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1DD3A7" w14:textId="77777777" w:rsidR="00A052DC" w:rsidRDefault="009F0A60">
      <w:pPr>
        <w:rPr>
          <w:rFonts w:ascii="Times New Roman" w:hAnsi="Times New Roman"/>
        </w:rPr>
      </w:pPr>
      <w:r>
        <w:rPr>
          <w:rFonts w:ascii="Times New Roman" w:hAnsi="Times New Roman" w:hint="eastAsia"/>
        </w:rPr>
        <w:tab/>
      </w:r>
      <w:r>
        <w:rPr>
          <w:rFonts w:ascii="Times New Roman" w:hAnsi="Times New Roman"/>
        </w:rPr>
        <w:tab/>
      </w:r>
    </w:p>
    <w:p w14:paraId="024D7EE5" w14:textId="77777777" w:rsidR="00A052DC" w:rsidRDefault="009F0A60">
      <w:pPr>
        <w:rPr>
          <w:rFonts w:ascii="黑体" w:eastAsia="黑体" w:hAnsi="黑体"/>
          <w:b/>
          <w:sz w:val="32"/>
          <w:szCs w:val="32"/>
        </w:rPr>
      </w:pPr>
      <w:r>
        <w:rPr>
          <w:rFonts w:ascii="黑体" w:eastAsia="黑体" w:hAnsi="黑体" w:hint="eastAsia"/>
          <w:b/>
          <w:sz w:val="32"/>
          <w:szCs w:val="32"/>
        </w:rPr>
        <w:t>附件</w:t>
      </w:r>
    </w:p>
    <w:p w14:paraId="7209C6C5" w14:textId="77777777" w:rsidR="00A052DC" w:rsidRDefault="00A052DC">
      <w:pPr>
        <w:rPr>
          <w:rFonts w:ascii="Times New Roman" w:hAnsi="Times New Roman"/>
        </w:rPr>
      </w:pPr>
    </w:p>
    <w:p w14:paraId="7C1B5A84" w14:textId="77777777" w:rsidR="00A052DC" w:rsidRDefault="00A052DC">
      <w:pPr>
        <w:rPr>
          <w:rFonts w:ascii="Times New Roman" w:hAnsi="Times New Roman"/>
        </w:rPr>
      </w:pPr>
    </w:p>
    <w:p w14:paraId="406C80E6" w14:textId="77777777" w:rsidR="00A052DC" w:rsidRDefault="00A052DC">
      <w:pPr>
        <w:jc w:val="center"/>
        <w:rPr>
          <w:rFonts w:ascii="宋体" w:hAnsi="宋体"/>
          <w:b/>
          <w:sz w:val="44"/>
          <w:szCs w:val="44"/>
        </w:rPr>
      </w:pPr>
    </w:p>
    <w:p w14:paraId="1D99D6A4" w14:textId="77777777" w:rsidR="00A052DC" w:rsidRDefault="009F0A60" w:rsidP="00954D39">
      <w:pPr>
        <w:jc w:val="center"/>
        <w:rPr>
          <w:rFonts w:asciiTheme="minorEastAsia" w:eastAsiaTheme="minorEastAsia" w:hAnsiTheme="minorEastAsia"/>
          <w:b/>
          <w:sz w:val="44"/>
          <w:szCs w:val="44"/>
        </w:rPr>
      </w:pPr>
      <w:bookmarkStart w:id="0" w:name="_Toc380580539"/>
      <w:bookmarkStart w:id="1" w:name="_Toc380356164"/>
      <w:r>
        <w:rPr>
          <w:rFonts w:asciiTheme="minorEastAsia" w:eastAsiaTheme="minorEastAsia" w:hAnsiTheme="minorEastAsia"/>
          <w:b/>
          <w:sz w:val="44"/>
          <w:szCs w:val="44"/>
        </w:rPr>
        <w:t>金融机构</w:t>
      </w:r>
      <w:r>
        <w:rPr>
          <w:rFonts w:asciiTheme="minorEastAsia" w:eastAsiaTheme="minorEastAsia" w:hAnsiTheme="minorEastAsia" w:hint="eastAsia"/>
          <w:b/>
          <w:sz w:val="44"/>
          <w:szCs w:val="44"/>
        </w:rPr>
        <w:t>外汇业务</w:t>
      </w:r>
      <w:r>
        <w:rPr>
          <w:rFonts w:asciiTheme="minorEastAsia" w:eastAsiaTheme="minorEastAsia" w:hAnsiTheme="minorEastAsia"/>
          <w:b/>
          <w:sz w:val="44"/>
          <w:szCs w:val="44"/>
        </w:rPr>
        <w:t>数据采集规范</w:t>
      </w:r>
      <w:bookmarkEnd w:id="0"/>
      <w:bookmarkEnd w:id="1"/>
    </w:p>
    <w:p w14:paraId="31CC1850" w14:textId="77777777" w:rsidR="0058781C" w:rsidRDefault="00C64ACF" w:rsidP="00AC7330">
      <w:pPr>
        <w:jc w:val="center"/>
        <w:rPr>
          <w:rFonts w:ascii="宋体" w:hAnsi="宋体"/>
          <w:b/>
          <w:sz w:val="44"/>
          <w:szCs w:val="44"/>
        </w:rPr>
      </w:pPr>
      <w:bookmarkStart w:id="2" w:name="_Toc91455155"/>
      <w:bookmarkStart w:id="3" w:name="_Toc383179471"/>
      <w:bookmarkStart w:id="4" w:name="_Toc383017303"/>
      <w:bookmarkStart w:id="5" w:name="_Toc454385938"/>
      <w:bookmarkStart w:id="6" w:name="_Toc533749664"/>
      <w:r w:rsidRPr="00096623">
        <w:rPr>
          <w:rFonts w:ascii="宋体" w:hAnsi="宋体" w:hint="eastAsia"/>
          <w:b/>
          <w:sz w:val="44"/>
          <w:szCs w:val="44"/>
        </w:rPr>
        <w:t>（</w:t>
      </w:r>
      <w:r w:rsidRPr="00096623">
        <w:rPr>
          <w:rFonts w:ascii="宋体" w:hAnsi="宋体"/>
          <w:b/>
          <w:sz w:val="44"/>
          <w:szCs w:val="44"/>
        </w:rPr>
        <w:t>1.3版）</w:t>
      </w:r>
      <w:bookmarkEnd w:id="2"/>
      <w:bookmarkEnd w:id="3"/>
      <w:bookmarkEnd w:id="4"/>
      <w:bookmarkEnd w:id="5"/>
      <w:bookmarkEnd w:id="6"/>
    </w:p>
    <w:p w14:paraId="7DCD7A85" w14:textId="77777777" w:rsidR="00A052DC" w:rsidRDefault="00A052DC">
      <w:pPr>
        <w:rPr>
          <w:rFonts w:ascii="Times New Roman" w:hAnsi="Times New Roman"/>
        </w:rPr>
      </w:pPr>
    </w:p>
    <w:p w14:paraId="4EE228C4" w14:textId="77777777" w:rsidR="00A052DC" w:rsidRDefault="00A052DC">
      <w:pPr>
        <w:rPr>
          <w:rFonts w:ascii="Times New Roman" w:hAnsi="Times New Roman"/>
        </w:rPr>
      </w:pPr>
    </w:p>
    <w:p w14:paraId="5542C922" w14:textId="77777777" w:rsidR="00A052DC" w:rsidRDefault="00A052DC">
      <w:pPr>
        <w:spacing w:line="360" w:lineRule="auto"/>
        <w:rPr>
          <w:rFonts w:ascii="Times New Roman" w:hAnsi="Times New Roman"/>
          <w:kern w:val="0"/>
          <w:sz w:val="24"/>
          <w:szCs w:val="20"/>
        </w:rPr>
      </w:pPr>
    </w:p>
    <w:p w14:paraId="7E2B06B3" w14:textId="77777777" w:rsidR="00A052DC" w:rsidRDefault="00A052DC">
      <w:pPr>
        <w:spacing w:line="360" w:lineRule="auto"/>
        <w:rPr>
          <w:rFonts w:ascii="Times New Roman" w:hAnsi="Times New Roman"/>
          <w:kern w:val="0"/>
          <w:sz w:val="24"/>
          <w:szCs w:val="20"/>
        </w:rPr>
      </w:pPr>
    </w:p>
    <w:p w14:paraId="53ACE9B4" w14:textId="77777777" w:rsidR="00A052DC" w:rsidRDefault="00A052DC">
      <w:pPr>
        <w:spacing w:line="360" w:lineRule="auto"/>
        <w:rPr>
          <w:rFonts w:ascii="Times New Roman" w:hAnsi="Times New Roman"/>
          <w:kern w:val="0"/>
          <w:sz w:val="24"/>
          <w:szCs w:val="20"/>
        </w:rPr>
      </w:pPr>
    </w:p>
    <w:p w14:paraId="2B8E6ECA" w14:textId="77777777" w:rsidR="00A052DC" w:rsidRDefault="00A052DC">
      <w:pPr>
        <w:spacing w:line="360" w:lineRule="auto"/>
        <w:rPr>
          <w:rFonts w:ascii="Times New Roman" w:hAnsi="Times New Roman"/>
          <w:kern w:val="0"/>
          <w:sz w:val="24"/>
          <w:szCs w:val="20"/>
        </w:rPr>
      </w:pPr>
    </w:p>
    <w:p w14:paraId="123D1167" w14:textId="77777777" w:rsidR="00A052DC" w:rsidRDefault="00A052DC">
      <w:pPr>
        <w:spacing w:line="360" w:lineRule="auto"/>
        <w:rPr>
          <w:rFonts w:ascii="Times New Roman" w:hAnsi="Times New Roman"/>
          <w:kern w:val="0"/>
          <w:sz w:val="24"/>
          <w:szCs w:val="20"/>
        </w:rPr>
      </w:pPr>
    </w:p>
    <w:p w14:paraId="4BD163F9" w14:textId="77777777" w:rsidR="00A052DC" w:rsidRDefault="00A052DC">
      <w:pPr>
        <w:spacing w:line="360" w:lineRule="auto"/>
        <w:rPr>
          <w:rFonts w:ascii="Times New Roman" w:hAnsi="Times New Roman"/>
          <w:kern w:val="0"/>
          <w:sz w:val="24"/>
          <w:szCs w:val="20"/>
        </w:rPr>
      </w:pPr>
    </w:p>
    <w:p w14:paraId="3AF53334" w14:textId="77777777" w:rsidR="00A052DC" w:rsidRDefault="00A052DC">
      <w:pPr>
        <w:spacing w:line="360" w:lineRule="auto"/>
        <w:rPr>
          <w:rFonts w:ascii="Times New Roman" w:hAnsi="Times New Roman"/>
          <w:kern w:val="0"/>
          <w:sz w:val="24"/>
          <w:szCs w:val="20"/>
        </w:rPr>
      </w:pPr>
    </w:p>
    <w:p w14:paraId="6BBA335F" w14:textId="77777777" w:rsidR="00A052DC" w:rsidRDefault="00A052DC">
      <w:pPr>
        <w:spacing w:line="360" w:lineRule="auto"/>
        <w:rPr>
          <w:rFonts w:ascii="Times New Roman" w:hAnsi="Times New Roman"/>
          <w:kern w:val="0"/>
          <w:sz w:val="24"/>
          <w:szCs w:val="20"/>
        </w:rPr>
      </w:pPr>
    </w:p>
    <w:p w14:paraId="6151A96A" w14:textId="77777777" w:rsidR="00A052DC" w:rsidRDefault="00A052DC">
      <w:pPr>
        <w:spacing w:line="360" w:lineRule="auto"/>
        <w:rPr>
          <w:rFonts w:ascii="Times New Roman" w:hAnsi="Times New Roman"/>
          <w:kern w:val="0"/>
          <w:sz w:val="24"/>
          <w:szCs w:val="20"/>
        </w:rPr>
      </w:pPr>
    </w:p>
    <w:p w14:paraId="14DD228C" w14:textId="77777777" w:rsidR="00A052DC" w:rsidRDefault="00A052DC">
      <w:pPr>
        <w:spacing w:line="360" w:lineRule="auto"/>
        <w:rPr>
          <w:rFonts w:ascii="Times New Roman" w:hAnsi="Times New Roman"/>
          <w:kern w:val="0"/>
          <w:sz w:val="24"/>
          <w:szCs w:val="20"/>
        </w:rPr>
      </w:pPr>
    </w:p>
    <w:p w14:paraId="028322F0" w14:textId="77777777" w:rsidR="00A052DC" w:rsidRDefault="00A052DC">
      <w:pPr>
        <w:spacing w:line="360" w:lineRule="auto"/>
        <w:rPr>
          <w:rFonts w:ascii="Times New Roman" w:hAnsi="Times New Roman"/>
          <w:kern w:val="0"/>
          <w:sz w:val="24"/>
          <w:szCs w:val="20"/>
        </w:rPr>
      </w:pPr>
    </w:p>
    <w:p w14:paraId="7BE00F00" w14:textId="77777777" w:rsidR="00A052DC" w:rsidRDefault="00A052DC">
      <w:pPr>
        <w:spacing w:line="360" w:lineRule="auto"/>
        <w:rPr>
          <w:rFonts w:ascii="Times New Roman" w:hAnsi="Times New Roman"/>
          <w:kern w:val="0"/>
          <w:sz w:val="24"/>
          <w:szCs w:val="20"/>
        </w:rPr>
      </w:pPr>
    </w:p>
    <w:p w14:paraId="5DAC6D95" w14:textId="77777777" w:rsidR="00A052DC" w:rsidRDefault="00A052DC">
      <w:pPr>
        <w:spacing w:line="360" w:lineRule="auto"/>
        <w:rPr>
          <w:rFonts w:ascii="Times New Roman" w:hAnsi="Times New Roman"/>
          <w:kern w:val="0"/>
          <w:sz w:val="24"/>
          <w:szCs w:val="20"/>
        </w:rPr>
      </w:pPr>
    </w:p>
    <w:p w14:paraId="3AF4E457" w14:textId="77777777" w:rsidR="00A052DC" w:rsidRDefault="00A052DC">
      <w:pPr>
        <w:rPr>
          <w:rFonts w:ascii="Times New Roman" w:hAnsi="Times New Roman"/>
        </w:rPr>
      </w:pPr>
    </w:p>
    <w:p w14:paraId="5FE8B711" w14:textId="77777777" w:rsidR="00A052DC" w:rsidRDefault="009F0A60">
      <w:pPr>
        <w:pStyle w:val="af3"/>
        <w:ind w:firstLineChars="0" w:firstLine="0"/>
        <w:rPr>
          <w:rFonts w:ascii="Times New Roman" w:hAnsi="Times New Roman"/>
        </w:rPr>
      </w:pPr>
      <w:r>
        <w:rPr>
          <w:rFonts w:ascii="Times New Roman"/>
        </w:rPr>
        <w:t>国家外汇管理局</w:t>
      </w:r>
    </w:p>
    <w:p w14:paraId="7DC402BB" w14:textId="77777777" w:rsidR="00A052DC" w:rsidRDefault="009F0A60">
      <w:pPr>
        <w:pStyle w:val="af3"/>
        <w:ind w:firstLineChars="0" w:firstLine="0"/>
        <w:rPr>
          <w:rFonts w:ascii="Times New Roman"/>
        </w:rPr>
      </w:pPr>
      <w:r>
        <w:rPr>
          <w:rFonts w:ascii="Times New Roman" w:hAnsi="Times New Roman"/>
        </w:rPr>
        <w:t>20</w:t>
      </w:r>
      <w:r>
        <w:rPr>
          <w:rFonts w:ascii="Times New Roman" w:hAnsi="Times New Roman" w:hint="eastAsia"/>
        </w:rPr>
        <w:t>22</w:t>
      </w:r>
      <w:r>
        <w:rPr>
          <w:rFonts w:ascii="Times New Roman"/>
        </w:rPr>
        <w:t>年</w:t>
      </w:r>
      <w:r>
        <w:rPr>
          <w:rFonts w:ascii="Times New Roman" w:hAnsi="Times New Roman" w:hint="eastAsia"/>
        </w:rPr>
        <w:t>4</w:t>
      </w:r>
      <w:r>
        <w:rPr>
          <w:rFonts w:ascii="Times New Roman"/>
        </w:rPr>
        <w:t>月</w:t>
      </w:r>
    </w:p>
    <w:p w14:paraId="63A9ADED" w14:textId="77777777" w:rsidR="00A052DC" w:rsidRDefault="00A052DC">
      <w:pPr>
        <w:pStyle w:val="af3"/>
        <w:ind w:firstLine="643"/>
        <w:rPr>
          <w:rFonts w:ascii="Times New Roman"/>
        </w:rPr>
      </w:pPr>
    </w:p>
    <w:p w14:paraId="7F824FCF" w14:textId="77777777" w:rsidR="00A052DC" w:rsidRDefault="009F0A60">
      <w:pPr>
        <w:widowControl/>
        <w:jc w:val="left"/>
        <w:rPr>
          <w:rFonts w:ascii="Times New Roman"/>
          <w:b/>
          <w:kern w:val="0"/>
          <w:sz w:val="32"/>
          <w:szCs w:val="20"/>
        </w:rPr>
      </w:pPr>
      <w:r>
        <w:rPr>
          <w:rFonts w:ascii="Times New Roman"/>
        </w:rPr>
        <w:br w:type="page"/>
      </w:r>
    </w:p>
    <w:p w14:paraId="453CBBEC" w14:textId="77777777" w:rsidR="00A052DC" w:rsidRDefault="00A052DC">
      <w:pPr>
        <w:pStyle w:val="af3"/>
        <w:ind w:firstLine="643"/>
        <w:rPr>
          <w:rFonts w:ascii="Times New Roman"/>
        </w:rPr>
        <w:sectPr w:rsidR="00A052DC">
          <w:headerReference w:type="default" r:id="rId9"/>
          <w:footerReference w:type="default" r:id="rId10"/>
          <w:pgSz w:w="11906" w:h="16838"/>
          <w:pgMar w:top="1440" w:right="1800" w:bottom="1440" w:left="1800" w:header="851" w:footer="992" w:gutter="0"/>
          <w:pgNumType w:start="1"/>
          <w:cols w:space="425"/>
          <w:docGrid w:type="lines" w:linePitch="312"/>
        </w:sectPr>
      </w:pPr>
    </w:p>
    <w:p w14:paraId="46023329" w14:textId="77777777" w:rsidR="00A052DC" w:rsidRDefault="00A052DC">
      <w:pPr>
        <w:pStyle w:val="af3"/>
        <w:ind w:firstLine="643"/>
        <w:rPr>
          <w:rFonts w:ascii="Times New Roman"/>
        </w:rPr>
      </w:pPr>
    </w:p>
    <w:p w14:paraId="5D719159" w14:textId="77777777" w:rsidR="00A052DC" w:rsidRDefault="009F0A60">
      <w:pPr>
        <w:widowControl/>
        <w:jc w:val="left"/>
        <w:rPr>
          <w:rFonts w:ascii="Times New Roman"/>
          <w:b/>
          <w:kern w:val="0"/>
          <w:sz w:val="32"/>
          <w:szCs w:val="20"/>
        </w:rPr>
      </w:pPr>
      <w:r>
        <w:rPr>
          <w:rFonts w:ascii="Times New Roman"/>
        </w:rPr>
        <w:br w:type="page"/>
      </w:r>
    </w:p>
    <w:p w14:paraId="68E1DAEC" w14:textId="77777777" w:rsidR="00A052DC" w:rsidRDefault="00A052DC">
      <w:pPr>
        <w:pStyle w:val="af3"/>
        <w:ind w:firstLine="643"/>
        <w:rPr>
          <w:rFonts w:ascii="Times New Roman"/>
        </w:rPr>
        <w:sectPr w:rsidR="00A052DC">
          <w:headerReference w:type="default" r:id="rId11"/>
          <w:footerReference w:type="default" r:id="rId12"/>
          <w:type w:val="continuous"/>
          <w:pgSz w:w="11906" w:h="16838"/>
          <w:pgMar w:top="1440" w:right="1800" w:bottom="1440" w:left="1800" w:header="851" w:footer="992" w:gutter="0"/>
          <w:pgNumType w:start="1"/>
          <w:cols w:space="425"/>
          <w:docGrid w:type="lines" w:linePitch="312"/>
        </w:sectPr>
      </w:pPr>
    </w:p>
    <w:p w14:paraId="3B987689" w14:textId="77777777" w:rsidR="00A052DC" w:rsidRDefault="009F0A60">
      <w:pPr>
        <w:pStyle w:val="TOC10"/>
        <w:jc w:val="center"/>
        <w:rPr>
          <w:sz w:val="32"/>
          <w:szCs w:val="32"/>
        </w:rPr>
      </w:pPr>
      <w:r>
        <w:rPr>
          <w:sz w:val="32"/>
          <w:szCs w:val="32"/>
          <w:lang w:val="zh-CN"/>
        </w:rPr>
        <w:lastRenderedPageBreak/>
        <w:t>目录</w:t>
      </w:r>
    </w:p>
    <w:p w14:paraId="630847B3" w14:textId="77777777" w:rsidR="00344727" w:rsidRDefault="00A53BD0" w:rsidP="00344727">
      <w:pPr>
        <w:pStyle w:val="TOC1"/>
        <w:ind w:firstLine="420"/>
        <w:rPr>
          <w:rFonts w:asciiTheme="minorHAnsi" w:eastAsiaTheme="minorEastAsia" w:hAnsiTheme="minorHAnsi" w:cstheme="minorBidi"/>
          <w:noProof/>
          <w:kern w:val="2"/>
          <w:sz w:val="21"/>
          <w:szCs w:val="22"/>
        </w:rPr>
      </w:pPr>
      <w:r>
        <w:rPr>
          <w:sz w:val="21"/>
          <w:szCs w:val="21"/>
        </w:rPr>
        <w:fldChar w:fldCharType="begin"/>
      </w:r>
      <w:r w:rsidR="009F0A60">
        <w:rPr>
          <w:sz w:val="21"/>
          <w:szCs w:val="21"/>
        </w:rPr>
        <w:instrText xml:space="preserve"> TOC \o "1-3" \h \z \u </w:instrText>
      </w:r>
      <w:r>
        <w:rPr>
          <w:sz w:val="21"/>
          <w:szCs w:val="21"/>
        </w:rPr>
        <w:fldChar w:fldCharType="separate"/>
      </w:r>
      <w:hyperlink w:anchor="_Toc101684331" w:history="1">
        <w:r w:rsidR="00344727" w:rsidRPr="00C16B96">
          <w:rPr>
            <w:rStyle w:val="afd"/>
            <w:rFonts w:ascii="Times New Roman" w:hAnsi="Times New Roman" w:hint="eastAsia"/>
            <w:noProof/>
          </w:rPr>
          <w:t>第一章</w:t>
        </w:r>
        <w:r w:rsidR="00344727">
          <w:rPr>
            <w:rFonts w:asciiTheme="minorHAnsi" w:eastAsiaTheme="minorEastAsia" w:hAnsiTheme="minorHAnsi" w:cstheme="minorBidi"/>
            <w:noProof/>
            <w:kern w:val="2"/>
            <w:sz w:val="21"/>
            <w:szCs w:val="22"/>
          </w:rPr>
          <w:tab/>
        </w:r>
        <w:r w:rsidR="00344727" w:rsidRPr="00C16B96">
          <w:rPr>
            <w:rStyle w:val="afd"/>
            <w:rFonts w:ascii="Times New Roman" w:hAnsi="Times New Roman" w:hint="eastAsia"/>
            <w:noProof/>
          </w:rPr>
          <w:t>前言</w:t>
        </w:r>
        <w:r w:rsidR="00344727">
          <w:rPr>
            <w:noProof/>
            <w:webHidden/>
          </w:rPr>
          <w:tab/>
        </w:r>
        <w:r>
          <w:rPr>
            <w:noProof/>
            <w:webHidden/>
          </w:rPr>
          <w:fldChar w:fldCharType="begin"/>
        </w:r>
        <w:r w:rsidR="00344727">
          <w:rPr>
            <w:noProof/>
            <w:webHidden/>
          </w:rPr>
          <w:instrText xml:space="preserve"> PAGEREF _Toc101684331 \h </w:instrText>
        </w:r>
        <w:r>
          <w:rPr>
            <w:noProof/>
            <w:webHidden/>
          </w:rPr>
        </w:r>
        <w:r>
          <w:rPr>
            <w:noProof/>
            <w:webHidden/>
          </w:rPr>
          <w:fldChar w:fldCharType="separate"/>
        </w:r>
        <w:r w:rsidR="00E54F87">
          <w:rPr>
            <w:noProof/>
            <w:webHidden/>
          </w:rPr>
          <w:t>1</w:t>
        </w:r>
        <w:r>
          <w:rPr>
            <w:noProof/>
            <w:webHidden/>
          </w:rPr>
          <w:fldChar w:fldCharType="end"/>
        </w:r>
      </w:hyperlink>
    </w:p>
    <w:p w14:paraId="4FB38760" w14:textId="77777777" w:rsidR="00344727" w:rsidRDefault="003C2B32" w:rsidP="00344727">
      <w:pPr>
        <w:pStyle w:val="TOC2"/>
        <w:tabs>
          <w:tab w:val="right" w:leader="dot" w:pos="8296"/>
        </w:tabs>
        <w:ind w:firstLine="480"/>
        <w:rPr>
          <w:rFonts w:asciiTheme="minorHAnsi" w:eastAsiaTheme="minorEastAsia" w:hAnsiTheme="minorHAnsi" w:cstheme="minorBidi"/>
          <w:noProof/>
          <w:kern w:val="2"/>
          <w:sz w:val="21"/>
          <w:szCs w:val="22"/>
        </w:rPr>
      </w:pPr>
      <w:hyperlink w:anchor="_Toc101684332" w:history="1">
        <w:r w:rsidR="00344727" w:rsidRPr="00C16B96">
          <w:rPr>
            <w:rStyle w:val="afd"/>
            <w:rFonts w:ascii="Times New Roman" w:hAnsi="Times New Roman"/>
            <w:noProof/>
          </w:rPr>
          <w:t>1.1</w:t>
        </w:r>
        <w:r w:rsidR="00344727" w:rsidRPr="00C16B96">
          <w:rPr>
            <w:rStyle w:val="afd"/>
            <w:rFonts w:ascii="Times New Roman" w:hint="eastAsia"/>
            <w:noProof/>
          </w:rPr>
          <w:t xml:space="preserve"> </w:t>
        </w:r>
        <w:r w:rsidR="00344727" w:rsidRPr="00C16B96">
          <w:rPr>
            <w:rStyle w:val="afd"/>
            <w:rFonts w:ascii="Times New Roman" w:hint="eastAsia"/>
            <w:noProof/>
          </w:rPr>
          <w:t>概述</w:t>
        </w:r>
        <w:r w:rsidR="00344727">
          <w:rPr>
            <w:noProof/>
            <w:webHidden/>
          </w:rPr>
          <w:tab/>
        </w:r>
        <w:r w:rsidR="00A53BD0">
          <w:rPr>
            <w:noProof/>
            <w:webHidden/>
          </w:rPr>
          <w:fldChar w:fldCharType="begin"/>
        </w:r>
        <w:r w:rsidR="00344727">
          <w:rPr>
            <w:noProof/>
            <w:webHidden/>
          </w:rPr>
          <w:instrText xml:space="preserve"> PAGEREF _Toc101684332 \h </w:instrText>
        </w:r>
        <w:r w:rsidR="00A53BD0">
          <w:rPr>
            <w:noProof/>
            <w:webHidden/>
          </w:rPr>
        </w:r>
        <w:r w:rsidR="00A53BD0">
          <w:rPr>
            <w:noProof/>
            <w:webHidden/>
          </w:rPr>
          <w:fldChar w:fldCharType="separate"/>
        </w:r>
        <w:r w:rsidR="00E54F87">
          <w:rPr>
            <w:noProof/>
            <w:webHidden/>
          </w:rPr>
          <w:t>1</w:t>
        </w:r>
        <w:r w:rsidR="00A53BD0">
          <w:rPr>
            <w:noProof/>
            <w:webHidden/>
          </w:rPr>
          <w:fldChar w:fldCharType="end"/>
        </w:r>
      </w:hyperlink>
    </w:p>
    <w:p w14:paraId="355D568D" w14:textId="77777777" w:rsidR="00344727" w:rsidRDefault="003C2B32" w:rsidP="00344727">
      <w:pPr>
        <w:pStyle w:val="TOC2"/>
        <w:tabs>
          <w:tab w:val="right" w:leader="dot" w:pos="8296"/>
        </w:tabs>
        <w:ind w:firstLine="480"/>
        <w:rPr>
          <w:rFonts w:asciiTheme="minorHAnsi" w:eastAsiaTheme="minorEastAsia" w:hAnsiTheme="minorHAnsi" w:cstheme="minorBidi"/>
          <w:noProof/>
          <w:kern w:val="2"/>
          <w:sz w:val="21"/>
          <w:szCs w:val="22"/>
        </w:rPr>
      </w:pPr>
      <w:hyperlink w:anchor="_Toc101684333" w:history="1">
        <w:r w:rsidR="00344727" w:rsidRPr="00C16B96">
          <w:rPr>
            <w:rStyle w:val="afd"/>
            <w:rFonts w:ascii="Times New Roman" w:hAnsi="Times New Roman"/>
            <w:noProof/>
          </w:rPr>
          <w:t>1.2</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“数字外管”平台银行版</w:t>
        </w:r>
        <w:r w:rsidR="00344727">
          <w:rPr>
            <w:noProof/>
            <w:webHidden/>
          </w:rPr>
          <w:tab/>
        </w:r>
        <w:r w:rsidR="00A53BD0">
          <w:rPr>
            <w:noProof/>
            <w:webHidden/>
          </w:rPr>
          <w:fldChar w:fldCharType="begin"/>
        </w:r>
        <w:r w:rsidR="00344727">
          <w:rPr>
            <w:noProof/>
            <w:webHidden/>
          </w:rPr>
          <w:instrText xml:space="preserve"> PAGEREF _Toc101684333 \h </w:instrText>
        </w:r>
        <w:r w:rsidR="00A53BD0">
          <w:rPr>
            <w:noProof/>
            <w:webHidden/>
          </w:rPr>
        </w:r>
        <w:r w:rsidR="00A53BD0">
          <w:rPr>
            <w:noProof/>
            <w:webHidden/>
          </w:rPr>
          <w:fldChar w:fldCharType="separate"/>
        </w:r>
        <w:r w:rsidR="00E54F87">
          <w:rPr>
            <w:noProof/>
            <w:webHidden/>
          </w:rPr>
          <w:t>1</w:t>
        </w:r>
        <w:r w:rsidR="00A53BD0">
          <w:rPr>
            <w:noProof/>
            <w:webHidden/>
          </w:rPr>
          <w:fldChar w:fldCharType="end"/>
        </w:r>
      </w:hyperlink>
    </w:p>
    <w:p w14:paraId="58CE2F8B" w14:textId="77777777" w:rsidR="00344727" w:rsidRDefault="003C2B32" w:rsidP="00344727">
      <w:pPr>
        <w:pStyle w:val="TOC2"/>
        <w:tabs>
          <w:tab w:val="right" w:leader="dot" w:pos="8296"/>
        </w:tabs>
        <w:ind w:firstLine="480"/>
        <w:rPr>
          <w:rFonts w:asciiTheme="minorHAnsi" w:eastAsiaTheme="minorEastAsia" w:hAnsiTheme="minorHAnsi" w:cstheme="minorBidi"/>
          <w:noProof/>
          <w:kern w:val="2"/>
          <w:sz w:val="21"/>
          <w:szCs w:val="22"/>
        </w:rPr>
      </w:pPr>
      <w:hyperlink w:anchor="_Toc101684334" w:history="1">
        <w:r w:rsidR="00344727" w:rsidRPr="00C16B96">
          <w:rPr>
            <w:rStyle w:val="afd"/>
            <w:rFonts w:ascii="Times New Roman" w:hAnsi="Times New Roman"/>
            <w:noProof/>
          </w:rPr>
          <w:t>1.3</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数据采集和接入方式说明</w:t>
        </w:r>
        <w:r w:rsidR="00344727">
          <w:rPr>
            <w:noProof/>
            <w:webHidden/>
          </w:rPr>
          <w:tab/>
        </w:r>
        <w:r w:rsidR="00A53BD0">
          <w:rPr>
            <w:noProof/>
            <w:webHidden/>
          </w:rPr>
          <w:fldChar w:fldCharType="begin"/>
        </w:r>
        <w:r w:rsidR="00344727">
          <w:rPr>
            <w:noProof/>
            <w:webHidden/>
          </w:rPr>
          <w:instrText xml:space="preserve"> PAGEREF _Toc101684334 \h </w:instrText>
        </w:r>
        <w:r w:rsidR="00A53BD0">
          <w:rPr>
            <w:noProof/>
            <w:webHidden/>
          </w:rPr>
        </w:r>
        <w:r w:rsidR="00A53BD0">
          <w:rPr>
            <w:noProof/>
            <w:webHidden/>
          </w:rPr>
          <w:fldChar w:fldCharType="separate"/>
        </w:r>
        <w:r w:rsidR="00E54F87">
          <w:rPr>
            <w:noProof/>
            <w:webHidden/>
          </w:rPr>
          <w:t>1</w:t>
        </w:r>
        <w:r w:rsidR="00A53BD0">
          <w:rPr>
            <w:noProof/>
            <w:webHidden/>
          </w:rPr>
          <w:fldChar w:fldCharType="end"/>
        </w:r>
      </w:hyperlink>
    </w:p>
    <w:p w14:paraId="7902DCE8" w14:textId="77777777" w:rsidR="00344727" w:rsidRDefault="003C2B32" w:rsidP="00344727">
      <w:pPr>
        <w:pStyle w:val="TOC2"/>
        <w:tabs>
          <w:tab w:val="right" w:leader="dot" w:pos="8296"/>
        </w:tabs>
        <w:ind w:firstLine="480"/>
        <w:rPr>
          <w:rFonts w:asciiTheme="minorHAnsi" w:eastAsiaTheme="minorEastAsia" w:hAnsiTheme="minorHAnsi" w:cstheme="minorBidi"/>
          <w:noProof/>
          <w:kern w:val="2"/>
          <w:sz w:val="21"/>
          <w:szCs w:val="22"/>
        </w:rPr>
      </w:pPr>
      <w:hyperlink w:anchor="_Toc101684335" w:history="1">
        <w:r w:rsidR="00344727" w:rsidRPr="00C16B96">
          <w:rPr>
            <w:rStyle w:val="afd"/>
            <w:rFonts w:ascii="Times New Roman" w:hAnsi="Times New Roman"/>
            <w:noProof/>
          </w:rPr>
          <w:t>1.4</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本次版本修订主要内容</w:t>
        </w:r>
        <w:r w:rsidR="00344727">
          <w:rPr>
            <w:noProof/>
            <w:webHidden/>
          </w:rPr>
          <w:tab/>
        </w:r>
        <w:r w:rsidR="00A53BD0">
          <w:rPr>
            <w:noProof/>
            <w:webHidden/>
          </w:rPr>
          <w:fldChar w:fldCharType="begin"/>
        </w:r>
        <w:r w:rsidR="00344727">
          <w:rPr>
            <w:noProof/>
            <w:webHidden/>
          </w:rPr>
          <w:instrText xml:space="preserve"> PAGEREF _Toc101684335 \h </w:instrText>
        </w:r>
        <w:r w:rsidR="00A53BD0">
          <w:rPr>
            <w:noProof/>
            <w:webHidden/>
          </w:rPr>
        </w:r>
        <w:r w:rsidR="00A53BD0">
          <w:rPr>
            <w:noProof/>
            <w:webHidden/>
          </w:rPr>
          <w:fldChar w:fldCharType="separate"/>
        </w:r>
        <w:r w:rsidR="00E54F87">
          <w:rPr>
            <w:noProof/>
            <w:webHidden/>
          </w:rPr>
          <w:t>2</w:t>
        </w:r>
        <w:r w:rsidR="00A53BD0">
          <w:rPr>
            <w:noProof/>
            <w:webHidden/>
          </w:rPr>
          <w:fldChar w:fldCharType="end"/>
        </w:r>
      </w:hyperlink>
    </w:p>
    <w:p w14:paraId="7DE1A252"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336" w:history="1">
        <w:r w:rsidR="00344727" w:rsidRPr="00C16B96">
          <w:rPr>
            <w:rStyle w:val="afd"/>
            <w:rFonts w:ascii="Times New Roman" w:hAnsi="Times New Roman"/>
            <w:noProof/>
          </w:rPr>
          <w:t>1.4.1</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本版本新增或取消的采集内容</w:t>
        </w:r>
        <w:r w:rsidR="00344727">
          <w:rPr>
            <w:noProof/>
            <w:webHidden/>
          </w:rPr>
          <w:tab/>
        </w:r>
        <w:r w:rsidR="00A53BD0">
          <w:rPr>
            <w:noProof/>
            <w:webHidden/>
          </w:rPr>
          <w:fldChar w:fldCharType="begin"/>
        </w:r>
        <w:r w:rsidR="00344727">
          <w:rPr>
            <w:noProof/>
            <w:webHidden/>
          </w:rPr>
          <w:instrText xml:space="preserve"> PAGEREF _Toc101684336 \h </w:instrText>
        </w:r>
        <w:r w:rsidR="00A53BD0">
          <w:rPr>
            <w:noProof/>
            <w:webHidden/>
          </w:rPr>
        </w:r>
        <w:r w:rsidR="00A53BD0">
          <w:rPr>
            <w:noProof/>
            <w:webHidden/>
          </w:rPr>
          <w:fldChar w:fldCharType="separate"/>
        </w:r>
        <w:r w:rsidR="00E54F87">
          <w:rPr>
            <w:noProof/>
            <w:webHidden/>
          </w:rPr>
          <w:t>2</w:t>
        </w:r>
        <w:r w:rsidR="00A53BD0">
          <w:rPr>
            <w:noProof/>
            <w:webHidden/>
          </w:rPr>
          <w:fldChar w:fldCharType="end"/>
        </w:r>
      </w:hyperlink>
    </w:p>
    <w:p w14:paraId="541D0F4F"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337" w:history="1">
        <w:r w:rsidR="00344727" w:rsidRPr="00C16B96">
          <w:rPr>
            <w:rStyle w:val="afd"/>
            <w:rFonts w:ascii="Times New Roman" w:hAnsi="Times New Roman"/>
            <w:noProof/>
          </w:rPr>
          <w:t>1.4.2</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本版本对采集数据的修订情况</w:t>
        </w:r>
        <w:r w:rsidR="00344727">
          <w:rPr>
            <w:noProof/>
            <w:webHidden/>
          </w:rPr>
          <w:tab/>
        </w:r>
        <w:r w:rsidR="00A53BD0">
          <w:rPr>
            <w:noProof/>
            <w:webHidden/>
          </w:rPr>
          <w:fldChar w:fldCharType="begin"/>
        </w:r>
        <w:r w:rsidR="00344727">
          <w:rPr>
            <w:noProof/>
            <w:webHidden/>
          </w:rPr>
          <w:instrText xml:space="preserve"> PAGEREF _Toc101684337 \h </w:instrText>
        </w:r>
        <w:r w:rsidR="00A53BD0">
          <w:rPr>
            <w:noProof/>
            <w:webHidden/>
          </w:rPr>
        </w:r>
        <w:r w:rsidR="00A53BD0">
          <w:rPr>
            <w:noProof/>
            <w:webHidden/>
          </w:rPr>
          <w:fldChar w:fldCharType="separate"/>
        </w:r>
        <w:r w:rsidR="00E54F87">
          <w:rPr>
            <w:noProof/>
            <w:webHidden/>
          </w:rPr>
          <w:t>2</w:t>
        </w:r>
        <w:r w:rsidR="00A53BD0">
          <w:rPr>
            <w:noProof/>
            <w:webHidden/>
          </w:rPr>
          <w:fldChar w:fldCharType="end"/>
        </w:r>
      </w:hyperlink>
    </w:p>
    <w:p w14:paraId="79E13CB6"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338" w:history="1">
        <w:r w:rsidR="00344727" w:rsidRPr="00C16B96">
          <w:rPr>
            <w:rStyle w:val="afd"/>
            <w:rFonts w:ascii="Times New Roman" w:hAnsi="Times New Roman"/>
            <w:noProof/>
          </w:rPr>
          <w:t>1.4.3</w:t>
        </w:r>
        <w:r w:rsidR="00344727" w:rsidRPr="00C16B96">
          <w:rPr>
            <w:rStyle w:val="afd"/>
            <w:rFonts w:ascii="Times New Roman" w:hint="eastAsia"/>
            <w:noProof/>
          </w:rPr>
          <w:t xml:space="preserve"> </w:t>
        </w:r>
        <w:r w:rsidR="00344727" w:rsidRPr="00C16B96">
          <w:rPr>
            <w:rStyle w:val="afd"/>
            <w:rFonts w:ascii="Times New Roman" w:hint="eastAsia"/>
            <w:noProof/>
          </w:rPr>
          <w:t>具体修订内容</w:t>
        </w:r>
        <w:r w:rsidR="00344727">
          <w:rPr>
            <w:noProof/>
            <w:webHidden/>
          </w:rPr>
          <w:tab/>
        </w:r>
        <w:r w:rsidR="00A53BD0">
          <w:rPr>
            <w:noProof/>
            <w:webHidden/>
          </w:rPr>
          <w:fldChar w:fldCharType="begin"/>
        </w:r>
        <w:r w:rsidR="00344727">
          <w:rPr>
            <w:noProof/>
            <w:webHidden/>
          </w:rPr>
          <w:instrText xml:space="preserve"> PAGEREF _Toc101684338 \h </w:instrText>
        </w:r>
        <w:r w:rsidR="00A53BD0">
          <w:rPr>
            <w:noProof/>
            <w:webHidden/>
          </w:rPr>
        </w:r>
        <w:r w:rsidR="00A53BD0">
          <w:rPr>
            <w:noProof/>
            <w:webHidden/>
          </w:rPr>
          <w:fldChar w:fldCharType="separate"/>
        </w:r>
        <w:r w:rsidR="00E54F87">
          <w:rPr>
            <w:noProof/>
            <w:webHidden/>
          </w:rPr>
          <w:t>4</w:t>
        </w:r>
        <w:r w:rsidR="00A53BD0">
          <w:rPr>
            <w:noProof/>
            <w:webHidden/>
          </w:rPr>
          <w:fldChar w:fldCharType="end"/>
        </w:r>
      </w:hyperlink>
    </w:p>
    <w:p w14:paraId="50E30B5A" w14:textId="77777777" w:rsidR="00344727" w:rsidRDefault="003C2B32">
      <w:pPr>
        <w:pStyle w:val="TOC1"/>
        <w:rPr>
          <w:rFonts w:asciiTheme="minorHAnsi" w:eastAsiaTheme="minorEastAsia" w:hAnsiTheme="minorHAnsi" w:cstheme="minorBidi"/>
          <w:noProof/>
          <w:kern w:val="2"/>
          <w:sz w:val="21"/>
          <w:szCs w:val="22"/>
        </w:rPr>
      </w:pPr>
      <w:hyperlink w:anchor="_Toc101684339" w:history="1">
        <w:r w:rsidR="00344727" w:rsidRPr="00C16B96">
          <w:rPr>
            <w:rStyle w:val="afd"/>
            <w:rFonts w:ascii="Times New Roman" w:hAnsi="Times New Roman" w:hint="eastAsia"/>
            <w:noProof/>
          </w:rPr>
          <w:t>第二章</w:t>
        </w:r>
        <w:r w:rsidR="00344727" w:rsidRPr="00C16B96">
          <w:rPr>
            <w:rStyle w:val="afd"/>
            <w:rFonts w:ascii="Times New Roman" w:hint="eastAsia"/>
            <w:noProof/>
          </w:rPr>
          <w:t xml:space="preserve"> </w:t>
        </w:r>
        <w:r w:rsidR="00344727" w:rsidRPr="00C16B96">
          <w:rPr>
            <w:rStyle w:val="afd"/>
            <w:rFonts w:ascii="Times New Roman" w:hint="eastAsia"/>
            <w:noProof/>
          </w:rPr>
          <w:t>数据采集范围</w:t>
        </w:r>
        <w:r w:rsidR="00344727">
          <w:rPr>
            <w:noProof/>
            <w:webHidden/>
          </w:rPr>
          <w:tab/>
        </w:r>
        <w:r w:rsidR="00A53BD0">
          <w:rPr>
            <w:noProof/>
            <w:webHidden/>
          </w:rPr>
          <w:fldChar w:fldCharType="begin"/>
        </w:r>
        <w:r w:rsidR="00344727">
          <w:rPr>
            <w:noProof/>
            <w:webHidden/>
          </w:rPr>
          <w:instrText xml:space="preserve"> PAGEREF _Toc101684339 \h </w:instrText>
        </w:r>
        <w:r w:rsidR="00A53BD0">
          <w:rPr>
            <w:noProof/>
            <w:webHidden/>
          </w:rPr>
        </w:r>
        <w:r w:rsidR="00A53BD0">
          <w:rPr>
            <w:noProof/>
            <w:webHidden/>
          </w:rPr>
          <w:fldChar w:fldCharType="separate"/>
        </w:r>
        <w:r w:rsidR="00E54F87">
          <w:rPr>
            <w:noProof/>
            <w:webHidden/>
          </w:rPr>
          <w:t>43</w:t>
        </w:r>
        <w:r w:rsidR="00A53BD0">
          <w:rPr>
            <w:noProof/>
            <w:webHidden/>
          </w:rPr>
          <w:fldChar w:fldCharType="end"/>
        </w:r>
      </w:hyperlink>
    </w:p>
    <w:p w14:paraId="313751A4" w14:textId="77777777" w:rsidR="00344727" w:rsidRDefault="003C2B32" w:rsidP="00344727">
      <w:pPr>
        <w:pStyle w:val="TOC2"/>
        <w:tabs>
          <w:tab w:val="right" w:leader="dot" w:pos="8296"/>
        </w:tabs>
        <w:ind w:firstLine="480"/>
        <w:rPr>
          <w:rFonts w:asciiTheme="minorHAnsi" w:eastAsiaTheme="minorEastAsia" w:hAnsiTheme="minorHAnsi" w:cstheme="minorBidi"/>
          <w:noProof/>
          <w:kern w:val="2"/>
          <w:sz w:val="21"/>
          <w:szCs w:val="22"/>
        </w:rPr>
      </w:pPr>
      <w:hyperlink w:anchor="_Toc101684340" w:history="1">
        <w:r w:rsidR="00344727" w:rsidRPr="00C16B96">
          <w:rPr>
            <w:rStyle w:val="afd"/>
            <w:rFonts w:ascii="Times New Roman" w:hAnsi="Times New Roman"/>
            <w:noProof/>
          </w:rPr>
          <w:t>2.1</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组织机构基本情况表（原单位基本情况表）</w:t>
        </w:r>
        <w:r w:rsidR="00344727">
          <w:rPr>
            <w:noProof/>
            <w:webHidden/>
          </w:rPr>
          <w:tab/>
        </w:r>
        <w:r w:rsidR="00A53BD0">
          <w:rPr>
            <w:noProof/>
            <w:webHidden/>
          </w:rPr>
          <w:fldChar w:fldCharType="begin"/>
        </w:r>
        <w:r w:rsidR="00344727">
          <w:rPr>
            <w:noProof/>
            <w:webHidden/>
          </w:rPr>
          <w:instrText xml:space="preserve"> PAGEREF _Toc101684340 \h </w:instrText>
        </w:r>
        <w:r w:rsidR="00A53BD0">
          <w:rPr>
            <w:noProof/>
            <w:webHidden/>
          </w:rPr>
        </w:r>
        <w:r w:rsidR="00A53BD0">
          <w:rPr>
            <w:noProof/>
            <w:webHidden/>
          </w:rPr>
          <w:fldChar w:fldCharType="separate"/>
        </w:r>
        <w:r w:rsidR="00E54F87">
          <w:rPr>
            <w:noProof/>
            <w:webHidden/>
          </w:rPr>
          <w:t>43</w:t>
        </w:r>
        <w:r w:rsidR="00A53BD0">
          <w:rPr>
            <w:noProof/>
            <w:webHidden/>
          </w:rPr>
          <w:fldChar w:fldCharType="end"/>
        </w:r>
      </w:hyperlink>
    </w:p>
    <w:p w14:paraId="3243C12B" w14:textId="77777777" w:rsidR="00344727" w:rsidRDefault="003C2B32" w:rsidP="00344727">
      <w:pPr>
        <w:pStyle w:val="TOC2"/>
        <w:tabs>
          <w:tab w:val="right" w:leader="dot" w:pos="8296"/>
        </w:tabs>
        <w:ind w:firstLine="480"/>
        <w:rPr>
          <w:rFonts w:asciiTheme="minorHAnsi" w:eastAsiaTheme="minorEastAsia" w:hAnsiTheme="minorHAnsi" w:cstheme="minorBidi"/>
          <w:noProof/>
          <w:kern w:val="2"/>
          <w:sz w:val="21"/>
          <w:szCs w:val="22"/>
        </w:rPr>
      </w:pPr>
      <w:hyperlink w:anchor="_Toc101684341" w:history="1">
        <w:r w:rsidR="00344727" w:rsidRPr="00C16B96">
          <w:rPr>
            <w:rStyle w:val="afd"/>
            <w:rFonts w:ascii="Times New Roman" w:hAnsi="Times New Roman"/>
            <w:noProof/>
          </w:rPr>
          <w:t>2.2</w:t>
        </w:r>
        <w:r w:rsidR="00344727" w:rsidRPr="00C16B96">
          <w:rPr>
            <w:rStyle w:val="afd"/>
            <w:rFonts w:ascii="Times New Roman" w:hint="eastAsia"/>
            <w:noProof/>
          </w:rPr>
          <w:t xml:space="preserve"> </w:t>
        </w:r>
        <w:r w:rsidR="00344727" w:rsidRPr="00C16B96">
          <w:rPr>
            <w:rStyle w:val="afd"/>
            <w:rFonts w:ascii="Times New Roman" w:hint="eastAsia"/>
            <w:noProof/>
          </w:rPr>
          <w:t>涉外收支数据</w:t>
        </w:r>
        <w:r w:rsidR="00344727">
          <w:rPr>
            <w:noProof/>
            <w:webHidden/>
          </w:rPr>
          <w:tab/>
        </w:r>
        <w:r w:rsidR="00A53BD0">
          <w:rPr>
            <w:noProof/>
            <w:webHidden/>
          </w:rPr>
          <w:fldChar w:fldCharType="begin"/>
        </w:r>
        <w:r w:rsidR="00344727">
          <w:rPr>
            <w:noProof/>
            <w:webHidden/>
          </w:rPr>
          <w:instrText xml:space="preserve"> PAGEREF _Toc101684341 \h </w:instrText>
        </w:r>
        <w:r w:rsidR="00A53BD0">
          <w:rPr>
            <w:noProof/>
            <w:webHidden/>
          </w:rPr>
        </w:r>
        <w:r w:rsidR="00A53BD0">
          <w:rPr>
            <w:noProof/>
            <w:webHidden/>
          </w:rPr>
          <w:fldChar w:fldCharType="separate"/>
        </w:r>
        <w:r w:rsidR="00E54F87">
          <w:rPr>
            <w:noProof/>
            <w:webHidden/>
          </w:rPr>
          <w:t>43</w:t>
        </w:r>
        <w:r w:rsidR="00A53BD0">
          <w:rPr>
            <w:noProof/>
            <w:webHidden/>
          </w:rPr>
          <w:fldChar w:fldCharType="end"/>
        </w:r>
      </w:hyperlink>
    </w:p>
    <w:p w14:paraId="6C565820"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342" w:history="1">
        <w:r w:rsidR="00344727" w:rsidRPr="00C16B96">
          <w:rPr>
            <w:rStyle w:val="afd"/>
            <w:rFonts w:ascii="Times New Roman" w:hAnsi="Times New Roman"/>
            <w:noProof/>
          </w:rPr>
          <w:t>2.2.1</w:t>
        </w:r>
        <w:r w:rsidR="00344727" w:rsidRPr="00C16B96">
          <w:rPr>
            <w:rStyle w:val="afd"/>
            <w:rFonts w:ascii="Times New Roman" w:hint="eastAsia"/>
            <w:noProof/>
          </w:rPr>
          <w:t xml:space="preserve"> </w:t>
        </w:r>
        <w:r w:rsidR="00344727" w:rsidRPr="00C16B96">
          <w:rPr>
            <w:rStyle w:val="afd"/>
            <w:rFonts w:ascii="Times New Roman" w:hint="eastAsia"/>
            <w:noProof/>
          </w:rPr>
          <w:t>涉外收入数据</w:t>
        </w:r>
        <w:r w:rsidR="00344727">
          <w:rPr>
            <w:noProof/>
            <w:webHidden/>
          </w:rPr>
          <w:tab/>
        </w:r>
        <w:r w:rsidR="00A53BD0">
          <w:rPr>
            <w:noProof/>
            <w:webHidden/>
          </w:rPr>
          <w:fldChar w:fldCharType="begin"/>
        </w:r>
        <w:r w:rsidR="00344727">
          <w:rPr>
            <w:noProof/>
            <w:webHidden/>
          </w:rPr>
          <w:instrText xml:space="preserve"> PAGEREF _Toc101684342 \h </w:instrText>
        </w:r>
        <w:r w:rsidR="00A53BD0">
          <w:rPr>
            <w:noProof/>
            <w:webHidden/>
          </w:rPr>
        </w:r>
        <w:r w:rsidR="00A53BD0">
          <w:rPr>
            <w:noProof/>
            <w:webHidden/>
          </w:rPr>
          <w:fldChar w:fldCharType="separate"/>
        </w:r>
        <w:r w:rsidR="00E54F87">
          <w:rPr>
            <w:noProof/>
            <w:webHidden/>
          </w:rPr>
          <w:t>43</w:t>
        </w:r>
        <w:r w:rsidR="00A53BD0">
          <w:rPr>
            <w:noProof/>
            <w:webHidden/>
          </w:rPr>
          <w:fldChar w:fldCharType="end"/>
        </w:r>
      </w:hyperlink>
    </w:p>
    <w:p w14:paraId="477FA4BB"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343" w:history="1">
        <w:r w:rsidR="00344727" w:rsidRPr="00C16B96">
          <w:rPr>
            <w:rStyle w:val="afd"/>
            <w:rFonts w:ascii="Times New Roman" w:hAnsi="Times New Roman"/>
            <w:noProof/>
          </w:rPr>
          <w:t>2.2.2</w:t>
        </w:r>
        <w:r w:rsidR="00344727" w:rsidRPr="00C16B96">
          <w:rPr>
            <w:rStyle w:val="afd"/>
            <w:rFonts w:ascii="Times New Roman" w:hint="eastAsia"/>
            <w:noProof/>
          </w:rPr>
          <w:t xml:space="preserve"> </w:t>
        </w:r>
        <w:r w:rsidR="00344727" w:rsidRPr="00C16B96">
          <w:rPr>
            <w:rStyle w:val="afd"/>
            <w:rFonts w:ascii="Times New Roman" w:hint="eastAsia"/>
            <w:noProof/>
          </w:rPr>
          <w:t>境外汇款数据</w:t>
        </w:r>
        <w:r w:rsidR="00344727">
          <w:rPr>
            <w:noProof/>
            <w:webHidden/>
          </w:rPr>
          <w:tab/>
        </w:r>
        <w:r w:rsidR="00A53BD0">
          <w:rPr>
            <w:noProof/>
            <w:webHidden/>
          </w:rPr>
          <w:fldChar w:fldCharType="begin"/>
        </w:r>
        <w:r w:rsidR="00344727">
          <w:rPr>
            <w:noProof/>
            <w:webHidden/>
          </w:rPr>
          <w:instrText xml:space="preserve"> PAGEREF _Toc101684343 \h </w:instrText>
        </w:r>
        <w:r w:rsidR="00A53BD0">
          <w:rPr>
            <w:noProof/>
            <w:webHidden/>
          </w:rPr>
        </w:r>
        <w:r w:rsidR="00A53BD0">
          <w:rPr>
            <w:noProof/>
            <w:webHidden/>
          </w:rPr>
          <w:fldChar w:fldCharType="separate"/>
        </w:r>
        <w:r w:rsidR="00E54F87">
          <w:rPr>
            <w:noProof/>
            <w:webHidden/>
          </w:rPr>
          <w:t>44</w:t>
        </w:r>
        <w:r w:rsidR="00A53BD0">
          <w:rPr>
            <w:noProof/>
            <w:webHidden/>
          </w:rPr>
          <w:fldChar w:fldCharType="end"/>
        </w:r>
      </w:hyperlink>
    </w:p>
    <w:p w14:paraId="06DF835D"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344" w:history="1">
        <w:r w:rsidR="00344727" w:rsidRPr="00C16B96">
          <w:rPr>
            <w:rStyle w:val="afd"/>
            <w:rFonts w:ascii="Times New Roman" w:hAnsi="Times New Roman"/>
            <w:noProof/>
          </w:rPr>
          <w:t>2.2.3</w:t>
        </w:r>
        <w:r w:rsidR="00344727" w:rsidRPr="00C16B96">
          <w:rPr>
            <w:rStyle w:val="afd"/>
            <w:rFonts w:ascii="Times New Roman" w:hint="eastAsia"/>
            <w:noProof/>
          </w:rPr>
          <w:t xml:space="preserve"> </w:t>
        </w:r>
        <w:r w:rsidR="00344727" w:rsidRPr="00C16B96">
          <w:rPr>
            <w:rStyle w:val="afd"/>
            <w:rFonts w:ascii="Times New Roman" w:hint="eastAsia"/>
            <w:noProof/>
          </w:rPr>
          <w:t>对外付款</w:t>
        </w:r>
        <w:r w:rsidR="00344727" w:rsidRPr="00C16B96">
          <w:rPr>
            <w:rStyle w:val="afd"/>
            <w:rFonts w:ascii="Times New Roman"/>
            <w:noProof/>
          </w:rPr>
          <w:t>/</w:t>
        </w:r>
        <w:r w:rsidR="00344727" w:rsidRPr="00C16B96">
          <w:rPr>
            <w:rStyle w:val="afd"/>
            <w:rFonts w:ascii="Times New Roman" w:hint="eastAsia"/>
            <w:noProof/>
          </w:rPr>
          <w:t>承兑数据</w:t>
        </w:r>
        <w:r w:rsidR="00344727">
          <w:rPr>
            <w:noProof/>
            <w:webHidden/>
          </w:rPr>
          <w:tab/>
        </w:r>
        <w:r w:rsidR="00A53BD0">
          <w:rPr>
            <w:noProof/>
            <w:webHidden/>
          </w:rPr>
          <w:fldChar w:fldCharType="begin"/>
        </w:r>
        <w:r w:rsidR="00344727">
          <w:rPr>
            <w:noProof/>
            <w:webHidden/>
          </w:rPr>
          <w:instrText xml:space="preserve"> PAGEREF _Toc101684344 \h </w:instrText>
        </w:r>
        <w:r w:rsidR="00A53BD0">
          <w:rPr>
            <w:noProof/>
            <w:webHidden/>
          </w:rPr>
        </w:r>
        <w:r w:rsidR="00A53BD0">
          <w:rPr>
            <w:noProof/>
            <w:webHidden/>
          </w:rPr>
          <w:fldChar w:fldCharType="separate"/>
        </w:r>
        <w:r w:rsidR="00E54F87">
          <w:rPr>
            <w:noProof/>
            <w:webHidden/>
          </w:rPr>
          <w:t>44</w:t>
        </w:r>
        <w:r w:rsidR="00A53BD0">
          <w:rPr>
            <w:noProof/>
            <w:webHidden/>
          </w:rPr>
          <w:fldChar w:fldCharType="end"/>
        </w:r>
      </w:hyperlink>
    </w:p>
    <w:p w14:paraId="47BF29B4"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345" w:history="1">
        <w:r w:rsidR="00344727" w:rsidRPr="00C16B96">
          <w:rPr>
            <w:rStyle w:val="afd"/>
            <w:rFonts w:ascii="Times New Roman" w:hAnsi="Times New Roman"/>
            <w:noProof/>
          </w:rPr>
          <w:t>2.2.4</w:t>
        </w:r>
        <w:r w:rsidR="00344727" w:rsidRPr="00C16B96">
          <w:rPr>
            <w:rStyle w:val="afd"/>
            <w:rFonts w:ascii="Times New Roman" w:hint="eastAsia"/>
            <w:noProof/>
          </w:rPr>
          <w:t xml:space="preserve"> </w:t>
        </w:r>
        <w:r w:rsidR="00344727" w:rsidRPr="00C16B96">
          <w:rPr>
            <w:rStyle w:val="afd"/>
            <w:rFonts w:ascii="Times New Roman" w:hint="eastAsia"/>
            <w:noProof/>
          </w:rPr>
          <w:t>涉外收支还原数据</w:t>
        </w:r>
        <w:r w:rsidR="00344727">
          <w:rPr>
            <w:noProof/>
            <w:webHidden/>
          </w:rPr>
          <w:tab/>
        </w:r>
        <w:r w:rsidR="00A53BD0">
          <w:rPr>
            <w:noProof/>
            <w:webHidden/>
          </w:rPr>
          <w:fldChar w:fldCharType="begin"/>
        </w:r>
        <w:r w:rsidR="00344727">
          <w:rPr>
            <w:noProof/>
            <w:webHidden/>
          </w:rPr>
          <w:instrText xml:space="preserve"> PAGEREF _Toc101684345 \h </w:instrText>
        </w:r>
        <w:r w:rsidR="00A53BD0">
          <w:rPr>
            <w:noProof/>
            <w:webHidden/>
          </w:rPr>
        </w:r>
        <w:r w:rsidR="00A53BD0">
          <w:rPr>
            <w:noProof/>
            <w:webHidden/>
          </w:rPr>
          <w:fldChar w:fldCharType="separate"/>
        </w:r>
        <w:r w:rsidR="00E54F87">
          <w:rPr>
            <w:noProof/>
            <w:webHidden/>
          </w:rPr>
          <w:t>45</w:t>
        </w:r>
        <w:r w:rsidR="00A53BD0">
          <w:rPr>
            <w:noProof/>
            <w:webHidden/>
          </w:rPr>
          <w:fldChar w:fldCharType="end"/>
        </w:r>
      </w:hyperlink>
    </w:p>
    <w:p w14:paraId="0BAFAA99" w14:textId="77777777" w:rsidR="00344727" w:rsidRDefault="003C2B32" w:rsidP="00344727">
      <w:pPr>
        <w:pStyle w:val="TOC2"/>
        <w:tabs>
          <w:tab w:val="right" w:leader="dot" w:pos="8296"/>
        </w:tabs>
        <w:ind w:firstLine="480"/>
        <w:rPr>
          <w:rFonts w:asciiTheme="minorHAnsi" w:eastAsiaTheme="minorEastAsia" w:hAnsiTheme="minorHAnsi" w:cstheme="minorBidi"/>
          <w:noProof/>
          <w:kern w:val="2"/>
          <w:sz w:val="21"/>
          <w:szCs w:val="22"/>
        </w:rPr>
      </w:pPr>
      <w:hyperlink w:anchor="_Toc101684346" w:history="1">
        <w:r w:rsidR="00344727" w:rsidRPr="00C16B96">
          <w:rPr>
            <w:rStyle w:val="afd"/>
            <w:rFonts w:ascii="Times New Roman" w:hAnsi="Times New Roman"/>
            <w:noProof/>
          </w:rPr>
          <w:t>2.3</w:t>
        </w:r>
        <w:r w:rsidR="00344727" w:rsidRPr="00C16B96">
          <w:rPr>
            <w:rStyle w:val="afd"/>
            <w:rFonts w:ascii="Times New Roman" w:hint="eastAsia"/>
            <w:noProof/>
          </w:rPr>
          <w:t xml:space="preserve"> </w:t>
        </w:r>
        <w:r w:rsidR="00344727" w:rsidRPr="00C16B96">
          <w:rPr>
            <w:rStyle w:val="afd"/>
            <w:rFonts w:ascii="Times New Roman" w:hint="eastAsia"/>
            <w:noProof/>
          </w:rPr>
          <w:t>境内划转数据</w:t>
        </w:r>
        <w:r w:rsidR="00344727">
          <w:rPr>
            <w:noProof/>
            <w:webHidden/>
          </w:rPr>
          <w:tab/>
        </w:r>
        <w:r w:rsidR="00A53BD0">
          <w:rPr>
            <w:noProof/>
            <w:webHidden/>
          </w:rPr>
          <w:fldChar w:fldCharType="begin"/>
        </w:r>
        <w:r w:rsidR="00344727">
          <w:rPr>
            <w:noProof/>
            <w:webHidden/>
          </w:rPr>
          <w:instrText xml:space="preserve"> PAGEREF _Toc101684346 \h </w:instrText>
        </w:r>
        <w:r w:rsidR="00A53BD0">
          <w:rPr>
            <w:noProof/>
            <w:webHidden/>
          </w:rPr>
        </w:r>
        <w:r w:rsidR="00A53BD0">
          <w:rPr>
            <w:noProof/>
            <w:webHidden/>
          </w:rPr>
          <w:fldChar w:fldCharType="separate"/>
        </w:r>
        <w:r w:rsidR="00E54F87">
          <w:rPr>
            <w:noProof/>
            <w:webHidden/>
          </w:rPr>
          <w:t>45</w:t>
        </w:r>
        <w:r w:rsidR="00A53BD0">
          <w:rPr>
            <w:noProof/>
            <w:webHidden/>
          </w:rPr>
          <w:fldChar w:fldCharType="end"/>
        </w:r>
      </w:hyperlink>
    </w:p>
    <w:p w14:paraId="6D3058A4"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347" w:history="1">
        <w:r w:rsidR="00344727" w:rsidRPr="00C16B96">
          <w:rPr>
            <w:rStyle w:val="afd"/>
            <w:rFonts w:ascii="Times New Roman" w:hAnsi="Times New Roman"/>
            <w:noProof/>
          </w:rPr>
          <w:t>2.3.1</w:t>
        </w:r>
        <w:r w:rsidR="00344727" w:rsidRPr="00C16B96">
          <w:rPr>
            <w:rStyle w:val="afd"/>
            <w:rFonts w:ascii="Times New Roman" w:hint="eastAsia"/>
            <w:noProof/>
          </w:rPr>
          <w:t xml:space="preserve"> </w:t>
        </w:r>
        <w:r w:rsidR="00344727" w:rsidRPr="00C16B96">
          <w:rPr>
            <w:rStyle w:val="afd"/>
            <w:rFonts w:ascii="Times New Roman" w:hint="eastAsia"/>
            <w:noProof/>
          </w:rPr>
          <w:t>货物贸易核查项下境内收付款</w:t>
        </w:r>
        <w:r w:rsidR="00344727">
          <w:rPr>
            <w:noProof/>
            <w:webHidden/>
          </w:rPr>
          <w:tab/>
        </w:r>
        <w:r w:rsidR="00A53BD0">
          <w:rPr>
            <w:noProof/>
            <w:webHidden/>
          </w:rPr>
          <w:fldChar w:fldCharType="begin"/>
        </w:r>
        <w:r w:rsidR="00344727">
          <w:rPr>
            <w:noProof/>
            <w:webHidden/>
          </w:rPr>
          <w:instrText xml:space="preserve"> PAGEREF _Toc101684347 \h </w:instrText>
        </w:r>
        <w:r w:rsidR="00A53BD0">
          <w:rPr>
            <w:noProof/>
            <w:webHidden/>
          </w:rPr>
        </w:r>
        <w:r w:rsidR="00A53BD0">
          <w:rPr>
            <w:noProof/>
            <w:webHidden/>
          </w:rPr>
          <w:fldChar w:fldCharType="separate"/>
        </w:r>
        <w:r w:rsidR="00E54F87">
          <w:rPr>
            <w:noProof/>
            <w:webHidden/>
          </w:rPr>
          <w:t>45</w:t>
        </w:r>
        <w:r w:rsidR="00A53BD0">
          <w:rPr>
            <w:noProof/>
            <w:webHidden/>
          </w:rPr>
          <w:fldChar w:fldCharType="end"/>
        </w:r>
      </w:hyperlink>
    </w:p>
    <w:p w14:paraId="72C57A18"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348" w:history="1">
        <w:r w:rsidR="00344727" w:rsidRPr="00C16B96">
          <w:rPr>
            <w:rStyle w:val="afd"/>
            <w:rFonts w:ascii="Times New Roman" w:hAnsi="Times New Roman"/>
            <w:noProof/>
          </w:rPr>
          <w:t>2.3.2</w:t>
        </w:r>
        <w:r w:rsidR="00344727" w:rsidRPr="00C16B96">
          <w:rPr>
            <w:rStyle w:val="afd"/>
            <w:rFonts w:ascii="Times New Roman" w:hint="eastAsia"/>
            <w:noProof/>
          </w:rPr>
          <w:t xml:space="preserve"> </w:t>
        </w:r>
        <w:r w:rsidR="00344727" w:rsidRPr="00C16B96">
          <w:rPr>
            <w:rStyle w:val="afd"/>
            <w:rFonts w:ascii="Times New Roman" w:hint="eastAsia"/>
            <w:noProof/>
          </w:rPr>
          <w:t>非货物贸易核查项下境内收付汇</w:t>
        </w:r>
        <w:r w:rsidR="00344727">
          <w:rPr>
            <w:noProof/>
            <w:webHidden/>
          </w:rPr>
          <w:tab/>
        </w:r>
        <w:r w:rsidR="00A53BD0">
          <w:rPr>
            <w:noProof/>
            <w:webHidden/>
          </w:rPr>
          <w:fldChar w:fldCharType="begin"/>
        </w:r>
        <w:r w:rsidR="00344727">
          <w:rPr>
            <w:noProof/>
            <w:webHidden/>
          </w:rPr>
          <w:instrText xml:space="preserve"> PAGEREF _Toc101684348 \h </w:instrText>
        </w:r>
        <w:r w:rsidR="00A53BD0">
          <w:rPr>
            <w:noProof/>
            <w:webHidden/>
          </w:rPr>
        </w:r>
        <w:r w:rsidR="00A53BD0">
          <w:rPr>
            <w:noProof/>
            <w:webHidden/>
          </w:rPr>
          <w:fldChar w:fldCharType="separate"/>
        </w:r>
        <w:r w:rsidR="00E54F87">
          <w:rPr>
            <w:noProof/>
            <w:webHidden/>
          </w:rPr>
          <w:t>45</w:t>
        </w:r>
        <w:r w:rsidR="00A53BD0">
          <w:rPr>
            <w:noProof/>
            <w:webHidden/>
          </w:rPr>
          <w:fldChar w:fldCharType="end"/>
        </w:r>
      </w:hyperlink>
    </w:p>
    <w:p w14:paraId="1CE9E7ED"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349" w:history="1">
        <w:r w:rsidR="00344727" w:rsidRPr="00C16B96">
          <w:rPr>
            <w:rStyle w:val="afd"/>
            <w:rFonts w:ascii="Times New Roman" w:hAnsi="Times New Roman"/>
            <w:noProof/>
          </w:rPr>
          <w:t>2.3.3</w:t>
        </w:r>
        <w:r w:rsidR="00344727" w:rsidRPr="00C16B96">
          <w:rPr>
            <w:rStyle w:val="afd"/>
            <w:rFonts w:ascii="Times New Roman" w:hint="eastAsia"/>
            <w:noProof/>
          </w:rPr>
          <w:t xml:space="preserve"> </w:t>
        </w:r>
        <w:r w:rsidR="00344727" w:rsidRPr="00C16B96">
          <w:rPr>
            <w:rStyle w:val="afd"/>
            <w:rFonts w:ascii="Times New Roman" w:hint="eastAsia"/>
            <w:noProof/>
          </w:rPr>
          <w:t>同名账户划转资金</w:t>
        </w:r>
        <w:r w:rsidR="00344727">
          <w:rPr>
            <w:noProof/>
            <w:webHidden/>
          </w:rPr>
          <w:tab/>
        </w:r>
        <w:r w:rsidR="00A53BD0">
          <w:rPr>
            <w:noProof/>
            <w:webHidden/>
          </w:rPr>
          <w:fldChar w:fldCharType="begin"/>
        </w:r>
        <w:r w:rsidR="00344727">
          <w:rPr>
            <w:noProof/>
            <w:webHidden/>
          </w:rPr>
          <w:instrText xml:space="preserve"> PAGEREF _Toc101684349 \h </w:instrText>
        </w:r>
        <w:r w:rsidR="00A53BD0">
          <w:rPr>
            <w:noProof/>
            <w:webHidden/>
          </w:rPr>
        </w:r>
        <w:r w:rsidR="00A53BD0">
          <w:rPr>
            <w:noProof/>
            <w:webHidden/>
          </w:rPr>
          <w:fldChar w:fldCharType="separate"/>
        </w:r>
        <w:r w:rsidR="00E54F87">
          <w:rPr>
            <w:noProof/>
            <w:webHidden/>
          </w:rPr>
          <w:t>46</w:t>
        </w:r>
        <w:r w:rsidR="00A53BD0">
          <w:rPr>
            <w:noProof/>
            <w:webHidden/>
          </w:rPr>
          <w:fldChar w:fldCharType="end"/>
        </w:r>
      </w:hyperlink>
    </w:p>
    <w:p w14:paraId="547336A7"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350" w:history="1">
        <w:r w:rsidR="00344727" w:rsidRPr="00C16B96">
          <w:rPr>
            <w:rStyle w:val="afd"/>
            <w:rFonts w:ascii="Times New Roman" w:hAnsi="Times New Roman"/>
            <w:noProof/>
          </w:rPr>
          <w:t>2.3.4</w:t>
        </w:r>
        <w:r w:rsidR="00344727" w:rsidRPr="00C16B96">
          <w:rPr>
            <w:rStyle w:val="afd"/>
            <w:rFonts w:ascii="Times New Roman" w:hint="eastAsia"/>
            <w:noProof/>
          </w:rPr>
          <w:t xml:space="preserve"> </w:t>
        </w:r>
        <w:r w:rsidR="00344727" w:rsidRPr="00C16B96">
          <w:rPr>
            <w:rStyle w:val="afd"/>
            <w:rFonts w:ascii="Times New Roman" w:hint="eastAsia"/>
            <w:noProof/>
          </w:rPr>
          <w:t>结汇待支付账户划转资金</w:t>
        </w:r>
        <w:r w:rsidR="00344727">
          <w:rPr>
            <w:noProof/>
            <w:webHidden/>
          </w:rPr>
          <w:tab/>
        </w:r>
        <w:r w:rsidR="00A53BD0">
          <w:rPr>
            <w:noProof/>
            <w:webHidden/>
          </w:rPr>
          <w:fldChar w:fldCharType="begin"/>
        </w:r>
        <w:r w:rsidR="00344727">
          <w:rPr>
            <w:noProof/>
            <w:webHidden/>
          </w:rPr>
          <w:instrText xml:space="preserve"> PAGEREF _Toc101684350 \h </w:instrText>
        </w:r>
        <w:r w:rsidR="00A53BD0">
          <w:rPr>
            <w:noProof/>
            <w:webHidden/>
          </w:rPr>
        </w:r>
        <w:r w:rsidR="00A53BD0">
          <w:rPr>
            <w:noProof/>
            <w:webHidden/>
          </w:rPr>
          <w:fldChar w:fldCharType="separate"/>
        </w:r>
        <w:r w:rsidR="00E54F87">
          <w:rPr>
            <w:noProof/>
            <w:webHidden/>
          </w:rPr>
          <w:t>46</w:t>
        </w:r>
        <w:r w:rsidR="00A53BD0">
          <w:rPr>
            <w:noProof/>
            <w:webHidden/>
          </w:rPr>
          <w:fldChar w:fldCharType="end"/>
        </w:r>
      </w:hyperlink>
    </w:p>
    <w:p w14:paraId="6304906A"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351" w:history="1">
        <w:r w:rsidR="00344727" w:rsidRPr="00C16B96">
          <w:rPr>
            <w:rStyle w:val="afd"/>
            <w:rFonts w:ascii="Times New Roman" w:hAnsi="Times New Roman"/>
            <w:noProof/>
          </w:rPr>
          <w:t>2.3.5</w:t>
        </w:r>
        <w:r w:rsidR="00344727" w:rsidRPr="00C16B96">
          <w:rPr>
            <w:rStyle w:val="afd"/>
            <w:rFonts w:ascii="Times New Roman" w:hint="eastAsia"/>
            <w:noProof/>
          </w:rPr>
          <w:t xml:space="preserve"> </w:t>
        </w:r>
        <w:r w:rsidR="00344727" w:rsidRPr="00C16B96">
          <w:rPr>
            <w:rStyle w:val="afd"/>
            <w:rFonts w:ascii="Times New Roman" w:hint="eastAsia"/>
            <w:noProof/>
          </w:rPr>
          <w:t>非居民机构账户间境内划转资金</w:t>
        </w:r>
        <w:r w:rsidR="00344727">
          <w:rPr>
            <w:noProof/>
            <w:webHidden/>
          </w:rPr>
          <w:tab/>
        </w:r>
        <w:r w:rsidR="00A53BD0">
          <w:rPr>
            <w:noProof/>
            <w:webHidden/>
          </w:rPr>
          <w:fldChar w:fldCharType="begin"/>
        </w:r>
        <w:r w:rsidR="00344727">
          <w:rPr>
            <w:noProof/>
            <w:webHidden/>
          </w:rPr>
          <w:instrText xml:space="preserve"> PAGEREF _Toc101684351 \h </w:instrText>
        </w:r>
        <w:r w:rsidR="00A53BD0">
          <w:rPr>
            <w:noProof/>
            <w:webHidden/>
          </w:rPr>
        </w:r>
        <w:r w:rsidR="00A53BD0">
          <w:rPr>
            <w:noProof/>
            <w:webHidden/>
          </w:rPr>
          <w:fldChar w:fldCharType="separate"/>
        </w:r>
        <w:r w:rsidR="00E54F87">
          <w:rPr>
            <w:noProof/>
            <w:webHidden/>
          </w:rPr>
          <w:t>46</w:t>
        </w:r>
        <w:r w:rsidR="00A53BD0">
          <w:rPr>
            <w:noProof/>
            <w:webHidden/>
          </w:rPr>
          <w:fldChar w:fldCharType="end"/>
        </w:r>
      </w:hyperlink>
    </w:p>
    <w:p w14:paraId="412513FD" w14:textId="77777777" w:rsidR="00344727" w:rsidRDefault="003C2B32" w:rsidP="00344727">
      <w:pPr>
        <w:pStyle w:val="TOC2"/>
        <w:tabs>
          <w:tab w:val="right" w:leader="dot" w:pos="8296"/>
        </w:tabs>
        <w:ind w:firstLine="480"/>
        <w:rPr>
          <w:rFonts w:asciiTheme="minorHAnsi" w:eastAsiaTheme="minorEastAsia" w:hAnsiTheme="minorHAnsi" w:cstheme="minorBidi"/>
          <w:noProof/>
          <w:kern w:val="2"/>
          <w:sz w:val="21"/>
          <w:szCs w:val="22"/>
        </w:rPr>
      </w:pPr>
      <w:hyperlink w:anchor="_Toc101684352" w:history="1">
        <w:r w:rsidR="00344727" w:rsidRPr="00C16B96">
          <w:rPr>
            <w:rStyle w:val="afd"/>
            <w:rFonts w:ascii="Times New Roman" w:hAnsi="Times New Roman"/>
            <w:noProof/>
          </w:rPr>
          <w:t>2.4</w:t>
        </w:r>
        <w:r w:rsidR="00344727" w:rsidRPr="00C16B96">
          <w:rPr>
            <w:rStyle w:val="afd"/>
            <w:rFonts w:ascii="Times New Roman" w:hint="eastAsia"/>
            <w:noProof/>
          </w:rPr>
          <w:t xml:space="preserve"> </w:t>
        </w:r>
        <w:r w:rsidR="00344727" w:rsidRPr="00C16B96">
          <w:rPr>
            <w:rStyle w:val="afd"/>
            <w:rFonts w:ascii="Times New Roman" w:hint="eastAsia"/>
            <w:noProof/>
          </w:rPr>
          <w:t>外汇账户数据</w:t>
        </w:r>
        <w:r w:rsidR="00344727">
          <w:rPr>
            <w:noProof/>
            <w:webHidden/>
          </w:rPr>
          <w:tab/>
        </w:r>
        <w:r w:rsidR="00A53BD0">
          <w:rPr>
            <w:noProof/>
            <w:webHidden/>
          </w:rPr>
          <w:fldChar w:fldCharType="begin"/>
        </w:r>
        <w:r w:rsidR="00344727">
          <w:rPr>
            <w:noProof/>
            <w:webHidden/>
          </w:rPr>
          <w:instrText xml:space="preserve"> PAGEREF _Toc101684352 \h </w:instrText>
        </w:r>
        <w:r w:rsidR="00A53BD0">
          <w:rPr>
            <w:noProof/>
            <w:webHidden/>
          </w:rPr>
        </w:r>
        <w:r w:rsidR="00A53BD0">
          <w:rPr>
            <w:noProof/>
            <w:webHidden/>
          </w:rPr>
          <w:fldChar w:fldCharType="separate"/>
        </w:r>
        <w:r w:rsidR="00E54F87">
          <w:rPr>
            <w:noProof/>
            <w:webHidden/>
          </w:rPr>
          <w:t>47</w:t>
        </w:r>
        <w:r w:rsidR="00A53BD0">
          <w:rPr>
            <w:noProof/>
            <w:webHidden/>
          </w:rPr>
          <w:fldChar w:fldCharType="end"/>
        </w:r>
      </w:hyperlink>
    </w:p>
    <w:p w14:paraId="467CB6D0" w14:textId="77777777" w:rsidR="00344727" w:rsidRDefault="003C2B32" w:rsidP="00344727">
      <w:pPr>
        <w:pStyle w:val="TOC2"/>
        <w:tabs>
          <w:tab w:val="right" w:leader="dot" w:pos="8296"/>
        </w:tabs>
        <w:ind w:firstLine="480"/>
        <w:rPr>
          <w:rFonts w:asciiTheme="minorHAnsi" w:eastAsiaTheme="minorEastAsia" w:hAnsiTheme="minorHAnsi" w:cstheme="minorBidi"/>
          <w:noProof/>
          <w:kern w:val="2"/>
          <w:sz w:val="21"/>
          <w:szCs w:val="22"/>
        </w:rPr>
      </w:pPr>
      <w:hyperlink w:anchor="_Toc101684353" w:history="1">
        <w:r w:rsidR="00344727" w:rsidRPr="00C16B96">
          <w:rPr>
            <w:rStyle w:val="afd"/>
            <w:rFonts w:ascii="Times New Roman" w:hAnsi="Times New Roman"/>
            <w:noProof/>
          </w:rPr>
          <w:t>2.5</w:t>
        </w:r>
        <w:r w:rsidR="00344727" w:rsidRPr="00C16B96">
          <w:rPr>
            <w:rStyle w:val="afd"/>
            <w:rFonts w:ascii="Times New Roman" w:hint="eastAsia"/>
            <w:noProof/>
          </w:rPr>
          <w:t xml:space="preserve"> </w:t>
        </w:r>
        <w:r w:rsidR="00344727" w:rsidRPr="00C16B96">
          <w:rPr>
            <w:rStyle w:val="afd"/>
            <w:rFonts w:ascii="Times New Roman" w:hint="eastAsia"/>
            <w:noProof/>
          </w:rPr>
          <w:t>外汇账户内结售汇数据</w:t>
        </w:r>
        <w:r w:rsidR="00344727">
          <w:rPr>
            <w:noProof/>
            <w:webHidden/>
          </w:rPr>
          <w:tab/>
        </w:r>
        <w:r w:rsidR="00A53BD0">
          <w:rPr>
            <w:noProof/>
            <w:webHidden/>
          </w:rPr>
          <w:fldChar w:fldCharType="begin"/>
        </w:r>
        <w:r w:rsidR="00344727">
          <w:rPr>
            <w:noProof/>
            <w:webHidden/>
          </w:rPr>
          <w:instrText xml:space="preserve"> PAGEREF _Toc101684353 \h </w:instrText>
        </w:r>
        <w:r w:rsidR="00A53BD0">
          <w:rPr>
            <w:noProof/>
            <w:webHidden/>
          </w:rPr>
        </w:r>
        <w:r w:rsidR="00A53BD0">
          <w:rPr>
            <w:noProof/>
            <w:webHidden/>
          </w:rPr>
          <w:fldChar w:fldCharType="separate"/>
        </w:r>
        <w:r w:rsidR="00E54F87">
          <w:rPr>
            <w:noProof/>
            <w:webHidden/>
          </w:rPr>
          <w:t>47</w:t>
        </w:r>
        <w:r w:rsidR="00A53BD0">
          <w:rPr>
            <w:noProof/>
            <w:webHidden/>
          </w:rPr>
          <w:fldChar w:fldCharType="end"/>
        </w:r>
      </w:hyperlink>
    </w:p>
    <w:p w14:paraId="397E249A" w14:textId="77777777" w:rsidR="00344727" w:rsidRDefault="003C2B32" w:rsidP="00344727">
      <w:pPr>
        <w:pStyle w:val="TOC2"/>
        <w:tabs>
          <w:tab w:val="right" w:leader="dot" w:pos="8296"/>
        </w:tabs>
        <w:ind w:firstLine="480"/>
        <w:rPr>
          <w:rFonts w:asciiTheme="minorHAnsi" w:eastAsiaTheme="minorEastAsia" w:hAnsiTheme="minorHAnsi" w:cstheme="minorBidi"/>
          <w:noProof/>
          <w:kern w:val="2"/>
          <w:sz w:val="21"/>
          <w:szCs w:val="22"/>
        </w:rPr>
      </w:pPr>
      <w:hyperlink w:anchor="_Toc101684354" w:history="1">
        <w:r w:rsidR="00344727" w:rsidRPr="00C16B96">
          <w:rPr>
            <w:rStyle w:val="afd"/>
            <w:rFonts w:ascii="Times New Roman" w:hAnsi="Times New Roman"/>
            <w:noProof/>
          </w:rPr>
          <w:t>2.6</w:t>
        </w:r>
        <w:r w:rsidR="00344727" w:rsidRPr="00C16B96">
          <w:rPr>
            <w:rStyle w:val="afd"/>
            <w:rFonts w:ascii="Times New Roman" w:hint="eastAsia"/>
            <w:noProof/>
          </w:rPr>
          <w:t xml:space="preserve"> </w:t>
        </w:r>
        <w:r w:rsidR="00344727" w:rsidRPr="00C16B96">
          <w:rPr>
            <w:rStyle w:val="afd"/>
            <w:rFonts w:ascii="Times New Roman" w:hint="eastAsia"/>
            <w:noProof/>
          </w:rPr>
          <w:t>银行自身资本项目业务数据</w:t>
        </w:r>
        <w:r w:rsidR="00344727">
          <w:rPr>
            <w:noProof/>
            <w:webHidden/>
          </w:rPr>
          <w:tab/>
        </w:r>
        <w:r w:rsidR="00A53BD0">
          <w:rPr>
            <w:noProof/>
            <w:webHidden/>
          </w:rPr>
          <w:fldChar w:fldCharType="begin"/>
        </w:r>
        <w:r w:rsidR="00344727">
          <w:rPr>
            <w:noProof/>
            <w:webHidden/>
          </w:rPr>
          <w:instrText xml:space="preserve"> PAGEREF _Toc101684354 \h </w:instrText>
        </w:r>
        <w:r w:rsidR="00A53BD0">
          <w:rPr>
            <w:noProof/>
            <w:webHidden/>
          </w:rPr>
        </w:r>
        <w:r w:rsidR="00A53BD0">
          <w:rPr>
            <w:noProof/>
            <w:webHidden/>
          </w:rPr>
          <w:fldChar w:fldCharType="separate"/>
        </w:r>
        <w:r w:rsidR="00E54F87">
          <w:rPr>
            <w:noProof/>
            <w:webHidden/>
          </w:rPr>
          <w:t>47</w:t>
        </w:r>
        <w:r w:rsidR="00A53BD0">
          <w:rPr>
            <w:noProof/>
            <w:webHidden/>
          </w:rPr>
          <w:fldChar w:fldCharType="end"/>
        </w:r>
      </w:hyperlink>
    </w:p>
    <w:p w14:paraId="374EF605"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355" w:history="1">
        <w:r w:rsidR="00344727" w:rsidRPr="00C16B96">
          <w:rPr>
            <w:rStyle w:val="afd"/>
            <w:rFonts w:ascii="Times New Roman" w:hAnsi="Times New Roman"/>
            <w:noProof/>
          </w:rPr>
          <w:t>2.6.1</w:t>
        </w:r>
        <w:r w:rsidR="00344727" w:rsidRPr="00C16B96">
          <w:rPr>
            <w:rStyle w:val="afd"/>
            <w:rFonts w:ascii="Times New Roman" w:hint="eastAsia"/>
            <w:noProof/>
          </w:rPr>
          <w:t xml:space="preserve"> </w:t>
        </w:r>
        <w:r w:rsidR="00344727" w:rsidRPr="00C16B96">
          <w:rPr>
            <w:rStyle w:val="afd"/>
            <w:rFonts w:ascii="Times New Roman" w:hint="eastAsia"/>
            <w:noProof/>
          </w:rPr>
          <w:t>外债</w:t>
        </w:r>
        <w:r w:rsidR="00344727">
          <w:rPr>
            <w:noProof/>
            <w:webHidden/>
          </w:rPr>
          <w:tab/>
        </w:r>
        <w:r w:rsidR="00A53BD0">
          <w:rPr>
            <w:noProof/>
            <w:webHidden/>
          </w:rPr>
          <w:fldChar w:fldCharType="begin"/>
        </w:r>
        <w:r w:rsidR="00344727">
          <w:rPr>
            <w:noProof/>
            <w:webHidden/>
          </w:rPr>
          <w:instrText xml:space="preserve"> PAGEREF _Toc101684355 \h </w:instrText>
        </w:r>
        <w:r w:rsidR="00A53BD0">
          <w:rPr>
            <w:noProof/>
            <w:webHidden/>
          </w:rPr>
        </w:r>
        <w:r w:rsidR="00A53BD0">
          <w:rPr>
            <w:noProof/>
            <w:webHidden/>
          </w:rPr>
          <w:fldChar w:fldCharType="separate"/>
        </w:r>
        <w:r w:rsidR="00E54F87">
          <w:rPr>
            <w:noProof/>
            <w:webHidden/>
          </w:rPr>
          <w:t>47</w:t>
        </w:r>
        <w:r w:rsidR="00A53BD0">
          <w:rPr>
            <w:noProof/>
            <w:webHidden/>
          </w:rPr>
          <w:fldChar w:fldCharType="end"/>
        </w:r>
      </w:hyperlink>
    </w:p>
    <w:p w14:paraId="6B4101FE"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356" w:history="1">
        <w:r w:rsidR="00344727" w:rsidRPr="00C16B96">
          <w:rPr>
            <w:rStyle w:val="afd"/>
            <w:rFonts w:ascii="Times New Roman" w:hAnsi="Times New Roman"/>
            <w:noProof/>
          </w:rPr>
          <w:t>2.6.2</w:t>
        </w:r>
        <w:r w:rsidR="00344727" w:rsidRPr="00C16B96">
          <w:rPr>
            <w:rStyle w:val="afd"/>
            <w:rFonts w:ascii="Times New Roman" w:hint="eastAsia"/>
            <w:noProof/>
          </w:rPr>
          <w:t xml:space="preserve"> </w:t>
        </w:r>
        <w:r w:rsidR="00344727" w:rsidRPr="00C16B96">
          <w:rPr>
            <w:rStyle w:val="afd"/>
            <w:rFonts w:ascii="Times New Roman" w:hint="eastAsia"/>
            <w:noProof/>
          </w:rPr>
          <w:t>对外担保</w:t>
        </w:r>
        <w:r w:rsidR="00344727">
          <w:rPr>
            <w:noProof/>
            <w:webHidden/>
          </w:rPr>
          <w:tab/>
        </w:r>
        <w:r w:rsidR="00A53BD0">
          <w:rPr>
            <w:noProof/>
            <w:webHidden/>
          </w:rPr>
          <w:fldChar w:fldCharType="begin"/>
        </w:r>
        <w:r w:rsidR="00344727">
          <w:rPr>
            <w:noProof/>
            <w:webHidden/>
          </w:rPr>
          <w:instrText xml:space="preserve"> PAGEREF _Toc101684356 \h </w:instrText>
        </w:r>
        <w:r w:rsidR="00A53BD0">
          <w:rPr>
            <w:noProof/>
            <w:webHidden/>
          </w:rPr>
        </w:r>
        <w:r w:rsidR="00A53BD0">
          <w:rPr>
            <w:noProof/>
            <w:webHidden/>
          </w:rPr>
          <w:fldChar w:fldCharType="separate"/>
        </w:r>
        <w:r w:rsidR="00E54F87">
          <w:rPr>
            <w:noProof/>
            <w:webHidden/>
          </w:rPr>
          <w:t>50</w:t>
        </w:r>
        <w:r w:rsidR="00A53BD0">
          <w:rPr>
            <w:noProof/>
            <w:webHidden/>
          </w:rPr>
          <w:fldChar w:fldCharType="end"/>
        </w:r>
      </w:hyperlink>
    </w:p>
    <w:p w14:paraId="37F667DB"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357" w:history="1">
        <w:r w:rsidR="00344727" w:rsidRPr="00C16B96">
          <w:rPr>
            <w:rStyle w:val="afd"/>
            <w:rFonts w:ascii="Times New Roman" w:hAnsi="Times New Roman"/>
            <w:noProof/>
          </w:rPr>
          <w:t>2.6.3</w:t>
        </w:r>
        <w:r w:rsidR="00344727" w:rsidRPr="00C16B96">
          <w:rPr>
            <w:rStyle w:val="afd"/>
            <w:rFonts w:ascii="Times New Roman" w:hint="eastAsia"/>
            <w:noProof/>
          </w:rPr>
          <w:t xml:space="preserve"> </w:t>
        </w:r>
        <w:r w:rsidR="00344727" w:rsidRPr="00C16B96">
          <w:rPr>
            <w:rStyle w:val="afd"/>
            <w:rFonts w:ascii="Times New Roman" w:hint="eastAsia"/>
            <w:noProof/>
          </w:rPr>
          <w:t>国内外汇贷款</w:t>
        </w:r>
        <w:r w:rsidR="00344727">
          <w:rPr>
            <w:noProof/>
            <w:webHidden/>
          </w:rPr>
          <w:tab/>
        </w:r>
        <w:r w:rsidR="00A53BD0">
          <w:rPr>
            <w:noProof/>
            <w:webHidden/>
          </w:rPr>
          <w:fldChar w:fldCharType="begin"/>
        </w:r>
        <w:r w:rsidR="00344727">
          <w:rPr>
            <w:noProof/>
            <w:webHidden/>
          </w:rPr>
          <w:instrText xml:space="preserve"> PAGEREF _Toc101684357 \h </w:instrText>
        </w:r>
        <w:r w:rsidR="00A53BD0">
          <w:rPr>
            <w:noProof/>
            <w:webHidden/>
          </w:rPr>
        </w:r>
        <w:r w:rsidR="00A53BD0">
          <w:rPr>
            <w:noProof/>
            <w:webHidden/>
          </w:rPr>
          <w:fldChar w:fldCharType="separate"/>
        </w:r>
        <w:r w:rsidR="00E54F87">
          <w:rPr>
            <w:noProof/>
            <w:webHidden/>
          </w:rPr>
          <w:t>51</w:t>
        </w:r>
        <w:r w:rsidR="00A53BD0">
          <w:rPr>
            <w:noProof/>
            <w:webHidden/>
          </w:rPr>
          <w:fldChar w:fldCharType="end"/>
        </w:r>
      </w:hyperlink>
    </w:p>
    <w:p w14:paraId="02FB1CB2"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358" w:history="1">
        <w:r w:rsidR="00344727" w:rsidRPr="00C16B96">
          <w:rPr>
            <w:rStyle w:val="afd"/>
            <w:rFonts w:ascii="Times New Roman" w:hAnsi="Times New Roman"/>
            <w:noProof/>
          </w:rPr>
          <w:t>2.6.4</w:t>
        </w:r>
        <w:r w:rsidR="00344727" w:rsidRPr="00C16B96">
          <w:rPr>
            <w:rStyle w:val="afd"/>
            <w:rFonts w:ascii="Times New Roman" w:hint="eastAsia"/>
            <w:noProof/>
          </w:rPr>
          <w:t xml:space="preserve"> </w:t>
        </w:r>
        <w:r w:rsidR="00344727" w:rsidRPr="00C16B96">
          <w:rPr>
            <w:rStyle w:val="afd"/>
            <w:rFonts w:ascii="Times New Roman" w:hint="eastAsia"/>
            <w:noProof/>
          </w:rPr>
          <w:t>外保内贷</w:t>
        </w:r>
        <w:r w:rsidR="00344727">
          <w:rPr>
            <w:noProof/>
            <w:webHidden/>
          </w:rPr>
          <w:tab/>
        </w:r>
        <w:r w:rsidR="00A53BD0">
          <w:rPr>
            <w:noProof/>
            <w:webHidden/>
          </w:rPr>
          <w:fldChar w:fldCharType="begin"/>
        </w:r>
        <w:r w:rsidR="00344727">
          <w:rPr>
            <w:noProof/>
            <w:webHidden/>
          </w:rPr>
          <w:instrText xml:space="preserve"> PAGEREF _Toc101684358 \h </w:instrText>
        </w:r>
        <w:r w:rsidR="00A53BD0">
          <w:rPr>
            <w:noProof/>
            <w:webHidden/>
          </w:rPr>
        </w:r>
        <w:r w:rsidR="00A53BD0">
          <w:rPr>
            <w:noProof/>
            <w:webHidden/>
          </w:rPr>
          <w:fldChar w:fldCharType="separate"/>
        </w:r>
        <w:r w:rsidR="00E54F87">
          <w:rPr>
            <w:noProof/>
            <w:webHidden/>
          </w:rPr>
          <w:t>51</w:t>
        </w:r>
        <w:r w:rsidR="00A53BD0">
          <w:rPr>
            <w:noProof/>
            <w:webHidden/>
          </w:rPr>
          <w:fldChar w:fldCharType="end"/>
        </w:r>
      </w:hyperlink>
    </w:p>
    <w:p w14:paraId="76888DDC"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359" w:history="1">
        <w:r w:rsidR="00344727" w:rsidRPr="00C16B96">
          <w:rPr>
            <w:rStyle w:val="afd"/>
            <w:rFonts w:ascii="Times New Roman" w:hAnsi="Times New Roman"/>
            <w:noProof/>
          </w:rPr>
          <w:t>2.6.5</w:t>
        </w:r>
        <w:r w:rsidR="00344727" w:rsidRPr="00C16B96">
          <w:rPr>
            <w:rStyle w:val="afd"/>
            <w:rFonts w:ascii="Times New Roman" w:hint="eastAsia"/>
            <w:noProof/>
          </w:rPr>
          <w:t xml:space="preserve"> </w:t>
        </w:r>
        <w:r w:rsidR="00344727" w:rsidRPr="00C16B96">
          <w:rPr>
            <w:rStyle w:val="afd"/>
            <w:rFonts w:ascii="Times New Roman" w:hint="eastAsia"/>
            <w:noProof/>
          </w:rPr>
          <w:t>外汇质押人民币贷款</w:t>
        </w:r>
        <w:r w:rsidR="00344727">
          <w:rPr>
            <w:noProof/>
            <w:webHidden/>
          </w:rPr>
          <w:tab/>
        </w:r>
        <w:r w:rsidR="00A53BD0">
          <w:rPr>
            <w:noProof/>
            <w:webHidden/>
          </w:rPr>
          <w:fldChar w:fldCharType="begin"/>
        </w:r>
        <w:r w:rsidR="00344727">
          <w:rPr>
            <w:noProof/>
            <w:webHidden/>
          </w:rPr>
          <w:instrText xml:space="preserve"> PAGEREF _Toc101684359 \h </w:instrText>
        </w:r>
        <w:r w:rsidR="00A53BD0">
          <w:rPr>
            <w:noProof/>
            <w:webHidden/>
          </w:rPr>
        </w:r>
        <w:r w:rsidR="00A53BD0">
          <w:rPr>
            <w:noProof/>
            <w:webHidden/>
          </w:rPr>
          <w:fldChar w:fldCharType="separate"/>
        </w:r>
        <w:r w:rsidR="00E54F87">
          <w:rPr>
            <w:noProof/>
            <w:webHidden/>
          </w:rPr>
          <w:t>51</w:t>
        </w:r>
        <w:r w:rsidR="00A53BD0">
          <w:rPr>
            <w:noProof/>
            <w:webHidden/>
          </w:rPr>
          <w:fldChar w:fldCharType="end"/>
        </w:r>
      </w:hyperlink>
    </w:p>
    <w:p w14:paraId="6FB72FC6"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360" w:history="1">
        <w:r w:rsidR="00344727" w:rsidRPr="00C16B96">
          <w:rPr>
            <w:rStyle w:val="afd"/>
            <w:rFonts w:ascii="Times New Roman" w:hAnsi="Times New Roman"/>
            <w:noProof/>
          </w:rPr>
          <w:t>2.6.6</w:t>
        </w:r>
        <w:r w:rsidR="00344727" w:rsidRPr="00C16B96">
          <w:rPr>
            <w:rStyle w:val="afd"/>
            <w:rFonts w:ascii="Times New Roman" w:hint="eastAsia"/>
            <w:noProof/>
          </w:rPr>
          <w:t xml:space="preserve"> </w:t>
        </w:r>
        <w:r w:rsidR="00344727" w:rsidRPr="00C16B96">
          <w:rPr>
            <w:rStyle w:val="afd"/>
            <w:rFonts w:ascii="Times New Roman" w:hint="eastAsia"/>
            <w:noProof/>
          </w:rPr>
          <w:t>商业银行人民币结构性存款</w:t>
        </w:r>
        <w:r w:rsidR="00344727">
          <w:rPr>
            <w:noProof/>
            <w:webHidden/>
          </w:rPr>
          <w:tab/>
        </w:r>
        <w:r w:rsidR="00A53BD0">
          <w:rPr>
            <w:noProof/>
            <w:webHidden/>
          </w:rPr>
          <w:fldChar w:fldCharType="begin"/>
        </w:r>
        <w:r w:rsidR="00344727">
          <w:rPr>
            <w:noProof/>
            <w:webHidden/>
          </w:rPr>
          <w:instrText xml:space="preserve"> PAGEREF _Toc101684360 \h </w:instrText>
        </w:r>
        <w:r w:rsidR="00A53BD0">
          <w:rPr>
            <w:noProof/>
            <w:webHidden/>
          </w:rPr>
        </w:r>
        <w:r w:rsidR="00A53BD0">
          <w:rPr>
            <w:noProof/>
            <w:webHidden/>
          </w:rPr>
          <w:fldChar w:fldCharType="separate"/>
        </w:r>
        <w:r w:rsidR="00E54F87">
          <w:rPr>
            <w:noProof/>
            <w:webHidden/>
          </w:rPr>
          <w:t>51</w:t>
        </w:r>
        <w:r w:rsidR="00A53BD0">
          <w:rPr>
            <w:noProof/>
            <w:webHidden/>
          </w:rPr>
          <w:fldChar w:fldCharType="end"/>
        </w:r>
      </w:hyperlink>
    </w:p>
    <w:p w14:paraId="61B0C3A0"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361" w:history="1">
        <w:r w:rsidR="00344727" w:rsidRPr="00C16B96">
          <w:rPr>
            <w:rStyle w:val="afd"/>
            <w:rFonts w:ascii="Times New Roman" w:hAnsi="Times New Roman"/>
            <w:noProof/>
          </w:rPr>
          <w:t>2.6.7</w:t>
        </w:r>
        <w:r w:rsidR="00344727" w:rsidRPr="00C16B96">
          <w:rPr>
            <w:rStyle w:val="afd"/>
            <w:rFonts w:ascii="Times New Roman" w:hint="eastAsia"/>
            <w:noProof/>
          </w:rPr>
          <w:t xml:space="preserve"> </w:t>
        </w:r>
        <w:r w:rsidR="00344727" w:rsidRPr="00C16B96">
          <w:rPr>
            <w:rStyle w:val="afd"/>
            <w:rFonts w:ascii="Times New Roman" w:hint="eastAsia"/>
            <w:noProof/>
          </w:rPr>
          <w:t>银行月度外汇资产负债信息</w:t>
        </w:r>
        <w:r w:rsidR="00344727">
          <w:rPr>
            <w:noProof/>
            <w:webHidden/>
          </w:rPr>
          <w:tab/>
        </w:r>
        <w:r w:rsidR="00A53BD0">
          <w:rPr>
            <w:noProof/>
            <w:webHidden/>
          </w:rPr>
          <w:fldChar w:fldCharType="begin"/>
        </w:r>
        <w:r w:rsidR="00344727">
          <w:rPr>
            <w:noProof/>
            <w:webHidden/>
          </w:rPr>
          <w:instrText xml:space="preserve"> PAGEREF _Toc101684361 \h </w:instrText>
        </w:r>
        <w:r w:rsidR="00A53BD0">
          <w:rPr>
            <w:noProof/>
            <w:webHidden/>
          </w:rPr>
        </w:r>
        <w:r w:rsidR="00A53BD0">
          <w:rPr>
            <w:noProof/>
            <w:webHidden/>
          </w:rPr>
          <w:fldChar w:fldCharType="separate"/>
        </w:r>
        <w:r w:rsidR="00E54F87">
          <w:rPr>
            <w:noProof/>
            <w:webHidden/>
          </w:rPr>
          <w:t>52</w:t>
        </w:r>
        <w:r w:rsidR="00A53BD0">
          <w:rPr>
            <w:noProof/>
            <w:webHidden/>
          </w:rPr>
          <w:fldChar w:fldCharType="end"/>
        </w:r>
      </w:hyperlink>
    </w:p>
    <w:p w14:paraId="554DC556" w14:textId="77777777" w:rsidR="00344727" w:rsidRDefault="003C2B32" w:rsidP="00344727">
      <w:pPr>
        <w:pStyle w:val="TOC2"/>
        <w:tabs>
          <w:tab w:val="right" w:leader="dot" w:pos="8296"/>
        </w:tabs>
        <w:ind w:firstLine="480"/>
        <w:rPr>
          <w:rFonts w:asciiTheme="minorHAnsi" w:eastAsiaTheme="minorEastAsia" w:hAnsiTheme="minorHAnsi" w:cstheme="minorBidi"/>
          <w:noProof/>
          <w:kern w:val="2"/>
          <w:sz w:val="21"/>
          <w:szCs w:val="22"/>
        </w:rPr>
      </w:pPr>
      <w:hyperlink w:anchor="_Toc101684362" w:history="1">
        <w:r w:rsidR="00344727" w:rsidRPr="00C16B96">
          <w:rPr>
            <w:rStyle w:val="afd"/>
            <w:rFonts w:ascii="Times New Roman" w:hAnsi="Times New Roman"/>
            <w:noProof/>
          </w:rPr>
          <w:t>2.7</w:t>
        </w:r>
        <w:r w:rsidR="00344727" w:rsidRPr="00C16B96">
          <w:rPr>
            <w:rStyle w:val="afd"/>
            <w:rFonts w:ascii="Times New Roman" w:hint="eastAsia"/>
            <w:noProof/>
          </w:rPr>
          <w:t xml:space="preserve"> </w:t>
        </w:r>
        <w:r w:rsidR="00344727" w:rsidRPr="00C16B96">
          <w:rPr>
            <w:rStyle w:val="afd"/>
            <w:rFonts w:ascii="Times New Roman" w:hint="eastAsia"/>
            <w:noProof/>
          </w:rPr>
          <w:t>银行资本项目代客业务数据</w:t>
        </w:r>
        <w:r w:rsidR="00344727">
          <w:rPr>
            <w:noProof/>
            <w:webHidden/>
          </w:rPr>
          <w:tab/>
        </w:r>
        <w:r w:rsidR="00A53BD0">
          <w:rPr>
            <w:noProof/>
            <w:webHidden/>
          </w:rPr>
          <w:fldChar w:fldCharType="begin"/>
        </w:r>
        <w:r w:rsidR="00344727">
          <w:rPr>
            <w:noProof/>
            <w:webHidden/>
          </w:rPr>
          <w:instrText xml:space="preserve"> PAGEREF _Toc101684362 \h </w:instrText>
        </w:r>
        <w:r w:rsidR="00A53BD0">
          <w:rPr>
            <w:noProof/>
            <w:webHidden/>
          </w:rPr>
        </w:r>
        <w:r w:rsidR="00A53BD0">
          <w:rPr>
            <w:noProof/>
            <w:webHidden/>
          </w:rPr>
          <w:fldChar w:fldCharType="separate"/>
        </w:r>
        <w:r w:rsidR="00E54F87">
          <w:rPr>
            <w:noProof/>
            <w:webHidden/>
          </w:rPr>
          <w:t>52</w:t>
        </w:r>
        <w:r w:rsidR="00A53BD0">
          <w:rPr>
            <w:noProof/>
            <w:webHidden/>
          </w:rPr>
          <w:fldChar w:fldCharType="end"/>
        </w:r>
      </w:hyperlink>
    </w:p>
    <w:p w14:paraId="239869E2"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363" w:history="1">
        <w:r w:rsidR="00344727" w:rsidRPr="00C16B96">
          <w:rPr>
            <w:rStyle w:val="afd"/>
            <w:rFonts w:ascii="Times New Roman" w:hAnsi="Times New Roman"/>
            <w:noProof/>
          </w:rPr>
          <w:t>2.7.1</w:t>
        </w:r>
        <w:r w:rsidR="00344727" w:rsidRPr="00C16B96">
          <w:rPr>
            <w:rStyle w:val="afd"/>
            <w:rFonts w:ascii="Times New Roman" w:hint="eastAsia"/>
            <w:noProof/>
          </w:rPr>
          <w:t xml:space="preserve"> </w:t>
        </w:r>
        <w:r w:rsidR="00344727" w:rsidRPr="00C16B96">
          <w:rPr>
            <w:rStyle w:val="afd"/>
            <w:rFonts w:ascii="Times New Roman" w:hint="eastAsia"/>
            <w:noProof/>
          </w:rPr>
          <w:t>境内个人参与境外上市公司股权激励计划</w:t>
        </w:r>
        <w:r w:rsidR="00344727">
          <w:rPr>
            <w:noProof/>
            <w:webHidden/>
          </w:rPr>
          <w:tab/>
        </w:r>
        <w:r w:rsidR="00A53BD0">
          <w:rPr>
            <w:noProof/>
            <w:webHidden/>
          </w:rPr>
          <w:fldChar w:fldCharType="begin"/>
        </w:r>
        <w:r w:rsidR="00344727">
          <w:rPr>
            <w:noProof/>
            <w:webHidden/>
          </w:rPr>
          <w:instrText xml:space="preserve"> PAGEREF _Toc101684363 \h </w:instrText>
        </w:r>
        <w:r w:rsidR="00A53BD0">
          <w:rPr>
            <w:noProof/>
            <w:webHidden/>
          </w:rPr>
        </w:r>
        <w:r w:rsidR="00A53BD0">
          <w:rPr>
            <w:noProof/>
            <w:webHidden/>
          </w:rPr>
          <w:fldChar w:fldCharType="separate"/>
        </w:r>
        <w:r w:rsidR="00E54F87">
          <w:rPr>
            <w:noProof/>
            <w:webHidden/>
          </w:rPr>
          <w:t>52</w:t>
        </w:r>
        <w:r w:rsidR="00A53BD0">
          <w:rPr>
            <w:noProof/>
            <w:webHidden/>
          </w:rPr>
          <w:fldChar w:fldCharType="end"/>
        </w:r>
      </w:hyperlink>
    </w:p>
    <w:p w14:paraId="2922BD53" w14:textId="77777777" w:rsidR="00344727" w:rsidRDefault="003C2B32" w:rsidP="00344727">
      <w:pPr>
        <w:pStyle w:val="TOC2"/>
        <w:tabs>
          <w:tab w:val="right" w:leader="dot" w:pos="8296"/>
        </w:tabs>
        <w:ind w:firstLine="480"/>
        <w:rPr>
          <w:rFonts w:asciiTheme="minorHAnsi" w:eastAsiaTheme="minorEastAsia" w:hAnsiTheme="minorHAnsi" w:cstheme="minorBidi"/>
          <w:noProof/>
          <w:kern w:val="2"/>
          <w:sz w:val="21"/>
          <w:szCs w:val="22"/>
        </w:rPr>
      </w:pPr>
      <w:hyperlink w:anchor="_Toc101684364" w:history="1">
        <w:r w:rsidR="00344727" w:rsidRPr="00C16B96">
          <w:rPr>
            <w:rStyle w:val="afd"/>
            <w:rFonts w:ascii="Times New Roman" w:hAnsi="Times New Roman"/>
            <w:noProof/>
          </w:rPr>
          <w:t>2.8</w:t>
        </w:r>
        <w:r w:rsidR="00344727" w:rsidRPr="00C16B96">
          <w:rPr>
            <w:rStyle w:val="afd"/>
            <w:rFonts w:ascii="Times New Roman" w:hint="eastAsia"/>
            <w:noProof/>
          </w:rPr>
          <w:t xml:space="preserve"> </w:t>
        </w:r>
        <w:r w:rsidR="00344727" w:rsidRPr="00C16B96">
          <w:rPr>
            <w:rStyle w:val="afd"/>
            <w:rFonts w:ascii="Times New Roman" w:hint="eastAsia"/>
            <w:noProof/>
          </w:rPr>
          <w:t>对外金融资产负债及交易统计数据</w:t>
        </w:r>
        <w:r w:rsidR="00344727">
          <w:rPr>
            <w:noProof/>
            <w:webHidden/>
          </w:rPr>
          <w:tab/>
        </w:r>
        <w:r w:rsidR="00A53BD0">
          <w:rPr>
            <w:noProof/>
            <w:webHidden/>
          </w:rPr>
          <w:fldChar w:fldCharType="begin"/>
        </w:r>
        <w:r w:rsidR="00344727">
          <w:rPr>
            <w:noProof/>
            <w:webHidden/>
          </w:rPr>
          <w:instrText xml:space="preserve"> PAGEREF _Toc101684364 \h </w:instrText>
        </w:r>
        <w:r w:rsidR="00A53BD0">
          <w:rPr>
            <w:noProof/>
            <w:webHidden/>
          </w:rPr>
        </w:r>
        <w:r w:rsidR="00A53BD0">
          <w:rPr>
            <w:noProof/>
            <w:webHidden/>
          </w:rPr>
          <w:fldChar w:fldCharType="separate"/>
        </w:r>
        <w:r w:rsidR="00E54F87">
          <w:rPr>
            <w:noProof/>
            <w:webHidden/>
          </w:rPr>
          <w:t>52</w:t>
        </w:r>
        <w:r w:rsidR="00A53BD0">
          <w:rPr>
            <w:noProof/>
            <w:webHidden/>
          </w:rPr>
          <w:fldChar w:fldCharType="end"/>
        </w:r>
      </w:hyperlink>
    </w:p>
    <w:p w14:paraId="34C5D1CD"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365" w:history="1">
        <w:r w:rsidR="00344727" w:rsidRPr="00C16B96">
          <w:rPr>
            <w:rStyle w:val="afd"/>
            <w:rFonts w:ascii="Times New Roman" w:hAnsi="Times New Roman"/>
            <w:noProof/>
          </w:rPr>
          <w:t>2.8.1</w:t>
        </w:r>
        <w:r w:rsidR="00344727" w:rsidRPr="00C16B96">
          <w:rPr>
            <w:rStyle w:val="afd"/>
            <w:rFonts w:hint="eastAsia"/>
            <w:noProof/>
          </w:rPr>
          <w:t xml:space="preserve"> </w:t>
        </w:r>
        <w:r w:rsidR="00344727" w:rsidRPr="00C16B96">
          <w:rPr>
            <w:rStyle w:val="afd"/>
            <w:rFonts w:hint="eastAsia"/>
            <w:noProof/>
          </w:rPr>
          <w:t>数据采集范围</w:t>
        </w:r>
        <w:r w:rsidR="00344727">
          <w:rPr>
            <w:noProof/>
            <w:webHidden/>
          </w:rPr>
          <w:tab/>
        </w:r>
        <w:r w:rsidR="00A53BD0">
          <w:rPr>
            <w:noProof/>
            <w:webHidden/>
          </w:rPr>
          <w:fldChar w:fldCharType="begin"/>
        </w:r>
        <w:r w:rsidR="00344727">
          <w:rPr>
            <w:noProof/>
            <w:webHidden/>
          </w:rPr>
          <w:instrText xml:space="preserve"> PAGEREF _Toc101684365 \h </w:instrText>
        </w:r>
        <w:r w:rsidR="00A53BD0">
          <w:rPr>
            <w:noProof/>
            <w:webHidden/>
          </w:rPr>
        </w:r>
        <w:r w:rsidR="00A53BD0">
          <w:rPr>
            <w:noProof/>
            <w:webHidden/>
          </w:rPr>
          <w:fldChar w:fldCharType="separate"/>
        </w:r>
        <w:r w:rsidR="00E54F87">
          <w:rPr>
            <w:noProof/>
            <w:webHidden/>
          </w:rPr>
          <w:t>52</w:t>
        </w:r>
        <w:r w:rsidR="00A53BD0">
          <w:rPr>
            <w:noProof/>
            <w:webHidden/>
          </w:rPr>
          <w:fldChar w:fldCharType="end"/>
        </w:r>
      </w:hyperlink>
    </w:p>
    <w:p w14:paraId="240E653D"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366" w:history="1">
        <w:r w:rsidR="00344727" w:rsidRPr="00C16B96">
          <w:rPr>
            <w:rStyle w:val="afd"/>
            <w:rFonts w:ascii="Times New Roman" w:hAnsi="Times New Roman"/>
            <w:noProof/>
          </w:rPr>
          <w:t>2.8.2</w:t>
        </w:r>
        <w:r w:rsidR="00344727" w:rsidRPr="00C16B96">
          <w:rPr>
            <w:rStyle w:val="afd"/>
            <w:rFonts w:ascii="Times New Roman" w:hint="eastAsia"/>
            <w:noProof/>
          </w:rPr>
          <w:t xml:space="preserve"> </w:t>
        </w:r>
        <w:r w:rsidR="00344727" w:rsidRPr="00C16B96">
          <w:rPr>
            <w:rStyle w:val="afd"/>
            <w:rFonts w:ascii="Times New Roman" w:hint="eastAsia"/>
            <w:noProof/>
          </w:rPr>
          <w:t>申报主体基本信息</w:t>
        </w:r>
        <w:r w:rsidR="00344727">
          <w:rPr>
            <w:noProof/>
            <w:webHidden/>
          </w:rPr>
          <w:tab/>
        </w:r>
        <w:r w:rsidR="00A53BD0">
          <w:rPr>
            <w:noProof/>
            <w:webHidden/>
          </w:rPr>
          <w:fldChar w:fldCharType="begin"/>
        </w:r>
        <w:r w:rsidR="00344727">
          <w:rPr>
            <w:noProof/>
            <w:webHidden/>
          </w:rPr>
          <w:instrText xml:space="preserve"> PAGEREF _Toc101684366 \h </w:instrText>
        </w:r>
        <w:r w:rsidR="00A53BD0">
          <w:rPr>
            <w:noProof/>
            <w:webHidden/>
          </w:rPr>
        </w:r>
        <w:r w:rsidR="00A53BD0">
          <w:rPr>
            <w:noProof/>
            <w:webHidden/>
          </w:rPr>
          <w:fldChar w:fldCharType="separate"/>
        </w:r>
        <w:r w:rsidR="00E54F87">
          <w:rPr>
            <w:noProof/>
            <w:webHidden/>
          </w:rPr>
          <w:t>53</w:t>
        </w:r>
        <w:r w:rsidR="00A53BD0">
          <w:rPr>
            <w:noProof/>
            <w:webHidden/>
          </w:rPr>
          <w:fldChar w:fldCharType="end"/>
        </w:r>
      </w:hyperlink>
    </w:p>
    <w:p w14:paraId="574E9EBD"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367" w:history="1">
        <w:r w:rsidR="00344727" w:rsidRPr="00C16B96">
          <w:rPr>
            <w:rStyle w:val="afd"/>
            <w:rFonts w:ascii="Times New Roman" w:hAnsi="Times New Roman"/>
            <w:noProof/>
          </w:rPr>
          <w:t>2.8.3</w:t>
        </w:r>
        <w:r w:rsidR="00344727" w:rsidRPr="00C16B96">
          <w:rPr>
            <w:rStyle w:val="afd"/>
            <w:rFonts w:ascii="Times New Roman" w:hint="eastAsia"/>
            <w:noProof/>
          </w:rPr>
          <w:t xml:space="preserve"> </w:t>
        </w:r>
        <w:r w:rsidR="00344727" w:rsidRPr="00C16B96">
          <w:rPr>
            <w:rStyle w:val="afd"/>
            <w:rFonts w:ascii="Times New Roman" w:hint="eastAsia"/>
            <w:noProof/>
          </w:rPr>
          <w:t>直接投资</w:t>
        </w:r>
        <w:r w:rsidR="00344727">
          <w:rPr>
            <w:noProof/>
            <w:webHidden/>
          </w:rPr>
          <w:tab/>
        </w:r>
        <w:r w:rsidR="00A53BD0">
          <w:rPr>
            <w:noProof/>
            <w:webHidden/>
          </w:rPr>
          <w:fldChar w:fldCharType="begin"/>
        </w:r>
        <w:r w:rsidR="00344727">
          <w:rPr>
            <w:noProof/>
            <w:webHidden/>
          </w:rPr>
          <w:instrText xml:space="preserve"> PAGEREF _Toc101684367 \h </w:instrText>
        </w:r>
        <w:r w:rsidR="00A53BD0">
          <w:rPr>
            <w:noProof/>
            <w:webHidden/>
          </w:rPr>
        </w:r>
        <w:r w:rsidR="00A53BD0">
          <w:rPr>
            <w:noProof/>
            <w:webHidden/>
          </w:rPr>
          <w:fldChar w:fldCharType="separate"/>
        </w:r>
        <w:r w:rsidR="00E54F87">
          <w:rPr>
            <w:noProof/>
            <w:webHidden/>
          </w:rPr>
          <w:t>54</w:t>
        </w:r>
        <w:r w:rsidR="00A53BD0">
          <w:rPr>
            <w:noProof/>
            <w:webHidden/>
          </w:rPr>
          <w:fldChar w:fldCharType="end"/>
        </w:r>
      </w:hyperlink>
    </w:p>
    <w:p w14:paraId="7E2CA0BB"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368" w:history="1">
        <w:r w:rsidR="00344727" w:rsidRPr="00C16B96">
          <w:rPr>
            <w:rStyle w:val="afd"/>
            <w:rFonts w:ascii="Times New Roman" w:hAnsi="Times New Roman"/>
            <w:noProof/>
          </w:rPr>
          <w:t>2.8.4</w:t>
        </w:r>
        <w:r w:rsidR="00344727" w:rsidRPr="00C16B96">
          <w:rPr>
            <w:rStyle w:val="afd"/>
            <w:rFonts w:ascii="Times New Roman" w:hint="eastAsia"/>
            <w:noProof/>
          </w:rPr>
          <w:t xml:space="preserve"> </w:t>
        </w:r>
        <w:r w:rsidR="00344727" w:rsidRPr="00C16B96">
          <w:rPr>
            <w:rStyle w:val="afd"/>
            <w:rFonts w:ascii="Times New Roman" w:hint="eastAsia"/>
            <w:noProof/>
          </w:rPr>
          <w:t>证券投资</w:t>
        </w:r>
        <w:r w:rsidR="00344727">
          <w:rPr>
            <w:noProof/>
            <w:webHidden/>
          </w:rPr>
          <w:tab/>
        </w:r>
        <w:r w:rsidR="00A53BD0">
          <w:rPr>
            <w:noProof/>
            <w:webHidden/>
          </w:rPr>
          <w:fldChar w:fldCharType="begin"/>
        </w:r>
        <w:r w:rsidR="00344727">
          <w:rPr>
            <w:noProof/>
            <w:webHidden/>
          </w:rPr>
          <w:instrText xml:space="preserve"> PAGEREF _Toc101684368 \h </w:instrText>
        </w:r>
        <w:r w:rsidR="00A53BD0">
          <w:rPr>
            <w:noProof/>
            <w:webHidden/>
          </w:rPr>
        </w:r>
        <w:r w:rsidR="00A53BD0">
          <w:rPr>
            <w:noProof/>
            <w:webHidden/>
          </w:rPr>
          <w:fldChar w:fldCharType="separate"/>
        </w:r>
        <w:r w:rsidR="00E54F87">
          <w:rPr>
            <w:noProof/>
            <w:webHidden/>
          </w:rPr>
          <w:t>55</w:t>
        </w:r>
        <w:r w:rsidR="00A53BD0">
          <w:rPr>
            <w:noProof/>
            <w:webHidden/>
          </w:rPr>
          <w:fldChar w:fldCharType="end"/>
        </w:r>
      </w:hyperlink>
    </w:p>
    <w:p w14:paraId="111F319A"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369" w:history="1">
        <w:r w:rsidR="00344727" w:rsidRPr="00C16B96">
          <w:rPr>
            <w:rStyle w:val="afd"/>
            <w:rFonts w:ascii="Times New Roman" w:hAnsi="Times New Roman"/>
            <w:noProof/>
          </w:rPr>
          <w:t>2.8.5</w:t>
        </w:r>
        <w:r w:rsidR="00344727" w:rsidRPr="00C16B96">
          <w:rPr>
            <w:rStyle w:val="afd"/>
            <w:rFonts w:hint="eastAsia"/>
            <w:noProof/>
          </w:rPr>
          <w:t xml:space="preserve"> </w:t>
        </w:r>
        <w:r w:rsidR="00344727" w:rsidRPr="00C16B96">
          <w:rPr>
            <w:rStyle w:val="afd"/>
            <w:rFonts w:hint="eastAsia"/>
            <w:noProof/>
          </w:rPr>
          <w:t>金融衍生产品及雇员认股权</w:t>
        </w:r>
        <w:r w:rsidR="00344727">
          <w:rPr>
            <w:noProof/>
            <w:webHidden/>
          </w:rPr>
          <w:tab/>
        </w:r>
        <w:r w:rsidR="00A53BD0">
          <w:rPr>
            <w:noProof/>
            <w:webHidden/>
          </w:rPr>
          <w:fldChar w:fldCharType="begin"/>
        </w:r>
        <w:r w:rsidR="00344727">
          <w:rPr>
            <w:noProof/>
            <w:webHidden/>
          </w:rPr>
          <w:instrText xml:space="preserve"> PAGEREF _Toc101684369 \h </w:instrText>
        </w:r>
        <w:r w:rsidR="00A53BD0">
          <w:rPr>
            <w:noProof/>
            <w:webHidden/>
          </w:rPr>
        </w:r>
        <w:r w:rsidR="00A53BD0">
          <w:rPr>
            <w:noProof/>
            <w:webHidden/>
          </w:rPr>
          <w:fldChar w:fldCharType="separate"/>
        </w:r>
        <w:r w:rsidR="00E54F87">
          <w:rPr>
            <w:noProof/>
            <w:webHidden/>
          </w:rPr>
          <w:t>57</w:t>
        </w:r>
        <w:r w:rsidR="00A53BD0">
          <w:rPr>
            <w:noProof/>
            <w:webHidden/>
          </w:rPr>
          <w:fldChar w:fldCharType="end"/>
        </w:r>
      </w:hyperlink>
    </w:p>
    <w:p w14:paraId="74BEAA99"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370" w:history="1">
        <w:r w:rsidR="00344727" w:rsidRPr="00C16B96">
          <w:rPr>
            <w:rStyle w:val="afd"/>
            <w:rFonts w:ascii="Times New Roman" w:hAnsi="Times New Roman"/>
            <w:noProof/>
          </w:rPr>
          <w:t>2.8.6</w:t>
        </w:r>
        <w:r w:rsidR="00344727" w:rsidRPr="00C16B96">
          <w:rPr>
            <w:rStyle w:val="afd"/>
            <w:rFonts w:ascii="Times New Roman" w:hint="eastAsia"/>
            <w:noProof/>
          </w:rPr>
          <w:t xml:space="preserve"> </w:t>
        </w:r>
        <w:r w:rsidR="00344727" w:rsidRPr="00C16B96">
          <w:rPr>
            <w:rStyle w:val="afd"/>
            <w:rFonts w:ascii="Times New Roman" w:hint="eastAsia"/>
            <w:noProof/>
          </w:rPr>
          <w:t>存贷款、应收应付款及非公司制机构股权等其他投资</w:t>
        </w:r>
        <w:r w:rsidR="00344727">
          <w:rPr>
            <w:noProof/>
            <w:webHidden/>
          </w:rPr>
          <w:tab/>
        </w:r>
        <w:r w:rsidR="00A53BD0">
          <w:rPr>
            <w:noProof/>
            <w:webHidden/>
          </w:rPr>
          <w:fldChar w:fldCharType="begin"/>
        </w:r>
        <w:r w:rsidR="00344727">
          <w:rPr>
            <w:noProof/>
            <w:webHidden/>
          </w:rPr>
          <w:instrText xml:space="preserve"> PAGEREF _Toc101684370 \h </w:instrText>
        </w:r>
        <w:r w:rsidR="00A53BD0">
          <w:rPr>
            <w:noProof/>
            <w:webHidden/>
          </w:rPr>
        </w:r>
        <w:r w:rsidR="00A53BD0">
          <w:rPr>
            <w:noProof/>
            <w:webHidden/>
          </w:rPr>
          <w:fldChar w:fldCharType="separate"/>
        </w:r>
        <w:r w:rsidR="00E54F87">
          <w:rPr>
            <w:noProof/>
            <w:webHidden/>
          </w:rPr>
          <w:t>57</w:t>
        </w:r>
        <w:r w:rsidR="00A53BD0">
          <w:rPr>
            <w:noProof/>
            <w:webHidden/>
          </w:rPr>
          <w:fldChar w:fldCharType="end"/>
        </w:r>
      </w:hyperlink>
    </w:p>
    <w:p w14:paraId="51A39EA0"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371" w:history="1">
        <w:r w:rsidR="00344727" w:rsidRPr="00C16B96">
          <w:rPr>
            <w:rStyle w:val="afd"/>
            <w:rFonts w:ascii="Times New Roman" w:hAnsi="Times New Roman"/>
            <w:noProof/>
          </w:rPr>
          <w:t>2.8.7</w:t>
        </w:r>
        <w:r w:rsidR="00344727" w:rsidRPr="00C16B96">
          <w:rPr>
            <w:rStyle w:val="afd"/>
            <w:rFonts w:hint="eastAsia"/>
            <w:noProof/>
          </w:rPr>
          <w:t xml:space="preserve"> </w:t>
        </w:r>
        <w:r w:rsidR="00344727" w:rsidRPr="00C16B96">
          <w:rPr>
            <w:rStyle w:val="afd"/>
            <w:rFonts w:hint="eastAsia"/>
            <w:noProof/>
          </w:rPr>
          <w:t>经常账户和资本账户相关业务</w:t>
        </w:r>
        <w:r w:rsidR="00344727">
          <w:rPr>
            <w:noProof/>
            <w:webHidden/>
          </w:rPr>
          <w:tab/>
        </w:r>
        <w:r w:rsidR="00A53BD0">
          <w:rPr>
            <w:noProof/>
            <w:webHidden/>
          </w:rPr>
          <w:fldChar w:fldCharType="begin"/>
        </w:r>
        <w:r w:rsidR="00344727">
          <w:rPr>
            <w:noProof/>
            <w:webHidden/>
          </w:rPr>
          <w:instrText xml:space="preserve"> PAGEREF _Toc101684371 \h </w:instrText>
        </w:r>
        <w:r w:rsidR="00A53BD0">
          <w:rPr>
            <w:noProof/>
            <w:webHidden/>
          </w:rPr>
        </w:r>
        <w:r w:rsidR="00A53BD0">
          <w:rPr>
            <w:noProof/>
            <w:webHidden/>
          </w:rPr>
          <w:fldChar w:fldCharType="separate"/>
        </w:r>
        <w:r w:rsidR="00E54F87">
          <w:rPr>
            <w:noProof/>
            <w:webHidden/>
          </w:rPr>
          <w:t>58</w:t>
        </w:r>
        <w:r w:rsidR="00A53BD0">
          <w:rPr>
            <w:noProof/>
            <w:webHidden/>
          </w:rPr>
          <w:fldChar w:fldCharType="end"/>
        </w:r>
      </w:hyperlink>
    </w:p>
    <w:p w14:paraId="0D094176"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372" w:history="1">
        <w:r w:rsidR="00344727" w:rsidRPr="00C16B96">
          <w:rPr>
            <w:rStyle w:val="afd"/>
            <w:rFonts w:ascii="Times New Roman" w:hAnsi="Times New Roman"/>
            <w:noProof/>
          </w:rPr>
          <w:t>2.8.8</w:t>
        </w:r>
        <w:r w:rsidR="00344727" w:rsidRPr="00C16B96">
          <w:rPr>
            <w:rStyle w:val="afd"/>
            <w:rFonts w:ascii="Times New Roman" w:hint="eastAsia"/>
            <w:noProof/>
          </w:rPr>
          <w:t xml:space="preserve"> </w:t>
        </w:r>
        <w:r w:rsidR="00344727" w:rsidRPr="00C16B96">
          <w:rPr>
            <w:rStyle w:val="afd"/>
            <w:rFonts w:ascii="Times New Roman" w:hint="eastAsia"/>
            <w:noProof/>
          </w:rPr>
          <w:t>与进出口票据、单证有关业务</w:t>
        </w:r>
        <w:r w:rsidR="00344727">
          <w:rPr>
            <w:noProof/>
            <w:webHidden/>
          </w:rPr>
          <w:tab/>
        </w:r>
        <w:r w:rsidR="00A53BD0">
          <w:rPr>
            <w:noProof/>
            <w:webHidden/>
          </w:rPr>
          <w:fldChar w:fldCharType="begin"/>
        </w:r>
        <w:r w:rsidR="00344727">
          <w:rPr>
            <w:noProof/>
            <w:webHidden/>
          </w:rPr>
          <w:instrText xml:space="preserve"> PAGEREF _Toc101684372 \h </w:instrText>
        </w:r>
        <w:r w:rsidR="00A53BD0">
          <w:rPr>
            <w:noProof/>
            <w:webHidden/>
          </w:rPr>
        </w:r>
        <w:r w:rsidR="00A53BD0">
          <w:rPr>
            <w:noProof/>
            <w:webHidden/>
          </w:rPr>
          <w:fldChar w:fldCharType="separate"/>
        </w:r>
        <w:r w:rsidR="00E54F87">
          <w:rPr>
            <w:noProof/>
            <w:webHidden/>
          </w:rPr>
          <w:t>59</w:t>
        </w:r>
        <w:r w:rsidR="00A53BD0">
          <w:rPr>
            <w:noProof/>
            <w:webHidden/>
          </w:rPr>
          <w:fldChar w:fldCharType="end"/>
        </w:r>
      </w:hyperlink>
    </w:p>
    <w:p w14:paraId="3720FD78"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373" w:history="1">
        <w:r w:rsidR="00344727" w:rsidRPr="00C16B96">
          <w:rPr>
            <w:rStyle w:val="afd"/>
            <w:rFonts w:ascii="Times New Roman" w:hAnsi="Times New Roman"/>
            <w:noProof/>
          </w:rPr>
          <w:t>2.8.9</w:t>
        </w:r>
        <w:r w:rsidR="00344727" w:rsidRPr="00C16B96">
          <w:rPr>
            <w:rStyle w:val="afd"/>
            <w:rFonts w:ascii="Times New Roman" w:hint="eastAsia"/>
            <w:noProof/>
          </w:rPr>
          <w:t xml:space="preserve"> </w:t>
        </w:r>
        <w:r w:rsidR="00344727" w:rsidRPr="00C16B96">
          <w:rPr>
            <w:rStyle w:val="afd"/>
            <w:rFonts w:ascii="Times New Roman" w:hint="eastAsia"/>
            <w:noProof/>
          </w:rPr>
          <w:t>涉外银行卡相关统计</w:t>
        </w:r>
        <w:r w:rsidR="00344727">
          <w:rPr>
            <w:noProof/>
            <w:webHidden/>
          </w:rPr>
          <w:tab/>
        </w:r>
        <w:r w:rsidR="00A53BD0">
          <w:rPr>
            <w:noProof/>
            <w:webHidden/>
          </w:rPr>
          <w:fldChar w:fldCharType="begin"/>
        </w:r>
        <w:r w:rsidR="00344727">
          <w:rPr>
            <w:noProof/>
            <w:webHidden/>
          </w:rPr>
          <w:instrText xml:space="preserve"> PAGEREF _Toc101684373 \h </w:instrText>
        </w:r>
        <w:r w:rsidR="00A53BD0">
          <w:rPr>
            <w:noProof/>
            <w:webHidden/>
          </w:rPr>
        </w:r>
        <w:r w:rsidR="00A53BD0">
          <w:rPr>
            <w:noProof/>
            <w:webHidden/>
          </w:rPr>
          <w:fldChar w:fldCharType="separate"/>
        </w:r>
        <w:r w:rsidR="00E54F87">
          <w:rPr>
            <w:noProof/>
            <w:webHidden/>
          </w:rPr>
          <w:t>60</w:t>
        </w:r>
        <w:r w:rsidR="00A53BD0">
          <w:rPr>
            <w:noProof/>
            <w:webHidden/>
          </w:rPr>
          <w:fldChar w:fldCharType="end"/>
        </w:r>
      </w:hyperlink>
    </w:p>
    <w:p w14:paraId="07A8C7E1"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374" w:history="1">
        <w:r w:rsidR="00344727" w:rsidRPr="00C16B96">
          <w:rPr>
            <w:rStyle w:val="afd"/>
            <w:rFonts w:ascii="Times New Roman" w:hAnsi="Times New Roman"/>
            <w:noProof/>
          </w:rPr>
          <w:t>2.8.10</w:t>
        </w:r>
        <w:r w:rsidR="00344727" w:rsidRPr="00C16B96">
          <w:rPr>
            <w:rStyle w:val="afd"/>
            <w:rFonts w:ascii="Times New Roman" w:hint="eastAsia"/>
            <w:noProof/>
          </w:rPr>
          <w:t xml:space="preserve"> </w:t>
        </w:r>
        <w:r w:rsidR="00344727" w:rsidRPr="00C16B96">
          <w:rPr>
            <w:rStyle w:val="afd"/>
            <w:rFonts w:ascii="Times New Roman" w:hint="eastAsia"/>
            <w:noProof/>
          </w:rPr>
          <w:t>涉外托管业务</w:t>
        </w:r>
        <w:r w:rsidR="00344727">
          <w:rPr>
            <w:noProof/>
            <w:webHidden/>
          </w:rPr>
          <w:tab/>
        </w:r>
        <w:r w:rsidR="00A53BD0">
          <w:rPr>
            <w:noProof/>
            <w:webHidden/>
          </w:rPr>
          <w:fldChar w:fldCharType="begin"/>
        </w:r>
        <w:r w:rsidR="00344727">
          <w:rPr>
            <w:noProof/>
            <w:webHidden/>
          </w:rPr>
          <w:instrText xml:space="preserve"> PAGEREF _Toc101684374 \h </w:instrText>
        </w:r>
        <w:r w:rsidR="00A53BD0">
          <w:rPr>
            <w:noProof/>
            <w:webHidden/>
          </w:rPr>
        </w:r>
        <w:r w:rsidR="00A53BD0">
          <w:rPr>
            <w:noProof/>
            <w:webHidden/>
          </w:rPr>
          <w:fldChar w:fldCharType="separate"/>
        </w:r>
        <w:r w:rsidR="00E54F87">
          <w:rPr>
            <w:noProof/>
            <w:webHidden/>
          </w:rPr>
          <w:t>60</w:t>
        </w:r>
        <w:r w:rsidR="00A53BD0">
          <w:rPr>
            <w:noProof/>
            <w:webHidden/>
          </w:rPr>
          <w:fldChar w:fldCharType="end"/>
        </w:r>
      </w:hyperlink>
    </w:p>
    <w:p w14:paraId="7108A9B3"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375" w:history="1">
        <w:r w:rsidR="00344727" w:rsidRPr="00C16B96">
          <w:rPr>
            <w:rStyle w:val="afd"/>
            <w:rFonts w:ascii="Times New Roman" w:hAnsi="Times New Roman"/>
            <w:noProof/>
          </w:rPr>
          <w:t>2.8.11</w:t>
        </w:r>
        <w:r w:rsidR="00344727" w:rsidRPr="00C16B96">
          <w:rPr>
            <w:rStyle w:val="afd"/>
            <w:rFonts w:ascii="Times New Roman" w:hint="eastAsia"/>
            <w:noProof/>
          </w:rPr>
          <w:t xml:space="preserve"> </w:t>
        </w:r>
        <w:r w:rsidR="00344727" w:rsidRPr="00C16B96">
          <w:rPr>
            <w:rStyle w:val="afd"/>
            <w:rFonts w:ascii="Times New Roman" w:hint="eastAsia"/>
            <w:noProof/>
          </w:rPr>
          <w:t>涉外保险业务</w:t>
        </w:r>
        <w:r w:rsidR="00344727">
          <w:rPr>
            <w:noProof/>
            <w:webHidden/>
          </w:rPr>
          <w:tab/>
        </w:r>
        <w:r w:rsidR="00A53BD0">
          <w:rPr>
            <w:noProof/>
            <w:webHidden/>
          </w:rPr>
          <w:fldChar w:fldCharType="begin"/>
        </w:r>
        <w:r w:rsidR="00344727">
          <w:rPr>
            <w:noProof/>
            <w:webHidden/>
          </w:rPr>
          <w:instrText xml:space="preserve"> PAGEREF _Toc101684375 \h </w:instrText>
        </w:r>
        <w:r w:rsidR="00A53BD0">
          <w:rPr>
            <w:noProof/>
            <w:webHidden/>
          </w:rPr>
        </w:r>
        <w:r w:rsidR="00A53BD0">
          <w:rPr>
            <w:noProof/>
            <w:webHidden/>
          </w:rPr>
          <w:fldChar w:fldCharType="separate"/>
        </w:r>
        <w:r w:rsidR="00E54F87">
          <w:rPr>
            <w:noProof/>
            <w:webHidden/>
          </w:rPr>
          <w:t>61</w:t>
        </w:r>
        <w:r w:rsidR="00A53BD0">
          <w:rPr>
            <w:noProof/>
            <w:webHidden/>
          </w:rPr>
          <w:fldChar w:fldCharType="end"/>
        </w:r>
      </w:hyperlink>
    </w:p>
    <w:p w14:paraId="7463233F"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376" w:history="1">
        <w:r w:rsidR="00344727" w:rsidRPr="00C16B96">
          <w:rPr>
            <w:rStyle w:val="afd"/>
            <w:rFonts w:ascii="Times New Roman" w:hAnsi="Times New Roman"/>
            <w:noProof/>
          </w:rPr>
          <w:t>2.8.12</w:t>
        </w:r>
        <w:r w:rsidR="00344727" w:rsidRPr="00C16B96">
          <w:rPr>
            <w:rStyle w:val="afd"/>
            <w:rFonts w:ascii="Times New Roman" w:hint="eastAsia"/>
            <w:noProof/>
          </w:rPr>
          <w:t xml:space="preserve"> </w:t>
        </w:r>
        <w:r w:rsidR="00344727" w:rsidRPr="00C16B96">
          <w:rPr>
            <w:rStyle w:val="afd"/>
            <w:rFonts w:ascii="Times New Roman" w:hint="eastAsia"/>
            <w:noProof/>
          </w:rPr>
          <w:t>银行进出口贸易融资余额</w:t>
        </w:r>
        <w:r w:rsidR="00344727">
          <w:rPr>
            <w:noProof/>
            <w:webHidden/>
          </w:rPr>
          <w:tab/>
        </w:r>
        <w:r w:rsidR="00A53BD0">
          <w:rPr>
            <w:noProof/>
            <w:webHidden/>
          </w:rPr>
          <w:fldChar w:fldCharType="begin"/>
        </w:r>
        <w:r w:rsidR="00344727">
          <w:rPr>
            <w:noProof/>
            <w:webHidden/>
          </w:rPr>
          <w:instrText xml:space="preserve"> PAGEREF _Toc101684376 \h </w:instrText>
        </w:r>
        <w:r w:rsidR="00A53BD0">
          <w:rPr>
            <w:noProof/>
            <w:webHidden/>
          </w:rPr>
        </w:r>
        <w:r w:rsidR="00A53BD0">
          <w:rPr>
            <w:noProof/>
            <w:webHidden/>
          </w:rPr>
          <w:fldChar w:fldCharType="separate"/>
        </w:r>
        <w:r w:rsidR="00E54F87">
          <w:rPr>
            <w:noProof/>
            <w:webHidden/>
          </w:rPr>
          <w:t>61</w:t>
        </w:r>
        <w:r w:rsidR="00A53BD0">
          <w:rPr>
            <w:noProof/>
            <w:webHidden/>
          </w:rPr>
          <w:fldChar w:fldCharType="end"/>
        </w:r>
      </w:hyperlink>
    </w:p>
    <w:p w14:paraId="1A4C2565" w14:textId="77777777" w:rsidR="00344727" w:rsidRDefault="003C2B32" w:rsidP="00344727">
      <w:pPr>
        <w:pStyle w:val="TOC2"/>
        <w:tabs>
          <w:tab w:val="right" w:leader="dot" w:pos="8296"/>
        </w:tabs>
        <w:ind w:firstLine="480"/>
        <w:rPr>
          <w:rFonts w:asciiTheme="minorHAnsi" w:eastAsiaTheme="minorEastAsia" w:hAnsiTheme="minorHAnsi" w:cstheme="minorBidi"/>
          <w:noProof/>
          <w:kern w:val="2"/>
          <w:sz w:val="21"/>
          <w:szCs w:val="22"/>
        </w:rPr>
      </w:pPr>
      <w:hyperlink w:anchor="_Toc101684377" w:history="1">
        <w:r w:rsidR="00344727" w:rsidRPr="00C16B96">
          <w:rPr>
            <w:rStyle w:val="afd"/>
            <w:rFonts w:ascii="Times New Roman" w:hAnsi="Times New Roman"/>
            <w:noProof/>
          </w:rPr>
          <w:t>2.9</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机构外币现钞存取数据</w:t>
        </w:r>
        <w:r w:rsidR="00344727">
          <w:rPr>
            <w:noProof/>
            <w:webHidden/>
          </w:rPr>
          <w:tab/>
        </w:r>
        <w:r w:rsidR="00A53BD0">
          <w:rPr>
            <w:noProof/>
            <w:webHidden/>
          </w:rPr>
          <w:fldChar w:fldCharType="begin"/>
        </w:r>
        <w:r w:rsidR="00344727">
          <w:rPr>
            <w:noProof/>
            <w:webHidden/>
          </w:rPr>
          <w:instrText xml:space="preserve"> PAGEREF _Toc101684377 \h </w:instrText>
        </w:r>
        <w:r w:rsidR="00A53BD0">
          <w:rPr>
            <w:noProof/>
            <w:webHidden/>
          </w:rPr>
        </w:r>
        <w:r w:rsidR="00A53BD0">
          <w:rPr>
            <w:noProof/>
            <w:webHidden/>
          </w:rPr>
          <w:fldChar w:fldCharType="separate"/>
        </w:r>
        <w:r w:rsidR="00E54F87">
          <w:rPr>
            <w:noProof/>
            <w:webHidden/>
          </w:rPr>
          <w:t>62</w:t>
        </w:r>
        <w:r w:rsidR="00A53BD0">
          <w:rPr>
            <w:noProof/>
            <w:webHidden/>
          </w:rPr>
          <w:fldChar w:fldCharType="end"/>
        </w:r>
      </w:hyperlink>
    </w:p>
    <w:p w14:paraId="764350C1" w14:textId="77777777" w:rsidR="00344727" w:rsidRDefault="003C2B32" w:rsidP="00344727">
      <w:pPr>
        <w:pStyle w:val="TOC2"/>
        <w:tabs>
          <w:tab w:val="right" w:leader="dot" w:pos="8296"/>
        </w:tabs>
        <w:ind w:firstLine="480"/>
        <w:rPr>
          <w:rFonts w:asciiTheme="minorHAnsi" w:eastAsiaTheme="minorEastAsia" w:hAnsiTheme="minorHAnsi" w:cstheme="minorBidi"/>
          <w:noProof/>
          <w:kern w:val="2"/>
          <w:sz w:val="21"/>
          <w:szCs w:val="22"/>
        </w:rPr>
      </w:pPr>
      <w:hyperlink w:anchor="_Toc101684378" w:history="1">
        <w:r w:rsidR="00344727" w:rsidRPr="00C16B96">
          <w:rPr>
            <w:rStyle w:val="afd"/>
            <w:rFonts w:ascii="Times New Roman" w:hAnsi="Times New Roman"/>
            <w:noProof/>
          </w:rPr>
          <w:t>2.10</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银行卡境外交易数据</w:t>
        </w:r>
        <w:r w:rsidR="00344727">
          <w:rPr>
            <w:noProof/>
            <w:webHidden/>
          </w:rPr>
          <w:tab/>
        </w:r>
        <w:r w:rsidR="00A53BD0">
          <w:rPr>
            <w:noProof/>
            <w:webHidden/>
          </w:rPr>
          <w:fldChar w:fldCharType="begin"/>
        </w:r>
        <w:r w:rsidR="00344727">
          <w:rPr>
            <w:noProof/>
            <w:webHidden/>
          </w:rPr>
          <w:instrText xml:space="preserve"> PAGEREF _Toc101684378 \h </w:instrText>
        </w:r>
        <w:r w:rsidR="00A53BD0">
          <w:rPr>
            <w:noProof/>
            <w:webHidden/>
          </w:rPr>
        </w:r>
        <w:r w:rsidR="00A53BD0">
          <w:rPr>
            <w:noProof/>
            <w:webHidden/>
          </w:rPr>
          <w:fldChar w:fldCharType="separate"/>
        </w:r>
        <w:r w:rsidR="00E54F87">
          <w:rPr>
            <w:noProof/>
            <w:webHidden/>
          </w:rPr>
          <w:t>62</w:t>
        </w:r>
        <w:r w:rsidR="00A53BD0">
          <w:rPr>
            <w:noProof/>
            <w:webHidden/>
          </w:rPr>
          <w:fldChar w:fldCharType="end"/>
        </w:r>
      </w:hyperlink>
    </w:p>
    <w:p w14:paraId="0F7DFDBE"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379" w:history="1">
        <w:r w:rsidR="00344727" w:rsidRPr="00C16B96">
          <w:rPr>
            <w:rStyle w:val="afd"/>
            <w:rFonts w:ascii="Times New Roman" w:hAnsi="Times New Roman"/>
            <w:noProof/>
          </w:rPr>
          <w:t>2.10.1</w:t>
        </w:r>
        <w:r w:rsidR="00344727" w:rsidRPr="00C16B96">
          <w:rPr>
            <w:rStyle w:val="afd"/>
            <w:rFonts w:ascii="Times New Roman" w:hint="eastAsia"/>
            <w:noProof/>
          </w:rPr>
          <w:t xml:space="preserve"> </w:t>
        </w:r>
        <w:r w:rsidR="00344727" w:rsidRPr="00C16B96">
          <w:rPr>
            <w:rStyle w:val="afd"/>
            <w:rFonts w:ascii="Times New Roman" w:hint="eastAsia"/>
            <w:noProof/>
          </w:rPr>
          <w:t>银行卡境外提现明细数据</w:t>
        </w:r>
        <w:r w:rsidR="00344727">
          <w:rPr>
            <w:noProof/>
            <w:webHidden/>
          </w:rPr>
          <w:tab/>
        </w:r>
        <w:r w:rsidR="00A53BD0">
          <w:rPr>
            <w:noProof/>
            <w:webHidden/>
          </w:rPr>
          <w:fldChar w:fldCharType="begin"/>
        </w:r>
        <w:r w:rsidR="00344727">
          <w:rPr>
            <w:noProof/>
            <w:webHidden/>
          </w:rPr>
          <w:instrText xml:space="preserve"> PAGEREF _Toc101684379 \h </w:instrText>
        </w:r>
        <w:r w:rsidR="00A53BD0">
          <w:rPr>
            <w:noProof/>
            <w:webHidden/>
          </w:rPr>
        </w:r>
        <w:r w:rsidR="00A53BD0">
          <w:rPr>
            <w:noProof/>
            <w:webHidden/>
          </w:rPr>
          <w:fldChar w:fldCharType="separate"/>
        </w:r>
        <w:r w:rsidR="00E54F87">
          <w:rPr>
            <w:noProof/>
            <w:webHidden/>
          </w:rPr>
          <w:t>62</w:t>
        </w:r>
        <w:r w:rsidR="00A53BD0">
          <w:rPr>
            <w:noProof/>
            <w:webHidden/>
          </w:rPr>
          <w:fldChar w:fldCharType="end"/>
        </w:r>
      </w:hyperlink>
    </w:p>
    <w:p w14:paraId="6F7C1ECA"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380" w:history="1">
        <w:r w:rsidR="00344727" w:rsidRPr="00C16B96">
          <w:rPr>
            <w:rStyle w:val="afd"/>
            <w:rFonts w:ascii="Times New Roman" w:hAnsi="Times New Roman"/>
            <w:noProof/>
          </w:rPr>
          <w:t>2.10.2</w:t>
        </w:r>
        <w:r w:rsidR="00344727" w:rsidRPr="00C16B96">
          <w:rPr>
            <w:rStyle w:val="afd"/>
            <w:rFonts w:ascii="Times New Roman" w:hint="eastAsia"/>
            <w:noProof/>
          </w:rPr>
          <w:t xml:space="preserve"> </w:t>
        </w:r>
        <w:r w:rsidR="00344727" w:rsidRPr="00C16B96">
          <w:rPr>
            <w:rStyle w:val="afd"/>
            <w:rFonts w:ascii="Times New Roman" w:hint="eastAsia"/>
            <w:noProof/>
          </w:rPr>
          <w:t>银行卡境外消费明细数据</w:t>
        </w:r>
        <w:r w:rsidR="00344727">
          <w:rPr>
            <w:noProof/>
            <w:webHidden/>
          </w:rPr>
          <w:tab/>
        </w:r>
        <w:r w:rsidR="00A53BD0">
          <w:rPr>
            <w:noProof/>
            <w:webHidden/>
          </w:rPr>
          <w:fldChar w:fldCharType="begin"/>
        </w:r>
        <w:r w:rsidR="00344727">
          <w:rPr>
            <w:noProof/>
            <w:webHidden/>
          </w:rPr>
          <w:instrText xml:space="preserve"> PAGEREF _Toc101684380 \h </w:instrText>
        </w:r>
        <w:r w:rsidR="00A53BD0">
          <w:rPr>
            <w:noProof/>
            <w:webHidden/>
          </w:rPr>
        </w:r>
        <w:r w:rsidR="00A53BD0">
          <w:rPr>
            <w:noProof/>
            <w:webHidden/>
          </w:rPr>
          <w:fldChar w:fldCharType="separate"/>
        </w:r>
        <w:r w:rsidR="00E54F87">
          <w:rPr>
            <w:noProof/>
            <w:webHidden/>
          </w:rPr>
          <w:t>62</w:t>
        </w:r>
        <w:r w:rsidR="00A53BD0">
          <w:rPr>
            <w:noProof/>
            <w:webHidden/>
          </w:rPr>
          <w:fldChar w:fldCharType="end"/>
        </w:r>
      </w:hyperlink>
    </w:p>
    <w:p w14:paraId="07B61124" w14:textId="77777777" w:rsidR="00344727" w:rsidRDefault="003C2B32" w:rsidP="00344727">
      <w:pPr>
        <w:pStyle w:val="TOC2"/>
        <w:tabs>
          <w:tab w:val="right" w:leader="dot" w:pos="8296"/>
        </w:tabs>
        <w:ind w:firstLine="480"/>
        <w:rPr>
          <w:rFonts w:asciiTheme="minorHAnsi" w:eastAsiaTheme="minorEastAsia" w:hAnsiTheme="minorHAnsi" w:cstheme="minorBidi"/>
          <w:noProof/>
          <w:kern w:val="2"/>
          <w:sz w:val="21"/>
          <w:szCs w:val="22"/>
        </w:rPr>
      </w:pPr>
      <w:hyperlink w:anchor="_Toc101684381" w:history="1">
        <w:r w:rsidR="00344727" w:rsidRPr="00C16B96">
          <w:rPr>
            <w:rStyle w:val="afd"/>
            <w:rFonts w:ascii="Times New Roman" w:hAnsi="Times New Roman"/>
            <w:noProof/>
          </w:rPr>
          <w:t>2.11</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涉嫌外汇违规账户信息</w:t>
        </w:r>
        <w:r w:rsidR="00344727">
          <w:rPr>
            <w:noProof/>
            <w:webHidden/>
          </w:rPr>
          <w:tab/>
        </w:r>
        <w:r w:rsidR="00A53BD0">
          <w:rPr>
            <w:noProof/>
            <w:webHidden/>
          </w:rPr>
          <w:fldChar w:fldCharType="begin"/>
        </w:r>
        <w:r w:rsidR="00344727">
          <w:rPr>
            <w:noProof/>
            <w:webHidden/>
          </w:rPr>
          <w:instrText xml:space="preserve"> PAGEREF _Toc101684381 \h </w:instrText>
        </w:r>
        <w:r w:rsidR="00A53BD0">
          <w:rPr>
            <w:noProof/>
            <w:webHidden/>
          </w:rPr>
        </w:r>
        <w:r w:rsidR="00A53BD0">
          <w:rPr>
            <w:noProof/>
            <w:webHidden/>
          </w:rPr>
          <w:fldChar w:fldCharType="separate"/>
        </w:r>
        <w:r w:rsidR="00E54F87">
          <w:rPr>
            <w:noProof/>
            <w:webHidden/>
          </w:rPr>
          <w:t>63</w:t>
        </w:r>
        <w:r w:rsidR="00A53BD0">
          <w:rPr>
            <w:noProof/>
            <w:webHidden/>
          </w:rPr>
          <w:fldChar w:fldCharType="end"/>
        </w:r>
      </w:hyperlink>
    </w:p>
    <w:p w14:paraId="6EBC38F7"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382" w:history="1">
        <w:r w:rsidR="00344727" w:rsidRPr="00C16B96">
          <w:rPr>
            <w:rStyle w:val="afd"/>
            <w:rFonts w:ascii="Times New Roman" w:hAnsi="Times New Roman"/>
            <w:noProof/>
          </w:rPr>
          <w:t>2.11.1</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涉嫌外汇违规账户查询回复信息</w:t>
        </w:r>
        <w:r w:rsidR="00344727">
          <w:rPr>
            <w:noProof/>
            <w:webHidden/>
          </w:rPr>
          <w:tab/>
        </w:r>
        <w:r w:rsidR="00A53BD0">
          <w:rPr>
            <w:noProof/>
            <w:webHidden/>
          </w:rPr>
          <w:fldChar w:fldCharType="begin"/>
        </w:r>
        <w:r w:rsidR="00344727">
          <w:rPr>
            <w:noProof/>
            <w:webHidden/>
          </w:rPr>
          <w:instrText xml:space="preserve"> PAGEREF _Toc101684382 \h </w:instrText>
        </w:r>
        <w:r w:rsidR="00A53BD0">
          <w:rPr>
            <w:noProof/>
            <w:webHidden/>
          </w:rPr>
        </w:r>
        <w:r w:rsidR="00A53BD0">
          <w:rPr>
            <w:noProof/>
            <w:webHidden/>
          </w:rPr>
          <w:fldChar w:fldCharType="separate"/>
        </w:r>
        <w:r w:rsidR="00E54F87">
          <w:rPr>
            <w:noProof/>
            <w:webHidden/>
          </w:rPr>
          <w:t>63</w:t>
        </w:r>
        <w:r w:rsidR="00A53BD0">
          <w:rPr>
            <w:noProof/>
            <w:webHidden/>
          </w:rPr>
          <w:fldChar w:fldCharType="end"/>
        </w:r>
      </w:hyperlink>
    </w:p>
    <w:p w14:paraId="45E23FFC"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383" w:history="1">
        <w:r w:rsidR="00344727" w:rsidRPr="00C16B96">
          <w:rPr>
            <w:rStyle w:val="afd"/>
            <w:rFonts w:ascii="Times New Roman" w:hAnsi="Times New Roman"/>
            <w:noProof/>
          </w:rPr>
          <w:t>2.11.2</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涉嫌外汇违规账户基础信息</w:t>
        </w:r>
        <w:r w:rsidR="00344727">
          <w:rPr>
            <w:noProof/>
            <w:webHidden/>
          </w:rPr>
          <w:tab/>
        </w:r>
        <w:r w:rsidR="00A53BD0">
          <w:rPr>
            <w:noProof/>
            <w:webHidden/>
          </w:rPr>
          <w:fldChar w:fldCharType="begin"/>
        </w:r>
        <w:r w:rsidR="00344727">
          <w:rPr>
            <w:noProof/>
            <w:webHidden/>
          </w:rPr>
          <w:instrText xml:space="preserve"> PAGEREF _Toc101684383 \h </w:instrText>
        </w:r>
        <w:r w:rsidR="00A53BD0">
          <w:rPr>
            <w:noProof/>
            <w:webHidden/>
          </w:rPr>
        </w:r>
        <w:r w:rsidR="00A53BD0">
          <w:rPr>
            <w:noProof/>
            <w:webHidden/>
          </w:rPr>
          <w:fldChar w:fldCharType="separate"/>
        </w:r>
        <w:r w:rsidR="00E54F87">
          <w:rPr>
            <w:noProof/>
            <w:webHidden/>
          </w:rPr>
          <w:t>63</w:t>
        </w:r>
        <w:r w:rsidR="00A53BD0">
          <w:rPr>
            <w:noProof/>
            <w:webHidden/>
          </w:rPr>
          <w:fldChar w:fldCharType="end"/>
        </w:r>
      </w:hyperlink>
    </w:p>
    <w:p w14:paraId="13BD81E3"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384" w:history="1">
        <w:r w:rsidR="00344727" w:rsidRPr="00C16B96">
          <w:rPr>
            <w:rStyle w:val="afd"/>
            <w:rFonts w:ascii="Times New Roman" w:hAnsi="Times New Roman"/>
            <w:noProof/>
          </w:rPr>
          <w:t>2.11.3</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涉嫌外汇违规账户交易明细信息</w:t>
        </w:r>
        <w:r w:rsidR="00344727">
          <w:rPr>
            <w:noProof/>
            <w:webHidden/>
          </w:rPr>
          <w:tab/>
        </w:r>
        <w:r w:rsidR="00A53BD0">
          <w:rPr>
            <w:noProof/>
            <w:webHidden/>
          </w:rPr>
          <w:fldChar w:fldCharType="begin"/>
        </w:r>
        <w:r w:rsidR="00344727">
          <w:rPr>
            <w:noProof/>
            <w:webHidden/>
          </w:rPr>
          <w:instrText xml:space="preserve"> PAGEREF _Toc101684384 \h </w:instrText>
        </w:r>
        <w:r w:rsidR="00A53BD0">
          <w:rPr>
            <w:noProof/>
            <w:webHidden/>
          </w:rPr>
        </w:r>
        <w:r w:rsidR="00A53BD0">
          <w:rPr>
            <w:noProof/>
            <w:webHidden/>
          </w:rPr>
          <w:fldChar w:fldCharType="separate"/>
        </w:r>
        <w:r w:rsidR="00E54F87">
          <w:rPr>
            <w:noProof/>
            <w:webHidden/>
          </w:rPr>
          <w:t>63</w:t>
        </w:r>
        <w:r w:rsidR="00A53BD0">
          <w:rPr>
            <w:noProof/>
            <w:webHidden/>
          </w:rPr>
          <w:fldChar w:fldCharType="end"/>
        </w:r>
      </w:hyperlink>
    </w:p>
    <w:p w14:paraId="682CA50C" w14:textId="77777777" w:rsidR="00344727" w:rsidRDefault="003C2B32" w:rsidP="00344727">
      <w:pPr>
        <w:pStyle w:val="TOC2"/>
        <w:tabs>
          <w:tab w:val="right" w:leader="dot" w:pos="8296"/>
        </w:tabs>
        <w:ind w:firstLine="480"/>
        <w:rPr>
          <w:rFonts w:asciiTheme="minorHAnsi" w:eastAsiaTheme="minorEastAsia" w:hAnsiTheme="minorHAnsi" w:cstheme="minorBidi"/>
          <w:noProof/>
          <w:kern w:val="2"/>
          <w:sz w:val="21"/>
          <w:szCs w:val="22"/>
        </w:rPr>
      </w:pPr>
      <w:hyperlink w:anchor="_Toc101684385" w:history="1">
        <w:r w:rsidR="00344727" w:rsidRPr="00C16B96">
          <w:rPr>
            <w:rStyle w:val="afd"/>
            <w:rFonts w:ascii="Times New Roman" w:hAnsi="Times New Roman"/>
            <w:noProof/>
          </w:rPr>
          <w:t>2.12</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机构大额结售汇资金来源和使用数据</w:t>
        </w:r>
        <w:r w:rsidR="00344727">
          <w:rPr>
            <w:noProof/>
            <w:webHidden/>
          </w:rPr>
          <w:tab/>
        </w:r>
        <w:r w:rsidR="00A53BD0">
          <w:rPr>
            <w:noProof/>
            <w:webHidden/>
          </w:rPr>
          <w:fldChar w:fldCharType="begin"/>
        </w:r>
        <w:r w:rsidR="00344727">
          <w:rPr>
            <w:noProof/>
            <w:webHidden/>
          </w:rPr>
          <w:instrText xml:space="preserve"> PAGEREF _Toc101684385 \h </w:instrText>
        </w:r>
        <w:r w:rsidR="00A53BD0">
          <w:rPr>
            <w:noProof/>
            <w:webHidden/>
          </w:rPr>
        </w:r>
        <w:r w:rsidR="00A53BD0">
          <w:rPr>
            <w:noProof/>
            <w:webHidden/>
          </w:rPr>
          <w:fldChar w:fldCharType="separate"/>
        </w:r>
        <w:r w:rsidR="00E54F87">
          <w:rPr>
            <w:noProof/>
            <w:webHidden/>
          </w:rPr>
          <w:t>63</w:t>
        </w:r>
        <w:r w:rsidR="00A53BD0">
          <w:rPr>
            <w:noProof/>
            <w:webHidden/>
          </w:rPr>
          <w:fldChar w:fldCharType="end"/>
        </w:r>
      </w:hyperlink>
    </w:p>
    <w:p w14:paraId="13C4B76C"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386" w:history="1">
        <w:r w:rsidR="00344727" w:rsidRPr="00C16B96">
          <w:rPr>
            <w:rStyle w:val="afd"/>
            <w:rFonts w:ascii="Times New Roman" w:hAnsi="Times New Roman"/>
            <w:noProof/>
          </w:rPr>
          <w:t>2.12.1</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机构大额结汇资金使用数据</w:t>
        </w:r>
        <w:r w:rsidR="00344727">
          <w:rPr>
            <w:noProof/>
            <w:webHidden/>
          </w:rPr>
          <w:tab/>
        </w:r>
        <w:r w:rsidR="00A53BD0">
          <w:rPr>
            <w:noProof/>
            <w:webHidden/>
          </w:rPr>
          <w:fldChar w:fldCharType="begin"/>
        </w:r>
        <w:r w:rsidR="00344727">
          <w:rPr>
            <w:noProof/>
            <w:webHidden/>
          </w:rPr>
          <w:instrText xml:space="preserve"> PAGEREF _Toc101684386 \h </w:instrText>
        </w:r>
        <w:r w:rsidR="00A53BD0">
          <w:rPr>
            <w:noProof/>
            <w:webHidden/>
          </w:rPr>
        </w:r>
        <w:r w:rsidR="00A53BD0">
          <w:rPr>
            <w:noProof/>
            <w:webHidden/>
          </w:rPr>
          <w:fldChar w:fldCharType="separate"/>
        </w:r>
        <w:r w:rsidR="00E54F87">
          <w:rPr>
            <w:noProof/>
            <w:webHidden/>
          </w:rPr>
          <w:t>64</w:t>
        </w:r>
        <w:r w:rsidR="00A53BD0">
          <w:rPr>
            <w:noProof/>
            <w:webHidden/>
          </w:rPr>
          <w:fldChar w:fldCharType="end"/>
        </w:r>
      </w:hyperlink>
    </w:p>
    <w:p w14:paraId="7CBD5996"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387" w:history="1">
        <w:r w:rsidR="00344727" w:rsidRPr="00C16B96">
          <w:rPr>
            <w:rStyle w:val="afd"/>
            <w:rFonts w:ascii="Times New Roman" w:hAnsi="Times New Roman"/>
            <w:noProof/>
          </w:rPr>
          <w:t>2.12.2</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机构大额购汇资金来源数据</w:t>
        </w:r>
        <w:r w:rsidR="00344727">
          <w:rPr>
            <w:noProof/>
            <w:webHidden/>
          </w:rPr>
          <w:tab/>
        </w:r>
        <w:r w:rsidR="00A53BD0">
          <w:rPr>
            <w:noProof/>
            <w:webHidden/>
          </w:rPr>
          <w:fldChar w:fldCharType="begin"/>
        </w:r>
        <w:r w:rsidR="00344727">
          <w:rPr>
            <w:noProof/>
            <w:webHidden/>
          </w:rPr>
          <w:instrText xml:space="preserve"> PAGEREF _Toc101684387 \h </w:instrText>
        </w:r>
        <w:r w:rsidR="00A53BD0">
          <w:rPr>
            <w:noProof/>
            <w:webHidden/>
          </w:rPr>
        </w:r>
        <w:r w:rsidR="00A53BD0">
          <w:rPr>
            <w:noProof/>
            <w:webHidden/>
          </w:rPr>
          <w:fldChar w:fldCharType="separate"/>
        </w:r>
        <w:r w:rsidR="00E54F87">
          <w:rPr>
            <w:noProof/>
            <w:webHidden/>
          </w:rPr>
          <w:t>64</w:t>
        </w:r>
        <w:r w:rsidR="00A53BD0">
          <w:rPr>
            <w:noProof/>
            <w:webHidden/>
          </w:rPr>
          <w:fldChar w:fldCharType="end"/>
        </w:r>
      </w:hyperlink>
    </w:p>
    <w:p w14:paraId="0722C7E8" w14:textId="77777777" w:rsidR="00344727" w:rsidRDefault="003C2B32">
      <w:pPr>
        <w:pStyle w:val="TOC1"/>
        <w:rPr>
          <w:rFonts w:asciiTheme="minorHAnsi" w:eastAsiaTheme="minorEastAsia" w:hAnsiTheme="minorHAnsi" w:cstheme="minorBidi"/>
          <w:noProof/>
          <w:kern w:val="2"/>
          <w:sz w:val="21"/>
          <w:szCs w:val="22"/>
        </w:rPr>
      </w:pPr>
      <w:hyperlink w:anchor="_Toc101684388" w:history="1">
        <w:r w:rsidR="00344727" w:rsidRPr="00C16B96">
          <w:rPr>
            <w:rStyle w:val="afd"/>
            <w:rFonts w:ascii="Times New Roman" w:hAnsi="Times New Roman" w:hint="eastAsia"/>
            <w:noProof/>
          </w:rPr>
          <w:t>第三章</w:t>
        </w:r>
        <w:r w:rsidR="00344727" w:rsidRPr="00C16B96">
          <w:rPr>
            <w:rStyle w:val="afd"/>
            <w:rFonts w:ascii="Times New Roman" w:hint="eastAsia"/>
            <w:noProof/>
          </w:rPr>
          <w:t xml:space="preserve"> </w:t>
        </w:r>
        <w:r w:rsidR="00344727" w:rsidRPr="00C16B96">
          <w:rPr>
            <w:rStyle w:val="afd"/>
            <w:rFonts w:ascii="Times New Roman" w:hint="eastAsia"/>
            <w:noProof/>
          </w:rPr>
          <w:t>数据采集要求与报送原则</w:t>
        </w:r>
        <w:r w:rsidR="00344727">
          <w:rPr>
            <w:noProof/>
            <w:webHidden/>
          </w:rPr>
          <w:tab/>
        </w:r>
        <w:r w:rsidR="00A53BD0">
          <w:rPr>
            <w:noProof/>
            <w:webHidden/>
          </w:rPr>
          <w:fldChar w:fldCharType="begin"/>
        </w:r>
        <w:r w:rsidR="00344727">
          <w:rPr>
            <w:noProof/>
            <w:webHidden/>
          </w:rPr>
          <w:instrText xml:space="preserve"> PAGEREF _Toc101684388 \h </w:instrText>
        </w:r>
        <w:r w:rsidR="00A53BD0">
          <w:rPr>
            <w:noProof/>
            <w:webHidden/>
          </w:rPr>
        </w:r>
        <w:r w:rsidR="00A53BD0">
          <w:rPr>
            <w:noProof/>
            <w:webHidden/>
          </w:rPr>
          <w:fldChar w:fldCharType="separate"/>
        </w:r>
        <w:r w:rsidR="00E54F87">
          <w:rPr>
            <w:noProof/>
            <w:webHidden/>
          </w:rPr>
          <w:t>65</w:t>
        </w:r>
        <w:r w:rsidR="00A53BD0">
          <w:rPr>
            <w:noProof/>
            <w:webHidden/>
          </w:rPr>
          <w:fldChar w:fldCharType="end"/>
        </w:r>
      </w:hyperlink>
    </w:p>
    <w:p w14:paraId="5C5BBEDC" w14:textId="77777777" w:rsidR="00344727" w:rsidRDefault="003C2B32" w:rsidP="00344727">
      <w:pPr>
        <w:pStyle w:val="TOC2"/>
        <w:tabs>
          <w:tab w:val="right" w:leader="dot" w:pos="8296"/>
        </w:tabs>
        <w:ind w:firstLine="480"/>
        <w:rPr>
          <w:rFonts w:asciiTheme="minorHAnsi" w:eastAsiaTheme="minorEastAsia" w:hAnsiTheme="minorHAnsi" w:cstheme="minorBidi"/>
          <w:noProof/>
          <w:kern w:val="2"/>
          <w:sz w:val="21"/>
          <w:szCs w:val="22"/>
        </w:rPr>
      </w:pPr>
      <w:hyperlink w:anchor="_Toc101684389" w:history="1">
        <w:r w:rsidR="00344727" w:rsidRPr="00C16B96">
          <w:rPr>
            <w:rStyle w:val="afd"/>
            <w:rFonts w:ascii="Times New Roman" w:hAnsi="Times New Roman"/>
            <w:noProof/>
          </w:rPr>
          <w:t>3.1</w:t>
        </w:r>
        <w:r w:rsidR="00344727" w:rsidRPr="00C16B96">
          <w:rPr>
            <w:rStyle w:val="afd"/>
            <w:rFonts w:ascii="Times New Roman" w:hint="eastAsia"/>
            <w:noProof/>
          </w:rPr>
          <w:t xml:space="preserve"> </w:t>
        </w:r>
        <w:r w:rsidR="00344727" w:rsidRPr="00C16B96">
          <w:rPr>
            <w:rStyle w:val="afd"/>
            <w:rFonts w:ascii="Times New Roman" w:hint="eastAsia"/>
            <w:noProof/>
          </w:rPr>
          <w:t>各类数据对应的报送方式</w:t>
        </w:r>
        <w:r w:rsidR="00344727">
          <w:rPr>
            <w:noProof/>
            <w:webHidden/>
          </w:rPr>
          <w:tab/>
        </w:r>
        <w:r w:rsidR="00A53BD0">
          <w:rPr>
            <w:noProof/>
            <w:webHidden/>
          </w:rPr>
          <w:fldChar w:fldCharType="begin"/>
        </w:r>
        <w:r w:rsidR="00344727">
          <w:rPr>
            <w:noProof/>
            <w:webHidden/>
          </w:rPr>
          <w:instrText xml:space="preserve"> PAGEREF _Toc101684389 \h </w:instrText>
        </w:r>
        <w:r w:rsidR="00A53BD0">
          <w:rPr>
            <w:noProof/>
            <w:webHidden/>
          </w:rPr>
        </w:r>
        <w:r w:rsidR="00A53BD0">
          <w:rPr>
            <w:noProof/>
            <w:webHidden/>
          </w:rPr>
          <w:fldChar w:fldCharType="separate"/>
        </w:r>
        <w:r w:rsidR="00E54F87">
          <w:rPr>
            <w:noProof/>
            <w:webHidden/>
          </w:rPr>
          <w:t>65</w:t>
        </w:r>
        <w:r w:rsidR="00A53BD0">
          <w:rPr>
            <w:noProof/>
            <w:webHidden/>
          </w:rPr>
          <w:fldChar w:fldCharType="end"/>
        </w:r>
      </w:hyperlink>
    </w:p>
    <w:p w14:paraId="46B5E4E0" w14:textId="77777777" w:rsidR="00344727" w:rsidRDefault="003C2B32" w:rsidP="00344727">
      <w:pPr>
        <w:pStyle w:val="TOC2"/>
        <w:tabs>
          <w:tab w:val="right" w:leader="dot" w:pos="8296"/>
        </w:tabs>
        <w:ind w:firstLine="480"/>
        <w:rPr>
          <w:rFonts w:asciiTheme="minorHAnsi" w:eastAsiaTheme="minorEastAsia" w:hAnsiTheme="minorHAnsi" w:cstheme="minorBidi"/>
          <w:noProof/>
          <w:kern w:val="2"/>
          <w:sz w:val="21"/>
          <w:szCs w:val="22"/>
        </w:rPr>
      </w:pPr>
      <w:hyperlink w:anchor="_Toc101684390" w:history="1">
        <w:r w:rsidR="00344727" w:rsidRPr="00C16B96">
          <w:rPr>
            <w:rStyle w:val="afd"/>
            <w:rFonts w:ascii="Times New Roman" w:hAnsi="Times New Roman"/>
            <w:noProof/>
          </w:rPr>
          <w:t>3.2</w:t>
        </w:r>
        <w:r w:rsidR="00344727" w:rsidRPr="00C16B96">
          <w:rPr>
            <w:rStyle w:val="afd"/>
            <w:rFonts w:ascii="Times New Roman" w:hint="eastAsia"/>
            <w:noProof/>
          </w:rPr>
          <w:t xml:space="preserve"> </w:t>
        </w:r>
        <w:r w:rsidR="00344727" w:rsidRPr="00C16B96">
          <w:rPr>
            <w:rStyle w:val="afd"/>
            <w:rFonts w:ascii="Times New Roman" w:hint="eastAsia"/>
            <w:noProof/>
          </w:rPr>
          <w:t>数据报送的时间要求</w:t>
        </w:r>
        <w:r w:rsidR="00344727">
          <w:rPr>
            <w:noProof/>
            <w:webHidden/>
          </w:rPr>
          <w:tab/>
        </w:r>
        <w:r w:rsidR="00A53BD0">
          <w:rPr>
            <w:noProof/>
            <w:webHidden/>
          </w:rPr>
          <w:fldChar w:fldCharType="begin"/>
        </w:r>
        <w:r w:rsidR="00344727">
          <w:rPr>
            <w:noProof/>
            <w:webHidden/>
          </w:rPr>
          <w:instrText xml:space="preserve"> PAGEREF _Toc101684390 \h </w:instrText>
        </w:r>
        <w:r w:rsidR="00A53BD0">
          <w:rPr>
            <w:noProof/>
            <w:webHidden/>
          </w:rPr>
        </w:r>
        <w:r w:rsidR="00A53BD0">
          <w:rPr>
            <w:noProof/>
            <w:webHidden/>
          </w:rPr>
          <w:fldChar w:fldCharType="separate"/>
        </w:r>
        <w:r w:rsidR="00E54F87">
          <w:rPr>
            <w:noProof/>
            <w:webHidden/>
          </w:rPr>
          <w:t>66</w:t>
        </w:r>
        <w:r w:rsidR="00A53BD0">
          <w:rPr>
            <w:noProof/>
            <w:webHidden/>
          </w:rPr>
          <w:fldChar w:fldCharType="end"/>
        </w:r>
      </w:hyperlink>
    </w:p>
    <w:p w14:paraId="4B1A2EE1"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391" w:history="1">
        <w:r w:rsidR="00344727" w:rsidRPr="00C16B96">
          <w:rPr>
            <w:rStyle w:val="afd"/>
            <w:rFonts w:ascii="Times New Roman" w:hAnsi="Times New Roman"/>
            <w:noProof/>
          </w:rPr>
          <w:t>3.2.1</w:t>
        </w:r>
        <w:r w:rsidR="00344727" w:rsidRPr="00C16B96">
          <w:rPr>
            <w:rStyle w:val="afd"/>
            <w:rFonts w:ascii="Times New Roman" w:hint="eastAsia"/>
            <w:noProof/>
          </w:rPr>
          <w:t xml:space="preserve"> </w:t>
        </w:r>
        <w:r w:rsidR="00344727" w:rsidRPr="00C16B96">
          <w:rPr>
            <w:rStyle w:val="afd"/>
            <w:rFonts w:ascii="Times New Roman" w:hint="eastAsia"/>
            <w:noProof/>
          </w:rPr>
          <w:t>组织机构基本情况表（原单位基本情况表）</w:t>
        </w:r>
        <w:r w:rsidR="00344727">
          <w:rPr>
            <w:noProof/>
            <w:webHidden/>
          </w:rPr>
          <w:tab/>
        </w:r>
        <w:r w:rsidR="00A53BD0">
          <w:rPr>
            <w:noProof/>
            <w:webHidden/>
          </w:rPr>
          <w:fldChar w:fldCharType="begin"/>
        </w:r>
        <w:r w:rsidR="00344727">
          <w:rPr>
            <w:noProof/>
            <w:webHidden/>
          </w:rPr>
          <w:instrText xml:space="preserve"> PAGEREF _Toc101684391 \h </w:instrText>
        </w:r>
        <w:r w:rsidR="00A53BD0">
          <w:rPr>
            <w:noProof/>
            <w:webHidden/>
          </w:rPr>
        </w:r>
        <w:r w:rsidR="00A53BD0">
          <w:rPr>
            <w:noProof/>
            <w:webHidden/>
          </w:rPr>
          <w:fldChar w:fldCharType="separate"/>
        </w:r>
        <w:r w:rsidR="00E54F87">
          <w:rPr>
            <w:noProof/>
            <w:webHidden/>
          </w:rPr>
          <w:t>66</w:t>
        </w:r>
        <w:r w:rsidR="00A53BD0">
          <w:rPr>
            <w:noProof/>
            <w:webHidden/>
          </w:rPr>
          <w:fldChar w:fldCharType="end"/>
        </w:r>
      </w:hyperlink>
    </w:p>
    <w:p w14:paraId="46854ED8"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392" w:history="1">
        <w:r w:rsidR="00344727" w:rsidRPr="00C16B96">
          <w:rPr>
            <w:rStyle w:val="afd"/>
            <w:rFonts w:ascii="Times New Roman" w:hAnsi="Times New Roman"/>
            <w:noProof/>
          </w:rPr>
          <w:t>3.2.2</w:t>
        </w:r>
        <w:r w:rsidR="00344727" w:rsidRPr="00C16B96">
          <w:rPr>
            <w:rStyle w:val="afd"/>
            <w:rFonts w:ascii="Times New Roman" w:hint="eastAsia"/>
            <w:noProof/>
          </w:rPr>
          <w:t xml:space="preserve"> </w:t>
        </w:r>
        <w:r w:rsidR="00344727" w:rsidRPr="00C16B96">
          <w:rPr>
            <w:rStyle w:val="afd"/>
            <w:rFonts w:ascii="Times New Roman" w:hint="eastAsia"/>
            <w:noProof/>
          </w:rPr>
          <w:t>涉外收支数据</w:t>
        </w:r>
        <w:r w:rsidR="00344727">
          <w:rPr>
            <w:noProof/>
            <w:webHidden/>
          </w:rPr>
          <w:tab/>
        </w:r>
        <w:r w:rsidR="00A53BD0">
          <w:rPr>
            <w:noProof/>
            <w:webHidden/>
          </w:rPr>
          <w:fldChar w:fldCharType="begin"/>
        </w:r>
        <w:r w:rsidR="00344727">
          <w:rPr>
            <w:noProof/>
            <w:webHidden/>
          </w:rPr>
          <w:instrText xml:space="preserve"> PAGEREF _Toc101684392 \h </w:instrText>
        </w:r>
        <w:r w:rsidR="00A53BD0">
          <w:rPr>
            <w:noProof/>
            <w:webHidden/>
          </w:rPr>
        </w:r>
        <w:r w:rsidR="00A53BD0">
          <w:rPr>
            <w:noProof/>
            <w:webHidden/>
          </w:rPr>
          <w:fldChar w:fldCharType="separate"/>
        </w:r>
        <w:r w:rsidR="00E54F87">
          <w:rPr>
            <w:noProof/>
            <w:webHidden/>
          </w:rPr>
          <w:t>66</w:t>
        </w:r>
        <w:r w:rsidR="00A53BD0">
          <w:rPr>
            <w:noProof/>
            <w:webHidden/>
          </w:rPr>
          <w:fldChar w:fldCharType="end"/>
        </w:r>
      </w:hyperlink>
    </w:p>
    <w:p w14:paraId="032E9DE6"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393" w:history="1">
        <w:r w:rsidR="00344727" w:rsidRPr="00C16B96">
          <w:rPr>
            <w:rStyle w:val="afd"/>
            <w:rFonts w:ascii="Times New Roman" w:hAnsi="Times New Roman"/>
            <w:noProof/>
          </w:rPr>
          <w:t>3.2.3</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境内划转数据</w:t>
        </w:r>
        <w:r w:rsidR="00344727">
          <w:rPr>
            <w:noProof/>
            <w:webHidden/>
          </w:rPr>
          <w:tab/>
        </w:r>
        <w:r w:rsidR="00A53BD0">
          <w:rPr>
            <w:noProof/>
            <w:webHidden/>
          </w:rPr>
          <w:fldChar w:fldCharType="begin"/>
        </w:r>
        <w:r w:rsidR="00344727">
          <w:rPr>
            <w:noProof/>
            <w:webHidden/>
          </w:rPr>
          <w:instrText xml:space="preserve"> PAGEREF _Toc101684393 \h </w:instrText>
        </w:r>
        <w:r w:rsidR="00A53BD0">
          <w:rPr>
            <w:noProof/>
            <w:webHidden/>
          </w:rPr>
        </w:r>
        <w:r w:rsidR="00A53BD0">
          <w:rPr>
            <w:noProof/>
            <w:webHidden/>
          </w:rPr>
          <w:fldChar w:fldCharType="separate"/>
        </w:r>
        <w:r w:rsidR="00E54F87">
          <w:rPr>
            <w:noProof/>
            <w:webHidden/>
          </w:rPr>
          <w:t>67</w:t>
        </w:r>
        <w:r w:rsidR="00A53BD0">
          <w:rPr>
            <w:noProof/>
            <w:webHidden/>
          </w:rPr>
          <w:fldChar w:fldCharType="end"/>
        </w:r>
      </w:hyperlink>
    </w:p>
    <w:p w14:paraId="2E6C2379"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394" w:history="1">
        <w:r w:rsidR="00344727" w:rsidRPr="00C16B96">
          <w:rPr>
            <w:rStyle w:val="afd"/>
            <w:rFonts w:ascii="Times New Roman" w:hAnsi="Times New Roman"/>
            <w:noProof/>
          </w:rPr>
          <w:t>3.2.4</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外汇账户数据</w:t>
        </w:r>
        <w:r w:rsidR="00344727">
          <w:rPr>
            <w:noProof/>
            <w:webHidden/>
          </w:rPr>
          <w:tab/>
        </w:r>
        <w:r w:rsidR="00A53BD0">
          <w:rPr>
            <w:noProof/>
            <w:webHidden/>
          </w:rPr>
          <w:fldChar w:fldCharType="begin"/>
        </w:r>
        <w:r w:rsidR="00344727">
          <w:rPr>
            <w:noProof/>
            <w:webHidden/>
          </w:rPr>
          <w:instrText xml:space="preserve"> PAGEREF _Toc101684394 \h </w:instrText>
        </w:r>
        <w:r w:rsidR="00A53BD0">
          <w:rPr>
            <w:noProof/>
            <w:webHidden/>
          </w:rPr>
        </w:r>
        <w:r w:rsidR="00A53BD0">
          <w:rPr>
            <w:noProof/>
            <w:webHidden/>
          </w:rPr>
          <w:fldChar w:fldCharType="separate"/>
        </w:r>
        <w:r w:rsidR="00E54F87">
          <w:rPr>
            <w:noProof/>
            <w:webHidden/>
          </w:rPr>
          <w:t>67</w:t>
        </w:r>
        <w:r w:rsidR="00A53BD0">
          <w:rPr>
            <w:noProof/>
            <w:webHidden/>
          </w:rPr>
          <w:fldChar w:fldCharType="end"/>
        </w:r>
      </w:hyperlink>
    </w:p>
    <w:p w14:paraId="0599A52A"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395" w:history="1">
        <w:r w:rsidR="00344727" w:rsidRPr="00C16B96">
          <w:rPr>
            <w:rStyle w:val="afd"/>
            <w:rFonts w:ascii="Times New Roman" w:hAnsi="Times New Roman"/>
            <w:noProof/>
          </w:rPr>
          <w:t>3.2.5</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外汇账户内结售汇数据</w:t>
        </w:r>
        <w:r w:rsidR="00344727">
          <w:rPr>
            <w:noProof/>
            <w:webHidden/>
          </w:rPr>
          <w:tab/>
        </w:r>
        <w:r w:rsidR="00A53BD0">
          <w:rPr>
            <w:noProof/>
            <w:webHidden/>
          </w:rPr>
          <w:fldChar w:fldCharType="begin"/>
        </w:r>
        <w:r w:rsidR="00344727">
          <w:rPr>
            <w:noProof/>
            <w:webHidden/>
          </w:rPr>
          <w:instrText xml:space="preserve"> PAGEREF _Toc101684395 \h </w:instrText>
        </w:r>
        <w:r w:rsidR="00A53BD0">
          <w:rPr>
            <w:noProof/>
            <w:webHidden/>
          </w:rPr>
        </w:r>
        <w:r w:rsidR="00A53BD0">
          <w:rPr>
            <w:noProof/>
            <w:webHidden/>
          </w:rPr>
          <w:fldChar w:fldCharType="separate"/>
        </w:r>
        <w:r w:rsidR="00E54F87">
          <w:rPr>
            <w:noProof/>
            <w:webHidden/>
          </w:rPr>
          <w:t>67</w:t>
        </w:r>
        <w:r w:rsidR="00A53BD0">
          <w:rPr>
            <w:noProof/>
            <w:webHidden/>
          </w:rPr>
          <w:fldChar w:fldCharType="end"/>
        </w:r>
      </w:hyperlink>
    </w:p>
    <w:p w14:paraId="7261FC52"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396" w:history="1">
        <w:r w:rsidR="00344727" w:rsidRPr="00C16B96">
          <w:rPr>
            <w:rStyle w:val="afd"/>
            <w:rFonts w:ascii="Times New Roman" w:hAnsi="Times New Roman"/>
            <w:noProof/>
          </w:rPr>
          <w:t>3.2.6</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银行自身资本项目数据</w:t>
        </w:r>
        <w:r w:rsidR="00344727">
          <w:rPr>
            <w:noProof/>
            <w:webHidden/>
          </w:rPr>
          <w:tab/>
        </w:r>
        <w:r w:rsidR="00A53BD0">
          <w:rPr>
            <w:noProof/>
            <w:webHidden/>
          </w:rPr>
          <w:fldChar w:fldCharType="begin"/>
        </w:r>
        <w:r w:rsidR="00344727">
          <w:rPr>
            <w:noProof/>
            <w:webHidden/>
          </w:rPr>
          <w:instrText xml:space="preserve"> PAGEREF _Toc101684396 \h </w:instrText>
        </w:r>
        <w:r w:rsidR="00A53BD0">
          <w:rPr>
            <w:noProof/>
            <w:webHidden/>
          </w:rPr>
        </w:r>
        <w:r w:rsidR="00A53BD0">
          <w:rPr>
            <w:noProof/>
            <w:webHidden/>
          </w:rPr>
          <w:fldChar w:fldCharType="separate"/>
        </w:r>
        <w:r w:rsidR="00E54F87">
          <w:rPr>
            <w:noProof/>
            <w:webHidden/>
          </w:rPr>
          <w:t>67</w:t>
        </w:r>
        <w:r w:rsidR="00A53BD0">
          <w:rPr>
            <w:noProof/>
            <w:webHidden/>
          </w:rPr>
          <w:fldChar w:fldCharType="end"/>
        </w:r>
      </w:hyperlink>
    </w:p>
    <w:p w14:paraId="3419BB3E"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397" w:history="1">
        <w:r w:rsidR="00344727" w:rsidRPr="00C16B96">
          <w:rPr>
            <w:rStyle w:val="afd"/>
            <w:rFonts w:ascii="Times New Roman" w:hAnsi="Times New Roman"/>
            <w:noProof/>
          </w:rPr>
          <w:t>3.2.7</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银行代客业务数据</w:t>
        </w:r>
        <w:r w:rsidR="00344727">
          <w:rPr>
            <w:noProof/>
            <w:webHidden/>
          </w:rPr>
          <w:tab/>
        </w:r>
        <w:r w:rsidR="00A53BD0">
          <w:rPr>
            <w:noProof/>
            <w:webHidden/>
          </w:rPr>
          <w:fldChar w:fldCharType="begin"/>
        </w:r>
        <w:r w:rsidR="00344727">
          <w:rPr>
            <w:noProof/>
            <w:webHidden/>
          </w:rPr>
          <w:instrText xml:space="preserve"> PAGEREF _Toc101684397 \h </w:instrText>
        </w:r>
        <w:r w:rsidR="00A53BD0">
          <w:rPr>
            <w:noProof/>
            <w:webHidden/>
          </w:rPr>
        </w:r>
        <w:r w:rsidR="00A53BD0">
          <w:rPr>
            <w:noProof/>
            <w:webHidden/>
          </w:rPr>
          <w:fldChar w:fldCharType="separate"/>
        </w:r>
        <w:r w:rsidR="00E54F87">
          <w:rPr>
            <w:noProof/>
            <w:webHidden/>
          </w:rPr>
          <w:t>68</w:t>
        </w:r>
        <w:r w:rsidR="00A53BD0">
          <w:rPr>
            <w:noProof/>
            <w:webHidden/>
          </w:rPr>
          <w:fldChar w:fldCharType="end"/>
        </w:r>
      </w:hyperlink>
    </w:p>
    <w:p w14:paraId="5A311143"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398" w:history="1">
        <w:r w:rsidR="00344727" w:rsidRPr="00C16B96">
          <w:rPr>
            <w:rStyle w:val="afd"/>
            <w:rFonts w:ascii="Times New Roman" w:hAnsi="Times New Roman"/>
            <w:noProof/>
          </w:rPr>
          <w:t>3.2.8</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对外金融资产负债及交易数据</w:t>
        </w:r>
        <w:r w:rsidR="00344727">
          <w:rPr>
            <w:noProof/>
            <w:webHidden/>
          </w:rPr>
          <w:tab/>
        </w:r>
        <w:r w:rsidR="00A53BD0">
          <w:rPr>
            <w:noProof/>
            <w:webHidden/>
          </w:rPr>
          <w:fldChar w:fldCharType="begin"/>
        </w:r>
        <w:r w:rsidR="00344727">
          <w:rPr>
            <w:noProof/>
            <w:webHidden/>
          </w:rPr>
          <w:instrText xml:space="preserve"> PAGEREF _Toc101684398 \h </w:instrText>
        </w:r>
        <w:r w:rsidR="00A53BD0">
          <w:rPr>
            <w:noProof/>
            <w:webHidden/>
          </w:rPr>
        </w:r>
        <w:r w:rsidR="00A53BD0">
          <w:rPr>
            <w:noProof/>
            <w:webHidden/>
          </w:rPr>
          <w:fldChar w:fldCharType="separate"/>
        </w:r>
        <w:r w:rsidR="00E54F87">
          <w:rPr>
            <w:noProof/>
            <w:webHidden/>
          </w:rPr>
          <w:t>68</w:t>
        </w:r>
        <w:r w:rsidR="00A53BD0">
          <w:rPr>
            <w:noProof/>
            <w:webHidden/>
          </w:rPr>
          <w:fldChar w:fldCharType="end"/>
        </w:r>
      </w:hyperlink>
    </w:p>
    <w:p w14:paraId="27702C14"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399" w:history="1">
        <w:r w:rsidR="00344727" w:rsidRPr="00C16B96">
          <w:rPr>
            <w:rStyle w:val="afd"/>
            <w:rFonts w:ascii="Times New Roman" w:hAnsi="Times New Roman"/>
            <w:noProof/>
          </w:rPr>
          <w:t>3.2.9</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机构外币现钞存取数据</w:t>
        </w:r>
        <w:r w:rsidR="00344727">
          <w:rPr>
            <w:noProof/>
            <w:webHidden/>
          </w:rPr>
          <w:tab/>
        </w:r>
        <w:r w:rsidR="00A53BD0">
          <w:rPr>
            <w:noProof/>
            <w:webHidden/>
          </w:rPr>
          <w:fldChar w:fldCharType="begin"/>
        </w:r>
        <w:r w:rsidR="00344727">
          <w:rPr>
            <w:noProof/>
            <w:webHidden/>
          </w:rPr>
          <w:instrText xml:space="preserve"> PAGEREF _Toc101684399 \h </w:instrText>
        </w:r>
        <w:r w:rsidR="00A53BD0">
          <w:rPr>
            <w:noProof/>
            <w:webHidden/>
          </w:rPr>
        </w:r>
        <w:r w:rsidR="00A53BD0">
          <w:rPr>
            <w:noProof/>
            <w:webHidden/>
          </w:rPr>
          <w:fldChar w:fldCharType="separate"/>
        </w:r>
        <w:r w:rsidR="00E54F87">
          <w:rPr>
            <w:noProof/>
            <w:webHidden/>
          </w:rPr>
          <w:t>69</w:t>
        </w:r>
        <w:r w:rsidR="00A53BD0">
          <w:rPr>
            <w:noProof/>
            <w:webHidden/>
          </w:rPr>
          <w:fldChar w:fldCharType="end"/>
        </w:r>
      </w:hyperlink>
    </w:p>
    <w:p w14:paraId="1557D4F5"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400" w:history="1">
        <w:r w:rsidR="00344727" w:rsidRPr="00C16B96">
          <w:rPr>
            <w:rStyle w:val="afd"/>
            <w:rFonts w:ascii="Times New Roman" w:hAnsi="Times New Roman"/>
            <w:noProof/>
          </w:rPr>
          <w:t>3.2.10</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银行卡境外交易数据</w:t>
        </w:r>
        <w:r w:rsidR="00344727">
          <w:rPr>
            <w:noProof/>
            <w:webHidden/>
          </w:rPr>
          <w:tab/>
        </w:r>
        <w:r w:rsidR="00A53BD0">
          <w:rPr>
            <w:noProof/>
            <w:webHidden/>
          </w:rPr>
          <w:fldChar w:fldCharType="begin"/>
        </w:r>
        <w:r w:rsidR="00344727">
          <w:rPr>
            <w:noProof/>
            <w:webHidden/>
          </w:rPr>
          <w:instrText xml:space="preserve"> PAGEREF _Toc101684400 \h </w:instrText>
        </w:r>
        <w:r w:rsidR="00A53BD0">
          <w:rPr>
            <w:noProof/>
            <w:webHidden/>
          </w:rPr>
        </w:r>
        <w:r w:rsidR="00A53BD0">
          <w:rPr>
            <w:noProof/>
            <w:webHidden/>
          </w:rPr>
          <w:fldChar w:fldCharType="separate"/>
        </w:r>
        <w:r w:rsidR="00E54F87">
          <w:rPr>
            <w:noProof/>
            <w:webHidden/>
          </w:rPr>
          <w:t>70</w:t>
        </w:r>
        <w:r w:rsidR="00A53BD0">
          <w:rPr>
            <w:noProof/>
            <w:webHidden/>
          </w:rPr>
          <w:fldChar w:fldCharType="end"/>
        </w:r>
      </w:hyperlink>
    </w:p>
    <w:p w14:paraId="65917EBD"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401" w:history="1">
        <w:r w:rsidR="00344727" w:rsidRPr="00C16B96">
          <w:rPr>
            <w:rStyle w:val="afd"/>
            <w:rFonts w:ascii="Times New Roman" w:hAnsi="Times New Roman"/>
            <w:noProof/>
          </w:rPr>
          <w:t>3.2.11</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涉嫌外汇违规账户信息</w:t>
        </w:r>
        <w:r w:rsidR="00344727">
          <w:rPr>
            <w:noProof/>
            <w:webHidden/>
          </w:rPr>
          <w:tab/>
        </w:r>
        <w:r w:rsidR="00A53BD0">
          <w:rPr>
            <w:noProof/>
            <w:webHidden/>
          </w:rPr>
          <w:fldChar w:fldCharType="begin"/>
        </w:r>
        <w:r w:rsidR="00344727">
          <w:rPr>
            <w:noProof/>
            <w:webHidden/>
          </w:rPr>
          <w:instrText xml:space="preserve"> PAGEREF _Toc101684401 \h </w:instrText>
        </w:r>
        <w:r w:rsidR="00A53BD0">
          <w:rPr>
            <w:noProof/>
            <w:webHidden/>
          </w:rPr>
        </w:r>
        <w:r w:rsidR="00A53BD0">
          <w:rPr>
            <w:noProof/>
            <w:webHidden/>
          </w:rPr>
          <w:fldChar w:fldCharType="separate"/>
        </w:r>
        <w:r w:rsidR="00E54F87">
          <w:rPr>
            <w:noProof/>
            <w:webHidden/>
          </w:rPr>
          <w:t>70</w:t>
        </w:r>
        <w:r w:rsidR="00A53BD0">
          <w:rPr>
            <w:noProof/>
            <w:webHidden/>
          </w:rPr>
          <w:fldChar w:fldCharType="end"/>
        </w:r>
      </w:hyperlink>
    </w:p>
    <w:p w14:paraId="19B7FA4B"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402" w:history="1">
        <w:r w:rsidR="00344727" w:rsidRPr="00C16B96">
          <w:rPr>
            <w:rStyle w:val="afd"/>
            <w:rFonts w:ascii="Times New Roman" w:hAnsi="Times New Roman"/>
            <w:noProof/>
          </w:rPr>
          <w:t>3.2.12</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机构大额结售汇资金来源和使用数据</w:t>
        </w:r>
        <w:r w:rsidR="00344727">
          <w:rPr>
            <w:noProof/>
            <w:webHidden/>
          </w:rPr>
          <w:tab/>
        </w:r>
        <w:r w:rsidR="00A53BD0">
          <w:rPr>
            <w:noProof/>
            <w:webHidden/>
          </w:rPr>
          <w:fldChar w:fldCharType="begin"/>
        </w:r>
        <w:r w:rsidR="00344727">
          <w:rPr>
            <w:noProof/>
            <w:webHidden/>
          </w:rPr>
          <w:instrText xml:space="preserve"> PAGEREF _Toc101684402 \h </w:instrText>
        </w:r>
        <w:r w:rsidR="00A53BD0">
          <w:rPr>
            <w:noProof/>
            <w:webHidden/>
          </w:rPr>
        </w:r>
        <w:r w:rsidR="00A53BD0">
          <w:rPr>
            <w:noProof/>
            <w:webHidden/>
          </w:rPr>
          <w:fldChar w:fldCharType="separate"/>
        </w:r>
        <w:r w:rsidR="00E54F87">
          <w:rPr>
            <w:noProof/>
            <w:webHidden/>
          </w:rPr>
          <w:t>70</w:t>
        </w:r>
        <w:r w:rsidR="00A53BD0">
          <w:rPr>
            <w:noProof/>
            <w:webHidden/>
          </w:rPr>
          <w:fldChar w:fldCharType="end"/>
        </w:r>
      </w:hyperlink>
    </w:p>
    <w:p w14:paraId="4209DCB9" w14:textId="77777777" w:rsidR="00344727" w:rsidRDefault="003C2B32" w:rsidP="00344727">
      <w:pPr>
        <w:pStyle w:val="TOC2"/>
        <w:tabs>
          <w:tab w:val="right" w:leader="dot" w:pos="8296"/>
        </w:tabs>
        <w:ind w:firstLine="480"/>
        <w:rPr>
          <w:rFonts w:asciiTheme="minorHAnsi" w:eastAsiaTheme="minorEastAsia" w:hAnsiTheme="minorHAnsi" w:cstheme="minorBidi"/>
          <w:noProof/>
          <w:kern w:val="2"/>
          <w:sz w:val="21"/>
          <w:szCs w:val="22"/>
        </w:rPr>
      </w:pPr>
      <w:hyperlink w:anchor="_Toc101684403" w:history="1">
        <w:r w:rsidR="00344727" w:rsidRPr="00C16B96">
          <w:rPr>
            <w:rStyle w:val="afd"/>
            <w:rFonts w:ascii="Times New Roman" w:hAnsi="Times New Roman"/>
            <w:noProof/>
          </w:rPr>
          <w:t>3.3</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数据报送原则</w:t>
        </w:r>
        <w:r w:rsidR="00344727">
          <w:rPr>
            <w:noProof/>
            <w:webHidden/>
          </w:rPr>
          <w:tab/>
        </w:r>
        <w:r w:rsidR="00A53BD0">
          <w:rPr>
            <w:noProof/>
            <w:webHidden/>
          </w:rPr>
          <w:fldChar w:fldCharType="begin"/>
        </w:r>
        <w:r w:rsidR="00344727">
          <w:rPr>
            <w:noProof/>
            <w:webHidden/>
          </w:rPr>
          <w:instrText xml:space="preserve"> PAGEREF _Toc101684403 \h </w:instrText>
        </w:r>
        <w:r w:rsidR="00A53BD0">
          <w:rPr>
            <w:noProof/>
            <w:webHidden/>
          </w:rPr>
        </w:r>
        <w:r w:rsidR="00A53BD0">
          <w:rPr>
            <w:noProof/>
            <w:webHidden/>
          </w:rPr>
          <w:fldChar w:fldCharType="separate"/>
        </w:r>
        <w:r w:rsidR="00E54F87">
          <w:rPr>
            <w:noProof/>
            <w:webHidden/>
          </w:rPr>
          <w:t>71</w:t>
        </w:r>
        <w:r w:rsidR="00A53BD0">
          <w:rPr>
            <w:noProof/>
            <w:webHidden/>
          </w:rPr>
          <w:fldChar w:fldCharType="end"/>
        </w:r>
      </w:hyperlink>
    </w:p>
    <w:p w14:paraId="0F657802"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404" w:history="1">
        <w:r w:rsidR="00344727" w:rsidRPr="00C16B96">
          <w:rPr>
            <w:rStyle w:val="afd"/>
            <w:rFonts w:ascii="Times New Roman" w:hAnsi="Times New Roman"/>
            <w:noProof/>
          </w:rPr>
          <w:t>3.3.1</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数据接口报送原则</w:t>
        </w:r>
        <w:r w:rsidR="00344727">
          <w:rPr>
            <w:noProof/>
            <w:webHidden/>
          </w:rPr>
          <w:tab/>
        </w:r>
        <w:r w:rsidR="00A53BD0">
          <w:rPr>
            <w:noProof/>
            <w:webHidden/>
          </w:rPr>
          <w:fldChar w:fldCharType="begin"/>
        </w:r>
        <w:r w:rsidR="00344727">
          <w:rPr>
            <w:noProof/>
            <w:webHidden/>
          </w:rPr>
          <w:instrText xml:space="preserve"> PAGEREF _Toc101684404 \h </w:instrText>
        </w:r>
        <w:r w:rsidR="00A53BD0">
          <w:rPr>
            <w:noProof/>
            <w:webHidden/>
          </w:rPr>
        </w:r>
        <w:r w:rsidR="00A53BD0">
          <w:rPr>
            <w:noProof/>
            <w:webHidden/>
          </w:rPr>
          <w:fldChar w:fldCharType="separate"/>
        </w:r>
        <w:r w:rsidR="00E54F87">
          <w:rPr>
            <w:noProof/>
            <w:webHidden/>
          </w:rPr>
          <w:t>71</w:t>
        </w:r>
        <w:r w:rsidR="00A53BD0">
          <w:rPr>
            <w:noProof/>
            <w:webHidden/>
          </w:rPr>
          <w:fldChar w:fldCharType="end"/>
        </w:r>
      </w:hyperlink>
    </w:p>
    <w:p w14:paraId="42B98D30"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405" w:history="1">
        <w:r w:rsidR="00344727" w:rsidRPr="00C16B96">
          <w:rPr>
            <w:rStyle w:val="afd"/>
            <w:rFonts w:ascii="Times New Roman" w:hAnsi="Times New Roman"/>
            <w:noProof/>
          </w:rPr>
          <w:t>3.3.2</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规范格式文件导入或界面录入数据的报送原则</w:t>
        </w:r>
        <w:r w:rsidR="00344727">
          <w:rPr>
            <w:noProof/>
            <w:webHidden/>
          </w:rPr>
          <w:tab/>
        </w:r>
        <w:r w:rsidR="00A53BD0">
          <w:rPr>
            <w:noProof/>
            <w:webHidden/>
          </w:rPr>
          <w:fldChar w:fldCharType="begin"/>
        </w:r>
        <w:r w:rsidR="00344727">
          <w:rPr>
            <w:noProof/>
            <w:webHidden/>
          </w:rPr>
          <w:instrText xml:space="preserve"> PAGEREF _Toc101684405 \h </w:instrText>
        </w:r>
        <w:r w:rsidR="00A53BD0">
          <w:rPr>
            <w:noProof/>
            <w:webHidden/>
          </w:rPr>
        </w:r>
        <w:r w:rsidR="00A53BD0">
          <w:rPr>
            <w:noProof/>
            <w:webHidden/>
          </w:rPr>
          <w:fldChar w:fldCharType="separate"/>
        </w:r>
        <w:r w:rsidR="00E54F87">
          <w:rPr>
            <w:noProof/>
            <w:webHidden/>
          </w:rPr>
          <w:t>72</w:t>
        </w:r>
        <w:r w:rsidR="00A53BD0">
          <w:rPr>
            <w:noProof/>
            <w:webHidden/>
          </w:rPr>
          <w:fldChar w:fldCharType="end"/>
        </w:r>
      </w:hyperlink>
    </w:p>
    <w:p w14:paraId="636A4792"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406" w:history="1">
        <w:r w:rsidR="00344727" w:rsidRPr="00C16B96">
          <w:rPr>
            <w:rStyle w:val="afd"/>
            <w:rFonts w:ascii="Times New Roman" w:hAnsi="Times New Roman"/>
            <w:noProof/>
          </w:rPr>
          <w:t>3.3.3</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对外金融资产负债及交易统计数据的报送原则</w:t>
        </w:r>
        <w:r w:rsidR="00344727">
          <w:rPr>
            <w:noProof/>
            <w:webHidden/>
          </w:rPr>
          <w:tab/>
        </w:r>
        <w:r w:rsidR="00A53BD0">
          <w:rPr>
            <w:noProof/>
            <w:webHidden/>
          </w:rPr>
          <w:fldChar w:fldCharType="begin"/>
        </w:r>
        <w:r w:rsidR="00344727">
          <w:rPr>
            <w:noProof/>
            <w:webHidden/>
          </w:rPr>
          <w:instrText xml:space="preserve"> PAGEREF _Toc101684406 \h </w:instrText>
        </w:r>
        <w:r w:rsidR="00A53BD0">
          <w:rPr>
            <w:noProof/>
            <w:webHidden/>
          </w:rPr>
        </w:r>
        <w:r w:rsidR="00A53BD0">
          <w:rPr>
            <w:noProof/>
            <w:webHidden/>
          </w:rPr>
          <w:fldChar w:fldCharType="separate"/>
        </w:r>
        <w:r w:rsidR="00E54F87">
          <w:rPr>
            <w:noProof/>
            <w:webHidden/>
          </w:rPr>
          <w:t>72</w:t>
        </w:r>
        <w:r w:rsidR="00A53BD0">
          <w:rPr>
            <w:noProof/>
            <w:webHidden/>
          </w:rPr>
          <w:fldChar w:fldCharType="end"/>
        </w:r>
      </w:hyperlink>
    </w:p>
    <w:p w14:paraId="7F48A3C5"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407" w:history="1">
        <w:r w:rsidR="00344727" w:rsidRPr="00C16B96">
          <w:rPr>
            <w:rStyle w:val="afd"/>
            <w:rFonts w:ascii="Times New Roman" w:hAnsi="Times New Roman"/>
            <w:noProof/>
          </w:rPr>
          <w:t>3.3.4</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银行卡境外交易数据的报送原则</w:t>
        </w:r>
        <w:r w:rsidR="00344727">
          <w:rPr>
            <w:noProof/>
            <w:webHidden/>
          </w:rPr>
          <w:tab/>
        </w:r>
        <w:r w:rsidR="00A53BD0">
          <w:rPr>
            <w:noProof/>
            <w:webHidden/>
          </w:rPr>
          <w:fldChar w:fldCharType="begin"/>
        </w:r>
        <w:r w:rsidR="00344727">
          <w:rPr>
            <w:noProof/>
            <w:webHidden/>
          </w:rPr>
          <w:instrText xml:space="preserve"> PAGEREF _Toc101684407 \h </w:instrText>
        </w:r>
        <w:r w:rsidR="00A53BD0">
          <w:rPr>
            <w:noProof/>
            <w:webHidden/>
          </w:rPr>
        </w:r>
        <w:r w:rsidR="00A53BD0">
          <w:rPr>
            <w:noProof/>
            <w:webHidden/>
          </w:rPr>
          <w:fldChar w:fldCharType="separate"/>
        </w:r>
        <w:r w:rsidR="00E54F87">
          <w:rPr>
            <w:noProof/>
            <w:webHidden/>
          </w:rPr>
          <w:t>72</w:t>
        </w:r>
        <w:r w:rsidR="00A53BD0">
          <w:rPr>
            <w:noProof/>
            <w:webHidden/>
          </w:rPr>
          <w:fldChar w:fldCharType="end"/>
        </w:r>
      </w:hyperlink>
    </w:p>
    <w:p w14:paraId="20BFC6D0"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408" w:history="1">
        <w:r w:rsidR="00344727" w:rsidRPr="00C16B96">
          <w:rPr>
            <w:rStyle w:val="afd"/>
            <w:rFonts w:ascii="Times New Roman" w:hAnsi="Times New Roman"/>
            <w:noProof/>
          </w:rPr>
          <w:t>3.3.5</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涉嫌外汇违规账户信息报送原则</w:t>
        </w:r>
        <w:r w:rsidR="00344727">
          <w:rPr>
            <w:noProof/>
            <w:webHidden/>
          </w:rPr>
          <w:tab/>
        </w:r>
        <w:r w:rsidR="00A53BD0">
          <w:rPr>
            <w:noProof/>
            <w:webHidden/>
          </w:rPr>
          <w:fldChar w:fldCharType="begin"/>
        </w:r>
        <w:r w:rsidR="00344727">
          <w:rPr>
            <w:noProof/>
            <w:webHidden/>
          </w:rPr>
          <w:instrText xml:space="preserve"> PAGEREF _Toc101684408 \h </w:instrText>
        </w:r>
        <w:r w:rsidR="00A53BD0">
          <w:rPr>
            <w:noProof/>
            <w:webHidden/>
          </w:rPr>
        </w:r>
        <w:r w:rsidR="00A53BD0">
          <w:rPr>
            <w:noProof/>
            <w:webHidden/>
          </w:rPr>
          <w:fldChar w:fldCharType="separate"/>
        </w:r>
        <w:r w:rsidR="00E54F87">
          <w:rPr>
            <w:noProof/>
            <w:webHidden/>
          </w:rPr>
          <w:t>73</w:t>
        </w:r>
        <w:r w:rsidR="00A53BD0">
          <w:rPr>
            <w:noProof/>
            <w:webHidden/>
          </w:rPr>
          <w:fldChar w:fldCharType="end"/>
        </w:r>
      </w:hyperlink>
    </w:p>
    <w:p w14:paraId="783AD1FB"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409" w:history="1">
        <w:r w:rsidR="00344727" w:rsidRPr="00C16B96">
          <w:rPr>
            <w:rStyle w:val="afd"/>
            <w:rFonts w:ascii="Times New Roman" w:hAnsi="Times New Roman"/>
            <w:noProof/>
          </w:rPr>
          <w:t>3.3.6</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机构大额结售汇资金来源和使用数据报送原则</w:t>
        </w:r>
        <w:r w:rsidR="00344727">
          <w:rPr>
            <w:noProof/>
            <w:webHidden/>
          </w:rPr>
          <w:tab/>
        </w:r>
        <w:r w:rsidR="00A53BD0">
          <w:rPr>
            <w:noProof/>
            <w:webHidden/>
          </w:rPr>
          <w:fldChar w:fldCharType="begin"/>
        </w:r>
        <w:r w:rsidR="00344727">
          <w:rPr>
            <w:noProof/>
            <w:webHidden/>
          </w:rPr>
          <w:instrText xml:space="preserve"> PAGEREF _Toc101684409 \h </w:instrText>
        </w:r>
        <w:r w:rsidR="00A53BD0">
          <w:rPr>
            <w:noProof/>
            <w:webHidden/>
          </w:rPr>
        </w:r>
        <w:r w:rsidR="00A53BD0">
          <w:rPr>
            <w:noProof/>
            <w:webHidden/>
          </w:rPr>
          <w:fldChar w:fldCharType="separate"/>
        </w:r>
        <w:r w:rsidR="00E54F87">
          <w:rPr>
            <w:noProof/>
            <w:webHidden/>
          </w:rPr>
          <w:t>73</w:t>
        </w:r>
        <w:r w:rsidR="00A53BD0">
          <w:rPr>
            <w:noProof/>
            <w:webHidden/>
          </w:rPr>
          <w:fldChar w:fldCharType="end"/>
        </w:r>
      </w:hyperlink>
    </w:p>
    <w:p w14:paraId="039681C6" w14:textId="77777777" w:rsidR="00344727" w:rsidRDefault="003C2B32">
      <w:pPr>
        <w:pStyle w:val="TOC1"/>
        <w:rPr>
          <w:rFonts w:asciiTheme="minorHAnsi" w:eastAsiaTheme="minorEastAsia" w:hAnsiTheme="minorHAnsi" w:cstheme="minorBidi"/>
          <w:noProof/>
          <w:kern w:val="2"/>
          <w:sz w:val="21"/>
          <w:szCs w:val="22"/>
        </w:rPr>
      </w:pPr>
      <w:hyperlink w:anchor="_Toc101684410" w:history="1">
        <w:r w:rsidR="00344727" w:rsidRPr="00C16B96">
          <w:rPr>
            <w:rStyle w:val="afd"/>
            <w:rFonts w:ascii="Times New Roman" w:hAnsi="Times New Roman" w:hint="eastAsia"/>
            <w:noProof/>
          </w:rPr>
          <w:t>第四章</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接口文件命名与报送规范</w:t>
        </w:r>
        <w:r w:rsidR="00344727">
          <w:rPr>
            <w:noProof/>
            <w:webHidden/>
          </w:rPr>
          <w:tab/>
        </w:r>
        <w:r w:rsidR="00A53BD0">
          <w:rPr>
            <w:noProof/>
            <w:webHidden/>
          </w:rPr>
          <w:fldChar w:fldCharType="begin"/>
        </w:r>
        <w:r w:rsidR="00344727">
          <w:rPr>
            <w:noProof/>
            <w:webHidden/>
          </w:rPr>
          <w:instrText xml:space="preserve"> PAGEREF _Toc101684410 \h </w:instrText>
        </w:r>
        <w:r w:rsidR="00A53BD0">
          <w:rPr>
            <w:noProof/>
            <w:webHidden/>
          </w:rPr>
        </w:r>
        <w:r w:rsidR="00A53BD0">
          <w:rPr>
            <w:noProof/>
            <w:webHidden/>
          </w:rPr>
          <w:fldChar w:fldCharType="separate"/>
        </w:r>
        <w:r w:rsidR="00E54F87">
          <w:rPr>
            <w:noProof/>
            <w:webHidden/>
          </w:rPr>
          <w:t>74</w:t>
        </w:r>
        <w:r w:rsidR="00A53BD0">
          <w:rPr>
            <w:noProof/>
            <w:webHidden/>
          </w:rPr>
          <w:fldChar w:fldCharType="end"/>
        </w:r>
      </w:hyperlink>
    </w:p>
    <w:p w14:paraId="3FFD3882" w14:textId="77777777" w:rsidR="00344727" w:rsidRDefault="003C2B32" w:rsidP="00344727">
      <w:pPr>
        <w:pStyle w:val="TOC2"/>
        <w:tabs>
          <w:tab w:val="right" w:leader="dot" w:pos="8296"/>
        </w:tabs>
        <w:ind w:firstLine="480"/>
        <w:rPr>
          <w:rFonts w:asciiTheme="minorHAnsi" w:eastAsiaTheme="minorEastAsia" w:hAnsiTheme="minorHAnsi" w:cstheme="minorBidi"/>
          <w:noProof/>
          <w:kern w:val="2"/>
          <w:sz w:val="21"/>
          <w:szCs w:val="22"/>
        </w:rPr>
      </w:pPr>
      <w:hyperlink w:anchor="_Toc101684411" w:history="1">
        <w:r w:rsidR="00344727" w:rsidRPr="00C16B96">
          <w:rPr>
            <w:rStyle w:val="afd"/>
            <w:rFonts w:ascii="Times New Roman" w:hAnsi="Times New Roman"/>
            <w:noProof/>
          </w:rPr>
          <w:t>4.1</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金融机构信息系统生成的接口文件的命名规则</w:t>
        </w:r>
        <w:r w:rsidR="00344727">
          <w:rPr>
            <w:noProof/>
            <w:webHidden/>
          </w:rPr>
          <w:tab/>
        </w:r>
        <w:r w:rsidR="00A53BD0">
          <w:rPr>
            <w:noProof/>
            <w:webHidden/>
          </w:rPr>
          <w:fldChar w:fldCharType="begin"/>
        </w:r>
        <w:r w:rsidR="00344727">
          <w:rPr>
            <w:noProof/>
            <w:webHidden/>
          </w:rPr>
          <w:instrText xml:space="preserve"> PAGEREF _Toc101684411 \h </w:instrText>
        </w:r>
        <w:r w:rsidR="00A53BD0">
          <w:rPr>
            <w:noProof/>
            <w:webHidden/>
          </w:rPr>
        </w:r>
        <w:r w:rsidR="00A53BD0">
          <w:rPr>
            <w:noProof/>
            <w:webHidden/>
          </w:rPr>
          <w:fldChar w:fldCharType="separate"/>
        </w:r>
        <w:r w:rsidR="00E54F87">
          <w:rPr>
            <w:noProof/>
            <w:webHidden/>
          </w:rPr>
          <w:t>74</w:t>
        </w:r>
        <w:r w:rsidR="00A53BD0">
          <w:rPr>
            <w:noProof/>
            <w:webHidden/>
          </w:rPr>
          <w:fldChar w:fldCharType="end"/>
        </w:r>
      </w:hyperlink>
    </w:p>
    <w:p w14:paraId="706DBA2D"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412" w:history="1">
        <w:r w:rsidR="00344727" w:rsidRPr="00C16B96">
          <w:rPr>
            <w:rStyle w:val="afd"/>
            <w:rFonts w:ascii="Times New Roman" w:hAnsi="Times New Roman"/>
            <w:noProof/>
          </w:rPr>
          <w:t>4.1.1</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涉外收支数据、境内划转数据、组织机构基本情况表</w:t>
        </w:r>
        <w:r w:rsidR="00344727">
          <w:rPr>
            <w:noProof/>
            <w:webHidden/>
          </w:rPr>
          <w:tab/>
        </w:r>
        <w:r w:rsidR="00A53BD0">
          <w:rPr>
            <w:noProof/>
            <w:webHidden/>
          </w:rPr>
          <w:fldChar w:fldCharType="begin"/>
        </w:r>
        <w:r w:rsidR="00344727">
          <w:rPr>
            <w:noProof/>
            <w:webHidden/>
          </w:rPr>
          <w:instrText xml:space="preserve"> PAGEREF _Toc101684412 \h </w:instrText>
        </w:r>
        <w:r w:rsidR="00A53BD0">
          <w:rPr>
            <w:noProof/>
            <w:webHidden/>
          </w:rPr>
        </w:r>
        <w:r w:rsidR="00A53BD0">
          <w:rPr>
            <w:noProof/>
            <w:webHidden/>
          </w:rPr>
          <w:fldChar w:fldCharType="separate"/>
        </w:r>
        <w:r w:rsidR="00E54F87">
          <w:rPr>
            <w:noProof/>
            <w:webHidden/>
          </w:rPr>
          <w:t>74</w:t>
        </w:r>
        <w:r w:rsidR="00A53BD0">
          <w:rPr>
            <w:noProof/>
            <w:webHidden/>
          </w:rPr>
          <w:fldChar w:fldCharType="end"/>
        </w:r>
      </w:hyperlink>
    </w:p>
    <w:p w14:paraId="3C8C4037"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413" w:history="1">
        <w:r w:rsidR="00344727" w:rsidRPr="00C16B96">
          <w:rPr>
            <w:rStyle w:val="afd"/>
            <w:rFonts w:ascii="Times New Roman" w:hAnsi="Times New Roman"/>
            <w:noProof/>
          </w:rPr>
          <w:t>4.1.2</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外汇账户数据</w:t>
        </w:r>
        <w:r w:rsidR="00344727">
          <w:rPr>
            <w:noProof/>
            <w:webHidden/>
          </w:rPr>
          <w:tab/>
        </w:r>
        <w:r w:rsidR="00A53BD0">
          <w:rPr>
            <w:noProof/>
            <w:webHidden/>
          </w:rPr>
          <w:fldChar w:fldCharType="begin"/>
        </w:r>
        <w:r w:rsidR="00344727">
          <w:rPr>
            <w:noProof/>
            <w:webHidden/>
          </w:rPr>
          <w:instrText xml:space="preserve"> PAGEREF _Toc101684413 \h </w:instrText>
        </w:r>
        <w:r w:rsidR="00A53BD0">
          <w:rPr>
            <w:noProof/>
            <w:webHidden/>
          </w:rPr>
        </w:r>
        <w:r w:rsidR="00A53BD0">
          <w:rPr>
            <w:noProof/>
            <w:webHidden/>
          </w:rPr>
          <w:fldChar w:fldCharType="separate"/>
        </w:r>
        <w:r w:rsidR="00E54F87">
          <w:rPr>
            <w:noProof/>
            <w:webHidden/>
          </w:rPr>
          <w:t>75</w:t>
        </w:r>
        <w:r w:rsidR="00A53BD0">
          <w:rPr>
            <w:noProof/>
            <w:webHidden/>
          </w:rPr>
          <w:fldChar w:fldCharType="end"/>
        </w:r>
      </w:hyperlink>
    </w:p>
    <w:p w14:paraId="6B885F29"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414" w:history="1">
        <w:r w:rsidR="00344727" w:rsidRPr="00C16B96">
          <w:rPr>
            <w:rStyle w:val="afd"/>
            <w:rFonts w:ascii="Times New Roman" w:hAnsi="Times New Roman"/>
            <w:noProof/>
          </w:rPr>
          <w:t>4.1.3</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外汇账户内结售汇数据、组织机构基本情况表</w:t>
        </w:r>
        <w:r w:rsidR="00344727">
          <w:rPr>
            <w:noProof/>
            <w:webHidden/>
          </w:rPr>
          <w:tab/>
        </w:r>
        <w:r w:rsidR="00A53BD0">
          <w:rPr>
            <w:noProof/>
            <w:webHidden/>
          </w:rPr>
          <w:fldChar w:fldCharType="begin"/>
        </w:r>
        <w:r w:rsidR="00344727">
          <w:rPr>
            <w:noProof/>
            <w:webHidden/>
          </w:rPr>
          <w:instrText xml:space="preserve"> PAGEREF _Toc101684414 \h </w:instrText>
        </w:r>
        <w:r w:rsidR="00A53BD0">
          <w:rPr>
            <w:noProof/>
            <w:webHidden/>
          </w:rPr>
        </w:r>
        <w:r w:rsidR="00A53BD0">
          <w:rPr>
            <w:noProof/>
            <w:webHidden/>
          </w:rPr>
          <w:fldChar w:fldCharType="separate"/>
        </w:r>
        <w:r w:rsidR="00E54F87">
          <w:rPr>
            <w:noProof/>
            <w:webHidden/>
          </w:rPr>
          <w:t>75</w:t>
        </w:r>
        <w:r w:rsidR="00A53BD0">
          <w:rPr>
            <w:noProof/>
            <w:webHidden/>
          </w:rPr>
          <w:fldChar w:fldCharType="end"/>
        </w:r>
      </w:hyperlink>
    </w:p>
    <w:p w14:paraId="69B79849"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415" w:history="1">
        <w:r w:rsidR="00344727" w:rsidRPr="00C16B96">
          <w:rPr>
            <w:rStyle w:val="afd"/>
            <w:rFonts w:ascii="Times New Roman" w:hAnsi="Times New Roman"/>
            <w:noProof/>
          </w:rPr>
          <w:t>4.1.4</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银行自身资本项目数据（不包括外债）</w:t>
        </w:r>
        <w:r w:rsidR="00344727">
          <w:rPr>
            <w:noProof/>
            <w:webHidden/>
          </w:rPr>
          <w:tab/>
        </w:r>
        <w:r w:rsidR="00A53BD0">
          <w:rPr>
            <w:noProof/>
            <w:webHidden/>
          </w:rPr>
          <w:fldChar w:fldCharType="begin"/>
        </w:r>
        <w:r w:rsidR="00344727">
          <w:rPr>
            <w:noProof/>
            <w:webHidden/>
          </w:rPr>
          <w:instrText xml:space="preserve"> PAGEREF _Toc101684415 \h </w:instrText>
        </w:r>
        <w:r w:rsidR="00A53BD0">
          <w:rPr>
            <w:noProof/>
            <w:webHidden/>
          </w:rPr>
        </w:r>
        <w:r w:rsidR="00A53BD0">
          <w:rPr>
            <w:noProof/>
            <w:webHidden/>
          </w:rPr>
          <w:fldChar w:fldCharType="separate"/>
        </w:r>
        <w:r w:rsidR="00E54F87">
          <w:rPr>
            <w:noProof/>
            <w:webHidden/>
          </w:rPr>
          <w:t>76</w:t>
        </w:r>
        <w:r w:rsidR="00A53BD0">
          <w:rPr>
            <w:noProof/>
            <w:webHidden/>
          </w:rPr>
          <w:fldChar w:fldCharType="end"/>
        </w:r>
      </w:hyperlink>
    </w:p>
    <w:p w14:paraId="435A140B"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416" w:history="1">
        <w:r w:rsidR="00344727" w:rsidRPr="00C16B96">
          <w:rPr>
            <w:rStyle w:val="afd"/>
            <w:rFonts w:ascii="Times New Roman" w:hAnsi="Times New Roman"/>
            <w:noProof/>
          </w:rPr>
          <w:t>4.1.5</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对外金融资产负债及交易信息</w:t>
        </w:r>
        <w:r w:rsidR="00344727">
          <w:rPr>
            <w:noProof/>
            <w:webHidden/>
          </w:rPr>
          <w:tab/>
        </w:r>
        <w:r w:rsidR="00A53BD0">
          <w:rPr>
            <w:noProof/>
            <w:webHidden/>
          </w:rPr>
          <w:fldChar w:fldCharType="begin"/>
        </w:r>
        <w:r w:rsidR="00344727">
          <w:rPr>
            <w:noProof/>
            <w:webHidden/>
          </w:rPr>
          <w:instrText xml:space="preserve"> PAGEREF _Toc101684416 \h </w:instrText>
        </w:r>
        <w:r w:rsidR="00A53BD0">
          <w:rPr>
            <w:noProof/>
            <w:webHidden/>
          </w:rPr>
        </w:r>
        <w:r w:rsidR="00A53BD0">
          <w:rPr>
            <w:noProof/>
            <w:webHidden/>
          </w:rPr>
          <w:fldChar w:fldCharType="separate"/>
        </w:r>
        <w:r w:rsidR="00E54F87">
          <w:rPr>
            <w:noProof/>
            <w:webHidden/>
          </w:rPr>
          <w:t>76</w:t>
        </w:r>
        <w:r w:rsidR="00A53BD0">
          <w:rPr>
            <w:noProof/>
            <w:webHidden/>
          </w:rPr>
          <w:fldChar w:fldCharType="end"/>
        </w:r>
      </w:hyperlink>
    </w:p>
    <w:p w14:paraId="71BFB692"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417" w:history="1">
        <w:r w:rsidR="00344727" w:rsidRPr="00C16B96">
          <w:rPr>
            <w:rStyle w:val="afd"/>
            <w:rFonts w:ascii="Times New Roman" w:hAnsi="Times New Roman"/>
            <w:noProof/>
          </w:rPr>
          <w:t>4.1.6</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机构外币现钞存取数据</w:t>
        </w:r>
        <w:r w:rsidR="00344727">
          <w:rPr>
            <w:noProof/>
            <w:webHidden/>
          </w:rPr>
          <w:tab/>
        </w:r>
        <w:r w:rsidR="00A53BD0">
          <w:rPr>
            <w:noProof/>
            <w:webHidden/>
          </w:rPr>
          <w:fldChar w:fldCharType="begin"/>
        </w:r>
        <w:r w:rsidR="00344727">
          <w:rPr>
            <w:noProof/>
            <w:webHidden/>
          </w:rPr>
          <w:instrText xml:space="preserve"> PAGEREF _Toc101684417 \h </w:instrText>
        </w:r>
        <w:r w:rsidR="00A53BD0">
          <w:rPr>
            <w:noProof/>
            <w:webHidden/>
          </w:rPr>
        </w:r>
        <w:r w:rsidR="00A53BD0">
          <w:rPr>
            <w:noProof/>
            <w:webHidden/>
          </w:rPr>
          <w:fldChar w:fldCharType="separate"/>
        </w:r>
        <w:r w:rsidR="00E54F87">
          <w:rPr>
            <w:noProof/>
            <w:webHidden/>
          </w:rPr>
          <w:t>78</w:t>
        </w:r>
        <w:r w:rsidR="00A53BD0">
          <w:rPr>
            <w:noProof/>
            <w:webHidden/>
          </w:rPr>
          <w:fldChar w:fldCharType="end"/>
        </w:r>
      </w:hyperlink>
    </w:p>
    <w:p w14:paraId="62CBF14E"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418" w:history="1">
        <w:r w:rsidR="00344727" w:rsidRPr="00C16B96">
          <w:rPr>
            <w:rStyle w:val="afd"/>
            <w:rFonts w:ascii="Times New Roman" w:hAnsi="Times New Roman"/>
            <w:noProof/>
          </w:rPr>
          <w:t>4.1.7</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银行自身外债数据</w:t>
        </w:r>
        <w:r w:rsidR="00344727">
          <w:rPr>
            <w:noProof/>
            <w:webHidden/>
          </w:rPr>
          <w:tab/>
        </w:r>
        <w:r w:rsidR="00A53BD0">
          <w:rPr>
            <w:noProof/>
            <w:webHidden/>
          </w:rPr>
          <w:fldChar w:fldCharType="begin"/>
        </w:r>
        <w:r w:rsidR="00344727">
          <w:rPr>
            <w:noProof/>
            <w:webHidden/>
          </w:rPr>
          <w:instrText xml:space="preserve"> PAGEREF _Toc101684418 \h </w:instrText>
        </w:r>
        <w:r w:rsidR="00A53BD0">
          <w:rPr>
            <w:noProof/>
            <w:webHidden/>
          </w:rPr>
        </w:r>
        <w:r w:rsidR="00A53BD0">
          <w:rPr>
            <w:noProof/>
            <w:webHidden/>
          </w:rPr>
          <w:fldChar w:fldCharType="separate"/>
        </w:r>
        <w:r w:rsidR="00E54F87">
          <w:rPr>
            <w:noProof/>
            <w:webHidden/>
          </w:rPr>
          <w:t>78</w:t>
        </w:r>
        <w:r w:rsidR="00A53BD0">
          <w:rPr>
            <w:noProof/>
            <w:webHidden/>
          </w:rPr>
          <w:fldChar w:fldCharType="end"/>
        </w:r>
      </w:hyperlink>
    </w:p>
    <w:p w14:paraId="44F51753"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419" w:history="1">
        <w:r w:rsidR="00344727" w:rsidRPr="00C16B96">
          <w:rPr>
            <w:rStyle w:val="afd"/>
            <w:rFonts w:ascii="Times New Roman" w:hAnsi="Times New Roman"/>
            <w:noProof/>
          </w:rPr>
          <w:t>4.1.8</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银行卡境外交易数据</w:t>
        </w:r>
        <w:r w:rsidR="00344727">
          <w:rPr>
            <w:noProof/>
            <w:webHidden/>
          </w:rPr>
          <w:tab/>
        </w:r>
        <w:r w:rsidR="00A53BD0">
          <w:rPr>
            <w:noProof/>
            <w:webHidden/>
          </w:rPr>
          <w:fldChar w:fldCharType="begin"/>
        </w:r>
        <w:r w:rsidR="00344727">
          <w:rPr>
            <w:noProof/>
            <w:webHidden/>
          </w:rPr>
          <w:instrText xml:space="preserve"> PAGEREF _Toc101684419 \h </w:instrText>
        </w:r>
        <w:r w:rsidR="00A53BD0">
          <w:rPr>
            <w:noProof/>
            <w:webHidden/>
          </w:rPr>
        </w:r>
        <w:r w:rsidR="00A53BD0">
          <w:rPr>
            <w:noProof/>
            <w:webHidden/>
          </w:rPr>
          <w:fldChar w:fldCharType="separate"/>
        </w:r>
        <w:r w:rsidR="00E54F87">
          <w:rPr>
            <w:noProof/>
            <w:webHidden/>
          </w:rPr>
          <w:t>79</w:t>
        </w:r>
        <w:r w:rsidR="00A53BD0">
          <w:rPr>
            <w:noProof/>
            <w:webHidden/>
          </w:rPr>
          <w:fldChar w:fldCharType="end"/>
        </w:r>
      </w:hyperlink>
    </w:p>
    <w:p w14:paraId="098CAAC4"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420" w:history="1">
        <w:r w:rsidR="00344727" w:rsidRPr="00C16B96">
          <w:rPr>
            <w:rStyle w:val="afd"/>
            <w:rFonts w:ascii="Times New Roman" w:hAnsi="Times New Roman"/>
            <w:noProof/>
          </w:rPr>
          <w:t>4.1.9</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涉嫌外汇违规账户信息、机构大额结售汇资金来源和使用数据</w:t>
        </w:r>
        <w:r w:rsidR="00344727">
          <w:rPr>
            <w:noProof/>
            <w:webHidden/>
          </w:rPr>
          <w:tab/>
        </w:r>
        <w:r w:rsidR="00A53BD0">
          <w:rPr>
            <w:noProof/>
            <w:webHidden/>
          </w:rPr>
          <w:fldChar w:fldCharType="begin"/>
        </w:r>
        <w:r w:rsidR="00344727">
          <w:rPr>
            <w:noProof/>
            <w:webHidden/>
          </w:rPr>
          <w:instrText xml:space="preserve"> PAGEREF _Toc101684420 \h </w:instrText>
        </w:r>
        <w:r w:rsidR="00A53BD0">
          <w:rPr>
            <w:noProof/>
            <w:webHidden/>
          </w:rPr>
        </w:r>
        <w:r w:rsidR="00A53BD0">
          <w:rPr>
            <w:noProof/>
            <w:webHidden/>
          </w:rPr>
          <w:fldChar w:fldCharType="separate"/>
        </w:r>
        <w:r w:rsidR="00E54F87">
          <w:rPr>
            <w:noProof/>
            <w:webHidden/>
          </w:rPr>
          <w:t>80</w:t>
        </w:r>
        <w:r w:rsidR="00A53BD0">
          <w:rPr>
            <w:noProof/>
            <w:webHidden/>
          </w:rPr>
          <w:fldChar w:fldCharType="end"/>
        </w:r>
      </w:hyperlink>
    </w:p>
    <w:p w14:paraId="747FCBFC" w14:textId="77777777" w:rsidR="00344727" w:rsidRDefault="003C2B32" w:rsidP="00344727">
      <w:pPr>
        <w:pStyle w:val="TOC2"/>
        <w:tabs>
          <w:tab w:val="right" w:leader="dot" w:pos="8296"/>
        </w:tabs>
        <w:ind w:firstLine="480"/>
        <w:rPr>
          <w:rFonts w:asciiTheme="minorHAnsi" w:eastAsiaTheme="minorEastAsia" w:hAnsiTheme="minorHAnsi" w:cstheme="minorBidi"/>
          <w:noProof/>
          <w:kern w:val="2"/>
          <w:sz w:val="21"/>
          <w:szCs w:val="22"/>
        </w:rPr>
      </w:pPr>
      <w:hyperlink w:anchor="_Toc101684421" w:history="1">
        <w:r w:rsidR="00344727" w:rsidRPr="00C16B96">
          <w:rPr>
            <w:rStyle w:val="afd"/>
            <w:rFonts w:ascii="Times New Roman" w:hAnsi="Times New Roman"/>
            <w:noProof/>
          </w:rPr>
          <w:t>4.2</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接口反馈文件命名规则</w:t>
        </w:r>
        <w:r w:rsidR="00344727">
          <w:rPr>
            <w:noProof/>
            <w:webHidden/>
          </w:rPr>
          <w:tab/>
        </w:r>
        <w:r w:rsidR="00A53BD0">
          <w:rPr>
            <w:noProof/>
            <w:webHidden/>
          </w:rPr>
          <w:fldChar w:fldCharType="begin"/>
        </w:r>
        <w:r w:rsidR="00344727">
          <w:rPr>
            <w:noProof/>
            <w:webHidden/>
          </w:rPr>
          <w:instrText xml:space="preserve"> PAGEREF _Toc101684421 \h </w:instrText>
        </w:r>
        <w:r w:rsidR="00A53BD0">
          <w:rPr>
            <w:noProof/>
            <w:webHidden/>
          </w:rPr>
        </w:r>
        <w:r w:rsidR="00A53BD0">
          <w:rPr>
            <w:noProof/>
            <w:webHidden/>
          </w:rPr>
          <w:fldChar w:fldCharType="separate"/>
        </w:r>
        <w:r w:rsidR="00E54F87">
          <w:rPr>
            <w:noProof/>
            <w:webHidden/>
          </w:rPr>
          <w:t>80</w:t>
        </w:r>
        <w:r w:rsidR="00A53BD0">
          <w:rPr>
            <w:noProof/>
            <w:webHidden/>
          </w:rPr>
          <w:fldChar w:fldCharType="end"/>
        </w:r>
      </w:hyperlink>
    </w:p>
    <w:p w14:paraId="65C177E2" w14:textId="77777777" w:rsidR="00344727" w:rsidRDefault="003C2B32" w:rsidP="00344727">
      <w:pPr>
        <w:pStyle w:val="TOC2"/>
        <w:tabs>
          <w:tab w:val="right" w:leader="dot" w:pos="8296"/>
        </w:tabs>
        <w:ind w:firstLine="480"/>
        <w:rPr>
          <w:rFonts w:asciiTheme="minorHAnsi" w:eastAsiaTheme="minorEastAsia" w:hAnsiTheme="minorHAnsi" w:cstheme="minorBidi"/>
          <w:noProof/>
          <w:kern w:val="2"/>
          <w:sz w:val="21"/>
          <w:szCs w:val="22"/>
        </w:rPr>
      </w:pPr>
      <w:hyperlink w:anchor="_Toc101684422" w:history="1">
        <w:r w:rsidR="00344727" w:rsidRPr="00C16B96">
          <w:rPr>
            <w:rStyle w:val="afd"/>
            <w:rFonts w:ascii="Times New Roman" w:hAnsi="Times New Roman"/>
            <w:noProof/>
          </w:rPr>
          <w:t>4.3</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接口文件报送规范</w:t>
        </w:r>
        <w:r w:rsidR="00344727">
          <w:rPr>
            <w:noProof/>
            <w:webHidden/>
          </w:rPr>
          <w:tab/>
        </w:r>
        <w:r w:rsidR="00A53BD0">
          <w:rPr>
            <w:noProof/>
            <w:webHidden/>
          </w:rPr>
          <w:fldChar w:fldCharType="begin"/>
        </w:r>
        <w:r w:rsidR="00344727">
          <w:rPr>
            <w:noProof/>
            <w:webHidden/>
          </w:rPr>
          <w:instrText xml:space="preserve"> PAGEREF _Toc101684422 \h </w:instrText>
        </w:r>
        <w:r w:rsidR="00A53BD0">
          <w:rPr>
            <w:noProof/>
            <w:webHidden/>
          </w:rPr>
        </w:r>
        <w:r w:rsidR="00A53BD0">
          <w:rPr>
            <w:noProof/>
            <w:webHidden/>
          </w:rPr>
          <w:fldChar w:fldCharType="separate"/>
        </w:r>
        <w:r w:rsidR="00E54F87">
          <w:rPr>
            <w:noProof/>
            <w:webHidden/>
          </w:rPr>
          <w:t>80</w:t>
        </w:r>
        <w:r w:rsidR="00A53BD0">
          <w:rPr>
            <w:noProof/>
            <w:webHidden/>
          </w:rPr>
          <w:fldChar w:fldCharType="end"/>
        </w:r>
      </w:hyperlink>
    </w:p>
    <w:p w14:paraId="4A210453"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423" w:history="1">
        <w:r w:rsidR="00344727" w:rsidRPr="00C16B96">
          <w:rPr>
            <w:rStyle w:val="afd"/>
            <w:rFonts w:ascii="Times New Roman" w:hAnsi="Times New Roman"/>
            <w:noProof/>
          </w:rPr>
          <w:t>4.3.1</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报送及反馈目录规范</w:t>
        </w:r>
        <w:r w:rsidR="00344727">
          <w:rPr>
            <w:noProof/>
            <w:webHidden/>
          </w:rPr>
          <w:tab/>
        </w:r>
        <w:r w:rsidR="00A53BD0">
          <w:rPr>
            <w:noProof/>
            <w:webHidden/>
          </w:rPr>
          <w:fldChar w:fldCharType="begin"/>
        </w:r>
        <w:r w:rsidR="00344727">
          <w:rPr>
            <w:noProof/>
            <w:webHidden/>
          </w:rPr>
          <w:instrText xml:space="preserve"> PAGEREF _Toc101684423 \h </w:instrText>
        </w:r>
        <w:r w:rsidR="00A53BD0">
          <w:rPr>
            <w:noProof/>
            <w:webHidden/>
          </w:rPr>
        </w:r>
        <w:r w:rsidR="00A53BD0">
          <w:rPr>
            <w:noProof/>
            <w:webHidden/>
          </w:rPr>
          <w:fldChar w:fldCharType="separate"/>
        </w:r>
        <w:r w:rsidR="00E54F87">
          <w:rPr>
            <w:noProof/>
            <w:webHidden/>
          </w:rPr>
          <w:t>80</w:t>
        </w:r>
        <w:r w:rsidR="00A53BD0">
          <w:rPr>
            <w:noProof/>
            <w:webHidden/>
          </w:rPr>
          <w:fldChar w:fldCharType="end"/>
        </w:r>
      </w:hyperlink>
    </w:p>
    <w:p w14:paraId="6FAFBB37"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424" w:history="1">
        <w:r w:rsidR="00344727" w:rsidRPr="00C16B96">
          <w:rPr>
            <w:rStyle w:val="afd"/>
            <w:rFonts w:ascii="Times New Roman" w:hAnsi="Times New Roman"/>
            <w:noProof/>
          </w:rPr>
          <w:t>4.3.2</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接口文件读写与控制要求</w:t>
        </w:r>
        <w:r w:rsidR="00344727">
          <w:rPr>
            <w:noProof/>
            <w:webHidden/>
          </w:rPr>
          <w:tab/>
        </w:r>
        <w:r w:rsidR="00A53BD0">
          <w:rPr>
            <w:noProof/>
            <w:webHidden/>
          </w:rPr>
          <w:fldChar w:fldCharType="begin"/>
        </w:r>
        <w:r w:rsidR="00344727">
          <w:rPr>
            <w:noProof/>
            <w:webHidden/>
          </w:rPr>
          <w:instrText xml:space="preserve"> PAGEREF _Toc101684424 \h </w:instrText>
        </w:r>
        <w:r w:rsidR="00A53BD0">
          <w:rPr>
            <w:noProof/>
            <w:webHidden/>
          </w:rPr>
        </w:r>
        <w:r w:rsidR="00A53BD0">
          <w:rPr>
            <w:noProof/>
            <w:webHidden/>
          </w:rPr>
          <w:fldChar w:fldCharType="separate"/>
        </w:r>
        <w:r w:rsidR="00E54F87">
          <w:rPr>
            <w:noProof/>
            <w:webHidden/>
          </w:rPr>
          <w:t>82</w:t>
        </w:r>
        <w:r w:rsidR="00A53BD0">
          <w:rPr>
            <w:noProof/>
            <w:webHidden/>
          </w:rPr>
          <w:fldChar w:fldCharType="end"/>
        </w:r>
      </w:hyperlink>
    </w:p>
    <w:p w14:paraId="43AE2FBB" w14:textId="77777777" w:rsidR="00344727" w:rsidRDefault="003C2B32">
      <w:pPr>
        <w:pStyle w:val="TOC1"/>
        <w:rPr>
          <w:rFonts w:asciiTheme="minorHAnsi" w:eastAsiaTheme="minorEastAsia" w:hAnsiTheme="minorHAnsi" w:cstheme="minorBidi"/>
          <w:noProof/>
          <w:kern w:val="2"/>
          <w:sz w:val="21"/>
          <w:szCs w:val="22"/>
        </w:rPr>
      </w:pPr>
      <w:hyperlink w:anchor="_Toc101684425" w:history="1">
        <w:r w:rsidR="00344727" w:rsidRPr="00C16B96">
          <w:rPr>
            <w:rStyle w:val="afd"/>
            <w:rFonts w:ascii="Times New Roman" w:hAnsi="Times New Roman" w:hint="eastAsia"/>
            <w:noProof/>
          </w:rPr>
          <w:t>第五章</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接口文件格式</w:t>
        </w:r>
        <w:r w:rsidR="00344727">
          <w:rPr>
            <w:noProof/>
            <w:webHidden/>
          </w:rPr>
          <w:tab/>
        </w:r>
        <w:r w:rsidR="00A53BD0">
          <w:rPr>
            <w:noProof/>
            <w:webHidden/>
          </w:rPr>
          <w:fldChar w:fldCharType="begin"/>
        </w:r>
        <w:r w:rsidR="00344727">
          <w:rPr>
            <w:noProof/>
            <w:webHidden/>
          </w:rPr>
          <w:instrText xml:space="preserve"> PAGEREF _Toc101684425 \h </w:instrText>
        </w:r>
        <w:r w:rsidR="00A53BD0">
          <w:rPr>
            <w:noProof/>
            <w:webHidden/>
          </w:rPr>
        </w:r>
        <w:r w:rsidR="00A53BD0">
          <w:rPr>
            <w:noProof/>
            <w:webHidden/>
          </w:rPr>
          <w:fldChar w:fldCharType="separate"/>
        </w:r>
        <w:r w:rsidR="00E54F87">
          <w:rPr>
            <w:noProof/>
            <w:webHidden/>
          </w:rPr>
          <w:t>84</w:t>
        </w:r>
        <w:r w:rsidR="00A53BD0">
          <w:rPr>
            <w:noProof/>
            <w:webHidden/>
          </w:rPr>
          <w:fldChar w:fldCharType="end"/>
        </w:r>
      </w:hyperlink>
    </w:p>
    <w:p w14:paraId="0C69F16D" w14:textId="77777777" w:rsidR="00344727" w:rsidRDefault="003C2B32" w:rsidP="00344727">
      <w:pPr>
        <w:pStyle w:val="TOC2"/>
        <w:tabs>
          <w:tab w:val="right" w:leader="dot" w:pos="8296"/>
        </w:tabs>
        <w:ind w:firstLine="480"/>
        <w:rPr>
          <w:rFonts w:asciiTheme="minorHAnsi" w:eastAsiaTheme="minorEastAsia" w:hAnsiTheme="minorHAnsi" w:cstheme="minorBidi"/>
          <w:noProof/>
          <w:kern w:val="2"/>
          <w:sz w:val="21"/>
          <w:szCs w:val="22"/>
        </w:rPr>
      </w:pPr>
      <w:hyperlink w:anchor="_Toc101684426" w:history="1">
        <w:r w:rsidR="00344727" w:rsidRPr="00C16B96">
          <w:rPr>
            <w:rStyle w:val="afd"/>
            <w:rFonts w:ascii="Times New Roman" w:hAnsi="Times New Roman"/>
            <w:noProof/>
          </w:rPr>
          <w:t>5.1</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金融机构信息系统生成的接口文件格式</w:t>
        </w:r>
        <w:r w:rsidR="00344727">
          <w:rPr>
            <w:noProof/>
            <w:webHidden/>
          </w:rPr>
          <w:tab/>
        </w:r>
        <w:r w:rsidR="00A53BD0">
          <w:rPr>
            <w:noProof/>
            <w:webHidden/>
          </w:rPr>
          <w:fldChar w:fldCharType="begin"/>
        </w:r>
        <w:r w:rsidR="00344727">
          <w:rPr>
            <w:noProof/>
            <w:webHidden/>
          </w:rPr>
          <w:instrText xml:space="preserve"> PAGEREF _Toc101684426 \h </w:instrText>
        </w:r>
        <w:r w:rsidR="00A53BD0">
          <w:rPr>
            <w:noProof/>
            <w:webHidden/>
          </w:rPr>
        </w:r>
        <w:r w:rsidR="00A53BD0">
          <w:rPr>
            <w:noProof/>
            <w:webHidden/>
          </w:rPr>
          <w:fldChar w:fldCharType="separate"/>
        </w:r>
        <w:r w:rsidR="00E54F87">
          <w:rPr>
            <w:noProof/>
            <w:webHidden/>
          </w:rPr>
          <w:t>84</w:t>
        </w:r>
        <w:r w:rsidR="00A53BD0">
          <w:rPr>
            <w:noProof/>
            <w:webHidden/>
          </w:rPr>
          <w:fldChar w:fldCharType="end"/>
        </w:r>
      </w:hyperlink>
    </w:p>
    <w:p w14:paraId="575FA9EE"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427" w:history="1">
        <w:r w:rsidR="00344727" w:rsidRPr="00C16B96">
          <w:rPr>
            <w:rStyle w:val="afd"/>
            <w:rFonts w:ascii="Times New Roman" w:hAnsi="Times New Roman"/>
            <w:noProof/>
          </w:rPr>
          <w:t>5.1.1</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接口控制文件格式</w:t>
        </w:r>
        <w:r w:rsidR="00344727">
          <w:rPr>
            <w:noProof/>
            <w:webHidden/>
          </w:rPr>
          <w:tab/>
        </w:r>
        <w:r w:rsidR="00A53BD0">
          <w:rPr>
            <w:noProof/>
            <w:webHidden/>
          </w:rPr>
          <w:fldChar w:fldCharType="begin"/>
        </w:r>
        <w:r w:rsidR="00344727">
          <w:rPr>
            <w:noProof/>
            <w:webHidden/>
          </w:rPr>
          <w:instrText xml:space="preserve"> PAGEREF _Toc101684427 \h </w:instrText>
        </w:r>
        <w:r w:rsidR="00A53BD0">
          <w:rPr>
            <w:noProof/>
            <w:webHidden/>
          </w:rPr>
        </w:r>
        <w:r w:rsidR="00A53BD0">
          <w:rPr>
            <w:noProof/>
            <w:webHidden/>
          </w:rPr>
          <w:fldChar w:fldCharType="separate"/>
        </w:r>
        <w:r w:rsidR="00E54F87">
          <w:rPr>
            <w:noProof/>
            <w:webHidden/>
          </w:rPr>
          <w:t>84</w:t>
        </w:r>
        <w:r w:rsidR="00A53BD0">
          <w:rPr>
            <w:noProof/>
            <w:webHidden/>
          </w:rPr>
          <w:fldChar w:fldCharType="end"/>
        </w:r>
      </w:hyperlink>
    </w:p>
    <w:p w14:paraId="0C06E64E"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428" w:history="1">
        <w:r w:rsidR="00344727" w:rsidRPr="00C16B96">
          <w:rPr>
            <w:rStyle w:val="afd"/>
            <w:rFonts w:ascii="Times New Roman" w:hAnsi="Times New Roman"/>
            <w:noProof/>
          </w:rPr>
          <w:t>5.1.2</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接口数据文件格式</w:t>
        </w:r>
        <w:r w:rsidR="00344727">
          <w:rPr>
            <w:noProof/>
            <w:webHidden/>
          </w:rPr>
          <w:tab/>
        </w:r>
        <w:r w:rsidR="00A53BD0">
          <w:rPr>
            <w:noProof/>
            <w:webHidden/>
          </w:rPr>
          <w:fldChar w:fldCharType="begin"/>
        </w:r>
        <w:r w:rsidR="00344727">
          <w:rPr>
            <w:noProof/>
            <w:webHidden/>
          </w:rPr>
          <w:instrText xml:space="preserve"> PAGEREF _Toc101684428 \h </w:instrText>
        </w:r>
        <w:r w:rsidR="00A53BD0">
          <w:rPr>
            <w:noProof/>
            <w:webHidden/>
          </w:rPr>
        </w:r>
        <w:r w:rsidR="00A53BD0">
          <w:rPr>
            <w:noProof/>
            <w:webHidden/>
          </w:rPr>
          <w:fldChar w:fldCharType="separate"/>
        </w:r>
        <w:r w:rsidR="00E54F87">
          <w:rPr>
            <w:noProof/>
            <w:webHidden/>
          </w:rPr>
          <w:t>85</w:t>
        </w:r>
        <w:r w:rsidR="00A53BD0">
          <w:rPr>
            <w:noProof/>
            <w:webHidden/>
          </w:rPr>
          <w:fldChar w:fldCharType="end"/>
        </w:r>
      </w:hyperlink>
    </w:p>
    <w:p w14:paraId="7FBE05D0" w14:textId="77777777" w:rsidR="00344727" w:rsidRDefault="003C2B32" w:rsidP="00344727">
      <w:pPr>
        <w:pStyle w:val="TOC2"/>
        <w:tabs>
          <w:tab w:val="right" w:leader="dot" w:pos="8296"/>
        </w:tabs>
        <w:ind w:firstLine="480"/>
        <w:rPr>
          <w:rFonts w:asciiTheme="minorHAnsi" w:eastAsiaTheme="minorEastAsia" w:hAnsiTheme="minorHAnsi" w:cstheme="minorBidi"/>
          <w:noProof/>
          <w:kern w:val="2"/>
          <w:sz w:val="21"/>
          <w:szCs w:val="22"/>
        </w:rPr>
      </w:pPr>
      <w:hyperlink w:anchor="_Toc101684429" w:history="1">
        <w:r w:rsidR="00344727" w:rsidRPr="00C16B96">
          <w:rPr>
            <w:rStyle w:val="afd"/>
            <w:rFonts w:ascii="Times New Roman" w:hAnsi="Times New Roman"/>
            <w:noProof/>
          </w:rPr>
          <w:t>5.2</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接口反馈文件格式</w:t>
        </w:r>
        <w:r w:rsidR="00344727">
          <w:rPr>
            <w:noProof/>
            <w:webHidden/>
          </w:rPr>
          <w:tab/>
        </w:r>
        <w:r w:rsidR="00A53BD0">
          <w:rPr>
            <w:noProof/>
            <w:webHidden/>
          </w:rPr>
          <w:fldChar w:fldCharType="begin"/>
        </w:r>
        <w:r w:rsidR="00344727">
          <w:rPr>
            <w:noProof/>
            <w:webHidden/>
          </w:rPr>
          <w:instrText xml:space="preserve"> PAGEREF _Toc101684429 \h </w:instrText>
        </w:r>
        <w:r w:rsidR="00A53BD0">
          <w:rPr>
            <w:noProof/>
            <w:webHidden/>
          </w:rPr>
        </w:r>
        <w:r w:rsidR="00A53BD0">
          <w:rPr>
            <w:noProof/>
            <w:webHidden/>
          </w:rPr>
          <w:fldChar w:fldCharType="separate"/>
        </w:r>
        <w:r w:rsidR="00E54F87">
          <w:rPr>
            <w:noProof/>
            <w:webHidden/>
          </w:rPr>
          <w:t>85</w:t>
        </w:r>
        <w:r w:rsidR="00A53BD0">
          <w:rPr>
            <w:noProof/>
            <w:webHidden/>
          </w:rPr>
          <w:fldChar w:fldCharType="end"/>
        </w:r>
      </w:hyperlink>
    </w:p>
    <w:p w14:paraId="37F207B5"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430" w:history="1">
        <w:r w:rsidR="00344727" w:rsidRPr="00C16B96">
          <w:rPr>
            <w:rStyle w:val="afd"/>
            <w:rFonts w:ascii="Times New Roman" w:hAnsi="Times New Roman"/>
            <w:noProof/>
          </w:rPr>
          <w:t>5.2.1</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接口反馈控制文件格式</w:t>
        </w:r>
        <w:r w:rsidR="00344727">
          <w:rPr>
            <w:noProof/>
            <w:webHidden/>
          </w:rPr>
          <w:tab/>
        </w:r>
        <w:r w:rsidR="00A53BD0">
          <w:rPr>
            <w:noProof/>
            <w:webHidden/>
          </w:rPr>
          <w:fldChar w:fldCharType="begin"/>
        </w:r>
        <w:r w:rsidR="00344727">
          <w:rPr>
            <w:noProof/>
            <w:webHidden/>
          </w:rPr>
          <w:instrText xml:space="preserve"> PAGEREF _Toc101684430 \h </w:instrText>
        </w:r>
        <w:r w:rsidR="00A53BD0">
          <w:rPr>
            <w:noProof/>
            <w:webHidden/>
          </w:rPr>
        </w:r>
        <w:r w:rsidR="00A53BD0">
          <w:rPr>
            <w:noProof/>
            <w:webHidden/>
          </w:rPr>
          <w:fldChar w:fldCharType="separate"/>
        </w:r>
        <w:r w:rsidR="00E54F87">
          <w:rPr>
            <w:noProof/>
            <w:webHidden/>
          </w:rPr>
          <w:t>85</w:t>
        </w:r>
        <w:r w:rsidR="00A53BD0">
          <w:rPr>
            <w:noProof/>
            <w:webHidden/>
          </w:rPr>
          <w:fldChar w:fldCharType="end"/>
        </w:r>
      </w:hyperlink>
    </w:p>
    <w:p w14:paraId="5B1E6A11"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431" w:history="1">
        <w:r w:rsidR="00344727" w:rsidRPr="00C16B96">
          <w:rPr>
            <w:rStyle w:val="afd"/>
            <w:rFonts w:ascii="Times New Roman" w:hAnsi="Times New Roman"/>
            <w:noProof/>
          </w:rPr>
          <w:t>5.2.2</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接口反馈数据文件格式</w:t>
        </w:r>
        <w:r w:rsidR="00344727">
          <w:rPr>
            <w:noProof/>
            <w:webHidden/>
          </w:rPr>
          <w:tab/>
        </w:r>
        <w:r w:rsidR="00A53BD0">
          <w:rPr>
            <w:noProof/>
            <w:webHidden/>
          </w:rPr>
          <w:fldChar w:fldCharType="begin"/>
        </w:r>
        <w:r w:rsidR="00344727">
          <w:rPr>
            <w:noProof/>
            <w:webHidden/>
          </w:rPr>
          <w:instrText xml:space="preserve"> PAGEREF _Toc101684431 \h </w:instrText>
        </w:r>
        <w:r w:rsidR="00A53BD0">
          <w:rPr>
            <w:noProof/>
            <w:webHidden/>
          </w:rPr>
        </w:r>
        <w:r w:rsidR="00A53BD0">
          <w:rPr>
            <w:noProof/>
            <w:webHidden/>
          </w:rPr>
          <w:fldChar w:fldCharType="separate"/>
        </w:r>
        <w:r w:rsidR="00E54F87">
          <w:rPr>
            <w:noProof/>
            <w:webHidden/>
          </w:rPr>
          <w:t>86</w:t>
        </w:r>
        <w:r w:rsidR="00A53BD0">
          <w:rPr>
            <w:noProof/>
            <w:webHidden/>
          </w:rPr>
          <w:fldChar w:fldCharType="end"/>
        </w:r>
      </w:hyperlink>
    </w:p>
    <w:p w14:paraId="38D7FAAC" w14:textId="77777777" w:rsidR="00344727" w:rsidRDefault="003C2B32">
      <w:pPr>
        <w:pStyle w:val="TOC1"/>
        <w:rPr>
          <w:rFonts w:asciiTheme="minorHAnsi" w:eastAsiaTheme="minorEastAsia" w:hAnsiTheme="minorHAnsi" w:cstheme="minorBidi"/>
          <w:noProof/>
          <w:kern w:val="2"/>
          <w:sz w:val="21"/>
          <w:szCs w:val="22"/>
        </w:rPr>
      </w:pPr>
      <w:hyperlink w:anchor="_Toc101684432" w:history="1">
        <w:r w:rsidR="00344727" w:rsidRPr="00C16B96">
          <w:rPr>
            <w:rStyle w:val="afd"/>
            <w:rFonts w:ascii="Times New Roman" w:hAnsi="Times New Roman" w:hint="eastAsia"/>
            <w:noProof/>
          </w:rPr>
          <w:t>第六章</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数据接口格式</w:t>
        </w:r>
        <w:r w:rsidR="00344727">
          <w:rPr>
            <w:noProof/>
            <w:webHidden/>
          </w:rPr>
          <w:tab/>
        </w:r>
        <w:r w:rsidR="00A53BD0">
          <w:rPr>
            <w:noProof/>
            <w:webHidden/>
          </w:rPr>
          <w:fldChar w:fldCharType="begin"/>
        </w:r>
        <w:r w:rsidR="00344727">
          <w:rPr>
            <w:noProof/>
            <w:webHidden/>
          </w:rPr>
          <w:instrText xml:space="preserve"> PAGEREF _Toc101684432 \h </w:instrText>
        </w:r>
        <w:r w:rsidR="00A53BD0">
          <w:rPr>
            <w:noProof/>
            <w:webHidden/>
          </w:rPr>
        </w:r>
        <w:r w:rsidR="00A53BD0">
          <w:rPr>
            <w:noProof/>
            <w:webHidden/>
          </w:rPr>
          <w:fldChar w:fldCharType="separate"/>
        </w:r>
        <w:r w:rsidR="00E54F87">
          <w:rPr>
            <w:noProof/>
            <w:webHidden/>
          </w:rPr>
          <w:t>87</w:t>
        </w:r>
        <w:r w:rsidR="00A53BD0">
          <w:rPr>
            <w:noProof/>
            <w:webHidden/>
          </w:rPr>
          <w:fldChar w:fldCharType="end"/>
        </w:r>
      </w:hyperlink>
    </w:p>
    <w:p w14:paraId="50B872EC" w14:textId="77777777" w:rsidR="00344727" w:rsidRDefault="003C2B32" w:rsidP="00344727">
      <w:pPr>
        <w:pStyle w:val="TOC2"/>
        <w:tabs>
          <w:tab w:val="right" w:leader="dot" w:pos="8296"/>
        </w:tabs>
        <w:ind w:firstLine="480"/>
        <w:rPr>
          <w:rFonts w:asciiTheme="minorHAnsi" w:eastAsiaTheme="minorEastAsia" w:hAnsiTheme="minorHAnsi" w:cstheme="minorBidi"/>
          <w:noProof/>
          <w:kern w:val="2"/>
          <w:sz w:val="21"/>
          <w:szCs w:val="22"/>
        </w:rPr>
      </w:pPr>
      <w:hyperlink w:anchor="_Toc101684433" w:history="1">
        <w:r w:rsidR="00344727" w:rsidRPr="00C16B96">
          <w:rPr>
            <w:rStyle w:val="afd"/>
            <w:rFonts w:ascii="Times New Roman" w:hAnsi="Times New Roman"/>
            <w:noProof/>
          </w:rPr>
          <w:t>6.1</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组织机构基本情况表</w:t>
        </w:r>
        <w:r w:rsidR="00344727">
          <w:rPr>
            <w:noProof/>
            <w:webHidden/>
          </w:rPr>
          <w:tab/>
        </w:r>
        <w:r w:rsidR="00A53BD0">
          <w:rPr>
            <w:noProof/>
            <w:webHidden/>
          </w:rPr>
          <w:fldChar w:fldCharType="begin"/>
        </w:r>
        <w:r w:rsidR="00344727">
          <w:rPr>
            <w:noProof/>
            <w:webHidden/>
          </w:rPr>
          <w:instrText xml:space="preserve"> PAGEREF _Toc101684433 \h </w:instrText>
        </w:r>
        <w:r w:rsidR="00A53BD0">
          <w:rPr>
            <w:noProof/>
            <w:webHidden/>
          </w:rPr>
        </w:r>
        <w:r w:rsidR="00A53BD0">
          <w:rPr>
            <w:noProof/>
            <w:webHidden/>
          </w:rPr>
          <w:fldChar w:fldCharType="separate"/>
        </w:r>
        <w:r w:rsidR="00E54F87">
          <w:rPr>
            <w:noProof/>
            <w:webHidden/>
          </w:rPr>
          <w:t>87</w:t>
        </w:r>
        <w:r w:rsidR="00A53BD0">
          <w:rPr>
            <w:noProof/>
            <w:webHidden/>
          </w:rPr>
          <w:fldChar w:fldCharType="end"/>
        </w:r>
      </w:hyperlink>
    </w:p>
    <w:p w14:paraId="4F1DAACA"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434" w:history="1">
        <w:r w:rsidR="00344727" w:rsidRPr="00C16B96">
          <w:rPr>
            <w:rStyle w:val="afd"/>
            <w:rFonts w:ascii="Times New Roman" w:hAnsi="Times New Roman"/>
            <w:noProof/>
          </w:rPr>
          <w:t>6.1.1</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数据术语解释</w:t>
        </w:r>
        <w:r w:rsidR="00344727">
          <w:rPr>
            <w:noProof/>
            <w:webHidden/>
          </w:rPr>
          <w:tab/>
        </w:r>
        <w:r w:rsidR="00A53BD0">
          <w:rPr>
            <w:noProof/>
            <w:webHidden/>
          </w:rPr>
          <w:fldChar w:fldCharType="begin"/>
        </w:r>
        <w:r w:rsidR="00344727">
          <w:rPr>
            <w:noProof/>
            <w:webHidden/>
          </w:rPr>
          <w:instrText xml:space="preserve"> PAGEREF _Toc101684434 \h </w:instrText>
        </w:r>
        <w:r w:rsidR="00A53BD0">
          <w:rPr>
            <w:noProof/>
            <w:webHidden/>
          </w:rPr>
        </w:r>
        <w:r w:rsidR="00A53BD0">
          <w:rPr>
            <w:noProof/>
            <w:webHidden/>
          </w:rPr>
          <w:fldChar w:fldCharType="separate"/>
        </w:r>
        <w:r w:rsidR="00E54F87">
          <w:rPr>
            <w:noProof/>
            <w:webHidden/>
          </w:rPr>
          <w:t>87</w:t>
        </w:r>
        <w:r w:rsidR="00A53BD0">
          <w:rPr>
            <w:noProof/>
            <w:webHidden/>
          </w:rPr>
          <w:fldChar w:fldCharType="end"/>
        </w:r>
      </w:hyperlink>
    </w:p>
    <w:p w14:paraId="402DE62B"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435" w:history="1">
        <w:r w:rsidR="00344727" w:rsidRPr="00C16B96">
          <w:rPr>
            <w:rStyle w:val="afd"/>
            <w:rFonts w:ascii="Times New Roman" w:hAnsi="Times New Roman"/>
            <w:noProof/>
          </w:rPr>
          <w:t>6.1.2</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数据格式</w:t>
        </w:r>
        <w:r w:rsidR="00344727">
          <w:rPr>
            <w:noProof/>
            <w:webHidden/>
          </w:rPr>
          <w:tab/>
        </w:r>
        <w:r w:rsidR="00A53BD0">
          <w:rPr>
            <w:noProof/>
            <w:webHidden/>
          </w:rPr>
          <w:fldChar w:fldCharType="begin"/>
        </w:r>
        <w:r w:rsidR="00344727">
          <w:rPr>
            <w:noProof/>
            <w:webHidden/>
          </w:rPr>
          <w:instrText xml:space="preserve"> PAGEREF _Toc101684435 \h </w:instrText>
        </w:r>
        <w:r w:rsidR="00A53BD0">
          <w:rPr>
            <w:noProof/>
            <w:webHidden/>
          </w:rPr>
        </w:r>
        <w:r w:rsidR="00A53BD0">
          <w:rPr>
            <w:noProof/>
            <w:webHidden/>
          </w:rPr>
          <w:fldChar w:fldCharType="separate"/>
        </w:r>
        <w:r w:rsidR="00E54F87">
          <w:rPr>
            <w:noProof/>
            <w:webHidden/>
          </w:rPr>
          <w:t>88</w:t>
        </w:r>
        <w:r w:rsidR="00A53BD0">
          <w:rPr>
            <w:noProof/>
            <w:webHidden/>
          </w:rPr>
          <w:fldChar w:fldCharType="end"/>
        </w:r>
      </w:hyperlink>
    </w:p>
    <w:p w14:paraId="3BE3D0D8"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436" w:history="1">
        <w:r w:rsidR="00344727" w:rsidRPr="00C16B96">
          <w:rPr>
            <w:rStyle w:val="afd"/>
            <w:rFonts w:ascii="Times New Roman" w:hAnsi="Times New Roman"/>
            <w:noProof/>
          </w:rPr>
          <w:t>6.1.3</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数据字典</w:t>
        </w:r>
        <w:r w:rsidR="00344727">
          <w:rPr>
            <w:noProof/>
            <w:webHidden/>
          </w:rPr>
          <w:tab/>
        </w:r>
        <w:r w:rsidR="00A53BD0">
          <w:rPr>
            <w:noProof/>
            <w:webHidden/>
          </w:rPr>
          <w:fldChar w:fldCharType="begin"/>
        </w:r>
        <w:r w:rsidR="00344727">
          <w:rPr>
            <w:noProof/>
            <w:webHidden/>
          </w:rPr>
          <w:instrText xml:space="preserve"> PAGEREF _Toc101684436 \h </w:instrText>
        </w:r>
        <w:r w:rsidR="00A53BD0">
          <w:rPr>
            <w:noProof/>
            <w:webHidden/>
          </w:rPr>
        </w:r>
        <w:r w:rsidR="00A53BD0">
          <w:rPr>
            <w:noProof/>
            <w:webHidden/>
          </w:rPr>
          <w:fldChar w:fldCharType="separate"/>
        </w:r>
        <w:r w:rsidR="00E54F87">
          <w:rPr>
            <w:noProof/>
            <w:webHidden/>
          </w:rPr>
          <w:t>89</w:t>
        </w:r>
        <w:r w:rsidR="00A53BD0">
          <w:rPr>
            <w:noProof/>
            <w:webHidden/>
          </w:rPr>
          <w:fldChar w:fldCharType="end"/>
        </w:r>
      </w:hyperlink>
    </w:p>
    <w:p w14:paraId="2DCFC46A" w14:textId="77777777" w:rsidR="00344727" w:rsidRDefault="003C2B32" w:rsidP="00344727">
      <w:pPr>
        <w:pStyle w:val="TOC2"/>
        <w:tabs>
          <w:tab w:val="right" w:leader="dot" w:pos="8296"/>
        </w:tabs>
        <w:ind w:firstLine="480"/>
        <w:rPr>
          <w:rFonts w:asciiTheme="minorHAnsi" w:eastAsiaTheme="minorEastAsia" w:hAnsiTheme="minorHAnsi" w:cstheme="minorBidi"/>
          <w:noProof/>
          <w:kern w:val="2"/>
          <w:sz w:val="21"/>
          <w:szCs w:val="22"/>
        </w:rPr>
      </w:pPr>
      <w:hyperlink w:anchor="_Toc101684437" w:history="1">
        <w:r w:rsidR="00344727" w:rsidRPr="00C16B96">
          <w:rPr>
            <w:rStyle w:val="afd"/>
            <w:rFonts w:ascii="Times New Roman" w:hAnsi="Times New Roman"/>
            <w:noProof/>
          </w:rPr>
          <w:t>6.2</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涉外收支</w:t>
        </w:r>
        <w:r w:rsidR="00344727">
          <w:rPr>
            <w:noProof/>
            <w:webHidden/>
          </w:rPr>
          <w:tab/>
        </w:r>
        <w:r w:rsidR="00A53BD0">
          <w:rPr>
            <w:noProof/>
            <w:webHidden/>
          </w:rPr>
          <w:fldChar w:fldCharType="begin"/>
        </w:r>
        <w:r w:rsidR="00344727">
          <w:rPr>
            <w:noProof/>
            <w:webHidden/>
          </w:rPr>
          <w:instrText xml:space="preserve"> PAGEREF _Toc101684437 \h </w:instrText>
        </w:r>
        <w:r w:rsidR="00A53BD0">
          <w:rPr>
            <w:noProof/>
            <w:webHidden/>
          </w:rPr>
        </w:r>
        <w:r w:rsidR="00A53BD0">
          <w:rPr>
            <w:noProof/>
            <w:webHidden/>
          </w:rPr>
          <w:fldChar w:fldCharType="separate"/>
        </w:r>
        <w:r w:rsidR="00E54F87">
          <w:rPr>
            <w:noProof/>
            <w:webHidden/>
          </w:rPr>
          <w:t>92</w:t>
        </w:r>
        <w:r w:rsidR="00A53BD0">
          <w:rPr>
            <w:noProof/>
            <w:webHidden/>
          </w:rPr>
          <w:fldChar w:fldCharType="end"/>
        </w:r>
      </w:hyperlink>
    </w:p>
    <w:p w14:paraId="16AED719"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438" w:history="1">
        <w:r w:rsidR="00344727" w:rsidRPr="00C16B96">
          <w:rPr>
            <w:rStyle w:val="afd"/>
            <w:rFonts w:ascii="Times New Roman" w:hAnsi="Times New Roman"/>
            <w:noProof/>
          </w:rPr>
          <w:t>6.2.1</w:t>
        </w:r>
        <w:r w:rsidR="00344727" w:rsidRPr="00C16B96">
          <w:rPr>
            <w:rStyle w:val="afd"/>
            <w:rFonts w:hint="eastAsia"/>
            <w:noProof/>
          </w:rPr>
          <w:t xml:space="preserve"> </w:t>
        </w:r>
        <w:r w:rsidR="00344727" w:rsidRPr="00C16B96">
          <w:rPr>
            <w:rStyle w:val="afd"/>
            <w:rFonts w:hint="eastAsia"/>
            <w:noProof/>
          </w:rPr>
          <w:t>涉外收入</w:t>
        </w:r>
        <w:r w:rsidR="00344727" w:rsidRPr="00C16B96">
          <w:rPr>
            <w:rStyle w:val="afd"/>
            <w:noProof/>
          </w:rPr>
          <w:t>-</w:t>
        </w:r>
        <w:r w:rsidR="00344727" w:rsidRPr="00C16B96">
          <w:rPr>
            <w:rStyle w:val="afd"/>
            <w:rFonts w:hint="eastAsia"/>
            <w:noProof/>
          </w:rPr>
          <w:t>基础信息</w:t>
        </w:r>
        <w:r w:rsidR="00344727">
          <w:rPr>
            <w:noProof/>
            <w:webHidden/>
          </w:rPr>
          <w:tab/>
        </w:r>
        <w:r w:rsidR="00A53BD0">
          <w:rPr>
            <w:noProof/>
            <w:webHidden/>
          </w:rPr>
          <w:fldChar w:fldCharType="begin"/>
        </w:r>
        <w:r w:rsidR="00344727">
          <w:rPr>
            <w:noProof/>
            <w:webHidden/>
          </w:rPr>
          <w:instrText xml:space="preserve"> PAGEREF _Toc101684438 \h </w:instrText>
        </w:r>
        <w:r w:rsidR="00A53BD0">
          <w:rPr>
            <w:noProof/>
            <w:webHidden/>
          </w:rPr>
        </w:r>
        <w:r w:rsidR="00A53BD0">
          <w:rPr>
            <w:noProof/>
            <w:webHidden/>
          </w:rPr>
          <w:fldChar w:fldCharType="separate"/>
        </w:r>
        <w:r w:rsidR="00E54F87">
          <w:rPr>
            <w:noProof/>
            <w:webHidden/>
          </w:rPr>
          <w:t>92</w:t>
        </w:r>
        <w:r w:rsidR="00A53BD0">
          <w:rPr>
            <w:noProof/>
            <w:webHidden/>
          </w:rPr>
          <w:fldChar w:fldCharType="end"/>
        </w:r>
      </w:hyperlink>
    </w:p>
    <w:p w14:paraId="4C7EA396"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439" w:history="1">
        <w:r w:rsidR="00344727" w:rsidRPr="00C16B96">
          <w:rPr>
            <w:rStyle w:val="afd"/>
            <w:rFonts w:ascii="Times New Roman" w:hAnsi="Times New Roman"/>
            <w:noProof/>
          </w:rPr>
          <w:t>6.2.2</w:t>
        </w:r>
        <w:r w:rsidR="00344727" w:rsidRPr="00C16B96">
          <w:rPr>
            <w:rStyle w:val="afd"/>
            <w:rFonts w:hint="eastAsia"/>
            <w:noProof/>
          </w:rPr>
          <w:t xml:space="preserve"> </w:t>
        </w:r>
        <w:r w:rsidR="00344727" w:rsidRPr="00C16B96">
          <w:rPr>
            <w:rStyle w:val="afd"/>
            <w:rFonts w:hint="eastAsia"/>
            <w:noProof/>
          </w:rPr>
          <w:t>涉外收入</w:t>
        </w:r>
        <w:r w:rsidR="00344727" w:rsidRPr="00C16B96">
          <w:rPr>
            <w:rStyle w:val="afd"/>
            <w:noProof/>
          </w:rPr>
          <w:t>-</w:t>
        </w:r>
        <w:r w:rsidR="00344727" w:rsidRPr="00C16B96">
          <w:rPr>
            <w:rStyle w:val="afd"/>
            <w:rFonts w:hint="eastAsia"/>
            <w:noProof/>
          </w:rPr>
          <w:t>申报信息</w:t>
        </w:r>
        <w:r w:rsidR="00344727">
          <w:rPr>
            <w:noProof/>
            <w:webHidden/>
          </w:rPr>
          <w:tab/>
        </w:r>
        <w:r w:rsidR="00A53BD0">
          <w:rPr>
            <w:noProof/>
            <w:webHidden/>
          </w:rPr>
          <w:fldChar w:fldCharType="begin"/>
        </w:r>
        <w:r w:rsidR="00344727">
          <w:rPr>
            <w:noProof/>
            <w:webHidden/>
          </w:rPr>
          <w:instrText xml:space="preserve"> PAGEREF _Toc101684439 \h </w:instrText>
        </w:r>
        <w:r w:rsidR="00A53BD0">
          <w:rPr>
            <w:noProof/>
            <w:webHidden/>
          </w:rPr>
        </w:r>
        <w:r w:rsidR="00A53BD0">
          <w:rPr>
            <w:noProof/>
            <w:webHidden/>
          </w:rPr>
          <w:fldChar w:fldCharType="separate"/>
        </w:r>
        <w:r w:rsidR="00E54F87">
          <w:rPr>
            <w:noProof/>
            <w:webHidden/>
          </w:rPr>
          <w:t>96</w:t>
        </w:r>
        <w:r w:rsidR="00A53BD0">
          <w:rPr>
            <w:noProof/>
            <w:webHidden/>
          </w:rPr>
          <w:fldChar w:fldCharType="end"/>
        </w:r>
      </w:hyperlink>
    </w:p>
    <w:p w14:paraId="3156929A"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440" w:history="1">
        <w:r w:rsidR="00344727" w:rsidRPr="00C16B96">
          <w:rPr>
            <w:rStyle w:val="afd"/>
            <w:rFonts w:ascii="Times New Roman" w:hAnsi="Times New Roman"/>
            <w:noProof/>
          </w:rPr>
          <w:t>6.2.3</w:t>
        </w:r>
        <w:r w:rsidR="00344727" w:rsidRPr="00C16B96">
          <w:rPr>
            <w:rStyle w:val="afd"/>
            <w:rFonts w:hint="eastAsia"/>
            <w:noProof/>
          </w:rPr>
          <w:t xml:space="preserve"> </w:t>
        </w:r>
        <w:r w:rsidR="00344727" w:rsidRPr="00C16B96">
          <w:rPr>
            <w:rStyle w:val="afd"/>
            <w:rFonts w:hint="eastAsia"/>
            <w:noProof/>
          </w:rPr>
          <w:t>境外汇款申请书</w:t>
        </w:r>
        <w:r w:rsidR="00344727" w:rsidRPr="00C16B96">
          <w:rPr>
            <w:rStyle w:val="afd"/>
            <w:rFonts w:ascii="Times New Roman" w:hAnsi="Times New Roman"/>
            <w:noProof/>
          </w:rPr>
          <w:t>-</w:t>
        </w:r>
        <w:r w:rsidR="00344727" w:rsidRPr="00C16B96">
          <w:rPr>
            <w:rStyle w:val="afd"/>
            <w:rFonts w:ascii="Times New Roman" w:hAnsi="Times New Roman" w:hint="eastAsia"/>
            <w:noProof/>
          </w:rPr>
          <w:t>基础信息</w:t>
        </w:r>
        <w:r w:rsidR="00344727">
          <w:rPr>
            <w:noProof/>
            <w:webHidden/>
          </w:rPr>
          <w:tab/>
        </w:r>
        <w:r w:rsidR="00A53BD0">
          <w:rPr>
            <w:noProof/>
            <w:webHidden/>
          </w:rPr>
          <w:fldChar w:fldCharType="begin"/>
        </w:r>
        <w:r w:rsidR="00344727">
          <w:rPr>
            <w:noProof/>
            <w:webHidden/>
          </w:rPr>
          <w:instrText xml:space="preserve"> PAGEREF _Toc101684440 \h </w:instrText>
        </w:r>
        <w:r w:rsidR="00A53BD0">
          <w:rPr>
            <w:noProof/>
            <w:webHidden/>
          </w:rPr>
        </w:r>
        <w:r w:rsidR="00A53BD0">
          <w:rPr>
            <w:noProof/>
            <w:webHidden/>
          </w:rPr>
          <w:fldChar w:fldCharType="separate"/>
        </w:r>
        <w:r w:rsidR="00E54F87">
          <w:rPr>
            <w:noProof/>
            <w:webHidden/>
          </w:rPr>
          <w:t>99</w:t>
        </w:r>
        <w:r w:rsidR="00A53BD0">
          <w:rPr>
            <w:noProof/>
            <w:webHidden/>
          </w:rPr>
          <w:fldChar w:fldCharType="end"/>
        </w:r>
      </w:hyperlink>
    </w:p>
    <w:p w14:paraId="6142E101"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441" w:history="1">
        <w:r w:rsidR="00344727" w:rsidRPr="00C16B96">
          <w:rPr>
            <w:rStyle w:val="afd"/>
            <w:rFonts w:ascii="Times New Roman" w:hAnsi="Times New Roman"/>
            <w:noProof/>
          </w:rPr>
          <w:t>6.2.4</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境外汇款申请书</w:t>
        </w:r>
        <w:r w:rsidR="00344727" w:rsidRPr="00C16B96">
          <w:rPr>
            <w:rStyle w:val="afd"/>
            <w:rFonts w:ascii="Times New Roman" w:hAnsi="Times New Roman"/>
            <w:noProof/>
          </w:rPr>
          <w:t>-</w:t>
        </w:r>
        <w:r w:rsidR="00344727" w:rsidRPr="00C16B96">
          <w:rPr>
            <w:rStyle w:val="afd"/>
            <w:rFonts w:ascii="Times New Roman" w:hAnsi="Times New Roman" w:hint="eastAsia"/>
            <w:noProof/>
          </w:rPr>
          <w:t>申报信息</w:t>
        </w:r>
        <w:r w:rsidR="00344727">
          <w:rPr>
            <w:noProof/>
            <w:webHidden/>
          </w:rPr>
          <w:tab/>
        </w:r>
        <w:r w:rsidR="00A53BD0">
          <w:rPr>
            <w:noProof/>
            <w:webHidden/>
          </w:rPr>
          <w:fldChar w:fldCharType="begin"/>
        </w:r>
        <w:r w:rsidR="00344727">
          <w:rPr>
            <w:noProof/>
            <w:webHidden/>
          </w:rPr>
          <w:instrText xml:space="preserve"> PAGEREF _Toc101684441 \h </w:instrText>
        </w:r>
        <w:r w:rsidR="00A53BD0">
          <w:rPr>
            <w:noProof/>
            <w:webHidden/>
          </w:rPr>
        </w:r>
        <w:r w:rsidR="00A53BD0">
          <w:rPr>
            <w:noProof/>
            <w:webHidden/>
          </w:rPr>
          <w:fldChar w:fldCharType="separate"/>
        </w:r>
        <w:r w:rsidR="00E54F87">
          <w:rPr>
            <w:noProof/>
            <w:webHidden/>
          </w:rPr>
          <w:t>102</w:t>
        </w:r>
        <w:r w:rsidR="00A53BD0">
          <w:rPr>
            <w:noProof/>
            <w:webHidden/>
          </w:rPr>
          <w:fldChar w:fldCharType="end"/>
        </w:r>
      </w:hyperlink>
    </w:p>
    <w:p w14:paraId="5DBED301"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442" w:history="1">
        <w:r w:rsidR="00344727" w:rsidRPr="00C16B96">
          <w:rPr>
            <w:rStyle w:val="afd"/>
            <w:rFonts w:ascii="Times New Roman" w:hAnsi="Times New Roman"/>
            <w:noProof/>
          </w:rPr>
          <w:t>6.2.5</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境外汇款申请书</w:t>
        </w:r>
        <w:r w:rsidR="00344727" w:rsidRPr="00C16B96">
          <w:rPr>
            <w:rStyle w:val="afd"/>
            <w:rFonts w:ascii="Times New Roman" w:hAnsi="Times New Roman"/>
            <w:noProof/>
          </w:rPr>
          <w:t>-</w:t>
        </w:r>
        <w:r w:rsidR="00344727" w:rsidRPr="00C16B96">
          <w:rPr>
            <w:rStyle w:val="afd"/>
            <w:rFonts w:ascii="Times New Roman" w:hAnsi="Times New Roman" w:hint="eastAsia"/>
            <w:noProof/>
          </w:rPr>
          <w:t>管理信息</w:t>
        </w:r>
        <w:r w:rsidR="00344727">
          <w:rPr>
            <w:noProof/>
            <w:webHidden/>
          </w:rPr>
          <w:tab/>
        </w:r>
        <w:r w:rsidR="00A53BD0">
          <w:rPr>
            <w:noProof/>
            <w:webHidden/>
          </w:rPr>
          <w:fldChar w:fldCharType="begin"/>
        </w:r>
        <w:r w:rsidR="00344727">
          <w:rPr>
            <w:noProof/>
            <w:webHidden/>
          </w:rPr>
          <w:instrText xml:space="preserve"> PAGEREF _Toc101684442 \h </w:instrText>
        </w:r>
        <w:r w:rsidR="00A53BD0">
          <w:rPr>
            <w:noProof/>
            <w:webHidden/>
          </w:rPr>
        </w:r>
        <w:r w:rsidR="00A53BD0">
          <w:rPr>
            <w:noProof/>
            <w:webHidden/>
          </w:rPr>
          <w:fldChar w:fldCharType="separate"/>
        </w:r>
        <w:r w:rsidR="00E54F87">
          <w:rPr>
            <w:noProof/>
            <w:webHidden/>
          </w:rPr>
          <w:t>105</w:t>
        </w:r>
        <w:r w:rsidR="00A53BD0">
          <w:rPr>
            <w:noProof/>
            <w:webHidden/>
          </w:rPr>
          <w:fldChar w:fldCharType="end"/>
        </w:r>
      </w:hyperlink>
    </w:p>
    <w:p w14:paraId="7CB1BFED"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443" w:history="1">
        <w:r w:rsidR="00344727" w:rsidRPr="00C16B96">
          <w:rPr>
            <w:rStyle w:val="afd"/>
            <w:rFonts w:ascii="Times New Roman" w:hAnsi="Times New Roman"/>
            <w:noProof/>
          </w:rPr>
          <w:t>6.2.6</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对外付款</w:t>
        </w:r>
        <w:r w:rsidR="00344727" w:rsidRPr="00C16B96">
          <w:rPr>
            <w:rStyle w:val="afd"/>
            <w:rFonts w:ascii="Times New Roman" w:hAnsi="Times New Roman"/>
            <w:noProof/>
          </w:rPr>
          <w:t>/</w:t>
        </w:r>
        <w:r w:rsidR="00344727" w:rsidRPr="00C16B96">
          <w:rPr>
            <w:rStyle w:val="afd"/>
            <w:rFonts w:ascii="Times New Roman" w:hAnsi="Times New Roman" w:hint="eastAsia"/>
            <w:noProof/>
          </w:rPr>
          <w:t>承兑通知书</w:t>
        </w:r>
        <w:r w:rsidR="00344727" w:rsidRPr="00C16B96">
          <w:rPr>
            <w:rStyle w:val="afd"/>
            <w:rFonts w:ascii="Times New Roman" w:hAnsi="Times New Roman"/>
            <w:noProof/>
          </w:rPr>
          <w:t>-</w:t>
        </w:r>
        <w:r w:rsidR="00344727" w:rsidRPr="00C16B96">
          <w:rPr>
            <w:rStyle w:val="afd"/>
            <w:rFonts w:ascii="Times New Roman" w:hAnsi="Times New Roman" w:hint="eastAsia"/>
            <w:noProof/>
          </w:rPr>
          <w:t>基础信息</w:t>
        </w:r>
        <w:r w:rsidR="00344727">
          <w:rPr>
            <w:noProof/>
            <w:webHidden/>
          </w:rPr>
          <w:tab/>
        </w:r>
        <w:r w:rsidR="00A53BD0">
          <w:rPr>
            <w:noProof/>
            <w:webHidden/>
          </w:rPr>
          <w:fldChar w:fldCharType="begin"/>
        </w:r>
        <w:r w:rsidR="00344727">
          <w:rPr>
            <w:noProof/>
            <w:webHidden/>
          </w:rPr>
          <w:instrText xml:space="preserve"> PAGEREF _Toc101684443 \h </w:instrText>
        </w:r>
        <w:r w:rsidR="00A53BD0">
          <w:rPr>
            <w:noProof/>
            <w:webHidden/>
          </w:rPr>
        </w:r>
        <w:r w:rsidR="00A53BD0">
          <w:rPr>
            <w:noProof/>
            <w:webHidden/>
          </w:rPr>
          <w:fldChar w:fldCharType="separate"/>
        </w:r>
        <w:r w:rsidR="00E54F87">
          <w:rPr>
            <w:noProof/>
            <w:webHidden/>
          </w:rPr>
          <w:t>106</w:t>
        </w:r>
        <w:r w:rsidR="00A53BD0">
          <w:rPr>
            <w:noProof/>
            <w:webHidden/>
          </w:rPr>
          <w:fldChar w:fldCharType="end"/>
        </w:r>
      </w:hyperlink>
    </w:p>
    <w:p w14:paraId="4A1CDCE2"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444" w:history="1">
        <w:r w:rsidR="00344727" w:rsidRPr="00C16B96">
          <w:rPr>
            <w:rStyle w:val="afd"/>
            <w:rFonts w:ascii="Times New Roman" w:hAnsi="Times New Roman"/>
            <w:noProof/>
          </w:rPr>
          <w:t>6.2.7</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对外付款</w:t>
        </w:r>
        <w:r w:rsidR="00344727" w:rsidRPr="00C16B96">
          <w:rPr>
            <w:rStyle w:val="afd"/>
            <w:rFonts w:ascii="Times New Roman" w:hAnsi="Times New Roman"/>
            <w:noProof/>
          </w:rPr>
          <w:t>/</w:t>
        </w:r>
        <w:r w:rsidR="00344727" w:rsidRPr="00C16B96">
          <w:rPr>
            <w:rStyle w:val="afd"/>
            <w:rFonts w:ascii="Times New Roman" w:hAnsi="Times New Roman" w:hint="eastAsia"/>
            <w:noProof/>
          </w:rPr>
          <w:t>承兑通知书</w:t>
        </w:r>
        <w:r w:rsidR="00344727" w:rsidRPr="00C16B96">
          <w:rPr>
            <w:rStyle w:val="afd"/>
            <w:rFonts w:ascii="Times New Roman" w:hAnsi="Times New Roman"/>
            <w:noProof/>
          </w:rPr>
          <w:t>-</w:t>
        </w:r>
        <w:r w:rsidR="00344727" w:rsidRPr="00C16B96">
          <w:rPr>
            <w:rStyle w:val="afd"/>
            <w:rFonts w:ascii="Times New Roman" w:hAnsi="Times New Roman" w:hint="eastAsia"/>
            <w:noProof/>
          </w:rPr>
          <w:t>申报信息</w:t>
        </w:r>
        <w:r w:rsidR="00344727">
          <w:rPr>
            <w:noProof/>
            <w:webHidden/>
          </w:rPr>
          <w:tab/>
        </w:r>
        <w:r w:rsidR="00A53BD0">
          <w:rPr>
            <w:noProof/>
            <w:webHidden/>
          </w:rPr>
          <w:fldChar w:fldCharType="begin"/>
        </w:r>
        <w:r w:rsidR="00344727">
          <w:rPr>
            <w:noProof/>
            <w:webHidden/>
          </w:rPr>
          <w:instrText xml:space="preserve"> PAGEREF _Toc101684444 \h </w:instrText>
        </w:r>
        <w:r w:rsidR="00A53BD0">
          <w:rPr>
            <w:noProof/>
            <w:webHidden/>
          </w:rPr>
        </w:r>
        <w:r w:rsidR="00A53BD0">
          <w:rPr>
            <w:noProof/>
            <w:webHidden/>
          </w:rPr>
          <w:fldChar w:fldCharType="separate"/>
        </w:r>
        <w:r w:rsidR="00E54F87">
          <w:rPr>
            <w:noProof/>
            <w:webHidden/>
          </w:rPr>
          <w:t>110</w:t>
        </w:r>
        <w:r w:rsidR="00A53BD0">
          <w:rPr>
            <w:noProof/>
            <w:webHidden/>
          </w:rPr>
          <w:fldChar w:fldCharType="end"/>
        </w:r>
      </w:hyperlink>
    </w:p>
    <w:p w14:paraId="5052B89F"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445" w:history="1">
        <w:r w:rsidR="00344727" w:rsidRPr="00C16B96">
          <w:rPr>
            <w:rStyle w:val="afd"/>
            <w:rFonts w:ascii="Times New Roman" w:hAnsi="Times New Roman"/>
            <w:noProof/>
          </w:rPr>
          <w:t>6.2.8</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对外付款</w:t>
        </w:r>
        <w:r w:rsidR="00344727" w:rsidRPr="00C16B96">
          <w:rPr>
            <w:rStyle w:val="afd"/>
            <w:rFonts w:ascii="Times New Roman" w:hAnsi="Times New Roman"/>
            <w:noProof/>
          </w:rPr>
          <w:t>/</w:t>
        </w:r>
        <w:r w:rsidR="00344727" w:rsidRPr="00C16B96">
          <w:rPr>
            <w:rStyle w:val="afd"/>
            <w:rFonts w:ascii="Times New Roman" w:hAnsi="Times New Roman" w:hint="eastAsia"/>
            <w:noProof/>
          </w:rPr>
          <w:t>承兑通知书</w:t>
        </w:r>
        <w:r w:rsidR="00344727" w:rsidRPr="00C16B96">
          <w:rPr>
            <w:rStyle w:val="afd"/>
            <w:rFonts w:ascii="Times New Roman" w:hAnsi="Times New Roman"/>
            <w:noProof/>
          </w:rPr>
          <w:t>-</w:t>
        </w:r>
        <w:r w:rsidR="00344727" w:rsidRPr="00C16B96">
          <w:rPr>
            <w:rStyle w:val="afd"/>
            <w:rFonts w:ascii="Times New Roman" w:hAnsi="Times New Roman" w:hint="eastAsia"/>
            <w:noProof/>
          </w:rPr>
          <w:t>管理信息</w:t>
        </w:r>
        <w:r w:rsidR="00344727">
          <w:rPr>
            <w:noProof/>
            <w:webHidden/>
          </w:rPr>
          <w:tab/>
        </w:r>
        <w:r w:rsidR="00A53BD0">
          <w:rPr>
            <w:noProof/>
            <w:webHidden/>
          </w:rPr>
          <w:fldChar w:fldCharType="begin"/>
        </w:r>
        <w:r w:rsidR="00344727">
          <w:rPr>
            <w:noProof/>
            <w:webHidden/>
          </w:rPr>
          <w:instrText xml:space="preserve"> PAGEREF _Toc101684445 \h </w:instrText>
        </w:r>
        <w:r w:rsidR="00A53BD0">
          <w:rPr>
            <w:noProof/>
            <w:webHidden/>
          </w:rPr>
        </w:r>
        <w:r w:rsidR="00A53BD0">
          <w:rPr>
            <w:noProof/>
            <w:webHidden/>
          </w:rPr>
          <w:fldChar w:fldCharType="separate"/>
        </w:r>
        <w:r w:rsidR="00E54F87">
          <w:rPr>
            <w:noProof/>
            <w:webHidden/>
          </w:rPr>
          <w:t>113</w:t>
        </w:r>
        <w:r w:rsidR="00A53BD0">
          <w:rPr>
            <w:noProof/>
            <w:webHidden/>
          </w:rPr>
          <w:fldChar w:fldCharType="end"/>
        </w:r>
      </w:hyperlink>
    </w:p>
    <w:p w14:paraId="10818288" w14:textId="77777777" w:rsidR="00344727" w:rsidRDefault="003C2B32" w:rsidP="00344727">
      <w:pPr>
        <w:pStyle w:val="TOC2"/>
        <w:tabs>
          <w:tab w:val="right" w:leader="dot" w:pos="8296"/>
        </w:tabs>
        <w:ind w:firstLine="480"/>
        <w:rPr>
          <w:rFonts w:asciiTheme="minorHAnsi" w:eastAsiaTheme="minorEastAsia" w:hAnsiTheme="minorHAnsi" w:cstheme="minorBidi"/>
          <w:noProof/>
          <w:kern w:val="2"/>
          <w:sz w:val="21"/>
          <w:szCs w:val="22"/>
        </w:rPr>
      </w:pPr>
      <w:hyperlink w:anchor="_Toc101684446" w:history="1">
        <w:r w:rsidR="00344727" w:rsidRPr="00C16B96">
          <w:rPr>
            <w:rStyle w:val="afd"/>
            <w:rFonts w:ascii="Times New Roman" w:hAnsi="Times New Roman"/>
            <w:noProof/>
          </w:rPr>
          <w:t>6.3</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境内划转</w:t>
        </w:r>
        <w:r w:rsidR="00344727">
          <w:rPr>
            <w:noProof/>
            <w:webHidden/>
          </w:rPr>
          <w:tab/>
        </w:r>
        <w:r w:rsidR="00A53BD0">
          <w:rPr>
            <w:noProof/>
            <w:webHidden/>
          </w:rPr>
          <w:fldChar w:fldCharType="begin"/>
        </w:r>
        <w:r w:rsidR="00344727">
          <w:rPr>
            <w:noProof/>
            <w:webHidden/>
          </w:rPr>
          <w:instrText xml:space="preserve"> PAGEREF _Toc101684446 \h </w:instrText>
        </w:r>
        <w:r w:rsidR="00A53BD0">
          <w:rPr>
            <w:noProof/>
            <w:webHidden/>
          </w:rPr>
        </w:r>
        <w:r w:rsidR="00A53BD0">
          <w:rPr>
            <w:noProof/>
            <w:webHidden/>
          </w:rPr>
          <w:fldChar w:fldCharType="separate"/>
        </w:r>
        <w:r w:rsidR="00E54F87">
          <w:rPr>
            <w:noProof/>
            <w:webHidden/>
          </w:rPr>
          <w:t>114</w:t>
        </w:r>
        <w:r w:rsidR="00A53BD0">
          <w:rPr>
            <w:noProof/>
            <w:webHidden/>
          </w:rPr>
          <w:fldChar w:fldCharType="end"/>
        </w:r>
      </w:hyperlink>
    </w:p>
    <w:p w14:paraId="53795BEB"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447" w:history="1">
        <w:r w:rsidR="00344727" w:rsidRPr="00C16B96">
          <w:rPr>
            <w:rStyle w:val="afd"/>
            <w:rFonts w:ascii="Times New Roman" w:hAnsi="Times New Roman"/>
            <w:noProof/>
          </w:rPr>
          <w:t>6.3.1</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境内收入申报单</w:t>
        </w:r>
        <w:r w:rsidR="00344727" w:rsidRPr="00C16B96">
          <w:rPr>
            <w:rStyle w:val="afd"/>
            <w:rFonts w:ascii="Times New Roman" w:hAnsi="Times New Roman"/>
            <w:noProof/>
          </w:rPr>
          <w:t>-</w:t>
        </w:r>
        <w:r w:rsidR="00344727" w:rsidRPr="00C16B96">
          <w:rPr>
            <w:rStyle w:val="afd"/>
            <w:rFonts w:ascii="Times New Roman" w:hAnsi="Times New Roman" w:hint="eastAsia"/>
            <w:noProof/>
          </w:rPr>
          <w:t>基础信息</w:t>
        </w:r>
        <w:r w:rsidR="00344727">
          <w:rPr>
            <w:noProof/>
            <w:webHidden/>
          </w:rPr>
          <w:tab/>
        </w:r>
        <w:r w:rsidR="00A53BD0">
          <w:rPr>
            <w:noProof/>
            <w:webHidden/>
          </w:rPr>
          <w:fldChar w:fldCharType="begin"/>
        </w:r>
        <w:r w:rsidR="00344727">
          <w:rPr>
            <w:noProof/>
            <w:webHidden/>
          </w:rPr>
          <w:instrText xml:space="preserve"> PAGEREF _Toc101684447 \h </w:instrText>
        </w:r>
        <w:r w:rsidR="00A53BD0">
          <w:rPr>
            <w:noProof/>
            <w:webHidden/>
          </w:rPr>
        </w:r>
        <w:r w:rsidR="00A53BD0">
          <w:rPr>
            <w:noProof/>
            <w:webHidden/>
          </w:rPr>
          <w:fldChar w:fldCharType="separate"/>
        </w:r>
        <w:r w:rsidR="00E54F87">
          <w:rPr>
            <w:noProof/>
            <w:webHidden/>
          </w:rPr>
          <w:t>114</w:t>
        </w:r>
        <w:r w:rsidR="00A53BD0">
          <w:rPr>
            <w:noProof/>
            <w:webHidden/>
          </w:rPr>
          <w:fldChar w:fldCharType="end"/>
        </w:r>
      </w:hyperlink>
    </w:p>
    <w:p w14:paraId="71C82F45"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448" w:history="1">
        <w:r w:rsidR="00344727" w:rsidRPr="00C16B96">
          <w:rPr>
            <w:rStyle w:val="afd"/>
            <w:rFonts w:ascii="Times New Roman" w:hAnsi="Times New Roman"/>
            <w:noProof/>
          </w:rPr>
          <w:t>6.3.2</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境内收入申报单</w:t>
        </w:r>
        <w:r w:rsidR="00344727" w:rsidRPr="00C16B96">
          <w:rPr>
            <w:rStyle w:val="afd"/>
            <w:rFonts w:ascii="Times New Roman" w:hAnsi="Times New Roman"/>
            <w:noProof/>
          </w:rPr>
          <w:t>-</w:t>
        </w:r>
        <w:r w:rsidR="00344727" w:rsidRPr="00C16B96">
          <w:rPr>
            <w:rStyle w:val="afd"/>
            <w:rFonts w:ascii="Times New Roman" w:hAnsi="Times New Roman" w:hint="eastAsia"/>
            <w:noProof/>
          </w:rPr>
          <w:t>管理信息</w:t>
        </w:r>
        <w:r w:rsidR="00344727">
          <w:rPr>
            <w:noProof/>
            <w:webHidden/>
          </w:rPr>
          <w:tab/>
        </w:r>
        <w:r w:rsidR="00A53BD0">
          <w:rPr>
            <w:noProof/>
            <w:webHidden/>
          </w:rPr>
          <w:fldChar w:fldCharType="begin"/>
        </w:r>
        <w:r w:rsidR="00344727">
          <w:rPr>
            <w:noProof/>
            <w:webHidden/>
          </w:rPr>
          <w:instrText xml:space="preserve"> PAGEREF _Toc101684448 \h </w:instrText>
        </w:r>
        <w:r w:rsidR="00A53BD0">
          <w:rPr>
            <w:noProof/>
            <w:webHidden/>
          </w:rPr>
        </w:r>
        <w:r w:rsidR="00A53BD0">
          <w:rPr>
            <w:noProof/>
            <w:webHidden/>
          </w:rPr>
          <w:fldChar w:fldCharType="separate"/>
        </w:r>
        <w:r w:rsidR="00E54F87">
          <w:rPr>
            <w:noProof/>
            <w:webHidden/>
          </w:rPr>
          <w:t>117</w:t>
        </w:r>
        <w:r w:rsidR="00A53BD0">
          <w:rPr>
            <w:noProof/>
            <w:webHidden/>
          </w:rPr>
          <w:fldChar w:fldCharType="end"/>
        </w:r>
      </w:hyperlink>
    </w:p>
    <w:p w14:paraId="27CA4F4C"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449" w:history="1">
        <w:r w:rsidR="00344727" w:rsidRPr="00C16B96">
          <w:rPr>
            <w:rStyle w:val="afd"/>
            <w:rFonts w:ascii="Times New Roman" w:hAnsi="Times New Roman"/>
            <w:noProof/>
          </w:rPr>
          <w:t>6.3.3</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境内汇款申请书</w:t>
        </w:r>
        <w:r w:rsidR="00344727" w:rsidRPr="00C16B96">
          <w:rPr>
            <w:rStyle w:val="afd"/>
            <w:rFonts w:ascii="Times New Roman" w:hAnsi="Times New Roman"/>
            <w:noProof/>
          </w:rPr>
          <w:t>-</w:t>
        </w:r>
        <w:r w:rsidR="00344727" w:rsidRPr="00C16B96">
          <w:rPr>
            <w:rStyle w:val="afd"/>
            <w:rFonts w:ascii="Times New Roman" w:hAnsi="Times New Roman" w:hint="eastAsia"/>
            <w:noProof/>
          </w:rPr>
          <w:t>基础信息</w:t>
        </w:r>
        <w:r w:rsidR="00344727">
          <w:rPr>
            <w:noProof/>
            <w:webHidden/>
          </w:rPr>
          <w:tab/>
        </w:r>
        <w:r w:rsidR="00A53BD0">
          <w:rPr>
            <w:noProof/>
            <w:webHidden/>
          </w:rPr>
          <w:fldChar w:fldCharType="begin"/>
        </w:r>
        <w:r w:rsidR="00344727">
          <w:rPr>
            <w:noProof/>
            <w:webHidden/>
          </w:rPr>
          <w:instrText xml:space="preserve"> PAGEREF _Toc101684449 \h </w:instrText>
        </w:r>
        <w:r w:rsidR="00A53BD0">
          <w:rPr>
            <w:noProof/>
            <w:webHidden/>
          </w:rPr>
        </w:r>
        <w:r w:rsidR="00A53BD0">
          <w:rPr>
            <w:noProof/>
            <w:webHidden/>
          </w:rPr>
          <w:fldChar w:fldCharType="separate"/>
        </w:r>
        <w:r w:rsidR="00E54F87">
          <w:rPr>
            <w:noProof/>
            <w:webHidden/>
          </w:rPr>
          <w:t>119</w:t>
        </w:r>
        <w:r w:rsidR="00A53BD0">
          <w:rPr>
            <w:noProof/>
            <w:webHidden/>
          </w:rPr>
          <w:fldChar w:fldCharType="end"/>
        </w:r>
      </w:hyperlink>
    </w:p>
    <w:p w14:paraId="1750D960"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450" w:history="1">
        <w:r w:rsidR="00344727" w:rsidRPr="00C16B96">
          <w:rPr>
            <w:rStyle w:val="afd"/>
            <w:rFonts w:ascii="Times New Roman" w:hAnsi="Times New Roman"/>
            <w:noProof/>
          </w:rPr>
          <w:t>6.3.4</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境内汇款申请书</w:t>
        </w:r>
        <w:r w:rsidR="00344727" w:rsidRPr="00C16B96">
          <w:rPr>
            <w:rStyle w:val="afd"/>
            <w:rFonts w:ascii="Times New Roman" w:hAnsi="Times New Roman"/>
            <w:noProof/>
          </w:rPr>
          <w:t>-</w:t>
        </w:r>
        <w:r w:rsidR="00344727" w:rsidRPr="00C16B96">
          <w:rPr>
            <w:rStyle w:val="afd"/>
            <w:rFonts w:ascii="Times New Roman" w:hAnsi="Times New Roman" w:hint="eastAsia"/>
            <w:noProof/>
          </w:rPr>
          <w:t>管理信息</w:t>
        </w:r>
        <w:r w:rsidR="00344727">
          <w:rPr>
            <w:noProof/>
            <w:webHidden/>
          </w:rPr>
          <w:tab/>
        </w:r>
        <w:r w:rsidR="00A53BD0">
          <w:rPr>
            <w:noProof/>
            <w:webHidden/>
          </w:rPr>
          <w:fldChar w:fldCharType="begin"/>
        </w:r>
        <w:r w:rsidR="00344727">
          <w:rPr>
            <w:noProof/>
            <w:webHidden/>
          </w:rPr>
          <w:instrText xml:space="preserve"> PAGEREF _Toc101684450 \h </w:instrText>
        </w:r>
        <w:r w:rsidR="00A53BD0">
          <w:rPr>
            <w:noProof/>
            <w:webHidden/>
          </w:rPr>
        </w:r>
        <w:r w:rsidR="00A53BD0">
          <w:rPr>
            <w:noProof/>
            <w:webHidden/>
          </w:rPr>
          <w:fldChar w:fldCharType="separate"/>
        </w:r>
        <w:r w:rsidR="00E54F87">
          <w:rPr>
            <w:noProof/>
            <w:webHidden/>
          </w:rPr>
          <w:t>121</w:t>
        </w:r>
        <w:r w:rsidR="00A53BD0">
          <w:rPr>
            <w:noProof/>
            <w:webHidden/>
          </w:rPr>
          <w:fldChar w:fldCharType="end"/>
        </w:r>
      </w:hyperlink>
    </w:p>
    <w:p w14:paraId="13AFE549"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451" w:history="1">
        <w:r w:rsidR="00344727" w:rsidRPr="00C16B96">
          <w:rPr>
            <w:rStyle w:val="afd"/>
            <w:rFonts w:ascii="Times New Roman" w:hAnsi="Times New Roman"/>
            <w:noProof/>
          </w:rPr>
          <w:t>6.3.5</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境内付款</w:t>
        </w:r>
        <w:r w:rsidR="00344727" w:rsidRPr="00C16B96">
          <w:rPr>
            <w:rStyle w:val="afd"/>
            <w:rFonts w:ascii="Times New Roman" w:hAnsi="Times New Roman"/>
            <w:noProof/>
          </w:rPr>
          <w:t>/</w:t>
        </w:r>
        <w:r w:rsidR="00344727" w:rsidRPr="00C16B96">
          <w:rPr>
            <w:rStyle w:val="afd"/>
            <w:rFonts w:ascii="Times New Roman" w:hAnsi="Times New Roman" w:hint="eastAsia"/>
            <w:noProof/>
          </w:rPr>
          <w:t>承兑通知书</w:t>
        </w:r>
        <w:r w:rsidR="00344727" w:rsidRPr="00C16B96">
          <w:rPr>
            <w:rStyle w:val="afd"/>
            <w:rFonts w:ascii="Times New Roman" w:hAnsi="Times New Roman"/>
            <w:noProof/>
          </w:rPr>
          <w:t>-</w:t>
        </w:r>
        <w:r w:rsidR="00344727" w:rsidRPr="00C16B96">
          <w:rPr>
            <w:rStyle w:val="afd"/>
            <w:rFonts w:ascii="Times New Roman" w:hAnsi="Times New Roman" w:hint="eastAsia"/>
            <w:noProof/>
          </w:rPr>
          <w:t>基础信息</w:t>
        </w:r>
        <w:r w:rsidR="00344727">
          <w:rPr>
            <w:noProof/>
            <w:webHidden/>
          </w:rPr>
          <w:tab/>
        </w:r>
        <w:r w:rsidR="00A53BD0">
          <w:rPr>
            <w:noProof/>
            <w:webHidden/>
          </w:rPr>
          <w:fldChar w:fldCharType="begin"/>
        </w:r>
        <w:r w:rsidR="00344727">
          <w:rPr>
            <w:noProof/>
            <w:webHidden/>
          </w:rPr>
          <w:instrText xml:space="preserve"> PAGEREF _Toc101684451 \h </w:instrText>
        </w:r>
        <w:r w:rsidR="00A53BD0">
          <w:rPr>
            <w:noProof/>
            <w:webHidden/>
          </w:rPr>
        </w:r>
        <w:r w:rsidR="00A53BD0">
          <w:rPr>
            <w:noProof/>
            <w:webHidden/>
          </w:rPr>
          <w:fldChar w:fldCharType="separate"/>
        </w:r>
        <w:r w:rsidR="00E54F87">
          <w:rPr>
            <w:noProof/>
            <w:webHidden/>
          </w:rPr>
          <w:t>123</w:t>
        </w:r>
        <w:r w:rsidR="00A53BD0">
          <w:rPr>
            <w:noProof/>
            <w:webHidden/>
          </w:rPr>
          <w:fldChar w:fldCharType="end"/>
        </w:r>
      </w:hyperlink>
    </w:p>
    <w:p w14:paraId="5DFBD7D7"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452" w:history="1">
        <w:r w:rsidR="00344727" w:rsidRPr="00C16B96">
          <w:rPr>
            <w:rStyle w:val="afd"/>
            <w:rFonts w:ascii="Times New Roman" w:hAnsi="Times New Roman"/>
            <w:noProof/>
          </w:rPr>
          <w:t>6.3.6</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境内付款</w:t>
        </w:r>
        <w:r w:rsidR="00344727" w:rsidRPr="00C16B96">
          <w:rPr>
            <w:rStyle w:val="afd"/>
            <w:rFonts w:ascii="Times New Roman" w:hAnsi="Times New Roman"/>
            <w:noProof/>
          </w:rPr>
          <w:t>/</w:t>
        </w:r>
        <w:r w:rsidR="00344727" w:rsidRPr="00C16B96">
          <w:rPr>
            <w:rStyle w:val="afd"/>
            <w:rFonts w:ascii="Times New Roman" w:hAnsi="Times New Roman" w:hint="eastAsia"/>
            <w:noProof/>
          </w:rPr>
          <w:t>承兑通知书</w:t>
        </w:r>
        <w:r w:rsidR="00344727" w:rsidRPr="00C16B96">
          <w:rPr>
            <w:rStyle w:val="afd"/>
            <w:rFonts w:ascii="Times New Roman" w:hAnsi="Times New Roman"/>
            <w:noProof/>
          </w:rPr>
          <w:t>-</w:t>
        </w:r>
        <w:r w:rsidR="00344727" w:rsidRPr="00C16B96">
          <w:rPr>
            <w:rStyle w:val="afd"/>
            <w:rFonts w:ascii="Times New Roman" w:hAnsi="Times New Roman" w:hint="eastAsia"/>
            <w:noProof/>
          </w:rPr>
          <w:t>管理信息</w:t>
        </w:r>
        <w:r w:rsidR="00344727">
          <w:rPr>
            <w:noProof/>
            <w:webHidden/>
          </w:rPr>
          <w:tab/>
        </w:r>
        <w:r w:rsidR="00A53BD0">
          <w:rPr>
            <w:noProof/>
            <w:webHidden/>
          </w:rPr>
          <w:fldChar w:fldCharType="begin"/>
        </w:r>
        <w:r w:rsidR="00344727">
          <w:rPr>
            <w:noProof/>
            <w:webHidden/>
          </w:rPr>
          <w:instrText xml:space="preserve"> PAGEREF _Toc101684452 \h </w:instrText>
        </w:r>
        <w:r w:rsidR="00A53BD0">
          <w:rPr>
            <w:noProof/>
            <w:webHidden/>
          </w:rPr>
        </w:r>
        <w:r w:rsidR="00A53BD0">
          <w:rPr>
            <w:noProof/>
            <w:webHidden/>
          </w:rPr>
          <w:fldChar w:fldCharType="separate"/>
        </w:r>
        <w:r w:rsidR="00E54F87">
          <w:rPr>
            <w:noProof/>
            <w:webHidden/>
          </w:rPr>
          <w:t>126</w:t>
        </w:r>
        <w:r w:rsidR="00A53BD0">
          <w:rPr>
            <w:noProof/>
            <w:webHidden/>
          </w:rPr>
          <w:fldChar w:fldCharType="end"/>
        </w:r>
      </w:hyperlink>
    </w:p>
    <w:p w14:paraId="21944765" w14:textId="77777777" w:rsidR="00344727" w:rsidRDefault="003C2B32" w:rsidP="00344727">
      <w:pPr>
        <w:pStyle w:val="TOC2"/>
        <w:tabs>
          <w:tab w:val="right" w:leader="dot" w:pos="8296"/>
        </w:tabs>
        <w:ind w:firstLine="480"/>
        <w:rPr>
          <w:rFonts w:asciiTheme="minorHAnsi" w:eastAsiaTheme="minorEastAsia" w:hAnsiTheme="minorHAnsi" w:cstheme="minorBidi"/>
          <w:noProof/>
          <w:kern w:val="2"/>
          <w:sz w:val="21"/>
          <w:szCs w:val="22"/>
        </w:rPr>
      </w:pPr>
      <w:hyperlink w:anchor="_Toc101684453" w:history="1">
        <w:r w:rsidR="00344727" w:rsidRPr="00C16B96">
          <w:rPr>
            <w:rStyle w:val="afd"/>
            <w:rFonts w:ascii="Times New Roman" w:hAnsi="Times New Roman"/>
            <w:noProof/>
          </w:rPr>
          <w:t>6.4</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外汇账户数据</w:t>
        </w:r>
        <w:r w:rsidR="00344727">
          <w:rPr>
            <w:noProof/>
            <w:webHidden/>
          </w:rPr>
          <w:tab/>
        </w:r>
        <w:r w:rsidR="00A53BD0">
          <w:rPr>
            <w:noProof/>
            <w:webHidden/>
          </w:rPr>
          <w:fldChar w:fldCharType="begin"/>
        </w:r>
        <w:r w:rsidR="00344727">
          <w:rPr>
            <w:noProof/>
            <w:webHidden/>
          </w:rPr>
          <w:instrText xml:space="preserve"> PAGEREF _Toc101684453 \h </w:instrText>
        </w:r>
        <w:r w:rsidR="00A53BD0">
          <w:rPr>
            <w:noProof/>
            <w:webHidden/>
          </w:rPr>
        </w:r>
        <w:r w:rsidR="00A53BD0">
          <w:rPr>
            <w:noProof/>
            <w:webHidden/>
          </w:rPr>
          <w:fldChar w:fldCharType="separate"/>
        </w:r>
        <w:r w:rsidR="00E54F87">
          <w:rPr>
            <w:noProof/>
            <w:webHidden/>
          </w:rPr>
          <w:t>128</w:t>
        </w:r>
        <w:r w:rsidR="00A53BD0">
          <w:rPr>
            <w:noProof/>
            <w:webHidden/>
          </w:rPr>
          <w:fldChar w:fldCharType="end"/>
        </w:r>
      </w:hyperlink>
    </w:p>
    <w:p w14:paraId="5083C3EF"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454" w:history="1">
        <w:r w:rsidR="00344727" w:rsidRPr="00C16B96">
          <w:rPr>
            <w:rStyle w:val="afd"/>
            <w:rFonts w:ascii="Times New Roman" w:hAnsi="Times New Roman"/>
            <w:noProof/>
          </w:rPr>
          <w:t>6.4.1</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账户开关户信息</w:t>
        </w:r>
        <w:r w:rsidR="00344727">
          <w:rPr>
            <w:noProof/>
            <w:webHidden/>
          </w:rPr>
          <w:tab/>
        </w:r>
        <w:r w:rsidR="00A53BD0">
          <w:rPr>
            <w:noProof/>
            <w:webHidden/>
          </w:rPr>
          <w:fldChar w:fldCharType="begin"/>
        </w:r>
        <w:r w:rsidR="00344727">
          <w:rPr>
            <w:noProof/>
            <w:webHidden/>
          </w:rPr>
          <w:instrText xml:space="preserve"> PAGEREF _Toc101684454 \h </w:instrText>
        </w:r>
        <w:r w:rsidR="00A53BD0">
          <w:rPr>
            <w:noProof/>
            <w:webHidden/>
          </w:rPr>
        </w:r>
        <w:r w:rsidR="00A53BD0">
          <w:rPr>
            <w:noProof/>
            <w:webHidden/>
          </w:rPr>
          <w:fldChar w:fldCharType="separate"/>
        </w:r>
        <w:r w:rsidR="00E54F87">
          <w:rPr>
            <w:noProof/>
            <w:webHidden/>
          </w:rPr>
          <w:t>128</w:t>
        </w:r>
        <w:r w:rsidR="00A53BD0">
          <w:rPr>
            <w:noProof/>
            <w:webHidden/>
          </w:rPr>
          <w:fldChar w:fldCharType="end"/>
        </w:r>
      </w:hyperlink>
    </w:p>
    <w:p w14:paraId="6A008449"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455" w:history="1">
        <w:r w:rsidR="00344727" w:rsidRPr="00C16B96">
          <w:rPr>
            <w:rStyle w:val="afd"/>
            <w:rFonts w:ascii="Times New Roman" w:hAnsi="Times New Roman"/>
            <w:noProof/>
          </w:rPr>
          <w:t>6.4.2</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账户收支余信息</w:t>
        </w:r>
        <w:r w:rsidR="00344727">
          <w:rPr>
            <w:noProof/>
            <w:webHidden/>
          </w:rPr>
          <w:tab/>
        </w:r>
        <w:r w:rsidR="00A53BD0">
          <w:rPr>
            <w:noProof/>
            <w:webHidden/>
          </w:rPr>
          <w:fldChar w:fldCharType="begin"/>
        </w:r>
        <w:r w:rsidR="00344727">
          <w:rPr>
            <w:noProof/>
            <w:webHidden/>
          </w:rPr>
          <w:instrText xml:space="preserve"> PAGEREF _Toc101684455 \h </w:instrText>
        </w:r>
        <w:r w:rsidR="00A53BD0">
          <w:rPr>
            <w:noProof/>
            <w:webHidden/>
          </w:rPr>
        </w:r>
        <w:r w:rsidR="00A53BD0">
          <w:rPr>
            <w:noProof/>
            <w:webHidden/>
          </w:rPr>
          <w:fldChar w:fldCharType="separate"/>
        </w:r>
        <w:r w:rsidR="00E54F87">
          <w:rPr>
            <w:noProof/>
            <w:webHidden/>
          </w:rPr>
          <w:t>130</w:t>
        </w:r>
        <w:r w:rsidR="00A53BD0">
          <w:rPr>
            <w:noProof/>
            <w:webHidden/>
          </w:rPr>
          <w:fldChar w:fldCharType="end"/>
        </w:r>
      </w:hyperlink>
    </w:p>
    <w:p w14:paraId="30DFC3E8" w14:textId="77777777" w:rsidR="00344727" w:rsidRDefault="003C2B32" w:rsidP="00344727">
      <w:pPr>
        <w:pStyle w:val="TOC2"/>
        <w:tabs>
          <w:tab w:val="right" w:leader="dot" w:pos="8296"/>
        </w:tabs>
        <w:ind w:firstLine="480"/>
        <w:rPr>
          <w:rFonts w:asciiTheme="minorHAnsi" w:eastAsiaTheme="minorEastAsia" w:hAnsiTheme="minorHAnsi" w:cstheme="minorBidi"/>
          <w:noProof/>
          <w:kern w:val="2"/>
          <w:sz w:val="21"/>
          <w:szCs w:val="22"/>
        </w:rPr>
      </w:pPr>
      <w:hyperlink w:anchor="_Toc101684456" w:history="1">
        <w:r w:rsidR="00344727" w:rsidRPr="00C16B96">
          <w:rPr>
            <w:rStyle w:val="afd"/>
            <w:rFonts w:ascii="Times New Roman" w:hAnsi="Times New Roman"/>
            <w:noProof/>
          </w:rPr>
          <w:t>6.5</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账户内结售汇</w:t>
        </w:r>
        <w:r w:rsidR="00344727">
          <w:rPr>
            <w:noProof/>
            <w:webHidden/>
          </w:rPr>
          <w:tab/>
        </w:r>
        <w:r w:rsidR="00A53BD0">
          <w:rPr>
            <w:noProof/>
            <w:webHidden/>
          </w:rPr>
          <w:fldChar w:fldCharType="begin"/>
        </w:r>
        <w:r w:rsidR="00344727">
          <w:rPr>
            <w:noProof/>
            <w:webHidden/>
          </w:rPr>
          <w:instrText xml:space="preserve"> PAGEREF _Toc101684456 \h </w:instrText>
        </w:r>
        <w:r w:rsidR="00A53BD0">
          <w:rPr>
            <w:noProof/>
            <w:webHidden/>
          </w:rPr>
        </w:r>
        <w:r w:rsidR="00A53BD0">
          <w:rPr>
            <w:noProof/>
            <w:webHidden/>
          </w:rPr>
          <w:fldChar w:fldCharType="separate"/>
        </w:r>
        <w:r w:rsidR="00E54F87">
          <w:rPr>
            <w:noProof/>
            <w:webHidden/>
          </w:rPr>
          <w:t>132</w:t>
        </w:r>
        <w:r w:rsidR="00A53BD0">
          <w:rPr>
            <w:noProof/>
            <w:webHidden/>
          </w:rPr>
          <w:fldChar w:fldCharType="end"/>
        </w:r>
      </w:hyperlink>
    </w:p>
    <w:p w14:paraId="136B5787"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457" w:history="1">
        <w:r w:rsidR="00344727" w:rsidRPr="00C16B96">
          <w:rPr>
            <w:rStyle w:val="afd"/>
            <w:rFonts w:ascii="Times New Roman" w:hAnsi="Times New Roman"/>
            <w:noProof/>
          </w:rPr>
          <w:t>6.5.1</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外汇账户内结汇</w:t>
        </w:r>
        <w:r w:rsidR="00344727" w:rsidRPr="00C16B96">
          <w:rPr>
            <w:rStyle w:val="afd"/>
            <w:rFonts w:ascii="Times New Roman" w:hAnsi="Times New Roman"/>
            <w:noProof/>
          </w:rPr>
          <w:t>-</w:t>
        </w:r>
        <w:r w:rsidR="00344727" w:rsidRPr="00C16B96">
          <w:rPr>
            <w:rStyle w:val="afd"/>
            <w:rFonts w:ascii="Times New Roman" w:hAnsi="Times New Roman" w:hint="eastAsia"/>
            <w:noProof/>
          </w:rPr>
          <w:t>基础信息</w:t>
        </w:r>
        <w:r w:rsidR="00344727">
          <w:rPr>
            <w:noProof/>
            <w:webHidden/>
          </w:rPr>
          <w:tab/>
        </w:r>
        <w:r w:rsidR="00A53BD0">
          <w:rPr>
            <w:noProof/>
            <w:webHidden/>
          </w:rPr>
          <w:fldChar w:fldCharType="begin"/>
        </w:r>
        <w:r w:rsidR="00344727">
          <w:rPr>
            <w:noProof/>
            <w:webHidden/>
          </w:rPr>
          <w:instrText xml:space="preserve"> PAGEREF _Toc101684457 \h </w:instrText>
        </w:r>
        <w:r w:rsidR="00A53BD0">
          <w:rPr>
            <w:noProof/>
            <w:webHidden/>
          </w:rPr>
        </w:r>
        <w:r w:rsidR="00A53BD0">
          <w:rPr>
            <w:noProof/>
            <w:webHidden/>
          </w:rPr>
          <w:fldChar w:fldCharType="separate"/>
        </w:r>
        <w:r w:rsidR="00E54F87">
          <w:rPr>
            <w:noProof/>
            <w:webHidden/>
          </w:rPr>
          <w:t>132</w:t>
        </w:r>
        <w:r w:rsidR="00A53BD0">
          <w:rPr>
            <w:noProof/>
            <w:webHidden/>
          </w:rPr>
          <w:fldChar w:fldCharType="end"/>
        </w:r>
      </w:hyperlink>
    </w:p>
    <w:p w14:paraId="18098B05"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458" w:history="1">
        <w:r w:rsidR="00344727" w:rsidRPr="00C16B96">
          <w:rPr>
            <w:rStyle w:val="afd"/>
            <w:rFonts w:ascii="Times New Roman" w:hAnsi="Times New Roman"/>
            <w:noProof/>
          </w:rPr>
          <w:t>6.5.2</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外汇账户内结汇</w:t>
        </w:r>
        <w:r w:rsidR="00344727" w:rsidRPr="00C16B96">
          <w:rPr>
            <w:rStyle w:val="afd"/>
            <w:rFonts w:ascii="Times New Roman" w:hAnsi="Times New Roman"/>
            <w:noProof/>
          </w:rPr>
          <w:t>-</w:t>
        </w:r>
        <w:r w:rsidR="00344727" w:rsidRPr="00C16B96">
          <w:rPr>
            <w:rStyle w:val="afd"/>
            <w:rFonts w:ascii="Times New Roman" w:hAnsi="Times New Roman" w:hint="eastAsia"/>
            <w:noProof/>
          </w:rPr>
          <w:t>管理信息</w:t>
        </w:r>
        <w:r w:rsidR="00344727">
          <w:rPr>
            <w:noProof/>
            <w:webHidden/>
          </w:rPr>
          <w:tab/>
        </w:r>
        <w:r w:rsidR="00A53BD0">
          <w:rPr>
            <w:noProof/>
            <w:webHidden/>
          </w:rPr>
          <w:fldChar w:fldCharType="begin"/>
        </w:r>
        <w:r w:rsidR="00344727">
          <w:rPr>
            <w:noProof/>
            <w:webHidden/>
          </w:rPr>
          <w:instrText xml:space="preserve"> PAGEREF _Toc101684458 \h </w:instrText>
        </w:r>
        <w:r w:rsidR="00A53BD0">
          <w:rPr>
            <w:noProof/>
            <w:webHidden/>
          </w:rPr>
        </w:r>
        <w:r w:rsidR="00A53BD0">
          <w:rPr>
            <w:noProof/>
            <w:webHidden/>
          </w:rPr>
          <w:fldChar w:fldCharType="separate"/>
        </w:r>
        <w:r w:rsidR="00E54F87">
          <w:rPr>
            <w:noProof/>
            <w:webHidden/>
          </w:rPr>
          <w:t>134</w:t>
        </w:r>
        <w:r w:rsidR="00A53BD0">
          <w:rPr>
            <w:noProof/>
            <w:webHidden/>
          </w:rPr>
          <w:fldChar w:fldCharType="end"/>
        </w:r>
      </w:hyperlink>
    </w:p>
    <w:p w14:paraId="41270267"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459" w:history="1">
        <w:r w:rsidR="00344727" w:rsidRPr="00C16B96">
          <w:rPr>
            <w:rStyle w:val="afd"/>
            <w:rFonts w:ascii="Times New Roman" w:hAnsi="Times New Roman"/>
            <w:noProof/>
          </w:rPr>
          <w:t>6.5.3</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外汇账户内购汇</w:t>
        </w:r>
        <w:r w:rsidR="00344727" w:rsidRPr="00C16B96">
          <w:rPr>
            <w:rStyle w:val="afd"/>
            <w:rFonts w:ascii="Times New Roman" w:hAnsi="Times New Roman"/>
            <w:noProof/>
          </w:rPr>
          <w:t>-</w:t>
        </w:r>
        <w:r w:rsidR="00344727" w:rsidRPr="00C16B96">
          <w:rPr>
            <w:rStyle w:val="afd"/>
            <w:rFonts w:ascii="Times New Roman" w:hAnsi="Times New Roman" w:hint="eastAsia"/>
            <w:noProof/>
          </w:rPr>
          <w:t>基础信息</w:t>
        </w:r>
        <w:r w:rsidR="00344727">
          <w:rPr>
            <w:noProof/>
            <w:webHidden/>
          </w:rPr>
          <w:tab/>
        </w:r>
        <w:r w:rsidR="00A53BD0">
          <w:rPr>
            <w:noProof/>
            <w:webHidden/>
          </w:rPr>
          <w:fldChar w:fldCharType="begin"/>
        </w:r>
        <w:r w:rsidR="00344727">
          <w:rPr>
            <w:noProof/>
            <w:webHidden/>
          </w:rPr>
          <w:instrText xml:space="preserve"> PAGEREF _Toc101684459 \h </w:instrText>
        </w:r>
        <w:r w:rsidR="00A53BD0">
          <w:rPr>
            <w:noProof/>
            <w:webHidden/>
          </w:rPr>
        </w:r>
        <w:r w:rsidR="00A53BD0">
          <w:rPr>
            <w:noProof/>
            <w:webHidden/>
          </w:rPr>
          <w:fldChar w:fldCharType="separate"/>
        </w:r>
        <w:r w:rsidR="00E54F87">
          <w:rPr>
            <w:noProof/>
            <w:webHidden/>
          </w:rPr>
          <w:t>136</w:t>
        </w:r>
        <w:r w:rsidR="00A53BD0">
          <w:rPr>
            <w:noProof/>
            <w:webHidden/>
          </w:rPr>
          <w:fldChar w:fldCharType="end"/>
        </w:r>
      </w:hyperlink>
    </w:p>
    <w:p w14:paraId="1093FD1E"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460" w:history="1">
        <w:r w:rsidR="00344727" w:rsidRPr="00C16B96">
          <w:rPr>
            <w:rStyle w:val="afd"/>
            <w:rFonts w:ascii="Times New Roman" w:hAnsi="Times New Roman"/>
            <w:noProof/>
          </w:rPr>
          <w:t>6.5.4</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外汇账户内购汇</w:t>
        </w:r>
        <w:r w:rsidR="00344727" w:rsidRPr="00C16B96">
          <w:rPr>
            <w:rStyle w:val="afd"/>
            <w:rFonts w:ascii="Times New Roman" w:hAnsi="Times New Roman"/>
            <w:noProof/>
          </w:rPr>
          <w:t>-</w:t>
        </w:r>
        <w:r w:rsidR="00344727" w:rsidRPr="00C16B96">
          <w:rPr>
            <w:rStyle w:val="afd"/>
            <w:rFonts w:ascii="Times New Roman" w:hAnsi="Times New Roman" w:hint="eastAsia"/>
            <w:noProof/>
          </w:rPr>
          <w:t>管理信息</w:t>
        </w:r>
        <w:r w:rsidR="00344727">
          <w:rPr>
            <w:noProof/>
            <w:webHidden/>
          </w:rPr>
          <w:tab/>
        </w:r>
        <w:r w:rsidR="00A53BD0">
          <w:rPr>
            <w:noProof/>
            <w:webHidden/>
          </w:rPr>
          <w:fldChar w:fldCharType="begin"/>
        </w:r>
        <w:r w:rsidR="00344727">
          <w:rPr>
            <w:noProof/>
            <w:webHidden/>
          </w:rPr>
          <w:instrText xml:space="preserve"> PAGEREF _Toc101684460 \h </w:instrText>
        </w:r>
        <w:r w:rsidR="00A53BD0">
          <w:rPr>
            <w:noProof/>
            <w:webHidden/>
          </w:rPr>
        </w:r>
        <w:r w:rsidR="00A53BD0">
          <w:rPr>
            <w:noProof/>
            <w:webHidden/>
          </w:rPr>
          <w:fldChar w:fldCharType="separate"/>
        </w:r>
        <w:r w:rsidR="00E54F87">
          <w:rPr>
            <w:noProof/>
            <w:webHidden/>
          </w:rPr>
          <w:t>139</w:t>
        </w:r>
        <w:r w:rsidR="00A53BD0">
          <w:rPr>
            <w:noProof/>
            <w:webHidden/>
          </w:rPr>
          <w:fldChar w:fldCharType="end"/>
        </w:r>
      </w:hyperlink>
    </w:p>
    <w:p w14:paraId="18621742" w14:textId="77777777" w:rsidR="00344727" w:rsidRDefault="003C2B32" w:rsidP="00344727">
      <w:pPr>
        <w:pStyle w:val="TOC2"/>
        <w:tabs>
          <w:tab w:val="right" w:leader="dot" w:pos="8296"/>
        </w:tabs>
        <w:ind w:firstLine="480"/>
        <w:rPr>
          <w:rFonts w:asciiTheme="minorHAnsi" w:eastAsiaTheme="minorEastAsia" w:hAnsiTheme="minorHAnsi" w:cstheme="minorBidi"/>
          <w:noProof/>
          <w:kern w:val="2"/>
          <w:sz w:val="21"/>
          <w:szCs w:val="22"/>
        </w:rPr>
      </w:pPr>
      <w:hyperlink w:anchor="_Toc101684461" w:history="1">
        <w:r w:rsidR="00344727" w:rsidRPr="00C16B96">
          <w:rPr>
            <w:rStyle w:val="afd"/>
            <w:rFonts w:ascii="Times New Roman" w:hAnsi="Times New Roman"/>
            <w:noProof/>
          </w:rPr>
          <w:t>6.6</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银行自身外债业务</w:t>
        </w:r>
        <w:r w:rsidR="00344727">
          <w:rPr>
            <w:noProof/>
            <w:webHidden/>
          </w:rPr>
          <w:tab/>
        </w:r>
        <w:r w:rsidR="00A53BD0">
          <w:rPr>
            <w:noProof/>
            <w:webHidden/>
          </w:rPr>
          <w:fldChar w:fldCharType="begin"/>
        </w:r>
        <w:r w:rsidR="00344727">
          <w:rPr>
            <w:noProof/>
            <w:webHidden/>
          </w:rPr>
          <w:instrText xml:space="preserve"> PAGEREF _Toc101684461 \h </w:instrText>
        </w:r>
        <w:r w:rsidR="00A53BD0">
          <w:rPr>
            <w:noProof/>
            <w:webHidden/>
          </w:rPr>
        </w:r>
        <w:r w:rsidR="00A53BD0">
          <w:rPr>
            <w:noProof/>
            <w:webHidden/>
          </w:rPr>
          <w:fldChar w:fldCharType="separate"/>
        </w:r>
        <w:r w:rsidR="00E54F87">
          <w:rPr>
            <w:noProof/>
            <w:webHidden/>
          </w:rPr>
          <w:t>140</w:t>
        </w:r>
        <w:r w:rsidR="00A53BD0">
          <w:rPr>
            <w:noProof/>
            <w:webHidden/>
          </w:rPr>
          <w:fldChar w:fldCharType="end"/>
        </w:r>
      </w:hyperlink>
    </w:p>
    <w:p w14:paraId="0622EAAA"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462" w:history="1">
        <w:r w:rsidR="00344727" w:rsidRPr="00C16B96">
          <w:rPr>
            <w:rStyle w:val="afd"/>
            <w:rFonts w:ascii="Times New Roman" w:hAnsi="Times New Roman"/>
            <w:noProof/>
          </w:rPr>
          <w:t>6.6.1</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外债签约信息</w:t>
        </w:r>
        <w:r w:rsidR="00344727">
          <w:rPr>
            <w:noProof/>
            <w:webHidden/>
          </w:rPr>
          <w:tab/>
        </w:r>
        <w:r w:rsidR="00A53BD0">
          <w:rPr>
            <w:noProof/>
            <w:webHidden/>
          </w:rPr>
          <w:fldChar w:fldCharType="begin"/>
        </w:r>
        <w:r w:rsidR="00344727">
          <w:rPr>
            <w:noProof/>
            <w:webHidden/>
          </w:rPr>
          <w:instrText xml:space="preserve"> PAGEREF _Toc101684462 \h </w:instrText>
        </w:r>
        <w:r w:rsidR="00A53BD0">
          <w:rPr>
            <w:noProof/>
            <w:webHidden/>
          </w:rPr>
        </w:r>
        <w:r w:rsidR="00A53BD0">
          <w:rPr>
            <w:noProof/>
            <w:webHidden/>
          </w:rPr>
          <w:fldChar w:fldCharType="separate"/>
        </w:r>
        <w:r w:rsidR="00E54F87">
          <w:rPr>
            <w:noProof/>
            <w:webHidden/>
          </w:rPr>
          <w:t>140</w:t>
        </w:r>
        <w:r w:rsidR="00A53BD0">
          <w:rPr>
            <w:noProof/>
            <w:webHidden/>
          </w:rPr>
          <w:fldChar w:fldCharType="end"/>
        </w:r>
      </w:hyperlink>
    </w:p>
    <w:p w14:paraId="04912B44"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463" w:history="1">
        <w:r w:rsidR="00344727" w:rsidRPr="00C16B96">
          <w:rPr>
            <w:rStyle w:val="afd"/>
            <w:rFonts w:ascii="Times New Roman" w:hAnsi="Times New Roman"/>
            <w:noProof/>
          </w:rPr>
          <w:t>6.6.2</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外债变动信息</w:t>
        </w:r>
        <w:r w:rsidR="00344727">
          <w:rPr>
            <w:noProof/>
            <w:webHidden/>
          </w:rPr>
          <w:tab/>
        </w:r>
        <w:r w:rsidR="00A53BD0">
          <w:rPr>
            <w:noProof/>
            <w:webHidden/>
          </w:rPr>
          <w:fldChar w:fldCharType="begin"/>
        </w:r>
        <w:r w:rsidR="00344727">
          <w:rPr>
            <w:noProof/>
            <w:webHidden/>
          </w:rPr>
          <w:instrText xml:space="preserve"> PAGEREF _Toc101684463 \h </w:instrText>
        </w:r>
        <w:r w:rsidR="00A53BD0">
          <w:rPr>
            <w:noProof/>
            <w:webHidden/>
          </w:rPr>
        </w:r>
        <w:r w:rsidR="00A53BD0">
          <w:rPr>
            <w:noProof/>
            <w:webHidden/>
          </w:rPr>
          <w:fldChar w:fldCharType="separate"/>
        </w:r>
        <w:r w:rsidR="00E54F87">
          <w:rPr>
            <w:noProof/>
            <w:webHidden/>
          </w:rPr>
          <w:t>186</w:t>
        </w:r>
        <w:r w:rsidR="00A53BD0">
          <w:rPr>
            <w:noProof/>
            <w:webHidden/>
          </w:rPr>
          <w:fldChar w:fldCharType="end"/>
        </w:r>
      </w:hyperlink>
    </w:p>
    <w:p w14:paraId="50358953"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464" w:history="1">
        <w:r w:rsidR="00344727" w:rsidRPr="00C16B96">
          <w:rPr>
            <w:rStyle w:val="afd"/>
            <w:rFonts w:ascii="Times New Roman" w:hAnsi="Times New Roman"/>
            <w:noProof/>
          </w:rPr>
          <w:t>6.6.3</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外债余额信息</w:t>
        </w:r>
        <w:r w:rsidR="00344727">
          <w:rPr>
            <w:noProof/>
            <w:webHidden/>
          </w:rPr>
          <w:tab/>
        </w:r>
        <w:r w:rsidR="00A53BD0">
          <w:rPr>
            <w:noProof/>
            <w:webHidden/>
          </w:rPr>
          <w:fldChar w:fldCharType="begin"/>
        </w:r>
        <w:r w:rsidR="00344727">
          <w:rPr>
            <w:noProof/>
            <w:webHidden/>
          </w:rPr>
          <w:instrText xml:space="preserve"> PAGEREF _Toc101684464 \h </w:instrText>
        </w:r>
        <w:r w:rsidR="00A53BD0">
          <w:rPr>
            <w:noProof/>
            <w:webHidden/>
          </w:rPr>
        </w:r>
        <w:r w:rsidR="00A53BD0">
          <w:rPr>
            <w:noProof/>
            <w:webHidden/>
          </w:rPr>
          <w:fldChar w:fldCharType="separate"/>
        </w:r>
        <w:r w:rsidR="00E54F87">
          <w:rPr>
            <w:noProof/>
            <w:webHidden/>
          </w:rPr>
          <w:t>187</w:t>
        </w:r>
        <w:r w:rsidR="00A53BD0">
          <w:rPr>
            <w:noProof/>
            <w:webHidden/>
          </w:rPr>
          <w:fldChar w:fldCharType="end"/>
        </w:r>
      </w:hyperlink>
    </w:p>
    <w:p w14:paraId="30E202C8" w14:textId="77777777" w:rsidR="00344727" w:rsidRDefault="003C2B32" w:rsidP="00344727">
      <w:pPr>
        <w:pStyle w:val="TOC2"/>
        <w:tabs>
          <w:tab w:val="right" w:leader="dot" w:pos="8296"/>
        </w:tabs>
        <w:ind w:firstLine="480"/>
        <w:rPr>
          <w:rFonts w:asciiTheme="minorHAnsi" w:eastAsiaTheme="minorEastAsia" w:hAnsiTheme="minorHAnsi" w:cstheme="minorBidi"/>
          <w:noProof/>
          <w:kern w:val="2"/>
          <w:sz w:val="21"/>
          <w:szCs w:val="22"/>
        </w:rPr>
      </w:pPr>
      <w:hyperlink w:anchor="_Toc101684465" w:history="1">
        <w:r w:rsidR="00344727" w:rsidRPr="00C16B96">
          <w:rPr>
            <w:rStyle w:val="afd"/>
            <w:rFonts w:ascii="Times New Roman" w:hAnsi="Times New Roman"/>
            <w:noProof/>
          </w:rPr>
          <w:t>6.7</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银行自身资本项目业务（不包括外债）</w:t>
        </w:r>
        <w:r w:rsidR="00344727">
          <w:rPr>
            <w:noProof/>
            <w:webHidden/>
          </w:rPr>
          <w:tab/>
        </w:r>
        <w:r w:rsidR="00A53BD0">
          <w:rPr>
            <w:noProof/>
            <w:webHidden/>
          </w:rPr>
          <w:fldChar w:fldCharType="begin"/>
        </w:r>
        <w:r w:rsidR="00344727">
          <w:rPr>
            <w:noProof/>
            <w:webHidden/>
          </w:rPr>
          <w:instrText xml:space="preserve"> PAGEREF _Toc101684465 \h </w:instrText>
        </w:r>
        <w:r w:rsidR="00A53BD0">
          <w:rPr>
            <w:noProof/>
            <w:webHidden/>
          </w:rPr>
        </w:r>
        <w:r w:rsidR="00A53BD0">
          <w:rPr>
            <w:noProof/>
            <w:webHidden/>
          </w:rPr>
          <w:fldChar w:fldCharType="separate"/>
        </w:r>
        <w:r w:rsidR="00E54F87">
          <w:rPr>
            <w:noProof/>
            <w:webHidden/>
          </w:rPr>
          <w:t>189</w:t>
        </w:r>
        <w:r w:rsidR="00A53BD0">
          <w:rPr>
            <w:noProof/>
            <w:webHidden/>
          </w:rPr>
          <w:fldChar w:fldCharType="end"/>
        </w:r>
      </w:hyperlink>
    </w:p>
    <w:p w14:paraId="69916D06"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466" w:history="1">
        <w:r w:rsidR="00344727" w:rsidRPr="00C16B96">
          <w:rPr>
            <w:rStyle w:val="afd"/>
            <w:rFonts w:ascii="Times New Roman" w:hAnsi="Times New Roman"/>
            <w:noProof/>
          </w:rPr>
          <w:t>6.7.1</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对外担保</w:t>
        </w:r>
        <w:r w:rsidR="00344727">
          <w:rPr>
            <w:noProof/>
            <w:webHidden/>
          </w:rPr>
          <w:tab/>
        </w:r>
        <w:r w:rsidR="00A53BD0">
          <w:rPr>
            <w:noProof/>
            <w:webHidden/>
          </w:rPr>
          <w:fldChar w:fldCharType="begin"/>
        </w:r>
        <w:r w:rsidR="00344727">
          <w:rPr>
            <w:noProof/>
            <w:webHidden/>
          </w:rPr>
          <w:instrText xml:space="preserve"> PAGEREF _Toc101684466 \h </w:instrText>
        </w:r>
        <w:r w:rsidR="00A53BD0">
          <w:rPr>
            <w:noProof/>
            <w:webHidden/>
          </w:rPr>
        </w:r>
        <w:r w:rsidR="00A53BD0">
          <w:rPr>
            <w:noProof/>
            <w:webHidden/>
          </w:rPr>
          <w:fldChar w:fldCharType="separate"/>
        </w:r>
        <w:r w:rsidR="00E54F87">
          <w:rPr>
            <w:noProof/>
            <w:webHidden/>
          </w:rPr>
          <w:t>189</w:t>
        </w:r>
        <w:r w:rsidR="00A53BD0">
          <w:rPr>
            <w:noProof/>
            <w:webHidden/>
          </w:rPr>
          <w:fldChar w:fldCharType="end"/>
        </w:r>
      </w:hyperlink>
    </w:p>
    <w:p w14:paraId="0B106C21"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467" w:history="1">
        <w:r w:rsidR="00344727" w:rsidRPr="00C16B96">
          <w:rPr>
            <w:rStyle w:val="afd"/>
            <w:rFonts w:ascii="Times New Roman" w:hAnsi="Times New Roman"/>
            <w:noProof/>
          </w:rPr>
          <w:t>6.7.2</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国内外汇贷款（含外债转贷款）</w:t>
        </w:r>
        <w:r w:rsidR="00344727">
          <w:rPr>
            <w:noProof/>
            <w:webHidden/>
          </w:rPr>
          <w:tab/>
        </w:r>
        <w:r w:rsidR="00A53BD0">
          <w:rPr>
            <w:noProof/>
            <w:webHidden/>
          </w:rPr>
          <w:fldChar w:fldCharType="begin"/>
        </w:r>
        <w:r w:rsidR="00344727">
          <w:rPr>
            <w:noProof/>
            <w:webHidden/>
          </w:rPr>
          <w:instrText xml:space="preserve"> PAGEREF _Toc101684467 \h </w:instrText>
        </w:r>
        <w:r w:rsidR="00A53BD0">
          <w:rPr>
            <w:noProof/>
            <w:webHidden/>
          </w:rPr>
        </w:r>
        <w:r w:rsidR="00A53BD0">
          <w:rPr>
            <w:noProof/>
            <w:webHidden/>
          </w:rPr>
          <w:fldChar w:fldCharType="separate"/>
        </w:r>
        <w:r w:rsidR="00E54F87">
          <w:rPr>
            <w:noProof/>
            <w:webHidden/>
          </w:rPr>
          <w:t>199</w:t>
        </w:r>
        <w:r w:rsidR="00A53BD0">
          <w:rPr>
            <w:noProof/>
            <w:webHidden/>
          </w:rPr>
          <w:fldChar w:fldCharType="end"/>
        </w:r>
      </w:hyperlink>
    </w:p>
    <w:p w14:paraId="1010E583"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468" w:history="1">
        <w:r w:rsidR="00344727" w:rsidRPr="00C16B96">
          <w:rPr>
            <w:rStyle w:val="afd"/>
            <w:rFonts w:ascii="Times New Roman" w:hAnsi="Times New Roman"/>
            <w:noProof/>
          </w:rPr>
          <w:t>6.7.3</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外保内贷</w:t>
        </w:r>
        <w:r w:rsidR="00344727">
          <w:rPr>
            <w:noProof/>
            <w:webHidden/>
          </w:rPr>
          <w:tab/>
        </w:r>
        <w:r w:rsidR="00A53BD0">
          <w:rPr>
            <w:noProof/>
            <w:webHidden/>
          </w:rPr>
          <w:fldChar w:fldCharType="begin"/>
        </w:r>
        <w:r w:rsidR="00344727">
          <w:rPr>
            <w:noProof/>
            <w:webHidden/>
          </w:rPr>
          <w:instrText xml:space="preserve"> PAGEREF _Toc101684468 \h </w:instrText>
        </w:r>
        <w:r w:rsidR="00A53BD0">
          <w:rPr>
            <w:noProof/>
            <w:webHidden/>
          </w:rPr>
        </w:r>
        <w:r w:rsidR="00A53BD0">
          <w:rPr>
            <w:noProof/>
            <w:webHidden/>
          </w:rPr>
          <w:fldChar w:fldCharType="separate"/>
        </w:r>
        <w:r w:rsidR="00E54F87">
          <w:rPr>
            <w:noProof/>
            <w:webHidden/>
          </w:rPr>
          <w:t>203</w:t>
        </w:r>
        <w:r w:rsidR="00A53BD0">
          <w:rPr>
            <w:noProof/>
            <w:webHidden/>
          </w:rPr>
          <w:fldChar w:fldCharType="end"/>
        </w:r>
      </w:hyperlink>
    </w:p>
    <w:p w14:paraId="73419CEA"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469" w:history="1">
        <w:r w:rsidR="00344727" w:rsidRPr="00C16B96">
          <w:rPr>
            <w:rStyle w:val="afd"/>
            <w:rFonts w:ascii="Times New Roman" w:hAnsi="Times New Roman"/>
            <w:noProof/>
          </w:rPr>
          <w:t>6.7.4</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外汇质押人民币贷款</w:t>
        </w:r>
        <w:r w:rsidR="00344727">
          <w:rPr>
            <w:noProof/>
            <w:webHidden/>
          </w:rPr>
          <w:tab/>
        </w:r>
        <w:r w:rsidR="00A53BD0">
          <w:rPr>
            <w:noProof/>
            <w:webHidden/>
          </w:rPr>
          <w:fldChar w:fldCharType="begin"/>
        </w:r>
        <w:r w:rsidR="00344727">
          <w:rPr>
            <w:noProof/>
            <w:webHidden/>
          </w:rPr>
          <w:instrText xml:space="preserve"> PAGEREF _Toc101684469 \h </w:instrText>
        </w:r>
        <w:r w:rsidR="00A53BD0">
          <w:rPr>
            <w:noProof/>
            <w:webHidden/>
          </w:rPr>
        </w:r>
        <w:r w:rsidR="00A53BD0">
          <w:rPr>
            <w:noProof/>
            <w:webHidden/>
          </w:rPr>
          <w:fldChar w:fldCharType="separate"/>
        </w:r>
        <w:r w:rsidR="00E54F87">
          <w:rPr>
            <w:noProof/>
            <w:webHidden/>
          </w:rPr>
          <w:t>208</w:t>
        </w:r>
        <w:r w:rsidR="00A53BD0">
          <w:rPr>
            <w:noProof/>
            <w:webHidden/>
          </w:rPr>
          <w:fldChar w:fldCharType="end"/>
        </w:r>
      </w:hyperlink>
    </w:p>
    <w:p w14:paraId="372DC467"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470" w:history="1">
        <w:r w:rsidR="00344727" w:rsidRPr="00C16B96">
          <w:rPr>
            <w:rStyle w:val="afd"/>
            <w:rFonts w:ascii="Times New Roman" w:hAnsi="Times New Roman"/>
            <w:noProof/>
          </w:rPr>
          <w:t>6.7.5</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商业银行人民币结构性存款业务</w:t>
        </w:r>
        <w:r w:rsidR="00344727">
          <w:rPr>
            <w:noProof/>
            <w:webHidden/>
          </w:rPr>
          <w:tab/>
        </w:r>
        <w:r w:rsidR="00A53BD0">
          <w:rPr>
            <w:noProof/>
            <w:webHidden/>
          </w:rPr>
          <w:fldChar w:fldCharType="begin"/>
        </w:r>
        <w:r w:rsidR="00344727">
          <w:rPr>
            <w:noProof/>
            <w:webHidden/>
          </w:rPr>
          <w:instrText xml:space="preserve"> PAGEREF _Toc101684470 \h </w:instrText>
        </w:r>
        <w:r w:rsidR="00A53BD0">
          <w:rPr>
            <w:noProof/>
            <w:webHidden/>
          </w:rPr>
        </w:r>
        <w:r w:rsidR="00A53BD0">
          <w:rPr>
            <w:noProof/>
            <w:webHidden/>
          </w:rPr>
          <w:fldChar w:fldCharType="separate"/>
        </w:r>
        <w:r w:rsidR="00E54F87">
          <w:rPr>
            <w:noProof/>
            <w:webHidden/>
          </w:rPr>
          <w:t>212</w:t>
        </w:r>
        <w:r w:rsidR="00A53BD0">
          <w:rPr>
            <w:noProof/>
            <w:webHidden/>
          </w:rPr>
          <w:fldChar w:fldCharType="end"/>
        </w:r>
      </w:hyperlink>
    </w:p>
    <w:p w14:paraId="71D485F2" w14:textId="77777777" w:rsidR="00344727" w:rsidRDefault="003C2B32" w:rsidP="00344727">
      <w:pPr>
        <w:pStyle w:val="TOC2"/>
        <w:tabs>
          <w:tab w:val="right" w:leader="dot" w:pos="8296"/>
        </w:tabs>
        <w:ind w:firstLine="480"/>
        <w:rPr>
          <w:rFonts w:asciiTheme="minorHAnsi" w:eastAsiaTheme="minorEastAsia" w:hAnsiTheme="minorHAnsi" w:cstheme="minorBidi"/>
          <w:noProof/>
          <w:kern w:val="2"/>
          <w:sz w:val="21"/>
          <w:szCs w:val="22"/>
        </w:rPr>
      </w:pPr>
      <w:hyperlink w:anchor="_Toc101684471" w:history="1">
        <w:r w:rsidR="00344727" w:rsidRPr="00C16B96">
          <w:rPr>
            <w:rStyle w:val="afd"/>
            <w:rFonts w:ascii="Times New Roman" w:hAnsi="Times New Roman"/>
            <w:noProof/>
          </w:rPr>
          <w:t>6.8</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银行代客业务</w:t>
        </w:r>
        <w:r w:rsidR="00344727">
          <w:rPr>
            <w:noProof/>
            <w:webHidden/>
          </w:rPr>
          <w:tab/>
        </w:r>
        <w:r w:rsidR="00A53BD0">
          <w:rPr>
            <w:noProof/>
            <w:webHidden/>
          </w:rPr>
          <w:fldChar w:fldCharType="begin"/>
        </w:r>
        <w:r w:rsidR="00344727">
          <w:rPr>
            <w:noProof/>
            <w:webHidden/>
          </w:rPr>
          <w:instrText xml:space="preserve"> PAGEREF _Toc101684471 \h </w:instrText>
        </w:r>
        <w:r w:rsidR="00A53BD0">
          <w:rPr>
            <w:noProof/>
            <w:webHidden/>
          </w:rPr>
        </w:r>
        <w:r w:rsidR="00A53BD0">
          <w:rPr>
            <w:noProof/>
            <w:webHidden/>
          </w:rPr>
          <w:fldChar w:fldCharType="separate"/>
        </w:r>
        <w:r w:rsidR="00E54F87">
          <w:rPr>
            <w:noProof/>
            <w:webHidden/>
          </w:rPr>
          <w:t>219</w:t>
        </w:r>
        <w:r w:rsidR="00A53BD0">
          <w:rPr>
            <w:noProof/>
            <w:webHidden/>
          </w:rPr>
          <w:fldChar w:fldCharType="end"/>
        </w:r>
      </w:hyperlink>
    </w:p>
    <w:p w14:paraId="01238FA7"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472" w:history="1">
        <w:r w:rsidR="00344727" w:rsidRPr="00C16B96">
          <w:rPr>
            <w:rStyle w:val="afd"/>
            <w:rFonts w:ascii="Times New Roman" w:hAnsi="Times New Roman"/>
            <w:noProof/>
          </w:rPr>
          <w:t>6.8.1</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境内个人参与境外上市公司股权激励计划业务信息数据格式</w:t>
        </w:r>
        <w:r w:rsidR="00344727">
          <w:rPr>
            <w:noProof/>
            <w:webHidden/>
          </w:rPr>
          <w:tab/>
        </w:r>
        <w:r w:rsidR="00A53BD0">
          <w:rPr>
            <w:noProof/>
            <w:webHidden/>
          </w:rPr>
          <w:fldChar w:fldCharType="begin"/>
        </w:r>
        <w:r w:rsidR="00344727">
          <w:rPr>
            <w:noProof/>
            <w:webHidden/>
          </w:rPr>
          <w:instrText xml:space="preserve"> PAGEREF _Toc101684472 \h </w:instrText>
        </w:r>
        <w:r w:rsidR="00A53BD0">
          <w:rPr>
            <w:noProof/>
            <w:webHidden/>
          </w:rPr>
        </w:r>
        <w:r w:rsidR="00A53BD0">
          <w:rPr>
            <w:noProof/>
            <w:webHidden/>
          </w:rPr>
          <w:fldChar w:fldCharType="separate"/>
        </w:r>
        <w:r w:rsidR="00E54F87">
          <w:rPr>
            <w:noProof/>
            <w:webHidden/>
          </w:rPr>
          <w:t>219</w:t>
        </w:r>
        <w:r w:rsidR="00A53BD0">
          <w:rPr>
            <w:noProof/>
            <w:webHidden/>
          </w:rPr>
          <w:fldChar w:fldCharType="end"/>
        </w:r>
      </w:hyperlink>
    </w:p>
    <w:p w14:paraId="4C4A9B29" w14:textId="77777777" w:rsidR="00344727" w:rsidRDefault="003C2B32" w:rsidP="00344727">
      <w:pPr>
        <w:pStyle w:val="TOC2"/>
        <w:tabs>
          <w:tab w:val="right" w:leader="dot" w:pos="8296"/>
        </w:tabs>
        <w:ind w:firstLine="480"/>
        <w:rPr>
          <w:rFonts w:asciiTheme="minorHAnsi" w:eastAsiaTheme="minorEastAsia" w:hAnsiTheme="minorHAnsi" w:cstheme="minorBidi"/>
          <w:noProof/>
          <w:kern w:val="2"/>
          <w:sz w:val="21"/>
          <w:szCs w:val="22"/>
        </w:rPr>
      </w:pPr>
      <w:hyperlink w:anchor="_Toc101684473" w:history="1">
        <w:r w:rsidR="00344727" w:rsidRPr="00C16B96">
          <w:rPr>
            <w:rStyle w:val="afd"/>
            <w:rFonts w:ascii="Times New Roman" w:hAnsi="Times New Roman"/>
            <w:noProof/>
          </w:rPr>
          <w:t>6.9</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对外金融资产负债及交易信息</w:t>
        </w:r>
        <w:r w:rsidR="00344727">
          <w:rPr>
            <w:noProof/>
            <w:webHidden/>
          </w:rPr>
          <w:tab/>
        </w:r>
        <w:r w:rsidR="00A53BD0">
          <w:rPr>
            <w:noProof/>
            <w:webHidden/>
          </w:rPr>
          <w:fldChar w:fldCharType="begin"/>
        </w:r>
        <w:r w:rsidR="00344727">
          <w:rPr>
            <w:noProof/>
            <w:webHidden/>
          </w:rPr>
          <w:instrText xml:space="preserve"> PAGEREF _Toc101684473 \h </w:instrText>
        </w:r>
        <w:r w:rsidR="00A53BD0">
          <w:rPr>
            <w:noProof/>
            <w:webHidden/>
          </w:rPr>
        </w:r>
        <w:r w:rsidR="00A53BD0">
          <w:rPr>
            <w:noProof/>
            <w:webHidden/>
          </w:rPr>
          <w:fldChar w:fldCharType="separate"/>
        </w:r>
        <w:r w:rsidR="00E54F87">
          <w:rPr>
            <w:noProof/>
            <w:webHidden/>
          </w:rPr>
          <w:t>222</w:t>
        </w:r>
        <w:r w:rsidR="00A53BD0">
          <w:rPr>
            <w:noProof/>
            <w:webHidden/>
          </w:rPr>
          <w:fldChar w:fldCharType="end"/>
        </w:r>
      </w:hyperlink>
    </w:p>
    <w:p w14:paraId="652F5527"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474" w:history="1">
        <w:r w:rsidR="00344727" w:rsidRPr="00C16B96">
          <w:rPr>
            <w:rStyle w:val="afd"/>
            <w:rFonts w:ascii="Times New Roman" w:hAnsi="Times New Roman"/>
            <w:noProof/>
          </w:rPr>
          <w:t>6.9.1 Z01</w:t>
        </w:r>
        <w:r w:rsidR="00344727" w:rsidRPr="00C16B96">
          <w:rPr>
            <w:rStyle w:val="afd"/>
            <w:rFonts w:ascii="Times New Roman" w:hAnsi="Times New Roman" w:hint="eastAsia"/>
            <w:noProof/>
          </w:rPr>
          <w:t>表：单位基本情况信息</w:t>
        </w:r>
        <w:r w:rsidR="00344727">
          <w:rPr>
            <w:noProof/>
            <w:webHidden/>
          </w:rPr>
          <w:tab/>
        </w:r>
        <w:r w:rsidR="00A53BD0">
          <w:rPr>
            <w:noProof/>
            <w:webHidden/>
          </w:rPr>
          <w:fldChar w:fldCharType="begin"/>
        </w:r>
        <w:r w:rsidR="00344727">
          <w:rPr>
            <w:noProof/>
            <w:webHidden/>
          </w:rPr>
          <w:instrText xml:space="preserve"> PAGEREF _Toc101684474 \h </w:instrText>
        </w:r>
        <w:r w:rsidR="00A53BD0">
          <w:rPr>
            <w:noProof/>
            <w:webHidden/>
          </w:rPr>
        </w:r>
        <w:r w:rsidR="00A53BD0">
          <w:rPr>
            <w:noProof/>
            <w:webHidden/>
          </w:rPr>
          <w:fldChar w:fldCharType="separate"/>
        </w:r>
        <w:r w:rsidR="00E54F87">
          <w:rPr>
            <w:noProof/>
            <w:webHidden/>
          </w:rPr>
          <w:t>222</w:t>
        </w:r>
        <w:r w:rsidR="00A53BD0">
          <w:rPr>
            <w:noProof/>
            <w:webHidden/>
          </w:rPr>
          <w:fldChar w:fldCharType="end"/>
        </w:r>
      </w:hyperlink>
    </w:p>
    <w:p w14:paraId="63E295A1"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475" w:history="1">
        <w:r w:rsidR="00344727" w:rsidRPr="00C16B96">
          <w:rPr>
            <w:rStyle w:val="afd"/>
            <w:rFonts w:ascii="Times New Roman" w:hAnsi="Times New Roman"/>
            <w:noProof/>
          </w:rPr>
          <w:t>6.9.2 Z02</w:t>
        </w:r>
        <w:r w:rsidR="00344727" w:rsidRPr="00C16B96">
          <w:rPr>
            <w:rStyle w:val="afd"/>
            <w:rFonts w:ascii="Times New Roman" w:hAnsi="Times New Roman" w:hint="eastAsia"/>
            <w:noProof/>
          </w:rPr>
          <w:t>表：业务概览及联系方式</w:t>
        </w:r>
        <w:r w:rsidR="00344727">
          <w:rPr>
            <w:noProof/>
            <w:webHidden/>
          </w:rPr>
          <w:tab/>
        </w:r>
        <w:r w:rsidR="00A53BD0">
          <w:rPr>
            <w:noProof/>
            <w:webHidden/>
          </w:rPr>
          <w:fldChar w:fldCharType="begin"/>
        </w:r>
        <w:r w:rsidR="00344727">
          <w:rPr>
            <w:noProof/>
            <w:webHidden/>
          </w:rPr>
          <w:instrText xml:space="preserve"> PAGEREF _Toc101684475 \h </w:instrText>
        </w:r>
        <w:r w:rsidR="00A53BD0">
          <w:rPr>
            <w:noProof/>
            <w:webHidden/>
          </w:rPr>
        </w:r>
        <w:r w:rsidR="00A53BD0">
          <w:rPr>
            <w:noProof/>
            <w:webHidden/>
          </w:rPr>
          <w:fldChar w:fldCharType="separate"/>
        </w:r>
        <w:r w:rsidR="00E54F87">
          <w:rPr>
            <w:noProof/>
            <w:webHidden/>
          </w:rPr>
          <w:t>227</w:t>
        </w:r>
        <w:r w:rsidR="00A53BD0">
          <w:rPr>
            <w:noProof/>
            <w:webHidden/>
          </w:rPr>
          <w:fldChar w:fldCharType="end"/>
        </w:r>
      </w:hyperlink>
    </w:p>
    <w:p w14:paraId="069320E0"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476" w:history="1">
        <w:r w:rsidR="00344727" w:rsidRPr="00C16B96">
          <w:rPr>
            <w:rStyle w:val="afd"/>
            <w:rFonts w:ascii="Times New Roman" w:hAnsi="Times New Roman"/>
            <w:noProof/>
          </w:rPr>
          <w:t>6.9.3 Z03</w:t>
        </w:r>
        <w:r w:rsidR="00344727" w:rsidRPr="00C16B96">
          <w:rPr>
            <w:rStyle w:val="afd"/>
            <w:rFonts w:ascii="Times New Roman" w:hAnsi="Times New Roman" w:hint="eastAsia"/>
            <w:noProof/>
          </w:rPr>
          <w:t>表：投资关系（组织架构）</w:t>
        </w:r>
        <w:r w:rsidR="00344727">
          <w:rPr>
            <w:noProof/>
            <w:webHidden/>
          </w:rPr>
          <w:tab/>
        </w:r>
        <w:r w:rsidR="00A53BD0">
          <w:rPr>
            <w:noProof/>
            <w:webHidden/>
          </w:rPr>
          <w:fldChar w:fldCharType="begin"/>
        </w:r>
        <w:r w:rsidR="00344727">
          <w:rPr>
            <w:noProof/>
            <w:webHidden/>
          </w:rPr>
          <w:instrText xml:space="preserve"> PAGEREF _Toc101684476 \h </w:instrText>
        </w:r>
        <w:r w:rsidR="00A53BD0">
          <w:rPr>
            <w:noProof/>
            <w:webHidden/>
          </w:rPr>
        </w:r>
        <w:r w:rsidR="00A53BD0">
          <w:rPr>
            <w:noProof/>
            <w:webHidden/>
          </w:rPr>
          <w:fldChar w:fldCharType="separate"/>
        </w:r>
        <w:r w:rsidR="00E54F87">
          <w:rPr>
            <w:noProof/>
            <w:webHidden/>
          </w:rPr>
          <w:t>229</w:t>
        </w:r>
        <w:r w:rsidR="00A53BD0">
          <w:rPr>
            <w:noProof/>
            <w:webHidden/>
          </w:rPr>
          <w:fldChar w:fldCharType="end"/>
        </w:r>
      </w:hyperlink>
    </w:p>
    <w:p w14:paraId="5560ED9E"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477" w:history="1">
        <w:r w:rsidR="00344727" w:rsidRPr="00C16B96">
          <w:rPr>
            <w:rStyle w:val="afd"/>
            <w:rFonts w:ascii="Times New Roman" w:hAnsi="Times New Roman"/>
            <w:noProof/>
          </w:rPr>
          <w:t>6.9.4 A01-1</w:t>
        </w:r>
        <w:r w:rsidR="00344727" w:rsidRPr="00C16B96">
          <w:rPr>
            <w:rStyle w:val="afd"/>
            <w:rFonts w:ascii="Times New Roman" w:hAnsi="Times New Roman" w:hint="eastAsia"/>
            <w:noProof/>
          </w:rPr>
          <w:t>表：对外直接投资（资产负债、利润及市值）</w:t>
        </w:r>
        <w:r w:rsidR="00344727">
          <w:rPr>
            <w:noProof/>
            <w:webHidden/>
          </w:rPr>
          <w:tab/>
        </w:r>
        <w:r w:rsidR="00A53BD0">
          <w:rPr>
            <w:noProof/>
            <w:webHidden/>
          </w:rPr>
          <w:fldChar w:fldCharType="begin"/>
        </w:r>
        <w:r w:rsidR="00344727">
          <w:rPr>
            <w:noProof/>
            <w:webHidden/>
          </w:rPr>
          <w:instrText xml:space="preserve"> PAGEREF _Toc101684477 \h </w:instrText>
        </w:r>
        <w:r w:rsidR="00A53BD0">
          <w:rPr>
            <w:noProof/>
            <w:webHidden/>
          </w:rPr>
        </w:r>
        <w:r w:rsidR="00A53BD0">
          <w:rPr>
            <w:noProof/>
            <w:webHidden/>
          </w:rPr>
          <w:fldChar w:fldCharType="separate"/>
        </w:r>
        <w:r w:rsidR="00E54F87">
          <w:rPr>
            <w:noProof/>
            <w:webHidden/>
          </w:rPr>
          <w:t>233</w:t>
        </w:r>
        <w:r w:rsidR="00A53BD0">
          <w:rPr>
            <w:noProof/>
            <w:webHidden/>
          </w:rPr>
          <w:fldChar w:fldCharType="end"/>
        </w:r>
      </w:hyperlink>
    </w:p>
    <w:p w14:paraId="0288A1BD"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478" w:history="1">
        <w:r w:rsidR="00344727" w:rsidRPr="00C16B96">
          <w:rPr>
            <w:rStyle w:val="afd"/>
            <w:rFonts w:ascii="Times New Roman" w:hAnsi="Times New Roman"/>
            <w:noProof/>
          </w:rPr>
          <w:t>6.9.5 A01-2</w:t>
        </w:r>
        <w:r w:rsidR="00344727" w:rsidRPr="00C16B96">
          <w:rPr>
            <w:rStyle w:val="afd"/>
            <w:rFonts w:ascii="Times New Roman" w:hAnsi="Times New Roman" w:hint="eastAsia"/>
            <w:noProof/>
          </w:rPr>
          <w:t>表：对外直接投资（流量）</w:t>
        </w:r>
        <w:r w:rsidR="00344727">
          <w:rPr>
            <w:noProof/>
            <w:webHidden/>
          </w:rPr>
          <w:tab/>
        </w:r>
        <w:r w:rsidR="00A53BD0">
          <w:rPr>
            <w:noProof/>
            <w:webHidden/>
          </w:rPr>
          <w:fldChar w:fldCharType="begin"/>
        </w:r>
        <w:r w:rsidR="00344727">
          <w:rPr>
            <w:noProof/>
            <w:webHidden/>
          </w:rPr>
          <w:instrText xml:space="preserve"> PAGEREF _Toc101684478 \h </w:instrText>
        </w:r>
        <w:r w:rsidR="00A53BD0">
          <w:rPr>
            <w:noProof/>
            <w:webHidden/>
          </w:rPr>
        </w:r>
        <w:r w:rsidR="00A53BD0">
          <w:rPr>
            <w:noProof/>
            <w:webHidden/>
          </w:rPr>
          <w:fldChar w:fldCharType="separate"/>
        </w:r>
        <w:r w:rsidR="00E54F87">
          <w:rPr>
            <w:noProof/>
            <w:webHidden/>
          </w:rPr>
          <w:t>241</w:t>
        </w:r>
        <w:r w:rsidR="00A53BD0">
          <w:rPr>
            <w:noProof/>
            <w:webHidden/>
          </w:rPr>
          <w:fldChar w:fldCharType="end"/>
        </w:r>
      </w:hyperlink>
    </w:p>
    <w:p w14:paraId="4EB1933F"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479" w:history="1">
        <w:r w:rsidR="00344727" w:rsidRPr="00C16B96">
          <w:rPr>
            <w:rStyle w:val="afd"/>
            <w:rFonts w:ascii="Times New Roman" w:hAnsi="Times New Roman"/>
            <w:noProof/>
          </w:rPr>
          <w:t>6.9.6 A02-1</w:t>
        </w:r>
        <w:r w:rsidR="00344727" w:rsidRPr="00C16B96">
          <w:rPr>
            <w:rStyle w:val="afd"/>
            <w:rFonts w:ascii="Times New Roman" w:hAnsi="Times New Roman" w:hint="eastAsia"/>
            <w:noProof/>
          </w:rPr>
          <w:t>表：来华直接投资（资产负债及利润）</w:t>
        </w:r>
        <w:r w:rsidR="00344727">
          <w:rPr>
            <w:noProof/>
            <w:webHidden/>
          </w:rPr>
          <w:tab/>
        </w:r>
        <w:r w:rsidR="00A53BD0">
          <w:rPr>
            <w:noProof/>
            <w:webHidden/>
          </w:rPr>
          <w:fldChar w:fldCharType="begin"/>
        </w:r>
        <w:r w:rsidR="00344727">
          <w:rPr>
            <w:noProof/>
            <w:webHidden/>
          </w:rPr>
          <w:instrText xml:space="preserve"> PAGEREF _Toc101684479 \h </w:instrText>
        </w:r>
        <w:r w:rsidR="00A53BD0">
          <w:rPr>
            <w:noProof/>
            <w:webHidden/>
          </w:rPr>
        </w:r>
        <w:r w:rsidR="00A53BD0">
          <w:rPr>
            <w:noProof/>
            <w:webHidden/>
          </w:rPr>
          <w:fldChar w:fldCharType="separate"/>
        </w:r>
        <w:r w:rsidR="00E54F87">
          <w:rPr>
            <w:noProof/>
            <w:webHidden/>
          </w:rPr>
          <w:t>244</w:t>
        </w:r>
        <w:r w:rsidR="00A53BD0">
          <w:rPr>
            <w:noProof/>
            <w:webHidden/>
          </w:rPr>
          <w:fldChar w:fldCharType="end"/>
        </w:r>
      </w:hyperlink>
    </w:p>
    <w:p w14:paraId="0D6AAB96"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480" w:history="1">
        <w:r w:rsidR="00344727" w:rsidRPr="00C16B96">
          <w:rPr>
            <w:rStyle w:val="afd"/>
            <w:rFonts w:ascii="Times New Roman" w:hAnsi="Times New Roman"/>
            <w:noProof/>
          </w:rPr>
          <w:t>6.9.7 A02-2</w:t>
        </w:r>
        <w:r w:rsidR="00344727" w:rsidRPr="00C16B96">
          <w:rPr>
            <w:rStyle w:val="afd"/>
            <w:rFonts w:ascii="Times New Roman" w:hAnsi="Times New Roman" w:hint="eastAsia"/>
            <w:noProof/>
          </w:rPr>
          <w:t>表：来华直接投资（境外投资者持股情况）</w:t>
        </w:r>
        <w:r w:rsidR="00344727">
          <w:rPr>
            <w:noProof/>
            <w:webHidden/>
          </w:rPr>
          <w:tab/>
        </w:r>
        <w:r w:rsidR="00A53BD0">
          <w:rPr>
            <w:noProof/>
            <w:webHidden/>
          </w:rPr>
          <w:fldChar w:fldCharType="begin"/>
        </w:r>
        <w:r w:rsidR="00344727">
          <w:rPr>
            <w:noProof/>
            <w:webHidden/>
          </w:rPr>
          <w:instrText xml:space="preserve"> PAGEREF _Toc101684480 \h </w:instrText>
        </w:r>
        <w:r w:rsidR="00A53BD0">
          <w:rPr>
            <w:noProof/>
            <w:webHidden/>
          </w:rPr>
        </w:r>
        <w:r w:rsidR="00A53BD0">
          <w:rPr>
            <w:noProof/>
            <w:webHidden/>
          </w:rPr>
          <w:fldChar w:fldCharType="separate"/>
        </w:r>
        <w:r w:rsidR="00E54F87">
          <w:rPr>
            <w:noProof/>
            <w:webHidden/>
          </w:rPr>
          <w:t>247</w:t>
        </w:r>
        <w:r w:rsidR="00A53BD0">
          <w:rPr>
            <w:noProof/>
            <w:webHidden/>
          </w:rPr>
          <w:fldChar w:fldCharType="end"/>
        </w:r>
      </w:hyperlink>
    </w:p>
    <w:p w14:paraId="50455FD9"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481" w:history="1">
        <w:r w:rsidR="00344727" w:rsidRPr="00C16B96">
          <w:rPr>
            <w:rStyle w:val="afd"/>
            <w:rFonts w:ascii="Times New Roman" w:hAnsi="Times New Roman"/>
            <w:noProof/>
          </w:rPr>
          <w:t>6.9.8 A02-3</w:t>
        </w:r>
        <w:r w:rsidR="00344727" w:rsidRPr="00C16B96">
          <w:rPr>
            <w:rStyle w:val="afd"/>
            <w:rFonts w:ascii="Times New Roman" w:hAnsi="Times New Roman" w:hint="eastAsia"/>
            <w:noProof/>
          </w:rPr>
          <w:t>表：来华直接投资（流量）</w:t>
        </w:r>
        <w:r w:rsidR="00344727">
          <w:rPr>
            <w:noProof/>
            <w:webHidden/>
          </w:rPr>
          <w:tab/>
        </w:r>
        <w:r w:rsidR="00A53BD0">
          <w:rPr>
            <w:noProof/>
            <w:webHidden/>
          </w:rPr>
          <w:fldChar w:fldCharType="begin"/>
        </w:r>
        <w:r w:rsidR="00344727">
          <w:rPr>
            <w:noProof/>
            <w:webHidden/>
          </w:rPr>
          <w:instrText xml:space="preserve"> PAGEREF _Toc101684481 \h </w:instrText>
        </w:r>
        <w:r w:rsidR="00A53BD0">
          <w:rPr>
            <w:noProof/>
            <w:webHidden/>
          </w:rPr>
        </w:r>
        <w:r w:rsidR="00A53BD0">
          <w:rPr>
            <w:noProof/>
            <w:webHidden/>
          </w:rPr>
          <w:fldChar w:fldCharType="separate"/>
        </w:r>
        <w:r w:rsidR="00E54F87">
          <w:rPr>
            <w:noProof/>
            <w:webHidden/>
          </w:rPr>
          <w:t>252</w:t>
        </w:r>
        <w:r w:rsidR="00A53BD0">
          <w:rPr>
            <w:noProof/>
            <w:webHidden/>
          </w:rPr>
          <w:fldChar w:fldCharType="end"/>
        </w:r>
      </w:hyperlink>
    </w:p>
    <w:p w14:paraId="107AF72E"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482" w:history="1">
        <w:r w:rsidR="00344727" w:rsidRPr="00C16B96">
          <w:rPr>
            <w:rStyle w:val="afd"/>
            <w:rFonts w:ascii="Times New Roman" w:hAnsi="Times New Roman"/>
            <w:noProof/>
          </w:rPr>
          <w:t>6.9.9 B01</w:t>
        </w:r>
        <w:r w:rsidR="00344727" w:rsidRPr="00C16B96">
          <w:rPr>
            <w:rStyle w:val="afd"/>
            <w:rFonts w:ascii="Times New Roman" w:hAnsi="Times New Roman" w:hint="eastAsia"/>
            <w:noProof/>
          </w:rPr>
          <w:t>表：投资境外股本证券和投资基金份额（资产）</w:t>
        </w:r>
        <w:r w:rsidR="00344727">
          <w:rPr>
            <w:noProof/>
            <w:webHidden/>
          </w:rPr>
          <w:tab/>
        </w:r>
        <w:r w:rsidR="00A53BD0">
          <w:rPr>
            <w:noProof/>
            <w:webHidden/>
          </w:rPr>
          <w:fldChar w:fldCharType="begin"/>
        </w:r>
        <w:r w:rsidR="00344727">
          <w:rPr>
            <w:noProof/>
            <w:webHidden/>
          </w:rPr>
          <w:instrText xml:space="preserve"> PAGEREF _Toc101684482 \h </w:instrText>
        </w:r>
        <w:r w:rsidR="00A53BD0">
          <w:rPr>
            <w:noProof/>
            <w:webHidden/>
          </w:rPr>
        </w:r>
        <w:r w:rsidR="00A53BD0">
          <w:rPr>
            <w:noProof/>
            <w:webHidden/>
          </w:rPr>
          <w:fldChar w:fldCharType="separate"/>
        </w:r>
        <w:r w:rsidR="00E54F87">
          <w:rPr>
            <w:noProof/>
            <w:webHidden/>
          </w:rPr>
          <w:t>255</w:t>
        </w:r>
        <w:r w:rsidR="00A53BD0">
          <w:rPr>
            <w:noProof/>
            <w:webHidden/>
          </w:rPr>
          <w:fldChar w:fldCharType="end"/>
        </w:r>
      </w:hyperlink>
    </w:p>
    <w:p w14:paraId="5869500A"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483" w:history="1">
        <w:r w:rsidR="00344727" w:rsidRPr="00C16B96">
          <w:rPr>
            <w:rStyle w:val="afd"/>
            <w:rFonts w:ascii="Times New Roman" w:hAnsi="Times New Roman"/>
            <w:noProof/>
          </w:rPr>
          <w:t>6.9.10 B02</w:t>
        </w:r>
        <w:r w:rsidR="00344727" w:rsidRPr="00C16B96">
          <w:rPr>
            <w:rStyle w:val="afd"/>
            <w:rFonts w:ascii="Times New Roman" w:hAnsi="Times New Roman" w:hint="eastAsia"/>
            <w:noProof/>
          </w:rPr>
          <w:t>表：投资境外债务证券（资产）</w:t>
        </w:r>
        <w:r w:rsidR="00344727">
          <w:rPr>
            <w:noProof/>
            <w:webHidden/>
          </w:rPr>
          <w:tab/>
        </w:r>
        <w:r w:rsidR="00A53BD0">
          <w:rPr>
            <w:noProof/>
            <w:webHidden/>
          </w:rPr>
          <w:fldChar w:fldCharType="begin"/>
        </w:r>
        <w:r w:rsidR="00344727">
          <w:rPr>
            <w:noProof/>
            <w:webHidden/>
          </w:rPr>
          <w:instrText xml:space="preserve"> PAGEREF _Toc101684483 \h </w:instrText>
        </w:r>
        <w:r w:rsidR="00A53BD0">
          <w:rPr>
            <w:noProof/>
            <w:webHidden/>
          </w:rPr>
        </w:r>
        <w:r w:rsidR="00A53BD0">
          <w:rPr>
            <w:noProof/>
            <w:webHidden/>
          </w:rPr>
          <w:fldChar w:fldCharType="separate"/>
        </w:r>
        <w:r w:rsidR="00E54F87">
          <w:rPr>
            <w:noProof/>
            <w:webHidden/>
          </w:rPr>
          <w:t>260</w:t>
        </w:r>
        <w:r w:rsidR="00A53BD0">
          <w:rPr>
            <w:noProof/>
            <w:webHidden/>
          </w:rPr>
          <w:fldChar w:fldCharType="end"/>
        </w:r>
      </w:hyperlink>
    </w:p>
    <w:p w14:paraId="5B306F8A"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484" w:history="1">
        <w:r w:rsidR="00344727" w:rsidRPr="00C16B96">
          <w:rPr>
            <w:rStyle w:val="afd"/>
            <w:rFonts w:ascii="Times New Roman" w:hAnsi="Times New Roman"/>
            <w:noProof/>
          </w:rPr>
          <w:t>6.9.11 B03</w:t>
        </w:r>
        <w:r w:rsidR="00344727" w:rsidRPr="00C16B96">
          <w:rPr>
            <w:rStyle w:val="afd"/>
            <w:rFonts w:ascii="Times New Roman" w:hAnsi="Times New Roman" w:hint="eastAsia"/>
            <w:noProof/>
          </w:rPr>
          <w:t>表：投资非居民境内发行股本证券和债务证券（资产）</w:t>
        </w:r>
        <w:r w:rsidR="00344727">
          <w:rPr>
            <w:noProof/>
            <w:webHidden/>
          </w:rPr>
          <w:tab/>
        </w:r>
        <w:r w:rsidR="00A53BD0">
          <w:rPr>
            <w:noProof/>
            <w:webHidden/>
          </w:rPr>
          <w:fldChar w:fldCharType="begin"/>
        </w:r>
        <w:r w:rsidR="00344727">
          <w:rPr>
            <w:noProof/>
            <w:webHidden/>
          </w:rPr>
          <w:instrText xml:space="preserve"> PAGEREF _Toc101684484 \h </w:instrText>
        </w:r>
        <w:r w:rsidR="00A53BD0">
          <w:rPr>
            <w:noProof/>
            <w:webHidden/>
          </w:rPr>
        </w:r>
        <w:r w:rsidR="00A53BD0">
          <w:rPr>
            <w:noProof/>
            <w:webHidden/>
          </w:rPr>
          <w:fldChar w:fldCharType="separate"/>
        </w:r>
        <w:r w:rsidR="00E54F87">
          <w:rPr>
            <w:noProof/>
            <w:webHidden/>
          </w:rPr>
          <w:t>264</w:t>
        </w:r>
        <w:r w:rsidR="00A53BD0">
          <w:rPr>
            <w:noProof/>
            <w:webHidden/>
          </w:rPr>
          <w:fldChar w:fldCharType="end"/>
        </w:r>
      </w:hyperlink>
    </w:p>
    <w:p w14:paraId="6C33EE27"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485" w:history="1">
        <w:r w:rsidR="00344727" w:rsidRPr="00C16B96">
          <w:rPr>
            <w:rStyle w:val="afd"/>
            <w:rFonts w:ascii="Times New Roman" w:hAnsi="Times New Roman"/>
            <w:noProof/>
          </w:rPr>
          <w:t>6.9.12 B04</w:t>
        </w:r>
        <w:r w:rsidR="00344727" w:rsidRPr="00C16B96">
          <w:rPr>
            <w:rStyle w:val="afd"/>
            <w:rFonts w:ascii="Times New Roman" w:hAnsi="Times New Roman" w:hint="eastAsia"/>
            <w:noProof/>
          </w:rPr>
          <w:t>表：吸收境外股权和基金份额投资（负债）</w:t>
        </w:r>
        <w:r w:rsidR="00344727">
          <w:rPr>
            <w:noProof/>
            <w:webHidden/>
          </w:rPr>
          <w:tab/>
        </w:r>
        <w:r w:rsidR="00A53BD0">
          <w:rPr>
            <w:noProof/>
            <w:webHidden/>
          </w:rPr>
          <w:fldChar w:fldCharType="begin"/>
        </w:r>
        <w:r w:rsidR="00344727">
          <w:rPr>
            <w:noProof/>
            <w:webHidden/>
          </w:rPr>
          <w:instrText xml:space="preserve"> PAGEREF _Toc101684485 \h </w:instrText>
        </w:r>
        <w:r w:rsidR="00A53BD0">
          <w:rPr>
            <w:noProof/>
            <w:webHidden/>
          </w:rPr>
        </w:r>
        <w:r w:rsidR="00A53BD0">
          <w:rPr>
            <w:noProof/>
            <w:webHidden/>
          </w:rPr>
          <w:fldChar w:fldCharType="separate"/>
        </w:r>
        <w:r w:rsidR="00E54F87">
          <w:rPr>
            <w:noProof/>
            <w:webHidden/>
          </w:rPr>
          <w:t>269</w:t>
        </w:r>
        <w:r w:rsidR="00A53BD0">
          <w:rPr>
            <w:noProof/>
            <w:webHidden/>
          </w:rPr>
          <w:fldChar w:fldCharType="end"/>
        </w:r>
      </w:hyperlink>
    </w:p>
    <w:p w14:paraId="1F443306"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486" w:history="1">
        <w:r w:rsidR="00344727" w:rsidRPr="00C16B96">
          <w:rPr>
            <w:rStyle w:val="afd"/>
            <w:rFonts w:ascii="Times New Roman" w:hAnsi="Times New Roman"/>
            <w:noProof/>
          </w:rPr>
          <w:t>6.9.13 B05</w:t>
        </w:r>
        <w:r w:rsidR="00344727" w:rsidRPr="00C16B96">
          <w:rPr>
            <w:rStyle w:val="afd"/>
            <w:rFonts w:ascii="Times New Roman" w:hAnsi="Times New Roman" w:hint="eastAsia"/>
            <w:noProof/>
          </w:rPr>
          <w:t>表：境外发行债务证券（负债）</w:t>
        </w:r>
        <w:r w:rsidR="00344727">
          <w:rPr>
            <w:noProof/>
            <w:webHidden/>
          </w:rPr>
          <w:tab/>
        </w:r>
        <w:r w:rsidR="00A53BD0">
          <w:rPr>
            <w:noProof/>
            <w:webHidden/>
          </w:rPr>
          <w:fldChar w:fldCharType="begin"/>
        </w:r>
        <w:r w:rsidR="00344727">
          <w:rPr>
            <w:noProof/>
            <w:webHidden/>
          </w:rPr>
          <w:instrText xml:space="preserve"> PAGEREF _Toc101684486 \h </w:instrText>
        </w:r>
        <w:r w:rsidR="00A53BD0">
          <w:rPr>
            <w:noProof/>
            <w:webHidden/>
          </w:rPr>
        </w:r>
        <w:r w:rsidR="00A53BD0">
          <w:rPr>
            <w:noProof/>
            <w:webHidden/>
          </w:rPr>
          <w:fldChar w:fldCharType="separate"/>
        </w:r>
        <w:r w:rsidR="00E54F87">
          <w:rPr>
            <w:noProof/>
            <w:webHidden/>
          </w:rPr>
          <w:t>274</w:t>
        </w:r>
        <w:r w:rsidR="00A53BD0">
          <w:rPr>
            <w:noProof/>
            <w:webHidden/>
          </w:rPr>
          <w:fldChar w:fldCharType="end"/>
        </w:r>
      </w:hyperlink>
    </w:p>
    <w:p w14:paraId="1666338A"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487" w:history="1">
        <w:r w:rsidR="00344727" w:rsidRPr="00C16B96">
          <w:rPr>
            <w:rStyle w:val="afd"/>
            <w:rFonts w:ascii="Times New Roman" w:hAnsi="Times New Roman"/>
            <w:noProof/>
          </w:rPr>
          <w:t>6.9.14 B06</w:t>
        </w:r>
        <w:r w:rsidR="00344727" w:rsidRPr="00C16B96">
          <w:rPr>
            <w:rStyle w:val="afd"/>
            <w:rFonts w:ascii="Times New Roman" w:hAnsi="Times New Roman" w:hint="eastAsia"/>
            <w:noProof/>
          </w:rPr>
          <w:t>表：非居民投资境内发行股本证券和债务证券（负债）</w:t>
        </w:r>
        <w:r w:rsidR="00344727">
          <w:rPr>
            <w:noProof/>
            <w:webHidden/>
          </w:rPr>
          <w:tab/>
        </w:r>
        <w:r w:rsidR="00A53BD0">
          <w:rPr>
            <w:noProof/>
            <w:webHidden/>
          </w:rPr>
          <w:fldChar w:fldCharType="begin"/>
        </w:r>
        <w:r w:rsidR="00344727">
          <w:rPr>
            <w:noProof/>
            <w:webHidden/>
          </w:rPr>
          <w:instrText xml:space="preserve"> PAGEREF _Toc101684487 \h </w:instrText>
        </w:r>
        <w:r w:rsidR="00A53BD0">
          <w:rPr>
            <w:noProof/>
            <w:webHidden/>
          </w:rPr>
        </w:r>
        <w:r w:rsidR="00A53BD0">
          <w:rPr>
            <w:noProof/>
            <w:webHidden/>
          </w:rPr>
          <w:fldChar w:fldCharType="separate"/>
        </w:r>
        <w:r w:rsidR="00E54F87">
          <w:rPr>
            <w:noProof/>
            <w:webHidden/>
          </w:rPr>
          <w:t>277</w:t>
        </w:r>
        <w:r w:rsidR="00A53BD0">
          <w:rPr>
            <w:noProof/>
            <w:webHidden/>
          </w:rPr>
          <w:fldChar w:fldCharType="end"/>
        </w:r>
      </w:hyperlink>
    </w:p>
    <w:p w14:paraId="69D3FE1C"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488" w:history="1">
        <w:r w:rsidR="00344727" w:rsidRPr="00C16B96">
          <w:rPr>
            <w:rStyle w:val="afd"/>
            <w:rFonts w:ascii="Times New Roman" w:hAnsi="Times New Roman"/>
            <w:noProof/>
          </w:rPr>
          <w:t>6.9.15 C01</w:t>
        </w:r>
        <w:r w:rsidR="00344727" w:rsidRPr="00C16B96">
          <w:rPr>
            <w:rStyle w:val="afd"/>
            <w:rFonts w:ascii="Times New Roman" w:hAnsi="Times New Roman" w:hint="eastAsia"/>
            <w:noProof/>
          </w:rPr>
          <w:t>表：金融衍生产品及雇员认股权</w:t>
        </w:r>
        <w:r w:rsidR="00344727">
          <w:rPr>
            <w:noProof/>
            <w:webHidden/>
          </w:rPr>
          <w:tab/>
        </w:r>
        <w:r w:rsidR="00A53BD0">
          <w:rPr>
            <w:noProof/>
            <w:webHidden/>
          </w:rPr>
          <w:fldChar w:fldCharType="begin"/>
        </w:r>
        <w:r w:rsidR="00344727">
          <w:rPr>
            <w:noProof/>
            <w:webHidden/>
          </w:rPr>
          <w:instrText xml:space="preserve"> PAGEREF _Toc101684488 \h </w:instrText>
        </w:r>
        <w:r w:rsidR="00A53BD0">
          <w:rPr>
            <w:noProof/>
            <w:webHidden/>
          </w:rPr>
        </w:r>
        <w:r w:rsidR="00A53BD0">
          <w:rPr>
            <w:noProof/>
            <w:webHidden/>
          </w:rPr>
          <w:fldChar w:fldCharType="separate"/>
        </w:r>
        <w:r w:rsidR="00E54F87">
          <w:rPr>
            <w:noProof/>
            <w:webHidden/>
          </w:rPr>
          <w:t>282</w:t>
        </w:r>
        <w:r w:rsidR="00A53BD0">
          <w:rPr>
            <w:noProof/>
            <w:webHidden/>
          </w:rPr>
          <w:fldChar w:fldCharType="end"/>
        </w:r>
      </w:hyperlink>
    </w:p>
    <w:p w14:paraId="04C8753B"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489" w:history="1">
        <w:r w:rsidR="00344727" w:rsidRPr="00C16B96">
          <w:rPr>
            <w:rStyle w:val="afd"/>
            <w:rFonts w:ascii="Times New Roman" w:hAnsi="Times New Roman"/>
            <w:noProof/>
          </w:rPr>
          <w:t>6.9.16 D01</w:t>
        </w:r>
        <w:r w:rsidR="00344727" w:rsidRPr="00C16B96">
          <w:rPr>
            <w:rStyle w:val="afd"/>
            <w:rFonts w:ascii="Times New Roman" w:hAnsi="Times New Roman" w:hint="eastAsia"/>
            <w:noProof/>
          </w:rPr>
          <w:t>表：货币与存款（含存放银行同业和联行）（资产）</w:t>
        </w:r>
        <w:r w:rsidR="00344727">
          <w:rPr>
            <w:noProof/>
            <w:webHidden/>
          </w:rPr>
          <w:tab/>
        </w:r>
        <w:r w:rsidR="00A53BD0">
          <w:rPr>
            <w:noProof/>
            <w:webHidden/>
          </w:rPr>
          <w:fldChar w:fldCharType="begin"/>
        </w:r>
        <w:r w:rsidR="00344727">
          <w:rPr>
            <w:noProof/>
            <w:webHidden/>
          </w:rPr>
          <w:instrText xml:space="preserve"> PAGEREF _Toc101684489 \h </w:instrText>
        </w:r>
        <w:r w:rsidR="00A53BD0">
          <w:rPr>
            <w:noProof/>
            <w:webHidden/>
          </w:rPr>
        </w:r>
        <w:r w:rsidR="00A53BD0">
          <w:rPr>
            <w:noProof/>
            <w:webHidden/>
          </w:rPr>
          <w:fldChar w:fldCharType="separate"/>
        </w:r>
        <w:r w:rsidR="00E54F87">
          <w:rPr>
            <w:noProof/>
            <w:webHidden/>
          </w:rPr>
          <w:t>286</w:t>
        </w:r>
        <w:r w:rsidR="00A53BD0">
          <w:rPr>
            <w:noProof/>
            <w:webHidden/>
          </w:rPr>
          <w:fldChar w:fldCharType="end"/>
        </w:r>
      </w:hyperlink>
    </w:p>
    <w:p w14:paraId="194611FB"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490" w:history="1">
        <w:r w:rsidR="00344727" w:rsidRPr="00C16B96">
          <w:rPr>
            <w:rStyle w:val="afd"/>
            <w:rFonts w:ascii="Times New Roman" w:hAnsi="Times New Roman"/>
            <w:noProof/>
          </w:rPr>
          <w:t>6.9.17 D02</w:t>
        </w:r>
        <w:r w:rsidR="00344727" w:rsidRPr="00C16B96">
          <w:rPr>
            <w:rStyle w:val="afd"/>
            <w:rFonts w:ascii="Times New Roman" w:hAnsi="Times New Roman" w:hint="eastAsia"/>
            <w:noProof/>
          </w:rPr>
          <w:t>表：贷款（含拆放银行同业及联行）（资产）</w:t>
        </w:r>
        <w:r w:rsidR="00344727">
          <w:rPr>
            <w:noProof/>
            <w:webHidden/>
          </w:rPr>
          <w:tab/>
        </w:r>
        <w:r w:rsidR="00A53BD0">
          <w:rPr>
            <w:noProof/>
            <w:webHidden/>
          </w:rPr>
          <w:fldChar w:fldCharType="begin"/>
        </w:r>
        <w:r w:rsidR="00344727">
          <w:rPr>
            <w:noProof/>
            <w:webHidden/>
          </w:rPr>
          <w:instrText xml:space="preserve"> PAGEREF _Toc101684490 \h </w:instrText>
        </w:r>
        <w:r w:rsidR="00A53BD0">
          <w:rPr>
            <w:noProof/>
            <w:webHidden/>
          </w:rPr>
        </w:r>
        <w:r w:rsidR="00A53BD0">
          <w:rPr>
            <w:noProof/>
            <w:webHidden/>
          </w:rPr>
          <w:fldChar w:fldCharType="separate"/>
        </w:r>
        <w:r w:rsidR="00E54F87">
          <w:rPr>
            <w:noProof/>
            <w:webHidden/>
          </w:rPr>
          <w:t>290</w:t>
        </w:r>
        <w:r w:rsidR="00A53BD0">
          <w:rPr>
            <w:noProof/>
            <w:webHidden/>
          </w:rPr>
          <w:fldChar w:fldCharType="end"/>
        </w:r>
      </w:hyperlink>
    </w:p>
    <w:p w14:paraId="302C90D8"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491" w:history="1">
        <w:r w:rsidR="00344727" w:rsidRPr="00C16B96">
          <w:rPr>
            <w:rStyle w:val="afd"/>
            <w:rFonts w:ascii="Times New Roman" w:hAnsi="Times New Roman"/>
            <w:noProof/>
          </w:rPr>
          <w:t>6.9.18 D03</w:t>
        </w:r>
        <w:r w:rsidR="00344727" w:rsidRPr="00C16B96">
          <w:rPr>
            <w:rStyle w:val="afd"/>
            <w:rFonts w:ascii="Times New Roman" w:hAnsi="Times New Roman" w:hint="eastAsia"/>
            <w:noProof/>
          </w:rPr>
          <w:t>表：持有境外非公司制机构</w:t>
        </w:r>
        <w:r w:rsidR="00344727" w:rsidRPr="00C16B96">
          <w:rPr>
            <w:rStyle w:val="afd"/>
            <w:rFonts w:ascii="Times New Roman" w:hAnsi="Times New Roman"/>
            <w:noProof/>
          </w:rPr>
          <w:t>10%</w:t>
        </w:r>
        <w:r w:rsidR="00344727" w:rsidRPr="00C16B96">
          <w:rPr>
            <w:rStyle w:val="afd"/>
            <w:rFonts w:ascii="Times New Roman" w:hAnsi="Times New Roman" w:hint="eastAsia"/>
            <w:noProof/>
          </w:rPr>
          <w:t>以下表决权和国际组织股权（资产）</w:t>
        </w:r>
        <w:r w:rsidR="00344727">
          <w:rPr>
            <w:noProof/>
            <w:webHidden/>
          </w:rPr>
          <w:tab/>
        </w:r>
        <w:r w:rsidR="00A53BD0">
          <w:rPr>
            <w:noProof/>
            <w:webHidden/>
          </w:rPr>
          <w:fldChar w:fldCharType="begin"/>
        </w:r>
        <w:r w:rsidR="00344727">
          <w:rPr>
            <w:noProof/>
            <w:webHidden/>
          </w:rPr>
          <w:instrText xml:space="preserve"> PAGEREF _Toc101684491 \h </w:instrText>
        </w:r>
        <w:r w:rsidR="00A53BD0">
          <w:rPr>
            <w:noProof/>
            <w:webHidden/>
          </w:rPr>
        </w:r>
        <w:r w:rsidR="00A53BD0">
          <w:rPr>
            <w:noProof/>
            <w:webHidden/>
          </w:rPr>
          <w:fldChar w:fldCharType="separate"/>
        </w:r>
        <w:r w:rsidR="00E54F87">
          <w:rPr>
            <w:noProof/>
            <w:webHidden/>
          </w:rPr>
          <w:t>294</w:t>
        </w:r>
        <w:r w:rsidR="00A53BD0">
          <w:rPr>
            <w:noProof/>
            <w:webHidden/>
          </w:rPr>
          <w:fldChar w:fldCharType="end"/>
        </w:r>
      </w:hyperlink>
    </w:p>
    <w:p w14:paraId="38BD6CF6"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492" w:history="1">
        <w:r w:rsidR="00344727" w:rsidRPr="00C16B96">
          <w:rPr>
            <w:rStyle w:val="afd"/>
            <w:rFonts w:ascii="Times New Roman" w:hAnsi="Times New Roman"/>
            <w:noProof/>
          </w:rPr>
          <w:t>6.9.19 D04</w:t>
        </w:r>
        <w:r w:rsidR="00344727" w:rsidRPr="00C16B96">
          <w:rPr>
            <w:rStyle w:val="afd"/>
            <w:rFonts w:ascii="Times New Roman" w:hAnsi="Times New Roman" w:hint="eastAsia"/>
            <w:noProof/>
          </w:rPr>
          <w:t>表：应收款及预付款（不含应收利息）（资产）</w:t>
        </w:r>
        <w:r w:rsidR="00344727">
          <w:rPr>
            <w:noProof/>
            <w:webHidden/>
          </w:rPr>
          <w:tab/>
        </w:r>
        <w:r w:rsidR="00A53BD0">
          <w:rPr>
            <w:noProof/>
            <w:webHidden/>
          </w:rPr>
          <w:fldChar w:fldCharType="begin"/>
        </w:r>
        <w:r w:rsidR="00344727">
          <w:rPr>
            <w:noProof/>
            <w:webHidden/>
          </w:rPr>
          <w:instrText xml:space="preserve"> PAGEREF _Toc101684492 \h </w:instrText>
        </w:r>
        <w:r w:rsidR="00A53BD0">
          <w:rPr>
            <w:noProof/>
            <w:webHidden/>
          </w:rPr>
        </w:r>
        <w:r w:rsidR="00A53BD0">
          <w:rPr>
            <w:noProof/>
            <w:webHidden/>
          </w:rPr>
          <w:fldChar w:fldCharType="separate"/>
        </w:r>
        <w:r w:rsidR="00E54F87">
          <w:rPr>
            <w:noProof/>
            <w:webHidden/>
          </w:rPr>
          <w:t>297</w:t>
        </w:r>
        <w:r w:rsidR="00A53BD0">
          <w:rPr>
            <w:noProof/>
            <w:webHidden/>
          </w:rPr>
          <w:fldChar w:fldCharType="end"/>
        </w:r>
      </w:hyperlink>
    </w:p>
    <w:p w14:paraId="5609DF93"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493" w:history="1">
        <w:r w:rsidR="00344727" w:rsidRPr="00C16B96">
          <w:rPr>
            <w:rStyle w:val="afd"/>
            <w:rFonts w:ascii="Times New Roman" w:hAnsi="Times New Roman"/>
            <w:noProof/>
          </w:rPr>
          <w:t>6.9.20 D05-1</w:t>
        </w:r>
        <w:r w:rsidR="00344727" w:rsidRPr="00C16B96">
          <w:rPr>
            <w:rStyle w:val="afd"/>
            <w:rFonts w:ascii="Times New Roman" w:hAnsi="Times New Roman" w:hint="eastAsia"/>
            <w:noProof/>
          </w:rPr>
          <w:t>表：存款（含银行同业和联行存放）（负债）——境外机构存款</w:t>
        </w:r>
        <w:r w:rsidR="00344727">
          <w:rPr>
            <w:noProof/>
            <w:webHidden/>
          </w:rPr>
          <w:tab/>
        </w:r>
        <w:r w:rsidR="00A53BD0">
          <w:rPr>
            <w:noProof/>
            <w:webHidden/>
          </w:rPr>
          <w:fldChar w:fldCharType="begin"/>
        </w:r>
        <w:r w:rsidR="00344727">
          <w:rPr>
            <w:noProof/>
            <w:webHidden/>
          </w:rPr>
          <w:instrText xml:space="preserve"> PAGEREF _Toc101684493 \h </w:instrText>
        </w:r>
        <w:r w:rsidR="00A53BD0">
          <w:rPr>
            <w:noProof/>
            <w:webHidden/>
          </w:rPr>
        </w:r>
        <w:r w:rsidR="00A53BD0">
          <w:rPr>
            <w:noProof/>
            <w:webHidden/>
          </w:rPr>
          <w:fldChar w:fldCharType="separate"/>
        </w:r>
        <w:r w:rsidR="00E54F87">
          <w:rPr>
            <w:noProof/>
            <w:webHidden/>
          </w:rPr>
          <w:t>300</w:t>
        </w:r>
        <w:r w:rsidR="00A53BD0">
          <w:rPr>
            <w:noProof/>
            <w:webHidden/>
          </w:rPr>
          <w:fldChar w:fldCharType="end"/>
        </w:r>
      </w:hyperlink>
    </w:p>
    <w:p w14:paraId="53D2EBCF"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494" w:history="1">
        <w:r w:rsidR="00344727" w:rsidRPr="00C16B96">
          <w:rPr>
            <w:rStyle w:val="afd"/>
            <w:rFonts w:ascii="Times New Roman" w:hAnsi="Times New Roman"/>
            <w:noProof/>
          </w:rPr>
          <w:t>6.9.21 D05-2</w:t>
        </w:r>
        <w:r w:rsidR="00344727" w:rsidRPr="00C16B96">
          <w:rPr>
            <w:rStyle w:val="afd"/>
            <w:rFonts w:ascii="Times New Roman" w:hAnsi="Times New Roman" w:hint="eastAsia"/>
            <w:noProof/>
          </w:rPr>
          <w:t>表：存款（含银行同业和联行存放）（负债）——非居民个人存款</w:t>
        </w:r>
        <w:r w:rsidR="00344727">
          <w:rPr>
            <w:noProof/>
            <w:webHidden/>
          </w:rPr>
          <w:tab/>
        </w:r>
        <w:r w:rsidR="00A53BD0">
          <w:rPr>
            <w:noProof/>
            <w:webHidden/>
          </w:rPr>
          <w:fldChar w:fldCharType="begin"/>
        </w:r>
        <w:r w:rsidR="00344727">
          <w:rPr>
            <w:noProof/>
            <w:webHidden/>
          </w:rPr>
          <w:instrText xml:space="preserve"> PAGEREF _Toc101684494 \h </w:instrText>
        </w:r>
        <w:r w:rsidR="00A53BD0">
          <w:rPr>
            <w:noProof/>
            <w:webHidden/>
          </w:rPr>
        </w:r>
        <w:r w:rsidR="00A53BD0">
          <w:rPr>
            <w:noProof/>
            <w:webHidden/>
          </w:rPr>
          <w:fldChar w:fldCharType="separate"/>
        </w:r>
        <w:r w:rsidR="00E54F87">
          <w:rPr>
            <w:noProof/>
            <w:webHidden/>
          </w:rPr>
          <w:t>304</w:t>
        </w:r>
        <w:r w:rsidR="00A53BD0">
          <w:rPr>
            <w:noProof/>
            <w:webHidden/>
          </w:rPr>
          <w:fldChar w:fldCharType="end"/>
        </w:r>
      </w:hyperlink>
    </w:p>
    <w:p w14:paraId="5DAD4322"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495" w:history="1">
        <w:r w:rsidR="00344727" w:rsidRPr="00C16B96">
          <w:rPr>
            <w:rStyle w:val="afd"/>
            <w:rFonts w:ascii="Times New Roman" w:hAnsi="Times New Roman"/>
            <w:noProof/>
          </w:rPr>
          <w:t>6.9.22 D06-1</w:t>
        </w:r>
        <w:r w:rsidR="00344727" w:rsidRPr="00C16B96">
          <w:rPr>
            <w:rStyle w:val="afd"/>
            <w:rFonts w:ascii="Times New Roman" w:hAnsi="Times New Roman" w:hint="eastAsia"/>
            <w:noProof/>
          </w:rPr>
          <w:t>表：贷款（含银行同业和联行拆借）（负债）</w:t>
        </w:r>
        <w:r w:rsidR="00344727">
          <w:rPr>
            <w:noProof/>
            <w:webHidden/>
          </w:rPr>
          <w:tab/>
        </w:r>
        <w:r w:rsidR="00A53BD0">
          <w:rPr>
            <w:noProof/>
            <w:webHidden/>
          </w:rPr>
          <w:fldChar w:fldCharType="begin"/>
        </w:r>
        <w:r w:rsidR="00344727">
          <w:rPr>
            <w:noProof/>
            <w:webHidden/>
          </w:rPr>
          <w:instrText xml:space="preserve"> PAGEREF _Toc101684495 \h </w:instrText>
        </w:r>
        <w:r w:rsidR="00A53BD0">
          <w:rPr>
            <w:noProof/>
            <w:webHidden/>
          </w:rPr>
        </w:r>
        <w:r w:rsidR="00A53BD0">
          <w:rPr>
            <w:noProof/>
            <w:webHidden/>
          </w:rPr>
          <w:fldChar w:fldCharType="separate"/>
        </w:r>
        <w:r w:rsidR="00E54F87">
          <w:rPr>
            <w:noProof/>
            <w:webHidden/>
          </w:rPr>
          <w:t>307</w:t>
        </w:r>
        <w:r w:rsidR="00A53BD0">
          <w:rPr>
            <w:noProof/>
            <w:webHidden/>
          </w:rPr>
          <w:fldChar w:fldCharType="end"/>
        </w:r>
      </w:hyperlink>
    </w:p>
    <w:p w14:paraId="5AF54E82"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496" w:history="1">
        <w:r w:rsidR="00344727" w:rsidRPr="00C16B96">
          <w:rPr>
            <w:rStyle w:val="afd"/>
            <w:rFonts w:ascii="Times New Roman" w:hAnsi="Times New Roman"/>
            <w:noProof/>
          </w:rPr>
          <w:t>6.9.23 D07</w:t>
        </w:r>
        <w:r w:rsidR="00344727" w:rsidRPr="00C16B96">
          <w:rPr>
            <w:rStyle w:val="afd"/>
            <w:rFonts w:ascii="Times New Roman" w:hAnsi="Times New Roman" w:hint="eastAsia"/>
            <w:noProof/>
          </w:rPr>
          <w:t>表：非居民持有本机构（非公司制）</w:t>
        </w:r>
        <w:r w:rsidR="00344727" w:rsidRPr="00C16B96">
          <w:rPr>
            <w:rStyle w:val="afd"/>
            <w:rFonts w:ascii="Times New Roman" w:hAnsi="Times New Roman"/>
            <w:noProof/>
          </w:rPr>
          <w:t>10%</w:t>
        </w:r>
        <w:r w:rsidR="00344727" w:rsidRPr="00C16B96">
          <w:rPr>
            <w:rStyle w:val="afd"/>
            <w:rFonts w:ascii="Times New Roman" w:hAnsi="Times New Roman" w:hint="eastAsia"/>
            <w:noProof/>
          </w:rPr>
          <w:t>以下表决权（负债）</w:t>
        </w:r>
        <w:r w:rsidR="00344727">
          <w:rPr>
            <w:noProof/>
            <w:webHidden/>
          </w:rPr>
          <w:tab/>
        </w:r>
        <w:r w:rsidR="00A53BD0">
          <w:rPr>
            <w:noProof/>
            <w:webHidden/>
          </w:rPr>
          <w:fldChar w:fldCharType="begin"/>
        </w:r>
        <w:r w:rsidR="00344727">
          <w:rPr>
            <w:noProof/>
            <w:webHidden/>
          </w:rPr>
          <w:instrText xml:space="preserve"> PAGEREF _Toc101684496 \h </w:instrText>
        </w:r>
        <w:r w:rsidR="00A53BD0">
          <w:rPr>
            <w:noProof/>
            <w:webHidden/>
          </w:rPr>
        </w:r>
        <w:r w:rsidR="00A53BD0">
          <w:rPr>
            <w:noProof/>
            <w:webHidden/>
          </w:rPr>
          <w:fldChar w:fldCharType="separate"/>
        </w:r>
        <w:r w:rsidR="00E54F87">
          <w:rPr>
            <w:noProof/>
            <w:webHidden/>
          </w:rPr>
          <w:t>311</w:t>
        </w:r>
        <w:r w:rsidR="00A53BD0">
          <w:rPr>
            <w:noProof/>
            <w:webHidden/>
          </w:rPr>
          <w:fldChar w:fldCharType="end"/>
        </w:r>
      </w:hyperlink>
    </w:p>
    <w:p w14:paraId="0FD1C54B"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497" w:history="1">
        <w:r w:rsidR="00344727" w:rsidRPr="00C16B96">
          <w:rPr>
            <w:rStyle w:val="afd"/>
            <w:rFonts w:ascii="Times New Roman" w:hAnsi="Times New Roman"/>
            <w:noProof/>
          </w:rPr>
          <w:t>6.9.24 D08</w:t>
        </w:r>
        <w:r w:rsidR="00344727" w:rsidRPr="00C16B96">
          <w:rPr>
            <w:rStyle w:val="afd"/>
            <w:rFonts w:ascii="Times New Roman" w:hAnsi="Times New Roman" w:hint="eastAsia"/>
            <w:noProof/>
          </w:rPr>
          <w:t>表：应付款</w:t>
        </w:r>
        <w:r w:rsidR="00344727" w:rsidRPr="00C16B96">
          <w:rPr>
            <w:rStyle w:val="afd"/>
            <w:rFonts w:ascii="黑体" w:hAnsi="宋体" w:hint="eastAsia"/>
            <w:noProof/>
          </w:rPr>
          <w:t>及预收款</w:t>
        </w:r>
        <w:r w:rsidR="00344727" w:rsidRPr="00C16B96">
          <w:rPr>
            <w:rStyle w:val="afd"/>
            <w:rFonts w:ascii="Times New Roman" w:hAnsi="Times New Roman" w:hint="eastAsia"/>
            <w:noProof/>
          </w:rPr>
          <w:t>（不含应付利息）（负债）</w:t>
        </w:r>
        <w:r w:rsidR="00344727">
          <w:rPr>
            <w:noProof/>
            <w:webHidden/>
          </w:rPr>
          <w:tab/>
        </w:r>
        <w:r w:rsidR="00A53BD0">
          <w:rPr>
            <w:noProof/>
            <w:webHidden/>
          </w:rPr>
          <w:fldChar w:fldCharType="begin"/>
        </w:r>
        <w:r w:rsidR="00344727">
          <w:rPr>
            <w:noProof/>
            <w:webHidden/>
          </w:rPr>
          <w:instrText xml:space="preserve"> PAGEREF _Toc101684497 \h </w:instrText>
        </w:r>
        <w:r w:rsidR="00A53BD0">
          <w:rPr>
            <w:noProof/>
            <w:webHidden/>
          </w:rPr>
        </w:r>
        <w:r w:rsidR="00A53BD0">
          <w:rPr>
            <w:noProof/>
            <w:webHidden/>
          </w:rPr>
          <w:fldChar w:fldCharType="separate"/>
        </w:r>
        <w:r w:rsidR="00E54F87">
          <w:rPr>
            <w:noProof/>
            <w:webHidden/>
          </w:rPr>
          <w:t>313</w:t>
        </w:r>
        <w:r w:rsidR="00A53BD0">
          <w:rPr>
            <w:noProof/>
            <w:webHidden/>
          </w:rPr>
          <w:fldChar w:fldCharType="end"/>
        </w:r>
      </w:hyperlink>
    </w:p>
    <w:p w14:paraId="7D8A8F95"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498" w:history="1">
        <w:r w:rsidR="00344727" w:rsidRPr="00C16B96">
          <w:rPr>
            <w:rStyle w:val="afd"/>
            <w:rFonts w:ascii="Times New Roman" w:hAnsi="Times New Roman"/>
            <w:noProof/>
          </w:rPr>
          <w:t>6.9.25 D09</w:t>
        </w:r>
        <w:r w:rsidR="00344727" w:rsidRPr="00C16B96">
          <w:rPr>
            <w:rStyle w:val="afd"/>
            <w:rFonts w:ascii="Times New Roman" w:hAnsi="Times New Roman" w:hint="eastAsia"/>
            <w:noProof/>
          </w:rPr>
          <w:t>表：对非居民的贷款和应收款减值准备余额</w:t>
        </w:r>
        <w:r w:rsidR="00344727">
          <w:rPr>
            <w:noProof/>
            <w:webHidden/>
          </w:rPr>
          <w:tab/>
        </w:r>
        <w:r w:rsidR="00A53BD0">
          <w:rPr>
            <w:noProof/>
            <w:webHidden/>
          </w:rPr>
          <w:fldChar w:fldCharType="begin"/>
        </w:r>
        <w:r w:rsidR="00344727">
          <w:rPr>
            <w:noProof/>
            <w:webHidden/>
          </w:rPr>
          <w:instrText xml:space="preserve"> PAGEREF _Toc101684498 \h </w:instrText>
        </w:r>
        <w:r w:rsidR="00A53BD0">
          <w:rPr>
            <w:noProof/>
            <w:webHidden/>
          </w:rPr>
        </w:r>
        <w:r w:rsidR="00A53BD0">
          <w:rPr>
            <w:noProof/>
            <w:webHidden/>
          </w:rPr>
          <w:fldChar w:fldCharType="separate"/>
        </w:r>
        <w:r w:rsidR="00E54F87">
          <w:rPr>
            <w:noProof/>
            <w:webHidden/>
          </w:rPr>
          <w:t>316</w:t>
        </w:r>
        <w:r w:rsidR="00A53BD0">
          <w:rPr>
            <w:noProof/>
            <w:webHidden/>
          </w:rPr>
          <w:fldChar w:fldCharType="end"/>
        </w:r>
      </w:hyperlink>
    </w:p>
    <w:p w14:paraId="47B32FF4"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499" w:history="1">
        <w:r w:rsidR="00344727" w:rsidRPr="00C16B96">
          <w:rPr>
            <w:rStyle w:val="afd"/>
            <w:rFonts w:ascii="Times New Roman" w:hAnsi="Times New Roman"/>
            <w:noProof/>
          </w:rPr>
          <w:t>6.9.26 E01</w:t>
        </w:r>
        <w:r w:rsidR="00344727" w:rsidRPr="00C16B96">
          <w:rPr>
            <w:rStyle w:val="afd"/>
            <w:rFonts w:ascii="Times New Roman" w:hAnsi="Times New Roman" w:hint="eastAsia"/>
            <w:noProof/>
          </w:rPr>
          <w:t>表：货物、服务、薪资及债务减免等其他各类往来</w:t>
        </w:r>
        <w:r w:rsidR="00344727">
          <w:rPr>
            <w:noProof/>
            <w:webHidden/>
          </w:rPr>
          <w:tab/>
        </w:r>
        <w:r w:rsidR="00A53BD0">
          <w:rPr>
            <w:noProof/>
            <w:webHidden/>
          </w:rPr>
          <w:fldChar w:fldCharType="begin"/>
        </w:r>
        <w:r w:rsidR="00344727">
          <w:rPr>
            <w:noProof/>
            <w:webHidden/>
          </w:rPr>
          <w:instrText xml:space="preserve"> PAGEREF _Toc101684499 \h </w:instrText>
        </w:r>
        <w:r w:rsidR="00A53BD0">
          <w:rPr>
            <w:noProof/>
            <w:webHidden/>
          </w:rPr>
        </w:r>
        <w:r w:rsidR="00A53BD0">
          <w:rPr>
            <w:noProof/>
            <w:webHidden/>
          </w:rPr>
          <w:fldChar w:fldCharType="separate"/>
        </w:r>
        <w:r w:rsidR="00E54F87">
          <w:rPr>
            <w:noProof/>
            <w:webHidden/>
          </w:rPr>
          <w:t>318</w:t>
        </w:r>
        <w:r w:rsidR="00A53BD0">
          <w:rPr>
            <w:noProof/>
            <w:webHidden/>
          </w:rPr>
          <w:fldChar w:fldCharType="end"/>
        </w:r>
      </w:hyperlink>
    </w:p>
    <w:p w14:paraId="404381FA"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500" w:history="1">
        <w:r w:rsidR="00344727" w:rsidRPr="00C16B96">
          <w:rPr>
            <w:rStyle w:val="afd"/>
            <w:rFonts w:ascii="Times New Roman" w:hAnsi="Times New Roman"/>
            <w:noProof/>
          </w:rPr>
          <w:t>6.9.27 E02-1</w:t>
        </w:r>
        <w:r w:rsidR="00344727" w:rsidRPr="00C16B96">
          <w:rPr>
            <w:rStyle w:val="afd"/>
            <w:rFonts w:ascii="Times New Roman" w:hAnsi="Times New Roman" w:hint="eastAsia"/>
            <w:noProof/>
          </w:rPr>
          <w:t>表：境外建设项目概览表</w:t>
        </w:r>
        <w:r w:rsidR="00344727">
          <w:rPr>
            <w:noProof/>
            <w:webHidden/>
          </w:rPr>
          <w:tab/>
        </w:r>
        <w:r w:rsidR="00A53BD0">
          <w:rPr>
            <w:noProof/>
            <w:webHidden/>
          </w:rPr>
          <w:fldChar w:fldCharType="begin"/>
        </w:r>
        <w:r w:rsidR="00344727">
          <w:rPr>
            <w:noProof/>
            <w:webHidden/>
          </w:rPr>
          <w:instrText xml:space="preserve"> PAGEREF _Toc101684500 \h </w:instrText>
        </w:r>
        <w:r w:rsidR="00A53BD0">
          <w:rPr>
            <w:noProof/>
            <w:webHidden/>
          </w:rPr>
        </w:r>
        <w:r w:rsidR="00A53BD0">
          <w:rPr>
            <w:noProof/>
            <w:webHidden/>
          </w:rPr>
          <w:fldChar w:fldCharType="separate"/>
        </w:r>
        <w:r w:rsidR="00E54F87">
          <w:rPr>
            <w:noProof/>
            <w:webHidden/>
          </w:rPr>
          <w:t>320</w:t>
        </w:r>
        <w:r w:rsidR="00A53BD0">
          <w:rPr>
            <w:noProof/>
            <w:webHidden/>
          </w:rPr>
          <w:fldChar w:fldCharType="end"/>
        </w:r>
      </w:hyperlink>
    </w:p>
    <w:p w14:paraId="78DE2198"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501" w:history="1">
        <w:r w:rsidR="00344727" w:rsidRPr="00C16B96">
          <w:rPr>
            <w:rStyle w:val="afd"/>
            <w:rFonts w:ascii="Times New Roman" w:hAnsi="Times New Roman"/>
            <w:noProof/>
          </w:rPr>
          <w:t>6.9.28 E02-2</w:t>
        </w:r>
        <w:r w:rsidR="00344727" w:rsidRPr="00C16B96">
          <w:rPr>
            <w:rStyle w:val="afd"/>
            <w:rFonts w:ascii="Times New Roman" w:hAnsi="Times New Roman" w:hint="eastAsia"/>
            <w:noProof/>
          </w:rPr>
          <w:t>表：境外建设统计表</w:t>
        </w:r>
        <w:r w:rsidR="00344727">
          <w:rPr>
            <w:noProof/>
            <w:webHidden/>
          </w:rPr>
          <w:tab/>
        </w:r>
        <w:r w:rsidR="00A53BD0">
          <w:rPr>
            <w:noProof/>
            <w:webHidden/>
          </w:rPr>
          <w:fldChar w:fldCharType="begin"/>
        </w:r>
        <w:r w:rsidR="00344727">
          <w:rPr>
            <w:noProof/>
            <w:webHidden/>
          </w:rPr>
          <w:instrText xml:space="preserve"> PAGEREF _Toc101684501 \h </w:instrText>
        </w:r>
        <w:r w:rsidR="00A53BD0">
          <w:rPr>
            <w:noProof/>
            <w:webHidden/>
          </w:rPr>
        </w:r>
        <w:r w:rsidR="00A53BD0">
          <w:rPr>
            <w:noProof/>
            <w:webHidden/>
          </w:rPr>
          <w:fldChar w:fldCharType="separate"/>
        </w:r>
        <w:r w:rsidR="00E54F87">
          <w:rPr>
            <w:noProof/>
            <w:webHidden/>
          </w:rPr>
          <w:t>324</w:t>
        </w:r>
        <w:r w:rsidR="00A53BD0">
          <w:rPr>
            <w:noProof/>
            <w:webHidden/>
          </w:rPr>
          <w:fldChar w:fldCharType="end"/>
        </w:r>
      </w:hyperlink>
    </w:p>
    <w:p w14:paraId="7CBBB2E2"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502" w:history="1">
        <w:r w:rsidR="00344727" w:rsidRPr="00C16B96">
          <w:rPr>
            <w:rStyle w:val="afd"/>
            <w:rFonts w:ascii="Times New Roman" w:hAnsi="Times New Roman"/>
            <w:noProof/>
          </w:rPr>
          <w:t>6.9.29 E03</w:t>
        </w:r>
        <w:r w:rsidR="00344727" w:rsidRPr="00C16B96">
          <w:rPr>
            <w:rStyle w:val="afd"/>
            <w:rFonts w:ascii="Times New Roman" w:hAnsi="Times New Roman" w:hint="eastAsia"/>
            <w:noProof/>
          </w:rPr>
          <w:t>表：运输收入统计表</w:t>
        </w:r>
        <w:r w:rsidR="00344727">
          <w:rPr>
            <w:noProof/>
            <w:webHidden/>
          </w:rPr>
          <w:tab/>
        </w:r>
        <w:r w:rsidR="00A53BD0">
          <w:rPr>
            <w:noProof/>
            <w:webHidden/>
          </w:rPr>
          <w:fldChar w:fldCharType="begin"/>
        </w:r>
        <w:r w:rsidR="00344727">
          <w:rPr>
            <w:noProof/>
            <w:webHidden/>
          </w:rPr>
          <w:instrText xml:space="preserve"> PAGEREF _Toc101684502 \h </w:instrText>
        </w:r>
        <w:r w:rsidR="00A53BD0">
          <w:rPr>
            <w:noProof/>
            <w:webHidden/>
          </w:rPr>
        </w:r>
        <w:r w:rsidR="00A53BD0">
          <w:rPr>
            <w:noProof/>
            <w:webHidden/>
          </w:rPr>
          <w:fldChar w:fldCharType="separate"/>
        </w:r>
        <w:r w:rsidR="00E54F87">
          <w:rPr>
            <w:noProof/>
            <w:webHidden/>
          </w:rPr>
          <w:t>328</w:t>
        </w:r>
        <w:r w:rsidR="00A53BD0">
          <w:rPr>
            <w:noProof/>
            <w:webHidden/>
          </w:rPr>
          <w:fldChar w:fldCharType="end"/>
        </w:r>
      </w:hyperlink>
    </w:p>
    <w:p w14:paraId="47CA933E"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503" w:history="1">
        <w:r w:rsidR="00344727" w:rsidRPr="00C16B96">
          <w:rPr>
            <w:rStyle w:val="afd"/>
            <w:rFonts w:ascii="Times New Roman" w:hAnsi="Times New Roman"/>
            <w:noProof/>
          </w:rPr>
          <w:t>6.9.30 F01</w:t>
        </w:r>
        <w:r w:rsidR="00344727" w:rsidRPr="00C16B96">
          <w:rPr>
            <w:rStyle w:val="afd"/>
            <w:rFonts w:ascii="Times New Roman" w:hAnsi="Times New Roman" w:hint="eastAsia"/>
            <w:noProof/>
          </w:rPr>
          <w:t>表：买断出口票据、单证业务</w:t>
        </w:r>
        <w:r w:rsidR="00344727">
          <w:rPr>
            <w:noProof/>
            <w:webHidden/>
          </w:rPr>
          <w:tab/>
        </w:r>
        <w:r w:rsidR="00A53BD0">
          <w:rPr>
            <w:noProof/>
            <w:webHidden/>
          </w:rPr>
          <w:fldChar w:fldCharType="begin"/>
        </w:r>
        <w:r w:rsidR="00344727">
          <w:rPr>
            <w:noProof/>
            <w:webHidden/>
          </w:rPr>
          <w:instrText xml:space="preserve"> PAGEREF _Toc101684503 \h </w:instrText>
        </w:r>
        <w:r w:rsidR="00A53BD0">
          <w:rPr>
            <w:noProof/>
            <w:webHidden/>
          </w:rPr>
        </w:r>
        <w:r w:rsidR="00A53BD0">
          <w:rPr>
            <w:noProof/>
            <w:webHidden/>
          </w:rPr>
          <w:fldChar w:fldCharType="separate"/>
        </w:r>
        <w:r w:rsidR="00E54F87">
          <w:rPr>
            <w:noProof/>
            <w:webHidden/>
          </w:rPr>
          <w:t>330</w:t>
        </w:r>
        <w:r w:rsidR="00A53BD0">
          <w:rPr>
            <w:noProof/>
            <w:webHidden/>
          </w:rPr>
          <w:fldChar w:fldCharType="end"/>
        </w:r>
      </w:hyperlink>
    </w:p>
    <w:p w14:paraId="417F9734"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504" w:history="1">
        <w:r w:rsidR="00344727" w:rsidRPr="00C16B96">
          <w:rPr>
            <w:rStyle w:val="afd"/>
            <w:rFonts w:ascii="Times New Roman" w:hAnsi="Times New Roman"/>
            <w:noProof/>
          </w:rPr>
          <w:t>6.9.31 F02</w:t>
        </w:r>
        <w:r w:rsidR="00344727" w:rsidRPr="00C16B96">
          <w:rPr>
            <w:rStyle w:val="afd"/>
            <w:rFonts w:ascii="Times New Roman" w:hAnsi="Times New Roman" w:hint="eastAsia"/>
            <w:noProof/>
          </w:rPr>
          <w:t>表：对外承担第一性付款责任的票据、单证业务</w:t>
        </w:r>
        <w:r w:rsidR="00344727">
          <w:rPr>
            <w:noProof/>
            <w:webHidden/>
          </w:rPr>
          <w:tab/>
        </w:r>
        <w:r w:rsidR="00A53BD0">
          <w:rPr>
            <w:noProof/>
            <w:webHidden/>
          </w:rPr>
          <w:fldChar w:fldCharType="begin"/>
        </w:r>
        <w:r w:rsidR="00344727">
          <w:rPr>
            <w:noProof/>
            <w:webHidden/>
          </w:rPr>
          <w:instrText xml:space="preserve"> PAGEREF _Toc101684504 \h </w:instrText>
        </w:r>
        <w:r w:rsidR="00A53BD0">
          <w:rPr>
            <w:noProof/>
            <w:webHidden/>
          </w:rPr>
        </w:r>
        <w:r w:rsidR="00A53BD0">
          <w:rPr>
            <w:noProof/>
            <w:webHidden/>
          </w:rPr>
          <w:fldChar w:fldCharType="separate"/>
        </w:r>
        <w:r w:rsidR="00E54F87">
          <w:rPr>
            <w:noProof/>
            <w:webHidden/>
          </w:rPr>
          <w:t>333</w:t>
        </w:r>
        <w:r w:rsidR="00A53BD0">
          <w:rPr>
            <w:noProof/>
            <w:webHidden/>
          </w:rPr>
          <w:fldChar w:fldCharType="end"/>
        </w:r>
      </w:hyperlink>
    </w:p>
    <w:p w14:paraId="56D86C06"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505" w:history="1">
        <w:r w:rsidR="00344727" w:rsidRPr="00C16B96">
          <w:rPr>
            <w:rStyle w:val="afd"/>
            <w:rFonts w:ascii="Times New Roman" w:hAnsi="Times New Roman"/>
            <w:noProof/>
          </w:rPr>
          <w:t>6.9.32 G01</w:t>
        </w:r>
        <w:r w:rsidR="00344727" w:rsidRPr="00C16B96">
          <w:rPr>
            <w:rStyle w:val="afd"/>
            <w:rFonts w:ascii="Times New Roman" w:hAnsi="Times New Roman" w:hint="eastAsia"/>
            <w:noProof/>
          </w:rPr>
          <w:t>表：境内银行卡境外消费提现</w:t>
        </w:r>
        <w:r w:rsidR="00344727">
          <w:rPr>
            <w:noProof/>
            <w:webHidden/>
          </w:rPr>
          <w:tab/>
        </w:r>
        <w:r w:rsidR="00A53BD0">
          <w:rPr>
            <w:noProof/>
            <w:webHidden/>
          </w:rPr>
          <w:fldChar w:fldCharType="begin"/>
        </w:r>
        <w:r w:rsidR="00344727">
          <w:rPr>
            <w:noProof/>
            <w:webHidden/>
          </w:rPr>
          <w:instrText xml:space="preserve"> PAGEREF _Toc101684505 \h </w:instrText>
        </w:r>
        <w:r w:rsidR="00A53BD0">
          <w:rPr>
            <w:noProof/>
            <w:webHidden/>
          </w:rPr>
        </w:r>
        <w:r w:rsidR="00A53BD0">
          <w:rPr>
            <w:noProof/>
            <w:webHidden/>
          </w:rPr>
          <w:fldChar w:fldCharType="separate"/>
        </w:r>
        <w:r w:rsidR="00E54F87">
          <w:rPr>
            <w:noProof/>
            <w:webHidden/>
          </w:rPr>
          <w:t>334</w:t>
        </w:r>
        <w:r w:rsidR="00A53BD0">
          <w:rPr>
            <w:noProof/>
            <w:webHidden/>
          </w:rPr>
          <w:fldChar w:fldCharType="end"/>
        </w:r>
      </w:hyperlink>
    </w:p>
    <w:p w14:paraId="47B4FC9E"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506" w:history="1">
        <w:r w:rsidR="00344727" w:rsidRPr="00C16B96">
          <w:rPr>
            <w:rStyle w:val="afd"/>
            <w:rFonts w:ascii="Times New Roman" w:hAnsi="Times New Roman"/>
            <w:noProof/>
          </w:rPr>
          <w:t>6.9.33 G02</w:t>
        </w:r>
        <w:r w:rsidR="00344727" w:rsidRPr="00C16B96">
          <w:rPr>
            <w:rStyle w:val="afd"/>
            <w:rFonts w:ascii="Times New Roman" w:hAnsi="Times New Roman" w:hint="eastAsia"/>
            <w:noProof/>
          </w:rPr>
          <w:t>表：境外银行卡境内消费提现</w:t>
        </w:r>
        <w:r w:rsidR="00344727">
          <w:rPr>
            <w:noProof/>
            <w:webHidden/>
          </w:rPr>
          <w:tab/>
        </w:r>
        <w:r w:rsidR="00A53BD0">
          <w:rPr>
            <w:noProof/>
            <w:webHidden/>
          </w:rPr>
          <w:fldChar w:fldCharType="begin"/>
        </w:r>
        <w:r w:rsidR="00344727">
          <w:rPr>
            <w:noProof/>
            <w:webHidden/>
          </w:rPr>
          <w:instrText xml:space="preserve"> PAGEREF _Toc101684506 \h </w:instrText>
        </w:r>
        <w:r w:rsidR="00A53BD0">
          <w:rPr>
            <w:noProof/>
            <w:webHidden/>
          </w:rPr>
        </w:r>
        <w:r w:rsidR="00A53BD0">
          <w:rPr>
            <w:noProof/>
            <w:webHidden/>
          </w:rPr>
          <w:fldChar w:fldCharType="separate"/>
        </w:r>
        <w:r w:rsidR="00E54F87">
          <w:rPr>
            <w:noProof/>
            <w:webHidden/>
          </w:rPr>
          <w:t>336</w:t>
        </w:r>
        <w:r w:rsidR="00A53BD0">
          <w:rPr>
            <w:noProof/>
            <w:webHidden/>
          </w:rPr>
          <w:fldChar w:fldCharType="end"/>
        </w:r>
      </w:hyperlink>
    </w:p>
    <w:p w14:paraId="054C1C75"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507" w:history="1">
        <w:r w:rsidR="00344727" w:rsidRPr="00C16B96">
          <w:rPr>
            <w:rStyle w:val="afd"/>
            <w:rFonts w:ascii="Times New Roman" w:hAnsi="Times New Roman"/>
            <w:noProof/>
          </w:rPr>
          <w:t>6.9.34 G03</w:t>
        </w:r>
        <w:r w:rsidR="00344727" w:rsidRPr="00C16B96">
          <w:rPr>
            <w:rStyle w:val="afd"/>
            <w:rFonts w:ascii="Times New Roman" w:hAnsi="Times New Roman" w:hint="eastAsia"/>
            <w:noProof/>
          </w:rPr>
          <w:t>表：非居民持有境内银行卡的收入支出</w:t>
        </w:r>
        <w:r w:rsidR="00344727">
          <w:rPr>
            <w:noProof/>
            <w:webHidden/>
          </w:rPr>
          <w:tab/>
        </w:r>
        <w:r w:rsidR="00A53BD0">
          <w:rPr>
            <w:noProof/>
            <w:webHidden/>
          </w:rPr>
          <w:fldChar w:fldCharType="begin"/>
        </w:r>
        <w:r w:rsidR="00344727">
          <w:rPr>
            <w:noProof/>
            <w:webHidden/>
          </w:rPr>
          <w:instrText xml:space="preserve"> PAGEREF _Toc101684507 \h </w:instrText>
        </w:r>
        <w:r w:rsidR="00A53BD0">
          <w:rPr>
            <w:noProof/>
            <w:webHidden/>
          </w:rPr>
        </w:r>
        <w:r w:rsidR="00A53BD0">
          <w:rPr>
            <w:noProof/>
            <w:webHidden/>
          </w:rPr>
          <w:fldChar w:fldCharType="separate"/>
        </w:r>
        <w:r w:rsidR="00E54F87">
          <w:rPr>
            <w:noProof/>
            <w:webHidden/>
          </w:rPr>
          <w:t>338</w:t>
        </w:r>
        <w:r w:rsidR="00A53BD0">
          <w:rPr>
            <w:noProof/>
            <w:webHidden/>
          </w:rPr>
          <w:fldChar w:fldCharType="end"/>
        </w:r>
      </w:hyperlink>
    </w:p>
    <w:p w14:paraId="53EC6CED"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508" w:history="1">
        <w:r w:rsidR="00344727" w:rsidRPr="00C16B96">
          <w:rPr>
            <w:rStyle w:val="afd"/>
            <w:rFonts w:ascii="Times New Roman" w:hAnsi="Times New Roman"/>
            <w:noProof/>
          </w:rPr>
          <w:t>6.9.35 H01</w:t>
        </w:r>
        <w:r w:rsidR="00344727" w:rsidRPr="00C16B96">
          <w:rPr>
            <w:rStyle w:val="afd"/>
            <w:rFonts w:ascii="Times New Roman" w:hAnsi="Times New Roman" w:hint="eastAsia"/>
            <w:noProof/>
          </w:rPr>
          <w:t>表：为非居民托管业务统计（</w:t>
        </w:r>
        <w:r w:rsidR="00344727" w:rsidRPr="00C16B96">
          <w:rPr>
            <w:rStyle w:val="afd"/>
            <w:rFonts w:ascii="Times New Roman" w:hAnsi="Times New Roman"/>
            <w:noProof/>
          </w:rPr>
          <w:t>QFII/RQFII</w:t>
        </w:r>
        <w:r w:rsidR="00344727" w:rsidRPr="00C16B96">
          <w:rPr>
            <w:rStyle w:val="afd"/>
            <w:rFonts w:ascii="Times New Roman" w:hAnsi="Times New Roman" w:hint="eastAsia"/>
            <w:noProof/>
          </w:rPr>
          <w:t>等）</w:t>
        </w:r>
        <w:r w:rsidR="00344727">
          <w:rPr>
            <w:noProof/>
            <w:webHidden/>
          </w:rPr>
          <w:tab/>
        </w:r>
        <w:r w:rsidR="00A53BD0">
          <w:rPr>
            <w:noProof/>
            <w:webHidden/>
          </w:rPr>
          <w:fldChar w:fldCharType="begin"/>
        </w:r>
        <w:r w:rsidR="00344727">
          <w:rPr>
            <w:noProof/>
            <w:webHidden/>
          </w:rPr>
          <w:instrText xml:space="preserve"> PAGEREF _Toc101684508 \h </w:instrText>
        </w:r>
        <w:r w:rsidR="00A53BD0">
          <w:rPr>
            <w:noProof/>
            <w:webHidden/>
          </w:rPr>
        </w:r>
        <w:r w:rsidR="00A53BD0">
          <w:rPr>
            <w:noProof/>
            <w:webHidden/>
          </w:rPr>
          <w:fldChar w:fldCharType="separate"/>
        </w:r>
        <w:r w:rsidR="00E54F87">
          <w:rPr>
            <w:noProof/>
            <w:webHidden/>
          </w:rPr>
          <w:t>341</w:t>
        </w:r>
        <w:r w:rsidR="00A53BD0">
          <w:rPr>
            <w:noProof/>
            <w:webHidden/>
          </w:rPr>
          <w:fldChar w:fldCharType="end"/>
        </w:r>
      </w:hyperlink>
    </w:p>
    <w:p w14:paraId="301B9152"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509" w:history="1">
        <w:r w:rsidR="00344727" w:rsidRPr="00C16B96">
          <w:rPr>
            <w:rStyle w:val="afd"/>
            <w:rFonts w:ascii="Times New Roman" w:hAnsi="Times New Roman"/>
            <w:noProof/>
          </w:rPr>
          <w:t>6.9.36 H02</w:t>
        </w:r>
        <w:r w:rsidR="00344727" w:rsidRPr="00C16B96">
          <w:rPr>
            <w:rStyle w:val="afd"/>
            <w:rFonts w:ascii="Times New Roman" w:hAnsi="Times New Roman" w:hint="eastAsia"/>
            <w:noProof/>
          </w:rPr>
          <w:t>表：为居民托管业务统计（</w:t>
        </w:r>
        <w:r w:rsidR="00344727" w:rsidRPr="00C16B96">
          <w:rPr>
            <w:rStyle w:val="afd"/>
            <w:rFonts w:ascii="Times New Roman" w:hAnsi="Times New Roman"/>
            <w:noProof/>
          </w:rPr>
          <w:t>QDII/RQDII/QDLP/QDIE</w:t>
        </w:r>
        <w:r w:rsidR="00344727" w:rsidRPr="00C16B96">
          <w:rPr>
            <w:rStyle w:val="afd"/>
            <w:rFonts w:ascii="Times New Roman" w:hAnsi="Times New Roman" w:hint="eastAsia"/>
            <w:noProof/>
          </w:rPr>
          <w:t>等）</w:t>
        </w:r>
        <w:r w:rsidR="00344727">
          <w:rPr>
            <w:noProof/>
            <w:webHidden/>
          </w:rPr>
          <w:tab/>
        </w:r>
        <w:r w:rsidR="00A53BD0">
          <w:rPr>
            <w:noProof/>
            <w:webHidden/>
          </w:rPr>
          <w:fldChar w:fldCharType="begin"/>
        </w:r>
        <w:r w:rsidR="00344727">
          <w:rPr>
            <w:noProof/>
            <w:webHidden/>
          </w:rPr>
          <w:instrText xml:space="preserve"> PAGEREF _Toc101684509 \h </w:instrText>
        </w:r>
        <w:r w:rsidR="00A53BD0">
          <w:rPr>
            <w:noProof/>
            <w:webHidden/>
          </w:rPr>
        </w:r>
        <w:r w:rsidR="00A53BD0">
          <w:rPr>
            <w:noProof/>
            <w:webHidden/>
          </w:rPr>
          <w:fldChar w:fldCharType="separate"/>
        </w:r>
        <w:r w:rsidR="00E54F87">
          <w:rPr>
            <w:noProof/>
            <w:webHidden/>
          </w:rPr>
          <w:t>348</w:t>
        </w:r>
        <w:r w:rsidR="00A53BD0">
          <w:rPr>
            <w:noProof/>
            <w:webHidden/>
          </w:rPr>
          <w:fldChar w:fldCharType="end"/>
        </w:r>
      </w:hyperlink>
    </w:p>
    <w:p w14:paraId="2CA2CCBC"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510" w:history="1">
        <w:r w:rsidR="00344727" w:rsidRPr="00C16B96">
          <w:rPr>
            <w:rStyle w:val="afd"/>
            <w:rFonts w:ascii="Times New Roman" w:hAnsi="Times New Roman"/>
            <w:noProof/>
          </w:rPr>
          <w:t>6.9.37 I01</w:t>
        </w:r>
        <w:r w:rsidR="00344727" w:rsidRPr="00C16B96">
          <w:rPr>
            <w:rStyle w:val="afd"/>
            <w:rFonts w:ascii="Times New Roman" w:hAnsi="Times New Roman" w:hint="eastAsia"/>
            <w:noProof/>
          </w:rPr>
          <w:t>表：为非居民提供直接保险服务</w:t>
        </w:r>
        <w:r w:rsidR="00344727">
          <w:rPr>
            <w:noProof/>
            <w:webHidden/>
          </w:rPr>
          <w:tab/>
        </w:r>
        <w:r w:rsidR="00A53BD0">
          <w:rPr>
            <w:noProof/>
            <w:webHidden/>
          </w:rPr>
          <w:fldChar w:fldCharType="begin"/>
        </w:r>
        <w:r w:rsidR="00344727">
          <w:rPr>
            <w:noProof/>
            <w:webHidden/>
          </w:rPr>
          <w:instrText xml:space="preserve"> PAGEREF _Toc101684510 \h </w:instrText>
        </w:r>
        <w:r w:rsidR="00A53BD0">
          <w:rPr>
            <w:noProof/>
            <w:webHidden/>
          </w:rPr>
        </w:r>
        <w:r w:rsidR="00A53BD0">
          <w:rPr>
            <w:noProof/>
            <w:webHidden/>
          </w:rPr>
          <w:fldChar w:fldCharType="separate"/>
        </w:r>
        <w:r w:rsidR="00E54F87">
          <w:rPr>
            <w:noProof/>
            <w:webHidden/>
          </w:rPr>
          <w:t>355</w:t>
        </w:r>
        <w:r w:rsidR="00A53BD0">
          <w:rPr>
            <w:noProof/>
            <w:webHidden/>
          </w:rPr>
          <w:fldChar w:fldCharType="end"/>
        </w:r>
      </w:hyperlink>
    </w:p>
    <w:p w14:paraId="7C9508E2"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511" w:history="1">
        <w:r w:rsidR="00344727" w:rsidRPr="00C16B96">
          <w:rPr>
            <w:rStyle w:val="afd"/>
            <w:rFonts w:ascii="Times New Roman" w:hAnsi="Times New Roman"/>
            <w:noProof/>
          </w:rPr>
          <w:t>6.9.38 I02</w:t>
        </w:r>
        <w:r w:rsidR="00344727" w:rsidRPr="00C16B96">
          <w:rPr>
            <w:rStyle w:val="afd"/>
            <w:rFonts w:ascii="Times New Roman" w:hAnsi="Times New Roman" w:hint="eastAsia"/>
            <w:noProof/>
          </w:rPr>
          <w:t>表：为非居民提供再保险服务（分入保险）</w:t>
        </w:r>
        <w:r w:rsidR="00344727">
          <w:rPr>
            <w:noProof/>
            <w:webHidden/>
          </w:rPr>
          <w:tab/>
        </w:r>
        <w:r w:rsidR="00A53BD0">
          <w:rPr>
            <w:noProof/>
            <w:webHidden/>
          </w:rPr>
          <w:fldChar w:fldCharType="begin"/>
        </w:r>
        <w:r w:rsidR="00344727">
          <w:rPr>
            <w:noProof/>
            <w:webHidden/>
          </w:rPr>
          <w:instrText xml:space="preserve"> PAGEREF _Toc101684511 \h </w:instrText>
        </w:r>
        <w:r w:rsidR="00A53BD0">
          <w:rPr>
            <w:noProof/>
            <w:webHidden/>
          </w:rPr>
        </w:r>
        <w:r w:rsidR="00A53BD0">
          <w:rPr>
            <w:noProof/>
            <w:webHidden/>
          </w:rPr>
          <w:fldChar w:fldCharType="separate"/>
        </w:r>
        <w:r w:rsidR="00E54F87">
          <w:rPr>
            <w:noProof/>
            <w:webHidden/>
          </w:rPr>
          <w:t>358</w:t>
        </w:r>
        <w:r w:rsidR="00A53BD0">
          <w:rPr>
            <w:noProof/>
            <w:webHidden/>
          </w:rPr>
          <w:fldChar w:fldCharType="end"/>
        </w:r>
      </w:hyperlink>
    </w:p>
    <w:p w14:paraId="7C82B5F7"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512" w:history="1">
        <w:r w:rsidR="00344727" w:rsidRPr="00C16B96">
          <w:rPr>
            <w:rStyle w:val="afd"/>
            <w:rFonts w:ascii="Times New Roman" w:hAnsi="Times New Roman"/>
            <w:noProof/>
          </w:rPr>
          <w:t>6.9.39 I03</w:t>
        </w:r>
        <w:r w:rsidR="00344727" w:rsidRPr="00C16B96">
          <w:rPr>
            <w:rStyle w:val="afd"/>
            <w:rFonts w:ascii="Times New Roman" w:hAnsi="Times New Roman" w:hint="eastAsia"/>
            <w:noProof/>
          </w:rPr>
          <w:t>表：从非居民保险机构获得再保险服务（分出保险）</w:t>
        </w:r>
        <w:r w:rsidR="00344727">
          <w:rPr>
            <w:noProof/>
            <w:webHidden/>
          </w:rPr>
          <w:tab/>
        </w:r>
        <w:r w:rsidR="00A53BD0">
          <w:rPr>
            <w:noProof/>
            <w:webHidden/>
          </w:rPr>
          <w:fldChar w:fldCharType="begin"/>
        </w:r>
        <w:r w:rsidR="00344727">
          <w:rPr>
            <w:noProof/>
            <w:webHidden/>
          </w:rPr>
          <w:instrText xml:space="preserve"> PAGEREF _Toc101684512 \h </w:instrText>
        </w:r>
        <w:r w:rsidR="00A53BD0">
          <w:rPr>
            <w:noProof/>
            <w:webHidden/>
          </w:rPr>
        </w:r>
        <w:r w:rsidR="00A53BD0">
          <w:rPr>
            <w:noProof/>
            <w:webHidden/>
          </w:rPr>
          <w:fldChar w:fldCharType="separate"/>
        </w:r>
        <w:r w:rsidR="00E54F87">
          <w:rPr>
            <w:noProof/>
            <w:webHidden/>
          </w:rPr>
          <w:t>361</w:t>
        </w:r>
        <w:r w:rsidR="00A53BD0">
          <w:rPr>
            <w:noProof/>
            <w:webHidden/>
          </w:rPr>
          <w:fldChar w:fldCharType="end"/>
        </w:r>
      </w:hyperlink>
    </w:p>
    <w:p w14:paraId="3D8BCC47"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513" w:history="1">
        <w:r w:rsidR="00344727" w:rsidRPr="00C16B96">
          <w:rPr>
            <w:rStyle w:val="afd"/>
            <w:rFonts w:ascii="Times New Roman" w:hAnsi="Times New Roman"/>
            <w:noProof/>
          </w:rPr>
          <w:t>6.9.40 X01</w:t>
        </w:r>
        <w:r w:rsidR="00344727" w:rsidRPr="00C16B96">
          <w:rPr>
            <w:rStyle w:val="afd"/>
            <w:rFonts w:ascii="Times New Roman" w:hAnsi="Times New Roman" w:hint="eastAsia"/>
            <w:noProof/>
          </w:rPr>
          <w:t>表：银行进出口贸易融资余额</w:t>
        </w:r>
        <w:r w:rsidR="00344727">
          <w:rPr>
            <w:noProof/>
            <w:webHidden/>
          </w:rPr>
          <w:tab/>
        </w:r>
        <w:r w:rsidR="00A53BD0">
          <w:rPr>
            <w:noProof/>
            <w:webHidden/>
          </w:rPr>
          <w:fldChar w:fldCharType="begin"/>
        </w:r>
        <w:r w:rsidR="00344727">
          <w:rPr>
            <w:noProof/>
            <w:webHidden/>
          </w:rPr>
          <w:instrText xml:space="preserve"> PAGEREF _Toc101684513 \h </w:instrText>
        </w:r>
        <w:r w:rsidR="00A53BD0">
          <w:rPr>
            <w:noProof/>
            <w:webHidden/>
          </w:rPr>
        </w:r>
        <w:r w:rsidR="00A53BD0">
          <w:rPr>
            <w:noProof/>
            <w:webHidden/>
          </w:rPr>
          <w:fldChar w:fldCharType="separate"/>
        </w:r>
        <w:r w:rsidR="00E54F87">
          <w:rPr>
            <w:noProof/>
            <w:webHidden/>
          </w:rPr>
          <w:t>364</w:t>
        </w:r>
        <w:r w:rsidR="00A53BD0">
          <w:rPr>
            <w:noProof/>
            <w:webHidden/>
          </w:rPr>
          <w:fldChar w:fldCharType="end"/>
        </w:r>
      </w:hyperlink>
    </w:p>
    <w:p w14:paraId="372889E6" w14:textId="77777777" w:rsidR="00344727" w:rsidRDefault="003C2B32" w:rsidP="00344727">
      <w:pPr>
        <w:pStyle w:val="TOC2"/>
        <w:tabs>
          <w:tab w:val="right" w:leader="dot" w:pos="8296"/>
        </w:tabs>
        <w:ind w:firstLine="480"/>
        <w:rPr>
          <w:rFonts w:asciiTheme="minorHAnsi" w:eastAsiaTheme="minorEastAsia" w:hAnsiTheme="minorHAnsi" w:cstheme="minorBidi"/>
          <w:noProof/>
          <w:kern w:val="2"/>
          <w:sz w:val="21"/>
          <w:szCs w:val="22"/>
        </w:rPr>
      </w:pPr>
      <w:hyperlink w:anchor="_Toc101684514" w:history="1">
        <w:r w:rsidR="00344727" w:rsidRPr="00C16B96">
          <w:rPr>
            <w:rStyle w:val="afd"/>
            <w:rFonts w:ascii="Times New Roman" w:hAnsi="Times New Roman"/>
            <w:noProof/>
          </w:rPr>
          <w:t>6.10</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机构外币现钞存取数据</w:t>
        </w:r>
        <w:r w:rsidR="00344727">
          <w:rPr>
            <w:noProof/>
            <w:webHidden/>
          </w:rPr>
          <w:tab/>
        </w:r>
        <w:r w:rsidR="00A53BD0">
          <w:rPr>
            <w:noProof/>
            <w:webHidden/>
          </w:rPr>
          <w:fldChar w:fldCharType="begin"/>
        </w:r>
        <w:r w:rsidR="00344727">
          <w:rPr>
            <w:noProof/>
            <w:webHidden/>
          </w:rPr>
          <w:instrText xml:space="preserve"> PAGEREF _Toc101684514 \h </w:instrText>
        </w:r>
        <w:r w:rsidR="00A53BD0">
          <w:rPr>
            <w:noProof/>
            <w:webHidden/>
          </w:rPr>
        </w:r>
        <w:r w:rsidR="00A53BD0">
          <w:rPr>
            <w:noProof/>
            <w:webHidden/>
          </w:rPr>
          <w:fldChar w:fldCharType="separate"/>
        </w:r>
        <w:r w:rsidR="00E54F87">
          <w:rPr>
            <w:noProof/>
            <w:webHidden/>
          </w:rPr>
          <w:t>368</w:t>
        </w:r>
        <w:r w:rsidR="00A53BD0">
          <w:rPr>
            <w:noProof/>
            <w:webHidden/>
          </w:rPr>
          <w:fldChar w:fldCharType="end"/>
        </w:r>
      </w:hyperlink>
    </w:p>
    <w:p w14:paraId="293F08AF"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515" w:history="1">
        <w:r w:rsidR="00344727" w:rsidRPr="00C16B96">
          <w:rPr>
            <w:rStyle w:val="afd"/>
            <w:rFonts w:ascii="Times New Roman" w:hAnsi="Times New Roman"/>
            <w:noProof/>
          </w:rPr>
          <w:t>6.10.1</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机构外币现钞存入数据表</w:t>
        </w:r>
        <w:r w:rsidR="00344727">
          <w:rPr>
            <w:noProof/>
            <w:webHidden/>
          </w:rPr>
          <w:tab/>
        </w:r>
        <w:r w:rsidR="00A53BD0">
          <w:rPr>
            <w:noProof/>
            <w:webHidden/>
          </w:rPr>
          <w:fldChar w:fldCharType="begin"/>
        </w:r>
        <w:r w:rsidR="00344727">
          <w:rPr>
            <w:noProof/>
            <w:webHidden/>
          </w:rPr>
          <w:instrText xml:space="preserve"> PAGEREF _Toc101684515 \h </w:instrText>
        </w:r>
        <w:r w:rsidR="00A53BD0">
          <w:rPr>
            <w:noProof/>
            <w:webHidden/>
          </w:rPr>
        </w:r>
        <w:r w:rsidR="00A53BD0">
          <w:rPr>
            <w:noProof/>
            <w:webHidden/>
          </w:rPr>
          <w:fldChar w:fldCharType="separate"/>
        </w:r>
        <w:r w:rsidR="00E54F87">
          <w:rPr>
            <w:noProof/>
            <w:webHidden/>
          </w:rPr>
          <w:t>368</w:t>
        </w:r>
        <w:r w:rsidR="00A53BD0">
          <w:rPr>
            <w:noProof/>
            <w:webHidden/>
          </w:rPr>
          <w:fldChar w:fldCharType="end"/>
        </w:r>
      </w:hyperlink>
    </w:p>
    <w:p w14:paraId="723CEA07"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516" w:history="1">
        <w:r w:rsidR="00344727" w:rsidRPr="00C16B96">
          <w:rPr>
            <w:rStyle w:val="afd"/>
            <w:rFonts w:ascii="Times New Roman" w:hAnsi="Times New Roman"/>
            <w:noProof/>
          </w:rPr>
          <w:t>6.10.2</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机构外币现钞提取数据表</w:t>
        </w:r>
        <w:r w:rsidR="00344727">
          <w:rPr>
            <w:noProof/>
            <w:webHidden/>
          </w:rPr>
          <w:tab/>
        </w:r>
        <w:r w:rsidR="00A53BD0">
          <w:rPr>
            <w:noProof/>
            <w:webHidden/>
          </w:rPr>
          <w:fldChar w:fldCharType="begin"/>
        </w:r>
        <w:r w:rsidR="00344727">
          <w:rPr>
            <w:noProof/>
            <w:webHidden/>
          </w:rPr>
          <w:instrText xml:space="preserve"> PAGEREF _Toc101684516 \h </w:instrText>
        </w:r>
        <w:r w:rsidR="00A53BD0">
          <w:rPr>
            <w:noProof/>
            <w:webHidden/>
          </w:rPr>
        </w:r>
        <w:r w:rsidR="00A53BD0">
          <w:rPr>
            <w:noProof/>
            <w:webHidden/>
          </w:rPr>
          <w:fldChar w:fldCharType="separate"/>
        </w:r>
        <w:r w:rsidR="00E54F87">
          <w:rPr>
            <w:noProof/>
            <w:webHidden/>
          </w:rPr>
          <w:t>371</w:t>
        </w:r>
        <w:r w:rsidR="00A53BD0">
          <w:rPr>
            <w:noProof/>
            <w:webHidden/>
          </w:rPr>
          <w:fldChar w:fldCharType="end"/>
        </w:r>
      </w:hyperlink>
    </w:p>
    <w:p w14:paraId="25EB012F" w14:textId="77777777" w:rsidR="00344727" w:rsidRDefault="003C2B32" w:rsidP="00344727">
      <w:pPr>
        <w:pStyle w:val="TOC2"/>
        <w:tabs>
          <w:tab w:val="right" w:leader="dot" w:pos="8296"/>
        </w:tabs>
        <w:ind w:firstLine="480"/>
        <w:rPr>
          <w:rFonts w:asciiTheme="minorHAnsi" w:eastAsiaTheme="minorEastAsia" w:hAnsiTheme="minorHAnsi" w:cstheme="minorBidi"/>
          <w:noProof/>
          <w:kern w:val="2"/>
          <w:sz w:val="21"/>
          <w:szCs w:val="22"/>
        </w:rPr>
      </w:pPr>
      <w:hyperlink w:anchor="_Toc101684517" w:history="1">
        <w:r w:rsidR="00344727" w:rsidRPr="00C16B96">
          <w:rPr>
            <w:rStyle w:val="afd"/>
            <w:rFonts w:ascii="Times New Roman" w:hAnsi="Times New Roman"/>
            <w:noProof/>
          </w:rPr>
          <w:t>6.11</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银行卡境外交易数据</w:t>
        </w:r>
        <w:r w:rsidR="00344727">
          <w:rPr>
            <w:noProof/>
            <w:webHidden/>
          </w:rPr>
          <w:tab/>
        </w:r>
        <w:r w:rsidR="00A53BD0">
          <w:rPr>
            <w:noProof/>
            <w:webHidden/>
          </w:rPr>
          <w:fldChar w:fldCharType="begin"/>
        </w:r>
        <w:r w:rsidR="00344727">
          <w:rPr>
            <w:noProof/>
            <w:webHidden/>
          </w:rPr>
          <w:instrText xml:space="preserve"> PAGEREF _Toc101684517 \h </w:instrText>
        </w:r>
        <w:r w:rsidR="00A53BD0">
          <w:rPr>
            <w:noProof/>
            <w:webHidden/>
          </w:rPr>
        </w:r>
        <w:r w:rsidR="00A53BD0">
          <w:rPr>
            <w:noProof/>
            <w:webHidden/>
          </w:rPr>
          <w:fldChar w:fldCharType="separate"/>
        </w:r>
        <w:r w:rsidR="00E54F87">
          <w:rPr>
            <w:noProof/>
            <w:webHidden/>
          </w:rPr>
          <w:t>374</w:t>
        </w:r>
        <w:r w:rsidR="00A53BD0">
          <w:rPr>
            <w:noProof/>
            <w:webHidden/>
          </w:rPr>
          <w:fldChar w:fldCharType="end"/>
        </w:r>
      </w:hyperlink>
    </w:p>
    <w:p w14:paraId="43993E9E"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518" w:history="1">
        <w:r w:rsidR="00344727" w:rsidRPr="00C16B96">
          <w:rPr>
            <w:rStyle w:val="afd"/>
            <w:rFonts w:ascii="Times New Roman" w:hAnsi="Times New Roman"/>
            <w:noProof/>
          </w:rPr>
          <w:t>6.11.1</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银行卡境外提现明细数据</w:t>
        </w:r>
        <w:r w:rsidR="00344727">
          <w:rPr>
            <w:noProof/>
            <w:webHidden/>
          </w:rPr>
          <w:tab/>
        </w:r>
        <w:r w:rsidR="00A53BD0">
          <w:rPr>
            <w:noProof/>
            <w:webHidden/>
          </w:rPr>
          <w:fldChar w:fldCharType="begin"/>
        </w:r>
        <w:r w:rsidR="00344727">
          <w:rPr>
            <w:noProof/>
            <w:webHidden/>
          </w:rPr>
          <w:instrText xml:space="preserve"> PAGEREF _Toc101684518 \h </w:instrText>
        </w:r>
        <w:r w:rsidR="00A53BD0">
          <w:rPr>
            <w:noProof/>
            <w:webHidden/>
          </w:rPr>
        </w:r>
        <w:r w:rsidR="00A53BD0">
          <w:rPr>
            <w:noProof/>
            <w:webHidden/>
          </w:rPr>
          <w:fldChar w:fldCharType="separate"/>
        </w:r>
        <w:r w:rsidR="00E54F87">
          <w:rPr>
            <w:noProof/>
            <w:webHidden/>
          </w:rPr>
          <w:t>374</w:t>
        </w:r>
        <w:r w:rsidR="00A53BD0">
          <w:rPr>
            <w:noProof/>
            <w:webHidden/>
          </w:rPr>
          <w:fldChar w:fldCharType="end"/>
        </w:r>
      </w:hyperlink>
    </w:p>
    <w:p w14:paraId="6904055E"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519" w:history="1">
        <w:r w:rsidR="00344727" w:rsidRPr="00C16B96">
          <w:rPr>
            <w:rStyle w:val="afd"/>
            <w:rFonts w:ascii="Times New Roman" w:hAnsi="Times New Roman"/>
            <w:noProof/>
          </w:rPr>
          <w:t>6.11.2</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银行卡境外消费明细数据</w:t>
        </w:r>
        <w:r w:rsidR="00344727">
          <w:rPr>
            <w:noProof/>
            <w:webHidden/>
          </w:rPr>
          <w:tab/>
        </w:r>
        <w:r w:rsidR="00A53BD0">
          <w:rPr>
            <w:noProof/>
            <w:webHidden/>
          </w:rPr>
          <w:fldChar w:fldCharType="begin"/>
        </w:r>
        <w:r w:rsidR="00344727">
          <w:rPr>
            <w:noProof/>
            <w:webHidden/>
          </w:rPr>
          <w:instrText xml:space="preserve"> PAGEREF _Toc101684519 \h </w:instrText>
        </w:r>
        <w:r w:rsidR="00A53BD0">
          <w:rPr>
            <w:noProof/>
            <w:webHidden/>
          </w:rPr>
        </w:r>
        <w:r w:rsidR="00A53BD0">
          <w:rPr>
            <w:noProof/>
            <w:webHidden/>
          </w:rPr>
          <w:fldChar w:fldCharType="separate"/>
        </w:r>
        <w:r w:rsidR="00E54F87">
          <w:rPr>
            <w:noProof/>
            <w:webHidden/>
          </w:rPr>
          <w:t>378</w:t>
        </w:r>
        <w:r w:rsidR="00A53BD0">
          <w:rPr>
            <w:noProof/>
            <w:webHidden/>
          </w:rPr>
          <w:fldChar w:fldCharType="end"/>
        </w:r>
      </w:hyperlink>
    </w:p>
    <w:p w14:paraId="5A4EDC69" w14:textId="77777777" w:rsidR="00344727" w:rsidRDefault="003C2B32" w:rsidP="00344727">
      <w:pPr>
        <w:pStyle w:val="TOC2"/>
        <w:tabs>
          <w:tab w:val="right" w:leader="dot" w:pos="8296"/>
        </w:tabs>
        <w:ind w:firstLine="480"/>
        <w:rPr>
          <w:rFonts w:asciiTheme="minorHAnsi" w:eastAsiaTheme="minorEastAsia" w:hAnsiTheme="minorHAnsi" w:cstheme="minorBidi"/>
          <w:noProof/>
          <w:kern w:val="2"/>
          <w:sz w:val="21"/>
          <w:szCs w:val="22"/>
        </w:rPr>
      </w:pPr>
      <w:hyperlink w:anchor="_Toc101684520" w:history="1">
        <w:r w:rsidR="00344727" w:rsidRPr="00C16B96">
          <w:rPr>
            <w:rStyle w:val="afd"/>
            <w:rFonts w:ascii="Times New Roman" w:hAnsi="Times New Roman"/>
            <w:noProof/>
          </w:rPr>
          <w:t>6.12</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涉嫌外汇违规账户信息</w:t>
        </w:r>
        <w:r w:rsidR="00344727">
          <w:rPr>
            <w:noProof/>
            <w:webHidden/>
          </w:rPr>
          <w:tab/>
        </w:r>
        <w:r w:rsidR="00A53BD0">
          <w:rPr>
            <w:noProof/>
            <w:webHidden/>
          </w:rPr>
          <w:fldChar w:fldCharType="begin"/>
        </w:r>
        <w:r w:rsidR="00344727">
          <w:rPr>
            <w:noProof/>
            <w:webHidden/>
          </w:rPr>
          <w:instrText xml:space="preserve"> PAGEREF _Toc101684520 \h </w:instrText>
        </w:r>
        <w:r w:rsidR="00A53BD0">
          <w:rPr>
            <w:noProof/>
            <w:webHidden/>
          </w:rPr>
        </w:r>
        <w:r w:rsidR="00A53BD0">
          <w:rPr>
            <w:noProof/>
            <w:webHidden/>
          </w:rPr>
          <w:fldChar w:fldCharType="separate"/>
        </w:r>
        <w:r w:rsidR="00E54F87">
          <w:rPr>
            <w:noProof/>
            <w:webHidden/>
          </w:rPr>
          <w:t>382</w:t>
        </w:r>
        <w:r w:rsidR="00A53BD0">
          <w:rPr>
            <w:noProof/>
            <w:webHidden/>
          </w:rPr>
          <w:fldChar w:fldCharType="end"/>
        </w:r>
      </w:hyperlink>
    </w:p>
    <w:p w14:paraId="1E6A8C40"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521" w:history="1">
        <w:r w:rsidR="00344727" w:rsidRPr="00C16B96">
          <w:rPr>
            <w:rStyle w:val="afd"/>
            <w:rFonts w:ascii="Times New Roman" w:hAnsi="Times New Roman"/>
            <w:noProof/>
          </w:rPr>
          <w:t>6.12.1</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涉嫌外汇违规账户查询回复信息</w:t>
        </w:r>
        <w:r w:rsidR="00344727">
          <w:rPr>
            <w:noProof/>
            <w:webHidden/>
          </w:rPr>
          <w:tab/>
        </w:r>
        <w:r w:rsidR="00A53BD0">
          <w:rPr>
            <w:noProof/>
            <w:webHidden/>
          </w:rPr>
          <w:fldChar w:fldCharType="begin"/>
        </w:r>
        <w:r w:rsidR="00344727">
          <w:rPr>
            <w:noProof/>
            <w:webHidden/>
          </w:rPr>
          <w:instrText xml:space="preserve"> PAGEREF _Toc101684521 \h </w:instrText>
        </w:r>
        <w:r w:rsidR="00A53BD0">
          <w:rPr>
            <w:noProof/>
            <w:webHidden/>
          </w:rPr>
        </w:r>
        <w:r w:rsidR="00A53BD0">
          <w:rPr>
            <w:noProof/>
            <w:webHidden/>
          </w:rPr>
          <w:fldChar w:fldCharType="separate"/>
        </w:r>
        <w:r w:rsidR="00E54F87">
          <w:rPr>
            <w:noProof/>
            <w:webHidden/>
          </w:rPr>
          <w:t>382</w:t>
        </w:r>
        <w:r w:rsidR="00A53BD0">
          <w:rPr>
            <w:noProof/>
            <w:webHidden/>
          </w:rPr>
          <w:fldChar w:fldCharType="end"/>
        </w:r>
      </w:hyperlink>
    </w:p>
    <w:p w14:paraId="7893407F"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522" w:history="1">
        <w:r w:rsidR="00344727" w:rsidRPr="00C16B96">
          <w:rPr>
            <w:rStyle w:val="afd"/>
            <w:rFonts w:ascii="Times New Roman" w:hAnsi="Times New Roman"/>
            <w:noProof/>
          </w:rPr>
          <w:t>6.12.2</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涉嫌外汇违规账户基础信息</w:t>
        </w:r>
        <w:r w:rsidR="00344727">
          <w:rPr>
            <w:noProof/>
            <w:webHidden/>
          </w:rPr>
          <w:tab/>
        </w:r>
        <w:r w:rsidR="00A53BD0">
          <w:rPr>
            <w:noProof/>
            <w:webHidden/>
          </w:rPr>
          <w:fldChar w:fldCharType="begin"/>
        </w:r>
        <w:r w:rsidR="00344727">
          <w:rPr>
            <w:noProof/>
            <w:webHidden/>
          </w:rPr>
          <w:instrText xml:space="preserve"> PAGEREF _Toc101684522 \h </w:instrText>
        </w:r>
        <w:r w:rsidR="00A53BD0">
          <w:rPr>
            <w:noProof/>
            <w:webHidden/>
          </w:rPr>
        </w:r>
        <w:r w:rsidR="00A53BD0">
          <w:rPr>
            <w:noProof/>
            <w:webHidden/>
          </w:rPr>
          <w:fldChar w:fldCharType="separate"/>
        </w:r>
        <w:r w:rsidR="00E54F87">
          <w:rPr>
            <w:noProof/>
            <w:webHidden/>
          </w:rPr>
          <w:t>384</w:t>
        </w:r>
        <w:r w:rsidR="00A53BD0">
          <w:rPr>
            <w:noProof/>
            <w:webHidden/>
          </w:rPr>
          <w:fldChar w:fldCharType="end"/>
        </w:r>
      </w:hyperlink>
    </w:p>
    <w:p w14:paraId="441E52C1"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523" w:history="1">
        <w:r w:rsidR="00344727" w:rsidRPr="00C16B96">
          <w:rPr>
            <w:rStyle w:val="afd"/>
            <w:rFonts w:ascii="Times New Roman" w:hAnsi="Times New Roman"/>
            <w:noProof/>
          </w:rPr>
          <w:t>6.12.3</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涉嫌外汇违规账户交易明细信息</w:t>
        </w:r>
        <w:r w:rsidR="00344727">
          <w:rPr>
            <w:noProof/>
            <w:webHidden/>
          </w:rPr>
          <w:tab/>
        </w:r>
        <w:r w:rsidR="00A53BD0">
          <w:rPr>
            <w:noProof/>
            <w:webHidden/>
          </w:rPr>
          <w:fldChar w:fldCharType="begin"/>
        </w:r>
        <w:r w:rsidR="00344727">
          <w:rPr>
            <w:noProof/>
            <w:webHidden/>
          </w:rPr>
          <w:instrText xml:space="preserve"> PAGEREF _Toc101684523 \h </w:instrText>
        </w:r>
        <w:r w:rsidR="00A53BD0">
          <w:rPr>
            <w:noProof/>
            <w:webHidden/>
          </w:rPr>
        </w:r>
        <w:r w:rsidR="00A53BD0">
          <w:rPr>
            <w:noProof/>
            <w:webHidden/>
          </w:rPr>
          <w:fldChar w:fldCharType="separate"/>
        </w:r>
        <w:r w:rsidR="00E54F87">
          <w:rPr>
            <w:noProof/>
            <w:webHidden/>
          </w:rPr>
          <w:t>387</w:t>
        </w:r>
        <w:r w:rsidR="00A53BD0">
          <w:rPr>
            <w:noProof/>
            <w:webHidden/>
          </w:rPr>
          <w:fldChar w:fldCharType="end"/>
        </w:r>
      </w:hyperlink>
    </w:p>
    <w:p w14:paraId="5A599173" w14:textId="77777777" w:rsidR="00344727" w:rsidRDefault="003C2B32" w:rsidP="00344727">
      <w:pPr>
        <w:pStyle w:val="TOC2"/>
        <w:tabs>
          <w:tab w:val="right" w:leader="dot" w:pos="8296"/>
        </w:tabs>
        <w:ind w:firstLine="480"/>
        <w:rPr>
          <w:rFonts w:asciiTheme="minorHAnsi" w:eastAsiaTheme="minorEastAsia" w:hAnsiTheme="minorHAnsi" w:cstheme="minorBidi"/>
          <w:noProof/>
          <w:kern w:val="2"/>
          <w:sz w:val="21"/>
          <w:szCs w:val="22"/>
        </w:rPr>
      </w:pPr>
      <w:hyperlink w:anchor="_Toc101684524" w:history="1">
        <w:r w:rsidR="00344727" w:rsidRPr="00C16B96">
          <w:rPr>
            <w:rStyle w:val="afd"/>
            <w:rFonts w:ascii="Times New Roman" w:hAnsi="Times New Roman"/>
            <w:noProof/>
          </w:rPr>
          <w:t>6.13</w:t>
        </w:r>
        <w:r w:rsidR="00344727" w:rsidRPr="00C16B96">
          <w:rPr>
            <w:rStyle w:val="afd"/>
            <w:rFonts w:ascii="Times New Roman" w:hint="eastAsia"/>
            <w:noProof/>
          </w:rPr>
          <w:t xml:space="preserve"> </w:t>
        </w:r>
        <w:r w:rsidR="00344727" w:rsidRPr="00C16B96">
          <w:rPr>
            <w:rStyle w:val="afd"/>
            <w:rFonts w:ascii="Times New Roman" w:hint="eastAsia"/>
            <w:noProof/>
          </w:rPr>
          <w:t>机构大额结售汇资金来源和使用数据</w:t>
        </w:r>
        <w:r w:rsidR="00344727">
          <w:rPr>
            <w:noProof/>
            <w:webHidden/>
          </w:rPr>
          <w:tab/>
        </w:r>
        <w:r w:rsidR="00A53BD0">
          <w:rPr>
            <w:noProof/>
            <w:webHidden/>
          </w:rPr>
          <w:fldChar w:fldCharType="begin"/>
        </w:r>
        <w:r w:rsidR="00344727">
          <w:rPr>
            <w:noProof/>
            <w:webHidden/>
          </w:rPr>
          <w:instrText xml:space="preserve"> PAGEREF _Toc101684524 \h </w:instrText>
        </w:r>
        <w:r w:rsidR="00A53BD0">
          <w:rPr>
            <w:noProof/>
            <w:webHidden/>
          </w:rPr>
        </w:r>
        <w:r w:rsidR="00A53BD0">
          <w:rPr>
            <w:noProof/>
            <w:webHidden/>
          </w:rPr>
          <w:fldChar w:fldCharType="separate"/>
        </w:r>
        <w:r w:rsidR="00E54F87">
          <w:rPr>
            <w:noProof/>
            <w:webHidden/>
          </w:rPr>
          <w:t>390</w:t>
        </w:r>
        <w:r w:rsidR="00A53BD0">
          <w:rPr>
            <w:noProof/>
            <w:webHidden/>
          </w:rPr>
          <w:fldChar w:fldCharType="end"/>
        </w:r>
      </w:hyperlink>
    </w:p>
    <w:p w14:paraId="392DD2BA"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525" w:history="1">
        <w:r w:rsidR="00344727" w:rsidRPr="00C16B96">
          <w:rPr>
            <w:rStyle w:val="afd"/>
            <w:rFonts w:ascii="Times New Roman" w:hAnsi="Times New Roman"/>
            <w:noProof/>
          </w:rPr>
          <w:t>6.13.1</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机构大额结汇资金使用数据</w:t>
        </w:r>
        <w:r w:rsidR="00344727">
          <w:rPr>
            <w:noProof/>
            <w:webHidden/>
          </w:rPr>
          <w:tab/>
        </w:r>
        <w:r w:rsidR="00A53BD0">
          <w:rPr>
            <w:noProof/>
            <w:webHidden/>
          </w:rPr>
          <w:fldChar w:fldCharType="begin"/>
        </w:r>
        <w:r w:rsidR="00344727">
          <w:rPr>
            <w:noProof/>
            <w:webHidden/>
          </w:rPr>
          <w:instrText xml:space="preserve"> PAGEREF _Toc101684525 \h </w:instrText>
        </w:r>
        <w:r w:rsidR="00A53BD0">
          <w:rPr>
            <w:noProof/>
            <w:webHidden/>
          </w:rPr>
        </w:r>
        <w:r w:rsidR="00A53BD0">
          <w:rPr>
            <w:noProof/>
            <w:webHidden/>
          </w:rPr>
          <w:fldChar w:fldCharType="separate"/>
        </w:r>
        <w:r w:rsidR="00E54F87">
          <w:rPr>
            <w:noProof/>
            <w:webHidden/>
          </w:rPr>
          <w:t>390</w:t>
        </w:r>
        <w:r w:rsidR="00A53BD0">
          <w:rPr>
            <w:noProof/>
            <w:webHidden/>
          </w:rPr>
          <w:fldChar w:fldCharType="end"/>
        </w:r>
      </w:hyperlink>
    </w:p>
    <w:p w14:paraId="2DF9FD44"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526" w:history="1">
        <w:r w:rsidR="00344727" w:rsidRPr="00C16B96">
          <w:rPr>
            <w:rStyle w:val="afd"/>
            <w:rFonts w:ascii="Times New Roman" w:hAnsi="Times New Roman"/>
            <w:noProof/>
          </w:rPr>
          <w:t>6.13.2</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机构大额购汇资金来源数据</w:t>
        </w:r>
        <w:r w:rsidR="00344727">
          <w:rPr>
            <w:noProof/>
            <w:webHidden/>
          </w:rPr>
          <w:tab/>
        </w:r>
        <w:r w:rsidR="00A53BD0">
          <w:rPr>
            <w:noProof/>
            <w:webHidden/>
          </w:rPr>
          <w:fldChar w:fldCharType="begin"/>
        </w:r>
        <w:r w:rsidR="00344727">
          <w:rPr>
            <w:noProof/>
            <w:webHidden/>
          </w:rPr>
          <w:instrText xml:space="preserve"> PAGEREF _Toc101684526 \h </w:instrText>
        </w:r>
        <w:r w:rsidR="00A53BD0">
          <w:rPr>
            <w:noProof/>
            <w:webHidden/>
          </w:rPr>
        </w:r>
        <w:r w:rsidR="00A53BD0">
          <w:rPr>
            <w:noProof/>
            <w:webHidden/>
          </w:rPr>
          <w:fldChar w:fldCharType="separate"/>
        </w:r>
        <w:r w:rsidR="00E54F87">
          <w:rPr>
            <w:noProof/>
            <w:webHidden/>
          </w:rPr>
          <w:t>393</w:t>
        </w:r>
        <w:r w:rsidR="00A53BD0">
          <w:rPr>
            <w:noProof/>
            <w:webHidden/>
          </w:rPr>
          <w:fldChar w:fldCharType="end"/>
        </w:r>
      </w:hyperlink>
    </w:p>
    <w:p w14:paraId="6A75EF6B" w14:textId="77777777" w:rsidR="00344727" w:rsidRDefault="003C2B32">
      <w:pPr>
        <w:pStyle w:val="TOC1"/>
        <w:rPr>
          <w:rFonts w:asciiTheme="minorHAnsi" w:eastAsiaTheme="minorEastAsia" w:hAnsiTheme="minorHAnsi" w:cstheme="minorBidi"/>
          <w:noProof/>
          <w:kern w:val="2"/>
          <w:sz w:val="21"/>
          <w:szCs w:val="22"/>
        </w:rPr>
      </w:pPr>
      <w:hyperlink w:anchor="_Toc101684527" w:history="1">
        <w:r w:rsidR="00344727" w:rsidRPr="00C16B96">
          <w:rPr>
            <w:rStyle w:val="afd"/>
            <w:rFonts w:ascii="Times New Roman" w:hAnsi="Times New Roman" w:hint="eastAsia"/>
            <w:noProof/>
          </w:rPr>
          <w:t>第七章</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接口文件错误反馈类型说明</w:t>
        </w:r>
        <w:r w:rsidR="00344727">
          <w:rPr>
            <w:noProof/>
            <w:webHidden/>
          </w:rPr>
          <w:tab/>
        </w:r>
        <w:r w:rsidR="00A53BD0">
          <w:rPr>
            <w:noProof/>
            <w:webHidden/>
          </w:rPr>
          <w:fldChar w:fldCharType="begin"/>
        </w:r>
        <w:r w:rsidR="00344727">
          <w:rPr>
            <w:noProof/>
            <w:webHidden/>
          </w:rPr>
          <w:instrText xml:space="preserve"> PAGEREF _Toc101684527 \h </w:instrText>
        </w:r>
        <w:r w:rsidR="00A53BD0">
          <w:rPr>
            <w:noProof/>
            <w:webHidden/>
          </w:rPr>
        </w:r>
        <w:r w:rsidR="00A53BD0">
          <w:rPr>
            <w:noProof/>
            <w:webHidden/>
          </w:rPr>
          <w:fldChar w:fldCharType="separate"/>
        </w:r>
        <w:r w:rsidR="00E54F87">
          <w:rPr>
            <w:noProof/>
            <w:webHidden/>
          </w:rPr>
          <w:t>397</w:t>
        </w:r>
        <w:r w:rsidR="00A53BD0">
          <w:rPr>
            <w:noProof/>
            <w:webHidden/>
          </w:rPr>
          <w:fldChar w:fldCharType="end"/>
        </w:r>
      </w:hyperlink>
    </w:p>
    <w:p w14:paraId="496ED448" w14:textId="77777777" w:rsidR="00344727" w:rsidRDefault="003C2B32">
      <w:pPr>
        <w:pStyle w:val="TOC1"/>
        <w:rPr>
          <w:rFonts w:asciiTheme="minorHAnsi" w:eastAsiaTheme="minorEastAsia" w:hAnsiTheme="minorHAnsi" w:cstheme="minorBidi"/>
          <w:noProof/>
          <w:kern w:val="2"/>
          <w:sz w:val="21"/>
          <w:szCs w:val="22"/>
        </w:rPr>
      </w:pPr>
      <w:hyperlink w:anchor="_Toc101684528" w:history="1">
        <w:r w:rsidR="00344727" w:rsidRPr="00C16B96">
          <w:rPr>
            <w:rStyle w:val="afd"/>
            <w:rFonts w:ascii="Times New Roman" w:hAnsi="Times New Roman" w:hint="eastAsia"/>
            <w:noProof/>
          </w:rPr>
          <w:t>第八章</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向银行反馈数据接口规范</w:t>
        </w:r>
        <w:r w:rsidR="00344727">
          <w:rPr>
            <w:noProof/>
            <w:webHidden/>
          </w:rPr>
          <w:tab/>
        </w:r>
        <w:r w:rsidR="00A53BD0">
          <w:rPr>
            <w:noProof/>
            <w:webHidden/>
          </w:rPr>
          <w:fldChar w:fldCharType="begin"/>
        </w:r>
        <w:r w:rsidR="00344727">
          <w:rPr>
            <w:noProof/>
            <w:webHidden/>
          </w:rPr>
          <w:instrText xml:space="preserve"> PAGEREF _Toc101684528 \h </w:instrText>
        </w:r>
        <w:r w:rsidR="00A53BD0">
          <w:rPr>
            <w:noProof/>
            <w:webHidden/>
          </w:rPr>
        </w:r>
        <w:r w:rsidR="00A53BD0">
          <w:rPr>
            <w:noProof/>
            <w:webHidden/>
          </w:rPr>
          <w:fldChar w:fldCharType="separate"/>
        </w:r>
        <w:r w:rsidR="00E54F87">
          <w:rPr>
            <w:noProof/>
            <w:webHidden/>
          </w:rPr>
          <w:t>398</w:t>
        </w:r>
        <w:r w:rsidR="00A53BD0">
          <w:rPr>
            <w:noProof/>
            <w:webHidden/>
          </w:rPr>
          <w:fldChar w:fldCharType="end"/>
        </w:r>
      </w:hyperlink>
    </w:p>
    <w:p w14:paraId="3BD2A406" w14:textId="77777777" w:rsidR="00344727" w:rsidRDefault="003C2B32" w:rsidP="00344727">
      <w:pPr>
        <w:pStyle w:val="TOC2"/>
        <w:tabs>
          <w:tab w:val="right" w:leader="dot" w:pos="8296"/>
        </w:tabs>
        <w:ind w:firstLine="480"/>
        <w:rPr>
          <w:rFonts w:asciiTheme="minorHAnsi" w:eastAsiaTheme="minorEastAsia" w:hAnsiTheme="minorHAnsi" w:cstheme="minorBidi"/>
          <w:noProof/>
          <w:kern w:val="2"/>
          <w:sz w:val="21"/>
          <w:szCs w:val="22"/>
        </w:rPr>
      </w:pPr>
      <w:hyperlink w:anchor="_Toc101684529" w:history="1">
        <w:r w:rsidR="00344727" w:rsidRPr="00C16B96">
          <w:rPr>
            <w:rStyle w:val="afd"/>
            <w:rFonts w:ascii="Times New Roman" w:hAnsi="Times New Roman"/>
            <w:noProof/>
          </w:rPr>
          <w:t>8.1</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前言</w:t>
        </w:r>
        <w:r w:rsidR="00344727">
          <w:rPr>
            <w:noProof/>
            <w:webHidden/>
          </w:rPr>
          <w:tab/>
        </w:r>
        <w:r w:rsidR="00A53BD0">
          <w:rPr>
            <w:noProof/>
            <w:webHidden/>
          </w:rPr>
          <w:fldChar w:fldCharType="begin"/>
        </w:r>
        <w:r w:rsidR="00344727">
          <w:rPr>
            <w:noProof/>
            <w:webHidden/>
          </w:rPr>
          <w:instrText xml:space="preserve"> PAGEREF _Toc101684529 \h </w:instrText>
        </w:r>
        <w:r w:rsidR="00A53BD0">
          <w:rPr>
            <w:noProof/>
            <w:webHidden/>
          </w:rPr>
        </w:r>
        <w:r w:rsidR="00A53BD0">
          <w:rPr>
            <w:noProof/>
            <w:webHidden/>
          </w:rPr>
          <w:fldChar w:fldCharType="separate"/>
        </w:r>
        <w:r w:rsidR="00E54F87">
          <w:rPr>
            <w:noProof/>
            <w:webHidden/>
          </w:rPr>
          <w:t>398</w:t>
        </w:r>
        <w:r w:rsidR="00A53BD0">
          <w:rPr>
            <w:noProof/>
            <w:webHidden/>
          </w:rPr>
          <w:fldChar w:fldCharType="end"/>
        </w:r>
      </w:hyperlink>
    </w:p>
    <w:p w14:paraId="1AEB5A2A"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530" w:history="1">
        <w:r w:rsidR="00344727" w:rsidRPr="00C16B96">
          <w:rPr>
            <w:rStyle w:val="afd"/>
            <w:rFonts w:ascii="Times New Roman" w:hAnsi="Times New Roman"/>
            <w:noProof/>
          </w:rPr>
          <w:t>8.1.1</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反馈数据内容及时间安排</w:t>
        </w:r>
        <w:r w:rsidR="00344727">
          <w:rPr>
            <w:noProof/>
            <w:webHidden/>
          </w:rPr>
          <w:tab/>
        </w:r>
        <w:r w:rsidR="00A53BD0">
          <w:rPr>
            <w:noProof/>
            <w:webHidden/>
          </w:rPr>
          <w:fldChar w:fldCharType="begin"/>
        </w:r>
        <w:r w:rsidR="00344727">
          <w:rPr>
            <w:noProof/>
            <w:webHidden/>
          </w:rPr>
          <w:instrText xml:space="preserve"> PAGEREF _Toc101684530 \h </w:instrText>
        </w:r>
        <w:r w:rsidR="00A53BD0">
          <w:rPr>
            <w:noProof/>
            <w:webHidden/>
          </w:rPr>
        </w:r>
        <w:r w:rsidR="00A53BD0">
          <w:rPr>
            <w:noProof/>
            <w:webHidden/>
          </w:rPr>
          <w:fldChar w:fldCharType="separate"/>
        </w:r>
        <w:r w:rsidR="00E54F87">
          <w:rPr>
            <w:noProof/>
            <w:webHidden/>
          </w:rPr>
          <w:t>398</w:t>
        </w:r>
        <w:r w:rsidR="00A53BD0">
          <w:rPr>
            <w:noProof/>
            <w:webHidden/>
          </w:rPr>
          <w:fldChar w:fldCharType="end"/>
        </w:r>
      </w:hyperlink>
    </w:p>
    <w:p w14:paraId="51EECAE2" w14:textId="77777777" w:rsidR="00344727" w:rsidRDefault="003C2B32" w:rsidP="00344727">
      <w:pPr>
        <w:pStyle w:val="TOC2"/>
        <w:tabs>
          <w:tab w:val="right" w:leader="dot" w:pos="8296"/>
        </w:tabs>
        <w:ind w:firstLine="480"/>
        <w:rPr>
          <w:rFonts w:asciiTheme="minorHAnsi" w:eastAsiaTheme="minorEastAsia" w:hAnsiTheme="minorHAnsi" w:cstheme="minorBidi"/>
          <w:noProof/>
          <w:kern w:val="2"/>
          <w:sz w:val="21"/>
          <w:szCs w:val="22"/>
        </w:rPr>
      </w:pPr>
      <w:hyperlink w:anchor="_Toc101684531" w:history="1">
        <w:r w:rsidR="00344727" w:rsidRPr="00C16B96">
          <w:rPr>
            <w:rStyle w:val="afd"/>
            <w:rFonts w:ascii="Times New Roman" w:hAnsi="Times New Roman"/>
            <w:noProof/>
          </w:rPr>
          <w:t>8.2</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反馈文件规范</w:t>
        </w:r>
        <w:r w:rsidR="00344727">
          <w:rPr>
            <w:noProof/>
            <w:webHidden/>
          </w:rPr>
          <w:tab/>
        </w:r>
        <w:r w:rsidR="00A53BD0">
          <w:rPr>
            <w:noProof/>
            <w:webHidden/>
          </w:rPr>
          <w:fldChar w:fldCharType="begin"/>
        </w:r>
        <w:r w:rsidR="00344727">
          <w:rPr>
            <w:noProof/>
            <w:webHidden/>
          </w:rPr>
          <w:instrText xml:space="preserve"> PAGEREF _Toc101684531 \h </w:instrText>
        </w:r>
        <w:r w:rsidR="00A53BD0">
          <w:rPr>
            <w:noProof/>
            <w:webHidden/>
          </w:rPr>
        </w:r>
        <w:r w:rsidR="00A53BD0">
          <w:rPr>
            <w:noProof/>
            <w:webHidden/>
          </w:rPr>
          <w:fldChar w:fldCharType="separate"/>
        </w:r>
        <w:r w:rsidR="00E54F87">
          <w:rPr>
            <w:noProof/>
            <w:webHidden/>
          </w:rPr>
          <w:t>399</w:t>
        </w:r>
        <w:r w:rsidR="00A53BD0">
          <w:rPr>
            <w:noProof/>
            <w:webHidden/>
          </w:rPr>
          <w:fldChar w:fldCharType="end"/>
        </w:r>
      </w:hyperlink>
    </w:p>
    <w:p w14:paraId="50EA20D5"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532" w:history="1">
        <w:r w:rsidR="00344727" w:rsidRPr="00C16B96">
          <w:rPr>
            <w:rStyle w:val="afd"/>
            <w:rFonts w:ascii="Times New Roman" w:hAnsi="Times New Roman"/>
            <w:noProof/>
          </w:rPr>
          <w:t>8.2.1</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反馈文件命名规范</w:t>
        </w:r>
        <w:r w:rsidR="00344727">
          <w:rPr>
            <w:noProof/>
            <w:webHidden/>
          </w:rPr>
          <w:tab/>
        </w:r>
        <w:r w:rsidR="00A53BD0">
          <w:rPr>
            <w:noProof/>
            <w:webHidden/>
          </w:rPr>
          <w:fldChar w:fldCharType="begin"/>
        </w:r>
        <w:r w:rsidR="00344727">
          <w:rPr>
            <w:noProof/>
            <w:webHidden/>
          </w:rPr>
          <w:instrText xml:space="preserve"> PAGEREF _Toc101684532 \h </w:instrText>
        </w:r>
        <w:r w:rsidR="00A53BD0">
          <w:rPr>
            <w:noProof/>
            <w:webHidden/>
          </w:rPr>
        </w:r>
        <w:r w:rsidR="00A53BD0">
          <w:rPr>
            <w:noProof/>
            <w:webHidden/>
          </w:rPr>
          <w:fldChar w:fldCharType="separate"/>
        </w:r>
        <w:r w:rsidR="00E54F87">
          <w:rPr>
            <w:noProof/>
            <w:webHidden/>
          </w:rPr>
          <w:t>399</w:t>
        </w:r>
        <w:r w:rsidR="00A53BD0">
          <w:rPr>
            <w:noProof/>
            <w:webHidden/>
          </w:rPr>
          <w:fldChar w:fldCharType="end"/>
        </w:r>
      </w:hyperlink>
    </w:p>
    <w:p w14:paraId="40FA7853"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533" w:history="1">
        <w:r w:rsidR="00344727" w:rsidRPr="00C16B96">
          <w:rPr>
            <w:rStyle w:val="afd"/>
            <w:rFonts w:ascii="Times New Roman" w:hAnsi="Times New Roman"/>
            <w:noProof/>
          </w:rPr>
          <w:t>8.2.2</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反馈文件格式规范</w:t>
        </w:r>
        <w:r w:rsidR="00344727">
          <w:rPr>
            <w:noProof/>
            <w:webHidden/>
          </w:rPr>
          <w:tab/>
        </w:r>
        <w:r w:rsidR="00A53BD0">
          <w:rPr>
            <w:noProof/>
            <w:webHidden/>
          </w:rPr>
          <w:fldChar w:fldCharType="begin"/>
        </w:r>
        <w:r w:rsidR="00344727">
          <w:rPr>
            <w:noProof/>
            <w:webHidden/>
          </w:rPr>
          <w:instrText xml:space="preserve"> PAGEREF _Toc101684533 \h </w:instrText>
        </w:r>
        <w:r w:rsidR="00A53BD0">
          <w:rPr>
            <w:noProof/>
            <w:webHidden/>
          </w:rPr>
        </w:r>
        <w:r w:rsidR="00A53BD0">
          <w:rPr>
            <w:noProof/>
            <w:webHidden/>
          </w:rPr>
          <w:fldChar w:fldCharType="separate"/>
        </w:r>
        <w:r w:rsidR="00E54F87">
          <w:rPr>
            <w:noProof/>
            <w:webHidden/>
          </w:rPr>
          <w:t>401</w:t>
        </w:r>
        <w:r w:rsidR="00A53BD0">
          <w:rPr>
            <w:noProof/>
            <w:webHidden/>
          </w:rPr>
          <w:fldChar w:fldCharType="end"/>
        </w:r>
      </w:hyperlink>
    </w:p>
    <w:p w14:paraId="63E6E609"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534" w:history="1">
        <w:r w:rsidR="00344727" w:rsidRPr="00C16B96">
          <w:rPr>
            <w:rStyle w:val="afd"/>
            <w:rFonts w:ascii="Times New Roman" w:hAnsi="Times New Roman"/>
            <w:noProof/>
          </w:rPr>
          <w:t>8.2.3</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反馈文件在银行</w:t>
        </w:r>
        <w:r w:rsidR="00344727" w:rsidRPr="00C16B96">
          <w:rPr>
            <w:rStyle w:val="afd"/>
            <w:rFonts w:ascii="Times New Roman" w:hAnsi="Times New Roman"/>
            <w:noProof/>
          </w:rPr>
          <w:t>MTS</w:t>
        </w:r>
        <w:r w:rsidR="00344727" w:rsidRPr="00C16B96">
          <w:rPr>
            <w:rStyle w:val="afd"/>
            <w:rFonts w:ascii="Times New Roman" w:hAnsi="Times New Roman" w:hint="eastAsia"/>
            <w:noProof/>
          </w:rPr>
          <w:t>节点的目录规范</w:t>
        </w:r>
        <w:r w:rsidR="00344727">
          <w:rPr>
            <w:noProof/>
            <w:webHidden/>
          </w:rPr>
          <w:tab/>
        </w:r>
        <w:r w:rsidR="00A53BD0">
          <w:rPr>
            <w:noProof/>
            <w:webHidden/>
          </w:rPr>
          <w:fldChar w:fldCharType="begin"/>
        </w:r>
        <w:r w:rsidR="00344727">
          <w:rPr>
            <w:noProof/>
            <w:webHidden/>
          </w:rPr>
          <w:instrText xml:space="preserve"> PAGEREF _Toc101684534 \h </w:instrText>
        </w:r>
        <w:r w:rsidR="00A53BD0">
          <w:rPr>
            <w:noProof/>
            <w:webHidden/>
          </w:rPr>
        </w:r>
        <w:r w:rsidR="00A53BD0">
          <w:rPr>
            <w:noProof/>
            <w:webHidden/>
          </w:rPr>
          <w:fldChar w:fldCharType="separate"/>
        </w:r>
        <w:r w:rsidR="00E54F87">
          <w:rPr>
            <w:noProof/>
            <w:webHidden/>
          </w:rPr>
          <w:t>405</w:t>
        </w:r>
        <w:r w:rsidR="00A53BD0">
          <w:rPr>
            <w:noProof/>
            <w:webHidden/>
          </w:rPr>
          <w:fldChar w:fldCharType="end"/>
        </w:r>
      </w:hyperlink>
    </w:p>
    <w:p w14:paraId="2C13D7F7" w14:textId="77777777" w:rsidR="00344727" w:rsidRDefault="003C2B32" w:rsidP="00344727">
      <w:pPr>
        <w:pStyle w:val="TOC2"/>
        <w:tabs>
          <w:tab w:val="right" w:leader="dot" w:pos="8296"/>
        </w:tabs>
        <w:ind w:firstLine="480"/>
        <w:rPr>
          <w:rFonts w:asciiTheme="minorHAnsi" w:eastAsiaTheme="minorEastAsia" w:hAnsiTheme="minorHAnsi" w:cstheme="minorBidi"/>
          <w:noProof/>
          <w:kern w:val="2"/>
          <w:sz w:val="21"/>
          <w:szCs w:val="22"/>
        </w:rPr>
      </w:pPr>
      <w:hyperlink w:anchor="_Toc101684535" w:history="1">
        <w:r w:rsidR="00344727" w:rsidRPr="00C16B96">
          <w:rPr>
            <w:rStyle w:val="afd"/>
            <w:rFonts w:ascii="Times New Roman" w:hAnsi="Times New Roman"/>
            <w:noProof/>
          </w:rPr>
          <w:t>8.3</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涉外收支、境内划转数据的数据字典</w:t>
        </w:r>
        <w:r w:rsidR="00344727">
          <w:rPr>
            <w:noProof/>
            <w:webHidden/>
          </w:rPr>
          <w:tab/>
        </w:r>
        <w:r w:rsidR="00A53BD0">
          <w:rPr>
            <w:noProof/>
            <w:webHidden/>
          </w:rPr>
          <w:fldChar w:fldCharType="begin"/>
        </w:r>
        <w:r w:rsidR="00344727">
          <w:rPr>
            <w:noProof/>
            <w:webHidden/>
          </w:rPr>
          <w:instrText xml:space="preserve"> PAGEREF _Toc101684535 \h </w:instrText>
        </w:r>
        <w:r w:rsidR="00A53BD0">
          <w:rPr>
            <w:noProof/>
            <w:webHidden/>
          </w:rPr>
        </w:r>
        <w:r w:rsidR="00A53BD0">
          <w:rPr>
            <w:noProof/>
            <w:webHidden/>
          </w:rPr>
          <w:fldChar w:fldCharType="separate"/>
        </w:r>
        <w:r w:rsidR="00E54F87">
          <w:rPr>
            <w:noProof/>
            <w:webHidden/>
          </w:rPr>
          <w:t>409</w:t>
        </w:r>
        <w:r w:rsidR="00A53BD0">
          <w:rPr>
            <w:noProof/>
            <w:webHidden/>
          </w:rPr>
          <w:fldChar w:fldCharType="end"/>
        </w:r>
      </w:hyperlink>
    </w:p>
    <w:p w14:paraId="1050D967"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536" w:history="1">
        <w:r w:rsidR="00344727" w:rsidRPr="00C16B96">
          <w:rPr>
            <w:rStyle w:val="afd"/>
            <w:rFonts w:ascii="Times New Roman" w:hAnsi="Times New Roman"/>
            <w:noProof/>
          </w:rPr>
          <w:t>8.3.1</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反馈给全接口银行的信息</w:t>
        </w:r>
        <w:r w:rsidR="00344727">
          <w:rPr>
            <w:noProof/>
            <w:webHidden/>
          </w:rPr>
          <w:tab/>
        </w:r>
        <w:r w:rsidR="00A53BD0">
          <w:rPr>
            <w:noProof/>
            <w:webHidden/>
          </w:rPr>
          <w:fldChar w:fldCharType="begin"/>
        </w:r>
        <w:r w:rsidR="00344727">
          <w:rPr>
            <w:noProof/>
            <w:webHidden/>
          </w:rPr>
          <w:instrText xml:space="preserve"> PAGEREF _Toc101684536 \h </w:instrText>
        </w:r>
        <w:r w:rsidR="00A53BD0">
          <w:rPr>
            <w:noProof/>
            <w:webHidden/>
          </w:rPr>
        </w:r>
        <w:r w:rsidR="00A53BD0">
          <w:rPr>
            <w:noProof/>
            <w:webHidden/>
          </w:rPr>
          <w:fldChar w:fldCharType="separate"/>
        </w:r>
        <w:r w:rsidR="00E54F87">
          <w:rPr>
            <w:noProof/>
            <w:webHidden/>
          </w:rPr>
          <w:t>409</w:t>
        </w:r>
        <w:r w:rsidR="00A53BD0">
          <w:rPr>
            <w:noProof/>
            <w:webHidden/>
          </w:rPr>
          <w:fldChar w:fldCharType="end"/>
        </w:r>
      </w:hyperlink>
    </w:p>
    <w:p w14:paraId="08B10084"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537" w:history="1">
        <w:r w:rsidR="00344727" w:rsidRPr="00C16B96">
          <w:rPr>
            <w:rStyle w:val="afd"/>
            <w:rFonts w:ascii="Times New Roman" w:hAnsi="Times New Roman"/>
            <w:noProof/>
          </w:rPr>
          <w:t>8.3.2</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反馈给部分接口</w:t>
        </w:r>
        <w:r w:rsidR="00344727" w:rsidRPr="00C16B96">
          <w:rPr>
            <w:rStyle w:val="afd"/>
            <w:rFonts w:ascii="Times New Roman" w:hAnsi="Times New Roman"/>
            <w:noProof/>
          </w:rPr>
          <w:t>/</w:t>
        </w:r>
        <w:r w:rsidR="00344727" w:rsidRPr="00C16B96">
          <w:rPr>
            <w:rStyle w:val="afd"/>
            <w:rFonts w:ascii="Times New Roman" w:hAnsi="Times New Roman" w:hint="eastAsia"/>
            <w:noProof/>
          </w:rPr>
          <w:t>手工录入银行的信息</w:t>
        </w:r>
        <w:r w:rsidR="00344727">
          <w:rPr>
            <w:noProof/>
            <w:webHidden/>
          </w:rPr>
          <w:tab/>
        </w:r>
        <w:r w:rsidR="00A53BD0">
          <w:rPr>
            <w:noProof/>
            <w:webHidden/>
          </w:rPr>
          <w:fldChar w:fldCharType="begin"/>
        </w:r>
        <w:r w:rsidR="00344727">
          <w:rPr>
            <w:noProof/>
            <w:webHidden/>
          </w:rPr>
          <w:instrText xml:space="preserve"> PAGEREF _Toc101684537 \h </w:instrText>
        </w:r>
        <w:r w:rsidR="00A53BD0">
          <w:rPr>
            <w:noProof/>
            <w:webHidden/>
          </w:rPr>
        </w:r>
        <w:r w:rsidR="00A53BD0">
          <w:rPr>
            <w:noProof/>
            <w:webHidden/>
          </w:rPr>
          <w:fldChar w:fldCharType="separate"/>
        </w:r>
        <w:r w:rsidR="00E54F87">
          <w:rPr>
            <w:noProof/>
            <w:webHidden/>
          </w:rPr>
          <w:t>414</w:t>
        </w:r>
        <w:r w:rsidR="00A53BD0">
          <w:rPr>
            <w:noProof/>
            <w:webHidden/>
          </w:rPr>
          <w:fldChar w:fldCharType="end"/>
        </w:r>
      </w:hyperlink>
    </w:p>
    <w:p w14:paraId="096D6EFF" w14:textId="77777777" w:rsidR="00344727" w:rsidRDefault="003C2B32" w:rsidP="00344727">
      <w:pPr>
        <w:pStyle w:val="TOC2"/>
        <w:tabs>
          <w:tab w:val="right" w:leader="dot" w:pos="8296"/>
        </w:tabs>
        <w:ind w:firstLine="480"/>
        <w:rPr>
          <w:rFonts w:asciiTheme="minorHAnsi" w:eastAsiaTheme="minorEastAsia" w:hAnsiTheme="minorHAnsi" w:cstheme="minorBidi"/>
          <w:noProof/>
          <w:kern w:val="2"/>
          <w:sz w:val="21"/>
          <w:szCs w:val="22"/>
        </w:rPr>
      </w:pPr>
      <w:hyperlink w:anchor="_Toc101684538" w:history="1">
        <w:r w:rsidR="00344727" w:rsidRPr="00C16B96">
          <w:rPr>
            <w:rStyle w:val="afd"/>
            <w:rFonts w:ascii="Times New Roman" w:hAnsi="Times New Roman"/>
            <w:noProof/>
          </w:rPr>
          <w:t>8.4</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暂停持境内银行卡在境外提取现金个人名单的数据字典</w:t>
        </w:r>
        <w:r w:rsidR="00344727">
          <w:rPr>
            <w:noProof/>
            <w:webHidden/>
          </w:rPr>
          <w:tab/>
        </w:r>
        <w:r w:rsidR="00A53BD0">
          <w:rPr>
            <w:noProof/>
            <w:webHidden/>
          </w:rPr>
          <w:fldChar w:fldCharType="begin"/>
        </w:r>
        <w:r w:rsidR="00344727">
          <w:rPr>
            <w:noProof/>
            <w:webHidden/>
          </w:rPr>
          <w:instrText xml:space="preserve"> PAGEREF _Toc101684538 \h </w:instrText>
        </w:r>
        <w:r w:rsidR="00A53BD0">
          <w:rPr>
            <w:noProof/>
            <w:webHidden/>
          </w:rPr>
        </w:r>
        <w:r w:rsidR="00A53BD0">
          <w:rPr>
            <w:noProof/>
            <w:webHidden/>
          </w:rPr>
          <w:fldChar w:fldCharType="separate"/>
        </w:r>
        <w:r w:rsidR="00E54F87">
          <w:rPr>
            <w:noProof/>
            <w:webHidden/>
          </w:rPr>
          <w:t>424</w:t>
        </w:r>
        <w:r w:rsidR="00A53BD0">
          <w:rPr>
            <w:noProof/>
            <w:webHidden/>
          </w:rPr>
          <w:fldChar w:fldCharType="end"/>
        </w:r>
      </w:hyperlink>
    </w:p>
    <w:p w14:paraId="4647D21A" w14:textId="77777777" w:rsidR="00344727" w:rsidRDefault="003C2B32" w:rsidP="00344727">
      <w:pPr>
        <w:pStyle w:val="TOC2"/>
        <w:tabs>
          <w:tab w:val="right" w:leader="dot" w:pos="8296"/>
        </w:tabs>
        <w:ind w:firstLine="480"/>
        <w:rPr>
          <w:rFonts w:asciiTheme="minorHAnsi" w:eastAsiaTheme="minorEastAsia" w:hAnsiTheme="minorHAnsi" w:cstheme="minorBidi"/>
          <w:noProof/>
          <w:kern w:val="2"/>
          <w:sz w:val="21"/>
          <w:szCs w:val="22"/>
        </w:rPr>
      </w:pPr>
      <w:hyperlink w:anchor="_Toc101684539" w:history="1">
        <w:r w:rsidR="00344727" w:rsidRPr="00C16B96">
          <w:rPr>
            <w:rStyle w:val="afd"/>
            <w:rFonts w:ascii="Times New Roman" w:hAnsi="Times New Roman"/>
            <w:noProof/>
          </w:rPr>
          <w:t>8.5</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涉嫌外汇违规账户查询信息的数据字典</w:t>
        </w:r>
        <w:r w:rsidR="00344727">
          <w:rPr>
            <w:noProof/>
            <w:webHidden/>
          </w:rPr>
          <w:tab/>
        </w:r>
        <w:r w:rsidR="00A53BD0">
          <w:rPr>
            <w:noProof/>
            <w:webHidden/>
          </w:rPr>
          <w:fldChar w:fldCharType="begin"/>
        </w:r>
        <w:r w:rsidR="00344727">
          <w:rPr>
            <w:noProof/>
            <w:webHidden/>
          </w:rPr>
          <w:instrText xml:space="preserve"> PAGEREF _Toc101684539 \h </w:instrText>
        </w:r>
        <w:r w:rsidR="00A53BD0">
          <w:rPr>
            <w:noProof/>
            <w:webHidden/>
          </w:rPr>
        </w:r>
        <w:r w:rsidR="00A53BD0">
          <w:rPr>
            <w:noProof/>
            <w:webHidden/>
          </w:rPr>
          <w:fldChar w:fldCharType="separate"/>
        </w:r>
        <w:r w:rsidR="00E54F87">
          <w:rPr>
            <w:noProof/>
            <w:webHidden/>
          </w:rPr>
          <w:t>425</w:t>
        </w:r>
        <w:r w:rsidR="00A53BD0">
          <w:rPr>
            <w:noProof/>
            <w:webHidden/>
          </w:rPr>
          <w:fldChar w:fldCharType="end"/>
        </w:r>
      </w:hyperlink>
    </w:p>
    <w:p w14:paraId="4C540264" w14:textId="77777777" w:rsidR="00344727" w:rsidRDefault="003C2B32">
      <w:pPr>
        <w:pStyle w:val="TOC1"/>
        <w:rPr>
          <w:rFonts w:asciiTheme="minorHAnsi" w:eastAsiaTheme="minorEastAsia" w:hAnsiTheme="minorHAnsi" w:cstheme="minorBidi"/>
          <w:noProof/>
          <w:kern w:val="2"/>
          <w:sz w:val="21"/>
          <w:szCs w:val="22"/>
        </w:rPr>
      </w:pPr>
      <w:hyperlink w:anchor="_Toc101684540" w:history="1">
        <w:r w:rsidR="00344727" w:rsidRPr="00C16B96">
          <w:rPr>
            <w:rStyle w:val="afd"/>
            <w:rFonts w:ascii="Times New Roman" w:hAnsi="Times New Roman" w:hint="eastAsia"/>
            <w:noProof/>
          </w:rPr>
          <w:t>第九章</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代码表</w:t>
        </w:r>
        <w:r w:rsidR="00344727">
          <w:rPr>
            <w:noProof/>
            <w:webHidden/>
          </w:rPr>
          <w:tab/>
        </w:r>
        <w:r w:rsidR="00A53BD0">
          <w:rPr>
            <w:noProof/>
            <w:webHidden/>
          </w:rPr>
          <w:fldChar w:fldCharType="begin"/>
        </w:r>
        <w:r w:rsidR="00344727">
          <w:rPr>
            <w:noProof/>
            <w:webHidden/>
          </w:rPr>
          <w:instrText xml:space="preserve"> PAGEREF _Toc101684540 \h </w:instrText>
        </w:r>
        <w:r w:rsidR="00A53BD0">
          <w:rPr>
            <w:noProof/>
            <w:webHidden/>
          </w:rPr>
        </w:r>
        <w:r w:rsidR="00A53BD0">
          <w:rPr>
            <w:noProof/>
            <w:webHidden/>
          </w:rPr>
          <w:fldChar w:fldCharType="separate"/>
        </w:r>
        <w:r w:rsidR="00E54F87">
          <w:rPr>
            <w:noProof/>
            <w:webHidden/>
          </w:rPr>
          <w:t>427</w:t>
        </w:r>
        <w:r w:rsidR="00A53BD0">
          <w:rPr>
            <w:noProof/>
            <w:webHidden/>
          </w:rPr>
          <w:fldChar w:fldCharType="end"/>
        </w:r>
      </w:hyperlink>
    </w:p>
    <w:p w14:paraId="4DEC9317" w14:textId="77777777" w:rsidR="00344727" w:rsidRDefault="003C2B32" w:rsidP="00344727">
      <w:pPr>
        <w:pStyle w:val="TOC2"/>
        <w:tabs>
          <w:tab w:val="right" w:leader="dot" w:pos="8296"/>
        </w:tabs>
        <w:ind w:firstLine="480"/>
        <w:rPr>
          <w:rFonts w:asciiTheme="minorHAnsi" w:eastAsiaTheme="minorEastAsia" w:hAnsiTheme="minorHAnsi" w:cstheme="minorBidi"/>
          <w:noProof/>
          <w:kern w:val="2"/>
          <w:sz w:val="21"/>
          <w:szCs w:val="22"/>
        </w:rPr>
      </w:pPr>
      <w:hyperlink w:anchor="_Toc101684541" w:history="1">
        <w:r w:rsidR="00344727" w:rsidRPr="00C16B96">
          <w:rPr>
            <w:rStyle w:val="afd"/>
            <w:rFonts w:ascii="Times New Roman" w:hAnsi="Times New Roman"/>
            <w:noProof/>
          </w:rPr>
          <w:t>9.1</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国家和地区代码表</w:t>
        </w:r>
        <w:r w:rsidR="00344727">
          <w:rPr>
            <w:noProof/>
            <w:webHidden/>
          </w:rPr>
          <w:tab/>
        </w:r>
        <w:r w:rsidR="00A53BD0">
          <w:rPr>
            <w:noProof/>
            <w:webHidden/>
          </w:rPr>
          <w:fldChar w:fldCharType="begin"/>
        </w:r>
        <w:r w:rsidR="00344727">
          <w:rPr>
            <w:noProof/>
            <w:webHidden/>
          </w:rPr>
          <w:instrText xml:space="preserve"> PAGEREF _Toc101684541 \h </w:instrText>
        </w:r>
        <w:r w:rsidR="00A53BD0">
          <w:rPr>
            <w:noProof/>
            <w:webHidden/>
          </w:rPr>
        </w:r>
        <w:r w:rsidR="00A53BD0">
          <w:rPr>
            <w:noProof/>
            <w:webHidden/>
          </w:rPr>
          <w:fldChar w:fldCharType="separate"/>
        </w:r>
        <w:r w:rsidR="00E54F87">
          <w:rPr>
            <w:noProof/>
            <w:webHidden/>
          </w:rPr>
          <w:t>427</w:t>
        </w:r>
        <w:r w:rsidR="00A53BD0">
          <w:rPr>
            <w:noProof/>
            <w:webHidden/>
          </w:rPr>
          <w:fldChar w:fldCharType="end"/>
        </w:r>
      </w:hyperlink>
    </w:p>
    <w:p w14:paraId="07D3AE41" w14:textId="77777777" w:rsidR="00344727" w:rsidRDefault="003C2B32" w:rsidP="00344727">
      <w:pPr>
        <w:pStyle w:val="TOC2"/>
        <w:tabs>
          <w:tab w:val="right" w:leader="dot" w:pos="8296"/>
        </w:tabs>
        <w:ind w:firstLine="480"/>
        <w:rPr>
          <w:rFonts w:asciiTheme="minorHAnsi" w:eastAsiaTheme="minorEastAsia" w:hAnsiTheme="minorHAnsi" w:cstheme="minorBidi"/>
          <w:noProof/>
          <w:kern w:val="2"/>
          <w:sz w:val="21"/>
          <w:szCs w:val="22"/>
        </w:rPr>
      </w:pPr>
      <w:hyperlink w:anchor="_Toc101684542" w:history="1">
        <w:r w:rsidR="00344727" w:rsidRPr="00C16B96">
          <w:rPr>
            <w:rStyle w:val="afd"/>
            <w:rFonts w:ascii="Times New Roman" w:hAnsi="Times New Roman"/>
            <w:noProof/>
          </w:rPr>
          <w:t>9.2</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币种代码表</w:t>
        </w:r>
        <w:r w:rsidR="00344727">
          <w:rPr>
            <w:noProof/>
            <w:webHidden/>
          </w:rPr>
          <w:tab/>
        </w:r>
        <w:r w:rsidR="00A53BD0">
          <w:rPr>
            <w:noProof/>
            <w:webHidden/>
          </w:rPr>
          <w:fldChar w:fldCharType="begin"/>
        </w:r>
        <w:r w:rsidR="00344727">
          <w:rPr>
            <w:noProof/>
            <w:webHidden/>
          </w:rPr>
          <w:instrText xml:space="preserve"> PAGEREF _Toc101684542 \h </w:instrText>
        </w:r>
        <w:r w:rsidR="00A53BD0">
          <w:rPr>
            <w:noProof/>
            <w:webHidden/>
          </w:rPr>
        </w:r>
        <w:r w:rsidR="00A53BD0">
          <w:rPr>
            <w:noProof/>
            <w:webHidden/>
          </w:rPr>
          <w:fldChar w:fldCharType="separate"/>
        </w:r>
        <w:r w:rsidR="00E54F87">
          <w:rPr>
            <w:noProof/>
            <w:webHidden/>
          </w:rPr>
          <w:t>427</w:t>
        </w:r>
        <w:r w:rsidR="00A53BD0">
          <w:rPr>
            <w:noProof/>
            <w:webHidden/>
          </w:rPr>
          <w:fldChar w:fldCharType="end"/>
        </w:r>
      </w:hyperlink>
    </w:p>
    <w:p w14:paraId="5ED09F5F" w14:textId="77777777" w:rsidR="00344727" w:rsidRDefault="003C2B32" w:rsidP="00344727">
      <w:pPr>
        <w:pStyle w:val="TOC2"/>
        <w:tabs>
          <w:tab w:val="right" w:leader="dot" w:pos="8296"/>
        </w:tabs>
        <w:ind w:firstLine="480"/>
        <w:rPr>
          <w:rFonts w:asciiTheme="minorHAnsi" w:eastAsiaTheme="minorEastAsia" w:hAnsiTheme="minorHAnsi" w:cstheme="minorBidi"/>
          <w:noProof/>
          <w:kern w:val="2"/>
          <w:sz w:val="21"/>
          <w:szCs w:val="22"/>
        </w:rPr>
      </w:pPr>
      <w:hyperlink w:anchor="_Toc101684543" w:history="1">
        <w:r w:rsidR="00344727" w:rsidRPr="00C16B96">
          <w:rPr>
            <w:rStyle w:val="afd"/>
            <w:rFonts w:ascii="Times New Roman" w:hAnsi="Times New Roman"/>
            <w:noProof/>
          </w:rPr>
          <w:t>9.3</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外汇局代码表</w:t>
        </w:r>
        <w:r w:rsidR="00344727">
          <w:rPr>
            <w:noProof/>
            <w:webHidden/>
          </w:rPr>
          <w:tab/>
        </w:r>
        <w:r w:rsidR="00A53BD0">
          <w:rPr>
            <w:noProof/>
            <w:webHidden/>
          </w:rPr>
          <w:fldChar w:fldCharType="begin"/>
        </w:r>
        <w:r w:rsidR="00344727">
          <w:rPr>
            <w:noProof/>
            <w:webHidden/>
          </w:rPr>
          <w:instrText xml:space="preserve"> PAGEREF _Toc101684543 \h </w:instrText>
        </w:r>
        <w:r w:rsidR="00A53BD0">
          <w:rPr>
            <w:noProof/>
            <w:webHidden/>
          </w:rPr>
        </w:r>
        <w:r w:rsidR="00A53BD0">
          <w:rPr>
            <w:noProof/>
            <w:webHidden/>
          </w:rPr>
          <w:fldChar w:fldCharType="separate"/>
        </w:r>
        <w:r w:rsidR="00E54F87">
          <w:rPr>
            <w:noProof/>
            <w:webHidden/>
          </w:rPr>
          <w:t>427</w:t>
        </w:r>
        <w:r w:rsidR="00A53BD0">
          <w:rPr>
            <w:noProof/>
            <w:webHidden/>
          </w:rPr>
          <w:fldChar w:fldCharType="end"/>
        </w:r>
      </w:hyperlink>
    </w:p>
    <w:p w14:paraId="047EDC5A" w14:textId="77777777" w:rsidR="00344727" w:rsidRDefault="003C2B32" w:rsidP="00344727">
      <w:pPr>
        <w:pStyle w:val="TOC2"/>
        <w:tabs>
          <w:tab w:val="right" w:leader="dot" w:pos="8296"/>
        </w:tabs>
        <w:ind w:firstLine="480"/>
        <w:rPr>
          <w:rFonts w:asciiTheme="minorHAnsi" w:eastAsiaTheme="minorEastAsia" w:hAnsiTheme="minorHAnsi" w:cstheme="minorBidi"/>
          <w:noProof/>
          <w:kern w:val="2"/>
          <w:sz w:val="21"/>
          <w:szCs w:val="22"/>
        </w:rPr>
      </w:pPr>
      <w:hyperlink w:anchor="_Toc101684544" w:history="1">
        <w:r w:rsidR="00344727" w:rsidRPr="00C16B96">
          <w:rPr>
            <w:rStyle w:val="afd"/>
            <w:rFonts w:ascii="Times New Roman" w:hAnsi="Times New Roman"/>
            <w:noProof/>
          </w:rPr>
          <w:t>9.4</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行业属性代码表</w:t>
        </w:r>
        <w:r w:rsidR="00344727">
          <w:rPr>
            <w:noProof/>
            <w:webHidden/>
          </w:rPr>
          <w:tab/>
        </w:r>
        <w:r w:rsidR="00A53BD0">
          <w:rPr>
            <w:noProof/>
            <w:webHidden/>
          </w:rPr>
          <w:fldChar w:fldCharType="begin"/>
        </w:r>
        <w:r w:rsidR="00344727">
          <w:rPr>
            <w:noProof/>
            <w:webHidden/>
          </w:rPr>
          <w:instrText xml:space="preserve"> PAGEREF _Toc101684544 \h </w:instrText>
        </w:r>
        <w:r w:rsidR="00A53BD0">
          <w:rPr>
            <w:noProof/>
            <w:webHidden/>
          </w:rPr>
        </w:r>
        <w:r w:rsidR="00A53BD0">
          <w:rPr>
            <w:noProof/>
            <w:webHidden/>
          </w:rPr>
          <w:fldChar w:fldCharType="separate"/>
        </w:r>
        <w:r w:rsidR="00E54F87">
          <w:rPr>
            <w:noProof/>
            <w:webHidden/>
          </w:rPr>
          <w:t>427</w:t>
        </w:r>
        <w:r w:rsidR="00A53BD0">
          <w:rPr>
            <w:noProof/>
            <w:webHidden/>
          </w:rPr>
          <w:fldChar w:fldCharType="end"/>
        </w:r>
      </w:hyperlink>
    </w:p>
    <w:p w14:paraId="11D81E32" w14:textId="77777777" w:rsidR="00344727" w:rsidRDefault="003C2B32" w:rsidP="00344727">
      <w:pPr>
        <w:pStyle w:val="TOC2"/>
        <w:tabs>
          <w:tab w:val="right" w:leader="dot" w:pos="8296"/>
        </w:tabs>
        <w:ind w:firstLine="480"/>
        <w:rPr>
          <w:rFonts w:asciiTheme="minorHAnsi" w:eastAsiaTheme="minorEastAsia" w:hAnsiTheme="minorHAnsi" w:cstheme="minorBidi"/>
          <w:noProof/>
          <w:kern w:val="2"/>
          <w:sz w:val="21"/>
          <w:szCs w:val="22"/>
        </w:rPr>
      </w:pPr>
      <w:hyperlink w:anchor="_Toc101684545" w:history="1">
        <w:r w:rsidR="00344727" w:rsidRPr="00C16B96">
          <w:rPr>
            <w:rStyle w:val="afd"/>
            <w:rFonts w:ascii="Times New Roman" w:hAnsi="Times New Roman"/>
            <w:noProof/>
          </w:rPr>
          <w:t>9.5</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经济类型代码表</w:t>
        </w:r>
        <w:r w:rsidR="00344727">
          <w:rPr>
            <w:noProof/>
            <w:webHidden/>
          </w:rPr>
          <w:tab/>
        </w:r>
        <w:r w:rsidR="00A53BD0">
          <w:rPr>
            <w:noProof/>
            <w:webHidden/>
          </w:rPr>
          <w:fldChar w:fldCharType="begin"/>
        </w:r>
        <w:r w:rsidR="00344727">
          <w:rPr>
            <w:noProof/>
            <w:webHidden/>
          </w:rPr>
          <w:instrText xml:space="preserve"> PAGEREF _Toc101684545 \h </w:instrText>
        </w:r>
        <w:r w:rsidR="00A53BD0">
          <w:rPr>
            <w:noProof/>
            <w:webHidden/>
          </w:rPr>
        </w:r>
        <w:r w:rsidR="00A53BD0">
          <w:rPr>
            <w:noProof/>
            <w:webHidden/>
          </w:rPr>
          <w:fldChar w:fldCharType="separate"/>
        </w:r>
        <w:r w:rsidR="00E54F87">
          <w:rPr>
            <w:noProof/>
            <w:webHidden/>
          </w:rPr>
          <w:t>427</w:t>
        </w:r>
        <w:r w:rsidR="00A53BD0">
          <w:rPr>
            <w:noProof/>
            <w:webHidden/>
          </w:rPr>
          <w:fldChar w:fldCharType="end"/>
        </w:r>
      </w:hyperlink>
    </w:p>
    <w:p w14:paraId="2B0B322B" w14:textId="77777777" w:rsidR="00344727" w:rsidRDefault="003C2B32" w:rsidP="00344727">
      <w:pPr>
        <w:pStyle w:val="TOC2"/>
        <w:tabs>
          <w:tab w:val="right" w:leader="dot" w:pos="8296"/>
        </w:tabs>
        <w:ind w:firstLine="480"/>
        <w:rPr>
          <w:rFonts w:asciiTheme="minorHAnsi" w:eastAsiaTheme="minorEastAsia" w:hAnsiTheme="minorHAnsi" w:cstheme="minorBidi"/>
          <w:noProof/>
          <w:kern w:val="2"/>
          <w:sz w:val="21"/>
          <w:szCs w:val="22"/>
        </w:rPr>
      </w:pPr>
      <w:hyperlink w:anchor="_Toc101684546" w:history="1">
        <w:r w:rsidR="00344727" w:rsidRPr="00C16B96">
          <w:rPr>
            <w:rStyle w:val="afd"/>
            <w:rFonts w:ascii="Times New Roman" w:hAnsi="Times New Roman"/>
            <w:noProof/>
          </w:rPr>
          <w:t>9.6</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中国大陆行政区划代码表</w:t>
        </w:r>
        <w:r w:rsidR="00344727">
          <w:rPr>
            <w:noProof/>
            <w:webHidden/>
          </w:rPr>
          <w:tab/>
        </w:r>
        <w:r w:rsidR="00A53BD0">
          <w:rPr>
            <w:noProof/>
            <w:webHidden/>
          </w:rPr>
          <w:fldChar w:fldCharType="begin"/>
        </w:r>
        <w:r w:rsidR="00344727">
          <w:rPr>
            <w:noProof/>
            <w:webHidden/>
          </w:rPr>
          <w:instrText xml:space="preserve"> PAGEREF _Toc101684546 \h </w:instrText>
        </w:r>
        <w:r w:rsidR="00A53BD0">
          <w:rPr>
            <w:noProof/>
            <w:webHidden/>
          </w:rPr>
        </w:r>
        <w:r w:rsidR="00A53BD0">
          <w:rPr>
            <w:noProof/>
            <w:webHidden/>
          </w:rPr>
          <w:fldChar w:fldCharType="separate"/>
        </w:r>
        <w:r w:rsidR="00E54F87">
          <w:rPr>
            <w:noProof/>
            <w:webHidden/>
          </w:rPr>
          <w:t>427</w:t>
        </w:r>
        <w:r w:rsidR="00A53BD0">
          <w:rPr>
            <w:noProof/>
            <w:webHidden/>
          </w:rPr>
          <w:fldChar w:fldCharType="end"/>
        </w:r>
      </w:hyperlink>
    </w:p>
    <w:p w14:paraId="67905277" w14:textId="77777777" w:rsidR="00344727" w:rsidRDefault="003C2B32" w:rsidP="00344727">
      <w:pPr>
        <w:pStyle w:val="TOC2"/>
        <w:tabs>
          <w:tab w:val="right" w:leader="dot" w:pos="8296"/>
        </w:tabs>
        <w:ind w:firstLine="480"/>
        <w:rPr>
          <w:rFonts w:asciiTheme="minorHAnsi" w:eastAsiaTheme="minorEastAsia" w:hAnsiTheme="minorHAnsi" w:cstheme="minorBidi"/>
          <w:noProof/>
          <w:kern w:val="2"/>
          <w:sz w:val="21"/>
          <w:szCs w:val="22"/>
        </w:rPr>
      </w:pPr>
      <w:hyperlink w:anchor="_Toc101684547" w:history="1">
        <w:r w:rsidR="00344727" w:rsidRPr="00C16B96">
          <w:rPr>
            <w:rStyle w:val="afd"/>
            <w:rFonts w:ascii="Times New Roman" w:hAnsi="Times New Roman"/>
            <w:noProof/>
          </w:rPr>
          <w:t>9.7</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交易编码表</w:t>
        </w:r>
        <w:r w:rsidR="00344727">
          <w:rPr>
            <w:noProof/>
            <w:webHidden/>
          </w:rPr>
          <w:tab/>
        </w:r>
        <w:r w:rsidR="00A53BD0">
          <w:rPr>
            <w:noProof/>
            <w:webHidden/>
          </w:rPr>
          <w:fldChar w:fldCharType="begin"/>
        </w:r>
        <w:r w:rsidR="00344727">
          <w:rPr>
            <w:noProof/>
            <w:webHidden/>
          </w:rPr>
          <w:instrText xml:space="preserve"> PAGEREF _Toc101684547 \h </w:instrText>
        </w:r>
        <w:r w:rsidR="00A53BD0">
          <w:rPr>
            <w:noProof/>
            <w:webHidden/>
          </w:rPr>
        </w:r>
        <w:r w:rsidR="00A53BD0">
          <w:rPr>
            <w:noProof/>
            <w:webHidden/>
          </w:rPr>
          <w:fldChar w:fldCharType="separate"/>
        </w:r>
        <w:r w:rsidR="00E54F87">
          <w:rPr>
            <w:noProof/>
            <w:webHidden/>
          </w:rPr>
          <w:t>427</w:t>
        </w:r>
        <w:r w:rsidR="00A53BD0">
          <w:rPr>
            <w:noProof/>
            <w:webHidden/>
          </w:rPr>
          <w:fldChar w:fldCharType="end"/>
        </w:r>
      </w:hyperlink>
    </w:p>
    <w:p w14:paraId="26B89DF0" w14:textId="77777777" w:rsidR="00344727" w:rsidRDefault="003C2B32" w:rsidP="00344727">
      <w:pPr>
        <w:pStyle w:val="TOC2"/>
        <w:tabs>
          <w:tab w:val="right" w:leader="dot" w:pos="8296"/>
        </w:tabs>
        <w:ind w:firstLine="480"/>
        <w:rPr>
          <w:rFonts w:asciiTheme="minorHAnsi" w:eastAsiaTheme="minorEastAsia" w:hAnsiTheme="minorHAnsi" w:cstheme="minorBidi"/>
          <w:noProof/>
          <w:kern w:val="2"/>
          <w:sz w:val="21"/>
          <w:szCs w:val="22"/>
        </w:rPr>
      </w:pPr>
      <w:hyperlink w:anchor="_Toc101684548" w:history="1">
        <w:r w:rsidR="00344727" w:rsidRPr="00C16B96">
          <w:rPr>
            <w:rStyle w:val="afd"/>
            <w:rFonts w:ascii="Times New Roman" w:hAnsi="Times New Roman"/>
            <w:noProof/>
          </w:rPr>
          <w:t>9.8</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金融业代码表</w:t>
        </w:r>
        <w:r w:rsidR="00344727">
          <w:rPr>
            <w:noProof/>
            <w:webHidden/>
          </w:rPr>
          <w:tab/>
        </w:r>
        <w:r w:rsidR="00A53BD0">
          <w:rPr>
            <w:noProof/>
            <w:webHidden/>
          </w:rPr>
          <w:fldChar w:fldCharType="begin"/>
        </w:r>
        <w:r w:rsidR="00344727">
          <w:rPr>
            <w:noProof/>
            <w:webHidden/>
          </w:rPr>
          <w:instrText xml:space="preserve"> PAGEREF _Toc101684548 \h </w:instrText>
        </w:r>
        <w:r w:rsidR="00A53BD0">
          <w:rPr>
            <w:noProof/>
            <w:webHidden/>
          </w:rPr>
        </w:r>
        <w:r w:rsidR="00A53BD0">
          <w:rPr>
            <w:noProof/>
            <w:webHidden/>
          </w:rPr>
          <w:fldChar w:fldCharType="separate"/>
        </w:r>
        <w:r w:rsidR="00E54F87">
          <w:rPr>
            <w:noProof/>
            <w:webHidden/>
          </w:rPr>
          <w:t>427</w:t>
        </w:r>
        <w:r w:rsidR="00A53BD0">
          <w:rPr>
            <w:noProof/>
            <w:webHidden/>
          </w:rPr>
          <w:fldChar w:fldCharType="end"/>
        </w:r>
      </w:hyperlink>
    </w:p>
    <w:p w14:paraId="138FB996" w14:textId="77777777" w:rsidR="00344727" w:rsidRDefault="003C2B32" w:rsidP="00344727">
      <w:pPr>
        <w:pStyle w:val="TOC2"/>
        <w:tabs>
          <w:tab w:val="right" w:leader="dot" w:pos="8296"/>
        </w:tabs>
        <w:ind w:firstLine="480"/>
        <w:rPr>
          <w:rFonts w:asciiTheme="minorHAnsi" w:eastAsiaTheme="minorEastAsia" w:hAnsiTheme="minorHAnsi" w:cstheme="minorBidi"/>
          <w:noProof/>
          <w:kern w:val="2"/>
          <w:sz w:val="21"/>
          <w:szCs w:val="22"/>
        </w:rPr>
      </w:pPr>
      <w:hyperlink w:anchor="_Toc101684549" w:history="1">
        <w:r w:rsidR="00344727" w:rsidRPr="00C16B96">
          <w:rPr>
            <w:rStyle w:val="afd"/>
            <w:rFonts w:ascii="Times New Roman" w:hAnsi="Times New Roman"/>
            <w:noProof/>
          </w:rPr>
          <w:t>9.9</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账户限额类型</w:t>
        </w:r>
        <w:r w:rsidR="00344727">
          <w:rPr>
            <w:noProof/>
            <w:webHidden/>
          </w:rPr>
          <w:tab/>
        </w:r>
        <w:r w:rsidR="00A53BD0">
          <w:rPr>
            <w:noProof/>
            <w:webHidden/>
          </w:rPr>
          <w:fldChar w:fldCharType="begin"/>
        </w:r>
        <w:r w:rsidR="00344727">
          <w:rPr>
            <w:noProof/>
            <w:webHidden/>
          </w:rPr>
          <w:instrText xml:space="preserve"> PAGEREF _Toc101684549 \h </w:instrText>
        </w:r>
        <w:r w:rsidR="00A53BD0">
          <w:rPr>
            <w:noProof/>
            <w:webHidden/>
          </w:rPr>
        </w:r>
        <w:r w:rsidR="00A53BD0">
          <w:rPr>
            <w:noProof/>
            <w:webHidden/>
          </w:rPr>
          <w:fldChar w:fldCharType="separate"/>
        </w:r>
        <w:r w:rsidR="00E54F87">
          <w:rPr>
            <w:noProof/>
            <w:webHidden/>
          </w:rPr>
          <w:t>430</w:t>
        </w:r>
        <w:r w:rsidR="00A53BD0">
          <w:rPr>
            <w:noProof/>
            <w:webHidden/>
          </w:rPr>
          <w:fldChar w:fldCharType="end"/>
        </w:r>
      </w:hyperlink>
    </w:p>
    <w:p w14:paraId="0BCF6837" w14:textId="77777777" w:rsidR="00344727" w:rsidRDefault="003C2B32" w:rsidP="00344727">
      <w:pPr>
        <w:pStyle w:val="TOC2"/>
        <w:tabs>
          <w:tab w:val="right" w:leader="dot" w:pos="8296"/>
        </w:tabs>
        <w:ind w:firstLine="480"/>
        <w:rPr>
          <w:rFonts w:asciiTheme="minorHAnsi" w:eastAsiaTheme="minorEastAsia" w:hAnsiTheme="minorHAnsi" w:cstheme="minorBidi"/>
          <w:noProof/>
          <w:kern w:val="2"/>
          <w:sz w:val="21"/>
          <w:szCs w:val="22"/>
        </w:rPr>
      </w:pPr>
      <w:hyperlink w:anchor="_Toc101684550" w:history="1">
        <w:r w:rsidR="00344727" w:rsidRPr="00C16B96">
          <w:rPr>
            <w:rStyle w:val="afd"/>
            <w:rFonts w:ascii="Times New Roman" w:hAnsi="Times New Roman"/>
            <w:noProof/>
          </w:rPr>
          <w:t>9.10</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开户主体类型</w:t>
        </w:r>
        <w:r w:rsidR="00344727">
          <w:rPr>
            <w:noProof/>
            <w:webHidden/>
          </w:rPr>
          <w:tab/>
        </w:r>
        <w:r w:rsidR="00A53BD0">
          <w:rPr>
            <w:noProof/>
            <w:webHidden/>
          </w:rPr>
          <w:fldChar w:fldCharType="begin"/>
        </w:r>
        <w:r w:rsidR="00344727">
          <w:rPr>
            <w:noProof/>
            <w:webHidden/>
          </w:rPr>
          <w:instrText xml:space="preserve"> PAGEREF _Toc101684550 \h </w:instrText>
        </w:r>
        <w:r w:rsidR="00A53BD0">
          <w:rPr>
            <w:noProof/>
            <w:webHidden/>
          </w:rPr>
        </w:r>
        <w:r w:rsidR="00A53BD0">
          <w:rPr>
            <w:noProof/>
            <w:webHidden/>
          </w:rPr>
          <w:fldChar w:fldCharType="separate"/>
        </w:r>
        <w:r w:rsidR="00E54F87">
          <w:rPr>
            <w:noProof/>
            <w:webHidden/>
          </w:rPr>
          <w:t>430</w:t>
        </w:r>
        <w:r w:rsidR="00A53BD0">
          <w:rPr>
            <w:noProof/>
            <w:webHidden/>
          </w:rPr>
          <w:fldChar w:fldCharType="end"/>
        </w:r>
      </w:hyperlink>
    </w:p>
    <w:p w14:paraId="2EDDCCB7" w14:textId="77777777" w:rsidR="00344727" w:rsidRDefault="003C2B32" w:rsidP="00344727">
      <w:pPr>
        <w:pStyle w:val="TOC2"/>
        <w:tabs>
          <w:tab w:val="right" w:leader="dot" w:pos="8296"/>
        </w:tabs>
        <w:ind w:firstLine="480"/>
        <w:rPr>
          <w:rFonts w:asciiTheme="minorHAnsi" w:eastAsiaTheme="minorEastAsia" w:hAnsiTheme="minorHAnsi" w:cstheme="minorBidi"/>
          <w:noProof/>
          <w:kern w:val="2"/>
          <w:sz w:val="21"/>
          <w:szCs w:val="22"/>
        </w:rPr>
      </w:pPr>
      <w:hyperlink w:anchor="_Toc101684551" w:history="1">
        <w:r w:rsidR="00344727" w:rsidRPr="00C16B96">
          <w:rPr>
            <w:rStyle w:val="afd"/>
            <w:rFonts w:ascii="Times New Roman" w:hAnsi="Times New Roman"/>
            <w:noProof/>
          </w:rPr>
          <w:t>9.11</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结汇用途代码表</w:t>
        </w:r>
        <w:r w:rsidR="00344727">
          <w:rPr>
            <w:noProof/>
            <w:webHidden/>
          </w:rPr>
          <w:tab/>
        </w:r>
        <w:r w:rsidR="00A53BD0">
          <w:rPr>
            <w:noProof/>
            <w:webHidden/>
          </w:rPr>
          <w:fldChar w:fldCharType="begin"/>
        </w:r>
        <w:r w:rsidR="00344727">
          <w:rPr>
            <w:noProof/>
            <w:webHidden/>
          </w:rPr>
          <w:instrText xml:space="preserve"> PAGEREF _Toc101684551 \h </w:instrText>
        </w:r>
        <w:r w:rsidR="00A53BD0">
          <w:rPr>
            <w:noProof/>
            <w:webHidden/>
          </w:rPr>
        </w:r>
        <w:r w:rsidR="00A53BD0">
          <w:rPr>
            <w:noProof/>
            <w:webHidden/>
          </w:rPr>
          <w:fldChar w:fldCharType="separate"/>
        </w:r>
        <w:r w:rsidR="00E54F87">
          <w:rPr>
            <w:noProof/>
            <w:webHidden/>
          </w:rPr>
          <w:t>430</w:t>
        </w:r>
        <w:r w:rsidR="00A53BD0">
          <w:rPr>
            <w:noProof/>
            <w:webHidden/>
          </w:rPr>
          <w:fldChar w:fldCharType="end"/>
        </w:r>
      </w:hyperlink>
    </w:p>
    <w:p w14:paraId="0E034DF1" w14:textId="77777777" w:rsidR="00344727" w:rsidRDefault="003C2B32" w:rsidP="00344727">
      <w:pPr>
        <w:pStyle w:val="TOC2"/>
        <w:tabs>
          <w:tab w:val="right" w:leader="dot" w:pos="8296"/>
        </w:tabs>
        <w:ind w:firstLine="480"/>
        <w:rPr>
          <w:rFonts w:asciiTheme="minorHAnsi" w:eastAsiaTheme="minorEastAsia" w:hAnsiTheme="minorHAnsi" w:cstheme="minorBidi"/>
          <w:noProof/>
          <w:kern w:val="2"/>
          <w:sz w:val="21"/>
          <w:szCs w:val="22"/>
        </w:rPr>
      </w:pPr>
      <w:hyperlink w:anchor="_Toc101684552" w:history="1">
        <w:r w:rsidR="00344727" w:rsidRPr="00C16B96">
          <w:rPr>
            <w:rStyle w:val="afd"/>
            <w:rFonts w:ascii="Times New Roman" w:hAnsi="Times New Roman"/>
            <w:noProof/>
          </w:rPr>
          <w:t>9.12</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账户状态</w:t>
        </w:r>
        <w:r w:rsidR="00344727">
          <w:rPr>
            <w:noProof/>
            <w:webHidden/>
          </w:rPr>
          <w:tab/>
        </w:r>
        <w:r w:rsidR="00A53BD0">
          <w:rPr>
            <w:noProof/>
            <w:webHidden/>
          </w:rPr>
          <w:fldChar w:fldCharType="begin"/>
        </w:r>
        <w:r w:rsidR="00344727">
          <w:rPr>
            <w:noProof/>
            <w:webHidden/>
          </w:rPr>
          <w:instrText xml:space="preserve"> PAGEREF _Toc101684552 \h </w:instrText>
        </w:r>
        <w:r w:rsidR="00A53BD0">
          <w:rPr>
            <w:noProof/>
            <w:webHidden/>
          </w:rPr>
        </w:r>
        <w:r w:rsidR="00A53BD0">
          <w:rPr>
            <w:noProof/>
            <w:webHidden/>
          </w:rPr>
          <w:fldChar w:fldCharType="separate"/>
        </w:r>
        <w:r w:rsidR="00E54F87">
          <w:rPr>
            <w:noProof/>
            <w:webHidden/>
          </w:rPr>
          <w:t>431</w:t>
        </w:r>
        <w:r w:rsidR="00A53BD0">
          <w:rPr>
            <w:noProof/>
            <w:webHidden/>
          </w:rPr>
          <w:fldChar w:fldCharType="end"/>
        </w:r>
      </w:hyperlink>
    </w:p>
    <w:p w14:paraId="2FD1D8A4" w14:textId="77777777" w:rsidR="00344727" w:rsidRDefault="003C2B32" w:rsidP="00344727">
      <w:pPr>
        <w:pStyle w:val="TOC2"/>
        <w:tabs>
          <w:tab w:val="right" w:leader="dot" w:pos="8296"/>
        </w:tabs>
        <w:ind w:firstLine="480"/>
        <w:rPr>
          <w:rFonts w:asciiTheme="minorHAnsi" w:eastAsiaTheme="minorEastAsia" w:hAnsiTheme="minorHAnsi" w:cstheme="minorBidi"/>
          <w:noProof/>
          <w:kern w:val="2"/>
          <w:sz w:val="21"/>
          <w:szCs w:val="22"/>
        </w:rPr>
      </w:pPr>
      <w:hyperlink w:anchor="_Toc101684553" w:history="1">
        <w:r w:rsidR="00344727" w:rsidRPr="00C16B96">
          <w:rPr>
            <w:rStyle w:val="afd"/>
            <w:rFonts w:ascii="Times New Roman" w:hAnsi="Times New Roman"/>
            <w:noProof/>
          </w:rPr>
          <w:t>9.13</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账户性质</w:t>
        </w:r>
        <w:r w:rsidR="00344727">
          <w:rPr>
            <w:noProof/>
            <w:webHidden/>
          </w:rPr>
          <w:tab/>
        </w:r>
        <w:r w:rsidR="00A53BD0">
          <w:rPr>
            <w:noProof/>
            <w:webHidden/>
          </w:rPr>
          <w:fldChar w:fldCharType="begin"/>
        </w:r>
        <w:r w:rsidR="00344727">
          <w:rPr>
            <w:noProof/>
            <w:webHidden/>
          </w:rPr>
          <w:instrText xml:space="preserve"> PAGEREF _Toc101684553 \h </w:instrText>
        </w:r>
        <w:r w:rsidR="00A53BD0">
          <w:rPr>
            <w:noProof/>
            <w:webHidden/>
          </w:rPr>
        </w:r>
        <w:r w:rsidR="00A53BD0">
          <w:rPr>
            <w:noProof/>
            <w:webHidden/>
          </w:rPr>
          <w:fldChar w:fldCharType="separate"/>
        </w:r>
        <w:r w:rsidR="00E54F87">
          <w:rPr>
            <w:noProof/>
            <w:webHidden/>
          </w:rPr>
          <w:t>431</w:t>
        </w:r>
        <w:r w:rsidR="00A53BD0">
          <w:rPr>
            <w:noProof/>
            <w:webHidden/>
          </w:rPr>
          <w:fldChar w:fldCharType="end"/>
        </w:r>
      </w:hyperlink>
    </w:p>
    <w:p w14:paraId="2070C700" w14:textId="77777777" w:rsidR="00344727" w:rsidRDefault="003C2B32" w:rsidP="00344727">
      <w:pPr>
        <w:pStyle w:val="TOC2"/>
        <w:tabs>
          <w:tab w:val="right" w:leader="dot" w:pos="8296"/>
        </w:tabs>
        <w:ind w:firstLine="480"/>
        <w:rPr>
          <w:rFonts w:asciiTheme="minorHAnsi" w:eastAsiaTheme="minorEastAsia" w:hAnsiTheme="minorHAnsi" w:cstheme="minorBidi"/>
          <w:noProof/>
          <w:kern w:val="2"/>
          <w:sz w:val="21"/>
          <w:szCs w:val="22"/>
        </w:rPr>
      </w:pPr>
      <w:hyperlink w:anchor="_Toc101684554" w:history="1">
        <w:r w:rsidR="00344727" w:rsidRPr="00C16B96">
          <w:rPr>
            <w:rStyle w:val="afd"/>
            <w:rFonts w:ascii="Times New Roman" w:hAnsi="Times New Roman"/>
            <w:noProof/>
          </w:rPr>
          <w:t>9.14</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账户类别</w:t>
        </w:r>
        <w:r w:rsidR="00344727">
          <w:rPr>
            <w:noProof/>
            <w:webHidden/>
          </w:rPr>
          <w:tab/>
        </w:r>
        <w:r w:rsidR="00A53BD0">
          <w:rPr>
            <w:noProof/>
            <w:webHidden/>
          </w:rPr>
          <w:fldChar w:fldCharType="begin"/>
        </w:r>
        <w:r w:rsidR="00344727">
          <w:rPr>
            <w:noProof/>
            <w:webHidden/>
          </w:rPr>
          <w:instrText xml:space="preserve"> PAGEREF _Toc101684554 \h </w:instrText>
        </w:r>
        <w:r w:rsidR="00A53BD0">
          <w:rPr>
            <w:noProof/>
            <w:webHidden/>
          </w:rPr>
        </w:r>
        <w:r w:rsidR="00A53BD0">
          <w:rPr>
            <w:noProof/>
            <w:webHidden/>
          </w:rPr>
          <w:fldChar w:fldCharType="separate"/>
        </w:r>
        <w:r w:rsidR="00E54F87">
          <w:rPr>
            <w:noProof/>
            <w:webHidden/>
          </w:rPr>
          <w:t>432</w:t>
        </w:r>
        <w:r w:rsidR="00A53BD0">
          <w:rPr>
            <w:noProof/>
            <w:webHidden/>
          </w:rPr>
          <w:fldChar w:fldCharType="end"/>
        </w:r>
      </w:hyperlink>
    </w:p>
    <w:p w14:paraId="218F000D" w14:textId="77777777" w:rsidR="00344727" w:rsidRDefault="003C2B32" w:rsidP="00344727">
      <w:pPr>
        <w:pStyle w:val="TOC2"/>
        <w:tabs>
          <w:tab w:val="right" w:leader="dot" w:pos="8296"/>
        </w:tabs>
        <w:ind w:firstLine="480"/>
        <w:rPr>
          <w:rFonts w:asciiTheme="minorHAnsi" w:eastAsiaTheme="minorEastAsia" w:hAnsiTheme="minorHAnsi" w:cstheme="minorBidi"/>
          <w:noProof/>
          <w:kern w:val="2"/>
          <w:sz w:val="21"/>
          <w:szCs w:val="22"/>
        </w:rPr>
      </w:pPr>
      <w:hyperlink w:anchor="_Toc101684555" w:history="1">
        <w:r w:rsidR="00344727" w:rsidRPr="00C16B96">
          <w:rPr>
            <w:rStyle w:val="afd"/>
            <w:rFonts w:ascii="Times New Roman" w:hAnsi="Times New Roman"/>
            <w:noProof/>
          </w:rPr>
          <w:t>9.15</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银行自身资本项目业务类型代码表</w:t>
        </w:r>
        <w:r w:rsidR="00344727">
          <w:rPr>
            <w:noProof/>
            <w:webHidden/>
          </w:rPr>
          <w:tab/>
        </w:r>
        <w:r w:rsidR="00A53BD0">
          <w:rPr>
            <w:noProof/>
            <w:webHidden/>
          </w:rPr>
          <w:fldChar w:fldCharType="begin"/>
        </w:r>
        <w:r w:rsidR="00344727">
          <w:rPr>
            <w:noProof/>
            <w:webHidden/>
          </w:rPr>
          <w:instrText xml:space="preserve"> PAGEREF _Toc101684555 \h </w:instrText>
        </w:r>
        <w:r w:rsidR="00A53BD0">
          <w:rPr>
            <w:noProof/>
            <w:webHidden/>
          </w:rPr>
        </w:r>
        <w:r w:rsidR="00A53BD0">
          <w:rPr>
            <w:noProof/>
            <w:webHidden/>
          </w:rPr>
          <w:fldChar w:fldCharType="separate"/>
        </w:r>
        <w:r w:rsidR="00E54F87">
          <w:rPr>
            <w:noProof/>
            <w:webHidden/>
          </w:rPr>
          <w:t>432</w:t>
        </w:r>
        <w:r w:rsidR="00A53BD0">
          <w:rPr>
            <w:noProof/>
            <w:webHidden/>
          </w:rPr>
          <w:fldChar w:fldCharType="end"/>
        </w:r>
      </w:hyperlink>
    </w:p>
    <w:p w14:paraId="0601BD48" w14:textId="77777777" w:rsidR="00344727" w:rsidRDefault="003C2B32" w:rsidP="00344727">
      <w:pPr>
        <w:pStyle w:val="TOC2"/>
        <w:tabs>
          <w:tab w:val="right" w:leader="dot" w:pos="8296"/>
        </w:tabs>
        <w:ind w:firstLine="480"/>
        <w:rPr>
          <w:rFonts w:asciiTheme="minorHAnsi" w:eastAsiaTheme="minorEastAsia" w:hAnsiTheme="minorHAnsi" w:cstheme="minorBidi"/>
          <w:noProof/>
          <w:kern w:val="2"/>
          <w:sz w:val="21"/>
          <w:szCs w:val="22"/>
        </w:rPr>
      </w:pPr>
      <w:hyperlink w:anchor="_Toc101684556" w:history="1">
        <w:r w:rsidR="00344727" w:rsidRPr="00C16B96">
          <w:rPr>
            <w:rStyle w:val="afd"/>
            <w:rFonts w:ascii="Times New Roman" w:hAnsi="Times New Roman"/>
            <w:noProof/>
          </w:rPr>
          <w:t>9.16</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境内主体类型代码表</w:t>
        </w:r>
        <w:r w:rsidR="00344727">
          <w:rPr>
            <w:noProof/>
            <w:webHidden/>
          </w:rPr>
          <w:tab/>
        </w:r>
        <w:r w:rsidR="00A53BD0">
          <w:rPr>
            <w:noProof/>
            <w:webHidden/>
          </w:rPr>
          <w:fldChar w:fldCharType="begin"/>
        </w:r>
        <w:r w:rsidR="00344727">
          <w:rPr>
            <w:noProof/>
            <w:webHidden/>
          </w:rPr>
          <w:instrText xml:space="preserve"> PAGEREF _Toc101684556 \h </w:instrText>
        </w:r>
        <w:r w:rsidR="00A53BD0">
          <w:rPr>
            <w:noProof/>
            <w:webHidden/>
          </w:rPr>
        </w:r>
        <w:r w:rsidR="00A53BD0">
          <w:rPr>
            <w:noProof/>
            <w:webHidden/>
          </w:rPr>
          <w:fldChar w:fldCharType="separate"/>
        </w:r>
        <w:r w:rsidR="00E54F87">
          <w:rPr>
            <w:noProof/>
            <w:webHidden/>
          </w:rPr>
          <w:t>433</w:t>
        </w:r>
        <w:r w:rsidR="00A53BD0">
          <w:rPr>
            <w:noProof/>
            <w:webHidden/>
          </w:rPr>
          <w:fldChar w:fldCharType="end"/>
        </w:r>
      </w:hyperlink>
    </w:p>
    <w:p w14:paraId="0BC71C5F" w14:textId="77777777" w:rsidR="00344727" w:rsidRDefault="003C2B32" w:rsidP="00344727">
      <w:pPr>
        <w:pStyle w:val="TOC2"/>
        <w:tabs>
          <w:tab w:val="right" w:leader="dot" w:pos="8296"/>
        </w:tabs>
        <w:ind w:firstLine="480"/>
        <w:rPr>
          <w:rFonts w:asciiTheme="minorHAnsi" w:eastAsiaTheme="minorEastAsia" w:hAnsiTheme="minorHAnsi" w:cstheme="minorBidi"/>
          <w:noProof/>
          <w:kern w:val="2"/>
          <w:sz w:val="21"/>
          <w:szCs w:val="22"/>
        </w:rPr>
      </w:pPr>
      <w:hyperlink w:anchor="_Toc101684557" w:history="1">
        <w:r w:rsidR="00344727" w:rsidRPr="00C16B96">
          <w:rPr>
            <w:rStyle w:val="afd"/>
            <w:rFonts w:ascii="Times New Roman" w:hAnsi="Times New Roman"/>
            <w:noProof/>
          </w:rPr>
          <w:t>9.17</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境外主体类型代码表</w:t>
        </w:r>
        <w:r w:rsidR="00344727">
          <w:rPr>
            <w:noProof/>
            <w:webHidden/>
          </w:rPr>
          <w:tab/>
        </w:r>
        <w:r w:rsidR="00A53BD0">
          <w:rPr>
            <w:noProof/>
            <w:webHidden/>
          </w:rPr>
          <w:fldChar w:fldCharType="begin"/>
        </w:r>
        <w:r w:rsidR="00344727">
          <w:rPr>
            <w:noProof/>
            <w:webHidden/>
          </w:rPr>
          <w:instrText xml:space="preserve"> PAGEREF _Toc101684557 \h </w:instrText>
        </w:r>
        <w:r w:rsidR="00A53BD0">
          <w:rPr>
            <w:noProof/>
            <w:webHidden/>
          </w:rPr>
        </w:r>
        <w:r w:rsidR="00A53BD0">
          <w:rPr>
            <w:noProof/>
            <w:webHidden/>
          </w:rPr>
          <w:fldChar w:fldCharType="separate"/>
        </w:r>
        <w:r w:rsidR="00E54F87">
          <w:rPr>
            <w:noProof/>
            <w:webHidden/>
          </w:rPr>
          <w:t>434</w:t>
        </w:r>
        <w:r w:rsidR="00A53BD0">
          <w:rPr>
            <w:noProof/>
            <w:webHidden/>
          </w:rPr>
          <w:fldChar w:fldCharType="end"/>
        </w:r>
      </w:hyperlink>
    </w:p>
    <w:p w14:paraId="7098183D" w14:textId="77777777" w:rsidR="00344727" w:rsidRDefault="003C2B32" w:rsidP="00344727">
      <w:pPr>
        <w:pStyle w:val="TOC2"/>
        <w:tabs>
          <w:tab w:val="right" w:leader="dot" w:pos="8296"/>
        </w:tabs>
        <w:ind w:firstLine="480"/>
        <w:rPr>
          <w:rFonts w:asciiTheme="minorHAnsi" w:eastAsiaTheme="minorEastAsia" w:hAnsiTheme="minorHAnsi" w:cstheme="minorBidi"/>
          <w:noProof/>
          <w:kern w:val="2"/>
          <w:sz w:val="21"/>
          <w:szCs w:val="22"/>
        </w:rPr>
      </w:pPr>
      <w:hyperlink w:anchor="_Toc101684558" w:history="1">
        <w:r w:rsidR="00344727" w:rsidRPr="00C16B96">
          <w:rPr>
            <w:rStyle w:val="afd"/>
            <w:rFonts w:ascii="Times New Roman" w:hAnsi="Times New Roman"/>
            <w:noProof/>
          </w:rPr>
          <w:t>9.18</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特殊经济区类型代码表</w:t>
        </w:r>
        <w:r w:rsidR="00344727">
          <w:rPr>
            <w:noProof/>
            <w:webHidden/>
          </w:rPr>
          <w:tab/>
        </w:r>
        <w:r w:rsidR="00A53BD0">
          <w:rPr>
            <w:noProof/>
            <w:webHidden/>
          </w:rPr>
          <w:fldChar w:fldCharType="begin"/>
        </w:r>
        <w:r w:rsidR="00344727">
          <w:rPr>
            <w:noProof/>
            <w:webHidden/>
          </w:rPr>
          <w:instrText xml:space="preserve"> PAGEREF _Toc101684558 \h </w:instrText>
        </w:r>
        <w:r w:rsidR="00A53BD0">
          <w:rPr>
            <w:noProof/>
            <w:webHidden/>
          </w:rPr>
        </w:r>
        <w:r w:rsidR="00A53BD0">
          <w:rPr>
            <w:noProof/>
            <w:webHidden/>
          </w:rPr>
          <w:fldChar w:fldCharType="separate"/>
        </w:r>
        <w:r w:rsidR="00E54F87">
          <w:rPr>
            <w:noProof/>
            <w:webHidden/>
          </w:rPr>
          <w:t>434</w:t>
        </w:r>
        <w:r w:rsidR="00A53BD0">
          <w:rPr>
            <w:noProof/>
            <w:webHidden/>
          </w:rPr>
          <w:fldChar w:fldCharType="end"/>
        </w:r>
      </w:hyperlink>
    </w:p>
    <w:p w14:paraId="15E6D10D" w14:textId="77777777" w:rsidR="00344727" w:rsidRDefault="003C2B32" w:rsidP="00344727">
      <w:pPr>
        <w:pStyle w:val="TOC2"/>
        <w:tabs>
          <w:tab w:val="right" w:leader="dot" w:pos="8296"/>
        </w:tabs>
        <w:ind w:firstLine="480"/>
        <w:rPr>
          <w:rFonts w:asciiTheme="minorHAnsi" w:eastAsiaTheme="minorEastAsia" w:hAnsiTheme="minorHAnsi" w:cstheme="minorBidi"/>
          <w:noProof/>
          <w:kern w:val="2"/>
          <w:sz w:val="21"/>
          <w:szCs w:val="22"/>
        </w:rPr>
      </w:pPr>
      <w:hyperlink w:anchor="_Toc101684559" w:history="1">
        <w:r w:rsidR="00344727" w:rsidRPr="00C16B96">
          <w:rPr>
            <w:rStyle w:val="afd"/>
            <w:rFonts w:ascii="Times New Roman" w:hAnsi="Times New Roman"/>
            <w:noProof/>
          </w:rPr>
          <w:t>9.19</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机构类型</w:t>
        </w:r>
        <w:r w:rsidR="00344727">
          <w:rPr>
            <w:noProof/>
            <w:webHidden/>
          </w:rPr>
          <w:tab/>
        </w:r>
        <w:r w:rsidR="00A53BD0">
          <w:rPr>
            <w:noProof/>
            <w:webHidden/>
          </w:rPr>
          <w:fldChar w:fldCharType="begin"/>
        </w:r>
        <w:r w:rsidR="00344727">
          <w:rPr>
            <w:noProof/>
            <w:webHidden/>
          </w:rPr>
          <w:instrText xml:space="preserve"> PAGEREF _Toc101684559 \h </w:instrText>
        </w:r>
        <w:r w:rsidR="00A53BD0">
          <w:rPr>
            <w:noProof/>
            <w:webHidden/>
          </w:rPr>
        </w:r>
        <w:r w:rsidR="00A53BD0">
          <w:rPr>
            <w:noProof/>
            <w:webHidden/>
          </w:rPr>
          <w:fldChar w:fldCharType="separate"/>
        </w:r>
        <w:r w:rsidR="00E54F87">
          <w:rPr>
            <w:noProof/>
            <w:webHidden/>
          </w:rPr>
          <w:t>435</w:t>
        </w:r>
        <w:r w:rsidR="00A53BD0">
          <w:rPr>
            <w:noProof/>
            <w:webHidden/>
          </w:rPr>
          <w:fldChar w:fldCharType="end"/>
        </w:r>
      </w:hyperlink>
    </w:p>
    <w:p w14:paraId="52EEA0FC" w14:textId="77777777" w:rsidR="00344727" w:rsidRDefault="003C2B32" w:rsidP="00344727">
      <w:pPr>
        <w:pStyle w:val="TOC2"/>
        <w:tabs>
          <w:tab w:val="right" w:leader="dot" w:pos="8296"/>
        </w:tabs>
        <w:ind w:firstLine="480"/>
        <w:rPr>
          <w:rFonts w:asciiTheme="minorHAnsi" w:eastAsiaTheme="minorEastAsia" w:hAnsiTheme="minorHAnsi" w:cstheme="minorBidi"/>
          <w:noProof/>
          <w:kern w:val="2"/>
          <w:sz w:val="21"/>
          <w:szCs w:val="22"/>
        </w:rPr>
      </w:pPr>
      <w:hyperlink w:anchor="_Toc101684560" w:history="1">
        <w:r w:rsidR="00344727" w:rsidRPr="00C16B96">
          <w:rPr>
            <w:rStyle w:val="afd"/>
            <w:rFonts w:ascii="Times New Roman" w:hAnsi="Times New Roman"/>
            <w:noProof/>
          </w:rPr>
          <w:t>9.20</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外债业务代码表</w:t>
        </w:r>
        <w:r w:rsidR="00344727">
          <w:rPr>
            <w:noProof/>
            <w:webHidden/>
          </w:rPr>
          <w:tab/>
        </w:r>
        <w:r w:rsidR="00A53BD0">
          <w:rPr>
            <w:noProof/>
            <w:webHidden/>
          </w:rPr>
          <w:fldChar w:fldCharType="begin"/>
        </w:r>
        <w:r w:rsidR="00344727">
          <w:rPr>
            <w:noProof/>
            <w:webHidden/>
          </w:rPr>
          <w:instrText xml:space="preserve"> PAGEREF _Toc101684560 \h </w:instrText>
        </w:r>
        <w:r w:rsidR="00A53BD0">
          <w:rPr>
            <w:noProof/>
            <w:webHidden/>
          </w:rPr>
        </w:r>
        <w:r w:rsidR="00A53BD0">
          <w:rPr>
            <w:noProof/>
            <w:webHidden/>
          </w:rPr>
          <w:fldChar w:fldCharType="separate"/>
        </w:r>
        <w:r w:rsidR="00E54F87">
          <w:rPr>
            <w:noProof/>
            <w:webHidden/>
          </w:rPr>
          <w:t>435</w:t>
        </w:r>
        <w:r w:rsidR="00A53BD0">
          <w:rPr>
            <w:noProof/>
            <w:webHidden/>
          </w:rPr>
          <w:fldChar w:fldCharType="end"/>
        </w:r>
      </w:hyperlink>
    </w:p>
    <w:p w14:paraId="27A2C568"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561" w:history="1">
        <w:r w:rsidR="00344727" w:rsidRPr="00C16B96">
          <w:rPr>
            <w:rStyle w:val="afd"/>
            <w:rFonts w:ascii="Times New Roman" w:hAnsi="Times New Roman"/>
            <w:noProof/>
          </w:rPr>
          <w:t>9.20.1</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债务类型</w:t>
        </w:r>
        <w:r w:rsidR="00344727">
          <w:rPr>
            <w:noProof/>
            <w:webHidden/>
          </w:rPr>
          <w:tab/>
        </w:r>
        <w:r w:rsidR="00A53BD0">
          <w:rPr>
            <w:noProof/>
            <w:webHidden/>
          </w:rPr>
          <w:fldChar w:fldCharType="begin"/>
        </w:r>
        <w:r w:rsidR="00344727">
          <w:rPr>
            <w:noProof/>
            <w:webHidden/>
          </w:rPr>
          <w:instrText xml:space="preserve"> PAGEREF _Toc101684561 \h </w:instrText>
        </w:r>
        <w:r w:rsidR="00A53BD0">
          <w:rPr>
            <w:noProof/>
            <w:webHidden/>
          </w:rPr>
        </w:r>
        <w:r w:rsidR="00A53BD0">
          <w:rPr>
            <w:noProof/>
            <w:webHidden/>
          </w:rPr>
          <w:fldChar w:fldCharType="separate"/>
        </w:r>
        <w:r w:rsidR="00E54F87">
          <w:rPr>
            <w:noProof/>
            <w:webHidden/>
          </w:rPr>
          <w:t>435</w:t>
        </w:r>
        <w:r w:rsidR="00A53BD0">
          <w:rPr>
            <w:noProof/>
            <w:webHidden/>
          </w:rPr>
          <w:fldChar w:fldCharType="end"/>
        </w:r>
      </w:hyperlink>
    </w:p>
    <w:p w14:paraId="2A7BE2CD"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562" w:history="1">
        <w:r w:rsidR="00344727" w:rsidRPr="00C16B96">
          <w:rPr>
            <w:rStyle w:val="afd"/>
            <w:rFonts w:ascii="Times New Roman" w:hAnsi="Times New Roman"/>
            <w:noProof/>
          </w:rPr>
          <w:t>9.20.2</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部分债权人代码</w:t>
        </w:r>
        <w:r w:rsidR="00344727">
          <w:rPr>
            <w:noProof/>
            <w:webHidden/>
          </w:rPr>
          <w:tab/>
        </w:r>
        <w:r w:rsidR="00A53BD0">
          <w:rPr>
            <w:noProof/>
            <w:webHidden/>
          </w:rPr>
          <w:fldChar w:fldCharType="begin"/>
        </w:r>
        <w:r w:rsidR="00344727">
          <w:rPr>
            <w:noProof/>
            <w:webHidden/>
          </w:rPr>
          <w:instrText xml:space="preserve"> PAGEREF _Toc101684562 \h </w:instrText>
        </w:r>
        <w:r w:rsidR="00A53BD0">
          <w:rPr>
            <w:noProof/>
            <w:webHidden/>
          </w:rPr>
        </w:r>
        <w:r w:rsidR="00A53BD0">
          <w:rPr>
            <w:noProof/>
            <w:webHidden/>
          </w:rPr>
          <w:fldChar w:fldCharType="separate"/>
        </w:r>
        <w:r w:rsidR="00E54F87">
          <w:rPr>
            <w:noProof/>
            <w:webHidden/>
          </w:rPr>
          <w:t>436</w:t>
        </w:r>
        <w:r w:rsidR="00A53BD0">
          <w:rPr>
            <w:noProof/>
            <w:webHidden/>
          </w:rPr>
          <w:fldChar w:fldCharType="end"/>
        </w:r>
      </w:hyperlink>
    </w:p>
    <w:p w14:paraId="6DB898E7"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563" w:history="1">
        <w:r w:rsidR="00344727" w:rsidRPr="00C16B96">
          <w:rPr>
            <w:rStyle w:val="afd"/>
            <w:rFonts w:ascii="Times New Roman" w:hAnsi="Times New Roman"/>
            <w:noProof/>
          </w:rPr>
          <w:t>9.20.3</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变动类型</w:t>
        </w:r>
        <w:r w:rsidR="00344727">
          <w:rPr>
            <w:noProof/>
            <w:webHidden/>
          </w:rPr>
          <w:tab/>
        </w:r>
        <w:r w:rsidR="00A53BD0">
          <w:rPr>
            <w:noProof/>
            <w:webHidden/>
          </w:rPr>
          <w:fldChar w:fldCharType="begin"/>
        </w:r>
        <w:r w:rsidR="00344727">
          <w:rPr>
            <w:noProof/>
            <w:webHidden/>
          </w:rPr>
          <w:instrText xml:space="preserve"> PAGEREF _Toc101684563 \h </w:instrText>
        </w:r>
        <w:r w:rsidR="00A53BD0">
          <w:rPr>
            <w:noProof/>
            <w:webHidden/>
          </w:rPr>
        </w:r>
        <w:r w:rsidR="00A53BD0">
          <w:rPr>
            <w:noProof/>
            <w:webHidden/>
          </w:rPr>
          <w:fldChar w:fldCharType="separate"/>
        </w:r>
        <w:r w:rsidR="00E54F87">
          <w:rPr>
            <w:noProof/>
            <w:webHidden/>
          </w:rPr>
          <w:t>436</w:t>
        </w:r>
        <w:r w:rsidR="00A53BD0">
          <w:rPr>
            <w:noProof/>
            <w:webHidden/>
          </w:rPr>
          <w:fldChar w:fldCharType="end"/>
        </w:r>
      </w:hyperlink>
    </w:p>
    <w:p w14:paraId="5DCECC3A"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564" w:history="1">
        <w:r w:rsidR="00344727" w:rsidRPr="00C16B96">
          <w:rPr>
            <w:rStyle w:val="afd"/>
            <w:rFonts w:ascii="Times New Roman" w:hAnsi="Times New Roman"/>
            <w:noProof/>
          </w:rPr>
          <w:t>9.20.4</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非居民机构账户类型</w:t>
        </w:r>
        <w:r w:rsidR="00344727">
          <w:rPr>
            <w:noProof/>
            <w:webHidden/>
          </w:rPr>
          <w:tab/>
        </w:r>
        <w:r w:rsidR="00A53BD0">
          <w:rPr>
            <w:noProof/>
            <w:webHidden/>
          </w:rPr>
          <w:fldChar w:fldCharType="begin"/>
        </w:r>
        <w:r w:rsidR="00344727">
          <w:rPr>
            <w:noProof/>
            <w:webHidden/>
          </w:rPr>
          <w:instrText xml:space="preserve"> PAGEREF _Toc101684564 \h </w:instrText>
        </w:r>
        <w:r w:rsidR="00A53BD0">
          <w:rPr>
            <w:noProof/>
            <w:webHidden/>
          </w:rPr>
        </w:r>
        <w:r w:rsidR="00A53BD0">
          <w:rPr>
            <w:noProof/>
            <w:webHidden/>
          </w:rPr>
          <w:fldChar w:fldCharType="separate"/>
        </w:r>
        <w:r w:rsidR="00E54F87">
          <w:rPr>
            <w:noProof/>
            <w:webHidden/>
          </w:rPr>
          <w:t>437</w:t>
        </w:r>
        <w:r w:rsidR="00A53BD0">
          <w:rPr>
            <w:noProof/>
            <w:webHidden/>
          </w:rPr>
          <w:fldChar w:fldCharType="end"/>
        </w:r>
      </w:hyperlink>
    </w:p>
    <w:p w14:paraId="617DC614" w14:textId="77777777" w:rsidR="00344727" w:rsidRDefault="003C2B32" w:rsidP="00344727">
      <w:pPr>
        <w:pStyle w:val="TOC2"/>
        <w:tabs>
          <w:tab w:val="right" w:leader="dot" w:pos="8296"/>
        </w:tabs>
        <w:ind w:firstLine="480"/>
        <w:rPr>
          <w:rFonts w:asciiTheme="minorHAnsi" w:eastAsiaTheme="minorEastAsia" w:hAnsiTheme="minorHAnsi" w:cstheme="minorBidi"/>
          <w:noProof/>
          <w:kern w:val="2"/>
          <w:sz w:val="21"/>
          <w:szCs w:val="22"/>
        </w:rPr>
      </w:pPr>
      <w:hyperlink w:anchor="_Toc101684565" w:history="1">
        <w:r w:rsidR="00344727" w:rsidRPr="00C16B96">
          <w:rPr>
            <w:rStyle w:val="afd"/>
            <w:rFonts w:ascii="Times New Roman" w:hAnsi="Times New Roman"/>
            <w:noProof/>
          </w:rPr>
          <w:t>9.21</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担保业务代码表</w:t>
        </w:r>
        <w:r w:rsidR="00344727">
          <w:rPr>
            <w:noProof/>
            <w:webHidden/>
          </w:rPr>
          <w:tab/>
        </w:r>
        <w:r w:rsidR="00A53BD0">
          <w:rPr>
            <w:noProof/>
            <w:webHidden/>
          </w:rPr>
          <w:fldChar w:fldCharType="begin"/>
        </w:r>
        <w:r w:rsidR="00344727">
          <w:rPr>
            <w:noProof/>
            <w:webHidden/>
          </w:rPr>
          <w:instrText xml:space="preserve"> PAGEREF _Toc101684565 \h </w:instrText>
        </w:r>
        <w:r w:rsidR="00A53BD0">
          <w:rPr>
            <w:noProof/>
            <w:webHidden/>
          </w:rPr>
        </w:r>
        <w:r w:rsidR="00A53BD0">
          <w:rPr>
            <w:noProof/>
            <w:webHidden/>
          </w:rPr>
          <w:fldChar w:fldCharType="separate"/>
        </w:r>
        <w:r w:rsidR="00E54F87">
          <w:rPr>
            <w:noProof/>
            <w:webHidden/>
          </w:rPr>
          <w:t>437</w:t>
        </w:r>
        <w:r w:rsidR="00A53BD0">
          <w:rPr>
            <w:noProof/>
            <w:webHidden/>
          </w:rPr>
          <w:fldChar w:fldCharType="end"/>
        </w:r>
      </w:hyperlink>
    </w:p>
    <w:p w14:paraId="3124D485"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566" w:history="1">
        <w:r w:rsidR="00344727" w:rsidRPr="00C16B96">
          <w:rPr>
            <w:rStyle w:val="afd"/>
            <w:rFonts w:ascii="Times New Roman" w:hAnsi="Times New Roman"/>
            <w:noProof/>
          </w:rPr>
          <w:t>9.21.1</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担保类型</w:t>
        </w:r>
        <w:r w:rsidR="00344727">
          <w:rPr>
            <w:noProof/>
            <w:webHidden/>
          </w:rPr>
          <w:tab/>
        </w:r>
        <w:r w:rsidR="00A53BD0">
          <w:rPr>
            <w:noProof/>
            <w:webHidden/>
          </w:rPr>
          <w:fldChar w:fldCharType="begin"/>
        </w:r>
        <w:r w:rsidR="00344727">
          <w:rPr>
            <w:noProof/>
            <w:webHidden/>
          </w:rPr>
          <w:instrText xml:space="preserve"> PAGEREF _Toc101684566 \h </w:instrText>
        </w:r>
        <w:r w:rsidR="00A53BD0">
          <w:rPr>
            <w:noProof/>
            <w:webHidden/>
          </w:rPr>
        </w:r>
        <w:r w:rsidR="00A53BD0">
          <w:rPr>
            <w:noProof/>
            <w:webHidden/>
          </w:rPr>
          <w:fldChar w:fldCharType="separate"/>
        </w:r>
        <w:r w:rsidR="00E54F87">
          <w:rPr>
            <w:noProof/>
            <w:webHidden/>
          </w:rPr>
          <w:t>437</w:t>
        </w:r>
        <w:r w:rsidR="00A53BD0">
          <w:rPr>
            <w:noProof/>
            <w:webHidden/>
          </w:rPr>
          <w:fldChar w:fldCharType="end"/>
        </w:r>
      </w:hyperlink>
    </w:p>
    <w:p w14:paraId="6CF9B154"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567" w:history="1">
        <w:r w:rsidR="00344727" w:rsidRPr="00C16B96">
          <w:rPr>
            <w:rStyle w:val="afd"/>
            <w:rFonts w:ascii="Times New Roman" w:hAnsi="Times New Roman"/>
            <w:noProof/>
          </w:rPr>
          <w:t>9.21.2</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担保方式</w:t>
        </w:r>
        <w:r w:rsidR="00344727">
          <w:rPr>
            <w:noProof/>
            <w:webHidden/>
          </w:rPr>
          <w:tab/>
        </w:r>
        <w:r w:rsidR="00A53BD0">
          <w:rPr>
            <w:noProof/>
            <w:webHidden/>
          </w:rPr>
          <w:fldChar w:fldCharType="begin"/>
        </w:r>
        <w:r w:rsidR="00344727">
          <w:rPr>
            <w:noProof/>
            <w:webHidden/>
          </w:rPr>
          <w:instrText xml:space="preserve"> PAGEREF _Toc101684567 \h </w:instrText>
        </w:r>
        <w:r w:rsidR="00A53BD0">
          <w:rPr>
            <w:noProof/>
            <w:webHidden/>
          </w:rPr>
        </w:r>
        <w:r w:rsidR="00A53BD0">
          <w:rPr>
            <w:noProof/>
            <w:webHidden/>
          </w:rPr>
          <w:fldChar w:fldCharType="separate"/>
        </w:r>
        <w:r w:rsidR="00E54F87">
          <w:rPr>
            <w:noProof/>
            <w:webHidden/>
          </w:rPr>
          <w:t>438</w:t>
        </w:r>
        <w:r w:rsidR="00A53BD0">
          <w:rPr>
            <w:noProof/>
            <w:webHidden/>
          </w:rPr>
          <w:fldChar w:fldCharType="end"/>
        </w:r>
      </w:hyperlink>
    </w:p>
    <w:p w14:paraId="4214DA80"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568" w:history="1">
        <w:r w:rsidR="00344727" w:rsidRPr="00C16B96">
          <w:rPr>
            <w:rStyle w:val="afd"/>
            <w:rFonts w:ascii="Times New Roman" w:hAnsi="Times New Roman"/>
            <w:noProof/>
          </w:rPr>
          <w:t>9.21.3</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境外发债方式代码表</w:t>
        </w:r>
        <w:r w:rsidR="00344727">
          <w:rPr>
            <w:noProof/>
            <w:webHidden/>
          </w:rPr>
          <w:tab/>
        </w:r>
        <w:r w:rsidR="00A53BD0">
          <w:rPr>
            <w:noProof/>
            <w:webHidden/>
          </w:rPr>
          <w:fldChar w:fldCharType="begin"/>
        </w:r>
        <w:r w:rsidR="00344727">
          <w:rPr>
            <w:noProof/>
            <w:webHidden/>
          </w:rPr>
          <w:instrText xml:space="preserve"> PAGEREF _Toc101684568 \h </w:instrText>
        </w:r>
        <w:r w:rsidR="00A53BD0">
          <w:rPr>
            <w:noProof/>
            <w:webHidden/>
          </w:rPr>
        </w:r>
        <w:r w:rsidR="00A53BD0">
          <w:rPr>
            <w:noProof/>
            <w:webHidden/>
          </w:rPr>
          <w:fldChar w:fldCharType="separate"/>
        </w:r>
        <w:r w:rsidR="00E54F87">
          <w:rPr>
            <w:noProof/>
            <w:webHidden/>
          </w:rPr>
          <w:t>438</w:t>
        </w:r>
        <w:r w:rsidR="00A53BD0">
          <w:rPr>
            <w:noProof/>
            <w:webHidden/>
          </w:rPr>
          <w:fldChar w:fldCharType="end"/>
        </w:r>
      </w:hyperlink>
    </w:p>
    <w:p w14:paraId="350F4B6C"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569" w:history="1">
        <w:r w:rsidR="00344727" w:rsidRPr="00C16B96">
          <w:rPr>
            <w:rStyle w:val="afd"/>
            <w:rFonts w:ascii="Times New Roman" w:hAnsi="Times New Roman"/>
            <w:noProof/>
          </w:rPr>
          <w:t>9.21.4</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担保项下境外贷款资金用途代码表</w:t>
        </w:r>
        <w:r w:rsidR="00344727">
          <w:rPr>
            <w:noProof/>
            <w:webHidden/>
          </w:rPr>
          <w:tab/>
        </w:r>
        <w:r w:rsidR="00A53BD0">
          <w:rPr>
            <w:noProof/>
            <w:webHidden/>
          </w:rPr>
          <w:fldChar w:fldCharType="begin"/>
        </w:r>
        <w:r w:rsidR="00344727">
          <w:rPr>
            <w:noProof/>
            <w:webHidden/>
          </w:rPr>
          <w:instrText xml:space="preserve"> PAGEREF _Toc101684569 \h </w:instrText>
        </w:r>
        <w:r w:rsidR="00A53BD0">
          <w:rPr>
            <w:noProof/>
            <w:webHidden/>
          </w:rPr>
        </w:r>
        <w:r w:rsidR="00A53BD0">
          <w:rPr>
            <w:noProof/>
            <w:webHidden/>
          </w:rPr>
          <w:fldChar w:fldCharType="separate"/>
        </w:r>
        <w:r w:rsidR="00E54F87">
          <w:rPr>
            <w:noProof/>
            <w:webHidden/>
          </w:rPr>
          <w:t>438</w:t>
        </w:r>
        <w:r w:rsidR="00A53BD0">
          <w:rPr>
            <w:noProof/>
            <w:webHidden/>
          </w:rPr>
          <w:fldChar w:fldCharType="end"/>
        </w:r>
      </w:hyperlink>
    </w:p>
    <w:p w14:paraId="26CD4FCB"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570" w:history="1">
        <w:r w:rsidR="00344727" w:rsidRPr="00C16B96">
          <w:rPr>
            <w:rStyle w:val="afd"/>
            <w:rFonts w:ascii="Times New Roman" w:hAnsi="Times New Roman"/>
            <w:noProof/>
          </w:rPr>
          <w:t>9.21.5</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担保标的代码表</w:t>
        </w:r>
        <w:r w:rsidR="00344727">
          <w:rPr>
            <w:noProof/>
            <w:webHidden/>
          </w:rPr>
          <w:tab/>
        </w:r>
        <w:r w:rsidR="00A53BD0">
          <w:rPr>
            <w:noProof/>
            <w:webHidden/>
          </w:rPr>
          <w:fldChar w:fldCharType="begin"/>
        </w:r>
        <w:r w:rsidR="00344727">
          <w:rPr>
            <w:noProof/>
            <w:webHidden/>
          </w:rPr>
          <w:instrText xml:space="preserve"> PAGEREF _Toc101684570 \h </w:instrText>
        </w:r>
        <w:r w:rsidR="00A53BD0">
          <w:rPr>
            <w:noProof/>
            <w:webHidden/>
          </w:rPr>
        </w:r>
        <w:r w:rsidR="00A53BD0">
          <w:rPr>
            <w:noProof/>
            <w:webHidden/>
          </w:rPr>
          <w:fldChar w:fldCharType="separate"/>
        </w:r>
        <w:r w:rsidR="00E54F87">
          <w:rPr>
            <w:noProof/>
            <w:webHidden/>
          </w:rPr>
          <w:t>438</w:t>
        </w:r>
        <w:r w:rsidR="00A53BD0">
          <w:rPr>
            <w:noProof/>
            <w:webHidden/>
          </w:rPr>
          <w:fldChar w:fldCharType="end"/>
        </w:r>
      </w:hyperlink>
    </w:p>
    <w:p w14:paraId="2D7AE541" w14:textId="77777777" w:rsidR="00344727" w:rsidRDefault="003C2B32" w:rsidP="00344727">
      <w:pPr>
        <w:pStyle w:val="TOC2"/>
        <w:tabs>
          <w:tab w:val="right" w:leader="dot" w:pos="8296"/>
        </w:tabs>
        <w:ind w:firstLine="480"/>
        <w:rPr>
          <w:rFonts w:asciiTheme="minorHAnsi" w:eastAsiaTheme="minorEastAsia" w:hAnsiTheme="minorHAnsi" w:cstheme="minorBidi"/>
          <w:noProof/>
          <w:kern w:val="2"/>
          <w:sz w:val="21"/>
          <w:szCs w:val="22"/>
        </w:rPr>
      </w:pPr>
      <w:hyperlink w:anchor="_Toc101684571" w:history="1">
        <w:r w:rsidR="00344727" w:rsidRPr="00C16B96">
          <w:rPr>
            <w:rStyle w:val="afd"/>
            <w:rFonts w:ascii="Times New Roman" w:hAnsi="Times New Roman"/>
            <w:noProof/>
          </w:rPr>
          <w:t>9.22</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国内外汇贷款业务代码表</w:t>
        </w:r>
        <w:r w:rsidR="00344727">
          <w:rPr>
            <w:noProof/>
            <w:webHidden/>
          </w:rPr>
          <w:tab/>
        </w:r>
        <w:r w:rsidR="00A53BD0">
          <w:rPr>
            <w:noProof/>
            <w:webHidden/>
          </w:rPr>
          <w:fldChar w:fldCharType="begin"/>
        </w:r>
        <w:r w:rsidR="00344727">
          <w:rPr>
            <w:noProof/>
            <w:webHidden/>
          </w:rPr>
          <w:instrText xml:space="preserve"> PAGEREF _Toc101684571 \h </w:instrText>
        </w:r>
        <w:r w:rsidR="00A53BD0">
          <w:rPr>
            <w:noProof/>
            <w:webHidden/>
          </w:rPr>
        </w:r>
        <w:r w:rsidR="00A53BD0">
          <w:rPr>
            <w:noProof/>
            <w:webHidden/>
          </w:rPr>
          <w:fldChar w:fldCharType="separate"/>
        </w:r>
        <w:r w:rsidR="00E54F87">
          <w:rPr>
            <w:noProof/>
            <w:webHidden/>
          </w:rPr>
          <w:t>438</w:t>
        </w:r>
        <w:r w:rsidR="00A53BD0">
          <w:rPr>
            <w:noProof/>
            <w:webHidden/>
          </w:rPr>
          <w:fldChar w:fldCharType="end"/>
        </w:r>
      </w:hyperlink>
    </w:p>
    <w:p w14:paraId="5EB9C587"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572" w:history="1">
        <w:r w:rsidR="00344727" w:rsidRPr="00C16B96">
          <w:rPr>
            <w:rStyle w:val="afd"/>
            <w:rFonts w:ascii="Times New Roman" w:hAnsi="Times New Roman"/>
            <w:noProof/>
          </w:rPr>
          <w:t>9.22.1</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国内外汇贷款类型</w:t>
        </w:r>
        <w:r w:rsidR="00344727">
          <w:rPr>
            <w:noProof/>
            <w:webHidden/>
          </w:rPr>
          <w:tab/>
        </w:r>
        <w:r w:rsidR="00A53BD0">
          <w:rPr>
            <w:noProof/>
            <w:webHidden/>
          </w:rPr>
          <w:fldChar w:fldCharType="begin"/>
        </w:r>
        <w:r w:rsidR="00344727">
          <w:rPr>
            <w:noProof/>
            <w:webHidden/>
          </w:rPr>
          <w:instrText xml:space="preserve"> PAGEREF _Toc101684572 \h </w:instrText>
        </w:r>
        <w:r w:rsidR="00A53BD0">
          <w:rPr>
            <w:noProof/>
            <w:webHidden/>
          </w:rPr>
        </w:r>
        <w:r w:rsidR="00A53BD0">
          <w:rPr>
            <w:noProof/>
            <w:webHidden/>
          </w:rPr>
          <w:fldChar w:fldCharType="separate"/>
        </w:r>
        <w:r w:rsidR="00E54F87">
          <w:rPr>
            <w:noProof/>
            <w:webHidden/>
          </w:rPr>
          <w:t>438</w:t>
        </w:r>
        <w:r w:rsidR="00A53BD0">
          <w:rPr>
            <w:noProof/>
            <w:webHidden/>
          </w:rPr>
          <w:fldChar w:fldCharType="end"/>
        </w:r>
      </w:hyperlink>
    </w:p>
    <w:p w14:paraId="17DBC0DC"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573" w:history="1">
        <w:r w:rsidR="00344727" w:rsidRPr="00C16B96">
          <w:rPr>
            <w:rStyle w:val="afd"/>
            <w:rFonts w:ascii="Times New Roman" w:hAnsi="Times New Roman"/>
            <w:noProof/>
          </w:rPr>
          <w:t>9.22.2</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国内外汇贷款资金用途类型</w:t>
        </w:r>
        <w:r w:rsidR="00344727">
          <w:rPr>
            <w:noProof/>
            <w:webHidden/>
          </w:rPr>
          <w:tab/>
        </w:r>
        <w:r w:rsidR="00A53BD0">
          <w:rPr>
            <w:noProof/>
            <w:webHidden/>
          </w:rPr>
          <w:fldChar w:fldCharType="begin"/>
        </w:r>
        <w:r w:rsidR="00344727">
          <w:rPr>
            <w:noProof/>
            <w:webHidden/>
          </w:rPr>
          <w:instrText xml:space="preserve"> PAGEREF _Toc101684573 \h </w:instrText>
        </w:r>
        <w:r w:rsidR="00A53BD0">
          <w:rPr>
            <w:noProof/>
            <w:webHidden/>
          </w:rPr>
        </w:r>
        <w:r w:rsidR="00A53BD0">
          <w:rPr>
            <w:noProof/>
            <w:webHidden/>
          </w:rPr>
          <w:fldChar w:fldCharType="separate"/>
        </w:r>
        <w:r w:rsidR="00E54F87">
          <w:rPr>
            <w:noProof/>
            <w:webHidden/>
          </w:rPr>
          <w:t>439</w:t>
        </w:r>
        <w:r w:rsidR="00A53BD0">
          <w:rPr>
            <w:noProof/>
            <w:webHidden/>
          </w:rPr>
          <w:fldChar w:fldCharType="end"/>
        </w:r>
      </w:hyperlink>
    </w:p>
    <w:p w14:paraId="64827237" w14:textId="77777777" w:rsidR="00344727" w:rsidRDefault="003C2B32" w:rsidP="00344727">
      <w:pPr>
        <w:pStyle w:val="TOC2"/>
        <w:tabs>
          <w:tab w:val="right" w:leader="dot" w:pos="8296"/>
        </w:tabs>
        <w:ind w:firstLine="480"/>
        <w:rPr>
          <w:rFonts w:asciiTheme="minorHAnsi" w:eastAsiaTheme="minorEastAsia" w:hAnsiTheme="minorHAnsi" w:cstheme="minorBidi"/>
          <w:noProof/>
          <w:kern w:val="2"/>
          <w:sz w:val="21"/>
          <w:szCs w:val="22"/>
        </w:rPr>
      </w:pPr>
      <w:hyperlink w:anchor="_Toc101684574" w:history="1">
        <w:r w:rsidR="00344727" w:rsidRPr="00C16B96">
          <w:rPr>
            <w:rStyle w:val="afd"/>
            <w:rFonts w:ascii="Times New Roman" w:hAnsi="Times New Roman"/>
            <w:noProof/>
          </w:rPr>
          <w:t>9.23</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商业银行人民币结构性存款业务代码表</w:t>
        </w:r>
        <w:r w:rsidR="00344727">
          <w:rPr>
            <w:noProof/>
            <w:webHidden/>
          </w:rPr>
          <w:tab/>
        </w:r>
        <w:r w:rsidR="00A53BD0">
          <w:rPr>
            <w:noProof/>
            <w:webHidden/>
          </w:rPr>
          <w:fldChar w:fldCharType="begin"/>
        </w:r>
        <w:r w:rsidR="00344727">
          <w:rPr>
            <w:noProof/>
            <w:webHidden/>
          </w:rPr>
          <w:instrText xml:space="preserve"> PAGEREF _Toc101684574 \h </w:instrText>
        </w:r>
        <w:r w:rsidR="00A53BD0">
          <w:rPr>
            <w:noProof/>
            <w:webHidden/>
          </w:rPr>
        </w:r>
        <w:r w:rsidR="00A53BD0">
          <w:rPr>
            <w:noProof/>
            <w:webHidden/>
          </w:rPr>
          <w:fldChar w:fldCharType="separate"/>
        </w:r>
        <w:r w:rsidR="00E54F87">
          <w:rPr>
            <w:noProof/>
            <w:webHidden/>
          </w:rPr>
          <w:t>439</w:t>
        </w:r>
        <w:r w:rsidR="00A53BD0">
          <w:rPr>
            <w:noProof/>
            <w:webHidden/>
          </w:rPr>
          <w:fldChar w:fldCharType="end"/>
        </w:r>
      </w:hyperlink>
    </w:p>
    <w:p w14:paraId="7B648DF4" w14:textId="77777777" w:rsidR="00344727" w:rsidRDefault="003C2B32" w:rsidP="00344727">
      <w:pPr>
        <w:pStyle w:val="TOC2"/>
        <w:tabs>
          <w:tab w:val="right" w:leader="dot" w:pos="8296"/>
        </w:tabs>
        <w:ind w:firstLine="480"/>
        <w:rPr>
          <w:rFonts w:asciiTheme="minorHAnsi" w:eastAsiaTheme="minorEastAsia" w:hAnsiTheme="minorHAnsi" w:cstheme="minorBidi"/>
          <w:noProof/>
          <w:kern w:val="2"/>
          <w:sz w:val="21"/>
          <w:szCs w:val="22"/>
        </w:rPr>
      </w:pPr>
      <w:hyperlink w:anchor="_Toc101684575" w:history="1">
        <w:r w:rsidR="00344727" w:rsidRPr="00C16B96">
          <w:rPr>
            <w:rStyle w:val="afd"/>
            <w:rFonts w:ascii="Times New Roman" w:hAnsi="Times New Roman"/>
            <w:noProof/>
          </w:rPr>
          <w:t>9.24</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境内个人参与境外上市公司股权激励计划代码表</w:t>
        </w:r>
        <w:r w:rsidR="00344727">
          <w:rPr>
            <w:noProof/>
            <w:webHidden/>
          </w:rPr>
          <w:tab/>
        </w:r>
        <w:r w:rsidR="00A53BD0">
          <w:rPr>
            <w:noProof/>
            <w:webHidden/>
          </w:rPr>
          <w:fldChar w:fldCharType="begin"/>
        </w:r>
        <w:r w:rsidR="00344727">
          <w:rPr>
            <w:noProof/>
            <w:webHidden/>
          </w:rPr>
          <w:instrText xml:space="preserve"> PAGEREF _Toc101684575 \h </w:instrText>
        </w:r>
        <w:r w:rsidR="00A53BD0">
          <w:rPr>
            <w:noProof/>
            <w:webHidden/>
          </w:rPr>
        </w:r>
        <w:r w:rsidR="00A53BD0">
          <w:rPr>
            <w:noProof/>
            <w:webHidden/>
          </w:rPr>
          <w:fldChar w:fldCharType="separate"/>
        </w:r>
        <w:r w:rsidR="00E54F87">
          <w:rPr>
            <w:noProof/>
            <w:webHidden/>
          </w:rPr>
          <w:t>439</w:t>
        </w:r>
        <w:r w:rsidR="00A53BD0">
          <w:rPr>
            <w:noProof/>
            <w:webHidden/>
          </w:rPr>
          <w:fldChar w:fldCharType="end"/>
        </w:r>
      </w:hyperlink>
    </w:p>
    <w:p w14:paraId="5BA6D202"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576" w:history="1">
        <w:r w:rsidR="00344727" w:rsidRPr="00C16B96">
          <w:rPr>
            <w:rStyle w:val="afd"/>
            <w:rFonts w:ascii="Times New Roman" w:hAnsi="Times New Roman"/>
            <w:noProof/>
          </w:rPr>
          <w:t>9.24.1</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股权激励专户关户原因类型</w:t>
        </w:r>
        <w:r w:rsidR="00344727">
          <w:rPr>
            <w:noProof/>
            <w:webHidden/>
          </w:rPr>
          <w:tab/>
        </w:r>
        <w:r w:rsidR="00A53BD0">
          <w:rPr>
            <w:noProof/>
            <w:webHidden/>
          </w:rPr>
          <w:fldChar w:fldCharType="begin"/>
        </w:r>
        <w:r w:rsidR="00344727">
          <w:rPr>
            <w:noProof/>
            <w:webHidden/>
          </w:rPr>
          <w:instrText xml:space="preserve"> PAGEREF _Toc101684576 \h </w:instrText>
        </w:r>
        <w:r w:rsidR="00A53BD0">
          <w:rPr>
            <w:noProof/>
            <w:webHidden/>
          </w:rPr>
        </w:r>
        <w:r w:rsidR="00A53BD0">
          <w:rPr>
            <w:noProof/>
            <w:webHidden/>
          </w:rPr>
          <w:fldChar w:fldCharType="separate"/>
        </w:r>
        <w:r w:rsidR="00E54F87">
          <w:rPr>
            <w:noProof/>
            <w:webHidden/>
          </w:rPr>
          <w:t>439</w:t>
        </w:r>
        <w:r w:rsidR="00A53BD0">
          <w:rPr>
            <w:noProof/>
            <w:webHidden/>
          </w:rPr>
          <w:fldChar w:fldCharType="end"/>
        </w:r>
      </w:hyperlink>
    </w:p>
    <w:p w14:paraId="29D3870C"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577" w:history="1">
        <w:r w:rsidR="00344727" w:rsidRPr="00C16B96">
          <w:rPr>
            <w:rStyle w:val="afd"/>
            <w:rFonts w:ascii="Times New Roman" w:hAnsi="Times New Roman"/>
            <w:noProof/>
          </w:rPr>
          <w:t>9.24.2</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股权激励专户关户资金处置类型</w:t>
        </w:r>
        <w:r w:rsidR="00344727">
          <w:rPr>
            <w:noProof/>
            <w:webHidden/>
          </w:rPr>
          <w:tab/>
        </w:r>
        <w:r w:rsidR="00A53BD0">
          <w:rPr>
            <w:noProof/>
            <w:webHidden/>
          </w:rPr>
          <w:fldChar w:fldCharType="begin"/>
        </w:r>
        <w:r w:rsidR="00344727">
          <w:rPr>
            <w:noProof/>
            <w:webHidden/>
          </w:rPr>
          <w:instrText xml:space="preserve"> PAGEREF _Toc101684577 \h </w:instrText>
        </w:r>
        <w:r w:rsidR="00A53BD0">
          <w:rPr>
            <w:noProof/>
            <w:webHidden/>
          </w:rPr>
        </w:r>
        <w:r w:rsidR="00A53BD0">
          <w:rPr>
            <w:noProof/>
            <w:webHidden/>
          </w:rPr>
          <w:fldChar w:fldCharType="separate"/>
        </w:r>
        <w:r w:rsidR="00E54F87">
          <w:rPr>
            <w:noProof/>
            <w:webHidden/>
          </w:rPr>
          <w:t>439</w:t>
        </w:r>
        <w:r w:rsidR="00A53BD0">
          <w:rPr>
            <w:noProof/>
            <w:webHidden/>
          </w:rPr>
          <w:fldChar w:fldCharType="end"/>
        </w:r>
      </w:hyperlink>
    </w:p>
    <w:p w14:paraId="32F0958D" w14:textId="77777777" w:rsidR="00344727" w:rsidRDefault="003C2B32" w:rsidP="00344727">
      <w:pPr>
        <w:pStyle w:val="TOC2"/>
        <w:tabs>
          <w:tab w:val="right" w:leader="dot" w:pos="8296"/>
        </w:tabs>
        <w:ind w:firstLine="480"/>
        <w:rPr>
          <w:rFonts w:asciiTheme="minorHAnsi" w:eastAsiaTheme="minorEastAsia" w:hAnsiTheme="minorHAnsi" w:cstheme="minorBidi"/>
          <w:noProof/>
          <w:kern w:val="2"/>
          <w:sz w:val="21"/>
          <w:szCs w:val="22"/>
        </w:rPr>
      </w:pPr>
      <w:hyperlink w:anchor="_Toc101684578" w:history="1">
        <w:r w:rsidR="00344727" w:rsidRPr="00C16B96">
          <w:rPr>
            <w:rStyle w:val="afd"/>
            <w:rFonts w:ascii="Times New Roman" w:hAnsi="Times New Roman"/>
            <w:noProof/>
          </w:rPr>
          <w:t>9.25</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对外金融资产负债及交易数据代码表</w:t>
        </w:r>
        <w:r w:rsidR="00344727">
          <w:rPr>
            <w:noProof/>
            <w:webHidden/>
          </w:rPr>
          <w:tab/>
        </w:r>
        <w:r w:rsidR="00A53BD0">
          <w:rPr>
            <w:noProof/>
            <w:webHidden/>
          </w:rPr>
          <w:fldChar w:fldCharType="begin"/>
        </w:r>
        <w:r w:rsidR="00344727">
          <w:rPr>
            <w:noProof/>
            <w:webHidden/>
          </w:rPr>
          <w:instrText xml:space="preserve"> PAGEREF _Toc101684578 \h </w:instrText>
        </w:r>
        <w:r w:rsidR="00A53BD0">
          <w:rPr>
            <w:noProof/>
            <w:webHidden/>
          </w:rPr>
        </w:r>
        <w:r w:rsidR="00A53BD0">
          <w:rPr>
            <w:noProof/>
            <w:webHidden/>
          </w:rPr>
          <w:fldChar w:fldCharType="separate"/>
        </w:r>
        <w:r w:rsidR="00E54F87">
          <w:rPr>
            <w:noProof/>
            <w:webHidden/>
          </w:rPr>
          <w:t>440</w:t>
        </w:r>
        <w:r w:rsidR="00A53BD0">
          <w:rPr>
            <w:noProof/>
            <w:webHidden/>
          </w:rPr>
          <w:fldChar w:fldCharType="end"/>
        </w:r>
      </w:hyperlink>
    </w:p>
    <w:p w14:paraId="52A612EB"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579" w:history="1">
        <w:r w:rsidR="00344727" w:rsidRPr="00C16B96">
          <w:rPr>
            <w:rStyle w:val="afd"/>
            <w:rFonts w:ascii="Times New Roman" w:hAnsi="Times New Roman"/>
            <w:noProof/>
          </w:rPr>
          <w:t>9.25.1</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对外金融资产负债及交易数据表号和表名</w:t>
        </w:r>
        <w:r w:rsidR="00344727">
          <w:rPr>
            <w:noProof/>
            <w:webHidden/>
          </w:rPr>
          <w:tab/>
        </w:r>
        <w:r w:rsidR="00A53BD0">
          <w:rPr>
            <w:noProof/>
            <w:webHidden/>
          </w:rPr>
          <w:fldChar w:fldCharType="begin"/>
        </w:r>
        <w:r w:rsidR="00344727">
          <w:rPr>
            <w:noProof/>
            <w:webHidden/>
          </w:rPr>
          <w:instrText xml:space="preserve"> PAGEREF _Toc101684579 \h </w:instrText>
        </w:r>
        <w:r w:rsidR="00A53BD0">
          <w:rPr>
            <w:noProof/>
            <w:webHidden/>
          </w:rPr>
        </w:r>
        <w:r w:rsidR="00A53BD0">
          <w:rPr>
            <w:noProof/>
            <w:webHidden/>
          </w:rPr>
          <w:fldChar w:fldCharType="separate"/>
        </w:r>
        <w:r w:rsidR="00E54F87">
          <w:rPr>
            <w:noProof/>
            <w:webHidden/>
          </w:rPr>
          <w:t>440</w:t>
        </w:r>
        <w:r w:rsidR="00A53BD0">
          <w:rPr>
            <w:noProof/>
            <w:webHidden/>
          </w:rPr>
          <w:fldChar w:fldCharType="end"/>
        </w:r>
      </w:hyperlink>
    </w:p>
    <w:p w14:paraId="4830B343"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580" w:history="1">
        <w:r w:rsidR="00344727" w:rsidRPr="00C16B96">
          <w:rPr>
            <w:rStyle w:val="afd"/>
            <w:rFonts w:ascii="Times New Roman" w:hAnsi="Times New Roman"/>
            <w:noProof/>
          </w:rPr>
          <w:t>9.25.2</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境外（被）投资者所属行业表</w:t>
        </w:r>
        <w:r w:rsidR="00344727">
          <w:rPr>
            <w:noProof/>
            <w:webHidden/>
          </w:rPr>
          <w:tab/>
        </w:r>
        <w:r w:rsidR="00A53BD0">
          <w:rPr>
            <w:noProof/>
            <w:webHidden/>
          </w:rPr>
          <w:fldChar w:fldCharType="begin"/>
        </w:r>
        <w:r w:rsidR="00344727">
          <w:rPr>
            <w:noProof/>
            <w:webHidden/>
          </w:rPr>
          <w:instrText xml:space="preserve"> PAGEREF _Toc101684580 \h </w:instrText>
        </w:r>
        <w:r w:rsidR="00A53BD0">
          <w:rPr>
            <w:noProof/>
            <w:webHidden/>
          </w:rPr>
        </w:r>
        <w:r w:rsidR="00A53BD0">
          <w:rPr>
            <w:noProof/>
            <w:webHidden/>
          </w:rPr>
          <w:fldChar w:fldCharType="separate"/>
        </w:r>
        <w:r w:rsidR="00E54F87">
          <w:rPr>
            <w:noProof/>
            <w:webHidden/>
          </w:rPr>
          <w:t>441</w:t>
        </w:r>
        <w:r w:rsidR="00A53BD0">
          <w:rPr>
            <w:noProof/>
            <w:webHidden/>
          </w:rPr>
          <w:fldChar w:fldCharType="end"/>
        </w:r>
      </w:hyperlink>
    </w:p>
    <w:p w14:paraId="0F59EEC7"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581" w:history="1">
        <w:r w:rsidR="00344727" w:rsidRPr="00C16B96">
          <w:rPr>
            <w:rStyle w:val="afd"/>
            <w:rFonts w:ascii="Times New Roman" w:hAnsi="Times New Roman"/>
            <w:noProof/>
          </w:rPr>
          <w:t>9.25.3</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对方与本机构</w:t>
        </w:r>
        <w:r w:rsidR="00344727" w:rsidRPr="00C16B96">
          <w:rPr>
            <w:rStyle w:val="afd"/>
            <w:rFonts w:ascii="Times New Roman" w:hAnsi="Times New Roman"/>
            <w:noProof/>
          </w:rPr>
          <w:t>/</w:t>
        </w:r>
        <w:r w:rsidR="00344727" w:rsidRPr="00C16B96">
          <w:rPr>
            <w:rStyle w:val="afd"/>
            <w:rFonts w:ascii="Times New Roman" w:hAnsi="Times New Roman" w:hint="eastAsia"/>
            <w:noProof/>
          </w:rPr>
          <w:t>被代理居民机构</w:t>
        </w:r>
        <w:r w:rsidR="00344727" w:rsidRPr="00C16B96">
          <w:rPr>
            <w:rStyle w:val="afd"/>
            <w:rFonts w:ascii="Times New Roman" w:hAnsi="Times New Roman"/>
            <w:noProof/>
          </w:rPr>
          <w:t>/</w:t>
        </w:r>
        <w:r w:rsidR="00344727" w:rsidRPr="00C16B96">
          <w:rPr>
            <w:rStyle w:val="afd"/>
            <w:rFonts w:ascii="Times New Roman" w:hAnsi="Times New Roman" w:hint="eastAsia"/>
            <w:noProof/>
          </w:rPr>
          <w:t>委托人的关系</w:t>
        </w:r>
        <w:r w:rsidR="00344727">
          <w:rPr>
            <w:noProof/>
            <w:webHidden/>
          </w:rPr>
          <w:tab/>
        </w:r>
        <w:r w:rsidR="00A53BD0">
          <w:rPr>
            <w:noProof/>
            <w:webHidden/>
          </w:rPr>
          <w:fldChar w:fldCharType="begin"/>
        </w:r>
        <w:r w:rsidR="00344727">
          <w:rPr>
            <w:noProof/>
            <w:webHidden/>
          </w:rPr>
          <w:instrText xml:space="preserve"> PAGEREF _Toc101684581 \h </w:instrText>
        </w:r>
        <w:r w:rsidR="00A53BD0">
          <w:rPr>
            <w:noProof/>
            <w:webHidden/>
          </w:rPr>
        </w:r>
        <w:r w:rsidR="00A53BD0">
          <w:rPr>
            <w:noProof/>
            <w:webHidden/>
          </w:rPr>
          <w:fldChar w:fldCharType="separate"/>
        </w:r>
        <w:r w:rsidR="00E54F87">
          <w:rPr>
            <w:noProof/>
            <w:webHidden/>
          </w:rPr>
          <w:t>441</w:t>
        </w:r>
        <w:r w:rsidR="00A53BD0">
          <w:rPr>
            <w:noProof/>
            <w:webHidden/>
          </w:rPr>
          <w:fldChar w:fldCharType="end"/>
        </w:r>
      </w:hyperlink>
    </w:p>
    <w:p w14:paraId="082A0F2E"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582" w:history="1">
        <w:r w:rsidR="00344727" w:rsidRPr="00C16B96">
          <w:rPr>
            <w:rStyle w:val="afd"/>
            <w:rFonts w:ascii="Times New Roman" w:hAnsi="Times New Roman"/>
            <w:noProof/>
          </w:rPr>
          <w:t>9.25.4</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投资者</w:t>
        </w:r>
        <w:r w:rsidR="00344727" w:rsidRPr="00C16B96">
          <w:rPr>
            <w:rStyle w:val="afd"/>
            <w:rFonts w:hint="eastAsia"/>
            <w:noProof/>
          </w:rPr>
          <w:t>（被投资者）</w:t>
        </w:r>
        <w:r w:rsidR="00344727" w:rsidRPr="00C16B96">
          <w:rPr>
            <w:rStyle w:val="afd"/>
            <w:rFonts w:ascii="Times New Roman" w:hAnsi="Times New Roman" w:hint="eastAsia"/>
            <w:noProof/>
          </w:rPr>
          <w:t>部门</w:t>
        </w:r>
        <w:r w:rsidR="00344727">
          <w:rPr>
            <w:noProof/>
            <w:webHidden/>
          </w:rPr>
          <w:tab/>
        </w:r>
        <w:r w:rsidR="00A53BD0">
          <w:rPr>
            <w:noProof/>
            <w:webHidden/>
          </w:rPr>
          <w:fldChar w:fldCharType="begin"/>
        </w:r>
        <w:r w:rsidR="00344727">
          <w:rPr>
            <w:noProof/>
            <w:webHidden/>
          </w:rPr>
          <w:instrText xml:space="preserve"> PAGEREF _Toc101684582 \h </w:instrText>
        </w:r>
        <w:r w:rsidR="00A53BD0">
          <w:rPr>
            <w:noProof/>
            <w:webHidden/>
          </w:rPr>
        </w:r>
        <w:r w:rsidR="00A53BD0">
          <w:rPr>
            <w:noProof/>
            <w:webHidden/>
          </w:rPr>
          <w:fldChar w:fldCharType="separate"/>
        </w:r>
        <w:r w:rsidR="00E54F87">
          <w:rPr>
            <w:noProof/>
            <w:webHidden/>
          </w:rPr>
          <w:t>441</w:t>
        </w:r>
        <w:r w:rsidR="00A53BD0">
          <w:rPr>
            <w:noProof/>
            <w:webHidden/>
          </w:rPr>
          <w:fldChar w:fldCharType="end"/>
        </w:r>
      </w:hyperlink>
    </w:p>
    <w:p w14:paraId="509504BE"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583" w:history="1">
        <w:r w:rsidR="00344727" w:rsidRPr="00C16B96">
          <w:rPr>
            <w:rStyle w:val="afd"/>
            <w:rFonts w:ascii="Times New Roman" w:hAnsi="Times New Roman"/>
            <w:noProof/>
          </w:rPr>
          <w:t>9.25.5</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银行卡消费提现类型</w:t>
        </w:r>
        <w:r w:rsidR="00344727">
          <w:rPr>
            <w:noProof/>
            <w:webHidden/>
          </w:rPr>
          <w:tab/>
        </w:r>
        <w:r w:rsidR="00A53BD0">
          <w:rPr>
            <w:noProof/>
            <w:webHidden/>
          </w:rPr>
          <w:fldChar w:fldCharType="begin"/>
        </w:r>
        <w:r w:rsidR="00344727">
          <w:rPr>
            <w:noProof/>
            <w:webHidden/>
          </w:rPr>
          <w:instrText xml:space="preserve"> PAGEREF _Toc101684583 \h </w:instrText>
        </w:r>
        <w:r w:rsidR="00A53BD0">
          <w:rPr>
            <w:noProof/>
            <w:webHidden/>
          </w:rPr>
        </w:r>
        <w:r w:rsidR="00A53BD0">
          <w:rPr>
            <w:noProof/>
            <w:webHidden/>
          </w:rPr>
          <w:fldChar w:fldCharType="separate"/>
        </w:r>
        <w:r w:rsidR="00E54F87">
          <w:rPr>
            <w:noProof/>
            <w:webHidden/>
          </w:rPr>
          <w:t>442</w:t>
        </w:r>
        <w:r w:rsidR="00A53BD0">
          <w:rPr>
            <w:noProof/>
            <w:webHidden/>
          </w:rPr>
          <w:fldChar w:fldCharType="end"/>
        </w:r>
      </w:hyperlink>
    </w:p>
    <w:p w14:paraId="7FE3CD3A"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584" w:history="1">
        <w:r w:rsidR="00344727" w:rsidRPr="00C16B96">
          <w:rPr>
            <w:rStyle w:val="afd"/>
            <w:rFonts w:ascii="Times New Roman" w:hAnsi="Times New Roman"/>
            <w:noProof/>
          </w:rPr>
          <w:t>9.25.6 QFII/RQFII/QDII/RQDII/QDLP/QDIE</w:t>
        </w:r>
        <w:r w:rsidR="00344727" w:rsidRPr="00C16B96">
          <w:rPr>
            <w:rStyle w:val="afd"/>
            <w:rFonts w:ascii="Times New Roman" w:hAnsi="Times New Roman" w:hint="eastAsia"/>
            <w:noProof/>
          </w:rPr>
          <w:t>投资工具类型</w:t>
        </w:r>
        <w:r w:rsidR="00344727">
          <w:rPr>
            <w:noProof/>
            <w:webHidden/>
          </w:rPr>
          <w:tab/>
        </w:r>
        <w:r w:rsidR="00A53BD0">
          <w:rPr>
            <w:noProof/>
            <w:webHidden/>
          </w:rPr>
          <w:fldChar w:fldCharType="begin"/>
        </w:r>
        <w:r w:rsidR="00344727">
          <w:rPr>
            <w:noProof/>
            <w:webHidden/>
          </w:rPr>
          <w:instrText xml:space="preserve"> PAGEREF _Toc101684584 \h </w:instrText>
        </w:r>
        <w:r w:rsidR="00A53BD0">
          <w:rPr>
            <w:noProof/>
            <w:webHidden/>
          </w:rPr>
        </w:r>
        <w:r w:rsidR="00A53BD0">
          <w:rPr>
            <w:noProof/>
            <w:webHidden/>
          </w:rPr>
          <w:fldChar w:fldCharType="separate"/>
        </w:r>
        <w:r w:rsidR="00E54F87">
          <w:rPr>
            <w:noProof/>
            <w:webHidden/>
          </w:rPr>
          <w:t>442</w:t>
        </w:r>
        <w:r w:rsidR="00A53BD0">
          <w:rPr>
            <w:noProof/>
            <w:webHidden/>
          </w:rPr>
          <w:fldChar w:fldCharType="end"/>
        </w:r>
      </w:hyperlink>
    </w:p>
    <w:p w14:paraId="614532F6"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585" w:history="1">
        <w:r w:rsidR="00344727" w:rsidRPr="00C16B96">
          <w:rPr>
            <w:rStyle w:val="afd"/>
            <w:rFonts w:ascii="Times New Roman" w:hAnsi="Times New Roman"/>
            <w:noProof/>
          </w:rPr>
          <w:t>9.25.7 QFII/RQFII</w:t>
        </w:r>
        <w:r w:rsidR="00344727" w:rsidRPr="00C16B96">
          <w:rPr>
            <w:rStyle w:val="afd"/>
            <w:rFonts w:ascii="Times New Roman" w:hAnsi="Times New Roman" w:hint="eastAsia"/>
            <w:noProof/>
          </w:rPr>
          <w:t>投资品种类型</w:t>
        </w:r>
        <w:r w:rsidR="00344727">
          <w:rPr>
            <w:noProof/>
            <w:webHidden/>
          </w:rPr>
          <w:tab/>
        </w:r>
        <w:r w:rsidR="00A53BD0">
          <w:rPr>
            <w:noProof/>
            <w:webHidden/>
          </w:rPr>
          <w:fldChar w:fldCharType="begin"/>
        </w:r>
        <w:r w:rsidR="00344727">
          <w:rPr>
            <w:noProof/>
            <w:webHidden/>
          </w:rPr>
          <w:instrText xml:space="preserve"> PAGEREF _Toc101684585 \h </w:instrText>
        </w:r>
        <w:r w:rsidR="00A53BD0">
          <w:rPr>
            <w:noProof/>
            <w:webHidden/>
          </w:rPr>
        </w:r>
        <w:r w:rsidR="00A53BD0">
          <w:rPr>
            <w:noProof/>
            <w:webHidden/>
          </w:rPr>
          <w:fldChar w:fldCharType="separate"/>
        </w:r>
        <w:r w:rsidR="00E54F87">
          <w:rPr>
            <w:noProof/>
            <w:webHidden/>
          </w:rPr>
          <w:t>442</w:t>
        </w:r>
        <w:r w:rsidR="00A53BD0">
          <w:rPr>
            <w:noProof/>
            <w:webHidden/>
          </w:rPr>
          <w:fldChar w:fldCharType="end"/>
        </w:r>
      </w:hyperlink>
    </w:p>
    <w:p w14:paraId="36C1022D"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586" w:history="1">
        <w:r w:rsidR="00344727" w:rsidRPr="00C16B96">
          <w:rPr>
            <w:rStyle w:val="afd"/>
            <w:rFonts w:ascii="Times New Roman" w:hAnsi="Times New Roman"/>
            <w:noProof/>
          </w:rPr>
          <w:t>9.25.8</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金融衍生产品的合约类别</w:t>
        </w:r>
        <w:r w:rsidR="00344727">
          <w:rPr>
            <w:noProof/>
            <w:webHidden/>
          </w:rPr>
          <w:tab/>
        </w:r>
        <w:r w:rsidR="00A53BD0">
          <w:rPr>
            <w:noProof/>
            <w:webHidden/>
          </w:rPr>
          <w:fldChar w:fldCharType="begin"/>
        </w:r>
        <w:r w:rsidR="00344727">
          <w:rPr>
            <w:noProof/>
            <w:webHidden/>
          </w:rPr>
          <w:instrText xml:space="preserve"> PAGEREF _Toc101684586 \h </w:instrText>
        </w:r>
        <w:r w:rsidR="00A53BD0">
          <w:rPr>
            <w:noProof/>
            <w:webHidden/>
          </w:rPr>
        </w:r>
        <w:r w:rsidR="00A53BD0">
          <w:rPr>
            <w:noProof/>
            <w:webHidden/>
          </w:rPr>
          <w:fldChar w:fldCharType="separate"/>
        </w:r>
        <w:r w:rsidR="00E54F87">
          <w:rPr>
            <w:noProof/>
            <w:webHidden/>
          </w:rPr>
          <w:t>443</w:t>
        </w:r>
        <w:r w:rsidR="00A53BD0">
          <w:rPr>
            <w:noProof/>
            <w:webHidden/>
          </w:rPr>
          <w:fldChar w:fldCharType="end"/>
        </w:r>
      </w:hyperlink>
    </w:p>
    <w:p w14:paraId="257D4706"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587" w:history="1">
        <w:r w:rsidR="00344727" w:rsidRPr="00C16B96">
          <w:rPr>
            <w:rStyle w:val="afd"/>
            <w:rFonts w:ascii="Times New Roman" w:hAnsi="Times New Roman"/>
            <w:noProof/>
          </w:rPr>
          <w:t>9.25.9</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金融衍生产品的风险类别</w:t>
        </w:r>
        <w:r w:rsidR="00344727">
          <w:rPr>
            <w:noProof/>
            <w:webHidden/>
          </w:rPr>
          <w:tab/>
        </w:r>
        <w:r w:rsidR="00A53BD0">
          <w:rPr>
            <w:noProof/>
            <w:webHidden/>
          </w:rPr>
          <w:fldChar w:fldCharType="begin"/>
        </w:r>
        <w:r w:rsidR="00344727">
          <w:rPr>
            <w:noProof/>
            <w:webHidden/>
          </w:rPr>
          <w:instrText xml:space="preserve"> PAGEREF _Toc101684587 \h </w:instrText>
        </w:r>
        <w:r w:rsidR="00A53BD0">
          <w:rPr>
            <w:noProof/>
            <w:webHidden/>
          </w:rPr>
        </w:r>
        <w:r w:rsidR="00A53BD0">
          <w:rPr>
            <w:noProof/>
            <w:webHidden/>
          </w:rPr>
          <w:fldChar w:fldCharType="separate"/>
        </w:r>
        <w:r w:rsidR="00E54F87">
          <w:rPr>
            <w:noProof/>
            <w:webHidden/>
          </w:rPr>
          <w:t>444</w:t>
        </w:r>
        <w:r w:rsidR="00A53BD0">
          <w:rPr>
            <w:noProof/>
            <w:webHidden/>
          </w:rPr>
          <w:fldChar w:fldCharType="end"/>
        </w:r>
      </w:hyperlink>
    </w:p>
    <w:p w14:paraId="521A8061"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588" w:history="1">
        <w:r w:rsidR="00344727" w:rsidRPr="00C16B96">
          <w:rPr>
            <w:rStyle w:val="afd"/>
            <w:rFonts w:ascii="Times New Roman" w:hAnsi="Times New Roman"/>
            <w:noProof/>
          </w:rPr>
          <w:t>9.25.10 QDII/RQDII/QDLP/QDIE</w:t>
        </w:r>
        <w:r w:rsidR="00344727" w:rsidRPr="00C16B96">
          <w:rPr>
            <w:rStyle w:val="afd"/>
            <w:rFonts w:ascii="Times New Roman" w:hAnsi="Times New Roman" w:hint="eastAsia"/>
            <w:noProof/>
          </w:rPr>
          <w:t>投资品种类型</w:t>
        </w:r>
        <w:r w:rsidR="00344727">
          <w:rPr>
            <w:noProof/>
            <w:webHidden/>
          </w:rPr>
          <w:tab/>
        </w:r>
        <w:r w:rsidR="00A53BD0">
          <w:rPr>
            <w:noProof/>
            <w:webHidden/>
          </w:rPr>
          <w:fldChar w:fldCharType="begin"/>
        </w:r>
        <w:r w:rsidR="00344727">
          <w:rPr>
            <w:noProof/>
            <w:webHidden/>
          </w:rPr>
          <w:instrText xml:space="preserve"> PAGEREF _Toc101684588 \h </w:instrText>
        </w:r>
        <w:r w:rsidR="00A53BD0">
          <w:rPr>
            <w:noProof/>
            <w:webHidden/>
          </w:rPr>
        </w:r>
        <w:r w:rsidR="00A53BD0">
          <w:rPr>
            <w:noProof/>
            <w:webHidden/>
          </w:rPr>
          <w:fldChar w:fldCharType="separate"/>
        </w:r>
        <w:r w:rsidR="00E54F87">
          <w:rPr>
            <w:noProof/>
            <w:webHidden/>
          </w:rPr>
          <w:t>444</w:t>
        </w:r>
        <w:r w:rsidR="00A53BD0">
          <w:rPr>
            <w:noProof/>
            <w:webHidden/>
          </w:rPr>
          <w:fldChar w:fldCharType="end"/>
        </w:r>
      </w:hyperlink>
    </w:p>
    <w:p w14:paraId="5DBBE2DA"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589" w:history="1">
        <w:r w:rsidR="00344727" w:rsidRPr="00C16B96">
          <w:rPr>
            <w:rStyle w:val="afd"/>
            <w:rFonts w:ascii="Times New Roman" w:hAnsi="Times New Roman"/>
            <w:noProof/>
          </w:rPr>
          <w:t>9.25.11</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涉外银行卡商户分类码分类标准</w:t>
        </w:r>
        <w:r w:rsidR="00344727">
          <w:rPr>
            <w:noProof/>
            <w:webHidden/>
          </w:rPr>
          <w:tab/>
        </w:r>
        <w:r w:rsidR="00A53BD0">
          <w:rPr>
            <w:noProof/>
            <w:webHidden/>
          </w:rPr>
          <w:fldChar w:fldCharType="begin"/>
        </w:r>
        <w:r w:rsidR="00344727">
          <w:rPr>
            <w:noProof/>
            <w:webHidden/>
          </w:rPr>
          <w:instrText xml:space="preserve"> PAGEREF _Toc101684589 \h </w:instrText>
        </w:r>
        <w:r w:rsidR="00A53BD0">
          <w:rPr>
            <w:noProof/>
            <w:webHidden/>
          </w:rPr>
        </w:r>
        <w:r w:rsidR="00A53BD0">
          <w:rPr>
            <w:noProof/>
            <w:webHidden/>
          </w:rPr>
          <w:fldChar w:fldCharType="separate"/>
        </w:r>
        <w:r w:rsidR="00E54F87">
          <w:rPr>
            <w:noProof/>
            <w:webHidden/>
          </w:rPr>
          <w:t>444</w:t>
        </w:r>
        <w:r w:rsidR="00A53BD0">
          <w:rPr>
            <w:noProof/>
            <w:webHidden/>
          </w:rPr>
          <w:fldChar w:fldCharType="end"/>
        </w:r>
      </w:hyperlink>
    </w:p>
    <w:p w14:paraId="0BFAA854"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590" w:history="1">
        <w:r w:rsidR="00344727" w:rsidRPr="00C16B96">
          <w:rPr>
            <w:rStyle w:val="afd"/>
            <w:rFonts w:ascii="Times New Roman" w:hAnsi="Times New Roman"/>
            <w:noProof/>
          </w:rPr>
          <w:t>9.25.12</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货物、服务、薪资及债务减免等其他各类往来代码表（新旧对照）</w:t>
        </w:r>
        <w:r w:rsidR="00344727">
          <w:rPr>
            <w:noProof/>
            <w:webHidden/>
          </w:rPr>
          <w:tab/>
        </w:r>
        <w:r w:rsidR="00A53BD0">
          <w:rPr>
            <w:noProof/>
            <w:webHidden/>
          </w:rPr>
          <w:fldChar w:fldCharType="begin"/>
        </w:r>
        <w:r w:rsidR="00344727">
          <w:rPr>
            <w:noProof/>
            <w:webHidden/>
          </w:rPr>
          <w:instrText xml:space="preserve"> PAGEREF _Toc101684590 \h </w:instrText>
        </w:r>
        <w:r w:rsidR="00A53BD0">
          <w:rPr>
            <w:noProof/>
            <w:webHidden/>
          </w:rPr>
        </w:r>
        <w:r w:rsidR="00A53BD0">
          <w:rPr>
            <w:noProof/>
            <w:webHidden/>
          </w:rPr>
          <w:fldChar w:fldCharType="separate"/>
        </w:r>
        <w:r w:rsidR="00E54F87">
          <w:rPr>
            <w:noProof/>
            <w:webHidden/>
          </w:rPr>
          <w:t>453</w:t>
        </w:r>
        <w:r w:rsidR="00A53BD0">
          <w:rPr>
            <w:noProof/>
            <w:webHidden/>
          </w:rPr>
          <w:fldChar w:fldCharType="end"/>
        </w:r>
      </w:hyperlink>
    </w:p>
    <w:p w14:paraId="2A185DE8"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591" w:history="1">
        <w:r w:rsidR="00344727" w:rsidRPr="00C16B96">
          <w:rPr>
            <w:rStyle w:val="afd"/>
            <w:rFonts w:ascii="Times New Roman" w:hAnsi="Times New Roman"/>
            <w:noProof/>
          </w:rPr>
          <w:t>9.25.13</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银行进出口贸易融资项目指标代码表</w:t>
        </w:r>
        <w:r w:rsidR="00344727">
          <w:rPr>
            <w:noProof/>
            <w:webHidden/>
          </w:rPr>
          <w:tab/>
        </w:r>
        <w:r w:rsidR="00A53BD0">
          <w:rPr>
            <w:noProof/>
            <w:webHidden/>
          </w:rPr>
          <w:fldChar w:fldCharType="begin"/>
        </w:r>
        <w:r w:rsidR="00344727">
          <w:rPr>
            <w:noProof/>
            <w:webHidden/>
          </w:rPr>
          <w:instrText xml:space="preserve"> PAGEREF _Toc101684591 \h </w:instrText>
        </w:r>
        <w:r w:rsidR="00A53BD0">
          <w:rPr>
            <w:noProof/>
            <w:webHidden/>
          </w:rPr>
        </w:r>
        <w:r w:rsidR="00A53BD0">
          <w:rPr>
            <w:noProof/>
            <w:webHidden/>
          </w:rPr>
          <w:fldChar w:fldCharType="separate"/>
        </w:r>
        <w:r w:rsidR="00E54F87">
          <w:rPr>
            <w:noProof/>
            <w:webHidden/>
          </w:rPr>
          <w:t>455</w:t>
        </w:r>
        <w:r w:rsidR="00A53BD0">
          <w:rPr>
            <w:noProof/>
            <w:webHidden/>
          </w:rPr>
          <w:fldChar w:fldCharType="end"/>
        </w:r>
      </w:hyperlink>
    </w:p>
    <w:p w14:paraId="03D75A63"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592" w:history="1">
        <w:r w:rsidR="00344727" w:rsidRPr="00C16B96">
          <w:rPr>
            <w:rStyle w:val="afd"/>
            <w:rFonts w:ascii="Times New Roman" w:hAnsi="Times New Roman"/>
            <w:noProof/>
          </w:rPr>
          <w:t>9.25.14</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境外贷款资金用途代码表</w:t>
        </w:r>
        <w:r w:rsidR="00344727">
          <w:rPr>
            <w:noProof/>
            <w:webHidden/>
          </w:rPr>
          <w:tab/>
        </w:r>
        <w:r w:rsidR="00A53BD0">
          <w:rPr>
            <w:noProof/>
            <w:webHidden/>
          </w:rPr>
          <w:fldChar w:fldCharType="begin"/>
        </w:r>
        <w:r w:rsidR="00344727">
          <w:rPr>
            <w:noProof/>
            <w:webHidden/>
          </w:rPr>
          <w:instrText xml:space="preserve"> PAGEREF _Toc101684592 \h </w:instrText>
        </w:r>
        <w:r w:rsidR="00A53BD0">
          <w:rPr>
            <w:noProof/>
            <w:webHidden/>
          </w:rPr>
        </w:r>
        <w:r w:rsidR="00A53BD0">
          <w:rPr>
            <w:noProof/>
            <w:webHidden/>
          </w:rPr>
          <w:fldChar w:fldCharType="separate"/>
        </w:r>
        <w:r w:rsidR="00E54F87">
          <w:rPr>
            <w:noProof/>
            <w:webHidden/>
          </w:rPr>
          <w:t>456</w:t>
        </w:r>
        <w:r w:rsidR="00A53BD0">
          <w:rPr>
            <w:noProof/>
            <w:webHidden/>
          </w:rPr>
          <w:fldChar w:fldCharType="end"/>
        </w:r>
      </w:hyperlink>
    </w:p>
    <w:p w14:paraId="77B337EA" w14:textId="77777777" w:rsidR="00344727" w:rsidRDefault="003C2B32" w:rsidP="00344727">
      <w:pPr>
        <w:pStyle w:val="TOC2"/>
        <w:tabs>
          <w:tab w:val="right" w:leader="dot" w:pos="8296"/>
        </w:tabs>
        <w:ind w:firstLine="480"/>
        <w:rPr>
          <w:rFonts w:asciiTheme="minorHAnsi" w:eastAsiaTheme="minorEastAsia" w:hAnsiTheme="minorHAnsi" w:cstheme="minorBidi"/>
          <w:noProof/>
          <w:kern w:val="2"/>
          <w:sz w:val="21"/>
          <w:szCs w:val="22"/>
        </w:rPr>
      </w:pPr>
      <w:hyperlink w:anchor="_Toc101684593" w:history="1">
        <w:r w:rsidR="00344727" w:rsidRPr="00C16B96">
          <w:rPr>
            <w:rStyle w:val="afd"/>
            <w:rFonts w:ascii="Times New Roman" w:hAnsi="Times New Roman"/>
            <w:noProof/>
          </w:rPr>
          <w:t>9.26</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机构外币现钞存取数据代码表</w:t>
        </w:r>
        <w:r w:rsidR="00344727">
          <w:rPr>
            <w:noProof/>
            <w:webHidden/>
          </w:rPr>
          <w:tab/>
        </w:r>
        <w:r w:rsidR="00A53BD0">
          <w:rPr>
            <w:noProof/>
            <w:webHidden/>
          </w:rPr>
          <w:fldChar w:fldCharType="begin"/>
        </w:r>
        <w:r w:rsidR="00344727">
          <w:rPr>
            <w:noProof/>
            <w:webHidden/>
          </w:rPr>
          <w:instrText xml:space="preserve"> PAGEREF _Toc101684593 \h </w:instrText>
        </w:r>
        <w:r w:rsidR="00A53BD0">
          <w:rPr>
            <w:noProof/>
            <w:webHidden/>
          </w:rPr>
        </w:r>
        <w:r w:rsidR="00A53BD0">
          <w:rPr>
            <w:noProof/>
            <w:webHidden/>
          </w:rPr>
          <w:fldChar w:fldCharType="separate"/>
        </w:r>
        <w:r w:rsidR="00E54F87">
          <w:rPr>
            <w:noProof/>
            <w:webHidden/>
          </w:rPr>
          <w:t>456</w:t>
        </w:r>
        <w:r w:rsidR="00A53BD0">
          <w:rPr>
            <w:noProof/>
            <w:webHidden/>
          </w:rPr>
          <w:fldChar w:fldCharType="end"/>
        </w:r>
      </w:hyperlink>
    </w:p>
    <w:p w14:paraId="317515CD"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594" w:history="1">
        <w:r w:rsidR="00344727" w:rsidRPr="00C16B96">
          <w:rPr>
            <w:rStyle w:val="afd"/>
            <w:rFonts w:ascii="Times New Roman" w:hAnsi="Times New Roman"/>
            <w:noProof/>
          </w:rPr>
          <w:t>9.26.1</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现钞来源说明代码表</w:t>
        </w:r>
        <w:r w:rsidR="00344727">
          <w:rPr>
            <w:noProof/>
            <w:webHidden/>
          </w:rPr>
          <w:tab/>
        </w:r>
        <w:r w:rsidR="00A53BD0">
          <w:rPr>
            <w:noProof/>
            <w:webHidden/>
          </w:rPr>
          <w:fldChar w:fldCharType="begin"/>
        </w:r>
        <w:r w:rsidR="00344727">
          <w:rPr>
            <w:noProof/>
            <w:webHidden/>
          </w:rPr>
          <w:instrText xml:space="preserve"> PAGEREF _Toc101684594 \h </w:instrText>
        </w:r>
        <w:r w:rsidR="00A53BD0">
          <w:rPr>
            <w:noProof/>
            <w:webHidden/>
          </w:rPr>
        </w:r>
        <w:r w:rsidR="00A53BD0">
          <w:rPr>
            <w:noProof/>
            <w:webHidden/>
          </w:rPr>
          <w:fldChar w:fldCharType="separate"/>
        </w:r>
        <w:r w:rsidR="00E54F87">
          <w:rPr>
            <w:noProof/>
            <w:webHidden/>
          </w:rPr>
          <w:t>456</w:t>
        </w:r>
        <w:r w:rsidR="00A53BD0">
          <w:rPr>
            <w:noProof/>
            <w:webHidden/>
          </w:rPr>
          <w:fldChar w:fldCharType="end"/>
        </w:r>
      </w:hyperlink>
    </w:p>
    <w:p w14:paraId="73D234CF" w14:textId="77777777" w:rsidR="00344727" w:rsidRDefault="003C2B32" w:rsidP="00344727">
      <w:pPr>
        <w:pStyle w:val="TOC3"/>
        <w:tabs>
          <w:tab w:val="right" w:leader="dot" w:pos="8296"/>
        </w:tabs>
        <w:ind w:firstLine="480"/>
        <w:rPr>
          <w:rFonts w:asciiTheme="minorHAnsi" w:eastAsiaTheme="minorEastAsia" w:hAnsiTheme="minorHAnsi" w:cstheme="minorBidi"/>
          <w:noProof/>
          <w:kern w:val="2"/>
          <w:sz w:val="21"/>
          <w:szCs w:val="22"/>
        </w:rPr>
      </w:pPr>
      <w:hyperlink w:anchor="_Toc101684595" w:history="1">
        <w:r w:rsidR="00344727" w:rsidRPr="00C16B96">
          <w:rPr>
            <w:rStyle w:val="afd"/>
            <w:rFonts w:ascii="Times New Roman" w:hAnsi="Times New Roman"/>
            <w:noProof/>
          </w:rPr>
          <w:t>9.26.2</w:t>
        </w:r>
        <w:r w:rsidR="00344727" w:rsidRPr="00C16B96">
          <w:rPr>
            <w:rStyle w:val="afd"/>
            <w:rFonts w:ascii="Times New Roman" w:hAnsi="Times New Roman" w:hint="eastAsia"/>
            <w:noProof/>
          </w:rPr>
          <w:t xml:space="preserve"> </w:t>
        </w:r>
        <w:r w:rsidR="00344727" w:rsidRPr="00C16B96">
          <w:rPr>
            <w:rStyle w:val="afd"/>
            <w:rFonts w:ascii="Times New Roman" w:hAnsi="Times New Roman" w:hint="eastAsia"/>
            <w:noProof/>
          </w:rPr>
          <w:t>现钞提取用途说明代码表</w:t>
        </w:r>
        <w:r w:rsidR="00344727">
          <w:rPr>
            <w:noProof/>
            <w:webHidden/>
          </w:rPr>
          <w:tab/>
        </w:r>
        <w:r w:rsidR="00A53BD0">
          <w:rPr>
            <w:noProof/>
            <w:webHidden/>
          </w:rPr>
          <w:fldChar w:fldCharType="begin"/>
        </w:r>
        <w:r w:rsidR="00344727">
          <w:rPr>
            <w:noProof/>
            <w:webHidden/>
          </w:rPr>
          <w:instrText xml:space="preserve"> PAGEREF _Toc101684595 \h </w:instrText>
        </w:r>
        <w:r w:rsidR="00A53BD0">
          <w:rPr>
            <w:noProof/>
            <w:webHidden/>
          </w:rPr>
        </w:r>
        <w:r w:rsidR="00A53BD0">
          <w:rPr>
            <w:noProof/>
            <w:webHidden/>
          </w:rPr>
          <w:fldChar w:fldCharType="separate"/>
        </w:r>
        <w:r w:rsidR="00E54F87">
          <w:rPr>
            <w:noProof/>
            <w:webHidden/>
          </w:rPr>
          <w:t>457</w:t>
        </w:r>
        <w:r w:rsidR="00A53BD0">
          <w:rPr>
            <w:noProof/>
            <w:webHidden/>
          </w:rPr>
          <w:fldChar w:fldCharType="end"/>
        </w:r>
      </w:hyperlink>
    </w:p>
    <w:p w14:paraId="6240D325" w14:textId="77777777" w:rsidR="00A052DC" w:rsidRDefault="00A53BD0">
      <w:pPr>
        <w:rPr>
          <w:szCs w:val="21"/>
        </w:rPr>
      </w:pPr>
      <w:r>
        <w:rPr>
          <w:szCs w:val="21"/>
        </w:rPr>
        <w:fldChar w:fldCharType="end"/>
      </w:r>
    </w:p>
    <w:p w14:paraId="6BF12CA6" w14:textId="77777777" w:rsidR="00A052DC" w:rsidRDefault="00A052DC">
      <w:pPr>
        <w:sectPr w:rsidR="00A052DC">
          <w:headerReference w:type="default" r:id="rId13"/>
          <w:footerReference w:type="default" r:id="rId14"/>
          <w:pgSz w:w="11906" w:h="16838"/>
          <w:pgMar w:top="1440" w:right="1800" w:bottom="1440" w:left="1800" w:header="851" w:footer="992" w:gutter="0"/>
          <w:pgNumType w:start="1"/>
          <w:cols w:space="425"/>
          <w:docGrid w:type="lines" w:linePitch="312"/>
        </w:sectPr>
      </w:pPr>
    </w:p>
    <w:p w14:paraId="1E4ABFF6" w14:textId="77777777" w:rsidR="00A052DC" w:rsidRPr="00AE4602" w:rsidRDefault="00A412F6" w:rsidP="0020251D">
      <w:pPr>
        <w:pStyle w:val="1"/>
        <w:numPr>
          <w:ilvl w:val="0"/>
          <w:numId w:val="3"/>
        </w:numPr>
        <w:rPr>
          <w:rFonts w:ascii="Times New Roman" w:hAnsi="Times New Roman"/>
        </w:rPr>
      </w:pPr>
      <w:bookmarkStart w:id="7" w:name="_Toc91455156"/>
      <w:bookmarkStart w:id="8" w:name="_Toc454385939"/>
      <w:bookmarkStart w:id="9" w:name="_Toc380356166"/>
      <w:bookmarkStart w:id="10" w:name="_Toc101684331"/>
      <w:r w:rsidRPr="00A412F6">
        <w:rPr>
          <w:rFonts w:ascii="Times New Roman" w:hAnsi="Times New Roman" w:hint="eastAsia"/>
        </w:rPr>
        <w:lastRenderedPageBreak/>
        <w:t>前言</w:t>
      </w:r>
      <w:bookmarkEnd w:id="7"/>
      <w:bookmarkEnd w:id="8"/>
      <w:bookmarkEnd w:id="9"/>
      <w:bookmarkEnd w:id="10"/>
    </w:p>
    <w:p w14:paraId="34B30A53" w14:textId="77777777" w:rsidR="00A052DC" w:rsidRPr="00AE4602" w:rsidRDefault="00A412F6" w:rsidP="0020251D">
      <w:pPr>
        <w:pStyle w:val="2"/>
        <w:rPr>
          <w:rFonts w:ascii="Times New Roman" w:hAnsi="Times New Roman"/>
        </w:rPr>
      </w:pPr>
      <w:bookmarkStart w:id="11" w:name="_Toc454385940"/>
      <w:bookmarkStart w:id="12" w:name="_Toc91455157"/>
      <w:bookmarkStart w:id="13" w:name="_Toc101684332"/>
      <w:bookmarkStart w:id="14" w:name="_Toc380356167"/>
      <w:r w:rsidRPr="00A412F6">
        <w:rPr>
          <w:rFonts w:ascii="Times New Roman" w:hint="eastAsia"/>
        </w:rPr>
        <w:t>概述</w:t>
      </w:r>
      <w:bookmarkEnd w:id="11"/>
      <w:bookmarkEnd w:id="12"/>
      <w:bookmarkEnd w:id="13"/>
    </w:p>
    <w:p w14:paraId="539FD058" w14:textId="77777777" w:rsidR="00A052DC" w:rsidRPr="00AE4602" w:rsidRDefault="00A412F6">
      <w:pPr>
        <w:spacing w:line="360" w:lineRule="auto"/>
        <w:ind w:firstLineChars="200" w:firstLine="480"/>
        <w:rPr>
          <w:rFonts w:ascii="Times New Roman" w:hAnsi="Times New Roman"/>
          <w:kern w:val="0"/>
          <w:sz w:val="24"/>
          <w:szCs w:val="20"/>
        </w:rPr>
      </w:pPr>
      <w:r w:rsidRPr="00A412F6">
        <w:rPr>
          <w:rFonts w:ascii="Times New Roman" w:hAnsi="Times New Roman" w:hint="eastAsia"/>
          <w:kern w:val="0"/>
          <w:sz w:val="24"/>
          <w:szCs w:val="20"/>
        </w:rPr>
        <w:t>为积极推进“数字外管”建设，提升数据共享服务能力，助推外汇管理改革与高质量发展，实现外汇业务数据标准化采集和部分业务数据反馈，进一步规范金融机构各类外汇业务数据采集接口，特修订本规范。</w:t>
      </w:r>
    </w:p>
    <w:p w14:paraId="350890AB" w14:textId="77777777" w:rsidR="00A052DC" w:rsidRPr="00AE4602" w:rsidRDefault="00A412F6" w:rsidP="0020251D">
      <w:pPr>
        <w:pStyle w:val="2"/>
        <w:rPr>
          <w:rFonts w:ascii="Times New Roman" w:hAnsi="Times New Roman"/>
        </w:rPr>
      </w:pPr>
      <w:bookmarkStart w:id="15" w:name="_Toc525911967"/>
      <w:bookmarkStart w:id="16" w:name="_Toc525911968"/>
      <w:bookmarkStart w:id="17" w:name="_Toc525912719"/>
      <w:bookmarkStart w:id="18" w:name="_Toc525912720"/>
      <w:bookmarkStart w:id="19" w:name="_Toc91455158"/>
      <w:bookmarkStart w:id="20" w:name="_Toc101684333"/>
      <w:bookmarkStart w:id="21" w:name="_Toc454385941"/>
      <w:bookmarkEnd w:id="15"/>
      <w:bookmarkEnd w:id="16"/>
      <w:bookmarkEnd w:id="17"/>
      <w:bookmarkEnd w:id="18"/>
      <w:r w:rsidRPr="00A412F6">
        <w:rPr>
          <w:rFonts w:ascii="Times New Roman" w:hAnsi="Times New Roman" w:hint="eastAsia"/>
        </w:rPr>
        <w:t>“数字外管”平台银行版</w:t>
      </w:r>
      <w:bookmarkEnd w:id="19"/>
      <w:bookmarkEnd w:id="20"/>
    </w:p>
    <w:bookmarkEnd w:id="14"/>
    <w:bookmarkEnd w:id="21"/>
    <w:p w14:paraId="24A2BBA7" w14:textId="77777777" w:rsidR="00A052DC" w:rsidRPr="00AE4602" w:rsidRDefault="00A412F6">
      <w:pPr>
        <w:spacing w:line="360" w:lineRule="auto"/>
        <w:ind w:firstLineChars="200" w:firstLine="480"/>
        <w:rPr>
          <w:rFonts w:ascii="Times New Roman" w:hAnsi="Times New Roman"/>
          <w:kern w:val="0"/>
          <w:sz w:val="24"/>
          <w:szCs w:val="20"/>
        </w:rPr>
      </w:pPr>
      <w:r w:rsidRPr="00A412F6">
        <w:rPr>
          <w:rFonts w:ascii="Times New Roman" w:hAnsi="Times New Roman" w:hint="eastAsia"/>
          <w:kern w:val="0"/>
          <w:sz w:val="24"/>
          <w:szCs w:val="20"/>
        </w:rPr>
        <w:t>国家外汇管理局（以下简称“外汇局”）“数字外管”平台银行版，是整合涉外收支交易、境内划转、外汇账户数据、结售汇、银行自身业务、部分代客业务、对外金融资产负债及交易、机构外币现钞存取、银行卡境外交易信息等数据的采集</w:t>
      </w:r>
      <w:r w:rsidRPr="00A412F6">
        <w:rPr>
          <w:rFonts w:ascii="Times New Roman" w:hAnsi="Times New Roman"/>
          <w:kern w:val="0"/>
          <w:sz w:val="24"/>
          <w:szCs w:val="20"/>
        </w:rPr>
        <w:t>/</w:t>
      </w:r>
      <w:r w:rsidRPr="00A412F6">
        <w:rPr>
          <w:rFonts w:ascii="Times New Roman" w:hAnsi="Times New Roman" w:hint="eastAsia"/>
          <w:kern w:val="0"/>
          <w:sz w:val="24"/>
          <w:szCs w:val="20"/>
        </w:rPr>
        <w:t>反馈和各项业务办理等需求而建立的面向金融机构的信息系统。</w:t>
      </w:r>
    </w:p>
    <w:p w14:paraId="1205ACBE" w14:textId="77777777" w:rsidR="00A052DC" w:rsidRPr="00AE4602" w:rsidRDefault="00A412F6" w:rsidP="0020251D">
      <w:pPr>
        <w:pStyle w:val="2"/>
        <w:rPr>
          <w:rFonts w:ascii="Times New Roman" w:hAnsi="Times New Roman"/>
        </w:rPr>
      </w:pPr>
      <w:bookmarkStart w:id="22" w:name="_Toc380356168"/>
      <w:bookmarkStart w:id="23" w:name="_Toc454385942"/>
      <w:bookmarkStart w:id="24" w:name="_Toc91455159"/>
      <w:bookmarkStart w:id="25" w:name="_Toc101684334"/>
      <w:r w:rsidRPr="00A412F6">
        <w:rPr>
          <w:rFonts w:ascii="Times New Roman" w:hAnsi="Times New Roman" w:hint="eastAsia"/>
        </w:rPr>
        <w:t>数据采集和接入方式说明</w:t>
      </w:r>
      <w:bookmarkEnd w:id="22"/>
      <w:bookmarkEnd w:id="23"/>
      <w:bookmarkEnd w:id="24"/>
      <w:bookmarkEnd w:id="25"/>
    </w:p>
    <w:p w14:paraId="7EC0BBE7" w14:textId="77777777" w:rsidR="00A052DC" w:rsidRPr="00AE4602" w:rsidRDefault="009F0A60">
      <w:pPr>
        <w:spacing w:line="360" w:lineRule="auto"/>
        <w:ind w:firstLineChars="200" w:firstLine="480"/>
        <w:rPr>
          <w:rFonts w:ascii="Times New Roman" w:hAnsi="Times New Roman"/>
          <w:kern w:val="0"/>
          <w:sz w:val="24"/>
          <w:szCs w:val="20"/>
        </w:rPr>
      </w:pPr>
      <w:r w:rsidRPr="00AE4602">
        <w:rPr>
          <w:rFonts w:ascii="Times New Roman" w:hAnsi="Times New Roman" w:hint="eastAsia"/>
          <w:kern w:val="0"/>
          <w:sz w:val="24"/>
          <w:szCs w:val="20"/>
        </w:rPr>
        <w:t>金融机构数据采集方式分为两种：一是通过规范的后台数据接口文件进行批量、定期采集。各金融机构定期按照规范要求生成数据接口文件，并通过消息传输系统（</w:t>
      </w:r>
      <w:r w:rsidRPr="00AE4602">
        <w:rPr>
          <w:rFonts w:ascii="Times New Roman" w:hAnsi="Times New Roman"/>
          <w:kern w:val="0"/>
          <w:sz w:val="24"/>
          <w:szCs w:val="20"/>
        </w:rPr>
        <w:t>MTS</w:t>
      </w:r>
      <w:r w:rsidRPr="00AE4602">
        <w:rPr>
          <w:rFonts w:ascii="Times New Roman" w:hAnsi="Times New Roman" w:hint="eastAsia"/>
          <w:kern w:val="0"/>
          <w:sz w:val="24"/>
          <w:szCs w:val="20"/>
        </w:rPr>
        <w:t>）报送到外汇局。</w:t>
      </w:r>
      <w:r w:rsidRPr="00AE4602">
        <w:rPr>
          <w:rFonts w:ascii="Times New Roman" w:hAnsi="Times New Roman"/>
          <w:kern w:val="0"/>
          <w:sz w:val="24"/>
          <w:szCs w:val="20"/>
        </w:rPr>
        <w:t>多家金融机构可共用网络专线和消息传输系统</w:t>
      </w:r>
      <w:r w:rsidRPr="00AE4602">
        <w:rPr>
          <w:rFonts w:ascii="Times New Roman" w:hAnsi="Times New Roman" w:hint="eastAsia"/>
          <w:kern w:val="0"/>
          <w:sz w:val="24"/>
          <w:szCs w:val="20"/>
        </w:rPr>
        <w:t>（</w:t>
      </w:r>
      <w:r w:rsidRPr="00AE4602">
        <w:rPr>
          <w:rFonts w:ascii="Times New Roman" w:hAnsi="Times New Roman" w:hint="eastAsia"/>
          <w:kern w:val="0"/>
          <w:sz w:val="24"/>
          <w:szCs w:val="20"/>
        </w:rPr>
        <w:t>MTS</w:t>
      </w:r>
      <w:r w:rsidRPr="00AE4602">
        <w:rPr>
          <w:rFonts w:ascii="Times New Roman" w:hAnsi="Times New Roman" w:hint="eastAsia"/>
          <w:kern w:val="0"/>
          <w:sz w:val="24"/>
          <w:szCs w:val="20"/>
        </w:rPr>
        <w:t>）。二是通过金融机构数据采集界面实现数据报送，界面报送分为手工录入和规范文件格式导入两种方式。</w:t>
      </w:r>
    </w:p>
    <w:p w14:paraId="42F586AD" w14:textId="77777777" w:rsidR="00A052DC" w:rsidRPr="00AE4602" w:rsidRDefault="00A412F6">
      <w:pPr>
        <w:spacing w:line="360" w:lineRule="auto"/>
        <w:ind w:firstLineChars="200" w:firstLine="480"/>
        <w:rPr>
          <w:rFonts w:ascii="Times New Roman" w:hAnsi="Times New Roman"/>
          <w:kern w:val="0"/>
          <w:sz w:val="24"/>
          <w:szCs w:val="20"/>
          <w:highlight w:val="yellow"/>
        </w:rPr>
      </w:pPr>
      <w:r w:rsidRPr="00A412F6">
        <w:rPr>
          <w:rFonts w:ascii="Times New Roman" w:hint="eastAsia"/>
          <w:sz w:val="24"/>
        </w:rPr>
        <w:t>涉外收支、境内划转</w:t>
      </w:r>
      <w:r w:rsidR="009F0A60" w:rsidRPr="00AE4602">
        <w:rPr>
          <w:rFonts w:ascii="Times New Roman" w:hAnsi="Times New Roman" w:hint="eastAsia"/>
          <w:kern w:val="0"/>
          <w:sz w:val="24"/>
          <w:szCs w:val="20"/>
        </w:rPr>
        <w:t>、</w:t>
      </w:r>
      <w:r w:rsidRPr="00A412F6">
        <w:rPr>
          <w:rFonts w:ascii="Times New Roman" w:hint="eastAsia"/>
          <w:sz w:val="24"/>
        </w:rPr>
        <w:t>暂停持境内银行卡在境外提取现金个人名单等</w:t>
      </w:r>
      <w:r w:rsidRPr="00A412F6">
        <w:rPr>
          <w:rFonts w:ascii="Times New Roman" w:hAnsi="Times New Roman" w:hint="eastAsia"/>
          <w:kern w:val="0"/>
          <w:sz w:val="24"/>
          <w:szCs w:val="24"/>
        </w:rPr>
        <w:t>相关数据，外汇局按规范文件格式定期通过</w:t>
      </w:r>
      <w:r w:rsidRPr="00A412F6">
        <w:rPr>
          <w:rFonts w:ascii="Times New Roman" w:hAnsi="Times New Roman"/>
          <w:kern w:val="0"/>
          <w:sz w:val="24"/>
          <w:szCs w:val="24"/>
        </w:rPr>
        <w:t>MTS</w:t>
      </w:r>
      <w:r w:rsidRPr="00A412F6">
        <w:rPr>
          <w:rFonts w:ascii="Times New Roman" w:hAnsi="Times New Roman" w:hint="eastAsia"/>
          <w:kern w:val="0"/>
          <w:sz w:val="24"/>
          <w:szCs w:val="24"/>
        </w:rPr>
        <w:t>向金融机构下发接口文件或提供界面功能下载。</w:t>
      </w:r>
    </w:p>
    <w:p w14:paraId="603C7B21" w14:textId="77777777" w:rsidR="00A052DC" w:rsidRPr="00AE4602" w:rsidRDefault="00A412F6">
      <w:pPr>
        <w:spacing w:line="360" w:lineRule="auto"/>
        <w:ind w:firstLineChars="200" w:firstLine="480"/>
        <w:rPr>
          <w:rFonts w:ascii="Times New Roman" w:hAnsi="Times New Roman"/>
          <w:kern w:val="0"/>
          <w:sz w:val="24"/>
          <w:szCs w:val="20"/>
        </w:rPr>
      </w:pPr>
      <w:r w:rsidRPr="00A412F6">
        <w:rPr>
          <w:rFonts w:ascii="Times New Roman" w:hAnsi="Times New Roman" w:hint="eastAsia"/>
          <w:kern w:val="0"/>
          <w:sz w:val="24"/>
          <w:szCs w:val="20"/>
        </w:rPr>
        <w:t>境内银行原则上通过专线接入外汇局业务网。非银行金融机构数据采集的网络接入方式分为两种：一是通过专线接入外汇局业务网，这种方式提供接口方式和界面方式两种采集方式；二是通过互联网访问外汇业务数据采集平台，这种方式只提供界面方式报送数据。</w:t>
      </w:r>
    </w:p>
    <w:p w14:paraId="0B4C8A7E" w14:textId="77777777" w:rsidR="00A052DC" w:rsidRPr="00AE4602" w:rsidRDefault="00A412F6" w:rsidP="0020251D">
      <w:pPr>
        <w:pStyle w:val="2"/>
        <w:rPr>
          <w:rFonts w:ascii="Times New Roman" w:hAnsi="Times New Roman"/>
        </w:rPr>
      </w:pPr>
      <w:bookmarkStart w:id="26" w:name="_Toc454385943"/>
      <w:bookmarkStart w:id="27" w:name="_Toc90624955"/>
      <w:bookmarkStart w:id="28" w:name="_Toc380356169"/>
      <w:bookmarkStart w:id="29" w:name="_Toc91455160"/>
      <w:bookmarkStart w:id="30" w:name="_Toc101684335"/>
      <w:r w:rsidRPr="00A412F6">
        <w:rPr>
          <w:rFonts w:ascii="Times New Roman" w:hAnsi="Times New Roman" w:hint="eastAsia"/>
        </w:rPr>
        <w:lastRenderedPageBreak/>
        <w:t>本次版本修订主要内容</w:t>
      </w:r>
      <w:bookmarkEnd w:id="26"/>
      <w:bookmarkEnd w:id="27"/>
      <w:bookmarkEnd w:id="28"/>
      <w:bookmarkEnd w:id="29"/>
      <w:bookmarkEnd w:id="30"/>
    </w:p>
    <w:p w14:paraId="1269ADA9" w14:textId="77777777" w:rsidR="00A052DC" w:rsidRPr="00AE4602" w:rsidRDefault="00A412F6" w:rsidP="0020251D">
      <w:pPr>
        <w:pStyle w:val="3"/>
        <w:ind w:left="0"/>
        <w:rPr>
          <w:rFonts w:ascii="Times New Roman" w:hAnsi="Times New Roman"/>
        </w:rPr>
      </w:pPr>
      <w:bookmarkStart w:id="31" w:name="_Toc449104547"/>
      <w:bookmarkStart w:id="32" w:name="_Toc449104503"/>
      <w:bookmarkStart w:id="33" w:name="_Toc90624956"/>
      <w:bookmarkStart w:id="34" w:name="_Toc91455161"/>
      <w:bookmarkStart w:id="35" w:name="_Toc454385944"/>
      <w:bookmarkStart w:id="36" w:name="_Toc101684336"/>
      <w:bookmarkEnd w:id="31"/>
      <w:bookmarkEnd w:id="32"/>
      <w:r w:rsidRPr="00A412F6">
        <w:rPr>
          <w:rFonts w:ascii="Times New Roman" w:hAnsi="Times New Roman" w:hint="eastAsia"/>
        </w:rPr>
        <w:t>本版本新增或取消的采集内容</w:t>
      </w:r>
      <w:bookmarkEnd w:id="33"/>
      <w:bookmarkEnd w:id="34"/>
      <w:bookmarkEnd w:id="35"/>
      <w:bookmarkEnd w:id="36"/>
    </w:p>
    <w:p w14:paraId="7B37F479" w14:textId="77777777" w:rsidR="00A052DC" w:rsidRPr="00AE4602" w:rsidRDefault="009F0A60">
      <w:pPr>
        <w:spacing w:line="360" w:lineRule="auto"/>
        <w:ind w:firstLine="480"/>
        <w:rPr>
          <w:rFonts w:ascii="Times New Roman" w:hAnsi="Times New Roman"/>
          <w:sz w:val="24"/>
        </w:rPr>
      </w:pPr>
      <w:r w:rsidRPr="00AE4602">
        <w:rPr>
          <w:rFonts w:ascii="Times New Roman" w:hAnsi="Times New Roman" w:hint="eastAsia"/>
          <w:sz w:val="24"/>
        </w:rPr>
        <w:t>一、新增境外建设、运输收入、非居民持有境内银行卡的收入支出等对外金融资产负债及交易类信息的采集。</w:t>
      </w:r>
    </w:p>
    <w:p w14:paraId="2CAABC1F" w14:textId="77777777" w:rsidR="00A052DC" w:rsidRPr="00AE4602" w:rsidRDefault="009F0A60">
      <w:pPr>
        <w:spacing w:line="360" w:lineRule="auto"/>
        <w:ind w:firstLine="480"/>
        <w:rPr>
          <w:rFonts w:ascii="Times New Roman" w:hAnsi="Times New Roman"/>
          <w:sz w:val="24"/>
        </w:rPr>
      </w:pPr>
      <w:r w:rsidRPr="00AE4602">
        <w:rPr>
          <w:rFonts w:ascii="Times New Roman" w:hAnsi="Times New Roman" w:hint="eastAsia"/>
          <w:sz w:val="24"/>
        </w:rPr>
        <w:t>二、新增非居民机构账户间境内划转数据、机构大额结售汇资金来源和使用数据、涉嫌外汇违规账户信息等</w:t>
      </w:r>
      <w:r w:rsidRPr="00AE4602">
        <w:rPr>
          <w:rFonts w:ascii="Times New Roman" w:hAnsi="Times New Roman" w:hint="eastAsia"/>
          <w:sz w:val="24"/>
        </w:rPr>
        <w:t>3</w:t>
      </w:r>
      <w:r w:rsidRPr="00AE4602">
        <w:rPr>
          <w:rFonts w:ascii="Times New Roman" w:hAnsi="Times New Roman" w:hint="eastAsia"/>
          <w:sz w:val="24"/>
        </w:rPr>
        <w:t>类数据的采集。</w:t>
      </w:r>
    </w:p>
    <w:p w14:paraId="2CFFB5F9" w14:textId="77777777" w:rsidR="00A052DC" w:rsidRPr="00AE4602" w:rsidRDefault="00A412F6" w:rsidP="0020251D">
      <w:pPr>
        <w:pStyle w:val="3"/>
        <w:ind w:left="0"/>
        <w:rPr>
          <w:rFonts w:ascii="Times New Roman" w:hAnsi="Times New Roman"/>
        </w:rPr>
      </w:pPr>
      <w:bookmarkStart w:id="37" w:name="_Toc97660566"/>
      <w:bookmarkStart w:id="38" w:name="_Toc84577917"/>
      <w:bookmarkStart w:id="39" w:name="_Toc97820893"/>
      <w:bookmarkStart w:id="40" w:name="_Toc97821322"/>
      <w:bookmarkStart w:id="41" w:name="_Toc97660137"/>
      <w:bookmarkStart w:id="42" w:name="_Toc98754026"/>
      <w:bookmarkStart w:id="43" w:name="_Toc85616143"/>
      <w:bookmarkStart w:id="44" w:name="_Toc97660989"/>
      <w:bookmarkStart w:id="45" w:name="_Toc85616144"/>
      <w:bookmarkStart w:id="46" w:name="_Toc98764220"/>
      <w:bookmarkStart w:id="47" w:name="_Toc84666214"/>
      <w:bookmarkStart w:id="48" w:name="_Toc90624957"/>
      <w:bookmarkStart w:id="49" w:name="_Toc454385945"/>
      <w:bookmarkStart w:id="50" w:name="_Toc91455162"/>
      <w:bookmarkStart w:id="51" w:name="_Toc101684337"/>
      <w:bookmarkEnd w:id="37"/>
      <w:bookmarkEnd w:id="38"/>
      <w:bookmarkEnd w:id="39"/>
      <w:bookmarkEnd w:id="40"/>
      <w:bookmarkEnd w:id="41"/>
      <w:bookmarkEnd w:id="42"/>
      <w:bookmarkEnd w:id="43"/>
      <w:bookmarkEnd w:id="44"/>
      <w:bookmarkEnd w:id="45"/>
      <w:bookmarkEnd w:id="46"/>
      <w:bookmarkEnd w:id="47"/>
      <w:r w:rsidRPr="00A412F6">
        <w:rPr>
          <w:rFonts w:ascii="Times New Roman" w:hAnsi="Times New Roman" w:hint="eastAsia"/>
        </w:rPr>
        <w:t>本版本对采集数据的修订情况</w:t>
      </w:r>
      <w:bookmarkEnd w:id="48"/>
      <w:bookmarkEnd w:id="49"/>
      <w:bookmarkEnd w:id="50"/>
      <w:bookmarkEnd w:id="51"/>
    </w:p>
    <w:p w14:paraId="68F4DA96" w14:textId="77777777" w:rsidR="00A052DC" w:rsidRPr="00AE4602" w:rsidRDefault="009F0A60">
      <w:pPr>
        <w:spacing w:line="360" w:lineRule="auto"/>
        <w:ind w:firstLine="480"/>
        <w:rPr>
          <w:rFonts w:ascii="Times New Roman" w:hAnsi="Times New Roman"/>
          <w:sz w:val="24"/>
        </w:rPr>
      </w:pPr>
      <w:r w:rsidRPr="00AE4602">
        <w:rPr>
          <w:rFonts w:ascii="Times New Roman" w:hAnsi="Times New Roman" w:hint="eastAsia"/>
          <w:sz w:val="24"/>
        </w:rPr>
        <w:t>一、修订单位基本情况表采集。将“单位基本情况表”更名为“组织机构基本情况表”，“组织机构代码”数据项更名为“主体标识码”，删除“外方投资者国别（地区）名称及代码”数据项，将数据项“单位传真”修改为“建表日期”，完善数据项“</w:t>
      </w:r>
      <w:r w:rsidRPr="00AE4602">
        <w:rPr>
          <w:rFonts w:ascii="Times New Roman" w:hAnsi="Times New Roman" w:hint="eastAsia"/>
          <w:sz w:val="24"/>
        </w:rPr>
        <w:t>L</w:t>
      </w:r>
      <w:r w:rsidRPr="00AE4602">
        <w:rPr>
          <w:rFonts w:ascii="Times New Roman" w:hAnsi="Times New Roman"/>
          <w:sz w:val="24"/>
        </w:rPr>
        <w:t>EI</w:t>
      </w:r>
      <w:r w:rsidRPr="00AE4602">
        <w:rPr>
          <w:rFonts w:ascii="Times New Roman" w:hAnsi="Times New Roman" w:hint="eastAsia"/>
          <w:sz w:val="24"/>
        </w:rPr>
        <w:t>编码”、“法定代表人身份证件号码”、“申报方式”的数据定义和校验规则，调整数据项“特殊经济区内企业类型”的校验规则。</w:t>
      </w:r>
    </w:p>
    <w:p w14:paraId="14729120" w14:textId="77777777" w:rsidR="00A052DC" w:rsidRPr="00AE4602" w:rsidRDefault="009F0A60">
      <w:pPr>
        <w:wordWrap w:val="0"/>
        <w:spacing w:line="360" w:lineRule="auto"/>
        <w:ind w:firstLine="482"/>
        <w:jc w:val="left"/>
        <w:rPr>
          <w:rFonts w:ascii="Times New Roman" w:hAnsi="Times New Roman"/>
          <w:sz w:val="24"/>
        </w:rPr>
      </w:pPr>
      <w:r w:rsidRPr="00AE4602">
        <w:rPr>
          <w:rFonts w:ascii="Times New Roman" w:hAnsi="Times New Roman" w:hint="eastAsia"/>
          <w:sz w:val="24"/>
        </w:rPr>
        <w:t>二、修订对外金融资产负债及交易统计数据采集。一是新增或补充申报信息。如完善</w:t>
      </w:r>
      <w:r w:rsidRPr="00AE4602">
        <w:rPr>
          <w:rFonts w:ascii="Times New Roman" w:hAnsi="Times New Roman"/>
          <w:sz w:val="24"/>
        </w:rPr>
        <w:t>A</w:t>
      </w:r>
      <w:r w:rsidRPr="00AE4602">
        <w:rPr>
          <w:rFonts w:ascii="Times New Roman" w:hAnsi="Times New Roman" w:hint="eastAsia"/>
          <w:sz w:val="24"/>
        </w:rPr>
        <w:t>表对</w:t>
      </w:r>
      <w:r w:rsidRPr="00AE4602">
        <w:rPr>
          <w:rFonts w:ascii="Times New Roman" w:hAnsi="Times New Roman"/>
          <w:sz w:val="24"/>
        </w:rPr>
        <w:t>SPV</w:t>
      </w:r>
      <w:r w:rsidRPr="00AE4602">
        <w:rPr>
          <w:rFonts w:ascii="Times New Roman" w:hAnsi="Times New Roman" w:hint="eastAsia"/>
          <w:sz w:val="24"/>
        </w:rPr>
        <w:t>或壳机构信息的采集，新增</w:t>
      </w:r>
      <w:r w:rsidRPr="00AE4602">
        <w:rPr>
          <w:rFonts w:ascii="Times New Roman" w:hAnsi="Times New Roman"/>
          <w:sz w:val="24"/>
        </w:rPr>
        <w:t>E02-1</w:t>
      </w:r>
      <w:r w:rsidRPr="00AE4602">
        <w:rPr>
          <w:rFonts w:ascii="Times New Roman" w:hAnsi="Times New Roman" w:hint="eastAsia"/>
          <w:sz w:val="24"/>
        </w:rPr>
        <w:t>表境外建设项目概览表、</w:t>
      </w:r>
      <w:r w:rsidRPr="00AE4602">
        <w:rPr>
          <w:rFonts w:ascii="Times New Roman" w:hAnsi="Times New Roman"/>
          <w:sz w:val="24"/>
        </w:rPr>
        <w:t>E02-2</w:t>
      </w:r>
      <w:r w:rsidRPr="00AE4602">
        <w:rPr>
          <w:rFonts w:ascii="Times New Roman" w:hAnsi="Times New Roman" w:hint="eastAsia"/>
          <w:sz w:val="24"/>
        </w:rPr>
        <w:t>境外建设统计表、</w:t>
      </w:r>
      <w:r w:rsidRPr="00AE4602">
        <w:rPr>
          <w:rFonts w:ascii="Times New Roman" w:hAnsi="Times New Roman"/>
          <w:sz w:val="24"/>
        </w:rPr>
        <w:t>E03</w:t>
      </w:r>
      <w:r w:rsidRPr="00AE4602">
        <w:rPr>
          <w:rFonts w:ascii="Times New Roman" w:hAnsi="Times New Roman" w:hint="eastAsia"/>
          <w:sz w:val="24"/>
        </w:rPr>
        <w:t>运输收入统计表、</w:t>
      </w:r>
      <w:r w:rsidRPr="00AE4602">
        <w:rPr>
          <w:rFonts w:ascii="Times New Roman" w:hAnsi="Times New Roman"/>
          <w:sz w:val="24"/>
        </w:rPr>
        <w:t>G03</w:t>
      </w:r>
      <w:r w:rsidRPr="00AE4602">
        <w:rPr>
          <w:rFonts w:ascii="Times New Roman" w:hAnsi="Times New Roman" w:hint="eastAsia"/>
          <w:sz w:val="24"/>
        </w:rPr>
        <w:t>表非居民持有境内银行卡的收入支出，</w:t>
      </w:r>
      <w:r w:rsidRPr="00AE4602">
        <w:rPr>
          <w:rFonts w:ascii="Times New Roman" w:hAnsi="Times New Roman"/>
          <w:sz w:val="24"/>
        </w:rPr>
        <w:t>D02</w:t>
      </w:r>
      <w:r w:rsidRPr="00AE4602">
        <w:rPr>
          <w:rFonts w:ascii="Times New Roman" w:hAnsi="Times New Roman" w:hint="eastAsia"/>
          <w:sz w:val="24"/>
        </w:rPr>
        <w:t>表新增“贷款类别”数据项，</w:t>
      </w:r>
      <w:r w:rsidRPr="00AE4602">
        <w:rPr>
          <w:rFonts w:ascii="Times New Roman" w:hAnsi="Times New Roman"/>
          <w:sz w:val="24"/>
        </w:rPr>
        <w:t>B02</w:t>
      </w:r>
      <w:r w:rsidRPr="00AE4602">
        <w:rPr>
          <w:rFonts w:ascii="Times New Roman" w:hAnsi="Times New Roman" w:hint="eastAsia"/>
          <w:sz w:val="24"/>
        </w:rPr>
        <w:t>、</w:t>
      </w:r>
      <w:r w:rsidRPr="00AE4602">
        <w:rPr>
          <w:rFonts w:ascii="Times New Roman" w:hAnsi="Times New Roman"/>
          <w:sz w:val="24"/>
        </w:rPr>
        <w:t>D04</w:t>
      </w:r>
      <w:r w:rsidRPr="00AE4602">
        <w:rPr>
          <w:rFonts w:ascii="Times New Roman" w:hAnsi="Times New Roman" w:hint="eastAsia"/>
          <w:sz w:val="24"/>
        </w:rPr>
        <w:t>、</w:t>
      </w:r>
      <w:r w:rsidRPr="00AE4602">
        <w:rPr>
          <w:rFonts w:ascii="Times New Roman" w:hAnsi="Times New Roman"/>
          <w:sz w:val="24"/>
        </w:rPr>
        <w:t>D08</w:t>
      </w:r>
      <w:r w:rsidRPr="00AE4602">
        <w:rPr>
          <w:rFonts w:ascii="Times New Roman" w:hAnsi="Times New Roman" w:hint="eastAsia"/>
          <w:sz w:val="24"/>
        </w:rPr>
        <w:t>等表新增“业务类型”数据项，</w:t>
      </w:r>
      <w:r w:rsidRPr="00AE4602">
        <w:rPr>
          <w:rFonts w:ascii="Times New Roman" w:hAnsi="Times New Roman"/>
          <w:sz w:val="24"/>
        </w:rPr>
        <w:t>E01</w:t>
      </w:r>
      <w:r w:rsidRPr="00AE4602">
        <w:rPr>
          <w:rFonts w:ascii="Times New Roman" w:hAnsi="Times New Roman" w:hint="eastAsia"/>
          <w:sz w:val="24"/>
        </w:rPr>
        <w:t>表新增“原始币种”数据项。二是修改部分报表名称和数据项名称。如</w:t>
      </w:r>
      <w:r w:rsidRPr="00AE4602">
        <w:rPr>
          <w:rFonts w:ascii="Times New Roman" w:hAnsi="Times New Roman"/>
          <w:sz w:val="24"/>
        </w:rPr>
        <w:t>Z01</w:t>
      </w:r>
      <w:r w:rsidRPr="00AE4602">
        <w:rPr>
          <w:rFonts w:ascii="Times New Roman" w:hAnsi="Times New Roman" w:hint="eastAsia"/>
          <w:sz w:val="24"/>
        </w:rPr>
        <w:t>表修改表名为“单位基本情况信息”，</w:t>
      </w:r>
      <w:r w:rsidRPr="00AE4602">
        <w:rPr>
          <w:rFonts w:ascii="Times New Roman" w:hAnsi="Times New Roman" w:hint="eastAsia"/>
          <w:sz w:val="24"/>
        </w:rPr>
        <w:t>Z02</w:t>
      </w:r>
      <w:r w:rsidRPr="00AE4602">
        <w:rPr>
          <w:rFonts w:ascii="Times New Roman" w:hAnsi="Times New Roman" w:hint="eastAsia"/>
          <w:sz w:val="24"/>
        </w:rPr>
        <w:t>表修改表名为“业务概览及联系方式”，</w:t>
      </w:r>
      <w:r w:rsidRPr="00AE4602">
        <w:rPr>
          <w:rFonts w:ascii="Times New Roman" w:hAnsi="Times New Roman" w:hint="eastAsia"/>
          <w:sz w:val="24"/>
        </w:rPr>
        <w:t>Z03</w:t>
      </w:r>
      <w:r w:rsidRPr="00AE4602">
        <w:rPr>
          <w:rFonts w:ascii="Times New Roman" w:hAnsi="Times New Roman" w:hint="eastAsia"/>
          <w:sz w:val="24"/>
        </w:rPr>
        <w:t>表修改表名为“投资关系（组织架构）”，</w:t>
      </w:r>
      <w:r w:rsidRPr="00AE4602">
        <w:rPr>
          <w:rFonts w:ascii="Times New Roman" w:hAnsi="Times New Roman"/>
          <w:sz w:val="24"/>
        </w:rPr>
        <w:t>A01-1</w:t>
      </w:r>
      <w:r w:rsidRPr="00AE4602">
        <w:rPr>
          <w:rFonts w:ascii="Times New Roman" w:hAnsi="Times New Roman" w:hint="eastAsia"/>
          <w:sz w:val="24"/>
        </w:rPr>
        <w:t>表修改表名为“对外直接投资（资产负债、利润及市值）”，</w:t>
      </w:r>
      <w:r w:rsidRPr="00AE4602">
        <w:rPr>
          <w:rFonts w:ascii="Times New Roman" w:hAnsi="Times New Roman"/>
          <w:sz w:val="24"/>
        </w:rPr>
        <w:t>A02-1</w:t>
      </w:r>
      <w:r w:rsidRPr="00AE4602">
        <w:rPr>
          <w:rFonts w:ascii="Times New Roman" w:hAnsi="Times New Roman" w:hint="eastAsia"/>
          <w:sz w:val="24"/>
        </w:rPr>
        <w:t>表修改表名为“来华直接投资（资产负债及利润）”，</w:t>
      </w:r>
      <w:r w:rsidRPr="00AE4602">
        <w:rPr>
          <w:rFonts w:ascii="Times New Roman" w:hAnsi="Times New Roman"/>
          <w:sz w:val="24"/>
        </w:rPr>
        <w:t>A02-2</w:t>
      </w:r>
      <w:r w:rsidRPr="00AE4602">
        <w:rPr>
          <w:rFonts w:ascii="Times New Roman" w:hAnsi="Times New Roman" w:hint="eastAsia"/>
          <w:sz w:val="24"/>
        </w:rPr>
        <w:t>表修改表名为“来华直接投资（境外投资者持股情况）”，</w:t>
      </w:r>
      <w:r w:rsidRPr="00AE4602">
        <w:rPr>
          <w:rFonts w:ascii="Times New Roman" w:hAnsi="Times New Roman"/>
          <w:sz w:val="24"/>
        </w:rPr>
        <w:t>A02-3</w:t>
      </w:r>
      <w:r w:rsidRPr="00AE4602">
        <w:rPr>
          <w:rFonts w:ascii="Times New Roman" w:hAnsi="Times New Roman" w:hint="eastAsia"/>
          <w:sz w:val="24"/>
        </w:rPr>
        <w:t>表修改表名为“来华直接投资（流量）”，</w:t>
      </w:r>
      <w:r w:rsidRPr="00AE4602">
        <w:rPr>
          <w:rFonts w:ascii="Times New Roman" w:hAnsi="Times New Roman"/>
          <w:sz w:val="24"/>
        </w:rPr>
        <w:t>D04</w:t>
      </w:r>
      <w:r w:rsidRPr="00AE4602">
        <w:rPr>
          <w:rFonts w:ascii="Times New Roman" w:hAnsi="Times New Roman" w:hint="eastAsia"/>
          <w:sz w:val="24"/>
        </w:rPr>
        <w:t>表修改表名为“应收款及预付款（不含应收利息）（资产）”，</w:t>
      </w:r>
      <w:r w:rsidRPr="00AE4602">
        <w:rPr>
          <w:rFonts w:ascii="Times New Roman" w:hAnsi="Times New Roman"/>
          <w:sz w:val="24"/>
        </w:rPr>
        <w:t>D08</w:t>
      </w:r>
      <w:r w:rsidRPr="00AE4602">
        <w:rPr>
          <w:rFonts w:ascii="Times New Roman" w:hAnsi="Times New Roman" w:hint="eastAsia"/>
          <w:sz w:val="24"/>
        </w:rPr>
        <w:t>表修改表名为“应付款及预收款（不含应付利息）（负债）”，</w:t>
      </w:r>
      <w:r w:rsidRPr="00AE4602">
        <w:rPr>
          <w:rFonts w:ascii="Times New Roman" w:hAnsi="Times New Roman"/>
          <w:sz w:val="24"/>
        </w:rPr>
        <w:t>H01</w:t>
      </w:r>
      <w:r w:rsidRPr="00AE4602">
        <w:rPr>
          <w:rFonts w:ascii="Times New Roman" w:hAnsi="Times New Roman" w:hint="eastAsia"/>
          <w:sz w:val="24"/>
        </w:rPr>
        <w:t>表修改表名为“为非居民托管业务统计（</w:t>
      </w:r>
      <w:r w:rsidRPr="00AE4602">
        <w:rPr>
          <w:rFonts w:ascii="Times New Roman" w:hAnsi="Times New Roman"/>
          <w:sz w:val="24"/>
        </w:rPr>
        <w:t>QFII/RQFII</w:t>
      </w:r>
      <w:r w:rsidRPr="00AE4602">
        <w:rPr>
          <w:rFonts w:ascii="Times New Roman" w:hAnsi="Times New Roman" w:hint="eastAsia"/>
          <w:sz w:val="24"/>
        </w:rPr>
        <w:t>等）”，</w:t>
      </w:r>
      <w:r w:rsidRPr="00AE4602">
        <w:rPr>
          <w:rFonts w:ascii="Times New Roman" w:hAnsi="Times New Roman"/>
          <w:sz w:val="24"/>
        </w:rPr>
        <w:t>H02</w:t>
      </w:r>
      <w:r w:rsidRPr="00AE4602">
        <w:rPr>
          <w:rFonts w:ascii="Times New Roman" w:hAnsi="Times New Roman" w:hint="eastAsia"/>
          <w:sz w:val="24"/>
        </w:rPr>
        <w:t>表修改表名为“为居民托管业务统计（</w:t>
      </w:r>
      <w:r w:rsidRPr="00AE4602">
        <w:rPr>
          <w:rFonts w:ascii="Times New Roman" w:hAnsi="Times New Roman"/>
          <w:sz w:val="24"/>
        </w:rPr>
        <w:t>QDII/RQDII/QDLP/QDIE</w:t>
      </w:r>
      <w:r w:rsidRPr="00AE4602">
        <w:rPr>
          <w:rFonts w:ascii="Times New Roman" w:hAnsi="Times New Roman" w:hint="eastAsia"/>
          <w:sz w:val="24"/>
        </w:rPr>
        <w:t>等）”，</w:t>
      </w:r>
      <w:r w:rsidRPr="00AE4602">
        <w:rPr>
          <w:rFonts w:ascii="Times New Roman" w:hAnsi="Times New Roman"/>
          <w:sz w:val="24"/>
        </w:rPr>
        <w:t>A</w:t>
      </w:r>
      <w:r w:rsidRPr="00AE4602">
        <w:rPr>
          <w:rFonts w:ascii="Times New Roman" w:hAnsi="Times New Roman" w:hint="eastAsia"/>
          <w:sz w:val="24"/>
        </w:rPr>
        <w:t>表修改表中数据项“本月利润总额”为“本期利润总额”等。三是调整部分数据定义和校验关系。如调整申报主体代码的数据定义，</w:t>
      </w:r>
      <w:r w:rsidRPr="00AE4602">
        <w:rPr>
          <w:rFonts w:ascii="Times New Roman" w:hAnsi="Times New Roman"/>
          <w:sz w:val="24"/>
        </w:rPr>
        <w:t>Z0</w:t>
      </w:r>
      <w:r w:rsidRPr="00AE4602">
        <w:rPr>
          <w:rFonts w:ascii="Times New Roman" w:hAnsi="Times New Roman" w:hint="eastAsia"/>
          <w:sz w:val="24"/>
        </w:rPr>
        <w:t>3</w:t>
      </w:r>
      <w:r w:rsidRPr="00AE4602">
        <w:rPr>
          <w:rFonts w:ascii="Times New Roman" w:hAnsi="Times New Roman" w:hint="eastAsia"/>
          <w:sz w:val="24"/>
        </w:rPr>
        <w:t>表中</w:t>
      </w:r>
      <w:r w:rsidRPr="00AE4602">
        <w:rPr>
          <w:rFonts w:ascii="Times New Roman" w:hAnsi="Times New Roman" w:hint="eastAsia"/>
          <w:sz w:val="24"/>
        </w:rPr>
        <w:lastRenderedPageBreak/>
        <w:t>调整“投资者代码”、“被投资机构代码”、“被投资机构所属部门”的校验规则，</w:t>
      </w:r>
      <w:r w:rsidRPr="00AE4602">
        <w:rPr>
          <w:rFonts w:ascii="Times New Roman" w:hAnsi="Times New Roman"/>
          <w:sz w:val="24"/>
        </w:rPr>
        <w:t>A</w:t>
      </w:r>
      <w:r w:rsidRPr="00AE4602">
        <w:rPr>
          <w:rFonts w:ascii="Times New Roman" w:hAnsi="Times New Roman" w:hint="eastAsia"/>
          <w:sz w:val="24"/>
        </w:rPr>
        <w:t>表中调整“期末所有者权益”的数据定义和校验规则，</w:t>
      </w:r>
      <w:r w:rsidRPr="00AE4602">
        <w:rPr>
          <w:rFonts w:ascii="Times New Roman" w:hAnsi="Times New Roman"/>
          <w:sz w:val="24"/>
        </w:rPr>
        <w:t>B01</w:t>
      </w:r>
      <w:r w:rsidRPr="00AE4602">
        <w:rPr>
          <w:rFonts w:ascii="Times New Roman" w:hAnsi="Times New Roman" w:hint="eastAsia"/>
          <w:sz w:val="24"/>
        </w:rPr>
        <w:t>表调整业务类型选项“居民持有境外上市红筹企业股权”为“境内居民参与境外企业股权激励计划”、调整“本月股息</w:t>
      </w:r>
      <w:r w:rsidRPr="00AE4602">
        <w:rPr>
          <w:rFonts w:ascii="Times New Roman" w:hAnsi="Times New Roman"/>
          <w:sz w:val="24"/>
        </w:rPr>
        <w:t>/</w:t>
      </w:r>
      <w:r w:rsidRPr="00AE4602">
        <w:rPr>
          <w:rFonts w:ascii="Times New Roman" w:hAnsi="Times New Roman" w:hint="eastAsia"/>
          <w:sz w:val="24"/>
        </w:rPr>
        <w:t>红利收入”数据定义、“本月末市值”校验规则，</w:t>
      </w:r>
      <w:r w:rsidRPr="00AE4602">
        <w:rPr>
          <w:rFonts w:ascii="Times New Roman" w:hAnsi="Times New Roman"/>
          <w:sz w:val="24"/>
        </w:rPr>
        <w:t>B03</w:t>
      </w:r>
      <w:r w:rsidRPr="00AE4602">
        <w:rPr>
          <w:rFonts w:ascii="Times New Roman" w:hAnsi="Times New Roman" w:hint="eastAsia"/>
          <w:sz w:val="24"/>
        </w:rPr>
        <w:t>表“投资工具类型”新增可选项“存托凭证”，</w:t>
      </w:r>
      <w:r w:rsidRPr="00AE4602">
        <w:rPr>
          <w:rFonts w:ascii="Times New Roman" w:hAnsi="Times New Roman"/>
          <w:sz w:val="24"/>
        </w:rPr>
        <w:t>B04</w:t>
      </w:r>
      <w:r w:rsidRPr="00AE4602">
        <w:rPr>
          <w:rFonts w:ascii="Times New Roman" w:hAnsi="Times New Roman" w:hint="eastAsia"/>
          <w:sz w:val="24"/>
        </w:rPr>
        <w:t>表调整“业务类型”选项，</w:t>
      </w:r>
      <w:r w:rsidRPr="00AE4602">
        <w:rPr>
          <w:rFonts w:ascii="Times New Roman" w:hAnsi="Times New Roman"/>
          <w:sz w:val="24"/>
        </w:rPr>
        <w:t>B06</w:t>
      </w:r>
      <w:r w:rsidRPr="00AE4602">
        <w:rPr>
          <w:rFonts w:ascii="Times New Roman" w:hAnsi="Times New Roman" w:hint="eastAsia"/>
          <w:sz w:val="24"/>
        </w:rPr>
        <w:t>表新增业务类型“沪伦通”、投资工具类型“存托凭证”并调整相关校验规则和数据定义，</w:t>
      </w:r>
      <w:r w:rsidRPr="00AE4602">
        <w:rPr>
          <w:rFonts w:ascii="Times New Roman" w:hAnsi="Times New Roman"/>
          <w:sz w:val="24"/>
        </w:rPr>
        <w:t>D01</w:t>
      </w:r>
      <w:r w:rsidRPr="00AE4602">
        <w:rPr>
          <w:rFonts w:ascii="Times New Roman" w:hAnsi="Times New Roman" w:hint="eastAsia"/>
          <w:sz w:val="24"/>
        </w:rPr>
        <w:t>表完善“业务类型”选项，</w:t>
      </w:r>
      <w:r w:rsidRPr="00AE4602">
        <w:rPr>
          <w:rFonts w:ascii="Times New Roman" w:hAnsi="Times New Roman"/>
          <w:sz w:val="24"/>
        </w:rPr>
        <w:t>D05</w:t>
      </w:r>
      <w:r w:rsidRPr="00AE4602">
        <w:rPr>
          <w:rFonts w:ascii="Times New Roman" w:hAnsi="Times New Roman" w:hint="eastAsia"/>
          <w:sz w:val="24"/>
        </w:rPr>
        <w:t>表完善“存款业务类别”选项，</w:t>
      </w:r>
      <w:r w:rsidRPr="00AE4602">
        <w:rPr>
          <w:rFonts w:ascii="Times New Roman" w:hAnsi="Times New Roman"/>
          <w:sz w:val="24"/>
        </w:rPr>
        <w:t>E01</w:t>
      </w:r>
      <w:r w:rsidRPr="00AE4602">
        <w:rPr>
          <w:rFonts w:ascii="Times New Roman" w:hAnsi="Times New Roman" w:hint="eastAsia"/>
          <w:sz w:val="24"/>
        </w:rPr>
        <w:t>表完善“交易代码”数据项校验规则，</w:t>
      </w:r>
      <w:r w:rsidRPr="00AE4602">
        <w:rPr>
          <w:rFonts w:ascii="Times New Roman" w:hAnsi="Times New Roman"/>
          <w:sz w:val="24"/>
        </w:rPr>
        <w:t>G</w:t>
      </w:r>
      <w:r w:rsidRPr="00AE4602">
        <w:rPr>
          <w:rFonts w:ascii="Times New Roman" w:hAnsi="Times New Roman" w:hint="eastAsia"/>
          <w:sz w:val="24"/>
        </w:rPr>
        <w:t>表调整对“银行卡清算渠道”的数据定义，</w:t>
      </w:r>
      <w:r w:rsidRPr="00AE4602">
        <w:rPr>
          <w:rFonts w:ascii="Times New Roman" w:hAnsi="Times New Roman"/>
          <w:sz w:val="24"/>
        </w:rPr>
        <w:t>H01</w:t>
      </w:r>
      <w:r w:rsidRPr="00AE4602">
        <w:rPr>
          <w:rFonts w:ascii="Times New Roman" w:hAnsi="Times New Roman" w:hint="eastAsia"/>
          <w:sz w:val="24"/>
        </w:rPr>
        <w:t>表新增沪伦通（西向）、跨境理财通等两类业务类型，</w:t>
      </w:r>
      <w:r w:rsidRPr="00AE4602">
        <w:rPr>
          <w:rFonts w:ascii="Times New Roman" w:hAnsi="Times New Roman"/>
          <w:sz w:val="24"/>
        </w:rPr>
        <w:t>H02</w:t>
      </w:r>
      <w:r w:rsidRPr="00AE4602">
        <w:rPr>
          <w:rFonts w:ascii="Times New Roman" w:hAnsi="Times New Roman" w:hint="eastAsia"/>
          <w:sz w:val="24"/>
        </w:rPr>
        <w:t>表新增债券通、跨境理财通等业务类型。四是代码表调整。修改</w:t>
      </w:r>
      <w:r w:rsidRPr="00AE4602">
        <w:rPr>
          <w:rFonts w:ascii="Times New Roman" w:hAnsi="Times New Roman"/>
          <w:sz w:val="24"/>
        </w:rPr>
        <w:t>QFII/RQFII/QDII/RQDII/QDLP/QDIE</w:t>
      </w:r>
      <w:r w:rsidRPr="00AE4602">
        <w:rPr>
          <w:rFonts w:ascii="Times New Roman" w:hAnsi="Times New Roman" w:hint="eastAsia"/>
          <w:sz w:val="24"/>
        </w:rPr>
        <w:t>投资工具类型代码表，</w:t>
      </w:r>
      <w:r w:rsidR="00A412F6" w:rsidRPr="00A412F6">
        <w:rPr>
          <w:rFonts w:ascii="Times New Roman" w:hAnsi="Times New Roman" w:hint="eastAsia"/>
          <w:sz w:val="24"/>
          <w:szCs w:val="24"/>
        </w:rPr>
        <w:t>涉外银行卡商户分类码分类标准表，</w:t>
      </w:r>
      <w:r w:rsidRPr="00AE4602">
        <w:rPr>
          <w:rFonts w:ascii="Times New Roman" w:hAnsi="Times New Roman" w:hint="eastAsia"/>
          <w:sz w:val="24"/>
        </w:rPr>
        <w:t>货物、服务、薪资及债务减免等其他各类往来代码表（新旧对照）和金融衍生产品的合约类别表等。</w:t>
      </w:r>
    </w:p>
    <w:p w14:paraId="0A3629EE" w14:textId="77777777" w:rsidR="00A052DC" w:rsidRPr="00AE4602" w:rsidRDefault="009F0A60">
      <w:pPr>
        <w:spacing w:line="360" w:lineRule="auto"/>
        <w:ind w:firstLine="480"/>
        <w:rPr>
          <w:rFonts w:ascii="Times New Roman" w:hAnsi="Times New Roman"/>
          <w:sz w:val="24"/>
        </w:rPr>
      </w:pPr>
      <w:r w:rsidRPr="00AE4602">
        <w:rPr>
          <w:rFonts w:ascii="Times New Roman" w:hAnsi="Times New Roman" w:hint="eastAsia"/>
          <w:sz w:val="24"/>
        </w:rPr>
        <w:t>三、修订涉外收支和境内划转数据采集。同时，调整向银行反馈的数据字典，使之与采集内容保持一致。一是修改部分数据项名称。如“预收货款”“预付货款”修订为“预收款”“预付款”，“提运单号”修订为“提运单号</w:t>
      </w:r>
      <w:r w:rsidRPr="00AE4602">
        <w:rPr>
          <w:rFonts w:ascii="Times New Roman" w:hAnsi="Times New Roman"/>
          <w:sz w:val="24"/>
        </w:rPr>
        <w:t>/</w:t>
      </w:r>
      <w:r w:rsidRPr="00AE4602">
        <w:rPr>
          <w:rFonts w:ascii="Times New Roman" w:hAnsi="Times New Roman" w:hint="eastAsia"/>
          <w:sz w:val="24"/>
        </w:rPr>
        <w:t>仓单号”，“组织机构代码”修订为“主体标识码”，涉外收入“收入类型”下“其他”选项描述调整为“其他贸易融资”等。二是增加部分数据项采集。如境内汇款、境内付款</w:t>
      </w:r>
      <w:r w:rsidRPr="00AE4602">
        <w:rPr>
          <w:rFonts w:ascii="Times New Roman" w:hAnsi="Times New Roman"/>
          <w:sz w:val="24"/>
        </w:rPr>
        <w:t>/</w:t>
      </w:r>
      <w:r w:rsidRPr="00AE4602">
        <w:rPr>
          <w:rFonts w:ascii="Times New Roman" w:hAnsi="Times New Roman" w:hint="eastAsia"/>
          <w:sz w:val="24"/>
        </w:rPr>
        <w:t>承兑新增“交易附言”字段。三是调整部分字段数据定义和数据字典，如完善“</w:t>
      </w:r>
      <w:r w:rsidR="00A412F6" w:rsidRPr="00A412F6">
        <w:rPr>
          <w:rFonts w:ascii="Times New Roman" w:hAnsi="Times New Roman" w:hint="eastAsia"/>
          <w:sz w:val="24"/>
          <w:szCs w:val="24"/>
        </w:rPr>
        <w:t>外汇局批件号</w:t>
      </w:r>
      <w:r w:rsidRPr="00AE4602">
        <w:rPr>
          <w:rFonts w:ascii="Times New Roman" w:hAnsi="Times New Roman"/>
          <w:sz w:val="24"/>
          <w:szCs w:val="24"/>
        </w:rPr>
        <w:t>/</w:t>
      </w:r>
      <w:r w:rsidR="00A412F6" w:rsidRPr="00A412F6">
        <w:rPr>
          <w:rFonts w:ascii="Times New Roman" w:hAnsi="Times New Roman" w:hint="eastAsia"/>
          <w:sz w:val="24"/>
          <w:szCs w:val="24"/>
        </w:rPr>
        <w:t>备案表号</w:t>
      </w:r>
      <w:r w:rsidRPr="00AE4602">
        <w:rPr>
          <w:rFonts w:ascii="Times New Roman" w:hAnsi="Times New Roman"/>
          <w:sz w:val="24"/>
          <w:szCs w:val="24"/>
        </w:rPr>
        <w:t>/</w:t>
      </w:r>
      <w:r w:rsidR="00A412F6" w:rsidRPr="00A412F6">
        <w:rPr>
          <w:rFonts w:ascii="Times New Roman" w:hAnsi="Times New Roman" w:hint="eastAsia"/>
          <w:sz w:val="24"/>
          <w:szCs w:val="24"/>
        </w:rPr>
        <w:t>业务编号</w:t>
      </w:r>
      <w:r w:rsidRPr="00AE4602">
        <w:rPr>
          <w:rFonts w:ascii="Times New Roman" w:hAnsi="Times New Roman" w:hint="eastAsia"/>
          <w:sz w:val="24"/>
        </w:rPr>
        <w:t>”、涉外收支“汇款金额”等数据项的数据定义、校验规则，调整“合同号”、“发票号”、“提运单号</w:t>
      </w:r>
      <w:r w:rsidRPr="00AE4602">
        <w:rPr>
          <w:rFonts w:ascii="Times New Roman" w:hAnsi="Times New Roman" w:hint="eastAsia"/>
          <w:sz w:val="24"/>
        </w:rPr>
        <w:t>/</w:t>
      </w:r>
      <w:r w:rsidRPr="00AE4602">
        <w:rPr>
          <w:rFonts w:ascii="Times New Roman" w:hAnsi="Times New Roman" w:hint="eastAsia"/>
          <w:sz w:val="24"/>
        </w:rPr>
        <w:t>仓单号”等字段长度，配合新增非居民机构账户间境内划转资金数据的采集调整境内收入申报单相关数据项校验规则等。</w:t>
      </w:r>
    </w:p>
    <w:p w14:paraId="5AF356DE" w14:textId="77777777" w:rsidR="00A052DC" w:rsidRPr="00AE4602" w:rsidRDefault="009F0A60">
      <w:pPr>
        <w:spacing w:line="360" w:lineRule="auto"/>
        <w:ind w:firstLine="480"/>
        <w:rPr>
          <w:rFonts w:ascii="Times New Roman" w:hAnsi="Times New Roman"/>
          <w:sz w:val="24"/>
        </w:rPr>
      </w:pPr>
      <w:r w:rsidRPr="00AE4602">
        <w:rPr>
          <w:rFonts w:ascii="Times New Roman" w:hAnsi="Times New Roman" w:hint="eastAsia"/>
          <w:sz w:val="24"/>
        </w:rPr>
        <w:t>四、修订银行自身资本项目业务数据采集。一是调整对外担保中数据项“受益人中文名称”和“受益人英文名称”的校验规则。二是将数据字典中“反担保人国别</w:t>
      </w:r>
      <w:r w:rsidRPr="00AE4602">
        <w:rPr>
          <w:rFonts w:ascii="Times New Roman" w:hAnsi="Times New Roman"/>
          <w:sz w:val="24"/>
        </w:rPr>
        <w:t>/</w:t>
      </w:r>
      <w:r w:rsidRPr="00AE4602">
        <w:rPr>
          <w:rFonts w:ascii="Times New Roman" w:hAnsi="Times New Roman" w:hint="eastAsia"/>
          <w:sz w:val="24"/>
        </w:rPr>
        <w:t>地区”字段名调整为“</w:t>
      </w:r>
      <w:r w:rsidRPr="00AE4602">
        <w:rPr>
          <w:rFonts w:ascii="Times New Roman" w:hAnsi="Times New Roman"/>
          <w:sz w:val="24"/>
        </w:rPr>
        <w:t>CGCOUNCODE”</w:t>
      </w:r>
      <w:r w:rsidRPr="00AE4602">
        <w:rPr>
          <w:rFonts w:ascii="Times New Roman" w:hAnsi="Times New Roman" w:hint="eastAsia"/>
          <w:sz w:val="24"/>
        </w:rPr>
        <w:t>，与数据格式保持一致。三是调整外债和国内外汇贷款数据采集范围的描述。</w:t>
      </w:r>
    </w:p>
    <w:p w14:paraId="44586075" w14:textId="77777777" w:rsidR="00A052DC" w:rsidRPr="00AE4602" w:rsidRDefault="009F0A60">
      <w:pPr>
        <w:spacing w:line="360" w:lineRule="auto"/>
        <w:ind w:firstLine="480"/>
        <w:rPr>
          <w:rFonts w:ascii="Times New Roman" w:hAnsi="Times New Roman"/>
          <w:sz w:val="24"/>
          <w:szCs w:val="24"/>
        </w:rPr>
      </w:pPr>
      <w:r w:rsidRPr="00AE4602">
        <w:rPr>
          <w:rFonts w:ascii="Times New Roman" w:hAnsi="Times New Roman" w:hint="eastAsia"/>
          <w:sz w:val="24"/>
        </w:rPr>
        <w:t>五、修订账户性质代码表。</w:t>
      </w:r>
      <w:r w:rsidR="00A412F6" w:rsidRPr="00A412F6">
        <w:rPr>
          <w:rFonts w:ascii="Times New Roman" w:hAnsi="Times New Roman" w:hint="eastAsia"/>
          <w:sz w:val="24"/>
        </w:rPr>
        <w:t>根据《国家外汇管理局关于印发</w:t>
      </w:r>
      <w:r w:rsidRPr="00AE4602">
        <w:rPr>
          <w:rFonts w:ascii="Times New Roman" w:hAnsi="Times New Roman"/>
          <w:sz w:val="24"/>
        </w:rPr>
        <w:t>&lt;</w:t>
      </w:r>
      <w:r w:rsidR="00A412F6" w:rsidRPr="00A412F6">
        <w:rPr>
          <w:rFonts w:ascii="Times New Roman" w:hAnsi="Times New Roman" w:hint="eastAsia"/>
          <w:sz w:val="24"/>
        </w:rPr>
        <w:t>跨国公司跨境资金集中运营管理规定</w:t>
      </w:r>
      <w:r w:rsidRPr="00AE4602">
        <w:rPr>
          <w:rFonts w:ascii="Times New Roman" w:hAnsi="Times New Roman"/>
          <w:sz w:val="24"/>
        </w:rPr>
        <w:t>&gt;</w:t>
      </w:r>
      <w:r w:rsidR="00A412F6" w:rsidRPr="00A412F6">
        <w:rPr>
          <w:rFonts w:ascii="Times New Roman" w:hAnsi="Times New Roman" w:hint="eastAsia"/>
          <w:sz w:val="24"/>
        </w:rPr>
        <w:t>的通知》（汇发〔</w:t>
      </w:r>
      <w:r w:rsidRPr="00AE4602">
        <w:rPr>
          <w:rFonts w:ascii="Times New Roman" w:hAnsi="Times New Roman"/>
          <w:sz w:val="24"/>
        </w:rPr>
        <w:t>2019</w:t>
      </w:r>
      <w:r w:rsidR="00A412F6" w:rsidRPr="00A412F6">
        <w:rPr>
          <w:rFonts w:ascii="Times New Roman" w:hAnsi="Times New Roman" w:hint="eastAsia"/>
          <w:sz w:val="24"/>
        </w:rPr>
        <w:t>〕</w:t>
      </w:r>
      <w:r w:rsidRPr="00AE4602">
        <w:rPr>
          <w:rFonts w:ascii="Times New Roman" w:hAnsi="Times New Roman"/>
          <w:sz w:val="24"/>
        </w:rPr>
        <w:t>7</w:t>
      </w:r>
      <w:r w:rsidR="00A412F6" w:rsidRPr="00A412F6">
        <w:rPr>
          <w:rFonts w:ascii="Times New Roman" w:hAnsi="Times New Roman" w:hint="eastAsia"/>
          <w:sz w:val="24"/>
        </w:rPr>
        <w:t>号）、《国家外汇管理局关于精</w:t>
      </w:r>
      <w:r w:rsidR="00A412F6" w:rsidRPr="00A412F6">
        <w:rPr>
          <w:rFonts w:ascii="Times New Roman" w:hAnsi="Times New Roman" w:hint="eastAsia"/>
          <w:sz w:val="24"/>
        </w:rPr>
        <w:lastRenderedPageBreak/>
        <w:t>简外汇账户的通知》（汇发〔</w:t>
      </w:r>
      <w:r w:rsidRPr="00AE4602">
        <w:rPr>
          <w:rFonts w:ascii="Times New Roman" w:hAnsi="Times New Roman"/>
          <w:sz w:val="24"/>
        </w:rPr>
        <w:t>2019</w:t>
      </w:r>
      <w:r w:rsidR="00A412F6" w:rsidRPr="00A412F6">
        <w:rPr>
          <w:rFonts w:ascii="Times New Roman" w:hAnsi="Times New Roman" w:hint="eastAsia"/>
          <w:sz w:val="24"/>
        </w:rPr>
        <w:t>〕</w:t>
      </w:r>
      <w:r w:rsidRPr="00AE4602">
        <w:rPr>
          <w:rFonts w:ascii="Times New Roman" w:hAnsi="Times New Roman"/>
          <w:sz w:val="24"/>
        </w:rPr>
        <w:t>29</w:t>
      </w:r>
      <w:r w:rsidR="00A412F6" w:rsidRPr="00A412F6">
        <w:rPr>
          <w:rFonts w:ascii="Times New Roman" w:hAnsi="Times New Roman" w:hint="eastAsia"/>
          <w:sz w:val="24"/>
        </w:rPr>
        <w:t>号）、《国家外汇管理局综合司关于清理整合部分外汇账户的通知》（汇综发〔</w:t>
      </w:r>
      <w:r w:rsidRPr="00AE4602">
        <w:rPr>
          <w:rFonts w:ascii="Times New Roman" w:hAnsi="Times New Roman"/>
          <w:sz w:val="24"/>
        </w:rPr>
        <w:t>2020</w:t>
      </w:r>
      <w:r w:rsidR="00A412F6" w:rsidRPr="00A412F6">
        <w:rPr>
          <w:rFonts w:ascii="Times New Roman" w:hAnsi="Times New Roman" w:hint="eastAsia"/>
          <w:sz w:val="24"/>
        </w:rPr>
        <w:t>〕</w:t>
      </w:r>
      <w:r w:rsidRPr="00AE4602">
        <w:rPr>
          <w:rFonts w:ascii="Times New Roman" w:hAnsi="Times New Roman"/>
          <w:sz w:val="24"/>
        </w:rPr>
        <w:t>73</w:t>
      </w:r>
      <w:r w:rsidR="00A412F6" w:rsidRPr="00A412F6">
        <w:rPr>
          <w:rFonts w:ascii="Times New Roman" w:hAnsi="Times New Roman" w:hint="eastAsia"/>
          <w:sz w:val="24"/>
        </w:rPr>
        <w:t>号）等账户清理整合政策，</w:t>
      </w:r>
      <w:r w:rsidR="00A412F6" w:rsidRPr="00A412F6">
        <w:rPr>
          <w:rFonts w:ascii="Times New Roman" w:hAnsi="Times New Roman" w:hint="eastAsia"/>
          <w:sz w:val="24"/>
          <w:szCs w:val="24"/>
        </w:rPr>
        <w:t>梳理现行有效的账户种类。</w:t>
      </w:r>
    </w:p>
    <w:p w14:paraId="0D79523B" w14:textId="77777777" w:rsidR="00A052DC" w:rsidRPr="00AE4602" w:rsidRDefault="00A412F6">
      <w:pPr>
        <w:spacing w:line="360" w:lineRule="auto"/>
        <w:ind w:firstLine="480"/>
        <w:rPr>
          <w:rFonts w:ascii="Times New Roman" w:hAnsi="Times New Roman"/>
          <w:sz w:val="24"/>
          <w:szCs w:val="24"/>
        </w:rPr>
      </w:pPr>
      <w:r w:rsidRPr="00A412F6">
        <w:rPr>
          <w:rFonts w:ascii="Times New Roman" w:hAnsi="Times New Roman" w:hint="eastAsia"/>
          <w:sz w:val="24"/>
          <w:szCs w:val="24"/>
        </w:rPr>
        <w:t>六、修订账户内结售汇数据采集。一是调整结汇用途代码表。二是调整申报号码中流水码的编制规则。</w:t>
      </w:r>
    </w:p>
    <w:p w14:paraId="0254603A" w14:textId="77777777" w:rsidR="00A052DC" w:rsidRPr="00AE4602" w:rsidRDefault="00A412F6">
      <w:pPr>
        <w:spacing w:line="360" w:lineRule="auto"/>
        <w:ind w:firstLine="480"/>
        <w:rPr>
          <w:rFonts w:ascii="Times New Roman" w:hAnsi="Times New Roman"/>
          <w:sz w:val="24"/>
          <w:szCs w:val="24"/>
        </w:rPr>
      </w:pPr>
      <w:r w:rsidRPr="00A412F6">
        <w:rPr>
          <w:rFonts w:ascii="Times New Roman" w:hAnsi="Times New Roman" w:hint="eastAsia"/>
          <w:sz w:val="24"/>
          <w:szCs w:val="24"/>
        </w:rPr>
        <w:t>七、修订机构外币现钞存取数据采集。一是根据经常项目</w:t>
      </w:r>
      <w:r w:rsidRPr="00A412F6">
        <w:rPr>
          <w:rFonts w:ascii="Times New Roman" w:hAnsi="Times New Roman"/>
          <w:sz w:val="24"/>
          <w:szCs w:val="24"/>
        </w:rPr>
        <w:t>-</w:t>
      </w:r>
      <w:r w:rsidRPr="00A412F6">
        <w:rPr>
          <w:rFonts w:ascii="Times New Roman" w:hAnsi="Times New Roman" w:hint="eastAsia"/>
          <w:sz w:val="24"/>
          <w:szCs w:val="24"/>
        </w:rPr>
        <w:t>外汇现钞账户的被合并现状，将涉及外汇现钞账户的数据项内容进行调整。二是代码表相关调整。包括新增“边贸收入”、将“司法和行政执法机关的罚没款、暂扣款和专项收缴款”修改为“司法和行政执法等机构的罚没款、暂扣款和专项收缴款”等。</w:t>
      </w:r>
    </w:p>
    <w:p w14:paraId="79FC4CC9" w14:textId="77777777" w:rsidR="00A052DC" w:rsidRPr="00AE4602" w:rsidRDefault="00A412F6">
      <w:pPr>
        <w:spacing w:line="360" w:lineRule="auto"/>
        <w:ind w:firstLine="480"/>
        <w:rPr>
          <w:rFonts w:ascii="Times New Roman" w:hAnsi="Times New Roman"/>
          <w:sz w:val="24"/>
          <w:szCs w:val="24"/>
        </w:rPr>
      </w:pPr>
      <w:r w:rsidRPr="00A412F6">
        <w:rPr>
          <w:rFonts w:ascii="Times New Roman" w:hAnsi="Times New Roman" w:hint="eastAsia"/>
          <w:sz w:val="24"/>
          <w:szCs w:val="24"/>
        </w:rPr>
        <w:t>八、根据</w:t>
      </w:r>
      <w:r w:rsidR="009F0A60" w:rsidRPr="00AE4602">
        <w:rPr>
          <w:rFonts w:ascii="Times New Roman" w:hAnsi="Times New Roman" w:hint="eastAsia"/>
          <w:sz w:val="24"/>
          <w:szCs w:val="24"/>
        </w:rPr>
        <w:t>《</w:t>
      </w:r>
      <w:r w:rsidRPr="00A412F6">
        <w:rPr>
          <w:rFonts w:ascii="Times New Roman" w:hAnsi="Times New Roman" w:hint="eastAsia"/>
          <w:sz w:val="24"/>
          <w:szCs w:val="24"/>
        </w:rPr>
        <w:t>金融机构外汇业务数据采集规范（</w:t>
      </w:r>
      <w:r w:rsidR="009F0A60" w:rsidRPr="00AE4602">
        <w:rPr>
          <w:rFonts w:ascii="Times New Roman" w:hAnsi="Times New Roman"/>
          <w:sz w:val="24"/>
          <w:szCs w:val="24"/>
        </w:rPr>
        <w:t>1.2</w:t>
      </w:r>
      <w:r w:rsidRPr="00A412F6">
        <w:rPr>
          <w:rFonts w:ascii="Times New Roman" w:hAnsi="Times New Roman" w:hint="eastAsia"/>
          <w:sz w:val="24"/>
          <w:szCs w:val="24"/>
        </w:rPr>
        <w:t>版）》问题解答有关内容进行相应修订，如调整“外汇局批件号</w:t>
      </w:r>
      <w:r w:rsidR="009F0A60" w:rsidRPr="00AE4602">
        <w:rPr>
          <w:rFonts w:ascii="Times New Roman" w:hAnsi="Times New Roman"/>
          <w:sz w:val="24"/>
          <w:szCs w:val="24"/>
        </w:rPr>
        <w:t>/</w:t>
      </w:r>
      <w:r w:rsidRPr="00A412F6">
        <w:rPr>
          <w:rFonts w:ascii="Times New Roman" w:hAnsi="Times New Roman" w:hint="eastAsia"/>
          <w:sz w:val="24"/>
          <w:szCs w:val="24"/>
        </w:rPr>
        <w:t>备案表号</w:t>
      </w:r>
      <w:r w:rsidR="009F0A60" w:rsidRPr="00AE4602">
        <w:rPr>
          <w:rFonts w:ascii="Times New Roman" w:hAnsi="Times New Roman"/>
          <w:sz w:val="24"/>
          <w:szCs w:val="24"/>
        </w:rPr>
        <w:t>/</w:t>
      </w:r>
      <w:r w:rsidRPr="00A412F6">
        <w:rPr>
          <w:rFonts w:ascii="Times New Roman" w:hAnsi="Times New Roman" w:hint="eastAsia"/>
          <w:sz w:val="24"/>
          <w:szCs w:val="24"/>
        </w:rPr>
        <w:t>业务编号”的校验规则等。</w:t>
      </w:r>
    </w:p>
    <w:p w14:paraId="5F1AB24E" w14:textId="77777777" w:rsidR="00A052DC" w:rsidRPr="00AE4602" w:rsidRDefault="00A412F6">
      <w:pPr>
        <w:spacing w:line="360" w:lineRule="auto"/>
        <w:ind w:firstLine="480"/>
        <w:rPr>
          <w:rFonts w:ascii="Times New Roman" w:hAnsi="Times New Roman"/>
          <w:sz w:val="24"/>
          <w:szCs w:val="24"/>
        </w:rPr>
      </w:pPr>
      <w:r w:rsidRPr="00A412F6">
        <w:rPr>
          <w:rFonts w:ascii="Times New Roman" w:hAnsi="Times New Roman" w:hint="eastAsia"/>
          <w:sz w:val="24"/>
          <w:szCs w:val="24"/>
        </w:rPr>
        <w:t>九、修订银行卡境外交易数据采集，新增银行卡清算渠道选项“连通”。</w:t>
      </w:r>
    </w:p>
    <w:p w14:paraId="1E3751D9" w14:textId="77777777" w:rsidR="00A052DC" w:rsidRPr="00AE4602" w:rsidRDefault="00A412F6">
      <w:pPr>
        <w:spacing w:line="360" w:lineRule="auto"/>
        <w:ind w:firstLine="480"/>
        <w:rPr>
          <w:rFonts w:ascii="Times New Roman" w:hAnsi="Times New Roman"/>
          <w:sz w:val="24"/>
          <w:szCs w:val="24"/>
        </w:rPr>
      </w:pPr>
      <w:r w:rsidRPr="00A412F6">
        <w:rPr>
          <w:rFonts w:ascii="Times New Roman" w:hAnsi="Times New Roman" w:hint="eastAsia"/>
          <w:sz w:val="24"/>
          <w:szCs w:val="24"/>
        </w:rPr>
        <w:t>十、部分文字调整，如调整有关“组织机构代码证”的相关描述等。</w:t>
      </w:r>
    </w:p>
    <w:p w14:paraId="4B4BC0CE" w14:textId="77777777" w:rsidR="00A052DC" w:rsidRDefault="009F0A60" w:rsidP="0020251D">
      <w:pPr>
        <w:pStyle w:val="3"/>
        <w:ind w:left="0"/>
        <w:rPr>
          <w:rFonts w:ascii="Times New Roman"/>
        </w:rPr>
      </w:pPr>
      <w:bookmarkStart w:id="52" w:name="_Toc91455163"/>
      <w:bookmarkStart w:id="53" w:name="_Toc454385946"/>
      <w:bookmarkStart w:id="54" w:name="_Toc90624958"/>
      <w:bookmarkStart w:id="55" w:name="_Toc101684338"/>
      <w:r>
        <w:rPr>
          <w:rFonts w:ascii="Times New Roman" w:hint="eastAsia"/>
        </w:rPr>
        <w:t>具体修订内容</w:t>
      </w:r>
      <w:bookmarkEnd w:id="52"/>
      <w:bookmarkEnd w:id="53"/>
      <w:bookmarkEnd w:id="54"/>
      <w:bookmarkEnd w:id="55"/>
    </w:p>
    <w:p w14:paraId="343089E9" w14:textId="77777777" w:rsidR="00A052DC" w:rsidRDefault="009F0A60" w:rsidP="0020251D">
      <w:pPr>
        <w:pStyle w:val="4"/>
        <w:numPr>
          <w:ilvl w:val="3"/>
          <w:numId w:val="1"/>
        </w:numPr>
        <w:ind w:left="0"/>
        <w:jc w:val="left"/>
      </w:pPr>
      <w:r>
        <w:rPr>
          <w:rFonts w:hint="eastAsia"/>
        </w:rPr>
        <w:t>代码调整</w:t>
      </w:r>
    </w:p>
    <w:p w14:paraId="452778C6" w14:textId="77777777" w:rsidR="00A052DC" w:rsidRDefault="009F0A60" w:rsidP="0020251D">
      <w:pPr>
        <w:pStyle w:val="5"/>
      </w:pPr>
      <w:bookmarkStart w:id="56" w:name="_Toc454386585"/>
      <w:bookmarkStart w:id="57" w:name="_Toc454386063"/>
      <w:bookmarkStart w:id="58" w:name="_Toc454386064"/>
      <w:bookmarkStart w:id="59" w:name="_Toc454386581"/>
      <w:bookmarkStart w:id="60" w:name="_Toc454386582"/>
      <w:bookmarkStart w:id="61" w:name="_Toc454386571"/>
      <w:bookmarkStart w:id="62" w:name="_Toc380580553"/>
      <w:bookmarkStart w:id="63" w:name="_Toc454386120"/>
      <w:bookmarkStart w:id="64" w:name="_Toc454386564"/>
      <w:bookmarkStart w:id="65" w:name="_Toc454386165"/>
      <w:bookmarkStart w:id="66" w:name="_Toc454386192"/>
      <w:bookmarkStart w:id="67" w:name="_Toc382322171"/>
      <w:bookmarkStart w:id="68" w:name="_Toc454386573"/>
      <w:bookmarkStart w:id="69" w:name="_Toc382322777"/>
      <w:bookmarkStart w:id="70" w:name="_Toc454386608"/>
      <w:bookmarkStart w:id="71" w:name="_Toc454386561"/>
      <w:bookmarkStart w:id="72" w:name="_Toc454386023"/>
      <w:bookmarkStart w:id="73" w:name="_Toc383437541"/>
      <w:bookmarkStart w:id="74" w:name="_Toc383153856"/>
      <w:bookmarkStart w:id="75" w:name="_Toc382947147"/>
      <w:bookmarkStart w:id="76" w:name="_Toc454386586"/>
      <w:bookmarkStart w:id="77" w:name="_Toc454386566"/>
      <w:bookmarkStart w:id="78" w:name="_Toc454386183"/>
      <w:bookmarkStart w:id="79" w:name="_Toc454386093"/>
      <w:bookmarkStart w:id="80" w:name="_Toc454386084"/>
      <w:bookmarkStart w:id="81" w:name="_Toc454386574"/>
      <w:bookmarkStart w:id="82" w:name="_Toc454386065"/>
      <w:bookmarkStart w:id="83" w:name="_Toc454386111"/>
      <w:bookmarkStart w:id="84" w:name="_Toc454386147"/>
      <w:bookmarkStart w:id="85" w:name="_Toc454386607"/>
      <w:bookmarkStart w:id="86" w:name="_Toc454386138"/>
      <w:bookmarkStart w:id="87" w:name="_Toc454386552"/>
      <w:bookmarkStart w:id="88" w:name="_Toc454386570"/>
      <w:bookmarkStart w:id="89" w:name="_Toc454386156"/>
      <w:bookmarkStart w:id="90" w:name="_Toc454386102"/>
      <w:bookmarkStart w:id="91" w:name="_Toc454386048"/>
      <w:bookmarkStart w:id="92" w:name="_Toc454386129"/>
      <w:bookmarkStart w:id="93" w:name="_Toc380570572"/>
      <w:bookmarkStart w:id="94" w:name="_Toc454386174"/>
      <w:bookmarkStart w:id="95" w:name="_Toc454386587"/>
      <w:bookmarkStart w:id="96" w:name="_Toc383017319"/>
      <w:bookmarkStart w:id="97" w:name="_Toc383155530"/>
      <w:bookmarkStart w:id="98" w:name="_Toc454386602"/>
      <w:bookmarkStart w:id="99" w:name="_Toc383180113"/>
      <w:bookmarkStart w:id="100" w:name="_Toc454385949"/>
      <w:bookmarkStart w:id="101" w:name="_Toc454386568"/>
      <w:bookmarkStart w:id="102" w:name="_Toc454386611"/>
      <w:bookmarkStart w:id="103" w:name="_Toc383078322"/>
      <w:bookmarkStart w:id="104" w:name="_Toc454386588"/>
      <w:bookmarkStart w:id="105" w:name="_Toc383161426"/>
      <w:bookmarkStart w:id="106" w:name="_Toc383178878"/>
      <w:bookmarkStart w:id="107" w:name="_Toc454386589"/>
      <w:bookmarkStart w:id="108" w:name="_Toc454386022"/>
      <w:bookmarkStart w:id="109" w:name="_Toc383179489"/>
      <w:bookmarkStart w:id="110" w:name="_Toc454385948"/>
      <w:bookmarkStart w:id="111" w:name="_Toc454386047"/>
      <w:bookmarkStart w:id="112" w:name="_Toc454386075"/>
      <w:bookmarkStart w:id="113" w:name="_Toc454386021"/>
      <w:bookmarkStart w:id="114" w:name="_Toc454385950"/>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r>
        <w:t>1.4.3.1.1</w:t>
      </w:r>
      <w:r>
        <w:rPr>
          <w:rFonts w:hint="eastAsia"/>
        </w:rPr>
        <w:t>结汇用途代码表</w:t>
      </w:r>
    </w:p>
    <w:tbl>
      <w:tblPr>
        <w:tblW w:w="7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2509"/>
        <w:gridCol w:w="2509"/>
      </w:tblGrid>
      <w:tr w:rsidR="00A052DC" w14:paraId="4550D5A5" w14:textId="77777777">
        <w:trPr>
          <w:trHeight w:val="270"/>
          <w:jc w:val="center"/>
        </w:trPr>
        <w:tc>
          <w:tcPr>
            <w:tcW w:w="2620" w:type="dxa"/>
            <w:shd w:val="clear" w:color="auto" w:fill="BFBFBF"/>
            <w:noWrap/>
            <w:vAlign w:val="center"/>
          </w:tcPr>
          <w:p w14:paraId="16512890" w14:textId="77777777" w:rsidR="00A052DC" w:rsidRDefault="009F0A60">
            <w:pPr>
              <w:pStyle w:val="B1"/>
            </w:pPr>
            <w:r>
              <w:rPr>
                <w:rFonts w:hint="eastAsia"/>
              </w:rPr>
              <w:t>结汇用途代码</w:t>
            </w:r>
          </w:p>
        </w:tc>
        <w:tc>
          <w:tcPr>
            <w:tcW w:w="2509" w:type="dxa"/>
            <w:shd w:val="clear" w:color="auto" w:fill="BFBFBF"/>
            <w:noWrap/>
            <w:vAlign w:val="center"/>
          </w:tcPr>
          <w:p w14:paraId="428DCD9E" w14:textId="77777777" w:rsidR="00A052DC" w:rsidRDefault="009F0A60">
            <w:pPr>
              <w:pStyle w:val="B1"/>
            </w:pPr>
            <w:r>
              <w:rPr>
                <w:rFonts w:hint="eastAsia"/>
              </w:rPr>
              <w:t>结汇用途</w:t>
            </w:r>
          </w:p>
        </w:tc>
        <w:tc>
          <w:tcPr>
            <w:tcW w:w="2509" w:type="dxa"/>
            <w:shd w:val="clear" w:color="auto" w:fill="BFBFBF"/>
          </w:tcPr>
          <w:p w14:paraId="5515EDCE" w14:textId="77777777" w:rsidR="00A052DC" w:rsidRDefault="009F0A60">
            <w:pPr>
              <w:pStyle w:val="B1"/>
            </w:pPr>
            <w:r>
              <w:rPr>
                <w:rFonts w:hint="eastAsia"/>
              </w:rPr>
              <w:t>变更类型</w:t>
            </w:r>
          </w:p>
        </w:tc>
      </w:tr>
      <w:tr w:rsidR="00A052DC" w14:paraId="5F18AE7E" w14:textId="77777777">
        <w:trPr>
          <w:trHeight w:val="270"/>
          <w:jc w:val="center"/>
        </w:trPr>
        <w:tc>
          <w:tcPr>
            <w:tcW w:w="2620" w:type="dxa"/>
            <w:shd w:val="clear" w:color="auto" w:fill="auto"/>
            <w:noWrap/>
          </w:tcPr>
          <w:p w14:paraId="492104AA" w14:textId="77777777" w:rsidR="00A052DC" w:rsidRDefault="009F0A60">
            <w:pPr>
              <w:jc w:val="center"/>
              <w:rPr>
                <w:rFonts w:ascii="黑体" w:eastAsia="黑体"/>
                <w:sz w:val="20"/>
                <w:szCs w:val="20"/>
              </w:rPr>
            </w:pPr>
            <w:r>
              <w:rPr>
                <w:rFonts w:ascii="黑体" w:eastAsia="黑体"/>
                <w:sz w:val="20"/>
                <w:szCs w:val="20"/>
              </w:rPr>
              <w:t>013</w:t>
            </w:r>
          </w:p>
        </w:tc>
        <w:tc>
          <w:tcPr>
            <w:tcW w:w="2509" w:type="dxa"/>
            <w:shd w:val="clear" w:color="auto" w:fill="auto"/>
            <w:noWrap/>
            <w:vAlign w:val="center"/>
          </w:tcPr>
          <w:p w14:paraId="12BCD2EA" w14:textId="77777777" w:rsidR="00A052DC" w:rsidRDefault="009F0A60">
            <w:pPr>
              <w:widowControl/>
              <w:jc w:val="left"/>
              <w:rPr>
                <w:rFonts w:ascii="黑体" w:eastAsia="黑体" w:hAnsi="宋体" w:cs="宋体"/>
                <w:kern w:val="0"/>
                <w:sz w:val="20"/>
                <w:szCs w:val="20"/>
              </w:rPr>
            </w:pPr>
            <w:r>
              <w:rPr>
                <w:rFonts w:ascii="黑体" w:eastAsia="黑体" w:hAnsi="宋体" w:cs="宋体" w:hint="eastAsia"/>
                <w:kern w:val="0"/>
                <w:sz w:val="20"/>
                <w:szCs w:val="20"/>
              </w:rPr>
              <w:t>偿还金融机构贷款（含委托贷款）及利息</w:t>
            </w:r>
          </w:p>
        </w:tc>
        <w:tc>
          <w:tcPr>
            <w:tcW w:w="2509" w:type="dxa"/>
          </w:tcPr>
          <w:p w14:paraId="70F416B9" w14:textId="77777777" w:rsidR="00A052DC" w:rsidRDefault="009F0A60">
            <w:pPr>
              <w:widowControl/>
              <w:jc w:val="center"/>
              <w:rPr>
                <w:rFonts w:ascii="黑体" w:eastAsia="黑体" w:hAnsi="宋体" w:cs="宋体"/>
                <w:kern w:val="0"/>
                <w:sz w:val="20"/>
                <w:szCs w:val="20"/>
              </w:rPr>
            </w:pPr>
            <w:r>
              <w:rPr>
                <w:rFonts w:ascii="黑体" w:eastAsia="黑体" w:hAnsi="宋体" w:cs="宋体" w:hint="eastAsia"/>
                <w:kern w:val="0"/>
                <w:sz w:val="20"/>
                <w:szCs w:val="20"/>
              </w:rPr>
              <w:t>修改</w:t>
            </w:r>
          </w:p>
        </w:tc>
      </w:tr>
      <w:tr w:rsidR="00A052DC" w14:paraId="1A292D83" w14:textId="77777777">
        <w:trPr>
          <w:trHeight w:val="270"/>
          <w:jc w:val="center"/>
        </w:trPr>
        <w:tc>
          <w:tcPr>
            <w:tcW w:w="2620" w:type="dxa"/>
            <w:shd w:val="clear" w:color="auto" w:fill="auto"/>
            <w:noWrap/>
          </w:tcPr>
          <w:p w14:paraId="50EAF835" w14:textId="77777777" w:rsidR="00A052DC" w:rsidRDefault="009F0A60">
            <w:pPr>
              <w:jc w:val="center"/>
              <w:rPr>
                <w:rFonts w:ascii="黑体" w:eastAsia="黑体"/>
                <w:sz w:val="20"/>
                <w:szCs w:val="20"/>
              </w:rPr>
            </w:pPr>
            <w:r>
              <w:rPr>
                <w:rFonts w:ascii="黑体" w:eastAsia="黑体" w:hint="eastAsia"/>
                <w:sz w:val="20"/>
                <w:szCs w:val="20"/>
              </w:rPr>
              <w:t>021</w:t>
            </w:r>
          </w:p>
        </w:tc>
        <w:tc>
          <w:tcPr>
            <w:tcW w:w="2509" w:type="dxa"/>
            <w:shd w:val="clear" w:color="auto" w:fill="auto"/>
            <w:noWrap/>
            <w:vAlign w:val="center"/>
          </w:tcPr>
          <w:p w14:paraId="6140DA53" w14:textId="77777777" w:rsidR="00A052DC" w:rsidRDefault="009F0A60">
            <w:pPr>
              <w:widowControl/>
              <w:jc w:val="left"/>
              <w:rPr>
                <w:rFonts w:ascii="黑体" w:eastAsia="黑体" w:hAnsi="宋体" w:cs="宋体"/>
                <w:kern w:val="0"/>
                <w:sz w:val="20"/>
                <w:szCs w:val="20"/>
              </w:rPr>
            </w:pPr>
            <w:r>
              <w:rPr>
                <w:rFonts w:ascii="黑体" w:eastAsia="黑体" w:hAnsi="宋体" w:cs="宋体" w:hint="eastAsia"/>
                <w:kern w:val="0"/>
                <w:sz w:val="20"/>
                <w:szCs w:val="20"/>
              </w:rPr>
              <w:t>购买理财产品</w:t>
            </w:r>
          </w:p>
        </w:tc>
        <w:tc>
          <w:tcPr>
            <w:tcW w:w="2509" w:type="dxa"/>
          </w:tcPr>
          <w:p w14:paraId="10049086" w14:textId="77777777" w:rsidR="00A052DC" w:rsidRDefault="009F0A60">
            <w:pPr>
              <w:widowControl/>
              <w:jc w:val="center"/>
              <w:rPr>
                <w:rFonts w:ascii="黑体" w:eastAsia="黑体" w:hAnsi="宋体" w:cs="宋体"/>
                <w:kern w:val="0"/>
                <w:sz w:val="20"/>
                <w:szCs w:val="20"/>
              </w:rPr>
            </w:pPr>
            <w:r>
              <w:rPr>
                <w:rFonts w:ascii="黑体" w:eastAsia="黑体" w:hAnsi="宋体" w:cs="宋体" w:hint="eastAsia"/>
                <w:kern w:val="0"/>
                <w:sz w:val="20"/>
                <w:szCs w:val="20"/>
              </w:rPr>
              <w:t>修改</w:t>
            </w:r>
          </w:p>
        </w:tc>
      </w:tr>
      <w:tr w:rsidR="00A052DC" w14:paraId="3EA8E385" w14:textId="77777777">
        <w:trPr>
          <w:trHeight w:val="270"/>
          <w:jc w:val="center"/>
        </w:trPr>
        <w:tc>
          <w:tcPr>
            <w:tcW w:w="2620" w:type="dxa"/>
            <w:shd w:val="clear" w:color="auto" w:fill="auto"/>
            <w:noWrap/>
          </w:tcPr>
          <w:p w14:paraId="38C3C359" w14:textId="77777777" w:rsidR="00A052DC" w:rsidRDefault="009F0A60">
            <w:pPr>
              <w:jc w:val="center"/>
              <w:rPr>
                <w:rFonts w:ascii="黑体" w:eastAsia="黑体"/>
                <w:sz w:val="20"/>
                <w:szCs w:val="20"/>
              </w:rPr>
            </w:pPr>
            <w:r>
              <w:rPr>
                <w:rFonts w:ascii="黑体" w:eastAsia="黑体"/>
                <w:sz w:val="20"/>
                <w:szCs w:val="20"/>
              </w:rPr>
              <w:t>028</w:t>
            </w:r>
          </w:p>
        </w:tc>
        <w:tc>
          <w:tcPr>
            <w:tcW w:w="2509" w:type="dxa"/>
            <w:shd w:val="clear" w:color="auto" w:fill="auto"/>
            <w:noWrap/>
            <w:vAlign w:val="center"/>
          </w:tcPr>
          <w:p w14:paraId="4929EF1E" w14:textId="77777777" w:rsidR="00A052DC" w:rsidRDefault="009F0A60">
            <w:pPr>
              <w:widowControl/>
              <w:jc w:val="left"/>
              <w:rPr>
                <w:rFonts w:ascii="黑体" w:eastAsia="黑体" w:hAnsi="宋体" w:cs="宋体"/>
                <w:kern w:val="0"/>
                <w:sz w:val="20"/>
                <w:szCs w:val="20"/>
              </w:rPr>
            </w:pPr>
            <w:r>
              <w:rPr>
                <w:rFonts w:ascii="黑体" w:eastAsia="黑体" w:hAnsi="宋体" w:cs="宋体" w:hint="eastAsia"/>
                <w:kern w:val="0"/>
                <w:sz w:val="20"/>
                <w:szCs w:val="20"/>
              </w:rPr>
              <w:t>结汇转入同名人民币账户</w:t>
            </w:r>
          </w:p>
        </w:tc>
        <w:tc>
          <w:tcPr>
            <w:tcW w:w="2509" w:type="dxa"/>
          </w:tcPr>
          <w:p w14:paraId="68C73E2B" w14:textId="77777777" w:rsidR="00A052DC" w:rsidRDefault="009F0A60">
            <w:pPr>
              <w:widowControl/>
              <w:jc w:val="center"/>
              <w:rPr>
                <w:rFonts w:ascii="黑体" w:eastAsia="黑体" w:hAnsi="宋体" w:cs="宋体"/>
                <w:kern w:val="0"/>
                <w:sz w:val="20"/>
                <w:szCs w:val="20"/>
              </w:rPr>
            </w:pPr>
            <w:r>
              <w:rPr>
                <w:rFonts w:ascii="黑体" w:eastAsia="黑体" w:hAnsi="宋体" w:cs="宋体" w:hint="eastAsia"/>
                <w:kern w:val="0"/>
                <w:sz w:val="20"/>
                <w:szCs w:val="20"/>
              </w:rPr>
              <w:t>新增</w:t>
            </w:r>
          </w:p>
        </w:tc>
      </w:tr>
    </w:tbl>
    <w:p w14:paraId="702D2E5E" w14:textId="77777777" w:rsidR="00A052DC" w:rsidRDefault="009F0A60">
      <w:pPr>
        <w:pStyle w:val="5"/>
      </w:pPr>
      <w:r>
        <w:t>1.4.3.1.2</w:t>
      </w:r>
      <w:r>
        <w:rPr>
          <w:rFonts w:hint="eastAsia"/>
        </w:rPr>
        <w:t>账户性质</w:t>
      </w:r>
    </w:p>
    <w:tbl>
      <w:tblPr>
        <w:tblW w:w="7763" w:type="dxa"/>
        <w:jc w:val="center"/>
        <w:tblLayout w:type="fixed"/>
        <w:tblLook w:val="04A0" w:firstRow="1" w:lastRow="0" w:firstColumn="1" w:lastColumn="0" w:noHBand="0" w:noVBand="1"/>
      </w:tblPr>
      <w:tblGrid>
        <w:gridCol w:w="1967"/>
        <w:gridCol w:w="4095"/>
        <w:gridCol w:w="1701"/>
      </w:tblGrid>
      <w:tr w:rsidR="00A052DC" w14:paraId="327E577B" w14:textId="77777777">
        <w:trPr>
          <w:trHeight w:val="323"/>
          <w:tblHeader/>
          <w:jc w:val="center"/>
        </w:trPr>
        <w:tc>
          <w:tcPr>
            <w:tcW w:w="1967"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1058D02D" w14:textId="77777777" w:rsidR="00A052DC" w:rsidRDefault="009F0A60">
            <w:pPr>
              <w:pStyle w:val="B1"/>
            </w:pPr>
            <w:r>
              <w:rPr>
                <w:rFonts w:hint="eastAsia"/>
              </w:rPr>
              <w:t>账户性质代码</w:t>
            </w:r>
          </w:p>
        </w:tc>
        <w:tc>
          <w:tcPr>
            <w:tcW w:w="4095" w:type="dxa"/>
            <w:tcBorders>
              <w:top w:val="single" w:sz="4" w:space="0" w:color="auto"/>
              <w:left w:val="nil"/>
              <w:bottom w:val="single" w:sz="4" w:space="0" w:color="auto"/>
              <w:right w:val="single" w:sz="4" w:space="0" w:color="auto"/>
            </w:tcBorders>
            <w:shd w:val="clear" w:color="auto" w:fill="BFBFBF"/>
            <w:noWrap/>
            <w:vAlign w:val="center"/>
          </w:tcPr>
          <w:p w14:paraId="3A3703EC" w14:textId="77777777" w:rsidR="00A052DC" w:rsidRDefault="009F0A60">
            <w:pPr>
              <w:pStyle w:val="B1"/>
            </w:pPr>
            <w:r>
              <w:rPr>
                <w:rFonts w:hint="eastAsia"/>
              </w:rPr>
              <w:t>账户性质名称</w:t>
            </w:r>
          </w:p>
        </w:tc>
        <w:tc>
          <w:tcPr>
            <w:tcW w:w="1701" w:type="dxa"/>
            <w:tcBorders>
              <w:top w:val="single" w:sz="4" w:space="0" w:color="auto"/>
              <w:left w:val="nil"/>
              <w:bottom w:val="single" w:sz="4" w:space="0" w:color="auto"/>
              <w:right w:val="single" w:sz="4" w:space="0" w:color="auto"/>
            </w:tcBorders>
            <w:shd w:val="clear" w:color="auto" w:fill="BFBFBF"/>
          </w:tcPr>
          <w:p w14:paraId="6B9E49B3" w14:textId="77777777" w:rsidR="00A052DC" w:rsidRDefault="009F0A60">
            <w:pPr>
              <w:pStyle w:val="B1"/>
            </w:pPr>
            <w:r>
              <w:rPr>
                <w:rFonts w:hint="eastAsia"/>
              </w:rPr>
              <w:t>变更类型</w:t>
            </w:r>
          </w:p>
        </w:tc>
      </w:tr>
      <w:tr w:rsidR="00A052DC" w14:paraId="1CDDFA75" w14:textId="77777777">
        <w:trPr>
          <w:trHeight w:val="323"/>
          <w:jc w:val="center"/>
        </w:trPr>
        <w:tc>
          <w:tcPr>
            <w:tcW w:w="1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EEE27A" w14:textId="77777777" w:rsidR="00A052DC" w:rsidRDefault="009F0A60">
            <w:pPr>
              <w:pStyle w:val="B"/>
              <w:jc w:val="center"/>
            </w:pPr>
            <w:r>
              <w:t>1200</w:t>
            </w:r>
          </w:p>
        </w:tc>
        <w:tc>
          <w:tcPr>
            <w:tcW w:w="4095" w:type="dxa"/>
            <w:tcBorders>
              <w:top w:val="single" w:sz="4" w:space="0" w:color="auto"/>
              <w:left w:val="nil"/>
              <w:bottom w:val="single" w:sz="4" w:space="0" w:color="auto"/>
              <w:right w:val="single" w:sz="4" w:space="0" w:color="auto"/>
            </w:tcBorders>
            <w:shd w:val="clear" w:color="auto" w:fill="auto"/>
            <w:noWrap/>
            <w:vAlign w:val="center"/>
          </w:tcPr>
          <w:p w14:paraId="6E731F29" w14:textId="77777777" w:rsidR="00A052DC" w:rsidRDefault="009F0A60">
            <w:pPr>
              <w:pStyle w:val="B"/>
            </w:pPr>
            <w:r>
              <w:rPr>
                <w:rFonts w:hint="eastAsia"/>
              </w:rPr>
              <w:t>经常项目-外币现钞账户</w:t>
            </w:r>
          </w:p>
        </w:tc>
        <w:tc>
          <w:tcPr>
            <w:tcW w:w="1701" w:type="dxa"/>
            <w:tcBorders>
              <w:top w:val="single" w:sz="4" w:space="0" w:color="auto"/>
              <w:left w:val="nil"/>
              <w:bottom w:val="single" w:sz="4" w:space="0" w:color="auto"/>
              <w:right w:val="single" w:sz="4" w:space="0" w:color="auto"/>
            </w:tcBorders>
          </w:tcPr>
          <w:p w14:paraId="517F549D" w14:textId="77777777" w:rsidR="00A052DC" w:rsidRDefault="009F0A60">
            <w:pPr>
              <w:pStyle w:val="B"/>
              <w:jc w:val="center"/>
            </w:pPr>
            <w:r>
              <w:rPr>
                <w:rFonts w:hint="eastAsia"/>
              </w:rPr>
              <w:t>删除</w:t>
            </w:r>
          </w:p>
        </w:tc>
      </w:tr>
      <w:tr w:rsidR="00A052DC" w14:paraId="798493D7" w14:textId="77777777">
        <w:trPr>
          <w:trHeight w:val="323"/>
          <w:jc w:val="center"/>
        </w:trPr>
        <w:tc>
          <w:tcPr>
            <w:tcW w:w="1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DE11CE" w14:textId="77777777" w:rsidR="00A052DC" w:rsidRDefault="009F0A60">
            <w:pPr>
              <w:pStyle w:val="B"/>
              <w:jc w:val="center"/>
            </w:pPr>
            <w:r>
              <w:t>1601</w:t>
            </w:r>
          </w:p>
        </w:tc>
        <w:tc>
          <w:tcPr>
            <w:tcW w:w="4095" w:type="dxa"/>
            <w:tcBorders>
              <w:top w:val="single" w:sz="4" w:space="0" w:color="auto"/>
              <w:left w:val="nil"/>
              <w:bottom w:val="single" w:sz="4" w:space="0" w:color="auto"/>
              <w:right w:val="single" w:sz="4" w:space="0" w:color="auto"/>
            </w:tcBorders>
            <w:shd w:val="clear" w:color="auto" w:fill="auto"/>
            <w:noWrap/>
            <w:vAlign w:val="center"/>
          </w:tcPr>
          <w:p w14:paraId="045DC144" w14:textId="77777777" w:rsidR="00A052DC" w:rsidRDefault="009F0A60">
            <w:pPr>
              <w:pStyle w:val="B"/>
            </w:pPr>
            <w:r>
              <w:rPr>
                <w:rFonts w:hint="eastAsia"/>
              </w:rPr>
              <w:t>保险机构外汇经营账户</w:t>
            </w:r>
          </w:p>
        </w:tc>
        <w:tc>
          <w:tcPr>
            <w:tcW w:w="1701" w:type="dxa"/>
            <w:tcBorders>
              <w:top w:val="single" w:sz="4" w:space="0" w:color="auto"/>
              <w:left w:val="nil"/>
              <w:bottom w:val="single" w:sz="4" w:space="0" w:color="auto"/>
              <w:right w:val="single" w:sz="4" w:space="0" w:color="auto"/>
            </w:tcBorders>
          </w:tcPr>
          <w:p w14:paraId="1BCBEE60" w14:textId="77777777" w:rsidR="00A052DC" w:rsidRDefault="009F0A60">
            <w:pPr>
              <w:pStyle w:val="B"/>
              <w:jc w:val="center"/>
            </w:pPr>
            <w:r>
              <w:rPr>
                <w:rFonts w:hint="eastAsia"/>
              </w:rPr>
              <w:t>删除</w:t>
            </w:r>
          </w:p>
        </w:tc>
      </w:tr>
      <w:tr w:rsidR="00A052DC" w14:paraId="45A6EEBA" w14:textId="77777777">
        <w:trPr>
          <w:trHeight w:val="323"/>
          <w:jc w:val="center"/>
        </w:trPr>
        <w:tc>
          <w:tcPr>
            <w:tcW w:w="1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289D6F" w14:textId="77777777" w:rsidR="00A052DC" w:rsidRDefault="009F0A60">
            <w:pPr>
              <w:pStyle w:val="B"/>
              <w:jc w:val="center"/>
            </w:pPr>
            <w:r>
              <w:t>1900</w:t>
            </w:r>
          </w:p>
        </w:tc>
        <w:tc>
          <w:tcPr>
            <w:tcW w:w="4095" w:type="dxa"/>
            <w:tcBorders>
              <w:top w:val="single" w:sz="4" w:space="0" w:color="auto"/>
              <w:left w:val="nil"/>
              <w:bottom w:val="single" w:sz="4" w:space="0" w:color="auto"/>
              <w:right w:val="single" w:sz="4" w:space="0" w:color="auto"/>
            </w:tcBorders>
            <w:shd w:val="clear" w:color="auto" w:fill="auto"/>
            <w:noWrap/>
            <w:vAlign w:val="center"/>
          </w:tcPr>
          <w:p w14:paraId="272C8EC2" w14:textId="77777777" w:rsidR="00A052DC" w:rsidRDefault="009F0A60">
            <w:pPr>
              <w:pStyle w:val="B"/>
            </w:pPr>
            <w:r>
              <w:rPr>
                <w:rFonts w:hint="eastAsia"/>
              </w:rPr>
              <w:t>经常项目-境外机构经常项目外汇账户</w:t>
            </w:r>
          </w:p>
        </w:tc>
        <w:tc>
          <w:tcPr>
            <w:tcW w:w="1701" w:type="dxa"/>
            <w:tcBorders>
              <w:top w:val="single" w:sz="4" w:space="0" w:color="auto"/>
              <w:left w:val="nil"/>
              <w:bottom w:val="single" w:sz="4" w:space="0" w:color="auto"/>
              <w:right w:val="single" w:sz="4" w:space="0" w:color="auto"/>
            </w:tcBorders>
          </w:tcPr>
          <w:p w14:paraId="736D5D73" w14:textId="77777777" w:rsidR="00A052DC" w:rsidRDefault="009F0A60">
            <w:pPr>
              <w:pStyle w:val="B"/>
              <w:jc w:val="center"/>
            </w:pPr>
            <w:r>
              <w:rPr>
                <w:rFonts w:hint="eastAsia"/>
              </w:rPr>
              <w:t>删除</w:t>
            </w:r>
          </w:p>
        </w:tc>
      </w:tr>
      <w:tr w:rsidR="00A052DC" w14:paraId="2B8F206F" w14:textId="77777777">
        <w:trPr>
          <w:trHeight w:val="323"/>
          <w:jc w:val="center"/>
        </w:trPr>
        <w:tc>
          <w:tcPr>
            <w:tcW w:w="1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21296B" w14:textId="77777777" w:rsidR="00A052DC" w:rsidRDefault="009F0A60">
            <w:pPr>
              <w:pStyle w:val="B"/>
              <w:jc w:val="center"/>
            </w:pPr>
            <w:r>
              <w:t>2103</w:t>
            </w:r>
          </w:p>
        </w:tc>
        <w:tc>
          <w:tcPr>
            <w:tcW w:w="4095" w:type="dxa"/>
            <w:tcBorders>
              <w:top w:val="single" w:sz="4" w:space="0" w:color="auto"/>
              <w:left w:val="nil"/>
              <w:bottom w:val="single" w:sz="4" w:space="0" w:color="auto"/>
              <w:right w:val="single" w:sz="4" w:space="0" w:color="auto"/>
            </w:tcBorders>
            <w:shd w:val="clear" w:color="auto" w:fill="auto"/>
            <w:noWrap/>
            <w:vAlign w:val="center"/>
          </w:tcPr>
          <w:p w14:paraId="033EAB2B" w14:textId="77777777" w:rsidR="00A052DC" w:rsidRDefault="009F0A60">
            <w:pPr>
              <w:pStyle w:val="B"/>
            </w:pPr>
            <w:r>
              <w:rPr>
                <w:rFonts w:hint="eastAsia"/>
              </w:rPr>
              <w:t>资本项目-资产变现账户</w:t>
            </w:r>
          </w:p>
        </w:tc>
        <w:tc>
          <w:tcPr>
            <w:tcW w:w="1701" w:type="dxa"/>
            <w:tcBorders>
              <w:top w:val="single" w:sz="4" w:space="0" w:color="auto"/>
              <w:left w:val="nil"/>
              <w:bottom w:val="single" w:sz="4" w:space="0" w:color="auto"/>
              <w:right w:val="single" w:sz="4" w:space="0" w:color="auto"/>
            </w:tcBorders>
          </w:tcPr>
          <w:p w14:paraId="16393411" w14:textId="77777777" w:rsidR="00A052DC" w:rsidRDefault="009F0A60">
            <w:pPr>
              <w:pStyle w:val="B"/>
              <w:jc w:val="center"/>
            </w:pPr>
            <w:r>
              <w:rPr>
                <w:rFonts w:hint="eastAsia"/>
              </w:rPr>
              <w:t>修改</w:t>
            </w:r>
          </w:p>
        </w:tc>
      </w:tr>
      <w:tr w:rsidR="00A052DC" w14:paraId="0F689C6C" w14:textId="77777777">
        <w:trPr>
          <w:trHeight w:val="323"/>
          <w:jc w:val="center"/>
        </w:trPr>
        <w:tc>
          <w:tcPr>
            <w:tcW w:w="1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DC0BE8" w14:textId="77777777" w:rsidR="00A052DC" w:rsidRDefault="009F0A60">
            <w:pPr>
              <w:pStyle w:val="B"/>
              <w:jc w:val="center"/>
            </w:pPr>
            <w:r>
              <w:t>2104</w:t>
            </w:r>
          </w:p>
        </w:tc>
        <w:tc>
          <w:tcPr>
            <w:tcW w:w="4095" w:type="dxa"/>
            <w:tcBorders>
              <w:top w:val="single" w:sz="4" w:space="0" w:color="auto"/>
              <w:left w:val="nil"/>
              <w:bottom w:val="single" w:sz="4" w:space="0" w:color="auto"/>
              <w:right w:val="single" w:sz="4" w:space="0" w:color="auto"/>
            </w:tcBorders>
            <w:shd w:val="clear" w:color="auto" w:fill="auto"/>
            <w:noWrap/>
            <w:vAlign w:val="center"/>
          </w:tcPr>
          <w:p w14:paraId="10C184FF" w14:textId="77777777" w:rsidR="00A052DC" w:rsidRDefault="009F0A60">
            <w:pPr>
              <w:pStyle w:val="B"/>
            </w:pPr>
            <w:r>
              <w:rPr>
                <w:rFonts w:hint="eastAsia"/>
              </w:rPr>
              <w:t>资本项目-保证金专用账户</w:t>
            </w:r>
          </w:p>
        </w:tc>
        <w:tc>
          <w:tcPr>
            <w:tcW w:w="1701" w:type="dxa"/>
            <w:tcBorders>
              <w:top w:val="single" w:sz="4" w:space="0" w:color="auto"/>
              <w:left w:val="nil"/>
              <w:bottom w:val="single" w:sz="4" w:space="0" w:color="auto"/>
              <w:right w:val="single" w:sz="4" w:space="0" w:color="auto"/>
            </w:tcBorders>
          </w:tcPr>
          <w:p w14:paraId="6B17E993" w14:textId="77777777" w:rsidR="00A052DC" w:rsidRDefault="009F0A60">
            <w:pPr>
              <w:pStyle w:val="B"/>
              <w:jc w:val="center"/>
            </w:pPr>
            <w:r>
              <w:rPr>
                <w:rFonts w:hint="eastAsia"/>
              </w:rPr>
              <w:t>修改</w:t>
            </w:r>
          </w:p>
        </w:tc>
      </w:tr>
      <w:tr w:rsidR="00A052DC" w14:paraId="26B22ED1" w14:textId="77777777">
        <w:trPr>
          <w:trHeight w:val="323"/>
          <w:jc w:val="center"/>
        </w:trPr>
        <w:tc>
          <w:tcPr>
            <w:tcW w:w="1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45A3FE" w14:textId="77777777" w:rsidR="00A052DC" w:rsidRDefault="009F0A60">
            <w:pPr>
              <w:pStyle w:val="B"/>
              <w:jc w:val="center"/>
            </w:pPr>
            <w:r>
              <w:lastRenderedPageBreak/>
              <w:t>2105</w:t>
            </w:r>
          </w:p>
        </w:tc>
        <w:tc>
          <w:tcPr>
            <w:tcW w:w="4095" w:type="dxa"/>
            <w:tcBorders>
              <w:top w:val="single" w:sz="4" w:space="0" w:color="auto"/>
              <w:left w:val="nil"/>
              <w:bottom w:val="single" w:sz="4" w:space="0" w:color="auto"/>
              <w:right w:val="single" w:sz="4" w:space="0" w:color="auto"/>
            </w:tcBorders>
            <w:shd w:val="clear" w:color="auto" w:fill="auto"/>
            <w:noWrap/>
            <w:vAlign w:val="center"/>
          </w:tcPr>
          <w:p w14:paraId="79B1090F" w14:textId="77777777" w:rsidR="00A052DC" w:rsidRDefault="009F0A60">
            <w:pPr>
              <w:pStyle w:val="B"/>
            </w:pPr>
            <w:r>
              <w:rPr>
                <w:rFonts w:hint="eastAsia"/>
              </w:rPr>
              <w:t>资本项目-境内划入保证金专用账户</w:t>
            </w:r>
          </w:p>
        </w:tc>
        <w:tc>
          <w:tcPr>
            <w:tcW w:w="1701" w:type="dxa"/>
            <w:tcBorders>
              <w:top w:val="single" w:sz="4" w:space="0" w:color="auto"/>
              <w:left w:val="nil"/>
              <w:bottom w:val="single" w:sz="4" w:space="0" w:color="auto"/>
              <w:right w:val="single" w:sz="4" w:space="0" w:color="auto"/>
            </w:tcBorders>
          </w:tcPr>
          <w:p w14:paraId="17B570B9" w14:textId="77777777" w:rsidR="00A052DC" w:rsidRDefault="009F0A60">
            <w:pPr>
              <w:pStyle w:val="B"/>
              <w:jc w:val="center"/>
            </w:pPr>
            <w:r>
              <w:rPr>
                <w:rFonts w:hint="eastAsia"/>
              </w:rPr>
              <w:t>删除</w:t>
            </w:r>
          </w:p>
        </w:tc>
      </w:tr>
      <w:tr w:rsidR="00A052DC" w14:paraId="7AB3B9DD" w14:textId="77777777">
        <w:trPr>
          <w:trHeight w:val="323"/>
          <w:jc w:val="center"/>
        </w:trPr>
        <w:tc>
          <w:tcPr>
            <w:tcW w:w="1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BAD7F4" w14:textId="77777777" w:rsidR="00A052DC" w:rsidRDefault="009F0A60">
            <w:pPr>
              <w:pStyle w:val="B"/>
              <w:jc w:val="center"/>
            </w:pPr>
            <w:r>
              <w:t>2106</w:t>
            </w:r>
          </w:p>
        </w:tc>
        <w:tc>
          <w:tcPr>
            <w:tcW w:w="4095" w:type="dxa"/>
            <w:tcBorders>
              <w:top w:val="single" w:sz="4" w:space="0" w:color="auto"/>
              <w:left w:val="nil"/>
              <w:bottom w:val="single" w:sz="4" w:space="0" w:color="auto"/>
              <w:right w:val="single" w:sz="4" w:space="0" w:color="auto"/>
            </w:tcBorders>
            <w:shd w:val="clear" w:color="auto" w:fill="auto"/>
            <w:noWrap/>
            <w:vAlign w:val="center"/>
          </w:tcPr>
          <w:p w14:paraId="46FB5ED1" w14:textId="77777777" w:rsidR="00A052DC" w:rsidRDefault="009F0A60">
            <w:pPr>
              <w:pStyle w:val="B"/>
            </w:pPr>
            <w:r>
              <w:rPr>
                <w:rFonts w:hint="eastAsia"/>
              </w:rPr>
              <w:t>资本项目-境内再投资专用账户</w:t>
            </w:r>
          </w:p>
        </w:tc>
        <w:tc>
          <w:tcPr>
            <w:tcW w:w="1701" w:type="dxa"/>
            <w:tcBorders>
              <w:top w:val="single" w:sz="4" w:space="0" w:color="auto"/>
              <w:left w:val="nil"/>
              <w:bottom w:val="single" w:sz="4" w:space="0" w:color="auto"/>
              <w:right w:val="single" w:sz="4" w:space="0" w:color="auto"/>
            </w:tcBorders>
          </w:tcPr>
          <w:p w14:paraId="34715417" w14:textId="77777777" w:rsidR="00A052DC" w:rsidRDefault="009F0A60">
            <w:pPr>
              <w:pStyle w:val="B"/>
              <w:jc w:val="center"/>
            </w:pPr>
            <w:r>
              <w:rPr>
                <w:rFonts w:hint="eastAsia"/>
              </w:rPr>
              <w:t>删除</w:t>
            </w:r>
          </w:p>
        </w:tc>
      </w:tr>
      <w:tr w:rsidR="00A052DC" w14:paraId="3DEAB18F" w14:textId="77777777">
        <w:trPr>
          <w:trHeight w:val="323"/>
          <w:jc w:val="center"/>
        </w:trPr>
        <w:tc>
          <w:tcPr>
            <w:tcW w:w="1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EE4660" w14:textId="77777777" w:rsidR="00A052DC" w:rsidRDefault="009F0A60">
            <w:pPr>
              <w:pStyle w:val="B"/>
              <w:jc w:val="center"/>
            </w:pPr>
            <w:r>
              <w:t>2107</w:t>
            </w:r>
          </w:p>
        </w:tc>
        <w:tc>
          <w:tcPr>
            <w:tcW w:w="4095" w:type="dxa"/>
            <w:tcBorders>
              <w:top w:val="single" w:sz="4" w:space="0" w:color="auto"/>
              <w:left w:val="nil"/>
              <w:bottom w:val="single" w:sz="4" w:space="0" w:color="auto"/>
              <w:right w:val="single" w:sz="4" w:space="0" w:color="auto"/>
            </w:tcBorders>
            <w:shd w:val="clear" w:color="auto" w:fill="auto"/>
            <w:noWrap/>
            <w:vAlign w:val="center"/>
          </w:tcPr>
          <w:p w14:paraId="5F0EAAB6" w14:textId="77777777" w:rsidR="00A052DC" w:rsidRDefault="009F0A60">
            <w:pPr>
              <w:pStyle w:val="B"/>
            </w:pPr>
            <w:r>
              <w:rPr>
                <w:rFonts w:hint="eastAsia"/>
              </w:rPr>
              <w:t>资本项目-环境权益交易外汇账户</w:t>
            </w:r>
          </w:p>
        </w:tc>
        <w:tc>
          <w:tcPr>
            <w:tcW w:w="1701" w:type="dxa"/>
            <w:tcBorders>
              <w:top w:val="single" w:sz="4" w:space="0" w:color="auto"/>
              <w:left w:val="nil"/>
              <w:bottom w:val="single" w:sz="4" w:space="0" w:color="auto"/>
              <w:right w:val="single" w:sz="4" w:space="0" w:color="auto"/>
            </w:tcBorders>
          </w:tcPr>
          <w:p w14:paraId="50B80027" w14:textId="77777777" w:rsidR="00A052DC" w:rsidRDefault="009F0A60">
            <w:pPr>
              <w:pStyle w:val="B"/>
              <w:jc w:val="center"/>
            </w:pPr>
            <w:r>
              <w:rPr>
                <w:rFonts w:hint="eastAsia"/>
              </w:rPr>
              <w:t>删除</w:t>
            </w:r>
          </w:p>
        </w:tc>
      </w:tr>
      <w:tr w:rsidR="00A052DC" w14:paraId="640C440F" w14:textId="77777777">
        <w:trPr>
          <w:trHeight w:val="323"/>
          <w:jc w:val="center"/>
        </w:trPr>
        <w:tc>
          <w:tcPr>
            <w:tcW w:w="1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AA892C" w14:textId="77777777" w:rsidR="00A052DC" w:rsidRDefault="009F0A60">
            <w:pPr>
              <w:pStyle w:val="B"/>
              <w:jc w:val="center"/>
            </w:pPr>
            <w:r>
              <w:t>2201</w:t>
            </w:r>
          </w:p>
        </w:tc>
        <w:tc>
          <w:tcPr>
            <w:tcW w:w="4095" w:type="dxa"/>
            <w:tcBorders>
              <w:top w:val="single" w:sz="4" w:space="0" w:color="auto"/>
              <w:left w:val="nil"/>
              <w:bottom w:val="single" w:sz="4" w:space="0" w:color="auto"/>
              <w:right w:val="single" w:sz="4" w:space="0" w:color="auto"/>
            </w:tcBorders>
            <w:shd w:val="clear" w:color="auto" w:fill="auto"/>
            <w:noWrap/>
            <w:vAlign w:val="center"/>
          </w:tcPr>
          <w:p w14:paraId="7C5D4F19" w14:textId="77777777" w:rsidR="00A052DC" w:rsidRDefault="009F0A60">
            <w:pPr>
              <w:pStyle w:val="B"/>
            </w:pPr>
            <w:r>
              <w:rPr>
                <w:rFonts w:hint="eastAsia"/>
              </w:rPr>
              <w:t>资本项目-境外资产变现账户</w:t>
            </w:r>
          </w:p>
        </w:tc>
        <w:tc>
          <w:tcPr>
            <w:tcW w:w="1701" w:type="dxa"/>
            <w:tcBorders>
              <w:top w:val="single" w:sz="4" w:space="0" w:color="auto"/>
              <w:left w:val="nil"/>
              <w:bottom w:val="single" w:sz="4" w:space="0" w:color="auto"/>
              <w:right w:val="single" w:sz="4" w:space="0" w:color="auto"/>
            </w:tcBorders>
          </w:tcPr>
          <w:p w14:paraId="22B06480" w14:textId="77777777" w:rsidR="00A052DC" w:rsidRDefault="009F0A60">
            <w:pPr>
              <w:pStyle w:val="B"/>
              <w:jc w:val="center"/>
            </w:pPr>
            <w:r>
              <w:rPr>
                <w:rFonts w:hint="eastAsia"/>
              </w:rPr>
              <w:t>删除</w:t>
            </w:r>
          </w:p>
        </w:tc>
      </w:tr>
      <w:tr w:rsidR="00A052DC" w14:paraId="42621F2C" w14:textId="77777777">
        <w:trPr>
          <w:trHeight w:val="323"/>
          <w:jc w:val="center"/>
        </w:trPr>
        <w:tc>
          <w:tcPr>
            <w:tcW w:w="1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9BF12E" w14:textId="77777777" w:rsidR="00A052DC" w:rsidRDefault="009F0A60">
            <w:pPr>
              <w:pStyle w:val="B"/>
              <w:jc w:val="center"/>
            </w:pPr>
            <w:r>
              <w:t>2306</w:t>
            </w:r>
          </w:p>
        </w:tc>
        <w:tc>
          <w:tcPr>
            <w:tcW w:w="4095" w:type="dxa"/>
            <w:tcBorders>
              <w:top w:val="single" w:sz="4" w:space="0" w:color="auto"/>
              <w:left w:val="nil"/>
              <w:bottom w:val="single" w:sz="4" w:space="0" w:color="auto"/>
              <w:right w:val="single" w:sz="4" w:space="0" w:color="auto"/>
            </w:tcBorders>
            <w:shd w:val="clear" w:color="auto" w:fill="auto"/>
            <w:noWrap/>
            <w:vAlign w:val="center"/>
          </w:tcPr>
          <w:p w14:paraId="0A80439C" w14:textId="77777777" w:rsidR="00A052DC" w:rsidRDefault="009F0A60">
            <w:pPr>
              <w:pStyle w:val="B"/>
            </w:pPr>
            <w:r>
              <w:rPr>
                <w:rFonts w:hint="eastAsia"/>
              </w:rPr>
              <w:t>资本项目-外汇委托贷款专用账户</w:t>
            </w:r>
          </w:p>
        </w:tc>
        <w:tc>
          <w:tcPr>
            <w:tcW w:w="1701" w:type="dxa"/>
            <w:tcBorders>
              <w:top w:val="single" w:sz="4" w:space="0" w:color="auto"/>
              <w:left w:val="nil"/>
              <w:bottom w:val="single" w:sz="4" w:space="0" w:color="auto"/>
              <w:right w:val="single" w:sz="4" w:space="0" w:color="auto"/>
            </w:tcBorders>
          </w:tcPr>
          <w:p w14:paraId="75AE7F9A" w14:textId="77777777" w:rsidR="00A052DC" w:rsidRDefault="009F0A60">
            <w:pPr>
              <w:pStyle w:val="B"/>
              <w:jc w:val="center"/>
            </w:pPr>
            <w:r>
              <w:rPr>
                <w:rFonts w:hint="eastAsia"/>
              </w:rPr>
              <w:t>删除</w:t>
            </w:r>
          </w:p>
        </w:tc>
      </w:tr>
      <w:tr w:rsidR="00A052DC" w14:paraId="18B2B8DA" w14:textId="77777777">
        <w:trPr>
          <w:trHeight w:val="323"/>
          <w:jc w:val="center"/>
        </w:trPr>
        <w:tc>
          <w:tcPr>
            <w:tcW w:w="1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52A7EF" w14:textId="77777777" w:rsidR="00A052DC" w:rsidRDefault="009F0A60">
            <w:pPr>
              <w:pStyle w:val="B"/>
              <w:jc w:val="center"/>
            </w:pPr>
            <w:r>
              <w:t>2402</w:t>
            </w:r>
          </w:p>
        </w:tc>
        <w:tc>
          <w:tcPr>
            <w:tcW w:w="4095" w:type="dxa"/>
            <w:tcBorders>
              <w:top w:val="single" w:sz="4" w:space="0" w:color="auto"/>
              <w:left w:val="nil"/>
              <w:bottom w:val="single" w:sz="4" w:space="0" w:color="auto"/>
              <w:right w:val="single" w:sz="4" w:space="0" w:color="auto"/>
            </w:tcBorders>
            <w:shd w:val="clear" w:color="auto" w:fill="auto"/>
            <w:noWrap/>
            <w:vAlign w:val="center"/>
          </w:tcPr>
          <w:p w14:paraId="03016A93" w14:textId="77777777" w:rsidR="00A052DC" w:rsidRDefault="009F0A60">
            <w:pPr>
              <w:pStyle w:val="B"/>
            </w:pPr>
            <w:r>
              <w:rPr>
                <w:rFonts w:hint="eastAsia"/>
              </w:rPr>
              <w:t>资本项目-境内机构衍生业务境内专户</w:t>
            </w:r>
          </w:p>
        </w:tc>
        <w:tc>
          <w:tcPr>
            <w:tcW w:w="1701" w:type="dxa"/>
            <w:tcBorders>
              <w:top w:val="single" w:sz="4" w:space="0" w:color="auto"/>
              <w:left w:val="nil"/>
              <w:bottom w:val="single" w:sz="4" w:space="0" w:color="auto"/>
              <w:right w:val="single" w:sz="4" w:space="0" w:color="auto"/>
            </w:tcBorders>
          </w:tcPr>
          <w:p w14:paraId="68622858" w14:textId="77777777" w:rsidR="00A052DC" w:rsidRDefault="009F0A60">
            <w:pPr>
              <w:pStyle w:val="B"/>
              <w:jc w:val="center"/>
            </w:pPr>
            <w:r>
              <w:rPr>
                <w:rFonts w:hint="eastAsia"/>
              </w:rPr>
              <w:t>删除</w:t>
            </w:r>
          </w:p>
        </w:tc>
      </w:tr>
      <w:tr w:rsidR="00A052DC" w14:paraId="1E021F31" w14:textId="77777777">
        <w:trPr>
          <w:trHeight w:val="323"/>
          <w:jc w:val="center"/>
        </w:trPr>
        <w:tc>
          <w:tcPr>
            <w:tcW w:w="1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6A377F" w14:textId="77777777" w:rsidR="00A052DC" w:rsidRDefault="009F0A60">
            <w:pPr>
              <w:pStyle w:val="B"/>
              <w:jc w:val="center"/>
            </w:pPr>
            <w:r>
              <w:t>2403</w:t>
            </w:r>
          </w:p>
        </w:tc>
        <w:tc>
          <w:tcPr>
            <w:tcW w:w="4095" w:type="dxa"/>
            <w:tcBorders>
              <w:top w:val="single" w:sz="4" w:space="0" w:color="auto"/>
              <w:left w:val="nil"/>
              <w:bottom w:val="single" w:sz="4" w:space="0" w:color="auto"/>
              <w:right w:val="single" w:sz="4" w:space="0" w:color="auto"/>
            </w:tcBorders>
            <w:shd w:val="clear" w:color="auto" w:fill="auto"/>
            <w:noWrap/>
            <w:vAlign w:val="center"/>
          </w:tcPr>
          <w:p w14:paraId="54DFD4BC" w14:textId="77777777" w:rsidR="00A052DC" w:rsidRDefault="009F0A60">
            <w:pPr>
              <w:pStyle w:val="B"/>
            </w:pPr>
            <w:r>
              <w:rPr>
                <w:rFonts w:hint="eastAsia"/>
              </w:rPr>
              <w:t>资本项目</w:t>
            </w:r>
            <w:r>
              <w:t>-</w:t>
            </w:r>
            <w:r>
              <w:rPr>
                <w:rFonts w:hint="eastAsia"/>
              </w:rPr>
              <w:t>居民境外证券与衍生品账户</w:t>
            </w:r>
          </w:p>
        </w:tc>
        <w:tc>
          <w:tcPr>
            <w:tcW w:w="1701" w:type="dxa"/>
            <w:tcBorders>
              <w:top w:val="single" w:sz="4" w:space="0" w:color="auto"/>
              <w:left w:val="nil"/>
              <w:bottom w:val="single" w:sz="4" w:space="0" w:color="auto"/>
              <w:right w:val="single" w:sz="4" w:space="0" w:color="auto"/>
            </w:tcBorders>
          </w:tcPr>
          <w:p w14:paraId="29F102B8" w14:textId="77777777" w:rsidR="00A052DC" w:rsidRDefault="009F0A60">
            <w:pPr>
              <w:pStyle w:val="B"/>
              <w:jc w:val="center"/>
            </w:pPr>
            <w:r>
              <w:rPr>
                <w:rFonts w:hint="eastAsia"/>
              </w:rPr>
              <w:t>修改</w:t>
            </w:r>
          </w:p>
        </w:tc>
      </w:tr>
      <w:tr w:rsidR="00A052DC" w14:paraId="7C322BAA" w14:textId="77777777">
        <w:trPr>
          <w:trHeight w:val="323"/>
          <w:jc w:val="center"/>
        </w:trPr>
        <w:tc>
          <w:tcPr>
            <w:tcW w:w="1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73662E" w14:textId="77777777" w:rsidR="00A052DC" w:rsidRDefault="009F0A60">
            <w:pPr>
              <w:pStyle w:val="B"/>
              <w:jc w:val="center"/>
            </w:pPr>
            <w:r>
              <w:t>2404</w:t>
            </w:r>
          </w:p>
        </w:tc>
        <w:tc>
          <w:tcPr>
            <w:tcW w:w="4095" w:type="dxa"/>
            <w:tcBorders>
              <w:top w:val="single" w:sz="4" w:space="0" w:color="auto"/>
              <w:left w:val="nil"/>
              <w:bottom w:val="single" w:sz="4" w:space="0" w:color="auto"/>
              <w:right w:val="single" w:sz="4" w:space="0" w:color="auto"/>
            </w:tcBorders>
            <w:shd w:val="clear" w:color="auto" w:fill="auto"/>
            <w:noWrap/>
            <w:vAlign w:val="center"/>
          </w:tcPr>
          <w:p w14:paraId="3023C236" w14:textId="77777777" w:rsidR="00A052DC" w:rsidRDefault="009F0A60">
            <w:pPr>
              <w:pStyle w:val="B"/>
            </w:pPr>
            <w:r>
              <w:rPr>
                <w:rFonts w:hint="eastAsia"/>
              </w:rPr>
              <w:t>资本项目</w:t>
            </w:r>
            <w:r>
              <w:t>-</w:t>
            </w:r>
            <w:r>
              <w:rPr>
                <w:rFonts w:hint="eastAsia"/>
              </w:rPr>
              <w:t>境内公司境外上市专用外汇账户</w:t>
            </w:r>
          </w:p>
        </w:tc>
        <w:tc>
          <w:tcPr>
            <w:tcW w:w="1701" w:type="dxa"/>
            <w:tcBorders>
              <w:top w:val="single" w:sz="4" w:space="0" w:color="auto"/>
              <w:left w:val="nil"/>
              <w:bottom w:val="single" w:sz="4" w:space="0" w:color="auto"/>
              <w:right w:val="single" w:sz="4" w:space="0" w:color="auto"/>
            </w:tcBorders>
          </w:tcPr>
          <w:p w14:paraId="66DE60BD" w14:textId="77777777" w:rsidR="00A052DC" w:rsidRDefault="009F0A60">
            <w:pPr>
              <w:pStyle w:val="B"/>
              <w:jc w:val="center"/>
            </w:pPr>
            <w:r>
              <w:rPr>
                <w:rFonts w:hint="eastAsia"/>
              </w:rPr>
              <w:t>删除</w:t>
            </w:r>
          </w:p>
        </w:tc>
      </w:tr>
      <w:tr w:rsidR="00A052DC" w14:paraId="1A22D07C" w14:textId="77777777">
        <w:trPr>
          <w:trHeight w:val="323"/>
          <w:jc w:val="center"/>
        </w:trPr>
        <w:tc>
          <w:tcPr>
            <w:tcW w:w="1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C22660" w14:textId="77777777" w:rsidR="00A052DC" w:rsidRDefault="009F0A60">
            <w:pPr>
              <w:pStyle w:val="B"/>
              <w:jc w:val="center"/>
            </w:pPr>
            <w:r>
              <w:t>2408</w:t>
            </w:r>
          </w:p>
        </w:tc>
        <w:tc>
          <w:tcPr>
            <w:tcW w:w="4095" w:type="dxa"/>
            <w:tcBorders>
              <w:top w:val="single" w:sz="4" w:space="0" w:color="auto"/>
              <w:left w:val="nil"/>
              <w:bottom w:val="single" w:sz="4" w:space="0" w:color="auto"/>
              <w:right w:val="single" w:sz="4" w:space="0" w:color="auto"/>
            </w:tcBorders>
            <w:shd w:val="clear" w:color="auto" w:fill="auto"/>
            <w:noWrap/>
            <w:vAlign w:val="center"/>
          </w:tcPr>
          <w:p w14:paraId="5246F00A" w14:textId="77777777" w:rsidR="00A052DC" w:rsidRDefault="009F0A60">
            <w:pPr>
              <w:pStyle w:val="B"/>
            </w:pPr>
            <w:r>
              <w:rPr>
                <w:rFonts w:hint="eastAsia"/>
              </w:rPr>
              <w:t>资本项目-A股上市公司外资股东减持股份及分红人民币临时存款账户</w:t>
            </w:r>
          </w:p>
        </w:tc>
        <w:tc>
          <w:tcPr>
            <w:tcW w:w="1701" w:type="dxa"/>
            <w:tcBorders>
              <w:top w:val="single" w:sz="4" w:space="0" w:color="auto"/>
              <w:left w:val="nil"/>
              <w:bottom w:val="single" w:sz="4" w:space="0" w:color="auto"/>
              <w:right w:val="single" w:sz="4" w:space="0" w:color="auto"/>
            </w:tcBorders>
          </w:tcPr>
          <w:p w14:paraId="06738E32" w14:textId="77777777" w:rsidR="00A052DC" w:rsidRDefault="009F0A60">
            <w:pPr>
              <w:pStyle w:val="B"/>
              <w:jc w:val="center"/>
            </w:pPr>
            <w:r>
              <w:rPr>
                <w:rFonts w:hint="eastAsia"/>
              </w:rPr>
              <w:t>删除</w:t>
            </w:r>
          </w:p>
        </w:tc>
      </w:tr>
      <w:tr w:rsidR="00A052DC" w14:paraId="29AF8D22" w14:textId="77777777">
        <w:trPr>
          <w:trHeight w:val="323"/>
          <w:jc w:val="center"/>
        </w:trPr>
        <w:tc>
          <w:tcPr>
            <w:tcW w:w="1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A4E0FD" w14:textId="77777777" w:rsidR="00A052DC" w:rsidRDefault="009F0A60">
            <w:pPr>
              <w:pStyle w:val="B"/>
              <w:jc w:val="center"/>
            </w:pPr>
            <w:r>
              <w:t>2409</w:t>
            </w:r>
          </w:p>
        </w:tc>
        <w:tc>
          <w:tcPr>
            <w:tcW w:w="4095" w:type="dxa"/>
            <w:tcBorders>
              <w:top w:val="single" w:sz="4" w:space="0" w:color="auto"/>
              <w:left w:val="nil"/>
              <w:bottom w:val="single" w:sz="4" w:space="0" w:color="auto"/>
              <w:right w:val="single" w:sz="4" w:space="0" w:color="auto"/>
            </w:tcBorders>
            <w:shd w:val="clear" w:color="auto" w:fill="auto"/>
            <w:noWrap/>
            <w:vAlign w:val="center"/>
          </w:tcPr>
          <w:p w14:paraId="04582FBE" w14:textId="77777777" w:rsidR="00A052DC" w:rsidRDefault="009F0A60">
            <w:pPr>
              <w:pStyle w:val="B"/>
            </w:pPr>
            <w:r>
              <w:rPr>
                <w:rFonts w:hint="eastAsia"/>
              </w:rPr>
              <w:t>资本项目-QFII境内外汇账户</w:t>
            </w:r>
          </w:p>
        </w:tc>
        <w:tc>
          <w:tcPr>
            <w:tcW w:w="1701" w:type="dxa"/>
            <w:tcBorders>
              <w:top w:val="single" w:sz="4" w:space="0" w:color="auto"/>
              <w:left w:val="nil"/>
              <w:bottom w:val="single" w:sz="4" w:space="0" w:color="auto"/>
              <w:right w:val="single" w:sz="4" w:space="0" w:color="auto"/>
            </w:tcBorders>
          </w:tcPr>
          <w:p w14:paraId="462C39BB" w14:textId="77777777" w:rsidR="00A052DC" w:rsidRDefault="009F0A60">
            <w:pPr>
              <w:pStyle w:val="B"/>
              <w:jc w:val="center"/>
            </w:pPr>
            <w:r>
              <w:rPr>
                <w:rFonts w:hint="eastAsia"/>
              </w:rPr>
              <w:t>删除</w:t>
            </w:r>
          </w:p>
        </w:tc>
      </w:tr>
      <w:tr w:rsidR="00A052DC" w14:paraId="35329EB6" w14:textId="77777777">
        <w:trPr>
          <w:trHeight w:val="323"/>
          <w:jc w:val="center"/>
        </w:trPr>
        <w:tc>
          <w:tcPr>
            <w:tcW w:w="1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C60ECB" w14:textId="77777777" w:rsidR="00A052DC" w:rsidRDefault="009F0A60">
            <w:pPr>
              <w:pStyle w:val="B"/>
              <w:jc w:val="center"/>
            </w:pPr>
            <w:r>
              <w:t>2410</w:t>
            </w:r>
          </w:p>
        </w:tc>
        <w:tc>
          <w:tcPr>
            <w:tcW w:w="4095" w:type="dxa"/>
            <w:tcBorders>
              <w:top w:val="single" w:sz="4" w:space="0" w:color="auto"/>
              <w:left w:val="nil"/>
              <w:bottom w:val="single" w:sz="4" w:space="0" w:color="auto"/>
              <w:right w:val="single" w:sz="4" w:space="0" w:color="auto"/>
            </w:tcBorders>
            <w:shd w:val="clear" w:color="auto" w:fill="auto"/>
            <w:noWrap/>
            <w:vAlign w:val="center"/>
          </w:tcPr>
          <w:p w14:paraId="1F32597D" w14:textId="77777777" w:rsidR="00A052DC" w:rsidRDefault="009F0A60">
            <w:pPr>
              <w:pStyle w:val="B"/>
            </w:pPr>
            <w:r>
              <w:rPr>
                <w:rFonts w:hint="eastAsia"/>
              </w:rPr>
              <w:t>资本项目</w:t>
            </w:r>
            <w:r>
              <w:t>-</w:t>
            </w:r>
            <w:r>
              <w:rPr>
                <w:rFonts w:hint="eastAsia"/>
              </w:rPr>
              <w:t>合格境外机构投资者账户</w:t>
            </w:r>
          </w:p>
        </w:tc>
        <w:tc>
          <w:tcPr>
            <w:tcW w:w="1701" w:type="dxa"/>
            <w:tcBorders>
              <w:top w:val="single" w:sz="4" w:space="0" w:color="auto"/>
              <w:left w:val="nil"/>
              <w:bottom w:val="single" w:sz="4" w:space="0" w:color="auto"/>
              <w:right w:val="single" w:sz="4" w:space="0" w:color="auto"/>
            </w:tcBorders>
          </w:tcPr>
          <w:p w14:paraId="699FDEC8" w14:textId="77777777" w:rsidR="00A052DC" w:rsidRDefault="009F0A60">
            <w:pPr>
              <w:pStyle w:val="B"/>
              <w:jc w:val="center"/>
            </w:pPr>
            <w:r>
              <w:rPr>
                <w:rFonts w:hint="eastAsia"/>
              </w:rPr>
              <w:t>修改</w:t>
            </w:r>
          </w:p>
        </w:tc>
      </w:tr>
      <w:tr w:rsidR="00A052DC" w14:paraId="48D3B584" w14:textId="77777777">
        <w:trPr>
          <w:trHeight w:val="323"/>
          <w:jc w:val="center"/>
        </w:trPr>
        <w:tc>
          <w:tcPr>
            <w:tcW w:w="1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FF6FDA" w14:textId="77777777" w:rsidR="00A052DC" w:rsidRDefault="009F0A60">
            <w:pPr>
              <w:pStyle w:val="B"/>
              <w:jc w:val="center"/>
            </w:pPr>
            <w:r>
              <w:t>2411</w:t>
            </w:r>
          </w:p>
        </w:tc>
        <w:tc>
          <w:tcPr>
            <w:tcW w:w="4095" w:type="dxa"/>
            <w:tcBorders>
              <w:top w:val="single" w:sz="4" w:space="0" w:color="auto"/>
              <w:left w:val="nil"/>
              <w:bottom w:val="single" w:sz="4" w:space="0" w:color="auto"/>
              <w:right w:val="single" w:sz="4" w:space="0" w:color="auto"/>
            </w:tcBorders>
            <w:shd w:val="clear" w:color="auto" w:fill="auto"/>
            <w:noWrap/>
            <w:vAlign w:val="center"/>
          </w:tcPr>
          <w:p w14:paraId="6F72DFD3" w14:textId="77777777" w:rsidR="00A052DC" w:rsidRDefault="009F0A60">
            <w:pPr>
              <w:pStyle w:val="B"/>
            </w:pPr>
            <w:r>
              <w:rPr>
                <w:rFonts w:hint="eastAsia"/>
              </w:rPr>
              <w:t>资本项目-RQFII人民币账户</w:t>
            </w:r>
          </w:p>
        </w:tc>
        <w:tc>
          <w:tcPr>
            <w:tcW w:w="1701" w:type="dxa"/>
            <w:tcBorders>
              <w:top w:val="single" w:sz="4" w:space="0" w:color="auto"/>
              <w:left w:val="nil"/>
              <w:bottom w:val="single" w:sz="4" w:space="0" w:color="auto"/>
              <w:right w:val="single" w:sz="4" w:space="0" w:color="auto"/>
            </w:tcBorders>
          </w:tcPr>
          <w:p w14:paraId="25019592" w14:textId="77777777" w:rsidR="00A052DC" w:rsidRDefault="009F0A60">
            <w:pPr>
              <w:pStyle w:val="B"/>
              <w:jc w:val="center"/>
            </w:pPr>
            <w:r>
              <w:rPr>
                <w:rFonts w:hint="eastAsia"/>
              </w:rPr>
              <w:t>删除</w:t>
            </w:r>
          </w:p>
        </w:tc>
      </w:tr>
      <w:tr w:rsidR="00A052DC" w14:paraId="15B67B56" w14:textId="77777777">
        <w:trPr>
          <w:trHeight w:val="323"/>
          <w:jc w:val="center"/>
        </w:trPr>
        <w:tc>
          <w:tcPr>
            <w:tcW w:w="1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E75A9F" w14:textId="77777777" w:rsidR="00A052DC" w:rsidRDefault="009F0A60">
            <w:pPr>
              <w:pStyle w:val="B"/>
              <w:jc w:val="center"/>
            </w:pPr>
            <w:r>
              <w:t>2413</w:t>
            </w:r>
          </w:p>
        </w:tc>
        <w:tc>
          <w:tcPr>
            <w:tcW w:w="4095" w:type="dxa"/>
            <w:tcBorders>
              <w:top w:val="single" w:sz="4" w:space="0" w:color="auto"/>
              <w:left w:val="nil"/>
              <w:bottom w:val="single" w:sz="4" w:space="0" w:color="auto"/>
              <w:right w:val="single" w:sz="4" w:space="0" w:color="auto"/>
            </w:tcBorders>
            <w:shd w:val="clear" w:color="auto" w:fill="auto"/>
            <w:noWrap/>
            <w:vAlign w:val="center"/>
          </w:tcPr>
          <w:p w14:paraId="528C8583" w14:textId="77777777" w:rsidR="00A052DC" w:rsidRDefault="009F0A60">
            <w:pPr>
              <w:pStyle w:val="B"/>
            </w:pPr>
            <w:r>
              <w:rPr>
                <w:rFonts w:hint="eastAsia"/>
              </w:rPr>
              <w:t>资本项目</w:t>
            </w:r>
            <w:r>
              <w:t>-</w:t>
            </w:r>
            <w:r>
              <w:rPr>
                <w:rFonts w:hint="eastAsia"/>
              </w:rPr>
              <w:t>QDII募集销售与清算账户</w:t>
            </w:r>
          </w:p>
        </w:tc>
        <w:tc>
          <w:tcPr>
            <w:tcW w:w="1701" w:type="dxa"/>
            <w:tcBorders>
              <w:top w:val="single" w:sz="4" w:space="0" w:color="auto"/>
              <w:left w:val="nil"/>
              <w:bottom w:val="single" w:sz="4" w:space="0" w:color="auto"/>
              <w:right w:val="single" w:sz="4" w:space="0" w:color="auto"/>
            </w:tcBorders>
          </w:tcPr>
          <w:p w14:paraId="73EAE740" w14:textId="77777777" w:rsidR="00A052DC" w:rsidRDefault="009F0A60">
            <w:pPr>
              <w:pStyle w:val="B"/>
              <w:jc w:val="center"/>
            </w:pPr>
            <w:r>
              <w:rPr>
                <w:rFonts w:hint="eastAsia"/>
              </w:rPr>
              <w:t>删除</w:t>
            </w:r>
          </w:p>
        </w:tc>
      </w:tr>
      <w:tr w:rsidR="00A052DC" w14:paraId="3BA18F59" w14:textId="77777777">
        <w:trPr>
          <w:trHeight w:val="323"/>
          <w:jc w:val="center"/>
        </w:trPr>
        <w:tc>
          <w:tcPr>
            <w:tcW w:w="1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A65A1A" w14:textId="77777777" w:rsidR="00A052DC" w:rsidRDefault="009F0A60">
            <w:pPr>
              <w:pStyle w:val="B"/>
              <w:jc w:val="center"/>
            </w:pPr>
            <w:r>
              <w:t>3600</w:t>
            </w:r>
          </w:p>
        </w:tc>
        <w:tc>
          <w:tcPr>
            <w:tcW w:w="4095" w:type="dxa"/>
            <w:tcBorders>
              <w:top w:val="single" w:sz="4" w:space="0" w:color="auto"/>
              <w:left w:val="nil"/>
              <w:bottom w:val="single" w:sz="4" w:space="0" w:color="auto"/>
              <w:right w:val="single" w:sz="4" w:space="0" w:color="auto"/>
            </w:tcBorders>
            <w:shd w:val="clear" w:color="auto" w:fill="auto"/>
            <w:noWrap/>
            <w:vAlign w:val="center"/>
          </w:tcPr>
          <w:p w14:paraId="4CDB5257" w14:textId="77777777" w:rsidR="00A052DC" w:rsidRDefault="009F0A60">
            <w:pPr>
              <w:pStyle w:val="B"/>
            </w:pPr>
            <w:r>
              <w:rPr>
                <w:rFonts w:hint="eastAsia"/>
              </w:rPr>
              <w:t>国际资金主账户</w:t>
            </w:r>
          </w:p>
        </w:tc>
        <w:tc>
          <w:tcPr>
            <w:tcW w:w="1701" w:type="dxa"/>
            <w:tcBorders>
              <w:top w:val="single" w:sz="4" w:space="0" w:color="auto"/>
              <w:left w:val="nil"/>
              <w:bottom w:val="single" w:sz="4" w:space="0" w:color="auto"/>
              <w:right w:val="single" w:sz="4" w:space="0" w:color="auto"/>
            </w:tcBorders>
          </w:tcPr>
          <w:p w14:paraId="14F2A49B" w14:textId="77777777" w:rsidR="00A052DC" w:rsidRDefault="009F0A60">
            <w:pPr>
              <w:pStyle w:val="B"/>
              <w:jc w:val="center"/>
            </w:pPr>
            <w:r>
              <w:rPr>
                <w:rFonts w:hint="eastAsia"/>
              </w:rPr>
              <w:t>删除</w:t>
            </w:r>
          </w:p>
        </w:tc>
      </w:tr>
    </w:tbl>
    <w:p w14:paraId="40051649" w14:textId="77777777" w:rsidR="00A052DC" w:rsidRDefault="009F0A60">
      <w:pPr>
        <w:pStyle w:val="5"/>
      </w:pPr>
      <w:r>
        <w:t>1.4.3.1.3</w:t>
      </w:r>
      <w:r>
        <w:rPr>
          <w:rFonts w:hint="eastAsia"/>
        </w:rPr>
        <w:t>账户类别</w:t>
      </w:r>
    </w:p>
    <w:tbl>
      <w:tblPr>
        <w:tblW w:w="7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2509"/>
        <w:gridCol w:w="2509"/>
      </w:tblGrid>
      <w:tr w:rsidR="00A052DC" w14:paraId="1D1C0628" w14:textId="77777777">
        <w:trPr>
          <w:trHeight w:val="270"/>
          <w:jc w:val="center"/>
        </w:trPr>
        <w:tc>
          <w:tcPr>
            <w:tcW w:w="2620" w:type="dxa"/>
            <w:shd w:val="clear" w:color="auto" w:fill="BFBFBF"/>
            <w:noWrap/>
            <w:vAlign w:val="center"/>
          </w:tcPr>
          <w:p w14:paraId="1E34B6E7" w14:textId="77777777" w:rsidR="00A052DC" w:rsidRDefault="009F0A60">
            <w:pPr>
              <w:pStyle w:val="B1"/>
              <w:rPr>
                <w:rFonts w:cs="宋体"/>
              </w:rPr>
            </w:pPr>
            <w:r>
              <w:t>账户类别代码</w:t>
            </w:r>
          </w:p>
        </w:tc>
        <w:tc>
          <w:tcPr>
            <w:tcW w:w="2509" w:type="dxa"/>
            <w:shd w:val="clear" w:color="auto" w:fill="BFBFBF"/>
            <w:noWrap/>
            <w:vAlign w:val="center"/>
          </w:tcPr>
          <w:p w14:paraId="67598139" w14:textId="77777777" w:rsidR="00A052DC" w:rsidRDefault="009F0A60">
            <w:pPr>
              <w:pStyle w:val="B1"/>
              <w:rPr>
                <w:rFonts w:cs="宋体"/>
              </w:rPr>
            </w:pPr>
            <w:r>
              <w:rPr>
                <w:rFonts w:hint="eastAsia"/>
              </w:rPr>
              <w:t>账户类别</w:t>
            </w:r>
          </w:p>
        </w:tc>
        <w:tc>
          <w:tcPr>
            <w:tcW w:w="2509" w:type="dxa"/>
            <w:shd w:val="clear" w:color="auto" w:fill="BFBFBF"/>
          </w:tcPr>
          <w:p w14:paraId="6FBF6895" w14:textId="77777777" w:rsidR="00A052DC" w:rsidRDefault="009F0A60">
            <w:pPr>
              <w:pStyle w:val="B1"/>
              <w:rPr>
                <w:rFonts w:cs="宋体"/>
              </w:rPr>
            </w:pPr>
            <w:r>
              <w:rPr>
                <w:rFonts w:cs="宋体" w:hint="eastAsia"/>
              </w:rPr>
              <w:t>变更类型</w:t>
            </w:r>
          </w:p>
        </w:tc>
      </w:tr>
      <w:tr w:rsidR="00A052DC" w14:paraId="3A20EE13" w14:textId="77777777">
        <w:trPr>
          <w:trHeight w:val="270"/>
          <w:jc w:val="center"/>
        </w:trPr>
        <w:tc>
          <w:tcPr>
            <w:tcW w:w="2620" w:type="dxa"/>
            <w:shd w:val="clear" w:color="auto" w:fill="auto"/>
            <w:noWrap/>
          </w:tcPr>
          <w:p w14:paraId="5724E0E8" w14:textId="77777777" w:rsidR="00A052DC" w:rsidRDefault="009F0A60">
            <w:pPr>
              <w:jc w:val="center"/>
              <w:rPr>
                <w:rFonts w:ascii="黑体" w:eastAsia="黑体" w:hAnsi="黑体"/>
                <w:sz w:val="20"/>
                <w:szCs w:val="20"/>
              </w:rPr>
            </w:pPr>
            <w:r>
              <w:rPr>
                <w:rFonts w:ascii="黑体" w:eastAsia="黑体" w:hAnsi="黑体"/>
                <w:sz w:val="20"/>
                <w:szCs w:val="20"/>
              </w:rPr>
              <w:t>11</w:t>
            </w:r>
          </w:p>
        </w:tc>
        <w:tc>
          <w:tcPr>
            <w:tcW w:w="2509" w:type="dxa"/>
            <w:shd w:val="clear" w:color="auto" w:fill="auto"/>
            <w:noWrap/>
          </w:tcPr>
          <w:p w14:paraId="3CD4FCD9" w14:textId="77777777" w:rsidR="00A052DC" w:rsidRDefault="009F0A60">
            <w:pPr>
              <w:widowControl/>
              <w:jc w:val="center"/>
              <w:rPr>
                <w:rFonts w:ascii="黑体" w:eastAsia="黑体" w:hAnsi="黑体"/>
                <w:sz w:val="20"/>
                <w:szCs w:val="20"/>
              </w:rPr>
            </w:pPr>
            <w:r>
              <w:rPr>
                <w:rFonts w:ascii="黑体" w:eastAsia="黑体" w:hAnsi="黑体" w:hint="eastAsia"/>
                <w:sz w:val="20"/>
                <w:szCs w:val="20"/>
              </w:rPr>
              <w:t>现钞户</w:t>
            </w:r>
          </w:p>
        </w:tc>
        <w:tc>
          <w:tcPr>
            <w:tcW w:w="2509" w:type="dxa"/>
          </w:tcPr>
          <w:p w14:paraId="51F4DF22" w14:textId="77777777" w:rsidR="00A052DC" w:rsidRDefault="009F0A60">
            <w:pPr>
              <w:widowControl/>
              <w:jc w:val="center"/>
              <w:rPr>
                <w:rFonts w:ascii="黑体" w:eastAsia="黑体" w:hAnsi="宋体" w:cs="宋体"/>
                <w:kern w:val="0"/>
                <w:sz w:val="20"/>
                <w:szCs w:val="20"/>
              </w:rPr>
            </w:pPr>
            <w:r>
              <w:rPr>
                <w:rFonts w:ascii="黑体" w:eastAsia="黑体" w:hAnsi="宋体" w:cs="宋体" w:hint="eastAsia"/>
                <w:kern w:val="0"/>
                <w:sz w:val="20"/>
                <w:szCs w:val="20"/>
              </w:rPr>
              <w:t>删除</w:t>
            </w:r>
          </w:p>
        </w:tc>
      </w:tr>
    </w:tbl>
    <w:p w14:paraId="1C5A16C3" w14:textId="77777777" w:rsidR="00A052DC" w:rsidRDefault="009F0A60" w:rsidP="0020251D">
      <w:pPr>
        <w:pStyle w:val="5"/>
      </w:pPr>
      <w:r>
        <w:t>1.4.3.1.4</w:t>
      </w:r>
      <w:r>
        <w:rPr>
          <w:rFonts w:hint="eastAsia"/>
        </w:rPr>
        <w:t>货物、服务、薪资及债务减免等其他各类往来代码表（新旧对照）</w:t>
      </w:r>
    </w:p>
    <w:tbl>
      <w:tblPr>
        <w:tblW w:w="8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3594"/>
        <w:gridCol w:w="1276"/>
        <w:gridCol w:w="2526"/>
      </w:tblGrid>
      <w:tr w:rsidR="00A052DC" w14:paraId="62047B5B" w14:textId="77777777">
        <w:trPr>
          <w:cantSplit/>
          <w:trHeight w:val="20"/>
          <w:tblHeader/>
          <w:jc w:val="center"/>
        </w:trPr>
        <w:tc>
          <w:tcPr>
            <w:tcW w:w="13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727F1BC" w14:textId="77777777" w:rsidR="00A052DC" w:rsidRDefault="009F0A60">
            <w:pPr>
              <w:pStyle w:val="B1"/>
            </w:pPr>
            <w:r>
              <w:rPr>
                <w:rFonts w:hint="eastAsia"/>
              </w:rPr>
              <w:t>新交易代码</w:t>
            </w:r>
          </w:p>
        </w:tc>
        <w:tc>
          <w:tcPr>
            <w:tcW w:w="359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2718A4B" w14:textId="77777777" w:rsidR="00A052DC" w:rsidRDefault="009F0A60">
            <w:pPr>
              <w:pStyle w:val="B1"/>
            </w:pPr>
            <w:r>
              <w:rPr>
                <w:rFonts w:hint="eastAsia"/>
              </w:rPr>
              <w:t>新代码名称</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8D346A6" w14:textId="77777777" w:rsidR="00A052DC" w:rsidRDefault="009F0A60">
            <w:pPr>
              <w:pStyle w:val="B1"/>
            </w:pPr>
            <w:r>
              <w:rPr>
                <w:rFonts w:hint="eastAsia"/>
              </w:rPr>
              <w:t>旧代码</w:t>
            </w:r>
          </w:p>
        </w:tc>
        <w:tc>
          <w:tcPr>
            <w:tcW w:w="252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C4A1B42" w14:textId="77777777" w:rsidR="00A052DC" w:rsidRDefault="009F0A60">
            <w:pPr>
              <w:pStyle w:val="B1"/>
            </w:pPr>
            <w:r>
              <w:rPr>
                <w:rFonts w:hint="eastAsia"/>
              </w:rPr>
              <w:t>旧代码名称</w:t>
            </w:r>
          </w:p>
        </w:tc>
      </w:tr>
      <w:tr w:rsidR="00A052DC" w14:paraId="54F9C929" w14:textId="77777777">
        <w:trPr>
          <w:cantSplit/>
          <w:trHeight w:val="20"/>
          <w:jc w:val="center"/>
        </w:trPr>
        <w:tc>
          <w:tcPr>
            <w:tcW w:w="1368" w:type="dxa"/>
            <w:tcBorders>
              <w:top w:val="single" w:sz="4" w:space="0" w:color="auto"/>
              <w:left w:val="single" w:sz="4" w:space="0" w:color="auto"/>
              <w:bottom w:val="single" w:sz="4" w:space="0" w:color="auto"/>
              <w:right w:val="single" w:sz="4" w:space="0" w:color="auto"/>
            </w:tcBorders>
            <w:shd w:val="clear" w:color="auto" w:fill="FFFFFF"/>
            <w:vAlign w:val="center"/>
          </w:tcPr>
          <w:p w14:paraId="60FD3DBB" w14:textId="77777777" w:rsidR="00A052DC" w:rsidRDefault="00A052DC">
            <w:pPr>
              <w:jc w:val="left"/>
              <w:rPr>
                <w:rFonts w:ascii="黑体" w:eastAsia="黑体" w:hAnsi="黑体"/>
                <w:sz w:val="20"/>
                <w:szCs w:val="20"/>
              </w:rPr>
            </w:pPr>
          </w:p>
        </w:tc>
        <w:tc>
          <w:tcPr>
            <w:tcW w:w="3594" w:type="dxa"/>
            <w:tcBorders>
              <w:top w:val="single" w:sz="4" w:space="0" w:color="auto"/>
              <w:left w:val="single" w:sz="4" w:space="0" w:color="auto"/>
              <w:bottom w:val="single" w:sz="4" w:space="0" w:color="auto"/>
              <w:right w:val="single" w:sz="4" w:space="0" w:color="auto"/>
            </w:tcBorders>
            <w:shd w:val="clear" w:color="auto" w:fill="FFFFFF"/>
            <w:vAlign w:val="center"/>
          </w:tcPr>
          <w:p w14:paraId="6E360972" w14:textId="77777777" w:rsidR="00A052DC" w:rsidRDefault="009F0A60">
            <w:pPr>
              <w:jc w:val="left"/>
              <w:rPr>
                <w:rFonts w:ascii="黑体" w:eastAsia="黑体" w:hAnsi="黑体"/>
                <w:sz w:val="20"/>
                <w:szCs w:val="20"/>
              </w:rPr>
            </w:pPr>
            <w:r>
              <w:rPr>
                <w:rFonts w:ascii="黑体" w:eastAsia="黑体" w:hAnsi="黑体" w:hint="eastAsia"/>
                <w:sz w:val="20"/>
                <w:szCs w:val="20"/>
              </w:rPr>
              <w:t>货物贸易</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A154470" w14:textId="77777777" w:rsidR="00A052DC" w:rsidRDefault="00A052DC">
            <w:pPr>
              <w:jc w:val="left"/>
              <w:rPr>
                <w:rFonts w:ascii="黑体" w:eastAsia="黑体" w:hAnsi="黑体"/>
                <w:sz w:val="20"/>
                <w:szCs w:val="20"/>
              </w:rPr>
            </w:pPr>
          </w:p>
        </w:tc>
        <w:tc>
          <w:tcPr>
            <w:tcW w:w="2526" w:type="dxa"/>
            <w:tcBorders>
              <w:top w:val="single" w:sz="4" w:space="0" w:color="auto"/>
              <w:left w:val="single" w:sz="4" w:space="0" w:color="auto"/>
              <w:bottom w:val="single" w:sz="4" w:space="0" w:color="auto"/>
              <w:right w:val="single" w:sz="4" w:space="0" w:color="auto"/>
            </w:tcBorders>
            <w:shd w:val="clear" w:color="auto" w:fill="FFFFFF"/>
            <w:vAlign w:val="center"/>
          </w:tcPr>
          <w:p w14:paraId="0CEF576E" w14:textId="77777777" w:rsidR="00A052DC" w:rsidRDefault="00A052DC">
            <w:pPr>
              <w:jc w:val="left"/>
              <w:rPr>
                <w:rFonts w:ascii="黑体" w:eastAsia="黑体" w:hAnsi="黑体"/>
                <w:sz w:val="20"/>
                <w:szCs w:val="20"/>
              </w:rPr>
            </w:pPr>
          </w:p>
        </w:tc>
      </w:tr>
      <w:tr w:rsidR="00A052DC" w14:paraId="329C2D49" w14:textId="77777777">
        <w:trPr>
          <w:cantSplit/>
          <w:trHeight w:val="20"/>
          <w:jc w:val="center"/>
        </w:trPr>
        <w:tc>
          <w:tcPr>
            <w:tcW w:w="1368" w:type="dxa"/>
            <w:vMerge w:val="restart"/>
            <w:tcBorders>
              <w:top w:val="single" w:sz="4" w:space="0" w:color="auto"/>
              <w:left w:val="single" w:sz="4" w:space="0" w:color="auto"/>
              <w:right w:val="single" w:sz="4" w:space="0" w:color="auto"/>
            </w:tcBorders>
            <w:shd w:val="clear" w:color="auto" w:fill="FFFFFF"/>
            <w:vAlign w:val="center"/>
          </w:tcPr>
          <w:p w14:paraId="0DA71E90" w14:textId="77777777" w:rsidR="00A052DC" w:rsidRDefault="009F0A60">
            <w:pPr>
              <w:jc w:val="left"/>
              <w:rPr>
                <w:rFonts w:ascii="黑体" w:eastAsia="黑体" w:hAnsi="黑体"/>
                <w:sz w:val="20"/>
                <w:szCs w:val="20"/>
              </w:rPr>
            </w:pPr>
            <w:r>
              <w:rPr>
                <w:rFonts w:ascii="黑体" w:eastAsia="黑体" w:hAnsi="黑体"/>
                <w:sz w:val="20"/>
                <w:szCs w:val="20"/>
              </w:rPr>
              <w:t>120001</w:t>
            </w:r>
          </w:p>
        </w:tc>
        <w:tc>
          <w:tcPr>
            <w:tcW w:w="3594" w:type="dxa"/>
            <w:vMerge w:val="restart"/>
            <w:tcBorders>
              <w:top w:val="single" w:sz="4" w:space="0" w:color="auto"/>
              <w:left w:val="single" w:sz="4" w:space="0" w:color="auto"/>
              <w:right w:val="single" w:sz="4" w:space="0" w:color="auto"/>
            </w:tcBorders>
            <w:shd w:val="clear" w:color="auto" w:fill="FFFFFF"/>
            <w:vAlign w:val="center"/>
          </w:tcPr>
          <w:p w14:paraId="5F4C26AB" w14:textId="77777777" w:rsidR="00A052DC" w:rsidRDefault="009F0A60">
            <w:pPr>
              <w:jc w:val="left"/>
              <w:rPr>
                <w:rFonts w:ascii="黑体" w:eastAsia="黑体" w:hAnsi="黑体"/>
                <w:sz w:val="20"/>
                <w:szCs w:val="20"/>
              </w:rPr>
            </w:pPr>
            <w:r>
              <w:rPr>
                <w:rFonts w:ascii="黑体" w:eastAsia="黑体" w:hAnsi="黑体" w:hint="eastAsia"/>
                <w:sz w:val="20"/>
                <w:szCs w:val="20"/>
              </w:rPr>
              <w:t>黄金进出口</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7745C58" w14:textId="77777777" w:rsidR="00A052DC" w:rsidRDefault="009F0A60">
            <w:pPr>
              <w:jc w:val="left"/>
              <w:rPr>
                <w:rFonts w:ascii="黑体" w:eastAsia="黑体" w:hAnsi="黑体"/>
                <w:sz w:val="20"/>
                <w:szCs w:val="20"/>
              </w:rPr>
            </w:pPr>
            <w:r>
              <w:rPr>
                <w:rFonts w:ascii="黑体" w:eastAsia="黑体" w:hAnsi="黑体"/>
                <w:sz w:val="20"/>
                <w:szCs w:val="20"/>
              </w:rPr>
              <w:t>121040</w:t>
            </w:r>
          </w:p>
        </w:tc>
        <w:tc>
          <w:tcPr>
            <w:tcW w:w="2526" w:type="dxa"/>
            <w:tcBorders>
              <w:top w:val="single" w:sz="4" w:space="0" w:color="auto"/>
              <w:left w:val="single" w:sz="4" w:space="0" w:color="auto"/>
              <w:bottom w:val="single" w:sz="4" w:space="0" w:color="auto"/>
              <w:right w:val="single" w:sz="4" w:space="0" w:color="auto"/>
            </w:tcBorders>
            <w:shd w:val="clear" w:color="auto" w:fill="FFFFFF"/>
            <w:vAlign w:val="center"/>
          </w:tcPr>
          <w:p w14:paraId="160756DE" w14:textId="77777777" w:rsidR="00A052DC" w:rsidRDefault="009F0A60">
            <w:pPr>
              <w:jc w:val="left"/>
              <w:rPr>
                <w:rFonts w:ascii="黑体" w:eastAsia="黑体" w:hAnsi="黑体"/>
                <w:sz w:val="20"/>
                <w:szCs w:val="20"/>
              </w:rPr>
            </w:pPr>
            <w:r>
              <w:rPr>
                <w:rFonts w:ascii="黑体" w:eastAsia="黑体" w:hAnsi="黑体" w:hint="eastAsia"/>
                <w:sz w:val="20"/>
                <w:szCs w:val="20"/>
              </w:rPr>
              <w:t>纳入海关统计的非货币黄金进出口</w:t>
            </w:r>
          </w:p>
        </w:tc>
      </w:tr>
      <w:tr w:rsidR="00A052DC" w14:paraId="7A56B9BE" w14:textId="77777777">
        <w:trPr>
          <w:cantSplit/>
          <w:trHeight w:val="20"/>
          <w:jc w:val="center"/>
        </w:trPr>
        <w:tc>
          <w:tcPr>
            <w:tcW w:w="1368" w:type="dxa"/>
            <w:vMerge/>
            <w:tcBorders>
              <w:left w:val="single" w:sz="4" w:space="0" w:color="auto"/>
              <w:bottom w:val="single" w:sz="4" w:space="0" w:color="auto"/>
              <w:right w:val="single" w:sz="4" w:space="0" w:color="auto"/>
            </w:tcBorders>
            <w:shd w:val="clear" w:color="auto" w:fill="FFFFFF"/>
            <w:vAlign w:val="center"/>
          </w:tcPr>
          <w:p w14:paraId="2C820A8F" w14:textId="77777777" w:rsidR="00A052DC" w:rsidRDefault="00A052DC">
            <w:pPr>
              <w:jc w:val="left"/>
              <w:rPr>
                <w:rFonts w:ascii="黑体" w:eastAsia="黑体" w:hAnsi="黑体"/>
                <w:sz w:val="20"/>
                <w:szCs w:val="20"/>
              </w:rPr>
            </w:pPr>
          </w:p>
        </w:tc>
        <w:tc>
          <w:tcPr>
            <w:tcW w:w="3594" w:type="dxa"/>
            <w:vMerge/>
            <w:tcBorders>
              <w:left w:val="single" w:sz="4" w:space="0" w:color="auto"/>
              <w:bottom w:val="single" w:sz="4" w:space="0" w:color="auto"/>
              <w:right w:val="single" w:sz="4" w:space="0" w:color="auto"/>
            </w:tcBorders>
            <w:shd w:val="clear" w:color="auto" w:fill="FFFFFF"/>
            <w:vAlign w:val="center"/>
          </w:tcPr>
          <w:p w14:paraId="13DBDCE7" w14:textId="77777777" w:rsidR="00A052DC" w:rsidRDefault="00A052DC">
            <w:pPr>
              <w:jc w:val="left"/>
              <w:rPr>
                <w:rFonts w:ascii="黑体" w:eastAsia="黑体" w:hAnsi="黑体"/>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4B6524C" w14:textId="77777777" w:rsidR="00A052DC" w:rsidRDefault="009F0A60">
            <w:pPr>
              <w:jc w:val="left"/>
              <w:rPr>
                <w:rFonts w:ascii="黑体" w:eastAsia="黑体" w:hAnsi="黑体"/>
                <w:sz w:val="20"/>
                <w:szCs w:val="20"/>
              </w:rPr>
            </w:pPr>
            <w:r>
              <w:rPr>
                <w:rFonts w:ascii="黑体" w:eastAsia="黑体" w:hAnsi="黑体"/>
                <w:sz w:val="20"/>
                <w:szCs w:val="20"/>
              </w:rPr>
              <w:t>122020</w:t>
            </w:r>
          </w:p>
        </w:tc>
        <w:tc>
          <w:tcPr>
            <w:tcW w:w="2526" w:type="dxa"/>
            <w:tcBorders>
              <w:top w:val="single" w:sz="4" w:space="0" w:color="auto"/>
              <w:left w:val="single" w:sz="4" w:space="0" w:color="auto"/>
              <w:bottom w:val="single" w:sz="4" w:space="0" w:color="auto"/>
              <w:right w:val="single" w:sz="4" w:space="0" w:color="auto"/>
            </w:tcBorders>
            <w:shd w:val="clear" w:color="auto" w:fill="FFFFFF"/>
            <w:vAlign w:val="center"/>
          </w:tcPr>
          <w:p w14:paraId="11801949" w14:textId="77777777" w:rsidR="00A052DC" w:rsidRDefault="009F0A60">
            <w:pPr>
              <w:jc w:val="left"/>
              <w:rPr>
                <w:rFonts w:ascii="黑体" w:eastAsia="黑体" w:hAnsi="黑体"/>
                <w:sz w:val="20"/>
                <w:szCs w:val="20"/>
              </w:rPr>
            </w:pPr>
            <w:r>
              <w:rPr>
                <w:rFonts w:ascii="黑体" w:eastAsia="黑体" w:hAnsi="黑体" w:hint="eastAsia"/>
                <w:sz w:val="20"/>
                <w:szCs w:val="20"/>
              </w:rPr>
              <w:t>未纳入海关统计的非货币黄金进出口</w:t>
            </w:r>
          </w:p>
        </w:tc>
      </w:tr>
      <w:tr w:rsidR="00A052DC" w14:paraId="0E17840A" w14:textId="77777777">
        <w:trPr>
          <w:cantSplit/>
          <w:trHeight w:val="20"/>
          <w:jc w:val="center"/>
        </w:trPr>
        <w:tc>
          <w:tcPr>
            <w:tcW w:w="1368" w:type="dxa"/>
            <w:tcBorders>
              <w:top w:val="single" w:sz="4" w:space="0" w:color="auto"/>
              <w:left w:val="single" w:sz="4" w:space="0" w:color="auto"/>
              <w:bottom w:val="single" w:sz="4" w:space="0" w:color="auto"/>
              <w:right w:val="single" w:sz="4" w:space="0" w:color="auto"/>
            </w:tcBorders>
            <w:shd w:val="clear" w:color="auto" w:fill="FFFFFF"/>
            <w:vAlign w:val="center"/>
          </w:tcPr>
          <w:p w14:paraId="6C209F03" w14:textId="77777777" w:rsidR="00A052DC" w:rsidRDefault="009F0A60">
            <w:pPr>
              <w:jc w:val="left"/>
              <w:rPr>
                <w:rFonts w:ascii="黑体" w:eastAsia="黑体" w:hAnsi="黑体"/>
                <w:sz w:val="20"/>
                <w:szCs w:val="20"/>
              </w:rPr>
            </w:pPr>
            <w:r>
              <w:rPr>
                <w:rFonts w:ascii="黑体" w:eastAsia="黑体" w:hAnsi="黑体"/>
                <w:sz w:val="20"/>
                <w:szCs w:val="20"/>
              </w:rPr>
              <w:t>120002</w:t>
            </w:r>
          </w:p>
        </w:tc>
        <w:tc>
          <w:tcPr>
            <w:tcW w:w="3594" w:type="dxa"/>
            <w:tcBorders>
              <w:top w:val="single" w:sz="4" w:space="0" w:color="auto"/>
              <w:left w:val="single" w:sz="4" w:space="0" w:color="auto"/>
              <w:bottom w:val="single" w:sz="4" w:space="0" w:color="auto"/>
              <w:right w:val="single" w:sz="4" w:space="0" w:color="auto"/>
            </w:tcBorders>
            <w:shd w:val="clear" w:color="auto" w:fill="FFFFFF"/>
            <w:vAlign w:val="center"/>
          </w:tcPr>
          <w:p w14:paraId="3A8132FF" w14:textId="77777777" w:rsidR="00A052DC" w:rsidRDefault="009F0A60">
            <w:pPr>
              <w:jc w:val="left"/>
              <w:rPr>
                <w:rFonts w:ascii="黑体" w:eastAsia="黑体" w:hAnsi="黑体"/>
                <w:sz w:val="20"/>
                <w:szCs w:val="20"/>
              </w:rPr>
            </w:pPr>
            <w:r>
              <w:rPr>
                <w:rFonts w:ascii="黑体" w:eastAsia="黑体" w:hAnsi="黑体" w:hint="eastAsia"/>
                <w:sz w:val="20"/>
                <w:szCs w:val="20"/>
              </w:rPr>
              <w:t>离岸转手买卖</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98E32B0" w14:textId="77777777" w:rsidR="00A052DC" w:rsidRDefault="009F0A60">
            <w:pPr>
              <w:jc w:val="left"/>
              <w:rPr>
                <w:rFonts w:ascii="黑体" w:eastAsia="黑体" w:hAnsi="黑体"/>
                <w:sz w:val="20"/>
                <w:szCs w:val="20"/>
              </w:rPr>
            </w:pPr>
            <w:r>
              <w:rPr>
                <w:rFonts w:ascii="黑体" w:eastAsia="黑体" w:hAnsi="黑体"/>
                <w:sz w:val="20"/>
                <w:szCs w:val="20"/>
              </w:rPr>
              <w:t>122010</w:t>
            </w:r>
          </w:p>
        </w:tc>
        <w:tc>
          <w:tcPr>
            <w:tcW w:w="2526" w:type="dxa"/>
            <w:tcBorders>
              <w:top w:val="single" w:sz="4" w:space="0" w:color="auto"/>
              <w:left w:val="single" w:sz="4" w:space="0" w:color="auto"/>
              <w:bottom w:val="single" w:sz="4" w:space="0" w:color="auto"/>
              <w:right w:val="single" w:sz="4" w:space="0" w:color="auto"/>
            </w:tcBorders>
            <w:shd w:val="clear" w:color="auto" w:fill="FFFFFF"/>
            <w:vAlign w:val="center"/>
          </w:tcPr>
          <w:p w14:paraId="2F3B3972" w14:textId="77777777" w:rsidR="00A052DC" w:rsidRDefault="009F0A60">
            <w:pPr>
              <w:jc w:val="left"/>
              <w:rPr>
                <w:rFonts w:ascii="黑体" w:eastAsia="黑体" w:hAnsi="黑体"/>
                <w:sz w:val="20"/>
                <w:szCs w:val="20"/>
              </w:rPr>
            </w:pPr>
            <w:r>
              <w:rPr>
                <w:rFonts w:ascii="黑体" w:eastAsia="黑体" w:hAnsi="黑体" w:hint="eastAsia"/>
                <w:sz w:val="20"/>
                <w:szCs w:val="20"/>
              </w:rPr>
              <w:t>离岸转手买卖</w:t>
            </w:r>
          </w:p>
        </w:tc>
      </w:tr>
      <w:tr w:rsidR="00A052DC" w14:paraId="4F4E1F3A" w14:textId="77777777">
        <w:trPr>
          <w:cantSplit/>
          <w:trHeight w:val="20"/>
          <w:jc w:val="center"/>
        </w:trPr>
        <w:tc>
          <w:tcPr>
            <w:tcW w:w="1368" w:type="dxa"/>
            <w:vMerge w:val="restart"/>
            <w:tcBorders>
              <w:top w:val="single" w:sz="4" w:space="0" w:color="auto"/>
              <w:left w:val="single" w:sz="4" w:space="0" w:color="auto"/>
              <w:right w:val="single" w:sz="4" w:space="0" w:color="auto"/>
            </w:tcBorders>
            <w:shd w:val="clear" w:color="auto" w:fill="FFFFFF"/>
            <w:vAlign w:val="center"/>
          </w:tcPr>
          <w:p w14:paraId="37311AE5" w14:textId="77777777" w:rsidR="00A052DC" w:rsidRDefault="009F0A60">
            <w:pPr>
              <w:jc w:val="left"/>
              <w:rPr>
                <w:rFonts w:ascii="黑体" w:eastAsia="黑体" w:hAnsi="黑体"/>
                <w:sz w:val="20"/>
                <w:szCs w:val="20"/>
              </w:rPr>
            </w:pPr>
            <w:r>
              <w:rPr>
                <w:rFonts w:ascii="黑体" w:eastAsia="黑体" w:hAnsi="黑体"/>
                <w:sz w:val="20"/>
                <w:szCs w:val="20"/>
              </w:rPr>
              <w:t>120003</w:t>
            </w:r>
          </w:p>
        </w:tc>
        <w:tc>
          <w:tcPr>
            <w:tcW w:w="3594" w:type="dxa"/>
            <w:vMerge w:val="restart"/>
            <w:tcBorders>
              <w:top w:val="single" w:sz="4" w:space="0" w:color="auto"/>
              <w:left w:val="single" w:sz="4" w:space="0" w:color="auto"/>
              <w:right w:val="single" w:sz="4" w:space="0" w:color="auto"/>
            </w:tcBorders>
            <w:shd w:val="clear" w:color="auto" w:fill="FFFFFF"/>
            <w:vAlign w:val="center"/>
          </w:tcPr>
          <w:p w14:paraId="71E1A3EC" w14:textId="77777777" w:rsidR="00A052DC" w:rsidRDefault="009F0A60">
            <w:pPr>
              <w:jc w:val="left"/>
              <w:rPr>
                <w:rFonts w:ascii="黑体" w:eastAsia="黑体" w:hAnsi="黑体"/>
                <w:sz w:val="20"/>
                <w:szCs w:val="20"/>
              </w:rPr>
            </w:pPr>
            <w:r>
              <w:rPr>
                <w:rFonts w:ascii="黑体" w:eastAsia="黑体" w:hAnsi="黑体"/>
                <w:sz w:val="20"/>
                <w:szCs w:val="20"/>
              </w:rPr>
              <w:t>其他</w:t>
            </w:r>
            <w:r>
              <w:rPr>
                <w:rFonts w:ascii="黑体" w:eastAsia="黑体" w:hAnsi="黑体" w:hint="eastAsia"/>
                <w:sz w:val="20"/>
                <w:szCs w:val="20"/>
              </w:rPr>
              <w:t>货物贸易</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85A81AD" w14:textId="77777777" w:rsidR="00A052DC" w:rsidRDefault="009F0A60">
            <w:pPr>
              <w:jc w:val="left"/>
              <w:rPr>
                <w:rFonts w:ascii="黑体" w:eastAsia="黑体" w:hAnsi="黑体"/>
                <w:sz w:val="20"/>
                <w:szCs w:val="20"/>
              </w:rPr>
            </w:pPr>
            <w:r>
              <w:rPr>
                <w:rFonts w:ascii="黑体" w:eastAsia="黑体" w:hAnsi="黑体"/>
                <w:sz w:val="20"/>
                <w:szCs w:val="20"/>
              </w:rPr>
              <w:t>121990</w:t>
            </w:r>
          </w:p>
        </w:tc>
        <w:tc>
          <w:tcPr>
            <w:tcW w:w="2526" w:type="dxa"/>
            <w:tcBorders>
              <w:top w:val="single" w:sz="4" w:space="0" w:color="auto"/>
              <w:left w:val="single" w:sz="4" w:space="0" w:color="auto"/>
              <w:bottom w:val="single" w:sz="4" w:space="0" w:color="auto"/>
              <w:right w:val="single" w:sz="4" w:space="0" w:color="auto"/>
            </w:tcBorders>
            <w:shd w:val="clear" w:color="auto" w:fill="FFFFFF"/>
            <w:vAlign w:val="center"/>
          </w:tcPr>
          <w:p w14:paraId="432DCE3F" w14:textId="77777777" w:rsidR="00A052DC" w:rsidRDefault="009F0A60">
            <w:pPr>
              <w:jc w:val="left"/>
              <w:rPr>
                <w:rFonts w:ascii="黑体" w:eastAsia="黑体" w:hAnsi="黑体"/>
                <w:sz w:val="20"/>
                <w:szCs w:val="20"/>
              </w:rPr>
            </w:pPr>
            <w:r>
              <w:rPr>
                <w:rFonts w:ascii="黑体" w:eastAsia="黑体" w:hAnsi="黑体" w:hint="eastAsia"/>
                <w:sz w:val="20"/>
                <w:szCs w:val="20"/>
              </w:rPr>
              <w:t>其他纳入海关统计的货物贸易</w:t>
            </w:r>
          </w:p>
        </w:tc>
      </w:tr>
      <w:tr w:rsidR="00A052DC" w14:paraId="7C9A175D" w14:textId="77777777">
        <w:trPr>
          <w:cantSplit/>
          <w:trHeight w:val="20"/>
          <w:jc w:val="center"/>
        </w:trPr>
        <w:tc>
          <w:tcPr>
            <w:tcW w:w="1368" w:type="dxa"/>
            <w:vMerge/>
            <w:tcBorders>
              <w:left w:val="single" w:sz="4" w:space="0" w:color="auto"/>
              <w:bottom w:val="single" w:sz="4" w:space="0" w:color="auto"/>
              <w:right w:val="single" w:sz="4" w:space="0" w:color="auto"/>
            </w:tcBorders>
            <w:shd w:val="clear" w:color="auto" w:fill="FFFFFF"/>
            <w:vAlign w:val="center"/>
          </w:tcPr>
          <w:p w14:paraId="0310D3D5" w14:textId="77777777" w:rsidR="00A052DC" w:rsidRDefault="00A052DC">
            <w:pPr>
              <w:jc w:val="left"/>
              <w:rPr>
                <w:rFonts w:ascii="黑体" w:eastAsia="黑体" w:hAnsi="黑体"/>
                <w:sz w:val="20"/>
                <w:szCs w:val="20"/>
              </w:rPr>
            </w:pPr>
          </w:p>
        </w:tc>
        <w:tc>
          <w:tcPr>
            <w:tcW w:w="3594" w:type="dxa"/>
            <w:vMerge/>
            <w:tcBorders>
              <w:left w:val="single" w:sz="4" w:space="0" w:color="auto"/>
              <w:bottom w:val="single" w:sz="4" w:space="0" w:color="auto"/>
              <w:right w:val="single" w:sz="4" w:space="0" w:color="auto"/>
            </w:tcBorders>
            <w:shd w:val="clear" w:color="auto" w:fill="FFFFFF"/>
            <w:vAlign w:val="center"/>
          </w:tcPr>
          <w:p w14:paraId="379B4B1A" w14:textId="77777777" w:rsidR="00A052DC" w:rsidRDefault="00A052DC">
            <w:pPr>
              <w:jc w:val="left"/>
              <w:rPr>
                <w:rFonts w:ascii="黑体" w:eastAsia="黑体" w:hAnsi="黑体"/>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B9CEB2E" w14:textId="77777777" w:rsidR="00A052DC" w:rsidRDefault="009F0A60">
            <w:pPr>
              <w:jc w:val="left"/>
              <w:rPr>
                <w:rFonts w:ascii="黑体" w:eastAsia="黑体" w:hAnsi="黑体"/>
                <w:sz w:val="20"/>
                <w:szCs w:val="20"/>
              </w:rPr>
            </w:pPr>
            <w:r>
              <w:rPr>
                <w:rFonts w:ascii="黑体" w:eastAsia="黑体" w:hAnsi="黑体"/>
                <w:sz w:val="20"/>
                <w:szCs w:val="20"/>
              </w:rPr>
              <w:t>122990</w:t>
            </w:r>
          </w:p>
        </w:tc>
        <w:tc>
          <w:tcPr>
            <w:tcW w:w="2526" w:type="dxa"/>
            <w:tcBorders>
              <w:top w:val="single" w:sz="4" w:space="0" w:color="auto"/>
              <w:left w:val="single" w:sz="4" w:space="0" w:color="auto"/>
              <w:bottom w:val="single" w:sz="4" w:space="0" w:color="auto"/>
              <w:right w:val="single" w:sz="4" w:space="0" w:color="auto"/>
            </w:tcBorders>
            <w:shd w:val="clear" w:color="auto" w:fill="FFFFFF"/>
            <w:vAlign w:val="center"/>
          </w:tcPr>
          <w:p w14:paraId="2DF7202D" w14:textId="77777777" w:rsidR="00A052DC" w:rsidRDefault="009F0A60">
            <w:pPr>
              <w:jc w:val="left"/>
              <w:rPr>
                <w:rFonts w:ascii="黑体" w:eastAsia="黑体" w:hAnsi="黑体"/>
                <w:sz w:val="20"/>
                <w:szCs w:val="20"/>
              </w:rPr>
            </w:pPr>
            <w:r>
              <w:rPr>
                <w:rFonts w:ascii="黑体" w:eastAsia="黑体" w:hAnsi="黑体" w:hint="eastAsia"/>
                <w:sz w:val="20"/>
                <w:szCs w:val="20"/>
              </w:rPr>
              <w:t>其他未纳入海关统计的货物贸易</w:t>
            </w:r>
          </w:p>
        </w:tc>
      </w:tr>
      <w:tr w:rsidR="00A052DC" w14:paraId="7B0EC06B" w14:textId="77777777">
        <w:trPr>
          <w:cantSplit/>
          <w:trHeight w:val="20"/>
          <w:jc w:val="center"/>
        </w:trPr>
        <w:tc>
          <w:tcPr>
            <w:tcW w:w="1368" w:type="dxa"/>
            <w:tcBorders>
              <w:left w:val="single" w:sz="4" w:space="0" w:color="auto"/>
              <w:bottom w:val="single" w:sz="4" w:space="0" w:color="auto"/>
              <w:right w:val="single" w:sz="4" w:space="0" w:color="auto"/>
            </w:tcBorders>
            <w:shd w:val="clear" w:color="auto" w:fill="FFFFFF"/>
            <w:vAlign w:val="center"/>
          </w:tcPr>
          <w:p w14:paraId="3E7F53C1" w14:textId="77777777" w:rsidR="00A052DC" w:rsidRDefault="00A052DC">
            <w:pPr>
              <w:jc w:val="left"/>
              <w:rPr>
                <w:rFonts w:ascii="黑体" w:eastAsia="黑体" w:hAnsi="黑体"/>
                <w:sz w:val="20"/>
                <w:szCs w:val="20"/>
              </w:rPr>
            </w:pPr>
          </w:p>
        </w:tc>
        <w:tc>
          <w:tcPr>
            <w:tcW w:w="3594" w:type="dxa"/>
            <w:tcBorders>
              <w:left w:val="single" w:sz="4" w:space="0" w:color="auto"/>
              <w:bottom w:val="single" w:sz="4" w:space="0" w:color="auto"/>
              <w:right w:val="single" w:sz="4" w:space="0" w:color="auto"/>
            </w:tcBorders>
            <w:shd w:val="clear" w:color="auto" w:fill="FFFFFF"/>
            <w:vAlign w:val="center"/>
          </w:tcPr>
          <w:p w14:paraId="35BCEE74" w14:textId="77777777" w:rsidR="00A052DC" w:rsidRDefault="009F0A60">
            <w:pPr>
              <w:jc w:val="left"/>
              <w:rPr>
                <w:rFonts w:ascii="黑体" w:eastAsia="黑体" w:hAnsi="黑体"/>
                <w:sz w:val="20"/>
                <w:szCs w:val="20"/>
              </w:rPr>
            </w:pPr>
            <w:r>
              <w:rPr>
                <w:rFonts w:ascii="黑体" w:eastAsia="黑体" w:hAnsi="黑体" w:hint="eastAsia"/>
                <w:sz w:val="20"/>
                <w:szCs w:val="20"/>
              </w:rPr>
              <w:t>初次收入（收益）</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C149BBA" w14:textId="77777777" w:rsidR="00A052DC" w:rsidRDefault="00A052DC">
            <w:pPr>
              <w:jc w:val="left"/>
              <w:rPr>
                <w:rFonts w:ascii="黑体" w:eastAsia="黑体" w:hAnsi="黑体"/>
                <w:sz w:val="20"/>
                <w:szCs w:val="20"/>
              </w:rPr>
            </w:pPr>
          </w:p>
        </w:tc>
        <w:tc>
          <w:tcPr>
            <w:tcW w:w="2526" w:type="dxa"/>
            <w:tcBorders>
              <w:top w:val="single" w:sz="4" w:space="0" w:color="auto"/>
              <w:left w:val="single" w:sz="4" w:space="0" w:color="auto"/>
              <w:bottom w:val="single" w:sz="4" w:space="0" w:color="auto"/>
              <w:right w:val="single" w:sz="4" w:space="0" w:color="auto"/>
            </w:tcBorders>
            <w:shd w:val="clear" w:color="auto" w:fill="FFFFFF"/>
            <w:vAlign w:val="center"/>
          </w:tcPr>
          <w:p w14:paraId="2DA70244" w14:textId="77777777" w:rsidR="00A052DC" w:rsidRDefault="00A052DC">
            <w:pPr>
              <w:jc w:val="left"/>
              <w:rPr>
                <w:rFonts w:ascii="黑体" w:eastAsia="黑体" w:hAnsi="黑体"/>
                <w:sz w:val="20"/>
                <w:szCs w:val="20"/>
              </w:rPr>
            </w:pPr>
          </w:p>
        </w:tc>
      </w:tr>
      <w:tr w:rsidR="00A052DC" w14:paraId="677257ED" w14:textId="77777777">
        <w:trPr>
          <w:cantSplit/>
          <w:trHeight w:val="20"/>
          <w:jc w:val="center"/>
        </w:trPr>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14:paraId="7FF8C147" w14:textId="77777777" w:rsidR="00A052DC" w:rsidRDefault="00A052DC">
            <w:pPr>
              <w:jc w:val="left"/>
              <w:rPr>
                <w:rFonts w:ascii="黑体" w:eastAsia="黑体" w:hAnsi="黑体"/>
                <w:sz w:val="20"/>
                <w:szCs w:val="20"/>
              </w:rPr>
            </w:pPr>
          </w:p>
        </w:tc>
        <w:tc>
          <w:tcPr>
            <w:tcW w:w="3594" w:type="dxa"/>
            <w:tcBorders>
              <w:top w:val="single" w:sz="4" w:space="0" w:color="auto"/>
              <w:left w:val="single" w:sz="4" w:space="0" w:color="auto"/>
              <w:bottom w:val="single" w:sz="4" w:space="0" w:color="auto"/>
              <w:right w:val="single" w:sz="4" w:space="0" w:color="auto"/>
            </w:tcBorders>
            <w:shd w:val="clear" w:color="auto" w:fill="auto"/>
            <w:vAlign w:val="center"/>
          </w:tcPr>
          <w:p w14:paraId="051BBD1A" w14:textId="77777777" w:rsidR="00A052DC" w:rsidRDefault="009F0A60">
            <w:pPr>
              <w:jc w:val="left"/>
              <w:rPr>
                <w:rFonts w:ascii="黑体" w:eastAsia="黑体" w:hAnsi="黑体"/>
                <w:sz w:val="20"/>
                <w:szCs w:val="20"/>
              </w:rPr>
            </w:pPr>
            <w:r>
              <w:rPr>
                <w:rFonts w:ascii="黑体" w:eastAsia="黑体" w:hAnsi="黑体" w:hint="eastAsia"/>
                <w:sz w:val="20"/>
                <w:szCs w:val="20"/>
              </w:rPr>
              <w:t>其他初次收入</w:t>
            </w:r>
          </w:p>
        </w:tc>
        <w:tc>
          <w:tcPr>
            <w:tcW w:w="1276" w:type="dxa"/>
            <w:tcBorders>
              <w:top w:val="single" w:sz="4" w:space="0" w:color="auto"/>
              <w:left w:val="single" w:sz="4" w:space="0" w:color="auto"/>
              <w:bottom w:val="single" w:sz="4" w:space="0" w:color="auto"/>
              <w:right w:val="single" w:sz="4" w:space="0" w:color="auto"/>
            </w:tcBorders>
            <w:vAlign w:val="center"/>
          </w:tcPr>
          <w:p w14:paraId="14324F1D" w14:textId="77777777" w:rsidR="00A052DC" w:rsidRDefault="00A052DC">
            <w:pPr>
              <w:jc w:val="left"/>
              <w:rPr>
                <w:rFonts w:ascii="黑体" w:eastAsia="黑体" w:hAnsi="黑体"/>
                <w:sz w:val="20"/>
                <w:szCs w:val="20"/>
              </w:rPr>
            </w:pPr>
          </w:p>
        </w:tc>
        <w:tc>
          <w:tcPr>
            <w:tcW w:w="2526" w:type="dxa"/>
            <w:tcBorders>
              <w:top w:val="single" w:sz="4" w:space="0" w:color="auto"/>
              <w:left w:val="single" w:sz="4" w:space="0" w:color="auto"/>
              <w:bottom w:val="single" w:sz="4" w:space="0" w:color="auto"/>
              <w:right w:val="single" w:sz="4" w:space="0" w:color="auto"/>
            </w:tcBorders>
            <w:vAlign w:val="center"/>
          </w:tcPr>
          <w:p w14:paraId="6911B5A5" w14:textId="77777777" w:rsidR="00A052DC" w:rsidRDefault="00A052DC">
            <w:pPr>
              <w:jc w:val="left"/>
              <w:rPr>
                <w:rFonts w:ascii="黑体" w:eastAsia="黑体" w:hAnsi="黑体"/>
                <w:sz w:val="20"/>
                <w:szCs w:val="20"/>
              </w:rPr>
            </w:pPr>
          </w:p>
        </w:tc>
      </w:tr>
      <w:tr w:rsidR="00A052DC" w14:paraId="612E4C4E" w14:textId="77777777">
        <w:trPr>
          <w:cantSplit/>
          <w:trHeight w:val="20"/>
          <w:jc w:val="center"/>
        </w:trPr>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14:paraId="28A408E6" w14:textId="77777777" w:rsidR="00A052DC" w:rsidRDefault="009F0A60">
            <w:pPr>
              <w:jc w:val="left"/>
              <w:rPr>
                <w:rFonts w:ascii="黑体" w:eastAsia="黑体" w:hAnsi="黑体"/>
                <w:sz w:val="20"/>
                <w:szCs w:val="20"/>
              </w:rPr>
            </w:pPr>
            <w:r>
              <w:rPr>
                <w:rFonts w:ascii="黑体" w:eastAsia="黑体" w:hAnsi="黑体" w:hint="eastAsia"/>
                <w:sz w:val="20"/>
                <w:szCs w:val="20"/>
              </w:rPr>
              <w:t>323010</w:t>
            </w:r>
          </w:p>
        </w:tc>
        <w:tc>
          <w:tcPr>
            <w:tcW w:w="3594" w:type="dxa"/>
            <w:tcBorders>
              <w:top w:val="single" w:sz="4" w:space="0" w:color="auto"/>
              <w:left w:val="single" w:sz="4" w:space="0" w:color="auto"/>
              <w:bottom w:val="single" w:sz="4" w:space="0" w:color="auto"/>
              <w:right w:val="single" w:sz="4" w:space="0" w:color="auto"/>
            </w:tcBorders>
            <w:shd w:val="clear" w:color="auto" w:fill="auto"/>
            <w:vAlign w:val="center"/>
          </w:tcPr>
          <w:p w14:paraId="37F62550" w14:textId="77777777" w:rsidR="00A052DC" w:rsidRDefault="009F0A60" w:rsidP="00DF0D4A">
            <w:pPr>
              <w:jc w:val="left"/>
              <w:rPr>
                <w:rFonts w:ascii="黑体" w:eastAsia="黑体" w:hAnsi="黑体"/>
                <w:sz w:val="20"/>
                <w:szCs w:val="20"/>
              </w:rPr>
            </w:pPr>
            <w:r>
              <w:rPr>
                <w:rFonts w:ascii="黑体" w:eastAsia="黑体" w:hAnsi="黑体" w:hint="eastAsia"/>
                <w:sz w:val="20"/>
                <w:szCs w:val="20"/>
              </w:rPr>
              <w:t>使用自然资源的租金</w:t>
            </w:r>
          </w:p>
        </w:tc>
        <w:tc>
          <w:tcPr>
            <w:tcW w:w="1276" w:type="dxa"/>
            <w:tcBorders>
              <w:top w:val="single" w:sz="4" w:space="0" w:color="auto"/>
              <w:left w:val="single" w:sz="4" w:space="0" w:color="auto"/>
              <w:bottom w:val="single" w:sz="4" w:space="0" w:color="auto"/>
              <w:right w:val="single" w:sz="4" w:space="0" w:color="auto"/>
            </w:tcBorders>
            <w:vAlign w:val="center"/>
          </w:tcPr>
          <w:p w14:paraId="79024C05" w14:textId="77777777" w:rsidR="00A052DC" w:rsidRDefault="009F0A60">
            <w:pPr>
              <w:jc w:val="left"/>
              <w:rPr>
                <w:rFonts w:ascii="黑体" w:eastAsia="黑体" w:hAnsi="黑体"/>
                <w:sz w:val="20"/>
                <w:szCs w:val="20"/>
              </w:rPr>
            </w:pPr>
            <w:r>
              <w:rPr>
                <w:rFonts w:ascii="黑体" w:eastAsia="黑体" w:hAnsi="黑体" w:hint="eastAsia"/>
                <w:sz w:val="20"/>
                <w:szCs w:val="20"/>
              </w:rPr>
              <w:t>N/A</w:t>
            </w:r>
          </w:p>
        </w:tc>
        <w:tc>
          <w:tcPr>
            <w:tcW w:w="2526" w:type="dxa"/>
            <w:tcBorders>
              <w:top w:val="single" w:sz="4" w:space="0" w:color="auto"/>
              <w:left w:val="single" w:sz="4" w:space="0" w:color="auto"/>
              <w:bottom w:val="single" w:sz="4" w:space="0" w:color="auto"/>
              <w:right w:val="single" w:sz="4" w:space="0" w:color="auto"/>
            </w:tcBorders>
            <w:vAlign w:val="center"/>
          </w:tcPr>
          <w:p w14:paraId="682B537A" w14:textId="77777777" w:rsidR="00A052DC" w:rsidRDefault="00A052DC">
            <w:pPr>
              <w:jc w:val="left"/>
              <w:rPr>
                <w:rFonts w:ascii="黑体" w:eastAsia="黑体" w:hAnsi="黑体"/>
                <w:sz w:val="20"/>
                <w:szCs w:val="20"/>
              </w:rPr>
            </w:pPr>
          </w:p>
        </w:tc>
      </w:tr>
      <w:tr w:rsidR="00A052DC" w14:paraId="5694C608" w14:textId="77777777">
        <w:trPr>
          <w:cantSplit/>
          <w:trHeight w:val="20"/>
          <w:jc w:val="center"/>
        </w:trPr>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14:paraId="48323622" w14:textId="77777777" w:rsidR="00A052DC" w:rsidRDefault="00A052DC">
            <w:pPr>
              <w:jc w:val="left"/>
              <w:rPr>
                <w:rFonts w:ascii="黑体" w:eastAsia="黑体" w:hAnsi="黑体"/>
                <w:sz w:val="20"/>
                <w:szCs w:val="20"/>
              </w:rPr>
            </w:pPr>
          </w:p>
        </w:tc>
        <w:tc>
          <w:tcPr>
            <w:tcW w:w="3594" w:type="dxa"/>
            <w:tcBorders>
              <w:top w:val="single" w:sz="4" w:space="0" w:color="auto"/>
              <w:left w:val="single" w:sz="4" w:space="0" w:color="auto"/>
              <w:bottom w:val="single" w:sz="4" w:space="0" w:color="auto"/>
              <w:right w:val="single" w:sz="4" w:space="0" w:color="auto"/>
            </w:tcBorders>
            <w:shd w:val="clear" w:color="auto" w:fill="auto"/>
            <w:vAlign w:val="center"/>
          </w:tcPr>
          <w:p w14:paraId="4953A279" w14:textId="77777777" w:rsidR="00A052DC" w:rsidRDefault="009F0A60">
            <w:pPr>
              <w:jc w:val="left"/>
              <w:rPr>
                <w:rFonts w:ascii="黑体" w:eastAsia="黑体" w:hAnsi="黑体"/>
                <w:sz w:val="20"/>
                <w:szCs w:val="20"/>
              </w:rPr>
            </w:pPr>
            <w:r>
              <w:rPr>
                <w:rFonts w:ascii="黑体" w:eastAsia="黑体" w:hAnsi="黑体" w:hint="eastAsia"/>
                <w:sz w:val="20"/>
                <w:szCs w:val="20"/>
              </w:rPr>
              <w:t>资本账户</w:t>
            </w:r>
          </w:p>
        </w:tc>
        <w:tc>
          <w:tcPr>
            <w:tcW w:w="1276" w:type="dxa"/>
            <w:tcBorders>
              <w:top w:val="single" w:sz="4" w:space="0" w:color="auto"/>
              <w:left w:val="single" w:sz="4" w:space="0" w:color="auto"/>
              <w:bottom w:val="single" w:sz="4" w:space="0" w:color="auto"/>
              <w:right w:val="single" w:sz="4" w:space="0" w:color="auto"/>
            </w:tcBorders>
            <w:vAlign w:val="center"/>
          </w:tcPr>
          <w:p w14:paraId="288CD9EB" w14:textId="77777777" w:rsidR="00A052DC" w:rsidRDefault="00A052DC">
            <w:pPr>
              <w:jc w:val="left"/>
              <w:rPr>
                <w:rFonts w:ascii="黑体" w:eastAsia="黑体" w:hAnsi="黑体"/>
                <w:sz w:val="20"/>
                <w:szCs w:val="20"/>
              </w:rPr>
            </w:pPr>
          </w:p>
        </w:tc>
        <w:tc>
          <w:tcPr>
            <w:tcW w:w="2526" w:type="dxa"/>
            <w:tcBorders>
              <w:top w:val="single" w:sz="4" w:space="0" w:color="auto"/>
              <w:left w:val="single" w:sz="4" w:space="0" w:color="auto"/>
              <w:bottom w:val="single" w:sz="4" w:space="0" w:color="auto"/>
              <w:right w:val="single" w:sz="4" w:space="0" w:color="auto"/>
            </w:tcBorders>
            <w:vAlign w:val="center"/>
          </w:tcPr>
          <w:p w14:paraId="3E90DDAB" w14:textId="77777777" w:rsidR="00A052DC" w:rsidRDefault="00A052DC">
            <w:pPr>
              <w:jc w:val="left"/>
              <w:rPr>
                <w:rFonts w:ascii="黑体" w:eastAsia="黑体" w:hAnsi="黑体"/>
                <w:sz w:val="20"/>
                <w:szCs w:val="20"/>
              </w:rPr>
            </w:pPr>
          </w:p>
        </w:tc>
      </w:tr>
      <w:tr w:rsidR="00A052DC" w14:paraId="55D5D1E9" w14:textId="77777777">
        <w:trPr>
          <w:cantSplit/>
          <w:trHeight w:val="20"/>
          <w:jc w:val="center"/>
        </w:trPr>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14:paraId="247E03BD" w14:textId="77777777" w:rsidR="00A052DC" w:rsidRDefault="00A052DC">
            <w:pPr>
              <w:jc w:val="left"/>
              <w:rPr>
                <w:rFonts w:ascii="黑体" w:eastAsia="黑体" w:hAnsi="黑体"/>
                <w:sz w:val="20"/>
                <w:szCs w:val="20"/>
              </w:rPr>
            </w:pPr>
          </w:p>
        </w:tc>
        <w:tc>
          <w:tcPr>
            <w:tcW w:w="3594" w:type="dxa"/>
            <w:tcBorders>
              <w:top w:val="single" w:sz="4" w:space="0" w:color="auto"/>
              <w:left w:val="single" w:sz="4" w:space="0" w:color="auto"/>
              <w:bottom w:val="single" w:sz="4" w:space="0" w:color="auto"/>
              <w:right w:val="single" w:sz="4" w:space="0" w:color="auto"/>
            </w:tcBorders>
            <w:shd w:val="clear" w:color="auto" w:fill="auto"/>
            <w:vAlign w:val="center"/>
          </w:tcPr>
          <w:p w14:paraId="1162338B" w14:textId="77777777" w:rsidR="00A052DC" w:rsidRDefault="009F0A60">
            <w:pPr>
              <w:jc w:val="left"/>
              <w:rPr>
                <w:rFonts w:ascii="黑体" w:eastAsia="黑体" w:hAnsi="黑体"/>
                <w:sz w:val="20"/>
                <w:szCs w:val="20"/>
              </w:rPr>
            </w:pPr>
            <w:r>
              <w:rPr>
                <w:rFonts w:ascii="黑体" w:eastAsia="黑体" w:hAnsi="黑体" w:hint="eastAsia"/>
                <w:sz w:val="20"/>
                <w:szCs w:val="20"/>
              </w:rPr>
              <w:t>资本转移</w:t>
            </w:r>
          </w:p>
        </w:tc>
        <w:tc>
          <w:tcPr>
            <w:tcW w:w="1276" w:type="dxa"/>
            <w:tcBorders>
              <w:top w:val="single" w:sz="4" w:space="0" w:color="auto"/>
              <w:left w:val="single" w:sz="4" w:space="0" w:color="auto"/>
              <w:bottom w:val="single" w:sz="4" w:space="0" w:color="auto"/>
              <w:right w:val="single" w:sz="4" w:space="0" w:color="auto"/>
            </w:tcBorders>
            <w:vAlign w:val="center"/>
          </w:tcPr>
          <w:p w14:paraId="7F6012B7" w14:textId="77777777" w:rsidR="00A052DC" w:rsidRDefault="00A052DC">
            <w:pPr>
              <w:jc w:val="left"/>
              <w:rPr>
                <w:rFonts w:ascii="黑体" w:eastAsia="黑体" w:hAnsi="黑体"/>
                <w:sz w:val="20"/>
                <w:szCs w:val="20"/>
              </w:rPr>
            </w:pPr>
          </w:p>
        </w:tc>
        <w:tc>
          <w:tcPr>
            <w:tcW w:w="2526" w:type="dxa"/>
            <w:tcBorders>
              <w:top w:val="single" w:sz="4" w:space="0" w:color="auto"/>
              <w:left w:val="single" w:sz="4" w:space="0" w:color="auto"/>
              <w:bottom w:val="single" w:sz="4" w:space="0" w:color="auto"/>
              <w:right w:val="single" w:sz="4" w:space="0" w:color="auto"/>
            </w:tcBorders>
            <w:vAlign w:val="center"/>
          </w:tcPr>
          <w:p w14:paraId="23BAF1AA" w14:textId="77777777" w:rsidR="00A052DC" w:rsidRDefault="00A052DC">
            <w:pPr>
              <w:jc w:val="left"/>
              <w:rPr>
                <w:rFonts w:ascii="黑体" w:eastAsia="黑体" w:hAnsi="黑体"/>
                <w:sz w:val="20"/>
                <w:szCs w:val="20"/>
              </w:rPr>
            </w:pPr>
          </w:p>
        </w:tc>
      </w:tr>
      <w:tr w:rsidR="00A052DC" w14:paraId="780004FC" w14:textId="77777777">
        <w:trPr>
          <w:cantSplit/>
          <w:trHeight w:val="20"/>
          <w:jc w:val="center"/>
        </w:trPr>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14:paraId="06E2B89B" w14:textId="77777777" w:rsidR="00A052DC" w:rsidRDefault="009F0A60">
            <w:pPr>
              <w:jc w:val="left"/>
              <w:rPr>
                <w:rFonts w:ascii="黑体" w:eastAsia="黑体" w:hAnsi="黑体"/>
                <w:sz w:val="20"/>
                <w:szCs w:val="20"/>
              </w:rPr>
            </w:pPr>
            <w:r>
              <w:rPr>
                <w:rFonts w:ascii="黑体" w:eastAsia="黑体" w:hAnsi="黑体"/>
                <w:sz w:val="20"/>
                <w:szCs w:val="20"/>
              </w:rPr>
              <w:t>521020</w:t>
            </w:r>
          </w:p>
        </w:tc>
        <w:tc>
          <w:tcPr>
            <w:tcW w:w="3594" w:type="dxa"/>
            <w:tcBorders>
              <w:top w:val="single" w:sz="4" w:space="0" w:color="auto"/>
              <w:left w:val="single" w:sz="4" w:space="0" w:color="auto"/>
              <w:bottom w:val="single" w:sz="4" w:space="0" w:color="auto"/>
              <w:right w:val="single" w:sz="4" w:space="0" w:color="auto"/>
            </w:tcBorders>
            <w:shd w:val="clear" w:color="auto" w:fill="auto"/>
            <w:vAlign w:val="center"/>
          </w:tcPr>
          <w:p w14:paraId="42D0C76F" w14:textId="77777777" w:rsidR="00A052DC" w:rsidRDefault="009F0A60">
            <w:pPr>
              <w:jc w:val="left"/>
              <w:rPr>
                <w:rFonts w:ascii="黑体" w:eastAsia="黑体" w:hAnsi="黑体"/>
                <w:sz w:val="20"/>
                <w:szCs w:val="20"/>
              </w:rPr>
            </w:pPr>
            <w:r>
              <w:rPr>
                <w:rFonts w:ascii="黑体" w:eastAsia="黑体" w:hAnsi="黑体"/>
                <w:sz w:val="20"/>
                <w:szCs w:val="20"/>
              </w:rPr>
              <w:t>与固定资产有关的捐赠及无偿援助</w:t>
            </w:r>
          </w:p>
        </w:tc>
        <w:tc>
          <w:tcPr>
            <w:tcW w:w="1276" w:type="dxa"/>
            <w:tcBorders>
              <w:top w:val="single" w:sz="4" w:space="0" w:color="auto"/>
              <w:left w:val="single" w:sz="4" w:space="0" w:color="auto"/>
              <w:bottom w:val="single" w:sz="4" w:space="0" w:color="auto"/>
              <w:right w:val="single" w:sz="4" w:space="0" w:color="auto"/>
            </w:tcBorders>
            <w:vAlign w:val="center"/>
          </w:tcPr>
          <w:p w14:paraId="5E7FBED8" w14:textId="77777777" w:rsidR="00A052DC" w:rsidRDefault="009F0A60">
            <w:pPr>
              <w:jc w:val="left"/>
              <w:rPr>
                <w:rFonts w:ascii="黑体" w:eastAsia="黑体" w:hAnsi="黑体"/>
                <w:sz w:val="20"/>
                <w:szCs w:val="20"/>
              </w:rPr>
            </w:pPr>
            <w:r>
              <w:rPr>
                <w:rFonts w:ascii="黑体" w:eastAsia="黑体" w:hAnsi="黑体"/>
                <w:sz w:val="20"/>
                <w:szCs w:val="20"/>
              </w:rPr>
              <w:t>N/A</w:t>
            </w:r>
          </w:p>
        </w:tc>
        <w:tc>
          <w:tcPr>
            <w:tcW w:w="2526" w:type="dxa"/>
            <w:tcBorders>
              <w:top w:val="single" w:sz="4" w:space="0" w:color="auto"/>
              <w:left w:val="single" w:sz="4" w:space="0" w:color="auto"/>
              <w:bottom w:val="single" w:sz="4" w:space="0" w:color="auto"/>
              <w:right w:val="single" w:sz="4" w:space="0" w:color="auto"/>
            </w:tcBorders>
            <w:vAlign w:val="center"/>
          </w:tcPr>
          <w:p w14:paraId="65C95648" w14:textId="77777777" w:rsidR="00A052DC" w:rsidRDefault="00A052DC">
            <w:pPr>
              <w:jc w:val="left"/>
              <w:rPr>
                <w:rFonts w:ascii="黑体" w:eastAsia="黑体" w:hAnsi="黑体"/>
                <w:sz w:val="20"/>
                <w:szCs w:val="20"/>
              </w:rPr>
            </w:pPr>
          </w:p>
        </w:tc>
      </w:tr>
      <w:tr w:rsidR="00A052DC" w14:paraId="4F61CF97" w14:textId="77777777">
        <w:trPr>
          <w:cantSplit/>
          <w:trHeight w:val="20"/>
          <w:jc w:val="center"/>
        </w:trPr>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14:paraId="33CC28EA" w14:textId="77777777" w:rsidR="00A052DC" w:rsidRDefault="00A052DC">
            <w:pPr>
              <w:jc w:val="left"/>
              <w:rPr>
                <w:rFonts w:ascii="黑体" w:eastAsia="黑体" w:hAnsi="黑体"/>
                <w:sz w:val="20"/>
                <w:szCs w:val="20"/>
              </w:rPr>
            </w:pPr>
          </w:p>
        </w:tc>
        <w:tc>
          <w:tcPr>
            <w:tcW w:w="3594" w:type="dxa"/>
            <w:tcBorders>
              <w:top w:val="single" w:sz="4" w:space="0" w:color="auto"/>
              <w:left w:val="single" w:sz="4" w:space="0" w:color="auto"/>
              <w:bottom w:val="single" w:sz="4" w:space="0" w:color="auto"/>
              <w:right w:val="single" w:sz="4" w:space="0" w:color="auto"/>
            </w:tcBorders>
            <w:shd w:val="clear" w:color="auto" w:fill="auto"/>
            <w:vAlign w:val="center"/>
          </w:tcPr>
          <w:p w14:paraId="3A4A6C1B" w14:textId="77777777" w:rsidR="00A052DC" w:rsidRDefault="009F0A60">
            <w:pPr>
              <w:jc w:val="left"/>
              <w:rPr>
                <w:rFonts w:ascii="黑体" w:eastAsia="黑体" w:hAnsi="黑体"/>
                <w:sz w:val="20"/>
                <w:szCs w:val="20"/>
              </w:rPr>
            </w:pPr>
            <w:r>
              <w:rPr>
                <w:rFonts w:ascii="黑体" w:eastAsia="黑体" w:hAnsi="黑体" w:hint="eastAsia"/>
                <w:sz w:val="20"/>
                <w:szCs w:val="20"/>
              </w:rPr>
              <w:t>非生产非金融资产转让</w:t>
            </w:r>
          </w:p>
        </w:tc>
        <w:tc>
          <w:tcPr>
            <w:tcW w:w="1276" w:type="dxa"/>
            <w:tcBorders>
              <w:top w:val="single" w:sz="4" w:space="0" w:color="auto"/>
              <w:left w:val="single" w:sz="4" w:space="0" w:color="auto"/>
              <w:bottom w:val="single" w:sz="4" w:space="0" w:color="auto"/>
              <w:right w:val="single" w:sz="4" w:space="0" w:color="auto"/>
            </w:tcBorders>
            <w:vAlign w:val="center"/>
          </w:tcPr>
          <w:p w14:paraId="54220C24" w14:textId="77777777" w:rsidR="00A052DC" w:rsidRDefault="00A052DC">
            <w:pPr>
              <w:jc w:val="left"/>
              <w:rPr>
                <w:rFonts w:ascii="黑体" w:eastAsia="黑体" w:hAnsi="黑体"/>
                <w:sz w:val="20"/>
                <w:szCs w:val="20"/>
              </w:rPr>
            </w:pPr>
          </w:p>
        </w:tc>
        <w:tc>
          <w:tcPr>
            <w:tcW w:w="2526" w:type="dxa"/>
            <w:tcBorders>
              <w:top w:val="single" w:sz="4" w:space="0" w:color="auto"/>
              <w:left w:val="single" w:sz="4" w:space="0" w:color="auto"/>
              <w:bottom w:val="single" w:sz="4" w:space="0" w:color="auto"/>
              <w:right w:val="single" w:sz="4" w:space="0" w:color="auto"/>
            </w:tcBorders>
            <w:vAlign w:val="center"/>
          </w:tcPr>
          <w:p w14:paraId="3938B418" w14:textId="77777777" w:rsidR="00A052DC" w:rsidRDefault="00A052DC">
            <w:pPr>
              <w:jc w:val="left"/>
              <w:rPr>
                <w:rFonts w:ascii="黑体" w:eastAsia="黑体" w:hAnsi="黑体"/>
                <w:sz w:val="20"/>
                <w:szCs w:val="20"/>
              </w:rPr>
            </w:pPr>
          </w:p>
        </w:tc>
      </w:tr>
      <w:tr w:rsidR="00A052DC" w14:paraId="0B8C4D19" w14:textId="77777777">
        <w:trPr>
          <w:cantSplit/>
          <w:trHeight w:val="20"/>
          <w:jc w:val="center"/>
        </w:trPr>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14:paraId="7665A9A5" w14:textId="77777777" w:rsidR="00A052DC" w:rsidRDefault="009F0A60">
            <w:pPr>
              <w:jc w:val="left"/>
              <w:rPr>
                <w:rFonts w:ascii="黑体" w:eastAsia="黑体" w:hAnsi="黑体"/>
                <w:sz w:val="20"/>
                <w:szCs w:val="20"/>
              </w:rPr>
            </w:pPr>
            <w:r>
              <w:rPr>
                <w:rFonts w:ascii="黑体" w:eastAsia="黑体" w:hAnsi="黑体"/>
                <w:sz w:val="20"/>
                <w:szCs w:val="20"/>
              </w:rPr>
              <w:t>522000</w:t>
            </w:r>
          </w:p>
        </w:tc>
        <w:tc>
          <w:tcPr>
            <w:tcW w:w="3594" w:type="dxa"/>
            <w:tcBorders>
              <w:top w:val="single" w:sz="4" w:space="0" w:color="auto"/>
              <w:left w:val="single" w:sz="4" w:space="0" w:color="auto"/>
              <w:bottom w:val="single" w:sz="4" w:space="0" w:color="auto"/>
              <w:right w:val="single" w:sz="4" w:space="0" w:color="auto"/>
            </w:tcBorders>
            <w:shd w:val="clear" w:color="auto" w:fill="auto"/>
            <w:vAlign w:val="center"/>
          </w:tcPr>
          <w:p w14:paraId="352A1E52" w14:textId="77777777" w:rsidR="00A052DC" w:rsidRDefault="009F0A60">
            <w:pPr>
              <w:jc w:val="left"/>
              <w:rPr>
                <w:rFonts w:ascii="黑体" w:eastAsia="黑体" w:hAnsi="黑体"/>
                <w:sz w:val="20"/>
                <w:szCs w:val="20"/>
              </w:rPr>
            </w:pPr>
            <w:r>
              <w:rPr>
                <w:rFonts w:ascii="黑体" w:eastAsia="黑体" w:hAnsi="黑体" w:hint="eastAsia"/>
                <w:sz w:val="20"/>
                <w:szCs w:val="20"/>
              </w:rPr>
              <w:t>品牌、商标、契约和许可所有权等非生产非金融资产转让</w:t>
            </w:r>
          </w:p>
        </w:tc>
        <w:tc>
          <w:tcPr>
            <w:tcW w:w="1276" w:type="dxa"/>
            <w:tcBorders>
              <w:top w:val="single" w:sz="4" w:space="0" w:color="auto"/>
              <w:left w:val="single" w:sz="4" w:space="0" w:color="auto"/>
              <w:bottom w:val="single" w:sz="4" w:space="0" w:color="auto"/>
              <w:right w:val="single" w:sz="4" w:space="0" w:color="auto"/>
            </w:tcBorders>
            <w:vAlign w:val="center"/>
          </w:tcPr>
          <w:p w14:paraId="2BDA018A" w14:textId="77777777" w:rsidR="00A052DC" w:rsidRDefault="009F0A60">
            <w:pPr>
              <w:jc w:val="left"/>
              <w:rPr>
                <w:rFonts w:ascii="黑体" w:eastAsia="黑体" w:hAnsi="黑体"/>
                <w:sz w:val="20"/>
                <w:szCs w:val="20"/>
              </w:rPr>
            </w:pPr>
            <w:r>
              <w:rPr>
                <w:rFonts w:ascii="黑体" w:eastAsia="黑体" w:hAnsi="黑体"/>
                <w:sz w:val="20"/>
                <w:szCs w:val="20"/>
              </w:rPr>
              <w:t>N/A</w:t>
            </w:r>
          </w:p>
        </w:tc>
        <w:tc>
          <w:tcPr>
            <w:tcW w:w="2526" w:type="dxa"/>
            <w:tcBorders>
              <w:top w:val="single" w:sz="4" w:space="0" w:color="auto"/>
              <w:left w:val="single" w:sz="4" w:space="0" w:color="auto"/>
              <w:bottom w:val="single" w:sz="4" w:space="0" w:color="auto"/>
              <w:right w:val="single" w:sz="4" w:space="0" w:color="auto"/>
            </w:tcBorders>
            <w:vAlign w:val="center"/>
          </w:tcPr>
          <w:p w14:paraId="6579C520" w14:textId="77777777" w:rsidR="00A052DC" w:rsidRDefault="00A052DC">
            <w:pPr>
              <w:jc w:val="left"/>
              <w:rPr>
                <w:rFonts w:ascii="黑体" w:eastAsia="黑体" w:hAnsi="黑体"/>
                <w:sz w:val="20"/>
                <w:szCs w:val="20"/>
              </w:rPr>
            </w:pPr>
          </w:p>
        </w:tc>
      </w:tr>
    </w:tbl>
    <w:p w14:paraId="20765DD9" w14:textId="77777777" w:rsidR="00A052DC" w:rsidRDefault="009F0A60">
      <w:pPr>
        <w:pStyle w:val="5"/>
      </w:pPr>
      <w:r>
        <w:t>1.4.3.1.5QFII/RQFII/QDII/RQDII/QDLP/QDIE</w:t>
      </w:r>
      <w:r>
        <w:rPr>
          <w:rFonts w:hint="eastAsia"/>
        </w:rPr>
        <w:t>投资工具类型</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3402"/>
        <w:gridCol w:w="1560"/>
      </w:tblGrid>
      <w:tr w:rsidR="00A052DC" w14:paraId="67A26C3D" w14:textId="77777777">
        <w:trPr>
          <w:cantSplit/>
        </w:trPr>
        <w:tc>
          <w:tcPr>
            <w:tcW w:w="3510" w:type="dxa"/>
            <w:shd w:val="clear" w:color="auto" w:fill="BFBFBF" w:themeFill="background1" w:themeFillShade="BF"/>
            <w:vAlign w:val="center"/>
          </w:tcPr>
          <w:p w14:paraId="77FB1649" w14:textId="77777777" w:rsidR="00A052DC" w:rsidRDefault="009F0A60">
            <w:pPr>
              <w:widowControl/>
              <w:jc w:val="center"/>
              <w:rPr>
                <w:rFonts w:ascii="黑体" w:eastAsia="黑体" w:hAnsi="宋体"/>
                <w:b/>
                <w:kern w:val="0"/>
                <w:sz w:val="20"/>
                <w:szCs w:val="21"/>
              </w:rPr>
            </w:pPr>
            <w:r>
              <w:rPr>
                <w:rFonts w:ascii="黑体" w:eastAsia="黑体" w:hAnsi="宋体"/>
                <w:b/>
                <w:kern w:val="0"/>
                <w:sz w:val="20"/>
                <w:szCs w:val="21"/>
              </w:rPr>
              <w:t>QFII/RQFII/QDII/RQDII/QDLP/QDIE</w:t>
            </w:r>
          </w:p>
          <w:p w14:paraId="7692E128" w14:textId="77777777" w:rsidR="00A052DC" w:rsidRDefault="009F0A60">
            <w:pPr>
              <w:widowControl/>
              <w:jc w:val="center"/>
              <w:rPr>
                <w:rFonts w:ascii="黑体" w:eastAsia="黑体" w:hAnsi="宋体"/>
                <w:b/>
                <w:kern w:val="0"/>
                <w:sz w:val="20"/>
                <w:szCs w:val="21"/>
              </w:rPr>
            </w:pPr>
            <w:r>
              <w:rPr>
                <w:rFonts w:ascii="黑体" w:eastAsia="黑体" w:hAnsi="宋体"/>
                <w:b/>
                <w:kern w:val="0"/>
                <w:sz w:val="20"/>
                <w:szCs w:val="21"/>
              </w:rPr>
              <w:t>投资工具类型代码</w:t>
            </w:r>
          </w:p>
        </w:tc>
        <w:tc>
          <w:tcPr>
            <w:tcW w:w="3402" w:type="dxa"/>
            <w:shd w:val="clear" w:color="auto" w:fill="BFBFBF" w:themeFill="background1" w:themeFillShade="BF"/>
            <w:vAlign w:val="center"/>
          </w:tcPr>
          <w:p w14:paraId="7BD4B86F" w14:textId="77777777" w:rsidR="00A052DC" w:rsidRDefault="009F0A60">
            <w:pPr>
              <w:widowControl/>
              <w:jc w:val="center"/>
              <w:rPr>
                <w:rFonts w:ascii="黑体" w:eastAsia="黑体" w:hAnsi="宋体"/>
                <w:b/>
                <w:kern w:val="0"/>
                <w:sz w:val="20"/>
                <w:szCs w:val="21"/>
              </w:rPr>
            </w:pPr>
            <w:r>
              <w:rPr>
                <w:rFonts w:ascii="黑体" w:eastAsia="黑体" w:hAnsi="宋体"/>
                <w:b/>
                <w:kern w:val="0"/>
                <w:sz w:val="20"/>
                <w:szCs w:val="21"/>
              </w:rPr>
              <w:t>QFII/RQFII/QDII/RQDII/QDLP/QDIE投资工具类型</w:t>
            </w:r>
          </w:p>
        </w:tc>
        <w:tc>
          <w:tcPr>
            <w:tcW w:w="1560" w:type="dxa"/>
            <w:shd w:val="clear" w:color="auto" w:fill="BFBFBF" w:themeFill="background1" w:themeFillShade="BF"/>
            <w:vAlign w:val="center"/>
          </w:tcPr>
          <w:p w14:paraId="2AB472BC" w14:textId="77777777" w:rsidR="00A052DC" w:rsidRDefault="009F0A60">
            <w:pPr>
              <w:widowControl/>
              <w:jc w:val="center"/>
              <w:rPr>
                <w:rFonts w:ascii="黑体" w:eastAsia="黑体" w:hAnsi="宋体"/>
                <w:b/>
                <w:kern w:val="0"/>
                <w:sz w:val="20"/>
                <w:szCs w:val="21"/>
              </w:rPr>
            </w:pPr>
            <w:r>
              <w:rPr>
                <w:rFonts w:ascii="黑体" w:eastAsia="黑体" w:hAnsi="宋体" w:hint="eastAsia"/>
                <w:b/>
                <w:kern w:val="0"/>
                <w:sz w:val="20"/>
                <w:szCs w:val="21"/>
              </w:rPr>
              <w:t>变更类型</w:t>
            </w:r>
          </w:p>
        </w:tc>
      </w:tr>
      <w:tr w:rsidR="00A052DC" w14:paraId="1C443116" w14:textId="77777777">
        <w:trPr>
          <w:cantSplit/>
        </w:trPr>
        <w:tc>
          <w:tcPr>
            <w:tcW w:w="3510" w:type="dxa"/>
          </w:tcPr>
          <w:p w14:paraId="5D1F471C" w14:textId="77777777" w:rsidR="00A052DC" w:rsidRDefault="009F0A60">
            <w:pPr>
              <w:pStyle w:val="B"/>
              <w:jc w:val="center"/>
            </w:pPr>
            <w:r>
              <w:t>24</w:t>
            </w:r>
          </w:p>
        </w:tc>
        <w:tc>
          <w:tcPr>
            <w:tcW w:w="3402" w:type="dxa"/>
          </w:tcPr>
          <w:p w14:paraId="13F7ED0B" w14:textId="77777777" w:rsidR="00A052DC" w:rsidRDefault="009F0A60">
            <w:pPr>
              <w:pStyle w:val="B"/>
            </w:pPr>
            <w:r>
              <w:rPr>
                <w:rFonts w:hint="eastAsia"/>
              </w:rPr>
              <w:t>存托凭证</w:t>
            </w:r>
          </w:p>
        </w:tc>
        <w:tc>
          <w:tcPr>
            <w:tcW w:w="1560" w:type="dxa"/>
          </w:tcPr>
          <w:p w14:paraId="294D79BE" w14:textId="77777777" w:rsidR="00A052DC" w:rsidRDefault="009F0A60">
            <w:pPr>
              <w:pStyle w:val="B"/>
              <w:jc w:val="center"/>
            </w:pPr>
            <w:r>
              <w:rPr>
                <w:rFonts w:hint="eastAsia"/>
              </w:rPr>
              <w:t>新增</w:t>
            </w:r>
          </w:p>
        </w:tc>
      </w:tr>
    </w:tbl>
    <w:p w14:paraId="7F1BE245" w14:textId="77777777" w:rsidR="00A052DC" w:rsidRDefault="009F0A60">
      <w:pPr>
        <w:pStyle w:val="5"/>
      </w:pPr>
      <w:r>
        <w:rPr>
          <w:rFonts w:hint="eastAsia"/>
        </w:rPr>
        <w:t>1.4.3.1.</w:t>
      </w:r>
      <w:r>
        <w:t>6</w:t>
      </w:r>
      <w:r>
        <w:rPr>
          <w:rFonts w:hint="eastAsia"/>
        </w:rPr>
        <w:t>金融衍生产品的合约类别</w:t>
      </w:r>
    </w:p>
    <w:tbl>
      <w:tblPr>
        <w:tblW w:w="0" w:type="auto"/>
        <w:jc w:val="center"/>
        <w:tblLook w:val="04A0" w:firstRow="1" w:lastRow="0" w:firstColumn="1" w:lastColumn="0" w:noHBand="0" w:noVBand="1"/>
      </w:tblPr>
      <w:tblGrid>
        <w:gridCol w:w="1574"/>
        <w:gridCol w:w="2126"/>
        <w:gridCol w:w="1984"/>
        <w:gridCol w:w="1984"/>
      </w:tblGrid>
      <w:tr w:rsidR="00A052DC" w14:paraId="23A127F8" w14:textId="77777777">
        <w:trPr>
          <w:jc w:val="center"/>
        </w:trPr>
        <w:tc>
          <w:tcPr>
            <w:tcW w:w="157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6BC463A1" w14:textId="77777777" w:rsidR="00A052DC" w:rsidRDefault="009F0A60">
            <w:pPr>
              <w:widowControl/>
              <w:jc w:val="center"/>
              <w:rPr>
                <w:rFonts w:hAnsi="宋体"/>
                <w:b/>
              </w:rPr>
            </w:pPr>
            <w:r>
              <w:rPr>
                <w:rFonts w:ascii="黑体" w:eastAsia="黑体" w:hAnsi="宋体" w:hint="eastAsia"/>
                <w:b/>
                <w:kern w:val="0"/>
                <w:sz w:val="20"/>
                <w:szCs w:val="21"/>
              </w:rPr>
              <w:t>一级合约类别</w:t>
            </w:r>
          </w:p>
        </w:tc>
        <w:tc>
          <w:tcPr>
            <w:tcW w:w="2126" w:type="dxa"/>
            <w:tcBorders>
              <w:top w:val="single" w:sz="4" w:space="0" w:color="auto"/>
              <w:left w:val="nil"/>
              <w:bottom w:val="single" w:sz="4" w:space="0" w:color="auto"/>
              <w:right w:val="single" w:sz="4" w:space="0" w:color="auto"/>
            </w:tcBorders>
            <w:shd w:val="clear" w:color="auto" w:fill="BFBFBF" w:themeFill="background1" w:themeFillShade="BF"/>
            <w:noWrap/>
          </w:tcPr>
          <w:p w14:paraId="682F0D59" w14:textId="77777777" w:rsidR="00A052DC" w:rsidRDefault="009F0A60">
            <w:pPr>
              <w:widowControl/>
              <w:jc w:val="center"/>
              <w:rPr>
                <w:rFonts w:hAnsi="宋体"/>
                <w:b/>
              </w:rPr>
            </w:pPr>
            <w:r>
              <w:rPr>
                <w:rFonts w:ascii="黑体" w:eastAsia="黑体" w:hAnsi="宋体" w:hint="eastAsia"/>
                <w:b/>
                <w:kern w:val="0"/>
                <w:sz w:val="20"/>
                <w:szCs w:val="21"/>
              </w:rPr>
              <w:t>二级合约类别</w:t>
            </w:r>
          </w:p>
        </w:tc>
        <w:tc>
          <w:tcPr>
            <w:tcW w:w="1984" w:type="dxa"/>
            <w:tcBorders>
              <w:top w:val="single" w:sz="4" w:space="0" w:color="auto"/>
              <w:left w:val="nil"/>
              <w:bottom w:val="single" w:sz="4" w:space="0" w:color="auto"/>
              <w:right w:val="single" w:sz="4" w:space="0" w:color="auto"/>
            </w:tcBorders>
            <w:shd w:val="clear" w:color="auto" w:fill="BFBFBF" w:themeFill="background1" w:themeFillShade="BF"/>
            <w:noWrap/>
          </w:tcPr>
          <w:p w14:paraId="702004E4" w14:textId="77777777" w:rsidR="00A052DC" w:rsidRDefault="009F0A60">
            <w:pPr>
              <w:widowControl/>
              <w:jc w:val="center"/>
              <w:rPr>
                <w:rFonts w:hAnsi="宋体"/>
                <w:b/>
              </w:rPr>
            </w:pPr>
            <w:r>
              <w:rPr>
                <w:rFonts w:ascii="黑体" w:eastAsia="黑体" w:hAnsi="宋体" w:hint="eastAsia"/>
                <w:b/>
                <w:kern w:val="0"/>
                <w:sz w:val="20"/>
                <w:szCs w:val="21"/>
              </w:rPr>
              <w:t>二级合约类别代码</w:t>
            </w:r>
          </w:p>
        </w:tc>
        <w:tc>
          <w:tcPr>
            <w:tcW w:w="1984" w:type="dxa"/>
            <w:tcBorders>
              <w:top w:val="single" w:sz="4" w:space="0" w:color="auto"/>
              <w:left w:val="nil"/>
              <w:bottom w:val="single" w:sz="4" w:space="0" w:color="auto"/>
              <w:right w:val="single" w:sz="4" w:space="0" w:color="auto"/>
            </w:tcBorders>
            <w:shd w:val="clear" w:color="auto" w:fill="BFBFBF" w:themeFill="background1" w:themeFillShade="BF"/>
          </w:tcPr>
          <w:p w14:paraId="17689ECF" w14:textId="77777777" w:rsidR="00A052DC" w:rsidRDefault="009F0A60">
            <w:pPr>
              <w:widowControl/>
              <w:jc w:val="center"/>
              <w:rPr>
                <w:rFonts w:hAnsi="宋体"/>
                <w:b/>
              </w:rPr>
            </w:pPr>
            <w:r>
              <w:rPr>
                <w:rFonts w:ascii="黑体" w:eastAsia="黑体" w:hAnsi="宋体" w:hint="eastAsia"/>
                <w:b/>
                <w:kern w:val="0"/>
                <w:sz w:val="20"/>
                <w:szCs w:val="21"/>
              </w:rPr>
              <w:t>操作类型</w:t>
            </w:r>
          </w:p>
        </w:tc>
      </w:tr>
      <w:tr w:rsidR="00A052DC" w14:paraId="72741952" w14:textId="77777777">
        <w:trPr>
          <w:jc w:val="center"/>
        </w:trPr>
        <w:tc>
          <w:tcPr>
            <w:tcW w:w="1574" w:type="dxa"/>
            <w:tcBorders>
              <w:top w:val="single" w:sz="4" w:space="0" w:color="auto"/>
              <w:left w:val="single" w:sz="4" w:space="0" w:color="auto"/>
              <w:bottom w:val="single" w:sz="4" w:space="0" w:color="auto"/>
              <w:right w:val="single" w:sz="4" w:space="0" w:color="auto"/>
            </w:tcBorders>
            <w:shd w:val="clear" w:color="auto" w:fill="auto"/>
            <w:noWrap/>
          </w:tcPr>
          <w:p w14:paraId="7887147B" w14:textId="77777777" w:rsidR="00A052DC" w:rsidRDefault="009F0A60">
            <w:pPr>
              <w:pStyle w:val="B"/>
              <w:jc w:val="center"/>
              <w:rPr>
                <w:kern w:val="2"/>
                <w:sz w:val="21"/>
              </w:rPr>
            </w:pPr>
            <w:r>
              <w:rPr>
                <w:rFonts w:hint="eastAsia"/>
              </w:rPr>
              <w:t>远期</w:t>
            </w:r>
          </w:p>
        </w:tc>
        <w:tc>
          <w:tcPr>
            <w:tcW w:w="2126" w:type="dxa"/>
            <w:tcBorders>
              <w:top w:val="single" w:sz="4" w:space="0" w:color="auto"/>
              <w:left w:val="nil"/>
              <w:bottom w:val="single" w:sz="4" w:space="0" w:color="auto"/>
              <w:right w:val="single" w:sz="4" w:space="0" w:color="auto"/>
            </w:tcBorders>
            <w:shd w:val="clear" w:color="auto" w:fill="auto"/>
            <w:noWrap/>
          </w:tcPr>
          <w:p w14:paraId="7129A625" w14:textId="77777777" w:rsidR="00A052DC" w:rsidRDefault="009F0A60">
            <w:pPr>
              <w:pStyle w:val="B"/>
              <w:jc w:val="center"/>
              <w:rPr>
                <w:kern w:val="2"/>
                <w:sz w:val="21"/>
              </w:rPr>
            </w:pPr>
            <w:r>
              <w:rPr>
                <w:rFonts w:hint="eastAsia"/>
              </w:rPr>
              <w:t>掉期（互换）</w:t>
            </w:r>
          </w:p>
        </w:tc>
        <w:tc>
          <w:tcPr>
            <w:tcW w:w="1984" w:type="dxa"/>
            <w:tcBorders>
              <w:top w:val="single" w:sz="4" w:space="0" w:color="auto"/>
              <w:left w:val="nil"/>
              <w:bottom w:val="single" w:sz="4" w:space="0" w:color="auto"/>
              <w:right w:val="single" w:sz="4" w:space="0" w:color="auto"/>
            </w:tcBorders>
            <w:shd w:val="clear" w:color="auto" w:fill="auto"/>
            <w:noWrap/>
          </w:tcPr>
          <w:p w14:paraId="65D7D632" w14:textId="77777777" w:rsidR="00A052DC" w:rsidRDefault="009F0A60">
            <w:pPr>
              <w:pStyle w:val="B"/>
              <w:jc w:val="center"/>
              <w:rPr>
                <w:kern w:val="2"/>
                <w:sz w:val="21"/>
              </w:rPr>
            </w:pPr>
            <w:r>
              <w:t>3</w:t>
            </w:r>
          </w:p>
        </w:tc>
        <w:tc>
          <w:tcPr>
            <w:tcW w:w="1984" w:type="dxa"/>
            <w:tcBorders>
              <w:top w:val="single" w:sz="4" w:space="0" w:color="auto"/>
              <w:left w:val="nil"/>
              <w:bottom w:val="single" w:sz="4" w:space="0" w:color="auto"/>
              <w:right w:val="single" w:sz="4" w:space="0" w:color="auto"/>
            </w:tcBorders>
          </w:tcPr>
          <w:p w14:paraId="244126A4" w14:textId="77777777" w:rsidR="00A052DC" w:rsidRDefault="009F0A60">
            <w:pPr>
              <w:pStyle w:val="B"/>
              <w:jc w:val="center"/>
              <w:rPr>
                <w:kern w:val="2"/>
                <w:sz w:val="21"/>
              </w:rPr>
            </w:pPr>
            <w:r>
              <w:rPr>
                <w:rFonts w:hint="eastAsia"/>
              </w:rPr>
              <w:t>修改</w:t>
            </w:r>
          </w:p>
        </w:tc>
      </w:tr>
    </w:tbl>
    <w:p w14:paraId="6AFC6462" w14:textId="77777777" w:rsidR="00881462" w:rsidRDefault="00A412F6">
      <w:pPr>
        <w:spacing w:line="360" w:lineRule="auto"/>
        <w:ind w:firstLine="480"/>
        <w:rPr>
          <w:rFonts w:ascii="Times New Roman" w:hAnsi="Times New Roman"/>
          <w:sz w:val="24"/>
          <w:szCs w:val="24"/>
        </w:rPr>
      </w:pPr>
      <w:r w:rsidRPr="00A412F6">
        <w:rPr>
          <w:rFonts w:ascii="Times New Roman" w:hAnsi="Times New Roman" w:hint="eastAsia"/>
          <w:sz w:val="24"/>
          <w:szCs w:val="24"/>
        </w:rPr>
        <w:t>将原二级合约类别“掉期”调整为“掉期（互换）”。</w:t>
      </w:r>
    </w:p>
    <w:p w14:paraId="6FA3FEB5" w14:textId="77777777" w:rsidR="00A052DC" w:rsidRDefault="009F0A60" w:rsidP="0020251D">
      <w:pPr>
        <w:pStyle w:val="5"/>
      </w:pPr>
      <w:r>
        <w:t>1.4.3.1.7</w:t>
      </w:r>
      <w:r>
        <w:rPr>
          <w:rFonts w:hint="eastAsia"/>
        </w:rPr>
        <w:t>涉外银行卡商户分类码分类标准</w:t>
      </w:r>
    </w:p>
    <w:tbl>
      <w:tblPr>
        <w:tblStyle w:val="af7"/>
        <w:tblW w:w="0" w:type="auto"/>
        <w:jc w:val="center"/>
        <w:tblLook w:val="04A0" w:firstRow="1" w:lastRow="0" w:firstColumn="1" w:lastColumn="0" w:noHBand="0" w:noVBand="1"/>
      </w:tblPr>
      <w:tblGrid>
        <w:gridCol w:w="1526"/>
        <w:gridCol w:w="1843"/>
        <w:gridCol w:w="1842"/>
        <w:gridCol w:w="1523"/>
      </w:tblGrid>
      <w:tr w:rsidR="00A052DC" w14:paraId="5F7F60CC" w14:textId="77777777">
        <w:trPr>
          <w:trHeight w:val="416"/>
          <w:jc w:val="center"/>
        </w:trPr>
        <w:tc>
          <w:tcPr>
            <w:tcW w:w="1526" w:type="dxa"/>
            <w:shd w:val="clear" w:color="auto" w:fill="BFBFBF" w:themeFill="background1" w:themeFillShade="BF"/>
          </w:tcPr>
          <w:p w14:paraId="016F5062" w14:textId="77777777" w:rsidR="00A052DC" w:rsidRDefault="009F0A60">
            <w:pPr>
              <w:jc w:val="center"/>
              <w:rPr>
                <w:rFonts w:ascii="黑体" w:eastAsia="黑体" w:hAnsi="黑体"/>
                <w:b/>
                <w:sz w:val="20"/>
                <w:szCs w:val="20"/>
              </w:rPr>
            </w:pPr>
            <w:r>
              <w:rPr>
                <w:rFonts w:ascii="黑体" w:eastAsia="黑体" w:hAnsi="黑体" w:hint="eastAsia"/>
                <w:b/>
                <w:sz w:val="20"/>
                <w:szCs w:val="20"/>
              </w:rPr>
              <w:t>类别</w:t>
            </w:r>
          </w:p>
        </w:tc>
        <w:tc>
          <w:tcPr>
            <w:tcW w:w="1843" w:type="dxa"/>
            <w:shd w:val="clear" w:color="auto" w:fill="BFBFBF" w:themeFill="background1" w:themeFillShade="BF"/>
          </w:tcPr>
          <w:p w14:paraId="266B5F00" w14:textId="77777777" w:rsidR="00A052DC" w:rsidRDefault="009F0A60">
            <w:pPr>
              <w:jc w:val="center"/>
              <w:rPr>
                <w:rFonts w:ascii="黑体" w:eastAsia="黑体" w:hAnsi="黑体"/>
                <w:b/>
                <w:sz w:val="20"/>
                <w:szCs w:val="20"/>
              </w:rPr>
            </w:pPr>
            <w:r>
              <w:rPr>
                <w:rFonts w:ascii="黑体" w:eastAsia="黑体" w:hAnsi="黑体" w:hint="eastAsia"/>
                <w:b/>
                <w:sz w:val="20"/>
                <w:szCs w:val="20"/>
              </w:rPr>
              <w:t>MCC码</w:t>
            </w:r>
          </w:p>
        </w:tc>
        <w:tc>
          <w:tcPr>
            <w:tcW w:w="1842" w:type="dxa"/>
            <w:shd w:val="clear" w:color="auto" w:fill="BFBFBF" w:themeFill="background1" w:themeFillShade="BF"/>
          </w:tcPr>
          <w:p w14:paraId="00283A9A" w14:textId="77777777" w:rsidR="00A052DC" w:rsidRDefault="009F0A60">
            <w:pPr>
              <w:jc w:val="center"/>
              <w:rPr>
                <w:rFonts w:ascii="黑体" w:eastAsia="黑体" w:hAnsi="黑体"/>
                <w:b/>
                <w:sz w:val="20"/>
                <w:szCs w:val="20"/>
              </w:rPr>
            </w:pPr>
            <w:r>
              <w:rPr>
                <w:rFonts w:ascii="黑体" w:eastAsia="黑体" w:hAnsi="黑体" w:hint="eastAsia"/>
                <w:b/>
                <w:sz w:val="20"/>
                <w:szCs w:val="20"/>
              </w:rPr>
              <w:t>商户介绍</w:t>
            </w:r>
          </w:p>
        </w:tc>
        <w:tc>
          <w:tcPr>
            <w:tcW w:w="1523" w:type="dxa"/>
            <w:shd w:val="clear" w:color="auto" w:fill="BFBFBF" w:themeFill="background1" w:themeFillShade="BF"/>
          </w:tcPr>
          <w:p w14:paraId="225CDC62" w14:textId="77777777" w:rsidR="00A052DC" w:rsidRDefault="009F0A60">
            <w:pPr>
              <w:jc w:val="center"/>
              <w:rPr>
                <w:rFonts w:ascii="黑体" w:eastAsia="黑体" w:hAnsi="黑体"/>
                <w:b/>
                <w:sz w:val="20"/>
                <w:szCs w:val="20"/>
              </w:rPr>
            </w:pPr>
            <w:r>
              <w:rPr>
                <w:rFonts w:ascii="黑体" w:eastAsia="黑体" w:hAnsi="黑体" w:hint="eastAsia"/>
                <w:b/>
                <w:sz w:val="20"/>
                <w:szCs w:val="20"/>
              </w:rPr>
              <w:t>操作类型</w:t>
            </w:r>
          </w:p>
        </w:tc>
      </w:tr>
      <w:tr w:rsidR="00A052DC" w14:paraId="34A358D8" w14:textId="77777777">
        <w:trPr>
          <w:trHeight w:val="423"/>
          <w:jc w:val="center"/>
        </w:trPr>
        <w:tc>
          <w:tcPr>
            <w:tcW w:w="1526" w:type="dxa"/>
          </w:tcPr>
          <w:p w14:paraId="34B163BD" w14:textId="77777777" w:rsidR="00A052DC" w:rsidRDefault="009F0A60">
            <w:pPr>
              <w:jc w:val="center"/>
              <w:rPr>
                <w:rFonts w:ascii="黑体" w:eastAsia="黑体" w:hAnsi="黑体"/>
                <w:sz w:val="20"/>
                <w:szCs w:val="20"/>
              </w:rPr>
            </w:pPr>
            <w:r>
              <w:rPr>
                <w:rFonts w:ascii="黑体" w:eastAsia="黑体" w:hAnsi="黑体" w:hint="eastAsia"/>
                <w:sz w:val="20"/>
                <w:szCs w:val="20"/>
              </w:rPr>
              <w:t>6.其他服务</w:t>
            </w:r>
          </w:p>
        </w:tc>
        <w:tc>
          <w:tcPr>
            <w:tcW w:w="1843" w:type="dxa"/>
          </w:tcPr>
          <w:p w14:paraId="144C21EE" w14:textId="77777777" w:rsidR="00A052DC" w:rsidRDefault="009F0A60">
            <w:pPr>
              <w:jc w:val="center"/>
              <w:rPr>
                <w:rFonts w:ascii="黑体" w:eastAsia="黑体" w:hAnsi="黑体"/>
                <w:sz w:val="20"/>
                <w:szCs w:val="20"/>
              </w:rPr>
            </w:pPr>
            <w:r>
              <w:rPr>
                <w:rFonts w:ascii="黑体" w:eastAsia="黑体" w:hAnsi="黑体" w:hint="eastAsia"/>
                <w:sz w:val="20"/>
                <w:szCs w:val="20"/>
              </w:rPr>
              <w:t>6.1其他服务1</w:t>
            </w:r>
          </w:p>
        </w:tc>
        <w:tc>
          <w:tcPr>
            <w:tcW w:w="1842" w:type="dxa"/>
          </w:tcPr>
          <w:p w14:paraId="47BE59E3" w14:textId="77777777" w:rsidR="00A052DC" w:rsidRDefault="00A052DC">
            <w:pPr>
              <w:jc w:val="center"/>
              <w:rPr>
                <w:rFonts w:ascii="黑体" w:eastAsia="黑体" w:hAnsi="黑体"/>
                <w:sz w:val="20"/>
                <w:szCs w:val="20"/>
              </w:rPr>
            </w:pPr>
          </w:p>
        </w:tc>
        <w:tc>
          <w:tcPr>
            <w:tcW w:w="1523" w:type="dxa"/>
          </w:tcPr>
          <w:p w14:paraId="6C8B3CAB" w14:textId="77777777" w:rsidR="00A052DC" w:rsidRDefault="00A052DC">
            <w:pPr>
              <w:jc w:val="center"/>
              <w:rPr>
                <w:rFonts w:ascii="黑体" w:eastAsia="黑体" w:hAnsi="黑体"/>
                <w:sz w:val="20"/>
                <w:szCs w:val="20"/>
              </w:rPr>
            </w:pPr>
          </w:p>
        </w:tc>
      </w:tr>
      <w:tr w:rsidR="00A052DC" w14:paraId="2AEFE952" w14:textId="77777777">
        <w:trPr>
          <w:trHeight w:val="698"/>
          <w:jc w:val="center"/>
        </w:trPr>
        <w:tc>
          <w:tcPr>
            <w:tcW w:w="1526" w:type="dxa"/>
          </w:tcPr>
          <w:p w14:paraId="79941F85" w14:textId="77777777" w:rsidR="00A052DC" w:rsidRDefault="00A052DC">
            <w:pPr>
              <w:jc w:val="center"/>
              <w:rPr>
                <w:rFonts w:ascii="黑体" w:eastAsia="黑体" w:hAnsi="黑体"/>
                <w:sz w:val="20"/>
                <w:szCs w:val="20"/>
              </w:rPr>
            </w:pPr>
          </w:p>
        </w:tc>
        <w:tc>
          <w:tcPr>
            <w:tcW w:w="1843" w:type="dxa"/>
          </w:tcPr>
          <w:p w14:paraId="428A3557" w14:textId="77777777" w:rsidR="00A052DC" w:rsidRDefault="009F0A60">
            <w:pPr>
              <w:jc w:val="center"/>
              <w:rPr>
                <w:rFonts w:ascii="黑体" w:eastAsia="黑体" w:hAnsi="黑体"/>
                <w:sz w:val="20"/>
                <w:szCs w:val="20"/>
              </w:rPr>
            </w:pPr>
            <w:r>
              <w:rPr>
                <w:rFonts w:ascii="黑体" w:eastAsia="黑体" w:hAnsi="黑体" w:hint="eastAsia"/>
                <w:sz w:val="20"/>
                <w:szCs w:val="20"/>
              </w:rPr>
              <w:t>6010</w:t>
            </w:r>
          </w:p>
        </w:tc>
        <w:tc>
          <w:tcPr>
            <w:tcW w:w="1842" w:type="dxa"/>
          </w:tcPr>
          <w:p w14:paraId="4B2D268B" w14:textId="77777777" w:rsidR="00A052DC" w:rsidRDefault="009F0A60">
            <w:pPr>
              <w:jc w:val="left"/>
              <w:rPr>
                <w:rFonts w:ascii="黑体" w:eastAsia="黑体" w:hAnsi="黑体"/>
                <w:sz w:val="20"/>
                <w:szCs w:val="20"/>
              </w:rPr>
            </w:pPr>
            <w:r>
              <w:rPr>
                <w:rFonts w:ascii="黑体" w:eastAsia="黑体" w:hAnsi="黑体" w:hint="eastAsia"/>
                <w:sz w:val="20"/>
                <w:szCs w:val="20"/>
              </w:rPr>
              <w:t>金融机构-银行柜台服务</w:t>
            </w:r>
          </w:p>
        </w:tc>
        <w:tc>
          <w:tcPr>
            <w:tcW w:w="1523" w:type="dxa"/>
          </w:tcPr>
          <w:p w14:paraId="1E2C7778" w14:textId="77777777" w:rsidR="00A052DC" w:rsidRDefault="009F0A60">
            <w:pPr>
              <w:jc w:val="center"/>
              <w:rPr>
                <w:rFonts w:ascii="黑体" w:eastAsia="黑体" w:hAnsi="黑体"/>
                <w:sz w:val="20"/>
                <w:szCs w:val="20"/>
              </w:rPr>
            </w:pPr>
            <w:r>
              <w:rPr>
                <w:rFonts w:ascii="黑体" w:eastAsia="黑体" w:hAnsi="黑体" w:hint="eastAsia"/>
                <w:sz w:val="20"/>
                <w:szCs w:val="20"/>
              </w:rPr>
              <w:t>删除</w:t>
            </w:r>
          </w:p>
        </w:tc>
      </w:tr>
    </w:tbl>
    <w:p w14:paraId="50D6C781" w14:textId="77777777" w:rsidR="00881462" w:rsidRDefault="00A412F6">
      <w:pPr>
        <w:spacing w:line="360" w:lineRule="auto"/>
        <w:ind w:firstLine="480"/>
        <w:rPr>
          <w:rFonts w:ascii="Times New Roman" w:hAnsi="Times New Roman"/>
          <w:sz w:val="24"/>
          <w:szCs w:val="24"/>
        </w:rPr>
      </w:pPr>
      <w:r w:rsidRPr="00A412F6">
        <w:rPr>
          <w:rFonts w:ascii="Times New Roman" w:hAnsi="Times New Roman" w:hint="eastAsia"/>
          <w:sz w:val="24"/>
          <w:szCs w:val="24"/>
        </w:rPr>
        <w:t>“</w:t>
      </w:r>
      <w:r w:rsidRPr="00A412F6">
        <w:rPr>
          <w:rFonts w:ascii="Times New Roman" w:hAnsi="Times New Roman"/>
          <w:sz w:val="24"/>
          <w:szCs w:val="24"/>
        </w:rPr>
        <w:t xml:space="preserve">6010 </w:t>
      </w:r>
      <w:r w:rsidRPr="00A412F6">
        <w:rPr>
          <w:rFonts w:ascii="Times New Roman" w:hAnsi="Times New Roman" w:hint="eastAsia"/>
          <w:sz w:val="24"/>
          <w:szCs w:val="24"/>
        </w:rPr>
        <w:t>金融机构</w:t>
      </w:r>
      <w:r w:rsidRPr="00A412F6">
        <w:rPr>
          <w:rFonts w:ascii="Times New Roman" w:hAnsi="Times New Roman"/>
          <w:sz w:val="24"/>
          <w:szCs w:val="24"/>
        </w:rPr>
        <w:t>-</w:t>
      </w:r>
      <w:r w:rsidRPr="00A412F6">
        <w:rPr>
          <w:rFonts w:ascii="Times New Roman" w:hAnsi="Times New Roman" w:hint="eastAsia"/>
          <w:sz w:val="24"/>
          <w:szCs w:val="24"/>
        </w:rPr>
        <w:t>银行柜台服务”所属类别已调整到“</w:t>
      </w:r>
      <w:r w:rsidRPr="00A412F6">
        <w:rPr>
          <w:rFonts w:ascii="Times New Roman" w:hAnsi="Times New Roman"/>
          <w:sz w:val="24"/>
          <w:szCs w:val="24"/>
        </w:rPr>
        <w:t>7.</w:t>
      </w:r>
      <w:r w:rsidRPr="00A412F6">
        <w:rPr>
          <w:rFonts w:ascii="Times New Roman" w:hAnsi="Times New Roman" w:hint="eastAsia"/>
          <w:sz w:val="24"/>
          <w:szCs w:val="24"/>
        </w:rPr>
        <w:t>提现”，故对原条目进行删除。</w:t>
      </w:r>
    </w:p>
    <w:p w14:paraId="5AB07C19" w14:textId="77777777" w:rsidR="00A052DC" w:rsidRDefault="009F0A60" w:rsidP="0020251D">
      <w:pPr>
        <w:pStyle w:val="5"/>
      </w:pPr>
      <w:r>
        <w:t>1.4.3.1.8</w:t>
      </w:r>
      <w:r>
        <w:rPr>
          <w:rFonts w:hint="eastAsia"/>
        </w:rPr>
        <w:t>现钞来源说明代码表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2914"/>
        <w:gridCol w:w="2768"/>
      </w:tblGrid>
      <w:tr w:rsidR="00A052DC" w14:paraId="6FFA0275" w14:textId="77777777">
        <w:tc>
          <w:tcPr>
            <w:tcW w:w="2840" w:type="dxa"/>
            <w:shd w:val="clear" w:color="auto" w:fill="BFBFBF" w:themeFill="background1" w:themeFillShade="BF"/>
          </w:tcPr>
          <w:p w14:paraId="3F95BBED" w14:textId="77777777" w:rsidR="00A052DC" w:rsidRDefault="009F0A60">
            <w:pPr>
              <w:pStyle w:val="B"/>
              <w:jc w:val="center"/>
              <w:rPr>
                <w:b/>
              </w:rPr>
            </w:pPr>
            <w:r>
              <w:rPr>
                <w:rFonts w:cs="宋体" w:hint="eastAsia"/>
                <w:b/>
                <w:szCs w:val="20"/>
              </w:rPr>
              <w:t>现钞来源代码</w:t>
            </w:r>
          </w:p>
        </w:tc>
        <w:tc>
          <w:tcPr>
            <w:tcW w:w="2914" w:type="dxa"/>
            <w:shd w:val="clear" w:color="auto" w:fill="BFBFBF" w:themeFill="background1" w:themeFillShade="BF"/>
          </w:tcPr>
          <w:p w14:paraId="6E573BB3" w14:textId="77777777" w:rsidR="00A052DC" w:rsidRDefault="009F0A60">
            <w:pPr>
              <w:pStyle w:val="B"/>
              <w:jc w:val="center"/>
              <w:rPr>
                <w:b/>
              </w:rPr>
            </w:pPr>
            <w:r>
              <w:rPr>
                <w:rFonts w:cs="宋体" w:hint="eastAsia"/>
                <w:b/>
                <w:szCs w:val="20"/>
              </w:rPr>
              <w:t>现钞来源说明</w:t>
            </w:r>
          </w:p>
        </w:tc>
        <w:tc>
          <w:tcPr>
            <w:tcW w:w="2768" w:type="dxa"/>
            <w:shd w:val="clear" w:color="auto" w:fill="BFBFBF" w:themeFill="background1" w:themeFillShade="BF"/>
          </w:tcPr>
          <w:p w14:paraId="239A429B" w14:textId="77777777" w:rsidR="00A052DC" w:rsidRDefault="009F0A60">
            <w:pPr>
              <w:pStyle w:val="B"/>
              <w:jc w:val="center"/>
              <w:rPr>
                <w:rFonts w:cs="宋体"/>
                <w:b/>
                <w:szCs w:val="20"/>
              </w:rPr>
            </w:pPr>
            <w:r>
              <w:rPr>
                <w:rFonts w:cs="宋体" w:hint="eastAsia"/>
                <w:b/>
                <w:szCs w:val="20"/>
              </w:rPr>
              <w:t>变更类型</w:t>
            </w:r>
          </w:p>
        </w:tc>
      </w:tr>
      <w:tr w:rsidR="00A052DC" w14:paraId="6174BC16" w14:textId="77777777">
        <w:tc>
          <w:tcPr>
            <w:tcW w:w="2840" w:type="dxa"/>
            <w:shd w:val="clear" w:color="auto" w:fill="auto"/>
            <w:vAlign w:val="center"/>
          </w:tcPr>
          <w:p w14:paraId="653D2DA6" w14:textId="77777777" w:rsidR="00A052DC" w:rsidRDefault="009F0A60">
            <w:pPr>
              <w:pStyle w:val="B"/>
              <w:jc w:val="center"/>
            </w:pPr>
            <w:r>
              <w:t>10</w:t>
            </w:r>
          </w:p>
        </w:tc>
        <w:tc>
          <w:tcPr>
            <w:tcW w:w="2914" w:type="dxa"/>
            <w:shd w:val="clear" w:color="auto" w:fill="auto"/>
            <w:vAlign w:val="center"/>
          </w:tcPr>
          <w:p w14:paraId="770D2FEA" w14:textId="77777777" w:rsidR="00A052DC" w:rsidRDefault="009F0A60">
            <w:pPr>
              <w:pStyle w:val="B"/>
              <w:jc w:val="center"/>
              <w:rPr>
                <w:rFonts w:cs="宋体"/>
                <w:szCs w:val="20"/>
              </w:rPr>
            </w:pPr>
            <w:r>
              <w:rPr>
                <w:rFonts w:cs="宋体" w:hint="eastAsia"/>
                <w:szCs w:val="20"/>
              </w:rPr>
              <w:t>边贸收入</w:t>
            </w:r>
          </w:p>
        </w:tc>
        <w:tc>
          <w:tcPr>
            <w:tcW w:w="2768" w:type="dxa"/>
            <w:vAlign w:val="center"/>
          </w:tcPr>
          <w:p w14:paraId="4FF41274" w14:textId="77777777" w:rsidR="00A052DC" w:rsidRDefault="009F0A60">
            <w:pPr>
              <w:pStyle w:val="B"/>
              <w:jc w:val="center"/>
            </w:pPr>
            <w:r>
              <w:rPr>
                <w:rFonts w:hint="eastAsia"/>
              </w:rPr>
              <w:t>新增</w:t>
            </w:r>
          </w:p>
        </w:tc>
      </w:tr>
      <w:tr w:rsidR="00A052DC" w14:paraId="0642E0EA" w14:textId="77777777">
        <w:tc>
          <w:tcPr>
            <w:tcW w:w="2840" w:type="dxa"/>
            <w:shd w:val="clear" w:color="auto" w:fill="auto"/>
            <w:vAlign w:val="center"/>
          </w:tcPr>
          <w:p w14:paraId="566090ED" w14:textId="77777777" w:rsidR="00A052DC" w:rsidRDefault="009F0A60">
            <w:pPr>
              <w:pStyle w:val="B"/>
              <w:jc w:val="center"/>
            </w:pPr>
            <w:r>
              <w:t>03</w:t>
            </w:r>
          </w:p>
        </w:tc>
        <w:tc>
          <w:tcPr>
            <w:tcW w:w="2914" w:type="dxa"/>
            <w:shd w:val="clear" w:color="auto" w:fill="auto"/>
            <w:vAlign w:val="center"/>
          </w:tcPr>
          <w:p w14:paraId="51A4B461" w14:textId="77777777" w:rsidR="00A052DC" w:rsidRDefault="009F0A60">
            <w:pPr>
              <w:pStyle w:val="B"/>
              <w:jc w:val="left"/>
              <w:rPr>
                <w:rFonts w:cs="宋体"/>
                <w:szCs w:val="20"/>
              </w:rPr>
            </w:pPr>
            <w:r>
              <w:rPr>
                <w:rFonts w:cs="宋体" w:hint="eastAsia"/>
                <w:szCs w:val="20"/>
              </w:rPr>
              <w:t>司法和行政执法等机构的罚没款、暂扣款和专项收缴款</w:t>
            </w:r>
          </w:p>
        </w:tc>
        <w:tc>
          <w:tcPr>
            <w:tcW w:w="2768" w:type="dxa"/>
            <w:vAlign w:val="center"/>
          </w:tcPr>
          <w:p w14:paraId="36A8D6BD" w14:textId="77777777" w:rsidR="00A052DC" w:rsidRDefault="009F0A60">
            <w:pPr>
              <w:pStyle w:val="B"/>
              <w:jc w:val="center"/>
            </w:pPr>
            <w:r>
              <w:rPr>
                <w:rFonts w:hint="eastAsia"/>
              </w:rPr>
              <w:t>修改</w:t>
            </w:r>
          </w:p>
        </w:tc>
      </w:tr>
    </w:tbl>
    <w:p w14:paraId="4EBB12BA" w14:textId="77777777" w:rsidR="00A052DC" w:rsidRDefault="00A052DC"/>
    <w:p w14:paraId="79CA395E" w14:textId="77777777" w:rsidR="00A052DC" w:rsidRDefault="009F0A60" w:rsidP="0020251D">
      <w:pPr>
        <w:pStyle w:val="4"/>
        <w:numPr>
          <w:ilvl w:val="3"/>
          <w:numId w:val="1"/>
        </w:numPr>
        <w:ind w:left="0"/>
        <w:jc w:val="left"/>
      </w:pPr>
      <w:r>
        <w:rPr>
          <w:rFonts w:hint="eastAsia"/>
        </w:rPr>
        <w:lastRenderedPageBreak/>
        <w:t>组织机构代码（主体标识码）相关调整</w:t>
      </w:r>
    </w:p>
    <w:p w14:paraId="5E07B625" w14:textId="77777777" w:rsidR="00A052DC" w:rsidRDefault="009F0A60" w:rsidP="0020251D">
      <w:pPr>
        <w:pStyle w:val="5"/>
      </w:pPr>
      <w:r>
        <w:t>1.4.3.2.1</w:t>
      </w:r>
      <w:r>
        <w:rPr>
          <w:rFonts w:hint="eastAsia"/>
        </w:rPr>
        <w:t>数据定义调整</w:t>
      </w:r>
    </w:p>
    <w:tbl>
      <w:tblPr>
        <w:tblpPr w:leftFromText="180" w:rightFromText="180" w:vertAnchor="text" w:horzAnchor="margin" w:tblpY="17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8"/>
        <w:gridCol w:w="3170"/>
        <w:gridCol w:w="2744"/>
      </w:tblGrid>
      <w:tr w:rsidR="00A052DC" w14:paraId="3BF473D3" w14:textId="77777777">
        <w:tc>
          <w:tcPr>
            <w:tcW w:w="1530" w:type="pct"/>
            <w:shd w:val="clear" w:color="auto" w:fill="BFBFBF" w:themeFill="background1" w:themeFillShade="BF"/>
          </w:tcPr>
          <w:p w14:paraId="68E391F7" w14:textId="77777777" w:rsidR="00A052DC" w:rsidRDefault="009F0A60">
            <w:pPr>
              <w:tabs>
                <w:tab w:val="left" w:pos="420"/>
              </w:tabs>
              <w:spacing w:line="360" w:lineRule="auto"/>
              <w:ind w:left="420" w:hanging="420"/>
              <w:jc w:val="center"/>
              <w:rPr>
                <w:rFonts w:ascii="黑体" w:eastAsia="黑体"/>
                <w:b/>
                <w:sz w:val="20"/>
                <w:szCs w:val="20"/>
              </w:rPr>
            </w:pPr>
            <w:r>
              <w:rPr>
                <w:rFonts w:ascii="黑体" w:eastAsia="黑体" w:hint="eastAsia"/>
                <w:b/>
                <w:sz w:val="20"/>
                <w:szCs w:val="20"/>
              </w:rPr>
              <w:t>数据项</w:t>
            </w:r>
          </w:p>
        </w:tc>
        <w:tc>
          <w:tcPr>
            <w:tcW w:w="1860" w:type="pct"/>
            <w:shd w:val="clear" w:color="auto" w:fill="BFBFBF" w:themeFill="background1" w:themeFillShade="BF"/>
          </w:tcPr>
          <w:p w14:paraId="7D63997A" w14:textId="77777777" w:rsidR="00A052DC" w:rsidRDefault="009F0A60">
            <w:pPr>
              <w:tabs>
                <w:tab w:val="left" w:pos="420"/>
              </w:tabs>
              <w:spacing w:line="360" w:lineRule="auto"/>
              <w:ind w:left="420" w:hanging="420"/>
              <w:jc w:val="center"/>
              <w:rPr>
                <w:rFonts w:ascii="黑体" w:eastAsia="黑体"/>
                <w:b/>
                <w:sz w:val="20"/>
                <w:szCs w:val="20"/>
              </w:rPr>
            </w:pPr>
            <w:r>
              <w:rPr>
                <w:rFonts w:ascii="黑体" w:eastAsia="黑体" w:hint="eastAsia"/>
                <w:b/>
                <w:sz w:val="20"/>
                <w:szCs w:val="20"/>
              </w:rPr>
              <w:t>原定义</w:t>
            </w:r>
          </w:p>
        </w:tc>
        <w:tc>
          <w:tcPr>
            <w:tcW w:w="1610" w:type="pct"/>
            <w:shd w:val="clear" w:color="auto" w:fill="BFBFBF" w:themeFill="background1" w:themeFillShade="BF"/>
          </w:tcPr>
          <w:p w14:paraId="7103DAF9" w14:textId="77777777" w:rsidR="00A052DC" w:rsidRDefault="009F0A60">
            <w:pPr>
              <w:tabs>
                <w:tab w:val="left" w:pos="420"/>
              </w:tabs>
              <w:spacing w:line="360" w:lineRule="auto"/>
              <w:ind w:left="420" w:hanging="420"/>
              <w:jc w:val="center"/>
              <w:rPr>
                <w:rFonts w:ascii="黑体" w:eastAsia="黑体"/>
                <w:b/>
                <w:sz w:val="20"/>
                <w:szCs w:val="20"/>
              </w:rPr>
            </w:pPr>
            <w:r>
              <w:rPr>
                <w:rFonts w:ascii="黑体" w:eastAsia="黑体" w:hint="eastAsia"/>
                <w:b/>
                <w:sz w:val="20"/>
                <w:szCs w:val="20"/>
              </w:rPr>
              <w:t>新定义</w:t>
            </w:r>
          </w:p>
        </w:tc>
      </w:tr>
      <w:tr w:rsidR="00A052DC" w14:paraId="580AB6E3" w14:textId="77777777">
        <w:tc>
          <w:tcPr>
            <w:tcW w:w="1530" w:type="pct"/>
            <w:vAlign w:val="center"/>
          </w:tcPr>
          <w:p w14:paraId="2C0C38C0" w14:textId="77777777" w:rsidR="00A052DC" w:rsidRDefault="009F0A60">
            <w:pPr>
              <w:pStyle w:val="B"/>
            </w:pPr>
            <w:r>
              <w:rPr>
                <w:rFonts w:hint="eastAsia"/>
              </w:rPr>
              <w:t>组织机构代码（单位代码、主体标识码）</w:t>
            </w:r>
          </w:p>
        </w:tc>
        <w:tc>
          <w:tcPr>
            <w:tcW w:w="1860" w:type="pct"/>
            <w:vAlign w:val="center"/>
          </w:tcPr>
          <w:p w14:paraId="6BE9E215" w14:textId="77777777" w:rsidR="00A052DC" w:rsidRDefault="009F0A60">
            <w:pPr>
              <w:pStyle w:val="B"/>
            </w:pPr>
            <w:r>
              <w:rPr>
                <w:rFonts w:hint="eastAsia"/>
              </w:rPr>
              <w:t>指统一社会信用代码法定载体（如营业执照）上的统一社会信用代码中的</w:t>
            </w:r>
            <w:r>
              <w:t>9位组织机构代码或国家外汇管理局及其分支局签发的特殊机构代码赋码通知书上的机构代码。</w:t>
            </w:r>
          </w:p>
        </w:tc>
        <w:tc>
          <w:tcPr>
            <w:tcW w:w="1610" w:type="pct"/>
            <w:vAlign w:val="center"/>
          </w:tcPr>
          <w:p w14:paraId="069332A6" w14:textId="77777777" w:rsidR="00A052DC" w:rsidRDefault="009F0A60">
            <w:pPr>
              <w:pStyle w:val="B"/>
            </w:pPr>
            <w:r>
              <w:rPr>
                <w:rFonts w:hint="eastAsia"/>
              </w:rPr>
              <w:t>指统一社会信用代码法定载体（如营业执照）上统一社会信用代码中的第</w:t>
            </w:r>
            <w:r>
              <w:t>9至17位或国家外汇管理局及其分支局签发的特殊机构代码赋码通知书上的机构代码。</w:t>
            </w:r>
          </w:p>
        </w:tc>
      </w:tr>
    </w:tbl>
    <w:p w14:paraId="2E16FF3A" w14:textId="77777777" w:rsidR="00A052DC" w:rsidRDefault="009F0A60">
      <w:pPr>
        <w:pStyle w:val="5"/>
      </w:pPr>
      <w:r>
        <w:t>1.4.3.2.2</w:t>
      </w:r>
      <w:r>
        <w:rPr>
          <w:rFonts w:hint="eastAsia"/>
        </w:rPr>
        <w:t>校验规则调整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417"/>
        <w:gridCol w:w="3119"/>
        <w:gridCol w:w="2885"/>
      </w:tblGrid>
      <w:tr w:rsidR="00A052DC" w14:paraId="3C850291" w14:textId="77777777">
        <w:tc>
          <w:tcPr>
            <w:tcW w:w="1101" w:type="dxa"/>
            <w:shd w:val="clear" w:color="auto" w:fill="BFBFBF" w:themeFill="background1" w:themeFillShade="BF"/>
          </w:tcPr>
          <w:p w14:paraId="434A28F7" w14:textId="77777777" w:rsidR="00A052DC" w:rsidRDefault="009F0A60">
            <w:pPr>
              <w:tabs>
                <w:tab w:val="left" w:pos="420"/>
              </w:tabs>
              <w:spacing w:line="360" w:lineRule="auto"/>
              <w:ind w:left="420" w:hanging="420"/>
              <w:jc w:val="center"/>
              <w:rPr>
                <w:rFonts w:ascii="黑体" w:eastAsia="黑体"/>
                <w:b/>
                <w:sz w:val="20"/>
                <w:szCs w:val="20"/>
              </w:rPr>
            </w:pPr>
            <w:r>
              <w:rPr>
                <w:rFonts w:ascii="黑体" w:eastAsia="黑体" w:hint="eastAsia"/>
                <w:b/>
                <w:sz w:val="20"/>
                <w:szCs w:val="20"/>
              </w:rPr>
              <w:t>表名</w:t>
            </w:r>
          </w:p>
        </w:tc>
        <w:tc>
          <w:tcPr>
            <w:tcW w:w="1417" w:type="dxa"/>
            <w:shd w:val="clear" w:color="auto" w:fill="BFBFBF" w:themeFill="background1" w:themeFillShade="BF"/>
          </w:tcPr>
          <w:p w14:paraId="0F125DDB" w14:textId="77777777" w:rsidR="00A052DC" w:rsidRDefault="009F0A60">
            <w:pPr>
              <w:tabs>
                <w:tab w:val="left" w:pos="420"/>
              </w:tabs>
              <w:spacing w:line="360" w:lineRule="auto"/>
              <w:ind w:left="420" w:hanging="420"/>
              <w:jc w:val="center"/>
              <w:rPr>
                <w:rFonts w:eastAsia="黑体"/>
                <w:b/>
                <w:sz w:val="20"/>
                <w:szCs w:val="20"/>
              </w:rPr>
            </w:pPr>
            <w:r>
              <w:rPr>
                <w:rFonts w:ascii="黑体" w:eastAsia="黑体" w:hint="eastAsia"/>
                <w:b/>
                <w:sz w:val="20"/>
                <w:szCs w:val="20"/>
              </w:rPr>
              <w:t>数据项</w:t>
            </w:r>
          </w:p>
        </w:tc>
        <w:tc>
          <w:tcPr>
            <w:tcW w:w="3119" w:type="dxa"/>
            <w:shd w:val="clear" w:color="auto" w:fill="BFBFBF" w:themeFill="background1" w:themeFillShade="BF"/>
          </w:tcPr>
          <w:p w14:paraId="4EA75108" w14:textId="77777777" w:rsidR="00A052DC" w:rsidRDefault="009F0A60">
            <w:pPr>
              <w:tabs>
                <w:tab w:val="left" w:pos="420"/>
              </w:tabs>
              <w:spacing w:line="360" w:lineRule="auto"/>
              <w:ind w:left="420" w:hanging="420"/>
              <w:jc w:val="center"/>
              <w:rPr>
                <w:rFonts w:eastAsia="黑体"/>
                <w:b/>
                <w:sz w:val="20"/>
                <w:szCs w:val="20"/>
              </w:rPr>
            </w:pPr>
            <w:r>
              <w:rPr>
                <w:rFonts w:ascii="黑体" w:eastAsia="黑体" w:hint="eastAsia"/>
                <w:b/>
                <w:sz w:val="20"/>
                <w:szCs w:val="20"/>
              </w:rPr>
              <w:t>原校验规则</w:t>
            </w:r>
          </w:p>
        </w:tc>
        <w:tc>
          <w:tcPr>
            <w:tcW w:w="2885" w:type="dxa"/>
            <w:shd w:val="clear" w:color="auto" w:fill="BFBFBF" w:themeFill="background1" w:themeFillShade="BF"/>
          </w:tcPr>
          <w:p w14:paraId="03DC7BC6" w14:textId="77777777" w:rsidR="00A052DC" w:rsidRDefault="009F0A60">
            <w:pPr>
              <w:tabs>
                <w:tab w:val="left" w:pos="420"/>
              </w:tabs>
              <w:spacing w:line="360" w:lineRule="auto"/>
              <w:ind w:left="420" w:hanging="420"/>
              <w:jc w:val="center"/>
              <w:rPr>
                <w:rFonts w:eastAsia="黑体"/>
                <w:b/>
                <w:sz w:val="20"/>
                <w:szCs w:val="20"/>
              </w:rPr>
            </w:pPr>
            <w:r>
              <w:rPr>
                <w:rFonts w:ascii="黑体" w:eastAsia="黑体" w:hint="eastAsia"/>
                <w:b/>
                <w:sz w:val="20"/>
                <w:szCs w:val="20"/>
              </w:rPr>
              <w:t>新校验规则</w:t>
            </w:r>
          </w:p>
        </w:tc>
      </w:tr>
      <w:tr w:rsidR="00A052DC" w14:paraId="2E73EA58" w14:textId="77777777">
        <w:tc>
          <w:tcPr>
            <w:tcW w:w="1101" w:type="dxa"/>
            <w:vAlign w:val="center"/>
          </w:tcPr>
          <w:p w14:paraId="55C051E3" w14:textId="77777777" w:rsidR="00A052DC" w:rsidRDefault="009F0A60">
            <w:pPr>
              <w:rPr>
                <w:rFonts w:ascii="黑体" w:eastAsia="黑体"/>
                <w:sz w:val="20"/>
                <w:szCs w:val="20"/>
              </w:rPr>
            </w:pPr>
            <w:r>
              <w:rPr>
                <w:rFonts w:ascii="黑体" w:eastAsia="黑体" w:hint="eastAsia"/>
                <w:sz w:val="20"/>
                <w:szCs w:val="20"/>
              </w:rPr>
              <w:t>所有表</w:t>
            </w:r>
          </w:p>
        </w:tc>
        <w:tc>
          <w:tcPr>
            <w:tcW w:w="1417" w:type="dxa"/>
            <w:vAlign w:val="center"/>
          </w:tcPr>
          <w:p w14:paraId="4E1249CE" w14:textId="77777777" w:rsidR="00A052DC" w:rsidRDefault="009F0A60">
            <w:pPr>
              <w:rPr>
                <w:rFonts w:ascii="黑体" w:eastAsia="黑体"/>
                <w:sz w:val="20"/>
                <w:szCs w:val="20"/>
              </w:rPr>
            </w:pPr>
            <w:r>
              <w:rPr>
                <w:rFonts w:ascii="黑体" w:eastAsia="黑体" w:hint="eastAsia"/>
                <w:sz w:val="20"/>
                <w:szCs w:val="20"/>
              </w:rPr>
              <w:t>组织机构代码（单位代码、主体标识码）</w:t>
            </w:r>
          </w:p>
        </w:tc>
        <w:tc>
          <w:tcPr>
            <w:tcW w:w="3119" w:type="dxa"/>
            <w:vAlign w:val="center"/>
          </w:tcPr>
          <w:p w14:paraId="2EA64398" w14:textId="77777777" w:rsidR="00A052DC" w:rsidRDefault="009D0FD2">
            <w:pPr>
              <w:rPr>
                <w:rFonts w:ascii="黑体" w:eastAsia="黑体" w:hAnsi="黑体"/>
                <w:sz w:val="20"/>
                <w:szCs w:val="20"/>
              </w:rPr>
            </w:pPr>
            <w:r>
              <w:rPr>
                <w:rFonts w:ascii="黑体" w:eastAsia="黑体" w:hAnsi="黑体" w:hint="eastAsia"/>
                <w:sz w:val="20"/>
                <w:szCs w:val="20"/>
              </w:rPr>
              <w:t>……</w:t>
            </w:r>
          </w:p>
          <w:p w14:paraId="3B7BFD4E" w14:textId="77777777" w:rsidR="00A052DC" w:rsidRDefault="009F0A60">
            <w:pPr>
              <w:rPr>
                <w:rFonts w:ascii="黑体" w:eastAsia="黑体" w:hAnsi="黑体"/>
                <w:sz w:val="20"/>
                <w:szCs w:val="20"/>
              </w:rPr>
            </w:pPr>
            <w:r>
              <w:rPr>
                <w:rFonts w:ascii="黑体" w:eastAsia="黑体" w:hAnsi="黑体" w:hint="eastAsia"/>
                <w:sz w:val="20"/>
                <w:szCs w:val="20"/>
              </w:rPr>
              <w:t>指统一社会信用代码法定载体（如营业执照）上的统一社会信用代码中的</w:t>
            </w:r>
            <w:r>
              <w:rPr>
                <w:rFonts w:ascii="黑体" w:eastAsia="黑体" w:hAnsi="黑体"/>
                <w:sz w:val="20"/>
                <w:szCs w:val="20"/>
              </w:rPr>
              <w:t>9位组织机构代码或国家外汇管理局及其分支局签发的特殊机构代码赋码通知书上的机构代</w:t>
            </w:r>
            <w:r>
              <w:rPr>
                <w:rFonts w:ascii="黑体" w:eastAsia="黑体" w:hAnsi="黑体" w:hint="eastAsia"/>
                <w:sz w:val="20"/>
                <w:szCs w:val="20"/>
              </w:rPr>
              <w:t>码。</w:t>
            </w:r>
          </w:p>
          <w:p w14:paraId="1EB16012" w14:textId="77777777" w:rsidR="00A052DC" w:rsidRDefault="009F0A60">
            <w:pPr>
              <w:rPr>
                <w:rFonts w:ascii="黑体" w:eastAsia="黑体"/>
                <w:sz w:val="20"/>
                <w:szCs w:val="20"/>
              </w:rPr>
            </w:pPr>
            <w:r>
              <w:rPr>
                <w:rFonts w:ascii="黑体" w:eastAsia="黑体" w:hAnsi="黑体" w:hint="eastAsia"/>
                <w:sz w:val="20"/>
                <w:szCs w:val="20"/>
              </w:rPr>
              <w:t>按统一社会信用代码中的</w:t>
            </w:r>
            <w:r>
              <w:rPr>
                <w:rFonts w:ascii="黑体" w:eastAsia="黑体" w:hAnsi="黑体"/>
                <w:sz w:val="20"/>
                <w:szCs w:val="20"/>
              </w:rPr>
              <w:t>9位组织机构代码或特殊机构赋码编制规则进行校验，字段长度仍预留18位。</w:t>
            </w:r>
          </w:p>
        </w:tc>
        <w:tc>
          <w:tcPr>
            <w:tcW w:w="2885" w:type="dxa"/>
            <w:vAlign w:val="center"/>
          </w:tcPr>
          <w:p w14:paraId="15BF5800" w14:textId="77777777" w:rsidR="00A052DC" w:rsidRDefault="009D0FD2">
            <w:pPr>
              <w:rPr>
                <w:rFonts w:ascii="黑体" w:eastAsia="黑体" w:hAnsi="黑体"/>
                <w:sz w:val="20"/>
                <w:szCs w:val="20"/>
              </w:rPr>
            </w:pPr>
            <w:r>
              <w:rPr>
                <w:rFonts w:ascii="黑体" w:eastAsia="黑体" w:hAnsi="黑体" w:hint="eastAsia"/>
                <w:sz w:val="20"/>
                <w:szCs w:val="20"/>
              </w:rPr>
              <w:t>……</w:t>
            </w:r>
          </w:p>
          <w:p w14:paraId="689FBA16" w14:textId="77777777" w:rsidR="00A052DC" w:rsidRDefault="009F0A60">
            <w:pPr>
              <w:rPr>
                <w:rFonts w:ascii="黑体" w:eastAsia="黑体" w:hAnsi="黑体"/>
                <w:sz w:val="20"/>
                <w:szCs w:val="20"/>
              </w:rPr>
            </w:pPr>
            <w:r>
              <w:rPr>
                <w:rFonts w:ascii="黑体" w:eastAsia="黑体" w:hAnsi="黑体" w:hint="eastAsia"/>
                <w:sz w:val="20"/>
                <w:szCs w:val="20"/>
              </w:rPr>
              <w:t>指统一社会信用代码法定载体（如营业执照）上统一社会信用代码中的第</w:t>
            </w:r>
            <w:r>
              <w:rPr>
                <w:rFonts w:ascii="黑体" w:eastAsia="黑体" w:hAnsi="黑体"/>
                <w:sz w:val="20"/>
                <w:szCs w:val="20"/>
              </w:rPr>
              <w:t>9至17位或国家外汇管理局及其分支局签发的特殊机构代码赋码通知书上的</w:t>
            </w:r>
            <w:r>
              <w:rPr>
                <w:rFonts w:ascii="黑体" w:eastAsia="黑体" w:hAnsi="黑体" w:hint="eastAsia"/>
                <w:sz w:val="20"/>
                <w:szCs w:val="20"/>
              </w:rPr>
              <w:t>机构代码。</w:t>
            </w:r>
          </w:p>
          <w:p w14:paraId="52B2BFC6" w14:textId="77777777" w:rsidR="00A052DC" w:rsidRDefault="009F0A60">
            <w:pPr>
              <w:rPr>
                <w:rFonts w:ascii="黑体" w:eastAsia="黑体"/>
                <w:sz w:val="20"/>
                <w:szCs w:val="20"/>
              </w:rPr>
            </w:pPr>
            <w:r>
              <w:rPr>
                <w:rFonts w:ascii="黑体" w:eastAsia="黑体" w:hAnsi="黑体" w:hint="eastAsia"/>
                <w:sz w:val="20"/>
                <w:szCs w:val="20"/>
              </w:rPr>
              <w:t>按统一社会信用代码中的9</w:t>
            </w:r>
            <w:r>
              <w:rPr>
                <w:rFonts w:ascii="黑体" w:eastAsia="黑体" w:hAnsi="黑体"/>
                <w:sz w:val="20"/>
                <w:szCs w:val="20"/>
              </w:rPr>
              <w:t>位</w:t>
            </w:r>
            <w:r>
              <w:rPr>
                <w:rFonts w:ascii="黑体" w:eastAsia="黑体" w:hint="eastAsia"/>
                <w:sz w:val="20"/>
                <w:szCs w:val="20"/>
              </w:rPr>
              <w:t>主体标识码（组织机构代码）</w:t>
            </w:r>
            <w:r>
              <w:rPr>
                <w:rFonts w:ascii="黑体" w:eastAsia="黑体" w:hAnsi="黑体"/>
                <w:sz w:val="20"/>
                <w:szCs w:val="20"/>
              </w:rPr>
              <w:t>或特殊机构赋码编制规则进行校验，字段长度仍预留18位。</w:t>
            </w:r>
          </w:p>
        </w:tc>
      </w:tr>
    </w:tbl>
    <w:p w14:paraId="2FF1FC86" w14:textId="77777777" w:rsidR="00A052DC" w:rsidRDefault="00A052DC">
      <w:pPr>
        <w:rPr>
          <w:rStyle w:val="afff3"/>
        </w:rPr>
      </w:pPr>
    </w:p>
    <w:p w14:paraId="71717040" w14:textId="77777777" w:rsidR="00A052DC" w:rsidRDefault="009F0A60">
      <w:pPr>
        <w:spacing w:line="360" w:lineRule="auto"/>
        <w:ind w:firstLineChars="200" w:firstLine="480"/>
        <w:rPr>
          <w:rFonts w:ascii="宋体" w:hAnsi="宋体"/>
          <w:sz w:val="24"/>
          <w:szCs w:val="24"/>
        </w:rPr>
      </w:pPr>
      <w:r>
        <w:rPr>
          <w:rFonts w:ascii="宋体" w:hAnsi="宋体" w:hint="eastAsia"/>
          <w:sz w:val="24"/>
          <w:szCs w:val="24"/>
        </w:rPr>
        <w:t>说明：其他数据项（如开户主体代码、结汇申请人组织机构代码、购汇申请人组织机构代码、申请人代码、开证申请人代码、受益人代码、被担保人代码、担保申请人代码、债务人代码、开户境内代理机构代码等）中如涉及“组织机构代码”（主体标识码），参照上述定义和校验规则修改。</w:t>
      </w:r>
    </w:p>
    <w:p w14:paraId="27EC43B5" w14:textId="77777777" w:rsidR="00A052DC" w:rsidRDefault="009F0A60">
      <w:pPr>
        <w:spacing w:line="360" w:lineRule="auto"/>
        <w:ind w:firstLineChars="200" w:firstLine="480"/>
        <w:rPr>
          <w:rFonts w:ascii="宋体" w:hAnsi="宋体"/>
          <w:sz w:val="24"/>
          <w:szCs w:val="24"/>
        </w:rPr>
      </w:pPr>
      <w:r>
        <w:rPr>
          <w:rFonts w:ascii="宋体" w:hAnsi="宋体" w:hint="eastAsia"/>
          <w:sz w:val="24"/>
          <w:szCs w:val="24"/>
        </w:rPr>
        <w:t>此外，由于三证合一后不再发放组织机构代码证，对组织机构代码证相关描述进行修改。</w:t>
      </w:r>
    </w:p>
    <w:p w14:paraId="2DEE455B" w14:textId="77777777" w:rsidR="00A052DC" w:rsidRDefault="009F0A60" w:rsidP="0020251D">
      <w:pPr>
        <w:pStyle w:val="4"/>
        <w:numPr>
          <w:ilvl w:val="3"/>
          <w:numId w:val="1"/>
        </w:numPr>
        <w:jc w:val="left"/>
      </w:pPr>
      <w:r>
        <w:rPr>
          <w:rFonts w:hint="eastAsia"/>
        </w:rPr>
        <w:lastRenderedPageBreak/>
        <w:t>外汇局批件号</w:t>
      </w:r>
      <w:r>
        <w:t>/</w:t>
      </w:r>
      <w:r>
        <w:rPr>
          <w:rFonts w:hint="eastAsia"/>
        </w:rPr>
        <w:t>备案表号</w:t>
      </w:r>
      <w:r>
        <w:t>/</w:t>
      </w:r>
      <w:r>
        <w:rPr>
          <w:rFonts w:hint="eastAsia"/>
        </w:rPr>
        <w:t>业务编号调整</w:t>
      </w:r>
    </w:p>
    <w:p w14:paraId="28E77C4B" w14:textId="77777777" w:rsidR="00A052DC" w:rsidRPr="00091D09" w:rsidRDefault="00A412F6">
      <w:pPr>
        <w:spacing w:line="360" w:lineRule="auto"/>
        <w:ind w:firstLineChars="200" w:firstLine="480"/>
        <w:rPr>
          <w:rFonts w:ascii="Times New Roman" w:hAnsi="Times New Roman"/>
          <w:sz w:val="24"/>
          <w:szCs w:val="24"/>
        </w:rPr>
      </w:pPr>
      <w:r w:rsidRPr="00A412F6">
        <w:rPr>
          <w:rFonts w:ascii="Times New Roman" w:hAnsi="Times New Roman" w:hint="eastAsia"/>
          <w:sz w:val="24"/>
          <w:szCs w:val="24"/>
        </w:rPr>
        <w:t>第六章涉外收支、境内划转、账户内结售汇、外汇账户数据等接口格式中涉及的“外汇局批件号</w:t>
      </w:r>
      <w:r w:rsidRPr="00A412F6">
        <w:rPr>
          <w:rFonts w:ascii="Times New Roman" w:hAnsi="Times New Roman"/>
          <w:sz w:val="24"/>
          <w:szCs w:val="24"/>
        </w:rPr>
        <w:t>/</w:t>
      </w:r>
      <w:r w:rsidRPr="00A412F6">
        <w:rPr>
          <w:rFonts w:ascii="Times New Roman" w:hAnsi="Times New Roman"/>
          <w:sz w:val="24"/>
          <w:szCs w:val="24"/>
        </w:rPr>
        <w:t>备案表号</w:t>
      </w:r>
      <w:r w:rsidRPr="00A412F6">
        <w:rPr>
          <w:rFonts w:ascii="Times New Roman" w:hAnsi="Times New Roman"/>
          <w:sz w:val="24"/>
          <w:szCs w:val="24"/>
        </w:rPr>
        <w:t>/</w:t>
      </w:r>
      <w:r w:rsidRPr="00A412F6">
        <w:rPr>
          <w:rFonts w:ascii="Times New Roman" w:hAnsi="Times New Roman"/>
          <w:sz w:val="24"/>
          <w:szCs w:val="24"/>
        </w:rPr>
        <w:t>业务编号</w:t>
      </w:r>
      <w:r w:rsidRPr="00A412F6">
        <w:rPr>
          <w:rFonts w:ascii="Times New Roman" w:hAnsi="Times New Roman"/>
          <w:sz w:val="24"/>
          <w:szCs w:val="24"/>
        </w:rPr>
        <w:t>”</w:t>
      </w:r>
      <w:r w:rsidRPr="00A412F6">
        <w:rPr>
          <w:rFonts w:ascii="Times New Roman" w:hAnsi="Times New Roman"/>
          <w:sz w:val="24"/>
          <w:szCs w:val="24"/>
        </w:rPr>
        <w:t>校验规则，</w:t>
      </w:r>
      <w:r w:rsidRPr="00A412F6">
        <w:rPr>
          <w:rFonts w:ascii="Times New Roman" w:hAnsi="Times New Roman" w:hint="eastAsia"/>
          <w:sz w:val="24"/>
          <w:szCs w:val="24"/>
        </w:rPr>
        <w:t>及涉外收支中“外汇局批件号</w:t>
      </w:r>
      <w:r w:rsidRPr="00A412F6">
        <w:rPr>
          <w:rFonts w:ascii="Times New Roman" w:hAnsi="Times New Roman"/>
          <w:sz w:val="24"/>
          <w:szCs w:val="24"/>
        </w:rPr>
        <w:t>/</w:t>
      </w:r>
      <w:r w:rsidRPr="00A412F6">
        <w:rPr>
          <w:rFonts w:ascii="Times New Roman" w:hAnsi="Times New Roman" w:hint="eastAsia"/>
          <w:sz w:val="24"/>
          <w:szCs w:val="24"/>
        </w:rPr>
        <w:t>备案表号</w:t>
      </w:r>
      <w:r w:rsidRPr="00A412F6">
        <w:rPr>
          <w:rFonts w:ascii="Times New Roman" w:hAnsi="Times New Roman"/>
          <w:sz w:val="24"/>
          <w:szCs w:val="24"/>
        </w:rPr>
        <w:t>/</w:t>
      </w:r>
      <w:r w:rsidRPr="00A412F6">
        <w:rPr>
          <w:rFonts w:ascii="Times New Roman" w:hAnsi="Times New Roman" w:hint="eastAsia"/>
          <w:sz w:val="24"/>
          <w:szCs w:val="24"/>
        </w:rPr>
        <w:t>业务编号”的数据术语解释，</w:t>
      </w:r>
      <w:r w:rsidRPr="00A412F6">
        <w:rPr>
          <w:rFonts w:ascii="Times New Roman" w:hAnsi="Times New Roman"/>
          <w:sz w:val="24"/>
          <w:szCs w:val="24"/>
        </w:rPr>
        <w:t>均按以下内容修改。其中《银行资本项目下数据报送参考规则》文档，金融机构可在银行信息门户网（网址：</w:t>
      </w:r>
      <w:r w:rsidRPr="00A412F6">
        <w:rPr>
          <w:rFonts w:ascii="Times New Roman" w:hAnsi="Times New Roman"/>
          <w:sz w:val="24"/>
          <w:szCs w:val="24"/>
        </w:rPr>
        <w:t>http://banksvc.safe</w:t>
      </w:r>
      <w:r w:rsidRPr="00A412F6">
        <w:rPr>
          <w:rFonts w:ascii="Times New Roman" w:hAnsi="Times New Roman"/>
          <w:sz w:val="24"/>
          <w:szCs w:val="24"/>
        </w:rPr>
        <w:t>）</w:t>
      </w:r>
      <w:r w:rsidR="00091D09">
        <w:rPr>
          <w:rFonts w:ascii="Times New Roman" w:hAnsi="Times New Roman" w:hint="eastAsia"/>
          <w:sz w:val="24"/>
          <w:szCs w:val="24"/>
        </w:rPr>
        <w:t>-</w:t>
      </w:r>
      <w:r w:rsidRPr="00A412F6">
        <w:rPr>
          <w:rFonts w:ascii="Times New Roman" w:hAnsi="Times New Roman"/>
          <w:sz w:val="24"/>
          <w:szCs w:val="24"/>
        </w:rPr>
        <w:t>“</w:t>
      </w:r>
      <w:r w:rsidRPr="00A412F6">
        <w:rPr>
          <w:rFonts w:ascii="Times New Roman" w:hAnsi="Times New Roman"/>
          <w:sz w:val="24"/>
          <w:szCs w:val="24"/>
        </w:rPr>
        <w:t>资料下载</w:t>
      </w:r>
      <w:r w:rsidRPr="00A412F6">
        <w:rPr>
          <w:rFonts w:ascii="Times New Roman" w:hAnsi="Times New Roman"/>
          <w:sz w:val="24"/>
          <w:szCs w:val="24"/>
        </w:rPr>
        <w:t>”-“</w:t>
      </w:r>
      <w:r w:rsidRPr="00A412F6">
        <w:rPr>
          <w:rFonts w:ascii="Times New Roman" w:hAnsi="Times New Roman"/>
          <w:sz w:val="24"/>
          <w:szCs w:val="24"/>
        </w:rPr>
        <w:t>信息系统使用说明</w:t>
      </w:r>
      <w:r w:rsidRPr="00A412F6">
        <w:rPr>
          <w:rFonts w:ascii="Times New Roman" w:hAnsi="Times New Roman"/>
          <w:sz w:val="24"/>
          <w:szCs w:val="24"/>
        </w:rPr>
        <w:t>”</w:t>
      </w:r>
      <w:r w:rsidRPr="00A412F6">
        <w:rPr>
          <w:rFonts w:ascii="Times New Roman" w:hAnsi="Times New Roman"/>
          <w:sz w:val="24"/>
          <w:szCs w:val="24"/>
        </w:rPr>
        <w:t>栏目下载最新版。</w:t>
      </w:r>
    </w:p>
    <w:p w14:paraId="5398009E" w14:textId="77777777" w:rsidR="00A052DC" w:rsidRDefault="009F0A60" w:rsidP="0020251D">
      <w:pPr>
        <w:pStyle w:val="5"/>
      </w:pPr>
      <w:r>
        <w:t>1.4.3.3.1</w:t>
      </w:r>
      <w:r>
        <w:rPr>
          <w:rFonts w:hint="eastAsia"/>
        </w:rPr>
        <w:t>涉外收支数据定义调整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4"/>
        <w:gridCol w:w="3164"/>
        <w:gridCol w:w="3544"/>
      </w:tblGrid>
      <w:tr w:rsidR="00A052DC" w14:paraId="2A63CFEC" w14:textId="77777777">
        <w:trPr>
          <w:trHeight w:val="365"/>
        </w:trPr>
        <w:tc>
          <w:tcPr>
            <w:tcW w:w="1763" w:type="dxa"/>
            <w:shd w:val="clear" w:color="auto" w:fill="BFBFBF" w:themeFill="background1" w:themeFillShade="BF"/>
          </w:tcPr>
          <w:p w14:paraId="095C9028" w14:textId="77777777" w:rsidR="00A052DC" w:rsidRDefault="009F0A60">
            <w:pPr>
              <w:tabs>
                <w:tab w:val="left" w:pos="420"/>
              </w:tabs>
              <w:spacing w:line="360" w:lineRule="auto"/>
              <w:ind w:left="420" w:hanging="420"/>
              <w:jc w:val="center"/>
              <w:rPr>
                <w:rFonts w:eastAsia="黑体"/>
                <w:b/>
                <w:sz w:val="20"/>
                <w:szCs w:val="20"/>
              </w:rPr>
            </w:pPr>
            <w:r>
              <w:rPr>
                <w:rFonts w:ascii="黑体" w:eastAsia="黑体" w:hint="eastAsia"/>
                <w:b/>
                <w:sz w:val="20"/>
                <w:szCs w:val="20"/>
              </w:rPr>
              <w:t>数据项</w:t>
            </w:r>
          </w:p>
        </w:tc>
        <w:tc>
          <w:tcPr>
            <w:tcW w:w="1763" w:type="dxa"/>
            <w:shd w:val="clear" w:color="auto" w:fill="BFBFBF" w:themeFill="background1" w:themeFillShade="BF"/>
          </w:tcPr>
          <w:p w14:paraId="3F131171" w14:textId="77777777" w:rsidR="00A052DC" w:rsidRDefault="009F0A60">
            <w:pPr>
              <w:tabs>
                <w:tab w:val="left" w:pos="420"/>
              </w:tabs>
              <w:spacing w:line="360" w:lineRule="auto"/>
              <w:ind w:left="420" w:hanging="420"/>
              <w:jc w:val="center"/>
              <w:rPr>
                <w:rFonts w:eastAsia="黑体"/>
                <w:b/>
                <w:sz w:val="20"/>
                <w:szCs w:val="20"/>
              </w:rPr>
            </w:pPr>
            <w:r>
              <w:rPr>
                <w:rFonts w:ascii="黑体" w:eastAsia="黑体" w:hint="eastAsia"/>
                <w:b/>
                <w:sz w:val="20"/>
                <w:szCs w:val="20"/>
              </w:rPr>
              <w:t>原校验规则</w:t>
            </w:r>
          </w:p>
        </w:tc>
        <w:tc>
          <w:tcPr>
            <w:tcW w:w="1763" w:type="dxa"/>
            <w:shd w:val="clear" w:color="auto" w:fill="BFBFBF" w:themeFill="background1" w:themeFillShade="BF"/>
          </w:tcPr>
          <w:p w14:paraId="5990FDC2" w14:textId="77777777" w:rsidR="00A052DC" w:rsidRDefault="009F0A60">
            <w:pPr>
              <w:tabs>
                <w:tab w:val="left" w:pos="420"/>
              </w:tabs>
              <w:spacing w:line="360" w:lineRule="auto"/>
              <w:ind w:left="420" w:hanging="420"/>
              <w:jc w:val="center"/>
              <w:rPr>
                <w:rFonts w:eastAsia="黑体"/>
                <w:b/>
                <w:sz w:val="20"/>
                <w:szCs w:val="20"/>
              </w:rPr>
            </w:pPr>
            <w:r>
              <w:rPr>
                <w:rFonts w:ascii="黑体" w:eastAsia="黑体" w:hint="eastAsia"/>
                <w:b/>
                <w:sz w:val="20"/>
                <w:szCs w:val="20"/>
              </w:rPr>
              <w:t>新校验规则</w:t>
            </w:r>
          </w:p>
        </w:tc>
      </w:tr>
      <w:tr w:rsidR="00A052DC" w14:paraId="740C7A42" w14:textId="77777777">
        <w:tc>
          <w:tcPr>
            <w:tcW w:w="1764" w:type="dxa"/>
            <w:vAlign w:val="center"/>
          </w:tcPr>
          <w:p w14:paraId="522C5F69" w14:textId="77777777" w:rsidR="00A052DC" w:rsidRDefault="009F0A60">
            <w:pPr>
              <w:rPr>
                <w:rFonts w:ascii="黑体" w:eastAsia="黑体"/>
                <w:sz w:val="20"/>
                <w:szCs w:val="20"/>
              </w:rPr>
            </w:pPr>
            <w:r>
              <w:rPr>
                <w:rFonts w:ascii="黑体" w:eastAsia="黑体" w:hint="eastAsia"/>
                <w:sz w:val="20"/>
                <w:szCs w:val="20"/>
              </w:rPr>
              <w:t>外汇局批件号/备案表号/业务编号</w:t>
            </w:r>
          </w:p>
        </w:tc>
        <w:tc>
          <w:tcPr>
            <w:tcW w:w="3164" w:type="dxa"/>
            <w:vAlign w:val="center"/>
          </w:tcPr>
          <w:p w14:paraId="0B550E59" w14:textId="77777777" w:rsidR="00A052DC" w:rsidRDefault="009F0A60">
            <w:pPr>
              <w:rPr>
                <w:rFonts w:ascii="黑体" w:eastAsia="黑体"/>
                <w:sz w:val="20"/>
                <w:szCs w:val="20"/>
              </w:rPr>
            </w:pPr>
            <w:r>
              <w:rPr>
                <w:rFonts w:ascii="黑体" w:eastAsia="黑体" w:hint="eastAsia"/>
                <w:sz w:val="20"/>
                <w:szCs w:val="20"/>
              </w:rPr>
              <w:t>根据本笔收入/汇款/付款所涉及的外汇局批件号、备案表号、业务编号进行填写。如果本笔收入/汇款/付款涉及外汇局核准件，则优先填写该核准件编号。交易编码以“3”、“5”、“6”、“7”、“8”和部分“2”、“9”开头或涉及账户性质为资本项目性质账户的，“外汇局批件号/备案表号/业务编号”为必填项，如果确实没有对应的“外汇局批件号/备案表号/业务编号”，应填写“N/A”（大写英文字符）。</w:t>
            </w:r>
          </w:p>
        </w:tc>
        <w:tc>
          <w:tcPr>
            <w:tcW w:w="3544" w:type="dxa"/>
            <w:vAlign w:val="center"/>
          </w:tcPr>
          <w:p w14:paraId="59141F95" w14:textId="77777777" w:rsidR="00A052DC" w:rsidRDefault="009F0A60">
            <w:pPr>
              <w:rPr>
                <w:rFonts w:ascii="黑体" w:eastAsia="黑体"/>
                <w:sz w:val="20"/>
                <w:szCs w:val="20"/>
              </w:rPr>
            </w:pPr>
            <w:r>
              <w:rPr>
                <w:rFonts w:ascii="黑体" w:eastAsia="黑体" w:hint="eastAsia"/>
                <w:sz w:val="20"/>
                <w:szCs w:val="20"/>
              </w:rPr>
              <w:t>根据本笔收入/汇款/付款所涉及的外汇局批件号、备案表号、业务编号进行填写。如果本笔收入/汇款/付款涉及外汇局核准件，则优先填写该核准件编号。若本笔收入/汇款/付款涉及货物贸易登记表，则填写相应的业务登记表编号。交易编码以“3”、“5”、“6”、“7”、“8”和部分“2”、“9”开头或涉及账户性质为资本项目性质账户的，“外汇局批件号/备案表号/业务编号”为必填项，填写规则参见《银行资本项目下数据报送参考规则》；对于《银行资本项目下数据报送参考规则》中未提到的情况，且不需要外汇局核准的（即确实没有对应的“外汇局批件号/备案表号/业务编号”），则应填写“N/A”（大写英文字母）。</w:t>
            </w:r>
          </w:p>
        </w:tc>
      </w:tr>
    </w:tbl>
    <w:p w14:paraId="1DBB1BBB" w14:textId="77777777" w:rsidR="00A052DC" w:rsidRDefault="009F0A60">
      <w:pPr>
        <w:pStyle w:val="5"/>
      </w:pPr>
      <w:r>
        <w:t>1.4.3.3.</w:t>
      </w:r>
      <w:r>
        <w:rPr>
          <w:rFonts w:hint="eastAsia"/>
        </w:rPr>
        <w:t>2</w:t>
      </w:r>
      <w:r>
        <w:rPr>
          <w:rFonts w:hint="eastAsia"/>
        </w:rPr>
        <w:t>涉外收支、境内划转、账户内结售汇数据校验规则调整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4"/>
        <w:gridCol w:w="1764"/>
        <w:gridCol w:w="2627"/>
        <w:gridCol w:w="2417"/>
      </w:tblGrid>
      <w:tr w:rsidR="00A052DC" w14:paraId="18FA525C" w14:textId="77777777">
        <w:trPr>
          <w:tblHeader/>
        </w:trPr>
        <w:tc>
          <w:tcPr>
            <w:tcW w:w="1714" w:type="dxa"/>
            <w:shd w:val="clear" w:color="auto" w:fill="BFBFBF" w:themeFill="background1" w:themeFillShade="BF"/>
          </w:tcPr>
          <w:p w14:paraId="2E23A230" w14:textId="77777777" w:rsidR="00A052DC" w:rsidRDefault="009F0A60">
            <w:pPr>
              <w:tabs>
                <w:tab w:val="left" w:pos="420"/>
              </w:tabs>
              <w:spacing w:line="360" w:lineRule="auto"/>
              <w:ind w:left="420" w:hanging="420"/>
              <w:jc w:val="center"/>
              <w:rPr>
                <w:rFonts w:ascii="黑体" w:eastAsia="黑体"/>
                <w:b/>
                <w:sz w:val="20"/>
                <w:szCs w:val="20"/>
              </w:rPr>
            </w:pPr>
            <w:r>
              <w:rPr>
                <w:rFonts w:ascii="黑体" w:eastAsia="黑体" w:hint="eastAsia"/>
                <w:b/>
                <w:sz w:val="20"/>
                <w:szCs w:val="20"/>
              </w:rPr>
              <w:t>数据类型</w:t>
            </w:r>
          </w:p>
        </w:tc>
        <w:tc>
          <w:tcPr>
            <w:tcW w:w="1764" w:type="dxa"/>
            <w:shd w:val="clear" w:color="auto" w:fill="BFBFBF" w:themeFill="background1" w:themeFillShade="BF"/>
          </w:tcPr>
          <w:p w14:paraId="2811C954" w14:textId="77777777" w:rsidR="00A052DC" w:rsidRDefault="009F0A60">
            <w:pPr>
              <w:tabs>
                <w:tab w:val="left" w:pos="420"/>
              </w:tabs>
              <w:spacing w:line="360" w:lineRule="auto"/>
              <w:ind w:left="420" w:hanging="420"/>
              <w:jc w:val="center"/>
              <w:rPr>
                <w:rFonts w:eastAsia="黑体"/>
                <w:b/>
                <w:sz w:val="20"/>
                <w:szCs w:val="20"/>
              </w:rPr>
            </w:pPr>
            <w:r>
              <w:rPr>
                <w:rFonts w:ascii="黑体" w:eastAsia="黑体" w:hint="eastAsia"/>
                <w:b/>
                <w:sz w:val="20"/>
                <w:szCs w:val="20"/>
              </w:rPr>
              <w:t>数据项</w:t>
            </w:r>
          </w:p>
        </w:tc>
        <w:tc>
          <w:tcPr>
            <w:tcW w:w="2627" w:type="dxa"/>
            <w:shd w:val="clear" w:color="auto" w:fill="BFBFBF" w:themeFill="background1" w:themeFillShade="BF"/>
          </w:tcPr>
          <w:p w14:paraId="4D6576B4" w14:textId="77777777" w:rsidR="00A052DC" w:rsidRDefault="009F0A60">
            <w:pPr>
              <w:tabs>
                <w:tab w:val="left" w:pos="420"/>
              </w:tabs>
              <w:spacing w:line="360" w:lineRule="auto"/>
              <w:ind w:left="420" w:hanging="420"/>
              <w:jc w:val="center"/>
              <w:rPr>
                <w:rFonts w:eastAsia="黑体"/>
                <w:b/>
                <w:sz w:val="20"/>
                <w:szCs w:val="20"/>
              </w:rPr>
            </w:pPr>
            <w:r>
              <w:rPr>
                <w:rFonts w:ascii="黑体" w:eastAsia="黑体" w:hint="eastAsia"/>
                <w:b/>
                <w:sz w:val="20"/>
                <w:szCs w:val="20"/>
              </w:rPr>
              <w:t>原校验规则</w:t>
            </w:r>
          </w:p>
        </w:tc>
        <w:tc>
          <w:tcPr>
            <w:tcW w:w="2417" w:type="dxa"/>
            <w:shd w:val="clear" w:color="auto" w:fill="BFBFBF" w:themeFill="background1" w:themeFillShade="BF"/>
          </w:tcPr>
          <w:p w14:paraId="4887B367" w14:textId="77777777" w:rsidR="00A052DC" w:rsidRDefault="009F0A60">
            <w:pPr>
              <w:tabs>
                <w:tab w:val="left" w:pos="420"/>
              </w:tabs>
              <w:spacing w:line="360" w:lineRule="auto"/>
              <w:ind w:left="420" w:hanging="420"/>
              <w:jc w:val="center"/>
              <w:rPr>
                <w:rFonts w:eastAsia="黑体"/>
                <w:b/>
                <w:sz w:val="20"/>
                <w:szCs w:val="20"/>
              </w:rPr>
            </w:pPr>
            <w:r>
              <w:rPr>
                <w:rFonts w:ascii="黑体" w:eastAsia="黑体" w:hint="eastAsia"/>
                <w:b/>
                <w:sz w:val="20"/>
                <w:szCs w:val="20"/>
              </w:rPr>
              <w:t>新校验规则</w:t>
            </w:r>
          </w:p>
        </w:tc>
      </w:tr>
      <w:tr w:rsidR="00A052DC" w14:paraId="0A140B91" w14:textId="77777777">
        <w:tc>
          <w:tcPr>
            <w:tcW w:w="1714" w:type="dxa"/>
          </w:tcPr>
          <w:p w14:paraId="56364207" w14:textId="77777777" w:rsidR="00A052DC" w:rsidRDefault="009F0A60">
            <w:pPr>
              <w:jc w:val="left"/>
              <w:rPr>
                <w:rFonts w:ascii="黑体" w:eastAsia="黑体"/>
                <w:sz w:val="20"/>
                <w:szCs w:val="20"/>
              </w:rPr>
            </w:pPr>
            <w:r>
              <w:rPr>
                <w:rFonts w:ascii="黑体" w:eastAsia="黑体" w:hint="eastAsia"/>
                <w:sz w:val="20"/>
                <w:szCs w:val="20"/>
              </w:rPr>
              <w:t>涉外收支</w:t>
            </w:r>
          </w:p>
        </w:tc>
        <w:tc>
          <w:tcPr>
            <w:tcW w:w="1764" w:type="dxa"/>
          </w:tcPr>
          <w:p w14:paraId="7A8FDFA1" w14:textId="77777777" w:rsidR="00A052DC" w:rsidRDefault="009F0A60">
            <w:pPr>
              <w:rPr>
                <w:rFonts w:ascii="黑体" w:eastAsia="黑体"/>
                <w:sz w:val="20"/>
                <w:szCs w:val="20"/>
              </w:rPr>
            </w:pPr>
            <w:r>
              <w:rPr>
                <w:rFonts w:ascii="黑体" w:eastAsia="黑体" w:hint="eastAsia"/>
                <w:sz w:val="20"/>
                <w:szCs w:val="20"/>
              </w:rPr>
              <w:t>外汇局批件号/备案表号/业务编号</w:t>
            </w:r>
          </w:p>
        </w:tc>
        <w:tc>
          <w:tcPr>
            <w:tcW w:w="2627" w:type="dxa"/>
          </w:tcPr>
          <w:p w14:paraId="7C832290" w14:textId="77777777" w:rsidR="00A052DC" w:rsidRDefault="009F0A60">
            <w:pPr>
              <w:rPr>
                <w:rFonts w:ascii="黑体" w:eastAsia="黑体"/>
                <w:sz w:val="20"/>
                <w:szCs w:val="20"/>
              </w:rPr>
            </w:pPr>
            <w:r>
              <w:rPr>
                <w:rFonts w:ascii="黑体" w:eastAsia="黑体" w:hint="eastAsia"/>
                <w:sz w:val="20"/>
                <w:szCs w:val="20"/>
              </w:rPr>
              <w:t>……交易编码以“3”、“5”、“6”、“7”、“8”和部分“2”、“9”开头或涉及账户性质为资本项目性质账户的，“外汇局批件号/备案表号/业务编号”为必填项，如果确实没</w:t>
            </w:r>
            <w:r>
              <w:rPr>
                <w:rFonts w:ascii="黑体" w:eastAsia="黑体" w:hint="eastAsia"/>
                <w:sz w:val="20"/>
                <w:szCs w:val="20"/>
              </w:rPr>
              <w:lastRenderedPageBreak/>
              <w:t>有对应的“外汇局批件号/备案表号/业务编号”，应填写“N/A”（大写英文字符）。</w:t>
            </w:r>
          </w:p>
        </w:tc>
        <w:tc>
          <w:tcPr>
            <w:tcW w:w="2417" w:type="dxa"/>
          </w:tcPr>
          <w:p w14:paraId="4DD1F0E9" w14:textId="77777777" w:rsidR="00A052DC" w:rsidRDefault="009F0A60">
            <w:pPr>
              <w:rPr>
                <w:rFonts w:ascii="黑体" w:eastAsia="黑体"/>
                <w:sz w:val="20"/>
                <w:szCs w:val="20"/>
              </w:rPr>
            </w:pPr>
            <w:r>
              <w:rPr>
                <w:rFonts w:ascii="黑体" w:eastAsia="黑体" w:hint="eastAsia"/>
                <w:sz w:val="20"/>
                <w:szCs w:val="20"/>
              </w:rPr>
              <w:lastRenderedPageBreak/>
              <w:t>……如果本笔收入/汇款/付款涉及外汇局核准件，则优先填写该核准件编号。若本笔收入/汇款/付款涉及货物贸易登记表，则填写相应的业务登记表</w:t>
            </w:r>
            <w:r>
              <w:rPr>
                <w:rFonts w:ascii="黑体" w:eastAsia="黑体" w:hint="eastAsia"/>
                <w:sz w:val="20"/>
                <w:szCs w:val="20"/>
              </w:rPr>
              <w:lastRenderedPageBreak/>
              <w:t>编号。交易编码以‘3’、‘5’、‘6’、‘7’、‘8’和部分‘2’、‘9’开头或涉及账户性质为资本项目性质账户的，“外汇局批件号/备案表号/业务编号”为必填项，填写规则参见《银行资本项目下数据报送参考规则》；对于《银行资本项目下数据报送参考规则》中未提到的情况，且不需要外汇局核准的（即确实没有对应的“外汇局批件号/备案表号/业务编号”），则应填写“N/A”（大写英文字母）。</w:t>
            </w:r>
          </w:p>
        </w:tc>
      </w:tr>
      <w:tr w:rsidR="00A052DC" w14:paraId="1CB0DAFD" w14:textId="77777777">
        <w:tc>
          <w:tcPr>
            <w:tcW w:w="1714" w:type="dxa"/>
          </w:tcPr>
          <w:p w14:paraId="3E0C62E3" w14:textId="77777777" w:rsidR="00A052DC" w:rsidRDefault="009F0A60">
            <w:pPr>
              <w:jc w:val="left"/>
              <w:rPr>
                <w:rFonts w:ascii="黑体" w:eastAsia="黑体"/>
                <w:sz w:val="20"/>
                <w:szCs w:val="20"/>
              </w:rPr>
            </w:pPr>
            <w:r>
              <w:rPr>
                <w:rFonts w:ascii="黑体" w:eastAsia="黑体" w:hint="eastAsia"/>
                <w:sz w:val="20"/>
                <w:szCs w:val="20"/>
              </w:rPr>
              <w:lastRenderedPageBreak/>
              <w:t>境内划转、账户内结售汇</w:t>
            </w:r>
          </w:p>
        </w:tc>
        <w:tc>
          <w:tcPr>
            <w:tcW w:w="1764" w:type="dxa"/>
          </w:tcPr>
          <w:p w14:paraId="7C3A748E" w14:textId="77777777" w:rsidR="00A052DC" w:rsidRDefault="009F0A60">
            <w:pPr>
              <w:rPr>
                <w:rFonts w:ascii="黑体" w:eastAsia="黑体"/>
                <w:sz w:val="20"/>
                <w:szCs w:val="20"/>
              </w:rPr>
            </w:pPr>
            <w:r>
              <w:rPr>
                <w:rFonts w:ascii="黑体" w:eastAsia="黑体" w:hint="eastAsia"/>
                <w:sz w:val="20"/>
                <w:szCs w:val="20"/>
              </w:rPr>
              <w:t>外汇局批件号/备案表号/业务编号</w:t>
            </w:r>
          </w:p>
        </w:tc>
        <w:tc>
          <w:tcPr>
            <w:tcW w:w="2627" w:type="dxa"/>
          </w:tcPr>
          <w:p w14:paraId="69966079" w14:textId="77777777" w:rsidR="00A052DC" w:rsidRDefault="009F0A60">
            <w:pPr>
              <w:rPr>
                <w:rFonts w:ascii="黑体" w:eastAsia="黑体"/>
                <w:sz w:val="20"/>
                <w:szCs w:val="20"/>
              </w:rPr>
            </w:pPr>
            <w:r>
              <w:rPr>
                <w:rFonts w:ascii="黑体" w:eastAsia="黑体" w:hint="eastAsia"/>
                <w:sz w:val="20"/>
                <w:szCs w:val="20"/>
              </w:rPr>
              <w:t>……交易编码以“3”、“5”、“6”、“7”、“8”和部分“2”、“9”开头或涉及账户性质为资本项目性质账户的，“外汇局批件号/备案表号/业务编号”为必填项，如果确实没有对应的“外汇局批件号/备案表号/业务编号”，应填写“N/A”（大写英文字符）。</w:t>
            </w:r>
          </w:p>
        </w:tc>
        <w:tc>
          <w:tcPr>
            <w:tcW w:w="2417" w:type="dxa"/>
          </w:tcPr>
          <w:p w14:paraId="48FFE995" w14:textId="77777777" w:rsidR="00A052DC" w:rsidRDefault="009F0A60">
            <w:pPr>
              <w:rPr>
                <w:rFonts w:ascii="黑体" w:eastAsia="黑体"/>
                <w:sz w:val="20"/>
                <w:szCs w:val="20"/>
              </w:rPr>
            </w:pPr>
            <w:r>
              <w:rPr>
                <w:rFonts w:ascii="黑体" w:eastAsia="黑体" w:hint="eastAsia"/>
                <w:sz w:val="20"/>
                <w:szCs w:val="20"/>
              </w:rPr>
              <w:t>……交易编码以‘3’、‘5’、‘6’、‘7’、‘8’和部分‘2’、‘9’开头或涉及账户性质为资本项目性质账户的，“外汇局批件号/备案表号/业务编号”为必填项，填写规则参见《银行资本项目下数据报送参考规则》；对于《银行资本项目下数据报送参考规则》中未提到的情况，且不需要外汇局核准的（即确实没有对应的“外汇局批件号/备案表号/业务编号”），则应填写“N/A”（大写英文字母）。</w:t>
            </w:r>
          </w:p>
        </w:tc>
      </w:tr>
    </w:tbl>
    <w:p w14:paraId="47CDD7ED" w14:textId="77777777" w:rsidR="00A052DC" w:rsidRDefault="009F0A60">
      <w:pPr>
        <w:pStyle w:val="5"/>
      </w:pPr>
      <w:r>
        <w:t>1.4.3.3.</w:t>
      </w:r>
      <w:r>
        <w:rPr>
          <w:rFonts w:hint="eastAsia"/>
        </w:rPr>
        <w:t>3</w:t>
      </w:r>
      <w:r>
        <w:rPr>
          <w:rFonts w:hint="eastAsia"/>
        </w:rPr>
        <w:t>外汇账户校验规则调整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260"/>
        <w:gridCol w:w="2977"/>
      </w:tblGrid>
      <w:tr w:rsidR="00A052DC" w14:paraId="674B5BBC" w14:textId="77777777">
        <w:trPr>
          <w:tblHeader/>
        </w:trPr>
        <w:tc>
          <w:tcPr>
            <w:tcW w:w="2235" w:type="dxa"/>
            <w:shd w:val="clear" w:color="auto" w:fill="BFBFBF" w:themeFill="background1" w:themeFillShade="BF"/>
          </w:tcPr>
          <w:p w14:paraId="3EE18BE5" w14:textId="77777777" w:rsidR="00A052DC" w:rsidRDefault="009F0A60">
            <w:pPr>
              <w:tabs>
                <w:tab w:val="left" w:pos="420"/>
              </w:tabs>
              <w:spacing w:line="360" w:lineRule="auto"/>
              <w:ind w:left="420" w:hanging="420"/>
              <w:jc w:val="center"/>
              <w:rPr>
                <w:rFonts w:eastAsia="黑体"/>
                <w:b/>
                <w:sz w:val="20"/>
                <w:szCs w:val="20"/>
              </w:rPr>
            </w:pPr>
            <w:r>
              <w:rPr>
                <w:rFonts w:ascii="黑体" w:eastAsia="黑体" w:hint="eastAsia"/>
                <w:b/>
                <w:sz w:val="20"/>
                <w:szCs w:val="20"/>
              </w:rPr>
              <w:t>数据项</w:t>
            </w:r>
          </w:p>
        </w:tc>
        <w:tc>
          <w:tcPr>
            <w:tcW w:w="3260" w:type="dxa"/>
            <w:shd w:val="clear" w:color="auto" w:fill="BFBFBF" w:themeFill="background1" w:themeFillShade="BF"/>
          </w:tcPr>
          <w:p w14:paraId="6DC0A023" w14:textId="77777777" w:rsidR="00A052DC" w:rsidRDefault="009F0A60">
            <w:pPr>
              <w:tabs>
                <w:tab w:val="left" w:pos="420"/>
              </w:tabs>
              <w:spacing w:line="360" w:lineRule="auto"/>
              <w:ind w:left="420" w:hanging="420"/>
              <w:jc w:val="center"/>
              <w:rPr>
                <w:rFonts w:eastAsia="黑体"/>
                <w:b/>
                <w:sz w:val="20"/>
                <w:szCs w:val="20"/>
              </w:rPr>
            </w:pPr>
            <w:r>
              <w:rPr>
                <w:rFonts w:ascii="黑体" w:eastAsia="黑体" w:hint="eastAsia"/>
                <w:b/>
                <w:sz w:val="20"/>
                <w:szCs w:val="20"/>
              </w:rPr>
              <w:t>原校验规则</w:t>
            </w:r>
          </w:p>
        </w:tc>
        <w:tc>
          <w:tcPr>
            <w:tcW w:w="2977" w:type="dxa"/>
            <w:shd w:val="clear" w:color="auto" w:fill="BFBFBF" w:themeFill="background1" w:themeFillShade="BF"/>
          </w:tcPr>
          <w:p w14:paraId="11CC57A7" w14:textId="77777777" w:rsidR="00A052DC" w:rsidRDefault="009F0A60">
            <w:pPr>
              <w:tabs>
                <w:tab w:val="left" w:pos="420"/>
              </w:tabs>
              <w:spacing w:line="360" w:lineRule="auto"/>
              <w:ind w:left="420" w:hanging="420"/>
              <w:jc w:val="center"/>
              <w:rPr>
                <w:rFonts w:eastAsia="黑体"/>
                <w:b/>
                <w:sz w:val="20"/>
                <w:szCs w:val="20"/>
              </w:rPr>
            </w:pPr>
            <w:r>
              <w:rPr>
                <w:rFonts w:ascii="黑体" w:eastAsia="黑体" w:hint="eastAsia"/>
                <w:b/>
                <w:sz w:val="20"/>
                <w:szCs w:val="20"/>
              </w:rPr>
              <w:t>新校验规则</w:t>
            </w:r>
          </w:p>
        </w:tc>
      </w:tr>
      <w:tr w:rsidR="00A052DC" w14:paraId="3A80BD61" w14:textId="77777777">
        <w:tc>
          <w:tcPr>
            <w:tcW w:w="2235" w:type="dxa"/>
          </w:tcPr>
          <w:p w14:paraId="510B32BB" w14:textId="77777777" w:rsidR="00A052DC" w:rsidRDefault="009F0A60">
            <w:pPr>
              <w:rPr>
                <w:rFonts w:ascii="黑体" w:eastAsia="黑体"/>
                <w:sz w:val="20"/>
                <w:szCs w:val="20"/>
              </w:rPr>
            </w:pPr>
            <w:r>
              <w:rPr>
                <w:rFonts w:ascii="黑体" w:eastAsia="黑体" w:hint="eastAsia"/>
                <w:sz w:val="20"/>
                <w:szCs w:val="20"/>
              </w:rPr>
              <w:t>外汇局批件号/备案表号/业务编号</w:t>
            </w:r>
          </w:p>
        </w:tc>
        <w:tc>
          <w:tcPr>
            <w:tcW w:w="3260" w:type="dxa"/>
          </w:tcPr>
          <w:p w14:paraId="35A61E4E" w14:textId="77777777" w:rsidR="00A052DC" w:rsidRDefault="009F0A60">
            <w:pPr>
              <w:rPr>
                <w:rFonts w:ascii="黑体" w:eastAsia="黑体"/>
                <w:sz w:val="20"/>
                <w:szCs w:val="20"/>
              </w:rPr>
            </w:pPr>
            <w:r>
              <w:rPr>
                <w:rFonts w:ascii="黑体" w:eastAsia="黑体" w:hAnsi="黑体" w:hint="eastAsia"/>
                <w:sz w:val="20"/>
                <w:szCs w:val="20"/>
              </w:rPr>
              <w:t>非必填项。对除“境内划入保证金专用账户”以外的各类资本项目外汇账户的开立、变更、关户，为必填项。</w:t>
            </w:r>
          </w:p>
        </w:tc>
        <w:tc>
          <w:tcPr>
            <w:tcW w:w="2977" w:type="dxa"/>
          </w:tcPr>
          <w:p w14:paraId="40E55F2B" w14:textId="77777777" w:rsidR="00A052DC" w:rsidRDefault="009F0A60">
            <w:pPr>
              <w:rPr>
                <w:rFonts w:ascii="黑体" w:eastAsia="黑体"/>
                <w:sz w:val="20"/>
                <w:szCs w:val="20"/>
              </w:rPr>
            </w:pPr>
            <w:r>
              <w:rPr>
                <w:rFonts w:ascii="黑体" w:eastAsia="黑体" w:hint="eastAsia"/>
                <w:sz w:val="20"/>
                <w:szCs w:val="20"/>
              </w:rPr>
              <w:t>非必填项。账户性质为资本项目性质账户的，“外汇局批件号/备案表号/业务编号”为必填项，填写规则参见《银行资本项目下数据报送参考规则》；对于《银</w:t>
            </w:r>
            <w:r>
              <w:rPr>
                <w:rFonts w:ascii="黑体" w:eastAsia="黑体" w:hint="eastAsia"/>
                <w:sz w:val="20"/>
                <w:szCs w:val="20"/>
              </w:rPr>
              <w:lastRenderedPageBreak/>
              <w:t>行资本项目下数据报送参考规则》中未提到的情况，且不需要外汇局核准的（即确实没有对应的“外汇局批件号/备案表号/业务编号”），则应填写“N/A”（大写英文字母）。</w:t>
            </w:r>
          </w:p>
        </w:tc>
      </w:tr>
    </w:tbl>
    <w:p w14:paraId="77EDF406" w14:textId="77777777" w:rsidR="00A052DC" w:rsidRDefault="009F0A60">
      <w:pPr>
        <w:pStyle w:val="4"/>
        <w:numPr>
          <w:ilvl w:val="3"/>
          <w:numId w:val="1"/>
        </w:numPr>
        <w:jc w:val="left"/>
      </w:pPr>
      <w:r>
        <w:rPr>
          <w:rFonts w:hint="eastAsia"/>
        </w:rPr>
        <w:lastRenderedPageBreak/>
        <w:t>组织机构基本情况表（原单位基本情况表）调整</w:t>
      </w:r>
    </w:p>
    <w:p w14:paraId="7EB77673" w14:textId="77777777" w:rsidR="00A052DC" w:rsidRDefault="009F0A60" w:rsidP="0020251D">
      <w:pPr>
        <w:pStyle w:val="5"/>
      </w:pPr>
      <w:r>
        <w:t>1.4.3.4.1</w:t>
      </w:r>
      <w:r>
        <w:rPr>
          <w:rFonts w:hint="eastAsia"/>
        </w:rPr>
        <w:t>表名及数据项名称调整</w:t>
      </w:r>
    </w:p>
    <w:p w14:paraId="5F4805BF" w14:textId="77777777" w:rsidR="00A052DC" w:rsidRPr="00091D09" w:rsidRDefault="00A412F6">
      <w:pPr>
        <w:spacing w:line="360" w:lineRule="auto"/>
        <w:ind w:firstLineChars="200" w:firstLine="480"/>
        <w:rPr>
          <w:rFonts w:ascii="Times New Roman" w:hAnsi="Times New Roman"/>
          <w:sz w:val="24"/>
          <w:szCs w:val="24"/>
        </w:rPr>
      </w:pPr>
      <w:r w:rsidRPr="00A412F6">
        <w:rPr>
          <w:rFonts w:ascii="Times New Roman" w:hAnsi="Times New Roman" w:hint="eastAsia"/>
          <w:sz w:val="24"/>
          <w:szCs w:val="24"/>
        </w:rPr>
        <w:t>“单位基本情况表”修改为“组织机构基本情况表”。数据项“组织机构代码”调整为“主体标识码”。“单位传真”修改为“建表日期”。</w:t>
      </w:r>
    </w:p>
    <w:p w14:paraId="691166D9" w14:textId="77777777" w:rsidR="00A052DC" w:rsidRDefault="009F0A60" w:rsidP="0020251D">
      <w:pPr>
        <w:pStyle w:val="5"/>
      </w:pPr>
      <w:r>
        <w:t>1.4.3.4.2</w:t>
      </w:r>
      <w:r>
        <w:rPr>
          <w:rFonts w:hint="eastAsia"/>
        </w:rPr>
        <w:t>校验规则调整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418"/>
        <w:gridCol w:w="2693"/>
        <w:gridCol w:w="2602"/>
      </w:tblGrid>
      <w:tr w:rsidR="00A052DC" w14:paraId="0AE41AF7" w14:textId="77777777">
        <w:trPr>
          <w:tblHeader/>
        </w:trPr>
        <w:tc>
          <w:tcPr>
            <w:tcW w:w="1809" w:type="dxa"/>
            <w:shd w:val="clear" w:color="auto" w:fill="BFBFBF" w:themeFill="background1" w:themeFillShade="BF"/>
          </w:tcPr>
          <w:p w14:paraId="5BA37357" w14:textId="77777777" w:rsidR="00A052DC" w:rsidRDefault="009F0A60">
            <w:pPr>
              <w:tabs>
                <w:tab w:val="left" w:pos="420"/>
              </w:tabs>
              <w:spacing w:line="360" w:lineRule="auto"/>
              <w:ind w:left="420" w:hanging="420"/>
              <w:jc w:val="center"/>
              <w:rPr>
                <w:rFonts w:ascii="黑体" w:eastAsia="黑体"/>
                <w:b/>
                <w:sz w:val="20"/>
                <w:szCs w:val="20"/>
              </w:rPr>
            </w:pPr>
            <w:r>
              <w:rPr>
                <w:rFonts w:ascii="黑体" w:eastAsia="黑体" w:hint="eastAsia"/>
                <w:b/>
                <w:sz w:val="20"/>
                <w:szCs w:val="20"/>
              </w:rPr>
              <w:t>表名</w:t>
            </w:r>
          </w:p>
        </w:tc>
        <w:tc>
          <w:tcPr>
            <w:tcW w:w="1418" w:type="dxa"/>
            <w:shd w:val="clear" w:color="auto" w:fill="BFBFBF" w:themeFill="background1" w:themeFillShade="BF"/>
          </w:tcPr>
          <w:p w14:paraId="288CA8A6" w14:textId="77777777" w:rsidR="00A052DC" w:rsidRDefault="009F0A60">
            <w:pPr>
              <w:tabs>
                <w:tab w:val="left" w:pos="420"/>
              </w:tabs>
              <w:spacing w:line="360" w:lineRule="auto"/>
              <w:ind w:left="420" w:hanging="420"/>
              <w:jc w:val="center"/>
              <w:rPr>
                <w:rFonts w:eastAsia="黑体"/>
                <w:b/>
                <w:sz w:val="20"/>
                <w:szCs w:val="20"/>
              </w:rPr>
            </w:pPr>
            <w:r>
              <w:rPr>
                <w:rFonts w:ascii="黑体" w:eastAsia="黑体" w:hint="eastAsia"/>
                <w:b/>
                <w:sz w:val="20"/>
                <w:szCs w:val="20"/>
              </w:rPr>
              <w:t>数据项</w:t>
            </w:r>
          </w:p>
        </w:tc>
        <w:tc>
          <w:tcPr>
            <w:tcW w:w="2693" w:type="dxa"/>
            <w:shd w:val="clear" w:color="auto" w:fill="BFBFBF" w:themeFill="background1" w:themeFillShade="BF"/>
          </w:tcPr>
          <w:p w14:paraId="372EAC31" w14:textId="77777777" w:rsidR="00A052DC" w:rsidRDefault="009F0A60">
            <w:pPr>
              <w:tabs>
                <w:tab w:val="left" w:pos="420"/>
              </w:tabs>
              <w:spacing w:line="360" w:lineRule="auto"/>
              <w:ind w:left="420" w:hanging="420"/>
              <w:jc w:val="center"/>
              <w:rPr>
                <w:rFonts w:eastAsia="黑体"/>
                <w:b/>
                <w:sz w:val="20"/>
                <w:szCs w:val="20"/>
              </w:rPr>
            </w:pPr>
            <w:r>
              <w:rPr>
                <w:rFonts w:ascii="黑体" w:eastAsia="黑体" w:hint="eastAsia"/>
                <w:b/>
                <w:sz w:val="20"/>
                <w:szCs w:val="20"/>
              </w:rPr>
              <w:t>原校验规则</w:t>
            </w:r>
          </w:p>
        </w:tc>
        <w:tc>
          <w:tcPr>
            <w:tcW w:w="2602" w:type="dxa"/>
            <w:shd w:val="clear" w:color="auto" w:fill="BFBFBF" w:themeFill="background1" w:themeFillShade="BF"/>
          </w:tcPr>
          <w:p w14:paraId="14909D02" w14:textId="77777777" w:rsidR="00A052DC" w:rsidRDefault="009F0A60">
            <w:pPr>
              <w:tabs>
                <w:tab w:val="left" w:pos="420"/>
              </w:tabs>
              <w:spacing w:line="360" w:lineRule="auto"/>
              <w:ind w:left="420" w:hanging="420"/>
              <w:jc w:val="center"/>
              <w:rPr>
                <w:rFonts w:eastAsia="黑体"/>
                <w:b/>
                <w:sz w:val="20"/>
                <w:szCs w:val="20"/>
              </w:rPr>
            </w:pPr>
            <w:r>
              <w:rPr>
                <w:rFonts w:ascii="黑体" w:eastAsia="黑体" w:hint="eastAsia"/>
                <w:b/>
                <w:sz w:val="20"/>
                <w:szCs w:val="20"/>
              </w:rPr>
              <w:t>新校验规则</w:t>
            </w:r>
          </w:p>
        </w:tc>
      </w:tr>
      <w:tr w:rsidR="00A052DC" w14:paraId="6DCF800C" w14:textId="77777777">
        <w:tc>
          <w:tcPr>
            <w:tcW w:w="1809" w:type="dxa"/>
          </w:tcPr>
          <w:p w14:paraId="6BEB22E9" w14:textId="77777777" w:rsidR="00A052DC" w:rsidRDefault="009F0A60">
            <w:pPr>
              <w:rPr>
                <w:rFonts w:ascii="黑体" w:eastAsia="黑体"/>
                <w:sz w:val="20"/>
                <w:szCs w:val="20"/>
              </w:rPr>
            </w:pPr>
            <w:r>
              <w:rPr>
                <w:rFonts w:ascii="黑体" w:eastAsia="黑体" w:hint="eastAsia"/>
                <w:sz w:val="20"/>
                <w:szCs w:val="20"/>
              </w:rPr>
              <w:t>组织机构基本情况表</w:t>
            </w:r>
          </w:p>
        </w:tc>
        <w:tc>
          <w:tcPr>
            <w:tcW w:w="1418" w:type="dxa"/>
          </w:tcPr>
          <w:p w14:paraId="36A732CA" w14:textId="77777777" w:rsidR="00A052DC" w:rsidRDefault="009F0A60">
            <w:pPr>
              <w:tabs>
                <w:tab w:val="left" w:pos="420"/>
              </w:tabs>
              <w:spacing w:line="360" w:lineRule="auto"/>
              <w:ind w:left="420" w:hanging="420"/>
              <w:jc w:val="center"/>
              <w:rPr>
                <w:rFonts w:ascii="黑体" w:eastAsia="黑体"/>
                <w:sz w:val="20"/>
                <w:szCs w:val="20"/>
              </w:rPr>
            </w:pPr>
            <w:r>
              <w:rPr>
                <w:rFonts w:ascii="黑体" w:eastAsia="黑体" w:hint="eastAsia"/>
                <w:sz w:val="20"/>
                <w:szCs w:val="20"/>
              </w:rPr>
              <w:t>主体标识码</w:t>
            </w:r>
          </w:p>
        </w:tc>
        <w:tc>
          <w:tcPr>
            <w:tcW w:w="2693" w:type="dxa"/>
          </w:tcPr>
          <w:p w14:paraId="475449D2" w14:textId="77777777" w:rsidR="00A052DC" w:rsidRDefault="009F0A60">
            <w:pPr>
              <w:rPr>
                <w:rFonts w:ascii="黑体" w:eastAsia="黑体"/>
                <w:sz w:val="20"/>
                <w:szCs w:val="20"/>
              </w:rPr>
            </w:pPr>
            <w:r>
              <w:rPr>
                <w:rFonts w:ascii="黑体" w:eastAsia="黑体" w:hint="eastAsia"/>
                <w:sz w:val="20"/>
                <w:szCs w:val="20"/>
              </w:rPr>
              <w:t>必填，</w:t>
            </w:r>
          </w:p>
          <w:p w14:paraId="07A0E059" w14:textId="77777777" w:rsidR="00A052DC" w:rsidRDefault="009F0A60">
            <w:pPr>
              <w:rPr>
                <w:rFonts w:ascii="黑体" w:eastAsia="黑体"/>
                <w:sz w:val="20"/>
                <w:szCs w:val="20"/>
              </w:rPr>
            </w:pPr>
            <w:r>
              <w:rPr>
                <w:rFonts w:ascii="黑体" w:eastAsia="黑体" w:hint="eastAsia"/>
                <w:sz w:val="20"/>
                <w:szCs w:val="20"/>
              </w:rPr>
              <w:t>指统一社会信用代码法定载体（如营业执照）上的统一社会信用代码中的9位组织机构代码或国家外汇管理局及其分支局签发的特殊机构代码赋码通知书上的机构代码。</w:t>
            </w:r>
          </w:p>
          <w:p w14:paraId="41CB6EC1" w14:textId="77777777" w:rsidR="00A052DC" w:rsidRDefault="009F0A60">
            <w:pPr>
              <w:rPr>
                <w:rFonts w:ascii="黑体" w:eastAsia="黑体"/>
                <w:sz w:val="20"/>
                <w:szCs w:val="20"/>
              </w:rPr>
            </w:pPr>
            <w:r>
              <w:rPr>
                <w:rFonts w:ascii="黑体" w:eastAsia="黑体" w:hint="eastAsia"/>
                <w:sz w:val="20"/>
                <w:szCs w:val="20"/>
              </w:rPr>
              <w:t>按统一社会信用代码中的9位组织机构代码或特殊机构赋码编制规则进行校验，字段长度仍预留18位。</w:t>
            </w:r>
          </w:p>
        </w:tc>
        <w:tc>
          <w:tcPr>
            <w:tcW w:w="2602" w:type="dxa"/>
          </w:tcPr>
          <w:p w14:paraId="3464B356" w14:textId="77777777" w:rsidR="00A052DC" w:rsidRDefault="009F0A60">
            <w:pPr>
              <w:rPr>
                <w:rFonts w:ascii="黑体" w:eastAsia="黑体"/>
                <w:sz w:val="20"/>
                <w:szCs w:val="20"/>
              </w:rPr>
            </w:pPr>
            <w:r>
              <w:rPr>
                <w:rFonts w:ascii="黑体" w:eastAsia="黑体" w:hint="eastAsia"/>
                <w:sz w:val="20"/>
                <w:szCs w:val="20"/>
              </w:rPr>
              <w:t>必填</w:t>
            </w:r>
            <w:r w:rsidR="009D0FD2">
              <w:rPr>
                <w:rFonts w:ascii="黑体" w:eastAsia="黑体" w:hint="eastAsia"/>
                <w:sz w:val="20"/>
                <w:szCs w:val="20"/>
              </w:rPr>
              <w:t>项</w:t>
            </w:r>
            <w:r>
              <w:rPr>
                <w:rFonts w:ascii="黑体" w:eastAsia="黑体" w:hint="eastAsia"/>
                <w:sz w:val="20"/>
                <w:szCs w:val="20"/>
              </w:rPr>
              <w:t>，</w:t>
            </w:r>
          </w:p>
          <w:p w14:paraId="1640C030" w14:textId="77777777" w:rsidR="00A052DC" w:rsidRDefault="009F0A60">
            <w:pPr>
              <w:rPr>
                <w:rFonts w:ascii="黑体" w:eastAsia="黑体"/>
                <w:sz w:val="20"/>
                <w:szCs w:val="20"/>
              </w:rPr>
            </w:pPr>
            <w:r>
              <w:rPr>
                <w:rFonts w:ascii="黑体" w:eastAsia="黑体" w:hint="eastAsia"/>
                <w:sz w:val="20"/>
                <w:szCs w:val="20"/>
              </w:rPr>
              <w:t>指统一社会信用代码法定载体（如营业执照）上统一社会信用代码中的第9至17位或国家外汇管理局及其分支局签发的特殊机构代码赋码通知书上的机构代码。</w:t>
            </w:r>
          </w:p>
          <w:p w14:paraId="4D19B206" w14:textId="77777777" w:rsidR="00A052DC" w:rsidRDefault="009F0A60">
            <w:pPr>
              <w:rPr>
                <w:rFonts w:ascii="黑体" w:eastAsia="黑体"/>
                <w:sz w:val="20"/>
                <w:szCs w:val="20"/>
              </w:rPr>
            </w:pPr>
            <w:r>
              <w:rPr>
                <w:rFonts w:ascii="黑体" w:eastAsia="黑体" w:hint="eastAsia"/>
                <w:sz w:val="20"/>
                <w:szCs w:val="20"/>
              </w:rPr>
              <w:t>按统一社会信用代码中的9位主体标识码（组织机构代码）或特殊机构赋码编制规则进行校验，字段长度仍预留18位。</w:t>
            </w:r>
          </w:p>
        </w:tc>
      </w:tr>
      <w:tr w:rsidR="00A052DC" w14:paraId="4F726C19" w14:textId="77777777">
        <w:tc>
          <w:tcPr>
            <w:tcW w:w="1809" w:type="dxa"/>
          </w:tcPr>
          <w:p w14:paraId="4C702D77" w14:textId="77777777" w:rsidR="00A052DC" w:rsidRDefault="009F0A60">
            <w:pPr>
              <w:rPr>
                <w:rFonts w:ascii="黑体" w:eastAsia="黑体"/>
                <w:sz w:val="20"/>
                <w:szCs w:val="20"/>
              </w:rPr>
            </w:pPr>
            <w:r>
              <w:rPr>
                <w:rFonts w:ascii="黑体" w:eastAsia="黑体" w:hint="eastAsia"/>
                <w:sz w:val="20"/>
                <w:szCs w:val="20"/>
              </w:rPr>
              <w:t>组织机构基本情况表</w:t>
            </w:r>
          </w:p>
        </w:tc>
        <w:tc>
          <w:tcPr>
            <w:tcW w:w="1418" w:type="dxa"/>
          </w:tcPr>
          <w:p w14:paraId="068D17A9" w14:textId="77777777" w:rsidR="00A052DC" w:rsidRDefault="009F0A60">
            <w:pPr>
              <w:rPr>
                <w:rFonts w:ascii="黑体" w:eastAsia="黑体"/>
                <w:sz w:val="20"/>
                <w:szCs w:val="20"/>
              </w:rPr>
            </w:pPr>
            <w:r>
              <w:rPr>
                <w:rFonts w:ascii="黑体" w:eastAsia="黑体" w:hint="eastAsia"/>
                <w:sz w:val="20"/>
                <w:szCs w:val="20"/>
              </w:rPr>
              <w:t>特殊经济区内企业类型</w:t>
            </w:r>
          </w:p>
        </w:tc>
        <w:tc>
          <w:tcPr>
            <w:tcW w:w="2693" w:type="dxa"/>
          </w:tcPr>
          <w:p w14:paraId="6DD1514F" w14:textId="77777777" w:rsidR="00A052DC" w:rsidRDefault="009F0A60">
            <w:pPr>
              <w:rPr>
                <w:rFonts w:ascii="黑体" w:eastAsia="黑体"/>
                <w:sz w:val="20"/>
                <w:szCs w:val="20"/>
              </w:rPr>
            </w:pPr>
            <w:r>
              <w:rPr>
                <w:rFonts w:ascii="黑体" w:eastAsia="黑体" w:hint="eastAsia"/>
                <w:sz w:val="20"/>
                <w:szCs w:val="20"/>
              </w:rPr>
              <w:t>ISTAXFREE=Y时必填，</w:t>
            </w:r>
          </w:p>
          <w:p w14:paraId="12293645" w14:textId="77777777" w:rsidR="00A052DC" w:rsidRDefault="009F0A60">
            <w:pPr>
              <w:rPr>
                <w:rFonts w:ascii="黑体" w:eastAsia="黑体"/>
                <w:sz w:val="20"/>
                <w:szCs w:val="20"/>
              </w:rPr>
            </w:pPr>
            <w:r>
              <w:rPr>
                <w:rFonts w:ascii="黑体" w:eastAsia="黑体" w:hint="eastAsia"/>
                <w:sz w:val="20"/>
                <w:szCs w:val="20"/>
              </w:rPr>
              <w:t>必须是特殊经济区类型代码表中存在的记录；</w:t>
            </w:r>
          </w:p>
          <w:p w14:paraId="52139E34" w14:textId="77777777" w:rsidR="00A052DC" w:rsidRDefault="009F0A60">
            <w:pPr>
              <w:rPr>
                <w:rFonts w:ascii="黑体" w:eastAsia="黑体"/>
                <w:sz w:val="20"/>
                <w:szCs w:val="20"/>
              </w:rPr>
            </w:pPr>
            <w:r>
              <w:rPr>
                <w:rFonts w:ascii="黑体" w:eastAsia="黑体" w:hint="eastAsia"/>
                <w:sz w:val="20"/>
                <w:szCs w:val="20"/>
              </w:rPr>
              <w:t>ISTAXFREE=N时不输。</w:t>
            </w:r>
          </w:p>
        </w:tc>
        <w:tc>
          <w:tcPr>
            <w:tcW w:w="2602" w:type="dxa"/>
          </w:tcPr>
          <w:p w14:paraId="55A90004" w14:textId="77777777" w:rsidR="00A052DC" w:rsidRDefault="009F0A60">
            <w:pPr>
              <w:rPr>
                <w:rFonts w:ascii="黑体" w:eastAsia="黑体"/>
                <w:sz w:val="20"/>
                <w:szCs w:val="20"/>
              </w:rPr>
            </w:pPr>
            <w:r>
              <w:rPr>
                <w:rFonts w:ascii="黑体" w:eastAsia="黑体" w:hint="eastAsia"/>
                <w:sz w:val="20"/>
                <w:szCs w:val="20"/>
              </w:rPr>
              <w:t>如果“是否特殊经济区内企业”选择“否”，则本项选择“一般贸易区”或“自由贸易试验区（非特殊监管）”；如果“是否特殊经济区内企业”选择“是”，且企业为非自由贸易试验区的特殊经济区内企业，本项</w:t>
            </w:r>
            <w:r>
              <w:rPr>
                <w:rFonts w:ascii="黑体" w:eastAsia="黑体" w:hint="eastAsia"/>
                <w:sz w:val="20"/>
                <w:szCs w:val="20"/>
              </w:rPr>
              <w:lastRenderedPageBreak/>
              <w:t>选择“保税区”、“出口加工区”、“保税物流中心B型”、“保税物流园区”、“钻石交易所”、“保税港区”、“综合保税区”、“跨境工业园区”、“保税物流中心A型”、“出口监管仓库”、“进口保税仓库”、或“其他”；如果“是否特殊经济区内企业”选择“是”，且企业为自由贸易试验区的特殊经济区内企业，本项选择“自由贸易试验区（特殊监管）”。</w:t>
            </w:r>
          </w:p>
        </w:tc>
      </w:tr>
      <w:tr w:rsidR="00A052DC" w14:paraId="26E31850" w14:textId="77777777">
        <w:tc>
          <w:tcPr>
            <w:tcW w:w="1809" w:type="dxa"/>
          </w:tcPr>
          <w:p w14:paraId="73A9E255" w14:textId="77777777" w:rsidR="00A052DC" w:rsidRDefault="009F0A60">
            <w:pPr>
              <w:rPr>
                <w:rFonts w:ascii="黑体" w:eastAsia="黑体"/>
                <w:sz w:val="20"/>
                <w:szCs w:val="20"/>
              </w:rPr>
            </w:pPr>
            <w:r>
              <w:rPr>
                <w:rFonts w:ascii="黑体" w:eastAsia="黑体" w:hint="eastAsia"/>
                <w:sz w:val="20"/>
                <w:szCs w:val="20"/>
              </w:rPr>
              <w:lastRenderedPageBreak/>
              <w:t>组织机构基本情况表</w:t>
            </w:r>
          </w:p>
        </w:tc>
        <w:tc>
          <w:tcPr>
            <w:tcW w:w="1418" w:type="dxa"/>
          </w:tcPr>
          <w:p w14:paraId="575CBC41" w14:textId="77777777" w:rsidR="00A052DC" w:rsidRDefault="009F0A60">
            <w:pPr>
              <w:rPr>
                <w:rFonts w:ascii="黑体" w:eastAsia="黑体"/>
                <w:sz w:val="20"/>
                <w:szCs w:val="20"/>
              </w:rPr>
            </w:pPr>
            <w:r>
              <w:rPr>
                <w:rFonts w:ascii="黑体" w:eastAsia="黑体" w:hAnsi="黑体" w:hint="eastAsia"/>
                <w:sz w:val="20"/>
                <w:szCs w:val="20"/>
              </w:rPr>
              <w:t>LEI编码</w:t>
            </w:r>
          </w:p>
        </w:tc>
        <w:tc>
          <w:tcPr>
            <w:tcW w:w="2693" w:type="dxa"/>
          </w:tcPr>
          <w:p w14:paraId="1BAF00AD" w14:textId="77777777" w:rsidR="00A052DC" w:rsidRDefault="009F0A60">
            <w:pPr>
              <w:rPr>
                <w:rFonts w:ascii="黑体" w:eastAsia="黑体"/>
                <w:sz w:val="20"/>
                <w:szCs w:val="20"/>
              </w:rPr>
            </w:pPr>
            <w:r>
              <w:rPr>
                <w:rFonts w:ascii="黑体" w:eastAsia="黑体" w:hAnsi="黑体" w:hint="eastAsia"/>
                <w:sz w:val="20"/>
                <w:szCs w:val="20"/>
              </w:rPr>
              <w:t>选填，境外主体属性，预留字段。</w:t>
            </w:r>
          </w:p>
        </w:tc>
        <w:tc>
          <w:tcPr>
            <w:tcW w:w="2602" w:type="dxa"/>
          </w:tcPr>
          <w:p w14:paraId="23B9B861" w14:textId="77777777" w:rsidR="00A052DC" w:rsidRDefault="0079302F">
            <w:pPr>
              <w:rPr>
                <w:rFonts w:ascii="黑体" w:eastAsia="黑体"/>
                <w:sz w:val="20"/>
                <w:szCs w:val="20"/>
              </w:rPr>
            </w:pPr>
            <w:r>
              <w:rPr>
                <w:rFonts w:ascii="黑体" w:eastAsia="黑体" w:hAnsi="黑体" w:hint="eastAsia"/>
                <w:sz w:val="20"/>
                <w:szCs w:val="20"/>
              </w:rPr>
              <w:t>非必填项</w:t>
            </w:r>
            <w:r w:rsidR="009F0A60">
              <w:rPr>
                <w:rFonts w:ascii="黑体" w:eastAsia="黑体" w:hAnsi="黑体" w:hint="eastAsia"/>
                <w:sz w:val="20"/>
                <w:szCs w:val="20"/>
              </w:rPr>
              <w:t>，如机构持有LEI编码，应于此处填写。</w:t>
            </w:r>
          </w:p>
        </w:tc>
      </w:tr>
      <w:tr w:rsidR="00A052DC" w14:paraId="2DA17BD3" w14:textId="77777777">
        <w:tc>
          <w:tcPr>
            <w:tcW w:w="1809" w:type="dxa"/>
          </w:tcPr>
          <w:p w14:paraId="71287BF1" w14:textId="77777777" w:rsidR="00A052DC" w:rsidRDefault="009F0A60">
            <w:pPr>
              <w:rPr>
                <w:rFonts w:ascii="黑体" w:eastAsia="黑体"/>
                <w:sz w:val="20"/>
                <w:szCs w:val="20"/>
              </w:rPr>
            </w:pPr>
            <w:r>
              <w:rPr>
                <w:rFonts w:ascii="黑体" w:eastAsia="黑体" w:hint="eastAsia"/>
                <w:sz w:val="20"/>
                <w:szCs w:val="20"/>
              </w:rPr>
              <w:t>组织机构基本情况表</w:t>
            </w:r>
          </w:p>
        </w:tc>
        <w:tc>
          <w:tcPr>
            <w:tcW w:w="1418" w:type="dxa"/>
          </w:tcPr>
          <w:p w14:paraId="3927C64F" w14:textId="77777777" w:rsidR="00A052DC" w:rsidRDefault="009F0A60">
            <w:pPr>
              <w:rPr>
                <w:rFonts w:ascii="黑体" w:eastAsia="黑体"/>
                <w:sz w:val="20"/>
                <w:szCs w:val="20"/>
              </w:rPr>
            </w:pPr>
            <w:r>
              <w:rPr>
                <w:rFonts w:ascii="黑体" w:eastAsia="黑体" w:hint="eastAsia"/>
                <w:sz w:val="20"/>
                <w:szCs w:val="20"/>
              </w:rPr>
              <w:t>法定代表人身份证件号码</w:t>
            </w:r>
          </w:p>
        </w:tc>
        <w:tc>
          <w:tcPr>
            <w:tcW w:w="2693" w:type="dxa"/>
          </w:tcPr>
          <w:p w14:paraId="45EFA4FB" w14:textId="77777777" w:rsidR="00A052DC" w:rsidRDefault="009F0A60">
            <w:pPr>
              <w:rPr>
                <w:rFonts w:ascii="黑体" w:eastAsia="黑体"/>
                <w:sz w:val="20"/>
                <w:szCs w:val="20"/>
              </w:rPr>
            </w:pPr>
            <w:r>
              <w:rPr>
                <w:rFonts w:ascii="黑体" w:eastAsia="黑体" w:hint="eastAsia"/>
                <w:sz w:val="20"/>
                <w:szCs w:val="20"/>
              </w:rPr>
              <w:t>选填，法定代表人的18位身份证号码，符合身份证号码校验。</w:t>
            </w:r>
          </w:p>
        </w:tc>
        <w:tc>
          <w:tcPr>
            <w:tcW w:w="2602" w:type="dxa"/>
          </w:tcPr>
          <w:p w14:paraId="15991AAF" w14:textId="77777777" w:rsidR="00A052DC" w:rsidRDefault="0079302F">
            <w:pPr>
              <w:rPr>
                <w:rFonts w:ascii="黑体" w:eastAsia="黑体"/>
                <w:sz w:val="20"/>
                <w:szCs w:val="20"/>
              </w:rPr>
            </w:pPr>
            <w:r>
              <w:rPr>
                <w:rFonts w:ascii="黑体" w:eastAsia="黑体" w:hint="eastAsia"/>
                <w:sz w:val="20"/>
                <w:szCs w:val="20"/>
              </w:rPr>
              <w:t>非必填项</w:t>
            </w:r>
            <w:r w:rsidR="009F0A60">
              <w:rPr>
                <w:rFonts w:ascii="黑体" w:eastAsia="黑体" w:hint="eastAsia"/>
                <w:sz w:val="20"/>
                <w:szCs w:val="20"/>
              </w:rPr>
              <w:t>，法定代表人的身份证、护照、港澳居民来往内地通行证、台湾居民来往大陆通行证等有效身份证件的号码，使用身份证的需符合身份证号码校验。</w:t>
            </w:r>
          </w:p>
        </w:tc>
      </w:tr>
      <w:tr w:rsidR="00A052DC" w14:paraId="0D5470CE" w14:textId="77777777">
        <w:tc>
          <w:tcPr>
            <w:tcW w:w="1809" w:type="dxa"/>
          </w:tcPr>
          <w:p w14:paraId="271815BC" w14:textId="77777777" w:rsidR="00A052DC" w:rsidRDefault="009F0A60">
            <w:pPr>
              <w:rPr>
                <w:rFonts w:ascii="黑体" w:eastAsia="黑体"/>
                <w:sz w:val="20"/>
                <w:szCs w:val="20"/>
              </w:rPr>
            </w:pPr>
            <w:r>
              <w:rPr>
                <w:rFonts w:ascii="黑体" w:eastAsia="黑体" w:hint="eastAsia"/>
                <w:sz w:val="20"/>
                <w:szCs w:val="20"/>
              </w:rPr>
              <w:t>组织机构基本情况表</w:t>
            </w:r>
          </w:p>
        </w:tc>
        <w:tc>
          <w:tcPr>
            <w:tcW w:w="1418" w:type="dxa"/>
          </w:tcPr>
          <w:p w14:paraId="62069D18" w14:textId="77777777" w:rsidR="00A052DC" w:rsidRDefault="009F0A60">
            <w:pPr>
              <w:rPr>
                <w:rFonts w:ascii="黑体" w:eastAsia="黑体"/>
                <w:sz w:val="20"/>
                <w:szCs w:val="20"/>
              </w:rPr>
            </w:pPr>
            <w:r>
              <w:rPr>
                <w:rFonts w:ascii="黑体" w:eastAsia="黑体" w:hint="eastAsia"/>
                <w:sz w:val="20"/>
                <w:szCs w:val="20"/>
              </w:rPr>
              <w:t>申报方式</w:t>
            </w:r>
          </w:p>
        </w:tc>
        <w:tc>
          <w:tcPr>
            <w:tcW w:w="2693" w:type="dxa"/>
          </w:tcPr>
          <w:p w14:paraId="32C58CB8" w14:textId="77777777" w:rsidR="00A052DC" w:rsidRDefault="009F0A60">
            <w:pPr>
              <w:rPr>
                <w:rFonts w:ascii="黑体" w:eastAsia="黑体"/>
                <w:sz w:val="20"/>
                <w:szCs w:val="20"/>
              </w:rPr>
            </w:pPr>
            <w:r>
              <w:rPr>
                <w:rFonts w:ascii="黑体" w:eastAsia="黑体" w:hint="eastAsia"/>
                <w:sz w:val="20"/>
                <w:szCs w:val="20"/>
              </w:rPr>
              <w:t>选填，</w:t>
            </w:r>
          </w:p>
          <w:p w14:paraId="5FB43101" w14:textId="77777777" w:rsidR="00A052DC" w:rsidRDefault="009F0A60">
            <w:pPr>
              <w:rPr>
                <w:rFonts w:ascii="黑体" w:eastAsia="黑体"/>
                <w:sz w:val="20"/>
                <w:szCs w:val="20"/>
              </w:rPr>
            </w:pPr>
            <w:r>
              <w:rPr>
                <w:rFonts w:ascii="黑体" w:eastAsia="黑体" w:hint="eastAsia"/>
                <w:sz w:val="20"/>
                <w:szCs w:val="20"/>
              </w:rPr>
              <w:t>1、纸质申报</w:t>
            </w:r>
          </w:p>
          <w:p w14:paraId="1EC8DC1E" w14:textId="77777777" w:rsidR="00A052DC" w:rsidRDefault="009F0A60">
            <w:pPr>
              <w:rPr>
                <w:rFonts w:ascii="黑体" w:eastAsia="黑体"/>
                <w:sz w:val="20"/>
                <w:szCs w:val="20"/>
              </w:rPr>
            </w:pPr>
            <w:r>
              <w:rPr>
                <w:rFonts w:ascii="黑体" w:eastAsia="黑体" w:hint="eastAsia"/>
                <w:sz w:val="20"/>
                <w:szCs w:val="20"/>
              </w:rPr>
              <w:t>2、网上申报</w:t>
            </w:r>
          </w:p>
          <w:p w14:paraId="1AB11BD4" w14:textId="77777777" w:rsidR="00A052DC" w:rsidRDefault="009F0A60">
            <w:pPr>
              <w:rPr>
                <w:rFonts w:ascii="黑体" w:eastAsia="黑体"/>
                <w:sz w:val="20"/>
                <w:szCs w:val="20"/>
              </w:rPr>
            </w:pPr>
            <w:r>
              <w:rPr>
                <w:rFonts w:ascii="黑体" w:eastAsia="黑体" w:hint="eastAsia"/>
                <w:sz w:val="20"/>
                <w:szCs w:val="20"/>
              </w:rPr>
              <w:t>因银行只能通过银行版为企业开通网上申报并打印初始密码等信息，故银行版接口导入程序仅对此项进行格式检查，不改变银行版中单位基本情况表的申报方式。</w:t>
            </w:r>
          </w:p>
        </w:tc>
        <w:tc>
          <w:tcPr>
            <w:tcW w:w="2602" w:type="dxa"/>
          </w:tcPr>
          <w:p w14:paraId="17855EF2" w14:textId="77777777" w:rsidR="00A052DC" w:rsidRDefault="0079302F">
            <w:pPr>
              <w:rPr>
                <w:rFonts w:ascii="黑体" w:eastAsia="黑体"/>
                <w:sz w:val="20"/>
                <w:szCs w:val="20"/>
              </w:rPr>
            </w:pPr>
            <w:r>
              <w:rPr>
                <w:rFonts w:ascii="黑体" w:eastAsia="黑体" w:hint="eastAsia"/>
                <w:sz w:val="20"/>
                <w:szCs w:val="20"/>
              </w:rPr>
              <w:t>非必填项</w:t>
            </w:r>
            <w:r w:rsidR="009F0A60">
              <w:rPr>
                <w:rFonts w:ascii="黑体" w:eastAsia="黑体" w:hint="eastAsia"/>
                <w:sz w:val="20"/>
                <w:szCs w:val="20"/>
              </w:rPr>
              <w:t>，</w:t>
            </w:r>
          </w:p>
          <w:p w14:paraId="729835F7" w14:textId="77777777" w:rsidR="00A052DC" w:rsidRDefault="009F0A60">
            <w:pPr>
              <w:rPr>
                <w:rFonts w:ascii="黑体" w:eastAsia="黑体"/>
                <w:sz w:val="20"/>
                <w:szCs w:val="20"/>
              </w:rPr>
            </w:pPr>
            <w:r>
              <w:rPr>
                <w:rFonts w:ascii="黑体" w:eastAsia="黑体" w:hint="eastAsia"/>
                <w:sz w:val="20"/>
                <w:szCs w:val="20"/>
              </w:rPr>
              <w:t>1、纸质申报或电子凭证申报</w:t>
            </w:r>
          </w:p>
          <w:p w14:paraId="545B2C95" w14:textId="77777777" w:rsidR="00A052DC" w:rsidRDefault="009F0A60">
            <w:pPr>
              <w:rPr>
                <w:rFonts w:ascii="黑体" w:eastAsia="黑体"/>
                <w:sz w:val="20"/>
                <w:szCs w:val="20"/>
              </w:rPr>
            </w:pPr>
            <w:r>
              <w:rPr>
                <w:rFonts w:ascii="黑体" w:eastAsia="黑体" w:hint="eastAsia"/>
                <w:sz w:val="20"/>
                <w:szCs w:val="20"/>
              </w:rPr>
              <w:t>2、网上申报</w:t>
            </w:r>
          </w:p>
          <w:p w14:paraId="48CA20AD" w14:textId="77777777" w:rsidR="00A052DC" w:rsidRDefault="009F0A60">
            <w:pPr>
              <w:rPr>
                <w:rFonts w:ascii="黑体" w:eastAsia="黑体"/>
                <w:sz w:val="20"/>
                <w:szCs w:val="20"/>
              </w:rPr>
            </w:pPr>
            <w:r>
              <w:rPr>
                <w:rFonts w:ascii="黑体" w:eastAsia="黑体" w:hint="eastAsia"/>
                <w:sz w:val="20"/>
                <w:szCs w:val="20"/>
              </w:rPr>
              <w:t>因银行只能通过银行版为企业开通网上申报并打印初始密码等信息，故银行版接口导入程序仅对此项进行格式检查，不改变银行版中组织机构基本情况表的申报方式。</w:t>
            </w:r>
          </w:p>
        </w:tc>
      </w:tr>
      <w:tr w:rsidR="00A052DC" w14:paraId="0DE1644A" w14:textId="77777777">
        <w:tc>
          <w:tcPr>
            <w:tcW w:w="1809" w:type="dxa"/>
          </w:tcPr>
          <w:p w14:paraId="7B784E26" w14:textId="77777777" w:rsidR="00A052DC" w:rsidRDefault="009F0A60">
            <w:pPr>
              <w:rPr>
                <w:rFonts w:ascii="黑体" w:eastAsia="黑体"/>
                <w:sz w:val="20"/>
                <w:szCs w:val="20"/>
              </w:rPr>
            </w:pPr>
            <w:r>
              <w:rPr>
                <w:rFonts w:ascii="黑体" w:eastAsia="黑体" w:hint="eastAsia"/>
                <w:sz w:val="20"/>
                <w:szCs w:val="20"/>
              </w:rPr>
              <w:t>组织机构基本情况表</w:t>
            </w:r>
          </w:p>
        </w:tc>
        <w:tc>
          <w:tcPr>
            <w:tcW w:w="1418" w:type="dxa"/>
          </w:tcPr>
          <w:p w14:paraId="515AF44D" w14:textId="77777777" w:rsidR="00A052DC" w:rsidRDefault="009F0A60">
            <w:pPr>
              <w:rPr>
                <w:rFonts w:ascii="黑体" w:eastAsia="黑体"/>
                <w:sz w:val="20"/>
                <w:szCs w:val="20"/>
              </w:rPr>
            </w:pPr>
            <w:r>
              <w:rPr>
                <w:rFonts w:ascii="黑体" w:eastAsia="黑体" w:hint="eastAsia"/>
                <w:sz w:val="20"/>
                <w:szCs w:val="20"/>
              </w:rPr>
              <w:t>建表日期</w:t>
            </w:r>
            <w:r>
              <w:rPr>
                <w:rFonts w:ascii="黑体" w:eastAsia="黑体"/>
                <w:sz w:val="20"/>
                <w:szCs w:val="20"/>
              </w:rPr>
              <w:br/>
            </w:r>
            <w:r>
              <w:rPr>
                <w:rFonts w:ascii="黑体" w:eastAsia="黑体" w:hint="eastAsia"/>
                <w:sz w:val="20"/>
                <w:szCs w:val="20"/>
              </w:rPr>
              <w:t>（原“单位传真”，字段为FAX）</w:t>
            </w:r>
          </w:p>
        </w:tc>
        <w:tc>
          <w:tcPr>
            <w:tcW w:w="2693" w:type="dxa"/>
          </w:tcPr>
          <w:p w14:paraId="295B086A" w14:textId="77777777" w:rsidR="00A052DC" w:rsidRDefault="009F0A60">
            <w:pPr>
              <w:rPr>
                <w:rFonts w:ascii="黑体" w:eastAsia="黑体"/>
                <w:sz w:val="20"/>
                <w:szCs w:val="20"/>
              </w:rPr>
            </w:pPr>
            <w:r>
              <w:rPr>
                <w:rFonts w:ascii="黑体" w:eastAsia="黑体" w:hint="eastAsia"/>
                <w:sz w:val="20"/>
                <w:szCs w:val="20"/>
              </w:rPr>
              <w:t>选填，</w:t>
            </w:r>
          </w:p>
          <w:p w14:paraId="245E8734" w14:textId="77777777" w:rsidR="00A052DC" w:rsidRDefault="009F0A60">
            <w:pPr>
              <w:rPr>
                <w:rFonts w:ascii="黑体" w:eastAsia="黑体"/>
                <w:sz w:val="20"/>
                <w:szCs w:val="20"/>
              </w:rPr>
            </w:pPr>
            <w:r>
              <w:rPr>
                <w:rFonts w:ascii="黑体" w:eastAsia="黑体" w:hint="eastAsia"/>
                <w:sz w:val="20"/>
                <w:szCs w:val="20"/>
              </w:rPr>
              <w:t>该单位与开户/经办银行联系的传真，如果此项输入了，则金融机构标识码必填。</w:t>
            </w:r>
          </w:p>
        </w:tc>
        <w:tc>
          <w:tcPr>
            <w:tcW w:w="2602" w:type="dxa"/>
          </w:tcPr>
          <w:p w14:paraId="59758E4F" w14:textId="77777777" w:rsidR="00A052DC" w:rsidRDefault="0079302F">
            <w:pPr>
              <w:jc w:val="left"/>
              <w:rPr>
                <w:rFonts w:ascii="黑体" w:eastAsia="黑体"/>
                <w:sz w:val="20"/>
                <w:szCs w:val="20"/>
              </w:rPr>
            </w:pPr>
            <w:r>
              <w:rPr>
                <w:rFonts w:ascii="黑体" w:eastAsia="黑体" w:hint="eastAsia"/>
                <w:sz w:val="20"/>
                <w:szCs w:val="20"/>
              </w:rPr>
              <w:t>非必填项</w:t>
            </w:r>
            <w:r w:rsidR="009F0A60">
              <w:rPr>
                <w:rFonts w:ascii="黑体" w:eastAsia="黑体" w:hint="eastAsia"/>
                <w:sz w:val="20"/>
                <w:szCs w:val="20"/>
              </w:rPr>
              <w:t>，填报格式为“YYYYMMDD”。</w:t>
            </w:r>
          </w:p>
        </w:tc>
      </w:tr>
    </w:tbl>
    <w:p w14:paraId="1AD11A77" w14:textId="77777777" w:rsidR="00A052DC" w:rsidRDefault="009F0A60">
      <w:pPr>
        <w:pStyle w:val="5"/>
      </w:pPr>
      <w:r>
        <w:t>1.4.3.4.3</w:t>
      </w:r>
      <w:r>
        <w:rPr>
          <w:rFonts w:hint="eastAsia"/>
        </w:rPr>
        <w:t>数据内容及数据格式调整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1417"/>
        <w:gridCol w:w="2552"/>
        <w:gridCol w:w="1701"/>
        <w:gridCol w:w="1176"/>
      </w:tblGrid>
      <w:tr w:rsidR="00A052DC" w14:paraId="487EB733" w14:textId="77777777">
        <w:trPr>
          <w:trHeight w:val="383"/>
          <w:tblHeader/>
          <w:jc w:val="center"/>
        </w:trPr>
        <w:tc>
          <w:tcPr>
            <w:tcW w:w="16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2F107D1" w14:textId="77777777" w:rsidR="00A052DC" w:rsidRDefault="009F0A60">
            <w:pPr>
              <w:pStyle w:val="B1"/>
            </w:pPr>
            <w:r>
              <w:rPr>
                <w:rFonts w:hint="eastAsia"/>
              </w:rPr>
              <w:t>表名</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3C5CCCB" w14:textId="77777777" w:rsidR="00A052DC" w:rsidRDefault="009F0A60">
            <w:pPr>
              <w:pStyle w:val="B1"/>
            </w:pPr>
            <w:r>
              <w:rPr>
                <w:rFonts w:hint="eastAsia"/>
              </w:rPr>
              <w:t>数据项</w:t>
            </w:r>
          </w:p>
        </w:tc>
        <w:tc>
          <w:tcPr>
            <w:tcW w:w="255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64E68DA" w14:textId="77777777" w:rsidR="00A052DC" w:rsidRDefault="009F0A60">
            <w:pPr>
              <w:pStyle w:val="B1"/>
            </w:pPr>
            <w:r>
              <w:rPr>
                <w:rFonts w:hint="eastAsia"/>
              </w:rPr>
              <w:t>定义</w:t>
            </w:r>
          </w:p>
        </w:tc>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9195C9E" w14:textId="77777777" w:rsidR="00A052DC" w:rsidRDefault="009F0A60">
            <w:pPr>
              <w:pStyle w:val="B1"/>
            </w:pPr>
            <w:r>
              <w:rPr>
                <w:rFonts w:hint="eastAsia"/>
              </w:rPr>
              <w:t>说明</w:t>
            </w:r>
          </w:p>
        </w:tc>
        <w:tc>
          <w:tcPr>
            <w:tcW w:w="117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D03090C" w14:textId="77777777" w:rsidR="00A052DC" w:rsidRDefault="009F0A60">
            <w:pPr>
              <w:pStyle w:val="B1"/>
            </w:pPr>
            <w:r>
              <w:rPr>
                <w:rFonts w:hint="eastAsia"/>
              </w:rPr>
              <w:t>调整类型</w:t>
            </w:r>
          </w:p>
        </w:tc>
      </w:tr>
      <w:tr w:rsidR="00A052DC" w14:paraId="671C58D0" w14:textId="77777777">
        <w:trPr>
          <w:trHeight w:val="353"/>
          <w:jc w:val="center"/>
        </w:trPr>
        <w:tc>
          <w:tcPr>
            <w:tcW w:w="1660" w:type="dxa"/>
            <w:tcBorders>
              <w:top w:val="single" w:sz="4" w:space="0" w:color="auto"/>
              <w:left w:val="single" w:sz="4" w:space="0" w:color="auto"/>
              <w:bottom w:val="single" w:sz="4" w:space="0" w:color="auto"/>
              <w:right w:val="single" w:sz="4" w:space="0" w:color="auto"/>
            </w:tcBorders>
          </w:tcPr>
          <w:p w14:paraId="4046EEF4" w14:textId="77777777" w:rsidR="00A052DC" w:rsidRDefault="009F0A60">
            <w:pPr>
              <w:rPr>
                <w:rFonts w:ascii="黑体" w:eastAsia="黑体"/>
                <w:sz w:val="20"/>
                <w:szCs w:val="20"/>
              </w:rPr>
            </w:pPr>
            <w:r>
              <w:rPr>
                <w:rFonts w:ascii="黑体" w:eastAsia="黑体" w:hint="eastAsia"/>
                <w:sz w:val="20"/>
                <w:szCs w:val="20"/>
              </w:rPr>
              <w:t>组织机构基本情</w:t>
            </w:r>
            <w:r>
              <w:rPr>
                <w:rFonts w:ascii="黑体" w:eastAsia="黑体" w:hint="eastAsia"/>
                <w:sz w:val="20"/>
                <w:szCs w:val="20"/>
              </w:rPr>
              <w:lastRenderedPageBreak/>
              <w:t>况表</w:t>
            </w:r>
          </w:p>
        </w:tc>
        <w:tc>
          <w:tcPr>
            <w:tcW w:w="1417" w:type="dxa"/>
            <w:tcBorders>
              <w:top w:val="single" w:sz="4" w:space="0" w:color="auto"/>
              <w:left w:val="single" w:sz="4" w:space="0" w:color="auto"/>
              <w:bottom w:val="single" w:sz="4" w:space="0" w:color="auto"/>
              <w:right w:val="single" w:sz="4" w:space="0" w:color="auto"/>
            </w:tcBorders>
          </w:tcPr>
          <w:p w14:paraId="7C49CECB" w14:textId="77777777" w:rsidR="00A052DC" w:rsidRDefault="009F0A60">
            <w:pPr>
              <w:jc w:val="left"/>
              <w:rPr>
                <w:rFonts w:ascii="黑体" w:eastAsia="黑体" w:hAnsi="宋体" w:cs="宋体"/>
                <w:kern w:val="0"/>
                <w:sz w:val="20"/>
                <w:szCs w:val="20"/>
              </w:rPr>
            </w:pPr>
            <w:r>
              <w:rPr>
                <w:rFonts w:ascii="黑体" w:eastAsia="黑体" w:hAnsi="宋体" w:cs="宋体" w:hint="eastAsia"/>
                <w:kern w:val="0"/>
                <w:sz w:val="20"/>
                <w:szCs w:val="20"/>
              </w:rPr>
              <w:lastRenderedPageBreak/>
              <w:t>主体标识码</w:t>
            </w:r>
            <w:r>
              <w:rPr>
                <w:rFonts w:ascii="黑体" w:eastAsia="黑体" w:hAnsi="宋体" w:cs="宋体" w:hint="eastAsia"/>
                <w:kern w:val="0"/>
                <w:sz w:val="20"/>
                <w:szCs w:val="20"/>
              </w:rPr>
              <w:lastRenderedPageBreak/>
              <w:t>（单位代码）</w:t>
            </w:r>
          </w:p>
        </w:tc>
        <w:tc>
          <w:tcPr>
            <w:tcW w:w="2552" w:type="dxa"/>
            <w:tcBorders>
              <w:top w:val="single" w:sz="4" w:space="0" w:color="auto"/>
              <w:left w:val="single" w:sz="4" w:space="0" w:color="auto"/>
              <w:bottom w:val="single" w:sz="4" w:space="0" w:color="auto"/>
              <w:right w:val="single" w:sz="4" w:space="0" w:color="auto"/>
            </w:tcBorders>
          </w:tcPr>
          <w:p w14:paraId="368F3EE1" w14:textId="77777777" w:rsidR="00A052DC" w:rsidRDefault="009F0A60">
            <w:pPr>
              <w:rPr>
                <w:rFonts w:ascii="黑体" w:eastAsia="黑体" w:hAnsi="宋体" w:cs="宋体"/>
                <w:kern w:val="0"/>
                <w:sz w:val="20"/>
                <w:szCs w:val="20"/>
              </w:rPr>
            </w:pPr>
            <w:r>
              <w:rPr>
                <w:rFonts w:ascii="黑体" w:eastAsia="黑体" w:hAnsi="宋体" w:cs="宋体" w:hint="eastAsia"/>
                <w:kern w:val="0"/>
                <w:sz w:val="20"/>
                <w:szCs w:val="20"/>
              </w:rPr>
              <w:lastRenderedPageBreak/>
              <w:t>指统一社会信用代码法定</w:t>
            </w:r>
            <w:r>
              <w:rPr>
                <w:rFonts w:ascii="黑体" w:eastAsia="黑体" w:hAnsi="宋体" w:cs="宋体" w:hint="eastAsia"/>
                <w:kern w:val="0"/>
                <w:sz w:val="20"/>
                <w:szCs w:val="20"/>
              </w:rPr>
              <w:lastRenderedPageBreak/>
              <w:t>载体（如营业执照）上统一社会信用代码中的第</w:t>
            </w:r>
            <w:r>
              <w:rPr>
                <w:rFonts w:ascii="黑体" w:eastAsia="黑体" w:hAnsi="宋体" w:cs="宋体"/>
                <w:kern w:val="0"/>
                <w:sz w:val="20"/>
                <w:szCs w:val="20"/>
              </w:rPr>
              <w:t>9至17位或国家外汇管理局及其分支局签发的特殊机构代码赋码通知书上的机构代码。</w:t>
            </w:r>
          </w:p>
        </w:tc>
        <w:tc>
          <w:tcPr>
            <w:tcW w:w="1701" w:type="dxa"/>
            <w:tcBorders>
              <w:top w:val="single" w:sz="4" w:space="0" w:color="auto"/>
              <w:left w:val="single" w:sz="4" w:space="0" w:color="auto"/>
              <w:bottom w:val="single" w:sz="4" w:space="0" w:color="auto"/>
              <w:right w:val="single" w:sz="4" w:space="0" w:color="auto"/>
            </w:tcBorders>
          </w:tcPr>
          <w:p w14:paraId="306BFE67" w14:textId="77777777" w:rsidR="00A052DC" w:rsidRDefault="009F0A60">
            <w:pPr>
              <w:rPr>
                <w:rFonts w:ascii="黑体" w:eastAsia="黑体" w:hAnsi="宋体" w:cs="宋体"/>
                <w:kern w:val="0"/>
                <w:sz w:val="20"/>
                <w:szCs w:val="20"/>
              </w:rPr>
            </w:pPr>
            <w:r>
              <w:rPr>
                <w:rFonts w:ascii="黑体" w:eastAsia="黑体" w:hAnsi="宋体" w:cs="宋体" w:hint="eastAsia"/>
                <w:kern w:val="0"/>
                <w:sz w:val="20"/>
                <w:szCs w:val="20"/>
              </w:rPr>
              <w:lastRenderedPageBreak/>
              <w:t>调整关于主体标</w:t>
            </w:r>
            <w:r>
              <w:rPr>
                <w:rFonts w:ascii="黑体" w:eastAsia="黑体" w:hAnsi="宋体" w:cs="宋体" w:hint="eastAsia"/>
                <w:kern w:val="0"/>
                <w:sz w:val="20"/>
                <w:szCs w:val="20"/>
              </w:rPr>
              <w:lastRenderedPageBreak/>
              <w:t>识码的描述。</w:t>
            </w:r>
          </w:p>
        </w:tc>
        <w:tc>
          <w:tcPr>
            <w:tcW w:w="1176" w:type="dxa"/>
            <w:tcBorders>
              <w:top w:val="single" w:sz="4" w:space="0" w:color="auto"/>
              <w:left w:val="single" w:sz="4" w:space="0" w:color="auto"/>
              <w:bottom w:val="single" w:sz="4" w:space="0" w:color="auto"/>
              <w:right w:val="single" w:sz="4" w:space="0" w:color="auto"/>
            </w:tcBorders>
          </w:tcPr>
          <w:p w14:paraId="3A0B85E4" w14:textId="77777777" w:rsidR="00A052DC" w:rsidRDefault="009F0A60">
            <w:pPr>
              <w:rPr>
                <w:rFonts w:ascii="黑体" w:eastAsia="黑体"/>
                <w:sz w:val="20"/>
                <w:szCs w:val="20"/>
              </w:rPr>
            </w:pPr>
            <w:r>
              <w:rPr>
                <w:rFonts w:ascii="黑体" w:eastAsia="黑体" w:hint="eastAsia"/>
                <w:sz w:val="20"/>
                <w:szCs w:val="20"/>
              </w:rPr>
              <w:lastRenderedPageBreak/>
              <w:t>修改</w:t>
            </w:r>
          </w:p>
        </w:tc>
      </w:tr>
      <w:tr w:rsidR="00A052DC" w14:paraId="3A70DC6F" w14:textId="77777777">
        <w:trPr>
          <w:trHeight w:val="353"/>
          <w:jc w:val="center"/>
        </w:trPr>
        <w:tc>
          <w:tcPr>
            <w:tcW w:w="1660" w:type="dxa"/>
            <w:tcBorders>
              <w:top w:val="single" w:sz="4" w:space="0" w:color="auto"/>
              <w:left w:val="single" w:sz="4" w:space="0" w:color="auto"/>
              <w:bottom w:val="single" w:sz="4" w:space="0" w:color="auto"/>
              <w:right w:val="single" w:sz="4" w:space="0" w:color="auto"/>
            </w:tcBorders>
          </w:tcPr>
          <w:p w14:paraId="45880D5C" w14:textId="77777777" w:rsidR="00A052DC" w:rsidRDefault="009F0A60">
            <w:pPr>
              <w:rPr>
                <w:rFonts w:ascii="黑体" w:eastAsia="黑体"/>
                <w:sz w:val="20"/>
                <w:szCs w:val="20"/>
              </w:rPr>
            </w:pPr>
            <w:r>
              <w:rPr>
                <w:rFonts w:ascii="黑体" w:eastAsia="黑体" w:hint="eastAsia"/>
                <w:sz w:val="20"/>
                <w:szCs w:val="20"/>
              </w:rPr>
              <w:t>组织机构基本情况表</w:t>
            </w:r>
          </w:p>
        </w:tc>
        <w:tc>
          <w:tcPr>
            <w:tcW w:w="1417" w:type="dxa"/>
            <w:tcBorders>
              <w:top w:val="single" w:sz="4" w:space="0" w:color="auto"/>
              <w:left w:val="single" w:sz="4" w:space="0" w:color="auto"/>
              <w:bottom w:val="single" w:sz="4" w:space="0" w:color="auto"/>
              <w:right w:val="single" w:sz="4" w:space="0" w:color="auto"/>
            </w:tcBorders>
          </w:tcPr>
          <w:p w14:paraId="0F756E8C" w14:textId="77777777" w:rsidR="00A052DC" w:rsidRDefault="009F0A60">
            <w:pPr>
              <w:jc w:val="left"/>
              <w:rPr>
                <w:rFonts w:ascii="黑体" w:eastAsia="黑体" w:hAnsi="宋体" w:cs="宋体"/>
                <w:kern w:val="0"/>
                <w:sz w:val="20"/>
                <w:szCs w:val="20"/>
              </w:rPr>
            </w:pPr>
            <w:r>
              <w:rPr>
                <w:rFonts w:ascii="黑体" w:eastAsia="黑体" w:hAnsi="黑体" w:hint="eastAsia"/>
                <w:sz w:val="20"/>
                <w:szCs w:val="20"/>
              </w:rPr>
              <w:t>LEI编码</w:t>
            </w:r>
          </w:p>
        </w:tc>
        <w:tc>
          <w:tcPr>
            <w:tcW w:w="2552" w:type="dxa"/>
            <w:tcBorders>
              <w:top w:val="single" w:sz="4" w:space="0" w:color="auto"/>
              <w:left w:val="single" w:sz="4" w:space="0" w:color="auto"/>
              <w:bottom w:val="single" w:sz="4" w:space="0" w:color="auto"/>
              <w:right w:val="single" w:sz="4" w:space="0" w:color="auto"/>
            </w:tcBorders>
          </w:tcPr>
          <w:p w14:paraId="271EA875" w14:textId="77777777" w:rsidR="00A052DC" w:rsidRDefault="009F0A60">
            <w:pPr>
              <w:rPr>
                <w:rFonts w:ascii="黑体" w:eastAsia="黑体" w:hAnsi="宋体" w:cs="宋体"/>
                <w:kern w:val="0"/>
                <w:sz w:val="20"/>
                <w:szCs w:val="20"/>
              </w:rPr>
            </w:pPr>
            <w:r>
              <w:rPr>
                <w:rFonts w:ascii="黑体" w:eastAsia="黑体" w:hAnsi="黑体" w:hint="eastAsia"/>
                <w:sz w:val="20"/>
                <w:szCs w:val="20"/>
              </w:rPr>
              <w:t>指按照国际标准化组织的《金融服务法人机构识别编码》(ISO 17442:2012)标准为法人机构分配的由20位数字和字母组成的唯一编码,可以用于标识与国际金融交易相关联的法人机构，英文全称是 Legal Entity Identifier。</w:t>
            </w:r>
          </w:p>
        </w:tc>
        <w:tc>
          <w:tcPr>
            <w:tcW w:w="1701" w:type="dxa"/>
            <w:tcBorders>
              <w:top w:val="single" w:sz="4" w:space="0" w:color="auto"/>
              <w:left w:val="single" w:sz="4" w:space="0" w:color="auto"/>
              <w:bottom w:val="single" w:sz="4" w:space="0" w:color="auto"/>
              <w:right w:val="single" w:sz="4" w:space="0" w:color="auto"/>
            </w:tcBorders>
          </w:tcPr>
          <w:p w14:paraId="5E3161CD" w14:textId="77777777" w:rsidR="00A052DC" w:rsidRDefault="009F0A60">
            <w:pPr>
              <w:rPr>
                <w:rFonts w:ascii="黑体" w:eastAsia="黑体" w:hAnsi="宋体" w:cs="宋体"/>
                <w:kern w:val="0"/>
                <w:sz w:val="20"/>
                <w:szCs w:val="20"/>
              </w:rPr>
            </w:pPr>
            <w:r>
              <w:rPr>
                <w:rFonts w:ascii="黑体" w:eastAsia="黑体" w:hAnsi="黑体" w:hint="eastAsia"/>
                <w:sz w:val="20"/>
                <w:szCs w:val="20"/>
              </w:rPr>
              <w:t>调整LEI编码相关描述。</w:t>
            </w:r>
          </w:p>
        </w:tc>
        <w:tc>
          <w:tcPr>
            <w:tcW w:w="1176" w:type="dxa"/>
            <w:tcBorders>
              <w:top w:val="single" w:sz="4" w:space="0" w:color="auto"/>
              <w:left w:val="single" w:sz="4" w:space="0" w:color="auto"/>
              <w:bottom w:val="single" w:sz="4" w:space="0" w:color="auto"/>
              <w:right w:val="single" w:sz="4" w:space="0" w:color="auto"/>
            </w:tcBorders>
          </w:tcPr>
          <w:p w14:paraId="2781D263" w14:textId="77777777" w:rsidR="00A052DC" w:rsidRDefault="009F0A60">
            <w:pPr>
              <w:rPr>
                <w:rFonts w:ascii="黑体" w:eastAsia="黑体"/>
                <w:sz w:val="20"/>
                <w:szCs w:val="20"/>
              </w:rPr>
            </w:pPr>
            <w:r>
              <w:rPr>
                <w:rFonts w:ascii="黑体" w:eastAsia="黑体" w:hint="eastAsia"/>
                <w:sz w:val="20"/>
                <w:szCs w:val="20"/>
              </w:rPr>
              <w:t>修改</w:t>
            </w:r>
          </w:p>
        </w:tc>
      </w:tr>
      <w:tr w:rsidR="00A052DC" w14:paraId="774A7372" w14:textId="77777777">
        <w:trPr>
          <w:trHeight w:val="353"/>
          <w:jc w:val="center"/>
        </w:trPr>
        <w:tc>
          <w:tcPr>
            <w:tcW w:w="1660" w:type="dxa"/>
            <w:tcBorders>
              <w:top w:val="single" w:sz="4" w:space="0" w:color="auto"/>
              <w:left w:val="single" w:sz="4" w:space="0" w:color="auto"/>
              <w:bottom w:val="single" w:sz="4" w:space="0" w:color="auto"/>
              <w:right w:val="single" w:sz="4" w:space="0" w:color="auto"/>
            </w:tcBorders>
          </w:tcPr>
          <w:p w14:paraId="16C55835" w14:textId="77777777" w:rsidR="00A052DC" w:rsidRDefault="009F0A60">
            <w:pPr>
              <w:rPr>
                <w:rFonts w:ascii="黑体" w:eastAsia="黑体"/>
                <w:sz w:val="20"/>
                <w:szCs w:val="20"/>
              </w:rPr>
            </w:pPr>
            <w:r>
              <w:rPr>
                <w:rFonts w:ascii="黑体" w:eastAsia="黑体" w:hint="eastAsia"/>
                <w:sz w:val="20"/>
                <w:szCs w:val="20"/>
              </w:rPr>
              <w:t>组织机构基本情况表</w:t>
            </w:r>
          </w:p>
        </w:tc>
        <w:tc>
          <w:tcPr>
            <w:tcW w:w="1417" w:type="dxa"/>
            <w:tcBorders>
              <w:top w:val="single" w:sz="4" w:space="0" w:color="auto"/>
              <w:left w:val="single" w:sz="4" w:space="0" w:color="auto"/>
              <w:bottom w:val="single" w:sz="4" w:space="0" w:color="auto"/>
              <w:right w:val="single" w:sz="4" w:space="0" w:color="auto"/>
            </w:tcBorders>
          </w:tcPr>
          <w:p w14:paraId="2BD5A07A" w14:textId="77777777" w:rsidR="00A052DC" w:rsidRDefault="009F0A60">
            <w:pPr>
              <w:jc w:val="left"/>
              <w:rPr>
                <w:rFonts w:ascii="黑体" w:eastAsia="黑体" w:hAnsi="宋体" w:cs="宋体"/>
                <w:kern w:val="0"/>
                <w:sz w:val="20"/>
                <w:szCs w:val="20"/>
              </w:rPr>
            </w:pPr>
            <w:r>
              <w:rPr>
                <w:rFonts w:ascii="黑体" w:eastAsia="黑体" w:hAnsi="宋体" w:cs="宋体" w:hint="eastAsia"/>
                <w:kern w:val="0"/>
                <w:sz w:val="20"/>
                <w:szCs w:val="20"/>
              </w:rPr>
              <w:t>法定代表人身份证件号码</w:t>
            </w:r>
          </w:p>
        </w:tc>
        <w:tc>
          <w:tcPr>
            <w:tcW w:w="2552" w:type="dxa"/>
            <w:tcBorders>
              <w:top w:val="single" w:sz="4" w:space="0" w:color="auto"/>
              <w:left w:val="single" w:sz="4" w:space="0" w:color="auto"/>
              <w:bottom w:val="single" w:sz="4" w:space="0" w:color="auto"/>
              <w:right w:val="single" w:sz="4" w:space="0" w:color="auto"/>
            </w:tcBorders>
          </w:tcPr>
          <w:p w14:paraId="3D7A3D24" w14:textId="77777777" w:rsidR="00A052DC" w:rsidRDefault="009F0A60">
            <w:pPr>
              <w:rPr>
                <w:rFonts w:ascii="黑体" w:eastAsia="黑体" w:hAnsi="宋体" w:cs="宋体"/>
                <w:kern w:val="0"/>
                <w:sz w:val="20"/>
                <w:szCs w:val="20"/>
              </w:rPr>
            </w:pPr>
            <w:r>
              <w:rPr>
                <w:rFonts w:ascii="黑体" w:eastAsia="黑体" w:hAnsi="宋体" w:cs="宋体" w:hint="eastAsia"/>
                <w:kern w:val="0"/>
                <w:sz w:val="20"/>
                <w:szCs w:val="20"/>
              </w:rPr>
              <w:t>法定代表人的身份证、护照、港澳居民来往内地通行证、台湾居民来往大陆通行证等有效身份证件的号码，使用身份证的需符合身份证号码校验。</w:t>
            </w:r>
          </w:p>
        </w:tc>
        <w:tc>
          <w:tcPr>
            <w:tcW w:w="1701" w:type="dxa"/>
            <w:tcBorders>
              <w:top w:val="single" w:sz="4" w:space="0" w:color="auto"/>
              <w:left w:val="single" w:sz="4" w:space="0" w:color="auto"/>
              <w:bottom w:val="single" w:sz="4" w:space="0" w:color="auto"/>
              <w:right w:val="single" w:sz="4" w:space="0" w:color="auto"/>
            </w:tcBorders>
          </w:tcPr>
          <w:p w14:paraId="1588593C" w14:textId="77777777" w:rsidR="00A052DC" w:rsidRDefault="009F0A60">
            <w:pPr>
              <w:rPr>
                <w:rFonts w:ascii="黑体" w:eastAsia="黑体" w:hAnsi="宋体" w:cs="宋体"/>
                <w:kern w:val="0"/>
                <w:sz w:val="20"/>
                <w:szCs w:val="20"/>
              </w:rPr>
            </w:pPr>
            <w:r>
              <w:rPr>
                <w:rFonts w:ascii="黑体" w:eastAsia="黑体" w:hAnsi="宋体" w:cs="宋体" w:hint="eastAsia"/>
                <w:kern w:val="0"/>
                <w:sz w:val="20"/>
                <w:szCs w:val="20"/>
              </w:rPr>
              <w:t>调整法定代表人身份证件号码描述。</w:t>
            </w:r>
          </w:p>
          <w:p w14:paraId="2AD40D64" w14:textId="77777777" w:rsidR="00A052DC" w:rsidRDefault="00A052DC">
            <w:pPr>
              <w:rPr>
                <w:rFonts w:ascii="黑体" w:eastAsia="黑体" w:hAnsi="宋体" w:cs="宋体"/>
                <w:kern w:val="0"/>
                <w:sz w:val="20"/>
                <w:szCs w:val="20"/>
              </w:rPr>
            </w:pPr>
          </w:p>
        </w:tc>
        <w:tc>
          <w:tcPr>
            <w:tcW w:w="1176" w:type="dxa"/>
            <w:tcBorders>
              <w:top w:val="single" w:sz="4" w:space="0" w:color="auto"/>
              <w:left w:val="single" w:sz="4" w:space="0" w:color="auto"/>
              <w:bottom w:val="single" w:sz="4" w:space="0" w:color="auto"/>
              <w:right w:val="single" w:sz="4" w:space="0" w:color="auto"/>
            </w:tcBorders>
          </w:tcPr>
          <w:p w14:paraId="241290D1" w14:textId="77777777" w:rsidR="00A052DC" w:rsidRDefault="009F0A60">
            <w:pPr>
              <w:rPr>
                <w:rFonts w:ascii="黑体" w:eastAsia="黑体"/>
                <w:sz w:val="20"/>
                <w:szCs w:val="20"/>
              </w:rPr>
            </w:pPr>
            <w:r>
              <w:rPr>
                <w:rFonts w:ascii="黑体" w:eastAsia="黑体" w:hint="eastAsia"/>
                <w:sz w:val="20"/>
                <w:szCs w:val="20"/>
              </w:rPr>
              <w:t>修改</w:t>
            </w:r>
          </w:p>
        </w:tc>
      </w:tr>
      <w:tr w:rsidR="00A052DC" w14:paraId="7F6A34CF" w14:textId="77777777">
        <w:trPr>
          <w:trHeight w:val="353"/>
          <w:jc w:val="center"/>
        </w:trPr>
        <w:tc>
          <w:tcPr>
            <w:tcW w:w="1660" w:type="dxa"/>
            <w:tcBorders>
              <w:top w:val="single" w:sz="4" w:space="0" w:color="auto"/>
              <w:left w:val="single" w:sz="4" w:space="0" w:color="auto"/>
              <w:bottom w:val="single" w:sz="4" w:space="0" w:color="auto"/>
              <w:right w:val="single" w:sz="4" w:space="0" w:color="auto"/>
            </w:tcBorders>
          </w:tcPr>
          <w:p w14:paraId="7E3BCE3A" w14:textId="77777777" w:rsidR="00A052DC" w:rsidRDefault="009F0A60">
            <w:pPr>
              <w:rPr>
                <w:rFonts w:ascii="黑体" w:eastAsia="黑体"/>
                <w:sz w:val="20"/>
                <w:szCs w:val="20"/>
              </w:rPr>
            </w:pPr>
            <w:r>
              <w:rPr>
                <w:rFonts w:ascii="黑体" w:eastAsia="黑体" w:hint="eastAsia"/>
                <w:sz w:val="20"/>
                <w:szCs w:val="20"/>
              </w:rPr>
              <w:t>组织机构基本情况表</w:t>
            </w:r>
          </w:p>
        </w:tc>
        <w:tc>
          <w:tcPr>
            <w:tcW w:w="1417" w:type="dxa"/>
            <w:tcBorders>
              <w:top w:val="single" w:sz="4" w:space="0" w:color="auto"/>
              <w:left w:val="single" w:sz="4" w:space="0" w:color="auto"/>
              <w:bottom w:val="single" w:sz="4" w:space="0" w:color="auto"/>
              <w:right w:val="single" w:sz="4" w:space="0" w:color="auto"/>
            </w:tcBorders>
          </w:tcPr>
          <w:p w14:paraId="576383FA" w14:textId="77777777" w:rsidR="00A052DC" w:rsidRDefault="009F0A60">
            <w:pPr>
              <w:jc w:val="left"/>
              <w:rPr>
                <w:rFonts w:ascii="黑体" w:eastAsia="黑体" w:hAnsi="宋体" w:cs="宋体"/>
                <w:kern w:val="0"/>
                <w:sz w:val="20"/>
                <w:szCs w:val="20"/>
              </w:rPr>
            </w:pPr>
            <w:r>
              <w:rPr>
                <w:rFonts w:ascii="黑体" w:eastAsia="黑体" w:hAnsi="宋体" w:cs="宋体" w:hint="eastAsia"/>
                <w:kern w:val="0"/>
                <w:sz w:val="20"/>
                <w:szCs w:val="20"/>
              </w:rPr>
              <w:t>申报方式</w:t>
            </w:r>
          </w:p>
        </w:tc>
        <w:tc>
          <w:tcPr>
            <w:tcW w:w="2552" w:type="dxa"/>
            <w:tcBorders>
              <w:top w:val="single" w:sz="4" w:space="0" w:color="auto"/>
              <w:left w:val="single" w:sz="4" w:space="0" w:color="auto"/>
              <w:bottom w:val="single" w:sz="4" w:space="0" w:color="auto"/>
              <w:right w:val="single" w:sz="4" w:space="0" w:color="auto"/>
            </w:tcBorders>
          </w:tcPr>
          <w:p w14:paraId="1FCADFDE" w14:textId="77777777" w:rsidR="00A052DC" w:rsidRDefault="009F0A60">
            <w:pPr>
              <w:rPr>
                <w:rFonts w:ascii="黑体" w:eastAsia="黑体" w:hAnsi="宋体" w:cs="宋体"/>
                <w:kern w:val="0"/>
                <w:sz w:val="20"/>
                <w:szCs w:val="20"/>
              </w:rPr>
            </w:pPr>
            <w:r>
              <w:rPr>
                <w:rFonts w:ascii="黑体" w:eastAsia="黑体" w:hAnsi="宋体" w:cs="宋体" w:hint="eastAsia"/>
                <w:kern w:val="0"/>
                <w:sz w:val="20"/>
                <w:szCs w:val="20"/>
              </w:rPr>
              <w:t>机构客户可以选择以下两种申报方式：纸质申报或电子凭证申报、网上申报。</w:t>
            </w:r>
          </w:p>
        </w:tc>
        <w:tc>
          <w:tcPr>
            <w:tcW w:w="1701" w:type="dxa"/>
            <w:tcBorders>
              <w:top w:val="single" w:sz="4" w:space="0" w:color="auto"/>
              <w:left w:val="single" w:sz="4" w:space="0" w:color="auto"/>
              <w:bottom w:val="single" w:sz="4" w:space="0" w:color="auto"/>
              <w:right w:val="single" w:sz="4" w:space="0" w:color="auto"/>
            </w:tcBorders>
          </w:tcPr>
          <w:p w14:paraId="44FB1D84" w14:textId="77777777" w:rsidR="00A052DC" w:rsidRDefault="009F0A60">
            <w:pPr>
              <w:rPr>
                <w:rFonts w:ascii="黑体" w:eastAsia="黑体" w:hAnsi="宋体" w:cs="宋体"/>
                <w:kern w:val="0"/>
                <w:sz w:val="20"/>
                <w:szCs w:val="20"/>
              </w:rPr>
            </w:pPr>
            <w:r>
              <w:rPr>
                <w:rFonts w:ascii="黑体" w:eastAsia="黑体" w:hAnsi="宋体" w:cs="宋体" w:hint="eastAsia"/>
                <w:kern w:val="0"/>
                <w:sz w:val="20"/>
                <w:szCs w:val="20"/>
              </w:rPr>
              <w:t>调整申报方式描述。</w:t>
            </w:r>
          </w:p>
        </w:tc>
        <w:tc>
          <w:tcPr>
            <w:tcW w:w="1176" w:type="dxa"/>
            <w:tcBorders>
              <w:top w:val="single" w:sz="4" w:space="0" w:color="auto"/>
              <w:left w:val="single" w:sz="4" w:space="0" w:color="auto"/>
              <w:bottom w:val="single" w:sz="4" w:space="0" w:color="auto"/>
              <w:right w:val="single" w:sz="4" w:space="0" w:color="auto"/>
            </w:tcBorders>
          </w:tcPr>
          <w:p w14:paraId="70A830EF" w14:textId="77777777" w:rsidR="00A052DC" w:rsidRDefault="009F0A60">
            <w:pPr>
              <w:rPr>
                <w:rFonts w:ascii="黑体" w:eastAsia="黑体"/>
                <w:sz w:val="20"/>
                <w:szCs w:val="20"/>
              </w:rPr>
            </w:pPr>
            <w:r>
              <w:rPr>
                <w:rFonts w:ascii="黑体" w:eastAsia="黑体" w:hint="eastAsia"/>
                <w:sz w:val="20"/>
                <w:szCs w:val="20"/>
              </w:rPr>
              <w:t>修改</w:t>
            </w:r>
          </w:p>
        </w:tc>
      </w:tr>
      <w:tr w:rsidR="00A052DC" w14:paraId="7716901E" w14:textId="77777777">
        <w:trPr>
          <w:trHeight w:val="353"/>
          <w:jc w:val="center"/>
        </w:trPr>
        <w:tc>
          <w:tcPr>
            <w:tcW w:w="1660" w:type="dxa"/>
            <w:tcBorders>
              <w:top w:val="single" w:sz="4" w:space="0" w:color="auto"/>
              <w:left w:val="single" w:sz="4" w:space="0" w:color="auto"/>
              <w:bottom w:val="single" w:sz="4" w:space="0" w:color="auto"/>
              <w:right w:val="single" w:sz="4" w:space="0" w:color="auto"/>
            </w:tcBorders>
          </w:tcPr>
          <w:p w14:paraId="2878F04C" w14:textId="77777777" w:rsidR="00A052DC" w:rsidRDefault="009F0A60">
            <w:pPr>
              <w:rPr>
                <w:rFonts w:ascii="黑体" w:eastAsia="黑体"/>
                <w:sz w:val="20"/>
                <w:szCs w:val="20"/>
              </w:rPr>
            </w:pPr>
            <w:r>
              <w:rPr>
                <w:rFonts w:ascii="黑体" w:eastAsia="黑体" w:hint="eastAsia"/>
                <w:sz w:val="20"/>
                <w:szCs w:val="20"/>
              </w:rPr>
              <w:t>组织机构基本情况表</w:t>
            </w:r>
          </w:p>
        </w:tc>
        <w:tc>
          <w:tcPr>
            <w:tcW w:w="1417" w:type="dxa"/>
            <w:tcBorders>
              <w:top w:val="single" w:sz="4" w:space="0" w:color="auto"/>
              <w:left w:val="single" w:sz="4" w:space="0" w:color="auto"/>
              <w:bottom w:val="single" w:sz="4" w:space="0" w:color="auto"/>
              <w:right w:val="single" w:sz="4" w:space="0" w:color="auto"/>
            </w:tcBorders>
          </w:tcPr>
          <w:p w14:paraId="42A75A44" w14:textId="77777777" w:rsidR="00A052DC" w:rsidRDefault="009F0A60">
            <w:pPr>
              <w:jc w:val="left"/>
              <w:rPr>
                <w:rFonts w:ascii="黑体" w:eastAsia="黑体" w:hAnsi="宋体" w:cs="宋体"/>
                <w:kern w:val="0"/>
                <w:sz w:val="20"/>
                <w:szCs w:val="20"/>
              </w:rPr>
            </w:pPr>
            <w:r>
              <w:rPr>
                <w:rFonts w:ascii="黑体" w:eastAsia="黑体" w:hAnsi="宋体" w:cs="宋体" w:hint="eastAsia"/>
                <w:kern w:val="0"/>
                <w:sz w:val="20"/>
                <w:szCs w:val="20"/>
              </w:rPr>
              <w:t>建表日期</w:t>
            </w:r>
          </w:p>
        </w:tc>
        <w:tc>
          <w:tcPr>
            <w:tcW w:w="2552" w:type="dxa"/>
            <w:tcBorders>
              <w:top w:val="single" w:sz="4" w:space="0" w:color="auto"/>
              <w:left w:val="single" w:sz="4" w:space="0" w:color="auto"/>
              <w:bottom w:val="single" w:sz="4" w:space="0" w:color="auto"/>
              <w:right w:val="single" w:sz="4" w:space="0" w:color="auto"/>
            </w:tcBorders>
          </w:tcPr>
          <w:p w14:paraId="293EC78F" w14:textId="77777777" w:rsidR="00A052DC" w:rsidRDefault="009F0A60">
            <w:pPr>
              <w:rPr>
                <w:rFonts w:ascii="黑体" w:eastAsia="黑体" w:hAnsi="宋体" w:cs="宋体"/>
                <w:kern w:val="0"/>
                <w:sz w:val="20"/>
                <w:szCs w:val="20"/>
              </w:rPr>
            </w:pPr>
            <w:r>
              <w:rPr>
                <w:rFonts w:ascii="黑体" w:eastAsia="黑体" w:hAnsi="宋体" w:cs="宋体" w:hint="eastAsia"/>
                <w:kern w:val="0"/>
                <w:sz w:val="20"/>
                <w:szCs w:val="20"/>
              </w:rPr>
              <w:t>指报送机构本次维护（新建或修改）组织机构信息的日期。</w:t>
            </w:r>
          </w:p>
        </w:tc>
        <w:tc>
          <w:tcPr>
            <w:tcW w:w="1701" w:type="dxa"/>
            <w:tcBorders>
              <w:top w:val="single" w:sz="4" w:space="0" w:color="auto"/>
              <w:left w:val="single" w:sz="4" w:space="0" w:color="auto"/>
              <w:bottom w:val="single" w:sz="4" w:space="0" w:color="auto"/>
              <w:right w:val="single" w:sz="4" w:space="0" w:color="auto"/>
            </w:tcBorders>
          </w:tcPr>
          <w:p w14:paraId="687A7F28" w14:textId="77777777" w:rsidR="00A052DC" w:rsidRDefault="009F0A60">
            <w:pPr>
              <w:rPr>
                <w:rFonts w:ascii="黑体" w:eastAsia="黑体" w:hAnsi="宋体" w:cs="宋体"/>
                <w:kern w:val="0"/>
                <w:sz w:val="20"/>
                <w:szCs w:val="20"/>
              </w:rPr>
            </w:pPr>
            <w:r>
              <w:rPr>
                <w:rFonts w:ascii="黑体" w:eastAsia="黑体" w:hAnsi="宋体" w:cs="宋体" w:hint="eastAsia"/>
                <w:kern w:val="0"/>
                <w:sz w:val="20"/>
                <w:szCs w:val="20"/>
              </w:rPr>
              <w:t>原“单位传真”数据项。</w:t>
            </w:r>
          </w:p>
        </w:tc>
        <w:tc>
          <w:tcPr>
            <w:tcW w:w="1176" w:type="dxa"/>
            <w:tcBorders>
              <w:top w:val="single" w:sz="4" w:space="0" w:color="auto"/>
              <w:left w:val="single" w:sz="4" w:space="0" w:color="auto"/>
              <w:bottom w:val="single" w:sz="4" w:space="0" w:color="auto"/>
              <w:right w:val="single" w:sz="4" w:space="0" w:color="auto"/>
            </w:tcBorders>
          </w:tcPr>
          <w:p w14:paraId="3E6D02F0" w14:textId="77777777" w:rsidR="00A052DC" w:rsidRDefault="009F0A60">
            <w:pPr>
              <w:rPr>
                <w:rFonts w:ascii="黑体" w:eastAsia="黑体"/>
                <w:sz w:val="20"/>
                <w:szCs w:val="20"/>
              </w:rPr>
            </w:pPr>
            <w:r>
              <w:rPr>
                <w:rFonts w:ascii="黑体" w:eastAsia="黑体" w:hint="eastAsia"/>
                <w:sz w:val="20"/>
                <w:szCs w:val="20"/>
              </w:rPr>
              <w:t>修改</w:t>
            </w:r>
          </w:p>
        </w:tc>
      </w:tr>
      <w:tr w:rsidR="00A052DC" w14:paraId="2B64052C" w14:textId="77777777">
        <w:trPr>
          <w:trHeight w:val="353"/>
          <w:jc w:val="center"/>
        </w:trPr>
        <w:tc>
          <w:tcPr>
            <w:tcW w:w="1660" w:type="dxa"/>
            <w:tcBorders>
              <w:top w:val="single" w:sz="4" w:space="0" w:color="auto"/>
              <w:left w:val="single" w:sz="4" w:space="0" w:color="auto"/>
              <w:bottom w:val="single" w:sz="4" w:space="0" w:color="auto"/>
              <w:right w:val="single" w:sz="4" w:space="0" w:color="auto"/>
            </w:tcBorders>
          </w:tcPr>
          <w:p w14:paraId="37A3D46C" w14:textId="77777777" w:rsidR="00A052DC" w:rsidRDefault="009F0A60">
            <w:pPr>
              <w:rPr>
                <w:rFonts w:ascii="黑体" w:eastAsia="黑体"/>
                <w:sz w:val="20"/>
                <w:szCs w:val="20"/>
              </w:rPr>
            </w:pPr>
            <w:r>
              <w:rPr>
                <w:rFonts w:ascii="黑体" w:eastAsia="黑体" w:hint="eastAsia"/>
                <w:sz w:val="20"/>
                <w:szCs w:val="20"/>
              </w:rPr>
              <w:t>组织机构基本情况表</w:t>
            </w:r>
          </w:p>
        </w:tc>
        <w:tc>
          <w:tcPr>
            <w:tcW w:w="1417" w:type="dxa"/>
            <w:tcBorders>
              <w:top w:val="single" w:sz="4" w:space="0" w:color="auto"/>
              <w:left w:val="single" w:sz="4" w:space="0" w:color="auto"/>
              <w:bottom w:val="single" w:sz="4" w:space="0" w:color="auto"/>
              <w:right w:val="single" w:sz="4" w:space="0" w:color="auto"/>
            </w:tcBorders>
          </w:tcPr>
          <w:p w14:paraId="23190116" w14:textId="77777777" w:rsidR="00A052DC" w:rsidRDefault="009F0A60">
            <w:pPr>
              <w:jc w:val="left"/>
              <w:rPr>
                <w:rFonts w:ascii="黑体" w:eastAsia="黑体" w:hAnsi="宋体" w:cs="宋体"/>
                <w:kern w:val="0"/>
                <w:sz w:val="20"/>
                <w:szCs w:val="20"/>
              </w:rPr>
            </w:pPr>
            <w:r>
              <w:rPr>
                <w:rFonts w:ascii="黑体" w:eastAsia="黑体" w:hAnsi="黑体" w:hint="eastAsia"/>
                <w:sz w:val="20"/>
                <w:szCs w:val="20"/>
              </w:rPr>
              <w:t>外方投资者国别（地区）名称及代码</w:t>
            </w:r>
          </w:p>
        </w:tc>
        <w:tc>
          <w:tcPr>
            <w:tcW w:w="2552" w:type="dxa"/>
            <w:tcBorders>
              <w:top w:val="single" w:sz="4" w:space="0" w:color="auto"/>
              <w:left w:val="single" w:sz="4" w:space="0" w:color="auto"/>
              <w:bottom w:val="single" w:sz="4" w:space="0" w:color="auto"/>
              <w:right w:val="single" w:sz="4" w:space="0" w:color="auto"/>
            </w:tcBorders>
          </w:tcPr>
          <w:p w14:paraId="114B7845" w14:textId="77777777" w:rsidR="00A052DC" w:rsidRDefault="009F0A60">
            <w:pPr>
              <w:rPr>
                <w:rFonts w:ascii="黑体" w:eastAsia="黑体" w:hAnsi="宋体" w:cs="宋体"/>
                <w:kern w:val="0"/>
                <w:sz w:val="20"/>
                <w:szCs w:val="20"/>
              </w:rPr>
            </w:pPr>
            <w:r>
              <w:rPr>
                <w:rFonts w:ascii="黑体" w:eastAsia="黑体" w:hAnsi="黑体" w:hint="eastAsia"/>
                <w:sz w:val="20"/>
                <w:szCs w:val="20"/>
              </w:rPr>
              <w:t>指在中国境内依法成立的机构中投资比例超过</w:t>
            </w:r>
            <w:r>
              <w:rPr>
                <w:rFonts w:ascii="黑体" w:eastAsia="黑体" w:hAnsi="黑体"/>
                <w:sz w:val="20"/>
                <w:szCs w:val="20"/>
              </w:rPr>
              <w:t>10％（含）的外方投资者所属国别的</w:t>
            </w:r>
            <w:r>
              <w:rPr>
                <w:rFonts w:ascii="黑体" w:eastAsia="黑体" w:hAnsi="黑体" w:hint="eastAsia"/>
                <w:sz w:val="20"/>
                <w:szCs w:val="20"/>
              </w:rPr>
              <w:t>名称。国家（地区）代码指国家质量监督检验检疫总局发布的“世界各国和地区名称代码”。</w:t>
            </w:r>
          </w:p>
        </w:tc>
        <w:tc>
          <w:tcPr>
            <w:tcW w:w="1701" w:type="dxa"/>
            <w:tcBorders>
              <w:top w:val="single" w:sz="4" w:space="0" w:color="auto"/>
              <w:left w:val="single" w:sz="4" w:space="0" w:color="auto"/>
              <w:bottom w:val="single" w:sz="4" w:space="0" w:color="auto"/>
              <w:right w:val="single" w:sz="4" w:space="0" w:color="auto"/>
            </w:tcBorders>
          </w:tcPr>
          <w:p w14:paraId="1751A94A" w14:textId="77777777" w:rsidR="00A052DC" w:rsidRDefault="009F0A60">
            <w:pPr>
              <w:rPr>
                <w:rFonts w:ascii="黑体" w:eastAsia="黑体" w:hAnsi="宋体" w:cs="宋体"/>
                <w:kern w:val="0"/>
                <w:sz w:val="20"/>
                <w:szCs w:val="20"/>
              </w:rPr>
            </w:pPr>
            <w:r>
              <w:rPr>
                <w:rFonts w:ascii="黑体" w:eastAsia="黑体" w:hAnsi="宋体" w:cs="宋体" w:hint="eastAsia"/>
                <w:kern w:val="0"/>
                <w:sz w:val="20"/>
                <w:szCs w:val="20"/>
              </w:rPr>
              <w:t>该数据项通过资本协议登记数据获取，无需报送。</w:t>
            </w:r>
          </w:p>
        </w:tc>
        <w:tc>
          <w:tcPr>
            <w:tcW w:w="1176" w:type="dxa"/>
            <w:tcBorders>
              <w:top w:val="single" w:sz="4" w:space="0" w:color="auto"/>
              <w:left w:val="single" w:sz="4" w:space="0" w:color="auto"/>
              <w:bottom w:val="single" w:sz="4" w:space="0" w:color="auto"/>
              <w:right w:val="single" w:sz="4" w:space="0" w:color="auto"/>
            </w:tcBorders>
          </w:tcPr>
          <w:p w14:paraId="32D83488" w14:textId="77777777" w:rsidR="00A052DC" w:rsidRDefault="009F0A60">
            <w:pPr>
              <w:rPr>
                <w:rFonts w:ascii="黑体" w:eastAsia="黑体"/>
                <w:sz w:val="20"/>
                <w:szCs w:val="20"/>
              </w:rPr>
            </w:pPr>
            <w:r>
              <w:rPr>
                <w:rFonts w:ascii="黑体" w:eastAsia="黑体" w:hint="eastAsia"/>
                <w:sz w:val="20"/>
                <w:szCs w:val="20"/>
              </w:rPr>
              <w:t>删除</w:t>
            </w:r>
          </w:p>
        </w:tc>
      </w:tr>
    </w:tbl>
    <w:p w14:paraId="37273291" w14:textId="77777777" w:rsidR="00A052DC" w:rsidRDefault="009F0A60">
      <w:pPr>
        <w:pStyle w:val="4"/>
        <w:numPr>
          <w:ilvl w:val="3"/>
          <w:numId w:val="1"/>
        </w:numPr>
        <w:jc w:val="left"/>
      </w:pPr>
      <w:r>
        <w:rPr>
          <w:rFonts w:hint="eastAsia"/>
        </w:rPr>
        <w:t>涉外收支数据调整</w:t>
      </w:r>
    </w:p>
    <w:p w14:paraId="75CBA663" w14:textId="77777777" w:rsidR="00A052DC" w:rsidRPr="00091D09" w:rsidRDefault="00A412F6">
      <w:pPr>
        <w:spacing w:line="360" w:lineRule="auto"/>
        <w:ind w:firstLineChars="200" w:firstLine="480"/>
        <w:rPr>
          <w:rFonts w:ascii="Times New Roman" w:hAnsi="Times New Roman"/>
          <w:sz w:val="24"/>
          <w:szCs w:val="24"/>
        </w:rPr>
      </w:pPr>
      <w:r w:rsidRPr="00A412F6">
        <w:rPr>
          <w:rFonts w:ascii="Times New Roman" w:hAnsi="Times New Roman" w:hint="eastAsia"/>
          <w:sz w:val="24"/>
          <w:szCs w:val="24"/>
        </w:rPr>
        <w:t>部分文字修改，如预收</w:t>
      </w:r>
      <w:r w:rsidRPr="00A412F6">
        <w:rPr>
          <w:rFonts w:ascii="Times New Roman" w:hAnsi="Times New Roman"/>
          <w:sz w:val="24"/>
          <w:szCs w:val="24"/>
        </w:rPr>
        <w:t>/</w:t>
      </w:r>
      <w:r w:rsidRPr="00A412F6">
        <w:rPr>
          <w:rFonts w:ascii="Times New Roman" w:hAnsi="Times New Roman"/>
          <w:sz w:val="24"/>
          <w:szCs w:val="24"/>
        </w:rPr>
        <w:t>付款、收入类型选项等，详见第六章</w:t>
      </w:r>
      <w:r w:rsidR="009F0A60">
        <w:rPr>
          <w:rFonts w:ascii="Times New Roman" w:hAnsi="Times New Roman"/>
          <w:sz w:val="24"/>
          <w:szCs w:val="24"/>
        </w:rPr>
        <w:t>6.2</w:t>
      </w:r>
      <w:r w:rsidRPr="00A412F6">
        <w:rPr>
          <w:rFonts w:ascii="Times New Roman" w:hAnsi="Times New Roman" w:hint="eastAsia"/>
          <w:sz w:val="24"/>
          <w:szCs w:val="24"/>
        </w:rPr>
        <w:t>。</w:t>
      </w:r>
    </w:p>
    <w:p w14:paraId="20BB0945" w14:textId="77777777" w:rsidR="00A052DC" w:rsidRPr="00091D09" w:rsidRDefault="00A412F6">
      <w:pPr>
        <w:spacing w:line="360" w:lineRule="auto"/>
        <w:ind w:firstLineChars="200" w:firstLine="480"/>
        <w:rPr>
          <w:rFonts w:ascii="Times New Roman" w:hAnsi="Times New Roman"/>
          <w:sz w:val="24"/>
          <w:szCs w:val="24"/>
        </w:rPr>
      </w:pPr>
      <w:r w:rsidRPr="00A412F6">
        <w:rPr>
          <w:rFonts w:ascii="Times New Roman" w:hAnsi="Times New Roman" w:hint="eastAsia"/>
          <w:sz w:val="24"/>
          <w:szCs w:val="24"/>
        </w:rPr>
        <w:t>“组织机构代码”数据项更名为“主体标识码”、</w:t>
      </w:r>
      <w:r w:rsidRPr="00A412F6">
        <w:rPr>
          <w:rFonts w:ascii="Times New Roman" w:hAnsi="Times New Roman"/>
          <w:sz w:val="24"/>
          <w:szCs w:val="24"/>
        </w:rPr>
        <w:t>外汇局批件号</w:t>
      </w:r>
      <w:r w:rsidRPr="00A412F6">
        <w:rPr>
          <w:rFonts w:ascii="Times New Roman" w:hAnsi="Times New Roman"/>
          <w:sz w:val="24"/>
          <w:szCs w:val="24"/>
        </w:rPr>
        <w:t>/</w:t>
      </w:r>
      <w:r w:rsidRPr="00A412F6">
        <w:rPr>
          <w:rFonts w:ascii="Times New Roman" w:hAnsi="Times New Roman"/>
          <w:sz w:val="24"/>
          <w:szCs w:val="24"/>
        </w:rPr>
        <w:t>备案表号</w:t>
      </w:r>
      <w:r w:rsidRPr="00A412F6">
        <w:rPr>
          <w:rFonts w:ascii="Times New Roman" w:hAnsi="Times New Roman"/>
          <w:sz w:val="24"/>
          <w:szCs w:val="24"/>
        </w:rPr>
        <w:t>/</w:t>
      </w:r>
      <w:r w:rsidRPr="00A412F6">
        <w:rPr>
          <w:rFonts w:ascii="Times New Roman" w:hAnsi="Times New Roman"/>
          <w:sz w:val="24"/>
          <w:szCs w:val="24"/>
        </w:rPr>
        <w:t>业务编号</w:t>
      </w:r>
      <w:r w:rsidRPr="00A412F6">
        <w:rPr>
          <w:rFonts w:ascii="Times New Roman" w:hAnsi="Times New Roman" w:hint="eastAsia"/>
          <w:sz w:val="24"/>
          <w:szCs w:val="24"/>
        </w:rPr>
        <w:t>数据术语解释和校验规则调整、“汇款金额”校验规则调整等，“合同号”、</w:t>
      </w:r>
      <w:r w:rsidRPr="00A412F6">
        <w:rPr>
          <w:rFonts w:ascii="Times New Roman" w:hAnsi="Times New Roman" w:hint="eastAsia"/>
          <w:sz w:val="24"/>
          <w:szCs w:val="24"/>
        </w:rPr>
        <w:lastRenderedPageBreak/>
        <w:t>“发票号”、“提运单号</w:t>
      </w:r>
      <w:r w:rsidRPr="00A412F6">
        <w:rPr>
          <w:rFonts w:ascii="Times New Roman" w:hAnsi="Times New Roman"/>
          <w:sz w:val="24"/>
          <w:szCs w:val="24"/>
        </w:rPr>
        <w:t>/</w:t>
      </w:r>
      <w:r w:rsidRPr="00A412F6">
        <w:rPr>
          <w:rFonts w:ascii="Times New Roman" w:hAnsi="Times New Roman" w:hint="eastAsia"/>
          <w:sz w:val="24"/>
          <w:szCs w:val="24"/>
        </w:rPr>
        <w:t>仓单号”字段长度调整等，详见第六章</w:t>
      </w:r>
      <w:r w:rsidR="009F0A60">
        <w:rPr>
          <w:rFonts w:ascii="Times New Roman" w:hAnsi="Times New Roman"/>
          <w:sz w:val="24"/>
          <w:szCs w:val="24"/>
        </w:rPr>
        <w:t>6.2</w:t>
      </w:r>
      <w:r w:rsidRPr="00A412F6">
        <w:rPr>
          <w:rFonts w:ascii="Times New Roman" w:hAnsi="Times New Roman" w:hint="eastAsia"/>
          <w:sz w:val="24"/>
          <w:szCs w:val="24"/>
        </w:rPr>
        <w:t>。</w:t>
      </w:r>
    </w:p>
    <w:p w14:paraId="425F65B9" w14:textId="77777777" w:rsidR="00A052DC" w:rsidRDefault="00A412F6">
      <w:pPr>
        <w:spacing w:line="360" w:lineRule="auto"/>
        <w:ind w:firstLineChars="200" w:firstLine="480"/>
        <w:rPr>
          <w:rFonts w:ascii="Times New Roman" w:hAnsi="Times New Roman"/>
          <w:sz w:val="24"/>
          <w:szCs w:val="24"/>
        </w:rPr>
      </w:pPr>
      <w:r w:rsidRPr="00A412F6">
        <w:rPr>
          <w:rFonts w:ascii="Times New Roman" w:hAnsi="Times New Roman" w:hint="eastAsia"/>
          <w:sz w:val="24"/>
          <w:szCs w:val="24"/>
        </w:rPr>
        <w:t>参照数据采集修改内容，同步调整向银行反馈数据的数据格式信息，详见第八章</w:t>
      </w:r>
      <w:r w:rsidR="009F0A60">
        <w:rPr>
          <w:rFonts w:ascii="Times New Roman" w:hAnsi="Times New Roman"/>
          <w:sz w:val="24"/>
          <w:szCs w:val="24"/>
        </w:rPr>
        <w:t>8.3</w:t>
      </w:r>
      <w:r w:rsidRPr="00A412F6">
        <w:rPr>
          <w:rFonts w:ascii="Times New Roman" w:hAnsi="Times New Roman" w:hint="eastAsia"/>
          <w:sz w:val="24"/>
          <w:szCs w:val="24"/>
        </w:rPr>
        <w:t>。</w:t>
      </w:r>
    </w:p>
    <w:p w14:paraId="60CE32E3" w14:textId="77777777" w:rsidR="00A052DC" w:rsidRDefault="009F0A60" w:rsidP="0020251D">
      <w:pPr>
        <w:pStyle w:val="4"/>
        <w:numPr>
          <w:ilvl w:val="3"/>
          <w:numId w:val="1"/>
        </w:numPr>
        <w:jc w:val="left"/>
      </w:pPr>
      <w:r>
        <w:rPr>
          <w:rFonts w:hint="eastAsia"/>
        </w:rPr>
        <w:t>境内划转数据调整</w:t>
      </w:r>
    </w:p>
    <w:p w14:paraId="61830FA5" w14:textId="77777777" w:rsidR="00A052DC" w:rsidRPr="00091D09" w:rsidRDefault="009F0A60">
      <w:pPr>
        <w:spacing w:line="360" w:lineRule="auto"/>
        <w:ind w:firstLineChars="200" w:firstLine="480"/>
        <w:rPr>
          <w:rFonts w:ascii="Times New Roman" w:hAnsi="Times New Roman"/>
          <w:sz w:val="24"/>
          <w:szCs w:val="24"/>
        </w:rPr>
      </w:pPr>
      <w:r w:rsidRPr="00091D09">
        <w:rPr>
          <w:rFonts w:ascii="Times New Roman" w:hAnsi="Times New Roman" w:hint="eastAsia"/>
          <w:sz w:val="24"/>
          <w:szCs w:val="24"/>
        </w:rPr>
        <w:t>扩大采集范围，新增部分非居民机构账户收到来自非居民账户境内划转资金数据的采集，并调整交易对手名称、交易编码、交易附言相关校验规则，详见第六章</w:t>
      </w:r>
      <w:r w:rsidRPr="00091D09">
        <w:rPr>
          <w:rFonts w:ascii="Times New Roman" w:hAnsi="Times New Roman"/>
          <w:sz w:val="24"/>
          <w:szCs w:val="24"/>
        </w:rPr>
        <w:t>6.3</w:t>
      </w:r>
      <w:r w:rsidRPr="00091D09">
        <w:rPr>
          <w:rFonts w:ascii="Times New Roman" w:hAnsi="Times New Roman" w:hint="eastAsia"/>
          <w:sz w:val="24"/>
          <w:szCs w:val="24"/>
        </w:rPr>
        <w:t>。</w:t>
      </w:r>
    </w:p>
    <w:p w14:paraId="7BFC1D55" w14:textId="77777777" w:rsidR="00A052DC" w:rsidRPr="00091D09" w:rsidRDefault="00A412F6">
      <w:pPr>
        <w:spacing w:line="360" w:lineRule="auto"/>
        <w:ind w:firstLineChars="200" w:firstLine="480"/>
        <w:rPr>
          <w:rFonts w:ascii="Times New Roman" w:hAnsi="Times New Roman"/>
          <w:sz w:val="24"/>
          <w:szCs w:val="24"/>
        </w:rPr>
      </w:pPr>
      <w:r w:rsidRPr="00A412F6">
        <w:rPr>
          <w:rFonts w:ascii="Times New Roman" w:hint="eastAsia"/>
          <w:sz w:val="24"/>
          <w:szCs w:val="24"/>
        </w:rPr>
        <w:t>部分文字修改，如收款性质、付款类型下</w:t>
      </w:r>
      <w:r w:rsidRPr="00A412F6">
        <w:rPr>
          <w:rFonts w:ascii="Times New Roman" w:hAnsi="Times New Roman" w:hint="eastAsia"/>
          <w:sz w:val="24"/>
          <w:szCs w:val="24"/>
        </w:rPr>
        <w:t>“</w:t>
      </w:r>
      <w:r w:rsidRPr="00A412F6">
        <w:rPr>
          <w:rFonts w:ascii="Times New Roman" w:hint="eastAsia"/>
          <w:sz w:val="24"/>
          <w:szCs w:val="24"/>
        </w:rPr>
        <w:t>预收</w:t>
      </w:r>
      <w:r w:rsidRPr="00A412F6">
        <w:rPr>
          <w:rFonts w:ascii="Times New Roman" w:hAnsi="Times New Roman"/>
          <w:sz w:val="24"/>
          <w:szCs w:val="24"/>
        </w:rPr>
        <w:t>/</w:t>
      </w:r>
      <w:r w:rsidRPr="00A412F6">
        <w:rPr>
          <w:rFonts w:ascii="Times New Roman" w:hint="eastAsia"/>
          <w:sz w:val="24"/>
          <w:szCs w:val="24"/>
        </w:rPr>
        <w:t>付款</w:t>
      </w:r>
      <w:r w:rsidRPr="00A412F6">
        <w:rPr>
          <w:rFonts w:ascii="Times New Roman" w:hAnsi="Times New Roman" w:hint="eastAsia"/>
          <w:sz w:val="24"/>
          <w:szCs w:val="24"/>
        </w:rPr>
        <w:t>”</w:t>
      </w:r>
      <w:r w:rsidRPr="00A412F6">
        <w:rPr>
          <w:rFonts w:ascii="Times New Roman" w:hint="eastAsia"/>
          <w:sz w:val="24"/>
          <w:szCs w:val="24"/>
        </w:rPr>
        <w:t>选项、</w:t>
      </w:r>
      <w:r w:rsidRPr="00A412F6">
        <w:rPr>
          <w:rFonts w:ascii="Times New Roman" w:hAnsi="宋体" w:hint="eastAsia"/>
          <w:sz w:val="24"/>
          <w:szCs w:val="24"/>
        </w:rPr>
        <w:t>外汇局批件号</w:t>
      </w:r>
      <w:r w:rsidRPr="00A412F6">
        <w:rPr>
          <w:rFonts w:ascii="Times New Roman" w:hAnsi="Times New Roman"/>
          <w:sz w:val="24"/>
          <w:szCs w:val="24"/>
        </w:rPr>
        <w:t>/</w:t>
      </w:r>
      <w:r w:rsidRPr="00A412F6">
        <w:rPr>
          <w:rFonts w:ascii="Times New Roman" w:hAnsi="Times New Roman"/>
          <w:sz w:val="24"/>
          <w:szCs w:val="24"/>
        </w:rPr>
        <w:t>备案表号</w:t>
      </w:r>
      <w:r w:rsidRPr="00A412F6">
        <w:rPr>
          <w:rFonts w:ascii="Times New Roman" w:hAnsi="Times New Roman"/>
          <w:sz w:val="24"/>
          <w:szCs w:val="24"/>
        </w:rPr>
        <w:t>/</w:t>
      </w:r>
      <w:r w:rsidRPr="00A412F6">
        <w:rPr>
          <w:rFonts w:ascii="Times New Roman" w:hAnsi="Times New Roman"/>
          <w:sz w:val="24"/>
          <w:szCs w:val="24"/>
        </w:rPr>
        <w:t>业务编号</w:t>
      </w:r>
      <w:r w:rsidRPr="00A412F6">
        <w:rPr>
          <w:rFonts w:ascii="Times New Roman" w:hAnsi="Times New Roman" w:hint="eastAsia"/>
          <w:sz w:val="24"/>
          <w:szCs w:val="24"/>
        </w:rPr>
        <w:t>等，详见第六章</w:t>
      </w:r>
      <w:r w:rsidRPr="00A412F6">
        <w:rPr>
          <w:rFonts w:ascii="Times New Roman" w:hAnsi="Times New Roman"/>
          <w:sz w:val="24"/>
          <w:szCs w:val="24"/>
        </w:rPr>
        <w:t>6.3</w:t>
      </w:r>
      <w:r w:rsidRPr="00A412F6">
        <w:rPr>
          <w:rFonts w:ascii="Times New Roman" w:hAnsi="Times New Roman" w:hint="eastAsia"/>
          <w:sz w:val="24"/>
          <w:szCs w:val="24"/>
        </w:rPr>
        <w:t>。</w:t>
      </w:r>
    </w:p>
    <w:p w14:paraId="11FE3167" w14:textId="77777777" w:rsidR="00A052DC" w:rsidRPr="00091D09" w:rsidRDefault="00A412F6">
      <w:pPr>
        <w:spacing w:line="360" w:lineRule="auto"/>
        <w:ind w:firstLineChars="200" w:firstLine="480"/>
        <w:rPr>
          <w:rFonts w:ascii="Times New Roman" w:hAnsi="Times New Roman"/>
          <w:sz w:val="24"/>
          <w:szCs w:val="24"/>
        </w:rPr>
      </w:pPr>
      <w:r w:rsidRPr="00A412F6">
        <w:rPr>
          <w:rFonts w:ascii="Times New Roman" w:hAnsi="Times New Roman" w:hint="eastAsia"/>
          <w:sz w:val="24"/>
          <w:szCs w:val="24"/>
        </w:rPr>
        <w:t>“</w:t>
      </w:r>
      <w:r w:rsidRPr="00A412F6">
        <w:rPr>
          <w:rFonts w:ascii="Times New Roman" w:hAnsi="宋体" w:hint="eastAsia"/>
          <w:sz w:val="24"/>
          <w:szCs w:val="24"/>
        </w:rPr>
        <w:t>合同号</w:t>
      </w:r>
      <w:r w:rsidRPr="00A412F6">
        <w:rPr>
          <w:rFonts w:ascii="Times New Roman" w:hAnsi="Times New Roman" w:hint="eastAsia"/>
          <w:sz w:val="24"/>
          <w:szCs w:val="24"/>
        </w:rPr>
        <w:t>”</w:t>
      </w:r>
      <w:r w:rsidRPr="00A412F6">
        <w:rPr>
          <w:rFonts w:ascii="Times New Roman" w:hAnsi="宋体" w:hint="eastAsia"/>
          <w:sz w:val="24"/>
          <w:szCs w:val="24"/>
        </w:rPr>
        <w:t>、</w:t>
      </w:r>
      <w:r w:rsidRPr="00A412F6">
        <w:rPr>
          <w:rFonts w:ascii="Times New Roman" w:hAnsi="Times New Roman" w:hint="eastAsia"/>
          <w:sz w:val="24"/>
          <w:szCs w:val="24"/>
        </w:rPr>
        <w:t>“</w:t>
      </w:r>
      <w:r w:rsidRPr="00A412F6">
        <w:rPr>
          <w:rFonts w:ascii="Times New Roman" w:hAnsi="宋体" w:hint="eastAsia"/>
          <w:sz w:val="24"/>
          <w:szCs w:val="24"/>
        </w:rPr>
        <w:t>发票号</w:t>
      </w:r>
      <w:r w:rsidRPr="00A412F6">
        <w:rPr>
          <w:rFonts w:ascii="Times New Roman" w:hAnsi="Times New Roman" w:hint="eastAsia"/>
          <w:sz w:val="24"/>
          <w:szCs w:val="24"/>
        </w:rPr>
        <w:t>”</w:t>
      </w:r>
      <w:r w:rsidRPr="00A412F6">
        <w:rPr>
          <w:rFonts w:ascii="Times New Roman" w:hAnsi="宋体" w:hint="eastAsia"/>
          <w:sz w:val="24"/>
          <w:szCs w:val="24"/>
        </w:rPr>
        <w:t>、</w:t>
      </w:r>
      <w:r w:rsidRPr="00A412F6">
        <w:rPr>
          <w:rFonts w:ascii="Times New Roman" w:hAnsi="Times New Roman" w:hint="eastAsia"/>
          <w:sz w:val="24"/>
          <w:szCs w:val="24"/>
        </w:rPr>
        <w:t>“</w:t>
      </w:r>
      <w:r w:rsidRPr="00A412F6">
        <w:rPr>
          <w:rFonts w:ascii="Times New Roman" w:hAnsi="宋体" w:hint="eastAsia"/>
          <w:sz w:val="24"/>
          <w:szCs w:val="24"/>
        </w:rPr>
        <w:t>提运单号</w:t>
      </w:r>
      <w:r w:rsidRPr="00A412F6">
        <w:rPr>
          <w:rFonts w:ascii="Times New Roman" w:hAnsi="Times New Roman"/>
          <w:sz w:val="24"/>
          <w:szCs w:val="24"/>
        </w:rPr>
        <w:t>/</w:t>
      </w:r>
      <w:r w:rsidRPr="00A412F6">
        <w:rPr>
          <w:rFonts w:ascii="Times New Roman" w:hAnsi="宋体" w:hint="eastAsia"/>
          <w:sz w:val="24"/>
          <w:szCs w:val="24"/>
        </w:rPr>
        <w:t>仓单号</w:t>
      </w:r>
      <w:r w:rsidRPr="00A412F6">
        <w:rPr>
          <w:rFonts w:ascii="Times New Roman" w:hAnsi="Times New Roman" w:hint="eastAsia"/>
          <w:sz w:val="24"/>
          <w:szCs w:val="24"/>
        </w:rPr>
        <w:t>”</w:t>
      </w:r>
      <w:r w:rsidRPr="00A412F6">
        <w:rPr>
          <w:rFonts w:ascii="Times New Roman" w:hAnsi="宋体" w:hint="eastAsia"/>
          <w:sz w:val="24"/>
          <w:szCs w:val="24"/>
        </w:rPr>
        <w:t>字段长度调整等，详见第六章</w:t>
      </w:r>
      <w:r w:rsidR="009F0A60" w:rsidRPr="00091D09">
        <w:rPr>
          <w:rFonts w:ascii="Times New Roman" w:hAnsi="Times New Roman"/>
          <w:sz w:val="24"/>
          <w:szCs w:val="24"/>
        </w:rPr>
        <w:t>6.3</w:t>
      </w:r>
      <w:r w:rsidRPr="00A412F6">
        <w:rPr>
          <w:rFonts w:ascii="Times New Roman" w:hAnsi="宋体" w:hint="eastAsia"/>
          <w:sz w:val="24"/>
          <w:szCs w:val="24"/>
        </w:rPr>
        <w:t>。</w:t>
      </w:r>
      <w:r w:rsidRPr="00A412F6">
        <w:rPr>
          <w:rFonts w:ascii="Times New Roman" w:hAnsi="Times New Roman" w:hint="eastAsia"/>
          <w:sz w:val="24"/>
          <w:szCs w:val="24"/>
        </w:rPr>
        <w:t>“组织机构代码”数据项更名为“主体标识码”，境内汇款申请书</w:t>
      </w:r>
      <w:r w:rsidRPr="00A412F6">
        <w:rPr>
          <w:rFonts w:ascii="Times New Roman" w:hAnsi="Times New Roman"/>
          <w:sz w:val="24"/>
          <w:szCs w:val="24"/>
        </w:rPr>
        <w:t>-</w:t>
      </w:r>
      <w:r w:rsidRPr="00A412F6">
        <w:rPr>
          <w:rFonts w:ascii="Times New Roman" w:hAnsi="Times New Roman" w:hint="eastAsia"/>
          <w:sz w:val="24"/>
          <w:szCs w:val="24"/>
        </w:rPr>
        <w:t>管理信息、境内付款</w:t>
      </w:r>
      <w:r w:rsidRPr="00A412F6">
        <w:rPr>
          <w:rFonts w:ascii="Times New Roman" w:hAnsi="Times New Roman"/>
          <w:sz w:val="24"/>
          <w:szCs w:val="24"/>
        </w:rPr>
        <w:t>/</w:t>
      </w:r>
      <w:r w:rsidRPr="00A412F6">
        <w:rPr>
          <w:rFonts w:ascii="Times New Roman" w:hAnsi="Times New Roman" w:hint="eastAsia"/>
          <w:sz w:val="24"/>
          <w:szCs w:val="24"/>
        </w:rPr>
        <w:t>承兑通知书</w:t>
      </w:r>
      <w:r w:rsidRPr="00A412F6">
        <w:rPr>
          <w:rFonts w:ascii="Times New Roman" w:hAnsi="Times New Roman"/>
          <w:sz w:val="24"/>
          <w:szCs w:val="24"/>
        </w:rPr>
        <w:t>-</w:t>
      </w:r>
      <w:r w:rsidRPr="00A412F6">
        <w:rPr>
          <w:rFonts w:ascii="Times New Roman" w:hAnsi="Times New Roman" w:hint="eastAsia"/>
          <w:sz w:val="24"/>
          <w:szCs w:val="24"/>
        </w:rPr>
        <w:t>管理信息新增交易附言数据项，详见第六章</w:t>
      </w:r>
      <w:r w:rsidRPr="00A412F6">
        <w:rPr>
          <w:rFonts w:ascii="Times New Roman" w:hAnsi="Times New Roman"/>
          <w:sz w:val="24"/>
          <w:szCs w:val="24"/>
        </w:rPr>
        <w:t>6.3</w:t>
      </w:r>
      <w:r w:rsidRPr="00A412F6">
        <w:rPr>
          <w:rFonts w:ascii="Times New Roman" w:hAnsi="Times New Roman" w:hint="eastAsia"/>
          <w:sz w:val="24"/>
          <w:szCs w:val="24"/>
        </w:rPr>
        <w:t>。</w:t>
      </w:r>
    </w:p>
    <w:p w14:paraId="5FBA0911" w14:textId="77777777" w:rsidR="00A052DC" w:rsidRPr="00091D09" w:rsidRDefault="00A412F6">
      <w:pPr>
        <w:spacing w:line="360" w:lineRule="auto"/>
        <w:ind w:firstLineChars="200" w:firstLine="480"/>
        <w:rPr>
          <w:rFonts w:ascii="Times New Roman" w:hAnsi="Times New Roman"/>
          <w:sz w:val="24"/>
          <w:szCs w:val="24"/>
        </w:rPr>
      </w:pPr>
      <w:r w:rsidRPr="00A412F6">
        <w:rPr>
          <w:rFonts w:ascii="Times New Roman" w:hAnsi="Times New Roman"/>
          <w:sz w:val="24"/>
          <w:szCs w:val="24"/>
        </w:rPr>
        <w:t>参照</w:t>
      </w:r>
      <w:r w:rsidRPr="00A412F6">
        <w:rPr>
          <w:rFonts w:ascii="Times New Roman" w:hAnsi="Times New Roman" w:hint="eastAsia"/>
          <w:sz w:val="24"/>
          <w:szCs w:val="24"/>
        </w:rPr>
        <w:t>数据采集</w:t>
      </w:r>
      <w:r w:rsidRPr="00A412F6">
        <w:rPr>
          <w:rFonts w:ascii="Times New Roman" w:hAnsi="Times New Roman"/>
          <w:sz w:val="24"/>
          <w:szCs w:val="24"/>
        </w:rPr>
        <w:t>修改内容，同步调整向银行反馈数据的数据格式信息，详</w:t>
      </w:r>
      <w:r w:rsidRPr="00A412F6">
        <w:rPr>
          <w:rFonts w:ascii="Times New Roman" w:hAnsi="Times New Roman" w:hint="eastAsia"/>
          <w:sz w:val="24"/>
          <w:szCs w:val="24"/>
        </w:rPr>
        <w:t>见</w:t>
      </w:r>
      <w:r w:rsidRPr="00A412F6">
        <w:rPr>
          <w:rFonts w:ascii="Times New Roman" w:hAnsi="Times New Roman"/>
          <w:sz w:val="24"/>
          <w:szCs w:val="24"/>
        </w:rPr>
        <w:t>第八章</w:t>
      </w:r>
      <w:r w:rsidRPr="00A412F6">
        <w:rPr>
          <w:rFonts w:ascii="Times New Roman" w:hAnsi="Times New Roman"/>
          <w:sz w:val="24"/>
          <w:szCs w:val="24"/>
        </w:rPr>
        <w:t>8.3</w:t>
      </w:r>
      <w:r w:rsidRPr="00A412F6">
        <w:rPr>
          <w:rFonts w:ascii="Times New Roman" w:hAnsi="Times New Roman"/>
          <w:sz w:val="24"/>
          <w:szCs w:val="24"/>
        </w:rPr>
        <w:t>。</w:t>
      </w:r>
    </w:p>
    <w:p w14:paraId="7EFACA68" w14:textId="77777777" w:rsidR="00A052DC" w:rsidRDefault="009F0A60" w:rsidP="0020251D">
      <w:pPr>
        <w:pStyle w:val="4"/>
        <w:numPr>
          <w:ilvl w:val="3"/>
          <w:numId w:val="1"/>
        </w:numPr>
        <w:jc w:val="left"/>
      </w:pPr>
      <w:r>
        <w:rPr>
          <w:rFonts w:hint="eastAsia"/>
        </w:rPr>
        <w:t>对外担保调整</w:t>
      </w:r>
    </w:p>
    <w:p w14:paraId="7633F3EF" w14:textId="77777777" w:rsidR="00A052DC" w:rsidRDefault="009F0A60" w:rsidP="0020251D">
      <w:pPr>
        <w:pStyle w:val="5"/>
      </w:pPr>
      <w:r>
        <w:t>1.4.3.</w:t>
      </w:r>
      <w:r>
        <w:rPr>
          <w:rFonts w:hint="eastAsia"/>
        </w:rPr>
        <w:t>7</w:t>
      </w:r>
      <w:r>
        <w:t>.1</w:t>
      </w:r>
      <w:r>
        <w:rPr>
          <w:rFonts w:hint="eastAsia"/>
        </w:rPr>
        <w:t>数据字典调整</w:t>
      </w:r>
    </w:p>
    <w:tbl>
      <w:tblPr>
        <w:tblW w:w="7901" w:type="dxa"/>
        <w:jc w:val="center"/>
        <w:tblLayout w:type="fixed"/>
        <w:tblLook w:val="04A0" w:firstRow="1" w:lastRow="0" w:firstColumn="1" w:lastColumn="0" w:noHBand="0" w:noVBand="1"/>
      </w:tblPr>
      <w:tblGrid>
        <w:gridCol w:w="2018"/>
        <w:gridCol w:w="5883"/>
      </w:tblGrid>
      <w:tr w:rsidR="00A052DC" w14:paraId="2FD25256" w14:textId="77777777">
        <w:trPr>
          <w:trHeight w:val="240"/>
          <w:jc w:val="center"/>
        </w:trPr>
        <w:tc>
          <w:tcPr>
            <w:tcW w:w="2018" w:type="dxa"/>
            <w:tcBorders>
              <w:top w:val="single" w:sz="4" w:space="0" w:color="auto"/>
              <w:left w:val="single" w:sz="4" w:space="0" w:color="auto"/>
              <w:bottom w:val="single" w:sz="4" w:space="0" w:color="auto"/>
              <w:right w:val="single" w:sz="4" w:space="0" w:color="auto"/>
            </w:tcBorders>
            <w:shd w:val="clear" w:color="000000" w:fill="BFBFBF"/>
            <w:vAlign w:val="center"/>
          </w:tcPr>
          <w:p w14:paraId="42221747" w14:textId="77777777" w:rsidR="00A052DC" w:rsidRDefault="009F0A60">
            <w:pPr>
              <w:widowControl/>
              <w:jc w:val="center"/>
              <w:rPr>
                <w:rFonts w:ascii="黑体" w:eastAsia="黑体" w:hAnsi="黑体" w:cs="宋体"/>
                <w:b/>
                <w:bCs/>
                <w:color w:val="000000"/>
                <w:kern w:val="0"/>
                <w:sz w:val="20"/>
                <w:szCs w:val="20"/>
              </w:rPr>
            </w:pPr>
            <w:r>
              <w:rPr>
                <w:rFonts w:ascii="黑体" w:eastAsia="黑体" w:hAnsi="黑体" w:cs="宋体" w:hint="eastAsia"/>
                <w:b/>
                <w:bCs/>
                <w:color w:val="000000"/>
                <w:kern w:val="0"/>
                <w:sz w:val="20"/>
                <w:szCs w:val="20"/>
              </w:rPr>
              <w:t>数据项</w:t>
            </w:r>
          </w:p>
        </w:tc>
        <w:tc>
          <w:tcPr>
            <w:tcW w:w="5883" w:type="dxa"/>
            <w:tcBorders>
              <w:top w:val="single" w:sz="4" w:space="0" w:color="auto"/>
              <w:left w:val="nil"/>
              <w:bottom w:val="single" w:sz="4" w:space="0" w:color="auto"/>
              <w:right w:val="single" w:sz="4" w:space="0" w:color="auto"/>
            </w:tcBorders>
            <w:shd w:val="clear" w:color="000000" w:fill="BFBFBF"/>
            <w:vAlign w:val="center"/>
          </w:tcPr>
          <w:p w14:paraId="30E3D796" w14:textId="77777777" w:rsidR="00A052DC" w:rsidRDefault="009F0A60">
            <w:pPr>
              <w:widowControl/>
              <w:jc w:val="center"/>
              <w:rPr>
                <w:rFonts w:ascii="黑体" w:eastAsia="黑体" w:hAnsi="黑体" w:cs="宋体"/>
                <w:b/>
                <w:bCs/>
                <w:color w:val="000000"/>
                <w:kern w:val="0"/>
                <w:sz w:val="20"/>
                <w:szCs w:val="20"/>
              </w:rPr>
            </w:pPr>
            <w:r>
              <w:rPr>
                <w:rFonts w:ascii="黑体" w:eastAsia="黑体" w:hAnsi="黑体" w:cs="宋体" w:hint="eastAsia"/>
                <w:b/>
                <w:bCs/>
                <w:color w:val="000000"/>
                <w:kern w:val="0"/>
                <w:sz w:val="20"/>
                <w:szCs w:val="20"/>
              </w:rPr>
              <w:t>修改说明</w:t>
            </w:r>
          </w:p>
        </w:tc>
      </w:tr>
      <w:tr w:rsidR="00A052DC" w14:paraId="6EF591CA" w14:textId="77777777">
        <w:trPr>
          <w:trHeight w:val="686"/>
          <w:jc w:val="center"/>
        </w:trPr>
        <w:tc>
          <w:tcPr>
            <w:tcW w:w="2018" w:type="dxa"/>
            <w:tcBorders>
              <w:top w:val="nil"/>
              <w:left w:val="single" w:sz="4" w:space="0" w:color="auto"/>
              <w:bottom w:val="single" w:sz="4" w:space="0" w:color="auto"/>
              <w:right w:val="single" w:sz="4" w:space="0" w:color="auto"/>
            </w:tcBorders>
            <w:shd w:val="clear" w:color="auto" w:fill="auto"/>
            <w:vAlign w:val="center"/>
          </w:tcPr>
          <w:p w14:paraId="32AD739A"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反担保人国别/地区</w:t>
            </w:r>
          </w:p>
        </w:tc>
        <w:tc>
          <w:tcPr>
            <w:tcW w:w="5883" w:type="dxa"/>
            <w:tcBorders>
              <w:top w:val="nil"/>
              <w:left w:val="nil"/>
              <w:bottom w:val="single" w:sz="4" w:space="0" w:color="auto"/>
              <w:right w:val="single" w:sz="4" w:space="0" w:color="auto"/>
            </w:tcBorders>
            <w:shd w:val="clear" w:color="auto" w:fill="auto"/>
            <w:vAlign w:val="center"/>
          </w:tcPr>
          <w:p w14:paraId="4338A3ED"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将数据字典中该字段的字段名调整为</w:t>
            </w:r>
            <w:r>
              <w:rPr>
                <w:rFonts w:ascii="黑体" w:eastAsia="黑体" w:hAnsi="黑体" w:cs="宋体"/>
                <w:color w:val="000000"/>
                <w:kern w:val="0"/>
                <w:sz w:val="20"/>
                <w:szCs w:val="20"/>
              </w:rPr>
              <w:t>CGCOUNCODE，</w:t>
            </w:r>
            <w:r>
              <w:rPr>
                <w:rFonts w:ascii="黑体" w:eastAsia="黑体" w:hAnsi="黑体" w:cs="宋体" w:hint="eastAsia"/>
                <w:color w:val="000000"/>
                <w:kern w:val="0"/>
                <w:sz w:val="20"/>
                <w:szCs w:val="20"/>
              </w:rPr>
              <w:t>与数据格式保持一致。</w:t>
            </w:r>
          </w:p>
        </w:tc>
      </w:tr>
    </w:tbl>
    <w:p w14:paraId="5DE6D24A" w14:textId="77777777" w:rsidR="00A052DC" w:rsidRDefault="009F0A60">
      <w:pPr>
        <w:pStyle w:val="5"/>
      </w:pPr>
      <w:r>
        <w:t>1.4.3.</w:t>
      </w:r>
      <w:r>
        <w:rPr>
          <w:rFonts w:hint="eastAsia"/>
        </w:rPr>
        <w:t>7</w:t>
      </w:r>
      <w:r>
        <w:t>.</w:t>
      </w:r>
      <w:r>
        <w:rPr>
          <w:rFonts w:hint="eastAsia"/>
        </w:rPr>
        <w:t>2</w:t>
      </w:r>
      <w:r>
        <w:rPr>
          <w:rFonts w:hint="eastAsia"/>
        </w:rPr>
        <w:t>校验规则调整</w:t>
      </w:r>
    </w:p>
    <w:tbl>
      <w:tblPr>
        <w:tblStyle w:val="af7"/>
        <w:tblW w:w="8931" w:type="dxa"/>
        <w:jc w:val="center"/>
        <w:tblLayout w:type="fixed"/>
        <w:tblLook w:val="04A0" w:firstRow="1" w:lastRow="0" w:firstColumn="1" w:lastColumn="0" w:noHBand="0" w:noVBand="1"/>
      </w:tblPr>
      <w:tblGrid>
        <w:gridCol w:w="851"/>
        <w:gridCol w:w="1276"/>
        <w:gridCol w:w="3510"/>
        <w:gridCol w:w="3294"/>
      </w:tblGrid>
      <w:tr w:rsidR="00A052DC" w14:paraId="56A6E0FA" w14:textId="77777777">
        <w:trPr>
          <w:trHeight w:val="20"/>
          <w:tblHeader/>
          <w:jc w:val="center"/>
        </w:trPr>
        <w:tc>
          <w:tcPr>
            <w:tcW w:w="851" w:type="dxa"/>
            <w:shd w:val="clear" w:color="auto" w:fill="BFBFBF" w:themeFill="background1" w:themeFillShade="BF"/>
          </w:tcPr>
          <w:p w14:paraId="7B1E4DE6" w14:textId="77777777" w:rsidR="00A052DC" w:rsidRDefault="009F0A60">
            <w:pPr>
              <w:widowControl/>
              <w:jc w:val="center"/>
              <w:rPr>
                <w:rFonts w:ascii="黑体" w:eastAsia="黑体" w:hAnsi="黑体" w:cs="宋体"/>
                <w:b/>
                <w:bCs/>
                <w:color w:val="000000"/>
                <w:kern w:val="0"/>
                <w:sz w:val="20"/>
                <w:szCs w:val="20"/>
              </w:rPr>
            </w:pPr>
            <w:r>
              <w:rPr>
                <w:rFonts w:ascii="黑体" w:eastAsia="黑体" w:hAnsi="黑体" w:cs="宋体" w:hint="eastAsia"/>
                <w:b/>
                <w:bCs/>
                <w:color w:val="000000"/>
                <w:kern w:val="0"/>
                <w:sz w:val="20"/>
                <w:szCs w:val="20"/>
              </w:rPr>
              <w:t>表名</w:t>
            </w:r>
          </w:p>
        </w:tc>
        <w:tc>
          <w:tcPr>
            <w:tcW w:w="1276" w:type="dxa"/>
            <w:shd w:val="clear" w:color="auto" w:fill="BFBFBF" w:themeFill="background1" w:themeFillShade="BF"/>
          </w:tcPr>
          <w:p w14:paraId="549F7BC5" w14:textId="77777777" w:rsidR="00A052DC" w:rsidRDefault="009F0A60">
            <w:pPr>
              <w:widowControl/>
              <w:jc w:val="center"/>
              <w:rPr>
                <w:rFonts w:ascii="黑体" w:eastAsia="黑体" w:hAnsi="黑体" w:cs="宋体"/>
                <w:b/>
                <w:bCs/>
                <w:color w:val="000000"/>
                <w:kern w:val="0"/>
                <w:sz w:val="20"/>
                <w:szCs w:val="20"/>
              </w:rPr>
            </w:pPr>
            <w:r>
              <w:rPr>
                <w:rFonts w:ascii="黑体" w:eastAsia="黑体" w:hAnsi="黑体" w:cs="宋体" w:hint="eastAsia"/>
                <w:b/>
                <w:bCs/>
                <w:color w:val="000000"/>
                <w:kern w:val="0"/>
                <w:sz w:val="20"/>
                <w:szCs w:val="20"/>
              </w:rPr>
              <w:t>数据项</w:t>
            </w:r>
          </w:p>
        </w:tc>
        <w:tc>
          <w:tcPr>
            <w:tcW w:w="3510" w:type="dxa"/>
            <w:shd w:val="clear" w:color="auto" w:fill="BFBFBF" w:themeFill="background1" w:themeFillShade="BF"/>
          </w:tcPr>
          <w:p w14:paraId="055C214B" w14:textId="77777777" w:rsidR="00A052DC" w:rsidRDefault="009F0A60">
            <w:pPr>
              <w:widowControl/>
              <w:jc w:val="center"/>
              <w:rPr>
                <w:rFonts w:ascii="黑体" w:eastAsia="黑体" w:hAnsi="黑体" w:cs="宋体"/>
                <w:b/>
                <w:bCs/>
                <w:color w:val="000000"/>
                <w:kern w:val="0"/>
                <w:sz w:val="20"/>
                <w:szCs w:val="20"/>
              </w:rPr>
            </w:pPr>
            <w:r>
              <w:rPr>
                <w:rFonts w:ascii="黑体" w:eastAsia="黑体" w:hAnsi="黑体" w:cs="宋体" w:hint="eastAsia"/>
                <w:b/>
                <w:bCs/>
                <w:color w:val="000000"/>
                <w:kern w:val="0"/>
                <w:sz w:val="20"/>
                <w:szCs w:val="20"/>
              </w:rPr>
              <w:t>原校验规则</w:t>
            </w:r>
          </w:p>
        </w:tc>
        <w:tc>
          <w:tcPr>
            <w:tcW w:w="3294" w:type="dxa"/>
            <w:shd w:val="clear" w:color="auto" w:fill="BFBFBF" w:themeFill="background1" w:themeFillShade="BF"/>
          </w:tcPr>
          <w:p w14:paraId="3A75DCDD" w14:textId="77777777" w:rsidR="00A052DC" w:rsidRDefault="009F0A60">
            <w:pPr>
              <w:widowControl/>
              <w:jc w:val="center"/>
              <w:rPr>
                <w:rFonts w:ascii="黑体" w:eastAsia="黑体" w:hAnsi="黑体" w:cs="宋体"/>
                <w:b/>
                <w:bCs/>
                <w:color w:val="000000"/>
                <w:kern w:val="0"/>
                <w:sz w:val="20"/>
                <w:szCs w:val="20"/>
              </w:rPr>
            </w:pPr>
            <w:r>
              <w:rPr>
                <w:rFonts w:ascii="黑体" w:eastAsia="黑体" w:hAnsi="黑体" w:cs="宋体" w:hint="eastAsia"/>
                <w:b/>
                <w:bCs/>
                <w:color w:val="000000"/>
                <w:kern w:val="0"/>
                <w:sz w:val="20"/>
                <w:szCs w:val="20"/>
              </w:rPr>
              <w:t>新校验规则</w:t>
            </w:r>
          </w:p>
        </w:tc>
      </w:tr>
      <w:tr w:rsidR="00A052DC" w14:paraId="70D00156" w14:textId="77777777">
        <w:trPr>
          <w:trHeight w:val="20"/>
          <w:jc w:val="center"/>
        </w:trPr>
        <w:tc>
          <w:tcPr>
            <w:tcW w:w="851" w:type="dxa"/>
            <w:shd w:val="clear" w:color="auto" w:fill="auto"/>
          </w:tcPr>
          <w:p w14:paraId="5B11B6BA"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签约信息</w:t>
            </w:r>
          </w:p>
          <w:p w14:paraId="519BEA97" w14:textId="77777777" w:rsidR="00A052DC" w:rsidRDefault="00A052DC">
            <w:pPr>
              <w:widowControl/>
              <w:rPr>
                <w:rFonts w:ascii="黑体" w:eastAsia="黑体" w:hAnsi="黑体" w:cs="宋体"/>
                <w:color w:val="000000"/>
                <w:kern w:val="0"/>
                <w:sz w:val="20"/>
                <w:szCs w:val="20"/>
              </w:rPr>
            </w:pPr>
          </w:p>
        </w:tc>
        <w:tc>
          <w:tcPr>
            <w:tcW w:w="1276" w:type="dxa"/>
            <w:shd w:val="clear" w:color="auto" w:fill="auto"/>
          </w:tcPr>
          <w:p w14:paraId="658387B5"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受益人中文名称</w:t>
            </w:r>
          </w:p>
        </w:tc>
        <w:tc>
          <w:tcPr>
            <w:tcW w:w="3510" w:type="dxa"/>
            <w:shd w:val="clear" w:color="auto" w:fill="auto"/>
          </w:tcPr>
          <w:p w14:paraId="01FA1754" w14:textId="77777777" w:rsidR="00A052DC" w:rsidRDefault="009F0A60">
            <w:pPr>
              <w:rPr>
                <w:rFonts w:ascii="黑体" w:eastAsia="黑体" w:hAnsi="黑体"/>
                <w:sz w:val="20"/>
                <w:szCs w:val="20"/>
              </w:rPr>
            </w:pPr>
            <w:r>
              <w:rPr>
                <w:rFonts w:ascii="黑体" w:eastAsia="黑体" w:hAnsi="黑体" w:hint="eastAsia"/>
                <w:sz w:val="20"/>
                <w:szCs w:val="20"/>
              </w:rPr>
              <w:t>非必填项，</w:t>
            </w:r>
          </w:p>
          <w:p w14:paraId="725DAC8E" w14:textId="77777777" w:rsidR="00A052DC" w:rsidRDefault="009F0A60">
            <w:pPr>
              <w:widowControl/>
              <w:rPr>
                <w:rFonts w:ascii="黑体" w:eastAsia="黑体" w:hAnsi="黑体" w:cs="宋体"/>
                <w:color w:val="000000"/>
                <w:kern w:val="0"/>
                <w:sz w:val="20"/>
                <w:szCs w:val="20"/>
              </w:rPr>
            </w:pPr>
            <w:r>
              <w:rPr>
                <w:rFonts w:ascii="黑体" w:eastAsia="黑体" w:hAnsi="黑体" w:hint="eastAsia"/>
                <w:sz w:val="20"/>
                <w:szCs w:val="20"/>
              </w:rPr>
              <w:t>中文和英文至少填写一个，一般填中文名称。当担保类型为“为境外发债担保”且发行方式为“公开发行”时，应按照境外主体类型代码表中“资本市场”的20001800代码填写。</w:t>
            </w:r>
          </w:p>
        </w:tc>
        <w:tc>
          <w:tcPr>
            <w:tcW w:w="3294" w:type="dxa"/>
            <w:shd w:val="clear" w:color="auto" w:fill="auto"/>
          </w:tcPr>
          <w:p w14:paraId="0EB1C8E4" w14:textId="77777777" w:rsidR="00A052DC" w:rsidRDefault="009F0A60">
            <w:pPr>
              <w:rPr>
                <w:rFonts w:ascii="黑体" w:eastAsia="黑体" w:hAnsi="黑体"/>
                <w:sz w:val="20"/>
                <w:szCs w:val="20"/>
              </w:rPr>
            </w:pPr>
            <w:r>
              <w:rPr>
                <w:rFonts w:ascii="黑体" w:eastAsia="黑体" w:hAnsi="黑体" w:hint="eastAsia"/>
                <w:sz w:val="20"/>
                <w:szCs w:val="20"/>
              </w:rPr>
              <w:t>非必填项，</w:t>
            </w:r>
          </w:p>
          <w:p w14:paraId="55747C43" w14:textId="77777777" w:rsidR="00A052DC" w:rsidRDefault="009F0A60">
            <w:pPr>
              <w:widowControl/>
              <w:rPr>
                <w:rFonts w:ascii="黑体" w:eastAsia="黑体" w:hAnsi="黑体" w:cs="宋体"/>
                <w:color w:val="000000"/>
                <w:kern w:val="0"/>
                <w:sz w:val="20"/>
                <w:szCs w:val="20"/>
              </w:rPr>
            </w:pPr>
            <w:r>
              <w:rPr>
                <w:rFonts w:ascii="黑体" w:eastAsia="黑体" w:hAnsi="黑体" w:hint="eastAsia"/>
                <w:sz w:val="20"/>
                <w:szCs w:val="20"/>
              </w:rPr>
              <w:t>中文和英文至少填写一个，一般填中文名称。当担保类型为“为境外发债担保”且发行方式为“公开发行”时，填报为“资本市场”。</w:t>
            </w:r>
          </w:p>
        </w:tc>
      </w:tr>
      <w:tr w:rsidR="00A052DC" w14:paraId="36A9E7AE" w14:textId="77777777">
        <w:trPr>
          <w:trHeight w:val="20"/>
          <w:jc w:val="center"/>
        </w:trPr>
        <w:tc>
          <w:tcPr>
            <w:tcW w:w="851" w:type="dxa"/>
            <w:shd w:val="clear" w:color="auto" w:fill="auto"/>
          </w:tcPr>
          <w:p w14:paraId="76D028C4"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lastRenderedPageBreak/>
              <w:t>签约信息</w:t>
            </w:r>
          </w:p>
          <w:p w14:paraId="2AB8D008" w14:textId="77777777" w:rsidR="00A052DC" w:rsidRDefault="00A052DC">
            <w:pPr>
              <w:widowControl/>
              <w:rPr>
                <w:rFonts w:ascii="黑体" w:eastAsia="黑体" w:hAnsi="黑体" w:cs="宋体"/>
                <w:color w:val="000000"/>
                <w:kern w:val="0"/>
                <w:sz w:val="20"/>
                <w:szCs w:val="20"/>
              </w:rPr>
            </w:pPr>
          </w:p>
        </w:tc>
        <w:tc>
          <w:tcPr>
            <w:tcW w:w="1276" w:type="dxa"/>
            <w:shd w:val="clear" w:color="auto" w:fill="auto"/>
          </w:tcPr>
          <w:p w14:paraId="0F117AE2"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受益人英文名称</w:t>
            </w:r>
          </w:p>
        </w:tc>
        <w:tc>
          <w:tcPr>
            <w:tcW w:w="3510" w:type="dxa"/>
            <w:shd w:val="clear" w:color="auto" w:fill="auto"/>
          </w:tcPr>
          <w:p w14:paraId="2CA3D784" w14:textId="77777777" w:rsidR="00A052DC" w:rsidRDefault="009F0A60">
            <w:pPr>
              <w:widowControl/>
              <w:rPr>
                <w:rFonts w:ascii="黑体" w:eastAsia="黑体" w:hAnsi="黑体" w:cs="宋体"/>
                <w:color w:val="000000"/>
                <w:kern w:val="0"/>
                <w:sz w:val="20"/>
                <w:szCs w:val="20"/>
              </w:rPr>
            </w:pPr>
            <w:r>
              <w:rPr>
                <w:rFonts w:ascii="黑体" w:eastAsia="黑体" w:hAnsi="黑体" w:hint="eastAsia"/>
                <w:sz w:val="20"/>
                <w:szCs w:val="20"/>
              </w:rPr>
              <w:t>非必填项。当担保类型为“为境外发债担保”且发行方式为“公开发行”时，应按照境外主体类型代码表中“资本市场”的20001800代码填写。</w:t>
            </w:r>
          </w:p>
        </w:tc>
        <w:tc>
          <w:tcPr>
            <w:tcW w:w="3294" w:type="dxa"/>
            <w:shd w:val="clear" w:color="auto" w:fill="auto"/>
          </w:tcPr>
          <w:p w14:paraId="248FAB43" w14:textId="77777777" w:rsidR="00A052DC" w:rsidRDefault="009F0A60">
            <w:pPr>
              <w:widowControl/>
              <w:rPr>
                <w:rFonts w:ascii="黑体" w:eastAsia="黑体" w:hAnsi="黑体" w:cs="宋体"/>
                <w:color w:val="000000"/>
                <w:kern w:val="0"/>
                <w:sz w:val="20"/>
                <w:szCs w:val="20"/>
              </w:rPr>
            </w:pPr>
            <w:r>
              <w:rPr>
                <w:rFonts w:ascii="黑体" w:eastAsia="黑体" w:hAnsi="黑体" w:hint="eastAsia"/>
                <w:sz w:val="20"/>
                <w:szCs w:val="20"/>
              </w:rPr>
              <w:t>非必填项。当担保类型为“为境外发债担保”且发行方式为“公开发行”时，可不填写。</w:t>
            </w:r>
          </w:p>
        </w:tc>
      </w:tr>
    </w:tbl>
    <w:p w14:paraId="2F29DCD9" w14:textId="77777777" w:rsidR="00A052DC" w:rsidRDefault="00A052DC"/>
    <w:p w14:paraId="740A341D" w14:textId="77777777" w:rsidR="00A052DC" w:rsidRDefault="009F0A60" w:rsidP="0020251D">
      <w:pPr>
        <w:pStyle w:val="4"/>
        <w:numPr>
          <w:ilvl w:val="3"/>
          <w:numId w:val="1"/>
        </w:numPr>
        <w:jc w:val="left"/>
      </w:pPr>
      <w:r>
        <w:rPr>
          <w:rFonts w:hint="eastAsia"/>
        </w:rPr>
        <w:t>对外金融资产负债及交易信息调整</w:t>
      </w:r>
    </w:p>
    <w:p w14:paraId="467E4115" w14:textId="77777777" w:rsidR="00A052DC" w:rsidRDefault="009F0A60" w:rsidP="0020251D">
      <w:pPr>
        <w:pStyle w:val="5"/>
      </w:pPr>
      <w:bookmarkStart w:id="115" w:name="_Toc454386577"/>
      <w:r>
        <w:t>1.4.3.</w:t>
      </w:r>
      <w:r>
        <w:rPr>
          <w:rFonts w:hint="eastAsia"/>
        </w:rPr>
        <w:t>8</w:t>
      </w:r>
      <w:r>
        <w:t>.1</w:t>
      </w:r>
      <w:r>
        <w:rPr>
          <w:rFonts w:hint="eastAsia"/>
        </w:rPr>
        <w:t>数据定义调整</w:t>
      </w:r>
      <w:bookmarkEnd w:id="115"/>
    </w:p>
    <w:tbl>
      <w:tblPr>
        <w:tblW w:w="8931" w:type="dxa"/>
        <w:jc w:val="center"/>
        <w:tblLayout w:type="fixed"/>
        <w:tblLook w:val="04A0" w:firstRow="1" w:lastRow="0" w:firstColumn="1" w:lastColumn="0" w:noHBand="0" w:noVBand="1"/>
      </w:tblPr>
      <w:tblGrid>
        <w:gridCol w:w="851"/>
        <w:gridCol w:w="1276"/>
        <w:gridCol w:w="3260"/>
        <w:gridCol w:w="3544"/>
      </w:tblGrid>
      <w:tr w:rsidR="00A052DC" w14:paraId="0816FC13" w14:textId="77777777">
        <w:trPr>
          <w:trHeight w:val="20"/>
          <w:tblHeader/>
          <w:jc w:val="center"/>
        </w:trPr>
        <w:tc>
          <w:tcPr>
            <w:tcW w:w="851" w:type="dxa"/>
            <w:tcBorders>
              <w:top w:val="single" w:sz="4" w:space="0" w:color="auto"/>
              <w:left w:val="single" w:sz="4" w:space="0" w:color="auto"/>
              <w:bottom w:val="single" w:sz="4" w:space="0" w:color="auto"/>
              <w:right w:val="single" w:sz="4" w:space="0" w:color="auto"/>
            </w:tcBorders>
            <w:shd w:val="clear" w:color="000000" w:fill="BFBFBF"/>
          </w:tcPr>
          <w:p w14:paraId="7493A8E7" w14:textId="77777777" w:rsidR="00A052DC" w:rsidRDefault="009F0A60">
            <w:pPr>
              <w:widowControl/>
              <w:jc w:val="center"/>
              <w:rPr>
                <w:rFonts w:ascii="黑体" w:eastAsia="黑体" w:hAnsi="黑体" w:cs="宋体"/>
                <w:b/>
                <w:bCs/>
                <w:color w:val="000000"/>
                <w:kern w:val="0"/>
                <w:sz w:val="20"/>
                <w:szCs w:val="20"/>
              </w:rPr>
            </w:pPr>
            <w:r>
              <w:rPr>
                <w:rFonts w:ascii="黑体" w:eastAsia="黑体" w:hAnsi="黑体" w:cs="宋体" w:hint="eastAsia"/>
                <w:b/>
                <w:bCs/>
                <w:color w:val="000000"/>
                <w:kern w:val="0"/>
                <w:sz w:val="20"/>
                <w:szCs w:val="20"/>
              </w:rPr>
              <w:t>表名</w:t>
            </w:r>
          </w:p>
        </w:tc>
        <w:tc>
          <w:tcPr>
            <w:tcW w:w="1276" w:type="dxa"/>
            <w:tcBorders>
              <w:top w:val="single" w:sz="4" w:space="0" w:color="auto"/>
              <w:left w:val="nil"/>
              <w:bottom w:val="single" w:sz="4" w:space="0" w:color="auto"/>
              <w:right w:val="single" w:sz="4" w:space="0" w:color="auto"/>
            </w:tcBorders>
            <w:shd w:val="clear" w:color="000000" w:fill="BFBFBF"/>
          </w:tcPr>
          <w:p w14:paraId="5FC3A3CC" w14:textId="77777777" w:rsidR="00A052DC" w:rsidRDefault="009F0A60">
            <w:pPr>
              <w:widowControl/>
              <w:jc w:val="center"/>
              <w:rPr>
                <w:rFonts w:ascii="黑体" w:eastAsia="黑体" w:hAnsi="黑体" w:cs="宋体"/>
                <w:b/>
                <w:bCs/>
                <w:color w:val="000000"/>
                <w:kern w:val="0"/>
                <w:sz w:val="20"/>
                <w:szCs w:val="20"/>
              </w:rPr>
            </w:pPr>
            <w:r>
              <w:rPr>
                <w:rFonts w:ascii="黑体" w:eastAsia="黑体" w:hAnsi="黑体" w:cs="宋体" w:hint="eastAsia"/>
                <w:b/>
                <w:bCs/>
                <w:color w:val="000000"/>
                <w:kern w:val="0"/>
                <w:sz w:val="20"/>
                <w:szCs w:val="20"/>
              </w:rPr>
              <w:t>数据项</w:t>
            </w:r>
          </w:p>
        </w:tc>
        <w:tc>
          <w:tcPr>
            <w:tcW w:w="3260" w:type="dxa"/>
            <w:tcBorders>
              <w:top w:val="single" w:sz="4" w:space="0" w:color="auto"/>
              <w:left w:val="nil"/>
              <w:bottom w:val="single" w:sz="4" w:space="0" w:color="auto"/>
              <w:right w:val="single" w:sz="4" w:space="0" w:color="auto"/>
            </w:tcBorders>
            <w:shd w:val="clear" w:color="000000" w:fill="BFBFBF"/>
          </w:tcPr>
          <w:p w14:paraId="6F6FA8F1" w14:textId="77777777" w:rsidR="00A052DC" w:rsidRDefault="009F0A60">
            <w:pPr>
              <w:widowControl/>
              <w:jc w:val="center"/>
              <w:rPr>
                <w:rFonts w:ascii="黑体" w:eastAsia="黑体" w:hAnsi="黑体" w:cs="宋体"/>
                <w:b/>
                <w:bCs/>
                <w:color w:val="000000"/>
                <w:kern w:val="0"/>
                <w:sz w:val="20"/>
                <w:szCs w:val="20"/>
              </w:rPr>
            </w:pPr>
            <w:r>
              <w:rPr>
                <w:rFonts w:ascii="黑体" w:eastAsia="黑体" w:hAnsi="黑体" w:cs="宋体" w:hint="eastAsia"/>
                <w:b/>
                <w:bCs/>
                <w:color w:val="000000"/>
                <w:kern w:val="0"/>
                <w:sz w:val="20"/>
                <w:szCs w:val="20"/>
              </w:rPr>
              <w:t>原定义</w:t>
            </w:r>
          </w:p>
        </w:tc>
        <w:tc>
          <w:tcPr>
            <w:tcW w:w="3544" w:type="dxa"/>
            <w:tcBorders>
              <w:top w:val="single" w:sz="4" w:space="0" w:color="auto"/>
              <w:left w:val="nil"/>
              <w:bottom w:val="single" w:sz="4" w:space="0" w:color="auto"/>
              <w:right w:val="single" w:sz="4" w:space="0" w:color="auto"/>
            </w:tcBorders>
            <w:shd w:val="clear" w:color="000000" w:fill="BFBFBF"/>
          </w:tcPr>
          <w:p w14:paraId="29B10B9B" w14:textId="77777777" w:rsidR="00A052DC" w:rsidRDefault="009F0A60">
            <w:pPr>
              <w:widowControl/>
              <w:jc w:val="center"/>
              <w:rPr>
                <w:rFonts w:ascii="黑体" w:eastAsia="黑体" w:hAnsi="黑体" w:cs="宋体"/>
                <w:b/>
                <w:bCs/>
                <w:color w:val="000000"/>
                <w:kern w:val="0"/>
                <w:sz w:val="20"/>
                <w:szCs w:val="20"/>
              </w:rPr>
            </w:pPr>
            <w:r>
              <w:rPr>
                <w:rFonts w:ascii="黑体" w:eastAsia="黑体" w:hAnsi="黑体" w:cs="宋体" w:hint="eastAsia"/>
                <w:b/>
                <w:bCs/>
                <w:color w:val="000000"/>
                <w:kern w:val="0"/>
                <w:sz w:val="20"/>
                <w:szCs w:val="20"/>
              </w:rPr>
              <w:t>新定义</w:t>
            </w:r>
          </w:p>
        </w:tc>
      </w:tr>
      <w:tr w:rsidR="00A052DC" w14:paraId="49DA81E4" w14:textId="77777777">
        <w:trPr>
          <w:trHeight w:val="20"/>
          <w:jc w:val="center"/>
        </w:trPr>
        <w:tc>
          <w:tcPr>
            <w:tcW w:w="851" w:type="dxa"/>
            <w:tcBorders>
              <w:top w:val="nil"/>
              <w:left w:val="single" w:sz="4" w:space="0" w:color="auto"/>
              <w:bottom w:val="single" w:sz="4" w:space="0" w:color="auto"/>
              <w:right w:val="single" w:sz="4" w:space="0" w:color="auto"/>
            </w:tcBorders>
            <w:shd w:val="clear" w:color="auto" w:fill="auto"/>
          </w:tcPr>
          <w:p w14:paraId="74D1124E"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全部</w:t>
            </w:r>
          </w:p>
        </w:tc>
        <w:tc>
          <w:tcPr>
            <w:tcW w:w="1276" w:type="dxa"/>
            <w:tcBorders>
              <w:top w:val="nil"/>
              <w:left w:val="nil"/>
              <w:bottom w:val="single" w:sz="4" w:space="0" w:color="auto"/>
              <w:right w:val="single" w:sz="4" w:space="0" w:color="auto"/>
            </w:tcBorders>
            <w:shd w:val="clear" w:color="auto" w:fill="auto"/>
          </w:tcPr>
          <w:p w14:paraId="13B83D63"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申报主体代码</w:t>
            </w:r>
          </w:p>
        </w:tc>
        <w:tc>
          <w:tcPr>
            <w:tcW w:w="3260" w:type="dxa"/>
            <w:tcBorders>
              <w:top w:val="nil"/>
              <w:left w:val="nil"/>
              <w:bottom w:val="single" w:sz="4" w:space="0" w:color="auto"/>
              <w:right w:val="single" w:sz="4" w:space="0" w:color="auto"/>
            </w:tcBorders>
            <w:shd w:val="clear" w:color="auto" w:fill="auto"/>
          </w:tcPr>
          <w:p w14:paraId="1E17CCF8"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申报主体的</w:t>
            </w:r>
            <w:r>
              <w:rPr>
                <w:rFonts w:ascii="黑体" w:eastAsia="黑体" w:hAnsi="黑体" w:cs="宋体"/>
                <w:color w:val="000000"/>
                <w:kern w:val="0"/>
                <w:sz w:val="20"/>
                <w:szCs w:val="20"/>
              </w:rPr>
              <w:t>12位金融机构标识码，如果没有金融机构标识码，则填报统一社会信用代码法定载体（如营业执照）上的统一社会信用代码中的9位组织机构代码或国家外汇管理局及其分支局签发的特殊机构代码赋码通知书上的机构代码、个人身份证件号码。</w:t>
            </w:r>
          </w:p>
        </w:tc>
        <w:tc>
          <w:tcPr>
            <w:tcW w:w="3544" w:type="dxa"/>
            <w:tcBorders>
              <w:top w:val="nil"/>
              <w:left w:val="nil"/>
              <w:bottom w:val="single" w:sz="4" w:space="0" w:color="auto"/>
              <w:right w:val="single" w:sz="4" w:space="0" w:color="auto"/>
            </w:tcBorders>
            <w:shd w:val="clear" w:color="auto" w:fill="auto"/>
          </w:tcPr>
          <w:p w14:paraId="121EFCF2"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申报主体的</w:t>
            </w:r>
            <w:r>
              <w:rPr>
                <w:rFonts w:ascii="黑体" w:eastAsia="黑体" w:hAnsi="黑体" w:cs="宋体"/>
                <w:color w:val="000000"/>
                <w:kern w:val="0"/>
                <w:sz w:val="20"/>
                <w:szCs w:val="20"/>
              </w:rPr>
              <w:t>12位金融机构标识码，如果没有金融机构标识码，则填报统一社会信用代码法定载体（如营业执照）上统一社会信用代码中的</w:t>
            </w:r>
            <w:r>
              <w:rPr>
                <w:rFonts w:ascii="黑体" w:eastAsia="黑体" w:hAnsi="黑体" w:cs="宋体" w:hint="eastAsia"/>
                <w:color w:val="000000"/>
                <w:kern w:val="0"/>
                <w:sz w:val="20"/>
                <w:szCs w:val="20"/>
              </w:rPr>
              <w:t>第</w:t>
            </w:r>
            <w:r>
              <w:rPr>
                <w:rFonts w:ascii="黑体" w:eastAsia="黑体" w:hAnsi="黑体" w:cs="宋体"/>
                <w:color w:val="000000"/>
                <w:kern w:val="0"/>
                <w:sz w:val="20"/>
                <w:szCs w:val="20"/>
              </w:rPr>
              <w:t>9</w:t>
            </w:r>
            <w:r>
              <w:rPr>
                <w:rFonts w:ascii="黑体" w:eastAsia="黑体" w:hAnsi="黑体" w:cs="宋体" w:hint="eastAsia"/>
                <w:color w:val="000000"/>
                <w:kern w:val="0"/>
                <w:sz w:val="20"/>
                <w:szCs w:val="20"/>
              </w:rPr>
              <w:t>至</w:t>
            </w:r>
            <w:r>
              <w:rPr>
                <w:rFonts w:ascii="黑体" w:eastAsia="黑体" w:hAnsi="黑体" w:cs="宋体"/>
                <w:color w:val="000000"/>
                <w:kern w:val="0"/>
                <w:sz w:val="20"/>
                <w:szCs w:val="20"/>
              </w:rPr>
              <w:t>17位或国家外汇管理局及其分支局签发的特殊机构代码赋码通知书上的机构代码、个人身份代码。</w:t>
            </w:r>
          </w:p>
        </w:tc>
      </w:tr>
      <w:tr w:rsidR="00A052DC" w14:paraId="3F1FCE74" w14:textId="77777777">
        <w:trPr>
          <w:trHeight w:val="20"/>
          <w:jc w:val="center"/>
        </w:trPr>
        <w:tc>
          <w:tcPr>
            <w:tcW w:w="851" w:type="dxa"/>
            <w:tcBorders>
              <w:top w:val="nil"/>
              <w:left w:val="single" w:sz="4" w:space="0" w:color="auto"/>
              <w:bottom w:val="single" w:sz="4" w:space="0" w:color="auto"/>
              <w:right w:val="single" w:sz="4" w:space="0" w:color="auto"/>
            </w:tcBorders>
            <w:shd w:val="clear" w:color="auto" w:fill="auto"/>
          </w:tcPr>
          <w:p w14:paraId="5EB5E796"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Z01</w:t>
            </w:r>
          </w:p>
        </w:tc>
        <w:tc>
          <w:tcPr>
            <w:tcW w:w="1276" w:type="dxa"/>
            <w:tcBorders>
              <w:top w:val="nil"/>
              <w:left w:val="nil"/>
              <w:bottom w:val="single" w:sz="4" w:space="0" w:color="auto"/>
              <w:right w:val="single" w:sz="4" w:space="0" w:color="auto"/>
            </w:tcBorders>
            <w:shd w:val="clear" w:color="auto" w:fill="auto"/>
          </w:tcPr>
          <w:p w14:paraId="03824495"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证照类别</w:t>
            </w:r>
          </w:p>
        </w:tc>
        <w:tc>
          <w:tcPr>
            <w:tcW w:w="3260" w:type="dxa"/>
            <w:tcBorders>
              <w:top w:val="nil"/>
              <w:left w:val="nil"/>
              <w:bottom w:val="single" w:sz="4" w:space="0" w:color="auto"/>
              <w:right w:val="single" w:sz="4" w:space="0" w:color="auto"/>
            </w:tcBorders>
            <w:shd w:val="clear" w:color="auto" w:fill="auto"/>
          </w:tcPr>
          <w:p w14:paraId="378DA880"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请选择：</w:t>
            </w:r>
            <w:r>
              <w:rPr>
                <w:rFonts w:ascii="黑体" w:eastAsia="黑体" w:hAnsi="黑体" w:cs="宋体"/>
                <w:color w:val="000000"/>
                <w:kern w:val="0"/>
                <w:sz w:val="20"/>
                <w:szCs w:val="20"/>
              </w:rPr>
              <w:t>1-组织机构代码证；2-特殊机构代码赋码通知；3-身份证；4-护照；5-其他；6-统一社会信用代码证；7-永久居留证。</w:t>
            </w:r>
          </w:p>
        </w:tc>
        <w:tc>
          <w:tcPr>
            <w:tcW w:w="3544" w:type="dxa"/>
            <w:tcBorders>
              <w:top w:val="nil"/>
              <w:left w:val="nil"/>
              <w:bottom w:val="single" w:sz="4" w:space="0" w:color="auto"/>
              <w:right w:val="single" w:sz="4" w:space="0" w:color="auto"/>
            </w:tcBorders>
            <w:shd w:val="clear" w:color="auto" w:fill="auto"/>
          </w:tcPr>
          <w:p w14:paraId="5085FBF5"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请选择：</w:t>
            </w:r>
            <w:r>
              <w:rPr>
                <w:rFonts w:ascii="黑体" w:eastAsia="黑体" w:hAnsi="黑体" w:cs="宋体"/>
                <w:color w:val="000000"/>
                <w:kern w:val="0"/>
                <w:sz w:val="20"/>
                <w:szCs w:val="20"/>
              </w:rPr>
              <w:t>1-主体标识码（统一社会信用代码的第9-17位）；2-特殊机构代码；3-个人身份</w:t>
            </w:r>
            <w:r>
              <w:rPr>
                <w:rFonts w:ascii="黑体" w:eastAsia="黑体" w:hAnsi="黑体" w:cs="宋体" w:hint="eastAsia"/>
                <w:color w:val="000000"/>
                <w:kern w:val="0"/>
                <w:sz w:val="20"/>
                <w:szCs w:val="20"/>
              </w:rPr>
              <w:t>代码</w:t>
            </w:r>
            <w:r>
              <w:rPr>
                <w:rFonts w:ascii="黑体" w:eastAsia="黑体" w:hAnsi="黑体" w:cs="宋体"/>
                <w:color w:val="000000"/>
                <w:kern w:val="0"/>
                <w:sz w:val="20"/>
                <w:szCs w:val="20"/>
              </w:rPr>
              <w:t>；4-护照；5-永久居留证；6-统一社会信用代码证；9-其他。</w:t>
            </w:r>
          </w:p>
        </w:tc>
      </w:tr>
      <w:tr w:rsidR="00A052DC" w14:paraId="015826BC" w14:textId="77777777">
        <w:trPr>
          <w:trHeight w:val="20"/>
          <w:jc w:val="center"/>
        </w:trPr>
        <w:tc>
          <w:tcPr>
            <w:tcW w:w="851" w:type="dxa"/>
            <w:tcBorders>
              <w:top w:val="nil"/>
              <w:left w:val="single" w:sz="4" w:space="0" w:color="auto"/>
              <w:bottom w:val="single" w:sz="4" w:space="0" w:color="auto"/>
              <w:right w:val="single" w:sz="4" w:space="0" w:color="auto"/>
            </w:tcBorders>
            <w:shd w:val="clear" w:color="auto" w:fill="auto"/>
          </w:tcPr>
          <w:p w14:paraId="424019EC"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Z01</w:t>
            </w:r>
          </w:p>
        </w:tc>
        <w:tc>
          <w:tcPr>
            <w:tcW w:w="1276" w:type="dxa"/>
            <w:tcBorders>
              <w:top w:val="nil"/>
              <w:left w:val="nil"/>
              <w:bottom w:val="single" w:sz="4" w:space="0" w:color="auto"/>
              <w:right w:val="single" w:sz="4" w:space="0" w:color="auto"/>
            </w:tcBorders>
            <w:shd w:val="clear" w:color="auto" w:fill="auto"/>
          </w:tcPr>
          <w:p w14:paraId="302F4E26"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经济类型</w:t>
            </w:r>
          </w:p>
        </w:tc>
        <w:tc>
          <w:tcPr>
            <w:tcW w:w="3260" w:type="dxa"/>
            <w:tcBorders>
              <w:top w:val="nil"/>
              <w:left w:val="nil"/>
              <w:bottom w:val="single" w:sz="4" w:space="0" w:color="auto"/>
              <w:right w:val="single" w:sz="4" w:space="0" w:color="auto"/>
            </w:tcBorders>
            <w:shd w:val="clear" w:color="auto" w:fill="auto"/>
          </w:tcPr>
          <w:p w14:paraId="21D5D25C"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申报主体所属的经济类型，见经济类型代码表。如申报主体为个人，则填写</w:t>
            </w:r>
            <w:r>
              <w:rPr>
                <w:rFonts w:ascii="黑体" w:eastAsia="黑体" w:hAnsi="黑体" w:cs="宋体"/>
                <w:color w:val="000000"/>
                <w:kern w:val="0"/>
                <w:sz w:val="20"/>
                <w:szCs w:val="20"/>
              </w:rPr>
              <w:t>999。</w:t>
            </w:r>
          </w:p>
        </w:tc>
        <w:tc>
          <w:tcPr>
            <w:tcW w:w="3544" w:type="dxa"/>
            <w:tcBorders>
              <w:top w:val="nil"/>
              <w:left w:val="nil"/>
              <w:bottom w:val="single" w:sz="4" w:space="0" w:color="auto"/>
              <w:right w:val="single" w:sz="4" w:space="0" w:color="auto"/>
            </w:tcBorders>
            <w:shd w:val="clear" w:color="auto" w:fill="auto"/>
          </w:tcPr>
          <w:p w14:paraId="22F3E2FF"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申报主体所属的经济类型，见经济类型代码表。如申报主体为个人，则填写</w:t>
            </w:r>
            <w:r>
              <w:rPr>
                <w:rFonts w:ascii="黑体" w:eastAsia="黑体" w:hAnsi="黑体" w:cs="宋体"/>
                <w:color w:val="000000"/>
                <w:kern w:val="0"/>
                <w:sz w:val="20"/>
                <w:szCs w:val="20"/>
              </w:rPr>
              <w:t>999。不能填报为“100内资”“200港澳台投资”或“300国外投资。</w:t>
            </w:r>
          </w:p>
        </w:tc>
      </w:tr>
      <w:tr w:rsidR="00A052DC" w14:paraId="2F584CE2" w14:textId="77777777">
        <w:trPr>
          <w:trHeight w:val="20"/>
          <w:jc w:val="center"/>
        </w:trPr>
        <w:tc>
          <w:tcPr>
            <w:tcW w:w="851" w:type="dxa"/>
            <w:tcBorders>
              <w:top w:val="nil"/>
              <w:left w:val="single" w:sz="4" w:space="0" w:color="auto"/>
              <w:bottom w:val="single" w:sz="4" w:space="0" w:color="auto"/>
              <w:right w:val="single" w:sz="4" w:space="0" w:color="auto"/>
            </w:tcBorders>
            <w:shd w:val="clear" w:color="auto" w:fill="auto"/>
          </w:tcPr>
          <w:p w14:paraId="2DD2A276"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Z01</w:t>
            </w:r>
          </w:p>
        </w:tc>
        <w:tc>
          <w:tcPr>
            <w:tcW w:w="1276" w:type="dxa"/>
            <w:tcBorders>
              <w:top w:val="nil"/>
              <w:left w:val="nil"/>
              <w:bottom w:val="single" w:sz="4" w:space="0" w:color="auto"/>
              <w:right w:val="single" w:sz="4" w:space="0" w:color="auto"/>
            </w:tcBorders>
            <w:shd w:val="clear" w:color="auto" w:fill="auto"/>
          </w:tcPr>
          <w:p w14:paraId="04AF4A23"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LEI编码</w:t>
            </w:r>
          </w:p>
        </w:tc>
        <w:tc>
          <w:tcPr>
            <w:tcW w:w="3260" w:type="dxa"/>
            <w:tcBorders>
              <w:top w:val="nil"/>
              <w:left w:val="nil"/>
              <w:bottom w:val="single" w:sz="4" w:space="0" w:color="auto"/>
              <w:right w:val="single" w:sz="4" w:space="0" w:color="auto"/>
            </w:tcBorders>
            <w:shd w:val="clear" w:color="auto" w:fill="auto"/>
          </w:tcPr>
          <w:p w14:paraId="53BBC158"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中文全称为全球法人机构识别编码（英文全称</w:t>
            </w:r>
            <w:r>
              <w:rPr>
                <w:rFonts w:ascii="黑体" w:eastAsia="黑体" w:hAnsi="黑体" w:cs="宋体"/>
                <w:color w:val="000000"/>
                <w:kern w:val="0"/>
                <w:sz w:val="20"/>
                <w:szCs w:val="20"/>
              </w:rPr>
              <w:t xml:space="preserve">Legal Entity Identifier）。指法人机构向全国金融标准化技术委员会申领的，由20 </w:t>
            </w:r>
            <w:r>
              <w:rPr>
                <w:rFonts w:ascii="黑体" w:eastAsia="黑体" w:hAnsi="黑体" w:cs="宋体" w:hint="eastAsia"/>
                <w:color w:val="000000"/>
                <w:kern w:val="0"/>
                <w:sz w:val="20"/>
                <w:szCs w:val="20"/>
              </w:rPr>
              <w:t>位数字和字母组成的，可以用于标识与国际金融交易相关联的法人机构的唯一编码。</w:t>
            </w:r>
          </w:p>
        </w:tc>
        <w:tc>
          <w:tcPr>
            <w:tcW w:w="3544" w:type="dxa"/>
            <w:tcBorders>
              <w:top w:val="nil"/>
              <w:left w:val="nil"/>
              <w:bottom w:val="single" w:sz="4" w:space="0" w:color="auto"/>
              <w:right w:val="single" w:sz="4" w:space="0" w:color="auto"/>
            </w:tcBorders>
            <w:shd w:val="clear" w:color="auto" w:fill="auto"/>
          </w:tcPr>
          <w:p w14:paraId="64F53DFF"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指按照国际标准化组织的《金融服务法人机构识别编码》(ISO 17442:2012)标准为法人机构分配的由20位数字和字母组成的唯一编码,可以用于标识与国际金融交易相关联的法人机构，英文全称是 Legal Entity Identifier。</w:t>
            </w:r>
          </w:p>
        </w:tc>
      </w:tr>
      <w:tr w:rsidR="00A052DC" w14:paraId="46A35397" w14:textId="77777777">
        <w:trPr>
          <w:trHeight w:val="20"/>
          <w:jc w:val="center"/>
        </w:trPr>
        <w:tc>
          <w:tcPr>
            <w:tcW w:w="851" w:type="dxa"/>
            <w:tcBorders>
              <w:top w:val="nil"/>
              <w:left w:val="single" w:sz="4" w:space="0" w:color="auto"/>
              <w:bottom w:val="single" w:sz="4" w:space="0" w:color="auto"/>
              <w:right w:val="single" w:sz="4" w:space="0" w:color="auto"/>
            </w:tcBorders>
            <w:shd w:val="clear" w:color="auto" w:fill="auto"/>
          </w:tcPr>
          <w:p w14:paraId="698A4D7F"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Z03</w:t>
            </w:r>
          </w:p>
        </w:tc>
        <w:tc>
          <w:tcPr>
            <w:tcW w:w="1276" w:type="dxa"/>
            <w:tcBorders>
              <w:top w:val="nil"/>
              <w:left w:val="nil"/>
              <w:bottom w:val="single" w:sz="4" w:space="0" w:color="auto"/>
              <w:right w:val="single" w:sz="4" w:space="0" w:color="auto"/>
            </w:tcBorders>
            <w:shd w:val="clear" w:color="auto" w:fill="auto"/>
          </w:tcPr>
          <w:p w14:paraId="79CBE157"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投资者代码</w:t>
            </w:r>
          </w:p>
        </w:tc>
        <w:tc>
          <w:tcPr>
            <w:tcW w:w="3260" w:type="dxa"/>
            <w:tcBorders>
              <w:top w:val="nil"/>
              <w:left w:val="nil"/>
              <w:bottom w:val="single" w:sz="4" w:space="0" w:color="auto"/>
              <w:right w:val="single" w:sz="4" w:space="0" w:color="auto"/>
            </w:tcBorders>
            <w:shd w:val="clear" w:color="auto" w:fill="auto"/>
          </w:tcPr>
          <w:p w14:paraId="1D90CF80"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指投资者名称中各级投资者的代码，如为境内机构和个人，则填写组织机构代码或统一社会信用代码和个人身份证件号码；如为境外机构，则优先选择</w:t>
            </w:r>
            <w:r>
              <w:rPr>
                <w:rFonts w:ascii="黑体" w:eastAsia="黑体" w:hAnsi="黑体" w:cs="宋体"/>
                <w:color w:val="000000"/>
                <w:kern w:val="0"/>
                <w:sz w:val="20"/>
                <w:szCs w:val="20"/>
              </w:rPr>
              <w:t>SWIFT代码，如没有SWIFT代码，可填写特殊机构代码/股票证券代码/其他机构标识</w:t>
            </w:r>
            <w:r>
              <w:rPr>
                <w:rFonts w:ascii="黑体" w:eastAsia="黑体" w:hAnsi="黑体" w:cs="宋体"/>
                <w:color w:val="000000"/>
                <w:kern w:val="0"/>
                <w:sz w:val="20"/>
                <w:szCs w:val="20"/>
              </w:rPr>
              <w:lastRenderedPageBreak/>
              <w:t>码，以唯一标识该境外机构；如为境外个人，则填写护照号码或当地具有唯一性的个人身份证件号码。</w:t>
            </w:r>
          </w:p>
        </w:tc>
        <w:tc>
          <w:tcPr>
            <w:tcW w:w="3544" w:type="dxa"/>
            <w:tcBorders>
              <w:top w:val="nil"/>
              <w:left w:val="nil"/>
              <w:bottom w:val="single" w:sz="4" w:space="0" w:color="auto"/>
              <w:right w:val="single" w:sz="4" w:space="0" w:color="auto"/>
            </w:tcBorders>
            <w:shd w:val="clear" w:color="auto" w:fill="auto"/>
          </w:tcPr>
          <w:p w14:paraId="577535F1"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lastRenderedPageBreak/>
              <w:t>指投资者名称中各级投资者的代码，如为境内机构和个人，则填写主体标识码（统一社会信用代码的第</w:t>
            </w:r>
            <w:r>
              <w:rPr>
                <w:rFonts w:ascii="黑体" w:eastAsia="黑体" w:hAnsi="黑体" w:cs="宋体"/>
                <w:color w:val="000000"/>
                <w:kern w:val="0"/>
                <w:sz w:val="20"/>
                <w:szCs w:val="20"/>
              </w:rPr>
              <w:t>9-17位）或统一社会信用代码和个人身份证件号码；如为境外机构，则优先选择SWIFT代码，如没有SWIFT代码，可填写特殊机构代码/股票证券代码/其他机构标</w:t>
            </w:r>
            <w:r>
              <w:rPr>
                <w:rFonts w:ascii="黑体" w:eastAsia="黑体" w:hAnsi="黑体" w:cs="宋体"/>
                <w:color w:val="000000"/>
                <w:kern w:val="0"/>
                <w:sz w:val="20"/>
                <w:szCs w:val="20"/>
              </w:rPr>
              <w:lastRenderedPageBreak/>
              <w:t>识码，以唯一标识该境外机构；如为境外个人，则填写护照号码或当地具有唯一性的个人身份证号码。</w:t>
            </w:r>
            <w:r>
              <w:rPr>
                <w:rFonts w:ascii="黑体" w:eastAsia="黑体" w:hAnsi="黑体" w:cs="宋体"/>
                <w:color w:val="000000"/>
                <w:kern w:val="0"/>
                <w:sz w:val="20"/>
                <w:szCs w:val="20"/>
              </w:rPr>
              <w:br/>
            </w:r>
            <w:r>
              <w:rPr>
                <w:rFonts w:ascii="黑体" w:eastAsia="黑体" w:hAnsi="黑体" w:cs="宋体" w:hint="eastAsia"/>
                <w:color w:val="000000"/>
                <w:kern w:val="0"/>
                <w:sz w:val="20"/>
                <w:szCs w:val="20"/>
              </w:rPr>
              <w:t>当申报主体为投资者时，投资者代码应与</w:t>
            </w:r>
            <w:r>
              <w:rPr>
                <w:rFonts w:ascii="黑体" w:eastAsia="黑体" w:hAnsi="黑体" w:cs="宋体"/>
                <w:color w:val="000000"/>
                <w:kern w:val="0"/>
                <w:sz w:val="20"/>
                <w:szCs w:val="20"/>
              </w:rPr>
              <w:t>Z0103证件号码保持一致。</w:t>
            </w:r>
          </w:p>
        </w:tc>
      </w:tr>
      <w:tr w:rsidR="00A052DC" w14:paraId="044BF0EC" w14:textId="77777777">
        <w:trPr>
          <w:trHeight w:val="20"/>
          <w:jc w:val="center"/>
        </w:trPr>
        <w:tc>
          <w:tcPr>
            <w:tcW w:w="851" w:type="dxa"/>
            <w:tcBorders>
              <w:top w:val="nil"/>
              <w:left w:val="single" w:sz="4" w:space="0" w:color="auto"/>
              <w:bottom w:val="single" w:sz="4" w:space="0" w:color="auto"/>
              <w:right w:val="single" w:sz="4" w:space="0" w:color="auto"/>
            </w:tcBorders>
            <w:shd w:val="clear" w:color="auto" w:fill="auto"/>
          </w:tcPr>
          <w:p w14:paraId="02CA970F"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lastRenderedPageBreak/>
              <w:t>Z03</w:t>
            </w:r>
          </w:p>
        </w:tc>
        <w:tc>
          <w:tcPr>
            <w:tcW w:w="1276" w:type="dxa"/>
            <w:tcBorders>
              <w:top w:val="nil"/>
              <w:left w:val="nil"/>
              <w:bottom w:val="single" w:sz="4" w:space="0" w:color="auto"/>
              <w:right w:val="single" w:sz="4" w:space="0" w:color="auto"/>
            </w:tcBorders>
            <w:shd w:val="clear" w:color="auto" w:fill="auto"/>
          </w:tcPr>
          <w:p w14:paraId="3111CDB4"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投资者所属国家</w:t>
            </w:r>
            <w:r>
              <w:rPr>
                <w:rFonts w:ascii="黑体" w:eastAsia="黑体" w:hAnsi="黑体" w:cs="宋体"/>
                <w:color w:val="000000"/>
                <w:kern w:val="0"/>
                <w:sz w:val="20"/>
                <w:szCs w:val="20"/>
              </w:rPr>
              <w:t>/地区</w:t>
            </w:r>
          </w:p>
        </w:tc>
        <w:tc>
          <w:tcPr>
            <w:tcW w:w="3260" w:type="dxa"/>
            <w:tcBorders>
              <w:top w:val="nil"/>
              <w:left w:val="nil"/>
              <w:bottom w:val="single" w:sz="4" w:space="0" w:color="auto"/>
              <w:right w:val="single" w:sz="4" w:space="0" w:color="auto"/>
            </w:tcBorders>
            <w:shd w:val="clear" w:color="auto" w:fill="auto"/>
          </w:tcPr>
          <w:p w14:paraId="130D2F2A"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指上述各级投资者注册或常住的国家或地区，见国家和地区代码表。</w:t>
            </w:r>
          </w:p>
        </w:tc>
        <w:tc>
          <w:tcPr>
            <w:tcW w:w="3544" w:type="dxa"/>
            <w:tcBorders>
              <w:top w:val="nil"/>
              <w:left w:val="nil"/>
              <w:bottom w:val="single" w:sz="4" w:space="0" w:color="auto"/>
              <w:right w:val="single" w:sz="4" w:space="0" w:color="auto"/>
            </w:tcBorders>
            <w:shd w:val="clear" w:color="auto" w:fill="auto"/>
          </w:tcPr>
          <w:p w14:paraId="7BD70E49"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指上述各级投资者注册或常驻（住）的国家或地区，见国家和地区代码表。</w:t>
            </w:r>
          </w:p>
        </w:tc>
      </w:tr>
      <w:tr w:rsidR="00A052DC" w14:paraId="47BAD048" w14:textId="77777777">
        <w:trPr>
          <w:trHeight w:val="20"/>
          <w:jc w:val="center"/>
        </w:trPr>
        <w:tc>
          <w:tcPr>
            <w:tcW w:w="851" w:type="dxa"/>
            <w:tcBorders>
              <w:top w:val="nil"/>
              <w:left w:val="single" w:sz="4" w:space="0" w:color="auto"/>
              <w:bottom w:val="single" w:sz="4" w:space="0" w:color="auto"/>
              <w:right w:val="single" w:sz="4" w:space="0" w:color="auto"/>
            </w:tcBorders>
            <w:shd w:val="clear" w:color="auto" w:fill="auto"/>
          </w:tcPr>
          <w:p w14:paraId="70663E83"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Z03</w:t>
            </w:r>
          </w:p>
        </w:tc>
        <w:tc>
          <w:tcPr>
            <w:tcW w:w="1276" w:type="dxa"/>
            <w:tcBorders>
              <w:top w:val="nil"/>
              <w:left w:val="nil"/>
              <w:bottom w:val="single" w:sz="4" w:space="0" w:color="auto"/>
              <w:right w:val="single" w:sz="4" w:space="0" w:color="auto"/>
            </w:tcBorders>
            <w:shd w:val="clear" w:color="auto" w:fill="auto"/>
          </w:tcPr>
          <w:p w14:paraId="1D790AF2"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投资者表决权比例（</w:t>
            </w:r>
            <w:r>
              <w:rPr>
                <w:rFonts w:ascii="黑体" w:eastAsia="黑体" w:hAnsi="黑体" w:cs="宋体"/>
                <w:color w:val="000000"/>
                <w:kern w:val="0"/>
                <w:sz w:val="20"/>
                <w:szCs w:val="20"/>
              </w:rPr>
              <w:t>%）</w:t>
            </w:r>
          </w:p>
        </w:tc>
        <w:tc>
          <w:tcPr>
            <w:tcW w:w="3260" w:type="dxa"/>
            <w:tcBorders>
              <w:top w:val="nil"/>
              <w:left w:val="nil"/>
              <w:bottom w:val="single" w:sz="4" w:space="0" w:color="auto"/>
              <w:right w:val="single" w:sz="4" w:space="0" w:color="auto"/>
            </w:tcBorders>
            <w:shd w:val="clear" w:color="auto" w:fill="auto"/>
          </w:tcPr>
          <w:p w14:paraId="47A5BA5C"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指本统计期末，上述投资者持有下一级被投资机构表决权比例（不包括潜在表决权，如债转股）。</w:t>
            </w:r>
          </w:p>
        </w:tc>
        <w:tc>
          <w:tcPr>
            <w:tcW w:w="3544" w:type="dxa"/>
            <w:tcBorders>
              <w:top w:val="nil"/>
              <w:left w:val="nil"/>
              <w:bottom w:val="single" w:sz="4" w:space="0" w:color="auto"/>
              <w:right w:val="single" w:sz="4" w:space="0" w:color="auto"/>
            </w:tcBorders>
            <w:shd w:val="clear" w:color="auto" w:fill="auto"/>
          </w:tcPr>
          <w:p w14:paraId="3BEB2A19"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指本统计期末，上述投资者持有下一级被投资机构表决权比例。</w:t>
            </w:r>
          </w:p>
        </w:tc>
      </w:tr>
      <w:tr w:rsidR="00A052DC" w14:paraId="0DCCD4C7" w14:textId="77777777">
        <w:trPr>
          <w:trHeight w:val="20"/>
          <w:jc w:val="center"/>
        </w:trPr>
        <w:tc>
          <w:tcPr>
            <w:tcW w:w="851" w:type="dxa"/>
            <w:tcBorders>
              <w:top w:val="nil"/>
              <w:left w:val="single" w:sz="4" w:space="0" w:color="auto"/>
              <w:bottom w:val="single" w:sz="4" w:space="0" w:color="auto"/>
              <w:right w:val="single" w:sz="4" w:space="0" w:color="auto"/>
            </w:tcBorders>
            <w:shd w:val="clear" w:color="auto" w:fill="auto"/>
          </w:tcPr>
          <w:p w14:paraId="64D533C5"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Z03</w:t>
            </w:r>
          </w:p>
        </w:tc>
        <w:tc>
          <w:tcPr>
            <w:tcW w:w="1276" w:type="dxa"/>
            <w:tcBorders>
              <w:top w:val="nil"/>
              <w:left w:val="nil"/>
              <w:bottom w:val="single" w:sz="4" w:space="0" w:color="auto"/>
              <w:right w:val="single" w:sz="4" w:space="0" w:color="auto"/>
            </w:tcBorders>
            <w:shd w:val="clear" w:color="auto" w:fill="auto"/>
          </w:tcPr>
          <w:p w14:paraId="622FEFB2"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被投资机构代码</w:t>
            </w:r>
          </w:p>
        </w:tc>
        <w:tc>
          <w:tcPr>
            <w:tcW w:w="3260" w:type="dxa"/>
            <w:tcBorders>
              <w:top w:val="nil"/>
              <w:left w:val="nil"/>
              <w:bottom w:val="single" w:sz="4" w:space="0" w:color="auto"/>
              <w:right w:val="single" w:sz="4" w:space="0" w:color="auto"/>
            </w:tcBorders>
            <w:shd w:val="clear" w:color="auto" w:fill="auto"/>
          </w:tcPr>
          <w:p w14:paraId="640B656A"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指被投资机构名称中各级被投资机构的代码，如为境内机构和个人，则填写组织机构代码或统一社会信用代码和个人身份证件号码；如为境外机构，则优先选择</w:t>
            </w:r>
            <w:r>
              <w:rPr>
                <w:rFonts w:ascii="黑体" w:eastAsia="黑体" w:hAnsi="黑体" w:cs="宋体"/>
                <w:color w:val="000000"/>
                <w:kern w:val="0"/>
                <w:sz w:val="20"/>
                <w:szCs w:val="20"/>
              </w:rPr>
              <w:t>SWIFT代码，如没有SWIFT代码，可填写特殊机构代码/股票证券代码/其他机构标识码，以唯一标识该境外机构；如为境外个人，则填写护照号码或当地具有唯一性的个人身份证件号码。</w:t>
            </w:r>
          </w:p>
        </w:tc>
        <w:tc>
          <w:tcPr>
            <w:tcW w:w="3544" w:type="dxa"/>
            <w:tcBorders>
              <w:top w:val="nil"/>
              <w:left w:val="nil"/>
              <w:bottom w:val="single" w:sz="4" w:space="0" w:color="auto"/>
              <w:right w:val="single" w:sz="4" w:space="0" w:color="auto"/>
            </w:tcBorders>
            <w:shd w:val="clear" w:color="auto" w:fill="auto"/>
          </w:tcPr>
          <w:p w14:paraId="243E86F9"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指被投资机构名称中各级被投资机构的代码，如为境内机构和个人，则填写主体标识码（统一社会信用代码的第</w:t>
            </w:r>
            <w:r>
              <w:rPr>
                <w:rFonts w:ascii="黑体" w:eastAsia="黑体" w:hAnsi="黑体" w:cs="宋体"/>
                <w:color w:val="000000"/>
                <w:kern w:val="0"/>
                <w:sz w:val="20"/>
                <w:szCs w:val="20"/>
              </w:rPr>
              <w:t>9-17位）或统一社会信用代码和个人身份证件号码；如为境外机构，则优先选择SWIFT代码，如没有SWIFT代码，可填写特殊机构代码/股票证券代码/其他机构标识码，以唯一标识该境外机构；如为境外个人，则填写护照号码或当地具有唯一性的个人身份证件号码。</w:t>
            </w:r>
            <w:r>
              <w:rPr>
                <w:rFonts w:ascii="黑体" w:eastAsia="黑体" w:hAnsi="黑体" w:cs="宋体"/>
                <w:color w:val="000000"/>
                <w:kern w:val="0"/>
                <w:sz w:val="20"/>
                <w:szCs w:val="20"/>
              </w:rPr>
              <w:br/>
            </w:r>
            <w:r>
              <w:rPr>
                <w:rFonts w:ascii="黑体" w:eastAsia="黑体" w:hAnsi="黑体" w:cs="宋体" w:hint="eastAsia"/>
                <w:color w:val="000000"/>
                <w:kern w:val="0"/>
                <w:sz w:val="20"/>
                <w:szCs w:val="20"/>
              </w:rPr>
              <w:t>当申报主体为被投资机构时，被投资机构代码应与</w:t>
            </w:r>
            <w:r>
              <w:rPr>
                <w:rFonts w:ascii="黑体" w:eastAsia="黑体" w:hAnsi="黑体" w:cs="宋体"/>
                <w:color w:val="000000"/>
                <w:kern w:val="0"/>
                <w:sz w:val="20"/>
                <w:szCs w:val="20"/>
              </w:rPr>
              <w:t>Z0103证照号码保持一致。</w:t>
            </w:r>
          </w:p>
        </w:tc>
      </w:tr>
      <w:tr w:rsidR="00A052DC" w14:paraId="17B9BAC4" w14:textId="77777777">
        <w:trPr>
          <w:trHeight w:val="20"/>
          <w:jc w:val="center"/>
        </w:trPr>
        <w:tc>
          <w:tcPr>
            <w:tcW w:w="851" w:type="dxa"/>
            <w:tcBorders>
              <w:top w:val="nil"/>
              <w:left w:val="single" w:sz="4" w:space="0" w:color="auto"/>
              <w:bottom w:val="single" w:sz="4" w:space="0" w:color="auto"/>
              <w:right w:val="single" w:sz="4" w:space="0" w:color="auto"/>
            </w:tcBorders>
            <w:shd w:val="clear" w:color="auto" w:fill="auto"/>
          </w:tcPr>
          <w:p w14:paraId="060B935D"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A01-1</w:t>
            </w:r>
          </w:p>
        </w:tc>
        <w:tc>
          <w:tcPr>
            <w:tcW w:w="1276" w:type="dxa"/>
            <w:tcBorders>
              <w:top w:val="nil"/>
              <w:left w:val="nil"/>
              <w:bottom w:val="single" w:sz="4" w:space="0" w:color="auto"/>
              <w:right w:val="single" w:sz="4" w:space="0" w:color="auto"/>
            </w:tcBorders>
            <w:shd w:val="clear" w:color="auto" w:fill="auto"/>
          </w:tcPr>
          <w:p w14:paraId="05210BB0"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该</w:t>
            </w:r>
            <w:r>
              <w:rPr>
                <w:rFonts w:ascii="黑体" w:eastAsia="黑体" w:hAnsi="黑体" w:cs="宋体"/>
                <w:color w:val="000000"/>
                <w:kern w:val="0"/>
                <w:sz w:val="20"/>
                <w:szCs w:val="20"/>
              </w:rPr>
              <w:t>SPV或壳机构代码</w:t>
            </w:r>
          </w:p>
        </w:tc>
        <w:tc>
          <w:tcPr>
            <w:tcW w:w="3260" w:type="dxa"/>
            <w:tcBorders>
              <w:top w:val="nil"/>
              <w:left w:val="nil"/>
              <w:bottom w:val="single" w:sz="4" w:space="0" w:color="auto"/>
              <w:right w:val="single" w:sz="4" w:space="0" w:color="auto"/>
            </w:tcBorders>
            <w:shd w:val="clear" w:color="auto" w:fill="auto"/>
          </w:tcPr>
          <w:p w14:paraId="5FCA1B8E"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对于申报主体是否通过</w:t>
            </w:r>
            <w:r>
              <w:rPr>
                <w:rFonts w:ascii="黑体" w:eastAsia="黑体" w:hAnsi="黑体" w:cs="宋体"/>
                <w:color w:val="000000"/>
                <w:kern w:val="0"/>
                <w:sz w:val="20"/>
                <w:szCs w:val="20"/>
              </w:rPr>
              <w:t>SPV或壳机构持有该境外被投资机构选择“1-是”的，填报可以唯一标识该境外一级SPV或壳机构的代码，包括“SWIFT编码”等。如无市场通用代码，应使用申报主体内部使用的代码进行唯一标识。</w:t>
            </w:r>
          </w:p>
        </w:tc>
        <w:tc>
          <w:tcPr>
            <w:tcW w:w="3544" w:type="dxa"/>
            <w:tcBorders>
              <w:top w:val="nil"/>
              <w:left w:val="nil"/>
              <w:bottom w:val="single" w:sz="4" w:space="0" w:color="auto"/>
              <w:right w:val="single" w:sz="4" w:space="0" w:color="auto"/>
            </w:tcBorders>
            <w:shd w:val="clear" w:color="auto" w:fill="auto"/>
          </w:tcPr>
          <w:p w14:paraId="678FEE66"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对于申报主体是否通过</w:t>
            </w:r>
            <w:r>
              <w:rPr>
                <w:rFonts w:ascii="黑体" w:eastAsia="黑体" w:hAnsi="黑体" w:cs="宋体"/>
                <w:color w:val="000000"/>
                <w:kern w:val="0"/>
                <w:sz w:val="20"/>
                <w:szCs w:val="20"/>
              </w:rPr>
              <w:t>SPV或壳机构持有该境外被投资机构选择“1-是”的，填报可以唯一标识该境外一级SPV或壳机构的代码，包括“SWIFT编码/股票证券代码/其他机构标识码”等。如无市场通用代码，应使用申报主体内部使用的代码进行唯一标识。</w:t>
            </w:r>
          </w:p>
        </w:tc>
      </w:tr>
      <w:tr w:rsidR="00A052DC" w14:paraId="05AACEB9" w14:textId="77777777">
        <w:trPr>
          <w:trHeight w:val="20"/>
          <w:jc w:val="center"/>
        </w:trPr>
        <w:tc>
          <w:tcPr>
            <w:tcW w:w="851" w:type="dxa"/>
            <w:tcBorders>
              <w:top w:val="nil"/>
              <w:left w:val="single" w:sz="4" w:space="0" w:color="auto"/>
              <w:bottom w:val="single" w:sz="4" w:space="0" w:color="auto"/>
              <w:right w:val="single" w:sz="4" w:space="0" w:color="auto"/>
            </w:tcBorders>
            <w:shd w:val="clear" w:color="auto" w:fill="auto"/>
          </w:tcPr>
          <w:p w14:paraId="4B3EA068"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A02-1</w:t>
            </w:r>
          </w:p>
        </w:tc>
        <w:tc>
          <w:tcPr>
            <w:tcW w:w="1276" w:type="dxa"/>
            <w:tcBorders>
              <w:top w:val="nil"/>
              <w:left w:val="nil"/>
              <w:bottom w:val="single" w:sz="4" w:space="0" w:color="auto"/>
              <w:right w:val="single" w:sz="4" w:space="0" w:color="auto"/>
            </w:tcBorders>
            <w:shd w:val="clear" w:color="auto" w:fill="auto"/>
          </w:tcPr>
          <w:p w14:paraId="3C9CA041"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期末会计记账币种（原币）</w:t>
            </w:r>
          </w:p>
        </w:tc>
        <w:tc>
          <w:tcPr>
            <w:tcW w:w="3260" w:type="dxa"/>
            <w:tcBorders>
              <w:top w:val="nil"/>
              <w:left w:val="nil"/>
              <w:bottom w:val="single" w:sz="4" w:space="0" w:color="auto"/>
              <w:right w:val="single" w:sz="4" w:space="0" w:color="auto"/>
            </w:tcBorders>
            <w:shd w:val="clear" w:color="auto" w:fill="auto"/>
          </w:tcPr>
          <w:p w14:paraId="5FBCBBB9"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请按照本机构（被投资机构）合并会计账上的记账本位币（如人民币）填列，见币种代码表。该记账币种适用于从期末资产至本机构在境内缴纳的税金总额各项。虽然记账本位币仅列示一种，但从期末资产至本机构在境内缴纳的税金总额各项均应为本机构本外币合并后数据。</w:t>
            </w:r>
          </w:p>
        </w:tc>
        <w:tc>
          <w:tcPr>
            <w:tcW w:w="3544" w:type="dxa"/>
            <w:tcBorders>
              <w:top w:val="nil"/>
              <w:left w:val="nil"/>
              <w:bottom w:val="single" w:sz="4" w:space="0" w:color="auto"/>
              <w:right w:val="single" w:sz="4" w:space="0" w:color="auto"/>
            </w:tcBorders>
            <w:shd w:val="clear" w:color="auto" w:fill="auto"/>
          </w:tcPr>
          <w:p w14:paraId="667A8770"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请按照本机构（被投资机构）合并会计账上的记账本位币填列，见币种代码表。该记账币种适用于从期末资产至本机构在境内缴纳的税金总额各项。虽然记账本位币仅列示一种，但从期末资产至本机构在境内缴纳的税金总额各项均应为本机构本外币合并后数据。</w:t>
            </w:r>
          </w:p>
        </w:tc>
      </w:tr>
      <w:tr w:rsidR="00A052DC" w14:paraId="75858689" w14:textId="77777777">
        <w:trPr>
          <w:trHeight w:val="20"/>
          <w:jc w:val="center"/>
        </w:trPr>
        <w:tc>
          <w:tcPr>
            <w:tcW w:w="851" w:type="dxa"/>
            <w:tcBorders>
              <w:top w:val="nil"/>
              <w:left w:val="single" w:sz="4" w:space="0" w:color="auto"/>
              <w:bottom w:val="single" w:sz="4" w:space="0" w:color="auto"/>
              <w:right w:val="single" w:sz="4" w:space="0" w:color="auto"/>
            </w:tcBorders>
            <w:shd w:val="clear" w:color="auto" w:fill="auto"/>
          </w:tcPr>
          <w:p w14:paraId="04C94C6D"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A02-1</w:t>
            </w:r>
          </w:p>
        </w:tc>
        <w:tc>
          <w:tcPr>
            <w:tcW w:w="1276" w:type="dxa"/>
            <w:tcBorders>
              <w:top w:val="nil"/>
              <w:left w:val="nil"/>
              <w:bottom w:val="single" w:sz="4" w:space="0" w:color="auto"/>
              <w:right w:val="single" w:sz="4" w:space="0" w:color="auto"/>
            </w:tcBorders>
            <w:shd w:val="clear" w:color="auto" w:fill="auto"/>
          </w:tcPr>
          <w:p w14:paraId="3985B46F"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期末资产</w:t>
            </w:r>
          </w:p>
        </w:tc>
        <w:tc>
          <w:tcPr>
            <w:tcW w:w="3260" w:type="dxa"/>
            <w:tcBorders>
              <w:top w:val="nil"/>
              <w:left w:val="nil"/>
              <w:bottom w:val="single" w:sz="4" w:space="0" w:color="auto"/>
              <w:right w:val="single" w:sz="4" w:space="0" w:color="auto"/>
            </w:tcBorders>
            <w:shd w:val="clear" w:color="auto" w:fill="auto"/>
          </w:tcPr>
          <w:p w14:paraId="5967E110"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指对应月度末，本机构合并资产负债表中的“资产总额”。期末资产</w:t>
            </w:r>
            <w:r>
              <w:rPr>
                <w:rFonts w:ascii="黑体" w:eastAsia="黑体" w:hAnsi="黑体" w:cs="宋体"/>
                <w:color w:val="000000"/>
                <w:kern w:val="0"/>
                <w:sz w:val="20"/>
                <w:szCs w:val="20"/>
              </w:rPr>
              <w:t>-期末负债-期末少数股东权益=期末归属于本机构全体股东的权益(总额)</w:t>
            </w:r>
          </w:p>
        </w:tc>
        <w:tc>
          <w:tcPr>
            <w:tcW w:w="3544" w:type="dxa"/>
            <w:tcBorders>
              <w:top w:val="nil"/>
              <w:left w:val="nil"/>
              <w:bottom w:val="single" w:sz="4" w:space="0" w:color="auto"/>
              <w:right w:val="single" w:sz="4" w:space="0" w:color="auto"/>
            </w:tcBorders>
            <w:shd w:val="clear" w:color="auto" w:fill="auto"/>
          </w:tcPr>
          <w:p w14:paraId="0131FB62"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指对应月度末，本机构合并资产负债表中的“资产总额”。期末资产</w:t>
            </w:r>
            <w:r>
              <w:rPr>
                <w:rFonts w:ascii="黑体" w:eastAsia="黑体" w:hAnsi="黑体" w:cs="宋体"/>
                <w:color w:val="000000"/>
                <w:kern w:val="0"/>
                <w:sz w:val="20"/>
                <w:szCs w:val="20"/>
              </w:rPr>
              <w:t>-期末负债-期末少数股东权益=期末归属于本机构所有者的权益(总额)。</w:t>
            </w:r>
          </w:p>
        </w:tc>
      </w:tr>
      <w:tr w:rsidR="00A052DC" w14:paraId="0D46E128" w14:textId="77777777">
        <w:trPr>
          <w:trHeight w:val="20"/>
          <w:jc w:val="center"/>
        </w:trPr>
        <w:tc>
          <w:tcPr>
            <w:tcW w:w="851" w:type="dxa"/>
            <w:tcBorders>
              <w:top w:val="nil"/>
              <w:left w:val="single" w:sz="4" w:space="0" w:color="auto"/>
              <w:bottom w:val="single" w:sz="4" w:space="0" w:color="auto"/>
              <w:right w:val="single" w:sz="4" w:space="0" w:color="auto"/>
            </w:tcBorders>
            <w:shd w:val="clear" w:color="auto" w:fill="auto"/>
          </w:tcPr>
          <w:p w14:paraId="1E872EDB"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A02-2、</w:t>
            </w:r>
            <w:r>
              <w:rPr>
                <w:rFonts w:ascii="黑体" w:eastAsia="黑体" w:hAnsi="黑体" w:cs="宋体"/>
                <w:color w:val="000000"/>
                <w:kern w:val="0"/>
                <w:sz w:val="20"/>
                <w:szCs w:val="20"/>
              </w:rPr>
              <w:lastRenderedPageBreak/>
              <w:t>A02-3</w:t>
            </w:r>
          </w:p>
        </w:tc>
        <w:tc>
          <w:tcPr>
            <w:tcW w:w="1276" w:type="dxa"/>
            <w:tcBorders>
              <w:top w:val="nil"/>
              <w:left w:val="nil"/>
              <w:bottom w:val="single" w:sz="4" w:space="0" w:color="auto"/>
              <w:right w:val="single" w:sz="4" w:space="0" w:color="auto"/>
            </w:tcBorders>
            <w:shd w:val="clear" w:color="auto" w:fill="auto"/>
          </w:tcPr>
          <w:p w14:paraId="431D5AF4"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lastRenderedPageBreak/>
              <w:t>境外投资者</w:t>
            </w:r>
            <w:r>
              <w:rPr>
                <w:rFonts w:ascii="黑体" w:eastAsia="黑体" w:hAnsi="黑体" w:cs="宋体" w:hint="eastAsia"/>
                <w:color w:val="000000"/>
                <w:kern w:val="0"/>
                <w:sz w:val="20"/>
                <w:szCs w:val="20"/>
              </w:rPr>
              <w:lastRenderedPageBreak/>
              <w:t>代码</w:t>
            </w:r>
          </w:p>
        </w:tc>
        <w:tc>
          <w:tcPr>
            <w:tcW w:w="3260" w:type="dxa"/>
            <w:tcBorders>
              <w:top w:val="nil"/>
              <w:left w:val="nil"/>
              <w:bottom w:val="single" w:sz="4" w:space="0" w:color="auto"/>
              <w:right w:val="single" w:sz="4" w:space="0" w:color="auto"/>
            </w:tcBorders>
            <w:shd w:val="clear" w:color="auto" w:fill="auto"/>
          </w:tcPr>
          <w:p w14:paraId="583722D9"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lastRenderedPageBreak/>
              <w:t>指可以唯一标识该境外投资者的代</w:t>
            </w:r>
            <w:r>
              <w:rPr>
                <w:rFonts w:ascii="黑体" w:eastAsia="黑体" w:hAnsi="黑体" w:cs="宋体" w:hint="eastAsia"/>
                <w:color w:val="000000"/>
                <w:kern w:val="0"/>
                <w:sz w:val="20"/>
                <w:szCs w:val="20"/>
              </w:rPr>
              <w:lastRenderedPageBreak/>
              <w:t>码，包括“</w:t>
            </w:r>
            <w:r>
              <w:rPr>
                <w:rFonts w:ascii="黑体" w:eastAsia="黑体" w:hAnsi="黑体" w:cs="宋体"/>
                <w:color w:val="000000"/>
                <w:kern w:val="0"/>
                <w:sz w:val="20"/>
                <w:szCs w:val="20"/>
              </w:rPr>
              <w:t>SWIFT编码/股票证券代码/其他机构标识码”等。如果该境外投资者为境外上市企业，代码前需注明交易所编码，如纽交所代码为NYSE；多个地区上市可以只填报主要上市地的代码；如只能填报其他机构标识码，需填报境内投资主体的金融机构代码，再加上公司或集团内部编码等。所谓境外投资者，指的是有以下投资活动的境外机构或个人，包括：（1）在境内设立或投资一级分支机构、子机构、联营机构或合营机构，包括对上述境内机构的新设、追加、减少或撤回股权或营运资金投资，但境外机构在境内设立代表处不纳入本表统计；（2）在境内外证券市场买卖（含一级市场和二级市场）或场外协议买卖本机构股权，且在本统计期初或期末，持有本机构表决权≥10%的，但境外结算代理机构（如香港中央结算（代理人））不是本机构的投资者；（3）购买本机构境外发行的基金，且在本统计期初或期末，持有该境外基金份额或单位≥10%的。</w:t>
            </w:r>
          </w:p>
        </w:tc>
        <w:tc>
          <w:tcPr>
            <w:tcW w:w="3544" w:type="dxa"/>
            <w:tcBorders>
              <w:top w:val="nil"/>
              <w:left w:val="nil"/>
              <w:bottom w:val="single" w:sz="4" w:space="0" w:color="auto"/>
              <w:right w:val="single" w:sz="4" w:space="0" w:color="auto"/>
            </w:tcBorders>
            <w:shd w:val="clear" w:color="auto" w:fill="auto"/>
          </w:tcPr>
          <w:p w14:paraId="5640C15D"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lastRenderedPageBreak/>
              <w:t>指可以唯一标识该境外投资者的代码，</w:t>
            </w:r>
            <w:r>
              <w:rPr>
                <w:rFonts w:ascii="黑体" w:eastAsia="黑体" w:hAnsi="黑体" w:cs="宋体" w:hint="eastAsia"/>
                <w:color w:val="000000"/>
                <w:kern w:val="0"/>
                <w:sz w:val="20"/>
                <w:szCs w:val="20"/>
              </w:rPr>
              <w:lastRenderedPageBreak/>
              <w:t>包括“</w:t>
            </w:r>
            <w:r>
              <w:rPr>
                <w:rFonts w:ascii="黑体" w:eastAsia="黑体" w:hAnsi="黑体" w:cs="宋体"/>
                <w:color w:val="000000"/>
                <w:kern w:val="0"/>
                <w:sz w:val="20"/>
                <w:szCs w:val="20"/>
              </w:rPr>
              <w:t>SWIFT编码/股票证券代码/其他机构标识码”等。如果该境外投资者为境外上市企业，代码前需注明交易所编码，如纽交所代码为NYSE；多个地区上市可以只填报主要上市地的代码；如只能填报其他机构标识码，需填报境内投资主体的金融机构代码，再加上公司或集团内部编码等。所谓境外投资者，指的是有以下投资活动的境外机构或个人，包括：（1）在境内设立或投资一级分支机构、子机构、联营机构或合营机构，包括对上述境内机构的新设、追加、减少或撤回股权或营运资金投资，但境外机构在境内设立代表处不纳入本表统计；（2）在境内外证券市场买卖（含一级市场和二级市场）或场外协议买卖本机构股权，且在本统计期初或期末，持有本机构表决权≥10%的，但境外结算代理机构[如香港中央结算（代理人）]不是本机构的投资者；（3）购买本机构境外发行的基金，且在本统计期初或期末，持有该境外基金份额或单位≥10%的；（4）本统计期初或期末，持有境内非上市机构（如私募基金等）表决权≥10%的投资者。</w:t>
            </w:r>
          </w:p>
        </w:tc>
      </w:tr>
      <w:tr w:rsidR="00A052DC" w14:paraId="74F3E2F5" w14:textId="77777777">
        <w:trPr>
          <w:trHeight w:val="20"/>
          <w:jc w:val="center"/>
        </w:trPr>
        <w:tc>
          <w:tcPr>
            <w:tcW w:w="851" w:type="dxa"/>
            <w:tcBorders>
              <w:top w:val="nil"/>
              <w:left w:val="single" w:sz="4" w:space="0" w:color="auto"/>
              <w:bottom w:val="single" w:sz="4" w:space="0" w:color="auto"/>
              <w:right w:val="single" w:sz="4" w:space="0" w:color="auto"/>
            </w:tcBorders>
            <w:shd w:val="clear" w:color="auto" w:fill="auto"/>
          </w:tcPr>
          <w:p w14:paraId="7338833C"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lastRenderedPageBreak/>
              <w:t>A02-2</w:t>
            </w:r>
          </w:p>
        </w:tc>
        <w:tc>
          <w:tcPr>
            <w:tcW w:w="1276" w:type="dxa"/>
            <w:tcBorders>
              <w:top w:val="nil"/>
              <w:left w:val="nil"/>
              <w:bottom w:val="single" w:sz="4" w:space="0" w:color="auto"/>
              <w:right w:val="single" w:sz="4" w:space="0" w:color="auto"/>
            </w:tcBorders>
            <w:shd w:val="clear" w:color="auto" w:fill="auto"/>
          </w:tcPr>
          <w:p w14:paraId="5A0F8E7B"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境外投资者所属国家</w:t>
            </w:r>
            <w:r>
              <w:rPr>
                <w:rFonts w:ascii="黑体" w:eastAsia="黑体" w:hAnsi="黑体" w:cs="宋体"/>
                <w:color w:val="000000"/>
                <w:kern w:val="0"/>
                <w:sz w:val="20"/>
                <w:szCs w:val="20"/>
              </w:rPr>
              <w:t>/地区</w:t>
            </w:r>
          </w:p>
        </w:tc>
        <w:tc>
          <w:tcPr>
            <w:tcW w:w="3260" w:type="dxa"/>
            <w:tcBorders>
              <w:top w:val="nil"/>
              <w:left w:val="nil"/>
              <w:bottom w:val="single" w:sz="4" w:space="0" w:color="auto"/>
              <w:right w:val="single" w:sz="4" w:space="0" w:color="auto"/>
            </w:tcBorders>
            <w:shd w:val="clear" w:color="auto" w:fill="auto"/>
          </w:tcPr>
          <w:p w14:paraId="21D9DDED"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指上述境外投资者注册登记或常住（投资者为个人时）的国家或地区，见国家和地区代码表。</w:t>
            </w:r>
          </w:p>
        </w:tc>
        <w:tc>
          <w:tcPr>
            <w:tcW w:w="3544" w:type="dxa"/>
            <w:tcBorders>
              <w:top w:val="nil"/>
              <w:left w:val="nil"/>
              <w:bottom w:val="single" w:sz="4" w:space="0" w:color="auto"/>
              <w:right w:val="single" w:sz="4" w:space="0" w:color="auto"/>
            </w:tcBorders>
            <w:shd w:val="clear" w:color="auto" w:fill="auto"/>
          </w:tcPr>
          <w:p w14:paraId="3E238D63"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指上述境外投资者注册登记或常驻（住）的国家或地区，见国家和地区代码表。</w:t>
            </w:r>
          </w:p>
        </w:tc>
      </w:tr>
      <w:tr w:rsidR="00A052DC" w14:paraId="3CFD6104" w14:textId="77777777">
        <w:trPr>
          <w:trHeight w:val="20"/>
          <w:jc w:val="center"/>
        </w:trPr>
        <w:tc>
          <w:tcPr>
            <w:tcW w:w="851" w:type="dxa"/>
            <w:tcBorders>
              <w:top w:val="nil"/>
              <w:left w:val="single" w:sz="4" w:space="0" w:color="auto"/>
              <w:bottom w:val="single" w:sz="4" w:space="0" w:color="auto"/>
              <w:right w:val="single" w:sz="4" w:space="0" w:color="auto"/>
            </w:tcBorders>
            <w:shd w:val="clear" w:color="auto" w:fill="auto"/>
          </w:tcPr>
          <w:p w14:paraId="4B56C298"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A02-2</w:t>
            </w:r>
          </w:p>
        </w:tc>
        <w:tc>
          <w:tcPr>
            <w:tcW w:w="1276" w:type="dxa"/>
            <w:tcBorders>
              <w:top w:val="nil"/>
              <w:left w:val="nil"/>
              <w:bottom w:val="single" w:sz="4" w:space="0" w:color="auto"/>
              <w:right w:val="single" w:sz="4" w:space="0" w:color="auto"/>
            </w:tcBorders>
            <w:shd w:val="clear" w:color="auto" w:fill="auto"/>
          </w:tcPr>
          <w:p w14:paraId="5A742925"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每股（每份）市价</w:t>
            </w:r>
          </w:p>
        </w:tc>
        <w:tc>
          <w:tcPr>
            <w:tcW w:w="3260" w:type="dxa"/>
            <w:tcBorders>
              <w:top w:val="nil"/>
              <w:left w:val="nil"/>
              <w:bottom w:val="single" w:sz="4" w:space="0" w:color="auto"/>
              <w:right w:val="single" w:sz="4" w:space="0" w:color="auto"/>
            </w:tcBorders>
            <w:shd w:val="clear" w:color="auto" w:fill="auto"/>
          </w:tcPr>
          <w:p w14:paraId="355B47CF"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指对应月度末最后一个股票交易日对应币种每股股票或基金份额的收盘价。对于非公开上市但存在月末市值重估的股权或基金份额，应填报相关估值金额。如无可流通股票或基金份额，此项为零。</w:t>
            </w:r>
          </w:p>
        </w:tc>
        <w:tc>
          <w:tcPr>
            <w:tcW w:w="3544" w:type="dxa"/>
            <w:tcBorders>
              <w:top w:val="nil"/>
              <w:left w:val="nil"/>
              <w:bottom w:val="single" w:sz="4" w:space="0" w:color="auto"/>
              <w:right w:val="single" w:sz="4" w:space="0" w:color="auto"/>
            </w:tcBorders>
            <w:shd w:val="clear" w:color="auto" w:fill="auto"/>
          </w:tcPr>
          <w:p w14:paraId="09DEA219"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对应月度末最后一个股票交易日每股股票或基金份额的收盘价。如果对应境外投资者持有本机构多个市场发行的股票或基金份额，应按照不同上市地的计价币种和股票或份额的价格分别填报。对于非公开上市但存在月末重估市值的股权或基金份额，应填报相关估值金额。如无可流通股票或基金份额，此项为零。</w:t>
            </w:r>
          </w:p>
        </w:tc>
      </w:tr>
      <w:tr w:rsidR="00A052DC" w14:paraId="655432D9" w14:textId="77777777">
        <w:trPr>
          <w:trHeight w:val="20"/>
          <w:jc w:val="center"/>
        </w:trPr>
        <w:tc>
          <w:tcPr>
            <w:tcW w:w="851" w:type="dxa"/>
            <w:tcBorders>
              <w:top w:val="nil"/>
              <w:left w:val="single" w:sz="4" w:space="0" w:color="auto"/>
              <w:bottom w:val="single" w:sz="4" w:space="0" w:color="auto"/>
              <w:right w:val="single" w:sz="4" w:space="0" w:color="auto"/>
            </w:tcBorders>
            <w:shd w:val="clear" w:color="auto" w:fill="auto"/>
          </w:tcPr>
          <w:p w14:paraId="5F7F9850"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B01</w:t>
            </w:r>
          </w:p>
        </w:tc>
        <w:tc>
          <w:tcPr>
            <w:tcW w:w="1276" w:type="dxa"/>
            <w:tcBorders>
              <w:top w:val="nil"/>
              <w:left w:val="nil"/>
              <w:bottom w:val="single" w:sz="4" w:space="0" w:color="auto"/>
              <w:right w:val="single" w:sz="4" w:space="0" w:color="auto"/>
            </w:tcBorders>
            <w:shd w:val="clear" w:color="auto" w:fill="auto"/>
          </w:tcPr>
          <w:p w14:paraId="3D03284D"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业务类型</w:t>
            </w:r>
          </w:p>
        </w:tc>
        <w:tc>
          <w:tcPr>
            <w:tcW w:w="3260" w:type="dxa"/>
            <w:tcBorders>
              <w:top w:val="nil"/>
              <w:left w:val="nil"/>
              <w:bottom w:val="single" w:sz="4" w:space="0" w:color="auto"/>
              <w:right w:val="single" w:sz="4" w:space="0" w:color="auto"/>
            </w:tcBorders>
            <w:shd w:val="clear" w:color="auto" w:fill="auto"/>
          </w:tcPr>
          <w:p w14:paraId="3D2DF9C0"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业务类型，包括：</w:t>
            </w:r>
            <w:r>
              <w:rPr>
                <w:rFonts w:ascii="黑体" w:eastAsia="黑体" w:hAnsi="黑体" w:cs="宋体"/>
                <w:color w:val="000000"/>
                <w:kern w:val="0"/>
                <w:sz w:val="20"/>
                <w:szCs w:val="20"/>
              </w:rPr>
              <w:t>1-基金互认；2-沪港通；3-深港通；4-居民持有境外上市红筹企业股权；9-其他。</w:t>
            </w:r>
          </w:p>
        </w:tc>
        <w:tc>
          <w:tcPr>
            <w:tcW w:w="3544" w:type="dxa"/>
            <w:tcBorders>
              <w:top w:val="nil"/>
              <w:left w:val="nil"/>
              <w:bottom w:val="single" w:sz="4" w:space="0" w:color="auto"/>
              <w:right w:val="single" w:sz="4" w:space="0" w:color="auto"/>
            </w:tcBorders>
            <w:shd w:val="clear" w:color="auto" w:fill="auto"/>
          </w:tcPr>
          <w:p w14:paraId="27D3042E"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业务类型，包括：</w:t>
            </w:r>
            <w:r>
              <w:rPr>
                <w:rFonts w:ascii="黑体" w:eastAsia="黑体" w:hAnsi="黑体" w:cs="宋体"/>
                <w:color w:val="000000"/>
                <w:kern w:val="0"/>
                <w:sz w:val="20"/>
                <w:szCs w:val="20"/>
              </w:rPr>
              <w:t>1-基金互认；2-沪港通；3-深港通；4-境内居民参与境外企业股权激励计划；9-其他。</w:t>
            </w:r>
          </w:p>
        </w:tc>
      </w:tr>
      <w:tr w:rsidR="00A052DC" w14:paraId="4BDD593D" w14:textId="77777777">
        <w:trPr>
          <w:trHeight w:val="20"/>
          <w:jc w:val="center"/>
        </w:trPr>
        <w:tc>
          <w:tcPr>
            <w:tcW w:w="851" w:type="dxa"/>
            <w:tcBorders>
              <w:top w:val="nil"/>
              <w:left w:val="single" w:sz="4" w:space="0" w:color="auto"/>
              <w:bottom w:val="single" w:sz="4" w:space="0" w:color="auto"/>
              <w:right w:val="single" w:sz="4" w:space="0" w:color="auto"/>
            </w:tcBorders>
            <w:shd w:val="clear" w:color="auto" w:fill="auto"/>
          </w:tcPr>
          <w:p w14:paraId="6A2F9C60"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B01</w:t>
            </w:r>
          </w:p>
        </w:tc>
        <w:tc>
          <w:tcPr>
            <w:tcW w:w="1276" w:type="dxa"/>
            <w:tcBorders>
              <w:top w:val="nil"/>
              <w:left w:val="nil"/>
              <w:bottom w:val="single" w:sz="4" w:space="0" w:color="auto"/>
              <w:right w:val="single" w:sz="4" w:space="0" w:color="auto"/>
            </w:tcBorders>
            <w:shd w:val="clear" w:color="auto" w:fill="auto"/>
          </w:tcPr>
          <w:p w14:paraId="3F8EFE25"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发行主体所属国家</w:t>
            </w:r>
            <w:r>
              <w:rPr>
                <w:rFonts w:ascii="黑体" w:eastAsia="黑体" w:hAnsi="黑体" w:cs="宋体"/>
                <w:color w:val="000000"/>
                <w:kern w:val="0"/>
                <w:sz w:val="20"/>
                <w:szCs w:val="20"/>
              </w:rPr>
              <w:t>/地区</w:t>
            </w:r>
          </w:p>
        </w:tc>
        <w:tc>
          <w:tcPr>
            <w:tcW w:w="3260" w:type="dxa"/>
            <w:tcBorders>
              <w:top w:val="nil"/>
              <w:left w:val="nil"/>
              <w:bottom w:val="single" w:sz="4" w:space="0" w:color="auto"/>
              <w:right w:val="single" w:sz="4" w:space="0" w:color="auto"/>
            </w:tcBorders>
            <w:shd w:val="clear" w:color="auto" w:fill="auto"/>
          </w:tcPr>
          <w:p w14:paraId="6BB8A12A"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见国家和地区代码表，填写相关非居民</w:t>
            </w:r>
            <w:r>
              <w:rPr>
                <w:rFonts w:ascii="黑体" w:eastAsia="黑体" w:hAnsi="黑体" w:cs="宋体"/>
                <w:color w:val="000000"/>
                <w:kern w:val="0"/>
                <w:sz w:val="20"/>
                <w:szCs w:val="20"/>
              </w:rPr>
              <w:t>/境外上市居民发行主体的注册所在的国家/地区代码。对于无法</w:t>
            </w:r>
            <w:r>
              <w:rPr>
                <w:rFonts w:ascii="黑体" w:eastAsia="黑体" w:hAnsi="黑体" w:cs="宋体"/>
                <w:color w:val="000000"/>
                <w:kern w:val="0"/>
                <w:sz w:val="20"/>
                <w:szCs w:val="20"/>
              </w:rPr>
              <w:lastRenderedPageBreak/>
              <w:t>判定其注册地的，应填写其经营所在地国家/地区代码。对于注册地或经营地均无法判定的，应填写相关工具发行场所所在地的国家/地区代码。比如，持有的是中国银行在香港发行的H股，其发行主体所属国家/地区应为中国。</w:t>
            </w:r>
          </w:p>
        </w:tc>
        <w:tc>
          <w:tcPr>
            <w:tcW w:w="3544" w:type="dxa"/>
            <w:tcBorders>
              <w:top w:val="nil"/>
              <w:left w:val="nil"/>
              <w:bottom w:val="single" w:sz="4" w:space="0" w:color="auto"/>
              <w:right w:val="single" w:sz="4" w:space="0" w:color="auto"/>
            </w:tcBorders>
            <w:shd w:val="clear" w:color="auto" w:fill="auto"/>
          </w:tcPr>
          <w:p w14:paraId="250BAC4A"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lastRenderedPageBreak/>
              <w:t>见国家和地区代码表，填写相关非居民</w:t>
            </w:r>
            <w:r>
              <w:rPr>
                <w:rFonts w:ascii="黑体" w:eastAsia="黑体" w:hAnsi="黑体" w:cs="宋体"/>
                <w:color w:val="000000"/>
                <w:kern w:val="0"/>
                <w:sz w:val="20"/>
                <w:szCs w:val="20"/>
              </w:rPr>
              <w:t>/境外上市居民发行主体的注册所在的国家/地区代码。比如，持有的是中国</w:t>
            </w:r>
            <w:r>
              <w:rPr>
                <w:rFonts w:ascii="黑体" w:eastAsia="黑体" w:hAnsi="黑体" w:cs="宋体"/>
                <w:color w:val="000000"/>
                <w:kern w:val="0"/>
                <w:sz w:val="20"/>
                <w:szCs w:val="20"/>
              </w:rPr>
              <w:lastRenderedPageBreak/>
              <w:t>银行在香港发行的H股，其发行主体所属国家/地区应为中国。对于无法判定其注册地的，应填写其经营所在地国家/地区代码。对于注册地或经营地均无法判定的，应填写相关工具发行场所所在地的国家/地区代码。</w:t>
            </w:r>
          </w:p>
        </w:tc>
      </w:tr>
      <w:tr w:rsidR="00A052DC" w14:paraId="0C13849A" w14:textId="77777777">
        <w:trPr>
          <w:trHeight w:val="20"/>
          <w:jc w:val="center"/>
        </w:trPr>
        <w:tc>
          <w:tcPr>
            <w:tcW w:w="851" w:type="dxa"/>
            <w:tcBorders>
              <w:top w:val="nil"/>
              <w:left w:val="single" w:sz="4" w:space="0" w:color="auto"/>
              <w:bottom w:val="single" w:sz="4" w:space="0" w:color="auto"/>
              <w:right w:val="single" w:sz="4" w:space="0" w:color="auto"/>
            </w:tcBorders>
            <w:shd w:val="clear" w:color="auto" w:fill="auto"/>
          </w:tcPr>
          <w:p w14:paraId="05B56882"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lastRenderedPageBreak/>
              <w:t>B01</w:t>
            </w:r>
          </w:p>
        </w:tc>
        <w:tc>
          <w:tcPr>
            <w:tcW w:w="1276" w:type="dxa"/>
            <w:tcBorders>
              <w:top w:val="nil"/>
              <w:left w:val="nil"/>
              <w:bottom w:val="single" w:sz="4" w:space="0" w:color="auto"/>
              <w:right w:val="single" w:sz="4" w:space="0" w:color="auto"/>
            </w:tcBorders>
            <w:shd w:val="clear" w:color="auto" w:fill="auto"/>
          </w:tcPr>
          <w:p w14:paraId="1B76F38F"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本月股息</w:t>
            </w:r>
            <w:r>
              <w:rPr>
                <w:rFonts w:ascii="黑体" w:eastAsia="黑体" w:hAnsi="黑体" w:cs="宋体"/>
                <w:color w:val="000000"/>
                <w:kern w:val="0"/>
                <w:sz w:val="20"/>
                <w:szCs w:val="20"/>
              </w:rPr>
              <w:t>/红利收入</w:t>
            </w:r>
          </w:p>
        </w:tc>
        <w:tc>
          <w:tcPr>
            <w:tcW w:w="3260" w:type="dxa"/>
            <w:tcBorders>
              <w:top w:val="nil"/>
              <w:left w:val="nil"/>
              <w:bottom w:val="single" w:sz="4" w:space="0" w:color="auto"/>
              <w:right w:val="single" w:sz="4" w:space="0" w:color="auto"/>
            </w:tcBorders>
            <w:shd w:val="clear" w:color="auto" w:fill="auto"/>
          </w:tcPr>
          <w:p w14:paraId="3D6A6E7F"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指本月发生的、投资者会计账的股本证券或投资基金份额</w:t>
            </w:r>
            <w:r>
              <w:rPr>
                <w:rFonts w:ascii="黑体" w:eastAsia="黑体" w:hAnsi="黑体" w:cs="宋体"/>
                <w:color w:val="000000"/>
                <w:kern w:val="0"/>
                <w:sz w:val="20"/>
                <w:szCs w:val="20"/>
              </w:rPr>
              <w:t>/单位股息/红利收入。</w:t>
            </w:r>
          </w:p>
        </w:tc>
        <w:tc>
          <w:tcPr>
            <w:tcW w:w="3544" w:type="dxa"/>
            <w:tcBorders>
              <w:top w:val="nil"/>
              <w:left w:val="nil"/>
              <w:bottom w:val="single" w:sz="4" w:space="0" w:color="auto"/>
              <w:right w:val="single" w:sz="4" w:space="0" w:color="auto"/>
            </w:tcBorders>
            <w:shd w:val="clear" w:color="auto" w:fill="auto"/>
          </w:tcPr>
          <w:p w14:paraId="371DC4CC"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指本月发生的、投资者会计记账的股本证券或投资基金份额</w:t>
            </w:r>
            <w:r>
              <w:rPr>
                <w:rFonts w:ascii="黑体" w:eastAsia="黑体" w:hAnsi="黑体" w:cs="宋体"/>
                <w:color w:val="000000"/>
                <w:kern w:val="0"/>
                <w:sz w:val="20"/>
                <w:szCs w:val="20"/>
              </w:rPr>
              <w:t>/单位股息/红利收入。</w:t>
            </w:r>
          </w:p>
        </w:tc>
      </w:tr>
      <w:tr w:rsidR="00A052DC" w14:paraId="255A1845" w14:textId="77777777">
        <w:trPr>
          <w:trHeight w:val="20"/>
          <w:jc w:val="center"/>
        </w:trPr>
        <w:tc>
          <w:tcPr>
            <w:tcW w:w="851" w:type="dxa"/>
            <w:tcBorders>
              <w:top w:val="nil"/>
              <w:left w:val="single" w:sz="4" w:space="0" w:color="auto"/>
              <w:bottom w:val="single" w:sz="4" w:space="0" w:color="auto"/>
              <w:right w:val="single" w:sz="4" w:space="0" w:color="auto"/>
            </w:tcBorders>
            <w:shd w:val="clear" w:color="auto" w:fill="auto"/>
          </w:tcPr>
          <w:p w14:paraId="63D2CE27"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B02</w:t>
            </w:r>
          </w:p>
        </w:tc>
        <w:tc>
          <w:tcPr>
            <w:tcW w:w="1276" w:type="dxa"/>
            <w:tcBorders>
              <w:top w:val="nil"/>
              <w:left w:val="nil"/>
              <w:bottom w:val="single" w:sz="4" w:space="0" w:color="auto"/>
              <w:right w:val="single" w:sz="4" w:space="0" w:color="auto"/>
            </w:tcBorders>
            <w:shd w:val="clear" w:color="auto" w:fill="auto"/>
          </w:tcPr>
          <w:p w14:paraId="293B8F94"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证券发行主体名称（逐支报送使用）</w:t>
            </w:r>
          </w:p>
        </w:tc>
        <w:tc>
          <w:tcPr>
            <w:tcW w:w="3260" w:type="dxa"/>
            <w:tcBorders>
              <w:top w:val="nil"/>
              <w:left w:val="nil"/>
              <w:bottom w:val="single" w:sz="4" w:space="0" w:color="auto"/>
              <w:right w:val="single" w:sz="4" w:space="0" w:color="auto"/>
            </w:tcBorders>
            <w:shd w:val="clear" w:color="auto" w:fill="auto"/>
          </w:tcPr>
          <w:p w14:paraId="6CFFD956"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对于选择报送逐支证券信息的，请填写此项。为发行相关短期和中长期债券的非居民或居民机构的中文名称及当地注册的英文名称。如为其他语言名称，可不填写外文名称，但必须填写中文名称。</w:t>
            </w:r>
          </w:p>
        </w:tc>
        <w:tc>
          <w:tcPr>
            <w:tcW w:w="3544" w:type="dxa"/>
            <w:tcBorders>
              <w:top w:val="nil"/>
              <w:left w:val="nil"/>
              <w:bottom w:val="single" w:sz="4" w:space="0" w:color="auto"/>
              <w:right w:val="single" w:sz="4" w:space="0" w:color="auto"/>
            </w:tcBorders>
            <w:shd w:val="clear" w:color="auto" w:fill="auto"/>
          </w:tcPr>
          <w:p w14:paraId="2E419767"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对于选择报送逐支证券信息的，请填写此项。为发行相关债券的非居民或居民机构的中文名称及当地注册的英文名称。如为其他语言名称，可不填写外文名称，但必须填写中文名称。</w:t>
            </w:r>
          </w:p>
        </w:tc>
      </w:tr>
      <w:tr w:rsidR="00A052DC" w14:paraId="4B622D13" w14:textId="77777777">
        <w:trPr>
          <w:trHeight w:val="20"/>
          <w:jc w:val="center"/>
        </w:trPr>
        <w:tc>
          <w:tcPr>
            <w:tcW w:w="851" w:type="dxa"/>
            <w:tcBorders>
              <w:top w:val="nil"/>
              <w:left w:val="single" w:sz="4" w:space="0" w:color="auto"/>
              <w:bottom w:val="single" w:sz="4" w:space="0" w:color="auto"/>
              <w:right w:val="single" w:sz="4" w:space="0" w:color="auto"/>
            </w:tcBorders>
            <w:shd w:val="clear" w:color="auto" w:fill="auto"/>
          </w:tcPr>
          <w:p w14:paraId="0C61DE58"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B02</w:t>
            </w:r>
          </w:p>
        </w:tc>
        <w:tc>
          <w:tcPr>
            <w:tcW w:w="1276" w:type="dxa"/>
            <w:tcBorders>
              <w:top w:val="nil"/>
              <w:left w:val="nil"/>
              <w:bottom w:val="single" w:sz="4" w:space="0" w:color="auto"/>
              <w:right w:val="single" w:sz="4" w:space="0" w:color="auto"/>
            </w:tcBorders>
            <w:shd w:val="clear" w:color="auto" w:fill="auto"/>
          </w:tcPr>
          <w:p w14:paraId="219B9031"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发行主体所属部门</w:t>
            </w:r>
          </w:p>
        </w:tc>
        <w:tc>
          <w:tcPr>
            <w:tcW w:w="3260" w:type="dxa"/>
            <w:tcBorders>
              <w:top w:val="nil"/>
              <w:left w:val="nil"/>
              <w:bottom w:val="single" w:sz="4" w:space="0" w:color="auto"/>
              <w:right w:val="single" w:sz="4" w:space="0" w:color="auto"/>
            </w:tcBorders>
            <w:shd w:val="clear" w:color="auto" w:fill="auto"/>
          </w:tcPr>
          <w:p w14:paraId="67F76072"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见投资者（被投资者）部门代码表。请按发行主体的主营业务归类。对于政府支持（机构）类债券，应按发行主体本身所属部门归类，如两房债券，应选择“</w:t>
            </w:r>
            <w:r>
              <w:rPr>
                <w:rFonts w:ascii="黑体" w:eastAsia="黑体" w:hAnsi="黑体" w:cs="宋体"/>
                <w:color w:val="000000"/>
                <w:kern w:val="0"/>
                <w:sz w:val="20"/>
                <w:szCs w:val="20"/>
              </w:rPr>
              <w:t>4-非银行金融机构”。</w:t>
            </w:r>
          </w:p>
        </w:tc>
        <w:tc>
          <w:tcPr>
            <w:tcW w:w="3544" w:type="dxa"/>
            <w:tcBorders>
              <w:top w:val="nil"/>
              <w:left w:val="nil"/>
              <w:bottom w:val="single" w:sz="4" w:space="0" w:color="auto"/>
              <w:right w:val="single" w:sz="4" w:space="0" w:color="auto"/>
            </w:tcBorders>
            <w:shd w:val="clear" w:color="auto" w:fill="auto"/>
          </w:tcPr>
          <w:p w14:paraId="183BDB8B"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见投资者（被投资者）部门代码表。请按发行主体的主营业务归类。对于政府支持（机构）类债券，应按发行主体本身所属部门归类，如美国两房债券，应选择“</w:t>
            </w:r>
            <w:r>
              <w:rPr>
                <w:rFonts w:ascii="黑体" w:eastAsia="黑体" w:hAnsi="黑体" w:cs="宋体"/>
                <w:color w:val="000000"/>
                <w:kern w:val="0"/>
                <w:sz w:val="20"/>
                <w:szCs w:val="20"/>
              </w:rPr>
              <w:t>4-非银行金融机构”。</w:t>
            </w:r>
          </w:p>
        </w:tc>
      </w:tr>
      <w:tr w:rsidR="00A052DC" w14:paraId="741F2EEC" w14:textId="77777777">
        <w:trPr>
          <w:trHeight w:val="20"/>
          <w:jc w:val="center"/>
        </w:trPr>
        <w:tc>
          <w:tcPr>
            <w:tcW w:w="851" w:type="dxa"/>
            <w:tcBorders>
              <w:top w:val="nil"/>
              <w:left w:val="single" w:sz="4" w:space="0" w:color="auto"/>
              <w:bottom w:val="single" w:sz="4" w:space="0" w:color="auto"/>
              <w:right w:val="single" w:sz="4" w:space="0" w:color="auto"/>
            </w:tcBorders>
            <w:shd w:val="clear" w:color="auto" w:fill="auto"/>
          </w:tcPr>
          <w:p w14:paraId="106819FB"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B02</w:t>
            </w:r>
          </w:p>
        </w:tc>
        <w:tc>
          <w:tcPr>
            <w:tcW w:w="1276" w:type="dxa"/>
            <w:tcBorders>
              <w:top w:val="nil"/>
              <w:left w:val="nil"/>
              <w:bottom w:val="single" w:sz="4" w:space="0" w:color="auto"/>
              <w:right w:val="single" w:sz="4" w:space="0" w:color="auto"/>
            </w:tcBorders>
            <w:shd w:val="clear" w:color="auto" w:fill="auto"/>
          </w:tcPr>
          <w:p w14:paraId="04B97121"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上月末市值</w:t>
            </w:r>
          </w:p>
        </w:tc>
        <w:tc>
          <w:tcPr>
            <w:tcW w:w="3260" w:type="dxa"/>
            <w:tcBorders>
              <w:top w:val="nil"/>
              <w:left w:val="nil"/>
              <w:bottom w:val="single" w:sz="4" w:space="0" w:color="auto"/>
              <w:right w:val="single" w:sz="4" w:space="0" w:color="auto"/>
            </w:tcBorders>
            <w:shd w:val="clear" w:color="auto" w:fill="auto"/>
          </w:tcPr>
          <w:p w14:paraId="5935A247"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指上月末所持有债务证券的公允价值。应优先使用按上月末公开市场收盘价计算的市场价值。如无市场价值，则按照本机构的记账惯例填报公允价值。</w:t>
            </w:r>
          </w:p>
        </w:tc>
        <w:tc>
          <w:tcPr>
            <w:tcW w:w="3544" w:type="dxa"/>
            <w:tcBorders>
              <w:top w:val="nil"/>
              <w:left w:val="nil"/>
              <w:bottom w:val="single" w:sz="4" w:space="0" w:color="auto"/>
              <w:right w:val="single" w:sz="4" w:space="0" w:color="auto"/>
            </w:tcBorders>
            <w:shd w:val="clear" w:color="auto" w:fill="auto"/>
          </w:tcPr>
          <w:p w14:paraId="799F6CD5"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指上月末所持有债务证券的公允价值。应优先使用按上月末公开市场收盘价计算的市场价值。如无市场价值，则按照本机构的记账惯例填报公允价值。债券的市场价值应为“全价”（</w:t>
            </w:r>
            <w:r>
              <w:rPr>
                <w:rFonts w:ascii="黑体" w:eastAsia="黑体" w:hAnsi="黑体" w:cs="宋体"/>
                <w:color w:val="000000"/>
                <w:kern w:val="0"/>
                <w:sz w:val="20"/>
                <w:szCs w:val="20"/>
              </w:rPr>
              <w:t>dirty price）。</w:t>
            </w:r>
          </w:p>
        </w:tc>
      </w:tr>
      <w:tr w:rsidR="00A052DC" w14:paraId="2AE4343E" w14:textId="77777777">
        <w:trPr>
          <w:trHeight w:val="20"/>
          <w:jc w:val="center"/>
        </w:trPr>
        <w:tc>
          <w:tcPr>
            <w:tcW w:w="851" w:type="dxa"/>
            <w:tcBorders>
              <w:top w:val="nil"/>
              <w:left w:val="single" w:sz="4" w:space="0" w:color="auto"/>
              <w:bottom w:val="single" w:sz="4" w:space="0" w:color="auto"/>
              <w:right w:val="single" w:sz="4" w:space="0" w:color="auto"/>
            </w:tcBorders>
            <w:shd w:val="clear" w:color="auto" w:fill="auto"/>
          </w:tcPr>
          <w:p w14:paraId="6B580433"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B03</w:t>
            </w:r>
          </w:p>
        </w:tc>
        <w:tc>
          <w:tcPr>
            <w:tcW w:w="1276" w:type="dxa"/>
            <w:tcBorders>
              <w:top w:val="nil"/>
              <w:left w:val="nil"/>
              <w:bottom w:val="single" w:sz="4" w:space="0" w:color="auto"/>
              <w:right w:val="single" w:sz="4" w:space="0" w:color="auto"/>
            </w:tcBorders>
            <w:shd w:val="clear" w:color="auto" w:fill="auto"/>
          </w:tcPr>
          <w:p w14:paraId="2AA60B18"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投资工具类型</w:t>
            </w:r>
          </w:p>
        </w:tc>
        <w:tc>
          <w:tcPr>
            <w:tcW w:w="3260" w:type="dxa"/>
            <w:tcBorders>
              <w:top w:val="nil"/>
              <w:left w:val="nil"/>
              <w:bottom w:val="single" w:sz="4" w:space="0" w:color="auto"/>
              <w:right w:val="single" w:sz="4" w:space="0" w:color="auto"/>
            </w:tcBorders>
            <w:shd w:val="clear" w:color="auto" w:fill="auto"/>
          </w:tcPr>
          <w:p w14:paraId="3F046738"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指非居民发行主体在境内发行金融产品的类型。划分为六类，按以下序号填列：</w:t>
            </w:r>
            <w:r>
              <w:rPr>
                <w:rFonts w:ascii="黑体" w:eastAsia="黑体" w:hAnsi="黑体" w:cs="宋体"/>
                <w:color w:val="000000"/>
                <w:kern w:val="0"/>
                <w:sz w:val="20"/>
                <w:szCs w:val="20"/>
              </w:rPr>
              <w:t>1-股票；2-投资基金份额/单位；3-债券；4</w:t>
            </w:r>
            <w:r w:rsidR="00891512">
              <w:rPr>
                <w:rFonts w:ascii="黑体" w:eastAsia="黑体" w:hAnsi="黑体" w:cs="宋体"/>
                <w:color w:val="000000"/>
                <w:kern w:val="0"/>
                <w:sz w:val="20"/>
                <w:szCs w:val="20"/>
              </w:rPr>
              <w:t>-</w:t>
            </w:r>
            <w:r>
              <w:rPr>
                <w:rFonts w:ascii="黑体" w:eastAsia="黑体" w:hAnsi="黑体" w:cs="宋体"/>
                <w:color w:val="000000"/>
                <w:kern w:val="0"/>
                <w:sz w:val="20"/>
                <w:szCs w:val="20"/>
              </w:rPr>
              <w:t>非上市普通股；5-参与性优先股；6-非参与性优先股。其中，普通股和参与性优先股属于股票或股权类产品，非参与性优先股为债务类工具。可转债在转换前，统计为债务证券；转换后，统计为股本证券。</w:t>
            </w:r>
          </w:p>
        </w:tc>
        <w:tc>
          <w:tcPr>
            <w:tcW w:w="3544" w:type="dxa"/>
            <w:tcBorders>
              <w:top w:val="nil"/>
              <w:left w:val="nil"/>
              <w:bottom w:val="single" w:sz="4" w:space="0" w:color="auto"/>
              <w:right w:val="single" w:sz="4" w:space="0" w:color="auto"/>
            </w:tcBorders>
            <w:shd w:val="clear" w:color="auto" w:fill="auto"/>
          </w:tcPr>
          <w:p w14:paraId="26F89E78"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指非居民发行主体在境内发行金融产品的类型。划分为七类，按以下序号填列：</w:t>
            </w:r>
            <w:r>
              <w:rPr>
                <w:rFonts w:ascii="黑体" w:eastAsia="黑体" w:hAnsi="黑体" w:cs="宋体"/>
                <w:color w:val="000000"/>
                <w:kern w:val="0"/>
                <w:sz w:val="20"/>
                <w:szCs w:val="20"/>
              </w:rPr>
              <w:t>1-股票；2-投资基金份额/单位；3-债券；4</w:t>
            </w:r>
            <w:r w:rsidR="00891512">
              <w:rPr>
                <w:rFonts w:ascii="黑体" w:eastAsia="黑体" w:hAnsi="黑体" w:cs="宋体"/>
                <w:color w:val="000000"/>
                <w:kern w:val="0"/>
                <w:sz w:val="20"/>
                <w:szCs w:val="20"/>
              </w:rPr>
              <w:t>-</w:t>
            </w:r>
            <w:r>
              <w:rPr>
                <w:rFonts w:ascii="黑体" w:eastAsia="黑体" w:hAnsi="黑体" w:cs="宋体"/>
                <w:color w:val="000000"/>
                <w:kern w:val="0"/>
                <w:sz w:val="20"/>
                <w:szCs w:val="20"/>
              </w:rPr>
              <w:t>非上市普通股；5-参与性优先股；6-非参与性优先股；7-存托凭证。其中，普通股、参与性优先股和存托凭证属于股票或股权类产品（股本证券），非参与性优先股为债务类工具（债务证券）。可转债在转换前，统计为债务证券；转换后，统计为股本证券。</w:t>
            </w:r>
          </w:p>
        </w:tc>
      </w:tr>
      <w:tr w:rsidR="00A052DC" w14:paraId="1C6567D3" w14:textId="77777777">
        <w:trPr>
          <w:trHeight w:val="20"/>
          <w:jc w:val="center"/>
        </w:trPr>
        <w:tc>
          <w:tcPr>
            <w:tcW w:w="851" w:type="dxa"/>
            <w:tcBorders>
              <w:top w:val="nil"/>
              <w:left w:val="single" w:sz="4" w:space="0" w:color="auto"/>
              <w:bottom w:val="single" w:sz="4" w:space="0" w:color="auto"/>
              <w:right w:val="single" w:sz="4" w:space="0" w:color="auto"/>
            </w:tcBorders>
            <w:shd w:val="clear" w:color="auto" w:fill="auto"/>
          </w:tcPr>
          <w:p w14:paraId="0FB4EF6A"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B03</w:t>
            </w:r>
          </w:p>
        </w:tc>
        <w:tc>
          <w:tcPr>
            <w:tcW w:w="1276" w:type="dxa"/>
            <w:tcBorders>
              <w:top w:val="nil"/>
              <w:left w:val="nil"/>
              <w:bottom w:val="single" w:sz="4" w:space="0" w:color="auto"/>
              <w:right w:val="single" w:sz="4" w:space="0" w:color="auto"/>
            </w:tcBorders>
            <w:shd w:val="clear" w:color="auto" w:fill="auto"/>
          </w:tcPr>
          <w:p w14:paraId="2B517486"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非居民发行主体所属部门</w:t>
            </w:r>
          </w:p>
        </w:tc>
        <w:tc>
          <w:tcPr>
            <w:tcW w:w="3260" w:type="dxa"/>
            <w:tcBorders>
              <w:top w:val="nil"/>
              <w:left w:val="nil"/>
              <w:bottom w:val="single" w:sz="4" w:space="0" w:color="auto"/>
              <w:right w:val="single" w:sz="4" w:space="0" w:color="auto"/>
            </w:tcBorders>
            <w:shd w:val="clear" w:color="auto" w:fill="auto"/>
          </w:tcPr>
          <w:p w14:paraId="6EF0094D"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见投资者（被投资者）部门代码表。请按非居民发行主体的主营业务归类。对于政府支持（机构）类债券，应按发行主体本身所属部门归类，如两房债券，应选择“</w:t>
            </w:r>
            <w:r>
              <w:rPr>
                <w:rFonts w:ascii="黑体" w:eastAsia="黑体" w:hAnsi="黑体" w:cs="宋体"/>
                <w:color w:val="000000"/>
                <w:kern w:val="0"/>
                <w:sz w:val="20"/>
                <w:szCs w:val="20"/>
              </w:rPr>
              <w:t>4-非银行金</w:t>
            </w:r>
            <w:r>
              <w:rPr>
                <w:rFonts w:ascii="黑体" w:eastAsia="黑体" w:hAnsi="黑体" w:cs="宋体"/>
                <w:color w:val="000000"/>
                <w:kern w:val="0"/>
                <w:sz w:val="20"/>
                <w:szCs w:val="20"/>
              </w:rPr>
              <w:lastRenderedPageBreak/>
              <w:t>融机构”。</w:t>
            </w:r>
          </w:p>
        </w:tc>
        <w:tc>
          <w:tcPr>
            <w:tcW w:w="3544" w:type="dxa"/>
            <w:tcBorders>
              <w:top w:val="nil"/>
              <w:left w:val="nil"/>
              <w:bottom w:val="single" w:sz="4" w:space="0" w:color="auto"/>
              <w:right w:val="single" w:sz="4" w:space="0" w:color="auto"/>
            </w:tcBorders>
            <w:shd w:val="clear" w:color="auto" w:fill="auto"/>
          </w:tcPr>
          <w:p w14:paraId="09A1B9E6"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lastRenderedPageBreak/>
              <w:t>见投资者（被投资者）部门代码表。请按非居民发行主体的主营业务归类。对于政府支持（机构）类债券，应按发行主体本身所属部门归类。</w:t>
            </w:r>
          </w:p>
        </w:tc>
      </w:tr>
      <w:tr w:rsidR="00A052DC" w14:paraId="3EFD5492" w14:textId="77777777">
        <w:trPr>
          <w:trHeight w:val="20"/>
          <w:jc w:val="center"/>
        </w:trPr>
        <w:tc>
          <w:tcPr>
            <w:tcW w:w="851" w:type="dxa"/>
            <w:tcBorders>
              <w:top w:val="nil"/>
              <w:left w:val="single" w:sz="4" w:space="0" w:color="auto"/>
              <w:bottom w:val="single" w:sz="4" w:space="0" w:color="auto"/>
              <w:right w:val="single" w:sz="4" w:space="0" w:color="auto"/>
            </w:tcBorders>
            <w:shd w:val="clear" w:color="auto" w:fill="auto"/>
          </w:tcPr>
          <w:p w14:paraId="794CD720"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B03</w:t>
            </w:r>
          </w:p>
        </w:tc>
        <w:tc>
          <w:tcPr>
            <w:tcW w:w="1276" w:type="dxa"/>
            <w:tcBorders>
              <w:top w:val="nil"/>
              <w:left w:val="nil"/>
              <w:bottom w:val="single" w:sz="4" w:space="0" w:color="auto"/>
              <w:right w:val="single" w:sz="4" w:space="0" w:color="auto"/>
            </w:tcBorders>
            <w:shd w:val="clear" w:color="auto" w:fill="auto"/>
          </w:tcPr>
          <w:p w14:paraId="13E5DFC9"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本月买入（申购）金额</w:t>
            </w:r>
          </w:p>
        </w:tc>
        <w:tc>
          <w:tcPr>
            <w:tcW w:w="3260" w:type="dxa"/>
            <w:tcBorders>
              <w:top w:val="nil"/>
              <w:left w:val="nil"/>
              <w:bottom w:val="single" w:sz="4" w:space="0" w:color="auto"/>
              <w:right w:val="single" w:sz="4" w:space="0" w:color="auto"/>
            </w:tcBorders>
            <w:shd w:val="clear" w:color="auto" w:fill="auto"/>
          </w:tcPr>
          <w:p w14:paraId="74C6F0EB"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本月内，投资者买入（申购）非居民相关产品所支付的成本（债券类工具应按全价计值）。不过，如果非居民发行的股票因股票分割或发行红利股（即公司重组其股票）而向股东提供的新股票，不纳入本项统计。与发行新股票获得新融资不同，股票分割和红利股不发生新的融资。此外，投资者以过户、继承、法院裁定、大宗交易（协议定价交易）等方式发生相关产品所有权转移，但资金未经清算结算机构集中清算的，视同买卖处理。其中，获得非居民相关产品所有权的一方为买入者（填入本栏），转出相关产品所有权的一方为卖出者（填入本月卖出（赎回）金额栏）。</w:t>
            </w:r>
          </w:p>
        </w:tc>
        <w:tc>
          <w:tcPr>
            <w:tcW w:w="3544" w:type="dxa"/>
            <w:tcBorders>
              <w:top w:val="nil"/>
              <w:left w:val="nil"/>
              <w:bottom w:val="single" w:sz="4" w:space="0" w:color="auto"/>
              <w:right w:val="single" w:sz="4" w:space="0" w:color="auto"/>
            </w:tcBorders>
            <w:shd w:val="clear" w:color="auto" w:fill="auto"/>
          </w:tcPr>
          <w:p w14:paraId="0F154B7B"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本月内，投资者买入（申购）非居民相关产品所支付的成本（债券类工具应按全价计值）。此外，投资者以过户、继承、法院裁定、大宗交易（协议定价交易）等方式发生相关产品所有权转移，但资金未经清算或结算机构集中清算的，视同证券买卖处理。其中，获得非居民相关产品所有权的一方为买入者（填入本项），转出相关产品所有权的一方为卖出者（填入</w:t>
            </w:r>
            <w:r>
              <w:rPr>
                <w:rFonts w:ascii="黑体" w:eastAsia="黑体" w:hAnsi="黑体" w:cs="宋体"/>
                <w:color w:val="000000"/>
                <w:kern w:val="0"/>
                <w:sz w:val="20"/>
                <w:szCs w:val="20"/>
              </w:rPr>
              <w:t>B0312项）。不过，如果非居民发行的股票因股票分割出现的新股票，不纳入本项统计。与发行新股获得融资不同，股票分割不发生新的融资。</w:t>
            </w:r>
          </w:p>
        </w:tc>
      </w:tr>
      <w:tr w:rsidR="00A052DC" w14:paraId="310B1BAE" w14:textId="77777777">
        <w:trPr>
          <w:trHeight w:val="20"/>
          <w:jc w:val="center"/>
        </w:trPr>
        <w:tc>
          <w:tcPr>
            <w:tcW w:w="851" w:type="dxa"/>
            <w:tcBorders>
              <w:top w:val="nil"/>
              <w:left w:val="single" w:sz="4" w:space="0" w:color="auto"/>
              <w:bottom w:val="single" w:sz="4" w:space="0" w:color="auto"/>
              <w:right w:val="single" w:sz="4" w:space="0" w:color="auto"/>
            </w:tcBorders>
            <w:shd w:val="clear" w:color="auto" w:fill="auto"/>
          </w:tcPr>
          <w:p w14:paraId="17A2494C"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B03</w:t>
            </w:r>
          </w:p>
        </w:tc>
        <w:tc>
          <w:tcPr>
            <w:tcW w:w="1276" w:type="dxa"/>
            <w:tcBorders>
              <w:top w:val="nil"/>
              <w:left w:val="nil"/>
              <w:bottom w:val="single" w:sz="4" w:space="0" w:color="auto"/>
              <w:right w:val="single" w:sz="4" w:space="0" w:color="auto"/>
            </w:tcBorders>
            <w:shd w:val="clear" w:color="auto" w:fill="auto"/>
          </w:tcPr>
          <w:p w14:paraId="47E29D6F"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本月卖出（赎回）金额</w:t>
            </w:r>
          </w:p>
        </w:tc>
        <w:tc>
          <w:tcPr>
            <w:tcW w:w="3260" w:type="dxa"/>
            <w:tcBorders>
              <w:top w:val="nil"/>
              <w:left w:val="nil"/>
              <w:bottom w:val="single" w:sz="4" w:space="0" w:color="auto"/>
              <w:right w:val="single" w:sz="4" w:space="0" w:color="auto"/>
            </w:tcBorders>
            <w:shd w:val="clear" w:color="auto" w:fill="auto"/>
          </w:tcPr>
          <w:p w14:paraId="5BBE8756"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本月内，投资者卖出（赎回或持有到期）非居民相关产品所获得的金额（债券类工具应按全价计值）。此外，投资者以过户、继承、法院裁定、大宗交易（协议定价交易）等方式发生相关产品所有权转移，但资金未经清算结算机构集中清算的，视同买卖处理。其中，居民投资者获得非居民相关产品所有权视为买入（填入本月买入（申购）金额栏），转出相关产品所有权视为卖出（填入本栏）。</w:t>
            </w:r>
          </w:p>
        </w:tc>
        <w:tc>
          <w:tcPr>
            <w:tcW w:w="3544" w:type="dxa"/>
            <w:tcBorders>
              <w:top w:val="nil"/>
              <w:left w:val="nil"/>
              <w:bottom w:val="single" w:sz="4" w:space="0" w:color="auto"/>
              <w:right w:val="single" w:sz="4" w:space="0" w:color="auto"/>
            </w:tcBorders>
            <w:shd w:val="clear" w:color="auto" w:fill="auto"/>
          </w:tcPr>
          <w:p w14:paraId="375ACA2E"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本月内，投资者卖出（赎回或持有到期）非居民相关产品所获得的金额（债券类工具应按全价计值）。此外，投资者以过户、继承、法院裁定、大宗交易（协议定价交易）等方式发生相关产品所有权转移，但资金未经清算或结算机构集中清算的，视同证券买卖处理。其中，居民投资者获得非居民相关产品所有权视为买入（填入</w:t>
            </w:r>
            <w:r>
              <w:rPr>
                <w:rFonts w:ascii="黑体" w:eastAsia="黑体" w:hAnsi="黑体" w:cs="宋体"/>
                <w:color w:val="000000"/>
                <w:kern w:val="0"/>
                <w:sz w:val="20"/>
                <w:szCs w:val="20"/>
              </w:rPr>
              <w:t>B0311项），转出相关产品所有权视为卖出（填入本项）。</w:t>
            </w:r>
          </w:p>
        </w:tc>
      </w:tr>
      <w:tr w:rsidR="00A052DC" w14:paraId="7B6FA69E" w14:textId="77777777">
        <w:trPr>
          <w:trHeight w:val="20"/>
          <w:jc w:val="center"/>
        </w:trPr>
        <w:tc>
          <w:tcPr>
            <w:tcW w:w="851" w:type="dxa"/>
            <w:tcBorders>
              <w:top w:val="nil"/>
              <w:left w:val="single" w:sz="4" w:space="0" w:color="auto"/>
              <w:bottom w:val="single" w:sz="4" w:space="0" w:color="auto"/>
              <w:right w:val="single" w:sz="4" w:space="0" w:color="auto"/>
            </w:tcBorders>
            <w:shd w:val="clear" w:color="auto" w:fill="auto"/>
          </w:tcPr>
          <w:p w14:paraId="1231BB4E"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B03</w:t>
            </w:r>
          </w:p>
        </w:tc>
        <w:tc>
          <w:tcPr>
            <w:tcW w:w="1276" w:type="dxa"/>
            <w:tcBorders>
              <w:top w:val="nil"/>
              <w:left w:val="nil"/>
              <w:bottom w:val="single" w:sz="4" w:space="0" w:color="auto"/>
              <w:right w:val="single" w:sz="4" w:space="0" w:color="auto"/>
            </w:tcBorders>
            <w:shd w:val="clear" w:color="auto" w:fill="auto"/>
          </w:tcPr>
          <w:p w14:paraId="18EB51B1"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本月非交易变动</w:t>
            </w:r>
          </w:p>
        </w:tc>
        <w:tc>
          <w:tcPr>
            <w:tcW w:w="3260" w:type="dxa"/>
            <w:tcBorders>
              <w:top w:val="nil"/>
              <w:left w:val="nil"/>
              <w:bottom w:val="single" w:sz="4" w:space="0" w:color="auto"/>
              <w:right w:val="single" w:sz="4" w:space="0" w:color="auto"/>
            </w:tcBorders>
            <w:shd w:val="clear" w:color="auto" w:fill="auto"/>
          </w:tcPr>
          <w:p w14:paraId="16A9A92D"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反映统计期间投资产品买卖净值变化以外的非交易因素引起的价值变动。计算方法为：本月非交易变动</w:t>
            </w:r>
            <w:r>
              <w:rPr>
                <w:rFonts w:ascii="黑体" w:eastAsia="黑体" w:hAnsi="黑体" w:cs="宋体"/>
                <w:color w:val="000000"/>
                <w:kern w:val="0"/>
                <w:sz w:val="20"/>
                <w:szCs w:val="20"/>
              </w:rPr>
              <w:t>=本月末市值-上月末市值-（本月买入（申购）金额-本月卖出（赎回）金额）。</w:t>
            </w:r>
          </w:p>
        </w:tc>
        <w:tc>
          <w:tcPr>
            <w:tcW w:w="3544" w:type="dxa"/>
            <w:tcBorders>
              <w:top w:val="nil"/>
              <w:left w:val="nil"/>
              <w:bottom w:val="single" w:sz="4" w:space="0" w:color="auto"/>
              <w:right w:val="single" w:sz="4" w:space="0" w:color="auto"/>
            </w:tcBorders>
            <w:shd w:val="clear" w:color="auto" w:fill="auto"/>
          </w:tcPr>
          <w:p w14:paraId="05CBEDD5"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反映统计期间除投资产品买卖因素以外的非交易因素引起的价值变动。计算方法为：本月非交易变动</w:t>
            </w:r>
            <w:r>
              <w:rPr>
                <w:rFonts w:ascii="黑体" w:eastAsia="黑体" w:hAnsi="黑体" w:cs="宋体"/>
                <w:color w:val="000000"/>
                <w:kern w:val="0"/>
                <w:sz w:val="20"/>
                <w:szCs w:val="20"/>
              </w:rPr>
              <w:t>=本月末市值-上月末市值-（本月买入（申购）金额-本月卖出（赎回）金额）。</w:t>
            </w:r>
          </w:p>
        </w:tc>
      </w:tr>
      <w:tr w:rsidR="00A052DC" w14:paraId="34C7E245" w14:textId="77777777">
        <w:trPr>
          <w:trHeight w:val="20"/>
          <w:jc w:val="center"/>
        </w:trPr>
        <w:tc>
          <w:tcPr>
            <w:tcW w:w="851" w:type="dxa"/>
            <w:tcBorders>
              <w:top w:val="nil"/>
              <w:left w:val="single" w:sz="4" w:space="0" w:color="auto"/>
              <w:bottom w:val="single" w:sz="4" w:space="0" w:color="auto"/>
              <w:right w:val="single" w:sz="4" w:space="0" w:color="auto"/>
            </w:tcBorders>
            <w:shd w:val="clear" w:color="auto" w:fill="auto"/>
          </w:tcPr>
          <w:p w14:paraId="0557FBFB"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B04</w:t>
            </w:r>
          </w:p>
        </w:tc>
        <w:tc>
          <w:tcPr>
            <w:tcW w:w="1276" w:type="dxa"/>
            <w:tcBorders>
              <w:top w:val="nil"/>
              <w:left w:val="nil"/>
              <w:bottom w:val="single" w:sz="4" w:space="0" w:color="auto"/>
              <w:right w:val="single" w:sz="4" w:space="0" w:color="auto"/>
            </w:tcBorders>
            <w:shd w:val="clear" w:color="auto" w:fill="auto"/>
          </w:tcPr>
          <w:p w14:paraId="1B6A73F9"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业务类型</w:t>
            </w:r>
          </w:p>
        </w:tc>
        <w:tc>
          <w:tcPr>
            <w:tcW w:w="3260" w:type="dxa"/>
            <w:tcBorders>
              <w:top w:val="nil"/>
              <w:left w:val="nil"/>
              <w:bottom w:val="single" w:sz="4" w:space="0" w:color="auto"/>
              <w:right w:val="single" w:sz="4" w:space="0" w:color="auto"/>
            </w:tcBorders>
            <w:shd w:val="clear" w:color="auto" w:fill="auto"/>
          </w:tcPr>
          <w:p w14:paraId="5DEFDC3D"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业务类型包括：</w:t>
            </w:r>
            <w:r>
              <w:rPr>
                <w:rFonts w:ascii="黑体" w:eastAsia="黑体" w:hAnsi="黑体" w:cs="宋体"/>
                <w:color w:val="000000"/>
                <w:kern w:val="0"/>
                <w:sz w:val="20"/>
                <w:szCs w:val="20"/>
              </w:rPr>
              <w:t>1-基金互认；9-其他。</w:t>
            </w:r>
          </w:p>
        </w:tc>
        <w:tc>
          <w:tcPr>
            <w:tcW w:w="3544" w:type="dxa"/>
            <w:tcBorders>
              <w:top w:val="nil"/>
              <w:left w:val="nil"/>
              <w:bottom w:val="single" w:sz="4" w:space="0" w:color="auto"/>
              <w:right w:val="single" w:sz="4" w:space="0" w:color="auto"/>
            </w:tcBorders>
            <w:shd w:val="clear" w:color="auto" w:fill="auto"/>
          </w:tcPr>
          <w:p w14:paraId="55E1069F"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业务类型包括：</w:t>
            </w:r>
            <w:r>
              <w:rPr>
                <w:rFonts w:ascii="黑体" w:eastAsia="黑体" w:hAnsi="黑体" w:cs="宋体"/>
                <w:color w:val="000000"/>
                <w:kern w:val="0"/>
                <w:sz w:val="20"/>
                <w:szCs w:val="20"/>
              </w:rPr>
              <w:t>1-基金互认；2-上市股份或投资基金份额；3-非上市股份或投资基金份额；除1以外的业务类型请根据投资工具是否上市选择。</w:t>
            </w:r>
          </w:p>
        </w:tc>
      </w:tr>
      <w:tr w:rsidR="00A052DC" w14:paraId="77CE83EE" w14:textId="77777777">
        <w:trPr>
          <w:trHeight w:val="20"/>
          <w:jc w:val="center"/>
        </w:trPr>
        <w:tc>
          <w:tcPr>
            <w:tcW w:w="851" w:type="dxa"/>
            <w:tcBorders>
              <w:top w:val="nil"/>
              <w:left w:val="single" w:sz="4" w:space="0" w:color="auto"/>
              <w:bottom w:val="single" w:sz="4" w:space="0" w:color="auto"/>
              <w:right w:val="single" w:sz="4" w:space="0" w:color="auto"/>
            </w:tcBorders>
            <w:shd w:val="clear" w:color="auto" w:fill="auto"/>
          </w:tcPr>
          <w:p w14:paraId="7340491B"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B04</w:t>
            </w:r>
          </w:p>
        </w:tc>
        <w:tc>
          <w:tcPr>
            <w:tcW w:w="1276" w:type="dxa"/>
            <w:tcBorders>
              <w:top w:val="nil"/>
              <w:left w:val="nil"/>
              <w:bottom w:val="single" w:sz="4" w:space="0" w:color="auto"/>
              <w:right w:val="single" w:sz="4" w:space="0" w:color="auto"/>
            </w:tcBorders>
            <w:shd w:val="clear" w:color="auto" w:fill="auto"/>
          </w:tcPr>
          <w:p w14:paraId="04417B10"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证券代码</w:t>
            </w:r>
          </w:p>
        </w:tc>
        <w:tc>
          <w:tcPr>
            <w:tcW w:w="3260" w:type="dxa"/>
            <w:tcBorders>
              <w:top w:val="nil"/>
              <w:left w:val="nil"/>
              <w:bottom w:val="single" w:sz="4" w:space="0" w:color="auto"/>
              <w:right w:val="single" w:sz="4" w:space="0" w:color="auto"/>
            </w:tcBorders>
            <w:shd w:val="clear" w:color="auto" w:fill="auto"/>
          </w:tcPr>
          <w:p w14:paraId="5F1AB7CD"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指本机构上市股份（股票）的代码，以及内部使用的非上市股份和私募股权（基金）编码。</w:t>
            </w:r>
          </w:p>
        </w:tc>
        <w:tc>
          <w:tcPr>
            <w:tcW w:w="3544" w:type="dxa"/>
            <w:tcBorders>
              <w:top w:val="nil"/>
              <w:left w:val="nil"/>
              <w:bottom w:val="single" w:sz="4" w:space="0" w:color="auto"/>
              <w:right w:val="single" w:sz="4" w:space="0" w:color="auto"/>
            </w:tcBorders>
            <w:shd w:val="clear" w:color="auto" w:fill="auto"/>
          </w:tcPr>
          <w:p w14:paraId="1F0A2D02"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指本机构上市股份（股票）的代码，应优先填写国际证券代码</w:t>
            </w:r>
          </w:p>
          <w:p w14:paraId="646D7107"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w:t>
            </w:r>
            <w:r>
              <w:rPr>
                <w:rFonts w:ascii="黑体" w:eastAsia="黑体" w:hAnsi="黑体" w:cs="宋体"/>
                <w:color w:val="000000"/>
                <w:kern w:val="0"/>
                <w:sz w:val="20"/>
                <w:szCs w:val="20"/>
              </w:rPr>
              <w:t>International Securities</w:t>
            </w:r>
          </w:p>
          <w:p w14:paraId="55960870"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lastRenderedPageBreak/>
              <w:t xml:space="preserve"> Identification Number,简称ISIN码）；以及内部使用的非上市股份和私募股权（基金）编码。</w:t>
            </w:r>
          </w:p>
        </w:tc>
      </w:tr>
      <w:tr w:rsidR="00A052DC" w14:paraId="0786B85E" w14:textId="77777777">
        <w:trPr>
          <w:trHeight w:val="20"/>
          <w:jc w:val="center"/>
        </w:trPr>
        <w:tc>
          <w:tcPr>
            <w:tcW w:w="851" w:type="dxa"/>
            <w:tcBorders>
              <w:top w:val="nil"/>
              <w:left w:val="single" w:sz="4" w:space="0" w:color="auto"/>
              <w:bottom w:val="single" w:sz="4" w:space="0" w:color="auto"/>
              <w:right w:val="single" w:sz="4" w:space="0" w:color="auto"/>
            </w:tcBorders>
            <w:shd w:val="clear" w:color="auto" w:fill="auto"/>
          </w:tcPr>
          <w:p w14:paraId="48A83A18"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lastRenderedPageBreak/>
              <w:t>B04</w:t>
            </w:r>
          </w:p>
        </w:tc>
        <w:tc>
          <w:tcPr>
            <w:tcW w:w="1276" w:type="dxa"/>
            <w:tcBorders>
              <w:top w:val="nil"/>
              <w:left w:val="nil"/>
              <w:bottom w:val="single" w:sz="4" w:space="0" w:color="auto"/>
              <w:right w:val="single" w:sz="4" w:space="0" w:color="auto"/>
            </w:tcBorders>
            <w:shd w:val="clear" w:color="auto" w:fill="auto"/>
          </w:tcPr>
          <w:p w14:paraId="78C995A3"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发行地</w:t>
            </w:r>
          </w:p>
        </w:tc>
        <w:tc>
          <w:tcPr>
            <w:tcW w:w="3260" w:type="dxa"/>
            <w:tcBorders>
              <w:top w:val="nil"/>
              <w:left w:val="nil"/>
              <w:bottom w:val="single" w:sz="4" w:space="0" w:color="auto"/>
              <w:right w:val="single" w:sz="4" w:space="0" w:color="auto"/>
            </w:tcBorders>
            <w:shd w:val="clear" w:color="auto" w:fill="auto"/>
          </w:tcPr>
          <w:p w14:paraId="687E9622"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见国家和地区代码表，填写上市股份和投资基金份额</w:t>
            </w:r>
            <w:r>
              <w:rPr>
                <w:rFonts w:ascii="黑体" w:eastAsia="黑体" w:hAnsi="黑体" w:cs="宋体"/>
                <w:color w:val="000000"/>
                <w:kern w:val="0"/>
                <w:sz w:val="20"/>
                <w:szCs w:val="20"/>
              </w:rPr>
              <w:t>/单位发行场所所在的国家/地区代码。对于非上市股份和私募股权（基金），应填列发行人注册地国家/地区代码。</w:t>
            </w:r>
          </w:p>
        </w:tc>
        <w:tc>
          <w:tcPr>
            <w:tcW w:w="3544" w:type="dxa"/>
            <w:tcBorders>
              <w:top w:val="nil"/>
              <w:left w:val="nil"/>
              <w:bottom w:val="single" w:sz="4" w:space="0" w:color="auto"/>
              <w:right w:val="single" w:sz="4" w:space="0" w:color="auto"/>
            </w:tcBorders>
            <w:shd w:val="clear" w:color="auto" w:fill="auto"/>
          </w:tcPr>
          <w:p w14:paraId="5B52835F"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见国家和地区代码表，填写上市股份和投资基金份额</w:t>
            </w:r>
            <w:r>
              <w:rPr>
                <w:rFonts w:ascii="黑体" w:eastAsia="黑体" w:hAnsi="黑体" w:cs="宋体"/>
                <w:color w:val="000000"/>
                <w:kern w:val="0"/>
                <w:sz w:val="20"/>
                <w:szCs w:val="20"/>
              </w:rPr>
              <w:t>/单位发行场所所在的国家/地区代码。对于非上市股份和私募股权（基金）等，应填列发行人注册地国家/地区代码。</w:t>
            </w:r>
          </w:p>
        </w:tc>
      </w:tr>
      <w:tr w:rsidR="00A052DC" w14:paraId="7C3CF492" w14:textId="77777777">
        <w:trPr>
          <w:trHeight w:val="20"/>
          <w:jc w:val="center"/>
        </w:trPr>
        <w:tc>
          <w:tcPr>
            <w:tcW w:w="851" w:type="dxa"/>
            <w:tcBorders>
              <w:top w:val="nil"/>
              <w:left w:val="single" w:sz="4" w:space="0" w:color="auto"/>
              <w:bottom w:val="single" w:sz="4" w:space="0" w:color="auto"/>
              <w:right w:val="single" w:sz="4" w:space="0" w:color="auto"/>
            </w:tcBorders>
            <w:shd w:val="clear" w:color="auto" w:fill="auto"/>
          </w:tcPr>
          <w:p w14:paraId="565BB45B"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B04</w:t>
            </w:r>
          </w:p>
        </w:tc>
        <w:tc>
          <w:tcPr>
            <w:tcW w:w="1276" w:type="dxa"/>
            <w:tcBorders>
              <w:top w:val="nil"/>
              <w:left w:val="nil"/>
              <w:bottom w:val="single" w:sz="4" w:space="0" w:color="auto"/>
              <w:right w:val="single" w:sz="4" w:space="0" w:color="auto"/>
            </w:tcBorders>
            <w:shd w:val="clear" w:color="auto" w:fill="auto"/>
          </w:tcPr>
          <w:p w14:paraId="1722E878"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投资者所属部门</w:t>
            </w:r>
          </w:p>
        </w:tc>
        <w:tc>
          <w:tcPr>
            <w:tcW w:w="3260" w:type="dxa"/>
            <w:tcBorders>
              <w:top w:val="nil"/>
              <w:left w:val="nil"/>
              <w:bottom w:val="single" w:sz="4" w:space="0" w:color="auto"/>
              <w:right w:val="single" w:sz="4" w:space="0" w:color="auto"/>
            </w:tcBorders>
            <w:shd w:val="clear" w:color="auto" w:fill="auto"/>
          </w:tcPr>
          <w:p w14:paraId="313CFC2A"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见投资者（被投资者）部门码表。应按持有人的主营业务归类。对于将结算代理机构和“其他小投资者”列为投资者的，所属部门选择</w:t>
            </w:r>
            <w:r>
              <w:rPr>
                <w:rFonts w:ascii="黑体" w:eastAsia="黑体" w:hAnsi="黑体" w:cs="宋体"/>
                <w:color w:val="000000"/>
                <w:kern w:val="0"/>
                <w:sz w:val="20"/>
                <w:szCs w:val="20"/>
              </w:rPr>
              <w:t>5（其他企业和个人）。</w:t>
            </w:r>
          </w:p>
        </w:tc>
        <w:tc>
          <w:tcPr>
            <w:tcW w:w="3544" w:type="dxa"/>
            <w:tcBorders>
              <w:top w:val="nil"/>
              <w:left w:val="nil"/>
              <w:bottom w:val="single" w:sz="4" w:space="0" w:color="auto"/>
              <w:right w:val="single" w:sz="4" w:space="0" w:color="auto"/>
            </w:tcBorders>
            <w:shd w:val="clear" w:color="auto" w:fill="auto"/>
          </w:tcPr>
          <w:p w14:paraId="0BA2B66C"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见投资者（被投资者）部门码表。应按持有人的主营业务归类。对于将结算代理机构列为投资者的，所属部门选择5-非金融企业；对于将“其他小投资者”列为投资者的，应尽量区分为非金融企业和个人，所属部门选择5-非金融企业或6-个人；若无法区分，应统一归类为5-非金融企业。</w:t>
            </w:r>
          </w:p>
        </w:tc>
      </w:tr>
      <w:tr w:rsidR="00A052DC" w14:paraId="0F58EEBB" w14:textId="77777777">
        <w:trPr>
          <w:trHeight w:val="20"/>
          <w:jc w:val="center"/>
        </w:trPr>
        <w:tc>
          <w:tcPr>
            <w:tcW w:w="851" w:type="dxa"/>
            <w:tcBorders>
              <w:top w:val="nil"/>
              <w:left w:val="single" w:sz="4" w:space="0" w:color="auto"/>
              <w:bottom w:val="single" w:sz="4" w:space="0" w:color="auto"/>
              <w:right w:val="single" w:sz="4" w:space="0" w:color="auto"/>
            </w:tcBorders>
            <w:shd w:val="clear" w:color="auto" w:fill="auto"/>
          </w:tcPr>
          <w:p w14:paraId="497F6CBD"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B04</w:t>
            </w:r>
          </w:p>
        </w:tc>
        <w:tc>
          <w:tcPr>
            <w:tcW w:w="1276" w:type="dxa"/>
            <w:tcBorders>
              <w:top w:val="nil"/>
              <w:left w:val="nil"/>
              <w:bottom w:val="single" w:sz="4" w:space="0" w:color="auto"/>
              <w:right w:val="single" w:sz="4" w:space="0" w:color="auto"/>
            </w:tcBorders>
            <w:shd w:val="clear" w:color="auto" w:fill="auto"/>
          </w:tcPr>
          <w:p w14:paraId="387B777C"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原始币种</w:t>
            </w:r>
          </w:p>
        </w:tc>
        <w:tc>
          <w:tcPr>
            <w:tcW w:w="3260" w:type="dxa"/>
            <w:tcBorders>
              <w:top w:val="nil"/>
              <w:left w:val="nil"/>
              <w:bottom w:val="single" w:sz="4" w:space="0" w:color="auto"/>
              <w:right w:val="single" w:sz="4" w:space="0" w:color="auto"/>
            </w:tcBorders>
            <w:shd w:val="clear" w:color="auto" w:fill="auto"/>
          </w:tcPr>
          <w:p w14:paraId="73A3AE4E"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见币种代码表，指本机构发行的股本证券或投资基金份额</w:t>
            </w:r>
            <w:r>
              <w:rPr>
                <w:rFonts w:ascii="黑体" w:eastAsia="黑体" w:hAnsi="黑体" w:cs="宋体"/>
                <w:color w:val="000000"/>
                <w:kern w:val="0"/>
                <w:sz w:val="20"/>
                <w:szCs w:val="20"/>
              </w:rPr>
              <w:t>/单位的计价币种。</w:t>
            </w:r>
          </w:p>
        </w:tc>
        <w:tc>
          <w:tcPr>
            <w:tcW w:w="3544" w:type="dxa"/>
            <w:tcBorders>
              <w:top w:val="nil"/>
              <w:left w:val="nil"/>
              <w:bottom w:val="single" w:sz="4" w:space="0" w:color="auto"/>
              <w:right w:val="single" w:sz="4" w:space="0" w:color="auto"/>
            </w:tcBorders>
            <w:shd w:val="clear" w:color="auto" w:fill="auto"/>
          </w:tcPr>
          <w:p w14:paraId="6962D381"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见币种代码表，指本机构发行的股本证券或投资基金份额</w:t>
            </w:r>
            <w:r>
              <w:rPr>
                <w:rFonts w:ascii="黑体" w:eastAsia="黑体" w:hAnsi="黑体" w:cs="宋体"/>
                <w:color w:val="000000"/>
                <w:kern w:val="0"/>
                <w:sz w:val="20"/>
                <w:szCs w:val="20"/>
              </w:rPr>
              <w:t>/单位的计价币种。适用于上月末市值至本月末每股（每份）市价各项［本月末投资者持股（份额）数量除外］。</w:t>
            </w:r>
          </w:p>
        </w:tc>
      </w:tr>
      <w:tr w:rsidR="00A052DC" w14:paraId="394D4779" w14:textId="77777777">
        <w:trPr>
          <w:trHeight w:val="20"/>
          <w:jc w:val="center"/>
        </w:trPr>
        <w:tc>
          <w:tcPr>
            <w:tcW w:w="851" w:type="dxa"/>
            <w:tcBorders>
              <w:top w:val="nil"/>
              <w:left w:val="single" w:sz="4" w:space="0" w:color="auto"/>
              <w:bottom w:val="single" w:sz="4" w:space="0" w:color="auto"/>
              <w:right w:val="single" w:sz="4" w:space="0" w:color="auto"/>
            </w:tcBorders>
            <w:shd w:val="clear" w:color="auto" w:fill="auto"/>
          </w:tcPr>
          <w:p w14:paraId="61CB40DE"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B04</w:t>
            </w:r>
          </w:p>
        </w:tc>
        <w:tc>
          <w:tcPr>
            <w:tcW w:w="1276" w:type="dxa"/>
            <w:tcBorders>
              <w:top w:val="nil"/>
              <w:left w:val="nil"/>
              <w:bottom w:val="single" w:sz="4" w:space="0" w:color="auto"/>
              <w:right w:val="single" w:sz="4" w:space="0" w:color="auto"/>
            </w:tcBorders>
            <w:shd w:val="clear" w:color="auto" w:fill="auto"/>
          </w:tcPr>
          <w:p w14:paraId="4D8462AF"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本月末未实现收益（仅限发行产品为货币市场投资基金份额</w:t>
            </w:r>
            <w:r>
              <w:rPr>
                <w:rFonts w:ascii="黑体" w:eastAsia="黑体" w:hAnsi="黑体" w:cs="宋体"/>
                <w:color w:val="000000"/>
                <w:kern w:val="0"/>
                <w:sz w:val="20"/>
                <w:szCs w:val="20"/>
              </w:rPr>
              <w:t>/单位）</w:t>
            </w:r>
          </w:p>
        </w:tc>
        <w:tc>
          <w:tcPr>
            <w:tcW w:w="3260" w:type="dxa"/>
            <w:tcBorders>
              <w:top w:val="nil"/>
              <w:left w:val="nil"/>
              <w:bottom w:val="single" w:sz="4" w:space="0" w:color="auto"/>
              <w:right w:val="single" w:sz="4" w:space="0" w:color="auto"/>
            </w:tcBorders>
            <w:shd w:val="clear" w:color="auto" w:fill="auto"/>
          </w:tcPr>
          <w:p w14:paraId="6ACAABD6"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仅限于发行货币市场投资基金份额</w:t>
            </w:r>
            <w:r>
              <w:rPr>
                <w:rFonts w:ascii="黑体" w:eastAsia="黑体" w:hAnsi="黑体" w:cs="宋体"/>
                <w:color w:val="000000"/>
                <w:kern w:val="0"/>
                <w:sz w:val="20"/>
                <w:szCs w:val="20"/>
              </w:rPr>
              <w:t>/单位的情况，指本机构发行的投资基金份额/单位中归属于份额持有者的未分配利润。</w:t>
            </w:r>
          </w:p>
        </w:tc>
        <w:tc>
          <w:tcPr>
            <w:tcW w:w="3544" w:type="dxa"/>
            <w:tcBorders>
              <w:top w:val="nil"/>
              <w:left w:val="nil"/>
              <w:bottom w:val="single" w:sz="4" w:space="0" w:color="auto"/>
              <w:right w:val="single" w:sz="4" w:space="0" w:color="auto"/>
            </w:tcBorders>
            <w:shd w:val="clear" w:color="auto" w:fill="auto"/>
          </w:tcPr>
          <w:p w14:paraId="7C2F2FE4"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仅限于发行货币市场基金份额</w:t>
            </w:r>
            <w:r>
              <w:rPr>
                <w:rFonts w:ascii="黑体" w:eastAsia="黑体" w:hAnsi="黑体" w:cs="宋体"/>
                <w:color w:val="000000"/>
                <w:kern w:val="0"/>
                <w:sz w:val="20"/>
                <w:szCs w:val="20"/>
              </w:rPr>
              <w:t>/单位的情况，指本机构发行的基金份额/单位中归属于份额持有者的未分配利润。</w:t>
            </w:r>
          </w:p>
        </w:tc>
      </w:tr>
      <w:tr w:rsidR="00A052DC" w14:paraId="7DD207FD" w14:textId="77777777">
        <w:trPr>
          <w:trHeight w:val="20"/>
          <w:jc w:val="center"/>
        </w:trPr>
        <w:tc>
          <w:tcPr>
            <w:tcW w:w="851" w:type="dxa"/>
            <w:tcBorders>
              <w:top w:val="nil"/>
              <w:left w:val="single" w:sz="4" w:space="0" w:color="auto"/>
              <w:bottom w:val="single" w:sz="4" w:space="0" w:color="auto"/>
              <w:right w:val="single" w:sz="4" w:space="0" w:color="auto"/>
            </w:tcBorders>
            <w:shd w:val="clear" w:color="auto" w:fill="auto"/>
          </w:tcPr>
          <w:p w14:paraId="64BBBA5B"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B04</w:t>
            </w:r>
          </w:p>
        </w:tc>
        <w:tc>
          <w:tcPr>
            <w:tcW w:w="1276" w:type="dxa"/>
            <w:tcBorders>
              <w:top w:val="nil"/>
              <w:left w:val="nil"/>
              <w:bottom w:val="single" w:sz="4" w:space="0" w:color="auto"/>
              <w:right w:val="single" w:sz="4" w:space="0" w:color="auto"/>
            </w:tcBorders>
            <w:shd w:val="clear" w:color="auto" w:fill="auto"/>
          </w:tcPr>
          <w:p w14:paraId="10E92741"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本月末投资者持股（份额）比例</w:t>
            </w:r>
          </w:p>
        </w:tc>
        <w:tc>
          <w:tcPr>
            <w:tcW w:w="3260" w:type="dxa"/>
            <w:tcBorders>
              <w:top w:val="nil"/>
              <w:left w:val="nil"/>
              <w:bottom w:val="single" w:sz="4" w:space="0" w:color="auto"/>
              <w:right w:val="single" w:sz="4" w:space="0" w:color="auto"/>
            </w:tcBorders>
            <w:shd w:val="clear" w:color="auto" w:fill="auto"/>
          </w:tcPr>
          <w:p w14:paraId="5B939532"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指截至本月末，投资者持有本机构股本证券或投资基金份额</w:t>
            </w:r>
            <w:r>
              <w:rPr>
                <w:rFonts w:ascii="黑体" w:eastAsia="黑体" w:hAnsi="黑体" w:cs="宋体"/>
                <w:color w:val="000000"/>
                <w:kern w:val="0"/>
                <w:sz w:val="20"/>
                <w:szCs w:val="20"/>
              </w:rPr>
              <w:t>/单位所占的比例。</w:t>
            </w:r>
          </w:p>
        </w:tc>
        <w:tc>
          <w:tcPr>
            <w:tcW w:w="3544" w:type="dxa"/>
            <w:tcBorders>
              <w:top w:val="nil"/>
              <w:left w:val="nil"/>
              <w:bottom w:val="single" w:sz="4" w:space="0" w:color="auto"/>
              <w:right w:val="single" w:sz="4" w:space="0" w:color="auto"/>
            </w:tcBorders>
            <w:shd w:val="clear" w:color="auto" w:fill="auto"/>
          </w:tcPr>
          <w:p w14:paraId="47CF7BED"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指截至本月末，投资者持有本机构股本证券或投资基金份额</w:t>
            </w:r>
            <w:r>
              <w:rPr>
                <w:rFonts w:ascii="黑体" w:eastAsia="黑体" w:hAnsi="黑体" w:cs="宋体"/>
                <w:color w:val="000000"/>
                <w:kern w:val="0"/>
                <w:sz w:val="20"/>
                <w:szCs w:val="20"/>
              </w:rPr>
              <w:t>/单位所占本机构境内外上市及非上市所有股本证券或投资基金份额/单位的比例。</w:t>
            </w:r>
          </w:p>
        </w:tc>
      </w:tr>
      <w:tr w:rsidR="00A052DC" w14:paraId="195B5969" w14:textId="77777777">
        <w:trPr>
          <w:trHeight w:val="20"/>
          <w:jc w:val="center"/>
        </w:trPr>
        <w:tc>
          <w:tcPr>
            <w:tcW w:w="851" w:type="dxa"/>
            <w:tcBorders>
              <w:top w:val="nil"/>
              <w:left w:val="single" w:sz="4" w:space="0" w:color="auto"/>
              <w:bottom w:val="single" w:sz="4" w:space="0" w:color="auto"/>
              <w:right w:val="single" w:sz="4" w:space="0" w:color="auto"/>
            </w:tcBorders>
            <w:shd w:val="clear" w:color="auto" w:fill="auto"/>
          </w:tcPr>
          <w:p w14:paraId="7D896D64"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B06</w:t>
            </w:r>
          </w:p>
        </w:tc>
        <w:tc>
          <w:tcPr>
            <w:tcW w:w="1276" w:type="dxa"/>
            <w:tcBorders>
              <w:top w:val="nil"/>
              <w:left w:val="nil"/>
              <w:bottom w:val="single" w:sz="4" w:space="0" w:color="auto"/>
              <w:right w:val="single" w:sz="4" w:space="0" w:color="auto"/>
            </w:tcBorders>
            <w:shd w:val="clear" w:color="auto" w:fill="auto"/>
          </w:tcPr>
          <w:p w14:paraId="1C369888"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业务类型</w:t>
            </w:r>
          </w:p>
        </w:tc>
        <w:tc>
          <w:tcPr>
            <w:tcW w:w="3260" w:type="dxa"/>
            <w:tcBorders>
              <w:top w:val="nil"/>
              <w:left w:val="nil"/>
              <w:bottom w:val="single" w:sz="4" w:space="0" w:color="auto"/>
              <w:right w:val="single" w:sz="4" w:space="0" w:color="auto"/>
            </w:tcBorders>
            <w:shd w:val="clear" w:color="auto" w:fill="auto"/>
          </w:tcPr>
          <w:p w14:paraId="75864EFA"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包括：</w:t>
            </w:r>
            <w:r>
              <w:rPr>
                <w:rFonts w:ascii="黑体" w:eastAsia="黑体" w:hAnsi="黑体" w:cs="宋体"/>
                <w:color w:val="000000"/>
                <w:kern w:val="0"/>
                <w:sz w:val="20"/>
                <w:szCs w:val="20"/>
              </w:rPr>
              <w:t>QFII、RQFII、沪港通、深港通、境外机构投资者投资银行间债券市场、债券通、其他。</w:t>
            </w:r>
          </w:p>
        </w:tc>
        <w:tc>
          <w:tcPr>
            <w:tcW w:w="3544" w:type="dxa"/>
            <w:tcBorders>
              <w:top w:val="nil"/>
              <w:left w:val="nil"/>
              <w:bottom w:val="single" w:sz="4" w:space="0" w:color="auto"/>
              <w:right w:val="single" w:sz="4" w:space="0" w:color="auto"/>
            </w:tcBorders>
            <w:shd w:val="clear" w:color="auto" w:fill="auto"/>
          </w:tcPr>
          <w:p w14:paraId="3C90C827"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包括：</w:t>
            </w:r>
            <w:r>
              <w:rPr>
                <w:rFonts w:ascii="黑体" w:eastAsia="黑体" w:hAnsi="黑体" w:cs="宋体"/>
                <w:color w:val="000000"/>
                <w:kern w:val="0"/>
                <w:sz w:val="20"/>
                <w:szCs w:val="20"/>
              </w:rPr>
              <w:t>QFII、RQFII、沪港通、深港通、境外机构投资者投资银行间债券市场、债券通、沪伦通、其他。</w:t>
            </w:r>
          </w:p>
        </w:tc>
      </w:tr>
      <w:tr w:rsidR="00A052DC" w14:paraId="101B0C75" w14:textId="77777777">
        <w:trPr>
          <w:trHeight w:val="20"/>
          <w:jc w:val="center"/>
        </w:trPr>
        <w:tc>
          <w:tcPr>
            <w:tcW w:w="851" w:type="dxa"/>
            <w:tcBorders>
              <w:top w:val="nil"/>
              <w:left w:val="single" w:sz="4" w:space="0" w:color="auto"/>
              <w:bottom w:val="single" w:sz="4" w:space="0" w:color="auto"/>
              <w:right w:val="single" w:sz="4" w:space="0" w:color="auto"/>
            </w:tcBorders>
            <w:shd w:val="clear" w:color="auto" w:fill="auto"/>
          </w:tcPr>
          <w:p w14:paraId="6081D16E"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B06</w:t>
            </w:r>
          </w:p>
        </w:tc>
        <w:tc>
          <w:tcPr>
            <w:tcW w:w="1276" w:type="dxa"/>
            <w:tcBorders>
              <w:top w:val="nil"/>
              <w:left w:val="nil"/>
              <w:bottom w:val="single" w:sz="4" w:space="0" w:color="auto"/>
              <w:right w:val="single" w:sz="4" w:space="0" w:color="auto"/>
            </w:tcBorders>
            <w:shd w:val="clear" w:color="auto" w:fill="auto"/>
          </w:tcPr>
          <w:p w14:paraId="6F4C6351"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投资工具类型</w:t>
            </w:r>
          </w:p>
          <w:p w14:paraId="608B0C04" w14:textId="77777777" w:rsidR="00A052DC" w:rsidRDefault="00A052DC">
            <w:pPr>
              <w:rPr>
                <w:rFonts w:ascii="黑体" w:eastAsia="黑体" w:hAnsi="黑体" w:cs="宋体"/>
                <w:sz w:val="20"/>
                <w:szCs w:val="20"/>
              </w:rPr>
            </w:pPr>
          </w:p>
          <w:p w14:paraId="5158DD61" w14:textId="77777777" w:rsidR="00A052DC" w:rsidRDefault="00A052DC">
            <w:pPr>
              <w:rPr>
                <w:rFonts w:ascii="黑体" w:eastAsia="黑体" w:hAnsi="黑体" w:cs="宋体"/>
                <w:sz w:val="20"/>
                <w:szCs w:val="20"/>
              </w:rPr>
            </w:pPr>
          </w:p>
          <w:p w14:paraId="5931A99A" w14:textId="77777777" w:rsidR="00A052DC" w:rsidRDefault="00A052DC">
            <w:pPr>
              <w:rPr>
                <w:rFonts w:ascii="黑体" w:eastAsia="黑体" w:hAnsi="黑体" w:cs="宋体"/>
                <w:sz w:val="20"/>
                <w:szCs w:val="20"/>
              </w:rPr>
            </w:pPr>
          </w:p>
          <w:p w14:paraId="61447134" w14:textId="77777777" w:rsidR="00A052DC" w:rsidRDefault="00A052DC">
            <w:pPr>
              <w:rPr>
                <w:rFonts w:ascii="黑体" w:eastAsia="黑体" w:hAnsi="黑体" w:cs="宋体"/>
                <w:sz w:val="20"/>
                <w:szCs w:val="20"/>
              </w:rPr>
            </w:pPr>
          </w:p>
          <w:p w14:paraId="19B7C630" w14:textId="77777777" w:rsidR="00A052DC" w:rsidRDefault="00A052DC">
            <w:pPr>
              <w:rPr>
                <w:rFonts w:ascii="黑体" w:eastAsia="黑体" w:hAnsi="黑体" w:cs="宋体"/>
                <w:sz w:val="20"/>
                <w:szCs w:val="20"/>
              </w:rPr>
            </w:pPr>
          </w:p>
          <w:p w14:paraId="3A3AE14D" w14:textId="77777777" w:rsidR="00A052DC" w:rsidRDefault="00A052DC">
            <w:pPr>
              <w:rPr>
                <w:rFonts w:ascii="黑体" w:eastAsia="黑体" w:hAnsi="黑体" w:cs="宋体"/>
                <w:sz w:val="20"/>
                <w:szCs w:val="20"/>
              </w:rPr>
            </w:pPr>
          </w:p>
          <w:p w14:paraId="7FE213D8" w14:textId="77777777" w:rsidR="00A052DC" w:rsidRDefault="009F0A60">
            <w:pPr>
              <w:tabs>
                <w:tab w:val="left" w:pos="630"/>
              </w:tabs>
              <w:rPr>
                <w:rFonts w:ascii="黑体" w:eastAsia="黑体" w:hAnsi="黑体" w:cs="宋体"/>
                <w:sz w:val="20"/>
                <w:szCs w:val="20"/>
              </w:rPr>
            </w:pPr>
            <w:r>
              <w:rPr>
                <w:rFonts w:ascii="黑体" w:eastAsia="黑体" w:hAnsi="黑体" w:cs="宋体"/>
                <w:sz w:val="20"/>
                <w:szCs w:val="20"/>
              </w:rPr>
              <w:tab/>
            </w:r>
          </w:p>
        </w:tc>
        <w:tc>
          <w:tcPr>
            <w:tcW w:w="3260" w:type="dxa"/>
            <w:tcBorders>
              <w:top w:val="nil"/>
              <w:left w:val="nil"/>
              <w:bottom w:val="single" w:sz="4" w:space="0" w:color="auto"/>
              <w:right w:val="single" w:sz="4" w:space="0" w:color="auto"/>
            </w:tcBorders>
            <w:shd w:val="clear" w:color="auto" w:fill="auto"/>
          </w:tcPr>
          <w:p w14:paraId="1F20539C"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指非居民投资者买卖或持有境内相关金融产品的类型。划分为六类，按以下序号填列：</w:t>
            </w:r>
            <w:r>
              <w:rPr>
                <w:rFonts w:ascii="黑体" w:eastAsia="黑体" w:hAnsi="黑体" w:cs="宋体"/>
                <w:color w:val="000000"/>
                <w:kern w:val="0"/>
                <w:sz w:val="20"/>
                <w:szCs w:val="20"/>
              </w:rPr>
              <w:t>1-股票；2-投资基金份额/单位；3-债券；4-非上市普通股；5-参与性优先股；6-非参与性优先股。其中，普通股和参与性优先股属于股票或股权类产品，非参与性优先股为债务类工具。可转债在转换前，统计为债务证券；</w:t>
            </w:r>
            <w:r>
              <w:rPr>
                <w:rFonts w:ascii="黑体" w:eastAsia="黑体" w:hAnsi="黑体" w:cs="宋体"/>
                <w:color w:val="000000"/>
                <w:kern w:val="0"/>
                <w:sz w:val="20"/>
                <w:szCs w:val="20"/>
              </w:rPr>
              <w:lastRenderedPageBreak/>
              <w:t>转换后，统计为股本证券。资产证券化工具根据其是否具有债权债务性质（如是否支付固定或浮动利息，是否约定到期支付固定本金等）确定，一般情况下属于债券。如资产证券化产品为权益性（如赋予表决权、支付的是股利、无到期期限且无约定的本金收回等），归入股票统计。</w:t>
            </w:r>
          </w:p>
        </w:tc>
        <w:tc>
          <w:tcPr>
            <w:tcW w:w="3544" w:type="dxa"/>
            <w:tcBorders>
              <w:top w:val="nil"/>
              <w:left w:val="nil"/>
              <w:bottom w:val="single" w:sz="4" w:space="0" w:color="auto"/>
              <w:right w:val="single" w:sz="4" w:space="0" w:color="auto"/>
            </w:tcBorders>
            <w:shd w:val="clear" w:color="auto" w:fill="auto"/>
          </w:tcPr>
          <w:p w14:paraId="3634512D"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lastRenderedPageBreak/>
              <w:t>指非居民投资者买卖或持有境内相关金融产品的类型。划分为七类，按以下序号填列：</w:t>
            </w:r>
            <w:r>
              <w:rPr>
                <w:rFonts w:ascii="黑体" w:eastAsia="黑体" w:hAnsi="黑体" w:cs="宋体"/>
                <w:color w:val="000000"/>
                <w:kern w:val="0"/>
                <w:sz w:val="20"/>
                <w:szCs w:val="20"/>
              </w:rPr>
              <w:t>1-上市普通股；2-投资基金份额/单位；3-债券；4-非上市普通股；5-参与性优先股；6-非参与性优先股；7-存托凭证。其中，普通股、参与性优先股和存托凭证属于股票或股权类产品，非参与性优先股为债务类工具。可转债在转换前，统计为债务证券；转换</w:t>
            </w:r>
            <w:r>
              <w:rPr>
                <w:rFonts w:ascii="黑体" w:eastAsia="黑体" w:hAnsi="黑体" w:cs="宋体"/>
                <w:color w:val="000000"/>
                <w:kern w:val="0"/>
                <w:sz w:val="20"/>
                <w:szCs w:val="20"/>
              </w:rPr>
              <w:lastRenderedPageBreak/>
              <w:t>后，统计为股本证券。资产证券化工具根据其是否具有债权债务性质（如是否支付固定或浮动利息，是否约定到期支付固定本金等）确定，一般情况下属于债券。如资产证券化产品为权益性（如赋予表决权、支付的是股利、无到期期限且无约定的本金收回等），归入股票统计</w:t>
            </w:r>
            <w:r>
              <w:rPr>
                <w:rFonts w:ascii="黑体" w:eastAsia="黑体" w:hAnsi="黑体" w:cs="宋体" w:hint="eastAsia"/>
                <w:color w:val="000000"/>
                <w:kern w:val="0"/>
                <w:sz w:val="20"/>
                <w:szCs w:val="20"/>
              </w:rPr>
              <w:t>。</w:t>
            </w:r>
          </w:p>
        </w:tc>
      </w:tr>
      <w:tr w:rsidR="00A052DC" w14:paraId="201B3027" w14:textId="77777777">
        <w:trPr>
          <w:trHeight w:val="20"/>
          <w:jc w:val="center"/>
        </w:trPr>
        <w:tc>
          <w:tcPr>
            <w:tcW w:w="851" w:type="dxa"/>
            <w:tcBorders>
              <w:top w:val="nil"/>
              <w:left w:val="single" w:sz="4" w:space="0" w:color="auto"/>
              <w:bottom w:val="single" w:sz="4" w:space="0" w:color="auto"/>
              <w:right w:val="single" w:sz="4" w:space="0" w:color="auto"/>
            </w:tcBorders>
            <w:shd w:val="clear" w:color="auto" w:fill="auto"/>
          </w:tcPr>
          <w:p w14:paraId="78B9A790"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lastRenderedPageBreak/>
              <w:t>B06</w:t>
            </w:r>
          </w:p>
        </w:tc>
        <w:tc>
          <w:tcPr>
            <w:tcW w:w="1276" w:type="dxa"/>
            <w:tcBorders>
              <w:top w:val="nil"/>
              <w:left w:val="nil"/>
              <w:bottom w:val="single" w:sz="4" w:space="0" w:color="auto"/>
              <w:right w:val="single" w:sz="4" w:space="0" w:color="auto"/>
            </w:tcBorders>
            <w:shd w:val="clear" w:color="auto" w:fill="auto"/>
          </w:tcPr>
          <w:p w14:paraId="055E2EF6"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本月买入金额</w:t>
            </w:r>
          </w:p>
        </w:tc>
        <w:tc>
          <w:tcPr>
            <w:tcW w:w="3260" w:type="dxa"/>
            <w:tcBorders>
              <w:top w:val="nil"/>
              <w:left w:val="nil"/>
              <w:bottom w:val="single" w:sz="4" w:space="0" w:color="auto"/>
              <w:right w:val="single" w:sz="4" w:space="0" w:color="auto"/>
            </w:tcBorders>
            <w:shd w:val="clear" w:color="auto" w:fill="auto"/>
          </w:tcPr>
          <w:p w14:paraId="093C395C"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本月内，非居民投资者买入相关金融产品所支付的金额（债券类工具应为全价），对于基金，专指申购金额。不过，如果股票发行主体因股票分割或发行红利股（即公司重组其股票）而向股东提供的新股票，不纳入本栏统计。与发行新股票获得新融资不同，股票分割和红利股不发生新的融资。此外，非居民投资者以过户、继承、法院裁定、大宗交易（协议定价交易）等方式发生相关产品所有权转移，但资金未经清算结算机构集中清算的，视同买卖处理。其中，非居民投资者获得居民相关产品所有权视为买入（填入本栏），转出相关产品所有权视为卖出（填入本月卖出金额栏）。</w:t>
            </w:r>
          </w:p>
        </w:tc>
        <w:tc>
          <w:tcPr>
            <w:tcW w:w="3544" w:type="dxa"/>
            <w:tcBorders>
              <w:top w:val="nil"/>
              <w:left w:val="nil"/>
              <w:bottom w:val="single" w:sz="4" w:space="0" w:color="auto"/>
              <w:right w:val="single" w:sz="4" w:space="0" w:color="auto"/>
            </w:tcBorders>
            <w:shd w:val="clear" w:color="auto" w:fill="auto"/>
          </w:tcPr>
          <w:p w14:paraId="6671356B"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本月内，非居民投资者买入相关金融产品所支付的金额（债券类工具应为全价），对于基金，专指申购金额。此外，非居民投资者以过户、继承、法院裁定、大宗交易（协议定价交易）等方式发生相关产品所有权转移，但资金未经清算或结算机构集中清算的，视同买卖处理。其中，非居民投资者获得居民相关产品所有权视为买入（填入本栏），转出相关产品所有权视为卖出（填入本月卖出金额栏）。不过，如果股票发行主体因股票分割或发行红利股（即公司重组其股票）而向股东提供的新股票，不纳入本栏统计。与发行新股获得融资不同，股票分割和红利股不产生新的融资。</w:t>
            </w:r>
          </w:p>
        </w:tc>
      </w:tr>
      <w:tr w:rsidR="00A052DC" w14:paraId="72B90EF7" w14:textId="77777777">
        <w:trPr>
          <w:trHeight w:val="20"/>
          <w:jc w:val="center"/>
        </w:trPr>
        <w:tc>
          <w:tcPr>
            <w:tcW w:w="851" w:type="dxa"/>
            <w:tcBorders>
              <w:top w:val="nil"/>
              <w:left w:val="single" w:sz="4" w:space="0" w:color="auto"/>
              <w:bottom w:val="single" w:sz="4" w:space="0" w:color="auto"/>
              <w:right w:val="single" w:sz="4" w:space="0" w:color="auto"/>
            </w:tcBorders>
            <w:shd w:val="clear" w:color="auto" w:fill="auto"/>
          </w:tcPr>
          <w:p w14:paraId="4E12F952"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B06</w:t>
            </w:r>
          </w:p>
        </w:tc>
        <w:tc>
          <w:tcPr>
            <w:tcW w:w="1276" w:type="dxa"/>
            <w:tcBorders>
              <w:top w:val="nil"/>
              <w:left w:val="nil"/>
              <w:bottom w:val="single" w:sz="4" w:space="0" w:color="auto"/>
              <w:right w:val="single" w:sz="4" w:space="0" w:color="auto"/>
            </w:tcBorders>
            <w:shd w:val="clear" w:color="auto" w:fill="auto"/>
          </w:tcPr>
          <w:p w14:paraId="48F39E9F"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本月非居民投资者红利或利息收入</w:t>
            </w:r>
          </w:p>
        </w:tc>
        <w:tc>
          <w:tcPr>
            <w:tcW w:w="3260" w:type="dxa"/>
            <w:tcBorders>
              <w:top w:val="nil"/>
              <w:left w:val="nil"/>
              <w:bottom w:val="single" w:sz="4" w:space="0" w:color="auto"/>
              <w:right w:val="single" w:sz="4" w:space="0" w:color="auto"/>
            </w:tcBorders>
            <w:shd w:val="clear" w:color="auto" w:fill="auto"/>
          </w:tcPr>
          <w:p w14:paraId="45191FD0"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本月非居民因持有境内发行的股权、股票、投资基金份额、债券而实现的红利、股息或利息。其中，红利、股息按股票除息日统计。利息按利息分发日统计。相关红利或利息收入应为税前收入。对于股票股息，按照除息日当天每股收盘价格乘以股票股息份数填报。</w:t>
            </w:r>
          </w:p>
        </w:tc>
        <w:tc>
          <w:tcPr>
            <w:tcW w:w="3544" w:type="dxa"/>
            <w:tcBorders>
              <w:top w:val="nil"/>
              <w:left w:val="nil"/>
              <w:bottom w:val="single" w:sz="4" w:space="0" w:color="auto"/>
              <w:right w:val="single" w:sz="4" w:space="0" w:color="auto"/>
            </w:tcBorders>
            <w:shd w:val="clear" w:color="auto" w:fill="auto"/>
          </w:tcPr>
          <w:p w14:paraId="6FE65789"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本月非居民因持有境内发行的股权、股票、投资基金份额、债券而获得的红利、股息或利息。其中，红利、股息按股票除息日统计。利息按利息分发日统计。相关红利或利息收入应为税前收入。对于股票股息，按照除息日当日投资者持有的股票份数乘每股派息金额填报。</w:t>
            </w:r>
          </w:p>
        </w:tc>
      </w:tr>
      <w:tr w:rsidR="00A052DC" w14:paraId="0752B9B6" w14:textId="77777777">
        <w:trPr>
          <w:trHeight w:val="20"/>
          <w:jc w:val="center"/>
        </w:trPr>
        <w:tc>
          <w:tcPr>
            <w:tcW w:w="851" w:type="dxa"/>
            <w:tcBorders>
              <w:top w:val="nil"/>
              <w:left w:val="single" w:sz="4" w:space="0" w:color="auto"/>
              <w:bottom w:val="single" w:sz="4" w:space="0" w:color="auto"/>
              <w:right w:val="single" w:sz="4" w:space="0" w:color="auto"/>
            </w:tcBorders>
            <w:shd w:val="clear" w:color="auto" w:fill="auto"/>
          </w:tcPr>
          <w:p w14:paraId="407FFEA9"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C01</w:t>
            </w:r>
          </w:p>
        </w:tc>
        <w:tc>
          <w:tcPr>
            <w:tcW w:w="1276" w:type="dxa"/>
            <w:tcBorders>
              <w:top w:val="nil"/>
              <w:left w:val="nil"/>
              <w:bottom w:val="single" w:sz="4" w:space="0" w:color="auto"/>
              <w:right w:val="single" w:sz="4" w:space="0" w:color="auto"/>
            </w:tcBorders>
            <w:shd w:val="clear" w:color="auto" w:fill="auto"/>
          </w:tcPr>
          <w:p w14:paraId="095966A6"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居民被代理人</w:t>
            </w:r>
            <w:r>
              <w:rPr>
                <w:rFonts w:ascii="黑体" w:eastAsia="黑体" w:hAnsi="黑体" w:cs="宋体"/>
                <w:color w:val="000000"/>
                <w:kern w:val="0"/>
                <w:sz w:val="20"/>
                <w:szCs w:val="20"/>
              </w:rPr>
              <w:t>/委托人所属国家/地区</w:t>
            </w:r>
          </w:p>
        </w:tc>
        <w:tc>
          <w:tcPr>
            <w:tcW w:w="3260" w:type="dxa"/>
            <w:tcBorders>
              <w:top w:val="nil"/>
              <w:left w:val="nil"/>
              <w:bottom w:val="single" w:sz="4" w:space="0" w:color="auto"/>
              <w:right w:val="single" w:sz="4" w:space="0" w:color="auto"/>
            </w:tcBorders>
            <w:shd w:val="clear" w:color="auto" w:fill="auto"/>
          </w:tcPr>
          <w:p w14:paraId="45C3AC32"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见国家和地区代码表。应是中国居民，所属国家</w:t>
            </w:r>
            <w:r>
              <w:rPr>
                <w:rFonts w:ascii="黑体" w:eastAsia="黑体" w:hAnsi="黑体" w:cs="宋体"/>
                <w:color w:val="000000"/>
                <w:kern w:val="0"/>
                <w:sz w:val="20"/>
                <w:szCs w:val="20"/>
              </w:rPr>
              <w:t>/地区为中国（不含中国香港、澳门和台湾地区）。</w:t>
            </w:r>
          </w:p>
        </w:tc>
        <w:tc>
          <w:tcPr>
            <w:tcW w:w="3544" w:type="dxa"/>
            <w:tcBorders>
              <w:top w:val="nil"/>
              <w:left w:val="nil"/>
              <w:bottom w:val="single" w:sz="4" w:space="0" w:color="auto"/>
              <w:right w:val="single" w:sz="4" w:space="0" w:color="auto"/>
            </w:tcBorders>
            <w:shd w:val="clear" w:color="auto" w:fill="auto"/>
          </w:tcPr>
          <w:p w14:paraId="7EB1D559"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见国家和地区代码表。应是中国居民，所属国家</w:t>
            </w:r>
            <w:r>
              <w:rPr>
                <w:rFonts w:ascii="黑体" w:eastAsia="黑体" w:hAnsi="黑体" w:cs="宋体"/>
                <w:color w:val="000000"/>
                <w:kern w:val="0"/>
                <w:sz w:val="20"/>
                <w:szCs w:val="20"/>
              </w:rPr>
              <w:t>/地区为中国（不含中国香港、中国澳门和中国台湾）。</w:t>
            </w:r>
          </w:p>
        </w:tc>
      </w:tr>
      <w:tr w:rsidR="00A052DC" w14:paraId="1F6C0F20" w14:textId="77777777">
        <w:trPr>
          <w:trHeight w:val="20"/>
          <w:jc w:val="center"/>
        </w:trPr>
        <w:tc>
          <w:tcPr>
            <w:tcW w:w="851" w:type="dxa"/>
            <w:tcBorders>
              <w:top w:val="nil"/>
              <w:left w:val="single" w:sz="4" w:space="0" w:color="auto"/>
              <w:bottom w:val="single" w:sz="4" w:space="0" w:color="auto"/>
              <w:right w:val="single" w:sz="4" w:space="0" w:color="auto"/>
            </w:tcBorders>
            <w:shd w:val="clear" w:color="auto" w:fill="auto"/>
          </w:tcPr>
          <w:p w14:paraId="0BAB30B2"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D01</w:t>
            </w:r>
          </w:p>
        </w:tc>
        <w:tc>
          <w:tcPr>
            <w:tcW w:w="1276" w:type="dxa"/>
            <w:tcBorders>
              <w:top w:val="nil"/>
              <w:left w:val="nil"/>
              <w:bottom w:val="single" w:sz="4" w:space="0" w:color="auto"/>
              <w:right w:val="single" w:sz="4" w:space="0" w:color="auto"/>
            </w:tcBorders>
            <w:shd w:val="clear" w:color="auto" w:fill="auto"/>
          </w:tcPr>
          <w:p w14:paraId="4177CB45"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业务类别</w:t>
            </w:r>
          </w:p>
        </w:tc>
        <w:tc>
          <w:tcPr>
            <w:tcW w:w="3260" w:type="dxa"/>
            <w:tcBorders>
              <w:top w:val="nil"/>
              <w:left w:val="nil"/>
              <w:bottom w:val="single" w:sz="4" w:space="0" w:color="auto"/>
              <w:right w:val="single" w:sz="4" w:space="0" w:color="auto"/>
            </w:tcBorders>
            <w:shd w:val="clear" w:color="auto" w:fill="auto"/>
          </w:tcPr>
          <w:p w14:paraId="2BBDEF28"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0-外币现金（硬币与纸币）；1-存款；2-账户金（或存放境外的其他贵金属）。</w:t>
            </w:r>
          </w:p>
        </w:tc>
        <w:tc>
          <w:tcPr>
            <w:tcW w:w="3544" w:type="dxa"/>
            <w:tcBorders>
              <w:top w:val="nil"/>
              <w:left w:val="nil"/>
              <w:bottom w:val="single" w:sz="4" w:space="0" w:color="auto"/>
              <w:right w:val="single" w:sz="4" w:space="0" w:color="auto"/>
            </w:tcBorders>
            <w:shd w:val="clear" w:color="auto" w:fill="auto"/>
          </w:tcPr>
          <w:p w14:paraId="308CAA3F"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0-外币现金（硬币与纸币）；1-存款-存放境外同业；2-账户金（或存放境外的其他贵金属）；3-存款-联行往来；4-其他存款。</w:t>
            </w:r>
          </w:p>
        </w:tc>
      </w:tr>
      <w:tr w:rsidR="00A052DC" w14:paraId="3AF0B248" w14:textId="77777777">
        <w:trPr>
          <w:trHeight w:val="20"/>
          <w:jc w:val="center"/>
        </w:trPr>
        <w:tc>
          <w:tcPr>
            <w:tcW w:w="851" w:type="dxa"/>
            <w:tcBorders>
              <w:top w:val="nil"/>
              <w:left w:val="single" w:sz="4" w:space="0" w:color="auto"/>
              <w:bottom w:val="single" w:sz="4" w:space="0" w:color="auto"/>
              <w:right w:val="single" w:sz="4" w:space="0" w:color="auto"/>
            </w:tcBorders>
            <w:shd w:val="clear" w:color="auto" w:fill="auto"/>
          </w:tcPr>
          <w:p w14:paraId="0F8D091B"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D01</w:t>
            </w:r>
          </w:p>
        </w:tc>
        <w:tc>
          <w:tcPr>
            <w:tcW w:w="1276" w:type="dxa"/>
            <w:tcBorders>
              <w:top w:val="nil"/>
              <w:left w:val="nil"/>
              <w:bottom w:val="single" w:sz="4" w:space="0" w:color="auto"/>
              <w:right w:val="single" w:sz="4" w:space="0" w:color="auto"/>
            </w:tcBorders>
            <w:shd w:val="clear" w:color="auto" w:fill="auto"/>
          </w:tcPr>
          <w:p w14:paraId="30A3196A"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上月末本金余额</w:t>
            </w:r>
          </w:p>
        </w:tc>
        <w:tc>
          <w:tcPr>
            <w:tcW w:w="3260" w:type="dxa"/>
            <w:tcBorders>
              <w:top w:val="nil"/>
              <w:left w:val="nil"/>
              <w:bottom w:val="single" w:sz="4" w:space="0" w:color="auto"/>
              <w:right w:val="single" w:sz="4" w:space="0" w:color="auto"/>
            </w:tcBorders>
            <w:shd w:val="clear" w:color="auto" w:fill="auto"/>
          </w:tcPr>
          <w:p w14:paraId="7C12D1B8"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指上月末相关资产的本金余额，包括已结转为本金的利息部分。对于存放境外同业账户发生的透支款项及利息，如无法单独区分，可合并在同业存款余额中填报。对于存放境外贵金属，应填写盎司数量。</w:t>
            </w:r>
          </w:p>
        </w:tc>
        <w:tc>
          <w:tcPr>
            <w:tcW w:w="3544" w:type="dxa"/>
            <w:tcBorders>
              <w:top w:val="nil"/>
              <w:left w:val="nil"/>
              <w:bottom w:val="single" w:sz="4" w:space="0" w:color="auto"/>
              <w:right w:val="single" w:sz="4" w:space="0" w:color="auto"/>
            </w:tcBorders>
            <w:shd w:val="clear" w:color="auto" w:fill="auto"/>
          </w:tcPr>
          <w:p w14:paraId="7904745B"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上月末相关资产的本金余额，包括已结转为本金的利息部分。对于存放境外同业账户发生的透支款项及利息，如无法单独区分，可合并在同业存款余额中填报。对于存放境外贵金属，应填写与原始币种相协调的金额，如原始币种为贵金属且以盎司计量，则填写盎司数量。</w:t>
            </w:r>
          </w:p>
        </w:tc>
      </w:tr>
      <w:tr w:rsidR="00A052DC" w14:paraId="09EB4B9A" w14:textId="77777777">
        <w:trPr>
          <w:trHeight w:val="20"/>
          <w:jc w:val="center"/>
        </w:trPr>
        <w:tc>
          <w:tcPr>
            <w:tcW w:w="851" w:type="dxa"/>
            <w:tcBorders>
              <w:top w:val="nil"/>
              <w:left w:val="single" w:sz="4" w:space="0" w:color="auto"/>
              <w:bottom w:val="single" w:sz="4" w:space="0" w:color="auto"/>
              <w:right w:val="single" w:sz="4" w:space="0" w:color="auto"/>
            </w:tcBorders>
            <w:shd w:val="clear" w:color="auto" w:fill="auto"/>
          </w:tcPr>
          <w:p w14:paraId="3EF44B4C"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D01</w:t>
            </w:r>
          </w:p>
        </w:tc>
        <w:tc>
          <w:tcPr>
            <w:tcW w:w="1276" w:type="dxa"/>
            <w:tcBorders>
              <w:top w:val="nil"/>
              <w:left w:val="nil"/>
              <w:bottom w:val="single" w:sz="4" w:space="0" w:color="auto"/>
              <w:right w:val="single" w:sz="4" w:space="0" w:color="auto"/>
            </w:tcBorders>
            <w:shd w:val="clear" w:color="auto" w:fill="auto"/>
          </w:tcPr>
          <w:p w14:paraId="3CF985F7"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本月末本金余额</w:t>
            </w:r>
          </w:p>
        </w:tc>
        <w:tc>
          <w:tcPr>
            <w:tcW w:w="3260" w:type="dxa"/>
            <w:tcBorders>
              <w:top w:val="nil"/>
              <w:left w:val="nil"/>
              <w:bottom w:val="single" w:sz="4" w:space="0" w:color="auto"/>
              <w:right w:val="single" w:sz="4" w:space="0" w:color="auto"/>
            </w:tcBorders>
            <w:shd w:val="clear" w:color="auto" w:fill="auto"/>
          </w:tcPr>
          <w:p w14:paraId="4B952906"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本月末相关资产的余额，包括已结转为本金的利息部分。对于存放境外同业账户发生的透支款项及利息，如无法单独区分，可合并在同业存款余额中填报。对于存放境外贵金属，可填写盎司数量，但对应利息数据的货币单位应与之保持一致。</w:t>
            </w:r>
          </w:p>
        </w:tc>
        <w:tc>
          <w:tcPr>
            <w:tcW w:w="3544" w:type="dxa"/>
            <w:tcBorders>
              <w:top w:val="nil"/>
              <w:left w:val="nil"/>
              <w:bottom w:val="single" w:sz="4" w:space="0" w:color="auto"/>
              <w:right w:val="single" w:sz="4" w:space="0" w:color="auto"/>
            </w:tcBorders>
            <w:shd w:val="clear" w:color="auto" w:fill="auto"/>
          </w:tcPr>
          <w:p w14:paraId="3453B248"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本月末相关资产的本金余额，包括已结转为本金的利息部分。对于存放境外同业账户发生的透支款项及利息，如无法单独区分，可合并在同业存款余额中填报。对于存放境外贵金属，应填写与原始币种相协调的金额，如原始币种为贵金属且以盎司计量，则填写盎司数量。对应利息数据的货币单位应与原始币种保持一致。</w:t>
            </w:r>
          </w:p>
        </w:tc>
      </w:tr>
      <w:tr w:rsidR="00A052DC" w14:paraId="0F041113" w14:textId="77777777">
        <w:trPr>
          <w:trHeight w:val="20"/>
          <w:jc w:val="center"/>
        </w:trPr>
        <w:tc>
          <w:tcPr>
            <w:tcW w:w="851" w:type="dxa"/>
            <w:tcBorders>
              <w:top w:val="nil"/>
              <w:left w:val="single" w:sz="4" w:space="0" w:color="auto"/>
              <w:bottom w:val="single" w:sz="4" w:space="0" w:color="auto"/>
              <w:right w:val="single" w:sz="4" w:space="0" w:color="auto"/>
            </w:tcBorders>
            <w:shd w:val="clear" w:color="auto" w:fill="auto"/>
          </w:tcPr>
          <w:p w14:paraId="22C00573"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D01</w:t>
            </w:r>
          </w:p>
        </w:tc>
        <w:tc>
          <w:tcPr>
            <w:tcW w:w="1276" w:type="dxa"/>
            <w:tcBorders>
              <w:top w:val="nil"/>
              <w:left w:val="nil"/>
              <w:bottom w:val="single" w:sz="4" w:space="0" w:color="auto"/>
              <w:right w:val="single" w:sz="4" w:space="0" w:color="auto"/>
            </w:tcBorders>
            <w:shd w:val="clear" w:color="auto" w:fill="auto"/>
          </w:tcPr>
          <w:p w14:paraId="3B9DD097"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本月净发生额</w:t>
            </w:r>
          </w:p>
        </w:tc>
        <w:tc>
          <w:tcPr>
            <w:tcW w:w="3260" w:type="dxa"/>
            <w:tcBorders>
              <w:top w:val="nil"/>
              <w:left w:val="nil"/>
              <w:bottom w:val="single" w:sz="4" w:space="0" w:color="auto"/>
              <w:right w:val="single" w:sz="4" w:space="0" w:color="auto"/>
            </w:tcBorders>
            <w:shd w:val="clear" w:color="auto" w:fill="auto"/>
          </w:tcPr>
          <w:p w14:paraId="3057F318"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指本月持有外币现金的变动净值（购入</w:t>
            </w:r>
            <w:r>
              <w:rPr>
                <w:rFonts w:ascii="黑体" w:eastAsia="黑体" w:hAnsi="黑体" w:cs="宋体"/>
                <w:color w:val="000000"/>
                <w:kern w:val="0"/>
                <w:sz w:val="20"/>
                <w:szCs w:val="20"/>
              </w:rPr>
              <w:t>-售出）及存放境外款项增减的的净值（存放境外-存款调回）。正值代表资产的增加，负值代表资产的减少。计算公式为：本月净发生额=（本月末本金余额+本月末应收利息余额）-（上月末本金余额+上月末应收利息余额）-本月非交易变动。</w:t>
            </w:r>
          </w:p>
        </w:tc>
        <w:tc>
          <w:tcPr>
            <w:tcW w:w="3544" w:type="dxa"/>
            <w:tcBorders>
              <w:top w:val="nil"/>
              <w:left w:val="nil"/>
              <w:bottom w:val="single" w:sz="4" w:space="0" w:color="auto"/>
              <w:right w:val="single" w:sz="4" w:space="0" w:color="auto"/>
            </w:tcBorders>
            <w:shd w:val="clear" w:color="auto" w:fill="auto"/>
          </w:tcPr>
          <w:p w14:paraId="3915A913"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指本月持有外币现金的净变动值，存放境外款项的净发生额，以及应计利息的净发生额。正值代表资产的增加，负值代表资产的减少。计算公式为：本月净发生额</w:t>
            </w:r>
            <w:r>
              <w:rPr>
                <w:rFonts w:ascii="黑体" w:eastAsia="黑体" w:hAnsi="黑体" w:cs="宋体"/>
                <w:color w:val="000000"/>
                <w:kern w:val="0"/>
                <w:sz w:val="20"/>
                <w:szCs w:val="20"/>
              </w:rPr>
              <w:t>=（本月末本金余额+本月末应收利息余额）-（上月末本金余额+上月末应收利息余额）-本月非交易变动。</w:t>
            </w:r>
          </w:p>
        </w:tc>
      </w:tr>
      <w:tr w:rsidR="00A052DC" w14:paraId="7B2C353A" w14:textId="77777777">
        <w:trPr>
          <w:trHeight w:val="20"/>
          <w:jc w:val="center"/>
        </w:trPr>
        <w:tc>
          <w:tcPr>
            <w:tcW w:w="851" w:type="dxa"/>
            <w:tcBorders>
              <w:top w:val="nil"/>
              <w:left w:val="single" w:sz="4" w:space="0" w:color="auto"/>
              <w:bottom w:val="single" w:sz="4" w:space="0" w:color="auto"/>
              <w:right w:val="single" w:sz="4" w:space="0" w:color="auto"/>
            </w:tcBorders>
            <w:shd w:val="clear" w:color="auto" w:fill="auto"/>
          </w:tcPr>
          <w:p w14:paraId="2A0FD135"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D02</w:t>
            </w:r>
          </w:p>
        </w:tc>
        <w:tc>
          <w:tcPr>
            <w:tcW w:w="1276" w:type="dxa"/>
            <w:tcBorders>
              <w:top w:val="nil"/>
              <w:left w:val="nil"/>
              <w:bottom w:val="single" w:sz="4" w:space="0" w:color="auto"/>
              <w:right w:val="single" w:sz="4" w:space="0" w:color="auto"/>
            </w:tcBorders>
            <w:shd w:val="clear" w:color="auto" w:fill="auto"/>
          </w:tcPr>
          <w:p w14:paraId="3BD9A6C9"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本月净发生额</w:t>
            </w:r>
          </w:p>
        </w:tc>
        <w:tc>
          <w:tcPr>
            <w:tcW w:w="3260" w:type="dxa"/>
            <w:tcBorders>
              <w:top w:val="nil"/>
              <w:left w:val="nil"/>
              <w:bottom w:val="single" w:sz="4" w:space="0" w:color="auto"/>
              <w:right w:val="single" w:sz="4" w:space="0" w:color="auto"/>
            </w:tcBorders>
            <w:shd w:val="clear" w:color="auto" w:fill="auto"/>
          </w:tcPr>
          <w:p w14:paraId="27E04044"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指本月对非居民提供贷款的净发生额（提供贷款</w:t>
            </w:r>
            <w:r>
              <w:rPr>
                <w:rFonts w:ascii="黑体" w:eastAsia="黑体" w:hAnsi="黑体" w:cs="宋体"/>
                <w:color w:val="000000"/>
                <w:kern w:val="0"/>
                <w:sz w:val="20"/>
                <w:szCs w:val="20"/>
              </w:rPr>
              <w:t>-贷款收回），正值代表资产的增加，负值代表资产的减少。计算公式为本月净发生额=（本月末本金余额+本月末应收利息余额）-（上月末本金余额+上月末应收利息余额）-本月非交易变动。对方部门为非金融企业时，指该笔债务的净发生额。</w:t>
            </w:r>
          </w:p>
        </w:tc>
        <w:tc>
          <w:tcPr>
            <w:tcW w:w="3544" w:type="dxa"/>
            <w:tcBorders>
              <w:top w:val="nil"/>
              <w:left w:val="nil"/>
              <w:bottom w:val="single" w:sz="4" w:space="0" w:color="auto"/>
              <w:right w:val="single" w:sz="4" w:space="0" w:color="auto"/>
            </w:tcBorders>
            <w:shd w:val="clear" w:color="auto" w:fill="auto"/>
          </w:tcPr>
          <w:p w14:paraId="610E42F9"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指本月对非居民提供贷款的净发生额，包括提供的贷款金额与收回的贷款金额的差（提供贷款</w:t>
            </w:r>
            <w:r>
              <w:rPr>
                <w:rFonts w:ascii="黑体" w:eastAsia="黑体" w:hAnsi="黑体" w:cs="宋体"/>
                <w:color w:val="000000"/>
                <w:kern w:val="0"/>
                <w:sz w:val="20"/>
                <w:szCs w:val="20"/>
              </w:rPr>
              <w:t>-贷款收回），以及应计利息的净发生额。正值代表资产的增加，负值代表资产的减少。计算公式为本月净发生额=（本月末本金余额+本月末应收利息余额）-（上月末本金余额+上月末应收利息余额）-本月非交易变动。对方部门为非金融企业时，指该笔债务的净发生额。</w:t>
            </w:r>
          </w:p>
        </w:tc>
      </w:tr>
      <w:tr w:rsidR="00A052DC" w14:paraId="31D07039" w14:textId="77777777">
        <w:trPr>
          <w:trHeight w:val="20"/>
          <w:jc w:val="center"/>
        </w:trPr>
        <w:tc>
          <w:tcPr>
            <w:tcW w:w="851" w:type="dxa"/>
            <w:tcBorders>
              <w:top w:val="nil"/>
              <w:left w:val="single" w:sz="4" w:space="0" w:color="auto"/>
              <w:bottom w:val="single" w:sz="4" w:space="0" w:color="auto"/>
              <w:right w:val="single" w:sz="4" w:space="0" w:color="auto"/>
            </w:tcBorders>
            <w:shd w:val="clear" w:color="auto" w:fill="auto"/>
          </w:tcPr>
          <w:p w14:paraId="6A02EC0D"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D04</w:t>
            </w:r>
          </w:p>
        </w:tc>
        <w:tc>
          <w:tcPr>
            <w:tcW w:w="1276" w:type="dxa"/>
            <w:tcBorders>
              <w:top w:val="nil"/>
              <w:left w:val="nil"/>
              <w:bottom w:val="single" w:sz="4" w:space="0" w:color="auto"/>
              <w:right w:val="single" w:sz="4" w:space="0" w:color="auto"/>
            </w:tcBorders>
            <w:shd w:val="clear" w:color="auto" w:fill="auto"/>
          </w:tcPr>
          <w:p w14:paraId="0D26A3D7"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原始币种</w:t>
            </w:r>
          </w:p>
        </w:tc>
        <w:tc>
          <w:tcPr>
            <w:tcW w:w="3260" w:type="dxa"/>
            <w:tcBorders>
              <w:top w:val="nil"/>
              <w:left w:val="nil"/>
              <w:bottom w:val="single" w:sz="4" w:space="0" w:color="auto"/>
              <w:right w:val="single" w:sz="4" w:space="0" w:color="auto"/>
            </w:tcBorders>
            <w:shd w:val="clear" w:color="auto" w:fill="auto"/>
          </w:tcPr>
          <w:p w14:paraId="1E681EE9"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指应收款项的原始计价币种，适用于上月末余额至本月净发生额各项。见币种代码表。</w:t>
            </w:r>
          </w:p>
        </w:tc>
        <w:tc>
          <w:tcPr>
            <w:tcW w:w="3544" w:type="dxa"/>
            <w:tcBorders>
              <w:top w:val="nil"/>
              <w:left w:val="nil"/>
              <w:bottom w:val="single" w:sz="4" w:space="0" w:color="auto"/>
              <w:right w:val="single" w:sz="4" w:space="0" w:color="auto"/>
            </w:tcBorders>
            <w:shd w:val="clear" w:color="auto" w:fill="auto"/>
          </w:tcPr>
          <w:p w14:paraId="1B76A624"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指应收（预付）款项的原始计价币种。适用于上月末余额至本月净发生额各项。见币种代码表。</w:t>
            </w:r>
          </w:p>
        </w:tc>
      </w:tr>
      <w:tr w:rsidR="00A052DC" w14:paraId="44A6E565" w14:textId="77777777">
        <w:trPr>
          <w:trHeight w:val="20"/>
          <w:jc w:val="center"/>
        </w:trPr>
        <w:tc>
          <w:tcPr>
            <w:tcW w:w="851" w:type="dxa"/>
            <w:tcBorders>
              <w:top w:val="nil"/>
              <w:left w:val="single" w:sz="4" w:space="0" w:color="auto"/>
              <w:bottom w:val="single" w:sz="4" w:space="0" w:color="auto"/>
              <w:right w:val="single" w:sz="4" w:space="0" w:color="auto"/>
            </w:tcBorders>
            <w:shd w:val="clear" w:color="auto" w:fill="auto"/>
          </w:tcPr>
          <w:p w14:paraId="246DF694"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D04</w:t>
            </w:r>
          </w:p>
        </w:tc>
        <w:tc>
          <w:tcPr>
            <w:tcW w:w="1276" w:type="dxa"/>
            <w:tcBorders>
              <w:top w:val="nil"/>
              <w:left w:val="nil"/>
              <w:bottom w:val="single" w:sz="4" w:space="0" w:color="auto"/>
              <w:right w:val="single" w:sz="4" w:space="0" w:color="auto"/>
            </w:tcBorders>
            <w:shd w:val="clear" w:color="auto" w:fill="auto"/>
          </w:tcPr>
          <w:p w14:paraId="29994443"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本月非交易变动</w:t>
            </w:r>
          </w:p>
        </w:tc>
        <w:tc>
          <w:tcPr>
            <w:tcW w:w="3260" w:type="dxa"/>
            <w:tcBorders>
              <w:top w:val="nil"/>
              <w:left w:val="nil"/>
              <w:bottom w:val="single" w:sz="4" w:space="0" w:color="auto"/>
              <w:right w:val="single" w:sz="4" w:space="0" w:color="auto"/>
            </w:tcBorders>
            <w:shd w:val="clear" w:color="auto" w:fill="auto"/>
          </w:tcPr>
          <w:p w14:paraId="77DC9687"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指因应收款（或预付款）核销、重新分类以及所涉主体居民地位改变等因素导致境内机构对非居民应收款项变动的净额。</w:t>
            </w:r>
          </w:p>
        </w:tc>
        <w:tc>
          <w:tcPr>
            <w:tcW w:w="3544" w:type="dxa"/>
            <w:tcBorders>
              <w:top w:val="nil"/>
              <w:left w:val="nil"/>
              <w:bottom w:val="single" w:sz="4" w:space="0" w:color="auto"/>
              <w:right w:val="single" w:sz="4" w:space="0" w:color="auto"/>
            </w:tcBorders>
            <w:shd w:val="clear" w:color="auto" w:fill="auto"/>
          </w:tcPr>
          <w:p w14:paraId="6487B13A"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指因不良资产注销、重新分类以及所涉主体居民地位改变等因素导致境内机构对非居民应收（预付）款项变动的净额。</w:t>
            </w:r>
          </w:p>
        </w:tc>
      </w:tr>
      <w:tr w:rsidR="00A052DC" w14:paraId="43A5FEDF" w14:textId="77777777">
        <w:trPr>
          <w:trHeight w:val="20"/>
          <w:jc w:val="center"/>
        </w:trPr>
        <w:tc>
          <w:tcPr>
            <w:tcW w:w="851" w:type="dxa"/>
            <w:tcBorders>
              <w:top w:val="nil"/>
              <w:left w:val="single" w:sz="4" w:space="0" w:color="auto"/>
              <w:bottom w:val="single" w:sz="4" w:space="0" w:color="auto"/>
              <w:right w:val="single" w:sz="4" w:space="0" w:color="auto"/>
            </w:tcBorders>
            <w:shd w:val="clear" w:color="auto" w:fill="auto"/>
          </w:tcPr>
          <w:p w14:paraId="51BB4009"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D04</w:t>
            </w:r>
          </w:p>
        </w:tc>
        <w:tc>
          <w:tcPr>
            <w:tcW w:w="1276" w:type="dxa"/>
            <w:tcBorders>
              <w:top w:val="nil"/>
              <w:left w:val="nil"/>
              <w:bottom w:val="single" w:sz="4" w:space="0" w:color="auto"/>
              <w:right w:val="single" w:sz="4" w:space="0" w:color="auto"/>
            </w:tcBorders>
            <w:shd w:val="clear" w:color="auto" w:fill="auto"/>
          </w:tcPr>
          <w:p w14:paraId="17948C23"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本月净发生额</w:t>
            </w:r>
          </w:p>
        </w:tc>
        <w:tc>
          <w:tcPr>
            <w:tcW w:w="3260" w:type="dxa"/>
            <w:tcBorders>
              <w:top w:val="nil"/>
              <w:left w:val="nil"/>
              <w:bottom w:val="single" w:sz="4" w:space="0" w:color="auto"/>
              <w:right w:val="single" w:sz="4" w:space="0" w:color="auto"/>
            </w:tcBorders>
            <w:shd w:val="clear" w:color="auto" w:fill="auto"/>
          </w:tcPr>
          <w:p w14:paraId="38D0DFA6"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指本月对非居民应收款项（或预付款）的净发生额（提供应收（预付）</w:t>
            </w:r>
            <w:r>
              <w:rPr>
                <w:rFonts w:ascii="黑体" w:eastAsia="黑体" w:hAnsi="黑体" w:cs="宋体"/>
                <w:color w:val="000000"/>
                <w:kern w:val="0"/>
                <w:sz w:val="20"/>
                <w:szCs w:val="20"/>
              </w:rPr>
              <w:t>-应收（预付）款项收回），正值代表资产的增加，负值代表资产的减少。计算公式为本月净发生额=本月末余额-上月末余额-本月非交易变动。</w:t>
            </w:r>
          </w:p>
        </w:tc>
        <w:tc>
          <w:tcPr>
            <w:tcW w:w="3544" w:type="dxa"/>
            <w:tcBorders>
              <w:top w:val="nil"/>
              <w:left w:val="nil"/>
              <w:bottom w:val="single" w:sz="4" w:space="0" w:color="auto"/>
              <w:right w:val="single" w:sz="4" w:space="0" w:color="auto"/>
            </w:tcBorders>
            <w:shd w:val="clear" w:color="auto" w:fill="auto"/>
          </w:tcPr>
          <w:p w14:paraId="4020C157"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指本月对非居民应收（预付）款项的净发生额，正值代表资产的增加，负值代表资产的减少。计算公式为本月净发生额</w:t>
            </w:r>
            <w:r>
              <w:rPr>
                <w:rFonts w:ascii="黑体" w:eastAsia="黑体" w:hAnsi="黑体" w:cs="宋体"/>
                <w:color w:val="000000"/>
                <w:kern w:val="0"/>
                <w:sz w:val="20"/>
                <w:szCs w:val="20"/>
              </w:rPr>
              <w:t>=本月末余额-上月末余额-本月非交易变动。</w:t>
            </w:r>
          </w:p>
        </w:tc>
      </w:tr>
      <w:tr w:rsidR="00A052DC" w14:paraId="35769982" w14:textId="77777777">
        <w:trPr>
          <w:trHeight w:val="20"/>
          <w:jc w:val="center"/>
        </w:trPr>
        <w:tc>
          <w:tcPr>
            <w:tcW w:w="851" w:type="dxa"/>
            <w:tcBorders>
              <w:top w:val="nil"/>
              <w:left w:val="single" w:sz="4" w:space="0" w:color="auto"/>
              <w:bottom w:val="single" w:sz="4" w:space="0" w:color="auto"/>
              <w:right w:val="single" w:sz="4" w:space="0" w:color="auto"/>
            </w:tcBorders>
            <w:shd w:val="clear" w:color="auto" w:fill="auto"/>
          </w:tcPr>
          <w:p w14:paraId="522F89CD"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D</w:t>
            </w:r>
            <w:r>
              <w:rPr>
                <w:rFonts w:ascii="黑体" w:eastAsia="黑体" w:hAnsi="黑体" w:cs="宋体" w:hint="eastAsia"/>
                <w:color w:val="000000"/>
                <w:kern w:val="0"/>
                <w:sz w:val="20"/>
                <w:szCs w:val="20"/>
              </w:rPr>
              <w:t>0</w:t>
            </w:r>
            <w:r>
              <w:rPr>
                <w:rFonts w:ascii="黑体" w:eastAsia="黑体" w:hAnsi="黑体" w:cs="宋体"/>
                <w:color w:val="000000"/>
                <w:kern w:val="0"/>
                <w:sz w:val="20"/>
                <w:szCs w:val="20"/>
              </w:rPr>
              <w:t>5-1、D</w:t>
            </w:r>
            <w:r>
              <w:rPr>
                <w:rFonts w:ascii="黑体" w:eastAsia="黑体" w:hAnsi="黑体" w:cs="宋体" w:hint="eastAsia"/>
                <w:color w:val="000000"/>
                <w:kern w:val="0"/>
                <w:sz w:val="20"/>
                <w:szCs w:val="20"/>
              </w:rPr>
              <w:t>0</w:t>
            </w:r>
            <w:r>
              <w:rPr>
                <w:rFonts w:ascii="黑体" w:eastAsia="黑体" w:hAnsi="黑体" w:cs="宋体"/>
                <w:color w:val="000000"/>
                <w:kern w:val="0"/>
                <w:sz w:val="20"/>
                <w:szCs w:val="20"/>
              </w:rPr>
              <w:t>5-2</w:t>
            </w:r>
          </w:p>
        </w:tc>
        <w:tc>
          <w:tcPr>
            <w:tcW w:w="1276" w:type="dxa"/>
            <w:tcBorders>
              <w:top w:val="nil"/>
              <w:left w:val="nil"/>
              <w:bottom w:val="single" w:sz="4" w:space="0" w:color="auto"/>
              <w:right w:val="single" w:sz="4" w:space="0" w:color="auto"/>
            </w:tcBorders>
            <w:shd w:val="clear" w:color="auto" w:fill="auto"/>
          </w:tcPr>
          <w:p w14:paraId="04C660AF"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存款业务类别</w:t>
            </w:r>
          </w:p>
        </w:tc>
        <w:tc>
          <w:tcPr>
            <w:tcW w:w="3260" w:type="dxa"/>
            <w:tcBorders>
              <w:top w:val="nil"/>
              <w:left w:val="nil"/>
              <w:bottom w:val="single" w:sz="4" w:space="0" w:color="auto"/>
              <w:right w:val="single" w:sz="4" w:space="0" w:color="auto"/>
            </w:tcBorders>
            <w:shd w:val="clear" w:color="auto" w:fill="auto"/>
          </w:tcPr>
          <w:p w14:paraId="4977B991"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1-存款；2-账户金。</w:t>
            </w:r>
          </w:p>
        </w:tc>
        <w:tc>
          <w:tcPr>
            <w:tcW w:w="3544" w:type="dxa"/>
            <w:tcBorders>
              <w:top w:val="nil"/>
              <w:left w:val="nil"/>
              <w:bottom w:val="single" w:sz="4" w:space="0" w:color="auto"/>
              <w:right w:val="single" w:sz="4" w:space="0" w:color="auto"/>
            </w:tcBorders>
            <w:shd w:val="clear" w:color="auto" w:fill="auto"/>
          </w:tcPr>
          <w:p w14:paraId="1116DF06"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1-存款（境外同业存放）；</w:t>
            </w:r>
            <w:r>
              <w:rPr>
                <w:rFonts w:ascii="黑体" w:eastAsia="黑体" w:hAnsi="黑体" w:cs="宋体"/>
                <w:color w:val="000000"/>
                <w:kern w:val="0"/>
                <w:sz w:val="20"/>
                <w:szCs w:val="20"/>
              </w:rPr>
              <w:br/>
              <w:t>2-账户金；</w:t>
            </w:r>
            <w:r>
              <w:rPr>
                <w:rFonts w:ascii="黑体" w:eastAsia="黑体" w:hAnsi="黑体" w:cs="宋体"/>
                <w:color w:val="000000"/>
                <w:kern w:val="0"/>
                <w:sz w:val="20"/>
                <w:szCs w:val="20"/>
              </w:rPr>
              <w:br/>
              <w:t>3-存款（联行往来）；</w:t>
            </w:r>
            <w:r>
              <w:rPr>
                <w:rFonts w:ascii="黑体" w:eastAsia="黑体" w:hAnsi="黑体" w:cs="宋体"/>
                <w:color w:val="000000"/>
                <w:kern w:val="0"/>
                <w:sz w:val="20"/>
                <w:szCs w:val="20"/>
              </w:rPr>
              <w:br/>
              <w:t>4-其他存款。</w:t>
            </w:r>
          </w:p>
        </w:tc>
      </w:tr>
      <w:tr w:rsidR="00A052DC" w14:paraId="38A52248" w14:textId="77777777">
        <w:trPr>
          <w:trHeight w:val="20"/>
          <w:jc w:val="center"/>
        </w:trPr>
        <w:tc>
          <w:tcPr>
            <w:tcW w:w="851" w:type="dxa"/>
            <w:tcBorders>
              <w:top w:val="nil"/>
              <w:left w:val="single" w:sz="4" w:space="0" w:color="auto"/>
              <w:bottom w:val="single" w:sz="4" w:space="0" w:color="auto"/>
              <w:right w:val="single" w:sz="4" w:space="0" w:color="auto"/>
            </w:tcBorders>
            <w:shd w:val="clear" w:color="auto" w:fill="auto"/>
          </w:tcPr>
          <w:p w14:paraId="21EBF023"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D5-1</w:t>
            </w:r>
          </w:p>
        </w:tc>
        <w:tc>
          <w:tcPr>
            <w:tcW w:w="1276" w:type="dxa"/>
            <w:tcBorders>
              <w:top w:val="nil"/>
              <w:left w:val="nil"/>
              <w:bottom w:val="single" w:sz="4" w:space="0" w:color="auto"/>
              <w:right w:val="single" w:sz="4" w:space="0" w:color="auto"/>
            </w:tcBorders>
            <w:shd w:val="clear" w:color="000000" w:fill="FFFFFF"/>
          </w:tcPr>
          <w:p w14:paraId="7368355F"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本月净发生额</w:t>
            </w:r>
          </w:p>
        </w:tc>
        <w:tc>
          <w:tcPr>
            <w:tcW w:w="3260" w:type="dxa"/>
            <w:tcBorders>
              <w:top w:val="nil"/>
              <w:left w:val="nil"/>
              <w:bottom w:val="single" w:sz="4" w:space="0" w:color="auto"/>
              <w:right w:val="single" w:sz="4" w:space="0" w:color="auto"/>
            </w:tcBorders>
            <w:shd w:val="clear" w:color="auto" w:fill="auto"/>
          </w:tcPr>
          <w:p w14:paraId="7FD4625D"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指境外同业、境外联行及附属机构、非居民机构存款主体本月在本机构存放款项的净发生额（境外存放-存款调出）。正值代表负债的增加，负值代表负债的减少。</w:t>
            </w:r>
          </w:p>
        </w:tc>
        <w:tc>
          <w:tcPr>
            <w:tcW w:w="3544" w:type="dxa"/>
            <w:tcBorders>
              <w:top w:val="nil"/>
              <w:left w:val="nil"/>
              <w:bottom w:val="single" w:sz="4" w:space="0" w:color="auto"/>
              <w:right w:val="single" w:sz="4" w:space="0" w:color="auto"/>
            </w:tcBorders>
            <w:shd w:val="clear" w:color="auto" w:fill="auto"/>
          </w:tcPr>
          <w:p w14:paraId="11CE7682" w14:textId="77777777" w:rsidR="00A052DC" w:rsidRDefault="009F0A60">
            <w:pPr>
              <w:widowControl/>
              <w:jc w:val="left"/>
              <w:rPr>
                <w:rFonts w:ascii="黑体" w:eastAsia="黑体" w:hAnsi="黑体" w:cs="宋体"/>
                <w:color w:val="000000"/>
                <w:kern w:val="0"/>
                <w:sz w:val="20"/>
                <w:szCs w:val="20"/>
              </w:rPr>
            </w:pPr>
            <w:r>
              <w:rPr>
                <w:rFonts w:ascii="黑体" w:eastAsia="黑体" w:hAnsi="黑体" w:hint="eastAsia"/>
                <w:kern w:val="0"/>
                <w:sz w:val="20"/>
                <w:szCs w:val="20"/>
              </w:rPr>
              <w:t>指非居民存款主体本月在本机构存放款项的净发生额（境外存放</w:t>
            </w:r>
            <w:r>
              <w:rPr>
                <w:rFonts w:ascii="黑体" w:eastAsia="黑体" w:hAnsi="黑体"/>
                <w:kern w:val="0"/>
                <w:sz w:val="20"/>
                <w:szCs w:val="20"/>
              </w:rPr>
              <w:t>-存款调出），以及应计利息的净发生额。</w:t>
            </w:r>
            <w:r>
              <w:rPr>
                <w:rFonts w:ascii="黑体" w:eastAsia="黑体" w:hAnsi="黑体" w:hint="eastAsia"/>
                <w:kern w:val="0"/>
                <w:sz w:val="20"/>
                <w:szCs w:val="20"/>
              </w:rPr>
              <w:t>正值代表负债的增加，负值代表负债的减少。</w:t>
            </w:r>
          </w:p>
        </w:tc>
      </w:tr>
      <w:tr w:rsidR="00A052DC" w14:paraId="4CE02CB3" w14:textId="77777777">
        <w:trPr>
          <w:trHeight w:val="20"/>
          <w:jc w:val="center"/>
        </w:trPr>
        <w:tc>
          <w:tcPr>
            <w:tcW w:w="851" w:type="dxa"/>
            <w:tcBorders>
              <w:top w:val="nil"/>
              <w:left w:val="single" w:sz="4" w:space="0" w:color="auto"/>
              <w:bottom w:val="single" w:sz="4" w:space="0" w:color="auto"/>
              <w:right w:val="single" w:sz="4" w:space="0" w:color="auto"/>
            </w:tcBorders>
            <w:shd w:val="clear" w:color="auto" w:fill="auto"/>
          </w:tcPr>
          <w:p w14:paraId="322101D1"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D05-2</w:t>
            </w:r>
          </w:p>
        </w:tc>
        <w:tc>
          <w:tcPr>
            <w:tcW w:w="1276" w:type="dxa"/>
            <w:tcBorders>
              <w:top w:val="nil"/>
              <w:left w:val="nil"/>
              <w:bottom w:val="single" w:sz="4" w:space="0" w:color="auto"/>
              <w:right w:val="single" w:sz="4" w:space="0" w:color="auto"/>
            </w:tcBorders>
            <w:shd w:val="clear" w:color="auto" w:fill="auto"/>
          </w:tcPr>
          <w:p w14:paraId="374F8AB7"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本月净发生额</w:t>
            </w:r>
          </w:p>
        </w:tc>
        <w:tc>
          <w:tcPr>
            <w:tcW w:w="3260" w:type="dxa"/>
            <w:tcBorders>
              <w:top w:val="nil"/>
              <w:left w:val="nil"/>
              <w:bottom w:val="single" w:sz="4" w:space="0" w:color="auto"/>
              <w:right w:val="single" w:sz="4" w:space="0" w:color="auto"/>
            </w:tcBorders>
            <w:shd w:val="clear" w:color="auto" w:fill="auto"/>
          </w:tcPr>
          <w:p w14:paraId="01895584"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非居民个人存款主体本月在本机构存放款项的净发生额（境外存放-存款调出）。正值代表负债的增加，负值代表负债的减少。计算公式：本月净发生额=（本月末本金余额+本月末应付利息余额）-（上月末本金余额+上月末应付利息余额）-本月非交易变动。</w:t>
            </w:r>
          </w:p>
        </w:tc>
        <w:tc>
          <w:tcPr>
            <w:tcW w:w="3544" w:type="dxa"/>
            <w:tcBorders>
              <w:top w:val="nil"/>
              <w:left w:val="nil"/>
              <w:bottom w:val="single" w:sz="4" w:space="0" w:color="auto"/>
              <w:right w:val="single" w:sz="4" w:space="0" w:color="auto"/>
            </w:tcBorders>
            <w:shd w:val="clear" w:color="auto" w:fill="auto"/>
          </w:tcPr>
          <w:p w14:paraId="0CA263ED"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非居民存款主体本月在本机构存放款项的净发生额（境外存放-存款调出），以及应计利息的净发生额。正值代表负债的增加，负值代表负债的减少。计算公式：本月净发生额=（本月末本金余额+本月末应付利息余额）-（上月末本金余额+上月末应付利息余额）-本月非交易变动。</w:t>
            </w:r>
          </w:p>
        </w:tc>
      </w:tr>
      <w:tr w:rsidR="00A052DC" w14:paraId="4F1FC9AD" w14:textId="77777777">
        <w:trPr>
          <w:trHeight w:val="20"/>
          <w:jc w:val="center"/>
        </w:trPr>
        <w:tc>
          <w:tcPr>
            <w:tcW w:w="851" w:type="dxa"/>
            <w:tcBorders>
              <w:top w:val="nil"/>
              <w:left w:val="single" w:sz="4" w:space="0" w:color="auto"/>
              <w:bottom w:val="single" w:sz="4" w:space="0" w:color="auto"/>
              <w:right w:val="single" w:sz="4" w:space="0" w:color="auto"/>
            </w:tcBorders>
            <w:shd w:val="clear" w:color="auto" w:fill="auto"/>
          </w:tcPr>
          <w:p w14:paraId="4F1FBDCF"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D06-1</w:t>
            </w:r>
          </w:p>
        </w:tc>
        <w:tc>
          <w:tcPr>
            <w:tcW w:w="1276" w:type="dxa"/>
            <w:tcBorders>
              <w:top w:val="nil"/>
              <w:left w:val="nil"/>
              <w:bottom w:val="single" w:sz="4" w:space="0" w:color="auto"/>
              <w:right w:val="single" w:sz="4" w:space="0" w:color="auto"/>
            </w:tcBorders>
            <w:shd w:val="clear" w:color="auto" w:fill="auto"/>
          </w:tcPr>
          <w:p w14:paraId="0FC18A37"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本月净发生额</w:t>
            </w:r>
          </w:p>
        </w:tc>
        <w:tc>
          <w:tcPr>
            <w:tcW w:w="3260" w:type="dxa"/>
            <w:tcBorders>
              <w:top w:val="nil"/>
              <w:left w:val="nil"/>
              <w:bottom w:val="single" w:sz="4" w:space="0" w:color="auto"/>
              <w:right w:val="single" w:sz="4" w:space="0" w:color="auto"/>
            </w:tcBorders>
            <w:shd w:val="clear" w:color="auto" w:fill="auto"/>
          </w:tcPr>
          <w:p w14:paraId="0EE0158F"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指本月本机构接受非居民提供贷款的净发生额（接受贷款</w:t>
            </w:r>
            <w:r>
              <w:rPr>
                <w:rFonts w:ascii="黑体" w:eastAsia="黑体" w:hAnsi="黑体" w:cs="宋体"/>
                <w:color w:val="000000"/>
                <w:kern w:val="0"/>
                <w:sz w:val="20"/>
                <w:szCs w:val="20"/>
              </w:rPr>
              <w:t>-贷款偿还），正值代表负债的增加，负值代表负债的减少。</w:t>
            </w:r>
          </w:p>
        </w:tc>
        <w:tc>
          <w:tcPr>
            <w:tcW w:w="3544" w:type="dxa"/>
            <w:tcBorders>
              <w:top w:val="nil"/>
              <w:left w:val="nil"/>
              <w:bottom w:val="single" w:sz="4" w:space="0" w:color="auto"/>
              <w:right w:val="single" w:sz="4" w:space="0" w:color="auto"/>
            </w:tcBorders>
            <w:shd w:val="clear" w:color="auto" w:fill="auto"/>
          </w:tcPr>
          <w:p w14:paraId="45A7BD8E"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指本月接受非居民提供贷款的净发生额（接受贷款</w:t>
            </w:r>
            <w:r>
              <w:rPr>
                <w:rFonts w:ascii="黑体" w:eastAsia="黑体" w:hAnsi="黑体" w:cs="宋体"/>
                <w:color w:val="000000"/>
                <w:kern w:val="0"/>
                <w:sz w:val="20"/>
                <w:szCs w:val="20"/>
              </w:rPr>
              <w:t>-贷款偿还），以及应计利息的净发生额。正值代表负债的增加，负值代表负债的减少。</w:t>
            </w:r>
          </w:p>
        </w:tc>
      </w:tr>
      <w:tr w:rsidR="00A052DC" w14:paraId="6589CAD9" w14:textId="77777777">
        <w:trPr>
          <w:trHeight w:val="20"/>
          <w:jc w:val="center"/>
        </w:trPr>
        <w:tc>
          <w:tcPr>
            <w:tcW w:w="851" w:type="dxa"/>
            <w:tcBorders>
              <w:top w:val="nil"/>
              <w:left w:val="single" w:sz="4" w:space="0" w:color="auto"/>
              <w:bottom w:val="single" w:sz="4" w:space="0" w:color="auto"/>
              <w:right w:val="single" w:sz="4" w:space="0" w:color="auto"/>
            </w:tcBorders>
            <w:shd w:val="clear" w:color="auto" w:fill="auto"/>
          </w:tcPr>
          <w:p w14:paraId="1188CA91"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D08</w:t>
            </w:r>
          </w:p>
        </w:tc>
        <w:tc>
          <w:tcPr>
            <w:tcW w:w="1276" w:type="dxa"/>
            <w:tcBorders>
              <w:top w:val="nil"/>
              <w:left w:val="nil"/>
              <w:bottom w:val="single" w:sz="4" w:space="0" w:color="auto"/>
              <w:right w:val="single" w:sz="4" w:space="0" w:color="auto"/>
            </w:tcBorders>
            <w:shd w:val="clear" w:color="auto" w:fill="auto"/>
          </w:tcPr>
          <w:p w14:paraId="47CFD28D"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对方国家</w:t>
            </w:r>
            <w:r>
              <w:rPr>
                <w:rFonts w:ascii="黑体" w:eastAsia="黑体" w:hAnsi="黑体" w:cs="宋体"/>
                <w:color w:val="000000"/>
                <w:kern w:val="0"/>
                <w:sz w:val="20"/>
                <w:szCs w:val="20"/>
              </w:rPr>
              <w:t>/地区</w:t>
            </w:r>
          </w:p>
        </w:tc>
        <w:tc>
          <w:tcPr>
            <w:tcW w:w="3260" w:type="dxa"/>
            <w:tcBorders>
              <w:top w:val="nil"/>
              <w:left w:val="nil"/>
              <w:bottom w:val="single" w:sz="4" w:space="0" w:color="auto"/>
              <w:right w:val="single" w:sz="4" w:space="0" w:color="auto"/>
            </w:tcBorders>
            <w:shd w:val="clear" w:color="auto" w:fill="auto"/>
          </w:tcPr>
          <w:p w14:paraId="0ACD35B4"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指应付款项对应的非居民主体注册或常驻（住）的国家</w:t>
            </w:r>
            <w:r>
              <w:rPr>
                <w:rFonts w:ascii="黑体" w:eastAsia="黑体" w:hAnsi="黑体" w:cs="宋体"/>
                <w:color w:val="000000"/>
                <w:kern w:val="0"/>
                <w:sz w:val="20"/>
                <w:szCs w:val="20"/>
              </w:rPr>
              <w:t>/地区。参见国家和地区代码表的3位字母代码。适用于预收款、先收款等。</w:t>
            </w:r>
          </w:p>
        </w:tc>
        <w:tc>
          <w:tcPr>
            <w:tcW w:w="3544" w:type="dxa"/>
            <w:tcBorders>
              <w:top w:val="nil"/>
              <w:left w:val="nil"/>
              <w:bottom w:val="single" w:sz="4" w:space="0" w:color="auto"/>
              <w:right w:val="single" w:sz="4" w:space="0" w:color="auto"/>
            </w:tcBorders>
            <w:shd w:val="clear" w:color="auto" w:fill="auto"/>
          </w:tcPr>
          <w:p w14:paraId="7D9202FE"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指应付（预收）款项对应的非居民主体注册或常驻（住）的国家</w:t>
            </w:r>
            <w:r>
              <w:rPr>
                <w:rFonts w:ascii="黑体" w:eastAsia="黑体" w:hAnsi="黑体" w:cs="宋体"/>
                <w:color w:val="000000"/>
                <w:kern w:val="0"/>
                <w:sz w:val="20"/>
                <w:szCs w:val="20"/>
              </w:rPr>
              <w:t>/地区。参见国家和地区代码表的3位字母代码。</w:t>
            </w:r>
          </w:p>
        </w:tc>
      </w:tr>
      <w:tr w:rsidR="00A052DC" w14:paraId="6E162243" w14:textId="77777777">
        <w:trPr>
          <w:trHeight w:val="20"/>
          <w:jc w:val="center"/>
        </w:trPr>
        <w:tc>
          <w:tcPr>
            <w:tcW w:w="851" w:type="dxa"/>
            <w:tcBorders>
              <w:top w:val="nil"/>
              <w:left w:val="single" w:sz="4" w:space="0" w:color="auto"/>
              <w:bottom w:val="single" w:sz="4" w:space="0" w:color="auto"/>
              <w:right w:val="single" w:sz="4" w:space="0" w:color="auto"/>
            </w:tcBorders>
            <w:shd w:val="clear" w:color="auto" w:fill="auto"/>
          </w:tcPr>
          <w:p w14:paraId="7237DB58"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D08</w:t>
            </w:r>
          </w:p>
        </w:tc>
        <w:tc>
          <w:tcPr>
            <w:tcW w:w="1276" w:type="dxa"/>
            <w:tcBorders>
              <w:top w:val="nil"/>
              <w:left w:val="nil"/>
              <w:bottom w:val="single" w:sz="4" w:space="0" w:color="auto"/>
              <w:right w:val="single" w:sz="4" w:space="0" w:color="auto"/>
            </w:tcBorders>
            <w:shd w:val="clear" w:color="auto" w:fill="auto"/>
          </w:tcPr>
          <w:p w14:paraId="63E6AA1D"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原始期限</w:t>
            </w:r>
          </w:p>
        </w:tc>
        <w:tc>
          <w:tcPr>
            <w:tcW w:w="3260" w:type="dxa"/>
            <w:tcBorders>
              <w:top w:val="nil"/>
              <w:left w:val="nil"/>
              <w:bottom w:val="single" w:sz="4" w:space="0" w:color="auto"/>
              <w:right w:val="single" w:sz="4" w:space="0" w:color="auto"/>
            </w:tcBorders>
            <w:shd w:val="clear" w:color="auto" w:fill="auto"/>
          </w:tcPr>
          <w:p w14:paraId="23191126"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指应付款从确认至（预计）付清的期限，按以下两种情况填报，</w:t>
            </w:r>
            <w:r>
              <w:rPr>
                <w:rFonts w:ascii="黑体" w:eastAsia="黑体" w:hAnsi="黑体" w:cs="宋体"/>
                <w:color w:val="000000"/>
                <w:kern w:val="0"/>
                <w:sz w:val="20"/>
                <w:szCs w:val="20"/>
              </w:rPr>
              <w:t>1-一年及以下，含不定期；2-一年以上。如发生应付款拖欠或展期的，应按照双方确定的期限计算。如双方无安排，应按原期限归类。也适用于预收款、先收款等。</w:t>
            </w:r>
          </w:p>
        </w:tc>
        <w:tc>
          <w:tcPr>
            <w:tcW w:w="3544" w:type="dxa"/>
            <w:tcBorders>
              <w:top w:val="nil"/>
              <w:left w:val="nil"/>
              <w:bottom w:val="single" w:sz="4" w:space="0" w:color="auto"/>
              <w:right w:val="single" w:sz="4" w:space="0" w:color="auto"/>
            </w:tcBorders>
            <w:shd w:val="clear" w:color="auto" w:fill="auto"/>
          </w:tcPr>
          <w:p w14:paraId="13B3A6E4"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应付款从确认至（预计）付清的期限，或预收款从确认至（预计）账面冲减的期限，按以下两种情况填报，</w:t>
            </w:r>
            <w:r>
              <w:rPr>
                <w:rFonts w:ascii="黑体" w:eastAsia="黑体" w:hAnsi="黑体" w:cs="宋体"/>
                <w:color w:val="000000"/>
                <w:kern w:val="0"/>
                <w:sz w:val="20"/>
                <w:szCs w:val="20"/>
              </w:rPr>
              <w:t>1-一年及以下，含不定期；2-一年以上。如发生应付款拖欠或展期的，应按照双方确定的期限计算。如双方无安排，应按原期限归类。</w:t>
            </w:r>
          </w:p>
        </w:tc>
      </w:tr>
      <w:tr w:rsidR="00A052DC" w14:paraId="15EEFB7F" w14:textId="77777777">
        <w:trPr>
          <w:trHeight w:val="20"/>
          <w:jc w:val="center"/>
        </w:trPr>
        <w:tc>
          <w:tcPr>
            <w:tcW w:w="851" w:type="dxa"/>
            <w:tcBorders>
              <w:top w:val="nil"/>
              <w:left w:val="single" w:sz="4" w:space="0" w:color="auto"/>
              <w:bottom w:val="single" w:sz="4" w:space="0" w:color="auto"/>
              <w:right w:val="single" w:sz="4" w:space="0" w:color="auto"/>
            </w:tcBorders>
            <w:shd w:val="clear" w:color="auto" w:fill="auto"/>
          </w:tcPr>
          <w:p w14:paraId="622D4F56"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D08</w:t>
            </w:r>
          </w:p>
        </w:tc>
        <w:tc>
          <w:tcPr>
            <w:tcW w:w="1276" w:type="dxa"/>
            <w:tcBorders>
              <w:top w:val="nil"/>
              <w:left w:val="nil"/>
              <w:bottom w:val="single" w:sz="4" w:space="0" w:color="auto"/>
              <w:right w:val="single" w:sz="4" w:space="0" w:color="auto"/>
            </w:tcBorders>
            <w:shd w:val="clear" w:color="auto" w:fill="auto"/>
          </w:tcPr>
          <w:p w14:paraId="7F497EC3"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原始币种</w:t>
            </w:r>
          </w:p>
        </w:tc>
        <w:tc>
          <w:tcPr>
            <w:tcW w:w="3260" w:type="dxa"/>
            <w:tcBorders>
              <w:top w:val="nil"/>
              <w:left w:val="nil"/>
              <w:bottom w:val="single" w:sz="4" w:space="0" w:color="auto"/>
              <w:right w:val="single" w:sz="4" w:space="0" w:color="auto"/>
            </w:tcBorders>
            <w:shd w:val="clear" w:color="auto" w:fill="auto"/>
          </w:tcPr>
          <w:p w14:paraId="41910DF4"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指应付款项、预收款、先收款等的原始记账币种，适用于“上月末余额”至“本月净发生额”各项。见币种代码表。</w:t>
            </w:r>
          </w:p>
        </w:tc>
        <w:tc>
          <w:tcPr>
            <w:tcW w:w="3544" w:type="dxa"/>
            <w:tcBorders>
              <w:top w:val="nil"/>
              <w:left w:val="nil"/>
              <w:bottom w:val="single" w:sz="4" w:space="0" w:color="auto"/>
              <w:right w:val="single" w:sz="4" w:space="0" w:color="auto"/>
            </w:tcBorders>
            <w:shd w:val="clear" w:color="auto" w:fill="auto"/>
          </w:tcPr>
          <w:p w14:paraId="74D12114"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指应付（预收）款项的原始记价币种，适用于“上月末余额”至“本月净发生额”各项。见币种代码表。</w:t>
            </w:r>
          </w:p>
        </w:tc>
      </w:tr>
      <w:tr w:rsidR="00A052DC" w14:paraId="1EA4190E" w14:textId="77777777">
        <w:trPr>
          <w:trHeight w:val="20"/>
          <w:jc w:val="center"/>
        </w:trPr>
        <w:tc>
          <w:tcPr>
            <w:tcW w:w="851" w:type="dxa"/>
            <w:tcBorders>
              <w:top w:val="nil"/>
              <w:left w:val="single" w:sz="4" w:space="0" w:color="auto"/>
              <w:bottom w:val="single" w:sz="4" w:space="0" w:color="auto"/>
              <w:right w:val="single" w:sz="4" w:space="0" w:color="auto"/>
            </w:tcBorders>
            <w:shd w:val="clear" w:color="auto" w:fill="auto"/>
          </w:tcPr>
          <w:p w14:paraId="0C32FB1A"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D08</w:t>
            </w:r>
          </w:p>
        </w:tc>
        <w:tc>
          <w:tcPr>
            <w:tcW w:w="1276" w:type="dxa"/>
            <w:tcBorders>
              <w:top w:val="nil"/>
              <w:left w:val="nil"/>
              <w:bottom w:val="single" w:sz="4" w:space="0" w:color="auto"/>
              <w:right w:val="single" w:sz="4" w:space="0" w:color="auto"/>
            </w:tcBorders>
            <w:shd w:val="clear" w:color="auto" w:fill="auto"/>
          </w:tcPr>
          <w:p w14:paraId="1AD7BE42"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上月末余额</w:t>
            </w:r>
          </w:p>
        </w:tc>
        <w:tc>
          <w:tcPr>
            <w:tcW w:w="3260" w:type="dxa"/>
            <w:tcBorders>
              <w:top w:val="nil"/>
              <w:left w:val="nil"/>
              <w:bottom w:val="single" w:sz="4" w:space="0" w:color="auto"/>
              <w:right w:val="single" w:sz="4" w:space="0" w:color="auto"/>
            </w:tcBorders>
            <w:shd w:val="clear" w:color="auto" w:fill="auto"/>
          </w:tcPr>
          <w:p w14:paraId="61AAAB16"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指上月末对非居民应付款、预收款、先收款等的账面余额。</w:t>
            </w:r>
          </w:p>
        </w:tc>
        <w:tc>
          <w:tcPr>
            <w:tcW w:w="3544" w:type="dxa"/>
            <w:tcBorders>
              <w:top w:val="nil"/>
              <w:left w:val="nil"/>
              <w:bottom w:val="single" w:sz="4" w:space="0" w:color="auto"/>
              <w:right w:val="single" w:sz="4" w:space="0" w:color="auto"/>
            </w:tcBorders>
            <w:shd w:val="clear" w:color="auto" w:fill="auto"/>
          </w:tcPr>
          <w:p w14:paraId="6B726546"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指上月末对非居民应付（预收）款项的账面余额。</w:t>
            </w:r>
          </w:p>
        </w:tc>
      </w:tr>
      <w:tr w:rsidR="00A052DC" w14:paraId="354BB6D6" w14:textId="77777777">
        <w:trPr>
          <w:trHeight w:val="20"/>
          <w:jc w:val="center"/>
        </w:trPr>
        <w:tc>
          <w:tcPr>
            <w:tcW w:w="851" w:type="dxa"/>
            <w:tcBorders>
              <w:top w:val="nil"/>
              <w:left w:val="single" w:sz="4" w:space="0" w:color="auto"/>
              <w:bottom w:val="single" w:sz="4" w:space="0" w:color="auto"/>
              <w:right w:val="single" w:sz="4" w:space="0" w:color="auto"/>
            </w:tcBorders>
            <w:shd w:val="clear" w:color="auto" w:fill="auto"/>
          </w:tcPr>
          <w:p w14:paraId="1861F3D9"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D08</w:t>
            </w:r>
          </w:p>
        </w:tc>
        <w:tc>
          <w:tcPr>
            <w:tcW w:w="1276" w:type="dxa"/>
            <w:tcBorders>
              <w:top w:val="nil"/>
              <w:left w:val="nil"/>
              <w:bottom w:val="single" w:sz="4" w:space="0" w:color="auto"/>
              <w:right w:val="single" w:sz="4" w:space="0" w:color="auto"/>
            </w:tcBorders>
            <w:shd w:val="clear" w:color="auto" w:fill="auto"/>
          </w:tcPr>
          <w:p w14:paraId="00D4836F"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本月末余额</w:t>
            </w:r>
          </w:p>
        </w:tc>
        <w:tc>
          <w:tcPr>
            <w:tcW w:w="3260" w:type="dxa"/>
            <w:tcBorders>
              <w:top w:val="nil"/>
              <w:left w:val="nil"/>
              <w:bottom w:val="single" w:sz="4" w:space="0" w:color="auto"/>
              <w:right w:val="single" w:sz="4" w:space="0" w:color="auto"/>
            </w:tcBorders>
            <w:shd w:val="clear" w:color="auto" w:fill="auto"/>
          </w:tcPr>
          <w:p w14:paraId="73C2E441"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指本月末对非居民应付款预收款、先收款等的账面余额。</w:t>
            </w:r>
          </w:p>
        </w:tc>
        <w:tc>
          <w:tcPr>
            <w:tcW w:w="3544" w:type="dxa"/>
            <w:tcBorders>
              <w:top w:val="nil"/>
              <w:left w:val="nil"/>
              <w:bottom w:val="single" w:sz="4" w:space="0" w:color="auto"/>
              <w:right w:val="single" w:sz="4" w:space="0" w:color="auto"/>
            </w:tcBorders>
            <w:shd w:val="clear" w:color="auto" w:fill="auto"/>
          </w:tcPr>
          <w:p w14:paraId="16BB94E4"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指本月末对非居民应付（预收）款项的账面余额。</w:t>
            </w:r>
          </w:p>
        </w:tc>
      </w:tr>
      <w:tr w:rsidR="00A052DC" w14:paraId="5C0A1BA7" w14:textId="77777777">
        <w:trPr>
          <w:trHeight w:val="20"/>
          <w:jc w:val="center"/>
        </w:trPr>
        <w:tc>
          <w:tcPr>
            <w:tcW w:w="851" w:type="dxa"/>
            <w:tcBorders>
              <w:top w:val="nil"/>
              <w:left w:val="single" w:sz="4" w:space="0" w:color="auto"/>
              <w:bottom w:val="single" w:sz="4" w:space="0" w:color="auto"/>
              <w:right w:val="single" w:sz="4" w:space="0" w:color="auto"/>
            </w:tcBorders>
            <w:shd w:val="clear" w:color="auto" w:fill="auto"/>
          </w:tcPr>
          <w:p w14:paraId="34B1F893"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D08</w:t>
            </w:r>
          </w:p>
        </w:tc>
        <w:tc>
          <w:tcPr>
            <w:tcW w:w="1276" w:type="dxa"/>
            <w:tcBorders>
              <w:top w:val="nil"/>
              <w:left w:val="nil"/>
              <w:bottom w:val="single" w:sz="4" w:space="0" w:color="auto"/>
              <w:right w:val="single" w:sz="4" w:space="0" w:color="auto"/>
            </w:tcBorders>
            <w:shd w:val="clear" w:color="auto" w:fill="auto"/>
          </w:tcPr>
          <w:p w14:paraId="2A99E829"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本月非交易变动</w:t>
            </w:r>
          </w:p>
        </w:tc>
        <w:tc>
          <w:tcPr>
            <w:tcW w:w="3260" w:type="dxa"/>
            <w:tcBorders>
              <w:top w:val="nil"/>
              <w:left w:val="nil"/>
              <w:bottom w:val="single" w:sz="4" w:space="0" w:color="auto"/>
              <w:right w:val="single" w:sz="4" w:space="0" w:color="auto"/>
            </w:tcBorders>
            <w:shd w:val="clear" w:color="auto" w:fill="auto"/>
          </w:tcPr>
          <w:p w14:paraId="6D6C2EAE"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指因重新分类以及所涉主体居民地位改变等因素导致本机构对非居民应付款、预收款、先收款等变动的净额。</w:t>
            </w:r>
          </w:p>
        </w:tc>
        <w:tc>
          <w:tcPr>
            <w:tcW w:w="3544" w:type="dxa"/>
            <w:tcBorders>
              <w:top w:val="nil"/>
              <w:left w:val="nil"/>
              <w:bottom w:val="single" w:sz="4" w:space="0" w:color="auto"/>
              <w:right w:val="single" w:sz="4" w:space="0" w:color="auto"/>
            </w:tcBorders>
            <w:shd w:val="clear" w:color="auto" w:fill="auto"/>
          </w:tcPr>
          <w:p w14:paraId="6A47B57B"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指因重新分类以及所涉主体居民地位改变等因素导致本机构对非居民应付（预收）款项变动的净额。</w:t>
            </w:r>
          </w:p>
        </w:tc>
      </w:tr>
      <w:tr w:rsidR="00A052DC" w14:paraId="616A2D28" w14:textId="77777777">
        <w:trPr>
          <w:trHeight w:val="20"/>
          <w:jc w:val="center"/>
        </w:trPr>
        <w:tc>
          <w:tcPr>
            <w:tcW w:w="851" w:type="dxa"/>
            <w:tcBorders>
              <w:top w:val="nil"/>
              <w:left w:val="single" w:sz="4" w:space="0" w:color="auto"/>
              <w:bottom w:val="single" w:sz="4" w:space="0" w:color="auto"/>
              <w:right w:val="single" w:sz="4" w:space="0" w:color="auto"/>
            </w:tcBorders>
            <w:shd w:val="clear" w:color="auto" w:fill="auto"/>
          </w:tcPr>
          <w:p w14:paraId="0AD3CC0F"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D08</w:t>
            </w:r>
          </w:p>
        </w:tc>
        <w:tc>
          <w:tcPr>
            <w:tcW w:w="1276" w:type="dxa"/>
            <w:tcBorders>
              <w:top w:val="nil"/>
              <w:left w:val="nil"/>
              <w:bottom w:val="single" w:sz="4" w:space="0" w:color="auto"/>
              <w:right w:val="single" w:sz="4" w:space="0" w:color="auto"/>
            </w:tcBorders>
            <w:shd w:val="clear" w:color="auto" w:fill="auto"/>
          </w:tcPr>
          <w:p w14:paraId="7A480E9F"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本月净发生额</w:t>
            </w:r>
          </w:p>
        </w:tc>
        <w:tc>
          <w:tcPr>
            <w:tcW w:w="3260" w:type="dxa"/>
            <w:tcBorders>
              <w:top w:val="nil"/>
              <w:left w:val="nil"/>
              <w:bottom w:val="single" w:sz="4" w:space="0" w:color="auto"/>
              <w:right w:val="single" w:sz="4" w:space="0" w:color="auto"/>
            </w:tcBorders>
            <w:shd w:val="clear" w:color="auto" w:fill="auto"/>
          </w:tcPr>
          <w:p w14:paraId="3965EC4A"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指本月对非居民应付款项的净发生额（应付增加</w:t>
            </w:r>
            <w:r>
              <w:rPr>
                <w:rFonts w:ascii="黑体" w:eastAsia="黑体" w:hAnsi="黑体" w:cs="宋体"/>
                <w:color w:val="000000"/>
                <w:kern w:val="0"/>
                <w:sz w:val="20"/>
                <w:szCs w:val="20"/>
              </w:rPr>
              <w:t>-应付偿还），正值代表负债的增加，负值代表负债的减少。也适用于预收款、先收款等。</w:t>
            </w:r>
          </w:p>
        </w:tc>
        <w:tc>
          <w:tcPr>
            <w:tcW w:w="3544" w:type="dxa"/>
            <w:tcBorders>
              <w:top w:val="nil"/>
              <w:left w:val="nil"/>
              <w:bottom w:val="single" w:sz="4" w:space="0" w:color="auto"/>
              <w:right w:val="single" w:sz="4" w:space="0" w:color="auto"/>
            </w:tcBorders>
            <w:shd w:val="clear" w:color="auto" w:fill="auto"/>
          </w:tcPr>
          <w:p w14:paraId="1626968C"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指本月对非居民应付（预收）款项的净发生额，正值代表负债的增加，负值代表负债的减少。</w:t>
            </w:r>
          </w:p>
        </w:tc>
      </w:tr>
      <w:tr w:rsidR="00A052DC" w14:paraId="1A0F0898" w14:textId="77777777">
        <w:trPr>
          <w:trHeight w:val="20"/>
          <w:jc w:val="center"/>
        </w:trPr>
        <w:tc>
          <w:tcPr>
            <w:tcW w:w="851" w:type="dxa"/>
            <w:tcBorders>
              <w:top w:val="nil"/>
              <w:left w:val="single" w:sz="4" w:space="0" w:color="auto"/>
              <w:bottom w:val="single" w:sz="4" w:space="0" w:color="auto"/>
              <w:right w:val="single" w:sz="4" w:space="0" w:color="auto"/>
            </w:tcBorders>
            <w:shd w:val="clear" w:color="auto" w:fill="auto"/>
          </w:tcPr>
          <w:p w14:paraId="41534F7E"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E01</w:t>
            </w:r>
          </w:p>
        </w:tc>
        <w:tc>
          <w:tcPr>
            <w:tcW w:w="1276" w:type="dxa"/>
            <w:tcBorders>
              <w:top w:val="nil"/>
              <w:left w:val="nil"/>
              <w:bottom w:val="single" w:sz="4" w:space="0" w:color="auto"/>
              <w:right w:val="single" w:sz="4" w:space="0" w:color="auto"/>
            </w:tcBorders>
            <w:shd w:val="clear" w:color="auto" w:fill="auto"/>
          </w:tcPr>
          <w:p w14:paraId="341D6732"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交易对方国家</w:t>
            </w:r>
            <w:r>
              <w:rPr>
                <w:rFonts w:ascii="黑体" w:eastAsia="黑体" w:hAnsi="黑体" w:cs="宋体"/>
                <w:color w:val="000000"/>
                <w:kern w:val="0"/>
                <w:sz w:val="20"/>
                <w:szCs w:val="20"/>
              </w:rPr>
              <w:t>/地区</w:t>
            </w:r>
          </w:p>
        </w:tc>
        <w:tc>
          <w:tcPr>
            <w:tcW w:w="3260" w:type="dxa"/>
            <w:tcBorders>
              <w:top w:val="nil"/>
              <w:left w:val="nil"/>
              <w:bottom w:val="single" w:sz="4" w:space="0" w:color="auto"/>
              <w:right w:val="single" w:sz="4" w:space="0" w:color="auto"/>
            </w:tcBorders>
            <w:shd w:val="clear" w:color="auto" w:fill="auto"/>
          </w:tcPr>
          <w:p w14:paraId="670CBB82"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填写交易对手国别，见国家和地区代码表。</w:t>
            </w:r>
          </w:p>
        </w:tc>
        <w:tc>
          <w:tcPr>
            <w:tcW w:w="3544" w:type="dxa"/>
            <w:tcBorders>
              <w:top w:val="nil"/>
              <w:left w:val="nil"/>
              <w:bottom w:val="single" w:sz="4" w:space="0" w:color="auto"/>
              <w:right w:val="single" w:sz="4" w:space="0" w:color="auto"/>
            </w:tcBorders>
            <w:shd w:val="clear" w:color="auto" w:fill="auto"/>
          </w:tcPr>
          <w:p w14:paraId="6E825BF7"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填写本笔交易中交易对方的注册地或常驻（住）国家</w:t>
            </w:r>
            <w:r>
              <w:rPr>
                <w:rFonts w:ascii="黑体" w:eastAsia="黑体" w:hAnsi="黑体" w:cs="宋体"/>
                <w:color w:val="000000"/>
                <w:kern w:val="0"/>
                <w:sz w:val="20"/>
                <w:szCs w:val="20"/>
              </w:rPr>
              <w:t>/地区，而非资金汇入/汇出地的国家/地区。见国家和地区代码表。</w:t>
            </w:r>
          </w:p>
        </w:tc>
      </w:tr>
      <w:tr w:rsidR="00A052DC" w14:paraId="1C2AC68D" w14:textId="77777777">
        <w:trPr>
          <w:trHeight w:val="20"/>
          <w:jc w:val="center"/>
        </w:trPr>
        <w:tc>
          <w:tcPr>
            <w:tcW w:w="851" w:type="dxa"/>
            <w:tcBorders>
              <w:top w:val="nil"/>
              <w:left w:val="single" w:sz="4" w:space="0" w:color="auto"/>
              <w:bottom w:val="single" w:sz="4" w:space="0" w:color="auto"/>
              <w:right w:val="single" w:sz="4" w:space="0" w:color="auto"/>
            </w:tcBorders>
            <w:shd w:val="clear" w:color="auto" w:fill="auto"/>
          </w:tcPr>
          <w:p w14:paraId="4DC97E6B"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E01</w:t>
            </w:r>
          </w:p>
        </w:tc>
        <w:tc>
          <w:tcPr>
            <w:tcW w:w="1276" w:type="dxa"/>
            <w:tcBorders>
              <w:top w:val="nil"/>
              <w:left w:val="nil"/>
              <w:bottom w:val="single" w:sz="4" w:space="0" w:color="auto"/>
              <w:right w:val="single" w:sz="4" w:space="0" w:color="auto"/>
            </w:tcBorders>
            <w:shd w:val="clear" w:color="auto" w:fill="auto"/>
          </w:tcPr>
          <w:p w14:paraId="4603A87C"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收入金额</w:t>
            </w:r>
          </w:p>
        </w:tc>
        <w:tc>
          <w:tcPr>
            <w:tcW w:w="3260" w:type="dxa"/>
            <w:tcBorders>
              <w:top w:val="nil"/>
              <w:left w:val="nil"/>
              <w:bottom w:val="single" w:sz="4" w:space="0" w:color="auto"/>
              <w:right w:val="single" w:sz="4" w:space="0" w:color="auto"/>
            </w:tcBorders>
            <w:shd w:val="clear" w:color="auto" w:fill="auto"/>
          </w:tcPr>
          <w:p w14:paraId="1563802E"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填写相关涉外收入的折美元金额。该项下填写的金额为未被跨境扣税之前的金额。</w:t>
            </w:r>
          </w:p>
        </w:tc>
        <w:tc>
          <w:tcPr>
            <w:tcW w:w="3544" w:type="dxa"/>
            <w:tcBorders>
              <w:top w:val="nil"/>
              <w:left w:val="nil"/>
              <w:bottom w:val="single" w:sz="4" w:space="0" w:color="auto"/>
              <w:right w:val="single" w:sz="4" w:space="0" w:color="auto"/>
            </w:tcBorders>
            <w:shd w:val="clear" w:color="auto" w:fill="auto"/>
          </w:tcPr>
          <w:p w14:paraId="2539241A"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填写相关涉外收入的金额。该项下填写的金额为未被跨境扣税之前的金额。</w:t>
            </w:r>
          </w:p>
        </w:tc>
      </w:tr>
      <w:tr w:rsidR="00A052DC" w14:paraId="74E0BD7D" w14:textId="77777777">
        <w:trPr>
          <w:trHeight w:val="20"/>
          <w:jc w:val="center"/>
        </w:trPr>
        <w:tc>
          <w:tcPr>
            <w:tcW w:w="851" w:type="dxa"/>
            <w:tcBorders>
              <w:top w:val="nil"/>
              <w:left w:val="single" w:sz="4" w:space="0" w:color="auto"/>
              <w:bottom w:val="single" w:sz="4" w:space="0" w:color="auto"/>
              <w:right w:val="single" w:sz="4" w:space="0" w:color="auto"/>
            </w:tcBorders>
            <w:shd w:val="clear" w:color="auto" w:fill="auto"/>
          </w:tcPr>
          <w:p w14:paraId="300FBF2E"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E01</w:t>
            </w:r>
          </w:p>
        </w:tc>
        <w:tc>
          <w:tcPr>
            <w:tcW w:w="1276" w:type="dxa"/>
            <w:tcBorders>
              <w:top w:val="nil"/>
              <w:left w:val="nil"/>
              <w:bottom w:val="single" w:sz="4" w:space="0" w:color="auto"/>
              <w:right w:val="single" w:sz="4" w:space="0" w:color="auto"/>
            </w:tcBorders>
            <w:shd w:val="clear" w:color="auto" w:fill="auto"/>
          </w:tcPr>
          <w:p w14:paraId="672604C7"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支出金额</w:t>
            </w:r>
          </w:p>
        </w:tc>
        <w:tc>
          <w:tcPr>
            <w:tcW w:w="3260" w:type="dxa"/>
            <w:tcBorders>
              <w:top w:val="nil"/>
              <w:left w:val="nil"/>
              <w:bottom w:val="single" w:sz="4" w:space="0" w:color="auto"/>
              <w:right w:val="single" w:sz="4" w:space="0" w:color="auto"/>
            </w:tcBorders>
            <w:shd w:val="clear" w:color="auto" w:fill="auto"/>
          </w:tcPr>
          <w:p w14:paraId="3892218E"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填写相关涉外支出的折美元金额。该项下填写的金额为未被跨境扣税之前的金额。</w:t>
            </w:r>
          </w:p>
        </w:tc>
        <w:tc>
          <w:tcPr>
            <w:tcW w:w="3544" w:type="dxa"/>
            <w:tcBorders>
              <w:top w:val="nil"/>
              <w:left w:val="nil"/>
              <w:bottom w:val="single" w:sz="4" w:space="0" w:color="auto"/>
              <w:right w:val="single" w:sz="4" w:space="0" w:color="auto"/>
            </w:tcBorders>
            <w:shd w:val="clear" w:color="auto" w:fill="auto"/>
          </w:tcPr>
          <w:p w14:paraId="591E2791"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填写相关涉外支出的金额。该项下填写的金额为未被跨境扣税之前的金额。</w:t>
            </w:r>
          </w:p>
        </w:tc>
      </w:tr>
      <w:tr w:rsidR="00A052DC" w14:paraId="1C93DDD4" w14:textId="77777777">
        <w:trPr>
          <w:trHeight w:val="20"/>
          <w:jc w:val="center"/>
        </w:trPr>
        <w:tc>
          <w:tcPr>
            <w:tcW w:w="851" w:type="dxa"/>
            <w:tcBorders>
              <w:top w:val="nil"/>
              <w:left w:val="single" w:sz="4" w:space="0" w:color="auto"/>
              <w:bottom w:val="single" w:sz="4" w:space="0" w:color="auto"/>
              <w:right w:val="single" w:sz="4" w:space="0" w:color="auto"/>
            </w:tcBorders>
            <w:shd w:val="clear" w:color="auto" w:fill="auto"/>
          </w:tcPr>
          <w:p w14:paraId="6CD2601D"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G01</w:t>
            </w:r>
          </w:p>
        </w:tc>
        <w:tc>
          <w:tcPr>
            <w:tcW w:w="1276" w:type="dxa"/>
            <w:tcBorders>
              <w:top w:val="nil"/>
              <w:left w:val="nil"/>
              <w:bottom w:val="single" w:sz="4" w:space="0" w:color="auto"/>
              <w:right w:val="single" w:sz="4" w:space="0" w:color="auto"/>
            </w:tcBorders>
            <w:shd w:val="clear" w:color="auto" w:fill="auto"/>
          </w:tcPr>
          <w:p w14:paraId="5DBE348A"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发卡机构名称</w:t>
            </w:r>
          </w:p>
        </w:tc>
        <w:tc>
          <w:tcPr>
            <w:tcW w:w="3260" w:type="dxa"/>
            <w:tcBorders>
              <w:top w:val="nil"/>
              <w:left w:val="nil"/>
              <w:bottom w:val="single" w:sz="4" w:space="0" w:color="auto"/>
              <w:right w:val="single" w:sz="4" w:space="0" w:color="auto"/>
            </w:tcBorders>
            <w:shd w:val="clear" w:color="auto" w:fill="auto"/>
          </w:tcPr>
          <w:p w14:paraId="64F283A6"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指相关银行卡（含贷记卡、准贷记卡和借记卡）发行机构名称。仅限银联填报使用，境内银行不需填报。</w:t>
            </w:r>
          </w:p>
        </w:tc>
        <w:tc>
          <w:tcPr>
            <w:tcW w:w="3544" w:type="dxa"/>
            <w:tcBorders>
              <w:top w:val="nil"/>
              <w:left w:val="nil"/>
              <w:bottom w:val="single" w:sz="4" w:space="0" w:color="auto"/>
              <w:right w:val="single" w:sz="4" w:space="0" w:color="auto"/>
            </w:tcBorders>
            <w:shd w:val="clear" w:color="auto" w:fill="auto"/>
          </w:tcPr>
          <w:p w14:paraId="46B15843"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指相关银行卡（含贷记卡、准贷记卡和借记卡）发行机构名称。仅限银联和连通公司填报使用，境内银行不需填报。</w:t>
            </w:r>
          </w:p>
        </w:tc>
      </w:tr>
      <w:tr w:rsidR="00A052DC" w14:paraId="6444BD6C" w14:textId="77777777">
        <w:trPr>
          <w:trHeight w:val="20"/>
          <w:jc w:val="center"/>
        </w:trPr>
        <w:tc>
          <w:tcPr>
            <w:tcW w:w="851" w:type="dxa"/>
            <w:tcBorders>
              <w:top w:val="nil"/>
              <w:left w:val="single" w:sz="4" w:space="0" w:color="auto"/>
              <w:bottom w:val="single" w:sz="4" w:space="0" w:color="auto"/>
              <w:right w:val="single" w:sz="4" w:space="0" w:color="auto"/>
            </w:tcBorders>
            <w:shd w:val="clear" w:color="auto" w:fill="auto"/>
          </w:tcPr>
          <w:p w14:paraId="6FB1DF89"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G01、G02</w:t>
            </w:r>
          </w:p>
        </w:tc>
        <w:tc>
          <w:tcPr>
            <w:tcW w:w="1276" w:type="dxa"/>
            <w:tcBorders>
              <w:top w:val="nil"/>
              <w:left w:val="nil"/>
              <w:bottom w:val="single" w:sz="4" w:space="0" w:color="auto"/>
              <w:right w:val="single" w:sz="4" w:space="0" w:color="auto"/>
            </w:tcBorders>
            <w:shd w:val="clear" w:color="auto" w:fill="auto"/>
          </w:tcPr>
          <w:p w14:paraId="15D97C97"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银行卡清算渠道</w:t>
            </w:r>
          </w:p>
        </w:tc>
        <w:tc>
          <w:tcPr>
            <w:tcW w:w="3260" w:type="dxa"/>
            <w:tcBorders>
              <w:top w:val="nil"/>
              <w:left w:val="nil"/>
              <w:bottom w:val="single" w:sz="4" w:space="0" w:color="auto"/>
              <w:right w:val="single" w:sz="4" w:space="0" w:color="auto"/>
            </w:tcBorders>
            <w:shd w:val="clear" w:color="auto" w:fill="auto"/>
          </w:tcPr>
          <w:p w14:paraId="538D5D09"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是指银行卡所使用的卡组织清算渠道或其他清算渠道，请按以下序号填列：</w:t>
            </w:r>
            <w:r>
              <w:rPr>
                <w:rFonts w:ascii="黑体" w:eastAsia="黑体" w:hAnsi="黑体" w:cs="宋体"/>
                <w:color w:val="000000"/>
                <w:kern w:val="0"/>
                <w:sz w:val="20"/>
                <w:szCs w:val="20"/>
              </w:rPr>
              <w:t>1-银联；2-威士（Visa）；3-万事达（Mastercard）；4-美国运通（AMERICAN EXPRESS）；5-大来（DINERS CLUB）；6-吉士美（JCB）；7-本行清算；8-其他。其中，通过1-银联渠道清算以及由其代境内银行收单的资金由中国银联统一填报，境内其他收单机构不需填报。境内其他收单机构仅需填写除银联清算或收单以外的其他渠道的数据。</w:t>
            </w:r>
          </w:p>
        </w:tc>
        <w:tc>
          <w:tcPr>
            <w:tcW w:w="3544" w:type="dxa"/>
            <w:tcBorders>
              <w:top w:val="nil"/>
              <w:left w:val="nil"/>
              <w:bottom w:val="single" w:sz="4" w:space="0" w:color="auto"/>
              <w:right w:val="single" w:sz="4" w:space="0" w:color="auto"/>
            </w:tcBorders>
            <w:shd w:val="clear" w:color="auto" w:fill="auto"/>
          </w:tcPr>
          <w:p w14:paraId="7136F43D"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指银行卡所使用的信用卡组织清算渠道或其他清算渠道，请按以下序号填列：</w:t>
            </w:r>
            <w:r>
              <w:rPr>
                <w:rFonts w:ascii="黑体" w:eastAsia="黑体" w:hAnsi="黑体" w:cs="宋体"/>
                <w:color w:val="000000"/>
                <w:kern w:val="0"/>
                <w:sz w:val="20"/>
                <w:szCs w:val="20"/>
              </w:rPr>
              <w:t>1-银联；2-威士（Visa）；3-万事达（Mastercard）；4-美国运通（AMERICAN EXPRESS）；5-大来（DINERS CLUB）；6-吉士美（JCB）；7-发卡行自行清算；8-其他。其中，通过1-银联渠道清算的资金由中国银联统一填报、4-美国运通（AMERICAN EXPRESS）渠道下通过连通（杭州）技术服务有限公司清算的资金由连通公司统一填报，境内发卡机构</w:t>
            </w:r>
            <w:r>
              <w:rPr>
                <w:rFonts w:ascii="黑体" w:eastAsia="黑体" w:hAnsi="黑体" w:cs="宋体" w:hint="eastAsia"/>
                <w:color w:val="000000"/>
                <w:kern w:val="0"/>
                <w:sz w:val="20"/>
                <w:szCs w:val="20"/>
              </w:rPr>
              <w:t>或境内收单机构</w:t>
            </w:r>
            <w:r>
              <w:rPr>
                <w:rFonts w:ascii="黑体" w:eastAsia="黑体" w:hAnsi="黑体" w:cs="宋体"/>
                <w:color w:val="000000"/>
                <w:kern w:val="0"/>
                <w:sz w:val="20"/>
                <w:szCs w:val="20"/>
              </w:rPr>
              <w:t>不需填报。境内发卡机构</w:t>
            </w:r>
            <w:r>
              <w:rPr>
                <w:rFonts w:ascii="黑体" w:eastAsia="黑体" w:hAnsi="黑体" w:cs="宋体" w:hint="eastAsia"/>
                <w:color w:val="000000"/>
                <w:kern w:val="0"/>
                <w:sz w:val="20"/>
                <w:szCs w:val="20"/>
              </w:rPr>
              <w:t>或境内收单机构</w:t>
            </w:r>
            <w:r>
              <w:rPr>
                <w:rFonts w:ascii="黑体" w:eastAsia="黑体" w:hAnsi="黑体" w:cs="宋体"/>
                <w:color w:val="000000"/>
                <w:kern w:val="0"/>
                <w:sz w:val="20"/>
                <w:szCs w:val="20"/>
              </w:rPr>
              <w:t>仅需填写除银联和连通公司以外清算渠道的资金。</w:t>
            </w:r>
          </w:p>
        </w:tc>
      </w:tr>
      <w:tr w:rsidR="00A052DC" w14:paraId="3CB26E22" w14:textId="77777777">
        <w:trPr>
          <w:trHeight w:val="20"/>
          <w:jc w:val="center"/>
        </w:trPr>
        <w:tc>
          <w:tcPr>
            <w:tcW w:w="851" w:type="dxa"/>
            <w:tcBorders>
              <w:top w:val="nil"/>
              <w:left w:val="single" w:sz="4" w:space="0" w:color="auto"/>
              <w:bottom w:val="single" w:sz="4" w:space="0" w:color="auto"/>
              <w:right w:val="single" w:sz="4" w:space="0" w:color="auto"/>
            </w:tcBorders>
            <w:shd w:val="clear" w:color="auto" w:fill="auto"/>
          </w:tcPr>
          <w:p w14:paraId="3C23BC6A"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G01</w:t>
            </w:r>
          </w:p>
        </w:tc>
        <w:tc>
          <w:tcPr>
            <w:tcW w:w="1276" w:type="dxa"/>
            <w:tcBorders>
              <w:top w:val="nil"/>
              <w:left w:val="nil"/>
              <w:bottom w:val="single" w:sz="4" w:space="0" w:color="auto"/>
              <w:right w:val="single" w:sz="4" w:space="0" w:color="auto"/>
            </w:tcBorders>
            <w:shd w:val="clear" w:color="auto" w:fill="auto"/>
          </w:tcPr>
          <w:p w14:paraId="420002BA"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持卡人是否为中国居民</w:t>
            </w:r>
          </w:p>
        </w:tc>
        <w:tc>
          <w:tcPr>
            <w:tcW w:w="3260" w:type="dxa"/>
            <w:tcBorders>
              <w:top w:val="nil"/>
              <w:left w:val="nil"/>
              <w:bottom w:val="single" w:sz="4" w:space="0" w:color="auto"/>
              <w:right w:val="single" w:sz="4" w:space="0" w:color="auto"/>
            </w:tcBorders>
            <w:shd w:val="clear" w:color="auto" w:fill="auto"/>
          </w:tcPr>
          <w:p w14:paraId="157579B5"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按持卡人是否为中国居民区分为：</w:t>
            </w:r>
            <w:r>
              <w:rPr>
                <w:rFonts w:ascii="黑体" w:eastAsia="黑体" w:hAnsi="黑体" w:cs="宋体"/>
                <w:color w:val="000000"/>
                <w:kern w:val="0"/>
                <w:sz w:val="20"/>
                <w:szCs w:val="20"/>
              </w:rPr>
              <w:t>1-中国居民；2-非中国居民。其中，非中国居民包括外国持卡人以及中国香港、澳门、台湾地区的持卡人。附属卡持卡人是否为中国居民按照主卡持卡人是否为中国居民确定。对于无法识别国家/地区的持卡人，统一视为中国居民。</w:t>
            </w:r>
          </w:p>
        </w:tc>
        <w:tc>
          <w:tcPr>
            <w:tcW w:w="3544" w:type="dxa"/>
            <w:tcBorders>
              <w:top w:val="nil"/>
              <w:left w:val="nil"/>
              <w:bottom w:val="single" w:sz="4" w:space="0" w:color="auto"/>
              <w:right w:val="single" w:sz="4" w:space="0" w:color="auto"/>
            </w:tcBorders>
            <w:shd w:val="clear" w:color="auto" w:fill="auto"/>
          </w:tcPr>
          <w:p w14:paraId="56CAC9F4"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按持卡人是否为中国居民区分为：</w:t>
            </w:r>
            <w:r>
              <w:rPr>
                <w:rFonts w:ascii="黑体" w:eastAsia="黑体" w:hAnsi="黑体" w:cs="宋体"/>
                <w:color w:val="000000"/>
                <w:kern w:val="0"/>
                <w:sz w:val="20"/>
                <w:szCs w:val="20"/>
              </w:rPr>
              <w:t>1-中国居民；2-非中国居民。其中，非中国居民包括外国持卡人以及中国香港、中国澳门、中国台湾的持卡人。附属卡持卡人是否为中国居民按照主卡持卡人是否为中国居民确定。对于无法识别国家/地区的持卡人，统一视为中国居民。</w:t>
            </w:r>
          </w:p>
        </w:tc>
      </w:tr>
      <w:tr w:rsidR="00A052DC" w14:paraId="01D4C990" w14:textId="77777777">
        <w:trPr>
          <w:trHeight w:val="20"/>
          <w:jc w:val="center"/>
        </w:trPr>
        <w:tc>
          <w:tcPr>
            <w:tcW w:w="851" w:type="dxa"/>
            <w:tcBorders>
              <w:top w:val="nil"/>
              <w:left w:val="single" w:sz="4" w:space="0" w:color="auto"/>
              <w:bottom w:val="single" w:sz="4" w:space="0" w:color="auto"/>
              <w:right w:val="single" w:sz="4" w:space="0" w:color="auto"/>
            </w:tcBorders>
            <w:shd w:val="clear" w:color="auto" w:fill="auto"/>
          </w:tcPr>
          <w:p w14:paraId="2437D5AF"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G01</w:t>
            </w:r>
          </w:p>
        </w:tc>
        <w:tc>
          <w:tcPr>
            <w:tcW w:w="1276" w:type="dxa"/>
            <w:tcBorders>
              <w:top w:val="nil"/>
              <w:left w:val="nil"/>
              <w:bottom w:val="single" w:sz="4" w:space="0" w:color="auto"/>
              <w:right w:val="single" w:sz="4" w:space="0" w:color="auto"/>
            </w:tcBorders>
            <w:shd w:val="clear" w:color="auto" w:fill="auto"/>
          </w:tcPr>
          <w:p w14:paraId="0D0D716B"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交易方式</w:t>
            </w:r>
          </w:p>
        </w:tc>
        <w:tc>
          <w:tcPr>
            <w:tcW w:w="3260" w:type="dxa"/>
            <w:tcBorders>
              <w:top w:val="nil"/>
              <w:left w:val="nil"/>
              <w:bottom w:val="single" w:sz="4" w:space="0" w:color="auto"/>
              <w:right w:val="single" w:sz="4" w:space="0" w:color="auto"/>
            </w:tcBorders>
            <w:shd w:val="clear" w:color="auto" w:fill="auto"/>
          </w:tcPr>
          <w:p w14:paraId="57C4DD5A"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交易方式：请选择</w:t>
            </w:r>
            <w:r>
              <w:rPr>
                <w:rFonts w:ascii="黑体" w:eastAsia="黑体" w:hAnsi="黑体" w:cs="宋体"/>
                <w:color w:val="000000"/>
                <w:kern w:val="0"/>
                <w:sz w:val="20"/>
                <w:szCs w:val="20"/>
              </w:rPr>
              <w:t>1-线下；2-线上。其中，“线下”是指通过POS和ATM机进行的交易；其他均归为“线上”。</w:t>
            </w:r>
          </w:p>
        </w:tc>
        <w:tc>
          <w:tcPr>
            <w:tcW w:w="3544" w:type="dxa"/>
            <w:tcBorders>
              <w:top w:val="nil"/>
              <w:left w:val="nil"/>
              <w:bottom w:val="single" w:sz="4" w:space="0" w:color="auto"/>
              <w:right w:val="single" w:sz="4" w:space="0" w:color="auto"/>
            </w:tcBorders>
            <w:shd w:val="clear" w:color="auto" w:fill="auto"/>
          </w:tcPr>
          <w:p w14:paraId="366CAA7A"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交易方式：请选择</w:t>
            </w:r>
            <w:r>
              <w:rPr>
                <w:rFonts w:ascii="黑体" w:eastAsia="黑体" w:hAnsi="黑体" w:cs="宋体"/>
                <w:color w:val="000000"/>
                <w:kern w:val="0"/>
                <w:sz w:val="20"/>
                <w:szCs w:val="20"/>
              </w:rPr>
              <w:t>1-线下；2-线上。其中，“线下”是指通过POS机、ATM机和银行柜台进行的交易；其他均归为“线上”。</w:t>
            </w:r>
          </w:p>
        </w:tc>
      </w:tr>
      <w:tr w:rsidR="00A052DC" w14:paraId="3C817F9C" w14:textId="77777777">
        <w:trPr>
          <w:trHeight w:val="20"/>
          <w:jc w:val="center"/>
        </w:trPr>
        <w:tc>
          <w:tcPr>
            <w:tcW w:w="851" w:type="dxa"/>
            <w:tcBorders>
              <w:top w:val="nil"/>
              <w:left w:val="single" w:sz="4" w:space="0" w:color="auto"/>
              <w:bottom w:val="single" w:sz="4" w:space="0" w:color="auto"/>
              <w:right w:val="single" w:sz="4" w:space="0" w:color="auto"/>
            </w:tcBorders>
            <w:shd w:val="clear" w:color="auto" w:fill="auto"/>
          </w:tcPr>
          <w:p w14:paraId="5B45587A"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G02</w:t>
            </w:r>
          </w:p>
        </w:tc>
        <w:tc>
          <w:tcPr>
            <w:tcW w:w="1276" w:type="dxa"/>
            <w:tcBorders>
              <w:top w:val="nil"/>
              <w:left w:val="nil"/>
              <w:bottom w:val="single" w:sz="4" w:space="0" w:color="auto"/>
              <w:right w:val="single" w:sz="4" w:space="0" w:color="auto"/>
            </w:tcBorders>
            <w:shd w:val="clear" w:color="auto" w:fill="auto"/>
          </w:tcPr>
          <w:p w14:paraId="0E601EE3"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发卡行所属国家</w:t>
            </w:r>
            <w:r>
              <w:rPr>
                <w:rFonts w:ascii="黑体" w:eastAsia="黑体" w:hAnsi="黑体" w:cs="宋体"/>
                <w:color w:val="000000"/>
                <w:kern w:val="0"/>
                <w:sz w:val="20"/>
                <w:szCs w:val="20"/>
              </w:rPr>
              <w:t>/地区</w:t>
            </w:r>
          </w:p>
        </w:tc>
        <w:tc>
          <w:tcPr>
            <w:tcW w:w="3260" w:type="dxa"/>
            <w:tcBorders>
              <w:top w:val="nil"/>
              <w:left w:val="nil"/>
              <w:bottom w:val="single" w:sz="4" w:space="0" w:color="auto"/>
              <w:right w:val="single" w:sz="4" w:space="0" w:color="auto"/>
            </w:tcBorders>
            <w:shd w:val="clear" w:color="auto" w:fill="auto"/>
          </w:tcPr>
          <w:p w14:paraId="188D976D"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见国家和地区代码表，发卡行国家</w:t>
            </w:r>
            <w:r>
              <w:rPr>
                <w:rFonts w:ascii="黑体" w:eastAsia="黑体" w:hAnsi="黑体" w:cs="宋体"/>
                <w:color w:val="000000"/>
                <w:kern w:val="0"/>
                <w:sz w:val="20"/>
                <w:szCs w:val="20"/>
              </w:rPr>
              <w:t>/地区是指境外发卡行的注册或常驻国家/地区。如发卡行常驻国家/地区为中国香港、澳门和台湾地区，应分别填列中国香港、澳门和台湾。</w:t>
            </w:r>
          </w:p>
        </w:tc>
        <w:tc>
          <w:tcPr>
            <w:tcW w:w="3544" w:type="dxa"/>
            <w:tcBorders>
              <w:top w:val="nil"/>
              <w:left w:val="nil"/>
              <w:bottom w:val="single" w:sz="4" w:space="0" w:color="auto"/>
              <w:right w:val="single" w:sz="4" w:space="0" w:color="auto"/>
            </w:tcBorders>
            <w:shd w:val="clear" w:color="auto" w:fill="auto"/>
          </w:tcPr>
          <w:p w14:paraId="0AF6E37A"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见国家和地区代码表，发卡行国家</w:t>
            </w:r>
            <w:r>
              <w:rPr>
                <w:rFonts w:ascii="黑体" w:eastAsia="黑体" w:hAnsi="黑体" w:cs="宋体"/>
                <w:color w:val="000000"/>
                <w:kern w:val="0"/>
                <w:sz w:val="20"/>
                <w:szCs w:val="20"/>
              </w:rPr>
              <w:t>/地区是指境外发卡行的注册或常驻国家/地区。如发卡行常驻国家/地区为中国香港、中国澳门和中国台湾，应分别填列中国香港、中国澳门和中国台湾。</w:t>
            </w:r>
          </w:p>
        </w:tc>
      </w:tr>
      <w:tr w:rsidR="00A052DC" w14:paraId="2077BCDE" w14:textId="77777777">
        <w:trPr>
          <w:trHeight w:val="20"/>
          <w:jc w:val="center"/>
        </w:trPr>
        <w:tc>
          <w:tcPr>
            <w:tcW w:w="851" w:type="dxa"/>
            <w:tcBorders>
              <w:top w:val="nil"/>
              <w:left w:val="single" w:sz="4" w:space="0" w:color="auto"/>
              <w:bottom w:val="single" w:sz="4" w:space="0" w:color="auto"/>
              <w:right w:val="single" w:sz="4" w:space="0" w:color="auto"/>
            </w:tcBorders>
            <w:shd w:val="clear" w:color="auto" w:fill="auto"/>
          </w:tcPr>
          <w:p w14:paraId="4F0957AA"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G02</w:t>
            </w:r>
          </w:p>
        </w:tc>
        <w:tc>
          <w:tcPr>
            <w:tcW w:w="1276" w:type="dxa"/>
            <w:tcBorders>
              <w:top w:val="nil"/>
              <w:left w:val="nil"/>
              <w:bottom w:val="single" w:sz="4" w:space="0" w:color="auto"/>
              <w:right w:val="single" w:sz="4" w:space="0" w:color="auto"/>
            </w:tcBorders>
            <w:shd w:val="clear" w:color="auto" w:fill="auto"/>
          </w:tcPr>
          <w:p w14:paraId="3475065A"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交易原币</w:t>
            </w:r>
          </w:p>
        </w:tc>
        <w:tc>
          <w:tcPr>
            <w:tcW w:w="3260" w:type="dxa"/>
            <w:tcBorders>
              <w:top w:val="nil"/>
              <w:left w:val="nil"/>
              <w:bottom w:val="single" w:sz="4" w:space="0" w:color="auto"/>
              <w:right w:val="single" w:sz="4" w:space="0" w:color="auto"/>
            </w:tcBorders>
            <w:shd w:val="clear" w:color="auto" w:fill="auto"/>
          </w:tcPr>
          <w:p w14:paraId="08816C43"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见币种代码表，指境外卡持卡人在境内消费或提现的原始币种（即人民币）。</w:t>
            </w:r>
          </w:p>
        </w:tc>
        <w:tc>
          <w:tcPr>
            <w:tcW w:w="3544" w:type="dxa"/>
            <w:tcBorders>
              <w:top w:val="nil"/>
              <w:left w:val="nil"/>
              <w:bottom w:val="single" w:sz="4" w:space="0" w:color="auto"/>
              <w:right w:val="single" w:sz="4" w:space="0" w:color="auto"/>
            </w:tcBorders>
            <w:shd w:val="clear" w:color="auto" w:fill="auto"/>
          </w:tcPr>
          <w:p w14:paraId="6822F757"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见币种代码表，指境外卡持卡人在境内消费或提现的原始币种。</w:t>
            </w:r>
          </w:p>
        </w:tc>
      </w:tr>
      <w:tr w:rsidR="00A052DC" w14:paraId="3A25384D" w14:textId="77777777">
        <w:trPr>
          <w:trHeight w:val="20"/>
          <w:jc w:val="center"/>
        </w:trPr>
        <w:tc>
          <w:tcPr>
            <w:tcW w:w="851" w:type="dxa"/>
            <w:tcBorders>
              <w:top w:val="nil"/>
              <w:left w:val="single" w:sz="4" w:space="0" w:color="auto"/>
              <w:bottom w:val="single" w:sz="4" w:space="0" w:color="auto"/>
              <w:right w:val="single" w:sz="4" w:space="0" w:color="auto"/>
            </w:tcBorders>
            <w:shd w:val="clear" w:color="auto" w:fill="auto"/>
          </w:tcPr>
          <w:p w14:paraId="2C955895"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H01</w:t>
            </w:r>
          </w:p>
        </w:tc>
        <w:tc>
          <w:tcPr>
            <w:tcW w:w="1276" w:type="dxa"/>
            <w:tcBorders>
              <w:top w:val="nil"/>
              <w:left w:val="nil"/>
              <w:bottom w:val="single" w:sz="4" w:space="0" w:color="auto"/>
              <w:right w:val="single" w:sz="4" w:space="0" w:color="auto"/>
            </w:tcBorders>
            <w:shd w:val="clear" w:color="auto" w:fill="auto"/>
          </w:tcPr>
          <w:p w14:paraId="78740DFD"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非居民委托人代码</w:t>
            </w:r>
          </w:p>
        </w:tc>
        <w:tc>
          <w:tcPr>
            <w:tcW w:w="3260" w:type="dxa"/>
            <w:tcBorders>
              <w:top w:val="nil"/>
              <w:left w:val="nil"/>
              <w:bottom w:val="single" w:sz="4" w:space="0" w:color="auto"/>
              <w:right w:val="single" w:sz="4" w:space="0" w:color="auto"/>
            </w:tcBorders>
            <w:shd w:val="clear" w:color="auto" w:fill="auto"/>
          </w:tcPr>
          <w:p w14:paraId="17499627"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指委托金融机构进行托管的非居民（</w:t>
            </w:r>
            <w:r>
              <w:rPr>
                <w:rFonts w:ascii="黑体" w:eastAsia="黑体" w:hAnsi="黑体" w:cs="宋体"/>
                <w:color w:val="000000"/>
                <w:kern w:val="0"/>
                <w:sz w:val="20"/>
                <w:szCs w:val="20"/>
              </w:rPr>
              <w:t>QFII/RQFII机构）的特殊机构代码，即外汇局签发给QFIII/RQFII机构的特殊机构赋码通知书上的特殊机构代码。</w:t>
            </w:r>
          </w:p>
        </w:tc>
        <w:tc>
          <w:tcPr>
            <w:tcW w:w="3544" w:type="dxa"/>
            <w:tcBorders>
              <w:top w:val="nil"/>
              <w:left w:val="nil"/>
              <w:bottom w:val="single" w:sz="4" w:space="0" w:color="auto"/>
              <w:right w:val="single" w:sz="4" w:space="0" w:color="auto"/>
            </w:tcBorders>
            <w:shd w:val="clear" w:color="auto" w:fill="auto"/>
          </w:tcPr>
          <w:p w14:paraId="7D1217BA"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指委托金融机构进行托管的非居民（</w:t>
            </w:r>
            <w:r>
              <w:rPr>
                <w:rFonts w:ascii="黑体" w:eastAsia="黑体" w:hAnsi="黑体" w:cs="宋体"/>
                <w:color w:val="000000"/>
                <w:kern w:val="0"/>
                <w:sz w:val="20"/>
                <w:szCs w:val="20"/>
              </w:rPr>
              <w:t>QFII/RQFII机构）的特殊机构代码，即外汇局签发给QFIII/RQFII机构的特殊机构赋码通知书上的特殊机构代码。对于非QFII/RQFII业务，此项为空</w:t>
            </w:r>
            <w:r>
              <w:rPr>
                <w:rFonts w:ascii="黑体" w:eastAsia="黑体" w:hAnsi="黑体" w:cs="宋体" w:hint="eastAsia"/>
                <w:color w:val="000000"/>
                <w:kern w:val="0"/>
                <w:sz w:val="20"/>
                <w:szCs w:val="20"/>
              </w:rPr>
              <w:t>。</w:t>
            </w:r>
          </w:p>
        </w:tc>
      </w:tr>
      <w:tr w:rsidR="00A052DC" w14:paraId="79A6B501" w14:textId="77777777">
        <w:trPr>
          <w:trHeight w:val="20"/>
          <w:jc w:val="center"/>
        </w:trPr>
        <w:tc>
          <w:tcPr>
            <w:tcW w:w="851" w:type="dxa"/>
            <w:tcBorders>
              <w:top w:val="nil"/>
              <w:left w:val="single" w:sz="4" w:space="0" w:color="auto"/>
              <w:bottom w:val="single" w:sz="4" w:space="0" w:color="auto"/>
              <w:right w:val="single" w:sz="4" w:space="0" w:color="auto"/>
            </w:tcBorders>
            <w:shd w:val="clear" w:color="auto" w:fill="auto"/>
          </w:tcPr>
          <w:p w14:paraId="40EDB405"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H01</w:t>
            </w:r>
          </w:p>
        </w:tc>
        <w:tc>
          <w:tcPr>
            <w:tcW w:w="1276" w:type="dxa"/>
            <w:tcBorders>
              <w:top w:val="nil"/>
              <w:left w:val="nil"/>
              <w:bottom w:val="single" w:sz="4" w:space="0" w:color="auto"/>
              <w:right w:val="single" w:sz="4" w:space="0" w:color="auto"/>
            </w:tcBorders>
            <w:shd w:val="clear" w:color="auto" w:fill="auto"/>
          </w:tcPr>
          <w:p w14:paraId="7A1FF9AE"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业务类型</w:t>
            </w:r>
          </w:p>
        </w:tc>
        <w:tc>
          <w:tcPr>
            <w:tcW w:w="3260" w:type="dxa"/>
            <w:tcBorders>
              <w:top w:val="nil"/>
              <w:left w:val="nil"/>
              <w:bottom w:val="single" w:sz="4" w:space="0" w:color="auto"/>
              <w:right w:val="single" w:sz="4" w:space="0" w:color="auto"/>
            </w:tcBorders>
            <w:shd w:val="clear" w:color="auto" w:fill="auto"/>
          </w:tcPr>
          <w:p w14:paraId="37BA8E8F"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业务类型，包括：</w:t>
            </w:r>
            <w:r>
              <w:rPr>
                <w:rFonts w:ascii="黑体" w:eastAsia="黑体" w:hAnsi="黑体" w:cs="宋体"/>
                <w:color w:val="000000"/>
                <w:kern w:val="0"/>
                <w:sz w:val="20"/>
                <w:szCs w:val="20"/>
              </w:rPr>
              <w:t>1-QFII；2-RQFII；9-其他。</w:t>
            </w:r>
          </w:p>
        </w:tc>
        <w:tc>
          <w:tcPr>
            <w:tcW w:w="3544" w:type="dxa"/>
            <w:tcBorders>
              <w:top w:val="nil"/>
              <w:left w:val="nil"/>
              <w:bottom w:val="single" w:sz="4" w:space="0" w:color="auto"/>
              <w:right w:val="single" w:sz="4" w:space="0" w:color="auto"/>
            </w:tcBorders>
            <w:shd w:val="clear" w:color="auto" w:fill="auto"/>
          </w:tcPr>
          <w:p w14:paraId="0AFBD1A7"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业务类型，包括：</w:t>
            </w:r>
            <w:r>
              <w:rPr>
                <w:rFonts w:ascii="黑体" w:eastAsia="黑体" w:hAnsi="黑体" w:cs="宋体"/>
                <w:color w:val="000000"/>
                <w:kern w:val="0"/>
                <w:sz w:val="20"/>
                <w:szCs w:val="20"/>
              </w:rPr>
              <w:t>1-QFII；2-RQFII；3-沪伦通（西向）；4-跨境理财通；9-其他。</w:t>
            </w:r>
          </w:p>
        </w:tc>
      </w:tr>
      <w:tr w:rsidR="00A052DC" w14:paraId="34BC939E" w14:textId="77777777">
        <w:trPr>
          <w:trHeight w:val="20"/>
          <w:jc w:val="center"/>
        </w:trPr>
        <w:tc>
          <w:tcPr>
            <w:tcW w:w="851" w:type="dxa"/>
            <w:tcBorders>
              <w:top w:val="nil"/>
              <w:left w:val="single" w:sz="4" w:space="0" w:color="auto"/>
              <w:bottom w:val="single" w:sz="4" w:space="0" w:color="auto"/>
              <w:right w:val="single" w:sz="4" w:space="0" w:color="auto"/>
            </w:tcBorders>
            <w:shd w:val="clear" w:color="auto" w:fill="auto"/>
          </w:tcPr>
          <w:p w14:paraId="0B7AD031"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H01</w:t>
            </w:r>
          </w:p>
        </w:tc>
        <w:tc>
          <w:tcPr>
            <w:tcW w:w="1276" w:type="dxa"/>
            <w:tcBorders>
              <w:top w:val="nil"/>
              <w:left w:val="nil"/>
              <w:bottom w:val="single" w:sz="4" w:space="0" w:color="auto"/>
              <w:right w:val="single" w:sz="4" w:space="0" w:color="auto"/>
            </w:tcBorders>
            <w:shd w:val="clear" w:color="auto" w:fill="auto"/>
          </w:tcPr>
          <w:p w14:paraId="01919FC7"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投资工具的原始期限</w:t>
            </w:r>
          </w:p>
        </w:tc>
        <w:tc>
          <w:tcPr>
            <w:tcW w:w="3260" w:type="dxa"/>
            <w:tcBorders>
              <w:top w:val="nil"/>
              <w:left w:val="nil"/>
              <w:bottom w:val="single" w:sz="4" w:space="0" w:color="auto"/>
              <w:right w:val="single" w:sz="4" w:space="0" w:color="auto"/>
            </w:tcBorders>
            <w:shd w:val="clear" w:color="auto" w:fill="auto"/>
          </w:tcPr>
          <w:p w14:paraId="4AAB3CB4"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按以下两种情况填列：①一年及以下；②一年以上。其中，不定期或活期类工具归入①，永久性债和非参与性优先股归入②。本项仅适用于</w:t>
            </w:r>
            <w:r>
              <w:rPr>
                <w:rFonts w:ascii="黑体" w:eastAsia="黑体" w:hAnsi="黑体" w:cs="宋体"/>
                <w:color w:val="000000"/>
                <w:kern w:val="0"/>
                <w:sz w:val="20"/>
                <w:szCs w:val="20"/>
              </w:rPr>
              <w:t>H0105下（16）-（19）以及（21）-（23）类工具，（11）-（15）以及（20）类工具不需填写本项。</w:t>
            </w:r>
          </w:p>
        </w:tc>
        <w:tc>
          <w:tcPr>
            <w:tcW w:w="3544" w:type="dxa"/>
            <w:tcBorders>
              <w:top w:val="nil"/>
              <w:left w:val="nil"/>
              <w:bottom w:val="single" w:sz="4" w:space="0" w:color="auto"/>
              <w:right w:val="single" w:sz="4" w:space="0" w:color="auto"/>
            </w:tcBorders>
            <w:shd w:val="clear" w:color="auto" w:fill="auto"/>
          </w:tcPr>
          <w:p w14:paraId="2644B410"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按以下两种情况填列：①一年及以下；②一年以上。其中，不定期或活期类工具归入①，永久性债和非参与性优先股归入②。本项仅适用于</w:t>
            </w:r>
            <w:r>
              <w:rPr>
                <w:rFonts w:ascii="黑体" w:eastAsia="黑体" w:hAnsi="黑体" w:cs="宋体"/>
                <w:color w:val="000000"/>
                <w:kern w:val="0"/>
                <w:sz w:val="20"/>
                <w:szCs w:val="20"/>
              </w:rPr>
              <w:t>H0105下（16）-（19）以及（21）-（23）类工具，（11）-（15）、（20）以及（24）类工具不需填写本项。</w:t>
            </w:r>
          </w:p>
        </w:tc>
      </w:tr>
      <w:tr w:rsidR="00A052DC" w14:paraId="55342CA1" w14:textId="77777777">
        <w:trPr>
          <w:trHeight w:val="20"/>
          <w:jc w:val="center"/>
        </w:trPr>
        <w:tc>
          <w:tcPr>
            <w:tcW w:w="851" w:type="dxa"/>
            <w:tcBorders>
              <w:top w:val="nil"/>
              <w:left w:val="single" w:sz="4" w:space="0" w:color="auto"/>
              <w:bottom w:val="single" w:sz="4" w:space="0" w:color="auto"/>
              <w:right w:val="single" w:sz="4" w:space="0" w:color="auto"/>
            </w:tcBorders>
            <w:shd w:val="clear" w:color="auto" w:fill="auto"/>
          </w:tcPr>
          <w:p w14:paraId="4177EB04"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H01</w:t>
            </w:r>
          </w:p>
        </w:tc>
        <w:tc>
          <w:tcPr>
            <w:tcW w:w="1276" w:type="dxa"/>
            <w:tcBorders>
              <w:top w:val="nil"/>
              <w:left w:val="nil"/>
              <w:bottom w:val="single" w:sz="4" w:space="0" w:color="auto"/>
              <w:right w:val="single" w:sz="4" w:space="0" w:color="auto"/>
            </w:tcBorders>
            <w:shd w:val="clear" w:color="auto" w:fill="auto"/>
          </w:tcPr>
          <w:p w14:paraId="307FD165"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本月买入</w:t>
            </w:r>
            <w:r>
              <w:rPr>
                <w:rFonts w:ascii="黑体" w:eastAsia="黑体" w:hAnsi="黑体" w:cs="宋体"/>
                <w:color w:val="000000"/>
                <w:kern w:val="0"/>
                <w:sz w:val="20"/>
                <w:szCs w:val="20"/>
              </w:rPr>
              <w:t>/申购/(现金)结算付款额</w:t>
            </w:r>
          </w:p>
        </w:tc>
        <w:tc>
          <w:tcPr>
            <w:tcW w:w="3260" w:type="dxa"/>
            <w:tcBorders>
              <w:top w:val="nil"/>
              <w:left w:val="nil"/>
              <w:bottom w:val="single" w:sz="4" w:space="0" w:color="auto"/>
              <w:right w:val="single" w:sz="4" w:space="0" w:color="auto"/>
            </w:tcBorders>
            <w:shd w:val="clear" w:color="auto" w:fill="auto"/>
          </w:tcPr>
          <w:p w14:paraId="3290DA79"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本月内，非居民所托管工具买入、申购以及支付衍生产品期权费或结算衍生产品支付的金额。不包括相关股票发行机构因股票分割或发行红利股（即公司重组其股票）而向股东提供的新股票。与发行新股票获得新融资不同，股票分割和红利股不发生新的融资，不应记录为交易。对于存贷款或应收应付类工具，如为净增加，则填报在该项下，否则，填报在“本月卖出</w:t>
            </w:r>
            <w:r>
              <w:rPr>
                <w:rFonts w:ascii="黑体" w:eastAsia="黑体" w:hAnsi="黑体" w:cs="宋体"/>
                <w:color w:val="000000"/>
                <w:kern w:val="0"/>
                <w:sz w:val="20"/>
                <w:szCs w:val="20"/>
              </w:rPr>
              <w:t>/赎回/(现金)结算收款额”项下。</w:t>
            </w:r>
          </w:p>
        </w:tc>
        <w:tc>
          <w:tcPr>
            <w:tcW w:w="3544" w:type="dxa"/>
            <w:tcBorders>
              <w:top w:val="nil"/>
              <w:left w:val="nil"/>
              <w:bottom w:val="single" w:sz="4" w:space="0" w:color="auto"/>
              <w:right w:val="single" w:sz="4" w:space="0" w:color="auto"/>
            </w:tcBorders>
            <w:shd w:val="clear" w:color="auto" w:fill="auto"/>
          </w:tcPr>
          <w:p w14:paraId="7A1A1212"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本月内，非居民所托管投资产品买入、申购以及支付衍生产品期权费或结算衍生产品支付的金额。不包括相关股票发行机构因股票分割或发行红利股（即公司重组其股票）而向股东提供的新股票。与发行新股获得融资不同，股票分割和红利股不发生新的融资，不应记录为交易。对于存贷款或应收应付类工具，如为净增加，则填报在该项下，否则，填报在本月卖出</w:t>
            </w:r>
            <w:r>
              <w:rPr>
                <w:rFonts w:ascii="黑体" w:eastAsia="黑体" w:hAnsi="黑体" w:cs="宋体"/>
                <w:color w:val="000000"/>
                <w:kern w:val="0"/>
                <w:sz w:val="20"/>
                <w:szCs w:val="20"/>
              </w:rPr>
              <w:t>/赎回/(现金)结算收款额项下。</w:t>
            </w:r>
          </w:p>
        </w:tc>
      </w:tr>
      <w:tr w:rsidR="00A052DC" w14:paraId="54958805" w14:textId="77777777">
        <w:trPr>
          <w:trHeight w:val="20"/>
          <w:jc w:val="center"/>
        </w:trPr>
        <w:tc>
          <w:tcPr>
            <w:tcW w:w="851" w:type="dxa"/>
            <w:tcBorders>
              <w:top w:val="nil"/>
              <w:left w:val="single" w:sz="4" w:space="0" w:color="auto"/>
              <w:bottom w:val="single" w:sz="4" w:space="0" w:color="auto"/>
              <w:right w:val="single" w:sz="4" w:space="0" w:color="auto"/>
            </w:tcBorders>
            <w:shd w:val="clear" w:color="auto" w:fill="auto"/>
          </w:tcPr>
          <w:p w14:paraId="4DA11280"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H01</w:t>
            </w:r>
          </w:p>
        </w:tc>
        <w:tc>
          <w:tcPr>
            <w:tcW w:w="1276" w:type="dxa"/>
            <w:tcBorders>
              <w:top w:val="nil"/>
              <w:left w:val="nil"/>
              <w:bottom w:val="single" w:sz="4" w:space="0" w:color="auto"/>
              <w:right w:val="single" w:sz="4" w:space="0" w:color="auto"/>
            </w:tcBorders>
            <w:shd w:val="clear" w:color="auto" w:fill="auto"/>
          </w:tcPr>
          <w:p w14:paraId="374F9590"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本月卖出</w:t>
            </w:r>
            <w:r>
              <w:rPr>
                <w:rFonts w:ascii="黑体" w:eastAsia="黑体" w:hAnsi="黑体" w:cs="宋体"/>
                <w:color w:val="000000"/>
                <w:kern w:val="0"/>
                <w:sz w:val="20"/>
                <w:szCs w:val="20"/>
              </w:rPr>
              <w:t>/赎回/(现金)结算收款额</w:t>
            </w:r>
          </w:p>
        </w:tc>
        <w:tc>
          <w:tcPr>
            <w:tcW w:w="3260" w:type="dxa"/>
            <w:tcBorders>
              <w:top w:val="nil"/>
              <w:left w:val="nil"/>
              <w:bottom w:val="single" w:sz="4" w:space="0" w:color="auto"/>
              <w:right w:val="single" w:sz="4" w:space="0" w:color="auto"/>
            </w:tcBorders>
            <w:shd w:val="clear" w:color="auto" w:fill="auto"/>
          </w:tcPr>
          <w:p w14:paraId="03297FB8"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指本月内，非居民所托管投资产品卖出、赎回或收到衍生产品期权费或结算衍生产品获得的相关结算额。对于存贷款或应收应付类工具，如为净减少，则填报在该项下，否则，填报在“本月买入</w:t>
            </w:r>
            <w:r>
              <w:rPr>
                <w:rFonts w:ascii="黑体" w:eastAsia="黑体" w:hAnsi="黑体" w:cs="宋体"/>
                <w:color w:val="000000"/>
                <w:kern w:val="0"/>
                <w:sz w:val="20"/>
                <w:szCs w:val="20"/>
              </w:rPr>
              <w:t>/申购/(现金)结算付款额”项下。</w:t>
            </w:r>
          </w:p>
        </w:tc>
        <w:tc>
          <w:tcPr>
            <w:tcW w:w="3544" w:type="dxa"/>
            <w:tcBorders>
              <w:top w:val="nil"/>
              <w:left w:val="nil"/>
              <w:bottom w:val="single" w:sz="4" w:space="0" w:color="auto"/>
              <w:right w:val="single" w:sz="4" w:space="0" w:color="auto"/>
            </w:tcBorders>
            <w:shd w:val="clear" w:color="auto" w:fill="auto"/>
          </w:tcPr>
          <w:p w14:paraId="6A15777B"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指本月内，非居民所托管投资产品卖出、赎回及收到衍生产品期权费或结算衍生产品获得的相关结算额。对于存贷款或应收应付类工具，如为净减少，则填报在该项下，否则，填报在本月买入</w:t>
            </w:r>
            <w:r>
              <w:rPr>
                <w:rFonts w:ascii="黑体" w:eastAsia="黑体" w:hAnsi="黑体" w:cs="宋体"/>
                <w:color w:val="000000"/>
                <w:kern w:val="0"/>
                <w:sz w:val="20"/>
                <w:szCs w:val="20"/>
              </w:rPr>
              <w:t>/申购/(现金)结算付款额项下。</w:t>
            </w:r>
          </w:p>
        </w:tc>
      </w:tr>
      <w:tr w:rsidR="00A052DC" w14:paraId="4E4B14E0" w14:textId="77777777">
        <w:trPr>
          <w:trHeight w:val="20"/>
          <w:jc w:val="center"/>
        </w:trPr>
        <w:tc>
          <w:tcPr>
            <w:tcW w:w="851" w:type="dxa"/>
            <w:tcBorders>
              <w:top w:val="nil"/>
              <w:left w:val="single" w:sz="4" w:space="0" w:color="auto"/>
              <w:bottom w:val="single" w:sz="4" w:space="0" w:color="auto"/>
              <w:right w:val="single" w:sz="4" w:space="0" w:color="auto"/>
            </w:tcBorders>
            <w:shd w:val="clear" w:color="auto" w:fill="auto"/>
          </w:tcPr>
          <w:p w14:paraId="07900C99"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H01</w:t>
            </w:r>
          </w:p>
        </w:tc>
        <w:tc>
          <w:tcPr>
            <w:tcW w:w="1276" w:type="dxa"/>
            <w:tcBorders>
              <w:top w:val="nil"/>
              <w:left w:val="nil"/>
              <w:bottom w:val="single" w:sz="4" w:space="0" w:color="auto"/>
              <w:right w:val="single" w:sz="4" w:space="0" w:color="auto"/>
            </w:tcBorders>
            <w:shd w:val="clear" w:color="auto" w:fill="auto"/>
          </w:tcPr>
          <w:p w14:paraId="3C4008D2"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本月末市值</w:t>
            </w:r>
          </w:p>
        </w:tc>
        <w:tc>
          <w:tcPr>
            <w:tcW w:w="3260" w:type="dxa"/>
            <w:tcBorders>
              <w:top w:val="nil"/>
              <w:left w:val="nil"/>
              <w:bottom w:val="single" w:sz="4" w:space="0" w:color="auto"/>
              <w:right w:val="single" w:sz="4" w:space="0" w:color="auto"/>
            </w:tcBorders>
            <w:shd w:val="clear" w:color="auto" w:fill="auto"/>
          </w:tcPr>
          <w:p w14:paraId="7F9F45D0"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本月末相关工具的公允价值。应优先使用公开市场期末市场价值，如无市场价值，则按照申报主体的记账惯例填报公允价值。对于金融衍生产品，如填报的是小汇总数据，不得将公允价值为正值的合约与公允价值为负值合约进行轧差合并。</w:t>
            </w:r>
          </w:p>
        </w:tc>
        <w:tc>
          <w:tcPr>
            <w:tcW w:w="3544" w:type="dxa"/>
            <w:tcBorders>
              <w:top w:val="nil"/>
              <w:left w:val="nil"/>
              <w:bottom w:val="single" w:sz="4" w:space="0" w:color="auto"/>
              <w:right w:val="single" w:sz="4" w:space="0" w:color="auto"/>
            </w:tcBorders>
            <w:shd w:val="clear" w:color="auto" w:fill="auto"/>
          </w:tcPr>
          <w:p w14:paraId="1C46417D"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本月末相关工具的公允价值。应优先使用本月最后一个交易日收盘价计算的市场价值，如无市场价值，则按照填报机构的记账惯例填报公允价值（债券类工具应按全价计值）。对于金融衍生产品，如填报的是小汇总数据，不得将公允价值为正值的合约与公允价值为负值合约进行轧差合并。</w:t>
            </w:r>
          </w:p>
        </w:tc>
      </w:tr>
      <w:tr w:rsidR="00A052DC" w14:paraId="1CCA0702" w14:textId="77777777">
        <w:trPr>
          <w:trHeight w:val="20"/>
          <w:jc w:val="center"/>
        </w:trPr>
        <w:tc>
          <w:tcPr>
            <w:tcW w:w="851" w:type="dxa"/>
            <w:tcBorders>
              <w:top w:val="nil"/>
              <w:left w:val="single" w:sz="4" w:space="0" w:color="auto"/>
              <w:bottom w:val="single" w:sz="4" w:space="0" w:color="auto"/>
              <w:right w:val="single" w:sz="4" w:space="0" w:color="auto"/>
            </w:tcBorders>
            <w:shd w:val="clear" w:color="auto" w:fill="auto"/>
          </w:tcPr>
          <w:p w14:paraId="316CC59E"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H01</w:t>
            </w:r>
          </w:p>
        </w:tc>
        <w:tc>
          <w:tcPr>
            <w:tcW w:w="1276" w:type="dxa"/>
            <w:tcBorders>
              <w:top w:val="nil"/>
              <w:left w:val="nil"/>
              <w:bottom w:val="single" w:sz="4" w:space="0" w:color="auto"/>
              <w:right w:val="single" w:sz="4" w:space="0" w:color="auto"/>
            </w:tcBorders>
            <w:shd w:val="clear" w:color="auto" w:fill="auto"/>
          </w:tcPr>
          <w:p w14:paraId="34E61BFC"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本月红利或利息收入</w:t>
            </w:r>
          </w:p>
        </w:tc>
        <w:tc>
          <w:tcPr>
            <w:tcW w:w="3260" w:type="dxa"/>
            <w:tcBorders>
              <w:top w:val="nil"/>
              <w:left w:val="nil"/>
              <w:bottom w:val="single" w:sz="4" w:space="0" w:color="auto"/>
              <w:right w:val="single" w:sz="4" w:space="0" w:color="auto"/>
            </w:tcBorders>
            <w:shd w:val="clear" w:color="auto" w:fill="auto"/>
          </w:tcPr>
          <w:p w14:paraId="7ACC675D"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指按照权责发生制原则，本月确认的红利、股息或利息收入。对于股票股息，按照除息日当天每股收盘价格乘以股票股息份数填报。</w:t>
            </w:r>
          </w:p>
        </w:tc>
        <w:tc>
          <w:tcPr>
            <w:tcW w:w="3544" w:type="dxa"/>
            <w:tcBorders>
              <w:top w:val="nil"/>
              <w:left w:val="nil"/>
              <w:bottom w:val="single" w:sz="4" w:space="0" w:color="auto"/>
              <w:right w:val="single" w:sz="4" w:space="0" w:color="auto"/>
            </w:tcBorders>
            <w:shd w:val="clear" w:color="auto" w:fill="auto"/>
          </w:tcPr>
          <w:p w14:paraId="0EA64C4E"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指按照权责发生制原则，本月确认的红利、股息或利息收入。指当月数，而非累计数。对于股票股息，按照除息日当日投资者持有的股票份数乘每股派息金额填报。</w:t>
            </w:r>
          </w:p>
        </w:tc>
      </w:tr>
      <w:tr w:rsidR="00A052DC" w14:paraId="31F39F96" w14:textId="77777777">
        <w:trPr>
          <w:trHeight w:val="20"/>
          <w:jc w:val="center"/>
        </w:trPr>
        <w:tc>
          <w:tcPr>
            <w:tcW w:w="851" w:type="dxa"/>
            <w:tcBorders>
              <w:top w:val="nil"/>
              <w:left w:val="single" w:sz="4" w:space="0" w:color="auto"/>
              <w:bottom w:val="single" w:sz="4" w:space="0" w:color="auto"/>
              <w:right w:val="single" w:sz="4" w:space="0" w:color="auto"/>
            </w:tcBorders>
            <w:shd w:val="clear" w:color="auto" w:fill="auto"/>
          </w:tcPr>
          <w:p w14:paraId="0D7B93D3"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H02</w:t>
            </w:r>
          </w:p>
        </w:tc>
        <w:tc>
          <w:tcPr>
            <w:tcW w:w="1276" w:type="dxa"/>
            <w:tcBorders>
              <w:top w:val="nil"/>
              <w:left w:val="nil"/>
              <w:bottom w:val="single" w:sz="4" w:space="0" w:color="auto"/>
              <w:right w:val="single" w:sz="4" w:space="0" w:color="auto"/>
            </w:tcBorders>
            <w:shd w:val="clear" w:color="auto" w:fill="auto"/>
          </w:tcPr>
          <w:p w14:paraId="58E2ACB0"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居民委托人代码</w:t>
            </w:r>
          </w:p>
        </w:tc>
        <w:tc>
          <w:tcPr>
            <w:tcW w:w="3260" w:type="dxa"/>
            <w:tcBorders>
              <w:top w:val="nil"/>
              <w:left w:val="nil"/>
              <w:bottom w:val="single" w:sz="4" w:space="0" w:color="auto"/>
              <w:right w:val="single" w:sz="4" w:space="0" w:color="auto"/>
            </w:tcBorders>
            <w:shd w:val="clear" w:color="auto" w:fill="auto"/>
          </w:tcPr>
          <w:p w14:paraId="0B07CE22"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QDII/RQDII/QDLP/QDIE机构代码，如果QDII/RQDII/QDLP/QDIE机构为境内银行，则为国家外汇管理局及其分支局签发的银行12位金融机构标识码；如果QDII/RQDII/QDLP/QDIE机构为保险公司、基金管理公司、证券公司等机构，QDII/RQDII/QDLP/QDIE机构代码为统一社会信用代码中的9位组织机构代码。</w:t>
            </w:r>
          </w:p>
        </w:tc>
        <w:tc>
          <w:tcPr>
            <w:tcW w:w="3544" w:type="dxa"/>
            <w:tcBorders>
              <w:top w:val="nil"/>
              <w:left w:val="nil"/>
              <w:bottom w:val="single" w:sz="4" w:space="0" w:color="auto"/>
              <w:right w:val="single" w:sz="4" w:space="0" w:color="auto"/>
            </w:tcBorders>
            <w:shd w:val="clear" w:color="auto" w:fill="auto"/>
          </w:tcPr>
          <w:p w14:paraId="457B9AEF"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QDII/RQDII/QDLP/QDIE机构代码，如果QDII/RQDII/QDLP/QDIE机构为境内银行，则为国家外汇管理局及其分支局签发的银行12位金融机构标识码；如果QDII/RQDII/QDLP/QDIE机构为保险公司、基金管理公司、证券公司等机构，QDII/RQDII/QDLP/QDIE机构代码为统一社会信用代码中的第9至17位。</w:t>
            </w:r>
          </w:p>
        </w:tc>
      </w:tr>
      <w:tr w:rsidR="00A052DC" w14:paraId="301107BD" w14:textId="77777777">
        <w:trPr>
          <w:trHeight w:val="20"/>
          <w:jc w:val="center"/>
        </w:trPr>
        <w:tc>
          <w:tcPr>
            <w:tcW w:w="851" w:type="dxa"/>
            <w:tcBorders>
              <w:top w:val="nil"/>
              <w:left w:val="single" w:sz="4" w:space="0" w:color="auto"/>
              <w:bottom w:val="single" w:sz="4" w:space="0" w:color="auto"/>
              <w:right w:val="single" w:sz="4" w:space="0" w:color="auto"/>
            </w:tcBorders>
            <w:shd w:val="clear" w:color="auto" w:fill="auto"/>
          </w:tcPr>
          <w:p w14:paraId="6A3E1262"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H02</w:t>
            </w:r>
          </w:p>
        </w:tc>
        <w:tc>
          <w:tcPr>
            <w:tcW w:w="1276" w:type="dxa"/>
            <w:tcBorders>
              <w:top w:val="nil"/>
              <w:left w:val="nil"/>
              <w:bottom w:val="single" w:sz="4" w:space="0" w:color="auto"/>
              <w:right w:val="single" w:sz="4" w:space="0" w:color="auto"/>
            </w:tcBorders>
            <w:shd w:val="clear" w:color="auto" w:fill="auto"/>
          </w:tcPr>
          <w:p w14:paraId="6A543216"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投资工具类型</w:t>
            </w:r>
          </w:p>
        </w:tc>
        <w:tc>
          <w:tcPr>
            <w:tcW w:w="3260" w:type="dxa"/>
            <w:tcBorders>
              <w:top w:val="nil"/>
              <w:left w:val="nil"/>
              <w:bottom w:val="single" w:sz="4" w:space="0" w:color="auto"/>
              <w:right w:val="single" w:sz="4" w:space="0" w:color="auto"/>
            </w:tcBorders>
            <w:shd w:val="clear" w:color="auto" w:fill="auto"/>
          </w:tcPr>
          <w:p w14:paraId="3B1252D4"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指居民委托人产品在境外投向的工具类型，见</w:t>
            </w:r>
            <w:r>
              <w:rPr>
                <w:rFonts w:ascii="黑体" w:eastAsia="黑体" w:hAnsi="黑体" w:cs="宋体"/>
                <w:color w:val="000000"/>
                <w:kern w:val="0"/>
                <w:sz w:val="20"/>
                <w:szCs w:val="20"/>
              </w:rPr>
              <w:t>QFII/RQFII/QDII/RQDII/QDLP/QDIE投资工具类型代码表。</w:t>
            </w:r>
          </w:p>
        </w:tc>
        <w:tc>
          <w:tcPr>
            <w:tcW w:w="3544" w:type="dxa"/>
            <w:tcBorders>
              <w:top w:val="nil"/>
              <w:left w:val="nil"/>
              <w:bottom w:val="single" w:sz="4" w:space="0" w:color="auto"/>
              <w:right w:val="single" w:sz="4" w:space="0" w:color="auto"/>
            </w:tcBorders>
            <w:shd w:val="clear" w:color="auto" w:fill="auto"/>
          </w:tcPr>
          <w:p w14:paraId="49006AE1"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指居民委托人产品在境外投向的工具类型，见</w:t>
            </w:r>
            <w:r>
              <w:rPr>
                <w:rFonts w:ascii="黑体" w:eastAsia="黑体" w:hAnsi="黑体" w:cs="宋体"/>
                <w:color w:val="000000"/>
                <w:kern w:val="0"/>
                <w:sz w:val="20"/>
                <w:szCs w:val="20"/>
              </w:rPr>
              <w:t>QFII/RQFII</w:t>
            </w:r>
            <w:r>
              <w:rPr>
                <w:rFonts w:ascii="黑体" w:eastAsia="黑体" w:hAnsi="黑体" w:cs="黑体"/>
                <w:color w:val="000000"/>
                <w:kern w:val="0"/>
                <w:sz w:val="20"/>
                <w:szCs w:val="20"/>
              </w:rPr>
              <w:t>/QDII/RQDII/QDLP/QDIE</w:t>
            </w:r>
            <w:r>
              <w:rPr>
                <w:rFonts w:ascii="黑体" w:eastAsia="黑体" w:hAnsi="黑体" w:cs="宋体" w:hint="eastAsia"/>
                <w:color w:val="000000"/>
                <w:kern w:val="0"/>
                <w:sz w:val="20"/>
                <w:szCs w:val="20"/>
              </w:rPr>
              <w:t>投资工具类型代码表。当业务类型为1、2、3、4时必填。</w:t>
            </w:r>
          </w:p>
        </w:tc>
      </w:tr>
      <w:tr w:rsidR="00A052DC" w14:paraId="1B0679CE" w14:textId="77777777">
        <w:trPr>
          <w:trHeight w:val="20"/>
          <w:jc w:val="center"/>
        </w:trPr>
        <w:tc>
          <w:tcPr>
            <w:tcW w:w="851" w:type="dxa"/>
            <w:tcBorders>
              <w:top w:val="nil"/>
              <w:left w:val="single" w:sz="4" w:space="0" w:color="auto"/>
              <w:bottom w:val="single" w:sz="4" w:space="0" w:color="auto"/>
              <w:right w:val="single" w:sz="4" w:space="0" w:color="auto"/>
            </w:tcBorders>
            <w:shd w:val="clear" w:color="auto" w:fill="auto"/>
          </w:tcPr>
          <w:p w14:paraId="1862BAE0"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H02</w:t>
            </w:r>
          </w:p>
        </w:tc>
        <w:tc>
          <w:tcPr>
            <w:tcW w:w="1276" w:type="dxa"/>
            <w:tcBorders>
              <w:top w:val="nil"/>
              <w:left w:val="nil"/>
              <w:bottom w:val="single" w:sz="4" w:space="0" w:color="auto"/>
              <w:right w:val="single" w:sz="4" w:space="0" w:color="auto"/>
            </w:tcBorders>
            <w:shd w:val="clear" w:color="auto" w:fill="auto"/>
          </w:tcPr>
          <w:p w14:paraId="1EA7D55B"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业务类型</w:t>
            </w:r>
          </w:p>
        </w:tc>
        <w:tc>
          <w:tcPr>
            <w:tcW w:w="3260" w:type="dxa"/>
            <w:tcBorders>
              <w:top w:val="nil"/>
              <w:left w:val="nil"/>
              <w:bottom w:val="single" w:sz="4" w:space="0" w:color="auto"/>
              <w:right w:val="single" w:sz="4" w:space="0" w:color="auto"/>
            </w:tcBorders>
            <w:shd w:val="clear" w:color="auto" w:fill="auto"/>
          </w:tcPr>
          <w:p w14:paraId="27B0BD75"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包括：</w:t>
            </w:r>
            <w:r>
              <w:rPr>
                <w:rFonts w:ascii="黑体" w:eastAsia="黑体" w:hAnsi="黑体" w:cs="宋体"/>
                <w:color w:val="000000"/>
                <w:kern w:val="0"/>
                <w:sz w:val="20"/>
                <w:szCs w:val="20"/>
              </w:rPr>
              <w:t>1-QDII；2-RQDII；3-QDLP;4-QDIE;9-其他。</w:t>
            </w:r>
          </w:p>
        </w:tc>
        <w:tc>
          <w:tcPr>
            <w:tcW w:w="3544" w:type="dxa"/>
            <w:tcBorders>
              <w:top w:val="nil"/>
              <w:left w:val="nil"/>
              <w:bottom w:val="single" w:sz="4" w:space="0" w:color="auto"/>
              <w:right w:val="single" w:sz="4" w:space="0" w:color="auto"/>
            </w:tcBorders>
            <w:shd w:val="clear" w:color="auto" w:fill="auto"/>
          </w:tcPr>
          <w:p w14:paraId="4260EA3A"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包括：</w:t>
            </w:r>
            <w:r>
              <w:rPr>
                <w:rFonts w:ascii="黑体" w:eastAsia="黑体" w:hAnsi="黑体" w:cs="宋体"/>
                <w:color w:val="000000"/>
                <w:kern w:val="0"/>
                <w:sz w:val="20"/>
                <w:szCs w:val="20"/>
              </w:rPr>
              <w:t>1-QDII；2-RQDII；3-QDLP;4-QDIE;5-债券通（QDII/RQDII除外）；6-债券通（QDII/RQDII）；7-跨境理财通； 9-其他。其中，6-债券通（QDII/RQDII）为QDII或RQDII机构通过债券通（南向通）渠道进行的债券投资，此类数据无需在5-债券通（QDII/RQDII除外）项目下重复报送，5-债券通（QDII/RQDII除外）仅包含托管银行连接模式下QDII或RQDII机</w:t>
            </w:r>
            <w:r>
              <w:rPr>
                <w:rFonts w:ascii="黑体" w:eastAsia="黑体" w:hAnsi="黑体" w:cs="宋体" w:hint="eastAsia"/>
                <w:color w:val="000000"/>
                <w:kern w:val="0"/>
                <w:sz w:val="20"/>
                <w:szCs w:val="20"/>
              </w:rPr>
              <w:t>构以外通过债券通（南向通）进行债券投资的数据。</w:t>
            </w:r>
          </w:p>
        </w:tc>
      </w:tr>
      <w:tr w:rsidR="00A052DC" w14:paraId="0368DF93" w14:textId="77777777">
        <w:trPr>
          <w:trHeight w:val="20"/>
          <w:jc w:val="center"/>
        </w:trPr>
        <w:tc>
          <w:tcPr>
            <w:tcW w:w="851" w:type="dxa"/>
            <w:tcBorders>
              <w:top w:val="nil"/>
              <w:left w:val="single" w:sz="4" w:space="0" w:color="auto"/>
              <w:bottom w:val="single" w:sz="4" w:space="0" w:color="auto"/>
              <w:right w:val="single" w:sz="4" w:space="0" w:color="auto"/>
            </w:tcBorders>
            <w:shd w:val="clear" w:color="auto" w:fill="auto"/>
          </w:tcPr>
          <w:p w14:paraId="627B994B"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H02</w:t>
            </w:r>
          </w:p>
        </w:tc>
        <w:tc>
          <w:tcPr>
            <w:tcW w:w="1276" w:type="dxa"/>
            <w:tcBorders>
              <w:top w:val="nil"/>
              <w:left w:val="nil"/>
              <w:bottom w:val="single" w:sz="4" w:space="0" w:color="auto"/>
              <w:right w:val="single" w:sz="4" w:space="0" w:color="auto"/>
            </w:tcBorders>
            <w:shd w:val="clear" w:color="auto" w:fill="auto"/>
          </w:tcPr>
          <w:p w14:paraId="3AB4BAB2"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上月末市值</w:t>
            </w:r>
          </w:p>
        </w:tc>
        <w:tc>
          <w:tcPr>
            <w:tcW w:w="3260" w:type="dxa"/>
            <w:tcBorders>
              <w:top w:val="nil"/>
              <w:left w:val="nil"/>
              <w:bottom w:val="single" w:sz="4" w:space="0" w:color="auto"/>
              <w:right w:val="single" w:sz="4" w:space="0" w:color="auto"/>
            </w:tcBorders>
            <w:shd w:val="clear" w:color="auto" w:fill="auto"/>
          </w:tcPr>
          <w:p w14:paraId="426B2072"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指上月末居民所托管工具的价值。应优先使用公开市场期末收盘价计算。如无市场价值，则按照惯例填报公允价值。如为存贷款或应收应付款，则为上月末账面余额。</w:t>
            </w:r>
          </w:p>
        </w:tc>
        <w:tc>
          <w:tcPr>
            <w:tcW w:w="3544" w:type="dxa"/>
            <w:tcBorders>
              <w:top w:val="nil"/>
              <w:left w:val="nil"/>
              <w:bottom w:val="single" w:sz="4" w:space="0" w:color="auto"/>
              <w:right w:val="single" w:sz="4" w:space="0" w:color="auto"/>
            </w:tcBorders>
            <w:shd w:val="clear" w:color="auto" w:fill="auto"/>
          </w:tcPr>
          <w:p w14:paraId="22C890D4"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上月末居民所托管工具的公允价值。应优先使用上月最后一个交易日收盘价计算的市场价值（债券类工具应按全价计值）。如无市场价值，则按照惯例填报公允价值。如为存贷款或应收应付款，则为上月末账面余额。对于金融衍生产品，如填报的是小汇总数据，不得将公允价值为正值的合约与公允价值为负值的合约进行轧差合并。</w:t>
            </w:r>
          </w:p>
        </w:tc>
      </w:tr>
      <w:tr w:rsidR="00A052DC" w14:paraId="574698D6" w14:textId="77777777">
        <w:trPr>
          <w:trHeight w:val="20"/>
          <w:jc w:val="center"/>
        </w:trPr>
        <w:tc>
          <w:tcPr>
            <w:tcW w:w="851" w:type="dxa"/>
            <w:tcBorders>
              <w:top w:val="nil"/>
              <w:left w:val="single" w:sz="4" w:space="0" w:color="auto"/>
              <w:bottom w:val="single" w:sz="4" w:space="0" w:color="auto"/>
              <w:right w:val="single" w:sz="4" w:space="0" w:color="auto"/>
            </w:tcBorders>
            <w:shd w:val="clear" w:color="auto" w:fill="auto"/>
          </w:tcPr>
          <w:p w14:paraId="6955B39C"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H02</w:t>
            </w:r>
          </w:p>
        </w:tc>
        <w:tc>
          <w:tcPr>
            <w:tcW w:w="1276" w:type="dxa"/>
            <w:tcBorders>
              <w:top w:val="nil"/>
              <w:left w:val="nil"/>
              <w:bottom w:val="single" w:sz="4" w:space="0" w:color="auto"/>
              <w:right w:val="single" w:sz="4" w:space="0" w:color="auto"/>
            </w:tcBorders>
            <w:shd w:val="clear" w:color="auto" w:fill="auto"/>
          </w:tcPr>
          <w:p w14:paraId="17D86421"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本月买入</w:t>
            </w:r>
            <w:r>
              <w:rPr>
                <w:rFonts w:ascii="黑体" w:eastAsia="黑体" w:hAnsi="黑体" w:cs="宋体"/>
                <w:color w:val="000000"/>
                <w:kern w:val="0"/>
                <w:sz w:val="20"/>
                <w:szCs w:val="20"/>
              </w:rPr>
              <w:t>/申购/(现金)结算付款额</w:t>
            </w:r>
          </w:p>
        </w:tc>
        <w:tc>
          <w:tcPr>
            <w:tcW w:w="3260" w:type="dxa"/>
            <w:tcBorders>
              <w:top w:val="nil"/>
              <w:left w:val="nil"/>
              <w:bottom w:val="single" w:sz="4" w:space="0" w:color="auto"/>
              <w:right w:val="single" w:sz="4" w:space="0" w:color="auto"/>
            </w:tcBorders>
            <w:shd w:val="clear" w:color="auto" w:fill="auto"/>
          </w:tcPr>
          <w:p w14:paraId="63861483"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本月买入</w:t>
            </w:r>
            <w:r>
              <w:rPr>
                <w:rFonts w:ascii="黑体" w:eastAsia="黑体" w:hAnsi="黑体" w:cs="宋体"/>
                <w:color w:val="000000"/>
                <w:kern w:val="0"/>
                <w:sz w:val="20"/>
                <w:szCs w:val="20"/>
              </w:rPr>
              <w:t>/申购/（现金）结算付款额：指本月内，居民所托管工具买入、申购以及支付衍生产品期权费或结算衍生产品支付的金额。不包括相关股票发行机构因股票分割或发行红利股（即公司重组其股票）而向股东提供的新股票。与发行新股票获得新融资不同，股票分割和红利股不发生新的融资，不应记录为交易。如为存贷款或应收应付类产品，本月如为净增加，则填报在该项下，否则，填报在“本月卖出/赎回/（现金）结算收款额”下。</w:t>
            </w:r>
          </w:p>
        </w:tc>
        <w:tc>
          <w:tcPr>
            <w:tcW w:w="3544" w:type="dxa"/>
            <w:tcBorders>
              <w:top w:val="nil"/>
              <w:left w:val="nil"/>
              <w:bottom w:val="single" w:sz="4" w:space="0" w:color="auto"/>
              <w:right w:val="single" w:sz="4" w:space="0" w:color="auto"/>
            </w:tcBorders>
            <w:shd w:val="clear" w:color="auto" w:fill="auto"/>
          </w:tcPr>
          <w:p w14:paraId="29CDCD38"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本月内，居民所托管产品买入、申购以及支付衍生产品期权费或结算衍生产品支付的金额。不包括相关股票发行机构因股票分割或发行红利股而产生的新的股票。与发行新股获得融资不同，股票分割和红利股不产生新的融资，不应记录为交易。如为存贷款或应收应付类产品，本月如为净增加，则填报在该项下，否则，填报在本月卖出</w:t>
            </w:r>
            <w:r>
              <w:rPr>
                <w:rFonts w:ascii="黑体" w:eastAsia="黑体" w:hAnsi="黑体" w:cs="宋体"/>
                <w:color w:val="000000"/>
                <w:kern w:val="0"/>
                <w:sz w:val="20"/>
                <w:szCs w:val="20"/>
              </w:rPr>
              <w:t>/赎回/(现金)结算收款额项下。</w:t>
            </w:r>
          </w:p>
        </w:tc>
      </w:tr>
      <w:tr w:rsidR="00A052DC" w14:paraId="7F843668" w14:textId="77777777">
        <w:trPr>
          <w:trHeight w:val="20"/>
          <w:jc w:val="center"/>
        </w:trPr>
        <w:tc>
          <w:tcPr>
            <w:tcW w:w="851" w:type="dxa"/>
            <w:tcBorders>
              <w:top w:val="nil"/>
              <w:left w:val="single" w:sz="4" w:space="0" w:color="auto"/>
              <w:bottom w:val="single" w:sz="4" w:space="0" w:color="auto"/>
              <w:right w:val="single" w:sz="4" w:space="0" w:color="auto"/>
            </w:tcBorders>
            <w:shd w:val="clear" w:color="auto" w:fill="auto"/>
          </w:tcPr>
          <w:p w14:paraId="4A622C1F"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H02</w:t>
            </w:r>
          </w:p>
        </w:tc>
        <w:tc>
          <w:tcPr>
            <w:tcW w:w="1276" w:type="dxa"/>
            <w:tcBorders>
              <w:top w:val="nil"/>
              <w:left w:val="nil"/>
              <w:bottom w:val="single" w:sz="4" w:space="0" w:color="auto"/>
              <w:right w:val="single" w:sz="4" w:space="0" w:color="auto"/>
            </w:tcBorders>
            <w:shd w:val="clear" w:color="auto" w:fill="auto"/>
          </w:tcPr>
          <w:p w14:paraId="33438E0F"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本月卖出</w:t>
            </w:r>
            <w:r>
              <w:rPr>
                <w:rFonts w:ascii="黑体" w:eastAsia="黑体" w:hAnsi="黑体" w:cs="宋体"/>
                <w:color w:val="000000"/>
                <w:kern w:val="0"/>
                <w:sz w:val="20"/>
                <w:szCs w:val="20"/>
              </w:rPr>
              <w:t>/赎回/(现金)结算收款额</w:t>
            </w:r>
          </w:p>
        </w:tc>
        <w:tc>
          <w:tcPr>
            <w:tcW w:w="3260" w:type="dxa"/>
            <w:tcBorders>
              <w:top w:val="nil"/>
              <w:left w:val="nil"/>
              <w:bottom w:val="single" w:sz="4" w:space="0" w:color="auto"/>
              <w:right w:val="single" w:sz="4" w:space="0" w:color="auto"/>
            </w:tcBorders>
            <w:shd w:val="clear" w:color="auto" w:fill="auto"/>
          </w:tcPr>
          <w:p w14:paraId="41ADA566"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指本月内，居民所托管工具赎回或收到衍生产品期权费或结算衍生产品获得的相关结算额。对于存贷款或应收应付类工具，本月如为净减少，则填报在该项下，否则，填报在“本月买入</w:t>
            </w:r>
            <w:r>
              <w:rPr>
                <w:rFonts w:ascii="黑体" w:eastAsia="黑体" w:hAnsi="黑体" w:cs="宋体"/>
                <w:color w:val="000000"/>
                <w:kern w:val="0"/>
                <w:sz w:val="20"/>
                <w:szCs w:val="20"/>
              </w:rPr>
              <w:t>/申购/(现金)结算付款额”下。</w:t>
            </w:r>
          </w:p>
        </w:tc>
        <w:tc>
          <w:tcPr>
            <w:tcW w:w="3544" w:type="dxa"/>
            <w:tcBorders>
              <w:top w:val="nil"/>
              <w:left w:val="nil"/>
              <w:bottom w:val="single" w:sz="4" w:space="0" w:color="auto"/>
              <w:right w:val="single" w:sz="4" w:space="0" w:color="auto"/>
            </w:tcBorders>
            <w:shd w:val="clear" w:color="auto" w:fill="auto"/>
          </w:tcPr>
          <w:p w14:paraId="3DAF0CA0"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指本月内，居民所托管产品卖出、赎回及收到衍生产品期权费或结算衍生产品获得的相关结算额。对于存贷款或应收应付类工具，本月如为净减少，则填报在该项下，否则，填报在本月买入</w:t>
            </w:r>
            <w:r>
              <w:rPr>
                <w:rFonts w:ascii="黑体" w:eastAsia="黑体" w:hAnsi="黑体" w:cs="宋体"/>
                <w:color w:val="000000"/>
                <w:kern w:val="0"/>
                <w:sz w:val="20"/>
                <w:szCs w:val="20"/>
              </w:rPr>
              <w:t>/申购/(现金)结算付款额项下。</w:t>
            </w:r>
          </w:p>
        </w:tc>
      </w:tr>
      <w:tr w:rsidR="00A052DC" w14:paraId="21323AA1" w14:textId="77777777">
        <w:trPr>
          <w:trHeight w:val="20"/>
          <w:jc w:val="center"/>
        </w:trPr>
        <w:tc>
          <w:tcPr>
            <w:tcW w:w="851" w:type="dxa"/>
            <w:tcBorders>
              <w:top w:val="nil"/>
              <w:left w:val="single" w:sz="4" w:space="0" w:color="auto"/>
              <w:bottom w:val="single" w:sz="4" w:space="0" w:color="auto"/>
              <w:right w:val="single" w:sz="4" w:space="0" w:color="auto"/>
            </w:tcBorders>
            <w:shd w:val="clear" w:color="auto" w:fill="auto"/>
          </w:tcPr>
          <w:p w14:paraId="0E281D49"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H02</w:t>
            </w:r>
          </w:p>
        </w:tc>
        <w:tc>
          <w:tcPr>
            <w:tcW w:w="1276" w:type="dxa"/>
            <w:tcBorders>
              <w:top w:val="nil"/>
              <w:left w:val="nil"/>
              <w:bottom w:val="single" w:sz="4" w:space="0" w:color="auto"/>
              <w:right w:val="single" w:sz="4" w:space="0" w:color="auto"/>
            </w:tcBorders>
            <w:shd w:val="clear" w:color="auto" w:fill="auto"/>
          </w:tcPr>
          <w:p w14:paraId="33F82368"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本月末市值</w:t>
            </w:r>
          </w:p>
        </w:tc>
        <w:tc>
          <w:tcPr>
            <w:tcW w:w="3260" w:type="dxa"/>
            <w:tcBorders>
              <w:top w:val="nil"/>
              <w:left w:val="nil"/>
              <w:bottom w:val="single" w:sz="4" w:space="0" w:color="auto"/>
              <w:right w:val="single" w:sz="4" w:space="0" w:color="auto"/>
            </w:tcBorders>
            <w:shd w:val="clear" w:color="auto" w:fill="auto"/>
          </w:tcPr>
          <w:p w14:paraId="517314DD"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指本月末居民所托管工具的价值。应优先使用公开市场期末收盘价计算。如无市场价值，则按照惯例填报公允价值。如为存贷款或应收应付款，则为本月末账面余额。</w:t>
            </w:r>
          </w:p>
        </w:tc>
        <w:tc>
          <w:tcPr>
            <w:tcW w:w="3544" w:type="dxa"/>
            <w:tcBorders>
              <w:top w:val="nil"/>
              <w:left w:val="nil"/>
              <w:bottom w:val="single" w:sz="4" w:space="0" w:color="auto"/>
              <w:right w:val="single" w:sz="4" w:space="0" w:color="auto"/>
            </w:tcBorders>
            <w:shd w:val="clear" w:color="auto" w:fill="auto"/>
          </w:tcPr>
          <w:p w14:paraId="46F43215"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本月末居民所托管工具的公允价值。应优先使用本月最后一个交易日收盘价计算的市场价值（债券类工具应按全价计值）。如无市场价值，则按照惯例填报公允价值。如为存贷款或应收应付款，则为本月末账面余额。对于金融衍生产品，如填报的是小汇总数据，不得将公允价值为正值的合约与公允价值为负值合约进行轧差合并。</w:t>
            </w:r>
          </w:p>
        </w:tc>
      </w:tr>
      <w:tr w:rsidR="00A052DC" w14:paraId="5A4A52AC" w14:textId="77777777">
        <w:trPr>
          <w:trHeight w:val="20"/>
          <w:jc w:val="center"/>
        </w:trPr>
        <w:tc>
          <w:tcPr>
            <w:tcW w:w="851" w:type="dxa"/>
            <w:tcBorders>
              <w:top w:val="nil"/>
              <w:left w:val="single" w:sz="4" w:space="0" w:color="auto"/>
              <w:bottom w:val="single" w:sz="4" w:space="0" w:color="auto"/>
              <w:right w:val="single" w:sz="4" w:space="0" w:color="auto"/>
            </w:tcBorders>
            <w:shd w:val="clear" w:color="auto" w:fill="auto"/>
          </w:tcPr>
          <w:p w14:paraId="1EFFF4A7"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H02</w:t>
            </w:r>
          </w:p>
        </w:tc>
        <w:tc>
          <w:tcPr>
            <w:tcW w:w="1276" w:type="dxa"/>
            <w:tcBorders>
              <w:top w:val="nil"/>
              <w:left w:val="nil"/>
              <w:bottom w:val="single" w:sz="4" w:space="0" w:color="auto"/>
              <w:right w:val="single" w:sz="4" w:space="0" w:color="auto"/>
            </w:tcBorders>
            <w:shd w:val="clear" w:color="auto" w:fill="auto"/>
          </w:tcPr>
          <w:p w14:paraId="5C596D0E"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本月红利或利息收入</w:t>
            </w:r>
          </w:p>
        </w:tc>
        <w:tc>
          <w:tcPr>
            <w:tcW w:w="3260" w:type="dxa"/>
            <w:tcBorders>
              <w:top w:val="nil"/>
              <w:left w:val="nil"/>
              <w:bottom w:val="single" w:sz="4" w:space="0" w:color="auto"/>
              <w:right w:val="single" w:sz="4" w:space="0" w:color="auto"/>
            </w:tcBorders>
            <w:shd w:val="clear" w:color="auto" w:fill="auto"/>
          </w:tcPr>
          <w:p w14:paraId="6DB98960"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指按照权责发生制原则，本月居民所托管的股本证券、投资基金份额、债券或债务类产品确认的红利、股息或利息收入。对于股票股息，按照除息日当天每股收盘价格乘以股票股息份数填报。</w:t>
            </w:r>
          </w:p>
        </w:tc>
        <w:tc>
          <w:tcPr>
            <w:tcW w:w="3544" w:type="dxa"/>
            <w:tcBorders>
              <w:top w:val="nil"/>
              <w:left w:val="nil"/>
              <w:bottom w:val="single" w:sz="4" w:space="0" w:color="auto"/>
              <w:right w:val="single" w:sz="4" w:space="0" w:color="auto"/>
            </w:tcBorders>
            <w:shd w:val="clear" w:color="auto" w:fill="auto"/>
          </w:tcPr>
          <w:p w14:paraId="01D8192C"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按照权责发生制原则，本月居民所托管的股本证券、投资基金份额、债券或债务类产品确认的红利、股息或利息收入。指当月数，而非累计数。对于股票股息，按照除息日当日投资者持有的股票份数乘每股派息金额填报。</w:t>
            </w:r>
          </w:p>
        </w:tc>
      </w:tr>
      <w:tr w:rsidR="00A052DC" w14:paraId="044601B7" w14:textId="77777777">
        <w:trPr>
          <w:trHeight w:val="20"/>
          <w:jc w:val="center"/>
        </w:trPr>
        <w:tc>
          <w:tcPr>
            <w:tcW w:w="851" w:type="dxa"/>
            <w:tcBorders>
              <w:top w:val="nil"/>
              <w:left w:val="single" w:sz="4" w:space="0" w:color="auto"/>
              <w:bottom w:val="single" w:sz="4" w:space="0" w:color="auto"/>
              <w:right w:val="single" w:sz="4" w:space="0" w:color="auto"/>
            </w:tcBorders>
            <w:shd w:val="clear" w:color="auto" w:fill="auto"/>
          </w:tcPr>
          <w:p w14:paraId="70527856"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I01</w:t>
            </w:r>
          </w:p>
        </w:tc>
        <w:tc>
          <w:tcPr>
            <w:tcW w:w="1276" w:type="dxa"/>
            <w:tcBorders>
              <w:top w:val="nil"/>
              <w:left w:val="nil"/>
              <w:bottom w:val="single" w:sz="4" w:space="0" w:color="auto"/>
              <w:right w:val="single" w:sz="4" w:space="0" w:color="auto"/>
            </w:tcBorders>
            <w:shd w:val="clear" w:color="auto" w:fill="auto"/>
          </w:tcPr>
          <w:p w14:paraId="26DF62A5"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本月归属于非居民保单持有人的收益（补充保费）</w:t>
            </w:r>
          </w:p>
        </w:tc>
        <w:tc>
          <w:tcPr>
            <w:tcW w:w="3260" w:type="dxa"/>
            <w:tcBorders>
              <w:top w:val="nil"/>
              <w:left w:val="nil"/>
              <w:bottom w:val="single" w:sz="4" w:space="0" w:color="auto"/>
              <w:right w:val="single" w:sz="4" w:space="0" w:color="auto"/>
            </w:tcBorders>
            <w:shd w:val="clear" w:color="auto" w:fill="auto"/>
          </w:tcPr>
          <w:p w14:paraId="62D820E4"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保险公司将保险责任准备金（包括未决赔款准备金、未到期准备金、寿险准备金、长期健康险准备金）进行投资而获取的投资收益，本表将这部分收益视同保单持有人投入保险公司的补充保费。申报主体可根据保险责任准备金投资回报情况，拆分出对非居民保单持有人的责任准备金产生的回报。</w:t>
            </w:r>
          </w:p>
        </w:tc>
        <w:tc>
          <w:tcPr>
            <w:tcW w:w="3544" w:type="dxa"/>
            <w:tcBorders>
              <w:top w:val="nil"/>
              <w:left w:val="nil"/>
              <w:bottom w:val="single" w:sz="4" w:space="0" w:color="auto"/>
              <w:right w:val="single" w:sz="4" w:space="0" w:color="auto"/>
            </w:tcBorders>
            <w:shd w:val="clear" w:color="auto" w:fill="auto"/>
          </w:tcPr>
          <w:p w14:paraId="1872B993"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保险公司将保险责任准备金（包括未决赔款准备金、未到期准备金、寿险准备金、长期健康险准备金）进行投资而获取的投资收益，该收益是保险公司对保单持有人的预付保费或应收福利进行投资而获取的回报，被视为由保单持有人以费用的名义投回给保险公司，故称为补充保费。申报主体可根据保险责任准备金投资回报情况，拆分出对非居民保单持有人的责任准备金产生的回报。</w:t>
            </w:r>
          </w:p>
        </w:tc>
      </w:tr>
      <w:tr w:rsidR="00A052DC" w14:paraId="2944780A" w14:textId="77777777">
        <w:trPr>
          <w:trHeight w:val="20"/>
          <w:jc w:val="center"/>
        </w:trPr>
        <w:tc>
          <w:tcPr>
            <w:tcW w:w="851" w:type="dxa"/>
            <w:tcBorders>
              <w:top w:val="nil"/>
              <w:left w:val="single" w:sz="4" w:space="0" w:color="auto"/>
              <w:bottom w:val="single" w:sz="4" w:space="0" w:color="auto"/>
              <w:right w:val="single" w:sz="4" w:space="0" w:color="auto"/>
            </w:tcBorders>
            <w:shd w:val="clear" w:color="auto" w:fill="auto"/>
          </w:tcPr>
          <w:p w14:paraId="0CBC7DA2"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I02</w:t>
            </w:r>
          </w:p>
        </w:tc>
        <w:tc>
          <w:tcPr>
            <w:tcW w:w="1276" w:type="dxa"/>
            <w:tcBorders>
              <w:top w:val="nil"/>
              <w:left w:val="nil"/>
              <w:bottom w:val="single" w:sz="4" w:space="0" w:color="auto"/>
              <w:right w:val="single" w:sz="4" w:space="0" w:color="auto"/>
            </w:tcBorders>
            <w:shd w:val="clear" w:color="auto" w:fill="auto"/>
          </w:tcPr>
          <w:p w14:paraId="362C7383"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本月分入业务已赚分保费收入</w:t>
            </w:r>
          </w:p>
        </w:tc>
        <w:tc>
          <w:tcPr>
            <w:tcW w:w="3260" w:type="dxa"/>
            <w:tcBorders>
              <w:top w:val="nil"/>
              <w:left w:val="nil"/>
              <w:bottom w:val="single" w:sz="4" w:space="0" w:color="auto"/>
              <w:right w:val="single" w:sz="4" w:space="0" w:color="auto"/>
            </w:tcBorders>
            <w:shd w:val="clear" w:color="auto" w:fill="auto"/>
          </w:tcPr>
          <w:p w14:paraId="62584340"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指作为本机构（再保险接受人），按照权责发生制原则，当月已实现对非居民再保险分出人的保费收入。已赚分保费收入应不含提取的未到期责任准备金。</w:t>
            </w:r>
          </w:p>
        </w:tc>
        <w:tc>
          <w:tcPr>
            <w:tcW w:w="3544" w:type="dxa"/>
            <w:tcBorders>
              <w:top w:val="nil"/>
              <w:left w:val="nil"/>
              <w:bottom w:val="single" w:sz="4" w:space="0" w:color="auto"/>
              <w:right w:val="single" w:sz="4" w:space="0" w:color="auto"/>
            </w:tcBorders>
            <w:shd w:val="clear" w:color="auto" w:fill="auto"/>
          </w:tcPr>
          <w:p w14:paraId="6F18E635"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指作为本机构（再保险接受人），按照权责发生制原则，当月已实现对非居民再保险分出人的保费收入。</w:t>
            </w:r>
          </w:p>
        </w:tc>
      </w:tr>
      <w:tr w:rsidR="00A052DC" w14:paraId="365A0096" w14:textId="77777777">
        <w:trPr>
          <w:trHeight w:val="20"/>
          <w:jc w:val="center"/>
        </w:trPr>
        <w:tc>
          <w:tcPr>
            <w:tcW w:w="851" w:type="dxa"/>
            <w:tcBorders>
              <w:top w:val="nil"/>
              <w:left w:val="single" w:sz="4" w:space="0" w:color="auto"/>
              <w:bottom w:val="single" w:sz="4" w:space="0" w:color="auto"/>
              <w:right w:val="single" w:sz="4" w:space="0" w:color="auto"/>
            </w:tcBorders>
            <w:shd w:val="clear" w:color="auto" w:fill="auto"/>
          </w:tcPr>
          <w:p w14:paraId="42BDE9FB"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I02</w:t>
            </w:r>
          </w:p>
        </w:tc>
        <w:tc>
          <w:tcPr>
            <w:tcW w:w="1276" w:type="dxa"/>
            <w:tcBorders>
              <w:top w:val="nil"/>
              <w:left w:val="nil"/>
              <w:bottom w:val="single" w:sz="4" w:space="0" w:color="auto"/>
              <w:right w:val="single" w:sz="4" w:space="0" w:color="auto"/>
            </w:tcBorders>
            <w:shd w:val="clear" w:color="auto" w:fill="auto"/>
          </w:tcPr>
          <w:p w14:paraId="0AC60D91"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本月归属于非居民保单持有人的收益（补充保费）</w:t>
            </w:r>
          </w:p>
        </w:tc>
        <w:tc>
          <w:tcPr>
            <w:tcW w:w="3260" w:type="dxa"/>
            <w:tcBorders>
              <w:top w:val="nil"/>
              <w:left w:val="nil"/>
              <w:bottom w:val="single" w:sz="4" w:space="0" w:color="auto"/>
              <w:right w:val="single" w:sz="4" w:space="0" w:color="auto"/>
            </w:tcBorders>
            <w:shd w:val="clear" w:color="auto" w:fill="auto"/>
          </w:tcPr>
          <w:p w14:paraId="6B031CCF"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指本机构运用准备金进行投资而获取的投资收益，本表将这部分收益视同再保险分出人投入本机构的补充保费。</w:t>
            </w:r>
          </w:p>
        </w:tc>
        <w:tc>
          <w:tcPr>
            <w:tcW w:w="3544" w:type="dxa"/>
            <w:tcBorders>
              <w:top w:val="nil"/>
              <w:left w:val="nil"/>
              <w:bottom w:val="single" w:sz="4" w:space="0" w:color="auto"/>
              <w:right w:val="single" w:sz="4" w:space="0" w:color="auto"/>
            </w:tcBorders>
            <w:shd w:val="clear" w:color="auto" w:fill="auto"/>
          </w:tcPr>
          <w:p w14:paraId="717526AF"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是指本机构运用准备金进行投资而获取的投资收益，本表将这部分收益视同再保险分出人投入本机构的补充保费。申报主体可根据分保责任准备金投资回报情况，拆分出对非居民保单持有人的责任准备金产生的回报。</w:t>
            </w:r>
          </w:p>
        </w:tc>
      </w:tr>
    </w:tbl>
    <w:p w14:paraId="35D53B75" w14:textId="77777777" w:rsidR="00A052DC" w:rsidRDefault="00A052DC">
      <w:pPr>
        <w:jc w:val="center"/>
      </w:pPr>
    </w:p>
    <w:p w14:paraId="5056BD7C" w14:textId="77777777" w:rsidR="00A052DC" w:rsidRDefault="009F0A60" w:rsidP="0020251D">
      <w:pPr>
        <w:pStyle w:val="5"/>
      </w:pPr>
      <w:r>
        <w:rPr>
          <w:rFonts w:hint="eastAsia"/>
        </w:rPr>
        <w:t>1.4.3.8.2</w:t>
      </w:r>
      <w:r>
        <w:rPr>
          <w:rFonts w:hint="eastAsia"/>
        </w:rPr>
        <w:t>数据内容及数据格式调整</w:t>
      </w:r>
    </w:p>
    <w:tbl>
      <w:tblPr>
        <w:tblW w:w="8740" w:type="dxa"/>
        <w:jc w:val="center"/>
        <w:tblLook w:val="04A0" w:firstRow="1" w:lastRow="0" w:firstColumn="1" w:lastColumn="0" w:noHBand="0" w:noVBand="1"/>
      </w:tblPr>
      <w:tblGrid>
        <w:gridCol w:w="2416"/>
        <w:gridCol w:w="1862"/>
        <w:gridCol w:w="3250"/>
        <w:gridCol w:w="1212"/>
      </w:tblGrid>
      <w:tr w:rsidR="00A052DC" w14:paraId="2F6D216B" w14:textId="77777777">
        <w:trPr>
          <w:trHeight w:val="20"/>
          <w:tblHeader/>
          <w:jc w:val="center"/>
        </w:trPr>
        <w:tc>
          <w:tcPr>
            <w:tcW w:w="241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AB030EA" w14:textId="77777777" w:rsidR="00A052DC" w:rsidRDefault="009F0A60">
            <w:pPr>
              <w:pStyle w:val="B1"/>
            </w:pPr>
            <w:r>
              <w:rPr>
                <w:rFonts w:hint="eastAsia"/>
              </w:rPr>
              <w:t>表号</w:t>
            </w:r>
          </w:p>
        </w:tc>
        <w:tc>
          <w:tcPr>
            <w:tcW w:w="1862"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445145F1" w14:textId="77777777" w:rsidR="00A052DC" w:rsidRDefault="009F0A60">
            <w:pPr>
              <w:pStyle w:val="B1"/>
            </w:pPr>
            <w:r>
              <w:rPr>
                <w:rFonts w:hint="eastAsia"/>
              </w:rPr>
              <w:t>数据项</w:t>
            </w:r>
          </w:p>
        </w:tc>
        <w:tc>
          <w:tcPr>
            <w:tcW w:w="3250"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7CF50C95" w14:textId="77777777" w:rsidR="00A052DC" w:rsidRDefault="009F0A60">
            <w:pPr>
              <w:pStyle w:val="B1"/>
            </w:pPr>
            <w:r>
              <w:rPr>
                <w:rFonts w:hint="eastAsia"/>
              </w:rPr>
              <w:t>说明</w:t>
            </w:r>
          </w:p>
        </w:tc>
        <w:tc>
          <w:tcPr>
            <w:tcW w:w="1212"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5FF0AEC2" w14:textId="77777777" w:rsidR="00A052DC" w:rsidRDefault="009F0A60">
            <w:pPr>
              <w:pStyle w:val="B1"/>
            </w:pPr>
            <w:r>
              <w:rPr>
                <w:rFonts w:hint="eastAsia"/>
              </w:rPr>
              <w:t>调整类型</w:t>
            </w:r>
          </w:p>
        </w:tc>
      </w:tr>
      <w:tr w:rsidR="00A052DC" w14:paraId="69DB1330" w14:textId="77777777">
        <w:trPr>
          <w:trHeight w:val="20"/>
          <w:jc w:val="center"/>
        </w:trPr>
        <w:tc>
          <w:tcPr>
            <w:tcW w:w="2416" w:type="dxa"/>
            <w:tcBorders>
              <w:top w:val="nil"/>
              <w:left w:val="single" w:sz="4" w:space="0" w:color="auto"/>
              <w:bottom w:val="single" w:sz="4" w:space="0" w:color="auto"/>
              <w:right w:val="single" w:sz="4" w:space="0" w:color="auto"/>
            </w:tcBorders>
            <w:shd w:val="clear" w:color="auto" w:fill="auto"/>
            <w:vAlign w:val="center"/>
          </w:tcPr>
          <w:p w14:paraId="08A7D0A7"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Z01 单位基本情况信息</w:t>
            </w:r>
          </w:p>
        </w:tc>
        <w:tc>
          <w:tcPr>
            <w:tcW w:w="1862" w:type="dxa"/>
            <w:tcBorders>
              <w:top w:val="nil"/>
              <w:left w:val="nil"/>
              <w:bottom w:val="single" w:sz="4" w:space="0" w:color="auto"/>
              <w:right w:val="single" w:sz="4" w:space="0" w:color="auto"/>
            </w:tcBorders>
            <w:shd w:val="clear" w:color="auto" w:fill="auto"/>
            <w:vAlign w:val="center"/>
          </w:tcPr>
          <w:p w14:paraId="28FC54C9"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联系电话和电子邮箱</w:t>
            </w:r>
          </w:p>
        </w:tc>
        <w:tc>
          <w:tcPr>
            <w:tcW w:w="3250" w:type="dxa"/>
            <w:tcBorders>
              <w:top w:val="nil"/>
              <w:left w:val="nil"/>
              <w:bottom w:val="single" w:sz="4" w:space="0" w:color="auto"/>
              <w:right w:val="single" w:sz="4" w:space="0" w:color="auto"/>
            </w:tcBorders>
            <w:shd w:val="clear" w:color="auto" w:fill="auto"/>
            <w:vAlign w:val="center"/>
          </w:tcPr>
          <w:p w14:paraId="734D6CBF"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新增常用电子邮箱。</w:t>
            </w:r>
          </w:p>
        </w:tc>
        <w:tc>
          <w:tcPr>
            <w:tcW w:w="1212" w:type="dxa"/>
            <w:tcBorders>
              <w:top w:val="nil"/>
              <w:left w:val="nil"/>
              <w:bottom w:val="single" w:sz="4" w:space="0" w:color="auto"/>
              <w:right w:val="single" w:sz="4" w:space="0" w:color="auto"/>
            </w:tcBorders>
            <w:shd w:val="clear" w:color="auto" w:fill="auto"/>
            <w:vAlign w:val="center"/>
          </w:tcPr>
          <w:p w14:paraId="7C51D165"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变更</w:t>
            </w:r>
          </w:p>
        </w:tc>
      </w:tr>
      <w:tr w:rsidR="00A052DC" w14:paraId="27B30F22" w14:textId="77777777">
        <w:trPr>
          <w:trHeight w:val="20"/>
          <w:jc w:val="center"/>
        </w:trPr>
        <w:tc>
          <w:tcPr>
            <w:tcW w:w="2416" w:type="dxa"/>
            <w:tcBorders>
              <w:top w:val="nil"/>
              <w:left w:val="single" w:sz="4" w:space="0" w:color="auto"/>
              <w:bottom w:val="single" w:sz="4" w:space="0" w:color="auto"/>
              <w:right w:val="single" w:sz="4" w:space="0" w:color="auto"/>
            </w:tcBorders>
            <w:shd w:val="clear" w:color="auto" w:fill="auto"/>
            <w:vAlign w:val="center"/>
          </w:tcPr>
          <w:p w14:paraId="147C1040"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A01-1 对外直接投资（资产负债、利润及市值）</w:t>
            </w:r>
          </w:p>
        </w:tc>
        <w:tc>
          <w:tcPr>
            <w:tcW w:w="1862" w:type="dxa"/>
            <w:tcBorders>
              <w:top w:val="nil"/>
              <w:left w:val="nil"/>
              <w:bottom w:val="single" w:sz="4" w:space="0" w:color="auto"/>
              <w:right w:val="single" w:sz="4" w:space="0" w:color="auto"/>
            </w:tcBorders>
            <w:shd w:val="clear" w:color="auto" w:fill="auto"/>
            <w:vAlign w:val="center"/>
          </w:tcPr>
          <w:p w14:paraId="76882BBB"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申报主体持有该SPV或壳机构的股权比例（%）</w:t>
            </w:r>
          </w:p>
        </w:tc>
        <w:tc>
          <w:tcPr>
            <w:tcW w:w="3250" w:type="dxa"/>
            <w:tcBorders>
              <w:top w:val="nil"/>
              <w:left w:val="nil"/>
              <w:bottom w:val="single" w:sz="4" w:space="0" w:color="auto"/>
              <w:right w:val="single" w:sz="4" w:space="0" w:color="auto"/>
            </w:tcBorders>
            <w:shd w:val="clear" w:color="auto" w:fill="auto"/>
            <w:vAlign w:val="center"/>
          </w:tcPr>
          <w:p w14:paraId="6102A5E2"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对于申报主体是否通过SPV或壳机构持有该境外被投资机构选择“1-是”的，填报本统计期末（月度末），该境外一级SPV或壳机构（股本）权益中所占的比例。</w:t>
            </w:r>
          </w:p>
        </w:tc>
        <w:tc>
          <w:tcPr>
            <w:tcW w:w="1212" w:type="dxa"/>
            <w:tcBorders>
              <w:top w:val="nil"/>
              <w:left w:val="nil"/>
              <w:bottom w:val="single" w:sz="4" w:space="0" w:color="auto"/>
              <w:right w:val="single" w:sz="4" w:space="0" w:color="auto"/>
            </w:tcBorders>
            <w:shd w:val="clear" w:color="auto" w:fill="auto"/>
            <w:vAlign w:val="center"/>
          </w:tcPr>
          <w:p w14:paraId="3DA2C02B"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新增</w:t>
            </w:r>
          </w:p>
        </w:tc>
      </w:tr>
      <w:tr w:rsidR="00A052DC" w14:paraId="364F07AA" w14:textId="77777777">
        <w:trPr>
          <w:trHeight w:val="20"/>
          <w:jc w:val="center"/>
        </w:trPr>
        <w:tc>
          <w:tcPr>
            <w:tcW w:w="2416" w:type="dxa"/>
            <w:tcBorders>
              <w:top w:val="nil"/>
              <w:left w:val="single" w:sz="4" w:space="0" w:color="auto"/>
              <w:bottom w:val="single" w:sz="4" w:space="0" w:color="auto"/>
              <w:right w:val="single" w:sz="4" w:space="0" w:color="auto"/>
            </w:tcBorders>
            <w:shd w:val="clear" w:color="auto" w:fill="auto"/>
            <w:vAlign w:val="center"/>
          </w:tcPr>
          <w:p w14:paraId="1B585934"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A01-1 对外直接投资（资产负债、利润及市值）</w:t>
            </w:r>
          </w:p>
        </w:tc>
        <w:tc>
          <w:tcPr>
            <w:tcW w:w="1862" w:type="dxa"/>
            <w:tcBorders>
              <w:top w:val="nil"/>
              <w:left w:val="nil"/>
              <w:bottom w:val="single" w:sz="4" w:space="0" w:color="auto"/>
              <w:right w:val="single" w:sz="4" w:space="0" w:color="auto"/>
            </w:tcBorders>
            <w:shd w:val="clear" w:color="auto" w:fill="auto"/>
            <w:vAlign w:val="center"/>
          </w:tcPr>
          <w:p w14:paraId="2762EF2B"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境外被投资机构是否为上市企业</w:t>
            </w:r>
          </w:p>
        </w:tc>
        <w:tc>
          <w:tcPr>
            <w:tcW w:w="3250" w:type="dxa"/>
            <w:tcBorders>
              <w:top w:val="nil"/>
              <w:left w:val="nil"/>
              <w:bottom w:val="single" w:sz="4" w:space="0" w:color="auto"/>
              <w:right w:val="single" w:sz="4" w:space="0" w:color="auto"/>
            </w:tcBorders>
            <w:shd w:val="clear" w:color="auto" w:fill="auto"/>
            <w:vAlign w:val="center"/>
          </w:tcPr>
          <w:p w14:paraId="197DFED8"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当境外被投资机构为上市企业时选择“1-是”，反之选择“2-否”。</w:t>
            </w:r>
          </w:p>
        </w:tc>
        <w:tc>
          <w:tcPr>
            <w:tcW w:w="1212" w:type="dxa"/>
            <w:tcBorders>
              <w:top w:val="nil"/>
              <w:left w:val="nil"/>
              <w:bottom w:val="single" w:sz="4" w:space="0" w:color="auto"/>
              <w:right w:val="single" w:sz="4" w:space="0" w:color="auto"/>
            </w:tcBorders>
            <w:shd w:val="clear" w:color="auto" w:fill="auto"/>
            <w:vAlign w:val="center"/>
          </w:tcPr>
          <w:p w14:paraId="11A65D1E"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新增</w:t>
            </w:r>
          </w:p>
        </w:tc>
      </w:tr>
      <w:tr w:rsidR="00A052DC" w14:paraId="41D80989" w14:textId="77777777">
        <w:trPr>
          <w:trHeight w:val="20"/>
          <w:jc w:val="center"/>
        </w:trPr>
        <w:tc>
          <w:tcPr>
            <w:tcW w:w="2416" w:type="dxa"/>
            <w:tcBorders>
              <w:top w:val="nil"/>
              <w:left w:val="single" w:sz="4" w:space="0" w:color="auto"/>
              <w:bottom w:val="single" w:sz="4" w:space="0" w:color="auto"/>
              <w:right w:val="single" w:sz="4" w:space="0" w:color="auto"/>
            </w:tcBorders>
            <w:shd w:val="clear" w:color="auto" w:fill="auto"/>
            <w:vAlign w:val="center"/>
          </w:tcPr>
          <w:p w14:paraId="10E5CE57"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A01-1 对外直接投资（资产负债、利润及市值）</w:t>
            </w:r>
          </w:p>
        </w:tc>
        <w:tc>
          <w:tcPr>
            <w:tcW w:w="1862" w:type="dxa"/>
            <w:tcBorders>
              <w:top w:val="nil"/>
              <w:left w:val="nil"/>
              <w:bottom w:val="single" w:sz="4" w:space="0" w:color="auto"/>
              <w:right w:val="single" w:sz="4" w:space="0" w:color="auto"/>
            </w:tcBorders>
            <w:shd w:val="clear" w:color="auto" w:fill="auto"/>
            <w:vAlign w:val="center"/>
          </w:tcPr>
          <w:p w14:paraId="5B29A151"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期末归属于被投资机构所有者的权益</w:t>
            </w:r>
          </w:p>
        </w:tc>
        <w:tc>
          <w:tcPr>
            <w:tcW w:w="3250" w:type="dxa"/>
            <w:tcBorders>
              <w:top w:val="nil"/>
              <w:left w:val="nil"/>
              <w:bottom w:val="single" w:sz="4" w:space="0" w:color="auto"/>
              <w:right w:val="single" w:sz="4" w:space="0" w:color="auto"/>
            </w:tcBorders>
            <w:shd w:val="clear" w:color="auto" w:fill="auto"/>
            <w:vAlign w:val="center"/>
          </w:tcPr>
          <w:p w14:paraId="671E85BA"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指对应月度末，境外被投资机构合并资产负债表中“归属于母公司所有者权益（或股东权益）合计”，不包括少数股东权益。</w:t>
            </w:r>
          </w:p>
        </w:tc>
        <w:tc>
          <w:tcPr>
            <w:tcW w:w="1212" w:type="dxa"/>
            <w:tcBorders>
              <w:top w:val="nil"/>
              <w:left w:val="nil"/>
              <w:bottom w:val="single" w:sz="4" w:space="0" w:color="auto"/>
              <w:right w:val="single" w:sz="4" w:space="0" w:color="auto"/>
            </w:tcBorders>
            <w:shd w:val="clear" w:color="auto" w:fill="auto"/>
            <w:vAlign w:val="center"/>
          </w:tcPr>
          <w:p w14:paraId="18FD2097"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变更</w:t>
            </w:r>
          </w:p>
        </w:tc>
      </w:tr>
      <w:tr w:rsidR="00A052DC" w14:paraId="19898A39" w14:textId="77777777">
        <w:trPr>
          <w:trHeight w:val="20"/>
          <w:jc w:val="center"/>
        </w:trPr>
        <w:tc>
          <w:tcPr>
            <w:tcW w:w="2416" w:type="dxa"/>
            <w:tcBorders>
              <w:top w:val="nil"/>
              <w:left w:val="single" w:sz="4" w:space="0" w:color="auto"/>
              <w:bottom w:val="single" w:sz="4" w:space="0" w:color="auto"/>
              <w:right w:val="single" w:sz="4" w:space="0" w:color="auto"/>
            </w:tcBorders>
            <w:shd w:val="clear" w:color="auto" w:fill="auto"/>
            <w:vAlign w:val="center"/>
          </w:tcPr>
          <w:p w14:paraId="17F2ADF4"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A02-1 来华直接投资（资产负债及利润）</w:t>
            </w:r>
          </w:p>
        </w:tc>
        <w:tc>
          <w:tcPr>
            <w:tcW w:w="1862" w:type="dxa"/>
            <w:tcBorders>
              <w:top w:val="nil"/>
              <w:left w:val="nil"/>
              <w:bottom w:val="single" w:sz="4" w:space="0" w:color="auto"/>
              <w:right w:val="single" w:sz="4" w:space="0" w:color="auto"/>
            </w:tcBorders>
            <w:shd w:val="clear" w:color="auto" w:fill="auto"/>
            <w:vAlign w:val="center"/>
          </w:tcPr>
          <w:p w14:paraId="540833AB"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期末归属于本机构所有者的权益</w:t>
            </w:r>
          </w:p>
        </w:tc>
        <w:tc>
          <w:tcPr>
            <w:tcW w:w="3250" w:type="dxa"/>
            <w:tcBorders>
              <w:top w:val="nil"/>
              <w:left w:val="nil"/>
              <w:bottom w:val="single" w:sz="4" w:space="0" w:color="auto"/>
              <w:right w:val="single" w:sz="4" w:space="0" w:color="auto"/>
            </w:tcBorders>
            <w:shd w:val="clear" w:color="auto" w:fill="auto"/>
            <w:vAlign w:val="center"/>
          </w:tcPr>
          <w:p w14:paraId="59B312A4"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指对应月度末，本机构合并资产负债表中 “归属于母公司所有者权益（或股东权益）合计”，不包括少数股东权益。期末归属于本机构所有者权益=实收资本+资本公积+盈余公积+未分配利润+其他。对于境外投资者在境内的分支机构，如其将境外投资者拨付的“营运资金”记录为权益，则应纳入本项目统计，而不应统计在期末负债中境外母公司拨付的营运资金项下。</w:t>
            </w:r>
          </w:p>
        </w:tc>
        <w:tc>
          <w:tcPr>
            <w:tcW w:w="1212" w:type="dxa"/>
            <w:tcBorders>
              <w:top w:val="nil"/>
              <w:left w:val="nil"/>
              <w:bottom w:val="single" w:sz="4" w:space="0" w:color="auto"/>
              <w:right w:val="single" w:sz="4" w:space="0" w:color="auto"/>
            </w:tcBorders>
            <w:shd w:val="clear" w:color="auto" w:fill="auto"/>
            <w:vAlign w:val="center"/>
          </w:tcPr>
          <w:p w14:paraId="45DF1085"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变更</w:t>
            </w:r>
          </w:p>
        </w:tc>
      </w:tr>
      <w:tr w:rsidR="00A052DC" w14:paraId="065E9571" w14:textId="77777777">
        <w:trPr>
          <w:trHeight w:val="20"/>
          <w:jc w:val="center"/>
        </w:trPr>
        <w:tc>
          <w:tcPr>
            <w:tcW w:w="2416" w:type="dxa"/>
            <w:tcBorders>
              <w:top w:val="nil"/>
              <w:left w:val="single" w:sz="4" w:space="0" w:color="auto"/>
              <w:bottom w:val="single" w:sz="4" w:space="0" w:color="auto"/>
              <w:right w:val="single" w:sz="4" w:space="0" w:color="auto"/>
            </w:tcBorders>
            <w:shd w:val="clear" w:color="auto" w:fill="auto"/>
            <w:vAlign w:val="center"/>
          </w:tcPr>
          <w:p w14:paraId="4C886042"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A02-1 来华直接投资（资产负债及利润）</w:t>
            </w:r>
          </w:p>
        </w:tc>
        <w:tc>
          <w:tcPr>
            <w:tcW w:w="1862" w:type="dxa"/>
            <w:tcBorders>
              <w:top w:val="nil"/>
              <w:left w:val="nil"/>
              <w:bottom w:val="single" w:sz="4" w:space="0" w:color="auto"/>
              <w:right w:val="single" w:sz="4" w:space="0" w:color="auto"/>
            </w:tcBorders>
            <w:shd w:val="clear" w:color="auto" w:fill="auto"/>
            <w:vAlign w:val="center"/>
          </w:tcPr>
          <w:p w14:paraId="26E19C9E"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实收资本、资本公积、盈余公积、未分配利润、其他</w:t>
            </w:r>
          </w:p>
        </w:tc>
        <w:tc>
          <w:tcPr>
            <w:tcW w:w="3250" w:type="dxa"/>
            <w:tcBorders>
              <w:top w:val="nil"/>
              <w:left w:val="nil"/>
              <w:bottom w:val="single" w:sz="4" w:space="0" w:color="auto"/>
              <w:right w:val="single" w:sz="4" w:space="0" w:color="auto"/>
            </w:tcBorders>
            <w:shd w:val="clear" w:color="auto" w:fill="auto"/>
            <w:vAlign w:val="center"/>
          </w:tcPr>
          <w:p w14:paraId="38422EAB"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精简描述</w:t>
            </w:r>
          </w:p>
        </w:tc>
        <w:tc>
          <w:tcPr>
            <w:tcW w:w="1212" w:type="dxa"/>
            <w:tcBorders>
              <w:top w:val="nil"/>
              <w:left w:val="nil"/>
              <w:bottom w:val="single" w:sz="4" w:space="0" w:color="auto"/>
              <w:right w:val="single" w:sz="4" w:space="0" w:color="auto"/>
            </w:tcBorders>
            <w:shd w:val="clear" w:color="auto" w:fill="auto"/>
            <w:vAlign w:val="center"/>
          </w:tcPr>
          <w:p w14:paraId="5E0524B8"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变更</w:t>
            </w:r>
          </w:p>
        </w:tc>
      </w:tr>
      <w:tr w:rsidR="00A052DC" w14:paraId="427ED3E2" w14:textId="77777777">
        <w:trPr>
          <w:trHeight w:val="20"/>
          <w:jc w:val="center"/>
        </w:trPr>
        <w:tc>
          <w:tcPr>
            <w:tcW w:w="2416" w:type="dxa"/>
            <w:tcBorders>
              <w:top w:val="nil"/>
              <w:left w:val="single" w:sz="4" w:space="0" w:color="auto"/>
              <w:bottom w:val="single" w:sz="4" w:space="0" w:color="auto"/>
              <w:right w:val="single" w:sz="4" w:space="0" w:color="auto"/>
            </w:tcBorders>
            <w:shd w:val="clear" w:color="auto" w:fill="auto"/>
            <w:vAlign w:val="center"/>
          </w:tcPr>
          <w:p w14:paraId="7597C76B"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A02-2 来华直接投资（境外投资者持股情况）</w:t>
            </w:r>
          </w:p>
        </w:tc>
        <w:tc>
          <w:tcPr>
            <w:tcW w:w="1862" w:type="dxa"/>
            <w:tcBorders>
              <w:top w:val="nil"/>
              <w:left w:val="nil"/>
              <w:bottom w:val="single" w:sz="4" w:space="0" w:color="auto"/>
              <w:right w:val="single" w:sz="4" w:space="0" w:color="auto"/>
            </w:tcBorders>
            <w:shd w:val="clear" w:color="auto" w:fill="auto"/>
            <w:vAlign w:val="center"/>
          </w:tcPr>
          <w:p w14:paraId="5ACA5CFD"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境外投资者最终控制方全称、境外投资者最终控制方所属国家/地区</w:t>
            </w:r>
          </w:p>
        </w:tc>
        <w:tc>
          <w:tcPr>
            <w:tcW w:w="3250" w:type="dxa"/>
            <w:tcBorders>
              <w:top w:val="nil"/>
              <w:left w:val="nil"/>
              <w:bottom w:val="single" w:sz="4" w:space="0" w:color="auto"/>
              <w:right w:val="single" w:sz="4" w:space="0" w:color="auto"/>
            </w:tcBorders>
            <w:shd w:val="clear" w:color="auto" w:fill="auto"/>
            <w:vAlign w:val="center"/>
          </w:tcPr>
          <w:p w14:paraId="205E3F56"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在数据名称和定义中新增“境外投资者”相关描述</w:t>
            </w:r>
          </w:p>
        </w:tc>
        <w:tc>
          <w:tcPr>
            <w:tcW w:w="1212" w:type="dxa"/>
            <w:tcBorders>
              <w:top w:val="nil"/>
              <w:left w:val="nil"/>
              <w:bottom w:val="single" w:sz="4" w:space="0" w:color="auto"/>
              <w:right w:val="single" w:sz="4" w:space="0" w:color="auto"/>
            </w:tcBorders>
            <w:shd w:val="clear" w:color="auto" w:fill="auto"/>
            <w:vAlign w:val="center"/>
          </w:tcPr>
          <w:p w14:paraId="5AB08F85"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变更</w:t>
            </w:r>
          </w:p>
        </w:tc>
      </w:tr>
      <w:tr w:rsidR="00A052DC" w14:paraId="2F22D82A" w14:textId="77777777">
        <w:trPr>
          <w:trHeight w:val="20"/>
          <w:jc w:val="center"/>
        </w:trPr>
        <w:tc>
          <w:tcPr>
            <w:tcW w:w="2416" w:type="dxa"/>
            <w:tcBorders>
              <w:top w:val="nil"/>
              <w:left w:val="single" w:sz="4" w:space="0" w:color="auto"/>
              <w:bottom w:val="single" w:sz="4" w:space="0" w:color="auto"/>
              <w:right w:val="single" w:sz="4" w:space="0" w:color="auto"/>
            </w:tcBorders>
            <w:shd w:val="clear" w:color="auto" w:fill="auto"/>
            <w:vAlign w:val="center"/>
          </w:tcPr>
          <w:p w14:paraId="16935487"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B01 投资境外股本证券和投资基金份额（资产）</w:t>
            </w:r>
          </w:p>
        </w:tc>
        <w:tc>
          <w:tcPr>
            <w:tcW w:w="1862" w:type="dxa"/>
            <w:tcBorders>
              <w:top w:val="nil"/>
              <w:left w:val="nil"/>
              <w:bottom w:val="single" w:sz="4" w:space="0" w:color="auto"/>
              <w:right w:val="single" w:sz="4" w:space="0" w:color="auto"/>
            </w:tcBorders>
            <w:shd w:val="clear" w:color="auto" w:fill="auto"/>
            <w:vAlign w:val="center"/>
          </w:tcPr>
          <w:p w14:paraId="2D1E8733"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价值重估因素</w:t>
            </w:r>
          </w:p>
        </w:tc>
        <w:tc>
          <w:tcPr>
            <w:tcW w:w="3250" w:type="dxa"/>
            <w:tcBorders>
              <w:top w:val="nil"/>
              <w:left w:val="nil"/>
              <w:bottom w:val="single" w:sz="4" w:space="0" w:color="auto"/>
              <w:right w:val="single" w:sz="4" w:space="0" w:color="auto"/>
            </w:tcBorders>
            <w:shd w:val="clear" w:color="auto" w:fill="auto"/>
            <w:vAlign w:val="center"/>
          </w:tcPr>
          <w:p w14:paraId="0735864C"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剔除买卖因素和注销、调整或重新分类至其他报表统计的金额因素外，月内市场价格或近似参考价格波动带来的资产价值增减。必须满足：本月非交易变动=注销、调整或重新分类至其他报表统计的金额+价值重估因素。</w:t>
            </w:r>
          </w:p>
        </w:tc>
        <w:tc>
          <w:tcPr>
            <w:tcW w:w="1212" w:type="dxa"/>
            <w:tcBorders>
              <w:top w:val="nil"/>
              <w:left w:val="nil"/>
              <w:bottom w:val="single" w:sz="4" w:space="0" w:color="auto"/>
              <w:right w:val="single" w:sz="4" w:space="0" w:color="auto"/>
            </w:tcBorders>
            <w:shd w:val="clear" w:color="auto" w:fill="auto"/>
            <w:vAlign w:val="center"/>
          </w:tcPr>
          <w:p w14:paraId="2B6DD220"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变更</w:t>
            </w:r>
          </w:p>
        </w:tc>
      </w:tr>
      <w:tr w:rsidR="00A052DC" w14:paraId="2E35C245" w14:textId="77777777">
        <w:trPr>
          <w:trHeight w:val="20"/>
          <w:jc w:val="center"/>
        </w:trPr>
        <w:tc>
          <w:tcPr>
            <w:tcW w:w="2416" w:type="dxa"/>
            <w:tcBorders>
              <w:top w:val="nil"/>
              <w:left w:val="single" w:sz="4" w:space="0" w:color="auto"/>
              <w:bottom w:val="single" w:sz="4" w:space="0" w:color="auto"/>
              <w:right w:val="single" w:sz="4" w:space="0" w:color="auto"/>
            </w:tcBorders>
            <w:shd w:val="clear" w:color="auto" w:fill="auto"/>
            <w:vAlign w:val="center"/>
          </w:tcPr>
          <w:p w14:paraId="66CB821F"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B02 投资境外债务证券（资产）</w:t>
            </w:r>
          </w:p>
        </w:tc>
        <w:tc>
          <w:tcPr>
            <w:tcW w:w="1862" w:type="dxa"/>
            <w:tcBorders>
              <w:top w:val="nil"/>
              <w:left w:val="nil"/>
              <w:bottom w:val="single" w:sz="4" w:space="0" w:color="auto"/>
              <w:right w:val="single" w:sz="4" w:space="0" w:color="auto"/>
            </w:tcBorders>
            <w:shd w:val="clear" w:color="auto" w:fill="auto"/>
            <w:vAlign w:val="center"/>
          </w:tcPr>
          <w:p w14:paraId="284BC850"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业务类型</w:t>
            </w:r>
          </w:p>
        </w:tc>
        <w:tc>
          <w:tcPr>
            <w:tcW w:w="3250" w:type="dxa"/>
            <w:tcBorders>
              <w:top w:val="nil"/>
              <w:left w:val="nil"/>
              <w:bottom w:val="single" w:sz="4" w:space="0" w:color="auto"/>
              <w:right w:val="single" w:sz="4" w:space="0" w:color="auto"/>
            </w:tcBorders>
            <w:shd w:val="clear" w:color="auto" w:fill="auto"/>
            <w:vAlign w:val="center"/>
          </w:tcPr>
          <w:p w14:paraId="7E5071DC"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请填写：1-债券通；9-其他。</w:t>
            </w:r>
          </w:p>
        </w:tc>
        <w:tc>
          <w:tcPr>
            <w:tcW w:w="1212" w:type="dxa"/>
            <w:tcBorders>
              <w:top w:val="nil"/>
              <w:left w:val="nil"/>
              <w:bottom w:val="single" w:sz="4" w:space="0" w:color="auto"/>
              <w:right w:val="single" w:sz="4" w:space="0" w:color="auto"/>
            </w:tcBorders>
            <w:shd w:val="clear" w:color="auto" w:fill="auto"/>
            <w:vAlign w:val="center"/>
          </w:tcPr>
          <w:p w14:paraId="6F2D0C17"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新增</w:t>
            </w:r>
          </w:p>
        </w:tc>
      </w:tr>
      <w:tr w:rsidR="00A052DC" w14:paraId="022D2E1C" w14:textId="77777777">
        <w:trPr>
          <w:trHeight w:val="20"/>
          <w:jc w:val="center"/>
        </w:trPr>
        <w:tc>
          <w:tcPr>
            <w:tcW w:w="2416" w:type="dxa"/>
            <w:tcBorders>
              <w:top w:val="nil"/>
              <w:left w:val="single" w:sz="4" w:space="0" w:color="auto"/>
              <w:bottom w:val="single" w:sz="4" w:space="0" w:color="auto"/>
              <w:right w:val="single" w:sz="4" w:space="0" w:color="auto"/>
            </w:tcBorders>
            <w:shd w:val="clear" w:color="auto" w:fill="auto"/>
            <w:vAlign w:val="center"/>
          </w:tcPr>
          <w:p w14:paraId="5F6AAAE7"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B02 投资境外债务证券（资产）</w:t>
            </w:r>
          </w:p>
        </w:tc>
        <w:tc>
          <w:tcPr>
            <w:tcW w:w="1862" w:type="dxa"/>
            <w:tcBorders>
              <w:top w:val="nil"/>
              <w:left w:val="nil"/>
              <w:bottom w:val="single" w:sz="4" w:space="0" w:color="auto"/>
              <w:right w:val="single" w:sz="4" w:space="0" w:color="auto"/>
            </w:tcBorders>
            <w:shd w:val="clear" w:color="auto" w:fill="auto"/>
            <w:vAlign w:val="center"/>
          </w:tcPr>
          <w:p w14:paraId="1A2B57F5"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本月卖出金额其中：债券到期或提前兑付的本息金额</w:t>
            </w:r>
          </w:p>
        </w:tc>
        <w:tc>
          <w:tcPr>
            <w:tcW w:w="3250" w:type="dxa"/>
            <w:tcBorders>
              <w:top w:val="nil"/>
              <w:left w:val="nil"/>
              <w:bottom w:val="single" w:sz="4" w:space="0" w:color="auto"/>
              <w:right w:val="single" w:sz="4" w:space="0" w:color="auto"/>
            </w:tcBorders>
            <w:shd w:val="clear" w:color="auto" w:fill="auto"/>
            <w:vAlign w:val="center"/>
          </w:tcPr>
          <w:p w14:paraId="0BDA0509"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指本月内，债券发行人在债券到期日或到期日之前部分或全部偿还的本金和利息。</w:t>
            </w:r>
          </w:p>
        </w:tc>
        <w:tc>
          <w:tcPr>
            <w:tcW w:w="1212" w:type="dxa"/>
            <w:tcBorders>
              <w:top w:val="nil"/>
              <w:left w:val="nil"/>
              <w:bottom w:val="single" w:sz="4" w:space="0" w:color="auto"/>
              <w:right w:val="single" w:sz="4" w:space="0" w:color="auto"/>
            </w:tcBorders>
            <w:shd w:val="clear" w:color="auto" w:fill="auto"/>
            <w:vAlign w:val="center"/>
          </w:tcPr>
          <w:p w14:paraId="45FFD222"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新增</w:t>
            </w:r>
          </w:p>
        </w:tc>
      </w:tr>
      <w:tr w:rsidR="00A052DC" w14:paraId="07168465" w14:textId="77777777">
        <w:trPr>
          <w:trHeight w:val="20"/>
          <w:jc w:val="center"/>
        </w:trPr>
        <w:tc>
          <w:tcPr>
            <w:tcW w:w="2416" w:type="dxa"/>
            <w:tcBorders>
              <w:top w:val="nil"/>
              <w:left w:val="single" w:sz="4" w:space="0" w:color="auto"/>
              <w:bottom w:val="single" w:sz="4" w:space="0" w:color="auto"/>
              <w:right w:val="single" w:sz="4" w:space="0" w:color="auto"/>
            </w:tcBorders>
            <w:shd w:val="clear" w:color="auto" w:fill="auto"/>
            <w:vAlign w:val="center"/>
          </w:tcPr>
          <w:p w14:paraId="1A4E8DCA"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B02 投资境外债务证券（资产）</w:t>
            </w:r>
          </w:p>
        </w:tc>
        <w:tc>
          <w:tcPr>
            <w:tcW w:w="1862" w:type="dxa"/>
            <w:tcBorders>
              <w:top w:val="nil"/>
              <w:left w:val="nil"/>
              <w:bottom w:val="single" w:sz="4" w:space="0" w:color="auto"/>
              <w:right w:val="single" w:sz="4" w:space="0" w:color="auto"/>
            </w:tcBorders>
            <w:shd w:val="clear" w:color="auto" w:fill="auto"/>
            <w:vAlign w:val="center"/>
          </w:tcPr>
          <w:p w14:paraId="52A238E7"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本月末未到期/未偿付债券面值</w:t>
            </w:r>
          </w:p>
        </w:tc>
        <w:tc>
          <w:tcPr>
            <w:tcW w:w="3250" w:type="dxa"/>
            <w:tcBorders>
              <w:top w:val="nil"/>
              <w:left w:val="nil"/>
              <w:bottom w:val="single" w:sz="4" w:space="0" w:color="auto"/>
              <w:right w:val="single" w:sz="4" w:space="0" w:color="auto"/>
            </w:tcBorders>
            <w:shd w:val="clear" w:color="auto" w:fill="auto"/>
            <w:vAlign w:val="center"/>
          </w:tcPr>
          <w:p w14:paraId="346DE171"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债券面值为债券发行人在债券到期时需向持有人偿还的本金金额，本项应填报为债券票面金额与本月末投资者持有债券数量的乘积。</w:t>
            </w:r>
          </w:p>
        </w:tc>
        <w:tc>
          <w:tcPr>
            <w:tcW w:w="1212" w:type="dxa"/>
            <w:tcBorders>
              <w:top w:val="nil"/>
              <w:left w:val="nil"/>
              <w:bottom w:val="single" w:sz="4" w:space="0" w:color="auto"/>
              <w:right w:val="single" w:sz="4" w:space="0" w:color="auto"/>
            </w:tcBorders>
            <w:shd w:val="clear" w:color="auto" w:fill="auto"/>
            <w:vAlign w:val="center"/>
          </w:tcPr>
          <w:p w14:paraId="766E78A0"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新增</w:t>
            </w:r>
          </w:p>
        </w:tc>
      </w:tr>
      <w:tr w:rsidR="00A052DC" w14:paraId="3623578B" w14:textId="77777777">
        <w:trPr>
          <w:trHeight w:val="20"/>
          <w:jc w:val="center"/>
        </w:trPr>
        <w:tc>
          <w:tcPr>
            <w:tcW w:w="2416" w:type="dxa"/>
            <w:tcBorders>
              <w:top w:val="nil"/>
              <w:left w:val="single" w:sz="4" w:space="0" w:color="auto"/>
              <w:bottom w:val="single" w:sz="4" w:space="0" w:color="auto"/>
              <w:right w:val="single" w:sz="4" w:space="0" w:color="auto"/>
            </w:tcBorders>
            <w:shd w:val="clear" w:color="auto" w:fill="auto"/>
            <w:vAlign w:val="center"/>
          </w:tcPr>
          <w:p w14:paraId="05E1CA52"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B03 投资非居民境内发行股本证券和债务证券（资产）</w:t>
            </w:r>
          </w:p>
        </w:tc>
        <w:tc>
          <w:tcPr>
            <w:tcW w:w="1862" w:type="dxa"/>
            <w:tcBorders>
              <w:top w:val="nil"/>
              <w:left w:val="nil"/>
              <w:bottom w:val="single" w:sz="4" w:space="0" w:color="auto"/>
              <w:right w:val="single" w:sz="4" w:space="0" w:color="auto"/>
            </w:tcBorders>
            <w:shd w:val="clear" w:color="auto" w:fill="auto"/>
            <w:vAlign w:val="center"/>
          </w:tcPr>
          <w:p w14:paraId="421B6509"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投资者所属国家/地区</w:t>
            </w:r>
          </w:p>
        </w:tc>
        <w:tc>
          <w:tcPr>
            <w:tcW w:w="3250" w:type="dxa"/>
            <w:tcBorders>
              <w:top w:val="nil"/>
              <w:left w:val="nil"/>
              <w:bottom w:val="single" w:sz="4" w:space="0" w:color="auto"/>
              <w:right w:val="single" w:sz="4" w:space="0" w:color="auto"/>
            </w:tcBorders>
            <w:shd w:val="clear" w:color="auto" w:fill="auto"/>
            <w:vAlign w:val="center"/>
          </w:tcPr>
          <w:p w14:paraId="2FFFDB6B"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见国家和地区代码表，请填报购买非居民境内发行的相关产品的投资者注册（机构）或常住（个人）国家/地区代码。非居民投资者如通过QFII、RQFII等特定市场开放渠道购买非居民境内发行产品不属于本表统计范畴。</w:t>
            </w:r>
          </w:p>
        </w:tc>
        <w:tc>
          <w:tcPr>
            <w:tcW w:w="1212" w:type="dxa"/>
            <w:tcBorders>
              <w:top w:val="nil"/>
              <w:left w:val="nil"/>
              <w:bottom w:val="single" w:sz="4" w:space="0" w:color="auto"/>
              <w:right w:val="single" w:sz="4" w:space="0" w:color="auto"/>
            </w:tcBorders>
            <w:shd w:val="clear" w:color="auto" w:fill="auto"/>
            <w:vAlign w:val="center"/>
          </w:tcPr>
          <w:p w14:paraId="059166D9"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变更</w:t>
            </w:r>
          </w:p>
        </w:tc>
      </w:tr>
      <w:tr w:rsidR="00A052DC" w14:paraId="483DEC5D" w14:textId="77777777">
        <w:trPr>
          <w:trHeight w:val="20"/>
          <w:jc w:val="center"/>
        </w:trPr>
        <w:tc>
          <w:tcPr>
            <w:tcW w:w="2416" w:type="dxa"/>
            <w:tcBorders>
              <w:top w:val="nil"/>
              <w:left w:val="single" w:sz="4" w:space="0" w:color="auto"/>
              <w:bottom w:val="single" w:sz="4" w:space="0" w:color="auto"/>
              <w:right w:val="single" w:sz="4" w:space="0" w:color="auto"/>
            </w:tcBorders>
            <w:shd w:val="clear" w:color="auto" w:fill="auto"/>
            <w:vAlign w:val="center"/>
          </w:tcPr>
          <w:p w14:paraId="04E238A1"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B03 投资非居民境内发行股本证券和债务证券（资产）</w:t>
            </w:r>
          </w:p>
        </w:tc>
        <w:tc>
          <w:tcPr>
            <w:tcW w:w="1862" w:type="dxa"/>
            <w:tcBorders>
              <w:top w:val="nil"/>
              <w:left w:val="nil"/>
              <w:bottom w:val="single" w:sz="4" w:space="0" w:color="auto"/>
              <w:right w:val="single" w:sz="4" w:space="0" w:color="auto"/>
            </w:tcBorders>
            <w:shd w:val="clear" w:color="auto" w:fill="auto"/>
            <w:vAlign w:val="center"/>
          </w:tcPr>
          <w:p w14:paraId="75A336C0"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注销、调整或重新分类至其他报表统计的金额</w:t>
            </w:r>
          </w:p>
        </w:tc>
        <w:tc>
          <w:tcPr>
            <w:tcW w:w="3250" w:type="dxa"/>
            <w:tcBorders>
              <w:top w:val="nil"/>
              <w:left w:val="nil"/>
              <w:bottom w:val="single" w:sz="4" w:space="0" w:color="auto"/>
              <w:right w:val="single" w:sz="4" w:space="0" w:color="auto"/>
            </w:tcBorders>
            <w:shd w:val="clear" w:color="auto" w:fill="auto"/>
            <w:vAlign w:val="center"/>
          </w:tcPr>
          <w:p w14:paraId="117861C8"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指非买卖（买卖含过户、继承、法院裁定、大宗交易等）因素和非价值重估因素引起的证券资产数量增减和价值变动。包括但不限于相关债权注销，或相关资产从可流通的证券调整为不可流通的证券金额。必须满足：本月非交易变动=</w:t>
            </w:r>
            <w:r w:rsidR="00F719F7">
              <w:rPr>
                <w:rFonts w:ascii="黑体" w:eastAsia="黑体" w:hAnsi="黑体" w:cs="宋体" w:hint="eastAsia"/>
                <w:color w:val="000000"/>
                <w:kern w:val="0"/>
                <w:sz w:val="20"/>
                <w:szCs w:val="20"/>
              </w:rPr>
              <w:t>注销、调整或重新分类至其他报表统计的金额</w:t>
            </w:r>
            <w:r>
              <w:rPr>
                <w:rFonts w:ascii="黑体" w:eastAsia="黑体" w:hAnsi="黑体" w:cs="宋体" w:hint="eastAsia"/>
                <w:color w:val="000000"/>
                <w:kern w:val="0"/>
                <w:sz w:val="20"/>
                <w:szCs w:val="20"/>
              </w:rPr>
              <w:t>+价值重估因素。</w:t>
            </w:r>
          </w:p>
        </w:tc>
        <w:tc>
          <w:tcPr>
            <w:tcW w:w="1212" w:type="dxa"/>
            <w:tcBorders>
              <w:top w:val="nil"/>
              <w:left w:val="nil"/>
              <w:bottom w:val="single" w:sz="4" w:space="0" w:color="auto"/>
              <w:right w:val="single" w:sz="4" w:space="0" w:color="auto"/>
            </w:tcBorders>
            <w:shd w:val="clear" w:color="auto" w:fill="auto"/>
            <w:vAlign w:val="center"/>
          </w:tcPr>
          <w:p w14:paraId="524BFD36"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变更</w:t>
            </w:r>
          </w:p>
        </w:tc>
      </w:tr>
      <w:tr w:rsidR="00A052DC" w14:paraId="730E75D4" w14:textId="77777777">
        <w:trPr>
          <w:trHeight w:val="20"/>
          <w:jc w:val="center"/>
        </w:trPr>
        <w:tc>
          <w:tcPr>
            <w:tcW w:w="2416" w:type="dxa"/>
            <w:tcBorders>
              <w:top w:val="nil"/>
              <w:left w:val="single" w:sz="4" w:space="0" w:color="auto"/>
              <w:bottom w:val="single" w:sz="4" w:space="0" w:color="auto"/>
              <w:right w:val="single" w:sz="4" w:space="0" w:color="auto"/>
            </w:tcBorders>
            <w:shd w:val="clear" w:color="auto" w:fill="auto"/>
            <w:vAlign w:val="center"/>
          </w:tcPr>
          <w:p w14:paraId="0AA18D45"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B03 投资非居民境内发行股本证券和债务证券（资产）</w:t>
            </w:r>
          </w:p>
        </w:tc>
        <w:tc>
          <w:tcPr>
            <w:tcW w:w="1862" w:type="dxa"/>
            <w:tcBorders>
              <w:top w:val="nil"/>
              <w:left w:val="nil"/>
              <w:bottom w:val="single" w:sz="4" w:space="0" w:color="auto"/>
              <w:right w:val="single" w:sz="4" w:space="0" w:color="auto"/>
            </w:tcBorders>
            <w:shd w:val="clear" w:color="auto" w:fill="auto"/>
            <w:vAlign w:val="center"/>
          </w:tcPr>
          <w:p w14:paraId="72B54F9A"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价值重估因素</w:t>
            </w:r>
          </w:p>
        </w:tc>
        <w:tc>
          <w:tcPr>
            <w:tcW w:w="3250" w:type="dxa"/>
            <w:tcBorders>
              <w:top w:val="nil"/>
              <w:left w:val="nil"/>
              <w:bottom w:val="single" w:sz="4" w:space="0" w:color="auto"/>
              <w:right w:val="single" w:sz="4" w:space="0" w:color="auto"/>
            </w:tcBorders>
            <w:shd w:val="clear" w:color="auto" w:fill="auto"/>
            <w:vAlign w:val="center"/>
          </w:tcPr>
          <w:p w14:paraId="30BBC859"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指剔除买卖因素和</w:t>
            </w:r>
            <w:r w:rsidR="005736AC" w:rsidRPr="005736AC">
              <w:rPr>
                <w:rFonts w:ascii="黑体" w:eastAsia="黑体" w:hAnsi="黑体" w:cs="宋体" w:hint="eastAsia"/>
                <w:color w:val="000000"/>
                <w:kern w:val="0"/>
                <w:sz w:val="20"/>
                <w:szCs w:val="20"/>
              </w:rPr>
              <w:t>注销、调整或重新分类至其他报表统计的金额</w:t>
            </w:r>
            <w:r>
              <w:rPr>
                <w:rFonts w:ascii="黑体" w:eastAsia="黑体" w:hAnsi="黑体" w:cs="宋体" w:hint="eastAsia"/>
                <w:color w:val="000000"/>
                <w:kern w:val="0"/>
                <w:sz w:val="20"/>
                <w:szCs w:val="20"/>
              </w:rPr>
              <w:t>因素外，本月市场价格或近似参考价格波动带来的相关工具价值增减。必须满足：本月非交易变动=</w:t>
            </w:r>
            <w:r w:rsidR="00004EF7">
              <w:rPr>
                <w:rFonts w:ascii="黑体" w:eastAsia="黑体" w:hAnsi="黑体" w:cs="宋体" w:hint="eastAsia"/>
                <w:color w:val="000000"/>
                <w:kern w:val="0"/>
                <w:sz w:val="20"/>
                <w:szCs w:val="20"/>
              </w:rPr>
              <w:t>注销、调整或重新分类至其他报表统计的金额</w:t>
            </w:r>
            <w:r>
              <w:rPr>
                <w:rFonts w:ascii="黑体" w:eastAsia="黑体" w:hAnsi="黑体" w:cs="宋体" w:hint="eastAsia"/>
                <w:color w:val="000000"/>
                <w:kern w:val="0"/>
                <w:sz w:val="20"/>
                <w:szCs w:val="20"/>
              </w:rPr>
              <w:t>+价值重估因素。</w:t>
            </w:r>
          </w:p>
        </w:tc>
        <w:tc>
          <w:tcPr>
            <w:tcW w:w="1212" w:type="dxa"/>
            <w:tcBorders>
              <w:top w:val="nil"/>
              <w:left w:val="nil"/>
              <w:bottom w:val="single" w:sz="4" w:space="0" w:color="auto"/>
              <w:right w:val="single" w:sz="4" w:space="0" w:color="auto"/>
            </w:tcBorders>
            <w:shd w:val="clear" w:color="auto" w:fill="auto"/>
            <w:vAlign w:val="center"/>
          </w:tcPr>
          <w:p w14:paraId="2F01CC7C"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变更</w:t>
            </w:r>
          </w:p>
        </w:tc>
      </w:tr>
      <w:tr w:rsidR="00A052DC" w14:paraId="24281CBA" w14:textId="77777777">
        <w:trPr>
          <w:trHeight w:val="20"/>
          <w:jc w:val="center"/>
        </w:trPr>
        <w:tc>
          <w:tcPr>
            <w:tcW w:w="2416" w:type="dxa"/>
            <w:tcBorders>
              <w:top w:val="nil"/>
              <w:left w:val="single" w:sz="4" w:space="0" w:color="auto"/>
              <w:bottom w:val="single" w:sz="4" w:space="0" w:color="auto"/>
              <w:right w:val="single" w:sz="4" w:space="0" w:color="auto"/>
            </w:tcBorders>
            <w:shd w:val="clear" w:color="auto" w:fill="auto"/>
            <w:vAlign w:val="center"/>
          </w:tcPr>
          <w:p w14:paraId="0CCB3C7B"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B03 投资非居民境内发行股本证券和债务证券（资产）</w:t>
            </w:r>
          </w:p>
        </w:tc>
        <w:tc>
          <w:tcPr>
            <w:tcW w:w="1862" w:type="dxa"/>
            <w:tcBorders>
              <w:top w:val="nil"/>
              <w:left w:val="nil"/>
              <w:bottom w:val="single" w:sz="4" w:space="0" w:color="auto"/>
              <w:right w:val="single" w:sz="4" w:space="0" w:color="auto"/>
            </w:tcBorders>
            <w:shd w:val="clear" w:color="auto" w:fill="auto"/>
            <w:vAlign w:val="center"/>
          </w:tcPr>
          <w:p w14:paraId="6BDBF4E7"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本月末市值其中：剩余期限在一年及以下</w:t>
            </w:r>
          </w:p>
        </w:tc>
        <w:tc>
          <w:tcPr>
            <w:tcW w:w="3250" w:type="dxa"/>
            <w:tcBorders>
              <w:top w:val="nil"/>
              <w:left w:val="nil"/>
              <w:bottom w:val="single" w:sz="4" w:space="0" w:color="auto"/>
              <w:right w:val="single" w:sz="4" w:space="0" w:color="auto"/>
            </w:tcBorders>
            <w:shd w:val="clear" w:color="auto" w:fill="auto"/>
            <w:vAlign w:val="center"/>
          </w:tcPr>
          <w:p w14:paraId="704F20ED"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指非居民发行主体发行在外的、自本月末至最终到期在一年及以下的债务类金融产品（如债券）的市值。按本月末最后一个交易日该类债券工具的全价计值。本项仅限债务证券使用，非债务性工具不填报此项。</w:t>
            </w:r>
          </w:p>
        </w:tc>
        <w:tc>
          <w:tcPr>
            <w:tcW w:w="1212" w:type="dxa"/>
            <w:tcBorders>
              <w:top w:val="nil"/>
              <w:left w:val="nil"/>
              <w:bottom w:val="single" w:sz="4" w:space="0" w:color="auto"/>
              <w:right w:val="single" w:sz="4" w:space="0" w:color="auto"/>
            </w:tcBorders>
            <w:shd w:val="clear" w:color="auto" w:fill="auto"/>
            <w:vAlign w:val="center"/>
          </w:tcPr>
          <w:p w14:paraId="26AF0A3A"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变更</w:t>
            </w:r>
          </w:p>
        </w:tc>
      </w:tr>
      <w:tr w:rsidR="00A052DC" w14:paraId="709E30EB" w14:textId="77777777">
        <w:trPr>
          <w:trHeight w:val="20"/>
          <w:jc w:val="center"/>
        </w:trPr>
        <w:tc>
          <w:tcPr>
            <w:tcW w:w="2416" w:type="dxa"/>
            <w:tcBorders>
              <w:top w:val="nil"/>
              <w:left w:val="single" w:sz="4" w:space="0" w:color="auto"/>
              <w:bottom w:val="single" w:sz="4" w:space="0" w:color="auto"/>
              <w:right w:val="single" w:sz="4" w:space="0" w:color="auto"/>
            </w:tcBorders>
            <w:shd w:val="clear" w:color="auto" w:fill="auto"/>
            <w:vAlign w:val="center"/>
          </w:tcPr>
          <w:p w14:paraId="31E2D440"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B03 投资非居民境内发行股本证券和债务证券（资产）</w:t>
            </w:r>
          </w:p>
        </w:tc>
        <w:tc>
          <w:tcPr>
            <w:tcW w:w="1862" w:type="dxa"/>
            <w:tcBorders>
              <w:top w:val="nil"/>
              <w:left w:val="nil"/>
              <w:bottom w:val="single" w:sz="4" w:space="0" w:color="auto"/>
              <w:right w:val="single" w:sz="4" w:space="0" w:color="auto"/>
            </w:tcBorders>
            <w:shd w:val="clear" w:color="auto" w:fill="auto"/>
            <w:vAlign w:val="center"/>
          </w:tcPr>
          <w:p w14:paraId="65F57C6E"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本月卖出（赎回）金额其中：债券到期或提前兑付的本息金额</w:t>
            </w:r>
          </w:p>
        </w:tc>
        <w:tc>
          <w:tcPr>
            <w:tcW w:w="3250" w:type="dxa"/>
            <w:tcBorders>
              <w:top w:val="nil"/>
              <w:left w:val="nil"/>
              <w:bottom w:val="single" w:sz="4" w:space="0" w:color="auto"/>
              <w:right w:val="single" w:sz="4" w:space="0" w:color="auto"/>
            </w:tcBorders>
            <w:shd w:val="clear" w:color="auto" w:fill="auto"/>
            <w:vAlign w:val="center"/>
          </w:tcPr>
          <w:p w14:paraId="15B3785B"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指本月内，债券发行人在到期日或到期日之前部分或全部偿还的本金和利息。本项仅限债务证券使用，非债务性工具不填报此项。</w:t>
            </w:r>
          </w:p>
        </w:tc>
        <w:tc>
          <w:tcPr>
            <w:tcW w:w="1212" w:type="dxa"/>
            <w:tcBorders>
              <w:top w:val="nil"/>
              <w:left w:val="nil"/>
              <w:bottom w:val="single" w:sz="4" w:space="0" w:color="auto"/>
              <w:right w:val="single" w:sz="4" w:space="0" w:color="auto"/>
            </w:tcBorders>
            <w:shd w:val="clear" w:color="auto" w:fill="auto"/>
            <w:vAlign w:val="center"/>
          </w:tcPr>
          <w:p w14:paraId="211D0038"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新增</w:t>
            </w:r>
          </w:p>
        </w:tc>
      </w:tr>
      <w:tr w:rsidR="00A052DC" w14:paraId="6B56822B" w14:textId="77777777">
        <w:trPr>
          <w:trHeight w:val="20"/>
          <w:jc w:val="center"/>
        </w:trPr>
        <w:tc>
          <w:tcPr>
            <w:tcW w:w="2416" w:type="dxa"/>
            <w:tcBorders>
              <w:top w:val="nil"/>
              <w:left w:val="single" w:sz="4" w:space="0" w:color="auto"/>
              <w:bottom w:val="single" w:sz="4" w:space="0" w:color="auto"/>
              <w:right w:val="single" w:sz="4" w:space="0" w:color="auto"/>
            </w:tcBorders>
            <w:shd w:val="clear" w:color="auto" w:fill="auto"/>
            <w:vAlign w:val="center"/>
          </w:tcPr>
          <w:p w14:paraId="7FC799A2"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B03 投资非居民境内发行股本证券和债务证券（资产）</w:t>
            </w:r>
          </w:p>
        </w:tc>
        <w:tc>
          <w:tcPr>
            <w:tcW w:w="1862" w:type="dxa"/>
            <w:tcBorders>
              <w:top w:val="nil"/>
              <w:left w:val="nil"/>
              <w:bottom w:val="single" w:sz="4" w:space="0" w:color="auto"/>
              <w:right w:val="single" w:sz="4" w:space="0" w:color="auto"/>
            </w:tcBorders>
            <w:shd w:val="clear" w:color="auto" w:fill="auto"/>
            <w:vAlign w:val="center"/>
          </w:tcPr>
          <w:p w14:paraId="275DDC35"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本月末未到期/未偿付债券面值</w:t>
            </w:r>
          </w:p>
        </w:tc>
        <w:tc>
          <w:tcPr>
            <w:tcW w:w="3250" w:type="dxa"/>
            <w:tcBorders>
              <w:top w:val="nil"/>
              <w:left w:val="nil"/>
              <w:bottom w:val="single" w:sz="4" w:space="0" w:color="auto"/>
              <w:right w:val="single" w:sz="4" w:space="0" w:color="auto"/>
            </w:tcBorders>
            <w:shd w:val="clear" w:color="auto" w:fill="auto"/>
            <w:vAlign w:val="center"/>
          </w:tcPr>
          <w:p w14:paraId="56D59693"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债券面值为在债券发行人在债券到期时需向持有人偿还的本金金额，本项应填报为债券票面金额与本月末投资者持有债券数量的乘积。</w:t>
            </w:r>
          </w:p>
        </w:tc>
        <w:tc>
          <w:tcPr>
            <w:tcW w:w="1212" w:type="dxa"/>
            <w:tcBorders>
              <w:top w:val="nil"/>
              <w:left w:val="nil"/>
              <w:bottom w:val="single" w:sz="4" w:space="0" w:color="auto"/>
              <w:right w:val="single" w:sz="4" w:space="0" w:color="auto"/>
            </w:tcBorders>
            <w:shd w:val="clear" w:color="auto" w:fill="auto"/>
            <w:vAlign w:val="center"/>
          </w:tcPr>
          <w:p w14:paraId="5AFE5D84"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新增</w:t>
            </w:r>
          </w:p>
        </w:tc>
      </w:tr>
      <w:tr w:rsidR="00A052DC" w14:paraId="05475BEB" w14:textId="77777777">
        <w:trPr>
          <w:trHeight w:val="20"/>
          <w:jc w:val="center"/>
        </w:trPr>
        <w:tc>
          <w:tcPr>
            <w:tcW w:w="2416" w:type="dxa"/>
            <w:tcBorders>
              <w:top w:val="nil"/>
              <w:left w:val="single" w:sz="4" w:space="0" w:color="auto"/>
              <w:bottom w:val="single" w:sz="4" w:space="0" w:color="auto"/>
              <w:right w:val="single" w:sz="4" w:space="0" w:color="auto"/>
            </w:tcBorders>
            <w:shd w:val="clear" w:color="auto" w:fill="auto"/>
            <w:vAlign w:val="center"/>
          </w:tcPr>
          <w:p w14:paraId="70CC9711"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B04 吸收境外股权和基金份额投资（负债）</w:t>
            </w:r>
          </w:p>
        </w:tc>
        <w:tc>
          <w:tcPr>
            <w:tcW w:w="1862" w:type="dxa"/>
            <w:tcBorders>
              <w:top w:val="nil"/>
              <w:left w:val="nil"/>
              <w:bottom w:val="single" w:sz="4" w:space="0" w:color="auto"/>
              <w:right w:val="single" w:sz="4" w:space="0" w:color="auto"/>
            </w:tcBorders>
            <w:shd w:val="clear" w:color="auto" w:fill="auto"/>
            <w:vAlign w:val="center"/>
          </w:tcPr>
          <w:p w14:paraId="73CC534B"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本月发行金额</w:t>
            </w:r>
          </w:p>
        </w:tc>
        <w:tc>
          <w:tcPr>
            <w:tcW w:w="3250" w:type="dxa"/>
            <w:tcBorders>
              <w:top w:val="nil"/>
              <w:left w:val="nil"/>
              <w:bottom w:val="single" w:sz="4" w:space="0" w:color="auto"/>
              <w:right w:val="single" w:sz="4" w:space="0" w:color="auto"/>
            </w:tcBorders>
            <w:shd w:val="clear" w:color="auto" w:fill="auto"/>
            <w:vAlign w:val="center"/>
          </w:tcPr>
          <w:p w14:paraId="00A468A6"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指本月内，向相关投资者新发或增发相关股本证券或投资基金份额/单位的金额。如出现可转债转换为股本证券的，视为本月回购相关债券，发行股本证券。</w:t>
            </w:r>
          </w:p>
        </w:tc>
        <w:tc>
          <w:tcPr>
            <w:tcW w:w="1212" w:type="dxa"/>
            <w:tcBorders>
              <w:top w:val="nil"/>
              <w:left w:val="nil"/>
              <w:bottom w:val="single" w:sz="4" w:space="0" w:color="auto"/>
              <w:right w:val="single" w:sz="4" w:space="0" w:color="auto"/>
            </w:tcBorders>
            <w:shd w:val="clear" w:color="auto" w:fill="auto"/>
            <w:vAlign w:val="center"/>
          </w:tcPr>
          <w:p w14:paraId="3E4F5A48"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变更</w:t>
            </w:r>
          </w:p>
        </w:tc>
      </w:tr>
      <w:tr w:rsidR="00A052DC" w14:paraId="238F3339" w14:textId="77777777">
        <w:trPr>
          <w:trHeight w:val="20"/>
          <w:jc w:val="center"/>
        </w:trPr>
        <w:tc>
          <w:tcPr>
            <w:tcW w:w="2416" w:type="dxa"/>
            <w:tcBorders>
              <w:top w:val="nil"/>
              <w:left w:val="single" w:sz="4" w:space="0" w:color="auto"/>
              <w:bottom w:val="single" w:sz="4" w:space="0" w:color="auto"/>
              <w:right w:val="single" w:sz="4" w:space="0" w:color="auto"/>
            </w:tcBorders>
            <w:shd w:val="clear" w:color="auto" w:fill="auto"/>
            <w:vAlign w:val="center"/>
          </w:tcPr>
          <w:p w14:paraId="1D9E0A8F"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B04 吸收境外股权和基金份额投资（负债）</w:t>
            </w:r>
          </w:p>
        </w:tc>
        <w:tc>
          <w:tcPr>
            <w:tcW w:w="1862" w:type="dxa"/>
            <w:tcBorders>
              <w:top w:val="nil"/>
              <w:left w:val="nil"/>
              <w:bottom w:val="single" w:sz="4" w:space="0" w:color="auto"/>
              <w:right w:val="single" w:sz="4" w:space="0" w:color="auto"/>
            </w:tcBorders>
            <w:shd w:val="clear" w:color="auto" w:fill="auto"/>
            <w:vAlign w:val="center"/>
          </w:tcPr>
          <w:p w14:paraId="5307CEAA"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本月回购（赎回）金额</w:t>
            </w:r>
          </w:p>
        </w:tc>
        <w:tc>
          <w:tcPr>
            <w:tcW w:w="3250" w:type="dxa"/>
            <w:tcBorders>
              <w:top w:val="nil"/>
              <w:left w:val="nil"/>
              <w:bottom w:val="single" w:sz="4" w:space="0" w:color="auto"/>
              <w:right w:val="single" w:sz="4" w:space="0" w:color="auto"/>
            </w:tcBorders>
            <w:shd w:val="clear" w:color="auto" w:fill="auto"/>
            <w:vAlign w:val="center"/>
          </w:tcPr>
          <w:p w14:paraId="6D902ADE"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指本月内，从相关投资者处回购或赎回本机构的股本证券或投资基金份额/单位的金额。</w:t>
            </w:r>
          </w:p>
        </w:tc>
        <w:tc>
          <w:tcPr>
            <w:tcW w:w="1212" w:type="dxa"/>
            <w:tcBorders>
              <w:top w:val="nil"/>
              <w:left w:val="nil"/>
              <w:bottom w:val="single" w:sz="4" w:space="0" w:color="auto"/>
              <w:right w:val="single" w:sz="4" w:space="0" w:color="auto"/>
            </w:tcBorders>
            <w:shd w:val="clear" w:color="auto" w:fill="auto"/>
            <w:vAlign w:val="center"/>
          </w:tcPr>
          <w:p w14:paraId="4EC9820E"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变更</w:t>
            </w:r>
          </w:p>
        </w:tc>
      </w:tr>
      <w:tr w:rsidR="00A052DC" w14:paraId="658A8C8E" w14:textId="77777777">
        <w:trPr>
          <w:trHeight w:val="20"/>
          <w:jc w:val="center"/>
        </w:trPr>
        <w:tc>
          <w:tcPr>
            <w:tcW w:w="2416" w:type="dxa"/>
            <w:tcBorders>
              <w:top w:val="nil"/>
              <w:left w:val="single" w:sz="4" w:space="0" w:color="auto"/>
              <w:bottom w:val="single" w:sz="4" w:space="0" w:color="auto"/>
              <w:right w:val="single" w:sz="4" w:space="0" w:color="auto"/>
            </w:tcBorders>
            <w:shd w:val="clear" w:color="auto" w:fill="auto"/>
            <w:vAlign w:val="center"/>
          </w:tcPr>
          <w:p w14:paraId="47ACC6E8"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B04 吸收境外股权和基金份额投资（负债）</w:t>
            </w:r>
          </w:p>
        </w:tc>
        <w:tc>
          <w:tcPr>
            <w:tcW w:w="1862" w:type="dxa"/>
            <w:tcBorders>
              <w:top w:val="nil"/>
              <w:left w:val="nil"/>
              <w:bottom w:val="single" w:sz="4" w:space="0" w:color="auto"/>
              <w:right w:val="single" w:sz="4" w:space="0" w:color="auto"/>
            </w:tcBorders>
            <w:shd w:val="clear" w:color="auto" w:fill="auto"/>
            <w:vAlign w:val="center"/>
          </w:tcPr>
          <w:p w14:paraId="4A578AC5"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调整或重新分类至其他报表统计的金额</w:t>
            </w:r>
          </w:p>
        </w:tc>
        <w:tc>
          <w:tcPr>
            <w:tcW w:w="3250" w:type="dxa"/>
            <w:tcBorders>
              <w:top w:val="nil"/>
              <w:left w:val="nil"/>
              <w:bottom w:val="single" w:sz="4" w:space="0" w:color="auto"/>
              <w:right w:val="single" w:sz="4" w:space="0" w:color="auto"/>
            </w:tcBorders>
            <w:shd w:val="clear" w:color="auto" w:fill="auto"/>
            <w:vAlign w:val="center"/>
          </w:tcPr>
          <w:p w14:paraId="1B739544" w14:textId="77777777" w:rsidR="00A052DC" w:rsidRDefault="009F0A60" w:rsidP="00F719F7">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指非买卖因素引起的证券资产数量增减和价值变动。包括但不限于本月因相关投资者期末持有本机构表决权比例≥10%而被重新分类至来华直接投资统计的金额。必须满足：本月非交易变动=调整</w:t>
            </w:r>
            <w:r w:rsidR="00F719F7">
              <w:rPr>
                <w:rFonts w:ascii="黑体" w:eastAsia="黑体" w:hAnsi="黑体" w:cs="宋体" w:hint="eastAsia"/>
                <w:color w:val="000000"/>
                <w:kern w:val="0"/>
                <w:sz w:val="20"/>
                <w:szCs w:val="20"/>
              </w:rPr>
              <w:t>或</w:t>
            </w:r>
            <w:r>
              <w:rPr>
                <w:rFonts w:ascii="黑体" w:eastAsia="黑体" w:hAnsi="黑体" w:cs="宋体" w:hint="eastAsia"/>
                <w:color w:val="000000"/>
                <w:kern w:val="0"/>
                <w:sz w:val="20"/>
                <w:szCs w:val="20"/>
              </w:rPr>
              <w:t>重新分类至其他报表统计的金额+价值重估因素。</w:t>
            </w:r>
          </w:p>
        </w:tc>
        <w:tc>
          <w:tcPr>
            <w:tcW w:w="1212" w:type="dxa"/>
            <w:tcBorders>
              <w:top w:val="nil"/>
              <w:left w:val="nil"/>
              <w:bottom w:val="single" w:sz="4" w:space="0" w:color="auto"/>
              <w:right w:val="single" w:sz="4" w:space="0" w:color="auto"/>
            </w:tcBorders>
            <w:shd w:val="clear" w:color="auto" w:fill="auto"/>
            <w:vAlign w:val="center"/>
          </w:tcPr>
          <w:p w14:paraId="3C32022F"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变更</w:t>
            </w:r>
          </w:p>
        </w:tc>
      </w:tr>
      <w:tr w:rsidR="00A052DC" w14:paraId="4E92F1F2" w14:textId="77777777">
        <w:trPr>
          <w:trHeight w:val="20"/>
          <w:jc w:val="center"/>
        </w:trPr>
        <w:tc>
          <w:tcPr>
            <w:tcW w:w="2416" w:type="dxa"/>
            <w:tcBorders>
              <w:top w:val="nil"/>
              <w:left w:val="single" w:sz="4" w:space="0" w:color="auto"/>
              <w:bottom w:val="single" w:sz="4" w:space="0" w:color="auto"/>
              <w:right w:val="single" w:sz="4" w:space="0" w:color="auto"/>
            </w:tcBorders>
            <w:shd w:val="clear" w:color="auto" w:fill="auto"/>
            <w:vAlign w:val="center"/>
          </w:tcPr>
          <w:p w14:paraId="0F3F085E"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B04 吸收境外股权和基金份额投资（负债）</w:t>
            </w:r>
          </w:p>
        </w:tc>
        <w:tc>
          <w:tcPr>
            <w:tcW w:w="1862" w:type="dxa"/>
            <w:tcBorders>
              <w:top w:val="nil"/>
              <w:left w:val="nil"/>
              <w:bottom w:val="single" w:sz="4" w:space="0" w:color="auto"/>
              <w:right w:val="single" w:sz="4" w:space="0" w:color="auto"/>
            </w:tcBorders>
            <w:shd w:val="clear" w:color="auto" w:fill="auto"/>
            <w:vAlign w:val="center"/>
          </w:tcPr>
          <w:p w14:paraId="0030BD64"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价值重估因素</w:t>
            </w:r>
          </w:p>
        </w:tc>
        <w:tc>
          <w:tcPr>
            <w:tcW w:w="3250" w:type="dxa"/>
            <w:tcBorders>
              <w:top w:val="nil"/>
              <w:left w:val="nil"/>
              <w:bottom w:val="single" w:sz="4" w:space="0" w:color="auto"/>
              <w:right w:val="single" w:sz="4" w:space="0" w:color="auto"/>
            </w:tcBorders>
            <w:shd w:val="clear" w:color="auto" w:fill="auto"/>
            <w:vAlign w:val="center"/>
          </w:tcPr>
          <w:p w14:paraId="68DE647E" w14:textId="77777777" w:rsidR="00A052DC" w:rsidRDefault="009F0A60" w:rsidP="00F719F7">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剔除买卖因素和调整及重新分类至其他报表统计的金额因素外，本月市场价格或近似参考价格波动带来的相关工具价值增减。必须满足：本月非交易变动=调整</w:t>
            </w:r>
            <w:r w:rsidR="00F719F7">
              <w:rPr>
                <w:rFonts w:ascii="黑体" w:eastAsia="黑体" w:hAnsi="黑体" w:cs="宋体" w:hint="eastAsia"/>
                <w:color w:val="000000"/>
                <w:kern w:val="0"/>
                <w:sz w:val="20"/>
                <w:szCs w:val="20"/>
              </w:rPr>
              <w:t>或</w:t>
            </w:r>
            <w:r>
              <w:rPr>
                <w:rFonts w:ascii="黑体" w:eastAsia="黑体" w:hAnsi="黑体" w:cs="宋体" w:hint="eastAsia"/>
                <w:color w:val="000000"/>
                <w:kern w:val="0"/>
                <w:sz w:val="20"/>
                <w:szCs w:val="20"/>
              </w:rPr>
              <w:t>重新分类至其他报表统计的金额+价值重估因素。</w:t>
            </w:r>
          </w:p>
        </w:tc>
        <w:tc>
          <w:tcPr>
            <w:tcW w:w="1212" w:type="dxa"/>
            <w:tcBorders>
              <w:top w:val="nil"/>
              <w:left w:val="nil"/>
              <w:bottom w:val="single" w:sz="4" w:space="0" w:color="auto"/>
              <w:right w:val="single" w:sz="4" w:space="0" w:color="auto"/>
            </w:tcBorders>
            <w:shd w:val="clear" w:color="auto" w:fill="auto"/>
            <w:vAlign w:val="center"/>
          </w:tcPr>
          <w:p w14:paraId="36C21456"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变更</w:t>
            </w:r>
          </w:p>
        </w:tc>
      </w:tr>
      <w:tr w:rsidR="00A052DC" w14:paraId="6F1B0062" w14:textId="77777777">
        <w:trPr>
          <w:trHeight w:val="20"/>
          <w:jc w:val="center"/>
        </w:trPr>
        <w:tc>
          <w:tcPr>
            <w:tcW w:w="2416" w:type="dxa"/>
            <w:tcBorders>
              <w:top w:val="nil"/>
              <w:left w:val="single" w:sz="4" w:space="0" w:color="auto"/>
              <w:bottom w:val="single" w:sz="4" w:space="0" w:color="auto"/>
              <w:right w:val="single" w:sz="4" w:space="0" w:color="auto"/>
            </w:tcBorders>
            <w:shd w:val="clear" w:color="auto" w:fill="auto"/>
            <w:vAlign w:val="center"/>
          </w:tcPr>
          <w:p w14:paraId="7658AE6C"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B05 境外发行债务证券（负债）</w:t>
            </w:r>
          </w:p>
        </w:tc>
        <w:tc>
          <w:tcPr>
            <w:tcW w:w="1862" w:type="dxa"/>
            <w:tcBorders>
              <w:top w:val="nil"/>
              <w:left w:val="nil"/>
              <w:bottom w:val="single" w:sz="4" w:space="0" w:color="auto"/>
              <w:right w:val="single" w:sz="4" w:space="0" w:color="auto"/>
            </w:tcBorders>
            <w:shd w:val="clear" w:color="auto" w:fill="auto"/>
            <w:vAlign w:val="center"/>
          </w:tcPr>
          <w:p w14:paraId="43285973"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调整或重新分类至其他报表统计的金额</w:t>
            </w:r>
          </w:p>
        </w:tc>
        <w:tc>
          <w:tcPr>
            <w:tcW w:w="3250" w:type="dxa"/>
            <w:tcBorders>
              <w:top w:val="nil"/>
              <w:left w:val="nil"/>
              <w:bottom w:val="single" w:sz="4" w:space="0" w:color="auto"/>
              <w:right w:val="single" w:sz="4" w:space="0" w:color="auto"/>
            </w:tcBorders>
            <w:shd w:val="clear" w:color="auto" w:fill="auto"/>
            <w:vAlign w:val="center"/>
          </w:tcPr>
          <w:p w14:paraId="7DFC601F"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指非买卖因素引起的债券负债数量增减和价值变动。必须满足：本月非交易变动=</w:t>
            </w:r>
            <w:r w:rsidR="00F719F7" w:rsidRPr="00F719F7">
              <w:rPr>
                <w:rFonts w:ascii="黑体" w:eastAsia="黑体" w:hAnsi="黑体" w:cs="宋体" w:hint="eastAsia"/>
                <w:color w:val="000000"/>
                <w:kern w:val="0"/>
                <w:sz w:val="20"/>
                <w:szCs w:val="20"/>
              </w:rPr>
              <w:t>调整或重新分类至其他报表统计的金额</w:t>
            </w:r>
            <w:r>
              <w:rPr>
                <w:rFonts w:ascii="黑体" w:eastAsia="黑体" w:hAnsi="黑体" w:cs="宋体" w:hint="eastAsia"/>
                <w:color w:val="000000"/>
                <w:kern w:val="0"/>
                <w:sz w:val="20"/>
                <w:szCs w:val="20"/>
              </w:rPr>
              <w:t>+价值重估因素。</w:t>
            </w:r>
          </w:p>
        </w:tc>
        <w:tc>
          <w:tcPr>
            <w:tcW w:w="1212" w:type="dxa"/>
            <w:tcBorders>
              <w:top w:val="nil"/>
              <w:left w:val="nil"/>
              <w:bottom w:val="single" w:sz="4" w:space="0" w:color="auto"/>
              <w:right w:val="single" w:sz="4" w:space="0" w:color="auto"/>
            </w:tcBorders>
            <w:shd w:val="clear" w:color="auto" w:fill="auto"/>
            <w:vAlign w:val="center"/>
          </w:tcPr>
          <w:p w14:paraId="5600932D"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变更</w:t>
            </w:r>
          </w:p>
        </w:tc>
      </w:tr>
      <w:tr w:rsidR="00A052DC" w14:paraId="2AA4AD3E" w14:textId="77777777">
        <w:trPr>
          <w:trHeight w:val="20"/>
          <w:jc w:val="center"/>
        </w:trPr>
        <w:tc>
          <w:tcPr>
            <w:tcW w:w="2416" w:type="dxa"/>
            <w:tcBorders>
              <w:top w:val="nil"/>
              <w:left w:val="single" w:sz="4" w:space="0" w:color="auto"/>
              <w:bottom w:val="single" w:sz="4" w:space="0" w:color="auto"/>
              <w:right w:val="single" w:sz="4" w:space="0" w:color="auto"/>
            </w:tcBorders>
            <w:shd w:val="clear" w:color="auto" w:fill="auto"/>
            <w:vAlign w:val="center"/>
          </w:tcPr>
          <w:p w14:paraId="79EAA409"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B05 境外发行债务证券（负债）</w:t>
            </w:r>
          </w:p>
        </w:tc>
        <w:tc>
          <w:tcPr>
            <w:tcW w:w="1862" w:type="dxa"/>
            <w:tcBorders>
              <w:top w:val="nil"/>
              <w:left w:val="nil"/>
              <w:bottom w:val="single" w:sz="4" w:space="0" w:color="auto"/>
              <w:right w:val="single" w:sz="4" w:space="0" w:color="auto"/>
            </w:tcBorders>
            <w:shd w:val="clear" w:color="auto" w:fill="auto"/>
            <w:vAlign w:val="center"/>
          </w:tcPr>
          <w:p w14:paraId="39A3F7F6"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本月末未到期/未偿付债券面值</w:t>
            </w:r>
          </w:p>
        </w:tc>
        <w:tc>
          <w:tcPr>
            <w:tcW w:w="3250" w:type="dxa"/>
            <w:tcBorders>
              <w:top w:val="nil"/>
              <w:left w:val="nil"/>
              <w:bottom w:val="single" w:sz="4" w:space="0" w:color="auto"/>
              <w:right w:val="single" w:sz="4" w:space="0" w:color="auto"/>
            </w:tcBorders>
            <w:shd w:val="clear" w:color="auto" w:fill="auto"/>
            <w:vAlign w:val="center"/>
          </w:tcPr>
          <w:p w14:paraId="626C7A99"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债券面值为在债券发行人在债券到期时需向持有人偿还的本金金额，本项应填报为债券票面金额与本月末未偿付债券数量的乘积。</w:t>
            </w:r>
          </w:p>
        </w:tc>
        <w:tc>
          <w:tcPr>
            <w:tcW w:w="1212" w:type="dxa"/>
            <w:tcBorders>
              <w:top w:val="nil"/>
              <w:left w:val="nil"/>
              <w:bottom w:val="single" w:sz="4" w:space="0" w:color="auto"/>
              <w:right w:val="single" w:sz="4" w:space="0" w:color="auto"/>
            </w:tcBorders>
            <w:shd w:val="clear" w:color="auto" w:fill="auto"/>
            <w:vAlign w:val="center"/>
          </w:tcPr>
          <w:p w14:paraId="76A81E70"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新增</w:t>
            </w:r>
          </w:p>
        </w:tc>
      </w:tr>
      <w:tr w:rsidR="00A052DC" w14:paraId="59106582" w14:textId="77777777">
        <w:trPr>
          <w:trHeight w:val="20"/>
          <w:jc w:val="center"/>
        </w:trPr>
        <w:tc>
          <w:tcPr>
            <w:tcW w:w="2416" w:type="dxa"/>
            <w:tcBorders>
              <w:top w:val="nil"/>
              <w:left w:val="single" w:sz="4" w:space="0" w:color="auto"/>
              <w:bottom w:val="single" w:sz="4" w:space="0" w:color="auto"/>
              <w:right w:val="single" w:sz="4" w:space="0" w:color="auto"/>
            </w:tcBorders>
            <w:shd w:val="clear" w:color="auto" w:fill="auto"/>
            <w:vAlign w:val="center"/>
          </w:tcPr>
          <w:p w14:paraId="0A96F56C"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B06 非居民投资境内发行股本证券和债务证券（负债）</w:t>
            </w:r>
          </w:p>
        </w:tc>
        <w:tc>
          <w:tcPr>
            <w:tcW w:w="1862" w:type="dxa"/>
            <w:tcBorders>
              <w:top w:val="nil"/>
              <w:left w:val="nil"/>
              <w:bottom w:val="single" w:sz="4" w:space="0" w:color="auto"/>
              <w:right w:val="single" w:sz="4" w:space="0" w:color="auto"/>
            </w:tcBorders>
            <w:shd w:val="clear" w:color="auto" w:fill="auto"/>
            <w:vAlign w:val="center"/>
          </w:tcPr>
          <w:p w14:paraId="5C51F82A"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发行主体所属国家/地区</w:t>
            </w:r>
          </w:p>
        </w:tc>
        <w:tc>
          <w:tcPr>
            <w:tcW w:w="3250" w:type="dxa"/>
            <w:tcBorders>
              <w:top w:val="nil"/>
              <w:left w:val="nil"/>
              <w:bottom w:val="single" w:sz="4" w:space="0" w:color="auto"/>
              <w:right w:val="single" w:sz="4" w:space="0" w:color="auto"/>
            </w:tcBorders>
            <w:shd w:val="clear" w:color="auto" w:fill="auto"/>
            <w:vAlign w:val="center"/>
          </w:tcPr>
          <w:p w14:paraId="4FAA4B7C"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原“发行主体所属国家/地区（必须为中国），调整名称和数据定义。”</w:t>
            </w:r>
          </w:p>
        </w:tc>
        <w:tc>
          <w:tcPr>
            <w:tcW w:w="1212" w:type="dxa"/>
            <w:tcBorders>
              <w:top w:val="nil"/>
              <w:left w:val="nil"/>
              <w:bottom w:val="single" w:sz="4" w:space="0" w:color="auto"/>
              <w:right w:val="single" w:sz="4" w:space="0" w:color="auto"/>
            </w:tcBorders>
            <w:shd w:val="clear" w:color="auto" w:fill="auto"/>
            <w:vAlign w:val="center"/>
          </w:tcPr>
          <w:p w14:paraId="531EA0EC"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变更</w:t>
            </w:r>
          </w:p>
        </w:tc>
      </w:tr>
      <w:tr w:rsidR="00A052DC" w14:paraId="450398B1" w14:textId="77777777">
        <w:trPr>
          <w:trHeight w:val="20"/>
          <w:jc w:val="center"/>
        </w:trPr>
        <w:tc>
          <w:tcPr>
            <w:tcW w:w="2416" w:type="dxa"/>
            <w:tcBorders>
              <w:top w:val="nil"/>
              <w:left w:val="single" w:sz="4" w:space="0" w:color="auto"/>
              <w:bottom w:val="single" w:sz="4" w:space="0" w:color="auto"/>
              <w:right w:val="single" w:sz="4" w:space="0" w:color="auto"/>
            </w:tcBorders>
            <w:shd w:val="clear" w:color="auto" w:fill="auto"/>
            <w:vAlign w:val="center"/>
          </w:tcPr>
          <w:p w14:paraId="65131C05"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B06 非居民投资境内发行股本证券和债务证券（负债）</w:t>
            </w:r>
          </w:p>
        </w:tc>
        <w:tc>
          <w:tcPr>
            <w:tcW w:w="1862" w:type="dxa"/>
            <w:tcBorders>
              <w:top w:val="nil"/>
              <w:left w:val="nil"/>
              <w:bottom w:val="single" w:sz="4" w:space="0" w:color="auto"/>
              <w:right w:val="single" w:sz="4" w:space="0" w:color="auto"/>
            </w:tcBorders>
            <w:shd w:val="clear" w:color="auto" w:fill="auto"/>
            <w:vAlign w:val="center"/>
          </w:tcPr>
          <w:p w14:paraId="2926C5F5"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本月卖出金额其中：债券到期或提前兑付的本息金额</w:t>
            </w:r>
          </w:p>
        </w:tc>
        <w:tc>
          <w:tcPr>
            <w:tcW w:w="3250" w:type="dxa"/>
            <w:tcBorders>
              <w:top w:val="nil"/>
              <w:left w:val="nil"/>
              <w:bottom w:val="single" w:sz="4" w:space="0" w:color="auto"/>
              <w:right w:val="single" w:sz="4" w:space="0" w:color="auto"/>
            </w:tcBorders>
            <w:shd w:val="clear" w:color="auto" w:fill="auto"/>
            <w:vAlign w:val="center"/>
          </w:tcPr>
          <w:p w14:paraId="4F850F2F"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指本月内，债券发行人在债券到期日或到期日之前部分或全部偿还的本金和利息。本项仅限债务证券使用，非债务性工具不填报此项。</w:t>
            </w:r>
          </w:p>
        </w:tc>
        <w:tc>
          <w:tcPr>
            <w:tcW w:w="1212" w:type="dxa"/>
            <w:tcBorders>
              <w:top w:val="nil"/>
              <w:left w:val="nil"/>
              <w:bottom w:val="single" w:sz="4" w:space="0" w:color="auto"/>
              <w:right w:val="single" w:sz="4" w:space="0" w:color="auto"/>
            </w:tcBorders>
            <w:shd w:val="clear" w:color="auto" w:fill="auto"/>
            <w:vAlign w:val="center"/>
          </w:tcPr>
          <w:p w14:paraId="3EA46D58"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新增</w:t>
            </w:r>
          </w:p>
        </w:tc>
      </w:tr>
      <w:tr w:rsidR="00A052DC" w14:paraId="770E6A45" w14:textId="77777777">
        <w:trPr>
          <w:trHeight w:val="20"/>
          <w:jc w:val="center"/>
        </w:trPr>
        <w:tc>
          <w:tcPr>
            <w:tcW w:w="2416" w:type="dxa"/>
            <w:tcBorders>
              <w:top w:val="nil"/>
              <w:left w:val="single" w:sz="4" w:space="0" w:color="auto"/>
              <w:bottom w:val="single" w:sz="4" w:space="0" w:color="auto"/>
              <w:right w:val="single" w:sz="4" w:space="0" w:color="auto"/>
            </w:tcBorders>
            <w:shd w:val="clear" w:color="auto" w:fill="auto"/>
            <w:vAlign w:val="center"/>
          </w:tcPr>
          <w:p w14:paraId="3605A255"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B06 非居民投资境内发行股本证券和债务证券（负债）</w:t>
            </w:r>
          </w:p>
        </w:tc>
        <w:tc>
          <w:tcPr>
            <w:tcW w:w="1862" w:type="dxa"/>
            <w:tcBorders>
              <w:top w:val="nil"/>
              <w:left w:val="nil"/>
              <w:bottom w:val="single" w:sz="4" w:space="0" w:color="auto"/>
              <w:right w:val="single" w:sz="4" w:space="0" w:color="auto"/>
            </w:tcBorders>
            <w:shd w:val="clear" w:color="auto" w:fill="auto"/>
            <w:vAlign w:val="center"/>
          </w:tcPr>
          <w:p w14:paraId="11315D2A"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注销、调整或重新分类至其他报表统计的金额</w:t>
            </w:r>
          </w:p>
        </w:tc>
        <w:tc>
          <w:tcPr>
            <w:tcW w:w="3250" w:type="dxa"/>
            <w:tcBorders>
              <w:top w:val="nil"/>
              <w:left w:val="nil"/>
              <w:bottom w:val="single" w:sz="4" w:space="0" w:color="auto"/>
              <w:right w:val="single" w:sz="4" w:space="0" w:color="auto"/>
            </w:tcBorders>
            <w:shd w:val="clear" w:color="auto" w:fill="auto"/>
            <w:vAlign w:val="center"/>
          </w:tcPr>
          <w:p w14:paraId="2DCFD645" w14:textId="77777777" w:rsidR="00A052DC" w:rsidRDefault="00ED005E">
            <w:pPr>
              <w:widowControl/>
              <w:rPr>
                <w:rFonts w:ascii="黑体" w:eastAsia="黑体" w:hAnsi="黑体" w:cs="宋体"/>
                <w:color w:val="000000"/>
                <w:kern w:val="0"/>
                <w:sz w:val="20"/>
                <w:szCs w:val="20"/>
              </w:rPr>
            </w:pPr>
            <w:r w:rsidRPr="00ED005E">
              <w:rPr>
                <w:rFonts w:ascii="黑体" w:eastAsia="黑体" w:hAnsi="黑体" w:cs="宋体" w:hint="eastAsia"/>
                <w:color w:val="000000"/>
                <w:kern w:val="0"/>
                <w:sz w:val="20"/>
                <w:szCs w:val="20"/>
              </w:rPr>
              <w:t>指非买卖因素引起的证券资产数量增减和价值变动。包括但不限于本月相关投资者单方面放弃（或注销）债权的金额。必须满足：本月非交易变动=注销、调整或重新分类至其他报表统计的金额+价值重估因素。</w:t>
            </w:r>
          </w:p>
        </w:tc>
        <w:tc>
          <w:tcPr>
            <w:tcW w:w="1212" w:type="dxa"/>
            <w:tcBorders>
              <w:top w:val="nil"/>
              <w:left w:val="nil"/>
              <w:bottom w:val="single" w:sz="4" w:space="0" w:color="auto"/>
              <w:right w:val="single" w:sz="4" w:space="0" w:color="auto"/>
            </w:tcBorders>
            <w:shd w:val="clear" w:color="auto" w:fill="auto"/>
            <w:vAlign w:val="center"/>
          </w:tcPr>
          <w:p w14:paraId="195BEFE2"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变更</w:t>
            </w:r>
          </w:p>
        </w:tc>
      </w:tr>
      <w:tr w:rsidR="000767B8" w14:paraId="0B5EA936" w14:textId="77777777">
        <w:trPr>
          <w:trHeight w:val="20"/>
          <w:jc w:val="center"/>
        </w:trPr>
        <w:tc>
          <w:tcPr>
            <w:tcW w:w="2416" w:type="dxa"/>
            <w:tcBorders>
              <w:top w:val="nil"/>
              <w:left w:val="single" w:sz="4" w:space="0" w:color="auto"/>
              <w:bottom w:val="single" w:sz="4" w:space="0" w:color="auto"/>
              <w:right w:val="single" w:sz="4" w:space="0" w:color="auto"/>
            </w:tcBorders>
            <w:shd w:val="clear" w:color="auto" w:fill="auto"/>
            <w:vAlign w:val="center"/>
          </w:tcPr>
          <w:p w14:paraId="7F0FC99B" w14:textId="77777777" w:rsidR="000767B8" w:rsidRDefault="000767B8">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B06 非居民投资境内发行股本证券和债务证券（负债）</w:t>
            </w:r>
          </w:p>
        </w:tc>
        <w:tc>
          <w:tcPr>
            <w:tcW w:w="1862" w:type="dxa"/>
            <w:tcBorders>
              <w:top w:val="nil"/>
              <w:left w:val="nil"/>
              <w:bottom w:val="single" w:sz="4" w:space="0" w:color="auto"/>
              <w:right w:val="single" w:sz="4" w:space="0" w:color="auto"/>
            </w:tcBorders>
            <w:shd w:val="clear" w:color="auto" w:fill="auto"/>
            <w:vAlign w:val="center"/>
          </w:tcPr>
          <w:p w14:paraId="1BB638EB" w14:textId="77777777" w:rsidR="000767B8" w:rsidRDefault="000767B8">
            <w:pPr>
              <w:widowControl/>
              <w:rPr>
                <w:rFonts w:ascii="黑体" w:eastAsia="黑体" w:hAnsi="黑体" w:cs="宋体"/>
                <w:color w:val="000000"/>
                <w:kern w:val="0"/>
                <w:sz w:val="20"/>
                <w:szCs w:val="20"/>
              </w:rPr>
            </w:pPr>
            <w:r w:rsidRPr="000767B8">
              <w:rPr>
                <w:rFonts w:ascii="黑体" w:eastAsia="黑体" w:hAnsi="黑体" w:cs="宋体" w:hint="eastAsia"/>
                <w:color w:val="000000"/>
                <w:kern w:val="0"/>
                <w:sz w:val="20"/>
                <w:szCs w:val="20"/>
              </w:rPr>
              <w:t>价值重估因素</w:t>
            </w:r>
          </w:p>
        </w:tc>
        <w:tc>
          <w:tcPr>
            <w:tcW w:w="3250" w:type="dxa"/>
            <w:tcBorders>
              <w:top w:val="nil"/>
              <w:left w:val="nil"/>
              <w:bottom w:val="single" w:sz="4" w:space="0" w:color="auto"/>
              <w:right w:val="single" w:sz="4" w:space="0" w:color="auto"/>
            </w:tcBorders>
            <w:shd w:val="clear" w:color="auto" w:fill="auto"/>
            <w:vAlign w:val="center"/>
          </w:tcPr>
          <w:p w14:paraId="38B261B8" w14:textId="77777777" w:rsidR="000767B8" w:rsidRDefault="000767B8">
            <w:pPr>
              <w:widowControl/>
              <w:rPr>
                <w:rFonts w:ascii="黑体" w:eastAsia="黑体" w:hAnsi="黑体" w:cs="宋体"/>
                <w:color w:val="000000"/>
                <w:kern w:val="0"/>
                <w:sz w:val="20"/>
                <w:szCs w:val="20"/>
              </w:rPr>
            </w:pPr>
            <w:r w:rsidRPr="000767B8">
              <w:rPr>
                <w:rFonts w:ascii="黑体" w:eastAsia="黑体" w:hAnsi="黑体" w:cs="宋体" w:hint="eastAsia"/>
                <w:color w:val="000000"/>
                <w:kern w:val="0"/>
                <w:sz w:val="20"/>
                <w:szCs w:val="20"/>
              </w:rPr>
              <w:t>指剔除买卖因素和注销、调整或重新分类至其他报表统计的金额因素外，本月市场价格或近似参考价格波动带来的相关工具价值增减。必须满足：本月非交易变动=注销、调整或重新分类至其他报表统计的金额+价值重估因素。</w:t>
            </w:r>
          </w:p>
        </w:tc>
        <w:tc>
          <w:tcPr>
            <w:tcW w:w="1212" w:type="dxa"/>
            <w:tcBorders>
              <w:top w:val="nil"/>
              <w:left w:val="nil"/>
              <w:bottom w:val="single" w:sz="4" w:space="0" w:color="auto"/>
              <w:right w:val="single" w:sz="4" w:space="0" w:color="auto"/>
            </w:tcBorders>
            <w:shd w:val="clear" w:color="auto" w:fill="auto"/>
            <w:vAlign w:val="center"/>
          </w:tcPr>
          <w:p w14:paraId="2E5B9B39" w14:textId="77777777" w:rsidR="000767B8" w:rsidRDefault="000767B8">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变更</w:t>
            </w:r>
          </w:p>
        </w:tc>
      </w:tr>
      <w:tr w:rsidR="00A052DC" w14:paraId="7DF0AC43" w14:textId="77777777">
        <w:trPr>
          <w:trHeight w:val="20"/>
          <w:jc w:val="center"/>
        </w:trPr>
        <w:tc>
          <w:tcPr>
            <w:tcW w:w="2416" w:type="dxa"/>
            <w:tcBorders>
              <w:top w:val="nil"/>
              <w:left w:val="single" w:sz="4" w:space="0" w:color="auto"/>
              <w:bottom w:val="single" w:sz="4" w:space="0" w:color="auto"/>
              <w:right w:val="single" w:sz="4" w:space="0" w:color="auto"/>
            </w:tcBorders>
            <w:shd w:val="clear" w:color="auto" w:fill="auto"/>
            <w:vAlign w:val="center"/>
          </w:tcPr>
          <w:p w14:paraId="498E2561"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B06 非居民投资境内发行股本证券和债务证券（负债）</w:t>
            </w:r>
          </w:p>
        </w:tc>
        <w:tc>
          <w:tcPr>
            <w:tcW w:w="1862" w:type="dxa"/>
            <w:tcBorders>
              <w:top w:val="nil"/>
              <w:left w:val="nil"/>
              <w:bottom w:val="single" w:sz="4" w:space="0" w:color="auto"/>
              <w:right w:val="single" w:sz="4" w:space="0" w:color="auto"/>
            </w:tcBorders>
            <w:shd w:val="clear" w:color="auto" w:fill="auto"/>
            <w:vAlign w:val="center"/>
          </w:tcPr>
          <w:p w14:paraId="6D3CCCE2"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本月末市值其中：剩余期限在一年及以下</w:t>
            </w:r>
          </w:p>
        </w:tc>
        <w:tc>
          <w:tcPr>
            <w:tcW w:w="3250" w:type="dxa"/>
            <w:tcBorders>
              <w:top w:val="nil"/>
              <w:left w:val="nil"/>
              <w:bottom w:val="single" w:sz="4" w:space="0" w:color="auto"/>
              <w:right w:val="single" w:sz="4" w:space="0" w:color="auto"/>
            </w:tcBorders>
            <w:shd w:val="clear" w:color="auto" w:fill="auto"/>
            <w:vAlign w:val="center"/>
          </w:tcPr>
          <w:p w14:paraId="508CE15A"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仅适用于“投资工具类型”下3或6（债券）类工具，指自本月末至最终到期在一年及以下的相关债务类工具的市值，按本月末最后一个工作日债券的全价计值。</w:t>
            </w:r>
          </w:p>
        </w:tc>
        <w:tc>
          <w:tcPr>
            <w:tcW w:w="1212" w:type="dxa"/>
            <w:tcBorders>
              <w:top w:val="nil"/>
              <w:left w:val="nil"/>
              <w:bottom w:val="single" w:sz="4" w:space="0" w:color="auto"/>
              <w:right w:val="single" w:sz="4" w:space="0" w:color="auto"/>
            </w:tcBorders>
            <w:shd w:val="clear" w:color="auto" w:fill="auto"/>
            <w:vAlign w:val="center"/>
          </w:tcPr>
          <w:p w14:paraId="47AE1F39"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变更</w:t>
            </w:r>
          </w:p>
        </w:tc>
      </w:tr>
      <w:tr w:rsidR="00A052DC" w14:paraId="71D0A8EB" w14:textId="77777777">
        <w:trPr>
          <w:trHeight w:val="20"/>
          <w:jc w:val="center"/>
        </w:trPr>
        <w:tc>
          <w:tcPr>
            <w:tcW w:w="2416" w:type="dxa"/>
            <w:tcBorders>
              <w:top w:val="nil"/>
              <w:left w:val="single" w:sz="4" w:space="0" w:color="auto"/>
              <w:bottom w:val="single" w:sz="4" w:space="0" w:color="auto"/>
              <w:right w:val="single" w:sz="4" w:space="0" w:color="auto"/>
            </w:tcBorders>
            <w:shd w:val="clear" w:color="auto" w:fill="auto"/>
            <w:vAlign w:val="center"/>
          </w:tcPr>
          <w:p w14:paraId="150D8F63"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B06 非居民投资境内发行股本证券和债务证券（负债）</w:t>
            </w:r>
          </w:p>
        </w:tc>
        <w:tc>
          <w:tcPr>
            <w:tcW w:w="1862" w:type="dxa"/>
            <w:tcBorders>
              <w:top w:val="nil"/>
              <w:left w:val="nil"/>
              <w:bottom w:val="single" w:sz="4" w:space="0" w:color="auto"/>
              <w:right w:val="single" w:sz="4" w:space="0" w:color="auto"/>
            </w:tcBorders>
            <w:shd w:val="clear" w:color="auto" w:fill="auto"/>
            <w:vAlign w:val="center"/>
          </w:tcPr>
          <w:p w14:paraId="444284FC"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本月末未到期/未偿付债券面值</w:t>
            </w:r>
          </w:p>
        </w:tc>
        <w:tc>
          <w:tcPr>
            <w:tcW w:w="3250" w:type="dxa"/>
            <w:tcBorders>
              <w:top w:val="nil"/>
              <w:left w:val="nil"/>
              <w:bottom w:val="single" w:sz="4" w:space="0" w:color="auto"/>
              <w:right w:val="single" w:sz="4" w:space="0" w:color="auto"/>
            </w:tcBorders>
            <w:shd w:val="clear" w:color="auto" w:fill="auto"/>
            <w:vAlign w:val="center"/>
          </w:tcPr>
          <w:p w14:paraId="46F47DFB"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债券面值为在债券发行人在债券到期时需向持有人偿还的本金金额，本项应填报为债券票面金额与本月末投资者持有债券数量的乘积。本项仅限债务证券使用，非债务性工具不填报此项。</w:t>
            </w:r>
          </w:p>
        </w:tc>
        <w:tc>
          <w:tcPr>
            <w:tcW w:w="1212" w:type="dxa"/>
            <w:tcBorders>
              <w:top w:val="nil"/>
              <w:left w:val="nil"/>
              <w:bottom w:val="single" w:sz="4" w:space="0" w:color="auto"/>
              <w:right w:val="single" w:sz="4" w:space="0" w:color="auto"/>
            </w:tcBorders>
            <w:shd w:val="clear" w:color="auto" w:fill="auto"/>
            <w:vAlign w:val="center"/>
          </w:tcPr>
          <w:p w14:paraId="2C91D622"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新增</w:t>
            </w:r>
          </w:p>
        </w:tc>
      </w:tr>
      <w:tr w:rsidR="00A052DC" w14:paraId="32146E8A" w14:textId="77777777">
        <w:trPr>
          <w:trHeight w:val="20"/>
          <w:jc w:val="center"/>
        </w:trPr>
        <w:tc>
          <w:tcPr>
            <w:tcW w:w="2416" w:type="dxa"/>
            <w:tcBorders>
              <w:top w:val="nil"/>
              <w:left w:val="single" w:sz="4" w:space="0" w:color="auto"/>
              <w:bottom w:val="single" w:sz="4" w:space="0" w:color="auto"/>
              <w:right w:val="single" w:sz="4" w:space="0" w:color="auto"/>
            </w:tcBorders>
            <w:shd w:val="clear" w:color="auto" w:fill="auto"/>
            <w:vAlign w:val="center"/>
          </w:tcPr>
          <w:p w14:paraId="6CED4604"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B06 非居民投资境内发行股本证券和债务证券（负债）</w:t>
            </w:r>
          </w:p>
        </w:tc>
        <w:tc>
          <w:tcPr>
            <w:tcW w:w="1862" w:type="dxa"/>
            <w:tcBorders>
              <w:top w:val="nil"/>
              <w:left w:val="nil"/>
              <w:bottom w:val="single" w:sz="4" w:space="0" w:color="auto"/>
              <w:right w:val="single" w:sz="4" w:space="0" w:color="auto"/>
            </w:tcBorders>
            <w:shd w:val="clear" w:color="auto" w:fill="auto"/>
            <w:vAlign w:val="center"/>
          </w:tcPr>
          <w:p w14:paraId="65A3F106"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备注</w:t>
            </w:r>
          </w:p>
        </w:tc>
        <w:tc>
          <w:tcPr>
            <w:tcW w:w="3250" w:type="dxa"/>
            <w:tcBorders>
              <w:top w:val="nil"/>
              <w:left w:val="nil"/>
              <w:bottom w:val="single" w:sz="4" w:space="0" w:color="auto"/>
              <w:right w:val="single" w:sz="4" w:space="0" w:color="auto"/>
            </w:tcBorders>
            <w:shd w:val="clear" w:color="auto" w:fill="auto"/>
            <w:vAlign w:val="center"/>
          </w:tcPr>
          <w:p w14:paraId="5D6270D5"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字段从B0620调整为B0621</w:t>
            </w:r>
          </w:p>
        </w:tc>
        <w:tc>
          <w:tcPr>
            <w:tcW w:w="1212" w:type="dxa"/>
            <w:tcBorders>
              <w:top w:val="nil"/>
              <w:left w:val="nil"/>
              <w:bottom w:val="single" w:sz="4" w:space="0" w:color="auto"/>
              <w:right w:val="single" w:sz="4" w:space="0" w:color="auto"/>
            </w:tcBorders>
            <w:shd w:val="clear" w:color="auto" w:fill="auto"/>
            <w:vAlign w:val="center"/>
          </w:tcPr>
          <w:p w14:paraId="248F8CAC"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变更</w:t>
            </w:r>
          </w:p>
        </w:tc>
      </w:tr>
      <w:tr w:rsidR="00A052DC" w14:paraId="4F89EB0F" w14:textId="77777777">
        <w:trPr>
          <w:trHeight w:val="20"/>
          <w:jc w:val="center"/>
        </w:trPr>
        <w:tc>
          <w:tcPr>
            <w:tcW w:w="2416" w:type="dxa"/>
            <w:tcBorders>
              <w:top w:val="nil"/>
              <w:left w:val="single" w:sz="4" w:space="0" w:color="auto"/>
              <w:bottom w:val="single" w:sz="4" w:space="0" w:color="auto"/>
              <w:right w:val="single" w:sz="4" w:space="0" w:color="auto"/>
            </w:tcBorders>
            <w:shd w:val="clear" w:color="auto" w:fill="auto"/>
            <w:vAlign w:val="center"/>
          </w:tcPr>
          <w:p w14:paraId="54E1659F"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C01 金融衍生产品及雇员认股权</w:t>
            </w:r>
          </w:p>
        </w:tc>
        <w:tc>
          <w:tcPr>
            <w:tcW w:w="1862" w:type="dxa"/>
            <w:tcBorders>
              <w:top w:val="nil"/>
              <w:left w:val="nil"/>
              <w:bottom w:val="single" w:sz="4" w:space="0" w:color="auto"/>
              <w:right w:val="single" w:sz="4" w:space="0" w:color="auto"/>
            </w:tcBorders>
            <w:shd w:val="clear" w:color="auto" w:fill="auto"/>
            <w:vAlign w:val="center"/>
          </w:tcPr>
          <w:p w14:paraId="66045528"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注销、调整或重新分类至其他报表统计的金额</w:t>
            </w:r>
          </w:p>
        </w:tc>
        <w:tc>
          <w:tcPr>
            <w:tcW w:w="3250" w:type="dxa"/>
            <w:tcBorders>
              <w:top w:val="nil"/>
              <w:left w:val="nil"/>
              <w:bottom w:val="single" w:sz="4" w:space="0" w:color="auto"/>
              <w:right w:val="single" w:sz="4" w:space="0" w:color="auto"/>
            </w:tcBorders>
            <w:shd w:val="clear" w:color="auto" w:fill="auto"/>
            <w:vAlign w:val="center"/>
          </w:tcPr>
          <w:p w14:paraId="4F43DBE9" w14:textId="77777777" w:rsidR="00A052DC" w:rsidRDefault="009F0A60" w:rsidP="00ED005E">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因债务人拖欠、破产等导致非正常偿还等其他变化引起金融衍生产品头寸重新分类，导致头寸变化。必须满足：注销、调整</w:t>
            </w:r>
            <w:r w:rsidR="00ED005E">
              <w:rPr>
                <w:rFonts w:ascii="黑体" w:eastAsia="黑体" w:hAnsi="黑体" w:cs="宋体" w:hint="eastAsia"/>
                <w:color w:val="000000"/>
                <w:kern w:val="0"/>
                <w:sz w:val="20"/>
                <w:szCs w:val="20"/>
              </w:rPr>
              <w:t>或</w:t>
            </w:r>
            <w:r>
              <w:rPr>
                <w:rFonts w:ascii="黑体" w:eastAsia="黑体" w:hAnsi="黑体" w:cs="宋体" w:hint="eastAsia"/>
                <w:color w:val="000000"/>
                <w:kern w:val="0"/>
                <w:sz w:val="20"/>
                <w:szCs w:val="20"/>
              </w:rPr>
              <w:t>重新分类至其他报表统计的金额=本月非交易变动-价值重估因素。</w:t>
            </w:r>
          </w:p>
        </w:tc>
        <w:tc>
          <w:tcPr>
            <w:tcW w:w="1212" w:type="dxa"/>
            <w:tcBorders>
              <w:top w:val="nil"/>
              <w:left w:val="nil"/>
              <w:bottom w:val="single" w:sz="4" w:space="0" w:color="auto"/>
              <w:right w:val="single" w:sz="4" w:space="0" w:color="auto"/>
            </w:tcBorders>
            <w:shd w:val="clear" w:color="auto" w:fill="auto"/>
            <w:vAlign w:val="center"/>
          </w:tcPr>
          <w:p w14:paraId="79586790"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变更</w:t>
            </w:r>
          </w:p>
        </w:tc>
      </w:tr>
      <w:tr w:rsidR="00A052DC" w14:paraId="3C3B9B45" w14:textId="77777777">
        <w:trPr>
          <w:trHeight w:val="20"/>
          <w:jc w:val="center"/>
        </w:trPr>
        <w:tc>
          <w:tcPr>
            <w:tcW w:w="2416" w:type="dxa"/>
            <w:tcBorders>
              <w:top w:val="nil"/>
              <w:left w:val="single" w:sz="4" w:space="0" w:color="auto"/>
              <w:bottom w:val="single" w:sz="4" w:space="0" w:color="auto"/>
              <w:right w:val="single" w:sz="4" w:space="0" w:color="auto"/>
            </w:tcBorders>
            <w:shd w:val="clear" w:color="auto" w:fill="auto"/>
            <w:vAlign w:val="center"/>
          </w:tcPr>
          <w:p w14:paraId="790B8014"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D01 货币与存款（含存放银行同业和联行）（资产</w:t>
            </w:r>
          </w:p>
        </w:tc>
        <w:tc>
          <w:tcPr>
            <w:tcW w:w="1862" w:type="dxa"/>
            <w:tcBorders>
              <w:top w:val="nil"/>
              <w:left w:val="nil"/>
              <w:bottom w:val="single" w:sz="4" w:space="0" w:color="auto"/>
              <w:right w:val="single" w:sz="4" w:space="0" w:color="auto"/>
            </w:tcBorders>
            <w:shd w:val="clear" w:color="auto" w:fill="auto"/>
            <w:vAlign w:val="center"/>
          </w:tcPr>
          <w:p w14:paraId="493D731B"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本月末本金余额其中：剩余期限在一年及以下</w:t>
            </w:r>
          </w:p>
        </w:tc>
        <w:tc>
          <w:tcPr>
            <w:tcW w:w="3250" w:type="dxa"/>
            <w:tcBorders>
              <w:top w:val="nil"/>
              <w:left w:val="nil"/>
              <w:bottom w:val="single" w:sz="4" w:space="0" w:color="auto"/>
              <w:right w:val="single" w:sz="4" w:space="0" w:color="auto"/>
            </w:tcBorders>
            <w:shd w:val="clear" w:color="auto" w:fill="auto"/>
            <w:vAlign w:val="center"/>
          </w:tcPr>
          <w:p w14:paraId="5575A5C1"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指自本月末至最终到期在一年及以下的相关资产的余额，包括已结转为本金的利息部分。对于存放境外同业账户发生的透支款项及利息，如无法单独区分，可合并在同业存款余额中填报。对于存放境外贵金属，应填写与原始币种相协调的金额，如原始币种为贵金属且以盎司计量，则填写盎司数量。对应利息数据的货币单位应与原始币种保持一致。</w:t>
            </w:r>
          </w:p>
        </w:tc>
        <w:tc>
          <w:tcPr>
            <w:tcW w:w="1212" w:type="dxa"/>
            <w:tcBorders>
              <w:top w:val="nil"/>
              <w:left w:val="nil"/>
              <w:bottom w:val="single" w:sz="4" w:space="0" w:color="auto"/>
              <w:right w:val="single" w:sz="4" w:space="0" w:color="auto"/>
            </w:tcBorders>
            <w:shd w:val="clear" w:color="auto" w:fill="auto"/>
            <w:vAlign w:val="center"/>
          </w:tcPr>
          <w:p w14:paraId="1D64B9E0"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变更</w:t>
            </w:r>
          </w:p>
        </w:tc>
      </w:tr>
      <w:tr w:rsidR="00A052DC" w14:paraId="1C3C6C1A" w14:textId="77777777">
        <w:trPr>
          <w:trHeight w:val="20"/>
          <w:jc w:val="center"/>
        </w:trPr>
        <w:tc>
          <w:tcPr>
            <w:tcW w:w="2416" w:type="dxa"/>
            <w:tcBorders>
              <w:top w:val="nil"/>
              <w:left w:val="single" w:sz="4" w:space="0" w:color="auto"/>
              <w:bottom w:val="single" w:sz="4" w:space="0" w:color="auto"/>
              <w:right w:val="single" w:sz="4" w:space="0" w:color="auto"/>
            </w:tcBorders>
            <w:shd w:val="clear" w:color="auto" w:fill="auto"/>
            <w:vAlign w:val="center"/>
          </w:tcPr>
          <w:p w14:paraId="55C07830"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D02 贷款（含拆放银行同业及联行）（资产）</w:t>
            </w:r>
          </w:p>
        </w:tc>
        <w:tc>
          <w:tcPr>
            <w:tcW w:w="1862" w:type="dxa"/>
            <w:tcBorders>
              <w:top w:val="nil"/>
              <w:left w:val="nil"/>
              <w:bottom w:val="single" w:sz="4" w:space="0" w:color="auto"/>
              <w:right w:val="single" w:sz="4" w:space="0" w:color="auto"/>
            </w:tcBorders>
            <w:shd w:val="clear" w:color="auto" w:fill="auto"/>
            <w:vAlign w:val="center"/>
          </w:tcPr>
          <w:p w14:paraId="53CFA646"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贷款类别</w:t>
            </w:r>
          </w:p>
        </w:tc>
        <w:tc>
          <w:tcPr>
            <w:tcW w:w="3250" w:type="dxa"/>
            <w:tcBorders>
              <w:top w:val="nil"/>
              <w:left w:val="nil"/>
              <w:bottom w:val="single" w:sz="4" w:space="0" w:color="auto"/>
              <w:right w:val="single" w:sz="4" w:space="0" w:color="auto"/>
            </w:tcBorders>
            <w:shd w:val="clear" w:color="auto" w:fill="auto"/>
            <w:vAlign w:val="center"/>
          </w:tcPr>
          <w:p w14:paraId="602AA74A"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1-普通贷款；2-银行同业拆借；3-联行往来；4-透支（含信用卡透支）；5-融资融券；6-融资租赁；9-其他。</w:t>
            </w:r>
          </w:p>
        </w:tc>
        <w:tc>
          <w:tcPr>
            <w:tcW w:w="1212" w:type="dxa"/>
            <w:tcBorders>
              <w:top w:val="nil"/>
              <w:left w:val="nil"/>
              <w:bottom w:val="single" w:sz="4" w:space="0" w:color="auto"/>
              <w:right w:val="single" w:sz="4" w:space="0" w:color="auto"/>
            </w:tcBorders>
            <w:shd w:val="clear" w:color="auto" w:fill="auto"/>
            <w:vAlign w:val="center"/>
          </w:tcPr>
          <w:p w14:paraId="5F60B63F"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新增</w:t>
            </w:r>
          </w:p>
        </w:tc>
      </w:tr>
      <w:tr w:rsidR="00A052DC" w14:paraId="009743FE" w14:textId="77777777">
        <w:trPr>
          <w:trHeight w:val="20"/>
          <w:jc w:val="center"/>
        </w:trPr>
        <w:tc>
          <w:tcPr>
            <w:tcW w:w="2416" w:type="dxa"/>
            <w:tcBorders>
              <w:top w:val="nil"/>
              <w:left w:val="single" w:sz="4" w:space="0" w:color="auto"/>
              <w:bottom w:val="single" w:sz="4" w:space="0" w:color="auto"/>
              <w:right w:val="single" w:sz="4" w:space="0" w:color="auto"/>
            </w:tcBorders>
            <w:shd w:val="clear" w:color="auto" w:fill="auto"/>
            <w:vAlign w:val="center"/>
          </w:tcPr>
          <w:p w14:paraId="550BD36C"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D02 贷款（含拆放银行同业及联行）（资产）</w:t>
            </w:r>
          </w:p>
        </w:tc>
        <w:tc>
          <w:tcPr>
            <w:tcW w:w="1862" w:type="dxa"/>
            <w:tcBorders>
              <w:top w:val="nil"/>
              <w:left w:val="nil"/>
              <w:bottom w:val="single" w:sz="4" w:space="0" w:color="auto"/>
              <w:right w:val="single" w:sz="4" w:space="0" w:color="auto"/>
            </w:tcBorders>
            <w:shd w:val="clear" w:color="auto" w:fill="auto"/>
            <w:vAlign w:val="center"/>
          </w:tcPr>
          <w:p w14:paraId="41BAB5FE"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贷款是否存在担保人</w:t>
            </w:r>
          </w:p>
        </w:tc>
        <w:tc>
          <w:tcPr>
            <w:tcW w:w="3250" w:type="dxa"/>
            <w:tcBorders>
              <w:top w:val="nil"/>
              <w:left w:val="nil"/>
              <w:bottom w:val="single" w:sz="4" w:space="0" w:color="auto"/>
              <w:right w:val="single" w:sz="4" w:space="0" w:color="auto"/>
            </w:tcBorders>
            <w:shd w:val="clear" w:color="auto" w:fill="auto"/>
            <w:vAlign w:val="center"/>
          </w:tcPr>
          <w:p w14:paraId="32E4B05C"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当对非居民的贷款存在担保人时选择“1-是”，反之选择“2-否”。</w:t>
            </w:r>
          </w:p>
        </w:tc>
        <w:tc>
          <w:tcPr>
            <w:tcW w:w="1212" w:type="dxa"/>
            <w:tcBorders>
              <w:top w:val="nil"/>
              <w:left w:val="nil"/>
              <w:bottom w:val="single" w:sz="4" w:space="0" w:color="auto"/>
              <w:right w:val="single" w:sz="4" w:space="0" w:color="auto"/>
            </w:tcBorders>
            <w:shd w:val="clear" w:color="auto" w:fill="auto"/>
            <w:vAlign w:val="center"/>
          </w:tcPr>
          <w:p w14:paraId="0A4E8028"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新增</w:t>
            </w:r>
          </w:p>
        </w:tc>
      </w:tr>
      <w:tr w:rsidR="00A052DC" w14:paraId="395EBBAD" w14:textId="77777777">
        <w:trPr>
          <w:trHeight w:val="20"/>
          <w:jc w:val="center"/>
        </w:trPr>
        <w:tc>
          <w:tcPr>
            <w:tcW w:w="2416" w:type="dxa"/>
            <w:tcBorders>
              <w:top w:val="nil"/>
              <w:left w:val="single" w:sz="4" w:space="0" w:color="auto"/>
              <w:bottom w:val="single" w:sz="4" w:space="0" w:color="auto"/>
              <w:right w:val="single" w:sz="4" w:space="0" w:color="auto"/>
            </w:tcBorders>
            <w:shd w:val="clear" w:color="auto" w:fill="auto"/>
            <w:vAlign w:val="center"/>
          </w:tcPr>
          <w:p w14:paraId="4618295C"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D02 贷款（含拆放银行同业及联行）（资产）</w:t>
            </w:r>
          </w:p>
        </w:tc>
        <w:tc>
          <w:tcPr>
            <w:tcW w:w="1862" w:type="dxa"/>
            <w:tcBorders>
              <w:top w:val="nil"/>
              <w:left w:val="nil"/>
              <w:bottom w:val="single" w:sz="4" w:space="0" w:color="auto"/>
              <w:right w:val="single" w:sz="4" w:space="0" w:color="auto"/>
            </w:tcBorders>
            <w:shd w:val="clear" w:color="auto" w:fill="auto"/>
            <w:vAlign w:val="center"/>
          </w:tcPr>
          <w:p w14:paraId="27F79035"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担保人所属国家/地区</w:t>
            </w:r>
          </w:p>
        </w:tc>
        <w:tc>
          <w:tcPr>
            <w:tcW w:w="3250" w:type="dxa"/>
            <w:tcBorders>
              <w:top w:val="nil"/>
              <w:left w:val="nil"/>
              <w:bottom w:val="single" w:sz="4" w:space="0" w:color="auto"/>
              <w:right w:val="single" w:sz="4" w:space="0" w:color="auto"/>
            </w:tcBorders>
            <w:shd w:val="clear" w:color="auto" w:fill="auto"/>
            <w:vAlign w:val="center"/>
          </w:tcPr>
          <w:p w14:paraId="5F6401C4"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对于贷款是否存在担保人选择“1-是”的，填报贷款担保人的注册或常驻（住）的国家/地区。见国家和地区代码表。</w:t>
            </w:r>
          </w:p>
        </w:tc>
        <w:tc>
          <w:tcPr>
            <w:tcW w:w="1212" w:type="dxa"/>
            <w:tcBorders>
              <w:top w:val="nil"/>
              <w:left w:val="nil"/>
              <w:bottom w:val="single" w:sz="4" w:space="0" w:color="auto"/>
              <w:right w:val="single" w:sz="4" w:space="0" w:color="auto"/>
            </w:tcBorders>
            <w:shd w:val="clear" w:color="auto" w:fill="auto"/>
            <w:vAlign w:val="center"/>
          </w:tcPr>
          <w:p w14:paraId="1AA4A51B"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新增</w:t>
            </w:r>
          </w:p>
        </w:tc>
      </w:tr>
      <w:tr w:rsidR="00A052DC" w14:paraId="5E42F6A9" w14:textId="77777777">
        <w:trPr>
          <w:trHeight w:val="20"/>
          <w:jc w:val="center"/>
        </w:trPr>
        <w:tc>
          <w:tcPr>
            <w:tcW w:w="2416" w:type="dxa"/>
            <w:tcBorders>
              <w:top w:val="nil"/>
              <w:left w:val="single" w:sz="4" w:space="0" w:color="auto"/>
              <w:bottom w:val="single" w:sz="4" w:space="0" w:color="auto"/>
              <w:right w:val="single" w:sz="4" w:space="0" w:color="auto"/>
            </w:tcBorders>
            <w:shd w:val="clear" w:color="auto" w:fill="auto"/>
            <w:vAlign w:val="center"/>
          </w:tcPr>
          <w:p w14:paraId="02529E8A"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D02 贷款（含拆放银行同业及联行）（资产）</w:t>
            </w:r>
          </w:p>
        </w:tc>
        <w:tc>
          <w:tcPr>
            <w:tcW w:w="1862" w:type="dxa"/>
            <w:tcBorders>
              <w:top w:val="nil"/>
              <w:left w:val="nil"/>
              <w:bottom w:val="single" w:sz="4" w:space="0" w:color="auto"/>
              <w:right w:val="single" w:sz="4" w:space="0" w:color="auto"/>
            </w:tcBorders>
            <w:shd w:val="clear" w:color="auto" w:fill="auto"/>
            <w:vAlign w:val="center"/>
          </w:tcPr>
          <w:p w14:paraId="3698BA92"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担保人所属部门</w:t>
            </w:r>
          </w:p>
        </w:tc>
        <w:tc>
          <w:tcPr>
            <w:tcW w:w="3250" w:type="dxa"/>
            <w:tcBorders>
              <w:top w:val="nil"/>
              <w:left w:val="nil"/>
              <w:bottom w:val="single" w:sz="4" w:space="0" w:color="auto"/>
              <w:right w:val="single" w:sz="4" w:space="0" w:color="auto"/>
            </w:tcBorders>
            <w:shd w:val="clear" w:color="auto" w:fill="auto"/>
            <w:vAlign w:val="center"/>
          </w:tcPr>
          <w:p w14:paraId="1C3A53DA"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对于贷款是否存在担保人选择选择“1-是”的，填报该担保人所属部门。见投资者（被投资者）部门代码表。</w:t>
            </w:r>
          </w:p>
        </w:tc>
        <w:tc>
          <w:tcPr>
            <w:tcW w:w="1212" w:type="dxa"/>
            <w:tcBorders>
              <w:top w:val="nil"/>
              <w:left w:val="nil"/>
              <w:bottom w:val="single" w:sz="4" w:space="0" w:color="auto"/>
              <w:right w:val="single" w:sz="4" w:space="0" w:color="auto"/>
            </w:tcBorders>
            <w:shd w:val="clear" w:color="auto" w:fill="auto"/>
            <w:vAlign w:val="center"/>
          </w:tcPr>
          <w:p w14:paraId="04AF9064"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新增</w:t>
            </w:r>
          </w:p>
        </w:tc>
      </w:tr>
      <w:tr w:rsidR="00A052DC" w14:paraId="00862C35" w14:textId="77777777">
        <w:trPr>
          <w:trHeight w:val="20"/>
          <w:jc w:val="center"/>
        </w:trPr>
        <w:tc>
          <w:tcPr>
            <w:tcW w:w="2416" w:type="dxa"/>
            <w:tcBorders>
              <w:top w:val="nil"/>
              <w:left w:val="single" w:sz="4" w:space="0" w:color="auto"/>
              <w:bottom w:val="single" w:sz="4" w:space="0" w:color="auto"/>
              <w:right w:val="single" w:sz="4" w:space="0" w:color="auto"/>
            </w:tcBorders>
            <w:shd w:val="clear" w:color="auto" w:fill="auto"/>
            <w:vAlign w:val="center"/>
          </w:tcPr>
          <w:p w14:paraId="49FDA349"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D04 应收款及预付款（不含应收利息）（资产）</w:t>
            </w:r>
          </w:p>
        </w:tc>
        <w:tc>
          <w:tcPr>
            <w:tcW w:w="1862" w:type="dxa"/>
            <w:tcBorders>
              <w:top w:val="nil"/>
              <w:left w:val="nil"/>
              <w:bottom w:val="single" w:sz="4" w:space="0" w:color="auto"/>
              <w:right w:val="single" w:sz="4" w:space="0" w:color="auto"/>
            </w:tcBorders>
            <w:shd w:val="clear" w:color="auto" w:fill="auto"/>
            <w:vAlign w:val="center"/>
          </w:tcPr>
          <w:p w14:paraId="226E04F5"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业务类型</w:t>
            </w:r>
          </w:p>
        </w:tc>
        <w:tc>
          <w:tcPr>
            <w:tcW w:w="3250" w:type="dxa"/>
            <w:tcBorders>
              <w:top w:val="nil"/>
              <w:left w:val="nil"/>
              <w:bottom w:val="single" w:sz="4" w:space="0" w:color="auto"/>
              <w:right w:val="single" w:sz="4" w:space="0" w:color="auto"/>
            </w:tcBorders>
            <w:shd w:val="clear" w:color="auto" w:fill="auto"/>
            <w:vAlign w:val="center"/>
          </w:tcPr>
          <w:p w14:paraId="71C0F1E2"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指产生应收（预付）款项的业务类型，按以下两种情况填列：1-货物贸易；9-其他。</w:t>
            </w:r>
          </w:p>
        </w:tc>
        <w:tc>
          <w:tcPr>
            <w:tcW w:w="1212" w:type="dxa"/>
            <w:tcBorders>
              <w:top w:val="nil"/>
              <w:left w:val="nil"/>
              <w:bottom w:val="single" w:sz="4" w:space="0" w:color="auto"/>
              <w:right w:val="single" w:sz="4" w:space="0" w:color="auto"/>
            </w:tcBorders>
            <w:shd w:val="clear" w:color="auto" w:fill="auto"/>
            <w:vAlign w:val="center"/>
          </w:tcPr>
          <w:p w14:paraId="120C64DD"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新增</w:t>
            </w:r>
          </w:p>
        </w:tc>
      </w:tr>
      <w:tr w:rsidR="00A052DC" w14:paraId="4541E1C2" w14:textId="77777777">
        <w:trPr>
          <w:trHeight w:val="20"/>
          <w:jc w:val="center"/>
        </w:trPr>
        <w:tc>
          <w:tcPr>
            <w:tcW w:w="2416" w:type="dxa"/>
            <w:tcBorders>
              <w:top w:val="nil"/>
              <w:left w:val="single" w:sz="4" w:space="0" w:color="auto"/>
              <w:bottom w:val="single" w:sz="4" w:space="0" w:color="auto"/>
              <w:right w:val="single" w:sz="4" w:space="0" w:color="auto"/>
            </w:tcBorders>
            <w:shd w:val="clear" w:color="auto" w:fill="auto"/>
            <w:vAlign w:val="center"/>
          </w:tcPr>
          <w:p w14:paraId="365AB064"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D04 应收款及预付款（不含应收利息）（资产）</w:t>
            </w:r>
          </w:p>
        </w:tc>
        <w:tc>
          <w:tcPr>
            <w:tcW w:w="1862" w:type="dxa"/>
            <w:tcBorders>
              <w:top w:val="nil"/>
              <w:left w:val="nil"/>
              <w:bottom w:val="single" w:sz="4" w:space="0" w:color="auto"/>
              <w:right w:val="single" w:sz="4" w:space="0" w:color="auto"/>
            </w:tcBorders>
            <w:shd w:val="clear" w:color="auto" w:fill="auto"/>
            <w:vAlign w:val="center"/>
          </w:tcPr>
          <w:p w14:paraId="502DBC94"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本月末余额其中：剩余期限在一年及以下</w:t>
            </w:r>
          </w:p>
        </w:tc>
        <w:tc>
          <w:tcPr>
            <w:tcW w:w="3250" w:type="dxa"/>
            <w:tcBorders>
              <w:top w:val="nil"/>
              <w:left w:val="nil"/>
              <w:bottom w:val="single" w:sz="4" w:space="0" w:color="auto"/>
              <w:right w:val="single" w:sz="4" w:space="0" w:color="auto"/>
            </w:tcBorders>
            <w:shd w:val="clear" w:color="auto" w:fill="auto"/>
            <w:vAlign w:val="center"/>
          </w:tcPr>
          <w:p w14:paraId="05A84D51"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指自本月末至最终到期在一年及以下的本月末对非居民应收（预付）款项的账面余额。如发生应收（预付）款拖欠或展期的，应按照双方确定的期限计算。如双方无安排，纳入一年及以下统计。</w:t>
            </w:r>
          </w:p>
        </w:tc>
        <w:tc>
          <w:tcPr>
            <w:tcW w:w="1212" w:type="dxa"/>
            <w:tcBorders>
              <w:top w:val="nil"/>
              <w:left w:val="nil"/>
              <w:bottom w:val="single" w:sz="4" w:space="0" w:color="auto"/>
              <w:right w:val="single" w:sz="4" w:space="0" w:color="auto"/>
            </w:tcBorders>
            <w:shd w:val="clear" w:color="auto" w:fill="auto"/>
            <w:vAlign w:val="center"/>
          </w:tcPr>
          <w:p w14:paraId="24AABDD9"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变更</w:t>
            </w:r>
          </w:p>
        </w:tc>
      </w:tr>
      <w:tr w:rsidR="00A052DC" w14:paraId="41E72095" w14:textId="77777777">
        <w:trPr>
          <w:trHeight w:val="20"/>
          <w:jc w:val="center"/>
        </w:trPr>
        <w:tc>
          <w:tcPr>
            <w:tcW w:w="2416" w:type="dxa"/>
            <w:tcBorders>
              <w:top w:val="nil"/>
              <w:left w:val="single" w:sz="4" w:space="0" w:color="auto"/>
              <w:bottom w:val="single" w:sz="4" w:space="0" w:color="auto"/>
              <w:right w:val="single" w:sz="4" w:space="0" w:color="auto"/>
            </w:tcBorders>
            <w:shd w:val="clear" w:color="auto" w:fill="auto"/>
            <w:vAlign w:val="center"/>
          </w:tcPr>
          <w:p w14:paraId="0B7EA499"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D08 应付款及预收款（不含应付利息）（负债）</w:t>
            </w:r>
          </w:p>
        </w:tc>
        <w:tc>
          <w:tcPr>
            <w:tcW w:w="1862" w:type="dxa"/>
            <w:tcBorders>
              <w:top w:val="nil"/>
              <w:left w:val="nil"/>
              <w:bottom w:val="single" w:sz="4" w:space="0" w:color="auto"/>
              <w:right w:val="single" w:sz="4" w:space="0" w:color="auto"/>
            </w:tcBorders>
            <w:shd w:val="clear" w:color="auto" w:fill="auto"/>
            <w:vAlign w:val="center"/>
          </w:tcPr>
          <w:p w14:paraId="147D4240"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业务类型</w:t>
            </w:r>
          </w:p>
        </w:tc>
        <w:tc>
          <w:tcPr>
            <w:tcW w:w="3250" w:type="dxa"/>
            <w:tcBorders>
              <w:top w:val="nil"/>
              <w:left w:val="nil"/>
              <w:bottom w:val="single" w:sz="4" w:space="0" w:color="auto"/>
              <w:right w:val="single" w:sz="4" w:space="0" w:color="auto"/>
            </w:tcBorders>
            <w:shd w:val="clear" w:color="auto" w:fill="auto"/>
            <w:vAlign w:val="center"/>
          </w:tcPr>
          <w:p w14:paraId="24633B5D"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指产生应付（预收）款项的业务类型，请按以下两种情况填列：1-货物贸易； 9-其他。</w:t>
            </w:r>
          </w:p>
        </w:tc>
        <w:tc>
          <w:tcPr>
            <w:tcW w:w="1212" w:type="dxa"/>
            <w:tcBorders>
              <w:top w:val="nil"/>
              <w:left w:val="nil"/>
              <w:bottom w:val="single" w:sz="4" w:space="0" w:color="auto"/>
              <w:right w:val="single" w:sz="4" w:space="0" w:color="auto"/>
            </w:tcBorders>
            <w:shd w:val="clear" w:color="auto" w:fill="auto"/>
            <w:vAlign w:val="center"/>
          </w:tcPr>
          <w:p w14:paraId="0DE91569"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新增</w:t>
            </w:r>
          </w:p>
        </w:tc>
      </w:tr>
      <w:tr w:rsidR="00A052DC" w14:paraId="78A5A725" w14:textId="77777777">
        <w:trPr>
          <w:trHeight w:val="20"/>
          <w:jc w:val="center"/>
        </w:trPr>
        <w:tc>
          <w:tcPr>
            <w:tcW w:w="2416" w:type="dxa"/>
            <w:tcBorders>
              <w:top w:val="nil"/>
              <w:left w:val="single" w:sz="4" w:space="0" w:color="auto"/>
              <w:bottom w:val="single" w:sz="4" w:space="0" w:color="auto"/>
              <w:right w:val="single" w:sz="4" w:space="0" w:color="auto"/>
            </w:tcBorders>
            <w:shd w:val="clear" w:color="auto" w:fill="auto"/>
            <w:vAlign w:val="center"/>
          </w:tcPr>
          <w:p w14:paraId="5AD9B9E3"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D08 应付款及预收款（不含应付利息）（负债）</w:t>
            </w:r>
          </w:p>
        </w:tc>
        <w:tc>
          <w:tcPr>
            <w:tcW w:w="1862" w:type="dxa"/>
            <w:tcBorders>
              <w:top w:val="nil"/>
              <w:left w:val="nil"/>
              <w:bottom w:val="single" w:sz="4" w:space="0" w:color="auto"/>
              <w:right w:val="single" w:sz="4" w:space="0" w:color="auto"/>
            </w:tcBorders>
            <w:shd w:val="clear" w:color="auto" w:fill="auto"/>
            <w:vAlign w:val="center"/>
          </w:tcPr>
          <w:p w14:paraId="6DBD176C"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本月末余额其中：剩余期限在一年及以下</w:t>
            </w:r>
          </w:p>
        </w:tc>
        <w:tc>
          <w:tcPr>
            <w:tcW w:w="3250" w:type="dxa"/>
            <w:tcBorders>
              <w:top w:val="nil"/>
              <w:left w:val="nil"/>
              <w:bottom w:val="single" w:sz="4" w:space="0" w:color="auto"/>
              <w:right w:val="single" w:sz="4" w:space="0" w:color="auto"/>
            </w:tcBorders>
            <w:shd w:val="clear" w:color="auto" w:fill="auto"/>
            <w:vAlign w:val="center"/>
          </w:tcPr>
          <w:p w14:paraId="0A3881E6"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自本月末至最终到期在一年及以下的对非居民应付（预收）款项的账面余额。如发生应付款拖欠或展期的，应按照双方确定的期限计算。如双方无安排，归入一年及以下统计。</w:t>
            </w:r>
          </w:p>
        </w:tc>
        <w:tc>
          <w:tcPr>
            <w:tcW w:w="1212" w:type="dxa"/>
            <w:tcBorders>
              <w:top w:val="nil"/>
              <w:left w:val="nil"/>
              <w:bottom w:val="single" w:sz="4" w:space="0" w:color="auto"/>
              <w:right w:val="single" w:sz="4" w:space="0" w:color="auto"/>
            </w:tcBorders>
            <w:shd w:val="clear" w:color="auto" w:fill="auto"/>
            <w:vAlign w:val="center"/>
          </w:tcPr>
          <w:p w14:paraId="34DC0B2E"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变更</w:t>
            </w:r>
          </w:p>
        </w:tc>
      </w:tr>
      <w:tr w:rsidR="00A052DC" w14:paraId="5CB227B7" w14:textId="77777777">
        <w:trPr>
          <w:trHeight w:val="20"/>
          <w:jc w:val="center"/>
        </w:trPr>
        <w:tc>
          <w:tcPr>
            <w:tcW w:w="2416" w:type="dxa"/>
            <w:tcBorders>
              <w:top w:val="nil"/>
              <w:left w:val="single" w:sz="4" w:space="0" w:color="auto"/>
              <w:bottom w:val="single" w:sz="4" w:space="0" w:color="auto"/>
              <w:right w:val="single" w:sz="4" w:space="0" w:color="auto"/>
            </w:tcBorders>
            <w:shd w:val="clear" w:color="auto" w:fill="auto"/>
            <w:vAlign w:val="center"/>
          </w:tcPr>
          <w:p w14:paraId="060A2291"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E01 货物、服务、薪资及债务减免等其他各类往来</w:t>
            </w:r>
          </w:p>
        </w:tc>
        <w:tc>
          <w:tcPr>
            <w:tcW w:w="1862" w:type="dxa"/>
            <w:tcBorders>
              <w:top w:val="nil"/>
              <w:left w:val="nil"/>
              <w:bottom w:val="single" w:sz="4" w:space="0" w:color="auto"/>
              <w:right w:val="single" w:sz="4" w:space="0" w:color="auto"/>
            </w:tcBorders>
            <w:shd w:val="clear" w:color="auto" w:fill="auto"/>
            <w:vAlign w:val="center"/>
          </w:tcPr>
          <w:p w14:paraId="4DDCCC59"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原始币种</w:t>
            </w:r>
          </w:p>
        </w:tc>
        <w:tc>
          <w:tcPr>
            <w:tcW w:w="3250" w:type="dxa"/>
            <w:tcBorders>
              <w:top w:val="nil"/>
              <w:left w:val="nil"/>
              <w:bottom w:val="single" w:sz="4" w:space="0" w:color="auto"/>
              <w:right w:val="single" w:sz="4" w:space="0" w:color="auto"/>
            </w:tcBorders>
            <w:shd w:val="clear" w:color="auto" w:fill="auto"/>
            <w:vAlign w:val="center"/>
          </w:tcPr>
          <w:p w14:paraId="2A984A99"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填写申报主体与非居民之间发生的货物贸易、服务贸易、初次收入、转移及资本账户项下各类交易的计价币种或记账币种，优先填报计价币种。见币种代码表。适用于收入金额和支出金额。</w:t>
            </w:r>
          </w:p>
        </w:tc>
        <w:tc>
          <w:tcPr>
            <w:tcW w:w="1212" w:type="dxa"/>
            <w:tcBorders>
              <w:top w:val="nil"/>
              <w:left w:val="nil"/>
              <w:bottom w:val="single" w:sz="4" w:space="0" w:color="auto"/>
              <w:right w:val="single" w:sz="4" w:space="0" w:color="auto"/>
            </w:tcBorders>
            <w:shd w:val="clear" w:color="auto" w:fill="auto"/>
            <w:vAlign w:val="center"/>
          </w:tcPr>
          <w:p w14:paraId="2F72A860"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新增</w:t>
            </w:r>
          </w:p>
        </w:tc>
      </w:tr>
      <w:tr w:rsidR="00A052DC" w14:paraId="51A6D1A1" w14:textId="77777777">
        <w:trPr>
          <w:trHeight w:val="20"/>
          <w:jc w:val="center"/>
        </w:trPr>
        <w:tc>
          <w:tcPr>
            <w:tcW w:w="2416" w:type="dxa"/>
            <w:tcBorders>
              <w:top w:val="nil"/>
              <w:left w:val="single" w:sz="4" w:space="0" w:color="auto"/>
              <w:bottom w:val="single" w:sz="4" w:space="0" w:color="auto"/>
              <w:right w:val="single" w:sz="4" w:space="0" w:color="auto"/>
            </w:tcBorders>
            <w:shd w:val="clear" w:color="auto" w:fill="auto"/>
            <w:vAlign w:val="center"/>
          </w:tcPr>
          <w:p w14:paraId="39AA8434"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H01 为非居民托管业务统计（QFII/RQFII等）</w:t>
            </w:r>
          </w:p>
        </w:tc>
        <w:tc>
          <w:tcPr>
            <w:tcW w:w="1862" w:type="dxa"/>
            <w:tcBorders>
              <w:top w:val="nil"/>
              <w:left w:val="nil"/>
              <w:bottom w:val="single" w:sz="4" w:space="0" w:color="auto"/>
              <w:right w:val="single" w:sz="4" w:space="0" w:color="auto"/>
            </w:tcBorders>
            <w:shd w:val="clear" w:color="auto" w:fill="auto"/>
            <w:vAlign w:val="center"/>
          </w:tcPr>
          <w:p w14:paraId="5D9E87DF"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投资工具发行人所属国家/地区</w:t>
            </w:r>
          </w:p>
        </w:tc>
        <w:tc>
          <w:tcPr>
            <w:tcW w:w="3250" w:type="dxa"/>
            <w:tcBorders>
              <w:top w:val="nil"/>
              <w:left w:val="nil"/>
              <w:bottom w:val="single" w:sz="4" w:space="0" w:color="auto"/>
              <w:right w:val="single" w:sz="4" w:space="0" w:color="auto"/>
            </w:tcBorders>
            <w:shd w:val="clear" w:color="auto" w:fill="auto"/>
            <w:vAlign w:val="center"/>
          </w:tcPr>
          <w:p w14:paraId="25CF4CB5"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填写相关投资工具发行主体的注册国家/地区，见国家和地区代码表。</w:t>
            </w:r>
          </w:p>
        </w:tc>
        <w:tc>
          <w:tcPr>
            <w:tcW w:w="1212" w:type="dxa"/>
            <w:tcBorders>
              <w:top w:val="nil"/>
              <w:left w:val="nil"/>
              <w:bottom w:val="single" w:sz="4" w:space="0" w:color="auto"/>
              <w:right w:val="single" w:sz="4" w:space="0" w:color="auto"/>
            </w:tcBorders>
            <w:shd w:val="clear" w:color="auto" w:fill="auto"/>
            <w:vAlign w:val="center"/>
          </w:tcPr>
          <w:p w14:paraId="1CBE754D"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新增</w:t>
            </w:r>
          </w:p>
        </w:tc>
      </w:tr>
      <w:tr w:rsidR="00A052DC" w14:paraId="7403A184" w14:textId="77777777">
        <w:trPr>
          <w:trHeight w:val="20"/>
          <w:jc w:val="center"/>
        </w:trPr>
        <w:tc>
          <w:tcPr>
            <w:tcW w:w="2416" w:type="dxa"/>
            <w:tcBorders>
              <w:top w:val="nil"/>
              <w:left w:val="single" w:sz="4" w:space="0" w:color="auto"/>
              <w:bottom w:val="single" w:sz="4" w:space="0" w:color="auto"/>
              <w:right w:val="single" w:sz="4" w:space="0" w:color="auto"/>
            </w:tcBorders>
            <w:shd w:val="clear" w:color="auto" w:fill="auto"/>
            <w:vAlign w:val="center"/>
          </w:tcPr>
          <w:p w14:paraId="07C4F258"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H01 为非居民托管业务统计（QFII/RQFII等）</w:t>
            </w:r>
          </w:p>
        </w:tc>
        <w:tc>
          <w:tcPr>
            <w:tcW w:w="1862" w:type="dxa"/>
            <w:tcBorders>
              <w:top w:val="nil"/>
              <w:left w:val="nil"/>
              <w:bottom w:val="single" w:sz="4" w:space="0" w:color="auto"/>
              <w:right w:val="single" w:sz="4" w:space="0" w:color="auto"/>
            </w:tcBorders>
            <w:shd w:val="clear" w:color="auto" w:fill="auto"/>
            <w:vAlign w:val="center"/>
          </w:tcPr>
          <w:p w14:paraId="2991E02E"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注销、调整或重新分类至其他项目统计的金额</w:t>
            </w:r>
          </w:p>
        </w:tc>
        <w:tc>
          <w:tcPr>
            <w:tcW w:w="3250" w:type="dxa"/>
            <w:tcBorders>
              <w:top w:val="nil"/>
              <w:left w:val="nil"/>
              <w:bottom w:val="single" w:sz="4" w:space="0" w:color="auto"/>
              <w:right w:val="single" w:sz="4" w:space="0" w:color="auto"/>
            </w:tcBorders>
            <w:shd w:val="clear" w:color="auto" w:fill="auto"/>
            <w:vAlign w:val="center"/>
          </w:tcPr>
          <w:p w14:paraId="5C51FFC1"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指非交易因素和非价值重估因素引起的投资产品资产数量增减和价值变动，包括但不限于本月因非居民委托人注销或重新分类相关投资，也包括其他不能归类为价值重估或汇率波动引起的资产价值变动。该项目须满足以下校验关系：本月非交易变动=</w:t>
            </w:r>
            <w:r w:rsidR="00AB6FE5" w:rsidRPr="00AB6FE5">
              <w:rPr>
                <w:rFonts w:ascii="黑体" w:eastAsia="黑体" w:hAnsi="黑体" w:cs="宋体" w:hint="eastAsia"/>
                <w:color w:val="000000"/>
                <w:kern w:val="0"/>
                <w:sz w:val="20"/>
                <w:szCs w:val="20"/>
              </w:rPr>
              <w:t>注销、调整或重新分类至其他项目统计的金额</w:t>
            </w:r>
            <w:r>
              <w:rPr>
                <w:rFonts w:ascii="黑体" w:eastAsia="黑体" w:hAnsi="黑体" w:cs="宋体" w:hint="eastAsia"/>
                <w:color w:val="000000"/>
                <w:kern w:val="0"/>
                <w:sz w:val="20"/>
                <w:szCs w:val="20"/>
              </w:rPr>
              <w:t>+价值重估因素。</w:t>
            </w:r>
          </w:p>
        </w:tc>
        <w:tc>
          <w:tcPr>
            <w:tcW w:w="1212" w:type="dxa"/>
            <w:tcBorders>
              <w:top w:val="nil"/>
              <w:left w:val="nil"/>
              <w:bottom w:val="single" w:sz="4" w:space="0" w:color="auto"/>
              <w:right w:val="single" w:sz="4" w:space="0" w:color="auto"/>
            </w:tcBorders>
            <w:shd w:val="clear" w:color="auto" w:fill="auto"/>
            <w:vAlign w:val="center"/>
          </w:tcPr>
          <w:p w14:paraId="50CD6E0C"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变更</w:t>
            </w:r>
          </w:p>
        </w:tc>
      </w:tr>
      <w:tr w:rsidR="00A052DC" w14:paraId="20BBE2DB" w14:textId="77777777">
        <w:trPr>
          <w:trHeight w:val="20"/>
          <w:jc w:val="center"/>
        </w:trPr>
        <w:tc>
          <w:tcPr>
            <w:tcW w:w="2416" w:type="dxa"/>
            <w:tcBorders>
              <w:top w:val="nil"/>
              <w:left w:val="single" w:sz="4" w:space="0" w:color="auto"/>
              <w:bottom w:val="single" w:sz="4" w:space="0" w:color="auto"/>
              <w:right w:val="single" w:sz="4" w:space="0" w:color="auto"/>
            </w:tcBorders>
            <w:shd w:val="clear" w:color="auto" w:fill="auto"/>
            <w:vAlign w:val="center"/>
          </w:tcPr>
          <w:p w14:paraId="4A583904"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H01 为非居民托管业务统计（QFII/RQFII等）</w:t>
            </w:r>
          </w:p>
        </w:tc>
        <w:tc>
          <w:tcPr>
            <w:tcW w:w="1862" w:type="dxa"/>
            <w:tcBorders>
              <w:top w:val="nil"/>
              <w:left w:val="nil"/>
              <w:bottom w:val="single" w:sz="4" w:space="0" w:color="auto"/>
              <w:right w:val="single" w:sz="4" w:space="0" w:color="auto"/>
            </w:tcBorders>
            <w:shd w:val="clear" w:color="auto" w:fill="auto"/>
            <w:vAlign w:val="center"/>
          </w:tcPr>
          <w:p w14:paraId="3590363B"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本月末市值其中：剩余期限在一年及以下</w:t>
            </w:r>
          </w:p>
        </w:tc>
        <w:tc>
          <w:tcPr>
            <w:tcW w:w="3250" w:type="dxa"/>
            <w:tcBorders>
              <w:top w:val="nil"/>
              <w:left w:val="nil"/>
              <w:bottom w:val="single" w:sz="4" w:space="0" w:color="auto"/>
              <w:right w:val="single" w:sz="4" w:space="0" w:color="auto"/>
            </w:tcBorders>
            <w:shd w:val="clear" w:color="auto" w:fill="auto"/>
            <w:vAlign w:val="center"/>
          </w:tcPr>
          <w:p w14:paraId="787D3EDC"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“投资工具类型”项的值为11-15、20或24时，该项填0；“投资工具类型”项的值为16-19或21-23时，该项按以下要求填写：</w:t>
            </w:r>
            <w:r>
              <w:rPr>
                <w:rFonts w:ascii="黑体" w:eastAsia="黑体" w:hAnsi="黑体" w:cs="宋体" w:hint="eastAsia"/>
                <w:color w:val="000000"/>
                <w:kern w:val="0"/>
                <w:sz w:val="20"/>
                <w:szCs w:val="20"/>
              </w:rPr>
              <w:br/>
              <w:t>指自本月末至最终到期的期限在一年及以下的债务类工具的公允价值。应优先使用公开市场期末市场价值，如无市场价值，则按照申报主体的记账惯例填报公允价值。</w:t>
            </w:r>
          </w:p>
        </w:tc>
        <w:tc>
          <w:tcPr>
            <w:tcW w:w="1212" w:type="dxa"/>
            <w:tcBorders>
              <w:top w:val="nil"/>
              <w:left w:val="nil"/>
              <w:bottom w:val="single" w:sz="4" w:space="0" w:color="auto"/>
              <w:right w:val="single" w:sz="4" w:space="0" w:color="auto"/>
            </w:tcBorders>
            <w:shd w:val="clear" w:color="auto" w:fill="auto"/>
            <w:vAlign w:val="center"/>
          </w:tcPr>
          <w:p w14:paraId="77E17E6C"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变更</w:t>
            </w:r>
          </w:p>
        </w:tc>
      </w:tr>
      <w:tr w:rsidR="00A052DC" w14:paraId="594C7443" w14:textId="77777777">
        <w:trPr>
          <w:trHeight w:val="20"/>
          <w:jc w:val="center"/>
        </w:trPr>
        <w:tc>
          <w:tcPr>
            <w:tcW w:w="2416" w:type="dxa"/>
            <w:tcBorders>
              <w:top w:val="nil"/>
              <w:left w:val="single" w:sz="4" w:space="0" w:color="auto"/>
              <w:bottom w:val="single" w:sz="4" w:space="0" w:color="auto"/>
              <w:right w:val="single" w:sz="4" w:space="0" w:color="auto"/>
            </w:tcBorders>
            <w:shd w:val="clear" w:color="auto" w:fill="auto"/>
            <w:vAlign w:val="center"/>
          </w:tcPr>
          <w:p w14:paraId="62FABB81"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H01、H02</w:t>
            </w:r>
          </w:p>
        </w:tc>
        <w:tc>
          <w:tcPr>
            <w:tcW w:w="1862" w:type="dxa"/>
            <w:tcBorders>
              <w:top w:val="nil"/>
              <w:left w:val="nil"/>
              <w:bottom w:val="single" w:sz="4" w:space="0" w:color="auto"/>
              <w:right w:val="single" w:sz="4" w:space="0" w:color="auto"/>
            </w:tcBorders>
            <w:shd w:val="clear" w:color="auto" w:fill="auto"/>
            <w:vAlign w:val="center"/>
          </w:tcPr>
          <w:p w14:paraId="47F83CCC"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本月末未到期/未偿付债券面值</w:t>
            </w:r>
          </w:p>
        </w:tc>
        <w:tc>
          <w:tcPr>
            <w:tcW w:w="3250" w:type="dxa"/>
            <w:tcBorders>
              <w:top w:val="nil"/>
              <w:left w:val="nil"/>
              <w:bottom w:val="single" w:sz="4" w:space="0" w:color="auto"/>
              <w:right w:val="single" w:sz="4" w:space="0" w:color="auto"/>
            </w:tcBorders>
            <w:shd w:val="clear" w:color="auto" w:fill="auto"/>
            <w:vAlign w:val="center"/>
          </w:tcPr>
          <w:p w14:paraId="19413E65"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债券面值为债券发行人在债券到期时需向持有人偿还的本金金额。本项应填报为债券票面金额与本月末投资者持有债券数量的乘积。本项仅限债务证券使用，非债务性工具不填报此项。</w:t>
            </w:r>
          </w:p>
        </w:tc>
        <w:tc>
          <w:tcPr>
            <w:tcW w:w="1212" w:type="dxa"/>
            <w:tcBorders>
              <w:top w:val="nil"/>
              <w:left w:val="nil"/>
              <w:bottom w:val="single" w:sz="4" w:space="0" w:color="auto"/>
              <w:right w:val="single" w:sz="4" w:space="0" w:color="auto"/>
            </w:tcBorders>
            <w:shd w:val="clear" w:color="auto" w:fill="auto"/>
            <w:vAlign w:val="center"/>
          </w:tcPr>
          <w:p w14:paraId="77036BD3"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新增</w:t>
            </w:r>
          </w:p>
        </w:tc>
      </w:tr>
      <w:tr w:rsidR="00A052DC" w14:paraId="2EF58FF8" w14:textId="77777777">
        <w:trPr>
          <w:trHeight w:val="20"/>
          <w:jc w:val="center"/>
        </w:trPr>
        <w:tc>
          <w:tcPr>
            <w:tcW w:w="2416" w:type="dxa"/>
            <w:tcBorders>
              <w:top w:val="nil"/>
              <w:left w:val="single" w:sz="4" w:space="0" w:color="auto"/>
              <w:bottom w:val="single" w:sz="4" w:space="0" w:color="auto"/>
              <w:right w:val="single" w:sz="4" w:space="0" w:color="auto"/>
            </w:tcBorders>
            <w:shd w:val="clear" w:color="auto" w:fill="auto"/>
            <w:vAlign w:val="center"/>
          </w:tcPr>
          <w:p w14:paraId="65151CDB"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H02 为居民托管业务统计（QDII/RQDII/QDLP/QDIE等）</w:t>
            </w:r>
          </w:p>
        </w:tc>
        <w:tc>
          <w:tcPr>
            <w:tcW w:w="1862" w:type="dxa"/>
            <w:tcBorders>
              <w:top w:val="nil"/>
              <w:left w:val="nil"/>
              <w:bottom w:val="single" w:sz="4" w:space="0" w:color="auto"/>
              <w:right w:val="single" w:sz="4" w:space="0" w:color="auto"/>
            </w:tcBorders>
            <w:shd w:val="clear" w:color="auto" w:fill="auto"/>
            <w:vAlign w:val="center"/>
          </w:tcPr>
          <w:p w14:paraId="7600FAB0"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投资品种类型</w:t>
            </w:r>
          </w:p>
        </w:tc>
        <w:tc>
          <w:tcPr>
            <w:tcW w:w="3250" w:type="dxa"/>
            <w:tcBorders>
              <w:top w:val="nil"/>
              <w:left w:val="nil"/>
              <w:bottom w:val="single" w:sz="4" w:space="0" w:color="auto"/>
              <w:right w:val="single" w:sz="4" w:space="0" w:color="auto"/>
            </w:tcBorders>
            <w:shd w:val="clear" w:color="auto" w:fill="auto"/>
            <w:vAlign w:val="center"/>
          </w:tcPr>
          <w:p w14:paraId="1E9E18D1"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完善数据定义并配合调整校验规则。</w:t>
            </w:r>
          </w:p>
        </w:tc>
        <w:tc>
          <w:tcPr>
            <w:tcW w:w="1212" w:type="dxa"/>
            <w:tcBorders>
              <w:top w:val="nil"/>
              <w:left w:val="nil"/>
              <w:bottom w:val="single" w:sz="4" w:space="0" w:color="auto"/>
              <w:right w:val="single" w:sz="4" w:space="0" w:color="auto"/>
            </w:tcBorders>
            <w:shd w:val="clear" w:color="auto" w:fill="auto"/>
            <w:vAlign w:val="center"/>
          </w:tcPr>
          <w:p w14:paraId="322ACC8A"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调整</w:t>
            </w:r>
          </w:p>
        </w:tc>
      </w:tr>
      <w:tr w:rsidR="00A052DC" w14:paraId="64C5D681" w14:textId="77777777">
        <w:trPr>
          <w:trHeight w:val="20"/>
          <w:jc w:val="center"/>
        </w:trPr>
        <w:tc>
          <w:tcPr>
            <w:tcW w:w="2416" w:type="dxa"/>
            <w:tcBorders>
              <w:top w:val="nil"/>
              <w:left w:val="single" w:sz="4" w:space="0" w:color="auto"/>
              <w:bottom w:val="single" w:sz="4" w:space="0" w:color="auto"/>
              <w:right w:val="single" w:sz="4" w:space="0" w:color="auto"/>
            </w:tcBorders>
            <w:shd w:val="clear" w:color="auto" w:fill="auto"/>
            <w:vAlign w:val="center"/>
          </w:tcPr>
          <w:p w14:paraId="1DA0DBA9"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H02 为居民托管业务统计（QDII/RQDII/QDLP/QDIE等）</w:t>
            </w:r>
          </w:p>
        </w:tc>
        <w:tc>
          <w:tcPr>
            <w:tcW w:w="1862" w:type="dxa"/>
            <w:tcBorders>
              <w:top w:val="nil"/>
              <w:left w:val="nil"/>
              <w:bottom w:val="single" w:sz="4" w:space="0" w:color="auto"/>
              <w:right w:val="single" w:sz="4" w:space="0" w:color="auto"/>
            </w:tcBorders>
            <w:shd w:val="clear" w:color="auto" w:fill="auto"/>
            <w:vAlign w:val="center"/>
          </w:tcPr>
          <w:p w14:paraId="3F17AF92"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本月卖出/赎回/(现金)结算收款额其中：债券到期或提前兑付的本息金额</w:t>
            </w:r>
          </w:p>
        </w:tc>
        <w:tc>
          <w:tcPr>
            <w:tcW w:w="3250" w:type="dxa"/>
            <w:tcBorders>
              <w:top w:val="nil"/>
              <w:left w:val="nil"/>
              <w:bottom w:val="single" w:sz="4" w:space="0" w:color="auto"/>
              <w:right w:val="single" w:sz="4" w:space="0" w:color="auto"/>
            </w:tcBorders>
            <w:shd w:val="clear" w:color="auto" w:fill="auto"/>
            <w:vAlign w:val="center"/>
          </w:tcPr>
          <w:p w14:paraId="0AB75154"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指本月内，债券发行人在债券到期日或到期日之前部分或全部偿还的本金和利息。本项仅限债务证券使用，非债务性工具不填报此项。</w:t>
            </w:r>
          </w:p>
        </w:tc>
        <w:tc>
          <w:tcPr>
            <w:tcW w:w="1212" w:type="dxa"/>
            <w:tcBorders>
              <w:top w:val="nil"/>
              <w:left w:val="nil"/>
              <w:bottom w:val="single" w:sz="4" w:space="0" w:color="auto"/>
              <w:right w:val="single" w:sz="4" w:space="0" w:color="auto"/>
            </w:tcBorders>
            <w:shd w:val="clear" w:color="auto" w:fill="auto"/>
            <w:vAlign w:val="center"/>
          </w:tcPr>
          <w:p w14:paraId="35B7BC76"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新增</w:t>
            </w:r>
          </w:p>
        </w:tc>
      </w:tr>
      <w:tr w:rsidR="00A052DC" w14:paraId="42531267" w14:textId="77777777">
        <w:trPr>
          <w:trHeight w:val="20"/>
          <w:jc w:val="center"/>
        </w:trPr>
        <w:tc>
          <w:tcPr>
            <w:tcW w:w="2416" w:type="dxa"/>
            <w:tcBorders>
              <w:top w:val="nil"/>
              <w:left w:val="single" w:sz="4" w:space="0" w:color="auto"/>
              <w:bottom w:val="single" w:sz="4" w:space="0" w:color="auto"/>
              <w:right w:val="single" w:sz="4" w:space="0" w:color="auto"/>
            </w:tcBorders>
            <w:shd w:val="clear" w:color="auto" w:fill="auto"/>
            <w:vAlign w:val="center"/>
          </w:tcPr>
          <w:p w14:paraId="14C2F253"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H02 为居民托管业务统计（QDII/RQDII/QDLP/QDIE等）</w:t>
            </w:r>
          </w:p>
        </w:tc>
        <w:tc>
          <w:tcPr>
            <w:tcW w:w="1862" w:type="dxa"/>
            <w:tcBorders>
              <w:top w:val="nil"/>
              <w:left w:val="nil"/>
              <w:bottom w:val="single" w:sz="4" w:space="0" w:color="auto"/>
              <w:right w:val="single" w:sz="4" w:space="0" w:color="auto"/>
            </w:tcBorders>
            <w:shd w:val="clear" w:color="auto" w:fill="auto"/>
            <w:vAlign w:val="center"/>
          </w:tcPr>
          <w:p w14:paraId="15D71D5E"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注销、调整或重新分类至其他项目统计的金额</w:t>
            </w:r>
          </w:p>
        </w:tc>
        <w:tc>
          <w:tcPr>
            <w:tcW w:w="3250" w:type="dxa"/>
            <w:tcBorders>
              <w:top w:val="nil"/>
              <w:left w:val="nil"/>
              <w:bottom w:val="single" w:sz="4" w:space="0" w:color="auto"/>
              <w:right w:val="single" w:sz="4" w:space="0" w:color="auto"/>
            </w:tcBorders>
            <w:shd w:val="clear" w:color="auto" w:fill="auto"/>
            <w:vAlign w:val="center"/>
          </w:tcPr>
          <w:p w14:paraId="788E5000"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指非交易因素和非价值重估因素引起的相关工具资产数量增减和价值变动，包括但不限于本月因居民委托人注销或重新分类相关投资，也包括其他不能归类为价值重估或汇率波动引起的资产价值变动。该项目须满足以下校验关系：本月非交易变动=</w:t>
            </w:r>
            <w:r w:rsidR="00AB6FE5" w:rsidRPr="00AB6FE5">
              <w:rPr>
                <w:rFonts w:ascii="黑体" w:eastAsia="黑体" w:hAnsi="黑体" w:cs="宋体" w:hint="eastAsia"/>
                <w:color w:val="000000"/>
                <w:kern w:val="0"/>
                <w:sz w:val="20"/>
                <w:szCs w:val="20"/>
              </w:rPr>
              <w:t>注销、调整或重新分类至其他项目统计的金额</w:t>
            </w:r>
            <w:r>
              <w:rPr>
                <w:rFonts w:ascii="黑体" w:eastAsia="黑体" w:hAnsi="黑体" w:cs="宋体" w:hint="eastAsia"/>
                <w:color w:val="000000"/>
                <w:kern w:val="0"/>
                <w:sz w:val="20"/>
                <w:szCs w:val="20"/>
              </w:rPr>
              <w:t>+价值重估因素。</w:t>
            </w:r>
          </w:p>
        </w:tc>
        <w:tc>
          <w:tcPr>
            <w:tcW w:w="1212" w:type="dxa"/>
            <w:tcBorders>
              <w:top w:val="nil"/>
              <w:left w:val="nil"/>
              <w:bottom w:val="single" w:sz="4" w:space="0" w:color="auto"/>
              <w:right w:val="single" w:sz="4" w:space="0" w:color="auto"/>
            </w:tcBorders>
            <w:shd w:val="clear" w:color="auto" w:fill="auto"/>
            <w:vAlign w:val="center"/>
          </w:tcPr>
          <w:p w14:paraId="069FFA54"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变更</w:t>
            </w:r>
          </w:p>
        </w:tc>
      </w:tr>
    </w:tbl>
    <w:p w14:paraId="07F5C181" w14:textId="77777777" w:rsidR="00A052DC" w:rsidRDefault="009F0A60">
      <w:pPr>
        <w:pStyle w:val="5"/>
      </w:pPr>
      <w:bookmarkStart w:id="116" w:name="_Toc454386580"/>
      <w:r>
        <w:t>1.4.3.</w:t>
      </w:r>
      <w:r>
        <w:rPr>
          <w:rFonts w:hint="eastAsia"/>
        </w:rPr>
        <w:t>8</w:t>
      </w:r>
      <w:r>
        <w:t>.3</w:t>
      </w:r>
      <w:r>
        <w:rPr>
          <w:rFonts w:hint="eastAsia"/>
        </w:rPr>
        <w:t>校验规则调整</w:t>
      </w:r>
      <w:bookmarkEnd w:id="116"/>
    </w:p>
    <w:tbl>
      <w:tblPr>
        <w:tblW w:w="8522" w:type="dxa"/>
        <w:jc w:val="center"/>
        <w:tblLook w:val="04A0" w:firstRow="1" w:lastRow="0" w:firstColumn="1" w:lastColumn="0" w:noHBand="0" w:noVBand="1"/>
      </w:tblPr>
      <w:tblGrid>
        <w:gridCol w:w="2027"/>
        <w:gridCol w:w="957"/>
        <w:gridCol w:w="2769"/>
        <w:gridCol w:w="2769"/>
      </w:tblGrid>
      <w:tr w:rsidR="00A052DC" w14:paraId="15451048" w14:textId="77777777">
        <w:trPr>
          <w:trHeight w:val="20"/>
          <w:tblHeader/>
          <w:jc w:val="center"/>
        </w:trPr>
        <w:tc>
          <w:tcPr>
            <w:tcW w:w="2027" w:type="dxa"/>
            <w:tcBorders>
              <w:top w:val="single" w:sz="4" w:space="0" w:color="auto"/>
              <w:left w:val="single" w:sz="4" w:space="0" w:color="auto"/>
              <w:bottom w:val="single" w:sz="4" w:space="0" w:color="auto"/>
              <w:right w:val="single" w:sz="4" w:space="0" w:color="auto"/>
            </w:tcBorders>
            <w:shd w:val="clear" w:color="000000" w:fill="C0C0C0"/>
          </w:tcPr>
          <w:p w14:paraId="7A0D1B4C" w14:textId="77777777" w:rsidR="00A052DC" w:rsidRDefault="009F0A60">
            <w:pPr>
              <w:pStyle w:val="B1"/>
            </w:pPr>
            <w:r>
              <w:rPr>
                <w:rFonts w:hint="eastAsia"/>
              </w:rPr>
              <w:t>表名及表号</w:t>
            </w:r>
          </w:p>
        </w:tc>
        <w:tc>
          <w:tcPr>
            <w:tcW w:w="957" w:type="dxa"/>
            <w:tcBorders>
              <w:top w:val="single" w:sz="4" w:space="0" w:color="auto"/>
              <w:left w:val="nil"/>
              <w:bottom w:val="single" w:sz="4" w:space="0" w:color="auto"/>
              <w:right w:val="single" w:sz="4" w:space="0" w:color="auto"/>
            </w:tcBorders>
            <w:shd w:val="clear" w:color="000000" w:fill="C0C0C0"/>
          </w:tcPr>
          <w:p w14:paraId="63DD1D9B" w14:textId="77777777" w:rsidR="00A052DC" w:rsidRDefault="009F0A60">
            <w:pPr>
              <w:pStyle w:val="B1"/>
            </w:pPr>
            <w:r>
              <w:rPr>
                <w:rFonts w:hint="eastAsia"/>
              </w:rPr>
              <w:t>要素项</w:t>
            </w:r>
          </w:p>
        </w:tc>
        <w:tc>
          <w:tcPr>
            <w:tcW w:w="2769" w:type="dxa"/>
            <w:tcBorders>
              <w:top w:val="single" w:sz="4" w:space="0" w:color="auto"/>
              <w:left w:val="nil"/>
              <w:bottom w:val="single" w:sz="4" w:space="0" w:color="auto"/>
              <w:right w:val="single" w:sz="4" w:space="0" w:color="auto"/>
            </w:tcBorders>
            <w:shd w:val="clear" w:color="000000" w:fill="C0C0C0"/>
          </w:tcPr>
          <w:p w14:paraId="34C5ABD6" w14:textId="77777777" w:rsidR="00A052DC" w:rsidRDefault="009F0A60">
            <w:pPr>
              <w:pStyle w:val="B1"/>
            </w:pPr>
            <w:r>
              <w:rPr>
                <w:rFonts w:hint="eastAsia"/>
              </w:rPr>
              <w:t>调整前</w:t>
            </w:r>
          </w:p>
        </w:tc>
        <w:tc>
          <w:tcPr>
            <w:tcW w:w="2769" w:type="dxa"/>
            <w:tcBorders>
              <w:top w:val="single" w:sz="4" w:space="0" w:color="auto"/>
              <w:left w:val="nil"/>
              <w:bottom w:val="single" w:sz="4" w:space="0" w:color="auto"/>
              <w:right w:val="single" w:sz="4" w:space="0" w:color="auto"/>
            </w:tcBorders>
            <w:shd w:val="clear" w:color="000000" w:fill="C0C0C0"/>
          </w:tcPr>
          <w:p w14:paraId="1E5DF322" w14:textId="77777777" w:rsidR="00A052DC" w:rsidRDefault="009F0A60">
            <w:pPr>
              <w:pStyle w:val="B1"/>
            </w:pPr>
            <w:r>
              <w:rPr>
                <w:rFonts w:hint="eastAsia"/>
              </w:rPr>
              <w:t>调整后</w:t>
            </w:r>
          </w:p>
        </w:tc>
      </w:tr>
      <w:tr w:rsidR="00A052DC" w14:paraId="4AA53073" w14:textId="77777777">
        <w:trPr>
          <w:trHeight w:val="20"/>
          <w:jc w:val="center"/>
        </w:trPr>
        <w:tc>
          <w:tcPr>
            <w:tcW w:w="2027" w:type="dxa"/>
            <w:tcBorders>
              <w:top w:val="nil"/>
              <w:left w:val="single" w:sz="4" w:space="0" w:color="auto"/>
              <w:bottom w:val="single" w:sz="4" w:space="0" w:color="auto"/>
              <w:right w:val="single" w:sz="4" w:space="0" w:color="auto"/>
            </w:tcBorders>
            <w:shd w:val="clear" w:color="auto" w:fill="auto"/>
          </w:tcPr>
          <w:p w14:paraId="158E6516"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Z01 单位基本情况信息</w:t>
            </w:r>
          </w:p>
        </w:tc>
        <w:tc>
          <w:tcPr>
            <w:tcW w:w="957" w:type="dxa"/>
            <w:tcBorders>
              <w:top w:val="nil"/>
              <w:left w:val="nil"/>
              <w:bottom w:val="single" w:sz="4" w:space="0" w:color="auto"/>
              <w:right w:val="single" w:sz="4" w:space="0" w:color="auto"/>
            </w:tcBorders>
            <w:shd w:val="clear" w:color="auto" w:fill="auto"/>
          </w:tcPr>
          <w:p w14:paraId="12C8C90C"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Z0102 证照类别</w:t>
            </w:r>
          </w:p>
        </w:tc>
        <w:tc>
          <w:tcPr>
            <w:tcW w:w="2769" w:type="dxa"/>
            <w:tcBorders>
              <w:top w:val="nil"/>
              <w:left w:val="nil"/>
              <w:bottom w:val="single" w:sz="4" w:space="0" w:color="auto"/>
              <w:right w:val="single" w:sz="4" w:space="0" w:color="auto"/>
            </w:tcBorders>
            <w:shd w:val="clear" w:color="auto" w:fill="auto"/>
          </w:tcPr>
          <w:p w14:paraId="3BD592D9"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必填项：</w:t>
            </w:r>
            <w:r>
              <w:rPr>
                <w:rFonts w:ascii="黑体" w:eastAsia="黑体" w:hAnsi="黑体" w:cs="宋体" w:hint="eastAsia"/>
                <w:color w:val="000000"/>
                <w:kern w:val="0"/>
                <w:sz w:val="20"/>
                <w:szCs w:val="20"/>
              </w:rPr>
              <w:br/>
              <w:t>1-组织机构代码，</w:t>
            </w:r>
            <w:r>
              <w:rPr>
                <w:rFonts w:ascii="黑体" w:eastAsia="黑体" w:hAnsi="黑体" w:cs="宋体" w:hint="eastAsia"/>
                <w:color w:val="000000"/>
                <w:kern w:val="0"/>
                <w:sz w:val="20"/>
                <w:szCs w:val="20"/>
              </w:rPr>
              <w:br/>
              <w:t>2-特殊机构赋码通知，</w:t>
            </w:r>
            <w:r>
              <w:rPr>
                <w:rFonts w:ascii="黑体" w:eastAsia="黑体" w:hAnsi="黑体" w:cs="宋体" w:hint="eastAsia"/>
                <w:color w:val="000000"/>
                <w:kern w:val="0"/>
                <w:sz w:val="20"/>
                <w:szCs w:val="20"/>
              </w:rPr>
              <w:br/>
              <w:t>3-身份证，</w:t>
            </w:r>
            <w:r>
              <w:rPr>
                <w:rFonts w:ascii="黑体" w:eastAsia="黑体" w:hAnsi="黑体" w:cs="宋体" w:hint="eastAsia"/>
                <w:color w:val="000000"/>
                <w:kern w:val="0"/>
                <w:sz w:val="20"/>
                <w:szCs w:val="20"/>
              </w:rPr>
              <w:br/>
              <w:t>4-护照，</w:t>
            </w:r>
            <w:r>
              <w:rPr>
                <w:rFonts w:ascii="黑体" w:eastAsia="黑体" w:hAnsi="黑体" w:cs="宋体" w:hint="eastAsia"/>
                <w:color w:val="000000"/>
                <w:kern w:val="0"/>
                <w:sz w:val="20"/>
                <w:szCs w:val="20"/>
              </w:rPr>
              <w:br/>
              <w:t>5-其他，</w:t>
            </w:r>
            <w:r>
              <w:rPr>
                <w:rFonts w:ascii="黑体" w:eastAsia="黑体" w:hAnsi="黑体" w:cs="宋体" w:hint="eastAsia"/>
                <w:color w:val="000000"/>
                <w:kern w:val="0"/>
                <w:sz w:val="20"/>
                <w:szCs w:val="20"/>
              </w:rPr>
              <w:br/>
              <w:t>6-统一社会信用代码证，</w:t>
            </w:r>
            <w:r>
              <w:rPr>
                <w:rFonts w:ascii="黑体" w:eastAsia="黑体" w:hAnsi="黑体" w:cs="宋体" w:hint="eastAsia"/>
                <w:color w:val="000000"/>
                <w:kern w:val="0"/>
                <w:sz w:val="20"/>
                <w:szCs w:val="20"/>
              </w:rPr>
              <w:br/>
              <w:t>7-永久居留证，</w:t>
            </w:r>
            <w:r>
              <w:rPr>
                <w:rFonts w:ascii="黑体" w:eastAsia="黑体" w:hAnsi="黑体" w:cs="宋体" w:hint="eastAsia"/>
                <w:color w:val="000000"/>
                <w:kern w:val="0"/>
                <w:sz w:val="20"/>
                <w:szCs w:val="20"/>
              </w:rPr>
              <w:br/>
              <w:t>如果申报主体为机构，必须选择1、2或6。</w:t>
            </w:r>
          </w:p>
        </w:tc>
        <w:tc>
          <w:tcPr>
            <w:tcW w:w="2769" w:type="dxa"/>
            <w:tcBorders>
              <w:top w:val="nil"/>
              <w:left w:val="nil"/>
              <w:bottom w:val="single" w:sz="4" w:space="0" w:color="auto"/>
              <w:right w:val="single" w:sz="4" w:space="0" w:color="auto"/>
            </w:tcBorders>
            <w:shd w:val="clear" w:color="auto" w:fill="auto"/>
          </w:tcPr>
          <w:p w14:paraId="0B6F5F3C" w14:textId="77777777" w:rsidR="00A052DC" w:rsidRDefault="009F0A60" w:rsidP="00420C14">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必填项：</w:t>
            </w:r>
            <w:r>
              <w:rPr>
                <w:rFonts w:ascii="黑体" w:eastAsia="黑体" w:hAnsi="黑体" w:cs="宋体" w:hint="eastAsia"/>
                <w:color w:val="000000"/>
                <w:kern w:val="0"/>
                <w:sz w:val="20"/>
                <w:szCs w:val="20"/>
              </w:rPr>
              <w:br/>
              <w:t>1-主体标识码（统一社会信用代码的第9至17位）；</w:t>
            </w:r>
            <w:r>
              <w:rPr>
                <w:rFonts w:ascii="黑体" w:eastAsia="黑体" w:hAnsi="黑体" w:cs="宋体" w:hint="eastAsia"/>
                <w:color w:val="000000"/>
                <w:kern w:val="0"/>
                <w:sz w:val="20"/>
                <w:szCs w:val="20"/>
              </w:rPr>
              <w:br/>
              <w:t>2-特殊机构代码；</w:t>
            </w:r>
            <w:r>
              <w:rPr>
                <w:rFonts w:ascii="黑体" w:eastAsia="黑体" w:hAnsi="黑体" w:cs="宋体" w:hint="eastAsia"/>
                <w:color w:val="000000"/>
                <w:kern w:val="0"/>
                <w:sz w:val="20"/>
                <w:szCs w:val="20"/>
              </w:rPr>
              <w:br/>
              <w:t>3-个人身份代码；</w:t>
            </w:r>
            <w:r>
              <w:rPr>
                <w:rFonts w:ascii="黑体" w:eastAsia="黑体" w:hAnsi="黑体" w:cs="宋体" w:hint="eastAsia"/>
                <w:color w:val="000000"/>
                <w:kern w:val="0"/>
                <w:sz w:val="20"/>
                <w:szCs w:val="20"/>
              </w:rPr>
              <w:br/>
              <w:t>4-护照</w:t>
            </w:r>
            <w:r w:rsidR="00420C14">
              <w:rPr>
                <w:rFonts w:ascii="黑体" w:eastAsia="黑体" w:hAnsi="黑体" w:cs="宋体" w:hint="eastAsia"/>
                <w:color w:val="000000"/>
                <w:kern w:val="0"/>
                <w:sz w:val="20"/>
                <w:szCs w:val="20"/>
              </w:rPr>
              <w:t>；</w:t>
            </w:r>
            <w:r>
              <w:rPr>
                <w:rFonts w:ascii="黑体" w:eastAsia="黑体" w:hAnsi="黑体" w:cs="宋体" w:hint="eastAsia"/>
                <w:color w:val="000000"/>
                <w:kern w:val="0"/>
                <w:sz w:val="20"/>
                <w:szCs w:val="20"/>
              </w:rPr>
              <w:br/>
              <w:t>5-永久居留证；</w:t>
            </w:r>
            <w:r>
              <w:rPr>
                <w:rFonts w:ascii="黑体" w:eastAsia="黑体" w:hAnsi="黑体" w:cs="宋体" w:hint="eastAsia"/>
                <w:color w:val="000000"/>
                <w:kern w:val="0"/>
                <w:sz w:val="20"/>
                <w:szCs w:val="20"/>
              </w:rPr>
              <w:br/>
              <w:t>6-统一社会信用代码证</w:t>
            </w:r>
            <w:r w:rsidR="00420C14">
              <w:rPr>
                <w:rFonts w:ascii="黑体" w:eastAsia="黑体" w:hAnsi="黑体" w:cs="宋体" w:hint="eastAsia"/>
                <w:color w:val="000000"/>
                <w:kern w:val="0"/>
                <w:sz w:val="20"/>
                <w:szCs w:val="20"/>
              </w:rPr>
              <w:t>；</w:t>
            </w:r>
            <w:r>
              <w:rPr>
                <w:rFonts w:ascii="黑体" w:eastAsia="黑体" w:hAnsi="黑体" w:cs="宋体" w:hint="eastAsia"/>
                <w:color w:val="000000"/>
                <w:kern w:val="0"/>
                <w:sz w:val="20"/>
                <w:szCs w:val="20"/>
              </w:rPr>
              <w:br/>
              <w:t>9-其他；</w:t>
            </w:r>
            <w:r>
              <w:rPr>
                <w:rFonts w:ascii="黑体" w:eastAsia="黑体" w:hAnsi="黑体" w:cs="宋体" w:hint="eastAsia"/>
                <w:color w:val="000000"/>
                <w:kern w:val="0"/>
                <w:sz w:val="20"/>
                <w:szCs w:val="20"/>
              </w:rPr>
              <w:br/>
              <w:t>如果申报主体为机构，必须选择1、2或6。</w:t>
            </w:r>
          </w:p>
        </w:tc>
      </w:tr>
      <w:tr w:rsidR="00A052DC" w14:paraId="2BE56D95" w14:textId="77777777">
        <w:trPr>
          <w:trHeight w:val="20"/>
          <w:jc w:val="center"/>
        </w:trPr>
        <w:tc>
          <w:tcPr>
            <w:tcW w:w="2027" w:type="dxa"/>
            <w:tcBorders>
              <w:top w:val="nil"/>
              <w:left w:val="single" w:sz="4" w:space="0" w:color="auto"/>
              <w:bottom w:val="single" w:sz="4" w:space="0" w:color="auto"/>
              <w:right w:val="single" w:sz="4" w:space="0" w:color="auto"/>
            </w:tcBorders>
            <w:shd w:val="clear" w:color="auto" w:fill="auto"/>
          </w:tcPr>
          <w:p w14:paraId="3E4099B3"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Z01 单位基本情况信息</w:t>
            </w:r>
          </w:p>
        </w:tc>
        <w:tc>
          <w:tcPr>
            <w:tcW w:w="957" w:type="dxa"/>
            <w:tcBorders>
              <w:top w:val="nil"/>
              <w:left w:val="nil"/>
              <w:bottom w:val="single" w:sz="4" w:space="0" w:color="auto"/>
              <w:right w:val="single" w:sz="4" w:space="0" w:color="auto"/>
            </w:tcBorders>
            <w:shd w:val="clear" w:color="auto" w:fill="auto"/>
          </w:tcPr>
          <w:p w14:paraId="4F552D69"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Z0103 证照号码</w:t>
            </w:r>
          </w:p>
        </w:tc>
        <w:tc>
          <w:tcPr>
            <w:tcW w:w="2769" w:type="dxa"/>
            <w:tcBorders>
              <w:top w:val="nil"/>
              <w:left w:val="nil"/>
              <w:bottom w:val="single" w:sz="4" w:space="0" w:color="auto"/>
              <w:right w:val="single" w:sz="4" w:space="0" w:color="auto"/>
            </w:tcBorders>
            <w:shd w:val="clear" w:color="auto" w:fill="auto"/>
          </w:tcPr>
          <w:p w14:paraId="11BBF6A1"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必填项。如果Z0102=1或2，为9位组织机构代码或特殊机构代码，且不得出现标点符号(如“-”)、不能是中文；如果Z0102证照类别=3或7时，Z0103为15位或18位；如果Z0102证照类别=4时，为9位护照号码；如果Z0102证照类别=6时，Z0103为18位。</w:t>
            </w:r>
          </w:p>
        </w:tc>
        <w:tc>
          <w:tcPr>
            <w:tcW w:w="2769" w:type="dxa"/>
            <w:tcBorders>
              <w:top w:val="nil"/>
              <w:left w:val="nil"/>
              <w:bottom w:val="single" w:sz="4" w:space="0" w:color="auto"/>
              <w:right w:val="single" w:sz="4" w:space="0" w:color="auto"/>
            </w:tcBorders>
            <w:shd w:val="clear" w:color="auto" w:fill="auto"/>
          </w:tcPr>
          <w:p w14:paraId="72F13E06"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必填项。如果Z0102=1或2，为统一社会信用代码证第9至17位或特殊机构代码，且不得出现标点符号(如“-”)、不能是中文；如果Z0102证照类别=3或5时，Z0103为10位或18位；如果Z0102证照类别=4时，为9位护照号码；如果Z0102证照类别=6时，Z0103为18位。</w:t>
            </w:r>
          </w:p>
        </w:tc>
      </w:tr>
      <w:tr w:rsidR="00A052DC" w14:paraId="15FA499B" w14:textId="77777777">
        <w:trPr>
          <w:trHeight w:val="20"/>
          <w:jc w:val="center"/>
        </w:trPr>
        <w:tc>
          <w:tcPr>
            <w:tcW w:w="2027" w:type="dxa"/>
            <w:tcBorders>
              <w:top w:val="nil"/>
              <w:left w:val="single" w:sz="4" w:space="0" w:color="auto"/>
              <w:bottom w:val="single" w:sz="4" w:space="0" w:color="auto"/>
              <w:right w:val="single" w:sz="4" w:space="0" w:color="auto"/>
            </w:tcBorders>
            <w:shd w:val="clear" w:color="auto" w:fill="auto"/>
          </w:tcPr>
          <w:p w14:paraId="1BA9BB48"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Z01 单位基本情况信息</w:t>
            </w:r>
          </w:p>
        </w:tc>
        <w:tc>
          <w:tcPr>
            <w:tcW w:w="957" w:type="dxa"/>
            <w:tcBorders>
              <w:top w:val="nil"/>
              <w:left w:val="nil"/>
              <w:bottom w:val="single" w:sz="4" w:space="0" w:color="auto"/>
              <w:right w:val="single" w:sz="4" w:space="0" w:color="auto"/>
            </w:tcBorders>
            <w:shd w:val="clear" w:color="auto" w:fill="auto"/>
          </w:tcPr>
          <w:p w14:paraId="59827DF0"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Z0104 金融机构代码</w:t>
            </w:r>
          </w:p>
        </w:tc>
        <w:tc>
          <w:tcPr>
            <w:tcW w:w="2769" w:type="dxa"/>
            <w:tcBorders>
              <w:top w:val="nil"/>
              <w:left w:val="nil"/>
              <w:bottom w:val="single" w:sz="4" w:space="0" w:color="auto"/>
              <w:right w:val="single" w:sz="4" w:space="0" w:color="auto"/>
            </w:tcBorders>
            <w:shd w:val="clear" w:color="auto" w:fill="auto"/>
          </w:tcPr>
          <w:p w14:paraId="7E2656A5"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必填项。当申报主体使用12位金融机构标识码报送数据时，该12位码的第7-第10位即该机构的4位金融机构代码,同时金融机构代码（Z0104）≠“N/A”；</w:t>
            </w:r>
            <w:r>
              <w:rPr>
                <w:rFonts w:ascii="黑体" w:eastAsia="黑体" w:hAnsi="黑体" w:cs="宋体" w:hint="eastAsia"/>
                <w:color w:val="000000"/>
                <w:kern w:val="0"/>
                <w:sz w:val="20"/>
                <w:szCs w:val="20"/>
              </w:rPr>
              <w:br/>
              <w:t>当Z0105等于行业属性代码1066、1067、1068和1069下的任一子类（金融业代码）时，金融机构代码（Z0104）≠“N/A”；如果Z0105不属于以上1066、1067、1068和1069下的任一子类时，金融机构代码（Z0104）=“N/A”；</w:t>
            </w:r>
            <w:r>
              <w:rPr>
                <w:rFonts w:ascii="黑体" w:eastAsia="黑体" w:hAnsi="黑体" w:cs="宋体" w:hint="eastAsia"/>
                <w:color w:val="000000"/>
                <w:kern w:val="0"/>
                <w:sz w:val="20"/>
                <w:szCs w:val="20"/>
              </w:rPr>
              <w:br/>
              <w:t>金融机构代码不能含有标点符号“+、*?”、不能为中文。</w:t>
            </w:r>
          </w:p>
        </w:tc>
        <w:tc>
          <w:tcPr>
            <w:tcW w:w="2769" w:type="dxa"/>
            <w:tcBorders>
              <w:top w:val="nil"/>
              <w:left w:val="nil"/>
              <w:bottom w:val="single" w:sz="4" w:space="0" w:color="auto"/>
              <w:right w:val="single" w:sz="4" w:space="0" w:color="auto"/>
            </w:tcBorders>
            <w:shd w:val="clear" w:color="auto" w:fill="auto"/>
          </w:tcPr>
          <w:p w14:paraId="1FD6FED1"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必填项。当申报主体使用12位金融机构标识码报送数据时，该12位码的第7-第10位即该机构的4位金融机构代码,同时金融机构代码（Z0104）≠“N/A”；</w:t>
            </w:r>
            <w:r>
              <w:rPr>
                <w:rFonts w:ascii="黑体" w:eastAsia="黑体" w:hAnsi="黑体" w:cs="宋体" w:hint="eastAsia"/>
                <w:color w:val="000000"/>
                <w:kern w:val="0"/>
                <w:sz w:val="20"/>
                <w:szCs w:val="20"/>
              </w:rPr>
              <w:br/>
              <w:t>如未使用12位金融机构标识码报送数据，该项填报“N/A”或4位金融机构代码。</w:t>
            </w:r>
            <w:r>
              <w:rPr>
                <w:rFonts w:ascii="黑体" w:eastAsia="黑体" w:hAnsi="黑体" w:cs="宋体" w:hint="eastAsia"/>
                <w:color w:val="000000"/>
                <w:kern w:val="0"/>
                <w:sz w:val="20"/>
                <w:szCs w:val="20"/>
              </w:rPr>
              <w:br/>
              <w:t>金融机构代码不能含有标点符号“+、*?”、不能为中文。</w:t>
            </w:r>
          </w:p>
        </w:tc>
      </w:tr>
      <w:tr w:rsidR="00A052DC" w14:paraId="22DF21AF" w14:textId="77777777">
        <w:trPr>
          <w:trHeight w:val="20"/>
          <w:jc w:val="center"/>
        </w:trPr>
        <w:tc>
          <w:tcPr>
            <w:tcW w:w="2027" w:type="dxa"/>
            <w:tcBorders>
              <w:top w:val="nil"/>
              <w:left w:val="single" w:sz="4" w:space="0" w:color="auto"/>
              <w:bottom w:val="single" w:sz="4" w:space="0" w:color="auto"/>
              <w:right w:val="single" w:sz="4" w:space="0" w:color="auto"/>
            </w:tcBorders>
            <w:shd w:val="clear" w:color="auto" w:fill="auto"/>
          </w:tcPr>
          <w:p w14:paraId="3DE68332"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Z01 单位基本情况信息</w:t>
            </w:r>
          </w:p>
        </w:tc>
        <w:tc>
          <w:tcPr>
            <w:tcW w:w="957" w:type="dxa"/>
            <w:tcBorders>
              <w:top w:val="nil"/>
              <w:left w:val="nil"/>
              <w:bottom w:val="single" w:sz="4" w:space="0" w:color="auto"/>
              <w:right w:val="single" w:sz="4" w:space="0" w:color="auto"/>
            </w:tcBorders>
            <w:shd w:val="clear" w:color="auto" w:fill="auto"/>
          </w:tcPr>
          <w:p w14:paraId="4F43DE5E"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Z0105 申报主体所属行业代码</w:t>
            </w:r>
          </w:p>
        </w:tc>
        <w:tc>
          <w:tcPr>
            <w:tcW w:w="2769" w:type="dxa"/>
            <w:tcBorders>
              <w:top w:val="nil"/>
              <w:left w:val="nil"/>
              <w:bottom w:val="single" w:sz="4" w:space="0" w:color="auto"/>
              <w:right w:val="single" w:sz="4" w:space="0" w:color="auto"/>
            </w:tcBorders>
            <w:shd w:val="clear" w:color="auto" w:fill="auto"/>
          </w:tcPr>
          <w:p w14:paraId="79B6A7BE"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必填项，见行业属性代码表。如果申报主体从事金融业活动(即货币金融服务（1066）、资本市场服务（1067）、保险业(1068)或其他金融业活动(1069))，应选择最底层行业代码，见金融业代码表。</w:t>
            </w:r>
            <w:r>
              <w:rPr>
                <w:rFonts w:ascii="黑体" w:eastAsia="黑体" w:hAnsi="黑体" w:cs="宋体" w:hint="eastAsia"/>
                <w:color w:val="000000"/>
                <w:kern w:val="0"/>
                <w:sz w:val="20"/>
                <w:szCs w:val="20"/>
              </w:rPr>
              <w:br/>
              <w:t>不得为行业属性代码下的1990、1991、1992、1993、1994、1995和2099的任一项，也不得为“金融业代码表”下的6610（中央银行服务）、6640（银行监管服务）、6730（证券期货监管服务）、6860（保险监管服务）。国有政策性银行和商业银行均为“6620”。</w:t>
            </w:r>
            <w:r>
              <w:rPr>
                <w:rFonts w:ascii="黑体" w:eastAsia="黑体" w:hAnsi="黑体" w:cs="宋体" w:hint="eastAsia"/>
                <w:color w:val="000000"/>
                <w:kern w:val="0"/>
                <w:sz w:val="20"/>
                <w:szCs w:val="20"/>
              </w:rPr>
              <w:br/>
              <w:t>申报主体为个人（Z0102=3、4或7时）,填写“8888”。</w:t>
            </w:r>
          </w:p>
        </w:tc>
        <w:tc>
          <w:tcPr>
            <w:tcW w:w="2769" w:type="dxa"/>
            <w:tcBorders>
              <w:top w:val="nil"/>
              <w:left w:val="nil"/>
              <w:bottom w:val="single" w:sz="4" w:space="0" w:color="auto"/>
              <w:right w:val="single" w:sz="4" w:space="0" w:color="auto"/>
            </w:tcBorders>
            <w:shd w:val="clear" w:color="auto" w:fill="auto"/>
          </w:tcPr>
          <w:p w14:paraId="6F4E1DEE"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必填项，见行业属性代码表。如果申报主体从事金融业活动(即货币金融服务（1066）、资本市场服务（1067）、保险业(1068)或其他金融业活动(1069))，应选择最底层行业代码，见金融业代码表。</w:t>
            </w:r>
            <w:r>
              <w:rPr>
                <w:rFonts w:ascii="黑体" w:eastAsia="黑体" w:hAnsi="黑体" w:cs="宋体" w:hint="eastAsia"/>
                <w:color w:val="000000"/>
                <w:kern w:val="0"/>
                <w:sz w:val="20"/>
                <w:szCs w:val="20"/>
              </w:rPr>
              <w:br/>
              <w:t>不得为行业属性代码下的1990、1991、1992、1993、1994、1995和2099的任一项，也不得为“金融业代码表”下的6610（中央银行服务）、6640（银行监管服务）、6730（证券期货监管服务）、6860（保险监管服务）。国有政策性银行和商业银行均为“6620”。</w:t>
            </w:r>
            <w:r>
              <w:rPr>
                <w:rFonts w:ascii="黑体" w:eastAsia="黑体" w:hAnsi="黑体" w:cs="宋体" w:hint="eastAsia"/>
                <w:color w:val="000000"/>
                <w:kern w:val="0"/>
                <w:sz w:val="20"/>
                <w:szCs w:val="20"/>
              </w:rPr>
              <w:br/>
              <w:t>申报主体为个人（Z0102=3、4或5时）,填写“8888”。</w:t>
            </w:r>
          </w:p>
        </w:tc>
      </w:tr>
      <w:tr w:rsidR="00A052DC" w14:paraId="7E409F14" w14:textId="77777777">
        <w:trPr>
          <w:trHeight w:val="20"/>
          <w:jc w:val="center"/>
        </w:trPr>
        <w:tc>
          <w:tcPr>
            <w:tcW w:w="2027" w:type="dxa"/>
            <w:tcBorders>
              <w:top w:val="nil"/>
              <w:left w:val="single" w:sz="4" w:space="0" w:color="auto"/>
              <w:bottom w:val="single" w:sz="4" w:space="0" w:color="auto"/>
              <w:right w:val="single" w:sz="4" w:space="0" w:color="auto"/>
            </w:tcBorders>
            <w:shd w:val="clear" w:color="auto" w:fill="auto"/>
          </w:tcPr>
          <w:p w14:paraId="651BF18A"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Z01 单位基本情况信息</w:t>
            </w:r>
          </w:p>
        </w:tc>
        <w:tc>
          <w:tcPr>
            <w:tcW w:w="957" w:type="dxa"/>
            <w:tcBorders>
              <w:top w:val="nil"/>
              <w:left w:val="nil"/>
              <w:bottom w:val="single" w:sz="4" w:space="0" w:color="auto"/>
              <w:right w:val="single" w:sz="4" w:space="0" w:color="auto"/>
            </w:tcBorders>
            <w:shd w:val="clear" w:color="auto" w:fill="auto"/>
          </w:tcPr>
          <w:p w14:paraId="7C0E3975"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Z0106 经济类型</w:t>
            </w:r>
          </w:p>
        </w:tc>
        <w:tc>
          <w:tcPr>
            <w:tcW w:w="2769" w:type="dxa"/>
            <w:tcBorders>
              <w:top w:val="nil"/>
              <w:left w:val="nil"/>
              <w:bottom w:val="single" w:sz="4" w:space="0" w:color="auto"/>
              <w:right w:val="single" w:sz="4" w:space="0" w:color="auto"/>
            </w:tcBorders>
            <w:shd w:val="clear" w:color="auto" w:fill="auto"/>
          </w:tcPr>
          <w:p w14:paraId="48BF4726"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必填项，见经济类型代码表。Z0107=2（分支机构）的，Z0106为经济类型代码下200或300下的子项。</w:t>
            </w:r>
            <w:r>
              <w:rPr>
                <w:rFonts w:ascii="黑体" w:eastAsia="黑体" w:hAnsi="黑体" w:cs="宋体" w:hint="eastAsia"/>
                <w:color w:val="000000"/>
                <w:kern w:val="0"/>
                <w:sz w:val="20"/>
                <w:szCs w:val="20"/>
              </w:rPr>
              <w:br/>
              <w:t>申报主体为个人（Z0102=3、4或7时），填写“999”。</w:t>
            </w:r>
          </w:p>
        </w:tc>
        <w:tc>
          <w:tcPr>
            <w:tcW w:w="2769" w:type="dxa"/>
            <w:tcBorders>
              <w:top w:val="nil"/>
              <w:left w:val="nil"/>
              <w:bottom w:val="single" w:sz="4" w:space="0" w:color="auto"/>
              <w:right w:val="single" w:sz="4" w:space="0" w:color="auto"/>
            </w:tcBorders>
            <w:shd w:val="clear" w:color="auto" w:fill="auto"/>
          </w:tcPr>
          <w:p w14:paraId="6D194A34"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必填项，见经济类型代码表。Z0107=2（分支机构）的，Z0106为经济类型代码下200或300下的子项。</w:t>
            </w:r>
            <w:r>
              <w:rPr>
                <w:rFonts w:ascii="黑体" w:eastAsia="黑体" w:hAnsi="黑体" w:cs="宋体" w:hint="eastAsia"/>
                <w:color w:val="000000"/>
                <w:kern w:val="0"/>
                <w:sz w:val="20"/>
                <w:szCs w:val="20"/>
              </w:rPr>
              <w:br/>
              <w:t>申报主体为个人（Z0102=3、4或5时），填写“999”。</w:t>
            </w:r>
            <w:r>
              <w:rPr>
                <w:rFonts w:ascii="黑体" w:eastAsia="黑体" w:hAnsi="黑体" w:cs="宋体" w:hint="eastAsia"/>
                <w:color w:val="000000"/>
                <w:kern w:val="0"/>
                <w:sz w:val="20"/>
                <w:szCs w:val="20"/>
              </w:rPr>
              <w:br/>
              <w:t>申报主体为其他（Z102=9）时，填写为“900”。</w:t>
            </w:r>
          </w:p>
        </w:tc>
      </w:tr>
      <w:tr w:rsidR="00A052DC" w14:paraId="1D4344ED" w14:textId="77777777">
        <w:trPr>
          <w:trHeight w:val="20"/>
          <w:jc w:val="center"/>
        </w:trPr>
        <w:tc>
          <w:tcPr>
            <w:tcW w:w="2027" w:type="dxa"/>
            <w:tcBorders>
              <w:top w:val="nil"/>
              <w:left w:val="single" w:sz="4" w:space="0" w:color="auto"/>
              <w:bottom w:val="single" w:sz="4" w:space="0" w:color="auto"/>
              <w:right w:val="single" w:sz="4" w:space="0" w:color="auto"/>
            </w:tcBorders>
            <w:shd w:val="clear" w:color="auto" w:fill="auto"/>
          </w:tcPr>
          <w:p w14:paraId="1023BB94"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Z01 单位基本情况信息</w:t>
            </w:r>
          </w:p>
        </w:tc>
        <w:tc>
          <w:tcPr>
            <w:tcW w:w="957" w:type="dxa"/>
            <w:tcBorders>
              <w:top w:val="nil"/>
              <w:left w:val="nil"/>
              <w:bottom w:val="single" w:sz="4" w:space="0" w:color="auto"/>
              <w:right w:val="single" w:sz="4" w:space="0" w:color="auto"/>
            </w:tcBorders>
            <w:shd w:val="clear" w:color="auto" w:fill="auto"/>
          </w:tcPr>
          <w:p w14:paraId="45DFD33D"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Z0107 申报主体类型</w:t>
            </w:r>
          </w:p>
        </w:tc>
        <w:tc>
          <w:tcPr>
            <w:tcW w:w="2769" w:type="dxa"/>
            <w:tcBorders>
              <w:top w:val="nil"/>
              <w:left w:val="nil"/>
              <w:bottom w:val="single" w:sz="4" w:space="0" w:color="auto"/>
              <w:right w:val="single" w:sz="4" w:space="0" w:color="auto"/>
            </w:tcBorders>
            <w:shd w:val="clear" w:color="auto" w:fill="auto"/>
          </w:tcPr>
          <w:p w14:paraId="36B7A706"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必填项。选项为：</w:t>
            </w:r>
            <w:r>
              <w:rPr>
                <w:rFonts w:ascii="黑体" w:eastAsia="黑体" w:hAnsi="黑体" w:cs="宋体" w:hint="eastAsia"/>
                <w:color w:val="000000"/>
                <w:kern w:val="0"/>
                <w:sz w:val="20"/>
                <w:szCs w:val="20"/>
              </w:rPr>
              <w:br/>
              <w:t>1-法人；</w:t>
            </w:r>
            <w:r>
              <w:rPr>
                <w:rFonts w:ascii="黑体" w:eastAsia="黑体" w:hAnsi="黑体" w:cs="宋体" w:hint="eastAsia"/>
                <w:color w:val="000000"/>
                <w:kern w:val="0"/>
                <w:sz w:val="20"/>
                <w:szCs w:val="20"/>
              </w:rPr>
              <w:br/>
              <w:t>2-分支机构；</w:t>
            </w:r>
            <w:r>
              <w:rPr>
                <w:rFonts w:ascii="黑体" w:eastAsia="黑体" w:hAnsi="黑体" w:cs="宋体" w:hint="eastAsia"/>
                <w:color w:val="000000"/>
                <w:kern w:val="0"/>
                <w:sz w:val="20"/>
                <w:szCs w:val="20"/>
              </w:rPr>
              <w:br/>
              <w:t>3-其他非公司制机构或准公司。</w:t>
            </w:r>
            <w:r>
              <w:rPr>
                <w:rFonts w:ascii="黑体" w:eastAsia="黑体" w:hAnsi="黑体" w:cs="宋体" w:hint="eastAsia"/>
                <w:color w:val="000000"/>
                <w:kern w:val="0"/>
                <w:sz w:val="20"/>
                <w:szCs w:val="20"/>
              </w:rPr>
              <w:br/>
              <w:t>4-个人。</w:t>
            </w:r>
            <w:r>
              <w:rPr>
                <w:rFonts w:ascii="黑体" w:eastAsia="黑体" w:hAnsi="黑体" w:cs="宋体" w:hint="eastAsia"/>
                <w:color w:val="000000"/>
                <w:kern w:val="0"/>
                <w:sz w:val="20"/>
                <w:szCs w:val="20"/>
              </w:rPr>
              <w:br/>
              <w:t>当“Z0102证照类别”=1或2时，“Z0107申报主体类型”≠4；当“Z0102证照类别”=3、4或7时，“Z0107申报主体类型”=4。Z0105申报主体所属行业代码如选择个人，Z0107申报主体类型应为④个人。</w:t>
            </w:r>
          </w:p>
        </w:tc>
        <w:tc>
          <w:tcPr>
            <w:tcW w:w="2769" w:type="dxa"/>
            <w:tcBorders>
              <w:top w:val="nil"/>
              <w:left w:val="nil"/>
              <w:bottom w:val="single" w:sz="4" w:space="0" w:color="auto"/>
              <w:right w:val="single" w:sz="4" w:space="0" w:color="auto"/>
            </w:tcBorders>
            <w:shd w:val="clear" w:color="auto" w:fill="auto"/>
          </w:tcPr>
          <w:p w14:paraId="3E8F5F2E"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必填项。选项为：</w:t>
            </w:r>
            <w:r>
              <w:rPr>
                <w:rFonts w:ascii="黑体" w:eastAsia="黑体" w:hAnsi="黑体" w:cs="宋体" w:hint="eastAsia"/>
                <w:color w:val="000000"/>
                <w:kern w:val="0"/>
                <w:sz w:val="20"/>
                <w:szCs w:val="20"/>
              </w:rPr>
              <w:br/>
              <w:t>1-法人；</w:t>
            </w:r>
            <w:r>
              <w:rPr>
                <w:rFonts w:ascii="黑体" w:eastAsia="黑体" w:hAnsi="黑体" w:cs="宋体" w:hint="eastAsia"/>
                <w:color w:val="000000"/>
                <w:kern w:val="0"/>
                <w:sz w:val="20"/>
                <w:szCs w:val="20"/>
              </w:rPr>
              <w:br/>
              <w:t>2-分支机构；</w:t>
            </w:r>
            <w:r>
              <w:rPr>
                <w:rFonts w:ascii="黑体" w:eastAsia="黑体" w:hAnsi="黑体" w:cs="宋体" w:hint="eastAsia"/>
                <w:color w:val="000000"/>
                <w:kern w:val="0"/>
                <w:sz w:val="20"/>
                <w:szCs w:val="20"/>
              </w:rPr>
              <w:br/>
              <w:t>3-其他非公司制机构或准公司。</w:t>
            </w:r>
            <w:r>
              <w:rPr>
                <w:rFonts w:ascii="黑体" w:eastAsia="黑体" w:hAnsi="黑体" w:cs="宋体" w:hint="eastAsia"/>
                <w:color w:val="000000"/>
                <w:kern w:val="0"/>
                <w:sz w:val="20"/>
                <w:szCs w:val="20"/>
              </w:rPr>
              <w:br/>
              <w:t>4-个人。</w:t>
            </w:r>
            <w:r>
              <w:rPr>
                <w:rFonts w:ascii="黑体" w:eastAsia="黑体" w:hAnsi="黑体" w:cs="宋体" w:hint="eastAsia"/>
                <w:color w:val="000000"/>
                <w:kern w:val="0"/>
                <w:sz w:val="20"/>
                <w:szCs w:val="20"/>
              </w:rPr>
              <w:br/>
              <w:t>当“Z0102证照类别”=1、2或6时，“Z0107申报主体类型”≠4；当“Z0102证照类别”=3、4或5时，“Z0107申报主体类型”=4。Z0105申报主体所属行业代码如选择个人，Z0107申报主体类型应为4-个人。</w:t>
            </w:r>
          </w:p>
        </w:tc>
      </w:tr>
      <w:tr w:rsidR="00A052DC" w14:paraId="6D930A55" w14:textId="77777777">
        <w:trPr>
          <w:trHeight w:val="20"/>
          <w:jc w:val="center"/>
        </w:trPr>
        <w:tc>
          <w:tcPr>
            <w:tcW w:w="2027" w:type="dxa"/>
            <w:tcBorders>
              <w:top w:val="nil"/>
              <w:left w:val="single" w:sz="4" w:space="0" w:color="auto"/>
              <w:bottom w:val="single" w:sz="4" w:space="0" w:color="auto"/>
              <w:right w:val="single" w:sz="4" w:space="0" w:color="auto"/>
            </w:tcBorders>
            <w:shd w:val="clear" w:color="auto" w:fill="auto"/>
          </w:tcPr>
          <w:p w14:paraId="38B7EA13"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全部</w:t>
            </w:r>
          </w:p>
        </w:tc>
        <w:tc>
          <w:tcPr>
            <w:tcW w:w="957" w:type="dxa"/>
            <w:tcBorders>
              <w:top w:val="nil"/>
              <w:left w:val="nil"/>
              <w:bottom w:val="single" w:sz="4" w:space="0" w:color="auto"/>
              <w:right w:val="single" w:sz="4" w:space="0" w:color="auto"/>
            </w:tcBorders>
            <w:shd w:val="clear" w:color="auto" w:fill="auto"/>
          </w:tcPr>
          <w:p w14:paraId="029BBAAA"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OBJCODE 申报主体代码</w:t>
            </w:r>
          </w:p>
        </w:tc>
        <w:tc>
          <w:tcPr>
            <w:tcW w:w="2769" w:type="dxa"/>
            <w:tcBorders>
              <w:top w:val="nil"/>
              <w:left w:val="nil"/>
              <w:bottom w:val="single" w:sz="4" w:space="0" w:color="auto"/>
              <w:right w:val="single" w:sz="4" w:space="0" w:color="auto"/>
            </w:tcBorders>
            <w:shd w:val="clear" w:color="auto" w:fill="auto"/>
          </w:tcPr>
          <w:p w14:paraId="2B54C47B"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申报主体的12位金融机构标识码，如果没有金融机构标识码，则填报统一社会信用代码法定载体（如营业执照）上的统一社会信用代码中的9位组织机构代码或国家外汇管理局及其分支局签发的特殊机构代码赋码通知书上的机构代码、个人身份证件号码。</w:t>
            </w:r>
          </w:p>
        </w:tc>
        <w:tc>
          <w:tcPr>
            <w:tcW w:w="2769" w:type="dxa"/>
            <w:tcBorders>
              <w:top w:val="nil"/>
              <w:left w:val="nil"/>
              <w:bottom w:val="single" w:sz="4" w:space="0" w:color="auto"/>
              <w:right w:val="single" w:sz="4" w:space="0" w:color="auto"/>
            </w:tcBorders>
            <w:shd w:val="clear" w:color="auto" w:fill="auto"/>
          </w:tcPr>
          <w:p w14:paraId="6E02696A"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申报主体的12位金融机构标识码，如果没有金融机构标识码，则填报统一社会信用代码法定载体（如营业执照）上统一社会信用代码中的第9至17位或国家外汇管理局及其分支局签发的特殊机构代码赋码通知书上的机构代码、个人身份代码。</w:t>
            </w:r>
          </w:p>
        </w:tc>
      </w:tr>
      <w:tr w:rsidR="00A052DC" w14:paraId="3260E52A" w14:textId="77777777">
        <w:trPr>
          <w:trHeight w:val="20"/>
          <w:jc w:val="center"/>
        </w:trPr>
        <w:tc>
          <w:tcPr>
            <w:tcW w:w="2027" w:type="dxa"/>
            <w:tcBorders>
              <w:top w:val="nil"/>
              <w:left w:val="single" w:sz="4" w:space="0" w:color="auto"/>
              <w:bottom w:val="single" w:sz="4" w:space="0" w:color="auto"/>
              <w:right w:val="single" w:sz="4" w:space="0" w:color="auto"/>
            </w:tcBorders>
            <w:shd w:val="clear" w:color="auto" w:fill="auto"/>
          </w:tcPr>
          <w:p w14:paraId="3D003E6A"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Z03 投资关系（组织架构）</w:t>
            </w:r>
          </w:p>
        </w:tc>
        <w:tc>
          <w:tcPr>
            <w:tcW w:w="957" w:type="dxa"/>
            <w:tcBorders>
              <w:top w:val="nil"/>
              <w:left w:val="nil"/>
              <w:bottom w:val="single" w:sz="4" w:space="0" w:color="auto"/>
              <w:right w:val="single" w:sz="4" w:space="0" w:color="auto"/>
            </w:tcBorders>
            <w:shd w:val="clear" w:color="auto" w:fill="auto"/>
          </w:tcPr>
          <w:p w14:paraId="4D6732C3"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Z0302 投资者代码</w:t>
            </w:r>
          </w:p>
        </w:tc>
        <w:tc>
          <w:tcPr>
            <w:tcW w:w="2769" w:type="dxa"/>
            <w:tcBorders>
              <w:top w:val="nil"/>
              <w:left w:val="nil"/>
              <w:bottom w:val="single" w:sz="4" w:space="0" w:color="auto"/>
              <w:right w:val="single" w:sz="4" w:space="0" w:color="auto"/>
            </w:tcBorders>
            <w:shd w:val="clear" w:color="auto" w:fill="auto"/>
          </w:tcPr>
          <w:p w14:paraId="0B133CE8"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必填项。</w:t>
            </w:r>
          </w:p>
        </w:tc>
        <w:tc>
          <w:tcPr>
            <w:tcW w:w="2769" w:type="dxa"/>
            <w:tcBorders>
              <w:top w:val="nil"/>
              <w:left w:val="nil"/>
              <w:bottom w:val="single" w:sz="4" w:space="0" w:color="auto"/>
              <w:right w:val="single" w:sz="4" w:space="0" w:color="auto"/>
            </w:tcBorders>
            <w:shd w:val="clear" w:color="auto" w:fill="auto"/>
          </w:tcPr>
          <w:p w14:paraId="7C14507E"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必填项。当申报主体为投资者时，“Z0302投资者代码”应与“Z0103证照号码”保持一致。</w:t>
            </w:r>
          </w:p>
        </w:tc>
      </w:tr>
      <w:tr w:rsidR="00A052DC" w14:paraId="486CE073" w14:textId="77777777">
        <w:trPr>
          <w:trHeight w:val="20"/>
          <w:jc w:val="center"/>
        </w:trPr>
        <w:tc>
          <w:tcPr>
            <w:tcW w:w="2027" w:type="dxa"/>
            <w:tcBorders>
              <w:top w:val="nil"/>
              <w:left w:val="single" w:sz="4" w:space="0" w:color="auto"/>
              <w:bottom w:val="single" w:sz="4" w:space="0" w:color="auto"/>
              <w:right w:val="single" w:sz="4" w:space="0" w:color="auto"/>
            </w:tcBorders>
            <w:shd w:val="clear" w:color="auto" w:fill="auto"/>
          </w:tcPr>
          <w:p w14:paraId="4A444B9B"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Z03 投资关系（组织架构）</w:t>
            </w:r>
          </w:p>
        </w:tc>
        <w:tc>
          <w:tcPr>
            <w:tcW w:w="957" w:type="dxa"/>
            <w:tcBorders>
              <w:top w:val="nil"/>
              <w:left w:val="nil"/>
              <w:bottom w:val="single" w:sz="4" w:space="0" w:color="auto"/>
              <w:right w:val="single" w:sz="4" w:space="0" w:color="auto"/>
            </w:tcBorders>
            <w:shd w:val="clear" w:color="auto" w:fill="auto"/>
          </w:tcPr>
          <w:p w14:paraId="391560DC"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Z0307 被投资机构代码被投资机构代码</w:t>
            </w:r>
          </w:p>
        </w:tc>
        <w:tc>
          <w:tcPr>
            <w:tcW w:w="2769" w:type="dxa"/>
            <w:tcBorders>
              <w:top w:val="nil"/>
              <w:left w:val="nil"/>
              <w:bottom w:val="single" w:sz="4" w:space="0" w:color="auto"/>
              <w:right w:val="single" w:sz="4" w:space="0" w:color="auto"/>
            </w:tcBorders>
            <w:shd w:val="clear" w:color="auto" w:fill="auto"/>
          </w:tcPr>
          <w:p w14:paraId="0431B2D0"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必填项。同一条数据（即一组投资者-被投资机构关系）中“Z0302投资者代码”与“Z0307被投资者机构代码”不能相同。</w:t>
            </w:r>
          </w:p>
        </w:tc>
        <w:tc>
          <w:tcPr>
            <w:tcW w:w="2769" w:type="dxa"/>
            <w:tcBorders>
              <w:top w:val="nil"/>
              <w:left w:val="nil"/>
              <w:bottom w:val="single" w:sz="4" w:space="0" w:color="auto"/>
              <w:right w:val="single" w:sz="4" w:space="0" w:color="auto"/>
            </w:tcBorders>
            <w:shd w:val="clear" w:color="auto" w:fill="auto"/>
          </w:tcPr>
          <w:p w14:paraId="01A595B5"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必填项。同一条数据（即一组投资者-被投资机构关系）中“Z0302投资者代码”与“Z0307被投资者机构代码”不能相同。当申报主体为被投资机构时，“Z0307被投资机构代码”应与“Z0103证照号码”保持一致。</w:t>
            </w:r>
          </w:p>
        </w:tc>
      </w:tr>
      <w:tr w:rsidR="00A052DC" w14:paraId="37D65359" w14:textId="77777777">
        <w:trPr>
          <w:trHeight w:val="20"/>
          <w:jc w:val="center"/>
        </w:trPr>
        <w:tc>
          <w:tcPr>
            <w:tcW w:w="2027" w:type="dxa"/>
            <w:tcBorders>
              <w:top w:val="nil"/>
              <w:left w:val="single" w:sz="4" w:space="0" w:color="auto"/>
              <w:bottom w:val="single" w:sz="4" w:space="0" w:color="auto"/>
              <w:right w:val="single" w:sz="4" w:space="0" w:color="auto"/>
            </w:tcBorders>
            <w:shd w:val="clear" w:color="auto" w:fill="auto"/>
          </w:tcPr>
          <w:p w14:paraId="13EB6F40"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Z03 投资关系（组织架构）</w:t>
            </w:r>
          </w:p>
        </w:tc>
        <w:tc>
          <w:tcPr>
            <w:tcW w:w="957" w:type="dxa"/>
            <w:tcBorders>
              <w:top w:val="nil"/>
              <w:left w:val="nil"/>
              <w:bottom w:val="single" w:sz="4" w:space="0" w:color="auto"/>
              <w:right w:val="single" w:sz="4" w:space="0" w:color="auto"/>
            </w:tcBorders>
            <w:shd w:val="clear" w:color="auto" w:fill="auto"/>
          </w:tcPr>
          <w:p w14:paraId="4A17B687"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Z0309 被投资机构所属部门</w:t>
            </w:r>
          </w:p>
        </w:tc>
        <w:tc>
          <w:tcPr>
            <w:tcW w:w="2769" w:type="dxa"/>
            <w:tcBorders>
              <w:top w:val="nil"/>
              <w:left w:val="nil"/>
              <w:bottom w:val="single" w:sz="4" w:space="0" w:color="auto"/>
              <w:right w:val="single" w:sz="4" w:space="0" w:color="auto"/>
            </w:tcBorders>
            <w:shd w:val="clear" w:color="auto" w:fill="auto"/>
          </w:tcPr>
          <w:p w14:paraId="0AC22F70"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必填项,见投资者（被投资者）部门代码表。</w:t>
            </w:r>
            <w:r>
              <w:rPr>
                <w:rFonts w:ascii="黑体" w:eastAsia="黑体" w:hAnsi="黑体" w:cs="宋体" w:hint="eastAsia"/>
                <w:color w:val="000000"/>
                <w:kern w:val="0"/>
                <w:sz w:val="20"/>
                <w:szCs w:val="20"/>
              </w:rPr>
              <w:br/>
              <w:t>本项不能选择1或2。</w:t>
            </w:r>
          </w:p>
        </w:tc>
        <w:tc>
          <w:tcPr>
            <w:tcW w:w="2769" w:type="dxa"/>
            <w:tcBorders>
              <w:top w:val="nil"/>
              <w:left w:val="nil"/>
              <w:bottom w:val="single" w:sz="4" w:space="0" w:color="auto"/>
              <w:right w:val="single" w:sz="4" w:space="0" w:color="auto"/>
            </w:tcBorders>
            <w:shd w:val="clear" w:color="auto" w:fill="auto"/>
          </w:tcPr>
          <w:p w14:paraId="56A29FB9"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必填项,见投资者（被投资者）部门代码表。本项不能选择1、2或6。</w:t>
            </w:r>
          </w:p>
        </w:tc>
      </w:tr>
      <w:tr w:rsidR="00A052DC" w14:paraId="4FC1057B" w14:textId="77777777">
        <w:trPr>
          <w:trHeight w:val="20"/>
          <w:jc w:val="center"/>
        </w:trPr>
        <w:tc>
          <w:tcPr>
            <w:tcW w:w="2027" w:type="dxa"/>
            <w:tcBorders>
              <w:top w:val="nil"/>
              <w:left w:val="single" w:sz="4" w:space="0" w:color="auto"/>
              <w:bottom w:val="single" w:sz="4" w:space="0" w:color="auto"/>
              <w:right w:val="single" w:sz="4" w:space="0" w:color="auto"/>
            </w:tcBorders>
            <w:shd w:val="clear" w:color="auto" w:fill="auto"/>
          </w:tcPr>
          <w:p w14:paraId="344860B0"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B01 投资境外股本证券和投资基金份额（资产）</w:t>
            </w:r>
          </w:p>
        </w:tc>
        <w:tc>
          <w:tcPr>
            <w:tcW w:w="957" w:type="dxa"/>
            <w:tcBorders>
              <w:top w:val="nil"/>
              <w:left w:val="nil"/>
              <w:bottom w:val="single" w:sz="4" w:space="0" w:color="auto"/>
              <w:right w:val="single" w:sz="4" w:space="0" w:color="auto"/>
            </w:tcBorders>
            <w:shd w:val="clear" w:color="auto" w:fill="auto"/>
          </w:tcPr>
          <w:p w14:paraId="57B2143B"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B0104CODE 业务类型</w:t>
            </w:r>
          </w:p>
        </w:tc>
        <w:tc>
          <w:tcPr>
            <w:tcW w:w="2769" w:type="dxa"/>
            <w:tcBorders>
              <w:top w:val="nil"/>
              <w:left w:val="nil"/>
              <w:bottom w:val="single" w:sz="4" w:space="0" w:color="auto"/>
              <w:right w:val="single" w:sz="4" w:space="0" w:color="auto"/>
            </w:tcBorders>
            <w:shd w:val="clear" w:color="auto" w:fill="auto"/>
          </w:tcPr>
          <w:p w14:paraId="65BF0288"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必填项，必须5选1。</w:t>
            </w:r>
            <w:r>
              <w:rPr>
                <w:rFonts w:ascii="黑体" w:eastAsia="黑体" w:hAnsi="黑体" w:cs="宋体" w:hint="eastAsia"/>
                <w:color w:val="000000"/>
                <w:kern w:val="0"/>
                <w:sz w:val="20"/>
                <w:szCs w:val="20"/>
              </w:rPr>
              <w:br/>
              <w:t>1-基金互认；</w:t>
            </w:r>
            <w:r>
              <w:rPr>
                <w:rFonts w:ascii="黑体" w:eastAsia="黑体" w:hAnsi="黑体" w:cs="宋体" w:hint="eastAsia"/>
                <w:color w:val="000000"/>
                <w:kern w:val="0"/>
                <w:sz w:val="20"/>
                <w:szCs w:val="20"/>
              </w:rPr>
              <w:br/>
              <w:t>2-沪港通；</w:t>
            </w:r>
            <w:r>
              <w:rPr>
                <w:rFonts w:ascii="黑体" w:eastAsia="黑体" w:hAnsi="黑体" w:cs="宋体" w:hint="eastAsia"/>
                <w:color w:val="000000"/>
                <w:kern w:val="0"/>
                <w:sz w:val="20"/>
                <w:szCs w:val="20"/>
              </w:rPr>
              <w:br/>
              <w:t>3-深港通；</w:t>
            </w:r>
            <w:r>
              <w:rPr>
                <w:rFonts w:ascii="黑体" w:eastAsia="黑体" w:hAnsi="黑体" w:cs="宋体" w:hint="eastAsia"/>
                <w:color w:val="000000"/>
                <w:kern w:val="0"/>
                <w:sz w:val="20"/>
                <w:szCs w:val="20"/>
              </w:rPr>
              <w:br/>
              <w:t>4-居民持有境外红筹企业股权；</w:t>
            </w:r>
            <w:r>
              <w:rPr>
                <w:rFonts w:ascii="黑体" w:eastAsia="黑体" w:hAnsi="黑体" w:cs="宋体" w:hint="eastAsia"/>
                <w:color w:val="000000"/>
                <w:kern w:val="0"/>
                <w:sz w:val="20"/>
                <w:szCs w:val="20"/>
              </w:rPr>
              <w:br/>
              <w:t>9-其他。</w:t>
            </w:r>
          </w:p>
        </w:tc>
        <w:tc>
          <w:tcPr>
            <w:tcW w:w="2769" w:type="dxa"/>
            <w:tcBorders>
              <w:top w:val="nil"/>
              <w:left w:val="nil"/>
              <w:bottom w:val="single" w:sz="4" w:space="0" w:color="auto"/>
              <w:right w:val="single" w:sz="4" w:space="0" w:color="auto"/>
            </w:tcBorders>
            <w:shd w:val="clear" w:color="auto" w:fill="auto"/>
          </w:tcPr>
          <w:p w14:paraId="6BD11935"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必填项，必须5选1。</w:t>
            </w:r>
            <w:r>
              <w:rPr>
                <w:rFonts w:ascii="黑体" w:eastAsia="黑体" w:hAnsi="黑体" w:cs="宋体" w:hint="eastAsia"/>
                <w:color w:val="000000"/>
                <w:kern w:val="0"/>
                <w:sz w:val="20"/>
                <w:szCs w:val="20"/>
              </w:rPr>
              <w:br/>
              <w:t>1-基金互认；</w:t>
            </w:r>
            <w:r>
              <w:rPr>
                <w:rFonts w:ascii="黑体" w:eastAsia="黑体" w:hAnsi="黑体" w:cs="宋体" w:hint="eastAsia"/>
                <w:color w:val="000000"/>
                <w:kern w:val="0"/>
                <w:sz w:val="20"/>
                <w:szCs w:val="20"/>
              </w:rPr>
              <w:br/>
              <w:t>2-沪港通；</w:t>
            </w:r>
            <w:r>
              <w:rPr>
                <w:rFonts w:ascii="黑体" w:eastAsia="黑体" w:hAnsi="黑体" w:cs="宋体" w:hint="eastAsia"/>
                <w:color w:val="000000"/>
                <w:kern w:val="0"/>
                <w:sz w:val="20"/>
                <w:szCs w:val="20"/>
              </w:rPr>
              <w:br/>
              <w:t>3-深港通；</w:t>
            </w:r>
            <w:r>
              <w:rPr>
                <w:rFonts w:ascii="黑体" w:eastAsia="黑体" w:hAnsi="黑体" w:cs="宋体" w:hint="eastAsia"/>
                <w:color w:val="000000"/>
                <w:kern w:val="0"/>
                <w:sz w:val="20"/>
                <w:szCs w:val="20"/>
              </w:rPr>
              <w:br/>
              <w:t>4-境内居民参与境外企业股权激励计划；</w:t>
            </w:r>
            <w:r>
              <w:rPr>
                <w:rFonts w:ascii="黑体" w:eastAsia="黑体" w:hAnsi="黑体" w:cs="宋体" w:hint="eastAsia"/>
                <w:color w:val="000000"/>
                <w:kern w:val="0"/>
                <w:sz w:val="20"/>
                <w:szCs w:val="20"/>
              </w:rPr>
              <w:br/>
              <w:t>9-其他。</w:t>
            </w:r>
          </w:p>
        </w:tc>
      </w:tr>
      <w:tr w:rsidR="00A052DC" w14:paraId="6C660425" w14:textId="77777777">
        <w:trPr>
          <w:trHeight w:val="20"/>
          <w:jc w:val="center"/>
        </w:trPr>
        <w:tc>
          <w:tcPr>
            <w:tcW w:w="2027" w:type="dxa"/>
            <w:tcBorders>
              <w:top w:val="nil"/>
              <w:left w:val="single" w:sz="4" w:space="0" w:color="auto"/>
              <w:bottom w:val="single" w:sz="4" w:space="0" w:color="auto"/>
              <w:right w:val="single" w:sz="4" w:space="0" w:color="auto"/>
            </w:tcBorders>
            <w:shd w:val="clear" w:color="auto" w:fill="auto"/>
          </w:tcPr>
          <w:p w14:paraId="3AFC2A02"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B01 投资境外股本证券和投资基金份额（资产）</w:t>
            </w:r>
          </w:p>
        </w:tc>
        <w:tc>
          <w:tcPr>
            <w:tcW w:w="957" w:type="dxa"/>
            <w:tcBorders>
              <w:top w:val="nil"/>
              <w:left w:val="nil"/>
              <w:bottom w:val="single" w:sz="4" w:space="0" w:color="auto"/>
              <w:right w:val="single" w:sz="4" w:space="0" w:color="auto"/>
            </w:tcBorders>
            <w:shd w:val="clear" w:color="auto" w:fill="auto"/>
          </w:tcPr>
          <w:p w14:paraId="76E45EE6"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B0118 本月末市值</w:t>
            </w:r>
          </w:p>
        </w:tc>
        <w:tc>
          <w:tcPr>
            <w:tcW w:w="2769" w:type="dxa"/>
            <w:tcBorders>
              <w:top w:val="nil"/>
              <w:left w:val="nil"/>
              <w:bottom w:val="single" w:sz="4" w:space="0" w:color="auto"/>
              <w:right w:val="single" w:sz="4" w:space="0" w:color="auto"/>
            </w:tcBorders>
            <w:shd w:val="clear" w:color="auto" w:fill="auto"/>
          </w:tcPr>
          <w:p w14:paraId="32198508"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必填项。当B0106≠N/A时，“B0120本月末持股（份额）数量”×“B0121本月末每股（每份）市价”应等于“B0118本月末市值”。</w:t>
            </w:r>
          </w:p>
        </w:tc>
        <w:tc>
          <w:tcPr>
            <w:tcW w:w="2769" w:type="dxa"/>
            <w:tcBorders>
              <w:top w:val="nil"/>
              <w:left w:val="nil"/>
              <w:bottom w:val="single" w:sz="4" w:space="0" w:color="auto"/>
              <w:right w:val="single" w:sz="4" w:space="0" w:color="auto"/>
            </w:tcBorders>
            <w:shd w:val="clear" w:color="auto" w:fill="auto"/>
          </w:tcPr>
          <w:p w14:paraId="181157E7"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必填项。原则上，当B0106≠N/A时，“B0120本月末持股（份额）数量”×“B0121本月末每股（每份）市价”应等于“B0118本月末市值”。考虑到报送的小数位，可允许存在少量差异。</w:t>
            </w:r>
          </w:p>
        </w:tc>
      </w:tr>
      <w:tr w:rsidR="00A052DC" w14:paraId="0CE5240E" w14:textId="77777777">
        <w:trPr>
          <w:trHeight w:val="20"/>
          <w:jc w:val="center"/>
        </w:trPr>
        <w:tc>
          <w:tcPr>
            <w:tcW w:w="2027" w:type="dxa"/>
            <w:tcBorders>
              <w:top w:val="nil"/>
              <w:left w:val="single" w:sz="4" w:space="0" w:color="auto"/>
              <w:bottom w:val="single" w:sz="4" w:space="0" w:color="auto"/>
              <w:right w:val="single" w:sz="4" w:space="0" w:color="auto"/>
            </w:tcBorders>
            <w:shd w:val="clear" w:color="auto" w:fill="auto"/>
          </w:tcPr>
          <w:p w14:paraId="20B9E75F"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B03 投资非居民境内发行股本证券和债务证券（资产）</w:t>
            </w:r>
          </w:p>
        </w:tc>
        <w:tc>
          <w:tcPr>
            <w:tcW w:w="957" w:type="dxa"/>
            <w:tcBorders>
              <w:top w:val="nil"/>
              <w:left w:val="nil"/>
              <w:bottom w:val="single" w:sz="4" w:space="0" w:color="auto"/>
              <w:right w:val="single" w:sz="4" w:space="0" w:color="auto"/>
            </w:tcBorders>
            <w:shd w:val="clear" w:color="auto" w:fill="auto"/>
          </w:tcPr>
          <w:p w14:paraId="16EDD898"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B0303 投资工具类型</w:t>
            </w:r>
          </w:p>
        </w:tc>
        <w:tc>
          <w:tcPr>
            <w:tcW w:w="2769" w:type="dxa"/>
            <w:tcBorders>
              <w:top w:val="nil"/>
              <w:left w:val="nil"/>
              <w:bottom w:val="single" w:sz="4" w:space="0" w:color="auto"/>
              <w:right w:val="single" w:sz="4" w:space="0" w:color="auto"/>
            </w:tcBorders>
            <w:shd w:val="clear" w:color="auto" w:fill="auto"/>
          </w:tcPr>
          <w:p w14:paraId="3D9AF1B9"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必填项，必须6选1。</w:t>
            </w:r>
            <w:r>
              <w:rPr>
                <w:rFonts w:ascii="黑体" w:eastAsia="黑体" w:hAnsi="黑体" w:cs="宋体" w:hint="eastAsia"/>
                <w:color w:val="000000"/>
                <w:kern w:val="0"/>
                <w:sz w:val="20"/>
                <w:szCs w:val="20"/>
              </w:rPr>
              <w:br/>
              <w:t>1-上市普通股；</w:t>
            </w:r>
            <w:r>
              <w:rPr>
                <w:rFonts w:ascii="黑体" w:eastAsia="黑体" w:hAnsi="黑体" w:cs="宋体" w:hint="eastAsia"/>
                <w:color w:val="000000"/>
                <w:kern w:val="0"/>
                <w:sz w:val="20"/>
                <w:szCs w:val="20"/>
              </w:rPr>
              <w:br/>
              <w:t>2-投资基金份额/单位；</w:t>
            </w:r>
            <w:r>
              <w:rPr>
                <w:rFonts w:ascii="黑体" w:eastAsia="黑体" w:hAnsi="黑体" w:cs="宋体" w:hint="eastAsia"/>
                <w:color w:val="000000"/>
                <w:kern w:val="0"/>
                <w:sz w:val="20"/>
                <w:szCs w:val="20"/>
              </w:rPr>
              <w:br/>
              <w:t>3-债券；</w:t>
            </w:r>
            <w:r>
              <w:rPr>
                <w:rFonts w:ascii="黑体" w:eastAsia="黑体" w:hAnsi="黑体" w:cs="宋体" w:hint="eastAsia"/>
                <w:color w:val="000000"/>
                <w:kern w:val="0"/>
                <w:sz w:val="20"/>
                <w:szCs w:val="20"/>
              </w:rPr>
              <w:br/>
              <w:t>4-非上市普通股;</w:t>
            </w:r>
            <w:r>
              <w:rPr>
                <w:rFonts w:ascii="黑体" w:eastAsia="黑体" w:hAnsi="黑体" w:cs="宋体" w:hint="eastAsia"/>
                <w:color w:val="000000"/>
                <w:kern w:val="0"/>
                <w:sz w:val="20"/>
                <w:szCs w:val="20"/>
              </w:rPr>
              <w:br/>
              <w:t>5-参与性优先股;</w:t>
            </w:r>
            <w:r>
              <w:rPr>
                <w:rFonts w:ascii="黑体" w:eastAsia="黑体" w:hAnsi="黑体" w:cs="宋体" w:hint="eastAsia"/>
                <w:color w:val="000000"/>
                <w:kern w:val="0"/>
                <w:sz w:val="20"/>
                <w:szCs w:val="20"/>
              </w:rPr>
              <w:br/>
              <w:t>6-非参与性优先股。</w:t>
            </w:r>
          </w:p>
        </w:tc>
        <w:tc>
          <w:tcPr>
            <w:tcW w:w="2769" w:type="dxa"/>
            <w:tcBorders>
              <w:top w:val="nil"/>
              <w:left w:val="nil"/>
              <w:bottom w:val="single" w:sz="4" w:space="0" w:color="auto"/>
              <w:right w:val="single" w:sz="4" w:space="0" w:color="auto"/>
            </w:tcBorders>
            <w:shd w:val="clear" w:color="auto" w:fill="auto"/>
          </w:tcPr>
          <w:p w14:paraId="7C380A04"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必填项，必须7选1。</w:t>
            </w:r>
            <w:r>
              <w:rPr>
                <w:rFonts w:ascii="黑体" w:eastAsia="黑体" w:hAnsi="黑体" w:cs="宋体" w:hint="eastAsia"/>
                <w:color w:val="000000"/>
                <w:kern w:val="0"/>
                <w:sz w:val="20"/>
                <w:szCs w:val="20"/>
              </w:rPr>
              <w:br/>
              <w:t>1-上市普通股；</w:t>
            </w:r>
            <w:r>
              <w:rPr>
                <w:rFonts w:ascii="黑体" w:eastAsia="黑体" w:hAnsi="黑体" w:cs="宋体" w:hint="eastAsia"/>
                <w:color w:val="000000"/>
                <w:kern w:val="0"/>
                <w:sz w:val="20"/>
                <w:szCs w:val="20"/>
              </w:rPr>
              <w:br/>
              <w:t>2-投资基金份额/单位；</w:t>
            </w:r>
            <w:r>
              <w:rPr>
                <w:rFonts w:ascii="黑体" w:eastAsia="黑体" w:hAnsi="黑体" w:cs="宋体" w:hint="eastAsia"/>
                <w:color w:val="000000"/>
                <w:kern w:val="0"/>
                <w:sz w:val="20"/>
                <w:szCs w:val="20"/>
              </w:rPr>
              <w:br/>
              <w:t>3-债券；</w:t>
            </w:r>
            <w:r>
              <w:rPr>
                <w:rFonts w:ascii="黑体" w:eastAsia="黑体" w:hAnsi="黑体" w:cs="宋体" w:hint="eastAsia"/>
                <w:color w:val="000000"/>
                <w:kern w:val="0"/>
                <w:sz w:val="20"/>
                <w:szCs w:val="20"/>
              </w:rPr>
              <w:br/>
              <w:t>4-非上市普通股;</w:t>
            </w:r>
            <w:r>
              <w:rPr>
                <w:rFonts w:ascii="黑体" w:eastAsia="黑体" w:hAnsi="黑体" w:cs="宋体" w:hint="eastAsia"/>
                <w:color w:val="000000"/>
                <w:kern w:val="0"/>
                <w:sz w:val="20"/>
                <w:szCs w:val="20"/>
              </w:rPr>
              <w:br/>
              <w:t>5-参与性优先股;</w:t>
            </w:r>
            <w:r>
              <w:rPr>
                <w:rFonts w:ascii="黑体" w:eastAsia="黑体" w:hAnsi="黑体" w:cs="宋体" w:hint="eastAsia"/>
                <w:color w:val="000000"/>
                <w:kern w:val="0"/>
                <w:sz w:val="20"/>
                <w:szCs w:val="20"/>
              </w:rPr>
              <w:br/>
              <w:t>6-非参与性优先股；</w:t>
            </w:r>
            <w:r>
              <w:rPr>
                <w:rFonts w:ascii="黑体" w:eastAsia="黑体" w:hAnsi="黑体" w:cs="宋体" w:hint="eastAsia"/>
                <w:color w:val="000000"/>
                <w:kern w:val="0"/>
                <w:sz w:val="20"/>
                <w:szCs w:val="20"/>
              </w:rPr>
              <w:br/>
              <w:t>7-存托凭证。</w:t>
            </w:r>
          </w:p>
        </w:tc>
      </w:tr>
      <w:tr w:rsidR="00A052DC" w14:paraId="43BF3C02" w14:textId="77777777">
        <w:trPr>
          <w:trHeight w:val="20"/>
          <w:jc w:val="center"/>
        </w:trPr>
        <w:tc>
          <w:tcPr>
            <w:tcW w:w="2027" w:type="dxa"/>
            <w:tcBorders>
              <w:top w:val="nil"/>
              <w:left w:val="single" w:sz="4" w:space="0" w:color="auto"/>
              <w:bottom w:val="single" w:sz="4" w:space="0" w:color="auto"/>
              <w:right w:val="single" w:sz="4" w:space="0" w:color="auto"/>
            </w:tcBorders>
            <w:shd w:val="clear" w:color="auto" w:fill="auto"/>
          </w:tcPr>
          <w:p w14:paraId="4DA4F671"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B03 投资非居民境内发行股本证券和债务证券（资产）</w:t>
            </w:r>
          </w:p>
        </w:tc>
        <w:tc>
          <w:tcPr>
            <w:tcW w:w="957" w:type="dxa"/>
            <w:tcBorders>
              <w:top w:val="nil"/>
              <w:left w:val="nil"/>
              <w:bottom w:val="single" w:sz="4" w:space="0" w:color="auto"/>
              <w:right w:val="single" w:sz="4" w:space="0" w:color="auto"/>
            </w:tcBorders>
            <w:shd w:val="clear" w:color="auto" w:fill="auto"/>
          </w:tcPr>
          <w:p w14:paraId="4C8F2039"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B0308 债务证券原始期限</w:t>
            </w:r>
          </w:p>
        </w:tc>
        <w:tc>
          <w:tcPr>
            <w:tcW w:w="2769" w:type="dxa"/>
            <w:tcBorders>
              <w:top w:val="nil"/>
              <w:left w:val="nil"/>
              <w:bottom w:val="single" w:sz="4" w:space="0" w:color="auto"/>
              <w:right w:val="single" w:sz="4" w:space="0" w:color="auto"/>
            </w:tcBorders>
            <w:shd w:val="clear" w:color="auto" w:fill="auto"/>
          </w:tcPr>
          <w:p w14:paraId="29D3F603"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非必填项。如B0303=1,2，4或5则本字段为空；如B0303=3，6则为必填项，必须2选1：</w:t>
            </w:r>
            <w:r>
              <w:rPr>
                <w:rFonts w:ascii="黑体" w:eastAsia="黑体" w:hAnsi="黑体" w:cs="宋体" w:hint="eastAsia"/>
                <w:color w:val="000000"/>
                <w:kern w:val="0"/>
                <w:sz w:val="20"/>
                <w:szCs w:val="20"/>
              </w:rPr>
              <w:br/>
              <w:t>1-一年及以下；</w:t>
            </w:r>
            <w:r>
              <w:rPr>
                <w:rFonts w:ascii="黑体" w:eastAsia="黑体" w:hAnsi="黑体" w:cs="宋体" w:hint="eastAsia"/>
                <w:color w:val="000000"/>
                <w:kern w:val="0"/>
                <w:sz w:val="20"/>
                <w:szCs w:val="20"/>
              </w:rPr>
              <w:br/>
              <w:t>2-一年以上，含永久性债券。</w:t>
            </w:r>
          </w:p>
        </w:tc>
        <w:tc>
          <w:tcPr>
            <w:tcW w:w="2769" w:type="dxa"/>
            <w:tcBorders>
              <w:top w:val="nil"/>
              <w:left w:val="nil"/>
              <w:bottom w:val="single" w:sz="4" w:space="0" w:color="auto"/>
              <w:right w:val="single" w:sz="4" w:space="0" w:color="auto"/>
            </w:tcBorders>
            <w:shd w:val="clear" w:color="auto" w:fill="auto"/>
          </w:tcPr>
          <w:p w14:paraId="4391999F" w14:textId="77777777" w:rsidR="00A052DC" w:rsidRDefault="009F0A60">
            <w:pPr>
              <w:widowControl/>
              <w:spacing w:after="240"/>
              <w:jc w:val="left"/>
              <w:rPr>
                <w:rFonts w:ascii="黑体" w:eastAsia="黑体" w:hAnsi="黑体" w:cs="宋体"/>
                <w:color w:val="000000"/>
                <w:kern w:val="0"/>
                <w:sz w:val="20"/>
                <w:szCs w:val="20"/>
              </w:rPr>
            </w:pPr>
            <w:bookmarkStart w:id="117" w:name="RANGE!D15"/>
            <w:r>
              <w:rPr>
                <w:rFonts w:ascii="黑体" w:eastAsia="黑体" w:hAnsi="黑体" w:cs="宋体" w:hint="eastAsia"/>
                <w:color w:val="000000"/>
                <w:kern w:val="0"/>
                <w:sz w:val="20"/>
                <w:szCs w:val="20"/>
              </w:rPr>
              <w:t>非必填项。如B0303=1，2，4，5或7则本字段为空；如B0303=3，6则为必填项，必须2选1：</w:t>
            </w:r>
            <w:r>
              <w:rPr>
                <w:rFonts w:ascii="黑体" w:eastAsia="黑体" w:hAnsi="黑体" w:cs="宋体" w:hint="eastAsia"/>
                <w:color w:val="000000"/>
                <w:kern w:val="0"/>
                <w:sz w:val="20"/>
                <w:szCs w:val="20"/>
              </w:rPr>
              <w:br/>
              <w:t>1-一年及以下；</w:t>
            </w:r>
            <w:r>
              <w:rPr>
                <w:rFonts w:ascii="黑体" w:eastAsia="黑体" w:hAnsi="黑体" w:cs="宋体" w:hint="eastAsia"/>
                <w:color w:val="000000"/>
                <w:kern w:val="0"/>
                <w:sz w:val="20"/>
                <w:szCs w:val="20"/>
              </w:rPr>
              <w:br/>
              <w:t>2-一年以上，含永久性债券。</w:t>
            </w:r>
            <w:bookmarkEnd w:id="117"/>
          </w:p>
        </w:tc>
      </w:tr>
      <w:tr w:rsidR="00A052DC" w14:paraId="05DAB5D0" w14:textId="77777777">
        <w:trPr>
          <w:trHeight w:val="20"/>
          <w:jc w:val="center"/>
        </w:trPr>
        <w:tc>
          <w:tcPr>
            <w:tcW w:w="2027" w:type="dxa"/>
            <w:tcBorders>
              <w:top w:val="nil"/>
              <w:left w:val="single" w:sz="4" w:space="0" w:color="auto"/>
              <w:bottom w:val="single" w:sz="4" w:space="0" w:color="auto"/>
              <w:right w:val="single" w:sz="4" w:space="0" w:color="auto"/>
            </w:tcBorders>
            <w:shd w:val="clear" w:color="auto" w:fill="auto"/>
          </w:tcPr>
          <w:p w14:paraId="1A6DEB00"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B04 吸收境外股权和基金份额投资（负债）</w:t>
            </w:r>
          </w:p>
        </w:tc>
        <w:tc>
          <w:tcPr>
            <w:tcW w:w="957" w:type="dxa"/>
            <w:tcBorders>
              <w:top w:val="nil"/>
              <w:left w:val="nil"/>
              <w:bottom w:val="single" w:sz="4" w:space="0" w:color="auto"/>
              <w:right w:val="single" w:sz="4" w:space="0" w:color="auto"/>
            </w:tcBorders>
            <w:shd w:val="clear" w:color="auto" w:fill="auto"/>
          </w:tcPr>
          <w:p w14:paraId="05DD236A"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B0401CODE 业务类型</w:t>
            </w:r>
          </w:p>
        </w:tc>
        <w:tc>
          <w:tcPr>
            <w:tcW w:w="2769" w:type="dxa"/>
            <w:tcBorders>
              <w:top w:val="nil"/>
              <w:left w:val="nil"/>
              <w:bottom w:val="single" w:sz="4" w:space="0" w:color="auto"/>
              <w:right w:val="single" w:sz="4" w:space="0" w:color="auto"/>
            </w:tcBorders>
            <w:shd w:val="clear" w:color="auto" w:fill="auto"/>
          </w:tcPr>
          <w:p w14:paraId="0FA446C5"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必填项，必须2选1.</w:t>
            </w:r>
            <w:r>
              <w:rPr>
                <w:rFonts w:ascii="黑体" w:eastAsia="黑体" w:hAnsi="黑体" w:cs="宋体" w:hint="eastAsia"/>
                <w:color w:val="000000"/>
                <w:kern w:val="0"/>
                <w:sz w:val="20"/>
                <w:szCs w:val="20"/>
              </w:rPr>
              <w:br/>
              <w:t>1-基金互认；</w:t>
            </w:r>
            <w:r>
              <w:rPr>
                <w:rFonts w:ascii="黑体" w:eastAsia="黑体" w:hAnsi="黑体" w:cs="宋体" w:hint="eastAsia"/>
                <w:color w:val="000000"/>
                <w:kern w:val="0"/>
                <w:sz w:val="20"/>
                <w:szCs w:val="20"/>
              </w:rPr>
              <w:br/>
              <w:t>9-其他。</w:t>
            </w:r>
          </w:p>
        </w:tc>
        <w:tc>
          <w:tcPr>
            <w:tcW w:w="2769" w:type="dxa"/>
            <w:tcBorders>
              <w:top w:val="nil"/>
              <w:left w:val="nil"/>
              <w:bottom w:val="single" w:sz="4" w:space="0" w:color="auto"/>
              <w:right w:val="single" w:sz="4" w:space="0" w:color="auto"/>
            </w:tcBorders>
            <w:shd w:val="clear" w:color="auto" w:fill="auto"/>
          </w:tcPr>
          <w:p w14:paraId="2C3B9BF4"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必填项，必须3选1.</w:t>
            </w:r>
            <w:r>
              <w:rPr>
                <w:rFonts w:ascii="黑体" w:eastAsia="黑体" w:hAnsi="黑体" w:cs="宋体" w:hint="eastAsia"/>
                <w:color w:val="000000"/>
                <w:kern w:val="0"/>
                <w:sz w:val="20"/>
                <w:szCs w:val="20"/>
              </w:rPr>
              <w:br/>
              <w:t>1-基金互认；</w:t>
            </w:r>
            <w:r>
              <w:rPr>
                <w:rFonts w:ascii="黑体" w:eastAsia="黑体" w:hAnsi="黑体" w:cs="宋体" w:hint="eastAsia"/>
                <w:color w:val="000000"/>
                <w:kern w:val="0"/>
                <w:sz w:val="20"/>
                <w:szCs w:val="20"/>
              </w:rPr>
              <w:br/>
              <w:t>2-上市股份或投资基金份额；</w:t>
            </w:r>
            <w:r>
              <w:rPr>
                <w:rFonts w:ascii="黑体" w:eastAsia="黑体" w:hAnsi="黑体" w:cs="宋体" w:hint="eastAsia"/>
                <w:color w:val="000000"/>
                <w:kern w:val="0"/>
                <w:sz w:val="20"/>
                <w:szCs w:val="20"/>
              </w:rPr>
              <w:br/>
              <w:t>3-非上市股份或投资基金份额。</w:t>
            </w:r>
          </w:p>
        </w:tc>
      </w:tr>
      <w:tr w:rsidR="00A052DC" w14:paraId="5A173175" w14:textId="77777777">
        <w:trPr>
          <w:trHeight w:val="20"/>
          <w:jc w:val="center"/>
        </w:trPr>
        <w:tc>
          <w:tcPr>
            <w:tcW w:w="2027" w:type="dxa"/>
            <w:tcBorders>
              <w:top w:val="nil"/>
              <w:left w:val="single" w:sz="4" w:space="0" w:color="auto"/>
              <w:bottom w:val="single" w:sz="4" w:space="0" w:color="auto"/>
              <w:right w:val="single" w:sz="4" w:space="0" w:color="auto"/>
            </w:tcBorders>
            <w:shd w:val="clear" w:color="auto" w:fill="auto"/>
          </w:tcPr>
          <w:p w14:paraId="327D9BB2"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B04 吸收境外股权和基金份额投资（负债）</w:t>
            </w:r>
          </w:p>
        </w:tc>
        <w:tc>
          <w:tcPr>
            <w:tcW w:w="957" w:type="dxa"/>
            <w:tcBorders>
              <w:top w:val="nil"/>
              <w:left w:val="nil"/>
              <w:bottom w:val="single" w:sz="4" w:space="0" w:color="auto"/>
              <w:right w:val="single" w:sz="4" w:space="0" w:color="auto"/>
            </w:tcBorders>
            <w:shd w:val="clear" w:color="auto" w:fill="auto"/>
          </w:tcPr>
          <w:p w14:paraId="17CAB8CF"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B0403 发行地</w:t>
            </w:r>
          </w:p>
        </w:tc>
        <w:tc>
          <w:tcPr>
            <w:tcW w:w="2769" w:type="dxa"/>
            <w:tcBorders>
              <w:top w:val="nil"/>
              <w:left w:val="nil"/>
              <w:bottom w:val="single" w:sz="4" w:space="0" w:color="auto"/>
              <w:right w:val="single" w:sz="4" w:space="0" w:color="auto"/>
            </w:tcBorders>
            <w:shd w:val="clear" w:color="auto" w:fill="auto"/>
          </w:tcPr>
          <w:p w14:paraId="57209911"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必填项，见国家和地区代码表的3位字母代码。B0401≠2时，国家地区≠CHN或N/A。</w:t>
            </w:r>
          </w:p>
        </w:tc>
        <w:tc>
          <w:tcPr>
            <w:tcW w:w="2769" w:type="dxa"/>
            <w:tcBorders>
              <w:top w:val="nil"/>
              <w:left w:val="nil"/>
              <w:bottom w:val="single" w:sz="4" w:space="0" w:color="auto"/>
              <w:right w:val="single" w:sz="4" w:space="0" w:color="auto"/>
            </w:tcBorders>
            <w:shd w:val="clear" w:color="auto" w:fill="auto"/>
          </w:tcPr>
          <w:p w14:paraId="189D000A"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必填项，见国家和地区代码表的3位字母代码。B0401CODE≠3时，国家地区≠CHN或N/A。</w:t>
            </w:r>
          </w:p>
        </w:tc>
      </w:tr>
      <w:tr w:rsidR="00A052DC" w14:paraId="6E9D15FB" w14:textId="77777777">
        <w:trPr>
          <w:trHeight w:val="20"/>
          <w:jc w:val="center"/>
        </w:trPr>
        <w:tc>
          <w:tcPr>
            <w:tcW w:w="2027" w:type="dxa"/>
            <w:tcBorders>
              <w:top w:val="nil"/>
              <w:left w:val="single" w:sz="4" w:space="0" w:color="auto"/>
              <w:bottom w:val="single" w:sz="4" w:space="0" w:color="auto"/>
              <w:right w:val="single" w:sz="4" w:space="0" w:color="auto"/>
            </w:tcBorders>
            <w:shd w:val="clear" w:color="auto" w:fill="auto"/>
          </w:tcPr>
          <w:p w14:paraId="46D14DB0"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B04 吸收境外股权和基金份额投资（负债）</w:t>
            </w:r>
          </w:p>
        </w:tc>
        <w:tc>
          <w:tcPr>
            <w:tcW w:w="957" w:type="dxa"/>
            <w:tcBorders>
              <w:top w:val="nil"/>
              <w:left w:val="nil"/>
              <w:bottom w:val="single" w:sz="4" w:space="0" w:color="auto"/>
              <w:right w:val="single" w:sz="4" w:space="0" w:color="auto"/>
            </w:tcBorders>
            <w:shd w:val="clear" w:color="auto" w:fill="auto"/>
          </w:tcPr>
          <w:p w14:paraId="669E4043"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B0405 投资者所属国家/地区</w:t>
            </w:r>
          </w:p>
        </w:tc>
        <w:tc>
          <w:tcPr>
            <w:tcW w:w="2769" w:type="dxa"/>
            <w:tcBorders>
              <w:top w:val="nil"/>
              <w:left w:val="nil"/>
              <w:bottom w:val="single" w:sz="4" w:space="0" w:color="auto"/>
              <w:right w:val="single" w:sz="4" w:space="0" w:color="auto"/>
            </w:tcBorders>
            <w:shd w:val="clear" w:color="auto" w:fill="auto"/>
          </w:tcPr>
          <w:p w14:paraId="601436AF"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必填项，见国家和地区代码表的3位字母代码。当B0401=2，且B0403=CHN时，B0405投资者所属国家/地区≠CHN或N/A。</w:t>
            </w:r>
          </w:p>
        </w:tc>
        <w:tc>
          <w:tcPr>
            <w:tcW w:w="2769" w:type="dxa"/>
            <w:tcBorders>
              <w:top w:val="nil"/>
              <w:left w:val="nil"/>
              <w:bottom w:val="single" w:sz="4" w:space="0" w:color="auto"/>
              <w:right w:val="single" w:sz="4" w:space="0" w:color="auto"/>
            </w:tcBorders>
            <w:shd w:val="clear" w:color="auto" w:fill="auto"/>
          </w:tcPr>
          <w:p w14:paraId="0282CA72" w14:textId="77777777" w:rsidR="00A052DC" w:rsidRDefault="009F0A60">
            <w:pPr>
              <w:widowControl/>
              <w:rPr>
                <w:rFonts w:ascii="黑体" w:eastAsia="黑体" w:hAnsi="黑体" w:cs="宋体"/>
                <w:color w:val="000000"/>
                <w:kern w:val="0"/>
                <w:sz w:val="20"/>
                <w:szCs w:val="20"/>
              </w:rPr>
            </w:pPr>
            <w:bookmarkStart w:id="118" w:name="RANGE!D18"/>
            <w:r>
              <w:rPr>
                <w:rFonts w:ascii="黑体" w:eastAsia="黑体" w:hAnsi="黑体" w:cs="宋体" w:hint="eastAsia"/>
                <w:color w:val="000000"/>
                <w:kern w:val="0"/>
                <w:sz w:val="20"/>
                <w:szCs w:val="20"/>
              </w:rPr>
              <w:t>必填项，见国家和地区代码表的3位字母代码。当B0401CODE=3，且B0403=CHN时，B0405投资者所属国家/地区≠CHN或N/A。</w:t>
            </w:r>
            <w:bookmarkEnd w:id="118"/>
          </w:p>
        </w:tc>
      </w:tr>
      <w:tr w:rsidR="00A052DC" w14:paraId="73BE53B2" w14:textId="77777777">
        <w:trPr>
          <w:trHeight w:val="20"/>
          <w:jc w:val="center"/>
        </w:trPr>
        <w:tc>
          <w:tcPr>
            <w:tcW w:w="2027" w:type="dxa"/>
            <w:tcBorders>
              <w:top w:val="nil"/>
              <w:left w:val="single" w:sz="4" w:space="0" w:color="auto"/>
              <w:bottom w:val="single" w:sz="4" w:space="0" w:color="auto"/>
              <w:right w:val="single" w:sz="4" w:space="0" w:color="auto"/>
            </w:tcBorders>
            <w:shd w:val="clear" w:color="auto" w:fill="auto"/>
          </w:tcPr>
          <w:p w14:paraId="1B614296"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B06 非居民投资境内发行股本证券和债务证券（负债）</w:t>
            </w:r>
          </w:p>
        </w:tc>
        <w:tc>
          <w:tcPr>
            <w:tcW w:w="957" w:type="dxa"/>
            <w:tcBorders>
              <w:top w:val="nil"/>
              <w:left w:val="nil"/>
              <w:bottom w:val="single" w:sz="4" w:space="0" w:color="auto"/>
              <w:right w:val="single" w:sz="4" w:space="0" w:color="auto"/>
            </w:tcBorders>
            <w:shd w:val="clear" w:color="auto" w:fill="auto"/>
          </w:tcPr>
          <w:p w14:paraId="7D443D65"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B0601TYPE 业务类型</w:t>
            </w:r>
          </w:p>
        </w:tc>
        <w:tc>
          <w:tcPr>
            <w:tcW w:w="2769" w:type="dxa"/>
            <w:tcBorders>
              <w:top w:val="nil"/>
              <w:left w:val="nil"/>
              <w:bottom w:val="single" w:sz="4" w:space="0" w:color="auto"/>
              <w:right w:val="single" w:sz="4" w:space="0" w:color="auto"/>
            </w:tcBorders>
            <w:shd w:val="clear" w:color="auto" w:fill="auto"/>
          </w:tcPr>
          <w:p w14:paraId="3DF441C7"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必填项，包括：</w:t>
            </w:r>
            <w:r>
              <w:rPr>
                <w:rFonts w:ascii="黑体" w:eastAsia="黑体" w:hAnsi="黑体" w:cs="宋体" w:hint="eastAsia"/>
                <w:color w:val="000000"/>
                <w:kern w:val="0"/>
                <w:sz w:val="20"/>
                <w:szCs w:val="20"/>
              </w:rPr>
              <w:br/>
              <w:t>1.QFII；</w:t>
            </w:r>
            <w:r>
              <w:rPr>
                <w:rFonts w:ascii="黑体" w:eastAsia="黑体" w:hAnsi="黑体" w:cs="宋体" w:hint="eastAsia"/>
                <w:color w:val="000000"/>
                <w:kern w:val="0"/>
                <w:sz w:val="20"/>
                <w:szCs w:val="20"/>
              </w:rPr>
              <w:br/>
              <w:t>2.RQFII；</w:t>
            </w:r>
            <w:r>
              <w:rPr>
                <w:rFonts w:ascii="黑体" w:eastAsia="黑体" w:hAnsi="黑体" w:cs="宋体" w:hint="eastAsia"/>
                <w:color w:val="000000"/>
                <w:kern w:val="0"/>
                <w:sz w:val="20"/>
                <w:szCs w:val="20"/>
              </w:rPr>
              <w:br/>
              <w:t>3.沪港通；</w:t>
            </w:r>
            <w:r>
              <w:rPr>
                <w:rFonts w:ascii="黑体" w:eastAsia="黑体" w:hAnsi="黑体" w:cs="宋体" w:hint="eastAsia"/>
                <w:color w:val="000000"/>
                <w:kern w:val="0"/>
                <w:sz w:val="20"/>
                <w:szCs w:val="20"/>
              </w:rPr>
              <w:br/>
              <w:t>4.深港通；</w:t>
            </w:r>
            <w:r>
              <w:rPr>
                <w:rFonts w:ascii="黑体" w:eastAsia="黑体" w:hAnsi="黑体" w:cs="宋体" w:hint="eastAsia"/>
                <w:color w:val="000000"/>
                <w:kern w:val="0"/>
                <w:sz w:val="20"/>
                <w:szCs w:val="20"/>
              </w:rPr>
              <w:br/>
              <w:t>5.境外机构投资者投资银行间债券市场；</w:t>
            </w:r>
            <w:r>
              <w:rPr>
                <w:rFonts w:ascii="黑体" w:eastAsia="黑体" w:hAnsi="黑体" w:cs="宋体" w:hint="eastAsia"/>
                <w:color w:val="000000"/>
                <w:kern w:val="0"/>
                <w:sz w:val="20"/>
                <w:szCs w:val="20"/>
              </w:rPr>
              <w:br/>
              <w:t>6.债券通；</w:t>
            </w:r>
            <w:r>
              <w:rPr>
                <w:rFonts w:ascii="黑体" w:eastAsia="黑体" w:hAnsi="黑体" w:cs="宋体" w:hint="eastAsia"/>
                <w:color w:val="000000"/>
                <w:kern w:val="0"/>
                <w:sz w:val="20"/>
                <w:szCs w:val="20"/>
              </w:rPr>
              <w:br/>
              <w:t>9.其他。</w:t>
            </w:r>
          </w:p>
        </w:tc>
        <w:tc>
          <w:tcPr>
            <w:tcW w:w="2769" w:type="dxa"/>
            <w:tcBorders>
              <w:top w:val="nil"/>
              <w:left w:val="nil"/>
              <w:bottom w:val="single" w:sz="4" w:space="0" w:color="auto"/>
              <w:right w:val="single" w:sz="4" w:space="0" w:color="auto"/>
            </w:tcBorders>
            <w:shd w:val="clear" w:color="auto" w:fill="auto"/>
          </w:tcPr>
          <w:p w14:paraId="5E8C5352" w14:textId="77777777" w:rsidR="00A052DC" w:rsidRDefault="009F0A60">
            <w:pPr>
              <w:widowControl/>
              <w:jc w:val="left"/>
              <w:rPr>
                <w:rFonts w:ascii="黑体" w:eastAsia="黑体" w:hAnsi="黑体" w:cs="宋体"/>
                <w:color w:val="000000"/>
                <w:kern w:val="0"/>
                <w:sz w:val="20"/>
                <w:szCs w:val="20"/>
              </w:rPr>
            </w:pPr>
            <w:bookmarkStart w:id="119" w:name="RANGE!D19"/>
            <w:r>
              <w:rPr>
                <w:rFonts w:ascii="黑体" w:eastAsia="黑体" w:hAnsi="黑体" w:cs="宋体" w:hint="eastAsia"/>
                <w:color w:val="000000"/>
                <w:kern w:val="0"/>
                <w:sz w:val="20"/>
                <w:szCs w:val="20"/>
              </w:rPr>
              <w:t>必填项，包括：</w:t>
            </w:r>
            <w:r>
              <w:rPr>
                <w:rFonts w:ascii="黑体" w:eastAsia="黑体" w:hAnsi="黑体" w:cs="宋体" w:hint="eastAsia"/>
                <w:color w:val="000000"/>
                <w:kern w:val="0"/>
                <w:sz w:val="20"/>
                <w:szCs w:val="20"/>
              </w:rPr>
              <w:br/>
              <w:t>1.QFII；</w:t>
            </w:r>
            <w:r>
              <w:rPr>
                <w:rFonts w:ascii="黑体" w:eastAsia="黑体" w:hAnsi="黑体" w:cs="宋体" w:hint="eastAsia"/>
                <w:color w:val="000000"/>
                <w:kern w:val="0"/>
                <w:sz w:val="20"/>
                <w:szCs w:val="20"/>
              </w:rPr>
              <w:br/>
              <w:t>2.RQFII；</w:t>
            </w:r>
            <w:r>
              <w:rPr>
                <w:rFonts w:ascii="黑体" w:eastAsia="黑体" w:hAnsi="黑体" w:cs="宋体" w:hint="eastAsia"/>
                <w:color w:val="000000"/>
                <w:kern w:val="0"/>
                <w:sz w:val="20"/>
                <w:szCs w:val="20"/>
              </w:rPr>
              <w:br/>
              <w:t>3.沪港通；</w:t>
            </w:r>
            <w:r>
              <w:rPr>
                <w:rFonts w:ascii="黑体" w:eastAsia="黑体" w:hAnsi="黑体" w:cs="宋体" w:hint="eastAsia"/>
                <w:color w:val="000000"/>
                <w:kern w:val="0"/>
                <w:sz w:val="20"/>
                <w:szCs w:val="20"/>
              </w:rPr>
              <w:br/>
              <w:t>4.深港通；</w:t>
            </w:r>
            <w:r>
              <w:rPr>
                <w:rFonts w:ascii="黑体" w:eastAsia="黑体" w:hAnsi="黑体" w:cs="宋体" w:hint="eastAsia"/>
                <w:color w:val="000000"/>
                <w:kern w:val="0"/>
                <w:sz w:val="20"/>
                <w:szCs w:val="20"/>
              </w:rPr>
              <w:br/>
              <w:t>5.境外机构投资者投资银行间债券市场；</w:t>
            </w:r>
            <w:r>
              <w:rPr>
                <w:rFonts w:ascii="黑体" w:eastAsia="黑体" w:hAnsi="黑体" w:cs="宋体" w:hint="eastAsia"/>
                <w:color w:val="000000"/>
                <w:kern w:val="0"/>
                <w:sz w:val="20"/>
                <w:szCs w:val="20"/>
              </w:rPr>
              <w:br/>
              <w:t>6.债券通；</w:t>
            </w:r>
            <w:r>
              <w:rPr>
                <w:rFonts w:ascii="黑体" w:eastAsia="黑体" w:hAnsi="黑体" w:cs="宋体" w:hint="eastAsia"/>
                <w:color w:val="000000"/>
                <w:kern w:val="0"/>
                <w:sz w:val="20"/>
                <w:szCs w:val="20"/>
              </w:rPr>
              <w:br/>
              <w:t>7.沪伦通；</w:t>
            </w:r>
            <w:r>
              <w:rPr>
                <w:rFonts w:ascii="黑体" w:eastAsia="黑体" w:hAnsi="黑体" w:cs="宋体" w:hint="eastAsia"/>
                <w:color w:val="000000"/>
                <w:kern w:val="0"/>
                <w:sz w:val="20"/>
                <w:szCs w:val="20"/>
              </w:rPr>
              <w:br/>
              <w:t>9.其他。</w:t>
            </w:r>
            <w:bookmarkEnd w:id="119"/>
          </w:p>
          <w:p w14:paraId="48655D6F"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如B0604=7，B0601TYPE必须=7。</w:t>
            </w:r>
          </w:p>
        </w:tc>
      </w:tr>
      <w:tr w:rsidR="00A052DC" w14:paraId="3E258750" w14:textId="77777777">
        <w:trPr>
          <w:trHeight w:val="20"/>
          <w:jc w:val="center"/>
        </w:trPr>
        <w:tc>
          <w:tcPr>
            <w:tcW w:w="2027" w:type="dxa"/>
            <w:tcBorders>
              <w:top w:val="nil"/>
              <w:left w:val="single" w:sz="4" w:space="0" w:color="auto"/>
              <w:bottom w:val="single" w:sz="4" w:space="0" w:color="auto"/>
              <w:right w:val="single" w:sz="4" w:space="0" w:color="auto"/>
            </w:tcBorders>
            <w:shd w:val="clear" w:color="auto" w:fill="auto"/>
          </w:tcPr>
          <w:p w14:paraId="679DD4D7"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B06 非居民投资境内发行股本证券和债务证券（负债）</w:t>
            </w:r>
          </w:p>
        </w:tc>
        <w:tc>
          <w:tcPr>
            <w:tcW w:w="957" w:type="dxa"/>
            <w:tcBorders>
              <w:top w:val="nil"/>
              <w:left w:val="nil"/>
              <w:bottom w:val="single" w:sz="4" w:space="0" w:color="auto"/>
              <w:right w:val="single" w:sz="4" w:space="0" w:color="auto"/>
            </w:tcBorders>
            <w:shd w:val="clear" w:color="auto" w:fill="auto"/>
          </w:tcPr>
          <w:p w14:paraId="2CFB1BA4"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B0604 投资工具类型</w:t>
            </w:r>
          </w:p>
        </w:tc>
        <w:tc>
          <w:tcPr>
            <w:tcW w:w="2769" w:type="dxa"/>
            <w:tcBorders>
              <w:top w:val="nil"/>
              <w:left w:val="nil"/>
              <w:bottom w:val="single" w:sz="4" w:space="0" w:color="auto"/>
              <w:right w:val="single" w:sz="4" w:space="0" w:color="auto"/>
            </w:tcBorders>
            <w:shd w:val="clear" w:color="auto" w:fill="auto"/>
          </w:tcPr>
          <w:p w14:paraId="38602CC2"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必填项，必须6选1：</w:t>
            </w:r>
            <w:r>
              <w:rPr>
                <w:rFonts w:ascii="黑体" w:eastAsia="黑体" w:hAnsi="黑体" w:cs="宋体" w:hint="eastAsia"/>
                <w:color w:val="000000"/>
                <w:kern w:val="0"/>
                <w:sz w:val="20"/>
                <w:szCs w:val="20"/>
              </w:rPr>
              <w:br/>
              <w:t>1-股票；</w:t>
            </w:r>
            <w:r>
              <w:rPr>
                <w:rFonts w:ascii="黑体" w:eastAsia="黑体" w:hAnsi="黑体" w:cs="宋体" w:hint="eastAsia"/>
                <w:color w:val="000000"/>
                <w:kern w:val="0"/>
                <w:sz w:val="20"/>
                <w:szCs w:val="20"/>
              </w:rPr>
              <w:br/>
              <w:t>2-投资基金份额/单位；</w:t>
            </w:r>
            <w:r>
              <w:rPr>
                <w:rFonts w:ascii="黑体" w:eastAsia="黑体" w:hAnsi="黑体" w:cs="宋体" w:hint="eastAsia"/>
                <w:color w:val="000000"/>
                <w:kern w:val="0"/>
                <w:sz w:val="20"/>
                <w:szCs w:val="20"/>
              </w:rPr>
              <w:br/>
              <w:t>3-债券；</w:t>
            </w:r>
            <w:r>
              <w:rPr>
                <w:rFonts w:ascii="黑体" w:eastAsia="黑体" w:hAnsi="黑体" w:cs="宋体" w:hint="eastAsia"/>
                <w:color w:val="000000"/>
                <w:kern w:val="0"/>
                <w:sz w:val="20"/>
                <w:szCs w:val="20"/>
              </w:rPr>
              <w:br/>
              <w:t>4-非上市普通股；</w:t>
            </w:r>
            <w:r>
              <w:rPr>
                <w:rFonts w:ascii="黑体" w:eastAsia="黑体" w:hAnsi="黑体" w:cs="宋体" w:hint="eastAsia"/>
                <w:color w:val="000000"/>
                <w:kern w:val="0"/>
                <w:sz w:val="20"/>
                <w:szCs w:val="20"/>
              </w:rPr>
              <w:br/>
              <w:t>5-参与性优先股；</w:t>
            </w:r>
            <w:r>
              <w:rPr>
                <w:rFonts w:ascii="黑体" w:eastAsia="黑体" w:hAnsi="黑体" w:cs="宋体" w:hint="eastAsia"/>
                <w:color w:val="000000"/>
                <w:kern w:val="0"/>
                <w:sz w:val="20"/>
                <w:szCs w:val="20"/>
              </w:rPr>
              <w:br/>
              <w:t>6-非参与性优先股。</w:t>
            </w:r>
          </w:p>
        </w:tc>
        <w:tc>
          <w:tcPr>
            <w:tcW w:w="2769" w:type="dxa"/>
            <w:tcBorders>
              <w:top w:val="nil"/>
              <w:left w:val="nil"/>
              <w:bottom w:val="single" w:sz="4" w:space="0" w:color="auto"/>
              <w:right w:val="single" w:sz="4" w:space="0" w:color="auto"/>
            </w:tcBorders>
            <w:shd w:val="clear" w:color="auto" w:fill="auto"/>
          </w:tcPr>
          <w:p w14:paraId="5CA1E192"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必填项，必须7选1：</w:t>
            </w:r>
            <w:r>
              <w:rPr>
                <w:rFonts w:ascii="黑体" w:eastAsia="黑体" w:hAnsi="黑体" w:cs="宋体" w:hint="eastAsia"/>
                <w:color w:val="000000"/>
                <w:kern w:val="0"/>
                <w:sz w:val="20"/>
                <w:szCs w:val="20"/>
              </w:rPr>
              <w:br/>
              <w:t>1-上市普通股；</w:t>
            </w:r>
            <w:r>
              <w:rPr>
                <w:rFonts w:ascii="黑体" w:eastAsia="黑体" w:hAnsi="黑体" w:cs="宋体" w:hint="eastAsia"/>
                <w:color w:val="000000"/>
                <w:kern w:val="0"/>
                <w:sz w:val="20"/>
                <w:szCs w:val="20"/>
              </w:rPr>
              <w:br/>
              <w:t>2-投资基金份额/单位；</w:t>
            </w:r>
            <w:r>
              <w:rPr>
                <w:rFonts w:ascii="黑体" w:eastAsia="黑体" w:hAnsi="黑体" w:cs="宋体" w:hint="eastAsia"/>
                <w:color w:val="000000"/>
                <w:kern w:val="0"/>
                <w:sz w:val="20"/>
                <w:szCs w:val="20"/>
              </w:rPr>
              <w:br/>
              <w:t>3-债券；</w:t>
            </w:r>
            <w:r>
              <w:rPr>
                <w:rFonts w:ascii="黑体" w:eastAsia="黑体" w:hAnsi="黑体" w:cs="宋体" w:hint="eastAsia"/>
                <w:color w:val="000000"/>
                <w:kern w:val="0"/>
                <w:sz w:val="20"/>
                <w:szCs w:val="20"/>
              </w:rPr>
              <w:br/>
              <w:t>4-非上市普通股；</w:t>
            </w:r>
            <w:r>
              <w:rPr>
                <w:rFonts w:ascii="黑体" w:eastAsia="黑体" w:hAnsi="黑体" w:cs="宋体" w:hint="eastAsia"/>
                <w:color w:val="000000"/>
                <w:kern w:val="0"/>
                <w:sz w:val="20"/>
                <w:szCs w:val="20"/>
              </w:rPr>
              <w:br/>
              <w:t>5-参与性优先股；</w:t>
            </w:r>
            <w:r>
              <w:rPr>
                <w:rFonts w:ascii="黑体" w:eastAsia="黑体" w:hAnsi="黑体" w:cs="宋体" w:hint="eastAsia"/>
                <w:color w:val="000000"/>
                <w:kern w:val="0"/>
                <w:sz w:val="20"/>
                <w:szCs w:val="20"/>
              </w:rPr>
              <w:br/>
              <w:t>6-非参与性优先股；</w:t>
            </w:r>
            <w:r>
              <w:rPr>
                <w:rFonts w:ascii="黑体" w:eastAsia="黑体" w:hAnsi="黑体" w:cs="宋体" w:hint="eastAsia"/>
                <w:color w:val="000000"/>
                <w:kern w:val="0"/>
                <w:sz w:val="20"/>
                <w:szCs w:val="20"/>
              </w:rPr>
              <w:br/>
              <w:t>7-存托凭证。</w:t>
            </w:r>
          </w:p>
          <w:p w14:paraId="495788BD"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如B0601TYPE=7，B0604必须=7。</w:t>
            </w:r>
          </w:p>
        </w:tc>
      </w:tr>
      <w:tr w:rsidR="00A052DC" w14:paraId="27E66FF9" w14:textId="77777777">
        <w:trPr>
          <w:trHeight w:val="20"/>
          <w:jc w:val="center"/>
        </w:trPr>
        <w:tc>
          <w:tcPr>
            <w:tcW w:w="2027" w:type="dxa"/>
            <w:tcBorders>
              <w:top w:val="single" w:sz="4" w:space="0" w:color="auto"/>
              <w:left w:val="single" w:sz="4" w:space="0" w:color="auto"/>
              <w:bottom w:val="single" w:sz="4" w:space="0" w:color="auto"/>
              <w:right w:val="single" w:sz="4" w:space="0" w:color="auto"/>
            </w:tcBorders>
            <w:shd w:val="clear" w:color="auto" w:fill="auto"/>
          </w:tcPr>
          <w:p w14:paraId="40C4DAEF"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B06 非居民投资境内发行股本证券和债务证券（负债）</w:t>
            </w:r>
          </w:p>
        </w:tc>
        <w:tc>
          <w:tcPr>
            <w:tcW w:w="957" w:type="dxa"/>
            <w:tcBorders>
              <w:top w:val="single" w:sz="4" w:space="0" w:color="auto"/>
              <w:left w:val="nil"/>
              <w:bottom w:val="single" w:sz="4" w:space="0" w:color="auto"/>
              <w:right w:val="nil"/>
            </w:tcBorders>
            <w:shd w:val="clear" w:color="auto" w:fill="auto"/>
            <w:noWrap/>
          </w:tcPr>
          <w:p w14:paraId="5B0FD89E"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B0609 债务证券原始期限</w:t>
            </w:r>
          </w:p>
        </w:tc>
        <w:tc>
          <w:tcPr>
            <w:tcW w:w="2769" w:type="dxa"/>
            <w:tcBorders>
              <w:top w:val="single" w:sz="4" w:space="0" w:color="auto"/>
              <w:left w:val="single" w:sz="4" w:space="0" w:color="auto"/>
              <w:bottom w:val="single" w:sz="4" w:space="0" w:color="auto"/>
              <w:right w:val="single" w:sz="4" w:space="0" w:color="auto"/>
            </w:tcBorders>
            <w:shd w:val="clear" w:color="auto" w:fill="auto"/>
          </w:tcPr>
          <w:p w14:paraId="09F5FE6B"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非必填项。</w:t>
            </w:r>
            <w:r>
              <w:rPr>
                <w:rFonts w:ascii="黑体" w:eastAsia="黑体" w:hAnsi="黑体" w:cs="宋体" w:hint="eastAsia"/>
                <w:color w:val="000000"/>
                <w:kern w:val="0"/>
                <w:sz w:val="20"/>
                <w:szCs w:val="20"/>
              </w:rPr>
              <w:br/>
              <w:t>如果B0604=1或2，则此项为空。</w:t>
            </w:r>
            <w:r>
              <w:rPr>
                <w:rFonts w:ascii="黑体" w:eastAsia="黑体" w:hAnsi="黑体" w:cs="宋体" w:hint="eastAsia"/>
                <w:color w:val="000000"/>
                <w:kern w:val="0"/>
                <w:sz w:val="20"/>
                <w:szCs w:val="20"/>
              </w:rPr>
              <w:br/>
              <w:t>如果B0604=3，为必填项，必须2选1：</w:t>
            </w:r>
            <w:r>
              <w:rPr>
                <w:rFonts w:ascii="黑体" w:eastAsia="黑体" w:hAnsi="黑体" w:cs="宋体" w:hint="eastAsia"/>
                <w:color w:val="000000"/>
                <w:kern w:val="0"/>
                <w:sz w:val="20"/>
                <w:szCs w:val="20"/>
              </w:rPr>
              <w:br/>
              <w:t>1-一年及以下；</w:t>
            </w:r>
            <w:r>
              <w:rPr>
                <w:rFonts w:ascii="黑体" w:eastAsia="黑体" w:hAnsi="黑体" w:cs="宋体" w:hint="eastAsia"/>
                <w:color w:val="000000"/>
                <w:kern w:val="0"/>
                <w:sz w:val="20"/>
                <w:szCs w:val="20"/>
              </w:rPr>
              <w:br/>
              <w:t>2-一年以上，含永久性债券和非参与性优先股。</w:t>
            </w:r>
          </w:p>
        </w:tc>
        <w:tc>
          <w:tcPr>
            <w:tcW w:w="2769" w:type="dxa"/>
            <w:tcBorders>
              <w:top w:val="single" w:sz="4" w:space="0" w:color="auto"/>
              <w:left w:val="nil"/>
              <w:bottom w:val="single" w:sz="4" w:space="0" w:color="auto"/>
              <w:right w:val="single" w:sz="4" w:space="0" w:color="auto"/>
            </w:tcBorders>
            <w:shd w:val="clear" w:color="auto" w:fill="auto"/>
          </w:tcPr>
          <w:p w14:paraId="3D2DFA41"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非必填项。</w:t>
            </w:r>
            <w:r>
              <w:rPr>
                <w:rFonts w:ascii="黑体" w:eastAsia="黑体" w:hAnsi="黑体" w:cs="宋体" w:hint="eastAsia"/>
                <w:color w:val="000000"/>
                <w:kern w:val="0"/>
                <w:sz w:val="20"/>
                <w:szCs w:val="20"/>
              </w:rPr>
              <w:br/>
              <w:t>如果B0604=1、2、5或7，则此项为空。</w:t>
            </w:r>
            <w:r>
              <w:rPr>
                <w:rFonts w:ascii="黑体" w:eastAsia="黑体" w:hAnsi="黑体" w:cs="宋体" w:hint="eastAsia"/>
                <w:color w:val="000000"/>
                <w:kern w:val="0"/>
                <w:sz w:val="20"/>
                <w:szCs w:val="20"/>
              </w:rPr>
              <w:br/>
              <w:t>如果B0604=3或6，为必填项，必须2选1：</w:t>
            </w:r>
            <w:r>
              <w:rPr>
                <w:rFonts w:ascii="黑体" w:eastAsia="黑体" w:hAnsi="黑体" w:cs="宋体" w:hint="eastAsia"/>
                <w:color w:val="000000"/>
                <w:kern w:val="0"/>
                <w:sz w:val="20"/>
                <w:szCs w:val="20"/>
              </w:rPr>
              <w:br/>
              <w:t>1-一年及以下；</w:t>
            </w:r>
            <w:r>
              <w:rPr>
                <w:rFonts w:ascii="黑体" w:eastAsia="黑体" w:hAnsi="黑体" w:cs="宋体" w:hint="eastAsia"/>
                <w:color w:val="000000"/>
                <w:kern w:val="0"/>
                <w:sz w:val="20"/>
                <w:szCs w:val="20"/>
              </w:rPr>
              <w:br/>
              <w:t>2-一年以上，含永久性债券和非参与性优先股。</w:t>
            </w:r>
          </w:p>
        </w:tc>
      </w:tr>
      <w:tr w:rsidR="00A052DC" w14:paraId="3EB58242" w14:textId="77777777">
        <w:trPr>
          <w:trHeight w:val="20"/>
          <w:jc w:val="center"/>
        </w:trPr>
        <w:tc>
          <w:tcPr>
            <w:tcW w:w="2027" w:type="dxa"/>
            <w:tcBorders>
              <w:top w:val="single" w:sz="4" w:space="0" w:color="auto"/>
              <w:left w:val="single" w:sz="4" w:space="0" w:color="auto"/>
              <w:bottom w:val="single" w:sz="4" w:space="0" w:color="auto"/>
              <w:right w:val="single" w:sz="4" w:space="0" w:color="auto"/>
            </w:tcBorders>
            <w:shd w:val="clear" w:color="auto" w:fill="auto"/>
          </w:tcPr>
          <w:p w14:paraId="4E626D90"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B06 非居民投资境内发行股本证券和债务证券（负债）</w:t>
            </w:r>
          </w:p>
        </w:tc>
        <w:tc>
          <w:tcPr>
            <w:tcW w:w="957" w:type="dxa"/>
            <w:tcBorders>
              <w:top w:val="single" w:sz="4" w:space="0" w:color="auto"/>
              <w:left w:val="nil"/>
              <w:bottom w:val="single" w:sz="4" w:space="0" w:color="auto"/>
              <w:right w:val="single" w:sz="4" w:space="0" w:color="auto"/>
            </w:tcBorders>
            <w:shd w:val="clear" w:color="auto" w:fill="auto"/>
          </w:tcPr>
          <w:p w14:paraId="3111F971"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B0618 本月末市值其中：剩余期限在一年及以下</w:t>
            </w:r>
            <w:r>
              <w:rPr>
                <w:rFonts w:ascii="宋体" w:hAnsi="宋体" w:cs="宋体" w:hint="eastAsia"/>
                <w:color w:val="000000"/>
                <w:kern w:val="0"/>
                <w:sz w:val="20"/>
                <w:szCs w:val="20"/>
              </w:rPr>
              <w:t> </w:t>
            </w:r>
          </w:p>
        </w:tc>
        <w:tc>
          <w:tcPr>
            <w:tcW w:w="2769" w:type="dxa"/>
            <w:tcBorders>
              <w:top w:val="single" w:sz="4" w:space="0" w:color="auto"/>
              <w:left w:val="nil"/>
              <w:bottom w:val="single" w:sz="4" w:space="0" w:color="auto"/>
              <w:right w:val="single" w:sz="4" w:space="0" w:color="auto"/>
            </w:tcBorders>
            <w:shd w:val="clear" w:color="auto" w:fill="auto"/>
          </w:tcPr>
          <w:p w14:paraId="199B2C82"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必填项。</w:t>
            </w:r>
            <w:r>
              <w:rPr>
                <w:rFonts w:ascii="黑体" w:eastAsia="黑体" w:hAnsi="黑体" w:cs="宋体" w:hint="eastAsia"/>
                <w:color w:val="000000"/>
                <w:kern w:val="0"/>
                <w:sz w:val="20"/>
                <w:szCs w:val="20"/>
              </w:rPr>
              <w:br/>
              <w:t>如果B0604=1、2、4或5，本项为0。</w:t>
            </w:r>
            <w:r>
              <w:rPr>
                <w:rFonts w:ascii="黑体" w:eastAsia="黑体" w:hAnsi="黑体" w:cs="宋体" w:hint="eastAsia"/>
                <w:color w:val="000000"/>
                <w:kern w:val="0"/>
                <w:sz w:val="20"/>
                <w:szCs w:val="20"/>
              </w:rPr>
              <w:br/>
              <w:t>如果B0604=3或6，且当B0609=1时，B0617=B0618；当B0609=2时，|B0617|≥|B0618|。</w:t>
            </w:r>
          </w:p>
        </w:tc>
        <w:tc>
          <w:tcPr>
            <w:tcW w:w="2769" w:type="dxa"/>
            <w:tcBorders>
              <w:top w:val="single" w:sz="4" w:space="0" w:color="auto"/>
              <w:left w:val="nil"/>
              <w:bottom w:val="single" w:sz="4" w:space="0" w:color="auto"/>
              <w:right w:val="single" w:sz="4" w:space="0" w:color="auto"/>
            </w:tcBorders>
            <w:shd w:val="clear" w:color="auto" w:fill="auto"/>
          </w:tcPr>
          <w:p w14:paraId="71074380"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必填项。</w:t>
            </w:r>
            <w:r>
              <w:rPr>
                <w:rFonts w:ascii="黑体" w:eastAsia="黑体" w:hAnsi="黑体" w:cs="宋体" w:hint="eastAsia"/>
                <w:color w:val="000000"/>
                <w:kern w:val="0"/>
                <w:sz w:val="20"/>
                <w:szCs w:val="20"/>
              </w:rPr>
              <w:br/>
              <w:t>如果B0604=1、2、4、5或7，本项为0。</w:t>
            </w:r>
            <w:r>
              <w:rPr>
                <w:rFonts w:ascii="黑体" w:eastAsia="黑体" w:hAnsi="黑体" w:cs="宋体" w:hint="eastAsia"/>
                <w:color w:val="000000"/>
                <w:kern w:val="0"/>
                <w:sz w:val="20"/>
                <w:szCs w:val="20"/>
              </w:rPr>
              <w:br/>
              <w:t>如果B0604=3或6，且当B0609=1时，B0617=B0618；当B0609=2时，|B0617|≥|B0618|。</w:t>
            </w:r>
          </w:p>
        </w:tc>
      </w:tr>
      <w:tr w:rsidR="00A052DC" w14:paraId="5231BE51" w14:textId="77777777">
        <w:trPr>
          <w:trHeight w:val="20"/>
          <w:jc w:val="center"/>
        </w:trPr>
        <w:tc>
          <w:tcPr>
            <w:tcW w:w="2027" w:type="dxa"/>
            <w:tcBorders>
              <w:top w:val="nil"/>
              <w:left w:val="single" w:sz="4" w:space="0" w:color="auto"/>
              <w:bottom w:val="single" w:sz="4" w:space="0" w:color="auto"/>
              <w:right w:val="single" w:sz="4" w:space="0" w:color="auto"/>
            </w:tcBorders>
            <w:shd w:val="clear" w:color="auto" w:fill="auto"/>
          </w:tcPr>
          <w:p w14:paraId="5452E216"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D01 货币与存款（含存放银行同业和联行）（资产）</w:t>
            </w:r>
          </w:p>
        </w:tc>
        <w:tc>
          <w:tcPr>
            <w:tcW w:w="957" w:type="dxa"/>
            <w:tcBorders>
              <w:top w:val="nil"/>
              <w:left w:val="nil"/>
              <w:bottom w:val="single" w:sz="4" w:space="0" w:color="auto"/>
              <w:right w:val="single" w:sz="4" w:space="0" w:color="auto"/>
            </w:tcBorders>
            <w:shd w:val="clear" w:color="auto" w:fill="auto"/>
          </w:tcPr>
          <w:p w14:paraId="0AB8441B"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D0101 业务类别</w:t>
            </w:r>
          </w:p>
        </w:tc>
        <w:tc>
          <w:tcPr>
            <w:tcW w:w="2769" w:type="dxa"/>
            <w:tcBorders>
              <w:top w:val="nil"/>
              <w:left w:val="nil"/>
              <w:bottom w:val="single" w:sz="4" w:space="0" w:color="auto"/>
              <w:right w:val="single" w:sz="4" w:space="0" w:color="auto"/>
            </w:tcBorders>
            <w:shd w:val="clear" w:color="auto" w:fill="auto"/>
          </w:tcPr>
          <w:p w14:paraId="5A1978AE"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必填项，必须3选1。</w:t>
            </w:r>
            <w:r>
              <w:rPr>
                <w:rFonts w:ascii="黑体" w:eastAsia="黑体" w:hAnsi="黑体" w:cs="宋体" w:hint="eastAsia"/>
                <w:color w:val="000000"/>
                <w:kern w:val="0"/>
                <w:sz w:val="20"/>
                <w:szCs w:val="20"/>
              </w:rPr>
              <w:br/>
              <w:t>0-外币现金（硬币与纸币）；</w:t>
            </w:r>
            <w:r>
              <w:rPr>
                <w:rFonts w:ascii="黑体" w:eastAsia="黑体" w:hAnsi="黑体" w:cs="宋体" w:hint="eastAsia"/>
                <w:color w:val="000000"/>
                <w:kern w:val="0"/>
                <w:sz w:val="20"/>
                <w:szCs w:val="20"/>
              </w:rPr>
              <w:br/>
              <w:t>1-存款；</w:t>
            </w:r>
            <w:r>
              <w:rPr>
                <w:rFonts w:ascii="黑体" w:eastAsia="黑体" w:hAnsi="黑体" w:cs="宋体" w:hint="eastAsia"/>
                <w:color w:val="000000"/>
                <w:kern w:val="0"/>
                <w:sz w:val="20"/>
                <w:szCs w:val="20"/>
              </w:rPr>
              <w:br/>
              <w:t>2-账户金。</w:t>
            </w:r>
            <w:r>
              <w:rPr>
                <w:rFonts w:ascii="黑体" w:eastAsia="黑体" w:hAnsi="黑体" w:cs="宋体" w:hint="eastAsia"/>
                <w:color w:val="000000"/>
                <w:kern w:val="0"/>
                <w:sz w:val="20"/>
                <w:szCs w:val="20"/>
              </w:rPr>
              <w:br/>
              <w:t>当D0101业务类别=0时，则D0103=2（中央银行），D0104=4,D0105=1。</w:t>
            </w:r>
          </w:p>
        </w:tc>
        <w:tc>
          <w:tcPr>
            <w:tcW w:w="2769" w:type="dxa"/>
            <w:tcBorders>
              <w:top w:val="nil"/>
              <w:left w:val="nil"/>
              <w:bottom w:val="single" w:sz="4" w:space="0" w:color="auto"/>
              <w:right w:val="single" w:sz="4" w:space="0" w:color="auto"/>
            </w:tcBorders>
            <w:shd w:val="clear" w:color="auto" w:fill="auto"/>
          </w:tcPr>
          <w:p w14:paraId="1E377FE2"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必填项，必须5选1。</w:t>
            </w:r>
            <w:r>
              <w:rPr>
                <w:rFonts w:ascii="黑体" w:eastAsia="黑体" w:hAnsi="黑体" w:cs="宋体" w:hint="eastAsia"/>
                <w:color w:val="000000"/>
                <w:kern w:val="0"/>
                <w:sz w:val="20"/>
                <w:szCs w:val="20"/>
              </w:rPr>
              <w:br/>
              <w:t>0-外币现金（硬币与纸币）；</w:t>
            </w:r>
            <w:r>
              <w:rPr>
                <w:rFonts w:ascii="黑体" w:eastAsia="黑体" w:hAnsi="黑体" w:cs="宋体" w:hint="eastAsia"/>
                <w:color w:val="000000"/>
                <w:kern w:val="0"/>
                <w:sz w:val="20"/>
                <w:szCs w:val="20"/>
              </w:rPr>
              <w:br/>
              <w:t>1-存款（存放境外同业）；</w:t>
            </w:r>
            <w:r>
              <w:rPr>
                <w:rFonts w:ascii="黑体" w:eastAsia="黑体" w:hAnsi="黑体" w:cs="宋体" w:hint="eastAsia"/>
                <w:color w:val="000000"/>
                <w:kern w:val="0"/>
                <w:sz w:val="20"/>
                <w:szCs w:val="20"/>
              </w:rPr>
              <w:br/>
              <w:t>2-账户金（或存放境外的其他贵金属）；</w:t>
            </w:r>
            <w:r>
              <w:rPr>
                <w:rFonts w:ascii="黑体" w:eastAsia="黑体" w:hAnsi="黑体" w:cs="宋体" w:hint="eastAsia"/>
                <w:color w:val="000000"/>
                <w:kern w:val="0"/>
                <w:sz w:val="20"/>
                <w:szCs w:val="20"/>
              </w:rPr>
              <w:br/>
              <w:t>3-存款（联行往来）；</w:t>
            </w:r>
            <w:r>
              <w:rPr>
                <w:rFonts w:ascii="黑体" w:eastAsia="黑体" w:hAnsi="黑体" w:cs="宋体" w:hint="eastAsia"/>
                <w:color w:val="000000"/>
                <w:kern w:val="0"/>
                <w:sz w:val="20"/>
                <w:szCs w:val="20"/>
              </w:rPr>
              <w:br/>
              <w:t>4-其他存款。</w:t>
            </w:r>
            <w:r>
              <w:rPr>
                <w:rFonts w:ascii="黑体" w:eastAsia="黑体" w:hAnsi="黑体" w:cs="宋体" w:hint="eastAsia"/>
                <w:color w:val="000000"/>
                <w:kern w:val="0"/>
                <w:sz w:val="20"/>
                <w:szCs w:val="20"/>
              </w:rPr>
              <w:br/>
              <w:t>当D0101业务类别=0时，则D0103=2（中央银行），D0104=4,D0105=1。</w:t>
            </w:r>
          </w:p>
        </w:tc>
      </w:tr>
      <w:tr w:rsidR="00A052DC" w14:paraId="0A82CBDC" w14:textId="77777777">
        <w:trPr>
          <w:trHeight w:val="20"/>
          <w:jc w:val="center"/>
        </w:trPr>
        <w:tc>
          <w:tcPr>
            <w:tcW w:w="2027" w:type="dxa"/>
            <w:tcBorders>
              <w:top w:val="nil"/>
              <w:left w:val="single" w:sz="4" w:space="0" w:color="auto"/>
              <w:bottom w:val="single" w:sz="4" w:space="0" w:color="auto"/>
              <w:right w:val="single" w:sz="4" w:space="0" w:color="auto"/>
            </w:tcBorders>
            <w:shd w:val="clear" w:color="auto" w:fill="auto"/>
          </w:tcPr>
          <w:p w14:paraId="595F12A0"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E01 货物、服务、薪资及债务减免等其他各类往来</w:t>
            </w:r>
          </w:p>
        </w:tc>
        <w:tc>
          <w:tcPr>
            <w:tcW w:w="957" w:type="dxa"/>
            <w:tcBorders>
              <w:top w:val="nil"/>
              <w:left w:val="nil"/>
              <w:bottom w:val="single" w:sz="4" w:space="0" w:color="auto"/>
              <w:right w:val="single" w:sz="4" w:space="0" w:color="auto"/>
            </w:tcBorders>
            <w:shd w:val="clear" w:color="auto" w:fill="auto"/>
          </w:tcPr>
          <w:p w14:paraId="2F5A5EDD"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E0101 交易代码</w:t>
            </w:r>
          </w:p>
        </w:tc>
        <w:tc>
          <w:tcPr>
            <w:tcW w:w="2769" w:type="dxa"/>
            <w:tcBorders>
              <w:top w:val="nil"/>
              <w:left w:val="nil"/>
              <w:bottom w:val="single" w:sz="4" w:space="0" w:color="auto"/>
              <w:right w:val="single" w:sz="4" w:space="0" w:color="auto"/>
            </w:tcBorders>
            <w:shd w:val="clear" w:color="auto" w:fill="auto"/>
          </w:tcPr>
          <w:p w14:paraId="38F61CDA"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必填项，参照货物、服务、薪资及债务减免等其他各类往来代码表进行归类，并填写对应的6位代码。</w:t>
            </w:r>
          </w:p>
        </w:tc>
        <w:tc>
          <w:tcPr>
            <w:tcW w:w="2769" w:type="dxa"/>
            <w:tcBorders>
              <w:top w:val="nil"/>
              <w:left w:val="nil"/>
              <w:bottom w:val="single" w:sz="4" w:space="0" w:color="auto"/>
              <w:right w:val="single" w:sz="4" w:space="0" w:color="auto"/>
            </w:tcBorders>
            <w:shd w:val="clear" w:color="auto" w:fill="auto"/>
          </w:tcPr>
          <w:p w14:paraId="54BDA57F"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必填项，参照货物、服务、薪资及债务减免等其他各类往来代码表进行归类，并填写对应的6位代码。其中，运输服务“222000”收入，旅行项下“223010”和“223020”收入、支出，以及境外建设“224010”收入、支出金额填报0。</w:t>
            </w:r>
          </w:p>
        </w:tc>
      </w:tr>
      <w:tr w:rsidR="00A052DC" w14:paraId="2D620A57" w14:textId="77777777">
        <w:trPr>
          <w:trHeight w:val="20"/>
          <w:jc w:val="center"/>
        </w:trPr>
        <w:tc>
          <w:tcPr>
            <w:tcW w:w="2027" w:type="dxa"/>
            <w:tcBorders>
              <w:top w:val="nil"/>
              <w:left w:val="single" w:sz="4" w:space="0" w:color="auto"/>
              <w:bottom w:val="single" w:sz="4" w:space="0" w:color="auto"/>
              <w:right w:val="single" w:sz="4" w:space="0" w:color="auto"/>
            </w:tcBorders>
            <w:shd w:val="clear" w:color="auto" w:fill="auto"/>
          </w:tcPr>
          <w:p w14:paraId="56D37EC7" w14:textId="77777777" w:rsidR="00A052DC" w:rsidRDefault="009F0A60">
            <w:pPr>
              <w:pStyle w:val="B"/>
              <w:jc w:val="left"/>
            </w:pPr>
            <w:r>
              <w:rPr>
                <w:rFonts w:hint="eastAsia"/>
              </w:rPr>
              <w:t>E01 货物、服务、薪资及债务减免等其他各类往来</w:t>
            </w:r>
          </w:p>
        </w:tc>
        <w:tc>
          <w:tcPr>
            <w:tcW w:w="957" w:type="dxa"/>
            <w:tcBorders>
              <w:top w:val="nil"/>
              <w:left w:val="nil"/>
              <w:bottom w:val="single" w:sz="4" w:space="0" w:color="auto"/>
              <w:right w:val="single" w:sz="4" w:space="0" w:color="auto"/>
            </w:tcBorders>
            <w:shd w:val="clear" w:color="auto" w:fill="auto"/>
          </w:tcPr>
          <w:p w14:paraId="0AB3798E" w14:textId="77777777" w:rsidR="00A052DC" w:rsidRDefault="009F0A60">
            <w:pPr>
              <w:pStyle w:val="B"/>
              <w:jc w:val="left"/>
            </w:pPr>
            <w:r>
              <w:rPr>
                <w:rFonts w:hint="eastAsia"/>
              </w:rPr>
              <w:t>E0103收入金额</w:t>
            </w:r>
          </w:p>
        </w:tc>
        <w:tc>
          <w:tcPr>
            <w:tcW w:w="2769" w:type="dxa"/>
            <w:tcBorders>
              <w:top w:val="nil"/>
              <w:left w:val="nil"/>
              <w:bottom w:val="single" w:sz="4" w:space="0" w:color="auto"/>
              <w:right w:val="single" w:sz="4" w:space="0" w:color="auto"/>
            </w:tcBorders>
            <w:shd w:val="clear" w:color="auto" w:fill="auto"/>
          </w:tcPr>
          <w:p w14:paraId="224AE739" w14:textId="77777777" w:rsidR="00A052DC" w:rsidRDefault="009F0A60">
            <w:pPr>
              <w:pStyle w:val="B"/>
              <w:jc w:val="left"/>
            </w:pPr>
            <w:r>
              <w:rPr>
                <w:rFonts w:hint="eastAsia"/>
              </w:rPr>
              <w:t>数值型，22.2</w:t>
            </w:r>
          </w:p>
        </w:tc>
        <w:tc>
          <w:tcPr>
            <w:tcW w:w="2769" w:type="dxa"/>
            <w:tcBorders>
              <w:top w:val="nil"/>
              <w:left w:val="nil"/>
              <w:bottom w:val="single" w:sz="4" w:space="0" w:color="auto"/>
              <w:right w:val="single" w:sz="4" w:space="0" w:color="auto"/>
            </w:tcBorders>
            <w:shd w:val="clear" w:color="auto" w:fill="auto"/>
          </w:tcPr>
          <w:p w14:paraId="2E9536BF" w14:textId="77777777" w:rsidR="00A052DC" w:rsidRDefault="009F0A60">
            <w:pPr>
              <w:pStyle w:val="B"/>
              <w:jc w:val="left"/>
            </w:pPr>
            <w:r>
              <w:rPr>
                <w:rFonts w:hint="eastAsia"/>
              </w:rPr>
              <w:t>必填项。当交易代码为运输服务“222000”， 旅行“223010”和“223020” ，境外建设 “224010”时，必须为0。</w:t>
            </w:r>
          </w:p>
        </w:tc>
      </w:tr>
      <w:tr w:rsidR="00A052DC" w14:paraId="48F119CB" w14:textId="77777777">
        <w:trPr>
          <w:trHeight w:val="20"/>
          <w:jc w:val="center"/>
        </w:trPr>
        <w:tc>
          <w:tcPr>
            <w:tcW w:w="2027" w:type="dxa"/>
            <w:tcBorders>
              <w:top w:val="nil"/>
              <w:left w:val="single" w:sz="4" w:space="0" w:color="auto"/>
              <w:bottom w:val="single" w:sz="4" w:space="0" w:color="auto"/>
              <w:right w:val="single" w:sz="4" w:space="0" w:color="auto"/>
            </w:tcBorders>
            <w:shd w:val="clear" w:color="auto" w:fill="auto"/>
          </w:tcPr>
          <w:p w14:paraId="253373FD" w14:textId="77777777" w:rsidR="00A052DC" w:rsidRDefault="009F0A60">
            <w:pPr>
              <w:pStyle w:val="B"/>
              <w:jc w:val="left"/>
            </w:pPr>
            <w:r>
              <w:rPr>
                <w:rFonts w:hint="eastAsia"/>
              </w:rPr>
              <w:t>E01 货物、服务、薪资及债务减免等其他各类往来</w:t>
            </w:r>
          </w:p>
        </w:tc>
        <w:tc>
          <w:tcPr>
            <w:tcW w:w="957" w:type="dxa"/>
            <w:tcBorders>
              <w:top w:val="nil"/>
              <w:left w:val="nil"/>
              <w:bottom w:val="single" w:sz="4" w:space="0" w:color="auto"/>
              <w:right w:val="single" w:sz="4" w:space="0" w:color="auto"/>
            </w:tcBorders>
            <w:shd w:val="clear" w:color="auto" w:fill="auto"/>
          </w:tcPr>
          <w:p w14:paraId="41F57638" w14:textId="77777777" w:rsidR="00A052DC" w:rsidRDefault="009F0A60">
            <w:pPr>
              <w:pStyle w:val="B"/>
              <w:jc w:val="left"/>
            </w:pPr>
            <w:r>
              <w:rPr>
                <w:rFonts w:hint="eastAsia"/>
              </w:rPr>
              <w:t>E0104支出金额</w:t>
            </w:r>
          </w:p>
        </w:tc>
        <w:tc>
          <w:tcPr>
            <w:tcW w:w="2769" w:type="dxa"/>
            <w:tcBorders>
              <w:top w:val="nil"/>
              <w:left w:val="nil"/>
              <w:bottom w:val="single" w:sz="4" w:space="0" w:color="auto"/>
              <w:right w:val="single" w:sz="4" w:space="0" w:color="auto"/>
            </w:tcBorders>
            <w:shd w:val="clear" w:color="auto" w:fill="auto"/>
          </w:tcPr>
          <w:p w14:paraId="00C51CDC" w14:textId="77777777" w:rsidR="00A052DC" w:rsidRDefault="009F0A60">
            <w:pPr>
              <w:pStyle w:val="B"/>
              <w:jc w:val="left"/>
            </w:pPr>
            <w:r>
              <w:rPr>
                <w:rFonts w:hint="eastAsia"/>
              </w:rPr>
              <w:t>数值型，22.2</w:t>
            </w:r>
          </w:p>
        </w:tc>
        <w:tc>
          <w:tcPr>
            <w:tcW w:w="2769" w:type="dxa"/>
            <w:tcBorders>
              <w:top w:val="nil"/>
              <w:left w:val="nil"/>
              <w:bottom w:val="single" w:sz="4" w:space="0" w:color="auto"/>
              <w:right w:val="single" w:sz="4" w:space="0" w:color="auto"/>
            </w:tcBorders>
            <w:shd w:val="clear" w:color="auto" w:fill="auto"/>
          </w:tcPr>
          <w:p w14:paraId="24F0E796" w14:textId="77777777" w:rsidR="00A052DC" w:rsidRDefault="009F0A60">
            <w:pPr>
              <w:pStyle w:val="B"/>
              <w:jc w:val="left"/>
            </w:pPr>
            <w:r>
              <w:rPr>
                <w:rFonts w:hint="eastAsia"/>
              </w:rPr>
              <w:t>必填项。当交易代码为旅行“223010”和“223020”，境外建设“224010”时，必须为0。</w:t>
            </w:r>
          </w:p>
        </w:tc>
      </w:tr>
      <w:tr w:rsidR="00A052DC" w14:paraId="3AF25DD0" w14:textId="77777777">
        <w:trPr>
          <w:trHeight w:val="20"/>
          <w:jc w:val="center"/>
        </w:trPr>
        <w:tc>
          <w:tcPr>
            <w:tcW w:w="2027" w:type="dxa"/>
            <w:tcBorders>
              <w:top w:val="nil"/>
              <w:left w:val="single" w:sz="4" w:space="0" w:color="auto"/>
              <w:bottom w:val="single" w:sz="4" w:space="0" w:color="auto"/>
              <w:right w:val="single" w:sz="4" w:space="0" w:color="auto"/>
            </w:tcBorders>
            <w:shd w:val="clear" w:color="auto" w:fill="auto"/>
          </w:tcPr>
          <w:p w14:paraId="64775DD8"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G01 境内银行卡境外消费提现</w:t>
            </w:r>
          </w:p>
        </w:tc>
        <w:tc>
          <w:tcPr>
            <w:tcW w:w="957" w:type="dxa"/>
            <w:tcBorders>
              <w:top w:val="nil"/>
              <w:left w:val="nil"/>
              <w:bottom w:val="single" w:sz="4" w:space="0" w:color="auto"/>
              <w:right w:val="single" w:sz="4" w:space="0" w:color="auto"/>
            </w:tcBorders>
            <w:shd w:val="clear" w:color="auto" w:fill="auto"/>
          </w:tcPr>
          <w:p w14:paraId="52580893"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G0101CODE 发卡机构代码</w:t>
            </w:r>
          </w:p>
        </w:tc>
        <w:tc>
          <w:tcPr>
            <w:tcW w:w="2769" w:type="dxa"/>
            <w:tcBorders>
              <w:top w:val="nil"/>
              <w:left w:val="nil"/>
              <w:bottom w:val="single" w:sz="4" w:space="0" w:color="auto"/>
              <w:right w:val="single" w:sz="4" w:space="0" w:color="auto"/>
            </w:tcBorders>
            <w:shd w:val="clear" w:color="auto" w:fill="auto"/>
          </w:tcPr>
          <w:p w14:paraId="164DD8D4"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非必填项，仅银联填报。</w:t>
            </w:r>
          </w:p>
        </w:tc>
        <w:tc>
          <w:tcPr>
            <w:tcW w:w="2769" w:type="dxa"/>
            <w:tcBorders>
              <w:top w:val="nil"/>
              <w:left w:val="nil"/>
              <w:bottom w:val="single" w:sz="4" w:space="0" w:color="auto"/>
              <w:right w:val="single" w:sz="4" w:space="0" w:color="auto"/>
            </w:tcBorders>
            <w:shd w:val="clear" w:color="auto" w:fill="auto"/>
          </w:tcPr>
          <w:p w14:paraId="4384064C"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非必填项，仅银联和连通公司填报。</w:t>
            </w:r>
          </w:p>
        </w:tc>
      </w:tr>
      <w:tr w:rsidR="00A052DC" w14:paraId="276EBB8A" w14:textId="77777777">
        <w:trPr>
          <w:trHeight w:val="20"/>
          <w:jc w:val="center"/>
        </w:trPr>
        <w:tc>
          <w:tcPr>
            <w:tcW w:w="2027" w:type="dxa"/>
            <w:tcBorders>
              <w:top w:val="nil"/>
              <w:left w:val="single" w:sz="4" w:space="0" w:color="auto"/>
              <w:bottom w:val="single" w:sz="4" w:space="0" w:color="auto"/>
              <w:right w:val="single" w:sz="4" w:space="0" w:color="auto"/>
            </w:tcBorders>
            <w:shd w:val="clear" w:color="auto" w:fill="auto"/>
          </w:tcPr>
          <w:p w14:paraId="7F05C3FC"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G01 境内银行卡境外消费提现</w:t>
            </w:r>
          </w:p>
        </w:tc>
        <w:tc>
          <w:tcPr>
            <w:tcW w:w="957" w:type="dxa"/>
            <w:tcBorders>
              <w:top w:val="nil"/>
              <w:left w:val="nil"/>
              <w:bottom w:val="single" w:sz="4" w:space="0" w:color="auto"/>
              <w:right w:val="single" w:sz="4" w:space="0" w:color="auto"/>
            </w:tcBorders>
            <w:shd w:val="clear" w:color="auto" w:fill="auto"/>
          </w:tcPr>
          <w:p w14:paraId="1B3C8912"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G0101 发卡机构名称</w:t>
            </w:r>
          </w:p>
        </w:tc>
        <w:tc>
          <w:tcPr>
            <w:tcW w:w="2769" w:type="dxa"/>
            <w:tcBorders>
              <w:top w:val="nil"/>
              <w:left w:val="nil"/>
              <w:bottom w:val="single" w:sz="4" w:space="0" w:color="auto"/>
              <w:right w:val="single" w:sz="4" w:space="0" w:color="auto"/>
            </w:tcBorders>
            <w:shd w:val="clear" w:color="auto" w:fill="auto"/>
          </w:tcPr>
          <w:p w14:paraId="7C632804"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非必填项，仅银联填报。</w:t>
            </w:r>
          </w:p>
        </w:tc>
        <w:tc>
          <w:tcPr>
            <w:tcW w:w="2769" w:type="dxa"/>
            <w:tcBorders>
              <w:top w:val="nil"/>
              <w:left w:val="nil"/>
              <w:bottom w:val="single" w:sz="4" w:space="0" w:color="auto"/>
              <w:right w:val="single" w:sz="4" w:space="0" w:color="auto"/>
            </w:tcBorders>
            <w:shd w:val="clear" w:color="auto" w:fill="auto"/>
          </w:tcPr>
          <w:p w14:paraId="03030F4D"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非必填项，仅银联和连通公司填报。</w:t>
            </w:r>
          </w:p>
        </w:tc>
      </w:tr>
      <w:tr w:rsidR="00A052DC" w14:paraId="19369FE0" w14:textId="77777777">
        <w:trPr>
          <w:trHeight w:val="20"/>
          <w:jc w:val="center"/>
        </w:trPr>
        <w:tc>
          <w:tcPr>
            <w:tcW w:w="2027" w:type="dxa"/>
            <w:tcBorders>
              <w:top w:val="nil"/>
              <w:left w:val="single" w:sz="4" w:space="0" w:color="auto"/>
              <w:bottom w:val="single" w:sz="4" w:space="0" w:color="auto"/>
              <w:right w:val="single" w:sz="4" w:space="0" w:color="auto"/>
            </w:tcBorders>
            <w:shd w:val="clear" w:color="auto" w:fill="auto"/>
          </w:tcPr>
          <w:p w14:paraId="5E1D6A4F"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H01 非居民托管业务统计（QFII/RQFII等）</w:t>
            </w:r>
          </w:p>
        </w:tc>
        <w:tc>
          <w:tcPr>
            <w:tcW w:w="957" w:type="dxa"/>
            <w:tcBorders>
              <w:top w:val="nil"/>
              <w:left w:val="nil"/>
              <w:bottom w:val="single" w:sz="4" w:space="0" w:color="auto"/>
              <w:right w:val="single" w:sz="4" w:space="0" w:color="auto"/>
            </w:tcBorders>
            <w:shd w:val="clear" w:color="auto" w:fill="auto"/>
          </w:tcPr>
          <w:p w14:paraId="29844CFD"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H0101CODE 非居民委托人代码</w:t>
            </w:r>
          </w:p>
        </w:tc>
        <w:tc>
          <w:tcPr>
            <w:tcW w:w="2769" w:type="dxa"/>
            <w:tcBorders>
              <w:top w:val="nil"/>
              <w:left w:val="nil"/>
              <w:bottom w:val="single" w:sz="4" w:space="0" w:color="auto"/>
              <w:right w:val="single" w:sz="4" w:space="0" w:color="auto"/>
            </w:tcBorders>
            <w:shd w:val="clear" w:color="auto" w:fill="auto"/>
          </w:tcPr>
          <w:p w14:paraId="538A5C27"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必填项，必须为9位的特殊机构代码。</w:t>
            </w:r>
          </w:p>
        </w:tc>
        <w:tc>
          <w:tcPr>
            <w:tcW w:w="2769" w:type="dxa"/>
            <w:tcBorders>
              <w:top w:val="nil"/>
              <w:left w:val="nil"/>
              <w:bottom w:val="single" w:sz="4" w:space="0" w:color="auto"/>
              <w:right w:val="single" w:sz="4" w:space="0" w:color="auto"/>
            </w:tcBorders>
            <w:shd w:val="clear" w:color="auto" w:fill="auto"/>
          </w:tcPr>
          <w:p w14:paraId="7DFE20A0"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非必填项。如H0105CODE=1或2，则必须为9位的特殊机构代码。如H0105CODE≠1或2，则此字段为空。</w:t>
            </w:r>
          </w:p>
        </w:tc>
      </w:tr>
      <w:tr w:rsidR="00A052DC" w14:paraId="1419F723" w14:textId="77777777">
        <w:trPr>
          <w:trHeight w:val="20"/>
          <w:jc w:val="center"/>
        </w:trPr>
        <w:tc>
          <w:tcPr>
            <w:tcW w:w="2027" w:type="dxa"/>
            <w:tcBorders>
              <w:top w:val="nil"/>
              <w:left w:val="single" w:sz="4" w:space="0" w:color="auto"/>
              <w:bottom w:val="single" w:sz="4" w:space="0" w:color="auto"/>
              <w:right w:val="single" w:sz="4" w:space="0" w:color="auto"/>
            </w:tcBorders>
            <w:shd w:val="clear" w:color="auto" w:fill="auto"/>
          </w:tcPr>
          <w:p w14:paraId="5FA010B1"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H01 非居民托管业务统计（QFII/RQFII等）</w:t>
            </w:r>
          </w:p>
        </w:tc>
        <w:tc>
          <w:tcPr>
            <w:tcW w:w="957" w:type="dxa"/>
            <w:tcBorders>
              <w:top w:val="nil"/>
              <w:left w:val="nil"/>
              <w:bottom w:val="single" w:sz="4" w:space="0" w:color="auto"/>
              <w:right w:val="single" w:sz="4" w:space="0" w:color="auto"/>
            </w:tcBorders>
            <w:shd w:val="clear" w:color="auto" w:fill="auto"/>
          </w:tcPr>
          <w:p w14:paraId="1AAD389C"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H0105 投资工具类型</w:t>
            </w:r>
          </w:p>
        </w:tc>
        <w:tc>
          <w:tcPr>
            <w:tcW w:w="2769" w:type="dxa"/>
            <w:tcBorders>
              <w:top w:val="nil"/>
              <w:left w:val="nil"/>
              <w:bottom w:val="single" w:sz="4" w:space="0" w:color="auto"/>
              <w:right w:val="single" w:sz="4" w:space="0" w:color="auto"/>
            </w:tcBorders>
            <w:shd w:val="clear" w:color="auto" w:fill="auto"/>
          </w:tcPr>
          <w:p w14:paraId="02617824"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必填项，见</w:t>
            </w:r>
          </w:p>
          <w:p w14:paraId="704AAAC8"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QFII/RQFII/QDII/RQDII/QDLP/QDIE投资工具类型代码表。</w:t>
            </w:r>
          </w:p>
        </w:tc>
        <w:tc>
          <w:tcPr>
            <w:tcW w:w="2769" w:type="dxa"/>
            <w:tcBorders>
              <w:top w:val="nil"/>
              <w:left w:val="nil"/>
              <w:bottom w:val="single" w:sz="4" w:space="0" w:color="auto"/>
              <w:right w:val="single" w:sz="4" w:space="0" w:color="auto"/>
            </w:tcBorders>
            <w:shd w:val="clear" w:color="auto" w:fill="auto"/>
          </w:tcPr>
          <w:p w14:paraId="7B86B337"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必填项，见</w:t>
            </w:r>
          </w:p>
          <w:p w14:paraId="79963FC9"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QFII/RQFII/QDII/RQDII/QDLP/QDIE投资工具类型代码表。若 H0105CODE=3，H0105必须=24。</w:t>
            </w:r>
          </w:p>
        </w:tc>
      </w:tr>
      <w:tr w:rsidR="00A052DC" w14:paraId="3A5208FE" w14:textId="77777777">
        <w:trPr>
          <w:trHeight w:val="20"/>
          <w:jc w:val="center"/>
        </w:trPr>
        <w:tc>
          <w:tcPr>
            <w:tcW w:w="2027" w:type="dxa"/>
            <w:tcBorders>
              <w:top w:val="nil"/>
              <w:left w:val="single" w:sz="4" w:space="0" w:color="auto"/>
              <w:bottom w:val="single" w:sz="4" w:space="0" w:color="auto"/>
              <w:right w:val="single" w:sz="4" w:space="0" w:color="auto"/>
            </w:tcBorders>
            <w:shd w:val="clear" w:color="auto" w:fill="auto"/>
          </w:tcPr>
          <w:p w14:paraId="432AA998"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H01 非居民托管业务统计（QFII/RQFII等）</w:t>
            </w:r>
          </w:p>
        </w:tc>
        <w:tc>
          <w:tcPr>
            <w:tcW w:w="957" w:type="dxa"/>
            <w:tcBorders>
              <w:top w:val="nil"/>
              <w:left w:val="nil"/>
              <w:bottom w:val="single" w:sz="4" w:space="0" w:color="auto"/>
              <w:right w:val="single" w:sz="4" w:space="0" w:color="auto"/>
            </w:tcBorders>
            <w:shd w:val="clear" w:color="auto" w:fill="auto"/>
          </w:tcPr>
          <w:p w14:paraId="56B908AE"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H0105CODE 业务类型</w:t>
            </w:r>
          </w:p>
        </w:tc>
        <w:tc>
          <w:tcPr>
            <w:tcW w:w="2769" w:type="dxa"/>
            <w:tcBorders>
              <w:top w:val="nil"/>
              <w:left w:val="nil"/>
              <w:bottom w:val="single" w:sz="4" w:space="0" w:color="auto"/>
              <w:right w:val="single" w:sz="4" w:space="0" w:color="auto"/>
            </w:tcBorders>
            <w:shd w:val="clear" w:color="auto" w:fill="auto"/>
          </w:tcPr>
          <w:p w14:paraId="138EDA99"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必填项,包括：</w:t>
            </w:r>
            <w:r>
              <w:rPr>
                <w:rFonts w:ascii="黑体" w:eastAsia="黑体" w:hAnsi="黑体" w:cs="宋体" w:hint="eastAsia"/>
                <w:color w:val="000000"/>
                <w:kern w:val="0"/>
                <w:sz w:val="20"/>
                <w:szCs w:val="20"/>
              </w:rPr>
              <w:br/>
              <w:t>1-QFII；</w:t>
            </w:r>
            <w:r>
              <w:rPr>
                <w:rFonts w:ascii="黑体" w:eastAsia="黑体" w:hAnsi="黑体" w:cs="宋体" w:hint="eastAsia"/>
                <w:color w:val="000000"/>
                <w:kern w:val="0"/>
                <w:sz w:val="20"/>
                <w:szCs w:val="20"/>
              </w:rPr>
              <w:br/>
              <w:t>2-RQFII；</w:t>
            </w:r>
            <w:r>
              <w:rPr>
                <w:rFonts w:ascii="黑体" w:eastAsia="黑体" w:hAnsi="黑体" w:cs="宋体" w:hint="eastAsia"/>
                <w:color w:val="000000"/>
                <w:kern w:val="0"/>
                <w:sz w:val="20"/>
                <w:szCs w:val="20"/>
              </w:rPr>
              <w:br/>
              <w:t>9-其他。</w:t>
            </w:r>
          </w:p>
        </w:tc>
        <w:tc>
          <w:tcPr>
            <w:tcW w:w="2769" w:type="dxa"/>
            <w:tcBorders>
              <w:top w:val="nil"/>
              <w:left w:val="nil"/>
              <w:bottom w:val="single" w:sz="4" w:space="0" w:color="auto"/>
              <w:right w:val="single" w:sz="4" w:space="0" w:color="auto"/>
            </w:tcBorders>
            <w:shd w:val="clear" w:color="auto" w:fill="auto"/>
          </w:tcPr>
          <w:p w14:paraId="6A64DBD2"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必填项,包括：</w:t>
            </w:r>
            <w:r>
              <w:rPr>
                <w:rFonts w:ascii="黑体" w:eastAsia="黑体" w:hAnsi="黑体" w:cs="宋体" w:hint="eastAsia"/>
                <w:color w:val="000000"/>
                <w:kern w:val="0"/>
                <w:sz w:val="20"/>
                <w:szCs w:val="20"/>
              </w:rPr>
              <w:br/>
              <w:t>1-QFII；</w:t>
            </w:r>
            <w:r>
              <w:rPr>
                <w:rFonts w:ascii="黑体" w:eastAsia="黑体" w:hAnsi="黑体" w:cs="宋体" w:hint="eastAsia"/>
                <w:color w:val="000000"/>
                <w:kern w:val="0"/>
                <w:sz w:val="20"/>
                <w:szCs w:val="20"/>
              </w:rPr>
              <w:br/>
              <w:t>2-RQFII；</w:t>
            </w:r>
            <w:r>
              <w:rPr>
                <w:rFonts w:ascii="黑体" w:eastAsia="黑体" w:hAnsi="黑体" w:cs="宋体" w:hint="eastAsia"/>
                <w:color w:val="000000"/>
                <w:kern w:val="0"/>
                <w:sz w:val="20"/>
                <w:szCs w:val="20"/>
              </w:rPr>
              <w:br/>
              <w:t>3-沪伦通（西向）；</w:t>
            </w:r>
            <w:r>
              <w:rPr>
                <w:rFonts w:ascii="黑体" w:eastAsia="黑体" w:hAnsi="黑体" w:cs="宋体" w:hint="eastAsia"/>
                <w:color w:val="000000"/>
                <w:kern w:val="0"/>
                <w:sz w:val="20"/>
                <w:szCs w:val="20"/>
              </w:rPr>
              <w:br/>
              <w:t>4-跨境理财通；</w:t>
            </w:r>
            <w:r>
              <w:rPr>
                <w:rFonts w:ascii="黑体" w:eastAsia="黑体" w:hAnsi="黑体" w:cs="宋体" w:hint="eastAsia"/>
                <w:color w:val="000000"/>
                <w:kern w:val="0"/>
                <w:sz w:val="20"/>
                <w:szCs w:val="20"/>
              </w:rPr>
              <w:br/>
              <w:t>9-其他。</w:t>
            </w:r>
          </w:p>
        </w:tc>
      </w:tr>
      <w:tr w:rsidR="00A052DC" w14:paraId="44B510AC" w14:textId="77777777">
        <w:trPr>
          <w:trHeight w:val="20"/>
          <w:jc w:val="center"/>
        </w:trPr>
        <w:tc>
          <w:tcPr>
            <w:tcW w:w="2027" w:type="dxa"/>
            <w:tcBorders>
              <w:top w:val="nil"/>
              <w:left w:val="single" w:sz="4" w:space="0" w:color="auto"/>
              <w:bottom w:val="single" w:sz="4" w:space="0" w:color="auto"/>
              <w:right w:val="single" w:sz="4" w:space="0" w:color="auto"/>
            </w:tcBorders>
            <w:shd w:val="clear" w:color="auto" w:fill="auto"/>
          </w:tcPr>
          <w:p w14:paraId="782FBBDB"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H01 非居民托管业务统计（QFII/RQFII等）</w:t>
            </w:r>
          </w:p>
        </w:tc>
        <w:tc>
          <w:tcPr>
            <w:tcW w:w="957" w:type="dxa"/>
            <w:tcBorders>
              <w:top w:val="nil"/>
              <w:left w:val="nil"/>
              <w:bottom w:val="single" w:sz="4" w:space="0" w:color="auto"/>
              <w:right w:val="single" w:sz="4" w:space="0" w:color="auto"/>
            </w:tcBorders>
            <w:shd w:val="clear" w:color="auto" w:fill="auto"/>
          </w:tcPr>
          <w:p w14:paraId="5A46BA9E"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INVTYPE 投资品种类型</w:t>
            </w:r>
          </w:p>
        </w:tc>
        <w:tc>
          <w:tcPr>
            <w:tcW w:w="2769" w:type="dxa"/>
            <w:tcBorders>
              <w:top w:val="nil"/>
              <w:left w:val="nil"/>
              <w:bottom w:val="single" w:sz="4" w:space="0" w:color="auto"/>
              <w:right w:val="single" w:sz="4" w:space="0" w:color="auto"/>
            </w:tcBorders>
            <w:shd w:val="clear" w:color="auto" w:fill="auto"/>
          </w:tcPr>
          <w:p w14:paraId="66721530"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必填项，见QFII/RQFII投资品种类型代码表。</w:t>
            </w:r>
          </w:p>
        </w:tc>
        <w:tc>
          <w:tcPr>
            <w:tcW w:w="2769" w:type="dxa"/>
            <w:tcBorders>
              <w:top w:val="nil"/>
              <w:left w:val="nil"/>
              <w:bottom w:val="single" w:sz="4" w:space="0" w:color="auto"/>
              <w:right w:val="single" w:sz="4" w:space="0" w:color="auto"/>
            </w:tcBorders>
            <w:shd w:val="clear" w:color="auto" w:fill="auto"/>
          </w:tcPr>
          <w:p w14:paraId="41A3D1D1"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非必填项。如H0105CODE=1或2，则为必填项，见QFII/RQFII投资品种类型代码表。如H0105CODE≠1或2，则此字段为空。</w:t>
            </w:r>
          </w:p>
        </w:tc>
      </w:tr>
      <w:tr w:rsidR="00A052DC" w14:paraId="2A00F2E9" w14:textId="77777777">
        <w:trPr>
          <w:trHeight w:val="20"/>
          <w:jc w:val="center"/>
        </w:trPr>
        <w:tc>
          <w:tcPr>
            <w:tcW w:w="2027" w:type="dxa"/>
            <w:tcBorders>
              <w:top w:val="nil"/>
              <w:left w:val="single" w:sz="4" w:space="0" w:color="auto"/>
              <w:bottom w:val="single" w:sz="4" w:space="0" w:color="auto"/>
              <w:right w:val="single" w:sz="4" w:space="0" w:color="auto"/>
            </w:tcBorders>
            <w:shd w:val="clear" w:color="auto" w:fill="auto"/>
          </w:tcPr>
          <w:p w14:paraId="714D76D7"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H01 非居民托管业务统计（QFII/RQFII等）</w:t>
            </w:r>
          </w:p>
        </w:tc>
        <w:tc>
          <w:tcPr>
            <w:tcW w:w="957" w:type="dxa"/>
            <w:tcBorders>
              <w:top w:val="nil"/>
              <w:left w:val="nil"/>
              <w:bottom w:val="single" w:sz="4" w:space="0" w:color="auto"/>
              <w:right w:val="single" w:sz="4" w:space="0" w:color="auto"/>
            </w:tcBorders>
            <w:shd w:val="clear" w:color="auto" w:fill="auto"/>
          </w:tcPr>
          <w:p w14:paraId="43D50693" w14:textId="77777777" w:rsidR="00A052DC" w:rsidRDefault="009F0A60">
            <w:pPr>
              <w:pStyle w:val="B"/>
              <w:widowControl w:val="0"/>
              <w:rPr>
                <w:szCs w:val="20"/>
              </w:rPr>
            </w:pPr>
            <w:r>
              <w:rPr>
                <w:rFonts w:hint="eastAsia"/>
                <w:szCs w:val="20"/>
              </w:rPr>
              <w:t>H0108投资工具代码</w:t>
            </w:r>
          </w:p>
          <w:p w14:paraId="5E6A019A" w14:textId="77777777" w:rsidR="00A052DC" w:rsidRDefault="009F0A60">
            <w:pPr>
              <w:widowControl/>
              <w:rPr>
                <w:rFonts w:ascii="黑体" w:eastAsia="黑体" w:hAnsi="黑体" w:cs="宋体"/>
                <w:color w:val="000000"/>
                <w:kern w:val="0"/>
                <w:sz w:val="20"/>
                <w:szCs w:val="20"/>
              </w:rPr>
            </w:pPr>
            <w:r>
              <w:rPr>
                <w:rFonts w:ascii="黑体" w:eastAsia="黑体" w:hAnsi="黑体" w:hint="eastAsia"/>
                <w:sz w:val="20"/>
                <w:szCs w:val="20"/>
              </w:rPr>
              <w:t>（逐支报送使用）</w:t>
            </w:r>
          </w:p>
        </w:tc>
        <w:tc>
          <w:tcPr>
            <w:tcW w:w="2769" w:type="dxa"/>
            <w:tcBorders>
              <w:top w:val="nil"/>
              <w:left w:val="nil"/>
              <w:bottom w:val="single" w:sz="4" w:space="0" w:color="auto"/>
              <w:right w:val="single" w:sz="4" w:space="0" w:color="auto"/>
            </w:tcBorders>
            <w:shd w:val="clear" w:color="auto" w:fill="auto"/>
          </w:tcPr>
          <w:p w14:paraId="23CC66BC"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必填项。如H0105=11、12、13、14、15、16、20或21，并选择逐支报送，则填写实际代码；如选择汇总报送，则填写“N/A”。如H0105=17、18或19，则填写“N/A”。</w:t>
            </w:r>
          </w:p>
        </w:tc>
        <w:tc>
          <w:tcPr>
            <w:tcW w:w="2769" w:type="dxa"/>
            <w:tcBorders>
              <w:top w:val="nil"/>
              <w:left w:val="nil"/>
              <w:bottom w:val="single" w:sz="4" w:space="0" w:color="auto"/>
              <w:right w:val="single" w:sz="4" w:space="0" w:color="auto"/>
            </w:tcBorders>
            <w:shd w:val="clear" w:color="auto" w:fill="auto"/>
          </w:tcPr>
          <w:p w14:paraId="738E0273"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必填项。如H0105=11、12、13、14、15、16、20、21、22、23或24，并选择逐支报送，则填写实际代码；如选择汇总报送，则填写“N/A”。如H0105=17、18或19，则填写“N/A”。</w:t>
            </w:r>
          </w:p>
        </w:tc>
      </w:tr>
      <w:tr w:rsidR="00A052DC" w14:paraId="5716C629" w14:textId="77777777">
        <w:trPr>
          <w:trHeight w:val="20"/>
          <w:jc w:val="center"/>
        </w:trPr>
        <w:tc>
          <w:tcPr>
            <w:tcW w:w="2027" w:type="dxa"/>
            <w:tcBorders>
              <w:top w:val="nil"/>
              <w:left w:val="single" w:sz="4" w:space="0" w:color="auto"/>
              <w:bottom w:val="single" w:sz="4" w:space="0" w:color="auto"/>
              <w:right w:val="single" w:sz="4" w:space="0" w:color="auto"/>
            </w:tcBorders>
            <w:shd w:val="clear" w:color="auto" w:fill="auto"/>
          </w:tcPr>
          <w:p w14:paraId="01739550"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H01 非居民托管业务统计（QFII/RQFII等）</w:t>
            </w:r>
          </w:p>
        </w:tc>
        <w:tc>
          <w:tcPr>
            <w:tcW w:w="957" w:type="dxa"/>
            <w:tcBorders>
              <w:top w:val="nil"/>
              <w:left w:val="nil"/>
              <w:bottom w:val="single" w:sz="4" w:space="0" w:color="auto"/>
              <w:right w:val="single" w:sz="4" w:space="0" w:color="auto"/>
            </w:tcBorders>
            <w:shd w:val="clear" w:color="auto" w:fill="auto"/>
          </w:tcPr>
          <w:p w14:paraId="4A33C82C"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H0112 投资工具的原始期限</w:t>
            </w:r>
          </w:p>
        </w:tc>
        <w:tc>
          <w:tcPr>
            <w:tcW w:w="2769" w:type="dxa"/>
            <w:tcBorders>
              <w:top w:val="nil"/>
              <w:left w:val="nil"/>
              <w:bottom w:val="single" w:sz="4" w:space="0" w:color="auto"/>
              <w:right w:val="single" w:sz="4" w:space="0" w:color="auto"/>
            </w:tcBorders>
            <w:shd w:val="clear" w:color="auto" w:fill="auto"/>
          </w:tcPr>
          <w:p w14:paraId="3F931CF9"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非必填项。当H0105=11、12、13、14、15或20时，该项为空；当H0105=16、17、18、19、21、22或23时，该项必须2选1:</w:t>
            </w:r>
            <w:r>
              <w:rPr>
                <w:rFonts w:ascii="黑体" w:eastAsia="黑体" w:hAnsi="黑体" w:cs="宋体" w:hint="eastAsia"/>
                <w:color w:val="000000"/>
                <w:kern w:val="0"/>
                <w:sz w:val="20"/>
                <w:szCs w:val="20"/>
              </w:rPr>
              <w:br/>
              <w:t>1-一年及以下；</w:t>
            </w:r>
            <w:r>
              <w:rPr>
                <w:rFonts w:ascii="黑体" w:eastAsia="黑体" w:hAnsi="黑体" w:cs="宋体" w:hint="eastAsia"/>
                <w:color w:val="000000"/>
                <w:kern w:val="0"/>
                <w:sz w:val="20"/>
                <w:szCs w:val="20"/>
              </w:rPr>
              <w:br/>
              <w:t>2-一年以上。</w:t>
            </w:r>
          </w:p>
        </w:tc>
        <w:tc>
          <w:tcPr>
            <w:tcW w:w="2769" w:type="dxa"/>
            <w:tcBorders>
              <w:top w:val="nil"/>
              <w:left w:val="nil"/>
              <w:bottom w:val="single" w:sz="4" w:space="0" w:color="auto"/>
              <w:right w:val="single" w:sz="4" w:space="0" w:color="auto"/>
            </w:tcBorders>
            <w:shd w:val="clear" w:color="auto" w:fill="auto"/>
          </w:tcPr>
          <w:p w14:paraId="09CB4B5C"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非必填项。当H0105=11、12、13、14、15、20或24时，该项为空；当H0105=16、17、18、19、21、22或23时，该项必须2选1:</w:t>
            </w:r>
            <w:r>
              <w:rPr>
                <w:rFonts w:ascii="黑体" w:eastAsia="黑体" w:hAnsi="黑体" w:cs="宋体" w:hint="eastAsia"/>
                <w:color w:val="000000"/>
                <w:kern w:val="0"/>
                <w:sz w:val="20"/>
                <w:szCs w:val="20"/>
              </w:rPr>
              <w:br/>
              <w:t>1-一年及以下；</w:t>
            </w:r>
            <w:r>
              <w:rPr>
                <w:rFonts w:ascii="黑体" w:eastAsia="黑体" w:hAnsi="黑体" w:cs="宋体" w:hint="eastAsia"/>
                <w:color w:val="000000"/>
                <w:kern w:val="0"/>
                <w:sz w:val="20"/>
                <w:szCs w:val="20"/>
              </w:rPr>
              <w:br/>
              <w:t xml:space="preserve">2-一年以上。 </w:t>
            </w:r>
          </w:p>
        </w:tc>
      </w:tr>
      <w:tr w:rsidR="00A052DC" w14:paraId="0A729F1F" w14:textId="77777777">
        <w:trPr>
          <w:trHeight w:val="20"/>
          <w:jc w:val="center"/>
        </w:trPr>
        <w:tc>
          <w:tcPr>
            <w:tcW w:w="2027" w:type="dxa"/>
            <w:tcBorders>
              <w:top w:val="nil"/>
              <w:left w:val="single" w:sz="4" w:space="0" w:color="auto"/>
              <w:bottom w:val="single" w:sz="4" w:space="0" w:color="auto"/>
              <w:right w:val="single" w:sz="4" w:space="0" w:color="auto"/>
            </w:tcBorders>
            <w:shd w:val="clear" w:color="auto" w:fill="auto"/>
          </w:tcPr>
          <w:p w14:paraId="1FBD0683"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H02 为居民托管业务统计（QDII/RQDII/QDLP/QDIE等）</w:t>
            </w:r>
          </w:p>
        </w:tc>
        <w:tc>
          <w:tcPr>
            <w:tcW w:w="957" w:type="dxa"/>
            <w:tcBorders>
              <w:top w:val="nil"/>
              <w:left w:val="nil"/>
              <w:bottom w:val="single" w:sz="4" w:space="0" w:color="auto"/>
              <w:right w:val="single" w:sz="4" w:space="0" w:color="auto"/>
            </w:tcBorders>
            <w:shd w:val="clear" w:color="auto" w:fill="auto"/>
          </w:tcPr>
          <w:p w14:paraId="31AF8D7B"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H0204CODE 业务类型</w:t>
            </w:r>
          </w:p>
        </w:tc>
        <w:tc>
          <w:tcPr>
            <w:tcW w:w="2769" w:type="dxa"/>
            <w:tcBorders>
              <w:top w:val="nil"/>
              <w:left w:val="nil"/>
              <w:bottom w:val="single" w:sz="4" w:space="0" w:color="auto"/>
              <w:right w:val="single" w:sz="4" w:space="0" w:color="auto"/>
            </w:tcBorders>
            <w:shd w:val="clear" w:color="auto" w:fill="auto"/>
          </w:tcPr>
          <w:p w14:paraId="36D382DF"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必填项，包括：1-QDII；2-RQDII；</w:t>
            </w:r>
            <w:r>
              <w:rPr>
                <w:rFonts w:ascii="黑体" w:eastAsia="黑体" w:hAnsi="黑体" w:cs="宋体" w:hint="eastAsia"/>
                <w:color w:val="000000"/>
                <w:kern w:val="0"/>
                <w:sz w:val="20"/>
                <w:szCs w:val="20"/>
              </w:rPr>
              <w:br/>
              <w:t>3-QDLP；</w:t>
            </w:r>
            <w:r>
              <w:rPr>
                <w:rFonts w:ascii="黑体" w:eastAsia="黑体" w:hAnsi="黑体" w:cs="宋体" w:hint="eastAsia"/>
                <w:color w:val="000000"/>
                <w:kern w:val="0"/>
                <w:sz w:val="20"/>
                <w:szCs w:val="20"/>
              </w:rPr>
              <w:br/>
              <w:t>4-QDIE；9-其他。</w:t>
            </w:r>
          </w:p>
        </w:tc>
        <w:tc>
          <w:tcPr>
            <w:tcW w:w="2769" w:type="dxa"/>
            <w:tcBorders>
              <w:top w:val="nil"/>
              <w:left w:val="nil"/>
              <w:bottom w:val="single" w:sz="4" w:space="0" w:color="auto"/>
              <w:right w:val="single" w:sz="4" w:space="0" w:color="auto"/>
            </w:tcBorders>
            <w:shd w:val="clear" w:color="auto" w:fill="auto"/>
          </w:tcPr>
          <w:p w14:paraId="6B508105"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必填项，包括：1-QDII；2-RQDII；</w:t>
            </w:r>
            <w:r>
              <w:rPr>
                <w:rFonts w:ascii="黑体" w:eastAsia="黑体" w:hAnsi="黑体" w:cs="宋体" w:hint="eastAsia"/>
                <w:color w:val="000000"/>
                <w:kern w:val="0"/>
                <w:sz w:val="20"/>
                <w:szCs w:val="20"/>
              </w:rPr>
              <w:br/>
              <w:t>3-QDLP；</w:t>
            </w:r>
            <w:r>
              <w:rPr>
                <w:rFonts w:ascii="黑体" w:eastAsia="黑体" w:hAnsi="黑体" w:cs="宋体" w:hint="eastAsia"/>
                <w:color w:val="000000"/>
                <w:kern w:val="0"/>
                <w:sz w:val="20"/>
                <w:szCs w:val="20"/>
              </w:rPr>
              <w:br/>
              <w:t>4-QDIE；</w:t>
            </w:r>
            <w:r>
              <w:rPr>
                <w:rFonts w:ascii="黑体" w:eastAsia="黑体" w:hAnsi="黑体" w:cs="宋体" w:hint="eastAsia"/>
                <w:color w:val="000000"/>
                <w:kern w:val="0"/>
                <w:sz w:val="20"/>
                <w:szCs w:val="20"/>
              </w:rPr>
              <w:br/>
              <w:t>5-债券通（QDII/RQDII除外）；</w:t>
            </w:r>
            <w:r>
              <w:rPr>
                <w:rFonts w:ascii="黑体" w:eastAsia="黑体" w:hAnsi="黑体" w:cs="宋体" w:hint="eastAsia"/>
                <w:color w:val="000000"/>
                <w:kern w:val="0"/>
                <w:sz w:val="20"/>
                <w:szCs w:val="20"/>
              </w:rPr>
              <w:br/>
              <w:t>6-债券通（QDII/RQDII）；</w:t>
            </w:r>
            <w:r>
              <w:rPr>
                <w:rFonts w:ascii="黑体" w:eastAsia="黑体" w:hAnsi="黑体" w:cs="宋体" w:hint="eastAsia"/>
                <w:color w:val="000000"/>
                <w:kern w:val="0"/>
                <w:sz w:val="20"/>
                <w:szCs w:val="20"/>
              </w:rPr>
              <w:br/>
              <w:t>7-跨境理财通；</w:t>
            </w:r>
            <w:r>
              <w:rPr>
                <w:rFonts w:ascii="黑体" w:eastAsia="黑体" w:hAnsi="黑体" w:cs="宋体" w:hint="eastAsia"/>
                <w:color w:val="000000"/>
                <w:kern w:val="0"/>
                <w:sz w:val="20"/>
                <w:szCs w:val="20"/>
              </w:rPr>
              <w:br/>
              <w:t>9-其他。</w:t>
            </w:r>
          </w:p>
        </w:tc>
      </w:tr>
      <w:tr w:rsidR="00A052DC" w14:paraId="25000741" w14:textId="77777777">
        <w:trPr>
          <w:trHeight w:val="20"/>
          <w:jc w:val="center"/>
        </w:trPr>
        <w:tc>
          <w:tcPr>
            <w:tcW w:w="2027" w:type="dxa"/>
            <w:tcBorders>
              <w:top w:val="nil"/>
              <w:left w:val="single" w:sz="4" w:space="0" w:color="auto"/>
              <w:bottom w:val="single" w:sz="4" w:space="0" w:color="auto"/>
              <w:right w:val="single" w:sz="4" w:space="0" w:color="auto"/>
            </w:tcBorders>
            <w:shd w:val="clear" w:color="auto" w:fill="auto"/>
          </w:tcPr>
          <w:p w14:paraId="6A4F16F1"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H02 为居民托管业务统计（QDII/RQDII/QDLP/QDIE等）</w:t>
            </w:r>
          </w:p>
        </w:tc>
        <w:tc>
          <w:tcPr>
            <w:tcW w:w="957" w:type="dxa"/>
            <w:tcBorders>
              <w:top w:val="nil"/>
              <w:left w:val="nil"/>
              <w:bottom w:val="single" w:sz="4" w:space="0" w:color="auto"/>
              <w:right w:val="single" w:sz="4" w:space="0" w:color="auto"/>
            </w:tcBorders>
            <w:shd w:val="clear" w:color="auto" w:fill="auto"/>
          </w:tcPr>
          <w:p w14:paraId="772FFB9B"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H0207 投资工具代码（逐支报送使用）</w:t>
            </w:r>
          </w:p>
        </w:tc>
        <w:tc>
          <w:tcPr>
            <w:tcW w:w="2769" w:type="dxa"/>
            <w:tcBorders>
              <w:top w:val="nil"/>
              <w:left w:val="nil"/>
              <w:bottom w:val="single" w:sz="4" w:space="0" w:color="auto"/>
              <w:right w:val="single" w:sz="4" w:space="0" w:color="auto"/>
            </w:tcBorders>
            <w:shd w:val="clear" w:color="auto" w:fill="auto"/>
          </w:tcPr>
          <w:p w14:paraId="06D46445"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必填项。如H0204=11、12、13、14、15、16、20或21，并选择逐支报送，则填写实际代码；如选择汇总报送，则填写“N/A”。如H0204=17、18或19，则填写“N/A”。</w:t>
            </w:r>
          </w:p>
        </w:tc>
        <w:tc>
          <w:tcPr>
            <w:tcW w:w="2769" w:type="dxa"/>
            <w:tcBorders>
              <w:top w:val="nil"/>
              <w:left w:val="nil"/>
              <w:bottom w:val="single" w:sz="4" w:space="0" w:color="auto"/>
              <w:right w:val="single" w:sz="4" w:space="0" w:color="auto"/>
            </w:tcBorders>
            <w:shd w:val="clear" w:color="auto" w:fill="auto"/>
          </w:tcPr>
          <w:p w14:paraId="1D176164"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必填项。如H0204=11、12、13、14、15、16、20、21、22或23，并选择逐支报送，则填写实际代码；如选择汇总报送，则填写“N/A”。如H0204=17、18或19，则填写“N/A”。</w:t>
            </w:r>
          </w:p>
        </w:tc>
      </w:tr>
    </w:tbl>
    <w:p w14:paraId="0D231EDC" w14:textId="77777777" w:rsidR="00A052DC" w:rsidRDefault="00A052DC"/>
    <w:p w14:paraId="17639406" w14:textId="77777777" w:rsidR="00A052DC" w:rsidRDefault="009F0A60" w:rsidP="0020251D">
      <w:pPr>
        <w:pStyle w:val="5"/>
      </w:pPr>
      <w:r>
        <w:t>1.4.3.</w:t>
      </w:r>
      <w:r>
        <w:rPr>
          <w:rFonts w:hint="eastAsia"/>
        </w:rPr>
        <w:t>8</w:t>
      </w:r>
      <w:r>
        <w:t>.4</w:t>
      </w:r>
      <w:r>
        <w:rPr>
          <w:rFonts w:hint="eastAsia"/>
        </w:rPr>
        <w:t>数据项名称调整（数据定义及校验关系不变）</w:t>
      </w:r>
    </w:p>
    <w:tbl>
      <w:tblPr>
        <w:tblW w:w="8615" w:type="dxa"/>
        <w:jc w:val="center"/>
        <w:tblLayout w:type="fixed"/>
        <w:tblLook w:val="04A0" w:firstRow="1" w:lastRow="0" w:firstColumn="1" w:lastColumn="0" w:noHBand="0" w:noVBand="1"/>
      </w:tblPr>
      <w:tblGrid>
        <w:gridCol w:w="1431"/>
        <w:gridCol w:w="1418"/>
        <w:gridCol w:w="2976"/>
        <w:gridCol w:w="2790"/>
      </w:tblGrid>
      <w:tr w:rsidR="00A052DC" w14:paraId="429F9E29" w14:textId="77777777">
        <w:trPr>
          <w:trHeight w:val="20"/>
          <w:tblHeader/>
          <w:jc w:val="center"/>
        </w:trPr>
        <w:tc>
          <w:tcPr>
            <w:tcW w:w="1431" w:type="dxa"/>
            <w:tcBorders>
              <w:top w:val="single" w:sz="4" w:space="0" w:color="auto"/>
              <w:left w:val="single" w:sz="4" w:space="0" w:color="auto"/>
              <w:bottom w:val="single" w:sz="4" w:space="0" w:color="auto"/>
              <w:right w:val="single" w:sz="4" w:space="0" w:color="auto"/>
            </w:tcBorders>
            <w:shd w:val="clear" w:color="000000" w:fill="BFBFBF"/>
          </w:tcPr>
          <w:p w14:paraId="62326333" w14:textId="77777777" w:rsidR="00A052DC" w:rsidRDefault="009F0A60">
            <w:pPr>
              <w:widowControl/>
              <w:jc w:val="center"/>
              <w:rPr>
                <w:rFonts w:ascii="黑体" w:eastAsia="黑体" w:hAnsi="黑体" w:cs="宋体"/>
                <w:b/>
                <w:bCs/>
                <w:color w:val="000000"/>
                <w:kern w:val="0"/>
                <w:sz w:val="20"/>
                <w:szCs w:val="20"/>
              </w:rPr>
            </w:pPr>
            <w:r>
              <w:rPr>
                <w:rFonts w:ascii="黑体" w:eastAsia="黑体" w:hAnsi="黑体" w:cs="宋体" w:hint="eastAsia"/>
                <w:b/>
                <w:bCs/>
                <w:color w:val="000000"/>
                <w:kern w:val="0"/>
                <w:sz w:val="20"/>
                <w:szCs w:val="20"/>
              </w:rPr>
              <w:t>表号</w:t>
            </w:r>
          </w:p>
        </w:tc>
        <w:tc>
          <w:tcPr>
            <w:tcW w:w="1418" w:type="dxa"/>
            <w:tcBorders>
              <w:top w:val="single" w:sz="4" w:space="0" w:color="auto"/>
              <w:left w:val="nil"/>
              <w:bottom w:val="single" w:sz="4" w:space="0" w:color="auto"/>
              <w:right w:val="single" w:sz="4" w:space="0" w:color="auto"/>
            </w:tcBorders>
            <w:shd w:val="clear" w:color="000000" w:fill="BFBFBF"/>
          </w:tcPr>
          <w:p w14:paraId="42147E22" w14:textId="77777777" w:rsidR="00A052DC" w:rsidRDefault="009F0A60">
            <w:pPr>
              <w:widowControl/>
              <w:jc w:val="center"/>
              <w:rPr>
                <w:rFonts w:ascii="黑体" w:eastAsia="黑体" w:hAnsi="黑体" w:cs="宋体"/>
                <w:b/>
                <w:bCs/>
                <w:color w:val="000000"/>
                <w:kern w:val="0"/>
                <w:sz w:val="20"/>
                <w:szCs w:val="20"/>
              </w:rPr>
            </w:pPr>
            <w:r>
              <w:rPr>
                <w:rFonts w:ascii="黑体" w:eastAsia="黑体" w:hAnsi="黑体" w:cs="宋体" w:hint="eastAsia"/>
                <w:b/>
                <w:bCs/>
                <w:color w:val="000000"/>
                <w:kern w:val="0"/>
                <w:sz w:val="20"/>
                <w:szCs w:val="20"/>
              </w:rPr>
              <w:t>要素项</w:t>
            </w:r>
          </w:p>
        </w:tc>
        <w:tc>
          <w:tcPr>
            <w:tcW w:w="2976" w:type="dxa"/>
            <w:tcBorders>
              <w:top w:val="single" w:sz="4" w:space="0" w:color="auto"/>
              <w:left w:val="nil"/>
              <w:bottom w:val="single" w:sz="4" w:space="0" w:color="auto"/>
              <w:right w:val="single" w:sz="4" w:space="0" w:color="auto"/>
            </w:tcBorders>
            <w:shd w:val="clear" w:color="000000" w:fill="BFBFBF"/>
          </w:tcPr>
          <w:p w14:paraId="2737B9B1" w14:textId="77777777" w:rsidR="00A052DC" w:rsidRDefault="009F0A60">
            <w:pPr>
              <w:widowControl/>
              <w:jc w:val="center"/>
              <w:rPr>
                <w:rFonts w:ascii="黑体" w:eastAsia="黑体" w:hAnsi="黑体" w:cs="宋体"/>
                <w:b/>
                <w:bCs/>
                <w:color w:val="000000"/>
                <w:kern w:val="0"/>
                <w:sz w:val="20"/>
                <w:szCs w:val="20"/>
              </w:rPr>
            </w:pPr>
            <w:r>
              <w:rPr>
                <w:rFonts w:ascii="黑体" w:eastAsia="黑体" w:hAnsi="黑体" w:cs="宋体" w:hint="eastAsia"/>
                <w:b/>
                <w:bCs/>
                <w:color w:val="000000"/>
                <w:kern w:val="0"/>
                <w:sz w:val="20"/>
                <w:szCs w:val="20"/>
              </w:rPr>
              <w:t>原名称</w:t>
            </w:r>
          </w:p>
        </w:tc>
        <w:tc>
          <w:tcPr>
            <w:tcW w:w="2790" w:type="dxa"/>
            <w:tcBorders>
              <w:top w:val="single" w:sz="4" w:space="0" w:color="auto"/>
              <w:left w:val="nil"/>
              <w:bottom w:val="single" w:sz="4" w:space="0" w:color="auto"/>
              <w:right w:val="single" w:sz="4" w:space="0" w:color="auto"/>
            </w:tcBorders>
            <w:shd w:val="clear" w:color="000000" w:fill="BFBFBF"/>
          </w:tcPr>
          <w:p w14:paraId="1FDB7EE3" w14:textId="77777777" w:rsidR="00A052DC" w:rsidRDefault="009F0A60">
            <w:pPr>
              <w:widowControl/>
              <w:jc w:val="center"/>
              <w:rPr>
                <w:rFonts w:ascii="黑体" w:eastAsia="黑体" w:hAnsi="黑体" w:cs="宋体"/>
                <w:b/>
                <w:bCs/>
                <w:color w:val="000000"/>
                <w:kern w:val="0"/>
                <w:sz w:val="20"/>
                <w:szCs w:val="20"/>
              </w:rPr>
            </w:pPr>
            <w:r>
              <w:rPr>
                <w:rFonts w:ascii="黑体" w:eastAsia="黑体" w:hAnsi="黑体" w:cs="宋体" w:hint="eastAsia"/>
                <w:b/>
                <w:bCs/>
                <w:color w:val="000000"/>
                <w:kern w:val="0"/>
                <w:sz w:val="20"/>
                <w:szCs w:val="20"/>
              </w:rPr>
              <w:t>修改后名称</w:t>
            </w:r>
          </w:p>
        </w:tc>
      </w:tr>
      <w:tr w:rsidR="00A052DC" w14:paraId="13CAB71B" w14:textId="77777777">
        <w:trPr>
          <w:trHeight w:val="20"/>
          <w:jc w:val="center"/>
        </w:trPr>
        <w:tc>
          <w:tcPr>
            <w:tcW w:w="1431" w:type="dxa"/>
            <w:tcBorders>
              <w:top w:val="nil"/>
              <w:left w:val="single" w:sz="4" w:space="0" w:color="auto"/>
              <w:bottom w:val="single" w:sz="4" w:space="0" w:color="auto"/>
              <w:right w:val="single" w:sz="4" w:space="0" w:color="auto"/>
            </w:tcBorders>
            <w:shd w:val="clear" w:color="auto" w:fill="auto"/>
          </w:tcPr>
          <w:p w14:paraId="0083609E"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Z01</w:t>
            </w:r>
          </w:p>
        </w:tc>
        <w:tc>
          <w:tcPr>
            <w:tcW w:w="1418" w:type="dxa"/>
            <w:tcBorders>
              <w:top w:val="nil"/>
              <w:left w:val="nil"/>
              <w:bottom w:val="single" w:sz="4" w:space="0" w:color="auto"/>
              <w:right w:val="single" w:sz="4" w:space="0" w:color="auto"/>
            </w:tcBorders>
            <w:shd w:val="clear" w:color="auto" w:fill="auto"/>
          </w:tcPr>
          <w:p w14:paraId="4B1E3915"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CONTACT</w:t>
            </w:r>
          </w:p>
        </w:tc>
        <w:tc>
          <w:tcPr>
            <w:tcW w:w="2976" w:type="dxa"/>
            <w:tcBorders>
              <w:top w:val="nil"/>
              <w:left w:val="nil"/>
              <w:bottom w:val="single" w:sz="4" w:space="0" w:color="auto"/>
              <w:right w:val="single" w:sz="4" w:space="0" w:color="auto"/>
            </w:tcBorders>
            <w:shd w:val="clear" w:color="auto" w:fill="auto"/>
          </w:tcPr>
          <w:p w14:paraId="6180B07F"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牵头部门联系人</w:t>
            </w:r>
          </w:p>
        </w:tc>
        <w:tc>
          <w:tcPr>
            <w:tcW w:w="2790" w:type="dxa"/>
            <w:tcBorders>
              <w:top w:val="nil"/>
              <w:left w:val="nil"/>
              <w:bottom w:val="single" w:sz="4" w:space="0" w:color="auto"/>
              <w:right w:val="single" w:sz="4" w:space="0" w:color="auto"/>
            </w:tcBorders>
            <w:shd w:val="clear" w:color="auto" w:fill="auto"/>
          </w:tcPr>
          <w:p w14:paraId="20FFE396"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联系人</w:t>
            </w:r>
          </w:p>
        </w:tc>
      </w:tr>
      <w:tr w:rsidR="00A052DC" w14:paraId="0A580DF6" w14:textId="77777777">
        <w:trPr>
          <w:trHeight w:val="20"/>
          <w:jc w:val="center"/>
        </w:trPr>
        <w:tc>
          <w:tcPr>
            <w:tcW w:w="1431" w:type="dxa"/>
            <w:tcBorders>
              <w:top w:val="nil"/>
              <w:left w:val="single" w:sz="4" w:space="0" w:color="auto"/>
              <w:bottom w:val="single" w:sz="4" w:space="0" w:color="auto"/>
              <w:right w:val="single" w:sz="4" w:space="0" w:color="auto"/>
            </w:tcBorders>
            <w:shd w:val="clear" w:color="auto" w:fill="auto"/>
          </w:tcPr>
          <w:p w14:paraId="62DF3078"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A01-1</w:t>
            </w:r>
          </w:p>
        </w:tc>
        <w:tc>
          <w:tcPr>
            <w:tcW w:w="1418" w:type="dxa"/>
            <w:tcBorders>
              <w:top w:val="nil"/>
              <w:left w:val="nil"/>
              <w:bottom w:val="single" w:sz="4" w:space="0" w:color="auto"/>
              <w:right w:val="single" w:sz="4" w:space="0" w:color="auto"/>
            </w:tcBorders>
            <w:shd w:val="clear" w:color="auto" w:fill="auto"/>
          </w:tcPr>
          <w:p w14:paraId="27534523" w14:textId="77777777" w:rsidR="00A052DC" w:rsidRDefault="009F0A60">
            <w:pPr>
              <w:widowControl/>
              <w:rPr>
                <w:rFonts w:ascii="黑体" w:eastAsia="黑体" w:hAnsi="黑体" w:cs="宋体"/>
                <w:color w:val="000000"/>
                <w:kern w:val="0"/>
                <w:sz w:val="20"/>
                <w:szCs w:val="20"/>
              </w:rPr>
            </w:pPr>
            <w:r>
              <w:rPr>
                <w:rFonts w:ascii="黑体" w:eastAsia="黑体" w:hAnsi="黑体" w:cs="宋体"/>
                <w:color w:val="000000"/>
                <w:kern w:val="0"/>
                <w:sz w:val="20"/>
                <w:szCs w:val="20"/>
              </w:rPr>
              <w:t>A0106</w:t>
            </w:r>
          </w:p>
        </w:tc>
        <w:tc>
          <w:tcPr>
            <w:tcW w:w="2976" w:type="dxa"/>
            <w:tcBorders>
              <w:top w:val="nil"/>
              <w:left w:val="nil"/>
              <w:bottom w:val="single" w:sz="4" w:space="0" w:color="auto"/>
              <w:right w:val="single" w:sz="4" w:space="0" w:color="auto"/>
            </w:tcBorders>
            <w:shd w:val="clear" w:color="auto" w:fill="auto"/>
          </w:tcPr>
          <w:p w14:paraId="40900583"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最终控制方全称</w:t>
            </w:r>
          </w:p>
        </w:tc>
        <w:tc>
          <w:tcPr>
            <w:tcW w:w="2790" w:type="dxa"/>
            <w:tcBorders>
              <w:top w:val="nil"/>
              <w:left w:val="nil"/>
              <w:bottom w:val="single" w:sz="4" w:space="0" w:color="auto"/>
              <w:right w:val="single" w:sz="4" w:space="0" w:color="auto"/>
            </w:tcBorders>
            <w:shd w:val="clear" w:color="auto" w:fill="auto"/>
          </w:tcPr>
          <w:p w14:paraId="70305C76"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境外被投资机构最终控制方全称</w:t>
            </w:r>
          </w:p>
        </w:tc>
      </w:tr>
      <w:tr w:rsidR="00A052DC" w14:paraId="7BAF53D2" w14:textId="77777777">
        <w:trPr>
          <w:trHeight w:val="20"/>
          <w:jc w:val="center"/>
        </w:trPr>
        <w:tc>
          <w:tcPr>
            <w:tcW w:w="1431" w:type="dxa"/>
            <w:tcBorders>
              <w:top w:val="nil"/>
              <w:left w:val="single" w:sz="4" w:space="0" w:color="auto"/>
              <w:bottom w:val="single" w:sz="4" w:space="0" w:color="auto"/>
              <w:right w:val="single" w:sz="4" w:space="0" w:color="auto"/>
            </w:tcBorders>
            <w:shd w:val="clear" w:color="auto" w:fill="auto"/>
          </w:tcPr>
          <w:p w14:paraId="6F1C49D7"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A01-1</w:t>
            </w:r>
          </w:p>
        </w:tc>
        <w:tc>
          <w:tcPr>
            <w:tcW w:w="1418" w:type="dxa"/>
            <w:tcBorders>
              <w:top w:val="nil"/>
              <w:left w:val="nil"/>
              <w:bottom w:val="single" w:sz="4" w:space="0" w:color="auto"/>
              <w:right w:val="single" w:sz="4" w:space="0" w:color="auto"/>
            </w:tcBorders>
            <w:shd w:val="clear" w:color="auto" w:fill="auto"/>
          </w:tcPr>
          <w:p w14:paraId="2B49B524" w14:textId="77777777" w:rsidR="00A052DC" w:rsidRDefault="009F0A60">
            <w:pPr>
              <w:widowControl/>
              <w:rPr>
                <w:rFonts w:ascii="黑体" w:eastAsia="黑体" w:hAnsi="黑体" w:cs="宋体"/>
                <w:color w:val="000000"/>
                <w:kern w:val="0"/>
                <w:sz w:val="20"/>
                <w:szCs w:val="20"/>
              </w:rPr>
            </w:pPr>
            <w:r>
              <w:rPr>
                <w:rFonts w:ascii="黑体" w:eastAsia="黑体" w:hAnsi="黑体" w:cs="宋体"/>
                <w:color w:val="000000"/>
                <w:kern w:val="0"/>
                <w:sz w:val="20"/>
                <w:szCs w:val="20"/>
              </w:rPr>
              <w:t>A0107</w:t>
            </w:r>
          </w:p>
        </w:tc>
        <w:tc>
          <w:tcPr>
            <w:tcW w:w="2976" w:type="dxa"/>
            <w:tcBorders>
              <w:top w:val="nil"/>
              <w:left w:val="nil"/>
              <w:bottom w:val="single" w:sz="4" w:space="0" w:color="auto"/>
              <w:right w:val="single" w:sz="4" w:space="0" w:color="auto"/>
            </w:tcBorders>
            <w:shd w:val="clear" w:color="auto" w:fill="auto"/>
          </w:tcPr>
          <w:p w14:paraId="45B6FF9E"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最终控制方所属国家</w:t>
            </w:r>
            <w:r>
              <w:rPr>
                <w:rFonts w:ascii="黑体" w:eastAsia="黑体" w:hAnsi="黑体" w:cs="宋体"/>
                <w:color w:val="000000"/>
                <w:kern w:val="0"/>
                <w:sz w:val="20"/>
                <w:szCs w:val="20"/>
              </w:rPr>
              <w:t>/地区</w:t>
            </w:r>
          </w:p>
        </w:tc>
        <w:tc>
          <w:tcPr>
            <w:tcW w:w="2790" w:type="dxa"/>
            <w:tcBorders>
              <w:top w:val="nil"/>
              <w:left w:val="nil"/>
              <w:bottom w:val="single" w:sz="4" w:space="0" w:color="auto"/>
              <w:right w:val="single" w:sz="4" w:space="0" w:color="auto"/>
            </w:tcBorders>
            <w:shd w:val="clear" w:color="auto" w:fill="auto"/>
          </w:tcPr>
          <w:p w14:paraId="18792C90"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境外被投资机构最终控制方所属国家</w:t>
            </w:r>
            <w:r>
              <w:rPr>
                <w:rFonts w:ascii="黑体" w:eastAsia="黑体" w:hAnsi="黑体" w:cs="宋体"/>
                <w:color w:val="000000"/>
                <w:kern w:val="0"/>
                <w:sz w:val="20"/>
                <w:szCs w:val="20"/>
              </w:rPr>
              <w:t>/地区</w:t>
            </w:r>
          </w:p>
        </w:tc>
      </w:tr>
      <w:tr w:rsidR="00A052DC" w14:paraId="772DFCFD" w14:textId="77777777">
        <w:trPr>
          <w:trHeight w:val="20"/>
          <w:jc w:val="center"/>
        </w:trPr>
        <w:tc>
          <w:tcPr>
            <w:tcW w:w="1431" w:type="dxa"/>
            <w:tcBorders>
              <w:top w:val="nil"/>
              <w:left w:val="single" w:sz="4" w:space="0" w:color="auto"/>
              <w:bottom w:val="single" w:sz="4" w:space="0" w:color="auto"/>
              <w:right w:val="single" w:sz="4" w:space="0" w:color="auto"/>
            </w:tcBorders>
            <w:shd w:val="clear" w:color="auto" w:fill="auto"/>
          </w:tcPr>
          <w:p w14:paraId="102F9262"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A01-1</w:t>
            </w:r>
          </w:p>
        </w:tc>
        <w:tc>
          <w:tcPr>
            <w:tcW w:w="1418" w:type="dxa"/>
            <w:tcBorders>
              <w:top w:val="nil"/>
              <w:left w:val="nil"/>
              <w:bottom w:val="single" w:sz="4" w:space="0" w:color="auto"/>
              <w:right w:val="single" w:sz="4" w:space="0" w:color="auto"/>
            </w:tcBorders>
            <w:shd w:val="clear" w:color="auto" w:fill="auto"/>
          </w:tcPr>
          <w:p w14:paraId="0C0F6D15" w14:textId="77777777" w:rsidR="00A052DC" w:rsidRDefault="009F0A60">
            <w:pPr>
              <w:widowControl/>
              <w:rPr>
                <w:rFonts w:ascii="黑体" w:eastAsia="黑体" w:hAnsi="黑体" w:cs="宋体"/>
                <w:color w:val="000000"/>
                <w:kern w:val="0"/>
                <w:sz w:val="20"/>
                <w:szCs w:val="20"/>
              </w:rPr>
            </w:pPr>
            <w:r>
              <w:rPr>
                <w:rFonts w:ascii="黑体" w:eastAsia="黑体" w:hAnsi="黑体" w:cs="宋体"/>
                <w:color w:val="000000"/>
                <w:kern w:val="0"/>
                <w:sz w:val="20"/>
                <w:szCs w:val="20"/>
              </w:rPr>
              <w:t>A0115</w:t>
            </w:r>
          </w:p>
        </w:tc>
        <w:tc>
          <w:tcPr>
            <w:tcW w:w="2976" w:type="dxa"/>
            <w:tcBorders>
              <w:top w:val="nil"/>
              <w:left w:val="nil"/>
              <w:bottom w:val="single" w:sz="4" w:space="0" w:color="auto"/>
              <w:right w:val="single" w:sz="4" w:space="0" w:color="auto"/>
            </w:tcBorders>
            <w:shd w:val="clear" w:color="auto" w:fill="auto"/>
          </w:tcPr>
          <w:p w14:paraId="46D869F0"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期末负债中申报主体拨付的营运资金</w:t>
            </w:r>
          </w:p>
        </w:tc>
        <w:tc>
          <w:tcPr>
            <w:tcW w:w="2790" w:type="dxa"/>
            <w:tcBorders>
              <w:top w:val="nil"/>
              <w:left w:val="nil"/>
              <w:bottom w:val="single" w:sz="4" w:space="0" w:color="auto"/>
              <w:right w:val="single" w:sz="4" w:space="0" w:color="auto"/>
            </w:tcBorders>
            <w:shd w:val="clear" w:color="auto" w:fill="auto"/>
          </w:tcPr>
          <w:p w14:paraId="7764F593"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期末负债中本机构拨付的营运资金</w:t>
            </w:r>
          </w:p>
        </w:tc>
      </w:tr>
      <w:tr w:rsidR="00A052DC" w14:paraId="63078E47" w14:textId="77777777">
        <w:trPr>
          <w:trHeight w:val="20"/>
          <w:jc w:val="center"/>
        </w:trPr>
        <w:tc>
          <w:tcPr>
            <w:tcW w:w="1431" w:type="dxa"/>
            <w:tcBorders>
              <w:top w:val="nil"/>
              <w:left w:val="single" w:sz="4" w:space="0" w:color="auto"/>
              <w:bottom w:val="single" w:sz="4" w:space="0" w:color="auto"/>
              <w:right w:val="single" w:sz="4" w:space="0" w:color="auto"/>
            </w:tcBorders>
            <w:shd w:val="clear" w:color="auto" w:fill="auto"/>
          </w:tcPr>
          <w:p w14:paraId="3A4F6807"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A01-1</w:t>
            </w:r>
          </w:p>
        </w:tc>
        <w:tc>
          <w:tcPr>
            <w:tcW w:w="1418" w:type="dxa"/>
            <w:tcBorders>
              <w:top w:val="nil"/>
              <w:left w:val="nil"/>
              <w:bottom w:val="single" w:sz="4" w:space="0" w:color="auto"/>
              <w:right w:val="single" w:sz="4" w:space="0" w:color="auto"/>
            </w:tcBorders>
            <w:shd w:val="clear" w:color="auto" w:fill="auto"/>
          </w:tcPr>
          <w:p w14:paraId="1356A099" w14:textId="77777777" w:rsidR="00A052DC" w:rsidRDefault="009F0A60">
            <w:pPr>
              <w:widowControl/>
              <w:rPr>
                <w:rFonts w:ascii="黑体" w:eastAsia="黑体" w:hAnsi="黑体" w:cs="宋体"/>
                <w:color w:val="000000"/>
                <w:kern w:val="0"/>
                <w:sz w:val="20"/>
                <w:szCs w:val="20"/>
              </w:rPr>
            </w:pPr>
            <w:r>
              <w:rPr>
                <w:rFonts w:ascii="黑体" w:eastAsia="黑体" w:hAnsi="黑体" w:cs="宋体"/>
                <w:color w:val="000000"/>
                <w:kern w:val="0"/>
                <w:sz w:val="20"/>
                <w:szCs w:val="20"/>
              </w:rPr>
              <w:t>A0116</w:t>
            </w:r>
          </w:p>
        </w:tc>
        <w:tc>
          <w:tcPr>
            <w:tcW w:w="2976" w:type="dxa"/>
            <w:tcBorders>
              <w:top w:val="nil"/>
              <w:left w:val="nil"/>
              <w:bottom w:val="single" w:sz="4" w:space="0" w:color="auto"/>
              <w:right w:val="single" w:sz="4" w:space="0" w:color="auto"/>
            </w:tcBorders>
            <w:shd w:val="clear" w:color="auto" w:fill="auto"/>
          </w:tcPr>
          <w:p w14:paraId="7D5BCF11"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期末所有者权益</w:t>
            </w:r>
          </w:p>
        </w:tc>
        <w:tc>
          <w:tcPr>
            <w:tcW w:w="2790" w:type="dxa"/>
            <w:tcBorders>
              <w:top w:val="nil"/>
              <w:left w:val="nil"/>
              <w:bottom w:val="single" w:sz="4" w:space="0" w:color="auto"/>
              <w:right w:val="single" w:sz="4" w:space="0" w:color="auto"/>
            </w:tcBorders>
            <w:shd w:val="clear" w:color="auto" w:fill="auto"/>
          </w:tcPr>
          <w:p w14:paraId="4623B5F0"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期末归属于被投资所有者的权益</w:t>
            </w:r>
          </w:p>
        </w:tc>
      </w:tr>
      <w:tr w:rsidR="00A052DC" w14:paraId="7E643829" w14:textId="77777777">
        <w:trPr>
          <w:trHeight w:val="20"/>
          <w:jc w:val="center"/>
        </w:trPr>
        <w:tc>
          <w:tcPr>
            <w:tcW w:w="1431" w:type="dxa"/>
            <w:tcBorders>
              <w:top w:val="nil"/>
              <w:left w:val="single" w:sz="4" w:space="0" w:color="auto"/>
              <w:bottom w:val="single" w:sz="4" w:space="0" w:color="auto"/>
              <w:right w:val="single" w:sz="4" w:space="0" w:color="auto"/>
            </w:tcBorders>
            <w:shd w:val="clear" w:color="auto" w:fill="auto"/>
          </w:tcPr>
          <w:p w14:paraId="33EA2EAF"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A01-1/A02-1</w:t>
            </w:r>
          </w:p>
        </w:tc>
        <w:tc>
          <w:tcPr>
            <w:tcW w:w="1418" w:type="dxa"/>
            <w:tcBorders>
              <w:top w:val="nil"/>
              <w:left w:val="nil"/>
              <w:bottom w:val="single" w:sz="4" w:space="0" w:color="auto"/>
              <w:right w:val="single" w:sz="4" w:space="0" w:color="auto"/>
            </w:tcBorders>
            <w:shd w:val="clear" w:color="auto" w:fill="auto"/>
          </w:tcPr>
          <w:p w14:paraId="3A0DB0D6" w14:textId="77777777" w:rsidR="00A052DC" w:rsidRDefault="009F0A60">
            <w:pPr>
              <w:widowControl/>
              <w:rPr>
                <w:rFonts w:ascii="黑体" w:eastAsia="黑体" w:hAnsi="黑体" w:cs="宋体"/>
                <w:color w:val="000000"/>
                <w:kern w:val="0"/>
                <w:sz w:val="20"/>
                <w:szCs w:val="20"/>
              </w:rPr>
            </w:pPr>
            <w:r>
              <w:rPr>
                <w:rFonts w:ascii="黑体" w:eastAsia="黑体" w:hAnsi="黑体" w:cs="宋体"/>
                <w:color w:val="000000"/>
                <w:kern w:val="0"/>
                <w:sz w:val="20"/>
                <w:szCs w:val="20"/>
              </w:rPr>
              <w:t>A0117/A0206</w:t>
            </w:r>
          </w:p>
        </w:tc>
        <w:tc>
          <w:tcPr>
            <w:tcW w:w="2976" w:type="dxa"/>
            <w:tcBorders>
              <w:top w:val="nil"/>
              <w:left w:val="nil"/>
              <w:bottom w:val="single" w:sz="4" w:space="0" w:color="auto"/>
              <w:right w:val="single" w:sz="4" w:space="0" w:color="auto"/>
            </w:tcBorders>
            <w:shd w:val="clear" w:color="auto" w:fill="auto"/>
          </w:tcPr>
          <w:p w14:paraId="3A45E399"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期末所有者权益中的实收资本</w:t>
            </w:r>
          </w:p>
        </w:tc>
        <w:tc>
          <w:tcPr>
            <w:tcW w:w="2790" w:type="dxa"/>
            <w:tcBorders>
              <w:top w:val="nil"/>
              <w:left w:val="nil"/>
              <w:bottom w:val="single" w:sz="4" w:space="0" w:color="auto"/>
              <w:right w:val="single" w:sz="4" w:space="0" w:color="auto"/>
            </w:tcBorders>
            <w:shd w:val="clear" w:color="auto" w:fill="auto"/>
          </w:tcPr>
          <w:p w14:paraId="263946F7"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实收资本</w:t>
            </w:r>
          </w:p>
        </w:tc>
      </w:tr>
      <w:tr w:rsidR="00A052DC" w14:paraId="3AC7C2AE" w14:textId="77777777">
        <w:trPr>
          <w:trHeight w:val="20"/>
          <w:jc w:val="center"/>
        </w:trPr>
        <w:tc>
          <w:tcPr>
            <w:tcW w:w="1431" w:type="dxa"/>
            <w:tcBorders>
              <w:top w:val="nil"/>
              <w:left w:val="single" w:sz="4" w:space="0" w:color="auto"/>
              <w:bottom w:val="single" w:sz="4" w:space="0" w:color="auto"/>
              <w:right w:val="single" w:sz="4" w:space="0" w:color="auto"/>
            </w:tcBorders>
            <w:shd w:val="clear" w:color="auto" w:fill="auto"/>
          </w:tcPr>
          <w:p w14:paraId="65CB7334"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A01-1/A02-1</w:t>
            </w:r>
          </w:p>
        </w:tc>
        <w:tc>
          <w:tcPr>
            <w:tcW w:w="1418" w:type="dxa"/>
            <w:tcBorders>
              <w:top w:val="nil"/>
              <w:left w:val="nil"/>
              <w:bottom w:val="single" w:sz="4" w:space="0" w:color="auto"/>
              <w:right w:val="single" w:sz="4" w:space="0" w:color="auto"/>
            </w:tcBorders>
            <w:shd w:val="clear" w:color="auto" w:fill="auto"/>
          </w:tcPr>
          <w:p w14:paraId="490F8AE6" w14:textId="77777777" w:rsidR="00A052DC" w:rsidRDefault="009F0A60">
            <w:pPr>
              <w:widowControl/>
              <w:rPr>
                <w:rFonts w:ascii="黑体" w:eastAsia="黑体" w:hAnsi="黑体" w:cs="宋体"/>
                <w:color w:val="000000"/>
                <w:kern w:val="0"/>
                <w:sz w:val="20"/>
                <w:szCs w:val="20"/>
              </w:rPr>
            </w:pPr>
            <w:r>
              <w:rPr>
                <w:rFonts w:ascii="黑体" w:eastAsia="黑体" w:hAnsi="黑体" w:cs="宋体"/>
                <w:color w:val="000000"/>
                <w:kern w:val="0"/>
                <w:sz w:val="20"/>
                <w:szCs w:val="20"/>
              </w:rPr>
              <w:t>A0118/A0207</w:t>
            </w:r>
          </w:p>
        </w:tc>
        <w:tc>
          <w:tcPr>
            <w:tcW w:w="2976" w:type="dxa"/>
            <w:tcBorders>
              <w:top w:val="nil"/>
              <w:left w:val="nil"/>
              <w:bottom w:val="single" w:sz="4" w:space="0" w:color="auto"/>
              <w:right w:val="single" w:sz="4" w:space="0" w:color="auto"/>
            </w:tcBorders>
            <w:shd w:val="clear" w:color="auto" w:fill="auto"/>
          </w:tcPr>
          <w:p w14:paraId="745080CE"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期末所有者权益中的资本公积</w:t>
            </w:r>
          </w:p>
        </w:tc>
        <w:tc>
          <w:tcPr>
            <w:tcW w:w="2790" w:type="dxa"/>
            <w:tcBorders>
              <w:top w:val="nil"/>
              <w:left w:val="nil"/>
              <w:bottom w:val="single" w:sz="4" w:space="0" w:color="auto"/>
              <w:right w:val="single" w:sz="4" w:space="0" w:color="auto"/>
            </w:tcBorders>
            <w:shd w:val="clear" w:color="auto" w:fill="auto"/>
          </w:tcPr>
          <w:p w14:paraId="4F6A4437"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资本公积</w:t>
            </w:r>
          </w:p>
        </w:tc>
      </w:tr>
      <w:tr w:rsidR="00A052DC" w14:paraId="5C01FBD5" w14:textId="77777777">
        <w:trPr>
          <w:trHeight w:val="20"/>
          <w:jc w:val="center"/>
        </w:trPr>
        <w:tc>
          <w:tcPr>
            <w:tcW w:w="1431" w:type="dxa"/>
            <w:tcBorders>
              <w:top w:val="nil"/>
              <w:left w:val="single" w:sz="4" w:space="0" w:color="auto"/>
              <w:bottom w:val="single" w:sz="4" w:space="0" w:color="auto"/>
              <w:right w:val="single" w:sz="4" w:space="0" w:color="auto"/>
            </w:tcBorders>
            <w:shd w:val="clear" w:color="auto" w:fill="auto"/>
          </w:tcPr>
          <w:p w14:paraId="1C8458BE"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A01-1/A02-1</w:t>
            </w:r>
          </w:p>
        </w:tc>
        <w:tc>
          <w:tcPr>
            <w:tcW w:w="1418" w:type="dxa"/>
            <w:tcBorders>
              <w:top w:val="nil"/>
              <w:left w:val="nil"/>
              <w:bottom w:val="single" w:sz="4" w:space="0" w:color="auto"/>
              <w:right w:val="single" w:sz="4" w:space="0" w:color="auto"/>
            </w:tcBorders>
            <w:shd w:val="clear" w:color="auto" w:fill="auto"/>
          </w:tcPr>
          <w:p w14:paraId="1C4D2819" w14:textId="77777777" w:rsidR="00A052DC" w:rsidRDefault="009F0A60">
            <w:pPr>
              <w:widowControl/>
              <w:rPr>
                <w:rFonts w:ascii="黑体" w:eastAsia="黑体" w:hAnsi="黑体" w:cs="宋体"/>
                <w:color w:val="000000"/>
                <w:kern w:val="0"/>
                <w:sz w:val="20"/>
                <w:szCs w:val="20"/>
              </w:rPr>
            </w:pPr>
            <w:r>
              <w:rPr>
                <w:rFonts w:ascii="黑体" w:eastAsia="黑体" w:hAnsi="黑体" w:cs="宋体"/>
                <w:color w:val="000000"/>
                <w:kern w:val="0"/>
                <w:sz w:val="20"/>
                <w:szCs w:val="20"/>
              </w:rPr>
              <w:t>A0119/A0208</w:t>
            </w:r>
          </w:p>
        </w:tc>
        <w:tc>
          <w:tcPr>
            <w:tcW w:w="2976" w:type="dxa"/>
            <w:tcBorders>
              <w:top w:val="nil"/>
              <w:left w:val="nil"/>
              <w:bottom w:val="single" w:sz="4" w:space="0" w:color="auto"/>
              <w:right w:val="single" w:sz="4" w:space="0" w:color="auto"/>
            </w:tcBorders>
            <w:shd w:val="clear" w:color="auto" w:fill="auto"/>
          </w:tcPr>
          <w:p w14:paraId="57080DF7"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期末所有者权益中的盈余公积</w:t>
            </w:r>
          </w:p>
        </w:tc>
        <w:tc>
          <w:tcPr>
            <w:tcW w:w="2790" w:type="dxa"/>
            <w:tcBorders>
              <w:top w:val="nil"/>
              <w:left w:val="nil"/>
              <w:bottom w:val="single" w:sz="4" w:space="0" w:color="auto"/>
              <w:right w:val="single" w:sz="4" w:space="0" w:color="auto"/>
            </w:tcBorders>
            <w:shd w:val="clear" w:color="auto" w:fill="auto"/>
          </w:tcPr>
          <w:p w14:paraId="6B0C9020"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盈余公积</w:t>
            </w:r>
          </w:p>
        </w:tc>
      </w:tr>
      <w:tr w:rsidR="00A052DC" w14:paraId="1345CF39" w14:textId="77777777">
        <w:trPr>
          <w:trHeight w:val="20"/>
          <w:jc w:val="center"/>
        </w:trPr>
        <w:tc>
          <w:tcPr>
            <w:tcW w:w="1431" w:type="dxa"/>
            <w:tcBorders>
              <w:top w:val="nil"/>
              <w:left w:val="single" w:sz="4" w:space="0" w:color="auto"/>
              <w:bottom w:val="single" w:sz="4" w:space="0" w:color="auto"/>
              <w:right w:val="single" w:sz="4" w:space="0" w:color="auto"/>
            </w:tcBorders>
            <w:shd w:val="clear" w:color="auto" w:fill="auto"/>
          </w:tcPr>
          <w:p w14:paraId="5326FCE9"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A01-1/A02-1</w:t>
            </w:r>
          </w:p>
        </w:tc>
        <w:tc>
          <w:tcPr>
            <w:tcW w:w="1418" w:type="dxa"/>
            <w:tcBorders>
              <w:top w:val="nil"/>
              <w:left w:val="nil"/>
              <w:bottom w:val="single" w:sz="4" w:space="0" w:color="auto"/>
              <w:right w:val="single" w:sz="4" w:space="0" w:color="auto"/>
            </w:tcBorders>
            <w:shd w:val="clear" w:color="auto" w:fill="auto"/>
          </w:tcPr>
          <w:p w14:paraId="19C14B04" w14:textId="77777777" w:rsidR="00A052DC" w:rsidRDefault="009F0A60">
            <w:pPr>
              <w:widowControl/>
              <w:rPr>
                <w:rFonts w:ascii="黑体" w:eastAsia="黑体" w:hAnsi="黑体" w:cs="宋体"/>
                <w:color w:val="000000"/>
                <w:kern w:val="0"/>
                <w:sz w:val="20"/>
                <w:szCs w:val="20"/>
              </w:rPr>
            </w:pPr>
            <w:r>
              <w:rPr>
                <w:rFonts w:ascii="黑体" w:eastAsia="黑体" w:hAnsi="黑体" w:cs="宋体"/>
                <w:color w:val="000000"/>
                <w:kern w:val="0"/>
                <w:sz w:val="20"/>
                <w:szCs w:val="20"/>
              </w:rPr>
              <w:t>A0120/A0209</w:t>
            </w:r>
          </w:p>
        </w:tc>
        <w:tc>
          <w:tcPr>
            <w:tcW w:w="2976" w:type="dxa"/>
            <w:tcBorders>
              <w:top w:val="nil"/>
              <w:left w:val="nil"/>
              <w:bottom w:val="single" w:sz="4" w:space="0" w:color="auto"/>
              <w:right w:val="single" w:sz="4" w:space="0" w:color="auto"/>
            </w:tcBorders>
            <w:shd w:val="clear" w:color="auto" w:fill="auto"/>
          </w:tcPr>
          <w:p w14:paraId="2767A029"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期末所有者权益中的未分配利润</w:t>
            </w:r>
          </w:p>
        </w:tc>
        <w:tc>
          <w:tcPr>
            <w:tcW w:w="2790" w:type="dxa"/>
            <w:tcBorders>
              <w:top w:val="nil"/>
              <w:left w:val="nil"/>
              <w:bottom w:val="single" w:sz="4" w:space="0" w:color="auto"/>
              <w:right w:val="single" w:sz="4" w:space="0" w:color="auto"/>
            </w:tcBorders>
            <w:shd w:val="clear" w:color="auto" w:fill="auto"/>
          </w:tcPr>
          <w:p w14:paraId="4D781837"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未分配利润</w:t>
            </w:r>
          </w:p>
        </w:tc>
      </w:tr>
      <w:tr w:rsidR="00A052DC" w14:paraId="376BE50F" w14:textId="77777777">
        <w:trPr>
          <w:trHeight w:val="20"/>
          <w:jc w:val="center"/>
        </w:trPr>
        <w:tc>
          <w:tcPr>
            <w:tcW w:w="1431" w:type="dxa"/>
            <w:tcBorders>
              <w:top w:val="nil"/>
              <w:left w:val="single" w:sz="4" w:space="0" w:color="auto"/>
              <w:bottom w:val="single" w:sz="4" w:space="0" w:color="auto"/>
              <w:right w:val="single" w:sz="4" w:space="0" w:color="auto"/>
            </w:tcBorders>
            <w:shd w:val="clear" w:color="auto" w:fill="auto"/>
          </w:tcPr>
          <w:p w14:paraId="782B7DFE"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A01-1/A02-1</w:t>
            </w:r>
          </w:p>
        </w:tc>
        <w:tc>
          <w:tcPr>
            <w:tcW w:w="1418" w:type="dxa"/>
            <w:tcBorders>
              <w:top w:val="nil"/>
              <w:left w:val="nil"/>
              <w:bottom w:val="single" w:sz="4" w:space="0" w:color="auto"/>
              <w:right w:val="single" w:sz="4" w:space="0" w:color="auto"/>
            </w:tcBorders>
            <w:shd w:val="clear" w:color="auto" w:fill="auto"/>
          </w:tcPr>
          <w:p w14:paraId="378D73A2" w14:textId="77777777" w:rsidR="00A052DC" w:rsidRDefault="009F0A60">
            <w:pPr>
              <w:widowControl/>
              <w:rPr>
                <w:rFonts w:ascii="黑体" w:eastAsia="黑体" w:hAnsi="黑体" w:cs="宋体"/>
                <w:color w:val="000000"/>
                <w:kern w:val="0"/>
                <w:sz w:val="20"/>
                <w:szCs w:val="20"/>
              </w:rPr>
            </w:pPr>
            <w:r>
              <w:rPr>
                <w:rFonts w:ascii="黑体" w:eastAsia="黑体" w:hAnsi="黑体" w:cs="宋体"/>
                <w:color w:val="000000"/>
                <w:kern w:val="0"/>
                <w:sz w:val="20"/>
                <w:szCs w:val="20"/>
              </w:rPr>
              <w:t>A0121/A0210</w:t>
            </w:r>
          </w:p>
        </w:tc>
        <w:tc>
          <w:tcPr>
            <w:tcW w:w="2976" w:type="dxa"/>
            <w:tcBorders>
              <w:top w:val="nil"/>
              <w:left w:val="nil"/>
              <w:bottom w:val="single" w:sz="4" w:space="0" w:color="auto"/>
              <w:right w:val="single" w:sz="4" w:space="0" w:color="auto"/>
            </w:tcBorders>
            <w:shd w:val="clear" w:color="auto" w:fill="auto"/>
          </w:tcPr>
          <w:p w14:paraId="4899D928"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期末所有者权益中的其他</w:t>
            </w:r>
          </w:p>
        </w:tc>
        <w:tc>
          <w:tcPr>
            <w:tcW w:w="2790" w:type="dxa"/>
            <w:tcBorders>
              <w:top w:val="nil"/>
              <w:left w:val="nil"/>
              <w:bottom w:val="single" w:sz="4" w:space="0" w:color="auto"/>
              <w:right w:val="single" w:sz="4" w:space="0" w:color="auto"/>
            </w:tcBorders>
            <w:shd w:val="clear" w:color="auto" w:fill="auto"/>
          </w:tcPr>
          <w:p w14:paraId="512C9C10"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其他</w:t>
            </w:r>
          </w:p>
        </w:tc>
      </w:tr>
      <w:tr w:rsidR="00A052DC" w14:paraId="1CAEC2D9" w14:textId="77777777">
        <w:trPr>
          <w:trHeight w:val="20"/>
          <w:jc w:val="center"/>
        </w:trPr>
        <w:tc>
          <w:tcPr>
            <w:tcW w:w="1431" w:type="dxa"/>
            <w:tcBorders>
              <w:top w:val="nil"/>
              <w:left w:val="single" w:sz="4" w:space="0" w:color="auto"/>
              <w:bottom w:val="single" w:sz="4" w:space="0" w:color="auto"/>
              <w:right w:val="single" w:sz="4" w:space="0" w:color="auto"/>
            </w:tcBorders>
            <w:shd w:val="clear" w:color="auto" w:fill="auto"/>
          </w:tcPr>
          <w:p w14:paraId="413F42B9"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A01-1/A02-1</w:t>
            </w:r>
          </w:p>
        </w:tc>
        <w:tc>
          <w:tcPr>
            <w:tcW w:w="1418" w:type="dxa"/>
            <w:tcBorders>
              <w:top w:val="nil"/>
              <w:left w:val="nil"/>
              <w:bottom w:val="single" w:sz="4" w:space="0" w:color="auto"/>
              <w:right w:val="single" w:sz="4" w:space="0" w:color="auto"/>
            </w:tcBorders>
            <w:shd w:val="clear" w:color="auto" w:fill="auto"/>
          </w:tcPr>
          <w:p w14:paraId="32EF779E" w14:textId="77777777" w:rsidR="00A052DC" w:rsidRDefault="009F0A60">
            <w:pPr>
              <w:widowControl/>
              <w:rPr>
                <w:rFonts w:ascii="黑体" w:eastAsia="黑体" w:hAnsi="黑体" w:cs="宋体"/>
                <w:color w:val="000000"/>
                <w:kern w:val="0"/>
                <w:sz w:val="20"/>
                <w:szCs w:val="20"/>
              </w:rPr>
            </w:pPr>
            <w:r>
              <w:rPr>
                <w:rFonts w:ascii="黑体" w:eastAsia="黑体" w:hAnsi="黑体" w:cs="宋体"/>
                <w:color w:val="000000"/>
                <w:kern w:val="0"/>
                <w:sz w:val="20"/>
                <w:szCs w:val="20"/>
              </w:rPr>
              <w:t>A0123/A0212</w:t>
            </w:r>
          </w:p>
        </w:tc>
        <w:tc>
          <w:tcPr>
            <w:tcW w:w="2976" w:type="dxa"/>
            <w:tcBorders>
              <w:top w:val="nil"/>
              <w:left w:val="nil"/>
              <w:bottom w:val="single" w:sz="4" w:space="0" w:color="auto"/>
              <w:right w:val="single" w:sz="4" w:space="0" w:color="auto"/>
            </w:tcBorders>
            <w:shd w:val="clear" w:color="auto" w:fill="auto"/>
          </w:tcPr>
          <w:p w14:paraId="27CCBC05"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本期利润总额</w:t>
            </w:r>
          </w:p>
        </w:tc>
        <w:tc>
          <w:tcPr>
            <w:tcW w:w="2790" w:type="dxa"/>
            <w:tcBorders>
              <w:top w:val="nil"/>
              <w:left w:val="nil"/>
              <w:bottom w:val="single" w:sz="4" w:space="0" w:color="auto"/>
              <w:right w:val="single" w:sz="4" w:space="0" w:color="auto"/>
            </w:tcBorders>
            <w:shd w:val="clear" w:color="auto" w:fill="auto"/>
          </w:tcPr>
          <w:p w14:paraId="7455DA90"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本月利润总额</w:t>
            </w:r>
          </w:p>
        </w:tc>
      </w:tr>
      <w:tr w:rsidR="00A052DC" w14:paraId="44E94142" w14:textId="77777777">
        <w:trPr>
          <w:trHeight w:val="20"/>
          <w:jc w:val="center"/>
        </w:trPr>
        <w:tc>
          <w:tcPr>
            <w:tcW w:w="1431" w:type="dxa"/>
            <w:tcBorders>
              <w:top w:val="nil"/>
              <w:left w:val="single" w:sz="4" w:space="0" w:color="auto"/>
              <w:bottom w:val="single" w:sz="4" w:space="0" w:color="auto"/>
              <w:right w:val="single" w:sz="4" w:space="0" w:color="auto"/>
            </w:tcBorders>
            <w:shd w:val="clear" w:color="auto" w:fill="auto"/>
          </w:tcPr>
          <w:p w14:paraId="7775AE1C"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A01-1/A02-1</w:t>
            </w:r>
          </w:p>
        </w:tc>
        <w:tc>
          <w:tcPr>
            <w:tcW w:w="1418" w:type="dxa"/>
            <w:tcBorders>
              <w:top w:val="nil"/>
              <w:left w:val="nil"/>
              <w:bottom w:val="single" w:sz="4" w:space="0" w:color="auto"/>
              <w:right w:val="single" w:sz="4" w:space="0" w:color="auto"/>
            </w:tcBorders>
            <w:shd w:val="clear" w:color="auto" w:fill="auto"/>
          </w:tcPr>
          <w:p w14:paraId="78A5599C" w14:textId="77777777" w:rsidR="00A052DC" w:rsidRDefault="009F0A60">
            <w:pPr>
              <w:widowControl/>
              <w:rPr>
                <w:rFonts w:ascii="黑体" w:eastAsia="黑体" w:hAnsi="黑体" w:cs="宋体"/>
                <w:color w:val="000000"/>
                <w:kern w:val="0"/>
                <w:sz w:val="20"/>
                <w:szCs w:val="20"/>
              </w:rPr>
            </w:pPr>
            <w:r>
              <w:rPr>
                <w:rFonts w:ascii="黑体" w:eastAsia="黑体" w:hAnsi="黑体" w:cs="宋体"/>
                <w:color w:val="000000"/>
                <w:kern w:val="0"/>
                <w:sz w:val="20"/>
                <w:szCs w:val="20"/>
              </w:rPr>
              <w:t>A0124/A0213</w:t>
            </w:r>
          </w:p>
        </w:tc>
        <w:tc>
          <w:tcPr>
            <w:tcW w:w="2976" w:type="dxa"/>
            <w:tcBorders>
              <w:top w:val="nil"/>
              <w:left w:val="nil"/>
              <w:bottom w:val="single" w:sz="4" w:space="0" w:color="auto"/>
              <w:right w:val="single" w:sz="4" w:space="0" w:color="auto"/>
            </w:tcBorders>
            <w:shd w:val="clear" w:color="auto" w:fill="auto"/>
          </w:tcPr>
          <w:p w14:paraId="7A6BB62C"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本期净利润</w:t>
            </w:r>
          </w:p>
        </w:tc>
        <w:tc>
          <w:tcPr>
            <w:tcW w:w="2790" w:type="dxa"/>
            <w:tcBorders>
              <w:top w:val="nil"/>
              <w:left w:val="nil"/>
              <w:bottom w:val="single" w:sz="4" w:space="0" w:color="auto"/>
              <w:right w:val="single" w:sz="4" w:space="0" w:color="auto"/>
            </w:tcBorders>
            <w:shd w:val="clear" w:color="auto" w:fill="auto"/>
          </w:tcPr>
          <w:p w14:paraId="1138A39C"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本月净利润</w:t>
            </w:r>
          </w:p>
        </w:tc>
      </w:tr>
      <w:tr w:rsidR="00A052DC" w14:paraId="619FEF9B" w14:textId="77777777">
        <w:trPr>
          <w:trHeight w:val="20"/>
          <w:jc w:val="center"/>
        </w:trPr>
        <w:tc>
          <w:tcPr>
            <w:tcW w:w="1431" w:type="dxa"/>
            <w:tcBorders>
              <w:top w:val="nil"/>
              <w:left w:val="single" w:sz="4" w:space="0" w:color="auto"/>
              <w:bottom w:val="single" w:sz="4" w:space="0" w:color="auto"/>
              <w:right w:val="single" w:sz="4" w:space="0" w:color="auto"/>
            </w:tcBorders>
            <w:shd w:val="clear" w:color="auto" w:fill="auto"/>
          </w:tcPr>
          <w:p w14:paraId="4379538C"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A01-1</w:t>
            </w:r>
          </w:p>
        </w:tc>
        <w:tc>
          <w:tcPr>
            <w:tcW w:w="1418" w:type="dxa"/>
            <w:tcBorders>
              <w:top w:val="nil"/>
              <w:left w:val="nil"/>
              <w:bottom w:val="single" w:sz="4" w:space="0" w:color="auto"/>
              <w:right w:val="single" w:sz="4" w:space="0" w:color="auto"/>
            </w:tcBorders>
            <w:shd w:val="clear" w:color="auto" w:fill="auto"/>
          </w:tcPr>
          <w:p w14:paraId="20870225" w14:textId="77777777" w:rsidR="00A052DC" w:rsidRDefault="009F0A60">
            <w:pPr>
              <w:widowControl/>
              <w:rPr>
                <w:rFonts w:ascii="黑体" w:eastAsia="黑体" w:hAnsi="黑体" w:cs="宋体"/>
                <w:color w:val="000000"/>
                <w:kern w:val="0"/>
                <w:sz w:val="20"/>
                <w:szCs w:val="20"/>
              </w:rPr>
            </w:pPr>
            <w:r>
              <w:rPr>
                <w:rFonts w:ascii="黑体" w:eastAsia="黑体" w:hAnsi="黑体" w:cs="宋体"/>
                <w:color w:val="000000"/>
                <w:kern w:val="0"/>
                <w:sz w:val="20"/>
                <w:szCs w:val="20"/>
              </w:rPr>
              <w:t>A0125</w:t>
            </w:r>
          </w:p>
        </w:tc>
        <w:tc>
          <w:tcPr>
            <w:tcW w:w="2976" w:type="dxa"/>
            <w:tcBorders>
              <w:top w:val="nil"/>
              <w:left w:val="nil"/>
              <w:bottom w:val="single" w:sz="4" w:space="0" w:color="auto"/>
              <w:right w:val="single" w:sz="4" w:space="0" w:color="auto"/>
            </w:tcBorders>
            <w:shd w:val="clear" w:color="auto" w:fill="auto"/>
          </w:tcPr>
          <w:p w14:paraId="766A0893"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本期宣告分配（申报主体）利润</w:t>
            </w:r>
          </w:p>
        </w:tc>
        <w:tc>
          <w:tcPr>
            <w:tcW w:w="2790" w:type="dxa"/>
            <w:tcBorders>
              <w:top w:val="nil"/>
              <w:left w:val="nil"/>
              <w:bottom w:val="single" w:sz="4" w:space="0" w:color="auto"/>
              <w:right w:val="single" w:sz="4" w:space="0" w:color="auto"/>
            </w:tcBorders>
            <w:shd w:val="clear" w:color="auto" w:fill="auto"/>
          </w:tcPr>
          <w:p w14:paraId="5CD7E603"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本月宣告分配（申报主体）利润</w:t>
            </w:r>
          </w:p>
        </w:tc>
      </w:tr>
      <w:tr w:rsidR="00A052DC" w14:paraId="6D248D84" w14:textId="77777777">
        <w:trPr>
          <w:trHeight w:val="20"/>
          <w:jc w:val="center"/>
        </w:trPr>
        <w:tc>
          <w:tcPr>
            <w:tcW w:w="1431" w:type="dxa"/>
            <w:tcBorders>
              <w:top w:val="nil"/>
              <w:left w:val="single" w:sz="4" w:space="0" w:color="auto"/>
              <w:bottom w:val="single" w:sz="4" w:space="0" w:color="auto"/>
              <w:right w:val="single" w:sz="4" w:space="0" w:color="auto"/>
            </w:tcBorders>
            <w:shd w:val="clear" w:color="auto" w:fill="auto"/>
          </w:tcPr>
          <w:p w14:paraId="4FB80A70"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A01-2</w:t>
            </w:r>
          </w:p>
        </w:tc>
        <w:tc>
          <w:tcPr>
            <w:tcW w:w="1418" w:type="dxa"/>
            <w:tcBorders>
              <w:top w:val="nil"/>
              <w:left w:val="nil"/>
              <w:bottom w:val="single" w:sz="4" w:space="0" w:color="auto"/>
              <w:right w:val="single" w:sz="4" w:space="0" w:color="auto"/>
            </w:tcBorders>
            <w:shd w:val="clear" w:color="auto" w:fill="auto"/>
          </w:tcPr>
          <w:p w14:paraId="62755190"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BIZCODE</w:t>
            </w:r>
          </w:p>
        </w:tc>
        <w:tc>
          <w:tcPr>
            <w:tcW w:w="2976" w:type="dxa"/>
            <w:tcBorders>
              <w:top w:val="nil"/>
              <w:left w:val="nil"/>
              <w:bottom w:val="single" w:sz="4" w:space="0" w:color="auto"/>
              <w:right w:val="single" w:sz="4" w:space="0" w:color="auto"/>
            </w:tcBorders>
            <w:shd w:val="clear" w:color="auto" w:fill="auto"/>
          </w:tcPr>
          <w:p w14:paraId="49C6EA36"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该笔投资对应的资本项目系统中协议登记的业务编号</w:t>
            </w:r>
          </w:p>
        </w:tc>
        <w:tc>
          <w:tcPr>
            <w:tcW w:w="2790" w:type="dxa"/>
            <w:tcBorders>
              <w:top w:val="nil"/>
              <w:left w:val="nil"/>
              <w:bottom w:val="single" w:sz="4" w:space="0" w:color="auto"/>
              <w:right w:val="single" w:sz="4" w:space="0" w:color="auto"/>
            </w:tcBorders>
            <w:shd w:val="clear" w:color="auto" w:fill="auto"/>
          </w:tcPr>
          <w:p w14:paraId="6F13FED8"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业务编号</w:t>
            </w:r>
          </w:p>
        </w:tc>
      </w:tr>
      <w:tr w:rsidR="00A052DC" w14:paraId="173DF518" w14:textId="77777777">
        <w:trPr>
          <w:trHeight w:val="20"/>
          <w:jc w:val="center"/>
        </w:trPr>
        <w:tc>
          <w:tcPr>
            <w:tcW w:w="1431" w:type="dxa"/>
            <w:tcBorders>
              <w:top w:val="nil"/>
              <w:left w:val="single" w:sz="4" w:space="0" w:color="auto"/>
              <w:bottom w:val="single" w:sz="4" w:space="0" w:color="auto"/>
              <w:right w:val="single" w:sz="4" w:space="0" w:color="auto"/>
            </w:tcBorders>
            <w:shd w:val="clear" w:color="auto" w:fill="auto"/>
          </w:tcPr>
          <w:p w14:paraId="2E55F445"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A02-1</w:t>
            </w:r>
          </w:p>
        </w:tc>
        <w:tc>
          <w:tcPr>
            <w:tcW w:w="1418" w:type="dxa"/>
            <w:tcBorders>
              <w:top w:val="nil"/>
              <w:left w:val="nil"/>
              <w:bottom w:val="single" w:sz="4" w:space="0" w:color="auto"/>
              <w:right w:val="single" w:sz="4" w:space="0" w:color="auto"/>
            </w:tcBorders>
            <w:shd w:val="clear" w:color="auto" w:fill="auto"/>
          </w:tcPr>
          <w:p w14:paraId="3288C386" w14:textId="77777777" w:rsidR="00A052DC" w:rsidRDefault="009F0A60">
            <w:pPr>
              <w:widowControl/>
              <w:rPr>
                <w:rFonts w:ascii="黑体" w:eastAsia="黑体" w:hAnsi="黑体" w:cs="宋体"/>
                <w:color w:val="000000"/>
                <w:kern w:val="0"/>
                <w:sz w:val="20"/>
                <w:szCs w:val="20"/>
              </w:rPr>
            </w:pPr>
            <w:r>
              <w:rPr>
                <w:rFonts w:ascii="黑体" w:eastAsia="黑体" w:hAnsi="黑体" w:cs="宋体"/>
                <w:color w:val="000000"/>
                <w:kern w:val="0"/>
                <w:sz w:val="20"/>
                <w:szCs w:val="20"/>
              </w:rPr>
              <w:t>A0205</w:t>
            </w:r>
          </w:p>
        </w:tc>
        <w:tc>
          <w:tcPr>
            <w:tcW w:w="2976" w:type="dxa"/>
            <w:tcBorders>
              <w:top w:val="nil"/>
              <w:left w:val="nil"/>
              <w:bottom w:val="single" w:sz="4" w:space="0" w:color="auto"/>
              <w:right w:val="single" w:sz="4" w:space="0" w:color="auto"/>
            </w:tcBorders>
            <w:shd w:val="clear" w:color="auto" w:fill="auto"/>
          </w:tcPr>
          <w:p w14:paraId="43C1B7F5"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期末所有者权益</w:t>
            </w:r>
          </w:p>
        </w:tc>
        <w:tc>
          <w:tcPr>
            <w:tcW w:w="2790" w:type="dxa"/>
            <w:tcBorders>
              <w:top w:val="nil"/>
              <w:left w:val="nil"/>
              <w:bottom w:val="single" w:sz="4" w:space="0" w:color="auto"/>
              <w:right w:val="single" w:sz="4" w:space="0" w:color="auto"/>
            </w:tcBorders>
            <w:shd w:val="clear" w:color="auto" w:fill="auto"/>
          </w:tcPr>
          <w:p w14:paraId="79BB0865"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期末归属于本机构所有者的权益</w:t>
            </w:r>
          </w:p>
        </w:tc>
      </w:tr>
      <w:tr w:rsidR="00A052DC" w14:paraId="3234293C" w14:textId="77777777">
        <w:trPr>
          <w:trHeight w:val="20"/>
          <w:jc w:val="center"/>
        </w:trPr>
        <w:tc>
          <w:tcPr>
            <w:tcW w:w="1431" w:type="dxa"/>
            <w:tcBorders>
              <w:top w:val="nil"/>
              <w:left w:val="single" w:sz="4" w:space="0" w:color="auto"/>
              <w:bottom w:val="single" w:sz="4" w:space="0" w:color="auto"/>
              <w:right w:val="single" w:sz="4" w:space="0" w:color="auto"/>
            </w:tcBorders>
            <w:shd w:val="clear" w:color="auto" w:fill="auto"/>
          </w:tcPr>
          <w:p w14:paraId="3EF04A7F"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A02-1</w:t>
            </w:r>
          </w:p>
        </w:tc>
        <w:tc>
          <w:tcPr>
            <w:tcW w:w="1418" w:type="dxa"/>
            <w:tcBorders>
              <w:top w:val="nil"/>
              <w:left w:val="nil"/>
              <w:bottom w:val="single" w:sz="4" w:space="0" w:color="auto"/>
              <w:right w:val="single" w:sz="4" w:space="0" w:color="auto"/>
            </w:tcBorders>
            <w:shd w:val="clear" w:color="auto" w:fill="auto"/>
          </w:tcPr>
          <w:p w14:paraId="2366CD7E" w14:textId="77777777" w:rsidR="00A052DC" w:rsidRDefault="009F0A60">
            <w:pPr>
              <w:widowControl/>
              <w:rPr>
                <w:rFonts w:ascii="黑体" w:eastAsia="黑体" w:hAnsi="黑体" w:cs="宋体"/>
                <w:color w:val="000000"/>
                <w:kern w:val="0"/>
                <w:sz w:val="20"/>
                <w:szCs w:val="20"/>
              </w:rPr>
            </w:pPr>
            <w:r>
              <w:rPr>
                <w:rFonts w:ascii="黑体" w:eastAsia="黑体" w:hAnsi="黑体" w:cs="宋体"/>
                <w:color w:val="000000"/>
                <w:kern w:val="0"/>
                <w:sz w:val="20"/>
                <w:szCs w:val="20"/>
              </w:rPr>
              <w:t>A0214</w:t>
            </w:r>
          </w:p>
        </w:tc>
        <w:tc>
          <w:tcPr>
            <w:tcW w:w="2976" w:type="dxa"/>
            <w:tcBorders>
              <w:top w:val="nil"/>
              <w:left w:val="nil"/>
              <w:bottom w:val="single" w:sz="4" w:space="0" w:color="auto"/>
              <w:right w:val="single" w:sz="4" w:space="0" w:color="auto"/>
            </w:tcBorders>
            <w:shd w:val="clear" w:color="auto" w:fill="auto"/>
          </w:tcPr>
          <w:p w14:paraId="39E62F12"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本期本机构分配全体股东的利润</w:t>
            </w:r>
          </w:p>
        </w:tc>
        <w:tc>
          <w:tcPr>
            <w:tcW w:w="2790" w:type="dxa"/>
            <w:tcBorders>
              <w:top w:val="nil"/>
              <w:left w:val="nil"/>
              <w:bottom w:val="single" w:sz="4" w:space="0" w:color="auto"/>
              <w:right w:val="single" w:sz="4" w:space="0" w:color="auto"/>
            </w:tcBorders>
            <w:shd w:val="clear" w:color="auto" w:fill="auto"/>
          </w:tcPr>
          <w:p w14:paraId="4EA88647"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本月本机构宣告分配给全体股东的利润</w:t>
            </w:r>
          </w:p>
        </w:tc>
      </w:tr>
      <w:tr w:rsidR="00A052DC" w14:paraId="6506F4F9" w14:textId="77777777">
        <w:trPr>
          <w:trHeight w:val="20"/>
          <w:jc w:val="center"/>
        </w:trPr>
        <w:tc>
          <w:tcPr>
            <w:tcW w:w="1431" w:type="dxa"/>
            <w:tcBorders>
              <w:top w:val="nil"/>
              <w:left w:val="single" w:sz="4" w:space="0" w:color="auto"/>
              <w:bottom w:val="single" w:sz="4" w:space="0" w:color="auto"/>
              <w:right w:val="single" w:sz="4" w:space="0" w:color="auto"/>
            </w:tcBorders>
            <w:shd w:val="clear" w:color="auto" w:fill="auto"/>
          </w:tcPr>
          <w:p w14:paraId="161EBBAA"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B01</w:t>
            </w:r>
          </w:p>
        </w:tc>
        <w:tc>
          <w:tcPr>
            <w:tcW w:w="1418" w:type="dxa"/>
            <w:tcBorders>
              <w:top w:val="nil"/>
              <w:left w:val="nil"/>
              <w:bottom w:val="single" w:sz="4" w:space="0" w:color="auto"/>
              <w:right w:val="single" w:sz="4" w:space="0" w:color="auto"/>
            </w:tcBorders>
            <w:shd w:val="clear" w:color="auto" w:fill="auto"/>
          </w:tcPr>
          <w:p w14:paraId="34122C92" w14:textId="77777777" w:rsidR="00A052DC" w:rsidRDefault="009F0A60" w:rsidP="00776EF3">
            <w:pPr>
              <w:widowControl/>
              <w:rPr>
                <w:rFonts w:ascii="黑体" w:eastAsia="黑体" w:hAnsi="黑体" w:cs="宋体"/>
                <w:color w:val="000000"/>
                <w:kern w:val="0"/>
                <w:sz w:val="20"/>
                <w:szCs w:val="20"/>
              </w:rPr>
            </w:pPr>
            <w:r>
              <w:rPr>
                <w:rFonts w:ascii="黑体" w:eastAsia="黑体" w:hAnsi="黑体" w:cs="宋体"/>
                <w:color w:val="000000"/>
                <w:kern w:val="0"/>
                <w:sz w:val="20"/>
                <w:szCs w:val="20"/>
              </w:rPr>
              <w:t>B0116</w:t>
            </w:r>
          </w:p>
        </w:tc>
        <w:tc>
          <w:tcPr>
            <w:tcW w:w="2976" w:type="dxa"/>
            <w:tcBorders>
              <w:top w:val="nil"/>
              <w:left w:val="nil"/>
              <w:bottom w:val="single" w:sz="4" w:space="0" w:color="auto"/>
              <w:right w:val="single" w:sz="4" w:space="0" w:color="auto"/>
            </w:tcBorders>
            <w:shd w:val="clear" w:color="auto" w:fill="auto"/>
          </w:tcPr>
          <w:p w14:paraId="38449F47"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本月非交易变动：其中注销、调整或重新分类至其他报表统计的金额</w:t>
            </w:r>
          </w:p>
        </w:tc>
        <w:tc>
          <w:tcPr>
            <w:tcW w:w="2790" w:type="dxa"/>
            <w:tcBorders>
              <w:top w:val="nil"/>
              <w:left w:val="nil"/>
              <w:bottom w:val="single" w:sz="4" w:space="0" w:color="auto"/>
              <w:right w:val="single" w:sz="4" w:space="0" w:color="auto"/>
            </w:tcBorders>
            <w:shd w:val="clear" w:color="auto" w:fill="auto"/>
          </w:tcPr>
          <w:p w14:paraId="3B9F3026"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注销、调整或重新分类至其他报表统计的金额</w:t>
            </w:r>
          </w:p>
        </w:tc>
      </w:tr>
      <w:tr w:rsidR="00A052DC" w14:paraId="493BB5F5" w14:textId="77777777">
        <w:trPr>
          <w:trHeight w:val="20"/>
          <w:jc w:val="center"/>
        </w:trPr>
        <w:tc>
          <w:tcPr>
            <w:tcW w:w="1431" w:type="dxa"/>
            <w:tcBorders>
              <w:top w:val="nil"/>
              <w:left w:val="single" w:sz="4" w:space="0" w:color="auto"/>
              <w:bottom w:val="single" w:sz="4" w:space="0" w:color="auto"/>
              <w:right w:val="single" w:sz="4" w:space="0" w:color="auto"/>
            </w:tcBorders>
            <w:shd w:val="clear" w:color="auto" w:fill="auto"/>
          </w:tcPr>
          <w:p w14:paraId="56F0E61F" w14:textId="77777777" w:rsidR="00A052DC" w:rsidRDefault="009F0A60" w:rsidP="000767B8">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B01/B05/C01/</w:t>
            </w:r>
            <w:r w:rsidR="00AB6FE5">
              <w:rPr>
                <w:rFonts w:ascii="黑体" w:eastAsia="黑体" w:hAnsi="黑体" w:cs="宋体" w:hint="eastAsia"/>
                <w:color w:val="000000"/>
                <w:kern w:val="0"/>
                <w:sz w:val="20"/>
                <w:szCs w:val="20"/>
              </w:rPr>
              <w:t>H01/</w:t>
            </w:r>
            <w:r>
              <w:rPr>
                <w:rFonts w:ascii="黑体" w:eastAsia="黑体" w:hAnsi="黑体" w:cs="宋体"/>
                <w:color w:val="000000"/>
                <w:kern w:val="0"/>
                <w:sz w:val="20"/>
                <w:szCs w:val="20"/>
              </w:rPr>
              <w:t>H02</w:t>
            </w:r>
          </w:p>
        </w:tc>
        <w:tc>
          <w:tcPr>
            <w:tcW w:w="1418" w:type="dxa"/>
            <w:tcBorders>
              <w:top w:val="nil"/>
              <w:left w:val="nil"/>
              <w:bottom w:val="single" w:sz="4" w:space="0" w:color="auto"/>
              <w:right w:val="single" w:sz="4" w:space="0" w:color="auto"/>
            </w:tcBorders>
            <w:shd w:val="clear" w:color="auto" w:fill="auto"/>
          </w:tcPr>
          <w:p w14:paraId="72B92227" w14:textId="77777777" w:rsidR="00A052DC" w:rsidRDefault="009F0A60" w:rsidP="000767B8">
            <w:pPr>
              <w:widowControl/>
              <w:rPr>
                <w:rFonts w:ascii="黑体" w:eastAsia="黑体" w:hAnsi="黑体" w:cs="宋体"/>
                <w:color w:val="000000"/>
                <w:kern w:val="0"/>
                <w:sz w:val="20"/>
                <w:szCs w:val="20"/>
              </w:rPr>
            </w:pPr>
            <w:r>
              <w:rPr>
                <w:rFonts w:ascii="黑体" w:eastAsia="黑体" w:hAnsi="黑体" w:cs="宋体"/>
                <w:color w:val="000000"/>
                <w:kern w:val="0"/>
                <w:sz w:val="20"/>
                <w:szCs w:val="20"/>
              </w:rPr>
              <w:t>B0117/B0514/C0115/</w:t>
            </w:r>
            <w:r w:rsidR="00AB6FE5" w:rsidRPr="00AB6FE5">
              <w:rPr>
                <w:rFonts w:ascii="黑体" w:eastAsia="黑体" w:hAnsi="黑体" w:cs="宋体"/>
                <w:color w:val="000000"/>
                <w:kern w:val="0"/>
                <w:sz w:val="20"/>
                <w:szCs w:val="20"/>
              </w:rPr>
              <w:t>H0119</w:t>
            </w:r>
            <w:r w:rsidR="00AB6FE5" w:rsidRPr="00AB6FE5">
              <w:rPr>
                <w:rFonts w:ascii="黑体" w:eastAsia="黑体" w:hAnsi="黑体" w:cs="宋体" w:hint="eastAsia"/>
                <w:color w:val="000000"/>
                <w:kern w:val="0"/>
                <w:sz w:val="20"/>
                <w:szCs w:val="20"/>
              </w:rPr>
              <w:t>/</w:t>
            </w:r>
            <w:r>
              <w:rPr>
                <w:rFonts w:ascii="黑体" w:eastAsia="黑体" w:hAnsi="黑体" w:cs="宋体"/>
                <w:color w:val="000000"/>
                <w:kern w:val="0"/>
                <w:sz w:val="20"/>
                <w:szCs w:val="20"/>
              </w:rPr>
              <w:t>H0220</w:t>
            </w:r>
          </w:p>
        </w:tc>
        <w:tc>
          <w:tcPr>
            <w:tcW w:w="2976" w:type="dxa"/>
            <w:tcBorders>
              <w:top w:val="nil"/>
              <w:left w:val="nil"/>
              <w:bottom w:val="single" w:sz="4" w:space="0" w:color="auto"/>
              <w:right w:val="single" w:sz="4" w:space="0" w:color="auto"/>
            </w:tcBorders>
            <w:shd w:val="clear" w:color="auto" w:fill="auto"/>
          </w:tcPr>
          <w:p w14:paraId="43602BC7"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本月非交易变动：其中价值重估因素</w:t>
            </w:r>
          </w:p>
        </w:tc>
        <w:tc>
          <w:tcPr>
            <w:tcW w:w="2790" w:type="dxa"/>
            <w:tcBorders>
              <w:top w:val="nil"/>
              <w:left w:val="nil"/>
              <w:bottom w:val="single" w:sz="4" w:space="0" w:color="auto"/>
              <w:right w:val="single" w:sz="4" w:space="0" w:color="auto"/>
            </w:tcBorders>
            <w:shd w:val="clear" w:color="auto" w:fill="auto"/>
          </w:tcPr>
          <w:p w14:paraId="5B7C43A3"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价值重估因素</w:t>
            </w:r>
          </w:p>
        </w:tc>
      </w:tr>
      <w:tr w:rsidR="00A052DC" w14:paraId="2493CEFE" w14:textId="77777777">
        <w:trPr>
          <w:trHeight w:val="20"/>
          <w:jc w:val="center"/>
        </w:trPr>
        <w:tc>
          <w:tcPr>
            <w:tcW w:w="1431" w:type="dxa"/>
            <w:tcBorders>
              <w:top w:val="nil"/>
              <w:left w:val="single" w:sz="4" w:space="0" w:color="auto"/>
              <w:bottom w:val="single" w:sz="4" w:space="0" w:color="auto"/>
              <w:right w:val="single" w:sz="4" w:space="0" w:color="auto"/>
            </w:tcBorders>
            <w:shd w:val="clear" w:color="auto" w:fill="auto"/>
          </w:tcPr>
          <w:p w14:paraId="12C04782"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D02</w:t>
            </w:r>
          </w:p>
        </w:tc>
        <w:tc>
          <w:tcPr>
            <w:tcW w:w="1418" w:type="dxa"/>
            <w:tcBorders>
              <w:top w:val="nil"/>
              <w:left w:val="nil"/>
              <w:bottom w:val="single" w:sz="4" w:space="0" w:color="auto"/>
              <w:right w:val="single" w:sz="4" w:space="0" w:color="auto"/>
            </w:tcBorders>
            <w:shd w:val="clear" w:color="auto" w:fill="auto"/>
          </w:tcPr>
          <w:p w14:paraId="7583EEFC"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D0202</w:t>
            </w:r>
          </w:p>
        </w:tc>
        <w:tc>
          <w:tcPr>
            <w:tcW w:w="2976" w:type="dxa"/>
            <w:tcBorders>
              <w:top w:val="nil"/>
              <w:left w:val="nil"/>
              <w:bottom w:val="single" w:sz="4" w:space="0" w:color="auto"/>
              <w:right w:val="single" w:sz="4" w:space="0" w:color="auto"/>
            </w:tcBorders>
            <w:shd w:val="clear" w:color="auto" w:fill="auto"/>
          </w:tcPr>
          <w:p w14:paraId="6174328E"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委托人所属部门</w:t>
            </w:r>
          </w:p>
        </w:tc>
        <w:tc>
          <w:tcPr>
            <w:tcW w:w="2790" w:type="dxa"/>
            <w:tcBorders>
              <w:top w:val="nil"/>
              <w:left w:val="nil"/>
              <w:bottom w:val="single" w:sz="4" w:space="0" w:color="auto"/>
              <w:right w:val="single" w:sz="4" w:space="0" w:color="auto"/>
            </w:tcBorders>
            <w:shd w:val="clear" w:color="auto" w:fill="auto"/>
          </w:tcPr>
          <w:p w14:paraId="41C458EA"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居民委托人所属部门</w:t>
            </w:r>
          </w:p>
        </w:tc>
      </w:tr>
      <w:tr w:rsidR="00A052DC" w14:paraId="2B7F11B2" w14:textId="77777777">
        <w:trPr>
          <w:trHeight w:val="20"/>
          <w:jc w:val="center"/>
        </w:trPr>
        <w:tc>
          <w:tcPr>
            <w:tcW w:w="1431" w:type="dxa"/>
            <w:tcBorders>
              <w:top w:val="nil"/>
              <w:left w:val="single" w:sz="4" w:space="0" w:color="auto"/>
              <w:bottom w:val="single" w:sz="4" w:space="0" w:color="auto"/>
              <w:right w:val="single" w:sz="4" w:space="0" w:color="auto"/>
            </w:tcBorders>
            <w:shd w:val="clear" w:color="auto" w:fill="auto"/>
          </w:tcPr>
          <w:p w14:paraId="5578B2C6"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D02/D05/D06</w:t>
            </w:r>
          </w:p>
        </w:tc>
        <w:tc>
          <w:tcPr>
            <w:tcW w:w="1418" w:type="dxa"/>
            <w:tcBorders>
              <w:top w:val="nil"/>
              <w:left w:val="nil"/>
              <w:bottom w:val="single" w:sz="4" w:space="0" w:color="auto"/>
              <w:right w:val="single" w:sz="4" w:space="0" w:color="auto"/>
            </w:tcBorders>
            <w:shd w:val="clear" w:color="auto" w:fill="auto"/>
          </w:tcPr>
          <w:p w14:paraId="126F413B" w14:textId="77777777" w:rsidR="00A052DC" w:rsidRDefault="009F0A60">
            <w:pPr>
              <w:widowControl/>
              <w:rPr>
                <w:rFonts w:ascii="黑体" w:eastAsia="黑体" w:hAnsi="黑体" w:cs="宋体"/>
                <w:color w:val="000000"/>
                <w:kern w:val="0"/>
                <w:sz w:val="20"/>
                <w:szCs w:val="20"/>
              </w:rPr>
            </w:pPr>
            <w:r>
              <w:rPr>
                <w:rFonts w:ascii="黑体" w:eastAsia="黑体" w:hAnsi="黑体" w:cs="宋体"/>
                <w:color w:val="000000"/>
                <w:kern w:val="0"/>
                <w:sz w:val="20"/>
                <w:szCs w:val="20"/>
              </w:rPr>
              <w:t>D0211/D0510</w:t>
            </w:r>
          </w:p>
        </w:tc>
        <w:tc>
          <w:tcPr>
            <w:tcW w:w="2976" w:type="dxa"/>
            <w:tcBorders>
              <w:top w:val="nil"/>
              <w:left w:val="nil"/>
              <w:bottom w:val="single" w:sz="4" w:space="0" w:color="auto"/>
              <w:right w:val="single" w:sz="4" w:space="0" w:color="auto"/>
            </w:tcBorders>
            <w:shd w:val="clear" w:color="auto" w:fill="auto"/>
          </w:tcPr>
          <w:p w14:paraId="51262C1B"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本月末本金余额：其中剩余期限在一年及以下</w:t>
            </w:r>
          </w:p>
        </w:tc>
        <w:tc>
          <w:tcPr>
            <w:tcW w:w="2790" w:type="dxa"/>
            <w:tcBorders>
              <w:top w:val="nil"/>
              <w:left w:val="nil"/>
              <w:bottom w:val="single" w:sz="4" w:space="0" w:color="auto"/>
              <w:right w:val="single" w:sz="4" w:space="0" w:color="auto"/>
            </w:tcBorders>
            <w:shd w:val="clear" w:color="auto" w:fill="auto"/>
          </w:tcPr>
          <w:p w14:paraId="4076E013"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本月末本金余额其中：剩余期限在一年及以下</w:t>
            </w:r>
          </w:p>
        </w:tc>
      </w:tr>
      <w:tr w:rsidR="00A052DC" w14:paraId="7955EDF3" w14:textId="77777777">
        <w:trPr>
          <w:trHeight w:val="20"/>
          <w:jc w:val="center"/>
        </w:trPr>
        <w:tc>
          <w:tcPr>
            <w:tcW w:w="1431" w:type="dxa"/>
            <w:tcBorders>
              <w:top w:val="nil"/>
              <w:left w:val="single" w:sz="4" w:space="0" w:color="auto"/>
              <w:bottom w:val="single" w:sz="4" w:space="0" w:color="auto"/>
              <w:right w:val="single" w:sz="4" w:space="0" w:color="auto"/>
            </w:tcBorders>
            <w:shd w:val="clear" w:color="auto" w:fill="auto"/>
          </w:tcPr>
          <w:p w14:paraId="44D69682"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F01/F02</w:t>
            </w:r>
          </w:p>
        </w:tc>
        <w:tc>
          <w:tcPr>
            <w:tcW w:w="1418" w:type="dxa"/>
            <w:tcBorders>
              <w:top w:val="nil"/>
              <w:left w:val="nil"/>
              <w:bottom w:val="single" w:sz="4" w:space="0" w:color="auto"/>
              <w:right w:val="single" w:sz="4" w:space="0" w:color="auto"/>
            </w:tcBorders>
            <w:shd w:val="clear" w:color="auto" w:fill="auto"/>
          </w:tcPr>
          <w:p w14:paraId="7758BF95" w14:textId="77777777" w:rsidR="00A052DC" w:rsidRDefault="009F0A60">
            <w:pPr>
              <w:widowControl/>
              <w:rPr>
                <w:rFonts w:ascii="黑体" w:eastAsia="黑体" w:hAnsi="黑体" w:cs="宋体"/>
                <w:color w:val="000000"/>
                <w:kern w:val="0"/>
                <w:sz w:val="20"/>
                <w:szCs w:val="20"/>
              </w:rPr>
            </w:pPr>
            <w:bookmarkStart w:id="120" w:name="RANGE!B22"/>
            <w:r>
              <w:rPr>
                <w:rFonts w:ascii="黑体" w:eastAsia="黑体" w:hAnsi="黑体" w:cs="宋体"/>
                <w:color w:val="000000"/>
                <w:kern w:val="0"/>
                <w:sz w:val="20"/>
                <w:szCs w:val="20"/>
              </w:rPr>
              <w:t>F0110</w:t>
            </w:r>
            <w:bookmarkEnd w:id="120"/>
          </w:p>
        </w:tc>
        <w:tc>
          <w:tcPr>
            <w:tcW w:w="2976" w:type="dxa"/>
            <w:tcBorders>
              <w:top w:val="nil"/>
              <w:left w:val="nil"/>
              <w:bottom w:val="single" w:sz="4" w:space="0" w:color="auto"/>
              <w:right w:val="single" w:sz="4" w:space="0" w:color="auto"/>
            </w:tcBorders>
            <w:shd w:val="clear" w:color="auto" w:fill="auto"/>
          </w:tcPr>
          <w:p w14:paraId="22BAA679"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本月末余额：其中剩余期限在一年及以下</w:t>
            </w:r>
          </w:p>
        </w:tc>
        <w:tc>
          <w:tcPr>
            <w:tcW w:w="2790" w:type="dxa"/>
            <w:tcBorders>
              <w:top w:val="nil"/>
              <w:left w:val="nil"/>
              <w:bottom w:val="single" w:sz="4" w:space="0" w:color="auto"/>
              <w:right w:val="single" w:sz="4" w:space="0" w:color="auto"/>
            </w:tcBorders>
            <w:shd w:val="clear" w:color="auto" w:fill="auto"/>
          </w:tcPr>
          <w:p w14:paraId="6D9146CC"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本月末余额其中：剩余期限在一年及以下</w:t>
            </w:r>
          </w:p>
        </w:tc>
      </w:tr>
      <w:tr w:rsidR="00A052DC" w14:paraId="158B5FD3" w14:textId="77777777">
        <w:trPr>
          <w:trHeight w:val="20"/>
          <w:jc w:val="center"/>
        </w:trPr>
        <w:tc>
          <w:tcPr>
            <w:tcW w:w="1431" w:type="dxa"/>
            <w:tcBorders>
              <w:top w:val="nil"/>
              <w:left w:val="single" w:sz="4" w:space="0" w:color="auto"/>
              <w:bottom w:val="single" w:sz="4" w:space="0" w:color="auto"/>
              <w:right w:val="single" w:sz="4" w:space="0" w:color="auto"/>
            </w:tcBorders>
            <w:shd w:val="clear" w:color="auto" w:fill="auto"/>
          </w:tcPr>
          <w:p w14:paraId="70968E91"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H01</w:t>
            </w:r>
          </w:p>
        </w:tc>
        <w:tc>
          <w:tcPr>
            <w:tcW w:w="1418" w:type="dxa"/>
            <w:tcBorders>
              <w:top w:val="nil"/>
              <w:left w:val="nil"/>
              <w:bottom w:val="single" w:sz="4" w:space="0" w:color="auto"/>
              <w:right w:val="single" w:sz="4" w:space="0" w:color="auto"/>
            </w:tcBorders>
            <w:shd w:val="clear" w:color="auto" w:fill="auto"/>
          </w:tcPr>
          <w:p w14:paraId="5AE8444A" w14:textId="77777777" w:rsidR="00A052DC" w:rsidRDefault="009F0A60">
            <w:pPr>
              <w:widowControl/>
              <w:rPr>
                <w:rFonts w:ascii="黑体" w:eastAsia="黑体" w:hAnsi="黑体" w:cs="宋体"/>
                <w:color w:val="000000"/>
                <w:kern w:val="0"/>
                <w:sz w:val="20"/>
                <w:szCs w:val="20"/>
              </w:rPr>
            </w:pPr>
            <w:r>
              <w:rPr>
                <w:rFonts w:ascii="黑体" w:eastAsia="黑体" w:hAnsi="黑体" w:cs="宋体"/>
                <w:color w:val="000000"/>
                <w:kern w:val="0"/>
                <w:sz w:val="20"/>
                <w:szCs w:val="20"/>
              </w:rPr>
              <w:t>H0110</w:t>
            </w:r>
          </w:p>
        </w:tc>
        <w:tc>
          <w:tcPr>
            <w:tcW w:w="2976" w:type="dxa"/>
            <w:tcBorders>
              <w:top w:val="nil"/>
              <w:left w:val="nil"/>
              <w:bottom w:val="single" w:sz="4" w:space="0" w:color="auto"/>
              <w:right w:val="single" w:sz="4" w:space="0" w:color="auto"/>
            </w:tcBorders>
            <w:shd w:val="clear" w:color="auto" w:fill="auto"/>
          </w:tcPr>
          <w:p w14:paraId="1B90AF37"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投资工具发行人（对手方）所属部门</w:t>
            </w:r>
          </w:p>
        </w:tc>
        <w:tc>
          <w:tcPr>
            <w:tcW w:w="2790" w:type="dxa"/>
            <w:tcBorders>
              <w:top w:val="nil"/>
              <w:left w:val="nil"/>
              <w:bottom w:val="single" w:sz="4" w:space="0" w:color="auto"/>
              <w:right w:val="single" w:sz="4" w:space="0" w:color="auto"/>
            </w:tcBorders>
            <w:shd w:val="clear" w:color="auto" w:fill="auto"/>
          </w:tcPr>
          <w:p w14:paraId="189E8CC7"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投资工具发行人所属部门</w:t>
            </w:r>
          </w:p>
        </w:tc>
      </w:tr>
      <w:tr w:rsidR="00A052DC" w14:paraId="49B558D1" w14:textId="77777777">
        <w:trPr>
          <w:trHeight w:val="20"/>
          <w:jc w:val="center"/>
        </w:trPr>
        <w:tc>
          <w:tcPr>
            <w:tcW w:w="1431" w:type="dxa"/>
            <w:tcBorders>
              <w:top w:val="nil"/>
              <w:left w:val="single" w:sz="4" w:space="0" w:color="auto"/>
              <w:bottom w:val="single" w:sz="4" w:space="0" w:color="auto"/>
              <w:right w:val="single" w:sz="4" w:space="0" w:color="auto"/>
            </w:tcBorders>
            <w:shd w:val="clear" w:color="auto" w:fill="auto"/>
          </w:tcPr>
          <w:p w14:paraId="1EE7D79A"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H01</w:t>
            </w:r>
          </w:p>
        </w:tc>
        <w:tc>
          <w:tcPr>
            <w:tcW w:w="1418" w:type="dxa"/>
            <w:tcBorders>
              <w:top w:val="nil"/>
              <w:left w:val="nil"/>
              <w:bottom w:val="single" w:sz="4" w:space="0" w:color="auto"/>
              <w:right w:val="single" w:sz="4" w:space="0" w:color="auto"/>
            </w:tcBorders>
            <w:shd w:val="clear" w:color="auto" w:fill="auto"/>
          </w:tcPr>
          <w:p w14:paraId="3F470065" w14:textId="77777777" w:rsidR="00A052DC" w:rsidRDefault="009F0A60">
            <w:pPr>
              <w:widowControl/>
              <w:rPr>
                <w:rFonts w:ascii="黑体" w:eastAsia="黑体" w:hAnsi="黑体" w:cs="宋体"/>
                <w:color w:val="000000"/>
                <w:kern w:val="0"/>
                <w:sz w:val="20"/>
                <w:szCs w:val="20"/>
              </w:rPr>
            </w:pPr>
            <w:r>
              <w:rPr>
                <w:rFonts w:ascii="黑体" w:eastAsia="黑体" w:hAnsi="黑体" w:cs="宋体"/>
                <w:color w:val="000000"/>
                <w:kern w:val="0"/>
                <w:sz w:val="20"/>
                <w:szCs w:val="20"/>
              </w:rPr>
              <w:t>H0111</w:t>
            </w:r>
          </w:p>
        </w:tc>
        <w:tc>
          <w:tcPr>
            <w:tcW w:w="2976" w:type="dxa"/>
            <w:tcBorders>
              <w:top w:val="nil"/>
              <w:left w:val="nil"/>
              <w:bottom w:val="single" w:sz="4" w:space="0" w:color="auto"/>
              <w:right w:val="single" w:sz="4" w:space="0" w:color="auto"/>
            </w:tcBorders>
            <w:shd w:val="clear" w:color="auto" w:fill="auto"/>
          </w:tcPr>
          <w:p w14:paraId="21E6E72E"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非居民委托人与境内发行人（对手方）的关系</w:t>
            </w:r>
          </w:p>
        </w:tc>
        <w:tc>
          <w:tcPr>
            <w:tcW w:w="2790" w:type="dxa"/>
            <w:tcBorders>
              <w:top w:val="nil"/>
              <w:left w:val="nil"/>
              <w:bottom w:val="single" w:sz="4" w:space="0" w:color="auto"/>
              <w:right w:val="single" w:sz="4" w:space="0" w:color="auto"/>
            </w:tcBorders>
            <w:shd w:val="clear" w:color="auto" w:fill="auto"/>
          </w:tcPr>
          <w:p w14:paraId="323F83F0"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非居民委托人与境内发行人的关系</w:t>
            </w:r>
          </w:p>
        </w:tc>
      </w:tr>
      <w:tr w:rsidR="00A052DC" w14:paraId="6560396C" w14:textId="77777777">
        <w:trPr>
          <w:trHeight w:val="20"/>
          <w:jc w:val="center"/>
        </w:trPr>
        <w:tc>
          <w:tcPr>
            <w:tcW w:w="1431" w:type="dxa"/>
            <w:tcBorders>
              <w:top w:val="nil"/>
              <w:left w:val="single" w:sz="4" w:space="0" w:color="auto"/>
              <w:bottom w:val="single" w:sz="4" w:space="0" w:color="auto"/>
              <w:right w:val="single" w:sz="4" w:space="0" w:color="auto"/>
            </w:tcBorders>
            <w:shd w:val="clear" w:color="auto" w:fill="auto"/>
          </w:tcPr>
          <w:p w14:paraId="4D1D2078"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H02</w:t>
            </w:r>
          </w:p>
        </w:tc>
        <w:tc>
          <w:tcPr>
            <w:tcW w:w="1418" w:type="dxa"/>
            <w:tcBorders>
              <w:top w:val="nil"/>
              <w:left w:val="nil"/>
              <w:bottom w:val="single" w:sz="4" w:space="0" w:color="auto"/>
              <w:right w:val="single" w:sz="4" w:space="0" w:color="auto"/>
            </w:tcBorders>
            <w:shd w:val="clear" w:color="auto" w:fill="auto"/>
          </w:tcPr>
          <w:p w14:paraId="71736D90" w14:textId="77777777" w:rsidR="00A052DC" w:rsidRDefault="009F0A60">
            <w:pPr>
              <w:widowControl/>
              <w:rPr>
                <w:rFonts w:ascii="黑体" w:eastAsia="黑体" w:hAnsi="黑体" w:cs="宋体"/>
                <w:color w:val="000000"/>
                <w:kern w:val="0"/>
                <w:sz w:val="20"/>
                <w:szCs w:val="20"/>
              </w:rPr>
            </w:pPr>
            <w:r>
              <w:rPr>
                <w:rFonts w:ascii="黑体" w:eastAsia="黑体" w:hAnsi="黑体" w:cs="宋体"/>
                <w:color w:val="000000"/>
                <w:kern w:val="0"/>
                <w:sz w:val="20"/>
                <w:szCs w:val="20"/>
              </w:rPr>
              <w:t>H0222</w:t>
            </w:r>
          </w:p>
        </w:tc>
        <w:tc>
          <w:tcPr>
            <w:tcW w:w="2976" w:type="dxa"/>
            <w:tcBorders>
              <w:top w:val="nil"/>
              <w:left w:val="nil"/>
              <w:bottom w:val="single" w:sz="4" w:space="0" w:color="auto"/>
              <w:right w:val="single" w:sz="4" w:space="0" w:color="auto"/>
            </w:tcBorders>
            <w:shd w:val="clear" w:color="auto" w:fill="auto"/>
          </w:tcPr>
          <w:p w14:paraId="743F2293"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本月末市值：其中剩余期限在一年及以下</w:t>
            </w:r>
          </w:p>
        </w:tc>
        <w:tc>
          <w:tcPr>
            <w:tcW w:w="2790" w:type="dxa"/>
            <w:tcBorders>
              <w:top w:val="nil"/>
              <w:left w:val="nil"/>
              <w:bottom w:val="single" w:sz="4" w:space="0" w:color="auto"/>
              <w:right w:val="single" w:sz="4" w:space="0" w:color="auto"/>
            </w:tcBorders>
            <w:shd w:val="clear" w:color="auto" w:fill="auto"/>
          </w:tcPr>
          <w:p w14:paraId="351E4595"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本月末市值其中：剩余期限在一年及以下</w:t>
            </w:r>
          </w:p>
        </w:tc>
      </w:tr>
    </w:tbl>
    <w:p w14:paraId="3787CB56" w14:textId="77777777" w:rsidR="00A052DC" w:rsidRDefault="00A052DC"/>
    <w:p w14:paraId="6F9079AE" w14:textId="77777777" w:rsidR="00A052DC" w:rsidRDefault="009F0A60" w:rsidP="0020251D">
      <w:pPr>
        <w:pStyle w:val="5"/>
      </w:pPr>
      <w:r>
        <w:t>1.4.3.</w:t>
      </w:r>
      <w:r>
        <w:rPr>
          <w:rFonts w:hint="eastAsia"/>
        </w:rPr>
        <w:t>8</w:t>
      </w:r>
      <w:r>
        <w:t>.5</w:t>
      </w:r>
      <w:r>
        <w:rPr>
          <w:rFonts w:hint="eastAsia"/>
        </w:rPr>
        <w:t>表名调整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1"/>
        <w:gridCol w:w="3557"/>
        <w:gridCol w:w="3544"/>
      </w:tblGrid>
      <w:tr w:rsidR="00A052DC" w14:paraId="64C7F6D0" w14:textId="77777777">
        <w:trPr>
          <w:tblHeader/>
        </w:trPr>
        <w:tc>
          <w:tcPr>
            <w:tcW w:w="1371" w:type="dxa"/>
            <w:shd w:val="clear" w:color="auto" w:fill="BFBFBF"/>
          </w:tcPr>
          <w:p w14:paraId="14990771" w14:textId="77777777" w:rsidR="00A052DC" w:rsidRDefault="009F0A60">
            <w:pPr>
              <w:tabs>
                <w:tab w:val="left" w:pos="420"/>
              </w:tabs>
              <w:ind w:left="420" w:hanging="420"/>
              <w:jc w:val="center"/>
              <w:rPr>
                <w:rFonts w:ascii="黑体" w:eastAsia="黑体" w:hAnsi="宋体" w:cs="宋体"/>
                <w:b/>
                <w:kern w:val="0"/>
                <w:sz w:val="20"/>
                <w:szCs w:val="20"/>
              </w:rPr>
            </w:pPr>
            <w:r>
              <w:rPr>
                <w:rFonts w:ascii="黑体" w:eastAsia="黑体" w:hAnsi="宋体" w:cs="宋体" w:hint="eastAsia"/>
                <w:b/>
                <w:kern w:val="0"/>
                <w:sz w:val="20"/>
                <w:szCs w:val="20"/>
              </w:rPr>
              <w:t>表号</w:t>
            </w:r>
          </w:p>
        </w:tc>
        <w:tc>
          <w:tcPr>
            <w:tcW w:w="3557" w:type="dxa"/>
            <w:shd w:val="clear" w:color="auto" w:fill="BFBFBF"/>
          </w:tcPr>
          <w:p w14:paraId="4DBF3E03" w14:textId="77777777" w:rsidR="00A052DC" w:rsidRDefault="009F0A60">
            <w:pPr>
              <w:tabs>
                <w:tab w:val="left" w:pos="420"/>
              </w:tabs>
              <w:ind w:left="420" w:hanging="420"/>
              <w:jc w:val="center"/>
              <w:rPr>
                <w:rFonts w:ascii="黑体" w:eastAsia="黑体" w:hAnsi="宋体" w:cs="宋体"/>
                <w:b/>
                <w:kern w:val="0"/>
                <w:sz w:val="20"/>
                <w:szCs w:val="20"/>
              </w:rPr>
            </w:pPr>
            <w:r>
              <w:rPr>
                <w:rFonts w:ascii="黑体" w:eastAsia="黑体" w:hAnsi="宋体" w:cs="宋体" w:hint="eastAsia"/>
                <w:b/>
                <w:kern w:val="0"/>
                <w:sz w:val="20"/>
                <w:szCs w:val="20"/>
              </w:rPr>
              <w:t>原表名称</w:t>
            </w:r>
          </w:p>
        </w:tc>
        <w:tc>
          <w:tcPr>
            <w:tcW w:w="3544" w:type="dxa"/>
            <w:shd w:val="clear" w:color="auto" w:fill="BFBFBF"/>
          </w:tcPr>
          <w:p w14:paraId="3CBAC943" w14:textId="77777777" w:rsidR="00A052DC" w:rsidRDefault="009F0A60">
            <w:pPr>
              <w:tabs>
                <w:tab w:val="left" w:pos="420"/>
              </w:tabs>
              <w:ind w:left="420" w:hanging="420"/>
              <w:jc w:val="center"/>
              <w:rPr>
                <w:rFonts w:ascii="黑体" w:eastAsia="黑体" w:hAnsi="宋体" w:cs="宋体"/>
                <w:b/>
                <w:kern w:val="0"/>
                <w:sz w:val="20"/>
                <w:szCs w:val="20"/>
              </w:rPr>
            </w:pPr>
            <w:r>
              <w:rPr>
                <w:rFonts w:ascii="黑体" w:eastAsia="黑体" w:hAnsi="宋体" w:cs="宋体" w:hint="eastAsia"/>
                <w:b/>
                <w:kern w:val="0"/>
                <w:sz w:val="20"/>
                <w:szCs w:val="20"/>
              </w:rPr>
              <w:t>修改后表名称</w:t>
            </w:r>
          </w:p>
        </w:tc>
      </w:tr>
      <w:tr w:rsidR="00A052DC" w14:paraId="19744C6A" w14:textId="77777777">
        <w:tc>
          <w:tcPr>
            <w:tcW w:w="1371" w:type="dxa"/>
            <w:vAlign w:val="center"/>
          </w:tcPr>
          <w:p w14:paraId="665483D8" w14:textId="77777777" w:rsidR="00A052DC" w:rsidRDefault="009F0A60">
            <w:pPr>
              <w:tabs>
                <w:tab w:val="left" w:pos="420"/>
              </w:tabs>
              <w:ind w:left="420" w:hanging="420"/>
              <w:jc w:val="center"/>
              <w:rPr>
                <w:rFonts w:ascii="黑体" w:eastAsia="黑体" w:hAnsi="宋体" w:cs="宋体"/>
                <w:kern w:val="0"/>
                <w:sz w:val="20"/>
                <w:szCs w:val="20"/>
              </w:rPr>
            </w:pPr>
            <w:r>
              <w:rPr>
                <w:rFonts w:ascii="黑体" w:eastAsia="黑体" w:hAnsi="宋体" w:cs="宋体"/>
                <w:kern w:val="0"/>
                <w:sz w:val="20"/>
                <w:szCs w:val="20"/>
              </w:rPr>
              <w:t>Z01</w:t>
            </w:r>
          </w:p>
        </w:tc>
        <w:tc>
          <w:tcPr>
            <w:tcW w:w="3557" w:type="dxa"/>
            <w:vAlign w:val="center"/>
          </w:tcPr>
          <w:p w14:paraId="5352E017" w14:textId="77777777" w:rsidR="00A052DC" w:rsidRDefault="009F0A60">
            <w:pPr>
              <w:tabs>
                <w:tab w:val="left" w:pos="420"/>
              </w:tabs>
              <w:ind w:left="420" w:hanging="420"/>
              <w:jc w:val="left"/>
              <w:rPr>
                <w:rFonts w:ascii="黑体" w:eastAsia="黑体" w:hAnsi="宋体" w:cs="宋体"/>
                <w:kern w:val="0"/>
                <w:sz w:val="20"/>
                <w:szCs w:val="20"/>
              </w:rPr>
            </w:pPr>
            <w:r>
              <w:rPr>
                <w:rFonts w:ascii="黑体" w:eastAsia="黑体" w:hAnsi="宋体" w:cs="宋体"/>
                <w:kern w:val="0"/>
                <w:sz w:val="20"/>
                <w:szCs w:val="20"/>
              </w:rPr>
              <w:t>Z01表：申报主体基本信息</w:t>
            </w:r>
          </w:p>
        </w:tc>
        <w:tc>
          <w:tcPr>
            <w:tcW w:w="3544" w:type="dxa"/>
            <w:vAlign w:val="center"/>
          </w:tcPr>
          <w:p w14:paraId="2D6BBE67" w14:textId="77777777" w:rsidR="00A052DC" w:rsidRDefault="009F0A60">
            <w:pPr>
              <w:tabs>
                <w:tab w:val="left" w:pos="420"/>
              </w:tabs>
              <w:ind w:left="420" w:hanging="420"/>
              <w:jc w:val="left"/>
              <w:rPr>
                <w:rFonts w:ascii="黑体" w:eastAsia="黑体" w:hAnsi="宋体" w:cs="宋体"/>
                <w:kern w:val="0"/>
                <w:sz w:val="20"/>
                <w:szCs w:val="20"/>
              </w:rPr>
            </w:pPr>
            <w:r>
              <w:rPr>
                <w:rFonts w:ascii="黑体" w:eastAsia="黑体" w:hAnsi="宋体" w:cs="宋体"/>
                <w:kern w:val="0"/>
                <w:sz w:val="20"/>
                <w:szCs w:val="20"/>
              </w:rPr>
              <w:t>Z01表：单位基本情况信息</w:t>
            </w:r>
          </w:p>
        </w:tc>
      </w:tr>
      <w:tr w:rsidR="00A052DC" w14:paraId="718C998E" w14:textId="77777777">
        <w:tc>
          <w:tcPr>
            <w:tcW w:w="1371" w:type="dxa"/>
            <w:vAlign w:val="center"/>
          </w:tcPr>
          <w:p w14:paraId="1DA42D91" w14:textId="77777777" w:rsidR="00A052DC" w:rsidRDefault="009F0A60">
            <w:pPr>
              <w:tabs>
                <w:tab w:val="left" w:pos="420"/>
              </w:tabs>
              <w:ind w:left="420" w:hanging="420"/>
              <w:jc w:val="center"/>
              <w:rPr>
                <w:rFonts w:ascii="黑体" w:eastAsia="黑体" w:hAnsi="宋体" w:cs="宋体"/>
                <w:kern w:val="0"/>
                <w:sz w:val="20"/>
                <w:szCs w:val="20"/>
              </w:rPr>
            </w:pPr>
            <w:r>
              <w:rPr>
                <w:rFonts w:ascii="黑体" w:eastAsia="黑体" w:hAnsi="宋体" w:cs="宋体" w:hint="eastAsia"/>
                <w:kern w:val="0"/>
                <w:sz w:val="20"/>
                <w:szCs w:val="20"/>
              </w:rPr>
              <w:t>Z02</w:t>
            </w:r>
          </w:p>
        </w:tc>
        <w:tc>
          <w:tcPr>
            <w:tcW w:w="3557" w:type="dxa"/>
            <w:vAlign w:val="center"/>
          </w:tcPr>
          <w:p w14:paraId="3E74C9D9" w14:textId="77777777" w:rsidR="00A052DC" w:rsidRDefault="009F0A60">
            <w:pPr>
              <w:tabs>
                <w:tab w:val="left" w:pos="420"/>
              </w:tabs>
              <w:ind w:left="420" w:hanging="420"/>
              <w:jc w:val="left"/>
              <w:rPr>
                <w:rFonts w:ascii="黑体" w:eastAsia="黑体" w:hAnsi="宋体" w:cs="宋体"/>
                <w:kern w:val="0"/>
                <w:sz w:val="20"/>
                <w:szCs w:val="20"/>
              </w:rPr>
            </w:pPr>
            <w:r>
              <w:rPr>
                <w:rFonts w:ascii="黑体" w:eastAsia="黑体" w:hAnsi="宋体" w:cs="宋体"/>
                <w:kern w:val="0"/>
                <w:sz w:val="20"/>
                <w:szCs w:val="20"/>
              </w:rPr>
              <w:t>Z02表</w:t>
            </w:r>
            <w:r>
              <w:rPr>
                <w:rFonts w:ascii="黑体" w:eastAsia="黑体" w:hAnsi="宋体" w:cs="宋体" w:hint="eastAsia"/>
                <w:kern w:val="0"/>
                <w:sz w:val="20"/>
                <w:szCs w:val="20"/>
              </w:rPr>
              <w:t>：业务概览及联系方式表</w:t>
            </w:r>
          </w:p>
        </w:tc>
        <w:tc>
          <w:tcPr>
            <w:tcW w:w="3544" w:type="dxa"/>
            <w:vAlign w:val="center"/>
          </w:tcPr>
          <w:p w14:paraId="21707030" w14:textId="77777777" w:rsidR="00A052DC" w:rsidRDefault="009F0A60">
            <w:pPr>
              <w:tabs>
                <w:tab w:val="left" w:pos="420"/>
              </w:tabs>
              <w:ind w:left="420" w:hanging="420"/>
              <w:jc w:val="left"/>
              <w:rPr>
                <w:rFonts w:ascii="黑体" w:eastAsia="黑体" w:hAnsi="宋体" w:cs="宋体"/>
                <w:kern w:val="0"/>
                <w:sz w:val="20"/>
                <w:szCs w:val="20"/>
              </w:rPr>
            </w:pPr>
            <w:r>
              <w:rPr>
                <w:rFonts w:ascii="黑体" w:eastAsia="黑体" w:hAnsi="宋体" w:cs="宋体"/>
                <w:kern w:val="0"/>
                <w:sz w:val="20"/>
                <w:szCs w:val="20"/>
              </w:rPr>
              <w:t>Z02表</w:t>
            </w:r>
            <w:r>
              <w:rPr>
                <w:rFonts w:ascii="黑体" w:eastAsia="黑体" w:hAnsi="宋体" w:cs="宋体" w:hint="eastAsia"/>
                <w:kern w:val="0"/>
                <w:sz w:val="20"/>
                <w:szCs w:val="20"/>
              </w:rPr>
              <w:t>：业务概览及联系方式</w:t>
            </w:r>
          </w:p>
        </w:tc>
      </w:tr>
      <w:tr w:rsidR="00A052DC" w14:paraId="0138309E" w14:textId="77777777">
        <w:tc>
          <w:tcPr>
            <w:tcW w:w="1371" w:type="dxa"/>
            <w:vAlign w:val="center"/>
          </w:tcPr>
          <w:p w14:paraId="39EBDEAA" w14:textId="77777777" w:rsidR="00A052DC" w:rsidRDefault="009F0A60">
            <w:pPr>
              <w:tabs>
                <w:tab w:val="left" w:pos="420"/>
              </w:tabs>
              <w:ind w:left="420" w:hanging="420"/>
              <w:jc w:val="center"/>
              <w:rPr>
                <w:rFonts w:ascii="黑体" w:eastAsia="黑体" w:hAnsi="宋体" w:cs="宋体"/>
                <w:kern w:val="0"/>
                <w:sz w:val="20"/>
                <w:szCs w:val="20"/>
              </w:rPr>
            </w:pPr>
            <w:r>
              <w:rPr>
                <w:rFonts w:ascii="黑体" w:eastAsia="黑体" w:hAnsi="宋体" w:cs="宋体" w:hint="eastAsia"/>
                <w:kern w:val="0"/>
                <w:sz w:val="20"/>
                <w:szCs w:val="20"/>
              </w:rPr>
              <w:t>Z03</w:t>
            </w:r>
          </w:p>
        </w:tc>
        <w:tc>
          <w:tcPr>
            <w:tcW w:w="3557" w:type="dxa"/>
            <w:vAlign w:val="center"/>
          </w:tcPr>
          <w:p w14:paraId="28C9DFD3" w14:textId="77777777" w:rsidR="00A052DC" w:rsidRDefault="009F0A60">
            <w:pPr>
              <w:tabs>
                <w:tab w:val="left" w:pos="420"/>
              </w:tabs>
              <w:ind w:left="420" w:hanging="420"/>
              <w:jc w:val="left"/>
              <w:rPr>
                <w:rFonts w:ascii="黑体" w:eastAsia="黑体" w:hAnsi="宋体" w:cs="宋体"/>
                <w:kern w:val="0"/>
                <w:sz w:val="20"/>
                <w:szCs w:val="20"/>
              </w:rPr>
            </w:pPr>
            <w:r>
              <w:rPr>
                <w:rFonts w:ascii="黑体" w:eastAsia="黑体" w:hAnsi="宋体" w:cs="宋体"/>
                <w:kern w:val="0"/>
                <w:sz w:val="20"/>
                <w:szCs w:val="20"/>
              </w:rPr>
              <w:t>Z03表</w:t>
            </w:r>
            <w:r>
              <w:rPr>
                <w:rFonts w:ascii="黑体" w:eastAsia="黑体" w:hAnsi="宋体" w:cs="宋体" w:hint="eastAsia"/>
                <w:kern w:val="0"/>
                <w:sz w:val="20"/>
                <w:szCs w:val="20"/>
              </w:rPr>
              <w:t>：申报主体</w:t>
            </w:r>
            <w:r>
              <w:rPr>
                <w:rFonts w:ascii="黑体" w:eastAsia="黑体" w:hAnsi="宋体" w:cs="宋体"/>
                <w:kern w:val="0"/>
                <w:sz w:val="20"/>
                <w:szCs w:val="20"/>
              </w:rPr>
              <w:t>投资关系</w:t>
            </w:r>
            <w:r>
              <w:rPr>
                <w:rFonts w:ascii="黑体" w:eastAsia="黑体" w:hAnsi="宋体" w:cs="宋体" w:hint="eastAsia"/>
                <w:kern w:val="0"/>
                <w:sz w:val="20"/>
                <w:szCs w:val="20"/>
              </w:rPr>
              <w:t>（组织架构）</w:t>
            </w:r>
          </w:p>
        </w:tc>
        <w:tc>
          <w:tcPr>
            <w:tcW w:w="3544" w:type="dxa"/>
            <w:vAlign w:val="center"/>
          </w:tcPr>
          <w:p w14:paraId="639C60BD" w14:textId="77777777" w:rsidR="00A052DC" w:rsidRDefault="009F0A60">
            <w:pPr>
              <w:tabs>
                <w:tab w:val="left" w:pos="420"/>
              </w:tabs>
              <w:ind w:left="420" w:hanging="420"/>
              <w:jc w:val="left"/>
              <w:rPr>
                <w:rFonts w:ascii="黑体" w:eastAsia="黑体" w:hAnsi="宋体" w:cs="宋体"/>
                <w:kern w:val="0"/>
                <w:sz w:val="20"/>
                <w:szCs w:val="20"/>
              </w:rPr>
            </w:pPr>
            <w:r>
              <w:rPr>
                <w:rFonts w:ascii="黑体" w:eastAsia="黑体" w:hAnsi="宋体" w:cs="宋体"/>
                <w:kern w:val="0"/>
                <w:sz w:val="20"/>
                <w:szCs w:val="20"/>
              </w:rPr>
              <w:t>Z03表</w:t>
            </w:r>
            <w:r>
              <w:rPr>
                <w:rFonts w:ascii="黑体" w:eastAsia="黑体" w:hAnsi="宋体" w:cs="宋体" w:hint="eastAsia"/>
                <w:kern w:val="0"/>
                <w:sz w:val="20"/>
                <w:szCs w:val="20"/>
              </w:rPr>
              <w:t>：</w:t>
            </w:r>
            <w:r>
              <w:rPr>
                <w:rFonts w:ascii="黑体" w:eastAsia="黑体" w:hAnsi="宋体" w:cs="宋体"/>
                <w:kern w:val="0"/>
                <w:sz w:val="20"/>
                <w:szCs w:val="20"/>
              </w:rPr>
              <w:t>投资关系</w:t>
            </w:r>
            <w:r>
              <w:rPr>
                <w:rFonts w:ascii="黑体" w:eastAsia="黑体" w:hAnsi="宋体" w:cs="宋体" w:hint="eastAsia"/>
                <w:kern w:val="0"/>
                <w:sz w:val="20"/>
                <w:szCs w:val="20"/>
              </w:rPr>
              <w:t>（组织架构）</w:t>
            </w:r>
          </w:p>
        </w:tc>
      </w:tr>
      <w:tr w:rsidR="00A052DC" w14:paraId="78AB4F44" w14:textId="77777777">
        <w:tc>
          <w:tcPr>
            <w:tcW w:w="1371" w:type="dxa"/>
            <w:vAlign w:val="center"/>
          </w:tcPr>
          <w:p w14:paraId="63ADDDD6" w14:textId="77777777" w:rsidR="00A052DC" w:rsidRDefault="009F0A60">
            <w:pPr>
              <w:tabs>
                <w:tab w:val="left" w:pos="420"/>
              </w:tabs>
              <w:ind w:left="420" w:hanging="420"/>
              <w:jc w:val="center"/>
              <w:rPr>
                <w:rFonts w:ascii="黑体" w:eastAsia="黑体" w:hAnsi="宋体" w:cs="宋体"/>
                <w:kern w:val="0"/>
                <w:sz w:val="20"/>
                <w:szCs w:val="20"/>
              </w:rPr>
            </w:pPr>
            <w:r>
              <w:rPr>
                <w:rFonts w:ascii="黑体" w:eastAsia="黑体" w:hAnsi="宋体" w:cs="宋体"/>
                <w:kern w:val="0"/>
                <w:sz w:val="20"/>
                <w:szCs w:val="20"/>
              </w:rPr>
              <w:t>A01-1</w:t>
            </w:r>
          </w:p>
        </w:tc>
        <w:tc>
          <w:tcPr>
            <w:tcW w:w="3557" w:type="dxa"/>
            <w:vAlign w:val="center"/>
          </w:tcPr>
          <w:p w14:paraId="20243CAD" w14:textId="77777777" w:rsidR="00A052DC" w:rsidRDefault="009F0A60">
            <w:pPr>
              <w:tabs>
                <w:tab w:val="left" w:pos="420"/>
              </w:tabs>
              <w:ind w:left="420" w:hanging="420"/>
              <w:jc w:val="left"/>
              <w:rPr>
                <w:rFonts w:ascii="黑体" w:eastAsia="黑体" w:hAnsi="宋体" w:cs="宋体"/>
                <w:kern w:val="0"/>
                <w:sz w:val="20"/>
                <w:szCs w:val="20"/>
              </w:rPr>
            </w:pPr>
            <w:r>
              <w:rPr>
                <w:rFonts w:ascii="黑体" w:eastAsia="黑体" w:hAnsi="宋体" w:cs="宋体"/>
                <w:kern w:val="0"/>
                <w:sz w:val="20"/>
                <w:szCs w:val="20"/>
              </w:rPr>
              <w:t>A01-1：表对外直接投资（资产负债表及市值）</w:t>
            </w:r>
          </w:p>
        </w:tc>
        <w:tc>
          <w:tcPr>
            <w:tcW w:w="3544" w:type="dxa"/>
            <w:vAlign w:val="center"/>
          </w:tcPr>
          <w:p w14:paraId="2938874D" w14:textId="77777777" w:rsidR="00A052DC" w:rsidRDefault="009F0A60">
            <w:pPr>
              <w:tabs>
                <w:tab w:val="left" w:pos="420"/>
              </w:tabs>
              <w:ind w:left="420" w:hanging="420"/>
              <w:jc w:val="left"/>
              <w:rPr>
                <w:rFonts w:ascii="黑体" w:eastAsia="黑体" w:hAnsi="宋体" w:cs="宋体"/>
                <w:kern w:val="0"/>
                <w:sz w:val="20"/>
                <w:szCs w:val="20"/>
              </w:rPr>
            </w:pPr>
            <w:r>
              <w:rPr>
                <w:rFonts w:ascii="黑体" w:eastAsia="黑体" w:hAnsi="宋体" w:cs="宋体"/>
                <w:kern w:val="0"/>
                <w:sz w:val="20"/>
                <w:szCs w:val="20"/>
              </w:rPr>
              <w:t>A01-1表</w:t>
            </w:r>
            <w:r>
              <w:rPr>
                <w:rFonts w:ascii="黑体" w:eastAsia="黑体" w:hAnsi="宋体" w:cs="宋体" w:hint="eastAsia"/>
                <w:kern w:val="0"/>
                <w:sz w:val="20"/>
                <w:szCs w:val="20"/>
              </w:rPr>
              <w:t>：</w:t>
            </w:r>
            <w:r>
              <w:rPr>
                <w:rFonts w:ascii="黑体" w:eastAsia="黑体" w:hAnsi="宋体" w:cs="宋体"/>
                <w:kern w:val="0"/>
                <w:sz w:val="20"/>
                <w:szCs w:val="20"/>
              </w:rPr>
              <w:t>对外直接投资（</w:t>
            </w:r>
            <w:r>
              <w:rPr>
                <w:rFonts w:ascii="黑体" w:eastAsia="黑体" w:hAnsi="宋体" w:cs="宋体" w:hint="eastAsia"/>
                <w:kern w:val="0"/>
                <w:sz w:val="20"/>
                <w:szCs w:val="20"/>
              </w:rPr>
              <w:t>资产负债</w:t>
            </w:r>
            <w:r>
              <w:rPr>
                <w:rFonts w:ascii="黑体" w:eastAsia="黑体" w:hAnsi="宋体" w:cs="宋体"/>
                <w:kern w:val="0"/>
                <w:sz w:val="20"/>
                <w:szCs w:val="20"/>
              </w:rPr>
              <w:t>、利润</w:t>
            </w:r>
            <w:r>
              <w:rPr>
                <w:rFonts w:ascii="黑体" w:eastAsia="黑体" w:hAnsi="宋体" w:cs="宋体" w:hint="eastAsia"/>
                <w:kern w:val="0"/>
                <w:sz w:val="20"/>
                <w:szCs w:val="20"/>
              </w:rPr>
              <w:t>及市值）</w:t>
            </w:r>
          </w:p>
        </w:tc>
      </w:tr>
      <w:tr w:rsidR="00A052DC" w14:paraId="67A3B20D" w14:textId="77777777">
        <w:tc>
          <w:tcPr>
            <w:tcW w:w="1371" w:type="dxa"/>
            <w:vAlign w:val="center"/>
          </w:tcPr>
          <w:p w14:paraId="5F0CC9AE" w14:textId="77777777" w:rsidR="00A052DC" w:rsidRDefault="009F0A60">
            <w:pPr>
              <w:tabs>
                <w:tab w:val="left" w:pos="420"/>
              </w:tabs>
              <w:ind w:left="420" w:hanging="420"/>
              <w:jc w:val="center"/>
              <w:rPr>
                <w:rFonts w:ascii="黑体" w:eastAsia="黑体" w:hAnsi="宋体" w:cs="宋体"/>
                <w:kern w:val="0"/>
                <w:sz w:val="20"/>
                <w:szCs w:val="20"/>
              </w:rPr>
            </w:pPr>
            <w:r>
              <w:rPr>
                <w:rFonts w:ascii="黑体" w:eastAsia="黑体" w:hAnsi="宋体" w:cs="宋体"/>
                <w:kern w:val="0"/>
                <w:sz w:val="20"/>
                <w:szCs w:val="20"/>
              </w:rPr>
              <w:t>A02-1</w:t>
            </w:r>
          </w:p>
        </w:tc>
        <w:tc>
          <w:tcPr>
            <w:tcW w:w="3557" w:type="dxa"/>
            <w:vAlign w:val="center"/>
          </w:tcPr>
          <w:p w14:paraId="08A1FA4C" w14:textId="77777777" w:rsidR="00A052DC" w:rsidRDefault="009F0A60">
            <w:pPr>
              <w:tabs>
                <w:tab w:val="left" w:pos="420"/>
              </w:tabs>
              <w:ind w:left="420" w:hanging="420"/>
              <w:jc w:val="left"/>
              <w:rPr>
                <w:rFonts w:ascii="黑体" w:eastAsia="黑体" w:hAnsi="宋体" w:cs="宋体"/>
                <w:kern w:val="0"/>
                <w:sz w:val="20"/>
                <w:szCs w:val="20"/>
              </w:rPr>
            </w:pPr>
            <w:r>
              <w:rPr>
                <w:rFonts w:ascii="黑体" w:eastAsia="黑体" w:hAnsi="宋体" w:cs="宋体"/>
                <w:kern w:val="0"/>
                <w:sz w:val="20"/>
                <w:szCs w:val="20"/>
              </w:rPr>
              <w:t>A02-1表</w:t>
            </w:r>
            <w:r>
              <w:rPr>
                <w:rFonts w:ascii="黑体" w:eastAsia="黑体" w:hAnsi="宋体" w:cs="宋体" w:hint="eastAsia"/>
                <w:kern w:val="0"/>
                <w:sz w:val="20"/>
                <w:szCs w:val="20"/>
              </w:rPr>
              <w:t>：</w:t>
            </w:r>
            <w:r>
              <w:rPr>
                <w:rFonts w:ascii="黑体" w:eastAsia="黑体" w:hAnsi="宋体" w:cs="宋体"/>
                <w:kern w:val="0"/>
                <w:sz w:val="20"/>
                <w:szCs w:val="20"/>
              </w:rPr>
              <w:t>外国来华直接投资（资产负债表）</w:t>
            </w:r>
          </w:p>
        </w:tc>
        <w:tc>
          <w:tcPr>
            <w:tcW w:w="3544" w:type="dxa"/>
            <w:vAlign w:val="center"/>
          </w:tcPr>
          <w:p w14:paraId="490BE02B" w14:textId="77777777" w:rsidR="00A052DC" w:rsidRDefault="009F0A60">
            <w:pPr>
              <w:tabs>
                <w:tab w:val="left" w:pos="420"/>
              </w:tabs>
              <w:ind w:left="420" w:hanging="420"/>
              <w:jc w:val="left"/>
              <w:rPr>
                <w:rFonts w:ascii="黑体" w:eastAsia="黑体" w:hAnsi="宋体" w:cs="宋体"/>
                <w:kern w:val="0"/>
                <w:sz w:val="20"/>
                <w:szCs w:val="20"/>
              </w:rPr>
            </w:pPr>
            <w:r>
              <w:rPr>
                <w:rFonts w:ascii="黑体" w:eastAsia="黑体" w:hAnsi="宋体" w:cs="宋体"/>
                <w:kern w:val="0"/>
                <w:sz w:val="20"/>
                <w:szCs w:val="20"/>
              </w:rPr>
              <w:t>A02-1表</w:t>
            </w:r>
            <w:r>
              <w:rPr>
                <w:rFonts w:ascii="黑体" w:eastAsia="黑体" w:hAnsi="宋体" w:cs="宋体" w:hint="eastAsia"/>
                <w:kern w:val="0"/>
                <w:sz w:val="20"/>
                <w:szCs w:val="20"/>
              </w:rPr>
              <w:t>：</w:t>
            </w:r>
            <w:r>
              <w:rPr>
                <w:rFonts w:ascii="黑体" w:eastAsia="黑体" w:hAnsi="宋体" w:cs="宋体"/>
                <w:kern w:val="0"/>
                <w:sz w:val="20"/>
                <w:szCs w:val="20"/>
              </w:rPr>
              <w:t>来华直接投资（资产负债及利润）</w:t>
            </w:r>
          </w:p>
        </w:tc>
      </w:tr>
      <w:tr w:rsidR="00A052DC" w14:paraId="17F9CC82" w14:textId="77777777">
        <w:tc>
          <w:tcPr>
            <w:tcW w:w="1371" w:type="dxa"/>
            <w:vAlign w:val="center"/>
          </w:tcPr>
          <w:p w14:paraId="0DF29429" w14:textId="77777777" w:rsidR="00A052DC" w:rsidRDefault="009F0A60">
            <w:pPr>
              <w:tabs>
                <w:tab w:val="left" w:pos="420"/>
              </w:tabs>
              <w:ind w:left="420" w:hanging="420"/>
              <w:jc w:val="center"/>
              <w:rPr>
                <w:rFonts w:ascii="黑体" w:eastAsia="黑体" w:hAnsi="宋体" w:cs="宋体"/>
                <w:kern w:val="0"/>
                <w:sz w:val="20"/>
                <w:szCs w:val="20"/>
              </w:rPr>
            </w:pPr>
            <w:r>
              <w:rPr>
                <w:rFonts w:ascii="黑体" w:eastAsia="黑体" w:hAnsi="宋体" w:cs="宋体"/>
                <w:kern w:val="0"/>
                <w:sz w:val="20"/>
                <w:szCs w:val="20"/>
              </w:rPr>
              <w:t>A02-2</w:t>
            </w:r>
          </w:p>
        </w:tc>
        <w:tc>
          <w:tcPr>
            <w:tcW w:w="3557" w:type="dxa"/>
            <w:vAlign w:val="center"/>
          </w:tcPr>
          <w:p w14:paraId="2E2AB0E7" w14:textId="77777777" w:rsidR="00A052DC" w:rsidRDefault="009F0A60">
            <w:pPr>
              <w:tabs>
                <w:tab w:val="left" w:pos="420"/>
              </w:tabs>
              <w:ind w:left="420" w:hanging="420"/>
              <w:jc w:val="left"/>
              <w:rPr>
                <w:rFonts w:ascii="黑体" w:eastAsia="黑体" w:hAnsi="宋体" w:cs="宋体"/>
                <w:kern w:val="0"/>
                <w:sz w:val="20"/>
                <w:szCs w:val="20"/>
              </w:rPr>
            </w:pPr>
            <w:r>
              <w:rPr>
                <w:rFonts w:ascii="黑体" w:eastAsia="黑体" w:hAnsi="宋体" w:cs="宋体"/>
                <w:kern w:val="0"/>
                <w:sz w:val="20"/>
                <w:szCs w:val="20"/>
              </w:rPr>
              <w:t>A02-2表</w:t>
            </w:r>
            <w:r>
              <w:rPr>
                <w:rFonts w:ascii="黑体" w:eastAsia="黑体" w:hAnsi="宋体" w:cs="宋体" w:hint="eastAsia"/>
                <w:kern w:val="0"/>
                <w:sz w:val="20"/>
                <w:szCs w:val="20"/>
              </w:rPr>
              <w:t>：境外直接投资者名录</w:t>
            </w:r>
          </w:p>
        </w:tc>
        <w:tc>
          <w:tcPr>
            <w:tcW w:w="3544" w:type="dxa"/>
            <w:vAlign w:val="center"/>
          </w:tcPr>
          <w:p w14:paraId="36D156C0" w14:textId="77777777" w:rsidR="00A052DC" w:rsidRDefault="009F0A60">
            <w:pPr>
              <w:tabs>
                <w:tab w:val="left" w:pos="420"/>
              </w:tabs>
              <w:ind w:left="420" w:hanging="420"/>
              <w:jc w:val="left"/>
              <w:rPr>
                <w:rFonts w:ascii="黑体" w:eastAsia="黑体" w:hAnsi="宋体" w:cs="宋体"/>
                <w:kern w:val="0"/>
                <w:sz w:val="20"/>
                <w:szCs w:val="20"/>
              </w:rPr>
            </w:pPr>
            <w:r>
              <w:rPr>
                <w:rFonts w:ascii="黑体" w:eastAsia="黑体" w:hAnsi="宋体" w:cs="宋体"/>
                <w:kern w:val="0"/>
                <w:sz w:val="20"/>
                <w:szCs w:val="20"/>
              </w:rPr>
              <w:t>A02-2表</w:t>
            </w:r>
            <w:r>
              <w:rPr>
                <w:rFonts w:ascii="黑体" w:eastAsia="黑体" w:hAnsi="宋体" w:cs="宋体" w:hint="eastAsia"/>
                <w:kern w:val="0"/>
                <w:sz w:val="20"/>
                <w:szCs w:val="20"/>
              </w:rPr>
              <w:t>：</w:t>
            </w:r>
            <w:r>
              <w:rPr>
                <w:rFonts w:ascii="黑体" w:eastAsia="黑体" w:hAnsi="宋体" w:cs="宋体"/>
                <w:kern w:val="0"/>
                <w:sz w:val="20"/>
                <w:szCs w:val="20"/>
              </w:rPr>
              <w:t>来华直接投资（境外投资者持股情况）</w:t>
            </w:r>
          </w:p>
        </w:tc>
      </w:tr>
      <w:tr w:rsidR="00A052DC" w14:paraId="7A9A27D7" w14:textId="77777777">
        <w:tc>
          <w:tcPr>
            <w:tcW w:w="1371" w:type="dxa"/>
            <w:vAlign w:val="center"/>
          </w:tcPr>
          <w:p w14:paraId="65275903" w14:textId="77777777" w:rsidR="00A052DC" w:rsidRDefault="009F0A60">
            <w:pPr>
              <w:tabs>
                <w:tab w:val="left" w:pos="420"/>
              </w:tabs>
              <w:ind w:left="420" w:hanging="420"/>
              <w:jc w:val="center"/>
              <w:rPr>
                <w:rFonts w:ascii="黑体" w:eastAsia="黑体" w:hAnsi="宋体" w:cs="宋体"/>
                <w:kern w:val="0"/>
                <w:sz w:val="20"/>
                <w:szCs w:val="20"/>
              </w:rPr>
            </w:pPr>
            <w:r>
              <w:rPr>
                <w:rFonts w:ascii="黑体" w:eastAsia="黑体" w:hAnsi="宋体" w:cs="宋体"/>
                <w:kern w:val="0"/>
                <w:sz w:val="20"/>
                <w:szCs w:val="20"/>
              </w:rPr>
              <w:t>A02-3</w:t>
            </w:r>
          </w:p>
        </w:tc>
        <w:tc>
          <w:tcPr>
            <w:tcW w:w="3557" w:type="dxa"/>
            <w:vAlign w:val="center"/>
          </w:tcPr>
          <w:p w14:paraId="318EB45D" w14:textId="77777777" w:rsidR="00A052DC" w:rsidRDefault="009F0A60">
            <w:pPr>
              <w:tabs>
                <w:tab w:val="left" w:pos="420"/>
              </w:tabs>
              <w:ind w:left="420" w:hanging="420"/>
              <w:jc w:val="left"/>
              <w:rPr>
                <w:rFonts w:ascii="黑体" w:eastAsia="黑体" w:hAnsi="宋体" w:cs="宋体"/>
                <w:kern w:val="0"/>
                <w:sz w:val="20"/>
                <w:szCs w:val="20"/>
              </w:rPr>
            </w:pPr>
            <w:r>
              <w:rPr>
                <w:rFonts w:ascii="黑体" w:eastAsia="黑体" w:hAnsi="宋体" w:cs="宋体"/>
                <w:kern w:val="0"/>
                <w:sz w:val="20"/>
                <w:szCs w:val="20"/>
              </w:rPr>
              <w:t>A02-3表：外国来华直接投资（流量）</w:t>
            </w:r>
          </w:p>
        </w:tc>
        <w:tc>
          <w:tcPr>
            <w:tcW w:w="3544" w:type="dxa"/>
            <w:vAlign w:val="center"/>
          </w:tcPr>
          <w:p w14:paraId="4AAA1951" w14:textId="77777777" w:rsidR="00A052DC" w:rsidRDefault="009F0A60">
            <w:pPr>
              <w:tabs>
                <w:tab w:val="left" w:pos="420"/>
              </w:tabs>
              <w:ind w:left="420" w:hanging="420"/>
              <w:jc w:val="left"/>
              <w:rPr>
                <w:rFonts w:ascii="黑体" w:eastAsia="黑体" w:hAnsi="宋体" w:cs="宋体"/>
                <w:kern w:val="0"/>
                <w:sz w:val="20"/>
                <w:szCs w:val="20"/>
              </w:rPr>
            </w:pPr>
            <w:r>
              <w:rPr>
                <w:rFonts w:ascii="黑体" w:eastAsia="黑体" w:hAnsi="宋体" w:cs="宋体"/>
                <w:kern w:val="0"/>
                <w:sz w:val="20"/>
                <w:szCs w:val="20"/>
              </w:rPr>
              <w:t>A02-3表</w:t>
            </w:r>
            <w:r>
              <w:rPr>
                <w:rFonts w:ascii="黑体" w:eastAsia="黑体" w:hAnsi="宋体" w:cs="宋体" w:hint="eastAsia"/>
                <w:kern w:val="0"/>
                <w:sz w:val="20"/>
                <w:szCs w:val="20"/>
              </w:rPr>
              <w:t>：</w:t>
            </w:r>
            <w:r>
              <w:rPr>
                <w:rFonts w:ascii="黑体" w:eastAsia="黑体" w:hAnsi="宋体" w:cs="宋体"/>
                <w:kern w:val="0"/>
                <w:sz w:val="20"/>
                <w:szCs w:val="20"/>
              </w:rPr>
              <w:t>来华直接投资（流量）</w:t>
            </w:r>
          </w:p>
        </w:tc>
      </w:tr>
      <w:tr w:rsidR="00A052DC" w14:paraId="5175B244" w14:textId="77777777">
        <w:tc>
          <w:tcPr>
            <w:tcW w:w="1371" w:type="dxa"/>
            <w:vAlign w:val="center"/>
          </w:tcPr>
          <w:p w14:paraId="06F76722" w14:textId="77777777" w:rsidR="00A052DC" w:rsidRDefault="009F0A60">
            <w:pPr>
              <w:tabs>
                <w:tab w:val="left" w:pos="420"/>
              </w:tabs>
              <w:ind w:left="420" w:hanging="420"/>
              <w:jc w:val="center"/>
              <w:rPr>
                <w:rFonts w:ascii="黑体" w:eastAsia="黑体" w:hAnsi="宋体" w:cs="宋体"/>
                <w:kern w:val="0"/>
                <w:sz w:val="20"/>
                <w:szCs w:val="20"/>
              </w:rPr>
            </w:pPr>
            <w:r>
              <w:rPr>
                <w:rFonts w:ascii="黑体" w:eastAsia="黑体" w:hAnsi="宋体" w:cs="宋体"/>
                <w:kern w:val="0"/>
                <w:sz w:val="20"/>
                <w:szCs w:val="20"/>
              </w:rPr>
              <w:t>D04</w:t>
            </w:r>
          </w:p>
        </w:tc>
        <w:tc>
          <w:tcPr>
            <w:tcW w:w="3557" w:type="dxa"/>
            <w:vAlign w:val="center"/>
          </w:tcPr>
          <w:p w14:paraId="5C3C38ED" w14:textId="77777777" w:rsidR="00A052DC" w:rsidRDefault="009F0A60">
            <w:pPr>
              <w:tabs>
                <w:tab w:val="left" w:pos="420"/>
              </w:tabs>
              <w:ind w:left="420" w:hanging="420"/>
              <w:jc w:val="left"/>
              <w:rPr>
                <w:rFonts w:ascii="黑体" w:eastAsia="黑体" w:hAnsi="宋体" w:cs="宋体"/>
                <w:kern w:val="0"/>
                <w:sz w:val="20"/>
                <w:szCs w:val="20"/>
              </w:rPr>
            </w:pPr>
            <w:r>
              <w:rPr>
                <w:rFonts w:ascii="黑体" w:eastAsia="黑体" w:hAnsi="宋体" w:cs="宋体"/>
                <w:kern w:val="0"/>
                <w:sz w:val="20"/>
                <w:szCs w:val="20"/>
              </w:rPr>
              <w:t>D04表</w:t>
            </w:r>
            <w:r>
              <w:rPr>
                <w:rFonts w:ascii="黑体" w:eastAsia="黑体" w:hAnsi="宋体" w:cs="宋体" w:hint="eastAsia"/>
                <w:kern w:val="0"/>
                <w:sz w:val="20"/>
                <w:szCs w:val="20"/>
              </w:rPr>
              <w:t>：</w:t>
            </w:r>
            <w:r>
              <w:rPr>
                <w:rFonts w:ascii="黑体" w:eastAsia="黑体" w:hAnsi="宋体" w:cs="宋体"/>
                <w:kern w:val="0"/>
                <w:sz w:val="20"/>
                <w:szCs w:val="20"/>
              </w:rPr>
              <w:t>应收款</w:t>
            </w:r>
            <w:r>
              <w:rPr>
                <w:rFonts w:ascii="黑体" w:eastAsia="黑体" w:hAnsi="宋体" w:hint="eastAsia"/>
                <w:sz w:val="20"/>
                <w:szCs w:val="20"/>
              </w:rPr>
              <w:t>及预付款</w:t>
            </w:r>
            <w:r>
              <w:rPr>
                <w:rFonts w:ascii="黑体" w:eastAsia="黑体" w:hAnsi="宋体" w:cs="宋体"/>
                <w:kern w:val="0"/>
                <w:sz w:val="20"/>
                <w:szCs w:val="20"/>
              </w:rPr>
              <w:t>（不含D01/D02表已报送的应收利息）（资产）</w:t>
            </w:r>
          </w:p>
        </w:tc>
        <w:tc>
          <w:tcPr>
            <w:tcW w:w="3544" w:type="dxa"/>
            <w:vAlign w:val="center"/>
          </w:tcPr>
          <w:p w14:paraId="0D60B112" w14:textId="77777777" w:rsidR="00A052DC" w:rsidRDefault="009F0A60">
            <w:pPr>
              <w:tabs>
                <w:tab w:val="left" w:pos="420"/>
              </w:tabs>
              <w:ind w:left="420" w:hanging="420"/>
              <w:jc w:val="left"/>
              <w:rPr>
                <w:rFonts w:ascii="黑体" w:eastAsia="黑体" w:hAnsi="宋体" w:cs="宋体"/>
                <w:kern w:val="0"/>
                <w:sz w:val="20"/>
                <w:szCs w:val="20"/>
              </w:rPr>
            </w:pPr>
            <w:r>
              <w:rPr>
                <w:rFonts w:ascii="黑体" w:eastAsia="黑体" w:hAnsi="宋体" w:cs="宋体"/>
                <w:kern w:val="0"/>
                <w:sz w:val="20"/>
                <w:szCs w:val="20"/>
              </w:rPr>
              <w:t>D04表</w:t>
            </w:r>
            <w:r>
              <w:rPr>
                <w:rFonts w:ascii="黑体" w:eastAsia="黑体" w:hAnsi="宋体" w:cs="宋体" w:hint="eastAsia"/>
                <w:kern w:val="0"/>
                <w:sz w:val="20"/>
                <w:szCs w:val="20"/>
              </w:rPr>
              <w:t>：</w:t>
            </w:r>
            <w:r>
              <w:rPr>
                <w:rFonts w:ascii="黑体" w:eastAsia="黑体" w:hAnsi="宋体" w:cs="宋体"/>
                <w:kern w:val="0"/>
                <w:sz w:val="20"/>
                <w:szCs w:val="20"/>
              </w:rPr>
              <w:t>应收款</w:t>
            </w:r>
            <w:r>
              <w:rPr>
                <w:rFonts w:ascii="黑体" w:eastAsia="黑体" w:hAnsi="宋体" w:hint="eastAsia"/>
                <w:sz w:val="20"/>
                <w:szCs w:val="20"/>
              </w:rPr>
              <w:t>及预付款</w:t>
            </w:r>
            <w:r>
              <w:rPr>
                <w:rFonts w:ascii="黑体" w:eastAsia="黑体" w:hAnsi="宋体" w:cs="宋体"/>
                <w:kern w:val="0"/>
                <w:sz w:val="20"/>
                <w:szCs w:val="20"/>
              </w:rPr>
              <w:t>（不含应收利息）（资产）</w:t>
            </w:r>
          </w:p>
        </w:tc>
      </w:tr>
      <w:tr w:rsidR="00A052DC" w14:paraId="7CA9A745" w14:textId="77777777">
        <w:tc>
          <w:tcPr>
            <w:tcW w:w="1371" w:type="dxa"/>
            <w:vAlign w:val="center"/>
          </w:tcPr>
          <w:p w14:paraId="2B44B36B" w14:textId="77777777" w:rsidR="00A052DC" w:rsidRDefault="009F0A60">
            <w:pPr>
              <w:tabs>
                <w:tab w:val="left" w:pos="420"/>
              </w:tabs>
              <w:ind w:left="420" w:hanging="420"/>
              <w:jc w:val="center"/>
              <w:rPr>
                <w:rFonts w:ascii="黑体" w:eastAsia="黑体" w:hAnsi="宋体" w:cs="宋体"/>
                <w:kern w:val="0"/>
                <w:sz w:val="20"/>
                <w:szCs w:val="20"/>
              </w:rPr>
            </w:pPr>
            <w:r>
              <w:rPr>
                <w:rFonts w:ascii="黑体" w:eastAsia="黑体" w:hAnsi="宋体" w:cs="宋体"/>
                <w:kern w:val="0"/>
                <w:sz w:val="20"/>
                <w:szCs w:val="20"/>
              </w:rPr>
              <w:t>D08</w:t>
            </w:r>
          </w:p>
        </w:tc>
        <w:tc>
          <w:tcPr>
            <w:tcW w:w="3557" w:type="dxa"/>
            <w:vAlign w:val="center"/>
          </w:tcPr>
          <w:p w14:paraId="05A3EC1D" w14:textId="77777777" w:rsidR="00A052DC" w:rsidRDefault="009F0A60">
            <w:pPr>
              <w:tabs>
                <w:tab w:val="left" w:pos="420"/>
              </w:tabs>
              <w:ind w:left="420" w:hanging="420"/>
              <w:jc w:val="left"/>
              <w:rPr>
                <w:rFonts w:ascii="黑体" w:eastAsia="黑体" w:hAnsi="宋体" w:cs="宋体"/>
                <w:kern w:val="0"/>
                <w:sz w:val="20"/>
                <w:szCs w:val="20"/>
              </w:rPr>
            </w:pPr>
            <w:r>
              <w:rPr>
                <w:rFonts w:ascii="黑体" w:eastAsia="黑体" w:hAnsi="宋体" w:cs="宋体"/>
                <w:kern w:val="0"/>
                <w:sz w:val="20"/>
                <w:szCs w:val="20"/>
              </w:rPr>
              <w:t>D08表：应付款及预收款（不含D05/D06表已报送的应付利息）（负债）</w:t>
            </w:r>
          </w:p>
        </w:tc>
        <w:tc>
          <w:tcPr>
            <w:tcW w:w="3544" w:type="dxa"/>
            <w:vAlign w:val="center"/>
          </w:tcPr>
          <w:p w14:paraId="7CA5B8A6" w14:textId="77777777" w:rsidR="00A052DC" w:rsidRDefault="009F0A60">
            <w:pPr>
              <w:tabs>
                <w:tab w:val="left" w:pos="420"/>
              </w:tabs>
              <w:ind w:left="420" w:hanging="420"/>
              <w:jc w:val="left"/>
              <w:rPr>
                <w:rFonts w:ascii="黑体" w:eastAsia="黑体" w:hAnsi="宋体" w:cs="宋体"/>
                <w:kern w:val="0"/>
                <w:sz w:val="20"/>
                <w:szCs w:val="20"/>
              </w:rPr>
            </w:pPr>
            <w:r>
              <w:rPr>
                <w:rFonts w:ascii="黑体" w:eastAsia="黑体" w:hAnsi="宋体" w:cs="宋体"/>
                <w:kern w:val="0"/>
                <w:sz w:val="20"/>
                <w:szCs w:val="20"/>
              </w:rPr>
              <w:t>D08表</w:t>
            </w:r>
            <w:r>
              <w:rPr>
                <w:rFonts w:ascii="黑体" w:eastAsia="黑体" w:hAnsi="宋体" w:cs="宋体" w:hint="eastAsia"/>
                <w:kern w:val="0"/>
                <w:sz w:val="20"/>
                <w:szCs w:val="20"/>
              </w:rPr>
              <w:t>：</w:t>
            </w:r>
            <w:r>
              <w:rPr>
                <w:rFonts w:ascii="黑体" w:eastAsia="黑体" w:hAnsi="宋体" w:cs="宋体"/>
                <w:kern w:val="0"/>
                <w:sz w:val="20"/>
                <w:szCs w:val="20"/>
              </w:rPr>
              <w:t>应付款及预收款（不含应付利息）（负债）</w:t>
            </w:r>
          </w:p>
        </w:tc>
      </w:tr>
      <w:tr w:rsidR="00A052DC" w14:paraId="2E717A0E" w14:textId="77777777">
        <w:tc>
          <w:tcPr>
            <w:tcW w:w="1371" w:type="dxa"/>
            <w:vAlign w:val="center"/>
          </w:tcPr>
          <w:p w14:paraId="138302B9" w14:textId="77777777" w:rsidR="00A052DC" w:rsidRDefault="009F0A60">
            <w:pPr>
              <w:tabs>
                <w:tab w:val="left" w:pos="420"/>
              </w:tabs>
              <w:ind w:left="420" w:hanging="420"/>
              <w:jc w:val="center"/>
              <w:rPr>
                <w:rFonts w:ascii="黑体" w:eastAsia="黑体" w:hAnsi="宋体" w:cs="宋体"/>
                <w:kern w:val="0"/>
                <w:sz w:val="20"/>
                <w:szCs w:val="20"/>
              </w:rPr>
            </w:pPr>
            <w:r>
              <w:rPr>
                <w:rFonts w:ascii="黑体" w:eastAsia="黑体" w:hAnsi="宋体" w:cs="宋体"/>
                <w:kern w:val="0"/>
                <w:sz w:val="20"/>
                <w:szCs w:val="20"/>
              </w:rPr>
              <w:t>E02-1</w:t>
            </w:r>
          </w:p>
        </w:tc>
        <w:tc>
          <w:tcPr>
            <w:tcW w:w="3557" w:type="dxa"/>
            <w:vAlign w:val="center"/>
          </w:tcPr>
          <w:p w14:paraId="240C220A" w14:textId="77777777" w:rsidR="00A052DC" w:rsidRDefault="009F0A60">
            <w:pPr>
              <w:tabs>
                <w:tab w:val="left" w:pos="420"/>
              </w:tabs>
              <w:ind w:left="420" w:hanging="420"/>
              <w:jc w:val="left"/>
              <w:rPr>
                <w:rFonts w:ascii="黑体" w:eastAsia="黑体" w:hAnsi="宋体" w:cs="宋体"/>
                <w:kern w:val="0"/>
                <w:sz w:val="20"/>
                <w:szCs w:val="20"/>
              </w:rPr>
            </w:pPr>
            <w:r>
              <w:rPr>
                <w:rFonts w:ascii="黑体" w:eastAsia="黑体" w:hAnsi="宋体" w:cs="宋体" w:hint="eastAsia"/>
                <w:kern w:val="0"/>
                <w:sz w:val="20"/>
                <w:szCs w:val="20"/>
              </w:rPr>
              <w:t>新增</w:t>
            </w:r>
          </w:p>
        </w:tc>
        <w:tc>
          <w:tcPr>
            <w:tcW w:w="3544" w:type="dxa"/>
            <w:vAlign w:val="center"/>
          </w:tcPr>
          <w:p w14:paraId="0082A145" w14:textId="77777777" w:rsidR="00A052DC" w:rsidRDefault="009F0A60">
            <w:pPr>
              <w:tabs>
                <w:tab w:val="left" w:pos="420"/>
              </w:tabs>
              <w:ind w:left="420" w:hanging="420"/>
              <w:jc w:val="left"/>
              <w:rPr>
                <w:rFonts w:ascii="黑体" w:eastAsia="黑体" w:hAnsi="宋体" w:cs="宋体"/>
                <w:kern w:val="0"/>
                <w:sz w:val="20"/>
                <w:szCs w:val="20"/>
              </w:rPr>
            </w:pPr>
            <w:r>
              <w:rPr>
                <w:rFonts w:ascii="黑体" w:eastAsia="黑体" w:hAnsi="宋体" w:cs="宋体"/>
                <w:kern w:val="0"/>
                <w:sz w:val="20"/>
                <w:szCs w:val="20"/>
              </w:rPr>
              <w:t>E02-1表</w:t>
            </w:r>
            <w:r>
              <w:rPr>
                <w:rFonts w:ascii="黑体" w:eastAsia="黑体" w:hAnsi="宋体" w:cs="宋体" w:hint="eastAsia"/>
                <w:kern w:val="0"/>
                <w:sz w:val="20"/>
                <w:szCs w:val="20"/>
              </w:rPr>
              <w:t>：</w:t>
            </w:r>
            <w:r>
              <w:rPr>
                <w:rFonts w:ascii="黑体" w:eastAsia="黑体" w:hAnsi="宋体" w:cs="宋体"/>
                <w:kern w:val="0"/>
                <w:sz w:val="20"/>
                <w:szCs w:val="20"/>
              </w:rPr>
              <w:t>境外建设项目概览表</w:t>
            </w:r>
          </w:p>
        </w:tc>
      </w:tr>
      <w:tr w:rsidR="00A052DC" w14:paraId="6D8F63E9" w14:textId="77777777">
        <w:tc>
          <w:tcPr>
            <w:tcW w:w="1371" w:type="dxa"/>
            <w:vAlign w:val="center"/>
          </w:tcPr>
          <w:p w14:paraId="52644872" w14:textId="77777777" w:rsidR="00A052DC" w:rsidRDefault="009F0A60">
            <w:pPr>
              <w:tabs>
                <w:tab w:val="left" w:pos="420"/>
              </w:tabs>
              <w:ind w:left="420" w:hanging="420"/>
              <w:jc w:val="center"/>
              <w:rPr>
                <w:rFonts w:ascii="黑体" w:eastAsia="黑体" w:hAnsi="宋体" w:cs="宋体"/>
                <w:kern w:val="0"/>
                <w:sz w:val="20"/>
                <w:szCs w:val="20"/>
              </w:rPr>
            </w:pPr>
            <w:r>
              <w:rPr>
                <w:rFonts w:ascii="黑体" w:eastAsia="黑体" w:hAnsi="宋体" w:cs="宋体"/>
                <w:kern w:val="0"/>
                <w:sz w:val="20"/>
                <w:szCs w:val="20"/>
              </w:rPr>
              <w:t>E02-2</w:t>
            </w:r>
          </w:p>
        </w:tc>
        <w:tc>
          <w:tcPr>
            <w:tcW w:w="3557" w:type="dxa"/>
            <w:vAlign w:val="center"/>
          </w:tcPr>
          <w:p w14:paraId="6C3C2F31" w14:textId="77777777" w:rsidR="00A052DC" w:rsidRDefault="009F0A60">
            <w:pPr>
              <w:tabs>
                <w:tab w:val="left" w:pos="420"/>
              </w:tabs>
              <w:ind w:left="420" w:hanging="420"/>
              <w:jc w:val="left"/>
              <w:rPr>
                <w:rFonts w:ascii="黑体" w:eastAsia="黑体" w:hAnsi="宋体" w:cs="宋体"/>
                <w:kern w:val="0"/>
                <w:sz w:val="20"/>
                <w:szCs w:val="20"/>
              </w:rPr>
            </w:pPr>
            <w:r>
              <w:rPr>
                <w:rFonts w:ascii="黑体" w:eastAsia="黑体" w:hAnsi="宋体" w:cs="宋体" w:hint="eastAsia"/>
                <w:kern w:val="0"/>
                <w:sz w:val="20"/>
                <w:szCs w:val="20"/>
              </w:rPr>
              <w:t>新增</w:t>
            </w:r>
          </w:p>
        </w:tc>
        <w:tc>
          <w:tcPr>
            <w:tcW w:w="3544" w:type="dxa"/>
            <w:vAlign w:val="center"/>
          </w:tcPr>
          <w:p w14:paraId="5BEB5100" w14:textId="77777777" w:rsidR="00A052DC" w:rsidRDefault="009F0A60">
            <w:pPr>
              <w:tabs>
                <w:tab w:val="left" w:pos="420"/>
              </w:tabs>
              <w:ind w:left="420" w:hanging="420"/>
              <w:jc w:val="left"/>
              <w:rPr>
                <w:rFonts w:ascii="黑体" w:eastAsia="黑体" w:hAnsi="宋体" w:cs="宋体"/>
                <w:kern w:val="0"/>
                <w:sz w:val="20"/>
                <w:szCs w:val="20"/>
              </w:rPr>
            </w:pPr>
            <w:r>
              <w:rPr>
                <w:rFonts w:ascii="黑体" w:eastAsia="黑体" w:hAnsi="宋体" w:cs="宋体"/>
                <w:kern w:val="0"/>
                <w:sz w:val="20"/>
                <w:szCs w:val="20"/>
              </w:rPr>
              <w:t>E02-2表</w:t>
            </w:r>
            <w:r>
              <w:rPr>
                <w:rFonts w:ascii="黑体" w:eastAsia="黑体" w:hAnsi="宋体" w:cs="宋体" w:hint="eastAsia"/>
                <w:kern w:val="0"/>
                <w:sz w:val="20"/>
                <w:szCs w:val="20"/>
              </w:rPr>
              <w:t>：</w:t>
            </w:r>
            <w:r>
              <w:rPr>
                <w:rFonts w:ascii="黑体" w:eastAsia="黑体" w:hAnsi="宋体" w:cs="宋体"/>
                <w:kern w:val="0"/>
                <w:sz w:val="20"/>
                <w:szCs w:val="20"/>
              </w:rPr>
              <w:t>境外建设统计表</w:t>
            </w:r>
          </w:p>
        </w:tc>
      </w:tr>
      <w:tr w:rsidR="00A052DC" w14:paraId="0E80E42E" w14:textId="77777777">
        <w:tc>
          <w:tcPr>
            <w:tcW w:w="1371" w:type="dxa"/>
            <w:vAlign w:val="center"/>
          </w:tcPr>
          <w:p w14:paraId="30F8C59A" w14:textId="77777777" w:rsidR="00A052DC" w:rsidRDefault="009F0A60">
            <w:pPr>
              <w:tabs>
                <w:tab w:val="left" w:pos="420"/>
              </w:tabs>
              <w:ind w:left="420" w:hanging="420"/>
              <w:jc w:val="center"/>
              <w:rPr>
                <w:rFonts w:ascii="黑体" w:eastAsia="黑体" w:hAnsi="宋体" w:cs="宋体"/>
                <w:kern w:val="0"/>
                <w:sz w:val="20"/>
                <w:szCs w:val="20"/>
              </w:rPr>
            </w:pPr>
            <w:r>
              <w:rPr>
                <w:rFonts w:ascii="黑体" w:eastAsia="黑体" w:hAnsi="宋体" w:cs="宋体"/>
                <w:kern w:val="0"/>
                <w:sz w:val="20"/>
                <w:szCs w:val="20"/>
              </w:rPr>
              <w:t>E03</w:t>
            </w:r>
          </w:p>
        </w:tc>
        <w:tc>
          <w:tcPr>
            <w:tcW w:w="3557" w:type="dxa"/>
            <w:vAlign w:val="center"/>
          </w:tcPr>
          <w:p w14:paraId="52C16469" w14:textId="77777777" w:rsidR="00A052DC" w:rsidRDefault="009F0A60">
            <w:pPr>
              <w:tabs>
                <w:tab w:val="left" w:pos="420"/>
              </w:tabs>
              <w:ind w:left="420" w:hanging="420"/>
              <w:jc w:val="left"/>
              <w:rPr>
                <w:rFonts w:ascii="黑体" w:eastAsia="黑体" w:hAnsi="宋体" w:cs="宋体"/>
                <w:kern w:val="0"/>
                <w:sz w:val="20"/>
                <w:szCs w:val="20"/>
              </w:rPr>
            </w:pPr>
            <w:r>
              <w:rPr>
                <w:rFonts w:ascii="黑体" w:eastAsia="黑体" w:hAnsi="宋体" w:cs="宋体" w:hint="eastAsia"/>
                <w:kern w:val="0"/>
                <w:sz w:val="20"/>
                <w:szCs w:val="20"/>
              </w:rPr>
              <w:t>新增</w:t>
            </w:r>
          </w:p>
        </w:tc>
        <w:tc>
          <w:tcPr>
            <w:tcW w:w="3544" w:type="dxa"/>
            <w:vAlign w:val="center"/>
          </w:tcPr>
          <w:p w14:paraId="6035E436" w14:textId="77777777" w:rsidR="00A052DC" w:rsidRDefault="009F0A60">
            <w:pPr>
              <w:tabs>
                <w:tab w:val="left" w:pos="420"/>
              </w:tabs>
              <w:ind w:left="420" w:hanging="420"/>
              <w:jc w:val="left"/>
              <w:rPr>
                <w:rFonts w:ascii="黑体" w:eastAsia="黑体" w:hAnsi="宋体" w:cs="宋体"/>
                <w:kern w:val="0"/>
                <w:sz w:val="20"/>
                <w:szCs w:val="20"/>
              </w:rPr>
            </w:pPr>
            <w:r>
              <w:rPr>
                <w:rFonts w:ascii="黑体" w:eastAsia="黑体" w:hAnsi="宋体" w:cs="宋体"/>
                <w:kern w:val="0"/>
                <w:sz w:val="20"/>
                <w:szCs w:val="20"/>
              </w:rPr>
              <w:t>E03表</w:t>
            </w:r>
            <w:r>
              <w:rPr>
                <w:rFonts w:ascii="黑体" w:eastAsia="黑体" w:hAnsi="宋体" w:cs="宋体" w:hint="eastAsia"/>
                <w:kern w:val="0"/>
                <w:sz w:val="20"/>
                <w:szCs w:val="20"/>
              </w:rPr>
              <w:t>：</w:t>
            </w:r>
            <w:r>
              <w:rPr>
                <w:rFonts w:ascii="黑体" w:eastAsia="黑体" w:hAnsi="宋体" w:cs="宋体"/>
                <w:kern w:val="0"/>
                <w:sz w:val="20"/>
                <w:szCs w:val="20"/>
              </w:rPr>
              <w:t>运输收入统计表</w:t>
            </w:r>
          </w:p>
        </w:tc>
      </w:tr>
      <w:tr w:rsidR="00A052DC" w14:paraId="45A09A81" w14:textId="77777777">
        <w:tc>
          <w:tcPr>
            <w:tcW w:w="1371" w:type="dxa"/>
            <w:vAlign w:val="center"/>
          </w:tcPr>
          <w:p w14:paraId="01BE7628" w14:textId="77777777" w:rsidR="00A052DC" w:rsidRDefault="009F0A60">
            <w:pPr>
              <w:tabs>
                <w:tab w:val="left" w:pos="420"/>
              </w:tabs>
              <w:ind w:left="420" w:hanging="420"/>
              <w:jc w:val="center"/>
              <w:rPr>
                <w:rFonts w:ascii="黑体" w:eastAsia="黑体" w:hAnsi="宋体" w:cs="宋体"/>
                <w:kern w:val="0"/>
                <w:sz w:val="20"/>
                <w:szCs w:val="20"/>
              </w:rPr>
            </w:pPr>
            <w:r>
              <w:rPr>
                <w:rFonts w:ascii="黑体" w:eastAsia="黑体" w:hAnsi="宋体" w:cs="宋体"/>
                <w:kern w:val="0"/>
                <w:sz w:val="20"/>
                <w:szCs w:val="20"/>
              </w:rPr>
              <w:t>G03</w:t>
            </w:r>
          </w:p>
        </w:tc>
        <w:tc>
          <w:tcPr>
            <w:tcW w:w="3557" w:type="dxa"/>
            <w:vAlign w:val="center"/>
          </w:tcPr>
          <w:p w14:paraId="02C78DEA" w14:textId="77777777" w:rsidR="00A052DC" w:rsidRDefault="009F0A60">
            <w:pPr>
              <w:tabs>
                <w:tab w:val="left" w:pos="420"/>
              </w:tabs>
              <w:ind w:left="420" w:hanging="420"/>
              <w:jc w:val="left"/>
              <w:rPr>
                <w:rFonts w:ascii="黑体" w:eastAsia="黑体" w:hAnsi="宋体" w:cs="宋体"/>
                <w:kern w:val="0"/>
                <w:sz w:val="20"/>
                <w:szCs w:val="20"/>
              </w:rPr>
            </w:pPr>
            <w:r>
              <w:rPr>
                <w:rFonts w:ascii="黑体" w:eastAsia="黑体" w:hAnsi="宋体" w:cs="宋体" w:hint="eastAsia"/>
                <w:kern w:val="0"/>
                <w:sz w:val="20"/>
                <w:szCs w:val="20"/>
              </w:rPr>
              <w:t>新增</w:t>
            </w:r>
          </w:p>
        </w:tc>
        <w:tc>
          <w:tcPr>
            <w:tcW w:w="3544" w:type="dxa"/>
            <w:vAlign w:val="center"/>
          </w:tcPr>
          <w:p w14:paraId="3C9BF206" w14:textId="77777777" w:rsidR="00A052DC" w:rsidRDefault="009F0A60">
            <w:pPr>
              <w:tabs>
                <w:tab w:val="left" w:pos="420"/>
              </w:tabs>
              <w:ind w:left="420" w:hanging="420"/>
              <w:jc w:val="left"/>
              <w:rPr>
                <w:rFonts w:ascii="黑体" w:eastAsia="黑体" w:hAnsi="宋体" w:cs="宋体"/>
                <w:kern w:val="0"/>
                <w:sz w:val="20"/>
                <w:szCs w:val="20"/>
              </w:rPr>
            </w:pPr>
            <w:r>
              <w:rPr>
                <w:rFonts w:ascii="黑体" w:eastAsia="黑体" w:hAnsi="宋体" w:cs="宋体"/>
                <w:kern w:val="0"/>
                <w:sz w:val="20"/>
                <w:szCs w:val="20"/>
              </w:rPr>
              <w:t>G03表</w:t>
            </w:r>
            <w:r>
              <w:rPr>
                <w:rFonts w:ascii="黑体" w:eastAsia="黑体" w:hAnsi="宋体" w:cs="宋体" w:hint="eastAsia"/>
                <w:kern w:val="0"/>
                <w:sz w:val="20"/>
                <w:szCs w:val="20"/>
              </w:rPr>
              <w:t>：</w:t>
            </w:r>
            <w:r>
              <w:rPr>
                <w:rFonts w:ascii="黑体" w:eastAsia="黑体" w:hAnsi="宋体" w:cs="宋体"/>
                <w:kern w:val="0"/>
                <w:sz w:val="20"/>
                <w:szCs w:val="20"/>
              </w:rPr>
              <w:t>非居民持有境内银行卡的收入支出</w:t>
            </w:r>
          </w:p>
        </w:tc>
      </w:tr>
      <w:tr w:rsidR="00A052DC" w14:paraId="12F09DE7" w14:textId="77777777">
        <w:tc>
          <w:tcPr>
            <w:tcW w:w="1371" w:type="dxa"/>
            <w:vAlign w:val="center"/>
          </w:tcPr>
          <w:p w14:paraId="3D542041" w14:textId="77777777" w:rsidR="00A052DC" w:rsidRDefault="009F0A60">
            <w:pPr>
              <w:tabs>
                <w:tab w:val="left" w:pos="420"/>
              </w:tabs>
              <w:ind w:left="420" w:hanging="420"/>
              <w:jc w:val="center"/>
              <w:rPr>
                <w:rFonts w:ascii="黑体" w:eastAsia="黑体" w:hAnsi="宋体" w:cs="宋体"/>
                <w:kern w:val="0"/>
                <w:sz w:val="20"/>
                <w:szCs w:val="20"/>
              </w:rPr>
            </w:pPr>
            <w:r>
              <w:rPr>
                <w:rFonts w:ascii="黑体" w:eastAsia="黑体" w:hAnsi="宋体" w:cs="宋体"/>
                <w:kern w:val="0"/>
                <w:sz w:val="20"/>
                <w:szCs w:val="20"/>
              </w:rPr>
              <w:t>H01</w:t>
            </w:r>
          </w:p>
        </w:tc>
        <w:tc>
          <w:tcPr>
            <w:tcW w:w="3557" w:type="dxa"/>
            <w:vAlign w:val="center"/>
          </w:tcPr>
          <w:p w14:paraId="5F662BD6" w14:textId="77777777" w:rsidR="00A052DC" w:rsidRDefault="009F0A60">
            <w:pPr>
              <w:tabs>
                <w:tab w:val="left" w:pos="420"/>
              </w:tabs>
              <w:ind w:left="420" w:hanging="420"/>
              <w:jc w:val="left"/>
              <w:rPr>
                <w:rFonts w:ascii="黑体" w:eastAsia="黑体" w:hAnsi="宋体" w:cs="宋体"/>
                <w:kern w:val="0"/>
                <w:sz w:val="20"/>
                <w:szCs w:val="20"/>
              </w:rPr>
            </w:pPr>
            <w:r>
              <w:rPr>
                <w:rFonts w:ascii="黑体" w:eastAsia="黑体" w:hAnsi="宋体" w:cs="宋体"/>
                <w:kern w:val="0"/>
                <w:sz w:val="20"/>
                <w:szCs w:val="20"/>
              </w:rPr>
              <w:t>H01表</w:t>
            </w:r>
            <w:r>
              <w:rPr>
                <w:rFonts w:ascii="黑体" w:eastAsia="黑体" w:hAnsi="宋体" w:cs="宋体" w:hint="eastAsia"/>
                <w:kern w:val="0"/>
                <w:sz w:val="20"/>
                <w:szCs w:val="20"/>
              </w:rPr>
              <w:t>：</w:t>
            </w:r>
            <w:r>
              <w:rPr>
                <w:rFonts w:ascii="黑体" w:eastAsia="黑体" w:hAnsi="宋体" w:cs="宋体"/>
                <w:kern w:val="0"/>
                <w:sz w:val="20"/>
                <w:szCs w:val="20"/>
              </w:rPr>
              <w:t>为非居民托管业务统计（QFII/RQFII相关）</w:t>
            </w:r>
          </w:p>
        </w:tc>
        <w:tc>
          <w:tcPr>
            <w:tcW w:w="3544" w:type="dxa"/>
            <w:vAlign w:val="center"/>
          </w:tcPr>
          <w:p w14:paraId="6DACA2DB" w14:textId="77777777" w:rsidR="00A052DC" w:rsidRDefault="009F0A60">
            <w:pPr>
              <w:tabs>
                <w:tab w:val="left" w:pos="420"/>
              </w:tabs>
              <w:ind w:left="420" w:hanging="420"/>
              <w:jc w:val="left"/>
              <w:rPr>
                <w:rFonts w:ascii="黑体" w:eastAsia="黑体" w:hAnsi="宋体" w:cs="宋体"/>
                <w:kern w:val="0"/>
                <w:sz w:val="20"/>
                <w:szCs w:val="20"/>
              </w:rPr>
            </w:pPr>
            <w:r>
              <w:rPr>
                <w:rFonts w:ascii="黑体" w:eastAsia="黑体" w:hAnsi="宋体" w:cs="宋体"/>
                <w:kern w:val="0"/>
                <w:sz w:val="20"/>
                <w:szCs w:val="20"/>
              </w:rPr>
              <w:t>H01表</w:t>
            </w:r>
            <w:r>
              <w:rPr>
                <w:rFonts w:ascii="黑体" w:eastAsia="黑体" w:hAnsi="宋体" w:cs="宋体" w:hint="eastAsia"/>
                <w:kern w:val="0"/>
                <w:sz w:val="20"/>
                <w:szCs w:val="20"/>
              </w:rPr>
              <w:t>：</w:t>
            </w:r>
            <w:r>
              <w:rPr>
                <w:rFonts w:ascii="黑体" w:eastAsia="黑体" w:hAnsi="宋体" w:cs="宋体"/>
                <w:kern w:val="0"/>
                <w:sz w:val="20"/>
                <w:szCs w:val="20"/>
              </w:rPr>
              <w:t>为非居民托管业务统计（QFII/RQFII等）</w:t>
            </w:r>
          </w:p>
        </w:tc>
      </w:tr>
      <w:tr w:rsidR="00A052DC" w14:paraId="4A28FB0A" w14:textId="77777777">
        <w:tc>
          <w:tcPr>
            <w:tcW w:w="1371" w:type="dxa"/>
            <w:vAlign w:val="center"/>
          </w:tcPr>
          <w:p w14:paraId="33E66196" w14:textId="77777777" w:rsidR="00A052DC" w:rsidRDefault="009F0A60">
            <w:pPr>
              <w:tabs>
                <w:tab w:val="left" w:pos="420"/>
              </w:tabs>
              <w:ind w:left="420" w:hanging="420"/>
              <w:jc w:val="center"/>
              <w:rPr>
                <w:rFonts w:ascii="黑体" w:eastAsia="黑体" w:hAnsi="宋体" w:cs="宋体"/>
                <w:kern w:val="0"/>
                <w:sz w:val="20"/>
                <w:szCs w:val="20"/>
              </w:rPr>
            </w:pPr>
            <w:r>
              <w:rPr>
                <w:rFonts w:ascii="黑体" w:eastAsia="黑体" w:hAnsi="宋体" w:cs="宋体"/>
                <w:kern w:val="0"/>
                <w:sz w:val="20"/>
                <w:szCs w:val="20"/>
              </w:rPr>
              <w:t>H02</w:t>
            </w:r>
          </w:p>
        </w:tc>
        <w:tc>
          <w:tcPr>
            <w:tcW w:w="3557" w:type="dxa"/>
            <w:vAlign w:val="center"/>
          </w:tcPr>
          <w:p w14:paraId="283A99F3" w14:textId="77777777" w:rsidR="00A052DC" w:rsidRDefault="009F0A60">
            <w:pPr>
              <w:tabs>
                <w:tab w:val="left" w:pos="420"/>
              </w:tabs>
              <w:ind w:left="420" w:hanging="420"/>
              <w:jc w:val="left"/>
              <w:rPr>
                <w:rFonts w:ascii="黑体" w:eastAsia="黑体" w:hAnsi="宋体" w:cs="宋体"/>
                <w:kern w:val="0"/>
                <w:sz w:val="20"/>
                <w:szCs w:val="20"/>
              </w:rPr>
            </w:pPr>
            <w:r>
              <w:rPr>
                <w:rFonts w:ascii="黑体" w:eastAsia="黑体" w:hAnsi="宋体" w:cs="宋体"/>
                <w:kern w:val="0"/>
                <w:sz w:val="20"/>
                <w:szCs w:val="20"/>
              </w:rPr>
              <w:t>H02表</w:t>
            </w:r>
            <w:r>
              <w:rPr>
                <w:rFonts w:ascii="黑体" w:eastAsia="黑体" w:hAnsi="宋体" w:cs="宋体" w:hint="eastAsia"/>
                <w:kern w:val="0"/>
                <w:sz w:val="20"/>
                <w:szCs w:val="20"/>
              </w:rPr>
              <w:t>：</w:t>
            </w:r>
            <w:r>
              <w:rPr>
                <w:rFonts w:ascii="黑体" w:eastAsia="黑体" w:hAnsi="宋体" w:cs="宋体"/>
                <w:kern w:val="0"/>
                <w:sz w:val="20"/>
                <w:szCs w:val="20"/>
              </w:rPr>
              <w:t>为居民托管业务统计（QDII/RQDII/QDLP/QDIE相关）</w:t>
            </w:r>
          </w:p>
        </w:tc>
        <w:tc>
          <w:tcPr>
            <w:tcW w:w="3544" w:type="dxa"/>
            <w:vAlign w:val="center"/>
          </w:tcPr>
          <w:p w14:paraId="6B30CCAD" w14:textId="77777777" w:rsidR="00A052DC" w:rsidRDefault="009F0A60">
            <w:pPr>
              <w:tabs>
                <w:tab w:val="left" w:pos="420"/>
              </w:tabs>
              <w:ind w:left="420" w:hanging="420"/>
              <w:jc w:val="left"/>
              <w:rPr>
                <w:rFonts w:ascii="黑体" w:eastAsia="黑体" w:hAnsi="宋体" w:cs="宋体"/>
                <w:kern w:val="0"/>
                <w:sz w:val="20"/>
                <w:szCs w:val="20"/>
              </w:rPr>
            </w:pPr>
            <w:r>
              <w:rPr>
                <w:rFonts w:ascii="黑体" w:eastAsia="黑体" w:hAnsi="宋体" w:cs="宋体"/>
                <w:kern w:val="0"/>
                <w:sz w:val="20"/>
                <w:szCs w:val="20"/>
              </w:rPr>
              <w:t>H02表</w:t>
            </w:r>
            <w:r>
              <w:rPr>
                <w:rFonts w:ascii="黑体" w:eastAsia="黑体" w:hAnsi="宋体" w:cs="宋体" w:hint="eastAsia"/>
                <w:kern w:val="0"/>
                <w:sz w:val="20"/>
                <w:szCs w:val="20"/>
              </w:rPr>
              <w:t>：</w:t>
            </w:r>
            <w:r>
              <w:rPr>
                <w:rFonts w:ascii="黑体" w:eastAsia="黑体" w:hAnsi="宋体" w:cs="宋体"/>
                <w:kern w:val="0"/>
                <w:sz w:val="20"/>
                <w:szCs w:val="20"/>
              </w:rPr>
              <w:t>为居民托管业务统计（QDII/RQDII/QDLP/QDIE等）</w:t>
            </w:r>
          </w:p>
        </w:tc>
      </w:tr>
    </w:tbl>
    <w:p w14:paraId="21338195" w14:textId="77777777" w:rsidR="00A052DC" w:rsidRDefault="009F0A60">
      <w:pPr>
        <w:pStyle w:val="4"/>
        <w:numPr>
          <w:ilvl w:val="3"/>
          <w:numId w:val="1"/>
        </w:numPr>
        <w:jc w:val="left"/>
      </w:pPr>
      <w:r>
        <w:rPr>
          <w:rFonts w:hint="eastAsia"/>
        </w:rPr>
        <w:t>机构外币现钞存取数据调整</w:t>
      </w:r>
    </w:p>
    <w:p w14:paraId="4FFEE787" w14:textId="77777777" w:rsidR="00A052DC" w:rsidRPr="00CC34E0" w:rsidRDefault="00A412F6">
      <w:pPr>
        <w:spacing w:line="360" w:lineRule="auto"/>
        <w:ind w:firstLineChars="200" w:firstLine="480"/>
        <w:rPr>
          <w:rFonts w:ascii="Times New Roman" w:hAnsi="Times New Roman"/>
          <w:sz w:val="24"/>
          <w:szCs w:val="24"/>
        </w:rPr>
      </w:pPr>
      <w:r w:rsidRPr="00A412F6">
        <w:rPr>
          <w:rFonts w:ascii="Times New Roman" w:hAnsi="宋体" w:hint="eastAsia"/>
          <w:sz w:val="24"/>
          <w:szCs w:val="24"/>
        </w:rPr>
        <w:t>因</w:t>
      </w:r>
      <w:r w:rsidRPr="00A412F6">
        <w:rPr>
          <w:rFonts w:ascii="Times New Roman" w:hAnsi="Times New Roman" w:hint="eastAsia"/>
          <w:sz w:val="24"/>
          <w:szCs w:val="24"/>
        </w:rPr>
        <w:t>“</w:t>
      </w:r>
      <w:r w:rsidRPr="00A412F6">
        <w:rPr>
          <w:rFonts w:ascii="Times New Roman" w:hAnsi="宋体" w:hint="eastAsia"/>
          <w:sz w:val="24"/>
          <w:szCs w:val="24"/>
        </w:rPr>
        <w:t>涉及外汇现钞账户</w:t>
      </w:r>
      <w:r w:rsidRPr="00A412F6">
        <w:rPr>
          <w:rFonts w:ascii="Times New Roman" w:hAnsi="Times New Roman" w:hint="eastAsia"/>
          <w:sz w:val="24"/>
          <w:szCs w:val="24"/>
        </w:rPr>
        <w:t>”</w:t>
      </w:r>
      <w:r w:rsidRPr="00A412F6">
        <w:rPr>
          <w:rFonts w:ascii="Times New Roman" w:hAnsi="宋体" w:hint="eastAsia"/>
          <w:sz w:val="24"/>
          <w:szCs w:val="24"/>
        </w:rPr>
        <w:t>已并入</w:t>
      </w:r>
      <w:r w:rsidRPr="00A412F6">
        <w:rPr>
          <w:rFonts w:ascii="Times New Roman" w:hAnsi="Times New Roman" w:hint="eastAsia"/>
          <w:sz w:val="24"/>
          <w:szCs w:val="24"/>
        </w:rPr>
        <w:t>“</w:t>
      </w:r>
      <w:r w:rsidRPr="00A412F6">
        <w:rPr>
          <w:rFonts w:ascii="Times New Roman" w:hAnsi="宋体" w:hint="eastAsia"/>
          <w:sz w:val="24"/>
          <w:szCs w:val="24"/>
        </w:rPr>
        <w:t>经常项目</w:t>
      </w:r>
      <w:r w:rsidRPr="00A412F6">
        <w:rPr>
          <w:rFonts w:ascii="Times New Roman" w:hAnsi="Times New Roman"/>
          <w:sz w:val="24"/>
          <w:szCs w:val="24"/>
        </w:rPr>
        <w:t>-</w:t>
      </w:r>
      <w:r w:rsidRPr="00A412F6">
        <w:rPr>
          <w:rFonts w:ascii="Times New Roman" w:hAnsi="宋体"/>
          <w:sz w:val="24"/>
          <w:szCs w:val="24"/>
        </w:rPr>
        <w:t>外汇结算账户</w:t>
      </w:r>
      <w:r w:rsidRPr="00A412F6">
        <w:rPr>
          <w:rFonts w:ascii="Times New Roman" w:hAnsi="Times New Roman"/>
          <w:sz w:val="24"/>
          <w:szCs w:val="24"/>
        </w:rPr>
        <w:t>”</w:t>
      </w:r>
      <w:r w:rsidRPr="00A412F6">
        <w:rPr>
          <w:rFonts w:ascii="Times New Roman" w:hAnsi="宋体"/>
          <w:sz w:val="24"/>
          <w:szCs w:val="24"/>
        </w:rPr>
        <w:t>，为与之保持一致，删除</w:t>
      </w:r>
      <w:r w:rsidRPr="00A412F6">
        <w:rPr>
          <w:rFonts w:ascii="Times New Roman" w:hAnsi="Times New Roman"/>
          <w:sz w:val="24"/>
          <w:szCs w:val="24"/>
        </w:rPr>
        <w:t>“</w:t>
      </w:r>
      <w:r w:rsidRPr="00A412F6">
        <w:rPr>
          <w:rFonts w:ascii="Times New Roman" w:hAnsi="宋体"/>
          <w:sz w:val="24"/>
          <w:szCs w:val="24"/>
        </w:rPr>
        <w:t>存钞金额</w:t>
      </w:r>
      <w:r w:rsidRPr="00A412F6">
        <w:rPr>
          <w:rFonts w:ascii="Times New Roman" w:hAnsi="Times New Roman"/>
          <w:sz w:val="24"/>
          <w:szCs w:val="24"/>
        </w:rPr>
        <w:t>”</w:t>
      </w:r>
      <w:r w:rsidR="007C7B79">
        <w:rPr>
          <w:rFonts w:ascii="Times New Roman" w:hAnsi="Times New Roman" w:hint="eastAsia"/>
          <w:sz w:val="24"/>
          <w:szCs w:val="24"/>
        </w:rPr>
        <w:t>、</w:t>
      </w:r>
      <w:r w:rsidRPr="00A412F6">
        <w:rPr>
          <w:rFonts w:ascii="Times New Roman" w:hAnsi="Times New Roman"/>
          <w:sz w:val="24"/>
          <w:szCs w:val="24"/>
        </w:rPr>
        <w:t>“</w:t>
      </w:r>
      <w:r w:rsidRPr="00A412F6">
        <w:rPr>
          <w:rFonts w:ascii="Times New Roman" w:hAnsi="宋体"/>
          <w:sz w:val="24"/>
          <w:szCs w:val="24"/>
        </w:rPr>
        <w:t>存钞金额折美元</w:t>
      </w:r>
      <w:r w:rsidRPr="00A412F6">
        <w:rPr>
          <w:rFonts w:ascii="Times New Roman" w:hAnsi="Times New Roman"/>
          <w:sz w:val="24"/>
          <w:szCs w:val="24"/>
        </w:rPr>
        <w:t>”</w:t>
      </w:r>
      <w:r w:rsidR="007C7B79">
        <w:rPr>
          <w:rFonts w:ascii="Times New Roman" w:hAnsi="Times New Roman" w:hint="eastAsia"/>
          <w:sz w:val="24"/>
          <w:szCs w:val="24"/>
        </w:rPr>
        <w:t>、</w:t>
      </w:r>
      <w:r w:rsidRPr="00A412F6">
        <w:rPr>
          <w:rFonts w:ascii="Times New Roman" w:hAnsi="Times New Roman"/>
          <w:sz w:val="24"/>
          <w:szCs w:val="24"/>
        </w:rPr>
        <w:t>“</w:t>
      </w:r>
      <w:r w:rsidRPr="00A412F6">
        <w:rPr>
          <w:rFonts w:ascii="Times New Roman" w:hAnsi="宋体"/>
          <w:sz w:val="24"/>
          <w:szCs w:val="24"/>
        </w:rPr>
        <w:t>存钞账号</w:t>
      </w:r>
      <w:r w:rsidRPr="00A412F6">
        <w:rPr>
          <w:rFonts w:ascii="Times New Roman" w:hAnsi="Times New Roman"/>
          <w:sz w:val="24"/>
          <w:szCs w:val="24"/>
        </w:rPr>
        <w:t>”</w:t>
      </w:r>
      <w:r w:rsidRPr="00A412F6">
        <w:rPr>
          <w:rFonts w:ascii="Times New Roman" w:hAnsi="宋体"/>
          <w:sz w:val="24"/>
          <w:szCs w:val="24"/>
        </w:rPr>
        <w:t>数据项，修改</w:t>
      </w:r>
      <w:r w:rsidRPr="00A412F6">
        <w:rPr>
          <w:rFonts w:ascii="Times New Roman" w:hAnsi="Times New Roman"/>
          <w:sz w:val="24"/>
          <w:szCs w:val="24"/>
        </w:rPr>
        <w:t>“</w:t>
      </w:r>
      <w:r w:rsidRPr="00A412F6">
        <w:rPr>
          <w:rFonts w:ascii="Times New Roman" w:hAnsi="宋体"/>
          <w:sz w:val="24"/>
          <w:szCs w:val="24"/>
        </w:rPr>
        <w:t>账户提钞金额</w:t>
      </w:r>
      <w:r w:rsidRPr="00A412F6">
        <w:rPr>
          <w:rFonts w:ascii="Times New Roman" w:hAnsi="Times New Roman"/>
          <w:sz w:val="24"/>
          <w:szCs w:val="24"/>
        </w:rPr>
        <w:t>”</w:t>
      </w:r>
      <w:r w:rsidRPr="00A412F6">
        <w:rPr>
          <w:rFonts w:ascii="Times New Roman" w:hAnsi="宋体"/>
          <w:sz w:val="24"/>
          <w:szCs w:val="24"/>
        </w:rPr>
        <w:t>、</w:t>
      </w:r>
      <w:r w:rsidRPr="00A412F6">
        <w:rPr>
          <w:rFonts w:ascii="Times New Roman" w:hAnsi="Times New Roman"/>
          <w:sz w:val="24"/>
          <w:szCs w:val="24"/>
        </w:rPr>
        <w:t>“</w:t>
      </w:r>
      <w:r w:rsidRPr="00A412F6">
        <w:rPr>
          <w:rFonts w:ascii="Times New Roman" w:hAnsi="宋体"/>
          <w:sz w:val="24"/>
          <w:szCs w:val="24"/>
        </w:rPr>
        <w:t>购汇提钞金额</w:t>
      </w:r>
      <w:r w:rsidRPr="00A412F6">
        <w:rPr>
          <w:rFonts w:ascii="Times New Roman" w:hAnsi="Times New Roman"/>
          <w:sz w:val="24"/>
          <w:szCs w:val="24"/>
        </w:rPr>
        <w:t>”</w:t>
      </w:r>
      <w:r w:rsidRPr="00A412F6">
        <w:rPr>
          <w:rFonts w:ascii="Times New Roman" w:hAnsi="宋体"/>
          <w:sz w:val="24"/>
          <w:szCs w:val="24"/>
        </w:rPr>
        <w:t>定义及校验规则，详见第六章</w:t>
      </w:r>
      <w:r w:rsidRPr="00A412F6">
        <w:rPr>
          <w:rFonts w:ascii="Times New Roman" w:hAnsi="Times New Roman"/>
          <w:sz w:val="24"/>
          <w:szCs w:val="24"/>
        </w:rPr>
        <w:t>6.10</w:t>
      </w:r>
      <w:r w:rsidRPr="00A412F6">
        <w:rPr>
          <w:rFonts w:ascii="Times New Roman" w:hAnsi="宋体" w:hint="eastAsia"/>
          <w:sz w:val="24"/>
          <w:szCs w:val="24"/>
        </w:rPr>
        <w:t>。</w:t>
      </w:r>
    </w:p>
    <w:p w14:paraId="0104FAF1" w14:textId="77777777" w:rsidR="00A052DC" w:rsidRDefault="009F0A60" w:rsidP="0020251D">
      <w:pPr>
        <w:pStyle w:val="4"/>
        <w:numPr>
          <w:ilvl w:val="3"/>
          <w:numId w:val="1"/>
        </w:numPr>
        <w:jc w:val="left"/>
      </w:pPr>
      <w:r>
        <w:rPr>
          <w:rFonts w:hint="eastAsia"/>
        </w:rPr>
        <w:t>银行卡境外交易数据调整</w:t>
      </w:r>
    </w:p>
    <w:p w14:paraId="371B9B4F" w14:textId="77777777" w:rsidR="00A052DC" w:rsidRPr="007C7B79" w:rsidRDefault="00A412F6">
      <w:pPr>
        <w:spacing w:line="360" w:lineRule="auto"/>
        <w:ind w:firstLineChars="200" w:firstLine="480"/>
        <w:rPr>
          <w:rFonts w:ascii="Times New Roman" w:hAnsi="宋体"/>
          <w:sz w:val="24"/>
          <w:szCs w:val="24"/>
        </w:rPr>
      </w:pPr>
      <w:r w:rsidRPr="00A412F6">
        <w:rPr>
          <w:rFonts w:ascii="Times New Roman" w:hAnsi="宋体" w:hint="eastAsia"/>
          <w:sz w:val="24"/>
          <w:szCs w:val="24"/>
        </w:rPr>
        <w:t>新增银行卡清算渠道选项“连通”，详见第六章</w:t>
      </w:r>
      <w:r w:rsidRPr="00A412F6">
        <w:rPr>
          <w:rFonts w:ascii="Times New Roman" w:hAnsi="宋体"/>
          <w:sz w:val="24"/>
          <w:szCs w:val="24"/>
        </w:rPr>
        <w:t>6.11</w:t>
      </w:r>
      <w:r w:rsidRPr="00A412F6">
        <w:rPr>
          <w:rFonts w:ascii="Times New Roman" w:hAnsi="宋体" w:hint="eastAsia"/>
          <w:sz w:val="24"/>
          <w:szCs w:val="24"/>
        </w:rPr>
        <w:t>。</w:t>
      </w:r>
    </w:p>
    <w:p w14:paraId="3922028A" w14:textId="77777777" w:rsidR="00A052DC" w:rsidRDefault="009F0A60" w:rsidP="0020251D">
      <w:pPr>
        <w:pStyle w:val="4"/>
        <w:numPr>
          <w:ilvl w:val="3"/>
          <w:numId w:val="1"/>
        </w:numPr>
        <w:jc w:val="left"/>
      </w:pPr>
      <w:r>
        <w:rPr>
          <w:rFonts w:hint="eastAsia"/>
        </w:rPr>
        <w:t>新增采集数据</w:t>
      </w:r>
    </w:p>
    <w:p w14:paraId="68C82918" w14:textId="77777777" w:rsidR="00A052DC" w:rsidRDefault="009F0A60">
      <w:pPr>
        <w:spacing w:line="360" w:lineRule="auto"/>
        <w:ind w:firstLineChars="200" w:firstLine="480"/>
        <w:rPr>
          <w:kern w:val="0"/>
        </w:rPr>
      </w:pPr>
      <w:r>
        <w:rPr>
          <w:rFonts w:ascii="宋体" w:hAnsi="宋体" w:hint="eastAsia"/>
          <w:sz w:val="24"/>
          <w:szCs w:val="24"/>
        </w:rPr>
        <w:t>新增的境外建设、运输收入、非居民持有境内银行卡的收入支出</w:t>
      </w:r>
      <w:r>
        <w:rPr>
          <w:rFonts w:ascii="宋体" w:hAnsi="宋体"/>
          <w:sz w:val="24"/>
          <w:szCs w:val="24"/>
        </w:rPr>
        <w:t>等对外金融资产负债及交易类信息和非居民机构账户间境内划转数据、机构大额结售汇资金来源和使用数据、涉嫌外汇违规账户信息等数据采集范围详见第二章，数据报送方式和报送时间详见第三章，接口文件命名和报送规范详见第四章，接口文件格式详见第五章，接口格式详见第六章。涉嫌外汇违规账户信息</w:t>
      </w:r>
      <w:r>
        <w:rPr>
          <w:rFonts w:ascii="宋体" w:hAnsi="宋体" w:hint="eastAsia"/>
          <w:sz w:val="24"/>
          <w:szCs w:val="24"/>
        </w:rPr>
        <w:t>相关</w:t>
      </w:r>
      <w:r>
        <w:rPr>
          <w:rFonts w:ascii="宋体" w:hAnsi="宋体"/>
          <w:sz w:val="24"/>
          <w:szCs w:val="24"/>
        </w:rPr>
        <w:t>下发数据详见第八章。</w:t>
      </w:r>
    </w:p>
    <w:p w14:paraId="61DD6A10" w14:textId="77777777" w:rsidR="00A052DC" w:rsidRDefault="009F0A60" w:rsidP="0020251D">
      <w:pPr>
        <w:pStyle w:val="1"/>
        <w:rPr>
          <w:rFonts w:ascii="Times New Roman" w:hAnsi="Times New Roman"/>
        </w:rPr>
      </w:pPr>
      <w:bookmarkStart w:id="121" w:name="_Toc525911995"/>
      <w:bookmarkStart w:id="122" w:name="_Toc525912747"/>
      <w:bookmarkStart w:id="123" w:name="_Toc525912746"/>
      <w:bookmarkStart w:id="124" w:name="_Toc525912745"/>
      <w:bookmarkStart w:id="125" w:name="_Toc525912744"/>
      <w:bookmarkStart w:id="126" w:name="_Toc525911994"/>
      <w:bookmarkStart w:id="127" w:name="_Toc525911993"/>
      <w:bookmarkStart w:id="128" w:name="_Toc525911992"/>
      <w:bookmarkStart w:id="129" w:name="_Toc454386613"/>
      <w:bookmarkStart w:id="130" w:name="_Toc91455164"/>
      <w:bookmarkStart w:id="131" w:name="_Toc380356170"/>
      <w:bookmarkStart w:id="132" w:name="_Toc101684339"/>
      <w:bookmarkEnd w:id="121"/>
      <w:bookmarkEnd w:id="122"/>
      <w:bookmarkEnd w:id="123"/>
      <w:bookmarkEnd w:id="124"/>
      <w:bookmarkEnd w:id="125"/>
      <w:bookmarkEnd w:id="126"/>
      <w:bookmarkEnd w:id="127"/>
      <w:bookmarkEnd w:id="128"/>
      <w:r>
        <w:rPr>
          <w:rFonts w:ascii="Times New Roman" w:hint="eastAsia"/>
        </w:rPr>
        <w:t>数据采集范围</w:t>
      </w:r>
      <w:bookmarkEnd w:id="129"/>
      <w:bookmarkEnd w:id="130"/>
      <w:bookmarkEnd w:id="131"/>
      <w:bookmarkEnd w:id="132"/>
    </w:p>
    <w:p w14:paraId="063ADAAE" w14:textId="77777777" w:rsidR="00A052DC" w:rsidRDefault="009F0A60">
      <w:pPr>
        <w:spacing w:line="360" w:lineRule="auto"/>
        <w:ind w:firstLineChars="200" w:firstLine="480"/>
        <w:rPr>
          <w:rFonts w:ascii="Times New Roman" w:hAnsi="Times New Roman"/>
          <w:kern w:val="0"/>
          <w:sz w:val="24"/>
          <w:szCs w:val="20"/>
        </w:rPr>
      </w:pPr>
      <w:r>
        <w:rPr>
          <w:rFonts w:ascii="Times New Roman" w:hint="eastAsia"/>
          <w:kern w:val="0"/>
          <w:sz w:val="24"/>
          <w:szCs w:val="20"/>
        </w:rPr>
        <w:t>数据采集范围包括以下内容：对公申报主体信息（组织机构基本情况表）、涉外收支数据、境内划转数据、外汇账户数据、外汇账户内结售汇数据、银行自身资本项目业务数据、银行资本项目代客业务数据、对外金融资产负债及交易数据、机构外币现钞存取数据、银行卡境外交易数据、涉嫌外汇违规账户信息、机构大额结售汇资金来源和使用数据等。</w:t>
      </w:r>
    </w:p>
    <w:p w14:paraId="1AE40A26" w14:textId="77777777" w:rsidR="00A052DC" w:rsidRPr="007C7B79" w:rsidRDefault="00A412F6" w:rsidP="0020251D">
      <w:pPr>
        <w:pStyle w:val="2"/>
        <w:rPr>
          <w:rFonts w:ascii="Times New Roman" w:hAnsi="Times New Roman"/>
        </w:rPr>
      </w:pPr>
      <w:bookmarkStart w:id="133" w:name="_Toc380356171"/>
      <w:bookmarkStart w:id="134" w:name="_Toc454386614"/>
      <w:bookmarkStart w:id="135" w:name="_Toc91455165"/>
      <w:bookmarkStart w:id="136" w:name="_Toc101684340"/>
      <w:r w:rsidRPr="00A412F6">
        <w:rPr>
          <w:rFonts w:ascii="Times New Roman" w:hAnsi="Times New Roman" w:hint="eastAsia"/>
        </w:rPr>
        <w:t>组织机构基本情况表（原单位基本情况表</w:t>
      </w:r>
      <w:bookmarkEnd w:id="133"/>
      <w:bookmarkEnd w:id="134"/>
      <w:r w:rsidRPr="00A412F6">
        <w:rPr>
          <w:rFonts w:ascii="Times New Roman" w:hAnsi="Times New Roman" w:hint="eastAsia"/>
        </w:rPr>
        <w:t>）</w:t>
      </w:r>
      <w:bookmarkEnd w:id="135"/>
      <w:bookmarkEnd w:id="136"/>
    </w:p>
    <w:p w14:paraId="39660B7A" w14:textId="77777777" w:rsidR="00A052DC" w:rsidRDefault="009F0A60">
      <w:pPr>
        <w:spacing w:line="360" w:lineRule="auto"/>
        <w:ind w:firstLineChars="200" w:firstLine="480"/>
        <w:rPr>
          <w:rFonts w:ascii="Times New Roman" w:hAnsi="Times New Roman"/>
          <w:kern w:val="0"/>
          <w:sz w:val="24"/>
          <w:szCs w:val="20"/>
        </w:rPr>
      </w:pPr>
      <w:r>
        <w:rPr>
          <w:rFonts w:ascii="Times New Roman" w:hint="eastAsia"/>
          <w:kern w:val="0"/>
          <w:sz w:val="24"/>
          <w:szCs w:val="20"/>
        </w:rPr>
        <w:t>银行收集首次在本银行办理涉外收付款等业务的对公申报主体信息，同时补充该申报主体在本银行的开户</w:t>
      </w:r>
      <w:r>
        <w:rPr>
          <w:rFonts w:ascii="Times New Roman" w:hint="eastAsia"/>
          <w:kern w:val="0"/>
          <w:sz w:val="24"/>
          <w:szCs w:val="20"/>
        </w:rPr>
        <w:t>/</w:t>
      </w:r>
      <w:r>
        <w:rPr>
          <w:rFonts w:ascii="Times New Roman" w:hint="eastAsia"/>
          <w:kern w:val="0"/>
          <w:sz w:val="24"/>
          <w:szCs w:val="20"/>
        </w:rPr>
        <w:t>经办信息等，这两部分信息构成组织机构基本情况表。</w:t>
      </w:r>
    </w:p>
    <w:p w14:paraId="1AD31F97" w14:textId="77777777" w:rsidR="00A052DC" w:rsidRDefault="009F0A60" w:rsidP="0020251D">
      <w:pPr>
        <w:pStyle w:val="2"/>
        <w:rPr>
          <w:rFonts w:ascii="Times New Roman" w:hAnsi="Times New Roman"/>
        </w:rPr>
      </w:pPr>
      <w:bookmarkStart w:id="137" w:name="_Toc91455166"/>
      <w:bookmarkStart w:id="138" w:name="_Toc380356172"/>
      <w:bookmarkStart w:id="139" w:name="_Toc454386615"/>
      <w:bookmarkStart w:id="140" w:name="_Toc101684341"/>
      <w:r>
        <w:rPr>
          <w:rFonts w:ascii="Times New Roman" w:hint="eastAsia"/>
        </w:rPr>
        <w:t>涉外收支数据</w:t>
      </w:r>
      <w:bookmarkEnd w:id="137"/>
      <w:bookmarkEnd w:id="138"/>
      <w:bookmarkEnd w:id="139"/>
      <w:bookmarkEnd w:id="140"/>
    </w:p>
    <w:p w14:paraId="306F9649" w14:textId="77777777" w:rsidR="00A052DC" w:rsidRDefault="009F0A60" w:rsidP="0020251D">
      <w:pPr>
        <w:pStyle w:val="3"/>
        <w:ind w:left="0"/>
        <w:rPr>
          <w:rFonts w:ascii="Times New Roman" w:hAnsi="Times New Roman"/>
        </w:rPr>
      </w:pPr>
      <w:bookmarkStart w:id="141" w:name="_Toc454386616"/>
      <w:bookmarkStart w:id="142" w:name="_Toc91455167"/>
      <w:bookmarkStart w:id="143" w:name="_Toc380356173"/>
      <w:bookmarkStart w:id="144" w:name="_Toc101684342"/>
      <w:r>
        <w:rPr>
          <w:rFonts w:ascii="Times New Roman" w:hint="eastAsia"/>
        </w:rPr>
        <w:t>涉外收入数据</w:t>
      </w:r>
      <w:bookmarkEnd w:id="141"/>
      <w:bookmarkEnd w:id="142"/>
      <w:bookmarkEnd w:id="143"/>
      <w:bookmarkEnd w:id="144"/>
    </w:p>
    <w:p w14:paraId="43E52B5D" w14:textId="77777777" w:rsidR="00A052DC" w:rsidRDefault="009F0A60">
      <w:pPr>
        <w:tabs>
          <w:tab w:val="left" w:pos="870"/>
        </w:tabs>
        <w:autoSpaceDE w:val="0"/>
        <w:autoSpaceDN w:val="0"/>
        <w:snapToGrid w:val="0"/>
        <w:spacing w:line="360" w:lineRule="auto"/>
        <w:ind w:firstLine="567"/>
        <w:textAlignment w:val="bottom"/>
        <w:rPr>
          <w:rFonts w:ascii="Times New Roman" w:hAnsi="Times New Roman"/>
          <w:sz w:val="24"/>
        </w:rPr>
      </w:pPr>
      <w:r>
        <w:rPr>
          <w:rFonts w:ascii="Times New Roman" w:hAnsi="宋体"/>
          <w:sz w:val="24"/>
        </w:rPr>
        <w:t>涉外收入（包括跨境人民币收入）是指所有非银行机构</w:t>
      </w:r>
      <w:r>
        <w:rPr>
          <w:rFonts w:ascii="Times New Roman" w:hAnsi="Times New Roman"/>
          <w:sz w:val="24"/>
        </w:rPr>
        <w:t>(</w:t>
      </w:r>
      <w:r>
        <w:rPr>
          <w:rFonts w:ascii="Times New Roman" w:hAnsi="宋体"/>
          <w:sz w:val="24"/>
        </w:rPr>
        <w:t>简称机构</w:t>
      </w:r>
      <w:r>
        <w:rPr>
          <w:rFonts w:ascii="Times New Roman" w:hAnsi="Times New Roman"/>
          <w:sz w:val="24"/>
        </w:rPr>
        <w:t>)</w:t>
      </w:r>
      <w:r>
        <w:rPr>
          <w:rFonts w:ascii="Times New Roman" w:hAnsi="宋体"/>
          <w:sz w:val="24"/>
        </w:rPr>
        <w:t>和个人通过中国境内银行以电汇、信汇、票汇、信用证、托收、保函及其他方式从境外收到的款项，以及境内居民通过境内银行从境内非居民收到的款项。</w:t>
      </w:r>
    </w:p>
    <w:p w14:paraId="49BD5524" w14:textId="77777777" w:rsidR="00A052DC" w:rsidRDefault="009F0A60">
      <w:pPr>
        <w:numPr>
          <w:ilvl w:val="0"/>
          <w:numId w:val="4"/>
        </w:numPr>
        <w:autoSpaceDE w:val="0"/>
        <w:autoSpaceDN w:val="0"/>
        <w:snapToGrid w:val="0"/>
        <w:spacing w:line="360" w:lineRule="auto"/>
        <w:ind w:left="992"/>
        <w:textAlignment w:val="bottom"/>
        <w:rPr>
          <w:rFonts w:ascii="Times New Roman" w:hAnsi="Times New Roman"/>
          <w:sz w:val="24"/>
        </w:rPr>
      </w:pPr>
      <w:r>
        <w:rPr>
          <w:rFonts w:ascii="Times New Roman" w:hAnsi="宋体"/>
          <w:sz w:val="24"/>
          <w:u w:val="single"/>
        </w:rPr>
        <w:t>涉外收入还应包括：</w:t>
      </w:r>
    </w:p>
    <w:p w14:paraId="7F78356B" w14:textId="77777777" w:rsidR="00A052DC" w:rsidRDefault="009F0A60">
      <w:pPr>
        <w:numPr>
          <w:ilvl w:val="0"/>
          <w:numId w:val="5"/>
        </w:numPr>
        <w:autoSpaceDE w:val="0"/>
        <w:autoSpaceDN w:val="0"/>
        <w:adjustRightInd w:val="0"/>
        <w:spacing w:line="360" w:lineRule="auto"/>
        <w:rPr>
          <w:rFonts w:ascii="Times New Roman" w:hAnsi="Times New Roman"/>
          <w:sz w:val="24"/>
        </w:rPr>
      </w:pPr>
      <w:r>
        <w:rPr>
          <w:rFonts w:ascii="Times New Roman" w:hAnsi="宋体"/>
          <w:sz w:val="24"/>
        </w:rPr>
        <w:t>非居民在境内银行开立的账户从境外的收款。</w:t>
      </w:r>
    </w:p>
    <w:p w14:paraId="41A646ED" w14:textId="77777777" w:rsidR="00A052DC" w:rsidRDefault="009F0A60">
      <w:pPr>
        <w:numPr>
          <w:ilvl w:val="0"/>
          <w:numId w:val="5"/>
        </w:numPr>
        <w:autoSpaceDE w:val="0"/>
        <w:autoSpaceDN w:val="0"/>
        <w:adjustRightInd w:val="0"/>
        <w:spacing w:line="360" w:lineRule="auto"/>
        <w:rPr>
          <w:rFonts w:ascii="Times New Roman" w:hAnsi="Times New Roman"/>
          <w:sz w:val="24"/>
        </w:rPr>
      </w:pPr>
      <w:r>
        <w:rPr>
          <w:rFonts w:ascii="Times New Roman" w:hAnsi="宋体"/>
          <w:sz w:val="24"/>
        </w:rPr>
        <w:t>从境外向境内银行发出支出指令的涉外收款。</w:t>
      </w:r>
    </w:p>
    <w:p w14:paraId="22FBD215" w14:textId="77777777" w:rsidR="00A052DC" w:rsidRDefault="009F0A60">
      <w:pPr>
        <w:numPr>
          <w:ilvl w:val="0"/>
          <w:numId w:val="5"/>
        </w:numPr>
        <w:autoSpaceDE w:val="0"/>
        <w:autoSpaceDN w:val="0"/>
        <w:adjustRightInd w:val="0"/>
        <w:spacing w:line="360" w:lineRule="auto"/>
        <w:rPr>
          <w:rFonts w:ascii="Times New Roman" w:hAnsi="Times New Roman"/>
          <w:sz w:val="24"/>
        </w:rPr>
      </w:pPr>
      <w:r>
        <w:rPr>
          <w:rFonts w:ascii="Times New Roman" w:hAnsi="宋体"/>
          <w:sz w:val="24"/>
        </w:rPr>
        <w:t>通过记账方式办理援助的涉外收款。</w:t>
      </w:r>
    </w:p>
    <w:p w14:paraId="31B73D41" w14:textId="77777777" w:rsidR="00A052DC" w:rsidRDefault="009F0A60">
      <w:pPr>
        <w:numPr>
          <w:ilvl w:val="0"/>
          <w:numId w:val="5"/>
        </w:numPr>
        <w:autoSpaceDE w:val="0"/>
        <w:autoSpaceDN w:val="0"/>
        <w:adjustRightInd w:val="0"/>
        <w:spacing w:line="360" w:lineRule="auto"/>
        <w:rPr>
          <w:rFonts w:ascii="Times New Roman" w:hAnsi="Times New Roman"/>
          <w:sz w:val="24"/>
        </w:rPr>
      </w:pPr>
      <w:r>
        <w:rPr>
          <w:rFonts w:ascii="Times New Roman" w:hAnsi="宋体"/>
          <w:sz w:val="24"/>
        </w:rPr>
        <w:t>由于非货币黄金出口而从境外收到的款项。</w:t>
      </w:r>
    </w:p>
    <w:p w14:paraId="5DB5C758" w14:textId="77777777" w:rsidR="00A052DC" w:rsidRDefault="009F0A60">
      <w:pPr>
        <w:numPr>
          <w:ilvl w:val="0"/>
          <w:numId w:val="4"/>
        </w:numPr>
        <w:autoSpaceDE w:val="0"/>
        <w:autoSpaceDN w:val="0"/>
        <w:snapToGrid w:val="0"/>
        <w:spacing w:line="360" w:lineRule="auto"/>
        <w:ind w:left="992"/>
        <w:textAlignment w:val="bottom"/>
        <w:rPr>
          <w:rFonts w:ascii="Times New Roman" w:hAnsi="Times New Roman"/>
          <w:sz w:val="24"/>
          <w:u w:val="single"/>
        </w:rPr>
      </w:pPr>
      <w:r>
        <w:rPr>
          <w:rFonts w:ascii="Times New Roman" w:hAnsi="宋体"/>
          <w:sz w:val="24"/>
          <w:u w:val="single"/>
        </w:rPr>
        <w:t>涉外收入不包括：</w:t>
      </w:r>
    </w:p>
    <w:p w14:paraId="21AD67EB" w14:textId="77777777" w:rsidR="00A052DC" w:rsidRDefault="009F0A60">
      <w:pPr>
        <w:numPr>
          <w:ilvl w:val="0"/>
          <w:numId w:val="6"/>
        </w:numPr>
        <w:autoSpaceDE w:val="0"/>
        <w:autoSpaceDN w:val="0"/>
        <w:adjustRightInd w:val="0"/>
        <w:spacing w:line="360" w:lineRule="auto"/>
        <w:rPr>
          <w:rFonts w:ascii="Times New Roman" w:hAnsi="Times New Roman"/>
          <w:sz w:val="24"/>
        </w:rPr>
      </w:pPr>
      <w:r>
        <w:rPr>
          <w:rFonts w:ascii="Times New Roman" w:hAnsi="宋体"/>
          <w:sz w:val="24"/>
        </w:rPr>
        <w:t>居民付款人从其境内银行账户向居民收款人境内银行账户付款时，由于汇路原因导致居民收款人境内银行账户从境外收到的款项。</w:t>
      </w:r>
    </w:p>
    <w:p w14:paraId="147859E5" w14:textId="77777777" w:rsidR="00A052DC" w:rsidRDefault="009F0A60">
      <w:pPr>
        <w:numPr>
          <w:ilvl w:val="0"/>
          <w:numId w:val="6"/>
        </w:numPr>
        <w:autoSpaceDE w:val="0"/>
        <w:autoSpaceDN w:val="0"/>
        <w:adjustRightInd w:val="0"/>
        <w:spacing w:line="360" w:lineRule="auto"/>
        <w:rPr>
          <w:rFonts w:ascii="Times New Roman" w:hAnsi="Times New Roman"/>
          <w:sz w:val="24"/>
        </w:rPr>
      </w:pPr>
      <w:r>
        <w:rPr>
          <w:rFonts w:ascii="Times New Roman" w:hAnsi="宋体"/>
          <w:sz w:val="24"/>
        </w:rPr>
        <w:t>中国境内银行自身（银行由于非货币黄金出口而从境外收到的款项应纳入到涉外收入数据接口范围）以及境内银行之间发生的跨境收入。</w:t>
      </w:r>
    </w:p>
    <w:p w14:paraId="681D7085" w14:textId="77777777" w:rsidR="00A052DC" w:rsidRDefault="009F0A60">
      <w:pPr>
        <w:numPr>
          <w:ilvl w:val="0"/>
          <w:numId w:val="6"/>
        </w:numPr>
        <w:autoSpaceDE w:val="0"/>
        <w:autoSpaceDN w:val="0"/>
        <w:adjustRightInd w:val="0"/>
        <w:spacing w:line="360" w:lineRule="auto"/>
        <w:rPr>
          <w:rFonts w:ascii="Times New Roman" w:hAnsi="Times New Roman"/>
          <w:sz w:val="24"/>
        </w:rPr>
      </w:pPr>
      <w:r>
        <w:rPr>
          <w:rFonts w:ascii="Times New Roman" w:hAnsi="宋体"/>
          <w:sz w:val="24"/>
        </w:rPr>
        <w:t>将外币现钞存入外汇账户。</w:t>
      </w:r>
    </w:p>
    <w:p w14:paraId="4C727F59" w14:textId="77777777" w:rsidR="00A052DC" w:rsidRDefault="009F0A60">
      <w:pPr>
        <w:numPr>
          <w:ilvl w:val="0"/>
          <w:numId w:val="6"/>
        </w:numPr>
        <w:autoSpaceDE w:val="0"/>
        <w:autoSpaceDN w:val="0"/>
        <w:adjustRightInd w:val="0"/>
        <w:spacing w:line="360" w:lineRule="auto"/>
        <w:rPr>
          <w:rFonts w:ascii="Times New Roman" w:hAnsi="Times New Roman"/>
          <w:sz w:val="24"/>
        </w:rPr>
      </w:pPr>
      <w:r>
        <w:rPr>
          <w:rFonts w:ascii="Times New Roman" w:hAnsi="Times New Roman" w:hint="eastAsia"/>
          <w:sz w:val="24"/>
        </w:rPr>
        <w:t>境内居民个人通过境内银行与境内非居民个人间发生的人民币收付款。</w:t>
      </w:r>
    </w:p>
    <w:p w14:paraId="5F8C5BC9" w14:textId="77777777" w:rsidR="00A052DC" w:rsidRDefault="009F0A60" w:rsidP="0020251D">
      <w:pPr>
        <w:pStyle w:val="3"/>
        <w:ind w:left="0"/>
        <w:rPr>
          <w:rFonts w:ascii="Times New Roman" w:hAnsi="Times New Roman"/>
        </w:rPr>
      </w:pPr>
      <w:bookmarkStart w:id="145" w:name="_Toc454386617"/>
      <w:bookmarkStart w:id="146" w:name="_Toc380356174"/>
      <w:bookmarkStart w:id="147" w:name="_Toc91455168"/>
      <w:bookmarkStart w:id="148" w:name="_Toc101684343"/>
      <w:r>
        <w:rPr>
          <w:rFonts w:ascii="Times New Roman" w:hint="eastAsia"/>
        </w:rPr>
        <w:t>境外汇款数据</w:t>
      </w:r>
      <w:bookmarkEnd w:id="145"/>
      <w:bookmarkEnd w:id="146"/>
      <w:bookmarkEnd w:id="147"/>
      <w:bookmarkEnd w:id="148"/>
    </w:p>
    <w:p w14:paraId="26AA21C9" w14:textId="77777777" w:rsidR="00A052DC" w:rsidRDefault="009F0A60">
      <w:pPr>
        <w:tabs>
          <w:tab w:val="left" w:pos="870"/>
        </w:tabs>
        <w:autoSpaceDE w:val="0"/>
        <w:autoSpaceDN w:val="0"/>
        <w:snapToGrid w:val="0"/>
        <w:spacing w:line="360" w:lineRule="auto"/>
        <w:ind w:firstLine="567"/>
        <w:textAlignment w:val="bottom"/>
        <w:rPr>
          <w:rFonts w:ascii="Times New Roman" w:hAnsi="Times New Roman"/>
          <w:sz w:val="24"/>
        </w:rPr>
      </w:pPr>
      <w:r>
        <w:rPr>
          <w:rFonts w:ascii="Times New Roman" w:hAnsi="宋体"/>
          <w:sz w:val="24"/>
        </w:rPr>
        <w:t>境外汇款（包括跨境人民币汇款）是指所有非银行机构</w:t>
      </w:r>
      <w:r>
        <w:rPr>
          <w:rFonts w:ascii="Times New Roman" w:hAnsi="Times New Roman"/>
          <w:sz w:val="24"/>
        </w:rPr>
        <w:t>(</w:t>
      </w:r>
      <w:r>
        <w:rPr>
          <w:rFonts w:ascii="Times New Roman" w:hAnsi="宋体"/>
          <w:sz w:val="24"/>
        </w:rPr>
        <w:t>简称机构</w:t>
      </w:r>
      <w:r>
        <w:rPr>
          <w:rFonts w:ascii="Times New Roman" w:hAnsi="Times New Roman"/>
          <w:sz w:val="24"/>
        </w:rPr>
        <w:t>)</w:t>
      </w:r>
      <w:r>
        <w:rPr>
          <w:rFonts w:ascii="Times New Roman" w:hAnsi="宋体"/>
          <w:sz w:val="24"/>
        </w:rPr>
        <w:t>和个人通过中国境内银行以电汇、信汇、票汇方式办理的对境外付款，以及境内居民通过境内银行以电汇、信汇、票汇方式向境内非居民支付的款项。</w:t>
      </w:r>
    </w:p>
    <w:p w14:paraId="67DEE7D8" w14:textId="77777777" w:rsidR="00A052DC" w:rsidRDefault="009F0A60">
      <w:pPr>
        <w:numPr>
          <w:ilvl w:val="0"/>
          <w:numId w:val="7"/>
        </w:numPr>
        <w:tabs>
          <w:tab w:val="left" w:pos="1280"/>
        </w:tabs>
        <w:autoSpaceDE w:val="0"/>
        <w:autoSpaceDN w:val="0"/>
        <w:snapToGrid w:val="0"/>
        <w:spacing w:line="360" w:lineRule="auto"/>
        <w:ind w:left="992"/>
        <w:textAlignment w:val="bottom"/>
        <w:rPr>
          <w:rFonts w:ascii="Times New Roman" w:hAnsi="Times New Roman"/>
          <w:sz w:val="24"/>
          <w:u w:val="single"/>
        </w:rPr>
      </w:pPr>
      <w:r>
        <w:rPr>
          <w:rFonts w:ascii="Times New Roman" w:hAnsi="宋体"/>
          <w:sz w:val="24"/>
          <w:u w:val="single"/>
        </w:rPr>
        <w:t>境外汇款还应包括以下几种情况：</w:t>
      </w:r>
    </w:p>
    <w:p w14:paraId="6D7142C6" w14:textId="77777777" w:rsidR="00A052DC" w:rsidRDefault="009F0A60">
      <w:pPr>
        <w:numPr>
          <w:ilvl w:val="0"/>
          <w:numId w:val="8"/>
        </w:numPr>
        <w:autoSpaceDE w:val="0"/>
        <w:autoSpaceDN w:val="0"/>
        <w:adjustRightInd w:val="0"/>
        <w:spacing w:line="360" w:lineRule="auto"/>
        <w:rPr>
          <w:rFonts w:ascii="Times New Roman" w:hAnsi="Times New Roman"/>
          <w:sz w:val="24"/>
        </w:rPr>
      </w:pPr>
      <w:r>
        <w:rPr>
          <w:rFonts w:ascii="Times New Roman" w:hAnsi="宋体"/>
          <w:sz w:val="24"/>
        </w:rPr>
        <w:t>非居民在境内银行开立的账户对境外的付款。</w:t>
      </w:r>
    </w:p>
    <w:p w14:paraId="2D1BA90E" w14:textId="77777777" w:rsidR="00A052DC" w:rsidRDefault="009F0A60">
      <w:pPr>
        <w:numPr>
          <w:ilvl w:val="0"/>
          <w:numId w:val="8"/>
        </w:numPr>
        <w:autoSpaceDE w:val="0"/>
        <w:autoSpaceDN w:val="0"/>
        <w:adjustRightInd w:val="0"/>
        <w:spacing w:line="360" w:lineRule="auto"/>
        <w:rPr>
          <w:rFonts w:ascii="Times New Roman" w:hAnsi="Times New Roman"/>
          <w:sz w:val="24"/>
        </w:rPr>
      </w:pPr>
      <w:r>
        <w:rPr>
          <w:rFonts w:ascii="Times New Roman" w:hAnsi="宋体"/>
          <w:sz w:val="24"/>
        </w:rPr>
        <w:t>通过境内银行对境外发出支付指令的业务。</w:t>
      </w:r>
    </w:p>
    <w:p w14:paraId="19315322" w14:textId="77777777" w:rsidR="00A052DC" w:rsidRDefault="009F0A60">
      <w:pPr>
        <w:numPr>
          <w:ilvl w:val="0"/>
          <w:numId w:val="8"/>
        </w:numPr>
        <w:autoSpaceDE w:val="0"/>
        <w:autoSpaceDN w:val="0"/>
        <w:adjustRightInd w:val="0"/>
        <w:spacing w:line="360" w:lineRule="auto"/>
        <w:rPr>
          <w:rFonts w:ascii="Times New Roman" w:hAnsi="Times New Roman"/>
          <w:sz w:val="24"/>
        </w:rPr>
      </w:pPr>
      <w:r>
        <w:rPr>
          <w:rFonts w:ascii="Times New Roman" w:hAnsi="宋体"/>
          <w:sz w:val="24"/>
        </w:rPr>
        <w:t>通过记账方式办理的对外援助等涉外业务。</w:t>
      </w:r>
    </w:p>
    <w:p w14:paraId="144EF90D" w14:textId="77777777" w:rsidR="00A052DC" w:rsidRDefault="009F0A60">
      <w:pPr>
        <w:numPr>
          <w:ilvl w:val="0"/>
          <w:numId w:val="8"/>
        </w:numPr>
        <w:autoSpaceDE w:val="0"/>
        <w:autoSpaceDN w:val="0"/>
        <w:adjustRightInd w:val="0"/>
        <w:spacing w:line="360" w:lineRule="auto"/>
        <w:rPr>
          <w:rFonts w:ascii="Times New Roman" w:hAnsi="Times New Roman"/>
          <w:sz w:val="24"/>
        </w:rPr>
      </w:pPr>
      <w:r>
        <w:rPr>
          <w:rFonts w:ascii="Times New Roman" w:hAnsi="宋体"/>
          <w:sz w:val="24"/>
        </w:rPr>
        <w:t>与非货币黄金进口相关的对外付款业务。</w:t>
      </w:r>
    </w:p>
    <w:p w14:paraId="34B515F4" w14:textId="77777777" w:rsidR="00A052DC" w:rsidRDefault="009F0A60">
      <w:pPr>
        <w:numPr>
          <w:ilvl w:val="0"/>
          <w:numId w:val="4"/>
        </w:numPr>
        <w:autoSpaceDE w:val="0"/>
        <w:autoSpaceDN w:val="0"/>
        <w:snapToGrid w:val="0"/>
        <w:spacing w:line="360" w:lineRule="auto"/>
        <w:ind w:left="992"/>
        <w:textAlignment w:val="bottom"/>
        <w:rPr>
          <w:rFonts w:ascii="Times New Roman" w:hAnsi="Times New Roman"/>
          <w:sz w:val="24"/>
          <w:u w:val="single"/>
        </w:rPr>
      </w:pPr>
      <w:r>
        <w:rPr>
          <w:rFonts w:ascii="Times New Roman" w:hAnsi="宋体"/>
          <w:sz w:val="24"/>
          <w:u w:val="single"/>
        </w:rPr>
        <w:t>境外汇款不包括：</w:t>
      </w:r>
    </w:p>
    <w:p w14:paraId="22180E41" w14:textId="77777777" w:rsidR="00A052DC" w:rsidRDefault="009F0A60">
      <w:pPr>
        <w:numPr>
          <w:ilvl w:val="0"/>
          <w:numId w:val="9"/>
        </w:numPr>
        <w:autoSpaceDE w:val="0"/>
        <w:autoSpaceDN w:val="0"/>
        <w:adjustRightInd w:val="0"/>
        <w:spacing w:line="360" w:lineRule="auto"/>
        <w:rPr>
          <w:rFonts w:ascii="Times New Roman" w:hAnsi="Times New Roman"/>
          <w:sz w:val="24"/>
        </w:rPr>
      </w:pPr>
      <w:r>
        <w:rPr>
          <w:rFonts w:ascii="Times New Roman" w:hAnsi="宋体"/>
          <w:sz w:val="24"/>
        </w:rPr>
        <w:t>居民汇款人从其境内银行账户向居民收款人境内银行账户汇款时，由于汇路原因引起的跨境支付。</w:t>
      </w:r>
    </w:p>
    <w:p w14:paraId="0FE79A93" w14:textId="77777777" w:rsidR="00A052DC" w:rsidRDefault="009F0A60">
      <w:pPr>
        <w:numPr>
          <w:ilvl w:val="0"/>
          <w:numId w:val="9"/>
        </w:numPr>
        <w:autoSpaceDE w:val="0"/>
        <w:autoSpaceDN w:val="0"/>
        <w:adjustRightInd w:val="0"/>
        <w:spacing w:line="360" w:lineRule="auto"/>
        <w:rPr>
          <w:rFonts w:ascii="Times New Roman" w:hAnsi="Times New Roman"/>
          <w:sz w:val="24"/>
        </w:rPr>
      </w:pPr>
      <w:r>
        <w:rPr>
          <w:rFonts w:ascii="Times New Roman" w:hAnsi="宋体"/>
          <w:sz w:val="24"/>
        </w:rPr>
        <w:t>中国境内银行自身（银行由于非货币黄金进口而向境外汇款应纳入到境外汇款数据接口范围）以及境内银行之间发生的跨境支付。</w:t>
      </w:r>
    </w:p>
    <w:p w14:paraId="4321AD67" w14:textId="77777777" w:rsidR="00A052DC" w:rsidRDefault="009F0A60">
      <w:pPr>
        <w:numPr>
          <w:ilvl w:val="0"/>
          <w:numId w:val="9"/>
        </w:numPr>
        <w:autoSpaceDE w:val="0"/>
        <w:autoSpaceDN w:val="0"/>
        <w:adjustRightInd w:val="0"/>
        <w:spacing w:line="360" w:lineRule="auto"/>
        <w:rPr>
          <w:rFonts w:ascii="Times New Roman" w:hAnsi="Times New Roman"/>
          <w:sz w:val="24"/>
        </w:rPr>
      </w:pPr>
      <w:r>
        <w:rPr>
          <w:rFonts w:ascii="Times New Roman" w:hAnsi="宋体"/>
          <w:sz w:val="24"/>
        </w:rPr>
        <w:t>从外汇账户中提取外币现钞（包括出国取现）。</w:t>
      </w:r>
    </w:p>
    <w:p w14:paraId="7E062480" w14:textId="77777777" w:rsidR="00A052DC" w:rsidRDefault="009F0A60">
      <w:pPr>
        <w:numPr>
          <w:ilvl w:val="0"/>
          <w:numId w:val="9"/>
        </w:numPr>
        <w:autoSpaceDE w:val="0"/>
        <w:autoSpaceDN w:val="0"/>
        <w:adjustRightInd w:val="0"/>
        <w:spacing w:line="360" w:lineRule="auto"/>
        <w:rPr>
          <w:rFonts w:ascii="Times New Roman" w:hAnsi="宋体"/>
          <w:sz w:val="24"/>
        </w:rPr>
      </w:pPr>
      <w:r>
        <w:rPr>
          <w:rFonts w:ascii="Times New Roman" w:hAnsi="宋体" w:hint="eastAsia"/>
          <w:sz w:val="24"/>
        </w:rPr>
        <w:t>境内居民个人通过境内银行与境内非居民个人间发生的人民币收付款。</w:t>
      </w:r>
    </w:p>
    <w:p w14:paraId="4CB34BC5" w14:textId="77777777" w:rsidR="00A052DC" w:rsidRDefault="009F0A60" w:rsidP="0020251D">
      <w:pPr>
        <w:pStyle w:val="3"/>
        <w:ind w:left="0"/>
        <w:rPr>
          <w:rFonts w:ascii="Times New Roman" w:hAnsi="Times New Roman"/>
        </w:rPr>
      </w:pPr>
      <w:bookmarkStart w:id="149" w:name="_Toc454386618"/>
      <w:bookmarkStart w:id="150" w:name="_Toc380356175"/>
      <w:bookmarkStart w:id="151" w:name="_Toc91455169"/>
      <w:bookmarkStart w:id="152" w:name="_Toc101684344"/>
      <w:r>
        <w:rPr>
          <w:rFonts w:ascii="Times New Roman" w:hint="eastAsia"/>
        </w:rPr>
        <w:t>对外付款</w:t>
      </w:r>
      <w:r w:rsidR="00010212">
        <w:rPr>
          <w:rFonts w:ascii="Times New Roman" w:hint="eastAsia"/>
        </w:rPr>
        <w:t>/</w:t>
      </w:r>
      <w:r>
        <w:rPr>
          <w:rFonts w:ascii="Times New Roman" w:hint="eastAsia"/>
        </w:rPr>
        <w:t>承兑数据</w:t>
      </w:r>
      <w:bookmarkEnd w:id="149"/>
      <w:bookmarkEnd w:id="150"/>
      <w:bookmarkEnd w:id="151"/>
      <w:bookmarkEnd w:id="152"/>
    </w:p>
    <w:p w14:paraId="156E956B" w14:textId="77777777" w:rsidR="00A052DC" w:rsidRDefault="009F0A60">
      <w:pPr>
        <w:tabs>
          <w:tab w:val="left" w:pos="870"/>
        </w:tabs>
        <w:autoSpaceDE w:val="0"/>
        <w:autoSpaceDN w:val="0"/>
        <w:snapToGrid w:val="0"/>
        <w:spacing w:line="360" w:lineRule="auto"/>
        <w:ind w:firstLine="567"/>
        <w:textAlignment w:val="bottom"/>
        <w:rPr>
          <w:rFonts w:ascii="Times New Roman" w:hAnsi="Times New Roman"/>
          <w:sz w:val="24"/>
        </w:rPr>
      </w:pPr>
      <w:r>
        <w:rPr>
          <w:rFonts w:ascii="Times New Roman" w:hAnsi="宋体"/>
          <w:sz w:val="24"/>
        </w:rPr>
        <w:t>对外付款</w:t>
      </w:r>
      <w:r w:rsidR="00010212">
        <w:rPr>
          <w:rFonts w:ascii="Times New Roman" w:hAnsi="宋体"/>
          <w:sz w:val="24"/>
        </w:rPr>
        <w:t>/</w:t>
      </w:r>
      <w:r>
        <w:rPr>
          <w:rFonts w:ascii="Times New Roman" w:hAnsi="宋体"/>
          <w:sz w:val="24"/>
        </w:rPr>
        <w:t>承兑（包括跨境人民币对外付款）是指所有非银行机构</w:t>
      </w:r>
      <w:r>
        <w:rPr>
          <w:rFonts w:ascii="Times New Roman" w:hAnsi="Times New Roman"/>
          <w:sz w:val="24"/>
        </w:rPr>
        <w:t>(</w:t>
      </w:r>
      <w:r>
        <w:rPr>
          <w:rFonts w:ascii="Times New Roman" w:hAnsi="宋体"/>
          <w:sz w:val="24"/>
        </w:rPr>
        <w:t>简称机构</w:t>
      </w:r>
      <w:r>
        <w:rPr>
          <w:rFonts w:ascii="Times New Roman" w:hAnsi="Times New Roman"/>
          <w:sz w:val="24"/>
        </w:rPr>
        <w:t>)</w:t>
      </w:r>
      <w:r>
        <w:rPr>
          <w:rFonts w:ascii="Times New Roman" w:hAnsi="宋体"/>
          <w:sz w:val="24"/>
        </w:rPr>
        <w:t>和个人，通过中国境内银行，以信用证、托收、保函、其他等方式办理的对境外付款，以及境内居民通过境内银行以信用证、托收、保函、其他等方式向境内非居民支付的款项。</w:t>
      </w:r>
    </w:p>
    <w:p w14:paraId="4E66DCF9" w14:textId="77777777" w:rsidR="00A052DC" w:rsidRDefault="009F0A60">
      <w:pPr>
        <w:numPr>
          <w:ilvl w:val="0"/>
          <w:numId w:val="7"/>
        </w:numPr>
        <w:tabs>
          <w:tab w:val="left" w:pos="1280"/>
        </w:tabs>
        <w:autoSpaceDE w:val="0"/>
        <w:autoSpaceDN w:val="0"/>
        <w:snapToGrid w:val="0"/>
        <w:spacing w:line="360" w:lineRule="auto"/>
        <w:ind w:left="992"/>
        <w:textAlignment w:val="bottom"/>
        <w:rPr>
          <w:rFonts w:ascii="Times New Roman" w:hAnsi="Times New Roman"/>
          <w:sz w:val="24"/>
          <w:u w:val="single"/>
        </w:rPr>
      </w:pPr>
      <w:r>
        <w:rPr>
          <w:rFonts w:ascii="Times New Roman" w:hAnsi="宋体"/>
          <w:sz w:val="24"/>
          <w:u w:val="single"/>
        </w:rPr>
        <w:t>对外付款</w:t>
      </w:r>
      <w:r w:rsidR="00010212">
        <w:rPr>
          <w:rFonts w:ascii="Times New Roman" w:hAnsi="宋体"/>
          <w:sz w:val="24"/>
          <w:u w:val="single"/>
        </w:rPr>
        <w:t>/</w:t>
      </w:r>
      <w:r>
        <w:rPr>
          <w:rFonts w:ascii="Times New Roman" w:hAnsi="宋体"/>
          <w:sz w:val="24"/>
          <w:u w:val="single"/>
        </w:rPr>
        <w:t>承兑还应包括以下几种情况：</w:t>
      </w:r>
    </w:p>
    <w:p w14:paraId="5B3811A6" w14:textId="77777777" w:rsidR="00A052DC" w:rsidRDefault="009F0A60">
      <w:pPr>
        <w:numPr>
          <w:ilvl w:val="0"/>
          <w:numId w:val="10"/>
        </w:numPr>
        <w:autoSpaceDE w:val="0"/>
        <w:autoSpaceDN w:val="0"/>
        <w:adjustRightInd w:val="0"/>
        <w:spacing w:line="360" w:lineRule="auto"/>
        <w:rPr>
          <w:rFonts w:ascii="Times New Roman" w:hAnsi="Times New Roman"/>
          <w:sz w:val="24"/>
        </w:rPr>
      </w:pPr>
      <w:r>
        <w:rPr>
          <w:rFonts w:ascii="Times New Roman" w:hAnsi="宋体"/>
          <w:sz w:val="24"/>
        </w:rPr>
        <w:t>非居民在境内银行开立的账户对境外的付款。</w:t>
      </w:r>
    </w:p>
    <w:p w14:paraId="1109FB4D" w14:textId="77777777" w:rsidR="00A052DC" w:rsidRDefault="009F0A60">
      <w:pPr>
        <w:numPr>
          <w:ilvl w:val="0"/>
          <w:numId w:val="10"/>
        </w:numPr>
        <w:autoSpaceDE w:val="0"/>
        <w:autoSpaceDN w:val="0"/>
        <w:adjustRightInd w:val="0"/>
        <w:spacing w:line="360" w:lineRule="auto"/>
        <w:rPr>
          <w:rFonts w:ascii="Times New Roman" w:hAnsi="Times New Roman"/>
          <w:sz w:val="24"/>
        </w:rPr>
      </w:pPr>
      <w:r>
        <w:rPr>
          <w:rFonts w:ascii="Times New Roman" w:hAnsi="宋体"/>
          <w:sz w:val="24"/>
        </w:rPr>
        <w:t>通过境内银行对境外发出支付指令的业务。</w:t>
      </w:r>
    </w:p>
    <w:p w14:paraId="46FA8553" w14:textId="77777777" w:rsidR="00A052DC" w:rsidRDefault="009F0A60">
      <w:pPr>
        <w:numPr>
          <w:ilvl w:val="0"/>
          <w:numId w:val="10"/>
        </w:numPr>
        <w:autoSpaceDE w:val="0"/>
        <w:autoSpaceDN w:val="0"/>
        <w:adjustRightInd w:val="0"/>
        <w:spacing w:line="360" w:lineRule="auto"/>
        <w:rPr>
          <w:rFonts w:ascii="Times New Roman" w:hAnsi="Times New Roman"/>
          <w:sz w:val="24"/>
        </w:rPr>
      </w:pPr>
      <w:r>
        <w:rPr>
          <w:rFonts w:ascii="Times New Roman" w:hAnsi="宋体"/>
          <w:sz w:val="24"/>
        </w:rPr>
        <w:t>通过记账方式办理的对外援助等涉外业务。</w:t>
      </w:r>
    </w:p>
    <w:p w14:paraId="13D99E84" w14:textId="77777777" w:rsidR="00A052DC" w:rsidRDefault="009F0A60">
      <w:pPr>
        <w:numPr>
          <w:ilvl w:val="0"/>
          <w:numId w:val="10"/>
        </w:numPr>
        <w:autoSpaceDE w:val="0"/>
        <w:autoSpaceDN w:val="0"/>
        <w:adjustRightInd w:val="0"/>
        <w:spacing w:line="360" w:lineRule="auto"/>
        <w:rPr>
          <w:rFonts w:ascii="Times New Roman" w:hAnsi="Times New Roman"/>
          <w:sz w:val="24"/>
        </w:rPr>
      </w:pPr>
      <w:r>
        <w:rPr>
          <w:rFonts w:ascii="Times New Roman" w:hAnsi="宋体"/>
          <w:sz w:val="24"/>
        </w:rPr>
        <w:t>与非货币黄金进口相关的对外付款业务。</w:t>
      </w:r>
    </w:p>
    <w:p w14:paraId="1EA2EDDF" w14:textId="77777777" w:rsidR="00A052DC" w:rsidRDefault="009F0A60">
      <w:pPr>
        <w:numPr>
          <w:ilvl w:val="0"/>
          <w:numId w:val="4"/>
        </w:numPr>
        <w:autoSpaceDE w:val="0"/>
        <w:autoSpaceDN w:val="0"/>
        <w:snapToGrid w:val="0"/>
        <w:spacing w:line="360" w:lineRule="auto"/>
        <w:ind w:left="992"/>
        <w:textAlignment w:val="bottom"/>
        <w:rPr>
          <w:rFonts w:ascii="Times New Roman" w:hAnsi="Times New Roman"/>
          <w:sz w:val="24"/>
          <w:u w:val="single"/>
        </w:rPr>
      </w:pPr>
      <w:r>
        <w:rPr>
          <w:rFonts w:ascii="Times New Roman" w:hAnsi="宋体"/>
          <w:sz w:val="24"/>
          <w:u w:val="single"/>
        </w:rPr>
        <w:t>对外付款</w:t>
      </w:r>
      <w:r w:rsidR="00010212">
        <w:rPr>
          <w:rFonts w:ascii="Times New Roman" w:hAnsi="宋体"/>
          <w:sz w:val="24"/>
          <w:u w:val="single"/>
        </w:rPr>
        <w:t>/</w:t>
      </w:r>
      <w:r>
        <w:rPr>
          <w:rFonts w:ascii="Times New Roman" w:hAnsi="宋体"/>
          <w:sz w:val="24"/>
          <w:u w:val="single"/>
        </w:rPr>
        <w:t>承兑不包括：</w:t>
      </w:r>
    </w:p>
    <w:p w14:paraId="6B8C352A" w14:textId="77777777" w:rsidR="00A052DC" w:rsidRDefault="009F0A60">
      <w:pPr>
        <w:numPr>
          <w:ilvl w:val="0"/>
          <w:numId w:val="11"/>
        </w:numPr>
        <w:autoSpaceDE w:val="0"/>
        <w:autoSpaceDN w:val="0"/>
        <w:adjustRightInd w:val="0"/>
        <w:spacing w:line="360" w:lineRule="auto"/>
        <w:rPr>
          <w:rFonts w:ascii="Times New Roman" w:hAnsi="Times New Roman"/>
          <w:sz w:val="24"/>
        </w:rPr>
      </w:pPr>
      <w:r>
        <w:rPr>
          <w:rFonts w:ascii="Times New Roman" w:hAnsi="宋体"/>
          <w:sz w:val="24"/>
        </w:rPr>
        <w:t>居民付款人从其境内银行账户向居民收款人境内银行账户付款时，由于汇路原因引起的跨境支付。</w:t>
      </w:r>
    </w:p>
    <w:p w14:paraId="7CE06C16" w14:textId="77777777" w:rsidR="00A052DC" w:rsidRDefault="009F0A60">
      <w:pPr>
        <w:numPr>
          <w:ilvl w:val="0"/>
          <w:numId w:val="11"/>
        </w:numPr>
        <w:autoSpaceDE w:val="0"/>
        <w:autoSpaceDN w:val="0"/>
        <w:adjustRightInd w:val="0"/>
        <w:spacing w:line="360" w:lineRule="auto"/>
        <w:rPr>
          <w:rFonts w:ascii="Times New Roman" w:hAnsi="Times New Roman"/>
          <w:sz w:val="24"/>
        </w:rPr>
      </w:pPr>
      <w:r>
        <w:rPr>
          <w:rFonts w:ascii="Times New Roman" w:hAnsi="宋体"/>
          <w:sz w:val="24"/>
        </w:rPr>
        <w:t>中国境内银行自身（银行由于非货币黄金进口而向境外付款</w:t>
      </w:r>
      <w:r>
        <w:rPr>
          <w:rFonts w:ascii="Times New Roman" w:hAnsi="Times New Roman"/>
          <w:sz w:val="24"/>
        </w:rPr>
        <w:t>/</w:t>
      </w:r>
      <w:r>
        <w:rPr>
          <w:rFonts w:ascii="Times New Roman" w:hAnsi="宋体"/>
          <w:sz w:val="24"/>
        </w:rPr>
        <w:t>承兑应纳入到对外付款</w:t>
      </w:r>
      <w:r>
        <w:rPr>
          <w:rFonts w:ascii="Times New Roman" w:hAnsi="Times New Roman"/>
          <w:sz w:val="24"/>
        </w:rPr>
        <w:t>/</w:t>
      </w:r>
      <w:r>
        <w:rPr>
          <w:rFonts w:ascii="Times New Roman" w:hAnsi="宋体"/>
          <w:sz w:val="24"/>
        </w:rPr>
        <w:t>承兑数据接口范围）以及境内银行之间发生的跨境支付。</w:t>
      </w:r>
    </w:p>
    <w:p w14:paraId="489F947C" w14:textId="77777777" w:rsidR="00A052DC" w:rsidRDefault="009F0A60">
      <w:pPr>
        <w:numPr>
          <w:ilvl w:val="0"/>
          <w:numId w:val="11"/>
        </w:numPr>
        <w:autoSpaceDE w:val="0"/>
        <w:autoSpaceDN w:val="0"/>
        <w:adjustRightInd w:val="0"/>
        <w:spacing w:line="360" w:lineRule="auto"/>
        <w:rPr>
          <w:rFonts w:ascii="Times New Roman" w:hAnsi="Times New Roman"/>
          <w:sz w:val="24"/>
        </w:rPr>
      </w:pPr>
      <w:r>
        <w:rPr>
          <w:rFonts w:ascii="Times New Roman" w:hAnsi="宋体"/>
          <w:sz w:val="24"/>
        </w:rPr>
        <w:t>从外汇账户中提取外币现钞（包括出国取现）。</w:t>
      </w:r>
    </w:p>
    <w:p w14:paraId="2D1022B4" w14:textId="77777777" w:rsidR="00A052DC" w:rsidRDefault="009F0A60" w:rsidP="0020251D">
      <w:pPr>
        <w:pStyle w:val="3"/>
        <w:ind w:left="0"/>
        <w:rPr>
          <w:rFonts w:ascii="Times New Roman" w:hAnsi="Times New Roman"/>
        </w:rPr>
      </w:pPr>
      <w:bookmarkStart w:id="153" w:name="_Toc452557561"/>
      <w:bookmarkStart w:id="154" w:name="_Toc454394948"/>
      <w:bookmarkStart w:id="155" w:name="_Toc454454724"/>
      <w:bookmarkStart w:id="156" w:name="_Toc455167564"/>
      <w:bookmarkStart w:id="157" w:name="_Toc455152660"/>
      <w:bookmarkStart w:id="158" w:name="_Toc454378024"/>
      <w:bookmarkStart w:id="159" w:name="_Toc454271502"/>
      <w:bookmarkStart w:id="160" w:name="_Toc452552880"/>
      <w:bookmarkStart w:id="161" w:name="_Toc455163839"/>
      <w:bookmarkStart w:id="162" w:name="_Toc454281148"/>
      <w:bookmarkStart w:id="163" w:name="_Toc454464641"/>
      <w:bookmarkStart w:id="164" w:name="_Toc454386619"/>
      <w:bookmarkStart w:id="165" w:name="_Toc454780018"/>
      <w:bookmarkStart w:id="166" w:name="_Toc455156388"/>
      <w:bookmarkStart w:id="167" w:name="_Toc91455170"/>
      <w:bookmarkStart w:id="168" w:name="_Toc454386620"/>
      <w:bookmarkStart w:id="169" w:name="_Toc101684345"/>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r>
        <w:rPr>
          <w:rFonts w:ascii="Times New Roman" w:hint="eastAsia"/>
        </w:rPr>
        <w:t>涉外收支还原数据</w:t>
      </w:r>
      <w:bookmarkEnd w:id="167"/>
      <w:bookmarkEnd w:id="168"/>
      <w:bookmarkEnd w:id="169"/>
    </w:p>
    <w:p w14:paraId="5F101C12" w14:textId="77777777" w:rsidR="00A052DC" w:rsidRDefault="009F0A60">
      <w:pPr>
        <w:autoSpaceDE w:val="0"/>
        <w:autoSpaceDN w:val="0"/>
        <w:adjustRightInd w:val="0"/>
        <w:spacing w:line="360" w:lineRule="auto"/>
        <w:ind w:firstLineChars="236" w:firstLine="566"/>
        <w:rPr>
          <w:sz w:val="24"/>
          <w:szCs w:val="24"/>
        </w:rPr>
      </w:pPr>
      <w:r>
        <w:rPr>
          <w:rFonts w:hint="eastAsia"/>
          <w:sz w:val="24"/>
          <w:szCs w:val="24"/>
        </w:rPr>
        <w:t>涉外收支还原数据是指，企业或者机构（如试点的跨国公司总部和第三方支付机构）为客户办理的集中（涉外）收付业务数据所对应的原始涉外收付款。其中的集中收付业务包括，收入的集中或支付的集中以及收入和支付款项的轧差净额。涉外收支还原数据是对集中收付业务进行还原后产生的反映原始业务来源或用途的收支数据，不是实际发生的涉外收支数据。</w:t>
      </w:r>
    </w:p>
    <w:p w14:paraId="0811BFBA" w14:textId="77777777" w:rsidR="00A052DC" w:rsidRDefault="009F0A60" w:rsidP="0020251D">
      <w:pPr>
        <w:pStyle w:val="2"/>
        <w:rPr>
          <w:rFonts w:ascii="Times New Roman" w:hAnsi="Times New Roman"/>
        </w:rPr>
      </w:pPr>
      <w:bookmarkStart w:id="170" w:name="_Toc454386621"/>
      <w:bookmarkStart w:id="171" w:name="_Toc380356176"/>
      <w:bookmarkStart w:id="172" w:name="_Toc91455171"/>
      <w:bookmarkStart w:id="173" w:name="_Toc101684346"/>
      <w:r>
        <w:rPr>
          <w:rFonts w:ascii="Times New Roman" w:hint="eastAsia"/>
        </w:rPr>
        <w:t>境内划转数据</w:t>
      </w:r>
      <w:bookmarkEnd w:id="170"/>
      <w:bookmarkEnd w:id="171"/>
      <w:bookmarkEnd w:id="172"/>
      <w:bookmarkEnd w:id="173"/>
    </w:p>
    <w:p w14:paraId="2BF4E63D" w14:textId="77777777" w:rsidR="00A052DC" w:rsidRDefault="009F0A60" w:rsidP="0020251D">
      <w:pPr>
        <w:pStyle w:val="3"/>
        <w:ind w:left="0"/>
        <w:rPr>
          <w:rFonts w:ascii="Times New Roman" w:hAnsi="Times New Roman"/>
        </w:rPr>
      </w:pPr>
      <w:bookmarkStart w:id="174" w:name="_Toc380356177"/>
      <w:bookmarkStart w:id="175" w:name="_Toc454386622"/>
      <w:bookmarkStart w:id="176" w:name="_Toc91455172"/>
      <w:bookmarkStart w:id="177" w:name="_Toc101684347"/>
      <w:r>
        <w:rPr>
          <w:rFonts w:ascii="Times New Roman" w:hint="eastAsia"/>
        </w:rPr>
        <w:t>货物贸易核查项下境内收付款</w:t>
      </w:r>
      <w:bookmarkEnd w:id="174"/>
      <w:bookmarkEnd w:id="175"/>
      <w:bookmarkEnd w:id="176"/>
      <w:bookmarkEnd w:id="177"/>
    </w:p>
    <w:p w14:paraId="6D317751" w14:textId="77777777" w:rsidR="00A052DC" w:rsidRDefault="009F0A60">
      <w:pPr>
        <w:spacing w:line="360" w:lineRule="auto"/>
        <w:ind w:firstLineChars="200" w:firstLine="480"/>
        <w:rPr>
          <w:rFonts w:ascii="Times New Roman" w:hAnsi="Times New Roman"/>
          <w:kern w:val="0"/>
          <w:sz w:val="24"/>
          <w:szCs w:val="20"/>
        </w:rPr>
      </w:pPr>
      <w:r>
        <w:rPr>
          <w:rFonts w:ascii="Times New Roman" w:hint="eastAsia"/>
          <w:kern w:val="0"/>
          <w:sz w:val="24"/>
          <w:szCs w:val="20"/>
        </w:rPr>
        <w:t>指境内居民（包括机构和个人，境内银行自身除外</w:t>
      </w:r>
      <w:r>
        <w:rPr>
          <w:rFonts w:ascii="Times New Roman" w:hAnsi="Times New Roman"/>
          <w:kern w:val="0"/>
          <w:sz w:val="24"/>
          <w:szCs w:val="20"/>
        </w:rPr>
        <w:t>)</w:t>
      </w:r>
      <w:r>
        <w:rPr>
          <w:rFonts w:ascii="Times New Roman" w:hint="eastAsia"/>
          <w:kern w:val="0"/>
          <w:sz w:val="24"/>
          <w:szCs w:val="20"/>
        </w:rPr>
        <w:t>通过我国境内银行办理的对境内保税区、出口加工区、钻石交易所等特殊经济区域（不含自由贸易试验区（非特殊监管））以及境内深加工结转等（以下统称境内特殊经济区、深加工结转）境内收支。境内收付款双方均应填写境内收付款凭证，境内银行应向国家外汇管理局报送上述境内收付款凭证涉及信息。</w:t>
      </w:r>
    </w:p>
    <w:p w14:paraId="1DBB515E" w14:textId="77777777" w:rsidR="00A052DC" w:rsidRDefault="009F0A60" w:rsidP="0020251D">
      <w:pPr>
        <w:pStyle w:val="3"/>
        <w:ind w:left="0"/>
        <w:rPr>
          <w:rFonts w:ascii="Times New Roman" w:hAnsi="Times New Roman"/>
        </w:rPr>
      </w:pPr>
      <w:bookmarkStart w:id="178" w:name="_Toc91455173"/>
      <w:bookmarkStart w:id="179" w:name="_Toc380356178"/>
      <w:bookmarkStart w:id="180" w:name="_Toc454386623"/>
      <w:bookmarkStart w:id="181" w:name="_Toc101684348"/>
      <w:r>
        <w:rPr>
          <w:rFonts w:ascii="Times New Roman" w:hint="eastAsia"/>
        </w:rPr>
        <w:t>非货物贸易核查项下境内收付汇</w:t>
      </w:r>
      <w:bookmarkEnd w:id="178"/>
      <w:bookmarkEnd w:id="179"/>
      <w:bookmarkEnd w:id="180"/>
      <w:bookmarkEnd w:id="181"/>
    </w:p>
    <w:p w14:paraId="362D4F34" w14:textId="77777777" w:rsidR="00A052DC" w:rsidRPr="007C7B79" w:rsidRDefault="00A412F6">
      <w:pPr>
        <w:spacing w:line="360" w:lineRule="auto"/>
        <w:ind w:firstLineChars="200" w:firstLine="480"/>
        <w:rPr>
          <w:rFonts w:ascii="Times New Roman" w:hAnsi="Times New Roman"/>
          <w:kern w:val="0"/>
          <w:sz w:val="24"/>
          <w:szCs w:val="20"/>
        </w:rPr>
      </w:pPr>
      <w:r w:rsidRPr="00A412F6">
        <w:rPr>
          <w:rFonts w:ascii="Times New Roman" w:hAnsi="Times New Roman" w:hint="eastAsia"/>
          <w:kern w:val="0"/>
          <w:sz w:val="24"/>
          <w:szCs w:val="20"/>
        </w:rPr>
        <w:t>指境内居民之间发生的非贸易核查项下的收付汇业务，由付款方填报《境内汇款申请书》或《境内对外付款</w:t>
      </w:r>
      <w:r w:rsidR="00010212">
        <w:rPr>
          <w:rFonts w:ascii="Times New Roman" w:hAnsi="Times New Roman" w:hint="eastAsia"/>
          <w:kern w:val="0"/>
          <w:sz w:val="24"/>
          <w:szCs w:val="20"/>
        </w:rPr>
        <w:t>/</w:t>
      </w:r>
      <w:r w:rsidRPr="00A412F6">
        <w:rPr>
          <w:rFonts w:ascii="Times New Roman" w:hAnsi="Times New Roman" w:hint="eastAsia"/>
          <w:kern w:val="0"/>
          <w:sz w:val="24"/>
          <w:szCs w:val="20"/>
        </w:rPr>
        <w:t>承兑通知书》凭证，收款方无需填写《境内收入申报单》凭证。境内银行除报送上述凭证涉及的收付款信息外，还应报送无需填写《境内收入申报单》凭证的境内外汇收入的基础信息。因此，非贸易核查项下的付汇业务应按照境内汇款申请书和境内付款</w:t>
      </w:r>
      <w:r w:rsidR="009F0A60" w:rsidRPr="007C7B79">
        <w:rPr>
          <w:rFonts w:ascii="Times New Roman" w:hAnsi="Times New Roman"/>
          <w:kern w:val="0"/>
          <w:sz w:val="24"/>
          <w:szCs w:val="20"/>
        </w:rPr>
        <w:t>/</w:t>
      </w:r>
      <w:r w:rsidRPr="00A412F6">
        <w:rPr>
          <w:rFonts w:ascii="Times New Roman" w:hAnsi="Times New Roman" w:hint="eastAsia"/>
          <w:kern w:val="0"/>
          <w:sz w:val="24"/>
          <w:szCs w:val="20"/>
        </w:rPr>
        <w:t>承兑通知书要求生成基础信息和管理信息数据文件；非贸易核查项下的收汇仅按照境内收入申报单</w:t>
      </w:r>
      <w:r w:rsidR="00891512">
        <w:rPr>
          <w:rFonts w:ascii="Times New Roman" w:hAnsi="Times New Roman"/>
          <w:kern w:val="0"/>
          <w:sz w:val="24"/>
          <w:szCs w:val="20"/>
        </w:rPr>
        <w:t>-</w:t>
      </w:r>
      <w:r w:rsidRPr="00A412F6">
        <w:rPr>
          <w:rFonts w:ascii="Times New Roman" w:hAnsi="Times New Roman" w:hint="eastAsia"/>
          <w:kern w:val="0"/>
          <w:sz w:val="24"/>
          <w:szCs w:val="20"/>
        </w:rPr>
        <w:t>基础信息的要求生成基础信息数据文件，非贸易核查项下境内收入申报单</w:t>
      </w:r>
      <w:r w:rsidR="00891512">
        <w:rPr>
          <w:rFonts w:ascii="Times New Roman" w:hAnsi="Times New Roman"/>
          <w:kern w:val="0"/>
          <w:sz w:val="24"/>
          <w:szCs w:val="20"/>
        </w:rPr>
        <w:t>-</w:t>
      </w:r>
      <w:r w:rsidRPr="00A412F6">
        <w:rPr>
          <w:rFonts w:ascii="Times New Roman" w:hAnsi="Times New Roman" w:hint="eastAsia"/>
          <w:kern w:val="0"/>
          <w:sz w:val="24"/>
          <w:szCs w:val="20"/>
        </w:rPr>
        <w:t>管理信息数据不需报送。</w:t>
      </w:r>
    </w:p>
    <w:p w14:paraId="03443F62" w14:textId="77777777" w:rsidR="00A052DC" w:rsidRDefault="009F0A60" w:rsidP="0020251D">
      <w:pPr>
        <w:pStyle w:val="3"/>
        <w:ind w:left="0"/>
        <w:rPr>
          <w:rFonts w:ascii="Times New Roman"/>
        </w:rPr>
      </w:pPr>
      <w:bookmarkStart w:id="182" w:name="_Toc454386624"/>
      <w:bookmarkStart w:id="183" w:name="_Toc91455174"/>
      <w:bookmarkStart w:id="184" w:name="_Toc101684349"/>
      <w:r>
        <w:rPr>
          <w:rFonts w:ascii="Times New Roman" w:hint="eastAsia"/>
        </w:rPr>
        <w:t>同名账户划转资金</w:t>
      </w:r>
      <w:bookmarkEnd w:id="182"/>
      <w:bookmarkEnd w:id="183"/>
      <w:bookmarkEnd w:id="184"/>
    </w:p>
    <w:p w14:paraId="6C403CA2"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hint="eastAsia"/>
          <w:kern w:val="0"/>
          <w:sz w:val="24"/>
          <w:szCs w:val="20"/>
        </w:rPr>
        <w:t>对境内同一居民通过境内银行办理的涉及资本项目账户资金收付（定期转活期等外汇存款期限转换业务或外汇局另有规定除外）的行内和跨行外汇同名划转业务，客户可不填写《境内汇款申请书》及《境内收入申报单》，但境内银行应报送相关信息。即对收付款账户任何一方涉及资本项目账户的外汇同名划转业务，客户可不填写境内收付凭证，但境内银行应报送相关数据。其中，付款银行应将基础信息和管理信息报送外汇局，交易性质申报在“</w:t>
      </w:r>
      <w:r>
        <w:rPr>
          <w:rFonts w:ascii="Times New Roman" w:hAnsi="Times New Roman"/>
          <w:kern w:val="0"/>
          <w:sz w:val="24"/>
          <w:szCs w:val="20"/>
        </w:rPr>
        <w:t>9</w:t>
      </w:r>
      <w:r>
        <w:rPr>
          <w:rFonts w:ascii="Times New Roman" w:hAnsi="Times New Roman" w:hint="eastAsia"/>
          <w:kern w:val="0"/>
          <w:sz w:val="24"/>
          <w:szCs w:val="20"/>
        </w:rPr>
        <w:t>2</w:t>
      </w:r>
      <w:r>
        <w:rPr>
          <w:rFonts w:ascii="Times New Roman" w:hAnsi="Times New Roman"/>
          <w:kern w:val="0"/>
          <w:sz w:val="24"/>
          <w:szCs w:val="20"/>
        </w:rPr>
        <w:t>9010</w:t>
      </w:r>
      <w:r>
        <w:rPr>
          <w:rFonts w:ascii="Times New Roman" w:hAnsi="Times New Roman" w:hint="eastAsia"/>
          <w:kern w:val="0"/>
          <w:sz w:val="24"/>
          <w:szCs w:val="20"/>
        </w:rPr>
        <w:t>同名账户资金转出”项下；收款银行应报送境内外汇收入基础信息。而对于境内同一居民通过境内银行办理的经常项目外汇账户间或与个人外汇储蓄账户间等收付款双方均不是资本项目账户的外汇同名划转、资本项目外汇账户间的资金存款期限转换等业务，客户可不填写境内收付凭证，境内银行也无需报送相关数据。</w:t>
      </w:r>
    </w:p>
    <w:p w14:paraId="77630F3B"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hint="eastAsia"/>
          <w:kern w:val="0"/>
          <w:sz w:val="24"/>
          <w:szCs w:val="20"/>
        </w:rPr>
        <w:t>境内同一居民通过境内银行办理的国内资金主账户行内和跨行外汇同名划转业务，客户可不填写《境内汇款申请书》及《境内收入申报单》，但境内银行应报送相关数据。其中，付款银行应将基础信息和管理信息报送外汇局，收款银行应报送境内收入基础信息。</w:t>
      </w:r>
    </w:p>
    <w:p w14:paraId="2E4C4F6F" w14:textId="77777777" w:rsidR="00A052DC" w:rsidRDefault="009F0A60" w:rsidP="0020251D">
      <w:pPr>
        <w:pStyle w:val="3"/>
        <w:ind w:left="0"/>
        <w:rPr>
          <w:rFonts w:ascii="Times New Roman"/>
        </w:rPr>
      </w:pPr>
      <w:bookmarkStart w:id="185" w:name="_Toc91455175"/>
      <w:bookmarkStart w:id="186" w:name="_Toc101684350"/>
      <w:r>
        <w:rPr>
          <w:rFonts w:ascii="Times New Roman" w:hint="eastAsia"/>
        </w:rPr>
        <w:t>结汇待支付账户划转资金</w:t>
      </w:r>
      <w:bookmarkEnd w:id="185"/>
      <w:bookmarkEnd w:id="186"/>
    </w:p>
    <w:p w14:paraId="409018AF"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hint="eastAsia"/>
          <w:kern w:val="0"/>
          <w:sz w:val="24"/>
          <w:szCs w:val="20"/>
        </w:rPr>
        <w:t>结汇待支付账户划转资金到其他人民币账户应通过填写境内收付款凭证报送境内划转信息，并在‘发票号’栏中填写资金用途代码（按照“</w:t>
      </w:r>
      <w:r>
        <w:rPr>
          <w:rFonts w:ascii="Times New Roman" w:hAnsi="Times New Roman" w:hint="eastAsia"/>
          <w:kern w:val="0"/>
          <w:sz w:val="24"/>
          <w:szCs w:val="20"/>
        </w:rPr>
        <w:t>9.11</w:t>
      </w:r>
      <w:r>
        <w:rPr>
          <w:rFonts w:ascii="Times New Roman" w:hAnsi="Times New Roman" w:hint="eastAsia"/>
          <w:kern w:val="0"/>
          <w:sz w:val="24"/>
          <w:szCs w:val="20"/>
        </w:rPr>
        <w:t>结汇用途代码”填写）；除货物贸易核查项下的支付，其他划转的交易编码均填写为“</w:t>
      </w:r>
      <w:r>
        <w:rPr>
          <w:rFonts w:ascii="Times New Roman" w:hAnsi="Times New Roman" w:hint="eastAsia"/>
          <w:kern w:val="0"/>
          <w:sz w:val="24"/>
          <w:szCs w:val="20"/>
        </w:rPr>
        <w:t>929070</w:t>
      </w:r>
      <w:r>
        <w:rPr>
          <w:rFonts w:ascii="Times New Roman" w:hAnsi="Times New Roman" w:hint="eastAsia"/>
          <w:kern w:val="0"/>
          <w:sz w:val="24"/>
          <w:szCs w:val="20"/>
        </w:rPr>
        <w:t>”。</w:t>
      </w:r>
    </w:p>
    <w:p w14:paraId="730FD6BA" w14:textId="77777777" w:rsidR="00A052DC" w:rsidRDefault="009F0A60" w:rsidP="0020251D">
      <w:pPr>
        <w:pStyle w:val="3"/>
        <w:ind w:left="0"/>
        <w:rPr>
          <w:rFonts w:ascii="Times New Roman"/>
        </w:rPr>
      </w:pPr>
      <w:bookmarkStart w:id="187" w:name="_Toc90624971"/>
      <w:bookmarkStart w:id="188" w:name="_Toc91455176"/>
      <w:bookmarkStart w:id="189" w:name="_Toc101684351"/>
      <w:r>
        <w:rPr>
          <w:rFonts w:ascii="Times New Roman" w:hint="eastAsia"/>
        </w:rPr>
        <w:t>非居民机构账户间境内划转资金</w:t>
      </w:r>
      <w:bookmarkEnd w:id="187"/>
      <w:bookmarkEnd w:id="188"/>
      <w:bookmarkEnd w:id="189"/>
    </w:p>
    <w:p w14:paraId="41AD7FA7"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hint="eastAsia"/>
          <w:kern w:val="0"/>
          <w:sz w:val="24"/>
          <w:szCs w:val="20"/>
        </w:rPr>
        <w:t>指非居民机构账户通过境内银行，收到来自其他境内非居民账户（含同名账户）的资金划转款项。</w:t>
      </w:r>
    </w:p>
    <w:p w14:paraId="3806FAAB"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hint="eastAsia"/>
          <w:kern w:val="0"/>
          <w:sz w:val="24"/>
          <w:szCs w:val="20"/>
        </w:rPr>
        <w:t>金融机构办理非居民机构账户境内收付款业务，无需业务主体填写境内收付款凭证。金融机构应在非居民机构账户收到来自其他非居民账户的境内划转资金后，按照《境内收入申报单》要求生成基础信息、管理信息数据文件并报送外汇局。</w:t>
      </w:r>
    </w:p>
    <w:p w14:paraId="7ECB3328"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hint="eastAsia"/>
          <w:kern w:val="0"/>
          <w:sz w:val="24"/>
          <w:szCs w:val="20"/>
        </w:rPr>
        <w:t>金融机构在报送上述收款基础信息时，应在“付款人名称”后添加付款人账号信息，以名称后加“</w:t>
      </w:r>
      <w:r>
        <w:rPr>
          <w:rFonts w:ascii="Times New Roman" w:hAnsi="Times New Roman" w:hint="eastAsia"/>
          <w:kern w:val="0"/>
          <w:sz w:val="24"/>
          <w:szCs w:val="20"/>
        </w:rPr>
        <w:t>[acc:</w:t>
      </w:r>
      <w:r>
        <w:rPr>
          <w:rFonts w:ascii="Times New Roman" w:hAnsi="Times New Roman" w:hint="eastAsia"/>
          <w:kern w:val="0"/>
          <w:sz w:val="24"/>
          <w:szCs w:val="20"/>
        </w:rPr>
        <w:t>账号</w:t>
      </w:r>
      <w:r>
        <w:rPr>
          <w:rFonts w:ascii="Times New Roman" w:hAnsi="Times New Roman" w:hint="eastAsia"/>
          <w:kern w:val="0"/>
          <w:sz w:val="24"/>
          <w:szCs w:val="20"/>
        </w:rPr>
        <w:t>]</w:t>
      </w:r>
      <w:r>
        <w:rPr>
          <w:rFonts w:ascii="Times New Roman" w:hAnsi="Times New Roman" w:hint="eastAsia"/>
          <w:kern w:val="0"/>
          <w:sz w:val="24"/>
          <w:szCs w:val="20"/>
        </w:rPr>
        <w:t>”表示。除有特殊规定外，上述收款业务统一填写交易编码为“</w:t>
      </w:r>
      <w:r>
        <w:rPr>
          <w:rFonts w:ascii="Times New Roman" w:hAnsi="Times New Roman" w:hint="eastAsia"/>
          <w:kern w:val="0"/>
          <w:sz w:val="24"/>
          <w:szCs w:val="20"/>
        </w:rPr>
        <w:t>929090</w:t>
      </w:r>
      <w:r>
        <w:rPr>
          <w:rFonts w:ascii="Times New Roman" w:hAnsi="Times New Roman" w:hint="eastAsia"/>
          <w:kern w:val="0"/>
          <w:sz w:val="24"/>
          <w:szCs w:val="20"/>
        </w:rPr>
        <w:t>”其他，并在交易附言注明“非居民机构账户间划转”。</w:t>
      </w:r>
    </w:p>
    <w:p w14:paraId="547678D8" w14:textId="77777777" w:rsidR="00A052DC" w:rsidRDefault="009F0A60" w:rsidP="0020251D">
      <w:pPr>
        <w:pStyle w:val="2"/>
        <w:rPr>
          <w:rFonts w:ascii="Times New Roman" w:hAnsi="Times New Roman"/>
        </w:rPr>
      </w:pPr>
      <w:bookmarkStart w:id="190" w:name="_Toc99611476"/>
      <w:bookmarkStart w:id="191" w:name="_Toc91493502"/>
      <w:bookmarkStart w:id="192" w:name="_Toc98764236"/>
      <w:bookmarkStart w:id="193" w:name="_Toc99611057"/>
      <w:bookmarkStart w:id="194" w:name="_Toc95222662"/>
      <w:bookmarkStart w:id="195" w:name="_Toc95223093"/>
      <w:bookmarkStart w:id="196" w:name="_Toc98754042"/>
      <w:bookmarkStart w:id="197" w:name="_Toc91582365"/>
      <w:bookmarkStart w:id="198" w:name="_Toc97821338"/>
      <w:bookmarkStart w:id="199" w:name="_Toc91455177"/>
      <w:bookmarkStart w:id="200" w:name="_Toc93932862"/>
      <w:bookmarkStart w:id="201" w:name="_Toc95223939"/>
      <w:bookmarkStart w:id="202" w:name="_Toc97660153"/>
      <w:bookmarkStart w:id="203" w:name="_Toc93933287"/>
      <w:bookmarkStart w:id="204" w:name="_Toc97661005"/>
      <w:bookmarkStart w:id="205" w:name="_Toc97660582"/>
      <w:bookmarkStart w:id="206" w:name="_Toc93934970"/>
      <w:bookmarkStart w:id="207" w:name="_Toc95223518"/>
      <w:bookmarkStart w:id="208" w:name="_Toc97820909"/>
      <w:bookmarkStart w:id="209" w:name="_Toc91455178"/>
      <w:bookmarkStart w:id="210" w:name="_Toc454386625"/>
      <w:bookmarkStart w:id="211" w:name="_Toc380356179"/>
      <w:bookmarkStart w:id="212" w:name="_Toc101684352"/>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r>
        <w:rPr>
          <w:rFonts w:ascii="Times New Roman" w:hint="eastAsia"/>
        </w:rPr>
        <w:t>外汇账户数据</w:t>
      </w:r>
      <w:bookmarkEnd w:id="209"/>
      <w:bookmarkEnd w:id="210"/>
      <w:bookmarkEnd w:id="211"/>
      <w:bookmarkEnd w:id="212"/>
    </w:p>
    <w:p w14:paraId="6006E549" w14:textId="77777777" w:rsidR="00A052DC" w:rsidRDefault="009F0A60">
      <w:pPr>
        <w:spacing w:line="360" w:lineRule="auto"/>
        <w:ind w:firstLineChars="200" w:firstLine="480"/>
        <w:rPr>
          <w:rFonts w:ascii="Times New Roman"/>
          <w:kern w:val="0"/>
          <w:sz w:val="24"/>
          <w:szCs w:val="20"/>
        </w:rPr>
      </w:pPr>
      <w:r>
        <w:rPr>
          <w:rFonts w:ascii="Times New Roman" w:hint="eastAsia"/>
          <w:kern w:val="0"/>
          <w:sz w:val="24"/>
          <w:szCs w:val="20"/>
        </w:rPr>
        <w:t>外汇账户数据采集的内容包括：境内非银行机构、境外机构及境外个人在境内银行开立的外汇账户；境内个人开立的个人外汇结算账户和个人资本项目外汇账户，以及外汇局规定需要报送的人民币账户等账户的开户、关户、每日余额、每日收入合计、每日支出合计等信息。</w:t>
      </w:r>
    </w:p>
    <w:p w14:paraId="0397142A" w14:textId="77777777" w:rsidR="00A052DC" w:rsidRDefault="009F0A60">
      <w:pPr>
        <w:spacing w:line="360" w:lineRule="auto"/>
        <w:ind w:firstLineChars="200" w:firstLine="480"/>
        <w:rPr>
          <w:rFonts w:ascii="Times New Roman"/>
          <w:kern w:val="0"/>
          <w:sz w:val="24"/>
          <w:szCs w:val="20"/>
        </w:rPr>
      </w:pPr>
      <w:r>
        <w:rPr>
          <w:rFonts w:ascii="Times New Roman" w:hint="eastAsia"/>
          <w:kern w:val="0"/>
          <w:sz w:val="24"/>
          <w:szCs w:val="20"/>
        </w:rPr>
        <w:t>境内非银行机构、境外机构及境外个人在境内非银行金融机构（如财务公司等）开立的外汇账户、境内个人在境内非银行金融机构开立的个人外汇结算账户和个人资本项目外汇账户应参照境内银行按照本规范要求报送账户数据。</w:t>
      </w:r>
    </w:p>
    <w:p w14:paraId="55ED3F49" w14:textId="77777777" w:rsidR="00A052DC" w:rsidRDefault="009F0A60" w:rsidP="0020251D">
      <w:pPr>
        <w:pStyle w:val="2"/>
        <w:rPr>
          <w:rFonts w:ascii="Times New Roman" w:hAnsi="Times New Roman"/>
        </w:rPr>
      </w:pPr>
      <w:bookmarkStart w:id="213" w:name="_Toc380356180"/>
      <w:bookmarkStart w:id="214" w:name="_Toc454386626"/>
      <w:bookmarkStart w:id="215" w:name="_Toc91455179"/>
      <w:bookmarkStart w:id="216" w:name="_Toc101684353"/>
      <w:r>
        <w:rPr>
          <w:rFonts w:ascii="Times New Roman" w:hint="eastAsia"/>
        </w:rPr>
        <w:t>外汇账户内结售汇数据</w:t>
      </w:r>
      <w:bookmarkEnd w:id="213"/>
      <w:bookmarkEnd w:id="214"/>
      <w:bookmarkEnd w:id="215"/>
      <w:bookmarkEnd w:id="216"/>
    </w:p>
    <w:p w14:paraId="09A1BDEC" w14:textId="77777777" w:rsidR="00A052DC" w:rsidRDefault="009F0A60">
      <w:pPr>
        <w:spacing w:line="360" w:lineRule="auto"/>
        <w:ind w:firstLineChars="200" w:firstLine="480"/>
        <w:rPr>
          <w:rFonts w:ascii="Times New Roman"/>
          <w:kern w:val="0"/>
          <w:sz w:val="24"/>
          <w:szCs w:val="20"/>
        </w:rPr>
      </w:pPr>
      <w:r>
        <w:rPr>
          <w:rFonts w:ascii="Times New Roman" w:hint="eastAsia"/>
          <w:kern w:val="0"/>
          <w:sz w:val="24"/>
          <w:szCs w:val="20"/>
        </w:rPr>
        <w:t>外汇账户内结售汇数据包括：</w:t>
      </w:r>
      <w:r>
        <w:rPr>
          <w:rFonts w:ascii="Times New Roman" w:hAnsi="Times New Roman"/>
          <w:kern w:val="0"/>
          <w:sz w:val="24"/>
          <w:szCs w:val="20"/>
        </w:rPr>
        <w:t>1</w:t>
      </w:r>
      <w:r>
        <w:rPr>
          <w:rFonts w:ascii="Times New Roman" w:hint="eastAsia"/>
          <w:kern w:val="0"/>
          <w:sz w:val="24"/>
          <w:szCs w:val="20"/>
        </w:rPr>
        <w:t>.</w:t>
      </w:r>
      <w:r>
        <w:rPr>
          <w:rFonts w:ascii="Times New Roman" w:hint="eastAsia"/>
          <w:kern w:val="0"/>
          <w:sz w:val="24"/>
          <w:szCs w:val="20"/>
        </w:rPr>
        <w:t>机构将其持有的外汇账户或个人将其持有的资本项目外汇账户内的外汇结汇成人民币；</w:t>
      </w:r>
      <w:r>
        <w:rPr>
          <w:rFonts w:ascii="Times New Roman" w:hAnsi="Times New Roman"/>
          <w:kern w:val="0"/>
          <w:sz w:val="24"/>
          <w:szCs w:val="20"/>
        </w:rPr>
        <w:t>2</w:t>
      </w:r>
      <w:r>
        <w:rPr>
          <w:rFonts w:ascii="Times New Roman" w:hint="eastAsia"/>
          <w:kern w:val="0"/>
          <w:sz w:val="24"/>
          <w:szCs w:val="20"/>
        </w:rPr>
        <w:t>.</w:t>
      </w:r>
      <w:r>
        <w:rPr>
          <w:rFonts w:ascii="Times New Roman" w:hint="eastAsia"/>
          <w:kern w:val="0"/>
          <w:sz w:val="24"/>
          <w:szCs w:val="20"/>
        </w:rPr>
        <w:t>用人民币购汇后进入机构持有的外汇账户或个人持有的资本项目外汇账户。</w:t>
      </w:r>
    </w:p>
    <w:p w14:paraId="1CFFB784"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hint="eastAsia"/>
          <w:kern w:val="0"/>
          <w:sz w:val="24"/>
          <w:szCs w:val="20"/>
        </w:rPr>
        <w:t>境内非银行金融机构为其客户办理外汇账户内结售汇的，应参照境内银行，按照本规范报送外汇账户内结售汇数据。</w:t>
      </w:r>
    </w:p>
    <w:p w14:paraId="192FFFF3" w14:textId="77777777" w:rsidR="00A052DC" w:rsidRDefault="009F0A60" w:rsidP="0020251D">
      <w:pPr>
        <w:pStyle w:val="2"/>
        <w:rPr>
          <w:rFonts w:ascii="Times New Roman" w:hAnsi="Times New Roman"/>
        </w:rPr>
      </w:pPr>
      <w:bookmarkStart w:id="217" w:name="_Toc91455180"/>
      <w:bookmarkStart w:id="218" w:name="_Toc454386627"/>
      <w:bookmarkStart w:id="219" w:name="_Toc380356181"/>
      <w:bookmarkStart w:id="220" w:name="_Toc101684354"/>
      <w:r>
        <w:rPr>
          <w:rFonts w:ascii="Times New Roman" w:hint="eastAsia"/>
        </w:rPr>
        <w:t>银行自身资本项目业务数据</w:t>
      </w:r>
      <w:bookmarkEnd w:id="217"/>
      <w:bookmarkEnd w:id="218"/>
      <w:bookmarkEnd w:id="219"/>
      <w:bookmarkEnd w:id="220"/>
    </w:p>
    <w:p w14:paraId="617ABB35" w14:textId="77777777" w:rsidR="00A052DC" w:rsidRDefault="009F0A60">
      <w:pPr>
        <w:spacing w:line="360" w:lineRule="auto"/>
        <w:ind w:firstLineChars="200" w:firstLine="480"/>
        <w:rPr>
          <w:rFonts w:ascii="Times New Roman" w:hAnsi="Times New Roman"/>
          <w:kern w:val="0"/>
          <w:sz w:val="24"/>
          <w:szCs w:val="20"/>
        </w:rPr>
      </w:pPr>
      <w:r>
        <w:rPr>
          <w:rFonts w:ascii="Times New Roman" w:hint="eastAsia"/>
          <w:kern w:val="0"/>
          <w:sz w:val="24"/>
          <w:szCs w:val="20"/>
        </w:rPr>
        <w:t>本规范所指的银行自身资本项目业务是银行作为交易的一方、与非居民或其他境内居民开展的资本项目业务以及有关的资产负债信息，包括但不限于下列种类：</w:t>
      </w:r>
    </w:p>
    <w:p w14:paraId="3C6CC75B" w14:textId="77777777" w:rsidR="00A052DC" w:rsidRDefault="009F0A60" w:rsidP="0020251D">
      <w:pPr>
        <w:pStyle w:val="3"/>
        <w:ind w:left="0"/>
        <w:rPr>
          <w:rFonts w:ascii="Times New Roman" w:hAnsi="Times New Roman"/>
        </w:rPr>
      </w:pPr>
      <w:bookmarkStart w:id="221" w:name="_Toc91455181"/>
      <w:bookmarkStart w:id="222" w:name="_Toc454386628"/>
      <w:bookmarkStart w:id="223" w:name="_Toc380356182"/>
      <w:bookmarkStart w:id="224" w:name="_Toc101684355"/>
      <w:r>
        <w:rPr>
          <w:rFonts w:ascii="Times New Roman" w:hint="eastAsia"/>
        </w:rPr>
        <w:t>外债</w:t>
      </w:r>
      <w:bookmarkEnd w:id="221"/>
      <w:bookmarkEnd w:id="222"/>
      <w:bookmarkEnd w:id="223"/>
      <w:bookmarkEnd w:id="224"/>
    </w:p>
    <w:p w14:paraId="3428C580" w14:textId="77777777" w:rsidR="00A052DC" w:rsidRDefault="009F0A60">
      <w:pPr>
        <w:spacing w:line="360" w:lineRule="auto"/>
        <w:ind w:firstLineChars="200" w:firstLine="480"/>
        <w:rPr>
          <w:rFonts w:ascii="Times New Roman" w:hAnsi="Times New Roman"/>
          <w:kern w:val="0"/>
          <w:sz w:val="24"/>
          <w:szCs w:val="20"/>
        </w:rPr>
      </w:pPr>
      <w:r>
        <w:rPr>
          <w:rFonts w:ascii="Times New Roman" w:hint="eastAsia"/>
          <w:kern w:val="0"/>
          <w:sz w:val="24"/>
          <w:szCs w:val="20"/>
        </w:rPr>
        <w:t>银行自身的外债是指境内银行对非居民承担的债务（含境内银行离岸业务产生的对非居民的负债）。银行外债的债务类型包括贷款、债务证券、货币存款、其他（债务类型的细分参见债务类型代码表）。其中：</w:t>
      </w:r>
    </w:p>
    <w:p w14:paraId="1B2D985E" w14:textId="77777777" w:rsidR="00A052DC" w:rsidRDefault="009F0A60">
      <w:pPr>
        <w:spacing w:line="360" w:lineRule="auto"/>
        <w:ind w:firstLineChars="200" w:firstLine="480"/>
        <w:rPr>
          <w:rFonts w:ascii="Times New Roman" w:hAnsi="Times New Roman"/>
          <w:kern w:val="0"/>
          <w:sz w:val="24"/>
          <w:szCs w:val="20"/>
        </w:rPr>
      </w:pPr>
      <w:r>
        <w:rPr>
          <w:rFonts w:ascii="Times New Roman" w:hint="eastAsia"/>
          <w:kern w:val="0"/>
          <w:sz w:val="24"/>
          <w:szCs w:val="20"/>
        </w:rPr>
        <w:t>（一）贷款：贷款是指境内银行通过某项安排从非居民获得资金并形成对非居民的负债。贷款通常是不可交易的工具。贷款包括：</w:t>
      </w:r>
    </w:p>
    <w:p w14:paraId="3F3B11F5"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kern w:val="0"/>
          <w:sz w:val="24"/>
          <w:szCs w:val="20"/>
        </w:rPr>
        <w:t>1</w:t>
      </w:r>
      <w:r>
        <w:rPr>
          <w:rFonts w:ascii="Times New Roman" w:hint="eastAsia"/>
          <w:kern w:val="0"/>
          <w:sz w:val="24"/>
          <w:szCs w:val="20"/>
        </w:rPr>
        <w:t>.</w:t>
      </w:r>
      <w:r>
        <w:rPr>
          <w:rFonts w:ascii="Times New Roman" w:hint="eastAsia"/>
          <w:kern w:val="0"/>
          <w:sz w:val="24"/>
          <w:szCs w:val="20"/>
        </w:rPr>
        <w:t>双边贷款：指中国政府向外国政府举借的官方信贷（原为</w:t>
      </w:r>
      <w:r>
        <w:rPr>
          <w:rFonts w:ascii="Times New Roman" w:hAnsi="Times New Roman"/>
          <w:kern w:val="0"/>
          <w:sz w:val="24"/>
          <w:szCs w:val="20"/>
        </w:rPr>
        <w:t>“</w:t>
      </w:r>
      <w:r>
        <w:rPr>
          <w:rFonts w:ascii="Times New Roman" w:hint="eastAsia"/>
          <w:kern w:val="0"/>
          <w:sz w:val="24"/>
          <w:szCs w:val="20"/>
        </w:rPr>
        <w:t>外国政府贷款</w:t>
      </w:r>
      <w:r>
        <w:rPr>
          <w:rFonts w:ascii="Times New Roman" w:hAnsi="Times New Roman"/>
          <w:kern w:val="0"/>
          <w:sz w:val="24"/>
          <w:szCs w:val="20"/>
        </w:rPr>
        <w:t>”</w:t>
      </w:r>
      <w:r>
        <w:rPr>
          <w:rFonts w:ascii="Times New Roman" w:hint="eastAsia"/>
          <w:kern w:val="0"/>
          <w:sz w:val="24"/>
          <w:szCs w:val="20"/>
        </w:rPr>
        <w:t>）。根据国家外汇管理局与财政部的相关规定，双边贷款的数据由其境内转贷行负责报送。双边贷款数据实行每日逐笔报送。</w:t>
      </w:r>
    </w:p>
    <w:p w14:paraId="582CCC9A"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kern w:val="0"/>
          <w:sz w:val="24"/>
          <w:szCs w:val="20"/>
        </w:rPr>
        <w:t>2</w:t>
      </w:r>
      <w:r>
        <w:rPr>
          <w:rFonts w:ascii="Times New Roman" w:hint="eastAsia"/>
          <w:kern w:val="0"/>
          <w:sz w:val="24"/>
          <w:szCs w:val="20"/>
        </w:rPr>
        <w:t>.</w:t>
      </w:r>
      <w:r>
        <w:rPr>
          <w:rFonts w:ascii="Times New Roman" w:hint="eastAsia"/>
          <w:kern w:val="0"/>
          <w:sz w:val="24"/>
          <w:szCs w:val="20"/>
        </w:rPr>
        <w:t>买方信贷：指发放出口信贷的境外机构（通常是境外金融机构）向境内银行提供的、用以购买出口国设备的信贷。买方信贷数据实行每日逐笔报送。</w:t>
      </w:r>
    </w:p>
    <w:p w14:paraId="49B21FAA"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kern w:val="0"/>
          <w:sz w:val="24"/>
          <w:szCs w:val="20"/>
        </w:rPr>
        <w:t>3</w:t>
      </w:r>
      <w:r>
        <w:rPr>
          <w:rFonts w:ascii="Times New Roman" w:hint="eastAsia"/>
          <w:kern w:val="0"/>
          <w:sz w:val="24"/>
          <w:szCs w:val="20"/>
        </w:rPr>
        <w:t>.</w:t>
      </w:r>
      <w:r>
        <w:rPr>
          <w:rFonts w:ascii="Times New Roman" w:hint="eastAsia"/>
          <w:kern w:val="0"/>
          <w:sz w:val="24"/>
          <w:szCs w:val="20"/>
        </w:rPr>
        <w:t>境外拆借：指境内银行从境外银行融入短期资金形成的负债。境外拆借数据实行每日逐笔报送。</w:t>
      </w:r>
    </w:p>
    <w:p w14:paraId="51758FED"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kern w:val="0"/>
          <w:sz w:val="24"/>
          <w:szCs w:val="20"/>
        </w:rPr>
        <w:t>4</w:t>
      </w:r>
      <w:r>
        <w:rPr>
          <w:rFonts w:ascii="Times New Roman" w:hint="eastAsia"/>
          <w:kern w:val="0"/>
          <w:sz w:val="24"/>
          <w:szCs w:val="20"/>
        </w:rPr>
        <w:t>.</w:t>
      </w:r>
      <w:r>
        <w:rPr>
          <w:rFonts w:ascii="Times New Roman" w:hint="eastAsia"/>
          <w:kern w:val="0"/>
          <w:sz w:val="24"/>
          <w:szCs w:val="20"/>
        </w:rPr>
        <w:t>海外代付：指境外金融机构代境内银行支付后形成的境内银行对境外金融机构的负债。海外代付数据实行每日逐笔报送。</w:t>
      </w:r>
    </w:p>
    <w:p w14:paraId="261F68C4"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kern w:val="0"/>
          <w:sz w:val="24"/>
          <w:szCs w:val="20"/>
        </w:rPr>
        <w:t>5</w:t>
      </w:r>
      <w:r>
        <w:rPr>
          <w:rFonts w:ascii="Times New Roman" w:hint="eastAsia"/>
          <w:kern w:val="0"/>
          <w:sz w:val="24"/>
          <w:szCs w:val="20"/>
        </w:rPr>
        <w:t>.</w:t>
      </w:r>
      <w:r>
        <w:rPr>
          <w:rFonts w:ascii="Times New Roman" w:hint="eastAsia"/>
          <w:kern w:val="0"/>
          <w:sz w:val="24"/>
          <w:szCs w:val="20"/>
        </w:rPr>
        <w:t>卖出回购：指境内银行通过向非居民出售证券</w:t>
      </w:r>
      <w:r>
        <w:rPr>
          <w:rFonts w:ascii="Times New Roman" w:hAnsi="Times New Roman"/>
          <w:kern w:val="0"/>
          <w:sz w:val="24"/>
          <w:szCs w:val="20"/>
        </w:rPr>
        <w:t>/</w:t>
      </w:r>
      <w:r>
        <w:rPr>
          <w:rFonts w:ascii="Times New Roman" w:hint="eastAsia"/>
          <w:kern w:val="0"/>
          <w:sz w:val="24"/>
          <w:szCs w:val="20"/>
        </w:rPr>
        <w:t>贷款</w:t>
      </w:r>
      <w:r>
        <w:rPr>
          <w:rFonts w:ascii="Times New Roman" w:hAnsi="Times New Roman"/>
          <w:kern w:val="0"/>
          <w:sz w:val="24"/>
          <w:szCs w:val="20"/>
        </w:rPr>
        <w:t>/</w:t>
      </w:r>
      <w:r>
        <w:rPr>
          <w:rFonts w:ascii="Times New Roman" w:hint="eastAsia"/>
          <w:kern w:val="0"/>
          <w:sz w:val="24"/>
          <w:szCs w:val="20"/>
        </w:rPr>
        <w:t>贵金属、并约定在议定的日期或之前从非居民处购回证券</w:t>
      </w:r>
      <w:r>
        <w:rPr>
          <w:rFonts w:ascii="Times New Roman" w:hAnsi="Times New Roman"/>
          <w:kern w:val="0"/>
          <w:sz w:val="24"/>
          <w:szCs w:val="20"/>
        </w:rPr>
        <w:t>/</w:t>
      </w:r>
      <w:r>
        <w:rPr>
          <w:rFonts w:ascii="Times New Roman" w:hint="eastAsia"/>
          <w:kern w:val="0"/>
          <w:sz w:val="24"/>
          <w:szCs w:val="20"/>
        </w:rPr>
        <w:t>贷款</w:t>
      </w:r>
      <w:r>
        <w:rPr>
          <w:rFonts w:ascii="Times New Roman" w:hAnsi="Times New Roman"/>
          <w:kern w:val="0"/>
          <w:sz w:val="24"/>
          <w:szCs w:val="20"/>
        </w:rPr>
        <w:t>/</w:t>
      </w:r>
      <w:r>
        <w:rPr>
          <w:rFonts w:ascii="Times New Roman" w:hint="eastAsia"/>
          <w:kern w:val="0"/>
          <w:sz w:val="24"/>
          <w:szCs w:val="20"/>
        </w:rPr>
        <w:t>贵金属的方式以获得融资，由此形成的境内银行对非居民的负债。卖出回购数据实行每日逐笔报送。</w:t>
      </w:r>
    </w:p>
    <w:p w14:paraId="1E02EFBC"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kern w:val="0"/>
          <w:sz w:val="24"/>
          <w:szCs w:val="20"/>
        </w:rPr>
        <w:t>6</w:t>
      </w:r>
      <w:r>
        <w:rPr>
          <w:rFonts w:ascii="Times New Roman" w:hint="eastAsia"/>
          <w:kern w:val="0"/>
          <w:sz w:val="24"/>
          <w:szCs w:val="20"/>
        </w:rPr>
        <w:t>.</w:t>
      </w:r>
      <w:r>
        <w:rPr>
          <w:rFonts w:ascii="Times New Roman" w:hint="eastAsia"/>
          <w:kern w:val="0"/>
          <w:sz w:val="24"/>
          <w:szCs w:val="20"/>
        </w:rPr>
        <w:t>远期信用证（含即期单证相符）：指境内银行因承兑受益人为非居民的非即期支付的信用证、承担第一性付款责任的即期信用证（一般以单证相符为条件）和延付保函所形成的负债。远期信用证包括承兑信用证和延期付款信用证。境内银行承担第一付款责任的即期信用证和延付保函，如果产生了实际而非或有的外债，也应报送在该项下。该项数据实行每日逐笔报送。</w:t>
      </w:r>
    </w:p>
    <w:p w14:paraId="71B3D28A"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kern w:val="0"/>
          <w:sz w:val="24"/>
          <w:szCs w:val="20"/>
        </w:rPr>
        <w:t>7</w:t>
      </w:r>
      <w:r>
        <w:rPr>
          <w:rFonts w:ascii="Times New Roman" w:hint="eastAsia"/>
          <w:kern w:val="0"/>
          <w:sz w:val="24"/>
          <w:szCs w:val="20"/>
        </w:rPr>
        <w:t>.</w:t>
      </w:r>
      <w:r>
        <w:rPr>
          <w:rFonts w:ascii="Times New Roman" w:hint="eastAsia"/>
          <w:kern w:val="0"/>
          <w:sz w:val="24"/>
          <w:szCs w:val="20"/>
        </w:rPr>
        <w:t>银团贷款：指境内银行借入的由两家或两家以上境外银行基于相同贷款条件、依据同一贷款协议提供的贷款所形成的负债。如果有境内银行作为参加行，该银行对境内银行提供的贷款不作为外债。银团贷款数据实行每日逐笔报送。</w:t>
      </w:r>
    </w:p>
    <w:p w14:paraId="1AA0F0C5"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kern w:val="0"/>
          <w:sz w:val="24"/>
          <w:szCs w:val="20"/>
        </w:rPr>
        <w:t>8</w:t>
      </w:r>
      <w:r>
        <w:rPr>
          <w:rFonts w:ascii="Times New Roman" w:hint="eastAsia"/>
          <w:kern w:val="0"/>
          <w:sz w:val="24"/>
          <w:szCs w:val="20"/>
        </w:rPr>
        <w:t>.</w:t>
      </w:r>
      <w:r>
        <w:rPr>
          <w:rFonts w:ascii="Times New Roman" w:hint="eastAsia"/>
          <w:kern w:val="0"/>
          <w:sz w:val="24"/>
          <w:szCs w:val="20"/>
        </w:rPr>
        <w:t>贵金属拆借：指境内银行从非居民借入贵金属（包括实物黄金、账户黄金以及其他贵金属）形成的负债。贵金属拆借数据实行每日逐笔报送。</w:t>
      </w:r>
    </w:p>
    <w:p w14:paraId="2B417A21"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kern w:val="0"/>
          <w:sz w:val="24"/>
          <w:szCs w:val="20"/>
        </w:rPr>
        <w:t>9</w:t>
      </w:r>
      <w:r>
        <w:rPr>
          <w:rFonts w:ascii="Times New Roman" w:hint="eastAsia"/>
          <w:kern w:val="0"/>
          <w:sz w:val="24"/>
          <w:szCs w:val="20"/>
        </w:rPr>
        <w:t>.</w:t>
      </w:r>
      <w:r>
        <w:rPr>
          <w:rFonts w:ascii="Times New Roman" w:hint="eastAsia"/>
          <w:kern w:val="0"/>
          <w:sz w:val="24"/>
          <w:szCs w:val="20"/>
        </w:rPr>
        <w:t>其他贷款：指境内银行向非居民借入的、未被列入上述贷款类型的其他贷款类负债。其他贷款数据实行每日逐笔报送。</w:t>
      </w:r>
      <w:r>
        <w:rPr>
          <w:rFonts w:ascii="Times New Roman" w:hint="eastAsia"/>
          <w:kern w:val="0"/>
          <w:sz w:val="24"/>
          <w:szCs w:val="20"/>
        </w:rPr>
        <w:t>2014</w:t>
      </w:r>
      <w:r>
        <w:rPr>
          <w:rFonts w:ascii="Times New Roman" w:hint="eastAsia"/>
          <w:kern w:val="0"/>
          <w:sz w:val="24"/>
          <w:szCs w:val="20"/>
        </w:rPr>
        <w:t>年外汇局发布《外债转贷款外汇管理规定》（汇发〔</w:t>
      </w:r>
      <w:r>
        <w:rPr>
          <w:rFonts w:ascii="Times New Roman" w:hint="eastAsia"/>
          <w:kern w:val="0"/>
          <w:sz w:val="24"/>
          <w:szCs w:val="20"/>
        </w:rPr>
        <w:t>2014</w:t>
      </w:r>
      <w:r>
        <w:rPr>
          <w:rFonts w:ascii="Times New Roman" w:hint="eastAsia"/>
          <w:kern w:val="0"/>
          <w:sz w:val="24"/>
          <w:szCs w:val="20"/>
        </w:rPr>
        <w:t>〕</w:t>
      </w:r>
      <w:r>
        <w:rPr>
          <w:rFonts w:ascii="Times New Roman" w:hint="eastAsia"/>
          <w:kern w:val="0"/>
          <w:sz w:val="24"/>
          <w:szCs w:val="20"/>
        </w:rPr>
        <w:t>5</w:t>
      </w:r>
      <w:r>
        <w:rPr>
          <w:rFonts w:ascii="Times New Roman" w:hint="eastAsia"/>
          <w:kern w:val="0"/>
          <w:sz w:val="24"/>
          <w:szCs w:val="20"/>
        </w:rPr>
        <w:t>号）规定，商业性转贷款是指境内金融机构经国家外债主管部门批准，将借用外债资金发放给国家外债主管部门指定的境内机构。未获取国家外债主管部门批文的，不是转贷给国家外债主管部门批准指定的境内机构，不属于《外债转贷款外汇管理规定》规定的商业性外债转贷款。银行在报送外债数据时，应根据资金来源报送至相应的外债类型项下，如来源境外银行，报送在境外拆借项下，不应报送在其他贷款项下。</w:t>
      </w:r>
    </w:p>
    <w:p w14:paraId="09F6FF2F" w14:textId="77777777" w:rsidR="00A052DC" w:rsidRDefault="009F0A60">
      <w:pPr>
        <w:spacing w:line="360" w:lineRule="auto"/>
        <w:ind w:firstLineChars="200" w:firstLine="480"/>
        <w:rPr>
          <w:rFonts w:ascii="Times New Roman" w:hAnsi="Times New Roman"/>
          <w:kern w:val="0"/>
          <w:sz w:val="24"/>
          <w:szCs w:val="20"/>
        </w:rPr>
      </w:pPr>
      <w:r>
        <w:rPr>
          <w:rFonts w:ascii="Times New Roman" w:hint="eastAsia"/>
          <w:kern w:val="0"/>
          <w:sz w:val="24"/>
          <w:szCs w:val="20"/>
        </w:rPr>
        <w:t>（二）债务证券：债务证券是可流通的债务工具，包括可转让存单、商业票据、公司债券、有资产担保的证券、货币市场工具以及通常在金融市场上交易的类似工具。</w:t>
      </w:r>
    </w:p>
    <w:p w14:paraId="63A87494"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kern w:val="0"/>
          <w:sz w:val="24"/>
          <w:szCs w:val="20"/>
        </w:rPr>
        <w:t>1</w:t>
      </w:r>
      <w:r>
        <w:rPr>
          <w:rFonts w:ascii="Times New Roman" w:hint="eastAsia"/>
          <w:kern w:val="0"/>
          <w:sz w:val="24"/>
          <w:szCs w:val="20"/>
        </w:rPr>
        <w:t>.</w:t>
      </w:r>
      <w:r>
        <w:rPr>
          <w:rFonts w:ascii="Times New Roman" w:hint="eastAsia"/>
          <w:kern w:val="0"/>
          <w:sz w:val="24"/>
          <w:szCs w:val="20"/>
        </w:rPr>
        <w:t>货币市场工具：指非居民持有的由境内银行发行的原始期限不超过一年的债券。货币市场工具数据实行每日逐笔报送。</w:t>
      </w:r>
    </w:p>
    <w:p w14:paraId="508D4F0C"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kern w:val="0"/>
          <w:sz w:val="24"/>
          <w:szCs w:val="20"/>
        </w:rPr>
        <w:t>2</w:t>
      </w:r>
      <w:r>
        <w:rPr>
          <w:rFonts w:ascii="Times New Roman" w:hint="eastAsia"/>
          <w:kern w:val="0"/>
          <w:sz w:val="24"/>
          <w:szCs w:val="20"/>
        </w:rPr>
        <w:t>.</w:t>
      </w:r>
      <w:r>
        <w:rPr>
          <w:rFonts w:ascii="Times New Roman" w:hint="eastAsia"/>
          <w:kern w:val="0"/>
          <w:sz w:val="24"/>
          <w:szCs w:val="20"/>
        </w:rPr>
        <w:t>债券和票据：指非居民持有的由境内银行发行的原始期限超过一年的债券。债券和票据数据实行每日逐笔报送。</w:t>
      </w:r>
    </w:p>
    <w:p w14:paraId="581E4DCF" w14:textId="77777777" w:rsidR="00A052DC" w:rsidRDefault="009F0A60">
      <w:pPr>
        <w:spacing w:line="360" w:lineRule="auto"/>
        <w:ind w:firstLineChars="200" w:firstLine="480"/>
        <w:rPr>
          <w:rFonts w:ascii="Times New Roman" w:hAnsi="Times New Roman"/>
          <w:kern w:val="0"/>
          <w:sz w:val="24"/>
          <w:szCs w:val="20"/>
        </w:rPr>
      </w:pPr>
      <w:r>
        <w:rPr>
          <w:rFonts w:ascii="Times New Roman" w:hint="eastAsia"/>
          <w:kern w:val="0"/>
          <w:sz w:val="24"/>
          <w:szCs w:val="20"/>
        </w:rPr>
        <w:t>（三）货币存款</w:t>
      </w:r>
    </w:p>
    <w:p w14:paraId="1D9BDEDC"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kern w:val="0"/>
          <w:sz w:val="24"/>
          <w:szCs w:val="20"/>
        </w:rPr>
        <w:t>1</w:t>
      </w:r>
      <w:r>
        <w:rPr>
          <w:rFonts w:ascii="Times New Roman" w:hint="eastAsia"/>
          <w:kern w:val="0"/>
          <w:sz w:val="24"/>
          <w:szCs w:val="20"/>
        </w:rPr>
        <w:t>.</w:t>
      </w:r>
      <w:r>
        <w:rPr>
          <w:rFonts w:ascii="Times New Roman" w:hint="eastAsia"/>
          <w:kern w:val="0"/>
          <w:sz w:val="24"/>
          <w:szCs w:val="20"/>
        </w:rPr>
        <w:t>境外同业存放：指境外银行在境内银行的存款，境外同业存放主要是用于日常资金往来。境外同业存放数据实行每日逐笔报送。</w:t>
      </w:r>
    </w:p>
    <w:p w14:paraId="7FC15D88" w14:textId="77777777" w:rsidR="00A052DC" w:rsidRDefault="009F0A60">
      <w:pPr>
        <w:spacing w:line="360" w:lineRule="auto"/>
        <w:ind w:firstLineChars="200" w:firstLine="480"/>
        <w:rPr>
          <w:rFonts w:ascii="Times New Roman"/>
          <w:kern w:val="0"/>
          <w:sz w:val="24"/>
          <w:szCs w:val="20"/>
        </w:rPr>
      </w:pPr>
      <w:r>
        <w:rPr>
          <w:rFonts w:ascii="Times New Roman" w:hAnsi="Times New Roman"/>
          <w:kern w:val="0"/>
          <w:sz w:val="24"/>
          <w:szCs w:val="20"/>
        </w:rPr>
        <w:t>2</w:t>
      </w:r>
      <w:r>
        <w:rPr>
          <w:rFonts w:ascii="Times New Roman" w:hint="eastAsia"/>
          <w:kern w:val="0"/>
          <w:sz w:val="24"/>
          <w:szCs w:val="20"/>
        </w:rPr>
        <w:t>.</w:t>
      </w:r>
      <w:r>
        <w:rPr>
          <w:rFonts w:ascii="Times New Roman" w:hint="eastAsia"/>
          <w:kern w:val="0"/>
          <w:sz w:val="24"/>
          <w:szCs w:val="20"/>
        </w:rPr>
        <w:t>境外联行及附属机构往来：指境内银行的境外联行或附属机构在境内银行的存款。境外联行及附属机构往来数据实行每日逐笔报送。</w:t>
      </w:r>
    </w:p>
    <w:p w14:paraId="382E32C7"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kern w:val="0"/>
          <w:sz w:val="24"/>
          <w:szCs w:val="20"/>
        </w:rPr>
        <w:t>3</w:t>
      </w:r>
      <w:r>
        <w:rPr>
          <w:rFonts w:ascii="Times New Roman" w:hint="eastAsia"/>
          <w:kern w:val="0"/>
          <w:sz w:val="24"/>
          <w:szCs w:val="20"/>
        </w:rPr>
        <w:t>.</w:t>
      </w:r>
      <w:r>
        <w:rPr>
          <w:rFonts w:ascii="Times New Roman" w:hint="eastAsia"/>
          <w:kern w:val="0"/>
          <w:sz w:val="24"/>
          <w:szCs w:val="20"/>
        </w:rPr>
        <w:t>非居民机构存款：指境外非银行机构在境内银行的存款。非居民机构存款数据实行每日逐笔报送。</w:t>
      </w:r>
    </w:p>
    <w:p w14:paraId="5F5EC63F"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kern w:val="0"/>
          <w:sz w:val="24"/>
          <w:szCs w:val="20"/>
        </w:rPr>
        <w:t>4</w:t>
      </w:r>
      <w:r>
        <w:rPr>
          <w:rFonts w:ascii="Times New Roman" w:hint="eastAsia"/>
          <w:kern w:val="0"/>
          <w:sz w:val="24"/>
          <w:szCs w:val="20"/>
        </w:rPr>
        <w:t>.</w:t>
      </w:r>
      <w:r>
        <w:rPr>
          <w:rFonts w:ascii="Times New Roman" w:hint="eastAsia"/>
          <w:kern w:val="0"/>
          <w:sz w:val="24"/>
          <w:szCs w:val="20"/>
        </w:rPr>
        <w:t>非居民个人存款：指非居民个人在境内银行的存款。非居民个人存款实行每日分币种、分国别汇总报送。各债务银行（法人银行）应该将存款余额折美元金额在</w:t>
      </w:r>
      <w:r>
        <w:rPr>
          <w:rFonts w:ascii="Times New Roman" w:hAnsi="Times New Roman"/>
          <w:kern w:val="0"/>
          <w:sz w:val="24"/>
          <w:szCs w:val="20"/>
        </w:rPr>
        <w:t>50</w:t>
      </w:r>
      <w:r>
        <w:rPr>
          <w:rFonts w:ascii="Times New Roman" w:hint="eastAsia"/>
          <w:kern w:val="0"/>
          <w:sz w:val="24"/>
          <w:szCs w:val="20"/>
        </w:rPr>
        <w:t>万美元以上和</w:t>
      </w:r>
      <w:r>
        <w:rPr>
          <w:rFonts w:ascii="Times New Roman" w:hAnsi="Times New Roman"/>
          <w:kern w:val="0"/>
          <w:sz w:val="24"/>
          <w:szCs w:val="20"/>
        </w:rPr>
        <w:t>50</w:t>
      </w:r>
      <w:r>
        <w:rPr>
          <w:rFonts w:ascii="Times New Roman" w:hint="eastAsia"/>
          <w:kern w:val="0"/>
          <w:sz w:val="24"/>
          <w:szCs w:val="20"/>
        </w:rPr>
        <w:t>万美元以下（含）的客户分别填报。其中：存款余额超过</w:t>
      </w:r>
      <w:r>
        <w:rPr>
          <w:rFonts w:ascii="Times New Roman" w:hAnsi="Times New Roman"/>
          <w:kern w:val="0"/>
          <w:sz w:val="24"/>
          <w:szCs w:val="20"/>
        </w:rPr>
        <w:t>50</w:t>
      </w:r>
      <w:r>
        <w:rPr>
          <w:rFonts w:ascii="Times New Roman" w:hint="eastAsia"/>
          <w:kern w:val="0"/>
          <w:sz w:val="24"/>
          <w:szCs w:val="20"/>
        </w:rPr>
        <w:t>万美元的客户，应区分存款人国别和存款币种进行汇总填报；存款余额不超过</w:t>
      </w:r>
      <w:r>
        <w:rPr>
          <w:rFonts w:ascii="Times New Roman" w:hAnsi="Times New Roman"/>
          <w:kern w:val="0"/>
          <w:sz w:val="24"/>
          <w:szCs w:val="20"/>
        </w:rPr>
        <w:t>50</w:t>
      </w:r>
      <w:r>
        <w:rPr>
          <w:rFonts w:ascii="Times New Roman" w:hint="eastAsia"/>
          <w:kern w:val="0"/>
          <w:sz w:val="24"/>
          <w:szCs w:val="20"/>
        </w:rPr>
        <w:t>万美元的客户，应区分存款人国别和存款币种进行汇总填报，并在</w:t>
      </w:r>
      <w:r>
        <w:rPr>
          <w:rFonts w:ascii="Times New Roman" w:hAnsi="Times New Roman"/>
          <w:kern w:val="0"/>
          <w:sz w:val="24"/>
          <w:szCs w:val="20"/>
        </w:rPr>
        <w:t>“</w:t>
      </w:r>
      <w:r>
        <w:rPr>
          <w:rFonts w:ascii="Times New Roman" w:hint="eastAsia"/>
          <w:kern w:val="0"/>
          <w:sz w:val="24"/>
          <w:szCs w:val="20"/>
        </w:rPr>
        <w:t>是否不纳入跨境融资风险加权余额计算</w:t>
      </w:r>
      <w:r>
        <w:rPr>
          <w:rFonts w:ascii="Times New Roman" w:hAnsi="Times New Roman"/>
          <w:kern w:val="0"/>
          <w:sz w:val="24"/>
          <w:szCs w:val="20"/>
        </w:rPr>
        <w:t>”</w:t>
      </w:r>
      <w:r>
        <w:rPr>
          <w:rFonts w:ascii="Times New Roman" w:hint="eastAsia"/>
          <w:kern w:val="0"/>
          <w:sz w:val="24"/>
          <w:szCs w:val="20"/>
        </w:rPr>
        <w:t>数据项中选择</w:t>
      </w:r>
      <w:r>
        <w:rPr>
          <w:rFonts w:ascii="Times New Roman" w:hAnsi="Times New Roman"/>
          <w:kern w:val="0"/>
          <w:sz w:val="24"/>
          <w:szCs w:val="20"/>
        </w:rPr>
        <w:t>“</w:t>
      </w:r>
      <w:r>
        <w:rPr>
          <w:rFonts w:ascii="Times New Roman" w:hint="eastAsia"/>
          <w:kern w:val="0"/>
          <w:sz w:val="24"/>
          <w:szCs w:val="20"/>
        </w:rPr>
        <w:t>是</w:t>
      </w:r>
      <w:r>
        <w:rPr>
          <w:rFonts w:ascii="Times New Roman" w:hAnsi="Times New Roman"/>
          <w:kern w:val="0"/>
          <w:sz w:val="24"/>
          <w:szCs w:val="20"/>
        </w:rPr>
        <w:t>”</w:t>
      </w:r>
      <w:r>
        <w:rPr>
          <w:rFonts w:ascii="Times New Roman" w:hint="eastAsia"/>
          <w:kern w:val="0"/>
          <w:sz w:val="24"/>
          <w:szCs w:val="20"/>
        </w:rPr>
        <w:t>。</w:t>
      </w:r>
    </w:p>
    <w:p w14:paraId="51E84371" w14:textId="77777777" w:rsidR="00A052DC" w:rsidRDefault="009F0A60">
      <w:pPr>
        <w:spacing w:line="360" w:lineRule="auto"/>
        <w:ind w:firstLineChars="200" w:firstLine="480"/>
        <w:rPr>
          <w:rFonts w:ascii="Times New Roman" w:hAnsi="Times New Roman"/>
          <w:kern w:val="0"/>
          <w:sz w:val="24"/>
          <w:szCs w:val="20"/>
        </w:rPr>
      </w:pPr>
      <w:r>
        <w:rPr>
          <w:rFonts w:ascii="Times New Roman" w:hint="eastAsia"/>
          <w:kern w:val="0"/>
          <w:sz w:val="24"/>
          <w:szCs w:val="20"/>
        </w:rPr>
        <w:t>例如：某银行共有</w:t>
      </w:r>
      <w:r>
        <w:rPr>
          <w:rFonts w:ascii="Times New Roman" w:hAnsi="Times New Roman"/>
          <w:kern w:val="0"/>
          <w:sz w:val="24"/>
          <w:szCs w:val="20"/>
        </w:rPr>
        <w:t>5</w:t>
      </w:r>
      <w:r>
        <w:rPr>
          <w:rFonts w:ascii="Times New Roman" w:hint="eastAsia"/>
          <w:kern w:val="0"/>
          <w:sz w:val="24"/>
          <w:szCs w:val="20"/>
        </w:rPr>
        <w:t>个非居民个人存款客户。其中：</w:t>
      </w:r>
      <w:r>
        <w:rPr>
          <w:rFonts w:ascii="Times New Roman" w:hAnsi="Times New Roman"/>
          <w:kern w:val="0"/>
          <w:sz w:val="24"/>
          <w:szCs w:val="20"/>
        </w:rPr>
        <w:t>A</w:t>
      </w:r>
      <w:r>
        <w:rPr>
          <w:rFonts w:ascii="Times New Roman" w:hint="eastAsia"/>
          <w:kern w:val="0"/>
          <w:sz w:val="24"/>
          <w:szCs w:val="20"/>
        </w:rPr>
        <w:t>客户是美国人，有美元存款</w:t>
      </w:r>
      <w:r>
        <w:rPr>
          <w:rFonts w:ascii="Times New Roman" w:hAnsi="Times New Roman"/>
          <w:kern w:val="0"/>
          <w:sz w:val="24"/>
          <w:szCs w:val="20"/>
        </w:rPr>
        <w:t>55</w:t>
      </w:r>
      <w:r>
        <w:rPr>
          <w:rFonts w:ascii="Times New Roman" w:hint="eastAsia"/>
          <w:kern w:val="0"/>
          <w:sz w:val="24"/>
          <w:szCs w:val="20"/>
        </w:rPr>
        <w:t>万美元；</w:t>
      </w:r>
      <w:r>
        <w:rPr>
          <w:rFonts w:ascii="Times New Roman" w:hAnsi="Times New Roman"/>
          <w:kern w:val="0"/>
          <w:sz w:val="24"/>
          <w:szCs w:val="20"/>
        </w:rPr>
        <w:t>B</w:t>
      </w:r>
      <w:r>
        <w:rPr>
          <w:rFonts w:ascii="Times New Roman" w:hint="eastAsia"/>
          <w:kern w:val="0"/>
          <w:sz w:val="24"/>
          <w:szCs w:val="20"/>
        </w:rPr>
        <w:t>客户是美国人，有美元存款</w:t>
      </w:r>
      <w:r>
        <w:rPr>
          <w:rFonts w:ascii="Times New Roman" w:hAnsi="Times New Roman"/>
          <w:kern w:val="0"/>
          <w:sz w:val="24"/>
          <w:szCs w:val="20"/>
        </w:rPr>
        <w:t>45</w:t>
      </w:r>
      <w:r>
        <w:rPr>
          <w:rFonts w:ascii="Times New Roman" w:hint="eastAsia"/>
          <w:kern w:val="0"/>
          <w:sz w:val="24"/>
          <w:szCs w:val="20"/>
        </w:rPr>
        <w:t>万美元，欧元存款</w:t>
      </w:r>
      <w:r>
        <w:rPr>
          <w:rFonts w:ascii="Times New Roman" w:hAnsi="Times New Roman"/>
          <w:kern w:val="0"/>
          <w:sz w:val="24"/>
          <w:szCs w:val="20"/>
        </w:rPr>
        <w:t>10</w:t>
      </w:r>
      <w:r>
        <w:rPr>
          <w:rFonts w:ascii="Times New Roman" w:hint="eastAsia"/>
          <w:kern w:val="0"/>
          <w:sz w:val="24"/>
          <w:szCs w:val="20"/>
        </w:rPr>
        <w:t>万欧元（约折合</w:t>
      </w:r>
      <w:r>
        <w:rPr>
          <w:rFonts w:ascii="Times New Roman" w:hAnsi="Times New Roman"/>
          <w:kern w:val="0"/>
          <w:sz w:val="24"/>
          <w:szCs w:val="20"/>
        </w:rPr>
        <w:t>12.4</w:t>
      </w:r>
      <w:r>
        <w:rPr>
          <w:rFonts w:ascii="Times New Roman" w:hint="eastAsia"/>
          <w:kern w:val="0"/>
          <w:sz w:val="24"/>
          <w:szCs w:val="20"/>
        </w:rPr>
        <w:t>万美元）；</w:t>
      </w:r>
      <w:r>
        <w:rPr>
          <w:rFonts w:ascii="Times New Roman" w:hAnsi="Times New Roman"/>
          <w:kern w:val="0"/>
          <w:sz w:val="24"/>
          <w:szCs w:val="20"/>
        </w:rPr>
        <w:t>C</w:t>
      </w:r>
      <w:r>
        <w:rPr>
          <w:rFonts w:ascii="Times New Roman" w:hint="eastAsia"/>
          <w:kern w:val="0"/>
          <w:sz w:val="24"/>
          <w:szCs w:val="20"/>
        </w:rPr>
        <w:t>客户是新加坡人，有美元存款</w:t>
      </w:r>
      <w:r>
        <w:rPr>
          <w:rFonts w:ascii="Times New Roman" w:hAnsi="Times New Roman"/>
          <w:kern w:val="0"/>
          <w:sz w:val="24"/>
          <w:szCs w:val="20"/>
        </w:rPr>
        <w:t>30</w:t>
      </w:r>
      <w:r>
        <w:rPr>
          <w:rFonts w:ascii="Times New Roman" w:hint="eastAsia"/>
          <w:kern w:val="0"/>
          <w:sz w:val="24"/>
          <w:szCs w:val="20"/>
        </w:rPr>
        <w:t>万美元；</w:t>
      </w:r>
      <w:r>
        <w:rPr>
          <w:rFonts w:ascii="Times New Roman" w:hAnsi="Times New Roman"/>
          <w:kern w:val="0"/>
          <w:sz w:val="24"/>
          <w:szCs w:val="20"/>
        </w:rPr>
        <w:t>D</w:t>
      </w:r>
      <w:r>
        <w:rPr>
          <w:rFonts w:ascii="Times New Roman" w:hint="eastAsia"/>
          <w:kern w:val="0"/>
          <w:sz w:val="24"/>
          <w:szCs w:val="20"/>
        </w:rPr>
        <w:t>客户是日本人，有日元存款</w:t>
      </w:r>
      <w:r>
        <w:rPr>
          <w:rFonts w:ascii="Times New Roman" w:hAnsi="Times New Roman"/>
          <w:kern w:val="0"/>
          <w:sz w:val="24"/>
          <w:szCs w:val="20"/>
        </w:rPr>
        <w:t>6000</w:t>
      </w:r>
      <w:r>
        <w:rPr>
          <w:rFonts w:ascii="Times New Roman" w:hint="eastAsia"/>
          <w:kern w:val="0"/>
          <w:sz w:val="24"/>
          <w:szCs w:val="20"/>
        </w:rPr>
        <w:t>万日元（约折合</w:t>
      </w:r>
      <w:r>
        <w:rPr>
          <w:rFonts w:ascii="Times New Roman" w:hAnsi="Times New Roman"/>
          <w:kern w:val="0"/>
          <w:sz w:val="24"/>
          <w:szCs w:val="20"/>
        </w:rPr>
        <w:t>60</w:t>
      </w:r>
      <w:r>
        <w:rPr>
          <w:rFonts w:ascii="Times New Roman" w:hint="eastAsia"/>
          <w:kern w:val="0"/>
          <w:sz w:val="24"/>
          <w:szCs w:val="20"/>
        </w:rPr>
        <w:t>万美元）；</w:t>
      </w:r>
      <w:r>
        <w:rPr>
          <w:rFonts w:ascii="Times New Roman" w:hAnsi="Times New Roman"/>
          <w:kern w:val="0"/>
          <w:sz w:val="24"/>
          <w:szCs w:val="20"/>
        </w:rPr>
        <w:t>E</w:t>
      </w:r>
      <w:r>
        <w:rPr>
          <w:rFonts w:ascii="Times New Roman" w:hint="eastAsia"/>
          <w:kern w:val="0"/>
          <w:sz w:val="24"/>
          <w:szCs w:val="20"/>
        </w:rPr>
        <w:t>客户是新加坡人，有人民币存款</w:t>
      </w:r>
      <w:r>
        <w:rPr>
          <w:rFonts w:ascii="Times New Roman" w:hAnsi="Times New Roman"/>
          <w:kern w:val="0"/>
          <w:sz w:val="24"/>
          <w:szCs w:val="20"/>
        </w:rPr>
        <w:t>200</w:t>
      </w:r>
      <w:r>
        <w:rPr>
          <w:rFonts w:ascii="Times New Roman" w:hint="eastAsia"/>
          <w:kern w:val="0"/>
          <w:sz w:val="24"/>
          <w:szCs w:val="20"/>
        </w:rPr>
        <w:t>万人民币（约折合</w:t>
      </w:r>
      <w:r>
        <w:rPr>
          <w:rFonts w:ascii="Times New Roman" w:hAnsi="Times New Roman"/>
          <w:kern w:val="0"/>
          <w:sz w:val="24"/>
          <w:szCs w:val="20"/>
        </w:rPr>
        <w:t>32</w:t>
      </w:r>
      <w:r>
        <w:rPr>
          <w:rFonts w:ascii="Times New Roman" w:hint="eastAsia"/>
          <w:kern w:val="0"/>
          <w:sz w:val="24"/>
          <w:szCs w:val="20"/>
        </w:rPr>
        <w:t>万美元）。</w:t>
      </w:r>
    </w:p>
    <w:p w14:paraId="567016BF" w14:textId="77777777" w:rsidR="00A052DC" w:rsidRDefault="009F0A60">
      <w:pPr>
        <w:spacing w:line="360" w:lineRule="auto"/>
        <w:ind w:firstLineChars="200" w:firstLine="480"/>
        <w:rPr>
          <w:rFonts w:ascii="Times New Roman" w:hAnsi="Times New Roman"/>
          <w:kern w:val="0"/>
          <w:sz w:val="24"/>
          <w:szCs w:val="20"/>
        </w:rPr>
      </w:pPr>
      <w:r>
        <w:rPr>
          <w:rFonts w:ascii="Times New Roman" w:hint="eastAsia"/>
          <w:kern w:val="0"/>
          <w:sz w:val="24"/>
          <w:szCs w:val="20"/>
        </w:rPr>
        <w:t>则：按照短期外债管理规定，</w:t>
      </w:r>
      <w:r>
        <w:rPr>
          <w:rFonts w:ascii="Times New Roman" w:hAnsi="Times New Roman"/>
          <w:kern w:val="0"/>
          <w:sz w:val="24"/>
          <w:szCs w:val="20"/>
        </w:rPr>
        <w:t>A</w:t>
      </w:r>
      <w:r>
        <w:rPr>
          <w:rFonts w:ascii="Times New Roman" w:hint="eastAsia"/>
          <w:kern w:val="0"/>
          <w:sz w:val="24"/>
          <w:szCs w:val="20"/>
        </w:rPr>
        <w:t>、</w:t>
      </w:r>
      <w:r>
        <w:rPr>
          <w:rFonts w:ascii="Times New Roman" w:hAnsi="Times New Roman"/>
          <w:kern w:val="0"/>
          <w:sz w:val="24"/>
          <w:szCs w:val="20"/>
        </w:rPr>
        <w:t>B</w:t>
      </w:r>
      <w:r>
        <w:rPr>
          <w:rFonts w:ascii="Times New Roman" w:hint="eastAsia"/>
          <w:kern w:val="0"/>
          <w:sz w:val="24"/>
          <w:szCs w:val="20"/>
        </w:rPr>
        <w:t>、</w:t>
      </w:r>
      <w:r>
        <w:rPr>
          <w:rFonts w:ascii="Times New Roman" w:hAnsi="Times New Roman"/>
          <w:kern w:val="0"/>
          <w:sz w:val="24"/>
          <w:szCs w:val="20"/>
        </w:rPr>
        <w:t>D</w:t>
      </w:r>
      <w:r>
        <w:rPr>
          <w:rFonts w:ascii="Times New Roman" w:hint="eastAsia"/>
          <w:kern w:val="0"/>
          <w:sz w:val="24"/>
          <w:szCs w:val="20"/>
        </w:rPr>
        <w:t>等三位客户存款余额折美元超过</w:t>
      </w:r>
      <w:r>
        <w:rPr>
          <w:rFonts w:ascii="Times New Roman" w:hAnsi="Times New Roman"/>
          <w:kern w:val="0"/>
          <w:sz w:val="24"/>
          <w:szCs w:val="20"/>
        </w:rPr>
        <w:t>50</w:t>
      </w:r>
      <w:r>
        <w:rPr>
          <w:rFonts w:ascii="Times New Roman" w:hint="eastAsia"/>
          <w:kern w:val="0"/>
          <w:sz w:val="24"/>
          <w:szCs w:val="20"/>
        </w:rPr>
        <w:t>万美元，应将其区分币种、国别后共汇总填报三笔数据：报送美元存款余额</w:t>
      </w:r>
      <w:r>
        <w:rPr>
          <w:rFonts w:ascii="Times New Roman" w:hAnsi="Times New Roman"/>
          <w:kern w:val="0"/>
          <w:sz w:val="24"/>
          <w:szCs w:val="20"/>
        </w:rPr>
        <w:t>100</w:t>
      </w:r>
      <w:r>
        <w:rPr>
          <w:rFonts w:ascii="Times New Roman" w:hint="eastAsia"/>
          <w:kern w:val="0"/>
          <w:sz w:val="24"/>
          <w:szCs w:val="20"/>
        </w:rPr>
        <w:t>万美元，债权人国别为美国；欧元存款余额</w:t>
      </w:r>
      <w:r>
        <w:rPr>
          <w:rFonts w:ascii="Times New Roman" w:hAnsi="Times New Roman"/>
          <w:kern w:val="0"/>
          <w:sz w:val="24"/>
          <w:szCs w:val="20"/>
        </w:rPr>
        <w:t>10</w:t>
      </w:r>
      <w:r>
        <w:rPr>
          <w:rFonts w:ascii="Times New Roman" w:hint="eastAsia"/>
          <w:kern w:val="0"/>
          <w:sz w:val="24"/>
          <w:szCs w:val="20"/>
        </w:rPr>
        <w:t>万欧元，债权人国别为美国；日元存款余额</w:t>
      </w:r>
      <w:r>
        <w:rPr>
          <w:rFonts w:ascii="Times New Roman" w:hAnsi="Times New Roman"/>
          <w:kern w:val="0"/>
          <w:sz w:val="24"/>
          <w:szCs w:val="20"/>
        </w:rPr>
        <w:t>6000</w:t>
      </w:r>
      <w:r>
        <w:rPr>
          <w:rFonts w:ascii="Times New Roman" w:hint="eastAsia"/>
          <w:kern w:val="0"/>
          <w:sz w:val="24"/>
          <w:szCs w:val="20"/>
        </w:rPr>
        <w:t>万日元，债权人国别为日本。</w:t>
      </w:r>
    </w:p>
    <w:p w14:paraId="25258F48" w14:textId="77777777" w:rsidR="00A052DC" w:rsidRDefault="009F0A60">
      <w:pPr>
        <w:spacing w:line="360" w:lineRule="auto"/>
        <w:ind w:firstLineChars="200" w:firstLine="480"/>
        <w:rPr>
          <w:rFonts w:ascii="Times New Roman" w:hAnsi="Times New Roman"/>
          <w:kern w:val="0"/>
          <w:sz w:val="24"/>
          <w:szCs w:val="20"/>
        </w:rPr>
      </w:pPr>
      <w:r>
        <w:rPr>
          <w:rFonts w:ascii="Times New Roman" w:hint="eastAsia"/>
          <w:kern w:val="0"/>
          <w:sz w:val="24"/>
          <w:szCs w:val="20"/>
        </w:rPr>
        <w:t>同时，</w:t>
      </w:r>
      <w:r>
        <w:rPr>
          <w:rFonts w:ascii="Times New Roman" w:hAnsi="Times New Roman"/>
          <w:kern w:val="0"/>
          <w:sz w:val="24"/>
          <w:szCs w:val="20"/>
        </w:rPr>
        <w:t>C</w:t>
      </w:r>
      <w:r>
        <w:rPr>
          <w:rFonts w:ascii="Times New Roman" w:hint="eastAsia"/>
          <w:kern w:val="0"/>
          <w:sz w:val="24"/>
          <w:szCs w:val="20"/>
        </w:rPr>
        <w:t>客户和</w:t>
      </w:r>
      <w:r>
        <w:rPr>
          <w:rFonts w:ascii="Times New Roman" w:hAnsi="Times New Roman"/>
          <w:kern w:val="0"/>
          <w:sz w:val="24"/>
          <w:szCs w:val="20"/>
        </w:rPr>
        <w:t>E</w:t>
      </w:r>
      <w:r>
        <w:rPr>
          <w:rFonts w:ascii="Times New Roman" w:hint="eastAsia"/>
          <w:kern w:val="0"/>
          <w:sz w:val="24"/>
          <w:szCs w:val="20"/>
        </w:rPr>
        <w:t>客户存款余额也应区分币种、国别后共汇总填报两笔填报：美元存款余额</w:t>
      </w:r>
      <w:r>
        <w:rPr>
          <w:rFonts w:ascii="Times New Roman" w:hAnsi="Times New Roman"/>
          <w:kern w:val="0"/>
          <w:sz w:val="24"/>
          <w:szCs w:val="20"/>
        </w:rPr>
        <w:t>30</w:t>
      </w:r>
      <w:r>
        <w:rPr>
          <w:rFonts w:ascii="Times New Roman" w:hint="eastAsia"/>
          <w:kern w:val="0"/>
          <w:sz w:val="24"/>
          <w:szCs w:val="20"/>
        </w:rPr>
        <w:t>万美元，债权人国别为新加坡；人民币存款余额</w:t>
      </w:r>
      <w:r>
        <w:rPr>
          <w:rFonts w:ascii="Times New Roman" w:hAnsi="Times New Roman"/>
          <w:kern w:val="0"/>
          <w:sz w:val="24"/>
          <w:szCs w:val="20"/>
        </w:rPr>
        <w:t>200</w:t>
      </w:r>
      <w:r>
        <w:rPr>
          <w:rFonts w:ascii="Times New Roman" w:hint="eastAsia"/>
          <w:kern w:val="0"/>
          <w:sz w:val="24"/>
          <w:szCs w:val="20"/>
        </w:rPr>
        <w:t>万人民币，债权人国别为新加坡。上述两笔数据应在</w:t>
      </w:r>
      <w:r>
        <w:rPr>
          <w:rFonts w:ascii="Times New Roman" w:hAnsi="Times New Roman"/>
          <w:kern w:val="0"/>
          <w:sz w:val="24"/>
          <w:szCs w:val="20"/>
        </w:rPr>
        <w:t>“</w:t>
      </w:r>
      <w:r>
        <w:rPr>
          <w:rFonts w:ascii="Times New Roman" w:hint="eastAsia"/>
          <w:kern w:val="0"/>
          <w:sz w:val="24"/>
          <w:szCs w:val="20"/>
        </w:rPr>
        <w:t>是否不纳入跨境融资风险加权余额计算</w:t>
      </w:r>
      <w:r>
        <w:rPr>
          <w:rFonts w:ascii="Times New Roman" w:hAnsi="Times New Roman"/>
          <w:kern w:val="0"/>
          <w:sz w:val="24"/>
          <w:szCs w:val="20"/>
        </w:rPr>
        <w:t>”</w:t>
      </w:r>
      <w:r>
        <w:rPr>
          <w:rFonts w:ascii="Times New Roman" w:hint="eastAsia"/>
          <w:kern w:val="0"/>
          <w:sz w:val="24"/>
          <w:szCs w:val="20"/>
        </w:rPr>
        <w:t>数据项中选择</w:t>
      </w:r>
      <w:r>
        <w:rPr>
          <w:rFonts w:ascii="Times New Roman" w:hAnsi="Times New Roman"/>
          <w:kern w:val="0"/>
          <w:sz w:val="24"/>
          <w:szCs w:val="20"/>
        </w:rPr>
        <w:t>“</w:t>
      </w:r>
      <w:r>
        <w:rPr>
          <w:rFonts w:ascii="Times New Roman" w:hint="eastAsia"/>
          <w:kern w:val="0"/>
          <w:sz w:val="24"/>
          <w:szCs w:val="20"/>
        </w:rPr>
        <w:t>是</w:t>
      </w:r>
      <w:r>
        <w:rPr>
          <w:rFonts w:ascii="Times New Roman" w:hAnsi="Times New Roman"/>
          <w:kern w:val="0"/>
          <w:sz w:val="24"/>
          <w:szCs w:val="20"/>
        </w:rPr>
        <w:t>”</w:t>
      </w:r>
      <w:r>
        <w:rPr>
          <w:rFonts w:ascii="Times New Roman" w:hint="eastAsia"/>
          <w:kern w:val="0"/>
          <w:sz w:val="24"/>
          <w:szCs w:val="20"/>
        </w:rPr>
        <w:t>。</w:t>
      </w:r>
    </w:p>
    <w:p w14:paraId="2CF6743B" w14:textId="77777777" w:rsidR="00A052DC" w:rsidRDefault="009F0A60">
      <w:pPr>
        <w:spacing w:line="360" w:lineRule="auto"/>
        <w:ind w:firstLineChars="200" w:firstLine="480"/>
        <w:rPr>
          <w:rFonts w:ascii="Times New Roman" w:hAnsi="Times New Roman"/>
          <w:kern w:val="0"/>
          <w:sz w:val="24"/>
          <w:szCs w:val="20"/>
        </w:rPr>
      </w:pPr>
      <w:r>
        <w:rPr>
          <w:rFonts w:ascii="Times New Roman" w:hint="eastAsia"/>
          <w:kern w:val="0"/>
          <w:sz w:val="24"/>
          <w:szCs w:val="20"/>
        </w:rPr>
        <w:t>（四）其他外债：指境内银行对非居民的、不能纳入贷款、债券或货币存款等债务类型的负债。一般情况下这种债务类型较少，主要是各类对外应付款、预收款或先收款，但不含贷款、债券或货币存款等债务产生的应付未付利息。其他外债数据实行每日逐笔报送。</w:t>
      </w:r>
    </w:p>
    <w:p w14:paraId="05D5C252" w14:textId="77777777" w:rsidR="00A052DC" w:rsidRDefault="009F0A60">
      <w:pPr>
        <w:spacing w:line="360" w:lineRule="auto"/>
        <w:ind w:firstLineChars="200" w:firstLine="480"/>
        <w:rPr>
          <w:rFonts w:ascii="Times New Roman" w:hAnsi="Times New Roman"/>
          <w:kern w:val="0"/>
          <w:sz w:val="24"/>
          <w:szCs w:val="20"/>
        </w:rPr>
      </w:pPr>
      <w:r>
        <w:rPr>
          <w:rFonts w:ascii="Times New Roman" w:hint="eastAsia"/>
          <w:kern w:val="0"/>
          <w:sz w:val="24"/>
          <w:szCs w:val="20"/>
        </w:rPr>
        <w:t>外债采集的信息包括外债的签约信息和变动信息。</w:t>
      </w:r>
    </w:p>
    <w:p w14:paraId="748C70D1" w14:textId="77777777" w:rsidR="00A052DC" w:rsidRDefault="009F0A60" w:rsidP="0020251D">
      <w:pPr>
        <w:pStyle w:val="3"/>
        <w:ind w:left="0"/>
        <w:rPr>
          <w:rFonts w:ascii="Times New Roman" w:hAnsi="Times New Roman"/>
        </w:rPr>
      </w:pPr>
      <w:bookmarkStart w:id="225" w:name="_Toc91455182"/>
      <w:bookmarkStart w:id="226" w:name="_Toc454386629"/>
      <w:bookmarkStart w:id="227" w:name="_Toc380356183"/>
      <w:bookmarkStart w:id="228" w:name="_Toc101684356"/>
      <w:r>
        <w:rPr>
          <w:rFonts w:ascii="Times New Roman" w:hint="eastAsia"/>
        </w:rPr>
        <w:t>对外担保</w:t>
      </w:r>
      <w:bookmarkEnd w:id="225"/>
      <w:bookmarkEnd w:id="226"/>
      <w:bookmarkEnd w:id="227"/>
      <w:bookmarkEnd w:id="228"/>
    </w:p>
    <w:p w14:paraId="4AD1087F" w14:textId="77777777" w:rsidR="00A052DC" w:rsidRDefault="009F0A60">
      <w:pPr>
        <w:spacing w:line="360" w:lineRule="auto"/>
        <w:ind w:firstLineChars="200" w:firstLine="480"/>
        <w:rPr>
          <w:rFonts w:ascii="Times New Roman" w:hAnsi="Times New Roman"/>
          <w:kern w:val="0"/>
          <w:sz w:val="24"/>
          <w:szCs w:val="20"/>
        </w:rPr>
      </w:pPr>
      <w:r>
        <w:rPr>
          <w:rFonts w:ascii="Times New Roman" w:hint="eastAsia"/>
          <w:kern w:val="0"/>
          <w:sz w:val="24"/>
          <w:szCs w:val="20"/>
        </w:rPr>
        <w:t>银行的对外担保是指境内银行（担保人）根据法律有关规定，以保证、抵押或者质押等形式，向境外机构（担保受益人）承诺，当债务人（境内外机构）未按照合同约定履行义务时，由担保人履行义务或者由受益人依照有关法律的规定，将抵押物、质物折价拍卖、变卖的价款优先受偿的行为。境内银行对外提供担保，如被担保人为境外机构、而担保受益人为境内机构，视同对外担保管理。</w:t>
      </w:r>
    </w:p>
    <w:p w14:paraId="503FD2AB" w14:textId="77777777" w:rsidR="00A052DC" w:rsidRDefault="009F0A60">
      <w:pPr>
        <w:spacing w:line="360" w:lineRule="auto"/>
        <w:ind w:firstLineChars="200" w:firstLine="480"/>
        <w:rPr>
          <w:rFonts w:ascii="Times New Roman" w:hAnsi="Times New Roman"/>
          <w:kern w:val="0"/>
          <w:sz w:val="24"/>
          <w:szCs w:val="20"/>
        </w:rPr>
      </w:pPr>
      <w:r>
        <w:rPr>
          <w:rFonts w:ascii="Times New Roman" w:hint="eastAsia"/>
          <w:kern w:val="0"/>
          <w:sz w:val="24"/>
          <w:szCs w:val="20"/>
        </w:rPr>
        <w:t>对外担保包括融资性对外担保和非融资性对外担保。融资性对外担保，是指担保项下主合同具有融资性质的对外担保，包括但不限于为借款、债券发行、融资租赁等提供的担保，以及国家外汇管理局认定的其他对外担保形式。非融资性对外担保，是指除融资性对外担保以外的其他形式的对外担保，包括但不限于质量担保、项目完工责任担保、招投标担保、预付款担保、延期付款担保、货物买卖合同下的履约责任担保以及国家外汇管理局认定的其他对外担保形式。</w:t>
      </w:r>
    </w:p>
    <w:p w14:paraId="3B81BE7E" w14:textId="77777777" w:rsidR="00A052DC" w:rsidRDefault="009F0A60">
      <w:pPr>
        <w:spacing w:line="360" w:lineRule="auto"/>
        <w:ind w:firstLineChars="200" w:firstLine="480"/>
        <w:rPr>
          <w:rFonts w:ascii="Times New Roman" w:hAnsi="Times New Roman"/>
          <w:kern w:val="0"/>
          <w:sz w:val="24"/>
          <w:szCs w:val="20"/>
        </w:rPr>
      </w:pPr>
      <w:r>
        <w:rPr>
          <w:rFonts w:ascii="Times New Roman" w:hint="eastAsia"/>
          <w:kern w:val="0"/>
          <w:sz w:val="24"/>
          <w:szCs w:val="20"/>
        </w:rPr>
        <w:t>对外担保采集的信息包括签约信息、责任余额信息以及履约信息。对外担保数据实行每日逐笔报送。</w:t>
      </w:r>
    </w:p>
    <w:p w14:paraId="7B75AF7A" w14:textId="77777777" w:rsidR="00A052DC" w:rsidRDefault="009F0A60" w:rsidP="0020251D">
      <w:pPr>
        <w:pStyle w:val="3"/>
        <w:ind w:left="0"/>
        <w:rPr>
          <w:rFonts w:ascii="Times New Roman" w:hAnsi="Times New Roman"/>
        </w:rPr>
      </w:pPr>
      <w:bookmarkStart w:id="229" w:name="_Toc91455183"/>
      <w:bookmarkStart w:id="230" w:name="_Toc454386630"/>
      <w:bookmarkStart w:id="231" w:name="_Toc380356184"/>
      <w:bookmarkStart w:id="232" w:name="_Toc101684357"/>
      <w:r>
        <w:rPr>
          <w:rFonts w:ascii="Times New Roman" w:hint="eastAsia"/>
        </w:rPr>
        <w:t>国内外汇贷款</w:t>
      </w:r>
      <w:bookmarkEnd w:id="229"/>
      <w:bookmarkEnd w:id="230"/>
      <w:bookmarkEnd w:id="231"/>
      <w:bookmarkEnd w:id="232"/>
    </w:p>
    <w:p w14:paraId="6CD9D500" w14:textId="77777777" w:rsidR="00A052DC" w:rsidRDefault="009F0A60">
      <w:pPr>
        <w:spacing w:line="360" w:lineRule="auto"/>
        <w:ind w:firstLineChars="200" w:firstLine="480"/>
        <w:rPr>
          <w:rFonts w:ascii="Times New Roman" w:hAnsi="Times New Roman"/>
          <w:kern w:val="0"/>
          <w:sz w:val="24"/>
          <w:szCs w:val="20"/>
        </w:rPr>
      </w:pPr>
      <w:r>
        <w:rPr>
          <w:rFonts w:ascii="Times New Roman" w:hint="eastAsia"/>
          <w:kern w:val="0"/>
          <w:sz w:val="24"/>
          <w:szCs w:val="20"/>
        </w:rPr>
        <w:t>国内外汇贷款是指境内银行对境内非金融机构发放的外汇贷款。外债转贷款纳入国内外汇贷款数据报送范围。</w:t>
      </w:r>
    </w:p>
    <w:p w14:paraId="7BCD6099" w14:textId="77777777" w:rsidR="00A052DC" w:rsidRDefault="009F0A60">
      <w:pPr>
        <w:spacing w:line="360" w:lineRule="auto"/>
        <w:ind w:firstLineChars="200" w:firstLine="480"/>
        <w:rPr>
          <w:rFonts w:ascii="Times New Roman"/>
          <w:kern w:val="0"/>
          <w:sz w:val="24"/>
          <w:szCs w:val="20"/>
        </w:rPr>
      </w:pPr>
      <w:r>
        <w:rPr>
          <w:rFonts w:ascii="Times New Roman" w:hint="eastAsia"/>
          <w:kern w:val="0"/>
          <w:sz w:val="24"/>
          <w:szCs w:val="20"/>
        </w:rPr>
        <w:t>国内外汇贷款采集的信息包括国内外汇贷款的签约信息和变动信息。国内外汇贷款数据实行每日逐笔报送。</w:t>
      </w:r>
    </w:p>
    <w:p w14:paraId="10FFDAAD"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hint="eastAsia"/>
          <w:kern w:val="0"/>
          <w:sz w:val="24"/>
          <w:szCs w:val="20"/>
        </w:rPr>
        <w:t>2014</w:t>
      </w:r>
      <w:r>
        <w:rPr>
          <w:rFonts w:ascii="Times New Roman" w:hAnsi="Times New Roman" w:hint="eastAsia"/>
          <w:kern w:val="0"/>
          <w:sz w:val="24"/>
          <w:szCs w:val="20"/>
        </w:rPr>
        <w:t>年外汇局发布《外债转贷款外汇管理规定》（汇发〔</w:t>
      </w:r>
      <w:r>
        <w:rPr>
          <w:rFonts w:ascii="Times New Roman" w:hAnsi="Times New Roman" w:hint="eastAsia"/>
          <w:kern w:val="0"/>
          <w:sz w:val="24"/>
          <w:szCs w:val="20"/>
        </w:rPr>
        <w:t>2014</w:t>
      </w:r>
      <w:r>
        <w:rPr>
          <w:rFonts w:ascii="Times New Roman" w:hAnsi="Times New Roman" w:hint="eastAsia"/>
          <w:kern w:val="0"/>
          <w:sz w:val="24"/>
          <w:szCs w:val="20"/>
        </w:rPr>
        <w:t>〕</w:t>
      </w:r>
      <w:r>
        <w:rPr>
          <w:rFonts w:ascii="Times New Roman" w:hAnsi="Times New Roman" w:hint="eastAsia"/>
          <w:kern w:val="0"/>
          <w:sz w:val="24"/>
          <w:szCs w:val="20"/>
        </w:rPr>
        <w:t>5</w:t>
      </w:r>
      <w:r>
        <w:rPr>
          <w:rFonts w:ascii="Times New Roman" w:hAnsi="Times New Roman" w:hint="eastAsia"/>
          <w:kern w:val="0"/>
          <w:sz w:val="24"/>
          <w:szCs w:val="20"/>
        </w:rPr>
        <w:t>号）规定，商业性转贷款是指境内金融机构经国家外债主管部门批准，将借用外债资金发放给国家外债主管部门指定的境内机构。未获取国家外债主管部门批文的，不是转贷给国家外债主管部门批准指定的境内机构，不属于《外债转贷款外汇管理规定》规定的商业性外债转贷款。贷款数据根据贷款资金用途报送在不同贷款类型项下，如流动性贷款或贸易融资贷款类型，不应报送在转贷款类型项下。</w:t>
      </w:r>
    </w:p>
    <w:p w14:paraId="4274D386" w14:textId="77777777" w:rsidR="00A052DC" w:rsidRDefault="009F0A60" w:rsidP="0020251D">
      <w:pPr>
        <w:pStyle w:val="3"/>
        <w:ind w:left="0"/>
        <w:rPr>
          <w:rFonts w:ascii="Times New Roman" w:hAnsi="Times New Roman"/>
        </w:rPr>
      </w:pPr>
      <w:bookmarkStart w:id="233" w:name="_Toc91455184"/>
      <w:bookmarkStart w:id="234" w:name="_Toc380356185"/>
      <w:bookmarkStart w:id="235" w:name="_Toc454386631"/>
      <w:bookmarkStart w:id="236" w:name="_Toc101684358"/>
      <w:r>
        <w:rPr>
          <w:rFonts w:ascii="Times New Roman" w:hint="eastAsia"/>
        </w:rPr>
        <w:t>外保内贷</w:t>
      </w:r>
      <w:bookmarkEnd w:id="233"/>
      <w:bookmarkEnd w:id="234"/>
      <w:bookmarkEnd w:id="235"/>
      <w:bookmarkEnd w:id="236"/>
    </w:p>
    <w:p w14:paraId="16E389C2" w14:textId="77777777" w:rsidR="00A052DC" w:rsidRDefault="009F0A60">
      <w:pPr>
        <w:spacing w:line="360" w:lineRule="auto"/>
        <w:ind w:firstLineChars="200" w:firstLine="480"/>
        <w:rPr>
          <w:rFonts w:ascii="Times New Roman" w:hAnsi="Times New Roman"/>
          <w:kern w:val="0"/>
          <w:sz w:val="24"/>
          <w:szCs w:val="20"/>
        </w:rPr>
      </w:pPr>
      <w:r>
        <w:rPr>
          <w:rFonts w:ascii="Times New Roman" w:hint="eastAsia"/>
          <w:kern w:val="0"/>
          <w:sz w:val="24"/>
          <w:szCs w:val="20"/>
        </w:rPr>
        <w:t>外保内贷是指境内机构接受非居民的担保从境内银行获得的贷款。</w:t>
      </w:r>
    </w:p>
    <w:p w14:paraId="3228954B" w14:textId="77777777" w:rsidR="00A052DC" w:rsidRDefault="009F0A60">
      <w:pPr>
        <w:spacing w:line="360" w:lineRule="auto"/>
        <w:ind w:firstLineChars="200" w:firstLine="480"/>
        <w:rPr>
          <w:rFonts w:ascii="Times New Roman" w:hAnsi="Times New Roman"/>
          <w:kern w:val="0"/>
          <w:sz w:val="24"/>
          <w:szCs w:val="20"/>
        </w:rPr>
      </w:pPr>
      <w:r>
        <w:rPr>
          <w:rFonts w:ascii="Times New Roman" w:hint="eastAsia"/>
          <w:kern w:val="0"/>
          <w:sz w:val="24"/>
          <w:szCs w:val="20"/>
        </w:rPr>
        <w:t>外保内贷采集的信息包括境外担保和境内贷款的签约信息和变动及履约信息。外保内贷实行每日逐笔报送。</w:t>
      </w:r>
    </w:p>
    <w:p w14:paraId="59F43277" w14:textId="77777777" w:rsidR="00A052DC" w:rsidRDefault="009F0A60" w:rsidP="0020251D">
      <w:pPr>
        <w:pStyle w:val="3"/>
        <w:ind w:left="0"/>
        <w:rPr>
          <w:rFonts w:ascii="Times New Roman" w:hAnsi="Times New Roman"/>
        </w:rPr>
      </w:pPr>
      <w:bookmarkStart w:id="237" w:name="_Toc91455185"/>
      <w:bookmarkStart w:id="238" w:name="_Toc454386632"/>
      <w:bookmarkStart w:id="239" w:name="_Toc380356186"/>
      <w:bookmarkStart w:id="240" w:name="_Toc101684359"/>
      <w:r>
        <w:rPr>
          <w:rFonts w:ascii="Times New Roman" w:hint="eastAsia"/>
        </w:rPr>
        <w:t>外汇质押人民币贷款</w:t>
      </w:r>
      <w:bookmarkEnd w:id="237"/>
      <w:bookmarkEnd w:id="238"/>
      <w:bookmarkEnd w:id="239"/>
      <w:bookmarkEnd w:id="240"/>
    </w:p>
    <w:p w14:paraId="0840DF5E" w14:textId="77777777" w:rsidR="00A052DC" w:rsidRDefault="009F0A60">
      <w:pPr>
        <w:spacing w:line="360" w:lineRule="auto"/>
        <w:ind w:firstLineChars="200" w:firstLine="480"/>
        <w:rPr>
          <w:rFonts w:ascii="Times New Roman" w:hAnsi="Times New Roman"/>
          <w:kern w:val="0"/>
          <w:sz w:val="24"/>
          <w:szCs w:val="20"/>
        </w:rPr>
      </w:pPr>
      <w:r>
        <w:rPr>
          <w:rFonts w:ascii="Times New Roman" w:hint="eastAsia"/>
          <w:kern w:val="0"/>
          <w:sz w:val="24"/>
          <w:szCs w:val="20"/>
        </w:rPr>
        <w:t>外汇质押人民币贷款是指境内银行接受境内企业（债务人）提供的外汇质押（质押外汇来源仅限于除出口收入待核查账户以外的经常项目外汇账户）向债务人发放的人民币贷款。</w:t>
      </w:r>
    </w:p>
    <w:p w14:paraId="3BC5CE59" w14:textId="77777777" w:rsidR="00A052DC" w:rsidRDefault="009F0A60">
      <w:pPr>
        <w:spacing w:line="360" w:lineRule="auto"/>
        <w:ind w:firstLineChars="200" w:firstLine="480"/>
        <w:rPr>
          <w:rFonts w:ascii="Times New Roman" w:hAnsi="Times New Roman"/>
          <w:kern w:val="0"/>
          <w:sz w:val="24"/>
          <w:szCs w:val="20"/>
        </w:rPr>
      </w:pPr>
      <w:r>
        <w:rPr>
          <w:rFonts w:ascii="Times New Roman" w:hint="eastAsia"/>
          <w:kern w:val="0"/>
          <w:sz w:val="24"/>
          <w:szCs w:val="20"/>
        </w:rPr>
        <w:t>外汇质押人民币贷款采集的信息包括外汇质押人民币贷款的签约信息和变动信息。外汇质押人民币贷款数据实行每月逐笔报送。</w:t>
      </w:r>
    </w:p>
    <w:p w14:paraId="2E8A04D3" w14:textId="77777777" w:rsidR="00A052DC" w:rsidRDefault="009F0A60" w:rsidP="0020251D">
      <w:pPr>
        <w:pStyle w:val="3"/>
        <w:ind w:left="0"/>
        <w:rPr>
          <w:rFonts w:ascii="Times New Roman" w:hAnsi="Times New Roman"/>
        </w:rPr>
      </w:pPr>
      <w:bookmarkStart w:id="241" w:name="_Toc380356187"/>
      <w:bookmarkStart w:id="242" w:name="_Toc454386633"/>
      <w:bookmarkStart w:id="243" w:name="_Toc91455186"/>
      <w:bookmarkStart w:id="244" w:name="_Toc101684360"/>
      <w:r>
        <w:rPr>
          <w:rFonts w:ascii="Times New Roman" w:hint="eastAsia"/>
        </w:rPr>
        <w:t>商业银行人民币结构性存款</w:t>
      </w:r>
      <w:bookmarkEnd w:id="241"/>
      <w:bookmarkEnd w:id="242"/>
      <w:bookmarkEnd w:id="243"/>
      <w:bookmarkEnd w:id="244"/>
    </w:p>
    <w:p w14:paraId="7FE7D9FB" w14:textId="77777777" w:rsidR="00A052DC" w:rsidRDefault="009F0A60">
      <w:pPr>
        <w:spacing w:line="360" w:lineRule="auto"/>
        <w:ind w:firstLineChars="200" w:firstLine="480"/>
        <w:rPr>
          <w:rFonts w:ascii="Times New Roman" w:hAnsi="Times New Roman"/>
          <w:kern w:val="0"/>
          <w:sz w:val="24"/>
          <w:szCs w:val="20"/>
        </w:rPr>
      </w:pPr>
      <w:r>
        <w:rPr>
          <w:rFonts w:ascii="Times New Roman" w:hint="eastAsia"/>
          <w:kern w:val="0"/>
          <w:sz w:val="24"/>
          <w:szCs w:val="20"/>
        </w:rPr>
        <w:t>商业银行人民币结构性存款是指银行（包括境内银行总行、分支行以及境外银行境内分支行）吸收的嵌入境外金融衍生工具并涉及跨境资金汇兑的存款，通过与境外的利率、汇率（不包括境外人民币汇率）、指数等的波动挂钩或与某实体的信用情况挂钩，使存款人在承担一定风险的基础上获得更高收益的本外币交叉类产品。</w:t>
      </w:r>
    </w:p>
    <w:p w14:paraId="7CA26F63" w14:textId="77777777" w:rsidR="00A052DC" w:rsidRDefault="009F0A60">
      <w:pPr>
        <w:spacing w:line="360" w:lineRule="auto"/>
        <w:ind w:firstLineChars="200" w:firstLine="480"/>
        <w:rPr>
          <w:rFonts w:ascii="Times New Roman" w:hAnsi="Times New Roman"/>
          <w:kern w:val="0"/>
          <w:sz w:val="24"/>
          <w:szCs w:val="20"/>
        </w:rPr>
      </w:pPr>
      <w:r>
        <w:rPr>
          <w:rFonts w:ascii="Times New Roman" w:hint="eastAsia"/>
          <w:kern w:val="0"/>
          <w:sz w:val="24"/>
          <w:szCs w:val="20"/>
        </w:rPr>
        <w:t>商业银行人民币结构型存款采集签约信息、终止情况信息、利息给付信息以及资金流出入和结购汇信息。商业银行人民币结构性存款数据实行每月逐笔报送。</w:t>
      </w:r>
    </w:p>
    <w:p w14:paraId="7E9816E2" w14:textId="77777777" w:rsidR="00A052DC" w:rsidRDefault="009F0A60" w:rsidP="0020251D">
      <w:pPr>
        <w:pStyle w:val="3"/>
        <w:ind w:left="0"/>
        <w:rPr>
          <w:rFonts w:ascii="Times New Roman" w:hAnsi="Times New Roman"/>
        </w:rPr>
      </w:pPr>
      <w:bookmarkStart w:id="245" w:name="_Toc380356188"/>
      <w:bookmarkStart w:id="246" w:name="_Toc91455187"/>
      <w:bookmarkStart w:id="247" w:name="_Toc454386634"/>
      <w:bookmarkStart w:id="248" w:name="_Toc101684361"/>
      <w:r>
        <w:rPr>
          <w:rFonts w:ascii="Times New Roman" w:hint="eastAsia"/>
        </w:rPr>
        <w:t>银行月度外汇资产负债信息</w:t>
      </w:r>
      <w:bookmarkEnd w:id="245"/>
      <w:bookmarkEnd w:id="246"/>
      <w:bookmarkEnd w:id="247"/>
      <w:bookmarkEnd w:id="248"/>
    </w:p>
    <w:p w14:paraId="2BB2C7ED" w14:textId="77777777" w:rsidR="00A052DC" w:rsidRDefault="009F0A60">
      <w:pPr>
        <w:spacing w:line="360" w:lineRule="auto"/>
        <w:ind w:firstLineChars="200" w:firstLine="480"/>
        <w:rPr>
          <w:rFonts w:ascii="Times New Roman" w:hAnsi="Times New Roman"/>
          <w:kern w:val="0"/>
          <w:sz w:val="24"/>
          <w:szCs w:val="20"/>
        </w:rPr>
      </w:pPr>
      <w:r>
        <w:rPr>
          <w:rFonts w:ascii="Times New Roman" w:hint="eastAsia"/>
          <w:kern w:val="0"/>
          <w:sz w:val="24"/>
          <w:szCs w:val="20"/>
        </w:rPr>
        <w:t>银行的月度外汇资产负债信息，具体内容见中国人民银行发布的金融机构资产负债项目月报（外币）和外资银行资产负债项目月报（外币）。银行月度外汇资产负债信息实行按月报送。</w:t>
      </w:r>
    </w:p>
    <w:p w14:paraId="04AC9143" w14:textId="77777777" w:rsidR="00A052DC" w:rsidRDefault="009F0A60" w:rsidP="0020251D">
      <w:pPr>
        <w:pStyle w:val="2"/>
        <w:rPr>
          <w:rFonts w:ascii="Times New Roman" w:hAnsi="Times New Roman"/>
        </w:rPr>
      </w:pPr>
      <w:bookmarkStart w:id="249" w:name="_Toc91455188"/>
      <w:bookmarkStart w:id="250" w:name="_Toc380356189"/>
      <w:bookmarkStart w:id="251" w:name="_Toc454386635"/>
      <w:bookmarkStart w:id="252" w:name="_Toc101684362"/>
      <w:r>
        <w:rPr>
          <w:rFonts w:ascii="Times New Roman" w:hint="eastAsia"/>
        </w:rPr>
        <w:t>银行资本项目代客业务数据</w:t>
      </w:r>
      <w:bookmarkEnd w:id="249"/>
      <w:bookmarkEnd w:id="250"/>
      <w:bookmarkEnd w:id="251"/>
      <w:bookmarkEnd w:id="252"/>
    </w:p>
    <w:p w14:paraId="6B4D79B9" w14:textId="77777777" w:rsidR="00A052DC" w:rsidRDefault="009F0A60" w:rsidP="0020251D">
      <w:pPr>
        <w:pStyle w:val="3"/>
        <w:ind w:left="0"/>
        <w:rPr>
          <w:rFonts w:ascii="Times New Roman" w:hAnsi="Times New Roman"/>
        </w:rPr>
      </w:pPr>
      <w:bookmarkStart w:id="253" w:name="_Toc454378041"/>
      <w:bookmarkStart w:id="254" w:name="_Toc454386636"/>
      <w:bookmarkStart w:id="255" w:name="_Toc454394965"/>
      <w:bookmarkStart w:id="256" w:name="_Toc454454741"/>
      <w:bookmarkStart w:id="257" w:name="_Toc452552902"/>
      <w:bookmarkStart w:id="258" w:name="_Toc455167585"/>
      <w:bookmarkStart w:id="259" w:name="_Toc449104578"/>
      <w:bookmarkStart w:id="260" w:name="_Toc455163860"/>
      <w:bookmarkStart w:id="261" w:name="_Toc454780043"/>
      <w:bookmarkStart w:id="262" w:name="_Toc454464665"/>
      <w:bookmarkStart w:id="263" w:name="_Toc449104581"/>
      <w:bookmarkStart w:id="264" w:name="_Toc454454749"/>
      <w:bookmarkStart w:id="265" w:name="_Toc454281173"/>
      <w:bookmarkStart w:id="266" w:name="_Toc455152684"/>
      <w:bookmarkStart w:id="267" w:name="_Toc454464666"/>
      <w:bookmarkStart w:id="268" w:name="_Toc455156412"/>
      <w:bookmarkStart w:id="269" w:name="_Toc454780042"/>
      <w:bookmarkStart w:id="270" w:name="_Toc454378049"/>
      <w:bookmarkStart w:id="271" w:name="_Toc455163863"/>
      <w:bookmarkStart w:id="272" w:name="_Toc452557586"/>
      <w:bookmarkStart w:id="273" w:name="_Toc455156413"/>
      <w:bookmarkStart w:id="274" w:name="_Toc455167587"/>
      <w:bookmarkStart w:id="275" w:name="_Toc454378048"/>
      <w:bookmarkStart w:id="276" w:name="_Toc455163862"/>
      <w:bookmarkStart w:id="277" w:name="_Toc455156411"/>
      <w:bookmarkStart w:id="278" w:name="_Toc449104580"/>
      <w:bookmarkStart w:id="279" w:name="_Toc454464664"/>
      <w:bookmarkStart w:id="280" w:name="_Toc455167589"/>
      <w:bookmarkStart w:id="281" w:name="_Toc455152683"/>
      <w:bookmarkStart w:id="282" w:name="_Toc454271527"/>
      <w:bookmarkStart w:id="283" w:name="_Toc454454747"/>
      <w:bookmarkStart w:id="284" w:name="_Toc454281171"/>
      <w:bookmarkStart w:id="285" w:name="_Toc454271525"/>
      <w:bookmarkStart w:id="286" w:name="_Toc454271526"/>
      <w:bookmarkStart w:id="287" w:name="_Toc452557584"/>
      <w:bookmarkStart w:id="288" w:name="_Toc452552904"/>
      <w:bookmarkStart w:id="289" w:name="_Toc454281172"/>
      <w:bookmarkStart w:id="290" w:name="_Toc455167588"/>
      <w:bookmarkStart w:id="291" w:name="_Toc452557585"/>
      <w:bookmarkStart w:id="292" w:name="_Toc452552905"/>
      <w:bookmarkStart w:id="293" w:name="_Toc454780040"/>
      <w:bookmarkStart w:id="294" w:name="_Toc454394972"/>
      <w:bookmarkStart w:id="295" w:name="_Toc449104579"/>
      <w:bookmarkStart w:id="296" w:name="_Toc454386643"/>
      <w:bookmarkStart w:id="297" w:name="_Toc452552903"/>
      <w:bookmarkStart w:id="298" w:name="_Toc454386642"/>
      <w:bookmarkStart w:id="299" w:name="_Toc455152682"/>
      <w:bookmarkStart w:id="300" w:name="_Toc454780041"/>
      <w:bookmarkStart w:id="301" w:name="_Toc455167586"/>
      <w:bookmarkStart w:id="302" w:name="_Toc455163861"/>
      <w:bookmarkStart w:id="303" w:name="_Toc454378047"/>
      <w:bookmarkStart w:id="304" w:name="_Toc455156410"/>
      <w:bookmarkStart w:id="305" w:name="_Toc454454748"/>
      <w:bookmarkStart w:id="306" w:name="_Toc454394973"/>
      <w:bookmarkStart w:id="307" w:name="_Toc455163864"/>
      <w:bookmarkStart w:id="308" w:name="_Toc454394971"/>
      <w:bookmarkStart w:id="309" w:name="_Toc455152685"/>
      <w:bookmarkStart w:id="310" w:name="_Toc454386644"/>
      <w:bookmarkStart w:id="311" w:name="_Toc454464663"/>
      <w:bookmarkStart w:id="312" w:name="_Toc454464662"/>
      <w:bookmarkStart w:id="313" w:name="_Toc452557582"/>
      <w:bookmarkStart w:id="314" w:name="_Toc455163856"/>
      <w:bookmarkStart w:id="315" w:name="_Toc454394967"/>
      <w:bookmarkStart w:id="316" w:name="_Toc449104577"/>
      <w:bookmarkStart w:id="317" w:name="_Toc455152681"/>
      <w:bookmarkStart w:id="318" w:name="_Toc454271522"/>
      <w:bookmarkStart w:id="319" w:name="_Toc454464661"/>
      <w:bookmarkStart w:id="320" w:name="_Toc455156405"/>
      <w:bookmarkStart w:id="321" w:name="_Toc454780039"/>
      <w:bookmarkStart w:id="322" w:name="_Toc452552900"/>
      <w:bookmarkStart w:id="323" w:name="_Toc455167584"/>
      <w:bookmarkStart w:id="324" w:name="_Toc455152680"/>
      <w:bookmarkStart w:id="325" w:name="_Toc449104575"/>
      <w:bookmarkStart w:id="326" w:name="_Toc454780035"/>
      <w:bookmarkStart w:id="327" w:name="_Toc454386637"/>
      <w:bookmarkStart w:id="328" w:name="_Toc454281167"/>
      <w:bookmarkStart w:id="329" w:name="_Toc454394968"/>
      <w:bookmarkStart w:id="330" w:name="_Toc454394966"/>
      <w:bookmarkStart w:id="331" w:name="_Toc455152679"/>
      <w:bookmarkStart w:id="332" w:name="_Toc454394969"/>
      <w:bookmarkStart w:id="333" w:name="_Toc454281169"/>
      <w:bookmarkStart w:id="334" w:name="_Toc455152678"/>
      <w:bookmarkStart w:id="335" w:name="_Toc449104574"/>
      <w:bookmarkStart w:id="336" w:name="_Toc454271520"/>
      <w:bookmarkStart w:id="337" w:name="_Toc454281165"/>
      <w:bookmarkStart w:id="338" w:name="_Toc452552899"/>
      <w:bookmarkStart w:id="339" w:name="_Toc454378045"/>
      <w:bookmarkStart w:id="340" w:name="_Toc452557578"/>
      <w:bookmarkStart w:id="341" w:name="_Toc454386639"/>
      <w:bookmarkStart w:id="342" w:name="_Toc454271519"/>
      <w:bookmarkStart w:id="343" w:name="_Toc455163857"/>
      <w:bookmarkStart w:id="344" w:name="_Toc454464658"/>
      <w:bookmarkStart w:id="345" w:name="_Toc455156406"/>
      <w:bookmarkStart w:id="346" w:name="_Toc455167582"/>
      <w:bookmarkStart w:id="347" w:name="_Toc454780036"/>
      <w:bookmarkStart w:id="348" w:name="_Toc454780038"/>
      <w:bookmarkStart w:id="349" w:name="_Toc454281168"/>
      <w:bookmarkStart w:id="350" w:name="_Toc455156407"/>
      <w:bookmarkStart w:id="351" w:name="_Toc452552897"/>
      <w:bookmarkStart w:id="352" w:name="_Toc452552898"/>
      <w:bookmarkStart w:id="353" w:name="_Toc454386638"/>
      <w:bookmarkStart w:id="354" w:name="_Toc452557579"/>
      <w:bookmarkStart w:id="355" w:name="_Toc454281170"/>
      <w:bookmarkStart w:id="356" w:name="_Toc454281166"/>
      <w:bookmarkStart w:id="357" w:name="_Toc454464659"/>
      <w:bookmarkStart w:id="358" w:name="_Toc454454742"/>
      <w:bookmarkStart w:id="359" w:name="_Toc454394970"/>
      <w:bookmarkStart w:id="360" w:name="_Toc449104573"/>
      <w:bookmarkStart w:id="361" w:name="_Toc455167581"/>
      <w:bookmarkStart w:id="362" w:name="_Toc454454744"/>
      <w:bookmarkStart w:id="363" w:name="_Toc454386640"/>
      <w:bookmarkStart w:id="364" w:name="_Toc455163858"/>
      <w:bookmarkStart w:id="365" w:name="_Toc455156408"/>
      <w:bookmarkStart w:id="366" w:name="_Toc454271521"/>
      <w:bookmarkStart w:id="367" w:name="_Toc454464660"/>
      <w:bookmarkStart w:id="368" w:name="_Toc452552901"/>
      <w:bookmarkStart w:id="369" w:name="_Toc454454745"/>
      <w:bookmarkStart w:id="370" w:name="_Toc454780037"/>
      <w:bookmarkStart w:id="371" w:name="_Toc454378044"/>
      <w:bookmarkStart w:id="372" w:name="_Toc454378042"/>
      <w:bookmarkStart w:id="373" w:name="_Toc452557583"/>
      <w:bookmarkStart w:id="374" w:name="_Toc455152677"/>
      <w:bookmarkStart w:id="375" w:name="_Toc454271523"/>
      <w:bookmarkStart w:id="376" w:name="_Toc454454743"/>
      <w:bookmarkStart w:id="377" w:name="_Toc452557581"/>
      <w:bookmarkStart w:id="378" w:name="_Toc454386641"/>
      <w:bookmarkStart w:id="379" w:name="_Toc455163859"/>
      <w:bookmarkStart w:id="380" w:name="_Toc455156409"/>
      <w:bookmarkStart w:id="381" w:name="_Toc454378043"/>
      <w:bookmarkStart w:id="382" w:name="_Toc455167583"/>
      <w:bookmarkStart w:id="383" w:name="_Toc449104576"/>
      <w:bookmarkStart w:id="384" w:name="_Toc452557580"/>
      <w:bookmarkStart w:id="385" w:name="_Toc454454746"/>
      <w:bookmarkStart w:id="386" w:name="_Toc454378046"/>
      <w:bookmarkStart w:id="387" w:name="_Toc454271524"/>
      <w:bookmarkStart w:id="388" w:name="_Toc380356193"/>
      <w:bookmarkStart w:id="389" w:name="_Toc91455189"/>
      <w:bookmarkStart w:id="390" w:name="_Toc454386645"/>
      <w:bookmarkStart w:id="391" w:name="_Toc101684363"/>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r>
        <w:rPr>
          <w:rFonts w:ascii="Times New Roman" w:hint="eastAsia"/>
        </w:rPr>
        <w:t>境内个人参与境外上市公司股权激励计划</w:t>
      </w:r>
      <w:bookmarkEnd w:id="388"/>
      <w:bookmarkEnd w:id="389"/>
      <w:bookmarkEnd w:id="390"/>
      <w:bookmarkEnd w:id="391"/>
    </w:p>
    <w:p w14:paraId="1643ABDD" w14:textId="77777777" w:rsidR="00A052DC" w:rsidRDefault="009F0A60">
      <w:pPr>
        <w:spacing w:line="360" w:lineRule="auto"/>
        <w:ind w:firstLineChars="200" w:firstLine="480"/>
        <w:rPr>
          <w:rFonts w:ascii="Times New Roman" w:hAnsi="Times New Roman"/>
          <w:kern w:val="0"/>
          <w:sz w:val="24"/>
          <w:szCs w:val="20"/>
        </w:rPr>
      </w:pPr>
      <w:r>
        <w:rPr>
          <w:rFonts w:ascii="Times New Roman" w:hint="eastAsia"/>
          <w:kern w:val="0"/>
          <w:sz w:val="24"/>
          <w:szCs w:val="20"/>
        </w:rPr>
        <w:t>境内个人参与境外上市公司股权激励计划是指符合《中华人民共和国外汇管理条例》第五十二条规定的境内公司董事、监事、高级管理人员及其他员工参与境外上市公司以本公司股票为标的，对境内公司的董事、监事、高级管理人员、其他员工等与公司具有雇佣或劳务关系的个人进行权益激励计划，包括员工持股计划、股票期权计划等法律、法规允许的股权激励方式。</w:t>
      </w:r>
    </w:p>
    <w:p w14:paraId="3D25084A" w14:textId="77777777" w:rsidR="00A052DC" w:rsidRDefault="009F0A60">
      <w:pPr>
        <w:spacing w:line="360" w:lineRule="auto"/>
        <w:ind w:firstLineChars="200" w:firstLine="480"/>
        <w:rPr>
          <w:rFonts w:ascii="Times New Roman" w:hAnsi="Times New Roman"/>
          <w:kern w:val="0"/>
          <w:sz w:val="24"/>
          <w:szCs w:val="20"/>
        </w:rPr>
      </w:pPr>
      <w:r>
        <w:rPr>
          <w:rFonts w:ascii="Times New Roman" w:hint="eastAsia"/>
          <w:kern w:val="0"/>
          <w:sz w:val="24"/>
          <w:szCs w:val="20"/>
        </w:rPr>
        <w:t>为上述股权激励计划开立境内专用外汇账户的银行应报送有关的境内专用外汇账户关户资金处置信息及境内专用外汇账户收支信息。境内个人参与境外上市公司股权激励计划数据实行按月报送。</w:t>
      </w:r>
    </w:p>
    <w:p w14:paraId="50BBD1E7" w14:textId="77777777" w:rsidR="00A052DC" w:rsidRDefault="009F0A60" w:rsidP="0020251D">
      <w:pPr>
        <w:pStyle w:val="2"/>
        <w:rPr>
          <w:rFonts w:ascii="Times New Roman" w:hAnsi="Times New Roman"/>
        </w:rPr>
      </w:pPr>
      <w:bookmarkStart w:id="392" w:name="_Toc380356194"/>
      <w:bookmarkStart w:id="393" w:name="_Toc380570599"/>
      <w:bookmarkStart w:id="394" w:name="_Toc91455190"/>
      <w:bookmarkStart w:id="395" w:name="_Toc454386646"/>
      <w:bookmarkStart w:id="396" w:name="_Toc101684364"/>
      <w:bookmarkStart w:id="397" w:name="_Toc380356195"/>
      <w:r>
        <w:rPr>
          <w:rFonts w:ascii="Times New Roman" w:hint="eastAsia"/>
        </w:rPr>
        <w:t>对外金融资产负债及交易统计数据</w:t>
      </w:r>
      <w:bookmarkEnd w:id="392"/>
      <w:bookmarkEnd w:id="393"/>
      <w:bookmarkEnd w:id="394"/>
      <w:bookmarkEnd w:id="395"/>
      <w:bookmarkEnd w:id="396"/>
    </w:p>
    <w:p w14:paraId="50706EA6" w14:textId="77777777" w:rsidR="00A052DC" w:rsidRDefault="009F0A60" w:rsidP="0020251D">
      <w:pPr>
        <w:pStyle w:val="3"/>
        <w:ind w:left="0"/>
        <w:rPr>
          <w:szCs w:val="28"/>
        </w:rPr>
      </w:pPr>
      <w:bookmarkStart w:id="398" w:name="_Toc91455191"/>
      <w:bookmarkStart w:id="399" w:name="_Toc454386647"/>
      <w:bookmarkStart w:id="400" w:name="_Toc101684365"/>
      <w:r>
        <w:rPr>
          <w:rFonts w:hint="eastAsia"/>
        </w:rPr>
        <w:t>数据采集范围</w:t>
      </w:r>
      <w:bookmarkEnd w:id="398"/>
      <w:bookmarkEnd w:id="399"/>
      <w:bookmarkEnd w:id="400"/>
    </w:p>
    <w:p w14:paraId="0451A715" w14:textId="77777777" w:rsidR="00A052DC" w:rsidRPr="007C7B79" w:rsidRDefault="00A412F6">
      <w:pPr>
        <w:spacing w:line="360" w:lineRule="auto"/>
        <w:ind w:firstLineChars="200" w:firstLine="480"/>
        <w:rPr>
          <w:rFonts w:ascii="Times New Roman" w:hAnsi="Times New Roman"/>
          <w:sz w:val="24"/>
          <w:szCs w:val="24"/>
        </w:rPr>
      </w:pPr>
      <w:r w:rsidRPr="00A412F6">
        <w:rPr>
          <w:rFonts w:ascii="Times New Roman" w:hAnsi="宋体" w:hint="eastAsia"/>
          <w:sz w:val="24"/>
          <w:szCs w:val="24"/>
        </w:rPr>
        <w:t>本规范采集中国居民与非中国居民之间各项国际收支交易的流量以及对外金融资产和负债的存量状况。其中，国际收支交易是中国居民与非中国居民之间的各项交易，包括货物买卖、服务贸易、雇员报酬、股息利息收支、无偿捐赠以及赔偿，直接投资、证券投资、金融衍生产品以及存贷款等其他投资交易。对外金融资产是指中国居民对非中国居民拥有的金融资产，包括对外直接投资、证券投资、金融衍生产品投资、存款、发放贷款及各类应收款等。对外负债是指中国居民对非中国居民承担的负债，包括吸收直接投资、发行有价证券、金融衍生产品投资、吸收存款、接受贷款及各类应付款等。目前，本规范的申报主体为中国境内金融机构、境外金融机构在中国境内的主报告分机构、境内登记结算类机构或资金监控机构、银行卡组织、境外上市的境内非金融企业、持有境外股权的指定申报主体（含个人和机构）以及境内重点非金融企业等其他指定申报主体。金融机构包括主营业务为《对外金融资产负债及交易统计制度》（汇发〔</w:t>
      </w:r>
      <w:r w:rsidRPr="00A412F6">
        <w:rPr>
          <w:rFonts w:ascii="Times New Roman" w:hAnsi="Times New Roman"/>
          <w:sz w:val="24"/>
          <w:szCs w:val="24"/>
        </w:rPr>
        <w:t>2021</w:t>
      </w:r>
      <w:r w:rsidRPr="00A412F6">
        <w:rPr>
          <w:rFonts w:ascii="Times New Roman" w:hAnsi="宋体" w:hint="eastAsia"/>
          <w:sz w:val="24"/>
          <w:szCs w:val="24"/>
        </w:rPr>
        <w:t>〕</w:t>
      </w:r>
      <w:r w:rsidRPr="00A412F6">
        <w:rPr>
          <w:rFonts w:ascii="Times New Roman" w:hAnsi="Times New Roman"/>
          <w:sz w:val="24"/>
          <w:szCs w:val="24"/>
        </w:rPr>
        <w:t>36</w:t>
      </w:r>
      <w:r w:rsidRPr="00A412F6">
        <w:rPr>
          <w:rFonts w:ascii="Times New Roman" w:hAnsi="宋体" w:hint="eastAsia"/>
          <w:sz w:val="24"/>
          <w:szCs w:val="24"/>
        </w:rPr>
        <w:t>号文印发）附录</w:t>
      </w:r>
      <w:r w:rsidRPr="00A412F6">
        <w:rPr>
          <w:rFonts w:ascii="Times New Roman" w:hAnsi="Times New Roman" w:hint="eastAsia"/>
          <w:sz w:val="24"/>
          <w:szCs w:val="24"/>
        </w:rPr>
        <w:t>“</w:t>
      </w:r>
      <w:r w:rsidRPr="00A412F6">
        <w:rPr>
          <w:rFonts w:ascii="Times New Roman" w:hAnsi="宋体" w:hint="eastAsia"/>
          <w:sz w:val="24"/>
          <w:szCs w:val="24"/>
        </w:rPr>
        <w:t>（二）金融业代码表</w:t>
      </w:r>
      <w:r w:rsidRPr="00A412F6">
        <w:rPr>
          <w:rFonts w:ascii="Times New Roman" w:hAnsi="Times New Roman" w:hint="eastAsia"/>
          <w:sz w:val="24"/>
          <w:szCs w:val="24"/>
        </w:rPr>
        <w:t>”</w:t>
      </w:r>
      <w:r w:rsidRPr="00A412F6">
        <w:rPr>
          <w:rFonts w:ascii="Times New Roman" w:hAnsi="宋体" w:hint="eastAsia"/>
          <w:sz w:val="24"/>
          <w:szCs w:val="24"/>
        </w:rPr>
        <w:t>所列金融业务的境内法人和非法人实体。</w:t>
      </w:r>
    </w:p>
    <w:p w14:paraId="4B837CC3" w14:textId="77777777" w:rsidR="00A052DC" w:rsidRPr="007C7B79" w:rsidRDefault="00A412F6">
      <w:pPr>
        <w:spacing w:line="360" w:lineRule="auto"/>
        <w:ind w:firstLineChars="200" w:firstLine="480"/>
        <w:rPr>
          <w:rFonts w:ascii="Times New Roman" w:hAnsi="Times New Roman"/>
          <w:sz w:val="24"/>
          <w:szCs w:val="24"/>
        </w:rPr>
      </w:pPr>
      <w:r w:rsidRPr="00A412F6">
        <w:rPr>
          <w:rFonts w:ascii="Times New Roman" w:hAnsi="宋体" w:hint="eastAsia"/>
          <w:sz w:val="24"/>
          <w:szCs w:val="24"/>
        </w:rPr>
        <w:t>数据采集的内容包括十一部分：（</w:t>
      </w:r>
      <w:r w:rsidRPr="00A412F6">
        <w:rPr>
          <w:rFonts w:ascii="Times New Roman" w:hAnsi="Times New Roman"/>
          <w:sz w:val="24"/>
          <w:szCs w:val="24"/>
        </w:rPr>
        <w:t>1</w:t>
      </w:r>
      <w:r w:rsidRPr="00A412F6">
        <w:rPr>
          <w:rFonts w:ascii="Times New Roman" w:hAnsi="宋体"/>
          <w:sz w:val="24"/>
          <w:szCs w:val="24"/>
        </w:rPr>
        <w:t>）申报主体基本</w:t>
      </w:r>
      <w:r w:rsidRPr="00A412F6">
        <w:rPr>
          <w:rFonts w:ascii="Times New Roman" w:hAnsi="宋体" w:hint="eastAsia"/>
          <w:sz w:val="24"/>
          <w:szCs w:val="24"/>
        </w:rPr>
        <w:t>信息</w:t>
      </w:r>
      <w:r w:rsidRPr="00A412F6">
        <w:rPr>
          <w:rFonts w:ascii="Times New Roman" w:hAnsi="宋体"/>
          <w:sz w:val="24"/>
          <w:szCs w:val="24"/>
        </w:rPr>
        <w:t>；（</w:t>
      </w:r>
      <w:r w:rsidRPr="00A412F6">
        <w:rPr>
          <w:rFonts w:ascii="Times New Roman" w:hAnsi="Times New Roman"/>
          <w:sz w:val="24"/>
          <w:szCs w:val="24"/>
        </w:rPr>
        <w:t>2</w:t>
      </w:r>
      <w:r w:rsidRPr="00A412F6">
        <w:rPr>
          <w:rFonts w:ascii="Times New Roman" w:hAnsi="宋体"/>
          <w:sz w:val="24"/>
          <w:szCs w:val="24"/>
        </w:rPr>
        <w:t>）直接投资；（</w:t>
      </w:r>
      <w:r w:rsidRPr="00A412F6">
        <w:rPr>
          <w:rFonts w:ascii="Times New Roman" w:hAnsi="Times New Roman"/>
          <w:sz w:val="24"/>
          <w:szCs w:val="24"/>
        </w:rPr>
        <w:t>3</w:t>
      </w:r>
      <w:r w:rsidRPr="00A412F6">
        <w:rPr>
          <w:rFonts w:ascii="Times New Roman" w:hAnsi="宋体"/>
          <w:sz w:val="24"/>
          <w:szCs w:val="24"/>
        </w:rPr>
        <w:t>）</w:t>
      </w:r>
      <w:r w:rsidRPr="00A412F6">
        <w:rPr>
          <w:rFonts w:ascii="Times New Roman" w:hAnsi="宋体" w:hint="eastAsia"/>
          <w:sz w:val="24"/>
          <w:szCs w:val="24"/>
        </w:rPr>
        <w:t>证券投资</w:t>
      </w:r>
      <w:r w:rsidRPr="00A412F6">
        <w:rPr>
          <w:rFonts w:ascii="Times New Roman" w:hAnsi="宋体"/>
          <w:sz w:val="24"/>
          <w:szCs w:val="24"/>
        </w:rPr>
        <w:t>；（</w:t>
      </w:r>
      <w:r w:rsidRPr="00A412F6">
        <w:rPr>
          <w:rFonts w:ascii="Times New Roman" w:hAnsi="Times New Roman"/>
          <w:sz w:val="24"/>
          <w:szCs w:val="24"/>
        </w:rPr>
        <w:t>4</w:t>
      </w:r>
      <w:r w:rsidRPr="00A412F6">
        <w:rPr>
          <w:rFonts w:ascii="Times New Roman" w:hAnsi="宋体"/>
          <w:sz w:val="24"/>
          <w:szCs w:val="24"/>
        </w:rPr>
        <w:t>）金融衍生产品及雇员认股权；（</w:t>
      </w:r>
      <w:r w:rsidRPr="00A412F6">
        <w:rPr>
          <w:rFonts w:ascii="Times New Roman" w:hAnsi="Times New Roman"/>
          <w:sz w:val="24"/>
          <w:szCs w:val="24"/>
        </w:rPr>
        <w:t>5</w:t>
      </w:r>
      <w:r w:rsidRPr="00A412F6">
        <w:rPr>
          <w:rFonts w:ascii="Times New Roman" w:hAnsi="宋体"/>
          <w:sz w:val="24"/>
          <w:szCs w:val="24"/>
        </w:rPr>
        <w:t>）存贷款、应收应付款及非公司制机构股权等其他投资；（</w:t>
      </w:r>
      <w:r w:rsidRPr="00A412F6">
        <w:rPr>
          <w:rFonts w:ascii="Times New Roman" w:hAnsi="Times New Roman"/>
          <w:sz w:val="24"/>
          <w:szCs w:val="24"/>
        </w:rPr>
        <w:t>6</w:t>
      </w:r>
      <w:r w:rsidRPr="00A412F6">
        <w:rPr>
          <w:rFonts w:ascii="Times New Roman" w:hAnsi="宋体"/>
          <w:sz w:val="24"/>
          <w:szCs w:val="24"/>
        </w:rPr>
        <w:t>）</w:t>
      </w:r>
      <w:r w:rsidRPr="00A412F6">
        <w:rPr>
          <w:rFonts w:ascii="Times New Roman" w:hAnsi="宋体" w:hint="eastAsia"/>
          <w:sz w:val="24"/>
          <w:szCs w:val="24"/>
        </w:rPr>
        <w:t>经常账户和资本账户相关业务</w:t>
      </w:r>
      <w:r w:rsidRPr="00A412F6">
        <w:rPr>
          <w:rFonts w:ascii="Times New Roman" w:hAnsi="宋体"/>
          <w:sz w:val="24"/>
          <w:szCs w:val="24"/>
        </w:rPr>
        <w:t>；（</w:t>
      </w:r>
      <w:r w:rsidRPr="00A412F6">
        <w:rPr>
          <w:rFonts w:ascii="Times New Roman" w:hAnsi="Times New Roman"/>
          <w:sz w:val="24"/>
          <w:szCs w:val="24"/>
        </w:rPr>
        <w:t>7</w:t>
      </w:r>
      <w:r w:rsidRPr="00A412F6">
        <w:rPr>
          <w:rFonts w:ascii="Times New Roman" w:hAnsi="宋体"/>
          <w:sz w:val="24"/>
          <w:szCs w:val="24"/>
        </w:rPr>
        <w:t>）与进出口票据、单证有关业务；（</w:t>
      </w:r>
      <w:r w:rsidRPr="00A412F6">
        <w:rPr>
          <w:rFonts w:ascii="Times New Roman" w:hAnsi="Times New Roman"/>
          <w:sz w:val="24"/>
          <w:szCs w:val="24"/>
        </w:rPr>
        <w:t>8</w:t>
      </w:r>
      <w:r w:rsidRPr="00A412F6">
        <w:rPr>
          <w:rFonts w:ascii="Times New Roman" w:hAnsi="宋体"/>
          <w:sz w:val="24"/>
          <w:szCs w:val="24"/>
        </w:rPr>
        <w:t>）涉外银行卡相关统计；（</w:t>
      </w:r>
      <w:r w:rsidRPr="00A412F6">
        <w:rPr>
          <w:rFonts w:ascii="Times New Roman" w:hAnsi="Times New Roman"/>
          <w:sz w:val="24"/>
          <w:szCs w:val="24"/>
        </w:rPr>
        <w:t>9</w:t>
      </w:r>
      <w:r w:rsidRPr="00A412F6">
        <w:rPr>
          <w:rFonts w:ascii="Times New Roman" w:hAnsi="宋体"/>
          <w:sz w:val="24"/>
          <w:szCs w:val="24"/>
        </w:rPr>
        <w:t>）涉外托管业务；（</w:t>
      </w:r>
      <w:r w:rsidRPr="00A412F6">
        <w:rPr>
          <w:rFonts w:ascii="Times New Roman" w:hAnsi="Times New Roman"/>
          <w:sz w:val="24"/>
          <w:szCs w:val="24"/>
        </w:rPr>
        <w:t>10</w:t>
      </w:r>
      <w:r w:rsidRPr="00A412F6">
        <w:rPr>
          <w:rFonts w:ascii="Times New Roman" w:hAnsi="宋体"/>
          <w:sz w:val="24"/>
          <w:szCs w:val="24"/>
        </w:rPr>
        <w:t>）涉外保险业务；（</w:t>
      </w:r>
      <w:r w:rsidRPr="00A412F6">
        <w:rPr>
          <w:rFonts w:ascii="Times New Roman" w:hAnsi="Times New Roman"/>
          <w:sz w:val="24"/>
          <w:szCs w:val="24"/>
        </w:rPr>
        <w:t>11</w:t>
      </w:r>
      <w:r w:rsidRPr="00A412F6">
        <w:rPr>
          <w:rFonts w:ascii="Times New Roman" w:hAnsi="宋体"/>
          <w:sz w:val="24"/>
          <w:szCs w:val="24"/>
        </w:rPr>
        <w:t>）银行进出口贸易融资余额。</w:t>
      </w:r>
    </w:p>
    <w:p w14:paraId="0E561E28" w14:textId="77777777" w:rsidR="00A052DC" w:rsidRPr="007C7B79" w:rsidRDefault="00A412F6" w:rsidP="0020251D">
      <w:pPr>
        <w:pStyle w:val="3"/>
        <w:ind w:left="0"/>
        <w:rPr>
          <w:rFonts w:ascii="Times New Roman" w:hAnsi="Times New Roman"/>
        </w:rPr>
      </w:pPr>
      <w:bookmarkStart w:id="401" w:name="_Toc454386648"/>
      <w:bookmarkStart w:id="402" w:name="_Toc91455192"/>
      <w:bookmarkStart w:id="403" w:name="_Toc101684366"/>
      <w:r w:rsidRPr="00A412F6">
        <w:rPr>
          <w:rFonts w:ascii="Times New Roman" w:hint="eastAsia"/>
        </w:rPr>
        <w:t>申报主体基本信息</w:t>
      </w:r>
      <w:bookmarkEnd w:id="401"/>
      <w:bookmarkEnd w:id="402"/>
      <w:bookmarkEnd w:id="403"/>
    </w:p>
    <w:p w14:paraId="18CFABCA" w14:textId="77777777" w:rsidR="00A052DC" w:rsidRPr="007C7B79" w:rsidRDefault="00A412F6">
      <w:pPr>
        <w:spacing w:line="360" w:lineRule="auto"/>
        <w:ind w:firstLineChars="200" w:firstLine="480"/>
        <w:rPr>
          <w:rFonts w:ascii="Times New Roman" w:hAnsi="Times New Roman"/>
          <w:sz w:val="24"/>
          <w:szCs w:val="24"/>
        </w:rPr>
      </w:pPr>
      <w:r w:rsidRPr="00A412F6">
        <w:rPr>
          <w:rFonts w:ascii="Times New Roman" w:hAnsi="宋体" w:hint="eastAsia"/>
          <w:sz w:val="24"/>
          <w:szCs w:val="24"/>
        </w:rPr>
        <w:t>包括申报主体基本信息、整套报表的填报情况总览以及该单位（或企业集团）的股权架构。包括三部分：（</w:t>
      </w:r>
      <w:r w:rsidRPr="00A412F6">
        <w:rPr>
          <w:rFonts w:ascii="Times New Roman" w:hAnsi="Times New Roman"/>
          <w:sz w:val="24"/>
          <w:szCs w:val="24"/>
        </w:rPr>
        <w:t>1</w:t>
      </w:r>
      <w:r w:rsidRPr="00A412F6">
        <w:rPr>
          <w:rFonts w:ascii="Times New Roman" w:hAnsi="宋体"/>
          <w:sz w:val="24"/>
          <w:szCs w:val="24"/>
        </w:rPr>
        <w:t>）</w:t>
      </w:r>
      <w:r w:rsidRPr="00A412F6">
        <w:rPr>
          <w:rFonts w:ascii="Times New Roman" w:hAnsi="宋体" w:hint="eastAsia"/>
          <w:sz w:val="24"/>
          <w:szCs w:val="24"/>
        </w:rPr>
        <w:t>单位</w:t>
      </w:r>
      <w:r w:rsidRPr="00A412F6">
        <w:rPr>
          <w:rFonts w:ascii="Times New Roman" w:hAnsi="宋体"/>
          <w:sz w:val="24"/>
          <w:szCs w:val="24"/>
        </w:rPr>
        <w:t>基本情况</w:t>
      </w:r>
      <w:r w:rsidRPr="00A412F6">
        <w:rPr>
          <w:rFonts w:ascii="Times New Roman" w:hAnsi="宋体" w:hint="eastAsia"/>
          <w:sz w:val="24"/>
          <w:szCs w:val="24"/>
        </w:rPr>
        <w:t>信息；（</w:t>
      </w:r>
      <w:r w:rsidRPr="00A412F6">
        <w:rPr>
          <w:rFonts w:ascii="Times New Roman" w:hAnsi="Times New Roman"/>
          <w:sz w:val="24"/>
          <w:szCs w:val="24"/>
        </w:rPr>
        <w:t>2</w:t>
      </w:r>
      <w:r w:rsidRPr="00A412F6">
        <w:rPr>
          <w:rFonts w:ascii="Times New Roman" w:hAnsi="宋体"/>
          <w:sz w:val="24"/>
          <w:szCs w:val="24"/>
        </w:rPr>
        <w:t>）业务概览及联系方式：（</w:t>
      </w:r>
      <w:r w:rsidRPr="00A412F6">
        <w:rPr>
          <w:rFonts w:ascii="Times New Roman" w:hAnsi="Times New Roman"/>
          <w:sz w:val="24"/>
          <w:szCs w:val="24"/>
        </w:rPr>
        <w:t>3</w:t>
      </w:r>
      <w:r w:rsidRPr="00A412F6">
        <w:rPr>
          <w:rFonts w:ascii="Times New Roman" w:hAnsi="宋体"/>
          <w:sz w:val="24"/>
          <w:szCs w:val="24"/>
        </w:rPr>
        <w:t>）投资关系（组织架构）</w:t>
      </w:r>
      <w:r w:rsidRPr="00A412F6">
        <w:rPr>
          <w:rFonts w:ascii="Times New Roman" w:hAnsi="宋体" w:hint="eastAsia"/>
          <w:sz w:val="24"/>
          <w:szCs w:val="24"/>
        </w:rPr>
        <w:t>。</w:t>
      </w:r>
      <w:r w:rsidRPr="00A412F6">
        <w:rPr>
          <w:rFonts w:ascii="Times New Roman" w:hAnsi="宋体"/>
          <w:sz w:val="24"/>
          <w:szCs w:val="24"/>
        </w:rPr>
        <w:t>具体为：</w:t>
      </w:r>
    </w:p>
    <w:p w14:paraId="71FE3441" w14:textId="77777777" w:rsidR="00A052DC" w:rsidRPr="007C7B79" w:rsidRDefault="009F0A60" w:rsidP="0020251D">
      <w:pPr>
        <w:pStyle w:val="4"/>
        <w:numPr>
          <w:ilvl w:val="3"/>
          <w:numId w:val="1"/>
        </w:numPr>
        <w:ind w:left="0"/>
        <w:jc w:val="left"/>
      </w:pPr>
      <w:bookmarkStart w:id="404" w:name="_Toc454386649"/>
      <w:r w:rsidRPr="007C7B79">
        <w:rPr>
          <w:rFonts w:hint="eastAsia"/>
        </w:rPr>
        <w:t>单位基本情况信息</w:t>
      </w:r>
      <w:bookmarkEnd w:id="404"/>
    </w:p>
    <w:p w14:paraId="40279394" w14:textId="77777777" w:rsidR="00A052DC" w:rsidRPr="007C7B79" w:rsidRDefault="00A412F6">
      <w:pPr>
        <w:pStyle w:val="aff0"/>
        <w:spacing w:line="360" w:lineRule="auto"/>
        <w:ind w:firstLineChars="0"/>
        <w:rPr>
          <w:rFonts w:ascii="Times New Roman" w:hAnsi="Times New Roman"/>
          <w:sz w:val="24"/>
          <w:szCs w:val="24"/>
        </w:rPr>
      </w:pPr>
      <w:r w:rsidRPr="00A412F6">
        <w:rPr>
          <w:rFonts w:ascii="Times New Roman" w:hAnsi="宋体" w:hint="eastAsia"/>
          <w:sz w:val="24"/>
          <w:szCs w:val="24"/>
        </w:rPr>
        <w:t>指申报主体名称、证照类别、证照号码、所属行业、经济属性等基本信息。</w:t>
      </w:r>
    </w:p>
    <w:p w14:paraId="4955793F" w14:textId="77777777" w:rsidR="00A052DC" w:rsidRPr="007C7B79" w:rsidRDefault="009F0A60" w:rsidP="0020251D">
      <w:pPr>
        <w:pStyle w:val="4"/>
        <w:numPr>
          <w:ilvl w:val="3"/>
          <w:numId w:val="1"/>
        </w:numPr>
        <w:ind w:left="0"/>
        <w:jc w:val="left"/>
      </w:pPr>
      <w:bookmarkStart w:id="405" w:name="_Toc454386650"/>
      <w:r w:rsidRPr="007C7B79">
        <w:rPr>
          <w:rFonts w:hint="eastAsia"/>
        </w:rPr>
        <w:t>业务概览及联系方式</w:t>
      </w:r>
      <w:bookmarkEnd w:id="405"/>
    </w:p>
    <w:p w14:paraId="6F192F9D" w14:textId="77777777" w:rsidR="00A052DC" w:rsidRPr="007C7B79" w:rsidRDefault="00A412F6">
      <w:pPr>
        <w:pStyle w:val="aff0"/>
        <w:spacing w:line="360" w:lineRule="auto"/>
        <w:ind w:firstLineChars="0"/>
        <w:rPr>
          <w:rFonts w:ascii="Times New Roman" w:hAnsi="Times New Roman"/>
          <w:sz w:val="24"/>
          <w:szCs w:val="24"/>
        </w:rPr>
      </w:pPr>
      <w:r w:rsidRPr="00A412F6">
        <w:rPr>
          <w:rFonts w:ascii="Times New Roman" w:hAnsi="宋体" w:hint="eastAsia"/>
          <w:sz w:val="24"/>
          <w:szCs w:val="24"/>
        </w:rPr>
        <w:t>指申报主体填写整套报表时，所涉及的具体报表以及对应填表联系人及联系方式。</w:t>
      </w:r>
    </w:p>
    <w:p w14:paraId="3444900C" w14:textId="77777777" w:rsidR="00A052DC" w:rsidRPr="007C7B79" w:rsidRDefault="009F0A60" w:rsidP="0020251D">
      <w:pPr>
        <w:pStyle w:val="4"/>
        <w:numPr>
          <w:ilvl w:val="3"/>
          <w:numId w:val="1"/>
        </w:numPr>
        <w:ind w:left="0"/>
        <w:jc w:val="left"/>
      </w:pPr>
      <w:bookmarkStart w:id="406" w:name="_Toc454386651"/>
      <w:r w:rsidRPr="007C7B79">
        <w:rPr>
          <w:rFonts w:hint="eastAsia"/>
        </w:rPr>
        <w:t>投资关系（组织架构）</w:t>
      </w:r>
      <w:bookmarkEnd w:id="406"/>
    </w:p>
    <w:p w14:paraId="4556F97F" w14:textId="77777777" w:rsidR="00A052DC" w:rsidRPr="007C7B79" w:rsidRDefault="00A412F6">
      <w:pPr>
        <w:spacing w:line="360" w:lineRule="auto"/>
        <w:ind w:firstLineChars="200" w:firstLine="480"/>
        <w:rPr>
          <w:rFonts w:ascii="Times New Roman" w:hAnsi="Times New Roman"/>
          <w:sz w:val="24"/>
          <w:szCs w:val="24"/>
        </w:rPr>
      </w:pPr>
      <w:r w:rsidRPr="00A412F6">
        <w:rPr>
          <w:rFonts w:ascii="Times New Roman" w:hAnsi="宋体" w:hint="eastAsia"/>
          <w:sz w:val="24"/>
          <w:szCs w:val="24"/>
        </w:rPr>
        <w:t>指申报主体根据其（或其所在的企业集团）的股权或组织架构情况，填写上级投资者直接持有下级被投资机构</w:t>
      </w:r>
      <w:r w:rsidRPr="00A412F6">
        <w:rPr>
          <w:rFonts w:ascii="Times New Roman" w:hAnsi="Times New Roman"/>
          <w:sz w:val="24"/>
          <w:szCs w:val="24"/>
        </w:rPr>
        <w:t>10%</w:t>
      </w:r>
      <w:r w:rsidRPr="00A412F6">
        <w:rPr>
          <w:rFonts w:ascii="Times New Roman" w:hAnsi="宋体"/>
          <w:sz w:val="24"/>
          <w:szCs w:val="24"/>
        </w:rPr>
        <w:t>及以上表决权的情况。包括但不限于：（</w:t>
      </w:r>
      <w:r w:rsidRPr="00A412F6">
        <w:rPr>
          <w:rFonts w:ascii="Times New Roman" w:hAnsi="Times New Roman"/>
          <w:sz w:val="24"/>
          <w:szCs w:val="24"/>
        </w:rPr>
        <w:t>1</w:t>
      </w:r>
      <w:r w:rsidRPr="00A412F6">
        <w:rPr>
          <w:rFonts w:ascii="Times New Roman" w:hAnsi="宋体"/>
          <w:sz w:val="24"/>
          <w:szCs w:val="24"/>
        </w:rPr>
        <w:t>）中国境内外的投资者（或母机构）；（</w:t>
      </w:r>
      <w:r w:rsidRPr="00A412F6">
        <w:rPr>
          <w:rFonts w:ascii="Times New Roman" w:hAnsi="Times New Roman"/>
          <w:sz w:val="24"/>
          <w:szCs w:val="24"/>
        </w:rPr>
        <w:t>2</w:t>
      </w:r>
      <w:r w:rsidRPr="00A412F6">
        <w:rPr>
          <w:rFonts w:ascii="Times New Roman" w:hAnsi="宋体"/>
          <w:sz w:val="24"/>
          <w:szCs w:val="24"/>
        </w:rPr>
        <w:t>）中国境内外的附属机构或联营、合营机构：（</w:t>
      </w:r>
      <w:r w:rsidRPr="00A412F6">
        <w:rPr>
          <w:rFonts w:ascii="Times New Roman" w:hAnsi="Times New Roman"/>
          <w:sz w:val="24"/>
          <w:szCs w:val="24"/>
        </w:rPr>
        <w:t>3</w:t>
      </w:r>
      <w:r w:rsidRPr="00A412F6">
        <w:rPr>
          <w:rFonts w:ascii="Times New Roman" w:hAnsi="宋体"/>
          <w:sz w:val="24"/>
          <w:szCs w:val="24"/>
        </w:rPr>
        <w:t>）中国境外的分支机构，但申报主体在中国境内的分支机构信息不需要填报。与申报主体同在中国境内的同一企业集团内的相关机构或个人如自身也与境外机构或个人发生</w:t>
      </w:r>
      <w:r w:rsidRPr="00A412F6">
        <w:rPr>
          <w:rFonts w:ascii="Times New Roman" w:hAnsi="Times New Roman"/>
          <w:sz w:val="24"/>
          <w:szCs w:val="24"/>
        </w:rPr>
        <w:t>10%</w:t>
      </w:r>
      <w:r w:rsidRPr="00A412F6">
        <w:rPr>
          <w:rFonts w:ascii="Times New Roman" w:hAnsi="宋体"/>
          <w:sz w:val="24"/>
          <w:szCs w:val="24"/>
        </w:rPr>
        <w:t>及以上表决权往来，则申报主体应尽量将这些机构或个人的信息纳入本表统计。此外，如申报主体与中国境外联属企业（即两机构有共同母公司，但相互持有表决权＜</w:t>
      </w:r>
      <w:r w:rsidRPr="00A412F6">
        <w:rPr>
          <w:rFonts w:ascii="Times New Roman" w:hAnsi="Times New Roman"/>
          <w:sz w:val="24"/>
          <w:szCs w:val="24"/>
        </w:rPr>
        <w:t>10%</w:t>
      </w:r>
      <w:r w:rsidRPr="00A412F6">
        <w:rPr>
          <w:rFonts w:ascii="Times New Roman" w:hAnsi="宋体"/>
          <w:sz w:val="24"/>
          <w:szCs w:val="24"/>
        </w:rPr>
        <w:t>或相互不持有表决权）发生交易，则境外联属企业信息属于本表统计范畴。如中国</w:t>
      </w:r>
      <w:r w:rsidRPr="00A412F6">
        <w:rPr>
          <w:rFonts w:ascii="Times New Roman" w:hAnsi="宋体" w:hint="eastAsia"/>
          <w:sz w:val="24"/>
          <w:szCs w:val="24"/>
        </w:rPr>
        <w:t>某外资银行股份有限公司与境外银行集团旗下分支机构、子机构之间属于联属企业关系。</w:t>
      </w:r>
    </w:p>
    <w:p w14:paraId="34AE4E83" w14:textId="77777777" w:rsidR="00A052DC" w:rsidRPr="007C7B79" w:rsidRDefault="00A412F6" w:rsidP="0020251D">
      <w:pPr>
        <w:pStyle w:val="3"/>
        <w:ind w:left="0"/>
        <w:rPr>
          <w:rFonts w:ascii="Times New Roman" w:hAnsi="Times New Roman"/>
        </w:rPr>
      </w:pPr>
      <w:bookmarkStart w:id="407" w:name="_Toc454386652"/>
      <w:bookmarkStart w:id="408" w:name="_Toc91455193"/>
      <w:bookmarkStart w:id="409" w:name="_Toc101684367"/>
      <w:r w:rsidRPr="00A412F6">
        <w:rPr>
          <w:rFonts w:ascii="Times New Roman" w:hint="eastAsia"/>
        </w:rPr>
        <w:t>直接投资</w:t>
      </w:r>
      <w:bookmarkEnd w:id="407"/>
      <w:bookmarkEnd w:id="408"/>
      <w:bookmarkEnd w:id="409"/>
    </w:p>
    <w:p w14:paraId="1E06B51C" w14:textId="77777777" w:rsidR="00A052DC" w:rsidRPr="007C7B79" w:rsidRDefault="00A412F6">
      <w:pPr>
        <w:pStyle w:val="aff0"/>
        <w:spacing w:line="360" w:lineRule="auto"/>
        <w:ind w:left="420" w:firstLineChars="0" w:firstLine="0"/>
        <w:rPr>
          <w:rFonts w:ascii="Times New Roman" w:hAnsi="Times New Roman"/>
          <w:sz w:val="24"/>
          <w:szCs w:val="24"/>
        </w:rPr>
      </w:pPr>
      <w:r w:rsidRPr="00A412F6">
        <w:rPr>
          <w:rFonts w:ascii="Times New Roman" w:hAnsi="宋体" w:hint="eastAsia"/>
          <w:sz w:val="24"/>
          <w:szCs w:val="24"/>
        </w:rPr>
        <w:t>包括两部分：（</w:t>
      </w:r>
      <w:r w:rsidRPr="00A412F6">
        <w:rPr>
          <w:rFonts w:ascii="Times New Roman" w:hAnsi="Times New Roman"/>
          <w:sz w:val="24"/>
          <w:szCs w:val="24"/>
        </w:rPr>
        <w:t>1</w:t>
      </w:r>
      <w:r w:rsidRPr="00A412F6">
        <w:rPr>
          <w:rFonts w:ascii="Times New Roman" w:hAnsi="宋体"/>
          <w:sz w:val="24"/>
          <w:szCs w:val="24"/>
        </w:rPr>
        <w:t>）对外直接投资</w:t>
      </w:r>
      <w:r w:rsidRPr="00A412F6">
        <w:rPr>
          <w:rFonts w:ascii="Times New Roman" w:hAnsi="宋体" w:hint="eastAsia"/>
          <w:sz w:val="24"/>
          <w:szCs w:val="24"/>
        </w:rPr>
        <w:t>，（</w:t>
      </w:r>
      <w:r w:rsidRPr="00A412F6">
        <w:rPr>
          <w:rFonts w:ascii="Times New Roman" w:hAnsi="Times New Roman"/>
          <w:sz w:val="24"/>
          <w:szCs w:val="24"/>
        </w:rPr>
        <w:t>2</w:t>
      </w:r>
      <w:r w:rsidRPr="00A412F6">
        <w:rPr>
          <w:rFonts w:ascii="Times New Roman" w:hAnsi="宋体"/>
          <w:sz w:val="24"/>
          <w:szCs w:val="24"/>
        </w:rPr>
        <w:t>）来华直接投资。</w:t>
      </w:r>
      <w:r w:rsidRPr="00A412F6">
        <w:rPr>
          <w:rFonts w:ascii="Times New Roman" w:hAnsi="宋体" w:hint="eastAsia"/>
          <w:sz w:val="24"/>
          <w:szCs w:val="24"/>
        </w:rPr>
        <w:t>具体为：</w:t>
      </w:r>
    </w:p>
    <w:p w14:paraId="025EAB86" w14:textId="77777777" w:rsidR="00A052DC" w:rsidRPr="007C7B79" w:rsidRDefault="009F0A60" w:rsidP="0020251D">
      <w:pPr>
        <w:pStyle w:val="4"/>
        <w:numPr>
          <w:ilvl w:val="3"/>
          <w:numId w:val="1"/>
        </w:numPr>
        <w:ind w:left="0"/>
        <w:jc w:val="left"/>
      </w:pPr>
      <w:bookmarkStart w:id="410" w:name="_Toc454386653"/>
      <w:r w:rsidRPr="007C7B79">
        <w:rPr>
          <w:rFonts w:hint="eastAsia"/>
        </w:rPr>
        <w:t>对外直接投资</w:t>
      </w:r>
      <w:bookmarkEnd w:id="410"/>
    </w:p>
    <w:p w14:paraId="04E6D793" w14:textId="77777777" w:rsidR="00A052DC" w:rsidRPr="007C7B79" w:rsidRDefault="00A412F6">
      <w:pPr>
        <w:spacing w:line="360" w:lineRule="auto"/>
        <w:ind w:firstLineChars="200" w:firstLine="480"/>
        <w:rPr>
          <w:rFonts w:ascii="Times New Roman" w:hAnsi="Times New Roman"/>
          <w:sz w:val="24"/>
          <w:szCs w:val="24"/>
        </w:rPr>
      </w:pPr>
      <w:r w:rsidRPr="00A412F6">
        <w:rPr>
          <w:rFonts w:ascii="Times New Roman" w:hAnsi="宋体" w:hint="eastAsia"/>
          <w:sz w:val="24"/>
          <w:szCs w:val="24"/>
        </w:rPr>
        <w:t>申报主体跨境直接持有或通过境外</w:t>
      </w:r>
      <w:r w:rsidRPr="00A412F6">
        <w:rPr>
          <w:rFonts w:ascii="Times New Roman" w:hAnsi="Times New Roman"/>
          <w:sz w:val="24"/>
          <w:szCs w:val="24"/>
        </w:rPr>
        <w:t>SPV/</w:t>
      </w:r>
      <w:r w:rsidRPr="00A412F6">
        <w:rPr>
          <w:rFonts w:ascii="Times New Roman" w:hAnsi="宋体" w:hint="eastAsia"/>
          <w:sz w:val="24"/>
          <w:szCs w:val="24"/>
        </w:rPr>
        <w:t>壳机构间接持有一机构表决权</w:t>
      </w:r>
      <w:r w:rsidRPr="00A412F6">
        <w:rPr>
          <w:rFonts w:ascii="Times New Roman" w:hAnsi="Times New Roman" w:hint="eastAsia"/>
          <w:sz w:val="24"/>
          <w:szCs w:val="24"/>
        </w:rPr>
        <w:t>≥</w:t>
      </w:r>
      <w:r w:rsidRPr="00A412F6">
        <w:rPr>
          <w:rFonts w:ascii="Times New Roman" w:hAnsi="Times New Roman"/>
          <w:sz w:val="24"/>
          <w:szCs w:val="24"/>
        </w:rPr>
        <w:t>10%</w:t>
      </w:r>
      <w:r w:rsidRPr="00A412F6">
        <w:rPr>
          <w:rFonts w:ascii="Times New Roman" w:hAnsi="宋体" w:hint="eastAsia"/>
          <w:sz w:val="24"/>
          <w:szCs w:val="24"/>
        </w:rPr>
        <w:t>的投资往来及存量情况，包括跨境拨付给另一经济体分支机构的营运资金和在另一经济体的子机构、联营机构和合营机构的股份（不包括非参与性优先股，这部分优先股被视为债券）。包括两部分：（</w:t>
      </w:r>
      <w:r w:rsidRPr="00A412F6">
        <w:rPr>
          <w:rFonts w:ascii="Times New Roman" w:hAnsi="Times New Roman"/>
          <w:sz w:val="24"/>
          <w:szCs w:val="24"/>
        </w:rPr>
        <w:t>1</w:t>
      </w:r>
      <w:r w:rsidRPr="00A412F6">
        <w:rPr>
          <w:rFonts w:ascii="Times New Roman" w:hAnsi="宋体"/>
          <w:sz w:val="24"/>
          <w:szCs w:val="24"/>
        </w:rPr>
        <w:t>）对外直接投资（资产负债表及市值）；</w:t>
      </w:r>
      <w:r w:rsidRPr="00A412F6">
        <w:rPr>
          <w:rFonts w:ascii="Times New Roman" w:hAnsi="宋体" w:hint="eastAsia"/>
          <w:sz w:val="24"/>
          <w:szCs w:val="24"/>
        </w:rPr>
        <w:t>（</w:t>
      </w:r>
      <w:r w:rsidRPr="00A412F6">
        <w:rPr>
          <w:rFonts w:ascii="Times New Roman" w:hAnsi="Times New Roman"/>
          <w:sz w:val="24"/>
          <w:szCs w:val="24"/>
        </w:rPr>
        <w:t>2</w:t>
      </w:r>
      <w:r w:rsidRPr="00A412F6">
        <w:rPr>
          <w:rFonts w:ascii="Times New Roman" w:hAnsi="宋体"/>
          <w:sz w:val="24"/>
          <w:szCs w:val="24"/>
        </w:rPr>
        <w:t>）对外直接投资（流量）。</w:t>
      </w:r>
    </w:p>
    <w:p w14:paraId="26E8D61B" w14:textId="77777777" w:rsidR="00A052DC" w:rsidRPr="007C7B79" w:rsidRDefault="009F0A60" w:rsidP="0020251D">
      <w:pPr>
        <w:pStyle w:val="5"/>
      </w:pPr>
      <w:bookmarkStart w:id="411" w:name="_Toc454386654"/>
      <w:r w:rsidRPr="007C7B79">
        <w:t>2.8.3.1.1</w:t>
      </w:r>
      <w:r w:rsidRPr="007C7B79">
        <w:rPr>
          <w:rFonts w:hint="eastAsia"/>
        </w:rPr>
        <w:t>对外直接投资（资产负债、利润及市值）</w:t>
      </w:r>
      <w:bookmarkEnd w:id="411"/>
    </w:p>
    <w:p w14:paraId="4D6AA104" w14:textId="77777777" w:rsidR="00A052DC" w:rsidRPr="007C7B79" w:rsidRDefault="00A412F6">
      <w:pPr>
        <w:spacing w:line="360" w:lineRule="auto"/>
        <w:ind w:firstLineChars="200" w:firstLine="480"/>
        <w:rPr>
          <w:rFonts w:ascii="Times New Roman" w:hAnsi="Times New Roman"/>
          <w:sz w:val="24"/>
          <w:szCs w:val="24"/>
        </w:rPr>
      </w:pPr>
      <w:r w:rsidRPr="00A412F6">
        <w:rPr>
          <w:rFonts w:ascii="Times New Roman" w:hAnsi="宋体" w:hint="eastAsia"/>
          <w:sz w:val="24"/>
          <w:szCs w:val="24"/>
        </w:rPr>
        <w:t>申报主体跨境直接持有或通过境外</w:t>
      </w:r>
      <w:r w:rsidRPr="00A412F6">
        <w:rPr>
          <w:rFonts w:ascii="Times New Roman" w:hAnsi="Times New Roman"/>
          <w:sz w:val="24"/>
          <w:szCs w:val="24"/>
        </w:rPr>
        <w:t>SPV</w:t>
      </w:r>
      <w:r w:rsidRPr="00A412F6">
        <w:rPr>
          <w:rFonts w:ascii="Times New Roman" w:hAnsi="宋体" w:hint="eastAsia"/>
          <w:sz w:val="24"/>
          <w:szCs w:val="24"/>
        </w:rPr>
        <w:t>、壳机构持有表决权在</w:t>
      </w:r>
      <w:r w:rsidRPr="00A412F6">
        <w:rPr>
          <w:rFonts w:ascii="Times New Roman" w:hAnsi="Times New Roman"/>
          <w:sz w:val="24"/>
          <w:szCs w:val="24"/>
        </w:rPr>
        <w:t>10%</w:t>
      </w:r>
      <w:r w:rsidRPr="00A412F6">
        <w:rPr>
          <w:rFonts w:ascii="Times New Roman" w:hAnsi="宋体"/>
          <w:sz w:val="24"/>
          <w:szCs w:val="24"/>
        </w:rPr>
        <w:t>及以上的中国境外分支机构、子机构、联营（合营）机构的资产负债、</w:t>
      </w:r>
      <w:r w:rsidRPr="00A412F6">
        <w:rPr>
          <w:rFonts w:ascii="Times New Roman" w:hAnsi="宋体" w:hint="eastAsia"/>
          <w:sz w:val="24"/>
          <w:szCs w:val="24"/>
        </w:rPr>
        <w:t>利润及股权市值等情况。</w:t>
      </w:r>
    </w:p>
    <w:p w14:paraId="0EAFF188" w14:textId="77777777" w:rsidR="00A052DC" w:rsidRPr="007C7B79" w:rsidRDefault="009F0A60" w:rsidP="0020251D">
      <w:pPr>
        <w:pStyle w:val="5"/>
      </w:pPr>
      <w:bookmarkStart w:id="412" w:name="_Toc454386655"/>
      <w:r w:rsidRPr="007C7B79">
        <w:t>2.8.3.1.2</w:t>
      </w:r>
      <w:r w:rsidRPr="007C7B79">
        <w:rPr>
          <w:rFonts w:hint="eastAsia"/>
        </w:rPr>
        <w:t>对外直接投资（流量）</w:t>
      </w:r>
      <w:bookmarkEnd w:id="412"/>
    </w:p>
    <w:p w14:paraId="0ED1ACC0" w14:textId="77777777" w:rsidR="00A052DC" w:rsidRPr="007C7B79" w:rsidRDefault="00A412F6">
      <w:pPr>
        <w:spacing w:line="360" w:lineRule="auto"/>
        <w:ind w:firstLineChars="200" w:firstLine="480"/>
        <w:rPr>
          <w:rFonts w:ascii="Times New Roman" w:hAnsi="Times New Roman"/>
          <w:sz w:val="24"/>
          <w:szCs w:val="24"/>
        </w:rPr>
      </w:pPr>
      <w:r w:rsidRPr="00A412F6">
        <w:rPr>
          <w:rFonts w:ascii="Times New Roman" w:hAnsi="宋体" w:hint="eastAsia"/>
          <w:sz w:val="24"/>
          <w:szCs w:val="24"/>
        </w:rPr>
        <w:t>申报主体跨境直接持有或通过境外</w:t>
      </w:r>
      <w:r w:rsidRPr="00A412F6">
        <w:rPr>
          <w:rFonts w:ascii="Times New Roman" w:hAnsi="Times New Roman"/>
          <w:sz w:val="24"/>
          <w:szCs w:val="24"/>
        </w:rPr>
        <w:t>SPV</w:t>
      </w:r>
      <w:r w:rsidRPr="00A412F6">
        <w:rPr>
          <w:rFonts w:ascii="Times New Roman" w:hAnsi="宋体" w:hint="eastAsia"/>
          <w:sz w:val="24"/>
          <w:szCs w:val="24"/>
        </w:rPr>
        <w:t>、壳机构持有表决权在</w:t>
      </w:r>
      <w:r w:rsidRPr="00A412F6">
        <w:rPr>
          <w:rFonts w:ascii="Times New Roman" w:hAnsi="Times New Roman"/>
          <w:sz w:val="24"/>
          <w:szCs w:val="24"/>
        </w:rPr>
        <w:t>10%</w:t>
      </w:r>
      <w:r w:rsidRPr="00A412F6">
        <w:rPr>
          <w:rFonts w:ascii="Times New Roman" w:hAnsi="宋体" w:hint="eastAsia"/>
          <w:sz w:val="24"/>
          <w:szCs w:val="24"/>
        </w:rPr>
        <w:t>及以上的中国境外分支机构、子机构、联营（合营）机构的股权或基金份额投资往来</w:t>
      </w:r>
      <w:r w:rsidRPr="00A412F6">
        <w:rPr>
          <w:rFonts w:ascii="Times New Roman" w:hAnsi="宋体"/>
          <w:sz w:val="24"/>
          <w:szCs w:val="24"/>
        </w:rPr>
        <w:t>。</w:t>
      </w:r>
    </w:p>
    <w:p w14:paraId="1CDCFA06" w14:textId="77777777" w:rsidR="00A052DC" w:rsidRPr="007C7B79" w:rsidRDefault="009F0A60" w:rsidP="0020251D">
      <w:pPr>
        <w:pStyle w:val="4"/>
        <w:numPr>
          <w:ilvl w:val="3"/>
          <w:numId w:val="1"/>
        </w:numPr>
        <w:ind w:left="0"/>
        <w:jc w:val="left"/>
      </w:pPr>
      <w:bookmarkStart w:id="413" w:name="_Toc454386656"/>
      <w:r w:rsidRPr="007C7B79">
        <w:rPr>
          <w:rFonts w:hint="eastAsia"/>
        </w:rPr>
        <w:t>来华直接投资</w:t>
      </w:r>
      <w:bookmarkEnd w:id="413"/>
    </w:p>
    <w:p w14:paraId="64707B77" w14:textId="77777777" w:rsidR="00A052DC" w:rsidRPr="007C7B79" w:rsidRDefault="00A412F6">
      <w:pPr>
        <w:spacing w:line="360" w:lineRule="auto"/>
        <w:ind w:firstLineChars="200" w:firstLine="480"/>
        <w:rPr>
          <w:rFonts w:ascii="Times New Roman" w:hAnsi="Times New Roman"/>
          <w:sz w:val="24"/>
          <w:szCs w:val="24"/>
        </w:rPr>
      </w:pPr>
      <w:r w:rsidRPr="00A412F6">
        <w:rPr>
          <w:rFonts w:ascii="Times New Roman" w:hAnsi="宋体" w:hint="eastAsia"/>
          <w:sz w:val="24"/>
          <w:szCs w:val="24"/>
        </w:rPr>
        <w:t>指申报主体作为单个非居民投资者（或相互关联的非居民投资者集团）持有表决权</w:t>
      </w:r>
      <w:r w:rsidRPr="00A412F6">
        <w:rPr>
          <w:rFonts w:ascii="Times New Roman" w:hAnsi="Times New Roman"/>
          <w:sz w:val="24"/>
          <w:szCs w:val="24"/>
        </w:rPr>
        <w:t>10%</w:t>
      </w:r>
      <w:r w:rsidRPr="00A412F6">
        <w:rPr>
          <w:rFonts w:ascii="Times New Roman" w:hAnsi="宋体"/>
          <w:sz w:val="24"/>
          <w:szCs w:val="24"/>
        </w:rPr>
        <w:t>及以上的中国境内分支机构、子机构、联营（合营）机构或投资基金份额，与上述非居民投资者之间的股权或份额投资往来及存量情况。</w:t>
      </w:r>
      <w:r w:rsidRPr="00A412F6">
        <w:rPr>
          <w:rFonts w:ascii="Times New Roman" w:hAnsi="宋体" w:hint="eastAsia"/>
          <w:sz w:val="24"/>
          <w:szCs w:val="24"/>
        </w:rPr>
        <w:t>包括</w:t>
      </w:r>
      <w:r w:rsidRPr="00A412F6">
        <w:rPr>
          <w:rFonts w:ascii="Times New Roman" w:hAnsi="宋体"/>
          <w:sz w:val="24"/>
          <w:szCs w:val="24"/>
        </w:rPr>
        <w:t>三部分：（</w:t>
      </w:r>
      <w:r w:rsidRPr="00A412F6">
        <w:rPr>
          <w:rFonts w:ascii="Times New Roman" w:hAnsi="Times New Roman"/>
          <w:sz w:val="24"/>
          <w:szCs w:val="24"/>
        </w:rPr>
        <w:t>1</w:t>
      </w:r>
      <w:r w:rsidRPr="00A412F6">
        <w:rPr>
          <w:rFonts w:ascii="Times New Roman" w:hAnsi="宋体"/>
          <w:sz w:val="24"/>
          <w:szCs w:val="24"/>
        </w:rPr>
        <w:t>）来华直接投资（</w:t>
      </w:r>
      <w:r w:rsidRPr="00A412F6">
        <w:rPr>
          <w:rFonts w:ascii="Times New Roman" w:hAnsi="宋体" w:hint="eastAsia"/>
          <w:sz w:val="24"/>
          <w:szCs w:val="24"/>
        </w:rPr>
        <w:t>资产负债及利润</w:t>
      </w:r>
      <w:r w:rsidRPr="00A412F6">
        <w:rPr>
          <w:rFonts w:ascii="Times New Roman" w:hAnsi="宋体"/>
          <w:sz w:val="24"/>
          <w:szCs w:val="24"/>
        </w:rPr>
        <w:t>）；（</w:t>
      </w:r>
      <w:r w:rsidRPr="00A412F6">
        <w:rPr>
          <w:rFonts w:ascii="Times New Roman" w:hAnsi="Times New Roman"/>
          <w:sz w:val="24"/>
          <w:szCs w:val="24"/>
        </w:rPr>
        <w:t>2</w:t>
      </w:r>
      <w:r w:rsidRPr="00A412F6">
        <w:rPr>
          <w:rFonts w:ascii="Times New Roman" w:hAnsi="宋体"/>
          <w:sz w:val="24"/>
          <w:szCs w:val="24"/>
        </w:rPr>
        <w:t>）境外投资者</w:t>
      </w:r>
      <w:r w:rsidRPr="00A412F6">
        <w:rPr>
          <w:rFonts w:ascii="Times New Roman" w:hAnsi="宋体" w:hint="eastAsia"/>
          <w:sz w:val="24"/>
          <w:szCs w:val="24"/>
        </w:rPr>
        <w:t>持股情况</w:t>
      </w:r>
      <w:r w:rsidRPr="00A412F6">
        <w:rPr>
          <w:rFonts w:ascii="Times New Roman" w:hAnsi="宋体"/>
          <w:sz w:val="24"/>
          <w:szCs w:val="24"/>
        </w:rPr>
        <w:t>；（</w:t>
      </w:r>
      <w:r w:rsidRPr="00A412F6">
        <w:rPr>
          <w:rFonts w:ascii="Times New Roman" w:hAnsi="Times New Roman"/>
          <w:sz w:val="24"/>
          <w:szCs w:val="24"/>
        </w:rPr>
        <w:t>3</w:t>
      </w:r>
      <w:r w:rsidRPr="00A412F6">
        <w:rPr>
          <w:rFonts w:ascii="Times New Roman" w:hAnsi="宋体"/>
          <w:sz w:val="24"/>
          <w:szCs w:val="24"/>
        </w:rPr>
        <w:t>）来华直接投资（流量）。具体为：</w:t>
      </w:r>
    </w:p>
    <w:p w14:paraId="4A3D626A" w14:textId="77777777" w:rsidR="00A052DC" w:rsidRPr="007C7B79" w:rsidRDefault="009F0A60" w:rsidP="0020251D">
      <w:pPr>
        <w:pStyle w:val="5"/>
      </w:pPr>
      <w:bookmarkStart w:id="414" w:name="_Toc454386657"/>
      <w:r w:rsidRPr="007C7B79">
        <w:t>2.8.3.2.1</w:t>
      </w:r>
      <w:r w:rsidRPr="007C7B79">
        <w:rPr>
          <w:rFonts w:hint="eastAsia"/>
        </w:rPr>
        <w:t>来华直接投资（资产负债及利润）</w:t>
      </w:r>
      <w:bookmarkEnd w:id="414"/>
    </w:p>
    <w:p w14:paraId="2FF562B6" w14:textId="77777777" w:rsidR="00A052DC" w:rsidRPr="007C7B79" w:rsidRDefault="00A412F6">
      <w:pPr>
        <w:pStyle w:val="aff0"/>
        <w:spacing w:line="360" w:lineRule="auto"/>
        <w:ind w:firstLineChars="0"/>
        <w:rPr>
          <w:rFonts w:ascii="Times New Roman" w:hAnsi="Times New Roman"/>
          <w:sz w:val="24"/>
          <w:szCs w:val="24"/>
        </w:rPr>
      </w:pPr>
      <w:r w:rsidRPr="00A412F6">
        <w:rPr>
          <w:rFonts w:ascii="Times New Roman" w:hAnsi="宋体" w:hint="eastAsia"/>
          <w:sz w:val="24"/>
          <w:szCs w:val="24"/>
        </w:rPr>
        <w:t>境外投资者在中国境内的分机构、子机构、联营（合营）机构的资产负债及利润情况。</w:t>
      </w:r>
    </w:p>
    <w:p w14:paraId="73D8B0AA" w14:textId="77777777" w:rsidR="00A052DC" w:rsidRPr="007C7B79" w:rsidRDefault="009F0A60" w:rsidP="0020251D">
      <w:pPr>
        <w:pStyle w:val="5"/>
      </w:pPr>
      <w:bookmarkStart w:id="415" w:name="_Toc454386658"/>
      <w:r w:rsidRPr="007C7B79">
        <w:t>2.8.3.2.2</w:t>
      </w:r>
      <w:r w:rsidRPr="007C7B79">
        <w:rPr>
          <w:rFonts w:hint="eastAsia"/>
        </w:rPr>
        <w:t>来华直接投资（境外投资者持股情况）</w:t>
      </w:r>
      <w:bookmarkEnd w:id="415"/>
    </w:p>
    <w:p w14:paraId="5AFE4DB6" w14:textId="77777777" w:rsidR="00A052DC" w:rsidRPr="007C7B79" w:rsidRDefault="00A412F6">
      <w:pPr>
        <w:pStyle w:val="aff0"/>
        <w:spacing w:line="360" w:lineRule="auto"/>
        <w:ind w:firstLineChars="0"/>
        <w:rPr>
          <w:rFonts w:ascii="Times New Roman" w:hAnsi="Times New Roman"/>
          <w:sz w:val="24"/>
          <w:szCs w:val="24"/>
        </w:rPr>
      </w:pPr>
      <w:r w:rsidRPr="00A412F6">
        <w:rPr>
          <w:rFonts w:ascii="Times New Roman" w:hAnsi="宋体" w:hint="eastAsia"/>
          <w:sz w:val="24"/>
          <w:szCs w:val="24"/>
        </w:rPr>
        <w:t>持有申报主体表决权</w:t>
      </w:r>
      <w:r w:rsidRPr="00A412F6">
        <w:rPr>
          <w:rFonts w:ascii="Times New Roman" w:hAnsi="Times New Roman"/>
          <w:sz w:val="24"/>
          <w:szCs w:val="24"/>
        </w:rPr>
        <w:t>10%</w:t>
      </w:r>
      <w:r w:rsidRPr="00A412F6">
        <w:rPr>
          <w:rFonts w:ascii="Times New Roman" w:hAnsi="宋体" w:hint="eastAsia"/>
          <w:sz w:val="24"/>
          <w:szCs w:val="24"/>
        </w:rPr>
        <w:t>及以上的境外投资者基本情况、持股数量和股权市值。</w:t>
      </w:r>
    </w:p>
    <w:p w14:paraId="68F824F1" w14:textId="77777777" w:rsidR="00A052DC" w:rsidRPr="007C7B79" w:rsidRDefault="009F0A60" w:rsidP="0020251D">
      <w:pPr>
        <w:pStyle w:val="5"/>
      </w:pPr>
      <w:bookmarkStart w:id="416" w:name="_Toc454386659"/>
      <w:r w:rsidRPr="007C7B79">
        <w:t>2.8.3.2.3</w:t>
      </w:r>
      <w:r w:rsidRPr="007C7B79">
        <w:rPr>
          <w:rFonts w:hint="eastAsia"/>
        </w:rPr>
        <w:t>来华直接投资（流量）</w:t>
      </w:r>
      <w:bookmarkEnd w:id="416"/>
    </w:p>
    <w:p w14:paraId="12AE2BFD" w14:textId="77777777" w:rsidR="00A052DC" w:rsidRPr="007C7B79" w:rsidRDefault="00A412F6">
      <w:pPr>
        <w:pStyle w:val="aff0"/>
        <w:spacing w:line="360" w:lineRule="auto"/>
        <w:ind w:firstLineChars="0"/>
        <w:rPr>
          <w:rFonts w:ascii="Times New Roman" w:hAnsi="Times New Roman"/>
          <w:sz w:val="24"/>
          <w:szCs w:val="24"/>
        </w:rPr>
      </w:pPr>
      <w:r w:rsidRPr="00A412F6">
        <w:rPr>
          <w:rFonts w:ascii="Times New Roman" w:hAnsi="宋体" w:hint="eastAsia"/>
          <w:sz w:val="24"/>
          <w:szCs w:val="24"/>
        </w:rPr>
        <w:t>境外投资者在中国境内的分机构、子机构、联营（合营）机构与持有表决权</w:t>
      </w:r>
      <w:r w:rsidRPr="00A412F6">
        <w:rPr>
          <w:rFonts w:ascii="Times New Roman" w:hAnsi="Times New Roman"/>
          <w:sz w:val="24"/>
          <w:szCs w:val="24"/>
        </w:rPr>
        <w:t>10%</w:t>
      </w:r>
      <w:r w:rsidRPr="00A412F6">
        <w:rPr>
          <w:rFonts w:ascii="Times New Roman" w:hAnsi="宋体" w:hint="eastAsia"/>
          <w:sz w:val="24"/>
          <w:szCs w:val="24"/>
        </w:rPr>
        <w:t>及以上的境外投资者的股权或基金份额投资往来。</w:t>
      </w:r>
    </w:p>
    <w:p w14:paraId="3EDA34BE" w14:textId="77777777" w:rsidR="00A052DC" w:rsidRPr="007C7B79" w:rsidRDefault="00A412F6" w:rsidP="0020251D">
      <w:pPr>
        <w:pStyle w:val="3"/>
        <w:ind w:left="0"/>
        <w:rPr>
          <w:rFonts w:ascii="Times New Roman" w:hAnsi="Times New Roman"/>
        </w:rPr>
      </w:pPr>
      <w:bookmarkStart w:id="417" w:name="_Toc91455194"/>
      <w:bookmarkStart w:id="418" w:name="_Toc454386660"/>
      <w:bookmarkStart w:id="419" w:name="_Toc101684368"/>
      <w:r w:rsidRPr="00A412F6">
        <w:rPr>
          <w:rFonts w:ascii="Times New Roman" w:hint="eastAsia"/>
        </w:rPr>
        <w:t>证券投资</w:t>
      </w:r>
      <w:bookmarkEnd w:id="417"/>
      <w:bookmarkEnd w:id="418"/>
      <w:bookmarkEnd w:id="419"/>
    </w:p>
    <w:p w14:paraId="542640D4" w14:textId="77777777" w:rsidR="00A052DC" w:rsidRPr="007C7B79" w:rsidRDefault="00A412F6">
      <w:pPr>
        <w:pStyle w:val="aff0"/>
        <w:spacing w:line="360" w:lineRule="auto"/>
        <w:ind w:firstLineChars="0"/>
        <w:rPr>
          <w:rFonts w:ascii="Times New Roman" w:hAnsi="Times New Roman"/>
          <w:sz w:val="24"/>
          <w:szCs w:val="24"/>
        </w:rPr>
      </w:pPr>
      <w:r w:rsidRPr="00A412F6">
        <w:rPr>
          <w:rFonts w:ascii="Times New Roman" w:hAnsi="宋体" w:hint="eastAsia"/>
          <w:sz w:val="24"/>
          <w:szCs w:val="24"/>
        </w:rPr>
        <w:t>包括六部分：（</w:t>
      </w:r>
      <w:r w:rsidRPr="00A412F6">
        <w:rPr>
          <w:rFonts w:ascii="Times New Roman" w:hAnsi="Times New Roman"/>
          <w:sz w:val="24"/>
          <w:szCs w:val="24"/>
        </w:rPr>
        <w:t>1</w:t>
      </w:r>
      <w:r w:rsidRPr="00A412F6">
        <w:rPr>
          <w:rFonts w:ascii="Times New Roman" w:hAnsi="宋体"/>
          <w:sz w:val="24"/>
          <w:szCs w:val="24"/>
        </w:rPr>
        <w:t>）投资境外股本证券和投资基金份额（资产）；（</w:t>
      </w:r>
      <w:r w:rsidRPr="00A412F6">
        <w:rPr>
          <w:rFonts w:ascii="Times New Roman" w:hAnsi="Times New Roman"/>
          <w:sz w:val="24"/>
          <w:szCs w:val="24"/>
        </w:rPr>
        <w:t>2</w:t>
      </w:r>
      <w:r w:rsidRPr="00A412F6">
        <w:rPr>
          <w:rFonts w:ascii="Times New Roman" w:hAnsi="宋体"/>
          <w:sz w:val="24"/>
          <w:szCs w:val="24"/>
        </w:rPr>
        <w:t>）投资境外债务证券（资产）；（</w:t>
      </w:r>
      <w:r w:rsidRPr="00A412F6">
        <w:rPr>
          <w:rFonts w:ascii="Times New Roman" w:hAnsi="Times New Roman"/>
          <w:sz w:val="24"/>
          <w:szCs w:val="24"/>
        </w:rPr>
        <w:t>3</w:t>
      </w:r>
      <w:r w:rsidRPr="00A412F6">
        <w:rPr>
          <w:rFonts w:ascii="Times New Roman" w:hAnsi="宋体"/>
          <w:sz w:val="24"/>
          <w:szCs w:val="24"/>
        </w:rPr>
        <w:t>）投资非居民境内发行股本证券和债务证券；（</w:t>
      </w:r>
      <w:r w:rsidRPr="00A412F6">
        <w:rPr>
          <w:rFonts w:ascii="Times New Roman" w:hAnsi="Times New Roman"/>
          <w:sz w:val="24"/>
          <w:szCs w:val="24"/>
        </w:rPr>
        <w:t>4</w:t>
      </w:r>
      <w:r w:rsidRPr="00A412F6">
        <w:rPr>
          <w:rFonts w:ascii="Times New Roman" w:hAnsi="宋体"/>
          <w:sz w:val="24"/>
          <w:szCs w:val="24"/>
        </w:rPr>
        <w:t>）吸收境外股权和基金份额投资（负债）；（</w:t>
      </w:r>
      <w:r w:rsidRPr="00A412F6">
        <w:rPr>
          <w:rFonts w:ascii="Times New Roman" w:hAnsi="Times New Roman"/>
          <w:sz w:val="24"/>
          <w:szCs w:val="24"/>
        </w:rPr>
        <w:t>5</w:t>
      </w:r>
      <w:r w:rsidRPr="00A412F6">
        <w:rPr>
          <w:rFonts w:ascii="Times New Roman" w:hAnsi="宋体"/>
          <w:sz w:val="24"/>
          <w:szCs w:val="24"/>
        </w:rPr>
        <w:t>）境外发行债务证券（负债）；（</w:t>
      </w:r>
      <w:r w:rsidRPr="00A412F6">
        <w:rPr>
          <w:rFonts w:ascii="Times New Roman" w:hAnsi="Times New Roman"/>
          <w:sz w:val="24"/>
          <w:szCs w:val="24"/>
        </w:rPr>
        <w:t>6</w:t>
      </w:r>
      <w:r w:rsidRPr="00A412F6">
        <w:rPr>
          <w:rFonts w:ascii="Times New Roman" w:hAnsi="宋体"/>
          <w:sz w:val="24"/>
          <w:szCs w:val="24"/>
        </w:rPr>
        <w:t>）非居民投资境内发行股本证券和债务证券。具体</w:t>
      </w:r>
      <w:r w:rsidRPr="00A412F6">
        <w:rPr>
          <w:rFonts w:ascii="Times New Roman" w:hAnsi="宋体" w:hint="eastAsia"/>
          <w:sz w:val="24"/>
          <w:szCs w:val="24"/>
        </w:rPr>
        <w:t>为：</w:t>
      </w:r>
    </w:p>
    <w:p w14:paraId="5A91DCC1" w14:textId="77777777" w:rsidR="00A052DC" w:rsidRPr="007C7B79" w:rsidRDefault="009F0A60" w:rsidP="0020251D">
      <w:pPr>
        <w:pStyle w:val="4"/>
        <w:numPr>
          <w:ilvl w:val="3"/>
          <w:numId w:val="1"/>
        </w:numPr>
        <w:ind w:left="0"/>
        <w:jc w:val="left"/>
      </w:pPr>
      <w:bookmarkStart w:id="420" w:name="_Toc454386661"/>
      <w:r w:rsidRPr="007C7B79">
        <w:rPr>
          <w:rFonts w:hint="eastAsia"/>
        </w:rPr>
        <w:t>投资境外股本证券和投资基金份额（资产）</w:t>
      </w:r>
      <w:bookmarkEnd w:id="420"/>
    </w:p>
    <w:p w14:paraId="28CECCDA" w14:textId="77777777" w:rsidR="00A052DC" w:rsidRPr="007C7B79" w:rsidRDefault="00A412F6">
      <w:pPr>
        <w:pStyle w:val="aff0"/>
        <w:spacing w:line="360" w:lineRule="auto"/>
        <w:ind w:firstLineChars="0"/>
        <w:rPr>
          <w:rFonts w:ascii="Times New Roman" w:hAnsi="Times New Roman"/>
          <w:sz w:val="24"/>
          <w:szCs w:val="24"/>
        </w:rPr>
      </w:pPr>
      <w:r w:rsidRPr="00A412F6">
        <w:rPr>
          <w:rFonts w:ascii="Times New Roman" w:hAnsi="宋体" w:hint="eastAsia"/>
          <w:sz w:val="24"/>
          <w:szCs w:val="24"/>
        </w:rPr>
        <w:t>指持有境内机构境外发行以及境外机构的普通股、投资基金份额和参与性优先股的情况（申报主体持有表决权在</w:t>
      </w:r>
      <w:r w:rsidRPr="00A412F6">
        <w:rPr>
          <w:rFonts w:ascii="Times New Roman" w:hAnsi="Times New Roman"/>
          <w:sz w:val="24"/>
          <w:szCs w:val="24"/>
        </w:rPr>
        <w:t>10%</w:t>
      </w:r>
      <w:r w:rsidRPr="00A412F6">
        <w:rPr>
          <w:rFonts w:ascii="Times New Roman" w:hAnsi="宋体"/>
          <w:sz w:val="24"/>
          <w:szCs w:val="24"/>
        </w:rPr>
        <w:t>以下），以及持有境内机构境外发行以及境外机构发行的投资基金份额或单位。</w:t>
      </w:r>
    </w:p>
    <w:p w14:paraId="2095A0E3" w14:textId="77777777" w:rsidR="00A052DC" w:rsidRPr="007C7B79" w:rsidRDefault="009F0A60" w:rsidP="0020251D">
      <w:pPr>
        <w:pStyle w:val="4"/>
        <w:numPr>
          <w:ilvl w:val="3"/>
          <w:numId w:val="1"/>
        </w:numPr>
        <w:ind w:left="0"/>
        <w:jc w:val="left"/>
      </w:pPr>
      <w:bookmarkStart w:id="421" w:name="_Toc454386662"/>
      <w:r w:rsidRPr="007C7B79">
        <w:rPr>
          <w:rFonts w:hint="eastAsia"/>
        </w:rPr>
        <w:t>投资境外债务证券（资产）</w:t>
      </w:r>
      <w:bookmarkEnd w:id="421"/>
    </w:p>
    <w:p w14:paraId="2749E834" w14:textId="77777777" w:rsidR="00A052DC" w:rsidRPr="007C7B79" w:rsidRDefault="00A412F6">
      <w:pPr>
        <w:pStyle w:val="aff0"/>
        <w:spacing w:line="360" w:lineRule="auto"/>
        <w:ind w:firstLineChars="0"/>
        <w:rPr>
          <w:rFonts w:ascii="Times New Roman" w:hAnsi="Times New Roman"/>
          <w:sz w:val="24"/>
          <w:szCs w:val="24"/>
        </w:rPr>
      </w:pPr>
      <w:r w:rsidRPr="00A412F6">
        <w:rPr>
          <w:rFonts w:ascii="Times New Roman" w:hAnsi="宋体" w:hint="eastAsia"/>
          <w:sz w:val="24"/>
          <w:szCs w:val="24"/>
        </w:rPr>
        <w:t>指持有境内机构在境外发行，以及境外机构发行的可流通债务证券的情况。</w:t>
      </w:r>
    </w:p>
    <w:p w14:paraId="595DCE28" w14:textId="77777777" w:rsidR="00A052DC" w:rsidRPr="007C7B79" w:rsidRDefault="009F0A60" w:rsidP="0020251D">
      <w:pPr>
        <w:pStyle w:val="4"/>
        <w:numPr>
          <w:ilvl w:val="3"/>
          <w:numId w:val="1"/>
        </w:numPr>
        <w:ind w:left="0"/>
        <w:jc w:val="left"/>
      </w:pPr>
      <w:bookmarkStart w:id="422" w:name="_Toc454386663"/>
      <w:r w:rsidRPr="007C7B79">
        <w:rPr>
          <w:rFonts w:hint="eastAsia"/>
        </w:rPr>
        <w:t>投资非居民境内发行股本证券和债务证券</w:t>
      </w:r>
      <w:bookmarkEnd w:id="422"/>
      <w:r w:rsidRPr="007C7B79">
        <w:rPr>
          <w:rFonts w:hint="eastAsia"/>
        </w:rPr>
        <w:t>（资产）</w:t>
      </w:r>
    </w:p>
    <w:p w14:paraId="7EBAC85E" w14:textId="77777777" w:rsidR="00A052DC" w:rsidRPr="007C7B79" w:rsidRDefault="00A412F6">
      <w:pPr>
        <w:pStyle w:val="aff0"/>
        <w:spacing w:line="360" w:lineRule="auto"/>
        <w:ind w:firstLineChars="0"/>
        <w:rPr>
          <w:rFonts w:ascii="Times New Roman" w:hAnsi="Times New Roman"/>
          <w:sz w:val="24"/>
          <w:szCs w:val="24"/>
        </w:rPr>
      </w:pPr>
      <w:r w:rsidRPr="00A412F6">
        <w:rPr>
          <w:rFonts w:ascii="Times New Roman" w:hAnsi="宋体" w:hint="eastAsia"/>
          <w:sz w:val="24"/>
          <w:szCs w:val="24"/>
        </w:rPr>
        <w:t>指投资非居民在境内金融市场发行的股本证券、投资基金份额、债务证券和存托凭证情况。仅限中央国债登记结算有限责任公司、中国证券登记结算有限公司、银行间市场清算所股份有限公司填报。</w:t>
      </w:r>
    </w:p>
    <w:p w14:paraId="5EA5B74E" w14:textId="77777777" w:rsidR="00A052DC" w:rsidRPr="007C7B79" w:rsidRDefault="009F0A60" w:rsidP="0020251D">
      <w:pPr>
        <w:pStyle w:val="4"/>
        <w:numPr>
          <w:ilvl w:val="3"/>
          <w:numId w:val="1"/>
        </w:numPr>
        <w:ind w:left="0"/>
        <w:jc w:val="left"/>
      </w:pPr>
      <w:bookmarkStart w:id="423" w:name="_Toc454386664"/>
      <w:r w:rsidRPr="007C7B79">
        <w:rPr>
          <w:rFonts w:hint="eastAsia"/>
        </w:rPr>
        <w:t>吸收境外股权和基金份额投资（负债）</w:t>
      </w:r>
      <w:bookmarkEnd w:id="423"/>
    </w:p>
    <w:p w14:paraId="1676209A" w14:textId="77777777" w:rsidR="00A052DC" w:rsidRPr="007C7B79" w:rsidRDefault="00A412F6">
      <w:pPr>
        <w:pStyle w:val="aff0"/>
        <w:spacing w:line="360" w:lineRule="auto"/>
        <w:ind w:firstLineChars="0"/>
        <w:rPr>
          <w:rFonts w:ascii="Times New Roman" w:hAnsi="Times New Roman"/>
          <w:sz w:val="24"/>
          <w:szCs w:val="24"/>
        </w:rPr>
      </w:pPr>
      <w:r w:rsidRPr="00A412F6">
        <w:rPr>
          <w:rFonts w:ascii="Times New Roman" w:hAnsi="宋体" w:hint="eastAsia"/>
          <w:sz w:val="24"/>
          <w:szCs w:val="24"/>
        </w:rPr>
        <w:t>境内外投资者持有申报主体非上市股份、境外发行的上市股份或基金份额，且表决权比例在</w:t>
      </w:r>
      <w:r w:rsidRPr="00A412F6">
        <w:rPr>
          <w:rFonts w:ascii="Times New Roman" w:hAnsi="Times New Roman"/>
          <w:sz w:val="24"/>
          <w:szCs w:val="24"/>
        </w:rPr>
        <w:t>10%</w:t>
      </w:r>
      <w:r w:rsidRPr="00A412F6">
        <w:rPr>
          <w:rFonts w:ascii="Times New Roman" w:hAnsi="宋体" w:hint="eastAsia"/>
          <w:sz w:val="24"/>
          <w:szCs w:val="24"/>
        </w:rPr>
        <w:t>以下；境内外投资者持有申报主体在境外发行的上市股份投资基金份额和单位情况。</w:t>
      </w:r>
    </w:p>
    <w:p w14:paraId="4CCD71B0" w14:textId="77777777" w:rsidR="00A052DC" w:rsidRPr="007C7B79" w:rsidRDefault="009F0A60" w:rsidP="0020251D">
      <w:pPr>
        <w:pStyle w:val="4"/>
        <w:numPr>
          <w:ilvl w:val="3"/>
          <w:numId w:val="1"/>
        </w:numPr>
        <w:ind w:left="0"/>
        <w:jc w:val="left"/>
      </w:pPr>
      <w:bookmarkStart w:id="424" w:name="_Toc454386665"/>
      <w:r w:rsidRPr="007C7B79">
        <w:rPr>
          <w:rFonts w:hint="eastAsia"/>
        </w:rPr>
        <w:t>境外发行债务证券（负债）</w:t>
      </w:r>
      <w:bookmarkEnd w:id="424"/>
    </w:p>
    <w:p w14:paraId="008F3A31" w14:textId="77777777" w:rsidR="00A052DC" w:rsidRPr="007C7B79" w:rsidRDefault="00A412F6">
      <w:pPr>
        <w:pStyle w:val="aff0"/>
        <w:spacing w:line="360" w:lineRule="auto"/>
        <w:ind w:left="420" w:firstLineChars="0" w:firstLine="0"/>
        <w:rPr>
          <w:rFonts w:ascii="Times New Roman" w:hAnsi="Times New Roman"/>
          <w:sz w:val="24"/>
          <w:szCs w:val="24"/>
        </w:rPr>
      </w:pPr>
      <w:r w:rsidRPr="00A412F6">
        <w:rPr>
          <w:rFonts w:ascii="Times New Roman" w:hAnsi="宋体" w:hint="eastAsia"/>
          <w:sz w:val="24"/>
          <w:szCs w:val="24"/>
        </w:rPr>
        <w:t>机构和个人持有申报主体境外发行可流通债券的情况。</w:t>
      </w:r>
    </w:p>
    <w:p w14:paraId="11B827B2" w14:textId="77777777" w:rsidR="00A052DC" w:rsidRPr="007C7B79" w:rsidRDefault="009F0A60" w:rsidP="0020251D">
      <w:pPr>
        <w:pStyle w:val="4"/>
        <w:numPr>
          <w:ilvl w:val="3"/>
          <w:numId w:val="1"/>
        </w:numPr>
        <w:ind w:left="0"/>
        <w:jc w:val="left"/>
      </w:pPr>
      <w:bookmarkStart w:id="425" w:name="_Toc454386666"/>
      <w:r w:rsidRPr="007C7B79">
        <w:rPr>
          <w:rFonts w:hint="eastAsia"/>
        </w:rPr>
        <w:t>非居民投资境内发行股本证券和债务证券</w:t>
      </w:r>
      <w:bookmarkEnd w:id="425"/>
      <w:r w:rsidRPr="007C7B79">
        <w:rPr>
          <w:rFonts w:hint="eastAsia"/>
        </w:rPr>
        <w:t>（负债）</w:t>
      </w:r>
    </w:p>
    <w:p w14:paraId="60D78C7D" w14:textId="77777777" w:rsidR="00A052DC" w:rsidRPr="007C7B79" w:rsidRDefault="00A412F6">
      <w:pPr>
        <w:pStyle w:val="aff0"/>
        <w:spacing w:line="360" w:lineRule="auto"/>
        <w:ind w:firstLineChars="0"/>
        <w:rPr>
          <w:rFonts w:ascii="Times New Roman" w:hAnsi="Times New Roman"/>
          <w:sz w:val="24"/>
          <w:szCs w:val="24"/>
        </w:rPr>
      </w:pPr>
      <w:r w:rsidRPr="00A412F6">
        <w:rPr>
          <w:rFonts w:ascii="Times New Roman" w:hAnsi="宋体" w:hint="eastAsia"/>
          <w:sz w:val="24"/>
          <w:szCs w:val="24"/>
        </w:rPr>
        <w:t>非居民机构和个人投资中国居民境内上市的股本证券、投资基金份额、债务证券和存托凭证情况。仅限中央国债登记结算有限责任公司、中国证券登记结算有限公司、银行间市场清算所股份有限公司以及其他指定申报主体填报。</w:t>
      </w:r>
    </w:p>
    <w:p w14:paraId="48357EEC" w14:textId="77777777" w:rsidR="00A052DC" w:rsidRDefault="009F0A60" w:rsidP="0020251D">
      <w:pPr>
        <w:pStyle w:val="3"/>
        <w:ind w:left="0"/>
      </w:pPr>
      <w:bookmarkStart w:id="426" w:name="_Toc454386667"/>
      <w:bookmarkStart w:id="427" w:name="_Toc91455195"/>
      <w:bookmarkStart w:id="428" w:name="_Toc101684369"/>
      <w:r>
        <w:rPr>
          <w:rFonts w:hint="eastAsia"/>
        </w:rPr>
        <w:t>金融衍生产品及雇员认股权</w:t>
      </w:r>
      <w:bookmarkEnd w:id="426"/>
      <w:bookmarkEnd w:id="427"/>
      <w:bookmarkEnd w:id="428"/>
    </w:p>
    <w:p w14:paraId="47530E48" w14:textId="77777777" w:rsidR="00A052DC" w:rsidRDefault="009F0A60">
      <w:pPr>
        <w:pStyle w:val="aff0"/>
        <w:spacing w:line="360" w:lineRule="auto"/>
        <w:ind w:firstLineChars="0"/>
        <w:rPr>
          <w:rFonts w:ascii="宋体" w:hAnsi="宋体"/>
          <w:sz w:val="24"/>
          <w:szCs w:val="24"/>
        </w:rPr>
      </w:pPr>
      <w:r>
        <w:rPr>
          <w:rFonts w:ascii="宋体" w:hAnsi="宋体" w:hint="eastAsia"/>
          <w:sz w:val="24"/>
          <w:szCs w:val="24"/>
        </w:rPr>
        <w:t>中国居民与非居民之间的金融衍生产品和雇员认股权交易和头寸。</w:t>
      </w:r>
    </w:p>
    <w:p w14:paraId="5857C53C" w14:textId="77777777" w:rsidR="00A052DC" w:rsidRPr="007C7B79" w:rsidRDefault="00A412F6" w:rsidP="0020251D">
      <w:pPr>
        <w:pStyle w:val="3"/>
        <w:ind w:left="0"/>
        <w:rPr>
          <w:rFonts w:ascii="Times New Roman" w:hAnsi="Times New Roman"/>
        </w:rPr>
      </w:pPr>
      <w:bookmarkStart w:id="429" w:name="_Toc454386668"/>
      <w:bookmarkStart w:id="430" w:name="_Toc91455196"/>
      <w:bookmarkStart w:id="431" w:name="_Toc101684370"/>
      <w:r w:rsidRPr="00A412F6">
        <w:rPr>
          <w:rFonts w:ascii="Times New Roman" w:hint="eastAsia"/>
        </w:rPr>
        <w:t>存贷款、应收应付款及非公司制机构股权等其他投资</w:t>
      </w:r>
      <w:bookmarkEnd w:id="429"/>
      <w:bookmarkEnd w:id="430"/>
      <w:bookmarkEnd w:id="431"/>
    </w:p>
    <w:p w14:paraId="3A3669E9" w14:textId="77777777" w:rsidR="00A052DC" w:rsidRPr="007C7B79" w:rsidRDefault="00A412F6">
      <w:pPr>
        <w:pStyle w:val="aff0"/>
        <w:spacing w:line="360" w:lineRule="auto"/>
        <w:ind w:firstLineChars="0"/>
        <w:rPr>
          <w:rFonts w:ascii="Times New Roman" w:hAnsi="Times New Roman"/>
          <w:sz w:val="24"/>
          <w:szCs w:val="24"/>
        </w:rPr>
      </w:pPr>
      <w:r w:rsidRPr="00A412F6">
        <w:rPr>
          <w:rFonts w:ascii="Times New Roman" w:hAnsi="Times New Roman" w:hint="eastAsia"/>
          <w:sz w:val="24"/>
          <w:szCs w:val="24"/>
        </w:rPr>
        <w:t>包括九部分：（</w:t>
      </w:r>
      <w:r w:rsidRPr="00A412F6">
        <w:rPr>
          <w:rFonts w:ascii="Times New Roman" w:hAnsi="Times New Roman"/>
          <w:sz w:val="24"/>
          <w:szCs w:val="24"/>
        </w:rPr>
        <w:t>1</w:t>
      </w:r>
      <w:r w:rsidRPr="00A412F6">
        <w:rPr>
          <w:rFonts w:ascii="Times New Roman" w:hAnsi="Times New Roman"/>
          <w:sz w:val="24"/>
          <w:szCs w:val="24"/>
        </w:rPr>
        <w:t>）货币与存款（含存放银行同业和联行）（资产）；（</w:t>
      </w:r>
      <w:r w:rsidRPr="00A412F6">
        <w:rPr>
          <w:rFonts w:ascii="Times New Roman" w:hAnsi="Times New Roman"/>
          <w:sz w:val="24"/>
          <w:szCs w:val="24"/>
        </w:rPr>
        <w:t>2</w:t>
      </w:r>
      <w:r w:rsidRPr="00A412F6">
        <w:rPr>
          <w:rFonts w:ascii="Times New Roman" w:hAnsi="Times New Roman"/>
          <w:sz w:val="24"/>
          <w:szCs w:val="24"/>
        </w:rPr>
        <w:t>）贷款（含拆放银行同业及联行）（资产）；（</w:t>
      </w:r>
      <w:r w:rsidRPr="00A412F6">
        <w:rPr>
          <w:rFonts w:ascii="Times New Roman" w:hAnsi="Times New Roman"/>
          <w:sz w:val="24"/>
          <w:szCs w:val="24"/>
        </w:rPr>
        <w:t>3</w:t>
      </w:r>
      <w:r w:rsidRPr="00A412F6">
        <w:rPr>
          <w:rFonts w:ascii="Times New Roman" w:hAnsi="Times New Roman"/>
          <w:sz w:val="24"/>
          <w:szCs w:val="24"/>
        </w:rPr>
        <w:t>）持有境外非公司制机构</w:t>
      </w:r>
      <w:r w:rsidRPr="00A412F6">
        <w:rPr>
          <w:rFonts w:ascii="Times New Roman" w:hAnsi="Times New Roman"/>
          <w:sz w:val="24"/>
          <w:szCs w:val="24"/>
        </w:rPr>
        <w:t>10%</w:t>
      </w:r>
      <w:r w:rsidRPr="00A412F6">
        <w:rPr>
          <w:rFonts w:ascii="Times New Roman" w:hAnsi="Times New Roman"/>
          <w:sz w:val="24"/>
          <w:szCs w:val="24"/>
        </w:rPr>
        <w:t>以下表决权和国际组织股权（资产）；（</w:t>
      </w:r>
      <w:r w:rsidRPr="00A412F6">
        <w:rPr>
          <w:rFonts w:ascii="Times New Roman" w:hAnsi="Times New Roman"/>
          <w:sz w:val="24"/>
          <w:szCs w:val="24"/>
        </w:rPr>
        <w:t>4</w:t>
      </w:r>
      <w:r w:rsidRPr="00A412F6">
        <w:rPr>
          <w:rFonts w:ascii="Times New Roman" w:hAnsi="Times New Roman"/>
          <w:sz w:val="24"/>
          <w:szCs w:val="24"/>
        </w:rPr>
        <w:t>）应收款（不含应收利息）（资产）；（</w:t>
      </w:r>
      <w:r w:rsidRPr="00A412F6">
        <w:rPr>
          <w:rFonts w:ascii="Times New Roman" w:hAnsi="Times New Roman"/>
          <w:sz w:val="24"/>
          <w:szCs w:val="24"/>
        </w:rPr>
        <w:t>5</w:t>
      </w:r>
      <w:r w:rsidRPr="00A412F6">
        <w:rPr>
          <w:rFonts w:ascii="Times New Roman" w:hAnsi="Times New Roman"/>
          <w:sz w:val="24"/>
          <w:szCs w:val="24"/>
        </w:rPr>
        <w:t>）存款（含银行同业和联行存放）（负债）；（</w:t>
      </w:r>
      <w:r w:rsidRPr="00A412F6">
        <w:rPr>
          <w:rFonts w:ascii="Times New Roman" w:hAnsi="Times New Roman"/>
          <w:sz w:val="24"/>
          <w:szCs w:val="24"/>
        </w:rPr>
        <w:t>6</w:t>
      </w:r>
      <w:r w:rsidRPr="00A412F6">
        <w:rPr>
          <w:rFonts w:ascii="Times New Roman" w:hAnsi="Times New Roman"/>
          <w:sz w:val="24"/>
          <w:szCs w:val="24"/>
        </w:rPr>
        <w:t>）贷款（含银行同业和联行拆借）（负债）；（</w:t>
      </w:r>
      <w:r w:rsidRPr="00A412F6">
        <w:rPr>
          <w:rFonts w:ascii="Times New Roman" w:hAnsi="Times New Roman"/>
          <w:sz w:val="24"/>
          <w:szCs w:val="24"/>
        </w:rPr>
        <w:t>7</w:t>
      </w:r>
      <w:r w:rsidRPr="00A412F6">
        <w:rPr>
          <w:rFonts w:ascii="Times New Roman" w:hAnsi="Times New Roman"/>
          <w:sz w:val="24"/>
          <w:szCs w:val="24"/>
        </w:rPr>
        <w:t>）非居民持有本机构（非公司制）</w:t>
      </w:r>
      <w:r w:rsidRPr="00A412F6">
        <w:rPr>
          <w:rFonts w:ascii="Times New Roman" w:hAnsi="Times New Roman"/>
          <w:sz w:val="24"/>
          <w:szCs w:val="24"/>
        </w:rPr>
        <w:t>10%</w:t>
      </w:r>
      <w:r w:rsidRPr="00A412F6">
        <w:rPr>
          <w:rFonts w:ascii="Times New Roman" w:hAnsi="Times New Roman"/>
          <w:sz w:val="24"/>
          <w:szCs w:val="24"/>
        </w:rPr>
        <w:t>以下表决权（负债）；（</w:t>
      </w:r>
      <w:r w:rsidRPr="00A412F6">
        <w:rPr>
          <w:rFonts w:ascii="Times New Roman" w:hAnsi="Times New Roman"/>
          <w:sz w:val="24"/>
          <w:szCs w:val="24"/>
        </w:rPr>
        <w:t>8</w:t>
      </w:r>
      <w:r w:rsidRPr="00A412F6">
        <w:rPr>
          <w:rFonts w:ascii="Times New Roman" w:hAnsi="Times New Roman"/>
          <w:sz w:val="24"/>
          <w:szCs w:val="24"/>
        </w:rPr>
        <w:t>）应付款（不含应付利息）（负债）；（</w:t>
      </w:r>
      <w:r w:rsidRPr="00A412F6">
        <w:rPr>
          <w:rFonts w:ascii="Times New Roman" w:hAnsi="Times New Roman"/>
          <w:sz w:val="24"/>
          <w:szCs w:val="24"/>
        </w:rPr>
        <w:t>9</w:t>
      </w:r>
      <w:r w:rsidRPr="00A412F6">
        <w:rPr>
          <w:rFonts w:ascii="Times New Roman" w:hAnsi="Times New Roman"/>
          <w:sz w:val="24"/>
          <w:szCs w:val="24"/>
        </w:rPr>
        <w:t>）对非居民的贷款和应收款减值准备余额。具体</w:t>
      </w:r>
      <w:r w:rsidRPr="00A412F6">
        <w:rPr>
          <w:rFonts w:ascii="Times New Roman" w:hAnsi="Times New Roman" w:hint="eastAsia"/>
          <w:sz w:val="24"/>
          <w:szCs w:val="24"/>
        </w:rPr>
        <w:t>为：</w:t>
      </w:r>
    </w:p>
    <w:p w14:paraId="5489E4B0" w14:textId="77777777" w:rsidR="00A052DC" w:rsidRPr="007C7B79" w:rsidRDefault="009F0A60" w:rsidP="0020251D">
      <w:pPr>
        <w:pStyle w:val="4"/>
        <w:numPr>
          <w:ilvl w:val="3"/>
          <w:numId w:val="1"/>
        </w:numPr>
        <w:ind w:left="0"/>
        <w:jc w:val="left"/>
      </w:pPr>
      <w:bookmarkStart w:id="432" w:name="_Toc454386669"/>
      <w:r w:rsidRPr="007C7B79">
        <w:rPr>
          <w:rFonts w:hint="eastAsia"/>
        </w:rPr>
        <w:t>货币与存款（含存放银行同业和联行）（资产）</w:t>
      </w:r>
      <w:bookmarkEnd w:id="432"/>
    </w:p>
    <w:p w14:paraId="491713FF" w14:textId="77777777" w:rsidR="00A052DC" w:rsidRPr="007C7B79" w:rsidRDefault="00A412F6">
      <w:pPr>
        <w:pStyle w:val="aff0"/>
        <w:spacing w:line="360" w:lineRule="auto"/>
        <w:ind w:firstLineChars="0"/>
        <w:rPr>
          <w:rFonts w:ascii="Times New Roman" w:hAnsi="Times New Roman"/>
          <w:sz w:val="24"/>
          <w:szCs w:val="24"/>
        </w:rPr>
      </w:pPr>
      <w:r w:rsidRPr="00A412F6">
        <w:rPr>
          <w:rFonts w:ascii="Times New Roman" w:hAnsi="宋体" w:hint="eastAsia"/>
          <w:sz w:val="24"/>
          <w:szCs w:val="24"/>
        </w:rPr>
        <w:t>申报主体持有的外币现金（外币现钞和硬币），以及存放在境外机构的款项，包括存放境外同业和联行的款项。</w:t>
      </w:r>
    </w:p>
    <w:p w14:paraId="1566F23C" w14:textId="77777777" w:rsidR="00A052DC" w:rsidRPr="007C7B79" w:rsidRDefault="009F0A60" w:rsidP="0020251D">
      <w:pPr>
        <w:pStyle w:val="4"/>
        <w:numPr>
          <w:ilvl w:val="3"/>
          <w:numId w:val="1"/>
        </w:numPr>
        <w:ind w:left="0"/>
        <w:jc w:val="left"/>
      </w:pPr>
      <w:bookmarkStart w:id="433" w:name="_Toc454386670"/>
      <w:r w:rsidRPr="007C7B79">
        <w:rPr>
          <w:rFonts w:hint="eastAsia"/>
        </w:rPr>
        <w:t>贷款（含拆放银行同业及联行）（资产）</w:t>
      </w:r>
      <w:bookmarkEnd w:id="433"/>
    </w:p>
    <w:p w14:paraId="29679E0C" w14:textId="77777777" w:rsidR="00A052DC" w:rsidRPr="007C7B79" w:rsidRDefault="00A412F6">
      <w:pPr>
        <w:pStyle w:val="aff0"/>
        <w:spacing w:line="360" w:lineRule="auto"/>
        <w:ind w:firstLineChars="0"/>
        <w:rPr>
          <w:rFonts w:ascii="Times New Roman" w:hAnsi="Times New Roman"/>
          <w:sz w:val="24"/>
          <w:szCs w:val="24"/>
        </w:rPr>
      </w:pPr>
      <w:r w:rsidRPr="00A412F6">
        <w:rPr>
          <w:rFonts w:ascii="Times New Roman" w:hAnsi="宋体" w:hint="eastAsia"/>
          <w:sz w:val="24"/>
          <w:szCs w:val="24"/>
        </w:rPr>
        <w:t>申报主体向境外机构提供的贷款，包括向境外银行、非银行金融机构、非金融机构和个人提供的贷款，以及拆放境外同业和联行款项。</w:t>
      </w:r>
    </w:p>
    <w:p w14:paraId="0726F952" w14:textId="77777777" w:rsidR="00A052DC" w:rsidRPr="007C7B79" w:rsidRDefault="009F0A60" w:rsidP="0020251D">
      <w:pPr>
        <w:pStyle w:val="4"/>
        <w:numPr>
          <w:ilvl w:val="3"/>
          <w:numId w:val="1"/>
        </w:numPr>
        <w:ind w:left="0"/>
        <w:jc w:val="left"/>
      </w:pPr>
      <w:bookmarkStart w:id="434" w:name="_Toc454386671"/>
      <w:r w:rsidRPr="007C7B79">
        <w:rPr>
          <w:rFonts w:hint="eastAsia"/>
        </w:rPr>
        <w:t>持有境外非公司制机构</w:t>
      </w:r>
      <w:r w:rsidRPr="007C7B79">
        <w:t>10%</w:t>
      </w:r>
      <w:r w:rsidRPr="007C7B79">
        <w:rPr>
          <w:rFonts w:hint="eastAsia"/>
        </w:rPr>
        <w:t>以下表决权和国际组织股权（资产）</w:t>
      </w:r>
      <w:bookmarkEnd w:id="434"/>
    </w:p>
    <w:p w14:paraId="7D3772C9" w14:textId="77777777" w:rsidR="00A052DC" w:rsidRPr="007C7B79" w:rsidRDefault="00A412F6">
      <w:pPr>
        <w:pStyle w:val="aff0"/>
        <w:spacing w:line="360" w:lineRule="auto"/>
        <w:ind w:firstLineChars="0"/>
        <w:rPr>
          <w:rFonts w:ascii="Times New Roman" w:hAnsi="Times New Roman"/>
          <w:sz w:val="24"/>
          <w:szCs w:val="24"/>
        </w:rPr>
      </w:pPr>
      <w:r w:rsidRPr="00A412F6">
        <w:rPr>
          <w:rFonts w:ascii="Times New Roman" w:hAnsi="宋体" w:hint="eastAsia"/>
          <w:sz w:val="24"/>
          <w:szCs w:val="24"/>
        </w:rPr>
        <w:t>申报主体持有境外非公司制机构的</w:t>
      </w:r>
      <w:r w:rsidRPr="00A412F6">
        <w:rPr>
          <w:rFonts w:ascii="Times New Roman" w:hAnsi="Times New Roman"/>
          <w:sz w:val="24"/>
          <w:szCs w:val="24"/>
        </w:rPr>
        <w:t>10%</w:t>
      </w:r>
      <w:r w:rsidRPr="00A412F6">
        <w:rPr>
          <w:rFonts w:ascii="Times New Roman" w:hAnsi="宋体"/>
          <w:sz w:val="24"/>
          <w:szCs w:val="24"/>
        </w:rPr>
        <w:t>以下表决权</w:t>
      </w:r>
      <w:r w:rsidRPr="00A412F6">
        <w:rPr>
          <w:rFonts w:ascii="Times New Roman" w:hAnsi="宋体" w:hint="eastAsia"/>
          <w:sz w:val="24"/>
          <w:szCs w:val="24"/>
        </w:rPr>
        <w:t>和国际组织</w:t>
      </w:r>
      <w:r w:rsidRPr="00A412F6">
        <w:rPr>
          <w:rFonts w:ascii="Times New Roman" w:hAnsi="宋体"/>
          <w:sz w:val="24"/>
          <w:szCs w:val="24"/>
        </w:rPr>
        <w:t>的不可流通股权。</w:t>
      </w:r>
    </w:p>
    <w:p w14:paraId="533B8B78" w14:textId="77777777" w:rsidR="00A052DC" w:rsidRPr="007C7B79" w:rsidRDefault="009F0A60" w:rsidP="0020251D">
      <w:pPr>
        <w:pStyle w:val="4"/>
        <w:numPr>
          <w:ilvl w:val="3"/>
          <w:numId w:val="1"/>
        </w:numPr>
        <w:ind w:left="0"/>
        <w:jc w:val="left"/>
      </w:pPr>
      <w:bookmarkStart w:id="435" w:name="_Toc454386672"/>
      <w:r w:rsidRPr="007C7B79">
        <w:rPr>
          <w:rFonts w:hint="eastAsia"/>
        </w:rPr>
        <w:t>应收款及预付款（不含应收利息）（资产）</w:t>
      </w:r>
      <w:bookmarkEnd w:id="435"/>
    </w:p>
    <w:p w14:paraId="2E625D93" w14:textId="77777777" w:rsidR="00A052DC" w:rsidRPr="007C7B79" w:rsidRDefault="00A412F6">
      <w:pPr>
        <w:pStyle w:val="aff0"/>
        <w:spacing w:line="360" w:lineRule="auto"/>
        <w:ind w:firstLineChars="0"/>
        <w:rPr>
          <w:rFonts w:ascii="Times New Roman" w:hAnsi="Times New Roman"/>
          <w:sz w:val="24"/>
          <w:szCs w:val="24"/>
        </w:rPr>
      </w:pPr>
      <w:r w:rsidRPr="00A412F6">
        <w:rPr>
          <w:rFonts w:ascii="Times New Roman" w:hAnsi="宋体" w:hint="eastAsia"/>
          <w:sz w:val="24"/>
          <w:szCs w:val="24"/>
        </w:rPr>
        <w:t>指申报主体对非居民的各类应收款，但不含应收利息。</w:t>
      </w:r>
    </w:p>
    <w:p w14:paraId="0EACA839" w14:textId="77777777" w:rsidR="00A052DC" w:rsidRPr="007C7B79" w:rsidRDefault="009F0A60" w:rsidP="0020251D">
      <w:pPr>
        <w:pStyle w:val="4"/>
        <w:numPr>
          <w:ilvl w:val="3"/>
          <w:numId w:val="1"/>
        </w:numPr>
        <w:ind w:left="0"/>
        <w:jc w:val="left"/>
      </w:pPr>
      <w:bookmarkStart w:id="436" w:name="_Toc454386673"/>
      <w:r w:rsidRPr="007C7B79">
        <w:rPr>
          <w:rFonts w:hint="eastAsia"/>
        </w:rPr>
        <w:t>存款（含银行同业和联行存放）（负债）</w:t>
      </w:r>
      <w:bookmarkEnd w:id="436"/>
    </w:p>
    <w:p w14:paraId="10BE41B1" w14:textId="77777777" w:rsidR="00A052DC" w:rsidRPr="007C7B79" w:rsidRDefault="00A412F6">
      <w:pPr>
        <w:pStyle w:val="aff0"/>
        <w:spacing w:line="360" w:lineRule="auto"/>
        <w:ind w:firstLineChars="0"/>
        <w:rPr>
          <w:rFonts w:ascii="Times New Roman" w:hAnsi="Times New Roman"/>
          <w:sz w:val="24"/>
          <w:szCs w:val="24"/>
        </w:rPr>
      </w:pPr>
      <w:r w:rsidRPr="00A412F6">
        <w:rPr>
          <w:rFonts w:ascii="Times New Roman" w:hAnsi="宋体" w:hint="eastAsia"/>
          <w:sz w:val="24"/>
          <w:szCs w:val="24"/>
        </w:rPr>
        <w:t>申报主体吸收的非居民存款，包括境外银行、非银行金融机构、非金融机构和非居民个人的存款。</w:t>
      </w:r>
    </w:p>
    <w:p w14:paraId="6DEAD281" w14:textId="77777777" w:rsidR="00A052DC" w:rsidRPr="007C7B79" w:rsidRDefault="009F0A60" w:rsidP="0020251D">
      <w:pPr>
        <w:pStyle w:val="4"/>
        <w:numPr>
          <w:ilvl w:val="3"/>
          <w:numId w:val="1"/>
        </w:numPr>
        <w:ind w:left="0"/>
        <w:jc w:val="left"/>
      </w:pPr>
      <w:bookmarkStart w:id="437" w:name="_Toc454386674"/>
      <w:r w:rsidRPr="007C7B79">
        <w:rPr>
          <w:rFonts w:hint="eastAsia"/>
        </w:rPr>
        <w:t>贷款（含银行同业和联行拆借）（负债）</w:t>
      </w:r>
      <w:bookmarkEnd w:id="437"/>
    </w:p>
    <w:p w14:paraId="649A8956" w14:textId="77777777" w:rsidR="00A052DC" w:rsidRPr="007C7B79" w:rsidRDefault="00A412F6">
      <w:pPr>
        <w:pStyle w:val="aff0"/>
        <w:spacing w:line="360" w:lineRule="auto"/>
        <w:ind w:firstLineChars="0"/>
        <w:rPr>
          <w:rFonts w:ascii="Times New Roman" w:hAnsi="Times New Roman"/>
          <w:sz w:val="24"/>
          <w:szCs w:val="24"/>
        </w:rPr>
      </w:pPr>
      <w:r w:rsidRPr="00A412F6">
        <w:rPr>
          <w:rFonts w:ascii="Times New Roman" w:hAnsi="宋体" w:hint="eastAsia"/>
          <w:sz w:val="24"/>
          <w:szCs w:val="24"/>
        </w:rPr>
        <w:t>申报主体借用的非居民贷款，包括境外银行、非银行金融机构、非金融机构和个人提供的贷款和拆放款项。</w:t>
      </w:r>
    </w:p>
    <w:p w14:paraId="1793866E" w14:textId="77777777" w:rsidR="00A052DC" w:rsidRPr="007C7B79" w:rsidRDefault="009F0A60" w:rsidP="0020251D">
      <w:pPr>
        <w:pStyle w:val="4"/>
        <w:numPr>
          <w:ilvl w:val="3"/>
          <w:numId w:val="1"/>
        </w:numPr>
        <w:ind w:left="0"/>
        <w:jc w:val="left"/>
      </w:pPr>
      <w:bookmarkStart w:id="438" w:name="_Toc454386675"/>
      <w:r w:rsidRPr="007C7B79">
        <w:rPr>
          <w:rFonts w:hint="eastAsia"/>
        </w:rPr>
        <w:t>非居民持有本机构（非公司制）</w:t>
      </w:r>
      <w:r w:rsidRPr="007C7B79">
        <w:t>10%</w:t>
      </w:r>
      <w:r w:rsidRPr="007C7B79">
        <w:rPr>
          <w:rFonts w:hint="eastAsia"/>
        </w:rPr>
        <w:t>以下表决权（负债）</w:t>
      </w:r>
      <w:bookmarkEnd w:id="438"/>
    </w:p>
    <w:p w14:paraId="1198E9CE" w14:textId="77777777" w:rsidR="00A052DC" w:rsidRPr="007C7B79" w:rsidRDefault="00A412F6">
      <w:pPr>
        <w:pStyle w:val="aff0"/>
        <w:spacing w:line="360" w:lineRule="auto"/>
        <w:ind w:firstLineChars="0"/>
        <w:rPr>
          <w:rFonts w:ascii="Times New Roman" w:hAnsi="Times New Roman"/>
          <w:sz w:val="24"/>
          <w:szCs w:val="24"/>
        </w:rPr>
      </w:pPr>
      <w:r w:rsidRPr="00A412F6">
        <w:rPr>
          <w:rFonts w:ascii="Times New Roman" w:hAnsi="宋体" w:hint="eastAsia"/>
          <w:sz w:val="24"/>
          <w:szCs w:val="24"/>
        </w:rPr>
        <w:t>境外非关联实体持有申报主体</w:t>
      </w:r>
      <w:r w:rsidRPr="00A412F6">
        <w:rPr>
          <w:rFonts w:ascii="Times New Roman" w:hAnsi="Times New Roman"/>
          <w:sz w:val="24"/>
          <w:szCs w:val="24"/>
        </w:rPr>
        <w:t>10%</w:t>
      </w:r>
      <w:r w:rsidRPr="00A412F6">
        <w:rPr>
          <w:rFonts w:ascii="Times New Roman" w:hAnsi="宋体"/>
          <w:sz w:val="24"/>
          <w:szCs w:val="24"/>
        </w:rPr>
        <w:t>以下表决权的不可流通股权。仅限中国境内非公司制机构填报。</w:t>
      </w:r>
    </w:p>
    <w:p w14:paraId="324E2E06" w14:textId="77777777" w:rsidR="00A052DC" w:rsidRPr="007C7B79" w:rsidRDefault="009F0A60" w:rsidP="0020251D">
      <w:pPr>
        <w:pStyle w:val="4"/>
        <w:numPr>
          <w:ilvl w:val="3"/>
          <w:numId w:val="1"/>
        </w:numPr>
        <w:ind w:left="0"/>
        <w:jc w:val="left"/>
      </w:pPr>
      <w:bookmarkStart w:id="439" w:name="_Toc454386676"/>
      <w:r w:rsidRPr="007C7B79">
        <w:rPr>
          <w:rFonts w:hint="eastAsia"/>
        </w:rPr>
        <w:t>应付款及预收款（不含应付利息）（负债）</w:t>
      </w:r>
      <w:bookmarkEnd w:id="439"/>
    </w:p>
    <w:p w14:paraId="7C4859C4" w14:textId="77777777" w:rsidR="00A052DC" w:rsidRPr="007C7B79" w:rsidRDefault="00A412F6">
      <w:pPr>
        <w:pStyle w:val="aff0"/>
        <w:spacing w:line="360" w:lineRule="auto"/>
        <w:ind w:firstLineChars="0"/>
        <w:rPr>
          <w:rFonts w:ascii="Times New Roman" w:hAnsi="Times New Roman"/>
          <w:sz w:val="24"/>
          <w:szCs w:val="24"/>
        </w:rPr>
      </w:pPr>
      <w:r w:rsidRPr="00A412F6">
        <w:rPr>
          <w:rFonts w:ascii="Times New Roman" w:hAnsi="宋体" w:hint="eastAsia"/>
          <w:sz w:val="24"/>
          <w:szCs w:val="24"/>
        </w:rPr>
        <w:t>申报主体对非居民的应付（预收）款项，但不含应付利息。</w:t>
      </w:r>
    </w:p>
    <w:p w14:paraId="7EA8C03E" w14:textId="77777777" w:rsidR="00A052DC" w:rsidRPr="007C7B79" w:rsidRDefault="009F0A60" w:rsidP="0020251D">
      <w:pPr>
        <w:pStyle w:val="4"/>
        <w:numPr>
          <w:ilvl w:val="3"/>
          <w:numId w:val="1"/>
        </w:numPr>
        <w:ind w:left="0"/>
        <w:jc w:val="left"/>
      </w:pPr>
      <w:bookmarkStart w:id="440" w:name="_Toc454386677"/>
      <w:r w:rsidRPr="007C7B79">
        <w:rPr>
          <w:rFonts w:hint="eastAsia"/>
        </w:rPr>
        <w:t>对非居民的贷款和应收款减值准备余额</w:t>
      </w:r>
      <w:bookmarkEnd w:id="440"/>
    </w:p>
    <w:p w14:paraId="2AE3F719" w14:textId="77777777" w:rsidR="00A052DC" w:rsidRPr="007C7B79" w:rsidRDefault="00A412F6">
      <w:pPr>
        <w:pStyle w:val="aff0"/>
        <w:spacing w:line="360" w:lineRule="auto"/>
        <w:ind w:firstLineChars="0"/>
        <w:rPr>
          <w:rFonts w:ascii="Times New Roman" w:hAnsi="Times New Roman"/>
          <w:sz w:val="24"/>
          <w:szCs w:val="24"/>
        </w:rPr>
      </w:pPr>
      <w:r w:rsidRPr="00A412F6">
        <w:rPr>
          <w:rFonts w:ascii="Times New Roman" w:hAnsi="宋体" w:hint="eastAsia"/>
          <w:sz w:val="24"/>
          <w:szCs w:val="24"/>
        </w:rPr>
        <w:t>对非居民的贷款和应收款类资产的减值准备余额。</w:t>
      </w:r>
    </w:p>
    <w:p w14:paraId="068B3534" w14:textId="77777777" w:rsidR="00A052DC" w:rsidRDefault="009F0A60" w:rsidP="0020251D">
      <w:pPr>
        <w:pStyle w:val="3"/>
        <w:ind w:left="0"/>
      </w:pPr>
      <w:bookmarkStart w:id="441" w:name="_Toc91455197"/>
      <w:bookmarkStart w:id="442" w:name="_Toc454386678"/>
      <w:bookmarkStart w:id="443" w:name="_Toc101684371"/>
      <w:r>
        <w:rPr>
          <w:rFonts w:hint="eastAsia"/>
        </w:rPr>
        <w:t>经常账户和资本账户相关业务</w:t>
      </w:r>
      <w:bookmarkEnd w:id="441"/>
      <w:bookmarkEnd w:id="442"/>
      <w:bookmarkEnd w:id="443"/>
    </w:p>
    <w:p w14:paraId="2584CB6F" w14:textId="77777777" w:rsidR="00A052DC" w:rsidRDefault="009F0A60">
      <w:pPr>
        <w:pStyle w:val="aff0"/>
        <w:spacing w:line="360" w:lineRule="auto"/>
        <w:ind w:firstLineChars="0"/>
        <w:rPr>
          <w:rFonts w:ascii="宋体" w:hAnsi="宋体"/>
          <w:sz w:val="24"/>
          <w:szCs w:val="24"/>
        </w:rPr>
      </w:pPr>
      <w:r>
        <w:rPr>
          <w:rFonts w:ascii="宋体" w:hAnsi="宋体" w:hint="eastAsia"/>
          <w:sz w:val="24"/>
          <w:szCs w:val="24"/>
        </w:rPr>
        <w:t>指与非居民发生的货物买卖、服务收支、雇员报酬以及转移等经常项目和资本项目交易。包括三部分：（1）货物、服务、薪资及债务减免等其他各类往来；（2）境外建设；（3）运输收入。具体为：</w:t>
      </w:r>
    </w:p>
    <w:p w14:paraId="727D15FF" w14:textId="77777777" w:rsidR="00A052DC" w:rsidRPr="007C7B79" w:rsidRDefault="009F0A60" w:rsidP="0020251D">
      <w:pPr>
        <w:pStyle w:val="4"/>
        <w:numPr>
          <w:ilvl w:val="3"/>
          <w:numId w:val="1"/>
        </w:numPr>
        <w:ind w:left="0"/>
        <w:jc w:val="left"/>
      </w:pPr>
      <w:r w:rsidRPr="007C7B79">
        <w:rPr>
          <w:rFonts w:hint="eastAsia"/>
        </w:rPr>
        <w:t>货物、服务、薪资及债务减免等其他各类往来</w:t>
      </w:r>
    </w:p>
    <w:p w14:paraId="43C1CC13" w14:textId="77777777" w:rsidR="00A052DC" w:rsidRPr="007C7B79" w:rsidRDefault="00A412F6">
      <w:pPr>
        <w:pStyle w:val="aff0"/>
        <w:spacing w:line="360" w:lineRule="auto"/>
        <w:ind w:firstLineChars="0"/>
        <w:rPr>
          <w:rFonts w:ascii="Times New Roman" w:hAnsi="Times New Roman"/>
          <w:sz w:val="24"/>
          <w:szCs w:val="24"/>
        </w:rPr>
      </w:pPr>
      <w:r w:rsidRPr="00A412F6">
        <w:rPr>
          <w:rFonts w:ascii="Times New Roman" w:hAnsi="宋体" w:hint="eastAsia"/>
          <w:sz w:val="24"/>
          <w:szCs w:val="24"/>
        </w:rPr>
        <w:t>与非居民发生的货物买卖、服务收支出、雇员报酬以及转移等经常项目和资本项目交易。</w:t>
      </w:r>
    </w:p>
    <w:p w14:paraId="7CBED93A" w14:textId="77777777" w:rsidR="00A052DC" w:rsidRPr="007C7B79" w:rsidRDefault="009F0A60" w:rsidP="0020251D">
      <w:pPr>
        <w:pStyle w:val="4"/>
        <w:numPr>
          <w:ilvl w:val="3"/>
          <w:numId w:val="1"/>
        </w:numPr>
        <w:ind w:left="0"/>
        <w:jc w:val="left"/>
      </w:pPr>
      <w:r w:rsidRPr="007C7B79">
        <w:rPr>
          <w:rFonts w:hint="eastAsia"/>
        </w:rPr>
        <w:t>境外建设</w:t>
      </w:r>
    </w:p>
    <w:p w14:paraId="40A08E97" w14:textId="77777777" w:rsidR="00A052DC" w:rsidRPr="007C7B79" w:rsidRDefault="00A412F6">
      <w:pPr>
        <w:pStyle w:val="aff0"/>
        <w:spacing w:line="360" w:lineRule="auto"/>
        <w:ind w:firstLineChars="0"/>
        <w:rPr>
          <w:rFonts w:ascii="Times New Roman" w:hAnsi="Times New Roman"/>
          <w:sz w:val="24"/>
          <w:szCs w:val="24"/>
        </w:rPr>
      </w:pPr>
      <w:r w:rsidRPr="00A412F6">
        <w:rPr>
          <w:rFonts w:ascii="Times New Roman" w:hAnsi="宋体" w:hint="eastAsia"/>
          <w:sz w:val="24"/>
          <w:szCs w:val="24"/>
        </w:rPr>
        <w:t>本表统计境内企业向非居民提供的在建建设工程服务，主要包括申报主体境外建设项目的基本情况和在建设工程所在国家</w:t>
      </w:r>
      <w:r w:rsidRPr="00A412F6">
        <w:rPr>
          <w:rFonts w:ascii="Times New Roman" w:hAnsi="Times New Roman"/>
          <w:sz w:val="24"/>
          <w:szCs w:val="24"/>
        </w:rPr>
        <w:t>/</w:t>
      </w:r>
      <w:r w:rsidRPr="00A412F6">
        <w:rPr>
          <w:rFonts w:ascii="Times New Roman" w:hAnsi="宋体"/>
          <w:sz w:val="24"/>
          <w:szCs w:val="24"/>
        </w:rPr>
        <w:t>地区发生的收入、成本及利润情况。包括（</w:t>
      </w:r>
      <w:r w:rsidRPr="00A412F6">
        <w:rPr>
          <w:rFonts w:ascii="Times New Roman" w:hAnsi="Times New Roman"/>
          <w:sz w:val="24"/>
          <w:szCs w:val="24"/>
        </w:rPr>
        <w:t>1</w:t>
      </w:r>
      <w:r w:rsidRPr="00A412F6">
        <w:rPr>
          <w:rFonts w:ascii="Times New Roman" w:hAnsi="宋体"/>
          <w:sz w:val="24"/>
          <w:szCs w:val="24"/>
        </w:rPr>
        <w:t>）境外建设项目概览表；（</w:t>
      </w:r>
      <w:r w:rsidRPr="00A412F6">
        <w:rPr>
          <w:rFonts w:ascii="Times New Roman" w:hAnsi="Times New Roman"/>
          <w:sz w:val="24"/>
          <w:szCs w:val="24"/>
        </w:rPr>
        <w:t>2</w:t>
      </w:r>
      <w:r w:rsidRPr="00A412F6">
        <w:rPr>
          <w:rFonts w:ascii="Times New Roman" w:hAnsi="宋体"/>
          <w:sz w:val="24"/>
          <w:szCs w:val="24"/>
        </w:rPr>
        <w:t>）境外建设统计表。具体为：</w:t>
      </w:r>
    </w:p>
    <w:p w14:paraId="6A8B0EE5" w14:textId="77777777" w:rsidR="00A052DC" w:rsidRPr="007C7B79" w:rsidRDefault="009F0A60" w:rsidP="0020251D">
      <w:pPr>
        <w:pStyle w:val="5"/>
      </w:pPr>
      <w:r w:rsidRPr="007C7B79">
        <w:t>2.8.7.2.1</w:t>
      </w:r>
      <w:r w:rsidRPr="007C7B79">
        <w:rPr>
          <w:rFonts w:hint="eastAsia"/>
        </w:rPr>
        <w:t>境外建设项目概览表</w:t>
      </w:r>
    </w:p>
    <w:p w14:paraId="73C75170" w14:textId="77777777" w:rsidR="00A052DC" w:rsidRPr="007C7B79" w:rsidRDefault="00A412F6">
      <w:pPr>
        <w:pStyle w:val="aff0"/>
        <w:spacing w:line="360" w:lineRule="auto"/>
        <w:ind w:firstLineChars="0"/>
        <w:rPr>
          <w:rFonts w:ascii="Times New Roman" w:hAnsi="Times New Roman"/>
          <w:sz w:val="24"/>
          <w:szCs w:val="24"/>
        </w:rPr>
      </w:pPr>
      <w:r w:rsidRPr="00A412F6">
        <w:rPr>
          <w:rFonts w:ascii="Times New Roman" w:hAnsi="宋体" w:hint="eastAsia"/>
          <w:sz w:val="24"/>
          <w:szCs w:val="24"/>
        </w:rPr>
        <w:t>申报主体开展的境外建设项目的基本情况。</w:t>
      </w:r>
    </w:p>
    <w:p w14:paraId="408C2542" w14:textId="77777777" w:rsidR="00A052DC" w:rsidRPr="007C7B79" w:rsidRDefault="009F0A60" w:rsidP="0020251D">
      <w:pPr>
        <w:pStyle w:val="5"/>
      </w:pPr>
      <w:r w:rsidRPr="007C7B79">
        <w:t>2.8.7.2.2</w:t>
      </w:r>
      <w:r w:rsidRPr="007C7B79">
        <w:rPr>
          <w:rFonts w:hint="eastAsia"/>
        </w:rPr>
        <w:t>境外建设统计表</w:t>
      </w:r>
    </w:p>
    <w:p w14:paraId="5B7E1A49" w14:textId="77777777" w:rsidR="00A052DC" w:rsidRPr="007C7B79" w:rsidRDefault="00A412F6">
      <w:pPr>
        <w:pStyle w:val="aff0"/>
        <w:spacing w:line="360" w:lineRule="auto"/>
        <w:ind w:firstLineChars="0" w:firstLine="480"/>
        <w:rPr>
          <w:rFonts w:ascii="Times New Roman" w:hAnsi="Times New Roman"/>
          <w:sz w:val="24"/>
          <w:szCs w:val="24"/>
        </w:rPr>
      </w:pPr>
      <w:r w:rsidRPr="00A412F6">
        <w:rPr>
          <w:rFonts w:ascii="Times New Roman" w:hAnsi="宋体" w:hint="eastAsia"/>
          <w:sz w:val="24"/>
          <w:szCs w:val="24"/>
        </w:rPr>
        <w:t>申报主体在建工程所在国家</w:t>
      </w:r>
      <w:r w:rsidRPr="00A412F6">
        <w:rPr>
          <w:rFonts w:ascii="Times New Roman" w:hAnsi="Times New Roman"/>
          <w:sz w:val="24"/>
          <w:szCs w:val="24"/>
        </w:rPr>
        <w:t>/</w:t>
      </w:r>
      <w:r w:rsidRPr="00A412F6">
        <w:rPr>
          <w:rFonts w:ascii="Times New Roman" w:hAnsi="宋体" w:hint="eastAsia"/>
          <w:sz w:val="24"/>
          <w:szCs w:val="24"/>
        </w:rPr>
        <w:t>地区发生的收入、成本及利润情况。</w:t>
      </w:r>
    </w:p>
    <w:p w14:paraId="0FC33D09" w14:textId="77777777" w:rsidR="00A052DC" w:rsidRPr="007C7B79" w:rsidRDefault="009F0A60" w:rsidP="0020251D">
      <w:pPr>
        <w:pStyle w:val="4"/>
        <w:numPr>
          <w:ilvl w:val="3"/>
          <w:numId w:val="1"/>
        </w:numPr>
        <w:ind w:left="0"/>
        <w:jc w:val="left"/>
      </w:pPr>
      <w:r w:rsidRPr="007C7B79">
        <w:rPr>
          <w:rFonts w:hint="eastAsia"/>
        </w:rPr>
        <w:t>运输收入</w:t>
      </w:r>
    </w:p>
    <w:p w14:paraId="500945EE" w14:textId="77777777" w:rsidR="00A052DC" w:rsidRPr="007C7B79" w:rsidRDefault="00A412F6">
      <w:pPr>
        <w:pStyle w:val="aff0"/>
        <w:spacing w:line="360" w:lineRule="auto"/>
        <w:ind w:firstLineChars="0"/>
        <w:rPr>
          <w:rFonts w:ascii="Times New Roman" w:hAnsi="Times New Roman"/>
          <w:sz w:val="24"/>
          <w:szCs w:val="24"/>
        </w:rPr>
      </w:pPr>
      <w:r w:rsidRPr="00A412F6">
        <w:rPr>
          <w:rFonts w:ascii="Times New Roman" w:hAnsi="宋体" w:hint="eastAsia"/>
          <w:sz w:val="24"/>
          <w:szCs w:val="24"/>
        </w:rPr>
        <w:t>境内运输企业（法人本级）提供国际运输服务（运程至少一端在境外）而取得的收入。</w:t>
      </w:r>
    </w:p>
    <w:p w14:paraId="0ECC9621" w14:textId="77777777" w:rsidR="00A052DC" w:rsidRPr="007C7B79" w:rsidRDefault="00A412F6" w:rsidP="0020251D">
      <w:pPr>
        <w:pStyle w:val="3"/>
        <w:ind w:left="0"/>
        <w:rPr>
          <w:rFonts w:ascii="Times New Roman" w:hAnsi="Times New Roman"/>
        </w:rPr>
      </w:pPr>
      <w:bookmarkStart w:id="444" w:name="_Toc93932883"/>
      <w:bookmarkStart w:id="445" w:name="_Toc91582386"/>
      <w:bookmarkStart w:id="446" w:name="_Toc91493523"/>
      <w:bookmarkStart w:id="447" w:name="_Toc91455198"/>
      <w:bookmarkStart w:id="448" w:name="_Toc98754063"/>
      <w:bookmarkStart w:id="449" w:name="_Toc99611497"/>
      <w:bookmarkStart w:id="450" w:name="_Toc97820930"/>
      <w:bookmarkStart w:id="451" w:name="_Toc98764257"/>
      <w:bookmarkStart w:id="452" w:name="_Toc97661026"/>
      <w:bookmarkStart w:id="453" w:name="_Toc99611078"/>
      <w:bookmarkStart w:id="454" w:name="_Toc97821359"/>
      <w:bookmarkStart w:id="455" w:name="_Toc95222683"/>
      <w:bookmarkStart w:id="456" w:name="_Toc95223114"/>
      <w:bookmarkStart w:id="457" w:name="_Toc93933308"/>
      <w:bookmarkStart w:id="458" w:name="_Toc95223960"/>
      <w:bookmarkStart w:id="459" w:name="_Toc93934991"/>
      <w:bookmarkStart w:id="460" w:name="_Toc95223539"/>
      <w:bookmarkStart w:id="461" w:name="_Toc97660603"/>
      <w:bookmarkStart w:id="462" w:name="_Toc97660174"/>
      <w:bookmarkStart w:id="463" w:name="_Toc454386679"/>
      <w:bookmarkStart w:id="464" w:name="_Toc91455199"/>
      <w:bookmarkStart w:id="465" w:name="_Toc101684372"/>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r w:rsidRPr="00A412F6">
        <w:rPr>
          <w:rFonts w:ascii="Times New Roman" w:hint="eastAsia"/>
        </w:rPr>
        <w:t>与进出口票据、单证有关业务</w:t>
      </w:r>
      <w:bookmarkEnd w:id="463"/>
      <w:bookmarkEnd w:id="464"/>
      <w:bookmarkEnd w:id="465"/>
    </w:p>
    <w:p w14:paraId="59A81B38" w14:textId="77777777" w:rsidR="00A052DC" w:rsidRPr="007C7B79" w:rsidRDefault="00A412F6">
      <w:pPr>
        <w:pStyle w:val="aff0"/>
        <w:spacing w:line="360" w:lineRule="auto"/>
        <w:ind w:firstLineChars="0"/>
        <w:rPr>
          <w:rFonts w:ascii="Times New Roman" w:hAnsi="Times New Roman"/>
          <w:sz w:val="24"/>
          <w:szCs w:val="24"/>
        </w:rPr>
      </w:pPr>
      <w:r w:rsidRPr="00A412F6">
        <w:rPr>
          <w:rFonts w:ascii="Times New Roman" w:hAnsi="宋体" w:hint="eastAsia"/>
          <w:sz w:val="24"/>
          <w:szCs w:val="24"/>
        </w:rPr>
        <w:t>包括两部分：（</w:t>
      </w:r>
      <w:r w:rsidRPr="00A412F6">
        <w:rPr>
          <w:rFonts w:ascii="Times New Roman" w:hAnsi="Times New Roman"/>
          <w:sz w:val="24"/>
          <w:szCs w:val="24"/>
        </w:rPr>
        <w:t>1</w:t>
      </w:r>
      <w:r w:rsidRPr="00A412F6">
        <w:rPr>
          <w:rFonts w:ascii="Times New Roman" w:hAnsi="宋体"/>
          <w:sz w:val="24"/>
          <w:szCs w:val="24"/>
        </w:rPr>
        <w:t>）买断出口票据、单证业务；（</w:t>
      </w:r>
      <w:r w:rsidRPr="00A412F6">
        <w:rPr>
          <w:rFonts w:ascii="Times New Roman" w:hAnsi="Times New Roman"/>
          <w:sz w:val="24"/>
          <w:szCs w:val="24"/>
        </w:rPr>
        <w:t>2</w:t>
      </w:r>
      <w:r w:rsidRPr="00A412F6">
        <w:rPr>
          <w:rFonts w:ascii="Times New Roman" w:hAnsi="宋体"/>
          <w:sz w:val="24"/>
          <w:szCs w:val="24"/>
        </w:rPr>
        <w:t>）对外承担第一性付款责任的票据、单证业务。</w:t>
      </w:r>
      <w:r w:rsidRPr="00A412F6">
        <w:rPr>
          <w:rFonts w:ascii="Times New Roman" w:hAnsi="宋体" w:hint="eastAsia"/>
          <w:sz w:val="24"/>
          <w:szCs w:val="24"/>
        </w:rPr>
        <w:t>具体为：</w:t>
      </w:r>
    </w:p>
    <w:p w14:paraId="21292C21" w14:textId="77777777" w:rsidR="00A052DC" w:rsidRPr="007C7B79" w:rsidRDefault="009F0A60" w:rsidP="0020251D">
      <w:pPr>
        <w:pStyle w:val="4"/>
        <w:numPr>
          <w:ilvl w:val="3"/>
          <w:numId w:val="1"/>
        </w:numPr>
        <w:ind w:left="0"/>
        <w:jc w:val="left"/>
      </w:pPr>
      <w:bookmarkStart w:id="466" w:name="_Toc454386680"/>
      <w:r w:rsidRPr="007C7B79">
        <w:rPr>
          <w:rFonts w:hint="eastAsia"/>
        </w:rPr>
        <w:t>买断出口票据、单证业务</w:t>
      </w:r>
      <w:bookmarkEnd w:id="466"/>
    </w:p>
    <w:p w14:paraId="438EC056" w14:textId="77777777" w:rsidR="00A052DC" w:rsidRPr="007C7B79" w:rsidRDefault="00A412F6">
      <w:pPr>
        <w:pStyle w:val="aff0"/>
        <w:spacing w:line="360" w:lineRule="auto"/>
        <w:ind w:left="420" w:firstLineChars="0" w:firstLine="0"/>
        <w:rPr>
          <w:rFonts w:ascii="Times New Roman" w:hAnsi="Times New Roman"/>
          <w:sz w:val="24"/>
          <w:szCs w:val="24"/>
        </w:rPr>
      </w:pPr>
      <w:r w:rsidRPr="00A412F6">
        <w:rPr>
          <w:rFonts w:ascii="Times New Roman" w:hAnsi="宋体" w:hint="eastAsia"/>
          <w:sz w:val="24"/>
          <w:szCs w:val="24"/>
        </w:rPr>
        <w:t>指申报主体买断境外机构承兑（付款）的出口票据、单证情况。</w:t>
      </w:r>
    </w:p>
    <w:p w14:paraId="56756E9E" w14:textId="77777777" w:rsidR="00A052DC" w:rsidRPr="007C7B79" w:rsidRDefault="009F0A60" w:rsidP="0020251D">
      <w:pPr>
        <w:pStyle w:val="4"/>
        <w:numPr>
          <w:ilvl w:val="3"/>
          <w:numId w:val="1"/>
        </w:numPr>
        <w:ind w:left="0"/>
        <w:jc w:val="left"/>
      </w:pPr>
      <w:bookmarkStart w:id="467" w:name="_Toc454386681"/>
      <w:r w:rsidRPr="007C7B79">
        <w:rPr>
          <w:rFonts w:hint="eastAsia"/>
        </w:rPr>
        <w:t>对外承担第一性付款责任的票据、单证业务</w:t>
      </w:r>
      <w:bookmarkEnd w:id="467"/>
    </w:p>
    <w:p w14:paraId="72219942" w14:textId="77777777" w:rsidR="00A052DC" w:rsidRPr="007C7B79" w:rsidRDefault="00A412F6">
      <w:pPr>
        <w:pStyle w:val="aff0"/>
        <w:spacing w:line="360" w:lineRule="auto"/>
        <w:ind w:firstLineChars="0"/>
        <w:rPr>
          <w:rFonts w:ascii="Times New Roman" w:hAnsi="Times New Roman"/>
          <w:sz w:val="24"/>
          <w:szCs w:val="24"/>
        </w:rPr>
      </w:pPr>
      <w:r w:rsidRPr="00A412F6">
        <w:rPr>
          <w:rFonts w:ascii="Times New Roman" w:hAnsi="宋体" w:hint="eastAsia"/>
          <w:sz w:val="24"/>
          <w:szCs w:val="24"/>
        </w:rPr>
        <w:t>指申报主体承兑票据、单证，以及本机构承担第一性付款责任的延付保函情况。</w:t>
      </w:r>
    </w:p>
    <w:p w14:paraId="0E016E78" w14:textId="77777777" w:rsidR="00A052DC" w:rsidRPr="007C7B79" w:rsidRDefault="00A412F6" w:rsidP="0020251D">
      <w:pPr>
        <w:pStyle w:val="3"/>
        <w:ind w:left="0"/>
        <w:rPr>
          <w:rFonts w:ascii="Times New Roman" w:hAnsi="Times New Roman"/>
        </w:rPr>
      </w:pPr>
      <w:bookmarkStart w:id="468" w:name="_Toc91455200"/>
      <w:bookmarkStart w:id="469" w:name="_Toc454386682"/>
      <w:bookmarkStart w:id="470" w:name="_Toc101684373"/>
      <w:r w:rsidRPr="00A412F6">
        <w:rPr>
          <w:rFonts w:ascii="Times New Roman" w:hint="eastAsia"/>
        </w:rPr>
        <w:t>涉外银行卡相关统计</w:t>
      </w:r>
      <w:bookmarkEnd w:id="468"/>
      <w:bookmarkEnd w:id="469"/>
      <w:bookmarkEnd w:id="470"/>
    </w:p>
    <w:p w14:paraId="67F79DE0" w14:textId="77777777" w:rsidR="00A052DC" w:rsidRPr="007C7B79" w:rsidRDefault="00A412F6">
      <w:pPr>
        <w:pStyle w:val="aff0"/>
        <w:spacing w:line="360" w:lineRule="auto"/>
        <w:ind w:firstLineChars="0"/>
        <w:rPr>
          <w:rFonts w:ascii="Times New Roman" w:hAnsi="Times New Roman"/>
          <w:sz w:val="24"/>
          <w:szCs w:val="24"/>
        </w:rPr>
      </w:pPr>
      <w:r w:rsidRPr="00A412F6">
        <w:rPr>
          <w:rFonts w:ascii="Times New Roman" w:hAnsi="宋体" w:hint="eastAsia"/>
          <w:sz w:val="24"/>
          <w:szCs w:val="24"/>
        </w:rPr>
        <w:t>包括三部分：（</w:t>
      </w:r>
      <w:r w:rsidRPr="00A412F6">
        <w:rPr>
          <w:rFonts w:ascii="Times New Roman" w:hAnsi="Times New Roman"/>
          <w:sz w:val="24"/>
          <w:szCs w:val="24"/>
        </w:rPr>
        <w:t>1</w:t>
      </w:r>
      <w:r w:rsidRPr="00A412F6">
        <w:rPr>
          <w:rFonts w:ascii="Times New Roman" w:hAnsi="宋体"/>
          <w:sz w:val="24"/>
          <w:szCs w:val="24"/>
        </w:rPr>
        <w:t>）境内银行卡境外消费提现；（</w:t>
      </w:r>
      <w:r w:rsidRPr="00A412F6">
        <w:rPr>
          <w:rFonts w:ascii="Times New Roman" w:hAnsi="Times New Roman"/>
          <w:sz w:val="24"/>
          <w:szCs w:val="24"/>
        </w:rPr>
        <w:t>2</w:t>
      </w:r>
      <w:r w:rsidRPr="00A412F6">
        <w:rPr>
          <w:rFonts w:ascii="Times New Roman" w:hAnsi="宋体"/>
          <w:sz w:val="24"/>
          <w:szCs w:val="24"/>
        </w:rPr>
        <w:t>）境外银行卡境内消费提现</w:t>
      </w:r>
      <w:r w:rsidRPr="00A412F6">
        <w:rPr>
          <w:rFonts w:ascii="Times New Roman" w:hAnsi="宋体" w:hint="eastAsia"/>
          <w:sz w:val="24"/>
          <w:szCs w:val="24"/>
        </w:rPr>
        <w:t>；（</w:t>
      </w:r>
      <w:r w:rsidRPr="00A412F6">
        <w:rPr>
          <w:rFonts w:ascii="Times New Roman" w:hAnsi="Times New Roman"/>
          <w:sz w:val="24"/>
          <w:szCs w:val="24"/>
        </w:rPr>
        <w:t>3</w:t>
      </w:r>
      <w:r w:rsidRPr="00A412F6">
        <w:rPr>
          <w:rFonts w:ascii="Times New Roman" w:hAnsi="宋体" w:hint="eastAsia"/>
          <w:sz w:val="24"/>
          <w:szCs w:val="24"/>
        </w:rPr>
        <w:t>）非居民持有境内银行卡的收入支出。具体为：</w:t>
      </w:r>
    </w:p>
    <w:p w14:paraId="217081A1" w14:textId="77777777" w:rsidR="00A052DC" w:rsidRPr="007C7B79" w:rsidRDefault="009F0A60" w:rsidP="0020251D">
      <w:pPr>
        <w:pStyle w:val="4"/>
        <w:numPr>
          <w:ilvl w:val="3"/>
          <w:numId w:val="1"/>
        </w:numPr>
        <w:ind w:left="0"/>
        <w:jc w:val="left"/>
      </w:pPr>
      <w:bookmarkStart w:id="471" w:name="_Toc454386683"/>
      <w:r w:rsidRPr="007C7B79">
        <w:rPr>
          <w:rFonts w:hint="eastAsia"/>
        </w:rPr>
        <w:t>境内银行卡境外消费提现</w:t>
      </w:r>
      <w:bookmarkEnd w:id="471"/>
    </w:p>
    <w:p w14:paraId="7429BC80" w14:textId="77777777" w:rsidR="00A052DC" w:rsidRPr="007C7B79" w:rsidRDefault="00A412F6">
      <w:pPr>
        <w:pStyle w:val="aff0"/>
        <w:spacing w:line="360" w:lineRule="auto"/>
        <w:ind w:firstLineChars="0"/>
        <w:rPr>
          <w:rFonts w:ascii="Times New Roman" w:hAnsi="Times New Roman"/>
          <w:sz w:val="24"/>
          <w:szCs w:val="24"/>
        </w:rPr>
      </w:pPr>
      <w:r w:rsidRPr="00A412F6">
        <w:rPr>
          <w:rFonts w:ascii="Times New Roman" w:hAnsi="宋体" w:hint="eastAsia"/>
          <w:sz w:val="24"/>
          <w:szCs w:val="24"/>
        </w:rPr>
        <w:t>境内发卡行所发行的银行卡在境外消费和提现的情况。其中，通过境内银行卡组织（中国银联）清算的资金由中国银联统一填报，美国运通渠道下通过连通（杭州）技术服务有限公司清算的资金由连通公司统一填报，境内发卡机构不再重复报送相关数据。除中国银联和连通公司以外清算渠道发生的业务，由境内发卡机构自行报送。</w:t>
      </w:r>
    </w:p>
    <w:p w14:paraId="0031717E" w14:textId="77777777" w:rsidR="00A052DC" w:rsidRPr="007C7B79" w:rsidRDefault="009F0A60" w:rsidP="0020251D">
      <w:pPr>
        <w:pStyle w:val="4"/>
        <w:numPr>
          <w:ilvl w:val="3"/>
          <w:numId w:val="1"/>
        </w:numPr>
        <w:ind w:left="0"/>
        <w:jc w:val="left"/>
      </w:pPr>
      <w:bookmarkStart w:id="472" w:name="_Toc454386684"/>
      <w:r w:rsidRPr="007C7B79">
        <w:rPr>
          <w:rFonts w:hint="eastAsia"/>
        </w:rPr>
        <w:t>境外银行卡境内消费提现</w:t>
      </w:r>
      <w:bookmarkEnd w:id="472"/>
    </w:p>
    <w:p w14:paraId="03DB8CF9" w14:textId="77777777" w:rsidR="00A052DC" w:rsidRPr="007C7B79" w:rsidRDefault="00A412F6">
      <w:pPr>
        <w:pStyle w:val="aff0"/>
        <w:spacing w:line="360" w:lineRule="auto"/>
        <w:ind w:firstLineChars="0"/>
        <w:rPr>
          <w:rFonts w:ascii="Times New Roman" w:hAnsi="Times New Roman"/>
          <w:sz w:val="24"/>
          <w:szCs w:val="24"/>
        </w:rPr>
      </w:pPr>
      <w:r w:rsidRPr="00A412F6">
        <w:rPr>
          <w:rFonts w:ascii="Times New Roman" w:hAnsi="宋体" w:hint="eastAsia"/>
          <w:sz w:val="24"/>
          <w:szCs w:val="24"/>
        </w:rPr>
        <w:t>境内收单行所清算的境外银行卡在境内消费和提现情况。其中，通过中国银联渠道清算以及由其代境内银行收单的资金由中国银联统一填报，美国运通渠道下通过连通（杭州）技术服务有限公司清算的资金由连通公司统一填报，境内其他收单机构不再重复报送相关数据。除中国银联和连通公司清算或收单外的其他清算渠道发生的业务，由境内收单机构自行报送。</w:t>
      </w:r>
    </w:p>
    <w:p w14:paraId="18BBE7A8" w14:textId="77777777" w:rsidR="00A052DC" w:rsidRPr="007C7B79" w:rsidRDefault="009F0A60" w:rsidP="0020251D">
      <w:pPr>
        <w:pStyle w:val="4"/>
        <w:numPr>
          <w:ilvl w:val="3"/>
          <w:numId w:val="1"/>
        </w:numPr>
        <w:ind w:left="0"/>
        <w:jc w:val="left"/>
      </w:pPr>
      <w:r w:rsidRPr="007C7B79">
        <w:rPr>
          <w:rFonts w:hint="eastAsia"/>
        </w:rPr>
        <w:t>非居民持有境内银行卡的收入支出</w:t>
      </w:r>
    </w:p>
    <w:p w14:paraId="7BB2C68B" w14:textId="77777777" w:rsidR="00A052DC" w:rsidRPr="007C7B79" w:rsidRDefault="00A412F6">
      <w:pPr>
        <w:pStyle w:val="aff0"/>
        <w:spacing w:line="360" w:lineRule="auto"/>
        <w:ind w:firstLineChars="0"/>
        <w:rPr>
          <w:rFonts w:ascii="Times New Roman" w:hAnsi="Times New Roman"/>
          <w:sz w:val="24"/>
          <w:szCs w:val="24"/>
        </w:rPr>
      </w:pPr>
      <w:r w:rsidRPr="00A412F6">
        <w:rPr>
          <w:rFonts w:ascii="Times New Roman" w:hAnsi="宋体" w:hint="eastAsia"/>
          <w:sz w:val="24"/>
          <w:szCs w:val="24"/>
        </w:rPr>
        <w:t>境内发卡行所清算的非居民持有境内银行卡的收入和支出情况，由境内发卡行报送。</w:t>
      </w:r>
    </w:p>
    <w:p w14:paraId="1477CA75" w14:textId="77777777" w:rsidR="00A052DC" w:rsidRPr="007C7B79" w:rsidRDefault="00A412F6" w:rsidP="0020251D">
      <w:pPr>
        <w:pStyle w:val="3"/>
        <w:ind w:left="0"/>
        <w:rPr>
          <w:rFonts w:ascii="Times New Roman" w:hAnsi="Times New Roman"/>
        </w:rPr>
      </w:pPr>
      <w:bookmarkStart w:id="473" w:name="_Toc91455201"/>
      <w:bookmarkStart w:id="474" w:name="_Toc454386685"/>
      <w:bookmarkStart w:id="475" w:name="_Toc101684374"/>
      <w:r w:rsidRPr="00A412F6">
        <w:rPr>
          <w:rFonts w:ascii="Times New Roman" w:hint="eastAsia"/>
        </w:rPr>
        <w:t>涉外托管业务</w:t>
      </w:r>
      <w:bookmarkEnd w:id="473"/>
      <w:bookmarkEnd w:id="474"/>
      <w:bookmarkEnd w:id="475"/>
    </w:p>
    <w:p w14:paraId="529EA16D" w14:textId="77777777" w:rsidR="00A052DC" w:rsidRPr="007C7B79" w:rsidRDefault="00A412F6">
      <w:pPr>
        <w:pStyle w:val="aff0"/>
        <w:spacing w:line="360" w:lineRule="auto"/>
        <w:ind w:firstLineChars="0"/>
        <w:rPr>
          <w:rFonts w:ascii="Times New Roman" w:hAnsi="Times New Roman"/>
          <w:sz w:val="24"/>
          <w:szCs w:val="24"/>
        </w:rPr>
      </w:pPr>
      <w:r w:rsidRPr="00A412F6">
        <w:rPr>
          <w:rFonts w:ascii="Times New Roman" w:hAnsi="Times New Roman" w:hint="eastAsia"/>
          <w:sz w:val="24"/>
          <w:szCs w:val="24"/>
        </w:rPr>
        <w:t>包括两部分：（</w:t>
      </w:r>
      <w:r w:rsidR="009F0A60" w:rsidRPr="007C7B79">
        <w:rPr>
          <w:rFonts w:ascii="Times New Roman" w:hAnsi="Times New Roman"/>
          <w:sz w:val="24"/>
          <w:szCs w:val="24"/>
        </w:rPr>
        <w:t>1</w:t>
      </w:r>
      <w:r w:rsidRPr="00A412F6">
        <w:rPr>
          <w:rFonts w:ascii="Times New Roman" w:hAnsi="Times New Roman"/>
          <w:sz w:val="24"/>
          <w:szCs w:val="24"/>
        </w:rPr>
        <w:t>）为非居民托管业务统计（</w:t>
      </w:r>
      <w:r w:rsidR="009F0A60" w:rsidRPr="007C7B79">
        <w:rPr>
          <w:rFonts w:ascii="Times New Roman" w:hAnsi="Times New Roman"/>
          <w:sz w:val="24"/>
          <w:szCs w:val="24"/>
        </w:rPr>
        <w:t>QFII</w:t>
      </w:r>
      <w:r w:rsidRPr="00A412F6">
        <w:rPr>
          <w:rFonts w:ascii="Times New Roman" w:hAnsi="Times New Roman"/>
          <w:sz w:val="24"/>
          <w:szCs w:val="24"/>
        </w:rPr>
        <w:t>、</w:t>
      </w:r>
      <w:r w:rsidR="009F0A60" w:rsidRPr="007C7B79">
        <w:rPr>
          <w:rFonts w:ascii="Times New Roman" w:hAnsi="Times New Roman"/>
          <w:sz w:val="24"/>
          <w:szCs w:val="24"/>
        </w:rPr>
        <w:t>RQFII</w:t>
      </w:r>
      <w:r w:rsidRPr="00A412F6">
        <w:rPr>
          <w:rFonts w:ascii="Times New Roman" w:hAnsi="Times New Roman" w:hint="eastAsia"/>
          <w:sz w:val="24"/>
          <w:szCs w:val="24"/>
        </w:rPr>
        <w:t>等</w:t>
      </w:r>
      <w:r w:rsidRPr="00A412F6">
        <w:rPr>
          <w:rFonts w:ascii="Times New Roman" w:hAnsi="Times New Roman"/>
          <w:sz w:val="24"/>
          <w:szCs w:val="24"/>
        </w:rPr>
        <w:t>）；（</w:t>
      </w:r>
      <w:r w:rsidR="009F0A60" w:rsidRPr="007C7B79">
        <w:rPr>
          <w:rFonts w:ascii="Times New Roman" w:hAnsi="Times New Roman"/>
          <w:sz w:val="24"/>
          <w:szCs w:val="24"/>
        </w:rPr>
        <w:t>2</w:t>
      </w:r>
      <w:r w:rsidRPr="00A412F6">
        <w:rPr>
          <w:rFonts w:ascii="Times New Roman" w:hAnsi="Times New Roman"/>
          <w:sz w:val="24"/>
          <w:szCs w:val="24"/>
        </w:rPr>
        <w:t>）为居民托管业务统计（</w:t>
      </w:r>
      <w:r w:rsidR="009F0A60" w:rsidRPr="007C7B79">
        <w:rPr>
          <w:rFonts w:ascii="Times New Roman" w:hAnsi="Times New Roman"/>
          <w:sz w:val="24"/>
          <w:szCs w:val="24"/>
        </w:rPr>
        <w:t>QDII</w:t>
      </w:r>
      <w:r w:rsidRPr="00A412F6">
        <w:rPr>
          <w:rFonts w:ascii="Times New Roman" w:hAnsi="Times New Roman" w:hint="eastAsia"/>
          <w:sz w:val="24"/>
          <w:szCs w:val="24"/>
        </w:rPr>
        <w:t>、</w:t>
      </w:r>
      <w:r w:rsidR="009F0A60" w:rsidRPr="007C7B79">
        <w:rPr>
          <w:rFonts w:ascii="Times New Roman" w:hAnsi="Times New Roman"/>
          <w:sz w:val="24"/>
          <w:szCs w:val="24"/>
        </w:rPr>
        <w:t>RQDII</w:t>
      </w:r>
      <w:r w:rsidRPr="00A412F6">
        <w:rPr>
          <w:rFonts w:ascii="Times New Roman" w:hAnsi="Times New Roman" w:hint="eastAsia"/>
          <w:sz w:val="24"/>
          <w:szCs w:val="24"/>
        </w:rPr>
        <w:t>、</w:t>
      </w:r>
      <w:r w:rsidR="009F0A60" w:rsidRPr="007C7B79">
        <w:rPr>
          <w:rFonts w:ascii="Times New Roman" w:hAnsi="Times New Roman"/>
          <w:sz w:val="24"/>
          <w:szCs w:val="24"/>
        </w:rPr>
        <w:t>QDLP</w:t>
      </w:r>
      <w:r w:rsidRPr="00A412F6">
        <w:rPr>
          <w:rFonts w:ascii="Times New Roman" w:hAnsi="Times New Roman" w:hint="eastAsia"/>
          <w:sz w:val="24"/>
          <w:szCs w:val="24"/>
        </w:rPr>
        <w:t>、</w:t>
      </w:r>
      <w:r w:rsidR="009F0A60" w:rsidRPr="007C7B79">
        <w:rPr>
          <w:rFonts w:ascii="Times New Roman" w:hAnsi="Times New Roman"/>
          <w:sz w:val="24"/>
          <w:szCs w:val="24"/>
        </w:rPr>
        <w:t>QDIE</w:t>
      </w:r>
      <w:r w:rsidRPr="00A412F6">
        <w:rPr>
          <w:rFonts w:ascii="Times New Roman" w:hAnsi="Times New Roman" w:hint="eastAsia"/>
          <w:sz w:val="24"/>
          <w:szCs w:val="24"/>
        </w:rPr>
        <w:t>等</w:t>
      </w:r>
      <w:r w:rsidRPr="00A412F6">
        <w:rPr>
          <w:rFonts w:ascii="Times New Roman" w:hAnsi="Times New Roman"/>
          <w:sz w:val="24"/>
          <w:szCs w:val="24"/>
        </w:rPr>
        <w:t>）。具体为：</w:t>
      </w:r>
    </w:p>
    <w:p w14:paraId="2AA3B1E8" w14:textId="77777777" w:rsidR="00A052DC" w:rsidRPr="007C7B79" w:rsidRDefault="009F0A60" w:rsidP="0020251D">
      <w:pPr>
        <w:pStyle w:val="4"/>
        <w:numPr>
          <w:ilvl w:val="3"/>
          <w:numId w:val="1"/>
        </w:numPr>
        <w:ind w:left="0"/>
        <w:jc w:val="left"/>
      </w:pPr>
      <w:bookmarkStart w:id="476" w:name="_Toc454386686"/>
      <w:r w:rsidRPr="007C7B79">
        <w:rPr>
          <w:rFonts w:hint="eastAsia"/>
        </w:rPr>
        <w:t>为非居民托管业务统计（</w:t>
      </w:r>
      <w:r w:rsidRPr="007C7B79">
        <w:t>QFII</w:t>
      </w:r>
      <w:r w:rsidRPr="007C7B79">
        <w:rPr>
          <w:rFonts w:hint="eastAsia"/>
        </w:rPr>
        <w:t>/</w:t>
      </w:r>
      <w:r w:rsidRPr="007C7B79">
        <w:t>RQFII</w:t>
      </w:r>
      <w:r w:rsidRPr="007C7B79">
        <w:rPr>
          <w:rFonts w:hint="eastAsia"/>
        </w:rPr>
        <w:t>等）</w:t>
      </w:r>
      <w:bookmarkEnd w:id="476"/>
    </w:p>
    <w:p w14:paraId="64ECECEB" w14:textId="77777777" w:rsidR="00A052DC" w:rsidRPr="007C7B79" w:rsidRDefault="00A412F6">
      <w:pPr>
        <w:pStyle w:val="aff0"/>
        <w:spacing w:line="360" w:lineRule="auto"/>
        <w:ind w:firstLineChars="0"/>
        <w:rPr>
          <w:rFonts w:ascii="Times New Roman" w:hAnsi="Times New Roman"/>
          <w:sz w:val="24"/>
          <w:szCs w:val="24"/>
        </w:rPr>
      </w:pPr>
      <w:r w:rsidRPr="00A412F6">
        <w:rPr>
          <w:rFonts w:ascii="Times New Roman" w:hAnsi="宋体" w:hint="eastAsia"/>
          <w:sz w:val="24"/>
          <w:szCs w:val="24"/>
        </w:rPr>
        <w:t>申报主体作为境内托管人，为非居民托管的投资产品，以及托管的存托凭证情况。申报主体包括但不限于境内银行。</w:t>
      </w:r>
    </w:p>
    <w:p w14:paraId="7049D2D4" w14:textId="77777777" w:rsidR="00A052DC" w:rsidRPr="007C7B79" w:rsidRDefault="009F0A60" w:rsidP="0020251D">
      <w:pPr>
        <w:pStyle w:val="4"/>
        <w:numPr>
          <w:ilvl w:val="3"/>
          <w:numId w:val="1"/>
        </w:numPr>
        <w:ind w:left="0"/>
        <w:jc w:val="left"/>
      </w:pPr>
      <w:bookmarkStart w:id="477" w:name="_Toc454386687"/>
      <w:r w:rsidRPr="007C7B79">
        <w:rPr>
          <w:rFonts w:hint="eastAsia"/>
        </w:rPr>
        <w:t>为居民托管业务统计</w:t>
      </w:r>
      <w:bookmarkEnd w:id="477"/>
      <w:r w:rsidRPr="007C7B79">
        <w:rPr>
          <w:rFonts w:hint="eastAsia"/>
        </w:rPr>
        <w:t>（</w:t>
      </w:r>
      <w:r w:rsidRPr="007C7B79">
        <w:rPr>
          <w:rFonts w:hint="eastAsia"/>
        </w:rPr>
        <w:t>QDII/RQDII/QDLP/QDIE</w:t>
      </w:r>
      <w:r w:rsidRPr="007C7B79">
        <w:rPr>
          <w:rFonts w:hint="eastAsia"/>
        </w:rPr>
        <w:t>等）</w:t>
      </w:r>
    </w:p>
    <w:p w14:paraId="5B29F897" w14:textId="77777777" w:rsidR="00A052DC" w:rsidRPr="007C7B79" w:rsidRDefault="00A412F6">
      <w:pPr>
        <w:pStyle w:val="aff0"/>
        <w:spacing w:line="360" w:lineRule="auto"/>
        <w:ind w:firstLineChars="0"/>
        <w:rPr>
          <w:rFonts w:ascii="Times New Roman" w:hAnsi="Times New Roman"/>
          <w:sz w:val="24"/>
          <w:szCs w:val="24"/>
        </w:rPr>
      </w:pPr>
      <w:r w:rsidRPr="00A412F6">
        <w:rPr>
          <w:rFonts w:ascii="Times New Roman" w:hAnsi="宋体" w:hint="eastAsia"/>
          <w:sz w:val="24"/>
          <w:szCs w:val="24"/>
        </w:rPr>
        <w:t>申报主体作为境内托管人，为居民托管的投资产品。申报主体包括但不限于境内银行。</w:t>
      </w:r>
    </w:p>
    <w:p w14:paraId="74329025" w14:textId="77777777" w:rsidR="00A052DC" w:rsidRPr="007C7B79" w:rsidRDefault="00A412F6" w:rsidP="0020251D">
      <w:pPr>
        <w:pStyle w:val="3"/>
        <w:ind w:left="0"/>
        <w:rPr>
          <w:rFonts w:ascii="Times New Roman" w:hAnsi="Times New Roman"/>
        </w:rPr>
      </w:pPr>
      <w:bookmarkStart w:id="478" w:name="_Toc454386688"/>
      <w:bookmarkStart w:id="479" w:name="_Toc91455202"/>
      <w:bookmarkStart w:id="480" w:name="_Toc101684375"/>
      <w:r w:rsidRPr="00A412F6">
        <w:rPr>
          <w:rFonts w:ascii="Times New Roman" w:hint="eastAsia"/>
        </w:rPr>
        <w:t>涉外保险业务</w:t>
      </w:r>
      <w:bookmarkEnd w:id="478"/>
      <w:bookmarkEnd w:id="479"/>
      <w:bookmarkEnd w:id="480"/>
    </w:p>
    <w:p w14:paraId="52D0CCBB" w14:textId="77777777" w:rsidR="00A052DC" w:rsidRPr="007C7B79" w:rsidRDefault="00A412F6">
      <w:pPr>
        <w:pStyle w:val="aff0"/>
        <w:spacing w:line="360" w:lineRule="auto"/>
        <w:ind w:firstLineChars="0"/>
        <w:rPr>
          <w:rFonts w:ascii="Times New Roman" w:hAnsi="Times New Roman"/>
          <w:sz w:val="24"/>
          <w:szCs w:val="24"/>
        </w:rPr>
      </w:pPr>
      <w:r w:rsidRPr="00A412F6">
        <w:rPr>
          <w:rFonts w:ascii="Times New Roman" w:hAnsi="宋体" w:hint="eastAsia"/>
          <w:sz w:val="24"/>
          <w:szCs w:val="24"/>
        </w:rPr>
        <w:t>包括三部分：（</w:t>
      </w:r>
      <w:r w:rsidRPr="00A412F6">
        <w:rPr>
          <w:rFonts w:ascii="Times New Roman" w:hAnsi="Times New Roman"/>
          <w:sz w:val="24"/>
          <w:szCs w:val="24"/>
        </w:rPr>
        <w:t>1</w:t>
      </w:r>
      <w:r w:rsidRPr="00A412F6">
        <w:rPr>
          <w:rFonts w:ascii="Times New Roman" w:hAnsi="宋体"/>
          <w:sz w:val="24"/>
          <w:szCs w:val="24"/>
        </w:rPr>
        <w:t>）为非居民提供直接保险服务；（</w:t>
      </w:r>
      <w:r w:rsidRPr="00A412F6">
        <w:rPr>
          <w:rFonts w:ascii="Times New Roman" w:hAnsi="Times New Roman"/>
          <w:sz w:val="24"/>
          <w:szCs w:val="24"/>
        </w:rPr>
        <w:t>2</w:t>
      </w:r>
      <w:r w:rsidRPr="00A412F6">
        <w:rPr>
          <w:rFonts w:ascii="Times New Roman" w:hAnsi="宋体"/>
          <w:sz w:val="24"/>
          <w:szCs w:val="24"/>
        </w:rPr>
        <w:t>）为非居民提供再保险服务（分入保险）；（</w:t>
      </w:r>
      <w:r w:rsidRPr="00A412F6">
        <w:rPr>
          <w:rFonts w:ascii="Times New Roman" w:hAnsi="Times New Roman"/>
          <w:sz w:val="24"/>
          <w:szCs w:val="24"/>
        </w:rPr>
        <w:t>3</w:t>
      </w:r>
      <w:r w:rsidRPr="00A412F6">
        <w:rPr>
          <w:rFonts w:ascii="Times New Roman" w:hAnsi="宋体"/>
          <w:sz w:val="24"/>
          <w:szCs w:val="24"/>
        </w:rPr>
        <w:t>）从非居民保险机构获得再保险服务（分出保险）。</w:t>
      </w:r>
      <w:r w:rsidRPr="00A412F6">
        <w:rPr>
          <w:rFonts w:ascii="Times New Roman" w:hAnsi="宋体" w:hint="eastAsia"/>
          <w:sz w:val="24"/>
          <w:szCs w:val="24"/>
        </w:rPr>
        <w:t>具体为：</w:t>
      </w:r>
    </w:p>
    <w:p w14:paraId="2F4B145A" w14:textId="77777777" w:rsidR="00A052DC" w:rsidRPr="007C7B79" w:rsidRDefault="009F0A60" w:rsidP="0020251D">
      <w:pPr>
        <w:pStyle w:val="4"/>
        <w:numPr>
          <w:ilvl w:val="3"/>
          <w:numId w:val="1"/>
        </w:numPr>
        <w:ind w:left="0"/>
        <w:jc w:val="left"/>
      </w:pPr>
      <w:bookmarkStart w:id="481" w:name="_Toc454386689"/>
      <w:r w:rsidRPr="007C7B79">
        <w:rPr>
          <w:rFonts w:hint="eastAsia"/>
        </w:rPr>
        <w:t>为非居民提供直接保险服务</w:t>
      </w:r>
      <w:bookmarkEnd w:id="481"/>
    </w:p>
    <w:p w14:paraId="6E58822E" w14:textId="77777777" w:rsidR="00A052DC" w:rsidRPr="007C7B79" w:rsidRDefault="00A412F6">
      <w:pPr>
        <w:pStyle w:val="aff0"/>
        <w:spacing w:line="360" w:lineRule="auto"/>
        <w:ind w:firstLineChars="0"/>
        <w:rPr>
          <w:rFonts w:ascii="Times New Roman" w:hAnsi="Times New Roman"/>
          <w:sz w:val="24"/>
          <w:szCs w:val="24"/>
        </w:rPr>
      </w:pPr>
      <w:r w:rsidRPr="00A412F6">
        <w:rPr>
          <w:rFonts w:ascii="Times New Roman" w:hAnsi="宋体" w:hint="eastAsia"/>
          <w:sz w:val="24"/>
          <w:szCs w:val="24"/>
        </w:rPr>
        <w:t>境内保险机构为非居民提供直接保险的情况。仅限中国境内保险机构填报。</w:t>
      </w:r>
    </w:p>
    <w:p w14:paraId="54871579" w14:textId="77777777" w:rsidR="00A052DC" w:rsidRPr="007C7B79" w:rsidRDefault="009F0A60" w:rsidP="0020251D">
      <w:pPr>
        <w:pStyle w:val="4"/>
        <w:numPr>
          <w:ilvl w:val="3"/>
          <w:numId w:val="1"/>
        </w:numPr>
        <w:ind w:left="0"/>
        <w:jc w:val="left"/>
      </w:pPr>
      <w:bookmarkStart w:id="482" w:name="_Toc454386690"/>
      <w:r w:rsidRPr="007C7B79">
        <w:rPr>
          <w:rFonts w:hint="eastAsia"/>
        </w:rPr>
        <w:t>为非居民提供再保险服务（分入保险）</w:t>
      </w:r>
      <w:bookmarkEnd w:id="482"/>
    </w:p>
    <w:p w14:paraId="5D4F990C" w14:textId="77777777" w:rsidR="00A052DC" w:rsidRPr="007C7B79" w:rsidRDefault="00A412F6">
      <w:pPr>
        <w:pStyle w:val="aff0"/>
        <w:spacing w:line="360" w:lineRule="auto"/>
        <w:ind w:firstLineChars="0"/>
        <w:rPr>
          <w:rFonts w:ascii="Times New Roman" w:hAnsi="Times New Roman"/>
          <w:sz w:val="24"/>
          <w:szCs w:val="24"/>
        </w:rPr>
      </w:pPr>
      <w:r w:rsidRPr="00A412F6">
        <w:rPr>
          <w:rFonts w:ascii="Times New Roman" w:hAnsi="宋体" w:hint="eastAsia"/>
          <w:sz w:val="24"/>
          <w:szCs w:val="24"/>
        </w:rPr>
        <w:t>境内保险机构为非居民提供再保险服务的情况（分入保险）。仅限中国境内保险机构填报。</w:t>
      </w:r>
    </w:p>
    <w:p w14:paraId="51AF563F" w14:textId="77777777" w:rsidR="00A052DC" w:rsidRPr="007C7B79" w:rsidRDefault="009F0A60" w:rsidP="0020251D">
      <w:pPr>
        <w:pStyle w:val="4"/>
        <w:numPr>
          <w:ilvl w:val="3"/>
          <w:numId w:val="1"/>
        </w:numPr>
        <w:ind w:left="0"/>
        <w:jc w:val="left"/>
      </w:pPr>
      <w:bookmarkStart w:id="483" w:name="_Toc454386691"/>
      <w:r w:rsidRPr="007C7B79">
        <w:rPr>
          <w:rFonts w:hint="eastAsia"/>
        </w:rPr>
        <w:t>从非居民保险机构获得再保险服务（分出保险）</w:t>
      </w:r>
      <w:bookmarkEnd w:id="483"/>
    </w:p>
    <w:p w14:paraId="4E8C9683" w14:textId="77777777" w:rsidR="00A052DC" w:rsidRPr="007C7B79" w:rsidRDefault="00A412F6">
      <w:pPr>
        <w:pStyle w:val="aff0"/>
        <w:spacing w:line="360" w:lineRule="auto"/>
        <w:ind w:firstLineChars="0"/>
        <w:rPr>
          <w:rFonts w:ascii="Times New Roman" w:hAnsi="Times New Roman"/>
          <w:sz w:val="24"/>
          <w:szCs w:val="24"/>
        </w:rPr>
      </w:pPr>
      <w:r w:rsidRPr="00A412F6">
        <w:rPr>
          <w:rFonts w:ascii="Times New Roman" w:hAnsi="宋体" w:hint="eastAsia"/>
          <w:sz w:val="24"/>
          <w:szCs w:val="24"/>
        </w:rPr>
        <w:t>境内保险机构从非居民保险机构获得再保险服务的情况（分出保险）。仅限中国境内保险机构填报。</w:t>
      </w:r>
    </w:p>
    <w:p w14:paraId="02770173" w14:textId="77777777" w:rsidR="00A052DC" w:rsidRPr="007C7B79" w:rsidRDefault="00A412F6" w:rsidP="0020251D">
      <w:pPr>
        <w:pStyle w:val="3"/>
        <w:ind w:left="0"/>
        <w:rPr>
          <w:rFonts w:ascii="Times New Roman" w:hAnsi="Times New Roman"/>
        </w:rPr>
      </w:pPr>
      <w:bookmarkStart w:id="484" w:name="_Toc454386692"/>
      <w:bookmarkStart w:id="485" w:name="_Toc91455203"/>
      <w:bookmarkStart w:id="486" w:name="_Toc101684376"/>
      <w:r w:rsidRPr="00A412F6">
        <w:rPr>
          <w:rFonts w:ascii="Times New Roman" w:hint="eastAsia"/>
        </w:rPr>
        <w:t>银行进出口贸易融资余额</w:t>
      </w:r>
      <w:bookmarkEnd w:id="484"/>
      <w:bookmarkEnd w:id="485"/>
      <w:bookmarkEnd w:id="486"/>
    </w:p>
    <w:p w14:paraId="2A7F54CC" w14:textId="77777777" w:rsidR="00A052DC" w:rsidRPr="007C7B79" w:rsidRDefault="00A412F6">
      <w:pPr>
        <w:pStyle w:val="aff0"/>
        <w:spacing w:line="360" w:lineRule="auto"/>
        <w:ind w:firstLineChars="0"/>
        <w:rPr>
          <w:rFonts w:ascii="Times New Roman" w:hAnsi="Times New Roman"/>
          <w:sz w:val="24"/>
          <w:szCs w:val="24"/>
        </w:rPr>
      </w:pPr>
      <w:r w:rsidRPr="00A412F6">
        <w:rPr>
          <w:rFonts w:ascii="Times New Roman" w:hAnsi="宋体" w:hint="eastAsia"/>
          <w:sz w:val="24"/>
          <w:szCs w:val="24"/>
        </w:rPr>
        <w:t>境内银行与进出口有关的贸易融资业务余额。</w:t>
      </w:r>
    </w:p>
    <w:p w14:paraId="71E4DC8B" w14:textId="77777777" w:rsidR="00A052DC" w:rsidRPr="007C7B79" w:rsidRDefault="00A412F6" w:rsidP="0020251D">
      <w:pPr>
        <w:pStyle w:val="2"/>
        <w:rPr>
          <w:rFonts w:ascii="Times New Roman" w:hAnsi="Times New Roman"/>
        </w:rPr>
      </w:pPr>
      <w:bookmarkStart w:id="487" w:name="_Toc525912033"/>
      <w:bookmarkStart w:id="488" w:name="_Toc533586538"/>
      <w:bookmarkStart w:id="489" w:name="_Toc533749711"/>
      <w:bookmarkStart w:id="490" w:name="_Toc533586541"/>
      <w:bookmarkStart w:id="491" w:name="_Toc527964605"/>
      <w:bookmarkStart w:id="492" w:name="_Toc532300402"/>
      <w:bookmarkStart w:id="493" w:name="_Toc527963013"/>
      <w:bookmarkStart w:id="494" w:name="_Toc533749714"/>
      <w:bookmarkStart w:id="495" w:name="_Toc532300403"/>
      <w:bookmarkStart w:id="496" w:name="_Toc525912786"/>
      <w:bookmarkStart w:id="497" w:name="_Toc527963014"/>
      <w:bookmarkStart w:id="498" w:name="_Toc525912784"/>
      <w:bookmarkStart w:id="499" w:name="_Toc525912034"/>
      <w:bookmarkStart w:id="500" w:name="_Toc527131421"/>
      <w:bookmarkStart w:id="501" w:name="_Toc533586540"/>
      <w:bookmarkStart w:id="502" w:name="_Toc525912787"/>
      <w:bookmarkStart w:id="503" w:name="_Toc527132493"/>
      <w:bookmarkStart w:id="504" w:name="_Toc527131422"/>
      <w:bookmarkStart w:id="505" w:name="_Toc527964607"/>
      <w:bookmarkStart w:id="506" w:name="_Toc532300405"/>
      <w:bookmarkStart w:id="507" w:name="_Toc527963016"/>
      <w:bookmarkStart w:id="508" w:name="_Toc527964608"/>
      <w:bookmarkStart w:id="509" w:name="_Toc527132491"/>
      <w:bookmarkStart w:id="510" w:name="_Toc527132492"/>
      <w:bookmarkStart w:id="511" w:name="_Toc525912032"/>
      <w:bookmarkStart w:id="512" w:name="_Toc527131420"/>
      <w:bookmarkStart w:id="513" w:name="_Toc527964606"/>
      <w:bookmarkStart w:id="514" w:name="_Toc533749712"/>
      <w:bookmarkStart w:id="515" w:name="_Toc533586539"/>
      <w:bookmarkStart w:id="516" w:name="_Toc527131423"/>
      <w:bookmarkStart w:id="517" w:name="_Toc525912785"/>
      <w:bookmarkStart w:id="518" w:name="_Toc533749713"/>
      <w:bookmarkStart w:id="519" w:name="_Toc527963015"/>
      <w:bookmarkStart w:id="520" w:name="_Toc527132494"/>
      <w:bookmarkStart w:id="521" w:name="_Toc525912035"/>
      <w:bookmarkStart w:id="522" w:name="_Toc532300404"/>
      <w:bookmarkStart w:id="523" w:name="_Toc454386694"/>
      <w:bookmarkStart w:id="524" w:name="_Toc91455204"/>
      <w:bookmarkStart w:id="525" w:name="_Toc101684377"/>
      <w:bookmarkEnd w:id="397"/>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r w:rsidRPr="00A412F6">
        <w:rPr>
          <w:rFonts w:ascii="Times New Roman" w:hAnsi="Times New Roman" w:hint="eastAsia"/>
        </w:rPr>
        <w:t>机构外币现钞存取数据</w:t>
      </w:r>
      <w:bookmarkEnd w:id="523"/>
      <w:bookmarkEnd w:id="524"/>
      <w:bookmarkEnd w:id="525"/>
    </w:p>
    <w:p w14:paraId="73EDA772" w14:textId="77777777" w:rsidR="00A052DC" w:rsidRPr="007C7B79" w:rsidRDefault="00A412F6">
      <w:pPr>
        <w:spacing w:line="360" w:lineRule="auto"/>
        <w:ind w:firstLineChars="200" w:firstLine="480"/>
        <w:rPr>
          <w:rFonts w:ascii="Times New Roman" w:hAnsi="Times New Roman"/>
          <w:kern w:val="0"/>
          <w:sz w:val="24"/>
          <w:szCs w:val="20"/>
        </w:rPr>
      </w:pPr>
      <w:r w:rsidRPr="00A412F6">
        <w:rPr>
          <w:rFonts w:ascii="Times New Roman" w:hAnsi="Times New Roman" w:hint="eastAsia"/>
          <w:kern w:val="0"/>
          <w:sz w:val="24"/>
          <w:szCs w:val="20"/>
        </w:rPr>
        <w:t>机构外币现钞存入数据是指境内机构经由境内金融机构将机构外币现钞结汇和将机构外币现钞存入账户。</w:t>
      </w:r>
    </w:p>
    <w:p w14:paraId="7F3DB06E" w14:textId="77777777" w:rsidR="00A052DC" w:rsidRPr="007C7B79" w:rsidRDefault="00A412F6">
      <w:pPr>
        <w:spacing w:line="360" w:lineRule="auto"/>
        <w:ind w:firstLineChars="200" w:firstLine="480"/>
        <w:rPr>
          <w:rFonts w:ascii="Times New Roman" w:hAnsi="Times New Roman"/>
          <w:kern w:val="0"/>
          <w:sz w:val="24"/>
          <w:szCs w:val="20"/>
        </w:rPr>
      </w:pPr>
      <w:r w:rsidRPr="00A412F6">
        <w:rPr>
          <w:rFonts w:ascii="Times New Roman" w:hAnsi="Times New Roman" w:hint="eastAsia"/>
          <w:kern w:val="0"/>
          <w:sz w:val="24"/>
          <w:szCs w:val="20"/>
        </w:rPr>
        <w:t>机构外币现钞提取数据是指境内机构经由境内金融机构先购汇再直接提取外币现钞和从外汇账户提取外币现钞。</w:t>
      </w:r>
    </w:p>
    <w:p w14:paraId="7CA65B14" w14:textId="77777777" w:rsidR="00A052DC" w:rsidRPr="007C7B79" w:rsidRDefault="00A412F6">
      <w:pPr>
        <w:spacing w:line="360" w:lineRule="auto"/>
        <w:ind w:firstLineChars="200" w:firstLine="480"/>
        <w:rPr>
          <w:rFonts w:ascii="Times New Roman" w:hAnsi="Times New Roman"/>
          <w:kern w:val="0"/>
          <w:sz w:val="24"/>
          <w:szCs w:val="20"/>
        </w:rPr>
      </w:pPr>
      <w:r w:rsidRPr="00A412F6">
        <w:rPr>
          <w:rFonts w:ascii="Times New Roman" w:hAnsi="Times New Roman" w:hint="eastAsia"/>
          <w:kern w:val="0"/>
          <w:sz w:val="24"/>
          <w:szCs w:val="20"/>
        </w:rPr>
        <w:t>在外汇局无档案的机构在办理该项业务时，需要银行报送组织机构基本情况表（原单位基本情况表）。</w:t>
      </w:r>
    </w:p>
    <w:p w14:paraId="1500F67E" w14:textId="77777777" w:rsidR="00A052DC" w:rsidRPr="007C7B79" w:rsidRDefault="00A412F6">
      <w:pPr>
        <w:spacing w:line="360" w:lineRule="auto"/>
        <w:ind w:firstLineChars="200" w:firstLine="480"/>
        <w:rPr>
          <w:rFonts w:ascii="Times New Roman" w:hAnsi="Times New Roman"/>
          <w:kern w:val="0"/>
          <w:sz w:val="24"/>
          <w:szCs w:val="20"/>
        </w:rPr>
      </w:pPr>
      <w:r w:rsidRPr="00A412F6">
        <w:rPr>
          <w:rFonts w:ascii="Times New Roman" w:hAnsi="Times New Roman" w:hint="eastAsia"/>
          <w:kern w:val="0"/>
          <w:sz w:val="24"/>
          <w:szCs w:val="20"/>
        </w:rPr>
        <w:t>报送机构外币现钞存入</w:t>
      </w:r>
      <w:r w:rsidRPr="00A412F6">
        <w:rPr>
          <w:rFonts w:ascii="Times New Roman" w:hAnsi="Times New Roman"/>
          <w:kern w:val="0"/>
          <w:sz w:val="24"/>
          <w:szCs w:val="20"/>
        </w:rPr>
        <w:t>/</w:t>
      </w:r>
      <w:r w:rsidRPr="00A412F6">
        <w:rPr>
          <w:rFonts w:ascii="Times New Roman" w:hAnsi="Times New Roman" w:hint="eastAsia"/>
          <w:kern w:val="0"/>
          <w:sz w:val="24"/>
          <w:szCs w:val="20"/>
        </w:rPr>
        <w:t>提取数据时，需要事先通过外汇账户数据接口报送开关户信息。</w:t>
      </w:r>
    </w:p>
    <w:p w14:paraId="60FD0CB9" w14:textId="77777777" w:rsidR="00A052DC" w:rsidRPr="007C7B79" w:rsidRDefault="00A412F6" w:rsidP="0020251D">
      <w:pPr>
        <w:pStyle w:val="2"/>
        <w:rPr>
          <w:rFonts w:ascii="Times New Roman" w:hAnsi="Times New Roman"/>
        </w:rPr>
      </w:pPr>
      <w:bookmarkStart w:id="526" w:name="_Toc91455205"/>
      <w:bookmarkStart w:id="527" w:name="_Toc101684378"/>
      <w:r w:rsidRPr="00A412F6">
        <w:rPr>
          <w:rFonts w:ascii="Times New Roman" w:hAnsi="Times New Roman" w:hint="eastAsia"/>
        </w:rPr>
        <w:t>银行卡境外交易数据</w:t>
      </w:r>
      <w:bookmarkEnd w:id="526"/>
      <w:bookmarkEnd w:id="527"/>
    </w:p>
    <w:p w14:paraId="66DE03F3" w14:textId="77777777" w:rsidR="00A052DC" w:rsidRPr="007C7B79" w:rsidRDefault="00A412F6" w:rsidP="0020251D">
      <w:pPr>
        <w:pStyle w:val="3"/>
        <w:ind w:left="0"/>
        <w:rPr>
          <w:rFonts w:ascii="Times New Roman" w:hAnsi="Times New Roman"/>
        </w:rPr>
      </w:pPr>
      <w:bookmarkStart w:id="528" w:name="_Toc502428209"/>
      <w:bookmarkStart w:id="529" w:name="_Toc91455206"/>
      <w:bookmarkStart w:id="530" w:name="_Toc101684379"/>
      <w:r w:rsidRPr="00A412F6">
        <w:rPr>
          <w:rFonts w:ascii="Times New Roman" w:hint="eastAsia"/>
        </w:rPr>
        <w:t>银行卡境外提现明细数据</w:t>
      </w:r>
      <w:bookmarkEnd w:id="528"/>
      <w:bookmarkEnd w:id="529"/>
      <w:bookmarkEnd w:id="530"/>
    </w:p>
    <w:p w14:paraId="6E4A6CF2" w14:textId="77777777" w:rsidR="00A052DC" w:rsidRPr="007C7B79" w:rsidRDefault="00A412F6">
      <w:pPr>
        <w:spacing w:line="360" w:lineRule="auto"/>
        <w:ind w:firstLineChars="200" w:firstLine="480"/>
        <w:rPr>
          <w:rFonts w:ascii="Times New Roman" w:hAnsi="Times New Roman"/>
          <w:kern w:val="0"/>
          <w:sz w:val="24"/>
          <w:szCs w:val="24"/>
        </w:rPr>
      </w:pPr>
      <w:r w:rsidRPr="00A412F6">
        <w:rPr>
          <w:rFonts w:ascii="Times New Roman" w:hAnsi="Times New Roman" w:hint="eastAsia"/>
          <w:kern w:val="0"/>
          <w:sz w:val="24"/>
          <w:szCs w:val="24"/>
        </w:rPr>
        <w:t>银行卡境外提现明细数据是指个人使用境内银行卡在境外提取现钞的明细数据，包含借记卡和信用卡（贷记卡和准贷记卡）在境外通过金融机构柜台和自动取款机等场所和设备发生的提取现钞。</w:t>
      </w:r>
    </w:p>
    <w:p w14:paraId="384280CB" w14:textId="77777777" w:rsidR="00A052DC" w:rsidRPr="007C7B79" w:rsidRDefault="00A412F6">
      <w:pPr>
        <w:spacing w:line="360" w:lineRule="auto"/>
        <w:ind w:firstLineChars="200" w:firstLine="480"/>
        <w:rPr>
          <w:rFonts w:ascii="Times New Roman" w:hAnsi="Times New Roman"/>
          <w:kern w:val="0"/>
          <w:sz w:val="24"/>
          <w:szCs w:val="24"/>
        </w:rPr>
      </w:pPr>
      <w:r w:rsidRPr="00A412F6">
        <w:rPr>
          <w:rFonts w:ascii="Times New Roman" w:hAnsi="Times New Roman" w:hint="eastAsia"/>
          <w:kern w:val="0"/>
          <w:sz w:val="24"/>
          <w:szCs w:val="24"/>
        </w:rPr>
        <w:t>凡是开通银行卡境外提现功能的发卡金融机构，</w:t>
      </w:r>
      <w:r w:rsidR="009F0A60" w:rsidRPr="007C7B79">
        <w:rPr>
          <w:rFonts w:ascii="Times New Roman" w:hAnsi="Times New Roman" w:hint="eastAsia"/>
          <w:kern w:val="0"/>
          <w:sz w:val="24"/>
          <w:szCs w:val="20"/>
        </w:rPr>
        <w:t>均应</w:t>
      </w:r>
      <w:r w:rsidRPr="00A412F6">
        <w:rPr>
          <w:rFonts w:ascii="Times New Roman" w:hAnsi="Times New Roman" w:hint="eastAsia"/>
          <w:kern w:val="0"/>
          <w:sz w:val="24"/>
          <w:szCs w:val="24"/>
        </w:rPr>
        <w:t>将境外提现交易按要求逐笔报送，未发生境外提现交易应进行零报送。提现交易具体指商户类别码（</w:t>
      </w:r>
      <w:r w:rsidR="009F0A60" w:rsidRPr="007C7B79">
        <w:rPr>
          <w:rFonts w:ascii="Times New Roman" w:hAnsi="Times New Roman"/>
          <w:kern w:val="0"/>
          <w:sz w:val="24"/>
          <w:szCs w:val="24"/>
        </w:rPr>
        <w:t>MCC</w:t>
      </w:r>
      <w:r w:rsidRPr="00A412F6">
        <w:rPr>
          <w:rFonts w:ascii="Times New Roman" w:hAnsi="Times New Roman" w:hint="eastAsia"/>
          <w:kern w:val="0"/>
          <w:sz w:val="24"/>
          <w:szCs w:val="24"/>
        </w:rPr>
        <w:t>）</w:t>
      </w:r>
      <w:r w:rsidR="009F0A60" w:rsidRPr="007C7B79">
        <w:rPr>
          <w:rFonts w:ascii="Times New Roman" w:hAnsi="Times New Roman"/>
          <w:kern w:val="0"/>
          <w:sz w:val="24"/>
          <w:szCs w:val="24"/>
        </w:rPr>
        <w:t>6010</w:t>
      </w:r>
      <w:r w:rsidRPr="00A412F6">
        <w:rPr>
          <w:rFonts w:ascii="Times New Roman" w:hAnsi="Times New Roman" w:hint="eastAsia"/>
          <w:kern w:val="0"/>
          <w:sz w:val="24"/>
          <w:szCs w:val="24"/>
        </w:rPr>
        <w:t>（金融机构</w:t>
      </w:r>
      <w:r w:rsidR="009F0A60" w:rsidRPr="007C7B79">
        <w:rPr>
          <w:rFonts w:ascii="Times New Roman" w:hAnsi="Times New Roman"/>
          <w:kern w:val="0"/>
          <w:sz w:val="24"/>
          <w:szCs w:val="24"/>
        </w:rPr>
        <w:t>-</w:t>
      </w:r>
      <w:r w:rsidRPr="00A412F6">
        <w:rPr>
          <w:rFonts w:ascii="Times New Roman" w:hAnsi="Times New Roman" w:hint="eastAsia"/>
          <w:kern w:val="0"/>
          <w:sz w:val="24"/>
          <w:szCs w:val="24"/>
        </w:rPr>
        <w:t>银行柜台服务）和</w:t>
      </w:r>
      <w:r w:rsidR="009F0A60" w:rsidRPr="007C7B79">
        <w:rPr>
          <w:rFonts w:ascii="Times New Roman" w:hAnsi="Times New Roman"/>
          <w:kern w:val="0"/>
          <w:sz w:val="24"/>
          <w:szCs w:val="24"/>
        </w:rPr>
        <w:t>6011</w:t>
      </w:r>
      <w:r w:rsidRPr="00A412F6">
        <w:rPr>
          <w:rFonts w:ascii="Times New Roman" w:hAnsi="Times New Roman" w:hint="eastAsia"/>
          <w:kern w:val="0"/>
          <w:sz w:val="24"/>
          <w:szCs w:val="24"/>
        </w:rPr>
        <w:t>（金融机构</w:t>
      </w:r>
      <w:r w:rsidR="009F0A60" w:rsidRPr="007C7B79">
        <w:rPr>
          <w:rFonts w:ascii="Times New Roman" w:hAnsi="Times New Roman"/>
          <w:kern w:val="0"/>
          <w:sz w:val="24"/>
          <w:szCs w:val="24"/>
        </w:rPr>
        <w:t>-</w:t>
      </w:r>
      <w:r w:rsidRPr="00A412F6">
        <w:rPr>
          <w:rFonts w:ascii="Times New Roman" w:hAnsi="Times New Roman" w:hint="eastAsia"/>
          <w:kern w:val="0"/>
          <w:sz w:val="24"/>
          <w:szCs w:val="24"/>
        </w:rPr>
        <w:t>自动提款机服务）项下的所有提现交易。</w:t>
      </w:r>
    </w:p>
    <w:p w14:paraId="6A53AF67" w14:textId="77777777" w:rsidR="00A052DC" w:rsidRPr="007C7B79" w:rsidRDefault="00A412F6" w:rsidP="0020251D">
      <w:pPr>
        <w:pStyle w:val="3"/>
        <w:ind w:left="0"/>
        <w:rPr>
          <w:rFonts w:ascii="Times New Roman" w:hAnsi="Times New Roman"/>
        </w:rPr>
      </w:pPr>
      <w:bookmarkStart w:id="531" w:name="_Toc91455207"/>
      <w:bookmarkStart w:id="532" w:name="_Toc502428210"/>
      <w:bookmarkStart w:id="533" w:name="_Toc101684380"/>
      <w:r w:rsidRPr="00A412F6">
        <w:rPr>
          <w:rFonts w:ascii="Times New Roman" w:hint="eastAsia"/>
        </w:rPr>
        <w:t>银行卡境外消费明细数据</w:t>
      </w:r>
      <w:bookmarkEnd w:id="531"/>
      <w:bookmarkEnd w:id="532"/>
      <w:bookmarkEnd w:id="533"/>
    </w:p>
    <w:p w14:paraId="277D0372" w14:textId="77777777" w:rsidR="00A052DC" w:rsidRPr="007C7B79" w:rsidRDefault="00A412F6">
      <w:pPr>
        <w:spacing w:line="360" w:lineRule="auto"/>
        <w:ind w:firstLineChars="200" w:firstLine="480"/>
        <w:rPr>
          <w:rFonts w:ascii="Times New Roman" w:hAnsi="Times New Roman"/>
          <w:kern w:val="0"/>
          <w:sz w:val="24"/>
          <w:szCs w:val="24"/>
        </w:rPr>
      </w:pPr>
      <w:r w:rsidRPr="00A412F6">
        <w:rPr>
          <w:rFonts w:ascii="Times New Roman" w:hAnsi="Times New Roman" w:hint="eastAsia"/>
          <w:kern w:val="0"/>
          <w:sz w:val="24"/>
          <w:szCs w:val="24"/>
        </w:rPr>
        <w:t>银行卡境外消费明细数据是指个人使用境内银行卡在境外消费的明细数据，</w:t>
      </w:r>
    </w:p>
    <w:p w14:paraId="01F9FE04" w14:textId="77777777" w:rsidR="00A052DC" w:rsidRPr="007C7B79" w:rsidRDefault="00A412F6">
      <w:pPr>
        <w:spacing w:line="360" w:lineRule="auto"/>
        <w:rPr>
          <w:rFonts w:ascii="Times New Roman" w:hAnsi="Times New Roman"/>
          <w:kern w:val="0"/>
          <w:sz w:val="24"/>
          <w:szCs w:val="24"/>
        </w:rPr>
      </w:pPr>
      <w:r w:rsidRPr="00A412F6">
        <w:rPr>
          <w:rFonts w:ascii="Times New Roman" w:hAnsi="Times New Roman" w:hint="eastAsia"/>
          <w:kern w:val="0"/>
          <w:sz w:val="24"/>
          <w:szCs w:val="24"/>
        </w:rPr>
        <w:t>包含借记卡和信用卡（贷记卡和准贷记卡）在境外实体和网络特约商户发生的单笔等值</w:t>
      </w:r>
      <w:r w:rsidR="009F0A60" w:rsidRPr="007C7B79">
        <w:rPr>
          <w:rFonts w:ascii="Times New Roman" w:hAnsi="Times New Roman"/>
          <w:kern w:val="0"/>
          <w:sz w:val="24"/>
          <w:szCs w:val="24"/>
        </w:rPr>
        <w:t>1000</w:t>
      </w:r>
      <w:r w:rsidRPr="00A412F6">
        <w:rPr>
          <w:rFonts w:ascii="Times New Roman" w:hAnsi="Times New Roman" w:hint="eastAsia"/>
          <w:kern w:val="0"/>
          <w:sz w:val="24"/>
          <w:szCs w:val="24"/>
        </w:rPr>
        <w:t>元人民币（不含）以上的消费交易。</w:t>
      </w:r>
    </w:p>
    <w:p w14:paraId="6E928B82" w14:textId="77777777" w:rsidR="00A052DC" w:rsidRPr="007C7B79" w:rsidRDefault="00A412F6">
      <w:pPr>
        <w:spacing w:line="360" w:lineRule="auto"/>
        <w:ind w:firstLineChars="200" w:firstLine="480"/>
        <w:rPr>
          <w:rFonts w:ascii="Times New Roman" w:hAnsi="Times New Roman"/>
          <w:kern w:val="0"/>
          <w:sz w:val="24"/>
          <w:szCs w:val="24"/>
        </w:rPr>
      </w:pPr>
      <w:r w:rsidRPr="00A412F6">
        <w:rPr>
          <w:rFonts w:ascii="Times New Roman" w:hAnsi="Times New Roman" w:hint="eastAsia"/>
          <w:kern w:val="0"/>
          <w:sz w:val="24"/>
          <w:szCs w:val="24"/>
        </w:rPr>
        <w:t>凡是开通银行卡境外消费功能的发卡金融机构，</w:t>
      </w:r>
      <w:r w:rsidR="009F0A60" w:rsidRPr="007C7B79">
        <w:rPr>
          <w:rFonts w:ascii="Times New Roman" w:hAnsi="Times New Roman" w:hint="eastAsia"/>
          <w:kern w:val="0"/>
          <w:sz w:val="24"/>
          <w:szCs w:val="20"/>
        </w:rPr>
        <w:t>均应</w:t>
      </w:r>
      <w:r w:rsidRPr="00A412F6">
        <w:rPr>
          <w:rFonts w:ascii="Times New Roman" w:hAnsi="Times New Roman" w:hint="eastAsia"/>
          <w:kern w:val="0"/>
          <w:sz w:val="24"/>
          <w:szCs w:val="24"/>
        </w:rPr>
        <w:t>将境外消费按要求逐笔报送，未发生境外消费交易应进行零报送。消费交易具体指除商户类别码（</w:t>
      </w:r>
      <w:r w:rsidR="009F0A60" w:rsidRPr="007C7B79">
        <w:rPr>
          <w:rFonts w:ascii="Times New Roman" w:hAnsi="Times New Roman"/>
          <w:kern w:val="0"/>
          <w:sz w:val="24"/>
          <w:szCs w:val="24"/>
        </w:rPr>
        <w:t>MCC</w:t>
      </w:r>
      <w:r w:rsidRPr="00A412F6">
        <w:rPr>
          <w:rFonts w:ascii="Times New Roman" w:hAnsi="Times New Roman" w:hint="eastAsia"/>
          <w:kern w:val="0"/>
          <w:sz w:val="24"/>
          <w:szCs w:val="24"/>
        </w:rPr>
        <w:t>）为</w:t>
      </w:r>
      <w:r w:rsidR="009F0A60" w:rsidRPr="007C7B79">
        <w:rPr>
          <w:rFonts w:ascii="Times New Roman" w:hAnsi="Times New Roman"/>
          <w:kern w:val="0"/>
          <w:sz w:val="24"/>
          <w:szCs w:val="24"/>
        </w:rPr>
        <w:t>6010</w:t>
      </w:r>
      <w:r w:rsidRPr="00A412F6">
        <w:rPr>
          <w:rFonts w:ascii="Times New Roman" w:hAnsi="Times New Roman" w:hint="eastAsia"/>
          <w:kern w:val="0"/>
          <w:sz w:val="24"/>
          <w:szCs w:val="24"/>
        </w:rPr>
        <w:t>（金融机构</w:t>
      </w:r>
      <w:r w:rsidR="009F0A60" w:rsidRPr="007C7B79">
        <w:rPr>
          <w:rFonts w:ascii="Times New Roman" w:hAnsi="Times New Roman"/>
          <w:kern w:val="0"/>
          <w:sz w:val="24"/>
          <w:szCs w:val="24"/>
        </w:rPr>
        <w:t>-</w:t>
      </w:r>
      <w:r w:rsidRPr="00A412F6">
        <w:rPr>
          <w:rFonts w:ascii="Times New Roman" w:hAnsi="Times New Roman" w:hint="eastAsia"/>
          <w:kern w:val="0"/>
          <w:sz w:val="24"/>
          <w:szCs w:val="24"/>
        </w:rPr>
        <w:t>银行柜台服务）和</w:t>
      </w:r>
      <w:r w:rsidR="009F0A60" w:rsidRPr="007C7B79">
        <w:rPr>
          <w:rFonts w:ascii="Times New Roman" w:hAnsi="Times New Roman"/>
          <w:kern w:val="0"/>
          <w:sz w:val="24"/>
          <w:szCs w:val="24"/>
        </w:rPr>
        <w:t>6011</w:t>
      </w:r>
      <w:r w:rsidRPr="00A412F6">
        <w:rPr>
          <w:rFonts w:ascii="Times New Roman" w:hAnsi="Times New Roman" w:hint="eastAsia"/>
          <w:kern w:val="0"/>
          <w:sz w:val="24"/>
          <w:szCs w:val="24"/>
        </w:rPr>
        <w:t>（金融机构</w:t>
      </w:r>
      <w:r w:rsidR="009F0A60" w:rsidRPr="007C7B79">
        <w:rPr>
          <w:rFonts w:ascii="Times New Roman" w:hAnsi="Times New Roman"/>
          <w:kern w:val="0"/>
          <w:sz w:val="24"/>
          <w:szCs w:val="24"/>
        </w:rPr>
        <w:t>-</w:t>
      </w:r>
      <w:r w:rsidRPr="00A412F6">
        <w:rPr>
          <w:rFonts w:ascii="Times New Roman" w:hAnsi="Times New Roman" w:hint="eastAsia"/>
          <w:kern w:val="0"/>
          <w:sz w:val="24"/>
          <w:szCs w:val="24"/>
        </w:rPr>
        <w:t>自动提款机服务）外</w:t>
      </w:r>
      <w:r w:rsidR="009F0A60" w:rsidRPr="007C7B79">
        <w:rPr>
          <w:rFonts w:ascii="Times New Roman" w:hAnsi="Times New Roman" w:hint="eastAsia"/>
          <w:kern w:val="0"/>
          <w:sz w:val="24"/>
          <w:szCs w:val="24"/>
        </w:rPr>
        <w:t>，</w:t>
      </w:r>
      <w:r w:rsidRPr="00A412F6">
        <w:rPr>
          <w:rFonts w:ascii="Times New Roman" w:hAnsi="Times New Roman" w:hint="eastAsia"/>
          <w:kern w:val="0"/>
          <w:sz w:val="24"/>
          <w:szCs w:val="24"/>
        </w:rPr>
        <w:t>其他项下的所有消费信息。</w:t>
      </w:r>
      <w:bookmarkStart w:id="534" w:name="_Toc482881373"/>
      <w:bookmarkStart w:id="535" w:name="_Toc482881281"/>
      <w:bookmarkStart w:id="536" w:name="_Toc482881431"/>
      <w:bookmarkStart w:id="537" w:name="_Toc482964513"/>
      <w:bookmarkStart w:id="538" w:name="_Toc482881432"/>
      <w:bookmarkStart w:id="539" w:name="_Toc482881280"/>
      <w:bookmarkStart w:id="540" w:name="_Toc482964512"/>
      <w:bookmarkStart w:id="541" w:name="_Toc482881374"/>
      <w:bookmarkEnd w:id="534"/>
      <w:bookmarkEnd w:id="535"/>
      <w:bookmarkEnd w:id="536"/>
      <w:bookmarkEnd w:id="537"/>
      <w:bookmarkEnd w:id="538"/>
      <w:bookmarkEnd w:id="539"/>
      <w:bookmarkEnd w:id="540"/>
      <w:bookmarkEnd w:id="541"/>
    </w:p>
    <w:p w14:paraId="06FEF2F1" w14:textId="77777777" w:rsidR="00A052DC" w:rsidRPr="007C7B79" w:rsidRDefault="00A412F6" w:rsidP="0020251D">
      <w:pPr>
        <w:pStyle w:val="2"/>
        <w:rPr>
          <w:rFonts w:ascii="Times New Roman" w:hAnsi="Times New Roman"/>
        </w:rPr>
      </w:pPr>
      <w:bookmarkStart w:id="542" w:name="_Toc101684381"/>
      <w:r w:rsidRPr="00A412F6">
        <w:rPr>
          <w:rFonts w:ascii="Times New Roman" w:hAnsi="Times New Roman" w:hint="eastAsia"/>
        </w:rPr>
        <w:t>涉嫌外汇违规账户信息</w:t>
      </w:r>
      <w:bookmarkEnd w:id="542"/>
    </w:p>
    <w:p w14:paraId="7DBAC391" w14:textId="77777777" w:rsidR="00A052DC" w:rsidRPr="007C7B79" w:rsidRDefault="00A412F6">
      <w:pPr>
        <w:spacing w:line="360" w:lineRule="auto"/>
        <w:ind w:firstLineChars="200" w:firstLine="480"/>
        <w:rPr>
          <w:rFonts w:ascii="Times New Roman" w:hAnsi="Times New Roman" w:cs="仿宋"/>
          <w:sz w:val="24"/>
          <w:szCs w:val="30"/>
        </w:rPr>
      </w:pPr>
      <w:r w:rsidRPr="00A412F6">
        <w:rPr>
          <w:rFonts w:ascii="Times New Roman" w:hAnsi="宋体" w:cs="仿宋" w:hint="eastAsia"/>
          <w:sz w:val="24"/>
          <w:szCs w:val="30"/>
        </w:rPr>
        <w:t>指金融机构依据外汇局查询要求反馈的数据，包括查询回复信息、账户基础信息和交易明细信息。</w:t>
      </w:r>
    </w:p>
    <w:p w14:paraId="00ED7E7A" w14:textId="77777777" w:rsidR="00A052DC" w:rsidRPr="007C7B79" w:rsidRDefault="00A412F6" w:rsidP="0020251D">
      <w:pPr>
        <w:pStyle w:val="3"/>
        <w:ind w:left="0"/>
        <w:rPr>
          <w:rFonts w:ascii="Times New Roman" w:hAnsi="Times New Roman"/>
        </w:rPr>
      </w:pPr>
      <w:bookmarkStart w:id="543" w:name="_Toc97660614"/>
      <w:bookmarkStart w:id="544" w:name="_Toc97660185"/>
      <w:bookmarkStart w:id="545" w:name="_Toc98764268"/>
      <w:bookmarkStart w:id="546" w:name="_Toc97820941"/>
      <w:bookmarkStart w:id="547" w:name="_Toc97821370"/>
      <w:bookmarkStart w:id="548" w:name="_Toc98754074"/>
      <w:bookmarkStart w:id="549" w:name="_Toc99611089"/>
      <w:bookmarkStart w:id="550" w:name="_Toc99611508"/>
      <w:bookmarkStart w:id="551" w:name="_Toc97661037"/>
      <w:bookmarkStart w:id="552" w:name="_Toc91455209"/>
      <w:bookmarkStart w:id="553" w:name="_Toc90625002"/>
      <w:bookmarkStart w:id="554" w:name="_Toc101684382"/>
      <w:bookmarkEnd w:id="543"/>
      <w:bookmarkEnd w:id="544"/>
      <w:bookmarkEnd w:id="545"/>
      <w:bookmarkEnd w:id="546"/>
      <w:bookmarkEnd w:id="547"/>
      <w:bookmarkEnd w:id="548"/>
      <w:bookmarkEnd w:id="549"/>
      <w:bookmarkEnd w:id="550"/>
      <w:bookmarkEnd w:id="551"/>
      <w:r w:rsidRPr="00A412F6">
        <w:rPr>
          <w:rFonts w:ascii="Times New Roman" w:hAnsi="Times New Roman" w:hint="eastAsia"/>
        </w:rPr>
        <w:t>涉嫌外汇违规账户查询回复信息</w:t>
      </w:r>
      <w:bookmarkEnd w:id="552"/>
      <w:bookmarkEnd w:id="553"/>
      <w:bookmarkEnd w:id="554"/>
    </w:p>
    <w:p w14:paraId="3219B7E8" w14:textId="77777777" w:rsidR="00A052DC" w:rsidRPr="007C7B79" w:rsidRDefault="00A412F6">
      <w:pPr>
        <w:spacing w:line="360" w:lineRule="auto"/>
        <w:ind w:firstLineChars="200" w:firstLine="480"/>
        <w:rPr>
          <w:rFonts w:ascii="Times New Roman" w:eastAsiaTheme="minorEastAsia" w:hAnsi="Times New Roman"/>
          <w:sz w:val="24"/>
        </w:rPr>
      </w:pPr>
      <w:r w:rsidRPr="00A412F6">
        <w:rPr>
          <w:rFonts w:ascii="Times New Roman" w:hAnsi="宋体" w:cs="仿宋" w:hint="eastAsia"/>
          <w:sz w:val="24"/>
          <w:szCs w:val="30"/>
        </w:rPr>
        <w:t>指金融机构是否能够按照外汇局下发的查询要求报送相应信息。</w:t>
      </w:r>
      <w:r w:rsidRPr="00A412F6">
        <w:rPr>
          <w:rFonts w:ascii="Times New Roman" w:eastAsiaTheme="minorEastAsia" w:hAnsiTheme="minorEastAsia" w:hint="eastAsia"/>
          <w:sz w:val="24"/>
        </w:rPr>
        <w:t>金融机构收到外汇局下发的涉嫌外汇违规账户查询要求后，须回复是否能够按要求报送相应信息。若无法按照要求报送，须在回复中阐明原因。</w:t>
      </w:r>
    </w:p>
    <w:p w14:paraId="1FB111DB" w14:textId="77777777" w:rsidR="00A052DC" w:rsidRPr="007C7B79" w:rsidRDefault="00A412F6" w:rsidP="0020251D">
      <w:pPr>
        <w:pStyle w:val="3"/>
        <w:ind w:left="0"/>
        <w:rPr>
          <w:rFonts w:ascii="Times New Roman" w:hAnsi="Times New Roman"/>
        </w:rPr>
      </w:pPr>
      <w:bookmarkStart w:id="555" w:name="_Toc91455210"/>
      <w:bookmarkStart w:id="556" w:name="_Toc90625003"/>
      <w:bookmarkStart w:id="557" w:name="_Toc101684383"/>
      <w:r w:rsidRPr="00A412F6">
        <w:rPr>
          <w:rFonts w:ascii="Times New Roman" w:hAnsi="Times New Roman" w:hint="eastAsia"/>
        </w:rPr>
        <w:t>涉嫌外汇违规账户基础信息</w:t>
      </w:r>
      <w:bookmarkEnd w:id="555"/>
      <w:bookmarkEnd w:id="556"/>
      <w:bookmarkEnd w:id="557"/>
    </w:p>
    <w:p w14:paraId="6706C3FA" w14:textId="77777777" w:rsidR="00A052DC" w:rsidRPr="007C7B79" w:rsidRDefault="00A412F6">
      <w:pPr>
        <w:spacing w:line="360" w:lineRule="auto"/>
        <w:ind w:firstLineChars="200" w:firstLine="480"/>
        <w:rPr>
          <w:rFonts w:ascii="Times New Roman" w:eastAsiaTheme="minorEastAsia" w:hAnsi="Times New Roman"/>
          <w:sz w:val="24"/>
        </w:rPr>
      </w:pPr>
      <w:r w:rsidRPr="00A412F6">
        <w:rPr>
          <w:rFonts w:ascii="Times New Roman" w:eastAsiaTheme="minorEastAsia" w:hAnsiTheme="minorEastAsia" w:hint="eastAsia"/>
          <w:sz w:val="24"/>
        </w:rPr>
        <w:t>涉嫌外汇违规账户基础信息包括开户信息和其他信息。开户信息包括开户主体名称、开户主体类型、证件类型、证件号码、地址、开户时间、开户银行名称和账户账号</w:t>
      </w:r>
      <w:r w:rsidRPr="00A412F6">
        <w:rPr>
          <w:rFonts w:ascii="Times New Roman" w:eastAsiaTheme="minorEastAsia" w:hAnsi="Times New Roman"/>
          <w:sz w:val="24"/>
        </w:rPr>
        <w:t>/</w:t>
      </w:r>
      <w:r w:rsidRPr="00A412F6">
        <w:rPr>
          <w:rFonts w:ascii="Times New Roman" w:eastAsiaTheme="minorEastAsia" w:hAnsiTheme="minorEastAsia" w:hint="eastAsia"/>
          <w:sz w:val="24"/>
        </w:rPr>
        <w:t>卡号等要素。其他信息包括账户状态、销户时间、反馈信息的银行工作人员及其联系方式、该账户是否被其他司法机关，如公安、检察院、法院等部门申请查询、冻结或扣划等要素。</w:t>
      </w:r>
    </w:p>
    <w:p w14:paraId="099945F9" w14:textId="77777777" w:rsidR="00A052DC" w:rsidRPr="007C7B79" w:rsidRDefault="00A412F6" w:rsidP="0020251D">
      <w:pPr>
        <w:pStyle w:val="3"/>
        <w:ind w:left="0"/>
        <w:rPr>
          <w:rFonts w:ascii="Times New Roman" w:hAnsi="Times New Roman"/>
        </w:rPr>
      </w:pPr>
      <w:bookmarkStart w:id="558" w:name="_Toc84666269"/>
      <w:bookmarkStart w:id="559" w:name="_Toc84666268"/>
      <w:bookmarkStart w:id="560" w:name="_Toc84577971"/>
      <w:bookmarkStart w:id="561" w:name="_Toc84577972"/>
      <w:bookmarkStart w:id="562" w:name="_Toc91455211"/>
      <w:bookmarkStart w:id="563" w:name="_Toc90625004"/>
      <w:bookmarkStart w:id="564" w:name="_Toc101684384"/>
      <w:bookmarkEnd w:id="558"/>
      <w:bookmarkEnd w:id="559"/>
      <w:bookmarkEnd w:id="560"/>
      <w:bookmarkEnd w:id="561"/>
      <w:r w:rsidRPr="00A412F6">
        <w:rPr>
          <w:rFonts w:ascii="Times New Roman" w:hAnsi="Times New Roman" w:hint="eastAsia"/>
        </w:rPr>
        <w:t>涉嫌外汇违规账户交易明细信息</w:t>
      </w:r>
      <w:bookmarkEnd w:id="562"/>
      <w:bookmarkEnd w:id="563"/>
      <w:bookmarkEnd w:id="564"/>
    </w:p>
    <w:p w14:paraId="581E0BB7" w14:textId="77777777" w:rsidR="00A052DC" w:rsidRPr="007C7B79" w:rsidRDefault="00A412F6">
      <w:pPr>
        <w:spacing w:line="360" w:lineRule="auto"/>
        <w:ind w:firstLineChars="200" w:firstLine="480"/>
        <w:rPr>
          <w:rFonts w:ascii="Times New Roman" w:eastAsiaTheme="minorEastAsia" w:hAnsi="Times New Roman"/>
          <w:sz w:val="24"/>
        </w:rPr>
      </w:pPr>
      <w:r w:rsidRPr="00A412F6">
        <w:rPr>
          <w:rFonts w:ascii="Times New Roman" w:eastAsiaTheme="minorEastAsia" w:hAnsiTheme="minorEastAsia" w:hint="eastAsia"/>
          <w:sz w:val="24"/>
        </w:rPr>
        <w:t>指在外汇局指定时间内，客户通过涉嫌外汇违规账户办理的逐笔交易的明细信息。包括银行业务参号、证件号码、账户账号、卡号、交易日期、交易时间、交易方式、摘要（备注）、币别、借贷（收付）标记、交易金额、账户余额、交易网点名称、交易网点行号、对手名称、对手证件号、对手账号</w:t>
      </w:r>
      <w:r w:rsidRPr="00A412F6">
        <w:rPr>
          <w:rFonts w:ascii="Times New Roman" w:eastAsiaTheme="minorEastAsia" w:hAnsi="Times New Roman"/>
          <w:sz w:val="24"/>
        </w:rPr>
        <w:t>/</w:t>
      </w:r>
      <w:r w:rsidRPr="00A412F6">
        <w:rPr>
          <w:rFonts w:ascii="Times New Roman" w:eastAsiaTheme="minorEastAsia" w:hAnsiTheme="minorEastAsia" w:hint="eastAsia"/>
          <w:sz w:val="24"/>
        </w:rPr>
        <w:t>卡号、对手开户银行名称、代办人名称、</w:t>
      </w:r>
      <w:r w:rsidRPr="00A412F6">
        <w:rPr>
          <w:rFonts w:ascii="Times New Roman" w:eastAsiaTheme="minorEastAsia" w:hAnsi="Times New Roman"/>
          <w:sz w:val="24"/>
        </w:rPr>
        <w:t>IP</w:t>
      </w:r>
      <w:r w:rsidRPr="00A412F6">
        <w:rPr>
          <w:rFonts w:ascii="Times New Roman" w:eastAsiaTheme="minorEastAsia" w:hAnsiTheme="minorEastAsia"/>
          <w:sz w:val="24"/>
        </w:rPr>
        <w:t>地址</w:t>
      </w:r>
      <w:r w:rsidRPr="00A412F6">
        <w:rPr>
          <w:rFonts w:ascii="Times New Roman" w:eastAsiaTheme="minorEastAsia" w:hAnsiTheme="minorEastAsia" w:hint="eastAsia"/>
          <w:sz w:val="24"/>
        </w:rPr>
        <w:t>和</w:t>
      </w:r>
      <w:r w:rsidRPr="00A412F6">
        <w:rPr>
          <w:rFonts w:ascii="Times New Roman" w:eastAsiaTheme="minorEastAsia" w:hAnsi="Times New Roman"/>
          <w:sz w:val="24"/>
        </w:rPr>
        <w:t>MAC</w:t>
      </w:r>
      <w:r w:rsidRPr="00A412F6">
        <w:rPr>
          <w:rFonts w:ascii="Times New Roman" w:eastAsiaTheme="minorEastAsia" w:hAnsiTheme="minorEastAsia"/>
          <w:sz w:val="24"/>
        </w:rPr>
        <w:t>地址等。</w:t>
      </w:r>
    </w:p>
    <w:p w14:paraId="13B45668" w14:textId="77777777" w:rsidR="00A052DC" w:rsidRPr="007C7B79" w:rsidRDefault="00A412F6" w:rsidP="0020251D">
      <w:pPr>
        <w:pStyle w:val="2"/>
        <w:rPr>
          <w:rFonts w:ascii="Times New Roman" w:hAnsi="Times New Roman"/>
        </w:rPr>
      </w:pPr>
      <w:bookmarkStart w:id="565" w:name="_Toc101684385"/>
      <w:r w:rsidRPr="00A412F6">
        <w:rPr>
          <w:rFonts w:ascii="Times New Roman" w:hAnsi="Times New Roman" w:hint="eastAsia"/>
        </w:rPr>
        <w:t>机构大额结售汇资金来源和使用数据</w:t>
      </w:r>
      <w:bookmarkEnd w:id="565"/>
    </w:p>
    <w:p w14:paraId="08638EFA" w14:textId="77777777" w:rsidR="00A052DC" w:rsidRPr="007C7B79" w:rsidRDefault="00A412F6">
      <w:pPr>
        <w:spacing w:line="360" w:lineRule="auto"/>
        <w:ind w:firstLineChars="200" w:firstLine="480"/>
        <w:rPr>
          <w:rFonts w:ascii="Times New Roman" w:hAnsi="Times New Roman"/>
          <w:sz w:val="24"/>
        </w:rPr>
      </w:pPr>
      <w:r w:rsidRPr="00A412F6">
        <w:rPr>
          <w:rFonts w:ascii="Times New Roman" w:eastAsiaTheme="minorEastAsia" w:hAnsiTheme="minorEastAsia" w:hint="eastAsia"/>
          <w:sz w:val="24"/>
        </w:rPr>
        <w:t>指居民机构结汇所得人民币资金使用及购汇所用人民币资金来源数据</w:t>
      </w:r>
      <w:r w:rsidRPr="00A412F6">
        <w:rPr>
          <w:rFonts w:ascii="Times New Roman" w:eastAsiaTheme="minorEastAsia" w:hAnsi="Times New Roman"/>
          <w:sz w:val="24"/>
        </w:rPr>
        <w:t>(</w:t>
      </w:r>
      <w:r w:rsidRPr="00A412F6">
        <w:rPr>
          <w:rFonts w:ascii="Times New Roman" w:eastAsiaTheme="minorEastAsia" w:hAnsiTheme="minorEastAsia" w:hint="eastAsia"/>
          <w:sz w:val="24"/>
        </w:rPr>
        <w:t>含账户内结售汇和直接结售汇</w:t>
      </w:r>
      <w:r w:rsidRPr="00A412F6">
        <w:rPr>
          <w:rFonts w:ascii="Times New Roman" w:eastAsiaTheme="minorEastAsia" w:hAnsi="Times New Roman"/>
          <w:sz w:val="24"/>
        </w:rPr>
        <w:t>)</w:t>
      </w:r>
      <w:r w:rsidRPr="00A412F6">
        <w:rPr>
          <w:rFonts w:ascii="Times New Roman" w:eastAsiaTheme="minorEastAsia" w:hAnsiTheme="minorEastAsia" w:hint="eastAsia"/>
          <w:sz w:val="24"/>
        </w:rPr>
        <w:t>，即</w:t>
      </w:r>
      <w:r w:rsidRPr="00A412F6">
        <w:rPr>
          <w:rFonts w:ascii="Times New Roman" w:hint="eastAsia"/>
          <w:sz w:val="24"/>
        </w:rPr>
        <w:t>机构结汇所得人民币资金经同一金融机构居民人民币账户的使用数据和机构购汇所用人民币资金经同一金融机构居民人民币账户的来源数据。</w:t>
      </w:r>
    </w:p>
    <w:p w14:paraId="6E70D353" w14:textId="77777777" w:rsidR="00A052DC" w:rsidRPr="007C7B79" w:rsidRDefault="00A412F6">
      <w:pPr>
        <w:spacing w:line="360" w:lineRule="auto"/>
        <w:ind w:firstLineChars="200" w:firstLine="480"/>
        <w:rPr>
          <w:rFonts w:ascii="Times New Roman" w:eastAsiaTheme="minorEastAsia" w:hAnsi="Times New Roman"/>
          <w:sz w:val="24"/>
        </w:rPr>
      </w:pPr>
      <w:r w:rsidRPr="00A412F6">
        <w:rPr>
          <w:rFonts w:ascii="Times New Roman" w:hint="eastAsia"/>
          <w:sz w:val="24"/>
        </w:rPr>
        <w:t>其中，</w:t>
      </w:r>
      <w:r w:rsidRPr="00A412F6">
        <w:rPr>
          <w:rFonts w:ascii="Times New Roman" w:hAnsi="Times New Roman" w:hint="eastAsia"/>
          <w:sz w:val="24"/>
        </w:rPr>
        <w:t>“</w:t>
      </w:r>
      <w:r w:rsidRPr="00A412F6">
        <w:rPr>
          <w:rFonts w:ascii="Times New Roman" w:hint="eastAsia"/>
          <w:sz w:val="24"/>
        </w:rPr>
        <w:t>人民币账户</w:t>
      </w:r>
      <w:r w:rsidRPr="00A412F6">
        <w:rPr>
          <w:rFonts w:ascii="Times New Roman" w:hAnsi="Times New Roman" w:hint="eastAsia"/>
          <w:sz w:val="24"/>
        </w:rPr>
        <w:t>”</w:t>
      </w:r>
      <w:r w:rsidRPr="00A412F6">
        <w:rPr>
          <w:rFonts w:ascii="Times New Roman" w:hint="eastAsia"/>
          <w:sz w:val="24"/>
        </w:rPr>
        <w:t>不含金融机构内部户等资金暂挂账户，</w:t>
      </w:r>
      <w:r w:rsidRPr="00A412F6">
        <w:rPr>
          <w:rFonts w:ascii="Times New Roman" w:hAnsi="Times New Roman" w:hint="eastAsia"/>
          <w:sz w:val="24"/>
        </w:rPr>
        <w:t>“</w:t>
      </w:r>
      <w:r w:rsidRPr="00A412F6">
        <w:rPr>
          <w:rFonts w:ascii="Times New Roman" w:hint="eastAsia"/>
          <w:sz w:val="24"/>
        </w:rPr>
        <w:t>机构</w:t>
      </w:r>
      <w:r w:rsidRPr="00A412F6">
        <w:rPr>
          <w:rFonts w:ascii="Times New Roman" w:hAnsi="Times New Roman" w:hint="eastAsia"/>
          <w:sz w:val="24"/>
        </w:rPr>
        <w:t>”</w:t>
      </w:r>
      <w:r w:rsidRPr="00A412F6">
        <w:rPr>
          <w:rFonts w:ascii="Times New Roman" w:hint="eastAsia"/>
          <w:sz w:val="24"/>
        </w:rPr>
        <w:t>指除自然人以外的所有单位和团体，</w:t>
      </w:r>
      <w:r w:rsidRPr="00A412F6">
        <w:rPr>
          <w:rFonts w:ascii="Times New Roman" w:hAnsi="Times New Roman" w:hint="eastAsia"/>
          <w:sz w:val="24"/>
        </w:rPr>
        <w:t>“</w:t>
      </w:r>
      <w:r w:rsidRPr="00A412F6">
        <w:rPr>
          <w:rFonts w:ascii="Times New Roman" w:hint="eastAsia"/>
          <w:sz w:val="24"/>
        </w:rPr>
        <w:t>同一金融机构</w:t>
      </w:r>
      <w:r w:rsidRPr="00A412F6">
        <w:rPr>
          <w:rFonts w:ascii="Times New Roman" w:hAnsi="Times New Roman" w:hint="eastAsia"/>
          <w:sz w:val="24"/>
        </w:rPr>
        <w:t>”</w:t>
      </w:r>
      <w:r w:rsidRPr="00A412F6">
        <w:rPr>
          <w:rFonts w:ascii="Times New Roman" w:hint="eastAsia"/>
          <w:sz w:val="24"/>
        </w:rPr>
        <w:t>指金融机构代码相同，</w:t>
      </w:r>
      <w:r w:rsidRPr="00A412F6">
        <w:rPr>
          <w:rFonts w:ascii="Times New Roman" w:hAnsi="Times New Roman" w:hint="eastAsia"/>
          <w:sz w:val="24"/>
        </w:rPr>
        <w:t>“</w:t>
      </w:r>
      <w:r w:rsidRPr="00A412F6">
        <w:rPr>
          <w:rFonts w:ascii="Times New Roman" w:hint="eastAsia"/>
          <w:sz w:val="24"/>
        </w:rPr>
        <w:t>结汇</w:t>
      </w:r>
      <w:r w:rsidRPr="00A412F6">
        <w:rPr>
          <w:rFonts w:ascii="Times New Roman" w:hAnsi="Times New Roman" w:hint="eastAsia"/>
          <w:sz w:val="24"/>
        </w:rPr>
        <w:t>”</w:t>
      </w:r>
      <w:r w:rsidRPr="00A412F6">
        <w:rPr>
          <w:rFonts w:ascii="Times New Roman" w:hint="eastAsia"/>
          <w:sz w:val="24"/>
        </w:rPr>
        <w:t>或</w:t>
      </w:r>
      <w:r w:rsidRPr="00A412F6">
        <w:rPr>
          <w:rFonts w:ascii="Times New Roman" w:hAnsi="Times New Roman" w:hint="eastAsia"/>
          <w:sz w:val="24"/>
        </w:rPr>
        <w:t>“</w:t>
      </w:r>
      <w:r w:rsidRPr="00A412F6">
        <w:rPr>
          <w:rFonts w:ascii="Times New Roman" w:hint="eastAsia"/>
          <w:sz w:val="24"/>
        </w:rPr>
        <w:t>购汇</w:t>
      </w:r>
      <w:r w:rsidRPr="00A412F6">
        <w:rPr>
          <w:rFonts w:ascii="Times New Roman" w:hAnsi="Times New Roman" w:hint="eastAsia"/>
          <w:sz w:val="24"/>
        </w:rPr>
        <w:t>”</w:t>
      </w:r>
      <w:r w:rsidRPr="00A412F6">
        <w:rPr>
          <w:rFonts w:ascii="Times New Roman" w:hint="eastAsia"/>
          <w:sz w:val="24"/>
        </w:rPr>
        <w:t>指实际发生资金交割时。</w:t>
      </w:r>
    </w:p>
    <w:p w14:paraId="7968146E" w14:textId="77777777" w:rsidR="00A052DC" w:rsidRPr="007C7B79" w:rsidRDefault="00A412F6" w:rsidP="0020251D">
      <w:pPr>
        <w:pStyle w:val="3"/>
        <w:ind w:left="0"/>
        <w:rPr>
          <w:rFonts w:ascii="Times New Roman" w:hAnsi="Times New Roman"/>
        </w:rPr>
      </w:pPr>
      <w:bookmarkStart w:id="566" w:name="_Toc101684386"/>
      <w:r w:rsidRPr="00A412F6">
        <w:rPr>
          <w:rFonts w:ascii="Times New Roman" w:hAnsi="Times New Roman" w:hint="eastAsia"/>
        </w:rPr>
        <w:t>机构大额结汇资金使用数据</w:t>
      </w:r>
      <w:bookmarkEnd w:id="566"/>
    </w:p>
    <w:p w14:paraId="28E4B4C7" w14:textId="77777777" w:rsidR="00A052DC" w:rsidRPr="007C7B79" w:rsidRDefault="00A412F6">
      <w:pPr>
        <w:spacing w:line="360" w:lineRule="auto"/>
        <w:ind w:firstLineChars="200" w:firstLine="480"/>
        <w:rPr>
          <w:rFonts w:ascii="Times New Roman" w:hAnsi="Times New Roman"/>
          <w:kern w:val="0"/>
          <w:sz w:val="24"/>
          <w:szCs w:val="24"/>
        </w:rPr>
      </w:pPr>
      <w:r w:rsidRPr="00A412F6">
        <w:rPr>
          <w:rFonts w:ascii="Times New Roman" w:hAnsi="Times New Roman" w:hint="eastAsia"/>
          <w:kern w:val="0"/>
          <w:sz w:val="24"/>
          <w:szCs w:val="24"/>
        </w:rPr>
        <w:t>如果居民机构结汇所得人民币资金（单笔大于（含）</w:t>
      </w:r>
      <w:r w:rsidRPr="00A412F6">
        <w:rPr>
          <w:rFonts w:ascii="Times New Roman" w:hAnsi="Times New Roman"/>
          <w:kern w:val="0"/>
          <w:sz w:val="24"/>
          <w:szCs w:val="24"/>
        </w:rPr>
        <w:t>M</w:t>
      </w:r>
      <w:r w:rsidRPr="00A412F6">
        <w:rPr>
          <w:rFonts w:ascii="Times New Roman" w:hAnsi="Times New Roman"/>
          <w:kern w:val="0"/>
          <w:sz w:val="24"/>
          <w:szCs w:val="24"/>
          <w:vertAlign w:val="subscript"/>
        </w:rPr>
        <w:t>1</w:t>
      </w:r>
      <w:r w:rsidRPr="00A412F6">
        <w:rPr>
          <w:rFonts w:ascii="Times New Roman" w:hAnsi="Times New Roman" w:hint="eastAsia"/>
          <w:kern w:val="0"/>
          <w:sz w:val="24"/>
          <w:szCs w:val="24"/>
        </w:rPr>
        <w:t>万元人民币）汇入同一金融机构开户的居民人民币账户，则金融机构须报送该账户在结汇发生后</w:t>
      </w:r>
      <w:r w:rsidRPr="00A412F6">
        <w:rPr>
          <w:rFonts w:ascii="Times New Roman" w:hAnsi="Times New Roman"/>
          <w:kern w:val="0"/>
          <w:sz w:val="24"/>
          <w:szCs w:val="24"/>
        </w:rPr>
        <w:t>T</w:t>
      </w:r>
      <w:r w:rsidRPr="00A412F6">
        <w:rPr>
          <w:rFonts w:ascii="Times New Roman" w:hAnsi="Times New Roman"/>
          <w:kern w:val="0"/>
          <w:sz w:val="24"/>
          <w:szCs w:val="24"/>
          <w:vertAlign w:val="subscript"/>
        </w:rPr>
        <w:t>1</w:t>
      </w:r>
      <w:r w:rsidRPr="00A412F6">
        <w:rPr>
          <w:rFonts w:ascii="Times New Roman" w:hAnsi="Times New Roman" w:hint="eastAsia"/>
          <w:kern w:val="0"/>
          <w:sz w:val="24"/>
          <w:szCs w:val="24"/>
        </w:rPr>
        <w:t>个工作日（含结汇当日）内单笔划转金额大于（含）</w:t>
      </w:r>
      <w:r w:rsidRPr="00A412F6">
        <w:rPr>
          <w:rFonts w:ascii="Times New Roman" w:hAnsi="Times New Roman"/>
          <w:kern w:val="0"/>
          <w:sz w:val="24"/>
          <w:szCs w:val="24"/>
        </w:rPr>
        <w:t>N</w:t>
      </w:r>
      <w:r w:rsidRPr="00A412F6">
        <w:rPr>
          <w:rFonts w:ascii="Times New Roman" w:hAnsi="Times New Roman"/>
          <w:kern w:val="0"/>
          <w:sz w:val="24"/>
          <w:szCs w:val="24"/>
          <w:vertAlign w:val="subscript"/>
        </w:rPr>
        <w:t>1</w:t>
      </w:r>
      <w:r w:rsidRPr="00A412F6">
        <w:rPr>
          <w:rFonts w:ascii="Times New Roman" w:hAnsi="Times New Roman" w:hint="eastAsia"/>
          <w:kern w:val="0"/>
          <w:sz w:val="24"/>
          <w:szCs w:val="24"/>
        </w:rPr>
        <w:t>万元人民币的全部资金使用数据。</w:t>
      </w:r>
    </w:p>
    <w:p w14:paraId="68F7F0A9" w14:textId="77777777" w:rsidR="00A052DC" w:rsidRPr="007C7B79" w:rsidRDefault="00A412F6">
      <w:pPr>
        <w:spacing w:line="360" w:lineRule="auto"/>
        <w:ind w:firstLineChars="200" w:firstLine="480"/>
        <w:rPr>
          <w:rFonts w:ascii="Times New Roman" w:hAnsi="Times New Roman"/>
          <w:kern w:val="0"/>
          <w:sz w:val="24"/>
          <w:szCs w:val="24"/>
        </w:rPr>
      </w:pPr>
      <w:r w:rsidRPr="00A412F6">
        <w:rPr>
          <w:rFonts w:ascii="Times New Roman" w:hAnsi="Times New Roman" w:hint="eastAsia"/>
          <w:kern w:val="0"/>
          <w:sz w:val="24"/>
          <w:szCs w:val="24"/>
        </w:rPr>
        <w:t>上述参数</w:t>
      </w:r>
      <w:r w:rsidRPr="00A412F6">
        <w:rPr>
          <w:rFonts w:ascii="Times New Roman" w:hAnsi="Times New Roman"/>
          <w:kern w:val="0"/>
          <w:sz w:val="24"/>
          <w:szCs w:val="24"/>
        </w:rPr>
        <w:t>M</w:t>
      </w:r>
      <w:r w:rsidRPr="00A412F6">
        <w:rPr>
          <w:rFonts w:ascii="Times New Roman" w:hAnsi="Times New Roman"/>
          <w:kern w:val="0"/>
          <w:sz w:val="24"/>
          <w:szCs w:val="24"/>
          <w:vertAlign w:val="subscript"/>
        </w:rPr>
        <w:t>1</w:t>
      </w:r>
      <w:r w:rsidRPr="00A412F6">
        <w:rPr>
          <w:rFonts w:ascii="Times New Roman" w:hAnsi="Times New Roman" w:hint="eastAsia"/>
          <w:kern w:val="0"/>
          <w:sz w:val="24"/>
          <w:szCs w:val="24"/>
        </w:rPr>
        <w:t>、</w:t>
      </w:r>
      <w:r w:rsidRPr="00A412F6">
        <w:rPr>
          <w:rFonts w:ascii="Times New Roman" w:hAnsi="Times New Roman"/>
          <w:kern w:val="0"/>
          <w:sz w:val="24"/>
          <w:szCs w:val="24"/>
        </w:rPr>
        <w:t>T</w:t>
      </w:r>
      <w:r w:rsidRPr="00A412F6">
        <w:rPr>
          <w:rFonts w:ascii="Times New Roman" w:hAnsi="Times New Roman"/>
          <w:kern w:val="0"/>
          <w:sz w:val="24"/>
          <w:szCs w:val="24"/>
          <w:vertAlign w:val="subscript"/>
        </w:rPr>
        <w:t>1</w:t>
      </w:r>
      <w:r w:rsidRPr="00A412F6">
        <w:rPr>
          <w:rFonts w:ascii="Times New Roman" w:hAnsi="Times New Roman" w:hint="eastAsia"/>
          <w:kern w:val="0"/>
          <w:sz w:val="24"/>
          <w:szCs w:val="24"/>
        </w:rPr>
        <w:t>和</w:t>
      </w:r>
      <w:r w:rsidRPr="00A412F6">
        <w:rPr>
          <w:rFonts w:ascii="Times New Roman" w:hAnsi="Times New Roman"/>
          <w:kern w:val="0"/>
          <w:sz w:val="24"/>
          <w:szCs w:val="24"/>
        </w:rPr>
        <w:t>N</w:t>
      </w:r>
      <w:r w:rsidRPr="00A412F6">
        <w:rPr>
          <w:rFonts w:ascii="Times New Roman" w:hAnsi="Times New Roman"/>
          <w:kern w:val="0"/>
          <w:sz w:val="24"/>
          <w:szCs w:val="24"/>
          <w:vertAlign w:val="subscript"/>
        </w:rPr>
        <w:t>1</w:t>
      </w:r>
      <w:r w:rsidRPr="00A412F6">
        <w:rPr>
          <w:rFonts w:ascii="Times New Roman" w:hAnsi="Times New Roman" w:hint="eastAsia"/>
          <w:kern w:val="0"/>
          <w:sz w:val="24"/>
          <w:szCs w:val="24"/>
        </w:rPr>
        <w:t>，依据</w:t>
      </w:r>
      <w:r w:rsidR="005D7F7E">
        <w:rPr>
          <w:rFonts w:ascii="Times New Roman" w:hAnsi="Times New Roman" w:hint="eastAsia"/>
          <w:kern w:val="0"/>
          <w:sz w:val="24"/>
          <w:szCs w:val="24"/>
        </w:rPr>
        <w:t>《国家外汇管理局综合司关于金融机构报送</w:t>
      </w:r>
      <w:r w:rsidR="005D7F7E">
        <w:rPr>
          <w:rFonts w:ascii="Times New Roman" w:hAnsi="Times New Roman" w:hint="eastAsia"/>
          <w:kern w:val="0"/>
          <w:sz w:val="24"/>
          <w:szCs w:val="24"/>
        </w:rPr>
        <w:t>3</w:t>
      </w:r>
      <w:r w:rsidR="005D7F7E">
        <w:rPr>
          <w:rFonts w:ascii="Times New Roman" w:hAnsi="Times New Roman" w:hint="eastAsia"/>
          <w:kern w:val="0"/>
          <w:sz w:val="24"/>
          <w:szCs w:val="24"/>
        </w:rPr>
        <w:t>类数据的通知》（汇综发〔</w:t>
      </w:r>
      <w:r w:rsidR="005D7F7E">
        <w:rPr>
          <w:rFonts w:ascii="Times New Roman" w:hAnsi="Times New Roman" w:hint="eastAsia"/>
          <w:kern w:val="0"/>
          <w:sz w:val="24"/>
          <w:szCs w:val="24"/>
        </w:rPr>
        <w:t>2022</w:t>
      </w:r>
      <w:r w:rsidR="005D7F7E">
        <w:rPr>
          <w:rFonts w:ascii="Times New Roman" w:hAnsi="Times New Roman" w:hint="eastAsia"/>
          <w:kern w:val="0"/>
          <w:sz w:val="24"/>
          <w:szCs w:val="24"/>
        </w:rPr>
        <w:t>〕</w:t>
      </w:r>
      <w:r w:rsidR="005D7F7E">
        <w:rPr>
          <w:rFonts w:ascii="Times New Roman" w:hAnsi="Times New Roman" w:hint="eastAsia"/>
          <w:kern w:val="0"/>
          <w:sz w:val="24"/>
          <w:szCs w:val="24"/>
        </w:rPr>
        <w:t>34</w:t>
      </w:r>
      <w:r w:rsidR="005D7F7E">
        <w:rPr>
          <w:rFonts w:ascii="Times New Roman" w:hAnsi="Times New Roman" w:hint="eastAsia"/>
          <w:kern w:val="0"/>
          <w:sz w:val="24"/>
          <w:szCs w:val="24"/>
        </w:rPr>
        <w:t>号）</w:t>
      </w:r>
      <w:r w:rsidRPr="00A412F6">
        <w:rPr>
          <w:rFonts w:ascii="Times New Roman" w:hAnsi="Times New Roman" w:hint="eastAsia"/>
          <w:kern w:val="0"/>
          <w:sz w:val="24"/>
          <w:szCs w:val="24"/>
        </w:rPr>
        <w:t>确定。</w:t>
      </w:r>
    </w:p>
    <w:p w14:paraId="0AD87058" w14:textId="77777777" w:rsidR="00A052DC" w:rsidRPr="007C7B79" w:rsidRDefault="00A052DC">
      <w:pPr>
        <w:rPr>
          <w:rFonts w:ascii="Times New Roman" w:hAnsi="Times New Roman"/>
        </w:rPr>
      </w:pPr>
    </w:p>
    <w:p w14:paraId="2C5A977E" w14:textId="77777777" w:rsidR="00A052DC" w:rsidRPr="007C7B79" w:rsidRDefault="00A412F6" w:rsidP="0020251D">
      <w:pPr>
        <w:pStyle w:val="3"/>
        <w:ind w:left="0"/>
        <w:rPr>
          <w:rFonts w:ascii="Times New Roman" w:hAnsi="Times New Roman"/>
        </w:rPr>
      </w:pPr>
      <w:bookmarkStart w:id="567" w:name="_Toc85616202"/>
      <w:bookmarkStart w:id="568" w:name="_Toc101684387"/>
      <w:bookmarkEnd w:id="567"/>
      <w:r w:rsidRPr="00A412F6">
        <w:rPr>
          <w:rFonts w:ascii="Times New Roman" w:hAnsi="Times New Roman" w:hint="eastAsia"/>
        </w:rPr>
        <w:t>机构大额购汇资金来源数据</w:t>
      </w:r>
      <w:bookmarkEnd w:id="568"/>
    </w:p>
    <w:p w14:paraId="2A72871B" w14:textId="77777777" w:rsidR="00A052DC" w:rsidRPr="007C7B79" w:rsidRDefault="00A412F6">
      <w:pPr>
        <w:spacing w:line="360" w:lineRule="auto"/>
        <w:ind w:firstLineChars="200" w:firstLine="480"/>
        <w:rPr>
          <w:rFonts w:ascii="Times New Roman" w:hAnsi="Times New Roman"/>
          <w:kern w:val="0"/>
          <w:sz w:val="24"/>
          <w:szCs w:val="24"/>
        </w:rPr>
      </w:pPr>
      <w:r w:rsidRPr="00A412F6">
        <w:rPr>
          <w:rFonts w:ascii="Times New Roman" w:hAnsi="Times New Roman" w:hint="eastAsia"/>
          <w:kern w:val="0"/>
          <w:sz w:val="24"/>
          <w:szCs w:val="24"/>
        </w:rPr>
        <w:t>如果居民机构购汇所用人民币资金（单笔大于（含）</w:t>
      </w:r>
      <w:r w:rsidRPr="00A412F6">
        <w:rPr>
          <w:rFonts w:ascii="Times New Roman" w:hAnsi="Times New Roman"/>
          <w:kern w:val="0"/>
          <w:sz w:val="24"/>
          <w:szCs w:val="24"/>
        </w:rPr>
        <w:t>M</w:t>
      </w:r>
      <w:r w:rsidRPr="00A412F6">
        <w:rPr>
          <w:rFonts w:ascii="Times New Roman" w:hAnsi="Times New Roman"/>
          <w:kern w:val="0"/>
          <w:sz w:val="24"/>
          <w:szCs w:val="24"/>
          <w:vertAlign w:val="subscript"/>
        </w:rPr>
        <w:t>2</w:t>
      </w:r>
      <w:r w:rsidRPr="00A412F6">
        <w:rPr>
          <w:rFonts w:ascii="Times New Roman" w:hAnsi="Times New Roman" w:hint="eastAsia"/>
          <w:kern w:val="0"/>
          <w:sz w:val="24"/>
          <w:szCs w:val="24"/>
        </w:rPr>
        <w:t>万元人民币）来自同一金融机构开户的居民人民币账户，则金融机构须报送该账户在购汇发生前</w:t>
      </w:r>
      <w:r w:rsidRPr="00A412F6">
        <w:rPr>
          <w:rFonts w:ascii="Times New Roman" w:hAnsi="Times New Roman"/>
          <w:kern w:val="0"/>
          <w:sz w:val="24"/>
          <w:szCs w:val="24"/>
        </w:rPr>
        <w:t>T</w:t>
      </w:r>
      <w:r w:rsidRPr="00A412F6">
        <w:rPr>
          <w:rFonts w:ascii="Times New Roman" w:hAnsi="Times New Roman"/>
          <w:kern w:val="0"/>
          <w:sz w:val="24"/>
          <w:szCs w:val="24"/>
          <w:vertAlign w:val="subscript"/>
        </w:rPr>
        <w:t>2</w:t>
      </w:r>
      <w:r w:rsidRPr="00A412F6">
        <w:rPr>
          <w:rFonts w:ascii="Times New Roman" w:hAnsi="Times New Roman" w:hint="eastAsia"/>
          <w:kern w:val="0"/>
          <w:sz w:val="24"/>
          <w:szCs w:val="24"/>
        </w:rPr>
        <w:t>个工作日（含购汇当日）内单笔划转金额大于（含）</w:t>
      </w:r>
      <w:r w:rsidRPr="00A412F6">
        <w:rPr>
          <w:rFonts w:ascii="Times New Roman" w:hAnsi="Times New Roman"/>
          <w:kern w:val="0"/>
          <w:sz w:val="24"/>
          <w:szCs w:val="24"/>
        </w:rPr>
        <w:t>N</w:t>
      </w:r>
      <w:r w:rsidRPr="00A412F6">
        <w:rPr>
          <w:rFonts w:ascii="Times New Roman" w:hAnsi="Times New Roman"/>
          <w:kern w:val="0"/>
          <w:sz w:val="24"/>
          <w:szCs w:val="24"/>
          <w:vertAlign w:val="subscript"/>
        </w:rPr>
        <w:t>2</w:t>
      </w:r>
      <w:r w:rsidRPr="00A412F6">
        <w:rPr>
          <w:rFonts w:ascii="Times New Roman" w:hAnsi="Times New Roman" w:hint="eastAsia"/>
          <w:kern w:val="0"/>
          <w:sz w:val="24"/>
          <w:szCs w:val="24"/>
        </w:rPr>
        <w:t>万元人民币的全部资金来源数据。</w:t>
      </w:r>
    </w:p>
    <w:p w14:paraId="06B5D17B" w14:textId="77777777" w:rsidR="00A052DC" w:rsidRPr="007C7B79" w:rsidRDefault="00A412F6">
      <w:pPr>
        <w:spacing w:line="360" w:lineRule="auto"/>
        <w:ind w:firstLineChars="200" w:firstLine="480"/>
        <w:rPr>
          <w:rFonts w:ascii="Times New Roman" w:hAnsi="Times New Roman"/>
        </w:rPr>
      </w:pPr>
      <w:r w:rsidRPr="00A412F6">
        <w:rPr>
          <w:rFonts w:ascii="Times New Roman" w:hAnsi="Times New Roman" w:hint="eastAsia"/>
          <w:kern w:val="0"/>
          <w:sz w:val="24"/>
          <w:szCs w:val="24"/>
        </w:rPr>
        <w:t>上述参数</w:t>
      </w:r>
      <w:r w:rsidRPr="00A412F6">
        <w:rPr>
          <w:rFonts w:ascii="Times New Roman" w:hAnsi="Times New Roman"/>
          <w:kern w:val="0"/>
          <w:sz w:val="24"/>
          <w:szCs w:val="24"/>
        </w:rPr>
        <w:t>M</w:t>
      </w:r>
      <w:r w:rsidRPr="00A412F6">
        <w:rPr>
          <w:rFonts w:ascii="Times New Roman" w:hAnsi="Times New Roman"/>
          <w:kern w:val="0"/>
          <w:sz w:val="24"/>
          <w:szCs w:val="24"/>
          <w:vertAlign w:val="subscript"/>
        </w:rPr>
        <w:t>2</w:t>
      </w:r>
      <w:r w:rsidRPr="00A412F6">
        <w:rPr>
          <w:rFonts w:ascii="Times New Roman" w:hAnsi="Times New Roman" w:hint="eastAsia"/>
          <w:kern w:val="0"/>
          <w:sz w:val="24"/>
          <w:szCs w:val="24"/>
        </w:rPr>
        <w:t>、</w:t>
      </w:r>
      <w:r w:rsidRPr="00A412F6">
        <w:rPr>
          <w:rFonts w:ascii="Times New Roman" w:hAnsi="Times New Roman"/>
          <w:kern w:val="0"/>
          <w:sz w:val="24"/>
          <w:szCs w:val="24"/>
        </w:rPr>
        <w:t>T</w:t>
      </w:r>
      <w:r w:rsidRPr="00A412F6">
        <w:rPr>
          <w:rFonts w:ascii="Times New Roman" w:hAnsi="Times New Roman"/>
          <w:kern w:val="0"/>
          <w:sz w:val="24"/>
          <w:szCs w:val="24"/>
          <w:vertAlign w:val="subscript"/>
        </w:rPr>
        <w:t>2</w:t>
      </w:r>
      <w:r w:rsidRPr="00A412F6">
        <w:rPr>
          <w:rFonts w:ascii="Times New Roman" w:hAnsi="Times New Roman" w:hint="eastAsia"/>
          <w:kern w:val="0"/>
          <w:sz w:val="24"/>
          <w:szCs w:val="24"/>
        </w:rPr>
        <w:t>和</w:t>
      </w:r>
      <w:r w:rsidRPr="00A412F6">
        <w:rPr>
          <w:rFonts w:ascii="Times New Roman" w:hAnsi="Times New Roman"/>
          <w:kern w:val="0"/>
          <w:sz w:val="24"/>
          <w:szCs w:val="24"/>
        </w:rPr>
        <w:t>N</w:t>
      </w:r>
      <w:r w:rsidRPr="00A412F6">
        <w:rPr>
          <w:rFonts w:ascii="Times New Roman" w:hAnsi="Times New Roman"/>
          <w:kern w:val="0"/>
          <w:sz w:val="24"/>
          <w:szCs w:val="24"/>
          <w:vertAlign w:val="subscript"/>
        </w:rPr>
        <w:t>2</w:t>
      </w:r>
      <w:r w:rsidRPr="00A412F6">
        <w:rPr>
          <w:rFonts w:ascii="Times New Roman" w:hAnsi="Times New Roman" w:hint="eastAsia"/>
          <w:kern w:val="0"/>
          <w:sz w:val="24"/>
          <w:szCs w:val="24"/>
        </w:rPr>
        <w:t>，依据</w:t>
      </w:r>
      <w:r w:rsidR="005D7F7E">
        <w:rPr>
          <w:rFonts w:ascii="Times New Roman" w:hAnsi="Times New Roman" w:hint="eastAsia"/>
          <w:kern w:val="0"/>
          <w:sz w:val="24"/>
          <w:szCs w:val="24"/>
        </w:rPr>
        <w:t>《国家外汇管理局综合司关于金融机构报送</w:t>
      </w:r>
      <w:r w:rsidR="005D7F7E">
        <w:rPr>
          <w:rFonts w:ascii="Times New Roman" w:hAnsi="Times New Roman" w:hint="eastAsia"/>
          <w:kern w:val="0"/>
          <w:sz w:val="24"/>
          <w:szCs w:val="24"/>
        </w:rPr>
        <w:t>3</w:t>
      </w:r>
      <w:r w:rsidR="005D7F7E">
        <w:rPr>
          <w:rFonts w:ascii="Times New Roman" w:hAnsi="Times New Roman" w:hint="eastAsia"/>
          <w:kern w:val="0"/>
          <w:sz w:val="24"/>
          <w:szCs w:val="24"/>
        </w:rPr>
        <w:t>类数据的通知》（汇综发〔</w:t>
      </w:r>
      <w:r w:rsidR="005D7F7E">
        <w:rPr>
          <w:rFonts w:ascii="Times New Roman" w:hAnsi="Times New Roman" w:hint="eastAsia"/>
          <w:kern w:val="0"/>
          <w:sz w:val="24"/>
          <w:szCs w:val="24"/>
        </w:rPr>
        <w:t>2022</w:t>
      </w:r>
      <w:r w:rsidR="005D7F7E">
        <w:rPr>
          <w:rFonts w:ascii="Times New Roman" w:hAnsi="Times New Roman" w:hint="eastAsia"/>
          <w:kern w:val="0"/>
          <w:sz w:val="24"/>
          <w:szCs w:val="24"/>
        </w:rPr>
        <w:t>〕</w:t>
      </w:r>
      <w:r w:rsidR="005D7F7E">
        <w:rPr>
          <w:rFonts w:ascii="Times New Roman" w:hAnsi="Times New Roman" w:hint="eastAsia"/>
          <w:kern w:val="0"/>
          <w:sz w:val="24"/>
          <w:szCs w:val="24"/>
        </w:rPr>
        <w:t>34</w:t>
      </w:r>
      <w:r w:rsidR="005D7F7E">
        <w:rPr>
          <w:rFonts w:ascii="Times New Roman" w:hAnsi="Times New Roman" w:hint="eastAsia"/>
          <w:kern w:val="0"/>
          <w:sz w:val="24"/>
          <w:szCs w:val="24"/>
        </w:rPr>
        <w:t>号）</w:t>
      </w:r>
      <w:r w:rsidRPr="00A412F6">
        <w:rPr>
          <w:rFonts w:ascii="Times New Roman" w:hAnsi="Times New Roman" w:hint="eastAsia"/>
          <w:kern w:val="0"/>
          <w:sz w:val="24"/>
          <w:szCs w:val="24"/>
        </w:rPr>
        <w:t>确定。</w:t>
      </w:r>
    </w:p>
    <w:p w14:paraId="083217C8" w14:textId="77777777" w:rsidR="00A052DC" w:rsidRDefault="009F0A60" w:rsidP="0020251D">
      <w:pPr>
        <w:pStyle w:val="1"/>
        <w:rPr>
          <w:rFonts w:ascii="Times New Roman" w:hAnsi="Times New Roman"/>
        </w:rPr>
      </w:pPr>
      <w:bookmarkStart w:id="569" w:name="_Toc380356196"/>
      <w:bookmarkStart w:id="570" w:name="_Toc454386695"/>
      <w:bookmarkStart w:id="571" w:name="_Toc91455215"/>
      <w:bookmarkStart w:id="572" w:name="_Toc101684388"/>
      <w:r>
        <w:rPr>
          <w:rFonts w:ascii="Times New Roman" w:hint="eastAsia"/>
        </w:rPr>
        <w:t>数据采集要求与报送原则</w:t>
      </w:r>
      <w:bookmarkEnd w:id="569"/>
      <w:bookmarkEnd w:id="570"/>
      <w:bookmarkEnd w:id="571"/>
      <w:bookmarkEnd w:id="572"/>
    </w:p>
    <w:p w14:paraId="04C6FAB3" w14:textId="77777777" w:rsidR="00A052DC" w:rsidRDefault="009F0A60" w:rsidP="0020251D">
      <w:pPr>
        <w:pStyle w:val="2"/>
        <w:rPr>
          <w:rFonts w:ascii="Times New Roman" w:hAnsi="Times New Roman"/>
        </w:rPr>
      </w:pPr>
      <w:bookmarkStart w:id="573" w:name="_Toc380356197"/>
      <w:bookmarkStart w:id="574" w:name="_Toc91455216"/>
      <w:bookmarkStart w:id="575" w:name="_Toc454386696"/>
      <w:bookmarkStart w:id="576" w:name="_Toc101684389"/>
      <w:r>
        <w:rPr>
          <w:rFonts w:ascii="Times New Roman" w:hint="eastAsia"/>
        </w:rPr>
        <w:t>各类数据对应的报送方式</w:t>
      </w:r>
      <w:bookmarkEnd w:id="573"/>
      <w:bookmarkEnd w:id="574"/>
      <w:bookmarkEnd w:id="575"/>
      <w:bookmarkEnd w:id="576"/>
    </w:p>
    <w:p w14:paraId="608C4A7D" w14:textId="77777777" w:rsidR="00A052DC" w:rsidRDefault="009F0A60">
      <w:pPr>
        <w:spacing w:line="360" w:lineRule="auto"/>
        <w:ind w:firstLineChars="200" w:firstLine="480"/>
        <w:rPr>
          <w:rFonts w:ascii="Times New Roman" w:hAnsi="Times New Roman"/>
          <w:kern w:val="0"/>
          <w:sz w:val="24"/>
          <w:szCs w:val="20"/>
        </w:rPr>
      </w:pPr>
      <w:r>
        <w:rPr>
          <w:rFonts w:ascii="Times New Roman" w:hint="eastAsia"/>
          <w:kern w:val="0"/>
          <w:sz w:val="24"/>
          <w:szCs w:val="20"/>
        </w:rPr>
        <w:t>数据报送方式分为接口方式和界面方式。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9"/>
        <w:gridCol w:w="3855"/>
        <w:gridCol w:w="2318"/>
      </w:tblGrid>
      <w:tr w:rsidR="00A052DC" w14:paraId="7BA73079" w14:textId="77777777">
        <w:tc>
          <w:tcPr>
            <w:tcW w:w="1378" w:type="pct"/>
            <w:shd w:val="clear" w:color="auto" w:fill="auto"/>
          </w:tcPr>
          <w:p w14:paraId="011296B9" w14:textId="77777777" w:rsidR="00A052DC" w:rsidRDefault="009F0A60">
            <w:pPr>
              <w:widowControl/>
              <w:jc w:val="center"/>
              <w:rPr>
                <w:rFonts w:ascii="Times New Roman" w:eastAsia="黑体" w:hAnsi="Times New Roman"/>
                <w:b/>
                <w:kern w:val="0"/>
                <w:sz w:val="20"/>
                <w:szCs w:val="20"/>
              </w:rPr>
            </w:pPr>
            <w:r>
              <w:rPr>
                <w:rFonts w:ascii="Times New Roman" w:eastAsia="黑体" w:hAnsi="黑体"/>
                <w:b/>
                <w:kern w:val="0"/>
                <w:sz w:val="20"/>
                <w:szCs w:val="20"/>
              </w:rPr>
              <w:t>数据类型</w:t>
            </w:r>
          </w:p>
        </w:tc>
        <w:tc>
          <w:tcPr>
            <w:tcW w:w="2262" w:type="pct"/>
            <w:shd w:val="clear" w:color="auto" w:fill="auto"/>
          </w:tcPr>
          <w:p w14:paraId="412CED9B" w14:textId="77777777" w:rsidR="00A052DC" w:rsidRDefault="009F0A60">
            <w:pPr>
              <w:widowControl/>
              <w:jc w:val="center"/>
              <w:rPr>
                <w:rFonts w:ascii="Times New Roman" w:eastAsia="黑体" w:hAnsi="Times New Roman"/>
                <w:b/>
                <w:kern w:val="0"/>
                <w:sz w:val="20"/>
                <w:szCs w:val="20"/>
              </w:rPr>
            </w:pPr>
            <w:r>
              <w:rPr>
                <w:rFonts w:ascii="Times New Roman" w:eastAsia="黑体" w:hAnsi="黑体"/>
                <w:b/>
                <w:kern w:val="0"/>
                <w:sz w:val="20"/>
                <w:szCs w:val="20"/>
              </w:rPr>
              <w:t>数据报送方式</w:t>
            </w:r>
          </w:p>
        </w:tc>
        <w:tc>
          <w:tcPr>
            <w:tcW w:w="1360" w:type="pct"/>
            <w:shd w:val="clear" w:color="auto" w:fill="auto"/>
          </w:tcPr>
          <w:p w14:paraId="73A42833" w14:textId="77777777" w:rsidR="00A052DC" w:rsidRDefault="009F0A60">
            <w:pPr>
              <w:widowControl/>
              <w:jc w:val="center"/>
              <w:rPr>
                <w:rFonts w:ascii="Times New Roman" w:eastAsia="黑体" w:hAnsi="Times New Roman"/>
                <w:b/>
                <w:kern w:val="0"/>
                <w:sz w:val="20"/>
                <w:szCs w:val="20"/>
              </w:rPr>
            </w:pPr>
            <w:r>
              <w:rPr>
                <w:rFonts w:ascii="Times New Roman" w:eastAsia="黑体" w:hAnsi="黑体"/>
                <w:b/>
                <w:kern w:val="0"/>
                <w:sz w:val="20"/>
                <w:szCs w:val="20"/>
              </w:rPr>
              <w:t>金融机构接入网络要求</w:t>
            </w:r>
          </w:p>
        </w:tc>
      </w:tr>
      <w:tr w:rsidR="00A052DC" w14:paraId="10ABDAEA" w14:textId="77777777">
        <w:tc>
          <w:tcPr>
            <w:tcW w:w="1378" w:type="pct"/>
            <w:shd w:val="clear" w:color="auto" w:fill="auto"/>
            <w:vAlign w:val="center"/>
          </w:tcPr>
          <w:p w14:paraId="57FB8D37" w14:textId="77777777" w:rsidR="00A052DC" w:rsidRDefault="009F0A60">
            <w:pPr>
              <w:pStyle w:val="B"/>
              <w:rPr>
                <w:rFonts w:hAnsi="Times New Roman"/>
              </w:rPr>
            </w:pPr>
            <w:r>
              <w:rPr>
                <w:rFonts w:hint="eastAsia"/>
              </w:rPr>
              <w:t>组织机构基本情况表（原单位基本情况表）</w:t>
            </w:r>
          </w:p>
        </w:tc>
        <w:tc>
          <w:tcPr>
            <w:tcW w:w="2262" w:type="pct"/>
            <w:shd w:val="clear" w:color="auto" w:fill="auto"/>
          </w:tcPr>
          <w:p w14:paraId="6865492D" w14:textId="77777777" w:rsidR="00A052DC" w:rsidRDefault="009F0A60">
            <w:pPr>
              <w:widowControl/>
              <w:jc w:val="left"/>
              <w:rPr>
                <w:rFonts w:ascii="Times New Roman" w:eastAsia="黑体" w:hAnsi="Times New Roman"/>
                <w:kern w:val="0"/>
                <w:sz w:val="20"/>
                <w:szCs w:val="20"/>
              </w:rPr>
            </w:pPr>
            <w:r>
              <w:rPr>
                <w:rFonts w:ascii="Times New Roman" w:eastAsia="黑体" w:hAnsi="黑体"/>
                <w:kern w:val="0"/>
                <w:sz w:val="20"/>
                <w:szCs w:val="20"/>
              </w:rPr>
              <w:t>可采用全接口方式、全部界面方式。</w:t>
            </w:r>
          </w:p>
        </w:tc>
        <w:tc>
          <w:tcPr>
            <w:tcW w:w="1360" w:type="pct"/>
            <w:shd w:val="clear" w:color="auto" w:fill="auto"/>
          </w:tcPr>
          <w:p w14:paraId="10B52728" w14:textId="77777777" w:rsidR="00A052DC" w:rsidRDefault="009F0A60">
            <w:pPr>
              <w:widowControl/>
              <w:jc w:val="left"/>
              <w:rPr>
                <w:rFonts w:ascii="Times New Roman" w:eastAsia="黑体" w:hAnsi="Times New Roman"/>
                <w:kern w:val="0"/>
                <w:sz w:val="20"/>
                <w:szCs w:val="20"/>
              </w:rPr>
            </w:pPr>
            <w:r>
              <w:rPr>
                <w:rFonts w:ascii="Times New Roman" w:eastAsia="黑体" w:hAnsi="黑体"/>
                <w:kern w:val="0"/>
                <w:sz w:val="20"/>
                <w:szCs w:val="20"/>
              </w:rPr>
              <w:t>金融机构专线接入</w:t>
            </w:r>
          </w:p>
        </w:tc>
      </w:tr>
      <w:tr w:rsidR="00A052DC" w14:paraId="7A37FCFF" w14:textId="77777777">
        <w:tc>
          <w:tcPr>
            <w:tcW w:w="1378" w:type="pct"/>
            <w:shd w:val="clear" w:color="auto" w:fill="auto"/>
            <w:vAlign w:val="center"/>
          </w:tcPr>
          <w:p w14:paraId="2BF9EB05" w14:textId="77777777" w:rsidR="00A052DC" w:rsidRDefault="009F0A60">
            <w:pPr>
              <w:widowControl/>
              <w:jc w:val="left"/>
              <w:rPr>
                <w:rFonts w:ascii="Times New Roman" w:eastAsia="黑体" w:hAnsi="Times New Roman"/>
                <w:kern w:val="0"/>
                <w:sz w:val="20"/>
                <w:szCs w:val="20"/>
              </w:rPr>
            </w:pPr>
            <w:r>
              <w:rPr>
                <w:rFonts w:ascii="Times New Roman" w:eastAsia="黑体" w:hAnsi="黑体"/>
                <w:kern w:val="0"/>
                <w:sz w:val="20"/>
                <w:szCs w:val="20"/>
              </w:rPr>
              <w:t>涉外收支数据</w:t>
            </w:r>
          </w:p>
        </w:tc>
        <w:tc>
          <w:tcPr>
            <w:tcW w:w="2262" w:type="pct"/>
            <w:shd w:val="clear" w:color="auto" w:fill="auto"/>
          </w:tcPr>
          <w:p w14:paraId="2DB9F882" w14:textId="77777777" w:rsidR="00A052DC" w:rsidRDefault="009F0A60">
            <w:pPr>
              <w:widowControl/>
              <w:jc w:val="left"/>
              <w:rPr>
                <w:rFonts w:ascii="Times New Roman" w:eastAsia="黑体" w:hAnsi="Times New Roman"/>
                <w:kern w:val="0"/>
                <w:sz w:val="20"/>
                <w:szCs w:val="20"/>
              </w:rPr>
            </w:pPr>
            <w:r>
              <w:rPr>
                <w:rFonts w:ascii="Times New Roman" w:eastAsia="黑体" w:hAnsi="黑体"/>
                <w:kern w:val="0"/>
                <w:sz w:val="20"/>
                <w:szCs w:val="20"/>
              </w:rPr>
              <w:t>基础信息只能采用全接口方式，管理信息、申报信息可采用全接口、部分接口</w:t>
            </w:r>
            <w:r>
              <w:rPr>
                <w:rFonts w:ascii="Times New Roman" w:eastAsia="黑体" w:hAnsi="Times New Roman"/>
                <w:kern w:val="0"/>
                <w:sz w:val="20"/>
                <w:szCs w:val="20"/>
              </w:rPr>
              <w:t>/</w:t>
            </w:r>
            <w:r>
              <w:rPr>
                <w:rFonts w:ascii="Times New Roman" w:eastAsia="黑体" w:hAnsi="黑体"/>
                <w:kern w:val="0"/>
                <w:sz w:val="20"/>
                <w:szCs w:val="20"/>
              </w:rPr>
              <w:t>部分界面、全部界面三种方式。</w:t>
            </w:r>
          </w:p>
        </w:tc>
        <w:tc>
          <w:tcPr>
            <w:tcW w:w="1360" w:type="pct"/>
            <w:shd w:val="clear" w:color="auto" w:fill="auto"/>
          </w:tcPr>
          <w:p w14:paraId="527F56F6" w14:textId="77777777" w:rsidR="00A052DC" w:rsidRDefault="009F0A60">
            <w:pPr>
              <w:widowControl/>
              <w:jc w:val="left"/>
              <w:rPr>
                <w:rFonts w:ascii="Times New Roman" w:eastAsia="黑体" w:hAnsi="Times New Roman"/>
                <w:kern w:val="0"/>
                <w:sz w:val="20"/>
                <w:szCs w:val="20"/>
              </w:rPr>
            </w:pPr>
            <w:r>
              <w:rPr>
                <w:rFonts w:ascii="Times New Roman" w:eastAsia="黑体" w:hAnsi="黑体"/>
                <w:kern w:val="0"/>
                <w:sz w:val="20"/>
                <w:szCs w:val="20"/>
              </w:rPr>
              <w:t>金融机构专线接入</w:t>
            </w:r>
          </w:p>
        </w:tc>
      </w:tr>
      <w:tr w:rsidR="00A052DC" w14:paraId="32B02420" w14:textId="77777777">
        <w:tc>
          <w:tcPr>
            <w:tcW w:w="1378" w:type="pct"/>
            <w:shd w:val="clear" w:color="auto" w:fill="auto"/>
            <w:vAlign w:val="center"/>
          </w:tcPr>
          <w:p w14:paraId="50F1B67A" w14:textId="77777777" w:rsidR="00A052DC" w:rsidRDefault="009F0A60">
            <w:pPr>
              <w:widowControl/>
              <w:jc w:val="left"/>
              <w:rPr>
                <w:rFonts w:ascii="Times New Roman" w:eastAsia="黑体" w:hAnsi="Times New Roman"/>
                <w:kern w:val="0"/>
                <w:sz w:val="20"/>
                <w:szCs w:val="20"/>
              </w:rPr>
            </w:pPr>
            <w:r>
              <w:rPr>
                <w:rFonts w:ascii="Times New Roman" w:eastAsia="黑体" w:hAnsi="黑体"/>
                <w:kern w:val="0"/>
                <w:sz w:val="20"/>
                <w:szCs w:val="20"/>
              </w:rPr>
              <w:t>境内划转数据</w:t>
            </w:r>
          </w:p>
        </w:tc>
        <w:tc>
          <w:tcPr>
            <w:tcW w:w="2262" w:type="pct"/>
            <w:shd w:val="clear" w:color="auto" w:fill="auto"/>
          </w:tcPr>
          <w:p w14:paraId="63F23944" w14:textId="77777777" w:rsidR="00A052DC" w:rsidRDefault="009F0A60">
            <w:pPr>
              <w:widowControl/>
              <w:jc w:val="left"/>
              <w:rPr>
                <w:rFonts w:ascii="Times New Roman" w:eastAsia="黑体" w:hAnsi="Times New Roman"/>
                <w:kern w:val="0"/>
                <w:sz w:val="20"/>
                <w:szCs w:val="20"/>
              </w:rPr>
            </w:pPr>
            <w:r>
              <w:rPr>
                <w:rFonts w:ascii="Times New Roman" w:eastAsia="黑体" w:hAnsi="黑体"/>
                <w:kern w:val="0"/>
                <w:sz w:val="20"/>
                <w:szCs w:val="20"/>
              </w:rPr>
              <w:t>基础信息只能采用全接口方式，管理信息、申报信息可采用全接口、部分接口</w:t>
            </w:r>
            <w:r>
              <w:rPr>
                <w:rFonts w:ascii="Times New Roman" w:eastAsia="黑体" w:hAnsi="Times New Roman"/>
                <w:kern w:val="0"/>
                <w:sz w:val="20"/>
                <w:szCs w:val="20"/>
              </w:rPr>
              <w:t>/</w:t>
            </w:r>
            <w:r>
              <w:rPr>
                <w:rFonts w:ascii="Times New Roman" w:eastAsia="黑体" w:hAnsi="黑体"/>
                <w:kern w:val="0"/>
                <w:sz w:val="20"/>
                <w:szCs w:val="20"/>
              </w:rPr>
              <w:t>部分界面、全部界面三种方式。</w:t>
            </w:r>
          </w:p>
        </w:tc>
        <w:tc>
          <w:tcPr>
            <w:tcW w:w="1360" w:type="pct"/>
            <w:shd w:val="clear" w:color="auto" w:fill="auto"/>
          </w:tcPr>
          <w:p w14:paraId="5E8BC276" w14:textId="77777777" w:rsidR="00A052DC" w:rsidRDefault="009F0A60">
            <w:pPr>
              <w:widowControl/>
              <w:jc w:val="left"/>
              <w:rPr>
                <w:rFonts w:ascii="Times New Roman" w:eastAsia="黑体" w:hAnsi="Times New Roman"/>
                <w:kern w:val="0"/>
                <w:sz w:val="20"/>
                <w:szCs w:val="20"/>
              </w:rPr>
            </w:pPr>
            <w:r>
              <w:rPr>
                <w:rFonts w:ascii="Times New Roman" w:eastAsia="黑体" w:hAnsi="黑体"/>
                <w:kern w:val="0"/>
                <w:sz w:val="20"/>
                <w:szCs w:val="20"/>
              </w:rPr>
              <w:t>金融机构专线接入</w:t>
            </w:r>
          </w:p>
        </w:tc>
      </w:tr>
      <w:tr w:rsidR="00A052DC" w14:paraId="08748E0B" w14:textId="77777777">
        <w:tc>
          <w:tcPr>
            <w:tcW w:w="1378" w:type="pct"/>
            <w:shd w:val="clear" w:color="auto" w:fill="auto"/>
            <w:vAlign w:val="center"/>
          </w:tcPr>
          <w:p w14:paraId="2A66B1C0" w14:textId="77777777" w:rsidR="00A052DC" w:rsidRDefault="009F0A60">
            <w:pPr>
              <w:widowControl/>
              <w:jc w:val="left"/>
              <w:rPr>
                <w:rFonts w:ascii="Times New Roman" w:eastAsia="黑体" w:hAnsi="Times New Roman"/>
                <w:kern w:val="0"/>
                <w:sz w:val="20"/>
                <w:szCs w:val="20"/>
              </w:rPr>
            </w:pPr>
            <w:r>
              <w:rPr>
                <w:rFonts w:ascii="Times New Roman" w:eastAsia="黑体" w:hAnsi="黑体"/>
                <w:kern w:val="0"/>
                <w:sz w:val="20"/>
                <w:szCs w:val="20"/>
              </w:rPr>
              <w:t>外汇账户数据</w:t>
            </w:r>
          </w:p>
        </w:tc>
        <w:tc>
          <w:tcPr>
            <w:tcW w:w="2262" w:type="pct"/>
            <w:shd w:val="clear" w:color="auto" w:fill="auto"/>
          </w:tcPr>
          <w:p w14:paraId="40BDC939" w14:textId="77777777" w:rsidR="00A052DC" w:rsidRDefault="009F0A60">
            <w:pPr>
              <w:widowControl/>
              <w:jc w:val="left"/>
              <w:rPr>
                <w:rFonts w:ascii="Times New Roman" w:eastAsia="黑体" w:hAnsi="Times New Roman"/>
                <w:kern w:val="0"/>
                <w:sz w:val="20"/>
                <w:szCs w:val="20"/>
              </w:rPr>
            </w:pPr>
            <w:r>
              <w:rPr>
                <w:rFonts w:ascii="Times New Roman" w:eastAsia="黑体" w:hAnsi="黑体"/>
                <w:kern w:val="0"/>
                <w:sz w:val="20"/>
                <w:szCs w:val="20"/>
              </w:rPr>
              <w:t>全接口方式</w:t>
            </w:r>
            <w:r w:rsidR="007C7B79">
              <w:rPr>
                <w:rFonts w:ascii="Times New Roman" w:eastAsia="黑体" w:hAnsi="黑体" w:hint="eastAsia"/>
                <w:kern w:val="0"/>
                <w:sz w:val="20"/>
                <w:szCs w:val="20"/>
              </w:rPr>
              <w:t>。</w:t>
            </w:r>
          </w:p>
        </w:tc>
        <w:tc>
          <w:tcPr>
            <w:tcW w:w="1360" w:type="pct"/>
            <w:shd w:val="clear" w:color="auto" w:fill="auto"/>
          </w:tcPr>
          <w:p w14:paraId="4BDD6B92" w14:textId="77777777" w:rsidR="00A052DC" w:rsidRDefault="009F0A60">
            <w:pPr>
              <w:widowControl/>
              <w:jc w:val="left"/>
              <w:rPr>
                <w:rFonts w:ascii="Times New Roman" w:eastAsia="黑体" w:hAnsi="Times New Roman"/>
                <w:kern w:val="0"/>
                <w:sz w:val="20"/>
                <w:szCs w:val="20"/>
              </w:rPr>
            </w:pPr>
            <w:r>
              <w:rPr>
                <w:rFonts w:ascii="Times New Roman" w:eastAsia="黑体" w:hAnsi="黑体"/>
                <w:kern w:val="0"/>
                <w:sz w:val="20"/>
                <w:szCs w:val="20"/>
              </w:rPr>
              <w:t>金融机构专线接入</w:t>
            </w:r>
          </w:p>
        </w:tc>
      </w:tr>
      <w:tr w:rsidR="00A052DC" w14:paraId="1ECD69F6" w14:textId="77777777">
        <w:tc>
          <w:tcPr>
            <w:tcW w:w="1378" w:type="pct"/>
            <w:shd w:val="clear" w:color="auto" w:fill="auto"/>
            <w:vAlign w:val="center"/>
          </w:tcPr>
          <w:p w14:paraId="7A79F2D7" w14:textId="77777777" w:rsidR="00A052DC" w:rsidRDefault="009F0A60">
            <w:pPr>
              <w:widowControl/>
              <w:jc w:val="left"/>
              <w:rPr>
                <w:rFonts w:ascii="Times New Roman" w:eastAsia="黑体" w:hAnsi="Times New Roman"/>
                <w:kern w:val="0"/>
                <w:sz w:val="20"/>
                <w:szCs w:val="20"/>
              </w:rPr>
            </w:pPr>
            <w:r>
              <w:rPr>
                <w:rFonts w:ascii="Times New Roman" w:eastAsia="黑体" w:hAnsi="黑体"/>
                <w:kern w:val="0"/>
                <w:sz w:val="20"/>
                <w:szCs w:val="20"/>
              </w:rPr>
              <w:t>外汇账户内结售汇数据</w:t>
            </w:r>
          </w:p>
        </w:tc>
        <w:tc>
          <w:tcPr>
            <w:tcW w:w="2262" w:type="pct"/>
            <w:shd w:val="clear" w:color="auto" w:fill="auto"/>
          </w:tcPr>
          <w:p w14:paraId="336620CF" w14:textId="77777777" w:rsidR="00A052DC" w:rsidRDefault="009F0A60">
            <w:pPr>
              <w:widowControl/>
              <w:jc w:val="left"/>
              <w:rPr>
                <w:rFonts w:ascii="Times New Roman" w:eastAsia="黑体" w:hAnsi="Times New Roman"/>
                <w:kern w:val="0"/>
                <w:sz w:val="20"/>
                <w:szCs w:val="20"/>
              </w:rPr>
            </w:pPr>
            <w:r>
              <w:rPr>
                <w:rFonts w:ascii="Times New Roman" w:eastAsia="黑体" w:hAnsi="黑体"/>
                <w:kern w:val="0"/>
                <w:sz w:val="20"/>
                <w:szCs w:val="20"/>
              </w:rPr>
              <w:t>可采用全接口、部分接口</w:t>
            </w:r>
            <w:r>
              <w:rPr>
                <w:rFonts w:ascii="Times New Roman" w:eastAsia="黑体" w:hAnsi="Times New Roman"/>
                <w:kern w:val="0"/>
                <w:sz w:val="20"/>
                <w:szCs w:val="20"/>
              </w:rPr>
              <w:t>/</w:t>
            </w:r>
            <w:r>
              <w:rPr>
                <w:rFonts w:ascii="Times New Roman" w:eastAsia="黑体" w:hAnsi="黑体"/>
                <w:kern w:val="0"/>
                <w:sz w:val="20"/>
                <w:szCs w:val="20"/>
              </w:rPr>
              <w:t>部分界面、全部界面三种方式。</w:t>
            </w:r>
          </w:p>
        </w:tc>
        <w:tc>
          <w:tcPr>
            <w:tcW w:w="1360" w:type="pct"/>
            <w:shd w:val="clear" w:color="auto" w:fill="auto"/>
          </w:tcPr>
          <w:p w14:paraId="70058508" w14:textId="77777777" w:rsidR="00A052DC" w:rsidRDefault="009F0A60">
            <w:pPr>
              <w:widowControl/>
              <w:jc w:val="left"/>
              <w:rPr>
                <w:rFonts w:ascii="Times New Roman" w:eastAsia="黑体" w:hAnsi="Times New Roman"/>
                <w:kern w:val="0"/>
                <w:sz w:val="20"/>
                <w:szCs w:val="20"/>
              </w:rPr>
            </w:pPr>
            <w:r>
              <w:rPr>
                <w:rFonts w:ascii="Times New Roman" w:eastAsia="黑体" w:hAnsi="黑体"/>
                <w:kern w:val="0"/>
                <w:sz w:val="20"/>
                <w:szCs w:val="20"/>
              </w:rPr>
              <w:t>金融机构专线接入</w:t>
            </w:r>
          </w:p>
        </w:tc>
      </w:tr>
      <w:tr w:rsidR="00A052DC" w14:paraId="2517722F" w14:textId="77777777">
        <w:tc>
          <w:tcPr>
            <w:tcW w:w="1378" w:type="pct"/>
            <w:shd w:val="clear" w:color="auto" w:fill="auto"/>
            <w:vAlign w:val="center"/>
          </w:tcPr>
          <w:p w14:paraId="4966C521" w14:textId="77777777" w:rsidR="00A052DC" w:rsidRDefault="009F0A60">
            <w:pPr>
              <w:widowControl/>
              <w:jc w:val="left"/>
              <w:rPr>
                <w:rFonts w:ascii="Times New Roman" w:eastAsia="黑体" w:hAnsi="Times New Roman"/>
                <w:kern w:val="0"/>
                <w:sz w:val="20"/>
                <w:szCs w:val="20"/>
              </w:rPr>
            </w:pPr>
            <w:r>
              <w:rPr>
                <w:rFonts w:ascii="Times New Roman" w:eastAsia="黑体" w:hAnsi="黑体"/>
                <w:kern w:val="0"/>
                <w:sz w:val="20"/>
                <w:szCs w:val="20"/>
              </w:rPr>
              <w:t>银行自身资本项目业务数据</w:t>
            </w:r>
          </w:p>
        </w:tc>
        <w:tc>
          <w:tcPr>
            <w:tcW w:w="2262" w:type="pct"/>
            <w:shd w:val="clear" w:color="auto" w:fill="auto"/>
          </w:tcPr>
          <w:p w14:paraId="06A556C3" w14:textId="77777777" w:rsidR="00A052DC" w:rsidRDefault="009F0A60">
            <w:pPr>
              <w:widowControl/>
              <w:jc w:val="left"/>
              <w:rPr>
                <w:rFonts w:ascii="Times New Roman" w:eastAsia="黑体" w:hAnsi="Times New Roman"/>
                <w:kern w:val="0"/>
                <w:sz w:val="20"/>
                <w:szCs w:val="20"/>
              </w:rPr>
            </w:pPr>
            <w:r>
              <w:rPr>
                <w:rFonts w:ascii="Times New Roman" w:eastAsia="黑体" w:hAnsi="黑体"/>
                <w:kern w:val="0"/>
                <w:sz w:val="20"/>
                <w:szCs w:val="20"/>
              </w:rPr>
              <w:t>可采用全接口、部分接口</w:t>
            </w:r>
            <w:r>
              <w:rPr>
                <w:rFonts w:ascii="Times New Roman" w:eastAsia="黑体" w:hAnsi="Times New Roman"/>
                <w:kern w:val="0"/>
                <w:sz w:val="20"/>
                <w:szCs w:val="20"/>
              </w:rPr>
              <w:t>/</w:t>
            </w:r>
            <w:r>
              <w:rPr>
                <w:rFonts w:ascii="Times New Roman" w:eastAsia="黑体" w:hAnsi="黑体"/>
                <w:kern w:val="0"/>
                <w:sz w:val="20"/>
                <w:szCs w:val="20"/>
              </w:rPr>
              <w:t>部分界面、全部界面三种方式。</w:t>
            </w:r>
          </w:p>
        </w:tc>
        <w:tc>
          <w:tcPr>
            <w:tcW w:w="1360" w:type="pct"/>
            <w:shd w:val="clear" w:color="auto" w:fill="auto"/>
          </w:tcPr>
          <w:p w14:paraId="0FFE2D2B" w14:textId="77777777" w:rsidR="00A052DC" w:rsidRDefault="009F0A60">
            <w:pPr>
              <w:widowControl/>
              <w:jc w:val="left"/>
              <w:rPr>
                <w:rFonts w:ascii="Times New Roman" w:eastAsia="黑体" w:hAnsi="Times New Roman"/>
                <w:kern w:val="0"/>
                <w:sz w:val="20"/>
                <w:szCs w:val="20"/>
              </w:rPr>
            </w:pPr>
            <w:r>
              <w:rPr>
                <w:rFonts w:ascii="Times New Roman" w:eastAsia="黑体" w:hAnsi="黑体"/>
                <w:kern w:val="0"/>
                <w:sz w:val="20"/>
                <w:szCs w:val="20"/>
              </w:rPr>
              <w:t>金融机构专线接入</w:t>
            </w:r>
          </w:p>
        </w:tc>
      </w:tr>
      <w:tr w:rsidR="00A052DC" w14:paraId="65F88C70" w14:textId="77777777">
        <w:tc>
          <w:tcPr>
            <w:tcW w:w="1378" w:type="pct"/>
            <w:shd w:val="clear" w:color="auto" w:fill="auto"/>
            <w:vAlign w:val="center"/>
          </w:tcPr>
          <w:p w14:paraId="0F844B52" w14:textId="77777777" w:rsidR="00A052DC" w:rsidRDefault="009F0A60">
            <w:pPr>
              <w:widowControl/>
              <w:jc w:val="left"/>
              <w:rPr>
                <w:rFonts w:ascii="Times New Roman" w:eastAsia="黑体" w:hAnsi="Times New Roman"/>
                <w:kern w:val="0"/>
                <w:sz w:val="20"/>
                <w:szCs w:val="20"/>
              </w:rPr>
            </w:pPr>
            <w:r>
              <w:rPr>
                <w:rFonts w:ascii="Times New Roman" w:eastAsia="黑体" w:hAnsi="黑体"/>
                <w:kern w:val="0"/>
                <w:sz w:val="20"/>
                <w:szCs w:val="20"/>
              </w:rPr>
              <w:t>银行代客业务数据</w:t>
            </w:r>
          </w:p>
        </w:tc>
        <w:tc>
          <w:tcPr>
            <w:tcW w:w="2262" w:type="pct"/>
            <w:shd w:val="clear" w:color="auto" w:fill="auto"/>
          </w:tcPr>
          <w:p w14:paraId="614A3EE3" w14:textId="77777777" w:rsidR="00A052DC" w:rsidRDefault="009F0A60">
            <w:pPr>
              <w:widowControl/>
              <w:jc w:val="left"/>
              <w:rPr>
                <w:rFonts w:ascii="Times New Roman" w:eastAsia="黑体" w:hAnsi="Times New Roman"/>
                <w:kern w:val="0"/>
                <w:sz w:val="20"/>
                <w:szCs w:val="20"/>
              </w:rPr>
            </w:pPr>
            <w:r>
              <w:rPr>
                <w:rFonts w:ascii="Times New Roman" w:eastAsia="黑体" w:hAnsi="黑体"/>
                <w:kern w:val="0"/>
                <w:sz w:val="20"/>
                <w:szCs w:val="20"/>
              </w:rPr>
              <w:t>可采用规范文件格式导入或界面两种方式。</w:t>
            </w:r>
          </w:p>
        </w:tc>
        <w:tc>
          <w:tcPr>
            <w:tcW w:w="1360" w:type="pct"/>
            <w:shd w:val="clear" w:color="auto" w:fill="auto"/>
          </w:tcPr>
          <w:p w14:paraId="785B69D8" w14:textId="77777777" w:rsidR="00A052DC" w:rsidRDefault="009F0A60">
            <w:pPr>
              <w:widowControl/>
              <w:jc w:val="left"/>
              <w:rPr>
                <w:rFonts w:ascii="Times New Roman" w:eastAsia="黑体" w:hAnsi="Times New Roman"/>
                <w:kern w:val="0"/>
                <w:sz w:val="20"/>
                <w:szCs w:val="20"/>
              </w:rPr>
            </w:pPr>
            <w:r>
              <w:rPr>
                <w:rFonts w:ascii="Times New Roman" w:eastAsia="黑体" w:hAnsi="黑体"/>
                <w:kern w:val="0"/>
                <w:sz w:val="20"/>
                <w:szCs w:val="20"/>
              </w:rPr>
              <w:t>金融机构专线接入</w:t>
            </w:r>
          </w:p>
        </w:tc>
      </w:tr>
      <w:tr w:rsidR="00A052DC" w14:paraId="5034704B" w14:textId="77777777">
        <w:tc>
          <w:tcPr>
            <w:tcW w:w="1378" w:type="pct"/>
            <w:shd w:val="clear" w:color="auto" w:fill="auto"/>
            <w:vAlign w:val="center"/>
          </w:tcPr>
          <w:p w14:paraId="0B308007" w14:textId="77777777" w:rsidR="00A052DC" w:rsidRDefault="009F0A60">
            <w:pPr>
              <w:widowControl/>
              <w:jc w:val="left"/>
              <w:rPr>
                <w:rFonts w:ascii="Times New Roman" w:eastAsia="黑体" w:hAnsi="Times New Roman"/>
                <w:kern w:val="0"/>
                <w:sz w:val="20"/>
                <w:szCs w:val="20"/>
              </w:rPr>
            </w:pPr>
            <w:r>
              <w:rPr>
                <w:rFonts w:ascii="Times New Roman" w:eastAsia="黑体" w:hAnsi="黑体"/>
                <w:kern w:val="0"/>
                <w:sz w:val="20"/>
                <w:szCs w:val="20"/>
              </w:rPr>
              <w:t>银行月度资产负债数据</w:t>
            </w:r>
          </w:p>
        </w:tc>
        <w:tc>
          <w:tcPr>
            <w:tcW w:w="2262" w:type="pct"/>
            <w:shd w:val="clear" w:color="auto" w:fill="auto"/>
          </w:tcPr>
          <w:p w14:paraId="5EAC5020" w14:textId="77777777" w:rsidR="00A052DC" w:rsidRDefault="009F0A60">
            <w:pPr>
              <w:widowControl/>
              <w:jc w:val="left"/>
              <w:rPr>
                <w:rFonts w:ascii="Times New Roman" w:eastAsia="黑体" w:hAnsi="Times New Roman"/>
                <w:kern w:val="0"/>
                <w:sz w:val="20"/>
                <w:szCs w:val="20"/>
              </w:rPr>
            </w:pPr>
            <w:r>
              <w:rPr>
                <w:rFonts w:ascii="Times New Roman" w:eastAsia="黑体" w:hAnsi="黑体"/>
                <w:kern w:val="0"/>
                <w:sz w:val="20"/>
                <w:szCs w:val="20"/>
              </w:rPr>
              <w:t>规范格式文件导入</w:t>
            </w:r>
            <w:r w:rsidR="007C7B79">
              <w:rPr>
                <w:rFonts w:ascii="Times New Roman" w:eastAsia="黑体" w:hAnsi="黑体" w:hint="eastAsia"/>
                <w:kern w:val="0"/>
                <w:sz w:val="20"/>
                <w:szCs w:val="20"/>
              </w:rPr>
              <w:t>。</w:t>
            </w:r>
          </w:p>
        </w:tc>
        <w:tc>
          <w:tcPr>
            <w:tcW w:w="1360" w:type="pct"/>
            <w:shd w:val="clear" w:color="auto" w:fill="auto"/>
          </w:tcPr>
          <w:p w14:paraId="138AD5B0" w14:textId="77777777" w:rsidR="00A052DC" w:rsidRDefault="009F0A60">
            <w:pPr>
              <w:widowControl/>
              <w:jc w:val="left"/>
              <w:rPr>
                <w:rFonts w:ascii="Times New Roman" w:eastAsia="黑体" w:hAnsi="Times New Roman"/>
                <w:kern w:val="0"/>
                <w:sz w:val="20"/>
                <w:szCs w:val="20"/>
              </w:rPr>
            </w:pPr>
            <w:r>
              <w:rPr>
                <w:rFonts w:ascii="Times New Roman" w:eastAsia="黑体" w:hAnsi="黑体"/>
                <w:kern w:val="0"/>
                <w:sz w:val="20"/>
                <w:szCs w:val="20"/>
              </w:rPr>
              <w:t>金融机构专线接入</w:t>
            </w:r>
          </w:p>
        </w:tc>
      </w:tr>
      <w:tr w:rsidR="00A052DC" w14:paraId="7BAFB9F0" w14:textId="77777777">
        <w:tc>
          <w:tcPr>
            <w:tcW w:w="1378" w:type="pct"/>
            <w:shd w:val="clear" w:color="auto" w:fill="auto"/>
            <w:vAlign w:val="center"/>
          </w:tcPr>
          <w:p w14:paraId="06C4BF4C" w14:textId="77777777" w:rsidR="00A052DC" w:rsidRDefault="009F0A60">
            <w:pPr>
              <w:widowControl/>
              <w:jc w:val="left"/>
              <w:rPr>
                <w:rFonts w:ascii="Times New Roman" w:eastAsia="黑体" w:hAnsi="Times New Roman"/>
                <w:kern w:val="0"/>
                <w:sz w:val="20"/>
                <w:szCs w:val="20"/>
              </w:rPr>
            </w:pPr>
            <w:r>
              <w:rPr>
                <w:rFonts w:ascii="Times New Roman" w:eastAsia="黑体" w:hAnsi="黑体"/>
                <w:kern w:val="0"/>
                <w:sz w:val="20"/>
                <w:szCs w:val="20"/>
              </w:rPr>
              <w:t>对外</w:t>
            </w:r>
            <w:r>
              <w:rPr>
                <w:rFonts w:ascii="Times New Roman" w:eastAsia="黑体" w:hAnsi="黑体" w:hint="eastAsia"/>
                <w:kern w:val="0"/>
                <w:sz w:val="20"/>
                <w:szCs w:val="20"/>
              </w:rPr>
              <w:t>金融</w:t>
            </w:r>
            <w:r>
              <w:rPr>
                <w:rFonts w:ascii="Times New Roman" w:eastAsia="黑体" w:hAnsi="黑体"/>
                <w:kern w:val="0"/>
                <w:sz w:val="20"/>
                <w:szCs w:val="20"/>
              </w:rPr>
              <w:t>资产负债</w:t>
            </w:r>
            <w:r>
              <w:rPr>
                <w:rFonts w:ascii="Times New Roman" w:eastAsia="黑体" w:hAnsi="黑体" w:hint="eastAsia"/>
                <w:kern w:val="0"/>
                <w:sz w:val="20"/>
                <w:szCs w:val="20"/>
              </w:rPr>
              <w:t>及交易</w:t>
            </w:r>
            <w:r>
              <w:rPr>
                <w:rFonts w:ascii="Times New Roman" w:eastAsia="黑体" w:hAnsi="黑体"/>
                <w:kern w:val="0"/>
                <w:sz w:val="20"/>
                <w:szCs w:val="20"/>
              </w:rPr>
              <w:t>数据</w:t>
            </w:r>
          </w:p>
        </w:tc>
        <w:tc>
          <w:tcPr>
            <w:tcW w:w="2262" w:type="pct"/>
            <w:shd w:val="clear" w:color="auto" w:fill="auto"/>
          </w:tcPr>
          <w:p w14:paraId="44EB761D" w14:textId="77777777" w:rsidR="00A052DC" w:rsidRDefault="009F0A60">
            <w:pPr>
              <w:widowControl/>
              <w:jc w:val="left"/>
              <w:rPr>
                <w:rFonts w:ascii="Times New Roman" w:eastAsia="黑体" w:hAnsi="Times New Roman"/>
                <w:kern w:val="0"/>
                <w:sz w:val="20"/>
                <w:szCs w:val="20"/>
              </w:rPr>
            </w:pPr>
            <w:r>
              <w:rPr>
                <w:rFonts w:ascii="Times New Roman" w:eastAsia="黑体" w:hAnsi="黑体"/>
                <w:kern w:val="0"/>
                <w:sz w:val="20"/>
                <w:szCs w:val="20"/>
              </w:rPr>
              <w:t>可采用全接口方式、全部界面等</w:t>
            </w:r>
            <w:r>
              <w:rPr>
                <w:rFonts w:ascii="Times New Roman" w:eastAsia="黑体" w:hAnsi="黑体" w:hint="eastAsia"/>
                <w:kern w:val="0"/>
                <w:sz w:val="20"/>
                <w:szCs w:val="20"/>
              </w:rPr>
              <w:t>两</w:t>
            </w:r>
            <w:r>
              <w:rPr>
                <w:rFonts w:ascii="Times New Roman" w:eastAsia="黑体" w:hAnsi="黑体"/>
                <w:kern w:val="0"/>
                <w:sz w:val="20"/>
                <w:szCs w:val="20"/>
              </w:rPr>
              <w:t>种方式。</w:t>
            </w:r>
          </w:p>
        </w:tc>
        <w:tc>
          <w:tcPr>
            <w:tcW w:w="1360" w:type="pct"/>
            <w:shd w:val="clear" w:color="auto" w:fill="auto"/>
          </w:tcPr>
          <w:p w14:paraId="181F1685" w14:textId="77777777" w:rsidR="00A052DC" w:rsidRDefault="009F0A60">
            <w:pPr>
              <w:widowControl/>
              <w:jc w:val="left"/>
              <w:rPr>
                <w:rFonts w:ascii="Times New Roman" w:eastAsia="黑体" w:hAnsi="Times New Roman"/>
                <w:kern w:val="0"/>
                <w:sz w:val="20"/>
                <w:szCs w:val="20"/>
              </w:rPr>
            </w:pPr>
            <w:r>
              <w:rPr>
                <w:rFonts w:ascii="Times New Roman" w:eastAsia="黑体" w:hAnsi="黑体"/>
                <w:kern w:val="0"/>
                <w:sz w:val="20"/>
                <w:szCs w:val="20"/>
              </w:rPr>
              <w:t>金融机构专线接入、互联网（只提供界面</w:t>
            </w:r>
            <w:r>
              <w:rPr>
                <w:rFonts w:ascii="Times New Roman" w:eastAsia="黑体" w:hAnsi="黑体" w:hint="eastAsia"/>
                <w:kern w:val="0"/>
                <w:sz w:val="20"/>
                <w:szCs w:val="20"/>
              </w:rPr>
              <w:t>方式</w:t>
            </w:r>
            <w:r>
              <w:rPr>
                <w:rFonts w:ascii="Times New Roman" w:eastAsia="黑体" w:hAnsi="黑体"/>
                <w:kern w:val="0"/>
                <w:sz w:val="20"/>
                <w:szCs w:val="20"/>
              </w:rPr>
              <w:t>）</w:t>
            </w:r>
            <w:r w:rsidR="007C7B79">
              <w:rPr>
                <w:rFonts w:ascii="Times New Roman" w:eastAsia="黑体" w:hAnsi="黑体" w:hint="eastAsia"/>
                <w:kern w:val="0"/>
                <w:sz w:val="20"/>
                <w:szCs w:val="20"/>
              </w:rPr>
              <w:t>。</w:t>
            </w:r>
          </w:p>
        </w:tc>
      </w:tr>
      <w:tr w:rsidR="00A052DC" w14:paraId="226C761A" w14:textId="77777777">
        <w:tc>
          <w:tcPr>
            <w:tcW w:w="1378" w:type="pct"/>
            <w:shd w:val="clear" w:color="auto" w:fill="auto"/>
            <w:vAlign w:val="center"/>
          </w:tcPr>
          <w:p w14:paraId="1F7D3349" w14:textId="77777777" w:rsidR="00A052DC" w:rsidRDefault="009F0A60">
            <w:pPr>
              <w:widowControl/>
              <w:jc w:val="left"/>
              <w:rPr>
                <w:rFonts w:ascii="Times New Roman" w:eastAsia="黑体" w:hAnsi="黑体"/>
                <w:kern w:val="0"/>
                <w:sz w:val="20"/>
                <w:szCs w:val="20"/>
              </w:rPr>
            </w:pPr>
            <w:r>
              <w:rPr>
                <w:rFonts w:ascii="Times New Roman" w:eastAsia="黑体" w:hAnsi="黑体" w:hint="eastAsia"/>
                <w:kern w:val="0"/>
                <w:sz w:val="20"/>
                <w:szCs w:val="20"/>
              </w:rPr>
              <w:t>机构外币现钞存取数据</w:t>
            </w:r>
          </w:p>
        </w:tc>
        <w:tc>
          <w:tcPr>
            <w:tcW w:w="2262" w:type="pct"/>
            <w:shd w:val="clear" w:color="auto" w:fill="auto"/>
          </w:tcPr>
          <w:p w14:paraId="21253E2E" w14:textId="77777777" w:rsidR="00A052DC" w:rsidRDefault="009F0A60">
            <w:pPr>
              <w:widowControl/>
              <w:jc w:val="left"/>
              <w:rPr>
                <w:rFonts w:ascii="Times New Roman" w:eastAsia="黑体" w:hAnsi="黑体"/>
                <w:kern w:val="0"/>
                <w:sz w:val="20"/>
                <w:szCs w:val="20"/>
              </w:rPr>
            </w:pPr>
            <w:r>
              <w:rPr>
                <w:rFonts w:ascii="Times New Roman" w:eastAsia="黑体" w:hAnsi="黑体"/>
                <w:kern w:val="0"/>
                <w:sz w:val="20"/>
                <w:szCs w:val="20"/>
              </w:rPr>
              <w:t>可采用全接口、全部界面</w:t>
            </w:r>
            <w:r>
              <w:rPr>
                <w:rFonts w:ascii="Times New Roman" w:eastAsia="黑体" w:hAnsi="黑体" w:hint="eastAsia"/>
                <w:kern w:val="0"/>
                <w:sz w:val="20"/>
                <w:szCs w:val="20"/>
              </w:rPr>
              <w:t>两</w:t>
            </w:r>
            <w:r>
              <w:rPr>
                <w:rFonts w:ascii="Times New Roman" w:eastAsia="黑体" w:hAnsi="黑体"/>
                <w:kern w:val="0"/>
                <w:sz w:val="20"/>
                <w:szCs w:val="20"/>
              </w:rPr>
              <w:t>种方式。</w:t>
            </w:r>
          </w:p>
        </w:tc>
        <w:tc>
          <w:tcPr>
            <w:tcW w:w="1360" w:type="pct"/>
            <w:shd w:val="clear" w:color="auto" w:fill="auto"/>
          </w:tcPr>
          <w:p w14:paraId="2CCF2934" w14:textId="77777777" w:rsidR="00A052DC" w:rsidRDefault="009F0A60">
            <w:pPr>
              <w:widowControl/>
              <w:jc w:val="left"/>
              <w:rPr>
                <w:rFonts w:ascii="Times New Roman" w:eastAsia="黑体" w:hAnsi="黑体"/>
                <w:kern w:val="0"/>
                <w:sz w:val="20"/>
                <w:szCs w:val="20"/>
              </w:rPr>
            </w:pPr>
            <w:r>
              <w:rPr>
                <w:rFonts w:ascii="Times New Roman" w:eastAsia="黑体" w:hAnsi="黑体"/>
                <w:kern w:val="0"/>
                <w:sz w:val="20"/>
                <w:szCs w:val="20"/>
              </w:rPr>
              <w:t>金融机构专线接入</w:t>
            </w:r>
          </w:p>
        </w:tc>
      </w:tr>
      <w:tr w:rsidR="00A052DC" w14:paraId="3A9E92B1" w14:textId="77777777">
        <w:trPr>
          <w:trHeight w:val="373"/>
        </w:trPr>
        <w:tc>
          <w:tcPr>
            <w:tcW w:w="1378" w:type="pct"/>
            <w:shd w:val="clear" w:color="auto" w:fill="auto"/>
            <w:vAlign w:val="center"/>
          </w:tcPr>
          <w:p w14:paraId="35FB7E7D" w14:textId="77777777" w:rsidR="00A052DC" w:rsidRDefault="009F0A60">
            <w:pPr>
              <w:widowControl/>
              <w:jc w:val="left"/>
              <w:rPr>
                <w:rFonts w:ascii="Times New Roman" w:eastAsia="黑体" w:hAnsi="黑体"/>
                <w:kern w:val="0"/>
                <w:sz w:val="20"/>
                <w:szCs w:val="20"/>
              </w:rPr>
            </w:pPr>
            <w:r>
              <w:rPr>
                <w:rFonts w:ascii="Times New Roman" w:eastAsia="黑体" w:hAnsi="Times New Roman" w:hint="eastAsia"/>
                <w:kern w:val="0"/>
                <w:sz w:val="20"/>
                <w:szCs w:val="20"/>
              </w:rPr>
              <w:t>银行卡境外提现明细数据</w:t>
            </w:r>
          </w:p>
        </w:tc>
        <w:tc>
          <w:tcPr>
            <w:tcW w:w="2262" w:type="pct"/>
            <w:shd w:val="clear" w:color="auto" w:fill="auto"/>
          </w:tcPr>
          <w:p w14:paraId="0C306059" w14:textId="77777777" w:rsidR="00A052DC" w:rsidRDefault="009F0A60">
            <w:pPr>
              <w:widowControl/>
              <w:jc w:val="left"/>
              <w:rPr>
                <w:rFonts w:ascii="Times New Roman" w:eastAsia="黑体" w:hAnsi="黑体"/>
                <w:kern w:val="0"/>
                <w:sz w:val="20"/>
                <w:szCs w:val="20"/>
              </w:rPr>
            </w:pPr>
            <w:r>
              <w:rPr>
                <w:rFonts w:ascii="Times New Roman" w:eastAsia="黑体" w:hAnsi="Times New Roman"/>
                <w:kern w:val="0"/>
                <w:sz w:val="20"/>
                <w:szCs w:val="20"/>
              </w:rPr>
              <w:t>可采用全接口方式或全</w:t>
            </w:r>
            <w:r>
              <w:rPr>
                <w:rFonts w:ascii="Times New Roman" w:eastAsia="黑体" w:hAnsi="Times New Roman" w:hint="eastAsia"/>
                <w:kern w:val="0"/>
                <w:sz w:val="20"/>
                <w:szCs w:val="20"/>
              </w:rPr>
              <w:t>部</w:t>
            </w:r>
            <w:r>
              <w:rPr>
                <w:rFonts w:ascii="Times New Roman" w:eastAsia="黑体" w:hAnsi="Times New Roman"/>
                <w:kern w:val="0"/>
                <w:sz w:val="20"/>
                <w:szCs w:val="20"/>
              </w:rPr>
              <w:t>界面方式。</w:t>
            </w:r>
          </w:p>
        </w:tc>
        <w:tc>
          <w:tcPr>
            <w:tcW w:w="1360" w:type="pct"/>
            <w:shd w:val="clear" w:color="auto" w:fill="auto"/>
          </w:tcPr>
          <w:p w14:paraId="36ECEF21" w14:textId="77777777" w:rsidR="00A052DC" w:rsidRDefault="009F0A60">
            <w:pPr>
              <w:widowControl/>
              <w:jc w:val="left"/>
              <w:rPr>
                <w:rFonts w:ascii="Times New Roman" w:eastAsia="黑体" w:hAnsi="黑体"/>
                <w:kern w:val="0"/>
                <w:sz w:val="20"/>
                <w:szCs w:val="20"/>
              </w:rPr>
            </w:pPr>
            <w:r>
              <w:rPr>
                <w:rFonts w:ascii="Times New Roman" w:eastAsia="黑体" w:hAnsi="Times New Roman"/>
                <w:kern w:val="0"/>
                <w:sz w:val="20"/>
                <w:szCs w:val="20"/>
              </w:rPr>
              <w:t>金融机构专线接入</w:t>
            </w:r>
          </w:p>
        </w:tc>
      </w:tr>
      <w:tr w:rsidR="00A052DC" w14:paraId="4075DBDF" w14:textId="77777777">
        <w:trPr>
          <w:trHeight w:val="265"/>
        </w:trPr>
        <w:tc>
          <w:tcPr>
            <w:tcW w:w="1378" w:type="pct"/>
            <w:shd w:val="clear" w:color="auto" w:fill="auto"/>
            <w:vAlign w:val="center"/>
          </w:tcPr>
          <w:p w14:paraId="706E51A3" w14:textId="77777777" w:rsidR="00A052DC" w:rsidRDefault="009F0A60">
            <w:pPr>
              <w:widowControl/>
              <w:jc w:val="left"/>
              <w:rPr>
                <w:rFonts w:ascii="Times New Roman" w:eastAsia="黑体" w:hAnsi="黑体"/>
                <w:kern w:val="0"/>
                <w:sz w:val="20"/>
                <w:szCs w:val="20"/>
              </w:rPr>
            </w:pPr>
            <w:r>
              <w:rPr>
                <w:rFonts w:ascii="Times New Roman" w:eastAsia="黑体" w:hAnsi="Times New Roman" w:hint="eastAsia"/>
                <w:kern w:val="0"/>
                <w:sz w:val="20"/>
                <w:szCs w:val="20"/>
              </w:rPr>
              <w:t>银行卡境外消费明细数据</w:t>
            </w:r>
          </w:p>
        </w:tc>
        <w:tc>
          <w:tcPr>
            <w:tcW w:w="2262" w:type="pct"/>
            <w:shd w:val="clear" w:color="auto" w:fill="auto"/>
          </w:tcPr>
          <w:p w14:paraId="533EC30A" w14:textId="77777777" w:rsidR="00A052DC" w:rsidRDefault="009F0A60">
            <w:pPr>
              <w:widowControl/>
              <w:jc w:val="left"/>
              <w:rPr>
                <w:rFonts w:ascii="Times New Roman" w:eastAsia="黑体" w:hAnsi="黑体"/>
                <w:kern w:val="0"/>
                <w:sz w:val="20"/>
                <w:szCs w:val="20"/>
              </w:rPr>
            </w:pPr>
            <w:r>
              <w:rPr>
                <w:rFonts w:ascii="Times New Roman" w:eastAsia="黑体" w:hAnsi="Times New Roman"/>
                <w:kern w:val="0"/>
                <w:sz w:val="20"/>
                <w:szCs w:val="20"/>
              </w:rPr>
              <w:t>可采用全接口方式或全</w:t>
            </w:r>
            <w:r>
              <w:rPr>
                <w:rFonts w:ascii="Times New Roman" w:eastAsia="黑体" w:hAnsi="Times New Roman" w:hint="eastAsia"/>
                <w:kern w:val="0"/>
                <w:sz w:val="20"/>
                <w:szCs w:val="20"/>
              </w:rPr>
              <w:t>部</w:t>
            </w:r>
            <w:r>
              <w:rPr>
                <w:rFonts w:ascii="Times New Roman" w:eastAsia="黑体" w:hAnsi="Times New Roman"/>
                <w:kern w:val="0"/>
                <w:sz w:val="20"/>
                <w:szCs w:val="20"/>
              </w:rPr>
              <w:t>界面方式。</w:t>
            </w:r>
          </w:p>
        </w:tc>
        <w:tc>
          <w:tcPr>
            <w:tcW w:w="1360" w:type="pct"/>
            <w:shd w:val="clear" w:color="auto" w:fill="auto"/>
          </w:tcPr>
          <w:p w14:paraId="29CD34F8" w14:textId="77777777" w:rsidR="00A052DC" w:rsidRDefault="009F0A60">
            <w:pPr>
              <w:widowControl/>
              <w:jc w:val="left"/>
              <w:rPr>
                <w:rFonts w:ascii="Times New Roman" w:eastAsia="黑体" w:hAnsi="黑体"/>
                <w:kern w:val="0"/>
                <w:sz w:val="20"/>
                <w:szCs w:val="20"/>
              </w:rPr>
            </w:pPr>
            <w:r>
              <w:rPr>
                <w:rFonts w:ascii="Times New Roman" w:eastAsia="黑体" w:hAnsi="Times New Roman"/>
                <w:kern w:val="0"/>
                <w:sz w:val="20"/>
                <w:szCs w:val="20"/>
              </w:rPr>
              <w:t>金融机构专线接入</w:t>
            </w:r>
          </w:p>
        </w:tc>
      </w:tr>
      <w:tr w:rsidR="00A052DC" w14:paraId="63205F69" w14:textId="77777777">
        <w:trPr>
          <w:trHeight w:val="265"/>
        </w:trPr>
        <w:tc>
          <w:tcPr>
            <w:tcW w:w="1378" w:type="pct"/>
            <w:shd w:val="clear" w:color="auto" w:fill="auto"/>
            <w:vAlign w:val="center"/>
          </w:tcPr>
          <w:p w14:paraId="0480C252" w14:textId="77777777" w:rsidR="00A052DC" w:rsidRDefault="009F0A60">
            <w:pPr>
              <w:pStyle w:val="B"/>
            </w:pPr>
            <w:r>
              <w:rPr>
                <w:rFonts w:hint="eastAsia"/>
              </w:rPr>
              <w:t>涉嫌外汇违规账户信息</w:t>
            </w:r>
          </w:p>
        </w:tc>
        <w:tc>
          <w:tcPr>
            <w:tcW w:w="2262" w:type="pct"/>
            <w:shd w:val="clear" w:color="auto" w:fill="auto"/>
          </w:tcPr>
          <w:p w14:paraId="5AAB8221" w14:textId="77777777" w:rsidR="00A052DC" w:rsidRDefault="009F0A60">
            <w:pPr>
              <w:pStyle w:val="B"/>
            </w:pPr>
            <w:r>
              <w:rPr>
                <w:rFonts w:hint="eastAsia"/>
              </w:rPr>
              <w:t>可采用全接口或全界面方式。</w:t>
            </w:r>
          </w:p>
        </w:tc>
        <w:tc>
          <w:tcPr>
            <w:tcW w:w="1360" w:type="pct"/>
            <w:shd w:val="clear" w:color="auto" w:fill="auto"/>
          </w:tcPr>
          <w:p w14:paraId="00AC0AA0" w14:textId="77777777" w:rsidR="00A052DC" w:rsidRDefault="009F0A60">
            <w:pPr>
              <w:pStyle w:val="B"/>
            </w:pPr>
            <w:r>
              <w:rPr>
                <w:rFonts w:hint="eastAsia"/>
              </w:rPr>
              <w:t>金融机构专线接入</w:t>
            </w:r>
          </w:p>
        </w:tc>
      </w:tr>
      <w:tr w:rsidR="00A052DC" w14:paraId="1CA5ED6D" w14:textId="77777777">
        <w:trPr>
          <w:trHeight w:val="265"/>
        </w:trPr>
        <w:tc>
          <w:tcPr>
            <w:tcW w:w="1378" w:type="pct"/>
            <w:shd w:val="clear" w:color="auto" w:fill="auto"/>
            <w:vAlign w:val="center"/>
          </w:tcPr>
          <w:p w14:paraId="6BF91D54" w14:textId="77777777" w:rsidR="00A052DC" w:rsidRDefault="009F0A60">
            <w:pPr>
              <w:pStyle w:val="B"/>
            </w:pPr>
            <w:r>
              <w:rPr>
                <w:rFonts w:hint="eastAsia"/>
              </w:rPr>
              <w:t>机构大额结售汇资金来源和使用数据</w:t>
            </w:r>
          </w:p>
        </w:tc>
        <w:tc>
          <w:tcPr>
            <w:tcW w:w="2262" w:type="pct"/>
            <w:shd w:val="clear" w:color="auto" w:fill="auto"/>
          </w:tcPr>
          <w:p w14:paraId="4EE7112E" w14:textId="77777777" w:rsidR="00A052DC" w:rsidRDefault="009F0A60">
            <w:pPr>
              <w:pStyle w:val="B"/>
            </w:pPr>
            <w:r>
              <w:rPr>
                <w:rFonts w:hint="eastAsia"/>
              </w:rPr>
              <w:t>可采用全接口或全界面方式。</w:t>
            </w:r>
          </w:p>
        </w:tc>
        <w:tc>
          <w:tcPr>
            <w:tcW w:w="1360" w:type="pct"/>
            <w:shd w:val="clear" w:color="auto" w:fill="auto"/>
          </w:tcPr>
          <w:p w14:paraId="118B00AF" w14:textId="77777777" w:rsidR="00A052DC" w:rsidRDefault="009F0A60">
            <w:pPr>
              <w:pStyle w:val="B"/>
            </w:pPr>
            <w:r>
              <w:rPr>
                <w:rFonts w:hint="eastAsia"/>
              </w:rPr>
              <w:t>金融机构专线接入</w:t>
            </w:r>
          </w:p>
        </w:tc>
      </w:tr>
    </w:tbl>
    <w:p w14:paraId="24923CC0" w14:textId="77777777" w:rsidR="00A052DC" w:rsidRDefault="009F0A60">
      <w:pPr>
        <w:spacing w:line="360" w:lineRule="auto"/>
        <w:ind w:firstLineChars="200" w:firstLine="480"/>
        <w:rPr>
          <w:rFonts w:ascii="Times New Roman"/>
          <w:kern w:val="0"/>
          <w:sz w:val="24"/>
          <w:szCs w:val="20"/>
        </w:rPr>
      </w:pPr>
      <w:r>
        <w:rPr>
          <w:rFonts w:ascii="Times New Roman" w:hint="eastAsia"/>
          <w:kern w:val="0"/>
          <w:sz w:val="24"/>
          <w:szCs w:val="20"/>
        </w:rPr>
        <w:t>各金融机构按照本机构信息系统的情况，分别确定上述各类数据的报送方式，全机构统一。对于采用部分接口</w:t>
      </w:r>
      <w:r>
        <w:rPr>
          <w:rFonts w:ascii="Times New Roman" w:hAnsi="Times New Roman"/>
          <w:kern w:val="0"/>
          <w:sz w:val="24"/>
          <w:szCs w:val="20"/>
        </w:rPr>
        <w:t>/</w:t>
      </w:r>
      <w:r>
        <w:rPr>
          <w:rFonts w:ascii="Times New Roman" w:hint="eastAsia"/>
          <w:kern w:val="0"/>
          <w:sz w:val="24"/>
          <w:szCs w:val="20"/>
        </w:rPr>
        <w:t>部分界面方式的数据类型，对同一笔业务信息，不得通过接口和界面重复报送。对采用全接口方式的数据类型，金融机构不能通过界面报送该类数据。如果对于已经报送的数据，在启用全接口后，可以通过接口方式进行修改等操作。</w:t>
      </w:r>
    </w:p>
    <w:p w14:paraId="19315689"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hint="eastAsia"/>
          <w:kern w:val="0"/>
          <w:sz w:val="24"/>
          <w:szCs w:val="20"/>
        </w:rPr>
        <w:t>银行卡</w:t>
      </w:r>
      <w:r>
        <w:rPr>
          <w:rFonts w:ascii="Times New Roman" w:hAnsi="Times New Roman"/>
          <w:kern w:val="0"/>
          <w:sz w:val="24"/>
          <w:szCs w:val="20"/>
        </w:rPr>
        <w:t>境外交易数据报送：</w:t>
      </w:r>
      <w:r>
        <w:rPr>
          <w:rFonts w:ascii="Times New Roman" w:hAnsi="Times New Roman" w:hint="eastAsia"/>
          <w:kern w:val="0"/>
          <w:sz w:val="24"/>
          <w:szCs w:val="20"/>
        </w:rPr>
        <w:t>各金融机构应以法人（总部）为单位，汇总本行全部交易信息后集中报送，建议采用全接口方式报送，</w:t>
      </w:r>
      <w:r>
        <w:rPr>
          <w:rFonts w:ascii="Times New Roman" w:hAnsi="宋体" w:hint="eastAsia"/>
          <w:kern w:val="0"/>
          <w:sz w:val="24"/>
          <w:szCs w:val="24"/>
        </w:rPr>
        <w:t>不具备接口方式报送数据条件的金融机构，可选择界面方式报送</w:t>
      </w:r>
      <w:r>
        <w:rPr>
          <w:rFonts w:ascii="Times New Roman" w:hAnsi="Times New Roman" w:hint="eastAsia"/>
          <w:kern w:val="0"/>
          <w:sz w:val="24"/>
          <w:szCs w:val="20"/>
        </w:rPr>
        <w:t>。采用全接口方式报送的金融机构，应同时实现相关数据类型全部使用接口方式接入。对采用全接口方式的数据类型，金融机构不能通过界面报送该类数据。对于已经报送的数据，在启用全接口后，可以通过接口方式进行修改等操作。在应急情况下，金融机构可按照外汇局通知通过界面报送数据，对同一笔业务信息，不得通过接口和界面重复报送。</w:t>
      </w:r>
    </w:p>
    <w:p w14:paraId="14D195DF"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hint="eastAsia"/>
          <w:kern w:val="0"/>
          <w:sz w:val="24"/>
          <w:szCs w:val="20"/>
        </w:rPr>
        <w:t>在金融机构无法通过接口方式获取</w:t>
      </w:r>
      <w:r>
        <w:rPr>
          <w:rFonts w:ascii="Times New Roman" w:hAnsi="宋体" w:hint="eastAsia"/>
          <w:color w:val="000000"/>
          <w:kern w:val="0"/>
          <w:sz w:val="24"/>
          <w:szCs w:val="24"/>
        </w:rPr>
        <w:t>暂停持境内银行卡在境外提取现金个人名单、涉嫌外汇违规账户查询信息时，应通过界面方式获取。</w:t>
      </w:r>
    </w:p>
    <w:p w14:paraId="476F4628" w14:textId="77777777" w:rsidR="00A052DC" w:rsidRDefault="009F0A60" w:rsidP="0020251D">
      <w:pPr>
        <w:pStyle w:val="2"/>
        <w:rPr>
          <w:rFonts w:ascii="Times New Roman" w:hAnsi="Times New Roman"/>
        </w:rPr>
      </w:pPr>
      <w:bookmarkStart w:id="577" w:name="_Toc91455217"/>
      <w:bookmarkStart w:id="578" w:name="_Toc454386697"/>
      <w:bookmarkStart w:id="579" w:name="_Toc380356198"/>
      <w:bookmarkStart w:id="580" w:name="_Toc101684390"/>
      <w:r>
        <w:rPr>
          <w:rFonts w:ascii="Times New Roman" w:hint="eastAsia"/>
        </w:rPr>
        <w:t>数据报送的时间要求</w:t>
      </w:r>
      <w:bookmarkEnd w:id="577"/>
      <w:bookmarkEnd w:id="578"/>
      <w:bookmarkEnd w:id="579"/>
      <w:bookmarkEnd w:id="580"/>
    </w:p>
    <w:p w14:paraId="12E34493" w14:textId="77777777" w:rsidR="00A052DC" w:rsidRDefault="009F0A60" w:rsidP="0020251D">
      <w:pPr>
        <w:pStyle w:val="3"/>
        <w:ind w:left="0"/>
        <w:rPr>
          <w:rFonts w:ascii="Times New Roman" w:hAnsi="Times New Roman"/>
        </w:rPr>
      </w:pPr>
      <w:bookmarkStart w:id="581" w:name="_Toc91455218"/>
      <w:bookmarkStart w:id="582" w:name="_Toc380356199"/>
      <w:bookmarkStart w:id="583" w:name="_Toc454386698"/>
      <w:bookmarkStart w:id="584" w:name="_Toc101684391"/>
      <w:r>
        <w:rPr>
          <w:rFonts w:ascii="Times New Roman" w:hint="eastAsia"/>
        </w:rPr>
        <w:t>组织机构基本情况表（原单位基本情况表）</w:t>
      </w:r>
      <w:bookmarkEnd w:id="581"/>
      <w:bookmarkEnd w:id="582"/>
      <w:bookmarkEnd w:id="583"/>
      <w:bookmarkEnd w:id="584"/>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1620"/>
        <w:gridCol w:w="6080"/>
      </w:tblGrid>
      <w:tr w:rsidR="00A052DC" w14:paraId="417CCA67" w14:textId="77777777">
        <w:trPr>
          <w:trHeight w:val="1049"/>
        </w:trPr>
        <w:tc>
          <w:tcPr>
            <w:tcW w:w="828" w:type="dxa"/>
            <w:vAlign w:val="center"/>
          </w:tcPr>
          <w:p w14:paraId="33CA7F4A" w14:textId="77777777" w:rsidR="00881462" w:rsidRDefault="009F0A60">
            <w:pPr>
              <w:pStyle w:val="B"/>
              <w:jc w:val="center"/>
            </w:pPr>
            <w:r>
              <w:t>1</w:t>
            </w:r>
          </w:p>
        </w:tc>
        <w:tc>
          <w:tcPr>
            <w:tcW w:w="1620" w:type="dxa"/>
            <w:vAlign w:val="center"/>
          </w:tcPr>
          <w:p w14:paraId="7A820316" w14:textId="77777777" w:rsidR="00A052DC" w:rsidRDefault="009F0A60">
            <w:pPr>
              <w:pStyle w:val="B"/>
            </w:pPr>
            <w:r>
              <w:rPr>
                <w:rFonts w:hint="eastAsia"/>
              </w:rPr>
              <w:t>组织机构基本情况表（原单位基本情况表）</w:t>
            </w:r>
          </w:p>
        </w:tc>
        <w:tc>
          <w:tcPr>
            <w:tcW w:w="6080" w:type="dxa"/>
            <w:vAlign w:val="center"/>
          </w:tcPr>
          <w:p w14:paraId="68BD4E96" w14:textId="77777777" w:rsidR="00A052DC" w:rsidRDefault="009F0A60">
            <w:pPr>
              <w:pStyle w:val="B"/>
            </w:pPr>
            <w:r>
              <w:rPr>
                <w:rFonts w:hint="eastAsia"/>
              </w:rPr>
              <w:t>采用接口方式导入组织机构基本情况表数据的银行应于导入（或录入）申报信息、管理信息之前将相应的组织机构基本情况表数据报送国家外汇管理局。</w:t>
            </w:r>
          </w:p>
        </w:tc>
      </w:tr>
    </w:tbl>
    <w:p w14:paraId="6B6D9932" w14:textId="77777777" w:rsidR="00A052DC" w:rsidRDefault="009F0A60">
      <w:pPr>
        <w:pStyle w:val="3"/>
        <w:ind w:left="0"/>
        <w:rPr>
          <w:rFonts w:ascii="Times New Roman" w:hAnsi="Times New Roman"/>
        </w:rPr>
      </w:pPr>
      <w:bookmarkStart w:id="585" w:name="_Toc380356200"/>
      <w:bookmarkStart w:id="586" w:name="_Toc91455219"/>
      <w:bookmarkStart w:id="587" w:name="_Toc454386699"/>
      <w:bookmarkStart w:id="588" w:name="_Toc101684392"/>
      <w:r>
        <w:rPr>
          <w:rFonts w:ascii="Times New Roman" w:hint="eastAsia"/>
        </w:rPr>
        <w:t>涉外收支数据</w:t>
      </w:r>
      <w:bookmarkEnd w:id="585"/>
      <w:bookmarkEnd w:id="586"/>
      <w:bookmarkEnd w:id="587"/>
      <w:bookmarkEnd w:id="588"/>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1620"/>
        <w:gridCol w:w="6080"/>
      </w:tblGrid>
      <w:tr w:rsidR="00A052DC" w14:paraId="5EE0578B" w14:textId="77777777">
        <w:tc>
          <w:tcPr>
            <w:tcW w:w="828" w:type="dxa"/>
            <w:vAlign w:val="center"/>
          </w:tcPr>
          <w:p w14:paraId="669B13D0" w14:textId="77777777" w:rsidR="00881462" w:rsidRDefault="009F0A60">
            <w:pPr>
              <w:pStyle w:val="B"/>
              <w:jc w:val="center"/>
            </w:pPr>
            <w:r>
              <w:t>1</w:t>
            </w:r>
          </w:p>
        </w:tc>
        <w:tc>
          <w:tcPr>
            <w:tcW w:w="1620" w:type="dxa"/>
            <w:vAlign w:val="center"/>
          </w:tcPr>
          <w:p w14:paraId="66540E1E" w14:textId="77777777" w:rsidR="00A052DC" w:rsidRDefault="009F0A60">
            <w:pPr>
              <w:pStyle w:val="B"/>
              <w:rPr>
                <w:rFonts w:hAnsi="Times New Roman"/>
              </w:rPr>
            </w:pPr>
            <w:r>
              <w:rPr>
                <w:rFonts w:hint="eastAsia"/>
              </w:rPr>
              <w:t>涉外收入</w:t>
            </w:r>
            <w:r w:rsidR="007C7B79">
              <w:rPr>
                <w:rFonts w:hint="eastAsia"/>
              </w:rPr>
              <w:t>-</w:t>
            </w:r>
            <w:r>
              <w:rPr>
                <w:rFonts w:hint="eastAsia"/>
              </w:rPr>
              <w:t>基础信息</w:t>
            </w:r>
          </w:p>
        </w:tc>
        <w:tc>
          <w:tcPr>
            <w:tcW w:w="6080" w:type="dxa"/>
            <w:vAlign w:val="center"/>
          </w:tcPr>
          <w:p w14:paraId="41AE82E5" w14:textId="77777777" w:rsidR="00A052DC" w:rsidRDefault="009F0A60">
            <w:pPr>
              <w:pStyle w:val="B"/>
              <w:rPr>
                <w:rFonts w:hAnsi="Times New Roman"/>
              </w:rPr>
            </w:pPr>
            <w:r>
              <w:rPr>
                <w:rFonts w:hint="eastAsia"/>
              </w:rPr>
              <w:t>解付银行</w:t>
            </w:r>
            <w:r w:rsidR="00010212">
              <w:rPr>
                <w:rFonts w:hint="eastAsia"/>
              </w:rPr>
              <w:t>/</w:t>
            </w:r>
            <w:r>
              <w:rPr>
                <w:rFonts w:hint="eastAsia"/>
              </w:rPr>
              <w:t>结汇中转行应于收到解付之日</w:t>
            </w:r>
            <w:r w:rsidR="00010212">
              <w:rPr>
                <w:rFonts w:hint="eastAsia"/>
              </w:rPr>
              <w:t>/</w:t>
            </w:r>
            <w:r>
              <w:rPr>
                <w:rFonts w:hint="eastAsia"/>
              </w:rPr>
              <w:t>结汇之日（T）后的第一个工作日（</w:t>
            </w:r>
            <w:r>
              <w:rPr>
                <w:rFonts w:hAnsi="Times New Roman"/>
              </w:rPr>
              <w:t>T+1</w:t>
            </w:r>
            <w:r>
              <w:rPr>
                <w:rFonts w:hint="eastAsia"/>
              </w:rPr>
              <w:t>）中午</w:t>
            </w:r>
            <w:r>
              <w:rPr>
                <w:rFonts w:hAnsi="Times New Roman"/>
              </w:rPr>
              <w:t>12</w:t>
            </w:r>
            <w:r>
              <w:rPr>
                <w:rFonts w:hint="eastAsia"/>
              </w:rPr>
              <w:t>：</w:t>
            </w:r>
            <w:r>
              <w:rPr>
                <w:rFonts w:hAnsi="Times New Roman"/>
              </w:rPr>
              <w:t>00</w:t>
            </w:r>
            <w:r>
              <w:rPr>
                <w:rFonts w:hint="eastAsia"/>
              </w:rPr>
              <w:t>之前，将涉外收入基础数据报送至国家外汇管理局。</w:t>
            </w:r>
          </w:p>
        </w:tc>
      </w:tr>
      <w:tr w:rsidR="00A052DC" w14:paraId="1A1593D0" w14:textId="77777777">
        <w:tc>
          <w:tcPr>
            <w:tcW w:w="828" w:type="dxa"/>
            <w:vAlign w:val="center"/>
          </w:tcPr>
          <w:p w14:paraId="5F8B4CDB" w14:textId="77777777" w:rsidR="00881462" w:rsidRDefault="009F0A60">
            <w:pPr>
              <w:pStyle w:val="B"/>
              <w:jc w:val="center"/>
            </w:pPr>
            <w:r>
              <w:t>2</w:t>
            </w:r>
          </w:p>
        </w:tc>
        <w:tc>
          <w:tcPr>
            <w:tcW w:w="1620" w:type="dxa"/>
            <w:vAlign w:val="center"/>
          </w:tcPr>
          <w:p w14:paraId="7E1053D5" w14:textId="77777777" w:rsidR="00A052DC" w:rsidRDefault="009F0A60">
            <w:pPr>
              <w:pStyle w:val="B"/>
              <w:rPr>
                <w:rFonts w:hAnsi="Times New Roman"/>
              </w:rPr>
            </w:pPr>
            <w:r>
              <w:rPr>
                <w:rFonts w:hint="eastAsia"/>
              </w:rPr>
              <w:t>涉外收入申报单</w:t>
            </w:r>
            <w:r w:rsidR="007C7B79">
              <w:rPr>
                <w:rFonts w:hint="eastAsia"/>
              </w:rPr>
              <w:t>-</w:t>
            </w:r>
            <w:r>
              <w:rPr>
                <w:rFonts w:hint="eastAsia"/>
              </w:rPr>
              <w:t>申报信息</w:t>
            </w:r>
          </w:p>
        </w:tc>
        <w:tc>
          <w:tcPr>
            <w:tcW w:w="6080" w:type="dxa"/>
            <w:vAlign w:val="center"/>
          </w:tcPr>
          <w:p w14:paraId="536D1042" w14:textId="77777777" w:rsidR="00A052DC" w:rsidRDefault="009F0A60">
            <w:pPr>
              <w:pStyle w:val="B"/>
              <w:rPr>
                <w:rFonts w:hAnsi="Times New Roman"/>
              </w:rPr>
            </w:pPr>
            <w:r>
              <w:rPr>
                <w:rFonts w:hint="eastAsia"/>
              </w:rPr>
              <w:t>采用接口方式导入涉外收入申报数据的银行应于接到申报主体提供申报数据的当日进行审核，将涉外收入申报单申报信息于申报主体申报之日（T）后的第一个工作日（T+1）内报送国家外汇管理局。</w:t>
            </w:r>
          </w:p>
        </w:tc>
      </w:tr>
      <w:tr w:rsidR="00A052DC" w14:paraId="64DF7AD8" w14:textId="77777777">
        <w:tc>
          <w:tcPr>
            <w:tcW w:w="828" w:type="dxa"/>
            <w:vAlign w:val="center"/>
          </w:tcPr>
          <w:p w14:paraId="48D45240" w14:textId="77777777" w:rsidR="00881462" w:rsidRDefault="009F0A60">
            <w:pPr>
              <w:pStyle w:val="B"/>
              <w:jc w:val="center"/>
            </w:pPr>
            <w:r>
              <w:t>3</w:t>
            </w:r>
          </w:p>
        </w:tc>
        <w:tc>
          <w:tcPr>
            <w:tcW w:w="1620" w:type="dxa"/>
            <w:vAlign w:val="center"/>
          </w:tcPr>
          <w:p w14:paraId="14644A3A" w14:textId="77777777" w:rsidR="00A052DC" w:rsidRDefault="009F0A60">
            <w:pPr>
              <w:pStyle w:val="B"/>
              <w:rPr>
                <w:rFonts w:hAnsi="Times New Roman"/>
              </w:rPr>
            </w:pPr>
            <w:r>
              <w:rPr>
                <w:rFonts w:hint="eastAsia"/>
              </w:rPr>
              <w:t>境外汇款申请书</w:t>
            </w:r>
            <w:r w:rsidR="007C7B79">
              <w:rPr>
                <w:rFonts w:hint="eastAsia"/>
              </w:rPr>
              <w:t>-</w:t>
            </w:r>
            <w:r>
              <w:rPr>
                <w:rFonts w:hint="eastAsia"/>
              </w:rPr>
              <w:t>基础信息</w:t>
            </w:r>
          </w:p>
        </w:tc>
        <w:tc>
          <w:tcPr>
            <w:tcW w:w="6080" w:type="dxa"/>
            <w:vAlign w:val="center"/>
          </w:tcPr>
          <w:p w14:paraId="668058E7" w14:textId="77777777" w:rsidR="00A052DC" w:rsidRDefault="009F0A60">
            <w:pPr>
              <w:pStyle w:val="B"/>
              <w:rPr>
                <w:rFonts w:hAnsi="Times New Roman"/>
              </w:rPr>
            </w:pPr>
            <w:r>
              <w:rPr>
                <w:rFonts w:hint="eastAsia"/>
              </w:rPr>
              <w:t>银行应于对境外汇款汇出（T）日后第一个工作日（T+1）中午</w:t>
            </w:r>
            <w:r>
              <w:rPr>
                <w:rFonts w:hAnsi="Times New Roman"/>
              </w:rPr>
              <w:t>12</w:t>
            </w:r>
            <w:r>
              <w:rPr>
                <w:rFonts w:hint="eastAsia"/>
              </w:rPr>
              <w:t>：</w:t>
            </w:r>
            <w:r>
              <w:rPr>
                <w:rFonts w:hAnsi="Times New Roman"/>
              </w:rPr>
              <w:t>00</w:t>
            </w:r>
            <w:r>
              <w:rPr>
                <w:rFonts w:hint="eastAsia"/>
              </w:rPr>
              <w:t>之前，将境外汇款申请书</w:t>
            </w:r>
            <w:r w:rsidR="00891512">
              <w:rPr>
                <w:rFonts w:hAnsi="Times New Roman"/>
              </w:rPr>
              <w:t>-</w:t>
            </w:r>
            <w:r>
              <w:rPr>
                <w:rFonts w:hint="eastAsia"/>
              </w:rPr>
              <w:t>基础信息报送至国家外汇管理局。</w:t>
            </w:r>
          </w:p>
        </w:tc>
      </w:tr>
      <w:tr w:rsidR="00A052DC" w14:paraId="3EF4FCA3" w14:textId="77777777">
        <w:tc>
          <w:tcPr>
            <w:tcW w:w="828" w:type="dxa"/>
            <w:vAlign w:val="center"/>
          </w:tcPr>
          <w:p w14:paraId="6C78A401" w14:textId="77777777" w:rsidR="00881462" w:rsidRDefault="009F0A60">
            <w:pPr>
              <w:pStyle w:val="B"/>
              <w:jc w:val="center"/>
            </w:pPr>
            <w:r>
              <w:t>4</w:t>
            </w:r>
          </w:p>
        </w:tc>
        <w:tc>
          <w:tcPr>
            <w:tcW w:w="1620" w:type="dxa"/>
            <w:vAlign w:val="center"/>
          </w:tcPr>
          <w:p w14:paraId="6B38BE03" w14:textId="77777777" w:rsidR="00A052DC" w:rsidRDefault="009F0A60">
            <w:pPr>
              <w:pStyle w:val="B"/>
              <w:rPr>
                <w:rFonts w:hAnsi="Times New Roman"/>
              </w:rPr>
            </w:pPr>
            <w:r>
              <w:rPr>
                <w:rFonts w:hint="eastAsia"/>
              </w:rPr>
              <w:t>境外汇款申请书</w:t>
            </w:r>
            <w:r w:rsidR="00AE4602">
              <w:rPr>
                <w:rFonts w:hint="eastAsia"/>
              </w:rPr>
              <w:t>-</w:t>
            </w:r>
            <w:r>
              <w:rPr>
                <w:rFonts w:hint="eastAsia"/>
              </w:rPr>
              <w:t>申报信息</w:t>
            </w:r>
          </w:p>
        </w:tc>
        <w:tc>
          <w:tcPr>
            <w:tcW w:w="6080" w:type="dxa"/>
            <w:vAlign w:val="center"/>
          </w:tcPr>
          <w:p w14:paraId="7ADE5878" w14:textId="77777777" w:rsidR="00A052DC" w:rsidRDefault="009F0A60">
            <w:pPr>
              <w:pStyle w:val="B"/>
              <w:rPr>
                <w:rFonts w:hAnsi="Times New Roman"/>
              </w:rPr>
            </w:pPr>
            <w:r>
              <w:rPr>
                <w:rFonts w:hint="eastAsia"/>
              </w:rPr>
              <w:t>采用接口方式导入境外汇款申报数据的银行应于接到申报主体提供申报数据的当日进行审核，将境外汇款申报信息于款项汇出之日（T）后的第一个工作日（T+1）内报送国家外汇管理局。</w:t>
            </w:r>
          </w:p>
        </w:tc>
      </w:tr>
      <w:tr w:rsidR="00A052DC" w14:paraId="255601FE" w14:textId="77777777">
        <w:tc>
          <w:tcPr>
            <w:tcW w:w="828" w:type="dxa"/>
            <w:vAlign w:val="center"/>
          </w:tcPr>
          <w:p w14:paraId="578CDB98" w14:textId="77777777" w:rsidR="00881462" w:rsidRDefault="009F0A60">
            <w:pPr>
              <w:pStyle w:val="B"/>
              <w:jc w:val="center"/>
            </w:pPr>
            <w:r>
              <w:t>5</w:t>
            </w:r>
          </w:p>
        </w:tc>
        <w:tc>
          <w:tcPr>
            <w:tcW w:w="1620" w:type="dxa"/>
            <w:vAlign w:val="center"/>
          </w:tcPr>
          <w:p w14:paraId="51D14304" w14:textId="77777777" w:rsidR="00A052DC" w:rsidRDefault="009F0A60">
            <w:pPr>
              <w:pStyle w:val="B"/>
              <w:rPr>
                <w:rFonts w:hAnsi="Times New Roman"/>
              </w:rPr>
            </w:pPr>
            <w:r>
              <w:rPr>
                <w:rFonts w:hint="eastAsia"/>
              </w:rPr>
              <w:t>对外付款</w:t>
            </w:r>
            <w:r>
              <w:rPr>
                <w:rFonts w:hAnsi="Times New Roman"/>
              </w:rPr>
              <w:t>/</w:t>
            </w:r>
            <w:r>
              <w:rPr>
                <w:rFonts w:hint="eastAsia"/>
              </w:rPr>
              <w:t>承兑通知书</w:t>
            </w:r>
            <w:r w:rsidR="00AE4602">
              <w:rPr>
                <w:rFonts w:hint="eastAsia"/>
              </w:rPr>
              <w:t>-</w:t>
            </w:r>
            <w:r>
              <w:rPr>
                <w:rFonts w:hint="eastAsia"/>
              </w:rPr>
              <w:t>基础信息</w:t>
            </w:r>
          </w:p>
        </w:tc>
        <w:tc>
          <w:tcPr>
            <w:tcW w:w="6080" w:type="dxa"/>
            <w:vAlign w:val="center"/>
          </w:tcPr>
          <w:p w14:paraId="6404C066" w14:textId="77777777" w:rsidR="00A052DC" w:rsidRDefault="009F0A60">
            <w:pPr>
              <w:pStyle w:val="B"/>
            </w:pPr>
            <w:r>
              <w:rPr>
                <w:rFonts w:hint="eastAsia"/>
              </w:rPr>
              <w:t>银行应于信用证</w:t>
            </w:r>
            <w:r w:rsidR="00010212">
              <w:rPr>
                <w:rFonts w:hint="eastAsia"/>
              </w:rPr>
              <w:t>/</w:t>
            </w:r>
            <w:r>
              <w:rPr>
                <w:rFonts w:hint="eastAsia"/>
              </w:rPr>
              <w:t>托收</w:t>
            </w:r>
            <w:r w:rsidR="00010212">
              <w:rPr>
                <w:rFonts w:hint="eastAsia"/>
              </w:rPr>
              <w:t>/</w:t>
            </w:r>
            <w:r>
              <w:rPr>
                <w:rFonts w:hint="eastAsia"/>
              </w:rPr>
              <w:t>保函等规定的期限内，对境外付款汇出（T）日后第一个工作日（T+1）中午</w:t>
            </w:r>
            <w:r>
              <w:t>12</w:t>
            </w:r>
            <w:r>
              <w:rPr>
                <w:rFonts w:hint="eastAsia"/>
              </w:rPr>
              <w:t>：</w:t>
            </w:r>
            <w:r>
              <w:t>00</w:t>
            </w:r>
            <w:r>
              <w:rPr>
                <w:rFonts w:hint="eastAsia"/>
              </w:rPr>
              <w:t>之前，将对外付款</w:t>
            </w:r>
            <w:r>
              <w:t>/</w:t>
            </w:r>
            <w:r>
              <w:rPr>
                <w:rFonts w:hint="eastAsia"/>
              </w:rPr>
              <w:t>承兑通知书基础信息报送国家外汇管理局。</w:t>
            </w:r>
          </w:p>
        </w:tc>
      </w:tr>
      <w:tr w:rsidR="00A052DC" w14:paraId="2F99D0CA" w14:textId="77777777">
        <w:tc>
          <w:tcPr>
            <w:tcW w:w="828" w:type="dxa"/>
            <w:vAlign w:val="center"/>
          </w:tcPr>
          <w:p w14:paraId="6F972731" w14:textId="77777777" w:rsidR="00881462" w:rsidRDefault="009F0A60">
            <w:pPr>
              <w:pStyle w:val="B"/>
              <w:jc w:val="center"/>
            </w:pPr>
            <w:r>
              <w:t>6</w:t>
            </w:r>
          </w:p>
        </w:tc>
        <w:tc>
          <w:tcPr>
            <w:tcW w:w="1620" w:type="dxa"/>
            <w:vAlign w:val="center"/>
          </w:tcPr>
          <w:p w14:paraId="14C76C4E" w14:textId="77777777" w:rsidR="00A052DC" w:rsidRDefault="009F0A60">
            <w:pPr>
              <w:pStyle w:val="B"/>
            </w:pPr>
            <w:r>
              <w:rPr>
                <w:rFonts w:hint="eastAsia"/>
              </w:rPr>
              <w:t>对外付款</w:t>
            </w:r>
            <w:r>
              <w:t>/</w:t>
            </w:r>
            <w:r>
              <w:rPr>
                <w:rFonts w:hint="eastAsia"/>
              </w:rPr>
              <w:t>承兑通知书</w:t>
            </w:r>
            <w:r w:rsidR="00AE4602">
              <w:rPr>
                <w:rFonts w:hint="eastAsia"/>
              </w:rPr>
              <w:t>-</w:t>
            </w:r>
            <w:r>
              <w:rPr>
                <w:rFonts w:hint="eastAsia"/>
              </w:rPr>
              <w:t>申报信息</w:t>
            </w:r>
          </w:p>
        </w:tc>
        <w:tc>
          <w:tcPr>
            <w:tcW w:w="6080" w:type="dxa"/>
            <w:vAlign w:val="center"/>
          </w:tcPr>
          <w:p w14:paraId="41929639" w14:textId="77777777" w:rsidR="00A052DC" w:rsidRDefault="009F0A60">
            <w:pPr>
              <w:pStyle w:val="B"/>
            </w:pPr>
            <w:r>
              <w:rPr>
                <w:rFonts w:hint="eastAsia"/>
              </w:rPr>
              <w:t>采用接口方式导入信用证</w:t>
            </w:r>
            <w:r w:rsidR="00010212">
              <w:rPr>
                <w:rFonts w:hint="eastAsia"/>
              </w:rPr>
              <w:t>/</w:t>
            </w:r>
            <w:r>
              <w:rPr>
                <w:rFonts w:hint="eastAsia"/>
              </w:rPr>
              <w:t>托收</w:t>
            </w:r>
            <w:r w:rsidR="00010212">
              <w:rPr>
                <w:rFonts w:hint="eastAsia"/>
              </w:rPr>
              <w:t>/</w:t>
            </w:r>
            <w:r>
              <w:rPr>
                <w:rFonts w:hint="eastAsia"/>
              </w:rPr>
              <w:t>保函等方式对外付款申报数据的银行应于接到申报主体提供申报信息的当日进行审核，将对外付款</w:t>
            </w:r>
            <w:r>
              <w:t>/</w:t>
            </w:r>
            <w:r>
              <w:rPr>
                <w:rFonts w:hint="eastAsia"/>
              </w:rPr>
              <w:t>承兑通知书申报数据在涉外付款之日（T）后的第一个工作日（T+1）内报送国家外汇管理局。</w:t>
            </w:r>
          </w:p>
        </w:tc>
      </w:tr>
    </w:tbl>
    <w:p w14:paraId="3AEBA52F" w14:textId="77777777" w:rsidR="00A052DC" w:rsidRDefault="009F0A60">
      <w:pPr>
        <w:pStyle w:val="3"/>
        <w:ind w:left="0"/>
        <w:rPr>
          <w:rFonts w:ascii="Times New Roman" w:hAnsi="Times New Roman"/>
        </w:rPr>
      </w:pPr>
      <w:bookmarkStart w:id="589" w:name="_Toc455156435"/>
      <w:bookmarkStart w:id="590" w:name="_Toc455152707"/>
      <w:bookmarkStart w:id="591" w:name="_Toc455163886"/>
      <w:bookmarkStart w:id="592" w:name="_Toc454464688"/>
      <w:bookmarkStart w:id="593" w:name="_Toc454378071"/>
      <w:bookmarkStart w:id="594" w:name="_Toc454780065"/>
      <w:bookmarkStart w:id="595" w:name="_Toc454394995"/>
      <w:bookmarkStart w:id="596" w:name="_Toc454386700"/>
      <w:bookmarkStart w:id="597" w:name="_Toc455167611"/>
      <w:bookmarkStart w:id="598" w:name="_Toc454454771"/>
      <w:bookmarkStart w:id="599" w:name="_Toc454386701"/>
      <w:bookmarkStart w:id="600" w:name="_Toc380356201"/>
      <w:bookmarkStart w:id="601" w:name="_Toc91455220"/>
      <w:bookmarkStart w:id="602" w:name="_Toc101684393"/>
      <w:bookmarkEnd w:id="589"/>
      <w:bookmarkEnd w:id="590"/>
      <w:bookmarkEnd w:id="591"/>
      <w:bookmarkEnd w:id="592"/>
      <w:bookmarkEnd w:id="593"/>
      <w:bookmarkEnd w:id="594"/>
      <w:bookmarkEnd w:id="595"/>
      <w:bookmarkEnd w:id="596"/>
      <w:bookmarkEnd w:id="597"/>
      <w:bookmarkEnd w:id="598"/>
      <w:r>
        <w:rPr>
          <w:rFonts w:ascii="Times New Roman" w:hAnsi="Times New Roman" w:hint="eastAsia"/>
        </w:rPr>
        <w:t>境内划转数据</w:t>
      </w:r>
      <w:bookmarkEnd w:id="599"/>
      <w:bookmarkEnd w:id="600"/>
      <w:bookmarkEnd w:id="601"/>
      <w:bookmarkEnd w:id="602"/>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1620"/>
        <w:gridCol w:w="6080"/>
      </w:tblGrid>
      <w:tr w:rsidR="00A052DC" w14:paraId="71B06FA8" w14:textId="77777777">
        <w:tc>
          <w:tcPr>
            <w:tcW w:w="828" w:type="dxa"/>
            <w:vAlign w:val="center"/>
          </w:tcPr>
          <w:p w14:paraId="7D2CC0B5" w14:textId="77777777" w:rsidR="00881462" w:rsidRDefault="009F0A60">
            <w:pPr>
              <w:pStyle w:val="B"/>
              <w:jc w:val="center"/>
            </w:pPr>
            <w:r>
              <w:t>1</w:t>
            </w:r>
          </w:p>
        </w:tc>
        <w:tc>
          <w:tcPr>
            <w:tcW w:w="1620" w:type="dxa"/>
            <w:vAlign w:val="center"/>
          </w:tcPr>
          <w:p w14:paraId="38E9C848" w14:textId="77777777" w:rsidR="00A052DC" w:rsidRDefault="009F0A60">
            <w:pPr>
              <w:pStyle w:val="B"/>
            </w:pPr>
            <w:r>
              <w:rPr>
                <w:rFonts w:hint="eastAsia"/>
              </w:rPr>
              <w:t>境内收入申报单</w:t>
            </w:r>
            <w:r w:rsidR="00AE4602">
              <w:rPr>
                <w:rFonts w:hint="eastAsia"/>
              </w:rPr>
              <w:t>-</w:t>
            </w:r>
            <w:r>
              <w:rPr>
                <w:rFonts w:hint="eastAsia"/>
              </w:rPr>
              <w:t>基础信息</w:t>
            </w:r>
          </w:p>
        </w:tc>
        <w:tc>
          <w:tcPr>
            <w:tcW w:w="6080" w:type="dxa"/>
            <w:vAlign w:val="center"/>
          </w:tcPr>
          <w:p w14:paraId="7BB5349D" w14:textId="77777777" w:rsidR="00A052DC" w:rsidRDefault="009F0A60">
            <w:pPr>
              <w:pStyle w:val="B"/>
            </w:pPr>
            <w:r>
              <w:rPr>
                <w:rFonts w:hint="eastAsia"/>
              </w:rPr>
              <w:t>银行应于收入发生日后第一个工作日中午</w:t>
            </w:r>
            <w:r>
              <w:t>12</w:t>
            </w:r>
            <w:r>
              <w:rPr>
                <w:rFonts w:hint="eastAsia"/>
              </w:rPr>
              <w:t>：</w:t>
            </w:r>
            <w:r>
              <w:t>00</w:t>
            </w:r>
            <w:r>
              <w:rPr>
                <w:rFonts w:hint="eastAsia"/>
              </w:rPr>
              <w:t>之前，将基础信息报送至国家外汇管理局。</w:t>
            </w:r>
          </w:p>
        </w:tc>
      </w:tr>
      <w:tr w:rsidR="00A052DC" w14:paraId="269213B8" w14:textId="77777777">
        <w:tc>
          <w:tcPr>
            <w:tcW w:w="828" w:type="dxa"/>
            <w:vAlign w:val="center"/>
          </w:tcPr>
          <w:p w14:paraId="18B86D5B" w14:textId="77777777" w:rsidR="00881462" w:rsidRDefault="009F0A60">
            <w:pPr>
              <w:pStyle w:val="B"/>
              <w:jc w:val="center"/>
            </w:pPr>
            <w:r>
              <w:t>2</w:t>
            </w:r>
          </w:p>
        </w:tc>
        <w:tc>
          <w:tcPr>
            <w:tcW w:w="1620" w:type="dxa"/>
            <w:vAlign w:val="center"/>
          </w:tcPr>
          <w:p w14:paraId="7647F021" w14:textId="77777777" w:rsidR="00A052DC" w:rsidRDefault="009F0A60">
            <w:pPr>
              <w:pStyle w:val="B"/>
            </w:pPr>
            <w:r>
              <w:rPr>
                <w:rFonts w:hint="eastAsia"/>
              </w:rPr>
              <w:t>境内收入申报单</w:t>
            </w:r>
            <w:r w:rsidR="00AE4602">
              <w:rPr>
                <w:rFonts w:hint="eastAsia"/>
              </w:rPr>
              <w:t>-</w:t>
            </w:r>
            <w:r>
              <w:rPr>
                <w:rFonts w:hint="eastAsia"/>
              </w:rPr>
              <w:t>管理信息</w:t>
            </w:r>
          </w:p>
        </w:tc>
        <w:tc>
          <w:tcPr>
            <w:tcW w:w="6080" w:type="dxa"/>
            <w:vAlign w:val="center"/>
          </w:tcPr>
          <w:p w14:paraId="40D42B68" w14:textId="77777777" w:rsidR="00A052DC" w:rsidRDefault="009F0A60">
            <w:pPr>
              <w:pStyle w:val="B"/>
            </w:pPr>
            <w:r>
              <w:rPr>
                <w:rFonts w:hint="eastAsia"/>
              </w:rPr>
              <w:t>采用接口方式导入境内收入申报数据的银行应于接到申报主体提供申报数据的当日进行审核，将管理信息于下一个工作日中午</w:t>
            </w:r>
            <w:r>
              <w:t>12</w:t>
            </w:r>
            <w:r>
              <w:rPr>
                <w:rFonts w:hint="eastAsia"/>
              </w:rPr>
              <w:t>：</w:t>
            </w:r>
            <w:r>
              <w:t>00</w:t>
            </w:r>
            <w:r>
              <w:rPr>
                <w:rFonts w:hint="eastAsia"/>
              </w:rPr>
              <w:t>之前报送国家外汇管理局。</w:t>
            </w:r>
          </w:p>
        </w:tc>
      </w:tr>
      <w:tr w:rsidR="00A052DC" w14:paraId="2F8D6C99" w14:textId="77777777">
        <w:tc>
          <w:tcPr>
            <w:tcW w:w="828" w:type="dxa"/>
            <w:vAlign w:val="center"/>
          </w:tcPr>
          <w:p w14:paraId="4D0B32A4" w14:textId="77777777" w:rsidR="00881462" w:rsidRDefault="009F0A60">
            <w:pPr>
              <w:pStyle w:val="B"/>
              <w:jc w:val="center"/>
            </w:pPr>
            <w:r>
              <w:t>3</w:t>
            </w:r>
          </w:p>
        </w:tc>
        <w:tc>
          <w:tcPr>
            <w:tcW w:w="1620" w:type="dxa"/>
            <w:vAlign w:val="center"/>
          </w:tcPr>
          <w:p w14:paraId="41A28B47" w14:textId="77777777" w:rsidR="00A052DC" w:rsidRDefault="009F0A60">
            <w:pPr>
              <w:pStyle w:val="B"/>
            </w:pPr>
            <w:r>
              <w:rPr>
                <w:rFonts w:hint="eastAsia"/>
              </w:rPr>
              <w:t>境内汇款申请书</w:t>
            </w:r>
            <w:r w:rsidR="00AE4602">
              <w:rPr>
                <w:rFonts w:hint="eastAsia"/>
              </w:rPr>
              <w:t>-</w:t>
            </w:r>
            <w:r>
              <w:rPr>
                <w:rFonts w:hint="eastAsia"/>
              </w:rPr>
              <w:t>基础信息</w:t>
            </w:r>
          </w:p>
        </w:tc>
        <w:tc>
          <w:tcPr>
            <w:tcW w:w="6080" w:type="dxa"/>
            <w:vAlign w:val="center"/>
          </w:tcPr>
          <w:p w14:paraId="13C60A7F" w14:textId="77777777" w:rsidR="00A052DC" w:rsidRDefault="009F0A60">
            <w:pPr>
              <w:pStyle w:val="B"/>
            </w:pPr>
            <w:r>
              <w:rPr>
                <w:rFonts w:hint="eastAsia"/>
              </w:rPr>
              <w:t>银行应于汇款发生日后第一个工作日中午</w:t>
            </w:r>
            <w:r>
              <w:t>12</w:t>
            </w:r>
            <w:r>
              <w:rPr>
                <w:rFonts w:hint="eastAsia"/>
              </w:rPr>
              <w:t>：</w:t>
            </w:r>
            <w:r>
              <w:t>00</w:t>
            </w:r>
            <w:r>
              <w:rPr>
                <w:rFonts w:hint="eastAsia"/>
              </w:rPr>
              <w:t>之前，将基础信息报送至国家外汇管理局。</w:t>
            </w:r>
          </w:p>
        </w:tc>
      </w:tr>
      <w:tr w:rsidR="00A052DC" w14:paraId="3B3028AC" w14:textId="77777777">
        <w:tc>
          <w:tcPr>
            <w:tcW w:w="828" w:type="dxa"/>
            <w:vAlign w:val="center"/>
          </w:tcPr>
          <w:p w14:paraId="5F8C07D7" w14:textId="77777777" w:rsidR="00881462" w:rsidRDefault="009F0A60">
            <w:pPr>
              <w:pStyle w:val="B"/>
              <w:jc w:val="center"/>
            </w:pPr>
            <w:r>
              <w:t>4</w:t>
            </w:r>
          </w:p>
        </w:tc>
        <w:tc>
          <w:tcPr>
            <w:tcW w:w="1620" w:type="dxa"/>
            <w:vAlign w:val="center"/>
          </w:tcPr>
          <w:p w14:paraId="1A15B047" w14:textId="77777777" w:rsidR="00A052DC" w:rsidRDefault="009F0A60">
            <w:pPr>
              <w:pStyle w:val="B"/>
            </w:pPr>
            <w:r>
              <w:rPr>
                <w:rFonts w:hint="eastAsia"/>
              </w:rPr>
              <w:t>境内汇款申请书</w:t>
            </w:r>
            <w:r w:rsidR="00AE4602">
              <w:rPr>
                <w:rFonts w:hint="eastAsia"/>
              </w:rPr>
              <w:t>-</w:t>
            </w:r>
            <w:r>
              <w:rPr>
                <w:rFonts w:hint="eastAsia"/>
              </w:rPr>
              <w:t>管理信息</w:t>
            </w:r>
          </w:p>
        </w:tc>
        <w:tc>
          <w:tcPr>
            <w:tcW w:w="6080" w:type="dxa"/>
            <w:vAlign w:val="center"/>
          </w:tcPr>
          <w:p w14:paraId="4D186038" w14:textId="77777777" w:rsidR="00A052DC" w:rsidRDefault="009F0A60">
            <w:pPr>
              <w:pStyle w:val="B"/>
            </w:pPr>
            <w:r>
              <w:rPr>
                <w:rFonts w:hint="eastAsia"/>
              </w:rPr>
              <w:t>采用接口方式导入境内汇款申报数据的银行应于接到申报主体提供申报数据的当日进行审核，将管理信息于下一个工作日中午</w:t>
            </w:r>
            <w:r>
              <w:t>12</w:t>
            </w:r>
            <w:r>
              <w:rPr>
                <w:rFonts w:hint="eastAsia"/>
              </w:rPr>
              <w:t>：</w:t>
            </w:r>
            <w:r>
              <w:t>00</w:t>
            </w:r>
            <w:r>
              <w:rPr>
                <w:rFonts w:hint="eastAsia"/>
              </w:rPr>
              <w:t>之前报送国家外汇管理局。</w:t>
            </w:r>
          </w:p>
        </w:tc>
      </w:tr>
      <w:tr w:rsidR="00A052DC" w14:paraId="3417A3BB" w14:textId="77777777">
        <w:tc>
          <w:tcPr>
            <w:tcW w:w="828" w:type="dxa"/>
            <w:vAlign w:val="center"/>
          </w:tcPr>
          <w:p w14:paraId="419530A4" w14:textId="77777777" w:rsidR="00881462" w:rsidRDefault="009F0A60">
            <w:pPr>
              <w:pStyle w:val="B"/>
              <w:jc w:val="center"/>
            </w:pPr>
            <w:r>
              <w:t>5</w:t>
            </w:r>
          </w:p>
        </w:tc>
        <w:tc>
          <w:tcPr>
            <w:tcW w:w="1620" w:type="dxa"/>
            <w:vAlign w:val="center"/>
          </w:tcPr>
          <w:p w14:paraId="1377DB79" w14:textId="77777777" w:rsidR="00A052DC" w:rsidRDefault="009F0A60">
            <w:pPr>
              <w:pStyle w:val="B"/>
            </w:pPr>
            <w:r>
              <w:rPr>
                <w:rFonts w:hint="eastAsia"/>
              </w:rPr>
              <w:t>境内付款</w:t>
            </w:r>
            <w:r w:rsidR="00010212">
              <w:rPr>
                <w:rFonts w:hint="eastAsia"/>
              </w:rPr>
              <w:t>/</w:t>
            </w:r>
            <w:r>
              <w:rPr>
                <w:rFonts w:hint="eastAsia"/>
              </w:rPr>
              <w:t>承兑通知书</w:t>
            </w:r>
            <w:r w:rsidR="00AE4602">
              <w:rPr>
                <w:rFonts w:hint="eastAsia"/>
              </w:rPr>
              <w:t>-</w:t>
            </w:r>
            <w:r>
              <w:rPr>
                <w:rFonts w:hint="eastAsia"/>
              </w:rPr>
              <w:t>基础信息</w:t>
            </w:r>
          </w:p>
        </w:tc>
        <w:tc>
          <w:tcPr>
            <w:tcW w:w="6080" w:type="dxa"/>
            <w:vAlign w:val="center"/>
          </w:tcPr>
          <w:p w14:paraId="782B66E7" w14:textId="77777777" w:rsidR="00A052DC" w:rsidRDefault="009F0A60">
            <w:pPr>
              <w:pStyle w:val="B"/>
            </w:pPr>
            <w:r>
              <w:rPr>
                <w:rFonts w:hint="eastAsia"/>
              </w:rPr>
              <w:t>银行应于付款发生日后第一个工作日中午</w:t>
            </w:r>
            <w:r>
              <w:t>12</w:t>
            </w:r>
            <w:r>
              <w:rPr>
                <w:rFonts w:hint="eastAsia"/>
              </w:rPr>
              <w:t>：</w:t>
            </w:r>
            <w:r>
              <w:t>00</w:t>
            </w:r>
            <w:r>
              <w:rPr>
                <w:rFonts w:hint="eastAsia"/>
              </w:rPr>
              <w:t>之前，将基础信息报送至国家外汇管理局。</w:t>
            </w:r>
          </w:p>
        </w:tc>
      </w:tr>
      <w:tr w:rsidR="00A052DC" w14:paraId="463663F5" w14:textId="77777777">
        <w:tc>
          <w:tcPr>
            <w:tcW w:w="828" w:type="dxa"/>
            <w:vAlign w:val="center"/>
          </w:tcPr>
          <w:p w14:paraId="09F1017F" w14:textId="77777777" w:rsidR="00881462" w:rsidRDefault="009F0A60">
            <w:pPr>
              <w:pStyle w:val="B"/>
              <w:jc w:val="center"/>
            </w:pPr>
            <w:r>
              <w:t>6</w:t>
            </w:r>
          </w:p>
        </w:tc>
        <w:tc>
          <w:tcPr>
            <w:tcW w:w="1620" w:type="dxa"/>
            <w:vAlign w:val="center"/>
          </w:tcPr>
          <w:p w14:paraId="7DD32054" w14:textId="77777777" w:rsidR="00A052DC" w:rsidRDefault="009F0A60">
            <w:pPr>
              <w:pStyle w:val="B"/>
            </w:pPr>
            <w:r>
              <w:rPr>
                <w:rFonts w:hint="eastAsia"/>
              </w:rPr>
              <w:t>境内付款</w:t>
            </w:r>
            <w:r w:rsidR="00010212">
              <w:rPr>
                <w:rFonts w:hint="eastAsia"/>
              </w:rPr>
              <w:t>/</w:t>
            </w:r>
            <w:r>
              <w:rPr>
                <w:rFonts w:hint="eastAsia"/>
              </w:rPr>
              <w:t>承兑通知书</w:t>
            </w:r>
            <w:r w:rsidR="00AE4602">
              <w:rPr>
                <w:rFonts w:hint="eastAsia"/>
              </w:rPr>
              <w:t>-</w:t>
            </w:r>
            <w:r>
              <w:rPr>
                <w:rFonts w:hint="eastAsia"/>
              </w:rPr>
              <w:t>管理信息</w:t>
            </w:r>
          </w:p>
        </w:tc>
        <w:tc>
          <w:tcPr>
            <w:tcW w:w="6080" w:type="dxa"/>
            <w:vAlign w:val="center"/>
          </w:tcPr>
          <w:p w14:paraId="278C2363" w14:textId="77777777" w:rsidR="00A052DC" w:rsidRDefault="009F0A60">
            <w:pPr>
              <w:pStyle w:val="B"/>
            </w:pPr>
            <w:r>
              <w:rPr>
                <w:rFonts w:hint="eastAsia"/>
              </w:rPr>
              <w:t>采用接口方式导入境内付款</w:t>
            </w:r>
            <w:r w:rsidR="00010212">
              <w:rPr>
                <w:rFonts w:hint="eastAsia"/>
              </w:rPr>
              <w:t>/</w:t>
            </w:r>
            <w:r>
              <w:rPr>
                <w:rFonts w:hint="eastAsia"/>
              </w:rPr>
              <w:t>承兑申报数据的银行应于接到申报主体提供申报数据的当日进行审核，将管理信息于下一个工作日中午</w:t>
            </w:r>
            <w:r>
              <w:t>12</w:t>
            </w:r>
            <w:r>
              <w:rPr>
                <w:rFonts w:hint="eastAsia"/>
              </w:rPr>
              <w:t>：</w:t>
            </w:r>
            <w:r>
              <w:t>00</w:t>
            </w:r>
            <w:r>
              <w:rPr>
                <w:rFonts w:hint="eastAsia"/>
              </w:rPr>
              <w:t>之前报送国家外汇管理局。</w:t>
            </w:r>
          </w:p>
        </w:tc>
      </w:tr>
    </w:tbl>
    <w:p w14:paraId="2FA5836C" w14:textId="77777777" w:rsidR="00A052DC" w:rsidRDefault="00A052DC">
      <w:pPr>
        <w:spacing w:line="360" w:lineRule="auto"/>
        <w:ind w:firstLineChars="200" w:firstLine="480"/>
        <w:rPr>
          <w:rFonts w:ascii="Times New Roman" w:hAnsi="Times New Roman"/>
          <w:kern w:val="0"/>
          <w:sz w:val="24"/>
          <w:szCs w:val="20"/>
        </w:rPr>
      </w:pPr>
    </w:p>
    <w:p w14:paraId="7BAFA2C4" w14:textId="77777777" w:rsidR="00A052DC" w:rsidRDefault="009F0A60" w:rsidP="0020251D">
      <w:pPr>
        <w:pStyle w:val="3"/>
        <w:ind w:left="0"/>
        <w:rPr>
          <w:rFonts w:ascii="Times New Roman" w:hAnsi="Times New Roman"/>
        </w:rPr>
      </w:pPr>
      <w:bookmarkStart w:id="603" w:name="_Toc91455221"/>
      <w:bookmarkStart w:id="604" w:name="_Toc454386702"/>
      <w:bookmarkStart w:id="605" w:name="_Toc380356202"/>
      <w:bookmarkStart w:id="606" w:name="_Toc101684394"/>
      <w:r>
        <w:rPr>
          <w:rFonts w:ascii="Times New Roman" w:hAnsi="Times New Roman" w:hint="eastAsia"/>
        </w:rPr>
        <w:t>外汇账户数据</w:t>
      </w:r>
      <w:bookmarkEnd w:id="603"/>
      <w:bookmarkEnd w:id="604"/>
      <w:bookmarkEnd w:id="605"/>
      <w:bookmarkEnd w:id="606"/>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914"/>
        <w:gridCol w:w="6080"/>
      </w:tblGrid>
      <w:tr w:rsidR="00A052DC" w14:paraId="6328C06C" w14:textId="77777777" w:rsidTr="007C7B79">
        <w:trPr>
          <w:cantSplit/>
        </w:trPr>
        <w:tc>
          <w:tcPr>
            <w:tcW w:w="534" w:type="dxa"/>
            <w:vAlign w:val="center"/>
          </w:tcPr>
          <w:p w14:paraId="1C0445EC" w14:textId="77777777" w:rsidR="00881462" w:rsidRDefault="009F0A60">
            <w:pPr>
              <w:pStyle w:val="B"/>
              <w:jc w:val="center"/>
            </w:pPr>
            <w:r>
              <w:t>1</w:t>
            </w:r>
          </w:p>
        </w:tc>
        <w:tc>
          <w:tcPr>
            <w:tcW w:w="1914" w:type="dxa"/>
            <w:vAlign w:val="center"/>
          </w:tcPr>
          <w:p w14:paraId="6AFB2701" w14:textId="77777777" w:rsidR="00A052DC" w:rsidRDefault="009F0A60">
            <w:pPr>
              <w:pStyle w:val="B"/>
            </w:pPr>
            <w:r>
              <w:rPr>
                <w:rFonts w:hint="eastAsia"/>
              </w:rPr>
              <w:t>账户开关户信息</w:t>
            </w:r>
          </w:p>
        </w:tc>
        <w:tc>
          <w:tcPr>
            <w:tcW w:w="6080" w:type="dxa"/>
            <w:vAlign w:val="center"/>
          </w:tcPr>
          <w:p w14:paraId="40143B03" w14:textId="77777777" w:rsidR="00A052DC" w:rsidRDefault="009F0A60">
            <w:pPr>
              <w:pStyle w:val="B"/>
            </w:pPr>
            <w:r>
              <w:rPr>
                <w:rFonts w:hint="eastAsia"/>
              </w:rPr>
              <w:t>业务发生后第一个工作日（</w:t>
            </w:r>
            <w:r>
              <w:t>T+1</w:t>
            </w:r>
            <w:r>
              <w:rPr>
                <w:rFonts w:hint="eastAsia"/>
              </w:rPr>
              <w:t>）中午</w:t>
            </w:r>
            <w:r>
              <w:t>12</w:t>
            </w:r>
            <w:r>
              <w:rPr>
                <w:rFonts w:hint="eastAsia"/>
              </w:rPr>
              <w:t>：</w:t>
            </w:r>
            <w:r>
              <w:t>00</w:t>
            </w:r>
            <w:r>
              <w:rPr>
                <w:rFonts w:hint="eastAsia"/>
              </w:rPr>
              <w:t>之前，将逐笔数据报送至国家外汇管理局。</w:t>
            </w:r>
          </w:p>
        </w:tc>
      </w:tr>
      <w:tr w:rsidR="00A052DC" w14:paraId="4AA4F824" w14:textId="77777777" w:rsidTr="007C7B79">
        <w:trPr>
          <w:cantSplit/>
        </w:trPr>
        <w:tc>
          <w:tcPr>
            <w:tcW w:w="534" w:type="dxa"/>
            <w:vAlign w:val="center"/>
          </w:tcPr>
          <w:p w14:paraId="2D6AE360" w14:textId="77777777" w:rsidR="00881462" w:rsidRDefault="009F0A60">
            <w:pPr>
              <w:pStyle w:val="B"/>
              <w:jc w:val="center"/>
            </w:pPr>
            <w:r>
              <w:t>2</w:t>
            </w:r>
          </w:p>
        </w:tc>
        <w:tc>
          <w:tcPr>
            <w:tcW w:w="1914" w:type="dxa"/>
            <w:vAlign w:val="center"/>
          </w:tcPr>
          <w:p w14:paraId="78A1A22D" w14:textId="77777777" w:rsidR="00A052DC" w:rsidRDefault="009F0A60">
            <w:pPr>
              <w:pStyle w:val="B"/>
            </w:pPr>
            <w:r>
              <w:rPr>
                <w:rFonts w:hint="eastAsia"/>
              </w:rPr>
              <w:t>账户收支余信息</w:t>
            </w:r>
          </w:p>
        </w:tc>
        <w:tc>
          <w:tcPr>
            <w:tcW w:w="6080" w:type="dxa"/>
            <w:vAlign w:val="center"/>
          </w:tcPr>
          <w:p w14:paraId="6BD7A36A" w14:textId="77777777" w:rsidR="00A052DC" w:rsidRDefault="009F0A60">
            <w:pPr>
              <w:pStyle w:val="B"/>
            </w:pPr>
            <w:r>
              <w:rPr>
                <w:rFonts w:hint="eastAsia"/>
              </w:rPr>
              <w:t>业务发生后第一个工作日（</w:t>
            </w:r>
            <w:r>
              <w:t>T+1</w:t>
            </w:r>
            <w:r>
              <w:rPr>
                <w:rFonts w:hint="eastAsia"/>
              </w:rPr>
              <w:t>）中午</w:t>
            </w:r>
            <w:r>
              <w:t>12</w:t>
            </w:r>
            <w:r>
              <w:rPr>
                <w:rFonts w:hint="eastAsia"/>
              </w:rPr>
              <w:t>：</w:t>
            </w:r>
            <w:r>
              <w:t>00</w:t>
            </w:r>
            <w:r>
              <w:rPr>
                <w:rFonts w:hint="eastAsia"/>
              </w:rPr>
              <w:t>之前，将业务发生日的汇总数据报送至国家外汇管理局。</w:t>
            </w:r>
          </w:p>
        </w:tc>
      </w:tr>
    </w:tbl>
    <w:p w14:paraId="35D066CE" w14:textId="77777777" w:rsidR="00A052DC" w:rsidRDefault="009F0A60">
      <w:pPr>
        <w:pStyle w:val="3"/>
        <w:ind w:left="0"/>
        <w:rPr>
          <w:rFonts w:ascii="Times New Roman" w:hAnsi="Times New Roman"/>
        </w:rPr>
      </w:pPr>
      <w:bookmarkStart w:id="607" w:name="_Toc91455222"/>
      <w:bookmarkStart w:id="608" w:name="_Toc380356203"/>
      <w:bookmarkStart w:id="609" w:name="_Toc454386703"/>
      <w:bookmarkStart w:id="610" w:name="_Toc101684395"/>
      <w:r>
        <w:rPr>
          <w:rFonts w:ascii="Times New Roman" w:hAnsi="Times New Roman" w:hint="eastAsia"/>
        </w:rPr>
        <w:t>外汇账户内结售汇数据</w:t>
      </w:r>
      <w:bookmarkEnd w:id="607"/>
      <w:bookmarkEnd w:id="608"/>
      <w:bookmarkEnd w:id="609"/>
      <w:bookmarkEnd w:id="6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701"/>
        <w:gridCol w:w="6004"/>
      </w:tblGrid>
      <w:tr w:rsidR="00A052DC" w14:paraId="3A762BC8" w14:textId="77777777">
        <w:tc>
          <w:tcPr>
            <w:tcW w:w="817" w:type="dxa"/>
            <w:vAlign w:val="center"/>
          </w:tcPr>
          <w:p w14:paraId="1704ABA1" w14:textId="77777777" w:rsidR="00881462" w:rsidRDefault="009F0A60">
            <w:pPr>
              <w:pStyle w:val="B"/>
              <w:jc w:val="center"/>
            </w:pPr>
            <w:r>
              <w:t>1</w:t>
            </w:r>
          </w:p>
        </w:tc>
        <w:tc>
          <w:tcPr>
            <w:tcW w:w="1701" w:type="dxa"/>
            <w:vAlign w:val="center"/>
          </w:tcPr>
          <w:p w14:paraId="2938FB35" w14:textId="77777777" w:rsidR="00A052DC" w:rsidRDefault="009F0A60">
            <w:pPr>
              <w:pStyle w:val="B"/>
            </w:pPr>
            <w:r>
              <w:rPr>
                <w:rFonts w:hint="eastAsia"/>
              </w:rPr>
              <w:t>结汇申请书</w:t>
            </w:r>
            <w:r w:rsidR="00AE4602">
              <w:rPr>
                <w:rFonts w:hint="eastAsia"/>
              </w:rPr>
              <w:t>-</w:t>
            </w:r>
            <w:r>
              <w:rPr>
                <w:rFonts w:hint="eastAsia"/>
              </w:rPr>
              <w:t>基础信息</w:t>
            </w:r>
          </w:p>
        </w:tc>
        <w:tc>
          <w:tcPr>
            <w:tcW w:w="6004" w:type="dxa"/>
            <w:vAlign w:val="center"/>
          </w:tcPr>
          <w:p w14:paraId="0A09F12E" w14:textId="77777777" w:rsidR="00A052DC" w:rsidRDefault="009F0A60">
            <w:pPr>
              <w:pStyle w:val="B"/>
            </w:pPr>
            <w:r>
              <w:rPr>
                <w:rFonts w:hint="eastAsia"/>
              </w:rPr>
              <w:t>银行应于结汇发生日后第一个工作日中午</w:t>
            </w:r>
            <w:r>
              <w:t>12</w:t>
            </w:r>
            <w:r>
              <w:rPr>
                <w:rFonts w:hint="eastAsia"/>
              </w:rPr>
              <w:t>：</w:t>
            </w:r>
            <w:r>
              <w:t>00</w:t>
            </w:r>
            <w:r>
              <w:rPr>
                <w:rFonts w:hint="eastAsia"/>
              </w:rPr>
              <w:t>之前，将结汇申请书</w:t>
            </w:r>
            <w:r w:rsidR="00891512">
              <w:t>-</w:t>
            </w:r>
            <w:r>
              <w:rPr>
                <w:rFonts w:hint="eastAsia"/>
              </w:rPr>
              <w:t>基础信息报送至国家外汇管理局。</w:t>
            </w:r>
          </w:p>
        </w:tc>
      </w:tr>
      <w:tr w:rsidR="00A052DC" w14:paraId="6909035B" w14:textId="77777777">
        <w:tc>
          <w:tcPr>
            <w:tcW w:w="817" w:type="dxa"/>
            <w:vAlign w:val="center"/>
          </w:tcPr>
          <w:p w14:paraId="627A68BA" w14:textId="77777777" w:rsidR="00881462" w:rsidRDefault="009F0A60">
            <w:pPr>
              <w:pStyle w:val="B"/>
              <w:jc w:val="center"/>
            </w:pPr>
            <w:r>
              <w:t>2</w:t>
            </w:r>
          </w:p>
        </w:tc>
        <w:tc>
          <w:tcPr>
            <w:tcW w:w="1701" w:type="dxa"/>
            <w:vAlign w:val="center"/>
          </w:tcPr>
          <w:p w14:paraId="0D1095F1" w14:textId="77777777" w:rsidR="00A052DC" w:rsidRDefault="009F0A60">
            <w:pPr>
              <w:pStyle w:val="B"/>
            </w:pPr>
            <w:r>
              <w:rPr>
                <w:rFonts w:hint="eastAsia"/>
              </w:rPr>
              <w:t>结汇申请书</w:t>
            </w:r>
            <w:r w:rsidR="00AE4602">
              <w:rPr>
                <w:rFonts w:hint="eastAsia"/>
              </w:rPr>
              <w:t>-</w:t>
            </w:r>
            <w:r>
              <w:rPr>
                <w:rFonts w:hint="eastAsia"/>
              </w:rPr>
              <w:t>管理信息</w:t>
            </w:r>
          </w:p>
        </w:tc>
        <w:tc>
          <w:tcPr>
            <w:tcW w:w="6004" w:type="dxa"/>
            <w:vAlign w:val="center"/>
          </w:tcPr>
          <w:p w14:paraId="50550761" w14:textId="77777777" w:rsidR="00A052DC" w:rsidRDefault="009F0A60">
            <w:pPr>
              <w:pStyle w:val="B"/>
            </w:pPr>
            <w:r>
              <w:rPr>
                <w:rFonts w:hint="eastAsia"/>
              </w:rPr>
              <w:t>采用接口方式导入结汇管理信息的银行应于接到客户提供管理信息的当日进行审核，将结汇管理信息于下一个工作日中午</w:t>
            </w:r>
            <w:r>
              <w:t>12</w:t>
            </w:r>
            <w:r>
              <w:rPr>
                <w:rFonts w:hint="eastAsia"/>
              </w:rPr>
              <w:t>：</w:t>
            </w:r>
            <w:r>
              <w:t>00</w:t>
            </w:r>
            <w:r>
              <w:rPr>
                <w:rFonts w:hint="eastAsia"/>
              </w:rPr>
              <w:t>之前报送国家外汇管理局。</w:t>
            </w:r>
          </w:p>
        </w:tc>
      </w:tr>
      <w:tr w:rsidR="00A052DC" w14:paraId="7F57A5D1" w14:textId="77777777">
        <w:tc>
          <w:tcPr>
            <w:tcW w:w="817" w:type="dxa"/>
            <w:vAlign w:val="center"/>
          </w:tcPr>
          <w:p w14:paraId="19D2A236" w14:textId="77777777" w:rsidR="00881462" w:rsidRDefault="009F0A60">
            <w:pPr>
              <w:pStyle w:val="B"/>
              <w:jc w:val="center"/>
            </w:pPr>
            <w:r>
              <w:t>3</w:t>
            </w:r>
          </w:p>
        </w:tc>
        <w:tc>
          <w:tcPr>
            <w:tcW w:w="1701" w:type="dxa"/>
            <w:vAlign w:val="center"/>
          </w:tcPr>
          <w:p w14:paraId="40A5B787" w14:textId="77777777" w:rsidR="00A052DC" w:rsidRDefault="009F0A60">
            <w:pPr>
              <w:pStyle w:val="B"/>
            </w:pPr>
            <w:r>
              <w:rPr>
                <w:rFonts w:hint="eastAsia"/>
              </w:rPr>
              <w:t>购汇申请书</w:t>
            </w:r>
            <w:r w:rsidR="00AE4602">
              <w:rPr>
                <w:rFonts w:hint="eastAsia"/>
              </w:rPr>
              <w:t>-</w:t>
            </w:r>
            <w:r>
              <w:rPr>
                <w:rFonts w:hint="eastAsia"/>
              </w:rPr>
              <w:t>基础信息</w:t>
            </w:r>
          </w:p>
        </w:tc>
        <w:tc>
          <w:tcPr>
            <w:tcW w:w="6004" w:type="dxa"/>
            <w:vAlign w:val="center"/>
          </w:tcPr>
          <w:p w14:paraId="307E7B94" w14:textId="77777777" w:rsidR="00A052DC" w:rsidRDefault="009F0A60">
            <w:pPr>
              <w:pStyle w:val="B"/>
            </w:pPr>
            <w:r>
              <w:rPr>
                <w:rFonts w:hint="eastAsia"/>
              </w:rPr>
              <w:t>银行应于购汇发生日后第一个工作日中午</w:t>
            </w:r>
            <w:r>
              <w:t>12</w:t>
            </w:r>
            <w:r>
              <w:rPr>
                <w:rFonts w:hint="eastAsia"/>
              </w:rPr>
              <w:t>：</w:t>
            </w:r>
            <w:r>
              <w:t>00</w:t>
            </w:r>
            <w:r>
              <w:rPr>
                <w:rFonts w:hint="eastAsia"/>
              </w:rPr>
              <w:t>之前，将购汇申请书</w:t>
            </w:r>
            <w:r w:rsidR="00891512">
              <w:t>-</w:t>
            </w:r>
            <w:r>
              <w:rPr>
                <w:rFonts w:hint="eastAsia"/>
              </w:rPr>
              <w:t>基础信息报送至国家外汇管理局。</w:t>
            </w:r>
          </w:p>
        </w:tc>
      </w:tr>
      <w:tr w:rsidR="00A052DC" w14:paraId="1A19215F" w14:textId="77777777">
        <w:tc>
          <w:tcPr>
            <w:tcW w:w="817" w:type="dxa"/>
            <w:vAlign w:val="center"/>
          </w:tcPr>
          <w:p w14:paraId="608146F3" w14:textId="77777777" w:rsidR="00881462" w:rsidRDefault="009F0A60">
            <w:pPr>
              <w:pStyle w:val="B"/>
              <w:jc w:val="center"/>
            </w:pPr>
            <w:r>
              <w:t>4</w:t>
            </w:r>
          </w:p>
        </w:tc>
        <w:tc>
          <w:tcPr>
            <w:tcW w:w="1701" w:type="dxa"/>
            <w:vAlign w:val="center"/>
          </w:tcPr>
          <w:p w14:paraId="5A8BB437" w14:textId="77777777" w:rsidR="00A052DC" w:rsidRDefault="009F0A60">
            <w:pPr>
              <w:pStyle w:val="B"/>
            </w:pPr>
            <w:r>
              <w:rPr>
                <w:rFonts w:hint="eastAsia"/>
              </w:rPr>
              <w:t>购汇申请书</w:t>
            </w:r>
            <w:r w:rsidR="00AE4602">
              <w:rPr>
                <w:rFonts w:hint="eastAsia"/>
              </w:rPr>
              <w:t>-</w:t>
            </w:r>
            <w:r>
              <w:rPr>
                <w:rFonts w:hint="eastAsia"/>
              </w:rPr>
              <w:t>管理信息</w:t>
            </w:r>
          </w:p>
        </w:tc>
        <w:tc>
          <w:tcPr>
            <w:tcW w:w="6004" w:type="dxa"/>
            <w:vAlign w:val="center"/>
          </w:tcPr>
          <w:p w14:paraId="3C8D76F3" w14:textId="77777777" w:rsidR="00A052DC" w:rsidRDefault="009F0A60">
            <w:pPr>
              <w:pStyle w:val="B"/>
            </w:pPr>
            <w:r>
              <w:rPr>
                <w:rFonts w:hint="eastAsia"/>
              </w:rPr>
              <w:t>采用接口方式导入购汇管理信息的银行应于接到客户提供管理信息的当日进行审核，将购汇管理信息于下一个工作日中午</w:t>
            </w:r>
            <w:r>
              <w:t>12</w:t>
            </w:r>
            <w:r>
              <w:rPr>
                <w:rFonts w:hint="eastAsia"/>
              </w:rPr>
              <w:t>：</w:t>
            </w:r>
            <w:r>
              <w:t>00</w:t>
            </w:r>
            <w:r>
              <w:rPr>
                <w:rFonts w:hint="eastAsia"/>
              </w:rPr>
              <w:t>之前报送国家外汇管理局。</w:t>
            </w:r>
          </w:p>
        </w:tc>
      </w:tr>
    </w:tbl>
    <w:p w14:paraId="5121EBDD" w14:textId="77777777" w:rsidR="00A052DC" w:rsidRDefault="009F0A60">
      <w:pPr>
        <w:pStyle w:val="3"/>
        <w:ind w:left="0"/>
        <w:rPr>
          <w:rFonts w:ascii="Times New Roman" w:hAnsi="Times New Roman"/>
        </w:rPr>
      </w:pPr>
      <w:bookmarkStart w:id="611" w:name="_Toc454464692"/>
      <w:bookmarkStart w:id="612" w:name="_Toc454394999"/>
      <w:bookmarkStart w:id="613" w:name="_Toc455152711"/>
      <w:bookmarkStart w:id="614" w:name="_Toc455167615"/>
      <w:bookmarkStart w:id="615" w:name="_Toc455156439"/>
      <w:bookmarkStart w:id="616" w:name="_Toc454386704"/>
      <w:bookmarkStart w:id="617" w:name="_Toc454454775"/>
      <w:bookmarkStart w:id="618" w:name="_Toc454378075"/>
      <w:bookmarkStart w:id="619" w:name="_Toc455163890"/>
      <w:bookmarkStart w:id="620" w:name="_Toc454780069"/>
      <w:bookmarkStart w:id="621" w:name="_Toc454386705"/>
      <w:bookmarkStart w:id="622" w:name="_Toc91455223"/>
      <w:bookmarkStart w:id="623" w:name="_Toc380356204"/>
      <w:bookmarkStart w:id="624" w:name="_Toc101684396"/>
      <w:bookmarkEnd w:id="611"/>
      <w:bookmarkEnd w:id="612"/>
      <w:bookmarkEnd w:id="613"/>
      <w:bookmarkEnd w:id="614"/>
      <w:bookmarkEnd w:id="615"/>
      <w:bookmarkEnd w:id="616"/>
      <w:bookmarkEnd w:id="617"/>
      <w:bookmarkEnd w:id="618"/>
      <w:bookmarkEnd w:id="619"/>
      <w:bookmarkEnd w:id="620"/>
      <w:r>
        <w:rPr>
          <w:rFonts w:ascii="Times New Roman" w:hAnsi="Times New Roman" w:hint="eastAsia"/>
        </w:rPr>
        <w:t>银行自身资本项目数据</w:t>
      </w:r>
      <w:bookmarkEnd w:id="621"/>
      <w:bookmarkEnd w:id="622"/>
      <w:bookmarkEnd w:id="623"/>
      <w:bookmarkEnd w:id="624"/>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038"/>
        <w:gridCol w:w="5956"/>
      </w:tblGrid>
      <w:tr w:rsidR="00A052DC" w14:paraId="7613F5B6" w14:textId="77777777" w:rsidTr="007C7B79">
        <w:tc>
          <w:tcPr>
            <w:tcW w:w="534" w:type="dxa"/>
            <w:vAlign w:val="center"/>
          </w:tcPr>
          <w:p w14:paraId="1D625986" w14:textId="77777777" w:rsidR="00881462" w:rsidRDefault="009F0A60">
            <w:pPr>
              <w:pStyle w:val="B"/>
              <w:jc w:val="center"/>
            </w:pPr>
            <w:r>
              <w:t>1</w:t>
            </w:r>
          </w:p>
        </w:tc>
        <w:tc>
          <w:tcPr>
            <w:tcW w:w="2038" w:type="dxa"/>
            <w:vAlign w:val="center"/>
          </w:tcPr>
          <w:p w14:paraId="61113428" w14:textId="77777777" w:rsidR="00A052DC" w:rsidRDefault="009F0A60">
            <w:pPr>
              <w:pStyle w:val="B"/>
            </w:pPr>
            <w:r>
              <w:rPr>
                <w:rFonts w:hint="eastAsia"/>
              </w:rPr>
              <w:t>外债</w:t>
            </w:r>
          </w:p>
        </w:tc>
        <w:tc>
          <w:tcPr>
            <w:tcW w:w="5956" w:type="dxa"/>
            <w:vAlign w:val="center"/>
          </w:tcPr>
          <w:p w14:paraId="6C0AD17F" w14:textId="77777777" w:rsidR="00A052DC" w:rsidRDefault="009F0A60">
            <w:pPr>
              <w:pStyle w:val="B"/>
            </w:pPr>
            <w:r>
              <w:rPr>
                <w:rFonts w:hint="eastAsia"/>
              </w:rPr>
              <w:t>业务发生后第一个工作日（</w:t>
            </w:r>
            <w:r>
              <w:t>T+1</w:t>
            </w:r>
            <w:r>
              <w:rPr>
                <w:rFonts w:hint="eastAsia"/>
              </w:rPr>
              <w:t>）中午</w:t>
            </w:r>
            <w:r>
              <w:t>12</w:t>
            </w:r>
            <w:r>
              <w:rPr>
                <w:rFonts w:hint="eastAsia"/>
              </w:rPr>
              <w:t>：</w:t>
            </w:r>
            <w:r>
              <w:t>00</w:t>
            </w:r>
            <w:r>
              <w:rPr>
                <w:rFonts w:hint="eastAsia"/>
              </w:rPr>
              <w:t>之前，将每笔业务数据报送至国家外汇管理局。</w:t>
            </w:r>
          </w:p>
        </w:tc>
      </w:tr>
      <w:tr w:rsidR="00A052DC" w14:paraId="1C231A56" w14:textId="77777777" w:rsidTr="007C7B79">
        <w:tc>
          <w:tcPr>
            <w:tcW w:w="534" w:type="dxa"/>
            <w:vAlign w:val="center"/>
          </w:tcPr>
          <w:p w14:paraId="76C63BA1" w14:textId="77777777" w:rsidR="00881462" w:rsidRDefault="009F0A60">
            <w:pPr>
              <w:pStyle w:val="B"/>
              <w:jc w:val="center"/>
            </w:pPr>
            <w:r>
              <w:t>2</w:t>
            </w:r>
          </w:p>
        </w:tc>
        <w:tc>
          <w:tcPr>
            <w:tcW w:w="2038" w:type="dxa"/>
            <w:vAlign w:val="center"/>
          </w:tcPr>
          <w:p w14:paraId="2DEA7AB6" w14:textId="77777777" w:rsidR="00A052DC" w:rsidRDefault="009F0A60">
            <w:pPr>
              <w:pStyle w:val="B"/>
            </w:pPr>
            <w:r>
              <w:rPr>
                <w:rFonts w:hint="eastAsia"/>
              </w:rPr>
              <w:t>对外担保</w:t>
            </w:r>
          </w:p>
        </w:tc>
        <w:tc>
          <w:tcPr>
            <w:tcW w:w="5956" w:type="dxa"/>
            <w:vAlign w:val="center"/>
          </w:tcPr>
          <w:p w14:paraId="17726F43" w14:textId="77777777" w:rsidR="00A052DC" w:rsidRDefault="009F0A60">
            <w:pPr>
              <w:pStyle w:val="B"/>
            </w:pPr>
            <w:r>
              <w:rPr>
                <w:rFonts w:hint="eastAsia"/>
              </w:rPr>
              <w:t>业务发生后第一个工作日（</w:t>
            </w:r>
            <w:r>
              <w:t>T+1</w:t>
            </w:r>
            <w:r>
              <w:rPr>
                <w:rFonts w:hint="eastAsia"/>
              </w:rPr>
              <w:t>）中午</w:t>
            </w:r>
            <w:r>
              <w:t>12</w:t>
            </w:r>
            <w:r>
              <w:rPr>
                <w:rFonts w:hint="eastAsia"/>
              </w:rPr>
              <w:t>：</w:t>
            </w:r>
            <w:r>
              <w:t>00</w:t>
            </w:r>
            <w:r>
              <w:rPr>
                <w:rFonts w:hint="eastAsia"/>
              </w:rPr>
              <w:t>之前，将每笔业务数据报送至国家外汇管理局。</w:t>
            </w:r>
          </w:p>
        </w:tc>
      </w:tr>
      <w:tr w:rsidR="00A052DC" w14:paraId="1923F831" w14:textId="77777777" w:rsidTr="007C7B79">
        <w:tc>
          <w:tcPr>
            <w:tcW w:w="534" w:type="dxa"/>
            <w:vAlign w:val="center"/>
          </w:tcPr>
          <w:p w14:paraId="09B6032D" w14:textId="77777777" w:rsidR="00881462" w:rsidRDefault="009F0A60">
            <w:pPr>
              <w:pStyle w:val="B"/>
              <w:jc w:val="center"/>
            </w:pPr>
            <w:r>
              <w:t>3</w:t>
            </w:r>
          </w:p>
        </w:tc>
        <w:tc>
          <w:tcPr>
            <w:tcW w:w="2038" w:type="dxa"/>
            <w:vAlign w:val="center"/>
          </w:tcPr>
          <w:p w14:paraId="26A49616" w14:textId="77777777" w:rsidR="00A052DC" w:rsidRDefault="009F0A60">
            <w:pPr>
              <w:pStyle w:val="B"/>
            </w:pPr>
            <w:r>
              <w:rPr>
                <w:rFonts w:hint="eastAsia"/>
              </w:rPr>
              <w:t>国内外汇贷款</w:t>
            </w:r>
          </w:p>
        </w:tc>
        <w:tc>
          <w:tcPr>
            <w:tcW w:w="5956" w:type="dxa"/>
            <w:vAlign w:val="center"/>
          </w:tcPr>
          <w:p w14:paraId="131EA170" w14:textId="77777777" w:rsidR="00A052DC" w:rsidRDefault="009F0A60">
            <w:pPr>
              <w:pStyle w:val="B"/>
            </w:pPr>
            <w:r>
              <w:rPr>
                <w:rFonts w:hint="eastAsia"/>
              </w:rPr>
              <w:t>业务发生后第一个工作日（</w:t>
            </w:r>
            <w:r>
              <w:t>T+1</w:t>
            </w:r>
            <w:r>
              <w:rPr>
                <w:rFonts w:hint="eastAsia"/>
              </w:rPr>
              <w:t>）中午</w:t>
            </w:r>
            <w:r>
              <w:t>12</w:t>
            </w:r>
            <w:r>
              <w:rPr>
                <w:rFonts w:hint="eastAsia"/>
              </w:rPr>
              <w:t>：</w:t>
            </w:r>
            <w:r>
              <w:t>00</w:t>
            </w:r>
            <w:r>
              <w:rPr>
                <w:rFonts w:hint="eastAsia"/>
              </w:rPr>
              <w:t>之前，将每笔业务数据报送至国家外汇管理局。</w:t>
            </w:r>
          </w:p>
        </w:tc>
      </w:tr>
      <w:tr w:rsidR="00A052DC" w14:paraId="7407B030" w14:textId="77777777" w:rsidTr="007C7B79">
        <w:tc>
          <w:tcPr>
            <w:tcW w:w="534" w:type="dxa"/>
            <w:vAlign w:val="center"/>
          </w:tcPr>
          <w:p w14:paraId="13F5339D" w14:textId="77777777" w:rsidR="00881462" w:rsidRDefault="009F0A60">
            <w:pPr>
              <w:pStyle w:val="B"/>
              <w:jc w:val="center"/>
            </w:pPr>
            <w:r>
              <w:t>4</w:t>
            </w:r>
          </w:p>
        </w:tc>
        <w:tc>
          <w:tcPr>
            <w:tcW w:w="2038" w:type="dxa"/>
            <w:vAlign w:val="center"/>
          </w:tcPr>
          <w:p w14:paraId="40C9D046" w14:textId="77777777" w:rsidR="00A052DC" w:rsidRDefault="009F0A60">
            <w:pPr>
              <w:pStyle w:val="B"/>
            </w:pPr>
            <w:r>
              <w:rPr>
                <w:rFonts w:hint="eastAsia"/>
              </w:rPr>
              <w:t>外保内贷</w:t>
            </w:r>
          </w:p>
        </w:tc>
        <w:tc>
          <w:tcPr>
            <w:tcW w:w="5956" w:type="dxa"/>
            <w:vAlign w:val="center"/>
          </w:tcPr>
          <w:p w14:paraId="1947D6CA" w14:textId="77777777" w:rsidR="00A052DC" w:rsidRDefault="009F0A60">
            <w:pPr>
              <w:pStyle w:val="B"/>
            </w:pPr>
            <w:r>
              <w:rPr>
                <w:rFonts w:hint="eastAsia"/>
              </w:rPr>
              <w:t>业务发生后第一个工作日（</w:t>
            </w:r>
            <w:r>
              <w:t>T+1</w:t>
            </w:r>
            <w:r>
              <w:rPr>
                <w:rFonts w:hint="eastAsia"/>
              </w:rPr>
              <w:t>）中午</w:t>
            </w:r>
            <w:r>
              <w:t>12</w:t>
            </w:r>
            <w:r>
              <w:rPr>
                <w:rFonts w:hint="eastAsia"/>
              </w:rPr>
              <w:t>：</w:t>
            </w:r>
            <w:r>
              <w:t>00</w:t>
            </w:r>
            <w:r>
              <w:rPr>
                <w:rFonts w:hint="eastAsia"/>
              </w:rPr>
              <w:t>之前，将每笔业务数据报送至国家外汇管理局。</w:t>
            </w:r>
          </w:p>
        </w:tc>
      </w:tr>
      <w:tr w:rsidR="00A052DC" w14:paraId="7F0EA65B" w14:textId="77777777" w:rsidTr="007C7B79">
        <w:tc>
          <w:tcPr>
            <w:tcW w:w="534" w:type="dxa"/>
            <w:vAlign w:val="center"/>
          </w:tcPr>
          <w:p w14:paraId="65FF131A" w14:textId="77777777" w:rsidR="00881462" w:rsidRDefault="009F0A60">
            <w:pPr>
              <w:pStyle w:val="B"/>
              <w:jc w:val="center"/>
            </w:pPr>
            <w:r>
              <w:t>5</w:t>
            </w:r>
          </w:p>
        </w:tc>
        <w:tc>
          <w:tcPr>
            <w:tcW w:w="2038" w:type="dxa"/>
            <w:vAlign w:val="center"/>
          </w:tcPr>
          <w:p w14:paraId="058CBB6B" w14:textId="77777777" w:rsidR="00A052DC" w:rsidRDefault="009F0A60">
            <w:pPr>
              <w:pStyle w:val="B"/>
            </w:pPr>
            <w:r>
              <w:rPr>
                <w:rFonts w:hint="eastAsia"/>
              </w:rPr>
              <w:t>外汇质押人民币贷款</w:t>
            </w:r>
          </w:p>
        </w:tc>
        <w:tc>
          <w:tcPr>
            <w:tcW w:w="5956" w:type="dxa"/>
            <w:vAlign w:val="center"/>
          </w:tcPr>
          <w:p w14:paraId="02FEABBA" w14:textId="77777777" w:rsidR="00A052DC" w:rsidRDefault="009F0A60">
            <w:pPr>
              <w:pStyle w:val="B"/>
            </w:pPr>
            <w:r>
              <w:rPr>
                <w:rFonts w:hint="eastAsia"/>
              </w:rPr>
              <w:t>每月第五个工作日中午</w:t>
            </w:r>
            <w:r>
              <w:t>12</w:t>
            </w:r>
            <w:r>
              <w:rPr>
                <w:rFonts w:hint="eastAsia"/>
              </w:rPr>
              <w:t>：</w:t>
            </w:r>
            <w:r>
              <w:t>00</w:t>
            </w:r>
            <w:r>
              <w:rPr>
                <w:rFonts w:hint="eastAsia"/>
              </w:rPr>
              <w:t>之前，将上月业务逐笔汇总数据信息报送至国家外汇管理局。</w:t>
            </w:r>
          </w:p>
        </w:tc>
      </w:tr>
      <w:tr w:rsidR="00A052DC" w14:paraId="4F2D8720" w14:textId="77777777" w:rsidTr="007C7B79">
        <w:tc>
          <w:tcPr>
            <w:tcW w:w="534" w:type="dxa"/>
            <w:vAlign w:val="center"/>
          </w:tcPr>
          <w:p w14:paraId="7010DC35" w14:textId="77777777" w:rsidR="00881462" w:rsidRDefault="009F0A60">
            <w:pPr>
              <w:pStyle w:val="B"/>
              <w:jc w:val="center"/>
            </w:pPr>
            <w:r>
              <w:t>6</w:t>
            </w:r>
          </w:p>
        </w:tc>
        <w:tc>
          <w:tcPr>
            <w:tcW w:w="2038" w:type="dxa"/>
            <w:vAlign w:val="center"/>
          </w:tcPr>
          <w:p w14:paraId="51DCC46E" w14:textId="77777777" w:rsidR="00A052DC" w:rsidRDefault="009F0A60">
            <w:pPr>
              <w:pStyle w:val="B"/>
            </w:pPr>
            <w:r>
              <w:rPr>
                <w:rFonts w:hint="eastAsia"/>
              </w:rPr>
              <w:t>商业银行人民币结构性存款业务签约信息</w:t>
            </w:r>
          </w:p>
        </w:tc>
        <w:tc>
          <w:tcPr>
            <w:tcW w:w="5956" w:type="dxa"/>
            <w:vAlign w:val="center"/>
          </w:tcPr>
          <w:p w14:paraId="1D688E73" w14:textId="77777777" w:rsidR="00A052DC" w:rsidRDefault="009F0A60">
            <w:pPr>
              <w:pStyle w:val="B"/>
            </w:pPr>
            <w:r>
              <w:rPr>
                <w:rFonts w:hint="eastAsia"/>
              </w:rPr>
              <w:t>每月第五个工作日中午</w:t>
            </w:r>
            <w:r>
              <w:t>12</w:t>
            </w:r>
            <w:r>
              <w:rPr>
                <w:rFonts w:hint="eastAsia"/>
              </w:rPr>
              <w:t>：</w:t>
            </w:r>
            <w:r>
              <w:t>00</w:t>
            </w:r>
            <w:r>
              <w:rPr>
                <w:rFonts w:hint="eastAsia"/>
              </w:rPr>
              <w:t>之前，将上月业务明细数据信息报送至国家外汇管理局。</w:t>
            </w:r>
          </w:p>
        </w:tc>
      </w:tr>
      <w:tr w:rsidR="00A052DC" w14:paraId="1B7047FE" w14:textId="77777777" w:rsidTr="007C7B79">
        <w:tc>
          <w:tcPr>
            <w:tcW w:w="534" w:type="dxa"/>
            <w:vAlign w:val="center"/>
          </w:tcPr>
          <w:p w14:paraId="20A5BD0E" w14:textId="77777777" w:rsidR="00881462" w:rsidRDefault="009F0A60">
            <w:pPr>
              <w:pStyle w:val="B"/>
              <w:jc w:val="center"/>
            </w:pPr>
            <w:r>
              <w:t>7</w:t>
            </w:r>
          </w:p>
        </w:tc>
        <w:tc>
          <w:tcPr>
            <w:tcW w:w="2038" w:type="dxa"/>
            <w:vAlign w:val="center"/>
          </w:tcPr>
          <w:p w14:paraId="1152812E" w14:textId="77777777" w:rsidR="00A052DC" w:rsidRDefault="009F0A60">
            <w:pPr>
              <w:pStyle w:val="B"/>
            </w:pPr>
            <w:r>
              <w:rPr>
                <w:rFonts w:hint="eastAsia"/>
              </w:rPr>
              <w:t>商业银行人民币结构性存款业务终止情况</w:t>
            </w:r>
          </w:p>
        </w:tc>
        <w:tc>
          <w:tcPr>
            <w:tcW w:w="5956" w:type="dxa"/>
            <w:vAlign w:val="center"/>
          </w:tcPr>
          <w:p w14:paraId="253272F1" w14:textId="77777777" w:rsidR="00A052DC" w:rsidRDefault="009F0A60">
            <w:pPr>
              <w:pStyle w:val="B"/>
            </w:pPr>
            <w:r>
              <w:rPr>
                <w:rFonts w:hint="eastAsia"/>
              </w:rPr>
              <w:t>每月第五个工作日中午</w:t>
            </w:r>
            <w:r>
              <w:t>12</w:t>
            </w:r>
            <w:r>
              <w:rPr>
                <w:rFonts w:hint="eastAsia"/>
              </w:rPr>
              <w:t>：</w:t>
            </w:r>
            <w:r>
              <w:t>00</w:t>
            </w:r>
            <w:r>
              <w:rPr>
                <w:rFonts w:hint="eastAsia"/>
              </w:rPr>
              <w:t>之前，将上月业务明细数据信息报送至国家外汇管理局。</w:t>
            </w:r>
          </w:p>
        </w:tc>
      </w:tr>
      <w:tr w:rsidR="00A052DC" w14:paraId="35C5DB53" w14:textId="77777777" w:rsidTr="007C7B79">
        <w:tc>
          <w:tcPr>
            <w:tcW w:w="534" w:type="dxa"/>
            <w:vAlign w:val="center"/>
          </w:tcPr>
          <w:p w14:paraId="3D8696D8" w14:textId="77777777" w:rsidR="00881462" w:rsidRDefault="009F0A60">
            <w:pPr>
              <w:pStyle w:val="B"/>
              <w:jc w:val="center"/>
            </w:pPr>
            <w:r>
              <w:t>8</w:t>
            </w:r>
          </w:p>
        </w:tc>
        <w:tc>
          <w:tcPr>
            <w:tcW w:w="2038" w:type="dxa"/>
            <w:vAlign w:val="center"/>
          </w:tcPr>
          <w:p w14:paraId="6F559F74" w14:textId="77777777" w:rsidR="00A052DC" w:rsidRDefault="009F0A60">
            <w:pPr>
              <w:pStyle w:val="B"/>
            </w:pPr>
            <w:r>
              <w:rPr>
                <w:rFonts w:hint="eastAsia"/>
              </w:rPr>
              <w:t>商业银行人民币结构性存款业务利息给付信息</w:t>
            </w:r>
          </w:p>
        </w:tc>
        <w:tc>
          <w:tcPr>
            <w:tcW w:w="5956" w:type="dxa"/>
            <w:vAlign w:val="center"/>
          </w:tcPr>
          <w:p w14:paraId="42D30DD1" w14:textId="77777777" w:rsidR="00A052DC" w:rsidRDefault="009F0A60">
            <w:pPr>
              <w:pStyle w:val="B"/>
            </w:pPr>
            <w:r>
              <w:rPr>
                <w:rFonts w:hint="eastAsia"/>
              </w:rPr>
              <w:t>每月第五个工作日中午</w:t>
            </w:r>
            <w:r>
              <w:t>12</w:t>
            </w:r>
            <w:r>
              <w:rPr>
                <w:rFonts w:hint="eastAsia"/>
              </w:rPr>
              <w:t>：</w:t>
            </w:r>
            <w:r>
              <w:t>00</w:t>
            </w:r>
            <w:r>
              <w:rPr>
                <w:rFonts w:hint="eastAsia"/>
              </w:rPr>
              <w:t>之前，将上月业务明细数据信息报送至国家外汇管理局。</w:t>
            </w:r>
          </w:p>
        </w:tc>
      </w:tr>
      <w:tr w:rsidR="00A052DC" w14:paraId="3D450539" w14:textId="77777777" w:rsidTr="007C7B79">
        <w:tc>
          <w:tcPr>
            <w:tcW w:w="534" w:type="dxa"/>
            <w:vAlign w:val="center"/>
          </w:tcPr>
          <w:p w14:paraId="027BD52D" w14:textId="77777777" w:rsidR="00881462" w:rsidRDefault="009F0A60">
            <w:pPr>
              <w:pStyle w:val="B"/>
              <w:jc w:val="center"/>
            </w:pPr>
            <w:r>
              <w:t>9</w:t>
            </w:r>
          </w:p>
        </w:tc>
        <w:tc>
          <w:tcPr>
            <w:tcW w:w="2038" w:type="dxa"/>
            <w:vAlign w:val="center"/>
          </w:tcPr>
          <w:p w14:paraId="63ADC08A" w14:textId="77777777" w:rsidR="00A052DC" w:rsidRDefault="009F0A60">
            <w:pPr>
              <w:pStyle w:val="B"/>
            </w:pPr>
            <w:r>
              <w:rPr>
                <w:rFonts w:hint="eastAsia"/>
              </w:rPr>
              <w:t>商业银行人民币结构性存款业务资金流出入和结购汇信息</w:t>
            </w:r>
          </w:p>
        </w:tc>
        <w:tc>
          <w:tcPr>
            <w:tcW w:w="5956" w:type="dxa"/>
            <w:vAlign w:val="center"/>
          </w:tcPr>
          <w:p w14:paraId="1BC059E2" w14:textId="77777777" w:rsidR="00A052DC" w:rsidRDefault="009F0A60">
            <w:pPr>
              <w:pStyle w:val="B"/>
            </w:pPr>
            <w:r>
              <w:rPr>
                <w:rFonts w:hint="eastAsia"/>
              </w:rPr>
              <w:t>每月第五个工作日中午</w:t>
            </w:r>
            <w:r>
              <w:t>12</w:t>
            </w:r>
            <w:r>
              <w:rPr>
                <w:rFonts w:hint="eastAsia"/>
              </w:rPr>
              <w:t>：</w:t>
            </w:r>
            <w:r>
              <w:t>00</w:t>
            </w:r>
            <w:r>
              <w:rPr>
                <w:rFonts w:hint="eastAsia"/>
              </w:rPr>
              <w:t>之前，将上月业务汇总数据信息报送至国家外汇管理局。</w:t>
            </w:r>
          </w:p>
        </w:tc>
      </w:tr>
      <w:tr w:rsidR="00A052DC" w14:paraId="71D22F71" w14:textId="77777777" w:rsidTr="007C7B79">
        <w:tc>
          <w:tcPr>
            <w:tcW w:w="534" w:type="dxa"/>
            <w:vAlign w:val="center"/>
          </w:tcPr>
          <w:p w14:paraId="1BE6388C" w14:textId="77777777" w:rsidR="00881462" w:rsidRDefault="009F0A60">
            <w:pPr>
              <w:pStyle w:val="B"/>
              <w:jc w:val="center"/>
            </w:pPr>
            <w:r>
              <w:t>10</w:t>
            </w:r>
          </w:p>
        </w:tc>
        <w:tc>
          <w:tcPr>
            <w:tcW w:w="2038" w:type="dxa"/>
            <w:vAlign w:val="center"/>
          </w:tcPr>
          <w:p w14:paraId="6A14085B" w14:textId="77777777" w:rsidR="00A052DC" w:rsidRDefault="009F0A60">
            <w:pPr>
              <w:pStyle w:val="B"/>
            </w:pPr>
            <w:r>
              <w:rPr>
                <w:rFonts w:hint="eastAsia"/>
              </w:rPr>
              <w:t>银行月度外汇资产负债信息</w:t>
            </w:r>
          </w:p>
        </w:tc>
        <w:tc>
          <w:tcPr>
            <w:tcW w:w="5956" w:type="dxa"/>
            <w:vAlign w:val="center"/>
          </w:tcPr>
          <w:p w14:paraId="1D917F6D" w14:textId="77777777" w:rsidR="00A052DC" w:rsidRDefault="009F0A60">
            <w:pPr>
              <w:pStyle w:val="B"/>
            </w:pPr>
            <w:r>
              <w:rPr>
                <w:rFonts w:hint="eastAsia"/>
              </w:rPr>
              <w:t>每月第十个工作日中午</w:t>
            </w:r>
            <w:r>
              <w:t>12</w:t>
            </w:r>
            <w:r>
              <w:rPr>
                <w:rFonts w:hint="eastAsia"/>
              </w:rPr>
              <w:t>：</w:t>
            </w:r>
            <w:r>
              <w:t>00</w:t>
            </w:r>
            <w:r>
              <w:rPr>
                <w:rFonts w:hint="eastAsia"/>
              </w:rPr>
              <w:t>之前，将上月数据信息报送至国家外汇管理局。</w:t>
            </w:r>
          </w:p>
        </w:tc>
      </w:tr>
    </w:tbl>
    <w:p w14:paraId="277300C2" w14:textId="77777777" w:rsidR="00A052DC" w:rsidRDefault="009F0A60">
      <w:pPr>
        <w:pStyle w:val="3"/>
        <w:ind w:left="0"/>
        <w:rPr>
          <w:rFonts w:ascii="Times New Roman" w:hAnsi="Times New Roman"/>
        </w:rPr>
      </w:pPr>
      <w:bookmarkStart w:id="625" w:name="_Toc454454777"/>
      <w:bookmarkStart w:id="626" w:name="_Toc455163892"/>
      <w:bookmarkStart w:id="627" w:name="_Toc454464694"/>
      <w:bookmarkStart w:id="628" w:name="_Toc454395001"/>
      <w:bookmarkStart w:id="629" w:name="_Toc454378077"/>
      <w:bookmarkStart w:id="630" w:name="_Toc455156441"/>
      <w:bookmarkStart w:id="631" w:name="_Toc454386706"/>
      <w:bookmarkStart w:id="632" w:name="_Toc454780071"/>
      <w:bookmarkStart w:id="633" w:name="_Toc455167617"/>
      <w:bookmarkStart w:id="634" w:name="_Toc455152713"/>
      <w:bookmarkStart w:id="635" w:name="_Toc91455224"/>
      <w:bookmarkStart w:id="636" w:name="_Toc380356205"/>
      <w:bookmarkStart w:id="637" w:name="_Toc454386707"/>
      <w:bookmarkStart w:id="638" w:name="_Toc101684397"/>
      <w:bookmarkEnd w:id="625"/>
      <w:bookmarkEnd w:id="626"/>
      <w:bookmarkEnd w:id="627"/>
      <w:bookmarkEnd w:id="628"/>
      <w:bookmarkEnd w:id="629"/>
      <w:bookmarkEnd w:id="630"/>
      <w:bookmarkEnd w:id="631"/>
      <w:bookmarkEnd w:id="632"/>
      <w:bookmarkEnd w:id="633"/>
      <w:bookmarkEnd w:id="634"/>
      <w:r>
        <w:rPr>
          <w:rFonts w:ascii="Times New Roman" w:hAnsi="Times New Roman" w:hint="eastAsia"/>
        </w:rPr>
        <w:t>银行代客业务数据</w:t>
      </w:r>
      <w:bookmarkEnd w:id="635"/>
      <w:bookmarkEnd w:id="636"/>
      <w:bookmarkEnd w:id="637"/>
      <w:bookmarkEnd w:id="638"/>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038"/>
        <w:gridCol w:w="5956"/>
      </w:tblGrid>
      <w:tr w:rsidR="00A052DC" w14:paraId="1A7CE098" w14:textId="77777777" w:rsidTr="007C7B79">
        <w:tc>
          <w:tcPr>
            <w:tcW w:w="534" w:type="dxa"/>
            <w:vAlign w:val="center"/>
          </w:tcPr>
          <w:p w14:paraId="01F0CBF3" w14:textId="77777777" w:rsidR="00A052DC" w:rsidRDefault="009F0A60">
            <w:pPr>
              <w:pStyle w:val="B"/>
            </w:pPr>
            <w:r>
              <w:rPr>
                <w:rFonts w:hint="eastAsia"/>
              </w:rPr>
              <w:t>1</w:t>
            </w:r>
          </w:p>
        </w:tc>
        <w:tc>
          <w:tcPr>
            <w:tcW w:w="2038" w:type="dxa"/>
            <w:vAlign w:val="center"/>
          </w:tcPr>
          <w:p w14:paraId="0DCCE8F8" w14:textId="77777777" w:rsidR="00A052DC" w:rsidRDefault="009F0A60">
            <w:pPr>
              <w:pStyle w:val="B"/>
            </w:pPr>
            <w:r>
              <w:rPr>
                <w:rFonts w:hint="eastAsia"/>
              </w:rPr>
              <w:t>境内个人参与境外上市公司股票激励计划境内专用外汇账户关户资金处置信息</w:t>
            </w:r>
          </w:p>
        </w:tc>
        <w:tc>
          <w:tcPr>
            <w:tcW w:w="5956" w:type="dxa"/>
            <w:vAlign w:val="center"/>
          </w:tcPr>
          <w:p w14:paraId="091234B6" w14:textId="77777777" w:rsidR="00A052DC" w:rsidRDefault="009F0A60">
            <w:pPr>
              <w:pStyle w:val="B"/>
            </w:pPr>
            <w:r>
              <w:rPr>
                <w:rFonts w:hint="eastAsia"/>
              </w:rPr>
              <w:t>每月第五个工作日中午</w:t>
            </w:r>
            <w:r>
              <w:t>12</w:t>
            </w:r>
            <w:r>
              <w:rPr>
                <w:rFonts w:hint="eastAsia"/>
              </w:rPr>
              <w:t>：</w:t>
            </w:r>
            <w:r>
              <w:t>00</w:t>
            </w:r>
            <w:r>
              <w:rPr>
                <w:rFonts w:hint="eastAsia"/>
              </w:rPr>
              <w:t>之前，将上月业务明细数据信息报送至国家外汇管理局。</w:t>
            </w:r>
          </w:p>
        </w:tc>
      </w:tr>
      <w:tr w:rsidR="00A052DC" w14:paraId="458F068D" w14:textId="77777777" w:rsidTr="007C7B79">
        <w:tc>
          <w:tcPr>
            <w:tcW w:w="534" w:type="dxa"/>
            <w:vAlign w:val="center"/>
          </w:tcPr>
          <w:p w14:paraId="43C0DCB8" w14:textId="77777777" w:rsidR="00A052DC" w:rsidRDefault="009F0A60">
            <w:pPr>
              <w:pStyle w:val="B"/>
            </w:pPr>
            <w:r>
              <w:rPr>
                <w:rFonts w:hint="eastAsia"/>
              </w:rPr>
              <w:t>2</w:t>
            </w:r>
          </w:p>
        </w:tc>
        <w:tc>
          <w:tcPr>
            <w:tcW w:w="2038" w:type="dxa"/>
            <w:vAlign w:val="center"/>
          </w:tcPr>
          <w:p w14:paraId="58E04CD8" w14:textId="77777777" w:rsidR="00A052DC" w:rsidRDefault="009F0A60">
            <w:pPr>
              <w:pStyle w:val="B"/>
            </w:pPr>
            <w:r>
              <w:rPr>
                <w:rFonts w:hint="eastAsia"/>
              </w:rPr>
              <w:t>境内个人参与境外上市公司股票激励计划境内专用外汇账户收支信息</w:t>
            </w:r>
          </w:p>
        </w:tc>
        <w:tc>
          <w:tcPr>
            <w:tcW w:w="5956" w:type="dxa"/>
            <w:vAlign w:val="center"/>
          </w:tcPr>
          <w:p w14:paraId="2FF0D7AE" w14:textId="77777777" w:rsidR="00A052DC" w:rsidRDefault="009F0A60">
            <w:pPr>
              <w:pStyle w:val="B"/>
            </w:pPr>
            <w:r>
              <w:rPr>
                <w:rFonts w:hint="eastAsia"/>
              </w:rPr>
              <w:t>每月第五个工作日中午</w:t>
            </w:r>
            <w:r>
              <w:t>12</w:t>
            </w:r>
            <w:r>
              <w:rPr>
                <w:rFonts w:hint="eastAsia"/>
              </w:rPr>
              <w:t>：</w:t>
            </w:r>
            <w:r>
              <w:t>00</w:t>
            </w:r>
            <w:r>
              <w:rPr>
                <w:rFonts w:hint="eastAsia"/>
              </w:rPr>
              <w:t>之前，将上月业务汇总数据信息报送至国家外汇管理局。</w:t>
            </w:r>
          </w:p>
        </w:tc>
      </w:tr>
    </w:tbl>
    <w:p w14:paraId="1AFB2EFC" w14:textId="77777777" w:rsidR="00A052DC" w:rsidRDefault="009F0A60">
      <w:pPr>
        <w:pStyle w:val="3"/>
        <w:ind w:left="0"/>
        <w:rPr>
          <w:rFonts w:ascii="Times New Roman" w:hAnsi="Times New Roman"/>
        </w:rPr>
      </w:pPr>
      <w:bookmarkStart w:id="639" w:name="_Toc454386708"/>
      <w:bookmarkStart w:id="640" w:name="_Toc455156443"/>
      <w:bookmarkStart w:id="641" w:name="_Toc455167619"/>
      <w:bookmarkStart w:id="642" w:name="_Toc455152715"/>
      <w:bookmarkStart w:id="643" w:name="_Toc454395003"/>
      <w:bookmarkStart w:id="644" w:name="_Toc454454779"/>
      <w:bookmarkStart w:id="645" w:name="_Toc454780073"/>
      <w:bookmarkStart w:id="646" w:name="_Toc454378079"/>
      <w:bookmarkStart w:id="647" w:name="_Toc454464696"/>
      <w:bookmarkStart w:id="648" w:name="_Toc455163894"/>
      <w:bookmarkStart w:id="649" w:name="_Toc91455225"/>
      <w:bookmarkStart w:id="650" w:name="_Toc454386709"/>
      <w:bookmarkStart w:id="651" w:name="_Toc380356206"/>
      <w:bookmarkStart w:id="652" w:name="_Toc101684398"/>
      <w:bookmarkEnd w:id="639"/>
      <w:bookmarkEnd w:id="640"/>
      <w:bookmarkEnd w:id="641"/>
      <w:bookmarkEnd w:id="642"/>
      <w:bookmarkEnd w:id="643"/>
      <w:bookmarkEnd w:id="644"/>
      <w:bookmarkEnd w:id="645"/>
      <w:bookmarkEnd w:id="646"/>
      <w:bookmarkEnd w:id="647"/>
      <w:bookmarkEnd w:id="648"/>
      <w:r>
        <w:rPr>
          <w:rFonts w:ascii="Times New Roman" w:hAnsi="Times New Roman" w:hint="eastAsia"/>
        </w:rPr>
        <w:t>对外金融资产负债及交易数据</w:t>
      </w:r>
      <w:bookmarkEnd w:id="649"/>
      <w:bookmarkEnd w:id="650"/>
      <w:bookmarkEnd w:id="651"/>
      <w:bookmarkEnd w:id="652"/>
    </w:p>
    <w:tbl>
      <w:tblPr>
        <w:tblW w:w="5000" w:type="pct"/>
        <w:tblBorders>
          <w:top w:val="single" w:sz="4" w:space="0" w:color="auto"/>
          <w:bottom w:val="single" w:sz="4" w:space="0" w:color="auto"/>
        </w:tblBorders>
        <w:tblLayout w:type="fixed"/>
        <w:tblLook w:val="04A0" w:firstRow="1" w:lastRow="0" w:firstColumn="1" w:lastColumn="0" w:noHBand="0" w:noVBand="1"/>
      </w:tblPr>
      <w:tblGrid>
        <w:gridCol w:w="534"/>
        <w:gridCol w:w="5771"/>
        <w:gridCol w:w="2217"/>
      </w:tblGrid>
      <w:tr w:rsidR="00A052DC" w14:paraId="6A88BAFC" w14:textId="77777777">
        <w:trPr>
          <w:trHeight w:val="284"/>
        </w:trPr>
        <w:tc>
          <w:tcPr>
            <w:tcW w:w="313" w:type="pct"/>
            <w:tcBorders>
              <w:top w:val="single" w:sz="2" w:space="0" w:color="auto"/>
              <w:left w:val="single" w:sz="4" w:space="0" w:color="auto"/>
              <w:bottom w:val="single" w:sz="2" w:space="0" w:color="auto"/>
              <w:right w:val="single" w:sz="2" w:space="0" w:color="auto"/>
            </w:tcBorders>
            <w:vAlign w:val="center"/>
          </w:tcPr>
          <w:p w14:paraId="31463245" w14:textId="77777777" w:rsidR="00881462" w:rsidRDefault="009F0A60">
            <w:pPr>
              <w:pStyle w:val="B"/>
              <w:jc w:val="center"/>
            </w:pPr>
            <w:r>
              <w:t>1</w:t>
            </w:r>
          </w:p>
        </w:tc>
        <w:tc>
          <w:tcPr>
            <w:tcW w:w="3386" w:type="pct"/>
            <w:tcBorders>
              <w:top w:val="single" w:sz="2" w:space="0" w:color="auto"/>
              <w:left w:val="single" w:sz="2" w:space="0" w:color="auto"/>
              <w:bottom w:val="single" w:sz="2" w:space="0" w:color="auto"/>
              <w:right w:val="single" w:sz="2" w:space="0" w:color="auto"/>
            </w:tcBorders>
          </w:tcPr>
          <w:p w14:paraId="6D0347CC" w14:textId="77777777" w:rsidR="00A052DC" w:rsidRDefault="009F0A60">
            <w:pPr>
              <w:pStyle w:val="B"/>
            </w:pPr>
            <w:r>
              <w:t>Z01</w:t>
            </w:r>
            <w:r>
              <w:rPr>
                <w:rFonts w:hint="eastAsia"/>
              </w:rPr>
              <w:t>表：单位基本情况信息</w:t>
            </w:r>
          </w:p>
        </w:tc>
        <w:tc>
          <w:tcPr>
            <w:tcW w:w="1301" w:type="pct"/>
            <w:tcBorders>
              <w:top w:val="single" w:sz="2" w:space="0" w:color="auto"/>
              <w:left w:val="single" w:sz="2" w:space="0" w:color="auto"/>
              <w:bottom w:val="single" w:sz="2" w:space="0" w:color="auto"/>
              <w:right w:val="single" w:sz="2" w:space="0" w:color="auto"/>
            </w:tcBorders>
            <w:vAlign w:val="center"/>
          </w:tcPr>
          <w:p w14:paraId="31E648EF" w14:textId="77777777" w:rsidR="00A052DC" w:rsidRDefault="009F0A60">
            <w:pPr>
              <w:pStyle w:val="B"/>
            </w:pPr>
            <w:r>
              <w:rPr>
                <w:rFonts w:hint="eastAsia"/>
              </w:rPr>
              <w:t>月后</w:t>
            </w:r>
            <w:r>
              <w:t>10</w:t>
            </w:r>
            <w:r>
              <w:rPr>
                <w:rFonts w:hint="eastAsia"/>
              </w:rPr>
              <w:t>日内报送</w:t>
            </w:r>
          </w:p>
        </w:tc>
      </w:tr>
      <w:tr w:rsidR="00A052DC" w14:paraId="1280D8E3" w14:textId="77777777">
        <w:trPr>
          <w:trHeight w:val="284"/>
        </w:trPr>
        <w:tc>
          <w:tcPr>
            <w:tcW w:w="313" w:type="pct"/>
            <w:tcBorders>
              <w:top w:val="single" w:sz="2" w:space="0" w:color="auto"/>
              <w:left w:val="single" w:sz="4" w:space="0" w:color="auto"/>
              <w:bottom w:val="single" w:sz="2" w:space="0" w:color="auto"/>
              <w:right w:val="single" w:sz="2" w:space="0" w:color="auto"/>
            </w:tcBorders>
            <w:vAlign w:val="center"/>
          </w:tcPr>
          <w:p w14:paraId="1A7A3E4D" w14:textId="77777777" w:rsidR="00881462" w:rsidRDefault="009F0A60">
            <w:pPr>
              <w:pStyle w:val="B"/>
              <w:jc w:val="center"/>
            </w:pPr>
            <w:r>
              <w:t>2</w:t>
            </w:r>
          </w:p>
        </w:tc>
        <w:tc>
          <w:tcPr>
            <w:tcW w:w="3386" w:type="pct"/>
            <w:tcBorders>
              <w:top w:val="single" w:sz="2" w:space="0" w:color="auto"/>
              <w:left w:val="single" w:sz="2" w:space="0" w:color="auto"/>
              <w:bottom w:val="single" w:sz="2" w:space="0" w:color="auto"/>
              <w:right w:val="single" w:sz="2" w:space="0" w:color="auto"/>
            </w:tcBorders>
          </w:tcPr>
          <w:p w14:paraId="5EB4C0E6" w14:textId="77777777" w:rsidR="00A052DC" w:rsidRDefault="009F0A60">
            <w:pPr>
              <w:pStyle w:val="B"/>
            </w:pPr>
            <w:r>
              <w:t>Z02</w:t>
            </w:r>
            <w:r>
              <w:rPr>
                <w:rFonts w:hint="eastAsia"/>
              </w:rPr>
              <w:t>表：业务概览及联系方式</w:t>
            </w:r>
          </w:p>
        </w:tc>
        <w:tc>
          <w:tcPr>
            <w:tcW w:w="1301" w:type="pct"/>
            <w:tcBorders>
              <w:top w:val="single" w:sz="2" w:space="0" w:color="auto"/>
              <w:left w:val="single" w:sz="2" w:space="0" w:color="auto"/>
              <w:bottom w:val="single" w:sz="2" w:space="0" w:color="auto"/>
              <w:right w:val="single" w:sz="4" w:space="0" w:color="auto"/>
            </w:tcBorders>
            <w:vAlign w:val="center"/>
          </w:tcPr>
          <w:p w14:paraId="575928D8" w14:textId="77777777" w:rsidR="00A052DC" w:rsidRDefault="009F0A60">
            <w:pPr>
              <w:pStyle w:val="B"/>
            </w:pPr>
            <w:r>
              <w:rPr>
                <w:rFonts w:hint="eastAsia"/>
              </w:rPr>
              <w:t>月后</w:t>
            </w:r>
            <w:r>
              <w:t>10</w:t>
            </w:r>
            <w:r>
              <w:rPr>
                <w:rFonts w:hint="eastAsia"/>
              </w:rPr>
              <w:t>日内报送</w:t>
            </w:r>
          </w:p>
        </w:tc>
      </w:tr>
      <w:tr w:rsidR="00A052DC" w14:paraId="2047E919" w14:textId="77777777">
        <w:trPr>
          <w:trHeight w:val="284"/>
        </w:trPr>
        <w:tc>
          <w:tcPr>
            <w:tcW w:w="313" w:type="pct"/>
            <w:tcBorders>
              <w:top w:val="single" w:sz="2" w:space="0" w:color="auto"/>
              <w:left w:val="single" w:sz="4" w:space="0" w:color="auto"/>
              <w:bottom w:val="single" w:sz="2" w:space="0" w:color="auto"/>
              <w:right w:val="single" w:sz="2" w:space="0" w:color="auto"/>
            </w:tcBorders>
            <w:vAlign w:val="center"/>
          </w:tcPr>
          <w:p w14:paraId="740D3DF3" w14:textId="77777777" w:rsidR="00881462" w:rsidRDefault="009F0A60">
            <w:pPr>
              <w:pStyle w:val="B"/>
              <w:jc w:val="center"/>
            </w:pPr>
            <w:r>
              <w:t>3</w:t>
            </w:r>
          </w:p>
        </w:tc>
        <w:tc>
          <w:tcPr>
            <w:tcW w:w="3386" w:type="pct"/>
            <w:tcBorders>
              <w:top w:val="single" w:sz="2" w:space="0" w:color="auto"/>
              <w:left w:val="single" w:sz="2" w:space="0" w:color="auto"/>
              <w:bottom w:val="single" w:sz="2" w:space="0" w:color="auto"/>
              <w:right w:val="single" w:sz="2" w:space="0" w:color="auto"/>
            </w:tcBorders>
          </w:tcPr>
          <w:p w14:paraId="3B0E8A0A" w14:textId="77777777" w:rsidR="00A052DC" w:rsidRDefault="009F0A60">
            <w:pPr>
              <w:pStyle w:val="B"/>
            </w:pPr>
            <w:r>
              <w:t>Z03</w:t>
            </w:r>
            <w:r>
              <w:rPr>
                <w:rFonts w:hint="eastAsia"/>
              </w:rPr>
              <w:t>表：投资关系（组织架构）</w:t>
            </w:r>
          </w:p>
        </w:tc>
        <w:tc>
          <w:tcPr>
            <w:tcW w:w="1301" w:type="pct"/>
            <w:tcBorders>
              <w:top w:val="single" w:sz="2" w:space="0" w:color="auto"/>
              <w:left w:val="single" w:sz="2" w:space="0" w:color="auto"/>
              <w:bottom w:val="single" w:sz="2" w:space="0" w:color="auto"/>
              <w:right w:val="single" w:sz="4" w:space="0" w:color="auto"/>
            </w:tcBorders>
            <w:vAlign w:val="center"/>
          </w:tcPr>
          <w:p w14:paraId="37D277BA" w14:textId="77777777" w:rsidR="00A052DC" w:rsidRDefault="009F0A60">
            <w:pPr>
              <w:pStyle w:val="B"/>
            </w:pPr>
            <w:r>
              <w:rPr>
                <w:rFonts w:hint="eastAsia"/>
              </w:rPr>
              <w:t>月后</w:t>
            </w:r>
            <w:r>
              <w:t>10</w:t>
            </w:r>
            <w:r>
              <w:rPr>
                <w:rFonts w:hint="eastAsia"/>
              </w:rPr>
              <w:t>日内报送</w:t>
            </w:r>
          </w:p>
        </w:tc>
      </w:tr>
      <w:tr w:rsidR="00A052DC" w14:paraId="1F2A25B5" w14:textId="77777777">
        <w:trPr>
          <w:trHeight w:val="284"/>
        </w:trPr>
        <w:tc>
          <w:tcPr>
            <w:tcW w:w="313" w:type="pct"/>
            <w:tcBorders>
              <w:top w:val="single" w:sz="2" w:space="0" w:color="auto"/>
              <w:left w:val="single" w:sz="4" w:space="0" w:color="auto"/>
              <w:bottom w:val="single" w:sz="2" w:space="0" w:color="auto"/>
              <w:right w:val="single" w:sz="2" w:space="0" w:color="auto"/>
            </w:tcBorders>
            <w:vAlign w:val="center"/>
          </w:tcPr>
          <w:p w14:paraId="01C62559" w14:textId="77777777" w:rsidR="00881462" w:rsidRDefault="009F0A60">
            <w:pPr>
              <w:pStyle w:val="B"/>
              <w:jc w:val="center"/>
            </w:pPr>
            <w:r>
              <w:t>4</w:t>
            </w:r>
          </w:p>
        </w:tc>
        <w:tc>
          <w:tcPr>
            <w:tcW w:w="3386" w:type="pct"/>
            <w:tcBorders>
              <w:top w:val="single" w:sz="2" w:space="0" w:color="auto"/>
              <w:left w:val="single" w:sz="2" w:space="0" w:color="auto"/>
              <w:bottom w:val="single" w:sz="2" w:space="0" w:color="auto"/>
              <w:right w:val="single" w:sz="2" w:space="0" w:color="auto"/>
            </w:tcBorders>
          </w:tcPr>
          <w:p w14:paraId="299382D4" w14:textId="77777777" w:rsidR="00A052DC" w:rsidRDefault="009F0A60">
            <w:pPr>
              <w:pStyle w:val="B"/>
            </w:pPr>
            <w:r>
              <w:t>A01-1</w:t>
            </w:r>
            <w:r>
              <w:rPr>
                <w:rFonts w:hint="eastAsia"/>
              </w:rPr>
              <w:t>表：对外直接投资（资产负债、利润及市值）</w:t>
            </w:r>
          </w:p>
        </w:tc>
        <w:tc>
          <w:tcPr>
            <w:tcW w:w="1301" w:type="pct"/>
            <w:tcBorders>
              <w:top w:val="single" w:sz="2" w:space="0" w:color="auto"/>
              <w:left w:val="single" w:sz="2" w:space="0" w:color="auto"/>
              <w:bottom w:val="single" w:sz="2" w:space="0" w:color="auto"/>
              <w:right w:val="single" w:sz="4" w:space="0" w:color="auto"/>
            </w:tcBorders>
            <w:vAlign w:val="center"/>
          </w:tcPr>
          <w:p w14:paraId="1B0EBB0A" w14:textId="77777777" w:rsidR="00A052DC" w:rsidRDefault="009F0A60">
            <w:pPr>
              <w:pStyle w:val="B"/>
            </w:pPr>
            <w:r>
              <w:rPr>
                <w:rFonts w:hint="eastAsia"/>
              </w:rPr>
              <w:t>月后</w:t>
            </w:r>
            <w:r>
              <w:t>10</w:t>
            </w:r>
            <w:r>
              <w:rPr>
                <w:rFonts w:hint="eastAsia"/>
              </w:rPr>
              <w:t>日内报送</w:t>
            </w:r>
          </w:p>
        </w:tc>
      </w:tr>
      <w:tr w:rsidR="00A052DC" w14:paraId="351BCD45" w14:textId="77777777">
        <w:trPr>
          <w:trHeight w:val="284"/>
        </w:trPr>
        <w:tc>
          <w:tcPr>
            <w:tcW w:w="313" w:type="pct"/>
            <w:tcBorders>
              <w:top w:val="single" w:sz="2" w:space="0" w:color="auto"/>
              <w:left w:val="single" w:sz="4" w:space="0" w:color="auto"/>
              <w:bottom w:val="single" w:sz="2" w:space="0" w:color="auto"/>
              <w:right w:val="single" w:sz="2" w:space="0" w:color="auto"/>
            </w:tcBorders>
            <w:vAlign w:val="center"/>
          </w:tcPr>
          <w:p w14:paraId="2EF557A3" w14:textId="77777777" w:rsidR="00881462" w:rsidRDefault="009F0A60">
            <w:pPr>
              <w:pStyle w:val="B"/>
              <w:jc w:val="center"/>
            </w:pPr>
            <w:r>
              <w:t>5</w:t>
            </w:r>
          </w:p>
        </w:tc>
        <w:tc>
          <w:tcPr>
            <w:tcW w:w="3386" w:type="pct"/>
            <w:tcBorders>
              <w:top w:val="single" w:sz="2" w:space="0" w:color="auto"/>
              <w:left w:val="single" w:sz="2" w:space="0" w:color="auto"/>
              <w:bottom w:val="single" w:sz="2" w:space="0" w:color="auto"/>
              <w:right w:val="single" w:sz="2" w:space="0" w:color="auto"/>
            </w:tcBorders>
          </w:tcPr>
          <w:p w14:paraId="152FDB9D" w14:textId="77777777" w:rsidR="00A052DC" w:rsidRDefault="009F0A60">
            <w:pPr>
              <w:pStyle w:val="B"/>
            </w:pPr>
            <w:r>
              <w:t>A01-2</w:t>
            </w:r>
            <w:r>
              <w:rPr>
                <w:rFonts w:hint="eastAsia"/>
              </w:rPr>
              <w:t>表：对外直接投资（流量）</w:t>
            </w:r>
          </w:p>
        </w:tc>
        <w:tc>
          <w:tcPr>
            <w:tcW w:w="1301" w:type="pct"/>
            <w:tcBorders>
              <w:top w:val="single" w:sz="2" w:space="0" w:color="auto"/>
              <w:left w:val="single" w:sz="2" w:space="0" w:color="auto"/>
              <w:bottom w:val="single" w:sz="2" w:space="0" w:color="auto"/>
              <w:right w:val="single" w:sz="4" w:space="0" w:color="auto"/>
            </w:tcBorders>
            <w:vAlign w:val="center"/>
          </w:tcPr>
          <w:p w14:paraId="6808CFE1" w14:textId="77777777" w:rsidR="00A052DC" w:rsidRDefault="009F0A60">
            <w:pPr>
              <w:pStyle w:val="B"/>
            </w:pPr>
            <w:r>
              <w:rPr>
                <w:rFonts w:hint="eastAsia"/>
              </w:rPr>
              <w:t>月后</w:t>
            </w:r>
            <w:r>
              <w:t>10</w:t>
            </w:r>
            <w:r>
              <w:rPr>
                <w:rFonts w:hint="eastAsia"/>
              </w:rPr>
              <w:t>日内报送</w:t>
            </w:r>
          </w:p>
        </w:tc>
      </w:tr>
      <w:tr w:rsidR="00A052DC" w14:paraId="6578EE54" w14:textId="77777777">
        <w:trPr>
          <w:trHeight w:val="284"/>
        </w:trPr>
        <w:tc>
          <w:tcPr>
            <w:tcW w:w="313" w:type="pct"/>
            <w:tcBorders>
              <w:top w:val="single" w:sz="2" w:space="0" w:color="auto"/>
              <w:left w:val="single" w:sz="4" w:space="0" w:color="auto"/>
              <w:bottom w:val="single" w:sz="2" w:space="0" w:color="auto"/>
              <w:right w:val="single" w:sz="2" w:space="0" w:color="auto"/>
            </w:tcBorders>
            <w:vAlign w:val="center"/>
          </w:tcPr>
          <w:p w14:paraId="069EA471" w14:textId="77777777" w:rsidR="00881462" w:rsidRDefault="009F0A60">
            <w:pPr>
              <w:pStyle w:val="B"/>
              <w:jc w:val="center"/>
            </w:pPr>
            <w:r>
              <w:t>6</w:t>
            </w:r>
          </w:p>
        </w:tc>
        <w:tc>
          <w:tcPr>
            <w:tcW w:w="3386" w:type="pct"/>
            <w:tcBorders>
              <w:top w:val="single" w:sz="2" w:space="0" w:color="auto"/>
              <w:left w:val="single" w:sz="2" w:space="0" w:color="auto"/>
              <w:bottom w:val="single" w:sz="2" w:space="0" w:color="auto"/>
              <w:right w:val="single" w:sz="2" w:space="0" w:color="auto"/>
            </w:tcBorders>
          </w:tcPr>
          <w:p w14:paraId="0F172466" w14:textId="77777777" w:rsidR="00A052DC" w:rsidRDefault="009F0A60">
            <w:pPr>
              <w:pStyle w:val="B"/>
            </w:pPr>
            <w:r>
              <w:t>A02-1</w:t>
            </w:r>
            <w:r>
              <w:rPr>
                <w:rFonts w:hint="eastAsia"/>
              </w:rPr>
              <w:t>表：来华直接投资（资产负债及利润）</w:t>
            </w:r>
          </w:p>
        </w:tc>
        <w:tc>
          <w:tcPr>
            <w:tcW w:w="1301" w:type="pct"/>
            <w:tcBorders>
              <w:top w:val="single" w:sz="2" w:space="0" w:color="auto"/>
              <w:left w:val="single" w:sz="2" w:space="0" w:color="auto"/>
              <w:bottom w:val="single" w:sz="2" w:space="0" w:color="auto"/>
              <w:right w:val="single" w:sz="4" w:space="0" w:color="auto"/>
            </w:tcBorders>
            <w:vAlign w:val="center"/>
          </w:tcPr>
          <w:p w14:paraId="05DC0A04" w14:textId="77777777" w:rsidR="00A052DC" w:rsidRDefault="009F0A60">
            <w:pPr>
              <w:pStyle w:val="B"/>
            </w:pPr>
            <w:r>
              <w:rPr>
                <w:rFonts w:hint="eastAsia"/>
              </w:rPr>
              <w:t>月后</w:t>
            </w:r>
            <w:r>
              <w:t>10</w:t>
            </w:r>
            <w:r>
              <w:rPr>
                <w:rFonts w:hint="eastAsia"/>
              </w:rPr>
              <w:t>日内报送</w:t>
            </w:r>
          </w:p>
        </w:tc>
      </w:tr>
      <w:tr w:rsidR="00A052DC" w14:paraId="0FED45ED" w14:textId="77777777">
        <w:trPr>
          <w:trHeight w:val="284"/>
        </w:trPr>
        <w:tc>
          <w:tcPr>
            <w:tcW w:w="313" w:type="pct"/>
            <w:tcBorders>
              <w:top w:val="single" w:sz="2" w:space="0" w:color="auto"/>
              <w:left w:val="single" w:sz="4" w:space="0" w:color="auto"/>
              <w:bottom w:val="single" w:sz="2" w:space="0" w:color="auto"/>
              <w:right w:val="single" w:sz="2" w:space="0" w:color="auto"/>
            </w:tcBorders>
            <w:vAlign w:val="center"/>
          </w:tcPr>
          <w:p w14:paraId="6B5BF32A" w14:textId="77777777" w:rsidR="00881462" w:rsidRDefault="009F0A60">
            <w:pPr>
              <w:pStyle w:val="B"/>
              <w:jc w:val="center"/>
            </w:pPr>
            <w:r>
              <w:t>7</w:t>
            </w:r>
          </w:p>
        </w:tc>
        <w:tc>
          <w:tcPr>
            <w:tcW w:w="3386" w:type="pct"/>
            <w:tcBorders>
              <w:top w:val="single" w:sz="2" w:space="0" w:color="auto"/>
              <w:left w:val="single" w:sz="2" w:space="0" w:color="auto"/>
              <w:bottom w:val="single" w:sz="2" w:space="0" w:color="auto"/>
              <w:right w:val="single" w:sz="2" w:space="0" w:color="auto"/>
            </w:tcBorders>
          </w:tcPr>
          <w:p w14:paraId="418C8C9E" w14:textId="77777777" w:rsidR="00A052DC" w:rsidRDefault="009F0A60">
            <w:pPr>
              <w:pStyle w:val="B"/>
            </w:pPr>
            <w:r>
              <w:t>A02-2</w:t>
            </w:r>
            <w:r>
              <w:rPr>
                <w:rFonts w:hint="eastAsia"/>
              </w:rPr>
              <w:t>表：来华直接投资（境外投资者持股情况）</w:t>
            </w:r>
          </w:p>
        </w:tc>
        <w:tc>
          <w:tcPr>
            <w:tcW w:w="1301" w:type="pct"/>
            <w:tcBorders>
              <w:top w:val="single" w:sz="2" w:space="0" w:color="auto"/>
              <w:left w:val="single" w:sz="2" w:space="0" w:color="auto"/>
              <w:bottom w:val="single" w:sz="2" w:space="0" w:color="auto"/>
              <w:right w:val="single" w:sz="4" w:space="0" w:color="auto"/>
            </w:tcBorders>
            <w:vAlign w:val="center"/>
          </w:tcPr>
          <w:p w14:paraId="47FB54B4" w14:textId="77777777" w:rsidR="00A052DC" w:rsidRDefault="009F0A60">
            <w:pPr>
              <w:pStyle w:val="B"/>
            </w:pPr>
            <w:r>
              <w:rPr>
                <w:rFonts w:hint="eastAsia"/>
              </w:rPr>
              <w:t>月后</w:t>
            </w:r>
            <w:r>
              <w:t>10</w:t>
            </w:r>
            <w:r>
              <w:rPr>
                <w:rFonts w:hint="eastAsia"/>
              </w:rPr>
              <w:t>日内报送</w:t>
            </w:r>
          </w:p>
        </w:tc>
      </w:tr>
      <w:tr w:rsidR="00A052DC" w14:paraId="30EEECA1" w14:textId="77777777">
        <w:trPr>
          <w:trHeight w:val="284"/>
        </w:trPr>
        <w:tc>
          <w:tcPr>
            <w:tcW w:w="313" w:type="pct"/>
            <w:tcBorders>
              <w:top w:val="single" w:sz="2" w:space="0" w:color="auto"/>
              <w:left w:val="single" w:sz="4" w:space="0" w:color="auto"/>
              <w:bottom w:val="single" w:sz="2" w:space="0" w:color="auto"/>
              <w:right w:val="single" w:sz="2" w:space="0" w:color="auto"/>
            </w:tcBorders>
            <w:vAlign w:val="center"/>
          </w:tcPr>
          <w:p w14:paraId="1CA041FB" w14:textId="77777777" w:rsidR="00881462" w:rsidRDefault="009F0A60">
            <w:pPr>
              <w:pStyle w:val="B"/>
              <w:jc w:val="center"/>
            </w:pPr>
            <w:r>
              <w:t>8</w:t>
            </w:r>
          </w:p>
        </w:tc>
        <w:tc>
          <w:tcPr>
            <w:tcW w:w="3386" w:type="pct"/>
            <w:tcBorders>
              <w:top w:val="single" w:sz="2" w:space="0" w:color="auto"/>
              <w:left w:val="single" w:sz="2" w:space="0" w:color="auto"/>
              <w:bottom w:val="single" w:sz="2" w:space="0" w:color="auto"/>
              <w:right w:val="single" w:sz="2" w:space="0" w:color="auto"/>
            </w:tcBorders>
          </w:tcPr>
          <w:p w14:paraId="4B100C74" w14:textId="77777777" w:rsidR="00A052DC" w:rsidRDefault="009F0A60">
            <w:pPr>
              <w:pStyle w:val="B"/>
            </w:pPr>
            <w:r>
              <w:t>A02-3</w:t>
            </w:r>
            <w:r>
              <w:rPr>
                <w:rFonts w:hint="eastAsia"/>
              </w:rPr>
              <w:t>表：来华直接投资（流量）</w:t>
            </w:r>
          </w:p>
        </w:tc>
        <w:tc>
          <w:tcPr>
            <w:tcW w:w="1301" w:type="pct"/>
            <w:tcBorders>
              <w:top w:val="single" w:sz="2" w:space="0" w:color="auto"/>
              <w:left w:val="single" w:sz="2" w:space="0" w:color="auto"/>
              <w:bottom w:val="single" w:sz="2" w:space="0" w:color="auto"/>
              <w:right w:val="single" w:sz="4" w:space="0" w:color="auto"/>
            </w:tcBorders>
            <w:vAlign w:val="center"/>
          </w:tcPr>
          <w:p w14:paraId="41BAA8EA" w14:textId="77777777" w:rsidR="00A052DC" w:rsidRDefault="009F0A60">
            <w:pPr>
              <w:pStyle w:val="B"/>
            </w:pPr>
            <w:r>
              <w:rPr>
                <w:rFonts w:hint="eastAsia"/>
              </w:rPr>
              <w:t>月后</w:t>
            </w:r>
            <w:r>
              <w:t>10</w:t>
            </w:r>
            <w:r>
              <w:rPr>
                <w:rFonts w:hint="eastAsia"/>
              </w:rPr>
              <w:t>日内报送</w:t>
            </w:r>
          </w:p>
        </w:tc>
      </w:tr>
      <w:tr w:rsidR="00A052DC" w14:paraId="30980D3C" w14:textId="77777777">
        <w:trPr>
          <w:trHeight w:val="284"/>
        </w:trPr>
        <w:tc>
          <w:tcPr>
            <w:tcW w:w="313" w:type="pct"/>
            <w:tcBorders>
              <w:top w:val="single" w:sz="2" w:space="0" w:color="auto"/>
              <w:left w:val="single" w:sz="4" w:space="0" w:color="auto"/>
              <w:bottom w:val="single" w:sz="2" w:space="0" w:color="auto"/>
              <w:right w:val="single" w:sz="2" w:space="0" w:color="auto"/>
            </w:tcBorders>
            <w:vAlign w:val="center"/>
          </w:tcPr>
          <w:p w14:paraId="58F8AB3D" w14:textId="77777777" w:rsidR="00881462" w:rsidRDefault="009F0A60">
            <w:pPr>
              <w:pStyle w:val="B"/>
              <w:jc w:val="center"/>
            </w:pPr>
            <w:r>
              <w:t>9</w:t>
            </w:r>
          </w:p>
        </w:tc>
        <w:tc>
          <w:tcPr>
            <w:tcW w:w="3386" w:type="pct"/>
            <w:tcBorders>
              <w:top w:val="single" w:sz="2" w:space="0" w:color="auto"/>
              <w:left w:val="single" w:sz="2" w:space="0" w:color="auto"/>
              <w:bottom w:val="single" w:sz="2" w:space="0" w:color="auto"/>
              <w:right w:val="single" w:sz="2" w:space="0" w:color="auto"/>
            </w:tcBorders>
          </w:tcPr>
          <w:p w14:paraId="56CE1954" w14:textId="77777777" w:rsidR="00A052DC" w:rsidRDefault="009F0A60">
            <w:pPr>
              <w:pStyle w:val="B"/>
            </w:pPr>
            <w:r>
              <w:t>B01</w:t>
            </w:r>
            <w:r>
              <w:rPr>
                <w:rFonts w:hint="eastAsia"/>
              </w:rPr>
              <w:t>表：投资境外股本证券和投资基金份额（资产）</w:t>
            </w:r>
          </w:p>
        </w:tc>
        <w:tc>
          <w:tcPr>
            <w:tcW w:w="1301" w:type="pct"/>
            <w:tcBorders>
              <w:top w:val="single" w:sz="2" w:space="0" w:color="auto"/>
              <w:left w:val="single" w:sz="2" w:space="0" w:color="auto"/>
              <w:bottom w:val="single" w:sz="2" w:space="0" w:color="auto"/>
              <w:right w:val="single" w:sz="4" w:space="0" w:color="auto"/>
            </w:tcBorders>
            <w:vAlign w:val="center"/>
          </w:tcPr>
          <w:p w14:paraId="3BAE8102" w14:textId="77777777" w:rsidR="00A052DC" w:rsidRDefault="009F0A60">
            <w:pPr>
              <w:pStyle w:val="B"/>
            </w:pPr>
            <w:r>
              <w:rPr>
                <w:rFonts w:hint="eastAsia"/>
              </w:rPr>
              <w:t>月后</w:t>
            </w:r>
            <w:r>
              <w:t>10</w:t>
            </w:r>
            <w:r>
              <w:rPr>
                <w:rFonts w:hint="eastAsia"/>
              </w:rPr>
              <w:t>日内报送</w:t>
            </w:r>
          </w:p>
        </w:tc>
      </w:tr>
      <w:tr w:rsidR="00A052DC" w14:paraId="1F8B15AE" w14:textId="77777777">
        <w:trPr>
          <w:trHeight w:val="284"/>
        </w:trPr>
        <w:tc>
          <w:tcPr>
            <w:tcW w:w="313" w:type="pct"/>
            <w:tcBorders>
              <w:top w:val="single" w:sz="2" w:space="0" w:color="auto"/>
              <w:left w:val="single" w:sz="4" w:space="0" w:color="auto"/>
              <w:bottom w:val="single" w:sz="2" w:space="0" w:color="auto"/>
              <w:right w:val="single" w:sz="2" w:space="0" w:color="auto"/>
            </w:tcBorders>
            <w:vAlign w:val="center"/>
          </w:tcPr>
          <w:p w14:paraId="544072AA" w14:textId="77777777" w:rsidR="00881462" w:rsidRDefault="009F0A60">
            <w:pPr>
              <w:pStyle w:val="B"/>
              <w:jc w:val="center"/>
            </w:pPr>
            <w:r>
              <w:t>10</w:t>
            </w:r>
          </w:p>
        </w:tc>
        <w:tc>
          <w:tcPr>
            <w:tcW w:w="3386" w:type="pct"/>
            <w:tcBorders>
              <w:top w:val="single" w:sz="2" w:space="0" w:color="auto"/>
              <w:left w:val="single" w:sz="2" w:space="0" w:color="auto"/>
              <w:bottom w:val="single" w:sz="2" w:space="0" w:color="auto"/>
              <w:right w:val="single" w:sz="2" w:space="0" w:color="auto"/>
            </w:tcBorders>
          </w:tcPr>
          <w:p w14:paraId="477BC29E" w14:textId="77777777" w:rsidR="00A052DC" w:rsidRDefault="009F0A60">
            <w:pPr>
              <w:pStyle w:val="B"/>
            </w:pPr>
            <w:r>
              <w:t>B02</w:t>
            </w:r>
            <w:r>
              <w:rPr>
                <w:rFonts w:hint="eastAsia"/>
              </w:rPr>
              <w:t>表：投资境外债务证券（资产）</w:t>
            </w:r>
          </w:p>
        </w:tc>
        <w:tc>
          <w:tcPr>
            <w:tcW w:w="1301" w:type="pct"/>
            <w:tcBorders>
              <w:top w:val="single" w:sz="2" w:space="0" w:color="auto"/>
              <w:left w:val="single" w:sz="2" w:space="0" w:color="auto"/>
              <w:bottom w:val="single" w:sz="2" w:space="0" w:color="auto"/>
              <w:right w:val="single" w:sz="4" w:space="0" w:color="auto"/>
            </w:tcBorders>
            <w:vAlign w:val="center"/>
          </w:tcPr>
          <w:p w14:paraId="71E5FF96" w14:textId="77777777" w:rsidR="00A052DC" w:rsidRDefault="009F0A60">
            <w:pPr>
              <w:pStyle w:val="B"/>
            </w:pPr>
            <w:r>
              <w:rPr>
                <w:rFonts w:hint="eastAsia"/>
              </w:rPr>
              <w:t>月后</w:t>
            </w:r>
            <w:r>
              <w:t>10</w:t>
            </w:r>
            <w:r>
              <w:rPr>
                <w:rFonts w:hint="eastAsia"/>
              </w:rPr>
              <w:t>日内报送</w:t>
            </w:r>
          </w:p>
        </w:tc>
      </w:tr>
      <w:tr w:rsidR="00A052DC" w14:paraId="53E02689" w14:textId="77777777">
        <w:trPr>
          <w:trHeight w:val="284"/>
        </w:trPr>
        <w:tc>
          <w:tcPr>
            <w:tcW w:w="313" w:type="pct"/>
            <w:tcBorders>
              <w:top w:val="single" w:sz="2" w:space="0" w:color="auto"/>
              <w:left w:val="single" w:sz="4" w:space="0" w:color="auto"/>
              <w:bottom w:val="single" w:sz="2" w:space="0" w:color="auto"/>
              <w:right w:val="single" w:sz="2" w:space="0" w:color="auto"/>
            </w:tcBorders>
            <w:vAlign w:val="center"/>
          </w:tcPr>
          <w:p w14:paraId="35CB752D" w14:textId="77777777" w:rsidR="00881462" w:rsidRDefault="009F0A60">
            <w:pPr>
              <w:pStyle w:val="B"/>
              <w:jc w:val="center"/>
            </w:pPr>
            <w:r>
              <w:t>11</w:t>
            </w:r>
          </w:p>
        </w:tc>
        <w:tc>
          <w:tcPr>
            <w:tcW w:w="3386" w:type="pct"/>
            <w:tcBorders>
              <w:top w:val="single" w:sz="2" w:space="0" w:color="auto"/>
              <w:left w:val="single" w:sz="2" w:space="0" w:color="auto"/>
              <w:bottom w:val="single" w:sz="2" w:space="0" w:color="auto"/>
              <w:right w:val="single" w:sz="2" w:space="0" w:color="auto"/>
            </w:tcBorders>
          </w:tcPr>
          <w:p w14:paraId="595B0554" w14:textId="77777777" w:rsidR="00A052DC" w:rsidRDefault="009F0A60">
            <w:pPr>
              <w:pStyle w:val="B"/>
            </w:pPr>
            <w:r>
              <w:t>B03</w:t>
            </w:r>
            <w:r>
              <w:rPr>
                <w:rFonts w:hint="eastAsia"/>
              </w:rPr>
              <w:t>表：投资非居民境内发行股本证券和债务证券（资产）</w:t>
            </w:r>
          </w:p>
        </w:tc>
        <w:tc>
          <w:tcPr>
            <w:tcW w:w="1301" w:type="pct"/>
            <w:tcBorders>
              <w:top w:val="single" w:sz="2" w:space="0" w:color="auto"/>
              <w:left w:val="single" w:sz="2" w:space="0" w:color="auto"/>
              <w:bottom w:val="single" w:sz="2" w:space="0" w:color="auto"/>
              <w:right w:val="single" w:sz="4" w:space="0" w:color="auto"/>
            </w:tcBorders>
            <w:vAlign w:val="center"/>
          </w:tcPr>
          <w:p w14:paraId="13E85A62" w14:textId="77777777" w:rsidR="00A052DC" w:rsidRDefault="009F0A60">
            <w:pPr>
              <w:pStyle w:val="B"/>
            </w:pPr>
            <w:r>
              <w:rPr>
                <w:rFonts w:hint="eastAsia"/>
              </w:rPr>
              <w:t>月后</w:t>
            </w:r>
            <w:r>
              <w:t>10</w:t>
            </w:r>
            <w:r>
              <w:rPr>
                <w:rFonts w:hint="eastAsia"/>
              </w:rPr>
              <w:t>日内报送</w:t>
            </w:r>
          </w:p>
        </w:tc>
      </w:tr>
      <w:tr w:rsidR="00A052DC" w14:paraId="57A49500" w14:textId="77777777">
        <w:trPr>
          <w:trHeight w:val="284"/>
        </w:trPr>
        <w:tc>
          <w:tcPr>
            <w:tcW w:w="313" w:type="pct"/>
            <w:tcBorders>
              <w:top w:val="single" w:sz="2" w:space="0" w:color="auto"/>
              <w:left w:val="single" w:sz="4" w:space="0" w:color="auto"/>
              <w:bottom w:val="single" w:sz="2" w:space="0" w:color="auto"/>
              <w:right w:val="single" w:sz="2" w:space="0" w:color="auto"/>
            </w:tcBorders>
            <w:vAlign w:val="center"/>
          </w:tcPr>
          <w:p w14:paraId="593333CE" w14:textId="77777777" w:rsidR="00881462" w:rsidRDefault="009F0A60">
            <w:pPr>
              <w:pStyle w:val="B"/>
              <w:jc w:val="center"/>
            </w:pPr>
            <w:r>
              <w:t>12</w:t>
            </w:r>
          </w:p>
        </w:tc>
        <w:tc>
          <w:tcPr>
            <w:tcW w:w="3386" w:type="pct"/>
            <w:tcBorders>
              <w:top w:val="single" w:sz="2" w:space="0" w:color="auto"/>
              <w:left w:val="single" w:sz="2" w:space="0" w:color="auto"/>
              <w:bottom w:val="single" w:sz="2" w:space="0" w:color="auto"/>
              <w:right w:val="single" w:sz="2" w:space="0" w:color="auto"/>
            </w:tcBorders>
          </w:tcPr>
          <w:p w14:paraId="1C573E1B" w14:textId="77777777" w:rsidR="00A052DC" w:rsidRDefault="009F0A60">
            <w:pPr>
              <w:pStyle w:val="B"/>
            </w:pPr>
            <w:r>
              <w:t>B04</w:t>
            </w:r>
            <w:r>
              <w:rPr>
                <w:rFonts w:hint="eastAsia"/>
              </w:rPr>
              <w:t>表：吸收境外股权和基金份额投资（负债）</w:t>
            </w:r>
          </w:p>
        </w:tc>
        <w:tc>
          <w:tcPr>
            <w:tcW w:w="1301" w:type="pct"/>
            <w:tcBorders>
              <w:top w:val="single" w:sz="2" w:space="0" w:color="auto"/>
              <w:left w:val="single" w:sz="2" w:space="0" w:color="auto"/>
              <w:bottom w:val="single" w:sz="2" w:space="0" w:color="auto"/>
              <w:right w:val="single" w:sz="4" w:space="0" w:color="auto"/>
            </w:tcBorders>
            <w:vAlign w:val="center"/>
          </w:tcPr>
          <w:p w14:paraId="59F6443C" w14:textId="77777777" w:rsidR="00A052DC" w:rsidRDefault="009F0A60">
            <w:pPr>
              <w:pStyle w:val="B"/>
            </w:pPr>
            <w:r>
              <w:rPr>
                <w:rFonts w:hint="eastAsia"/>
              </w:rPr>
              <w:t>月后</w:t>
            </w:r>
            <w:r>
              <w:t>10</w:t>
            </w:r>
            <w:r>
              <w:rPr>
                <w:rFonts w:hint="eastAsia"/>
              </w:rPr>
              <w:t>日内报送</w:t>
            </w:r>
          </w:p>
        </w:tc>
      </w:tr>
      <w:tr w:rsidR="00A052DC" w14:paraId="2C420CE6" w14:textId="77777777">
        <w:trPr>
          <w:trHeight w:val="284"/>
        </w:trPr>
        <w:tc>
          <w:tcPr>
            <w:tcW w:w="313" w:type="pct"/>
            <w:tcBorders>
              <w:top w:val="single" w:sz="2" w:space="0" w:color="auto"/>
              <w:left w:val="single" w:sz="4" w:space="0" w:color="auto"/>
              <w:bottom w:val="single" w:sz="2" w:space="0" w:color="auto"/>
              <w:right w:val="single" w:sz="2" w:space="0" w:color="auto"/>
            </w:tcBorders>
            <w:vAlign w:val="center"/>
          </w:tcPr>
          <w:p w14:paraId="5FF50DB8" w14:textId="77777777" w:rsidR="00881462" w:rsidRDefault="009F0A60">
            <w:pPr>
              <w:pStyle w:val="B"/>
              <w:jc w:val="center"/>
            </w:pPr>
            <w:r>
              <w:t>13</w:t>
            </w:r>
          </w:p>
        </w:tc>
        <w:tc>
          <w:tcPr>
            <w:tcW w:w="3386" w:type="pct"/>
            <w:tcBorders>
              <w:top w:val="single" w:sz="2" w:space="0" w:color="auto"/>
              <w:left w:val="single" w:sz="2" w:space="0" w:color="auto"/>
              <w:bottom w:val="single" w:sz="2" w:space="0" w:color="auto"/>
              <w:right w:val="single" w:sz="2" w:space="0" w:color="auto"/>
            </w:tcBorders>
          </w:tcPr>
          <w:p w14:paraId="571C3B30" w14:textId="77777777" w:rsidR="00A052DC" w:rsidRDefault="009F0A60">
            <w:pPr>
              <w:pStyle w:val="B"/>
            </w:pPr>
            <w:r>
              <w:t>B05</w:t>
            </w:r>
            <w:r>
              <w:rPr>
                <w:rFonts w:hint="eastAsia"/>
              </w:rPr>
              <w:t>表：境外发行债务证券（负债）</w:t>
            </w:r>
          </w:p>
        </w:tc>
        <w:tc>
          <w:tcPr>
            <w:tcW w:w="1301" w:type="pct"/>
            <w:tcBorders>
              <w:top w:val="single" w:sz="2" w:space="0" w:color="auto"/>
              <w:left w:val="single" w:sz="2" w:space="0" w:color="auto"/>
              <w:bottom w:val="single" w:sz="2" w:space="0" w:color="auto"/>
              <w:right w:val="single" w:sz="4" w:space="0" w:color="auto"/>
            </w:tcBorders>
            <w:vAlign w:val="center"/>
          </w:tcPr>
          <w:p w14:paraId="71177720" w14:textId="77777777" w:rsidR="00A052DC" w:rsidRDefault="009F0A60">
            <w:pPr>
              <w:pStyle w:val="B"/>
            </w:pPr>
            <w:r>
              <w:rPr>
                <w:rFonts w:hint="eastAsia"/>
              </w:rPr>
              <w:t>月后</w:t>
            </w:r>
            <w:r>
              <w:t>10</w:t>
            </w:r>
            <w:r>
              <w:rPr>
                <w:rFonts w:hint="eastAsia"/>
              </w:rPr>
              <w:t>日内报送</w:t>
            </w:r>
          </w:p>
        </w:tc>
      </w:tr>
      <w:tr w:rsidR="00A052DC" w14:paraId="1065127C" w14:textId="77777777">
        <w:trPr>
          <w:trHeight w:val="284"/>
        </w:trPr>
        <w:tc>
          <w:tcPr>
            <w:tcW w:w="313" w:type="pct"/>
            <w:tcBorders>
              <w:top w:val="single" w:sz="2" w:space="0" w:color="auto"/>
              <w:left w:val="single" w:sz="4" w:space="0" w:color="auto"/>
              <w:bottom w:val="single" w:sz="2" w:space="0" w:color="auto"/>
              <w:right w:val="single" w:sz="2" w:space="0" w:color="auto"/>
            </w:tcBorders>
            <w:vAlign w:val="center"/>
          </w:tcPr>
          <w:p w14:paraId="7CF59A35" w14:textId="77777777" w:rsidR="00881462" w:rsidRDefault="009F0A60">
            <w:pPr>
              <w:pStyle w:val="B"/>
              <w:jc w:val="center"/>
            </w:pPr>
            <w:r>
              <w:t>14</w:t>
            </w:r>
          </w:p>
        </w:tc>
        <w:tc>
          <w:tcPr>
            <w:tcW w:w="3386" w:type="pct"/>
            <w:tcBorders>
              <w:top w:val="single" w:sz="2" w:space="0" w:color="auto"/>
              <w:left w:val="single" w:sz="2" w:space="0" w:color="auto"/>
              <w:bottom w:val="single" w:sz="2" w:space="0" w:color="auto"/>
              <w:right w:val="single" w:sz="2" w:space="0" w:color="auto"/>
            </w:tcBorders>
          </w:tcPr>
          <w:p w14:paraId="7529EE78" w14:textId="77777777" w:rsidR="00A052DC" w:rsidRDefault="009F0A60">
            <w:pPr>
              <w:pStyle w:val="B"/>
            </w:pPr>
            <w:r>
              <w:t>B06</w:t>
            </w:r>
            <w:r>
              <w:rPr>
                <w:rFonts w:hint="eastAsia"/>
              </w:rPr>
              <w:t>表：非居民投资境内发行股本证券和债务证券（负债）</w:t>
            </w:r>
          </w:p>
        </w:tc>
        <w:tc>
          <w:tcPr>
            <w:tcW w:w="1301" w:type="pct"/>
            <w:tcBorders>
              <w:top w:val="single" w:sz="2" w:space="0" w:color="auto"/>
              <w:left w:val="single" w:sz="2" w:space="0" w:color="auto"/>
              <w:bottom w:val="single" w:sz="2" w:space="0" w:color="auto"/>
              <w:right w:val="single" w:sz="4" w:space="0" w:color="auto"/>
            </w:tcBorders>
            <w:vAlign w:val="center"/>
          </w:tcPr>
          <w:p w14:paraId="64AE5E50" w14:textId="77777777" w:rsidR="00A052DC" w:rsidRDefault="009F0A60">
            <w:pPr>
              <w:pStyle w:val="B"/>
            </w:pPr>
            <w:r>
              <w:rPr>
                <w:rFonts w:hint="eastAsia"/>
              </w:rPr>
              <w:t>月后</w:t>
            </w:r>
            <w:r>
              <w:t>10</w:t>
            </w:r>
            <w:r>
              <w:rPr>
                <w:rFonts w:hint="eastAsia"/>
              </w:rPr>
              <w:t>日内报送</w:t>
            </w:r>
          </w:p>
        </w:tc>
      </w:tr>
      <w:tr w:rsidR="00A052DC" w14:paraId="51DA028F" w14:textId="77777777">
        <w:trPr>
          <w:trHeight w:val="284"/>
        </w:trPr>
        <w:tc>
          <w:tcPr>
            <w:tcW w:w="313" w:type="pct"/>
            <w:tcBorders>
              <w:top w:val="single" w:sz="2" w:space="0" w:color="auto"/>
              <w:left w:val="single" w:sz="4" w:space="0" w:color="auto"/>
              <w:bottom w:val="single" w:sz="2" w:space="0" w:color="auto"/>
              <w:right w:val="single" w:sz="2" w:space="0" w:color="auto"/>
            </w:tcBorders>
            <w:vAlign w:val="center"/>
          </w:tcPr>
          <w:p w14:paraId="1082D659" w14:textId="77777777" w:rsidR="00881462" w:rsidRDefault="009F0A60">
            <w:pPr>
              <w:pStyle w:val="B"/>
              <w:jc w:val="center"/>
            </w:pPr>
            <w:r>
              <w:t>15</w:t>
            </w:r>
          </w:p>
        </w:tc>
        <w:tc>
          <w:tcPr>
            <w:tcW w:w="3386" w:type="pct"/>
            <w:tcBorders>
              <w:top w:val="single" w:sz="2" w:space="0" w:color="auto"/>
              <w:left w:val="single" w:sz="2" w:space="0" w:color="auto"/>
              <w:bottom w:val="single" w:sz="2" w:space="0" w:color="auto"/>
              <w:right w:val="single" w:sz="2" w:space="0" w:color="auto"/>
            </w:tcBorders>
          </w:tcPr>
          <w:p w14:paraId="0665C9C2" w14:textId="77777777" w:rsidR="00A052DC" w:rsidRDefault="009F0A60">
            <w:pPr>
              <w:pStyle w:val="B"/>
            </w:pPr>
            <w:r>
              <w:t>C01</w:t>
            </w:r>
            <w:r>
              <w:rPr>
                <w:rFonts w:hint="eastAsia"/>
              </w:rPr>
              <w:t>表：金融衍生产品及雇员认股权</w:t>
            </w:r>
          </w:p>
        </w:tc>
        <w:tc>
          <w:tcPr>
            <w:tcW w:w="1301" w:type="pct"/>
            <w:tcBorders>
              <w:top w:val="single" w:sz="2" w:space="0" w:color="auto"/>
              <w:left w:val="single" w:sz="2" w:space="0" w:color="auto"/>
              <w:bottom w:val="single" w:sz="2" w:space="0" w:color="auto"/>
              <w:right w:val="single" w:sz="4" w:space="0" w:color="auto"/>
            </w:tcBorders>
            <w:vAlign w:val="center"/>
          </w:tcPr>
          <w:p w14:paraId="09F9DE83" w14:textId="77777777" w:rsidR="00A052DC" w:rsidRDefault="009F0A60">
            <w:pPr>
              <w:pStyle w:val="B"/>
            </w:pPr>
            <w:r>
              <w:rPr>
                <w:rFonts w:hint="eastAsia"/>
              </w:rPr>
              <w:t>月后</w:t>
            </w:r>
            <w:r>
              <w:t>10</w:t>
            </w:r>
            <w:r>
              <w:rPr>
                <w:rFonts w:hint="eastAsia"/>
              </w:rPr>
              <w:t>日内报送</w:t>
            </w:r>
          </w:p>
        </w:tc>
      </w:tr>
      <w:tr w:rsidR="00A052DC" w14:paraId="40C23F7A" w14:textId="77777777">
        <w:trPr>
          <w:trHeight w:val="284"/>
        </w:trPr>
        <w:tc>
          <w:tcPr>
            <w:tcW w:w="313" w:type="pct"/>
            <w:tcBorders>
              <w:top w:val="single" w:sz="2" w:space="0" w:color="auto"/>
              <w:left w:val="single" w:sz="4" w:space="0" w:color="auto"/>
              <w:bottom w:val="single" w:sz="2" w:space="0" w:color="auto"/>
              <w:right w:val="single" w:sz="2" w:space="0" w:color="auto"/>
            </w:tcBorders>
            <w:vAlign w:val="center"/>
          </w:tcPr>
          <w:p w14:paraId="33A0FFEB" w14:textId="77777777" w:rsidR="00881462" w:rsidRDefault="009F0A60">
            <w:pPr>
              <w:pStyle w:val="B"/>
              <w:jc w:val="center"/>
            </w:pPr>
            <w:r>
              <w:t>16</w:t>
            </w:r>
          </w:p>
        </w:tc>
        <w:tc>
          <w:tcPr>
            <w:tcW w:w="3386" w:type="pct"/>
            <w:tcBorders>
              <w:top w:val="single" w:sz="2" w:space="0" w:color="auto"/>
              <w:left w:val="single" w:sz="2" w:space="0" w:color="auto"/>
              <w:bottom w:val="single" w:sz="2" w:space="0" w:color="auto"/>
              <w:right w:val="single" w:sz="2" w:space="0" w:color="auto"/>
            </w:tcBorders>
          </w:tcPr>
          <w:p w14:paraId="4286974A" w14:textId="77777777" w:rsidR="00A052DC" w:rsidRDefault="009F0A60">
            <w:pPr>
              <w:pStyle w:val="B"/>
            </w:pPr>
            <w:r>
              <w:t>D01</w:t>
            </w:r>
            <w:r>
              <w:rPr>
                <w:rFonts w:hint="eastAsia"/>
              </w:rPr>
              <w:t>表：货币与存款（含存放银行同业和联行）（资产）</w:t>
            </w:r>
          </w:p>
        </w:tc>
        <w:tc>
          <w:tcPr>
            <w:tcW w:w="1301" w:type="pct"/>
            <w:tcBorders>
              <w:top w:val="single" w:sz="2" w:space="0" w:color="auto"/>
              <w:left w:val="single" w:sz="2" w:space="0" w:color="auto"/>
              <w:bottom w:val="single" w:sz="2" w:space="0" w:color="auto"/>
              <w:right w:val="single" w:sz="4" w:space="0" w:color="auto"/>
            </w:tcBorders>
            <w:vAlign w:val="center"/>
          </w:tcPr>
          <w:p w14:paraId="4066BF36" w14:textId="77777777" w:rsidR="00A052DC" w:rsidRDefault="009F0A60">
            <w:pPr>
              <w:pStyle w:val="B"/>
            </w:pPr>
            <w:r>
              <w:rPr>
                <w:rFonts w:hint="eastAsia"/>
              </w:rPr>
              <w:t>月后</w:t>
            </w:r>
            <w:r>
              <w:t>10</w:t>
            </w:r>
            <w:r>
              <w:rPr>
                <w:rFonts w:hint="eastAsia"/>
              </w:rPr>
              <w:t>日内报送</w:t>
            </w:r>
          </w:p>
        </w:tc>
      </w:tr>
      <w:tr w:rsidR="00A052DC" w14:paraId="302DA5C5" w14:textId="77777777">
        <w:trPr>
          <w:trHeight w:val="284"/>
        </w:trPr>
        <w:tc>
          <w:tcPr>
            <w:tcW w:w="313" w:type="pct"/>
            <w:tcBorders>
              <w:top w:val="single" w:sz="2" w:space="0" w:color="auto"/>
              <w:left w:val="single" w:sz="4" w:space="0" w:color="auto"/>
              <w:bottom w:val="single" w:sz="2" w:space="0" w:color="auto"/>
              <w:right w:val="single" w:sz="2" w:space="0" w:color="auto"/>
            </w:tcBorders>
            <w:vAlign w:val="center"/>
          </w:tcPr>
          <w:p w14:paraId="770A0262" w14:textId="77777777" w:rsidR="00881462" w:rsidRDefault="009F0A60">
            <w:pPr>
              <w:pStyle w:val="B"/>
              <w:jc w:val="center"/>
            </w:pPr>
            <w:r>
              <w:t>17</w:t>
            </w:r>
          </w:p>
        </w:tc>
        <w:tc>
          <w:tcPr>
            <w:tcW w:w="3386" w:type="pct"/>
            <w:tcBorders>
              <w:top w:val="single" w:sz="2" w:space="0" w:color="auto"/>
              <w:left w:val="single" w:sz="2" w:space="0" w:color="auto"/>
              <w:bottom w:val="single" w:sz="2" w:space="0" w:color="auto"/>
              <w:right w:val="single" w:sz="2" w:space="0" w:color="auto"/>
            </w:tcBorders>
          </w:tcPr>
          <w:p w14:paraId="560A6C5A" w14:textId="77777777" w:rsidR="00A052DC" w:rsidRDefault="009F0A60">
            <w:pPr>
              <w:pStyle w:val="B"/>
            </w:pPr>
            <w:r>
              <w:t>D02</w:t>
            </w:r>
            <w:r>
              <w:rPr>
                <w:rFonts w:hint="eastAsia"/>
              </w:rPr>
              <w:t>表：贷款（含拆放银行同业及联行）（资产）</w:t>
            </w:r>
          </w:p>
        </w:tc>
        <w:tc>
          <w:tcPr>
            <w:tcW w:w="1301" w:type="pct"/>
            <w:tcBorders>
              <w:top w:val="single" w:sz="2" w:space="0" w:color="auto"/>
              <w:left w:val="single" w:sz="2" w:space="0" w:color="auto"/>
              <w:bottom w:val="single" w:sz="2" w:space="0" w:color="auto"/>
              <w:right w:val="single" w:sz="4" w:space="0" w:color="auto"/>
            </w:tcBorders>
            <w:vAlign w:val="center"/>
          </w:tcPr>
          <w:p w14:paraId="68EB912F" w14:textId="77777777" w:rsidR="00A052DC" w:rsidRDefault="009F0A60">
            <w:pPr>
              <w:pStyle w:val="B"/>
            </w:pPr>
            <w:r>
              <w:rPr>
                <w:rFonts w:hint="eastAsia"/>
              </w:rPr>
              <w:t>月后</w:t>
            </w:r>
            <w:r>
              <w:t>10</w:t>
            </w:r>
            <w:r>
              <w:rPr>
                <w:rFonts w:hint="eastAsia"/>
              </w:rPr>
              <w:t>日内报送</w:t>
            </w:r>
          </w:p>
        </w:tc>
      </w:tr>
      <w:tr w:rsidR="00A052DC" w14:paraId="49FC8585" w14:textId="77777777">
        <w:trPr>
          <w:trHeight w:val="284"/>
        </w:trPr>
        <w:tc>
          <w:tcPr>
            <w:tcW w:w="313" w:type="pct"/>
            <w:tcBorders>
              <w:top w:val="single" w:sz="2" w:space="0" w:color="auto"/>
              <w:left w:val="single" w:sz="4" w:space="0" w:color="auto"/>
              <w:bottom w:val="single" w:sz="2" w:space="0" w:color="auto"/>
              <w:right w:val="single" w:sz="2" w:space="0" w:color="auto"/>
            </w:tcBorders>
            <w:vAlign w:val="center"/>
          </w:tcPr>
          <w:p w14:paraId="623D4D68" w14:textId="77777777" w:rsidR="00881462" w:rsidRDefault="009F0A60">
            <w:pPr>
              <w:pStyle w:val="B"/>
              <w:jc w:val="center"/>
            </w:pPr>
            <w:r>
              <w:t>18</w:t>
            </w:r>
          </w:p>
        </w:tc>
        <w:tc>
          <w:tcPr>
            <w:tcW w:w="3386" w:type="pct"/>
            <w:tcBorders>
              <w:top w:val="single" w:sz="2" w:space="0" w:color="auto"/>
              <w:left w:val="single" w:sz="2" w:space="0" w:color="auto"/>
              <w:bottom w:val="single" w:sz="2" w:space="0" w:color="auto"/>
              <w:right w:val="single" w:sz="2" w:space="0" w:color="auto"/>
            </w:tcBorders>
          </w:tcPr>
          <w:p w14:paraId="64CF7CA0" w14:textId="77777777" w:rsidR="00A052DC" w:rsidRDefault="009F0A60">
            <w:pPr>
              <w:pStyle w:val="B"/>
            </w:pPr>
            <w:r>
              <w:t>D03</w:t>
            </w:r>
            <w:r>
              <w:rPr>
                <w:rFonts w:hint="eastAsia"/>
              </w:rPr>
              <w:t>表：持有境外非公司制机构</w:t>
            </w:r>
            <w:r>
              <w:t>10%</w:t>
            </w:r>
            <w:r>
              <w:rPr>
                <w:rFonts w:hint="eastAsia"/>
              </w:rPr>
              <w:t>以下表决权和国际组织股权（资产）</w:t>
            </w:r>
          </w:p>
        </w:tc>
        <w:tc>
          <w:tcPr>
            <w:tcW w:w="1301" w:type="pct"/>
            <w:tcBorders>
              <w:top w:val="single" w:sz="2" w:space="0" w:color="auto"/>
              <w:left w:val="single" w:sz="2" w:space="0" w:color="auto"/>
              <w:bottom w:val="single" w:sz="2" w:space="0" w:color="auto"/>
              <w:right w:val="single" w:sz="4" w:space="0" w:color="auto"/>
            </w:tcBorders>
            <w:vAlign w:val="center"/>
          </w:tcPr>
          <w:p w14:paraId="06ECEAE8" w14:textId="77777777" w:rsidR="00A052DC" w:rsidRDefault="009F0A60">
            <w:pPr>
              <w:pStyle w:val="B"/>
            </w:pPr>
            <w:r>
              <w:rPr>
                <w:rFonts w:hint="eastAsia"/>
              </w:rPr>
              <w:t>月后</w:t>
            </w:r>
            <w:r>
              <w:t>10</w:t>
            </w:r>
            <w:r>
              <w:rPr>
                <w:rFonts w:hint="eastAsia"/>
              </w:rPr>
              <w:t>日内报送</w:t>
            </w:r>
          </w:p>
        </w:tc>
      </w:tr>
      <w:tr w:rsidR="00A052DC" w14:paraId="765A98C0" w14:textId="77777777">
        <w:trPr>
          <w:trHeight w:val="284"/>
        </w:trPr>
        <w:tc>
          <w:tcPr>
            <w:tcW w:w="313" w:type="pct"/>
            <w:tcBorders>
              <w:top w:val="single" w:sz="2" w:space="0" w:color="auto"/>
              <w:left w:val="single" w:sz="4" w:space="0" w:color="auto"/>
              <w:bottom w:val="single" w:sz="2" w:space="0" w:color="auto"/>
              <w:right w:val="single" w:sz="2" w:space="0" w:color="auto"/>
            </w:tcBorders>
            <w:vAlign w:val="center"/>
          </w:tcPr>
          <w:p w14:paraId="779B24D7" w14:textId="77777777" w:rsidR="00881462" w:rsidRDefault="009F0A60">
            <w:pPr>
              <w:pStyle w:val="B"/>
              <w:jc w:val="center"/>
            </w:pPr>
            <w:r>
              <w:t>19</w:t>
            </w:r>
          </w:p>
        </w:tc>
        <w:tc>
          <w:tcPr>
            <w:tcW w:w="3386" w:type="pct"/>
            <w:tcBorders>
              <w:top w:val="single" w:sz="2" w:space="0" w:color="auto"/>
              <w:left w:val="single" w:sz="2" w:space="0" w:color="auto"/>
              <w:bottom w:val="single" w:sz="2" w:space="0" w:color="auto"/>
              <w:right w:val="single" w:sz="2" w:space="0" w:color="auto"/>
            </w:tcBorders>
          </w:tcPr>
          <w:p w14:paraId="15E15108" w14:textId="77777777" w:rsidR="00A052DC" w:rsidRDefault="009F0A60">
            <w:pPr>
              <w:pStyle w:val="B"/>
            </w:pPr>
            <w:r>
              <w:t>D04</w:t>
            </w:r>
            <w:r>
              <w:rPr>
                <w:rFonts w:hint="eastAsia"/>
              </w:rPr>
              <w:t>表：应收款</w:t>
            </w:r>
            <w:r>
              <w:rPr>
                <w:rFonts w:hint="eastAsia"/>
                <w:szCs w:val="20"/>
              </w:rPr>
              <w:t>及预付款</w:t>
            </w:r>
            <w:r>
              <w:rPr>
                <w:rFonts w:hint="eastAsia"/>
              </w:rPr>
              <w:t>（不含应收利息）（资产）</w:t>
            </w:r>
          </w:p>
        </w:tc>
        <w:tc>
          <w:tcPr>
            <w:tcW w:w="1301" w:type="pct"/>
            <w:tcBorders>
              <w:top w:val="single" w:sz="2" w:space="0" w:color="auto"/>
              <w:left w:val="single" w:sz="2" w:space="0" w:color="auto"/>
              <w:bottom w:val="single" w:sz="2" w:space="0" w:color="auto"/>
              <w:right w:val="single" w:sz="4" w:space="0" w:color="auto"/>
            </w:tcBorders>
            <w:vAlign w:val="center"/>
          </w:tcPr>
          <w:p w14:paraId="7FEE5C5F" w14:textId="77777777" w:rsidR="00A052DC" w:rsidRDefault="009F0A60">
            <w:pPr>
              <w:pStyle w:val="B"/>
            </w:pPr>
            <w:r>
              <w:rPr>
                <w:rFonts w:hint="eastAsia"/>
              </w:rPr>
              <w:t>月后</w:t>
            </w:r>
            <w:r>
              <w:t>10</w:t>
            </w:r>
            <w:r>
              <w:rPr>
                <w:rFonts w:hint="eastAsia"/>
              </w:rPr>
              <w:t>日内报送</w:t>
            </w:r>
          </w:p>
        </w:tc>
      </w:tr>
      <w:tr w:rsidR="00A052DC" w14:paraId="45A585CD" w14:textId="77777777">
        <w:trPr>
          <w:trHeight w:val="284"/>
        </w:trPr>
        <w:tc>
          <w:tcPr>
            <w:tcW w:w="313" w:type="pct"/>
            <w:tcBorders>
              <w:top w:val="single" w:sz="2" w:space="0" w:color="auto"/>
              <w:left w:val="single" w:sz="4" w:space="0" w:color="auto"/>
              <w:bottom w:val="single" w:sz="2" w:space="0" w:color="auto"/>
              <w:right w:val="single" w:sz="2" w:space="0" w:color="auto"/>
            </w:tcBorders>
            <w:vAlign w:val="center"/>
          </w:tcPr>
          <w:p w14:paraId="0CA301DA" w14:textId="77777777" w:rsidR="00881462" w:rsidRDefault="009F0A60">
            <w:pPr>
              <w:pStyle w:val="B"/>
              <w:jc w:val="center"/>
            </w:pPr>
            <w:r>
              <w:t>20</w:t>
            </w:r>
          </w:p>
        </w:tc>
        <w:tc>
          <w:tcPr>
            <w:tcW w:w="3386" w:type="pct"/>
            <w:tcBorders>
              <w:top w:val="single" w:sz="2" w:space="0" w:color="auto"/>
              <w:left w:val="single" w:sz="2" w:space="0" w:color="auto"/>
              <w:bottom w:val="single" w:sz="2" w:space="0" w:color="auto"/>
              <w:right w:val="single" w:sz="2" w:space="0" w:color="auto"/>
            </w:tcBorders>
          </w:tcPr>
          <w:p w14:paraId="648AC4A9" w14:textId="77777777" w:rsidR="00A052DC" w:rsidRDefault="009F0A60">
            <w:pPr>
              <w:pStyle w:val="B"/>
            </w:pPr>
            <w:r>
              <w:t>D05-1</w:t>
            </w:r>
            <w:r>
              <w:rPr>
                <w:rFonts w:hint="eastAsia"/>
              </w:rPr>
              <w:t>表：存款（含银行同业和联行存放）（负债）——境外机构存款</w:t>
            </w:r>
          </w:p>
        </w:tc>
        <w:tc>
          <w:tcPr>
            <w:tcW w:w="1301" w:type="pct"/>
            <w:tcBorders>
              <w:top w:val="single" w:sz="2" w:space="0" w:color="auto"/>
              <w:left w:val="single" w:sz="2" w:space="0" w:color="auto"/>
              <w:bottom w:val="single" w:sz="2" w:space="0" w:color="auto"/>
              <w:right w:val="single" w:sz="4" w:space="0" w:color="auto"/>
            </w:tcBorders>
            <w:vAlign w:val="center"/>
          </w:tcPr>
          <w:p w14:paraId="3AA777A3" w14:textId="77777777" w:rsidR="00A052DC" w:rsidRDefault="009F0A60">
            <w:pPr>
              <w:pStyle w:val="B"/>
            </w:pPr>
            <w:r>
              <w:rPr>
                <w:rFonts w:hint="eastAsia"/>
              </w:rPr>
              <w:t>月后</w:t>
            </w:r>
            <w:r>
              <w:t>10</w:t>
            </w:r>
            <w:r>
              <w:rPr>
                <w:rFonts w:hint="eastAsia"/>
              </w:rPr>
              <w:t>日内报送</w:t>
            </w:r>
          </w:p>
        </w:tc>
      </w:tr>
      <w:tr w:rsidR="00A052DC" w14:paraId="77F40E72" w14:textId="77777777">
        <w:trPr>
          <w:trHeight w:val="284"/>
        </w:trPr>
        <w:tc>
          <w:tcPr>
            <w:tcW w:w="313" w:type="pct"/>
            <w:tcBorders>
              <w:top w:val="single" w:sz="2" w:space="0" w:color="auto"/>
              <w:left w:val="single" w:sz="4" w:space="0" w:color="auto"/>
              <w:bottom w:val="single" w:sz="2" w:space="0" w:color="auto"/>
              <w:right w:val="single" w:sz="2" w:space="0" w:color="auto"/>
            </w:tcBorders>
            <w:vAlign w:val="center"/>
          </w:tcPr>
          <w:p w14:paraId="7A0ADE4A" w14:textId="77777777" w:rsidR="00881462" w:rsidRDefault="009F0A60">
            <w:pPr>
              <w:pStyle w:val="B"/>
              <w:jc w:val="center"/>
            </w:pPr>
            <w:r>
              <w:t>21</w:t>
            </w:r>
          </w:p>
        </w:tc>
        <w:tc>
          <w:tcPr>
            <w:tcW w:w="3386" w:type="pct"/>
            <w:tcBorders>
              <w:top w:val="single" w:sz="2" w:space="0" w:color="auto"/>
              <w:left w:val="single" w:sz="2" w:space="0" w:color="auto"/>
              <w:bottom w:val="single" w:sz="2" w:space="0" w:color="auto"/>
              <w:right w:val="single" w:sz="2" w:space="0" w:color="auto"/>
            </w:tcBorders>
          </w:tcPr>
          <w:p w14:paraId="0DFEAE67" w14:textId="77777777" w:rsidR="00A052DC" w:rsidRDefault="009F0A60">
            <w:pPr>
              <w:pStyle w:val="B"/>
            </w:pPr>
            <w:r>
              <w:t>D05-2</w:t>
            </w:r>
            <w:r>
              <w:rPr>
                <w:rFonts w:hint="eastAsia"/>
              </w:rPr>
              <w:t>表：存款（含银行同业和联行存放）（负债）——非居民个人存款</w:t>
            </w:r>
          </w:p>
        </w:tc>
        <w:tc>
          <w:tcPr>
            <w:tcW w:w="1301" w:type="pct"/>
            <w:tcBorders>
              <w:top w:val="single" w:sz="2" w:space="0" w:color="auto"/>
              <w:left w:val="single" w:sz="2" w:space="0" w:color="auto"/>
              <w:bottom w:val="single" w:sz="2" w:space="0" w:color="auto"/>
              <w:right w:val="single" w:sz="4" w:space="0" w:color="auto"/>
            </w:tcBorders>
            <w:vAlign w:val="center"/>
          </w:tcPr>
          <w:p w14:paraId="7E756015" w14:textId="77777777" w:rsidR="00A052DC" w:rsidRDefault="009F0A60">
            <w:pPr>
              <w:pStyle w:val="B"/>
            </w:pPr>
            <w:r>
              <w:rPr>
                <w:rFonts w:hint="eastAsia"/>
              </w:rPr>
              <w:t>月后</w:t>
            </w:r>
            <w:r>
              <w:t>10</w:t>
            </w:r>
            <w:r>
              <w:rPr>
                <w:rFonts w:hint="eastAsia"/>
              </w:rPr>
              <w:t>日内报送</w:t>
            </w:r>
          </w:p>
        </w:tc>
      </w:tr>
      <w:tr w:rsidR="00A052DC" w14:paraId="49258E53" w14:textId="77777777">
        <w:trPr>
          <w:trHeight w:val="284"/>
        </w:trPr>
        <w:tc>
          <w:tcPr>
            <w:tcW w:w="313" w:type="pct"/>
            <w:tcBorders>
              <w:top w:val="single" w:sz="2" w:space="0" w:color="auto"/>
              <w:left w:val="single" w:sz="4" w:space="0" w:color="auto"/>
              <w:bottom w:val="single" w:sz="2" w:space="0" w:color="auto"/>
              <w:right w:val="single" w:sz="2" w:space="0" w:color="auto"/>
            </w:tcBorders>
            <w:vAlign w:val="center"/>
          </w:tcPr>
          <w:p w14:paraId="68DB1F53" w14:textId="77777777" w:rsidR="00881462" w:rsidRDefault="009F0A60">
            <w:pPr>
              <w:pStyle w:val="B"/>
              <w:jc w:val="center"/>
            </w:pPr>
            <w:r>
              <w:t>22</w:t>
            </w:r>
          </w:p>
        </w:tc>
        <w:tc>
          <w:tcPr>
            <w:tcW w:w="3386" w:type="pct"/>
            <w:tcBorders>
              <w:top w:val="single" w:sz="2" w:space="0" w:color="auto"/>
              <w:left w:val="single" w:sz="2" w:space="0" w:color="auto"/>
              <w:bottom w:val="single" w:sz="2" w:space="0" w:color="auto"/>
              <w:right w:val="single" w:sz="2" w:space="0" w:color="auto"/>
            </w:tcBorders>
          </w:tcPr>
          <w:p w14:paraId="394DB35B" w14:textId="77777777" w:rsidR="00A052DC" w:rsidRDefault="009F0A60">
            <w:pPr>
              <w:pStyle w:val="B"/>
            </w:pPr>
            <w:r>
              <w:t>D06-1</w:t>
            </w:r>
            <w:r>
              <w:rPr>
                <w:rFonts w:hint="eastAsia"/>
              </w:rPr>
              <w:t>表：贷款（含银行同业和联行拆借）（负债）月末存量</w:t>
            </w:r>
          </w:p>
        </w:tc>
        <w:tc>
          <w:tcPr>
            <w:tcW w:w="1301" w:type="pct"/>
            <w:tcBorders>
              <w:top w:val="single" w:sz="2" w:space="0" w:color="auto"/>
              <w:left w:val="single" w:sz="2" w:space="0" w:color="auto"/>
              <w:bottom w:val="single" w:sz="2" w:space="0" w:color="auto"/>
              <w:right w:val="single" w:sz="4" w:space="0" w:color="auto"/>
            </w:tcBorders>
            <w:vAlign w:val="center"/>
          </w:tcPr>
          <w:p w14:paraId="74E67BBA" w14:textId="77777777" w:rsidR="00A052DC" w:rsidRDefault="009F0A60">
            <w:pPr>
              <w:pStyle w:val="B"/>
            </w:pPr>
            <w:r>
              <w:rPr>
                <w:rFonts w:hint="eastAsia"/>
              </w:rPr>
              <w:t>月后</w:t>
            </w:r>
            <w:r>
              <w:t>10</w:t>
            </w:r>
            <w:r>
              <w:rPr>
                <w:rFonts w:hint="eastAsia"/>
              </w:rPr>
              <w:t>日内报送</w:t>
            </w:r>
          </w:p>
        </w:tc>
      </w:tr>
      <w:tr w:rsidR="00A052DC" w14:paraId="1BB6CC56" w14:textId="77777777">
        <w:trPr>
          <w:trHeight w:val="284"/>
        </w:trPr>
        <w:tc>
          <w:tcPr>
            <w:tcW w:w="313" w:type="pct"/>
            <w:tcBorders>
              <w:top w:val="single" w:sz="2" w:space="0" w:color="auto"/>
              <w:left w:val="single" w:sz="4" w:space="0" w:color="auto"/>
              <w:bottom w:val="single" w:sz="2" w:space="0" w:color="auto"/>
              <w:right w:val="single" w:sz="2" w:space="0" w:color="auto"/>
            </w:tcBorders>
            <w:vAlign w:val="center"/>
          </w:tcPr>
          <w:p w14:paraId="40D1D474" w14:textId="77777777" w:rsidR="00881462" w:rsidRDefault="009F0A60">
            <w:pPr>
              <w:pStyle w:val="B"/>
              <w:jc w:val="center"/>
            </w:pPr>
            <w:r>
              <w:t>23</w:t>
            </w:r>
          </w:p>
        </w:tc>
        <w:tc>
          <w:tcPr>
            <w:tcW w:w="3386" w:type="pct"/>
            <w:tcBorders>
              <w:top w:val="single" w:sz="2" w:space="0" w:color="auto"/>
              <w:left w:val="single" w:sz="2" w:space="0" w:color="auto"/>
              <w:bottom w:val="single" w:sz="2" w:space="0" w:color="auto"/>
              <w:right w:val="single" w:sz="2" w:space="0" w:color="auto"/>
            </w:tcBorders>
          </w:tcPr>
          <w:p w14:paraId="4CD038DC" w14:textId="77777777" w:rsidR="00A052DC" w:rsidRDefault="009F0A60">
            <w:pPr>
              <w:pStyle w:val="B"/>
            </w:pPr>
            <w:r>
              <w:t>D07</w:t>
            </w:r>
            <w:r>
              <w:rPr>
                <w:rFonts w:hint="eastAsia"/>
              </w:rPr>
              <w:t>表：非居民持有本机构（非公司制）</w:t>
            </w:r>
            <w:r>
              <w:t>10%</w:t>
            </w:r>
            <w:r>
              <w:rPr>
                <w:rFonts w:hint="eastAsia"/>
              </w:rPr>
              <w:t>以下表决权（负债）</w:t>
            </w:r>
          </w:p>
        </w:tc>
        <w:tc>
          <w:tcPr>
            <w:tcW w:w="1301" w:type="pct"/>
            <w:tcBorders>
              <w:top w:val="single" w:sz="2" w:space="0" w:color="auto"/>
              <w:left w:val="single" w:sz="2" w:space="0" w:color="auto"/>
              <w:bottom w:val="single" w:sz="2" w:space="0" w:color="auto"/>
              <w:right w:val="single" w:sz="4" w:space="0" w:color="auto"/>
            </w:tcBorders>
            <w:vAlign w:val="center"/>
          </w:tcPr>
          <w:p w14:paraId="6B223E24" w14:textId="77777777" w:rsidR="00A052DC" w:rsidRDefault="009F0A60">
            <w:pPr>
              <w:pStyle w:val="B"/>
            </w:pPr>
            <w:r>
              <w:rPr>
                <w:rFonts w:hint="eastAsia"/>
              </w:rPr>
              <w:t>月后</w:t>
            </w:r>
            <w:r>
              <w:t>10</w:t>
            </w:r>
            <w:r>
              <w:rPr>
                <w:rFonts w:hint="eastAsia"/>
              </w:rPr>
              <w:t>日内报送</w:t>
            </w:r>
          </w:p>
        </w:tc>
      </w:tr>
      <w:tr w:rsidR="00A052DC" w14:paraId="7B71897C" w14:textId="77777777">
        <w:trPr>
          <w:trHeight w:val="284"/>
        </w:trPr>
        <w:tc>
          <w:tcPr>
            <w:tcW w:w="313" w:type="pct"/>
            <w:tcBorders>
              <w:top w:val="single" w:sz="2" w:space="0" w:color="auto"/>
              <w:left w:val="single" w:sz="4" w:space="0" w:color="auto"/>
              <w:bottom w:val="single" w:sz="2" w:space="0" w:color="auto"/>
              <w:right w:val="single" w:sz="2" w:space="0" w:color="auto"/>
            </w:tcBorders>
            <w:vAlign w:val="center"/>
          </w:tcPr>
          <w:p w14:paraId="4EC9D064" w14:textId="77777777" w:rsidR="00881462" w:rsidRDefault="009F0A60">
            <w:pPr>
              <w:pStyle w:val="B"/>
              <w:jc w:val="center"/>
            </w:pPr>
            <w:r>
              <w:rPr>
                <w:rFonts w:hint="eastAsia"/>
              </w:rPr>
              <w:t>24</w:t>
            </w:r>
          </w:p>
        </w:tc>
        <w:tc>
          <w:tcPr>
            <w:tcW w:w="3386" w:type="pct"/>
            <w:tcBorders>
              <w:top w:val="single" w:sz="2" w:space="0" w:color="auto"/>
              <w:left w:val="single" w:sz="2" w:space="0" w:color="auto"/>
              <w:bottom w:val="single" w:sz="2" w:space="0" w:color="auto"/>
              <w:right w:val="single" w:sz="2" w:space="0" w:color="auto"/>
            </w:tcBorders>
          </w:tcPr>
          <w:p w14:paraId="2F4C5B4E" w14:textId="77777777" w:rsidR="00A052DC" w:rsidRDefault="009F0A60">
            <w:pPr>
              <w:pStyle w:val="B"/>
            </w:pPr>
            <w:r>
              <w:rPr>
                <w:rFonts w:hint="eastAsia"/>
              </w:rPr>
              <w:t>D08表：应付款及预收款（不含应付利息）（负债）</w:t>
            </w:r>
          </w:p>
        </w:tc>
        <w:tc>
          <w:tcPr>
            <w:tcW w:w="1301" w:type="pct"/>
            <w:tcBorders>
              <w:top w:val="single" w:sz="2" w:space="0" w:color="auto"/>
              <w:left w:val="single" w:sz="2" w:space="0" w:color="auto"/>
              <w:bottom w:val="single" w:sz="2" w:space="0" w:color="auto"/>
              <w:right w:val="single" w:sz="4" w:space="0" w:color="auto"/>
            </w:tcBorders>
            <w:vAlign w:val="center"/>
          </w:tcPr>
          <w:p w14:paraId="1F57840C" w14:textId="77777777" w:rsidR="00A052DC" w:rsidRDefault="009F0A60">
            <w:pPr>
              <w:pStyle w:val="B"/>
            </w:pPr>
            <w:r>
              <w:rPr>
                <w:rFonts w:hint="eastAsia"/>
              </w:rPr>
              <w:t>月后10日内报送</w:t>
            </w:r>
          </w:p>
        </w:tc>
      </w:tr>
      <w:tr w:rsidR="00A052DC" w14:paraId="6D2885F0" w14:textId="77777777">
        <w:trPr>
          <w:trHeight w:val="284"/>
        </w:trPr>
        <w:tc>
          <w:tcPr>
            <w:tcW w:w="313" w:type="pct"/>
            <w:tcBorders>
              <w:top w:val="single" w:sz="2" w:space="0" w:color="auto"/>
              <w:left w:val="single" w:sz="4" w:space="0" w:color="auto"/>
              <w:bottom w:val="single" w:sz="2" w:space="0" w:color="auto"/>
              <w:right w:val="single" w:sz="2" w:space="0" w:color="auto"/>
            </w:tcBorders>
            <w:vAlign w:val="center"/>
          </w:tcPr>
          <w:p w14:paraId="4DB4650A" w14:textId="77777777" w:rsidR="00881462" w:rsidRDefault="009F0A60">
            <w:pPr>
              <w:pStyle w:val="B"/>
              <w:jc w:val="center"/>
            </w:pPr>
            <w:r>
              <w:t>2</w:t>
            </w:r>
            <w:r>
              <w:rPr>
                <w:rFonts w:hint="eastAsia"/>
              </w:rPr>
              <w:t>5</w:t>
            </w:r>
          </w:p>
        </w:tc>
        <w:tc>
          <w:tcPr>
            <w:tcW w:w="3386" w:type="pct"/>
            <w:tcBorders>
              <w:top w:val="single" w:sz="2" w:space="0" w:color="auto"/>
              <w:left w:val="single" w:sz="2" w:space="0" w:color="auto"/>
              <w:bottom w:val="single" w:sz="2" w:space="0" w:color="auto"/>
              <w:right w:val="single" w:sz="2" w:space="0" w:color="auto"/>
            </w:tcBorders>
          </w:tcPr>
          <w:p w14:paraId="1C950860" w14:textId="77777777" w:rsidR="00A052DC" w:rsidRDefault="009F0A60">
            <w:pPr>
              <w:pStyle w:val="B"/>
            </w:pPr>
            <w:r>
              <w:t>D09</w:t>
            </w:r>
            <w:r>
              <w:rPr>
                <w:rFonts w:hint="eastAsia"/>
              </w:rPr>
              <w:t>表：对非居民的贷款和应收款减值准备余额</w:t>
            </w:r>
          </w:p>
        </w:tc>
        <w:tc>
          <w:tcPr>
            <w:tcW w:w="1301" w:type="pct"/>
            <w:tcBorders>
              <w:top w:val="single" w:sz="2" w:space="0" w:color="auto"/>
              <w:left w:val="single" w:sz="2" w:space="0" w:color="auto"/>
              <w:bottom w:val="single" w:sz="2" w:space="0" w:color="auto"/>
              <w:right w:val="single" w:sz="4" w:space="0" w:color="auto"/>
            </w:tcBorders>
            <w:vAlign w:val="center"/>
          </w:tcPr>
          <w:p w14:paraId="1C6F1941" w14:textId="77777777" w:rsidR="00A052DC" w:rsidRDefault="009F0A60">
            <w:pPr>
              <w:pStyle w:val="B"/>
            </w:pPr>
            <w:r>
              <w:rPr>
                <w:rFonts w:hint="eastAsia"/>
              </w:rPr>
              <w:t>月后</w:t>
            </w:r>
            <w:r>
              <w:t>10</w:t>
            </w:r>
            <w:r>
              <w:rPr>
                <w:rFonts w:hint="eastAsia"/>
              </w:rPr>
              <w:t>日内报送</w:t>
            </w:r>
          </w:p>
        </w:tc>
      </w:tr>
      <w:tr w:rsidR="00A052DC" w14:paraId="757B59BC" w14:textId="77777777">
        <w:trPr>
          <w:trHeight w:val="284"/>
        </w:trPr>
        <w:tc>
          <w:tcPr>
            <w:tcW w:w="313" w:type="pct"/>
            <w:tcBorders>
              <w:top w:val="single" w:sz="2" w:space="0" w:color="auto"/>
              <w:left w:val="single" w:sz="4" w:space="0" w:color="auto"/>
              <w:bottom w:val="single" w:sz="2" w:space="0" w:color="auto"/>
              <w:right w:val="single" w:sz="2" w:space="0" w:color="auto"/>
            </w:tcBorders>
            <w:vAlign w:val="center"/>
          </w:tcPr>
          <w:p w14:paraId="46A73249" w14:textId="77777777" w:rsidR="00881462" w:rsidRDefault="009F0A60">
            <w:pPr>
              <w:pStyle w:val="B"/>
              <w:jc w:val="center"/>
            </w:pPr>
            <w:r>
              <w:t>2</w:t>
            </w:r>
            <w:r>
              <w:rPr>
                <w:rFonts w:hint="eastAsia"/>
              </w:rPr>
              <w:t>6</w:t>
            </w:r>
          </w:p>
        </w:tc>
        <w:tc>
          <w:tcPr>
            <w:tcW w:w="3386" w:type="pct"/>
            <w:tcBorders>
              <w:top w:val="single" w:sz="2" w:space="0" w:color="auto"/>
              <w:left w:val="single" w:sz="2" w:space="0" w:color="auto"/>
              <w:bottom w:val="single" w:sz="2" w:space="0" w:color="auto"/>
              <w:right w:val="single" w:sz="2" w:space="0" w:color="auto"/>
            </w:tcBorders>
          </w:tcPr>
          <w:p w14:paraId="1740FC27" w14:textId="77777777" w:rsidR="00A052DC" w:rsidRDefault="009F0A60">
            <w:pPr>
              <w:pStyle w:val="B"/>
            </w:pPr>
            <w:r>
              <w:t>E01</w:t>
            </w:r>
            <w:r>
              <w:rPr>
                <w:rFonts w:hint="eastAsia"/>
              </w:rPr>
              <w:t>表：货物、服务、薪资及债务减免等其他各类往来</w:t>
            </w:r>
          </w:p>
        </w:tc>
        <w:tc>
          <w:tcPr>
            <w:tcW w:w="1301" w:type="pct"/>
            <w:tcBorders>
              <w:top w:val="single" w:sz="2" w:space="0" w:color="auto"/>
              <w:left w:val="single" w:sz="2" w:space="0" w:color="auto"/>
              <w:bottom w:val="single" w:sz="2" w:space="0" w:color="auto"/>
              <w:right w:val="single" w:sz="4" w:space="0" w:color="auto"/>
            </w:tcBorders>
            <w:vAlign w:val="center"/>
          </w:tcPr>
          <w:p w14:paraId="331631A5" w14:textId="77777777" w:rsidR="00A052DC" w:rsidRDefault="009F0A60">
            <w:pPr>
              <w:pStyle w:val="B"/>
            </w:pPr>
            <w:r>
              <w:rPr>
                <w:rFonts w:hint="eastAsia"/>
              </w:rPr>
              <w:t>月后</w:t>
            </w:r>
            <w:r>
              <w:t>10</w:t>
            </w:r>
            <w:r>
              <w:rPr>
                <w:rFonts w:hint="eastAsia"/>
              </w:rPr>
              <w:t>日内报送</w:t>
            </w:r>
          </w:p>
        </w:tc>
      </w:tr>
      <w:tr w:rsidR="00A052DC" w14:paraId="7BEFB54A" w14:textId="77777777">
        <w:trPr>
          <w:trHeight w:val="284"/>
        </w:trPr>
        <w:tc>
          <w:tcPr>
            <w:tcW w:w="313" w:type="pct"/>
            <w:tcBorders>
              <w:top w:val="single" w:sz="2" w:space="0" w:color="auto"/>
              <w:left w:val="single" w:sz="4" w:space="0" w:color="auto"/>
              <w:bottom w:val="single" w:sz="2" w:space="0" w:color="auto"/>
              <w:right w:val="single" w:sz="2" w:space="0" w:color="auto"/>
            </w:tcBorders>
            <w:vAlign w:val="center"/>
          </w:tcPr>
          <w:p w14:paraId="182E767D" w14:textId="77777777" w:rsidR="00881462" w:rsidRDefault="009F0A60">
            <w:pPr>
              <w:pStyle w:val="B"/>
              <w:jc w:val="center"/>
            </w:pPr>
            <w:r>
              <w:t>27</w:t>
            </w:r>
          </w:p>
        </w:tc>
        <w:tc>
          <w:tcPr>
            <w:tcW w:w="3386" w:type="pct"/>
            <w:tcBorders>
              <w:top w:val="single" w:sz="2" w:space="0" w:color="auto"/>
              <w:left w:val="single" w:sz="2" w:space="0" w:color="auto"/>
              <w:bottom w:val="single" w:sz="2" w:space="0" w:color="auto"/>
              <w:right w:val="single" w:sz="2" w:space="0" w:color="auto"/>
            </w:tcBorders>
          </w:tcPr>
          <w:p w14:paraId="4984502F" w14:textId="77777777" w:rsidR="00A052DC" w:rsidRDefault="009F0A60">
            <w:pPr>
              <w:pStyle w:val="B"/>
            </w:pPr>
            <w:r>
              <w:rPr>
                <w:rFonts w:hint="eastAsia"/>
              </w:rPr>
              <w:t>E02-1表：境外建设项目概览表</w:t>
            </w:r>
          </w:p>
        </w:tc>
        <w:tc>
          <w:tcPr>
            <w:tcW w:w="1301" w:type="pct"/>
            <w:tcBorders>
              <w:top w:val="single" w:sz="2" w:space="0" w:color="auto"/>
              <w:left w:val="single" w:sz="2" w:space="0" w:color="auto"/>
              <w:bottom w:val="single" w:sz="2" w:space="0" w:color="auto"/>
              <w:right w:val="single" w:sz="4" w:space="0" w:color="auto"/>
            </w:tcBorders>
          </w:tcPr>
          <w:p w14:paraId="7404EC72" w14:textId="77777777" w:rsidR="00A052DC" w:rsidRDefault="009F0A60">
            <w:pPr>
              <w:pStyle w:val="B"/>
            </w:pPr>
            <w:r>
              <w:rPr>
                <w:rFonts w:hint="eastAsia"/>
              </w:rPr>
              <w:t>月后</w:t>
            </w:r>
            <w:r>
              <w:t>10</w:t>
            </w:r>
            <w:r>
              <w:rPr>
                <w:rFonts w:hint="eastAsia"/>
              </w:rPr>
              <w:t>日内报送</w:t>
            </w:r>
          </w:p>
        </w:tc>
      </w:tr>
      <w:tr w:rsidR="00A052DC" w14:paraId="4749BB4E" w14:textId="77777777">
        <w:trPr>
          <w:trHeight w:val="284"/>
        </w:trPr>
        <w:tc>
          <w:tcPr>
            <w:tcW w:w="313" w:type="pct"/>
            <w:tcBorders>
              <w:top w:val="single" w:sz="2" w:space="0" w:color="auto"/>
              <w:left w:val="single" w:sz="4" w:space="0" w:color="auto"/>
              <w:bottom w:val="single" w:sz="2" w:space="0" w:color="auto"/>
              <w:right w:val="single" w:sz="2" w:space="0" w:color="auto"/>
            </w:tcBorders>
            <w:vAlign w:val="center"/>
          </w:tcPr>
          <w:p w14:paraId="360ADD08" w14:textId="77777777" w:rsidR="00881462" w:rsidRDefault="009F0A60">
            <w:pPr>
              <w:pStyle w:val="B"/>
              <w:jc w:val="center"/>
            </w:pPr>
            <w:r>
              <w:t>28</w:t>
            </w:r>
          </w:p>
        </w:tc>
        <w:tc>
          <w:tcPr>
            <w:tcW w:w="3386" w:type="pct"/>
            <w:tcBorders>
              <w:top w:val="single" w:sz="2" w:space="0" w:color="auto"/>
              <w:left w:val="single" w:sz="2" w:space="0" w:color="auto"/>
              <w:bottom w:val="single" w:sz="2" w:space="0" w:color="auto"/>
              <w:right w:val="single" w:sz="2" w:space="0" w:color="auto"/>
            </w:tcBorders>
          </w:tcPr>
          <w:p w14:paraId="59CE4D34" w14:textId="77777777" w:rsidR="00A052DC" w:rsidRDefault="009F0A60">
            <w:pPr>
              <w:pStyle w:val="B"/>
            </w:pPr>
            <w:r>
              <w:rPr>
                <w:rFonts w:hint="eastAsia"/>
              </w:rPr>
              <w:t>E02-2表：境外建设统计表</w:t>
            </w:r>
          </w:p>
        </w:tc>
        <w:tc>
          <w:tcPr>
            <w:tcW w:w="1301" w:type="pct"/>
            <w:tcBorders>
              <w:top w:val="single" w:sz="2" w:space="0" w:color="auto"/>
              <w:left w:val="single" w:sz="2" w:space="0" w:color="auto"/>
              <w:bottom w:val="single" w:sz="2" w:space="0" w:color="auto"/>
              <w:right w:val="single" w:sz="4" w:space="0" w:color="auto"/>
            </w:tcBorders>
          </w:tcPr>
          <w:p w14:paraId="5A74A0CD" w14:textId="77777777" w:rsidR="00A052DC" w:rsidRDefault="009F0A60">
            <w:pPr>
              <w:pStyle w:val="B"/>
            </w:pPr>
            <w:r>
              <w:rPr>
                <w:rFonts w:hint="eastAsia"/>
              </w:rPr>
              <w:t>月后</w:t>
            </w:r>
            <w:r>
              <w:t>10</w:t>
            </w:r>
            <w:r>
              <w:rPr>
                <w:rFonts w:hint="eastAsia"/>
              </w:rPr>
              <w:t>日内报送</w:t>
            </w:r>
          </w:p>
        </w:tc>
      </w:tr>
      <w:tr w:rsidR="00A052DC" w14:paraId="07A4E62B" w14:textId="77777777">
        <w:trPr>
          <w:trHeight w:val="284"/>
        </w:trPr>
        <w:tc>
          <w:tcPr>
            <w:tcW w:w="313" w:type="pct"/>
            <w:tcBorders>
              <w:top w:val="single" w:sz="2" w:space="0" w:color="auto"/>
              <w:left w:val="single" w:sz="4" w:space="0" w:color="auto"/>
              <w:bottom w:val="single" w:sz="2" w:space="0" w:color="auto"/>
              <w:right w:val="single" w:sz="2" w:space="0" w:color="auto"/>
            </w:tcBorders>
            <w:vAlign w:val="center"/>
          </w:tcPr>
          <w:p w14:paraId="72A36936" w14:textId="77777777" w:rsidR="00881462" w:rsidRDefault="009F0A60">
            <w:pPr>
              <w:pStyle w:val="B"/>
              <w:jc w:val="center"/>
            </w:pPr>
            <w:r>
              <w:t>29</w:t>
            </w:r>
          </w:p>
        </w:tc>
        <w:tc>
          <w:tcPr>
            <w:tcW w:w="3386" w:type="pct"/>
            <w:tcBorders>
              <w:top w:val="single" w:sz="2" w:space="0" w:color="auto"/>
              <w:left w:val="single" w:sz="2" w:space="0" w:color="auto"/>
              <w:bottom w:val="single" w:sz="2" w:space="0" w:color="auto"/>
              <w:right w:val="single" w:sz="2" w:space="0" w:color="auto"/>
            </w:tcBorders>
          </w:tcPr>
          <w:p w14:paraId="02084092" w14:textId="77777777" w:rsidR="00A052DC" w:rsidRDefault="009F0A60">
            <w:pPr>
              <w:pStyle w:val="B"/>
            </w:pPr>
            <w:r>
              <w:rPr>
                <w:rFonts w:hint="eastAsia"/>
              </w:rPr>
              <w:t>E03表：运输收入统计表</w:t>
            </w:r>
          </w:p>
        </w:tc>
        <w:tc>
          <w:tcPr>
            <w:tcW w:w="1301" w:type="pct"/>
            <w:tcBorders>
              <w:top w:val="single" w:sz="2" w:space="0" w:color="auto"/>
              <w:left w:val="single" w:sz="2" w:space="0" w:color="auto"/>
              <w:bottom w:val="single" w:sz="2" w:space="0" w:color="auto"/>
              <w:right w:val="single" w:sz="4" w:space="0" w:color="auto"/>
            </w:tcBorders>
          </w:tcPr>
          <w:p w14:paraId="11A1CF93" w14:textId="77777777" w:rsidR="00A052DC" w:rsidRDefault="009F0A60">
            <w:pPr>
              <w:pStyle w:val="B"/>
            </w:pPr>
            <w:r>
              <w:rPr>
                <w:rFonts w:hint="eastAsia"/>
              </w:rPr>
              <w:t>月后</w:t>
            </w:r>
            <w:r>
              <w:t>10</w:t>
            </w:r>
            <w:r>
              <w:rPr>
                <w:rFonts w:hint="eastAsia"/>
              </w:rPr>
              <w:t>日内报送</w:t>
            </w:r>
          </w:p>
        </w:tc>
      </w:tr>
      <w:tr w:rsidR="00A052DC" w14:paraId="481D91A2" w14:textId="77777777">
        <w:trPr>
          <w:trHeight w:val="284"/>
        </w:trPr>
        <w:tc>
          <w:tcPr>
            <w:tcW w:w="313" w:type="pct"/>
            <w:tcBorders>
              <w:top w:val="single" w:sz="2" w:space="0" w:color="auto"/>
              <w:left w:val="single" w:sz="4" w:space="0" w:color="auto"/>
              <w:bottom w:val="single" w:sz="2" w:space="0" w:color="auto"/>
              <w:right w:val="single" w:sz="2" w:space="0" w:color="auto"/>
            </w:tcBorders>
            <w:vAlign w:val="center"/>
          </w:tcPr>
          <w:p w14:paraId="5C1EA6BB" w14:textId="77777777" w:rsidR="00881462" w:rsidRDefault="009F0A60">
            <w:pPr>
              <w:pStyle w:val="B"/>
              <w:jc w:val="center"/>
            </w:pPr>
            <w:r>
              <w:t>30</w:t>
            </w:r>
          </w:p>
        </w:tc>
        <w:tc>
          <w:tcPr>
            <w:tcW w:w="3386" w:type="pct"/>
            <w:tcBorders>
              <w:top w:val="single" w:sz="2" w:space="0" w:color="auto"/>
              <w:left w:val="single" w:sz="2" w:space="0" w:color="auto"/>
              <w:bottom w:val="single" w:sz="2" w:space="0" w:color="auto"/>
              <w:right w:val="single" w:sz="2" w:space="0" w:color="auto"/>
            </w:tcBorders>
          </w:tcPr>
          <w:p w14:paraId="1EEF4D18" w14:textId="77777777" w:rsidR="00A052DC" w:rsidRDefault="009F0A60">
            <w:pPr>
              <w:pStyle w:val="B"/>
            </w:pPr>
            <w:r>
              <w:t>F01</w:t>
            </w:r>
            <w:r>
              <w:rPr>
                <w:rFonts w:hint="eastAsia"/>
              </w:rPr>
              <w:t>表：买断出口票据、单证业务</w:t>
            </w:r>
          </w:p>
        </w:tc>
        <w:tc>
          <w:tcPr>
            <w:tcW w:w="1301" w:type="pct"/>
            <w:tcBorders>
              <w:top w:val="single" w:sz="2" w:space="0" w:color="auto"/>
              <w:left w:val="single" w:sz="2" w:space="0" w:color="auto"/>
              <w:bottom w:val="single" w:sz="2" w:space="0" w:color="auto"/>
              <w:right w:val="single" w:sz="4" w:space="0" w:color="auto"/>
            </w:tcBorders>
            <w:vAlign w:val="center"/>
          </w:tcPr>
          <w:p w14:paraId="5D6D608B" w14:textId="77777777" w:rsidR="00A052DC" w:rsidRDefault="009F0A60">
            <w:pPr>
              <w:pStyle w:val="B"/>
            </w:pPr>
            <w:r>
              <w:rPr>
                <w:rFonts w:hint="eastAsia"/>
              </w:rPr>
              <w:t>月后</w:t>
            </w:r>
            <w:r>
              <w:t>10</w:t>
            </w:r>
            <w:r>
              <w:rPr>
                <w:rFonts w:hint="eastAsia"/>
              </w:rPr>
              <w:t>日内报送</w:t>
            </w:r>
          </w:p>
        </w:tc>
      </w:tr>
      <w:tr w:rsidR="00A052DC" w14:paraId="0E1F2126" w14:textId="77777777">
        <w:trPr>
          <w:trHeight w:val="284"/>
        </w:trPr>
        <w:tc>
          <w:tcPr>
            <w:tcW w:w="313" w:type="pct"/>
            <w:tcBorders>
              <w:top w:val="single" w:sz="2" w:space="0" w:color="auto"/>
              <w:left w:val="single" w:sz="4" w:space="0" w:color="auto"/>
              <w:bottom w:val="single" w:sz="2" w:space="0" w:color="auto"/>
              <w:right w:val="single" w:sz="2" w:space="0" w:color="auto"/>
            </w:tcBorders>
            <w:vAlign w:val="center"/>
          </w:tcPr>
          <w:p w14:paraId="3168C53A" w14:textId="77777777" w:rsidR="00881462" w:rsidRDefault="009F0A60">
            <w:pPr>
              <w:pStyle w:val="B"/>
              <w:jc w:val="center"/>
            </w:pPr>
            <w:r>
              <w:t>31</w:t>
            </w:r>
          </w:p>
        </w:tc>
        <w:tc>
          <w:tcPr>
            <w:tcW w:w="3386" w:type="pct"/>
            <w:tcBorders>
              <w:top w:val="single" w:sz="2" w:space="0" w:color="auto"/>
              <w:left w:val="single" w:sz="2" w:space="0" w:color="auto"/>
              <w:bottom w:val="single" w:sz="2" w:space="0" w:color="auto"/>
              <w:right w:val="single" w:sz="2" w:space="0" w:color="auto"/>
            </w:tcBorders>
          </w:tcPr>
          <w:p w14:paraId="1B62FF97" w14:textId="77777777" w:rsidR="00A052DC" w:rsidRDefault="009F0A60">
            <w:pPr>
              <w:pStyle w:val="B"/>
            </w:pPr>
            <w:r>
              <w:t>G01</w:t>
            </w:r>
            <w:r>
              <w:rPr>
                <w:rFonts w:hint="eastAsia"/>
              </w:rPr>
              <w:t>表：境内银行卡境外消费提现</w:t>
            </w:r>
          </w:p>
        </w:tc>
        <w:tc>
          <w:tcPr>
            <w:tcW w:w="1301" w:type="pct"/>
            <w:tcBorders>
              <w:top w:val="single" w:sz="2" w:space="0" w:color="auto"/>
              <w:left w:val="single" w:sz="2" w:space="0" w:color="auto"/>
              <w:bottom w:val="single" w:sz="2" w:space="0" w:color="auto"/>
              <w:right w:val="single" w:sz="4" w:space="0" w:color="auto"/>
            </w:tcBorders>
            <w:vAlign w:val="center"/>
          </w:tcPr>
          <w:p w14:paraId="3FF3FC34" w14:textId="77777777" w:rsidR="00A052DC" w:rsidRDefault="009F0A60">
            <w:pPr>
              <w:pStyle w:val="B"/>
            </w:pPr>
            <w:r>
              <w:rPr>
                <w:rFonts w:hint="eastAsia"/>
              </w:rPr>
              <w:t>月后</w:t>
            </w:r>
            <w:r>
              <w:t>10</w:t>
            </w:r>
            <w:r>
              <w:rPr>
                <w:rFonts w:hint="eastAsia"/>
              </w:rPr>
              <w:t>日内报送</w:t>
            </w:r>
          </w:p>
        </w:tc>
      </w:tr>
      <w:tr w:rsidR="00A052DC" w14:paraId="4E97579D" w14:textId="77777777">
        <w:trPr>
          <w:trHeight w:val="284"/>
        </w:trPr>
        <w:tc>
          <w:tcPr>
            <w:tcW w:w="313" w:type="pct"/>
            <w:tcBorders>
              <w:top w:val="single" w:sz="2" w:space="0" w:color="auto"/>
              <w:left w:val="single" w:sz="4" w:space="0" w:color="auto"/>
              <w:bottom w:val="single" w:sz="2" w:space="0" w:color="auto"/>
              <w:right w:val="single" w:sz="2" w:space="0" w:color="auto"/>
            </w:tcBorders>
            <w:vAlign w:val="center"/>
          </w:tcPr>
          <w:p w14:paraId="5B476281" w14:textId="77777777" w:rsidR="00881462" w:rsidRDefault="009F0A60">
            <w:pPr>
              <w:pStyle w:val="B"/>
              <w:jc w:val="center"/>
            </w:pPr>
            <w:r>
              <w:t>32</w:t>
            </w:r>
          </w:p>
        </w:tc>
        <w:tc>
          <w:tcPr>
            <w:tcW w:w="3386" w:type="pct"/>
            <w:tcBorders>
              <w:top w:val="single" w:sz="2" w:space="0" w:color="auto"/>
              <w:left w:val="single" w:sz="2" w:space="0" w:color="auto"/>
              <w:bottom w:val="single" w:sz="2" w:space="0" w:color="auto"/>
              <w:right w:val="single" w:sz="2" w:space="0" w:color="auto"/>
            </w:tcBorders>
          </w:tcPr>
          <w:p w14:paraId="5C9AD570" w14:textId="77777777" w:rsidR="00A052DC" w:rsidRDefault="009F0A60">
            <w:pPr>
              <w:pStyle w:val="B"/>
            </w:pPr>
            <w:r>
              <w:t>G02</w:t>
            </w:r>
            <w:r>
              <w:rPr>
                <w:rFonts w:hint="eastAsia"/>
              </w:rPr>
              <w:t>表：境外银行卡境内消费提现</w:t>
            </w:r>
          </w:p>
        </w:tc>
        <w:tc>
          <w:tcPr>
            <w:tcW w:w="1301" w:type="pct"/>
            <w:tcBorders>
              <w:top w:val="single" w:sz="2" w:space="0" w:color="auto"/>
              <w:left w:val="single" w:sz="2" w:space="0" w:color="auto"/>
              <w:bottom w:val="single" w:sz="2" w:space="0" w:color="auto"/>
              <w:right w:val="single" w:sz="4" w:space="0" w:color="auto"/>
            </w:tcBorders>
            <w:vAlign w:val="center"/>
          </w:tcPr>
          <w:p w14:paraId="3AFB1D14" w14:textId="77777777" w:rsidR="00A052DC" w:rsidRDefault="009F0A60">
            <w:pPr>
              <w:pStyle w:val="B"/>
            </w:pPr>
            <w:r>
              <w:rPr>
                <w:rFonts w:hint="eastAsia"/>
              </w:rPr>
              <w:t>月后</w:t>
            </w:r>
            <w:r>
              <w:t>10</w:t>
            </w:r>
            <w:r>
              <w:rPr>
                <w:rFonts w:hint="eastAsia"/>
              </w:rPr>
              <w:t>日内报送</w:t>
            </w:r>
          </w:p>
        </w:tc>
      </w:tr>
      <w:tr w:rsidR="00A052DC" w14:paraId="6B4E7C14" w14:textId="77777777">
        <w:trPr>
          <w:trHeight w:val="284"/>
        </w:trPr>
        <w:tc>
          <w:tcPr>
            <w:tcW w:w="313" w:type="pct"/>
            <w:tcBorders>
              <w:top w:val="single" w:sz="2" w:space="0" w:color="auto"/>
              <w:left w:val="single" w:sz="4" w:space="0" w:color="auto"/>
              <w:bottom w:val="single" w:sz="2" w:space="0" w:color="auto"/>
              <w:right w:val="single" w:sz="2" w:space="0" w:color="auto"/>
            </w:tcBorders>
            <w:vAlign w:val="center"/>
          </w:tcPr>
          <w:p w14:paraId="1F090997" w14:textId="77777777" w:rsidR="00881462" w:rsidRDefault="009F0A60">
            <w:pPr>
              <w:pStyle w:val="B"/>
              <w:jc w:val="center"/>
            </w:pPr>
            <w:r>
              <w:t>33</w:t>
            </w:r>
          </w:p>
        </w:tc>
        <w:tc>
          <w:tcPr>
            <w:tcW w:w="3386" w:type="pct"/>
            <w:tcBorders>
              <w:top w:val="single" w:sz="2" w:space="0" w:color="auto"/>
              <w:left w:val="single" w:sz="2" w:space="0" w:color="auto"/>
              <w:bottom w:val="single" w:sz="2" w:space="0" w:color="auto"/>
              <w:right w:val="single" w:sz="2" w:space="0" w:color="auto"/>
            </w:tcBorders>
          </w:tcPr>
          <w:p w14:paraId="38C19A62" w14:textId="77777777" w:rsidR="00A052DC" w:rsidRDefault="009F0A60">
            <w:pPr>
              <w:pStyle w:val="B"/>
            </w:pPr>
            <w:r>
              <w:rPr>
                <w:rFonts w:hint="eastAsia"/>
              </w:rPr>
              <w:t>G03表：非居民持有境内银行卡的收入支出</w:t>
            </w:r>
          </w:p>
        </w:tc>
        <w:tc>
          <w:tcPr>
            <w:tcW w:w="1301" w:type="pct"/>
            <w:tcBorders>
              <w:top w:val="single" w:sz="2" w:space="0" w:color="auto"/>
              <w:left w:val="single" w:sz="2" w:space="0" w:color="auto"/>
              <w:bottom w:val="single" w:sz="2" w:space="0" w:color="auto"/>
              <w:right w:val="single" w:sz="4" w:space="0" w:color="auto"/>
            </w:tcBorders>
            <w:vAlign w:val="center"/>
          </w:tcPr>
          <w:p w14:paraId="764C61BD" w14:textId="77777777" w:rsidR="00A052DC" w:rsidRDefault="009F0A60">
            <w:pPr>
              <w:pStyle w:val="B"/>
            </w:pPr>
            <w:r>
              <w:rPr>
                <w:rFonts w:hint="eastAsia"/>
              </w:rPr>
              <w:t>月后</w:t>
            </w:r>
            <w:r>
              <w:t>10</w:t>
            </w:r>
            <w:r>
              <w:rPr>
                <w:rFonts w:hint="eastAsia"/>
              </w:rPr>
              <w:t>日内报送</w:t>
            </w:r>
          </w:p>
        </w:tc>
      </w:tr>
      <w:tr w:rsidR="00A052DC" w14:paraId="152E4DCE" w14:textId="77777777">
        <w:trPr>
          <w:trHeight w:val="284"/>
        </w:trPr>
        <w:tc>
          <w:tcPr>
            <w:tcW w:w="313" w:type="pct"/>
            <w:tcBorders>
              <w:top w:val="single" w:sz="2" w:space="0" w:color="auto"/>
              <w:left w:val="single" w:sz="4" w:space="0" w:color="auto"/>
              <w:bottom w:val="single" w:sz="2" w:space="0" w:color="auto"/>
              <w:right w:val="single" w:sz="2" w:space="0" w:color="auto"/>
            </w:tcBorders>
            <w:vAlign w:val="center"/>
          </w:tcPr>
          <w:p w14:paraId="3CFB052D" w14:textId="77777777" w:rsidR="00881462" w:rsidRDefault="009F0A60">
            <w:pPr>
              <w:pStyle w:val="B"/>
              <w:jc w:val="center"/>
            </w:pPr>
            <w:r>
              <w:t>34</w:t>
            </w:r>
          </w:p>
        </w:tc>
        <w:tc>
          <w:tcPr>
            <w:tcW w:w="3386" w:type="pct"/>
            <w:tcBorders>
              <w:top w:val="single" w:sz="2" w:space="0" w:color="auto"/>
              <w:left w:val="single" w:sz="2" w:space="0" w:color="auto"/>
              <w:bottom w:val="single" w:sz="2" w:space="0" w:color="auto"/>
              <w:right w:val="single" w:sz="2" w:space="0" w:color="auto"/>
            </w:tcBorders>
          </w:tcPr>
          <w:p w14:paraId="05025735" w14:textId="77777777" w:rsidR="00A052DC" w:rsidRDefault="009F0A60">
            <w:pPr>
              <w:pStyle w:val="B"/>
            </w:pPr>
            <w:r>
              <w:t>H01</w:t>
            </w:r>
            <w:r>
              <w:rPr>
                <w:rFonts w:hint="eastAsia"/>
              </w:rPr>
              <w:t>表：为非居民托管业务统计（</w:t>
            </w:r>
            <w:r>
              <w:t>QFII</w:t>
            </w:r>
            <w:r>
              <w:rPr>
                <w:rFonts w:hint="eastAsia"/>
              </w:rPr>
              <w:t>/</w:t>
            </w:r>
            <w:r>
              <w:t>RQFII</w:t>
            </w:r>
            <w:r>
              <w:rPr>
                <w:rFonts w:hint="eastAsia"/>
              </w:rPr>
              <w:t>等）</w:t>
            </w:r>
          </w:p>
        </w:tc>
        <w:tc>
          <w:tcPr>
            <w:tcW w:w="1301" w:type="pct"/>
            <w:tcBorders>
              <w:top w:val="single" w:sz="2" w:space="0" w:color="auto"/>
              <w:left w:val="single" w:sz="2" w:space="0" w:color="auto"/>
              <w:bottom w:val="single" w:sz="2" w:space="0" w:color="auto"/>
              <w:right w:val="single" w:sz="4" w:space="0" w:color="auto"/>
            </w:tcBorders>
            <w:vAlign w:val="center"/>
          </w:tcPr>
          <w:p w14:paraId="45D84726" w14:textId="77777777" w:rsidR="00A052DC" w:rsidRDefault="009F0A60">
            <w:pPr>
              <w:pStyle w:val="B"/>
            </w:pPr>
            <w:r>
              <w:rPr>
                <w:rFonts w:hint="eastAsia"/>
              </w:rPr>
              <w:t>月后</w:t>
            </w:r>
            <w:r>
              <w:t>10</w:t>
            </w:r>
            <w:r>
              <w:rPr>
                <w:rFonts w:hint="eastAsia"/>
              </w:rPr>
              <w:t>日内报送</w:t>
            </w:r>
          </w:p>
        </w:tc>
      </w:tr>
      <w:tr w:rsidR="00A052DC" w14:paraId="210228DE" w14:textId="77777777">
        <w:trPr>
          <w:trHeight w:val="284"/>
        </w:trPr>
        <w:tc>
          <w:tcPr>
            <w:tcW w:w="313" w:type="pct"/>
            <w:tcBorders>
              <w:top w:val="single" w:sz="2" w:space="0" w:color="auto"/>
              <w:left w:val="single" w:sz="4" w:space="0" w:color="auto"/>
              <w:bottom w:val="single" w:sz="2" w:space="0" w:color="auto"/>
              <w:right w:val="single" w:sz="2" w:space="0" w:color="auto"/>
            </w:tcBorders>
            <w:vAlign w:val="center"/>
          </w:tcPr>
          <w:p w14:paraId="2C6B98E0" w14:textId="77777777" w:rsidR="00881462" w:rsidRDefault="009F0A60">
            <w:pPr>
              <w:pStyle w:val="B"/>
              <w:jc w:val="center"/>
            </w:pPr>
            <w:r>
              <w:t>35</w:t>
            </w:r>
          </w:p>
        </w:tc>
        <w:tc>
          <w:tcPr>
            <w:tcW w:w="3386" w:type="pct"/>
            <w:tcBorders>
              <w:top w:val="single" w:sz="2" w:space="0" w:color="auto"/>
              <w:left w:val="single" w:sz="2" w:space="0" w:color="auto"/>
              <w:bottom w:val="single" w:sz="2" w:space="0" w:color="auto"/>
              <w:right w:val="single" w:sz="2" w:space="0" w:color="auto"/>
            </w:tcBorders>
          </w:tcPr>
          <w:p w14:paraId="36D49654" w14:textId="77777777" w:rsidR="00A052DC" w:rsidRDefault="009F0A60">
            <w:pPr>
              <w:pStyle w:val="B"/>
            </w:pPr>
            <w:r>
              <w:t>H02</w:t>
            </w:r>
            <w:r>
              <w:rPr>
                <w:rFonts w:hint="eastAsia"/>
              </w:rPr>
              <w:t>表：为居民托管业务统计</w:t>
            </w:r>
            <w:r>
              <w:rPr>
                <w:rFonts w:hint="eastAsia"/>
                <w:szCs w:val="20"/>
              </w:rPr>
              <w:t>（QDII/RQDII</w:t>
            </w:r>
            <w:r>
              <w:rPr>
                <w:rFonts w:hint="eastAsia"/>
                <w:kern w:val="2"/>
              </w:rPr>
              <w:t>/QDLP/QDIE</w:t>
            </w:r>
            <w:r>
              <w:rPr>
                <w:rFonts w:hint="eastAsia"/>
                <w:szCs w:val="20"/>
              </w:rPr>
              <w:t>等）</w:t>
            </w:r>
          </w:p>
        </w:tc>
        <w:tc>
          <w:tcPr>
            <w:tcW w:w="1301" w:type="pct"/>
            <w:tcBorders>
              <w:top w:val="single" w:sz="2" w:space="0" w:color="auto"/>
              <w:left w:val="single" w:sz="2" w:space="0" w:color="auto"/>
              <w:bottom w:val="single" w:sz="2" w:space="0" w:color="auto"/>
              <w:right w:val="single" w:sz="4" w:space="0" w:color="auto"/>
            </w:tcBorders>
            <w:vAlign w:val="center"/>
          </w:tcPr>
          <w:p w14:paraId="1497DCE6" w14:textId="77777777" w:rsidR="00A052DC" w:rsidRDefault="009F0A60">
            <w:pPr>
              <w:pStyle w:val="B"/>
            </w:pPr>
            <w:r>
              <w:rPr>
                <w:rFonts w:hint="eastAsia"/>
              </w:rPr>
              <w:t>月后</w:t>
            </w:r>
            <w:r>
              <w:t>10</w:t>
            </w:r>
            <w:r>
              <w:rPr>
                <w:rFonts w:hint="eastAsia"/>
              </w:rPr>
              <w:t>日内报送</w:t>
            </w:r>
          </w:p>
        </w:tc>
      </w:tr>
      <w:tr w:rsidR="00A052DC" w14:paraId="38D86DEC" w14:textId="77777777">
        <w:trPr>
          <w:trHeight w:val="284"/>
        </w:trPr>
        <w:tc>
          <w:tcPr>
            <w:tcW w:w="313" w:type="pct"/>
            <w:tcBorders>
              <w:top w:val="single" w:sz="2" w:space="0" w:color="auto"/>
              <w:left w:val="single" w:sz="4" w:space="0" w:color="auto"/>
              <w:bottom w:val="single" w:sz="2" w:space="0" w:color="auto"/>
              <w:right w:val="single" w:sz="2" w:space="0" w:color="auto"/>
            </w:tcBorders>
            <w:vAlign w:val="center"/>
          </w:tcPr>
          <w:p w14:paraId="6AE680CC" w14:textId="77777777" w:rsidR="00881462" w:rsidRDefault="009F0A60">
            <w:pPr>
              <w:pStyle w:val="B"/>
              <w:jc w:val="center"/>
            </w:pPr>
            <w:r>
              <w:t>36</w:t>
            </w:r>
          </w:p>
        </w:tc>
        <w:tc>
          <w:tcPr>
            <w:tcW w:w="3386" w:type="pct"/>
            <w:tcBorders>
              <w:top w:val="single" w:sz="2" w:space="0" w:color="auto"/>
              <w:left w:val="single" w:sz="2" w:space="0" w:color="auto"/>
              <w:bottom w:val="single" w:sz="2" w:space="0" w:color="auto"/>
              <w:right w:val="single" w:sz="2" w:space="0" w:color="auto"/>
            </w:tcBorders>
          </w:tcPr>
          <w:p w14:paraId="27E7FC22" w14:textId="77777777" w:rsidR="00A052DC" w:rsidRDefault="009F0A60">
            <w:pPr>
              <w:pStyle w:val="B"/>
            </w:pPr>
            <w:r>
              <w:t>I01</w:t>
            </w:r>
            <w:r>
              <w:rPr>
                <w:rFonts w:hint="eastAsia"/>
              </w:rPr>
              <w:t>表：为非居民提供直接保险服务</w:t>
            </w:r>
          </w:p>
        </w:tc>
        <w:tc>
          <w:tcPr>
            <w:tcW w:w="1301" w:type="pct"/>
            <w:tcBorders>
              <w:top w:val="single" w:sz="2" w:space="0" w:color="auto"/>
              <w:left w:val="single" w:sz="2" w:space="0" w:color="auto"/>
              <w:bottom w:val="single" w:sz="2" w:space="0" w:color="auto"/>
              <w:right w:val="single" w:sz="4" w:space="0" w:color="auto"/>
            </w:tcBorders>
            <w:vAlign w:val="center"/>
          </w:tcPr>
          <w:p w14:paraId="09C07F18" w14:textId="77777777" w:rsidR="00A052DC" w:rsidRDefault="009F0A60">
            <w:pPr>
              <w:pStyle w:val="B"/>
            </w:pPr>
            <w:r>
              <w:rPr>
                <w:rFonts w:hint="eastAsia"/>
              </w:rPr>
              <w:t>月后</w:t>
            </w:r>
            <w:r>
              <w:t>10</w:t>
            </w:r>
            <w:r>
              <w:rPr>
                <w:rFonts w:hint="eastAsia"/>
              </w:rPr>
              <w:t>日内报送</w:t>
            </w:r>
          </w:p>
        </w:tc>
      </w:tr>
      <w:tr w:rsidR="00A052DC" w14:paraId="5C55E73E" w14:textId="77777777">
        <w:trPr>
          <w:trHeight w:val="284"/>
        </w:trPr>
        <w:tc>
          <w:tcPr>
            <w:tcW w:w="313" w:type="pct"/>
            <w:tcBorders>
              <w:top w:val="single" w:sz="2" w:space="0" w:color="auto"/>
              <w:left w:val="single" w:sz="4" w:space="0" w:color="auto"/>
              <w:bottom w:val="single" w:sz="2" w:space="0" w:color="auto"/>
              <w:right w:val="single" w:sz="2" w:space="0" w:color="auto"/>
            </w:tcBorders>
            <w:vAlign w:val="center"/>
          </w:tcPr>
          <w:p w14:paraId="61FDC508" w14:textId="77777777" w:rsidR="00881462" w:rsidRDefault="009F0A60">
            <w:pPr>
              <w:pStyle w:val="B"/>
              <w:jc w:val="center"/>
            </w:pPr>
            <w:r>
              <w:t>37</w:t>
            </w:r>
          </w:p>
        </w:tc>
        <w:tc>
          <w:tcPr>
            <w:tcW w:w="3386" w:type="pct"/>
            <w:tcBorders>
              <w:top w:val="single" w:sz="2" w:space="0" w:color="auto"/>
              <w:left w:val="single" w:sz="2" w:space="0" w:color="auto"/>
              <w:bottom w:val="single" w:sz="2" w:space="0" w:color="auto"/>
              <w:right w:val="single" w:sz="2" w:space="0" w:color="auto"/>
            </w:tcBorders>
          </w:tcPr>
          <w:p w14:paraId="5F7CBCFD" w14:textId="77777777" w:rsidR="00A052DC" w:rsidRDefault="009F0A60">
            <w:pPr>
              <w:pStyle w:val="B"/>
            </w:pPr>
            <w:r>
              <w:t>I02</w:t>
            </w:r>
            <w:r>
              <w:rPr>
                <w:rFonts w:hint="eastAsia"/>
              </w:rPr>
              <w:t>表：为非居民提供再保险服务（分入保险）</w:t>
            </w:r>
          </w:p>
        </w:tc>
        <w:tc>
          <w:tcPr>
            <w:tcW w:w="1301" w:type="pct"/>
            <w:tcBorders>
              <w:top w:val="single" w:sz="2" w:space="0" w:color="auto"/>
              <w:left w:val="single" w:sz="2" w:space="0" w:color="auto"/>
              <w:bottom w:val="single" w:sz="2" w:space="0" w:color="auto"/>
              <w:right w:val="single" w:sz="4" w:space="0" w:color="auto"/>
            </w:tcBorders>
            <w:vAlign w:val="center"/>
          </w:tcPr>
          <w:p w14:paraId="4F6B2421" w14:textId="77777777" w:rsidR="00A052DC" w:rsidRDefault="009F0A60">
            <w:pPr>
              <w:pStyle w:val="B"/>
            </w:pPr>
            <w:r>
              <w:rPr>
                <w:rFonts w:hint="eastAsia"/>
              </w:rPr>
              <w:t>月后</w:t>
            </w:r>
            <w:r>
              <w:t>10</w:t>
            </w:r>
            <w:r>
              <w:rPr>
                <w:rFonts w:hint="eastAsia"/>
              </w:rPr>
              <w:t>日内报送</w:t>
            </w:r>
          </w:p>
        </w:tc>
      </w:tr>
      <w:tr w:rsidR="00A052DC" w14:paraId="6431A04E" w14:textId="77777777">
        <w:trPr>
          <w:trHeight w:val="284"/>
        </w:trPr>
        <w:tc>
          <w:tcPr>
            <w:tcW w:w="313" w:type="pct"/>
            <w:tcBorders>
              <w:top w:val="single" w:sz="2" w:space="0" w:color="auto"/>
              <w:left w:val="single" w:sz="4" w:space="0" w:color="auto"/>
              <w:bottom w:val="single" w:sz="2" w:space="0" w:color="auto"/>
              <w:right w:val="single" w:sz="2" w:space="0" w:color="auto"/>
            </w:tcBorders>
            <w:vAlign w:val="center"/>
          </w:tcPr>
          <w:p w14:paraId="66952CE2" w14:textId="77777777" w:rsidR="00881462" w:rsidRDefault="009F0A60">
            <w:pPr>
              <w:pStyle w:val="B"/>
              <w:jc w:val="center"/>
            </w:pPr>
            <w:r>
              <w:t>38</w:t>
            </w:r>
          </w:p>
        </w:tc>
        <w:tc>
          <w:tcPr>
            <w:tcW w:w="3386" w:type="pct"/>
            <w:tcBorders>
              <w:top w:val="single" w:sz="2" w:space="0" w:color="auto"/>
              <w:left w:val="single" w:sz="2" w:space="0" w:color="auto"/>
              <w:bottom w:val="single" w:sz="2" w:space="0" w:color="auto"/>
              <w:right w:val="single" w:sz="2" w:space="0" w:color="auto"/>
            </w:tcBorders>
          </w:tcPr>
          <w:p w14:paraId="03E7C182" w14:textId="77777777" w:rsidR="00A052DC" w:rsidRDefault="009F0A60">
            <w:pPr>
              <w:pStyle w:val="B"/>
            </w:pPr>
            <w:r>
              <w:t>I03</w:t>
            </w:r>
            <w:r>
              <w:rPr>
                <w:rFonts w:hint="eastAsia"/>
              </w:rPr>
              <w:t>表：从非居民保险机构获得再保险服务（分出保险）</w:t>
            </w:r>
          </w:p>
        </w:tc>
        <w:tc>
          <w:tcPr>
            <w:tcW w:w="1301" w:type="pct"/>
            <w:tcBorders>
              <w:top w:val="single" w:sz="2" w:space="0" w:color="auto"/>
              <w:left w:val="single" w:sz="2" w:space="0" w:color="auto"/>
              <w:bottom w:val="single" w:sz="2" w:space="0" w:color="auto"/>
              <w:right w:val="single" w:sz="4" w:space="0" w:color="auto"/>
            </w:tcBorders>
            <w:vAlign w:val="center"/>
          </w:tcPr>
          <w:p w14:paraId="6CF73ED0" w14:textId="77777777" w:rsidR="00A052DC" w:rsidRDefault="009F0A60">
            <w:pPr>
              <w:pStyle w:val="B"/>
            </w:pPr>
            <w:r>
              <w:rPr>
                <w:rFonts w:hint="eastAsia"/>
              </w:rPr>
              <w:t>月后</w:t>
            </w:r>
            <w:r>
              <w:t>10</w:t>
            </w:r>
            <w:r>
              <w:rPr>
                <w:rFonts w:hint="eastAsia"/>
              </w:rPr>
              <w:t>日内报送</w:t>
            </w:r>
          </w:p>
        </w:tc>
      </w:tr>
      <w:tr w:rsidR="00A052DC" w14:paraId="6420E724" w14:textId="77777777">
        <w:trPr>
          <w:trHeight w:val="284"/>
        </w:trPr>
        <w:tc>
          <w:tcPr>
            <w:tcW w:w="313" w:type="pct"/>
            <w:tcBorders>
              <w:top w:val="single" w:sz="2" w:space="0" w:color="auto"/>
              <w:left w:val="single" w:sz="4" w:space="0" w:color="auto"/>
              <w:bottom w:val="single" w:sz="2" w:space="0" w:color="auto"/>
              <w:right w:val="single" w:sz="2" w:space="0" w:color="auto"/>
            </w:tcBorders>
            <w:vAlign w:val="center"/>
          </w:tcPr>
          <w:p w14:paraId="5EDFBC28" w14:textId="77777777" w:rsidR="00881462" w:rsidRDefault="009F0A60">
            <w:pPr>
              <w:pStyle w:val="B"/>
              <w:jc w:val="center"/>
            </w:pPr>
            <w:r>
              <w:t>39</w:t>
            </w:r>
          </w:p>
        </w:tc>
        <w:tc>
          <w:tcPr>
            <w:tcW w:w="3386" w:type="pct"/>
            <w:tcBorders>
              <w:top w:val="single" w:sz="2" w:space="0" w:color="auto"/>
              <w:left w:val="single" w:sz="2" w:space="0" w:color="auto"/>
              <w:bottom w:val="single" w:sz="2" w:space="0" w:color="auto"/>
              <w:right w:val="single" w:sz="2" w:space="0" w:color="auto"/>
            </w:tcBorders>
          </w:tcPr>
          <w:p w14:paraId="484232FB" w14:textId="77777777" w:rsidR="00A052DC" w:rsidRDefault="009F0A60">
            <w:pPr>
              <w:pStyle w:val="B"/>
            </w:pPr>
            <w:r>
              <w:t>X01</w:t>
            </w:r>
            <w:r>
              <w:rPr>
                <w:rFonts w:hint="eastAsia"/>
              </w:rPr>
              <w:t>表：银行进出口贸易融资余额</w:t>
            </w:r>
          </w:p>
        </w:tc>
        <w:tc>
          <w:tcPr>
            <w:tcW w:w="1301" w:type="pct"/>
            <w:tcBorders>
              <w:top w:val="single" w:sz="2" w:space="0" w:color="auto"/>
              <w:left w:val="single" w:sz="2" w:space="0" w:color="auto"/>
              <w:bottom w:val="single" w:sz="2" w:space="0" w:color="auto"/>
              <w:right w:val="single" w:sz="4" w:space="0" w:color="auto"/>
            </w:tcBorders>
            <w:vAlign w:val="center"/>
          </w:tcPr>
          <w:p w14:paraId="2EAAA8F7" w14:textId="77777777" w:rsidR="00A052DC" w:rsidRDefault="009F0A60">
            <w:pPr>
              <w:pStyle w:val="B"/>
            </w:pPr>
            <w:r>
              <w:rPr>
                <w:rFonts w:hint="eastAsia"/>
              </w:rPr>
              <w:t>月后</w:t>
            </w:r>
            <w:r>
              <w:t>10</w:t>
            </w:r>
            <w:r>
              <w:rPr>
                <w:rFonts w:hint="eastAsia"/>
              </w:rPr>
              <w:t>日内报送</w:t>
            </w:r>
          </w:p>
        </w:tc>
      </w:tr>
    </w:tbl>
    <w:p w14:paraId="5D5040FE" w14:textId="77777777" w:rsidR="00A052DC" w:rsidRDefault="009F0A60">
      <w:pPr>
        <w:pStyle w:val="3"/>
        <w:ind w:left="0"/>
        <w:rPr>
          <w:rFonts w:ascii="Times New Roman" w:hAnsi="Times New Roman"/>
        </w:rPr>
      </w:pPr>
      <w:bookmarkStart w:id="653" w:name="_Toc455152719"/>
      <w:bookmarkStart w:id="654" w:name="_Toc455152717"/>
      <w:bookmarkStart w:id="655" w:name="_Toc533749728"/>
      <w:bookmarkStart w:id="656" w:name="_Toc527132508"/>
      <w:bookmarkStart w:id="657" w:name="_Toc454454781"/>
      <w:bookmarkStart w:id="658" w:name="_Toc455163896"/>
      <w:bookmarkStart w:id="659" w:name="_Toc454780077"/>
      <w:bookmarkStart w:id="660" w:name="_Toc454464698"/>
      <w:bookmarkStart w:id="661" w:name="_Toc454281201"/>
      <w:bookmarkStart w:id="662" w:name="_Toc454780075"/>
      <w:bookmarkStart w:id="663" w:name="_Toc449104609"/>
      <w:bookmarkStart w:id="664" w:name="_Toc525912049"/>
      <w:bookmarkStart w:id="665" w:name="_Toc454378083"/>
      <w:bookmarkStart w:id="666" w:name="_Toc452557614"/>
      <w:bookmarkStart w:id="667" w:name="_Toc454271555"/>
      <w:bookmarkStart w:id="668" w:name="_Toc454395005"/>
      <w:bookmarkStart w:id="669" w:name="_Toc452552933"/>
      <w:bookmarkStart w:id="670" w:name="_Toc454386710"/>
      <w:bookmarkStart w:id="671" w:name="_Toc455167621"/>
      <w:bookmarkStart w:id="672" w:name="_Toc527963030"/>
      <w:bookmarkStart w:id="673" w:name="_Toc455156445"/>
      <w:bookmarkStart w:id="674" w:name="_Toc532300419"/>
      <w:bookmarkStart w:id="675" w:name="_Toc454378081"/>
      <w:bookmarkStart w:id="676" w:name="_Toc455156447"/>
      <w:bookmarkStart w:id="677" w:name="_Toc454464700"/>
      <w:bookmarkStart w:id="678" w:name="_Toc525912801"/>
      <w:bookmarkStart w:id="679" w:name="_Toc455163898"/>
      <w:bookmarkStart w:id="680" w:name="_Toc533586555"/>
      <w:bookmarkStart w:id="681" w:name="_Toc527964622"/>
      <w:bookmarkStart w:id="682" w:name="_Toc455167623"/>
      <w:bookmarkStart w:id="683" w:name="_Toc454386712"/>
      <w:bookmarkStart w:id="684" w:name="_Toc454395007"/>
      <w:bookmarkStart w:id="685" w:name="_Toc527131437"/>
      <w:bookmarkStart w:id="686" w:name="_Toc454454783"/>
      <w:bookmarkStart w:id="687" w:name="_Toc91455226"/>
      <w:bookmarkStart w:id="688" w:name="_Toc454386713"/>
      <w:bookmarkStart w:id="689" w:name="_Toc101684399"/>
      <w:bookmarkStart w:id="690" w:name="_Toc380356208"/>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r>
        <w:rPr>
          <w:rFonts w:ascii="Times New Roman" w:hAnsi="Times New Roman" w:hint="eastAsia"/>
        </w:rPr>
        <w:t>机构外币现钞存取数据</w:t>
      </w:r>
      <w:bookmarkEnd w:id="687"/>
      <w:bookmarkEnd w:id="688"/>
      <w:bookmarkEnd w:id="689"/>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914"/>
        <w:gridCol w:w="6080"/>
      </w:tblGrid>
      <w:tr w:rsidR="00A052DC" w14:paraId="440A1213" w14:textId="77777777">
        <w:tc>
          <w:tcPr>
            <w:tcW w:w="534" w:type="dxa"/>
            <w:vAlign w:val="center"/>
          </w:tcPr>
          <w:p w14:paraId="6ADA4635" w14:textId="77777777" w:rsidR="00A052DC" w:rsidRDefault="009F0A60">
            <w:pPr>
              <w:pStyle w:val="B"/>
            </w:pPr>
            <w:r>
              <w:t>1</w:t>
            </w:r>
          </w:p>
        </w:tc>
        <w:tc>
          <w:tcPr>
            <w:tcW w:w="1914" w:type="dxa"/>
          </w:tcPr>
          <w:p w14:paraId="52C45BB5" w14:textId="77777777" w:rsidR="00A052DC" w:rsidRDefault="009F0A60">
            <w:pPr>
              <w:pStyle w:val="B"/>
            </w:pPr>
            <w:r>
              <w:rPr>
                <w:rFonts w:hint="eastAsia"/>
              </w:rPr>
              <w:t>机构外币现钞存入数据</w:t>
            </w:r>
          </w:p>
        </w:tc>
        <w:tc>
          <w:tcPr>
            <w:tcW w:w="6080" w:type="dxa"/>
          </w:tcPr>
          <w:p w14:paraId="51FF23B7" w14:textId="77777777" w:rsidR="00A052DC" w:rsidRDefault="009F0A60">
            <w:pPr>
              <w:pStyle w:val="B"/>
            </w:pPr>
            <w:r>
              <w:rPr>
                <w:rFonts w:hint="eastAsia"/>
              </w:rPr>
              <w:t>业务发生后第三个工作日（</w:t>
            </w:r>
            <w:r>
              <w:t>T+</w:t>
            </w:r>
            <w:r>
              <w:rPr>
                <w:rFonts w:hint="eastAsia"/>
              </w:rPr>
              <w:t>3）中午</w:t>
            </w:r>
            <w:r>
              <w:t>12</w:t>
            </w:r>
            <w:r>
              <w:rPr>
                <w:rFonts w:hint="eastAsia"/>
              </w:rPr>
              <w:t>：</w:t>
            </w:r>
            <w:r>
              <w:t>00</w:t>
            </w:r>
            <w:r>
              <w:rPr>
                <w:rFonts w:hint="eastAsia"/>
              </w:rPr>
              <w:t>之前，将逐笔数据报送至国家外汇管理局。</w:t>
            </w:r>
          </w:p>
        </w:tc>
      </w:tr>
      <w:tr w:rsidR="00A052DC" w14:paraId="60B125DA" w14:textId="77777777">
        <w:tc>
          <w:tcPr>
            <w:tcW w:w="534" w:type="dxa"/>
            <w:vAlign w:val="center"/>
          </w:tcPr>
          <w:p w14:paraId="516440A3" w14:textId="77777777" w:rsidR="00A052DC" w:rsidRDefault="009F0A60">
            <w:pPr>
              <w:pStyle w:val="B"/>
            </w:pPr>
            <w:r>
              <w:t>2</w:t>
            </w:r>
          </w:p>
        </w:tc>
        <w:tc>
          <w:tcPr>
            <w:tcW w:w="1914" w:type="dxa"/>
          </w:tcPr>
          <w:p w14:paraId="0E108FF9" w14:textId="77777777" w:rsidR="00A052DC" w:rsidRDefault="009F0A60">
            <w:pPr>
              <w:pStyle w:val="B"/>
            </w:pPr>
            <w:r>
              <w:rPr>
                <w:rFonts w:hint="eastAsia"/>
              </w:rPr>
              <w:t>机构外币现钞提取数据</w:t>
            </w:r>
          </w:p>
        </w:tc>
        <w:tc>
          <w:tcPr>
            <w:tcW w:w="6080" w:type="dxa"/>
          </w:tcPr>
          <w:p w14:paraId="2C70065F" w14:textId="77777777" w:rsidR="00A052DC" w:rsidRDefault="009F0A60">
            <w:pPr>
              <w:pStyle w:val="B"/>
            </w:pPr>
            <w:r>
              <w:rPr>
                <w:rFonts w:hint="eastAsia"/>
              </w:rPr>
              <w:t>业务发生后第三个工作日（</w:t>
            </w:r>
            <w:r>
              <w:t>T+</w:t>
            </w:r>
            <w:r>
              <w:rPr>
                <w:rFonts w:hint="eastAsia"/>
              </w:rPr>
              <w:t>3）中午</w:t>
            </w:r>
            <w:r>
              <w:t>12</w:t>
            </w:r>
            <w:r>
              <w:rPr>
                <w:rFonts w:hint="eastAsia"/>
              </w:rPr>
              <w:t>：</w:t>
            </w:r>
            <w:r>
              <w:t>00</w:t>
            </w:r>
            <w:r>
              <w:rPr>
                <w:rFonts w:hint="eastAsia"/>
              </w:rPr>
              <w:t>之前，将逐笔数据报送至国家外汇管理局。</w:t>
            </w:r>
          </w:p>
        </w:tc>
      </w:tr>
    </w:tbl>
    <w:p w14:paraId="07061702" w14:textId="77777777" w:rsidR="00A052DC" w:rsidRDefault="009F0A60">
      <w:pPr>
        <w:pStyle w:val="3"/>
        <w:ind w:left="0"/>
        <w:rPr>
          <w:rFonts w:ascii="Times New Roman" w:hAnsi="Times New Roman"/>
          <w:color w:val="000000" w:themeColor="text1"/>
        </w:rPr>
      </w:pPr>
      <w:bookmarkStart w:id="691" w:name="_Toc455167625"/>
      <w:bookmarkStart w:id="692" w:name="_Toc454464702"/>
      <w:bookmarkStart w:id="693" w:name="_Toc454454785"/>
      <w:bookmarkStart w:id="694" w:name="_Toc455163900"/>
      <w:bookmarkStart w:id="695" w:name="_Toc455156449"/>
      <w:bookmarkStart w:id="696" w:name="_Toc454378085"/>
      <w:bookmarkStart w:id="697" w:name="_Toc454395009"/>
      <w:bookmarkStart w:id="698" w:name="_Toc455152721"/>
      <w:bookmarkStart w:id="699" w:name="_Toc454780079"/>
      <w:bookmarkStart w:id="700" w:name="_Toc454386714"/>
      <w:bookmarkStart w:id="701" w:name="_Toc91455227"/>
      <w:bookmarkStart w:id="702" w:name="_Toc101684400"/>
      <w:bookmarkStart w:id="703" w:name="_Toc454386715"/>
      <w:bookmarkEnd w:id="691"/>
      <w:bookmarkEnd w:id="692"/>
      <w:bookmarkEnd w:id="693"/>
      <w:bookmarkEnd w:id="694"/>
      <w:bookmarkEnd w:id="695"/>
      <w:bookmarkEnd w:id="696"/>
      <w:bookmarkEnd w:id="697"/>
      <w:bookmarkEnd w:id="698"/>
      <w:bookmarkEnd w:id="699"/>
      <w:bookmarkEnd w:id="700"/>
      <w:r>
        <w:rPr>
          <w:rFonts w:ascii="Times New Roman" w:hAnsi="Times New Roman" w:hint="eastAsia"/>
          <w:color w:val="000000" w:themeColor="text1"/>
        </w:rPr>
        <w:t>银行卡境外交易数据</w:t>
      </w:r>
      <w:bookmarkEnd w:id="701"/>
      <w:bookmarkEnd w:id="702"/>
    </w:p>
    <w:tbl>
      <w:tblPr>
        <w:tblpPr w:leftFromText="180" w:rightFromText="180" w:vertAnchor="text" w:horzAnchor="margin" w:tblpY="159"/>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1620"/>
        <w:gridCol w:w="6080"/>
      </w:tblGrid>
      <w:tr w:rsidR="00A052DC" w14:paraId="3170562D" w14:textId="77777777">
        <w:trPr>
          <w:trHeight w:val="1049"/>
        </w:trPr>
        <w:tc>
          <w:tcPr>
            <w:tcW w:w="828" w:type="dxa"/>
            <w:vAlign w:val="center"/>
          </w:tcPr>
          <w:p w14:paraId="0FAD500B" w14:textId="77777777" w:rsidR="00881462" w:rsidRDefault="009F0A60">
            <w:pPr>
              <w:pStyle w:val="B"/>
              <w:jc w:val="center"/>
            </w:pPr>
            <w:r>
              <w:t>1</w:t>
            </w:r>
          </w:p>
        </w:tc>
        <w:tc>
          <w:tcPr>
            <w:tcW w:w="1620" w:type="dxa"/>
            <w:vAlign w:val="center"/>
          </w:tcPr>
          <w:p w14:paraId="06E45ED6" w14:textId="77777777" w:rsidR="00A052DC" w:rsidRDefault="009F0A60">
            <w:pPr>
              <w:widowControl/>
              <w:jc w:val="left"/>
              <w:rPr>
                <w:rFonts w:ascii="Times New Roman" w:eastAsia="黑体" w:hAnsi="Times New Roman"/>
                <w:color w:val="000000" w:themeColor="text1"/>
                <w:kern w:val="0"/>
                <w:sz w:val="20"/>
                <w:szCs w:val="20"/>
              </w:rPr>
            </w:pPr>
            <w:r>
              <w:rPr>
                <w:rFonts w:ascii="Times New Roman" w:eastAsia="黑体" w:hAnsi="Times New Roman" w:hint="eastAsia"/>
                <w:color w:val="000000" w:themeColor="text1"/>
                <w:kern w:val="0"/>
                <w:sz w:val="20"/>
                <w:szCs w:val="20"/>
              </w:rPr>
              <w:t>银行卡境外提现明细数据</w:t>
            </w:r>
          </w:p>
        </w:tc>
        <w:tc>
          <w:tcPr>
            <w:tcW w:w="6080" w:type="dxa"/>
            <w:vAlign w:val="center"/>
          </w:tcPr>
          <w:p w14:paraId="0216EAFF" w14:textId="77777777" w:rsidR="00881462" w:rsidRDefault="009F0A60">
            <w:pPr>
              <w:pStyle w:val="B"/>
              <w:rPr>
                <w:rFonts w:hAnsi="Times New Roman"/>
              </w:rPr>
            </w:pPr>
            <w:r>
              <w:rPr>
                <w:rFonts w:hint="eastAsia"/>
              </w:rPr>
              <w:t>发卡金融机构每日报送银行卡境外提现业务数据。</w:t>
            </w:r>
          </w:p>
          <w:p w14:paraId="4441F567" w14:textId="77777777" w:rsidR="00881462" w:rsidRDefault="009F0A60">
            <w:pPr>
              <w:pStyle w:val="B"/>
              <w:rPr>
                <w:rFonts w:hAnsi="Times New Roman"/>
              </w:rPr>
            </w:pPr>
            <w:r>
              <w:rPr>
                <w:rFonts w:hint="eastAsia"/>
              </w:rPr>
              <w:t>采集范围：交易授权时间为北京时间</w:t>
            </w:r>
            <w:r>
              <w:rPr>
                <w:rFonts w:hAnsi="Times New Roman"/>
              </w:rPr>
              <w:t>T</w:t>
            </w:r>
            <w:r>
              <w:rPr>
                <w:rFonts w:hint="eastAsia"/>
              </w:rPr>
              <w:t>日</w:t>
            </w:r>
            <w:r>
              <w:rPr>
                <w:rFonts w:hAnsi="Times New Roman"/>
              </w:rPr>
              <w:t>00:00-T</w:t>
            </w:r>
            <w:r>
              <w:rPr>
                <w:rFonts w:hint="eastAsia"/>
              </w:rPr>
              <w:t>日</w:t>
            </w:r>
            <w:r>
              <w:rPr>
                <w:rFonts w:hAnsi="Times New Roman"/>
              </w:rPr>
              <w:t>23:59</w:t>
            </w:r>
            <w:r>
              <w:rPr>
                <w:rFonts w:hAnsi="Times New Roman" w:hint="eastAsia"/>
              </w:rPr>
              <w:t>内</w:t>
            </w:r>
            <w:r>
              <w:rPr>
                <w:rFonts w:hint="eastAsia"/>
              </w:rPr>
              <w:t>的所有提现交易，报送时间要求为</w:t>
            </w:r>
            <w:r>
              <w:rPr>
                <w:rFonts w:hAnsi="Times New Roman"/>
              </w:rPr>
              <w:t>T+1</w:t>
            </w:r>
            <w:r>
              <w:rPr>
                <w:rFonts w:hint="eastAsia"/>
              </w:rPr>
              <w:t>日</w:t>
            </w:r>
            <w:r>
              <w:rPr>
                <w:rFonts w:hAnsi="Times New Roman"/>
              </w:rPr>
              <w:t>12:00</w:t>
            </w:r>
            <w:r>
              <w:rPr>
                <w:rFonts w:hint="eastAsia"/>
              </w:rPr>
              <w:t>前。（为避免系统拥堵，外汇局将于</w:t>
            </w:r>
            <w:r>
              <w:rPr>
                <w:rFonts w:hAnsi="Times New Roman"/>
              </w:rPr>
              <w:t>10:00</w:t>
            </w:r>
            <w:r>
              <w:t>、</w:t>
            </w:r>
            <w:r>
              <w:rPr>
                <w:rFonts w:hAnsi="Times New Roman"/>
              </w:rPr>
              <w:t>11:00</w:t>
            </w:r>
            <w:r>
              <w:t>和</w:t>
            </w:r>
            <w:r>
              <w:rPr>
                <w:rFonts w:hAnsi="Times New Roman"/>
              </w:rPr>
              <w:t>12:00</w:t>
            </w:r>
            <w:r>
              <w:rPr>
                <w:rFonts w:hint="eastAsia"/>
              </w:rPr>
              <w:t>读取数据，建议发卡金融机构于</w:t>
            </w:r>
            <w:r>
              <w:rPr>
                <w:rFonts w:hAnsi="Times New Roman"/>
              </w:rPr>
              <w:t>10:00</w:t>
            </w:r>
            <w:r>
              <w:rPr>
                <w:rFonts w:hint="eastAsia"/>
              </w:rPr>
              <w:t>前报送数据）。</w:t>
            </w:r>
          </w:p>
        </w:tc>
      </w:tr>
      <w:tr w:rsidR="00A052DC" w14:paraId="3E1B0083" w14:textId="77777777">
        <w:trPr>
          <w:trHeight w:val="1049"/>
        </w:trPr>
        <w:tc>
          <w:tcPr>
            <w:tcW w:w="828" w:type="dxa"/>
            <w:vAlign w:val="center"/>
          </w:tcPr>
          <w:p w14:paraId="3DA6BA17" w14:textId="77777777" w:rsidR="00881462" w:rsidRDefault="009F0A60">
            <w:pPr>
              <w:pStyle w:val="B"/>
              <w:jc w:val="center"/>
            </w:pPr>
            <w:r>
              <w:t>2</w:t>
            </w:r>
          </w:p>
        </w:tc>
        <w:tc>
          <w:tcPr>
            <w:tcW w:w="1620" w:type="dxa"/>
            <w:vAlign w:val="center"/>
          </w:tcPr>
          <w:p w14:paraId="403DD19B" w14:textId="77777777" w:rsidR="00A052DC" w:rsidRDefault="009F0A60">
            <w:pPr>
              <w:jc w:val="left"/>
              <w:rPr>
                <w:rFonts w:ascii="Times New Roman" w:eastAsia="黑体" w:hAnsi="Times New Roman"/>
                <w:color w:val="000000" w:themeColor="text1"/>
                <w:kern w:val="0"/>
                <w:sz w:val="20"/>
                <w:szCs w:val="20"/>
              </w:rPr>
            </w:pPr>
            <w:r>
              <w:rPr>
                <w:rFonts w:ascii="Times New Roman" w:eastAsia="黑体" w:hAnsi="Times New Roman" w:hint="eastAsia"/>
                <w:color w:val="000000" w:themeColor="text1"/>
                <w:kern w:val="0"/>
                <w:sz w:val="20"/>
                <w:szCs w:val="20"/>
              </w:rPr>
              <w:t>银行卡境外消费明细数据</w:t>
            </w:r>
          </w:p>
        </w:tc>
        <w:tc>
          <w:tcPr>
            <w:tcW w:w="6080" w:type="dxa"/>
            <w:vAlign w:val="center"/>
          </w:tcPr>
          <w:p w14:paraId="1E9F0B91" w14:textId="77777777" w:rsidR="00881462" w:rsidRDefault="009F0A60">
            <w:pPr>
              <w:pStyle w:val="B"/>
              <w:rPr>
                <w:rFonts w:hAnsi="Times New Roman"/>
              </w:rPr>
            </w:pPr>
            <w:r>
              <w:rPr>
                <w:rFonts w:hint="eastAsia"/>
              </w:rPr>
              <w:t>发卡金融机构每日报送银行卡境外消费业务数据。</w:t>
            </w:r>
          </w:p>
          <w:p w14:paraId="568B6E80" w14:textId="77777777" w:rsidR="00881462" w:rsidRDefault="009F0A60">
            <w:pPr>
              <w:pStyle w:val="B"/>
              <w:rPr>
                <w:rFonts w:hAnsi="Times New Roman"/>
              </w:rPr>
            </w:pPr>
            <w:r>
              <w:rPr>
                <w:rFonts w:hint="eastAsia"/>
              </w:rPr>
              <w:t>采集范围：交易授权时间为北京时间</w:t>
            </w:r>
            <w:r>
              <w:rPr>
                <w:rFonts w:hAnsi="Times New Roman"/>
              </w:rPr>
              <w:t>T</w:t>
            </w:r>
            <w:r>
              <w:rPr>
                <w:rFonts w:hint="eastAsia"/>
              </w:rPr>
              <w:t>日</w:t>
            </w:r>
            <w:r>
              <w:rPr>
                <w:rFonts w:hAnsi="Times New Roman"/>
              </w:rPr>
              <w:t>00:00-T</w:t>
            </w:r>
            <w:r>
              <w:rPr>
                <w:rFonts w:hint="eastAsia"/>
              </w:rPr>
              <w:t>日</w:t>
            </w:r>
            <w:r>
              <w:rPr>
                <w:rFonts w:hAnsi="Times New Roman"/>
              </w:rPr>
              <w:t>23:59</w:t>
            </w:r>
            <w:r>
              <w:rPr>
                <w:rFonts w:hint="eastAsia"/>
              </w:rPr>
              <w:t>内的所有消费交易，报送时间要求为</w:t>
            </w:r>
            <w:r>
              <w:rPr>
                <w:rFonts w:hAnsi="Times New Roman"/>
              </w:rPr>
              <w:t>T+1</w:t>
            </w:r>
            <w:r>
              <w:rPr>
                <w:rFonts w:hint="eastAsia"/>
              </w:rPr>
              <w:t>日</w:t>
            </w:r>
            <w:r>
              <w:rPr>
                <w:rFonts w:hAnsi="Times New Roman"/>
              </w:rPr>
              <w:t>12:00</w:t>
            </w:r>
            <w:r>
              <w:rPr>
                <w:rFonts w:hint="eastAsia"/>
              </w:rPr>
              <w:t>前。（为避免系统拥堵，外汇局将于</w:t>
            </w:r>
            <w:r>
              <w:rPr>
                <w:rFonts w:hAnsi="Times New Roman"/>
              </w:rPr>
              <w:t>10:00</w:t>
            </w:r>
            <w:r>
              <w:rPr>
                <w:rFonts w:hint="eastAsia"/>
              </w:rPr>
              <w:t>、</w:t>
            </w:r>
            <w:r>
              <w:rPr>
                <w:rFonts w:hAnsi="Times New Roman"/>
              </w:rPr>
              <w:t>11:00</w:t>
            </w:r>
            <w:r>
              <w:rPr>
                <w:rFonts w:hint="eastAsia"/>
              </w:rPr>
              <w:t>和</w:t>
            </w:r>
            <w:r>
              <w:rPr>
                <w:rFonts w:hAnsi="Times New Roman"/>
              </w:rPr>
              <w:t>12:00</w:t>
            </w:r>
            <w:r>
              <w:rPr>
                <w:rFonts w:hint="eastAsia"/>
              </w:rPr>
              <w:t>读取数据，建议发卡金融机构于</w:t>
            </w:r>
            <w:r>
              <w:rPr>
                <w:rFonts w:hAnsi="Times New Roman"/>
              </w:rPr>
              <w:t>10:00</w:t>
            </w:r>
            <w:r>
              <w:rPr>
                <w:rFonts w:hint="eastAsia"/>
              </w:rPr>
              <w:t>前报送数据）。</w:t>
            </w:r>
          </w:p>
        </w:tc>
      </w:tr>
    </w:tbl>
    <w:p w14:paraId="2CEF7D87" w14:textId="77777777" w:rsidR="00A052DC" w:rsidRDefault="00A052DC">
      <w:pPr>
        <w:rPr>
          <w:rFonts w:ascii="Times New Roman" w:hAnsi="Times New Roman"/>
          <w:color w:val="000000" w:themeColor="text1"/>
        </w:rPr>
      </w:pPr>
    </w:p>
    <w:p w14:paraId="7AAF7902" w14:textId="77777777" w:rsidR="00A052DC" w:rsidRDefault="009F0A60">
      <w:pPr>
        <w:spacing w:line="360" w:lineRule="auto"/>
        <w:ind w:firstLineChars="200" w:firstLine="480"/>
        <w:rPr>
          <w:rFonts w:ascii="Times New Roman" w:hAnsi="Times New Roman"/>
          <w:color w:val="000000" w:themeColor="text1"/>
          <w:kern w:val="0"/>
          <w:sz w:val="24"/>
          <w:szCs w:val="20"/>
        </w:rPr>
      </w:pPr>
      <w:r>
        <w:rPr>
          <w:rFonts w:ascii="Times New Roman" w:hAnsi="Times New Roman" w:hint="eastAsia"/>
          <w:color w:val="000000" w:themeColor="text1"/>
          <w:kern w:val="0"/>
          <w:sz w:val="24"/>
          <w:szCs w:val="20"/>
        </w:rPr>
        <w:t>数据采集的批次及时间要求根据银行卡境外交易外汇管理要求可能调整，金融机构应预留灵活配置的机制。</w:t>
      </w:r>
    </w:p>
    <w:p w14:paraId="38C2412E" w14:textId="77777777" w:rsidR="00A052DC" w:rsidRDefault="009F0A60">
      <w:pPr>
        <w:spacing w:line="360" w:lineRule="auto"/>
        <w:ind w:firstLineChars="200" w:firstLine="480"/>
        <w:rPr>
          <w:rFonts w:ascii="Times New Roman" w:hAnsi="Times New Roman"/>
          <w:color w:val="000000" w:themeColor="text1"/>
          <w:kern w:val="0"/>
          <w:sz w:val="24"/>
          <w:szCs w:val="20"/>
        </w:rPr>
      </w:pPr>
      <w:r>
        <w:rPr>
          <w:rFonts w:ascii="Times New Roman" w:hAnsi="Times New Roman" w:hint="eastAsia"/>
          <w:color w:val="000000" w:themeColor="text1"/>
          <w:kern w:val="0"/>
          <w:sz w:val="24"/>
          <w:szCs w:val="20"/>
        </w:rPr>
        <w:t>金融机构应及时处理外汇局反馈的错误信息，并于下个报送周期将修改后的数据报送外汇局。</w:t>
      </w:r>
    </w:p>
    <w:p w14:paraId="0F4B5A81" w14:textId="77777777" w:rsidR="00A052DC" w:rsidRDefault="009F0A60" w:rsidP="0020251D">
      <w:pPr>
        <w:pStyle w:val="3"/>
        <w:ind w:left="0"/>
        <w:rPr>
          <w:rFonts w:ascii="Times New Roman" w:hAnsi="Times New Roman"/>
          <w:color w:val="000000" w:themeColor="text1"/>
        </w:rPr>
      </w:pPr>
      <w:bookmarkStart w:id="704" w:name="_Toc101684401"/>
      <w:r>
        <w:rPr>
          <w:rFonts w:ascii="Times New Roman" w:hAnsi="Times New Roman" w:hint="eastAsia"/>
          <w:color w:val="000000" w:themeColor="text1"/>
        </w:rPr>
        <w:t>涉嫌外汇违规账户信息</w:t>
      </w:r>
      <w:bookmarkEnd w:id="704"/>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914"/>
        <w:gridCol w:w="6080"/>
      </w:tblGrid>
      <w:tr w:rsidR="00A052DC" w14:paraId="020400A7" w14:textId="77777777">
        <w:trPr>
          <w:jc w:val="center"/>
        </w:trPr>
        <w:tc>
          <w:tcPr>
            <w:tcW w:w="534" w:type="dxa"/>
            <w:vAlign w:val="center"/>
          </w:tcPr>
          <w:p w14:paraId="58DBC3B4" w14:textId="77777777" w:rsidR="00881462" w:rsidRDefault="009F0A60">
            <w:pPr>
              <w:pStyle w:val="B"/>
              <w:jc w:val="center"/>
            </w:pPr>
            <w:r>
              <w:t>1</w:t>
            </w:r>
          </w:p>
        </w:tc>
        <w:tc>
          <w:tcPr>
            <w:tcW w:w="1914" w:type="dxa"/>
          </w:tcPr>
          <w:p w14:paraId="01EFBD1E" w14:textId="77777777" w:rsidR="00A052DC" w:rsidRDefault="009F0A60">
            <w:pPr>
              <w:pStyle w:val="B"/>
            </w:pPr>
            <w:r>
              <w:rPr>
                <w:rFonts w:hint="eastAsia"/>
              </w:rPr>
              <w:t>涉嫌外汇违规账户查询回复信息</w:t>
            </w:r>
          </w:p>
        </w:tc>
        <w:tc>
          <w:tcPr>
            <w:tcW w:w="6080" w:type="dxa"/>
            <w:vAlign w:val="center"/>
          </w:tcPr>
          <w:p w14:paraId="6536CA83" w14:textId="77777777" w:rsidR="00A052DC" w:rsidRDefault="009F0A60">
            <w:pPr>
              <w:pStyle w:val="B"/>
            </w:pPr>
            <w:r>
              <w:rPr>
                <w:rFonts w:hint="eastAsia"/>
              </w:rPr>
              <w:t>应在收到外汇局查询信息后3个工作日（T+3）内报送。</w:t>
            </w:r>
          </w:p>
        </w:tc>
      </w:tr>
      <w:tr w:rsidR="00A052DC" w14:paraId="2B984559" w14:textId="77777777">
        <w:trPr>
          <w:jc w:val="center"/>
        </w:trPr>
        <w:tc>
          <w:tcPr>
            <w:tcW w:w="534" w:type="dxa"/>
            <w:vAlign w:val="center"/>
          </w:tcPr>
          <w:p w14:paraId="6E99B0DA" w14:textId="77777777" w:rsidR="00881462" w:rsidRDefault="009F0A60">
            <w:pPr>
              <w:pStyle w:val="B"/>
              <w:jc w:val="center"/>
            </w:pPr>
            <w:r>
              <w:t>2</w:t>
            </w:r>
          </w:p>
        </w:tc>
        <w:tc>
          <w:tcPr>
            <w:tcW w:w="1914" w:type="dxa"/>
          </w:tcPr>
          <w:p w14:paraId="19227F28" w14:textId="77777777" w:rsidR="00A052DC" w:rsidRDefault="009F0A60">
            <w:pPr>
              <w:pStyle w:val="B"/>
            </w:pPr>
            <w:r>
              <w:rPr>
                <w:rFonts w:hint="eastAsia"/>
              </w:rPr>
              <w:t>涉嫌外汇违规账户基础信息</w:t>
            </w:r>
          </w:p>
        </w:tc>
        <w:tc>
          <w:tcPr>
            <w:tcW w:w="6080" w:type="dxa"/>
            <w:vAlign w:val="center"/>
          </w:tcPr>
          <w:p w14:paraId="5B74D18F" w14:textId="77777777" w:rsidR="00A052DC" w:rsidRDefault="009F0A60">
            <w:pPr>
              <w:pStyle w:val="B"/>
            </w:pPr>
            <w:r>
              <w:rPr>
                <w:rFonts w:hint="eastAsia"/>
              </w:rPr>
              <w:t>应在外汇局要求的反馈时间内反馈相关数据信息。</w:t>
            </w:r>
          </w:p>
        </w:tc>
      </w:tr>
      <w:tr w:rsidR="00A052DC" w14:paraId="1BEE9A3D" w14:textId="77777777">
        <w:trPr>
          <w:jc w:val="center"/>
        </w:trPr>
        <w:tc>
          <w:tcPr>
            <w:tcW w:w="534" w:type="dxa"/>
            <w:vAlign w:val="center"/>
          </w:tcPr>
          <w:p w14:paraId="0BA93E7A" w14:textId="77777777" w:rsidR="00881462" w:rsidRDefault="009F0A60">
            <w:pPr>
              <w:pStyle w:val="B"/>
              <w:jc w:val="center"/>
            </w:pPr>
            <w:r>
              <w:t>3</w:t>
            </w:r>
          </w:p>
        </w:tc>
        <w:tc>
          <w:tcPr>
            <w:tcW w:w="1914" w:type="dxa"/>
          </w:tcPr>
          <w:p w14:paraId="76CE8B4F" w14:textId="77777777" w:rsidR="00A052DC" w:rsidRDefault="009F0A60">
            <w:pPr>
              <w:pStyle w:val="B"/>
            </w:pPr>
            <w:r>
              <w:rPr>
                <w:rFonts w:hint="eastAsia"/>
              </w:rPr>
              <w:t>涉嫌外汇违规账户交易明细信息</w:t>
            </w:r>
          </w:p>
        </w:tc>
        <w:tc>
          <w:tcPr>
            <w:tcW w:w="6080" w:type="dxa"/>
            <w:vAlign w:val="center"/>
          </w:tcPr>
          <w:p w14:paraId="6CC3505B" w14:textId="77777777" w:rsidR="00A052DC" w:rsidRDefault="009F0A60">
            <w:pPr>
              <w:pStyle w:val="B"/>
            </w:pPr>
            <w:r>
              <w:rPr>
                <w:rFonts w:hint="eastAsia"/>
              </w:rPr>
              <w:t>应在外汇局要求的反馈时间内反馈相关数据信息。</w:t>
            </w:r>
          </w:p>
        </w:tc>
      </w:tr>
    </w:tbl>
    <w:p w14:paraId="2B9FCE48" w14:textId="77777777" w:rsidR="00A052DC" w:rsidRDefault="009F0A60">
      <w:pPr>
        <w:pStyle w:val="3"/>
        <w:ind w:left="0"/>
        <w:rPr>
          <w:rFonts w:ascii="Times New Roman" w:hAnsi="Times New Roman"/>
          <w:color w:val="000000" w:themeColor="text1"/>
        </w:rPr>
      </w:pPr>
      <w:bookmarkStart w:id="705" w:name="_Toc101684402"/>
      <w:r>
        <w:rPr>
          <w:rFonts w:ascii="Times New Roman" w:hAnsi="Times New Roman" w:hint="eastAsia"/>
          <w:color w:val="000000" w:themeColor="text1"/>
        </w:rPr>
        <w:t>机构大额结售汇资金来源和使用数据</w:t>
      </w:r>
      <w:bookmarkEnd w:id="705"/>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914"/>
        <w:gridCol w:w="6080"/>
      </w:tblGrid>
      <w:tr w:rsidR="00A052DC" w14:paraId="70BCAAA6" w14:textId="77777777" w:rsidTr="007C7B79">
        <w:tc>
          <w:tcPr>
            <w:tcW w:w="534" w:type="dxa"/>
            <w:vAlign w:val="center"/>
          </w:tcPr>
          <w:p w14:paraId="2CB97BDF" w14:textId="77777777" w:rsidR="00881462" w:rsidRDefault="009F0A60">
            <w:pPr>
              <w:pStyle w:val="B"/>
              <w:jc w:val="center"/>
            </w:pPr>
            <w:r>
              <w:rPr>
                <w:rFonts w:hint="eastAsia"/>
              </w:rPr>
              <w:t>1</w:t>
            </w:r>
          </w:p>
        </w:tc>
        <w:tc>
          <w:tcPr>
            <w:tcW w:w="1914" w:type="dxa"/>
            <w:vAlign w:val="center"/>
          </w:tcPr>
          <w:p w14:paraId="62D1DA13" w14:textId="77777777" w:rsidR="00A052DC" w:rsidRDefault="009F0A60">
            <w:pPr>
              <w:pStyle w:val="B"/>
            </w:pPr>
            <w:r>
              <w:rPr>
                <w:rFonts w:hint="eastAsia"/>
              </w:rPr>
              <w:t>机构大额结汇资金使用数据</w:t>
            </w:r>
          </w:p>
        </w:tc>
        <w:tc>
          <w:tcPr>
            <w:tcW w:w="6080" w:type="dxa"/>
          </w:tcPr>
          <w:p w14:paraId="27A7F05B" w14:textId="77777777" w:rsidR="00A052DC" w:rsidRDefault="009F0A60">
            <w:pPr>
              <w:pStyle w:val="B"/>
            </w:pPr>
            <w:r>
              <w:rPr>
                <w:rFonts w:hint="eastAsia"/>
              </w:rPr>
              <w:t>应于结汇资金汇入的居民人民币账户发生划转业务后的第3个工作日（T+3）中午12:00之前报送。</w:t>
            </w:r>
          </w:p>
        </w:tc>
      </w:tr>
      <w:tr w:rsidR="00A052DC" w14:paraId="395916BE" w14:textId="77777777" w:rsidTr="007C7B79">
        <w:tc>
          <w:tcPr>
            <w:tcW w:w="534" w:type="dxa"/>
            <w:vAlign w:val="center"/>
          </w:tcPr>
          <w:p w14:paraId="10EB891C" w14:textId="77777777" w:rsidR="00881462" w:rsidRDefault="009F0A60">
            <w:pPr>
              <w:pStyle w:val="B"/>
              <w:jc w:val="center"/>
            </w:pPr>
            <w:r>
              <w:rPr>
                <w:rFonts w:hint="eastAsia"/>
              </w:rPr>
              <w:t>2</w:t>
            </w:r>
          </w:p>
        </w:tc>
        <w:tc>
          <w:tcPr>
            <w:tcW w:w="1914" w:type="dxa"/>
            <w:vAlign w:val="center"/>
          </w:tcPr>
          <w:p w14:paraId="36F7B2BE" w14:textId="77777777" w:rsidR="00A052DC" w:rsidRDefault="009F0A60">
            <w:pPr>
              <w:pStyle w:val="B"/>
            </w:pPr>
            <w:r>
              <w:rPr>
                <w:rFonts w:hint="eastAsia"/>
              </w:rPr>
              <w:t>机构大额购汇资金来源数据</w:t>
            </w:r>
          </w:p>
        </w:tc>
        <w:tc>
          <w:tcPr>
            <w:tcW w:w="6080" w:type="dxa"/>
          </w:tcPr>
          <w:p w14:paraId="5790E602" w14:textId="77777777" w:rsidR="00A052DC" w:rsidRDefault="009F0A60">
            <w:pPr>
              <w:pStyle w:val="B"/>
              <w:widowControl w:val="0"/>
            </w:pPr>
            <w:r>
              <w:rPr>
                <w:rFonts w:hint="eastAsia"/>
              </w:rPr>
              <w:t>应于购汇业务发生后的第3个工作日（T+3）中午12:00前，按照数据采集范围要求，逐笔报送该笔购汇业务前T</w:t>
            </w:r>
            <w:r>
              <w:rPr>
                <w:vertAlign w:val="subscript"/>
              </w:rPr>
              <w:t>2</w:t>
            </w:r>
            <w:r>
              <w:rPr>
                <w:rFonts w:hint="eastAsia"/>
              </w:rPr>
              <w:t>个工作日（含购汇当日）内的购汇资金来源数据。</w:t>
            </w:r>
          </w:p>
          <w:p w14:paraId="6CD4C366" w14:textId="77777777" w:rsidR="00A052DC" w:rsidRDefault="009F0A60">
            <w:pPr>
              <w:pStyle w:val="B"/>
            </w:pPr>
            <w:r>
              <w:rPr>
                <w:rFonts w:hint="eastAsia"/>
              </w:rPr>
              <w:t>其中参数T</w:t>
            </w:r>
            <w:r>
              <w:rPr>
                <w:vertAlign w:val="subscript"/>
              </w:rPr>
              <w:t>2</w:t>
            </w:r>
            <w:r>
              <w:rPr>
                <w:rFonts w:hint="eastAsia"/>
              </w:rPr>
              <w:t>，依据</w:t>
            </w:r>
            <w:r w:rsidR="005D7F7E">
              <w:rPr>
                <w:rFonts w:hint="eastAsia"/>
              </w:rPr>
              <w:t>《国家外汇管理局综合司关于金融机构报送3类数据的通知》（汇综发〔2022〕34号）</w:t>
            </w:r>
            <w:r>
              <w:rPr>
                <w:rFonts w:hint="eastAsia"/>
              </w:rPr>
              <w:t>确定。</w:t>
            </w:r>
          </w:p>
        </w:tc>
      </w:tr>
    </w:tbl>
    <w:p w14:paraId="29CA4613" w14:textId="77777777" w:rsidR="00A052DC" w:rsidRDefault="00A052DC">
      <w:pPr>
        <w:rPr>
          <w:color w:val="000000" w:themeColor="text1"/>
        </w:rPr>
      </w:pPr>
    </w:p>
    <w:p w14:paraId="4FEF1294" w14:textId="77777777" w:rsidR="00A052DC" w:rsidRDefault="009F0A60" w:rsidP="0020251D">
      <w:pPr>
        <w:pStyle w:val="2"/>
        <w:rPr>
          <w:rFonts w:ascii="Times New Roman" w:hAnsi="Times New Roman"/>
        </w:rPr>
      </w:pPr>
      <w:bookmarkStart w:id="706" w:name="_Toc91455230"/>
      <w:bookmarkStart w:id="707" w:name="_Toc101684403"/>
      <w:r>
        <w:rPr>
          <w:rFonts w:ascii="Times New Roman" w:hAnsi="Times New Roman" w:hint="eastAsia"/>
        </w:rPr>
        <w:t>数据报送原则</w:t>
      </w:r>
      <w:bookmarkEnd w:id="690"/>
      <w:bookmarkEnd w:id="703"/>
      <w:bookmarkEnd w:id="706"/>
      <w:bookmarkEnd w:id="707"/>
    </w:p>
    <w:p w14:paraId="21A8A324" w14:textId="77777777" w:rsidR="00A052DC" w:rsidRDefault="009F0A60" w:rsidP="0020251D">
      <w:pPr>
        <w:pStyle w:val="3"/>
        <w:ind w:left="0"/>
        <w:rPr>
          <w:rFonts w:ascii="Times New Roman" w:hAnsi="Times New Roman"/>
        </w:rPr>
      </w:pPr>
      <w:bookmarkStart w:id="708" w:name="_Toc454386716"/>
      <w:bookmarkStart w:id="709" w:name="_Toc380356209"/>
      <w:bookmarkStart w:id="710" w:name="_Toc91455231"/>
      <w:bookmarkStart w:id="711" w:name="_Toc101684404"/>
      <w:r>
        <w:rPr>
          <w:rFonts w:ascii="Times New Roman" w:hAnsi="Times New Roman" w:hint="eastAsia"/>
        </w:rPr>
        <w:t>数据接口报送原则</w:t>
      </w:r>
      <w:bookmarkEnd w:id="708"/>
      <w:bookmarkEnd w:id="709"/>
      <w:bookmarkEnd w:id="710"/>
      <w:bookmarkEnd w:id="711"/>
    </w:p>
    <w:p w14:paraId="5D875AB7" w14:textId="77777777" w:rsidR="00A052DC" w:rsidRDefault="009F0A60">
      <w:pPr>
        <w:pStyle w:val="aa"/>
        <w:numPr>
          <w:ilvl w:val="0"/>
          <w:numId w:val="12"/>
        </w:numPr>
        <w:spacing w:after="0"/>
        <w:ind w:left="0" w:firstLine="480"/>
        <w:rPr>
          <w:rFonts w:ascii="Times New Roman" w:eastAsia="宋体" w:hAnsi="Times New Roman"/>
        </w:rPr>
      </w:pPr>
      <w:r>
        <w:rPr>
          <w:rFonts w:ascii="Times New Roman" w:eastAsia="宋体" w:hAnsi="Times New Roman" w:hint="eastAsia"/>
        </w:rPr>
        <w:t>通过接口方式报送的数据应按照本文档所列的数据报送时间要求完成。</w:t>
      </w:r>
    </w:p>
    <w:p w14:paraId="2CB018FD" w14:textId="77777777" w:rsidR="00A052DC" w:rsidRDefault="009F0A60">
      <w:pPr>
        <w:pStyle w:val="aa"/>
        <w:numPr>
          <w:ilvl w:val="0"/>
          <w:numId w:val="12"/>
        </w:numPr>
        <w:spacing w:after="0"/>
        <w:ind w:left="0" w:firstLine="480"/>
        <w:rPr>
          <w:rFonts w:ascii="Times New Roman" w:eastAsia="宋体" w:hAnsi="Times New Roman"/>
        </w:rPr>
      </w:pPr>
      <w:r>
        <w:rPr>
          <w:rFonts w:ascii="Times New Roman" w:eastAsia="宋体" w:hAnsi="Times New Roman" w:hint="eastAsia"/>
        </w:rPr>
        <w:t>接口数据的修改、删除必须通过接口来完成。</w:t>
      </w:r>
    </w:p>
    <w:p w14:paraId="7ABB7B12" w14:textId="77777777" w:rsidR="00A052DC" w:rsidRDefault="009F0A60">
      <w:pPr>
        <w:pStyle w:val="aa"/>
        <w:numPr>
          <w:ilvl w:val="0"/>
          <w:numId w:val="12"/>
        </w:numPr>
        <w:spacing w:after="0"/>
        <w:ind w:left="0" w:firstLine="480"/>
        <w:rPr>
          <w:rFonts w:ascii="Times New Roman" w:eastAsia="宋体" w:hAnsi="Times New Roman"/>
        </w:rPr>
      </w:pPr>
      <w:r>
        <w:rPr>
          <w:rFonts w:ascii="Times New Roman" w:eastAsia="宋体" w:hAnsi="Times New Roman" w:hint="eastAsia"/>
        </w:rPr>
        <w:t>接口数据应符合各类数据的校验规则。业务编号允许跳号，不允许重号，已删除的业务编号不允许再次使用。所有金额都只保留到小数点后两位。</w:t>
      </w:r>
    </w:p>
    <w:p w14:paraId="056D6797" w14:textId="77777777" w:rsidR="00A052DC" w:rsidRDefault="009F0A60">
      <w:pPr>
        <w:pStyle w:val="aa"/>
        <w:numPr>
          <w:ilvl w:val="0"/>
          <w:numId w:val="12"/>
        </w:numPr>
        <w:spacing w:after="0"/>
        <w:ind w:left="0" w:firstLine="480"/>
        <w:rPr>
          <w:rFonts w:ascii="Times New Roman" w:eastAsia="宋体" w:hAnsi="Times New Roman"/>
        </w:rPr>
      </w:pPr>
      <w:r>
        <w:rPr>
          <w:rFonts w:ascii="Times New Roman" w:eastAsia="宋体" w:hAnsi="Times New Roman" w:hint="eastAsia"/>
        </w:rPr>
        <w:t>针对同一接口控制文件所包含各类接口数据文件：同一个接口文件中的业务数据主键不得重复；每个接口数据文件中记录数不应超过</w:t>
      </w:r>
      <w:r>
        <w:rPr>
          <w:rFonts w:ascii="Times New Roman" w:eastAsia="宋体" w:hAnsi="Times New Roman"/>
        </w:rPr>
        <w:t>5000</w:t>
      </w:r>
      <w:r>
        <w:rPr>
          <w:rFonts w:ascii="Times New Roman" w:eastAsia="宋体" w:hAnsi="Times New Roman" w:hint="eastAsia"/>
        </w:rPr>
        <w:t>条。如果某类接口数据记录数大于</w:t>
      </w:r>
      <w:r>
        <w:rPr>
          <w:rFonts w:ascii="Times New Roman" w:eastAsia="宋体" w:hAnsi="Times New Roman"/>
        </w:rPr>
        <w:t>5000</w:t>
      </w:r>
      <w:r>
        <w:rPr>
          <w:rFonts w:ascii="Times New Roman" w:eastAsia="宋体" w:hAnsi="Times New Roman" w:hint="eastAsia"/>
        </w:rPr>
        <w:t>条，要拆分成多个接口数据文件。</w:t>
      </w:r>
    </w:p>
    <w:p w14:paraId="512BBDAF" w14:textId="77777777" w:rsidR="00A052DC" w:rsidRDefault="009F0A60">
      <w:pPr>
        <w:pStyle w:val="aa"/>
        <w:numPr>
          <w:ilvl w:val="0"/>
          <w:numId w:val="12"/>
        </w:numPr>
        <w:spacing w:after="0"/>
        <w:ind w:left="0" w:firstLine="480"/>
        <w:rPr>
          <w:rFonts w:ascii="Times New Roman" w:eastAsia="宋体" w:hAnsi="Times New Roman"/>
        </w:rPr>
      </w:pPr>
      <w:r>
        <w:rPr>
          <w:rFonts w:ascii="Times New Roman" w:eastAsia="宋体" w:hAnsi="Times New Roman" w:hint="eastAsia"/>
        </w:rPr>
        <w:t>接口文件采用</w:t>
      </w:r>
      <w:r>
        <w:rPr>
          <w:rFonts w:ascii="Times New Roman" w:eastAsia="宋体" w:hAnsi="Times New Roman"/>
        </w:rPr>
        <w:t>XML</w:t>
      </w:r>
      <w:r>
        <w:rPr>
          <w:rFonts w:ascii="Times New Roman" w:eastAsia="宋体" w:hAnsi="Times New Roman" w:hint="eastAsia"/>
        </w:rPr>
        <w:t>格式。接口文件中的中文字符集采用</w:t>
      </w:r>
      <w:r>
        <w:rPr>
          <w:rFonts w:ascii="Times New Roman" w:eastAsia="宋体" w:hAnsi="Times New Roman"/>
        </w:rPr>
        <w:t>GB18030</w:t>
      </w:r>
      <w:r>
        <w:rPr>
          <w:rFonts w:ascii="Times New Roman" w:eastAsia="宋体" w:hAnsi="Times New Roman" w:hint="eastAsia"/>
        </w:rPr>
        <w:t>，其余使用</w:t>
      </w:r>
      <w:r>
        <w:rPr>
          <w:rFonts w:ascii="Times New Roman" w:eastAsia="宋体" w:hAnsi="Times New Roman"/>
        </w:rPr>
        <w:t>ASCII</w:t>
      </w:r>
      <w:r>
        <w:rPr>
          <w:rFonts w:ascii="Times New Roman" w:eastAsia="宋体" w:hAnsi="Times New Roman" w:hint="eastAsia"/>
        </w:rPr>
        <w:t>字符集。所有接口文件的第一行应为：</w:t>
      </w:r>
      <w:r>
        <w:rPr>
          <w:rFonts w:ascii="Times New Roman" w:eastAsia="宋体" w:hAnsi="Times New Roman"/>
        </w:rPr>
        <w:t>&lt;?xml version="1.0" encoding="gb18030"?&gt;</w:t>
      </w:r>
    </w:p>
    <w:p w14:paraId="1618B466" w14:textId="77777777" w:rsidR="00A052DC" w:rsidRDefault="009F0A60">
      <w:pPr>
        <w:pStyle w:val="aa"/>
        <w:numPr>
          <w:ilvl w:val="0"/>
          <w:numId w:val="12"/>
        </w:numPr>
        <w:spacing w:after="0"/>
        <w:ind w:left="0" w:firstLine="480"/>
        <w:rPr>
          <w:rFonts w:ascii="Times New Roman" w:eastAsia="宋体" w:hAnsi="Times New Roman"/>
        </w:rPr>
      </w:pPr>
      <w:r>
        <w:rPr>
          <w:rFonts w:ascii="Times New Roman" w:eastAsia="宋体" w:hAnsi="Times New Roman" w:hint="eastAsia"/>
        </w:rPr>
        <w:t>金融机构开发其接口程序时，须按</w:t>
      </w:r>
      <w:r>
        <w:rPr>
          <w:rFonts w:ascii="Times New Roman" w:eastAsia="宋体" w:hAnsi="Times New Roman"/>
        </w:rPr>
        <w:t>XML</w:t>
      </w:r>
      <w:r>
        <w:rPr>
          <w:rFonts w:ascii="Times New Roman" w:eastAsia="宋体" w:hAnsi="Times New Roman" w:hint="eastAsia"/>
        </w:rPr>
        <w:t>语法的规定，将</w:t>
      </w:r>
      <w:r>
        <w:rPr>
          <w:rFonts w:ascii="Times New Roman" w:eastAsia="宋体" w:hAnsi="Times New Roman"/>
        </w:rPr>
        <w:t>XML</w:t>
      </w:r>
      <w:r>
        <w:rPr>
          <w:rFonts w:ascii="Times New Roman" w:eastAsia="宋体" w:hAnsi="Times New Roman" w:hint="eastAsia"/>
        </w:rPr>
        <w:t>保留字符进行替换，如下所示：左栏字符须用右栏对应实体替代。</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6"/>
        <w:gridCol w:w="4276"/>
      </w:tblGrid>
      <w:tr w:rsidR="00A052DC" w14:paraId="7A5433F9" w14:textId="77777777">
        <w:tc>
          <w:tcPr>
            <w:tcW w:w="2491" w:type="pct"/>
          </w:tcPr>
          <w:p w14:paraId="4CCD6E04" w14:textId="77777777" w:rsidR="00A052DC" w:rsidRDefault="009F0A60">
            <w:pPr>
              <w:pStyle w:val="aa"/>
              <w:spacing w:after="0"/>
              <w:ind w:left="0" w:firstLine="480"/>
              <w:jc w:val="center"/>
              <w:rPr>
                <w:rFonts w:ascii="Times New Roman" w:eastAsia="宋体" w:hAnsi="Times New Roman"/>
              </w:rPr>
            </w:pPr>
            <w:r>
              <w:rPr>
                <w:rFonts w:ascii="Times New Roman" w:eastAsia="宋体" w:hAnsi="Times New Roman"/>
              </w:rPr>
              <w:t>&lt;</w:t>
            </w:r>
          </w:p>
        </w:tc>
        <w:tc>
          <w:tcPr>
            <w:tcW w:w="2509" w:type="pct"/>
          </w:tcPr>
          <w:p w14:paraId="00027BCE" w14:textId="77777777" w:rsidR="00A052DC" w:rsidRDefault="009F0A60">
            <w:pPr>
              <w:pStyle w:val="aa"/>
              <w:spacing w:after="0"/>
              <w:ind w:left="0" w:firstLine="480"/>
              <w:jc w:val="center"/>
              <w:rPr>
                <w:rFonts w:ascii="Times New Roman" w:eastAsia="宋体" w:hAnsi="Times New Roman"/>
              </w:rPr>
            </w:pPr>
            <w:r>
              <w:rPr>
                <w:rFonts w:ascii="Times New Roman" w:eastAsia="宋体" w:hAnsi="Times New Roman"/>
              </w:rPr>
              <w:t>&amp;lt;</w:t>
            </w:r>
          </w:p>
        </w:tc>
      </w:tr>
      <w:tr w:rsidR="00A052DC" w14:paraId="58CFE604" w14:textId="77777777">
        <w:tc>
          <w:tcPr>
            <w:tcW w:w="2491" w:type="pct"/>
          </w:tcPr>
          <w:p w14:paraId="0B5AC2C2" w14:textId="77777777" w:rsidR="00A052DC" w:rsidRDefault="009F0A60">
            <w:pPr>
              <w:pStyle w:val="aa"/>
              <w:spacing w:after="0"/>
              <w:ind w:left="0" w:firstLine="480"/>
              <w:jc w:val="center"/>
              <w:rPr>
                <w:rFonts w:ascii="Times New Roman" w:eastAsia="宋体" w:hAnsi="Times New Roman"/>
              </w:rPr>
            </w:pPr>
            <w:r>
              <w:rPr>
                <w:rFonts w:ascii="Times New Roman" w:eastAsia="宋体" w:hAnsi="Times New Roman"/>
              </w:rPr>
              <w:t>&amp;</w:t>
            </w:r>
          </w:p>
        </w:tc>
        <w:tc>
          <w:tcPr>
            <w:tcW w:w="2509" w:type="pct"/>
          </w:tcPr>
          <w:p w14:paraId="33EE5216" w14:textId="77777777" w:rsidR="00A052DC" w:rsidRDefault="009F0A60">
            <w:pPr>
              <w:pStyle w:val="aa"/>
              <w:spacing w:after="0"/>
              <w:ind w:left="0" w:firstLine="480"/>
              <w:jc w:val="center"/>
              <w:rPr>
                <w:rFonts w:ascii="Times New Roman" w:eastAsia="宋体" w:hAnsi="Times New Roman"/>
              </w:rPr>
            </w:pPr>
            <w:r>
              <w:rPr>
                <w:rFonts w:ascii="Times New Roman" w:eastAsia="宋体" w:hAnsi="Times New Roman"/>
              </w:rPr>
              <w:t>&amp;amp;</w:t>
            </w:r>
          </w:p>
        </w:tc>
      </w:tr>
      <w:tr w:rsidR="00A052DC" w14:paraId="7E1D4832" w14:textId="77777777">
        <w:tc>
          <w:tcPr>
            <w:tcW w:w="2491" w:type="pct"/>
          </w:tcPr>
          <w:p w14:paraId="3AB800FE" w14:textId="77777777" w:rsidR="00A052DC" w:rsidRDefault="009F0A60">
            <w:pPr>
              <w:pStyle w:val="aa"/>
              <w:spacing w:after="0"/>
              <w:ind w:left="0" w:firstLine="480"/>
              <w:jc w:val="center"/>
              <w:rPr>
                <w:rFonts w:ascii="Times New Roman" w:eastAsia="宋体" w:hAnsi="Times New Roman"/>
              </w:rPr>
            </w:pPr>
            <w:r>
              <w:rPr>
                <w:rFonts w:ascii="Times New Roman" w:eastAsia="宋体" w:hAnsi="Times New Roman"/>
              </w:rPr>
              <w:t>&gt;</w:t>
            </w:r>
          </w:p>
        </w:tc>
        <w:tc>
          <w:tcPr>
            <w:tcW w:w="2509" w:type="pct"/>
          </w:tcPr>
          <w:p w14:paraId="400AEC70" w14:textId="77777777" w:rsidR="00A052DC" w:rsidRDefault="009F0A60">
            <w:pPr>
              <w:pStyle w:val="aa"/>
              <w:spacing w:after="0"/>
              <w:ind w:left="0" w:firstLine="480"/>
              <w:jc w:val="center"/>
              <w:rPr>
                <w:rFonts w:ascii="Times New Roman" w:eastAsia="宋体" w:hAnsi="Times New Roman"/>
              </w:rPr>
            </w:pPr>
            <w:r>
              <w:rPr>
                <w:rFonts w:ascii="Times New Roman" w:eastAsia="宋体" w:hAnsi="Times New Roman"/>
              </w:rPr>
              <w:t>&amp;gt;</w:t>
            </w:r>
          </w:p>
        </w:tc>
      </w:tr>
      <w:tr w:rsidR="00A052DC" w14:paraId="25092FD0" w14:textId="77777777">
        <w:tc>
          <w:tcPr>
            <w:tcW w:w="2491" w:type="pct"/>
          </w:tcPr>
          <w:p w14:paraId="44679941" w14:textId="77777777" w:rsidR="00A052DC" w:rsidRDefault="009F0A60">
            <w:pPr>
              <w:pStyle w:val="aa"/>
              <w:spacing w:after="0"/>
              <w:ind w:left="0" w:firstLine="480"/>
              <w:jc w:val="center"/>
              <w:rPr>
                <w:rFonts w:ascii="Times New Roman" w:eastAsia="宋体" w:hAnsi="Times New Roman"/>
              </w:rPr>
            </w:pPr>
            <w:r>
              <w:rPr>
                <w:rFonts w:ascii="Times New Roman" w:eastAsia="宋体" w:hAnsi="Times New Roman"/>
              </w:rPr>
              <w:t>"</w:t>
            </w:r>
          </w:p>
        </w:tc>
        <w:tc>
          <w:tcPr>
            <w:tcW w:w="2509" w:type="pct"/>
          </w:tcPr>
          <w:p w14:paraId="556F2C74" w14:textId="77777777" w:rsidR="00A052DC" w:rsidRDefault="009F0A60">
            <w:pPr>
              <w:pStyle w:val="aa"/>
              <w:spacing w:after="0"/>
              <w:ind w:left="0" w:firstLine="480"/>
              <w:jc w:val="center"/>
              <w:rPr>
                <w:rFonts w:ascii="Times New Roman" w:eastAsia="宋体" w:hAnsi="Times New Roman"/>
              </w:rPr>
            </w:pPr>
            <w:r>
              <w:rPr>
                <w:rFonts w:ascii="Times New Roman" w:eastAsia="宋体" w:hAnsi="Times New Roman"/>
              </w:rPr>
              <w:t>&amp;quot;</w:t>
            </w:r>
          </w:p>
        </w:tc>
      </w:tr>
      <w:tr w:rsidR="00A052DC" w14:paraId="437A4567" w14:textId="77777777">
        <w:tc>
          <w:tcPr>
            <w:tcW w:w="2491" w:type="pct"/>
          </w:tcPr>
          <w:p w14:paraId="6C7C17F3" w14:textId="77777777" w:rsidR="00A052DC" w:rsidRDefault="009F0A60">
            <w:pPr>
              <w:pStyle w:val="aa"/>
              <w:spacing w:after="0"/>
              <w:ind w:left="0" w:firstLine="480"/>
              <w:jc w:val="center"/>
              <w:rPr>
                <w:rFonts w:ascii="Times New Roman" w:eastAsia="宋体" w:hAnsi="Times New Roman"/>
              </w:rPr>
            </w:pPr>
            <w:r>
              <w:rPr>
                <w:rFonts w:ascii="Times New Roman" w:eastAsia="宋体" w:hAnsi="Times New Roman"/>
              </w:rPr>
              <w:t>'</w:t>
            </w:r>
          </w:p>
        </w:tc>
        <w:tc>
          <w:tcPr>
            <w:tcW w:w="2509" w:type="pct"/>
          </w:tcPr>
          <w:p w14:paraId="6FAFB9DD" w14:textId="77777777" w:rsidR="00A052DC" w:rsidRDefault="009F0A60">
            <w:pPr>
              <w:pStyle w:val="aa"/>
              <w:spacing w:after="0"/>
              <w:ind w:left="0" w:firstLine="480"/>
              <w:jc w:val="center"/>
              <w:rPr>
                <w:rFonts w:ascii="Times New Roman" w:eastAsia="宋体" w:hAnsi="Times New Roman"/>
              </w:rPr>
            </w:pPr>
            <w:r>
              <w:rPr>
                <w:rFonts w:ascii="Times New Roman" w:eastAsia="宋体" w:hAnsi="Times New Roman"/>
              </w:rPr>
              <w:t>&amp;apos;</w:t>
            </w:r>
          </w:p>
        </w:tc>
      </w:tr>
    </w:tbl>
    <w:p w14:paraId="44C54C78" w14:textId="77777777" w:rsidR="00A052DC" w:rsidRDefault="009F0A60">
      <w:pPr>
        <w:pStyle w:val="aa"/>
        <w:numPr>
          <w:ilvl w:val="0"/>
          <w:numId w:val="12"/>
        </w:numPr>
        <w:spacing w:after="0"/>
        <w:ind w:left="0" w:firstLine="480"/>
        <w:rPr>
          <w:rFonts w:ascii="Times New Roman" w:eastAsia="宋体" w:hAnsi="Times New Roman"/>
        </w:rPr>
      </w:pPr>
      <w:r>
        <w:rPr>
          <w:rFonts w:ascii="Times New Roman" w:eastAsia="宋体" w:hAnsi="Times New Roman" w:hint="eastAsia"/>
        </w:rPr>
        <w:t>金融机构接口程序应具有一定的灵活性和扩展性，以适应数据采集范围和相关代码的调整。</w:t>
      </w:r>
    </w:p>
    <w:p w14:paraId="60137F71" w14:textId="77777777" w:rsidR="00A052DC" w:rsidRDefault="009F0A60">
      <w:pPr>
        <w:pStyle w:val="aa"/>
        <w:numPr>
          <w:ilvl w:val="0"/>
          <w:numId w:val="12"/>
        </w:numPr>
        <w:spacing w:after="0"/>
        <w:ind w:left="0" w:firstLine="480"/>
        <w:rPr>
          <w:rFonts w:ascii="Times New Roman" w:hAnsi="Times New Roman"/>
        </w:rPr>
      </w:pPr>
      <w:r>
        <w:rPr>
          <w:rFonts w:ascii="Times New Roman" w:eastAsia="宋体" w:hAnsi="Times New Roman" w:hint="eastAsia"/>
        </w:rPr>
        <w:t>接口数据的修改、删除必须通过接口来完成。</w:t>
      </w:r>
    </w:p>
    <w:p w14:paraId="670D08CF" w14:textId="77777777" w:rsidR="00A052DC" w:rsidRDefault="009F0A60">
      <w:pPr>
        <w:pStyle w:val="aa"/>
        <w:numPr>
          <w:ilvl w:val="0"/>
          <w:numId w:val="12"/>
        </w:numPr>
        <w:spacing w:after="0"/>
        <w:ind w:left="0" w:firstLine="480"/>
        <w:rPr>
          <w:rFonts w:ascii="Times New Roman" w:hAnsi="Times New Roman"/>
        </w:rPr>
      </w:pPr>
      <w:r>
        <w:rPr>
          <w:rFonts w:ascii="Times New Roman" w:eastAsia="宋体" w:hAnsi="Times New Roman" w:hint="eastAsia"/>
        </w:rPr>
        <w:t>接口数据应符合各类数据的校验规则。业务编号允许跳号，不允许重号，已删除的业务编号不允许再次使用。所有金额都只保留到小数点后两位。</w:t>
      </w:r>
    </w:p>
    <w:p w14:paraId="7A17E994" w14:textId="77777777" w:rsidR="00A052DC" w:rsidRDefault="009F0A60">
      <w:pPr>
        <w:numPr>
          <w:ilvl w:val="0"/>
          <w:numId w:val="12"/>
        </w:numPr>
        <w:spacing w:line="360" w:lineRule="auto"/>
        <w:ind w:left="0" w:firstLine="480"/>
        <w:rPr>
          <w:rFonts w:ascii="Times New Roman" w:hAnsi="Times New Roman"/>
        </w:rPr>
      </w:pPr>
      <w:r>
        <w:rPr>
          <w:rFonts w:ascii="Times New Roman" w:hAnsi="Times New Roman" w:hint="eastAsia"/>
          <w:kern w:val="0"/>
          <w:sz w:val="24"/>
          <w:szCs w:val="20"/>
        </w:rPr>
        <w:t>金融机构若一个报送批次内无业务发生，也必须进行零报送。对于银行卡境外交易数据，金融机构若一个报送批次内无业务发生，必须进行零报送。对于对外金融资产负债及交易统计数据，所谓零报送指当期未发生对外金融资产负债存量及交易流量的申报主体，应在系统中报送基本信息表（涉及</w:t>
      </w:r>
      <w:r>
        <w:rPr>
          <w:rFonts w:ascii="Times New Roman" w:hAnsi="Times New Roman" w:hint="eastAsia"/>
          <w:kern w:val="0"/>
          <w:sz w:val="24"/>
          <w:szCs w:val="20"/>
        </w:rPr>
        <w:t>Z01</w:t>
      </w:r>
      <w:r>
        <w:rPr>
          <w:rFonts w:ascii="Times New Roman" w:hAnsi="Times New Roman" w:hint="eastAsia"/>
          <w:kern w:val="0"/>
          <w:sz w:val="24"/>
          <w:szCs w:val="20"/>
        </w:rPr>
        <w:t>、</w:t>
      </w:r>
      <w:r>
        <w:rPr>
          <w:rFonts w:ascii="Times New Roman" w:hAnsi="Times New Roman" w:hint="eastAsia"/>
          <w:kern w:val="0"/>
          <w:sz w:val="24"/>
          <w:szCs w:val="20"/>
        </w:rPr>
        <w:t>Z02</w:t>
      </w:r>
      <w:r>
        <w:rPr>
          <w:rFonts w:ascii="Times New Roman" w:hAnsi="Times New Roman" w:hint="eastAsia"/>
          <w:kern w:val="0"/>
          <w:sz w:val="24"/>
          <w:szCs w:val="20"/>
        </w:rPr>
        <w:t>和</w:t>
      </w:r>
      <w:r>
        <w:rPr>
          <w:rFonts w:ascii="Times New Roman" w:hAnsi="Times New Roman" w:hint="eastAsia"/>
          <w:kern w:val="0"/>
          <w:sz w:val="24"/>
          <w:szCs w:val="20"/>
        </w:rPr>
        <w:t>Z03</w:t>
      </w:r>
      <w:r>
        <w:rPr>
          <w:rFonts w:ascii="Times New Roman" w:hAnsi="Times New Roman" w:hint="eastAsia"/>
          <w:kern w:val="0"/>
          <w:sz w:val="24"/>
          <w:szCs w:val="20"/>
        </w:rPr>
        <w:t>表），但无需以</w:t>
      </w:r>
      <w:r>
        <w:rPr>
          <w:rFonts w:ascii="Times New Roman" w:hAnsi="Times New Roman" w:hint="eastAsia"/>
          <w:kern w:val="0"/>
          <w:sz w:val="24"/>
          <w:szCs w:val="20"/>
        </w:rPr>
        <w:t>0</w:t>
      </w:r>
      <w:r>
        <w:rPr>
          <w:rFonts w:ascii="Times New Roman" w:hAnsi="Times New Roman" w:hint="eastAsia"/>
          <w:kern w:val="0"/>
          <w:sz w:val="24"/>
          <w:szCs w:val="20"/>
        </w:rPr>
        <w:t>值报送无业务数据的其他报表。</w:t>
      </w:r>
    </w:p>
    <w:p w14:paraId="0268C0B1" w14:textId="77777777" w:rsidR="00A052DC" w:rsidRDefault="009F0A60" w:rsidP="0020251D">
      <w:pPr>
        <w:pStyle w:val="3"/>
        <w:ind w:left="0"/>
        <w:rPr>
          <w:rFonts w:ascii="Times New Roman" w:hAnsi="Times New Roman"/>
        </w:rPr>
      </w:pPr>
      <w:bookmarkStart w:id="712" w:name="_Toc91455232"/>
      <w:bookmarkStart w:id="713" w:name="_Toc454386717"/>
      <w:bookmarkStart w:id="714" w:name="_Toc380356210"/>
      <w:bookmarkStart w:id="715" w:name="_Toc101684405"/>
      <w:r>
        <w:rPr>
          <w:rFonts w:ascii="Times New Roman" w:hAnsi="Times New Roman" w:hint="eastAsia"/>
        </w:rPr>
        <w:t>规范格式文件导入或界面录入数据的报送原则</w:t>
      </w:r>
      <w:bookmarkEnd w:id="712"/>
      <w:bookmarkEnd w:id="713"/>
      <w:bookmarkEnd w:id="714"/>
      <w:bookmarkEnd w:id="715"/>
    </w:p>
    <w:p w14:paraId="07B4E566"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hint="eastAsia"/>
          <w:kern w:val="0"/>
          <w:sz w:val="24"/>
          <w:szCs w:val="20"/>
        </w:rPr>
        <w:t>通过规范格式文件导入或界面录入的数据应按照本文档所列的数据报送时间要求完成。</w:t>
      </w:r>
    </w:p>
    <w:p w14:paraId="41D13C25" w14:textId="77777777" w:rsidR="00A052DC" w:rsidRDefault="009F0A60" w:rsidP="0020251D">
      <w:pPr>
        <w:pStyle w:val="3"/>
        <w:ind w:left="0"/>
        <w:rPr>
          <w:rFonts w:ascii="Times New Roman" w:hAnsi="Times New Roman"/>
        </w:rPr>
      </w:pPr>
      <w:bookmarkStart w:id="716" w:name="_Toc91455233"/>
      <w:bookmarkStart w:id="717" w:name="_Toc101684406"/>
      <w:r>
        <w:rPr>
          <w:rFonts w:ascii="Times New Roman" w:hAnsi="Times New Roman" w:hint="eastAsia"/>
        </w:rPr>
        <w:t>对外金融资产负债及交易统计数据的报送原则</w:t>
      </w:r>
      <w:bookmarkEnd w:id="716"/>
      <w:bookmarkEnd w:id="717"/>
    </w:p>
    <w:p w14:paraId="12FD29DB"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hint="eastAsia"/>
          <w:kern w:val="0"/>
          <w:sz w:val="24"/>
          <w:szCs w:val="20"/>
        </w:rPr>
        <w:t>对外金融资产负债及交易统计数据的逐条报送（含新增、修改和删除）原则为按整表完整报送，即申报主体对某张对外金融资产负债及交易统计报表内数据有新增、修改或删除的任何操作，均需重新报送整张报表，并在同一批次（即同一个控制文件）中报送，国家外汇管理局将自动删除原报送的整张报表。其中，</w:t>
      </w:r>
      <w:r>
        <w:rPr>
          <w:rFonts w:ascii="Times New Roman" w:hAnsi="Times New Roman"/>
          <w:sz w:val="24"/>
        </w:rPr>
        <w:t>新增后发现错误需要修改时，</w:t>
      </w:r>
      <w:r>
        <w:rPr>
          <w:rFonts w:ascii="Times New Roman" w:hAnsi="Times New Roman" w:hint="eastAsia"/>
          <w:sz w:val="24"/>
        </w:rPr>
        <w:t>在整表报送机制下，填写“新增”或“修改”均可。在</w:t>
      </w:r>
      <w:r>
        <w:rPr>
          <w:rFonts w:ascii="Times New Roman" w:hAnsi="Times New Roman"/>
          <w:sz w:val="24"/>
        </w:rPr>
        <w:t>同一批次（即同一个控制文件）中报送重新报送整张报表</w:t>
      </w:r>
      <w:r>
        <w:rPr>
          <w:rFonts w:ascii="Times New Roman" w:hAnsi="Times New Roman" w:hint="eastAsia"/>
          <w:sz w:val="24"/>
        </w:rPr>
        <w:t>，是指同一月份数据报送或重新报送时，必须将该月数据放在同一个控制文件下，一个月份的数据不能拆分到两个及以上控制文件下。有关控制文件命名及格式等详见</w:t>
      </w:r>
      <w:r>
        <w:rPr>
          <w:rFonts w:ascii="Times New Roman" w:hAnsi="Times New Roman"/>
          <w:sz w:val="24"/>
        </w:rPr>
        <w:t>4.1</w:t>
      </w:r>
      <w:r>
        <w:rPr>
          <w:rFonts w:ascii="Times New Roman" w:hAnsi="Times New Roman"/>
          <w:sz w:val="24"/>
        </w:rPr>
        <w:t>和</w:t>
      </w:r>
      <w:r>
        <w:rPr>
          <w:rFonts w:ascii="Times New Roman" w:hAnsi="Times New Roman"/>
          <w:sz w:val="24"/>
        </w:rPr>
        <w:t>5.1</w:t>
      </w:r>
      <w:r>
        <w:rPr>
          <w:rFonts w:ascii="Times New Roman" w:hAnsi="Times New Roman"/>
          <w:sz w:val="24"/>
        </w:rPr>
        <w:t>章</w:t>
      </w:r>
      <w:r>
        <w:rPr>
          <w:rFonts w:ascii="Times New Roman" w:hAnsi="Times New Roman" w:hint="eastAsia"/>
          <w:sz w:val="24"/>
        </w:rPr>
        <w:t>相关</w:t>
      </w:r>
      <w:r>
        <w:rPr>
          <w:rFonts w:ascii="Times New Roman" w:hAnsi="Times New Roman"/>
          <w:sz w:val="24"/>
        </w:rPr>
        <w:t>节</w:t>
      </w:r>
      <w:r>
        <w:rPr>
          <w:rFonts w:ascii="Times New Roman" w:hAnsi="Times New Roman" w:hint="eastAsia"/>
          <w:sz w:val="24"/>
        </w:rPr>
        <w:t>。</w:t>
      </w:r>
    </w:p>
    <w:p w14:paraId="153B799F" w14:textId="77777777" w:rsidR="00A052DC" w:rsidRDefault="009F0A60" w:rsidP="0020251D">
      <w:pPr>
        <w:pStyle w:val="3"/>
        <w:ind w:left="0"/>
        <w:rPr>
          <w:rFonts w:ascii="Times New Roman" w:hAnsi="Times New Roman"/>
        </w:rPr>
      </w:pPr>
      <w:bookmarkStart w:id="718" w:name="_Toc91455234"/>
      <w:bookmarkStart w:id="719" w:name="_Toc101684407"/>
      <w:r>
        <w:rPr>
          <w:rFonts w:ascii="Times New Roman" w:hAnsi="Times New Roman" w:hint="eastAsia"/>
        </w:rPr>
        <w:t>银行卡境外交易数据的报送原则</w:t>
      </w:r>
      <w:bookmarkEnd w:id="718"/>
      <w:bookmarkEnd w:id="719"/>
    </w:p>
    <w:p w14:paraId="25B5920B" w14:textId="77777777" w:rsidR="00A052DC" w:rsidRDefault="009F0A60" w:rsidP="0020251D">
      <w:pPr>
        <w:pStyle w:val="4"/>
        <w:numPr>
          <w:ilvl w:val="3"/>
          <w:numId w:val="1"/>
        </w:numPr>
        <w:jc w:val="left"/>
      </w:pPr>
      <w:bookmarkStart w:id="720" w:name="_Toc502428216"/>
      <w:r>
        <w:t>数据采集主体</w:t>
      </w:r>
      <w:bookmarkEnd w:id="720"/>
    </w:p>
    <w:p w14:paraId="41B07C33"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hint="eastAsia"/>
          <w:kern w:val="0"/>
          <w:sz w:val="24"/>
          <w:szCs w:val="20"/>
        </w:rPr>
        <w:t>数据报送的主体为开通银行卡境外提现或消费功能的境内发卡金融机构。</w:t>
      </w:r>
    </w:p>
    <w:p w14:paraId="2A997FF4"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hint="eastAsia"/>
          <w:kern w:val="0"/>
          <w:sz w:val="24"/>
          <w:szCs w:val="20"/>
        </w:rPr>
        <w:t>境内发卡金融机构原则上应以法人为单位集中报送信息。对于信用卡系统与借记卡系统不具备合并报送条件的发卡金融机构，可以将本行的信用卡系统和借记卡系统分别与银行卡管理系统单独接口，各自报送数据、接收数据。</w:t>
      </w:r>
    </w:p>
    <w:p w14:paraId="5DCE7BCC" w14:textId="77777777" w:rsidR="00A052DC" w:rsidRDefault="009F0A60" w:rsidP="0020251D">
      <w:pPr>
        <w:pStyle w:val="4"/>
        <w:numPr>
          <w:ilvl w:val="3"/>
          <w:numId w:val="1"/>
        </w:numPr>
        <w:jc w:val="left"/>
      </w:pPr>
      <w:bookmarkStart w:id="721" w:name="_Toc502428217"/>
      <w:r>
        <w:rPr>
          <w:rFonts w:hint="eastAsia"/>
        </w:rPr>
        <w:t>数据接口报送原则</w:t>
      </w:r>
      <w:bookmarkEnd w:id="721"/>
    </w:p>
    <w:p w14:paraId="557017E0"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hint="eastAsia"/>
          <w:kern w:val="0"/>
          <w:sz w:val="24"/>
          <w:szCs w:val="20"/>
        </w:rPr>
        <w:t>发卡金融机构应确保报送信息的及时性、完整性和准确性。对于因冲正、错报等原因导致报送信息有误和漏报，发卡金融机构应及时通过设置接口文件数据项中的操作类型“新增、删除、修改”进行修订。</w:t>
      </w:r>
    </w:p>
    <w:p w14:paraId="4850D340" w14:textId="77777777" w:rsidR="00A052DC" w:rsidRDefault="009F0A60" w:rsidP="0020251D">
      <w:pPr>
        <w:pStyle w:val="4"/>
        <w:numPr>
          <w:ilvl w:val="3"/>
          <w:numId w:val="1"/>
        </w:numPr>
        <w:jc w:val="left"/>
      </w:pPr>
      <w:r>
        <w:rPr>
          <w:rFonts w:hint="eastAsia"/>
        </w:rPr>
        <w:t>界面报送原则</w:t>
      </w:r>
    </w:p>
    <w:p w14:paraId="5FC52726"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kern w:val="0"/>
          <w:sz w:val="24"/>
          <w:szCs w:val="20"/>
        </w:rPr>
        <w:t>通过界面方式报送数据的应按照本文所列的数据报送时间要求完成。通过界面方式报送的其他要求</w:t>
      </w:r>
      <w:r>
        <w:rPr>
          <w:rFonts w:ascii="Times New Roman" w:hAnsi="Times New Roman" w:hint="eastAsia"/>
          <w:kern w:val="0"/>
          <w:sz w:val="24"/>
          <w:szCs w:val="20"/>
        </w:rPr>
        <w:t>参考《银行卡境外交易外汇管理系统</w:t>
      </w:r>
      <w:r>
        <w:rPr>
          <w:rFonts w:ascii="Times New Roman" w:hAnsi="Times New Roman"/>
          <w:kern w:val="0"/>
          <w:sz w:val="24"/>
          <w:szCs w:val="20"/>
        </w:rPr>
        <w:t>操作手册（银行版）》。</w:t>
      </w:r>
    </w:p>
    <w:p w14:paraId="297BC209" w14:textId="77777777" w:rsidR="00A052DC" w:rsidRDefault="009F0A60" w:rsidP="0020251D">
      <w:pPr>
        <w:pStyle w:val="3"/>
        <w:ind w:left="0"/>
        <w:rPr>
          <w:rFonts w:ascii="Times New Roman" w:hAnsi="Times New Roman"/>
        </w:rPr>
      </w:pPr>
      <w:bookmarkStart w:id="722" w:name="_Toc91455235"/>
      <w:bookmarkStart w:id="723" w:name="_Toc90625028"/>
      <w:bookmarkStart w:id="724" w:name="_Toc101684408"/>
      <w:r>
        <w:rPr>
          <w:rFonts w:ascii="Times New Roman" w:hAnsi="Times New Roman" w:hint="eastAsia"/>
        </w:rPr>
        <w:t>涉嫌外汇违规账户信息报送原则</w:t>
      </w:r>
      <w:bookmarkEnd w:id="722"/>
      <w:bookmarkEnd w:id="723"/>
      <w:bookmarkEnd w:id="724"/>
    </w:p>
    <w:p w14:paraId="0BCF95F6"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hint="eastAsia"/>
          <w:kern w:val="0"/>
          <w:sz w:val="24"/>
          <w:szCs w:val="20"/>
        </w:rPr>
        <w:t>金融机构应确保报送信息的完整性和准确性。账户账号、对手账号、证件号码等具有唯一性的要素应保证准确无误；唯一性标识与外汇局其他系统收录的主体相同的，应具有相同的中文名称。反馈信息中借贷（收付）标记、交易金额、账户余额应保证前后连贯性。</w:t>
      </w:r>
    </w:p>
    <w:p w14:paraId="35B8A4CE"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hint="eastAsia"/>
          <w:kern w:val="0"/>
          <w:sz w:val="24"/>
          <w:szCs w:val="20"/>
        </w:rPr>
        <w:t>金融机构按查询流水号报送数据后，若需修改数据，须全量报送该查询流水号下所有数据。</w:t>
      </w:r>
    </w:p>
    <w:p w14:paraId="079753A6" w14:textId="77777777" w:rsidR="00A052DC" w:rsidRDefault="009F0A60" w:rsidP="0020251D">
      <w:pPr>
        <w:pStyle w:val="3"/>
        <w:ind w:left="0"/>
        <w:rPr>
          <w:rFonts w:ascii="Times New Roman" w:hAnsi="Times New Roman"/>
        </w:rPr>
      </w:pPr>
      <w:bookmarkStart w:id="725" w:name="_Toc90625029"/>
      <w:bookmarkStart w:id="726" w:name="_Toc91455236"/>
      <w:bookmarkStart w:id="727" w:name="_Toc101684409"/>
      <w:r>
        <w:rPr>
          <w:rFonts w:ascii="Times New Roman" w:hAnsi="Times New Roman" w:hint="eastAsia"/>
        </w:rPr>
        <w:t>机构大额结售汇资金来源和使用数据报送原则</w:t>
      </w:r>
      <w:bookmarkEnd w:id="725"/>
      <w:bookmarkEnd w:id="726"/>
      <w:bookmarkEnd w:id="727"/>
    </w:p>
    <w:p w14:paraId="5370AE7E"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hint="eastAsia"/>
          <w:kern w:val="0"/>
          <w:sz w:val="24"/>
          <w:szCs w:val="20"/>
        </w:rPr>
        <w:t>数据应按照数据字典格式进行报送。通过对报送内容设置校验规则，确保数据的准确性、及时性、完整性等。为确保数据一致性，报送数据原则上引用原业务系统中生成的交易信息。若后续结购汇涉及已报送的机构大额结售汇资金来源和使用交易明细数据，则该明细数据无需重复报送。</w:t>
      </w:r>
    </w:p>
    <w:p w14:paraId="24E2F18A" w14:textId="77777777" w:rsidR="00A052DC" w:rsidRDefault="009F0A60" w:rsidP="0020251D">
      <w:pPr>
        <w:pStyle w:val="1"/>
        <w:rPr>
          <w:rFonts w:ascii="Times New Roman" w:hAnsi="Times New Roman"/>
        </w:rPr>
      </w:pPr>
      <w:bookmarkStart w:id="728" w:name="_Toc380356211"/>
      <w:bookmarkStart w:id="729" w:name="_Toc91455237"/>
      <w:bookmarkStart w:id="730" w:name="_Toc454386718"/>
      <w:bookmarkStart w:id="731" w:name="_Toc101684410"/>
      <w:r>
        <w:rPr>
          <w:rFonts w:ascii="Times New Roman" w:hAnsi="Times New Roman" w:hint="eastAsia"/>
        </w:rPr>
        <w:t>接口文件命名与报送规范</w:t>
      </w:r>
      <w:bookmarkEnd w:id="728"/>
      <w:bookmarkEnd w:id="729"/>
      <w:bookmarkEnd w:id="730"/>
      <w:bookmarkEnd w:id="731"/>
    </w:p>
    <w:p w14:paraId="315905D6" w14:textId="77777777" w:rsidR="00A052DC" w:rsidRDefault="009F0A60" w:rsidP="0020251D">
      <w:pPr>
        <w:pStyle w:val="2"/>
        <w:rPr>
          <w:rFonts w:ascii="Times New Roman" w:hAnsi="Times New Roman"/>
        </w:rPr>
      </w:pPr>
      <w:bookmarkStart w:id="732" w:name="_Toc380356212"/>
      <w:bookmarkStart w:id="733" w:name="_Toc454386719"/>
      <w:bookmarkStart w:id="734" w:name="_Toc91455238"/>
      <w:bookmarkStart w:id="735" w:name="_Toc101684411"/>
      <w:r>
        <w:rPr>
          <w:rFonts w:ascii="Times New Roman" w:hAnsi="Times New Roman" w:hint="eastAsia"/>
        </w:rPr>
        <w:t>金融机构信息系统生成的接口文件的命名规则</w:t>
      </w:r>
      <w:bookmarkEnd w:id="732"/>
      <w:bookmarkEnd w:id="733"/>
      <w:bookmarkEnd w:id="734"/>
      <w:bookmarkEnd w:id="735"/>
    </w:p>
    <w:p w14:paraId="3F41C041" w14:textId="77777777" w:rsidR="00A052DC" w:rsidRDefault="009F0A60">
      <w:pPr>
        <w:spacing w:line="360" w:lineRule="auto"/>
        <w:ind w:firstLineChars="200" w:firstLine="482"/>
        <w:rPr>
          <w:rFonts w:ascii="Times New Roman" w:hAnsi="Times New Roman"/>
          <w:b/>
          <w:kern w:val="0"/>
          <w:sz w:val="24"/>
          <w:szCs w:val="20"/>
        </w:rPr>
      </w:pPr>
      <w:r>
        <w:rPr>
          <w:rFonts w:ascii="Times New Roman" w:hAnsi="Times New Roman" w:hint="eastAsia"/>
          <w:b/>
          <w:kern w:val="0"/>
          <w:sz w:val="24"/>
          <w:szCs w:val="20"/>
        </w:rPr>
        <w:t>金融机构信息系统生成的接口文件名应遵循以下规则：</w:t>
      </w:r>
    </w:p>
    <w:p w14:paraId="58794B76"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hint="eastAsia"/>
          <w:kern w:val="0"/>
          <w:sz w:val="24"/>
          <w:szCs w:val="20"/>
        </w:rPr>
        <w:t>数据类型</w:t>
      </w:r>
      <w:r>
        <w:rPr>
          <w:rFonts w:ascii="Times New Roman" w:hAnsi="Times New Roman"/>
          <w:kern w:val="0"/>
          <w:sz w:val="24"/>
          <w:szCs w:val="20"/>
        </w:rPr>
        <w:t xml:space="preserve"> + 12</w:t>
      </w:r>
      <w:r>
        <w:rPr>
          <w:rFonts w:ascii="Times New Roman" w:hAnsi="Times New Roman" w:hint="eastAsia"/>
          <w:kern w:val="0"/>
          <w:sz w:val="24"/>
          <w:szCs w:val="20"/>
        </w:rPr>
        <w:t>位机构号</w:t>
      </w:r>
      <w:r>
        <w:rPr>
          <w:rFonts w:ascii="Times New Roman" w:hAnsi="Times New Roman"/>
          <w:kern w:val="0"/>
          <w:sz w:val="24"/>
          <w:szCs w:val="20"/>
        </w:rPr>
        <w:t xml:space="preserve"> + 6</w:t>
      </w:r>
      <w:r>
        <w:rPr>
          <w:rFonts w:ascii="Times New Roman" w:hAnsi="Times New Roman" w:hint="eastAsia"/>
          <w:kern w:val="0"/>
          <w:sz w:val="24"/>
          <w:szCs w:val="20"/>
        </w:rPr>
        <w:t>位日期</w:t>
      </w:r>
      <w:r>
        <w:rPr>
          <w:rFonts w:ascii="Times New Roman" w:hAnsi="Times New Roman"/>
          <w:kern w:val="0"/>
          <w:sz w:val="24"/>
          <w:szCs w:val="20"/>
        </w:rPr>
        <w:t>YYMMDD + 2</w:t>
      </w:r>
      <w:r>
        <w:rPr>
          <w:rFonts w:ascii="Times New Roman" w:hAnsi="Times New Roman" w:hint="eastAsia"/>
          <w:kern w:val="0"/>
          <w:sz w:val="24"/>
          <w:szCs w:val="20"/>
        </w:rPr>
        <w:t>位序号，文件扩展名为</w:t>
      </w:r>
      <w:r>
        <w:rPr>
          <w:rFonts w:ascii="Times New Roman" w:hAnsi="Times New Roman"/>
          <w:kern w:val="0"/>
          <w:sz w:val="24"/>
          <w:szCs w:val="20"/>
        </w:rPr>
        <w:t>XML</w:t>
      </w:r>
      <w:r>
        <w:rPr>
          <w:rFonts w:ascii="Times New Roman" w:hAnsi="Times New Roman" w:hint="eastAsia"/>
          <w:kern w:val="0"/>
          <w:sz w:val="24"/>
          <w:szCs w:val="20"/>
        </w:rPr>
        <w:t>。</w:t>
      </w:r>
    </w:p>
    <w:p w14:paraId="4050E381" w14:textId="77777777" w:rsidR="00A052DC" w:rsidRDefault="009F0A60">
      <w:pPr>
        <w:spacing w:line="360" w:lineRule="auto"/>
        <w:ind w:firstLineChars="200" w:firstLine="482"/>
        <w:rPr>
          <w:rFonts w:ascii="Times New Roman" w:hAnsi="Times New Roman"/>
          <w:kern w:val="0"/>
          <w:sz w:val="24"/>
          <w:szCs w:val="20"/>
        </w:rPr>
      </w:pPr>
      <w:r>
        <w:rPr>
          <w:rFonts w:ascii="Times New Roman" w:hAnsi="Times New Roman" w:hint="eastAsia"/>
          <w:b/>
          <w:kern w:val="0"/>
          <w:sz w:val="24"/>
          <w:szCs w:val="20"/>
        </w:rPr>
        <w:t>数据类型的编制规则：</w:t>
      </w:r>
      <w:r>
        <w:rPr>
          <w:rFonts w:ascii="Times New Roman" w:hAnsi="Times New Roman" w:hint="eastAsia"/>
          <w:kern w:val="0"/>
          <w:sz w:val="24"/>
          <w:szCs w:val="20"/>
        </w:rPr>
        <w:t>应用类型代码</w:t>
      </w:r>
      <w:r>
        <w:rPr>
          <w:rFonts w:ascii="Times New Roman" w:hAnsi="Times New Roman"/>
          <w:kern w:val="0"/>
          <w:sz w:val="24"/>
          <w:szCs w:val="20"/>
        </w:rPr>
        <w:t>+1</w:t>
      </w:r>
      <w:r>
        <w:rPr>
          <w:rFonts w:ascii="Times New Roman" w:hAnsi="Times New Roman" w:hint="eastAsia"/>
          <w:kern w:val="0"/>
          <w:sz w:val="24"/>
          <w:szCs w:val="20"/>
        </w:rPr>
        <w:t>位或</w:t>
      </w:r>
      <w:r>
        <w:rPr>
          <w:rFonts w:ascii="Times New Roman" w:hAnsi="Times New Roman"/>
          <w:kern w:val="0"/>
          <w:sz w:val="24"/>
          <w:szCs w:val="20"/>
        </w:rPr>
        <w:t>2</w:t>
      </w:r>
      <w:r>
        <w:rPr>
          <w:rFonts w:ascii="Times New Roman" w:hAnsi="Times New Roman" w:hint="eastAsia"/>
          <w:kern w:val="0"/>
          <w:sz w:val="24"/>
          <w:szCs w:val="20"/>
        </w:rPr>
        <w:t>位接口文件类型代码。其中，组织机构基本情况表、涉外收支、境内划转、外汇账户内结售汇数据接口文件类型代码为</w:t>
      </w:r>
      <w:r>
        <w:rPr>
          <w:rFonts w:ascii="Times New Roman" w:hAnsi="Times New Roman"/>
          <w:kern w:val="0"/>
          <w:sz w:val="24"/>
          <w:szCs w:val="20"/>
        </w:rPr>
        <w:t>1</w:t>
      </w:r>
      <w:r>
        <w:rPr>
          <w:rFonts w:ascii="Times New Roman" w:hAnsi="Times New Roman" w:hint="eastAsia"/>
          <w:kern w:val="0"/>
          <w:sz w:val="24"/>
          <w:szCs w:val="20"/>
        </w:rPr>
        <w:t>位，外汇账户数据、银行资本项目数据（不含外债）、银行代客业务、对外金融资产负债及交易信息、银行自身外债数据、机构外币现钞存取、涉嫌外汇违规账户信息、机构大额结售汇资金来源和使用数据数据接口文件类型代码为</w:t>
      </w:r>
      <w:r>
        <w:rPr>
          <w:rFonts w:ascii="Times New Roman" w:hAnsi="Times New Roman"/>
          <w:kern w:val="0"/>
          <w:sz w:val="24"/>
          <w:szCs w:val="20"/>
        </w:rPr>
        <w:t>2</w:t>
      </w:r>
      <w:r>
        <w:rPr>
          <w:rFonts w:ascii="Times New Roman" w:hAnsi="Times New Roman" w:hint="eastAsia"/>
          <w:kern w:val="0"/>
          <w:sz w:val="24"/>
          <w:szCs w:val="20"/>
        </w:rPr>
        <w:t>位。</w:t>
      </w:r>
    </w:p>
    <w:p w14:paraId="7A34AC71" w14:textId="77777777" w:rsidR="00A052DC" w:rsidRDefault="009F0A60">
      <w:pPr>
        <w:spacing w:line="360" w:lineRule="auto"/>
        <w:ind w:firstLineChars="200" w:firstLine="482"/>
        <w:rPr>
          <w:rFonts w:ascii="Times New Roman" w:hAnsi="Times New Roman"/>
          <w:kern w:val="0"/>
          <w:sz w:val="24"/>
          <w:szCs w:val="20"/>
        </w:rPr>
      </w:pPr>
      <w:r>
        <w:rPr>
          <w:rFonts w:ascii="Times New Roman" w:hAnsi="Times New Roman" w:hint="eastAsia"/>
          <w:b/>
          <w:kern w:val="0"/>
          <w:sz w:val="24"/>
          <w:szCs w:val="20"/>
        </w:rPr>
        <w:t>应用类型代码：</w:t>
      </w:r>
      <w:r>
        <w:rPr>
          <w:rFonts w:ascii="Times New Roman" w:hAnsi="Times New Roman" w:hint="eastAsia"/>
          <w:kern w:val="0"/>
          <w:sz w:val="24"/>
          <w:szCs w:val="20"/>
        </w:rPr>
        <w:t>本接口文件对各个应用类型的标识如下：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4394"/>
        <w:gridCol w:w="2552"/>
      </w:tblGrid>
      <w:tr w:rsidR="00A052DC" w14:paraId="5906B9DC" w14:textId="77777777">
        <w:tc>
          <w:tcPr>
            <w:tcW w:w="1418" w:type="dxa"/>
            <w:vAlign w:val="center"/>
          </w:tcPr>
          <w:p w14:paraId="51C8706C" w14:textId="77777777" w:rsidR="00A052DC" w:rsidRDefault="009F0A60">
            <w:pPr>
              <w:jc w:val="center"/>
              <w:rPr>
                <w:rFonts w:ascii="黑体" w:eastAsia="黑体"/>
                <w:sz w:val="20"/>
                <w:szCs w:val="20"/>
              </w:rPr>
            </w:pPr>
            <w:r>
              <w:rPr>
                <w:rFonts w:ascii="黑体" w:eastAsia="黑体" w:hint="eastAsia"/>
                <w:sz w:val="20"/>
                <w:szCs w:val="20"/>
              </w:rPr>
              <w:t>应用类型代码</w:t>
            </w:r>
          </w:p>
        </w:tc>
        <w:tc>
          <w:tcPr>
            <w:tcW w:w="4394" w:type="dxa"/>
            <w:vAlign w:val="center"/>
          </w:tcPr>
          <w:p w14:paraId="118DC55D" w14:textId="77777777" w:rsidR="00A052DC" w:rsidRDefault="009F0A60">
            <w:pPr>
              <w:jc w:val="center"/>
              <w:rPr>
                <w:rFonts w:ascii="黑体" w:eastAsia="黑体"/>
                <w:sz w:val="20"/>
                <w:szCs w:val="20"/>
              </w:rPr>
            </w:pPr>
            <w:r>
              <w:rPr>
                <w:rFonts w:ascii="黑体" w:eastAsia="黑体" w:hint="eastAsia"/>
                <w:sz w:val="20"/>
                <w:szCs w:val="20"/>
              </w:rPr>
              <w:t>应用类型</w:t>
            </w:r>
          </w:p>
        </w:tc>
        <w:tc>
          <w:tcPr>
            <w:tcW w:w="2552" w:type="dxa"/>
          </w:tcPr>
          <w:p w14:paraId="06D94A5E" w14:textId="77777777" w:rsidR="00A052DC" w:rsidRDefault="009F0A60">
            <w:pPr>
              <w:jc w:val="center"/>
              <w:rPr>
                <w:rFonts w:ascii="黑体" w:eastAsia="黑体"/>
                <w:sz w:val="20"/>
                <w:szCs w:val="20"/>
              </w:rPr>
            </w:pPr>
            <w:r>
              <w:rPr>
                <w:rFonts w:ascii="黑体" w:eastAsia="黑体" w:hint="eastAsia"/>
                <w:sz w:val="20"/>
                <w:szCs w:val="20"/>
              </w:rPr>
              <w:t>备注</w:t>
            </w:r>
          </w:p>
        </w:tc>
      </w:tr>
      <w:tr w:rsidR="00A052DC" w14:paraId="2D36844E" w14:textId="77777777">
        <w:tc>
          <w:tcPr>
            <w:tcW w:w="1418" w:type="dxa"/>
            <w:vAlign w:val="center"/>
          </w:tcPr>
          <w:p w14:paraId="72151239" w14:textId="77777777" w:rsidR="00881462" w:rsidRDefault="009F0A60">
            <w:pPr>
              <w:jc w:val="center"/>
              <w:rPr>
                <w:rFonts w:ascii="黑体" w:eastAsia="黑体" w:hAnsi="黑体"/>
                <w:kern w:val="0"/>
                <w:sz w:val="20"/>
                <w:szCs w:val="20"/>
              </w:rPr>
            </w:pPr>
            <w:r>
              <w:rPr>
                <w:rFonts w:ascii="黑体" w:eastAsia="黑体" w:hAnsi="黑体"/>
                <w:sz w:val="20"/>
                <w:szCs w:val="20"/>
              </w:rPr>
              <w:t>BOP</w:t>
            </w:r>
          </w:p>
        </w:tc>
        <w:tc>
          <w:tcPr>
            <w:tcW w:w="4394" w:type="dxa"/>
            <w:vAlign w:val="center"/>
          </w:tcPr>
          <w:p w14:paraId="2D6904BA" w14:textId="77777777" w:rsidR="00A052DC" w:rsidRDefault="009F0A60">
            <w:pPr>
              <w:rPr>
                <w:rFonts w:ascii="黑体" w:eastAsia="黑体"/>
                <w:kern w:val="0"/>
                <w:sz w:val="20"/>
                <w:szCs w:val="20"/>
              </w:rPr>
            </w:pPr>
            <w:r>
              <w:rPr>
                <w:rFonts w:ascii="黑体" w:eastAsia="黑体" w:hint="eastAsia"/>
                <w:sz w:val="20"/>
                <w:szCs w:val="20"/>
              </w:rPr>
              <w:t>涉外收支数据、境内划转数据、组织机构基本情况表</w:t>
            </w:r>
          </w:p>
        </w:tc>
        <w:tc>
          <w:tcPr>
            <w:tcW w:w="2552" w:type="dxa"/>
          </w:tcPr>
          <w:p w14:paraId="30E71C54" w14:textId="77777777" w:rsidR="00A052DC" w:rsidRDefault="00A052DC">
            <w:pPr>
              <w:rPr>
                <w:rFonts w:ascii="黑体" w:eastAsia="黑体"/>
                <w:kern w:val="0"/>
                <w:sz w:val="20"/>
                <w:szCs w:val="20"/>
              </w:rPr>
            </w:pPr>
          </w:p>
        </w:tc>
      </w:tr>
      <w:tr w:rsidR="00A052DC" w14:paraId="7404848A" w14:textId="77777777">
        <w:tc>
          <w:tcPr>
            <w:tcW w:w="1418" w:type="dxa"/>
            <w:vAlign w:val="center"/>
          </w:tcPr>
          <w:p w14:paraId="1F7E6A3F" w14:textId="77777777" w:rsidR="00881462" w:rsidRDefault="009F0A60">
            <w:pPr>
              <w:jc w:val="center"/>
              <w:rPr>
                <w:rFonts w:ascii="黑体" w:eastAsia="黑体" w:hAnsi="黑体"/>
                <w:kern w:val="0"/>
                <w:sz w:val="20"/>
                <w:szCs w:val="20"/>
              </w:rPr>
            </w:pPr>
            <w:r>
              <w:rPr>
                <w:rFonts w:ascii="黑体" w:eastAsia="黑体" w:hAnsi="黑体"/>
                <w:sz w:val="20"/>
                <w:szCs w:val="20"/>
              </w:rPr>
              <w:t>ACC</w:t>
            </w:r>
          </w:p>
        </w:tc>
        <w:tc>
          <w:tcPr>
            <w:tcW w:w="4394" w:type="dxa"/>
            <w:vAlign w:val="center"/>
          </w:tcPr>
          <w:p w14:paraId="4FBEB86B" w14:textId="77777777" w:rsidR="00A052DC" w:rsidRDefault="009F0A60">
            <w:pPr>
              <w:rPr>
                <w:rFonts w:ascii="黑体" w:eastAsia="黑体"/>
                <w:kern w:val="0"/>
                <w:sz w:val="20"/>
                <w:szCs w:val="20"/>
              </w:rPr>
            </w:pPr>
            <w:r>
              <w:rPr>
                <w:rFonts w:ascii="黑体" w:eastAsia="黑体" w:hint="eastAsia"/>
                <w:sz w:val="20"/>
                <w:szCs w:val="20"/>
              </w:rPr>
              <w:t>外汇账户数据</w:t>
            </w:r>
          </w:p>
        </w:tc>
        <w:tc>
          <w:tcPr>
            <w:tcW w:w="2552" w:type="dxa"/>
          </w:tcPr>
          <w:p w14:paraId="62B5D04A" w14:textId="77777777" w:rsidR="00A052DC" w:rsidRDefault="00A052DC">
            <w:pPr>
              <w:rPr>
                <w:rFonts w:ascii="黑体" w:eastAsia="黑体"/>
                <w:kern w:val="0"/>
                <w:sz w:val="20"/>
                <w:szCs w:val="20"/>
              </w:rPr>
            </w:pPr>
          </w:p>
        </w:tc>
      </w:tr>
      <w:tr w:rsidR="00A052DC" w14:paraId="33C00650" w14:textId="77777777">
        <w:tc>
          <w:tcPr>
            <w:tcW w:w="1418" w:type="dxa"/>
            <w:vAlign w:val="center"/>
          </w:tcPr>
          <w:p w14:paraId="6C5DA448" w14:textId="77777777" w:rsidR="00881462" w:rsidRDefault="009F0A60">
            <w:pPr>
              <w:jc w:val="center"/>
              <w:rPr>
                <w:rFonts w:ascii="黑体" w:eastAsia="黑体" w:hAnsi="黑体"/>
                <w:kern w:val="0"/>
                <w:sz w:val="20"/>
                <w:szCs w:val="20"/>
              </w:rPr>
            </w:pPr>
            <w:r>
              <w:rPr>
                <w:rFonts w:ascii="黑体" w:eastAsia="黑体" w:hAnsi="黑体"/>
                <w:sz w:val="20"/>
                <w:szCs w:val="20"/>
              </w:rPr>
              <w:t>JSH</w:t>
            </w:r>
          </w:p>
        </w:tc>
        <w:tc>
          <w:tcPr>
            <w:tcW w:w="4394" w:type="dxa"/>
            <w:vAlign w:val="center"/>
          </w:tcPr>
          <w:p w14:paraId="5F744BA0" w14:textId="77777777" w:rsidR="00A052DC" w:rsidRDefault="009F0A60">
            <w:pPr>
              <w:rPr>
                <w:rFonts w:ascii="黑体" w:eastAsia="黑体"/>
                <w:kern w:val="0"/>
                <w:sz w:val="20"/>
                <w:szCs w:val="20"/>
              </w:rPr>
            </w:pPr>
            <w:r>
              <w:rPr>
                <w:rFonts w:ascii="黑体" w:eastAsia="黑体" w:hint="eastAsia"/>
                <w:sz w:val="20"/>
                <w:szCs w:val="20"/>
              </w:rPr>
              <w:t>外汇账户内结售汇数据、组织机构基本情况表</w:t>
            </w:r>
          </w:p>
        </w:tc>
        <w:tc>
          <w:tcPr>
            <w:tcW w:w="2552" w:type="dxa"/>
          </w:tcPr>
          <w:p w14:paraId="0B862181" w14:textId="77777777" w:rsidR="00A052DC" w:rsidRDefault="00A052DC">
            <w:pPr>
              <w:rPr>
                <w:rFonts w:ascii="黑体" w:eastAsia="黑体"/>
                <w:kern w:val="0"/>
                <w:sz w:val="20"/>
                <w:szCs w:val="20"/>
              </w:rPr>
            </w:pPr>
          </w:p>
        </w:tc>
      </w:tr>
      <w:tr w:rsidR="00A052DC" w14:paraId="76C99B85" w14:textId="77777777">
        <w:tc>
          <w:tcPr>
            <w:tcW w:w="1418" w:type="dxa"/>
            <w:vAlign w:val="center"/>
          </w:tcPr>
          <w:p w14:paraId="68BF0A98" w14:textId="77777777" w:rsidR="00881462" w:rsidRDefault="009F0A60">
            <w:pPr>
              <w:jc w:val="center"/>
              <w:rPr>
                <w:rFonts w:ascii="黑体" w:eastAsia="黑体" w:hAnsi="黑体"/>
                <w:kern w:val="0"/>
                <w:sz w:val="20"/>
                <w:szCs w:val="20"/>
              </w:rPr>
            </w:pPr>
            <w:r>
              <w:rPr>
                <w:rFonts w:ascii="黑体" w:eastAsia="黑体" w:hAnsi="黑体"/>
                <w:sz w:val="20"/>
                <w:szCs w:val="20"/>
              </w:rPr>
              <w:t>CFA</w:t>
            </w:r>
          </w:p>
        </w:tc>
        <w:tc>
          <w:tcPr>
            <w:tcW w:w="4394" w:type="dxa"/>
            <w:vAlign w:val="center"/>
          </w:tcPr>
          <w:p w14:paraId="040659C4" w14:textId="77777777" w:rsidR="00A052DC" w:rsidRDefault="009F0A60">
            <w:pPr>
              <w:rPr>
                <w:rFonts w:ascii="黑体" w:eastAsia="黑体"/>
                <w:kern w:val="0"/>
                <w:sz w:val="20"/>
                <w:szCs w:val="20"/>
              </w:rPr>
            </w:pPr>
            <w:r>
              <w:rPr>
                <w:rFonts w:ascii="黑体" w:eastAsia="黑体" w:hint="eastAsia"/>
                <w:sz w:val="20"/>
                <w:szCs w:val="20"/>
              </w:rPr>
              <w:t>银行自身资本项目数据、银行代客业务数据</w:t>
            </w:r>
          </w:p>
        </w:tc>
        <w:tc>
          <w:tcPr>
            <w:tcW w:w="2552" w:type="dxa"/>
          </w:tcPr>
          <w:p w14:paraId="02AE60F0" w14:textId="77777777" w:rsidR="00A052DC" w:rsidRDefault="00A052DC">
            <w:pPr>
              <w:rPr>
                <w:rFonts w:ascii="黑体" w:eastAsia="黑体"/>
                <w:kern w:val="0"/>
                <w:sz w:val="20"/>
                <w:szCs w:val="20"/>
              </w:rPr>
            </w:pPr>
          </w:p>
        </w:tc>
      </w:tr>
      <w:tr w:rsidR="00A052DC" w14:paraId="5DB72FF1" w14:textId="77777777">
        <w:tc>
          <w:tcPr>
            <w:tcW w:w="1418" w:type="dxa"/>
            <w:vAlign w:val="center"/>
          </w:tcPr>
          <w:p w14:paraId="2F603056" w14:textId="77777777" w:rsidR="00881462" w:rsidRDefault="009F0A60">
            <w:pPr>
              <w:jc w:val="center"/>
              <w:rPr>
                <w:rFonts w:ascii="黑体" w:eastAsia="黑体" w:hAnsi="黑体"/>
                <w:kern w:val="0"/>
                <w:sz w:val="20"/>
                <w:szCs w:val="20"/>
              </w:rPr>
            </w:pPr>
            <w:r>
              <w:rPr>
                <w:rFonts w:ascii="黑体" w:eastAsia="黑体" w:hAnsi="黑体"/>
                <w:sz w:val="20"/>
                <w:szCs w:val="20"/>
              </w:rPr>
              <w:t>FAL</w:t>
            </w:r>
          </w:p>
        </w:tc>
        <w:tc>
          <w:tcPr>
            <w:tcW w:w="4394" w:type="dxa"/>
            <w:vAlign w:val="center"/>
          </w:tcPr>
          <w:p w14:paraId="182B16C1" w14:textId="77777777" w:rsidR="00A052DC" w:rsidRDefault="009F0A60">
            <w:pPr>
              <w:rPr>
                <w:rFonts w:ascii="黑体" w:eastAsia="黑体"/>
                <w:kern w:val="0"/>
                <w:sz w:val="20"/>
                <w:szCs w:val="20"/>
              </w:rPr>
            </w:pPr>
            <w:r>
              <w:rPr>
                <w:rFonts w:ascii="黑体" w:eastAsia="黑体" w:hint="eastAsia"/>
                <w:sz w:val="20"/>
                <w:szCs w:val="20"/>
              </w:rPr>
              <w:t>对外金融资产负债及交易数据</w:t>
            </w:r>
          </w:p>
        </w:tc>
        <w:tc>
          <w:tcPr>
            <w:tcW w:w="2552" w:type="dxa"/>
          </w:tcPr>
          <w:p w14:paraId="4814B6D7" w14:textId="77777777" w:rsidR="00A052DC" w:rsidRDefault="00A052DC">
            <w:pPr>
              <w:rPr>
                <w:rFonts w:ascii="黑体" w:eastAsia="黑体"/>
                <w:kern w:val="0"/>
                <w:sz w:val="20"/>
                <w:szCs w:val="20"/>
              </w:rPr>
            </w:pPr>
          </w:p>
        </w:tc>
      </w:tr>
      <w:tr w:rsidR="00A052DC" w14:paraId="7E6CD144" w14:textId="77777777">
        <w:tc>
          <w:tcPr>
            <w:tcW w:w="1418" w:type="dxa"/>
            <w:vAlign w:val="center"/>
          </w:tcPr>
          <w:p w14:paraId="57B72896" w14:textId="77777777" w:rsidR="00881462" w:rsidRDefault="009F0A60">
            <w:pPr>
              <w:jc w:val="center"/>
              <w:rPr>
                <w:rFonts w:ascii="黑体" w:eastAsia="黑体" w:hAnsi="黑体"/>
                <w:kern w:val="0"/>
                <w:sz w:val="20"/>
                <w:szCs w:val="20"/>
              </w:rPr>
            </w:pPr>
            <w:r>
              <w:rPr>
                <w:rFonts w:ascii="黑体" w:eastAsia="黑体" w:hAnsi="黑体"/>
                <w:sz w:val="20"/>
                <w:szCs w:val="20"/>
              </w:rPr>
              <w:t>CWD</w:t>
            </w:r>
          </w:p>
        </w:tc>
        <w:tc>
          <w:tcPr>
            <w:tcW w:w="4394" w:type="dxa"/>
            <w:vAlign w:val="center"/>
          </w:tcPr>
          <w:p w14:paraId="289CDBE2" w14:textId="77777777" w:rsidR="00A052DC" w:rsidRDefault="009F0A60">
            <w:pPr>
              <w:rPr>
                <w:rFonts w:ascii="黑体" w:eastAsia="黑体"/>
                <w:kern w:val="0"/>
                <w:sz w:val="20"/>
                <w:szCs w:val="20"/>
              </w:rPr>
            </w:pPr>
            <w:r>
              <w:rPr>
                <w:rFonts w:ascii="黑体" w:eastAsia="黑体" w:hint="eastAsia"/>
                <w:kern w:val="0"/>
                <w:sz w:val="20"/>
                <w:szCs w:val="20"/>
              </w:rPr>
              <w:t>机构外币现钞存取数据</w:t>
            </w:r>
          </w:p>
        </w:tc>
        <w:tc>
          <w:tcPr>
            <w:tcW w:w="2552" w:type="dxa"/>
          </w:tcPr>
          <w:p w14:paraId="24AC3B54" w14:textId="77777777" w:rsidR="00A052DC" w:rsidRDefault="00A052DC">
            <w:pPr>
              <w:rPr>
                <w:rFonts w:ascii="黑体" w:eastAsia="黑体"/>
                <w:kern w:val="0"/>
                <w:sz w:val="20"/>
                <w:szCs w:val="20"/>
              </w:rPr>
            </w:pPr>
          </w:p>
        </w:tc>
      </w:tr>
      <w:tr w:rsidR="00A052DC" w14:paraId="4462EF67" w14:textId="77777777">
        <w:trPr>
          <w:trHeight w:val="279"/>
        </w:trPr>
        <w:tc>
          <w:tcPr>
            <w:tcW w:w="1418" w:type="dxa"/>
            <w:vAlign w:val="center"/>
          </w:tcPr>
          <w:p w14:paraId="2FA5100C" w14:textId="77777777" w:rsidR="00881462" w:rsidRDefault="009F0A60">
            <w:pPr>
              <w:jc w:val="center"/>
              <w:rPr>
                <w:rFonts w:ascii="黑体" w:eastAsia="黑体" w:hAnsi="黑体"/>
                <w:kern w:val="0"/>
                <w:sz w:val="20"/>
                <w:szCs w:val="20"/>
              </w:rPr>
            </w:pPr>
            <w:r>
              <w:rPr>
                <w:rFonts w:ascii="黑体" w:eastAsia="黑体" w:hAnsi="黑体"/>
                <w:sz w:val="20"/>
                <w:szCs w:val="20"/>
              </w:rPr>
              <w:t>EXD</w:t>
            </w:r>
          </w:p>
        </w:tc>
        <w:tc>
          <w:tcPr>
            <w:tcW w:w="4394" w:type="dxa"/>
            <w:vAlign w:val="center"/>
          </w:tcPr>
          <w:p w14:paraId="6A655707" w14:textId="77777777" w:rsidR="00A052DC" w:rsidRDefault="009F0A60">
            <w:pPr>
              <w:rPr>
                <w:rFonts w:ascii="黑体" w:eastAsia="黑体"/>
                <w:kern w:val="0"/>
                <w:sz w:val="20"/>
                <w:szCs w:val="20"/>
              </w:rPr>
            </w:pPr>
            <w:r>
              <w:rPr>
                <w:rFonts w:ascii="黑体" w:eastAsia="黑体" w:hint="eastAsia"/>
                <w:sz w:val="20"/>
                <w:szCs w:val="20"/>
              </w:rPr>
              <w:t>银行自身外债数据</w:t>
            </w:r>
          </w:p>
        </w:tc>
        <w:tc>
          <w:tcPr>
            <w:tcW w:w="2552" w:type="dxa"/>
          </w:tcPr>
          <w:p w14:paraId="4CC88A00" w14:textId="77777777" w:rsidR="00A052DC" w:rsidRDefault="00A052DC">
            <w:pPr>
              <w:rPr>
                <w:rFonts w:ascii="黑体" w:eastAsia="黑体"/>
                <w:kern w:val="0"/>
                <w:sz w:val="20"/>
                <w:szCs w:val="20"/>
              </w:rPr>
            </w:pPr>
          </w:p>
        </w:tc>
      </w:tr>
      <w:tr w:rsidR="00A052DC" w14:paraId="0A8BC2FA" w14:textId="77777777">
        <w:trPr>
          <w:trHeight w:val="279"/>
        </w:trPr>
        <w:tc>
          <w:tcPr>
            <w:tcW w:w="1418" w:type="dxa"/>
          </w:tcPr>
          <w:p w14:paraId="22870E3F" w14:textId="77777777" w:rsidR="00881462" w:rsidRDefault="009F0A60">
            <w:pPr>
              <w:jc w:val="center"/>
              <w:rPr>
                <w:rFonts w:ascii="黑体" w:eastAsia="黑体" w:hAnsi="黑体"/>
                <w:sz w:val="20"/>
                <w:szCs w:val="20"/>
              </w:rPr>
            </w:pPr>
            <w:r>
              <w:rPr>
                <w:rFonts w:ascii="黑体" w:eastAsia="黑体" w:hAnsi="黑体"/>
                <w:kern w:val="0"/>
                <w:sz w:val="20"/>
                <w:szCs w:val="20"/>
              </w:rPr>
              <w:t>CRD</w:t>
            </w:r>
          </w:p>
        </w:tc>
        <w:tc>
          <w:tcPr>
            <w:tcW w:w="4394" w:type="dxa"/>
          </w:tcPr>
          <w:p w14:paraId="323A59D5" w14:textId="77777777" w:rsidR="00A052DC" w:rsidRDefault="009F0A60">
            <w:pPr>
              <w:rPr>
                <w:rFonts w:ascii="黑体" w:eastAsia="黑体"/>
                <w:sz w:val="20"/>
                <w:szCs w:val="20"/>
              </w:rPr>
            </w:pPr>
            <w:r>
              <w:rPr>
                <w:rFonts w:ascii="Times New Roman" w:eastAsia="黑体" w:hAnsi="Times New Roman" w:hint="eastAsia"/>
                <w:kern w:val="0"/>
                <w:sz w:val="20"/>
                <w:szCs w:val="20"/>
              </w:rPr>
              <w:t>银行卡境外提现明细数据</w:t>
            </w:r>
          </w:p>
        </w:tc>
        <w:tc>
          <w:tcPr>
            <w:tcW w:w="2552" w:type="dxa"/>
          </w:tcPr>
          <w:p w14:paraId="03951D25" w14:textId="77777777" w:rsidR="00A052DC" w:rsidRDefault="00A052DC">
            <w:pPr>
              <w:rPr>
                <w:rFonts w:ascii="黑体" w:eastAsia="黑体"/>
                <w:kern w:val="0"/>
                <w:sz w:val="20"/>
                <w:szCs w:val="20"/>
              </w:rPr>
            </w:pPr>
          </w:p>
        </w:tc>
      </w:tr>
      <w:tr w:rsidR="00A052DC" w14:paraId="3F4A8C33" w14:textId="77777777">
        <w:trPr>
          <w:trHeight w:val="279"/>
        </w:trPr>
        <w:tc>
          <w:tcPr>
            <w:tcW w:w="1418" w:type="dxa"/>
          </w:tcPr>
          <w:p w14:paraId="2EC39C94" w14:textId="77777777" w:rsidR="00881462" w:rsidRDefault="009F0A60">
            <w:pPr>
              <w:jc w:val="center"/>
              <w:rPr>
                <w:rFonts w:ascii="黑体" w:eastAsia="黑体" w:hAnsi="黑体"/>
                <w:sz w:val="20"/>
                <w:szCs w:val="20"/>
              </w:rPr>
            </w:pPr>
            <w:r>
              <w:rPr>
                <w:rFonts w:ascii="黑体" w:eastAsia="黑体" w:hAnsi="黑体"/>
                <w:kern w:val="0"/>
                <w:sz w:val="20"/>
                <w:szCs w:val="20"/>
              </w:rPr>
              <w:t>CRX</w:t>
            </w:r>
          </w:p>
        </w:tc>
        <w:tc>
          <w:tcPr>
            <w:tcW w:w="4394" w:type="dxa"/>
          </w:tcPr>
          <w:p w14:paraId="215AB69B" w14:textId="77777777" w:rsidR="00A052DC" w:rsidRDefault="009F0A60">
            <w:pPr>
              <w:rPr>
                <w:rFonts w:ascii="黑体" w:eastAsia="黑体"/>
                <w:sz w:val="20"/>
                <w:szCs w:val="20"/>
              </w:rPr>
            </w:pPr>
            <w:r>
              <w:rPr>
                <w:rFonts w:ascii="Times New Roman" w:eastAsia="黑体" w:hAnsi="Times New Roman" w:hint="eastAsia"/>
                <w:kern w:val="0"/>
                <w:sz w:val="20"/>
                <w:szCs w:val="20"/>
              </w:rPr>
              <w:t>银行卡境外消费明细数据</w:t>
            </w:r>
          </w:p>
        </w:tc>
        <w:tc>
          <w:tcPr>
            <w:tcW w:w="2552" w:type="dxa"/>
          </w:tcPr>
          <w:p w14:paraId="301C0DCF" w14:textId="77777777" w:rsidR="00A052DC" w:rsidRDefault="00A052DC">
            <w:pPr>
              <w:rPr>
                <w:rFonts w:ascii="黑体" w:eastAsia="黑体"/>
                <w:kern w:val="0"/>
                <w:sz w:val="20"/>
                <w:szCs w:val="20"/>
              </w:rPr>
            </w:pPr>
          </w:p>
        </w:tc>
      </w:tr>
      <w:tr w:rsidR="00A052DC" w14:paraId="2E618890" w14:textId="77777777">
        <w:trPr>
          <w:trHeight w:val="279"/>
        </w:trPr>
        <w:tc>
          <w:tcPr>
            <w:tcW w:w="1418" w:type="dxa"/>
          </w:tcPr>
          <w:p w14:paraId="29F15DBD" w14:textId="77777777" w:rsidR="00881462" w:rsidRDefault="009F0A60">
            <w:pPr>
              <w:jc w:val="center"/>
              <w:rPr>
                <w:rFonts w:ascii="黑体" w:eastAsia="黑体" w:hAnsi="黑体"/>
                <w:kern w:val="0"/>
                <w:sz w:val="20"/>
                <w:szCs w:val="20"/>
              </w:rPr>
            </w:pPr>
            <w:r>
              <w:rPr>
                <w:rFonts w:ascii="黑体" w:eastAsia="黑体" w:hAnsi="黑体" w:hint="eastAsia"/>
                <w:kern w:val="0"/>
                <w:sz w:val="20"/>
                <w:szCs w:val="20"/>
              </w:rPr>
              <w:t>SAC</w:t>
            </w:r>
          </w:p>
        </w:tc>
        <w:tc>
          <w:tcPr>
            <w:tcW w:w="4394" w:type="dxa"/>
          </w:tcPr>
          <w:p w14:paraId="2BA5F401" w14:textId="77777777" w:rsidR="00A052DC" w:rsidRDefault="009F0A60">
            <w:pPr>
              <w:rPr>
                <w:rFonts w:ascii="Times New Roman" w:eastAsia="黑体" w:hAnsi="Times New Roman"/>
                <w:kern w:val="0"/>
                <w:sz w:val="20"/>
                <w:szCs w:val="20"/>
              </w:rPr>
            </w:pPr>
            <w:r>
              <w:rPr>
                <w:rFonts w:ascii="Times New Roman" w:eastAsia="黑体" w:hAnsi="Times New Roman" w:hint="eastAsia"/>
                <w:kern w:val="0"/>
                <w:sz w:val="20"/>
                <w:szCs w:val="20"/>
              </w:rPr>
              <w:t>涉嫌外汇违规账户信息、机构大额结售汇资金来源和使用数据</w:t>
            </w:r>
          </w:p>
        </w:tc>
        <w:tc>
          <w:tcPr>
            <w:tcW w:w="2552" w:type="dxa"/>
          </w:tcPr>
          <w:p w14:paraId="188E83C3" w14:textId="77777777" w:rsidR="00A052DC" w:rsidRDefault="00A052DC">
            <w:pPr>
              <w:rPr>
                <w:rFonts w:ascii="黑体" w:eastAsia="黑体"/>
                <w:kern w:val="0"/>
                <w:sz w:val="20"/>
                <w:szCs w:val="20"/>
              </w:rPr>
            </w:pPr>
          </w:p>
        </w:tc>
      </w:tr>
    </w:tbl>
    <w:p w14:paraId="6EC0C30B" w14:textId="77777777" w:rsidR="00A052DC" w:rsidRDefault="009F0A60">
      <w:pPr>
        <w:pStyle w:val="3"/>
        <w:ind w:left="0"/>
        <w:rPr>
          <w:rFonts w:ascii="Times New Roman" w:hAnsi="Times New Roman"/>
        </w:rPr>
      </w:pPr>
      <w:bookmarkStart w:id="736" w:name="_Toc454780085"/>
      <w:bookmarkStart w:id="737" w:name="_Toc454454791"/>
      <w:bookmarkStart w:id="738" w:name="_Toc454464708"/>
      <w:bookmarkStart w:id="739" w:name="_Toc455152727"/>
      <w:bookmarkStart w:id="740" w:name="_Toc455163906"/>
      <w:bookmarkStart w:id="741" w:name="_Toc455156455"/>
      <w:bookmarkStart w:id="742" w:name="_Toc455167631"/>
      <w:bookmarkStart w:id="743" w:name="_Toc454378091"/>
      <w:bookmarkStart w:id="744" w:name="_Toc454386720"/>
      <w:bookmarkStart w:id="745" w:name="_Toc454395015"/>
      <w:bookmarkStart w:id="746" w:name="_Toc91455239"/>
      <w:bookmarkStart w:id="747" w:name="_Toc380356213"/>
      <w:bookmarkStart w:id="748" w:name="_Toc454386721"/>
      <w:bookmarkStart w:id="749" w:name="_Toc101684412"/>
      <w:bookmarkEnd w:id="736"/>
      <w:bookmarkEnd w:id="737"/>
      <w:bookmarkEnd w:id="738"/>
      <w:bookmarkEnd w:id="739"/>
      <w:bookmarkEnd w:id="740"/>
      <w:bookmarkEnd w:id="741"/>
      <w:bookmarkEnd w:id="742"/>
      <w:bookmarkEnd w:id="743"/>
      <w:bookmarkEnd w:id="744"/>
      <w:bookmarkEnd w:id="745"/>
      <w:r>
        <w:rPr>
          <w:rFonts w:ascii="Times New Roman" w:hAnsi="Times New Roman" w:hint="eastAsia"/>
        </w:rPr>
        <w:t>涉外收支数据、境内划转数据、组织机构基本情况表</w:t>
      </w:r>
      <w:bookmarkEnd w:id="746"/>
      <w:bookmarkEnd w:id="747"/>
      <w:bookmarkEnd w:id="748"/>
      <w:bookmarkEnd w:id="749"/>
    </w:p>
    <w:p w14:paraId="740768D1" w14:textId="77777777" w:rsidR="00A052DC" w:rsidRDefault="009F0A60" w:rsidP="009F0A60">
      <w:pPr>
        <w:spacing w:line="360" w:lineRule="auto"/>
        <w:ind w:firstLineChars="472" w:firstLine="1133"/>
        <w:rPr>
          <w:rFonts w:ascii="Times New Roman" w:hAnsi="Times New Roman"/>
          <w:sz w:val="24"/>
        </w:rPr>
      </w:pPr>
      <w:r>
        <w:rPr>
          <w:rFonts w:ascii="Times New Roman" w:hAnsi="Times New Roman"/>
          <w:sz w:val="24"/>
        </w:rPr>
        <w:t>BOP + 1</w:t>
      </w:r>
      <w:r>
        <w:rPr>
          <w:rFonts w:ascii="Times New Roman" w:hAnsi="Times New Roman" w:hint="eastAsia"/>
          <w:sz w:val="24"/>
        </w:rPr>
        <w:t>位接口文件类型代码</w:t>
      </w:r>
    </w:p>
    <w:p w14:paraId="5B4D0273" w14:textId="77777777" w:rsidR="00A052DC" w:rsidRDefault="009F0A60">
      <w:pPr>
        <w:spacing w:line="360" w:lineRule="auto"/>
        <w:ind w:left="1260" w:hanging="126"/>
        <w:rPr>
          <w:rFonts w:ascii="Times New Roman" w:hAnsi="Times New Roman"/>
          <w:sz w:val="24"/>
        </w:rPr>
      </w:pPr>
      <w:r>
        <w:rPr>
          <w:rFonts w:ascii="Times New Roman" w:hAnsi="Times New Roman" w:hint="eastAsia"/>
          <w:sz w:val="24"/>
        </w:rPr>
        <w:t>接口文件类型代码如下：</w:t>
      </w:r>
    </w:p>
    <w:p w14:paraId="3463DE9A" w14:textId="77777777" w:rsidR="00A052DC" w:rsidRDefault="009F0A60">
      <w:pPr>
        <w:spacing w:line="360" w:lineRule="auto"/>
        <w:ind w:left="2516" w:hanging="836"/>
        <w:rPr>
          <w:rFonts w:ascii="Times New Roman" w:hAnsi="Times New Roman"/>
          <w:b/>
          <w:sz w:val="24"/>
        </w:rPr>
      </w:pPr>
      <w:r>
        <w:rPr>
          <w:rFonts w:ascii="Times New Roman" w:hAnsi="Times New Roman"/>
          <w:b/>
          <w:sz w:val="24"/>
        </w:rPr>
        <w:t>T</w:t>
      </w:r>
      <w:r>
        <w:rPr>
          <w:rFonts w:ascii="Times New Roman" w:hAnsi="Times New Roman"/>
          <w:b/>
          <w:sz w:val="24"/>
        </w:rPr>
        <w:tab/>
      </w:r>
      <w:r>
        <w:rPr>
          <w:rFonts w:ascii="Times New Roman" w:hAnsi="Times New Roman" w:hint="eastAsia"/>
          <w:b/>
          <w:sz w:val="24"/>
        </w:rPr>
        <w:t>接口控制文件</w:t>
      </w:r>
    </w:p>
    <w:p w14:paraId="765F9834" w14:textId="77777777" w:rsidR="00A052DC" w:rsidRDefault="009F0A60">
      <w:pPr>
        <w:spacing w:line="360" w:lineRule="auto"/>
        <w:ind w:left="2516" w:hanging="836"/>
        <w:rPr>
          <w:rFonts w:ascii="Times New Roman" w:hAnsi="Times New Roman"/>
          <w:sz w:val="24"/>
        </w:rPr>
      </w:pPr>
      <w:r>
        <w:rPr>
          <w:rFonts w:ascii="Times New Roman" w:hAnsi="Times New Roman"/>
          <w:sz w:val="24"/>
        </w:rPr>
        <w:t>A</w:t>
      </w:r>
      <w:r>
        <w:rPr>
          <w:rFonts w:ascii="Times New Roman" w:hAnsi="Times New Roman"/>
          <w:sz w:val="24"/>
        </w:rPr>
        <w:tab/>
      </w:r>
      <w:r>
        <w:rPr>
          <w:rFonts w:ascii="Times New Roman" w:hAnsi="Times New Roman"/>
          <w:sz w:val="24"/>
        </w:rPr>
        <w:tab/>
      </w:r>
      <w:r>
        <w:rPr>
          <w:rFonts w:ascii="Times New Roman" w:hAnsi="Times New Roman" w:hint="eastAsia"/>
          <w:sz w:val="24"/>
        </w:rPr>
        <w:t>涉外收入申报单</w:t>
      </w:r>
      <w:r w:rsidR="00891512">
        <w:rPr>
          <w:rFonts w:ascii="Times New Roman" w:hAnsi="Times New Roman"/>
          <w:sz w:val="24"/>
        </w:rPr>
        <w:t>-</w:t>
      </w:r>
      <w:r>
        <w:rPr>
          <w:rFonts w:ascii="Times New Roman" w:hAnsi="Times New Roman" w:hint="eastAsia"/>
          <w:sz w:val="24"/>
        </w:rPr>
        <w:t>基础信息</w:t>
      </w:r>
    </w:p>
    <w:p w14:paraId="4C5EF010" w14:textId="77777777" w:rsidR="00A052DC" w:rsidRDefault="009F0A60">
      <w:pPr>
        <w:spacing w:line="360" w:lineRule="auto"/>
        <w:ind w:left="2516" w:hanging="836"/>
        <w:rPr>
          <w:rFonts w:ascii="Times New Roman" w:hAnsi="Times New Roman"/>
          <w:sz w:val="24"/>
        </w:rPr>
      </w:pPr>
      <w:r>
        <w:rPr>
          <w:rFonts w:ascii="Times New Roman" w:hAnsi="Times New Roman"/>
          <w:sz w:val="24"/>
        </w:rPr>
        <w:t>B</w:t>
      </w:r>
      <w:r>
        <w:rPr>
          <w:rFonts w:ascii="Times New Roman" w:hAnsi="Times New Roman"/>
          <w:sz w:val="24"/>
        </w:rPr>
        <w:tab/>
      </w:r>
      <w:r>
        <w:rPr>
          <w:rFonts w:ascii="Times New Roman" w:hAnsi="Times New Roman" w:hint="eastAsia"/>
          <w:sz w:val="24"/>
        </w:rPr>
        <w:t>境外汇款申请书</w:t>
      </w:r>
      <w:r w:rsidR="00891512">
        <w:rPr>
          <w:rFonts w:ascii="Times New Roman" w:hAnsi="Times New Roman"/>
          <w:sz w:val="24"/>
        </w:rPr>
        <w:t>-</w:t>
      </w:r>
      <w:r>
        <w:rPr>
          <w:rFonts w:ascii="Times New Roman" w:hAnsi="Times New Roman" w:hint="eastAsia"/>
          <w:sz w:val="24"/>
        </w:rPr>
        <w:t>基础信息</w:t>
      </w:r>
    </w:p>
    <w:p w14:paraId="712C6250" w14:textId="77777777" w:rsidR="00A052DC" w:rsidRDefault="009F0A60">
      <w:pPr>
        <w:spacing w:line="360" w:lineRule="auto"/>
        <w:ind w:left="2516" w:hanging="836"/>
        <w:rPr>
          <w:rFonts w:ascii="Times New Roman" w:hAnsi="Times New Roman"/>
          <w:sz w:val="24"/>
        </w:rPr>
      </w:pPr>
      <w:r>
        <w:rPr>
          <w:rFonts w:ascii="Times New Roman" w:hAnsi="Times New Roman"/>
          <w:sz w:val="24"/>
        </w:rPr>
        <w:t>C</w:t>
      </w:r>
      <w:r>
        <w:rPr>
          <w:rFonts w:ascii="Times New Roman" w:hAnsi="Times New Roman"/>
          <w:sz w:val="24"/>
        </w:rPr>
        <w:tab/>
      </w:r>
      <w:r>
        <w:rPr>
          <w:rFonts w:ascii="Times New Roman" w:hAnsi="Times New Roman" w:hint="eastAsia"/>
          <w:sz w:val="24"/>
        </w:rPr>
        <w:t>对外付款</w:t>
      </w:r>
      <w:r>
        <w:rPr>
          <w:rFonts w:ascii="Times New Roman" w:hAnsi="Times New Roman"/>
          <w:sz w:val="24"/>
        </w:rPr>
        <w:t>/</w:t>
      </w:r>
      <w:r>
        <w:rPr>
          <w:rFonts w:ascii="Times New Roman" w:hAnsi="Times New Roman" w:hint="eastAsia"/>
          <w:sz w:val="24"/>
        </w:rPr>
        <w:t>承兑通知书</w:t>
      </w:r>
      <w:r w:rsidR="00891512">
        <w:rPr>
          <w:rFonts w:ascii="Times New Roman" w:hAnsi="Times New Roman"/>
          <w:sz w:val="24"/>
        </w:rPr>
        <w:t>-</w:t>
      </w:r>
      <w:r>
        <w:rPr>
          <w:rFonts w:ascii="Times New Roman" w:hAnsi="Times New Roman" w:hint="eastAsia"/>
          <w:sz w:val="24"/>
        </w:rPr>
        <w:t>基础信息</w:t>
      </w:r>
    </w:p>
    <w:p w14:paraId="4EC4825C" w14:textId="77777777" w:rsidR="00A052DC" w:rsidRDefault="009F0A60">
      <w:pPr>
        <w:spacing w:line="360" w:lineRule="auto"/>
        <w:ind w:left="2516" w:hanging="836"/>
        <w:rPr>
          <w:rFonts w:ascii="Times New Roman" w:hAnsi="Times New Roman"/>
          <w:sz w:val="24"/>
        </w:rPr>
      </w:pPr>
      <w:r>
        <w:rPr>
          <w:rFonts w:ascii="Times New Roman" w:hAnsi="Times New Roman"/>
          <w:sz w:val="24"/>
        </w:rPr>
        <w:t>D</w:t>
      </w:r>
      <w:r>
        <w:rPr>
          <w:rFonts w:ascii="Times New Roman" w:hAnsi="Times New Roman"/>
          <w:sz w:val="24"/>
        </w:rPr>
        <w:tab/>
      </w:r>
      <w:r>
        <w:rPr>
          <w:rFonts w:ascii="Times New Roman" w:hAnsi="Times New Roman" w:hint="eastAsia"/>
          <w:sz w:val="24"/>
        </w:rPr>
        <w:t>境内收入申报单</w:t>
      </w:r>
      <w:r>
        <w:rPr>
          <w:rFonts w:ascii="Times New Roman" w:hAnsi="Times New Roman"/>
          <w:sz w:val="24"/>
        </w:rPr>
        <w:t>-</w:t>
      </w:r>
      <w:r>
        <w:rPr>
          <w:rFonts w:ascii="Times New Roman" w:hAnsi="Times New Roman" w:hint="eastAsia"/>
          <w:sz w:val="24"/>
        </w:rPr>
        <w:t>基础信息</w:t>
      </w:r>
    </w:p>
    <w:p w14:paraId="63C9E174" w14:textId="77777777" w:rsidR="00A052DC" w:rsidRDefault="009F0A60">
      <w:pPr>
        <w:spacing w:line="360" w:lineRule="auto"/>
        <w:ind w:left="2516" w:hanging="836"/>
        <w:rPr>
          <w:rFonts w:ascii="Times New Roman" w:hAnsi="Times New Roman"/>
          <w:sz w:val="24"/>
        </w:rPr>
      </w:pPr>
      <w:r>
        <w:rPr>
          <w:rFonts w:ascii="Times New Roman" w:hAnsi="Times New Roman"/>
          <w:sz w:val="24"/>
        </w:rPr>
        <w:t>E</w:t>
      </w:r>
      <w:r>
        <w:rPr>
          <w:rFonts w:ascii="Times New Roman" w:hAnsi="Times New Roman"/>
          <w:sz w:val="24"/>
        </w:rPr>
        <w:tab/>
      </w:r>
      <w:r>
        <w:rPr>
          <w:rFonts w:ascii="Times New Roman" w:hAnsi="Times New Roman" w:hint="eastAsia"/>
          <w:sz w:val="24"/>
        </w:rPr>
        <w:t>境内汇款申请书</w:t>
      </w:r>
      <w:r w:rsidR="00891512">
        <w:rPr>
          <w:rFonts w:ascii="Times New Roman" w:hAnsi="Times New Roman"/>
          <w:sz w:val="24"/>
        </w:rPr>
        <w:t>-</w:t>
      </w:r>
      <w:r>
        <w:rPr>
          <w:rFonts w:ascii="Times New Roman" w:hAnsi="Times New Roman" w:hint="eastAsia"/>
          <w:sz w:val="24"/>
        </w:rPr>
        <w:t>基础信息</w:t>
      </w:r>
    </w:p>
    <w:p w14:paraId="52DB1DC5" w14:textId="77777777" w:rsidR="00A052DC" w:rsidRDefault="009F0A60">
      <w:pPr>
        <w:spacing w:line="360" w:lineRule="auto"/>
        <w:ind w:left="2516" w:hanging="836"/>
        <w:rPr>
          <w:rFonts w:ascii="Times New Roman" w:hAnsi="Times New Roman"/>
          <w:sz w:val="24"/>
        </w:rPr>
      </w:pPr>
      <w:r>
        <w:rPr>
          <w:rFonts w:ascii="Times New Roman" w:hAnsi="Times New Roman"/>
          <w:sz w:val="24"/>
        </w:rPr>
        <w:t>F</w:t>
      </w:r>
      <w:r>
        <w:rPr>
          <w:rFonts w:ascii="Times New Roman" w:hAnsi="Times New Roman"/>
          <w:sz w:val="24"/>
        </w:rPr>
        <w:tab/>
      </w:r>
      <w:r>
        <w:rPr>
          <w:rFonts w:ascii="Times New Roman" w:hAnsi="Times New Roman" w:hint="eastAsia"/>
          <w:sz w:val="24"/>
        </w:rPr>
        <w:t>境内付款</w:t>
      </w:r>
      <w:r>
        <w:rPr>
          <w:rFonts w:ascii="Times New Roman" w:hAnsi="Times New Roman"/>
          <w:sz w:val="24"/>
        </w:rPr>
        <w:t>/</w:t>
      </w:r>
      <w:r>
        <w:rPr>
          <w:rFonts w:ascii="Times New Roman" w:hAnsi="Times New Roman" w:hint="eastAsia"/>
          <w:sz w:val="24"/>
        </w:rPr>
        <w:t>承兑通知书</w:t>
      </w:r>
      <w:r w:rsidR="00891512">
        <w:rPr>
          <w:rFonts w:ascii="Times New Roman" w:hAnsi="Times New Roman"/>
          <w:sz w:val="24"/>
        </w:rPr>
        <w:t>-</w:t>
      </w:r>
      <w:r>
        <w:rPr>
          <w:rFonts w:ascii="Times New Roman" w:hAnsi="Times New Roman" w:hint="eastAsia"/>
          <w:sz w:val="24"/>
        </w:rPr>
        <w:t>基础信息</w:t>
      </w:r>
    </w:p>
    <w:p w14:paraId="3B11E75B" w14:textId="77777777" w:rsidR="00A052DC" w:rsidRDefault="009F0A60">
      <w:pPr>
        <w:spacing w:line="360" w:lineRule="auto"/>
        <w:ind w:left="2516" w:hanging="836"/>
        <w:rPr>
          <w:rFonts w:ascii="Times New Roman" w:hAnsi="Times New Roman"/>
          <w:sz w:val="24"/>
        </w:rPr>
      </w:pPr>
      <w:r>
        <w:rPr>
          <w:rFonts w:ascii="Times New Roman" w:hAnsi="Times New Roman"/>
          <w:sz w:val="24"/>
        </w:rPr>
        <w:t>G</w:t>
      </w:r>
      <w:r>
        <w:rPr>
          <w:rFonts w:ascii="Times New Roman" w:hAnsi="Times New Roman"/>
          <w:sz w:val="24"/>
        </w:rPr>
        <w:tab/>
      </w:r>
      <w:r>
        <w:rPr>
          <w:rFonts w:ascii="Times New Roman" w:hAnsi="Times New Roman"/>
          <w:sz w:val="24"/>
        </w:rPr>
        <w:tab/>
      </w:r>
      <w:r>
        <w:rPr>
          <w:rFonts w:ascii="Times New Roman" w:hAnsi="Times New Roman" w:hint="eastAsia"/>
          <w:sz w:val="24"/>
        </w:rPr>
        <w:t>涉外收入申报单</w:t>
      </w:r>
      <w:r w:rsidR="00891512">
        <w:rPr>
          <w:rFonts w:ascii="Times New Roman" w:hAnsi="Times New Roman"/>
          <w:sz w:val="24"/>
        </w:rPr>
        <w:t>-</w:t>
      </w:r>
      <w:r>
        <w:rPr>
          <w:rFonts w:ascii="Times New Roman" w:hAnsi="Times New Roman" w:hint="eastAsia"/>
          <w:sz w:val="24"/>
        </w:rPr>
        <w:t>申报信息</w:t>
      </w:r>
      <w:r>
        <w:rPr>
          <w:rFonts w:ascii="Times New Roman" w:hAnsi="Times New Roman"/>
          <w:sz w:val="24"/>
        </w:rPr>
        <w:tab/>
      </w:r>
    </w:p>
    <w:p w14:paraId="38E57144" w14:textId="77777777" w:rsidR="00A052DC" w:rsidRDefault="009F0A60">
      <w:pPr>
        <w:spacing w:line="360" w:lineRule="auto"/>
        <w:ind w:left="2516" w:hanging="836"/>
        <w:rPr>
          <w:rFonts w:ascii="Times New Roman" w:hAnsi="Times New Roman"/>
          <w:sz w:val="24"/>
        </w:rPr>
      </w:pPr>
      <w:r>
        <w:rPr>
          <w:rFonts w:ascii="Times New Roman" w:hAnsi="Times New Roman"/>
          <w:sz w:val="24"/>
        </w:rPr>
        <w:t>H</w:t>
      </w:r>
      <w:r>
        <w:rPr>
          <w:rFonts w:ascii="Times New Roman" w:hAnsi="Times New Roman"/>
          <w:sz w:val="24"/>
        </w:rPr>
        <w:tab/>
      </w:r>
      <w:r>
        <w:rPr>
          <w:rFonts w:ascii="Times New Roman" w:hAnsi="Times New Roman" w:hint="eastAsia"/>
          <w:sz w:val="24"/>
        </w:rPr>
        <w:t>境外汇款申请书</w:t>
      </w:r>
      <w:r w:rsidR="00891512">
        <w:rPr>
          <w:rFonts w:ascii="Times New Roman" w:hAnsi="Times New Roman"/>
          <w:sz w:val="24"/>
        </w:rPr>
        <w:t>-</w:t>
      </w:r>
      <w:r>
        <w:rPr>
          <w:rFonts w:ascii="Times New Roman" w:hAnsi="Times New Roman" w:hint="eastAsia"/>
          <w:sz w:val="24"/>
        </w:rPr>
        <w:t>申报信息</w:t>
      </w:r>
    </w:p>
    <w:p w14:paraId="5537040F" w14:textId="77777777" w:rsidR="00A052DC" w:rsidRDefault="009F0A60">
      <w:pPr>
        <w:spacing w:line="360" w:lineRule="auto"/>
        <w:ind w:left="2516" w:hanging="836"/>
        <w:rPr>
          <w:rFonts w:ascii="Times New Roman" w:hAnsi="Times New Roman"/>
          <w:sz w:val="24"/>
        </w:rPr>
      </w:pPr>
      <w:r>
        <w:rPr>
          <w:rFonts w:ascii="Times New Roman" w:hAnsi="Times New Roman"/>
          <w:sz w:val="24"/>
        </w:rPr>
        <w:t>K</w:t>
      </w:r>
      <w:r>
        <w:rPr>
          <w:rFonts w:ascii="Times New Roman" w:hAnsi="Times New Roman"/>
          <w:sz w:val="24"/>
        </w:rPr>
        <w:tab/>
      </w:r>
      <w:r>
        <w:rPr>
          <w:rFonts w:ascii="Times New Roman" w:hAnsi="Times New Roman" w:hint="eastAsia"/>
          <w:sz w:val="24"/>
        </w:rPr>
        <w:t>对外付款</w:t>
      </w:r>
      <w:r>
        <w:rPr>
          <w:rFonts w:ascii="Times New Roman" w:hAnsi="Times New Roman"/>
          <w:sz w:val="24"/>
        </w:rPr>
        <w:t>/</w:t>
      </w:r>
      <w:r>
        <w:rPr>
          <w:rFonts w:ascii="Times New Roman" w:hAnsi="Times New Roman" w:hint="eastAsia"/>
          <w:sz w:val="24"/>
        </w:rPr>
        <w:t>承兑通知书</w:t>
      </w:r>
      <w:r w:rsidR="00891512">
        <w:rPr>
          <w:rFonts w:ascii="Times New Roman" w:hAnsi="Times New Roman"/>
          <w:sz w:val="24"/>
        </w:rPr>
        <w:t>-</w:t>
      </w:r>
      <w:r>
        <w:rPr>
          <w:rFonts w:ascii="Times New Roman" w:hAnsi="Times New Roman" w:hint="eastAsia"/>
          <w:sz w:val="24"/>
        </w:rPr>
        <w:t>申报信息</w:t>
      </w:r>
    </w:p>
    <w:p w14:paraId="3AA3A2CB" w14:textId="77777777" w:rsidR="00A052DC" w:rsidRDefault="009F0A60">
      <w:pPr>
        <w:spacing w:line="360" w:lineRule="auto"/>
        <w:ind w:left="2516" w:hanging="836"/>
        <w:rPr>
          <w:rFonts w:ascii="Times New Roman" w:hAnsi="Times New Roman"/>
          <w:sz w:val="24"/>
        </w:rPr>
      </w:pPr>
      <w:r>
        <w:rPr>
          <w:rFonts w:ascii="Times New Roman" w:hAnsi="Times New Roman"/>
          <w:sz w:val="24"/>
        </w:rPr>
        <w:t>N</w:t>
      </w:r>
      <w:r>
        <w:rPr>
          <w:rFonts w:ascii="Times New Roman" w:hAnsi="Times New Roman"/>
          <w:sz w:val="24"/>
        </w:rPr>
        <w:tab/>
      </w:r>
      <w:r>
        <w:rPr>
          <w:rFonts w:ascii="Times New Roman" w:hAnsi="Times New Roman" w:hint="eastAsia"/>
          <w:sz w:val="24"/>
        </w:rPr>
        <w:t>境外汇款申请书</w:t>
      </w:r>
      <w:r w:rsidR="00891512">
        <w:rPr>
          <w:rFonts w:ascii="Times New Roman" w:hAnsi="Times New Roman"/>
          <w:sz w:val="24"/>
        </w:rPr>
        <w:t>-</w:t>
      </w:r>
      <w:r>
        <w:rPr>
          <w:rFonts w:ascii="Times New Roman" w:hAnsi="Times New Roman" w:hint="eastAsia"/>
          <w:sz w:val="24"/>
        </w:rPr>
        <w:t>管理信息</w:t>
      </w:r>
    </w:p>
    <w:p w14:paraId="32A91C70" w14:textId="77777777" w:rsidR="00A052DC" w:rsidRDefault="009F0A60">
      <w:pPr>
        <w:spacing w:line="360" w:lineRule="auto"/>
        <w:ind w:left="2516" w:hanging="836"/>
        <w:rPr>
          <w:rFonts w:ascii="Times New Roman" w:hAnsi="Times New Roman"/>
          <w:sz w:val="24"/>
        </w:rPr>
      </w:pPr>
      <w:r>
        <w:rPr>
          <w:rFonts w:ascii="Times New Roman" w:hAnsi="Times New Roman"/>
          <w:sz w:val="24"/>
        </w:rPr>
        <w:t>P</w:t>
      </w:r>
      <w:r>
        <w:rPr>
          <w:rFonts w:ascii="Times New Roman" w:hAnsi="Times New Roman"/>
          <w:sz w:val="24"/>
        </w:rPr>
        <w:tab/>
      </w:r>
      <w:r>
        <w:rPr>
          <w:rFonts w:ascii="Times New Roman" w:hAnsi="Times New Roman" w:hint="eastAsia"/>
          <w:sz w:val="24"/>
        </w:rPr>
        <w:t>对外付款</w:t>
      </w:r>
      <w:r>
        <w:rPr>
          <w:rFonts w:ascii="Times New Roman" w:hAnsi="Times New Roman"/>
          <w:sz w:val="24"/>
        </w:rPr>
        <w:t>/</w:t>
      </w:r>
      <w:r>
        <w:rPr>
          <w:rFonts w:ascii="Times New Roman" w:hAnsi="Times New Roman" w:hint="eastAsia"/>
          <w:sz w:val="24"/>
        </w:rPr>
        <w:t>承兑通知书</w:t>
      </w:r>
      <w:r w:rsidR="00891512">
        <w:rPr>
          <w:rFonts w:ascii="Times New Roman" w:hAnsi="Times New Roman"/>
          <w:sz w:val="24"/>
        </w:rPr>
        <w:t>-</w:t>
      </w:r>
      <w:r>
        <w:rPr>
          <w:rFonts w:ascii="Times New Roman" w:hAnsi="Times New Roman" w:hint="eastAsia"/>
          <w:sz w:val="24"/>
        </w:rPr>
        <w:t>管理信息</w:t>
      </w:r>
    </w:p>
    <w:p w14:paraId="1CB4D499" w14:textId="77777777" w:rsidR="00A052DC" w:rsidRDefault="009F0A60">
      <w:pPr>
        <w:spacing w:line="360" w:lineRule="auto"/>
        <w:ind w:left="2516" w:hanging="836"/>
        <w:rPr>
          <w:rFonts w:ascii="Times New Roman" w:hAnsi="Times New Roman"/>
          <w:sz w:val="24"/>
        </w:rPr>
      </w:pPr>
      <w:r>
        <w:rPr>
          <w:rFonts w:ascii="Times New Roman" w:hAnsi="Times New Roman"/>
          <w:sz w:val="24"/>
        </w:rPr>
        <w:t>Q</w:t>
      </w:r>
      <w:r>
        <w:rPr>
          <w:rFonts w:ascii="Times New Roman" w:hAnsi="Times New Roman"/>
          <w:sz w:val="24"/>
        </w:rPr>
        <w:tab/>
      </w:r>
      <w:r>
        <w:rPr>
          <w:rFonts w:ascii="Times New Roman" w:hAnsi="Times New Roman"/>
          <w:sz w:val="24"/>
        </w:rPr>
        <w:tab/>
      </w:r>
      <w:r>
        <w:rPr>
          <w:rFonts w:ascii="Times New Roman" w:hAnsi="Times New Roman" w:hint="eastAsia"/>
          <w:sz w:val="24"/>
        </w:rPr>
        <w:t>境内汇款申请书</w:t>
      </w:r>
      <w:r w:rsidR="00891512">
        <w:rPr>
          <w:rFonts w:ascii="Times New Roman" w:hAnsi="Times New Roman"/>
          <w:sz w:val="24"/>
        </w:rPr>
        <w:t>-</w:t>
      </w:r>
      <w:r>
        <w:rPr>
          <w:rFonts w:ascii="Times New Roman" w:hAnsi="Times New Roman" w:hint="eastAsia"/>
          <w:sz w:val="24"/>
        </w:rPr>
        <w:t>管理信息</w:t>
      </w:r>
    </w:p>
    <w:p w14:paraId="604CB83D" w14:textId="77777777" w:rsidR="00A052DC" w:rsidRDefault="009F0A60">
      <w:pPr>
        <w:spacing w:line="360" w:lineRule="auto"/>
        <w:ind w:left="2516" w:hanging="836"/>
        <w:rPr>
          <w:rFonts w:ascii="Times New Roman" w:hAnsi="Times New Roman"/>
          <w:sz w:val="24"/>
        </w:rPr>
      </w:pPr>
      <w:r>
        <w:rPr>
          <w:rFonts w:ascii="Times New Roman" w:hAnsi="Times New Roman"/>
          <w:sz w:val="24"/>
        </w:rPr>
        <w:t>R</w:t>
      </w:r>
      <w:r>
        <w:rPr>
          <w:rFonts w:ascii="Times New Roman" w:hAnsi="Times New Roman"/>
          <w:sz w:val="24"/>
        </w:rPr>
        <w:tab/>
      </w:r>
      <w:r>
        <w:rPr>
          <w:rFonts w:ascii="Times New Roman" w:hAnsi="Times New Roman" w:hint="eastAsia"/>
          <w:sz w:val="24"/>
        </w:rPr>
        <w:t>境内收入申报单</w:t>
      </w:r>
      <w:r w:rsidR="00891512">
        <w:rPr>
          <w:rFonts w:ascii="Times New Roman" w:hAnsi="Times New Roman"/>
          <w:sz w:val="24"/>
        </w:rPr>
        <w:t>-</w:t>
      </w:r>
      <w:r>
        <w:rPr>
          <w:rFonts w:ascii="Times New Roman" w:hAnsi="Times New Roman" w:hint="eastAsia"/>
          <w:sz w:val="24"/>
        </w:rPr>
        <w:t>管理信息</w:t>
      </w:r>
    </w:p>
    <w:p w14:paraId="7A44E103" w14:textId="77777777" w:rsidR="00A052DC" w:rsidRDefault="009F0A60">
      <w:pPr>
        <w:spacing w:line="360" w:lineRule="auto"/>
        <w:ind w:left="2516" w:hanging="836"/>
        <w:rPr>
          <w:rFonts w:ascii="Times New Roman" w:hAnsi="Times New Roman"/>
          <w:sz w:val="24"/>
        </w:rPr>
      </w:pPr>
      <w:r>
        <w:rPr>
          <w:rFonts w:ascii="Times New Roman" w:hAnsi="Times New Roman"/>
          <w:sz w:val="24"/>
        </w:rPr>
        <w:t>S</w:t>
      </w:r>
      <w:r>
        <w:rPr>
          <w:rFonts w:ascii="Times New Roman" w:hAnsi="Times New Roman"/>
          <w:sz w:val="24"/>
        </w:rPr>
        <w:tab/>
      </w:r>
      <w:r>
        <w:rPr>
          <w:rFonts w:ascii="Times New Roman" w:hAnsi="Times New Roman"/>
          <w:sz w:val="24"/>
        </w:rPr>
        <w:tab/>
      </w:r>
      <w:r>
        <w:rPr>
          <w:rFonts w:ascii="Times New Roman" w:hAnsi="Times New Roman" w:hint="eastAsia"/>
          <w:sz w:val="24"/>
        </w:rPr>
        <w:t>境内付款</w:t>
      </w:r>
      <w:r>
        <w:rPr>
          <w:rFonts w:ascii="Times New Roman" w:hAnsi="Times New Roman"/>
          <w:sz w:val="24"/>
        </w:rPr>
        <w:t>/</w:t>
      </w:r>
      <w:r>
        <w:rPr>
          <w:rFonts w:ascii="Times New Roman" w:hAnsi="Times New Roman" w:hint="eastAsia"/>
          <w:sz w:val="24"/>
        </w:rPr>
        <w:t>承兑通知书</w:t>
      </w:r>
      <w:r w:rsidR="00891512">
        <w:rPr>
          <w:rFonts w:ascii="Times New Roman" w:hAnsi="Times New Roman"/>
          <w:sz w:val="24"/>
        </w:rPr>
        <w:t>-</w:t>
      </w:r>
      <w:r>
        <w:rPr>
          <w:rFonts w:ascii="Times New Roman" w:hAnsi="Times New Roman" w:hint="eastAsia"/>
          <w:sz w:val="24"/>
        </w:rPr>
        <w:t>管理信息</w:t>
      </w:r>
    </w:p>
    <w:p w14:paraId="3F791CA9" w14:textId="77777777" w:rsidR="00A052DC" w:rsidRDefault="009F0A60">
      <w:pPr>
        <w:spacing w:line="360" w:lineRule="auto"/>
        <w:ind w:left="2516" w:hanging="836"/>
        <w:rPr>
          <w:rFonts w:ascii="Times New Roman" w:hAnsi="Times New Roman"/>
          <w:sz w:val="24"/>
        </w:rPr>
      </w:pPr>
      <w:r>
        <w:rPr>
          <w:rFonts w:ascii="Times New Roman" w:hAnsi="Times New Roman"/>
          <w:sz w:val="24"/>
        </w:rPr>
        <w:t>U</w:t>
      </w:r>
      <w:r>
        <w:rPr>
          <w:rFonts w:ascii="Times New Roman" w:hAnsi="Times New Roman"/>
          <w:sz w:val="24"/>
        </w:rPr>
        <w:tab/>
      </w:r>
      <w:r>
        <w:rPr>
          <w:rFonts w:ascii="Times New Roman" w:hAnsi="Times New Roman" w:hint="eastAsia"/>
          <w:sz w:val="24"/>
        </w:rPr>
        <w:t>组织机构基本情况表</w:t>
      </w:r>
    </w:p>
    <w:p w14:paraId="244D60E1" w14:textId="77777777" w:rsidR="00A052DC" w:rsidRDefault="009F0A60" w:rsidP="0020251D">
      <w:pPr>
        <w:pStyle w:val="3"/>
        <w:ind w:left="0"/>
        <w:rPr>
          <w:rFonts w:ascii="Times New Roman" w:hAnsi="Times New Roman"/>
        </w:rPr>
      </w:pPr>
      <w:bookmarkStart w:id="750" w:name="_Toc91455240"/>
      <w:bookmarkStart w:id="751" w:name="_Toc380356214"/>
      <w:bookmarkStart w:id="752" w:name="_Toc454386722"/>
      <w:bookmarkStart w:id="753" w:name="_Toc101684413"/>
      <w:r>
        <w:rPr>
          <w:rFonts w:ascii="Times New Roman" w:hAnsi="Times New Roman" w:hint="eastAsia"/>
        </w:rPr>
        <w:t>外汇账户数据</w:t>
      </w:r>
      <w:bookmarkEnd w:id="750"/>
      <w:bookmarkEnd w:id="751"/>
      <w:bookmarkEnd w:id="752"/>
      <w:bookmarkEnd w:id="753"/>
    </w:p>
    <w:p w14:paraId="478A5747" w14:textId="77777777" w:rsidR="00A052DC" w:rsidRDefault="009F0A60">
      <w:pPr>
        <w:spacing w:line="360" w:lineRule="auto"/>
        <w:ind w:left="2516" w:hanging="1382"/>
        <w:rPr>
          <w:rFonts w:ascii="Times New Roman" w:hAnsi="Times New Roman"/>
          <w:sz w:val="24"/>
        </w:rPr>
      </w:pPr>
      <w:r>
        <w:rPr>
          <w:rFonts w:ascii="Times New Roman" w:hAnsi="Times New Roman"/>
          <w:sz w:val="24"/>
        </w:rPr>
        <w:t>ACC + 2</w:t>
      </w:r>
      <w:r>
        <w:rPr>
          <w:rFonts w:ascii="Times New Roman" w:hAnsi="Times New Roman" w:hint="eastAsia"/>
          <w:sz w:val="24"/>
        </w:rPr>
        <w:t>位接口文件类型代码</w:t>
      </w:r>
    </w:p>
    <w:p w14:paraId="214319D5" w14:textId="77777777" w:rsidR="00A052DC" w:rsidRDefault="009F0A60">
      <w:pPr>
        <w:spacing w:line="360" w:lineRule="auto"/>
        <w:ind w:left="2516" w:hanging="1382"/>
        <w:rPr>
          <w:rFonts w:ascii="Times New Roman" w:hAnsi="Times New Roman"/>
          <w:sz w:val="24"/>
        </w:rPr>
      </w:pPr>
      <w:r>
        <w:rPr>
          <w:rFonts w:ascii="Times New Roman" w:hAnsi="Times New Roman" w:hint="eastAsia"/>
          <w:sz w:val="24"/>
        </w:rPr>
        <w:t>接口文件类型代码如下：</w:t>
      </w:r>
    </w:p>
    <w:p w14:paraId="2642CE75" w14:textId="77777777" w:rsidR="00A052DC" w:rsidRDefault="009F0A60">
      <w:pPr>
        <w:spacing w:line="360" w:lineRule="auto"/>
        <w:ind w:left="2516" w:hanging="836"/>
        <w:rPr>
          <w:rFonts w:ascii="Times New Roman" w:hAnsi="Times New Roman"/>
          <w:b/>
          <w:sz w:val="24"/>
        </w:rPr>
      </w:pPr>
      <w:r>
        <w:rPr>
          <w:rFonts w:ascii="Times New Roman" w:hAnsi="Times New Roman"/>
          <w:b/>
          <w:sz w:val="24"/>
        </w:rPr>
        <w:t>TT</w:t>
      </w:r>
      <w:r>
        <w:rPr>
          <w:rFonts w:ascii="Times New Roman" w:hAnsi="Times New Roman"/>
          <w:b/>
          <w:sz w:val="24"/>
        </w:rPr>
        <w:tab/>
      </w:r>
      <w:r>
        <w:rPr>
          <w:rFonts w:ascii="Times New Roman" w:hAnsi="Times New Roman" w:hint="eastAsia"/>
          <w:b/>
          <w:sz w:val="24"/>
        </w:rPr>
        <w:t>接口控制文件</w:t>
      </w:r>
    </w:p>
    <w:p w14:paraId="6BF71C51" w14:textId="77777777" w:rsidR="00A052DC" w:rsidRDefault="009F0A60">
      <w:pPr>
        <w:spacing w:line="360" w:lineRule="auto"/>
        <w:ind w:left="2516" w:hanging="836"/>
        <w:rPr>
          <w:rFonts w:ascii="Times New Roman" w:hAnsi="Times New Roman"/>
          <w:sz w:val="24"/>
        </w:rPr>
      </w:pPr>
      <w:r>
        <w:rPr>
          <w:rFonts w:ascii="Times New Roman" w:hAnsi="Times New Roman"/>
          <w:sz w:val="24"/>
        </w:rPr>
        <w:t>CA</w:t>
      </w:r>
      <w:r>
        <w:rPr>
          <w:rFonts w:ascii="Times New Roman" w:hAnsi="Times New Roman"/>
          <w:sz w:val="24"/>
        </w:rPr>
        <w:tab/>
      </w:r>
      <w:r>
        <w:rPr>
          <w:rFonts w:ascii="Times New Roman" w:hAnsi="Times New Roman" w:hint="eastAsia"/>
          <w:sz w:val="24"/>
        </w:rPr>
        <w:t>账户开关户信息</w:t>
      </w:r>
    </w:p>
    <w:p w14:paraId="02064A03" w14:textId="77777777" w:rsidR="00A052DC" w:rsidRDefault="009F0A60">
      <w:pPr>
        <w:spacing w:line="360" w:lineRule="auto"/>
        <w:ind w:left="2516" w:hanging="836"/>
        <w:rPr>
          <w:rFonts w:ascii="Times New Roman" w:hAnsi="Times New Roman"/>
          <w:sz w:val="24"/>
        </w:rPr>
      </w:pPr>
      <w:r>
        <w:rPr>
          <w:rFonts w:ascii="Times New Roman" w:hAnsi="Times New Roman"/>
          <w:sz w:val="24"/>
        </w:rPr>
        <w:t>CB</w:t>
      </w:r>
      <w:r>
        <w:rPr>
          <w:rFonts w:ascii="Times New Roman" w:hAnsi="Times New Roman"/>
          <w:sz w:val="24"/>
        </w:rPr>
        <w:tab/>
      </w:r>
      <w:r>
        <w:rPr>
          <w:rFonts w:ascii="Times New Roman" w:hAnsi="Times New Roman" w:hint="eastAsia"/>
          <w:sz w:val="24"/>
        </w:rPr>
        <w:t>账户收支余信息</w:t>
      </w:r>
    </w:p>
    <w:p w14:paraId="46520EDC" w14:textId="77777777" w:rsidR="00A052DC" w:rsidRDefault="009F0A60" w:rsidP="0020251D">
      <w:pPr>
        <w:pStyle w:val="3"/>
        <w:ind w:left="0"/>
        <w:rPr>
          <w:rFonts w:ascii="Times New Roman" w:hAnsi="Times New Roman"/>
        </w:rPr>
      </w:pPr>
      <w:bookmarkStart w:id="754" w:name="_Toc454780088"/>
      <w:bookmarkStart w:id="755" w:name="_Toc455156458"/>
      <w:bookmarkStart w:id="756" w:name="_Toc454395018"/>
      <w:bookmarkStart w:id="757" w:name="_Toc455167634"/>
      <w:bookmarkStart w:id="758" w:name="_Toc454378094"/>
      <w:bookmarkStart w:id="759" w:name="_Toc454454794"/>
      <w:bookmarkStart w:id="760" w:name="_Toc454464711"/>
      <w:bookmarkStart w:id="761" w:name="_Toc455163909"/>
      <w:bookmarkStart w:id="762" w:name="_Toc455152730"/>
      <w:bookmarkStart w:id="763" w:name="_Toc454386723"/>
      <w:bookmarkStart w:id="764" w:name="_Toc454386724"/>
      <w:bookmarkStart w:id="765" w:name="_Toc91455241"/>
      <w:bookmarkStart w:id="766" w:name="_Toc380356215"/>
      <w:bookmarkStart w:id="767" w:name="_Toc101684414"/>
      <w:bookmarkEnd w:id="754"/>
      <w:bookmarkEnd w:id="755"/>
      <w:bookmarkEnd w:id="756"/>
      <w:bookmarkEnd w:id="757"/>
      <w:bookmarkEnd w:id="758"/>
      <w:bookmarkEnd w:id="759"/>
      <w:bookmarkEnd w:id="760"/>
      <w:bookmarkEnd w:id="761"/>
      <w:bookmarkEnd w:id="762"/>
      <w:bookmarkEnd w:id="763"/>
      <w:r>
        <w:rPr>
          <w:rFonts w:ascii="Times New Roman" w:hAnsi="Times New Roman" w:hint="eastAsia"/>
        </w:rPr>
        <w:t>外汇账户内结售汇数据、组织机构基本情况表</w:t>
      </w:r>
      <w:bookmarkEnd w:id="764"/>
      <w:bookmarkEnd w:id="765"/>
      <w:bookmarkEnd w:id="766"/>
      <w:bookmarkEnd w:id="767"/>
    </w:p>
    <w:p w14:paraId="5510E97C" w14:textId="77777777" w:rsidR="00A052DC" w:rsidRDefault="009F0A60" w:rsidP="009F0A60">
      <w:pPr>
        <w:spacing w:line="360" w:lineRule="auto"/>
        <w:ind w:firstLineChars="472" w:firstLine="1133"/>
        <w:rPr>
          <w:rFonts w:ascii="Times New Roman" w:hAnsi="Times New Roman"/>
          <w:sz w:val="24"/>
        </w:rPr>
      </w:pPr>
      <w:r>
        <w:rPr>
          <w:rFonts w:ascii="Times New Roman" w:hAnsi="Times New Roman"/>
          <w:sz w:val="24"/>
        </w:rPr>
        <w:t>JSH + 1</w:t>
      </w:r>
      <w:r>
        <w:rPr>
          <w:rFonts w:ascii="Times New Roman" w:hAnsi="Times New Roman" w:hint="eastAsia"/>
          <w:sz w:val="24"/>
        </w:rPr>
        <w:t>位接口文件类型代码</w:t>
      </w:r>
    </w:p>
    <w:p w14:paraId="04DA298B" w14:textId="77777777" w:rsidR="00A052DC" w:rsidRDefault="009F0A60">
      <w:pPr>
        <w:spacing w:line="360" w:lineRule="auto"/>
        <w:ind w:left="1260" w:hanging="126"/>
        <w:rPr>
          <w:rFonts w:ascii="Times New Roman" w:hAnsi="Times New Roman"/>
          <w:sz w:val="24"/>
        </w:rPr>
      </w:pPr>
      <w:r>
        <w:rPr>
          <w:rFonts w:ascii="Times New Roman" w:hAnsi="Times New Roman" w:hint="eastAsia"/>
          <w:sz w:val="24"/>
        </w:rPr>
        <w:t>接口文件类型代码如下：</w:t>
      </w:r>
    </w:p>
    <w:p w14:paraId="407877C3" w14:textId="77777777" w:rsidR="00A052DC" w:rsidRDefault="009F0A60">
      <w:pPr>
        <w:spacing w:line="360" w:lineRule="auto"/>
        <w:ind w:left="2516" w:hanging="836"/>
        <w:rPr>
          <w:rFonts w:ascii="Times New Roman" w:hAnsi="Times New Roman"/>
          <w:b/>
          <w:sz w:val="24"/>
        </w:rPr>
      </w:pPr>
      <w:r>
        <w:rPr>
          <w:rFonts w:ascii="Times New Roman" w:hAnsi="Times New Roman"/>
          <w:b/>
          <w:sz w:val="24"/>
        </w:rPr>
        <w:t>T</w:t>
      </w:r>
      <w:r>
        <w:rPr>
          <w:rFonts w:ascii="Times New Roman" w:hAnsi="Times New Roman"/>
          <w:b/>
          <w:sz w:val="24"/>
        </w:rPr>
        <w:tab/>
      </w:r>
      <w:r>
        <w:rPr>
          <w:rFonts w:ascii="Times New Roman" w:hAnsi="Times New Roman" w:hint="eastAsia"/>
          <w:b/>
          <w:sz w:val="24"/>
        </w:rPr>
        <w:t>接口控制文件</w:t>
      </w:r>
    </w:p>
    <w:p w14:paraId="68974B81" w14:textId="77777777" w:rsidR="00A052DC" w:rsidRDefault="009F0A60">
      <w:pPr>
        <w:spacing w:line="360" w:lineRule="auto"/>
        <w:ind w:left="2516" w:hanging="836"/>
        <w:rPr>
          <w:rFonts w:ascii="Times New Roman" w:hAnsi="Times New Roman"/>
          <w:sz w:val="24"/>
        </w:rPr>
      </w:pPr>
      <w:r>
        <w:rPr>
          <w:rFonts w:ascii="Times New Roman" w:hAnsi="Times New Roman"/>
          <w:sz w:val="24"/>
        </w:rPr>
        <w:t>D</w:t>
      </w:r>
      <w:r>
        <w:rPr>
          <w:rFonts w:ascii="Times New Roman" w:hAnsi="Times New Roman"/>
          <w:sz w:val="24"/>
        </w:rPr>
        <w:tab/>
      </w:r>
      <w:r>
        <w:rPr>
          <w:rFonts w:ascii="Times New Roman" w:hAnsi="Times New Roman"/>
          <w:sz w:val="24"/>
        </w:rPr>
        <w:tab/>
      </w:r>
      <w:r>
        <w:rPr>
          <w:rFonts w:ascii="Times New Roman" w:hAnsi="Times New Roman" w:hint="eastAsia"/>
          <w:sz w:val="24"/>
        </w:rPr>
        <w:t>结汇申请书</w:t>
      </w:r>
      <w:r w:rsidR="00891512">
        <w:rPr>
          <w:rFonts w:ascii="Times New Roman" w:hAnsi="Times New Roman"/>
          <w:sz w:val="24"/>
        </w:rPr>
        <w:t>-</w:t>
      </w:r>
      <w:r>
        <w:rPr>
          <w:rFonts w:ascii="Times New Roman" w:hAnsi="Times New Roman" w:hint="eastAsia"/>
          <w:sz w:val="24"/>
        </w:rPr>
        <w:t>基础信息</w:t>
      </w:r>
    </w:p>
    <w:p w14:paraId="0F3881A3" w14:textId="77777777" w:rsidR="00A052DC" w:rsidRDefault="009F0A60">
      <w:pPr>
        <w:spacing w:line="360" w:lineRule="auto"/>
        <w:ind w:left="2516" w:hanging="836"/>
        <w:rPr>
          <w:rFonts w:ascii="Times New Roman" w:hAnsi="Times New Roman"/>
          <w:sz w:val="24"/>
        </w:rPr>
      </w:pPr>
      <w:r>
        <w:rPr>
          <w:rFonts w:ascii="Times New Roman" w:hAnsi="Times New Roman"/>
          <w:sz w:val="24"/>
        </w:rPr>
        <w:t>E</w:t>
      </w:r>
      <w:r>
        <w:rPr>
          <w:rFonts w:ascii="Times New Roman" w:hAnsi="Times New Roman"/>
          <w:sz w:val="24"/>
        </w:rPr>
        <w:tab/>
      </w:r>
      <w:r>
        <w:rPr>
          <w:rFonts w:ascii="Times New Roman" w:hAnsi="Times New Roman" w:hint="eastAsia"/>
          <w:sz w:val="24"/>
        </w:rPr>
        <w:t>购汇申请书</w:t>
      </w:r>
      <w:r w:rsidR="00891512">
        <w:rPr>
          <w:rFonts w:ascii="Times New Roman" w:hAnsi="Times New Roman"/>
          <w:sz w:val="24"/>
        </w:rPr>
        <w:t>-</w:t>
      </w:r>
      <w:r>
        <w:rPr>
          <w:rFonts w:ascii="Times New Roman" w:hAnsi="Times New Roman" w:hint="eastAsia"/>
          <w:sz w:val="24"/>
        </w:rPr>
        <w:t>基础信息</w:t>
      </w:r>
    </w:p>
    <w:p w14:paraId="05D201AA" w14:textId="77777777" w:rsidR="00A052DC" w:rsidRDefault="009F0A60">
      <w:pPr>
        <w:spacing w:line="360" w:lineRule="auto"/>
        <w:ind w:left="2516" w:hanging="836"/>
        <w:rPr>
          <w:rFonts w:ascii="Times New Roman" w:hAnsi="Times New Roman"/>
          <w:sz w:val="24"/>
        </w:rPr>
      </w:pPr>
      <w:r>
        <w:rPr>
          <w:rFonts w:ascii="Times New Roman" w:hAnsi="Times New Roman"/>
          <w:sz w:val="24"/>
        </w:rPr>
        <w:t>F</w:t>
      </w:r>
      <w:r>
        <w:rPr>
          <w:rFonts w:ascii="Times New Roman" w:hAnsi="Times New Roman"/>
          <w:sz w:val="24"/>
        </w:rPr>
        <w:tab/>
      </w:r>
      <w:r>
        <w:rPr>
          <w:rFonts w:ascii="Times New Roman" w:hAnsi="Times New Roman" w:hint="eastAsia"/>
          <w:sz w:val="24"/>
        </w:rPr>
        <w:t>结汇申请书</w:t>
      </w:r>
      <w:r w:rsidR="00891512">
        <w:rPr>
          <w:rFonts w:ascii="Times New Roman" w:hAnsi="Times New Roman"/>
          <w:sz w:val="24"/>
        </w:rPr>
        <w:t>-</w:t>
      </w:r>
      <w:r>
        <w:rPr>
          <w:rFonts w:ascii="Times New Roman" w:hAnsi="Times New Roman" w:hint="eastAsia"/>
          <w:sz w:val="24"/>
        </w:rPr>
        <w:t>管理信息</w:t>
      </w:r>
    </w:p>
    <w:p w14:paraId="64969A1E" w14:textId="77777777" w:rsidR="00A052DC" w:rsidRDefault="009F0A60">
      <w:pPr>
        <w:spacing w:line="360" w:lineRule="auto"/>
        <w:ind w:left="2516" w:hanging="836"/>
        <w:rPr>
          <w:rFonts w:ascii="Times New Roman" w:hAnsi="Times New Roman"/>
          <w:sz w:val="24"/>
        </w:rPr>
      </w:pPr>
      <w:r>
        <w:rPr>
          <w:rFonts w:ascii="Times New Roman" w:hAnsi="Times New Roman"/>
          <w:sz w:val="24"/>
        </w:rPr>
        <w:t>G</w:t>
      </w:r>
      <w:r>
        <w:rPr>
          <w:rFonts w:ascii="Times New Roman" w:hAnsi="Times New Roman"/>
          <w:sz w:val="24"/>
        </w:rPr>
        <w:tab/>
      </w:r>
      <w:r>
        <w:rPr>
          <w:rFonts w:ascii="Times New Roman" w:hAnsi="Times New Roman" w:hint="eastAsia"/>
          <w:sz w:val="24"/>
        </w:rPr>
        <w:t>购汇申请书</w:t>
      </w:r>
      <w:r w:rsidR="00891512">
        <w:rPr>
          <w:rFonts w:ascii="Times New Roman" w:hAnsi="Times New Roman"/>
          <w:sz w:val="24"/>
        </w:rPr>
        <w:t>-</w:t>
      </w:r>
      <w:r>
        <w:rPr>
          <w:rFonts w:ascii="Times New Roman" w:hAnsi="Times New Roman" w:hint="eastAsia"/>
          <w:sz w:val="24"/>
        </w:rPr>
        <w:t>管理信息</w:t>
      </w:r>
    </w:p>
    <w:p w14:paraId="00A3560E" w14:textId="77777777" w:rsidR="00A052DC" w:rsidRDefault="009F0A60">
      <w:pPr>
        <w:spacing w:line="360" w:lineRule="auto"/>
        <w:ind w:left="2516" w:hanging="836"/>
        <w:rPr>
          <w:rFonts w:ascii="Times New Roman" w:hAnsi="Times New Roman"/>
          <w:sz w:val="24"/>
        </w:rPr>
      </w:pPr>
      <w:r>
        <w:rPr>
          <w:rFonts w:ascii="Times New Roman" w:hAnsi="Times New Roman"/>
          <w:sz w:val="24"/>
        </w:rPr>
        <w:t>U</w:t>
      </w:r>
      <w:r>
        <w:rPr>
          <w:rFonts w:ascii="Times New Roman" w:hAnsi="Times New Roman"/>
          <w:sz w:val="24"/>
        </w:rPr>
        <w:tab/>
      </w:r>
      <w:r>
        <w:rPr>
          <w:rFonts w:ascii="Times New Roman" w:hAnsi="Times New Roman" w:hint="eastAsia"/>
          <w:sz w:val="24"/>
        </w:rPr>
        <w:t>组织机构基本情况表</w:t>
      </w:r>
    </w:p>
    <w:p w14:paraId="152912CF" w14:textId="77777777" w:rsidR="00A052DC" w:rsidRDefault="009F0A60" w:rsidP="0020251D">
      <w:pPr>
        <w:pStyle w:val="3"/>
        <w:ind w:left="0"/>
        <w:rPr>
          <w:rFonts w:ascii="Times New Roman" w:hAnsi="Times New Roman"/>
        </w:rPr>
      </w:pPr>
      <w:bookmarkStart w:id="768" w:name="_Toc380356216"/>
      <w:bookmarkStart w:id="769" w:name="_Toc91455242"/>
      <w:bookmarkStart w:id="770" w:name="_Toc454386725"/>
      <w:bookmarkStart w:id="771" w:name="_Toc101684415"/>
      <w:r>
        <w:rPr>
          <w:rFonts w:ascii="Times New Roman" w:hAnsi="Times New Roman" w:hint="eastAsia"/>
        </w:rPr>
        <w:t>银行自身资本项目数据</w:t>
      </w:r>
      <w:bookmarkEnd w:id="768"/>
      <w:r>
        <w:rPr>
          <w:rFonts w:ascii="Times New Roman" w:hAnsi="Times New Roman" w:hint="eastAsia"/>
        </w:rPr>
        <w:t>（不包括外债）</w:t>
      </w:r>
      <w:bookmarkEnd w:id="769"/>
      <w:bookmarkEnd w:id="770"/>
      <w:bookmarkEnd w:id="771"/>
    </w:p>
    <w:p w14:paraId="63C339C2" w14:textId="77777777" w:rsidR="00A052DC" w:rsidRDefault="009F0A60">
      <w:pPr>
        <w:spacing w:line="360" w:lineRule="auto"/>
        <w:ind w:left="2516" w:hanging="1382"/>
        <w:rPr>
          <w:rFonts w:ascii="Times New Roman" w:hAnsi="Times New Roman"/>
          <w:sz w:val="24"/>
        </w:rPr>
      </w:pPr>
      <w:r>
        <w:rPr>
          <w:rFonts w:ascii="Times New Roman" w:hAnsi="Times New Roman"/>
          <w:sz w:val="24"/>
        </w:rPr>
        <w:t>CFA + 2</w:t>
      </w:r>
      <w:r>
        <w:rPr>
          <w:rFonts w:ascii="Times New Roman" w:hAnsi="Times New Roman" w:hint="eastAsia"/>
          <w:sz w:val="24"/>
        </w:rPr>
        <w:t>位接口文件类型代码</w:t>
      </w:r>
    </w:p>
    <w:p w14:paraId="538BB369" w14:textId="77777777" w:rsidR="00A052DC" w:rsidRDefault="009F0A60">
      <w:pPr>
        <w:spacing w:line="360" w:lineRule="auto"/>
        <w:ind w:left="2516" w:hanging="1382"/>
        <w:rPr>
          <w:rFonts w:ascii="Times New Roman" w:hAnsi="Times New Roman"/>
          <w:sz w:val="24"/>
        </w:rPr>
      </w:pPr>
      <w:r>
        <w:rPr>
          <w:rFonts w:ascii="Times New Roman" w:hAnsi="Times New Roman" w:hint="eastAsia"/>
          <w:sz w:val="24"/>
        </w:rPr>
        <w:t>接口文件类型代码如下：</w:t>
      </w:r>
    </w:p>
    <w:p w14:paraId="316EA2E7" w14:textId="77777777" w:rsidR="00A052DC" w:rsidRDefault="009F0A60">
      <w:pPr>
        <w:spacing w:line="360" w:lineRule="auto"/>
        <w:ind w:left="2516" w:hanging="836"/>
        <w:rPr>
          <w:rFonts w:ascii="Times New Roman" w:hAnsi="Times New Roman"/>
          <w:b/>
          <w:sz w:val="24"/>
        </w:rPr>
      </w:pPr>
      <w:r>
        <w:rPr>
          <w:rFonts w:ascii="Times New Roman" w:hAnsi="Times New Roman"/>
          <w:b/>
          <w:sz w:val="24"/>
        </w:rPr>
        <w:t>TT</w:t>
      </w:r>
      <w:r>
        <w:rPr>
          <w:rFonts w:ascii="Times New Roman" w:hAnsi="Times New Roman"/>
          <w:b/>
          <w:sz w:val="24"/>
        </w:rPr>
        <w:tab/>
      </w:r>
      <w:r>
        <w:rPr>
          <w:rFonts w:ascii="Times New Roman" w:hAnsi="Times New Roman" w:hint="eastAsia"/>
          <w:b/>
          <w:sz w:val="24"/>
        </w:rPr>
        <w:t>接口控制文件</w:t>
      </w:r>
    </w:p>
    <w:p w14:paraId="7C6C5700" w14:textId="77777777" w:rsidR="00A052DC" w:rsidRDefault="009F0A60">
      <w:pPr>
        <w:spacing w:line="360" w:lineRule="auto"/>
        <w:ind w:left="2516" w:hanging="836"/>
        <w:rPr>
          <w:rFonts w:ascii="Times New Roman" w:hAnsi="Times New Roman"/>
          <w:sz w:val="24"/>
        </w:rPr>
      </w:pPr>
      <w:r>
        <w:rPr>
          <w:rFonts w:ascii="Times New Roman" w:hAnsi="Times New Roman"/>
          <w:sz w:val="24"/>
        </w:rPr>
        <w:t>BA</w:t>
      </w:r>
      <w:r>
        <w:rPr>
          <w:rFonts w:ascii="Times New Roman" w:hAnsi="Times New Roman"/>
          <w:sz w:val="24"/>
        </w:rPr>
        <w:tab/>
      </w:r>
      <w:r>
        <w:rPr>
          <w:rFonts w:ascii="Times New Roman" w:hAnsi="Times New Roman" w:hint="eastAsia"/>
          <w:sz w:val="24"/>
        </w:rPr>
        <w:t>对外担保</w:t>
      </w:r>
      <w:r w:rsidR="00891512">
        <w:rPr>
          <w:rFonts w:ascii="Times New Roman" w:hAnsi="Times New Roman"/>
          <w:sz w:val="24"/>
        </w:rPr>
        <w:t>-</w:t>
      </w:r>
      <w:r>
        <w:rPr>
          <w:rFonts w:ascii="Times New Roman" w:hAnsi="Times New Roman" w:hint="eastAsia"/>
          <w:sz w:val="24"/>
        </w:rPr>
        <w:t>签约信息</w:t>
      </w:r>
    </w:p>
    <w:p w14:paraId="63528818" w14:textId="77777777" w:rsidR="00A052DC" w:rsidRDefault="009F0A60">
      <w:pPr>
        <w:spacing w:line="360" w:lineRule="auto"/>
        <w:ind w:left="2516" w:hanging="836"/>
        <w:rPr>
          <w:rFonts w:ascii="Times New Roman" w:hAnsi="Times New Roman"/>
          <w:sz w:val="24"/>
        </w:rPr>
      </w:pPr>
      <w:r>
        <w:rPr>
          <w:rFonts w:ascii="Times New Roman" w:hAnsi="Times New Roman"/>
          <w:sz w:val="24"/>
        </w:rPr>
        <w:t>BB</w:t>
      </w:r>
      <w:r>
        <w:rPr>
          <w:rFonts w:ascii="Times New Roman" w:hAnsi="Times New Roman"/>
          <w:sz w:val="24"/>
        </w:rPr>
        <w:tab/>
      </w:r>
      <w:r>
        <w:rPr>
          <w:rFonts w:ascii="Times New Roman" w:hAnsi="Times New Roman" w:hint="eastAsia"/>
          <w:sz w:val="24"/>
        </w:rPr>
        <w:t>对外担保</w:t>
      </w:r>
      <w:r w:rsidR="00891512">
        <w:rPr>
          <w:rFonts w:ascii="Times New Roman" w:hAnsi="Times New Roman"/>
          <w:sz w:val="24"/>
        </w:rPr>
        <w:t>-</w:t>
      </w:r>
      <w:r>
        <w:rPr>
          <w:rFonts w:ascii="Times New Roman" w:hAnsi="Times New Roman" w:hint="eastAsia"/>
          <w:sz w:val="24"/>
        </w:rPr>
        <w:t>责任余额信息</w:t>
      </w:r>
    </w:p>
    <w:p w14:paraId="703BEC8A" w14:textId="77777777" w:rsidR="00A052DC" w:rsidRDefault="009F0A60">
      <w:pPr>
        <w:spacing w:line="360" w:lineRule="auto"/>
        <w:ind w:left="2516" w:hanging="836"/>
        <w:rPr>
          <w:rFonts w:ascii="Times New Roman" w:hAnsi="Times New Roman"/>
          <w:sz w:val="24"/>
        </w:rPr>
      </w:pPr>
      <w:r>
        <w:rPr>
          <w:rFonts w:ascii="Times New Roman" w:hAnsi="Times New Roman"/>
          <w:sz w:val="24"/>
        </w:rPr>
        <w:t xml:space="preserve">BC  </w:t>
      </w:r>
      <w:r>
        <w:rPr>
          <w:rFonts w:ascii="Times New Roman" w:hAnsi="Times New Roman"/>
          <w:sz w:val="24"/>
        </w:rPr>
        <w:tab/>
      </w:r>
      <w:r>
        <w:rPr>
          <w:rFonts w:ascii="Times New Roman" w:hAnsi="Times New Roman" w:hint="eastAsia"/>
          <w:sz w:val="24"/>
        </w:rPr>
        <w:t>对外担保</w:t>
      </w:r>
      <w:r w:rsidR="00891512">
        <w:rPr>
          <w:rFonts w:ascii="Times New Roman" w:hAnsi="Times New Roman" w:hint="eastAsia"/>
          <w:sz w:val="24"/>
        </w:rPr>
        <w:t>-</w:t>
      </w:r>
      <w:r>
        <w:rPr>
          <w:rFonts w:ascii="Times New Roman" w:hAnsi="Times New Roman" w:hint="eastAsia"/>
          <w:sz w:val="24"/>
        </w:rPr>
        <w:t>履约信息</w:t>
      </w:r>
    </w:p>
    <w:p w14:paraId="45EE5295" w14:textId="77777777" w:rsidR="00A052DC" w:rsidRDefault="009F0A60">
      <w:pPr>
        <w:spacing w:line="360" w:lineRule="auto"/>
        <w:ind w:left="2516" w:hanging="836"/>
        <w:rPr>
          <w:rFonts w:ascii="Times New Roman" w:hAnsi="Times New Roman"/>
          <w:sz w:val="24"/>
        </w:rPr>
      </w:pPr>
      <w:r>
        <w:rPr>
          <w:rFonts w:ascii="Times New Roman" w:hAnsi="Times New Roman"/>
          <w:sz w:val="24"/>
        </w:rPr>
        <w:t>CA</w:t>
      </w:r>
      <w:r>
        <w:rPr>
          <w:rFonts w:ascii="Times New Roman" w:hAnsi="Times New Roman"/>
          <w:sz w:val="24"/>
        </w:rPr>
        <w:tab/>
      </w:r>
      <w:r>
        <w:rPr>
          <w:rFonts w:ascii="Times New Roman" w:hAnsi="Times New Roman" w:hint="eastAsia"/>
          <w:sz w:val="24"/>
        </w:rPr>
        <w:t>国内外汇贷款</w:t>
      </w:r>
      <w:r w:rsidR="00891512">
        <w:rPr>
          <w:rFonts w:ascii="Times New Roman" w:hAnsi="Times New Roman"/>
          <w:sz w:val="24"/>
        </w:rPr>
        <w:t>-</w:t>
      </w:r>
      <w:r>
        <w:rPr>
          <w:rFonts w:ascii="Times New Roman" w:hAnsi="Times New Roman" w:hint="eastAsia"/>
          <w:sz w:val="24"/>
        </w:rPr>
        <w:t>签约信息</w:t>
      </w:r>
    </w:p>
    <w:p w14:paraId="62E3000F" w14:textId="77777777" w:rsidR="00A052DC" w:rsidRDefault="009F0A60">
      <w:pPr>
        <w:spacing w:line="360" w:lineRule="auto"/>
        <w:ind w:left="2516" w:hanging="836"/>
        <w:rPr>
          <w:rFonts w:ascii="Times New Roman" w:hAnsi="Times New Roman"/>
          <w:sz w:val="24"/>
        </w:rPr>
      </w:pPr>
      <w:r>
        <w:rPr>
          <w:rFonts w:ascii="Times New Roman" w:hAnsi="Times New Roman"/>
          <w:sz w:val="24"/>
        </w:rPr>
        <w:t>CB</w:t>
      </w:r>
      <w:r>
        <w:rPr>
          <w:rFonts w:ascii="Times New Roman" w:hAnsi="Times New Roman"/>
          <w:sz w:val="24"/>
        </w:rPr>
        <w:tab/>
      </w:r>
      <w:r>
        <w:rPr>
          <w:rFonts w:ascii="Times New Roman" w:hAnsi="Times New Roman" w:hint="eastAsia"/>
          <w:sz w:val="24"/>
        </w:rPr>
        <w:t>国内外汇贷款</w:t>
      </w:r>
      <w:r w:rsidR="00891512">
        <w:rPr>
          <w:rFonts w:ascii="Times New Roman" w:hAnsi="Times New Roman"/>
          <w:sz w:val="24"/>
        </w:rPr>
        <w:t>-</w:t>
      </w:r>
      <w:r>
        <w:rPr>
          <w:rFonts w:ascii="Times New Roman" w:hAnsi="Times New Roman" w:hint="eastAsia"/>
          <w:sz w:val="24"/>
        </w:rPr>
        <w:t>变动信息</w:t>
      </w:r>
    </w:p>
    <w:p w14:paraId="398628CD" w14:textId="77777777" w:rsidR="00A052DC" w:rsidRDefault="009F0A60">
      <w:pPr>
        <w:spacing w:line="360" w:lineRule="auto"/>
        <w:ind w:left="2516" w:hanging="836"/>
        <w:rPr>
          <w:rFonts w:ascii="Times New Roman" w:hAnsi="Times New Roman"/>
          <w:sz w:val="24"/>
        </w:rPr>
      </w:pPr>
      <w:r>
        <w:rPr>
          <w:rFonts w:ascii="Times New Roman" w:hAnsi="Times New Roman"/>
          <w:sz w:val="24"/>
        </w:rPr>
        <w:t>DA</w:t>
      </w:r>
      <w:r>
        <w:rPr>
          <w:rFonts w:ascii="Times New Roman" w:hAnsi="Times New Roman"/>
          <w:sz w:val="24"/>
        </w:rPr>
        <w:tab/>
      </w:r>
      <w:r>
        <w:rPr>
          <w:rFonts w:ascii="Times New Roman" w:hAnsi="Times New Roman" w:hint="eastAsia"/>
          <w:sz w:val="24"/>
        </w:rPr>
        <w:t>外保内贷</w:t>
      </w:r>
      <w:r w:rsidR="00891512">
        <w:rPr>
          <w:rFonts w:ascii="Times New Roman" w:hAnsi="Times New Roman"/>
          <w:sz w:val="24"/>
        </w:rPr>
        <w:t>-</w:t>
      </w:r>
      <w:r>
        <w:rPr>
          <w:rFonts w:ascii="Times New Roman" w:hAnsi="Times New Roman" w:hint="eastAsia"/>
          <w:sz w:val="24"/>
        </w:rPr>
        <w:t>签约信息</w:t>
      </w:r>
    </w:p>
    <w:p w14:paraId="6AD802C8" w14:textId="77777777" w:rsidR="00A052DC" w:rsidRDefault="009F0A60">
      <w:pPr>
        <w:spacing w:line="360" w:lineRule="auto"/>
        <w:ind w:left="2516" w:hanging="836"/>
        <w:rPr>
          <w:rFonts w:ascii="Times New Roman" w:hAnsi="Times New Roman"/>
          <w:sz w:val="24"/>
        </w:rPr>
      </w:pPr>
      <w:r>
        <w:rPr>
          <w:rFonts w:ascii="Times New Roman" w:hAnsi="Times New Roman"/>
          <w:sz w:val="24"/>
        </w:rPr>
        <w:t>DB</w:t>
      </w:r>
      <w:r>
        <w:rPr>
          <w:rFonts w:ascii="Times New Roman" w:hAnsi="Times New Roman"/>
          <w:sz w:val="24"/>
        </w:rPr>
        <w:tab/>
      </w:r>
      <w:r>
        <w:rPr>
          <w:rFonts w:ascii="Times New Roman" w:hAnsi="Times New Roman" w:hint="eastAsia"/>
          <w:sz w:val="24"/>
        </w:rPr>
        <w:t>外保内贷</w:t>
      </w:r>
      <w:r w:rsidR="00891512">
        <w:rPr>
          <w:rFonts w:ascii="Times New Roman" w:hAnsi="Times New Roman"/>
          <w:sz w:val="24"/>
        </w:rPr>
        <w:t>-</w:t>
      </w:r>
      <w:r>
        <w:rPr>
          <w:rFonts w:ascii="Times New Roman" w:hAnsi="Times New Roman" w:hint="eastAsia"/>
          <w:sz w:val="24"/>
        </w:rPr>
        <w:t>变动及履约信息</w:t>
      </w:r>
    </w:p>
    <w:p w14:paraId="7BEFA957" w14:textId="77777777" w:rsidR="00A052DC" w:rsidRDefault="009F0A60">
      <w:pPr>
        <w:spacing w:line="360" w:lineRule="auto"/>
        <w:ind w:left="2516" w:hanging="836"/>
        <w:rPr>
          <w:rFonts w:ascii="Times New Roman" w:hAnsi="Times New Roman"/>
          <w:sz w:val="24"/>
        </w:rPr>
      </w:pPr>
      <w:r>
        <w:rPr>
          <w:rFonts w:ascii="Times New Roman" w:hAnsi="Times New Roman"/>
          <w:sz w:val="24"/>
        </w:rPr>
        <w:t>EA</w:t>
      </w:r>
      <w:r>
        <w:rPr>
          <w:rFonts w:ascii="Times New Roman" w:hAnsi="Times New Roman"/>
          <w:sz w:val="24"/>
        </w:rPr>
        <w:tab/>
      </w:r>
      <w:r>
        <w:rPr>
          <w:rFonts w:ascii="Times New Roman" w:hAnsi="Times New Roman" w:hint="eastAsia"/>
          <w:sz w:val="24"/>
        </w:rPr>
        <w:t>外汇质押人民币贷款</w:t>
      </w:r>
      <w:r w:rsidR="00891512">
        <w:rPr>
          <w:rFonts w:ascii="Times New Roman" w:hAnsi="Times New Roman"/>
          <w:sz w:val="24"/>
        </w:rPr>
        <w:t>-</w:t>
      </w:r>
      <w:r>
        <w:rPr>
          <w:rFonts w:ascii="Times New Roman" w:hAnsi="Times New Roman" w:hint="eastAsia"/>
          <w:sz w:val="24"/>
        </w:rPr>
        <w:t>签约信息</w:t>
      </w:r>
    </w:p>
    <w:p w14:paraId="34406405" w14:textId="77777777" w:rsidR="00A052DC" w:rsidRDefault="009F0A60">
      <w:pPr>
        <w:spacing w:line="360" w:lineRule="auto"/>
        <w:ind w:left="2516" w:hanging="836"/>
        <w:rPr>
          <w:rFonts w:ascii="Times New Roman" w:hAnsi="Times New Roman"/>
          <w:sz w:val="24"/>
        </w:rPr>
      </w:pPr>
      <w:r>
        <w:rPr>
          <w:rFonts w:ascii="Times New Roman" w:hAnsi="Times New Roman"/>
          <w:sz w:val="24"/>
        </w:rPr>
        <w:t>EB</w:t>
      </w:r>
      <w:r>
        <w:rPr>
          <w:rFonts w:ascii="Times New Roman" w:hAnsi="Times New Roman"/>
          <w:sz w:val="24"/>
        </w:rPr>
        <w:tab/>
      </w:r>
      <w:r>
        <w:rPr>
          <w:rFonts w:ascii="Times New Roman" w:hAnsi="Times New Roman" w:hint="eastAsia"/>
          <w:sz w:val="24"/>
        </w:rPr>
        <w:t>外汇质押人民币贷款</w:t>
      </w:r>
      <w:r w:rsidR="00891512">
        <w:rPr>
          <w:rFonts w:ascii="Times New Roman" w:hAnsi="Times New Roman"/>
          <w:sz w:val="24"/>
        </w:rPr>
        <w:t>-</w:t>
      </w:r>
      <w:r>
        <w:rPr>
          <w:rFonts w:ascii="Times New Roman" w:hAnsi="Times New Roman" w:hint="eastAsia"/>
          <w:sz w:val="24"/>
        </w:rPr>
        <w:t>变动信息</w:t>
      </w:r>
    </w:p>
    <w:p w14:paraId="2549DF92" w14:textId="77777777" w:rsidR="00A052DC" w:rsidRDefault="009F0A60">
      <w:pPr>
        <w:spacing w:line="360" w:lineRule="auto"/>
        <w:ind w:left="2516" w:hanging="836"/>
        <w:rPr>
          <w:rFonts w:ascii="Times New Roman" w:hAnsi="Times New Roman"/>
          <w:sz w:val="24"/>
        </w:rPr>
      </w:pPr>
      <w:r>
        <w:rPr>
          <w:rFonts w:ascii="Times New Roman" w:hAnsi="Times New Roman"/>
          <w:sz w:val="24"/>
        </w:rPr>
        <w:t>FA</w:t>
      </w:r>
      <w:r>
        <w:rPr>
          <w:rFonts w:ascii="Times New Roman" w:hAnsi="Times New Roman"/>
          <w:sz w:val="24"/>
        </w:rPr>
        <w:tab/>
      </w:r>
      <w:r>
        <w:rPr>
          <w:rFonts w:ascii="Times New Roman" w:hAnsi="Times New Roman" w:hint="eastAsia"/>
          <w:sz w:val="24"/>
        </w:rPr>
        <w:t>商业银行人民币结构性存款</w:t>
      </w:r>
      <w:r w:rsidR="00891512">
        <w:rPr>
          <w:rFonts w:ascii="Times New Roman" w:hAnsi="Times New Roman"/>
          <w:sz w:val="24"/>
        </w:rPr>
        <w:t>-</w:t>
      </w:r>
      <w:r>
        <w:rPr>
          <w:rFonts w:ascii="Times New Roman" w:hAnsi="Times New Roman" w:hint="eastAsia"/>
          <w:sz w:val="24"/>
        </w:rPr>
        <w:t>签约信息</w:t>
      </w:r>
    </w:p>
    <w:p w14:paraId="1E12B005" w14:textId="77777777" w:rsidR="00A052DC" w:rsidRDefault="009F0A60">
      <w:pPr>
        <w:spacing w:line="360" w:lineRule="auto"/>
        <w:ind w:left="2516" w:hanging="836"/>
        <w:rPr>
          <w:rFonts w:ascii="Times New Roman" w:hAnsi="Times New Roman"/>
          <w:sz w:val="24"/>
        </w:rPr>
      </w:pPr>
      <w:r>
        <w:rPr>
          <w:rFonts w:ascii="Times New Roman" w:hAnsi="Times New Roman"/>
          <w:sz w:val="24"/>
        </w:rPr>
        <w:t>FB</w:t>
      </w:r>
      <w:r>
        <w:rPr>
          <w:rFonts w:ascii="Times New Roman" w:hAnsi="Times New Roman"/>
          <w:sz w:val="24"/>
        </w:rPr>
        <w:tab/>
      </w:r>
      <w:r>
        <w:rPr>
          <w:rFonts w:ascii="Times New Roman" w:hAnsi="Times New Roman" w:hint="eastAsia"/>
          <w:sz w:val="24"/>
        </w:rPr>
        <w:t>商业银行人民币结构性存款</w:t>
      </w:r>
      <w:r w:rsidR="00891512">
        <w:rPr>
          <w:rFonts w:ascii="Times New Roman" w:hAnsi="Times New Roman"/>
          <w:sz w:val="24"/>
        </w:rPr>
        <w:t>-</w:t>
      </w:r>
      <w:r>
        <w:rPr>
          <w:rFonts w:ascii="Times New Roman" w:hAnsi="Times New Roman" w:hint="eastAsia"/>
          <w:sz w:val="24"/>
        </w:rPr>
        <w:t>终止信息</w:t>
      </w:r>
    </w:p>
    <w:p w14:paraId="4DF76A56" w14:textId="77777777" w:rsidR="00A052DC" w:rsidRDefault="009F0A60">
      <w:pPr>
        <w:spacing w:line="360" w:lineRule="auto"/>
        <w:ind w:left="2516" w:hanging="836"/>
        <w:rPr>
          <w:rFonts w:ascii="Times New Roman" w:hAnsi="Times New Roman"/>
          <w:sz w:val="24"/>
        </w:rPr>
      </w:pPr>
      <w:r>
        <w:rPr>
          <w:rFonts w:ascii="Times New Roman" w:hAnsi="Times New Roman"/>
          <w:sz w:val="24"/>
        </w:rPr>
        <w:t>FC</w:t>
      </w:r>
      <w:r>
        <w:rPr>
          <w:rFonts w:ascii="Times New Roman" w:hAnsi="Times New Roman"/>
          <w:sz w:val="24"/>
        </w:rPr>
        <w:tab/>
      </w:r>
      <w:r>
        <w:rPr>
          <w:rFonts w:ascii="Times New Roman" w:hAnsi="Times New Roman" w:hint="eastAsia"/>
          <w:sz w:val="24"/>
        </w:rPr>
        <w:t>商业银行人民币结构性存款</w:t>
      </w:r>
      <w:r w:rsidR="00891512">
        <w:rPr>
          <w:rFonts w:ascii="Times New Roman" w:hAnsi="Times New Roman"/>
          <w:sz w:val="24"/>
        </w:rPr>
        <w:t>-</w:t>
      </w:r>
      <w:r>
        <w:rPr>
          <w:rFonts w:ascii="Times New Roman" w:hAnsi="Times New Roman" w:hint="eastAsia"/>
          <w:sz w:val="24"/>
        </w:rPr>
        <w:t>利息给付信息</w:t>
      </w:r>
    </w:p>
    <w:p w14:paraId="27B739C3" w14:textId="77777777" w:rsidR="00A052DC" w:rsidRDefault="009F0A60">
      <w:pPr>
        <w:spacing w:line="360" w:lineRule="auto"/>
        <w:ind w:left="2516" w:hanging="836"/>
        <w:rPr>
          <w:rFonts w:ascii="Times New Roman" w:hAnsi="Times New Roman"/>
          <w:sz w:val="24"/>
        </w:rPr>
      </w:pPr>
      <w:r>
        <w:rPr>
          <w:rFonts w:ascii="Times New Roman" w:hAnsi="Times New Roman"/>
          <w:sz w:val="24"/>
        </w:rPr>
        <w:t>FD</w:t>
      </w:r>
      <w:r>
        <w:rPr>
          <w:rFonts w:ascii="Times New Roman" w:hAnsi="Times New Roman"/>
          <w:sz w:val="24"/>
        </w:rPr>
        <w:tab/>
      </w:r>
      <w:r>
        <w:rPr>
          <w:rFonts w:ascii="Times New Roman" w:hAnsi="Times New Roman" w:hint="eastAsia"/>
          <w:sz w:val="24"/>
        </w:rPr>
        <w:t>商业银行人民币结构性存款</w:t>
      </w:r>
      <w:r w:rsidR="00891512">
        <w:rPr>
          <w:rFonts w:ascii="Times New Roman" w:hAnsi="Times New Roman"/>
          <w:sz w:val="24"/>
        </w:rPr>
        <w:t>-</w:t>
      </w:r>
      <w:r>
        <w:rPr>
          <w:rFonts w:ascii="Times New Roman" w:hAnsi="Times New Roman" w:hint="eastAsia"/>
          <w:sz w:val="24"/>
        </w:rPr>
        <w:t>资金流出入和结购汇信息</w:t>
      </w:r>
    </w:p>
    <w:p w14:paraId="3B2FC37C" w14:textId="77777777" w:rsidR="00A052DC" w:rsidRDefault="009F0A60" w:rsidP="0020251D">
      <w:pPr>
        <w:pStyle w:val="3"/>
        <w:ind w:left="0"/>
        <w:rPr>
          <w:rFonts w:ascii="Times New Roman" w:hAnsi="Times New Roman"/>
        </w:rPr>
      </w:pPr>
      <w:bookmarkStart w:id="772" w:name="_Toc454386726"/>
      <w:bookmarkStart w:id="773" w:name="_Toc91455243"/>
      <w:bookmarkStart w:id="774" w:name="_Toc380356217"/>
      <w:bookmarkStart w:id="775" w:name="_Toc101684416"/>
      <w:r>
        <w:rPr>
          <w:rFonts w:ascii="Times New Roman" w:hAnsi="Times New Roman" w:hint="eastAsia"/>
        </w:rPr>
        <w:t>对外金融资产负债及交易信息</w:t>
      </w:r>
      <w:bookmarkEnd w:id="772"/>
      <w:bookmarkEnd w:id="773"/>
      <w:bookmarkEnd w:id="774"/>
      <w:bookmarkEnd w:id="775"/>
    </w:p>
    <w:p w14:paraId="326B3720" w14:textId="77777777" w:rsidR="00A052DC" w:rsidRDefault="009F0A60">
      <w:pPr>
        <w:spacing w:line="360" w:lineRule="auto"/>
        <w:ind w:left="2516" w:hanging="1382"/>
        <w:rPr>
          <w:rFonts w:ascii="Times New Roman" w:hAnsi="Times New Roman"/>
          <w:sz w:val="24"/>
        </w:rPr>
      </w:pPr>
      <w:r>
        <w:rPr>
          <w:rFonts w:ascii="Times New Roman" w:hAnsi="Times New Roman"/>
          <w:sz w:val="24"/>
        </w:rPr>
        <w:t>FAL + 2</w:t>
      </w:r>
      <w:r>
        <w:rPr>
          <w:rFonts w:ascii="Times New Roman" w:hAnsi="Times New Roman" w:hint="eastAsia"/>
          <w:sz w:val="24"/>
        </w:rPr>
        <w:t>位接口文件类型代码</w:t>
      </w:r>
    </w:p>
    <w:p w14:paraId="562EA09D" w14:textId="77777777" w:rsidR="00A052DC" w:rsidRDefault="009F0A60">
      <w:pPr>
        <w:spacing w:line="360" w:lineRule="auto"/>
        <w:ind w:left="2516" w:hanging="1382"/>
        <w:rPr>
          <w:rFonts w:ascii="Times New Roman" w:hAnsi="Times New Roman"/>
          <w:sz w:val="24"/>
        </w:rPr>
      </w:pPr>
      <w:r>
        <w:rPr>
          <w:rFonts w:ascii="Times New Roman" w:hAnsi="Times New Roman" w:hint="eastAsia"/>
          <w:sz w:val="24"/>
        </w:rPr>
        <w:t>接口文件类型代码如下：</w:t>
      </w:r>
    </w:p>
    <w:p w14:paraId="55D486A5" w14:textId="77777777" w:rsidR="00A052DC" w:rsidRDefault="009F0A60">
      <w:pPr>
        <w:spacing w:line="360" w:lineRule="auto"/>
        <w:ind w:left="2516" w:hanging="836"/>
        <w:rPr>
          <w:rFonts w:ascii="Times New Roman" w:hAnsi="Times New Roman"/>
          <w:b/>
          <w:sz w:val="24"/>
        </w:rPr>
      </w:pPr>
      <w:r>
        <w:rPr>
          <w:rFonts w:ascii="Times New Roman" w:hAnsi="Times New Roman"/>
          <w:b/>
          <w:sz w:val="24"/>
        </w:rPr>
        <w:t>TT</w:t>
      </w:r>
      <w:r>
        <w:rPr>
          <w:rFonts w:ascii="Times New Roman" w:hAnsi="Times New Roman"/>
          <w:b/>
          <w:sz w:val="24"/>
        </w:rPr>
        <w:tab/>
      </w:r>
      <w:r>
        <w:rPr>
          <w:rFonts w:ascii="Times New Roman" w:hAnsi="Times New Roman" w:hint="eastAsia"/>
          <w:b/>
          <w:sz w:val="24"/>
        </w:rPr>
        <w:t>接口控制文件</w:t>
      </w:r>
    </w:p>
    <w:p w14:paraId="553E3916" w14:textId="77777777" w:rsidR="00A052DC" w:rsidRDefault="009F0A60">
      <w:pPr>
        <w:spacing w:line="360" w:lineRule="auto"/>
        <w:ind w:left="2516" w:hanging="836"/>
        <w:rPr>
          <w:rFonts w:ascii="Times New Roman" w:hAnsi="Times New Roman"/>
          <w:sz w:val="24"/>
        </w:rPr>
      </w:pPr>
      <w:r>
        <w:rPr>
          <w:rFonts w:ascii="Times New Roman" w:hAnsi="Times New Roman"/>
          <w:sz w:val="24"/>
        </w:rPr>
        <w:t>ZA</w:t>
      </w:r>
      <w:r>
        <w:rPr>
          <w:rFonts w:ascii="Times New Roman" w:hAnsi="Times New Roman"/>
          <w:sz w:val="24"/>
        </w:rPr>
        <w:tab/>
        <w:t>Z01</w:t>
      </w:r>
      <w:r>
        <w:rPr>
          <w:rFonts w:ascii="Times New Roman" w:hAnsi="Times New Roman" w:hint="eastAsia"/>
          <w:sz w:val="24"/>
        </w:rPr>
        <w:t>表：单位基本情况信息</w:t>
      </w:r>
    </w:p>
    <w:p w14:paraId="4F20F654" w14:textId="77777777" w:rsidR="00A052DC" w:rsidRDefault="009F0A60">
      <w:pPr>
        <w:spacing w:line="360" w:lineRule="auto"/>
        <w:ind w:left="2516" w:hanging="836"/>
        <w:rPr>
          <w:rFonts w:ascii="Times New Roman" w:hAnsi="Times New Roman"/>
          <w:sz w:val="24"/>
        </w:rPr>
      </w:pPr>
      <w:r>
        <w:rPr>
          <w:rFonts w:ascii="Times New Roman" w:hAnsi="Times New Roman"/>
          <w:sz w:val="24"/>
        </w:rPr>
        <w:t>ZB</w:t>
      </w:r>
      <w:r>
        <w:rPr>
          <w:rFonts w:ascii="Times New Roman" w:hAnsi="Times New Roman"/>
          <w:sz w:val="24"/>
        </w:rPr>
        <w:tab/>
        <w:t>Z02</w:t>
      </w:r>
      <w:r>
        <w:rPr>
          <w:rFonts w:ascii="Times New Roman" w:hAnsi="Times New Roman" w:hint="eastAsia"/>
          <w:sz w:val="24"/>
        </w:rPr>
        <w:t>表：业务概览及联系方式</w:t>
      </w:r>
    </w:p>
    <w:p w14:paraId="3E96DF97" w14:textId="77777777" w:rsidR="00A052DC" w:rsidRDefault="009F0A60">
      <w:pPr>
        <w:spacing w:line="360" w:lineRule="auto"/>
        <w:ind w:left="2516" w:hanging="836"/>
        <w:rPr>
          <w:rFonts w:ascii="Times New Roman" w:hAnsi="Times New Roman"/>
          <w:sz w:val="24"/>
        </w:rPr>
      </w:pPr>
      <w:r>
        <w:rPr>
          <w:rFonts w:ascii="Times New Roman" w:hAnsi="Times New Roman"/>
          <w:sz w:val="24"/>
        </w:rPr>
        <w:t>ZC</w:t>
      </w:r>
      <w:r>
        <w:rPr>
          <w:rFonts w:ascii="Times New Roman" w:hAnsi="Times New Roman"/>
          <w:sz w:val="24"/>
        </w:rPr>
        <w:tab/>
        <w:t>Z03</w:t>
      </w:r>
      <w:r>
        <w:rPr>
          <w:rFonts w:ascii="Times New Roman" w:hAnsi="Times New Roman" w:hint="eastAsia"/>
          <w:sz w:val="24"/>
        </w:rPr>
        <w:t>表：投资关系（组织架构）</w:t>
      </w:r>
    </w:p>
    <w:p w14:paraId="3D0C6CFC" w14:textId="77777777" w:rsidR="00A052DC" w:rsidRDefault="009F0A60">
      <w:pPr>
        <w:spacing w:line="360" w:lineRule="auto"/>
        <w:ind w:left="2516" w:hanging="836"/>
        <w:rPr>
          <w:rFonts w:ascii="Times New Roman" w:hAnsi="Times New Roman"/>
          <w:sz w:val="24"/>
        </w:rPr>
      </w:pPr>
      <w:r>
        <w:rPr>
          <w:rFonts w:ascii="Times New Roman" w:hAnsi="Times New Roman"/>
          <w:sz w:val="24"/>
        </w:rPr>
        <w:t>AA</w:t>
      </w:r>
      <w:r>
        <w:rPr>
          <w:rFonts w:ascii="Times New Roman" w:hAnsi="Times New Roman"/>
          <w:sz w:val="24"/>
        </w:rPr>
        <w:tab/>
        <w:t>A01-1</w:t>
      </w:r>
      <w:r>
        <w:rPr>
          <w:rFonts w:ascii="Times New Roman" w:hAnsi="Times New Roman" w:hint="eastAsia"/>
          <w:sz w:val="24"/>
        </w:rPr>
        <w:t>表：对外直接投资（资产负债、利润及市值）</w:t>
      </w:r>
    </w:p>
    <w:p w14:paraId="20BDE42E" w14:textId="77777777" w:rsidR="00A052DC" w:rsidRDefault="009F0A60">
      <w:pPr>
        <w:spacing w:line="360" w:lineRule="auto"/>
        <w:ind w:left="2516" w:hanging="836"/>
        <w:rPr>
          <w:rFonts w:ascii="Times New Roman" w:hAnsi="Times New Roman"/>
          <w:sz w:val="24"/>
        </w:rPr>
      </w:pPr>
      <w:r>
        <w:rPr>
          <w:rFonts w:ascii="Times New Roman" w:hAnsi="Times New Roman"/>
          <w:sz w:val="24"/>
        </w:rPr>
        <w:t>AB</w:t>
      </w:r>
      <w:r>
        <w:rPr>
          <w:rFonts w:ascii="Times New Roman" w:hAnsi="Times New Roman"/>
          <w:sz w:val="24"/>
        </w:rPr>
        <w:tab/>
        <w:t>A01-2</w:t>
      </w:r>
      <w:r>
        <w:rPr>
          <w:rFonts w:ascii="Times New Roman" w:hAnsi="Times New Roman" w:hint="eastAsia"/>
          <w:sz w:val="24"/>
        </w:rPr>
        <w:t>表：对外直接投资（流量）</w:t>
      </w:r>
    </w:p>
    <w:p w14:paraId="2FE76A04" w14:textId="77777777" w:rsidR="00A052DC" w:rsidRDefault="009F0A60">
      <w:pPr>
        <w:spacing w:line="360" w:lineRule="auto"/>
        <w:ind w:left="2516" w:hanging="836"/>
        <w:rPr>
          <w:rFonts w:ascii="Times New Roman" w:hAnsi="Times New Roman"/>
          <w:sz w:val="24"/>
        </w:rPr>
      </w:pPr>
      <w:r>
        <w:rPr>
          <w:rFonts w:ascii="Times New Roman" w:hAnsi="Times New Roman"/>
          <w:sz w:val="24"/>
        </w:rPr>
        <w:t>AC</w:t>
      </w:r>
      <w:r>
        <w:rPr>
          <w:rFonts w:ascii="Times New Roman" w:hAnsi="Times New Roman"/>
          <w:sz w:val="24"/>
        </w:rPr>
        <w:tab/>
        <w:t>A02-1</w:t>
      </w:r>
      <w:r>
        <w:rPr>
          <w:rFonts w:ascii="Times New Roman" w:hAnsi="Times New Roman" w:hint="eastAsia"/>
          <w:sz w:val="24"/>
        </w:rPr>
        <w:t>表：来华直接投资（资产负债及利润）</w:t>
      </w:r>
    </w:p>
    <w:p w14:paraId="5BDAE2DC" w14:textId="77777777" w:rsidR="00A052DC" w:rsidRDefault="009F0A60">
      <w:pPr>
        <w:spacing w:line="360" w:lineRule="auto"/>
        <w:ind w:left="2516" w:hanging="836"/>
        <w:rPr>
          <w:rFonts w:ascii="Times New Roman" w:hAnsi="Times New Roman"/>
          <w:sz w:val="24"/>
        </w:rPr>
      </w:pPr>
      <w:r>
        <w:rPr>
          <w:rFonts w:ascii="Times New Roman" w:hAnsi="Times New Roman"/>
          <w:sz w:val="24"/>
        </w:rPr>
        <w:t>AD</w:t>
      </w:r>
      <w:r>
        <w:rPr>
          <w:rFonts w:ascii="Times New Roman" w:hAnsi="Times New Roman"/>
          <w:sz w:val="24"/>
        </w:rPr>
        <w:tab/>
        <w:t>A02-2</w:t>
      </w:r>
      <w:r>
        <w:rPr>
          <w:rFonts w:ascii="Times New Roman" w:hAnsi="Times New Roman" w:hint="eastAsia"/>
          <w:sz w:val="24"/>
        </w:rPr>
        <w:t>表：来华直接投资（境外投资者持股情况）</w:t>
      </w:r>
    </w:p>
    <w:p w14:paraId="773DEFBB" w14:textId="77777777" w:rsidR="00A052DC" w:rsidRDefault="009F0A60">
      <w:pPr>
        <w:spacing w:line="360" w:lineRule="auto"/>
        <w:ind w:left="2516" w:hanging="836"/>
        <w:rPr>
          <w:rFonts w:ascii="Times New Roman" w:hAnsi="Times New Roman"/>
          <w:sz w:val="24"/>
        </w:rPr>
      </w:pPr>
      <w:r>
        <w:rPr>
          <w:rFonts w:ascii="Times New Roman" w:hAnsi="Times New Roman"/>
          <w:sz w:val="24"/>
        </w:rPr>
        <w:t>AE</w:t>
      </w:r>
      <w:r>
        <w:rPr>
          <w:rFonts w:ascii="Times New Roman" w:hAnsi="Times New Roman"/>
          <w:sz w:val="24"/>
        </w:rPr>
        <w:tab/>
        <w:t>A02-3</w:t>
      </w:r>
      <w:r>
        <w:rPr>
          <w:rFonts w:ascii="Times New Roman" w:hAnsi="Times New Roman" w:hint="eastAsia"/>
          <w:sz w:val="24"/>
        </w:rPr>
        <w:t>表：来华直接投资（流量）</w:t>
      </w:r>
    </w:p>
    <w:p w14:paraId="1E22C2A9" w14:textId="77777777" w:rsidR="00A052DC" w:rsidRDefault="009F0A60">
      <w:pPr>
        <w:spacing w:line="360" w:lineRule="auto"/>
        <w:ind w:left="2516" w:hanging="836"/>
        <w:rPr>
          <w:rFonts w:ascii="Times New Roman" w:hAnsi="Times New Roman"/>
          <w:sz w:val="24"/>
        </w:rPr>
      </w:pPr>
      <w:r>
        <w:rPr>
          <w:rFonts w:ascii="Times New Roman" w:hAnsi="Times New Roman"/>
          <w:sz w:val="24"/>
        </w:rPr>
        <w:t>BA</w:t>
      </w:r>
      <w:r>
        <w:rPr>
          <w:rFonts w:ascii="Times New Roman" w:hAnsi="Times New Roman"/>
          <w:sz w:val="24"/>
        </w:rPr>
        <w:tab/>
        <w:t>B01</w:t>
      </w:r>
      <w:r>
        <w:rPr>
          <w:rFonts w:ascii="Times New Roman" w:hAnsi="Times New Roman" w:hint="eastAsia"/>
          <w:sz w:val="24"/>
        </w:rPr>
        <w:t>表：投资境外股本证券和投资基金份额（资产）</w:t>
      </w:r>
    </w:p>
    <w:p w14:paraId="36928C43" w14:textId="77777777" w:rsidR="00A052DC" w:rsidRDefault="009F0A60">
      <w:pPr>
        <w:spacing w:line="360" w:lineRule="auto"/>
        <w:ind w:left="2516" w:hanging="836"/>
        <w:rPr>
          <w:rFonts w:ascii="Times New Roman" w:hAnsi="Times New Roman"/>
          <w:sz w:val="24"/>
        </w:rPr>
      </w:pPr>
      <w:r>
        <w:rPr>
          <w:rFonts w:ascii="Times New Roman" w:hAnsi="Times New Roman"/>
          <w:sz w:val="24"/>
        </w:rPr>
        <w:t>BB</w:t>
      </w:r>
      <w:r>
        <w:rPr>
          <w:rFonts w:ascii="Times New Roman" w:hAnsi="Times New Roman"/>
          <w:sz w:val="24"/>
        </w:rPr>
        <w:tab/>
        <w:t>B02</w:t>
      </w:r>
      <w:r>
        <w:rPr>
          <w:rFonts w:ascii="Times New Roman" w:hAnsi="Times New Roman" w:hint="eastAsia"/>
          <w:sz w:val="24"/>
        </w:rPr>
        <w:t>表：投资境外债务证券（资产）</w:t>
      </w:r>
    </w:p>
    <w:p w14:paraId="2F1BA907" w14:textId="77777777" w:rsidR="00A052DC" w:rsidRDefault="009F0A60">
      <w:pPr>
        <w:spacing w:line="360" w:lineRule="auto"/>
        <w:ind w:left="2516" w:hanging="836"/>
        <w:rPr>
          <w:rFonts w:ascii="Times New Roman" w:hAnsi="Times New Roman"/>
          <w:sz w:val="24"/>
        </w:rPr>
      </w:pPr>
      <w:r>
        <w:rPr>
          <w:rFonts w:ascii="Times New Roman" w:hAnsi="Times New Roman"/>
          <w:sz w:val="24"/>
        </w:rPr>
        <w:t>BC</w:t>
      </w:r>
      <w:r>
        <w:rPr>
          <w:rFonts w:ascii="Times New Roman" w:hAnsi="Times New Roman"/>
          <w:sz w:val="24"/>
        </w:rPr>
        <w:tab/>
        <w:t>B03</w:t>
      </w:r>
      <w:r>
        <w:rPr>
          <w:rFonts w:ascii="Times New Roman" w:hAnsi="Times New Roman" w:hint="eastAsia"/>
          <w:sz w:val="24"/>
        </w:rPr>
        <w:t>表：投资非居民境内发行股本证券和债务证券（资产）</w:t>
      </w:r>
    </w:p>
    <w:p w14:paraId="53303E58" w14:textId="77777777" w:rsidR="00A052DC" w:rsidRDefault="009F0A60">
      <w:pPr>
        <w:spacing w:line="360" w:lineRule="auto"/>
        <w:ind w:left="2516" w:hanging="836"/>
        <w:rPr>
          <w:rFonts w:ascii="Times New Roman" w:hAnsi="Times New Roman"/>
          <w:sz w:val="24"/>
        </w:rPr>
      </w:pPr>
      <w:r>
        <w:rPr>
          <w:rFonts w:ascii="Times New Roman" w:hAnsi="Times New Roman"/>
          <w:sz w:val="24"/>
        </w:rPr>
        <w:t>BD</w:t>
      </w:r>
      <w:r>
        <w:rPr>
          <w:rFonts w:ascii="Times New Roman" w:hAnsi="Times New Roman"/>
          <w:sz w:val="24"/>
        </w:rPr>
        <w:tab/>
        <w:t>B04</w:t>
      </w:r>
      <w:r>
        <w:rPr>
          <w:rFonts w:ascii="Times New Roman" w:hAnsi="Times New Roman" w:hint="eastAsia"/>
          <w:sz w:val="24"/>
        </w:rPr>
        <w:t>表：吸收境外股权和基金份额投资（负债）</w:t>
      </w:r>
    </w:p>
    <w:p w14:paraId="7CD496C6" w14:textId="77777777" w:rsidR="00A052DC" w:rsidRDefault="009F0A60">
      <w:pPr>
        <w:spacing w:line="360" w:lineRule="auto"/>
        <w:ind w:left="2516" w:hanging="836"/>
        <w:rPr>
          <w:rFonts w:ascii="Times New Roman" w:hAnsi="Times New Roman"/>
          <w:sz w:val="24"/>
        </w:rPr>
      </w:pPr>
      <w:r>
        <w:rPr>
          <w:rFonts w:ascii="Times New Roman" w:hAnsi="Times New Roman"/>
          <w:sz w:val="24"/>
        </w:rPr>
        <w:t>BE</w:t>
      </w:r>
      <w:r>
        <w:rPr>
          <w:rFonts w:ascii="Times New Roman" w:hAnsi="Times New Roman"/>
          <w:sz w:val="24"/>
        </w:rPr>
        <w:tab/>
        <w:t>B05</w:t>
      </w:r>
      <w:r>
        <w:rPr>
          <w:rFonts w:ascii="Times New Roman" w:hAnsi="Times New Roman" w:hint="eastAsia"/>
          <w:sz w:val="24"/>
        </w:rPr>
        <w:t>表：境外发行债务证券（负债）</w:t>
      </w:r>
    </w:p>
    <w:p w14:paraId="02A91DD9" w14:textId="77777777" w:rsidR="00A052DC" w:rsidRDefault="009F0A60">
      <w:pPr>
        <w:spacing w:line="360" w:lineRule="auto"/>
        <w:ind w:left="2516" w:hanging="836"/>
        <w:rPr>
          <w:rFonts w:ascii="Times New Roman" w:hAnsi="Times New Roman"/>
          <w:sz w:val="24"/>
        </w:rPr>
      </w:pPr>
      <w:r>
        <w:rPr>
          <w:rFonts w:ascii="Times New Roman" w:hAnsi="Times New Roman"/>
          <w:sz w:val="24"/>
        </w:rPr>
        <w:t>BF</w:t>
      </w:r>
      <w:r>
        <w:rPr>
          <w:rFonts w:ascii="Times New Roman" w:hAnsi="Times New Roman"/>
          <w:sz w:val="24"/>
        </w:rPr>
        <w:tab/>
        <w:t>B06</w:t>
      </w:r>
      <w:r>
        <w:rPr>
          <w:rFonts w:ascii="Times New Roman" w:hAnsi="Times New Roman" w:hint="eastAsia"/>
          <w:sz w:val="24"/>
        </w:rPr>
        <w:t>表：非居民投资境内发行股本证券和债务证券（负债）</w:t>
      </w:r>
    </w:p>
    <w:p w14:paraId="2CEAC14F" w14:textId="77777777" w:rsidR="00A052DC" w:rsidRDefault="009F0A60">
      <w:pPr>
        <w:spacing w:line="360" w:lineRule="auto"/>
        <w:ind w:left="2516" w:hanging="836"/>
        <w:rPr>
          <w:rFonts w:ascii="Times New Roman" w:hAnsi="Times New Roman"/>
          <w:sz w:val="24"/>
        </w:rPr>
      </w:pPr>
      <w:r>
        <w:rPr>
          <w:rFonts w:ascii="Times New Roman" w:hAnsi="Times New Roman"/>
          <w:sz w:val="24"/>
        </w:rPr>
        <w:t>CA</w:t>
      </w:r>
      <w:r>
        <w:rPr>
          <w:rFonts w:ascii="Times New Roman" w:hAnsi="Times New Roman"/>
          <w:sz w:val="24"/>
        </w:rPr>
        <w:tab/>
        <w:t>C01</w:t>
      </w:r>
      <w:r>
        <w:rPr>
          <w:rFonts w:ascii="Times New Roman" w:hAnsi="Times New Roman" w:hint="eastAsia"/>
          <w:sz w:val="24"/>
        </w:rPr>
        <w:t>表：金融衍生产品及雇员认股权</w:t>
      </w:r>
    </w:p>
    <w:p w14:paraId="4506C560" w14:textId="77777777" w:rsidR="00A052DC" w:rsidRDefault="009F0A60">
      <w:pPr>
        <w:spacing w:line="360" w:lineRule="auto"/>
        <w:ind w:left="2516" w:hanging="836"/>
        <w:rPr>
          <w:rFonts w:ascii="Times New Roman" w:hAnsi="Times New Roman"/>
          <w:sz w:val="24"/>
        </w:rPr>
      </w:pPr>
      <w:r>
        <w:rPr>
          <w:rFonts w:ascii="Times New Roman" w:hAnsi="Times New Roman"/>
          <w:sz w:val="24"/>
        </w:rPr>
        <w:t>DA</w:t>
      </w:r>
      <w:r>
        <w:rPr>
          <w:rFonts w:ascii="Times New Roman" w:hAnsi="Times New Roman"/>
          <w:sz w:val="24"/>
        </w:rPr>
        <w:tab/>
        <w:t>D01</w:t>
      </w:r>
      <w:r>
        <w:rPr>
          <w:rFonts w:ascii="Times New Roman" w:hAnsi="Times New Roman" w:hint="eastAsia"/>
          <w:sz w:val="24"/>
        </w:rPr>
        <w:t>表：货币与存款（含存放银行同业和联行）（资产）</w:t>
      </w:r>
    </w:p>
    <w:p w14:paraId="2FCEBDE8" w14:textId="77777777" w:rsidR="00A052DC" w:rsidRDefault="009F0A60">
      <w:pPr>
        <w:spacing w:line="360" w:lineRule="auto"/>
        <w:ind w:left="2516" w:hanging="836"/>
        <w:rPr>
          <w:rFonts w:ascii="Times New Roman" w:hAnsi="Times New Roman"/>
          <w:sz w:val="24"/>
        </w:rPr>
      </w:pPr>
      <w:r>
        <w:rPr>
          <w:rFonts w:ascii="Times New Roman" w:hAnsi="Times New Roman"/>
          <w:sz w:val="24"/>
        </w:rPr>
        <w:t>DB</w:t>
      </w:r>
      <w:r>
        <w:rPr>
          <w:rFonts w:ascii="Times New Roman" w:hAnsi="Times New Roman"/>
          <w:sz w:val="24"/>
        </w:rPr>
        <w:tab/>
        <w:t>D02</w:t>
      </w:r>
      <w:r>
        <w:rPr>
          <w:rFonts w:ascii="Times New Roman" w:hAnsi="Times New Roman" w:hint="eastAsia"/>
          <w:sz w:val="24"/>
        </w:rPr>
        <w:t>表：贷款（含拆放银行同业及联行）（资产）</w:t>
      </w:r>
    </w:p>
    <w:p w14:paraId="29583271" w14:textId="77777777" w:rsidR="00A052DC" w:rsidRDefault="009F0A60">
      <w:pPr>
        <w:spacing w:line="360" w:lineRule="auto"/>
        <w:ind w:left="2516" w:hanging="836"/>
        <w:rPr>
          <w:rFonts w:ascii="Times New Roman" w:hAnsi="Times New Roman"/>
          <w:sz w:val="24"/>
        </w:rPr>
      </w:pPr>
      <w:r>
        <w:rPr>
          <w:rFonts w:ascii="Times New Roman" w:hAnsi="Times New Roman"/>
          <w:sz w:val="24"/>
        </w:rPr>
        <w:t>DC</w:t>
      </w:r>
      <w:r>
        <w:rPr>
          <w:rFonts w:ascii="Times New Roman" w:hAnsi="Times New Roman"/>
          <w:sz w:val="24"/>
        </w:rPr>
        <w:tab/>
        <w:t>D03</w:t>
      </w:r>
      <w:r>
        <w:rPr>
          <w:rFonts w:ascii="Times New Roman" w:hAnsi="Times New Roman" w:hint="eastAsia"/>
          <w:sz w:val="24"/>
        </w:rPr>
        <w:t>表：持有境外非公司制机构</w:t>
      </w:r>
      <w:r>
        <w:rPr>
          <w:rFonts w:ascii="Times New Roman" w:hAnsi="Times New Roman"/>
          <w:sz w:val="24"/>
        </w:rPr>
        <w:t>10%</w:t>
      </w:r>
      <w:r>
        <w:rPr>
          <w:rFonts w:ascii="Times New Roman" w:hAnsi="Times New Roman" w:hint="eastAsia"/>
          <w:sz w:val="24"/>
        </w:rPr>
        <w:t>以下表决权和国际组织股权（资产）</w:t>
      </w:r>
    </w:p>
    <w:p w14:paraId="3793E5A1" w14:textId="77777777" w:rsidR="00A052DC" w:rsidRDefault="009F0A60">
      <w:pPr>
        <w:spacing w:line="360" w:lineRule="auto"/>
        <w:ind w:left="2516" w:hanging="836"/>
        <w:rPr>
          <w:rFonts w:ascii="Times New Roman" w:hAnsi="Times New Roman"/>
          <w:sz w:val="24"/>
        </w:rPr>
      </w:pPr>
      <w:r>
        <w:rPr>
          <w:rFonts w:ascii="Times New Roman" w:hAnsi="Times New Roman"/>
          <w:sz w:val="24"/>
        </w:rPr>
        <w:t>DD</w:t>
      </w:r>
      <w:r>
        <w:rPr>
          <w:rFonts w:ascii="Times New Roman" w:hAnsi="Times New Roman"/>
          <w:sz w:val="24"/>
        </w:rPr>
        <w:tab/>
        <w:t>D04</w:t>
      </w:r>
      <w:r>
        <w:rPr>
          <w:rFonts w:ascii="Times New Roman" w:hAnsi="Times New Roman" w:hint="eastAsia"/>
          <w:sz w:val="24"/>
        </w:rPr>
        <w:t>表：应收款及预付款（不含应收利息）（资产）</w:t>
      </w:r>
    </w:p>
    <w:p w14:paraId="3FDD1D64" w14:textId="77777777" w:rsidR="00A052DC" w:rsidRDefault="009F0A60">
      <w:pPr>
        <w:spacing w:line="360" w:lineRule="auto"/>
        <w:ind w:left="2516" w:hanging="836"/>
        <w:rPr>
          <w:rFonts w:ascii="Times New Roman" w:hAnsi="Times New Roman"/>
          <w:sz w:val="24"/>
        </w:rPr>
      </w:pPr>
      <w:r>
        <w:rPr>
          <w:rFonts w:ascii="Times New Roman" w:hAnsi="Times New Roman"/>
          <w:sz w:val="24"/>
        </w:rPr>
        <w:t>DE</w:t>
      </w:r>
      <w:r>
        <w:rPr>
          <w:rFonts w:ascii="Times New Roman" w:hAnsi="Times New Roman"/>
          <w:sz w:val="24"/>
        </w:rPr>
        <w:tab/>
        <w:t>D05-1</w:t>
      </w:r>
      <w:r>
        <w:rPr>
          <w:rFonts w:ascii="Times New Roman" w:hAnsi="Times New Roman" w:hint="eastAsia"/>
          <w:sz w:val="24"/>
        </w:rPr>
        <w:t>表：存款（含银行同业和联行存放）（负债）——境外机构存款</w:t>
      </w:r>
    </w:p>
    <w:p w14:paraId="20BD5F3F" w14:textId="77777777" w:rsidR="00A052DC" w:rsidRDefault="009F0A60">
      <w:pPr>
        <w:spacing w:line="360" w:lineRule="auto"/>
        <w:ind w:left="2516" w:hanging="836"/>
        <w:rPr>
          <w:rFonts w:ascii="Times New Roman" w:hAnsi="Times New Roman"/>
          <w:sz w:val="24"/>
        </w:rPr>
      </w:pPr>
      <w:r>
        <w:rPr>
          <w:rFonts w:ascii="Times New Roman" w:hAnsi="Times New Roman"/>
          <w:sz w:val="24"/>
        </w:rPr>
        <w:t>DF</w:t>
      </w:r>
      <w:r>
        <w:rPr>
          <w:rFonts w:ascii="Times New Roman" w:hAnsi="Times New Roman"/>
          <w:sz w:val="24"/>
        </w:rPr>
        <w:tab/>
        <w:t>D05-2</w:t>
      </w:r>
      <w:r>
        <w:rPr>
          <w:rFonts w:ascii="Times New Roman" w:hAnsi="Times New Roman" w:hint="eastAsia"/>
          <w:sz w:val="24"/>
        </w:rPr>
        <w:t>表：存款（含银行同业和联行存放）（负债）——非居民个人存款</w:t>
      </w:r>
    </w:p>
    <w:p w14:paraId="1BFBA62B" w14:textId="77777777" w:rsidR="00A052DC" w:rsidRDefault="009F0A60">
      <w:pPr>
        <w:spacing w:line="360" w:lineRule="auto"/>
        <w:ind w:left="2516" w:hanging="836"/>
        <w:rPr>
          <w:rFonts w:ascii="Times New Roman" w:hAnsi="Times New Roman"/>
          <w:sz w:val="24"/>
        </w:rPr>
      </w:pPr>
      <w:r>
        <w:rPr>
          <w:rFonts w:ascii="Times New Roman" w:hAnsi="Times New Roman"/>
          <w:sz w:val="24"/>
        </w:rPr>
        <w:t>DG</w:t>
      </w:r>
      <w:r>
        <w:rPr>
          <w:rFonts w:ascii="Times New Roman" w:hAnsi="Times New Roman"/>
          <w:sz w:val="24"/>
        </w:rPr>
        <w:tab/>
        <w:t>D06-1</w:t>
      </w:r>
      <w:r>
        <w:rPr>
          <w:rFonts w:ascii="Times New Roman" w:hAnsi="Times New Roman" w:hint="eastAsia"/>
          <w:sz w:val="24"/>
        </w:rPr>
        <w:t>表：贷款（含银行同业和联行拆借）（负债）月末存量</w:t>
      </w:r>
    </w:p>
    <w:p w14:paraId="20226E87" w14:textId="77777777" w:rsidR="00A052DC" w:rsidRDefault="009F0A60">
      <w:pPr>
        <w:spacing w:line="360" w:lineRule="auto"/>
        <w:ind w:left="2516" w:hanging="836"/>
        <w:rPr>
          <w:rFonts w:ascii="Times New Roman" w:hAnsi="Times New Roman"/>
          <w:sz w:val="24"/>
        </w:rPr>
      </w:pPr>
      <w:r>
        <w:rPr>
          <w:rFonts w:ascii="Times New Roman" w:hAnsi="Times New Roman"/>
          <w:sz w:val="24"/>
        </w:rPr>
        <w:t>DH</w:t>
      </w:r>
      <w:r>
        <w:rPr>
          <w:rFonts w:ascii="Times New Roman" w:hAnsi="Times New Roman"/>
          <w:sz w:val="24"/>
        </w:rPr>
        <w:tab/>
        <w:t>D07</w:t>
      </w:r>
      <w:r>
        <w:rPr>
          <w:rFonts w:ascii="Times New Roman" w:hAnsi="Times New Roman" w:hint="eastAsia"/>
          <w:sz w:val="24"/>
        </w:rPr>
        <w:t>表：非居民持有本机构（非公司制）</w:t>
      </w:r>
      <w:r>
        <w:rPr>
          <w:rFonts w:ascii="Times New Roman" w:hAnsi="Times New Roman"/>
          <w:sz w:val="24"/>
        </w:rPr>
        <w:t>10%</w:t>
      </w:r>
      <w:r>
        <w:rPr>
          <w:rFonts w:ascii="Times New Roman" w:hAnsi="Times New Roman" w:hint="eastAsia"/>
          <w:sz w:val="24"/>
        </w:rPr>
        <w:t>以下表决权（负债）</w:t>
      </w:r>
    </w:p>
    <w:p w14:paraId="63F6FFA4" w14:textId="77777777" w:rsidR="00A052DC" w:rsidRDefault="009F0A60">
      <w:pPr>
        <w:spacing w:line="360" w:lineRule="auto"/>
        <w:ind w:left="2516" w:hanging="836"/>
        <w:rPr>
          <w:rFonts w:ascii="Times New Roman" w:hAnsi="Times New Roman"/>
          <w:sz w:val="24"/>
        </w:rPr>
      </w:pPr>
      <w:r>
        <w:rPr>
          <w:rFonts w:ascii="Times New Roman" w:hAnsi="Times New Roman" w:hint="eastAsia"/>
          <w:sz w:val="24"/>
        </w:rPr>
        <w:t>DI</w:t>
      </w:r>
      <w:r>
        <w:rPr>
          <w:rFonts w:ascii="Times New Roman" w:hAnsi="Times New Roman"/>
          <w:sz w:val="24"/>
        </w:rPr>
        <w:tab/>
      </w:r>
      <w:r>
        <w:rPr>
          <w:rFonts w:ascii="Times New Roman" w:hAnsi="Times New Roman" w:hint="eastAsia"/>
          <w:sz w:val="24"/>
        </w:rPr>
        <w:t>D08</w:t>
      </w:r>
      <w:r>
        <w:rPr>
          <w:rFonts w:ascii="Times New Roman" w:hAnsi="Times New Roman" w:hint="eastAsia"/>
          <w:sz w:val="24"/>
        </w:rPr>
        <w:t>表：应付款及预收款（不含应付利息）（负债）</w:t>
      </w:r>
    </w:p>
    <w:p w14:paraId="15BA252D" w14:textId="77777777" w:rsidR="00A052DC" w:rsidRDefault="009F0A60">
      <w:pPr>
        <w:spacing w:line="360" w:lineRule="auto"/>
        <w:ind w:left="2516" w:hanging="836"/>
        <w:rPr>
          <w:rFonts w:ascii="Times New Roman" w:hAnsi="Times New Roman"/>
          <w:sz w:val="24"/>
        </w:rPr>
      </w:pPr>
      <w:r>
        <w:rPr>
          <w:rFonts w:ascii="Times New Roman" w:hAnsi="Times New Roman"/>
          <w:sz w:val="24"/>
        </w:rPr>
        <w:t>DJ</w:t>
      </w:r>
      <w:r>
        <w:rPr>
          <w:rFonts w:ascii="Times New Roman" w:hAnsi="Times New Roman"/>
          <w:sz w:val="24"/>
        </w:rPr>
        <w:tab/>
        <w:t>D09</w:t>
      </w:r>
      <w:r>
        <w:rPr>
          <w:rFonts w:ascii="Times New Roman" w:hAnsi="Times New Roman" w:hint="eastAsia"/>
          <w:sz w:val="24"/>
        </w:rPr>
        <w:t>表：对非居民的贷款和应收款减值准备余额</w:t>
      </w:r>
    </w:p>
    <w:p w14:paraId="2130E6B9" w14:textId="77777777" w:rsidR="00A052DC" w:rsidRDefault="009F0A60">
      <w:pPr>
        <w:spacing w:line="360" w:lineRule="auto"/>
        <w:ind w:left="2516" w:hanging="836"/>
        <w:rPr>
          <w:rFonts w:ascii="Times New Roman" w:hAnsi="Times New Roman"/>
          <w:sz w:val="24"/>
        </w:rPr>
      </w:pPr>
      <w:r>
        <w:rPr>
          <w:rFonts w:ascii="Times New Roman" w:hAnsi="Times New Roman"/>
          <w:sz w:val="24"/>
        </w:rPr>
        <w:t>EA</w:t>
      </w:r>
      <w:r>
        <w:rPr>
          <w:rFonts w:ascii="Times New Roman" w:hAnsi="Times New Roman"/>
          <w:sz w:val="24"/>
        </w:rPr>
        <w:tab/>
        <w:t>E01</w:t>
      </w:r>
      <w:r>
        <w:rPr>
          <w:rFonts w:ascii="Times New Roman" w:hAnsi="Times New Roman" w:hint="eastAsia"/>
          <w:sz w:val="24"/>
        </w:rPr>
        <w:t>表：货物、服务、薪资及债务减免等其他各类往来</w:t>
      </w:r>
    </w:p>
    <w:p w14:paraId="6C100399" w14:textId="77777777" w:rsidR="00A052DC" w:rsidRDefault="009F0A60">
      <w:pPr>
        <w:spacing w:line="360" w:lineRule="auto"/>
        <w:ind w:left="2516" w:hanging="836"/>
        <w:rPr>
          <w:rFonts w:ascii="Times New Roman" w:hAnsi="Times New Roman"/>
          <w:sz w:val="24"/>
        </w:rPr>
      </w:pPr>
      <w:r>
        <w:rPr>
          <w:rFonts w:ascii="Times New Roman" w:hAnsi="Times New Roman" w:hint="eastAsia"/>
          <w:sz w:val="24"/>
        </w:rPr>
        <w:t>EB</w:t>
      </w:r>
      <w:r>
        <w:rPr>
          <w:rFonts w:ascii="Times New Roman" w:hAnsi="Times New Roman"/>
          <w:sz w:val="24"/>
        </w:rPr>
        <w:tab/>
      </w:r>
      <w:r>
        <w:rPr>
          <w:rFonts w:ascii="Times New Roman" w:hAnsi="Times New Roman" w:hint="eastAsia"/>
          <w:sz w:val="24"/>
        </w:rPr>
        <w:t>E02-1</w:t>
      </w:r>
      <w:r>
        <w:rPr>
          <w:rFonts w:ascii="Times New Roman" w:hAnsi="Times New Roman" w:hint="eastAsia"/>
          <w:sz w:val="24"/>
        </w:rPr>
        <w:t>表：境外建设项目概览表</w:t>
      </w:r>
    </w:p>
    <w:p w14:paraId="3D66EDDB" w14:textId="77777777" w:rsidR="00A052DC" w:rsidRDefault="009F0A60">
      <w:pPr>
        <w:spacing w:line="360" w:lineRule="auto"/>
        <w:ind w:left="2516" w:hanging="836"/>
        <w:rPr>
          <w:rFonts w:ascii="Times New Roman" w:hAnsi="Times New Roman"/>
          <w:sz w:val="24"/>
        </w:rPr>
      </w:pPr>
      <w:r>
        <w:rPr>
          <w:rFonts w:ascii="Times New Roman" w:hAnsi="Times New Roman" w:hint="eastAsia"/>
          <w:sz w:val="24"/>
        </w:rPr>
        <w:t>EC</w:t>
      </w:r>
      <w:r>
        <w:rPr>
          <w:rFonts w:ascii="Times New Roman" w:hAnsi="Times New Roman"/>
          <w:sz w:val="24"/>
        </w:rPr>
        <w:tab/>
      </w:r>
      <w:r>
        <w:rPr>
          <w:rFonts w:ascii="Times New Roman" w:hAnsi="Times New Roman" w:hint="eastAsia"/>
          <w:sz w:val="24"/>
        </w:rPr>
        <w:t>E02-2</w:t>
      </w:r>
      <w:r>
        <w:rPr>
          <w:rFonts w:ascii="Times New Roman" w:hAnsi="Times New Roman" w:hint="eastAsia"/>
          <w:sz w:val="24"/>
        </w:rPr>
        <w:t>表：境外建设统计表</w:t>
      </w:r>
    </w:p>
    <w:p w14:paraId="30BFCC57" w14:textId="77777777" w:rsidR="00A052DC" w:rsidRDefault="009F0A60">
      <w:pPr>
        <w:spacing w:line="360" w:lineRule="auto"/>
        <w:ind w:left="2516" w:hanging="836"/>
        <w:rPr>
          <w:rFonts w:ascii="Times New Roman" w:hAnsi="Times New Roman"/>
          <w:sz w:val="24"/>
        </w:rPr>
      </w:pPr>
      <w:r>
        <w:rPr>
          <w:rFonts w:ascii="Times New Roman" w:hAnsi="Times New Roman" w:hint="eastAsia"/>
          <w:sz w:val="24"/>
        </w:rPr>
        <w:t>ED</w:t>
      </w:r>
      <w:r>
        <w:rPr>
          <w:rFonts w:ascii="Times New Roman" w:hAnsi="Times New Roman"/>
          <w:sz w:val="24"/>
        </w:rPr>
        <w:tab/>
      </w:r>
      <w:r>
        <w:rPr>
          <w:rFonts w:ascii="Times New Roman" w:hAnsi="Times New Roman" w:hint="eastAsia"/>
          <w:sz w:val="24"/>
        </w:rPr>
        <w:t>E03</w:t>
      </w:r>
      <w:r>
        <w:rPr>
          <w:rFonts w:ascii="Times New Roman" w:hAnsi="Times New Roman" w:hint="eastAsia"/>
          <w:sz w:val="24"/>
        </w:rPr>
        <w:t>表：运输收入统计表</w:t>
      </w:r>
    </w:p>
    <w:p w14:paraId="490F0105" w14:textId="77777777" w:rsidR="00A052DC" w:rsidRDefault="009F0A60">
      <w:pPr>
        <w:spacing w:line="360" w:lineRule="auto"/>
        <w:ind w:left="2516" w:hanging="836"/>
        <w:rPr>
          <w:rFonts w:ascii="Times New Roman" w:hAnsi="Times New Roman"/>
          <w:sz w:val="24"/>
        </w:rPr>
      </w:pPr>
      <w:r>
        <w:rPr>
          <w:rFonts w:ascii="Times New Roman" w:hAnsi="Times New Roman"/>
          <w:sz w:val="24"/>
        </w:rPr>
        <w:t>FA</w:t>
      </w:r>
      <w:r>
        <w:rPr>
          <w:rFonts w:ascii="Times New Roman" w:hAnsi="Times New Roman"/>
          <w:sz w:val="24"/>
        </w:rPr>
        <w:tab/>
        <w:t>F01</w:t>
      </w:r>
      <w:r>
        <w:rPr>
          <w:rFonts w:ascii="Times New Roman" w:hAnsi="Times New Roman" w:hint="eastAsia"/>
          <w:sz w:val="24"/>
        </w:rPr>
        <w:t>表：买断出口票据、单证业务</w:t>
      </w:r>
    </w:p>
    <w:p w14:paraId="5FA6E75E" w14:textId="77777777" w:rsidR="00A052DC" w:rsidRDefault="009F0A60">
      <w:pPr>
        <w:spacing w:line="360" w:lineRule="auto"/>
        <w:ind w:left="2516" w:hanging="836"/>
        <w:rPr>
          <w:rFonts w:ascii="Times New Roman" w:hAnsi="Times New Roman"/>
          <w:sz w:val="24"/>
        </w:rPr>
      </w:pPr>
      <w:r>
        <w:rPr>
          <w:rFonts w:ascii="Times New Roman" w:hAnsi="Times New Roman"/>
          <w:sz w:val="24"/>
        </w:rPr>
        <w:t>GA</w:t>
      </w:r>
      <w:r>
        <w:rPr>
          <w:rFonts w:ascii="Times New Roman" w:hAnsi="Times New Roman"/>
          <w:sz w:val="24"/>
        </w:rPr>
        <w:tab/>
        <w:t>G01</w:t>
      </w:r>
      <w:r>
        <w:rPr>
          <w:rFonts w:ascii="Times New Roman" w:hAnsi="Times New Roman" w:hint="eastAsia"/>
          <w:sz w:val="24"/>
        </w:rPr>
        <w:t>表：境内银行卡境外消费提现</w:t>
      </w:r>
    </w:p>
    <w:p w14:paraId="2106F716" w14:textId="77777777" w:rsidR="00A052DC" w:rsidRDefault="009F0A60">
      <w:pPr>
        <w:spacing w:line="360" w:lineRule="auto"/>
        <w:ind w:left="2516" w:hanging="836"/>
        <w:rPr>
          <w:rFonts w:ascii="Times New Roman" w:hAnsi="Times New Roman"/>
          <w:sz w:val="24"/>
        </w:rPr>
      </w:pPr>
      <w:r>
        <w:rPr>
          <w:rFonts w:ascii="Times New Roman" w:hAnsi="Times New Roman"/>
          <w:sz w:val="24"/>
        </w:rPr>
        <w:t>GB</w:t>
      </w:r>
      <w:r>
        <w:rPr>
          <w:rFonts w:ascii="Times New Roman" w:hAnsi="Times New Roman"/>
          <w:sz w:val="24"/>
        </w:rPr>
        <w:tab/>
        <w:t>G02</w:t>
      </w:r>
      <w:r>
        <w:rPr>
          <w:rFonts w:ascii="Times New Roman" w:hAnsi="Times New Roman" w:hint="eastAsia"/>
          <w:sz w:val="24"/>
        </w:rPr>
        <w:t>表：境外银行卡境内消费提现</w:t>
      </w:r>
    </w:p>
    <w:p w14:paraId="2341DD16" w14:textId="77777777" w:rsidR="00A052DC" w:rsidRDefault="009F0A60">
      <w:pPr>
        <w:spacing w:line="360" w:lineRule="auto"/>
        <w:ind w:left="2516" w:hanging="836"/>
        <w:rPr>
          <w:rFonts w:ascii="Times New Roman" w:hAnsi="Times New Roman"/>
          <w:sz w:val="24"/>
        </w:rPr>
      </w:pPr>
      <w:r>
        <w:rPr>
          <w:rFonts w:ascii="Times New Roman" w:hAnsi="Times New Roman" w:hint="eastAsia"/>
          <w:sz w:val="24"/>
        </w:rPr>
        <w:t>GC</w:t>
      </w:r>
      <w:r>
        <w:rPr>
          <w:rFonts w:ascii="Times New Roman" w:hAnsi="Times New Roman" w:hint="eastAsia"/>
          <w:sz w:val="24"/>
        </w:rPr>
        <w:tab/>
        <w:t>G03</w:t>
      </w:r>
      <w:r>
        <w:rPr>
          <w:rFonts w:ascii="Times New Roman" w:hAnsi="Times New Roman" w:hint="eastAsia"/>
          <w:sz w:val="24"/>
        </w:rPr>
        <w:t>表：非居民持有境内银行卡的收入支出</w:t>
      </w:r>
    </w:p>
    <w:p w14:paraId="30CB6385" w14:textId="77777777" w:rsidR="00A052DC" w:rsidRDefault="009F0A60">
      <w:pPr>
        <w:spacing w:line="360" w:lineRule="auto"/>
        <w:ind w:left="2516" w:hanging="836"/>
        <w:rPr>
          <w:rFonts w:ascii="Times New Roman" w:hAnsi="Times New Roman"/>
          <w:sz w:val="24"/>
        </w:rPr>
      </w:pPr>
      <w:r>
        <w:rPr>
          <w:rFonts w:ascii="Times New Roman" w:hAnsi="Times New Roman"/>
          <w:sz w:val="24"/>
        </w:rPr>
        <w:t>HA</w:t>
      </w:r>
      <w:r>
        <w:rPr>
          <w:rFonts w:ascii="Times New Roman" w:hAnsi="Times New Roman"/>
          <w:sz w:val="24"/>
        </w:rPr>
        <w:tab/>
        <w:t>H01</w:t>
      </w:r>
      <w:r>
        <w:rPr>
          <w:rFonts w:ascii="Times New Roman" w:hAnsi="Times New Roman" w:hint="eastAsia"/>
          <w:sz w:val="24"/>
        </w:rPr>
        <w:t>表：为非居民托管业务统计（</w:t>
      </w:r>
      <w:r>
        <w:rPr>
          <w:rFonts w:ascii="Times New Roman" w:hAnsi="Times New Roman"/>
          <w:sz w:val="24"/>
        </w:rPr>
        <w:t>QFII</w:t>
      </w:r>
      <w:r>
        <w:rPr>
          <w:rFonts w:ascii="Times New Roman" w:hAnsi="Times New Roman" w:hint="eastAsia"/>
          <w:sz w:val="24"/>
        </w:rPr>
        <w:t>/</w:t>
      </w:r>
      <w:r>
        <w:rPr>
          <w:rFonts w:ascii="Times New Roman" w:hAnsi="Times New Roman"/>
          <w:sz w:val="24"/>
        </w:rPr>
        <w:t>RQFII</w:t>
      </w:r>
      <w:r>
        <w:rPr>
          <w:rFonts w:ascii="Times New Roman" w:hAnsi="Times New Roman" w:hint="eastAsia"/>
          <w:sz w:val="24"/>
        </w:rPr>
        <w:t>等）</w:t>
      </w:r>
    </w:p>
    <w:p w14:paraId="05B5A695" w14:textId="77777777" w:rsidR="00A052DC" w:rsidRDefault="009F0A60">
      <w:pPr>
        <w:spacing w:line="360" w:lineRule="auto"/>
        <w:ind w:left="2516" w:hanging="836"/>
        <w:rPr>
          <w:rFonts w:ascii="Times New Roman" w:hAnsi="Times New Roman"/>
          <w:sz w:val="24"/>
        </w:rPr>
      </w:pPr>
      <w:r>
        <w:rPr>
          <w:rFonts w:ascii="Times New Roman" w:hAnsi="Times New Roman"/>
          <w:sz w:val="24"/>
        </w:rPr>
        <w:t>HB</w:t>
      </w:r>
      <w:r>
        <w:rPr>
          <w:rFonts w:ascii="Times New Roman" w:hAnsi="Times New Roman"/>
          <w:sz w:val="24"/>
        </w:rPr>
        <w:tab/>
        <w:t>H02</w:t>
      </w:r>
      <w:r>
        <w:rPr>
          <w:rFonts w:ascii="Times New Roman" w:hAnsi="Times New Roman" w:hint="eastAsia"/>
          <w:sz w:val="24"/>
        </w:rPr>
        <w:t>表：为居民托管业务统计（</w:t>
      </w:r>
      <w:r>
        <w:rPr>
          <w:rFonts w:ascii="Times New Roman" w:hAnsi="Times New Roman" w:hint="eastAsia"/>
          <w:sz w:val="24"/>
        </w:rPr>
        <w:t>QDII/RQDII/QDLP/QDIE</w:t>
      </w:r>
      <w:r>
        <w:rPr>
          <w:rFonts w:ascii="Times New Roman" w:hAnsi="Times New Roman" w:hint="eastAsia"/>
          <w:sz w:val="24"/>
        </w:rPr>
        <w:t>等）</w:t>
      </w:r>
    </w:p>
    <w:p w14:paraId="24C45DA0" w14:textId="77777777" w:rsidR="00A052DC" w:rsidRDefault="009F0A60">
      <w:pPr>
        <w:spacing w:line="360" w:lineRule="auto"/>
        <w:ind w:left="2516" w:hanging="836"/>
        <w:rPr>
          <w:rFonts w:ascii="Times New Roman" w:hAnsi="Times New Roman"/>
          <w:sz w:val="24"/>
        </w:rPr>
      </w:pPr>
      <w:r>
        <w:rPr>
          <w:rFonts w:ascii="Times New Roman" w:hAnsi="Times New Roman"/>
          <w:sz w:val="24"/>
        </w:rPr>
        <w:t>IA</w:t>
      </w:r>
      <w:r>
        <w:rPr>
          <w:rFonts w:ascii="Times New Roman" w:hAnsi="Times New Roman"/>
          <w:sz w:val="24"/>
        </w:rPr>
        <w:tab/>
        <w:t>I01</w:t>
      </w:r>
      <w:r>
        <w:rPr>
          <w:rFonts w:ascii="Times New Roman" w:hAnsi="Times New Roman" w:hint="eastAsia"/>
          <w:sz w:val="24"/>
        </w:rPr>
        <w:t>表：为非居民提供直接保险服务</w:t>
      </w:r>
    </w:p>
    <w:p w14:paraId="1C487F25" w14:textId="77777777" w:rsidR="00A052DC" w:rsidRDefault="009F0A60">
      <w:pPr>
        <w:spacing w:line="360" w:lineRule="auto"/>
        <w:ind w:left="2516" w:hanging="836"/>
        <w:rPr>
          <w:rFonts w:ascii="Times New Roman" w:hAnsi="Times New Roman"/>
          <w:sz w:val="24"/>
        </w:rPr>
      </w:pPr>
      <w:r>
        <w:rPr>
          <w:rFonts w:ascii="Times New Roman" w:hAnsi="Times New Roman"/>
          <w:sz w:val="24"/>
        </w:rPr>
        <w:t>IB</w:t>
      </w:r>
      <w:r>
        <w:rPr>
          <w:rFonts w:ascii="Times New Roman" w:hAnsi="Times New Roman"/>
          <w:sz w:val="24"/>
        </w:rPr>
        <w:tab/>
        <w:t>I02</w:t>
      </w:r>
      <w:r>
        <w:rPr>
          <w:rFonts w:ascii="Times New Roman" w:hAnsi="Times New Roman" w:hint="eastAsia"/>
          <w:sz w:val="24"/>
        </w:rPr>
        <w:t>表：为非居民提供再保险服务（分入保险）</w:t>
      </w:r>
    </w:p>
    <w:p w14:paraId="244274E0" w14:textId="77777777" w:rsidR="00A052DC" w:rsidRDefault="009F0A60">
      <w:pPr>
        <w:spacing w:line="360" w:lineRule="auto"/>
        <w:ind w:left="2516" w:hanging="836"/>
        <w:rPr>
          <w:rFonts w:ascii="Times New Roman" w:hAnsi="Times New Roman"/>
          <w:sz w:val="24"/>
        </w:rPr>
      </w:pPr>
      <w:r>
        <w:rPr>
          <w:rFonts w:ascii="Times New Roman" w:hAnsi="Times New Roman"/>
          <w:sz w:val="24"/>
        </w:rPr>
        <w:t>IC</w:t>
      </w:r>
      <w:r>
        <w:rPr>
          <w:rFonts w:ascii="Times New Roman" w:hAnsi="Times New Roman"/>
          <w:sz w:val="24"/>
        </w:rPr>
        <w:tab/>
        <w:t>I03</w:t>
      </w:r>
      <w:r>
        <w:rPr>
          <w:rFonts w:ascii="Times New Roman" w:hAnsi="Times New Roman" w:hint="eastAsia"/>
          <w:sz w:val="24"/>
        </w:rPr>
        <w:t>表：从非居民保险机构获得再保险服务（分出保险）</w:t>
      </w:r>
    </w:p>
    <w:p w14:paraId="248A8553" w14:textId="77777777" w:rsidR="00A052DC" w:rsidRDefault="009F0A60">
      <w:pPr>
        <w:spacing w:line="360" w:lineRule="auto"/>
        <w:ind w:left="2516" w:hanging="836"/>
        <w:rPr>
          <w:rFonts w:ascii="Times New Roman" w:hAnsi="Times New Roman"/>
          <w:sz w:val="24"/>
        </w:rPr>
      </w:pPr>
      <w:r>
        <w:rPr>
          <w:rFonts w:ascii="Times New Roman" w:hAnsi="Times New Roman"/>
          <w:sz w:val="24"/>
        </w:rPr>
        <w:t>XA</w:t>
      </w:r>
      <w:r>
        <w:rPr>
          <w:rFonts w:ascii="Times New Roman" w:hAnsi="Times New Roman"/>
          <w:sz w:val="24"/>
        </w:rPr>
        <w:tab/>
        <w:t>X01</w:t>
      </w:r>
      <w:r>
        <w:rPr>
          <w:rFonts w:ascii="Times New Roman" w:hAnsi="Times New Roman" w:hint="eastAsia"/>
          <w:sz w:val="24"/>
        </w:rPr>
        <w:t>表：银行进出口贸易融资余额</w:t>
      </w:r>
    </w:p>
    <w:p w14:paraId="712993B8" w14:textId="77777777" w:rsidR="00A052DC" w:rsidRDefault="009F0A60" w:rsidP="0020251D">
      <w:pPr>
        <w:pStyle w:val="3"/>
        <w:ind w:left="0"/>
        <w:rPr>
          <w:rFonts w:ascii="Times New Roman" w:hAnsi="Times New Roman"/>
        </w:rPr>
      </w:pPr>
      <w:bookmarkStart w:id="776" w:name="_Toc380356218"/>
      <w:bookmarkStart w:id="777" w:name="_Toc454386727"/>
      <w:bookmarkStart w:id="778" w:name="_Toc91455244"/>
      <w:bookmarkStart w:id="779" w:name="_Toc101684417"/>
      <w:r>
        <w:rPr>
          <w:rFonts w:ascii="Times New Roman" w:hAnsi="Times New Roman" w:hint="eastAsia"/>
        </w:rPr>
        <w:t>机构外币现钞存取数据</w:t>
      </w:r>
      <w:bookmarkEnd w:id="776"/>
      <w:bookmarkEnd w:id="777"/>
      <w:bookmarkEnd w:id="778"/>
      <w:bookmarkEnd w:id="779"/>
    </w:p>
    <w:p w14:paraId="6315007D" w14:textId="77777777" w:rsidR="00A052DC" w:rsidRDefault="009F0A60">
      <w:pPr>
        <w:spacing w:line="360" w:lineRule="auto"/>
        <w:ind w:left="2516" w:hanging="1382"/>
        <w:rPr>
          <w:rFonts w:ascii="Times New Roman" w:hAnsi="Times New Roman"/>
          <w:sz w:val="24"/>
        </w:rPr>
      </w:pPr>
      <w:r>
        <w:rPr>
          <w:rFonts w:ascii="Times New Roman" w:hAnsi="Times New Roman"/>
          <w:sz w:val="24"/>
        </w:rPr>
        <w:t>CWD + 2</w:t>
      </w:r>
      <w:r>
        <w:rPr>
          <w:rFonts w:ascii="Times New Roman" w:hAnsi="Times New Roman" w:hint="eastAsia"/>
          <w:sz w:val="24"/>
        </w:rPr>
        <w:t>位接口文件类型代码</w:t>
      </w:r>
    </w:p>
    <w:p w14:paraId="37C0A4FC" w14:textId="77777777" w:rsidR="00A052DC" w:rsidRDefault="009F0A60">
      <w:pPr>
        <w:spacing w:line="360" w:lineRule="auto"/>
        <w:ind w:left="2516" w:hanging="1382"/>
        <w:rPr>
          <w:rFonts w:ascii="Times New Roman" w:hAnsi="Times New Roman"/>
          <w:sz w:val="24"/>
        </w:rPr>
      </w:pPr>
      <w:r>
        <w:rPr>
          <w:rFonts w:ascii="Times New Roman" w:hAnsi="Times New Roman" w:hint="eastAsia"/>
          <w:sz w:val="24"/>
        </w:rPr>
        <w:t>接口文件类型代码如下：</w:t>
      </w:r>
    </w:p>
    <w:p w14:paraId="74862EC3" w14:textId="77777777" w:rsidR="00A052DC" w:rsidRDefault="009F0A60">
      <w:pPr>
        <w:spacing w:line="360" w:lineRule="auto"/>
        <w:ind w:left="2516" w:hanging="836"/>
        <w:rPr>
          <w:rFonts w:ascii="Times New Roman" w:hAnsi="Times New Roman"/>
          <w:b/>
          <w:sz w:val="24"/>
        </w:rPr>
      </w:pPr>
      <w:r>
        <w:rPr>
          <w:rFonts w:ascii="Times New Roman" w:hAnsi="Times New Roman"/>
          <w:b/>
          <w:sz w:val="24"/>
        </w:rPr>
        <w:t>TT</w:t>
      </w:r>
      <w:r>
        <w:rPr>
          <w:rFonts w:ascii="Times New Roman" w:hAnsi="Times New Roman"/>
          <w:b/>
          <w:sz w:val="24"/>
        </w:rPr>
        <w:tab/>
      </w:r>
      <w:r>
        <w:rPr>
          <w:rFonts w:ascii="Times New Roman" w:hAnsi="Times New Roman" w:hint="eastAsia"/>
          <w:b/>
          <w:sz w:val="24"/>
        </w:rPr>
        <w:t>接口控制文件</w:t>
      </w:r>
    </w:p>
    <w:p w14:paraId="5ABCD929" w14:textId="77777777" w:rsidR="00A052DC" w:rsidRDefault="009F0A60">
      <w:pPr>
        <w:spacing w:line="360" w:lineRule="auto"/>
        <w:ind w:left="2516" w:hanging="836"/>
        <w:rPr>
          <w:rFonts w:ascii="Times New Roman" w:hAnsi="Times New Roman"/>
          <w:sz w:val="24"/>
        </w:rPr>
      </w:pPr>
      <w:r>
        <w:rPr>
          <w:rFonts w:ascii="Times New Roman" w:hAnsi="Times New Roman" w:hint="eastAsia"/>
          <w:sz w:val="24"/>
        </w:rPr>
        <w:t>C</w:t>
      </w:r>
      <w:r>
        <w:rPr>
          <w:rFonts w:ascii="Times New Roman" w:hAnsi="Times New Roman"/>
          <w:sz w:val="24"/>
        </w:rPr>
        <w:t>A</w:t>
      </w:r>
      <w:r>
        <w:rPr>
          <w:rFonts w:ascii="Times New Roman" w:hAnsi="Times New Roman"/>
          <w:sz w:val="24"/>
        </w:rPr>
        <w:tab/>
      </w:r>
      <w:r>
        <w:rPr>
          <w:rFonts w:ascii="Times New Roman" w:hAnsi="Times New Roman" w:hint="eastAsia"/>
          <w:sz w:val="24"/>
        </w:rPr>
        <w:t>机构外币现钞存入数据</w:t>
      </w:r>
    </w:p>
    <w:p w14:paraId="19E3F082" w14:textId="77777777" w:rsidR="00A052DC" w:rsidRDefault="009F0A60">
      <w:pPr>
        <w:spacing w:line="360" w:lineRule="auto"/>
        <w:ind w:left="2516" w:hanging="836"/>
        <w:rPr>
          <w:rFonts w:ascii="Times New Roman" w:hAnsi="Times New Roman"/>
          <w:sz w:val="24"/>
        </w:rPr>
      </w:pPr>
      <w:r>
        <w:rPr>
          <w:rFonts w:ascii="Times New Roman" w:hAnsi="Times New Roman" w:hint="eastAsia"/>
          <w:sz w:val="24"/>
        </w:rPr>
        <w:t>C</w:t>
      </w:r>
      <w:r>
        <w:rPr>
          <w:rFonts w:ascii="Times New Roman" w:hAnsi="Times New Roman"/>
          <w:sz w:val="24"/>
        </w:rPr>
        <w:t>B</w:t>
      </w:r>
      <w:r>
        <w:rPr>
          <w:rFonts w:ascii="Times New Roman" w:hAnsi="Times New Roman"/>
          <w:sz w:val="24"/>
        </w:rPr>
        <w:tab/>
      </w:r>
      <w:r>
        <w:rPr>
          <w:rFonts w:ascii="Times New Roman" w:hAnsi="Times New Roman" w:hint="eastAsia"/>
          <w:sz w:val="24"/>
        </w:rPr>
        <w:t>机构外币现钞提取数据</w:t>
      </w:r>
    </w:p>
    <w:p w14:paraId="588E734E" w14:textId="77777777" w:rsidR="00A052DC" w:rsidRDefault="009F0A60" w:rsidP="0020251D">
      <w:pPr>
        <w:pStyle w:val="3"/>
        <w:ind w:left="0"/>
        <w:rPr>
          <w:rFonts w:ascii="Times New Roman" w:hAnsi="Times New Roman"/>
        </w:rPr>
      </w:pPr>
      <w:bookmarkStart w:id="780" w:name="_Toc454454799"/>
      <w:bookmarkStart w:id="781" w:name="_Toc454378099"/>
      <w:bookmarkStart w:id="782" w:name="_Toc454386728"/>
      <w:bookmarkStart w:id="783" w:name="_Toc454395023"/>
      <w:bookmarkStart w:id="784" w:name="_Toc455163914"/>
      <w:bookmarkStart w:id="785" w:name="_Toc455167639"/>
      <w:bookmarkStart w:id="786" w:name="_Toc455152735"/>
      <w:bookmarkStart w:id="787" w:name="_Toc455156463"/>
      <w:bookmarkStart w:id="788" w:name="_Toc454780093"/>
      <w:bookmarkStart w:id="789" w:name="_Toc454464716"/>
      <w:bookmarkStart w:id="790" w:name="_Toc91455245"/>
      <w:bookmarkStart w:id="791" w:name="_Toc454386729"/>
      <w:bookmarkStart w:id="792" w:name="_Toc101684418"/>
      <w:bookmarkEnd w:id="780"/>
      <w:bookmarkEnd w:id="781"/>
      <w:bookmarkEnd w:id="782"/>
      <w:bookmarkEnd w:id="783"/>
      <w:bookmarkEnd w:id="784"/>
      <w:bookmarkEnd w:id="785"/>
      <w:bookmarkEnd w:id="786"/>
      <w:bookmarkEnd w:id="787"/>
      <w:bookmarkEnd w:id="788"/>
      <w:bookmarkEnd w:id="789"/>
      <w:r>
        <w:rPr>
          <w:rFonts w:ascii="Times New Roman" w:hAnsi="Times New Roman" w:hint="eastAsia"/>
        </w:rPr>
        <w:t>银行自身外债数据</w:t>
      </w:r>
      <w:bookmarkEnd w:id="790"/>
      <w:bookmarkEnd w:id="791"/>
      <w:bookmarkEnd w:id="792"/>
    </w:p>
    <w:p w14:paraId="6BEA6D7F" w14:textId="77777777" w:rsidR="00A052DC" w:rsidRDefault="009F0A60">
      <w:pPr>
        <w:spacing w:line="360" w:lineRule="auto"/>
        <w:ind w:left="2516" w:hanging="1382"/>
        <w:rPr>
          <w:rFonts w:ascii="Times New Roman" w:hAnsi="Times New Roman"/>
          <w:sz w:val="24"/>
        </w:rPr>
      </w:pPr>
      <w:r>
        <w:rPr>
          <w:rFonts w:ascii="Times New Roman" w:hAnsi="Times New Roman"/>
          <w:sz w:val="24"/>
        </w:rPr>
        <w:t>EXD + 2</w:t>
      </w:r>
      <w:r>
        <w:rPr>
          <w:rFonts w:ascii="Times New Roman" w:hAnsi="Times New Roman" w:hint="eastAsia"/>
          <w:sz w:val="24"/>
        </w:rPr>
        <w:t>位接口文件类型代码</w:t>
      </w:r>
    </w:p>
    <w:p w14:paraId="1B778C23" w14:textId="77777777" w:rsidR="00A052DC" w:rsidRDefault="009F0A60">
      <w:pPr>
        <w:spacing w:line="360" w:lineRule="auto"/>
        <w:ind w:left="2516" w:hanging="1382"/>
        <w:rPr>
          <w:rFonts w:ascii="Times New Roman" w:hAnsi="Times New Roman"/>
          <w:sz w:val="24"/>
        </w:rPr>
      </w:pPr>
      <w:r>
        <w:rPr>
          <w:rFonts w:ascii="Times New Roman" w:hAnsi="Times New Roman" w:hint="eastAsia"/>
          <w:sz w:val="24"/>
        </w:rPr>
        <w:t>接口文件类型代码如下：</w:t>
      </w:r>
    </w:p>
    <w:p w14:paraId="5447DCE0" w14:textId="77777777" w:rsidR="00A052DC" w:rsidRDefault="009F0A60">
      <w:pPr>
        <w:spacing w:line="360" w:lineRule="auto"/>
        <w:ind w:left="2516" w:hanging="836"/>
        <w:rPr>
          <w:rFonts w:ascii="Times New Roman" w:hAnsi="Times New Roman"/>
          <w:b/>
          <w:sz w:val="24"/>
        </w:rPr>
      </w:pPr>
      <w:r>
        <w:rPr>
          <w:rFonts w:ascii="Times New Roman" w:hAnsi="Times New Roman"/>
          <w:b/>
          <w:sz w:val="24"/>
        </w:rPr>
        <w:t>TT</w:t>
      </w:r>
      <w:r>
        <w:rPr>
          <w:rFonts w:ascii="Times New Roman" w:hAnsi="Times New Roman"/>
          <w:b/>
          <w:sz w:val="24"/>
        </w:rPr>
        <w:tab/>
      </w:r>
      <w:r>
        <w:rPr>
          <w:rFonts w:ascii="Times New Roman" w:hAnsi="Times New Roman" w:hint="eastAsia"/>
          <w:b/>
          <w:sz w:val="24"/>
        </w:rPr>
        <w:t>接口控制文件</w:t>
      </w:r>
    </w:p>
    <w:p w14:paraId="63F1661F" w14:textId="77777777" w:rsidR="00A052DC" w:rsidRDefault="009F0A60">
      <w:pPr>
        <w:spacing w:line="360" w:lineRule="auto"/>
        <w:ind w:firstLineChars="700" w:firstLine="1680"/>
        <w:rPr>
          <w:rFonts w:ascii="Times New Roman" w:hAnsi="Times New Roman"/>
          <w:sz w:val="24"/>
        </w:rPr>
      </w:pPr>
      <w:r>
        <w:rPr>
          <w:rFonts w:ascii="Times New Roman" w:hAnsi="Times New Roman"/>
          <w:sz w:val="24"/>
        </w:rPr>
        <w:t>AA</w:t>
      </w:r>
      <w:r w:rsidR="007C7B79">
        <w:rPr>
          <w:rFonts w:ascii="Times New Roman" w:hAnsi="Times New Roman" w:hint="eastAsia"/>
          <w:sz w:val="24"/>
        </w:rPr>
        <w:t xml:space="preserve">    </w:t>
      </w:r>
      <w:r>
        <w:rPr>
          <w:rFonts w:ascii="Times New Roman" w:hAnsi="Times New Roman" w:hint="eastAsia"/>
          <w:sz w:val="24"/>
        </w:rPr>
        <w:t>外债双边贷款</w:t>
      </w:r>
      <w:r w:rsidR="00891512">
        <w:rPr>
          <w:rFonts w:ascii="Times New Roman" w:hAnsi="Times New Roman" w:hint="eastAsia"/>
          <w:sz w:val="24"/>
        </w:rPr>
        <w:t>-</w:t>
      </w:r>
      <w:r>
        <w:rPr>
          <w:rFonts w:ascii="Times New Roman" w:hAnsi="Times New Roman" w:hint="eastAsia"/>
          <w:sz w:val="24"/>
        </w:rPr>
        <w:t>签约信息</w:t>
      </w:r>
    </w:p>
    <w:p w14:paraId="3EE7B0EB" w14:textId="77777777" w:rsidR="00A052DC" w:rsidRDefault="009F0A60">
      <w:pPr>
        <w:spacing w:line="360" w:lineRule="auto"/>
        <w:ind w:left="2516" w:hanging="836"/>
        <w:rPr>
          <w:rFonts w:ascii="Times New Roman" w:hAnsi="Times New Roman"/>
          <w:sz w:val="24"/>
        </w:rPr>
      </w:pPr>
      <w:r>
        <w:rPr>
          <w:rFonts w:ascii="Times New Roman" w:hAnsi="Times New Roman"/>
          <w:sz w:val="24"/>
        </w:rPr>
        <w:t>AB</w:t>
      </w:r>
      <w:r>
        <w:rPr>
          <w:rFonts w:ascii="Times New Roman" w:hAnsi="Times New Roman"/>
          <w:sz w:val="24"/>
        </w:rPr>
        <w:tab/>
      </w:r>
      <w:r>
        <w:rPr>
          <w:rFonts w:ascii="Times New Roman" w:hAnsi="Times New Roman" w:hint="eastAsia"/>
          <w:sz w:val="24"/>
        </w:rPr>
        <w:t>外债买方信贷</w:t>
      </w:r>
      <w:r w:rsidR="00891512">
        <w:rPr>
          <w:rFonts w:ascii="Times New Roman" w:hAnsi="Times New Roman" w:hint="eastAsia"/>
          <w:sz w:val="24"/>
        </w:rPr>
        <w:t>-</w:t>
      </w:r>
      <w:r>
        <w:rPr>
          <w:rFonts w:ascii="Times New Roman" w:hAnsi="Times New Roman" w:hint="eastAsia"/>
          <w:sz w:val="24"/>
        </w:rPr>
        <w:t>签约信息</w:t>
      </w:r>
    </w:p>
    <w:p w14:paraId="597AF24C" w14:textId="77777777" w:rsidR="00A052DC" w:rsidRDefault="009F0A60">
      <w:pPr>
        <w:spacing w:line="360" w:lineRule="auto"/>
        <w:ind w:left="2516" w:hanging="836"/>
        <w:rPr>
          <w:rFonts w:ascii="Times New Roman" w:hAnsi="Times New Roman"/>
          <w:sz w:val="24"/>
        </w:rPr>
      </w:pPr>
      <w:r>
        <w:rPr>
          <w:rFonts w:ascii="Times New Roman" w:hAnsi="Times New Roman"/>
          <w:sz w:val="24"/>
        </w:rPr>
        <w:t>AC</w:t>
      </w:r>
      <w:r>
        <w:rPr>
          <w:rFonts w:ascii="Times New Roman" w:hAnsi="Times New Roman"/>
          <w:sz w:val="24"/>
        </w:rPr>
        <w:tab/>
      </w:r>
      <w:r>
        <w:rPr>
          <w:rFonts w:ascii="Times New Roman" w:hAnsi="Times New Roman" w:hint="eastAsia"/>
          <w:sz w:val="24"/>
        </w:rPr>
        <w:t>外债境外拆借</w:t>
      </w:r>
      <w:r w:rsidR="00891512">
        <w:rPr>
          <w:rFonts w:ascii="Times New Roman" w:hAnsi="Times New Roman" w:hint="eastAsia"/>
          <w:sz w:val="24"/>
        </w:rPr>
        <w:t>-</w:t>
      </w:r>
      <w:r>
        <w:rPr>
          <w:rFonts w:ascii="Times New Roman" w:hAnsi="Times New Roman" w:hint="eastAsia"/>
          <w:sz w:val="24"/>
        </w:rPr>
        <w:t>签约信息</w:t>
      </w:r>
    </w:p>
    <w:p w14:paraId="5CAE4006" w14:textId="77777777" w:rsidR="00A052DC" w:rsidRDefault="009F0A60">
      <w:pPr>
        <w:spacing w:line="360" w:lineRule="auto"/>
        <w:ind w:left="2516" w:hanging="836"/>
        <w:rPr>
          <w:rFonts w:ascii="Times New Roman" w:hAnsi="Times New Roman"/>
          <w:sz w:val="24"/>
        </w:rPr>
      </w:pPr>
      <w:r>
        <w:rPr>
          <w:rFonts w:ascii="Times New Roman" w:hAnsi="Times New Roman"/>
          <w:sz w:val="24"/>
        </w:rPr>
        <w:t>AD</w:t>
      </w:r>
      <w:r>
        <w:rPr>
          <w:rFonts w:ascii="Times New Roman" w:hAnsi="Times New Roman"/>
          <w:sz w:val="24"/>
        </w:rPr>
        <w:tab/>
      </w:r>
      <w:r>
        <w:rPr>
          <w:rFonts w:ascii="Times New Roman" w:hAnsi="Times New Roman" w:hint="eastAsia"/>
          <w:sz w:val="24"/>
        </w:rPr>
        <w:t>外债海外代付</w:t>
      </w:r>
      <w:r w:rsidR="00891512">
        <w:rPr>
          <w:rFonts w:ascii="Times New Roman" w:hAnsi="Times New Roman" w:hint="eastAsia"/>
          <w:sz w:val="24"/>
        </w:rPr>
        <w:t>-</w:t>
      </w:r>
      <w:r>
        <w:rPr>
          <w:rFonts w:ascii="Times New Roman" w:hAnsi="Times New Roman" w:hint="eastAsia"/>
          <w:sz w:val="24"/>
        </w:rPr>
        <w:t>签约信息</w:t>
      </w:r>
    </w:p>
    <w:p w14:paraId="23DB0E08" w14:textId="77777777" w:rsidR="00A052DC" w:rsidRDefault="009F0A60">
      <w:pPr>
        <w:spacing w:line="360" w:lineRule="auto"/>
        <w:ind w:left="2516" w:hanging="836"/>
        <w:rPr>
          <w:rFonts w:ascii="Times New Roman" w:hAnsi="Times New Roman"/>
          <w:sz w:val="24"/>
        </w:rPr>
      </w:pPr>
      <w:r>
        <w:rPr>
          <w:rFonts w:ascii="Times New Roman" w:hAnsi="Times New Roman"/>
          <w:sz w:val="24"/>
        </w:rPr>
        <w:t>AE</w:t>
      </w:r>
      <w:r>
        <w:rPr>
          <w:rFonts w:ascii="Times New Roman" w:hAnsi="Times New Roman"/>
          <w:sz w:val="24"/>
        </w:rPr>
        <w:tab/>
      </w:r>
      <w:r>
        <w:rPr>
          <w:rFonts w:ascii="Times New Roman" w:hAnsi="Times New Roman" w:hint="eastAsia"/>
          <w:sz w:val="24"/>
        </w:rPr>
        <w:t>外债卖出回购</w:t>
      </w:r>
      <w:r w:rsidR="00891512">
        <w:rPr>
          <w:rFonts w:ascii="Times New Roman" w:hAnsi="Times New Roman" w:hint="eastAsia"/>
          <w:sz w:val="24"/>
        </w:rPr>
        <w:t>-</w:t>
      </w:r>
      <w:r>
        <w:rPr>
          <w:rFonts w:ascii="Times New Roman" w:hAnsi="Times New Roman" w:hint="eastAsia"/>
          <w:sz w:val="24"/>
        </w:rPr>
        <w:t>签约信息</w:t>
      </w:r>
    </w:p>
    <w:p w14:paraId="25B6194E" w14:textId="77777777" w:rsidR="00A052DC" w:rsidRDefault="009F0A60">
      <w:pPr>
        <w:spacing w:line="360" w:lineRule="auto"/>
        <w:ind w:left="2516" w:hanging="836"/>
        <w:rPr>
          <w:rFonts w:ascii="Times New Roman" w:hAnsi="Times New Roman"/>
          <w:sz w:val="24"/>
        </w:rPr>
      </w:pPr>
      <w:r>
        <w:rPr>
          <w:rFonts w:ascii="Times New Roman" w:hAnsi="Times New Roman"/>
          <w:sz w:val="24"/>
        </w:rPr>
        <w:t>AF</w:t>
      </w:r>
      <w:r>
        <w:rPr>
          <w:rFonts w:ascii="Times New Roman" w:hAnsi="Times New Roman"/>
          <w:sz w:val="24"/>
        </w:rPr>
        <w:tab/>
      </w:r>
      <w:r>
        <w:rPr>
          <w:rFonts w:ascii="Times New Roman" w:hAnsi="Times New Roman" w:hint="eastAsia"/>
          <w:sz w:val="24"/>
        </w:rPr>
        <w:t>外债</w:t>
      </w:r>
      <w:r>
        <w:rPr>
          <w:rFonts w:hint="eastAsia"/>
          <w:kern w:val="0"/>
          <w:sz w:val="24"/>
          <w:szCs w:val="20"/>
        </w:rPr>
        <w:t>远期信用证（含即期单证相符）</w:t>
      </w:r>
      <w:r w:rsidR="00891512">
        <w:rPr>
          <w:rFonts w:ascii="Times New Roman" w:hAnsi="Times New Roman" w:hint="eastAsia"/>
          <w:sz w:val="24"/>
        </w:rPr>
        <w:t>-</w:t>
      </w:r>
      <w:r>
        <w:rPr>
          <w:rFonts w:ascii="Times New Roman" w:hAnsi="Times New Roman" w:hint="eastAsia"/>
          <w:sz w:val="24"/>
        </w:rPr>
        <w:t>签约信息</w:t>
      </w:r>
    </w:p>
    <w:p w14:paraId="55F59B5A" w14:textId="77777777" w:rsidR="00A052DC" w:rsidRDefault="009F0A60">
      <w:pPr>
        <w:spacing w:line="360" w:lineRule="auto"/>
        <w:ind w:left="2516" w:hanging="836"/>
        <w:rPr>
          <w:rFonts w:ascii="Times New Roman" w:hAnsi="Times New Roman"/>
          <w:sz w:val="24"/>
        </w:rPr>
      </w:pPr>
      <w:r>
        <w:rPr>
          <w:rFonts w:ascii="Times New Roman" w:hAnsi="Times New Roman"/>
          <w:sz w:val="24"/>
        </w:rPr>
        <w:t>AG</w:t>
      </w:r>
      <w:r>
        <w:rPr>
          <w:rFonts w:ascii="Times New Roman" w:hAnsi="Times New Roman"/>
          <w:sz w:val="24"/>
        </w:rPr>
        <w:tab/>
      </w:r>
      <w:r>
        <w:rPr>
          <w:rFonts w:ascii="Times New Roman" w:hAnsi="Times New Roman" w:hint="eastAsia"/>
          <w:sz w:val="24"/>
        </w:rPr>
        <w:t>外债银团贷款</w:t>
      </w:r>
      <w:r w:rsidR="00891512">
        <w:rPr>
          <w:rFonts w:ascii="Times New Roman" w:hAnsi="Times New Roman" w:hint="eastAsia"/>
          <w:sz w:val="24"/>
        </w:rPr>
        <w:t>-</w:t>
      </w:r>
      <w:r>
        <w:rPr>
          <w:rFonts w:ascii="Times New Roman" w:hAnsi="Times New Roman" w:hint="eastAsia"/>
          <w:sz w:val="24"/>
        </w:rPr>
        <w:t>签约信息</w:t>
      </w:r>
    </w:p>
    <w:p w14:paraId="4A55B99D" w14:textId="77777777" w:rsidR="00A052DC" w:rsidRDefault="009F0A60">
      <w:pPr>
        <w:spacing w:line="360" w:lineRule="auto"/>
        <w:ind w:left="2516" w:hanging="836"/>
        <w:rPr>
          <w:rFonts w:ascii="Times New Roman" w:hAnsi="Times New Roman"/>
          <w:sz w:val="24"/>
        </w:rPr>
      </w:pPr>
      <w:r>
        <w:rPr>
          <w:rFonts w:ascii="Times New Roman" w:hAnsi="Times New Roman"/>
          <w:sz w:val="24"/>
        </w:rPr>
        <w:t>AH</w:t>
      </w:r>
      <w:r>
        <w:rPr>
          <w:rFonts w:ascii="Times New Roman" w:hAnsi="Times New Roman"/>
          <w:sz w:val="24"/>
        </w:rPr>
        <w:tab/>
      </w:r>
      <w:r>
        <w:rPr>
          <w:rFonts w:ascii="Times New Roman" w:hAnsi="Times New Roman" w:hint="eastAsia"/>
          <w:sz w:val="24"/>
        </w:rPr>
        <w:t>外债贵金属拆借</w:t>
      </w:r>
      <w:r w:rsidR="00891512">
        <w:rPr>
          <w:rFonts w:ascii="Times New Roman" w:hAnsi="Times New Roman" w:hint="eastAsia"/>
          <w:sz w:val="24"/>
        </w:rPr>
        <w:t>-</w:t>
      </w:r>
      <w:r>
        <w:rPr>
          <w:rFonts w:ascii="Times New Roman" w:hAnsi="Times New Roman" w:hint="eastAsia"/>
          <w:sz w:val="24"/>
        </w:rPr>
        <w:t>签约信息</w:t>
      </w:r>
    </w:p>
    <w:p w14:paraId="55BEA7C8" w14:textId="77777777" w:rsidR="00A052DC" w:rsidRDefault="009F0A60">
      <w:pPr>
        <w:spacing w:line="360" w:lineRule="auto"/>
        <w:ind w:left="2516" w:hanging="836"/>
        <w:rPr>
          <w:rFonts w:ascii="Times New Roman" w:hAnsi="Times New Roman"/>
          <w:sz w:val="24"/>
        </w:rPr>
      </w:pPr>
      <w:r>
        <w:rPr>
          <w:rFonts w:ascii="Times New Roman" w:hAnsi="Times New Roman"/>
          <w:sz w:val="24"/>
        </w:rPr>
        <w:t>AI</w:t>
      </w:r>
      <w:r>
        <w:rPr>
          <w:rFonts w:ascii="Times New Roman" w:hAnsi="Times New Roman"/>
          <w:sz w:val="24"/>
        </w:rPr>
        <w:tab/>
      </w:r>
      <w:r>
        <w:rPr>
          <w:rFonts w:ascii="Times New Roman" w:hAnsi="Times New Roman" w:hint="eastAsia"/>
          <w:sz w:val="24"/>
        </w:rPr>
        <w:t>外债其他贷款</w:t>
      </w:r>
      <w:r w:rsidR="00891512">
        <w:rPr>
          <w:rFonts w:ascii="Times New Roman" w:hAnsi="Times New Roman" w:hint="eastAsia"/>
          <w:sz w:val="24"/>
        </w:rPr>
        <w:t>-</w:t>
      </w:r>
      <w:r>
        <w:rPr>
          <w:rFonts w:ascii="Times New Roman" w:hAnsi="Times New Roman" w:hint="eastAsia"/>
          <w:sz w:val="24"/>
        </w:rPr>
        <w:t>签约信息</w:t>
      </w:r>
    </w:p>
    <w:p w14:paraId="0E378524" w14:textId="77777777" w:rsidR="00A052DC" w:rsidRDefault="009F0A60">
      <w:pPr>
        <w:spacing w:line="360" w:lineRule="auto"/>
        <w:ind w:left="2516" w:hanging="836"/>
        <w:rPr>
          <w:rFonts w:ascii="Times New Roman" w:hAnsi="Times New Roman"/>
          <w:sz w:val="24"/>
        </w:rPr>
      </w:pPr>
      <w:r>
        <w:rPr>
          <w:rFonts w:ascii="Times New Roman" w:hAnsi="Times New Roman"/>
          <w:sz w:val="24"/>
        </w:rPr>
        <w:t>AJ</w:t>
      </w:r>
      <w:r>
        <w:rPr>
          <w:rFonts w:ascii="Times New Roman" w:hAnsi="Times New Roman"/>
          <w:sz w:val="24"/>
        </w:rPr>
        <w:tab/>
      </w:r>
      <w:r>
        <w:rPr>
          <w:rFonts w:ascii="Times New Roman" w:hAnsi="Times New Roman" w:hint="eastAsia"/>
          <w:sz w:val="24"/>
        </w:rPr>
        <w:t>外债货币市场工具</w:t>
      </w:r>
      <w:r w:rsidR="00891512">
        <w:rPr>
          <w:rFonts w:ascii="Times New Roman" w:hAnsi="Times New Roman" w:hint="eastAsia"/>
          <w:sz w:val="24"/>
        </w:rPr>
        <w:t>-</w:t>
      </w:r>
      <w:r>
        <w:rPr>
          <w:rFonts w:ascii="Times New Roman" w:hAnsi="Times New Roman" w:hint="eastAsia"/>
          <w:sz w:val="24"/>
        </w:rPr>
        <w:t>签约信息</w:t>
      </w:r>
    </w:p>
    <w:p w14:paraId="02FB759F" w14:textId="77777777" w:rsidR="00A052DC" w:rsidRDefault="009F0A60">
      <w:pPr>
        <w:spacing w:line="360" w:lineRule="auto"/>
        <w:ind w:left="2516" w:hanging="836"/>
        <w:rPr>
          <w:rFonts w:ascii="Times New Roman" w:hAnsi="Times New Roman"/>
          <w:sz w:val="24"/>
        </w:rPr>
      </w:pPr>
      <w:r>
        <w:rPr>
          <w:rFonts w:ascii="Times New Roman" w:hAnsi="Times New Roman"/>
          <w:sz w:val="24"/>
        </w:rPr>
        <w:t>AK</w:t>
      </w:r>
      <w:r>
        <w:rPr>
          <w:rFonts w:ascii="Times New Roman" w:hAnsi="Times New Roman"/>
          <w:sz w:val="24"/>
        </w:rPr>
        <w:tab/>
      </w:r>
      <w:r>
        <w:rPr>
          <w:rFonts w:ascii="Times New Roman" w:hAnsi="Times New Roman" w:hint="eastAsia"/>
          <w:sz w:val="24"/>
        </w:rPr>
        <w:t>外债债券和票据</w:t>
      </w:r>
      <w:r w:rsidR="00891512">
        <w:rPr>
          <w:rFonts w:ascii="Times New Roman" w:hAnsi="Times New Roman" w:hint="eastAsia"/>
          <w:sz w:val="24"/>
        </w:rPr>
        <w:t>-</w:t>
      </w:r>
      <w:r>
        <w:rPr>
          <w:rFonts w:ascii="Times New Roman" w:hAnsi="Times New Roman" w:hint="eastAsia"/>
          <w:sz w:val="24"/>
        </w:rPr>
        <w:t>签约信息</w:t>
      </w:r>
    </w:p>
    <w:p w14:paraId="03DC0971" w14:textId="77777777" w:rsidR="00A052DC" w:rsidRDefault="009F0A60">
      <w:pPr>
        <w:spacing w:line="360" w:lineRule="auto"/>
        <w:ind w:left="2516" w:hanging="836"/>
        <w:rPr>
          <w:rFonts w:ascii="Times New Roman" w:hAnsi="Times New Roman"/>
          <w:sz w:val="24"/>
        </w:rPr>
      </w:pPr>
      <w:r>
        <w:rPr>
          <w:rFonts w:ascii="Times New Roman" w:hAnsi="Times New Roman"/>
          <w:sz w:val="24"/>
        </w:rPr>
        <w:t>AL</w:t>
      </w:r>
      <w:r>
        <w:rPr>
          <w:rFonts w:ascii="Times New Roman" w:hAnsi="Times New Roman"/>
          <w:sz w:val="24"/>
        </w:rPr>
        <w:tab/>
      </w:r>
      <w:r>
        <w:rPr>
          <w:rFonts w:ascii="Times New Roman" w:hAnsi="Times New Roman" w:hint="eastAsia"/>
          <w:sz w:val="24"/>
        </w:rPr>
        <w:t>外债境外同业存放</w:t>
      </w:r>
      <w:r w:rsidR="00891512">
        <w:rPr>
          <w:rFonts w:ascii="Times New Roman" w:hAnsi="Times New Roman" w:hint="eastAsia"/>
          <w:sz w:val="24"/>
        </w:rPr>
        <w:t>-</w:t>
      </w:r>
      <w:r>
        <w:rPr>
          <w:rFonts w:ascii="Times New Roman" w:hAnsi="Times New Roman" w:hint="eastAsia"/>
          <w:sz w:val="24"/>
        </w:rPr>
        <w:t>签约信息</w:t>
      </w:r>
    </w:p>
    <w:p w14:paraId="2B62DBC4" w14:textId="77777777" w:rsidR="00A052DC" w:rsidRDefault="009F0A60">
      <w:pPr>
        <w:spacing w:line="360" w:lineRule="auto"/>
        <w:ind w:left="2516" w:hanging="836"/>
        <w:rPr>
          <w:rFonts w:ascii="Times New Roman" w:hAnsi="Times New Roman"/>
          <w:sz w:val="24"/>
        </w:rPr>
      </w:pPr>
      <w:r>
        <w:rPr>
          <w:rFonts w:ascii="Times New Roman" w:hAnsi="Times New Roman"/>
          <w:sz w:val="24"/>
        </w:rPr>
        <w:t>AM</w:t>
      </w:r>
      <w:r>
        <w:rPr>
          <w:rFonts w:ascii="Times New Roman" w:hAnsi="Times New Roman"/>
          <w:sz w:val="24"/>
        </w:rPr>
        <w:tab/>
      </w:r>
      <w:r>
        <w:rPr>
          <w:rFonts w:ascii="Times New Roman" w:hAnsi="Times New Roman" w:hint="eastAsia"/>
          <w:sz w:val="24"/>
        </w:rPr>
        <w:t>外债境外联行及附属机构往来</w:t>
      </w:r>
      <w:r w:rsidR="00891512">
        <w:rPr>
          <w:rFonts w:ascii="Times New Roman" w:hAnsi="Times New Roman" w:hint="eastAsia"/>
          <w:sz w:val="24"/>
        </w:rPr>
        <w:t>-</w:t>
      </w:r>
      <w:r>
        <w:rPr>
          <w:rFonts w:ascii="Times New Roman" w:hAnsi="Times New Roman" w:hint="eastAsia"/>
          <w:sz w:val="24"/>
        </w:rPr>
        <w:t>签约信息</w:t>
      </w:r>
    </w:p>
    <w:p w14:paraId="0A95C304" w14:textId="77777777" w:rsidR="00A052DC" w:rsidRDefault="009F0A60">
      <w:pPr>
        <w:spacing w:line="360" w:lineRule="auto"/>
        <w:ind w:left="2516" w:hanging="836"/>
        <w:rPr>
          <w:rFonts w:ascii="Times New Roman" w:hAnsi="Times New Roman"/>
          <w:sz w:val="24"/>
        </w:rPr>
      </w:pPr>
      <w:r>
        <w:rPr>
          <w:rFonts w:ascii="Times New Roman" w:hAnsi="Times New Roman"/>
          <w:sz w:val="24"/>
        </w:rPr>
        <w:t>AN</w:t>
      </w:r>
      <w:r>
        <w:rPr>
          <w:rFonts w:ascii="Times New Roman" w:hAnsi="Times New Roman"/>
          <w:sz w:val="24"/>
        </w:rPr>
        <w:tab/>
      </w:r>
      <w:r>
        <w:rPr>
          <w:rFonts w:ascii="Times New Roman" w:hAnsi="Times New Roman" w:hint="eastAsia"/>
          <w:sz w:val="24"/>
        </w:rPr>
        <w:t>外债非居民机构存款</w:t>
      </w:r>
      <w:r w:rsidR="00891512">
        <w:rPr>
          <w:rFonts w:ascii="Times New Roman" w:hAnsi="Times New Roman" w:hint="eastAsia"/>
          <w:sz w:val="24"/>
        </w:rPr>
        <w:t>-</w:t>
      </w:r>
      <w:r>
        <w:rPr>
          <w:rFonts w:ascii="Times New Roman" w:hAnsi="Times New Roman" w:hint="eastAsia"/>
          <w:sz w:val="24"/>
        </w:rPr>
        <w:t>签约信息</w:t>
      </w:r>
    </w:p>
    <w:p w14:paraId="2E672C5C" w14:textId="77777777" w:rsidR="00A052DC" w:rsidRDefault="009F0A60">
      <w:pPr>
        <w:spacing w:line="360" w:lineRule="auto"/>
        <w:ind w:left="2516" w:hanging="836"/>
        <w:rPr>
          <w:rFonts w:ascii="Times New Roman" w:hAnsi="Times New Roman"/>
          <w:sz w:val="24"/>
        </w:rPr>
      </w:pPr>
      <w:r>
        <w:rPr>
          <w:rFonts w:ascii="Times New Roman" w:hAnsi="Times New Roman"/>
          <w:sz w:val="24"/>
        </w:rPr>
        <w:t>AP</w:t>
      </w:r>
      <w:r>
        <w:rPr>
          <w:rFonts w:ascii="Times New Roman" w:hAnsi="Times New Roman"/>
          <w:sz w:val="24"/>
        </w:rPr>
        <w:tab/>
      </w:r>
      <w:r>
        <w:rPr>
          <w:rFonts w:ascii="Times New Roman" w:hAnsi="Times New Roman" w:hint="eastAsia"/>
          <w:sz w:val="24"/>
        </w:rPr>
        <w:t>外债非居民个人存款</w:t>
      </w:r>
      <w:r w:rsidR="00891512">
        <w:rPr>
          <w:rFonts w:ascii="Times New Roman" w:hAnsi="Times New Roman" w:hint="eastAsia"/>
          <w:sz w:val="24"/>
        </w:rPr>
        <w:t>-</w:t>
      </w:r>
      <w:r>
        <w:rPr>
          <w:rFonts w:ascii="Times New Roman" w:hAnsi="Times New Roman" w:hint="eastAsia"/>
          <w:sz w:val="24"/>
        </w:rPr>
        <w:t>签约信息</w:t>
      </w:r>
    </w:p>
    <w:p w14:paraId="471D9495" w14:textId="77777777" w:rsidR="00A052DC" w:rsidRDefault="009F0A60">
      <w:pPr>
        <w:spacing w:line="360" w:lineRule="auto"/>
        <w:ind w:left="2516" w:hanging="836"/>
        <w:rPr>
          <w:rFonts w:ascii="Times New Roman" w:hAnsi="Times New Roman"/>
          <w:sz w:val="24"/>
        </w:rPr>
      </w:pPr>
      <w:r>
        <w:rPr>
          <w:rFonts w:ascii="Times New Roman" w:hAnsi="Times New Roman"/>
          <w:sz w:val="24"/>
        </w:rPr>
        <w:t>AQ</w:t>
      </w:r>
      <w:r>
        <w:rPr>
          <w:rFonts w:ascii="Times New Roman" w:hAnsi="Times New Roman"/>
          <w:sz w:val="24"/>
        </w:rPr>
        <w:tab/>
      </w:r>
      <w:r>
        <w:rPr>
          <w:rFonts w:ascii="Times New Roman" w:hAnsi="Times New Roman" w:hint="eastAsia"/>
          <w:sz w:val="24"/>
        </w:rPr>
        <w:t>外债其他外债</w:t>
      </w:r>
      <w:r w:rsidR="00891512">
        <w:rPr>
          <w:rFonts w:ascii="Times New Roman" w:hAnsi="Times New Roman" w:hint="eastAsia"/>
          <w:sz w:val="24"/>
        </w:rPr>
        <w:t>-</w:t>
      </w:r>
      <w:r>
        <w:rPr>
          <w:rFonts w:ascii="Times New Roman" w:hAnsi="Times New Roman" w:hint="eastAsia"/>
          <w:sz w:val="24"/>
        </w:rPr>
        <w:t>签约信息</w:t>
      </w:r>
    </w:p>
    <w:p w14:paraId="54DA0171" w14:textId="77777777" w:rsidR="00A052DC" w:rsidRDefault="009F0A60">
      <w:pPr>
        <w:spacing w:line="360" w:lineRule="auto"/>
        <w:ind w:left="2516" w:hanging="836"/>
        <w:rPr>
          <w:rFonts w:ascii="Times New Roman" w:hAnsi="Times New Roman"/>
          <w:sz w:val="24"/>
        </w:rPr>
      </w:pPr>
      <w:r>
        <w:rPr>
          <w:rFonts w:ascii="Times New Roman" w:hAnsi="Times New Roman"/>
          <w:sz w:val="24"/>
        </w:rPr>
        <w:t xml:space="preserve">AR  </w:t>
      </w:r>
      <w:r>
        <w:rPr>
          <w:rFonts w:ascii="Times New Roman" w:hAnsi="Times New Roman"/>
          <w:sz w:val="24"/>
        </w:rPr>
        <w:tab/>
      </w:r>
      <w:r>
        <w:rPr>
          <w:rFonts w:ascii="Times New Roman" w:hAnsi="Times New Roman" w:hint="eastAsia"/>
          <w:sz w:val="24"/>
        </w:rPr>
        <w:t>外债</w:t>
      </w:r>
      <w:r w:rsidR="00891512">
        <w:rPr>
          <w:rFonts w:ascii="Times New Roman" w:hAnsi="Times New Roman"/>
          <w:sz w:val="24"/>
        </w:rPr>
        <w:t>-</w:t>
      </w:r>
      <w:r>
        <w:rPr>
          <w:rFonts w:ascii="Times New Roman" w:hAnsi="Times New Roman" w:hint="eastAsia"/>
          <w:sz w:val="24"/>
        </w:rPr>
        <w:t>变动信息</w:t>
      </w:r>
    </w:p>
    <w:p w14:paraId="4A761E06" w14:textId="77777777" w:rsidR="00A052DC" w:rsidRDefault="009F0A60">
      <w:pPr>
        <w:spacing w:line="360" w:lineRule="auto"/>
        <w:ind w:left="2516" w:hanging="836"/>
        <w:rPr>
          <w:rFonts w:ascii="Times New Roman" w:hAnsi="Times New Roman"/>
          <w:sz w:val="24"/>
        </w:rPr>
      </w:pPr>
      <w:r>
        <w:rPr>
          <w:rFonts w:ascii="Times New Roman" w:hAnsi="Times New Roman"/>
          <w:sz w:val="24"/>
        </w:rPr>
        <w:t xml:space="preserve">AS  </w:t>
      </w:r>
      <w:r>
        <w:rPr>
          <w:rFonts w:ascii="Times New Roman" w:hAnsi="Times New Roman"/>
          <w:sz w:val="24"/>
        </w:rPr>
        <w:tab/>
      </w:r>
      <w:r>
        <w:rPr>
          <w:rFonts w:ascii="Times New Roman" w:hAnsi="Times New Roman" w:hint="eastAsia"/>
          <w:sz w:val="24"/>
        </w:rPr>
        <w:t>外债</w:t>
      </w:r>
      <w:r w:rsidR="00891512">
        <w:rPr>
          <w:rFonts w:ascii="Times New Roman" w:hAnsi="Times New Roman"/>
          <w:sz w:val="24"/>
        </w:rPr>
        <w:t>-</w:t>
      </w:r>
      <w:r>
        <w:rPr>
          <w:rFonts w:ascii="Times New Roman" w:hAnsi="Times New Roman" w:hint="eastAsia"/>
          <w:sz w:val="24"/>
        </w:rPr>
        <w:t>余额信息</w:t>
      </w:r>
    </w:p>
    <w:p w14:paraId="306A9B15" w14:textId="77777777" w:rsidR="00A052DC" w:rsidRDefault="009F0A60" w:rsidP="0020251D">
      <w:pPr>
        <w:pStyle w:val="3"/>
        <w:ind w:left="0"/>
        <w:rPr>
          <w:rFonts w:ascii="Times New Roman" w:hAnsi="Times New Roman"/>
        </w:rPr>
      </w:pPr>
      <w:bookmarkStart w:id="793" w:name="_Toc91455246"/>
      <w:bookmarkStart w:id="794" w:name="_Toc101684419"/>
      <w:r>
        <w:rPr>
          <w:rFonts w:ascii="Times New Roman" w:hAnsi="Times New Roman" w:hint="eastAsia"/>
        </w:rPr>
        <w:t>银行卡境外交易数据</w:t>
      </w:r>
      <w:bookmarkEnd w:id="793"/>
      <w:bookmarkEnd w:id="794"/>
    </w:p>
    <w:p w14:paraId="04CC3260" w14:textId="77777777" w:rsidR="00A052DC" w:rsidRDefault="009F0A60">
      <w:pPr>
        <w:spacing w:line="360" w:lineRule="auto"/>
        <w:ind w:left="2516" w:hanging="1382"/>
        <w:rPr>
          <w:rFonts w:ascii="Times New Roman" w:hAnsi="Times New Roman"/>
          <w:sz w:val="24"/>
        </w:rPr>
      </w:pPr>
      <w:r>
        <w:rPr>
          <w:rFonts w:ascii="Times New Roman" w:hAnsi="Times New Roman" w:hint="eastAsia"/>
          <w:b/>
          <w:sz w:val="24"/>
        </w:rPr>
        <w:t>数据类型的编制规则：</w:t>
      </w:r>
      <w:r>
        <w:rPr>
          <w:rFonts w:ascii="Times New Roman" w:hAnsi="Times New Roman" w:hint="eastAsia"/>
          <w:sz w:val="24"/>
        </w:rPr>
        <w:t>应用类型代码</w:t>
      </w:r>
      <w:r>
        <w:rPr>
          <w:rFonts w:ascii="Times New Roman" w:hAnsi="Times New Roman"/>
          <w:sz w:val="24"/>
        </w:rPr>
        <w:t>+ 2</w:t>
      </w:r>
      <w:r>
        <w:rPr>
          <w:rFonts w:ascii="Times New Roman" w:hAnsi="Times New Roman" w:hint="eastAsia"/>
          <w:sz w:val="24"/>
        </w:rPr>
        <w:t>位接口文件类型代码。</w:t>
      </w:r>
    </w:p>
    <w:p w14:paraId="28B533C4" w14:textId="77777777" w:rsidR="00A052DC" w:rsidRDefault="009F0A60">
      <w:pPr>
        <w:spacing w:line="360" w:lineRule="auto"/>
        <w:ind w:left="2516" w:hanging="1382"/>
        <w:rPr>
          <w:rFonts w:ascii="Times New Roman" w:hAnsi="Times New Roman"/>
          <w:sz w:val="24"/>
        </w:rPr>
      </w:pPr>
      <w:r>
        <w:rPr>
          <w:rFonts w:ascii="Times New Roman" w:hAnsi="Times New Roman" w:hint="eastAsia"/>
          <w:b/>
          <w:sz w:val="24"/>
        </w:rPr>
        <w:t>应用类型代码：</w:t>
      </w:r>
      <w:r>
        <w:rPr>
          <w:rFonts w:ascii="Times New Roman" w:hAnsi="Times New Roman" w:hint="eastAsia"/>
          <w:sz w:val="24"/>
        </w:rPr>
        <w:t>本接口文件对各个应用类型的标识如下：</w:t>
      </w:r>
    </w:p>
    <w:p w14:paraId="4A8FA418" w14:textId="77777777" w:rsidR="00A052DC" w:rsidRDefault="00A052DC">
      <w:pPr>
        <w:spacing w:line="360" w:lineRule="auto"/>
        <w:ind w:firstLineChars="200" w:firstLine="480"/>
        <w:rPr>
          <w:rFonts w:ascii="Times New Roman" w:hAnsi="Times New Roman"/>
          <w:kern w:val="0"/>
          <w:sz w:val="24"/>
          <w:szCs w:val="20"/>
        </w:rPr>
      </w:pPr>
    </w:p>
    <w:tbl>
      <w:tblPr>
        <w:tblStyle w:val="af7"/>
        <w:tblW w:w="0" w:type="auto"/>
        <w:jc w:val="center"/>
        <w:tblLook w:val="04A0" w:firstRow="1" w:lastRow="0" w:firstColumn="1" w:lastColumn="0" w:noHBand="0" w:noVBand="1"/>
      </w:tblPr>
      <w:tblGrid>
        <w:gridCol w:w="2306"/>
        <w:gridCol w:w="2841"/>
        <w:gridCol w:w="1798"/>
      </w:tblGrid>
      <w:tr w:rsidR="00A052DC" w14:paraId="3C7AB80B" w14:textId="77777777">
        <w:trPr>
          <w:jc w:val="center"/>
        </w:trPr>
        <w:tc>
          <w:tcPr>
            <w:tcW w:w="2306" w:type="dxa"/>
            <w:vAlign w:val="center"/>
          </w:tcPr>
          <w:p w14:paraId="039707E9" w14:textId="77777777" w:rsidR="00A052DC" w:rsidRDefault="009F0A60" w:rsidP="00BF4735">
            <w:pPr>
              <w:jc w:val="center"/>
              <w:rPr>
                <w:rFonts w:ascii="Times New Roman" w:eastAsia="黑体" w:hAnsi="Times New Roman"/>
                <w:kern w:val="0"/>
                <w:sz w:val="20"/>
                <w:szCs w:val="20"/>
              </w:rPr>
            </w:pPr>
            <w:r>
              <w:rPr>
                <w:rFonts w:ascii="Times New Roman" w:eastAsia="黑体" w:hAnsi="Times New Roman" w:hint="eastAsia"/>
                <w:kern w:val="0"/>
                <w:sz w:val="20"/>
                <w:szCs w:val="20"/>
              </w:rPr>
              <w:t>应用类型代码</w:t>
            </w:r>
          </w:p>
        </w:tc>
        <w:tc>
          <w:tcPr>
            <w:tcW w:w="2841" w:type="dxa"/>
            <w:vAlign w:val="center"/>
          </w:tcPr>
          <w:p w14:paraId="54172B4B" w14:textId="77777777" w:rsidR="00A052DC" w:rsidRDefault="009F0A60">
            <w:pPr>
              <w:jc w:val="center"/>
              <w:rPr>
                <w:rFonts w:ascii="Times New Roman" w:eastAsia="黑体" w:hAnsi="Times New Roman"/>
                <w:kern w:val="0"/>
                <w:sz w:val="20"/>
                <w:szCs w:val="20"/>
              </w:rPr>
            </w:pPr>
            <w:r>
              <w:rPr>
                <w:rFonts w:ascii="Times New Roman" w:eastAsia="黑体" w:hAnsi="Times New Roman" w:hint="eastAsia"/>
                <w:kern w:val="0"/>
                <w:sz w:val="20"/>
                <w:szCs w:val="20"/>
              </w:rPr>
              <w:t>应用类型</w:t>
            </w:r>
          </w:p>
        </w:tc>
        <w:tc>
          <w:tcPr>
            <w:tcW w:w="1798" w:type="dxa"/>
            <w:vAlign w:val="center"/>
          </w:tcPr>
          <w:p w14:paraId="17E4B830" w14:textId="77777777" w:rsidR="00A052DC" w:rsidRDefault="009F0A60">
            <w:pPr>
              <w:jc w:val="center"/>
              <w:rPr>
                <w:rFonts w:ascii="Times New Roman" w:eastAsia="黑体" w:hAnsi="Times New Roman"/>
                <w:kern w:val="0"/>
                <w:sz w:val="20"/>
                <w:szCs w:val="20"/>
              </w:rPr>
            </w:pPr>
            <w:r>
              <w:rPr>
                <w:rFonts w:ascii="Times New Roman" w:eastAsia="黑体" w:hAnsi="Times New Roman" w:hint="eastAsia"/>
                <w:kern w:val="0"/>
                <w:sz w:val="20"/>
                <w:szCs w:val="20"/>
              </w:rPr>
              <w:t>备注</w:t>
            </w:r>
          </w:p>
        </w:tc>
      </w:tr>
      <w:tr w:rsidR="00A052DC" w14:paraId="35F400D4" w14:textId="77777777">
        <w:trPr>
          <w:jc w:val="center"/>
        </w:trPr>
        <w:tc>
          <w:tcPr>
            <w:tcW w:w="2306" w:type="dxa"/>
          </w:tcPr>
          <w:p w14:paraId="4AF35716" w14:textId="77777777" w:rsidR="00881462" w:rsidRDefault="009F0A60">
            <w:pPr>
              <w:jc w:val="center"/>
              <w:rPr>
                <w:rFonts w:ascii="Times New Roman" w:eastAsia="黑体" w:hAnsi="Times New Roman"/>
                <w:kern w:val="0"/>
                <w:sz w:val="20"/>
                <w:szCs w:val="20"/>
              </w:rPr>
            </w:pPr>
            <w:r>
              <w:rPr>
                <w:rFonts w:ascii="Times New Roman" w:eastAsia="黑体" w:hAnsi="Times New Roman"/>
                <w:kern w:val="0"/>
                <w:sz w:val="20"/>
                <w:szCs w:val="20"/>
              </w:rPr>
              <w:t>CRD</w:t>
            </w:r>
          </w:p>
        </w:tc>
        <w:tc>
          <w:tcPr>
            <w:tcW w:w="2841" w:type="dxa"/>
          </w:tcPr>
          <w:p w14:paraId="7460BFB4" w14:textId="77777777" w:rsidR="00A052DC" w:rsidRDefault="009F0A60">
            <w:pPr>
              <w:rPr>
                <w:rFonts w:ascii="Times New Roman" w:eastAsia="黑体" w:hAnsi="Times New Roman"/>
                <w:kern w:val="0"/>
                <w:sz w:val="20"/>
                <w:szCs w:val="20"/>
              </w:rPr>
            </w:pPr>
            <w:r>
              <w:rPr>
                <w:rFonts w:ascii="Times New Roman" w:eastAsia="黑体" w:hAnsi="Times New Roman" w:hint="eastAsia"/>
                <w:kern w:val="0"/>
                <w:sz w:val="20"/>
                <w:szCs w:val="20"/>
              </w:rPr>
              <w:t>银行卡境外提现明细数据</w:t>
            </w:r>
          </w:p>
        </w:tc>
        <w:tc>
          <w:tcPr>
            <w:tcW w:w="1798" w:type="dxa"/>
            <w:vAlign w:val="center"/>
          </w:tcPr>
          <w:p w14:paraId="3EA75EFE" w14:textId="77777777" w:rsidR="00A052DC" w:rsidRDefault="00A052DC">
            <w:pPr>
              <w:jc w:val="center"/>
              <w:rPr>
                <w:rFonts w:ascii="Times New Roman" w:eastAsia="黑体" w:hAnsi="Times New Roman"/>
                <w:kern w:val="0"/>
                <w:sz w:val="20"/>
                <w:szCs w:val="20"/>
              </w:rPr>
            </w:pPr>
          </w:p>
        </w:tc>
      </w:tr>
      <w:tr w:rsidR="00A052DC" w14:paraId="610861F8" w14:textId="77777777">
        <w:trPr>
          <w:jc w:val="center"/>
        </w:trPr>
        <w:tc>
          <w:tcPr>
            <w:tcW w:w="2306" w:type="dxa"/>
          </w:tcPr>
          <w:p w14:paraId="6CD09496" w14:textId="77777777" w:rsidR="00881462" w:rsidRDefault="009F0A60">
            <w:pPr>
              <w:jc w:val="center"/>
              <w:rPr>
                <w:rFonts w:ascii="Times New Roman" w:eastAsia="黑体" w:hAnsi="Times New Roman"/>
                <w:kern w:val="0"/>
                <w:sz w:val="20"/>
                <w:szCs w:val="20"/>
              </w:rPr>
            </w:pPr>
            <w:r>
              <w:rPr>
                <w:rFonts w:ascii="Times New Roman" w:eastAsia="黑体" w:hAnsi="Times New Roman"/>
                <w:kern w:val="0"/>
                <w:sz w:val="20"/>
                <w:szCs w:val="20"/>
              </w:rPr>
              <w:t>CRX</w:t>
            </w:r>
          </w:p>
        </w:tc>
        <w:tc>
          <w:tcPr>
            <w:tcW w:w="2841" w:type="dxa"/>
          </w:tcPr>
          <w:p w14:paraId="18E13AF3" w14:textId="77777777" w:rsidR="00A052DC" w:rsidRDefault="009F0A60">
            <w:pPr>
              <w:rPr>
                <w:rFonts w:ascii="Times New Roman" w:eastAsia="黑体" w:hAnsi="Times New Roman"/>
                <w:kern w:val="0"/>
                <w:sz w:val="20"/>
                <w:szCs w:val="20"/>
              </w:rPr>
            </w:pPr>
            <w:r>
              <w:rPr>
                <w:rFonts w:ascii="Times New Roman" w:eastAsia="黑体" w:hAnsi="Times New Roman" w:hint="eastAsia"/>
                <w:kern w:val="0"/>
                <w:sz w:val="20"/>
                <w:szCs w:val="20"/>
              </w:rPr>
              <w:t>银行卡境外消费明细数据</w:t>
            </w:r>
          </w:p>
        </w:tc>
        <w:tc>
          <w:tcPr>
            <w:tcW w:w="1798" w:type="dxa"/>
            <w:vAlign w:val="center"/>
          </w:tcPr>
          <w:p w14:paraId="139F4AE1" w14:textId="77777777" w:rsidR="00A052DC" w:rsidRDefault="00A052DC">
            <w:pPr>
              <w:jc w:val="center"/>
              <w:rPr>
                <w:rFonts w:ascii="Times New Roman" w:eastAsia="黑体" w:hAnsi="Times New Roman"/>
                <w:kern w:val="0"/>
                <w:sz w:val="20"/>
                <w:szCs w:val="20"/>
              </w:rPr>
            </w:pPr>
          </w:p>
        </w:tc>
      </w:tr>
    </w:tbl>
    <w:p w14:paraId="19A344D5" w14:textId="77777777" w:rsidR="00A052DC" w:rsidRDefault="00A052DC">
      <w:pPr>
        <w:spacing w:line="360" w:lineRule="auto"/>
        <w:ind w:firstLineChars="200" w:firstLine="480"/>
        <w:rPr>
          <w:rFonts w:ascii="Times New Roman" w:hAnsi="Times New Roman"/>
          <w:kern w:val="0"/>
          <w:sz w:val="24"/>
          <w:szCs w:val="20"/>
        </w:rPr>
      </w:pPr>
    </w:p>
    <w:p w14:paraId="27945BC6" w14:textId="77777777" w:rsidR="00A052DC" w:rsidRDefault="009F0A60">
      <w:pPr>
        <w:spacing w:line="360" w:lineRule="auto"/>
        <w:ind w:left="2516" w:hanging="1382"/>
        <w:rPr>
          <w:rFonts w:ascii="Times New Roman" w:hAnsi="Times New Roman"/>
          <w:sz w:val="24"/>
        </w:rPr>
      </w:pPr>
      <w:r>
        <w:rPr>
          <w:rFonts w:ascii="Times New Roman" w:hAnsi="Times New Roman" w:hint="eastAsia"/>
          <w:sz w:val="24"/>
        </w:rPr>
        <w:t>银行卡境外提现明细数据：</w:t>
      </w:r>
      <w:r>
        <w:rPr>
          <w:rFonts w:ascii="Times New Roman" w:hAnsi="Times New Roman"/>
          <w:sz w:val="24"/>
        </w:rPr>
        <w:t>CRD+ 2</w:t>
      </w:r>
      <w:r>
        <w:rPr>
          <w:rFonts w:ascii="Times New Roman" w:hAnsi="Times New Roman" w:hint="eastAsia"/>
          <w:sz w:val="24"/>
        </w:rPr>
        <w:t>位接口文件类型代码</w:t>
      </w:r>
    </w:p>
    <w:p w14:paraId="01917DD8" w14:textId="77777777" w:rsidR="00A052DC" w:rsidRDefault="009F0A60">
      <w:pPr>
        <w:spacing w:line="360" w:lineRule="auto"/>
        <w:ind w:left="2516" w:hanging="1382"/>
        <w:rPr>
          <w:rFonts w:ascii="Times New Roman" w:hAnsi="Times New Roman"/>
          <w:sz w:val="24"/>
        </w:rPr>
      </w:pPr>
      <w:r>
        <w:rPr>
          <w:rFonts w:ascii="Times New Roman" w:hAnsi="Times New Roman" w:hint="eastAsia"/>
          <w:sz w:val="24"/>
        </w:rPr>
        <w:t>接口文件类型代码如下：</w:t>
      </w:r>
    </w:p>
    <w:p w14:paraId="459582D0" w14:textId="77777777" w:rsidR="00A052DC" w:rsidRDefault="009F0A60">
      <w:pPr>
        <w:spacing w:line="360" w:lineRule="auto"/>
        <w:ind w:left="2516" w:hanging="836"/>
        <w:rPr>
          <w:rFonts w:ascii="Times New Roman" w:hAnsi="Times New Roman"/>
          <w:b/>
          <w:sz w:val="24"/>
        </w:rPr>
      </w:pPr>
      <w:r>
        <w:rPr>
          <w:rFonts w:ascii="Times New Roman" w:hAnsi="Times New Roman"/>
          <w:b/>
          <w:sz w:val="24"/>
        </w:rPr>
        <w:t>TT</w:t>
      </w:r>
      <w:r>
        <w:rPr>
          <w:rFonts w:ascii="Times New Roman" w:hAnsi="Times New Roman"/>
          <w:b/>
          <w:sz w:val="24"/>
        </w:rPr>
        <w:tab/>
      </w:r>
      <w:r>
        <w:rPr>
          <w:rFonts w:ascii="Times New Roman" w:hAnsi="Times New Roman" w:hint="eastAsia"/>
          <w:b/>
          <w:sz w:val="24"/>
        </w:rPr>
        <w:t>接口控制文件</w:t>
      </w:r>
    </w:p>
    <w:p w14:paraId="13C83A03" w14:textId="77777777" w:rsidR="00A052DC" w:rsidRDefault="009F0A60">
      <w:pPr>
        <w:spacing w:line="360" w:lineRule="auto"/>
        <w:ind w:left="2516" w:hanging="836"/>
        <w:rPr>
          <w:rFonts w:ascii="Times New Roman" w:hAnsi="Times New Roman"/>
          <w:sz w:val="24"/>
        </w:rPr>
      </w:pPr>
      <w:r>
        <w:rPr>
          <w:rFonts w:ascii="Times New Roman" w:hAnsi="Times New Roman"/>
          <w:sz w:val="24"/>
        </w:rPr>
        <w:t>TA</w:t>
      </w:r>
      <w:r>
        <w:rPr>
          <w:rFonts w:ascii="Times New Roman" w:hAnsi="Times New Roman"/>
          <w:sz w:val="24"/>
        </w:rPr>
        <w:tab/>
      </w:r>
      <w:r>
        <w:rPr>
          <w:rFonts w:ascii="Times New Roman" w:hAnsi="Times New Roman" w:hint="eastAsia"/>
          <w:sz w:val="24"/>
        </w:rPr>
        <w:t>银行卡境外提现明细数据（不区分卡类型）</w:t>
      </w:r>
    </w:p>
    <w:p w14:paraId="036638DF" w14:textId="77777777" w:rsidR="00A052DC" w:rsidRDefault="009F0A60">
      <w:pPr>
        <w:spacing w:line="360" w:lineRule="auto"/>
        <w:ind w:left="2516" w:hanging="836"/>
        <w:rPr>
          <w:rFonts w:ascii="Times New Roman" w:hAnsi="Times New Roman"/>
          <w:sz w:val="24"/>
        </w:rPr>
      </w:pPr>
      <w:r>
        <w:rPr>
          <w:rFonts w:ascii="Times New Roman" w:hAnsi="Times New Roman"/>
          <w:sz w:val="24"/>
        </w:rPr>
        <w:t>TB</w:t>
      </w:r>
      <w:r>
        <w:rPr>
          <w:rFonts w:ascii="Times New Roman" w:hAnsi="Times New Roman"/>
          <w:sz w:val="24"/>
        </w:rPr>
        <w:tab/>
      </w:r>
      <w:r>
        <w:rPr>
          <w:rFonts w:ascii="Times New Roman" w:hAnsi="Times New Roman" w:hint="eastAsia"/>
          <w:sz w:val="24"/>
        </w:rPr>
        <w:t>银行卡境外提现明细数据（借记卡）</w:t>
      </w:r>
    </w:p>
    <w:p w14:paraId="03A063D6" w14:textId="77777777" w:rsidR="00A052DC" w:rsidRDefault="009F0A60">
      <w:pPr>
        <w:spacing w:line="360" w:lineRule="auto"/>
        <w:ind w:left="2516" w:hanging="836"/>
        <w:rPr>
          <w:rFonts w:ascii="Times New Roman" w:hAnsi="Times New Roman"/>
          <w:sz w:val="24"/>
        </w:rPr>
      </w:pPr>
      <w:r>
        <w:rPr>
          <w:rFonts w:ascii="Times New Roman" w:hAnsi="Times New Roman"/>
          <w:sz w:val="24"/>
        </w:rPr>
        <w:t>TC</w:t>
      </w:r>
      <w:r>
        <w:rPr>
          <w:rFonts w:ascii="Times New Roman" w:hAnsi="Times New Roman"/>
          <w:sz w:val="24"/>
        </w:rPr>
        <w:tab/>
      </w:r>
      <w:r>
        <w:rPr>
          <w:rFonts w:ascii="Times New Roman" w:hAnsi="Times New Roman" w:hint="eastAsia"/>
          <w:sz w:val="24"/>
        </w:rPr>
        <w:t>银行卡境外提现明细数据（信用卡）</w:t>
      </w:r>
    </w:p>
    <w:p w14:paraId="3B22AB49" w14:textId="77777777" w:rsidR="00A052DC" w:rsidRDefault="009F0A60">
      <w:pPr>
        <w:spacing w:line="360" w:lineRule="auto"/>
        <w:ind w:left="2516" w:hanging="836"/>
        <w:rPr>
          <w:rFonts w:ascii="Times New Roman" w:hAnsi="Times New Roman"/>
          <w:sz w:val="24"/>
        </w:rPr>
      </w:pPr>
      <w:r>
        <w:rPr>
          <w:rFonts w:ascii="Times New Roman" w:hAnsi="Times New Roman" w:hint="eastAsia"/>
          <w:sz w:val="24"/>
        </w:rPr>
        <w:t>银行卡境外消费明细数据：</w:t>
      </w:r>
      <w:r>
        <w:rPr>
          <w:rFonts w:ascii="Times New Roman" w:hAnsi="Times New Roman"/>
          <w:sz w:val="24"/>
        </w:rPr>
        <w:t>CRX+ 2</w:t>
      </w:r>
      <w:r>
        <w:rPr>
          <w:rFonts w:ascii="Times New Roman" w:hAnsi="Times New Roman" w:hint="eastAsia"/>
          <w:sz w:val="24"/>
        </w:rPr>
        <w:t>位接口文件类型代码</w:t>
      </w:r>
    </w:p>
    <w:p w14:paraId="3C11DF3E" w14:textId="77777777" w:rsidR="00A052DC" w:rsidRDefault="009F0A60">
      <w:pPr>
        <w:spacing w:line="360" w:lineRule="auto"/>
        <w:ind w:left="2516" w:hanging="836"/>
        <w:rPr>
          <w:rFonts w:ascii="Times New Roman" w:hAnsi="Times New Roman"/>
          <w:sz w:val="24"/>
        </w:rPr>
      </w:pPr>
      <w:r>
        <w:rPr>
          <w:rFonts w:ascii="Times New Roman" w:hAnsi="Times New Roman" w:hint="eastAsia"/>
          <w:sz w:val="24"/>
        </w:rPr>
        <w:t>接口文件类型代码如下：</w:t>
      </w:r>
    </w:p>
    <w:p w14:paraId="14AE318E" w14:textId="77777777" w:rsidR="00A052DC" w:rsidRDefault="009F0A60">
      <w:pPr>
        <w:spacing w:line="360" w:lineRule="auto"/>
        <w:ind w:left="2516" w:hanging="836"/>
        <w:rPr>
          <w:rFonts w:ascii="Times New Roman" w:hAnsi="Times New Roman"/>
          <w:b/>
          <w:sz w:val="24"/>
        </w:rPr>
      </w:pPr>
      <w:r>
        <w:rPr>
          <w:rFonts w:ascii="Times New Roman" w:hAnsi="Times New Roman"/>
          <w:b/>
          <w:sz w:val="24"/>
        </w:rPr>
        <w:t>TT</w:t>
      </w:r>
      <w:r>
        <w:rPr>
          <w:rFonts w:ascii="Times New Roman" w:hAnsi="Times New Roman"/>
          <w:b/>
          <w:sz w:val="24"/>
        </w:rPr>
        <w:tab/>
      </w:r>
      <w:r>
        <w:rPr>
          <w:rFonts w:ascii="Times New Roman" w:hAnsi="Times New Roman" w:hint="eastAsia"/>
          <w:b/>
          <w:sz w:val="24"/>
        </w:rPr>
        <w:t>接口控制文件</w:t>
      </w:r>
    </w:p>
    <w:p w14:paraId="79AFDADE" w14:textId="77777777" w:rsidR="00A052DC" w:rsidRDefault="009F0A60">
      <w:pPr>
        <w:spacing w:line="360" w:lineRule="auto"/>
        <w:ind w:left="2516" w:hanging="836"/>
        <w:rPr>
          <w:rFonts w:ascii="Times New Roman" w:hAnsi="Times New Roman"/>
          <w:sz w:val="24"/>
        </w:rPr>
      </w:pPr>
      <w:r>
        <w:rPr>
          <w:rFonts w:ascii="Times New Roman" w:hAnsi="Times New Roman"/>
          <w:sz w:val="24"/>
        </w:rPr>
        <w:t>XA</w:t>
      </w:r>
      <w:r>
        <w:rPr>
          <w:rFonts w:ascii="Times New Roman" w:hAnsi="Times New Roman"/>
          <w:sz w:val="24"/>
        </w:rPr>
        <w:tab/>
      </w:r>
      <w:r>
        <w:rPr>
          <w:rFonts w:ascii="Times New Roman" w:hAnsi="Times New Roman" w:hint="eastAsia"/>
          <w:sz w:val="24"/>
        </w:rPr>
        <w:t>银行卡境外消费明细数据（不区分卡类型）</w:t>
      </w:r>
    </w:p>
    <w:p w14:paraId="6A6C5F05" w14:textId="77777777" w:rsidR="00A052DC" w:rsidRDefault="009F0A60">
      <w:pPr>
        <w:spacing w:line="360" w:lineRule="auto"/>
        <w:ind w:left="2516" w:hanging="836"/>
        <w:rPr>
          <w:rFonts w:ascii="Times New Roman" w:hAnsi="Times New Roman"/>
          <w:sz w:val="24"/>
        </w:rPr>
      </w:pPr>
      <w:r>
        <w:rPr>
          <w:rFonts w:ascii="Times New Roman" w:hAnsi="Times New Roman"/>
          <w:sz w:val="24"/>
        </w:rPr>
        <w:t>XB</w:t>
      </w:r>
      <w:r>
        <w:rPr>
          <w:rFonts w:ascii="Times New Roman" w:hAnsi="Times New Roman"/>
          <w:sz w:val="24"/>
        </w:rPr>
        <w:tab/>
      </w:r>
      <w:r>
        <w:rPr>
          <w:rFonts w:ascii="Times New Roman" w:hAnsi="Times New Roman" w:hint="eastAsia"/>
          <w:sz w:val="24"/>
        </w:rPr>
        <w:t>银行卡境外消费明细数据（借记卡）</w:t>
      </w:r>
    </w:p>
    <w:p w14:paraId="5A864411" w14:textId="77777777" w:rsidR="00A052DC" w:rsidRDefault="009F0A60">
      <w:pPr>
        <w:spacing w:line="360" w:lineRule="auto"/>
        <w:ind w:left="2516" w:hanging="836"/>
        <w:rPr>
          <w:rFonts w:ascii="Times New Roman" w:hAnsi="Times New Roman"/>
          <w:sz w:val="24"/>
        </w:rPr>
      </w:pPr>
      <w:r>
        <w:rPr>
          <w:rFonts w:ascii="Times New Roman" w:hAnsi="Times New Roman"/>
          <w:sz w:val="24"/>
        </w:rPr>
        <w:t>XC</w:t>
      </w:r>
      <w:r>
        <w:rPr>
          <w:rFonts w:ascii="Times New Roman" w:hAnsi="Times New Roman"/>
          <w:sz w:val="24"/>
        </w:rPr>
        <w:tab/>
      </w:r>
      <w:r>
        <w:rPr>
          <w:rFonts w:ascii="Times New Roman" w:hAnsi="Times New Roman" w:hint="eastAsia"/>
          <w:sz w:val="24"/>
        </w:rPr>
        <w:t>银行卡境外消费明细数据（信用卡）</w:t>
      </w:r>
    </w:p>
    <w:p w14:paraId="6BEE26AD" w14:textId="77777777" w:rsidR="00A052DC" w:rsidRDefault="009F0A60" w:rsidP="0020251D">
      <w:pPr>
        <w:pStyle w:val="3"/>
        <w:ind w:left="0"/>
        <w:rPr>
          <w:rFonts w:ascii="Times New Roman" w:hAnsi="Times New Roman"/>
        </w:rPr>
      </w:pPr>
      <w:bookmarkStart w:id="795" w:name="_Toc90625040"/>
      <w:bookmarkStart w:id="796" w:name="_Toc91455247"/>
      <w:bookmarkStart w:id="797" w:name="_Toc101684420"/>
      <w:r>
        <w:rPr>
          <w:rFonts w:ascii="Times New Roman" w:hAnsi="Times New Roman" w:hint="eastAsia"/>
        </w:rPr>
        <w:t>涉嫌外汇违规账户信息、</w:t>
      </w:r>
      <w:bookmarkEnd w:id="795"/>
      <w:bookmarkEnd w:id="796"/>
      <w:r>
        <w:rPr>
          <w:rFonts w:ascii="Times New Roman" w:hAnsi="Times New Roman" w:hint="eastAsia"/>
        </w:rPr>
        <w:t>机构大额结售汇资金来源和使用数据</w:t>
      </w:r>
      <w:bookmarkEnd w:id="797"/>
    </w:p>
    <w:p w14:paraId="2A4EA745" w14:textId="77777777" w:rsidR="00A052DC" w:rsidRDefault="009F0A60">
      <w:pPr>
        <w:spacing w:line="360" w:lineRule="auto"/>
        <w:ind w:left="2517" w:hanging="1383"/>
        <w:rPr>
          <w:rFonts w:ascii="Times New Roman" w:hAnsi="Times New Roman"/>
          <w:sz w:val="24"/>
        </w:rPr>
      </w:pPr>
      <w:r>
        <w:rPr>
          <w:rFonts w:ascii="Times New Roman" w:hAnsi="Times New Roman"/>
          <w:sz w:val="24"/>
        </w:rPr>
        <w:t>SAC+2</w:t>
      </w:r>
      <w:r>
        <w:rPr>
          <w:rFonts w:ascii="Times New Roman" w:hAnsi="Times New Roman" w:hint="eastAsia"/>
          <w:sz w:val="24"/>
        </w:rPr>
        <w:t>位接口类型文件代码</w:t>
      </w:r>
    </w:p>
    <w:p w14:paraId="2673D59D" w14:textId="77777777" w:rsidR="00A052DC" w:rsidRDefault="009F0A60">
      <w:pPr>
        <w:spacing w:line="360" w:lineRule="auto"/>
        <w:ind w:left="2517" w:hanging="1383"/>
        <w:rPr>
          <w:rFonts w:ascii="Times New Roman" w:hAnsi="Times New Roman"/>
          <w:sz w:val="24"/>
        </w:rPr>
      </w:pPr>
      <w:r>
        <w:rPr>
          <w:rFonts w:ascii="Times New Roman" w:hAnsi="Times New Roman" w:hint="eastAsia"/>
          <w:sz w:val="24"/>
        </w:rPr>
        <w:t>接口类型文件代码：</w:t>
      </w:r>
    </w:p>
    <w:p w14:paraId="44D6AFD1" w14:textId="77777777" w:rsidR="00A052DC" w:rsidRDefault="009F0A60">
      <w:pPr>
        <w:spacing w:line="360" w:lineRule="auto"/>
        <w:ind w:left="2516" w:hanging="836"/>
        <w:rPr>
          <w:rFonts w:ascii="Times New Roman" w:hAnsi="Times New Roman"/>
          <w:b/>
          <w:sz w:val="24"/>
        </w:rPr>
      </w:pPr>
      <w:r>
        <w:rPr>
          <w:rFonts w:ascii="Times New Roman" w:hAnsi="Times New Roman"/>
          <w:b/>
          <w:sz w:val="24"/>
        </w:rPr>
        <w:t>TT</w:t>
      </w:r>
      <w:r>
        <w:rPr>
          <w:rFonts w:ascii="Times New Roman" w:hAnsi="Times New Roman"/>
          <w:b/>
          <w:sz w:val="24"/>
        </w:rPr>
        <w:tab/>
      </w:r>
      <w:r>
        <w:rPr>
          <w:rFonts w:ascii="Times New Roman" w:hAnsi="Times New Roman" w:hint="eastAsia"/>
          <w:b/>
          <w:sz w:val="24"/>
        </w:rPr>
        <w:t>接口控制文件</w:t>
      </w:r>
    </w:p>
    <w:p w14:paraId="7B23BF36" w14:textId="77777777" w:rsidR="00A052DC" w:rsidRDefault="009F0A60">
      <w:pPr>
        <w:spacing w:line="360" w:lineRule="auto"/>
        <w:ind w:left="2516" w:hanging="836"/>
        <w:rPr>
          <w:rFonts w:ascii="Times New Roman" w:hAnsi="Times New Roman"/>
          <w:sz w:val="24"/>
        </w:rPr>
      </w:pPr>
      <w:r>
        <w:rPr>
          <w:rFonts w:ascii="Times New Roman" w:hAnsi="Times New Roman"/>
          <w:sz w:val="24"/>
        </w:rPr>
        <w:t>IR</w:t>
      </w:r>
      <w:r>
        <w:rPr>
          <w:rFonts w:ascii="Times New Roman" w:hAnsi="Times New Roman"/>
          <w:b/>
          <w:sz w:val="24"/>
        </w:rPr>
        <w:tab/>
      </w:r>
      <w:r>
        <w:rPr>
          <w:rFonts w:ascii="Times New Roman" w:hAnsi="Times New Roman" w:hint="eastAsia"/>
          <w:sz w:val="24"/>
        </w:rPr>
        <w:t>涉嫌外汇违规账户查询回复信息</w:t>
      </w:r>
    </w:p>
    <w:p w14:paraId="256B761A" w14:textId="77777777" w:rsidR="00A052DC" w:rsidRDefault="009F0A60">
      <w:pPr>
        <w:spacing w:line="360" w:lineRule="auto"/>
        <w:ind w:left="2516" w:hanging="836"/>
        <w:rPr>
          <w:rFonts w:ascii="Times New Roman" w:hAnsi="Times New Roman"/>
          <w:sz w:val="24"/>
        </w:rPr>
      </w:pPr>
      <w:r>
        <w:rPr>
          <w:rFonts w:ascii="Times New Roman" w:hAnsi="Times New Roman"/>
          <w:sz w:val="24"/>
        </w:rPr>
        <w:t>IA</w:t>
      </w:r>
      <w:r>
        <w:rPr>
          <w:rFonts w:ascii="Times New Roman" w:hAnsi="Times New Roman"/>
          <w:b/>
          <w:sz w:val="24"/>
        </w:rPr>
        <w:tab/>
      </w:r>
      <w:r>
        <w:rPr>
          <w:rFonts w:ascii="Times New Roman" w:hAnsi="Times New Roman" w:hint="eastAsia"/>
          <w:sz w:val="24"/>
        </w:rPr>
        <w:t>涉嫌外汇违规账户基础信息</w:t>
      </w:r>
    </w:p>
    <w:p w14:paraId="269E841C" w14:textId="77777777" w:rsidR="00A052DC" w:rsidRDefault="009F0A60">
      <w:pPr>
        <w:spacing w:line="360" w:lineRule="auto"/>
        <w:ind w:left="2516" w:hanging="836"/>
        <w:rPr>
          <w:rFonts w:ascii="Times New Roman" w:hAnsi="Times New Roman"/>
          <w:sz w:val="24"/>
        </w:rPr>
      </w:pPr>
      <w:r>
        <w:rPr>
          <w:rFonts w:ascii="Times New Roman" w:hAnsi="Times New Roman"/>
          <w:sz w:val="24"/>
        </w:rPr>
        <w:t>II</w:t>
      </w:r>
      <w:r>
        <w:rPr>
          <w:rFonts w:ascii="Times New Roman" w:hAnsi="Times New Roman"/>
          <w:b/>
          <w:sz w:val="24"/>
        </w:rPr>
        <w:tab/>
      </w:r>
      <w:r>
        <w:rPr>
          <w:rFonts w:ascii="Times New Roman" w:hAnsi="Times New Roman" w:hint="eastAsia"/>
          <w:sz w:val="24"/>
        </w:rPr>
        <w:t>涉嫌外汇违规账户交易明细信息</w:t>
      </w:r>
    </w:p>
    <w:p w14:paraId="2A3EF6A6" w14:textId="77777777" w:rsidR="00A052DC" w:rsidRDefault="009F0A60">
      <w:pPr>
        <w:spacing w:line="360" w:lineRule="auto"/>
        <w:ind w:left="2516" w:hanging="836"/>
        <w:rPr>
          <w:rFonts w:ascii="Times New Roman" w:hAnsi="Times New Roman"/>
          <w:sz w:val="24"/>
        </w:rPr>
      </w:pPr>
      <w:r>
        <w:rPr>
          <w:rFonts w:ascii="Times New Roman" w:hAnsi="Times New Roman"/>
          <w:sz w:val="24"/>
        </w:rPr>
        <w:t>JP</w:t>
      </w:r>
      <w:r>
        <w:rPr>
          <w:rFonts w:ascii="Times New Roman" w:hAnsi="Times New Roman"/>
          <w:b/>
          <w:sz w:val="24"/>
        </w:rPr>
        <w:tab/>
      </w:r>
      <w:r>
        <w:rPr>
          <w:rFonts w:ascii="Times New Roman" w:hAnsi="Times New Roman" w:hint="eastAsia"/>
          <w:sz w:val="24"/>
        </w:rPr>
        <w:t>机构大额结汇资金使用数据</w:t>
      </w:r>
    </w:p>
    <w:p w14:paraId="4C88F4ED" w14:textId="77777777" w:rsidR="00A052DC" w:rsidRDefault="009F0A60">
      <w:pPr>
        <w:spacing w:line="360" w:lineRule="auto"/>
        <w:ind w:left="2516" w:hanging="836"/>
        <w:rPr>
          <w:rFonts w:ascii="Times New Roman" w:hAnsi="Times New Roman"/>
          <w:sz w:val="24"/>
        </w:rPr>
      </w:pPr>
      <w:r>
        <w:rPr>
          <w:rFonts w:ascii="Times New Roman" w:hAnsi="Times New Roman"/>
          <w:sz w:val="24"/>
        </w:rPr>
        <w:t>JR</w:t>
      </w:r>
      <w:r>
        <w:rPr>
          <w:rFonts w:ascii="Times New Roman" w:hAnsi="Times New Roman"/>
          <w:b/>
          <w:sz w:val="24"/>
        </w:rPr>
        <w:tab/>
      </w:r>
      <w:r>
        <w:rPr>
          <w:rFonts w:ascii="Times New Roman" w:hAnsi="Times New Roman" w:hint="eastAsia"/>
          <w:sz w:val="24"/>
        </w:rPr>
        <w:t>机构大额购汇资金来源数据</w:t>
      </w:r>
    </w:p>
    <w:p w14:paraId="3D2911E6" w14:textId="77777777" w:rsidR="00A052DC" w:rsidRDefault="009F0A60" w:rsidP="0020251D">
      <w:pPr>
        <w:pStyle w:val="2"/>
        <w:rPr>
          <w:rFonts w:ascii="Times New Roman" w:hAnsi="Times New Roman"/>
        </w:rPr>
      </w:pPr>
      <w:bookmarkStart w:id="798" w:name="_Toc93932933"/>
      <w:bookmarkStart w:id="799" w:name="_Toc93935041"/>
      <w:bookmarkStart w:id="800" w:name="_Toc93933358"/>
      <w:bookmarkStart w:id="801" w:name="_Toc97820981"/>
      <w:bookmarkStart w:id="802" w:name="_Toc95222735"/>
      <w:bookmarkStart w:id="803" w:name="_Toc97821410"/>
      <w:bookmarkStart w:id="804" w:name="_Toc97661077"/>
      <w:bookmarkStart w:id="805" w:name="_Toc95223590"/>
      <w:bookmarkStart w:id="806" w:name="_Toc98764308"/>
      <w:bookmarkStart w:id="807" w:name="_Toc93935042"/>
      <w:bookmarkStart w:id="808" w:name="_Toc97660655"/>
      <w:bookmarkStart w:id="809" w:name="_Toc95223165"/>
      <w:bookmarkStart w:id="810" w:name="_Toc98754114"/>
      <w:bookmarkStart w:id="811" w:name="_Toc93933359"/>
      <w:bookmarkStart w:id="812" w:name="_Toc93932934"/>
      <w:bookmarkStart w:id="813" w:name="_Toc97660226"/>
      <w:bookmarkStart w:id="814" w:name="_Toc97661078"/>
      <w:bookmarkStart w:id="815" w:name="_Toc95222734"/>
      <w:bookmarkStart w:id="816" w:name="_Toc95224011"/>
      <w:bookmarkStart w:id="817" w:name="_Toc95223166"/>
      <w:bookmarkStart w:id="818" w:name="_Toc97821411"/>
      <w:bookmarkStart w:id="819" w:name="_Toc95224012"/>
      <w:bookmarkStart w:id="820" w:name="_Toc449104625"/>
      <w:bookmarkStart w:id="821" w:name="_Toc98754115"/>
      <w:bookmarkStart w:id="822" w:name="_Toc98764309"/>
      <w:bookmarkStart w:id="823" w:name="_Toc97820982"/>
      <w:bookmarkStart w:id="824" w:name="_Toc97660227"/>
      <w:bookmarkStart w:id="825" w:name="_Toc95223591"/>
      <w:bookmarkStart w:id="826" w:name="_Toc97660656"/>
      <w:bookmarkStart w:id="827" w:name="_Toc454386730"/>
      <w:bookmarkStart w:id="828" w:name="_Toc380356219"/>
      <w:bookmarkStart w:id="829" w:name="_Toc91455248"/>
      <w:bookmarkStart w:id="830" w:name="_Toc101684421"/>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r>
        <w:rPr>
          <w:rFonts w:ascii="Times New Roman" w:hAnsi="Times New Roman" w:hint="eastAsia"/>
        </w:rPr>
        <w:t>接口反馈文件命名规则</w:t>
      </w:r>
      <w:bookmarkEnd w:id="827"/>
      <w:bookmarkEnd w:id="828"/>
      <w:bookmarkEnd w:id="829"/>
      <w:bookmarkEnd w:id="830"/>
    </w:p>
    <w:p w14:paraId="6BA06A50" w14:textId="77777777" w:rsidR="00A052DC" w:rsidRDefault="009F0A60">
      <w:pPr>
        <w:spacing w:line="360" w:lineRule="auto"/>
        <w:ind w:firstLine="480"/>
        <w:rPr>
          <w:rFonts w:ascii="Times New Roman" w:hAnsi="Times New Roman"/>
          <w:sz w:val="24"/>
          <w:szCs w:val="24"/>
        </w:rPr>
      </w:pPr>
      <w:r>
        <w:rPr>
          <w:rFonts w:ascii="Times New Roman" w:hAnsi="Times New Roman" w:hint="eastAsia"/>
          <w:sz w:val="24"/>
          <w:szCs w:val="24"/>
        </w:rPr>
        <w:t>如果银行接口文件存在错误，接口导入程序将出错信息记录在接口反馈文件里。接口反馈文件名遵循以下规则：</w:t>
      </w:r>
      <w:bookmarkStart w:id="831" w:name="_Toc132775867"/>
      <w:bookmarkStart w:id="832" w:name="_Toc132432704"/>
      <w:bookmarkStart w:id="833" w:name="_Toc132432486"/>
    </w:p>
    <w:p w14:paraId="041B5D07" w14:textId="77777777" w:rsidR="00A052DC" w:rsidRDefault="009F0A60">
      <w:pPr>
        <w:spacing w:line="360" w:lineRule="auto"/>
        <w:ind w:firstLine="480"/>
        <w:rPr>
          <w:rFonts w:ascii="Times New Roman" w:hAnsi="Times New Roman"/>
          <w:sz w:val="24"/>
          <w:szCs w:val="24"/>
        </w:rPr>
      </w:pPr>
      <w:r>
        <w:rPr>
          <w:rFonts w:ascii="Times New Roman" w:hAnsi="Times New Roman" w:hint="eastAsia"/>
          <w:sz w:val="24"/>
          <w:szCs w:val="24"/>
        </w:rPr>
        <w:t>银行接口文件名</w:t>
      </w:r>
      <w:r>
        <w:rPr>
          <w:rFonts w:ascii="Times New Roman" w:hAnsi="Times New Roman"/>
          <w:sz w:val="24"/>
          <w:szCs w:val="24"/>
        </w:rPr>
        <w:t>+ERR</w:t>
      </w:r>
      <w:r>
        <w:rPr>
          <w:rFonts w:ascii="Times New Roman" w:hAnsi="Times New Roman" w:hint="eastAsia"/>
          <w:sz w:val="24"/>
          <w:szCs w:val="24"/>
        </w:rPr>
        <w:t>，文件扩展名为</w:t>
      </w:r>
      <w:r>
        <w:rPr>
          <w:rFonts w:ascii="Times New Roman" w:hAnsi="Times New Roman"/>
          <w:sz w:val="24"/>
          <w:szCs w:val="24"/>
        </w:rPr>
        <w:t>XML</w:t>
      </w:r>
      <w:r>
        <w:rPr>
          <w:rFonts w:ascii="Times New Roman" w:hAnsi="Times New Roman" w:hint="eastAsia"/>
          <w:sz w:val="24"/>
          <w:szCs w:val="24"/>
        </w:rPr>
        <w:t>。</w:t>
      </w:r>
      <w:bookmarkEnd w:id="831"/>
      <w:bookmarkEnd w:id="832"/>
      <w:bookmarkEnd w:id="833"/>
    </w:p>
    <w:p w14:paraId="28CC80A1" w14:textId="77777777" w:rsidR="00A052DC" w:rsidRDefault="009F0A60">
      <w:pPr>
        <w:spacing w:line="360" w:lineRule="auto"/>
        <w:ind w:firstLine="480"/>
        <w:rPr>
          <w:rFonts w:ascii="Times New Roman" w:hAnsi="Times New Roman"/>
          <w:sz w:val="24"/>
          <w:szCs w:val="24"/>
        </w:rPr>
      </w:pPr>
      <w:r>
        <w:rPr>
          <w:rFonts w:ascii="Times New Roman" w:hAnsi="Times New Roman" w:hint="eastAsia"/>
          <w:sz w:val="24"/>
          <w:szCs w:val="24"/>
        </w:rPr>
        <w:t>例：如果银行接口文件为</w:t>
      </w:r>
      <w:bookmarkStart w:id="834" w:name="OLE_LINK3"/>
      <w:bookmarkStart w:id="835" w:name="OLE_LINK4"/>
      <w:r>
        <w:rPr>
          <w:rFonts w:ascii="Times New Roman" w:hAnsi="Times New Roman"/>
          <w:sz w:val="24"/>
          <w:szCs w:val="24"/>
        </w:rPr>
        <w:t>CFABA11000000010105060101.XML</w:t>
      </w:r>
      <w:bookmarkEnd w:id="834"/>
      <w:bookmarkEnd w:id="835"/>
      <w:r>
        <w:rPr>
          <w:rFonts w:ascii="Times New Roman" w:hAnsi="Times New Roman" w:hint="eastAsia"/>
          <w:sz w:val="24"/>
          <w:szCs w:val="24"/>
        </w:rPr>
        <w:t>存在错误，则其对应的反馈文件名为</w:t>
      </w:r>
      <w:r>
        <w:rPr>
          <w:rFonts w:ascii="Times New Roman" w:hAnsi="Times New Roman"/>
          <w:sz w:val="24"/>
          <w:szCs w:val="24"/>
        </w:rPr>
        <w:t>CFABA11000000010105060101ERR.XML</w:t>
      </w:r>
      <w:r>
        <w:rPr>
          <w:rFonts w:ascii="Times New Roman" w:hAnsi="Times New Roman" w:hint="eastAsia"/>
          <w:sz w:val="24"/>
        </w:rPr>
        <w:t>。</w:t>
      </w:r>
    </w:p>
    <w:p w14:paraId="486F64F9" w14:textId="77777777" w:rsidR="00A052DC" w:rsidRDefault="009F0A60">
      <w:pPr>
        <w:spacing w:line="360" w:lineRule="auto"/>
        <w:ind w:left="1682" w:hanging="1682"/>
        <w:rPr>
          <w:rFonts w:ascii="Times New Roman" w:hAnsi="Times New Roman"/>
          <w:sz w:val="24"/>
        </w:rPr>
      </w:pPr>
      <w:r>
        <w:rPr>
          <w:rFonts w:ascii="Times New Roman" w:hAnsi="Times New Roman" w:hint="eastAsia"/>
          <w:b/>
          <w:sz w:val="24"/>
        </w:rPr>
        <w:t>机构号</w:t>
      </w:r>
      <w:r>
        <w:rPr>
          <w:rFonts w:ascii="Times New Roman" w:hAnsi="Times New Roman"/>
          <w:b/>
          <w:sz w:val="24"/>
        </w:rPr>
        <w:tab/>
      </w:r>
      <w:r>
        <w:rPr>
          <w:rFonts w:ascii="Times New Roman" w:hAnsi="Times New Roman" w:hint="eastAsia"/>
          <w:sz w:val="24"/>
        </w:rPr>
        <w:t>指消息交换系统部署点或其辖内的银行接口数据产生点的</w:t>
      </w:r>
      <w:r>
        <w:rPr>
          <w:rFonts w:ascii="Times New Roman" w:hAnsi="Times New Roman"/>
          <w:sz w:val="24"/>
        </w:rPr>
        <w:t>12</w:t>
      </w:r>
      <w:r>
        <w:rPr>
          <w:rFonts w:ascii="Times New Roman" w:hAnsi="Times New Roman" w:hint="eastAsia"/>
          <w:sz w:val="24"/>
        </w:rPr>
        <w:t>位金融机构标识码。</w:t>
      </w:r>
    </w:p>
    <w:p w14:paraId="74817F0B" w14:textId="77777777" w:rsidR="00A052DC" w:rsidRDefault="009F0A60">
      <w:pPr>
        <w:spacing w:line="360" w:lineRule="auto"/>
        <w:rPr>
          <w:rFonts w:ascii="Times New Roman" w:hAnsi="Times New Roman"/>
          <w:sz w:val="24"/>
        </w:rPr>
      </w:pPr>
      <w:r>
        <w:rPr>
          <w:rFonts w:ascii="Times New Roman" w:hAnsi="Times New Roman" w:hint="eastAsia"/>
          <w:b/>
          <w:sz w:val="24"/>
        </w:rPr>
        <w:t>日期</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hint="eastAsia"/>
          <w:sz w:val="24"/>
        </w:rPr>
        <w:t>格式为</w:t>
      </w:r>
      <w:r>
        <w:rPr>
          <w:rFonts w:ascii="Times New Roman" w:hAnsi="Times New Roman"/>
          <w:sz w:val="24"/>
        </w:rPr>
        <w:t>YYMMDD</w:t>
      </w:r>
    </w:p>
    <w:p w14:paraId="26F3B9FD" w14:textId="77777777" w:rsidR="00A052DC" w:rsidRDefault="009F0A60">
      <w:pPr>
        <w:spacing w:line="360" w:lineRule="auto"/>
        <w:rPr>
          <w:rFonts w:ascii="Times New Roman" w:hAnsi="Times New Roman"/>
          <w:sz w:val="24"/>
        </w:rPr>
      </w:pPr>
      <w:r>
        <w:rPr>
          <w:rFonts w:ascii="Times New Roman" w:hAnsi="Times New Roman" w:hint="eastAsia"/>
          <w:b/>
          <w:sz w:val="24"/>
        </w:rPr>
        <w:t>序号</w:t>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hint="eastAsia"/>
          <w:sz w:val="24"/>
        </w:rPr>
        <w:t>用于一天内有多个接口文件时</w:t>
      </w:r>
      <w:r>
        <w:rPr>
          <w:rFonts w:ascii="Times New Roman" w:hAnsi="Times New Roman"/>
          <w:sz w:val="24"/>
        </w:rPr>
        <w:t>,</w:t>
      </w:r>
      <w:r>
        <w:rPr>
          <w:rFonts w:ascii="Times New Roman" w:hAnsi="Times New Roman" w:hint="eastAsia"/>
          <w:sz w:val="24"/>
        </w:rPr>
        <w:t>从</w:t>
      </w:r>
      <w:r>
        <w:rPr>
          <w:rFonts w:ascii="Times New Roman" w:hAnsi="Times New Roman"/>
          <w:sz w:val="24"/>
        </w:rPr>
        <w:t>00-99</w:t>
      </w:r>
    </w:p>
    <w:p w14:paraId="6F32F573" w14:textId="77777777" w:rsidR="00A052DC" w:rsidRDefault="009F0A60" w:rsidP="0020251D">
      <w:pPr>
        <w:pStyle w:val="2"/>
        <w:rPr>
          <w:rFonts w:ascii="Times New Roman" w:hAnsi="Times New Roman"/>
        </w:rPr>
      </w:pPr>
      <w:bookmarkStart w:id="836" w:name="_Toc454386731"/>
      <w:bookmarkStart w:id="837" w:name="_Toc91455249"/>
      <w:bookmarkStart w:id="838" w:name="_Toc380356220"/>
      <w:bookmarkStart w:id="839" w:name="_Toc101684422"/>
      <w:r>
        <w:rPr>
          <w:rFonts w:ascii="Times New Roman" w:hAnsi="Times New Roman" w:hint="eastAsia"/>
        </w:rPr>
        <w:t>接口文件报送规范</w:t>
      </w:r>
      <w:bookmarkEnd w:id="836"/>
      <w:bookmarkEnd w:id="837"/>
      <w:bookmarkEnd w:id="838"/>
      <w:bookmarkEnd w:id="839"/>
    </w:p>
    <w:p w14:paraId="10FF351E" w14:textId="77777777" w:rsidR="00A052DC" w:rsidRDefault="009F0A60" w:rsidP="0020251D">
      <w:pPr>
        <w:pStyle w:val="3"/>
        <w:ind w:left="0"/>
        <w:rPr>
          <w:rFonts w:ascii="Times New Roman" w:hAnsi="Times New Roman"/>
        </w:rPr>
      </w:pPr>
      <w:bookmarkStart w:id="840" w:name="_Toc454386732"/>
      <w:bookmarkStart w:id="841" w:name="_Toc380356221"/>
      <w:bookmarkStart w:id="842" w:name="_Toc91455250"/>
      <w:bookmarkStart w:id="843" w:name="_Toc101684423"/>
      <w:r>
        <w:rPr>
          <w:rFonts w:ascii="Times New Roman" w:hAnsi="Times New Roman" w:hint="eastAsia"/>
        </w:rPr>
        <w:t>报送及反馈目录规范</w:t>
      </w:r>
      <w:bookmarkEnd w:id="840"/>
      <w:bookmarkEnd w:id="841"/>
      <w:bookmarkEnd w:id="842"/>
      <w:bookmarkEnd w:id="843"/>
    </w:p>
    <w:p w14:paraId="29A56896"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kern w:val="0"/>
          <w:sz w:val="24"/>
          <w:szCs w:val="20"/>
        </w:rPr>
        <w:t>MTS</w:t>
      </w:r>
      <w:r>
        <w:rPr>
          <w:rFonts w:ascii="Times New Roman" w:hAnsi="Times New Roman" w:hint="eastAsia"/>
          <w:kern w:val="0"/>
          <w:sz w:val="24"/>
          <w:szCs w:val="20"/>
        </w:rPr>
        <w:t>针对金融机构数据采集的传输应用，提供五种类型的目录，分别是待发送目录、发送历史目录、错误文件目录、接口反馈目录和日志目录。在待发送目录、发送历史目录、错误文件目录、接口反馈目录之下，都有一个令牌文件和控制目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133"/>
        <w:gridCol w:w="4108"/>
        <w:gridCol w:w="2606"/>
      </w:tblGrid>
      <w:tr w:rsidR="00A052DC" w14:paraId="7DFCA259" w14:textId="77777777">
        <w:tc>
          <w:tcPr>
            <w:tcW w:w="675" w:type="dxa"/>
          </w:tcPr>
          <w:p w14:paraId="49AA0E2B" w14:textId="77777777" w:rsidR="00A052DC" w:rsidRDefault="009F0A60">
            <w:pPr>
              <w:rPr>
                <w:rFonts w:ascii="黑体" w:eastAsia="黑体"/>
                <w:sz w:val="20"/>
                <w:szCs w:val="20"/>
              </w:rPr>
            </w:pPr>
            <w:r>
              <w:rPr>
                <w:rFonts w:ascii="黑体" w:eastAsia="黑体" w:hint="eastAsia"/>
                <w:sz w:val="20"/>
                <w:szCs w:val="20"/>
              </w:rPr>
              <w:t>序号</w:t>
            </w:r>
          </w:p>
        </w:tc>
        <w:tc>
          <w:tcPr>
            <w:tcW w:w="1133" w:type="dxa"/>
          </w:tcPr>
          <w:p w14:paraId="1BEE72FF" w14:textId="77777777" w:rsidR="00A052DC" w:rsidRDefault="009F0A60">
            <w:pPr>
              <w:rPr>
                <w:rFonts w:ascii="黑体" w:eastAsia="黑体"/>
                <w:sz w:val="20"/>
                <w:szCs w:val="20"/>
              </w:rPr>
            </w:pPr>
            <w:r>
              <w:rPr>
                <w:rFonts w:ascii="黑体" w:eastAsia="黑体" w:hint="eastAsia"/>
                <w:sz w:val="20"/>
                <w:szCs w:val="20"/>
              </w:rPr>
              <w:t>目录类型</w:t>
            </w:r>
          </w:p>
        </w:tc>
        <w:tc>
          <w:tcPr>
            <w:tcW w:w="4108" w:type="dxa"/>
          </w:tcPr>
          <w:p w14:paraId="25BE5F47" w14:textId="77777777" w:rsidR="00A052DC" w:rsidRDefault="009F0A60">
            <w:pPr>
              <w:rPr>
                <w:rFonts w:ascii="黑体" w:eastAsia="黑体"/>
                <w:sz w:val="20"/>
                <w:szCs w:val="20"/>
              </w:rPr>
            </w:pPr>
            <w:r>
              <w:rPr>
                <w:rFonts w:ascii="黑体" w:eastAsia="黑体" w:hint="eastAsia"/>
                <w:sz w:val="20"/>
                <w:szCs w:val="20"/>
              </w:rPr>
              <w:t>含义</w:t>
            </w:r>
          </w:p>
        </w:tc>
        <w:tc>
          <w:tcPr>
            <w:tcW w:w="2606" w:type="dxa"/>
          </w:tcPr>
          <w:p w14:paraId="1359FAF1" w14:textId="77777777" w:rsidR="00A052DC" w:rsidRDefault="009F0A60">
            <w:pPr>
              <w:rPr>
                <w:rFonts w:ascii="黑体" w:eastAsia="黑体"/>
                <w:sz w:val="20"/>
                <w:szCs w:val="20"/>
              </w:rPr>
            </w:pPr>
            <w:r>
              <w:rPr>
                <w:rFonts w:ascii="黑体" w:eastAsia="黑体" w:hint="eastAsia"/>
                <w:sz w:val="20"/>
                <w:szCs w:val="20"/>
              </w:rPr>
              <w:t>有关要求</w:t>
            </w:r>
          </w:p>
        </w:tc>
      </w:tr>
      <w:tr w:rsidR="00A052DC" w14:paraId="156DFC88" w14:textId="77777777" w:rsidTr="009A6358">
        <w:tc>
          <w:tcPr>
            <w:tcW w:w="675" w:type="dxa"/>
            <w:vAlign w:val="center"/>
          </w:tcPr>
          <w:p w14:paraId="5FED3661" w14:textId="77777777" w:rsidR="00A052DC" w:rsidRDefault="009F0A60">
            <w:pPr>
              <w:rPr>
                <w:rFonts w:ascii="黑体" w:eastAsia="黑体"/>
                <w:sz w:val="20"/>
                <w:szCs w:val="20"/>
              </w:rPr>
            </w:pPr>
            <w:r>
              <w:rPr>
                <w:rFonts w:ascii="黑体" w:eastAsia="黑体" w:hint="eastAsia"/>
                <w:sz w:val="20"/>
                <w:szCs w:val="20"/>
              </w:rPr>
              <w:t>1</w:t>
            </w:r>
          </w:p>
        </w:tc>
        <w:tc>
          <w:tcPr>
            <w:tcW w:w="1133" w:type="dxa"/>
            <w:vAlign w:val="center"/>
          </w:tcPr>
          <w:p w14:paraId="2A4BFF6E" w14:textId="77777777" w:rsidR="00A052DC" w:rsidRDefault="009F0A60">
            <w:pPr>
              <w:rPr>
                <w:rFonts w:ascii="黑体" w:eastAsia="黑体"/>
                <w:sz w:val="20"/>
                <w:szCs w:val="20"/>
              </w:rPr>
            </w:pPr>
            <w:r>
              <w:rPr>
                <w:rFonts w:ascii="黑体" w:eastAsia="黑体" w:hint="eastAsia"/>
                <w:sz w:val="20"/>
                <w:szCs w:val="20"/>
              </w:rPr>
              <w:t>待发送目录</w:t>
            </w:r>
          </w:p>
        </w:tc>
        <w:tc>
          <w:tcPr>
            <w:tcW w:w="4108" w:type="dxa"/>
            <w:vAlign w:val="center"/>
          </w:tcPr>
          <w:p w14:paraId="4092F0C8" w14:textId="77777777" w:rsidR="00A052DC" w:rsidRDefault="009F0A60">
            <w:pPr>
              <w:rPr>
                <w:rFonts w:ascii="黑体" w:eastAsia="黑体"/>
                <w:sz w:val="20"/>
                <w:szCs w:val="20"/>
              </w:rPr>
            </w:pPr>
            <w:r>
              <w:rPr>
                <w:rFonts w:ascii="黑体" w:eastAsia="黑体" w:hint="eastAsia"/>
                <w:sz w:val="20"/>
                <w:szCs w:val="20"/>
              </w:rPr>
              <w:t>金融机构接口程序生成的接口数据文件以25位接口控制文件名（不含扩展名）为文件夹，放置在此目录下，等待发送到国家外汇管理局。</w:t>
            </w:r>
          </w:p>
        </w:tc>
        <w:tc>
          <w:tcPr>
            <w:tcW w:w="2606" w:type="dxa"/>
            <w:vAlign w:val="center"/>
          </w:tcPr>
          <w:p w14:paraId="602C0FFB" w14:textId="77777777" w:rsidR="00A052DC" w:rsidRDefault="009F0A60">
            <w:pPr>
              <w:rPr>
                <w:rFonts w:ascii="黑体" w:eastAsia="黑体"/>
                <w:sz w:val="20"/>
                <w:szCs w:val="20"/>
              </w:rPr>
            </w:pPr>
            <w:r>
              <w:rPr>
                <w:rFonts w:ascii="黑体" w:eastAsia="黑体" w:hint="eastAsia"/>
                <w:sz w:val="20"/>
                <w:szCs w:val="20"/>
              </w:rPr>
              <w:t>同一机构的接口文件应按接口控制文件名中日期和序号的顺序报送。</w:t>
            </w:r>
          </w:p>
        </w:tc>
      </w:tr>
      <w:tr w:rsidR="00A052DC" w14:paraId="5CBB7265" w14:textId="77777777" w:rsidTr="009A6358">
        <w:tc>
          <w:tcPr>
            <w:tcW w:w="675" w:type="dxa"/>
            <w:vAlign w:val="center"/>
          </w:tcPr>
          <w:p w14:paraId="377DB9E9" w14:textId="77777777" w:rsidR="00A052DC" w:rsidRDefault="009F0A60">
            <w:pPr>
              <w:rPr>
                <w:rFonts w:ascii="黑体" w:eastAsia="黑体"/>
                <w:sz w:val="20"/>
                <w:szCs w:val="20"/>
              </w:rPr>
            </w:pPr>
            <w:r>
              <w:rPr>
                <w:rFonts w:ascii="黑体" w:eastAsia="黑体" w:hint="eastAsia"/>
                <w:sz w:val="20"/>
                <w:szCs w:val="20"/>
              </w:rPr>
              <w:t>2</w:t>
            </w:r>
          </w:p>
        </w:tc>
        <w:tc>
          <w:tcPr>
            <w:tcW w:w="1133" w:type="dxa"/>
            <w:vAlign w:val="center"/>
          </w:tcPr>
          <w:p w14:paraId="6D51E493" w14:textId="77777777" w:rsidR="00A052DC" w:rsidRDefault="009F0A60">
            <w:pPr>
              <w:rPr>
                <w:rFonts w:ascii="黑体" w:eastAsia="黑体"/>
                <w:sz w:val="20"/>
                <w:szCs w:val="20"/>
              </w:rPr>
            </w:pPr>
            <w:r>
              <w:rPr>
                <w:rFonts w:ascii="黑体" w:eastAsia="黑体" w:hint="eastAsia"/>
                <w:sz w:val="20"/>
                <w:szCs w:val="20"/>
              </w:rPr>
              <w:t>发送历史目录</w:t>
            </w:r>
          </w:p>
        </w:tc>
        <w:tc>
          <w:tcPr>
            <w:tcW w:w="4108" w:type="dxa"/>
            <w:vAlign w:val="center"/>
          </w:tcPr>
          <w:p w14:paraId="79BADFCC" w14:textId="77777777" w:rsidR="00A052DC" w:rsidRDefault="009F0A60">
            <w:pPr>
              <w:rPr>
                <w:rFonts w:ascii="黑体" w:eastAsia="黑体"/>
                <w:sz w:val="20"/>
                <w:szCs w:val="20"/>
              </w:rPr>
            </w:pPr>
            <w:r>
              <w:rPr>
                <w:rFonts w:ascii="黑体" w:eastAsia="黑体" w:hint="eastAsia"/>
                <w:sz w:val="20"/>
                <w:szCs w:val="20"/>
              </w:rPr>
              <w:t>发送历史目录下按YYMMDD建有日期子目录，每个日期目录下有多个控制目录，存放当日传送成功接口文件。</w:t>
            </w:r>
          </w:p>
        </w:tc>
        <w:tc>
          <w:tcPr>
            <w:tcW w:w="2606" w:type="dxa"/>
            <w:vAlign w:val="center"/>
          </w:tcPr>
          <w:p w14:paraId="112893D1" w14:textId="77777777" w:rsidR="00A052DC" w:rsidRDefault="009F0A60">
            <w:pPr>
              <w:rPr>
                <w:rFonts w:ascii="黑体" w:eastAsia="黑体"/>
                <w:sz w:val="20"/>
                <w:szCs w:val="20"/>
              </w:rPr>
            </w:pPr>
            <w:r>
              <w:rPr>
                <w:rFonts w:ascii="黑体" w:eastAsia="黑体" w:hint="eastAsia"/>
                <w:sz w:val="20"/>
                <w:szCs w:val="20"/>
              </w:rPr>
              <w:t>历史目录下的数据文件至少在服务器上保存2周以上，2周以后数据，由各银行自行删除。</w:t>
            </w:r>
          </w:p>
        </w:tc>
      </w:tr>
      <w:tr w:rsidR="00A052DC" w14:paraId="4F71DCE0" w14:textId="77777777" w:rsidTr="009A6358">
        <w:tc>
          <w:tcPr>
            <w:tcW w:w="675" w:type="dxa"/>
            <w:vAlign w:val="center"/>
          </w:tcPr>
          <w:p w14:paraId="1E2072BF" w14:textId="77777777" w:rsidR="00A052DC" w:rsidRDefault="009F0A60">
            <w:pPr>
              <w:rPr>
                <w:rFonts w:ascii="黑体" w:eastAsia="黑体"/>
                <w:sz w:val="20"/>
                <w:szCs w:val="20"/>
              </w:rPr>
            </w:pPr>
            <w:r>
              <w:rPr>
                <w:rFonts w:ascii="黑体" w:eastAsia="黑体" w:hint="eastAsia"/>
                <w:sz w:val="20"/>
                <w:szCs w:val="20"/>
              </w:rPr>
              <w:t>3</w:t>
            </w:r>
          </w:p>
        </w:tc>
        <w:tc>
          <w:tcPr>
            <w:tcW w:w="1133" w:type="dxa"/>
            <w:vAlign w:val="center"/>
          </w:tcPr>
          <w:p w14:paraId="5DDECBFF" w14:textId="77777777" w:rsidR="00A052DC" w:rsidRDefault="009F0A60">
            <w:pPr>
              <w:rPr>
                <w:rFonts w:ascii="黑体" w:eastAsia="黑体"/>
                <w:sz w:val="20"/>
                <w:szCs w:val="20"/>
              </w:rPr>
            </w:pPr>
            <w:r>
              <w:rPr>
                <w:rFonts w:ascii="黑体" w:eastAsia="黑体" w:hint="eastAsia"/>
                <w:sz w:val="20"/>
                <w:szCs w:val="20"/>
              </w:rPr>
              <w:t>错误文件目录</w:t>
            </w:r>
          </w:p>
        </w:tc>
        <w:tc>
          <w:tcPr>
            <w:tcW w:w="4108" w:type="dxa"/>
            <w:vAlign w:val="center"/>
          </w:tcPr>
          <w:p w14:paraId="4744E1D5" w14:textId="77777777" w:rsidR="00A052DC" w:rsidRDefault="009F0A60">
            <w:pPr>
              <w:rPr>
                <w:rFonts w:ascii="黑体" w:eastAsia="黑体"/>
                <w:sz w:val="20"/>
                <w:szCs w:val="20"/>
              </w:rPr>
            </w:pPr>
            <w:r>
              <w:rPr>
                <w:rFonts w:ascii="黑体" w:eastAsia="黑体" w:hint="eastAsia"/>
                <w:sz w:val="20"/>
                <w:szCs w:val="20"/>
              </w:rPr>
              <w:t>MTS上的金融机构数据采集的传输应用如果检测到某接口控制文件有错，则整批文件不会发送，并移至错误文件目录；</w:t>
            </w:r>
          </w:p>
        </w:tc>
        <w:tc>
          <w:tcPr>
            <w:tcW w:w="2606" w:type="dxa"/>
            <w:vAlign w:val="center"/>
          </w:tcPr>
          <w:p w14:paraId="38988D4F" w14:textId="77777777" w:rsidR="00A052DC" w:rsidRDefault="009F0A60">
            <w:pPr>
              <w:rPr>
                <w:rFonts w:ascii="黑体" w:eastAsia="黑体"/>
                <w:sz w:val="20"/>
                <w:szCs w:val="20"/>
              </w:rPr>
            </w:pPr>
            <w:r>
              <w:rPr>
                <w:rFonts w:ascii="黑体" w:eastAsia="黑体" w:hint="eastAsia"/>
                <w:sz w:val="20"/>
                <w:szCs w:val="20"/>
              </w:rPr>
              <w:t>该目录下接口文件修改正确后，请按原名重报。</w:t>
            </w:r>
          </w:p>
        </w:tc>
      </w:tr>
      <w:tr w:rsidR="00A052DC" w14:paraId="0B9F3673" w14:textId="77777777" w:rsidTr="009A6358">
        <w:tc>
          <w:tcPr>
            <w:tcW w:w="675" w:type="dxa"/>
            <w:vAlign w:val="center"/>
          </w:tcPr>
          <w:p w14:paraId="5E335AA9" w14:textId="77777777" w:rsidR="00A052DC" w:rsidRDefault="009F0A60">
            <w:pPr>
              <w:rPr>
                <w:rFonts w:ascii="黑体" w:eastAsia="黑体"/>
                <w:sz w:val="20"/>
                <w:szCs w:val="20"/>
              </w:rPr>
            </w:pPr>
            <w:r>
              <w:rPr>
                <w:rFonts w:ascii="黑体" w:eastAsia="黑体" w:hint="eastAsia"/>
                <w:sz w:val="20"/>
                <w:szCs w:val="20"/>
              </w:rPr>
              <w:t>4</w:t>
            </w:r>
          </w:p>
        </w:tc>
        <w:tc>
          <w:tcPr>
            <w:tcW w:w="1133" w:type="dxa"/>
            <w:vAlign w:val="center"/>
          </w:tcPr>
          <w:p w14:paraId="7329E4B3" w14:textId="77777777" w:rsidR="00A052DC" w:rsidRDefault="009F0A60">
            <w:pPr>
              <w:rPr>
                <w:rFonts w:ascii="黑体" w:eastAsia="黑体"/>
                <w:sz w:val="20"/>
                <w:szCs w:val="20"/>
              </w:rPr>
            </w:pPr>
            <w:r>
              <w:rPr>
                <w:rFonts w:ascii="黑体" w:eastAsia="黑体" w:hint="eastAsia"/>
                <w:sz w:val="20"/>
                <w:szCs w:val="20"/>
              </w:rPr>
              <w:t>接口反馈目录</w:t>
            </w:r>
          </w:p>
        </w:tc>
        <w:tc>
          <w:tcPr>
            <w:tcW w:w="4108" w:type="dxa"/>
            <w:vAlign w:val="center"/>
          </w:tcPr>
          <w:p w14:paraId="2937A908" w14:textId="77777777" w:rsidR="00A052DC" w:rsidRDefault="009F0A60">
            <w:pPr>
              <w:rPr>
                <w:rFonts w:ascii="黑体" w:eastAsia="黑体"/>
                <w:sz w:val="20"/>
                <w:szCs w:val="20"/>
              </w:rPr>
            </w:pPr>
            <w:r>
              <w:rPr>
                <w:rFonts w:ascii="黑体" w:eastAsia="黑体" w:hint="eastAsia"/>
                <w:sz w:val="20"/>
                <w:szCs w:val="20"/>
              </w:rPr>
              <w:t>如果接口数据文件在外和业务数据采集平台校验后发现存在错误，出错信息将以接口反馈文件的形式以接口反馈控制文件名（不含扩展名）为文件夹，存放在接口反馈目录下。</w:t>
            </w:r>
          </w:p>
        </w:tc>
        <w:tc>
          <w:tcPr>
            <w:tcW w:w="2606" w:type="dxa"/>
            <w:vAlign w:val="center"/>
          </w:tcPr>
          <w:p w14:paraId="575C5113" w14:textId="77777777" w:rsidR="00A052DC" w:rsidRDefault="009F0A60">
            <w:pPr>
              <w:rPr>
                <w:rFonts w:ascii="黑体" w:eastAsia="黑体"/>
                <w:sz w:val="20"/>
                <w:szCs w:val="20"/>
              </w:rPr>
            </w:pPr>
            <w:r>
              <w:rPr>
                <w:rFonts w:ascii="黑体" w:eastAsia="黑体" w:hint="eastAsia"/>
                <w:sz w:val="20"/>
                <w:szCs w:val="20"/>
              </w:rPr>
              <w:t>接口反馈数据文件中涉及的数据，修改后，须重新命名接口文件后报送。</w:t>
            </w:r>
          </w:p>
        </w:tc>
      </w:tr>
      <w:tr w:rsidR="00A052DC" w14:paraId="7D29108D" w14:textId="77777777" w:rsidTr="009A6358">
        <w:tc>
          <w:tcPr>
            <w:tcW w:w="675" w:type="dxa"/>
            <w:vAlign w:val="center"/>
          </w:tcPr>
          <w:p w14:paraId="75F88682" w14:textId="77777777" w:rsidR="00A052DC" w:rsidRDefault="009F0A60">
            <w:pPr>
              <w:rPr>
                <w:rFonts w:ascii="黑体" w:eastAsia="黑体"/>
                <w:sz w:val="20"/>
                <w:szCs w:val="20"/>
              </w:rPr>
            </w:pPr>
            <w:r>
              <w:rPr>
                <w:rFonts w:ascii="黑体" w:eastAsia="黑体" w:hint="eastAsia"/>
                <w:sz w:val="20"/>
                <w:szCs w:val="20"/>
              </w:rPr>
              <w:t>5</w:t>
            </w:r>
          </w:p>
        </w:tc>
        <w:tc>
          <w:tcPr>
            <w:tcW w:w="1133" w:type="dxa"/>
            <w:vAlign w:val="center"/>
          </w:tcPr>
          <w:p w14:paraId="5A4D13EC" w14:textId="77777777" w:rsidR="00A052DC" w:rsidRDefault="009F0A60">
            <w:pPr>
              <w:rPr>
                <w:rFonts w:ascii="黑体" w:eastAsia="黑体"/>
                <w:sz w:val="20"/>
                <w:szCs w:val="20"/>
              </w:rPr>
            </w:pPr>
            <w:r>
              <w:rPr>
                <w:rFonts w:ascii="黑体" w:eastAsia="黑体" w:hint="eastAsia"/>
                <w:sz w:val="20"/>
                <w:szCs w:val="20"/>
              </w:rPr>
              <w:t>日志目录</w:t>
            </w:r>
          </w:p>
        </w:tc>
        <w:tc>
          <w:tcPr>
            <w:tcW w:w="4108" w:type="dxa"/>
            <w:vAlign w:val="center"/>
          </w:tcPr>
          <w:p w14:paraId="5A0237BF" w14:textId="77777777" w:rsidR="00A052DC" w:rsidRDefault="009F0A60">
            <w:pPr>
              <w:rPr>
                <w:rFonts w:ascii="黑体" w:eastAsia="黑体"/>
                <w:sz w:val="20"/>
                <w:szCs w:val="20"/>
              </w:rPr>
            </w:pPr>
            <w:r>
              <w:rPr>
                <w:rFonts w:ascii="黑体" w:eastAsia="黑体" w:hint="eastAsia"/>
                <w:sz w:val="20"/>
                <w:szCs w:val="20"/>
              </w:rPr>
              <w:t>金融机构接口文件的发送情况按日记录日志</w:t>
            </w:r>
          </w:p>
        </w:tc>
        <w:tc>
          <w:tcPr>
            <w:tcW w:w="2606" w:type="dxa"/>
            <w:vAlign w:val="center"/>
          </w:tcPr>
          <w:p w14:paraId="2221939F" w14:textId="77777777" w:rsidR="00A052DC" w:rsidRDefault="00A052DC">
            <w:pPr>
              <w:rPr>
                <w:rFonts w:ascii="黑体" w:eastAsia="黑体"/>
                <w:b/>
                <w:bCs/>
                <w:sz w:val="20"/>
                <w:szCs w:val="20"/>
              </w:rPr>
            </w:pPr>
          </w:p>
        </w:tc>
      </w:tr>
      <w:tr w:rsidR="00A052DC" w14:paraId="6D5BEA30" w14:textId="77777777" w:rsidTr="009A6358">
        <w:tc>
          <w:tcPr>
            <w:tcW w:w="675" w:type="dxa"/>
            <w:vAlign w:val="center"/>
          </w:tcPr>
          <w:p w14:paraId="2B6CF09A" w14:textId="77777777" w:rsidR="00A052DC" w:rsidRDefault="009F0A60">
            <w:pPr>
              <w:rPr>
                <w:rFonts w:ascii="黑体" w:eastAsia="黑体"/>
                <w:sz w:val="20"/>
                <w:szCs w:val="20"/>
              </w:rPr>
            </w:pPr>
            <w:r>
              <w:rPr>
                <w:rFonts w:ascii="黑体" w:eastAsia="黑体" w:hint="eastAsia"/>
                <w:sz w:val="20"/>
                <w:szCs w:val="20"/>
              </w:rPr>
              <w:t>6</w:t>
            </w:r>
          </w:p>
        </w:tc>
        <w:tc>
          <w:tcPr>
            <w:tcW w:w="1133" w:type="dxa"/>
            <w:vAlign w:val="center"/>
          </w:tcPr>
          <w:p w14:paraId="0D5715B2" w14:textId="77777777" w:rsidR="00A052DC" w:rsidRDefault="009F0A60">
            <w:pPr>
              <w:rPr>
                <w:rFonts w:ascii="黑体" w:eastAsia="黑体"/>
                <w:sz w:val="20"/>
                <w:szCs w:val="20"/>
              </w:rPr>
            </w:pPr>
            <w:r>
              <w:rPr>
                <w:rFonts w:ascii="黑体" w:eastAsia="黑体" w:hint="eastAsia"/>
                <w:sz w:val="20"/>
                <w:szCs w:val="20"/>
              </w:rPr>
              <w:t>控制目录</w:t>
            </w:r>
          </w:p>
        </w:tc>
        <w:tc>
          <w:tcPr>
            <w:tcW w:w="4108" w:type="dxa"/>
            <w:vAlign w:val="center"/>
          </w:tcPr>
          <w:p w14:paraId="60E807A8" w14:textId="77777777" w:rsidR="00A052DC" w:rsidRDefault="009F0A60">
            <w:pPr>
              <w:rPr>
                <w:rFonts w:ascii="黑体" w:eastAsia="黑体"/>
                <w:sz w:val="20"/>
                <w:szCs w:val="20"/>
              </w:rPr>
            </w:pPr>
            <w:r>
              <w:rPr>
                <w:rFonts w:ascii="黑体" w:eastAsia="黑体" w:hint="eastAsia"/>
                <w:sz w:val="20"/>
                <w:szCs w:val="20"/>
              </w:rPr>
              <w:t>待发送目录、错误文件目录中以接口控制文件名（不含扩展名）为控制目录，该目录下存放接口控制文件和接口数据文件。待发送目录下的控制目录由银行创建。错误文件目录中的控制目录由MTS创建。</w:t>
            </w:r>
          </w:p>
          <w:p w14:paraId="407AA880" w14:textId="77777777" w:rsidR="00A052DC" w:rsidRDefault="009F0A60">
            <w:pPr>
              <w:rPr>
                <w:rFonts w:ascii="黑体" w:eastAsia="黑体"/>
                <w:sz w:val="20"/>
                <w:szCs w:val="20"/>
              </w:rPr>
            </w:pPr>
            <w:r>
              <w:rPr>
                <w:rFonts w:ascii="黑体" w:eastAsia="黑体" w:hint="eastAsia"/>
                <w:sz w:val="20"/>
                <w:szCs w:val="20"/>
              </w:rPr>
              <w:t>对发送历史目录下每个日期子目录中，以接口控制文件名（不含扩展名）为控制目录，该目录下存放接口控制文件和接口数据文件。这些控制目录由MTS创建。</w:t>
            </w:r>
          </w:p>
          <w:p w14:paraId="3C9F02A1" w14:textId="77777777" w:rsidR="00A052DC" w:rsidRDefault="009F0A60">
            <w:pPr>
              <w:rPr>
                <w:rFonts w:ascii="黑体" w:eastAsia="黑体"/>
                <w:sz w:val="20"/>
                <w:szCs w:val="20"/>
              </w:rPr>
            </w:pPr>
            <w:r>
              <w:rPr>
                <w:rFonts w:ascii="黑体" w:eastAsia="黑体" w:hint="eastAsia"/>
                <w:sz w:val="20"/>
                <w:szCs w:val="20"/>
              </w:rPr>
              <w:t>接口反馈目录下以接口反馈控制文件名（不含扩展名）为控制目录。该目录下存放接口反馈控制文件和接口反馈数据文件。这种情况下控制目录由MTS创建。</w:t>
            </w:r>
          </w:p>
        </w:tc>
        <w:tc>
          <w:tcPr>
            <w:tcW w:w="2606" w:type="dxa"/>
            <w:vAlign w:val="center"/>
          </w:tcPr>
          <w:p w14:paraId="3B34A2F2" w14:textId="77777777" w:rsidR="00A052DC" w:rsidRDefault="00A052DC">
            <w:pPr>
              <w:rPr>
                <w:rFonts w:ascii="黑体" w:eastAsia="黑体"/>
                <w:b/>
                <w:bCs/>
                <w:sz w:val="20"/>
                <w:szCs w:val="20"/>
              </w:rPr>
            </w:pPr>
          </w:p>
        </w:tc>
      </w:tr>
    </w:tbl>
    <w:p w14:paraId="7A343031"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hint="eastAsia"/>
          <w:kern w:val="0"/>
          <w:sz w:val="24"/>
          <w:szCs w:val="20"/>
        </w:rPr>
        <w:t>不同应用类型数据接口文件传输的根目录名称如下表所示：</w:t>
      </w:r>
    </w:p>
    <w:tbl>
      <w:tblPr>
        <w:tblW w:w="5000" w:type="pct"/>
        <w:jc w:val="center"/>
        <w:tblLook w:val="04A0" w:firstRow="1" w:lastRow="0" w:firstColumn="1" w:lastColumn="0" w:noHBand="0" w:noVBand="1"/>
      </w:tblPr>
      <w:tblGrid>
        <w:gridCol w:w="841"/>
        <w:gridCol w:w="6023"/>
        <w:gridCol w:w="1658"/>
      </w:tblGrid>
      <w:tr w:rsidR="00A052DC" w14:paraId="4CE57AB5" w14:textId="77777777">
        <w:trPr>
          <w:jc w:val="center"/>
        </w:trPr>
        <w:tc>
          <w:tcPr>
            <w:tcW w:w="4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29B246" w14:textId="77777777" w:rsidR="00881462" w:rsidRDefault="009F0A60">
            <w:pPr>
              <w:jc w:val="center"/>
              <w:rPr>
                <w:rFonts w:ascii="黑体" w:eastAsia="黑体"/>
                <w:kern w:val="0"/>
                <w:sz w:val="20"/>
                <w:szCs w:val="20"/>
              </w:rPr>
            </w:pPr>
            <w:r>
              <w:rPr>
                <w:rFonts w:ascii="黑体" w:eastAsia="黑体" w:hint="eastAsia"/>
                <w:kern w:val="0"/>
                <w:sz w:val="20"/>
                <w:szCs w:val="20"/>
              </w:rPr>
              <w:t>序号</w:t>
            </w:r>
          </w:p>
        </w:tc>
        <w:tc>
          <w:tcPr>
            <w:tcW w:w="3534" w:type="pct"/>
            <w:tcBorders>
              <w:top w:val="single" w:sz="4" w:space="0" w:color="auto"/>
              <w:left w:val="nil"/>
              <w:bottom w:val="single" w:sz="4" w:space="0" w:color="auto"/>
              <w:right w:val="single" w:sz="4" w:space="0" w:color="auto"/>
            </w:tcBorders>
            <w:shd w:val="clear" w:color="auto" w:fill="auto"/>
            <w:noWrap/>
            <w:vAlign w:val="center"/>
          </w:tcPr>
          <w:p w14:paraId="3DA9059D" w14:textId="77777777" w:rsidR="00881462" w:rsidRDefault="009F0A60">
            <w:pPr>
              <w:jc w:val="center"/>
              <w:rPr>
                <w:rFonts w:ascii="黑体" w:eastAsia="黑体"/>
                <w:kern w:val="0"/>
                <w:sz w:val="20"/>
                <w:szCs w:val="20"/>
              </w:rPr>
            </w:pPr>
            <w:r>
              <w:rPr>
                <w:rFonts w:ascii="黑体" w:eastAsia="黑体" w:hint="eastAsia"/>
                <w:kern w:val="0"/>
                <w:sz w:val="20"/>
                <w:szCs w:val="20"/>
              </w:rPr>
              <w:t>应用类型</w:t>
            </w:r>
          </w:p>
        </w:tc>
        <w:tc>
          <w:tcPr>
            <w:tcW w:w="973" w:type="pct"/>
            <w:tcBorders>
              <w:top w:val="single" w:sz="4" w:space="0" w:color="auto"/>
              <w:left w:val="nil"/>
              <w:bottom w:val="single" w:sz="4" w:space="0" w:color="auto"/>
              <w:right w:val="single" w:sz="4" w:space="0" w:color="auto"/>
            </w:tcBorders>
            <w:shd w:val="clear" w:color="auto" w:fill="auto"/>
            <w:noWrap/>
            <w:vAlign w:val="center"/>
          </w:tcPr>
          <w:p w14:paraId="18493E3D" w14:textId="77777777" w:rsidR="00881462" w:rsidRDefault="009F0A60">
            <w:pPr>
              <w:jc w:val="center"/>
              <w:rPr>
                <w:rFonts w:ascii="黑体" w:eastAsia="黑体"/>
                <w:kern w:val="0"/>
                <w:sz w:val="20"/>
                <w:szCs w:val="20"/>
              </w:rPr>
            </w:pPr>
            <w:r>
              <w:rPr>
                <w:rFonts w:ascii="黑体" w:eastAsia="黑体" w:hint="eastAsia"/>
                <w:kern w:val="0"/>
                <w:sz w:val="20"/>
                <w:szCs w:val="20"/>
              </w:rPr>
              <w:t>根目录名称</w:t>
            </w:r>
          </w:p>
        </w:tc>
      </w:tr>
      <w:tr w:rsidR="00A052DC" w14:paraId="09E8C0F2" w14:textId="77777777">
        <w:trPr>
          <w:jc w:val="center"/>
        </w:trPr>
        <w:tc>
          <w:tcPr>
            <w:tcW w:w="493" w:type="pct"/>
            <w:tcBorders>
              <w:top w:val="nil"/>
              <w:left w:val="single" w:sz="4" w:space="0" w:color="auto"/>
              <w:bottom w:val="single" w:sz="4" w:space="0" w:color="auto"/>
              <w:right w:val="single" w:sz="4" w:space="0" w:color="auto"/>
            </w:tcBorders>
            <w:shd w:val="clear" w:color="auto" w:fill="auto"/>
            <w:noWrap/>
            <w:vAlign w:val="center"/>
          </w:tcPr>
          <w:p w14:paraId="1AA155B6" w14:textId="77777777" w:rsidR="00881462" w:rsidRDefault="009F0A60">
            <w:pPr>
              <w:jc w:val="center"/>
              <w:rPr>
                <w:rFonts w:ascii="黑体" w:eastAsia="黑体"/>
                <w:kern w:val="0"/>
                <w:sz w:val="20"/>
                <w:szCs w:val="20"/>
              </w:rPr>
            </w:pPr>
            <w:r>
              <w:rPr>
                <w:rFonts w:ascii="黑体" w:eastAsia="黑体" w:hint="eastAsia"/>
                <w:kern w:val="0"/>
                <w:sz w:val="20"/>
                <w:szCs w:val="20"/>
              </w:rPr>
              <w:t>1</w:t>
            </w:r>
          </w:p>
        </w:tc>
        <w:tc>
          <w:tcPr>
            <w:tcW w:w="3534" w:type="pct"/>
            <w:tcBorders>
              <w:top w:val="nil"/>
              <w:left w:val="nil"/>
              <w:bottom w:val="single" w:sz="4" w:space="0" w:color="auto"/>
              <w:right w:val="single" w:sz="4" w:space="0" w:color="auto"/>
            </w:tcBorders>
            <w:shd w:val="clear" w:color="auto" w:fill="auto"/>
            <w:noWrap/>
            <w:vAlign w:val="center"/>
          </w:tcPr>
          <w:p w14:paraId="3A61E66F" w14:textId="77777777" w:rsidR="00A052DC" w:rsidRDefault="009F0A60">
            <w:pPr>
              <w:rPr>
                <w:rFonts w:ascii="黑体" w:eastAsia="黑体"/>
                <w:kern w:val="0"/>
                <w:sz w:val="20"/>
                <w:szCs w:val="20"/>
              </w:rPr>
            </w:pPr>
            <w:r>
              <w:rPr>
                <w:rFonts w:ascii="黑体" w:eastAsia="黑体" w:hint="eastAsia"/>
                <w:kern w:val="0"/>
                <w:sz w:val="20"/>
                <w:szCs w:val="20"/>
              </w:rPr>
              <w:t>组织机构基本情况表、涉外收支数据、境内划转数据</w:t>
            </w:r>
          </w:p>
        </w:tc>
        <w:tc>
          <w:tcPr>
            <w:tcW w:w="973" w:type="pct"/>
            <w:tcBorders>
              <w:top w:val="nil"/>
              <w:left w:val="nil"/>
              <w:bottom w:val="single" w:sz="4" w:space="0" w:color="auto"/>
              <w:right w:val="single" w:sz="4" w:space="0" w:color="auto"/>
            </w:tcBorders>
            <w:shd w:val="clear" w:color="auto" w:fill="auto"/>
            <w:noWrap/>
            <w:vAlign w:val="center"/>
          </w:tcPr>
          <w:p w14:paraId="58D1F675" w14:textId="77777777" w:rsidR="00A052DC" w:rsidRDefault="009F0A60">
            <w:pPr>
              <w:rPr>
                <w:rFonts w:ascii="黑体" w:eastAsia="黑体"/>
                <w:kern w:val="0"/>
                <w:sz w:val="20"/>
                <w:szCs w:val="20"/>
              </w:rPr>
            </w:pPr>
            <w:r>
              <w:rPr>
                <w:rFonts w:ascii="黑体" w:eastAsia="黑体" w:hint="eastAsia"/>
                <w:kern w:val="0"/>
                <w:sz w:val="20"/>
                <w:szCs w:val="20"/>
              </w:rPr>
              <w:t>BankData</w:t>
            </w:r>
          </w:p>
        </w:tc>
      </w:tr>
      <w:tr w:rsidR="00A052DC" w14:paraId="08C3797F" w14:textId="77777777">
        <w:trPr>
          <w:jc w:val="center"/>
        </w:trPr>
        <w:tc>
          <w:tcPr>
            <w:tcW w:w="493" w:type="pct"/>
            <w:tcBorders>
              <w:top w:val="nil"/>
              <w:left w:val="single" w:sz="4" w:space="0" w:color="auto"/>
              <w:bottom w:val="single" w:sz="4" w:space="0" w:color="auto"/>
              <w:right w:val="single" w:sz="4" w:space="0" w:color="auto"/>
            </w:tcBorders>
            <w:shd w:val="clear" w:color="auto" w:fill="auto"/>
            <w:noWrap/>
            <w:vAlign w:val="center"/>
          </w:tcPr>
          <w:p w14:paraId="413EC09B" w14:textId="77777777" w:rsidR="00881462" w:rsidRDefault="009F0A60">
            <w:pPr>
              <w:jc w:val="center"/>
              <w:rPr>
                <w:rFonts w:ascii="黑体" w:eastAsia="黑体"/>
                <w:kern w:val="0"/>
                <w:sz w:val="20"/>
                <w:szCs w:val="20"/>
              </w:rPr>
            </w:pPr>
            <w:r>
              <w:rPr>
                <w:rFonts w:ascii="黑体" w:eastAsia="黑体" w:hint="eastAsia"/>
                <w:kern w:val="0"/>
                <w:sz w:val="20"/>
                <w:szCs w:val="20"/>
              </w:rPr>
              <w:t>2</w:t>
            </w:r>
          </w:p>
        </w:tc>
        <w:tc>
          <w:tcPr>
            <w:tcW w:w="3534" w:type="pct"/>
            <w:tcBorders>
              <w:top w:val="nil"/>
              <w:left w:val="nil"/>
              <w:bottom w:val="single" w:sz="4" w:space="0" w:color="auto"/>
              <w:right w:val="single" w:sz="4" w:space="0" w:color="auto"/>
            </w:tcBorders>
            <w:shd w:val="clear" w:color="auto" w:fill="auto"/>
            <w:noWrap/>
            <w:vAlign w:val="center"/>
          </w:tcPr>
          <w:p w14:paraId="1F6FD918" w14:textId="77777777" w:rsidR="00A052DC" w:rsidRDefault="009F0A60">
            <w:pPr>
              <w:rPr>
                <w:rFonts w:ascii="黑体" w:eastAsia="黑体"/>
                <w:kern w:val="0"/>
                <w:sz w:val="20"/>
                <w:szCs w:val="20"/>
              </w:rPr>
            </w:pPr>
            <w:r>
              <w:rPr>
                <w:rFonts w:ascii="黑体" w:eastAsia="黑体" w:hint="eastAsia"/>
                <w:kern w:val="0"/>
                <w:sz w:val="20"/>
                <w:szCs w:val="20"/>
              </w:rPr>
              <w:t>外汇账户数据</w:t>
            </w:r>
          </w:p>
        </w:tc>
        <w:tc>
          <w:tcPr>
            <w:tcW w:w="973" w:type="pct"/>
            <w:tcBorders>
              <w:top w:val="nil"/>
              <w:left w:val="nil"/>
              <w:bottom w:val="single" w:sz="4" w:space="0" w:color="auto"/>
              <w:right w:val="single" w:sz="4" w:space="0" w:color="auto"/>
            </w:tcBorders>
            <w:shd w:val="clear" w:color="auto" w:fill="auto"/>
            <w:noWrap/>
            <w:vAlign w:val="center"/>
          </w:tcPr>
          <w:p w14:paraId="20E83EF1" w14:textId="77777777" w:rsidR="00A052DC" w:rsidRDefault="009F0A60">
            <w:pPr>
              <w:rPr>
                <w:rFonts w:ascii="黑体" w:eastAsia="黑体"/>
                <w:kern w:val="0"/>
                <w:sz w:val="20"/>
                <w:szCs w:val="20"/>
              </w:rPr>
            </w:pPr>
            <w:r>
              <w:rPr>
                <w:rFonts w:ascii="黑体" w:eastAsia="黑体" w:hint="eastAsia"/>
                <w:kern w:val="0"/>
                <w:sz w:val="20"/>
                <w:szCs w:val="20"/>
              </w:rPr>
              <w:t>ACCData</w:t>
            </w:r>
          </w:p>
        </w:tc>
      </w:tr>
      <w:tr w:rsidR="00A052DC" w14:paraId="55352A26" w14:textId="77777777">
        <w:trPr>
          <w:jc w:val="center"/>
        </w:trPr>
        <w:tc>
          <w:tcPr>
            <w:tcW w:w="493" w:type="pct"/>
            <w:tcBorders>
              <w:top w:val="nil"/>
              <w:left w:val="single" w:sz="4" w:space="0" w:color="auto"/>
              <w:bottom w:val="single" w:sz="4" w:space="0" w:color="auto"/>
              <w:right w:val="single" w:sz="4" w:space="0" w:color="auto"/>
            </w:tcBorders>
            <w:shd w:val="clear" w:color="auto" w:fill="auto"/>
            <w:noWrap/>
            <w:vAlign w:val="center"/>
          </w:tcPr>
          <w:p w14:paraId="4E18BDB9" w14:textId="77777777" w:rsidR="00881462" w:rsidRDefault="009F0A60">
            <w:pPr>
              <w:jc w:val="center"/>
              <w:rPr>
                <w:rFonts w:ascii="黑体" w:eastAsia="黑体"/>
                <w:kern w:val="0"/>
                <w:sz w:val="20"/>
                <w:szCs w:val="20"/>
              </w:rPr>
            </w:pPr>
            <w:r>
              <w:rPr>
                <w:rFonts w:ascii="黑体" w:eastAsia="黑体" w:hint="eastAsia"/>
                <w:kern w:val="0"/>
                <w:sz w:val="20"/>
                <w:szCs w:val="20"/>
              </w:rPr>
              <w:t>3</w:t>
            </w:r>
          </w:p>
        </w:tc>
        <w:tc>
          <w:tcPr>
            <w:tcW w:w="3534" w:type="pct"/>
            <w:tcBorders>
              <w:top w:val="nil"/>
              <w:left w:val="nil"/>
              <w:bottom w:val="single" w:sz="4" w:space="0" w:color="auto"/>
              <w:right w:val="single" w:sz="4" w:space="0" w:color="auto"/>
            </w:tcBorders>
            <w:shd w:val="clear" w:color="auto" w:fill="auto"/>
            <w:noWrap/>
            <w:vAlign w:val="center"/>
          </w:tcPr>
          <w:p w14:paraId="26335214" w14:textId="77777777" w:rsidR="00A052DC" w:rsidRDefault="009F0A60">
            <w:pPr>
              <w:rPr>
                <w:rFonts w:ascii="黑体" w:eastAsia="黑体"/>
                <w:kern w:val="0"/>
                <w:sz w:val="20"/>
                <w:szCs w:val="20"/>
              </w:rPr>
            </w:pPr>
            <w:r>
              <w:rPr>
                <w:rFonts w:ascii="黑体" w:eastAsia="黑体" w:hint="eastAsia"/>
                <w:kern w:val="0"/>
                <w:sz w:val="20"/>
                <w:szCs w:val="20"/>
              </w:rPr>
              <w:t>外汇账户内结售汇数据</w:t>
            </w:r>
          </w:p>
        </w:tc>
        <w:tc>
          <w:tcPr>
            <w:tcW w:w="973" w:type="pct"/>
            <w:tcBorders>
              <w:top w:val="nil"/>
              <w:left w:val="nil"/>
              <w:bottom w:val="single" w:sz="4" w:space="0" w:color="auto"/>
              <w:right w:val="single" w:sz="4" w:space="0" w:color="auto"/>
            </w:tcBorders>
            <w:shd w:val="clear" w:color="auto" w:fill="auto"/>
            <w:noWrap/>
            <w:vAlign w:val="center"/>
          </w:tcPr>
          <w:p w14:paraId="19E08403" w14:textId="77777777" w:rsidR="00A052DC" w:rsidRDefault="009F0A60">
            <w:pPr>
              <w:rPr>
                <w:rFonts w:ascii="黑体" w:eastAsia="黑体"/>
                <w:kern w:val="0"/>
                <w:sz w:val="20"/>
                <w:szCs w:val="20"/>
              </w:rPr>
            </w:pPr>
            <w:r>
              <w:rPr>
                <w:rFonts w:ascii="黑体" w:eastAsia="黑体" w:hint="eastAsia"/>
                <w:kern w:val="0"/>
                <w:sz w:val="20"/>
                <w:szCs w:val="20"/>
              </w:rPr>
              <w:t>JSHData</w:t>
            </w:r>
          </w:p>
        </w:tc>
      </w:tr>
      <w:tr w:rsidR="00A052DC" w14:paraId="23B132B3" w14:textId="77777777">
        <w:trPr>
          <w:jc w:val="center"/>
        </w:trPr>
        <w:tc>
          <w:tcPr>
            <w:tcW w:w="493" w:type="pct"/>
            <w:tcBorders>
              <w:top w:val="nil"/>
              <w:left w:val="single" w:sz="4" w:space="0" w:color="auto"/>
              <w:bottom w:val="single" w:sz="4" w:space="0" w:color="auto"/>
              <w:right w:val="single" w:sz="4" w:space="0" w:color="auto"/>
            </w:tcBorders>
            <w:shd w:val="clear" w:color="auto" w:fill="auto"/>
            <w:noWrap/>
            <w:vAlign w:val="center"/>
          </w:tcPr>
          <w:p w14:paraId="739EE372" w14:textId="77777777" w:rsidR="00881462" w:rsidRDefault="009F0A60">
            <w:pPr>
              <w:jc w:val="center"/>
              <w:rPr>
                <w:rFonts w:ascii="黑体" w:eastAsia="黑体"/>
                <w:kern w:val="0"/>
                <w:sz w:val="20"/>
                <w:szCs w:val="20"/>
              </w:rPr>
            </w:pPr>
            <w:r>
              <w:rPr>
                <w:rFonts w:ascii="黑体" w:eastAsia="黑体" w:hint="eastAsia"/>
                <w:kern w:val="0"/>
                <w:sz w:val="20"/>
                <w:szCs w:val="20"/>
              </w:rPr>
              <w:t>4</w:t>
            </w:r>
          </w:p>
        </w:tc>
        <w:tc>
          <w:tcPr>
            <w:tcW w:w="3534" w:type="pct"/>
            <w:tcBorders>
              <w:top w:val="nil"/>
              <w:left w:val="nil"/>
              <w:bottom w:val="single" w:sz="4" w:space="0" w:color="auto"/>
              <w:right w:val="single" w:sz="4" w:space="0" w:color="auto"/>
            </w:tcBorders>
            <w:shd w:val="clear" w:color="auto" w:fill="auto"/>
            <w:noWrap/>
            <w:vAlign w:val="center"/>
          </w:tcPr>
          <w:p w14:paraId="31887EFB" w14:textId="77777777" w:rsidR="00A052DC" w:rsidRDefault="009F0A60">
            <w:pPr>
              <w:rPr>
                <w:rFonts w:ascii="黑体" w:eastAsia="黑体"/>
                <w:kern w:val="0"/>
                <w:sz w:val="20"/>
                <w:szCs w:val="20"/>
              </w:rPr>
            </w:pPr>
            <w:r>
              <w:rPr>
                <w:rFonts w:ascii="黑体" w:eastAsia="黑体" w:hint="eastAsia"/>
                <w:kern w:val="0"/>
                <w:sz w:val="20"/>
                <w:szCs w:val="20"/>
              </w:rPr>
              <w:t>银行自身资本项目数据</w:t>
            </w:r>
          </w:p>
        </w:tc>
        <w:tc>
          <w:tcPr>
            <w:tcW w:w="973" w:type="pct"/>
            <w:tcBorders>
              <w:top w:val="nil"/>
              <w:left w:val="nil"/>
              <w:bottom w:val="single" w:sz="4" w:space="0" w:color="auto"/>
              <w:right w:val="single" w:sz="4" w:space="0" w:color="auto"/>
            </w:tcBorders>
            <w:shd w:val="clear" w:color="auto" w:fill="auto"/>
            <w:noWrap/>
            <w:vAlign w:val="center"/>
          </w:tcPr>
          <w:p w14:paraId="5C7C32AE" w14:textId="77777777" w:rsidR="00A052DC" w:rsidRDefault="009F0A60">
            <w:pPr>
              <w:rPr>
                <w:rFonts w:ascii="黑体" w:eastAsia="黑体"/>
                <w:kern w:val="0"/>
                <w:sz w:val="20"/>
                <w:szCs w:val="20"/>
              </w:rPr>
            </w:pPr>
            <w:r>
              <w:rPr>
                <w:rFonts w:ascii="黑体" w:eastAsia="黑体" w:hint="eastAsia"/>
                <w:kern w:val="0"/>
                <w:sz w:val="20"/>
                <w:szCs w:val="20"/>
              </w:rPr>
              <w:t>CFAData</w:t>
            </w:r>
          </w:p>
        </w:tc>
      </w:tr>
      <w:tr w:rsidR="00A052DC" w14:paraId="3224CA79" w14:textId="77777777">
        <w:trPr>
          <w:jc w:val="center"/>
        </w:trPr>
        <w:tc>
          <w:tcPr>
            <w:tcW w:w="493" w:type="pct"/>
            <w:tcBorders>
              <w:top w:val="nil"/>
              <w:left w:val="single" w:sz="4" w:space="0" w:color="auto"/>
              <w:bottom w:val="single" w:sz="4" w:space="0" w:color="auto"/>
              <w:right w:val="single" w:sz="4" w:space="0" w:color="auto"/>
            </w:tcBorders>
            <w:shd w:val="clear" w:color="auto" w:fill="auto"/>
            <w:noWrap/>
            <w:vAlign w:val="center"/>
          </w:tcPr>
          <w:p w14:paraId="5FF2CFAC" w14:textId="77777777" w:rsidR="00881462" w:rsidRDefault="009F0A60">
            <w:pPr>
              <w:jc w:val="center"/>
              <w:rPr>
                <w:rFonts w:ascii="黑体" w:eastAsia="黑体"/>
                <w:kern w:val="0"/>
                <w:sz w:val="20"/>
                <w:szCs w:val="20"/>
              </w:rPr>
            </w:pPr>
            <w:r>
              <w:rPr>
                <w:rFonts w:ascii="黑体" w:eastAsia="黑体" w:hint="eastAsia"/>
                <w:kern w:val="0"/>
                <w:sz w:val="20"/>
                <w:szCs w:val="20"/>
              </w:rPr>
              <w:t>5</w:t>
            </w:r>
          </w:p>
        </w:tc>
        <w:tc>
          <w:tcPr>
            <w:tcW w:w="3534" w:type="pct"/>
            <w:tcBorders>
              <w:top w:val="nil"/>
              <w:left w:val="nil"/>
              <w:bottom w:val="single" w:sz="4" w:space="0" w:color="auto"/>
              <w:right w:val="single" w:sz="4" w:space="0" w:color="auto"/>
            </w:tcBorders>
            <w:shd w:val="clear" w:color="auto" w:fill="auto"/>
            <w:noWrap/>
            <w:vAlign w:val="center"/>
          </w:tcPr>
          <w:p w14:paraId="0115E0BD" w14:textId="77777777" w:rsidR="00A052DC" w:rsidRDefault="009F0A60">
            <w:pPr>
              <w:rPr>
                <w:rFonts w:ascii="黑体" w:eastAsia="黑体"/>
                <w:kern w:val="0"/>
                <w:sz w:val="20"/>
                <w:szCs w:val="20"/>
              </w:rPr>
            </w:pPr>
            <w:r>
              <w:rPr>
                <w:rFonts w:ascii="黑体" w:eastAsia="黑体" w:hint="eastAsia"/>
                <w:kern w:val="0"/>
                <w:sz w:val="20"/>
                <w:szCs w:val="20"/>
              </w:rPr>
              <w:t>对外金融资产负债及交易数据</w:t>
            </w:r>
          </w:p>
        </w:tc>
        <w:tc>
          <w:tcPr>
            <w:tcW w:w="973" w:type="pct"/>
            <w:tcBorders>
              <w:top w:val="nil"/>
              <w:left w:val="nil"/>
              <w:bottom w:val="single" w:sz="4" w:space="0" w:color="auto"/>
              <w:right w:val="single" w:sz="4" w:space="0" w:color="auto"/>
            </w:tcBorders>
            <w:shd w:val="clear" w:color="auto" w:fill="auto"/>
            <w:noWrap/>
            <w:vAlign w:val="center"/>
          </w:tcPr>
          <w:p w14:paraId="3F5B71AD" w14:textId="77777777" w:rsidR="00A052DC" w:rsidRDefault="009F0A60">
            <w:pPr>
              <w:rPr>
                <w:rFonts w:ascii="黑体" w:eastAsia="黑体"/>
                <w:kern w:val="0"/>
                <w:sz w:val="20"/>
                <w:szCs w:val="20"/>
              </w:rPr>
            </w:pPr>
            <w:r>
              <w:rPr>
                <w:rFonts w:ascii="黑体" w:eastAsia="黑体" w:hint="eastAsia"/>
                <w:kern w:val="0"/>
                <w:sz w:val="20"/>
                <w:szCs w:val="20"/>
              </w:rPr>
              <w:t>FALData</w:t>
            </w:r>
          </w:p>
        </w:tc>
      </w:tr>
      <w:tr w:rsidR="00A052DC" w14:paraId="78E56605" w14:textId="77777777">
        <w:trPr>
          <w:jc w:val="center"/>
        </w:trPr>
        <w:tc>
          <w:tcPr>
            <w:tcW w:w="4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7853FB" w14:textId="77777777" w:rsidR="00881462" w:rsidRDefault="009F0A60">
            <w:pPr>
              <w:jc w:val="center"/>
              <w:rPr>
                <w:rFonts w:ascii="黑体" w:eastAsia="黑体"/>
                <w:kern w:val="0"/>
                <w:sz w:val="20"/>
                <w:szCs w:val="20"/>
              </w:rPr>
            </w:pPr>
            <w:r>
              <w:rPr>
                <w:rFonts w:ascii="黑体" w:eastAsia="黑体" w:hint="eastAsia"/>
                <w:kern w:val="0"/>
                <w:sz w:val="20"/>
                <w:szCs w:val="20"/>
              </w:rPr>
              <w:t>6</w:t>
            </w:r>
          </w:p>
        </w:tc>
        <w:tc>
          <w:tcPr>
            <w:tcW w:w="3534" w:type="pct"/>
            <w:tcBorders>
              <w:top w:val="single" w:sz="4" w:space="0" w:color="auto"/>
              <w:left w:val="nil"/>
              <w:bottom w:val="single" w:sz="4" w:space="0" w:color="auto"/>
              <w:right w:val="single" w:sz="4" w:space="0" w:color="auto"/>
            </w:tcBorders>
            <w:shd w:val="clear" w:color="auto" w:fill="auto"/>
            <w:noWrap/>
            <w:vAlign w:val="center"/>
          </w:tcPr>
          <w:p w14:paraId="4B3A9DB9" w14:textId="77777777" w:rsidR="00A052DC" w:rsidRDefault="009F0A60">
            <w:pPr>
              <w:rPr>
                <w:rFonts w:ascii="黑体" w:eastAsia="黑体"/>
                <w:kern w:val="0"/>
                <w:sz w:val="20"/>
                <w:szCs w:val="20"/>
              </w:rPr>
            </w:pPr>
            <w:r>
              <w:rPr>
                <w:rFonts w:ascii="黑体" w:eastAsia="黑体" w:hint="eastAsia"/>
                <w:kern w:val="0"/>
                <w:sz w:val="20"/>
                <w:szCs w:val="20"/>
              </w:rPr>
              <w:t>机构外币现钞存取数据</w:t>
            </w:r>
          </w:p>
        </w:tc>
        <w:tc>
          <w:tcPr>
            <w:tcW w:w="973" w:type="pct"/>
            <w:tcBorders>
              <w:top w:val="single" w:sz="4" w:space="0" w:color="auto"/>
              <w:left w:val="nil"/>
              <w:bottom w:val="single" w:sz="4" w:space="0" w:color="auto"/>
              <w:right w:val="single" w:sz="4" w:space="0" w:color="auto"/>
            </w:tcBorders>
            <w:shd w:val="clear" w:color="auto" w:fill="auto"/>
            <w:noWrap/>
            <w:vAlign w:val="center"/>
          </w:tcPr>
          <w:p w14:paraId="22C19E5F" w14:textId="77777777" w:rsidR="00A052DC" w:rsidRDefault="009F0A60">
            <w:pPr>
              <w:rPr>
                <w:rFonts w:ascii="黑体" w:eastAsia="黑体"/>
                <w:kern w:val="0"/>
                <w:sz w:val="20"/>
                <w:szCs w:val="20"/>
              </w:rPr>
            </w:pPr>
            <w:r>
              <w:rPr>
                <w:rFonts w:ascii="黑体" w:eastAsia="黑体" w:hint="eastAsia"/>
                <w:kern w:val="0"/>
                <w:sz w:val="20"/>
                <w:szCs w:val="20"/>
              </w:rPr>
              <w:t>CWDData</w:t>
            </w:r>
          </w:p>
        </w:tc>
      </w:tr>
      <w:tr w:rsidR="00A052DC" w14:paraId="19BC5637" w14:textId="77777777">
        <w:trPr>
          <w:jc w:val="center"/>
        </w:trPr>
        <w:tc>
          <w:tcPr>
            <w:tcW w:w="4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87C0E9" w14:textId="77777777" w:rsidR="00881462" w:rsidRDefault="009F0A60">
            <w:pPr>
              <w:jc w:val="center"/>
              <w:rPr>
                <w:rFonts w:ascii="黑体" w:eastAsia="黑体"/>
                <w:kern w:val="0"/>
                <w:sz w:val="20"/>
                <w:szCs w:val="20"/>
              </w:rPr>
            </w:pPr>
            <w:r>
              <w:rPr>
                <w:rFonts w:ascii="黑体" w:eastAsia="黑体" w:hint="eastAsia"/>
                <w:kern w:val="0"/>
                <w:sz w:val="20"/>
                <w:szCs w:val="20"/>
              </w:rPr>
              <w:t>7</w:t>
            </w:r>
          </w:p>
        </w:tc>
        <w:tc>
          <w:tcPr>
            <w:tcW w:w="3534" w:type="pct"/>
            <w:tcBorders>
              <w:top w:val="single" w:sz="4" w:space="0" w:color="auto"/>
              <w:left w:val="nil"/>
              <w:bottom w:val="single" w:sz="4" w:space="0" w:color="auto"/>
              <w:right w:val="single" w:sz="4" w:space="0" w:color="auto"/>
            </w:tcBorders>
            <w:shd w:val="clear" w:color="auto" w:fill="auto"/>
            <w:noWrap/>
            <w:vAlign w:val="center"/>
          </w:tcPr>
          <w:p w14:paraId="5A005E1E" w14:textId="77777777" w:rsidR="00A052DC" w:rsidRDefault="009F0A60">
            <w:pPr>
              <w:rPr>
                <w:rFonts w:ascii="黑体" w:eastAsia="黑体"/>
                <w:kern w:val="0"/>
                <w:sz w:val="20"/>
                <w:szCs w:val="20"/>
              </w:rPr>
            </w:pPr>
            <w:r>
              <w:rPr>
                <w:rFonts w:ascii="黑体" w:eastAsia="黑体" w:hint="eastAsia"/>
                <w:kern w:val="0"/>
                <w:sz w:val="20"/>
                <w:szCs w:val="20"/>
              </w:rPr>
              <w:t>银行自身外债数据</w:t>
            </w:r>
          </w:p>
        </w:tc>
        <w:tc>
          <w:tcPr>
            <w:tcW w:w="973" w:type="pct"/>
            <w:tcBorders>
              <w:top w:val="single" w:sz="4" w:space="0" w:color="auto"/>
              <w:left w:val="nil"/>
              <w:bottom w:val="single" w:sz="4" w:space="0" w:color="auto"/>
              <w:right w:val="single" w:sz="4" w:space="0" w:color="auto"/>
            </w:tcBorders>
            <w:shd w:val="clear" w:color="auto" w:fill="auto"/>
            <w:noWrap/>
            <w:vAlign w:val="center"/>
          </w:tcPr>
          <w:p w14:paraId="5B279CEF" w14:textId="77777777" w:rsidR="00A052DC" w:rsidRDefault="009F0A60">
            <w:pPr>
              <w:rPr>
                <w:rFonts w:ascii="黑体" w:eastAsia="黑体"/>
                <w:kern w:val="0"/>
                <w:sz w:val="20"/>
                <w:szCs w:val="20"/>
              </w:rPr>
            </w:pPr>
            <w:r>
              <w:rPr>
                <w:rFonts w:ascii="黑体" w:eastAsia="黑体" w:hint="eastAsia"/>
                <w:kern w:val="0"/>
                <w:sz w:val="20"/>
                <w:szCs w:val="20"/>
              </w:rPr>
              <w:t>EXDData</w:t>
            </w:r>
          </w:p>
        </w:tc>
      </w:tr>
      <w:tr w:rsidR="00A052DC" w14:paraId="5C70696C" w14:textId="77777777">
        <w:trPr>
          <w:trHeight w:val="239"/>
          <w:jc w:val="center"/>
        </w:trPr>
        <w:tc>
          <w:tcPr>
            <w:tcW w:w="4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444A34" w14:textId="77777777" w:rsidR="00881462" w:rsidRDefault="009F0A60">
            <w:pPr>
              <w:jc w:val="center"/>
              <w:rPr>
                <w:rFonts w:ascii="黑体" w:eastAsia="黑体"/>
                <w:kern w:val="0"/>
                <w:sz w:val="20"/>
                <w:szCs w:val="20"/>
              </w:rPr>
            </w:pPr>
            <w:r>
              <w:rPr>
                <w:rFonts w:ascii="黑体" w:eastAsia="黑体" w:hint="eastAsia"/>
                <w:kern w:val="0"/>
                <w:sz w:val="20"/>
                <w:szCs w:val="20"/>
              </w:rPr>
              <w:t>8</w:t>
            </w:r>
          </w:p>
        </w:tc>
        <w:tc>
          <w:tcPr>
            <w:tcW w:w="3534" w:type="pct"/>
            <w:tcBorders>
              <w:top w:val="single" w:sz="4" w:space="0" w:color="auto"/>
              <w:left w:val="nil"/>
              <w:bottom w:val="single" w:sz="4" w:space="0" w:color="auto"/>
              <w:right w:val="single" w:sz="4" w:space="0" w:color="auto"/>
            </w:tcBorders>
            <w:shd w:val="clear" w:color="auto" w:fill="auto"/>
            <w:noWrap/>
            <w:vAlign w:val="center"/>
          </w:tcPr>
          <w:p w14:paraId="7BDF9F01" w14:textId="77777777" w:rsidR="00A052DC" w:rsidRDefault="009F0A60">
            <w:pPr>
              <w:rPr>
                <w:rFonts w:ascii="黑体" w:eastAsia="黑体"/>
                <w:kern w:val="0"/>
                <w:sz w:val="20"/>
                <w:szCs w:val="20"/>
              </w:rPr>
            </w:pPr>
            <w:r>
              <w:rPr>
                <w:rFonts w:ascii="Times New Roman" w:eastAsia="黑体" w:hAnsi="Times New Roman" w:hint="eastAsia"/>
                <w:kern w:val="0"/>
                <w:sz w:val="20"/>
                <w:szCs w:val="20"/>
              </w:rPr>
              <w:t>银行卡境外提现明细数据</w:t>
            </w:r>
          </w:p>
        </w:tc>
        <w:tc>
          <w:tcPr>
            <w:tcW w:w="973" w:type="pct"/>
            <w:tcBorders>
              <w:top w:val="single" w:sz="4" w:space="0" w:color="auto"/>
              <w:left w:val="nil"/>
              <w:bottom w:val="single" w:sz="4" w:space="0" w:color="auto"/>
              <w:right w:val="single" w:sz="4" w:space="0" w:color="auto"/>
            </w:tcBorders>
            <w:shd w:val="clear" w:color="auto" w:fill="auto"/>
            <w:noWrap/>
            <w:vAlign w:val="center"/>
          </w:tcPr>
          <w:p w14:paraId="4CE3DBB4" w14:textId="77777777" w:rsidR="00A052DC" w:rsidRDefault="009F0A60">
            <w:pPr>
              <w:rPr>
                <w:rFonts w:ascii="黑体" w:eastAsia="黑体"/>
                <w:kern w:val="0"/>
                <w:sz w:val="20"/>
                <w:szCs w:val="20"/>
              </w:rPr>
            </w:pPr>
            <w:r>
              <w:rPr>
                <w:rFonts w:ascii="Times New Roman" w:eastAsia="黑体" w:hAnsi="Times New Roman"/>
                <w:kern w:val="0"/>
                <w:sz w:val="20"/>
                <w:szCs w:val="20"/>
              </w:rPr>
              <w:t>CRDData</w:t>
            </w:r>
          </w:p>
        </w:tc>
      </w:tr>
      <w:tr w:rsidR="00A052DC" w14:paraId="38CB014A" w14:textId="77777777">
        <w:trPr>
          <w:trHeight w:val="287"/>
          <w:jc w:val="center"/>
        </w:trPr>
        <w:tc>
          <w:tcPr>
            <w:tcW w:w="4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8936B0" w14:textId="77777777" w:rsidR="00881462" w:rsidRDefault="009F0A60">
            <w:pPr>
              <w:jc w:val="center"/>
              <w:rPr>
                <w:rFonts w:ascii="黑体" w:eastAsia="黑体"/>
                <w:kern w:val="0"/>
                <w:sz w:val="20"/>
                <w:szCs w:val="20"/>
              </w:rPr>
            </w:pPr>
            <w:r>
              <w:rPr>
                <w:rFonts w:ascii="黑体" w:eastAsia="黑体" w:hint="eastAsia"/>
                <w:kern w:val="0"/>
                <w:sz w:val="20"/>
                <w:szCs w:val="20"/>
              </w:rPr>
              <w:t>9</w:t>
            </w:r>
          </w:p>
        </w:tc>
        <w:tc>
          <w:tcPr>
            <w:tcW w:w="3534" w:type="pct"/>
            <w:tcBorders>
              <w:top w:val="single" w:sz="4" w:space="0" w:color="auto"/>
              <w:left w:val="nil"/>
              <w:bottom w:val="single" w:sz="4" w:space="0" w:color="auto"/>
              <w:right w:val="single" w:sz="4" w:space="0" w:color="auto"/>
            </w:tcBorders>
            <w:shd w:val="clear" w:color="auto" w:fill="auto"/>
            <w:noWrap/>
            <w:vAlign w:val="center"/>
          </w:tcPr>
          <w:p w14:paraId="2E03F1B4" w14:textId="77777777" w:rsidR="00A052DC" w:rsidRDefault="009F0A60">
            <w:pPr>
              <w:rPr>
                <w:rFonts w:ascii="黑体" w:eastAsia="黑体"/>
                <w:kern w:val="0"/>
                <w:sz w:val="20"/>
                <w:szCs w:val="20"/>
              </w:rPr>
            </w:pPr>
            <w:r>
              <w:rPr>
                <w:rFonts w:ascii="Times New Roman" w:eastAsia="黑体" w:hAnsi="Times New Roman" w:hint="eastAsia"/>
                <w:kern w:val="0"/>
                <w:sz w:val="20"/>
                <w:szCs w:val="20"/>
              </w:rPr>
              <w:t>银行卡境外消费明细数据</w:t>
            </w:r>
          </w:p>
        </w:tc>
        <w:tc>
          <w:tcPr>
            <w:tcW w:w="973" w:type="pct"/>
            <w:tcBorders>
              <w:top w:val="single" w:sz="4" w:space="0" w:color="auto"/>
              <w:left w:val="nil"/>
              <w:bottom w:val="single" w:sz="4" w:space="0" w:color="auto"/>
              <w:right w:val="single" w:sz="4" w:space="0" w:color="auto"/>
            </w:tcBorders>
            <w:shd w:val="clear" w:color="auto" w:fill="auto"/>
            <w:noWrap/>
            <w:vAlign w:val="center"/>
          </w:tcPr>
          <w:p w14:paraId="685C5237" w14:textId="77777777" w:rsidR="00A052DC" w:rsidRDefault="009F0A60">
            <w:pPr>
              <w:rPr>
                <w:rFonts w:ascii="黑体" w:eastAsia="黑体"/>
                <w:kern w:val="0"/>
                <w:sz w:val="20"/>
                <w:szCs w:val="20"/>
              </w:rPr>
            </w:pPr>
            <w:r>
              <w:rPr>
                <w:rFonts w:ascii="Times New Roman" w:eastAsia="黑体" w:hAnsi="Times New Roman" w:hint="eastAsia"/>
                <w:kern w:val="0"/>
                <w:sz w:val="20"/>
                <w:szCs w:val="20"/>
              </w:rPr>
              <w:t>CRXDate</w:t>
            </w:r>
          </w:p>
        </w:tc>
      </w:tr>
      <w:tr w:rsidR="00A052DC" w14:paraId="51F3801F" w14:textId="77777777">
        <w:trPr>
          <w:trHeight w:val="287"/>
          <w:jc w:val="center"/>
        </w:trPr>
        <w:tc>
          <w:tcPr>
            <w:tcW w:w="4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FD50A4" w14:textId="77777777" w:rsidR="00881462" w:rsidRDefault="009F0A60">
            <w:pPr>
              <w:pStyle w:val="B"/>
              <w:jc w:val="center"/>
            </w:pPr>
            <w:r>
              <w:t>10</w:t>
            </w:r>
          </w:p>
        </w:tc>
        <w:tc>
          <w:tcPr>
            <w:tcW w:w="3534" w:type="pct"/>
            <w:tcBorders>
              <w:top w:val="single" w:sz="4" w:space="0" w:color="auto"/>
              <w:left w:val="nil"/>
              <w:bottom w:val="single" w:sz="4" w:space="0" w:color="auto"/>
              <w:right w:val="single" w:sz="4" w:space="0" w:color="auto"/>
            </w:tcBorders>
            <w:shd w:val="clear" w:color="auto" w:fill="auto"/>
            <w:noWrap/>
            <w:vAlign w:val="center"/>
          </w:tcPr>
          <w:p w14:paraId="370B9ED6" w14:textId="77777777" w:rsidR="00A052DC" w:rsidRDefault="009F0A60">
            <w:pPr>
              <w:pStyle w:val="B"/>
              <w:rPr>
                <w:rFonts w:ascii="Times New Roman" w:hAnsi="Times New Roman"/>
              </w:rPr>
            </w:pPr>
            <w:r>
              <w:rPr>
                <w:rFonts w:ascii="Times New Roman" w:hAnsi="Times New Roman" w:hint="eastAsia"/>
              </w:rPr>
              <w:t>涉嫌外汇违规账户信息、机构大额结售汇资金来源和使用数据</w:t>
            </w:r>
          </w:p>
        </w:tc>
        <w:tc>
          <w:tcPr>
            <w:tcW w:w="973" w:type="pct"/>
            <w:tcBorders>
              <w:top w:val="single" w:sz="4" w:space="0" w:color="auto"/>
              <w:left w:val="nil"/>
              <w:bottom w:val="single" w:sz="4" w:space="0" w:color="auto"/>
              <w:right w:val="single" w:sz="4" w:space="0" w:color="auto"/>
            </w:tcBorders>
            <w:shd w:val="clear" w:color="auto" w:fill="auto"/>
            <w:noWrap/>
            <w:vAlign w:val="center"/>
          </w:tcPr>
          <w:p w14:paraId="53D949DD" w14:textId="77777777" w:rsidR="00A052DC" w:rsidRDefault="009F0A60">
            <w:pPr>
              <w:pStyle w:val="B"/>
              <w:rPr>
                <w:rFonts w:ascii="Times New Roman" w:hAnsi="Times New Roman"/>
              </w:rPr>
            </w:pPr>
            <w:r>
              <w:rPr>
                <w:rFonts w:ascii="Times New Roman" w:hAnsi="Times New Roman"/>
              </w:rPr>
              <w:t>SACDate</w:t>
            </w:r>
          </w:p>
        </w:tc>
      </w:tr>
    </w:tbl>
    <w:p w14:paraId="05870121"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hint="eastAsia"/>
          <w:kern w:val="0"/>
          <w:sz w:val="24"/>
          <w:szCs w:val="20"/>
        </w:rPr>
        <w:t>如，外汇账户类数据传输应用的根目录、待发送目录、发送历史目录、错误文件目录和接口反馈目录路径见下图。具体配置请参考消息传输系统的安装部署手册（银行端）。</w:t>
      </w:r>
    </w:p>
    <w:p w14:paraId="2742F6A1" w14:textId="77777777" w:rsidR="00A052DC" w:rsidRDefault="00A052DC">
      <w:pPr>
        <w:spacing w:line="360" w:lineRule="auto"/>
        <w:ind w:firstLineChars="200" w:firstLine="480"/>
        <w:rPr>
          <w:rFonts w:ascii="Times New Roman" w:hAnsi="Times New Roman"/>
          <w:kern w:val="0"/>
          <w:sz w:val="24"/>
          <w:szCs w:val="20"/>
        </w:rPr>
      </w:pPr>
      <w:r w:rsidRPr="00A052DC">
        <w:rPr>
          <w:rStyle w:val="affc"/>
        </w:rPr>
        <w:object w:dxaOrig="16677" w:dyaOrig="16413" w14:anchorId="461F13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2pt;height:431.4pt" o:ole="">
            <v:imagedata r:id="rId15" o:title=""/>
          </v:shape>
          <o:OLEObject Type="Embed" ProgID="Visio.Drawing.11" ShapeID="_x0000_i1025" DrawAspect="Content" ObjectID="_1713896972" r:id="rId16"/>
        </w:object>
      </w:r>
    </w:p>
    <w:p w14:paraId="4EFC3556" w14:textId="77777777" w:rsidR="00A052DC" w:rsidRDefault="009F0A60" w:rsidP="0020251D">
      <w:pPr>
        <w:pStyle w:val="3"/>
        <w:ind w:left="0"/>
        <w:rPr>
          <w:rFonts w:ascii="Times New Roman" w:hAnsi="Times New Roman"/>
        </w:rPr>
      </w:pPr>
      <w:bookmarkStart w:id="844" w:name="_Toc533586588"/>
      <w:bookmarkStart w:id="845" w:name="_Toc527964651"/>
      <w:bookmarkStart w:id="846" w:name="_Toc527132537"/>
      <w:bookmarkStart w:id="847" w:name="_Toc525912078"/>
      <w:bookmarkStart w:id="848" w:name="_Toc525912830"/>
      <w:bookmarkStart w:id="849" w:name="_Toc533749761"/>
      <w:bookmarkStart w:id="850" w:name="_Toc527963059"/>
      <w:bookmarkStart w:id="851" w:name="_Toc532300452"/>
      <w:bookmarkStart w:id="852" w:name="_Toc380356222"/>
      <w:bookmarkStart w:id="853" w:name="_Toc454386733"/>
      <w:bookmarkStart w:id="854" w:name="_Toc91455251"/>
      <w:bookmarkStart w:id="855" w:name="_Toc101684424"/>
      <w:bookmarkEnd w:id="844"/>
      <w:bookmarkEnd w:id="845"/>
      <w:bookmarkEnd w:id="846"/>
      <w:bookmarkEnd w:id="847"/>
      <w:bookmarkEnd w:id="848"/>
      <w:bookmarkEnd w:id="849"/>
      <w:bookmarkEnd w:id="850"/>
      <w:bookmarkEnd w:id="851"/>
      <w:r>
        <w:rPr>
          <w:rFonts w:ascii="Times New Roman" w:hAnsi="Times New Roman" w:hint="eastAsia"/>
        </w:rPr>
        <w:t>接口文件读写与控制要求</w:t>
      </w:r>
      <w:bookmarkEnd w:id="852"/>
      <w:bookmarkEnd w:id="853"/>
      <w:bookmarkEnd w:id="854"/>
      <w:bookmarkEnd w:id="855"/>
    </w:p>
    <w:p w14:paraId="3C96FC95"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hint="eastAsia"/>
          <w:kern w:val="0"/>
          <w:sz w:val="24"/>
          <w:szCs w:val="20"/>
        </w:rPr>
        <w:t>金融机构接口程序应能将接口数据文件按控制目录自动放置消息传输系统的待发送目录，并能自动读取消息传输系统发送历史目录、错误文件目录和接口反馈目录。</w:t>
      </w:r>
    </w:p>
    <w:p w14:paraId="0764BFE4"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hint="eastAsia"/>
          <w:kern w:val="0"/>
          <w:sz w:val="24"/>
          <w:szCs w:val="20"/>
        </w:rPr>
        <w:t>金融机构应将数据报送时间和</w:t>
      </w:r>
      <w:r>
        <w:rPr>
          <w:rFonts w:ascii="Times New Roman" w:hAnsi="Times New Roman"/>
          <w:kern w:val="0"/>
          <w:sz w:val="24"/>
          <w:szCs w:val="20"/>
        </w:rPr>
        <w:t>MTS</w:t>
      </w:r>
      <w:r>
        <w:rPr>
          <w:rFonts w:ascii="Times New Roman" w:hAnsi="Times New Roman" w:hint="eastAsia"/>
          <w:kern w:val="0"/>
          <w:sz w:val="24"/>
          <w:szCs w:val="20"/>
        </w:rPr>
        <w:t>发送任务执行时间设置一定的时间间隔。</w:t>
      </w:r>
    </w:p>
    <w:p w14:paraId="3F22468D"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hint="eastAsia"/>
          <w:kern w:val="0"/>
          <w:sz w:val="24"/>
          <w:szCs w:val="20"/>
        </w:rPr>
        <w:t>为了保证消息传输系统传输银行接口文件的完整性，将采用基于令牌文件的方式解决金融机构放置待发送数据和消息传输系统自动传送之间、以及金融机构读取接口反馈文件与消息传输系统自动接收之间的冲突。令牌文件名为</w:t>
      </w:r>
      <w:r>
        <w:rPr>
          <w:rFonts w:ascii="Times New Roman" w:hAnsi="Times New Roman"/>
          <w:kern w:val="0"/>
          <w:sz w:val="24"/>
          <w:szCs w:val="20"/>
        </w:rPr>
        <w:t>Token.lock</w:t>
      </w:r>
      <w:r>
        <w:rPr>
          <w:rFonts w:ascii="Times New Roman" w:hAnsi="Times New Roman" w:hint="eastAsia"/>
          <w:kern w:val="0"/>
          <w:sz w:val="24"/>
          <w:szCs w:val="20"/>
        </w:rPr>
        <w:t>。</w:t>
      </w:r>
    </w:p>
    <w:p w14:paraId="20F955F5"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hint="eastAsia"/>
          <w:kern w:val="0"/>
          <w:sz w:val="24"/>
          <w:szCs w:val="20"/>
        </w:rPr>
        <w:t>金融机构在报送接口文件时检查待发送目录下是否有令牌文件，如果有，则不能报送；否则先创建令牌文件，当该批接口文件写入完毕后，再删除该令牌文件。消息交换系统发送时也要先创建令牌文件，发送完成后再删除该令牌文件，防止银行接口程序对发送中的接口文件进行修改。</w:t>
      </w:r>
    </w:p>
    <w:p w14:paraId="18635D77"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hint="eastAsia"/>
          <w:kern w:val="0"/>
          <w:sz w:val="24"/>
          <w:szCs w:val="20"/>
        </w:rPr>
        <w:t>消息传输系统收到外汇业务数据采集平台接口反馈文件时，先检查接口反馈目录下是否有令牌文件，如果有，则不能写入；否则，在接口反馈目录下创建令牌文件，待该批接口反馈文件全部写入完毕后，释放令牌，供银行读取。金融机构读取接口反馈文件时，也应先检查接口反馈目录下是否有令牌文件，如果有，则不能读取，否则创建令牌文件，读取接口反馈文件，读取完毕后再删除该令牌文件防止消息传输系统对该目录下的接口反馈文件进行修改。</w:t>
      </w:r>
    </w:p>
    <w:p w14:paraId="37056051"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hint="eastAsia"/>
          <w:kern w:val="0"/>
          <w:sz w:val="24"/>
          <w:szCs w:val="20"/>
        </w:rPr>
        <w:t>历史发送目录和错误文件目录的控制机制同接口反馈目录。</w:t>
      </w:r>
    </w:p>
    <w:p w14:paraId="644CE535" w14:textId="77777777" w:rsidR="00A052DC" w:rsidRDefault="00A052DC">
      <w:pPr>
        <w:spacing w:line="360" w:lineRule="auto"/>
        <w:ind w:firstLineChars="200" w:firstLine="480"/>
        <w:rPr>
          <w:rFonts w:ascii="Times New Roman" w:hAnsi="Times New Roman"/>
          <w:kern w:val="0"/>
          <w:sz w:val="24"/>
          <w:szCs w:val="20"/>
        </w:rPr>
      </w:pPr>
    </w:p>
    <w:p w14:paraId="7501FDAA" w14:textId="77777777" w:rsidR="00A052DC" w:rsidRDefault="009F0A60" w:rsidP="0020251D">
      <w:pPr>
        <w:pStyle w:val="1"/>
        <w:rPr>
          <w:rFonts w:ascii="Times New Roman" w:hAnsi="Times New Roman"/>
        </w:rPr>
      </w:pPr>
      <w:bookmarkStart w:id="856" w:name="_Toc91455252"/>
      <w:bookmarkStart w:id="857" w:name="_Toc380356223"/>
      <w:bookmarkStart w:id="858" w:name="_Toc454386734"/>
      <w:bookmarkStart w:id="859" w:name="_Toc101684425"/>
      <w:r>
        <w:rPr>
          <w:rFonts w:ascii="Times New Roman" w:hAnsi="Times New Roman" w:hint="eastAsia"/>
        </w:rPr>
        <w:t>接口文件格式</w:t>
      </w:r>
      <w:bookmarkEnd w:id="856"/>
      <w:bookmarkEnd w:id="857"/>
      <w:bookmarkEnd w:id="858"/>
      <w:bookmarkEnd w:id="859"/>
    </w:p>
    <w:p w14:paraId="686D53AC"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hint="eastAsia"/>
          <w:kern w:val="0"/>
          <w:sz w:val="24"/>
          <w:szCs w:val="20"/>
        </w:rPr>
        <w:t>在接口文件格式描述中使用以下术语：</w:t>
      </w:r>
    </w:p>
    <w:p w14:paraId="452FE37F" w14:textId="77777777" w:rsidR="00A052DC" w:rsidRDefault="009F0A60">
      <w:pPr>
        <w:spacing w:line="360" w:lineRule="auto"/>
        <w:ind w:firstLine="420"/>
        <w:rPr>
          <w:rFonts w:ascii="宋体" w:hAnsi="宋体"/>
          <w:sz w:val="24"/>
          <w:szCs w:val="24"/>
        </w:rPr>
      </w:pPr>
      <w:r>
        <w:rPr>
          <w:rFonts w:ascii="宋体" w:hAnsi="宋体" w:hint="eastAsia"/>
          <w:b/>
          <w:sz w:val="24"/>
          <w:szCs w:val="24"/>
        </w:rPr>
        <w:t>应用类型</w:t>
      </w:r>
      <w:r>
        <w:rPr>
          <w:rFonts w:ascii="宋体" w:hAnsi="宋体"/>
          <w:sz w:val="24"/>
          <w:szCs w:val="24"/>
        </w:rPr>
        <w:tab/>
      </w:r>
      <w:r>
        <w:rPr>
          <w:rFonts w:ascii="宋体" w:hAnsi="宋体"/>
          <w:sz w:val="24"/>
          <w:szCs w:val="24"/>
        </w:rPr>
        <w:tab/>
      </w:r>
      <w:r>
        <w:rPr>
          <w:rFonts w:ascii="宋体" w:hAnsi="宋体" w:hint="eastAsia"/>
          <w:sz w:val="24"/>
          <w:szCs w:val="24"/>
        </w:rPr>
        <w:t>本接口文件所用于应用类型的标识如下：</w:t>
      </w:r>
    </w:p>
    <w:tbl>
      <w:tblPr>
        <w:tblW w:w="0" w:type="auto"/>
        <w:jc w:val="center"/>
        <w:tblLook w:val="04A0" w:firstRow="1" w:lastRow="0" w:firstColumn="1" w:lastColumn="0" w:noHBand="0" w:noVBand="1"/>
      </w:tblPr>
      <w:tblGrid>
        <w:gridCol w:w="1416"/>
        <w:gridCol w:w="5616"/>
      </w:tblGrid>
      <w:tr w:rsidR="00A052DC" w14:paraId="0953C477"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9375C32" w14:textId="77777777" w:rsidR="00881462" w:rsidRDefault="009F0A60">
            <w:pPr>
              <w:pStyle w:val="B"/>
              <w:jc w:val="center"/>
            </w:pPr>
            <w:r>
              <w:rPr>
                <w:rFonts w:hint="eastAsia"/>
              </w:rPr>
              <w:t>应用类型代码</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BD8DAEF" w14:textId="77777777" w:rsidR="00881462" w:rsidRDefault="009F0A60">
            <w:pPr>
              <w:pStyle w:val="B"/>
              <w:jc w:val="center"/>
            </w:pPr>
            <w:r>
              <w:rPr>
                <w:rFonts w:hint="eastAsia"/>
              </w:rPr>
              <w:t>应用类型</w:t>
            </w:r>
          </w:p>
        </w:tc>
      </w:tr>
      <w:tr w:rsidR="00A052DC" w14:paraId="380A2994" w14:textId="77777777">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6DA4C133" w14:textId="77777777" w:rsidR="00881462" w:rsidRDefault="009F0A60">
            <w:pPr>
              <w:pStyle w:val="B"/>
              <w:jc w:val="center"/>
            </w:pPr>
            <w:r>
              <w:t>BOP</w:t>
            </w:r>
          </w:p>
        </w:tc>
        <w:tc>
          <w:tcPr>
            <w:tcW w:w="0" w:type="auto"/>
            <w:tcBorders>
              <w:top w:val="nil"/>
              <w:left w:val="nil"/>
              <w:bottom w:val="single" w:sz="4" w:space="0" w:color="auto"/>
              <w:right w:val="single" w:sz="4" w:space="0" w:color="auto"/>
            </w:tcBorders>
            <w:shd w:val="clear" w:color="auto" w:fill="auto"/>
            <w:noWrap/>
            <w:vAlign w:val="center"/>
          </w:tcPr>
          <w:p w14:paraId="6494B5AA" w14:textId="77777777" w:rsidR="00A052DC" w:rsidRDefault="009F0A60">
            <w:pPr>
              <w:pStyle w:val="B"/>
            </w:pPr>
            <w:r>
              <w:rPr>
                <w:rFonts w:hint="eastAsia"/>
              </w:rPr>
              <w:t>组织机构基本情况表、涉外收支数据、境内划转数据</w:t>
            </w:r>
          </w:p>
        </w:tc>
      </w:tr>
      <w:tr w:rsidR="00A052DC" w14:paraId="1009E371" w14:textId="77777777">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78E9DF0A" w14:textId="77777777" w:rsidR="00881462" w:rsidRDefault="009F0A60">
            <w:pPr>
              <w:pStyle w:val="B"/>
              <w:jc w:val="center"/>
            </w:pPr>
            <w:r>
              <w:t>ACC</w:t>
            </w:r>
          </w:p>
        </w:tc>
        <w:tc>
          <w:tcPr>
            <w:tcW w:w="0" w:type="auto"/>
            <w:tcBorders>
              <w:top w:val="nil"/>
              <w:left w:val="nil"/>
              <w:bottom w:val="single" w:sz="4" w:space="0" w:color="auto"/>
              <w:right w:val="single" w:sz="4" w:space="0" w:color="auto"/>
            </w:tcBorders>
            <w:shd w:val="clear" w:color="auto" w:fill="auto"/>
            <w:noWrap/>
            <w:vAlign w:val="center"/>
          </w:tcPr>
          <w:p w14:paraId="3F1E7F64" w14:textId="77777777" w:rsidR="00A052DC" w:rsidRDefault="009F0A60">
            <w:pPr>
              <w:pStyle w:val="B"/>
            </w:pPr>
            <w:r>
              <w:rPr>
                <w:rFonts w:hint="eastAsia"/>
              </w:rPr>
              <w:t>外汇账户数据</w:t>
            </w:r>
          </w:p>
        </w:tc>
      </w:tr>
      <w:tr w:rsidR="00A052DC" w14:paraId="1706D6A4" w14:textId="77777777">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66671DCC" w14:textId="77777777" w:rsidR="00881462" w:rsidRDefault="009F0A60">
            <w:pPr>
              <w:pStyle w:val="B"/>
              <w:jc w:val="center"/>
            </w:pPr>
            <w:r>
              <w:t>JSH</w:t>
            </w:r>
          </w:p>
        </w:tc>
        <w:tc>
          <w:tcPr>
            <w:tcW w:w="0" w:type="auto"/>
            <w:tcBorders>
              <w:top w:val="nil"/>
              <w:left w:val="nil"/>
              <w:bottom w:val="single" w:sz="4" w:space="0" w:color="auto"/>
              <w:right w:val="single" w:sz="4" w:space="0" w:color="auto"/>
            </w:tcBorders>
            <w:shd w:val="clear" w:color="auto" w:fill="auto"/>
            <w:noWrap/>
            <w:vAlign w:val="center"/>
          </w:tcPr>
          <w:p w14:paraId="1CEEFA58" w14:textId="77777777" w:rsidR="00A052DC" w:rsidRDefault="009F0A60">
            <w:pPr>
              <w:pStyle w:val="B"/>
            </w:pPr>
            <w:r>
              <w:rPr>
                <w:rFonts w:hint="eastAsia"/>
              </w:rPr>
              <w:t>外汇账户内结售汇数据</w:t>
            </w:r>
          </w:p>
        </w:tc>
      </w:tr>
      <w:tr w:rsidR="00A052DC" w14:paraId="2114A0A8" w14:textId="77777777">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7C650ECB" w14:textId="77777777" w:rsidR="00881462" w:rsidRDefault="009F0A60">
            <w:pPr>
              <w:pStyle w:val="B"/>
              <w:jc w:val="center"/>
            </w:pPr>
            <w:r>
              <w:t>CFA</w:t>
            </w:r>
          </w:p>
        </w:tc>
        <w:tc>
          <w:tcPr>
            <w:tcW w:w="0" w:type="auto"/>
            <w:tcBorders>
              <w:top w:val="nil"/>
              <w:left w:val="nil"/>
              <w:bottom w:val="single" w:sz="4" w:space="0" w:color="auto"/>
              <w:right w:val="single" w:sz="4" w:space="0" w:color="auto"/>
            </w:tcBorders>
            <w:shd w:val="clear" w:color="auto" w:fill="auto"/>
            <w:noWrap/>
            <w:vAlign w:val="center"/>
          </w:tcPr>
          <w:p w14:paraId="4BF56AF2" w14:textId="77777777" w:rsidR="00A052DC" w:rsidRDefault="009F0A60">
            <w:pPr>
              <w:pStyle w:val="B"/>
            </w:pPr>
            <w:r>
              <w:rPr>
                <w:rFonts w:hint="eastAsia"/>
              </w:rPr>
              <w:t>银行自身资本项目数据、银行自身资本项目数据</w:t>
            </w:r>
          </w:p>
        </w:tc>
      </w:tr>
      <w:tr w:rsidR="00A052DC" w14:paraId="7809E4CD" w14:textId="77777777">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2F63FF3C" w14:textId="77777777" w:rsidR="00881462" w:rsidRDefault="009F0A60">
            <w:pPr>
              <w:pStyle w:val="B"/>
              <w:jc w:val="center"/>
            </w:pPr>
            <w:r>
              <w:t>FAL</w:t>
            </w:r>
          </w:p>
        </w:tc>
        <w:tc>
          <w:tcPr>
            <w:tcW w:w="0" w:type="auto"/>
            <w:tcBorders>
              <w:top w:val="nil"/>
              <w:left w:val="nil"/>
              <w:bottom w:val="single" w:sz="4" w:space="0" w:color="auto"/>
              <w:right w:val="single" w:sz="4" w:space="0" w:color="auto"/>
            </w:tcBorders>
            <w:shd w:val="clear" w:color="auto" w:fill="auto"/>
            <w:noWrap/>
            <w:vAlign w:val="center"/>
          </w:tcPr>
          <w:p w14:paraId="2A436F19" w14:textId="77777777" w:rsidR="00A052DC" w:rsidRDefault="009F0A60">
            <w:pPr>
              <w:pStyle w:val="B"/>
            </w:pPr>
            <w:r>
              <w:rPr>
                <w:rFonts w:hint="eastAsia"/>
              </w:rPr>
              <w:t>对外金融资产负债及交易数据</w:t>
            </w:r>
          </w:p>
        </w:tc>
      </w:tr>
      <w:tr w:rsidR="00A052DC" w14:paraId="38E453D1" w14:textId="77777777">
        <w:trPr>
          <w:trHeight w:val="159"/>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2E9B7AB2" w14:textId="77777777" w:rsidR="00881462" w:rsidRDefault="009F0A60">
            <w:pPr>
              <w:pStyle w:val="B"/>
              <w:jc w:val="center"/>
            </w:pPr>
            <w:r>
              <w:t>CWD</w:t>
            </w:r>
          </w:p>
        </w:tc>
        <w:tc>
          <w:tcPr>
            <w:tcW w:w="0" w:type="auto"/>
            <w:tcBorders>
              <w:top w:val="nil"/>
              <w:left w:val="nil"/>
              <w:bottom w:val="single" w:sz="4" w:space="0" w:color="auto"/>
              <w:right w:val="single" w:sz="4" w:space="0" w:color="auto"/>
            </w:tcBorders>
            <w:shd w:val="clear" w:color="auto" w:fill="auto"/>
            <w:noWrap/>
            <w:vAlign w:val="center"/>
          </w:tcPr>
          <w:p w14:paraId="1DBEB9A3" w14:textId="77777777" w:rsidR="00A052DC" w:rsidRDefault="009F0A60">
            <w:pPr>
              <w:pStyle w:val="B"/>
            </w:pPr>
            <w:r>
              <w:rPr>
                <w:rFonts w:hint="eastAsia"/>
              </w:rPr>
              <w:t>机构外币现钞存取数据</w:t>
            </w:r>
          </w:p>
        </w:tc>
      </w:tr>
      <w:tr w:rsidR="00A052DC" w14:paraId="70045AFC" w14:textId="77777777">
        <w:trPr>
          <w:trHeight w:val="15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A705C35" w14:textId="77777777" w:rsidR="00881462" w:rsidRDefault="009F0A60">
            <w:pPr>
              <w:pStyle w:val="B"/>
              <w:jc w:val="center"/>
            </w:pPr>
            <w:r>
              <w:t>EXD</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38E2A95" w14:textId="77777777" w:rsidR="00A052DC" w:rsidRDefault="009F0A60">
            <w:pPr>
              <w:pStyle w:val="B"/>
            </w:pPr>
            <w:r>
              <w:rPr>
                <w:rFonts w:hint="eastAsia"/>
              </w:rPr>
              <w:t>银行自身外债数据</w:t>
            </w:r>
          </w:p>
        </w:tc>
      </w:tr>
      <w:tr w:rsidR="00A052DC" w14:paraId="4BB3327C" w14:textId="77777777">
        <w:trPr>
          <w:trHeight w:val="15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722372F9" w14:textId="77777777" w:rsidR="00881462" w:rsidRDefault="009F0A60">
            <w:pPr>
              <w:pStyle w:val="B"/>
              <w:jc w:val="center"/>
            </w:pPr>
            <w:r>
              <w:t>CRD</w:t>
            </w:r>
          </w:p>
        </w:tc>
        <w:tc>
          <w:tcPr>
            <w:tcW w:w="0" w:type="auto"/>
            <w:tcBorders>
              <w:top w:val="single" w:sz="4" w:space="0" w:color="auto"/>
              <w:left w:val="nil"/>
              <w:bottom w:val="single" w:sz="4" w:space="0" w:color="auto"/>
              <w:right w:val="single" w:sz="4" w:space="0" w:color="auto"/>
            </w:tcBorders>
            <w:shd w:val="clear" w:color="auto" w:fill="auto"/>
            <w:noWrap/>
          </w:tcPr>
          <w:p w14:paraId="54FEBD5B" w14:textId="77777777" w:rsidR="00A052DC" w:rsidRDefault="009F0A60">
            <w:pPr>
              <w:pStyle w:val="B"/>
            </w:pPr>
            <w:r>
              <w:rPr>
                <w:rFonts w:hint="eastAsia"/>
              </w:rPr>
              <w:t>银行卡境外提现明细数据</w:t>
            </w:r>
          </w:p>
        </w:tc>
      </w:tr>
      <w:tr w:rsidR="00A052DC" w14:paraId="74EF4B27" w14:textId="77777777">
        <w:trPr>
          <w:trHeight w:val="15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34A4A480" w14:textId="77777777" w:rsidR="00881462" w:rsidRDefault="009F0A60">
            <w:pPr>
              <w:pStyle w:val="B"/>
              <w:jc w:val="center"/>
            </w:pPr>
            <w:r>
              <w:t>CRX</w:t>
            </w:r>
          </w:p>
        </w:tc>
        <w:tc>
          <w:tcPr>
            <w:tcW w:w="0" w:type="auto"/>
            <w:tcBorders>
              <w:top w:val="single" w:sz="4" w:space="0" w:color="auto"/>
              <w:left w:val="nil"/>
              <w:bottom w:val="single" w:sz="4" w:space="0" w:color="auto"/>
              <w:right w:val="single" w:sz="4" w:space="0" w:color="auto"/>
            </w:tcBorders>
            <w:shd w:val="clear" w:color="auto" w:fill="auto"/>
            <w:noWrap/>
          </w:tcPr>
          <w:p w14:paraId="2B479A18" w14:textId="77777777" w:rsidR="00A052DC" w:rsidRDefault="009F0A60">
            <w:pPr>
              <w:pStyle w:val="B"/>
            </w:pPr>
            <w:r>
              <w:rPr>
                <w:rFonts w:hint="eastAsia"/>
              </w:rPr>
              <w:t>银行卡境外消费明细数据</w:t>
            </w:r>
          </w:p>
        </w:tc>
      </w:tr>
      <w:tr w:rsidR="00A052DC" w14:paraId="5D3B9586" w14:textId="77777777">
        <w:trPr>
          <w:trHeight w:val="15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1B231F77" w14:textId="77777777" w:rsidR="00881462" w:rsidRDefault="009F0A60">
            <w:pPr>
              <w:pStyle w:val="B"/>
              <w:jc w:val="center"/>
            </w:pPr>
            <w:r>
              <w:t>SAC</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D7ADB4B" w14:textId="77777777" w:rsidR="00A052DC" w:rsidRDefault="009F0A60">
            <w:pPr>
              <w:pStyle w:val="B"/>
            </w:pPr>
            <w:r>
              <w:rPr>
                <w:rFonts w:hint="eastAsia"/>
              </w:rPr>
              <w:t>涉嫌外汇违规账户信息、机构大额结售汇资金来源和使用数据</w:t>
            </w:r>
          </w:p>
        </w:tc>
      </w:tr>
    </w:tbl>
    <w:p w14:paraId="51E4283F" w14:textId="77777777" w:rsidR="00A052DC" w:rsidRPr="00C40CCF" w:rsidRDefault="00A412F6">
      <w:pPr>
        <w:spacing w:line="360" w:lineRule="auto"/>
        <w:ind w:firstLine="480"/>
        <w:rPr>
          <w:rFonts w:ascii="Times New Roman" w:hAnsi="Times New Roman"/>
          <w:sz w:val="24"/>
          <w:szCs w:val="24"/>
        </w:rPr>
      </w:pPr>
      <w:r w:rsidRPr="00A412F6">
        <w:rPr>
          <w:rFonts w:ascii="Times New Roman" w:hAnsi="宋体" w:hint="eastAsia"/>
          <w:b/>
          <w:sz w:val="24"/>
          <w:szCs w:val="24"/>
        </w:rPr>
        <w:t>当前文件类型</w:t>
      </w:r>
      <w:r w:rsidRPr="00A412F6">
        <w:rPr>
          <w:rFonts w:ascii="Times New Roman" w:hAnsi="Times New Roman"/>
          <w:b/>
          <w:sz w:val="24"/>
          <w:szCs w:val="24"/>
        </w:rPr>
        <w:tab/>
      </w:r>
      <w:r w:rsidRPr="00A412F6">
        <w:rPr>
          <w:rFonts w:ascii="Times New Roman" w:hAnsi="宋体" w:hint="eastAsia"/>
          <w:sz w:val="24"/>
          <w:szCs w:val="24"/>
        </w:rPr>
        <w:t>本接口文件的文件类型，即</w:t>
      </w:r>
      <w:r w:rsidRPr="00A412F6">
        <w:rPr>
          <w:rFonts w:ascii="Times New Roman" w:hAnsi="Times New Roman" w:hint="eastAsia"/>
          <w:sz w:val="24"/>
          <w:szCs w:val="24"/>
        </w:rPr>
        <w:t>“</w:t>
      </w:r>
      <w:r w:rsidRPr="00A412F6">
        <w:rPr>
          <w:rFonts w:ascii="Times New Roman" w:hAnsi="宋体" w:hint="eastAsia"/>
          <w:sz w:val="24"/>
          <w:szCs w:val="24"/>
        </w:rPr>
        <w:t>接口文件命名规则</w:t>
      </w:r>
      <w:r w:rsidRPr="00A412F6">
        <w:rPr>
          <w:rFonts w:ascii="Times New Roman" w:hAnsi="Times New Roman" w:hint="eastAsia"/>
          <w:sz w:val="24"/>
          <w:szCs w:val="24"/>
        </w:rPr>
        <w:t>”</w:t>
      </w:r>
      <w:r w:rsidRPr="00A412F6">
        <w:rPr>
          <w:rFonts w:ascii="Times New Roman" w:hAnsi="宋体" w:hint="eastAsia"/>
          <w:sz w:val="24"/>
          <w:szCs w:val="24"/>
        </w:rPr>
        <w:t>章节中的</w:t>
      </w:r>
      <w:r w:rsidRPr="00A412F6">
        <w:rPr>
          <w:rFonts w:ascii="Times New Roman" w:hAnsi="Times New Roman" w:hint="eastAsia"/>
          <w:sz w:val="24"/>
          <w:szCs w:val="24"/>
        </w:rPr>
        <w:t>“</w:t>
      </w:r>
      <w:r w:rsidRPr="00A412F6">
        <w:rPr>
          <w:rFonts w:ascii="Times New Roman" w:hAnsi="宋体" w:hint="eastAsia"/>
          <w:sz w:val="24"/>
          <w:szCs w:val="24"/>
        </w:rPr>
        <w:t>数据类型</w:t>
      </w:r>
      <w:r w:rsidRPr="00A412F6">
        <w:rPr>
          <w:rFonts w:ascii="Times New Roman" w:hAnsi="Times New Roman" w:hint="eastAsia"/>
          <w:sz w:val="24"/>
          <w:szCs w:val="24"/>
        </w:rPr>
        <w:t>”</w:t>
      </w:r>
      <w:r w:rsidRPr="00A412F6">
        <w:rPr>
          <w:rFonts w:ascii="Times New Roman" w:hAnsi="宋体" w:hint="eastAsia"/>
          <w:sz w:val="24"/>
          <w:szCs w:val="24"/>
        </w:rPr>
        <w:t>。</w:t>
      </w:r>
    </w:p>
    <w:p w14:paraId="38E8C850" w14:textId="77777777" w:rsidR="00A052DC" w:rsidRPr="00C40CCF" w:rsidRDefault="00A412F6">
      <w:pPr>
        <w:spacing w:line="360" w:lineRule="auto"/>
        <w:ind w:firstLine="480"/>
        <w:rPr>
          <w:rFonts w:ascii="Times New Roman" w:hAnsi="Times New Roman"/>
          <w:sz w:val="24"/>
          <w:szCs w:val="24"/>
        </w:rPr>
      </w:pPr>
      <w:r w:rsidRPr="00A412F6">
        <w:rPr>
          <w:rFonts w:ascii="Times New Roman" w:hAnsi="宋体" w:hint="eastAsia"/>
          <w:b/>
          <w:sz w:val="24"/>
          <w:szCs w:val="24"/>
        </w:rPr>
        <w:t>输入</w:t>
      </w:r>
      <w:r w:rsidRPr="00A412F6">
        <w:rPr>
          <w:rFonts w:ascii="Times New Roman" w:hAnsi="Times New Roman"/>
          <w:b/>
          <w:sz w:val="24"/>
          <w:szCs w:val="24"/>
        </w:rPr>
        <w:t>/</w:t>
      </w:r>
      <w:r w:rsidRPr="00A412F6">
        <w:rPr>
          <w:rFonts w:ascii="Times New Roman" w:hAnsi="宋体"/>
          <w:b/>
          <w:sz w:val="24"/>
          <w:szCs w:val="24"/>
        </w:rPr>
        <w:t>输出</w:t>
      </w:r>
      <w:r w:rsidRPr="00A412F6">
        <w:rPr>
          <w:rFonts w:ascii="Times New Roman" w:hAnsi="Times New Roman"/>
          <w:b/>
          <w:sz w:val="24"/>
          <w:szCs w:val="24"/>
        </w:rPr>
        <w:tab/>
      </w:r>
      <w:r w:rsidRPr="00A412F6">
        <w:rPr>
          <w:rFonts w:ascii="Times New Roman" w:hAnsi="Times New Roman"/>
          <w:b/>
          <w:sz w:val="24"/>
          <w:szCs w:val="24"/>
        </w:rPr>
        <w:tab/>
      </w:r>
      <w:r w:rsidRPr="00A412F6">
        <w:rPr>
          <w:rFonts w:ascii="Times New Roman" w:hAnsi="宋体" w:hint="eastAsia"/>
          <w:sz w:val="24"/>
          <w:szCs w:val="24"/>
        </w:rPr>
        <w:t>金融机构信息系统生成的接口文件为</w:t>
      </w:r>
      <w:r w:rsidRPr="00A412F6">
        <w:rPr>
          <w:rFonts w:ascii="Times New Roman" w:hAnsi="Times New Roman" w:hint="eastAsia"/>
          <w:sz w:val="24"/>
          <w:szCs w:val="24"/>
        </w:rPr>
        <w:t>“</w:t>
      </w:r>
      <w:r w:rsidRPr="00A412F6">
        <w:rPr>
          <w:rFonts w:ascii="Times New Roman" w:hAnsi="Times New Roman"/>
          <w:sz w:val="24"/>
          <w:szCs w:val="24"/>
        </w:rPr>
        <w:t>IN”</w:t>
      </w:r>
      <w:r w:rsidRPr="00A412F6">
        <w:rPr>
          <w:rFonts w:ascii="Times New Roman" w:hAnsi="宋体"/>
          <w:sz w:val="24"/>
          <w:szCs w:val="24"/>
        </w:rPr>
        <w:t>，接口反馈文件为</w:t>
      </w:r>
      <w:r w:rsidRPr="00A412F6">
        <w:rPr>
          <w:rFonts w:ascii="Times New Roman" w:hAnsi="Times New Roman"/>
          <w:sz w:val="24"/>
          <w:szCs w:val="24"/>
        </w:rPr>
        <w:t>“OUT”</w:t>
      </w:r>
      <w:r w:rsidRPr="00A412F6">
        <w:rPr>
          <w:rFonts w:ascii="Times New Roman" w:hAnsi="宋体"/>
          <w:sz w:val="24"/>
          <w:szCs w:val="24"/>
        </w:rPr>
        <w:t>。</w:t>
      </w:r>
    </w:p>
    <w:p w14:paraId="55596D38" w14:textId="77777777" w:rsidR="00A052DC" w:rsidRPr="00C40CCF" w:rsidRDefault="00A412F6">
      <w:pPr>
        <w:spacing w:line="360" w:lineRule="auto"/>
        <w:ind w:firstLine="480"/>
        <w:rPr>
          <w:rFonts w:ascii="Times New Roman" w:hAnsi="Times New Roman"/>
          <w:sz w:val="24"/>
          <w:szCs w:val="24"/>
        </w:rPr>
      </w:pPr>
      <w:r w:rsidRPr="00A412F6">
        <w:rPr>
          <w:rFonts w:ascii="Times New Roman" w:hAnsi="宋体" w:hint="eastAsia"/>
          <w:b/>
          <w:sz w:val="24"/>
          <w:szCs w:val="24"/>
        </w:rPr>
        <w:t>交易数据</w:t>
      </w:r>
      <w:r w:rsidRPr="00A412F6">
        <w:rPr>
          <w:rFonts w:ascii="Times New Roman" w:hAnsi="Times New Roman"/>
          <w:b/>
          <w:sz w:val="24"/>
          <w:szCs w:val="24"/>
        </w:rPr>
        <w:tab/>
      </w:r>
      <w:r w:rsidRPr="00A412F6">
        <w:rPr>
          <w:rFonts w:ascii="Times New Roman" w:hAnsi="Times New Roman"/>
          <w:b/>
          <w:sz w:val="24"/>
          <w:szCs w:val="24"/>
        </w:rPr>
        <w:tab/>
      </w:r>
      <w:r w:rsidRPr="00A412F6">
        <w:rPr>
          <w:rFonts w:ascii="Times New Roman" w:hAnsi="宋体" w:hint="eastAsia"/>
          <w:sz w:val="24"/>
          <w:szCs w:val="24"/>
        </w:rPr>
        <w:t>格式详见下面的章节。</w:t>
      </w:r>
    </w:p>
    <w:p w14:paraId="62BFD41C" w14:textId="77777777" w:rsidR="00A052DC" w:rsidRDefault="009F0A60" w:rsidP="0020251D">
      <w:pPr>
        <w:pStyle w:val="2"/>
        <w:rPr>
          <w:rFonts w:ascii="Times New Roman" w:hAnsi="Times New Roman"/>
        </w:rPr>
      </w:pPr>
      <w:bookmarkStart w:id="860" w:name="_Toc380356224"/>
      <w:bookmarkStart w:id="861" w:name="_Toc454386735"/>
      <w:bookmarkStart w:id="862" w:name="_Toc91455253"/>
      <w:bookmarkStart w:id="863" w:name="_Toc101684426"/>
      <w:r>
        <w:rPr>
          <w:rFonts w:ascii="Times New Roman" w:hAnsi="Times New Roman" w:hint="eastAsia"/>
        </w:rPr>
        <w:t>金融机构信息系统生成的接口文件格式</w:t>
      </w:r>
      <w:bookmarkEnd w:id="860"/>
      <w:bookmarkEnd w:id="861"/>
      <w:bookmarkEnd w:id="862"/>
      <w:bookmarkEnd w:id="863"/>
    </w:p>
    <w:p w14:paraId="74391D0C"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hint="eastAsia"/>
          <w:kern w:val="0"/>
          <w:sz w:val="24"/>
          <w:szCs w:val="20"/>
        </w:rPr>
        <w:t>金融机构信息系统生成的接口文件分成：接口控制文件和接口数据文件。</w:t>
      </w:r>
    </w:p>
    <w:p w14:paraId="4E1C3E42" w14:textId="77777777" w:rsidR="00A052DC" w:rsidRDefault="009F0A60" w:rsidP="0020251D">
      <w:pPr>
        <w:pStyle w:val="3"/>
        <w:ind w:left="0"/>
        <w:rPr>
          <w:rFonts w:ascii="Times New Roman" w:hAnsi="Times New Roman"/>
        </w:rPr>
      </w:pPr>
      <w:bookmarkStart w:id="864" w:name="_Toc380356225"/>
      <w:bookmarkStart w:id="865" w:name="_Toc91455254"/>
      <w:bookmarkStart w:id="866" w:name="_Toc454386736"/>
      <w:bookmarkStart w:id="867" w:name="_Toc101684427"/>
      <w:r>
        <w:rPr>
          <w:rFonts w:ascii="Times New Roman" w:hAnsi="Times New Roman" w:hint="eastAsia"/>
        </w:rPr>
        <w:t>接口控制文件格式</w:t>
      </w:r>
      <w:bookmarkEnd w:id="864"/>
      <w:bookmarkEnd w:id="865"/>
      <w:bookmarkEnd w:id="866"/>
      <w:bookmarkEnd w:id="867"/>
    </w:p>
    <w:p w14:paraId="2C8D4F35"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kern w:val="0"/>
          <w:sz w:val="24"/>
          <w:szCs w:val="20"/>
        </w:rPr>
        <w:t>&lt;MSG&gt;</w:t>
      </w:r>
    </w:p>
    <w:p w14:paraId="442466F1"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kern w:val="0"/>
          <w:sz w:val="24"/>
          <w:szCs w:val="20"/>
        </w:rPr>
        <w:t>&lt;APPTYPE&gt;</w:t>
      </w:r>
      <w:r>
        <w:rPr>
          <w:rFonts w:ascii="Times New Roman" w:hAnsi="Times New Roman" w:hint="eastAsia"/>
          <w:kern w:val="0"/>
          <w:sz w:val="24"/>
          <w:szCs w:val="20"/>
        </w:rPr>
        <w:t>应用类型</w:t>
      </w:r>
      <w:r>
        <w:rPr>
          <w:rFonts w:ascii="Times New Roman" w:hAnsi="Times New Roman"/>
          <w:kern w:val="0"/>
          <w:sz w:val="24"/>
          <w:szCs w:val="20"/>
        </w:rPr>
        <w:t>&lt;/APPTYPE&gt;</w:t>
      </w:r>
    </w:p>
    <w:p w14:paraId="438DF85A"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kern w:val="0"/>
          <w:sz w:val="24"/>
          <w:szCs w:val="20"/>
        </w:rPr>
        <w:t>&lt;CURRENTFILE&gt;</w:t>
      </w:r>
      <w:r>
        <w:rPr>
          <w:rFonts w:ascii="Times New Roman" w:hAnsi="Times New Roman" w:hint="eastAsia"/>
          <w:kern w:val="0"/>
          <w:sz w:val="24"/>
          <w:szCs w:val="20"/>
        </w:rPr>
        <w:t>当前文件类型</w:t>
      </w:r>
      <w:r>
        <w:rPr>
          <w:rFonts w:ascii="Times New Roman" w:hAnsi="Times New Roman"/>
          <w:kern w:val="0"/>
          <w:sz w:val="24"/>
          <w:szCs w:val="20"/>
        </w:rPr>
        <w:t>&lt;/CURRENTFILE&gt;</w:t>
      </w:r>
    </w:p>
    <w:p w14:paraId="387D7581"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kern w:val="0"/>
          <w:sz w:val="24"/>
          <w:szCs w:val="20"/>
        </w:rPr>
        <w:t>&lt;INOUT&gt;</w:t>
      </w:r>
      <w:r>
        <w:rPr>
          <w:rFonts w:ascii="Times New Roman" w:hAnsi="Times New Roman" w:hint="eastAsia"/>
          <w:kern w:val="0"/>
          <w:sz w:val="24"/>
          <w:szCs w:val="20"/>
        </w:rPr>
        <w:t>输入</w:t>
      </w:r>
      <w:r>
        <w:rPr>
          <w:rFonts w:ascii="Times New Roman" w:hAnsi="Times New Roman"/>
          <w:kern w:val="0"/>
          <w:sz w:val="24"/>
          <w:szCs w:val="20"/>
        </w:rPr>
        <w:t>/</w:t>
      </w:r>
      <w:r>
        <w:rPr>
          <w:rFonts w:ascii="Times New Roman" w:hAnsi="Times New Roman" w:hint="eastAsia"/>
          <w:kern w:val="0"/>
          <w:sz w:val="24"/>
          <w:szCs w:val="20"/>
        </w:rPr>
        <w:t>输出</w:t>
      </w:r>
      <w:r>
        <w:rPr>
          <w:rFonts w:ascii="Times New Roman" w:hAnsi="Times New Roman"/>
          <w:kern w:val="0"/>
          <w:sz w:val="24"/>
          <w:szCs w:val="20"/>
        </w:rPr>
        <w:t>&lt;/INOUT&gt;</w:t>
      </w:r>
    </w:p>
    <w:p w14:paraId="4011A36A"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kern w:val="0"/>
          <w:sz w:val="24"/>
          <w:szCs w:val="20"/>
        </w:rPr>
        <w:t>&lt;TOTALFILES&gt;</w:t>
      </w:r>
      <w:r>
        <w:rPr>
          <w:rFonts w:ascii="Times New Roman" w:hAnsi="Times New Roman" w:hint="eastAsia"/>
          <w:kern w:val="0"/>
          <w:sz w:val="24"/>
          <w:szCs w:val="20"/>
        </w:rPr>
        <w:t>总文件数</w:t>
      </w:r>
      <w:r>
        <w:rPr>
          <w:rFonts w:ascii="Times New Roman" w:hAnsi="Times New Roman"/>
          <w:kern w:val="0"/>
          <w:sz w:val="24"/>
          <w:szCs w:val="20"/>
        </w:rPr>
        <w:t>&lt;/TOTALFILES&gt;</w:t>
      </w:r>
    </w:p>
    <w:p w14:paraId="7FB6F345"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kern w:val="0"/>
          <w:sz w:val="24"/>
          <w:szCs w:val="20"/>
        </w:rPr>
        <w:t>&lt;FILES&gt;</w:t>
      </w:r>
    </w:p>
    <w:p w14:paraId="289F8F23"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kern w:val="0"/>
          <w:sz w:val="24"/>
          <w:szCs w:val="20"/>
        </w:rPr>
        <w:tab/>
      </w:r>
      <w:r>
        <w:rPr>
          <w:rFonts w:ascii="Times New Roman" w:hAnsi="Times New Roman"/>
          <w:kern w:val="0"/>
          <w:sz w:val="24"/>
          <w:szCs w:val="20"/>
        </w:rPr>
        <w:tab/>
        <w:t>&lt;FILENAME&gt;</w:t>
      </w:r>
      <w:r>
        <w:rPr>
          <w:rFonts w:ascii="Times New Roman" w:hAnsi="Times New Roman" w:hint="eastAsia"/>
          <w:kern w:val="0"/>
          <w:sz w:val="24"/>
          <w:szCs w:val="20"/>
        </w:rPr>
        <w:t>文件名</w:t>
      </w:r>
      <w:r>
        <w:rPr>
          <w:rFonts w:ascii="Times New Roman" w:hAnsi="Times New Roman"/>
          <w:kern w:val="0"/>
          <w:sz w:val="24"/>
          <w:szCs w:val="20"/>
        </w:rPr>
        <w:t>&lt;/FILENAME&gt;</w:t>
      </w:r>
    </w:p>
    <w:p w14:paraId="0C42E8F1"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kern w:val="0"/>
          <w:sz w:val="24"/>
          <w:szCs w:val="20"/>
        </w:rPr>
        <w:tab/>
      </w:r>
      <w:r>
        <w:rPr>
          <w:rFonts w:ascii="Times New Roman" w:hAnsi="Times New Roman"/>
          <w:kern w:val="0"/>
          <w:sz w:val="24"/>
          <w:szCs w:val="20"/>
        </w:rPr>
        <w:tab/>
        <w:t>……</w:t>
      </w:r>
      <w:r>
        <w:rPr>
          <w:rFonts w:ascii="Times New Roman" w:hAnsi="Times New Roman" w:hint="eastAsia"/>
          <w:kern w:val="0"/>
          <w:sz w:val="24"/>
          <w:szCs w:val="20"/>
        </w:rPr>
        <w:t>列出将导入的所有接口数据文件名</w:t>
      </w:r>
    </w:p>
    <w:p w14:paraId="7DEF1401"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kern w:val="0"/>
          <w:sz w:val="24"/>
          <w:szCs w:val="20"/>
        </w:rPr>
        <w:t>&lt;/FILES&gt;</w:t>
      </w:r>
    </w:p>
    <w:p w14:paraId="57DF5BE1"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kern w:val="0"/>
          <w:sz w:val="24"/>
          <w:szCs w:val="20"/>
        </w:rPr>
        <w:t>&lt;/MSG&gt;</w:t>
      </w:r>
    </w:p>
    <w:p w14:paraId="2ED4A7C6" w14:textId="77777777" w:rsidR="00A052DC" w:rsidRDefault="009F0A60" w:rsidP="0020251D">
      <w:pPr>
        <w:pStyle w:val="3"/>
        <w:ind w:left="0"/>
        <w:rPr>
          <w:rFonts w:ascii="Times New Roman" w:hAnsi="Times New Roman"/>
        </w:rPr>
      </w:pPr>
      <w:bookmarkStart w:id="868" w:name="_Toc380356226"/>
      <w:bookmarkStart w:id="869" w:name="_Toc454386737"/>
      <w:bookmarkStart w:id="870" w:name="_Toc91455255"/>
      <w:bookmarkStart w:id="871" w:name="_Toc101684428"/>
      <w:r>
        <w:rPr>
          <w:rFonts w:ascii="Times New Roman" w:hAnsi="Times New Roman" w:hint="eastAsia"/>
        </w:rPr>
        <w:t>接口数据文件格式</w:t>
      </w:r>
      <w:bookmarkEnd w:id="868"/>
      <w:bookmarkEnd w:id="869"/>
      <w:bookmarkEnd w:id="870"/>
      <w:bookmarkEnd w:id="871"/>
    </w:p>
    <w:p w14:paraId="2F351306"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kern w:val="0"/>
          <w:sz w:val="24"/>
          <w:szCs w:val="20"/>
        </w:rPr>
        <w:t>&lt;MSG&gt;</w:t>
      </w:r>
    </w:p>
    <w:p w14:paraId="22279A95"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kern w:val="0"/>
          <w:sz w:val="24"/>
          <w:szCs w:val="20"/>
        </w:rPr>
        <w:t>&lt;APPTYPE&gt;</w:t>
      </w:r>
      <w:r>
        <w:rPr>
          <w:rFonts w:ascii="Times New Roman" w:hAnsi="Times New Roman" w:hint="eastAsia"/>
          <w:kern w:val="0"/>
          <w:sz w:val="24"/>
          <w:szCs w:val="20"/>
        </w:rPr>
        <w:t>应用类型</w:t>
      </w:r>
      <w:r>
        <w:rPr>
          <w:rFonts w:ascii="Times New Roman" w:hAnsi="Times New Roman"/>
          <w:kern w:val="0"/>
          <w:sz w:val="24"/>
          <w:szCs w:val="20"/>
        </w:rPr>
        <w:t>&lt;/APPTYPE&gt;</w:t>
      </w:r>
    </w:p>
    <w:p w14:paraId="646211F4"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kern w:val="0"/>
          <w:sz w:val="24"/>
          <w:szCs w:val="20"/>
        </w:rPr>
        <w:t>&lt;CURRENTFILE&gt;</w:t>
      </w:r>
      <w:r>
        <w:rPr>
          <w:rFonts w:ascii="Times New Roman" w:hAnsi="Times New Roman" w:hint="eastAsia"/>
          <w:kern w:val="0"/>
          <w:sz w:val="24"/>
          <w:szCs w:val="20"/>
        </w:rPr>
        <w:t>当前文件类型</w:t>
      </w:r>
      <w:r>
        <w:rPr>
          <w:rFonts w:ascii="Times New Roman" w:hAnsi="Times New Roman"/>
          <w:kern w:val="0"/>
          <w:sz w:val="24"/>
          <w:szCs w:val="20"/>
        </w:rPr>
        <w:t>&lt;/CURRENTFILE&gt;</w:t>
      </w:r>
    </w:p>
    <w:p w14:paraId="2157B6F4"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kern w:val="0"/>
          <w:sz w:val="24"/>
          <w:szCs w:val="20"/>
        </w:rPr>
        <w:t>&lt;INOUT&gt;</w:t>
      </w:r>
      <w:r>
        <w:rPr>
          <w:rFonts w:ascii="Times New Roman" w:hAnsi="Times New Roman" w:hint="eastAsia"/>
          <w:kern w:val="0"/>
          <w:sz w:val="24"/>
          <w:szCs w:val="20"/>
        </w:rPr>
        <w:t>输入</w:t>
      </w:r>
      <w:r>
        <w:rPr>
          <w:rFonts w:ascii="Times New Roman" w:hAnsi="Times New Roman"/>
          <w:kern w:val="0"/>
          <w:sz w:val="24"/>
          <w:szCs w:val="20"/>
        </w:rPr>
        <w:t>/</w:t>
      </w:r>
      <w:r>
        <w:rPr>
          <w:rFonts w:ascii="Times New Roman" w:hAnsi="Times New Roman" w:hint="eastAsia"/>
          <w:kern w:val="0"/>
          <w:sz w:val="24"/>
          <w:szCs w:val="20"/>
        </w:rPr>
        <w:t>输出</w:t>
      </w:r>
      <w:r>
        <w:rPr>
          <w:rFonts w:ascii="Times New Roman" w:hAnsi="Times New Roman"/>
          <w:kern w:val="0"/>
          <w:sz w:val="24"/>
          <w:szCs w:val="20"/>
        </w:rPr>
        <w:t>&lt;/INOUT&gt;</w:t>
      </w:r>
    </w:p>
    <w:p w14:paraId="3D12650A"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kern w:val="0"/>
          <w:sz w:val="24"/>
          <w:szCs w:val="20"/>
        </w:rPr>
        <w:tab/>
        <w:t>&lt;TOTALRECORDS&gt;</w:t>
      </w:r>
      <w:r>
        <w:rPr>
          <w:rFonts w:ascii="Times New Roman" w:hAnsi="Times New Roman" w:hint="eastAsia"/>
          <w:kern w:val="0"/>
          <w:sz w:val="24"/>
          <w:szCs w:val="20"/>
        </w:rPr>
        <w:t>总记录数</w:t>
      </w:r>
      <w:r>
        <w:rPr>
          <w:rFonts w:ascii="Times New Roman" w:hAnsi="Times New Roman"/>
          <w:kern w:val="0"/>
          <w:sz w:val="24"/>
          <w:szCs w:val="20"/>
        </w:rPr>
        <w:t>&lt;/TOTALRECORDS&gt;</w:t>
      </w:r>
    </w:p>
    <w:p w14:paraId="05BB0588"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kern w:val="0"/>
          <w:sz w:val="24"/>
          <w:szCs w:val="20"/>
        </w:rPr>
        <w:tab/>
        <w:t>&lt;RECORDS&gt;</w:t>
      </w:r>
    </w:p>
    <w:p w14:paraId="72CFDE29"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kern w:val="0"/>
          <w:sz w:val="24"/>
          <w:szCs w:val="20"/>
        </w:rPr>
        <w:t>&lt;REC&gt;</w:t>
      </w:r>
    </w:p>
    <w:p w14:paraId="2B8ACE18"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hint="eastAsia"/>
          <w:kern w:val="0"/>
          <w:sz w:val="24"/>
          <w:szCs w:val="20"/>
        </w:rPr>
        <w:t>交易数据</w:t>
      </w:r>
    </w:p>
    <w:p w14:paraId="07114AA9"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kern w:val="0"/>
          <w:sz w:val="24"/>
          <w:szCs w:val="20"/>
        </w:rPr>
        <w:t>&lt;/REC&gt;</w:t>
      </w:r>
    </w:p>
    <w:p w14:paraId="3D69E400"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kern w:val="0"/>
          <w:sz w:val="24"/>
          <w:szCs w:val="20"/>
        </w:rPr>
        <w:tab/>
        <w:t xml:space="preserve">   ……</w:t>
      </w:r>
    </w:p>
    <w:p w14:paraId="225CAD18"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kern w:val="0"/>
          <w:sz w:val="24"/>
          <w:szCs w:val="20"/>
        </w:rPr>
        <w:t>&lt;/RECORDS&gt;</w:t>
      </w:r>
    </w:p>
    <w:p w14:paraId="58692412"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kern w:val="0"/>
          <w:sz w:val="24"/>
          <w:szCs w:val="20"/>
        </w:rPr>
        <w:t>&lt;/MSG&gt;</w:t>
      </w:r>
    </w:p>
    <w:p w14:paraId="5499A2C6"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hint="eastAsia"/>
          <w:kern w:val="0"/>
          <w:sz w:val="24"/>
          <w:szCs w:val="20"/>
        </w:rPr>
        <w:t>银行卡境外提现明细数据和银行卡境外消费明细数据需分别进行零报送。零报送时，总记录数为</w:t>
      </w:r>
      <w:r>
        <w:rPr>
          <w:rFonts w:ascii="Times New Roman" w:hAnsi="Times New Roman"/>
          <w:kern w:val="0"/>
          <w:sz w:val="24"/>
          <w:szCs w:val="20"/>
        </w:rPr>
        <w:t>0</w:t>
      </w:r>
      <w:r>
        <w:rPr>
          <w:rFonts w:ascii="Times New Roman" w:hAnsi="Times New Roman" w:hint="eastAsia"/>
          <w:kern w:val="0"/>
          <w:sz w:val="24"/>
          <w:szCs w:val="20"/>
        </w:rPr>
        <w:t>，交易数据为空。</w:t>
      </w:r>
    </w:p>
    <w:p w14:paraId="250676C6" w14:textId="77777777" w:rsidR="00A052DC" w:rsidRDefault="00A052DC">
      <w:pPr>
        <w:spacing w:line="360" w:lineRule="auto"/>
        <w:ind w:firstLineChars="200" w:firstLine="480"/>
        <w:rPr>
          <w:rFonts w:ascii="Times New Roman" w:hAnsi="Times New Roman"/>
          <w:kern w:val="0"/>
          <w:sz w:val="24"/>
          <w:szCs w:val="20"/>
        </w:rPr>
      </w:pPr>
    </w:p>
    <w:p w14:paraId="0407528A" w14:textId="77777777" w:rsidR="00A052DC" w:rsidRDefault="009F0A60" w:rsidP="0020251D">
      <w:pPr>
        <w:pStyle w:val="2"/>
        <w:rPr>
          <w:rFonts w:ascii="Times New Roman" w:hAnsi="Times New Roman"/>
        </w:rPr>
      </w:pPr>
      <w:bookmarkStart w:id="872" w:name="_Toc91455256"/>
      <w:bookmarkStart w:id="873" w:name="_Toc380356227"/>
      <w:bookmarkStart w:id="874" w:name="_Toc454386738"/>
      <w:bookmarkStart w:id="875" w:name="_Toc101684429"/>
      <w:r>
        <w:rPr>
          <w:rFonts w:ascii="Times New Roman" w:hAnsi="Times New Roman" w:hint="eastAsia"/>
        </w:rPr>
        <w:t>接口反馈文件格式</w:t>
      </w:r>
      <w:bookmarkEnd w:id="872"/>
      <w:bookmarkEnd w:id="873"/>
      <w:bookmarkEnd w:id="874"/>
      <w:bookmarkEnd w:id="875"/>
    </w:p>
    <w:p w14:paraId="27F62BFC"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hint="eastAsia"/>
          <w:kern w:val="0"/>
          <w:sz w:val="24"/>
          <w:szCs w:val="20"/>
        </w:rPr>
        <w:t>接口反馈文件分成：接口反馈控制文件和接口反馈数据文件。</w:t>
      </w:r>
    </w:p>
    <w:p w14:paraId="2A0230B3" w14:textId="77777777" w:rsidR="00A052DC" w:rsidRDefault="009F0A60" w:rsidP="0020251D">
      <w:pPr>
        <w:pStyle w:val="3"/>
        <w:ind w:left="0"/>
        <w:rPr>
          <w:rFonts w:ascii="Times New Roman" w:hAnsi="Times New Roman"/>
        </w:rPr>
      </w:pPr>
      <w:bookmarkStart w:id="876" w:name="_Toc380356228"/>
      <w:bookmarkStart w:id="877" w:name="_Toc454386739"/>
      <w:bookmarkStart w:id="878" w:name="_Toc91455257"/>
      <w:bookmarkStart w:id="879" w:name="_Toc101684430"/>
      <w:r>
        <w:rPr>
          <w:rFonts w:ascii="Times New Roman" w:hAnsi="Times New Roman" w:hint="eastAsia"/>
        </w:rPr>
        <w:t>接口反馈控制文件格式</w:t>
      </w:r>
      <w:bookmarkEnd w:id="876"/>
      <w:bookmarkEnd w:id="877"/>
      <w:bookmarkEnd w:id="878"/>
      <w:bookmarkEnd w:id="879"/>
    </w:p>
    <w:p w14:paraId="311307D0"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kern w:val="0"/>
          <w:sz w:val="24"/>
          <w:szCs w:val="20"/>
        </w:rPr>
        <w:t>&lt;MSG&gt;</w:t>
      </w:r>
    </w:p>
    <w:p w14:paraId="421F86A9"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kern w:val="0"/>
          <w:sz w:val="24"/>
          <w:szCs w:val="20"/>
        </w:rPr>
        <w:t>&lt;APPTYPE&gt;</w:t>
      </w:r>
      <w:r>
        <w:rPr>
          <w:rFonts w:ascii="Times New Roman" w:hAnsi="Times New Roman" w:hint="eastAsia"/>
          <w:kern w:val="0"/>
          <w:sz w:val="24"/>
          <w:szCs w:val="20"/>
        </w:rPr>
        <w:t>应用类型</w:t>
      </w:r>
      <w:r>
        <w:rPr>
          <w:rFonts w:ascii="Times New Roman" w:hAnsi="Times New Roman"/>
          <w:kern w:val="0"/>
          <w:sz w:val="24"/>
          <w:szCs w:val="20"/>
        </w:rPr>
        <w:t>&lt;/APPTYPE&gt;</w:t>
      </w:r>
    </w:p>
    <w:p w14:paraId="4E7DE1E7"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kern w:val="0"/>
          <w:sz w:val="24"/>
          <w:szCs w:val="20"/>
        </w:rPr>
        <w:t>&lt;CURRENTFILE&gt;</w:t>
      </w:r>
      <w:r>
        <w:rPr>
          <w:rFonts w:ascii="Times New Roman" w:hAnsi="Times New Roman" w:hint="eastAsia"/>
          <w:kern w:val="0"/>
          <w:sz w:val="24"/>
          <w:szCs w:val="20"/>
        </w:rPr>
        <w:t>当前文件类型</w:t>
      </w:r>
      <w:r>
        <w:rPr>
          <w:rFonts w:ascii="Times New Roman" w:hAnsi="Times New Roman"/>
          <w:kern w:val="0"/>
          <w:sz w:val="24"/>
          <w:szCs w:val="20"/>
        </w:rPr>
        <w:t>&lt;/CURRENTFILE&gt;</w:t>
      </w:r>
    </w:p>
    <w:p w14:paraId="4E5032F5"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kern w:val="0"/>
          <w:sz w:val="24"/>
          <w:szCs w:val="20"/>
        </w:rPr>
        <w:t>&lt;INOUT&gt;</w:t>
      </w:r>
      <w:r>
        <w:rPr>
          <w:rFonts w:ascii="Times New Roman" w:hAnsi="Times New Roman" w:hint="eastAsia"/>
          <w:kern w:val="0"/>
          <w:sz w:val="24"/>
          <w:szCs w:val="20"/>
        </w:rPr>
        <w:t>输入</w:t>
      </w:r>
      <w:r>
        <w:rPr>
          <w:rFonts w:ascii="Times New Roman" w:hAnsi="Times New Roman"/>
          <w:kern w:val="0"/>
          <w:sz w:val="24"/>
          <w:szCs w:val="20"/>
        </w:rPr>
        <w:t>/</w:t>
      </w:r>
      <w:r>
        <w:rPr>
          <w:rFonts w:ascii="Times New Roman" w:hAnsi="Times New Roman" w:hint="eastAsia"/>
          <w:kern w:val="0"/>
          <w:sz w:val="24"/>
          <w:szCs w:val="20"/>
        </w:rPr>
        <w:t>输出</w:t>
      </w:r>
      <w:r>
        <w:rPr>
          <w:rFonts w:ascii="Times New Roman" w:hAnsi="Times New Roman"/>
          <w:kern w:val="0"/>
          <w:sz w:val="24"/>
          <w:szCs w:val="20"/>
        </w:rPr>
        <w:t>&lt;/INOUT&gt;</w:t>
      </w:r>
    </w:p>
    <w:p w14:paraId="75BFCB40"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kern w:val="0"/>
          <w:sz w:val="24"/>
          <w:szCs w:val="20"/>
        </w:rPr>
        <w:t>&lt;TOTALFILES&gt;</w:t>
      </w:r>
      <w:r>
        <w:rPr>
          <w:rFonts w:ascii="Times New Roman" w:hAnsi="Times New Roman" w:hint="eastAsia"/>
          <w:kern w:val="0"/>
          <w:sz w:val="24"/>
          <w:szCs w:val="20"/>
        </w:rPr>
        <w:t>总文件数</w:t>
      </w:r>
      <w:r>
        <w:rPr>
          <w:rFonts w:ascii="Times New Roman" w:hAnsi="Times New Roman"/>
          <w:kern w:val="0"/>
          <w:sz w:val="24"/>
          <w:szCs w:val="20"/>
        </w:rPr>
        <w:t>&lt;/TOTALFILES&gt;</w:t>
      </w:r>
    </w:p>
    <w:p w14:paraId="59E545D1"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kern w:val="0"/>
          <w:sz w:val="24"/>
          <w:szCs w:val="20"/>
        </w:rPr>
        <w:t>&lt;FILES&gt;</w:t>
      </w:r>
    </w:p>
    <w:p w14:paraId="4BB44E99"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kern w:val="0"/>
          <w:sz w:val="24"/>
          <w:szCs w:val="20"/>
        </w:rPr>
        <w:tab/>
      </w:r>
      <w:r>
        <w:rPr>
          <w:rFonts w:ascii="Times New Roman" w:hAnsi="Times New Roman"/>
          <w:kern w:val="0"/>
          <w:sz w:val="24"/>
          <w:szCs w:val="20"/>
        </w:rPr>
        <w:tab/>
        <w:t>&lt;FILENAME&gt;</w:t>
      </w:r>
      <w:r>
        <w:rPr>
          <w:rFonts w:ascii="Times New Roman" w:hAnsi="Times New Roman" w:hint="eastAsia"/>
          <w:kern w:val="0"/>
          <w:sz w:val="24"/>
          <w:szCs w:val="20"/>
        </w:rPr>
        <w:t>文件名</w:t>
      </w:r>
      <w:r>
        <w:rPr>
          <w:rFonts w:ascii="Times New Roman" w:hAnsi="Times New Roman"/>
          <w:kern w:val="0"/>
          <w:sz w:val="24"/>
          <w:szCs w:val="20"/>
        </w:rPr>
        <w:t>&lt;/FILENAME&gt;</w:t>
      </w:r>
    </w:p>
    <w:p w14:paraId="5F381E18"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kern w:val="0"/>
          <w:sz w:val="24"/>
          <w:szCs w:val="20"/>
        </w:rPr>
        <w:tab/>
      </w:r>
      <w:r>
        <w:rPr>
          <w:rFonts w:ascii="Times New Roman" w:hAnsi="Times New Roman"/>
          <w:kern w:val="0"/>
          <w:sz w:val="24"/>
          <w:szCs w:val="20"/>
        </w:rPr>
        <w:tab/>
        <w:t>……</w:t>
      </w:r>
      <w:r>
        <w:rPr>
          <w:rFonts w:ascii="Times New Roman" w:hAnsi="Times New Roman" w:hint="eastAsia"/>
          <w:kern w:val="0"/>
          <w:sz w:val="24"/>
          <w:szCs w:val="20"/>
        </w:rPr>
        <w:t>列出的所有接口反馈数据文件名</w:t>
      </w:r>
    </w:p>
    <w:p w14:paraId="06E768BF"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kern w:val="0"/>
          <w:sz w:val="24"/>
          <w:szCs w:val="20"/>
        </w:rPr>
        <w:t>&lt;/FILES&gt;</w:t>
      </w:r>
    </w:p>
    <w:p w14:paraId="76AA1BAF"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kern w:val="0"/>
          <w:sz w:val="24"/>
          <w:szCs w:val="20"/>
        </w:rPr>
        <w:t>&lt;/MSG&gt;</w:t>
      </w:r>
    </w:p>
    <w:p w14:paraId="76F50088" w14:textId="77777777" w:rsidR="00A052DC" w:rsidRDefault="009F0A60" w:rsidP="0020251D">
      <w:pPr>
        <w:pStyle w:val="3"/>
        <w:ind w:left="0"/>
        <w:rPr>
          <w:rFonts w:ascii="Times New Roman" w:hAnsi="Times New Roman"/>
        </w:rPr>
      </w:pPr>
      <w:bookmarkStart w:id="880" w:name="_Toc91455258"/>
      <w:bookmarkStart w:id="881" w:name="_Toc380356229"/>
      <w:bookmarkStart w:id="882" w:name="_Toc454386740"/>
      <w:bookmarkStart w:id="883" w:name="_Toc101684431"/>
      <w:r>
        <w:rPr>
          <w:rFonts w:ascii="Times New Roman" w:hAnsi="Times New Roman" w:hint="eastAsia"/>
        </w:rPr>
        <w:t>接口反馈数据文件格式</w:t>
      </w:r>
      <w:bookmarkEnd w:id="880"/>
      <w:bookmarkEnd w:id="881"/>
      <w:bookmarkEnd w:id="882"/>
      <w:bookmarkEnd w:id="883"/>
    </w:p>
    <w:p w14:paraId="30225A44" w14:textId="77777777" w:rsidR="00A052DC" w:rsidRDefault="009F0A60">
      <w:pPr>
        <w:spacing w:line="276" w:lineRule="auto"/>
        <w:ind w:firstLineChars="200" w:firstLine="480"/>
        <w:rPr>
          <w:rFonts w:ascii="Times New Roman" w:hAnsi="Times New Roman"/>
          <w:kern w:val="0"/>
          <w:sz w:val="24"/>
          <w:szCs w:val="20"/>
        </w:rPr>
      </w:pPr>
      <w:r>
        <w:rPr>
          <w:rFonts w:ascii="Times New Roman" w:hAnsi="Times New Roman"/>
          <w:kern w:val="0"/>
          <w:sz w:val="24"/>
          <w:szCs w:val="20"/>
        </w:rPr>
        <w:t>&lt;MSG&gt;</w:t>
      </w:r>
    </w:p>
    <w:p w14:paraId="30EDBC18" w14:textId="77777777" w:rsidR="00A052DC" w:rsidRDefault="009F0A60">
      <w:pPr>
        <w:spacing w:line="276" w:lineRule="auto"/>
        <w:ind w:firstLineChars="200" w:firstLine="480"/>
        <w:rPr>
          <w:rFonts w:ascii="Times New Roman" w:hAnsi="Times New Roman"/>
          <w:kern w:val="0"/>
          <w:sz w:val="24"/>
          <w:szCs w:val="20"/>
        </w:rPr>
      </w:pPr>
      <w:r>
        <w:rPr>
          <w:rFonts w:ascii="Times New Roman" w:hAnsi="Times New Roman"/>
          <w:kern w:val="0"/>
          <w:sz w:val="24"/>
          <w:szCs w:val="20"/>
        </w:rPr>
        <w:t>&lt;APPTYPE&gt;</w:t>
      </w:r>
      <w:r>
        <w:rPr>
          <w:rFonts w:ascii="Times New Roman" w:hAnsi="Times New Roman" w:hint="eastAsia"/>
          <w:kern w:val="0"/>
          <w:sz w:val="24"/>
          <w:szCs w:val="20"/>
        </w:rPr>
        <w:t>应用类型</w:t>
      </w:r>
      <w:r>
        <w:rPr>
          <w:rFonts w:ascii="Times New Roman" w:hAnsi="Times New Roman"/>
          <w:kern w:val="0"/>
          <w:sz w:val="24"/>
          <w:szCs w:val="20"/>
        </w:rPr>
        <w:t>&lt;/APPTYPE&gt;</w:t>
      </w:r>
    </w:p>
    <w:p w14:paraId="2B55B2F2" w14:textId="77777777" w:rsidR="00A052DC" w:rsidRDefault="009F0A60">
      <w:pPr>
        <w:spacing w:line="276" w:lineRule="auto"/>
        <w:ind w:firstLineChars="200" w:firstLine="480"/>
        <w:rPr>
          <w:rFonts w:ascii="Times New Roman" w:hAnsi="Times New Roman"/>
          <w:kern w:val="0"/>
          <w:sz w:val="24"/>
          <w:szCs w:val="20"/>
        </w:rPr>
      </w:pPr>
      <w:r>
        <w:rPr>
          <w:rFonts w:ascii="Times New Roman" w:hAnsi="Times New Roman"/>
          <w:kern w:val="0"/>
          <w:sz w:val="24"/>
          <w:szCs w:val="20"/>
        </w:rPr>
        <w:t>&lt;CURRENTFILE&gt;</w:t>
      </w:r>
      <w:r>
        <w:rPr>
          <w:rFonts w:ascii="Times New Roman" w:hAnsi="Times New Roman" w:hint="eastAsia"/>
          <w:kern w:val="0"/>
          <w:sz w:val="24"/>
          <w:szCs w:val="20"/>
        </w:rPr>
        <w:t>当前文件类型</w:t>
      </w:r>
      <w:r>
        <w:rPr>
          <w:rFonts w:ascii="Times New Roman" w:hAnsi="Times New Roman"/>
          <w:kern w:val="0"/>
          <w:sz w:val="24"/>
          <w:szCs w:val="20"/>
        </w:rPr>
        <w:t>&lt;/CURRENTFILE&gt;</w:t>
      </w:r>
    </w:p>
    <w:p w14:paraId="11BEB9AB" w14:textId="77777777" w:rsidR="00A052DC" w:rsidRDefault="009F0A60">
      <w:pPr>
        <w:spacing w:line="276" w:lineRule="auto"/>
        <w:ind w:firstLineChars="200" w:firstLine="480"/>
        <w:rPr>
          <w:rFonts w:ascii="Times New Roman" w:hAnsi="Times New Roman"/>
          <w:kern w:val="0"/>
          <w:sz w:val="24"/>
          <w:szCs w:val="20"/>
        </w:rPr>
      </w:pPr>
      <w:r>
        <w:rPr>
          <w:rFonts w:ascii="Times New Roman" w:hAnsi="Times New Roman"/>
          <w:kern w:val="0"/>
          <w:sz w:val="24"/>
          <w:szCs w:val="20"/>
        </w:rPr>
        <w:t>&lt;INOUT&gt;</w:t>
      </w:r>
      <w:r>
        <w:rPr>
          <w:rFonts w:ascii="Times New Roman" w:hAnsi="Times New Roman" w:hint="eastAsia"/>
          <w:kern w:val="0"/>
          <w:sz w:val="24"/>
          <w:szCs w:val="20"/>
        </w:rPr>
        <w:t>输入</w:t>
      </w:r>
      <w:r>
        <w:rPr>
          <w:rFonts w:ascii="Times New Roman" w:hAnsi="Times New Roman"/>
          <w:kern w:val="0"/>
          <w:sz w:val="24"/>
          <w:szCs w:val="20"/>
        </w:rPr>
        <w:t>/</w:t>
      </w:r>
      <w:r>
        <w:rPr>
          <w:rFonts w:ascii="Times New Roman" w:hAnsi="Times New Roman" w:hint="eastAsia"/>
          <w:kern w:val="0"/>
          <w:sz w:val="24"/>
          <w:szCs w:val="20"/>
        </w:rPr>
        <w:t>输出</w:t>
      </w:r>
      <w:r>
        <w:rPr>
          <w:rFonts w:ascii="Times New Roman" w:hAnsi="Times New Roman"/>
          <w:kern w:val="0"/>
          <w:sz w:val="24"/>
          <w:szCs w:val="20"/>
        </w:rPr>
        <w:t>&lt;/INOUT&gt;</w:t>
      </w:r>
    </w:p>
    <w:p w14:paraId="5CE5A119" w14:textId="77777777" w:rsidR="00A052DC" w:rsidRDefault="009F0A60">
      <w:pPr>
        <w:spacing w:line="276" w:lineRule="auto"/>
        <w:ind w:firstLineChars="200" w:firstLine="480"/>
        <w:rPr>
          <w:rFonts w:ascii="Times New Roman" w:hAnsi="Times New Roman"/>
          <w:kern w:val="0"/>
          <w:sz w:val="24"/>
          <w:szCs w:val="20"/>
        </w:rPr>
      </w:pPr>
      <w:r>
        <w:rPr>
          <w:rFonts w:ascii="Times New Roman" w:hAnsi="Times New Roman"/>
          <w:kern w:val="0"/>
          <w:sz w:val="24"/>
          <w:szCs w:val="20"/>
        </w:rPr>
        <w:t>&lt;FORMATERRS&gt;</w:t>
      </w:r>
      <w:r>
        <w:rPr>
          <w:rFonts w:ascii="Times New Roman" w:hAnsi="Times New Roman" w:hint="eastAsia"/>
          <w:kern w:val="0"/>
          <w:sz w:val="24"/>
          <w:szCs w:val="20"/>
        </w:rPr>
        <w:t>文件格式错误数</w:t>
      </w:r>
      <w:r>
        <w:rPr>
          <w:rFonts w:ascii="Times New Roman" w:hAnsi="Times New Roman"/>
          <w:kern w:val="0"/>
          <w:sz w:val="24"/>
          <w:szCs w:val="20"/>
        </w:rPr>
        <w:t>&lt;/FORMATERRS&gt;</w:t>
      </w:r>
    </w:p>
    <w:p w14:paraId="70621CF6" w14:textId="77777777" w:rsidR="00A052DC" w:rsidRDefault="009F0A60">
      <w:pPr>
        <w:spacing w:line="276" w:lineRule="auto"/>
        <w:ind w:firstLineChars="200" w:firstLine="480"/>
        <w:rPr>
          <w:rFonts w:ascii="Times New Roman" w:hAnsi="Times New Roman"/>
          <w:kern w:val="0"/>
          <w:sz w:val="24"/>
          <w:szCs w:val="20"/>
        </w:rPr>
      </w:pPr>
      <w:r>
        <w:rPr>
          <w:rFonts w:ascii="Times New Roman" w:hAnsi="Times New Roman"/>
          <w:kern w:val="0"/>
          <w:sz w:val="24"/>
          <w:szCs w:val="20"/>
        </w:rPr>
        <w:t>&lt;FORMATS&gt;</w:t>
      </w:r>
    </w:p>
    <w:p w14:paraId="7EFE043F" w14:textId="77777777" w:rsidR="00A052DC" w:rsidRDefault="009F0A60">
      <w:pPr>
        <w:spacing w:line="276" w:lineRule="auto"/>
        <w:ind w:firstLineChars="200" w:firstLine="480"/>
        <w:rPr>
          <w:rFonts w:ascii="Times New Roman" w:hAnsi="Times New Roman"/>
          <w:kern w:val="0"/>
          <w:sz w:val="24"/>
          <w:szCs w:val="20"/>
        </w:rPr>
      </w:pPr>
      <w:r>
        <w:rPr>
          <w:rFonts w:ascii="Times New Roman" w:hAnsi="Times New Roman"/>
          <w:kern w:val="0"/>
          <w:sz w:val="24"/>
          <w:szCs w:val="20"/>
        </w:rPr>
        <w:tab/>
      </w:r>
      <w:r>
        <w:rPr>
          <w:rFonts w:ascii="Times New Roman" w:hAnsi="Times New Roman"/>
          <w:kern w:val="0"/>
          <w:sz w:val="24"/>
          <w:szCs w:val="20"/>
        </w:rPr>
        <w:tab/>
        <w:t>&lt;FORMAT&gt;</w:t>
      </w:r>
      <w:r>
        <w:rPr>
          <w:rFonts w:ascii="Times New Roman" w:hAnsi="Times New Roman" w:hint="eastAsia"/>
          <w:kern w:val="0"/>
          <w:sz w:val="24"/>
          <w:szCs w:val="20"/>
        </w:rPr>
        <w:t>文件格式错误描述</w:t>
      </w:r>
      <w:r>
        <w:rPr>
          <w:rFonts w:ascii="Times New Roman" w:hAnsi="Times New Roman"/>
          <w:kern w:val="0"/>
          <w:sz w:val="24"/>
          <w:szCs w:val="20"/>
        </w:rPr>
        <w:t>&lt;/FORMAT&gt;</w:t>
      </w:r>
    </w:p>
    <w:p w14:paraId="71F5E0E4" w14:textId="77777777" w:rsidR="00A052DC" w:rsidRDefault="009F0A60">
      <w:pPr>
        <w:spacing w:line="276" w:lineRule="auto"/>
        <w:ind w:firstLineChars="200" w:firstLine="480"/>
        <w:rPr>
          <w:rFonts w:ascii="Times New Roman" w:hAnsi="Times New Roman"/>
          <w:kern w:val="0"/>
          <w:sz w:val="24"/>
          <w:szCs w:val="20"/>
        </w:rPr>
      </w:pPr>
      <w:r>
        <w:rPr>
          <w:rFonts w:ascii="Times New Roman" w:hAnsi="Times New Roman"/>
          <w:kern w:val="0"/>
          <w:sz w:val="24"/>
          <w:szCs w:val="20"/>
        </w:rPr>
        <w:tab/>
      </w:r>
      <w:r>
        <w:rPr>
          <w:rFonts w:ascii="Times New Roman" w:hAnsi="Times New Roman"/>
          <w:kern w:val="0"/>
          <w:sz w:val="24"/>
          <w:szCs w:val="20"/>
        </w:rPr>
        <w:tab/>
        <w:t>……</w:t>
      </w:r>
    </w:p>
    <w:p w14:paraId="00C17C59" w14:textId="77777777" w:rsidR="00A052DC" w:rsidRDefault="009F0A60">
      <w:pPr>
        <w:spacing w:line="276" w:lineRule="auto"/>
        <w:ind w:firstLineChars="200" w:firstLine="480"/>
        <w:rPr>
          <w:rFonts w:ascii="Times New Roman" w:hAnsi="Times New Roman"/>
          <w:kern w:val="0"/>
          <w:sz w:val="24"/>
          <w:szCs w:val="20"/>
        </w:rPr>
      </w:pPr>
      <w:r>
        <w:rPr>
          <w:rFonts w:ascii="Times New Roman" w:hAnsi="Times New Roman"/>
          <w:kern w:val="0"/>
          <w:sz w:val="24"/>
          <w:szCs w:val="20"/>
        </w:rPr>
        <w:t>&lt;/FORMATS&gt;</w:t>
      </w:r>
    </w:p>
    <w:p w14:paraId="19CC1D01" w14:textId="77777777" w:rsidR="00A052DC" w:rsidRDefault="009F0A60">
      <w:pPr>
        <w:spacing w:line="276" w:lineRule="auto"/>
        <w:ind w:firstLineChars="200" w:firstLine="480"/>
        <w:rPr>
          <w:rFonts w:ascii="Times New Roman" w:hAnsi="Times New Roman"/>
          <w:kern w:val="0"/>
          <w:sz w:val="24"/>
          <w:szCs w:val="20"/>
        </w:rPr>
      </w:pPr>
      <w:r>
        <w:rPr>
          <w:rFonts w:ascii="Times New Roman" w:hAnsi="Times New Roman"/>
          <w:kern w:val="0"/>
          <w:sz w:val="24"/>
          <w:szCs w:val="20"/>
        </w:rPr>
        <w:t>&lt;TOTALRECORDS&gt;</w:t>
      </w:r>
      <w:r>
        <w:rPr>
          <w:rFonts w:ascii="Times New Roman" w:hAnsi="Times New Roman" w:hint="eastAsia"/>
          <w:kern w:val="0"/>
          <w:sz w:val="24"/>
          <w:szCs w:val="20"/>
        </w:rPr>
        <w:t>总记录数</w:t>
      </w:r>
      <w:r>
        <w:rPr>
          <w:rFonts w:ascii="Times New Roman" w:hAnsi="Times New Roman"/>
          <w:kern w:val="0"/>
          <w:sz w:val="24"/>
          <w:szCs w:val="20"/>
        </w:rPr>
        <w:t>&lt;/TOTALRECORDS&gt;</w:t>
      </w:r>
    </w:p>
    <w:p w14:paraId="46816B75" w14:textId="77777777" w:rsidR="00A052DC" w:rsidRDefault="009F0A60">
      <w:pPr>
        <w:spacing w:line="276" w:lineRule="auto"/>
        <w:ind w:firstLineChars="200" w:firstLine="480"/>
        <w:rPr>
          <w:rFonts w:ascii="Times New Roman" w:hAnsi="Times New Roman"/>
          <w:kern w:val="0"/>
          <w:sz w:val="24"/>
          <w:szCs w:val="20"/>
        </w:rPr>
      </w:pPr>
      <w:r>
        <w:rPr>
          <w:rFonts w:ascii="Times New Roman" w:hAnsi="Times New Roman"/>
          <w:kern w:val="0"/>
          <w:sz w:val="24"/>
          <w:szCs w:val="20"/>
        </w:rPr>
        <w:t>&lt;SUCRECORDS&gt;</w:t>
      </w:r>
      <w:r>
        <w:rPr>
          <w:rFonts w:ascii="Times New Roman" w:hAnsi="Times New Roman" w:hint="eastAsia"/>
          <w:kern w:val="0"/>
          <w:sz w:val="24"/>
          <w:szCs w:val="20"/>
        </w:rPr>
        <w:t>成功的记录数</w:t>
      </w:r>
      <w:r>
        <w:rPr>
          <w:rFonts w:ascii="Times New Roman" w:hAnsi="Times New Roman"/>
          <w:kern w:val="0"/>
          <w:sz w:val="24"/>
          <w:szCs w:val="20"/>
        </w:rPr>
        <w:t>&lt;/SUCRECORDS&gt;</w:t>
      </w:r>
    </w:p>
    <w:p w14:paraId="6E044067" w14:textId="77777777" w:rsidR="00A052DC" w:rsidRDefault="009F0A60">
      <w:pPr>
        <w:spacing w:line="276" w:lineRule="auto"/>
        <w:ind w:firstLineChars="200" w:firstLine="480"/>
        <w:rPr>
          <w:rFonts w:ascii="Times New Roman" w:hAnsi="Times New Roman"/>
          <w:kern w:val="0"/>
          <w:sz w:val="24"/>
          <w:szCs w:val="20"/>
        </w:rPr>
      </w:pPr>
      <w:r>
        <w:rPr>
          <w:rFonts w:ascii="Times New Roman" w:hAnsi="Times New Roman"/>
          <w:kern w:val="0"/>
          <w:sz w:val="24"/>
          <w:szCs w:val="20"/>
        </w:rPr>
        <w:t>&lt;FALRECORDS&gt;</w:t>
      </w:r>
      <w:r>
        <w:rPr>
          <w:rFonts w:ascii="Times New Roman" w:hAnsi="Times New Roman" w:hint="eastAsia"/>
          <w:kern w:val="0"/>
          <w:sz w:val="24"/>
          <w:szCs w:val="20"/>
        </w:rPr>
        <w:t>失败的记录数</w:t>
      </w:r>
      <w:r>
        <w:rPr>
          <w:rFonts w:ascii="Times New Roman" w:hAnsi="Times New Roman"/>
          <w:kern w:val="0"/>
          <w:sz w:val="24"/>
          <w:szCs w:val="20"/>
        </w:rPr>
        <w:t>&lt;/FALRECORDS&gt;</w:t>
      </w:r>
    </w:p>
    <w:p w14:paraId="3427B04C" w14:textId="77777777" w:rsidR="00A052DC" w:rsidRDefault="009F0A60">
      <w:pPr>
        <w:spacing w:line="276" w:lineRule="auto"/>
        <w:ind w:firstLineChars="200" w:firstLine="480"/>
        <w:rPr>
          <w:rFonts w:ascii="Times New Roman" w:hAnsi="Times New Roman"/>
          <w:kern w:val="0"/>
          <w:sz w:val="24"/>
          <w:szCs w:val="20"/>
        </w:rPr>
      </w:pPr>
      <w:r>
        <w:rPr>
          <w:rFonts w:ascii="Times New Roman" w:hAnsi="Times New Roman"/>
          <w:kern w:val="0"/>
          <w:sz w:val="24"/>
          <w:szCs w:val="20"/>
        </w:rPr>
        <w:t>&lt;ERRRECORDS&gt;</w:t>
      </w:r>
    </w:p>
    <w:p w14:paraId="71A31744" w14:textId="77777777" w:rsidR="00A052DC" w:rsidRDefault="009F0A60">
      <w:pPr>
        <w:spacing w:line="276" w:lineRule="auto"/>
        <w:ind w:firstLineChars="200" w:firstLine="480"/>
        <w:rPr>
          <w:rFonts w:ascii="Times New Roman" w:hAnsi="Times New Roman"/>
          <w:kern w:val="0"/>
          <w:sz w:val="24"/>
          <w:szCs w:val="20"/>
        </w:rPr>
      </w:pPr>
      <w:r>
        <w:rPr>
          <w:rFonts w:ascii="Times New Roman" w:hAnsi="Times New Roman"/>
          <w:kern w:val="0"/>
          <w:sz w:val="24"/>
          <w:szCs w:val="20"/>
        </w:rPr>
        <w:t>&lt;REC&gt;</w:t>
      </w:r>
    </w:p>
    <w:p w14:paraId="18C08CBB" w14:textId="77777777" w:rsidR="00A052DC" w:rsidRDefault="009F0A60">
      <w:pPr>
        <w:spacing w:line="276" w:lineRule="auto"/>
        <w:ind w:firstLineChars="200" w:firstLine="480"/>
        <w:rPr>
          <w:rFonts w:ascii="Times New Roman" w:hAnsi="Times New Roman"/>
          <w:kern w:val="0"/>
          <w:sz w:val="24"/>
          <w:szCs w:val="20"/>
        </w:rPr>
      </w:pPr>
      <w:r>
        <w:rPr>
          <w:rFonts w:ascii="Times New Roman" w:hAnsi="Times New Roman"/>
          <w:kern w:val="0"/>
          <w:sz w:val="24"/>
          <w:szCs w:val="20"/>
        </w:rPr>
        <w:t>&lt;BUSSNO&gt;</w:t>
      </w:r>
      <w:r>
        <w:rPr>
          <w:rFonts w:ascii="Times New Roman" w:hAnsi="Times New Roman" w:hint="eastAsia"/>
          <w:kern w:val="0"/>
          <w:sz w:val="24"/>
          <w:szCs w:val="20"/>
        </w:rPr>
        <w:t>业务数据主键</w:t>
      </w:r>
      <w:r>
        <w:rPr>
          <w:rFonts w:ascii="Times New Roman" w:hAnsi="Times New Roman"/>
          <w:kern w:val="0"/>
          <w:sz w:val="24"/>
          <w:szCs w:val="20"/>
        </w:rPr>
        <w:t>&lt;/BUSSNO&gt;</w:t>
      </w:r>
    </w:p>
    <w:p w14:paraId="2DE3B3AF" w14:textId="77777777" w:rsidR="00A052DC" w:rsidRDefault="009F0A60">
      <w:pPr>
        <w:spacing w:line="276" w:lineRule="auto"/>
        <w:ind w:firstLineChars="200" w:firstLine="480"/>
        <w:rPr>
          <w:rFonts w:ascii="Times New Roman" w:hAnsi="Times New Roman"/>
          <w:kern w:val="0"/>
          <w:sz w:val="24"/>
          <w:szCs w:val="20"/>
        </w:rPr>
      </w:pPr>
      <w:r>
        <w:rPr>
          <w:rFonts w:ascii="Times New Roman" w:hAnsi="Times New Roman"/>
          <w:kern w:val="0"/>
          <w:sz w:val="24"/>
          <w:szCs w:val="20"/>
        </w:rPr>
        <w:t>&lt;ERRFIELDS&gt;</w:t>
      </w:r>
    </w:p>
    <w:p w14:paraId="1370FA92" w14:textId="77777777" w:rsidR="00A052DC" w:rsidRDefault="009F0A60">
      <w:pPr>
        <w:spacing w:line="276" w:lineRule="auto"/>
        <w:ind w:firstLineChars="200" w:firstLine="480"/>
        <w:rPr>
          <w:rFonts w:ascii="Times New Roman" w:hAnsi="Times New Roman"/>
          <w:kern w:val="0"/>
          <w:sz w:val="24"/>
          <w:szCs w:val="20"/>
        </w:rPr>
      </w:pPr>
      <w:r>
        <w:rPr>
          <w:rFonts w:ascii="Times New Roman" w:hAnsi="Times New Roman"/>
          <w:kern w:val="0"/>
          <w:sz w:val="24"/>
          <w:szCs w:val="20"/>
        </w:rPr>
        <w:tab/>
      </w:r>
      <w:r>
        <w:rPr>
          <w:rFonts w:ascii="Times New Roman" w:hAnsi="Times New Roman"/>
          <w:kern w:val="0"/>
          <w:sz w:val="24"/>
          <w:szCs w:val="20"/>
        </w:rPr>
        <w:tab/>
      </w:r>
      <w:r>
        <w:rPr>
          <w:rFonts w:ascii="Times New Roman" w:hAnsi="Times New Roman"/>
          <w:kern w:val="0"/>
          <w:sz w:val="24"/>
          <w:szCs w:val="20"/>
        </w:rPr>
        <w:tab/>
      </w:r>
      <w:r>
        <w:rPr>
          <w:rFonts w:ascii="Times New Roman" w:hAnsi="Times New Roman"/>
          <w:kern w:val="0"/>
          <w:sz w:val="24"/>
          <w:szCs w:val="20"/>
        </w:rPr>
        <w:tab/>
        <w:t>&lt;ERR&gt;</w:t>
      </w:r>
    </w:p>
    <w:p w14:paraId="70497D24" w14:textId="77777777" w:rsidR="00A052DC" w:rsidRDefault="009F0A60">
      <w:pPr>
        <w:spacing w:line="276" w:lineRule="auto"/>
        <w:ind w:firstLineChars="200" w:firstLine="480"/>
        <w:rPr>
          <w:rFonts w:ascii="Times New Roman" w:hAnsi="Times New Roman"/>
          <w:kern w:val="0"/>
          <w:sz w:val="24"/>
          <w:szCs w:val="20"/>
        </w:rPr>
      </w:pPr>
      <w:r>
        <w:rPr>
          <w:rFonts w:ascii="Times New Roman" w:hAnsi="Times New Roman"/>
          <w:kern w:val="0"/>
          <w:sz w:val="24"/>
          <w:szCs w:val="20"/>
        </w:rPr>
        <w:tab/>
      </w:r>
      <w:r>
        <w:rPr>
          <w:rFonts w:ascii="Times New Roman" w:hAnsi="Times New Roman"/>
          <w:kern w:val="0"/>
          <w:sz w:val="24"/>
          <w:szCs w:val="20"/>
        </w:rPr>
        <w:tab/>
      </w:r>
      <w:r>
        <w:rPr>
          <w:rFonts w:ascii="Times New Roman" w:hAnsi="Times New Roman"/>
          <w:kern w:val="0"/>
          <w:sz w:val="24"/>
          <w:szCs w:val="20"/>
        </w:rPr>
        <w:tab/>
      </w:r>
      <w:r>
        <w:rPr>
          <w:rFonts w:ascii="Times New Roman" w:hAnsi="Times New Roman"/>
          <w:kern w:val="0"/>
          <w:sz w:val="24"/>
          <w:szCs w:val="20"/>
        </w:rPr>
        <w:tab/>
      </w:r>
      <w:r>
        <w:rPr>
          <w:rFonts w:ascii="Times New Roman" w:hAnsi="Times New Roman"/>
          <w:kern w:val="0"/>
          <w:sz w:val="24"/>
          <w:szCs w:val="20"/>
        </w:rPr>
        <w:tab/>
        <w:t>&lt;ERRFIELD&gt;</w:t>
      </w:r>
      <w:r>
        <w:rPr>
          <w:rFonts w:ascii="Times New Roman" w:hAnsi="Times New Roman" w:hint="eastAsia"/>
          <w:kern w:val="0"/>
          <w:sz w:val="24"/>
          <w:szCs w:val="20"/>
        </w:rPr>
        <w:t>出错字段英文标识</w:t>
      </w:r>
      <w:r>
        <w:rPr>
          <w:rFonts w:ascii="Times New Roman" w:hAnsi="Times New Roman"/>
          <w:kern w:val="0"/>
          <w:sz w:val="24"/>
          <w:szCs w:val="20"/>
        </w:rPr>
        <w:t>&lt;/ERRFIELD&gt;</w:t>
      </w:r>
    </w:p>
    <w:p w14:paraId="4E52C091" w14:textId="77777777" w:rsidR="00A052DC" w:rsidRDefault="009F0A60">
      <w:pPr>
        <w:spacing w:line="276" w:lineRule="auto"/>
        <w:ind w:firstLineChars="250" w:firstLine="600"/>
        <w:rPr>
          <w:rFonts w:ascii="Times New Roman" w:hAnsi="Times New Roman"/>
          <w:kern w:val="0"/>
          <w:sz w:val="24"/>
          <w:szCs w:val="20"/>
        </w:rPr>
      </w:pPr>
      <w:r>
        <w:rPr>
          <w:rFonts w:ascii="Times New Roman" w:hAnsi="Times New Roman"/>
          <w:kern w:val="0"/>
          <w:sz w:val="24"/>
          <w:szCs w:val="20"/>
        </w:rPr>
        <w:t>&lt;ERRFIELDCN&gt;</w:t>
      </w:r>
      <w:r>
        <w:rPr>
          <w:rFonts w:ascii="Times New Roman" w:hAnsi="Times New Roman" w:hint="eastAsia"/>
          <w:kern w:val="0"/>
          <w:sz w:val="24"/>
          <w:szCs w:val="20"/>
        </w:rPr>
        <w:t>出错字段中文标识</w:t>
      </w:r>
      <w:r>
        <w:rPr>
          <w:rFonts w:ascii="Times New Roman" w:hAnsi="Times New Roman"/>
          <w:kern w:val="0"/>
          <w:sz w:val="24"/>
          <w:szCs w:val="20"/>
        </w:rPr>
        <w:t>&lt;/ERRFIELDCN&gt;</w:t>
      </w:r>
    </w:p>
    <w:p w14:paraId="57B2697E" w14:textId="77777777" w:rsidR="00A052DC" w:rsidRDefault="009F0A60">
      <w:pPr>
        <w:spacing w:line="276" w:lineRule="auto"/>
        <w:ind w:firstLineChars="200" w:firstLine="480"/>
        <w:rPr>
          <w:rFonts w:ascii="Times New Roman" w:hAnsi="Times New Roman"/>
          <w:kern w:val="0"/>
          <w:sz w:val="24"/>
          <w:szCs w:val="20"/>
        </w:rPr>
      </w:pPr>
      <w:r>
        <w:rPr>
          <w:rFonts w:ascii="Times New Roman" w:hAnsi="Times New Roman"/>
          <w:kern w:val="0"/>
          <w:sz w:val="24"/>
          <w:szCs w:val="20"/>
        </w:rPr>
        <w:tab/>
      </w:r>
      <w:r>
        <w:rPr>
          <w:rFonts w:ascii="Times New Roman" w:hAnsi="Times New Roman"/>
          <w:kern w:val="0"/>
          <w:sz w:val="24"/>
          <w:szCs w:val="20"/>
        </w:rPr>
        <w:tab/>
      </w:r>
      <w:r>
        <w:rPr>
          <w:rFonts w:ascii="Times New Roman" w:hAnsi="Times New Roman"/>
          <w:kern w:val="0"/>
          <w:sz w:val="24"/>
          <w:szCs w:val="20"/>
        </w:rPr>
        <w:tab/>
      </w:r>
      <w:r>
        <w:rPr>
          <w:rFonts w:ascii="Times New Roman" w:hAnsi="Times New Roman"/>
          <w:kern w:val="0"/>
          <w:sz w:val="24"/>
          <w:szCs w:val="20"/>
        </w:rPr>
        <w:tab/>
      </w:r>
      <w:r>
        <w:rPr>
          <w:rFonts w:ascii="Times New Roman" w:hAnsi="Times New Roman"/>
          <w:kern w:val="0"/>
          <w:sz w:val="24"/>
          <w:szCs w:val="20"/>
        </w:rPr>
        <w:tab/>
        <w:t>&lt;ERRDESC&gt;</w:t>
      </w:r>
      <w:r>
        <w:rPr>
          <w:rFonts w:ascii="Times New Roman" w:hAnsi="Times New Roman" w:hint="eastAsia"/>
          <w:kern w:val="0"/>
          <w:sz w:val="24"/>
          <w:szCs w:val="20"/>
        </w:rPr>
        <w:t>出错原因</w:t>
      </w:r>
      <w:r>
        <w:rPr>
          <w:rFonts w:ascii="Times New Roman" w:hAnsi="Times New Roman"/>
          <w:kern w:val="0"/>
          <w:sz w:val="24"/>
          <w:szCs w:val="20"/>
        </w:rPr>
        <w:t>&lt;/ERRDESC&gt;</w:t>
      </w:r>
    </w:p>
    <w:p w14:paraId="7285F969" w14:textId="77777777" w:rsidR="00A052DC" w:rsidRDefault="009F0A60">
      <w:pPr>
        <w:spacing w:line="276" w:lineRule="auto"/>
        <w:ind w:firstLineChars="200" w:firstLine="480"/>
        <w:rPr>
          <w:rFonts w:ascii="Times New Roman" w:hAnsi="Times New Roman"/>
          <w:kern w:val="0"/>
          <w:sz w:val="24"/>
          <w:szCs w:val="20"/>
        </w:rPr>
      </w:pPr>
      <w:r>
        <w:rPr>
          <w:rFonts w:ascii="Times New Roman" w:hAnsi="Times New Roman"/>
          <w:kern w:val="0"/>
          <w:sz w:val="24"/>
          <w:szCs w:val="20"/>
        </w:rPr>
        <w:tab/>
      </w:r>
      <w:r>
        <w:rPr>
          <w:rFonts w:ascii="Times New Roman" w:hAnsi="Times New Roman"/>
          <w:kern w:val="0"/>
          <w:sz w:val="24"/>
          <w:szCs w:val="20"/>
        </w:rPr>
        <w:tab/>
      </w:r>
      <w:r>
        <w:rPr>
          <w:rFonts w:ascii="Times New Roman" w:hAnsi="Times New Roman"/>
          <w:kern w:val="0"/>
          <w:sz w:val="24"/>
          <w:szCs w:val="20"/>
        </w:rPr>
        <w:tab/>
      </w:r>
      <w:r>
        <w:rPr>
          <w:rFonts w:ascii="Times New Roman" w:hAnsi="Times New Roman"/>
          <w:kern w:val="0"/>
          <w:sz w:val="24"/>
          <w:szCs w:val="20"/>
        </w:rPr>
        <w:tab/>
        <w:t>&lt;/ERR&gt;</w:t>
      </w:r>
    </w:p>
    <w:p w14:paraId="18BE2DE7" w14:textId="77777777" w:rsidR="00A052DC" w:rsidRDefault="009F0A60">
      <w:pPr>
        <w:spacing w:line="276" w:lineRule="auto"/>
        <w:ind w:firstLineChars="200" w:firstLine="480"/>
        <w:rPr>
          <w:rFonts w:ascii="Times New Roman" w:hAnsi="Times New Roman"/>
          <w:kern w:val="0"/>
          <w:sz w:val="24"/>
          <w:szCs w:val="20"/>
        </w:rPr>
      </w:pPr>
      <w:r>
        <w:rPr>
          <w:rFonts w:ascii="Times New Roman" w:hAnsi="Times New Roman"/>
          <w:kern w:val="0"/>
          <w:sz w:val="24"/>
          <w:szCs w:val="20"/>
        </w:rPr>
        <w:tab/>
      </w:r>
      <w:r>
        <w:rPr>
          <w:rFonts w:ascii="Times New Roman" w:hAnsi="Times New Roman"/>
          <w:kern w:val="0"/>
          <w:sz w:val="24"/>
          <w:szCs w:val="20"/>
        </w:rPr>
        <w:tab/>
      </w:r>
      <w:r>
        <w:rPr>
          <w:rFonts w:ascii="Times New Roman" w:hAnsi="Times New Roman"/>
          <w:kern w:val="0"/>
          <w:sz w:val="24"/>
          <w:szCs w:val="20"/>
        </w:rPr>
        <w:tab/>
        <w:t>……</w:t>
      </w:r>
    </w:p>
    <w:p w14:paraId="52F3BB07" w14:textId="77777777" w:rsidR="00A052DC" w:rsidRDefault="009F0A60">
      <w:pPr>
        <w:spacing w:line="276" w:lineRule="auto"/>
        <w:ind w:firstLineChars="200" w:firstLine="480"/>
        <w:rPr>
          <w:rFonts w:ascii="Times New Roman" w:hAnsi="Times New Roman"/>
          <w:kern w:val="0"/>
          <w:sz w:val="24"/>
          <w:szCs w:val="20"/>
        </w:rPr>
      </w:pPr>
      <w:r>
        <w:rPr>
          <w:rFonts w:ascii="Times New Roman" w:hAnsi="Times New Roman"/>
          <w:kern w:val="0"/>
          <w:sz w:val="24"/>
          <w:szCs w:val="20"/>
        </w:rPr>
        <w:tab/>
      </w:r>
      <w:r>
        <w:rPr>
          <w:rFonts w:ascii="Times New Roman" w:hAnsi="Times New Roman"/>
          <w:kern w:val="0"/>
          <w:sz w:val="24"/>
          <w:szCs w:val="20"/>
        </w:rPr>
        <w:tab/>
      </w:r>
      <w:r>
        <w:rPr>
          <w:rFonts w:ascii="Times New Roman" w:hAnsi="Times New Roman"/>
          <w:kern w:val="0"/>
          <w:sz w:val="24"/>
          <w:szCs w:val="20"/>
        </w:rPr>
        <w:tab/>
        <w:t>&lt;/ERRFIELDS&gt;</w:t>
      </w:r>
    </w:p>
    <w:p w14:paraId="6B5AD9A7" w14:textId="77777777" w:rsidR="00A052DC" w:rsidRDefault="009F0A60">
      <w:pPr>
        <w:spacing w:line="276" w:lineRule="auto"/>
        <w:ind w:firstLineChars="200" w:firstLine="480"/>
        <w:rPr>
          <w:rFonts w:ascii="Times New Roman" w:hAnsi="Times New Roman"/>
          <w:kern w:val="0"/>
          <w:sz w:val="24"/>
          <w:szCs w:val="20"/>
        </w:rPr>
      </w:pPr>
      <w:r>
        <w:rPr>
          <w:rFonts w:ascii="Times New Roman" w:hAnsi="Times New Roman"/>
          <w:kern w:val="0"/>
          <w:sz w:val="24"/>
          <w:szCs w:val="20"/>
        </w:rPr>
        <w:t>&lt;/REC&gt;</w:t>
      </w:r>
    </w:p>
    <w:p w14:paraId="175CBAE8" w14:textId="77777777" w:rsidR="00A052DC" w:rsidRDefault="009F0A60">
      <w:pPr>
        <w:spacing w:line="276" w:lineRule="auto"/>
        <w:ind w:firstLineChars="200" w:firstLine="480"/>
        <w:rPr>
          <w:rFonts w:ascii="Times New Roman" w:hAnsi="Times New Roman"/>
          <w:kern w:val="0"/>
          <w:sz w:val="24"/>
          <w:szCs w:val="20"/>
        </w:rPr>
      </w:pPr>
      <w:r>
        <w:rPr>
          <w:rFonts w:ascii="Times New Roman" w:hAnsi="Times New Roman"/>
          <w:kern w:val="0"/>
          <w:sz w:val="24"/>
          <w:szCs w:val="20"/>
        </w:rPr>
        <w:tab/>
        <w:t>……</w:t>
      </w:r>
    </w:p>
    <w:p w14:paraId="5B7B04A9" w14:textId="77777777" w:rsidR="00A052DC" w:rsidRDefault="009F0A60">
      <w:pPr>
        <w:spacing w:line="276" w:lineRule="auto"/>
        <w:ind w:firstLineChars="200" w:firstLine="480"/>
        <w:rPr>
          <w:rFonts w:ascii="Times New Roman" w:hAnsi="Times New Roman"/>
          <w:kern w:val="0"/>
          <w:sz w:val="24"/>
          <w:szCs w:val="20"/>
        </w:rPr>
      </w:pPr>
      <w:r>
        <w:rPr>
          <w:rFonts w:ascii="Times New Roman" w:hAnsi="Times New Roman"/>
          <w:kern w:val="0"/>
          <w:sz w:val="24"/>
          <w:szCs w:val="20"/>
        </w:rPr>
        <w:tab/>
        <w:t>&lt;/ERRRECORDS&gt;</w:t>
      </w:r>
    </w:p>
    <w:p w14:paraId="196EB1F2" w14:textId="77777777" w:rsidR="00A052DC" w:rsidRDefault="009F0A60">
      <w:pPr>
        <w:spacing w:line="276" w:lineRule="auto"/>
        <w:ind w:firstLineChars="200" w:firstLine="480"/>
        <w:rPr>
          <w:rFonts w:ascii="Times New Roman" w:hAnsi="Times New Roman"/>
          <w:kern w:val="0"/>
          <w:sz w:val="24"/>
          <w:szCs w:val="20"/>
        </w:rPr>
      </w:pPr>
      <w:r>
        <w:rPr>
          <w:rFonts w:ascii="Times New Roman" w:hAnsi="Times New Roman"/>
          <w:kern w:val="0"/>
          <w:sz w:val="24"/>
          <w:szCs w:val="20"/>
        </w:rPr>
        <w:t>&lt;/MSG&gt;</w:t>
      </w:r>
    </w:p>
    <w:p w14:paraId="46AD4FA1" w14:textId="77777777" w:rsidR="00A052DC" w:rsidRDefault="009F0A60">
      <w:pPr>
        <w:spacing w:line="276" w:lineRule="auto"/>
        <w:ind w:firstLineChars="200" w:firstLine="480"/>
        <w:rPr>
          <w:rFonts w:ascii="Times New Roman" w:hAnsi="Times New Roman"/>
          <w:kern w:val="0"/>
          <w:sz w:val="24"/>
          <w:szCs w:val="20"/>
        </w:rPr>
      </w:pPr>
      <w:r>
        <w:rPr>
          <w:rFonts w:ascii="Times New Roman" w:hAnsi="Times New Roman" w:hint="eastAsia"/>
          <w:kern w:val="0"/>
          <w:sz w:val="24"/>
          <w:szCs w:val="20"/>
        </w:rPr>
        <w:t>如果接口文件格式有错，则文件格式错误数不为</w:t>
      </w:r>
      <w:r>
        <w:rPr>
          <w:rFonts w:ascii="Times New Roman" w:hAnsi="Times New Roman"/>
          <w:kern w:val="0"/>
          <w:sz w:val="24"/>
          <w:szCs w:val="20"/>
        </w:rPr>
        <w:t>0</w:t>
      </w:r>
      <w:r>
        <w:rPr>
          <w:rFonts w:ascii="Times New Roman" w:hAnsi="Times New Roman" w:hint="eastAsia"/>
          <w:kern w:val="0"/>
          <w:sz w:val="24"/>
          <w:szCs w:val="20"/>
        </w:rPr>
        <w:t>，且有详细的文件格式错误描述。否则，没有文件格式错误描述，只反馈记录出错信息。</w:t>
      </w:r>
    </w:p>
    <w:p w14:paraId="01D4AE9B" w14:textId="77777777" w:rsidR="00A052DC" w:rsidRDefault="00A052DC">
      <w:pPr>
        <w:spacing w:line="276" w:lineRule="auto"/>
        <w:ind w:firstLineChars="200" w:firstLine="480"/>
        <w:rPr>
          <w:rFonts w:ascii="Times New Roman" w:hAnsi="Times New Roman"/>
          <w:kern w:val="0"/>
          <w:sz w:val="24"/>
          <w:szCs w:val="20"/>
        </w:rPr>
      </w:pPr>
    </w:p>
    <w:p w14:paraId="573B1EFD" w14:textId="77777777" w:rsidR="00A052DC" w:rsidRDefault="00A052DC">
      <w:pPr>
        <w:spacing w:line="360" w:lineRule="auto"/>
        <w:rPr>
          <w:rFonts w:ascii="Times New Roman" w:hAnsi="Times New Roman"/>
          <w:kern w:val="0"/>
          <w:sz w:val="24"/>
          <w:szCs w:val="20"/>
        </w:rPr>
      </w:pPr>
    </w:p>
    <w:p w14:paraId="1220AFF9" w14:textId="77777777" w:rsidR="00A052DC" w:rsidRDefault="009F0A60" w:rsidP="0020251D">
      <w:pPr>
        <w:pStyle w:val="1"/>
        <w:tabs>
          <w:tab w:val="left" w:pos="1440"/>
        </w:tabs>
        <w:rPr>
          <w:rFonts w:ascii="Times New Roman" w:hAnsi="Times New Roman"/>
        </w:rPr>
      </w:pPr>
      <w:bookmarkStart w:id="884" w:name="_Toc380356230"/>
      <w:bookmarkStart w:id="885" w:name="_Toc454386741"/>
      <w:bookmarkStart w:id="886" w:name="_Toc91455259"/>
      <w:bookmarkStart w:id="887" w:name="_Toc101684432"/>
      <w:bookmarkStart w:id="888" w:name="_Toc132432500"/>
      <w:bookmarkStart w:id="889" w:name="_Toc310598054"/>
      <w:r>
        <w:rPr>
          <w:rFonts w:ascii="Times New Roman" w:hAnsi="Times New Roman" w:hint="eastAsia"/>
        </w:rPr>
        <w:t>数据接口格式</w:t>
      </w:r>
      <w:bookmarkEnd w:id="884"/>
      <w:bookmarkEnd w:id="885"/>
      <w:bookmarkEnd w:id="886"/>
      <w:bookmarkEnd w:id="887"/>
    </w:p>
    <w:p w14:paraId="0B0BA8B2" w14:textId="77777777" w:rsidR="00A052DC" w:rsidRDefault="009F0A60" w:rsidP="0020251D">
      <w:pPr>
        <w:pStyle w:val="2"/>
        <w:rPr>
          <w:rFonts w:ascii="Times New Roman" w:hAnsi="Times New Roman"/>
        </w:rPr>
      </w:pPr>
      <w:bookmarkStart w:id="890" w:name="_Toc454386742"/>
      <w:bookmarkStart w:id="891" w:name="_Toc91455260"/>
      <w:bookmarkStart w:id="892" w:name="_Toc380356231"/>
      <w:bookmarkStart w:id="893" w:name="_Toc132432582"/>
      <w:bookmarkStart w:id="894" w:name="_Toc310598214"/>
      <w:bookmarkStart w:id="895" w:name="_Toc101684433"/>
      <w:r>
        <w:rPr>
          <w:rFonts w:ascii="Times New Roman" w:hAnsi="Times New Roman" w:hint="eastAsia"/>
        </w:rPr>
        <w:t>组织机构基本情况表</w:t>
      </w:r>
      <w:bookmarkEnd w:id="890"/>
      <w:bookmarkEnd w:id="891"/>
      <w:bookmarkEnd w:id="892"/>
      <w:bookmarkEnd w:id="893"/>
      <w:bookmarkEnd w:id="894"/>
      <w:bookmarkEnd w:id="895"/>
    </w:p>
    <w:p w14:paraId="595361D8" w14:textId="77777777" w:rsidR="00A052DC" w:rsidRDefault="009F0A60" w:rsidP="0020251D">
      <w:pPr>
        <w:pStyle w:val="3"/>
        <w:ind w:left="0"/>
        <w:rPr>
          <w:rFonts w:ascii="Times New Roman" w:hAnsi="Times New Roman"/>
        </w:rPr>
      </w:pPr>
      <w:bookmarkStart w:id="896" w:name="_Toc310598215"/>
      <w:bookmarkStart w:id="897" w:name="_Toc380356232"/>
      <w:bookmarkStart w:id="898" w:name="_Toc454386743"/>
      <w:bookmarkStart w:id="899" w:name="_Toc132432583"/>
      <w:bookmarkStart w:id="900" w:name="_Toc91455261"/>
      <w:bookmarkStart w:id="901" w:name="_Toc101684434"/>
      <w:bookmarkStart w:id="902" w:name="_Toc131432043"/>
      <w:r>
        <w:rPr>
          <w:rFonts w:ascii="Times New Roman" w:hAnsi="Times New Roman" w:hint="eastAsia"/>
        </w:rPr>
        <w:t>数据术语解释</w:t>
      </w:r>
      <w:bookmarkEnd w:id="896"/>
      <w:bookmarkEnd w:id="897"/>
      <w:bookmarkEnd w:id="898"/>
      <w:bookmarkEnd w:id="899"/>
      <w:bookmarkEnd w:id="900"/>
      <w:bookmarkEnd w:id="901"/>
    </w:p>
    <w:tbl>
      <w:tblPr>
        <w:tblW w:w="861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78"/>
        <w:gridCol w:w="7035"/>
      </w:tblGrid>
      <w:tr w:rsidR="00A052DC" w14:paraId="2ECC1359" w14:textId="77777777">
        <w:tc>
          <w:tcPr>
            <w:tcW w:w="1578" w:type="dxa"/>
          </w:tcPr>
          <w:p w14:paraId="6EDD899C" w14:textId="77777777" w:rsidR="00A052DC" w:rsidRDefault="009F0A60">
            <w:pPr>
              <w:jc w:val="center"/>
              <w:rPr>
                <w:rFonts w:ascii="黑体" w:eastAsia="黑体" w:hAnsi="黑体"/>
                <w:b/>
                <w:sz w:val="20"/>
                <w:szCs w:val="20"/>
              </w:rPr>
            </w:pPr>
            <w:r>
              <w:rPr>
                <w:rFonts w:ascii="黑体" w:eastAsia="黑体" w:hAnsi="黑体" w:hint="eastAsia"/>
                <w:b/>
                <w:sz w:val="20"/>
                <w:szCs w:val="20"/>
              </w:rPr>
              <w:t>基础数据项</w:t>
            </w:r>
          </w:p>
        </w:tc>
        <w:tc>
          <w:tcPr>
            <w:tcW w:w="7035" w:type="dxa"/>
          </w:tcPr>
          <w:p w14:paraId="43F52653" w14:textId="77777777" w:rsidR="00A052DC" w:rsidRDefault="009F0A60">
            <w:pPr>
              <w:jc w:val="center"/>
              <w:rPr>
                <w:rFonts w:ascii="黑体" w:eastAsia="黑体" w:hAnsi="黑体"/>
                <w:b/>
                <w:sz w:val="20"/>
                <w:szCs w:val="20"/>
              </w:rPr>
            </w:pPr>
            <w:r>
              <w:rPr>
                <w:rFonts w:ascii="黑体" w:eastAsia="黑体" w:hAnsi="黑体" w:hint="eastAsia"/>
                <w:b/>
                <w:sz w:val="20"/>
                <w:szCs w:val="20"/>
              </w:rPr>
              <w:t>定义</w:t>
            </w:r>
          </w:p>
        </w:tc>
      </w:tr>
      <w:tr w:rsidR="00A052DC" w14:paraId="14C6B6FE" w14:textId="77777777">
        <w:tc>
          <w:tcPr>
            <w:tcW w:w="1578" w:type="dxa"/>
          </w:tcPr>
          <w:p w14:paraId="660F04F6" w14:textId="77777777" w:rsidR="00A052DC" w:rsidRDefault="009F0A60">
            <w:pPr>
              <w:rPr>
                <w:rFonts w:ascii="黑体" w:eastAsia="黑体" w:hAnsi="黑体"/>
                <w:sz w:val="20"/>
                <w:szCs w:val="20"/>
              </w:rPr>
            </w:pPr>
            <w:r>
              <w:rPr>
                <w:rFonts w:ascii="黑体" w:eastAsia="黑体" w:hAnsi="黑体" w:hint="eastAsia"/>
                <w:sz w:val="20"/>
                <w:szCs w:val="20"/>
              </w:rPr>
              <w:t>主体标识码（单位代码）</w:t>
            </w:r>
          </w:p>
        </w:tc>
        <w:tc>
          <w:tcPr>
            <w:tcW w:w="7035" w:type="dxa"/>
          </w:tcPr>
          <w:p w14:paraId="693E4415" w14:textId="77777777" w:rsidR="00A052DC" w:rsidRDefault="009F0A60">
            <w:pPr>
              <w:rPr>
                <w:rFonts w:ascii="黑体" w:eastAsia="黑体" w:hAnsi="黑体"/>
                <w:sz w:val="20"/>
                <w:szCs w:val="20"/>
              </w:rPr>
            </w:pPr>
            <w:r>
              <w:rPr>
                <w:rFonts w:ascii="黑体" w:eastAsia="黑体" w:hAnsi="黑体" w:hint="eastAsia"/>
                <w:sz w:val="20"/>
                <w:szCs w:val="20"/>
              </w:rPr>
              <w:t>指统一社会信用代码法定载体（如营业执照）上统一社会信用代码中的第9至17位或国家外汇管理局及其分支局签发的特殊机构代码赋码通知书上的机构代码。</w:t>
            </w:r>
          </w:p>
        </w:tc>
      </w:tr>
      <w:tr w:rsidR="00A052DC" w14:paraId="212F367A" w14:textId="77777777">
        <w:tc>
          <w:tcPr>
            <w:tcW w:w="1578" w:type="dxa"/>
          </w:tcPr>
          <w:p w14:paraId="2666EE30" w14:textId="77777777" w:rsidR="00A052DC" w:rsidRDefault="009F0A60">
            <w:pPr>
              <w:rPr>
                <w:rFonts w:ascii="黑体" w:eastAsia="黑体" w:hAnsi="黑体"/>
                <w:sz w:val="20"/>
                <w:szCs w:val="20"/>
              </w:rPr>
            </w:pPr>
            <w:r>
              <w:rPr>
                <w:rFonts w:ascii="黑体" w:eastAsia="黑体" w:hAnsi="黑体" w:hint="eastAsia"/>
                <w:sz w:val="20"/>
                <w:szCs w:val="20"/>
              </w:rPr>
              <w:t>机构名称</w:t>
            </w:r>
          </w:p>
        </w:tc>
        <w:tc>
          <w:tcPr>
            <w:tcW w:w="7035" w:type="dxa"/>
          </w:tcPr>
          <w:p w14:paraId="55CC7EF4" w14:textId="77777777" w:rsidR="00A052DC" w:rsidRDefault="009F0A60">
            <w:pPr>
              <w:rPr>
                <w:rFonts w:ascii="黑体" w:eastAsia="黑体" w:hAnsi="黑体"/>
                <w:sz w:val="20"/>
                <w:szCs w:val="20"/>
              </w:rPr>
            </w:pPr>
            <w:r>
              <w:rPr>
                <w:rFonts w:ascii="黑体" w:eastAsia="黑体" w:hAnsi="黑体" w:hint="eastAsia"/>
                <w:sz w:val="20"/>
                <w:szCs w:val="20"/>
              </w:rPr>
              <w:t>指营业执照或国家外汇管理局及其分支局签发的特殊机构代码赋码通知书上的名称。</w:t>
            </w:r>
          </w:p>
        </w:tc>
      </w:tr>
      <w:tr w:rsidR="00A052DC" w14:paraId="1B33563A" w14:textId="77777777">
        <w:tc>
          <w:tcPr>
            <w:tcW w:w="1578" w:type="dxa"/>
            <w:vAlign w:val="center"/>
          </w:tcPr>
          <w:p w14:paraId="2B49A603" w14:textId="77777777" w:rsidR="00A052DC" w:rsidRDefault="009F0A60">
            <w:pPr>
              <w:rPr>
                <w:rFonts w:ascii="黑体" w:eastAsia="黑体" w:hAnsi="黑体"/>
                <w:sz w:val="20"/>
                <w:szCs w:val="20"/>
              </w:rPr>
            </w:pPr>
            <w:r>
              <w:rPr>
                <w:rFonts w:ascii="黑体" w:eastAsia="黑体" w:hAnsi="黑体" w:cs="宋体" w:hint="eastAsia"/>
                <w:kern w:val="0"/>
                <w:sz w:val="20"/>
                <w:szCs w:val="20"/>
              </w:rPr>
              <w:t>组织机构简称</w:t>
            </w:r>
          </w:p>
        </w:tc>
        <w:tc>
          <w:tcPr>
            <w:tcW w:w="7035" w:type="dxa"/>
            <w:vAlign w:val="center"/>
          </w:tcPr>
          <w:p w14:paraId="437283B4" w14:textId="77777777" w:rsidR="00A052DC" w:rsidRDefault="009F0A60">
            <w:pPr>
              <w:rPr>
                <w:rFonts w:ascii="黑体" w:eastAsia="黑体" w:hAnsi="黑体"/>
                <w:sz w:val="20"/>
                <w:szCs w:val="20"/>
              </w:rPr>
            </w:pPr>
            <w:r>
              <w:rPr>
                <w:rFonts w:ascii="黑体" w:eastAsia="黑体" w:hAnsi="黑体" w:cs="宋体" w:hint="eastAsia"/>
                <w:kern w:val="0"/>
                <w:sz w:val="20"/>
                <w:szCs w:val="20"/>
              </w:rPr>
              <w:t>机构使用的中文简称，非必填。</w:t>
            </w:r>
          </w:p>
        </w:tc>
      </w:tr>
      <w:tr w:rsidR="00A052DC" w14:paraId="6B35C09D" w14:textId="77777777">
        <w:tc>
          <w:tcPr>
            <w:tcW w:w="1578" w:type="dxa"/>
            <w:vAlign w:val="center"/>
          </w:tcPr>
          <w:p w14:paraId="1B7FADA3" w14:textId="77777777" w:rsidR="00A052DC" w:rsidRDefault="009F0A60">
            <w:pPr>
              <w:rPr>
                <w:rFonts w:ascii="黑体" w:eastAsia="黑体" w:hAnsi="黑体"/>
                <w:sz w:val="20"/>
                <w:szCs w:val="20"/>
              </w:rPr>
            </w:pPr>
            <w:r>
              <w:rPr>
                <w:rFonts w:ascii="黑体" w:eastAsia="黑体" w:hAnsi="黑体" w:cs="宋体" w:hint="eastAsia"/>
                <w:kern w:val="0"/>
                <w:sz w:val="20"/>
                <w:szCs w:val="20"/>
              </w:rPr>
              <w:t>组织机构英文名称</w:t>
            </w:r>
          </w:p>
        </w:tc>
        <w:tc>
          <w:tcPr>
            <w:tcW w:w="7035" w:type="dxa"/>
            <w:vAlign w:val="center"/>
          </w:tcPr>
          <w:p w14:paraId="0C351365" w14:textId="77777777" w:rsidR="00A052DC" w:rsidRDefault="009F0A60">
            <w:pPr>
              <w:rPr>
                <w:rFonts w:ascii="黑体" w:eastAsia="黑体" w:hAnsi="黑体"/>
                <w:sz w:val="20"/>
                <w:szCs w:val="20"/>
              </w:rPr>
            </w:pPr>
            <w:r>
              <w:rPr>
                <w:rFonts w:ascii="黑体" w:eastAsia="黑体" w:hAnsi="黑体" w:cs="宋体" w:hint="eastAsia"/>
                <w:kern w:val="0"/>
                <w:sz w:val="20"/>
                <w:szCs w:val="20"/>
              </w:rPr>
              <w:t>常住国家（地区）为非中国时必填；常住国家（地区）为中国时非必填。</w:t>
            </w:r>
          </w:p>
        </w:tc>
      </w:tr>
      <w:tr w:rsidR="00A052DC" w14:paraId="702AEEC4" w14:textId="77777777">
        <w:tc>
          <w:tcPr>
            <w:tcW w:w="1578" w:type="dxa"/>
          </w:tcPr>
          <w:p w14:paraId="082B2659" w14:textId="77777777" w:rsidR="00A052DC" w:rsidRDefault="009F0A60">
            <w:pPr>
              <w:rPr>
                <w:rFonts w:ascii="黑体" w:eastAsia="黑体" w:hAnsi="黑体"/>
                <w:sz w:val="20"/>
                <w:szCs w:val="20"/>
              </w:rPr>
            </w:pPr>
            <w:r>
              <w:rPr>
                <w:rFonts w:ascii="黑体" w:eastAsia="黑体" w:hAnsi="黑体" w:hint="eastAsia"/>
                <w:sz w:val="20"/>
                <w:szCs w:val="20"/>
              </w:rPr>
              <w:t>住所</w:t>
            </w:r>
            <w:r w:rsidR="00010212">
              <w:rPr>
                <w:rFonts w:ascii="黑体" w:eastAsia="黑体" w:hAnsi="黑体" w:hint="eastAsia"/>
                <w:sz w:val="20"/>
                <w:szCs w:val="20"/>
              </w:rPr>
              <w:t>/</w:t>
            </w:r>
            <w:r>
              <w:rPr>
                <w:rFonts w:ascii="黑体" w:eastAsia="黑体" w:hAnsi="黑体" w:hint="eastAsia"/>
                <w:sz w:val="20"/>
                <w:szCs w:val="20"/>
              </w:rPr>
              <w:t>营业场所名称及代码</w:t>
            </w:r>
          </w:p>
        </w:tc>
        <w:tc>
          <w:tcPr>
            <w:tcW w:w="7035" w:type="dxa"/>
          </w:tcPr>
          <w:p w14:paraId="7A6AD99A" w14:textId="77777777" w:rsidR="00A052DC" w:rsidRDefault="009F0A60">
            <w:pPr>
              <w:rPr>
                <w:rFonts w:ascii="黑体" w:eastAsia="黑体" w:hAnsi="黑体"/>
                <w:sz w:val="20"/>
                <w:szCs w:val="20"/>
              </w:rPr>
            </w:pPr>
            <w:r>
              <w:rPr>
                <w:rFonts w:ascii="黑体" w:eastAsia="黑体" w:hAnsi="黑体" w:hint="eastAsia"/>
                <w:sz w:val="20"/>
                <w:szCs w:val="20"/>
              </w:rPr>
              <w:t>指《工商营业执照》上载明的机构住所或营业场所。住所</w:t>
            </w:r>
            <w:r w:rsidR="00010212">
              <w:rPr>
                <w:rFonts w:ascii="黑体" w:eastAsia="黑体" w:hAnsi="黑体" w:hint="eastAsia"/>
                <w:sz w:val="20"/>
                <w:szCs w:val="20"/>
              </w:rPr>
              <w:t>/</w:t>
            </w:r>
            <w:r>
              <w:rPr>
                <w:rFonts w:ascii="黑体" w:eastAsia="黑体" w:hAnsi="黑体" w:hint="eastAsia"/>
                <w:sz w:val="20"/>
                <w:szCs w:val="20"/>
              </w:rPr>
              <w:t>营业场所代码为国家质量监督检验检疫总局发布的行政区划代码。</w:t>
            </w:r>
          </w:p>
        </w:tc>
      </w:tr>
      <w:tr w:rsidR="00A052DC" w14:paraId="5366AC33" w14:textId="77777777">
        <w:tc>
          <w:tcPr>
            <w:tcW w:w="1578" w:type="dxa"/>
          </w:tcPr>
          <w:p w14:paraId="3A16BEED" w14:textId="77777777" w:rsidR="00A052DC" w:rsidRDefault="009F0A60">
            <w:pPr>
              <w:rPr>
                <w:rFonts w:ascii="黑体" w:eastAsia="黑体" w:hAnsi="黑体"/>
                <w:sz w:val="20"/>
                <w:szCs w:val="20"/>
              </w:rPr>
            </w:pPr>
            <w:r>
              <w:rPr>
                <w:rFonts w:ascii="黑体" w:eastAsia="黑体" w:hAnsi="黑体" w:hint="eastAsia"/>
                <w:sz w:val="20"/>
                <w:szCs w:val="20"/>
              </w:rPr>
              <w:t>机构地址</w:t>
            </w:r>
          </w:p>
        </w:tc>
        <w:tc>
          <w:tcPr>
            <w:tcW w:w="7035" w:type="dxa"/>
          </w:tcPr>
          <w:p w14:paraId="15A76F54" w14:textId="77777777" w:rsidR="00A052DC" w:rsidRDefault="009F0A60">
            <w:pPr>
              <w:rPr>
                <w:rFonts w:ascii="黑体" w:eastAsia="黑体" w:hAnsi="黑体"/>
                <w:sz w:val="20"/>
                <w:szCs w:val="20"/>
              </w:rPr>
            </w:pPr>
            <w:r>
              <w:rPr>
                <w:rFonts w:ascii="黑体" w:eastAsia="黑体" w:hAnsi="黑体" w:hint="eastAsia"/>
                <w:sz w:val="20"/>
                <w:szCs w:val="20"/>
              </w:rPr>
              <w:t>指机构的注册地址。</w:t>
            </w:r>
          </w:p>
        </w:tc>
      </w:tr>
      <w:tr w:rsidR="00A052DC" w14:paraId="0CB255BA" w14:textId="77777777">
        <w:tc>
          <w:tcPr>
            <w:tcW w:w="1578" w:type="dxa"/>
          </w:tcPr>
          <w:p w14:paraId="24E913B2" w14:textId="77777777" w:rsidR="00A052DC" w:rsidRDefault="009F0A60">
            <w:pPr>
              <w:rPr>
                <w:rFonts w:ascii="黑体" w:eastAsia="黑体" w:hAnsi="黑体"/>
                <w:sz w:val="20"/>
                <w:szCs w:val="20"/>
              </w:rPr>
            </w:pPr>
            <w:r>
              <w:rPr>
                <w:rFonts w:ascii="黑体" w:eastAsia="黑体" w:hAnsi="黑体" w:hint="eastAsia"/>
                <w:sz w:val="20"/>
                <w:szCs w:val="20"/>
              </w:rPr>
              <w:t>邮政编码</w:t>
            </w:r>
          </w:p>
        </w:tc>
        <w:tc>
          <w:tcPr>
            <w:tcW w:w="7035" w:type="dxa"/>
          </w:tcPr>
          <w:p w14:paraId="1CA54E1C" w14:textId="77777777" w:rsidR="00A052DC" w:rsidRDefault="009F0A60">
            <w:pPr>
              <w:rPr>
                <w:rFonts w:ascii="黑体" w:eastAsia="黑体" w:hAnsi="黑体"/>
                <w:sz w:val="20"/>
                <w:szCs w:val="20"/>
              </w:rPr>
            </w:pPr>
            <w:r>
              <w:rPr>
                <w:rFonts w:ascii="黑体" w:eastAsia="黑体" w:hAnsi="黑体" w:hint="eastAsia"/>
                <w:sz w:val="20"/>
                <w:szCs w:val="20"/>
              </w:rPr>
              <w:t>指机构所在地的邮政编码。</w:t>
            </w:r>
          </w:p>
        </w:tc>
      </w:tr>
      <w:tr w:rsidR="00A052DC" w14:paraId="41D11C68" w14:textId="77777777">
        <w:tc>
          <w:tcPr>
            <w:tcW w:w="1578" w:type="dxa"/>
          </w:tcPr>
          <w:p w14:paraId="308F73F9" w14:textId="77777777" w:rsidR="00A052DC" w:rsidRDefault="009F0A60">
            <w:pPr>
              <w:rPr>
                <w:rFonts w:ascii="黑体" w:eastAsia="黑体" w:hAnsi="黑体"/>
                <w:sz w:val="20"/>
                <w:szCs w:val="20"/>
              </w:rPr>
            </w:pPr>
            <w:r>
              <w:rPr>
                <w:rFonts w:ascii="黑体" w:eastAsia="黑体" w:hAnsi="黑体" w:hint="eastAsia"/>
                <w:sz w:val="20"/>
                <w:szCs w:val="20"/>
              </w:rPr>
              <w:t>常驻国家（地区）名称及代码</w:t>
            </w:r>
          </w:p>
        </w:tc>
        <w:tc>
          <w:tcPr>
            <w:tcW w:w="7035" w:type="dxa"/>
          </w:tcPr>
          <w:p w14:paraId="0A60E22A" w14:textId="77777777" w:rsidR="00A052DC" w:rsidRDefault="009F0A60">
            <w:pPr>
              <w:rPr>
                <w:rFonts w:ascii="黑体" w:eastAsia="黑体" w:hAnsi="黑体"/>
                <w:sz w:val="20"/>
                <w:szCs w:val="20"/>
              </w:rPr>
            </w:pPr>
            <w:r>
              <w:rPr>
                <w:rFonts w:ascii="黑体" w:eastAsia="黑体" w:hAnsi="黑体" w:hint="eastAsia"/>
                <w:sz w:val="20"/>
                <w:szCs w:val="20"/>
              </w:rPr>
              <w:t>指机构注册地国家（地区）的名称。国家（地区）代码根据国家质量监督检验检疫总局发布的“世界各国和地区名称代码”填写。</w:t>
            </w:r>
          </w:p>
        </w:tc>
      </w:tr>
      <w:tr w:rsidR="00A052DC" w14:paraId="4F24F135" w14:textId="77777777">
        <w:tc>
          <w:tcPr>
            <w:tcW w:w="1578" w:type="dxa"/>
          </w:tcPr>
          <w:p w14:paraId="0E3B8FA3" w14:textId="77777777" w:rsidR="00A052DC" w:rsidRDefault="009F0A60">
            <w:pPr>
              <w:rPr>
                <w:rFonts w:ascii="黑体" w:eastAsia="黑体" w:hAnsi="黑体"/>
                <w:sz w:val="20"/>
                <w:szCs w:val="20"/>
              </w:rPr>
            </w:pPr>
            <w:r>
              <w:rPr>
                <w:rFonts w:ascii="黑体" w:eastAsia="黑体" w:hAnsi="黑体" w:hint="eastAsia"/>
                <w:sz w:val="20"/>
                <w:szCs w:val="20"/>
              </w:rPr>
              <w:t>行业属性代码</w:t>
            </w:r>
          </w:p>
        </w:tc>
        <w:tc>
          <w:tcPr>
            <w:tcW w:w="7035" w:type="dxa"/>
          </w:tcPr>
          <w:p w14:paraId="1E020921" w14:textId="77777777" w:rsidR="00A052DC" w:rsidRDefault="009F0A60">
            <w:pPr>
              <w:rPr>
                <w:rFonts w:ascii="黑体" w:eastAsia="黑体" w:hAnsi="黑体"/>
                <w:sz w:val="20"/>
                <w:szCs w:val="20"/>
              </w:rPr>
            </w:pPr>
            <w:r>
              <w:rPr>
                <w:rFonts w:ascii="黑体" w:eastAsia="黑体" w:hAnsi="黑体" w:hint="eastAsia"/>
                <w:sz w:val="20"/>
                <w:szCs w:val="20"/>
              </w:rPr>
              <w:t>指国家外汇管理局根据国家统计局发布的“国民经济行业分类”摘编的行业分类及代码。</w:t>
            </w:r>
          </w:p>
        </w:tc>
      </w:tr>
      <w:tr w:rsidR="00A052DC" w14:paraId="35FBFA2D" w14:textId="77777777">
        <w:tc>
          <w:tcPr>
            <w:tcW w:w="1578" w:type="dxa"/>
          </w:tcPr>
          <w:p w14:paraId="57465D43" w14:textId="77777777" w:rsidR="00A052DC" w:rsidRDefault="009F0A60">
            <w:pPr>
              <w:rPr>
                <w:rFonts w:ascii="黑体" w:eastAsia="黑体" w:hAnsi="黑体"/>
                <w:sz w:val="20"/>
                <w:szCs w:val="20"/>
              </w:rPr>
            </w:pPr>
            <w:r>
              <w:rPr>
                <w:rFonts w:ascii="黑体" w:eastAsia="黑体" w:hAnsi="黑体" w:hint="eastAsia"/>
                <w:sz w:val="20"/>
                <w:szCs w:val="20"/>
              </w:rPr>
              <w:t>经济类型代码</w:t>
            </w:r>
          </w:p>
        </w:tc>
        <w:tc>
          <w:tcPr>
            <w:tcW w:w="7035" w:type="dxa"/>
          </w:tcPr>
          <w:p w14:paraId="4174B978" w14:textId="77777777" w:rsidR="00A052DC" w:rsidRDefault="009F0A60" w:rsidP="007A3AE7">
            <w:pPr>
              <w:rPr>
                <w:rFonts w:ascii="黑体" w:eastAsia="黑体" w:hAnsi="黑体"/>
                <w:sz w:val="20"/>
                <w:szCs w:val="20"/>
              </w:rPr>
            </w:pPr>
            <w:r>
              <w:rPr>
                <w:rFonts w:ascii="黑体" w:eastAsia="黑体" w:hAnsi="黑体" w:hint="eastAsia"/>
                <w:sz w:val="20"/>
                <w:szCs w:val="20"/>
              </w:rPr>
              <w:t>指国家质量监督检验检疫总局发布的“经济类型分类与代码”。</w:t>
            </w:r>
          </w:p>
        </w:tc>
      </w:tr>
      <w:tr w:rsidR="00A052DC" w14:paraId="4E0D2BC4" w14:textId="77777777">
        <w:tc>
          <w:tcPr>
            <w:tcW w:w="1578" w:type="dxa"/>
          </w:tcPr>
          <w:p w14:paraId="1EB95210" w14:textId="77777777" w:rsidR="00A052DC" w:rsidRDefault="009F0A60">
            <w:pPr>
              <w:rPr>
                <w:rFonts w:ascii="黑体" w:eastAsia="黑体" w:hAnsi="黑体"/>
                <w:sz w:val="20"/>
                <w:szCs w:val="20"/>
              </w:rPr>
            </w:pPr>
            <w:r>
              <w:rPr>
                <w:rFonts w:ascii="黑体" w:eastAsia="黑体" w:hAnsi="黑体" w:hint="eastAsia"/>
                <w:sz w:val="20"/>
                <w:szCs w:val="20"/>
              </w:rPr>
              <w:t>是否特殊经济区内企业</w:t>
            </w:r>
          </w:p>
        </w:tc>
        <w:tc>
          <w:tcPr>
            <w:tcW w:w="7035" w:type="dxa"/>
          </w:tcPr>
          <w:p w14:paraId="468DEEC1" w14:textId="77777777" w:rsidR="00A052DC" w:rsidRDefault="009F0A60">
            <w:pPr>
              <w:rPr>
                <w:rFonts w:ascii="黑体" w:eastAsia="黑体" w:hAnsi="黑体"/>
                <w:sz w:val="20"/>
                <w:szCs w:val="20"/>
              </w:rPr>
            </w:pPr>
            <w:r>
              <w:rPr>
                <w:rFonts w:ascii="黑体" w:eastAsia="黑体" w:hAnsi="黑体" w:hint="eastAsia"/>
                <w:sz w:val="20"/>
                <w:szCs w:val="20"/>
              </w:rPr>
              <w:t>指是否为在特殊经济区注册的企业。</w:t>
            </w:r>
          </w:p>
        </w:tc>
      </w:tr>
      <w:tr w:rsidR="00A052DC" w14:paraId="44FE5B91" w14:textId="77777777">
        <w:tc>
          <w:tcPr>
            <w:tcW w:w="1578" w:type="dxa"/>
          </w:tcPr>
          <w:p w14:paraId="6A54ED3F" w14:textId="77777777" w:rsidR="00A052DC" w:rsidRDefault="009F0A60">
            <w:pPr>
              <w:rPr>
                <w:rFonts w:ascii="黑体" w:eastAsia="黑体" w:hAnsi="黑体"/>
                <w:sz w:val="20"/>
                <w:szCs w:val="20"/>
              </w:rPr>
            </w:pPr>
            <w:r>
              <w:rPr>
                <w:rFonts w:ascii="黑体" w:eastAsia="黑体" w:hAnsi="黑体" w:hint="eastAsia"/>
                <w:sz w:val="20"/>
                <w:szCs w:val="20"/>
              </w:rPr>
              <w:t>特殊经济区内企业类型</w:t>
            </w:r>
          </w:p>
        </w:tc>
        <w:tc>
          <w:tcPr>
            <w:tcW w:w="7035" w:type="dxa"/>
          </w:tcPr>
          <w:p w14:paraId="571E6B11" w14:textId="77777777" w:rsidR="00A052DC" w:rsidRDefault="009F0A60">
            <w:pPr>
              <w:rPr>
                <w:rFonts w:ascii="黑体" w:eastAsia="黑体" w:hAnsi="黑体"/>
                <w:sz w:val="20"/>
                <w:szCs w:val="20"/>
              </w:rPr>
            </w:pPr>
            <w:r>
              <w:rPr>
                <w:rFonts w:ascii="黑体" w:eastAsia="黑体" w:hAnsi="黑体" w:hint="eastAsia"/>
                <w:sz w:val="20"/>
                <w:szCs w:val="20"/>
              </w:rPr>
              <w:t>特殊经济区是指中国境内包括保税区、出口加工区等在内的一些特殊经济区域。</w:t>
            </w:r>
          </w:p>
        </w:tc>
      </w:tr>
      <w:tr w:rsidR="00A052DC" w14:paraId="481601DC" w14:textId="77777777">
        <w:tc>
          <w:tcPr>
            <w:tcW w:w="1578" w:type="dxa"/>
            <w:vAlign w:val="center"/>
          </w:tcPr>
          <w:p w14:paraId="6D0BB532" w14:textId="77777777" w:rsidR="00A052DC" w:rsidRDefault="009F0A60">
            <w:pPr>
              <w:rPr>
                <w:rFonts w:ascii="黑体" w:eastAsia="黑体" w:hAnsi="黑体"/>
                <w:sz w:val="20"/>
                <w:szCs w:val="20"/>
              </w:rPr>
            </w:pPr>
            <w:r>
              <w:rPr>
                <w:rFonts w:ascii="黑体" w:eastAsia="黑体" w:hAnsi="黑体" w:cs="宋体" w:hint="eastAsia"/>
                <w:kern w:val="0"/>
                <w:sz w:val="20"/>
                <w:szCs w:val="20"/>
              </w:rPr>
              <w:t>注册</w:t>
            </w:r>
            <w:r>
              <w:rPr>
                <w:rFonts w:ascii="黑体" w:eastAsia="黑体" w:hAnsi="黑体" w:cs="Calibri" w:hint="eastAsia"/>
                <w:kern w:val="0"/>
                <w:sz w:val="20"/>
                <w:szCs w:val="20"/>
              </w:rPr>
              <w:t>/</w:t>
            </w:r>
            <w:r>
              <w:rPr>
                <w:rFonts w:ascii="黑体" w:eastAsia="黑体" w:hAnsi="黑体" w:cs="宋体" w:hint="eastAsia"/>
                <w:kern w:val="0"/>
                <w:sz w:val="20"/>
                <w:szCs w:val="20"/>
              </w:rPr>
              <w:t>开业成立日期</w:t>
            </w:r>
          </w:p>
        </w:tc>
        <w:tc>
          <w:tcPr>
            <w:tcW w:w="7035" w:type="dxa"/>
            <w:vAlign w:val="center"/>
          </w:tcPr>
          <w:p w14:paraId="7533321A" w14:textId="77777777" w:rsidR="00A052DC" w:rsidRDefault="009F0A60">
            <w:pPr>
              <w:rPr>
                <w:rFonts w:ascii="黑体" w:eastAsia="黑体" w:hAnsi="黑体"/>
                <w:sz w:val="20"/>
                <w:szCs w:val="20"/>
              </w:rPr>
            </w:pPr>
            <w:r>
              <w:rPr>
                <w:rFonts w:ascii="黑体" w:eastAsia="黑体" w:hAnsi="黑体" w:cs="宋体" w:hint="eastAsia"/>
                <w:kern w:val="0"/>
                <w:sz w:val="20"/>
                <w:szCs w:val="20"/>
              </w:rPr>
              <w:t>指工商营业执照上的成立日期。</w:t>
            </w:r>
          </w:p>
        </w:tc>
      </w:tr>
      <w:tr w:rsidR="00A052DC" w14:paraId="3813FE6D" w14:textId="77777777">
        <w:tc>
          <w:tcPr>
            <w:tcW w:w="1578" w:type="dxa"/>
            <w:vAlign w:val="center"/>
          </w:tcPr>
          <w:p w14:paraId="0F523CDA" w14:textId="77777777" w:rsidR="00A052DC" w:rsidRDefault="009F0A60">
            <w:pPr>
              <w:rPr>
                <w:rFonts w:ascii="黑体" w:eastAsia="黑体" w:hAnsi="黑体"/>
                <w:sz w:val="20"/>
                <w:szCs w:val="20"/>
              </w:rPr>
            </w:pPr>
            <w:r>
              <w:rPr>
                <w:rFonts w:ascii="黑体" w:eastAsia="黑体" w:hAnsi="黑体" w:cs="宋体" w:hint="eastAsia"/>
                <w:kern w:val="0"/>
                <w:sz w:val="20"/>
                <w:szCs w:val="20"/>
              </w:rPr>
              <w:t>经营期限</w:t>
            </w:r>
          </w:p>
        </w:tc>
        <w:tc>
          <w:tcPr>
            <w:tcW w:w="7035" w:type="dxa"/>
            <w:vAlign w:val="center"/>
          </w:tcPr>
          <w:p w14:paraId="60F52832" w14:textId="77777777" w:rsidR="00A052DC" w:rsidRDefault="009F0A60">
            <w:pPr>
              <w:rPr>
                <w:rFonts w:ascii="黑体" w:eastAsia="黑体" w:hAnsi="黑体"/>
                <w:sz w:val="20"/>
                <w:szCs w:val="20"/>
              </w:rPr>
            </w:pPr>
            <w:r>
              <w:rPr>
                <w:rFonts w:ascii="黑体" w:eastAsia="黑体" w:hAnsi="黑体" w:cs="宋体" w:hint="eastAsia"/>
                <w:kern w:val="0"/>
                <w:sz w:val="20"/>
                <w:szCs w:val="20"/>
              </w:rPr>
              <w:t>指工商营业执照上的营业期限中的截止日期。</w:t>
            </w:r>
          </w:p>
        </w:tc>
      </w:tr>
      <w:tr w:rsidR="00A052DC" w14:paraId="5D6B9604" w14:textId="77777777">
        <w:tc>
          <w:tcPr>
            <w:tcW w:w="1578" w:type="dxa"/>
            <w:vAlign w:val="center"/>
          </w:tcPr>
          <w:p w14:paraId="72146387" w14:textId="77777777" w:rsidR="00A052DC" w:rsidRDefault="009F0A60">
            <w:pPr>
              <w:rPr>
                <w:rFonts w:ascii="黑体" w:eastAsia="黑体" w:hAnsi="黑体"/>
                <w:sz w:val="20"/>
                <w:szCs w:val="20"/>
              </w:rPr>
            </w:pPr>
            <w:r>
              <w:rPr>
                <w:rFonts w:ascii="黑体" w:eastAsia="黑体" w:hAnsi="黑体" w:cs="宋体" w:hint="eastAsia"/>
                <w:kern w:val="0"/>
                <w:sz w:val="20"/>
                <w:szCs w:val="20"/>
              </w:rPr>
              <w:t>经营范围</w:t>
            </w:r>
          </w:p>
        </w:tc>
        <w:tc>
          <w:tcPr>
            <w:tcW w:w="7035" w:type="dxa"/>
            <w:vAlign w:val="center"/>
          </w:tcPr>
          <w:p w14:paraId="133B1A45" w14:textId="77777777" w:rsidR="00A052DC" w:rsidRDefault="009F0A60">
            <w:pPr>
              <w:rPr>
                <w:rFonts w:ascii="黑体" w:eastAsia="黑体" w:hAnsi="黑体"/>
                <w:sz w:val="20"/>
                <w:szCs w:val="20"/>
              </w:rPr>
            </w:pPr>
            <w:r>
              <w:rPr>
                <w:rFonts w:ascii="黑体" w:eastAsia="黑体" w:hAnsi="黑体" w:cs="宋体" w:hint="eastAsia"/>
                <w:kern w:val="0"/>
                <w:sz w:val="20"/>
                <w:szCs w:val="20"/>
              </w:rPr>
              <w:t>指工商营业执照上的经营范围。</w:t>
            </w:r>
          </w:p>
        </w:tc>
      </w:tr>
      <w:tr w:rsidR="00A052DC" w14:paraId="2E7EC742" w14:textId="77777777">
        <w:tc>
          <w:tcPr>
            <w:tcW w:w="1578" w:type="dxa"/>
            <w:vAlign w:val="center"/>
          </w:tcPr>
          <w:p w14:paraId="03670633" w14:textId="77777777" w:rsidR="00A052DC" w:rsidRDefault="009F0A60">
            <w:pPr>
              <w:rPr>
                <w:rFonts w:ascii="黑体" w:eastAsia="黑体" w:hAnsi="黑体"/>
                <w:sz w:val="20"/>
                <w:szCs w:val="20"/>
              </w:rPr>
            </w:pPr>
            <w:r>
              <w:rPr>
                <w:rFonts w:ascii="黑体" w:eastAsia="黑体" w:hAnsi="黑体" w:cs="宋体" w:hint="eastAsia"/>
                <w:kern w:val="0"/>
                <w:sz w:val="20"/>
                <w:szCs w:val="20"/>
              </w:rPr>
              <w:t>法定代表人</w:t>
            </w:r>
          </w:p>
        </w:tc>
        <w:tc>
          <w:tcPr>
            <w:tcW w:w="7035" w:type="dxa"/>
            <w:vAlign w:val="center"/>
          </w:tcPr>
          <w:p w14:paraId="226597D7" w14:textId="77777777" w:rsidR="00A052DC" w:rsidRDefault="009F0A60">
            <w:pPr>
              <w:rPr>
                <w:rFonts w:ascii="黑体" w:eastAsia="黑体" w:hAnsi="黑体"/>
                <w:sz w:val="20"/>
                <w:szCs w:val="20"/>
              </w:rPr>
            </w:pPr>
            <w:r>
              <w:rPr>
                <w:rFonts w:ascii="黑体" w:eastAsia="黑体" w:hAnsi="黑体" w:cs="宋体" w:hint="eastAsia"/>
                <w:kern w:val="0"/>
                <w:sz w:val="20"/>
                <w:szCs w:val="20"/>
              </w:rPr>
              <w:t>指工商营业执照上的法定代表人。</w:t>
            </w:r>
          </w:p>
        </w:tc>
      </w:tr>
      <w:tr w:rsidR="00A052DC" w14:paraId="10495657" w14:textId="77777777">
        <w:tc>
          <w:tcPr>
            <w:tcW w:w="1578" w:type="dxa"/>
            <w:vAlign w:val="center"/>
          </w:tcPr>
          <w:p w14:paraId="50AEF2A3" w14:textId="77777777" w:rsidR="00A052DC" w:rsidRDefault="009F0A60">
            <w:pPr>
              <w:rPr>
                <w:rFonts w:ascii="黑体" w:eastAsia="黑体" w:hAnsi="黑体"/>
                <w:sz w:val="20"/>
                <w:szCs w:val="20"/>
              </w:rPr>
            </w:pPr>
            <w:r>
              <w:rPr>
                <w:rFonts w:ascii="黑体" w:eastAsia="黑体" w:hAnsi="黑体" w:cs="宋体" w:hint="eastAsia"/>
                <w:kern w:val="0"/>
                <w:sz w:val="20"/>
                <w:szCs w:val="20"/>
              </w:rPr>
              <w:t>法定代表人身份证件号码</w:t>
            </w:r>
          </w:p>
        </w:tc>
        <w:tc>
          <w:tcPr>
            <w:tcW w:w="7035" w:type="dxa"/>
            <w:vAlign w:val="center"/>
          </w:tcPr>
          <w:p w14:paraId="629F31E0" w14:textId="77777777" w:rsidR="00A052DC" w:rsidRDefault="009F0A60">
            <w:pPr>
              <w:pStyle w:val="B"/>
            </w:pPr>
            <w:r>
              <w:rPr>
                <w:rFonts w:hint="eastAsia"/>
              </w:rPr>
              <w:t>法定代表人的身份证、护照、港澳居民来往内地通行证、台湾居民来往大陆通行证等有效身份证件的号码，使用身份证的需符合身份证号码校验。</w:t>
            </w:r>
          </w:p>
        </w:tc>
      </w:tr>
      <w:tr w:rsidR="00A052DC" w14:paraId="72B13E2F" w14:textId="77777777">
        <w:tc>
          <w:tcPr>
            <w:tcW w:w="1578" w:type="dxa"/>
            <w:vAlign w:val="center"/>
          </w:tcPr>
          <w:p w14:paraId="6881F3A9" w14:textId="77777777" w:rsidR="00A052DC" w:rsidRDefault="009F0A60">
            <w:pPr>
              <w:rPr>
                <w:rFonts w:ascii="黑体" w:eastAsia="黑体" w:hAnsi="黑体"/>
                <w:sz w:val="20"/>
                <w:szCs w:val="20"/>
              </w:rPr>
            </w:pPr>
            <w:r>
              <w:rPr>
                <w:rFonts w:ascii="黑体" w:eastAsia="黑体" w:hAnsi="黑体" w:cs="宋体" w:hint="eastAsia"/>
                <w:kern w:val="0"/>
                <w:sz w:val="20"/>
                <w:szCs w:val="20"/>
              </w:rPr>
              <w:t>联系人姓名</w:t>
            </w:r>
          </w:p>
        </w:tc>
        <w:tc>
          <w:tcPr>
            <w:tcW w:w="7035" w:type="dxa"/>
            <w:vAlign w:val="center"/>
          </w:tcPr>
          <w:p w14:paraId="5C6D931A" w14:textId="77777777" w:rsidR="00A052DC" w:rsidRDefault="009F0A60">
            <w:pPr>
              <w:rPr>
                <w:rFonts w:ascii="黑体" w:eastAsia="黑体" w:hAnsi="黑体"/>
                <w:sz w:val="20"/>
                <w:szCs w:val="20"/>
              </w:rPr>
            </w:pPr>
            <w:r>
              <w:rPr>
                <w:rFonts w:ascii="黑体" w:eastAsia="黑体" w:hAnsi="黑体" w:cs="宋体" w:hint="eastAsia"/>
                <w:kern w:val="0"/>
                <w:sz w:val="20"/>
                <w:szCs w:val="20"/>
              </w:rPr>
              <w:t>多个联系人时，可用逗号分隔。</w:t>
            </w:r>
          </w:p>
        </w:tc>
      </w:tr>
      <w:tr w:rsidR="00A052DC" w14:paraId="0FD1D395" w14:textId="77777777">
        <w:tc>
          <w:tcPr>
            <w:tcW w:w="1578" w:type="dxa"/>
            <w:vAlign w:val="center"/>
          </w:tcPr>
          <w:p w14:paraId="14AB86F0" w14:textId="77777777" w:rsidR="00A052DC" w:rsidRDefault="009F0A60">
            <w:pPr>
              <w:rPr>
                <w:rFonts w:ascii="黑体" w:eastAsia="黑体" w:hAnsi="黑体"/>
                <w:sz w:val="20"/>
                <w:szCs w:val="20"/>
              </w:rPr>
            </w:pPr>
            <w:r>
              <w:rPr>
                <w:rFonts w:ascii="黑体" w:eastAsia="黑体" w:hAnsi="黑体" w:cs="宋体" w:hint="eastAsia"/>
                <w:kern w:val="0"/>
                <w:sz w:val="20"/>
                <w:szCs w:val="20"/>
              </w:rPr>
              <w:t>联系电话</w:t>
            </w:r>
          </w:p>
        </w:tc>
        <w:tc>
          <w:tcPr>
            <w:tcW w:w="7035" w:type="dxa"/>
            <w:vAlign w:val="center"/>
          </w:tcPr>
          <w:p w14:paraId="13647464" w14:textId="77777777" w:rsidR="00A052DC" w:rsidRDefault="009F0A60">
            <w:pPr>
              <w:rPr>
                <w:rFonts w:ascii="黑体" w:eastAsia="黑体" w:hAnsi="黑体"/>
                <w:sz w:val="20"/>
                <w:szCs w:val="20"/>
              </w:rPr>
            </w:pPr>
            <w:r>
              <w:rPr>
                <w:rFonts w:ascii="黑体" w:eastAsia="黑体" w:hAnsi="黑体" w:cs="宋体" w:hint="eastAsia"/>
                <w:kern w:val="0"/>
                <w:sz w:val="20"/>
                <w:szCs w:val="20"/>
              </w:rPr>
              <w:t>多个联系电话时，可用逗号分隔。</w:t>
            </w:r>
          </w:p>
        </w:tc>
      </w:tr>
      <w:tr w:rsidR="00A052DC" w14:paraId="43A45E2A" w14:textId="77777777">
        <w:tc>
          <w:tcPr>
            <w:tcW w:w="1578" w:type="dxa"/>
            <w:vAlign w:val="center"/>
          </w:tcPr>
          <w:p w14:paraId="7FAEB7E4" w14:textId="77777777" w:rsidR="00A052DC" w:rsidRDefault="009F0A60">
            <w:pPr>
              <w:rPr>
                <w:rFonts w:ascii="黑体" w:eastAsia="黑体" w:hAnsi="黑体"/>
                <w:sz w:val="20"/>
                <w:szCs w:val="20"/>
              </w:rPr>
            </w:pPr>
            <w:r>
              <w:rPr>
                <w:rFonts w:ascii="黑体" w:eastAsia="黑体" w:hAnsi="黑体" w:cs="宋体" w:hint="eastAsia"/>
                <w:kern w:val="0"/>
                <w:sz w:val="20"/>
                <w:szCs w:val="20"/>
              </w:rPr>
              <w:t>传真</w:t>
            </w:r>
          </w:p>
        </w:tc>
        <w:tc>
          <w:tcPr>
            <w:tcW w:w="7035" w:type="dxa"/>
            <w:vAlign w:val="center"/>
          </w:tcPr>
          <w:p w14:paraId="6CD1B1F1" w14:textId="77777777" w:rsidR="00A052DC" w:rsidRDefault="009F0A60">
            <w:pPr>
              <w:rPr>
                <w:rFonts w:ascii="黑体" w:eastAsia="黑体" w:hAnsi="黑体"/>
                <w:sz w:val="20"/>
                <w:szCs w:val="20"/>
              </w:rPr>
            </w:pPr>
            <w:r>
              <w:rPr>
                <w:rFonts w:ascii="黑体" w:eastAsia="黑体" w:hAnsi="黑体" w:cs="宋体" w:hint="eastAsia"/>
                <w:kern w:val="0"/>
                <w:sz w:val="20"/>
                <w:szCs w:val="20"/>
              </w:rPr>
              <w:t>多个传真时，可用逗号分隔。</w:t>
            </w:r>
          </w:p>
        </w:tc>
      </w:tr>
      <w:tr w:rsidR="00A052DC" w14:paraId="690EE132" w14:textId="77777777">
        <w:tc>
          <w:tcPr>
            <w:tcW w:w="1578" w:type="dxa"/>
            <w:vAlign w:val="center"/>
          </w:tcPr>
          <w:p w14:paraId="13BD5597" w14:textId="77777777" w:rsidR="00A052DC" w:rsidRDefault="009F0A60">
            <w:pPr>
              <w:rPr>
                <w:rFonts w:ascii="黑体" w:eastAsia="黑体" w:hAnsi="黑体"/>
                <w:sz w:val="20"/>
                <w:szCs w:val="20"/>
              </w:rPr>
            </w:pPr>
            <w:r>
              <w:rPr>
                <w:rFonts w:ascii="黑体" w:eastAsia="黑体" w:hAnsi="黑体" w:cs="宋体" w:hint="eastAsia"/>
                <w:kern w:val="0"/>
                <w:sz w:val="20"/>
                <w:szCs w:val="20"/>
              </w:rPr>
              <w:t>机构类型</w:t>
            </w:r>
          </w:p>
        </w:tc>
        <w:tc>
          <w:tcPr>
            <w:tcW w:w="7035" w:type="dxa"/>
            <w:vAlign w:val="center"/>
          </w:tcPr>
          <w:p w14:paraId="61893DA6" w14:textId="77777777" w:rsidR="00A052DC" w:rsidRDefault="009F0A60">
            <w:pPr>
              <w:rPr>
                <w:rFonts w:ascii="黑体" w:eastAsia="黑体" w:hAnsi="黑体"/>
                <w:sz w:val="20"/>
                <w:szCs w:val="20"/>
              </w:rPr>
            </w:pPr>
            <w:r>
              <w:rPr>
                <w:rFonts w:ascii="黑体" w:eastAsia="黑体" w:hAnsi="黑体" w:cs="宋体" w:hint="eastAsia"/>
                <w:kern w:val="0"/>
                <w:sz w:val="20"/>
                <w:szCs w:val="20"/>
              </w:rPr>
              <w:t>机关</w:t>
            </w:r>
            <w:r>
              <w:rPr>
                <w:rFonts w:ascii="黑体" w:eastAsia="黑体" w:hAnsi="黑体" w:cs="Calibri" w:hint="eastAsia"/>
                <w:kern w:val="0"/>
                <w:sz w:val="20"/>
                <w:szCs w:val="20"/>
              </w:rPr>
              <w:t>/</w:t>
            </w:r>
            <w:r>
              <w:rPr>
                <w:rFonts w:ascii="黑体" w:eastAsia="黑体" w:hAnsi="黑体" w:cs="宋体" w:hint="eastAsia"/>
                <w:kern w:val="0"/>
                <w:sz w:val="20"/>
                <w:szCs w:val="20"/>
              </w:rPr>
              <w:t>事业单位</w:t>
            </w:r>
            <w:r>
              <w:rPr>
                <w:rFonts w:ascii="黑体" w:eastAsia="黑体" w:hAnsi="黑体" w:cs="Calibri" w:hint="eastAsia"/>
                <w:kern w:val="0"/>
                <w:sz w:val="20"/>
                <w:szCs w:val="20"/>
              </w:rPr>
              <w:t>/</w:t>
            </w:r>
            <w:r>
              <w:rPr>
                <w:rFonts w:ascii="黑体" w:eastAsia="黑体" w:hAnsi="黑体" w:cs="宋体" w:hint="eastAsia"/>
                <w:kern w:val="0"/>
                <w:sz w:val="20"/>
                <w:szCs w:val="20"/>
              </w:rPr>
              <w:t>企业</w:t>
            </w:r>
            <w:r>
              <w:rPr>
                <w:rFonts w:ascii="黑体" w:eastAsia="黑体" w:hAnsi="黑体" w:cs="Calibri" w:hint="eastAsia"/>
                <w:kern w:val="0"/>
                <w:sz w:val="20"/>
                <w:szCs w:val="20"/>
              </w:rPr>
              <w:t>/</w:t>
            </w:r>
            <w:r>
              <w:rPr>
                <w:rFonts w:ascii="黑体" w:eastAsia="黑体" w:hAnsi="黑体" w:cs="宋体" w:hint="eastAsia"/>
                <w:kern w:val="0"/>
                <w:sz w:val="20"/>
                <w:szCs w:val="20"/>
              </w:rPr>
              <w:t>社会团体</w:t>
            </w:r>
            <w:r>
              <w:rPr>
                <w:rFonts w:ascii="黑体" w:eastAsia="黑体" w:hAnsi="黑体" w:cs="Calibri" w:hint="eastAsia"/>
                <w:kern w:val="0"/>
                <w:sz w:val="20"/>
                <w:szCs w:val="20"/>
              </w:rPr>
              <w:t>/</w:t>
            </w:r>
            <w:r>
              <w:rPr>
                <w:rFonts w:ascii="黑体" w:eastAsia="黑体" w:hAnsi="黑体" w:cs="宋体" w:hint="eastAsia"/>
                <w:kern w:val="0"/>
                <w:sz w:val="20"/>
                <w:szCs w:val="20"/>
              </w:rPr>
              <w:t>军队武警、境外机构、驻华使领馆等特殊机构</w:t>
            </w:r>
            <w:r>
              <w:rPr>
                <w:rFonts w:ascii="黑体" w:eastAsia="黑体" w:hAnsi="黑体" w:cs="Calibri" w:hint="eastAsia"/>
                <w:kern w:val="0"/>
                <w:sz w:val="20"/>
                <w:szCs w:val="20"/>
              </w:rPr>
              <w:t>/</w:t>
            </w:r>
            <w:r>
              <w:rPr>
                <w:rFonts w:ascii="黑体" w:eastAsia="黑体" w:hAnsi="黑体" w:cs="宋体" w:hint="eastAsia"/>
                <w:kern w:val="0"/>
                <w:sz w:val="20"/>
                <w:szCs w:val="20"/>
              </w:rPr>
              <w:t>其他组织机构</w:t>
            </w:r>
          </w:p>
        </w:tc>
      </w:tr>
      <w:tr w:rsidR="00A052DC" w14:paraId="22AB6E21" w14:textId="77777777">
        <w:tc>
          <w:tcPr>
            <w:tcW w:w="1578" w:type="dxa"/>
            <w:vAlign w:val="center"/>
          </w:tcPr>
          <w:p w14:paraId="7AE21779" w14:textId="77777777" w:rsidR="00A052DC" w:rsidRDefault="009F0A60">
            <w:pPr>
              <w:rPr>
                <w:rFonts w:ascii="黑体" w:eastAsia="黑体" w:hAnsi="黑体"/>
                <w:sz w:val="20"/>
                <w:szCs w:val="20"/>
              </w:rPr>
            </w:pPr>
            <w:r>
              <w:rPr>
                <w:rFonts w:ascii="黑体" w:eastAsia="黑体" w:hAnsi="黑体" w:cs="宋体" w:hint="eastAsia"/>
                <w:kern w:val="0"/>
                <w:sz w:val="20"/>
                <w:szCs w:val="20"/>
              </w:rPr>
              <w:t>海关注册号</w:t>
            </w:r>
          </w:p>
        </w:tc>
        <w:tc>
          <w:tcPr>
            <w:tcW w:w="7035" w:type="dxa"/>
            <w:vAlign w:val="center"/>
          </w:tcPr>
          <w:p w14:paraId="4EAB74C4" w14:textId="77777777" w:rsidR="00A052DC" w:rsidRDefault="009F0A60">
            <w:pPr>
              <w:rPr>
                <w:rFonts w:ascii="黑体" w:eastAsia="黑体" w:hAnsi="黑体"/>
                <w:sz w:val="20"/>
                <w:szCs w:val="20"/>
              </w:rPr>
            </w:pPr>
            <w:r>
              <w:rPr>
                <w:rFonts w:ascii="黑体" w:eastAsia="黑体" w:hAnsi="黑体" w:cs="宋体" w:hint="eastAsia"/>
                <w:kern w:val="0"/>
                <w:sz w:val="20"/>
                <w:szCs w:val="20"/>
              </w:rPr>
              <w:t>企业在海关使用的注册号，非必填。</w:t>
            </w:r>
          </w:p>
        </w:tc>
      </w:tr>
      <w:tr w:rsidR="00A052DC" w14:paraId="083F130D" w14:textId="77777777">
        <w:tc>
          <w:tcPr>
            <w:tcW w:w="1578" w:type="dxa"/>
            <w:vAlign w:val="center"/>
          </w:tcPr>
          <w:p w14:paraId="25ACA32F" w14:textId="77777777" w:rsidR="00A052DC" w:rsidRDefault="009F0A60">
            <w:pPr>
              <w:rPr>
                <w:rFonts w:ascii="黑体" w:eastAsia="黑体" w:hAnsi="黑体"/>
                <w:sz w:val="20"/>
                <w:szCs w:val="20"/>
              </w:rPr>
            </w:pPr>
            <w:r>
              <w:rPr>
                <w:rFonts w:ascii="黑体" w:eastAsia="黑体" w:hAnsi="黑体" w:cs="宋体" w:hint="eastAsia"/>
                <w:kern w:val="0"/>
                <w:sz w:val="20"/>
                <w:szCs w:val="20"/>
              </w:rPr>
              <w:t>统一社会信用代码</w:t>
            </w:r>
          </w:p>
        </w:tc>
        <w:tc>
          <w:tcPr>
            <w:tcW w:w="7035" w:type="dxa"/>
            <w:vAlign w:val="center"/>
          </w:tcPr>
          <w:p w14:paraId="6AFD0894" w14:textId="77777777" w:rsidR="00A052DC" w:rsidRDefault="009F0A60">
            <w:pPr>
              <w:rPr>
                <w:rFonts w:ascii="黑体" w:eastAsia="黑体" w:hAnsi="黑体"/>
                <w:sz w:val="20"/>
                <w:szCs w:val="20"/>
              </w:rPr>
            </w:pPr>
            <w:r>
              <w:rPr>
                <w:rFonts w:ascii="黑体" w:eastAsia="黑体" w:hAnsi="黑体" w:cs="Calibri" w:hint="eastAsia"/>
                <w:kern w:val="0"/>
                <w:sz w:val="20"/>
                <w:szCs w:val="20"/>
              </w:rPr>
              <w:t>18位统一社会信用代码，非必填。</w:t>
            </w:r>
          </w:p>
        </w:tc>
      </w:tr>
      <w:tr w:rsidR="00A052DC" w14:paraId="035A31B1" w14:textId="77777777">
        <w:tc>
          <w:tcPr>
            <w:tcW w:w="1578" w:type="dxa"/>
            <w:vAlign w:val="center"/>
          </w:tcPr>
          <w:p w14:paraId="76CA81CE" w14:textId="77777777" w:rsidR="00A052DC" w:rsidRDefault="009F0A60">
            <w:pPr>
              <w:rPr>
                <w:rFonts w:ascii="黑体" w:eastAsia="黑体" w:hAnsi="黑体"/>
                <w:sz w:val="20"/>
                <w:szCs w:val="20"/>
              </w:rPr>
            </w:pPr>
            <w:r>
              <w:rPr>
                <w:rFonts w:ascii="黑体" w:eastAsia="黑体" w:hAnsi="黑体" w:cs="Calibri" w:hint="eastAsia"/>
                <w:kern w:val="0"/>
                <w:sz w:val="20"/>
                <w:szCs w:val="20"/>
              </w:rPr>
              <w:t>LEI编码</w:t>
            </w:r>
          </w:p>
        </w:tc>
        <w:tc>
          <w:tcPr>
            <w:tcW w:w="7035" w:type="dxa"/>
            <w:vAlign w:val="center"/>
          </w:tcPr>
          <w:p w14:paraId="51E2C2DB" w14:textId="77777777" w:rsidR="00A052DC" w:rsidRDefault="009F0A60">
            <w:pPr>
              <w:rPr>
                <w:rFonts w:ascii="黑体" w:eastAsia="黑体" w:hAnsi="黑体"/>
                <w:sz w:val="20"/>
                <w:szCs w:val="20"/>
              </w:rPr>
            </w:pPr>
            <w:r>
              <w:rPr>
                <w:rFonts w:ascii="黑体" w:eastAsia="黑体" w:hAnsi="黑体" w:cs="宋体" w:hint="eastAsia"/>
                <w:kern w:val="0"/>
                <w:sz w:val="20"/>
                <w:szCs w:val="20"/>
              </w:rPr>
              <w:t>指按照国际标准化组织的《金融服务法人机构识别编码》(ISO 17442:2012)标准为法人机构分配的由20位数字和字母组成的唯一编码,可以用于标识与国际金融交易相关联的法人机构，英文全称是 Legal Entity Identifier。</w:t>
            </w:r>
          </w:p>
        </w:tc>
      </w:tr>
      <w:tr w:rsidR="00A052DC" w14:paraId="0C1D07D9" w14:textId="77777777">
        <w:tc>
          <w:tcPr>
            <w:tcW w:w="1578" w:type="dxa"/>
            <w:vAlign w:val="center"/>
          </w:tcPr>
          <w:p w14:paraId="3630F685" w14:textId="77777777" w:rsidR="00A052DC" w:rsidRDefault="009F0A60">
            <w:pPr>
              <w:rPr>
                <w:rFonts w:ascii="黑体" w:eastAsia="黑体" w:hAnsi="黑体"/>
                <w:sz w:val="20"/>
                <w:szCs w:val="20"/>
              </w:rPr>
            </w:pPr>
            <w:r>
              <w:rPr>
                <w:rFonts w:ascii="黑体" w:eastAsia="黑体" w:hAnsi="黑体" w:cs="Calibri" w:hint="eastAsia"/>
                <w:kern w:val="0"/>
                <w:sz w:val="20"/>
                <w:szCs w:val="20"/>
              </w:rPr>
              <w:t>SWIFTCODE</w:t>
            </w:r>
          </w:p>
        </w:tc>
        <w:tc>
          <w:tcPr>
            <w:tcW w:w="7035" w:type="dxa"/>
            <w:vAlign w:val="center"/>
          </w:tcPr>
          <w:p w14:paraId="0F6E0E08" w14:textId="77777777" w:rsidR="00A052DC" w:rsidRDefault="009F0A60">
            <w:pPr>
              <w:rPr>
                <w:rFonts w:ascii="黑体" w:eastAsia="黑体" w:hAnsi="黑体"/>
                <w:sz w:val="20"/>
                <w:szCs w:val="20"/>
              </w:rPr>
            </w:pPr>
            <w:r>
              <w:rPr>
                <w:rFonts w:ascii="黑体" w:eastAsia="黑体" w:hAnsi="黑体" w:cs="宋体" w:hint="eastAsia"/>
                <w:kern w:val="0"/>
                <w:sz w:val="20"/>
                <w:szCs w:val="20"/>
              </w:rPr>
              <w:t>境外主体属性，境外金融机构填写。</w:t>
            </w:r>
          </w:p>
        </w:tc>
      </w:tr>
      <w:tr w:rsidR="00A052DC" w14:paraId="10EA802A" w14:textId="77777777">
        <w:tc>
          <w:tcPr>
            <w:tcW w:w="1578" w:type="dxa"/>
          </w:tcPr>
          <w:p w14:paraId="50C2D97C" w14:textId="77777777" w:rsidR="00A052DC" w:rsidRDefault="009F0A60">
            <w:pPr>
              <w:rPr>
                <w:rFonts w:ascii="黑体" w:eastAsia="黑体" w:hAnsi="黑体"/>
                <w:sz w:val="20"/>
                <w:szCs w:val="20"/>
              </w:rPr>
            </w:pPr>
            <w:r>
              <w:rPr>
                <w:rFonts w:ascii="黑体" w:eastAsia="黑体" w:hAnsi="黑体" w:hint="eastAsia"/>
                <w:sz w:val="20"/>
                <w:szCs w:val="20"/>
              </w:rPr>
              <w:t>联系用</w:t>
            </w:r>
          </w:p>
          <w:p w14:paraId="5E1E5917" w14:textId="77777777" w:rsidR="00A052DC" w:rsidRDefault="009F0A60">
            <w:pPr>
              <w:rPr>
                <w:rFonts w:ascii="黑体" w:eastAsia="黑体" w:hAnsi="黑体"/>
                <w:sz w:val="20"/>
                <w:szCs w:val="20"/>
              </w:rPr>
            </w:pPr>
            <w:r>
              <w:rPr>
                <w:rFonts w:ascii="黑体" w:eastAsia="黑体" w:hAnsi="黑体" w:hint="eastAsia"/>
                <w:sz w:val="20"/>
                <w:szCs w:val="20"/>
              </w:rPr>
              <w:t>E</w:t>
            </w:r>
            <w:r w:rsidR="00AE4602">
              <w:rPr>
                <w:rFonts w:ascii="黑体" w:eastAsia="黑体" w:hAnsi="黑体" w:hint="eastAsia"/>
                <w:sz w:val="20"/>
                <w:szCs w:val="20"/>
              </w:rPr>
              <w:t>-</w:t>
            </w:r>
            <w:r>
              <w:rPr>
                <w:rFonts w:ascii="黑体" w:eastAsia="黑体" w:hAnsi="黑体" w:hint="eastAsia"/>
                <w:sz w:val="20"/>
                <w:szCs w:val="20"/>
              </w:rPr>
              <w:t>mail</w:t>
            </w:r>
          </w:p>
        </w:tc>
        <w:tc>
          <w:tcPr>
            <w:tcW w:w="7035" w:type="dxa"/>
          </w:tcPr>
          <w:p w14:paraId="4D4CA889" w14:textId="77777777" w:rsidR="00A052DC" w:rsidRDefault="009F0A60">
            <w:pPr>
              <w:rPr>
                <w:rFonts w:ascii="黑体" w:eastAsia="黑体" w:hAnsi="黑体"/>
                <w:sz w:val="20"/>
                <w:szCs w:val="20"/>
              </w:rPr>
            </w:pPr>
            <w:r>
              <w:rPr>
                <w:rFonts w:ascii="黑体" w:eastAsia="黑体" w:hAnsi="黑体" w:hint="eastAsia"/>
                <w:sz w:val="20"/>
                <w:szCs w:val="20"/>
              </w:rPr>
              <w:t>指该机构与外汇局之间的日常办公联系用的E</w:t>
            </w:r>
            <w:r w:rsidR="00AE4602">
              <w:rPr>
                <w:rFonts w:ascii="黑体" w:eastAsia="黑体" w:hAnsi="黑体" w:hint="eastAsia"/>
                <w:sz w:val="20"/>
                <w:szCs w:val="20"/>
              </w:rPr>
              <w:t>-</w:t>
            </w:r>
            <w:r>
              <w:rPr>
                <w:rFonts w:ascii="黑体" w:eastAsia="黑体" w:hAnsi="黑体" w:hint="eastAsia"/>
                <w:sz w:val="20"/>
                <w:szCs w:val="20"/>
              </w:rPr>
              <w:t>mail。</w:t>
            </w:r>
          </w:p>
        </w:tc>
      </w:tr>
      <w:tr w:rsidR="00A052DC" w14:paraId="099178AF" w14:textId="77777777">
        <w:tc>
          <w:tcPr>
            <w:tcW w:w="1578" w:type="dxa"/>
          </w:tcPr>
          <w:p w14:paraId="0F43906C" w14:textId="77777777" w:rsidR="00A052DC" w:rsidRDefault="009F0A60">
            <w:pPr>
              <w:rPr>
                <w:rFonts w:ascii="黑体" w:eastAsia="黑体" w:hAnsi="黑体"/>
                <w:sz w:val="20"/>
                <w:szCs w:val="20"/>
              </w:rPr>
            </w:pPr>
            <w:r>
              <w:rPr>
                <w:rFonts w:ascii="黑体" w:eastAsia="黑体" w:hAnsi="黑体" w:hint="eastAsia"/>
                <w:sz w:val="20"/>
                <w:szCs w:val="20"/>
              </w:rPr>
              <w:t>申报方式</w:t>
            </w:r>
          </w:p>
        </w:tc>
        <w:tc>
          <w:tcPr>
            <w:tcW w:w="7035" w:type="dxa"/>
          </w:tcPr>
          <w:p w14:paraId="2E082573" w14:textId="77777777" w:rsidR="00A052DC" w:rsidRDefault="009F0A60">
            <w:pPr>
              <w:rPr>
                <w:rFonts w:ascii="黑体" w:eastAsia="黑体" w:hAnsi="黑体"/>
                <w:sz w:val="20"/>
                <w:szCs w:val="20"/>
              </w:rPr>
            </w:pPr>
            <w:r>
              <w:rPr>
                <w:rFonts w:ascii="黑体" w:eastAsia="黑体" w:hAnsi="黑体" w:hint="eastAsia"/>
                <w:sz w:val="20"/>
                <w:szCs w:val="20"/>
              </w:rPr>
              <w:t>机构客户可以选择以下两种申报方式：纸质申报或电子凭证申报、网上申报。</w:t>
            </w:r>
          </w:p>
        </w:tc>
      </w:tr>
      <w:tr w:rsidR="00A052DC" w14:paraId="1F304D0F" w14:textId="77777777">
        <w:tc>
          <w:tcPr>
            <w:tcW w:w="1578" w:type="dxa"/>
          </w:tcPr>
          <w:p w14:paraId="2CCF8520" w14:textId="77777777" w:rsidR="00A052DC" w:rsidRDefault="009F0A60">
            <w:pPr>
              <w:rPr>
                <w:rFonts w:ascii="黑体" w:eastAsia="黑体" w:hAnsi="黑体"/>
                <w:sz w:val="20"/>
                <w:szCs w:val="20"/>
              </w:rPr>
            </w:pPr>
            <w:r>
              <w:rPr>
                <w:rFonts w:ascii="黑体" w:eastAsia="黑体" w:hAnsi="黑体" w:hint="eastAsia"/>
                <w:sz w:val="20"/>
                <w:szCs w:val="20"/>
              </w:rPr>
              <w:t>交易用</w:t>
            </w:r>
          </w:p>
          <w:p w14:paraId="3032F544" w14:textId="77777777" w:rsidR="00A052DC" w:rsidRDefault="009F0A60">
            <w:pPr>
              <w:rPr>
                <w:rFonts w:ascii="黑体" w:eastAsia="黑体" w:hAnsi="黑体"/>
                <w:sz w:val="20"/>
                <w:szCs w:val="20"/>
              </w:rPr>
            </w:pPr>
            <w:r>
              <w:rPr>
                <w:rFonts w:ascii="黑体" w:eastAsia="黑体" w:hAnsi="黑体" w:hint="eastAsia"/>
                <w:sz w:val="20"/>
                <w:szCs w:val="20"/>
              </w:rPr>
              <w:t>E</w:t>
            </w:r>
            <w:r w:rsidR="00AE4602">
              <w:rPr>
                <w:rFonts w:ascii="黑体" w:eastAsia="黑体" w:hAnsi="黑体" w:hint="eastAsia"/>
                <w:sz w:val="20"/>
                <w:szCs w:val="20"/>
              </w:rPr>
              <w:t>-</w:t>
            </w:r>
            <w:r>
              <w:rPr>
                <w:rFonts w:ascii="黑体" w:eastAsia="黑体" w:hAnsi="黑体" w:hint="eastAsia"/>
                <w:sz w:val="20"/>
                <w:szCs w:val="20"/>
              </w:rPr>
              <w:t>mail</w:t>
            </w:r>
          </w:p>
        </w:tc>
        <w:tc>
          <w:tcPr>
            <w:tcW w:w="7035" w:type="dxa"/>
          </w:tcPr>
          <w:p w14:paraId="2DF806F9" w14:textId="77777777" w:rsidR="00A052DC" w:rsidRDefault="009F0A60">
            <w:pPr>
              <w:rPr>
                <w:rFonts w:ascii="黑体" w:eastAsia="黑体" w:hAnsi="黑体"/>
                <w:sz w:val="20"/>
                <w:szCs w:val="20"/>
              </w:rPr>
            </w:pPr>
            <w:r>
              <w:rPr>
                <w:rFonts w:ascii="黑体" w:eastAsia="黑体" w:hAnsi="黑体" w:hint="eastAsia"/>
                <w:sz w:val="20"/>
                <w:szCs w:val="20"/>
              </w:rPr>
              <w:t>预留字段。</w:t>
            </w:r>
          </w:p>
        </w:tc>
      </w:tr>
      <w:tr w:rsidR="00A052DC" w14:paraId="1F0756AC" w14:textId="77777777">
        <w:tc>
          <w:tcPr>
            <w:tcW w:w="1578" w:type="dxa"/>
          </w:tcPr>
          <w:p w14:paraId="1B0900AF" w14:textId="77777777" w:rsidR="00A052DC" w:rsidRDefault="009F0A60">
            <w:pPr>
              <w:rPr>
                <w:rFonts w:ascii="黑体" w:eastAsia="黑体" w:hAnsi="黑体"/>
                <w:sz w:val="20"/>
                <w:szCs w:val="20"/>
              </w:rPr>
            </w:pPr>
            <w:r>
              <w:rPr>
                <w:rFonts w:ascii="黑体" w:eastAsia="黑体" w:hAnsi="黑体" w:hint="eastAsia"/>
                <w:sz w:val="20"/>
                <w:szCs w:val="20"/>
              </w:rPr>
              <w:t>金融机构标识码</w:t>
            </w:r>
          </w:p>
        </w:tc>
        <w:tc>
          <w:tcPr>
            <w:tcW w:w="7035" w:type="dxa"/>
          </w:tcPr>
          <w:p w14:paraId="436BF0F2" w14:textId="77777777" w:rsidR="00A052DC" w:rsidRDefault="009F0A60">
            <w:pPr>
              <w:rPr>
                <w:rFonts w:ascii="黑体" w:eastAsia="黑体" w:hAnsi="黑体"/>
                <w:sz w:val="20"/>
                <w:szCs w:val="20"/>
              </w:rPr>
            </w:pPr>
            <w:r>
              <w:rPr>
                <w:rFonts w:ascii="黑体" w:eastAsia="黑体" w:hAnsi="黑体" w:hint="eastAsia"/>
                <w:sz w:val="20"/>
                <w:szCs w:val="20"/>
              </w:rPr>
              <w:t>指该机构开户/经办行的12位标识码。</w:t>
            </w:r>
          </w:p>
        </w:tc>
      </w:tr>
      <w:tr w:rsidR="00A052DC" w14:paraId="509CD080" w14:textId="77777777">
        <w:tc>
          <w:tcPr>
            <w:tcW w:w="1578" w:type="dxa"/>
          </w:tcPr>
          <w:p w14:paraId="7794C764" w14:textId="77777777" w:rsidR="00A052DC" w:rsidRDefault="009F0A60">
            <w:pPr>
              <w:rPr>
                <w:rFonts w:ascii="黑体" w:eastAsia="黑体" w:hAnsi="黑体"/>
                <w:sz w:val="20"/>
                <w:szCs w:val="20"/>
              </w:rPr>
            </w:pPr>
            <w:r>
              <w:rPr>
                <w:rFonts w:ascii="黑体" w:eastAsia="黑体" w:hAnsi="黑体" w:hint="eastAsia"/>
                <w:sz w:val="20"/>
                <w:szCs w:val="20"/>
              </w:rPr>
              <w:t>单位联系人</w:t>
            </w:r>
          </w:p>
        </w:tc>
        <w:tc>
          <w:tcPr>
            <w:tcW w:w="7035" w:type="dxa"/>
          </w:tcPr>
          <w:p w14:paraId="21B24F66" w14:textId="77777777" w:rsidR="00A052DC" w:rsidRDefault="009F0A60">
            <w:pPr>
              <w:rPr>
                <w:rFonts w:ascii="黑体" w:eastAsia="黑体" w:hAnsi="黑体"/>
                <w:sz w:val="20"/>
                <w:szCs w:val="20"/>
              </w:rPr>
            </w:pPr>
            <w:r>
              <w:rPr>
                <w:rFonts w:ascii="黑体" w:eastAsia="黑体" w:hAnsi="黑体" w:hint="eastAsia"/>
                <w:sz w:val="20"/>
                <w:szCs w:val="20"/>
              </w:rPr>
              <w:t>指该机构在本银行的联系人。</w:t>
            </w:r>
          </w:p>
        </w:tc>
      </w:tr>
      <w:tr w:rsidR="00A052DC" w14:paraId="0AA0C27A" w14:textId="77777777">
        <w:tc>
          <w:tcPr>
            <w:tcW w:w="1578" w:type="dxa"/>
          </w:tcPr>
          <w:p w14:paraId="2AF78D2D" w14:textId="77777777" w:rsidR="00A052DC" w:rsidRDefault="009F0A60">
            <w:pPr>
              <w:rPr>
                <w:rFonts w:ascii="黑体" w:eastAsia="黑体" w:hAnsi="黑体"/>
                <w:sz w:val="20"/>
                <w:szCs w:val="20"/>
              </w:rPr>
            </w:pPr>
            <w:r>
              <w:rPr>
                <w:rFonts w:ascii="黑体" w:eastAsia="黑体" w:hAnsi="黑体" w:hint="eastAsia"/>
                <w:sz w:val="20"/>
                <w:szCs w:val="20"/>
              </w:rPr>
              <w:t>单位联系电话</w:t>
            </w:r>
          </w:p>
        </w:tc>
        <w:tc>
          <w:tcPr>
            <w:tcW w:w="7035" w:type="dxa"/>
          </w:tcPr>
          <w:p w14:paraId="75EFC68B" w14:textId="77777777" w:rsidR="00A052DC" w:rsidRDefault="009F0A60">
            <w:pPr>
              <w:rPr>
                <w:rFonts w:ascii="黑体" w:eastAsia="黑体" w:hAnsi="黑体"/>
                <w:sz w:val="20"/>
                <w:szCs w:val="20"/>
              </w:rPr>
            </w:pPr>
            <w:r>
              <w:rPr>
                <w:rFonts w:ascii="黑体" w:eastAsia="黑体" w:hAnsi="黑体" w:hint="eastAsia"/>
                <w:sz w:val="20"/>
                <w:szCs w:val="20"/>
              </w:rPr>
              <w:t>指该机构在本银行的联系电话号码。</w:t>
            </w:r>
          </w:p>
        </w:tc>
      </w:tr>
      <w:tr w:rsidR="00A052DC" w14:paraId="7710F07C" w14:textId="77777777">
        <w:tc>
          <w:tcPr>
            <w:tcW w:w="1578" w:type="dxa"/>
          </w:tcPr>
          <w:p w14:paraId="54517F16" w14:textId="77777777" w:rsidR="00A052DC" w:rsidRDefault="009F0A60">
            <w:pPr>
              <w:pStyle w:val="B"/>
            </w:pPr>
            <w:r>
              <w:rPr>
                <w:rFonts w:hint="eastAsia"/>
              </w:rPr>
              <w:t>建表日期</w:t>
            </w:r>
          </w:p>
        </w:tc>
        <w:tc>
          <w:tcPr>
            <w:tcW w:w="7035" w:type="dxa"/>
          </w:tcPr>
          <w:p w14:paraId="558554BE" w14:textId="77777777" w:rsidR="00A052DC" w:rsidRDefault="009F0A60">
            <w:pPr>
              <w:pStyle w:val="B"/>
            </w:pPr>
            <w:r>
              <w:rPr>
                <w:rFonts w:hAnsi="宋体" w:hint="eastAsia"/>
              </w:rPr>
              <w:t>指</w:t>
            </w:r>
            <w:r>
              <w:rPr>
                <w:rFonts w:hAnsi="宋体" w:cs="宋体" w:hint="eastAsia"/>
              </w:rPr>
              <w:t>报送</w:t>
            </w:r>
            <w:r>
              <w:rPr>
                <w:rFonts w:hAnsi="宋体" w:hint="eastAsia"/>
              </w:rPr>
              <w:t>机构本</w:t>
            </w:r>
            <w:r>
              <w:rPr>
                <w:rFonts w:hAnsi="宋体" w:cs="宋体" w:hint="eastAsia"/>
              </w:rPr>
              <w:t>次维护（新建或修改）组织机构信息</w:t>
            </w:r>
            <w:r>
              <w:rPr>
                <w:rFonts w:hAnsi="宋体" w:hint="eastAsia"/>
              </w:rPr>
              <w:t>的</w:t>
            </w:r>
            <w:r>
              <w:rPr>
                <w:rFonts w:hAnsi="宋体" w:cs="宋体" w:hint="eastAsia"/>
              </w:rPr>
              <w:t>日期。</w:t>
            </w:r>
          </w:p>
        </w:tc>
      </w:tr>
    </w:tbl>
    <w:p w14:paraId="5FE6C1BA" w14:textId="77777777" w:rsidR="00A052DC" w:rsidRDefault="009F0A60">
      <w:pPr>
        <w:pStyle w:val="3"/>
        <w:ind w:left="0"/>
        <w:rPr>
          <w:rFonts w:ascii="Times New Roman" w:hAnsi="Times New Roman"/>
        </w:rPr>
      </w:pPr>
      <w:bookmarkStart w:id="903" w:name="_Toc454780109"/>
      <w:bookmarkStart w:id="904" w:name="_Toc454454815"/>
      <w:bookmarkStart w:id="905" w:name="_Toc455163930"/>
      <w:bookmarkStart w:id="906" w:name="_Toc455152751"/>
      <w:bookmarkStart w:id="907" w:name="_Toc454464732"/>
      <w:bookmarkStart w:id="908" w:name="_Toc455156479"/>
      <w:bookmarkStart w:id="909" w:name="_Toc454395039"/>
      <w:bookmarkStart w:id="910" w:name="_Toc455167655"/>
      <w:bookmarkStart w:id="911" w:name="_Toc454378115"/>
      <w:bookmarkStart w:id="912" w:name="_Toc454386744"/>
      <w:bookmarkStart w:id="913" w:name="_Toc380356233"/>
      <w:bookmarkStart w:id="914" w:name="_Toc454386745"/>
      <w:bookmarkStart w:id="915" w:name="_Toc310598216"/>
      <w:bookmarkStart w:id="916" w:name="_Toc91455262"/>
      <w:bookmarkStart w:id="917" w:name="_Toc132432584"/>
      <w:bookmarkStart w:id="918" w:name="_Toc101684435"/>
      <w:bookmarkEnd w:id="903"/>
      <w:bookmarkEnd w:id="904"/>
      <w:bookmarkEnd w:id="905"/>
      <w:bookmarkEnd w:id="906"/>
      <w:bookmarkEnd w:id="907"/>
      <w:bookmarkEnd w:id="908"/>
      <w:bookmarkEnd w:id="909"/>
      <w:bookmarkEnd w:id="910"/>
      <w:bookmarkEnd w:id="911"/>
      <w:bookmarkEnd w:id="912"/>
      <w:r>
        <w:rPr>
          <w:rFonts w:ascii="Times New Roman" w:hAnsi="Times New Roman" w:hint="eastAsia"/>
        </w:rPr>
        <w:t>数据格式</w:t>
      </w:r>
      <w:bookmarkEnd w:id="902"/>
      <w:bookmarkEnd w:id="913"/>
      <w:bookmarkEnd w:id="914"/>
      <w:bookmarkEnd w:id="915"/>
      <w:bookmarkEnd w:id="916"/>
      <w:bookmarkEnd w:id="917"/>
      <w:bookmarkEnd w:id="918"/>
    </w:p>
    <w:p w14:paraId="32A2E000" w14:textId="77777777" w:rsidR="00A052DC" w:rsidRDefault="009F0A60">
      <w:r>
        <w:t>&lt;REC&gt;</w:t>
      </w:r>
    </w:p>
    <w:p w14:paraId="2D783B44" w14:textId="77777777" w:rsidR="00A052DC" w:rsidRDefault="009F0A60">
      <w:r>
        <w:t>&lt;CUSTCODE&gt;</w:t>
      </w:r>
      <w:r>
        <w:rPr>
          <w:rFonts w:hint="eastAsia"/>
        </w:rPr>
        <w:t>主体标识码</w:t>
      </w:r>
      <w:r>
        <w:t>&lt;/CUSTCODE&gt;</w:t>
      </w:r>
    </w:p>
    <w:p w14:paraId="78865C51" w14:textId="77777777" w:rsidR="00A052DC" w:rsidRDefault="009F0A60">
      <w:r>
        <w:t>&lt;CUSTNAME&gt;</w:t>
      </w:r>
      <w:r>
        <w:rPr>
          <w:rFonts w:hint="eastAsia"/>
        </w:rPr>
        <w:t>机构名称</w:t>
      </w:r>
      <w:r>
        <w:t>&lt;/CUSTNAME&gt;</w:t>
      </w:r>
    </w:p>
    <w:p w14:paraId="55908D9B" w14:textId="77777777" w:rsidR="00A052DC" w:rsidRDefault="009F0A60">
      <w:r>
        <w:rPr>
          <w:rFonts w:hint="eastAsia"/>
        </w:rPr>
        <w:t>&lt;SHORTNAME&gt;</w:t>
      </w:r>
      <w:r>
        <w:rPr>
          <w:rFonts w:hint="eastAsia"/>
        </w:rPr>
        <w:t>组织机构简称</w:t>
      </w:r>
      <w:r>
        <w:rPr>
          <w:rFonts w:hint="eastAsia"/>
        </w:rPr>
        <w:t>&lt;/SHORTNAME&gt;</w:t>
      </w:r>
    </w:p>
    <w:p w14:paraId="259548A7" w14:textId="77777777" w:rsidR="00A052DC" w:rsidRDefault="009F0A60">
      <w:r>
        <w:rPr>
          <w:rFonts w:hint="eastAsia"/>
        </w:rPr>
        <w:t>&lt;CUSTOMERENGNAME&gt;</w:t>
      </w:r>
      <w:r>
        <w:rPr>
          <w:rFonts w:hint="eastAsia"/>
        </w:rPr>
        <w:t>组织机构英文名称</w:t>
      </w:r>
      <w:r>
        <w:rPr>
          <w:rFonts w:hint="eastAsia"/>
        </w:rPr>
        <w:t>&lt;/CUSTOMERENGNAME&gt;</w:t>
      </w:r>
    </w:p>
    <w:p w14:paraId="6B11043C" w14:textId="77777777" w:rsidR="00A052DC" w:rsidRDefault="009F0A60">
      <w:r>
        <w:t>&lt;AREACODE&gt;</w:t>
      </w:r>
      <w:r>
        <w:rPr>
          <w:rFonts w:hint="eastAsia"/>
        </w:rPr>
        <w:t>住所</w:t>
      </w:r>
      <w:r>
        <w:t>/</w:t>
      </w:r>
      <w:r>
        <w:rPr>
          <w:rFonts w:hint="eastAsia"/>
        </w:rPr>
        <w:t>经营场所</w:t>
      </w:r>
      <w:r>
        <w:t>&lt;/AREACODE&gt;</w:t>
      </w:r>
    </w:p>
    <w:p w14:paraId="06DC5C46" w14:textId="77777777" w:rsidR="00A052DC" w:rsidRDefault="009F0A60">
      <w:r>
        <w:t>&lt;CUSTADDR&gt;</w:t>
      </w:r>
      <w:r>
        <w:rPr>
          <w:rFonts w:hint="eastAsia"/>
        </w:rPr>
        <w:t>单位地址</w:t>
      </w:r>
      <w:r>
        <w:t>&lt;/CUSTADDR&gt;</w:t>
      </w:r>
    </w:p>
    <w:p w14:paraId="4ECCA140" w14:textId="77777777" w:rsidR="00A052DC" w:rsidRDefault="009F0A60">
      <w:r>
        <w:t>&lt;POSTCODE&gt;</w:t>
      </w:r>
      <w:r>
        <w:rPr>
          <w:rFonts w:hint="eastAsia"/>
        </w:rPr>
        <w:t>邮政编码</w:t>
      </w:r>
      <w:r>
        <w:t>&lt;/POSTCODE&gt;</w:t>
      </w:r>
    </w:p>
    <w:p w14:paraId="1B52FA74" w14:textId="77777777" w:rsidR="00A052DC" w:rsidRDefault="009F0A60">
      <w:r>
        <w:t>&lt;INDUSTRYCODE&gt;</w:t>
      </w:r>
      <w:r>
        <w:rPr>
          <w:rFonts w:hint="eastAsia"/>
        </w:rPr>
        <w:t>行业属性代码</w:t>
      </w:r>
      <w:r>
        <w:t>&lt;/INDUSTRYCODE&gt;</w:t>
      </w:r>
    </w:p>
    <w:p w14:paraId="595F04B0" w14:textId="77777777" w:rsidR="00A052DC" w:rsidRDefault="009F0A60">
      <w:r>
        <w:t>&lt;ATTRCODE&gt;</w:t>
      </w:r>
      <w:r>
        <w:rPr>
          <w:rFonts w:hint="eastAsia"/>
        </w:rPr>
        <w:t>经济类型代码</w:t>
      </w:r>
      <w:r>
        <w:t>&lt;/ATTRCODE&gt;</w:t>
      </w:r>
    </w:p>
    <w:p w14:paraId="2D43B7E5" w14:textId="77777777" w:rsidR="00A052DC" w:rsidRDefault="009F0A60">
      <w:r>
        <w:t>&lt;COUNTRYCODE&gt;</w:t>
      </w:r>
      <w:r>
        <w:rPr>
          <w:rFonts w:hint="eastAsia"/>
        </w:rPr>
        <w:t>常驻国家代码</w:t>
      </w:r>
      <w:r>
        <w:t>&lt;/COUNTRYCODE&gt;</w:t>
      </w:r>
    </w:p>
    <w:p w14:paraId="19F28B82" w14:textId="77777777" w:rsidR="00A052DC" w:rsidRDefault="009F0A60">
      <w:r>
        <w:t>&lt;ISTAXFREE&gt;</w:t>
      </w:r>
      <w:r>
        <w:rPr>
          <w:rFonts w:hint="eastAsia"/>
        </w:rPr>
        <w:t>是否特殊经济区内企业</w:t>
      </w:r>
      <w:r>
        <w:t>&lt;/ISTAXFREE&gt;</w:t>
      </w:r>
    </w:p>
    <w:p w14:paraId="08DEC05D" w14:textId="77777777" w:rsidR="00A052DC" w:rsidRDefault="009F0A60">
      <w:r>
        <w:t>&lt;TAXFREECODE&gt;</w:t>
      </w:r>
      <w:r>
        <w:rPr>
          <w:rFonts w:hint="eastAsia"/>
        </w:rPr>
        <w:t>特殊经济区内企业类型</w:t>
      </w:r>
      <w:r>
        <w:t>&lt;/TAXFREECODE&gt;</w:t>
      </w:r>
    </w:p>
    <w:p w14:paraId="648663DC" w14:textId="77777777" w:rsidR="00A052DC" w:rsidRDefault="009F0A60">
      <w:r>
        <w:rPr>
          <w:rFonts w:hint="eastAsia"/>
        </w:rPr>
        <w:t>&lt;REGDATE&gt;</w:t>
      </w:r>
      <w:r>
        <w:rPr>
          <w:rFonts w:hint="eastAsia"/>
        </w:rPr>
        <w:t>注册</w:t>
      </w:r>
      <w:r>
        <w:rPr>
          <w:rFonts w:hint="eastAsia"/>
        </w:rPr>
        <w:t>/</w:t>
      </w:r>
      <w:r>
        <w:rPr>
          <w:rFonts w:hint="eastAsia"/>
        </w:rPr>
        <w:t>开业成立日期</w:t>
      </w:r>
      <w:r>
        <w:rPr>
          <w:rFonts w:hint="eastAsia"/>
        </w:rPr>
        <w:t>&lt;/REGDATE&gt;</w:t>
      </w:r>
    </w:p>
    <w:p w14:paraId="12B1D1FB" w14:textId="77777777" w:rsidR="00A052DC" w:rsidRDefault="009F0A60">
      <w:r>
        <w:rPr>
          <w:rFonts w:hint="eastAsia"/>
        </w:rPr>
        <w:t>&lt;CORLMT&gt;</w:t>
      </w:r>
      <w:r>
        <w:rPr>
          <w:rFonts w:hint="eastAsia"/>
        </w:rPr>
        <w:t>经营期限</w:t>
      </w:r>
      <w:r>
        <w:rPr>
          <w:rFonts w:hint="eastAsia"/>
        </w:rPr>
        <w:t>&lt;/CORLMT&gt;</w:t>
      </w:r>
    </w:p>
    <w:p w14:paraId="4AD1429B" w14:textId="77777777" w:rsidR="00A052DC" w:rsidRDefault="009F0A60">
      <w:r>
        <w:rPr>
          <w:rFonts w:hint="eastAsia"/>
        </w:rPr>
        <w:t>&lt;CORSCOPE&gt;</w:t>
      </w:r>
      <w:r>
        <w:rPr>
          <w:rFonts w:hint="eastAsia"/>
        </w:rPr>
        <w:t>经营范围</w:t>
      </w:r>
      <w:r>
        <w:rPr>
          <w:rFonts w:hint="eastAsia"/>
        </w:rPr>
        <w:t>&lt;/CORSCOPE&gt;</w:t>
      </w:r>
    </w:p>
    <w:p w14:paraId="58F50588" w14:textId="77777777" w:rsidR="00A052DC" w:rsidRDefault="009F0A60">
      <w:r>
        <w:rPr>
          <w:rFonts w:hint="eastAsia"/>
        </w:rPr>
        <w:t>&lt;INCORPORATOR&gt;</w:t>
      </w:r>
      <w:r>
        <w:rPr>
          <w:rFonts w:hint="eastAsia"/>
        </w:rPr>
        <w:t>法定代表人</w:t>
      </w:r>
      <w:r>
        <w:rPr>
          <w:rFonts w:hint="eastAsia"/>
        </w:rPr>
        <w:t>&lt;/INCORPORATOR&gt;</w:t>
      </w:r>
    </w:p>
    <w:p w14:paraId="4AE20859" w14:textId="77777777" w:rsidR="00A052DC" w:rsidRDefault="009F0A60">
      <w:r>
        <w:rPr>
          <w:rFonts w:hint="eastAsia"/>
        </w:rPr>
        <w:t>&lt;INCORPORATORIDCODE&gt;</w:t>
      </w:r>
      <w:r>
        <w:rPr>
          <w:rFonts w:hint="eastAsia"/>
        </w:rPr>
        <w:t>法定代表人身份证件号码</w:t>
      </w:r>
      <w:r>
        <w:rPr>
          <w:rFonts w:hint="eastAsia"/>
        </w:rPr>
        <w:t>&lt;/INCORPORATORIDCODE&gt;</w:t>
      </w:r>
    </w:p>
    <w:p w14:paraId="5C672548" w14:textId="77777777" w:rsidR="00A052DC" w:rsidRDefault="009F0A60">
      <w:r>
        <w:rPr>
          <w:rFonts w:hint="eastAsia"/>
        </w:rPr>
        <w:t>&lt;CUSTCONTACT&gt;</w:t>
      </w:r>
      <w:r>
        <w:rPr>
          <w:rFonts w:hint="eastAsia"/>
        </w:rPr>
        <w:t>联系人姓名</w:t>
      </w:r>
      <w:r>
        <w:rPr>
          <w:rFonts w:hint="eastAsia"/>
        </w:rPr>
        <w:t>&lt;/CUSTCONTACT&gt;</w:t>
      </w:r>
    </w:p>
    <w:p w14:paraId="7C0E2B05" w14:textId="77777777" w:rsidR="00A052DC" w:rsidRDefault="009F0A60">
      <w:r>
        <w:rPr>
          <w:rFonts w:hint="eastAsia"/>
        </w:rPr>
        <w:t>&lt;CUSTTEL&gt;</w:t>
      </w:r>
      <w:r>
        <w:rPr>
          <w:rFonts w:hint="eastAsia"/>
        </w:rPr>
        <w:t>联系电话</w:t>
      </w:r>
      <w:r>
        <w:rPr>
          <w:rFonts w:hint="eastAsia"/>
        </w:rPr>
        <w:t>&lt;/CUSTTEL&gt;</w:t>
      </w:r>
    </w:p>
    <w:p w14:paraId="46956649" w14:textId="77777777" w:rsidR="00A052DC" w:rsidRDefault="009F0A60">
      <w:r>
        <w:rPr>
          <w:rFonts w:hint="eastAsia"/>
        </w:rPr>
        <w:t>&lt;CUSTFAX&gt;</w:t>
      </w:r>
      <w:r>
        <w:rPr>
          <w:rFonts w:hint="eastAsia"/>
        </w:rPr>
        <w:t>传真</w:t>
      </w:r>
      <w:r>
        <w:rPr>
          <w:rFonts w:hint="eastAsia"/>
        </w:rPr>
        <w:t>&lt;/CUSTFAX&gt;</w:t>
      </w:r>
    </w:p>
    <w:p w14:paraId="6C81E7F1" w14:textId="77777777" w:rsidR="00A052DC" w:rsidRDefault="009F0A60">
      <w:r>
        <w:rPr>
          <w:rFonts w:hint="eastAsia"/>
        </w:rPr>
        <w:t>&lt;ORGTYPE&gt;</w:t>
      </w:r>
      <w:r>
        <w:rPr>
          <w:rFonts w:hint="eastAsia"/>
        </w:rPr>
        <w:t>机构类型</w:t>
      </w:r>
      <w:r>
        <w:rPr>
          <w:rFonts w:hint="eastAsia"/>
        </w:rPr>
        <w:t>&lt;/ORGTYPE&gt;</w:t>
      </w:r>
    </w:p>
    <w:p w14:paraId="4EABF832" w14:textId="77777777" w:rsidR="00A052DC" w:rsidRDefault="009F0A60">
      <w:r>
        <w:rPr>
          <w:rFonts w:hint="eastAsia"/>
        </w:rPr>
        <w:t>&lt;CUSTOMNO&gt;</w:t>
      </w:r>
      <w:r>
        <w:rPr>
          <w:rFonts w:hint="eastAsia"/>
        </w:rPr>
        <w:t>海关注册号</w:t>
      </w:r>
      <w:r>
        <w:rPr>
          <w:rFonts w:hint="eastAsia"/>
        </w:rPr>
        <w:t>&lt;/CUSTOMNO&gt;</w:t>
      </w:r>
    </w:p>
    <w:p w14:paraId="365D6284" w14:textId="77777777" w:rsidR="00A052DC" w:rsidRDefault="009F0A60">
      <w:r>
        <w:rPr>
          <w:rFonts w:hint="eastAsia"/>
        </w:rPr>
        <w:t>&lt;CREDITCODE&gt;</w:t>
      </w:r>
      <w:r>
        <w:rPr>
          <w:rFonts w:hint="eastAsia"/>
        </w:rPr>
        <w:t>统一社会信用代码</w:t>
      </w:r>
      <w:r>
        <w:rPr>
          <w:rFonts w:hint="eastAsia"/>
        </w:rPr>
        <w:t>&lt;/CREDITCODE&gt;</w:t>
      </w:r>
    </w:p>
    <w:p w14:paraId="37993F51" w14:textId="77777777" w:rsidR="00A052DC" w:rsidRDefault="009F0A60">
      <w:r>
        <w:rPr>
          <w:rFonts w:hint="eastAsia"/>
        </w:rPr>
        <w:t>&lt;LEI</w:t>
      </w:r>
      <w:r>
        <w:t>CODE</w:t>
      </w:r>
      <w:r>
        <w:rPr>
          <w:rFonts w:hint="eastAsia"/>
        </w:rPr>
        <w:t>&gt;LEI</w:t>
      </w:r>
      <w:r>
        <w:rPr>
          <w:rFonts w:hint="eastAsia"/>
        </w:rPr>
        <w:t>编码</w:t>
      </w:r>
      <w:r>
        <w:rPr>
          <w:rFonts w:hint="eastAsia"/>
        </w:rPr>
        <w:t>&lt;/LEI</w:t>
      </w:r>
      <w:r>
        <w:t>CODE</w:t>
      </w:r>
      <w:r>
        <w:rPr>
          <w:rFonts w:hint="eastAsia"/>
        </w:rPr>
        <w:t>&gt;</w:t>
      </w:r>
    </w:p>
    <w:p w14:paraId="0D1EC658" w14:textId="77777777" w:rsidR="00A052DC" w:rsidRDefault="009F0A60">
      <w:r>
        <w:t>&lt;SWIFTCODE&gt;SWIFTCODE&lt;/SWIFTCODE&gt;</w:t>
      </w:r>
    </w:p>
    <w:p w14:paraId="70ABCF1E" w14:textId="77777777" w:rsidR="00A052DC" w:rsidRDefault="009F0A60">
      <w:r>
        <w:t>&lt;EMAIL&gt;</w:t>
      </w:r>
      <w:r>
        <w:rPr>
          <w:rFonts w:hint="eastAsia"/>
        </w:rPr>
        <w:t>外汇局联系用</w:t>
      </w:r>
      <w:r>
        <w:t>eMail&lt;/EMAIL&gt;</w:t>
      </w:r>
    </w:p>
    <w:p w14:paraId="0A35B819" w14:textId="77777777" w:rsidR="00A052DC" w:rsidRDefault="009F0A60">
      <w:r>
        <w:t>&lt;RPTMETHOD&gt;</w:t>
      </w:r>
      <w:r>
        <w:rPr>
          <w:rFonts w:hint="eastAsia"/>
        </w:rPr>
        <w:t>企业申报方式</w:t>
      </w:r>
      <w:r>
        <w:t>&lt;/RPTMETHOD&gt;</w:t>
      </w:r>
    </w:p>
    <w:p w14:paraId="49E456D9" w14:textId="77777777" w:rsidR="00A052DC" w:rsidRDefault="009F0A60">
      <w:r>
        <w:t>&lt;ECEXADDR&gt;</w:t>
      </w:r>
      <w:r>
        <w:rPr>
          <w:rFonts w:hint="eastAsia"/>
        </w:rPr>
        <w:t>交易用</w:t>
      </w:r>
      <w:r>
        <w:t>eMail&lt;/ECEXADDR&gt;</w:t>
      </w:r>
    </w:p>
    <w:p w14:paraId="57E48C69" w14:textId="77777777" w:rsidR="00A052DC" w:rsidRDefault="009F0A60">
      <w:r>
        <w:t>&lt;REMARKS&gt;</w:t>
      </w:r>
      <w:r>
        <w:rPr>
          <w:rFonts w:hint="eastAsia"/>
        </w:rPr>
        <w:t>备注</w:t>
      </w:r>
      <w:r>
        <w:t>&lt;/REMARKS&gt;</w:t>
      </w:r>
    </w:p>
    <w:p w14:paraId="75EB8038" w14:textId="77777777" w:rsidR="00A052DC" w:rsidRDefault="009F0A60">
      <w:r>
        <w:t>&lt;BANKINFOS&gt;</w:t>
      </w:r>
    </w:p>
    <w:p w14:paraId="66A2C9A5" w14:textId="77777777" w:rsidR="00A052DC" w:rsidRDefault="009F0A60">
      <w:r>
        <w:t>&lt;BANKINFO&gt;</w:t>
      </w:r>
    </w:p>
    <w:p w14:paraId="0E1EAEF6" w14:textId="77777777" w:rsidR="00A052DC" w:rsidRDefault="009F0A60">
      <w:r>
        <w:t>&lt;BRANCHCODE&gt;</w:t>
      </w:r>
      <w:r>
        <w:rPr>
          <w:rFonts w:hint="eastAsia"/>
        </w:rPr>
        <w:t>金融机构标识码</w:t>
      </w:r>
      <w:r>
        <w:t>&lt;/BRANCHCODE&gt;</w:t>
      </w:r>
    </w:p>
    <w:p w14:paraId="4A2ADC0C" w14:textId="77777777" w:rsidR="00A052DC" w:rsidRDefault="009F0A60">
      <w:r>
        <w:t>&lt;CONTACT&gt;</w:t>
      </w:r>
      <w:r>
        <w:rPr>
          <w:rFonts w:hint="eastAsia"/>
        </w:rPr>
        <w:t>单位联系人</w:t>
      </w:r>
      <w:r>
        <w:t>&lt;/CONTACT&gt;</w:t>
      </w:r>
    </w:p>
    <w:p w14:paraId="6948998A" w14:textId="77777777" w:rsidR="00A052DC" w:rsidRDefault="009F0A60">
      <w:r>
        <w:t>&lt;TEL&gt;</w:t>
      </w:r>
      <w:r>
        <w:rPr>
          <w:rFonts w:hint="eastAsia"/>
        </w:rPr>
        <w:t>单位联系电话</w:t>
      </w:r>
      <w:r>
        <w:t>&lt;/TEL&gt;</w:t>
      </w:r>
    </w:p>
    <w:p w14:paraId="21373387" w14:textId="77777777" w:rsidR="00A052DC" w:rsidRDefault="009F0A60">
      <w:r>
        <w:t>&lt;FAX&gt;</w:t>
      </w:r>
      <w:r>
        <w:rPr>
          <w:rFonts w:hint="eastAsia"/>
        </w:rPr>
        <w:t>建表日期</w:t>
      </w:r>
      <w:r>
        <w:t>&lt;/FAX&gt;</w:t>
      </w:r>
    </w:p>
    <w:p w14:paraId="5DC08733" w14:textId="77777777" w:rsidR="00A052DC" w:rsidRDefault="009F0A60">
      <w:r>
        <w:t>&lt;/BANKINFO&gt;</w:t>
      </w:r>
    </w:p>
    <w:p w14:paraId="3E0FA278" w14:textId="77777777" w:rsidR="00A052DC" w:rsidRDefault="009F0A60">
      <w:r>
        <w:rPr>
          <w:rFonts w:hint="eastAsia"/>
        </w:rPr>
        <w:t>……</w:t>
      </w:r>
    </w:p>
    <w:p w14:paraId="78D8A17E" w14:textId="77777777" w:rsidR="00A052DC" w:rsidRDefault="009F0A60">
      <w:r>
        <w:t>&lt;/BANKINFOS&gt;</w:t>
      </w:r>
    </w:p>
    <w:p w14:paraId="29B85F0D" w14:textId="77777777" w:rsidR="00A052DC" w:rsidRDefault="009F0A60">
      <w:r>
        <w:t>&lt;/REC&gt;</w:t>
      </w:r>
    </w:p>
    <w:p w14:paraId="21234E5D" w14:textId="77777777" w:rsidR="00A052DC" w:rsidRDefault="009F0A60" w:rsidP="0020251D">
      <w:pPr>
        <w:pStyle w:val="3"/>
        <w:ind w:left="0"/>
        <w:rPr>
          <w:rFonts w:ascii="Times New Roman" w:hAnsi="Times New Roman"/>
        </w:rPr>
      </w:pPr>
      <w:bookmarkStart w:id="919" w:name="_Toc132432585"/>
      <w:bookmarkStart w:id="920" w:name="_Toc454386746"/>
      <w:bookmarkStart w:id="921" w:name="_Toc310598217"/>
      <w:bookmarkStart w:id="922" w:name="_Toc380356234"/>
      <w:bookmarkStart w:id="923" w:name="_Toc91455263"/>
      <w:bookmarkStart w:id="924" w:name="_Toc101684436"/>
      <w:r>
        <w:rPr>
          <w:rFonts w:ascii="Times New Roman" w:hAnsi="Times New Roman" w:hint="eastAsia"/>
        </w:rPr>
        <w:t>数据字典</w:t>
      </w:r>
      <w:bookmarkEnd w:id="919"/>
      <w:bookmarkEnd w:id="920"/>
      <w:bookmarkEnd w:id="921"/>
      <w:bookmarkEnd w:id="922"/>
      <w:bookmarkEnd w:id="923"/>
      <w:bookmarkEnd w:id="924"/>
    </w:p>
    <w:tbl>
      <w:tblPr>
        <w:tblW w:w="86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560"/>
        <w:gridCol w:w="1701"/>
        <w:gridCol w:w="3543"/>
      </w:tblGrid>
      <w:tr w:rsidR="00A052DC" w14:paraId="16F62ED1" w14:textId="77777777">
        <w:trPr>
          <w:tblHeader/>
        </w:trPr>
        <w:tc>
          <w:tcPr>
            <w:tcW w:w="1843" w:type="dxa"/>
            <w:shd w:val="clear" w:color="auto" w:fill="C0C0C0"/>
          </w:tcPr>
          <w:p w14:paraId="62821B0D" w14:textId="77777777" w:rsidR="00A052DC" w:rsidRDefault="009F0A60">
            <w:pPr>
              <w:jc w:val="center"/>
              <w:rPr>
                <w:rFonts w:ascii="黑体" w:eastAsia="黑体" w:hAnsi="黑体"/>
                <w:b/>
                <w:sz w:val="20"/>
                <w:szCs w:val="20"/>
              </w:rPr>
            </w:pPr>
            <w:r>
              <w:rPr>
                <w:rFonts w:ascii="黑体" w:eastAsia="黑体" w:hAnsi="黑体" w:hint="eastAsia"/>
                <w:b/>
                <w:sz w:val="20"/>
                <w:szCs w:val="20"/>
              </w:rPr>
              <w:t>字段</w:t>
            </w:r>
          </w:p>
        </w:tc>
        <w:tc>
          <w:tcPr>
            <w:tcW w:w="1560" w:type="dxa"/>
            <w:shd w:val="clear" w:color="auto" w:fill="C0C0C0"/>
          </w:tcPr>
          <w:p w14:paraId="3454B6B0" w14:textId="77777777" w:rsidR="00A052DC" w:rsidRDefault="009F0A60">
            <w:pPr>
              <w:jc w:val="center"/>
              <w:rPr>
                <w:rFonts w:ascii="黑体" w:eastAsia="黑体" w:hAnsi="黑体"/>
                <w:b/>
                <w:sz w:val="20"/>
                <w:szCs w:val="20"/>
              </w:rPr>
            </w:pPr>
            <w:r>
              <w:rPr>
                <w:rFonts w:ascii="黑体" w:eastAsia="黑体" w:hAnsi="黑体" w:hint="eastAsia"/>
                <w:b/>
                <w:sz w:val="20"/>
                <w:szCs w:val="20"/>
              </w:rPr>
              <w:t>内容</w:t>
            </w:r>
          </w:p>
        </w:tc>
        <w:tc>
          <w:tcPr>
            <w:tcW w:w="1701" w:type="dxa"/>
            <w:shd w:val="clear" w:color="auto" w:fill="C0C0C0"/>
          </w:tcPr>
          <w:p w14:paraId="30F1462B" w14:textId="77777777" w:rsidR="00A052DC" w:rsidRDefault="009F0A60">
            <w:pPr>
              <w:jc w:val="center"/>
              <w:rPr>
                <w:rFonts w:ascii="黑体" w:eastAsia="黑体" w:hAnsi="黑体"/>
                <w:b/>
                <w:sz w:val="20"/>
                <w:szCs w:val="20"/>
              </w:rPr>
            </w:pPr>
            <w:r>
              <w:rPr>
                <w:rFonts w:ascii="黑体" w:eastAsia="黑体" w:hAnsi="黑体" w:hint="eastAsia"/>
                <w:b/>
                <w:sz w:val="20"/>
                <w:szCs w:val="20"/>
              </w:rPr>
              <w:t>类型（长度）</w:t>
            </w:r>
          </w:p>
        </w:tc>
        <w:tc>
          <w:tcPr>
            <w:tcW w:w="3543" w:type="dxa"/>
            <w:shd w:val="clear" w:color="auto" w:fill="C0C0C0"/>
          </w:tcPr>
          <w:p w14:paraId="331DBD5C" w14:textId="77777777" w:rsidR="00A052DC" w:rsidRDefault="009F0A60">
            <w:pPr>
              <w:jc w:val="center"/>
              <w:rPr>
                <w:rFonts w:ascii="黑体" w:eastAsia="黑体" w:hAnsi="黑体"/>
                <w:b/>
                <w:sz w:val="20"/>
                <w:szCs w:val="20"/>
              </w:rPr>
            </w:pPr>
            <w:r>
              <w:rPr>
                <w:rFonts w:ascii="黑体" w:eastAsia="黑体" w:hAnsi="黑体" w:hint="eastAsia"/>
                <w:b/>
                <w:sz w:val="20"/>
                <w:szCs w:val="20"/>
              </w:rPr>
              <w:t>校验</w:t>
            </w:r>
          </w:p>
        </w:tc>
      </w:tr>
      <w:tr w:rsidR="00A052DC" w14:paraId="5F1CA51F" w14:textId="77777777">
        <w:tc>
          <w:tcPr>
            <w:tcW w:w="1843" w:type="dxa"/>
            <w:tcBorders>
              <w:top w:val="single" w:sz="4" w:space="0" w:color="auto"/>
              <w:left w:val="single" w:sz="4" w:space="0" w:color="auto"/>
              <w:bottom w:val="single" w:sz="4" w:space="0" w:color="auto"/>
              <w:right w:val="single" w:sz="4" w:space="0" w:color="auto"/>
            </w:tcBorders>
          </w:tcPr>
          <w:p w14:paraId="7D6ECAD5" w14:textId="77777777" w:rsidR="00A052DC" w:rsidRDefault="009F0A60">
            <w:pPr>
              <w:rPr>
                <w:rFonts w:ascii="黑体" w:eastAsia="黑体" w:hAnsi="黑体"/>
                <w:sz w:val="20"/>
                <w:szCs w:val="20"/>
              </w:rPr>
            </w:pPr>
            <w:r>
              <w:rPr>
                <w:rFonts w:ascii="黑体" w:eastAsia="黑体" w:hAnsi="黑体"/>
                <w:sz w:val="20"/>
                <w:szCs w:val="20"/>
              </w:rPr>
              <w:t>CUSTCODE</w:t>
            </w:r>
          </w:p>
        </w:tc>
        <w:tc>
          <w:tcPr>
            <w:tcW w:w="1560" w:type="dxa"/>
            <w:tcBorders>
              <w:top w:val="single" w:sz="4" w:space="0" w:color="auto"/>
              <w:left w:val="single" w:sz="4" w:space="0" w:color="auto"/>
              <w:bottom w:val="single" w:sz="4" w:space="0" w:color="auto"/>
              <w:right w:val="single" w:sz="4" w:space="0" w:color="auto"/>
            </w:tcBorders>
          </w:tcPr>
          <w:p w14:paraId="1E685573" w14:textId="77777777" w:rsidR="00A052DC" w:rsidRDefault="009F0A60">
            <w:pPr>
              <w:rPr>
                <w:rFonts w:ascii="黑体" w:eastAsia="黑体" w:hAnsi="黑体"/>
                <w:sz w:val="20"/>
                <w:szCs w:val="20"/>
              </w:rPr>
            </w:pPr>
            <w:r>
              <w:rPr>
                <w:rFonts w:ascii="黑体" w:eastAsia="黑体" w:hAnsi="黑体" w:hint="eastAsia"/>
                <w:sz w:val="20"/>
                <w:szCs w:val="20"/>
              </w:rPr>
              <w:t>主体标识码</w:t>
            </w:r>
          </w:p>
        </w:tc>
        <w:tc>
          <w:tcPr>
            <w:tcW w:w="1701" w:type="dxa"/>
            <w:tcBorders>
              <w:top w:val="single" w:sz="4" w:space="0" w:color="auto"/>
              <w:left w:val="single" w:sz="4" w:space="0" w:color="auto"/>
              <w:bottom w:val="single" w:sz="4" w:space="0" w:color="auto"/>
              <w:right w:val="single" w:sz="4" w:space="0" w:color="auto"/>
            </w:tcBorders>
          </w:tcPr>
          <w:p w14:paraId="23A2F139" w14:textId="77777777" w:rsidR="00A052DC" w:rsidRDefault="009F0A60">
            <w:pPr>
              <w:rPr>
                <w:rFonts w:ascii="黑体" w:eastAsia="黑体" w:hAnsi="黑体"/>
                <w:sz w:val="20"/>
                <w:szCs w:val="20"/>
              </w:rPr>
            </w:pPr>
            <w:r>
              <w:rPr>
                <w:rFonts w:ascii="黑体" w:eastAsia="黑体" w:hAnsi="黑体" w:hint="eastAsia"/>
                <w:sz w:val="20"/>
                <w:szCs w:val="20"/>
              </w:rPr>
              <w:t>字符型，</w:t>
            </w:r>
            <w:r>
              <w:rPr>
                <w:rFonts w:ascii="黑体" w:eastAsia="黑体" w:hAnsi="黑体"/>
                <w:sz w:val="20"/>
                <w:szCs w:val="20"/>
              </w:rPr>
              <w:t>18</w:t>
            </w:r>
          </w:p>
        </w:tc>
        <w:tc>
          <w:tcPr>
            <w:tcW w:w="3543" w:type="dxa"/>
            <w:tcBorders>
              <w:top w:val="single" w:sz="4" w:space="0" w:color="auto"/>
              <w:left w:val="single" w:sz="4" w:space="0" w:color="auto"/>
              <w:bottom w:val="single" w:sz="4" w:space="0" w:color="auto"/>
              <w:right w:val="single" w:sz="4" w:space="0" w:color="auto"/>
            </w:tcBorders>
          </w:tcPr>
          <w:p w14:paraId="3D0CE662" w14:textId="77777777" w:rsidR="00A052DC" w:rsidRDefault="00C40CCF">
            <w:pPr>
              <w:rPr>
                <w:rFonts w:ascii="黑体" w:eastAsia="黑体" w:hAnsi="黑体"/>
                <w:sz w:val="20"/>
                <w:szCs w:val="20"/>
              </w:rPr>
            </w:pPr>
            <w:r>
              <w:rPr>
                <w:rFonts w:ascii="黑体" w:eastAsia="黑体" w:hAnsi="黑体" w:hint="eastAsia"/>
                <w:sz w:val="20"/>
                <w:szCs w:val="20"/>
              </w:rPr>
              <w:t>必填项</w:t>
            </w:r>
            <w:r w:rsidR="009F0A60">
              <w:rPr>
                <w:rFonts w:ascii="黑体" w:eastAsia="黑体" w:hAnsi="黑体" w:hint="eastAsia"/>
                <w:sz w:val="20"/>
                <w:szCs w:val="20"/>
              </w:rPr>
              <w:t>，</w:t>
            </w:r>
          </w:p>
          <w:p w14:paraId="32EF0CCD" w14:textId="77777777" w:rsidR="00A052DC" w:rsidRDefault="009F0A60">
            <w:pPr>
              <w:rPr>
                <w:rFonts w:ascii="黑体" w:eastAsia="黑体" w:hAnsi="黑体"/>
                <w:sz w:val="20"/>
                <w:szCs w:val="20"/>
              </w:rPr>
            </w:pPr>
            <w:r>
              <w:rPr>
                <w:rFonts w:ascii="黑体" w:eastAsia="黑体" w:hAnsi="黑体" w:hint="eastAsia"/>
                <w:sz w:val="20"/>
                <w:szCs w:val="20"/>
              </w:rPr>
              <w:t>指统一社会信用代码法定载体（如营业执照）上的统一社会信用代码中的第9至17位或国家外汇管理局及其分支局签发的特殊机构代码赋码通知书上的机构代码。</w:t>
            </w:r>
          </w:p>
          <w:p w14:paraId="17CAEE17" w14:textId="77777777" w:rsidR="00A052DC" w:rsidRDefault="009F0A60">
            <w:pPr>
              <w:rPr>
                <w:rFonts w:ascii="黑体" w:eastAsia="黑体" w:hAnsi="黑体"/>
                <w:sz w:val="20"/>
                <w:szCs w:val="20"/>
              </w:rPr>
            </w:pPr>
            <w:r>
              <w:rPr>
                <w:rFonts w:ascii="黑体" w:eastAsia="黑体" w:hAnsi="黑体" w:hint="eastAsia"/>
                <w:sz w:val="20"/>
                <w:szCs w:val="20"/>
              </w:rPr>
              <w:t>按统一社会信用代码中的9位主体标识码（组织机构代码）或特殊机构赋码编制规则进行校验，字段长度仍预留18位。</w:t>
            </w:r>
          </w:p>
        </w:tc>
      </w:tr>
      <w:tr w:rsidR="00A052DC" w14:paraId="03F16334" w14:textId="77777777">
        <w:tc>
          <w:tcPr>
            <w:tcW w:w="1843" w:type="dxa"/>
            <w:tcBorders>
              <w:top w:val="single" w:sz="4" w:space="0" w:color="auto"/>
              <w:left w:val="single" w:sz="4" w:space="0" w:color="auto"/>
              <w:bottom w:val="single" w:sz="4" w:space="0" w:color="auto"/>
              <w:right w:val="single" w:sz="4" w:space="0" w:color="auto"/>
            </w:tcBorders>
          </w:tcPr>
          <w:p w14:paraId="68F77C03" w14:textId="77777777" w:rsidR="00A052DC" w:rsidRDefault="009F0A60">
            <w:pPr>
              <w:rPr>
                <w:rFonts w:ascii="黑体" w:eastAsia="黑体" w:hAnsi="黑体"/>
                <w:sz w:val="20"/>
                <w:szCs w:val="20"/>
              </w:rPr>
            </w:pPr>
            <w:r>
              <w:rPr>
                <w:rFonts w:ascii="黑体" w:eastAsia="黑体" w:hAnsi="黑体"/>
                <w:sz w:val="20"/>
                <w:szCs w:val="20"/>
              </w:rPr>
              <w:t>CUSTNAME</w:t>
            </w:r>
          </w:p>
        </w:tc>
        <w:tc>
          <w:tcPr>
            <w:tcW w:w="1560" w:type="dxa"/>
            <w:tcBorders>
              <w:top w:val="single" w:sz="4" w:space="0" w:color="auto"/>
              <w:left w:val="single" w:sz="4" w:space="0" w:color="auto"/>
              <w:bottom w:val="single" w:sz="4" w:space="0" w:color="auto"/>
              <w:right w:val="single" w:sz="4" w:space="0" w:color="auto"/>
            </w:tcBorders>
          </w:tcPr>
          <w:p w14:paraId="795D728D" w14:textId="77777777" w:rsidR="00A052DC" w:rsidRDefault="009F0A60">
            <w:pPr>
              <w:rPr>
                <w:rFonts w:ascii="黑体" w:eastAsia="黑体" w:hAnsi="黑体"/>
                <w:sz w:val="20"/>
                <w:szCs w:val="20"/>
              </w:rPr>
            </w:pPr>
            <w:r>
              <w:rPr>
                <w:rFonts w:ascii="黑体" w:eastAsia="黑体" w:hAnsi="黑体" w:hint="eastAsia"/>
                <w:sz w:val="20"/>
                <w:szCs w:val="20"/>
              </w:rPr>
              <w:t>机构名称</w:t>
            </w:r>
          </w:p>
        </w:tc>
        <w:tc>
          <w:tcPr>
            <w:tcW w:w="1701" w:type="dxa"/>
            <w:tcBorders>
              <w:top w:val="single" w:sz="4" w:space="0" w:color="auto"/>
              <w:left w:val="single" w:sz="4" w:space="0" w:color="auto"/>
              <w:bottom w:val="single" w:sz="4" w:space="0" w:color="auto"/>
              <w:right w:val="single" w:sz="4" w:space="0" w:color="auto"/>
            </w:tcBorders>
          </w:tcPr>
          <w:p w14:paraId="110087E8"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3543" w:type="dxa"/>
            <w:tcBorders>
              <w:top w:val="single" w:sz="4" w:space="0" w:color="auto"/>
              <w:left w:val="single" w:sz="4" w:space="0" w:color="auto"/>
              <w:bottom w:val="single" w:sz="4" w:space="0" w:color="auto"/>
              <w:right w:val="single" w:sz="4" w:space="0" w:color="auto"/>
            </w:tcBorders>
          </w:tcPr>
          <w:p w14:paraId="5C6A8C59" w14:textId="77777777" w:rsidR="00A052DC" w:rsidRDefault="00C40CCF">
            <w:pPr>
              <w:rPr>
                <w:rFonts w:ascii="黑体" w:eastAsia="黑体" w:hAnsi="黑体"/>
                <w:sz w:val="20"/>
                <w:szCs w:val="20"/>
              </w:rPr>
            </w:pPr>
            <w:r>
              <w:rPr>
                <w:rFonts w:ascii="黑体" w:eastAsia="黑体" w:hAnsi="黑体" w:hint="eastAsia"/>
                <w:sz w:val="20"/>
                <w:szCs w:val="20"/>
              </w:rPr>
              <w:t>必填项</w:t>
            </w:r>
            <w:r w:rsidR="009F0A60">
              <w:rPr>
                <w:rFonts w:ascii="黑体" w:eastAsia="黑体" w:hAnsi="黑体" w:hint="eastAsia"/>
                <w:sz w:val="20"/>
                <w:szCs w:val="20"/>
              </w:rPr>
              <w:t>，</w:t>
            </w:r>
          </w:p>
          <w:p w14:paraId="7E970D97" w14:textId="77777777" w:rsidR="00A052DC" w:rsidRDefault="009F0A60">
            <w:pPr>
              <w:rPr>
                <w:rFonts w:ascii="黑体" w:eastAsia="黑体" w:hAnsi="黑体"/>
                <w:sz w:val="20"/>
                <w:szCs w:val="20"/>
              </w:rPr>
            </w:pPr>
            <w:r>
              <w:rPr>
                <w:rFonts w:ascii="黑体" w:eastAsia="黑体" w:hAnsi="黑体" w:hint="eastAsia"/>
                <w:sz w:val="20"/>
                <w:szCs w:val="20"/>
              </w:rPr>
              <w:t>当常驻国为中国时必须输中文。</w:t>
            </w:r>
          </w:p>
        </w:tc>
      </w:tr>
      <w:tr w:rsidR="00A052DC" w14:paraId="4E7E12D8" w14:textId="77777777">
        <w:tc>
          <w:tcPr>
            <w:tcW w:w="1843" w:type="dxa"/>
            <w:tcBorders>
              <w:top w:val="single" w:sz="4" w:space="0" w:color="auto"/>
              <w:left w:val="single" w:sz="4" w:space="0" w:color="auto"/>
              <w:bottom w:val="single" w:sz="4" w:space="0" w:color="auto"/>
              <w:right w:val="single" w:sz="4" w:space="0" w:color="auto"/>
            </w:tcBorders>
            <w:vAlign w:val="center"/>
          </w:tcPr>
          <w:p w14:paraId="5E77736B" w14:textId="77777777" w:rsidR="00A052DC" w:rsidRDefault="009F0A60">
            <w:pPr>
              <w:rPr>
                <w:rFonts w:ascii="黑体" w:eastAsia="黑体" w:hAnsi="黑体"/>
                <w:color w:val="000000" w:themeColor="text1"/>
                <w:sz w:val="20"/>
                <w:szCs w:val="20"/>
              </w:rPr>
            </w:pPr>
            <w:r>
              <w:rPr>
                <w:rFonts w:ascii="黑体" w:eastAsia="黑体" w:hAnsi="黑体" w:cs="宋体" w:hint="eastAsia"/>
                <w:color w:val="000000" w:themeColor="text1"/>
                <w:kern w:val="0"/>
                <w:sz w:val="20"/>
                <w:szCs w:val="20"/>
              </w:rPr>
              <w:t>SHORTNAME</w:t>
            </w:r>
          </w:p>
        </w:tc>
        <w:tc>
          <w:tcPr>
            <w:tcW w:w="1560" w:type="dxa"/>
            <w:tcBorders>
              <w:top w:val="single" w:sz="4" w:space="0" w:color="auto"/>
              <w:left w:val="single" w:sz="4" w:space="0" w:color="auto"/>
              <w:bottom w:val="single" w:sz="4" w:space="0" w:color="auto"/>
              <w:right w:val="single" w:sz="4" w:space="0" w:color="auto"/>
            </w:tcBorders>
            <w:vAlign w:val="center"/>
          </w:tcPr>
          <w:p w14:paraId="2793AC2F" w14:textId="77777777" w:rsidR="00A052DC" w:rsidRDefault="009F0A60">
            <w:pPr>
              <w:rPr>
                <w:rFonts w:ascii="黑体" w:eastAsia="黑体" w:hAnsi="黑体"/>
                <w:color w:val="000000" w:themeColor="text1"/>
                <w:sz w:val="20"/>
                <w:szCs w:val="20"/>
              </w:rPr>
            </w:pPr>
            <w:r>
              <w:rPr>
                <w:rFonts w:ascii="黑体" w:eastAsia="黑体" w:hAnsi="黑体" w:cs="宋体" w:hint="eastAsia"/>
                <w:color w:val="000000" w:themeColor="text1"/>
                <w:kern w:val="0"/>
                <w:sz w:val="20"/>
                <w:szCs w:val="20"/>
              </w:rPr>
              <w:t>组织机构简称</w:t>
            </w:r>
          </w:p>
        </w:tc>
        <w:tc>
          <w:tcPr>
            <w:tcW w:w="1701" w:type="dxa"/>
            <w:tcBorders>
              <w:top w:val="single" w:sz="4" w:space="0" w:color="auto"/>
              <w:left w:val="single" w:sz="4" w:space="0" w:color="auto"/>
              <w:bottom w:val="single" w:sz="4" w:space="0" w:color="auto"/>
              <w:right w:val="single" w:sz="4" w:space="0" w:color="auto"/>
            </w:tcBorders>
            <w:vAlign w:val="center"/>
          </w:tcPr>
          <w:p w14:paraId="67415885" w14:textId="77777777" w:rsidR="00A052DC" w:rsidRDefault="009F0A60">
            <w:pPr>
              <w:rPr>
                <w:rFonts w:ascii="黑体" w:eastAsia="黑体" w:hAnsi="黑体"/>
                <w:color w:val="000000" w:themeColor="text1"/>
                <w:sz w:val="20"/>
                <w:szCs w:val="20"/>
              </w:rPr>
            </w:pPr>
            <w:r>
              <w:rPr>
                <w:rFonts w:ascii="黑体" w:eastAsia="黑体" w:hAnsi="黑体" w:cs="宋体" w:hint="eastAsia"/>
                <w:color w:val="000000" w:themeColor="text1"/>
                <w:kern w:val="0"/>
                <w:sz w:val="20"/>
                <w:szCs w:val="20"/>
              </w:rPr>
              <w:t>字符型，128</w:t>
            </w:r>
          </w:p>
        </w:tc>
        <w:tc>
          <w:tcPr>
            <w:tcW w:w="3543" w:type="dxa"/>
            <w:tcBorders>
              <w:top w:val="single" w:sz="4" w:space="0" w:color="auto"/>
              <w:left w:val="single" w:sz="4" w:space="0" w:color="auto"/>
              <w:bottom w:val="single" w:sz="4" w:space="0" w:color="auto"/>
              <w:right w:val="single" w:sz="4" w:space="0" w:color="auto"/>
            </w:tcBorders>
            <w:vAlign w:val="center"/>
          </w:tcPr>
          <w:p w14:paraId="50EDD12A" w14:textId="77777777" w:rsidR="00A052DC" w:rsidRDefault="00DD6AA3">
            <w:pPr>
              <w:rPr>
                <w:rFonts w:ascii="黑体" w:eastAsia="黑体" w:hAnsi="黑体"/>
                <w:color w:val="000000" w:themeColor="text1"/>
                <w:sz w:val="20"/>
                <w:szCs w:val="20"/>
              </w:rPr>
            </w:pPr>
            <w:r>
              <w:rPr>
                <w:rFonts w:ascii="黑体" w:eastAsia="黑体" w:hAnsi="黑体" w:cs="宋体" w:hint="eastAsia"/>
                <w:color w:val="000000" w:themeColor="text1"/>
                <w:kern w:val="0"/>
                <w:sz w:val="20"/>
                <w:szCs w:val="20"/>
              </w:rPr>
              <w:t>非必填项</w:t>
            </w:r>
            <w:r w:rsidR="009F0A60">
              <w:rPr>
                <w:rFonts w:ascii="黑体" w:eastAsia="黑体" w:hAnsi="黑体" w:cs="宋体" w:hint="eastAsia"/>
                <w:color w:val="000000" w:themeColor="text1"/>
                <w:kern w:val="0"/>
                <w:sz w:val="20"/>
                <w:szCs w:val="20"/>
              </w:rPr>
              <w:t>，</w:t>
            </w:r>
            <w:r w:rsidR="009F0A60">
              <w:rPr>
                <w:rFonts w:ascii="黑体" w:eastAsia="黑体" w:hAnsi="黑体" w:cs="宋体" w:hint="eastAsia"/>
                <w:color w:val="000000" w:themeColor="text1"/>
                <w:kern w:val="0"/>
                <w:sz w:val="20"/>
                <w:szCs w:val="20"/>
              </w:rPr>
              <w:br/>
              <w:t>机构使用的中文简称。</w:t>
            </w:r>
          </w:p>
        </w:tc>
      </w:tr>
      <w:tr w:rsidR="00A052DC" w14:paraId="1759AF37" w14:textId="77777777">
        <w:tc>
          <w:tcPr>
            <w:tcW w:w="1843" w:type="dxa"/>
            <w:tcBorders>
              <w:top w:val="single" w:sz="4" w:space="0" w:color="auto"/>
              <w:left w:val="single" w:sz="4" w:space="0" w:color="auto"/>
              <w:bottom w:val="single" w:sz="4" w:space="0" w:color="auto"/>
              <w:right w:val="single" w:sz="4" w:space="0" w:color="auto"/>
            </w:tcBorders>
            <w:vAlign w:val="center"/>
          </w:tcPr>
          <w:p w14:paraId="55A5D976" w14:textId="77777777" w:rsidR="00A052DC" w:rsidRDefault="009F0A60">
            <w:pPr>
              <w:rPr>
                <w:rFonts w:ascii="黑体" w:eastAsia="黑体" w:hAnsi="黑体"/>
                <w:color w:val="000000" w:themeColor="text1"/>
                <w:sz w:val="20"/>
                <w:szCs w:val="20"/>
              </w:rPr>
            </w:pPr>
            <w:r>
              <w:rPr>
                <w:rFonts w:ascii="黑体" w:eastAsia="黑体" w:hAnsi="黑体" w:cs="宋体" w:hint="eastAsia"/>
                <w:color w:val="000000" w:themeColor="text1"/>
                <w:kern w:val="0"/>
                <w:sz w:val="20"/>
                <w:szCs w:val="20"/>
              </w:rPr>
              <w:t>CUSTOMERENGNAME</w:t>
            </w:r>
          </w:p>
        </w:tc>
        <w:tc>
          <w:tcPr>
            <w:tcW w:w="1560" w:type="dxa"/>
            <w:tcBorders>
              <w:top w:val="single" w:sz="4" w:space="0" w:color="auto"/>
              <w:left w:val="single" w:sz="4" w:space="0" w:color="auto"/>
              <w:bottom w:val="single" w:sz="4" w:space="0" w:color="auto"/>
              <w:right w:val="single" w:sz="4" w:space="0" w:color="auto"/>
            </w:tcBorders>
            <w:vAlign w:val="center"/>
          </w:tcPr>
          <w:p w14:paraId="56945A69" w14:textId="77777777" w:rsidR="00A052DC" w:rsidRDefault="009F0A60">
            <w:pPr>
              <w:rPr>
                <w:rFonts w:ascii="黑体" w:eastAsia="黑体" w:hAnsi="黑体"/>
                <w:color w:val="000000" w:themeColor="text1"/>
                <w:sz w:val="20"/>
                <w:szCs w:val="20"/>
              </w:rPr>
            </w:pPr>
            <w:r>
              <w:rPr>
                <w:rFonts w:ascii="黑体" w:eastAsia="黑体" w:hAnsi="黑体" w:cs="宋体" w:hint="eastAsia"/>
                <w:color w:val="000000" w:themeColor="text1"/>
                <w:kern w:val="0"/>
                <w:sz w:val="20"/>
                <w:szCs w:val="20"/>
              </w:rPr>
              <w:t>组织机构英文名称</w:t>
            </w:r>
          </w:p>
        </w:tc>
        <w:tc>
          <w:tcPr>
            <w:tcW w:w="1701" w:type="dxa"/>
            <w:tcBorders>
              <w:top w:val="single" w:sz="4" w:space="0" w:color="auto"/>
              <w:left w:val="single" w:sz="4" w:space="0" w:color="auto"/>
              <w:bottom w:val="single" w:sz="4" w:space="0" w:color="auto"/>
              <w:right w:val="single" w:sz="4" w:space="0" w:color="auto"/>
            </w:tcBorders>
            <w:vAlign w:val="center"/>
          </w:tcPr>
          <w:p w14:paraId="145D401E" w14:textId="77777777" w:rsidR="00A052DC" w:rsidRDefault="009F0A60">
            <w:pPr>
              <w:rPr>
                <w:rFonts w:ascii="黑体" w:eastAsia="黑体" w:hAnsi="黑体"/>
                <w:color w:val="000000" w:themeColor="text1"/>
                <w:sz w:val="20"/>
                <w:szCs w:val="20"/>
              </w:rPr>
            </w:pPr>
            <w:r>
              <w:rPr>
                <w:rFonts w:ascii="黑体" w:eastAsia="黑体" w:hAnsi="黑体" w:cs="宋体" w:hint="eastAsia"/>
                <w:color w:val="000000" w:themeColor="text1"/>
                <w:kern w:val="0"/>
                <w:sz w:val="20"/>
                <w:szCs w:val="20"/>
              </w:rPr>
              <w:t>字符型，256</w:t>
            </w:r>
          </w:p>
        </w:tc>
        <w:tc>
          <w:tcPr>
            <w:tcW w:w="3543" w:type="dxa"/>
            <w:tcBorders>
              <w:top w:val="single" w:sz="4" w:space="0" w:color="auto"/>
              <w:left w:val="single" w:sz="4" w:space="0" w:color="auto"/>
              <w:bottom w:val="single" w:sz="4" w:space="0" w:color="auto"/>
              <w:right w:val="single" w:sz="4" w:space="0" w:color="auto"/>
            </w:tcBorders>
            <w:vAlign w:val="center"/>
          </w:tcPr>
          <w:p w14:paraId="58718DCC" w14:textId="77777777" w:rsidR="00A052DC" w:rsidRDefault="009F0A60">
            <w:pPr>
              <w:rPr>
                <w:rFonts w:ascii="黑体" w:eastAsia="黑体" w:hAnsi="黑体"/>
                <w:color w:val="000000" w:themeColor="text1"/>
                <w:sz w:val="20"/>
                <w:szCs w:val="20"/>
              </w:rPr>
            </w:pPr>
            <w:r>
              <w:rPr>
                <w:rFonts w:ascii="黑体" w:eastAsia="黑体" w:hAnsi="黑体" w:cs="宋体" w:hint="eastAsia"/>
                <w:color w:val="000000" w:themeColor="text1"/>
                <w:kern w:val="0"/>
                <w:sz w:val="20"/>
                <w:szCs w:val="20"/>
              </w:rPr>
              <w:t>常驻国家（地区）为非中国时必填；常驻国家（地区）为中国时选填。英文名称可填特殊机构代码赋码通知书上载明名称，不应包含全角字符。</w:t>
            </w:r>
          </w:p>
        </w:tc>
      </w:tr>
      <w:tr w:rsidR="00A052DC" w14:paraId="7DF36922" w14:textId="77777777">
        <w:tc>
          <w:tcPr>
            <w:tcW w:w="1843" w:type="dxa"/>
            <w:tcBorders>
              <w:top w:val="single" w:sz="4" w:space="0" w:color="auto"/>
              <w:left w:val="single" w:sz="4" w:space="0" w:color="auto"/>
              <w:bottom w:val="single" w:sz="4" w:space="0" w:color="auto"/>
              <w:right w:val="single" w:sz="4" w:space="0" w:color="auto"/>
            </w:tcBorders>
          </w:tcPr>
          <w:p w14:paraId="66A39E3B" w14:textId="77777777" w:rsidR="00A052DC" w:rsidRDefault="009F0A60">
            <w:pPr>
              <w:rPr>
                <w:rFonts w:ascii="黑体" w:eastAsia="黑体" w:hAnsi="黑体"/>
                <w:sz w:val="20"/>
                <w:szCs w:val="20"/>
              </w:rPr>
            </w:pPr>
            <w:r>
              <w:rPr>
                <w:rFonts w:ascii="黑体" w:eastAsia="黑体" w:hAnsi="黑体"/>
                <w:sz w:val="20"/>
                <w:szCs w:val="20"/>
              </w:rPr>
              <w:t>AREACODE</w:t>
            </w:r>
          </w:p>
        </w:tc>
        <w:tc>
          <w:tcPr>
            <w:tcW w:w="1560" w:type="dxa"/>
            <w:tcBorders>
              <w:top w:val="single" w:sz="4" w:space="0" w:color="auto"/>
              <w:left w:val="single" w:sz="4" w:space="0" w:color="auto"/>
              <w:bottom w:val="single" w:sz="4" w:space="0" w:color="auto"/>
              <w:right w:val="single" w:sz="4" w:space="0" w:color="auto"/>
            </w:tcBorders>
          </w:tcPr>
          <w:p w14:paraId="2DFA21B0" w14:textId="77777777" w:rsidR="00A052DC" w:rsidRDefault="009F0A60">
            <w:pPr>
              <w:rPr>
                <w:rFonts w:ascii="黑体" w:eastAsia="黑体" w:hAnsi="黑体"/>
                <w:sz w:val="20"/>
                <w:szCs w:val="20"/>
              </w:rPr>
            </w:pPr>
            <w:r>
              <w:rPr>
                <w:rFonts w:ascii="黑体" w:eastAsia="黑体" w:hAnsi="黑体" w:hint="eastAsia"/>
                <w:sz w:val="20"/>
                <w:szCs w:val="20"/>
              </w:rPr>
              <w:t>住所/营业场所</w:t>
            </w:r>
          </w:p>
        </w:tc>
        <w:tc>
          <w:tcPr>
            <w:tcW w:w="1701" w:type="dxa"/>
            <w:tcBorders>
              <w:top w:val="single" w:sz="4" w:space="0" w:color="auto"/>
              <w:left w:val="single" w:sz="4" w:space="0" w:color="auto"/>
              <w:bottom w:val="single" w:sz="4" w:space="0" w:color="auto"/>
              <w:right w:val="single" w:sz="4" w:space="0" w:color="auto"/>
            </w:tcBorders>
          </w:tcPr>
          <w:p w14:paraId="6FEB381F" w14:textId="77777777" w:rsidR="00A052DC" w:rsidRDefault="009F0A60">
            <w:pPr>
              <w:rPr>
                <w:rFonts w:ascii="黑体" w:eastAsia="黑体" w:hAnsi="黑体"/>
                <w:sz w:val="20"/>
                <w:szCs w:val="20"/>
              </w:rPr>
            </w:pPr>
            <w:r>
              <w:rPr>
                <w:rFonts w:ascii="黑体" w:eastAsia="黑体" w:hAnsi="黑体" w:hint="eastAsia"/>
                <w:sz w:val="20"/>
                <w:szCs w:val="20"/>
              </w:rPr>
              <w:t>字符型，6</w:t>
            </w:r>
          </w:p>
        </w:tc>
        <w:tc>
          <w:tcPr>
            <w:tcW w:w="3543" w:type="dxa"/>
            <w:tcBorders>
              <w:top w:val="single" w:sz="4" w:space="0" w:color="auto"/>
              <w:left w:val="single" w:sz="4" w:space="0" w:color="auto"/>
              <w:bottom w:val="single" w:sz="4" w:space="0" w:color="auto"/>
              <w:right w:val="single" w:sz="4" w:space="0" w:color="auto"/>
            </w:tcBorders>
          </w:tcPr>
          <w:p w14:paraId="2DD4FFA3" w14:textId="77777777" w:rsidR="00A052DC" w:rsidRDefault="00C40CCF">
            <w:pPr>
              <w:rPr>
                <w:rFonts w:ascii="黑体" w:eastAsia="黑体" w:hAnsi="黑体"/>
                <w:sz w:val="20"/>
                <w:szCs w:val="20"/>
              </w:rPr>
            </w:pPr>
            <w:r>
              <w:rPr>
                <w:rFonts w:ascii="黑体" w:eastAsia="黑体" w:hAnsi="黑体" w:hint="eastAsia"/>
                <w:sz w:val="20"/>
                <w:szCs w:val="20"/>
              </w:rPr>
              <w:t>必填项</w:t>
            </w:r>
            <w:r w:rsidR="009F0A60">
              <w:rPr>
                <w:rFonts w:ascii="黑体" w:eastAsia="黑体" w:hAnsi="黑体" w:hint="eastAsia"/>
                <w:sz w:val="20"/>
                <w:szCs w:val="20"/>
              </w:rPr>
              <w:t>，</w:t>
            </w:r>
          </w:p>
          <w:p w14:paraId="5F5FEC26" w14:textId="77777777" w:rsidR="00A052DC" w:rsidRDefault="009F0A60">
            <w:pPr>
              <w:rPr>
                <w:rFonts w:ascii="黑体" w:eastAsia="黑体" w:hAnsi="黑体"/>
                <w:sz w:val="20"/>
                <w:szCs w:val="20"/>
              </w:rPr>
            </w:pPr>
            <w:r>
              <w:rPr>
                <w:rFonts w:ascii="黑体" w:eastAsia="黑体" w:hAnsi="黑体" w:hint="eastAsia"/>
                <w:sz w:val="20"/>
                <w:szCs w:val="20"/>
              </w:rPr>
              <w:t>必须是行政区划表中存在的记录，但不能选100000。</w:t>
            </w:r>
          </w:p>
        </w:tc>
      </w:tr>
      <w:tr w:rsidR="00A052DC" w14:paraId="137A0209" w14:textId="77777777">
        <w:tc>
          <w:tcPr>
            <w:tcW w:w="1843" w:type="dxa"/>
            <w:tcBorders>
              <w:top w:val="single" w:sz="4" w:space="0" w:color="auto"/>
              <w:left w:val="single" w:sz="4" w:space="0" w:color="auto"/>
              <w:bottom w:val="single" w:sz="4" w:space="0" w:color="auto"/>
              <w:right w:val="single" w:sz="4" w:space="0" w:color="auto"/>
            </w:tcBorders>
          </w:tcPr>
          <w:p w14:paraId="7E153CCD" w14:textId="77777777" w:rsidR="00A052DC" w:rsidRDefault="009F0A60">
            <w:pPr>
              <w:rPr>
                <w:rFonts w:ascii="黑体" w:eastAsia="黑体" w:hAnsi="黑体"/>
                <w:sz w:val="20"/>
                <w:szCs w:val="20"/>
              </w:rPr>
            </w:pPr>
            <w:r>
              <w:rPr>
                <w:rFonts w:ascii="黑体" w:eastAsia="黑体" w:hAnsi="黑体"/>
                <w:sz w:val="20"/>
                <w:szCs w:val="20"/>
              </w:rPr>
              <w:t>CUSTADDR</w:t>
            </w:r>
          </w:p>
        </w:tc>
        <w:tc>
          <w:tcPr>
            <w:tcW w:w="1560" w:type="dxa"/>
            <w:tcBorders>
              <w:top w:val="single" w:sz="4" w:space="0" w:color="auto"/>
              <w:left w:val="single" w:sz="4" w:space="0" w:color="auto"/>
              <w:bottom w:val="single" w:sz="4" w:space="0" w:color="auto"/>
              <w:right w:val="single" w:sz="4" w:space="0" w:color="auto"/>
            </w:tcBorders>
          </w:tcPr>
          <w:p w14:paraId="0FCA83A1" w14:textId="77777777" w:rsidR="00A052DC" w:rsidRDefault="009F0A60">
            <w:pPr>
              <w:rPr>
                <w:rFonts w:ascii="黑体" w:eastAsia="黑体" w:hAnsi="黑体"/>
                <w:sz w:val="20"/>
                <w:szCs w:val="20"/>
              </w:rPr>
            </w:pPr>
            <w:r>
              <w:rPr>
                <w:rFonts w:ascii="黑体" w:eastAsia="黑体" w:hAnsi="黑体" w:hint="eastAsia"/>
                <w:sz w:val="20"/>
                <w:szCs w:val="20"/>
              </w:rPr>
              <w:t>单位地址</w:t>
            </w:r>
          </w:p>
        </w:tc>
        <w:tc>
          <w:tcPr>
            <w:tcW w:w="1701" w:type="dxa"/>
            <w:tcBorders>
              <w:top w:val="single" w:sz="4" w:space="0" w:color="auto"/>
              <w:left w:val="single" w:sz="4" w:space="0" w:color="auto"/>
              <w:bottom w:val="single" w:sz="4" w:space="0" w:color="auto"/>
              <w:right w:val="single" w:sz="4" w:space="0" w:color="auto"/>
            </w:tcBorders>
          </w:tcPr>
          <w:p w14:paraId="67287467" w14:textId="77777777" w:rsidR="00A052DC" w:rsidRDefault="009F0A60">
            <w:pPr>
              <w:rPr>
                <w:rFonts w:ascii="黑体" w:eastAsia="黑体" w:hAnsi="黑体"/>
                <w:sz w:val="20"/>
                <w:szCs w:val="20"/>
              </w:rPr>
            </w:pPr>
            <w:r>
              <w:rPr>
                <w:rFonts w:ascii="黑体" w:eastAsia="黑体" w:hAnsi="黑体" w:hint="eastAsia"/>
                <w:sz w:val="20"/>
                <w:szCs w:val="20"/>
              </w:rPr>
              <w:t>字符型，256</w:t>
            </w:r>
          </w:p>
        </w:tc>
        <w:tc>
          <w:tcPr>
            <w:tcW w:w="3543" w:type="dxa"/>
            <w:tcBorders>
              <w:top w:val="single" w:sz="4" w:space="0" w:color="auto"/>
              <w:left w:val="single" w:sz="4" w:space="0" w:color="auto"/>
              <w:bottom w:val="single" w:sz="4" w:space="0" w:color="auto"/>
              <w:right w:val="single" w:sz="4" w:space="0" w:color="auto"/>
            </w:tcBorders>
          </w:tcPr>
          <w:p w14:paraId="1606871C" w14:textId="77777777" w:rsidR="00A052DC" w:rsidRDefault="00DD6AA3">
            <w:pPr>
              <w:rPr>
                <w:rFonts w:ascii="黑体" w:eastAsia="黑体" w:hAnsi="黑体"/>
                <w:sz w:val="20"/>
                <w:szCs w:val="20"/>
              </w:rPr>
            </w:pPr>
            <w:r>
              <w:rPr>
                <w:rFonts w:ascii="黑体" w:eastAsia="黑体" w:hAnsi="黑体" w:cs="宋体" w:hint="eastAsia"/>
                <w:color w:val="000000" w:themeColor="text1"/>
                <w:kern w:val="0"/>
                <w:sz w:val="20"/>
                <w:szCs w:val="20"/>
              </w:rPr>
              <w:t>非必填项</w:t>
            </w:r>
            <w:r w:rsidR="009F0A60">
              <w:rPr>
                <w:rFonts w:ascii="黑体" w:eastAsia="黑体" w:hAnsi="黑体" w:hint="eastAsia"/>
                <w:sz w:val="20"/>
                <w:szCs w:val="20"/>
              </w:rPr>
              <w:t>。</w:t>
            </w:r>
          </w:p>
        </w:tc>
      </w:tr>
      <w:tr w:rsidR="00A052DC" w14:paraId="457A48FB" w14:textId="77777777">
        <w:tc>
          <w:tcPr>
            <w:tcW w:w="1843" w:type="dxa"/>
            <w:tcBorders>
              <w:top w:val="single" w:sz="4" w:space="0" w:color="auto"/>
              <w:left w:val="single" w:sz="4" w:space="0" w:color="auto"/>
              <w:bottom w:val="single" w:sz="4" w:space="0" w:color="auto"/>
              <w:right w:val="single" w:sz="4" w:space="0" w:color="auto"/>
            </w:tcBorders>
          </w:tcPr>
          <w:p w14:paraId="4AACC3F9" w14:textId="77777777" w:rsidR="00A052DC" w:rsidRDefault="009F0A60">
            <w:pPr>
              <w:rPr>
                <w:rFonts w:ascii="黑体" w:eastAsia="黑体" w:hAnsi="黑体"/>
                <w:sz w:val="20"/>
                <w:szCs w:val="20"/>
              </w:rPr>
            </w:pPr>
            <w:r>
              <w:rPr>
                <w:rFonts w:ascii="黑体" w:eastAsia="黑体" w:hAnsi="黑体"/>
                <w:sz w:val="20"/>
                <w:szCs w:val="20"/>
              </w:rPr>
              <w:t>POSTCODE</w:t>
            </w:r>
          </w:p>
        </w:tc>
        <w:tc>
          <w:tcPr>
            <w:tcW w:w="1560" w:type="dxa"/>
            <w:tcBorders>
              <w:top w:val="single" w:sz="4" w:space="0" w:color="auto"/>
              <w:left w:val="single" w:sz="4" w:space="0" w:color="auto"/>
              <w:bottom w:val="single" w:sz="4" w:space="0" w:color="auto"/>
              <w:right w:val="single" w:sz="4" w:space="0" w:color="auto"/>
            </w:tcBorders>
          </w:tcPr>
          <w:p w14:paraId="60E703D8" w14:textId="77777777" w:rsidR="00A052DC" w:rsidRDefault="009F0A60">
            <w:pPr>
              <w:rPr>
                <w:rFonts w:ascii="黑体" w:eastAsia="黑体" w:hAnsi="黑体"/>
                <w:sz w:val="20"/>
                <w:szCs w:val="20"/>
              </w:rPr>
            </w:pPr>
            <w:r>
              <w:rPr>
                <w:rFonts w:ascii="黑体" w:eastAsia="黑体" w:hAnsi="黑体" w:hint="eastAsia"/>
                <w:sz w:val="20"/>
                <w:szCs w:val="20"/>
              </w:rPr>
              <w:t>邮政编码</w:t>
            </w:r>
          </w:p>
        </w:tc>
        <w:tc>
          <w:tcPr>
            <w:tcW w:w="1701" w:type="dxa"/>
            <w:tcBorders>
              <w:top w:val="single" w:sz="4" w:space="0" w:color="auto"/>
              <w:left w:val="single" w:sz="4" w:space="0" w:color="auto"/>
              <w:bottom w:val="single" w:sz="4" w:space="0" w:color="auto"/>
              <w:right w:val="single" w:sz="4" w:space="0" w:color="auto"/>
            </w:tcBorders>
          </w:tcPr>
          <w:p w14:paraId="198B4DE3" w14:textId="77777777" w:rsidR="00A052DC" w:rsidRDefault="009F0A60">
            <w:pPr>
              <w:rPr>
                <w:rFonts w:ascii="黑体" w:eastAsia="黑体" w:hAnsi="黑体"/>
                <w:sz w:val="20"/>
                <w:szCs w:val="20"/>
              </w:rPr>
            </w:pPr>
            <w:r>
              <w:rPr>
                <w:rFonts w:ascii="黑体" w:eastAsia="黑体" w:hAnsi="黑体" w:hint="eastAsia"/>
                <w:sz w:val="20"/>
                <w:szCs w:val="20"/>
              </w:rPr>
              <w:t>字符型，6</w:t>
            </w:r>
          </w:p>
        </w:tc>
        <w:tc>
          <w:tcPr>
            <w:tcW w:w="3543" w:type="dxa"/>
            <w:tcBorders>
              <w:top w:val="single" w:sz="4" w:space="0" w:color="auto"/>
              <w:left w:val="single" w:sz="4" w:space="0" w:color="auto"/>
              <w:bottom w:val="single" w:sz="4" w:space="0" w:color="auto"/>
              <w:right w:val="single" w:sz="4" w:space="0" w:color="auto"/>
            </w:tcBorders>
          </w:tcPr>
          <w:p w14:paraId="1037BDD5" w14:textId="77777777" w:rsidR="00A052DC" w:rsidRDefault="00DD6AA3">
            <w:pPr>
              <w:rPr>
                <w:rFonts w:ascii="黑体" w:eastAsia="黑体" w:hAnsi="黑体"/>
                <w:sz w:val="20"/>
                <w:szCs w:val="20"/>
              </w:rPr>
            </w:pPr>
            <w:r>
              <w:rPr>
                <w:rFonts w:ascii="黑体" w:eastAsia="黑体" w:hAnsi="黑体" w:cs="宋体" w:hint="eastAsia"/>
                <w:color w:val="000000" w:themeColor="text1"/>
                <w:kern w:val="0"/>
                <w:sz w:val="20"/>
                <w:szCs w:val="20"/>
              </w:rPr>
              <w:t>非必填项</w:t>
            </w:r>
            <w:r w:rsidR="009F0A60">
              <w:rPr>
                <w:rFonts w:ascii="黑体" w:eastAsia="黑体" w:hAnsi="黑体" w:hint="eastAsia"/>
                <w:sz w:val="20"/>
                <w:szCs w:val="20"/>
              </w:rPr>
              <w:t>。</w:t>
            </w:r>
          </w:p>
        </w:tc>
      </w:tr>
      <w:tr w:rsidR="00A052DC" w14:paraId="5E243EF3" w14:textId="77777777">
        <w:tc>
          <w:tcPr>
            <w:tcW w:w="1843" w:type="dxa"/>
            <w:tcBorders>
              <w:top w:val="single" w:sz="4" w:space="0" w:color="auto"/>
              <w:left w:val="single" w:sz="4" w:space="0" w:color="auto"/>
              <w:bottom w:val="single" w:sz="4" w:space="0" w:color="auto"/>
              <w:right w:val="single" w:sz="4" w:space="0" w:color="auto"/>
            </w:tcBorders>
          </w:tcPr>
          <w:p w14:paraId="7F4E8C49" w14:textId="77777777" w:rsidR="00A052DC" w:rsidRDefault="009F0A60">
            <w:pPr>
              <w:rPr>
                <w:rFonts w:ascii="黑体" w:eastAsia="黑体" w:hAnsi="黑体"/>
                <w:sz w:val="20"/>
                <w:szCs w:val="20"/>
              </w:rPr>
            </w:pPr>
            <w:r>
              <w:rPr>
                <w:rFonts w:ascii="黑体" w:eastAsia="黑体" w:hAnsi="黑体"/>
                <w:sz w:val="20"/>
                <w:szCs w:val="20"/>
              </w:rPr>
              <w:t>INDUSTRYCODE</w:t>
            </w:r>
          </w:p>
        </w:tc>
        <w:tc>
          <w:tcPr>
            <w:tcW w:w="1560" w:type="dxa"/>
            <w:tcBorders>
              <w:top w:val="single" w:sz="4" w:space="0" w:color="auto"/>
              <w:left w:val="single" w:sz="4" w:space="0" w:color="auto"/>
              <w:bottom w:val="single" w:sz="4" w:space="0" w:color="auto"/>
              <w:right w:val="single" w:sz="4" w:space="0" w:color="auto"/>
            </w:tcBorders>
          </w:tcPr>
          <w:p w14:paraId="0368DB30" w14:textId="77777777" w:rsidR="00A052DC" w:rsidRDefault="009F0A60">
            <w:pPr>
              <w:rPr>
                <w:rFonts w:ascii="黑体" w:eastAsia="黑体" w:hAnsi="黑体"/>
                <w:sz w:val="20"/>
                <w:szCs w:val="20"/>
              </w:rPr>
            </w:pPr>
            <w:r>
              <w:rPr>
                <w:rFonts w:ascii="黑体" w:eastAsia="黑体" w:hAnsi="黑体" w:hint="eastAsia"/>
                <w:sz w:val="20"/>
                <w:szCs w:val="20"/>
              </w:rPr>
              <w:t>行业属性代码</w:t>
            </w:r>
          </w:p>
        </w:tc>
        <w:tc>
          <w:tcPr>
            <w:tcW w:w="1701" w:type="dxa"/>
            <w:tcBorders>
              <w:top w:val="single" w:sz="4" w:space="0" w:color="auto"/>
              <w:left w:val="single" w:sz="4" w:space="0" w:color="auto"/>
              <w:bottom w:val="single" w:sz="4" w:space="0" w:color="auto"/>
              <w:right w:val="single" w:sz="4" w:space="0" w:color="auto"/>
            </w:tcBorders>
          </w:tcPr>
          <w:p w14:paraId="68AD6DEB" w14:textId="77777777" w:rsidR="00A052DC" w:rsidRDefault="009F0A60">
            <w:pPr>
              <w:rPr>
                <w:rFonts w:ascii="黑体" w:eastAsia="黑体" w:hAnsi="黑体"/>
                <w:sz w:val="20"/>
                <w:szCs w:val="20"/>
              </w:rPr>
            </w:pPr>
            <w:r>
              <w:rPr>
                <w:rFonts w:ascii="黑体" w:eastAsia="黑体" w:hAnsi="黑体" w:hint="eastAsia"/>
                <w:sz w:val="20"/>
                <w:szCs w:val="20"/>
              </w:rPr>
              <w:t>字符型，4</w:t>
            </w:r>
          </w:p>
        </w:tc>
        <w:tc>
          <w:tcPr>
            <w:tcW w:w="3543" w:type="dxa"/>
            <w:tcBorders>
              <w:top w:val="single" w:sz="4" w:space="0" w:color="auto"/>
              <w:left w:val="single" w:sz="4" w:space="0" w:color="auto"/>
              <w:bottom w:val="single" w:sz="4" w:space="0" w:color="auto"/>
              <w:right w:val="single" w:sz="4" w:space="0" w:color="auto"/>
            </w:tcBorders>
          </w:tcPr>
          <w:p w14:paraId="605EB406" w14:textId="77777777" w:rsidR="00A052DC" w:rsidRDefault="00C40CCF">
            <w:pPr>
              <w:rPr>
                <w:rFonts w:ascii="黑体" w:eastAsia="黑体" w:hAnsi="黑体"/>
                <w:sz w:val="20"/>
                <w:szCs w:val="20"/>
              </w:rPr>
            </w:pPr>
            <w:r>
              <w:rPr>
                <w:rFonts w:ascii="黑体" w:eastAsia="黑体" w:hAnsi="黑体" w:hint="eastAsia"/>
                <w:sz w:val="20"/>
                <w:szCs w:val="20"/>
              </w:rPr>
              <w:t>必填项</w:t>
            </w:r>
            <w:r w:rsidR="009F0A60">
              <w:rPr>
                <w:rFonts w:ascii="黑体" w:eastAsia="黑体" w:hAnsi="黑体" w:hint="eastAsia"/>
                <w:sz w:val="20"/>
                <w:szCs w:val="20"/>
              </w:rPr>
              <w:t>，</w:t>
            </w:r>
          </w:p>
          <w:p w14:paraId="2C2D3A59" w14:textId="77777777" w:rsidR="00A052DC" w:rsidRDefault="009F0A60">
            <w:pPr>
              <w:rPr>
                <w:rFonts w:ascii="黑体" w:eastAsia="黑体" w:hAnsi="黑体"/>
                <w:sz w:val="20"/>
                <w:szCs w:val="20"/>
              </w:rPr>
            </w:pPr>
            <w:r>
              <w:rPr>
                <w:rFonts w:ascii="黑体" w:eastAsia="黑体" w:hAnsi="黑体" w:hint="eastAsia"/>
                <w:sz w:val="20"/>
                <w:szCs w:val="20"/>
              </w:rPr>
              <w:t>必须是行业属性代码表中存在的最细分类的记录。</w:t>
            </w:r>
          </w:p>
        </w:tc>
      </w:tr>
      <w:tr w:rsidR="00A052DC" w14:paraId="49B60331" w14:textId="77777777">
        <w:tc>
          <w:tcPr>
            <w:tcW w:w="1843" w:type="dxa"/>
            <w:tcBorders>
              <w:top w:val="single" w:sz="4" w:space="0" w:color="auto"/>
              <w:left w:val="single" w:sz="4" w:space="0" w:color="auto"/>
              <w:bottom w:val="single" w:sz="4" w:space="0" w:color="auto"/>
              <w:right w:val="single" w:sz="4" w:space="0" w:color="auto"/>
            </w:tcBorders>
          </w:tcPr>
          <w:p w14:paraId="2F8FC938" w14:textId="77777777" w:rsidR="00A052DC" w:rsidRDefault="009F0A60">
            <w:pPr>
              <w:rPr>
                <w:rFonts w:ascii="黑体" w:eastAsia="黑体" w:hAnsi="黑体"/>
                <w:sz w:val="20"/>
                <w:szCs w:val="20"/>
              </w:rPr>
            </w:pPr>
            <w:r>
              <w:rPr>
                <w:rFonts w:ascii="黑体" w:eastAsia="黑体" w:hAnsi="黑体"/>
                <w:sz w:val="20"/>
                <w:szCs w:val="20"/>
              </w:rPr>
              <w:t>ATTRCODE</w:t>
            </w:r>
          </w:p>
        </w:tc>
        <w:tc>
          <w:tcPr>
            <w:tcW w:w="1560" w:type="dxa"/>
            <w:tcBorders>
              <w:top w:val="single" w:sz="4" w:space="0" w:color="auto"/>
              <w:left w:val="single" w:sz="4" w:space="0" w:color="auto"/>
              <w:bottom w:val="single" w:sz="4" w:space="0" w:color="auto"/>
              <w:right w:val="single" w:sz="4" w:space="0" w:color="auto"/>
            </w:tcBorders>
          </w:tcPr>
          <w:p w14:paraId="3A27341F" w14:textId="77777777" w:rsidR="00A052DC" w:rsidRDefault="009F0A60">
            <w:pPr>
              <w:rPr>
                <w:rFonts w:ascii="黑体" w:eastAsia="黑体" w:hAnsi="黑体"/>
                <w:sz w:val="20"/>
                <w:szCs w:val="20"/>
              </w:rPr>
            </w:pPr>
            <w:r>
              <w:rPr>
                <w:rFonts w:ascii="黑体" w:eastAsia="黑体" w:hAnsi="黑体" w:hint="eastAsia"/>
                <w:sz w:val="20"/>
                <w:szCs w:val="20"/>
              </w:rPr>
              <w:t>经济类型代码</w:t>
            </w:r>
          </w:p>
        </w:tc>
        <w:tc>
          <w:tcPr>
            <w:tcW w:w="1701" w:type="dxa"/>
            <w:tcBorders>
              <w:top w:val="single" w:sz="4" w:space="0" w:color="auto"/>
              <w:left w:val="single" w:sz="4" w:space="0" w:color="auto"/>
              <w:bottom w:val="single" w:sz="4" w:space="0" w:color="auto"/>
              <w:right w:val="single" w:sz="4" w:space="0" w:color="auto"/>
            </w:tcBorders>
          </w:tcPr>
          <w:p w14:paraId="0D076DBE" w14:textId="77777777" w:rsidR="00A052DC" w:rsidRDefault="009F0A60">
            <w:pPr>
              <w:rPr>
                <w:rFonts w:ascii="黑体" w:eastAsia="黑体" w:hAnsi="黑体"/>
                <w:sz w:val="20"/>
                <w:szCs w:val="20"/>
              </w:rPr>
            </w:pPr>
            <w:r>
              <w:rPr>
                <w:rFonts w:ascii="黑体" w:eastAsia="黑体" w:hAnsi="黑体" w:hint="eastAsia"/>
                <w:sz w:val="20"/>
                <w:szCs w:val="20"/>
              </w:rPr>
              <w:t>字符型，3</w:t>
            </w:r>
          </w:p>
        </w:tc>
        <w:tc>
          <w:tcPr>
            <w:tcW w:w="3543" w:type="dxa"/>
            <w:tcBorders>
              <w:top w:val="single" w:sz="4" w:space="0" w:color="auto"/>
              <w:left w:val="single" w:sz="4" w:space="0" w:color="auto"/>
              <w:bottom w:val="single" w:sz="4" w:space="0" w:color="auto"/>
              <w:right w:val="single" w:sz="4" w:space="0" w:color="auto"/>
            </w:tcBorders>
          </w:tcPr>
          <w:p w14:paraId="7109DBC0" w14:textId="77777777" w:rsidR="00A052DC" w:rsidRDefault="00C40CCF">
            <w:pPr>
              <w:rPr>
                <w:rFonts w:ascii="黑体" w:eastAsia="黑体" w:hAnsi="黑体"/>
                <w:sz w:val="20"/>
                <w:szCs w:val="20"/>
              </w:rPr>
            </w:pPr>
            <w:r>
              <w:rPr>
                <w:rFonts w:ascii="黑体" w:eastAsia="黑体" w:hAnsi="黑体" w:hint="eastAsia"/>
                <w:sz w:val="20"/>
                <w:szCs w:val="20"/>
              </w:rPr>
              <w:t>必填项</w:t>
            </w:r>
            <w:r w:rsidR="009F0A60">
              <w:rPr>
                <w:rFonts w:ascii="黑体" w:eastAsia="黑体" w:hAnsi="黑体" w:hint="eastAsia"/>
                <w:sz w:val="20"/>
                <w:szCs w:val="20"/>
              </w:rPr>
              <w:t>，</w:t>
            </w:r>
          </w:p>
          <w:p w14:paraId="22404AC4" w14:textId="77777777" w:rsidR="00A052DC" w:rsidRDefault="009F0A60">
            <w:pPr>
              <w:rPr>
                <w:rFonts w:ascii="黑体" w:eastAsia="黑体" w:hAnsi="黑体"/>
                <w:sz w:val="20"/>
                <w:szCs w:val="20"/>
              </w:rPr>
            </w:pPr>
            <w:r>
              <w:rPr>
                <w:rFonts w:ascii="黑体" w:eastAsia="黑体" w:hAnsi="黑体" w:hint="eastAsia"/>
                <w:sz w:val="20"/>
                <w:szCs w:val="20"/>
              </w:rPr>
              <w:t>必须是经济类型代码表中存在的最细分类的记录。</w:t>
            </w:r>
          </w:p>
          <w:p w14:paraId="1780F7FA" w14:textId="77777777" w:rsidR="00A052DC" w:rsidRDefault="009F0A60">
            <w:pPr>
              <w:rPr>
                <w:rFonts w:ascii="黑体" w:eastAsia="黑体" w:hAnsi="黑体"/>
                <w:sz w:val="20"/>
                <w:szCs w:val="20"/>
              </w:rPr>
            </w:pPr>
            <w:r>
              <w:rPr>
                <w:rFonts w:ascii="黑体" w:eastAsia="黑体" w:hAnsi="黑体" w:hint="eastAsia"/>
                <w:sz w:val="20"/>
                <w:szCs w:val="20"/>
              </w:rPr>
              <w:t xml:space="preserve">100、140、150、170、200、300由于不是最细分类，因此为不可选项。 </w:t>
            </w:r>
          </w:p>
        </w:tc>
      </w:tr>
      <w:tr w:rsidR="00A052DC" w14:paraId="2DBF19ED" w14:textId="77777777">
        <w:tc>
          <w:tcPr>
            <w:tcW w:w="1843" w:type="dxa"/>
            <w:tcBorders>
              <w:top w:val="single" w:sz="4" w:space="0" w:color="auto"/>
              <w:left w:val="single" w:sz="4" w:space="0" w:color="auto"/>
              <w:bottom w:val="single" w:sz="4" w:space="0" w:color="auto"/>
              <w:right w:val="single" w:sz="4" w:space="0" w:color="auto"/>
            </w:tcBorders>
          </w:tcPr>
          <w:p w14:paraId="66A552AE" w14:textId="77777777" w:rsidR="00A052DC" w:rsidRDefault="009F0A60">
            <w:pPr>
              <w:rPr>
                <w:rFonts w:ascii="黑体" w:eastAsia="黑体" w:hAnsi="黑体"/>
                <w:sz w:val="20"/>
                <w:szCs w:val="20"/>
              </w:rPr>
            </w:pPr>
            <w:r>
              <w:rPr>
                <w:rFonts w:ascii="黑体" w:eastAsia="黑体" w:hAnsi="黑体"/>
                <w:sz w:val="20"/>
                <w:szCs w:val="20"/>
              </w:rPr>
              <w:t>COUNTRYCODE</w:t>
            </w:r>
          </w:p>
        </w:tc>
        <w:tc>
          <w:tcPr>
            <w:tcW w:w="1560" w:type="dxa"/>
            <w:tcBorders>
              <w:top w:val="single" w:sz="4" w:space="0" w:color="auto"/>
              <w:left w:val="single" w:sz="4" w:space="0" w:color="auto"/>
              <w:bottom w:val="single" w:sz="4" w:space="0" w:color="auto"/>
              <w:right w:val="single" w:sz="4" w:space="0" w:color="auto"/>
            </w:tcBorders>
          </w:tcPr>
          <w:p w14:paraId="6F61BBEB" w14:textId="77777777" w:rsidR="00A052DC" w:rsidRDefault="009F0A60">
            <w:pPr>
              <w:rPr>
                <w:rFonts w:ascii="黑体" w:eastAsia="黑体" w:hAnsi="黑体"/>
                <w:sz w:val="20"/>
                <w:szCs w:val="20"/>
              </w:rPr>
            </w:pPr>
            <w:r>
              <w:rPr>
                <w:rFonts w:ascii="黑体" w:eastAsia="黑体" w:hAnsi="黑体" w:hint="eastAsia"/>
                <w:sz w:val="20"/>
                <w:szCs w:val="20"/>
              </w:rPr>
              <w:t>常驻国家代码</w:t>
            </w:r>
          </w:p>
        </w:tc>
        <w:tc>
          <w:tcPr>
            <w:tcW w:w="1701" w:type="dxa"/>
            <w:tcBorders>
              <w:top w:val="single" w:sz="4" w:space="0" w:color="auto"/>
              <w:left w:val="single" w:sz="4" w:space="0" w:color="auto"/>
              <w:bottom w:val="single" w:sz="4" w:space="0" w:color="auto"/>
              <w:right w:val="single" w:sz="4" w:space="0" w:color="auto"/>
            </w:tcBorders>
          </w:tcPr>
          <w:p w14:paraId="137316FE" w14:textId="77777777" w:rsidR="00A052DC" w:rsidRDefault="009F0A60">
            <w:pPr>
              <w:rPr>
                <w:rFonts w:ascii="黑体" w:eastAsia="黑体" w:hAnsi="黑体"/>
                <w:sz w:val="20"/>
                <w:szCs w:val="20"/>
              </w:rPr>
            </w:pPr>
            <w:r>
              <w:rPr>
                <w:rFonts w:ascii="黑体" w:eastAsia="黑体" w:hAnsi="黑体" w:hint="eastAsia"/>
                <w:sz w:val="20"/>
                <w:szCs w:val="20"/>
              </w:rPr>
              <w:t>字符型，3</w:t>
            </w:r>
          </w:p>
        </w:tc>
        <w:tc>
          <w:tcPr>
            <w:tcW w:w="3543" w:type="dxa"/>
            <w:tcBorders>
              <w:top w:val="single" w:sz="4" w:space="0" w:color="auto"/>
              <w:left w:val="single" w:sz="4" w:space="0" w:color="auto"/>
              <w:bottom w:val="single" w:sz="4" w:space="0" w:color="auto"/>
              <w:right w:val="single" w:sz="4" w:space="0" w:color="auto"/>
            </w:tcBorders>
          </w:tcPr>
          <w:p w14:paraId="4145C20D" w14:textId="77777777" w:rsidR="00A052DC" w:rsidRDefault="00C40CCF">
            <w:pPr>
              <w:rPr>
                <w:rFonts w:ascii="黑体" w:eastAsia="黑体" w:hAnsi="黑体"/>
                <w:sz w:val="20"/>
                <w:szCs w:val="20"/>
              </w:rPr>
            </w:pPr>
            <w:r>
              <w:rPr>
                <w:rFonts w:ascii="黑体" w:eastAsia="黑体" w:hAnsi="黑体" w:hint="eastAsia"/>
                <w:sz w:val="20"/>
                <w:szCs w:val="20"/>
              </w:rPr>
              <w:t>必填项</w:t>
            </w:r>
            <w:r w:rsidR="009F0A60">
              <w:rPr>
                <w:rFonts w:ascii="黑体" w:eastAsia="黑体" w:hAnsi="黑体" w:hint="eastAsia"/>
                <w:sz w:val="20"/>
                <w:szCs w:val="20"/>
              </w:rPr>
              <w:t>，</w:t>
            </w:r>
          </w:p>
          <w:p w14:paraId="2C3233E8" w14:textId="77777777" w:rsidR="00A052DC" w:rsidRDefault="009F0A60">
            <w:pPr>
              <w:rPr>
                <w:rFonts w:ascii="黑体" w:eastAsia="黑体" w:hAnsi="黑体"/>
                <w:sz w:val="20"/>
                <w:szCs w:val="20"/>
              </w:rPr>
            </w:pPr>
            <w:r>
              <w:rPr>
                <w:rFonts w:ascii="黑体" w:eastAsia="黑体" w:hAnsi="黑体" w:hint="eastAsia"/>
                <w:sz w:val="20"/>
                <w:szCs w:val="20"/>
              </w:rPr>
              <w:t>字母代码，必须是国别/地区代码表中存在的记录。</w:t>
            </w:r>
          </w:p>
          <w:p w14:paraId="1CFE1430" w14:textId="77777777" w:rsidR="00A052DC" w:rsidRDefault="009F0A60">
            <w:pPr>
              <w:rPr>
                <w:rFonts w:ascii="黑体" w:eastAsia="黑体" w:hAnsi="黑体"/>
                <w:sz w:val="20"/>
                <w:szCs w:val="20"/>
              </w:rPr>
            </w:pPr>
            <w:r>
              <w:rPr>
                <w:rFonts w:ascii="黑体" w:eastAsia="黑体" w:hAnsi="黑体" w:hint="eastAsia"/>
                <w:sz w:val="20"/>
                <w:szCs w:val="20"/>
              </w:rPr>
              <w:t>如果经济类型选择100、200、300项下的任何一项，则常驻国家地区应为中国CHN。</w:t>
            </w:r>
          </w:p>
          <w:p w14:paraId="5A594529" w14:textId="77777777" w:rsidR="00A052DC" w:rsidRDefault="009F0A60">
            <w:pPr>
              <w:rPr>
                <w:rFonts w:ascii="黑体" w:eastAsia="黑体" w:hAnsi="黑体"/>
                <w:color w:val="000000" w:themeColor="text1"/>
                <w:sz w:val="20"/>
                <w:szCs w:val="20"/>
              </w:rPr>
            </w:pPr>
            <w:r>
              <w:rPr>
                <w:rFonts w:ascii="黑体" w:eastAsia="黑体" w:hAnsi="黑体" w:hint="eastAsia"/>
                <w:color w:val="000000" w:themeColor="text1"/>
                <w:sz w:val="20"/>
                <w:szCs w:val="20"/>
              </w:rPr>
              <w:t>如果经济类型选择400，则常驻国家地区为外国、中国港澳台地区或国际组织（IOS）。</w:t>
            </w:r>
          </w:p>
        </w:tc>
      </w:tr>
      <w:tr w:rsidR="00A052DC" w14:paraId="6ACB5971" w14:textId="77777777">
        <w:tc>
          <w:tcPr>
            <w:tcW w:w="1843" w:type="dxa"/>
            <w:tcBorders>
              <w:top w:val="single" w:sz="4" w:space="0" w:color="auto"/>
              <w:left w:val="single" w:sz="4" w:space="0" w:color="auto"/>
              <w:bottom w:val="single" w:sz="4" w:space="0" w:color="auto"/>
              <w:right w:val="single" w:sz="4" w:space="0" w:color="auto"/>
            </w:tcBorders>
          </w:tcPr>
          <w:p w14:paraId="17525F62" w14:textId="77777777" w:rsidR="00A052DC" w:rsidRDefault="009F0A60">
            <w:pPr>
              <w:rPr>
                <w:rFonts w:ascii="黑体" w:eastAsia="黑体" w:hAnsi="黑体"/>
                <w:sz w:val="20"/>
                <w:szCs w:val="20"/>
              </w:rPr>
            </w:pPr>
            <w:r>
              <w:rPr>
                <w:rFonts w:ascii="黑体" w:eastAsia="黑体" w:hAnsi="黑体"/>
                <w:sz w:val="20"/>
                <w:szCs w:val="20"/>
              </w:rPr>
              <w:t>ISTAXFREE</w:t>
            </w:r>
          </w:p>
        </w:tc>
        <w:tc>
          <w:tcPr>
            <w:tcW w:w="1560" w:type="dxa"/>
            <w:tcBorders>
              <w:top w:val="single" w:sz="4" w:space="0" w:color="auto"/>
              <w:left w:val="single" w:sz="4" w:space="0" w:color="auto"/>
              <w:bottom w:val="single" w:sz="4" w:space="0" w:color="auto"/>
              <w:right w:val="single" w:sz="4" w:space="0" w:color="auto"/>
            </w:tcBorders>
          </w:tcPr>
          <w:p w14:paraId="4E21F49D" w14:textId="77777777" w:rsidR="00A052DC" w:rsidRDefault="009F0A60">
            <w:pPr>
              <w:rPr>
                <w:rFonts w:ascii="黑体" w:eastAsia="黑体" w:hAnsi="黑体"/>
                <w:sz w:val="20"/>
                <w:szCs w:val="20"/>
              </w:rPr>
            </w:pPr>
            <w:r>
              <w:rPr>
                <w:rFonts w:ascii="黑体" w:eastAsia="黑体" w:hAnsi="黑体" w:hint="eastAsia"/>
                <w:sz w:val="20"/>
                <w:szCs w:val="20"/>
              </w:rPr>
              <w:t>是否特殊经济区内企业</w:t>
            </w:r>
          </w:p>
        </w:tc>
        <w:tc>
          <w:tcPr>
            <w:tcW w:w="1701" w:type="dxa"/>
            <w:tcBorders>
              <w:top w:val="single" w:sz="4" w:space="0" w:color="auto"/>
              <w:left w:val="single" w:sz="4" w:space="0" w:color="auto"/>
              <w:bottom w:val="single" w:sz="4" w:space="0" w:color="auto"/>
              <w:right w:val="single" w:sz="4" w:space="0" w:color="auto"/>
            </w:tcBorders>
          </w:tcPr>
          <w:p w14:paraId="07B205DA" w14:textId="77777777" w:rsidR="00A052DC" w:rsidRDefault="009F0A60">
            <w:pPr>
              <w:rPr>
                <w:rFonts w:ascii="黑体" w:eastAsia="黑体" w:hAnsi="黑体"/>
                <w:sz w:val="20"/>
                <w:szCs w:val="20"/>
              </w:rPr>
            </w:pPr>
            <w:r>
              <w:rPr>
                <w:rFonts w:ascii="黑体" w:eastAsia="黑体" w:hAnsi="黑体" w:hint="eastAsia"/>
                <w:sz w:val="20"/>
                <w:szCs w:val="20"/>
              </w:rPr>
              <w:t>字符型，1</w:t>
            </w:r>
          </w:p>
        </w:tc>
        <w:tc>
          <w:tcPr>
            <w:tcW w:w="3543" w:type="dxa"/>
            <w:tcBorders>
              <w:top w:val="single" w:sz="4" w:space="0" w:color="auto"/>
              <w:left w:val="single" w:sz="4" w:space="0" w:color="auto"/>
              <w:bottom w:val="single" w:sz="4" w:space="0" w:color="auto"/>
              <w:right w:val="single" w:sz="4" w:space="0" w:color="auto"/>
            </w:tcBorders>
          </w:tcPr>
          <w:p w14:paraId="5397355D" w14:textId="77777777" w:rsidR="00A052DC" w:rsidRDefault="00C40CCF">
            <w:pPr>
              <w:rPr>
                <w:rFonts w:ascii="黑体" w:eastAsia="黑体" w:hAnsi="黑体"/>
                <w:sz w:val="20"/>
                <w:szCs w:val="20"/>
              </w:rPr>
            </w:pPr>
            <w:r>
              <w:rPr>
                <w:rFonts w:ascii="黑体" w:eastAsia="黑体" w:hAnsi="黑体" w:hint="eastAsia"/>
                <w:sz w:val="20"/>
                <w:szCs w:val="20"/>
              </w:rPr>
              <w:t>必填项</w:t>
            </w:r>
            <w:r w:rsidR="009F0A60">
              <w:rPr>
                <w:rFonts w:ascii="黑体" w:eastAsia="黑体" w:hAnsi="黑体" w:hint="eastAsia"/>
                <w:sz w:val="20"/>
                <w:szCs w:val="20"/>
              </w:rPr>
              <w:t>，</w:t>
            </w:r>
          </w:p>
          <w:p w14:paraId="6AE72153" w14:textId="77777777" w:rsidR="00A052DC" w:rsidRDefault="009F0A60">
            <w:pPr>
              <w:rPr>
                <w:rFonts w:ascii="黑体" w:eastAsia="黑体" w:hAnsi="黑体"/>
                <w:sz w:val="20"/>
                <w:szCs w:val="20"/>
              </w:rPr>
            </w:pPr>
            <w:r>
              <w:rPr>
                <w:rFonts w:ascii="黑体" w:eastAsia="黑体" w:hAnsi="黑体" w:hint="eastAsia"/>
                <w:sz w:val="20"/>
                <w:szCs w:val="20"/>
              </w:rPr>
              <w:t>N-非特殊经济区内企业</w:t>
            </w:r>
          </w:p>
          <w:p w14:paraId="3FF6669D" w14:textId="77777777" w:rsidR="00A052DC" w:rsidRDefault="009F0A60">
            <w:pPr>
              <w:rPr>
                <w:rFonts w:ascii="黑体" w:eastAsia="黑体" w:hAnsi="黑体"/>
                <w:sz w:val="20"/>
                <w:szCs w:val="20"/>
              </w:rPr>
            </w:pPr>
            <w:r>
              <w:rPr>
                <w:rFonts w:ascii="黑体" w:eastAsia="黑体" w:hAnsi="黑体" w:hint="eastAsia"/>
                <w:sz w:val="20"/>
                <w:szCs w:val="20"/>
              </w:rPr>
              <w:t>Y-特殊经济区内企业</w:t>
            </w:r>
          </w:p>
        </w:tc>
      </w:tr>
      <w:tr w:rsidR="00A052DC" w14:paraId="7B1F5B22" w14:textId="77777777">
        <w:tc>
          <w:tcPr>
            <w:tcW w:w="1843" w:type="dxa"/>
            <w:tcBorders>
              <w:top w:val="single" w:sz="4" w:space="0" w:color="auto"/>
              <w:left w:val="single" w:sz="4" w:space="0" w:color="auto"/>
              <w:bottom w:val="single" w:sz="4" w:space="0" w:color="auto"/>
              <w:right w:val="single" w:sz="4" w:space="0" w:color="auto"/>
            </w:tcBorders>
          </w:tcPr>
          <w:p w14:paraId="16333E09" w14:textId="77777777" w:rsidR="00A052DC" w:rsidRDefault="009F0A60">
            <w:pPr>
              <w:rPr>
                <w:rFonts w:ascii="黑体" w:eastAsia="黑体" w:hAnsi="黑体"/>
                <w:sz w:val="20"/>
                <w:szCs w:val="20"/>
              </w:rPr>
            </w:pPr>
            <w:r>
              <w:rPr>
                <w:rFonts w:ascii="黑体" w:eastAsia="黑体" w:hAnsi="黑体"/>
                <w:sz w:val="20"/>
                <w:szCs w:val="20"/>
              </w:rPr>
              <w:t>TAXFREECODE</w:t>
            </w:r>
          </w:p>
        </w:tc>
        <w:tc>
          <w:tcPr>
            <w:tcW w:w="1560" w:type="dxa"/>
            <w:tcBorders>
              <w:top w:val="single" w:sz="4" w:space="0" w:color="auto"/>
              <w:left w:val="single" w:sz="4" w:space="0" w:color="auto"/>
              <w:bottom w:val="single" w:sz="4" w:space="0" w:color="auto"/>
              <w:right w:val="single" w:sz="4" w:space="0" w:color="auto"/>
            </w:tcBorders>
          </w:tcPr>
          <w:p w14:paraId="46DFAE05" w14:textId="77777777" w:rsidR="00A052DC" w:rsidRDefault="009F0A60">
            <w:pPr>
              <w:rPr>
                <w:rFonts w:ascii="黑体" w:eastAsia="黑体" w:hAnsi="黑体"/>
                <w:sz w:val="20"/>
                <w:szCs w:val="20"/>
              </w:rPr>
            </w:pPr>
            <w:r>
              <w:rPr>
                <w:rFonts w:ascii="黑体" w:eastAsia="黑体" w:hAnsi="黑体" w:hint="eastAsia"/>
                <w:sz w:val="20"/>
                <w:szCs w:val="20"/>
              </w:rPr>
              <w:t>特殊经济区内企业类型</w:t>
            </w:r>
          </w:p>
        </w:tc>
        <w:tc>
          <w:tcPr>
            <w:tcW w:w="1701" w:type="dxa"/>
            <w:tcBorders>
              <w:top w:val="single" w:sz="4" w:space="0" w:color="auto"/>
              <w:left w:val="single" w:sz="4" w:space="0" w:color="auto"/>
              <w:bottom w:val="single" w:sz="4" w:space="0" w:color="auto"/>
              <w:right w:val="single" w:sz="4" w:space="0" w:color="auto"/>
            </w:tcBorders>
          </w:tcPr>
          <w:p w14:paraId="0E23CBFD" w14:textId="77777777" w:rsidR="00A052DC" w:rsidRDefault="009F0A60">
            <w:pPr>
              <w:rPr>
                <w:rFonts w:ascii="黑体" w:eastAsia="黑体" w:hAnsi="黑体"/>
                <w:sz w:val="20"/>
                <w:szCs w:val="20"/>
              </w:rPr>
            </w:pPr>
            <w:r>
              <w:rPr>
                <w:rFonts w:ascii="黑体" w:eastAsia="黑体" w:hAnsi="黑体" w:hint="eastAsia"/>
                <w:sz w:val="20"/>
                <w:szCs w:val="20"/>
              </w:rPr>
              <w:t>字符型，2</w:t>
            </w:r>
          </w:p>
        </w:tc>
        <w:tc>
          <w:tcPr>
            <w:tcW w:w="3543" w:type="dxa"/>
            <w:tcBorders>
              <w:top w:val="single" w:sz="4" w:space="0" w:color="auto"/>
              <w:left w:val="single" w:sz="4" w:space="0" w:color="auto"/>
              <w:bottom w:val="single" w:sz="4" w:space="0" w:color="auto"/>
              <w:right w:val="single" w:sz="4" w:space="0" w:color="auto"/>
            </w:tcBorders>
          </w:tcPr>
          <w:p w14:paraId="0E55580B" w14:textId="77777777" w:rsidR="00A052DC" w:rsidRDefault="009F0A60">
            <w:pPr>
              <w:pStyle w:val="B"/>
              <w:wordWrap w:val="0"/>
              <w:overflowPunct w:val="0"/>
              <w:topLinePunct/>
            </w:pPr>
            <w:r>
              <w:rPr>
                <w:rFonts w:hint="eastAsia"/>
                <w:kern w:val="2"/>
                <w:sz w:val="21"/>
                <w:szCs w:val="20"/>
              </w:rPr>
              <w:t>如果“是否特殊经济区内企业”选择“否”，则本项选择“一般贸易区”或“自由贸易试验区（非特殊监管）”；如果“是否特殊经济区内企业”选择“是”，且企业为非自由贸易试验区的特殊经济区内企业，本项选择“保税区”、“出口加工区”、“保税物流中心</w:t>
            </w:r>
            <w:r>
              <w:rPr>
                <w:kern w:val="2"/>
                <w:sz w:val="21"/>
                <w:szCs w:val="20"/>
              </w:rPr>
              <w:t>B型”、“保税物流园区”、“钻石交易所”、“保税港区”、“综合保税区”、“跨境工业园区”、“保税物流中心A型”、“出口监管仓库”、“进口保税仓库”、或“其他”；如果“是否特殊经济区内企业”选择“是”，且企业为自由贸易试验区的特殊经济区内企业，本项选择“自由贸易试验区（特殊监管）”。</w:t>
            </w:r>
          </w:p>
        </w:tc>
      </w:tr>
      <w:tr w:rsidR="00A052DC" w14:paraId="5F87AF0C" w14:textId="77777777">
        <w:tc>
          <w:tcPr>
            <w:tcW w:w="1843" w:type="dxa"/>
            <w:tcBorders>
              <w:top w:val="single" w:sz="4" w:space="0" w:color="auto"/>
              <w:left w:val="single" w:sz="4" w:space="0" w:color="auto"/>
              <w:bottom w:val="single" w:sz="4" w:space="0" w:color="auto"/>
              <w:right w:val="single" w:sz="4" w:space="0" w:color="auto"/>
            </w:tcBorders>
            <w:vAlign w:val="center"/>
          </w:tcPr>
          <w:p w14:paraId="7CF82FF1" w14:textId="77777777" w:rsidR="00A052DC" w:rsidRDefault="009F0A60">
            <w:pPr>
              <w:rPr>
                <w:rFonts w:ascii="黑体" w:eastAsia="黑体" w:hAnsi="黑体"/>
                <w:sz w:val="20"/>
                <w:szCs w:val="20"/>
              </w:rPr>
            </w:pPr>
            <w:r>
              <w:rPr>
                <w:rFonts w:ascii="黑体" w:eastAsia="黑体" w:hAnsi="黑体" w:cs="宋体" w:hint="eastAsia"/>
                <w:kern w:val="0"/>
                <w:sz w:val="20"/>
                <w:szCs w:val="20"/>
              </w:rPr>
              <w:t>REGDATE</w:t>
            </w:r>
          </w:p>
        </w:tc>
        <w:tc>
          <w:tcPr>
            <w:tcW w:w="1560" w:type="dxa"/>
            <w:tcBorders>
              <w:top w:val="single" w:sz="4" w:space="0" w:color="auto"/>
              <w:left w:val="single" w:sz="4" w:space="0" w:color="auto"/>
              <w:bottom w:val="single" w:sz="4" w:space="0" w:color="auto"/>
              <w:right w:val="single" w:sz="4" w:space="0" w:color="auto"/>
            </w:tcBorders>
            <w:vAlign w:val="center"/>
          </w:tcPr>
          <w:p w14:paraId="585435D9" w14:textId="77777777" w:rsidR="00A052DC" w:rsidRDefault="009F0A60">
            <w:pPr>
              <w:rPr>
                <w:rFonts w:ascii="黑体" w:eastAsia="黑体" w:hAnsi="黑体"/>
                <w:sz w:val="20"/>
                <w:szCs w:val="20"/>
              </w:rPr>
            </w:pPr>
            <w:r>
              <w:rPr>
                <w:rFonts w:ascii="黑体" w:eastAsia="黑体" w:hAnsi="黑体" w:cs="宋体" w:hint="eastAsia"/>
                <w:kern w:val="0"/>
                <w:sz w:val="20"/>
                <w:szCs w:val="20"/>
              </w:rPr>
              <w:t>注册/开业成立日期</w:t>
            </w:r>
          </w:p>
        </w:tc>
        <w:tc>
          <w:tcPr>
            <w:tcW w:w="1701" w:type="dxa"/>
            <w:tcBorders>
              <w:top w:val="single" w:sz="4" w:space="0" w:color="auto"/>
              <w:left w:val="single" w:sz="4" w:space="0" w:color="auto"/>
              <w:bottom w:val="single" w:sz="4" w:space="0" w:color="auto"/>
              <w:right w:val="single" w:sz="4" w:space="0" w:color="auto"/>
            </w:tcBorders>
            <w:vAlign w:val="center"/>
          </w:tcPr>
          <w:p w14:paraId="31A2A511" w14:textId="77777777" w:rsidR="00A052DC" w:rsidRDefault="009F0A60">
            <w:pPr>
              <w:rPr>
                <w:rFonts w:ascii="黑体" w:eastAsia="黑体" w:hAnsi="黑体"/>
                <w:sz w:val="20"/>
                <w:szCs w:val="20"/>
              </w:rPr>
            </w:pPr>
            <w:r>
              <w:rPr>
                <w:rFonts w:ascii="黑体" w:eastAsia="黑体" w:hAnsi="黑体" w:cs="宋体" w:hint="eastAsia"/>
                <w:kern w:val="0"/>
                <w:sz w:val="20"/>
                <w:szCs w:val="20"/>
              </w:rPr>
              <w:t>字符型， 8</w:t>
            </w:r>
            <w:r>
              <w:rPr>
                <w:rFonts w:ascii="黑体" w:eastAsia="黑体" w:hAnsi="黑体" w:cs="宋体" w:hint="eastAsia"/>
                <w:kern w:val="0"/>
                <w:sz w:val="20"/>
                <w:szCs w:val="20"/>
              </w:rPr>
              <w:br/>
              <w:t>YYYYMMDD</w:t>
            </w:r>
          </w:p>
        </w:tc>
        <w:tc>
          <w:tcPr>
            <w:tcW w:w="3543" w:type="dxa"/>
            <w:tcBorders>
              <w:top w:val="single" w:sz="4" w:space="0" w:color="auto"/>
              <w:left w:val="single" w:sz="4" w:space="0" w:color="auto"/>
              <w:bottom w:val="single" w:sz="4" w:space="0" w:color="auto"/>
              <w:right w:val="single" w:sz="4" w:space="0" w:color="auto"/>
            </w:tcBorders>
            <w:vAlign w:val="center"/>
          </w:tcPr>
          <w:p w14:paraId="47A351D8" w14:textId="77777777" w:rsidR="00A052DC" w:rsidRDefault="00DD6AA3">
            <w:pPr>
              <w:rPr>
                <w:rFonts w:ascii="黑体" w:eastAsia="黑体" w:hAnsi="黑体"/>
                <w:sz w:val="20"/>
                <w:szCs w:val="20"/>
              </w:rPr>
            </w:pPr>
            <w:r>
              <w:rPr>
                <w:rFonts w:ascii="黑体" w:eastAsia="黑体" w:hAnsi="黑体" w:cs="宋体" w:hint="eastAsia"/>
                <w:kern w:val="0"/>
                <w:sz w:val="20"/>
                <w:szCs w:val="20"/>
              </w:rPr>
              <w:t>非必填项</w:t>
            </w:r>
            <w:r w:rsidR="009F0A60">
              <w:rPr>
                <w:rFonts w:ascii="黑体" w:eastAsia="黑体" w:hAnsi="黑体" w:cs="宋体" w:hint="eastAsia"/>
                <w:kern w:val="0"/>
                <w:sz w:val="20"/>
                <w:szCs w:val="20"/>
              </w:rPr>
              <w:t>，</w:t>
            </w:r>
            <w:r w:rsidR="009F0A60">
              <w:rPr>
                <w:rFonts w:ascii="黑体" w:eastAsia="黑体" w:hAnsi="黑体" w:cs="宋体" w:hint="eastAsia"/>
                <w:kern w:val="0"/>
                <w:sz w:val="20"/>
                <w:szCs w:val="20"/>
              </w:rPr>
              <w:br/>
              <w:t>指工商营业执照上的成立日期。</w:t>
            </w:r>
          </w:p>
        </w:tc>
      </w:tr>
      <w:tr w:rsidR="00A052DC" w14:paraId="083C66DF" w14:textId="77777777">
        <w:tc>
          <w:tcPr>
            <w:tcW w:w="1843" w:type="dxa"/>
            <w:tcBorders>
              <w:top w:val="single" w:sz="4" w:space="0" w:color="auto"/>
              <w:left w:val="single" w:sz="4" w:space="0" w:color="auto"/>
              <w:bottom w:val="single" w:sz="4" w:space="0" w:color="auto"/>
              <w:right w:val="single" w:sz="4" w:space="0" w:color="auto"/>
            </w:tcBorders>
            <w:vAlign w:val="center"/>
          </w:tcPr>
          <w:p w14:paraId="7353488E" w14:textId="77777777" w:rsidR="00A052DC" w:rsidRDefault="009F0A60">
            <w:pPr>
              <w:rPr>
                <w:rFonts w:ascii="黑体" w:eastAsia="黑体" w:hAnsi="黑体"/>
                <w:sz w:val="20"/>
                <w:szCs w:val="20"/>
              </w:rPr>
            </w:pPr>
            <w:r>
              <w:rPr>
                <w:rFonts w:ascii="黑体" w:eastAsia="黑体" w:hAnsi="黑体" w:cs="宋体" w:hint="eastAsia"/>
                <w:kern w:val="0"/>
                <w:sz w:val="20"/>
                <w:szCs w:val="20"/>
              </w:rPr>
              <w:t>CORLMT</w:t>
            </w:r>
          </w:p>
        </w:tc>
        <w:tc>
          <w:tcPr>
            <w:tcW w:w="1560" w:type="dxa"/>
            <w:tcBorders>
              <w:top w:val="single" w:sz="4" w:space="0" w:color="auto"/>
              <w:left w:val="single" w:sz="4" w:space="0" w:color="auto"/>
              <w:bottom w:val="single" w:sz="4" w:space="0" w:color="auto"/>
              <w:right w:val="single" w:sz="4" w:space="0" w:color="auto"/>
            </w:tcBorders>
            <w:vAlign w:val="center"/>
          </w:tcPr>
          <w:p w14:paraId="5D1370B0" w14:textId="77777777" w:rsidR="00A052DC" w:rsidRDefault="009F0A60">
            <w:pPr>
              <w:rPr>
                <w:rFonts w:ascii="黑体" w:eastAsia="黑体" w:hAnsi="黑体"/>
                <w:sz w:val="20"/>
                <w:szCs w:val="20"/>
              </w:rPr>
            </w:pPr>
            <w:r>
              <w:rPr>
                <w:rFonts w:ascii="黑体" w:eastAsia="黑体" w:hAnsi="黑体" w:cs="宋体" w:hint="eastAsia"/>
                <w:kern w:val="0"/>
                <w:sz w:val="20"/>
                <w:szCs w:val="20"/>
              </w:rPr>
              <w:t>经营期限</w:t>
            </w:r>
          </w:p>
        </w:tc>
        <w:tc>
          <w:tcPr>
            <w:tcW w:w="1701" w:type="dxa"/>
            <w:tcBorders>
              <w:top w:val="single" w:sz="4" w:space="0" w:color="auto"/>
              <w:left w:val="single" w:sz="4" w:space="0" w:color="auto"/>
              <w:bottom w:val="single" w:sz="4" w:space="0" w:color="auto"/>
              <w:right w:val="single" w:sz="4" w:space="0" w:color="auto"/>
            </w:tcBorders>
            <w:vAlign w:val="center"/>
          </w:tcPr>
          <w:p w14:paraId="4DD6E894" w14:textId="77777777" w:rsidR="00A052DC" w:rsidRDefault="009F0A60">
            <w:pPr>
              <w:rPr>
                <w:rFonts w:ascii="黑体" w:eastAsia="黑体" w:hAnsi="黑体"/>
                <w:sz w:val="20"/>
                <w:szCs w:val="20"/>
              </w:rPr>
            </w:pPr>
            <w:r>
              <w:rPr>
                <w:rFonts w:ascii="黑体" w:eastAsia="黑体" w:hAnsi="黑体" w:cs="宋体" w:hint="eastAsia"/>
                <w:kern w:val="0"/>
                <w:sz w:val="20"/>
                <w:szCs w:val="20"/>
              </w:rPr>
              <w:t>字符型，128</w:t>
            </w:r>
          </w:p>
        </w:tc>
        <w:tc>
          <w:tcPr>
            <w:tcW w:w="3543" w:type="dxa"/>
            <w:tcBorders>
              <w:top w:val="single" w:sz="4" w:space="0" w:color="auto"/>
              <w:left w:val="single" w:sz="4" w:space="0" w:color="auto"/>
              <w:bottom w:val="single" w:sz="4" w:space="0" w:color="auto"/>
              <w:right w:val="single" w:sz="4" w:space="0" w:color="auto"/>
            </w:tcBorders>
            <w:vAlign w:val="center"/>
          </w:tcPr>
          <w:p w14:paraId="48A54B09" w14:textId="77777777" w:rsidR="00A052DC" w:rsidRDefault="00DD6AA3">
            <w:pPr>
              <w:rPr>
                <w:rFonts w:ascii="黑体" w:eastAsia="黑体" w:hAnsi="黑体"/>
                <w:sz w:val="20"/>
                <w:szCs w:val="20"/>
              </w:rPr>
            </w:pPr>
            <w:r>
              <w:rPr>
                <w:rFonts w:ascii="黑体" w:eastAsia="黑体" w:hAnsi="黑体" w:cs="宋体" w:hint="eastAsia"/>
                <w:kern w:val="0"/>
                <w:sz w:val="20"/>
                <w:szCs w:val="20"/>
              </w:rPr>
              <w:t>非必填项</w:t>
            </w:r>
            <w:r w:rsidR="009F0A60">
              <w:rPr>
                <w:rFonts w:ascii="黑体" w:eastAsia="黑体" w:hAnsi="黑体" w:cs="宋体" w:hint="eastAsia"/>
                <w:kern w:val="0"/>
                <w:sz w:val="20"/>
                <w:szCs w:val="20"/>
              </w:rPr>
              <w:t>，</w:t>
            </w:r>
            <w:r w:rsidR="009F0A60">
              <w:rPr>
                <w:rFonts w:ascii="黑体" w:eastAsia="黑体" w:hAnsi="黑体" w:cs="宋体" w:hint="eastAsia"/>
                <w:kern w:val="0"/>
                <w:sz w:val="20"/>
                <w:szCs w:val="20"/>
              </w:rPr>
              <w:br/>
              <w:t>指工商营业执照上的营业期限中的截止日期。</w:t>
            </w:r>
          </w:p>
        </w:tc>
      </w:tr>
      <w:tr w:rsidR="00A052DC" w14:paraId="2040B4B4" w14:textId="77777777">
        <w:tc>
          <w:tcPr>
            <w:tcW w:w="1843" w:type="dxa"/>
            <w:tcBorders>
              <w:top w:val="single" w:sz="4" w:space="0" w:color="auto"/>
              <w:left w:val="single" w:sz="4" w:space="0" w:color="auto"/>
              <w:bottom w:val="single" w:sz="4" w:space="0" w:color="auto"/>
              <w:right w:val="single" w:sz="4" w:space="0" w:color="auto"/>
            </w:tcBorders>
            <w:vAlign w:val="center"/>
          </w:tcPr>
          <w:p w14:paraId="1043413F" w14:textId="77777777" w:rsidR="00A052DC" w:rsidRDefault="009F0A60">
            <w:pPr>
              <w:rPr>
                <w:rFonts w:ascii="黑体" w:eastAsia="黑体" w:hAnsi="黑体"/>
                <w:sz w:val="20"/>
                <w:szCs w:val="20"/>
              </w:rPr>
            </w:pPr>
            <w:r>
              <w:rPr>
                <w:rFonts w:ascii="黑体" w:eastAsia="黑体" w:hAnsi="黑体" w:cs="宋体" w:hint="eastAsia"/>
                <w:kern w:val="0"/>
                <w:sz w:val="20"/>
                <w:szCs w:val="20"/>
              </w:rPr>
              <w:t>CORSCOPE</w:t>
            </w:r>
          </w:p>
        </w:tc>
        <w:tc>
          <w:tcPr>
            <w:tcW w:w="1560" w:type="dxa"/>
            <w:tcBorders>
              <w:top w:val="single" w:sz="4" w:space="0" w:color="auto"/>
              <w:left w:val="single" w:sz="4" w:space="0" w:color="auto"/>
              <w:bottom w:val="single" w:sz="4" w:space="0" w:color="auto"/>
              <w:right w:val="single" w:sz="4" w:space="0" w:color="auto"/>
            </w:tcBorders>
            <w:vAlign w:val="center"/>
          </w:tcPr>
          <w:p w14:paraId="7F2AC541" w14:textId="77777777" w:rsidR="00A052DC" w:rsidRDefault="009F0A60">
            <w:pPr>
              <w:rPr>
                <w:rFonts w:ascii="黑体" w:eastAsia="黑体" w:hAnsi="黑体"/>
                <w:sz w:val="20"/>
                <w:szCs w:val="20"/>
              </w:rPr>
            </w:pPr>
            <w:r>
              <w:rPr>
                <w:rFonts w:ascii="黑体" w:eastAsia="黑体" w:hAnsi="黑体" w:cs="宋体" w:hint="eastAsia"/>
                <w:kern w:val="0"/>
                <w:sz w:val="20"/>
                <w:szCs w:val="20"/>
              </w:rPr>
              <w:t>经营范围</w:t>
            </w:r>
          </w:p>
        </w:tc>
        <w:tc>
          <w:tcPr>
            <w:tcW w:w="1701" w:type="dxa"/>
            <w:tcBorders>
              <w:top w:val="single" w:sz="4" w:space="0" w:color="auto"/>
              <w:left w:val="single" w:sz="4" w:space="0" w:color="auto"/>
              <w:bottom w:val="single" w:sz="4" w:space="0" w:color="auto"/>
              <w:right w:val="single" w:sz="4" w:space="0" w:color="auto"/>
            </w:tcBorders>
            <w:vAlign w:val="center"/>
          </w:tcPr>
          <w:p w14:paraId="26DE57BC" w14:textId="77777777" w:rsidR="00A052DC" w:rsidRDefault="009F0A60">
            <w:pPr>
              <w:rPr>
                <w:rFonts w:ascii="黑体" w:eastAsia="黑体" w:hAnsi="黑体"/>
                <w:sz w:val="20"/>
                <w:szCs w:val="20"/>
              </w:rPr>
            </w:pPr>
            <w:r>
              <w:rPr>
                <w:rFonts w:ascii="黑体" w:eastAsia="黑体" w:hAnsi="黑体" w:cs="宋体" w:hint="eastAsia"/>
                <w:kern w:val="0"/>
                <w:sz w:val="20"/>
                <w:szCs w:val="20"/>
              </w:rPr>
              <w:t>字符型，128</w:t>
            </w:r>
          </w:p>
        </w:tc>
        <w:tc>
          <w:tcPr>
            <w:tcW w:w="3543" w:type="dxa"/>
            <w:tcBorders>
              <w:top w:val="single" w:sz="4" w:space="0" w:color="auto"/>
              <w:left w:val="single" w:sz="4" w:space="0" w:color="auto"/>
              <w:bottom w:val="single" w:sz="4" w:space="0" w:color="auto"/>
              <w:right w:val="single" w:sz="4" w:space="0" w:color="auto"/>
            </w:tcBorders>
            <w:vAlign w:val="center"/>
          </w:tcPr>
          <w:p w14:paraId="3AD88A5C" w14:textId="77777777" w:rsidR="00A052DC" w:rsidRDefault="00DD6AA3">
            <w:pPr>
              <w:rPr>
                <w:rFonts w:ascii="黑体" w:eastAsia="黑体" w:hAnsi="黑体"/>
                <w:sz w:val="20"/>
                <w:szCs w:val="20"/>
              </w:rPr>
            </w:pPr>
            <w:r>
              <w:rPr>
                <w:rFonts w:ascii="黑体" w:eastAsia="黑体" w:hAnsi="黑体" w:cs="宋体" w:hint="eastAsia"/>
                <w:kern w:val="0"/>
                <w:sz w:val="20"/>
                <w:szCs w:val="20"/>
              </w:rPr>
              <w:t>非必填项</w:t>
            </w:r>
            <w:r w:rsidR="009F0A60">
              <w:rPr>
                <w:rFonts w:ascii="黑体" w:eastAsia="黑体" w:hAnsi="黑体" w:cs="宋体" w:hint="eastAsia"/>
                <w:kern w:val="0"/>
                <w:sz w:val="20"/>
                <w:szCs w:val="20"/>
              </w:rPr>
              <w:t>，</w:t>
            </w:r>
            <w:r w:rsidR="009F0A60">
              <w:rPr>
                <w:rFonts w:ascii="黑体" w:eastAsia="黑体" w:hAnsi="黑体" w:cs="宋体" w:hint="eastAsia"/>
                <w:kern w:val="0"/>
                <w:sz w:val="20"/>
                <w:szCs w:val="20"/>
              </w:rPr>
              <w:br/>
              <w:t>指工商营业执照上的营业期限中的经营范围。</w:t>
            </w:r>
          </w:p>
        </w:tc>
      </w:tr>
      <w:tr w:rsidR="00A052DC" w14:paraId="607205DB" w14:textId="77777777">
        <w:tc>
          <w:tcPr>
            <w:tcW w:w="1843" w:type="dxa"/>
            <w:tcBorders>
              <w:top w:val="single" w:sz="4" w:space="0" w:color="auto"/>
              <w:left w:val="single" w:sz="4" w:space="0" w:color="auto"/>
              <w:bottom w:val="single" w:sz="4" w:space="0" w:color="auto"/>
              <w:right w:val="single" w:sz="4" w:space="0" w:color="auto"/>
            </w:tcBorders>
            <w:vAlign w:val="center"/>
          </w:tcPr>
          <w:p w14:paraId="6D612997" w14:textId="77777777" w:rsidR="00A052DC" w:rsidRDefault="009F0A60">
            <w:pPr>
              <w:rPr>
                <w:rFonts w:ascii="黑体" w:eastAsia="黑体" w:hAnsi="黑体"/>
                <w:sz w:val="20"/>
                <w:szCs w:val="20"/>
              </w:rPr>
            </w:pPr>
            <w:r>
              <w:rPr>
                <w:rFonts w:ascii="黑体" w:eastAsia="黑体" w:hAnsi="黑体" w:cs="宋体" w:hint="eastAsia"/>
                <w:kern w:val="0"/>
                <w:sz w:val="20"/>
                <w:szCs w:val="20"/>
              </w:rPr>
              <w:t>INCORPORATOR</w:t>
            </w:r>
          </w:p>
        </w:tc>
        <w:tc>
          <w:tcPr>
            <w:tcW w:w="1560" w:type="dxa"/>
            <w:tcBorders>
              <w:top w:val="single" w:sz="4" w:space="0" w:color="auto"/>
              <w:left w:val="single" w:sz="4" w:space="0" w:color="auto"/>
              <w:bottom w:val="single" w:sz="4" w:space="0" w:color="auto"/>
              <w:right w:val="single" w:sz="4" w:space="0" w:color="auto"/>
            </w:tcBorders>
            <w:vAlign w:val="center"/>
          </w:tcPr>
          <w:p w14:paraId="43857BA5" w14:textId="77777777" w:rsidR="00A052DC" w:rsidRDefault="009F0A60">
            <w:pPr>
              <w:rPr>
                <w:rFonts w:ascii="黑体" w:eastAsia="黑体" w:hAnsi="黑体"/>
                <w:sz w:val="20"/>
                <w:szCs w:val="20"/>
              </w:rPr>
            </w:pPr>
            <w:r>
              <w:rPr>
                <w:rFonts w:ascii="黑体" w:eastAsia="黑体" w:hAnsi="黑体" w:cs="宋体" w:hint="eastAsia"/>
                <w:kern w:val="0"/>
                <w:sz w:val="20"/>
                <w:szCs w:val="20"/>
              </w:rPr>
              <w:t>法定代表人</w:t>
            </w:r>
          </w:p>
        </w:tc>
        <w:tc>
          <w:tcPr>
            <w:tcW w:w="1701" w:type="dxa"/>
            <w:tcBorders>
              <w:top w:val="single" w:sz="4" w:space="0" w:color="auto"/>
              <w:left w:val="single" w:sz="4" w:space="0" w:color="auto"/>
              <w:bottom w:val="single" w:sz="4" w:space="0" w:color="auto"/>
              <w:right w:val="single" w:sz="4" w:space="0" w:color="auto"/>
            </w:tcBorders>
            <w:vAlign w:val="center"/>
          </w:tcPr>
          <w:p w14:paraId="72E53118" w14:textId="77777777" w:rsidR="00A052DC" w:rsidRDefault="009F0A60">
            <w:pPr>
              <w:rPr>
                <w:rFonts w:ascii="黑体" w:eastAsia="黑体" w:hAnsi="黑体"/>
                <w:sz w:val="20"/>
                <w:szCs w:val="20"/>
              </w:rPr>
            </w:pPr>
            <w:r>
              <w:rPr>
                <w:rFonts w:ascii="黑体" w:eastAsia="黑体" w:hAnsi="黑体" w:cs="宋体" w:hint="eastAsia"/>
                <w:kern w:val="0"/>
                <w:sz w:val="20"/>
                <w:szCs w:val="20"/>
              </w:rPr>
              <w:t>字符型，30</w:t>
            </w:r>
          </w:p>
        </w:tc>
        <w:tc>
          <w:tcPr>
            <w:tcW w:w="3543" w:type="dxa"/>
            <w:tcBorders>
              <w:top w:val="single" w:sz="4" w:space="0" w:color="auto"/>
              <w:left w:val="single" w:sz="4" w:space="0" w:color="auto"/>
              <w:bottom w:val="single" w:sz="4" w:space="0" w:color="auto"/>
              <w:right w:val="single" w:sz="4" w:space="0" w:color="auto"/>
            </w:tcBorders>
            <w:vAlign w:val="center"/>
          </w:tcPr>
          <w:p w14:paraId="5D9962D9" w14:textId="77777777" w:rsidR="00A052DC" w:rsidRDefault="009F0A60">
            <w:pPr>
              <w:rPr>
                <w:rFonts w:ascii="黑体" w:eastAsia="黑体" w:hAnsi="黑体"/>
                <w:sz w:val="20"/>
                <w:szCs w:val="20"/>
              </w:rPr>
            </w:pPr>
            <w:r>
              <w:rPr>
                <w:rFonts w:ascii="黑体" w:eastAsia="黑体" w:hAnsi="黑体" w:cs="宋体" w:hint="eastAsia"/>
                <w:kern w:val="0"/>
                <w:sz w:val="20"/>
                <w:szCs w:val="20"/>
              </w:rPr>
              <w:t>非</w:t>
            </w:r>
            <w:r w:rsidR="00C40CCF">
              <w:rPr>
                <w:rFonts w:ascii="黑体" w:eastAsia="黑体" w:hAnsi="黑体" w:cs="宋体" w:hint="eastAsia"/>
                <w:kern w:val="0"/>
                <w:sz w:val="20"/>
                <w:szCs w:val="20"/>
              </w:rPr>
              <w:t>必填项</w:t>
            </w:r>
            <w:r>
              <w:rPr>
                <w:rFonts w:ascii="黑体" w:eastAsia="黑体" w:hAnsi="黑体" w:cs="宋体" w:hint="eastAsia"/>
                <w:kern w:val="0"/>
                <w:sz w:val="20"/>
                <w:szCs w:val="20"/>
              </w:rPr>
              <w:t>，</w:t>
            </w:r>
            <w:r>
              <w:rPr>
                <w:rFonts w:ascii="黑体" w:eastAsia="黑体" w:hAnsi="黑体" w:cs="宋体" w:hint="eastAsia"/>
                <w:kern w:val="0"/>
                <w:sz w:val="20"/>
                <w:szCs w:val="20"/>
              </w:rPr>
              <w:br/>
              <w:t>指工商营业执照上的法定代表人。</w:t>
            </w:r>
          </w:p>
        </w:tc>
      </w:tr>
      <w:tr w:rsidR="00A052DC" w14:paraId="50B37BC6" w14:textId="77777777">
        <w:tc>
          <w:tcPr>
            <w:tcW w:w="1843" w:type="dxa"/>
            <w:tcBorders>
              <w:top w:val="single" w:sz="4" w:space="0" w:color="auto"/>
              <w:left w:val="single" w:sz="4" w:space="0" w:color="auto"/>
              <w:bottom w:val="single" w:sz="4" w:space="0" w:color="auto"/>
              <w:right w:val="single" w:sz="4" w:space="0" w:color="auto"/>
            </w:tcBorders>
            <w:vAlign w:val="center"/>
          </w:tcPr>
          <w:p w14:paraId="11579966" w14:textId="77777777" w:rsidR="00A052DC" w:rsidRDefault="009F0A60">
            <w:pPr>
              <w:rPr>
                <w:rFonts w:ascii="黑体" w:eastAsia="黑体" w:hAnsi="黑体"/>
                <w:sz w:val="20"/>
                <w:szCs w:val="20"/>
              </w:rPr>
            </w:pPr>
            <w:r>
              <w:rPr>
                <w:rFonts w:ascii="黑体" w:eastAsia="黑体" w:hAnsi="黑体" w:cs="宋体" w:hint="eastAsia"/>
                <w:kern w:val="0"/>
                <w:sz w:val="20"/>
                <w:szCs w:val="20"/>
              </w:rPr>
              <w:t>INCORPORATORIDCODE</w:t>
            </w:r>
          </w:p>
        </w:tc>
        <w:tc>
          <w:tcPr>
            <w:tcW w:w="1560" w:type="dxa"/>
            <w:tcBorders>
              <w:top w:val="single" w:sz="4" w:space="0" w:color="auto"/>
              <w:left w:val="single" w:sz="4" w:space="0" w:color="auto"/>
              <w:bottom w:val="single" w:sz="4" w:space="0" w:color="auto"/>
              <w:right w:val="single" w:sz="4" w:space="0" w:color="auto"/>
            </w:tcBorders>
            <w:vAlign w:val="center"/>
          </w:tcPr>
          <w:p w14:paraId="68A494AD" w14:textId="77777777" w:rsidR="00A052DC" w:rsidRDefault="009F0A60">
            <w:pPr>
              <w:rPr>
                <w:rFonts w:ascii="黑体" w:eastAsia="黑体" w:hAnsi="黑体"/>
                <w:sz w:val="20"/>
                <w:szCs w:val="20"/>
              </w:rPr>
            </w:pPr>
            <w:r>
              <w:rPr>
                <w:rFonts w:ascii="黑体" w:eastAsia="黑体" w:hAnsi="黑体" w:cs="宋体" w:hint="eastAsia"/>
                <w:kern w:val="0"/>
                <w:sz w:val="20"/>
                <w:szCs w:val="20"/>
              </w:rPr>
              <w:t>法定代表人身份证件号码</w:t>
            </w:r>
          </w:p>
        </w:tc>
        <w:tc>
          <w:tcPr>
            <w:tcW w:w="1701" w:type="dxa"/>
            <w:tcBorders>
              <w:top w:val="single" w:sz="4" w:space="0" w:color="auto"/>
              <w:left w:val="single" w:sz="4" w:space="0" w:color="auto"/>
              <w:bottom w:val="single" w:sz="4" w:space="0" w:color="auto"/>
              <w:right w:val="single" w:sz="4" w:space="0" w:color="auto"/>
            </w:tcBorders>
            <w:vAlign w:val="center"/>
          </w:tcPr>
          <w:p w14:paraId="0CE89AA6" w14:textId="77777777" w:rsidR="00A052DC" w:rsidRDefault="009F0A60">
            <w:pPr>
              <w:rPr>
                <w:rFonts w:ascii="黑体" w:eastAsia="黑体" w:hAnsi="黑体"/>
                <w:sz w:val="20"/>
                <w:szCs w:val="20"/>
              </w:rPr>
            </w:pPr>
            <w:r>
              <w:rPr>
                <w:rFonts w:ascii="黑体" w:eastAsia="黑体" w:hAnsi="黑体" w:cs="宋体" w:hint="eastAsia"/>
                <w:kern w:val="0"/>
                <w:sz w:val="20"/>
                <w:szCs w:val="20"/>
              </w:rPr>
              <w:t>字符型，18</w:t>
            </w:r>
          </w:p>
        </w:tc>
        <w:tc>
          <w:tcPr>
            <w:tcW w:w="3543" w:type="dxa"/>
            <w:tcBorders>
              <w:top w:val="single" w:sz="4" w:space="0" w:color="auto"/>
              <w:left w:val="single" w:sz="4" w:space="0" w:color="auto"/>
              <w:bottom w:val="single" w:sz="4" w:space="0" w:color="auto"/>
              <w:right w:val="single" w:sz="4" w:space="0" w:color="auto"/>
            </w:tcBorders>
            <w:vAlign w:val="center"/>
          </w:tcPr>
          <w:p w14:paraId="52819810" w14:textId="77777777" w:rsidR="00A052DC" w:rsidRDefault="00DD6AA3">
            <w:pPr>
              <w:rPr>
                <w:rFonts w:ascii="黑体" w:eastAsia="黑体" w:hAnsi="黑体"/>
                <w:sz w:val="20"/>
                <w:szCs w:val="20"/>
              </w:rPr>
            </w:pPr>
            <w:r>
              <w:rPr>
                <w:rFonts w:ascii="黑体" w:eastAsia="黑体" w:hAnsi="黑体" w:cs="宋体" w:hint="eastAsia"/>
                <w:kern w:val="0"/>
                <w:sz w:val="20"/>
                <w:szCs w:val="20"/>
              </w:rPr>
              <w:t>非必填项</w:t>
            </w:r>
            <w:r w:rsidR="009F0A60">
              <w:rPr>
                <w:rFonts w:ascii="黑体" w:eastAsia="黑体" w:hAnsi="黑体" w:cs="宋体" w:hint="eastAsia"/>
                <w:kern w:val="0"/>
                <w:sz w:val="20"/>
                <w:szCs w:val="20"/>
              </w:rPr>
              <w:t>，</w:t>
            </w:r>
            <w:r w:rsidR="009F0A60">
              <w:rPr>
                <w:rFonts w:ascii="黑体" w:eastAsia="黑体" w:hAnsi="黑体" w:cs="宋体" w:hint="eastAsia"/>
                <w:kern w:val="0"/>
                <w:sz w:val="20"/>
                <w:szCs w:val="20"/>
              </w:rPr>
              <w:br/>
              <w:t>法定代表人的身份证、护照、港澳居民来往内地通行证、台湾居民来往大陆通行证等有效身份证件的号码，使用身份证的需符合身份证号码校验。</w:t>
            </w:r>
          </w:p>
        </w:tc>
      </w:tr>
      <w:tr w:rsidR="00A052DC" w14:paraId="27DD9E56" w14:textId="77777777">
        <w:tc>
          <w:tcPr>
            <w:tcW w:w="1843" w:type="dxa"/>
            <w:tcBorders>
              <w:top w:val="single" w:sz="4" w:space="0" w:color="auto"/>
              <w:left w:val="single" w:sz="4" w:space="0" w:color="auto"/>
              <w:bottom w:val="single" w:sz="4" w:space="0" w:color="auto"/>
              <w:right w:val="single" w:sz="4" w:space="0" w:color="auto"/>
            </w:tcBorders>
            <w:vAlign w:val="center"/>
          </w:tcPr>
          <w:p w14:paraId="10A02C3B" w14:textId="77777777" w:rsidR="00A052DC" w:rsidRDefault="009F0A60">
            <w:pPr>
              <w:rPr>
                <w:rFonts w:ascii="黑体" w:eastAsia="黑体" w:hAnsi="黑体"/>
                <w:sz w:val="20"/>
                <w:szCs w:val="20"/>
              </w:rPr>
            </w:pPr>
            <w:r>
              <w:rPr>
                <w:rFonts w:ascii="黑体" w:eastAsia="黑体" w:hAnsi="黑体" w:cs="宋体" w:hint="eastAsia"/>
                <w:kern w:val="0"/>
                <w:sz w:val="20"/>
                <w:szCs w:val="20"/>
              </w:rPr>
              <w:t>CUSTCONTACT</w:t>
            </w:r>
          </w:p>
        </w:tc>
        <w:tc>
          <w:tcPr>
            <w:tcW w:w="1560" w:type="dxa"/>
            <w:tcBorders>
              <w:top w:val="single" w:sz="4" w:space="0" w:color="auto"/>
              <w:left w:val="single" w:sz="4" w:space="0" w:color="auto"/>
              <w:bottom w:val="single" w:sz="4" w:space="0" w:color="auto"/>
              <w:right w:val="single" w:sz="4" w:space="0" w:color="auto"/>
            </w:tcBorders>
            <w:vAlign w:val="center"/>
          </w:tcPr>
          <w:p w14:paraId="6BCD89FB" w14:textId="77777777" w:rsidR="00A052DC" w:rsidRDefault="009F0A60">
            <w:pPr>
              <w:rPr>
                <w:rFonts w:ascii="黑体" w:eastAsia="黑体" w:hAnsi="黑体"/>
                <w:sz w:val="20"/>
                <w:szCs w:val="20"/>
              </w:rPr>
            </w:pPr>
            <w:r>
              <w:rPr>
                <w:rFonts w:ascii="黑体" w:eastAsia="黑体" w:hAnsi="黑体" w:cs="宋体" w:hint="eastAsia"/>
                <w:kern w:val="0"/>
                <w:sz w:val="20"/>
                <w:szCs w:val="20"/>
              </w:rPr>
              <w:t>联系人姓名</w:t>
            </w:r>
          </w:p>
        </w:tc>
        <w:tc>
          <w:tcPr>
            <w:tcW w:w="1701" w:type="dxa"/>
            <w:tcBorders>
              <w:top w:val="single" w:sz="4" w:space="0" w:color="auto"/>
              <w:left w:val="single" w:sz="4" w:space="0" w:color="auto"/>
              <w:bottom w:val="single" w:sz="4" w:space="0" w:color="auto"/>
              <w:right w:val="single" w:sz="4" w:space="0" w:color="auto"/>
            </w:tcBorders>
            <w:vAlign w:val="center"/>
          </w:tcPr>
          <w:p w14:paraId="47334504" w14:textId="77777777" w:rsidR="00A052DC" w:rsidRDefault="009F0A60">
            <w:pPr>
              <w:rPr>
                <w:rFonts w:ascii="黑体" w:eastAsia="黑体" w:hAnsi="黑体"/>
                <w:sz w:val="20"/>
                <w:szCs w:val="20"/>
              </w:rPr>
            </w:pPr>
            <w:r>
              <w:rPr>
                <w:rFonts w:ascii="黑体" w:eastAsia="黑体" w:hAnsi="黑体" w:cs="宋体" w:hint="eastAsia"/>
                <w:kern w:val="0"/>
                <w:sz w:val="20"/>
                <w:szCs w:val="20"/>
              </w:rPr>
              <w:t>字符型，128</w:t>
            </w:r>
          </w:p>
        </w:tc>
        <w:tc>
          <w:tcPr>
            <w:tcW w:w="3543" w:type="dxa"/>
            <w:tcBorders>
              <w:top w:val="single" w:sz="4" w:space="0" w:color="auto"/>
              <w:left w:val="single" w:sz="4" w:space="0" w:color="auto"/>
              <w:bottom w:val="single" w:sz="4" w:space="0" w:color="auto"/>
              <w:right w:val="single" w:sz="4" w:space="0" w:color="auto"/>
            </w:tcBorders>
            <w:vAlign w:val="center"/>
          </w:tcPr>
          <w:p w14:paraId="14EB7469" w14:textId="77777777" w:rsidR="00A052DC" w:rsidRDefault="00DD6AA3">
            <w:pPr>
              <w:rPr>
                <w:rFonts w:ascii="黑体" w:eastAsia="黑体" w:hAnsi="黑体"/>
                <w:sz w:val="20"/>
                <w:szCs w:val="20"/>
              </w:rPr>
            </w:pPr>
            <w:r>
              <w:rPr>
                <w:rFonts w:ascii="黑体" w:eastAsia="黑体" w:hAnsi="黑体" w:cs="宋体" w:hint="eastAsia"/>
                <w:kern w:val="0"/>
                <w:sz w:val="20"/>
                <w:szCs w:val="20"/>
              </w:rPr>
              <w:t>非必填项</w:t>
            </w:r>
            <w:r w:rsidR="009F0A60">
              <w:rPr>
                <w:rFonts w:ascii="黑体" w:eastAsia="黑体" w:hAnsi="黑体" w:cs="宋体" w:hint="eastAsia"/>
                <w:kern w:val="0"/>
                <w:sz w:val="20"/>
                <w:szCs w:val="20"/>
              </w:rPr>
              <w:t>，</w:t>
            </w:r>
            <w:r w:rsidR="009F0A60">
              <w:rPr>
                <w:rFonts w:ascii="黑体" w:eastAsia="黑体" w:hAnsi="黑体" w:cs="宋体" w:hint="eastAsia"/>
                <w:kern w:val="0"/>
                <w:sz w:val="20"/>
                <w:szCs w:val="20"/>
              </w:rPr>
              <w:br/>
              <w:t>多个联系人时，可用逗号分隔。</w:t>
            </w:r>
          </w:p>
        </w:tc>
      </w:tr>
      <w:tr w:rsidR="00A052DC" w14:paraId="2417C2D4" w14:textId="77777777">
        <w:tc>
          <w:tcPr>
            <w:tcW w:w="1843" w:type="dxa"/>
            <w:tcBorders>
              <w:top w:val="single" w:sz="4" w:space="0" w:color="auto"/>
              <w:left w:val="single" w:sz="4" w:space="0" w:color="auto"/>
              <w:bottom w:val="single" w:sz="4" w:space="0" w:color="auto"/>
              <w:right w:val="single" w:sz="4" w:space="0" w:color="auto"/>
            </w:tcBorders>
            <w:vAlign w:val="center"/>
          </w:tcPr>
          <w:p w14:paraId="7C1019F0" w14:textId="77777777" w:rsidR="00A052DC" w:rsidRDefault="009F0A60">
            <w:pPr>
              <w:rPr>
                <w:rFonts w:ascii="黑体" w:eastAsia="黑体" w:hAnsi="黑体"/>
                <w:sz w:val="20"/>
                <w:szCs w:val="20"/>
              </w:rPr>
            </w:pPr>
            <w:r>
              <w:rPr>
                <w:rFonts w:ascii="黑体" w:eastAsia="黑体" w:hAnsi="黑体" w:cs="宋体" w:hint="eastAsia"/>
                <w:kern w:val="0"/>
                <w:sz w:val="20"/>
                <w:szCs w:val="20"/>
              </w:rPr>
              <w:t>CUSTTEL</w:t>
            </w:r>
          </w:p>
        </w:tc>
        <w:tc>
          <w:tcPr>
            <w:tcW w:w="1560" w:type="dxa"/>
            <w:tcBorders>
              <w:top w:val="single" w:sz="4" w:space="0" w:color="auto"/>
              <w:left w:val="single" w:sz="4" w:space="0" w:color="auto"/>
              <w:bottom w:val="single" w:sz="4" w:space="0" w:color="auto"/>
              <w:right w:val="single" w:sz="4" w:space="0" w:color="auto"/>
            </w:tcBorders>
            <w:vAlign w:val="center"/>
          </w:tcPr>
          <w:p w14:paraId="10BFFE15" w14:textId="77777777" w:rsidR="00A052DC" w:rsidRDefault="009F0A60">
            <w:pPr>
              <w:rPr>
                <w:rFonts w:ascii="黑体" w:eastAsia="黑体" w:hAnsi="黑体"/>
                <w:sz w:val="20"/>
                <w:szCs w:val="20"/>
              </w:rPr>
            </w:pPr>
            <w:r>
              <w:rPr>
                <w:rFonts w:ascii="黑体" w:eastAsia="黑体" w:hAnsi="黑体" w:cs="宋体" w:hint="eastAsia"/>
                <w:kern w:val="0"/>
                <w:sz w:val="20"/>
                <w:szCs w:val="20"/>
              </w:rPr>
              <w:t>联系电话</w:t>
            </w:r>
          </w:p>
        </w:tc>
        <w:tc>
          <w:tcPr>
            <w:tcW w:w="1701" w:type="dxa"/>
            <w:tcBorders>
              <w:top w:val="single" w:sz="4" w:space="0" w:color="auto"/>
              <w:left w:val="single" w:sz="4" w:space="0" w:color="auto"/>
              <w:bottom w:val="single" w:sz="4" w:space="0" w:color="auto"/>
              <w:right w:val="single" w:sz="4" w:space="0" w:color="auto"/>
            </w:tcBorders>
            <w:vAlign w:val="center"/>
          </w:tcPr>
          <w:p w14:paraId="308322B4" w14:textId="77777777" w:rsidR="00A052DC" w:rsidRDefault="009F0A60">
            <w:pPr>
              <w:rPr>
                <w:rFonts w:ascii="黑体" w:eastAsia="黑体" w:hAnsi="黑体"/>
                <w:sz w:val="20"/>
                <w:szCs w:val="20"/>
              </w:rPr>
            </w:pPr>
            <w:r>
              <w:rPr>
                <w:rFonts w:ascii="黑体" w:eastAsia="黑体" w:hAnsi="黑体" w:cs="宋体" w:hint="eastAsia"/>
                <w:kern w:val="0"/>
                <w:sz w:val="20"/>
                <w:szCs w:val="20"/>
              </w:rPr>
              <w:t>字符型，128</w:t>
            </w:r>
          </w:p>
        </w:tc>
        <w:tc>
          <w:tcPr>
            <w:tcW w:w="3543" w:type="dxa"/>
            <w:tcBorders>
              <w:top w:val="single" w:sz="4" w:space="0" w:color="auto"/>
              <w:left w:val="single" w:sz="4" w:space="0" w:color="auto"/>
              <w:bottom w:val="single" w:sz="4" w:space="0" w:color="auto"/>
              <w:right w:val="single" w:sz="4" w:space="0" w:color="auto"/>
            </w:tcBorders>
            <w:vAlign w:val="center"/>
          </w:tcPr>
          <w:p w14:paraId="31D71A46" w14:textId="77777777" w:rsidR="00A052DC" w:rsidRDefault="00DD6AA3">
            <w:pPr>
              <w:rPr>
                <w:rFonts w:ascii="黑体" w:eastAsia="黑体" w:hAnsi="黑体"/>
                <w:sz w:val="20"/>
                <w:szCs w:val="20"/>
              </w:rPr>
            </w:pPr>
            <w:r>
              <w:rPr>
                <w:rFonts w:ascii="黑体" w:eastAsia="黑体" w:hAnsi="黑体" w:cs="宋体" w:hint="eastAsia"/>
                <w:kern w:val="0"/>
                <w:sz w:val="20"/>
                <w:szCs w:val="20"/>
              </w:rPr>
              <w:t>非必填项</w:t>
            </w:r>
            <w:r w:rsidR="009F0A60">
              <w:rPr>
                <w:rFonts w:ascii="黑体" w:eastAsia="黑体" w:hAnsi="黑体" w:cs="宋体" w:hint="eastAsia"/>
                <w:kern w:val="0"/>
                <w:sz w:val="20"/>
                <w:szCs w:val="20"/>
              </w:rPr>
              <w:t>，</w:t>
            </w:r>
            <w:r w:rsidR="009F0A60">
              <w:rPr>
                <w:rFonts w:ascii="黑体" w:eastAsia="黑体" w:hAnsi="黑体" w:cs="宋体" w:hint="eastAsia"/>
                <w:kern w:val="0"/>
                <w:sz w:val="20"/>
                <w:szCs w:val="20"/>
              </w:rPr>
              <w:br/>
              <w:t>多个联系电话时，可用逗号分隔。</w:t>
            </w:r>
          </w:p>
        </w:tc>
      </w:tr>
      <w:tr w:rsidR="00A052DC" w14:paraId="3EBB7BEE" w14:textId="77777777">
        <w:tc>
          <w:tcPr>
            <w:tcW w:w="1843" w:type="dxa"/>
            <w:tcBorders>
              <w:top w:val="single" w:sz="4" w:space="0" w:color="auto"/>
              <w:left w:val="single" w:sz="4" w:space="0" w:color="auto"/>
              <w:bottom w:val="single" w:sz="4" w:space="0" w:color="auto"/>
              <w:right w:val="single" w:sz="4" w:space="0" w:color="auto"/>
            </w:tcBorders>
            <w:vAlign w:val="center"/>
          </w:tcPr>
          <w:p w14:paraId="3E99F8DC" w14:textId="77777777" w:rsidR="00A052DC" w:rsidRDefault="009F0A60">
            <w:pPr>
              <w:rPr>
                <w:rFonts w:ascii="黑体" w:eastAsia="黑体" w:hAnsi="黑体"/>
                <w:sz w:val="20"/>
                <w:szCs w:val="20"/>
              </w:rPr>
            </w:pPr>
            <w:r>
              <w:rPr>
                <w:rFonts w:ascii="黑体" w:eastAsia="黑体" w:hAnsi="黑体" w:cs="宋体" w:hint="eastAsia"/>
                <w:kern w:val="0"/>
                <w:sz w:val="20"/>
                <w:szCs w:val="20"/>
              </w:rPr>
              <w:t>CUSTFAX</w:t>
            </w:r>
          </w:p>
        </w:tc>
        <w:tc>
          <w:tcPr>
            <w:tcW w:w="1560" w:type="dxa"/>
            <w:tcBorders>
              <w:top w:val="single" w:sz="4" w:space="0" w:color="auto"/>
              <w:left w:val="single" w:sz="4" w:space="0" w:color="auto"/>
              <w:bottom w:val="single" w:sz="4" w:space="0" w:color="auto"/>
              <w:right w:val="single" w:sz="4" w:space="0" w:color="auto"/>
            </w:tcBorders>
            <w:vAlign w:val="center"/>
          </w:tcPr>
          <w:p w14:paraId="33ECF274" w14:textId="77777777" w:rsidR="00A052DC" w:rsidRDefault="009F0A60">
            <w:pPr>
              <w:rPr>
                <w:rFonts w:ascii="黑体" w:eastAsia="黑体" w:hAnsi="黑体"/>
                <w:sz w:val="20"/>
                <w:szCs w:val="20"/>
              </w:rPr>
            </w:pPr>
            <w:r>
              <w:rPr>
                <w:rFonts w:ascii="黑体" w:eastAsia="黑体" w:hAnsi="黑体" w:cs="宋体" w:hint="eastAsia"/>
                <w:kern w:val="0"/>
                <w:sz w:val="20"/>
                <w:szCs w:val="20"/>
              </w:rPr>
              <w:t>传真</w:t>
            </w:r>
          </w:p>
        </w:tc>
        <w:tc>
          <w:tcPr>
            <w:tcW w:w="1701" w:type="dxa"/>
            <w:tcBorders>
              <w:top w:val="single" w:sz="4" w:space="0" w:color="auto"/>
              <w:left w:val="single" w:sz="4" w:space="0" w:color="auto"/>
              <w:bottom w:val="single" w:sz="4" w:space="0" w:color="auto"/>
              <w:right w:val="single" w:sz="4" w:space="0" w:color="auto"/>
            </w:tcBorders>
            <w:vAlign w:val="center"/>
          </w:tcPr>
          <w:p w14:paraId="241E2083" w14:textId="77777777" w:rsidR="00A052DC" w:rsidRDefault="009F0A60">
            <w:pPr>
              <w:rPr>
                <w:rFonts w:ascii="黑体" w:eastAsia="黑体" w:hAnsi="黑体"/>
                <w:sz w:val="20"/>
                <w:szCs w:val="20"/>
              </w:rPr>
            </w:pPr>
            <w:r>
              <w:rPr>
                <w:rFonts w:ascii="黑体" w:eastAsia="黑体" w:hAnsi="黑体" w:cs="宋体" w:hint="eastAsia"/>
                <w:kern w:val="0"/>
                <w:sz w:val="20"/>
                <w:szCs w:val="20"/>
              </w:rPr>
              <w:t>字符型，128</w:t>
            </w:r>
          </w:p>
        </w:tc>
        <w:tc>
          <w:tcPr>
            <w:tcW w:w="3543" w:type="dxa"/>
            <w:tcBorders>
              <w:top w:val="single" w:sz="4" w:space="0" w:color="auto"/>
              <w:left w:val="single" w:sz="4" w:space="0" w:color="auto"/>
              <w:bottom w:val="single" w:sz="4" w:space="0" w:color="auto"/>
              <w:right w:val="single" w:sz="4" w:space="0" w:color="auto"/>
            </w:tcBorders>
            <w:vAlign w:val="center"/>
          </w:tcPr>
          <w:p w14:paraId="32D2094C" w14:textId="77777777" w:rsidR="00A052DC" w:rsidRDefault="00DD6AA3">
            <w:pPr>
              <w:rPr>
                <w:rFonts w:ascii="黑体" w:eastAsia="黑体" w:hAnsi="黑体"/>
                <w:sz w:val="20"/>
                <w:szCs w:val="20"/>
              </w:rPr>
            </w:pPr>
            <w:r>
              <w:rPr>
                <w:rFonts w:ascii="黑体" w:eastAsia="黑体" w:hAnsi="黑体" w:cs="宋体" w:hint="eastAsia"/>
                <w:kern w:val="0"/>
                <w:sz w:val="20"/>
                <w:szCs w:val="20"/>
              </w:rPr>
              <w:t>非必填项</w:t>
            </w:r>
            <w:r w:rsidR="009F0A60">
              <w:rPr>
                <w:rFonts w:ascii="黑体" w:eastAsia="黑体" w:hAnsi="黑体" w:cs="宋体" w:hint="eastAsia"/>
                <w:kern w:val="0"/>
                <w:sz w:val="20"/>
                <w:szCs w:val="20"/>
              </w:rPr>
              <w:t>，</w:t>
            </w:r>
            <w:r w:rsidR="009F0A60">
              <w:rPr>
                <w:rFonts w:ascii="黑体" w:eastAsia="黑体" w:hAnsi="黑体" w:cs="宋体" w:hint="eastAsia"/>
                <w:kern w:val="0"/>
                <w:sz w:val="20"/>
                <w:szCs w:val="20"/>
              </w:rPr>
              <w:br/>
              <w:t>多个传真时，可用逗号分隔。</w:t>
            </w:r>
          </w:p>
        </w:tc>
      </w:tr>
      <w:tr w:rsidR="00A052DC" w14:paraId="6729709B" w14:textId="77777777">
        <w:tc>
          <w:tcPr>
            <w:tcW w:w="1843" w:type="dxa"/>
            <w:tcBorders>
              <w:top w:val="single" w:sz="4" w:space="0" w:color="auto"/>
              <w:left w:val="single" w:sz="4" w:space="0" w:color="auto"/>
              <w:bottom w:val="single" w:sz="4" w:space="0" w:color="auto"/>
              <w:right w:val="single" w:sz="4" w:space="0" w:color="auto"/>
            </w:tcBorders>
            <w:vAlign w:val="center"/>
          </w:tcPr>
          <w:p w14:paraId="398E32B4" w14:textId="77777777" w:rsidR="00A052DC" w:rsidRDefault="009F0A60">
            <w:pPr>
              <w:rPr>
                <w:rFonts w:ascii="黑体" w:eastAsia="黑体" w:hAnsi="黑体"/>
                <w:sz w:val="20"/>
                <w:szCs w:val="20"/>
              </w:rPr>
            </w:pPr>
            <w:r>
              <w:rPr>
                <w:rFonts w:ascii="黑体" w:eastAsia="黑体" w:hAnsi="黑体" w:cs="宋体" w:hint="eastAsia"/>
                <w:kern w:val="0"/>
                <w:sz w:val="20"/>
                <w:szCs w:val="20"/>
              </w:rPr>
              <w:t>ORGTYPE</w:t>
            </w:r>
          </w:p>
        </w:tc>
        <w:tc>
          <w:tcPr>
            <w:tcW w:w="1560" w:type="dxa"/>
            <w:tcBorders>
              <w:top w:val="single" w:sz="4" w:space="0" w:color="auto"/>
              <w:left w:val="single" w:sz="4" w:space="0" w:color="auto"/>
              <w:bottom w:val="single" w:sz="4" w:space="0" w:color="auto"/>
              <w:right w:val="single" w:sz="4" w:space="0" w:color="auto"/>
            </w:tcBorders>
            <w:vAlign w:val="center"/>
          </w:tcPr>
          <w:p w14:paraId="1F3BE3AE" w14:textId="77777777" w:rsidR="00A052DC" w:rsidRDefault="009F0A60">
            <w:pPr>
              <w:rPr>
                <w:rFonts w:ascii="黑体" w:eastAsia="黑体" w:hAnsi="黑体"/>
                <w:sz w:val="20"/>
                <w:szCs w:val="20"/>
              </w:rPr>
            </w:pPr>
            <w:r>
              <w:rPr>
                <w:rFonts w:ascii="黑体" w:eastAsia="黑体" w:hAnsi="黑体" w:cs="宋体" w:hint="eastAsia"/>
                <w:kern w:val="0"/>
                <w:sz w:val="20"/>
                <w:szCs w:val="20"/>
              </w:rPr>
              <w:t>机构类型</w:t>
            </w:r>
          </w:p>
        </w:tc>
        <w:tc>
          <w:tcPr>
            <w:tcW w:w="1701" w:type="dxa"/>
            <w:tcBorders>
              <w:top w:val="single" w:sz="4" w:space="0" w:color="auto"/>
              <w:left w:val="single" w:sz="4" w:space="0" w:color="auto"/>
              <w:bottom w:val="single" w:sz="4" w:space="0" w:color="auto"/>
              <w:right w:val="single" w:sz="4" w:space="0" w:color="auto"/>
            </w:tcBorders>
            <w:vAlign w:val="center"/>
          </w:tcPr>
          <w:p w14:paraId="579A5E34" w14:textId="77777777" w:rsidR="00A052DC" w:rsidRDefault="009F0A60">
            <w:pPr>
              <w:rPr>
                <w:rFonts w:ascii="黑体" w:eastAsia="黑体" w:hAnsi="黑体"/>
                <w:sz w:val="20"/>
                <w:szCs w:val="20"/>
              </w:rPr>
            </w:pPr>
            <w:r>
              <w:rPr>
                <w:rFonts w:ascii="黑体" w:eastAsia="黑体" w:hAnsi="黑体" w:cs="宋体" w:hint="eastAsia"/>
                <w:kern w:val="0"/>
                <w:sz w:val="20"/>
                <w:szCs w:val="20"/>
              </w:rPr>
              <w:t>字符型，1</w:t>
            </w:r>
          </w:p>
        </w:tc>
        <w:tc>
          <w:tcPr>
            <w:tcW w:w="3543" w:type="dxa"/>
            <w:tcBorders>
              <w:top w:val="single" w:sz="4" w:space="0" w:color="auto"/>
              <w:left w:val="single" w:sz="4" w:space="0" w:color="auto"/>
              <w:bottom w:val="single" w:sz="4" w:space="0" w:color="auto"/>
              <w:right w:val="single" w:sz="4" w:space="0" w:color="auto"/>
            </w:tcBorders>
            <w:vAlign w:val="center"/>
          </w:tcPr>
          <w:p w14:paraId="581CE27B" w14:textId="77777777" w:rsidR="00A052DC" w:rsidRDefault="00DD6AA3">
            <w:pPr>
              <w:rPr>
                <w:rFonts w:ascii="黑体" w:eastAsia="黑体" w:hAnsi="黑体"/>
                <w:sz w:val="20"/>
                <w:szCs w:val="20"/>
              </w:rPr>
            </w:pPr>
            <w:r>
              <w:rPr>
                <w:rFonts w:ascii="黑体" w:eastAsia="黑体" w:hAnsi="黑体" w:cs="宋体" w:hint="eastAsia"/>
                <w:kern w:val="0"/>
                <w:sz w:val="20"/>
                <w:szCs w:val="20"/>
              </w:rPr>
              <w:t>非必填项</w:t>
            </w:r>
            <w:r w:rsidR="009F0A60">
              <w:rPr>
                <w:rFonts w:ascii="黑体" w:eastAsia="黑体" w:hAnsi="黑体" w:cs="宋体" w:hint="eastAsia"/>
                <w:kern w:val="0"/>
                <w:sz w:val="20"/>
                <w:szCs w:val="20"/>
              </w:rPr>
              <w:t>，</w:t>
            </w:r>
            <w:r w:rsidR="009F0A60">
              <w:rPr>
                <w:rFonts w:ascii="黑体" w:eastAsia="黑体" w:hAnsi="黑体" w:cs="宋体" w:hint="eastAsia"/>
                <w:kern w:val="0"/>
                <w:sz w:val="20"/>
                <w:szCs w:val="20"/>
              </w:rPr>
              <w:br/>
              <w:t>机关/事业单位/企业/社会团体/军队武警、境外机构、驻华使领馆等特殊机构/其他组织机构</w:t>
            </w:r>
            <w:r w:rsidR="009F0A60">
              <w:rPr>
                <w:rFonts w:ascii="黑体" w:eastAsia="黑体" w:hAnsi="宋体" w:cs="宋体" w:hint="eastAsia"/>
                <w:kern w:val="0"/>
                <w:sz w:val="20"/>
                <w:szCs w:val="20"/>
              </w:rPr>
              <w:t>，见机构类型代码表。</w:t>
            </w:r>
          </w:p>
        </w:tc>
      </w:tr>
      <w:tr w:rsidR="00A052DC" w14:paraId="6B33B578" w14:textId="77777777">
        <w:tc>
          <w:tcPr>
            <w:tcW w:w="1843" w:type="dxa"/>
            <w:tcBorders>
              <w:top w:val="single" w:sz="4" w:space="0" w:color="auto"/>
              <w:left w:val="single" w:sz="4" w:space="0" w:color="auto"/>
              <w:bottom w:val="single" w:sz="4" w:space="0" w:color="auto"/>
              <w:right w:val="single" w:sz="4" w:space="0" w:color="auto"/>
            </w:tcBorders>
            <w:vAlign w:val="center"/>
          </w:tcPr>
          <w:p w14:paraId="3BD1E80A" w14:textId="77777777" w:rsidR="00A052DC" w:rsidRDefault="009F0A60">
            <w:pPr>
              <w:rPr>
                <w:rFonts w:ascii="黑体" w:eastAsia="黑体" w:hAnsi="黑体"/>
                <w:sz w:val="20"/>
                <w:szCs w:val="20"/>
              </w:rPr>
            </w:pPr>
            <w:r>
              <w:rPr>
                <w:rFonts w:ascii="黑体" w:eastAsia="黑体" w:hAnsi="黑体" w:cs="宋体" w:hint="eastAsia"/>
                <w:kern w:val="0"/>
                <w:sz w:val="20"/>
                <w:szCs w:val="20"/>
              </w:rPr>
              <w:t>CUSTOMNO</w:t>
            </w:r>
          </w:p>
        </w:tc>
        <w:tc>
          <w:tcPr>
            <w:tcW w:w="1560" w:type="dxa"/>
            <w:tcBorders>
              <w:top w:val="single" w:sz="4" w:space="0" w:color="auto"/>
              <w:left w:val="single" w:sz="4" w:space="0" w:color="auto"/>
              <w:bottom w:val="single" w:sz="4" w:space="0" w:color="auto"/>
              <w:right w:val="single" w:sz="4" w:space="0" w:color="auto"/>
            </w:tcBorders>
            <w:vAlign w:val="center"/>
          </w:tcPr>
          <w:p w14:paraId="7EBF9987" w14:textId="77777777" w:rsidR="00A052DC" w:rsidRDefault="009F0A60">
            <w:pPr>
              <w:rPr>
                <w:rFonts w:ascii="黑体" w:eastAsia="黑体" w:hAnsi="黑体"/>
                <w:sz w:val="20"/>
                <w:szCs w:val="20"/>
              </w:rPr>
            </w:pPr>
            <w:r>
              <w:rPr>
                <w:rFonts w:ascii="黑体" w:eastAsia="黑体" w:hAnsi="黑体" w:cs="宋体" w:hint="eastAsia"/>
                <w:kern w:val="0"/>
                <w:sz w:val="20"/>
                <w:szCs w:val="20"/>
              </w:rPr>
              <w:t>海关注册号</w:t>
            </w:r>
          </w:p>
        </w:tc>
        <w:tc>
          <w:tcPr>
            <w:tcW w:w="1701" w:type="dxa"/>
            <w:tcBorders>
              <w:top w:val="single" w:sz="4" w:space="0" w:color="auto"/>
              <w:left w:val="single" w:sz="4" w:space="0" w:color="auto"/>
              <w:bottom w:val="single" w:sz="4" w:space="0" w:color="auto"/>
              <w:right w:val="single" w:sz="4" w:space="0" w:color="auto"/>
            </w:tcBorders>
            <w:vAlign w:val="center"/>
          </w:tcPr>
          <w:p w14:paraId="1771BE57" w14:textId="77777777" w:rsidR="00A052DC" w:rsidRDefault="009F0A60">
            <w:pPr>
              <w:rPr>
                <w:rFonts w:ascii="黑体" w:eastAsia="黑体" w:hAnsi="黑体"/>
                <w:sz w:val="20"/>
                <w:szCs w:val="20"/>
              </w:rPr>
            </w:pPr>
            <w:r>
              <w:rPr>
                <w:rFonts w:ascii="黑体" w:eastAsia="黑体" w:hAnsi="黑体" w:cs="宋体" w:hint="eastAsia"/>
                <w:kern w:val="0"/>
                <w:sz w:val="20"/>
                <w:szCs w:val="20"/>
              </w:rPr>
              <w:t>字符型，20</w:t>
            </w:r>
          </w:p>
        </w:tc>
        <w:tc>
          <w:tcPr>
            <w:tcW w:w="3543" w:type="dxa"/>
            <w:tcBorders>
              <w:top w:val="single" w:sz="4" w:space="0" w:color="auto"/>
              <w:left w:val="single" w:sz="4" w:space="0" w:color="auto"/>
              <w:bottom w:val="single" w:sz="4" w:space="0" w:color="auto"/>
              <w:right w:val="single" w:sz="4" w:space="0" w:color="auto"/>
            </w:tcBorders>
            <w:vAlign w:val="center"/>
          </w:tcPr>
          <w:p w14:paraId="019FD179" w14:textId="77777777" w:rsidR="00A052DC" w:rsidRDefault="00DD6AA3">
            <w:pPr>
              <w:rPr>
                <w:rFonts w:ascii="黑体" w:eastAsia="黑体" w:hAnsi="黑体"/>
                <w:sz w:val="20"/>
                <w:szCs w:val="20"/>
              </w:rPr>
            </w:pPr>
            <w:r>
              <w:rPr>
                <w:rFonts w:ascii="黑体" w:eastAsia="黑体" w:hAnsi="黑体" w:cs="宋体" w:hint="eastAsia"/>
                <w:kern w:val="0"/>
                <w:sz w:val="20"/>
                <w:szCs w:val="20"/>
              </w:rPr>
              <w:t>非必填项</w:t>
            </w:r>
            <w:r w:rsidR="009F0A60">
              <w:rPr>
                <w:rFonts w:ascii="黑体" w:eastAsia="黑体" w:hAnsi="黑体" w:cs="宋体" w:hint="eastAsia"/>
                <w:kern w:val="0"/>
                <w:sz w:val="20"/>
                <w:szCs w:val="20"/>
              </w:rPr>
              <w:t>，</w:t>
            </w:r>
            <w:r w:rsidR="009F0A60">
              <w:rPr>
                <w:rFonts w:ascii="黑体" w:eastAsia="黑体" w:hAnsi="黑体" w:cs="宋体" w:hint="eastAsia"/>
                <w:kern w:val="0"/>
                <w:sz w:val="20"/>
                <w:szCs w:val="20"/>
              </w:rPr>
              <w:br/>
              <w:t>企业在海关使用的注册号。</w:t>
            </w:r>
          </w:p>
        </w:tc>
      </w:tr>
      <w:tr w:rsidR="00A052DC" w14:paraId="07A19220" w14:textId="77777777">
        <w:tc>
          <w:tcPr>
            <w:tcW w:w="1843" w:type="dxa"/>
            <w:tcBorders>
              <w:top w:val="single" w:sz="4" w:space="0" w:color="auto"/>
              <w:left w:val="single" w:sz="4" w:space="0" w:color="auto"/>
              <w:bottom w:val="single" w:sz="4" w:space="0" w:color="auto"/>
              <w:right w:val="single" w:sz="4" w:space="0" w:color="auto"/>
            </w:tcBorders>
            <w:vAlign w:val="center"/>
          </w:tcPr>
          <w:p w14:paraId="39C5A45F" w14:textId="77777777" w:rsidR="00A052DC" w:rsidRDefault="009F0A60">
            <w:pPr>
              <w:rPr>
                <w:rFonts w:ascii="黑体" w:eastAsia="黑体" w:hAnsi="黑体"/>
                <w:sz w:val="20"/>
                <w:szCs w:val="20"/>
              </w:rPr>
            </w:pPr>
            <w:r>
              <w:rPr>
                <w:rFonts w:ascii="黑体" w:eastAsia="黑体" w:hAnsi="黑体" w:cs="宋体" w:hint="eastAsia"/>
                <w:kern w:val="0"/>
                <w:sz w:val="20"/>
                <w:szCs w:val="20"/>
              </w:rPr>
              <w:t>CREDITCODE</w:t>
            </w:r>
          </w:p>
        </w:tc>
        <w:tc>
          <w:tcPr>
            <w:tcW w:w="1560" w:type="dxa"/>
            <w:tcBorders>
              <w:top w:val="single" w:sz="4" w:space="0" w:color="auto"/>
              <w:left w:val="single" w:sz="4" w:space="0" w:color="auto"/>
              <w:bottom w:val="single" w:sz="4" w:space="0" w:color="auto"/>
              <w:right w:val="single" w:sz="4" w:space="0" w:color="auto"/>
            </w:tcBorders>
            <w:vAlign w:val="center"/>
          </w:tcPr>
          <w:p w14:paraId="6E3FA58E" w14:textId="77777777" w:rsidR="00A052DC" w:rsidRDefault="009F0A60">
            <w:pPr>
              <w:rPr>
                <w:rFonts w:ascii="黑体" w:eastAsia="黑体" w:hAnsi="黑体"/>
                <w:sz w:val="20"/>
                <w:szCs w:val="20"/>
              </w:rPr>
            </w:pPr>
            <w:r>
              <w:rPr>
                <w:rFonts w:ascii="黑体" w:eastAsia="黑体" w:hAnsi="黑体" w:cs="宋体" w:hint="eastAsia"/>
                <w:kern w:val="0"/>
                <w:sz w:val="20"/>
                <w:szCs w:val="20"/>
              </w:rPr>
              <w:t>统一社会信用代码</w:t>
            </w:r>
          </w:p>
        </w:tc>
        <w:tc>
          <w:tcPr>
            <w:tcW w:w="1701" w:type="dxa"/>
            <w:tcBorders>
              <w:top w:val="single" w:sz="4" w:space="0" w:color="auto"/>
              <w:left w:val="single" w:sz="4" w:space="0" w:color="auto"/>
              <w:bottom w:val="single" w:sz="4" w:space="0" w:color="auto"/>
              <w:right w:val="single" w:sz="4" w:space="0" w:color="auto"/>
            </w:tcBorders>
            <w:vAlign w:val="center"/>
          </w:tcPr>
          <w:p w14:paraId="1ABF18A6" w14:textId="77777777" w:rsidR="00A052DC" w:rsidRDefault="009F0A60">
            <w:pPr>
              <w:rPr>
                <w:rFonts w:ascii="黑体" w:eastAsia="黑体" w:hAnsi="黑体"/>
                <w:sz w:val="20"/>
                <w:szCs w:val="20"/>
              </w:rPr>
            </w:pPr>
            <w:r>
              <w:rPr>
                <w:rFonts w:ascii="黑体" w:eastAsia="黑体" w:hAnsi="黑体" w:cs="宋体" w:hint="eastAsia"/>
                <w:kern w:val="0"/>
                <w:sz w:val="20"/>
                <w:szCs w:val="20"/>
              </w:rPr>
              <w:t>字符型，18</w:t>
            </w:r>
          </w:p>
        </w:tc>
        <w:tc>
          <w:tcPr>
            <w:tcW w:w="3543" w:type="dxa"/>
            <w:tcBorders>
              <w:top w:val="single" w:sz="4" w:space="0" w:color="auto"/>
              <w:left w:val="single" w:sz="4" w:space="0" w:color="auto"/>
              <w:bottom w:val="single" w:sz="4" w:space="0" w:color="auto"/>
              <w:right w:val="single" w:sz="4" w:space="0" w:color="auto"/>
            </w:tcBorders>
            <w:vAlign w:val="center"/>
          </w:tcPr>
          <w:p w14:paraId="302146B0" w14:textId="77777777" w:rsidR="00A052DC" w:rsidRDefault="00DD6AA3">
            <w:pPr>
              <w:rPr>
                <w:rFonts w:ascii="黑体" w:eastAsia="黑体" w:hAnsi="黑体"/>
                <w:sz w:val="20"/>
                <w:szCs w:val="20"/>
              </w:rPr>
            </w:pPr>
            <w:r>
              <w:rPr>
                <w:rFonts w:ascii="黑体" w:eastAsia="黑体" w:hAnsi="黑体" w:cs="宋体" w:hint="eastAsia"/>
                <w:kern w:val="0"/>
                <w:sz w:val="20"/>
                <w:szCs w:val="20"/>
              </w:rPr>
              <w:t>非必填项</w:t>
            </w:r>
            <w:r w:rsidR="009F0A60">
              <w:rPr>
                <w:rFonts w:ascii="黑体" w:eastAsia="黑体" w:hAnsi="黑体" w:cs="宋体" w:hint="eastAsia"/>
                <w:kern w:val="0"/>
                <w:sz w:val="20"/>
                <w:szCs w:val="20"/>
              </w:rPr>
              <w:t>，</w:t>
            </w:r>
            <w:r w:rsidR="009F0A60">
              <w:rPr>
                <w:rFonts w:ascii="黑体" w:eastAsia="黑体" w:hAnsi="黑体" w:cs="宋体" w:hint="eastAsia"/>
                <w:kern w:val="0"/>
                <w:sz w:val="20"/>
                <w:szCs w:val="20"/>
              </w:rPr>
              <w:br/>
              <w:t>18位统一社会信用代码。</w:t>
            </w:r>
          </w:p>
        </w:tc>
      </w:tr>
      <w:tr w:rsidR="00A052DC" w14:paraId="0EE42E1F" w14:textId="77777777">
        <w:tc>
          <w:tcPr>
            <w:tcW w:w="1843" w:type="dxa"/>
            <w:tcBorders>
              <w:top w:val="single" w:sz="4" w:space="0" w:color="auto"/>
              <w:left w:val="single" w:sz="4" w:space="0" w:color="auto"/>
              <w:bottom w:val="single" w:sz="4" w:space="0" w:color="auto"/>
              <w:right w:val="single" w:sz="4" w:space="0" w:color="auto"/>
            </w:tcBorders>
            <w:vAlign w:val="center"/>
          </w:tcPr>
          <w:p w14:paraId="5C6F9457" w14:textId="77777777" w:rsidR="00A052DC" w:rsidRDefault="009F0A60">
            <w:pPr>
              <w:rPr>
                <w:rFonts w:ascii="黑体" w:eastAsia="黑体" w:hAnsi="黑体"/>
                <w:sz w:val="20"/>
                <w:szCs w:val="20"/>
              </w:rPr>
            </w:pPr>
            <w:r>
              <w:rPr>
                <w:rFonts w:ascii="黑体" w:eastAsia="黑体" w:hAnsi="黑体" w:cs="宋体" w:hint="eastAsia"/>
                <w:kern w:val="0"/>
                <w:sz w:val="20"/>
                <w:szCs w:val="20"/>
              </w:rPr>
              <w:t>LEI</w:t>
            </w:r>
            <w:r>
              <w:rPr>
                <w:rFonts w:ascii="黑体" w:eastAsia="黑体" w:hAnsi="黑体" w:cs="宋体"/>
                <w:kern w:val="0"/>
                <w:sz w:val="20"/>
                <w:szCs w:val="20"/>
              </w:rPr>
              <w:t>CODE</w:t>
            </w:r>
          </w:p>
        </w:tc>
        <w:tc>
          <w:tcPr>
            <w:tcW w:w="1560" w:type="dxa"/>
            <w:tcBorders>
              <w:top w:val="single" w:sz="4" w:space="0" w:color="auto"/>
              <w:left w:val="single" w:sz="4" w:space="0" w:color="auto"/>
              <w:bottom w:val="single" w:sz="4" w:space="0" w:color="auto"/>
              <w:right w:val="single" w:sz="4" w:space="0" w:color="auto"/>
            </w:tcBorders>
            <w:vAlign w:val="center"/>
          </w:tcPr>
          <w:p w14:paraId="3F9AA8B8" w14:textId="77777777" w:rsidR="00A052DC" w:rsidRDefault="009F0A60">
            <w:pPr>
              <w:rPr>
                <w:rFonts w:ascii="黑体" w:eastAsia="黑体" w:hAnsi="黑体"/>
                <w:sz w:val="20"/>
                <w:szCs w:val="20"/>
              </w:rPr>
            </w:pPr>
            <w:r>
              <w:rPr>
                <w:rFonts w:ascii="黑体" w:eastAsia="黑体" w:hAnsi="黑体" w:cs="宋体" w:hint="eastAsia"/>
                <w:kern w:val="0"/>
                <w:sz w:val="20"/>
                <w:szCs w:val="20"/>
              </w:rPr>
              <w:t>LEI编码</w:t>
            </w:r>
          </w:p>
        </w:tc>
        <w:tc>
          <w:tcPr>
            <w:tcW w:w="1701" w:type="dxa"/>
            <w:tcBorders>
              <w:top w:val="single" w:sz="4" w:space="0" w:color="auto"/>
              <w:left w:val="single" w:sz="4" w:space="0" w:color="auto"/>
              <w:bottom w:val="single" w:sz="4" w:space="0" w:color="auto"/>
              <w:right w:val="single" w:sz="4" w:space="0" w:color="auto"/>
            </w:tcBorders>
            <w:vAlign w:val="center"/>
          </w:tcPr>
          <w:p w14:paraId="2B476FE4" w14:textId="77777777" w:rsidR="00A052DC" w:rsidRDefault="009F0A60">
            <w:pPr>
              <w:rPr>
                <w:rFonts w:ascii="黑体" w:eastAsia="黑体" w:hAnsi="黑体"/>
                <w:sz w:val="20"/>
                <w:szCs w:val="20"/>
              </w:rPr>
            </w:pPr>
            <w:r>
              <w:rPr>
                <w:rFonts w:ascii="黑体" w:eastAsia="黑体" w:hAnsi="黑体" w:cs="宋体" w:hint="eastAsia"/>
                <w:kern w:val="0"/>
                <w:sz w:val="20"/>
                <w:szCs w:val="20"/>
              </w:rPr>
              <w:t>字符型，32</w:t>
            </w:r>
          </w:p>
        </w:tc>
        <w:tc>
          <w:tcPr>
            <w:tcW w:w="3543" w:type="dxa"/>
            <w:tcBorders>
              <w:top w:val="single" w:sz="4" w:space="0" w:color="auto"/>
              <w:left w:val="single" w:sz="4" w:space="0" w:color="auto"/>
              <w:bottom w:val="single" w:sz="4" w:space="0" w:color="auto"/>
              <w:right w:val="single" w:sz="4" w:space="0" w:color="auto"/>
            </w:tcBorders>
            <w:vAlign w:val="center"/>
          </w:tcPr>
          <w:p w14:paraId="6E9C3785" w14:textId="77777777" w:rsidR="00A052DC" w:rsidRDefault="00DD6AA3">
            <w:pPr>
              <w:rPr>
                <w:rFonts w:ascii="黑体" w:eastAsia="黑体" w:hAnsi="黑体" w:cs="宋体"/>
                <w:kern w:val="0"/>
                <w:sz w:val="20"/>
                <w:szCs w:val="20"/>
              </w:rPr>
            </w:pPr>
            <w:r>
              <w:rPr>
                <w:rFonts w:ascii="黑体" w:eastAsia="黑体" w:hAnsi="黑体" w:cs="宋体" w:hint="eastAsia"/>
                <w:kern w:val="0"/>
                <w:sz w:val="20"/>
                <w:szCs w:val="20"/>
              </w:rPr>
              <w:t>非必填项</w:t>
            </w:r>
            <w:r w:rsidR="009F0A60">
              <w:rPr>
                <w:rFonts w:ascii="黑体" w:eastAsia="黑体" w:hAnsi="黑体" w:cs="宋体" w:hint="eastAsia"/>
                <w:kern w:val="0"/>
                <w:sz w:val="20"/>
                <w:szCs w:val="20"/>
              </w:rPr>
              <w:t>，</w:t>
            </w:r>
          </w:p>
          <w:p w14:paraId="7A0AE445" w14:textId="77777777" w:rsidR="00A052DC" w:rsidRDefault="009F0A60">
            <w:pPr>
              <w:rPr>
                <w:rFonts w:ascii="黑体" w:eastAsia="黑体" w:hAnsi="黑体"/>
                <w:sz w:val="20"/>
                <w:szCs w:val="20"/>
              </w:rPr>
            </w:pPr>
            <w:r>
              <w:rPr>
                <w:rFonts w:ascii="黑体" w:eastAsia="黑体" w:hAnsi="黑体" w:cs="宋体" w:hint="eastAsia"/>
                <w:kern w:val="0"/>
                <w:sz w:val="20"/>
                <w:szCs w:val="20"/>
              </w:rPr>
              <w:t>如机构持有LEI编码，应于此处填写。</w:t>
            </w:r>
          </w:p>
        </w:tc>
      </w:tr>
      <w:tr w:rsidR="00A052DC" w14:paraId="6A165591" w14:textId="77777777">
        <w:tc>
          <w:tcPr>
            <w:tcW w:w="1843" w:type="dxa"/>
            <w:tcBorders>
              <w:top w:val="single" w:sz="4" w:space="0" w:color="auto"/>
              <w:left w:val="single" w:sz="4" w:space="0" w:color="auto"/>
              <w:bottom w:val="single" w:sz="4" w:space="0" w:color="auto"/>
              <w:right w:val="single" w:sz="4" w:space="0" w:color="auto"/>
            </w:tcBorders>
            <w:vAlign w:val="center"/>
          </w:tcPr>
          <w:p w14:paraId="62CA02E6" w14:textId="77777777" w:rsidR="00A052DC" w:rsidRDefault="009F0A60">
            <w:pPr>
              <w:rPr>
                <w:rFonts w:ascii="黑体" w:eastAsia="黑体" w:hAnsi="黑体"/>
                <w:sz w:val="20"/>
                <w:szCs w:val="20"/>
              </w:rPr>
            </w:pPr>
            <w:r>
              <w:rPr>
                <w:rFonts w:ascii="黑体" w:eastAsia="黑体" w:hAnsi="黑体" w:cs="宋体" w:hint="eastAsia"/>
                <w:kern w:val="0"/>
                <w:sz w:val="20"/>
                <w:szCs w:val="20"/>
              </w:rPr>
              <w:t>SWIFTCODE</w:t>
            </w:r>
          </w:p>
        </w:tc>
        <w:tc>
          <w:tcPr>
            <w:tcW w:w="1560" w:type="dxa"/>
            <w:tcBorders>
              <w:top w:val="single" w:sz="4" w:space="0" w:color="auto"/>
              <w:left w:val="single" w:sz="4" w:space="0" w:color="auto"/>
              <w:bottom w:val="single" w:sz="4" w:space="0" w:color="auto"/>
              <w:right w:val="single" w:sz="4" w:space="0" w:color="auto"/>
            </w:tcBorders>
            <w:vAlign w:val="center"/>
          </w:tcPr>
          <w:p w14:paraId="7ADE0EC3" w14:textId="77777777" w:rsidR="00A052DC" w:rsidRDefault="009F0A60">
            <w:pPr>
              <w:rPr>
                <w:rFonts w:ascii="黑体" w:eastAsia="黑体" w:hAnsi="黑体"/>
                <w:sz w:val="20"/>
                <w:szCs w:val="20"/>
              </w:rPr>
            </w:pPr>
            <w:r>
              <w:rPr>
                <w:rFonts w:ascii="黑体" w:eastAsia="黑体" w:hAnsi="黑体" w:cs="宋体" w:hint="eastAsia"/>
                <w:kern w:val="0"/>
                <w:sz w:val="20"/>
                <w:szCs w:val="20"/>
              </w:rPr>
              <w:t>SWIFTCODE</w:t>
            </w:r>
          </w:p>
        </w:tc>
        <w:tc>
          <w:tcPr>
            <w:tcW w:w="1701" w:type="dxa"/>
            <w:tcBorders>
              <w:top w:val="single" w:sz="4" w:space="0" w:color="auto"/>
              <w:left w:val="single" w:sz="4" w:space="0" w:color="auto"/>
              <w:bottom w:val="single" w:sz="4" w:space="0" w:color="auto"/>
              <w:right w:val="single" w:sz="4" w:space="0" w:color="auto"/>
            </w:tcBorders>
            <w:vAlign w:val="center"/>
          </w:tcPr>
          <w:p w14:paraId="33E94D8B" w14:textId="77777777" w:rsidR="00A052DC" w:rsidRDefault="009F0A60">
            <w:pPr>
              <w:rPr>
                <w:rFonts w:ascii="黑体" w:eastAsia="黑体" w:hAnsi="黑体"/>
                <w:sz w:val="20"/>
                <w:szCs w:val="20"/>
              </w:rPr>
            </w:pPr>
            <w:r>
              <w:rPr>
                <w:rFonts w:ascii="黑体" w:eastAsia="黑体" w:hAnsi="黑体" w:cs="宋体" w:hint="eastAsia"/>
                <w:kern w:val="0"/>
                <w:sz w:val="20"/>
                <w:szCs w:val="20"/>
              </w:rPr>
              <w:t>字符型，20</w:t>
            </w:r>
          </w:p>
        </w:tc>
        <w:tc>
          <w:tcPr>
            <w:tcW w:w="3543" w:type="dxa"/>
            <w:tcBorders>
              <w:top w:val="single" w:sz="4" w:space="0" w:color="auto"/>
              <w:left w:val="single" w:sz="4" w:space="0" w:color="auto"/>
              <w:bottom w:val="single" w:sz="4" w:space="0" w:color="auto"/>
              <w:right w:val="single" w:sz="4" w:space="0" w:color="auto"/>
            </w:tcBorders>
            <w:vAlign w:val="center"/>
          </w:tcPr>
          <w:p w14:paraId="1850AD55" w14:textId="77777777" w:rsidR="00A052DC" w:rsidRDefault="00DD6AA3">
            <w:pPr>
              <w:rPr>
                <w:rFonts w:ascii="黑体" w:eastAsia="黑体" w:hAnsi="黑体"/>
                <w:sz w:val="20"/>
                <w:szCs w:val="20"/>
              </w:rPr>
            </w:pPr>
            <w:r>
              <w:rPr>
                <w:rFonts w:ascii="黑体" w:eastAsia="黑体" w:hAnsi="黑体" w:cs="宋体" w:hint="eastAsia"/>
                <w:kern w:val="0"/>
                <w:sz w:val="20"/>
                <w:szCs w:val="20"/>
              </w:rPr>
              <w:t>非必填项</w:t>
            </w:r>
            <w:r w:rsidR="009F0A60">
              <w:rPr>
                <w:rFonts w:ascii="黑体" w:eastAsia="黑体" w:hAnsi="黑体" w:cs="宋体" w:hint="eastAsia"/>
                <w:kern w:val="0"/>
                <w:sz w:val="20"/>
                <w:szCs w:val="20"/>
              </w:rPr>
              <w:t>，</w:t>
            </w:r>
            <w:r w:rsidR="009F0A60">
              <w:rPr>
                <w:rFonts w:ascii="黑体" w:eastAsia="黑体" w:hAnsi="黑体" w:cs="宋体" w:hint="eastAsia"/>
                <w:kern w:val="0"/>
                <w:sz w:val="20"/>
                <w:szCs w:val="20"/>
              </w:rPr>
              <w:br/>
              <w:t>境外主体属性，境外金融机构填写。</w:t>
            </w:r>
          </w:p>
        </w:tc>
      </w:tr>
      <w:tr w:rsidR="00A052DC" w14:paraId="22177B50" w14:textId="77777777">
        <w:tc>
          <w:tcPr>
            <w:tcW w:w="1843" w:type="dxa"/>
            <w:tcBorders>
              <w:top w:val="single" w:sz="4" w:space="0" w:color="auto"/>
              <w:left w:val="single" w:sz="4" w:space="0" w:color="auto"/>
              <w:bottom w:val="single" w:sz="4" w:space="0" w:color="auto"/>
              <w:right w:val="single" w:sz="4" w:space="0" w:color="auto"/>
            </w:tcBorders>
          </w:tcPr>
          <w:p w14:paraId="75DD84A6" w14:textId="77777777" w:rsidR="00A052DC" w:rsidRDefault="009F0A60">
            <w:pPr>
              <w:rPr>
                <w:rFonts w:ascii="黑体" w:eastAsia="黑体" w:hAnsi="黑体"/>
                <w:sz w:val="20"/>
                <w:szCs w:val="20"/>
              </w:rPr>
            </w:pPr>
            <w:r>
              <w:rPr>
                <w:rFonts w:ascii="黑体" w:eastAsia="黑体" w:hAnsi="黑体"/>
                <w:sz w:val="20"/>
                <w:szCs w:val="20"/>
              </w:rPr>
              <w:t>EMAIL</w:t>
            </w:r>
          </w:p>
        </w:tc>
        <w:tc>
          <w:tcPr>
            <w:tcW w:w="1560" w:type="dxa"/>
            <w:tcBorders>
              <w:top w:val="single" w:sz="4" w:space="0" w:color="auto"/>
              <w:left w:val="single" w:sz="4" w:space="0" w:color="auto"/>
              <w:bottom w:val="single" w:sz="4" w:space="0" w:color="auto"/>
              <w:right w:val="single" w:sz="4" w:space="0" w:color="auto"/>
            </w:tcBorders>
          </w:tcPr>
          <w:p w14:paraId="4E36C080" w14:textId="77777777" w:rsidR="00A052DC" w:rsidRDefault="009F0A60">
            <w:pPr>
              <w:rPr>
                <w:rFonts w:ascii="黑体" w:eastAsia="黑体" w:hAnsi="黑体"/>
                <w:sz w:val="20"/>
                <w:szCs w:val="20"/>
              </w:rPr>
            </w:pPr>
            <w:r>
              <w:rPr>
                <w:rFonts w:ascii="黑体" w:eastAsia="黑体" w:hAnsi="黑体" w:hint="eastAsia"/>
                <w:sz w:val="20"/>
                <w:szCs w:val="20"/>
              </w:rPr>
              <w:t xml:space="preserve">外汇局联系用eMail </w:t>
            </w:r>
          </w:p>
        </w:tc>
        <w:tc>
          <w:tcPr>
            <w:tcW w:w="1701" w:type="dxa"/>
            <w:tcBorders>
              <w:top w:val="single" w:sz="4" w:space="0" w:color="auto"/>
              <w:left w:val="single" w:sz="4" w:space="0" w:color="auto"/>
              <w:bottom w:val="single" w:sz="4" w:space="0" w:color="auto"/>
              <w:right w:val="single" w:sz="4" w:space="0" w:color="auto"/>
            </w:tcBorders>
          </w:tcPr>
          <w:p w14:paraId="2583D36E"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3543" w:type="dxa"/>
            <w:tcBorders>
              <w:top w:val="single" w:sz="4" w:space="0" w:color="auto"/>
              <w:left w:val="single" w:sz="4" w:space="0" w:color="auto"/>
              <w:bottom w:val="single" w:sz="4" w:space="0" w:color="auto"/>
              <w:right w:val="single" w:sz="4" w:space="0" w:color="auto"/>
            </w:tcBorders>
          </w:tcPr>
          <w:p w14:paraId="4D52F023" w14:textId="77777777" w:rsidR="00A052DC" w:rsidRDefault="00DD6AA3">
            <w:pPr>
              <w:rPr>
                <w:rFonts w:ascii="黑体" w:eastAsia="黑体" w:hAnsi="黑体"/>
                <w:sz w:val="20"/>
                <w:szCs w:val="20"/>
              </w:rPr>
            </w:pPr>
            <w:r>
              <w:rPr>
                <w:rFonts w:ascii="黑体" w:eastAsia="黑体" w:hAnsi="黑体" w:hint="eastAsia"/>
                <w:sz w:val="20"/>
                <w:szCs w:val="20"/>
              </w:rPr>
              <w:t>非必填项</w:t>
            </w:r>
            <w:r w:rsidR="009F0A60">
              <w:rPr>
                <w:rFonts w:ascii="黑体" w:eastAsia="黑体" w:hAnsi="黑体" w:hint="eastAsia"/>
                <w:sz w:val="20"/>
                <w:szCs w:val="20"/>
              </w:rPr>
              <w:t>，</w:t>
            </w:r>
          </w:p>
          <w:p w14:paraId="01D34C01" w14:textId="77777777" w:rsidR="00A052DC" w:rsidRDefault="009F0A60">
            <w:pPr>
              <w:rPr>
                <w:rFonts w:ascii="黑体" w:eastAsia="黑体" w:hAnsi="黑体"/>
                <w:sz w:val="20"/>
                <w:szCs w:val="20"/>
              </w:rPr>
            </w:pPr>
            <w:r>
              <w:rPr>
                <w:rFonts w:ascii="黑体" w:eastAsia="黑体" w:hAnsi="黑体" w:hint="eastAsia"/>
                <w:sz w:val="20"/>
                <w:szCs w:val="20"/>
              </w:rPr>
              <w:t>用于机构与外汇局之间的日常办公联系用的eMail地址。</w:t>
            </w:r>
          </w:p>
        </w:tc>
      </w:tr>
      <w:tr w:rsidR="00A052DC" w14:paraId="09ABA9C8" w14:textId="77777777">
        <w:tc>
          <w:tcPr>
            <w:tcW w:w="1843" w:type="dxa"/>
            <w:tcBorders>
              <w:top w:val="single" w:sz="4" w:space="0" w:color="auto"/>
              <w:left w:val="single" w:sz="4" w:space="0" w:color="auto"/>
              <w:bottom w:val="single" w:sz="4" w:space="0" w:color="auto"/>
              <w:right w:val="single" w:sz="4" w:space="0" w:color="auto"/>
            </w:tcBorders>
          </w:tcPr>
          <w:p w14:paraId="79E26156" w14:textId="77777777" w:rsidR="00A052DC" w:rsidRDefault="009F0A60">
            <w:pPr>
              <w:rPr>
                <w:rFonts w:ascii="黑体" w:eastAsia="黑体" w:hAnsi="黑体"/>
                <w:sz w:val="20"/>
                <w:szCs w:val="20"/>
              </w:rPr>
            </w:pPr>
            <w:r>
              <w:rPr>
                <w:rFonts w:ascii="黑体" w:eastAsia="黑体" w:hAnsi="黑体"/>
                <w:sz w:val="20"/>
                <w:szCs w:val="20"/>
              </w:rPr>
              <w:t>RPTMETHOD</w:t>
            </w:r>
          </w:p>
        </w:tc>
        <w:tc>
          <w:tcPr>
            <w:tcW w:w="1560" w:type="dxa"/>
            <w:tcBorders>
              <w:top w:val="single" w:sz="4" w:space="0" w:color="auto"/>
              <w:left w:val="single" w:sz="4" w:space="0" w:color="auto"/>
              <w:bottom w:val="single" w:sz="4" w:space="0" w:color="auto"/>
              <w:right w:val="single" w:sz="4" w:space="0" w:color="auto"/>
            </w:tcBorders>
          </w:tcPr>
          <w:p w14:paraId="7CBD16B3" w14:textId="77777777" w:rsidR="00A052DC" w:rsidRDefault="009F0A60">
            <w:pPr>
              <w:rPr>
                <w:rFonts w:ascii="黑体" w:eastAsia="黑体" w:hAnsi="黑体"/>
                <w:sz w:val="20"/>
                <w:szCs w:val="20"/>
              </w:rPr>
            </w:pPr>
            <w:r>
              <w:rPr>
                <w:rFonts w:ascii="黑体" w:eastAsia="黑体" w:hAnsi="黑体" w:hint="eastAsia"/>
                <w:sz w:val="20"/>
                <w:szCs w:val="20"/>
              </w:rPr>
              <w:t>申报方式</w:t>
            </w:r>
          </w:p>
        </w:tc>
        <w:tc>
          <w:tcPr>
            <w:tcW w:w="1701" w:type="dxa"/>
            <w:tcBorders>
              <w:top w:val="single" w:sz="4" w:space="0" w:color="auto"/>
              <w:left w:val="single" w:sz="4" w:space="0" w:color="auto"/>
              <w:bottom w:val="single" w:sz="4" w:space="0" w:color="auto"/>
              <w:right w:val="single" w:sz="4" w:space="0" w:color="auto"/>
            </w:tcBorders>
          </w:tcPr>
          <w:p w14:paraId="7D1CD7F8" w14:textId="77777777" w:rsidR="00A052DC" w:rsidRDefault="009F0A60">
            <w:pPr>
              <w:rPr>
                <w:rFonts w:ascii="黑体" w:eastAsia="黑体" w:hAnsi="黑体"/>
                <w:sz w:val="20"/>
                <w:szCs w:val="20"/>
              </w:rPr>
            </w:pPr>
            <w:r>
              <w:rPr>
                <w:rFonts w:ascii="黑体" w:eastAsia="黑体" w:hAnsi="黑体" w:hint="eastAsia"/>
                <w:sz w:val="20"/>
                <w:szCs w:val="20"/>
              </w:rPr>
              <w:t>字符型，1</w:t>
            </w:r>
          </w:p>
        </w:tc>
        <w:tc>
          <w:tcPr>
            <w:tcW w:w="3543" w:type="dxa"/>
            <w:tcBorders>
              <w:top w:val="single" w:sz="4" w:space="0" w:color="auto"/>
              <w:left w:val="single" w:sz="4" w:space="0" w:color="auto"/>
              <w:bottom w:val="single" w:sz="4" w:space="0" w:color="auto"/>
              <w:right w:val="single" w:sz="4" w:space="0" w:color="auto"/>
            </w:tcBorders>
          </w:tcPr>
          <w:p w14:paraId="56964A8A" w14:textId="77777777" w:rsidR="00A052DC" w:rsidRDefault="00DD6AA3">
            <w:pPr>
              <w:rPr>
                <w:rFonts w:ascii="黑体" w:eastAsia="黑体" w:hAnsi="黑体"/>
                <w:sz w:val="20"/>
                <w:szCs w:val="20"/>
              </w:rPr>
            </w:pPr>
            <w:r>
              <w:rPr>
                <w:rFonts w:ascii="黑体" w:eastAsia="黑体" w:hAnsi="黑体" w:hint="eastAsia"/>
                <w:sz w:val="20"/>
                <w:szCs w:val="20"/>
              </w:rPr>
              <w:t>非必填项</w:t>
            </w:r>
            <w:r w:rsidR="009F0A60">
              <w:rPr>
                <w:rFonts w:ascii="黑体" w:eastAsia="黑体" w:hAnsi="黑体" w:hint="eastAsia"/>
                <w:sz w:val="20"/>
                <w:szCs w:val="20"/>
              </w:rPr>
              <w:t>，</w:t>
            </w:r>
          </w:p>
          <w:p w14:paraId="5EB67D4D" w14:textId="77777777" w:rsidR="00A052DC" w:rsidRDefault="009F0A60">
            <w:pPr>
              <w:rPr>
                <w:rFonts w:ascii="黑体" w:eastAsia="黑体" w:hAnsi="黑体"/>
                <w:sz w:val="20"/>
                <w:szCs w:val="20"/>
              </w:rPr>
            </w:pPr>
            <w:r>
              <w:rPr>
                <w:rFonts w:ascii="黑体" w:eastAsia="黑体" w:hAnsi="黑体" w:hint="eastAsia"/>
                <w:sz w:val="20"/>
                <w:szCs w:val="20"/>
              </w:rPr>
              <w:t>1、纸质申报或电子凭证申报</w:t>
            </w:r>
          </w:p>
          <w:p w14:paraId="19F1E5C4" w14:textId="77777777" w:rsidR="00A052DC" w:rsidRDefault="009F0A60">
            <w:pPr>
              <w:rPr>
                <w:rFonts w:ascii="黑体" w:eastAsia="黑体" w:hAnsi="黑体"/>
                <w:sz w:val="20"/>
                <w:szCs w:val="20"/>
              </w:rPr>
            </w:pPr>
            <w:r>
              <w:rPr>
                <w:rFonts w:ascii="黑体" w:eastAsia="黑体" w:hAnsi="黑体" w:hint="eastAsia"/>
                <w:sz w:val="20"/>
                <w:szCs w:val="20"/>
              </w:rPr>
              <w:t>2、网上申报</w:t>
            </w:r>
          </w:p>
          <w:p w14:paraId="70084E2B" w14:textId="77777777" w:rsidR="00A052DC" w:rsidRDefault="009F0A60">
            <w:pPr>
              <w:rPr>
                <w:rFonts w:ascii="黑体" w:eastAsia="黑体" w:hAnsi="黑体"/>
                <w:sz w:val="20"/>
                <w:szCs w:val="20"/>
              </w:rPr>
            </w:pPr>
            <w:r>
              <w:rPr>
                <w:rFonts w:ascii="黑体" w:eastAsia="黑体" w:hAnsi="黑体" w:hint="eastAsia"/>
                <w:sz w:val="20"/>
                <w:szCs w:val="20"/>
              </w:rPr>
              <w:t>因银行只能通过银行版为企业开通网上申报并打印初始密码等信息，故银行版接口导入程序仅对此项进行格式检查，不改变银行版中组织机构基本情况表的申报方式。</w:t>
            </w:r>
          </w:p>
        </w:tc>
      </w:tr>
      <w:tr w:rsidR="00A052DC" w14:paraId="019FC89B" w14:textId="77777777">
        <w:tc>
          <w:tcPr>
            <w:tcW w:w="1843" w:type="dxa"/>
            <w:tcBorders>
              <w:top w:val="single" w:sz="4" w:space="0" w:color="auto"/>
              <w:left w:val="single" w:sz="4" w:space="0" w:color="auto"/>
              <w:bottom w:val="single" w:sz="4" w:space="0" w:color="auto"/>
              <w:right w:val="single" w:sz="4" w:space="0" w:color="auto"/>
            </w:tcBorders>
          </w:tcPr>
          <w:p w14:paraId="199D0F56" w14:textId="77777777" w:rsidR="00A052DC" w:rsidRDefault="009F0A60">
            <w:pPr>
              <w:rPr>
                <w:rFonts w:ascii="黑体" w:eastAsia="黑体" w:hAnsi="黑体"/>
                <w:sz w:val="20"/>
                <w:szCs w:val="20"/>
              </w:rPr>
            </w:pPr>
            <w:r>
              <w:rPr>
                <w:rFonts w:ascii="黑体" w:eastAsia="黑体" w:hAnsi="黑体"/>
                <w:sz w:val="20"/>
                <w:szCs w:val="20"/>
              </w:rPr>
              <w:t>ECEXADDR</w:t>
            </w:r>
          </w:p>
        </w:tc>
        <w:tc>
          <w:tcPr>
            <w:tcW w:w="1560" w:type="dxa"/>
            <w:tcBorders>
              <w:top w:val="single" w:sz="4" w:space="0" w:color="auto"/>
              <w:left w:val="single" w:sz="4" w:space="0" w:color="auto"/>
              <w:bottom w:val="single" w:sz="4" w:space="0" w:color="auto"/>
              <w:right w:val="single" w:sz="4" w:space="0" w:color="auto"/>
            </w:tcBorders>
          </w:tcPr>
          <w:p w14:paraId="39621A21" w14:textId="77777777" w:rsidR="00A052DC" w:rsidRDefault="009F0A60">
            <w:pPr>
              <w:rPr>
                <w:rFonts w:ascii="黑体" w:eastAsia="黑体" w:hAnsi="黑体"/>
                <w:sz w:val="20"/>
                <w:szCs w:val="20"/>
              </w:rPr>
            </w:pPr>
            <w:r>
              <w:rPr>
                <w:rFonts w:ascii="黑体" w:eastAsia="黑体" w:hAnsi="黑体" w:hint="eastAsia"/>
                <w:sz w:val="20"/>
                <w:szCs w:val="20"/>
              </w:rPr>
              <w:t xml:space="preserve">交易用eMail </w:t>
            </w:r>
          </w:p>
        </w:tc>
        <w:tc>
          <w:tcPr>
            <w:tcW w:w="1701" w:type="dxa"/>
            <w:tcBorders>
              <w:top w:val="single" w:sz="4" w:space="0" w:color="auto"/>
              <w:left w:val="single" w:sz="4" w:space="0" w:color="auto"/>
              <w:bottom w:val="single" w:sz="4" w:space="0" w:color="auto"/>
              <w:right w:val="single" w:sz="4" w:space="0" w:color="auto"/>
            </w:tcBorders>
          </w:tcPr>
          <w:p w14:paraId="03912D32"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3543" w:type="dxa"/>
            <w:tcBorders>
              <w:top w:val="single" w:sz="4" w:space="0" w:color="auto"/>
              <w:left w:val="single" w:sz="4" w:space="0" w:color="auto"/>
              <w:bottom w:val="single" w:sz="4" w:space="0" w:color="auto"/>
              <w:right w:val="single" w:sz="4" w:space="0" w:color="auto"/>
            </w:tcBorders>
          </w:tcPr>
          <w:p w14:paraId="737F9C65" w14:textId="77777777" w:rsidR="00A052DC" w:rsidRDefault="00DD6AA3">
            <w:pPr>
              <w:rPr>
                <w:rFonts w:ascii="黑体" w:eastAsia="黑体" w:hAnsi="黑体"/>
                <w:sz w:val="20"/>
                <w:szCs w:val="20"/>
              </w:rPr>
            </w:pPr>
            <w:r>
              <w:rPr>
                <w:rFonts w:ascii="黑体" w:eastAsia="黑体" w:hAnsi="黑体" w:hint="eastAsia"/>
                <w:sz w:val="20"/>
                <w:szCs w:val="20"/>
              </w:rPr>
              <w:t>非必填项</w:t>
            </w:r>
            <w:r w:rsidR="009F0A60">
              <w:rPr>
                <w:rFonts w:ascii="黑体" w:eastAsia="黑体" w:hAnsi="黑体" w:hint="eastAsia"/>
                <w:sz w:val="20"/>
                <w:szCs w:val="20"/>
              </w:rPr>
              <w:t>。</w:t>
            </w:r>
          </w:p>
        </w:tc>
      </w:tr>
      <w:tr w:rsidR="00A052DC" w14:paraId="2C0CD782" w14:textId="77777777">
        <w:tc>
          <w:tcPr>
            <w:tcW w:w="1843" w:type="dxa"/>
            <w:tcBorders>
              <w:top w:val="single" w:sz="4" w:space="0" w:color="auto"/>
              <w:left w:val="single" w:sz="4" w:space="0" w:color="auto"/>
              <w:bottom w:val="single" w:sz="4" w:space="0" w:color="auto"/>
              <w:right w:val="single" w:sz="4" w:space="0" w:color="auto"/>
            </w:tcBorders>
          </w:tcPr>
          <w:p w14:paraId="69DF83CD" w14:textId="77777777" w:rsidR="00A052DC" w:rsidRDefault="009F0A60">
            <w:pPr>
              <w:rPr>
                <w:rFonts w:ascii="黑体" w:eastAsia="黑体" w:hAnsi="黑体"/>
                <w:sz w:val="20"/>
                <w:szCs w:val="20"/>
              </w:rPr>
            </w:pPr>
            <w:r>
              <w:rPr>
                <w:rFonts w:ascii="黑体" w:eastAsia="黑体" w:hAnsi="黑体"/>
                <w:sz w:val="20"/>
                <w:szCs w:val="20"/>
              </w:rPr>
              <w:t>REMARKS</w:t>
            </w:r>
          </w:p>
        </w:tc>
        <w:tc>
          <w:tcPr>
            <w:tcW w:w="1560" w:type="dxa"/>
            <w:tcBorders>
              <w:top w:val="single" w:sz="4" w:space="0" w:color="auto"/>
              <w:left w:val="single" w:sz="4" w:space="0" w:color="auto"/>
              <w:bottom w:val="single" w:sz="4" w:space="0" w:color="auto"/>
              <w:right w:val="single" w:sz="4" w:space="0" w:color="auto"/>
            </w:tcBorders>
          </w:tcPr>
          <w:p w14:paraId="3ED030BB" w14:textId="77777777" w:rsidR="00A052DC" w:rsidRDefault="009F0A60">
            <w:pPr>
              <w:rPr>
                <w:rFonts w:ascii="黑体" w:eastAsia="黑体" w:hAnsi="黑体"/>
                <w:sz w:val="20"/>
                <w:szCs w:val="20"/>
              </w:rPr>
            </w:pPr>
            <w:r>
              <w:rPr>
                <w:rFonts w:ascii="黑体" w:eastAsia="黑体" w:hAnsi="黑体" w:hint="eastAsia"/>
                <w:sz w:val="20"/>
                <w:szCs w:val="20"/>
              </w:rPr>
              <w:t>备注</w:t>
            </w:r>
          </w:p>
        </w:tc>
        <w:tc>
          <w:tcPr>
            <w:tcW w:w="1701" w:type="dxa"/>
            <w:tcBorders>
              <w:top w:val="single" w:sz="4" w:space="0" w:color="auto"/>
              <w:left w:val="single" w:sz="4" w:space="0" w:color="auto"/>
              <w:bottom w:val="single" w:sz="4" w:space="0" w:color="auto"/>
              <w:right w:val="single" w:sz="4" w:space="0" w:color="auto"/>
            </w:tcBorders>
          </w:tcPr>
          <w:p w14:paraId="53EA5265"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3543" w:type="dxa"/>
            <w:tcBorders>
              <w:top w:val="single" w:sz="4" w:space="0" w:color="auto"/>
              <w:left w:val="single" w:sz="4" w:space="0" w:color="auto"/>
              <w:bottom w:val="single" w:sz="4" w:space="0" w:color="auto"/>
              <w:right w:val="single" w:sz="4" w:space="0" w:color="auto"/>
            </w:tcBorders>
          </w:tcPr>
          <w:p w14:paraId="5F67CC13" w14:textId="77777777" w:rsidR="00A052DC" w:rsidRDefault="00DD6AA3">
            <w:pPr>
              <w:rPr>
                <w:rFonts w:ascii="黑体" w:eastAsia="黑体" w:hAnsi="黑体"/>
                <w:sz w:val="20"/>
                <w:szCs w:val="20"/>
              </w:rPr>
            </w:pPr>
            <w:r>
              <w:rPr>
                <w:rFonts w:ascii="黑体" w:eastAsia="黑体" w:hAnsi="黑体" w:hint="eastAsia"/>
                <w:sz w:val="20"/>
                <w:szCs w:val="20"/>
              </w:rPr>
              <w:t>非必填项</w:t>
            </w:r>
            <w:r w:rsidR="009F0A60">
              <w:rPr>
                <w:rFonts w:ascii="黑体" w:eastAsia="黑体" w:hAnsi="黑体" w:hint="eastAsia"/>
                <w:sz w:val="20"/>
                <w:szCs w:val="20"/>
              </w:rPr>
              <w:t>。</w:t>
            </w:r>
          </w:p>
        </w:tc>
      </w:tr>
      <w:tr w:rsidR="00A052DC" w14:paraId="66EB76F4" w14:textId="77777777">
        <w:tc>
          <w:tcPr>
            <w:tcW w:w="1843" w:type="dxa"/>
            <w:tcBorders>
              <w:top w:val="single" w:sz="4" w:space="0" w:color="auto"/>
              <w:left w:val="single" w:sz="4" w:space="0" w:color="auto"/>
              <w:bottom w:val="single" w:sz="4" w:space="0" w:color="auto"/>
              <w:right w:val="single" w:sz="4" w:space="0" w:color="auto"/>
            </w:tcBorders>
            <w:shd w:val="clear" w:color="auto" w:fill="auto"/>
          </w:tcPr>
          <w:p w14:paraId="03B47191" w14:textId="77777777" w:rsidR="00A052DC" w:rsidRDefault="009F0A60">
            <w:pPr>
              <w:rPr>
                <w:rFonts w:ascii="黑体" w:eastAsia="黑体" w:hAnsi="黑体"/>
                <w:sz w:val="20"/>
                <w:szCs w:val="20"/>
              </w:rPr>
            </w:pPr>
            <w:r>
              <w:rPr>
                <w:rFonts w:ascii="黑体" w:eastAsia="黑体" w:hAnsi="黑体" w:hint="eastAsia"/>
                <w:sz w:val="20"/>
                <w:szCs w:val="20"/>
              </w:rPr>
              <w:t>以下为开户/经办信息</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C758B43" w14:textId="77777777" w:rsidR="00A052DC" w:rsidRDefault="00A052DC">
            <w:pPr>
              <w:keepNext/>
              <w:keepLines/>
              <w:spacing w:before="120" w:after="120" w:line="360" w:lineRule="auto"/>
              <w:outlineLvl w:val="2"/>
              <w:rPr>
                <w:rFonts w:ascii="黑体" w:eastAsia="黑体" w:hAnsi="黑体"/>
                <w:sz w:val="20"/>
                <w:szCs w:val="20"/>
              </w:rPr>
            </w:pPr>
            <w:bookmarkStart w:id="925" w:name="_Toc454386747"/>
            <w:bookmarkEnd w:id="925"/>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46C5D0A" w14:textId="77777777" w:rsidR="00A052DC" w:rsidRDefault="00A052DC">
            <w:pPr>
              <w:keepNext/>
              <w:keepLines/>
              <w:spacing w:before="120" w:after="120" w:line="360" w:lineRule="auto"/>
              <w:outlineLvl w:val="2"/>
              <w:rPr>
                <w:rFonts w:ascii="黑体" w:eastAsia="黑体" w:hAnsi="黑体"/>
                <w:sz w:val="20"/>
                <w:szCs w:val="20"/>
              </w:rPr>
            </w:pPr>
            <w:bookmarkStart w:id="926" w:name="_Toc454386748"/>
            <w:bookmarkEnd w:id="926"/>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4C39F7FD" w14:textId="77777777" w:rsidR="00A052DC" w:rsidRDefault="009F0A60">
            <w:pPr>
              <w:rPr>
                <w:rFonts w:ascii="黑体" w:eastAsia="黑体" w:hAnsi="黑体"/>
                <w:sz w:val="20"/>
                <w:szCs w:val="20"/>
              </w:rPr>
            </w:pPr>
            <w:r>
              <w:rPr>
                <w:rFonts w:ascii="黑体" w:eastAsia="黑体" w:hAnsi="黑体" w:hint="eastAsia"/>
                <w:sz w:val="20"/>
                <w:szCs w:val="20"/>
              </w:rPr>
              <w:t>开户/经办信息记录数</w:t>
            </w:r>
            <w:r>
              <w:rPr>
                <w:rFonts w:ascii="黑体" w:eastAsia="黑体" w:hAnsi="黑体"/>
                <w:sz w:val="20"/>
                <w:szCs w:val="20"/>
              </w:rPr>
              <w:t>&gt;</w:t>
            </w:r>
            <w:r>
              <w:rPr>
                <w:rFonts w:ascii="黑体" w:eastAsia="黑体" w:hAnsi="黑体" w:hint="eastAsia"/>
                <w:sz w:val="20"/>
                <w:szCs w:val="20"/>
              </w:rPr>
              <w:t>=1。同一笔组织机构基本情况表下开户/经办信息中金融机构标识码不能重复。</w:t>
            </w:r>
          </w:p>
        </w:tc>
      </w:tr>
      <w:tr w:rsidR="00A052DC" w14:paraId="1FA44A66" w14:textId="77777777">
        <w:tc>
          <w:tcPr>
            <w:tcW w:w="1843" w:type="dxa"/>
            <w:tcBorders>
              <w:top w:val="single" w:sz="4" w:space="0" w:color="auto"/>
              <w:left w:val="single" w:sz="4" w:space="0" w:color="auto"/>
              <w:bottom w:val="single" w:sz="4" w:space="0" w:color="auto"/>
              <w:right w:val="single" w:sz="4" w:space="0" w:color="auto"/>
            </w:tcBorders>
          </w:tcPr>
          <w:p w14:paraId="723F6ADE" w14:textId="77777777" w:rsidR="00A052DC" w:rsidRDefault="009F0A60">
            <w:pPr>
              <w:rPr>
                <w:rFonts w:ascii="黑体" w:eastAsia="黑体" w:hAnsi="黑体"/>
                <w:sz w:val="20"/>
                <w:szCs w:val="20"/>
              </w:rPr>
            </w:pPr>
            <w:r>
              <w:rPr>
                <w:rFonts w:ascii="黑体" w:eastAsia="黑体" w:hAnsi="黑体"/>
                <w:sz w:val="20"/>
                <w:szCs w:val="20"/>
              </w:rPr>
              <w:t>BRANCHCODE</w:t>
            </w:r>
          </w:p>
        </w:tc>
        <w:tc>
          <w:tcPr>
            <w:tcW w:w="1560" w:type="dxa"/>
            <w:tcBorders>
              <w:top w:val="single" w:sz="4" w:space="0" w:color="auto"/>
              <w:left w:val="single" w:sz="4" w:space="0" w:color="auto"/>
              <w:bottom w:val="single" w:sz="4" w:space="0" w:color="auto"/>
              <w:right w:val="single" w:sz="4" w:space="0" w:color="auto"/>
            </w:tcBorders>
          </w:tcPr>
          <w:p w14:paraId="05F3CD00" w14:textId="77777777" w:rsidR="00A052DC" w:rsidRDefault="009F0A60">
            <w:pPr>
              <w:rPr>
                <w:rFonts w:ascii="黑体" w:eastAsia="黑体" w:hAnsi="黑体"/>
                <w:sz w:val="20"/>
                <w:szCs w:val="20"/>
              </w:rPr>
            </w:pPr>
            <w:r>
              <w:rPr>
                <w:rFonts w:ascii="黑体" w:eastAsia="黑体" w:hAnsi="黑体" w:hint="eastAsia"/>
                <w:sz w:val="20"/>
                <w:szCs w:val="20"/>
              </w:rPr>
              <w:t>金融机构标识码</w:t>
            </w:r>
          </w:p>
        </w:tc>
        <w:tc>
          <w:tcPr>
            <w:tcW w:w="1701" w:type="dxa"/>
            <w:tcBorders>
              <w:top w:val="single" w:sz="4" w:space="0" w:color="auto"/>
              <w:left w:val="single" w:sz="4" w:space="0" w:color="auto"/>
              <w:bottom w:val="single" w:sz="4" w:space="0" w:color="auto"/>
              <w:right w:val="single" w:sz="4" w:space="0" w:color="auto"/>
            </w:tcBorders>
          </w:tcPr>
          <w:p w14:paraId="750C2056" w14:textId="77777777" w:rsidR="00A052DC" w:rsidRDefault="009F0A60">
            <w:pPr>
              <w:rPr>
                <w:rFonts w:ascii="黑体" w:eastAsia="黑体" w:hAnsi="黑体"/>
                <w:sz w:val="20"/>
                <w:szCs w:val="20"/>
              </w:rPr>
            </w:pPr>
            <w:r>
              <w:rPr>
                <w:rFonts w:ascii="黑体" w:eastAsia="黑体" w:hAnsi="黑体" w:hint="eastAsia"/>
                <w:sz w:val="20"/>
                <w:szCs w:val="20"/>
              </w:rPr>
              <w:t>字符型，12</w:t>
            </w:r>
          </w:p>
        </w:tc>
        <w:tc>
          <w:tcPr>
            <w:tcW w:w="3543" w:type="dxa"/>
            <w:tcBorders>
              <w:top w:val="single" w:sz="4" w:space="0" w:color="auto"/>
              <w:left w:val="single" w:sz="4" w:space="0" w:color="auto"/>
              <w:bottom w:val="single" w:sz="4" w:space="0" w:color="auto"/>
              <w:right w:val="single" w:sz="4" w:space="0" w:color="auto"/>
            </w:tcBorders>
          </w:tcPr>
          <w:p w14:paraId="6D416AF1" w14:textId="77777777" w:rsidR="00A052DC" w:rsidRDefault="00C40CCF">
            <w:pPr>
              <w:rPr>
                <w:rFonts w:ascii="黑体" w:eastAsia="黑体" w:hAnsi="黑体"/>
                <w:sz w:val="20"/>
                <w:szCs w:val="20"/>
              </w:rPr>
            </w:pPr>
            <w:r>
              <w:rPr>
                <w:rFonts w:ascii="黑体" w:eastAsia="黑体" w:hAnsi="黑体" w:hint="eastAsia"/>
                <w:sz w:val="20"/>
                <w:szCs w:val="20"/>
              </w:rPr>
              <w:t>必填项</w:t>
            </w:r>
            <w:r w:rsidR="009F0A60">
              <w:rPr>
                <w:rFonts w:ascii="黑体" w:eastAsia="黑体" w:hAnsi="黑体" w:hint="eastAsia"/>
                <w:sz w:val="20"/>
                <w:szCs w:val="20"/>
              </w:rPr>
              <w:t>，</w:t>
            </w:r>
          </w:p>
          <w:p w14:paraId="01B08861" w14:textId="77777777" w:rsidR="00A052DC" w:rsidRDefault="009F0A60">
            <w:pPr>
              <w:rPr>
                <w:rFonts w:ascii="黑体" w:eastAsia="黑体" w:hAnsi="黑体"/>
                <w:sz w:val="20"/>
                <w:szCs w:val="20"/>
              </w:rPr>
            </w:pPr>
            <w:r>
              <w:rPr>
                <w:rFonts w:ascii="黑体" w:eastAsia="黑体" w:hAnsi="黑体" w:hint="eastAsia"/>
                <w:sz w:val="20"/>
                <w:szCs w:val="20"/>
              </w:rPr>
              <w:t>开户/经办银行的金融机构标识码，</w:t>
            </w:r>
          </w:p>
          <w:p w14:paraId="6C6CA935" w14:textId="77777777" w:rsidR="00A052DC" w:rsidRDefault="009F0A60">
            <w:pPr>
              <w:rPr>
                <w:rFonts w:ascii="黑体" w:eastAsia="黑体" w:hAnsi="黑体"/>
                <w:sz w:val="20"/>
                <w:szCs w:val="20"/>
              </w:rPr>
            </w:pPr>
            <w:r>
              <w:rPr>
                <w:rFonts w:ascii="黑体" w:eastAsia="黑体" w:hAnsi="黑体" w:hint="eastAsia"/>
                <w:sz w:val="20"/>
                <w:szCs w:val="20"/>
              </w:rPr>
              <w:t>必须是文件名中金融机构所管辖的且在银行版金融机构基本情况表中存在的记录。</w:t>
            </w:r>
          </w:p>
        </w:tc>
      </w:tr>
      <w:tr w:rsidR="00A052DC" w14:paraId="112999E2" w14:textId="77777777">
        <w:tc>
          <w:tcPr>
            <w:tcW w:w="1843" w:type="dxa"/>
            <w:tcBorders>
              <w:top w:val="single" w:sz="4" w:space="0" w:color="auto"/>
              <w:left w:val="single" w:sz="4" w:space="0" w:color="auto"/>
              <w:bottom w:val="single" w:sz="4" w:space="0" w:color="auto"/>
              <w:right w:val="single" w:sz="4" w:space="0" w:color="auto"/>
            </w:tcBorders>
          </w:tcPr>
          <w:p w14:paraId="7CC6E412" w14:textId="77777777" w:rsidR="00A052DC" w:rsidRDefault="009F0A60">
            <w:pPr>
              <w:rPr>
                <w:rFonts w:ascii="黑体" w:eastAsia="黑体" w:hAnsi="黑体"/>
                <w:sz w:val="20"/>
                <w:szCs w:val="20"/>
              </w:rPr>
            </w:pPr>
            <w:r>
              <w:rPr>
                <w:rFonts w:ascii="黑体" w:eastAsia="黑体" w:hAnsi="黑体"/>
                <w:sz w:val="20"/>
                <w:szCs w:val="20"/>
              </w:rPr>
              <w:t>CONTACT</w:t>
            </w:r>
          </w:p>
        </w:tc>
        <w:tc>
          <w:tcPr>
            <w:tcW w:w="1560" w:type="dxa"/>
            <w:tcBorders>
              <w:top w:val="single" w:sz="4" w:space="0" w:color="auto"/>
              <w:left w:val="single" w:sz="4" w:space="0" w:color="auto"/>
              <w:bottom w:val="single" w:sz="4" w:space="0" w:color="auto"/>
              <w:right w:val="single" w:sz="4" w:space="0" w:color="auto"/>
            </w:tcBorders>
          </w:tcPr>
          <w:p w14:paraId="75288F81" w14:textId="77777777" w:rsidR="00A052DC" w:rsidRDefault="009F0A60">
            <w:pPr>
              <w:rPr>
                <w:rFonts w:ascii="黑体" w:eastAsia="黑体" w:hAnsi="黑体"/>
                <w:sz w:val="20"/>
                <w:szCs w:val="20"/>
              </w:rPr>
            </w:pPr>
            <w:r>
              <w:rPr>
                <w:rFonts w:ascii="黑体" w:eastAsia="黑体" w:hAnsi="黑体" w:hint="eastAsia"/>
                <w:sz w:val="20"/>
                <w:szCs w:val="20"/>
              </w:rPr>
              <w:t>单位联系人</w:t>
            </w:r>
          </w:p>
        </w:tc>
        <w:tc>
          <w:tcPr>
            <w:tcW w:w="1701" w:type="dxa"/>
            <w:tcBorders>
              <w:top w:val="single" w:sz="4" w:space="0" w:color="auto"/>
              <w:left w:val="single" w:sz="4" w:space="0" w:color="auto"/>
              <w:bottom w:val="single" w:sz="4" w:space="0" w:color="auto"/>
              <w:right w:val="single" w:sz="4" w:space="0" w:color="auto"/>
            </w:tcBorders>
          </w:tcPr>
          <w:p w14:paraId="30164991" w14:textId="77777777" w:rsidR="00A052DC" w:rsidRDefault="009F0A60">
            <w:pPr>
              <w:rPr>
                <w:rFonts w:ascii="黑体" w:eastAsia="黑体" w:hAnsi="黑体"/>
                <w:sz w:val="20"/>
                <w:szCs w:val="20"/>
              </w:rPr>
            </w:pPr>
            <w:r>
              <w:rPr>
                <w:rFonts w:ascii="黑体" w:eastAsia="黑体" w:hAnsi="黑体" w:hint="eastAsia"/>
                <w:sz w:val="20"/>
                <w:szCs w:val="20"/>
              </w:rPr>
              <w:t>字符型，40</w:t>
            </w:r>
          </w:p>
        </w:tc>
        <w:tc>
          <w:tcPr>
            <w:tcW w:w="3543" w:type="dxa"/>
            <w:tcBorders>
              <w:top w:val="single" w:sz="4" w:space="0" w:color="auto"/>
              <w:left w:val="single" w:sz="4" w:space="0" w:color="auto"/>
              <w:bottom w:val="single" w:sz="4" w:space="0" w:color="auto"/>
              <w:right w:val="single" w:sz="4" w:space="0" w:color="auto"/>
            </w:tcBorders>
          </w:tcPr>
          <w:p w14:paraId="62110356" w14:textId="77777777" w:rsidR="00A052DC" w:rsidRDefault="00DD6AA3">
            <w:pPr>
              <w:rPr>
                <w:rFonts w:ascii="黑体" w:eastAsia="黑体" w:hAnsi="黑体"/>
                <w:sz w:val="20"/>
                <w:szCs w:val="20"/>
              </w:rPr>
            </w:pPr>
            <w:r>
              <w:rPr>
                <w:rFonts w:ascii="黑体" w:eastAsia="黑体" w:hAnsi="黑体" w:hint="eastAsia"/>
                <w:sz w:val="20"/>
                <w:szCs w:val="20"/>
              </w:rPr>
              <w:t>非必填项</w:t>
            </w:r>
            <w:r w:rsidR="009F0A60">
              <w:rPr>
                <w:rFonts w:ascii="黑体" w:eastAsia="黑体" w:hAnsi="黑体" w:hint="eastAsia"/>
                <w:sz w:val="20"/>
                <w:szCs w:val="20"/>
              </w:rPr>
              <w:t>，</w:t>
            </w:r>
          </w:p>
          <w:p w14:paraId="41B9D4E8" w14:textId="77777777" w:rsidR="00A052DC" w:rsidRDefault="009F0A60">
            <w:pPr>
              <w:rPr>
                <w:rFonts w:ascii="黑体" w:eastAsia="黑体" w:hAnsi="黑体"/>
                <w:sz w:val="20"/>
                <w:szCs w:val="20"/>
              </w:rPr>
            </w:pPr>
            <w:r>
              <w:rPr>
                <w:rFonts w:ascii="黑体" w:eastAsia="黑体" w:hAnsi="黑体" w:hint="eastAsia"/>
                <w:sz w:val="20"/>
                <w:szCs w:val="20"/>
              </w:rPr>
              <w:t>该单位与开户/经办银行联系的人员，。</w:t>
            </w:r>
          </w:p>
        </w:tc>
      </w:tr>
      <w:tr w:rsidR="00A052DC" w14:paraId="48170FFF" w14:textId="77777777">
        <w:tc>
          <w:tcPr>
            <w:tcW w:w="1843" w:type="dxa"/>
            <w:tcBorders>
              <w:top w:val="single" w:sz="4" w:space="0" w:color="auto"/>
              <w:left w:val="single" w:sz="4" w:space="0" w:color="auto"/>
              <w:bottom w:val="single" w:sz="4" w:space="0" w:color="auto"/>
              <w:right w:val="single" w:sz="4" w:space="0" w:color="auto"/>
            </w:tcBorders>
          </w:tcPr>
          <w:p w14:paraId="04011F2A" w14:textId="77777777" w:rsidR="00A052DC" w:rsidRDefault="009F0A60">
            <w:pPr>
              <w:rPr>
                <w:rFonts w:ascii="黑体" w:eastAsia="黑体" w:hAnsi="黑体"/>
                <w:sz w:val="20"/>
                <w:szCs w:val="20"/>
              </w:rPr>
            </w:pPr>
            <w:r>
              <w:rPr>
                <w:rFonts w:ascii="黑体" w:eastAsia="黑体" w:hAnsi="黑体"/>
                <w:sz w:val="20"/>
                <w:szCs w:val="20"/>
              </w:rPr>
              <w:t>TEL</w:t>
            </w:r>
          </w:p>
        </w:tc>
        <w:tc>
          <w:tcPr>
            <w:tcW w:w="1560" w:type="dxa"/>
            <w:tcBorders>
              <w:top w:val="single" w:sz="4" w:space="0" w:color="auto"/>
              <w:left w:val="single" w:sz="4" w:space="0" w:color="auto"/>
              <w:bottom w:val="single" w:sz="4" w:space="0" w:color="auto"/>
              <w:right w:val="single" w:sz="4" w:space="0" w:color="auto"/>
            </w:tcBorders>
          </w:tcPr>
          <w:p w14:paraId="3A153A3E" w14:textId="77777777" w:rsidR="00A052DC" w:rsidRDefault="009F0A60">
            <w:pPr>
              <w:rPr>
                <w:rFonts w:ascii="黑体" w:eastAsia="黑体" w:hAnsi="黑体"/>
                <w:sz w:val="20"/>
                <w:szCs w:val="20"/>
              </w:rPr>
            </w:pPr>
            <w:r>
              <w:rPr>
                <w:rFonts w:ascii="黑体" w:eastAsia="黑体" w:hAnsi="黑体" w:hint="eastAsia"/>
                <w:sz w:val="20"/>
                <w:szCs w:val="20"/>
              </w:rPr>
              <w:t>单位联系电话</w:t>
            </w:r>
          </w:p>
        </w:tc>
        <w:tc>
          <w:tcPr>
            <w:tcW w:w="1701" w:type="dxa"/>
            <w:tcBorders>
              <w:top w:val="single" w:sz="4" w:space="0" w:color="auto"/>
              <w:left w:val="single" w:sz="4" w:space="0" w:color="auto"/>
              <w:bottom w:val="single" w:sz="4" w:space="0" w:color="auto"/>
              <w:right w:val="single" w:sz="4" w:space="0" w:color="auto"/>
            </w:tcBorders>
          </w:tcPr>
          <w:p w14:paraId="5B6827E6" w14:textId="77777777" w:rsidR="00A052DC" w:rsidRDefault="009F0A60">
            <w:pPr>
              <w:rPr>
                <w:rFonts w:ascii="黑体" w:eastAsia="黑体" w:hAnsi="黑体"/>
                <w:sz w:val="20"/>
                <w:szCs w:val="20"/>
              </w:rPr>
            </w:pPr>
            <w:r>
              <w:rPr>
                <w:rFonts w:ascii="黑体" w:eastAsia="黑体" w:hAnsi="黑体" w:hint="eastAsia"/>
                <w:sz w:val="20"/>
                <w:szCs w:val="20"/>
              </w:rPr>
              <w:t>字符型，20</w:t>
            </w:r>
          </w:p>
        </w:tc>
        <w:tc>
          <w:tcPr>
            <w:tcW w:w="3543" w:type="dxa"/>
            <w:tcBorders>
              <w:top w:val="single" w:sz="4" w:space="0" w:color="auto"/>
              <w:left w:val="single" w:sz="4" w:space="0" w:color="auto"/>
              <w:bottom w:val="single" w:sz="4" w:space="0" w:color="auto"/>
              <w:right w:val="single" w:sz="4" w:space="0" w:color="auto"/>
            </w:tcBorders>
          </w:tcPr>
          <w:p w14:paraId="45CF986B" w14:textId="77777777" w:rsidR="00A052DC" w:rsidRDefault="00DD6AA3">
            <w:pPr>
              <w:rPr>
                <w:rFonts w:ascii="黑体" w:eastAsia="黑体" w:hAnsi="黑体"/>
                <w:sz w:val="20"/>
                <w:szCs w:val="20"/>
              </w:rPr>
            </w:pPr>
            <w:r>
              <w:rPr>
                <w:rFonts w:ascii="黑体" w:eastAsia="黑体" w:hAnsi="黑体" w:hint="eastAsia"/>
                <w:sz w:val="20"/>
                <w:szCs w:val="20"/>
              </w:rPr>
              <w:t>非必填项</w:t>
            </w:r>
            <w:r w:rsidR="009F0A60">
              <w:rPr>
                <w:rFonts w:ascii="黑体" w:eastAsia="黑体" w:hAnsi="黑体" w:hint="eastAsia"/>
                <w:sz w:val="20"/>
                <w:szCs w:val="20"/>
              </w:rPr>
              <w:t>，该单位与开户/经办银行联系的人员电话。</w:t>
            </w:r>
          </w:p>
        </w:tc>
      </w:tr>
      <w:tr w:rsidR="00A052DC" w14:paraId="7EF1F7DF" w14:textId="77777777">
        <w:tc>
          <w:tcPr>
            <w:tcW w:w="1843" w:type="dxa"/>
            <w:tcBorders>
              <w:top w:val="single" w:sz="4" w:space="0" w:color="auto"/>
              <w:left w:val="single" w:sz="4" w:space="0" w:color="auto"/>
              <w:bottom w:val="single" w:sz="4" w:space="0" w:color="auto"/>
              <w:right w:val="single" w:sz="4" w:space="0" w:color="auto"/>
            </w:tcBorders>
          </w:tcPr>
          <w:p w14:paraId="37CD7C49" w14:textId="77777777" w:rsidR="00A052DC" w:rsidRDefault="009F0A60">
            <w:pPr>
              <w:rPr>
                <w:rFonts w:ascii="黑体" w:eastAsia="黑体" w:hAnsi="黑体"/>
                <w:sz w:val="20"/>
                <w:szCs w:val="20"/>
              </w:rPr>
            </w:pPr>
            <w:r>
              <w:rPr>
                <w:rFonts w:ascii="黑体" w:eastAsia="黑体" w:hAnsi="黑体"/>
                <w:sz w:val="20"/>
                <w:szCs w:val="20"/>
              </w:rPr>
              <w:t>FAX</w:t>
            </w:r>
          </w:p>
        </w:tc>
        <w:tc>
          <w:tcPr>
            <w:tcW w:w="1560" w:type="dxa"/>
            <w:tcBorders>
              <w:top w:val="single" w:sz="4" w:space="0" w:color="auto"/>
              <w:left w:val="single" w:sz="4" w:space="0" w:color="auto"/>
              <w:bottom w:val="single" w:sz="4" w:space="0" w:color="auto"/>
              <w:right w:val="single" w:sz="4" w:space="0" w:color="auto"/>
            </w:tcBorders>
          </w:tcPr>
          <w:p w14:paraId="6125BD68" w14:textId="77777777" w:rsidR="00A052DC" w:rsidRDefault="009F0A60">
            <w:pPr>
              <w:rPr>
                <w:rFonts w:ascii="黑体" w:eastAsia="黑体" w:hAnsi="黑体"/>
                <w:sz w:val="20"/>
                <w:szCs w:val="20"/>
              </w:rPr>
            </w:pPr>
            <w:r>
              <w:rPr>
                <w:rFonts w:ascii="黑体" w:eastAsia="黑体" w:hAnsi="黑体" w:hint="eastAsia"/>
                <w:sz w:val="20"/>
                <w:szCs w:val="20"/>
              </w:rPr>
              <w:t>建表日期</w:t>
            </w:r>
          </w:p>
        </w:tc>
        <w:tc>
          <w:tcPr>
            <w:tcW w:w="1701" w:type="dxa"/>
            <w:tcBorders>
              <w:top w:val="single" w:sz="4" w:space="0" w:color="auto"/>
              <w:left w:val="single" w:sz="4" w:space="0" w:color="auto"/>
              <w:bottom w:val="single" w:sz="4" w:space="0" w:color="auto"/>
              <w:right w:val="single" w:sz="4" w:space="0" w:color="auto"/>
            </w:tcBorders>
          </w:tcPr>
          <w:p w14:paraId="7FE02428" w14:textId="77777777" w:rsidR="00A052DC" w:rsidRDefault="009F0A60">
            <w:pPr>
              <w:rPr>
                <w:rFonts w:ascii="黑体" w:eastAsia="黑体" w:hAnsi="黑体"/>
                <w:sz w:val="20"/>
                <w:szCs w:val="20"/>
              </w:rPr>
            </w:pPr>
            <w:r>
              <w:rPr>
                <w:rFonts w:ascii="黑体" w:eastAsia="黑体" w:hAnsi="黑体" w:hint="eastAsia"/>
                <w:sz w:val="20"/>
                <w:szCs w:val="20"/>
              </w:rPr>
              <w:t>字符型，</w:t>
            </w:r>
            <w:r>
              <w:rPr>
                <w:rFonts w:ascii="黑体" w:eastAsia="黑体" w:hAnsi="黑体"/>
                <w:sz w:val="20"/>
                <w:szCs w:val="20"/>
              </w:rPr>
              <w:t>20</w:t>
            </w:r>
          </w:p>
        </w:tc>
        <w:tc>
          <w:tcPr>
            <w:tcW w:w="3543" w:type="dxa"/>
            <w:tcBorders>
              <w:top w:val="single" w:sz="4" w:space="0" w:color="auto"/>
              <w:left w:val="single" w:sz="4" w:space="0" w:color="auto"/>
              <w:bottom w:val="single" w:sz="4" w:space="0" w:color="auto"/>
              <w:right w:val="single" w:sz="4" w:space="0" w:color="auto"/>
            </w:tcBorders>
          </w:tcPr>
          <w:p w14:paraId="54D80984" w14:textId="77777777" w:rsidR="00A052DC" w:rsidRDefault="00DD6AA3">
            <w:pPr>
              <w:rPr>
                <w:rFonts w:ascii="黑体" w:eastAsia="黑体" w:hAnsi="黑体"/>
                <w:sz w:val="20"/>
                <w:szCs w:val="20"/>
              </w:rPr>
            </w:pPr>
            <w:r>
              <w:rPr>
                <w:rFonts w:ascii="黑体" w:eastAsia="黑体" w:hAnsi="黑体" w:hint="eastAsia"/>
                <w:sz w:val="20"/>
                <w:szCs w:val="20"/>
              </w:rPr>
              <w:t>非必填项</w:t>
            </w:r>
            <w:r w:rsidR="009F0A60">
              <w:rPr>
                <w:rFonts w:ascii="黑体" w:eastAsia="黑体" w:hAnsi="黑体" w:hint="eastAsia"/>
                <w:sz w:val="20"/>
                <w:szCs w:val="20"/>
              </w:rPr>
              <w:t>，格式为“</w:t>
            </w:r>
            <w:r w:rsidR="009F0A60">
              <w:rPr>
                <w:rFonts w:ascii="黑体" w:eastAsia="黑体" w:hAnsi="黑体"/>
                <w:sz w:val="20"/>
                <w:szCs w:val="20"/>
              </w:rPr>
              <w:t>YYYYMMDD”。</w:t>
            </w:r>
          </w:p>
        </w:tc>
      </w:tr>
    </w:tbl>
    <w:p w14:paraId="23BF2DEF" w14:textId="77777777" w:rsidR="00A052DC" w:rsidRDefault="009F0A60">
      <w:pPr>
        <w:pStyle w:val="2"/>
        <w:rPr>
          <w:rFonts w:ascii="Times New Roman" w:hAnsi="Times New Roman"/>
        </w:rPr>
      </w:pPr>
      <w:bookmarkStart w:id="927" w:name="_Toc455156482"/>
      <w:bookmarkStart w:id="928" w:name="_Toc455167658"/>
      <w:bookmarkStart w:id="929" w:name="_Toc454378120"/>
      <w:bookmarkStart w:id="930" w:name="_Toc455163933"/>
      <w:bookmarkStart w:id="931" w:name="_Toc455152754"/>
      <w:bookmarkStart w:id="932" w:name="_Toc454780112"/>
      <w:bookmarkStart w:id="933" w:name="_Toc454386749"/>
      <w:bookmarkStart w:id="934" w:name="_Toc454464735"/>
      <w:bookmarkStart w:id="935" w:name="_Toc454395042"/>
      <w:bookmarkStart w:id="936" w:name="_Toc454454818"/>
      <w:bookmarkStart w:id="937" w:name="_Toc91455264"/>
      <w:bookmarkStart w:id="938" w:name="_Toc454386750"/>
      <w:bookmarkStart w:id="939" w:name="_Toc101684437"/>
      <w:bookmarkEnd w:id="927"/>
      <w:bookmarkEnd w:id="928"/>
      <w:bookmarkEnd w:id="929"/>
      <w:bookmarkEnd w:id="930"/>
      <w:bookmarkEnd w:id="931"/>
      <w:bookmarkEnd w:id="932"/>
      <w:bookmarkEnd w:id="933"/>
      <w:bookmarkEnd w:id="934"/>
      <w:bookmarkEnd w:id="935"/>
      <w:bookmarkEnd w:id="936"/>
      <w:r>
        <w:rPr>
          <w:rFonts w:ascii="Times New Roman" w:hAnsi="Times New Roman" w:hint="eastAsia"/>
        </w:rPr>
        <w:t>涉外收支</w:t>
      </w:r>
      <w:bookmarkEnd w:id="937"/>
      <w:bookmarkEnd w:id="938"/>
      <w:bookmarkEnd w:id="939"/>
    </w:p>
    <w:p w14:paraId="7851F07A" w14:textId="77777777" w:rsidR="00A052DC" w:rsidRDefault="009F0A60" w:rsidP="0020251D">
      <w:pPr>
        <w:pStyle w:val="3"/>
        <w:ind w:left="0"/>
        <w:jc w:val="both"/>
      </w:pPr>
      <w:bookmarkStart w:id="940" w:name="_Toc91455265"/>
      <w:bookmarkStart w:id="941" w:name="_Toc454386751"/>
      <w:bookmarkStart w:id="942" w:name="_Toc101684438"/>
      <w:bookmarkStart w:id="943" w:name="_Toc380356236"/>
      <w:r>
        <w:rPr>
          <w:rFonts w:hint="eastAsia"/>
        </w:rPr>
        <w:t>涉外收入</w:t>
      </w:r>
      <w:r>
        <w:t>-</w:t>
      </w:r>
      <w:r>
        <w:rPr>
          <w:rFonts w:hint="eastAsia"/>
        </w:rPr>
        <w:t>基础信息</w:t>
      </w:r>
      <w:bookmarkEnd w:id="940"/>
      <w:bookmarkEnd w:id="941"/>
      <w:bookmarkEnd w:id="942"/>
    </w:p>
    <w:p w14:paraId="7A838389" w14:textId="77777777" w:rsidR="00A052DC" w:rsidRDefault="009F0A60" w:rsidP="0020251D">
      <w:pPr>
        <w:pStyle w:val="4"/>
        <w:numPr>
          <w:ilvl w:val="3"/>
          <w:numId w:val="1"/>
        </w:numPr>
        <w:jc w:val="left"/>
      </w:pPr>
      <w:bookmarkStart w:id="944" w:name="_Toc454386752"/>
      <w:r>
        <w:rPr>
          <w:rFonts w:hint="eastAsia"/>
        </w:rPr>
        <w:t>数据术语解释</w:t>
      </w:r>
      <w:bookmarkEnd w:id="944"/>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26"/>
        <w:gridCol w:w="7087"/>
      </w:tblGrid>
      <w:tr w:rsidR="00A052DC" w14:paraId="50BB07AD" w14:textId="77777777">
        <w:tc>
          <w:tcPr>
            <w:tcW w:w="1526" w:type="dxa"/>
          </w:tcPr>
          <w:p w14:paraId="225A0B7E" w14:textId="77777777" w:rsidR="00A052DC" w:rsidRDefault="009F0A60">
            <w:pPr>
              <w:jc w:val="center"/>
              <w:rPr>
                <w:rFonts w:ascii="黑体" w:eastAsia="黑体" w:hAnsi="黑体"/>
                <w:b/>
                <w:sz w:val="20"/>
                <w:szCs w:val="20"/>
              </w:rPr>
            </w:pPr>
            <w:r>
              <w:rPr>
                <w:rFonts w:ascii="黑体" w:eastAsia="黑体" w:hAnsi="黑体" w:hint="eastAsia"/>
                <w:b/>
                <w:sz w:val="20"/>
                <w:szCs w:val="20"/>
              </w:rPr>
              <w:t>基础数据项</w:t>
            </w:r>
          </w:p>
        </w:tc>
        <w:tc>
          <w:tcPr>
            <w:tcW w:w="7087" w:type="dxa"/>
          </w:tcPr>
          <w:p w14:paraId="7377A9D3" w14:textId="77777777" w:rsidR="00A052DC" w:rsidRDefault="009F0A60">
            <w:pPr>
              <w:jc w:val="center"/>
              <w:rPr>
                <w:rFonts w:ascii="黑体" w:eastAsia="黑体" w:hAnsi="黑体"/>
                <w:b/>
                <w:sz w:val="20"/>
                <w:szCs w:val="20"/>
              </w:rPr>
            </w:pPr>
            <w:r>
              <w:rPr>
                <w:rFonts w:ascii="黑体" w:eastAsia="黑体" w:hAnsi="黑体" w:hint="eastAsia"/>
                <w:b/>
                <w:sz w:val="20"/>
                <w:szCs w:val="20"/>
              </w:rPr>
              <w:t>定义</w:t>
            </w:r>
          </w:p>
        </w:tc>
      </w:tr>
      <w:tr w:rsidR="00A052DC" w14:paraId="7B1934FF" w14:textId="77777777">
        <w:trPr>
          <w:trHeight w:val="1622"/>
        </w:trPr>
        <w:tc>
          <w:tcPr>
            <w:tcW w:w="1526" w:type="dxa"/>
          </w:tcPr>
          <w:p w14:paraId="322253C9" w14:textId="77777777" w:rsidR="00A052DC" w:rsidRDefault="009F0A60">
            <w:pPr>
              <w:rPr>
                <w:rFonts w:ascii="黑体" w:eastAsia="黑体" w:hAnsi="黑体"/>
                <w:sz w:val="20"/>
                <w:szCs w:val="20"/>
              </w:rPr>
            </w:pPr>
            <w:r>
              <w:rPr>
                <w:rFonts w:ascii="黑体" w:eastAsia="黑体" w:hAnsi="黑体" w:hint="eastAsia"/>
                <w:sz w:val="20"/>
                <w:szCs w:val="20"/>
              </w:rPr>
              <w:t>申报号码</w:t>
            </w:r>
          </w:p>
        </w:tc>
        <w:tc>
          <w:tcPr>
            <w:tcW w:w="7087" w:type="dxa"/>
          </w:tcPr>
          <w:p w14:paraId="69F51AFC" w14:textId="77777777" w:rsidR="00A052DC" w:rsidRDefault="009F0A60" w:rsidP="006237F5">
            <w:pPr>
              <w:rPr>
                <w:rFonts w:ascii="黑体" w:eastAsia="黑体" w:hAnsi="黑体"/>
                <w:sz w:val="20"/>
                <w:szCs w:val="20"/>
              </w:rPr>
            </w:pPr>
            <w:r>
              <w:rPr>
                <w:rFonts w:ascii="黑体" w:eastAsia="黑体" w:hAnsi="黑体" w:hint="eastAsia"/>
                <w:sz w:val="20"/>
                <w:szCs w:val="20"/>
              </w:rPr>
              <w:t>指由境内银行按国家外汇管理局要求编制的号码，共计22位。第1至6位为地区标识码;第7至10位为金融机构代码;第11至12位为金融机构顺序码；第13至18位为该笔对外付款的支付日期(按年月日顺序排列,如2003年8月28日的日期码为030828);第19至22位为该银行营业部门的当日业务流水码。银行当日业务流水码不得重号。（流水码编制规则：涉外收入对公：N***，P***，Q***</w:t>
            </w:r>
            <w:r w:rsidR="006237F5">
              <w:rPr>
                <w:rFonts w:ascii="黑体" w:eastAsia="黑体" w:hAnsi="黑体" w:hint="eastAsia"/>
                <w:sz w:val="20"/>
                <w:szCs w:val="20"/>
              </w:rPr>
              <w:t>，</w:t>
            </w:r>
            <w:r>
              <w:rPr>
                <w:rFonts w:ascii="黑体" w:eastAsia="黑体" w:hAnsi="黑体" w:hint="eastAsia"/>
                <w:sz w:val="20"/>
                <w:szCs w:val="20"/>
              </w:rPr>
              <w:t>R***</w:t>
            </w:r>
            <w:r w:rsidR="006237F5">
              <w:rPr>
                <w:rFonts w:ascii="黑体" w:eastAsia="黑体" w:hAnsi="黑体" w:hint="eastAsia"/>
                <w:sz w:val="20"/>
                <w:szCs w:val="20"/>
              </w:rPr>
              <w:t>，</w:t>
            </w:r>
            <w:r>
              <w:rPr>
                <w:rFonts w:ascii="黑体" w:eastAsia="黑体" w:hAnsi="黑体" w:hint="eastAsia"/>
                <w:sz w:val="20"/>
                <w:szCs w:val="20"/>
              </w:rPr>
              <w:t>S***</w:t>
            </w:r>
            <w:r w:rsidR="00DD6AA3">
              <w:rPr>
                <w:rFonts w:ascii="黑体" w:eastAsia="黑体" w:hAnsi="黑体" w:hint="eastAsia"/>
                <w:sz w:val="20"/>
                <w:szCs w:val="20"/>
              </w:rPr>
              <w:t>，</w:t>
            </w:r>
            <w:r>
              <w:rPr>
                <w:rFonts w:ascii="黑体" w:eastAsia="黑体" w:hAnsi="黑体" w:hint="eastAsia"/>
                <w:sz w:val="20"/>
                <w:szCs w:val="20"/>
              </w:rPr>
              <w:t>T</w:t>
            </w:r>
            <w:r w:rsidR="006237F5">
              <w:rPr>
                <w:rFonts w:ascii="黑体" w:eastAsia="黑体" w:hAnsi="黑体" w:hint="eastAsia"/>
                <w:sz w:val="20"/>
                <w:szCs w:val="20"/>
              </w:rPr>
              <w:t>***；</w:t>
            </w:r>
            <w:r>
              <w:rPr>
                <w:rFonts w:ascii="黑体" w:eastAsia="黑体" w:hAnsi="黑体" w:hint="eastAsia"/>
                <w:sz w:val="20"/>
                <w:szCs w:val="20"/>
              </w:rPr>
              <w:t>涉外收入对私：U***</w:t>
            </w:r>
            <w:r w:rsidR="006237F5">
              <w:rPr>
                <w:rFonts w:ascii="黑体" w:eastAsia="黑体" w:hAnsi="黑体" w:hint="eastAsia"/>
                <w:sz w:val="20"/>
                <w:szCs w:val="20"/>
              </w:rPr>
              <w:t>，</w:t>
            </w:r>
            <w:r>
              <w:rPr>
                <w:rFonts w:ascii="黑体" w:eastAsia="黑体" w:hAnsi="黑体" w:hint="eastAsia"/>
                <w:sz w:val="20"/>
                <w:szCs w:val="20"/>
              </w:rPr>
              <w:t>V***</w:t>
            </w:r>
            <w:r w:rsidR="006237F5">
              <w:rPr>
                <w:rFonts w:ascii="黑体" w:eastAsia="黑体" w:hAnsi="黑体" w:hint="eastAsia"/>
                <w:sz w:val="20"/>
                <w:szCs w:val="20"/>
              </w:rPr>
              <w:t>，</w:t>
            </w:r>
            <w:r>
              <w:rPr>
                <w:rFonts w:ascii="黑体" w:eastAsia="黑体" w:hAnsi="黑体" w:hint="eastAsia"/>
                <w:sz w:val="20"/>
                <w:szCs w:val="20"/>
              </w:rPr>
              <w:t>W</w:t>
            </w:r>
            <w:r w:rsidR="006237F5">
              <w:rPr>
                <w:rFonts w:ascii="黑体" w:eastAsia="黑体" w:hAnsi="黑体" w:hint="eastAsia"/>
                <w:sz w:val="20"/>
                <w:szCs w:val="20"/>
              </w:rPr>
              <w:t>***；</w:t>
            </w:r>
            <w:r>
              <w:rPr>
                <w:rFonts w:ascii="黑体" w:eastAsia="黑体" w:hAnsi="黑体" w:hint="eastAsia"/>
                <w:sz w:val="20"/>
                <w:szCs w:val="20"/>
              </w:rPr>
              <w:t>后三位流水单号中允许使用英文大写字母（O、I、Z除外）与数字（0-9）。）</w:t>
            </w:r>
          </w:p>
        </w:tc>
      </w:tr>
      <w:tr w:rsidR="00A052DC" w14:paraId="1A4106C3" w14:textId="77777777">
        <w:tc>
          <w:tcPr>
            <w:tcW w:w="1526" w:type="dxa"/>
          </w:tcPr>
          <w:p w14:paraId="111319B8" w14:textId="77777777" w:rsidR="00A052DC" w:rsidRDefault="009F0A60">
            <w:pPr>
              <w:rPr>
                <w:rFonts w:ascii="黑体" w:eastAsia="黑体" w:hAnsi="黑体"/>
                <w:sz w:val="20"/>
                <w:szCs w:val="20"/>
              </w:rPr>
            </w:pPr>
            <w:r>
              <w:rPr>
                <w:rFonts w:ascii="黑体" w:eastAsia="黑体" w:hAnsi="黑体" w:hint="eastAsia"/>
                <w:sz w:val="20"/>
                <w:szCs w:val="20"/>
              </w:rPr>
              <w:t>收款人名称</w:t>
            </w:r>
          </w:p>
        </w:tc>
        <w:tc>
          <w:tcPr>
            <w:tcW w:w="7087" w:type="dxa"/>
          </w:tcPr>
          <w:p w14:paraId="24CE5DB8" w14:textId="77777777" w:rsidR="00A052DC" w:rsidRDefault="009F0A60">
            <w:pPr>
              <w:rPr>
                <w:rFonts w:ascii="黑体" w:eastAsia="黑体" w:hAnsi="黑体"/>
                <w:sz w:val="20"/>
                <w:szCs w:val="20"/>
              </w:rPr>
            </w:pPr>
            <w:r>
              <w:rPr>
                <w:rFonts w:ascii="黑体" w:eastAsia="黑体" w:hAnsi="黑体" w:hint="eastAsia"/>
                <w:sz w:val="20"/>
                <w:szCs w:val="20"/>
              </w:rPr>
              <w:t>对公项下指收款人预留银行印鉴、营业执照或国家外汇管理局及其分支局签发的特殊机构代码赋码通知书上的名称；</w:t>
            </w:r>
          </w:p>
          <w:p w14:paraId="1BEE2653" w14:textId="77777777" w:rsidR="00A052DC" w:rsidRDefault="009F0A60">
            <w:pPr>
              <w:rPr>
                <w:rFonts w:ascii="黑体" w:eastAsia="黑体" w:hAnsi="黑体"/>
                <w:sz w:val="20"/>
                <w:szCs w:val="20"/>
              </w:rPr>
            </w:pPr>
            <w:r>
              <w:rPr>
                <w:rFonts w:ascii="黑体" w:eastAsia="黑体" w:hAnsi="黑体" w:hint="eastAsia"/>
                <w:sz w:val="20"/>
                <w:szCs w:val="20"/>
              </w:rPr>
              <w:t>对私项下指个人身份证件上的名称。</w:t>
            </w:r>
          </w:p>
        </w:tc>
      </w:tr>
      <w:tr w:rsidR="00A052DC" w14:paraId="1A5E9833" w14:textId="77777777">
        <w:tc>
          <w:tcPr>
            <w:tcW w:w="1526" w:type="dxa"/>
          </w:tcPr>
          <w:p w14:paraId="4BAD1AB1" w14:textId="77777777" w:rsidR="00A052DC" w:rsidRDefault="009F0A60">
            <w:pPr>
              <w:rPr>
                <w:rFonts w:ascii="黑体" w:eastAsia="黑体" w:hAnsi="黑体"/>
                <w:sz w:val="20"/>
                <w:szCs w:val="20"/>
              </w:rPr>
            </w:pPr>
            <w:r>
              <w:rPr>
                <w:rFonts w:ascii="黑体" w:eastAsia="黑体" w:hAnsi="黑体" w:hint="eastAsia"/>
                <w:sz w:val="20"/>
                <w:szCs w:val="20"/>
              </w:rPr>
              <w:t>对公</w:t>
            </w:r>
            <w:r w:rsidR="00010212">
              <w:rPr>
                <w:rFonts w:ascii="黑体" w:eastAsia="黑体" w:hAnsi="黑体" w:hint="eastAsia"/>
                <w:sz w:val="20"/>
                <w:szCs w:val="20"/>
              </w:rPr>
              <w:t>/</w:t>
            </w:r>
            <w:r>
              <w:rPr>
                <w:rFonts w:ascii="黑体" w:eastAsia="黑体" w:hAnsi="黑体" w:hint="eastAsia"/>
                <w:sz w:val="20"/>
                <w:szCs w:val="20"/>
              </w:rPr>
              <w:t>对私</w:t>
            </w:r>
          </w:p>
        </w:tc>
        <w:tc>
          <w:tcPr>
            <w:tcW w:w="7087" w:type="dxa"/>
          </w:tcPr>
          <w:p w14:paraId="4AE5C673" w14:textId="77777777" w:rsidR="00A052DC" w:rsidRDefault="009F0A60">
            <w:pPr>
              <w:rPr>
                <w:rFonts w:ascii="黑体" w:eastAsia="黑体" w:hAnsi="黑体"/>
                <w:sz w:val="20"/>
                <w:szCs w:val="20"/>
              </w:rPr>
            </w:pPr>
            <w:r>
              <w:rPr>
                <w:rFonts w:ascii="黑体" w:eastAsia="黑体" w:hAnsi="黑体" w:hint="eastAsia"/>
                <w:sz w:val="20"/>
                <w:szCs w:val="20"/>
              </w:rPr>
              <w:t>如收款人为机构，则选择对公；</w:t>
            </w:r>
          </w:p>
          <w:p w14:paraId="6BFB14EC" w14:textId="77777777" w:rsidR="00A052DC" w:rsidRDefault="009F0A60">
            <w:pPr>
              <w:rPr>
                <w:rFonts w:ascii="黑体" w:eastAsia="黑体" w:hAnsi="黑体"/>
                <w:sz w:val="20"/>
                <w:szCs w:val="20"/>
              </w:rPr>
            </w:pPr>
            <w:r>
              <w:rPr>
                <w:rFonts w:ascii="黑体" w:eastAsia="黑体" w:hAnsi="黑体" w:hint="eastAsia"/>
                <w:sz w:val="20"/>
                <w:szCs w:val="20"/>
              </w:rPr>
              <w:t>如收款人为个人，则选择对私。</w:t>
            </w:r>
          </w:p>
        </w:tc>
      </w:tr>
      <w:tr w:rsidR="00A052DC" w14:paraId="42DF94D2" w14:textId="77777777">
        <w:tc>
          <w:tcPr>
            <w:tcW w:w="1526" w:type="dxa"/>
          </w:tcPr>
          <w:p w14:paraId="3A0196BF" w14:textId="77777777" w:rsidR="00A052DC" w:rsidRDefault="009F0A60">
            <w:pPr>
              <w:rPr>
                <w:rFonts w:ascii="黑体" w:eastAsia="黑体" w:hAnsi="黑体"/>
                <w:sz w:val="20"/>
                <w:szCs w:val="20"/>
              </w:rPr>
            </w:pPr>
            <w:r>
              <w:rPr>
                <w:rFonts w:ascii="黑体" w:eastAsia="黑体" w:hAnsi="黑体" w:hint="eastAsia"/>
                <w:sz w:val="20"/>
                <w:szCs w:val="20"/>
              </w:rPr>
              <w:t>主体标识码（单位代码）</w:t>
            </w:r>
          </w:p>
        </w:tc>
        <w:tc>
          <w:tcPr>
            <w:tcW w:w="7087" w:type="dxa"/>
          </w:tcPr>
          <w:p w14:paraId="6A00FC65" w14:textId="77777777" w:rsidR="00A052DC" w:rsidRDefault="009F0A60">
            <w:pPr>
              <w:pStyle w:val="a8"/>
              <w:spacing w:line="240" w:lineRule="auto"/>
              <w:ind w:firstLineChars="0" w:firstLine="0"/>
              <w:rPr>
                <w:rFonts w:ascii="黑体" w:eastAsia="黑体" w:hAnsi="黑体"/>
                <w:kern w:val="2"/>
                <w:szCs w:val="20"/>
              </w:rPr>
            </w:pPr>
            <w:r>
              <w:rPr>
                <w:rFonts w:ascii="黑体" w:eastAsia="黑体" w:hAnsi="黑体" w:hint="eastAsia"/>
                <w:kern w:val="2"/>
                <w:szCs w:val="20"/>
              </w:rPr>
              <w:t>指统一社会信用代码法定载体（如营业执照）上的统一社会信用代码中的第9至17位或国家外汇管理局</w:t>
            </w:r>
            <w:r>
              <w:rPr>
                <w:rFonts w:ascii="黑体" w:eastAsia="黑体" w:hAnsi="黑体" w:hint="eastAsia"/>
                <w:szCs w:val="20"/>
              </w:rPr>
              <w:t>及其分支局</w:t>
            </w:r>
            <w:r>
              <w:rPr>
                <w:rFonts w:ascii="黑体" w:eastAsia="黑体" w:hAnsi="黑体" w:hint="eastAsia"/>
                <w:kern w:val="2"/>
                <w:szCs w:val="20"/>
              </w:rPr>
              <w:t>签发的特殊机构代码赋码通知书上的机构代码。</w:t>
            </w:r>
          </w:p>
        </w:tc>
      </w:tr>
      <w:tr w:rsidR="00A052DC" w14:paraId="4C308782" w14:textId="77777777">
        <w:tc>
          <w:tcPr>
            <w:tcW w:w="1526" w:type="dxa"/>
          </w:tcPr>
          <w:p w14:paraId="165D05DF" w14:textId="77777777" w:rsidR="00A052DC" w:rsidRDefault="009F0A60">
            <w:pPr>
              <w:rPr>
                <w:rFonts w:ascii="黑体" w:eastAsia="黑体" w:hAnsi="黑体"/>
                <w:sz w:val="20"/>
                <w:szCs w:val="20"/>
              </w:rPr>
            </w:pPr>
            <w:r>
              <w:rPr>
                <w:rFonts w:ascii="黑体" w:eastAsia="黑体" w:hAnsi="黑体" w:hint="eastAsia"/>
                <w:sz w:val="20"/>
                <w:szCs w:val="20"/>
              </w:rPr>
              <w:t>个人身份证件号码</w:t>
            </w:r>
          </w:p>
        </w:tc>
        <w:tc>
          <w:tcPr>
            <w:tcW w:w="7087" w:type="dxa"/>
          </w:tcPr>
          <w:p w14:paraId="09B6FDBA" w14:textId="77777777" w:rsidR="00A052DC" w:rsidRDefault="009F0A60">
            <w:pPr>
              <w:rPr>
                <w:rFonts w:ascii="黑体" w:eastAsia="黑体" w:hAnsi="黑体"/>
                <w:sz w:val="20"/>
                <w:szCs w:val="20"/>
              </w:rPr>
            </w:pPr>
            <w:r>
              <w:rPr>
                <w:rFonts w:ascii="黑体" w:eastAsia="黑体" w:hAnsi="黑体" w:hint="eastAsia"/>
                <w:sz w:val="20"/>
                <w:szCs w:val="20"/>
              </w:rPr>
              <w:t>包括境内居民个人的身份证号、军官证号等以及境外居民个人的护照号等。</w:t>
            </w:r>
          </w:p>
        </w:tc>
      </w:tr>
      <w:tr w:rsidR="00A052DC" w14:paraId="7A88F701" w14:textId="77777777">
        <w:tc>
          <w:tcPr>
            <w:tcW w:w="1526" w:type="dxa"/>
          </w:tcPr>
          <w:p w14:paraId="7CCB763E" w14:textId="77777777" w:rsidR="00A052DC" w:rsidRDefault="009F0A60">
            <w:pPr>
              <w:rPr>
                <w:rFonts w:ascii="黑体" w:eastAsia="黑体" w:hAnsi="黑体"/>
                <w:sz w:val="20"/>
                <w:szCs w:val="20"/>
              </w:rPr>
            </w:pPr>
            <w:r>
              <w:rPr>
                <w:rFonts w:ascii="黑体" w:eastAsia="黑体" w:hAnsi="黑体" w:hint="eastAsia"/>
                <w:sz w:val="20"/>
                <w:szCs w:val="20"/>
              </w:rPr>
              <w:t>中国居民个人</w:t>
            </w:r>
            <w:r w:rsidR="00010212">
              <w:rPr>
                <w:rFonts w:ascii="黑体" w:eastAsia="黑体" w:hAnsi="黑体" w:hint="eastAsia"/>
                <w:sz w:val="20"/>
                <w:szCs w:val="20"/>
              </w:rPr>
              <w:t>/</w:t>
            </w:r>
            <w:r>
              <w:rPr>
                <w:rFonts w:ascii="黑体" w:eastAsia="黑体" w:hAnsi="黑体" w:hint="eastAsia"/>
                <w:sz w:val="20"/>
                <w:szCs w:val="20"/>
              </w:rPr>
              <w:t>中国非居民个人</w:t>
            </w:r>
          </w:p>
        </w:tc>
        <w:tc>
          <w:tcPr>
            <w:tcW w:w="7087" w:type="dxa"/>
          </w:tcPr>
          <w:p w14:paraId="24841792" w14:textId="77777777" w:rsidR="00A052DC" w:rsidRDefault="009F0A60">
            <w:pPr>
              <w:rPr>
                <w:rFonts w:ascii="黑体" w:eastAsia="黑体" w:hAnsi="黑体"/>
                <w:sz w:val="20"/>
                <w:szCs w:val="20"/>
              </w:rPr>
            </w:pPr>
            <w:r>
              <w:rPr>
                <w:rFonts w:ascii="黑体" w:eastAsia="黑体" w:hAnsi="黑体" w:hint="eastAsia"/>
                <w:sz w:val="20"/>
                <w:szCs w:val="20"/>
              </w:rPr>
              <w:t>参见《国际收支统计申报办法》中对中国居民</w:t>
            </w:r>
            <w:r w:rsidR="00010212">
              <w:rPr>
                <w:rFonts w:ascii="黑体" w:eastAsia="黑体" w:hAnsi="黑体" w:hint="eastAsia"/>
                <w:sz w:val="20"/>
                <w:szCs w:val="20"/>
              </w:rPr>
              <w:t>/</w:t>
            </w:r>
            <w:r>
              <w:rPr>
                <w:rFonts w:ascii="黑体" w:eastAsia="黑体" w:hAnsi="黑体" w:hint="eastAsia"/>
                <w:sz w:val="20"/>
                <w:szCs w:val="20"/>
              </w:rPr>
              <w:t>中国非居民的定义。实践中，按照身份证、护照等有效证件中的国籍来认定。</w:t>
            </w:r>
          </w:p>
        </w:tc>
      </w:tr>
      <w:tr w:rsidR="00A052DC" w14:paraId="199A1D46" w14:textId="77777777">
        <w:tc>
          <w:tcPr>
            <w:tcW w:w="1526" w:type="dxa"/>
          </w:tcPr>
          <w:p w14:paraId="7378DFB1" w14:textId="77777777" w:rsidR="00A052DC" w:rsidRDefault="009F0A60">
            <w:pPr>
              <w:rPr>
                <w:rFonts w:ascii="黑体" w:eastAsia="黑体" w:hAnsi="黑体"/>
                <w:sz w:val="20"/>
                <w:szCs w:val="20"/>
              </w:rPr>
            </w:pPr>
            <w:r>
              <w:rPr>
                <w:rFonts w:ascii="黑体" w:eastAsia="黑体" w:hAnsi="黑体" w:hint="eastAsia"/>
                <w:sz w:val="20"/>
                <w:szCs w:val="20"/>
              </w:rPr>
              <w:t>结算方式</w:t>
            </w:r>
          </w:p>
        </w:tc>
        <w:tc>
          <w:tcPr>
            <w:tcW w:w="7087" w:type="dxa"/>
          </w:tcPr>
          <w:p w14:paraId="7F2A6CBA" w14:textId="77777777" w:rsidR="00A052DC" w:rsidRDefault="009F0A60">
            <w:pPr>
              <w:rPr>
                <w:rFonts w:ascii="黑体" w:eastAsia="黑体" w:hAnsi="黑体"/>
                <w:sz w:val="20"/>
                <w:szCs w:val="20"/>
              </w:rPr>
            </w:pPr>
            <w:r>
              <w:rPr>
                <w:rFonts w:ascii="黑体" w:eastAsia="黑体" w:hAnsi="黑体" w:hint="eastAsia"/>
                <w:sz w:val="20"/>
                <w:szCs w:val="20"/>
              </w:rPr>
              <w:t>电汇、票汇、信汇、信用证、托收、保函、其他选项七选一。</w:t>
            </w:r>
          </w:p>
        </w:tc>
      </w:tr>
      <w:tr w:rsidR="00A052DC" w14:paraId="1851246B" w14:textId="77777777">
        <w:tc>
          <w:tcPr>
            <w:tcW w:w="1526" w:type="dxa"/>
          </w:tcPr>
          <w:p w14:paraId="4861CA17" w14:textId="77777777" w:rsidR="00A052DC" w:rsidRDefault="009F0A60">
            <w:pPr>
              <w:rPr>
                <w:rFonts w:ascii="黑体" w:eastAsia="黑体" w:hAnsi="黑体"/>
                <w:sz w:val="20"/>
                <w:szCs w:val="20"/>
              </w:rPr>
            </w:pPr>
            <w:r>
              <w:rPr>
                <w:rFonts w:ascii="黑体" w:eastAsia="黑体" w:hAnsi="黑体" w:hint="eastAsia"/>
                <w:sz w:val="20"/>
                <w:szCs w:val="20"/>
              </w:rPr>
              <w:t>收入款币种</w:t>
            </w:r>
          </w:p>
        </w:tc>
        <w:tc>
          <w:tcPr>
            <w:tcW w:w="7087" w:type="dxa"/>
          </w:tcPr>
          <w:p w14:paraId="6A92AF04" w14:textId="77777777" w:rsidR="00A052DC" w:rsidRDefault="009F0A60">
            <w:pPr>
              <w:rPr>
                <w:rFonts w:ascii="黑体" w:eastAsia="黑体" w:hAnsi="黑体"/>
                <w:sz w:val="20"/>
                <w:szCs w:val="20"/>
              </w:rPr>
            </w:pPr>
            <w:r>
              <w:rPr>
                <w:rFonts w:ascii="黑体" w:eastAsia="黑体" w:hAnsi="黑体" w:hint="eastAsia"/>
                <w:sz w:val="20"/>
                <w:szCs w:val="20"/>
              </w:rPr>
              <w:t>指实际从境外收到的款项币种。</w:t>
            </w:r>
          </w:p>
        </w:tc>
      </w:tr>
      <w:tr w:rsidR="00A052DC" w14:paraId="7E53E4A6" w14:textId="77777777">
        <w:tc>
          <w:tcPr>
            <w:tcW w:w="1526" w:type="dxa"/>
          </w:tcPr>
          <w:p w14:paraId="7BEEC8ED" w14:textId="77777777" w:rsidR="00A052DC" w:rsidRDefault="009F0A60">
            <w:pPr>
              <w:rPr>
                <w:rFonts w:ascii="黑体" w:eastAsia="黑体" w:hAnsi="黑体"/>
                <w:sz w:val="20"/>
                <w:szCs w:val="20"/>
              </w:rPr>
            </w:pPr>
            <w:r>
              <w:rPr>
                <w:rFonts w:ascii="黑体" w:eastAsia="黑体" w:hAnsi="黑体" w:hint="eastAsia"/>
                <w:sz w:val="20"/>
                <w:szCs w:val="20"/>
              </w:rPr>
              <w:t>收入款金额</w:t>
            </w:r>
          </w:p>
        </w:tc>
        <w:tc>
          <w:tcPr>
            <w:tcW w:w="7087" w:type="dxa"/>
          </w:tcPr>
          <w:p w14:paraId="129F24CF" w14:textId="77777777" w:rsidR="00A052DC" w:rsidRDefault="009F0A60">
            <w:pPr>
              <w:rPr>
                <w:rFonts w:ascii="黑体" w:eastAsia="黑体" w:hAnsi="黑体"/>
                <w:sz w:val="20"/>
                <w:szCs w:val="20"/>
              </w:rPr>
            </w:pPr>
            <w:r>
              <w:rPr>
                <w:rFonts w:ascii="黑体" w:eastAsia="黑体" w:hAnsi="黑体" w:hint="eastAsia"/>
                <w:sz w:val="20"/>
                <w:szCs w:val="20"/>
              </w:rPr>
              <w:t>指实际从境外收到的款项金额。</w:t>
            </w:r>
          </w:p>
        </w:tc>
      </w:tr>
      <w:tr w:rsidR="00A052DC" w14:paraId="33B863AF" w14:textId="77777777">
        <w:tc>
          <w:tcPr>
            <w:tcW w:w="1526" w:type="dxa"/>
          </w:tcPr>
          <w:p w14:paraId="7377B122" w14:textId="77777777" w:rsidR="00A052DC" w:rsidRDefault="009F0A60">
            <w:pPr>
              <w:rPr>
                <w:rFonts w:ascii="黑体" w:eastAsia="黑体" w:hAnsi="黑体"/>
                <w:sz w:val="20"/>
                <w:szCs w:val="20"/>
              </w:rPr>
            </w:pPr>
            <w:r>
              <w:rPr>
                <w:rFonts w:ascii="黑体" w:eastAsia="黑体" w:hAnsi="黑体" w:hint="eastAsia"/>
                <w:sz w:val="20"/>
                <w:szCs w:val="20"/>
              </w:rPr>
              <w:t>结汇汇率</w:t>
            </w:r>
          </w:p>
        </w:tc>
        <w:tc>
          <w:tcPr>
            <w:tcW w:w="7087" w:type="dxa"/>
          </w:tcPr>
          <w:p w14:paraId="51D356DE" w14:textId="77777777" w:rsidR="00A052DC" w:rsidRDefault="009F0A60">
            <w:pPr>
              <w:rPr>
                <w:rFonts w:ascii="黑体" w:eastAsia="黑体" w:hAnsi="黑体"/>
                <w:sz w:val="20"/>
                <w:szCs w:val="20"/>
              </w:rPr>
            </w:pPr>
            <w:r>
              <w:rPr>
                <w:rFonts w:ascii="黑体" w:eastAsia="黑体" w:hAnsi="黑体" w:hint="eastAsia"/>
                <w:sz w:val="20"/>
                <w:szCs w:val="20"/>
              </w:rPr>
              <w:t>指涉外收入中，结汇为人民币部分的汇率。</w:t>
            </w:r>
          </w:p>
        </w:tc>
      </w:tr>
      <w:tr w:rsidR="00A052DC" w14:paraId="34ADC582" w14:textId="77777777">
        <w:tc>
          <w:tcPr>
            <w:tcW w:w="1526" w:type="dxa"/>
          </w:tcPr>
          <w:p w14:paraId="43D4ECAB" w14:textId="77777777" w:rsidR="00A052DC" w:rsidRDefault="009F0A60">
            <w:pPr>
              <w:rPr>
                <w:rFonts w:ascii="黑体" w:eastAsia="黑体" w:hAnsi="黑体"/>
                <w:sz w:val="20"/>
                <w:szCs w:val="20"/>
              </w:rPr>
            </w:pPr>
            <w:r>
              <w:rPr>
                <w:rFonts w:ascii="黑体" w:eastAsia="黑体" w:hAnsi="黑体" w:hint="eastAsia"/>
                <w:sz w:val="20"/>
                <w:szCs w:val="20"/>
              </w:rPr>
              <w:t>结汇金额</w:t>
            </w:r>
          </w:p>
        </w:tc>
        <w:tc>
          <w:tcPr>
            <w:tcW w:w="7087" w:type="dxa"/>
          </w:tcPr>
          <w:p w14:paraId="5A882985" w14:textId="77777777" w:rsidR="00A052DC" w:rsidRDefault="009F0A60">
            <w:pPr>
              <w:rPr>
                <w:rFonts w:ascii="黑体" w:eastAsia="黑体" w:hAnsi="黑体"/>
                <w:sz w:val="20"/>
                <w:szCs w:val="20"/>
              </w:rPr>
            </w:pPr>
            <w:r>
              <w:rPr>
                <w:rFonts w:ascii="黑体" w:eastAsia="黑体" w:hAnsi="黑体" w:hint="eastAsia"/>
                <w:sz w:val="20"/>
                <w:szCs w:val="20"/>
              </w:rPr>
              <w:t>指涉外收入结汇成人民币的金额。按原币金额填写。</w:t>
            </w:r>
          </w:p>
        </w:tc>
      </w:tr>
      <w:tr w:rsidR="00A052DC" w14:paraId="54B2AF48" w14:textId="77777777">
        <w:tc>
          <w:tcPr>
            <w:tcW w:w="1526" w:type="dxa"/>
          </w:tcPr>
          <w:p w14:paraId="097EDF2D" w14:textId="77777777" w:rsidR="00A052DC" w:rsidRDefault="009F0A60">
            <w:pPr>
              <w:rPr>
                <w:rFonts w:ascii="黑体" w:eastAsia="黑体" w:hAnsi="黑体"/>
                <w:sz w:val="20"/>
                <w:szCs w:val="20"/>
              </w:rPr>
            </w:pPr>
            <w:r>
              <w:rPr>
                <w:rFonts w:ascii="黑体" w:eastAsia="黑体" w:hAnsi="黑体" w:hint="eastAsia"/>
                <w:sz w:val="20"/>
                <w:szCs w:val="20"/>
              </w:rPr>
              <w:t>人民币账号/银行卡号</w:t>
            </w:r>
          </w:p>
        </w:tc>
        <w:tc>
          <w:tcPr>
            <w:tcW w:w="7087" w:type="dxa"/>
          </w:tcPr>
          <w:p w14:paraId="634477BE" w14:textId="77777777" w:rsidR="00A052DC" w:rsidRDefault="009F0A60">
            <w:pPr>
              <w:rPr>
                <w:rFonts w:ascii="黑体" w:eastAsia="黑体" w:hAnsi="黑体"/>
                <w:sz w:val="20"/>
                <w:szCs w:val="20"/>
              </w:rPr>
            </w:pPr>
            <w:r>
              <w:rPr>
                <w:rFonts w:ascii="黑体" w:eastAsia="黑体" w:hAnsi="黑体" w:hint="eastAsia"/>
                <w:sz w:val="20"/>
                <w:szCs w:val="20"/>
              </w:rPr>
              <w:t>涉外收入结汇后进入收款人人民币账户/银行卡的账号</w:t>
            </w:r>
            <w:r w:rsidR="00010212">
              <w:rPr>
                <w:rFonts w:ascii="黑体" w:eastAsia="黑体" w:hAnsi="黑体" w:hint="eastAsia"/>
                <w:sz w:val="20"/>
                <w:szCs w:val="20"/>
              </w:rPr>
              <w:t>/</w:t>
            </w:r>
            <w:r>
              <w:rPr>
                <w:rFonts w:ascii="黑体" w:eastAsia="黑体" w:hAnsi="黑体" w:hint="eastAsia"/>
                <w:sz w:val="20"/>
                <w:szCs w:val="20"/>
              </w:rPr>
              <w:t>卡号。</w:t>
            </w:r>
          </w:p>
        </w:tc>
      </w:tr>
      <w:tr w:rsidR="00A052DC" w14:paraId="0499635B" w14:textId="77777777">
        <w:tc>
          <w:tcPr>
            <w:tcW w:w="1526" w:type="dxa"/>
          </w:tcPr>
          <w:p w14:paraId="65FB2F47" w14:textId="77777777" w:rsidR="00A052DC" w:rsidRDefault="009F0A60">
            <w:pPr>
              <w:rPr>
                <w:rFonts w:ascii="黑体" w:eastAsia="黑体" w:hAnsi="黑体"/>
                <w:sz w:val="20"/>
                <w:szCs w:val="20"/>
              </w:rPr>
            </w:pPr>
            <w:r>
              <w:rPr>
                <w:rFonts w:ascii="黑体" w:eastAsia="黑体" w:hAnsi="黑体" w:hint="eastAsia"/>
                <w:sz w:val="20"/>
                <w:szCs w:val="20"/>
              </w:rPr>
              <w:t>现汇金额</w:t>
            </w:r>
          </w:p>
        </w:tc>
        <w:tc>
          <w:tcPr>
            <w:tcW w:w="7087" w:type="dxa"/>
          </w:tcPr>
          <w:p w14:paraId="705193A0" w14:textId="77777777" w:rsidR="00A052DC" w:rsidRDefault="009F0A60">
            <w:pPr>
              <w:rPr>
                <w:rFonts w:ascii="黑体" w:eastAsia="黑体" w:hAnsi="黑体"/>
                <w:sz w:val="20"/>
                <w:szCs w:val="20"/>
              </w:rPr>
            </w:pPr>
            <w:r>
              <w:rPr>
                <w:rFonts w:ascii="黑体" w:eastAsia="黑体" w:hAnsi="黑体" w:hint="eastAsia"/>
                <w:sz w:val="20"/>
                <w:szCs w:val="20"/>
              </w:rPr>
              <w:t>涉外收入以外汇方式保留的金额。</w:t>
            </w:r>
          </w:p>
        </w:tc>
      </w:tr>
      <w:tr w:rsidR="00A052DC" w14:paraId="1F0B0B80" w14:textId="77777777">
        <w:tc>
          <w:tcPr>
            <w:tcW w:w="1526" w:type="dxa"/>
          </w:tcPr>
          <w:p w14:paraId="0B8541D9" w14:textId="77777777" w:rsidR="00A052DC" w:rsidRDefault="009F0A60">
            <w:pPr>
              <w:rPr>
                <w:rFonts w:ascii="黑体" w:eastAsia="黑体" w:hAnsi="黑体"/>
                <w:sz w:val="20"/>
                <w:szCs w:val="20"/>
              </w:rPr>
            </w:pPr>
            <w:r>
              <w:rPr>
                <w:rFonts w:ascii="黑体" w:eastAsia="黑体" w:hAnsi="黑体" w:hint="eastAsia"/>
                <w:sz w:val="20"/>
                <w:szCs w:val="20"/>
              </w:rPr>
              <w:t>外汇账号/银行卡号</w:t>
            </w:r>
          </w:p>
        </w:tc>
        <w:tc>
          <w:tcPr>
            <w:tcW w:w="7087" w:type="dxa"/>
          </w:tcPr>
          <w:p w14:paraId="123BE69F" w14:textId="77777777" w:rsidR="00A052DC" w:rsidRDefault="009F0A60">
            <w:pPr>
              <w:rPr>
                <w:rFonts w:ascii="黑体" w:eastAsia="黑体" w:hAnsi="黑体"/>
                <w:sz w:val="20"/>
                <w:szCs w:val="20"/>
              </w:rPr>
            </w:pPr>
            <w:r>
              <w:rPr>
                <w:rFonts w:ascii="黑体" w:eastAsia="黑体" w:hAnsi="黑体" w:hint="eastAsia"/>
                <w:sz w:val="20"/>
                <w:szCs w:val="20"/>
              </w:rPr>
              <w:t>涉外收入直接进入收款人现汇账户/银行卡的账号</w:t>
            </w:r>
            <w:r w:rsidR="00010212">
              <w:rPr>
                <w:rFonts w:ascii="黑体" w:eastAsia="黑体" w:hAnsi="黑体" w:hint="eastAsia"/>
                <w:sz w:val="20"/>
                <w:szCs w:val="20"/>
              </w:rPr>
              <w:t>/</w:t>
            </w:r>
            <w:r>
              <w:rPr>
                <w:rFonts w:ascii="黑体" w:eastAsia="黑体" w:hAnsi="黑体" w:hint="eastAsia"/>
                <w:sz w:val="20"/>
                <w:szCs w:val="20"/>
              </w:rPr>
              <w:t>卡号。</w:t>
            </w:r>
          </w:p>
        </w:tc>
      </w:tr>
      <w:tr w:rsidR="00A052DC" w14:paraId="4A82936E" w14:textId="77777777">
        <w:tc>
          <w:tcPr>
            <w:tcW w:w="1526" w:type="dxa"/>
          </w:tcPr>
          <w:p w14:paraId="05C4E7A6" w14:textId="77777777" w:rsidR="00A052DC" w:rsidRDefault="009F0A60">
            <w:pPr>
              <w:rPr>
                <w:rFonts w:ascii="黑体" w:eastAsia="黑体" w:hAnsi="黑体"/>
                <w:sz w:val="20"/>
                <w:szCs w:val="20"/>
              </w:rPr>
            </w:pPr>
            <w:r>
              <w:rPr>
                <w:rFonts w:ascii="黑体" w:eastAsia="黑体" w:hAnsi="黑体" w:hint="eastAsia"/>
                <w:sz w:val="20"/>
                <w:szCs w:val="20"/>
              </w:rPr>
              <w:t>其他金额</w:t>
            </w:r>
          </w:p>
        </w:tc>
        <w:tc>
          <w:tcPr>
            <w:tcW w:w="7087" w:type="dxa"/>
          </w:tcPr>
          <w:p w14:paraId="6DF77CFB" w14:textId="77777777" w:rsidR="00A052DC" w:rsidRDefault="009F0A60">
            <w:pPr>
              <w:rPr>
                <w:rFonts w:ascii="黑体" w:eastAsia="黑体" w:hAnsi="黑体"/>
                <w:sz w:val="20"/>
                <w:szCs w:val="20"/>
              </w:rPr>
            </w:pPr>
            <w:r>
              <w:rPr>
                <w:rFonts w:ascii="黑体" w:eastAsia="黑体" w:hAnsi="黑体" w:hint="eastAsia"/>
                <w:sz w:val="20"/>
                <w:szCs w:val="20"/>
              </w:rPr>
              <w:t>涉外收入除结汇和现汇以外的方式保留的金额。</w:t>
            </w:r>
          </w:p>
        </w:tc>
      </w:tr>
      <w:tr w:rsidR="00A052DC" w14:paraId="35DDEAE8" w14:textId="77777777">
        <w:tc>
          <w:tcPr>
            <w:tcW w:w="1526" w:type="dxa"/>
          </w:tcPr>
          <w:p w14:paraId="0E5ED2AF" w14:textId="77777777" w:rsidR="00A052DC" w:rsidRDefault="009F0A60">
            <w:pPr>
              <w:rPr>
                <w:rFonts w:ascii="黑体" w:eastAsia="黑体" w:hAnsi="黑体"/>
                <w:sz w:val="20"/>
                <w:szCs w:val="20"/>
              </w:rPr>
            </w:pPr>
            <w:r>
              <w:rPr>
                <w:rFonts w:ascii="黑体" w:eastAsia="黑体" w:hAnsi="黑体" w:hint="eastAsia"/>
                <w:sz w:val="20"/>
                <w:szCs w:val="20"/>
              </w:rPr>
              <w:t>其他账号/银行卡号</w:t>
            </w:r>
          </w:p>
        </w:tc>
        <w:tc>
          <w:tcPr>
            <w:tcW w:w="7087" w:type="dxa"/>
          </w:tcPr>
          <w:p w14:paraId="66C53061" w14:textId="77777777" w:rsidR="00A052DC" w:rsidRDefault="009F0A60">
            <w:pPr>
              <w:rPr>
                <w:rFonts w:ascii="黑体" w:eastAsia="黑体" w:hAnsi="黑体"/>
                <w:sz w:val="20"/>
                <w:szCs w:val="20"/>
              </w:rPr>
            </w:pPr>
            <w:r>
              <w:rPr>
                <w:rFonts w:ascii="黑体" w:eastAsia="黑体" w:hAnsi="黑体" w:hint="eastAsia"/>
                <w:sz w:val="20"/>
                <w:szCs w:val="20"/>
              </w:rPr>
              <w:t>涉外收入以结汇和现汇以外的方式进入收款人相应账户/银行卡的账号</w:t>
            </w:r>
            <w:r w:rsidR="00010212">
              <w:rPr>
                <w:rFonts w:ascii="黑体" w:eastAsia="黑体" w:hAnsi="黑体" w:hint="eastAsia"/>
                <w:sz w:val="20"/>
                <w:szCs w:val="20"/>
              </w:rPr>
              <w:t>/</w:t>
            </w:r>
            <w:r>
              <w:rPr>
                <w:rFonts w:ascii="黑体" w:eastAsia="黑体" w:hAnsi="黑体" w:hint="eastAsia"/>
                <w:sz w:val="20"/>
                <w:szCs w:val="20"/>
              </w:rPr>
              <w:t>卡号。</w:t>
            </w:r>
          </w:p>
        </w:tc>
      </w:tr>
      <w:tr w:rsidR="00A052DC" w14:paraId="32B19B79" w14:textId="77777777">
        <w:tc>
          <w:tcPr>
            <w:tcW w:w="1526" w:type="dxa"/>
          </w:tcPr>
          <w:p w14:paraId="1D898ED0" w14:textId="77777777" w:rsidR="00A052DC" w:rsidRDefault="009F0A60">
            <w:pPr>
              <w:rPr>
                <w:rFonts w:ascii="黑体" w:eastAsia="黑体" w:hAnsi="黑体"/>
                <w:sz w:val="20"/>
                <w:szCs w:val="20"/>
              </w:rPr>
            </w:pPr>
            <w:r>
              <w:rPr>
                <w:rFonts w:ascii="黑体" w:eastAsia="黑体" w:hAnsi="黑体" w:hint="eastAsia"/>
                <w:sz w:val="20"/>
                <w:szCs w:val="20"/>
              </w:rPr>
              <w:t>国内银行扣费币种</w:t>
            </w:r>
          </w:p>
        </w:tc>
        <w:tc>
          <w:tcPr>
            <w:tcW w:w="7087" w:type="dxa"/>
          </w:tcPr>
          <w:p w14:paraId="413894CF" w14:textId="77777777" w:rsidR="00A052DC" w:rsidRDefault="009F0A60">
            <w:pPr>
              <w:rPr>
                <w:rFonts w:ascii="黑体" w:eastAsia="黑体" w:hAnsi="黑体"/>
                <w:sz w:val="20"/>
                <w:szCs w:val="20"/>
              </w:rPr>
            </w:pPr>
            <w:r>
              <w:rPr>
                <w:rFonts w:ascii="黑体" w:eastAsia="黑体" w:hAnsi="黑体" w:hint="eastAsia"/>
                <w:sz w:val="20"/>
                <w:szCs w:val="20"/>
              </w:rPr>
              <w:t>同收入款币种。</w:t>
            </w:r>
          </w:p>
        </w:tc>
      </w:tr>
      <w:tr w:rsidR="00A052DC" w14:paraId="27279651" w14:textId="77777777">
        <w:tc>
          <w:tcPr>
            <w:tcW w:w="1526" w:type="dxa"/>
          </w:tcPr>
          <w:p w14:paraId="62A6355D" w14:textId="77777777" w:rsidR="00A052DC" w:rsidRDefault="009F0A60">
            <w:pPr>
              <w:rPr>
                <w:rFonts w:ascii="黑体" w:eastAsia="黑体" w:hAnsi="黑体"/>
                <w:sz w:val="20"/>
                <w:szCs w:val="20"/>
              </w:rPr>
            </w:pPr>
            <w:r>
              <w:rPr>
                <w:rFonts w:ascii="黑体" w:eastAsia="黑体" w:hAnsi="黑体" w:hint="eastAsia"/>
                <w:sz w:val="20"/>
                <w:szCs w:val="20"/>
              </w:rPr>
              <w:t>国内银行扣费金额</w:t>
            </w:r>
          </w:p>
        </w:tc>
        <w:tc>
          <w:tcPr>
            <w:tcW w:w="7087" w:type="dxa"/>
          </w:tcPr>
          <w:p w14:paraId="1D5A2AC5" w14:textId="77777777" w:rsidR="00A052DC" w:rsidRDefault="009F0A60">
            <w:pPr>
              <w:rPr>
                <w:rFonts w:ascii="黑体" w:eastAsia="黑体" w:hAnsi="黑体"/>
                <w:sz w:val="20"/>
                <w:szCs w:val="20"/>
              </w:rPr>
            </w:pPr>
            <w:r>
              <w:rPr>
                <w:rFonts w:ascii="黑体" w:eastAsia="黑体" w:hAnsi="黑体" w:hint="eastAsia"/>
                <w:sz w:val="20"/>
                <w:szCs w:val="20"/>
              </w:rPr>
              <w:t>指国内银行围绕该笔涉外收入发生的，且从该笔涉外收入中扣除费用的金额。</w:t>
            </w:r>
          </w:p>
        </w:tc>
      </w:tr>
      <w:tr w:rsidR="00A052DC" w14:paraId="10A644A0" w14:textId="77777777">
        <w:tc>
          <w:tcPr>
            <w:tcW w:w="1526" w:type="dxa"/>
          </w:tcPr>
          <w:p w14:paraId="34BE7798" w14:textId="77777777" w:rsidR="00A052DC" w:rsidRDefault="009F0A60">
            <w:pPr>
              <w:rPr>
                <w:rFonts w:ascii="黑体" w:eastAsia="黑体" w:hAnsi="黑体"/>
                <w:sz w:val="20"/>
                <w:szCs w:val="20"/>
              </w:rPr>
            </w:pPr>
            <w:r>
              <w:rPr>
                <w:rFonts w:ascii="黑体" w:eastAsia="黑体" w:hAnsi="黑体" w:hint="eastAsia"/>
                <w:sz w:val="20"/>
                <w:szCs w:val="20"/>
              </w:rPr>
              <w:t>国外银行扣费币种</w:t>
            </w:r>
          </w:p>
        </w:tc>
        <w:tc>
          <w:tcPr>
            <w:tcW w:w="7087" w:type="dxa"/>
          </w:tcPr>
          <w:p w14:paraId="09FED7B7" w14:textId="77777777" w:rsidR="00A052DC" w:rsidRDefault="009F0A60">
            <w:pPr>
              <w:rPr>
                <w:rFonts w:ascii="黑体" w:eastAsia="黑体" w:hAnsi="黑体"/>
                <w:sz w:val="20"/>
                <w:szCs w:val="20"/>
              </w:rPr>
            </w:pPr>
            <w:r>
              <w:rPr>
                <w:rFonts w:ascii="黑体" w:eastAsia="黑体" w:hAnsi="黑体" w:hint="eastAsia"/>
                <w:sz w:val="20"/>
                <w:szCs w:val="20"/>
              </w:rPr>
              <w:t>同收入款币种。</w:t>
            </w:r>
          </w:p>
        </w:tc>
      </w:tr>
      <w:tr w:rsidR="00A052DC" w14:paraId="44DF348B" w14:textId="77777777">
        <w:tc>
          <w:tcPr>
            <w:tcW w:w="1526" w:type="dxa"/>
          </w:tcPr>
          <w:p w14:paraId="55A369FE" w14:textId="77777777" w:rsidR="00A052DC" w:rsidRDefault="009F0A60">
            <w:pPr>
              <w:rPr>
                <w:rFonts w:ascii="黑体" w:eastAsia="黑体" w:hAnsi="黑体"/>
                <w:sz w:val="20"/>
                <w:szCs w:val="20"/>
              </w:rPr>
            </w:pPr>
            <w:r>
              <w:rPr>
                <w:rFonts w:ascii="黑体" w:eastAsia="黑体" w:hAnsi="黑体" w:hint="eastAsia"/>
                <w:sz w:val="20"/>
                <w:szCs w:val="20"/>
              </w:rPr>
              <w:t>国外银行扣费金额</w:t>
            </w:r>
          </w:p>
        </w:tc>
        <w:tc>
          <w:tcPr>
            <w:tcW w:w="7087" w:type="dxa"/>
          </w:tcPr>
          <w:p w14:paraId="79261421" w14:textId="77777777" w:rsidR="00A052DC" w:rsidRDefault="009F0A60">
            <w:pPr>
              <w:rPr>
                <w:rFonts w:ascii="黑体" w:eastAsia="黑体" w:hAnsi="黑体"/>
                <w:sz w:val="20"/>
                <w:szCs w:val="20"/>
              </w:rPr>
            </w:pPr>
            <w:r>
              <w:rPr>
                <w:rFonts w:ascii="黑体" w:eastAsia="黑体" w:hAnsi="黑体" w:hint="eastAsia"/>
                <w:sz w:val="20"/>
                <w:szCs w:val="20"/>
              </w:rPr>
              <w:t>指围绕该笔涉外收入发生的，国内银行代国外银行从该笔涉外收入中扣除费用的金额。</w:t>
            </w:r>
          </w:p>
        </w:tc>
      </w:tr>
      <w:tr w:rsidR="00A052DC" w14:paraId="2CFA17FD" w14:textId="77777777">
        <w:tc>
          <w:tcPr>
            <w:tcW w:w="1526" w:type="dxa"/>
          </w:tcPr>
          <w:p w14:paraId="41EF8A65" w14:textId="77777777" w:rsidR="00A052DC" w:rsidRDefault="009F0A60">
            <w:pPr>
              <w:rPr>
                <w:rFonts w:ascii="黑体" w:eastAsia="黑体" w:hAnsi="黑体"/>
                <w:sz w:val="20"/>
                <w:szCs w:val="20"/>
              </w:rPr>
            </w:pPr>
            <w:r>
              <w:rPr>
                <w:rFonts w:ascii="黑体" w:eastAsia="黑体" w:hAnsi="黑体" w:hint="eastAsia"/>
                <w:sz w:val="20"/>
                <w:szCs w:val="20"/>
              </w:rPr>
              <w:t>付款人名称</w:t>
            </w:r>
          </w:p>
        </w:tc>
        <w:tc>
          <w:tcPr>
            <w:tcW w:w="7087" w:type="dxa"/>
          </w:tcPr>
          <w:p w14:paraId="1D9D0CA0" w14:textId="77777777" w:rsidR="00A052DC" w:rsidRDefault="009F0A60">
            <w:pPr>
              <w:rPr>
                <w:rFonts w:ascii="黑体" w:eastAsia="黑体" w:hAnsi="黑体"/>
                <w:sz w:val="20"/>
                <w:szCs w:val="20"/>
              </w:rPr>
            </w:pPr>
            <w:r>
              <w:rPr>
                <w:rFonts w:ascii="黑体" w:eastAsia="黑体" w:hAnsi="黑体" w:hint="eastAsia"/>
                <w:sz w:val="20"/>
                <w:szCs w:val="20"/>
              </w:rPr>
              <w:t>指境外或境内非居民付款人的名称。申报主体收到来自境外的款项，境内收款银行应当在基础信息中的对方付款人名称前添加“（JW）”（半角大写英文字符）字样；如果为境内居民收到来自境内非居民的款项，境内收款银行应当在基础信息中的对方付款人名称前添加“（JN）”（半角大写英文字符）字样。如果是对私业务，付款人名称后增加付款人账号信息，以名称后加“[acc:账号]”表示。对于速汇业务和托收等没有对应账号的业务，账号部分填写“000000”（六个零）。</w:t>
            </w:r>
          </w:p>
        </w:tc>
      </w:tr>
      <w:tr w:rsidR="00A052DC" w14:paraId="29B9E28A" w14:textId="77777777">
        <w:tc>
          <w:tcPr>
            <w:tcW w:w="1526" w:type="dxa"/>
          </w:tcPr>
          <w:p w14:paraId="117711CA" w14:textId="77777777" w:rsidR="00A052DC" w:rsidRDefault="009F0A60">
            <w:pPr>
              <w:rPr>
                <w:rFonts w:ascii="黑体" w:eastAsia="黑体" w:hAnsi="黑体"/>
                <w:sz w:val="20"/>
                <w:szCs w:val="20"/>
              </w:rPr>
            </w:pPr>
            <w:r>
              <w:rPr>
                <w:rFonts w:ascii="黑体" w:eastAsia="黑体" w:hAnsi="黑体" w:hint="eastAsia"/>
                <w:sz w:val="20"/>
                <w:szCs w:val="20"/>
              </w:rPr>
              <w:t>银行业务编号</w:t>
            </w:r>
          </w:p>
        </w:tc>
        <w:tc>
          <w:tcPr>
            <w:tcW w:w="7087" w:type="dxa"/>
          </w:tcPr>
          <w:p w14:paraId="1FF233CC" w14:textId="77777777" w:rsidR="00A052DC" w:rsidRDefault="009F0A60">
            <w:pPr>
              <w:rPr>
                <w:rFonts w:ascii="黑体" w:eastAsia="黑体" w:hAnsi="黑体"/>
                <w:sz w:val="20"/>
                <w:szCs w:val="20"/>
              </w:rPr>
            </w:pPr>
            <w:r>
              <w:rPr>
                <w:rFonts w:ascii="黑体" w:eastAsia="黑体" w:hAnsi="黑体" w:hint="eastAsia"/>
                <w:sz w:val="20"/>
                <w:szCs w:val="20"/>
              </w:rPr>
              <w:t>指该笔业务在银行的业务编号。</w:t>
            </w:r>
          </w:p>
        </w:tc>
      </w:tr>
    </w:tbl>
    <w:p w14:paraId="5B34A245" w14:textId="77777777" w:rsidR="00A052DC" w:rsidRDefault="009F0A60">
      <w:pPr>
        <w:pStyle w:val="4"/>
        <w:numPr>
          <w:ilvl w:val="3"/>
          <w:numId w:val="1"/>
        </w:numPr>
        <w:jc w:val="left"/>
      </w:pPr>
      <w:bookmarkStart w:id="945" w:name="_Toc454386753"/>
      <w:r>
        <w:rPr>
          <w:rFonts w:hint="eastAsia"/>
        </w:rPr>
        <w:t>数据格式</w:t>
      </w:r>
      <w:bookmarkEnd w:id="945"/>
    </w:p>
    <w:p w14:paraId="0D421E9D" w14:textId="77777777" w:rsidR="00A052DC" w:rsidRDefault="009F0A60">
      <w:r>
        <w:t>&lt;REC&gt;</w:t>
      </w:r>
    </w:p>
    <w:p w14:paraId="3C9D35F1" w14:textId="77777777" w:rsidR="00A052DC" w:rsidRDefault="009F0A60">
      <w:r>
        <w:t>&lt;ACTIONTYPE&gt;</w:t>
      </w:r>
      <w:r>
        <w:rPr>
          <w:rFonts w:hint="eastAsia"/>
        </w:rPr>
        <w:t>操作类型</w:t>
      </w:r>
      <w:r>
        <w:t>&lt;/ACTIONTYPE&gt;</w:t>
      </w:r>
    </w:p>
    <w:p w14:paraId="762B2E46" w14:textId="77777777" w:rsidR="00A052DC" w:rsidRDefault="009F0A60">
      <w:r>
        <w:t>&lt;ACTIONDESC&gt;</w:t>
      </w:r>
      <w:r>
        <w:rPr>
          <w:rFonts w:hint="eastAsia"/>
        </w:rPr>
        <w:t>修改</w:t>
      </w:r>
      <w:r>
        <w:t>/</w:t>
      </w:r>
      <w:r>
        <w:rPr>
          <w:rFonts w:hint="eastAsia"/>
        </w:rPr>
        <w:t>删除原因</w:t>
      </w:r>
      <w:r>
        <w:t>/</w:t>
      </w:r>
      <w:r>
        <w:rPr>
          <w:rFonts w:hint="eastAsia"/>
        </w:rPr>
        <w:t>申报无误理由</w:t>
      </w:r>
      <w:r>
        <w:t>&lt;/ACTIONDESC&gt;</w:t>
      </w:r>
    </w:p>
    <w:p w14:paraId="719B1775" w14:textId="77777777" w:rsidR="00A052DC" w:rsidRDefault="009F0A60">
      <w:r>
        <w:t>&lt;RPTNO&gt;</w:t>
      </w:r>
      <w:r>
        <w:rPr>
          <w:rFonts w:hint="eastAsia"/>
        </w:rPr>
        <w:t>申报号码</w:t>
      </w:r>
      <w:r>
        <w:t>&lt;/RPTNO&gt;</w:t>
      </w:r>
    </w:p>
    <w:p w14:paraId="65DFD039" w14:textId="77777777" w:rsidR="00A052DC" w:rsidRDefault="009F0A60">
      <w:r>
        <w:t>&lt;CUSTYPE&gt;</w:t>
      </w:r>
      <w:r>
        <w:rPr>
          <w:rFonts w:hint="eastAsia"/>
        </w:rPr>
        <w:t>收款人类型</w:t>
      </w:r>
      <w:r>
        <w:t>&lt;/CUSTYPE&gt;</w:t>
      </w:r>
    </w:p>
    <w:p w14:paraId="56440A20" w14:textId="77777777" w:rsidR="00A052DC" w:rsidRDefault="009F0A60">
      <w:r>
        <w:t>&lt;IDCODE&gt;</w:t>
      </w:r>
      <w:r>
        <w:rPr>
          <w:rFonts w:hint="eastAsia"/>
        </w:rPr>
        <w:t>个人身份证件号码</w:t>
      </w:r>
      <w:r>
        <w:t>&lt;/IDCODE&gt;</w:t>
      </w:r>
    </w:p>
    <w:p w14:paraId="0B454B4A" w14:textId="77777777" w:rsidR="00A052DC" w:rsidRDefault="009F0A60">
      <w:r>
        <w:t>&lt;CUSTCOD&gt;</w:t>
      </w:r>
      <w:r>
        <w:rPr>
          <w:rFonts w:hint="eastAsia"/>
        </w:rPr>
        <w:t>主体标识码</w:t>
      </w:r>
      <w:r>
        <w:t>&lt;/CUSTCOD&gt;</w:t>
      </w:r>
    </w:p>
    <w:p w14:paraId="7C660B4E" w14:textId="77777777" w:rsidR="00A052DC" w:rsidRDefault="009F0A60">
      <w:r>
        <w:t>&lt;CUSTNM&gt;</w:t>
      </w:r>
      <w:r>
        <w:rPr>
          <w:rFonts w:hint="eastAsia"/>
        </w:rPr>
        <w:t>收款人名称</w:t>
      </w:r>
      <w:r>
        <w:t>&lt;/CUSTNM&gt;</w:t>
      </w:r>
    </w:p>
    <w:p w14:paraId="71CC9CBB" w14:textId="77777777" w:rsidR="00A052DC" w:rsidRDefault="009F0A60">
      <w:r>
        <w:t>&lt;OPPUSER&gt;</w:t>
      </w:r>
      <w:r>
        <w:rPr>
          <w:rFonts w:hint="eastAsia"/>
        </w:rPr>
        <w:t>付款人名称</w:t>
      </w:r>
      <w:r>
        <w:t>&lt;/OPPUSER&gt;</w:t>
      </w:r>
    </w:p>
    <w:p w14:paraId="51A59344" w14:textId="77777777" w:rsidR="00A052DC" w:rsidRDefault="009F0A60">
      <w:r>
        <w:t>&lt;TXCCY&gt;</w:t>
      </w:r>
      <w:r>
        <w:rPr>
          <w:rFonts w:hint="eastAsia"/>
        </w:rPr>
        <w:t>收入款币种</w:t>
      </w:r>
      <w:r>
        <w:t>&lt;/TXCCY&gt;</w:t>
      </w:r>
    </w:p>
    <w:p w14:paraId="580F6FBE" w14:textId="77777777" w:rsidR="00A052DC" w:rsidRDefault="009F0A60">
      <w:r>
        <w:t>&lt;TXAMT&gt;</w:t>
      </w:r>
      <w:r>
        <w:rPr>
          <w:rFonts w:hint="eastAsia"/>
        </w:rPr>
        <w:t>收入款金额</w:t>
      </w:r>
      <w:r>
        <w:t>&lt;/TXAMT&gt;</w:t>
      </w:r>
    </w:p>
    <w:p w14:paraId="633EB645" w14:textId="77777777" w:rsidR="00A052DC" w:rsidRDefault="009F0A60">
      <w:r>
        <w:t>&lt;EXRATE&gt;</w:t>
      </w:r>
      <w:r>
        <w:rPr>
          <w:rFonts w:hint="eastAsia"/>
        </w:rPr>
        <w:t>结汇汇率</w:t>
      </w:r>
      <w:r>
        <w:t>&lt;/EXRATE&gt;</w:t>
      </w:r>
    </w:p>
    <w:p w14:paraId="77E364A2" w14:textId="77777777" w:rsidR="00A052DC" w:rsidRDefault="009F0A60">
      <w:r>
        <w:t>&lt;LCYAMT&gt;</w:t>
      </w:r>
      <w:r>
        <w:rPr>
          <w:rFonts w:hint="eastAsia"/>
        </w:rPr>
        <w:t>结汇金额</w:t>
      </w:r>
      <w:r>
        <w:t>&lt;/LCYAMT&gt;</w:t>
      </w:r>
    </w:p>
    <w:p w14:paraId="69988672" w14:textId="77777777" w:rsidR="00A052DC" w:rsidRDefault="009F0A60">
      <w:r>
        <w:t>&lt;LCYACC&gt;</w:t>
      </w:r>
      <w:r>
        <w:rPr>
          <w:rFonts w:hint="eastAsia"/>
        </w:rPr>
        <w:t>人民币账号</w:t>
      </w:r>
      <w:r>
        <w:t>/</w:t>
      </w:r>
      <w:r>
        <w:rPr>
          <w:rFonts w:hint="eastAsia"/>
        </w:rPr>
        <w:t>银行卡号</w:t>
      </w:r>
      <w:r>
        <w:t>&lt;/LCYACC&gt;</w:t>
      </w:r>
    </w:p>
    <w:p w14:paraId="1B6ABD53" w14:textId="77777777" w:rsidR="00A052DC" w:rsidRDefault="009F0A60">
      <w:r>
        <w:t>&lt;FCYAMT&gt;</w:t>
      </w:r>
      <w:r>
        <w:rPr>
          <w:rFonts w:hint="eastAsia"/>
        </w:rPr>
        <w:t>现汇金额</w:t>
      </w:r>
      <w:r>
        <w:t>&lt;/FCYAMT&gt;</w:t>
      </w:r>
    </w:p>
    <w:p w14:paraId="68EDE0EE" w14:textId="77777777" w:rsidR="00A052DC" w:rsidRDefault="009F0A60">
      <w:r>
        <w:t>&lt;FCYACC&gt;</w:t>
      </w:r>
      <w:r>
        <w:rPr>
          <w:rFonts w:hint="eastAsia"/>
        </w:rPr>
        <w:t>外汇账号</w:t>
      </w:r>
      <w:r>
        <w:t>/</w:t>
      </w:r>
      <w:r>
        <w:rPr>
          <w:rFonts w:hint="eastAsia"/>
        </w:rPr>
        <w:t>银行卡号</w:t>
      </w:r>
      <w:r>
        <w:t>&lt;/FCYACC&gt;</w:t>
      </w:r>
    </w:p>
    <w:p w14:paraId="08DB0B1E" w14:textId="77777777" w:rsidR="00A052DC" w:rsidRDefault="009F0A60">
      <w:r>
        <w:t>&lt;OTHAMT&gt;</w:t>
      </w:r>
      <w:r w:rsidR="0021563C">
        <w:rPr>
          <w:rFonts w:hint="eastAsia"/>
        </w:rPr>
        <w:t>其他</w:t>
      </w:r>
      <w:r>
        <w:rPr>
          <w:rFonts w:hint="eastAsia"/>
        </w:rPr>
        <w:t>金额</w:t>
      </w:r>
      <w:r>
        <w:t>&lt;/OTHAMT&gt;</w:t>
      </w:r>
    </w:p>
    <w:p w14:paraId="56462CA7" w14:textId="77777777" w:rsidR="00A052DC" w:rsidRDefault="009F0A60">
      <w:r>
        <w:t>&lt;OTHACC&gt;</w:t>
      </w:r>
      <w:r w:rsidR="0021563C">
        <w:rPr>
          <w:rFonts w:hint="eastAsia"/>
        </w:rPr>
        <w:t>其他</w:t>
      </w:r>
      <w:r>
        <w:rPr>
          <w:rFonts w:hint="eastAsia"/>
        </w:rPr>
        <w:t>账号</w:t>
      </w:r>
      <w:r>
        <w:t>/</w:t>
      </w:r>
      <w:r>
        <w:rPr>
          <w:rFonts w:hint="eastAsia"/>
        </w:rPr>
        <w:t>银行卡号</w:t>
      </w:r>
      <w:r>
        <w:t>&lt;/OTHACC&gt;</w:t>
      </w:r>
    </w:p>
    <w:p w14:paraId="5D2BE9B1" w14:textId="77777777" w:rsidR="00A052DC" w:rsidRDefault="009F0A60">
      <w:r>
        <w:t>&lt;METHOD&gt;</w:t>
      </w:r>
      <w:r>
        <w:rPr>
          <w:rFonts w:hint="eastAsia"/>
        </w:rPr>
        <w:t>结算方式</w:t>
      </w:r>
      <w:r>
        <w:t>&lt;/METHOD&gt;</w:t>
      </w:r>
    </w:p>
    <w:p w14:paraId="78B12222" w14:textId="77777777" w:rsidR="00A052DC" w:rsidRDefault="009F0A60">
      <w:r>
        <w:t>&lt;BUSCODE&gt;</w:t>
      </w:r>
      <w:r>
        <w:rPr>
          <w:rFonts w:hint="eastAsia"/>
        </w:rPr>
        <w:t>银行业务编号</w:t>
      </w:r>
      <w:r>
        <w:t>&lt;/BUSCODE&gt;</w:t>
      </w:r>
    </w:p>
    <w:p w14:paraId="3E7775B4" w14:textId="77777777" w:rsidR="00A052DC" w:rsidRDefault="009F0A60">
      <w:r>
        <w:t>&lt;INCHARGECCY&gt;</w:t>
      </w:r>
      <w:r>
        <w:rPr>
          <w:rFonts w:hint="eastAsia"/>
        </w:rPr>
        <w:t>国内银行扣费币种</w:t>
      </w:r>
      <w:r>
        <w:t>&lt;/INCHARGECCY&gt;</w:t>
      </w:r>
    </w:p>
    <w:p w14:paraId="07EB3DE8" w14:textId="77777777" w:rsidR="00A052DC" w:rsidRDefault="009F0A60">
      <w:r>
        <w:t>&lt;INCHARGEAMT&gt;</w:t>
      </w:r>
      <w:r>
        <w:rPr>
          <w:rFonts w:hint="eastAsia"/>
        </w:rPr>
        <w:t>国内银行扣费金额</w:t>
      </w:r>
      <w:r>
        <w:t>&lt;/INCHARGEAMT&gt;</w:t>
      </w:r>
    </w:p>
    <w:p w14:paraId="66B293A4" w14:textId="77777777" w:rsidR="00A052DC" w:rsidRDefault="009F0A60">
      <w:r>
        <w:t>&lt;OUTCHARGECCY&gt;</w:t>
      </w:r>
      <w:r>
        <w:rPr>
          <w:rFonts w:hint="eastAsia"/>
        </w:rPr>
        <w:t>国外银行扣费币种</w:t>
      </w:r>
      <w:r>
        <w:t>&lt;/OUTCHARGECCY&gt;</w:t>
      </w:r>
    </w:p>
    <w:p w14:paraId="6BD6FAC7" w14:textId="77777777" w:rsidR="00A052DC" w:rsidRDefault="009F0A60">
      <w:r>
        <w:t>&lt;OUTCHARGEAMT&gt;</w:t>
      </w:r>
      <w:r>
        <w:rPr>
          <w:rFonts w:hint="eastAsia"/>
        </w:rPr>
        <w:t>国外银行扣费金额</w:t>
      </w:r>
      <w:r>
        <w:t>&lt;/OUTCHARGEAMT&gt;</w:t>
      </w:r>
    </w:p>
    <w:p w14:paraId="315F9C54" w14:textId="77777777" w:rsidR="00A052DC" w:rsidRDefault="009F0A60">
      <w:r>
        <w:t>&lt;/REC&gt;</w:t>
      </w:r>
    </w:p>
    <w:p w14:paraId="3BFD1C0E" w14:textId="77777777" w:rsidR="00A052DC" w:rsidRDefault="009F0A60" w:rsidP="0020251D">
      <w:pPr>
        <w:pStyle w:val="4"/>
        <w:numPr>
          <w:ilvl w:val="3"/>
          <w:numId w:val="1"/>
        </w:numPr>
        <w:jc w:val="left"/>
      </w:pPr>
      <w:bookmarkStart w:id="946" w:name="_Toc454386754"/>
      <w:r>
        <w:rPr>
          <w:rFonts w:hint="eastAsia"/>
        </w:rPr>
        <w:t>数据字典</w:t>
      </w:r>
      <w:bookmarkEnd w:id="946"/>
    </w:p>
    <w:tbl>
      <w:tblPr>
        <w:tblW w:w="86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843"/>
        <w:gridCol w:w="1559"/>
        <w:gridCol w:w="3685"/>
      </w:tblGrid>
      <w:tr w:rsidR="00A052DC" w14:paraId="75097E84" w14:textId="77777777">
        <w:trPr>
          <w:tblHeader/>
        </w:trPr>
        <w:tc>
          <w:tcPr>
            <w:tcW w:w="1560" w:type="dxa"/>
            <w:shd w:val="clear" w:color="auto" w:fill="C0C0C0"/>
          </w:tcPr>
          <w:p w14:paraId="782A213F" w14:textId="77777777" w:rsidR="00A052DC" w:rsidRDefault="009F0A60">
            <w:pPr>
              <w:jc w:val="center"/>
              <w:rPr>
                <w:rFonts w:ascii="黑体" w:eastAsia="黑体" w:hAnsi="黑体"/>
                <w:b/>
                <w:sz w:val="20"/>
                <w:szCs w:val="20"/>
              </w:rPr>
            </w:pPr>
            <w:r>
              <w:rPr>
                <w:rFonts w:ascii="黑体" w:eastAsia="黑体" w:hAnsi="黑体" w:hint="eastAsia"/>
                <w:b/>
                <w:sz w:val="20"/>
                <w:szCs w:val="20"/>
              </w:rPr>
              <w:t>字段</w:t>
            </w:r>
          </w:p>
        </w:tc>
        <w:tc>
          <w:tcPr>
            <w:tcW w:w="1843" w:type="dxa"/>
            <w:shd w:val="clear" w:color="auto" w:fill="C0C0C0"/>
          </w:tcPr>
          <w:p w14:paraId="034A57C4" w14:textId="77777777" w:rsidR="00A052DC" w:rsidRDefault="009F0A60">
            <w:pPr>
              <w:jc w:val="center"/>
              <w:rPr>
                <w:rFonts w:ascii="黑体" w:eastAsia="黑体" w:hAnsi="黑体"/>
                <w:b/>
                <w:sz w:val="20"/>
                <w:szCs w:val="20"/>
              </w:rPr>
            </w:pPr>
            <w:r>
              <w:rPr>
                <w:rFonts w:ascii="黑体" w:eastAsia="黑体" w:hAnsi="黑体" w:hint="eastAsia"/>
                <w:b/>
                <w:sz w:val="20"/>
                <w:szCs w:val="20"/>
              </w:rPr>
              <w:t>内容</w:t>
            </w:r>
          </w:p>
        </w:tc>
        <w:tc>
          <w:tcPr>
            <w:tcW w:w="1559" w:type="dxa"/>
            <w:shd w:val="clear" w:color="auto" w:fill="C0C0C0"/>
          </w:tcPr>
          <w:p w14:paraId="5615A0A4" w14:textId="77777777" w:rsidR="00A052DC" w:rsidRDefault="009F0A60">
            <w:pPr>
              <w:jc w:val="center"/>
              <w:rPr>
                <w:rFonts w:ascii="黑体" w:eastAsia="黑体" w:hAnsi="黑体"/>
                <w:b/>
                <w:sz w:val="20"/>
                <w:szCs w:val="20"/>
              </w:rPr>
            </w:pPr>
            <w:r>
              <w:rPr>
                <w:rFonts w:ascii="黑体" w:eastAsia="黑体" w:hAnsi="黑体" w:hint="eastAsia"/>
                <w:b/>
                <w:sz w:val="20"/>
                <w:szCs w:val="20"/>
              </w:rPr>
              <w:t>类型（长度）</w:t>
            </w:r>
          </w:p>
        </w:tc>
        <w:tc>
          <w:tcPr>
            <w:tcW w:w="3685" w:type="dxa"/>
            <w:shd w:val="clear" w:color="auto" w:fill="C0C0C0"/>
          </w:tcPr>
          <w:p w14:paraId="16C09464" w14:textId="77777777" w:rsidR="00A052DC" w:rsidRDefault="009F0A60">
            <w:pPr>
              <w:jc w:val="center"/>
              <w:rPr>
                <w:rFonts w:ascii="黑体" w:eastAsia="黑体" w:hAnsi="黑体"/>
                <w:b/>
                <w:sz w:val="20"/>
                <w:szCs w:val="20"/>
              </w:rPr>
            </w:pPr>
            <w:r>
              <w:rPr>
                <w:rFonts w:ascii="黑体" w:eastAsia="黑体" w:hAnsi="黑体" w:hint="eastAsia"/>
                <w:b/>
                <w:sz w:val="20"/>
                <w:szCs w:val="20"/>
              </w:rPr>
              <w:t>校验</w:t>
            </w:r>
          </w:p>
        </w:tc>
      </w:tr>
      <w:tr w:rsidR="00A052DC" w14:paraId="5195D66D" w14:textId="77777777">
        <w:tc>
          <w:tcPr>
            <w:tcW w:w="1560" w:type="dxa"/>
          </w:tcPr>
          <w:p w14:paraId="08478505" w14:textId="77777777" w:rsidR="00A052DC" w:rsidRDefault="009F0A60">
            <w:pPr>
              <w:rPr>
                <w:rFonts w:ascii="黑体" w:eastAsia="黑体" w:hAnsi="黑体"/>
                <w:sz w:val="20"/>
                <w:szCs w:val="20"/>
              </w:rPr>
            </w:pPr>
            <w:r>
              <w:rPr>
                <w:rFonts w:ascii="黑体" w:eastAsia="黑体" w:hAnsi="黑体"/>
                <w:sz w:val="20"/>
                <w:szCs w:val="20"/>
              </w:rPr>
              <w:t>ACTIONTYPE</w:t>
            </w:r>
          </w:p>
        </w:tc>
        <w:tc>
          <w:tcPr>
            <w:tcW w:w="1843" w:type="dxa"/>
          </w:tcPr>
          <w:p w14:paraId="3AC6B60E" w14:textId="77777777" w:rsidR="00A052DC" w:rsidRDefault="009F0A60">
            <w:pPr>
              <w:rPr>
                <w:rFonts w:ascii="黑体" w:eastAsia="黑体" w:hAnsi="黑体"/>
                <w:sz w:val="20"/>
                <w:szCs w:val="20"/>
              </w:rPr>
            </w:pPr>
            <w:r>
              <w:rPr>
                <w:rFonts w:ascii="黑体" w:eastAsia="黑体" w:hAnsi="黑体" w:hint="eastAsia"/>
                <w:sz w:val="20"/>
                <w:szCs w:val="20"/>
              </w:rPr>
              <w:t>操作类型</w:t>
            </w:r>
          </w:p>
        </w:tc>
        <w:tc>
          <w:tcPr>
            <w:tcW w:w="1559" w:type="dxa"/>
          </w:tcPr>
          <w:p w14:paraId="74431B7D" w14:textId="77777777" w:rsidR="00A052DC" w:rsidRDefault="009F0A60">
            <w:pPr>
              <w:rPr>
                <w:rFonts w:ascii="黑体" w:eastAsia="黑体" w:hAnsi="黑体"/>
                <w:sz w:val="20"/>
                <w:szCs w:val="20"/>
              </w:rPr>
            </w:pPr>
            <w:r>
              <w:rPr>
                <w:rFonts w:ascii="黑体" w:eastAsia="黑体" w:hAnsi="黑体" w:hint="eastAsia"/>
                <w:sz w:val="20"/>
                <w:szCs w:val="20"/>
              </w:rPr>
              <w:t>字符型，1</w:t>
            </w:r>
          </w:p>
        </w:tc>
        <w:tc>
          <w:tcPr>
            <w:tcW w:w="3685" w:type="dxa"/>
          </w:tcPr>
          <w:p w14:paraId="4D827389" w14:textId="77777777" w:rsidR="00A052DC" w:rsidRDefault="009F0A60">
            <w:pPr>
              <w:rPr>
                <w:rFonts w:ascii="黑体" w:eastAsia="黑体" w:hAnsi="黑体"/>
                <w:sz w:val="20"/>
                <w:szCs w:val="20"/>
              </w:rPr>
            </w:pPr>
            <w:r>
              <w:rPr>
                <w:rFonts w:ascii="黑体" w:eastAsia="黑体" w:hAnsi="黑体" w:hint="eastAsia"/>
                <w:sz w:val="20"/>
                <w:szCs w:val="20"/>
              </w:rPr>
              <w:t>A</w:t>
            </w:r>
            <w:r w:rsidR="00AE4602">
              <w:rPr>
                <w:rFonts w:ascii="黑体" w:eastAsia="黑体" w:hAnsi="黑体" w:hint="eastAsia"/>
                <w:sz w:val="20"/>
                <w:szCs w:val="20"/>
              </w:rPr>
              <w:t>-</w:t>
            </w:r>
            <w:r>
              <w:rPr>
                <w:rFonts w:ascii="黑体" w:eastAsia="黑体" w:hAnsi="黑体" w:hint="eastAsia"/>
                <w:sz w:val="20"/>
                <w:szCs w:val="20"/>
              </w:rPr>
              <w:t>新建</w:t>
            </w:r>
          </w:p>
          <w:p w14:paraId="2097229E" w14:textId="77777777" w:rsidR="00A052DC" w:rsidRDefault="009F0A60">
            <w:pPr>
              <w:rPr>
                <w:rFonts w:ascii="黑体" w:eastAsia="黑体" w:hAnsi="黑体"/>
                <w:sz w:val="20"/>
                <w:szCs w:val="20"/>
              </w:rPr>
            </w:pPr>
            <w:r>
              <w:rPr>
                <w:rFonts w:ascii="黑体" w:eastAsia="黑体" w:hAnsi="黑体" w:hint="eastAsia"/>
                <w:sz w:val="20"/>
                <w:szCs w:val="20"/>
              </w:rPr>
              <w:t>C</w:t>
            </w:r>
            <w:r w:rsidR="00AE4602">
              <w:rPr>
                <w:rFonts w:ascii="黑体" w:eastAsia="黑体" w:hAnsi="黑体" w:hint="eastAsia"/>
                <w:sz w:val="20"/>
                <w:szCs w:val="20"/>
              </w:rPr>
              <w:t>-</w:t>
            </w:r>
            <w:r>
              <w:rPr>
                <w:rFonts w:ascii="黑体" w:eastAsia="黑体" w:hAnsi="黑体" w:hint="eastAsia"/>
                <w:sz w:val="20"/>
                <w:szCs w:val="20"/>
              </w:rPr>
              <w:t>修改</w:t>
            </w:r>
          </w:p>
          <w:p w14:paraId="6117C4B0" w14:textId="77777777" w:rsidR="00A052DC" w:rsidRDefault="009F0A60">
            <w:pPr>
              <w:rPr>
                <w:rFonts w:ascii="黑体" w:eastAsia="黑体" w:hAnsi="黑体"/>
                <w:sz w:val="20"/>
                <w:szCs w:val="20"/>
              </w:rPr>
            </w:pPr>
            <w:r>
              <w:rPr>
                <w:rFonts w:ascii="黑体" w:eastAsia="黑体" w:hAnsi="黑体" w:hint="eastAsia"/>
                <w:sz w:val="20"/>
                <w:szCs w:val="20"/>
              </w:rPr>
              <w:t>D</w:t>
            </w:r>
            <w:r w:rsidR="00AE4602">
              <w:rPr>
                <w:rFonts w:ascii="黑体" w:eastAsia="黑体" w:hAnsi="黑体" w:hint="eastAsia"/>
                <w:sz w:val="20"/>
                <w:szCs w:val="20"/>
              </w:rPr>
              <w:t>-</w:t>
            </w:r>
            <w:r>
              <w:rPr>
                <w:rFonts w:ascii="黑体" w:eastAsia="黑体" w:hAnsi="黑体" w:hint="eastAsia"/>
                <w:sz w:val="20"/>
                <w:szCs w:val="20"/>
              </w:rPr>
              <w:t>删除</w:t>
            </w:r>
          </w:p>
          <w:p w14:paraId="67E1841A" w14:textId="77777777" w:rsidR="00A052DC" w:rsidRDefault="009F0A60" w:rsidP="006237F5">
            <w:pPr>
              <w:rPr>
                <w:rFonts w:ascii="黑体" w:eastAsia="黑体" w:hAnsi="黑体"/>
                <w:sz w:val="20"/>
                <w:szCs w:val="20"/>
              </w:rPr>
            </w:pPr>
            <w:r>
              <w:rPr>
                <w:rFonts w:ascii="黑体" w:eastAsia="黑体" w:hAnsi="黑体" w:hint="eastAsia"/>
                <w:sz w:val="20"/>
                <w:szCs w:val="20"/>
              </w:rPr>
              <w:t>R-申报无误（银行反馈），预留，暂不用</w:t>
            </w:r>
          </w:p>
        </w:tc>
      </w:tr>
      <w:tr w:rsidR="00A052DC" w14:paraId="19A68339" w14:textId="77777777">
        <w:tc>
          <w:tcPr>
            <w:tcW w:w="1560" w:type="dxa"/>
          </w:tcPr>
          <w:p w14:paraId="7C4FEC89" w14:textId="77777777" w:rsidR="00A052DC" w:rsidRDefault="009F0A60">
            <w:pPr>
              <w:rPr>
                <w:rFonts w:ascii="黑体" w:eastAsia="黑体" w:hAnsi="黑体"/>
                <w:sz w:val="20"/>
                <w:szCs w:val="20"/>
              </w:rPr>
            </w:pPr>
            <w:r>
              <w:rPr>
                <w:rFonts w:ascii="黑体" w:eastAsia="黑体" w:hAnsi="黑体"/>
                <w:sz w:val="20"/>
                <w:szCs w:val="20"/>
              </w:rPr>
              <w:t>ACTIONDESC</w:t>
            </w:r>
          </w:p>
        </w:tc>
        <w:tc>
          <w:tcPr>
            <w:tcW w:w="1843" w:type="dxa"/>
          </w:tcPr>
          <w:p w14:paraId="213234EA" w14:textId="77777777" w:rsidR="00A052DC" w:rsidRDefault="009F0A60">
            <w:pPr>
              <w:rPr>
                <w:rFonts w:ascii="黑体" w:eastAsia="黑体" w:hAnsi="黑体"/>
                <w:sz w:val="20"/>
                <w:szCs w:val="20"/>
              </w:rPr>
            </w:pPr>
            <w:r>
              <w:rPr>
                <w:rFonts w:ascii="黑体" w:eastAsia="黑体" w:hAnsi="黑体" w:hint="eastAsia"/>
                <w:sz w:val="20"/>
                <w:szCs w:val="20"/>
              </w:rPr>
              <w:t>修改/删除原因</w:t>
            </w:r>
          </w:p>
          <w:p w14:paraId="1E24B347" w14:textId="77777777" w:rsidR="00A052DC" w:rsidRDefault="009F0A60">
            <w:pPr>
              <w:rPr>
                <w:rFonts w:ascii="黑体" w:eastAsia="黑体" w:hAnsi="黑体"/>
                <w:sz w:val="20"/>
                <w:szCs w:val="20"/>
              </w:rPr>
            </w:pPr>
            <w:r>
              <w:rPr>
                <w:rFonts w:ascii="黑体" w:eastAsia="黑体" w:hAnsi="黑体" w:hint="eastAsia"/>
                <w:sz w:val="20"/>
                <w:szCs w:val="20"/>
              </w:rPr>
              <w:t>或申报无误理由</w:t>
            </w:r>
          </w:p>
        </w:tc>
        <w:tc>
          <w:tcPr>
            <w:tcW w:w="1559" w:type="dxa"/>
          </w:tcPr>
          <w:p w14:paraId="00FE5C1A"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3685" w:type="dxa"/>
          </w:tcPr>
          <w:p w14:paraId="391FF27D" w14:textId="77777777" w:rsidR="00A052DC" w:rsidRDefault="00A052DC">
            <w:pPr>
              <w:keepNext/>
              <w:keepLines/>
              <w:spacing w:before="120" w:after="120" w:line="360" w:lineRule="auto"/>
              <w:outlineLvl w:val="2"/>
              <w:rPr>
                <w:rFonts w:ascii="黑体" w:eastAsia="黑体" w:hAnsi="黑体"/>
                <w:sz w:val="20"/>
                <w:szCs w:val="20"/>
              </w:rPr>
            </w:pPr>
          </w:p>
        </w:tc>
      </w:tr>
      <w:tr w:rsidR="00A052DC" w14:paraId="4A210D32" w14:textId="77777777">
        <w:tc>
          <w:tcPr>
            <w:tcW w:w="1560" w:type="dxa"/>
          </w:tcPr>
          <w:p w14:paraId="2404F089" w14:textId="77777777" w:rsidR="00A052DC" w:rsidRDefault="009F0A60">
            <w:pPr>
              <w:rPr>
                <w:rFonts w:ascii="黑体" w:eastAsia="黑体" w:hAnsi="黑体"/>
                <w:sz w:val="20"/>
                <w:szCs w:val="20"/>
              </w:rPr>
            </w:pPr>
            <w:r>
              <w:rPr>
                <w:rFonts w:ascii="黑体" w:eastAsia="黑体" w:hAnsi="黑体"/>
                <w:sz w:val="20"/>
                <w:szCs w:val="20"/>
              </w:rPr>
              <w:t>RPTNO</w:t>
            </w:r>
          </w:p>
        </w:tc>
        <w:tc>
          <w:tcPr>
            <w:tcW w:w="1843" w:type="dxa"/>
          </w:tcPr>
          <w:p w14:paraId="6C8C6E8A" w14:textId="77777777" w:rsidR="00A052DC" w:rsidRDefault="009F0A60">
            <w:pPr>
              <w:rPr>
                <w:rFonts w:ascii="黑体" w:eastAsia="黑体" w:hAnsi="黑体"/>
                <w:sz w:val="20"/>
                <w:szCs w:val="20"/>
              </w:rPr>
            </w:pPr>
            <w:r>
              <w:rPr>
                <w:rFonts w:ascii="黑体" w:eastAsia="黑体" w:hAnsi="黑体" w:hint="eastAsia"/>
                <w:sz w:val="20"/>
                <w:szCs w:val="20"/>
              </w:rPr>
              <w:t>申报号码</w:t>
            </w:r>
          </w:p>
        </w:tc>
        <w:tc>
          <w:tcPr>
            <w:tcW w:w="1559" w:type="dxa"/>
          </w:tcPr>
          <w:p w14:paraId="62799BDE" w14:textId="77777777" w:rsidR="00A052DC" w:rsidRDefault="009F0A60">
            <w:pPr>
              <w:rPr>
                <w:rFonts w:ascii="黑体" w:eastAsia="黑体" w:hAnsi="黑体"/>
                <w:sz w:val="20"/>
                <w:szCs w:val="20"/>
              </w:rPr>
            </w:pPr>
            <w:r>
              <w:rPr>
                <w:rFonts w:ascii="黑体" w:eastAsia="黑体" w:hAnsi="黑体" w:hint="eastAsia"/>
                <w:sz w:val="20"/>
                <w:szCs w:val="20"/>
              </w:rPr>
              <w:t>字符型，22</w:t>
            </w:r>
          </w:p>
        </w:tc>
        <w:tc>
          <w:tcPr>
            <w:tcW w:w="3685" w:type="dxa"/>
          </w:tcPr>
          <w:p w14:paraId="6E5D77AD" w14:textId="77777777" w:rsidR="00A052DC" w:rsidRDefault="009F0A60">
            <w:pPr>
              <w:rPr>
                <w:rFonts w:ascii="黑体" w:eastAsia="黑体" w:hAnsi="黑体"/>
                <w:sz w:val="20"/>
                <w:szCs w:val="20"/>
              </w:rPr>
            </w:pPr>
            <w:r>
              <w:rPr>
                <w:rFonts w:ascii="黑体" w:eastAsia="黑体" w:hAnsi="黑体" w:hint="eastAsia"/>
                <w:sz w:val="20"/>
                <w:szCs w:val="20"/>
              </w:rPr>
              <w:t>编码规则：6位地区标识码+4位银行代码+2位银行顺序码+支付日期（yymmdd）+4位银行业务流水码。</w:t>
            </w:r>
          </w:p>
          <w:p w14:paraId="12C5147F" w14:textId="77777777" w:rsidR="00A052DC" w:rsidRDefault="009F0A60">
            <w:pPr>
              <w:rPr>
                <w:rFonts w:ascii="黑体" w:eastAsia="黑体" w:hAnsi="黑体"/>
                <w:sz w:val="20"/>
                <w:szCs w:val="20"/>
              </w:rPr>
            </w:pPr>
            <w:r>
              <w:rPr>
                <w:rFonts w:ascii="黑体" w:eastAsia="黑体" w:hAnsi="黑体" w:hint="eastAsia"/>
                <w:sz w:val="20"/>
                <w:szCs w:val="20"/>
              </w:rPr>
              <w:t>支付日期不能晚于系统日期</w:t>
            </w:r>
            <w:r w:rsidR="006237F5">
              <w:rPr>
                <w:rFonts w:ascii="黑体" w:eastAsia="黑体" w:hAnsi="黑体" w:hint="eastAsia"/>
                <w:sz w:val="20"/>
                <w:szCs w:val="20"/>
              </w:rPr>
              <w:t>。</w:t>
            </w:r>
          </w:p>
          <w:p w14:paraId="2DB00E4D" w14:textId="77777777" w:rsidR="00A052DC" w:rsidRDefault="009F0A60">
            <w:pPr>
              <w:rPr>
                <w:rFonts w:ascii="黑体" w:eastAsia="黑体" w:hAnsi="黑体"/>
                <w:sz w:val="20"/>
                <w:szCs w:val="20"/>
              </w:rPr>
            </w:pPr>
            <w:r>
              <w:rPr>
                <w:rFonts w:ascii="黑体" w:eastAsia="黑体" w:hAnsi="黑体" w:hint="eastAsia"/>
                <w:sz w:val="20"/>
                <w:szCs w:val="20"/>
              </w:rPr>
              <w:t>银行业务流水码规则：</w:t>
            </w:r>
          </w:p>
          <w:p w14:paraId="5621625C" w14:textId="77777777" w:rsidR="00A052DC" w:rsidRDefault="009F0A60">
            <w:pPr>
              <w:rPr>
                <w:rFonts w:ascii="黑体" w:eastAsia="黑体" w:hAnsi="黑体"/>
                <w:sz w:val="20"/>
                <w:szCs w:val="20"/>
              </w:rPr>
            </w:pPr>
            <w:r>
              <w:rPr>
                <w:rFonts w:ascii="黑体" w:eastAsia="黑体" w:hAnsi="黑体" w:hint="eastAsia"/>
                <w:sz w:val="20"/>
                <w:szCs w:val="20"/>
              </w:rPr>
              <w:t>涉外收入对公为N***，P***，Q***</w:t>
            </w:r>
            <w:r w:rsidR="006237F5">
              <w:rPr>
                <w:rFonts w:ascii="黑体" w:eastAsia="黑体" w:hAnsi="黑体" w:hint="eastAsia"/>
                <w:sz w:val="20"/>
                <w:szCs w:val="20"/>
              </w:rPr>
              <w:t>，</w:t>
            </w:r>
            <w:r>
              <w:rPr>
                <w:rFonts w:ascii="黑体" w:eastAsia="黑体" w:hAnsi="黑体" w:hint="eastAsia"/>
                <w:sz w:val="20"/>
                <w:szCs w:val="20"/>
              </w:rPr>
              <w:t>R***</w:t>
            </w:r>
            <w:r w:rsidR="006237F5">
              <w:rPr>
                <w:rFonts w:ascii="黑体" w:eastAsia="黑体" w:hAnsi="黑体" w:hint="eastAsia"/>
                <w:sz w:val="20"/>
                <w:szCs w:val="20"/>
              </w:rPr>
              <w:t>，</w:t>
            </w:r>
            <w:r>
              <w:rPr>
                <w:rFonts w:ascii="黑体" w:eastAsia="黑体" w:hAnsi="黑体" w:hint="eastAsia"/>
                <w:sz w:val="20"/>
                <w:szCs w:val="20"/>
              </w:rPr>
              <w:t>S***</w:t>
            </w:r>
            <w:r w:rsidR="006237F5">
              <w:rPr>
                <w:rFonts w:ascii="黑体" w:eastAsia="黑体" w:hAnsi="黑体" w:hint="eastAsia"/>
                <w:sz w:val="20"/>
                <w:szCs w:val="20"/>
              </w:rPr>
              <w:t>，</w:t>
            </w:r>
            <w:r>
              <w:rPr>
                <w:rFonts w:ascii="黑体" w:eastAsia="黑体" w:hAnsi="黑体" w:hint="eastAsia"/>
                <w:sz w:val="20"/>
                <w:szCs w:val="20"/>
              </w:rPr>
              <w:t>T</w:t>
            </w:r>
            <w:r w:rsidR="006237F5">
              <w:rPr>
                <w:rFonts w:ascii="黑体" w:eastAsia="黑体" w:hAnsi="黑体" w:hint="eastAsia"/>
                <w:sz w:val="20"/>
                <w:szCs w:val="20"/>
              </w:rPr>
              <w:t>***；</w:t>
            </w:r>
          </w:p>
          <w:p w14:paraId="59C73AB6" w14:textId="77777777" w:rsidR="00A052DC" w:rsidRDefault="009F0A60">
            <w:pPr>
              <w:rPr>
                <w:rFonts w:ascii="黑体" w:eastAsia="黑体" w:hAnsi="黑体"/>
                <w:sz w:val="20"/>
                <w:szCs w:val="20"/>
              </w:rPr>
            </w:pPr>
            <w:r>
              <w:rPr>
                <w:rFonts w:ascii="黑体" w:eastAsia="黑体" w:hAnsi="黑体" w:hint="eastAsia"/>
                <w:sz w:val="20"/>
                <w:szCs w:val="20"/>
              </w:rPr>
              <w:t>涉外收入对私为U***</w:t>
            </w:r>
            <w:r w:rsidR="006237F5">
              <w:rPr>
                <w:rFonts w:ascii="黑体" w:eastAsia="黑体" w:hAnsi="黑体" w:hint="eastAsia"/>
                <w:sz w:val="20"/>
                <w:szCs w:val="20"/>
              </w:rPr>
              <w:t>，</w:t>
            </w:r>
            <w:r>
              <w:rPr>
                <w:rFonts w:ascii="黑体" w:eastAsia="黑体" w:hAnsi="黑体" w:hint="eastAsia"/>
                <w:sz w:val="20"/>
                <w:szCs w:val="20"/>
              </w:rPr>
              <w:t>V***</w:t>
            </w:r>
            <w:r w:rsidR="006237F5">
              <w:rPr>
                <w:rFonts w:ascii="黑体" w:eastAsia="黑体" w:hAnsi="黑体" w:hint="eastAsia"/>
                <w:sz w:val="20"/>
                <w:szCs w:val="20"/>
              </w:rPr>
              <w:t>，</w:t>
            </w:r>
            <w:r>
              <w:rPr>
                <w:rFonts w:ascii="黑体" w:eastAsia="黑体" w:hAnsi="黑体" w:hint="eastAsia"/>
                <w:sz w:val="20"/>
                <w:szCs w:val="20"/>
              </w:rPr>
              <w:t>W</w:t>
            </w:r>
            <w:r w:rsidR="006237F5">
              <w:rPr>
                <w:rFonts w:ascii="黑体" w:eastAsia="黑体" w:hAnsi="黑体" w:hint="eastAsia"/>
                <w:sz w:val="20"/>
                <w:szCs w:val="20"/>
              </w:rPr>
              <w:t>***；</w:t>
            </w:r>
          </w:p>
          <w:p w14:paraId="4B244969" w14:textId="77777777" w:rsidR="00A052DC" w:rsidRDefault="009F0A60">
            <w:pPr>
              <w:rPr>
                <w:rFonts w:ascii="黑体" w:eastAsia="黑体" w:hAnsi="黑体"/>
                <w:sz w:val="20"/>
                <w:szCs w:val="20"/>
              </w:rPr>
            </w:pPr>
            <w:r>
              <w:rPr>
                <w:rFonts w:ascii="黑体" w:eastAsia="黑体" w:hAnsi="黑体" w:hint="eastAsia"/>
                <w:sz w:val="20"/>
                <w:szCs w:val="20"/>
              </w:rPr>
              <w:t>后三位流水单号中允许使用半角英文大写字母（O、I、Z除外）与数字（0-9）。</w:t>
            </w:r>
          </w:p>
        </w:tc>
      </w:tr>
      <w:tr w:rsidR="00A052DC" w14:paraId="26DE7504" w14:textId="77777777">
        <w:tc>
          <w:tcPr>
            <w:tcW w:w="1560" w:type="dxa"/>
          </w:tcPr>
          <w:p w14:paraId="71041F03" w14:textId="77777777" w:rsidR="00A052DC" w:rsidRDefault="009F0A60">
            <w:pPr>
              <w:rPr>
                <w:rFonts w:ascii="黑体" w:eastAsia="黑体" w:hAnsi="黑体"/>
                <w:sz w:val="20"/>
                <w:szCs w:val="20"/>
              </w:rPr>
            </w:pPr>
            <w:r>
              <w:rPr>
                <w:rFonts w:ascii="黑体" w:eastAsia="黑体" w:hAnsi="黑体"/>
                <w:sz w:val="20"/>
                <w:szCs w:val="20"/>
              </w:rPr>
              <w:t>CUSTYPE</w:t>
            </w:r>
          </w:p>
        </w:tc>
        <w:tc>
          <w:tcPr>
            <w:tcW w:w="1843" w:type="dxa"/>
          </w:tcPr>
          <w:p w14:paraId="4626ACDA" w14:textId="77777777" w:rsidR="00A052DC" w:rsidRDefault="009F0A60">
            <w:pPr>
              <w:rPr>
                <w:rFonts w:ascii="黑体" w:eastAsia="黑体" w:hAnsi="黑体"/>
                <w:sz w:val="20"/>
                <w:szCs w:val="20"/>
              </w:rPr>
            </w:pPr>
            <w:r>
              <w:rPr>
                <w:rFonts w:ascii="黑体" w:eastAsia="黑体" w:hAnsi="黑体" w:hint="eastAsia"/>
                <w:sz w:val="20"/>
                <w:szCs w:val="20"/>
              </w:rPr>
              <w:t>收款人类型</w:t>
            </w:r>
          </w:p>
        </w:tc>
        <w:tc>
          <w:tcPr>
            <w:tcW w:w="1559" w:type="dxa"/>
          </w:tcPr>
          <w:p w14:paraId="54C1FD49" w14:textId="77777777" w:rsidR="00A052DC" w:rsidRDefault="009F0A60">
            <w:pPr>
              <w:rPr>
                <w:rFonts w:ascii="黑体" w:eastAsia="黑体" w:hAnsi="黑体"/>
                <w:sz w:val="20"/>
                <w:szCs w:val="20"/>
              </w:rPr>
            </w:pPr>
            <w:r>
              <w:rPr>
                <w:rFonts w:ascii="黑体" w:eastAsia="黑体" w:hAnsi="黑体" w:hint="eastAsia"/>
                <w:sz w:val="20"/>
                <w:szCs w:val="20"/>
              </w:rPr>
              <w:t>字符型，1</w:t>
            </w:r>
          </w:p>
        </w:tc>
        <w:tc>
          <w:tcPr>
            <w:tcW w:w="3685" w:type="dxa"/>
          </w:tcPr>
          <w:p w14:paraId="311ECE69" w14:textId="77777777" w:rsidR="00A052DC" w:rsidRDefault="009F0A60">
            <w:pPr>
              <w:rPr>
                <w:rFonts w:ascii="黑体" w:eastAsia="黑体" w:hAnsi="黑体"/>
                <w:sz w:val="20"/>
                <w:szCs w:val="20"/>
              </w:rPr>
            </w:pPr>
            <w:r>
              <w:rPr>
                <w:rFonts w:ascii="黑体" w:eastAsia="黑体" w:hAnsi="黑体" w:hint="eastAsia"/>
                <w:sz w:val="20"/>
                <w:szCs w:val="20"/>
              </w:rPr>
              <w:t>C</w:t>
            </w:r>
            <w:r w:rsidR="00AE4602">
              <w:rPr>
                <w:rFonts w:ascii="黑体" w:eastAsia="黑体" w:hAnsi="黑体" w:hint="eastAsia"/>
                <w:sz w:val="20"/>
                <w:szCs w:val="20"/>
              </w:rPr>
              <w:t>-</w:t>
            </w:r>
            <w:r>
              <w:rPr>
                <w:rFonts w:ascii="黑体" w:eastAsia="黑体" w:hAnsi="黑体" w:hint="eastAsia"/>
                <w:sz w:val="20"/>
                <w:szCs w:val="20"/>
              </w:rPr>
              <w:t>对公用户</w:t>
            </w:r>
          </w:p>
          <w:p w14:paraId="05E15369" w14:textId="77777777" w:rsidR="00A052DC" w:rsidRDefault="009F0A60">
            <w:pPr>
              <w:rPr>
                <w:rFonts w:ascii="黑体" w:eastAsia="黑体" w:hAnsi="黑体"/>
                <w:sz w:val="20"/>
                <w:szCs w:val="20"/>
              </w:rPr>
            </w:pPr>
            <w:r>
              <w:rPr>
                <w:rFonts w:ascii="黑体" w:eastAsia="黑体" w:hAnsi="黑体" w:hint="eastAsia"/>
                <w:sz w:val="20"/>
                <w:szCs w:val="20"/>
              </w:rPr>
              <w:t>D</w:t>
            </w:r>
            <w:r w:rsidR="00AE4602">
              <w:rPr>
                <w:rFonts w:ascii="黑体" w:eastAsia="黑体" w:hAnsi="黑体" w:hint="eastAsia"/>
                <w:sz w:val="20"/>
                <w:szCs w:val="20"/>
              </w:rPr>
              <w:t>-</w:t>
            </w:r>
            <w:r>
              <w:rPr>
                <w:rFonts w:ascii="黑体" w:eastAsia="黑体" w:hAnsi="黑体" w:hint="eastAsia"/>
                <w:sz w:val="20"/>
                <w:szCs w:val="20"/>
              </w:rPr>
              <w:t>对私中国居民</w:t>
            </w:r>
          </w:p>
          <w:p w14:paraId="30499EA4" w14:textId="77777777" w:rsidR="00A052DC" w:rsidRDefault="009F0A60">
            <w:pPr>
              <w:rPr>
                <w:rFonts w:ascii="黑体" w:eastAsia="黑体" w:hAnsi="黑体"/>
                <w:sz w:val="20"/>
                <w:szCs w:val="20"/>
              </w:rPr>
            </w:pPr>
            <w:r>
              <w:rPr>
                <w:rFonts w:ascii="黑体" w:eastAsia="黑体" w:hAnsi="黑体" w:hint="eastAsia"/>
                <w:sz w:val="20"/>
                <w:szCs w:val="20"/>
              </w:rPr>
              <w:t>F</w:t>
            </w:r>
            <w:r w:rsidR="00AE4602">
              <w:rPr>
                <w:rFonts w:ascii="黑体" w:eastAsia="黑体" w:hAnsi="黑体" w:hint="eastAsia"/>
                <w:sz w:val="20"/>
                <w:szCs w:val="20"/>
              </w:rPr>
              <w:t>-</w:t>
            </w:r>
            <w:r>
              <w:rPr>
                <w:rFonts w:ascii="黑体" w:eastAsia="黑体" w:hAnsi="黑体" w:hint="eastAsia"/>
                <w:sz w:val="20"/>
                <w:szCs w:val="20"/>
              </w:rPr>
              <w:t>对私中国非居民</w:t>
            </w:r>
          </w:p>
          <w:p w14:paraId="1357B599" w14:textId="77777777" w:rsidR="00A052DC" w:rsidRDefault="009F0A60">
            <w:pPr>
              <w:rPr>
                <w:rFonts w:ascii="黑体" w:eastAsia="黑体" w:hAnsi="黑体"/>
                <w:sz w:val="20"/>
                <w:szCs w:val="20"/>
              </w:rPr>
            </w:pPr>
            <w:r>
              <w:rPr>
                <w:rFonts w:ascii="黑体" w:eastAsia="黑体" w:hAnsi="黑体" w:hint="eastAsia"/>
                <w:sz w:val="20"/>
                <w:szCs w:val="20"/>
              </w:rPr>
              <w:t>需与申报号码中第19位字母所表明的含义一致。</w:t>
            </w:r>
          </w:p>
        </w:tc>
      </w:tr>
      <w:tr w:rsidR="00A052DC" w14:paraId="2B84C018" w14:textId="77777777">
        <w:tc>
          <w:tcPr>
            <w:tcW w:w="1560" w:type="dxa"/>
          </w:tcPr>
          <w:p w14:paraId="3F3BEA67" w14:textId="77777777" w:rsidR="00A052DC" w:rsidRDefault="009F0A60">
            <w:pPr>
              <w:rPr>
                <w:rFonts w:ascii="黑体" w:eastAsia="黑体" w:hAnsi="黑体"/>
                <w:sz w:val="20"/>
                <w:szCs w:val="20"/>
              </w:rPr>
            </w:pPr>
            <w:r>
              <w:rPr>
                <w:rFonts w:ascii="黑体" w:eastAsia="黑体" w:hAnsi="黑体"/>
                <w:sz w:val="20"/>
                <w:szCs w:val="20"/>
              </w:rPr>
              <w:t>IDCODE</w:t>
            </w:r>
          </w:p>
        </w:tc>
        <w:tc>
          <w:tcPr>
            <w:tcW w:w="1843" w:type="dxa"/>
          </w:tcPr>
          <w:p w14:paraId="789C43FC" w14:textId="77777777" w:rsidR="00A052DC" w:rsidRDefault="009F0A60">
            <w:pPr>
              <w:rPr>
                <w:rFonts w:ascii="黑体" w:eastAsia="黑体" w:hAnsi="黑体"/>
                <w:sz w:val="20"/>
                <w:szCs w:val="20"/>
              </w:rPr>
            </w:pPr>
            <w:r>
              <w:rPr>
                <w:rFonts w:ascii="黑体" w:eastAsia="黑体" w:hAnsi="黑体" w:hint="eastAsia"/>
                <w:sz w:val="20"/>
                <w:szCs w:val="20"/>
              </w:rPr>
              <w:t>个人身份证件号码</w:t>
            </w:r>
          </w:p>
        </w:tc>
        <w:tc>
          <w:tcPr>
            <w:tcW w:w="1559" w:type="dxa"/>
          </w:tcPr>
          <w:p w14:paraId="1DE92132" w14:textId="77777777" w:rsidR="00A052DC" w:rsidRDefault="009F0A60">
            <w:pPr>
              <w:rPr>
                <w:rFonts w:ascii="黑体" w:eastAsia="黑体" w:hAnsi="黑体"/>
                <w:sz w:val="20"/>
                <w:szCs w:val="20"/>
              </w:rPr>
            </w:pPr>
            <w:r>
              <w:rPr>
                <w:rFonts w:ascii="黑体" w:eastAsia="黑体" w:hAnsi="黑体" w:hint="eastAsia"/>
                <w:sz w:val="20"/>
                <w:szCs w:val="20"/>
              </w:rPr>
              <w:t>字符型，32</w:t>
            </w:r>
          </w:p>
        </w:tc>
        <w:tc>
          <w:tcPr>
            <w:tcW w:w="3685" w:type="dxa"/>
          </w:tcPr>
          <w:p w14:paraId="13AB3E61" w14:textId="77777777" w:rsidR="00A052DC" w:rsidRDefault="009F0A60">
            <w:pPr>
              <w:rPr>
                <w:rFonts w:ascii="黑体" w:eastAsia="黑体" w:hAnsi="黑体"/>
                <w:sz w:val="20"/>
                <w:szCs w:val="20"/>
              </w:rPr>
            </w:pPr>
            <w:r>
              <w:rPr>
                <w:rFonts w:ascii="黑体" w:eastAsia="黑体" w:hAnsi="黑体"/>
                <w:sz w:val="20"/>
                <w:szCs w:val="20"/>
              </w:rPr>
              <w:t>CUSTYPE&lt;&gt;</w:t>
            </w:r>
            <w:r>
              <w:rPr>
                <w:rFonts w:ascii="黑体" w:eastAsia="黑体" w:hAnsi="黑体" w:hint="eastAsia"/>
                <w:sz w:val="20"/>
                <w:szCs w:val="20"/>
              </w:rPr>
              <w:t>C时必填。</w:t>
            </w:r>
          </w:p>
        </w:tc>
      </w:tr>
      <w:tr w:rsidR="00A052DC" w14:paraId="4B45FB1C" w14:textId="77777777">
        <w:tc>
          <w:tcPr>
            <w:tcW w:w="1560" w:type="dxa"/>
          </w:tcPr>
          <w:p w14:paraId="1ECA1CAE" w14:textId="77777777" w:rsidR="00A052DC" w:rsidRDefault="009F0A60">
            <w:pPr>
              <w:rPr>
                <w:rFonts w:ascii="黑体" w:eastAsia="黑体" w:hAnsi="黑体"/>
                <w:sz w:val="20"/>
                <w:szCs w:val="20"/>
              </w:rPr>
            </w:pPr>
            <w:r>
              <w:rPr>
                <w:rFonts w:ascii="黑体" w:eastAsia="黑体" w:hAnsi="黑体"/>
                <w:sz w:val="20"/>
                <w:szCs w:val="20"/>
              </w:rPr>
              <w:t>CUSTCOD</w:t>
            </w:r>
          </w:p>
        </w:tc>
        <w:tc>
          <w:tcPr>
            <w:tcW w:w="1843" w:type="dxa"/>
          </w:tcPr>
          <w:p w14:paraId="4ABB0F62" w14:textId="77777777" w:rsidR="00A052DC" w:rsidRDefault="009F0A60">
            <w:pPr>
              <w:rPr>
                <w:rFonts w:ascii="黑体" w:eastAsia="黑体" w:hAnsi="黑体"/>
                <w:sz w:val="20"/>
                <w:szCs w:val="20"/>
              </w:rPr>
            </w:pPr>
            <w:r>
              <w:rPr>
                <w:rFonts w:ascii="黑体" w:eastAsia="黑体" w:hAnsi="黑体" w:hint="eastAsia"/>
                <w:sz w:val="20"/>
                <w:szCs w:val="20"/>
              </w:rPr>
              <w:t>主体标识码</w:t>
            </w:r>
          </w:p>
        </w:tc>
        <w:tc>
          <w:tcPr>
            <w:tcW w:w="1559" w:type="dxa"/>
          </w:tcPr>
          <w:p w14:paraId="054A0A15" w14:textId="77777777" w:rsidR="00A052DC" w:rsidRDefault="009F0A60">
            <w:pPr>
              <w:rPr>
                <w:rFonts w:ascii="黑体" w:eastAsia="黑体" w:hAnsi="黑体"/>
                <w:sz w:val="20"/>
                <w:szCs w:val="20"/>
              </w:rPr>
            </w:pPr>
            <w:r>
              <w:rPr>
                <w:rFonts w:ascii="黑体" w:eastAsia="黑体" w:hAnsi="黑体" w:hint="eastAsia"/>
                <w:sz w:val="20"/>
                <w:szCs w:val="20"/>
              </w:rPr>
              <w:t>字符型，</w:t>
            </w:r>
            <w:r>
              <w:rPr>
                <w:rFonts w:ascii="黑体" w:eastAsia="黑体" w:hAnsi="黑体"/>
                <w:sz w:val="20"/>
                <w:szCs w:val="20"/>
              </w:rPr>
              <w:t>18</w:t>
            </w:r>
          </w:p>
        </w:tc>
        <w:tc>
          <w:tcPr>
            <w:tcW w:w="3685" w:type="dxa"/>
          </w:tcPr>
          <w:p w14:paraId="04717530" w14:textId="77777777" w:rsidR="00A052DC" w:rsidRDefault="009F0A60">
            <w:pPr>
              <w:rPr>
                <w:rFonts w:ascii="黑体" w:eastAsia="黑体" w:hAnsi="黑体"/>
                <w:sz w:val="20"/>
                <w:szCs w:val="20"/>
              </w:rPr>
            </w:pPr>
            <w:r>
              <w:rPr>
                <w:rFonts w:ascii="黑体" w:eastAsia="黑体" w:hAnsi="黑体" w:hint="eastAsia"/>
                <w:sz w:val="20"/>
                <w:szCs w:val="20"/>
              </w:rPr>
              <w:t>CUSTYPE=C时必填。</w:t>
            </w:r>
          </w:p>
          <w:p w14:paraId="0FA976B3" w14:textId="77777777" w:rsidR="00A052DC" w:rsidRDefault="009F0A60">
            <w:pPr>
              <w:pStyle w:val="a8"/>
              <w:spacing w:line="240" w:lineRule="auto"/>
              <w:ind w:firstLineChars="0" w:firstLine="0"/>
              <w:rPr>
                <w:rFonts w:ascii="黑体" w:eastAsia="黑体" w:hAnsi="黑体"/>
                <w:kern w:val="2"/>
                <w:szCs w:val="20"/>
              </w:rPr>
            </w:pPr>
            <w:r>
              <w:rPr>
                <w:rFonts w:ascii="黑体" w:eastAsia="黑体" w:hAnsi="黑体" w:hint="eastAsia"/>
                <w:kern w:val="2"/>
                <w:szCs w:val="20"/>
              </w:rPr>
              <w:t>指统一社会信用代码法定载体（如营业执照）上统一社会信用代码中的第9至17位或国家外汇管理局</w:t>
            </w:r>
            <w:r>
              <w:rPr>
                <w:rFonts w:ascii="黑体" w:eastAsia="黑体" w:hAnsi="黑体" w:hint="eastAsia"/>
                <w:szCs w:val="20"/>
              </w:rPr>
              <w:t>及其分支局</w:t>
            </w:r>
            <w:r>
              <w:rPr>
                <w:rFonts w:ascii="黑体" w:eastAsia="黑体" w:hAnsi="黑体" w:hint="eastAsia"/>
                <w:kern w:val="2"/>
                <w:szCs w:val="20"/>
              </w:rPr>
              <w:t>签发的特殊机构代码赋码通知书上的机构代码。</w:t>
            </w:r>
          </w:p>
          <w:p w14:paraId="733B76B5" w14:textId="77777777" w:rsidR="00A052DC" w:rsidRDefault="009F0A60">
            <w:pPr>
              <w:pStyle w:val="a8"/>
              <w:spacing w:line="240" w:lineRule="auto"/>
              <w:ind w:firstLineChars="0" w:firstLine="0"/>
              <w:rPr>
                <w:rFonts w:ascii="黑体" w:eastAsia="黑体" w:hAnsi="黑体"/>
                <w:kern w:val="2"/>
                <w:szCs w:val="20"/>
              </w:rPr>
            </w:pPr>
            <w:r>
              <w:rPr>
                <w:rFonts w:ascii="黑体" w:eastAsia="黑体" w:hAnsi="黑体" w:hint="eastAsia"/>
                <w:kern w:val="2"/>
                <w:szCs w:val="20"/>
              </w:rPr>
              <w:t>按统一社会信用代码中的9位主体标识码（组织机构代码）或特殊机构赋码编制规则进行校验，字段长度仍预留18位。</w:t>
            </w:r>
          </w:p>
        </w:tc>
      </w:tr>
      <w:tr w:rsidR="00A052DC" w14:paraId="0CA0F136" w14:textId="77777777">
        <w:tc>
          <w:tcPr>
            <w:tcW w:w="1560" w:type="dxa"/>
          </w:tcPr>
          <w:p w14:paraId="56BF36AA" w14:textId="77777777" w:rsidR="00A052DC" w:rsidRDefault="009F0A60">
            <w:pPr>
              <w:rPr>
                <w:rFonts w:ascii="黑体" w:eastAsia="黑体" w:hAnsi="黑体"/>
                <w:sz w:val="20"/>
                <w:szCs w:val="20"/>
              </w:rPr>
            </w:pPr>
            <w:r>
              <w:rPr>
                <w:rFonts w:ascii="黑体" w:eastAsia="黑体" w:hAnsi="黑体"/>
                <w:sz w:val="20"/>
                <w:szCs w:val="20"/>
              </w:rPr>
              <w:t>CUSTNM</w:t>
            </w:r>
          </w:p>
        </w:tc>
        <w:tc>
          <w:tcPr>
            <w:tcW w:w="1843" w:type="dxa"/>
          </w:tcPr>
          <w:p w14:paraId="00A0FB44" w14:textId="77777777" w:rsidR="00A052DC" w:rsidRDefault="009F0A60">
            <w:pPr>
              <w:rPr>
                <w:rFonts w:ascii="黑体" w:eastAsia="黑体" w:hAnsi="黑体"/>
                <w:sz w:val="20"/>
                <w:szCs w:val="20"/>
              </w:rPr>
            </w:pPr>
            <w:r>
              <w:rPr>
                <w:rFonts w:ascii="黑体" w:eastAsia="黑体" w:hAnsi="黑体" w:hint="eastAsia"/>
                <w:sz w:val="20"/>
                <w:szCs w:val="20"/>
              </w:rPr>
              <w:t>收款人名称</w:t>
            </w:r>
          </w:p>
        </w:tc>
        <w:tc>
          <w:tcPr>
            <w:tcW w:w="1559" w:type="dxa"/>
          </w:tcPr>
          <w:p w14:paraId="3AD41B92"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3685" w:type="dxa"/>
          </w:tcPr>
          <w:p w14:paraId="76328EE5"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r w:rsidR="00A052DC" w14:paraId="3D7C44FE" w14:textId="77777777">
        <w:tc>
          <w:tcPr>
            <w:tcW w:w="1560" w:type="dxa"/>
            <w:tcBorders>
              <w:top w:val="single" w:sz="4" w:space="0" w:color="auto"/>
              <w:left w:val="single" w:sz="4" w:space="0" w:color="auto"/>
              <w:bottom w:val="single" w:sz="4" w:space="0" w:color="auto"/>
              <w:right w:val="single" w:sz="4" w:space="0" w:color="auto"/>
            </w:tcBorders>
          </w:tcPr>
          <w:p w14:paraId="15526E93" w14:textId="77777777" w:rsidR="00A052DC" w:rsidRDefault="009F0A60">
            <w:pPr>
              <w:rPr>
                <w:rFonts w:ascii="黑体" w:eastAsia="黑体" w:hAnsi="黑体"/>
                <w:sz w:val="20"/>
                <w:szCs w:val="20"/>
              </w:rPr>
            </w:pPr>
            <w:r>
              <w:rPr>
                <w:rFonts w:ascii="黑体" w:eastAsia="黑体" w:hAnsi="黑体"/>
                <w:sz w:val="20"/>
                <w:szCs w:val="20"/>
              </w:rPr>
              <w:t>OPPUSER</w:t>
            </w:r>
          </w:p>
        </w:tc>
        <w:tc>
          <w:tcPr>
            <w:tcW w:w="1843" w:type="dxa"/>
            <w:tcBorders>
              <w:top w:val="single" w:sz="4" w:space="0" w:color="auto"/>
              <w:left w:val="single" w:sz="4" w:space="0" w:color="auto"/>
              <w:bottom w:val="single" w:sz="4" w:space="0" w:color="auto"/>
              <w:right w:val="single" w:sz="4" w:space="0" w:color="auto"/>
            </w:tcBorders>
          </w:tcPr>
          <w:p w14:paraId="1668BB98" w14:textId="77777777" w:rsidR="00A052DC" w:rsidRDefault="009F0A60">
            <w:pPr>
              <w:rPr>
                <w:rFonts w:ascii="黑体" w:eastAsia="黑体" w:hAnsi="黑体"/>
                <w:sz w:val="20"/>
                <w:szCs w:val="20"/>
              </w:rPr>
            </w:pPr>
            <w:r>
              <w:rPr>
                <w:rFonts w:ascii="黑体" w:eastAsia="黑体" w:hAnsi="黑体" w:hint="eastAsia"/>
                <w:sz w:val="20"/>
                <w:szCs w:val="20"/>
              </w:rPr>
              <w:t>付款人名称</w:t>
            </w:r>
          </w:p>
        </w:tc>
        <w:tc>
          <w:tcPr>
            <w:tcW w:w="1559" w:type="dxa"/>
            <w:tcBorders>
              <w:top w:val="single" w:sz="4" w:space="0" w:color="auto"/>
              <w:left w:val="single" w:sz="4" w:space="0" w:color="auto"/>
              <w:bottom w:val="single" w:sz="4" w:space="0" w:color="auto"/>
              <w:right w:val="single" w:sz="4" w:space="0" w:color="auto"/>
            </w:tcBorders>
          </w:tcPr>
          <w:p w14:paraId="4AF186EB"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3685" w:type="dxa"/>
            <w:tcBorders>
              <w:top w:val="single" w:sz="4" w:space="0" w:color="auto"/>
              <w:left w:val="single" w:sz="4" w:space="0" w:color="auto"/>
              <w:bottom w:val="single" w:sz="4" w:space="0" w:color="auto"/>
              <w:right w:val="single" w:sz="4" w:space="0" w:color="auto"/>
            </w:tcBorders>
          </w:tcPr>
          <w:p w14:paraId="2ED1B0E6" w14:textId="77777777" w:rsidR="00A052DC" w:rsidRDefault="009F0A60">
            <w:pPr>
              <w:rPr>
                <w:rFonts w:ascii="黑体" w:eastAsia="黑体" w:hAnsi="黑体"/>
                <w:sz w:val="20"/>
                <w:szCs w:val="20"/>
              </w:rPr>
            </w:pPr>
            <w:r>
              <w:rPr>
                <w:rFonts w:ascii="黑体" w:eastAsia="黑体" w:hAnsi="黑体" w:hint="eastAsia"/>
                <w:sz w:val="20"/>
                <w:szCs w:val="20"/>
              </w:rPr>
              <w:t>必填项,必须以半角大写英文字符 “（JW）”或“（JN）”开头。当CUSTYPE</w:t>
            </w:r>
            <w:r>
              <w:rPr>
                <w:rFonts w:ascii="黑体" w:eastAsia="黑体" w:hAnsi="黑体"/>
                <w:sz w:val="20"/>
                <w:szCs w:val="20"/>
              </w:rPr>
              <w:t>&lt;&gt;</w:t>
            </w:r>
            <w:r>
              <w:rPr>
                <w:rFonts w:ascii="黑体" w:eastAsia="黑体" w:hAnsi="黑体" w:hint="eastAsia"/>
                <w:sz w:val="20"/>
                <w:szCs w:val="20"/>
              </w:rPr>
              <w:t>C时，账号必填。对于速汇业务和托收等没有对应账号的业务，账号部分填写“000000”（六个零）。</w:t>
            </w:r>
          </w:p>
        </w:tc>
      </w:tr>
      <w:tr w:rsidR="00A052DC" w14:paraId="343D3705" w14:textId="77777777">
        <w:trPr>
          <w:cantSplit/>
          <w:trHeight w:val="623"/>
        </w:trPr>
        <w:tc>
          <w:tcPr>
            <w:tcW w:w="1560" w:type="dxa"/>
          </w:tcPr>
          <w:p w14:paraId="636F8B27" w14:textId="77777777" w:rsidR="00A052DC" w:rsidRDefault="009F0A60">
            <w:pPr>
              <w:rPr>
                <w:rFonts w:ascii="黑体" w:eastAsia="黑体" w:hAnsi="黑体"/>
                <w:sz w:val="20"/>
                <w:szCs w:val="20"/>
              </w:rPr>
            </w:pPr>
            <w:r>
              <w:rPr>
                <w:rFonts w:ascii="黑体" w:eastAsia="黑体" w:hAnsi="黑体"/>
                <w:sz w:val="20"/>
                <w:szCs w:val="20"/>
              </w:rPr>
              <w:t>TXCCY</w:t>
            </w:r>
          </w:p>
        </w:tc>
        <w:tc>
          <w:tcPr>
            <w:tcW w:w="1843" w:type="dxa"/>
          </w:tcPr>
          <w:p w14:paraId="493A50ED" w14:textId="77777777" w:rsidR="00A052DC" w:rsidRDefault="009F0A60">
            <w:pPr>
              <w:rPr>
                <w:rFonts w:ascii="黑体" w:eastAsia="黑体" w:hAnsi="黑体"/>
                <w:sz w:val="20"/>
                <w:szCs w:val="20"/>
              </w:rPr>
            </w:pPr>
            <w:r>
              <w:rPr>
                <w:rFonts w:ascii="黑体" w:eastAsia="黑体" w:hAnsi="黑体" w:hint="eastAsia"/>
                <w:sz w:val="20"/>
                <w:szCs w:val="20"/>
              </w:rPr>
              <w:t>收入款币种</w:t>
            </w:r>
          </w:p>
        </w:tc>
        <w:tc>
          <w:tcPr>
            <w:tcW w:w="1559" w:type="dxa"/>
          </w:tcPr>
          <w:p w14:paraId="5D3F744E" w14:textId="77777777" w:rsidR="00A052DC" w:rsidRDefault="009F0A60">
            <w:pPr>
              <w:rPr>
                <w:rFonts w:ascii="黑体" w:eastAsia="黑体" w:hAnsi="黑体"/>
                <w:sz w:val="20"/>
                <w:szCs w:val="20"/>
              </w:rPr>
            </w:pPr>
            <w:r>
              <w:rPr>
                <w:rFonts w:ascii="黑体" w:eastAsia="黑体" w:hAnsi="黑体" w:hint="eastAsia"/>
                <w:sz w:val="20"/>
                <w:szCs w:val="20"/>
              </w:rPr>
              <w:t>字符型，3</w:t>
            </w:r>
          </w:p>
        </w:tc>
        <w:tc>
          <w:tcPr>
            <w:tcW w:w="3685" w:type="dxa"/>
          </w:tcPr>
          <w:p w14:paraId="665DB6DD" w14:textId="77777777" w:rsidR="00A052DC" w:rsidRDefault="009F0A60">
            <w:pPr>
              <w:rPr>
                <w:rFonts w:ascii="黑体" w:eastAsia="黑体" w:hAnsi="黑体"/>
                <w:sz w:val="20"/>
                <w:szCs w:val="20"/>
              </w:rPr>
            </w:pPr>
            <w:r>
              <w:rPr>
                <w:rFonts w:ascii="黑体" w:eastAsia="黑体" w:hAnsi="黑体" w:hint="eastAsia"/>
                <w:sz w:val="20"/>
                <w:szCs w:val="20"/>
              </w:rPr>
              <w:t>必填项。字母代码,必须在币种代码表里存在。</w:t>
            </w:r>
            <w:r>
              <w:rPr>
                <w:rFonts w:ascii="黑体" w:eastAsia="黑体" w:hAnsi="黑体"/>
                <w:sz w:val="20"/>
                <w:szCs w:val="20"/>
              </w:rPr>
              <w:t>半角</w:t>
            </w:r>
            <w:r>
              <w:rPr>
                <w:rFonts w:ascii="黑体" w:eastAsia="黑体" w:hAnsi="黑体" w:hint="eastAsia"/>
                <w:sz w:val="20"/>
                <w:szCs w:val="20"/>
              </w:rPr>
              <w:t>英文</w:t>
            </w:r>
            <w:r>
              <w:rPr>
                <w:rFonts w:ascii="黑体" w:eastAsia="黑体" w:hAnsi="黑体"/>
                <w:sz w:val="20"/>
                <w:szCs w:val="20"/>
              </w:rPr>
              <w:t>大写字母</w:t>
            </w:r>
            <w:r>
              <w:rPr>
                <w:rFonts w:ascii="黑体" w:eastAsia="黑体" w:hAnsi="黑体" w:hint="eastAsia"/>
                <w:sz w:val="20"/>
                <w:szCs w:val="20"/>
              </w:rPr>
              <w:t>。</w:t>
            </w:r>
          </w:p>
        </w:tc>
      </w:tr>
      <w:tr w:rsidR="00A052DC" w14:paraId="6745ACB4" w14:textId="77777777">
        <w:trPr>
          <w:cantSplit/>
          <w:trHeight w:val="20"/>
        </w:trPr>
        <w:tc>
          <w:tcPr>
            <w:tcW w:w="1560" w:type="dxa"/>
          </w:tcPr>
          <w:p w14:paraId="2B748286" w14:textId="77777777" w:rsidR="00A052DC" w:rsidRDefault="009F0A60">
            <w:pPr>
              <w:rPr>
                <w:rFonts w:ascii="黑体" w:eastAsia="黑体" w:hAnsi="黑体"/>
                <w:sz w:val="20"/>
                <w:szCs w:val="20"/>
              </w:rPr>
            </w:pPr>
            <w:r>
              <w:rPr>
                <w:rFonts w:ascii="黑体" w:eastAsia="黑体" w:hAnsi="黑体"/>
                <w:sz w:val="20"/>
                <w:szCs w:val="20"/>
              </w:rPr>
              <w:t>TXAMT</w:t>
            </w:r>
          </w:p>
        </w:tc>
        <w:tc>
          <w:tcPr>
            <w:tcW w:w="1843" w:type="dxa"/>
          </w:tcPr>
          <w:p w14:paraId="2FC02200" w14:textId="77777777" w:rsidR="00A052DC" w:rsidRDefault="009F0A60">
            <w:pPr>
              <w:rPr>
                <w:rFonts w:ascii="黑体" w:eastAsia="黑体" w:hAnsi="黑体"/>
                <w:sz w:val="20"/>
                <w:szCs w:val="20"/>
              </w:rPr>
            </w:pPr>
            <w:r>
              <w:rPr>
                <w:rFonts w:ascii="黑体" w:eastAsia="黑体" w:hAnsi="黑体" w:hint="eastAsia"/>
                <w:sz w:val="20"/>
                <w:szCs w:val="20"/>
              </w:rPr>
              <w:t>收入款金额</w:t>
            </w:r>
          </w:p>
        </w:tc>
        <w:tc>
          <w:tcPr>
            <w:tcW w:w="1559" w:type="dxa"/>
          </w:tcPr>
          <w:p w14:paraId="78E5333D" w14:textId="77777777" w:rsidR="00A052DC" w:rsidRDefault="009F0A60">
            <w:pPr>
              <w:rPr>
                <w:rFonts w:ascii="黑体" w:eastAsia="黑体" w:hAnsi="黑体"/>
                <w:sz w:val="20"/>
                <w:szCs w:val="20"/>
              </w:rPr>
            </w:pPr>
            <w:r>
              <w:rPr>
                <w:rFonts w:ascii="黑体" w:eastAsia="黑体" w:hAnsi="黑体" w:hint="eastAsia"/>
                <w:sz w:val="20"/>
                <w:szCs w:val="20"/>
              </w:rPr>
              <w:t>数值型，22.0</w:t>
            </w:r>
          </w:p>
        </w:tc>
        <w:tc>
          <w:tcPr>
            <w:tcW w:w="3685" w:type="dxa"/>
          </w:tcPr>
          <w:p w14:paraId="0BEB91D1" w14:textId="77777777" w:rsidR="00A052DC" w:rsidRDefault="009F0A60">
            <w:pPr>
              <w:rPr>
                <w:rFonts w:ascii="黑体" w:eastAsia="黑体" w:hAnsi="黑体"/>
                <w:sz w:val="20"/>
                <w:szCs w:val="20"/>
              </w:rPr>
            </w:pPr>
            <w:r>
              <w:rPr>
                <w:rFonts w:ascii="黑体" w:eastAsia="黑体" w:hAnsi="黑体" w:hint="eastAsia"/>
                <w:sz w:val="20"/>
                <w:szCs w:val="20"/>
              </w:rPr>
              <w:t>必填项，必须大于0，无小数位。</w:t>
            </w:r>
          </w:p>
        </w:tc>
      </w:tr>
      <w:tr w:rsidR="00A052DC" w14:paraId="00D24F5E" w14:textId="77777777">
        <w:tc>
          <w:tcPr>
            <w:tcW w:w="1560" w:type="dxa"/>
          </w:tcPr>
          <w:p w14:paraId="76FF74EA" w14:textId="77777777" w:rsidR="00A052DC" w:rsidRDefault="009F0A60">
            <w:pPr>
              <w:rPr>
                <w:rFonts w:ascii="黑体" w:eastAsia="黑体" w:hAnsi="黑体"/>
                <w:sz w:val="20"/>
                <w:szCs w:val="20"/>
              </w:rPr>
            </w:pPr>
            <w:r>
              <w:rPr>
                <w:rFonts w:ascii="黑体" w:eastAsia="黑体" w:hAnsi="黑体"/>
                <w:sz w:val="20"/>
                <w:szCs w:val="20"/>
              </w:rPr>
              <w:t>EXRATE</w:t>
            </w:r>
          </w:p>
        </w:tc>
        <w:tc>
          <w:tcPr>
            <w:tcW w:w="1843" w:type="dxa"/>
          </w:tcPr>
          <w:p w14:paraId="41353B0E" w14:textId="77777777" w:rsidR="00A052DC" w:rsidRDefault="009F0A60">
            <w:pPr>
              <w:rPr>
                <w:rFonts w:ascii="黑体" w:eastAsia="黑体" w:hAnsi="黑体"/>
                <w:sz w:val="20"/>
                <w:szCs w:val="20"/>
              </w:rPr>
            </w:pPr>
            <w:r>
              <w:rPr>
                <w:rFonts w:ascii="黑体" w:eastAsia="黑体" w:hAnsi="黑体" w:hint="eastAsia"/>
                <w:sz w:val="20"/>
                <w:szCs w:val="20"/>
              </w:rPr>
              <w:t>结汇汇率</w:t>
            </w:r>
          </w:p>
        </w:tc>
        <w:tc>
          <w:tcPr>
            <w:tcW w:w="1559" w:type="dxa"/>
          </w:tcPr>
          <w:p w14:paraId="32276047" w14:textId="77777777" w:rsidR="00A052DC" w:rsidRDefault="009F0A60">
            <w:pPr>
              <w:rPr>
                <w:rFonts w:ascii="黑体" w:eastAsia="黑体" w:hAnsi="黑体"/>
                <w:sz w:val="20"/>
                <w:szCs w:val="20"/>
              </w:rPr>
            </w:pPr>
            <w:r>
              <w:rPr>
                <w:rFonts w:ascii="黑体" w:eastAsia="黑体" w:hAnsi="黑体" w:hint="eastAsia"/>
                <w:sz w:val="20"/>
                <w:szCs w:val="20"/>
              </w:rPr>
              <w:t>数值型，13.8</w:t>
            </w:r>
          </w:p>
        </w:tc>
        <w:tc>
          <w:tcPr>
            <w:tcW w:w="3685" w:type="dxa"/>
          </w:tcPr>
          <w:p w14:paraId="2BA5559E" w14:textId="77777777" w:rsidR="00A052DC" w:rsidRDefault="009F0A60">
            <w:pPr>
              <w:rPr>
                <w:rFonts w:ascii="黑体" w:eastAsia="黑体" w:hAnsi="黑体"/>
                <w:sz w:val="20"/>
                <w:szCs w:val="20"/>
              </w:rPr>
            </w:pPr>
            <w:r>
              <w:rPr>
                <w:rFonts w:ascii="黑体" w:eastAsia="黑体" w:hAnsi="黑体" w:hint="eastAsia"/>
                <w:sz w:val="20"/>
                <w:szCs w:val="20"/>
              </w:rPr>
              <w:t>当结汇金额大于0时必填，否则不应该填写。</w:t>
            </w:r>
          </w:p>
        </w:tc>
      </w:tr>
      <w:tr w:rsidR="00A052DC" w14:paraId="5CF7751A" w14:textId="77777777">
        <w:tc>
          <w:tcPr>
            <w:tcW w:w="1560" w:type="dxa"/>
          </w:tcPr>
          <w:p w14:paraId="1F3B68C5" w14:textId="77777777" w:rsidR="00A052DC" w:rsidRDefault="009F0A60">
            <w:pPr>
              <w:rPr>
                <w:rFonts w:ascii="黑体" w:eastAsia="黑体" w:hAnsi="黑体"/>
                <w:sz w:val="20"/>
                <w:szCs w:val="20"/>
              </w:rPr>
            </w:pPr>
            <w:r>
              <w:rPr>
                <w:rFonts w:ascii="黑体" w:eastAsia="黑体" w:hAnsi="黑体"/>
                <w:sz w:val="20"/>
                <w:szCs w:val="20"/>
              </w:rPr>
              <w:t>LCYAMT</w:t>
            </w:r>
          </w:p>
        </w:tc>
        <w:tc>
          <w:tcPr>
            <w:tcW w:w="1843" w:type="dxa"/>
          </w:tcPr>
          <w:p w14:paraId="452F1A12" w14:textId="77777777" w:rsidR="00A052DC" w:rsidRDefault="009F0A60">
            <w:pPr>
              <w:rPr>
                <w:rFonts w:ascii="黑体" w:eastAsia="黑体" w:hAnsi="黑体"/>
                <w:sz w:val="20"/>
                <w:szCs w:val="20"/>
              </w:rPr>
            </w:pPr>
            <w:r>
              <w:rPr>
                <w:rFonts w:ascii="黑体" w:eastAsia="黑体" w:hAnsi="黑体" w:hint="eastAsia"/>
                <w:sz w:val="20"/>
                <w:szCs w:val="20"/>
              </w:rPr>
              <w:t>结汇金额</w:t>
            </w:r>
          </w:p>
        </w:tc>
        <w:tc>
          <w:tcPr>
            <w:tcW w:w="1559" w:type="dxa"/>
          </w:tcPr>
          <w:p w14:paraId="3B07F4FA" w14:textId="77777777" w:rsidR="00A052DC" w:rsidRDefault="009F0A60">
            <w:pPr>
              <w:rPr>
                <w:rFonts w:ascii="黑体" w:eastAsia="黑体" w:hAnsi="黑体"/>
                <w:sz w:val="20"/>
                <w:szCs w:val="20"/>
              </w:rPr>
            </w:pPr>
            <w:r>
              <w:rPr>
                <w:rFonts w:ascii="黑体" w:eastAsia="黑体" w:hAnsi="黑体" w:hint="eastAsia"/>
                <w:sz w:val="20"/>
                <w:szCs w:val="20"/>
              </w:rPr>
              <w:t>数值型，22.0</w:t>
            </w:r>
          </w:p>
        </w:tc>
        <w:tc>
          <w:tcPr>
            <w:tcW w:w="3685" w:type="dxa"/>
          </w:tcPr>
          <w:p w14:paraId="3B4DE11B" w14:textId="77777777" w:rsidR="00A052DC" w:rsidRDefault="00DD6AA3">
            <w:pPr>
              <w:rPr>
                <w:rFonts w:ascii="黑体" w:eastAsia="黑体" w:hAnsi="黑体"/>
                <w:sz w:val="20"/>
                <w:szCs w:val="20"/>
              </w:rPr>
            </w:pPr>
            <w:r>
              <w:rPr>
                <w:rFonts w:ascii="黑体" w:eastAsia="黑体" w:hAnsi="黑体" w:hint="eastAsia"/>
                <w:sz w:val="20"/>
                <w:szCs w:val="20"/>
              </w:rPr>
              <w:t>非必填项</w:t>
            </w:r>
            <w:r w:rsidR="009F0A60">
              <w:rPr>
                <w:rFonts w:ascii="黑体" w:eastAsia="黑体" w:hAnsi="黑体" w:hint="eastAsia"/>
                <w:sz w:val="20"/>
                <w:szCs w:val="20"/>
              </w:rPr>
              <w:t>，但不能小于0。</w:t>
            </w:r>
          </w:p>
          <w:p w14:paraId="35C18AD2" w14:textId="77777777" w:rsidR="00A052DC" w:rsidRDefault="009F0A60">
            <w:pPr>
              <w:rPr>
                <w:rFonts w:ascii="黑体" w:eastAsia="黑体" w:hAnsi="黑体"/>
                <w:sz w:val="20"/>
                <w:szCs w:val="20"/>
              </w:rPr>
            </w:pPr>
            <w:r>
              <w:rPr>
                <w:rFonts w:ascii="黑体" w:eastAsia="黑体" w:hAnsi="黑体" w:hint="eastAsia"/>
                <w:sz w:val="20"/>
                <w:szCs w:val="20"/>
              </w:rPr>
              <w:t>若账号不为空则对应金额必须</w:t>
            </w:r>
            <w:r>
              <w:rPr>
                <w:rFonts w:ascii="黑体" w:eastAsia="黑体" w:hAnsi="黑体"/>
                <w:sz w:val="20"/>
                <w:szCs w:val="20"/>
              </w:rPr>
              <w:t>&gt;</w:t>
            </w:r>
            <w:r>
              <w:rPr>
                <w:rFonts w:ascii="黑体" w:eastAsia="黑体" w:hAnsi="黑体" w:hint="eastAsia"/>
                <w:sz w:val="20"/>
                <w:szCs w:val="20"/>
              </w:rPr>
              <w:t>0；若金额</w:t>
            </w:r>
            <w:r>
              <w:rPr>
                <w:rFonts w:ascii="黑体" w:eastAsia="黑体" w:hAnsi="黑体"/>
                <w:sz w:val="20"/>
                <w:szCs w:val="20"/>
              </w:rPr>
              <w:t>&gt;</w:t>
            </w:r>
            <w:r>
              <w:rPr>
                <w:rFonts w:ascii="黑体" w:eastAsia="黑体" w:hAnsi="黑体" w:hint="eastAsia"/>
                <w:sz w:val="20"/>
                <w:szCs w:val="20"/>
              </w:rPr>
              <w:t>0，则对应账号不能为空。</w:t>
            </w:r>
          </w:p>
        </w:tc>
      </w:tr>
      <w:tr w:rsidR="00A052DC" w14:paraId="245A1957" w14:textId="77777777">
        <w:tc>
          <w:tcPr>
            <w:tcW w:w="1560" w:type="dxa"/>
          </w:tcPr>
          <w:p w14:paraId="1C5445FB" w14:textId="77777777" w:rsidR="00A052DC" w:rsidRDefault="009F0A60">
            <w:pPr>
              <w:rPr>
                <w:rFonts w:ascii="黑体" w:eastAsia="黑体" w:hAnsi="黑体"/>
                <w:sz w:val="20"/>
                <w:szCs w:val="20"/>
              </w:rPr>
            </w:pPr>
            <w:r>
              <w:rPr>
                <w:rFonts w:ascii="黑体" w:eastAsia="黑体" w:hAnsi="黑体"/>
                <w:sz w:val="20"/>
                <w:szCs w:val="20"/>
              </w:rPr>
              <w:t>LCYACC</w:t>
            </w:r>
          </w:p>
        </w:tc>
        <w:tc>
          <w:tcPr>
            <w:tcW w:w="1843" w:type="dxa"/>
          </w:tcPr>
          <w:p w14:paraId="680D785C" w14:textId="77777777" w:rsidR="00A052DC" w:rsidRDefault="009F0A60">
            <w:pPr>
              <w:rPr>
                <w:rFonts w:ascii="黑体" w:eastAsia="黑体" w:hAnsi="黑体"/>
                <w:sz w:val="20"/>
                <w:szCs w:val="20"/>
              </w:rPr>
            </w:pPr>
            <w:r>
              <w:rPr>
                <w:rFonts w:ascii="黑体" w:eastAsia="黑体" w:hAnsi="黑体" w:hint="eastAsia"/>
                <w:sz w:val="20"/>
                <w:szCs w:val="20"/>
              </w:rPr>
              <w:t>人民币账号/银行卡号</w:t>
            </w:r>
          </w:p>
        </w:tc>
        <w:tc>
          <w:tcPr>
            <w:tcW w:w="1559" w:type="dxa"/>
          </w:tcPr>
          <w:p w14:paraId="67CF5AE1" w14:textId="77777777" w:rsidR="00A052DC" w:rsidRDefault="009F0A60">
            <w:pPr>
              <w:rPr>
                <w:rFonts w:ascii="黑体" w:eastAsia="黑体" w:hAnsi="黑体"/>
                <w:sz w:val="20"/>
                <w:szCs w:val="20"/>
              </w:rPr>
            </w:pPr>
            <w:r>
              <w:rPr>
                <w:rFonts w:ascii="黑体" w:eastAsia="黑体" w:hAnsi="黑体" w:hint="eastAsia"/>
                <w:sz w:val="20"/>
                <w:szCs w:val="20"/>
              </w:rPr>
              <w:t>字符型，</w:t>
            </w:r>
            <w:r>
              <w:rPr>
                <w:rFonts w:ascii="黑体" w:eastAsia="黑体" w:hAnsi="黑体"/>
                <w:sz w:val="20"/>
                <w:szCs w:val="20"/>
              </w:rPr>
              <w:t xml:space="preserve"> 32</w:t>
            </w:r>
          </w:p>
        </w:tc>
        <w:tc>
          <w:tcPr>
            <w:tcW w:w="3685" w:type="dxa"/>
          </w:tcPr>
          <w:p w14:paraId="18DE5470" w14:textId="77777777" w:rsidR="00A052DC" w:rsidRDefault="009F0A60">
            <w:pPr>
              <w:rPr>
                <w:rFonts w:ascii="黑体" w:eastAsia="黑体" w:hAnsi="黑体"/>
                <w:sz w:val="20"/>
                <w:szCs w:val="20"/>
              </w:rPr>
            </w:pPr>
            <w:r>
              <w:rPr>
                <w:rFonts w:ascii="黑体" w:eastAsia="黑体" w:hAnsi="黑体" w:hint="eastAsia"/>
                <w:sz w:val="20"/>
                <w:szCs w:val="20"/>
              </w:rPr>
              <w:t>结汇金额、结汇汇率、结汇账号三个或同时空或同时有值。</w:t>
            </w:r>
          </w:p>
        </w:tc>
      </w:tr>
      <w:tr w:rsidR="00A052DC" w14:paraId="73F54769" w14:textId="77777777">
        <w:tc>
          <w:tcPr>
            <w:tcW w:w="1560" w:type="dxa"/>
          </w:tcPr>
          <w:p w14:paraId="2F8AF17A" w14:textId="77777777" w:rsidR="00A052DC" w:rsidRDefault="009F0A60">
            <w:pPr>
              <w:rPr>
                <w:rFonts w:ascii="黑体" w:eastAsia="黑体" w:hAnsi="黑体"/>
                <w:sz w:val="20"/>
                <w:szCs w:val="20"/>
              </w:rPr>
            </w:pPr>
            <w:r>
              <w:rPr>
                <w:rFonts w:ascii="黑体" w:eastAsia="黑体" w:hAnsi="黑体"/>
                <w:sz w:val="20"/>
                <w:szCs w:val="20"/>
              </w:rPr>
              <w:t>FCYAMT</w:t>
            </w:r>
          </w:p>
        </w:tc>
        <w:tc>
          <w:tcPr>
            <w:tcW w:w="1843" w:type="dxa"/>
          </w:tcPr>
          <w:p w14:paraId="005EAB1E" w14:textId="77777777" w:rsidR="00A052DC" w:rsidRDefault="009F0A60">
            <w:pPr>
              <w:rPr>
                <w:rFonts w:ascii="黑体" w:eastAsia="黑体" w:hAnsi="黑体"/>
                <w:sz w:val="20"/>
                <w:szCs w:val="20"/>
              </w:rPr>
            </w:pPr>
            <w:r>
              <w:rPr>
                <w:rFonts w:ascii="黑体" w:eastAsia="黑体" w:hAnsi="黑体" w:hint="eastAsia"/>
                <w:sz w:val="20"/>
                <w:szCs w:val="20"/>
              </w:rPr>
              <w:t>现汇金额</w:t>
            </w:r>
          </w:p>
        </w:tc>
        <w:tc>
          <w:tcPr>
            <w:tcW w:w="1559" w:type="dxa"/>
          </w:tcPr>
          <w:p w14:paraId="4AD7508D" w14:textId="77777777" w:rsidR="00A052DC" w:rsidRDefault="009F0A60">
            <w:pPr>
              <w:rPr>
                <w:rFonts w:ascii="黑体" w:eastAsia="黑体" w:hAnsi="黑体"/>
                <w:sz w:val="20"/>
                <w:szCs w:val="20"/>
              </w:rPr>
            </w:pPr>
            <w:r>
              <w:rPr>
                <w:rFonts w:ascii="黑体" w:eastAsia="黑体" w:hAnsi="黑体" w:hint="eastAsia"/>
                <w:sz w:val="20"/>
                <w:szCs w:val="20"/>
              </w:rPr>
              <w:t>数值型，22.0</w:t>
            </w:r>
          </w:p>
        </w:tc>
        <w:tc>
          <w:tcPr>
            <w:tcW w:w="3685" w:type="dxa"/>
          </w:tcPr>
          <w:p w14:paraId="413A02F9" w14:textId="77777777" w:rsidR="00A052DC" w:rsidRDefault="00DD6AA3">
            <w:pPr>
              <w:rPr>
                <w:rFonts w:ascii="黑体" w:eastAsia="黑体" w:hAnsi="黑体"/>
                <w:sz w:val="20"/>
                <w:szCs w:val="20"/>
              </w:rPr>
            </w:pPr>
            <w:r>
              <w:rPr>
                <w:rFonts w:ascii="黑体" w:eastAsia="黑体" w:hAnsi="黑体" w:hint="eastAsia"/>
                <w:sz w:val="20"/>
                <w:szCs w:val="20"/>
              </w:rPr>
              <w:t>非必填项</w:t>
            </w:r>
            <w:r w:rsidR="009F0A60">
              <w:rPr>
                <w:rFonts w:ascii="黑体" w:eastAsia="黑体" w:hAnsi="黑体" w:hint="eastAsia"/>
                <w:sz w:val="20"/>
                <w:szCs w:val="20"/>
              </w:rPr>
              <w:t>，但不能小于0。</w:t>
            </w:r>
          </w:p>
          <w:p w14:paraId="6990D2D6" w14:textId="77777777" w:rsidR="00A052DC" w:rsidRDefault="009F0A60">
            <w:pPr>
              <w:rPr>
                <w:rFonts w:ascii="黑体" w:eastAsia="黑体" w:hAnsi="黑体"/>
                <w:sz w:val="20"/>
                <w:szCs w:val="20"/>
              </w:rPr>
            </w:pPr>
            <w:r>
              <w:rPr>
                <w:rFonts w:ascii="黑体" w:eastAsia="黑体" w:hAnsi="黑体" w:hint="eastAsia"/>
                <w:sz w:val="20"/>
                <w:szCs w:val="20"/>
              </w:rPr>
              <w:t>若账号不为空则对应金额必须</w:t>
            </w:r>
            <w:r>
              <w:rPr>
                <w:rFonts w:ascii="黑体" w:eastAsia="黑体" w:hAnsi="黑体"/>
                <w:sz w:val="20"/>
                <w:szCs w:val="20"/>
              </w:rPr>
              <w:t>&gt;</w:t>
            </w:r>
            <w:r>
              <w:rPr>
                <w:rFonts w:ascii="黑体" w:eastAsia="黑体" w:hAnsi="黑体" w:hint="eastAsia"/>
                <w:sz w:val="20"/>
                <w:szCs w:val="20"/>
              </w:rPr>
              <w:t>0；若金额</w:t>
            </w:r>
            <w:r>
              <w:rPr>
                <w:rFonts w:ascii="黑体" w:eastAsia="黑体" w:hAnsi="黑体"/>
                <w:sz w:val="20"/>
                <w:szCs w:val="20"/>
              </w:rPr>
              <w:t>&gt;</w:t>
            </w:r>
            <w:r>
              <w:rPr>
                <w:rFonts w:ascii="黑体" w:eastAsia="黑体" w:hAnsi="黑体" w:hint="eastAsia"/>
                <w:sz w:val="20"/>
                <w:szCs w:val="20"/>
              </w:rPr>
              <w:t>0，则对应账号不能为空。</w:t>
            </w:r>
          </w:p>
        </w:tc>
      </w:tr>
      <w:tr w:rsidR="00A052DC" w14:paraId="3A01F88F" w14:textId="77777777">
        <w:tc>
          <w:tcPr>
            <w:tcW w:w="1560" w:type="dxa"/>
          </w:tcPr>
          <w:p w14:paraId="23C18806" w14:textId="77777777" w:rsidR="00A052DC" w:rsidRDefault="009F0A60">
            <w:pPr>
              <w:rPr>
                <w:rFonts w:ascii="黑体" w:eastAsia="黑体" w:hAnsi="黑体"/>
                <w:sz w:val="20"/>
                <w:szCs w:val="20"/>
              </w:rPr>
            </w:pPr>
            <w:r>
              <w:rPr>
                <w:rFonts w:ascii="黑体" w:eastAsia="黑体" w:hAnsi="黑体"/>
                <w:sz w:val="20"/>
                <w:szCs w:val="20"/>
              </w:rPr>
              <w:t>FCYACC</w:t>
            </w:r>
          </w:p>
        </w:tc>
        <w:tc>
          <w:tcPr>
            <w:tcW w:w="1843" w:type="dxa"/>
          </w:tcPr>
          <w:p w14:paraId="528C11D7" w14:textId="77777777" w:rsidR="00A052DC" w:rsidRDefault="009F0A60">
            <w:pPr>
              <w:rPr>
                <w:rFonts w:ascii="黑体" w:eastAsia="黑体" w:hAnsi="黑体"/>
                <w:sz w:val="20"/>
                <w:szCs w:val="20"/>
              </w:rPr>
            </w:pPr>
            <w:r>
              <w:rPr>
                <w:rFonts w:ascii="黑体" w:eastAsia="黑体" w:hAnsi="黑体" w:hint="eastAsia"/>
                <w:sz w:val="20"/>
                <w:szCs w:val="20"/>
              </w:rPr>
              <w:t>外汇账号/银行卡号</w:t>
            </w:r>
          </w:p>
        </w:tc>
        <w:tc>
          <w:tcPr>
            <w:tcW w:w="1559" w:type="dxa"/>
          </w:tcPr>
          <w:p w14:paraId="62953FC4" w14:textId="77777777" w:rsidR="00A052DC" w:rsidRDefault="009F0A60">
            <w:pPr>
              <w:rPr>
                <w:rFonts w:ascii="黑体" w:eastAsia="黑体" w:hAnsi="黑体"/>
                <w:sz w:val="20"/>
                <w:szCs w:val="20"/>
              </w:rPr>
            </w:pPr>
            <w:r>
              <w:rPr>
                <w:rFonts w:ascii="黑体" w:eastAsia="黑体" w:hAnsi="黑体" w:hint="eastAsia"/>
                <w:sz w:val="20"/>
                <w:szCs w:val="20"/>
              </w:rPr>
              <w:t>字符型，32</w:t>
            </w:r>
          </w:p>
        </w:tc>
        <w:tc>
          <w:tcPr>
            <w:tcW w:w="3685" w:type="dxa"/>
          </w:tcPr>
          <w:p w14:paraId="12BC3A2B" w14:textId="77777777" w:rsidR="00A052DC" w:rsidRDefault="009F0A60">
            <w:pPr>
              <w:rPr>
                <w:rFonts w:ascii="黑体" w:eastAsia="黑体" w:hAnsi="黑体"/>
                <w:sz w:val="20"/>
                <w:szCs w:val="20"/>
              </w:rPr>
            </w:pPr>
            <w:r>
              <w:rPr>
                <w:rFonts w:ascii="黑体" w:eastAsia="黑体" w:hAnsi="黑体" w:hint="eastAsia"/>
                <w:sz w:val="20"/>
                <w:szCs w:val="20"/>
              </w:rPr>
              <w:t>如果有现汇金额，则该字段不能为空。</w:t>
            </w:r>
          </w:p>
          <w:p w14:paraId="5A102FAD" w14:textId="77777777" w:rsidR="00A052DC" w:rsidRDefault="009F0A60">
            <w:pPr>
              <w:rPr>
                <w:rFonts w:ascii="黑体" w:eastAsia="黑体" w:hAnsi="黑体"/>
                <w:sz w:val="20"/>
                <w:szCs w:val="20"/>
              </w:rPr>
            </w:pPr>
            <w:r>
              <w:rPr>
                <w:rFonts w:ascii="黑体" w:eastAsia="黑体" w:hAnsi="黑体" w:hint="eastAsia"/>
                <w:sz w:val="20"/>
                <w:szCs w:val="20"/>
              </w:rPr>
              <w:t>现汇金额、现汇账号或同时空，或同时有值。</w:t>
            </w:r>
          </w:p>
        </w:tc>
      </w:tr>
      <w:tr w:rsidR="00A052DC" w14:paraId="633FAD9D" w14:textId="77777777">
        <w:tc>
          <w:tcPr>
            <w:tcW w:w="1560" w:type="dxa"/>
          </w:tcPr>
          <w:p w14:paraId="78A95153" w14:textId="77777777" w:rsidR="00A052DC" w:rsidRDefault="009F0A60">
            <w:pPr>
              <w:rPr>
                <w:rFonts w:ascii="黑体" w:eastAsia="黑体" w:hAnsi="黑体"/>
                <w:sz w:val="20"/>
                <w:szCs w:val="20"/>
              </w:rPr>
            </w:pPr>
            <w:r>
              <w:rPr>
                <w:rFonts w:ascii="黑体" w:eastAsia="黑体" w:hAnsi="黑体"/>
                <w:sz w:val="20"/>
                <w:szCs w:val="20"/>
              </w:rPr>
              <w:t>OTHAMT</w:t>
            </w:r>
          </w:p>
        </w:tc>
        <w:tc>
          <w:tcPr>
            <w:tcW w:w="1843" w:type="dxa"/>
          </w:tcPr>
          <w:p w14:paraId="12A1D305" w14:textId="77777777" w:rsidR="00A052DC" w:rsidRDefault="0021563C">
            <w:pPr>
              <w:rPr>
                <w:rFonts w:ascii="黑体" w:eastAsia="黑体" w:hAnsi="黑体"/>
                <w:sz w:val="20"/>
                <w:szCs w:val="20"/>
              </w:rPr>
            </w:pPr>
            <w:r>
              <w:rPr>
                <w:rFonts w:ascii="黑体" w:eastAsia="黑体" w:hAnsi="黑体" w:hint="eastAsia"/>
                <w:sz w:val="20"/>
                <w:szCs w:val="20"/>
              </w:rPr>
              <w:t>其他</w:t>
            </w:r>
            <w:r w:rsidR="009F0A60">
              <w:rPr>
                <w:rFonts w:ascii="黑体" w:eastAsia="黑体" w:hAnsi="黑体" w:hint="eastAsia"/>
                <w:sz w:val="20"/>
                <w:szCs w:val="20"/>
              </w:rPr>
              <w:t>金额</w:t>
            </w:r>
          </w:p>
        </w:tc>
        <w:tc>
          <w:tcPr>
            <w:tcW w:w="1559" w:type="dxa"/>
          </w:tcPr>
          <w:p w14:paraId="65290FA6" w14:textId="77777777" w:rsidR="00A052DC" w:rsidRDefault="009F0A60">
            <w:pPr>
              <w:rPr>
                <w:rFonts w:ascii="黑体" w:eastAsia="黑体" w:hAnsi="黑体"/>
                <w:sz w:val="20"/>
                <w:szCs w:val="20"/>
              </w:rPr>
            </w:pPr>
            <w:r>
              <w:rPr>
                <w:rFonts w:ascii="黑体" w:eastAsia="黑体" w:hAnsi="黑体" w:hint="eastAsia"/>
                <w:sz w:val="20"/>
                <w:szCs w:val="20"/>
              </w:rPr>
              <w:t>数值型，22.0</w:t>
            </w:r>
          </w:p>
        </w:tc>
        <w:tc>
          <w:tcPr>
            <w:tcW w:w="3685" w:type="dxa"/>
          </w:tcPr>
          <w:p w14:paraId="734A5348" w14:textId="77777777" w:rsidR="00A052DC" w:rsidRDefault="00DD6AA3">
            <w:pPr>
              <w:rPr>
                <w:rFonts w:ascii="黑体" w:eastAsia="黑体" w:hAnsi="黑体"/>
                <w:sz w:val="20"/>
                <w:szCs w:val="20"/>
              </w:rPr>
            </w:pPr>
            <w:r>
              <w:rPr>
                <w:rFonts w:ascii="黑体" w:eastAsia="黑体" w:hAnsi="黑体" w:hint="eastAsia"/>
                <w:sz w:val="20"/>
                <w:szCs w:val="20"/>
              </w:rPr>
              <w:t>非必填项</w:t>
            </w:r>
            <w:r w:rsidR="009F0A60">
              <w:rPr>
                <w:rFonts w:ascii="黑体" w:eastAsia="黑体" w:hAnsi="黑体" w:hint="eastAsia"/>
                <w:sz w:val="20"/>
                <w:szCs w:val="20"/>
              </w:rPr>
              <w:t>，但不能小于0。</w:t>
            </w:r>
          </w:p>
          <w:p w14:paraId="0569D44A" w14:textId="77777777" w:rsidR="00A052DC" w:rsidRDefault="009F0A60">
            <w:pPr>
              <w:rPr>
                <w:rFonts w:ascii="黑体" w:eastAsia="黑体" w:hAnsi="黑体"/>
                <w:sz w:val="20"/>
                <w:szCs w:val="20"/>
              </w:rPr>
            </w:pPr>
            <w:r>
              <w:rPr>
                <w:rFonts w:ascii="黑体" w:eastAsia="黑体" w:hAnsi="黑体" w:hint="eastAsia"/>
                <w:sz w:val="20"/>
                <w:szCs w:val="20"/>
              </w:rPr>
              <w:t>若账号不为空则对应金额必须</w:t>
            </w:r>
            <w:r>
              <w:rPr>
                <w:rFonts w:ascii="黑体" w:eastAsia="黑体" w:hAnsi="黑体"/>
                <w:sz w:val="20"/>
                <w:szCs w:val="20"/>
              </w:rPr>
              <w:t>&gt;</w:t>
            </w:r>
            <w:r>
              <w:rPr>
                <w:rFonts w:ascii="黑体" w:eastAsia="黑体" w:hAnsi="黑体" w:hint="eastAsia"/>
                <w:sz w:val="20"/>
                <w:szCs w:val="20"/>
              </w:rPr>
              <w:t>0；若金额</w:t>
            </w:r>
            <w:r>
              <w:rPr>
                <w:rFonts w:ascii="黑体" w:eastAsia="黑体" w:hAnsi="黑体"/>
                <w:sz w:val="20"/>
                <w:szCs w:val="20"/>
              </w:rPr>
              <w:t>&gt;</w:t>
            </w:r>
            <w:r>
              <w:rPr>
                <w:rFonts w:ascii="黑体" w:eastAsia="黑体" w:hAnsi="黑体" w:hint="eastAsia"/>
                <w:sz w:val="20"/>
                <w:szCs w:val="20"/>
              </w:rPr>
              <w:t>0，则对应账号不能为空。</w:t>
            </w:r>
          </w:p>
          <w:p w14:paraId="4801DA59" w14:textId="77777777" w:rsidR="00A052DC" w:rsidRDefault="009F0A60">
            <w:pPr>
              <w:rPr>
                <w:rFonts w:ascii="黑体" w:eastAsia="黑体" w:hAnsi="黑体"/>
                <w:sz w:val="20"/>
                <w:szCs w:val="20"/>
              </w:rPr>
            </w:pPr>
            <w:r>
              <w:rPr>
                <w:rFonts w:ascii="黑体" w:eastAsia="黑体" w:hAnsi="黑体" w:hint="eastAsia"/>
                <w:sz w:val="20"/>
                <w:szCs w:val="20"/>
              </w:rPr>
              <w:t>结汇金额,现汇金额,</w:t>
            </w:r>
            <w:r w:rsidR="0021563C">
              <w:rPr>
                <w:rFonts w:ascii="黑体" w:eastAsia="黑体" w:hAnsi="黑体" w:hint="eastAsia"/>
                <w:sz w:val="20"/>
                <w:szCs w:val="20"/>
              </w:rPr>
              <w:t>其他</w:t>
            </w:r>
            <w:r>
              <w:rPr>
                <w:rFonts w:ascii="黑体" w:eastAsia="黑体" w:hAnsi="黑体" w:hint="eastAsia"/>
                <w:sz w:val="20"/>
                <w:szCs w:val="20"/>
              </w:rPr>
              <w:t>金额至少输入一项。</w:t>
            </w:r>
          </w:p>
          <w:p w14:paraId="0A225C68" w14:textId="77777777" w:rsidR="00A052DC" w:rsidRDefault="009F0A60">
            <w:pPr>
              <w:rPr>
                <w:rFonts w:ascii="黑体" w:eastAsia="黑体" w:hAnsi="黑体"/>
                <w:sz w:val="20"/>
                <w:szCs w:val="20"/>
              </w:rPr>
            </w:pPr>
            <w:r>
              <w:rPr>
                <w:rFonts w:ascii="黑体" w:eastAsia="黑体" w:hAnsi="黑体" w:hint="eastAsia"/>
                <w:sz w:val="20"/>
                <w:szCs w:val="20"/>
              </w:rPr>
              <w:t>结汇金额、现汇金额、</w:t>
            </w:r>
            <w:r w:rsidR="0021563C">
              <w:rPr>
                <w:rFonts w:ascii="黑体" w:eastAsia="黑体" w:hAnsi="黑体" w:hint="eastAsia"/>
                <w:sz w:val="20"/>
                <w:szCs w:val="20"/>
              </w:rPr>
              <w:t>其他</w:t>
            </w:r>
            <w:r>
              <w:rPr>
                <w:rFonts w:ascii="黑体" w:eastAsia="黑体" w:hAnsi="黑体" w:hint="eastAsia"/>
                <w:sz w:val="20"/>
                <w:szCs w:val="20"/>
              </w:rPr>
              <w:t>金额之和不能大于收入款金额。</w:t>
            </w:r>
          </w:p>
        </w:tc>
      </w:tr>
      <w:tr w:rsidR="00A052DC" w14:paraId="249092A7" w14:textId="77777777">
        <w:tc>
          <w:tcPr>
            <w:tcW w:w="1560" w:type="dxa"/>
          </w:tcPr>
          <w:p w14:paraId="1CF443D8" w14:textId="77777777" w:rsidR="00A052DC" w:rsidRDefault="009F0A60">
            <w:pPr>
              <w:rPr>
                <w:rFonts w:ascii="黑体" w:eastAsia="黑体" w:hAnsi="黑体"/>
                <w:sz w:val="20"/>
                <w:szCs w:val="20"/>
              </w:rPr>
            </w:pPr>
            <w:r>
              <w:rPr>
                <w:rFonts w:ascii="黑体" w:eastAsia="黑体" w:hAnsi="黑体"/>
                <w:sz w:val="20"/>
                <w:szCs w:val="20"/>
              </w:rPr>
              <w:t>OTHACC</w:t>
            </w:r>
          </w:p>
        </w:tc>
        <w:tc>
          <w:tcPr>
            <w:tcW w:w="1843" w:type="dxa"/>
          </w:tcPr>
          <w:p w14:paraId="61DB66D8" w14:textId="77777777" w:rsidR="00A052DC" w:rsidRDefault="0021563C">
            <w:pPr>
              <w:rPr>
                <w:rFonts w:ascii="黑体" w:eastAsia="黑体" w:hAnsi="黑体"/>
                <w:sz w:val="20"/>
                <w:szCs w:val="20"/>
              </w:rPr>
            </w:pPr>
            <w:r>
              <w:rPr>
                <w:rFonts w:ascii="黑体" w:eastAsia="黑体" w:hAnsi="黑体" w:hint="eastAsia"/>
                <w:sz w:val="20"/>
                <w:szCs w:val="20"/>
              </w:rPr>
              <w:t>其他</w:t>
            </w:r>
            <w:r w:rsidR="009F0A60">
              <w:rPr>
                <w:rFonts w:ascii="黑体" w:eastAsia="黑体" w:hAnsi="黑体" w:hint="eastAsia"/>
                <w:sz w:val="20"/>
                <w:szCs w:val="20"/>
              </w:rPr>
              <w:t>账号/银行卡号</w:t>
            </w:r>
          </w:p>
        </w:tc>
        <w:tc>
          <w:tcPr>
            <w:tcW w:w="1559" w:type="dxa"/>
          </w:tcPr>
          <w:p w14:paraId="39056135" w14:textId="77777777" w:rsidR="00A052DC" w:rsidRDefault="009F0A60">
            <w:pPr>
              <w:rPr>
                <w:rFonts w:ascii="黑体" w:eastAsia="黑体" w:hAnsi="黑体"/>
                <w:sz w:val="20"/>
                <w:szCs w:val="20"/>
              </w:rPr>
            </w:pPr>
            <w:r>
              <w:rPr>
                <w:rFonts w:ascii="黑体" w:eastAsia="黑体" w:hAnsi="黑体" w:hint="eastAsia"/>
                <w:sz w:val="20"/>
                <w:szCs w:val="20"/>
              </w:rPr>
              <w:t>字符型，32</w:t>
            </w:r>
          </w:p>
        </w:tc>
        <w:tc>
          <w:tcPr>
            <w:tcW w:w="3685" w:type="dxa"/>
          </w:tcPr>
          <w:p w14:paraId="1E6F07F2" w14:textId="77777777" w:rsidR="00A052DC" w:rsidRDefault="009F0A60">
            <w:pPr>
              <w:rPr>
                <w:rFonts w:ascii="黑体" w:eastAsia="黑体" w:hAnsi="黑体"/>
                <w:sz w:val="20"/>
                <w:szCs w:val="20"/>
              </w:rPr>
            </w:pPr>
            <w:r>
              <w:rPr>
                <w:rFonts w:ascii="黑体" w:eastAsia="黑体" w:hAnsi="黑体" w:hint="eastAsia"/>
                <w:sz w:val="20"/>
                <w:szCs w:val="20"/>
              </w:rPr>
              <w:t>如果有其他金额，则该字段不能为空，其他金额为0，则该字段不应该填写，</w:t>
            </w:r>
            <w:r w:rsidR="0021563C">
              <w:rPr>
                <w:rFonts w:ascii="黑体" w:eastAsia="黑体" w:hAnsi="黑体" w:hint="eastAsia"/>
                <w:sz w:val="20"/>
                <w:szCs w:val="20"/>
              </w:rPr>
              <w:t>其他</w:t>
            </w:r>
            <w:r>
              <w:rPr>
                <w:rFonts w:ascii="黑体" w:eastAsia="黑体" w:hAnsi="黑体" w:hint="eastAsia"/>
                <w:sz w:val="20"/>
                <w:szCs w:val="20"/>
              </w:rPr>
              <w:t>金额、</w:t>
            </w:r>
            <w:r w:rsidR="0021563C">
              <w:rPr>
                <w:rFonts w:ascii="黑体" w:eastAsia="黑体" w:hAnsi="黑体" w:hint="eastAsia"/>
                <w:sz w:val="20"/>
                <w:szCs w:val="20"/>
              </w:rPr>
              <w:t>其他</w:t>
            </w:r>
            <w:r>
              <w:rPr>
                <w:rFonts w:ascii="黑体" w:eastAsia="黑体" w:hAnsi="黑体" w:hint="eastAsia"/>
                <w:sz w:val="20"/>
                <w:szCs w:val="20"/>
              </w:rPr>
              <w:t>账号或同时空，或同时有值。</w:t>
            </w:r>
          </w:p>
        </w:tc>
      </w:tr>
      <w:tr w:rsidR="00A052DC" w14:paraId="7E4CB292" w14:textId="77777777">
        <w:tc>
          <w:tcPr>
            <w:tcW w:w="1560" w:type="dxa"/>
          </w:tcPr>
          <w:p w14:paraId="5956CBEF" w14:textId="77777777" w:rsidR="00A052DC" w:rsidRDefault="009F0A60">
            <w:pPr>
              <w:rPr>
                <w:rFonts w:ascii="黑体" w:eastAsia="黑体" w:hAnsi="黑体"/>
                <w:sz w:val="20"/>
                <w:szCs w:val="20"/>
              </w:rPr>
            </w:pPr>
            <w:r>
              <w:rPr>
                <w:rFonts w:ascii="黑体" w:eastAsia="黑体" w:hAnsi="黑体"/>
                <w:sz w:val="20"/>
                <w:szCs w:val="20"/>
              </w:rPr>
              <w:t>METHOD</w:t>
            </w:r>
          </w:p>
        </w:tc>
        <w:tc>
          <w:tcPr>
            <w:tcW w:w="1843" w:type="dxa"/>
          </w:tcPr>
          <w:p w14:paraId="71DA83A9" w14:textId="77777777" w:rsidR="00A052DC" w:rsidRDefault="009F0A60">
            <w:pPr>
              <w:rPr>
                <w:rFonts w:ascii="黑体" w:eastAsia="黑体" w:hAnsi="黑体"/>
                <w:sz w:val="20"/>
                <w:szCs w:val="20"/>
              </w:rPr>
            </w:pPr>
            <w:r>
              <w:rPr>
                <w:rFonts w:ascii="黑体" w:eastAsia="黑体" w:hAnsi="黑体" w:hint="eastAsia"/>
                <w:sz w:val="20"/>
                <w:szCs w:val="20"/>
              </w:rPr>
              <w:t>结算方式</w:t>
            </w:r>
          </w:p>
        </w:tc>
        <w:tc>
          <w:tcPr>
            <w:tcW w:w="1559" w:type="dxa"/>
          </w:tcPr>
          <w:p w14:paraId="66F9E38D" w14:textId="77777777" w:rsidR="00A052DC" w:rsidRDefault="009F0A60">
            <w:pPr>
              <w:rPr>
                <w:rFonts w:ascii="黑体" w:eastAsia="黑体" w:hAnsi="黑体"/>
                <w:sz w:val="20"/>
                <w:szCs w:val="20"/>
              </w:rPr>
            </w:pPr>
            <w:r>
              <w:rPr>
                <w:rFonts w:ascii="黑体" w:eastAsia="黑体" w:hAnsi="黑体" w:hint="eastAsia"/>
                <w:sz w:val="20"/>
                <w:szCs w:val="20"/>
              </w:rPr>
              <w:t>字符型，1</w:t>
            </w:r>
          </w:p>
        </w:tc>
        <w:tc>
          <w:tcPr>
            <w:tcW w:w="3685" w:type="dxa"/>
          </w:tcPr>
          <w:p w14:paraId="1B9B8D7D" w14:textId="77777777" w:rsidR="00A052DC" w:rsidRDefault="009F0A60">
            <w:pPr>
              <w:rPr>
                <w:rFonts w:ascii="黑体" w:eastAsia="黑体" w:hAnsi="黑体"/>
                <w:sz w:val="20"/>
                <w:szCs w:val="20"/>
              </w:rPr>
            </w:pPr>
            <w:r>
              <w:rPr>
                <w:rFonts w:ascii="黑体" w:eastAsia="黑体" w:hAnsi="黑体" w:hint="eastAsia"/>
                <w:sz w:val="20"/>
                <w:szCs w:val="20"/>
              </w:rPr>
              <w:t>L</w:t>
            </w:r>
            <w:r w:rsidR="00AE4602">
              <w:rPr>
                <w:rFonts w:ascii="黑体" w:eastAsia="黑体" w:hAnsi="黑体" w:hint="eastAsia"/>
                <w:sz w:val="20"/>
                <w:szCs w:val="20"/>
              </w:rPr>
              <w:t>-</w:t>
            </w:r>
            <w:r>
              <w:rPr>
                <w:rFonts w:ascii="黑体" w:eastAsia="黑体" w:hAnsi="黑体" w:hint="eastAsia"/>
                <w:sz w:val="20"/>
                <w:szCs w:val="20"/>
              </w:rPr>
              <w:t>信用证</w:t>
            </w:r>
          </w:p>
          <w:p w14:paraId="398FB227" w14:textId="77777777" w:rsidR="00A052DC" w:rsidRDefault="009F0A60">
            <w:pPr>
              <w:rPr>
                <w:rFonts w:ascii="黑体" w:eastAsia="黑体" w:hAnsi="黑体"/>
                <w:sz w:val="20"/>
                <w:szCs w:val="20"/>
              </w:rPr>
            </w:pPr>
            <w:r>
              <w:rPr>
                <w:rFonts w:ascii="黑体" w:eastAsia="黑体" w:hAnsi="黑体" w:hint="eastAsia"/>
                <w:sz w:val="20"/>
                <w:szCs w:val="20"/>
              </w:rPr>
              <w:t>G</w:t>
            </w:r>
            <w:r w:rsidR="00AE4602">
              <w:rPr>
                <w:rFonts w:ascii="黑体" w:eastAsia="黑体" w:hAnsi="黑体" w:hint="eastAsia"/>
                <w:sz w:val="20"/>
                <w:szCs w:val="20"/>
              </w:rPr>
              <w:t>-</w:t>
            </w:r>
            <w:r>
              <w:rPr>
                <w:rFonts w:ascii="黑体" w:eastAsia="黑体" w:hAnsi="黑体" w:hint="eastAsia"/>
                <w:sz w:val="20"/>
                <w:szCs w:val="20"/>
              </w:rPr>
              <w:t>保函</w:t>
            </w:r>
          </w:p>
          <w:p w14:paraId="58B24F6B" w14:textId="77777777" w:rsidR="00A052DC" w:rsidRDefault="009F0A60">
            <w:pPr>
              <w:rPr>
                <w:rFonts w:ascii="黑体" w:eastAsia="黑体" w:hAnsi="黑体"/>
                <w:sz w:val="20"/>
                <w:szCs w:val="20"/>
              </w:rPr>
            </w:pPr>
            <w:r>
              <w:rPr>
                <w:rFonts w:ascii="黑体" w:eastAsia="黑体" w:hAnsi="黑体" w:hint="eastAsia"/>
                <w:sz w:val="20"/>
                <w:szCs w:val="20"/>
              </w:rPr>
              <w:t>C</w:t>
            </w:r>
            <w:r w:rsidR="00AE4602">
              <w:rPr>
                <w:rFonts w:ascii="黑体" w:eastAsia="黑体" w:hAnsi="黑体" w:hint="eastAsia"/>
                <w:sz w:val="20"/>
                <w:szCs w:val="20"/>
              </w:rPr>
              <w:t>-</w:t>
            </w:r>
            <w:r>
              <w:rPr>
                <w:rFonts w:ascii="黑体" w:eastAsia="黑体" w:hAnsi="黑体" w:hint="eastAsia"/>
                <w:sz w:val="20"/>
                <w:szCs w:val="20"/>
              </w:rPr>
              <w:t>托收</w:t>
            </w:r>
          </w:p>
          <w:p w14:paraId="4B9DA020" w14:textId="77777777" w:rsidR="00A052DC" w:rsidRDefault="009F0A60">
            <w:pPr>
              <w:rPr>
                <w:rFonts w:ascii="黑体" w:eastAsia="黑体" w:hAnsi="黑体"/>
                <w:sz w:val="20"/>
                <w:szCs w:val="20"/>
              </w:rPr>
            </w:pPr>
            <w:r>
              <w:rPr>
                <w:rFonts w:ascii="黑体" w:eastAsia="黑体" w:hAnsi="黑体" w:hint="eastAsia"/>
                <w:sz w:val="20"/>
                <w:szCs w:val="20"/>
              </w:rPr>
              <w:t>T</w:t>
            </w:r>
            <w:r w:rsidR="00AE4602">
              <w:rPr>
                <w:rFonts w:ascii="黑体" w:eastAsia="黑体" w:hAnsi="黑体" w:hint="eastAsia"/>
                <w:sz w:val="20"/>
                <w:szCs w:val="20"/>
              </w:rPr>
              <w:t>-</w:t>
            </w:r>
            <w:r>
              <w:rPr>
                <w:rFonts w:ascii="黑体" w:eastAsia="黑体" w:hAnsi="黑体" w:hint="eastAsia"/>
                <w:sz w:val="20"/>
                <w:szCs w:val="20"/>
              </w:rPr>
              <w:t>电汇</w:t>
            </w:r>
          </w:p>
          <w:p w14:paraId="7914C6CF" w14:textId="77777777" w:rsidR="00A052DC" w:rsidRDefault="009F0A60">
            <w:pPr>
              <w:rPr>
                <w:rFonts w:ascii="黑体" w:eastAsia="黑体" w:hAnsi="黑体"/>
                <w:sz w:val="20"/>
                <w:szCs w:val="20"/>
              </w:rPr>
            </w:pPr>
            <w:r>
              <w:rPr>
                <w:rFonts w:ascii="黑体" w:eastAsia="黑体" w:hAnsi="黑体" w:hint="eastAsia"/>
                <w:sz w:val="20"/>
                <w:szCs w:val="20"/>
              </w:rPr>
              <w:t>D</w:t>
            </w:r>
            <w:r w:rsidR="00AE4602">
              <w:rPr>
                <w:rFonts w:ascii="黑体" w:eastAsia="黑体" w:hAnsi="黑体" w:hint="eastAsia"/>
                <w:sz w:val="20"/>
                <w:szCs w:val="20"/>
              </w:rPr>
              <w:t>-</w:t>
            </w:r>
            <w:r>
              <w:rPr>
                <w:rFonts w:ascii="黑体" w:eastAsia="黑体" w:hAnsi="黑体" w:hint="eastAsia"/>
                <w:sz w:val="20"/>
                <w:szCs w:val="20"/>
              </w:rPr>
              <w:t>票汇</w:t>
            </w:r>
          </w:p>
          <w:p w14:paraId="2D1BF593" w14:textId="77777777" w:rsidR="00A052DC" w:rsidRDefault="009F0A60">
            <w:pPr>
              <w:rPr>
                <w:rFonts w:ascii="黑体" w:eastAsia="黑体" w:hAnsi="黑体"/>
                <w:sz w:val="20"/>
                <w:szCs w:val="20"/>
              </w:rPr>
            </w:pPr>
            <w:r>
              <w:rPr>
                <w:rFonts w:ascii="黑体" w:eastAsia="黑体" w:hAnsi="黑体" w:hint="eastAsia"/>
                <w:sz w:val="20"/>
                <w:szCs w:val="20"/>
              </w:rPr>
              <w:t>M</w:t>
            </w:r>
            <w:r w:rsidR="00AE4602">
              <w:rPr>
                <w:rFonts w:ascii="黑体" w:eastAsia="黑体" w:hAnsi="黑体" w:hint="eastAsia"/>
                <w:sz w:val="20"/>
                <w:szCs w:val="20"/>
              </w:rPr>
              <w:t>-</w:t>
            </w:r>
            <w:r>
              <w:rPr>
                <w:rFonts w:ascii="黑体" w:eastAsia="黑体" w:hAnsi="黑体" w:hint="eastAsia"/>
                <w:sz w:val="20"/>
                <w:szCs w:val="20"/>
              </w:rPr>
              <w:t>信汇</w:t>
            </w:r>
          </w:p>
          <w:p w14:paraId="24A8E457" w14:textId="77777777" w:rsidR="00A052DC" w:rsidRDefault="009F0A60">
            <w:pPr>
              <w:rPr>
                <w:rFonts w:ascii="黑体" w:eastAsia="黑体" w:hAnsi="黑体"/>
                <w:sz w:val="20"/>
                <w:szCs w:val="20"/>
              </w:rPr>
            </w:pPr>
            <w:r>
              <w:rPr>
                <w:rFonts w:ascii="黑体" w:eastAsia="黑体" w:hAnsi="黑体" w:hint="eastAsia"/>
                <w:sz w:val="20"/>
                <w:szCs w:val="20"/>
              </w:rPr>
              <w:t>O</w:t>
            </w:r>
            <w:r w:rsidR="00AE4602">
              <w:rPr>
                <w:rFonts w:ascii="黑体" w:eastAsia="黑体" w:hAnsi="黑体" w:hint="eastAsia"/>
                <w:sz w:val="20"/>
                <w:szCs w:val="20"/>
              </w:rPr>
              <w:t>-</w:t>
            </w:r>
            <w:r>
              <w:rPr>
                <w:rFonts w:ascii="黑体" w:eastAsia="黑体" w:hAnsi="黑体" w:hint="eastAsia"/>
                <w:sz w:val="20"/>
                <w:szCs w:val="20"/>
              </w:rPr>
              <w:t>其他</w:t>
            </w:r>
          </w:p>
        </w:tc>
      </w:tr>
      <w:tr w:rsidR="00A052DC" w14:paraId="63EAD4E7" w14:textId="77777777">
        <w:tc>
          <w:tcPr>
            <w:tcW w:w="1560" w:type="dxa"/>
          </w:tcPr>
          <w:p w14:paraId="5F6B8A7E" w14:textId="77777777" w:rsidR="00A052DC" w:rsidRDefault="009F0A60">
            <w:pPr>
              <w:rPr>
                <w:rFonts w:ascii="黑体" w:eastAsia="黑体" w:hAnsi="黑体"/>
                <w:sz w:val="20"/>
                <w:szCs w:val="20"/>
              </w:rPr>
            </w:pPr>
            <w:r>
              <w:rPr>
                <w:rFonts w:ascii="黑体" w:eastAsia="黑体" w:hAnsi="黑体"/>
                <w:sz w:val="20"/>
                <w:szCs w:val="20"/>
              </w:rPr>
              <w:t>BUSCODE</w:t>
            </w:r>
          </w:p>
        </w:tc>
        <w:tc>
          <w:tcPr>
            <w:tcW w:w="1843" w:type="dxa"/>
          </w:tcPr>
          <w:p w14:paraId="3BACDC90" w14:textId="77777777" w:rsidR="00A052DC" w:rsidRDefault="009F0A60">
            <w:pPr>
              <w:rPr>
                <w:rFonts w:ascii="黑体" w:eastAsia="黑体" w:hAnsi="黑体"/>
                <w:sz w:val="20"/>
                <w:szCs w:val="20"/>
              </w:rPr>
            </w:pPr>
            <w:r>
              <w:rPr>
                <w:rFonts w:ascii="黑体" w:eastAsia="黑体" w:hAnsi="黑体" w:hint="eastAsia"/>
                <w:sz w:val="20"/>
                <w:szCs w:val="20"/>
              </w:rPr>
              <w:t>银行业务编号</w:t>
            </w:r>
          </w:p>
        </w:tc>
        <w:tc>
          <w:tcPr>
            <w:tcW w:w="1559" w:type="dxa"/>
          </w:tcPr>
          <w:p w14:paraId="71966384" w14:textId="77777777" w:rsidR="00A052DC" w:rsidRDefault="009F0A60">
            <w:pPr>
              <w:rPr>
                <w:rFonts w:ascii="黑体" w:eastAsia="黑体" w:hAnsi="黑体"/>
                <w:sz w:val="20"/>
                <w:szCs w:val="20"/>
              </w:rPr>
            </w:pPr>
            <w:r>
              <w:rPr>
                <w:rFonts w:ascii="黑体" w:eastAsia="黑体" w:hAnsi="黑体" w:hint="eastAsia"/>
                <w:sz w:val="20"/>
                <w:szCs w:val="20"/>
              </w:rPr>
              <w:t>字符型，22</w:t>
            </w:r>
          </w:p>
        </w:tc>
        <w:tc>
          <w:tcPr>
            <w:tcW w:w="3685" w:type="dxa"/>
          </w:tcPr>
          <w:p w14:paraId="3174ABAD"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r w:rsidR="00A052DC" w14:paraId="52A54DF9" w14:textId="77777777">
        <w:tc>
          <w:tcPr>
            <w:tcW w:w="1560" w:type="dxa"/>
          </w:tcPr>
          <w:p w14:paraId="42F67F94" w14:textId="77777777" w:rsidR="00A052DC" w:rsidRDefault="009F0A60">
            <w:pPr>
              <w:rPr>
                <w:rFonts w:ascii="黑体" w:eastAsia="黑体" w:hAnsi="黑体"/>
                <w:sz w:val="20"/>
                <w:szCs w:val="20"/>
              </w:rPr>
            </w:pPr>
            <w:r>
              <w:rPr>
                <w:rFonts w:ascii="黑体" w:eastAsia="黑体" w:hAnsi="黑体"/>
                <w:sz w:val="20"/>
                <w:szCs w:val="20"/>
              </w:rPr>
              <w:t>INCHARGECCY</w:t>
            </w:r>
          </w:p>
        </w:tc>
        <w:tc>
          <w:tcPr>
            <w:tcW w:w="1843" w:type="dxa"/>
          </w:tcPr>
          <w:p w14:paraId="05892C8F" w14:textId="77777777" w:rsidR="00A052DC" w:rsidRDefault="009F0A60">
            <w:pPr>
              <w:rPr>
                <w:rFonts w:ascii="黑体" w:eastAsia="黑体" w:hAnsi="黑体"/>
                <w:sz w:val="20"/>
                <w:szCs w:val="20"/>
              </w:rPr>
            </w:pPr>
            <w:r>
              <w:rPr>
                <w:rFonts w:ascii="黑体" w:eastAsia="黑体" w:hAnsi="黑体" w:hint="eastAsia"/>
                <w:sz w:val="20"/>
                <w:szCs w:val="20"/>
              </w:rPr>
              <w:t>国内银行扣费币种</w:t>
            </w:r>
          </w:p>
        </w:tc>
        <w:tc>
          <w:tcPr>
            <w:tcW w:w="1559" w:type="dxa"/>
          </w:tcPr>
          <w:p w14:paraId="7A7F0A9D" w14:textId="77777777" w:rsidR="00A052DC" w:rsidRDefault="009F0A60">
            <w:pPr>
              <w:rPr>
                <w:rFonts w:ascii="黑体" w:eastAsia="黑体" w:hAnsi="黑体"/>
                <w:sz w:val="20"/>
                <w:szCs w:val="20"/>
              </w:rPr>
            </w:pPr>
            <w:r>
              <w:rPr>
                <w:rFonts w:ascii="黑体" w:eastAsia="黑体" w:hAnsi="黑体" w:hint="eastAsia"/>
                <w:sz w:val="20"/>
                <w:szCs w:val="20"/>
              </w:rPr>
              <w:t>字符型，3</w:t>
            </w:r>
          </w:p>
        </w:tc>
        <w:tc>
          <w:tcPr>
            <w:tcW w:w="3685" w:type="dxa"/>
          </w:tcPr>
          <w:p w14:paraId="76C730BA" w14:textId="77777777" w:rsidR="00A052DC" w:rsidRDefault="00DD6AA3">
            <w:pPr>
              <w:rPr>
                <w:rFonts w:ascii="黑体" w:eastAsia="黑体" w:hAnsi="黑体"/>
                <w:sz w:val="20"/>
                <w:szCs w:val="20"/>
              </w:rPr>
            </w:pPr>
            <w:r>
              <w:rPr>
                <w:rFonts w:ascii="黑体" w:eastAsia="黑体" w:hAnsi="黑体" w:hint="eastAsia"/>
                <w:sz w:val="20"/>
                <w:szCs w:val="20"/>
              </w:rPr>
              <w:t>非必填项</w:t>
            </w:r>
            <w:r w:rsidR="009F0A60">
              <w:rPr>
                <w:rFonts w:ascii="黑体" w:eastAsia="黑体" w:hAnsi="黑体" w:hint="eastAsia"/>
                <w:sz w:val="20"/>
                <w:szCs w:val="20"/>
              </w:rPr>
              <w:t>，必须在币种代码表里存在。</w:t>
            </w:r>
          </w:p>
        </w:tc>
      </w:tr>
      <w:tr w:rsidR="00A052DC" w14:paraId="071AF1DC" w14:textId="77777777">
        <w:tc>
          <w:tcPr>
            <w:tcW w:w="1560" w:type="dxa"/>
          </w:tcPr>
          <w:p w14:paraId="2AAD33C8" w14:textId="77777777" w:rsidR="00A052DC" w:rsidRDefault="009F0A60">
            <w:pPr>
              <w:rPr>
                <w:rFonts w:ascii="黑体" w:eastAsia="黑体" w:hAnsi="黑体"/>
                <w:sz w:val="20"/>
                <w:szCs w:val="20"/>
              </w:rPr>
            </w:pPr>
            <w:r>
              <w:rPr>
                <w:rFonts w:ascii="黑体" w:eastAsia="黑体" w:hAnsi="黑体"/>
                <w:sz w:val="20"/>
                <w:szCs w:val="20"/>
              </w:rPr>
              <w:t>INCHARGEAMT</w:t>
            </w:r>
          </w:p>
        </w:tc>
        <w:tc>
          <w:tcPr>
            <w:tcW w:w="1843" w:type="dxa"/>
          </w:tcPr>
          <w:p w14:paraId="51A84FD4" w14:textId="77777777" w:rsidR="00A052DC" w:rsidRDefault="009F0A60">
            <w:pPr>
              <w:rPr>
                <w:rFonts w:ascii="黑体" w:eastAsia="黑体" w:hAnsi="黑体"/>
                <w:sz w:val="20"/>
                <w:szCs w:val="20"/>
              </w:rPr>
            </w:pPr>
            <w:r>
              <w:rPr>
                <w:rFonts w:ascii="黑体" w:eastAsia="黑体" w:hAnsi="黑体" w:hint="eastAsia"/>
                <w:sz w:val="20"/>
                <w:szCs w:val="20"/>
              </w:rPr>
              <w:t>国内银行扣费金额</w:t>
            </w:r>
          </w:p>
        </w:tc>
        <w:tc>
          <w:tcPr>
            <w:tcW w:w="1559" w:type="dxa"/>
          </w:tcPr>
          <w:p w14:paraId="410B5F7E" w14:textId="77777777" w:rsidR="00A052DC" w:rsidRDefault="009F0A60">
            <w:pPr>
              <w:rPr>
                <w:rFonts w:ascii="黑体" w:eastAsia="黑体" w:hAnsi="黑体"/>
                <w:sz w:val="20"/>
                <w:szCs w:val="20"/>
              </w:rPr>
            </w:pPr>
            <w:r>
              <w:rPr>
                <w:rFonts w:ascii="黑体" w:eastAsia="黑体" w:hAnsi="黑体" w:hint="eastAsia"/>
                <w:sz w:val="20"/>
                <w:szCs w:val="20"/>
              </w:rPr>
              <w:t>数值型，22.0</w:t>
            </w:r>
          </w:p>
        </w:tc>
        <w:tc>
          <w:tcPr>
            <w:tcW w:w="3685" w:type="dxa"/>
          </w:tcPr>
          <w:p w14:paraId="6C5B38B1" w14:textId="77777777" w:rsidR="00A052DC" w:rsidRDefault="00DD6AA3">
            <w:pPr>
              <w:rPr>
                <w:rFonts w:ascii="黑体" w:eastAsia="黑体" w:hAnsi="黑体"/>
                <w:sz w:val="20"/>
                <w:szCs w:val="20"/>
              </w:rPr>
            </w:pPr>
            <w:r>
              <w:rPr>
                <w:rFonts w:ascii="黑体" w:eastAsia="黑体" w:hAnsi="黑体" w:hint="eastAsia"/>
                <w:sz w:val="20"/>
                <w:szCs w:val="20"/>
              </w:rPr>
              <w:t>非必填项</w:t>
            </w:r>
            <w:r w:rsidR="009F0A60">
              <w:rPr>
                <w:rFonts w:ascii="黑体" w:eastAsia="黑体" w:hAnsi="黑体" w:hint="eastAsia"/>
                <w:sz w:val="20"/>
                <w:szCs w:val="20"/>
              </w:rPr>
              <w:t>，若输入，则输入的金额必须大于0，且没有小数位。</w:t>
            </w:r>
          </w:p>
          <w:p w14:paraId="029AC8EE" w14:textId="77777777" w:rsidR="00A052DC" w:rsidRDefault="009F0A60">
            <w:pPr>
              <w:rPr>
                <w:rFonts w:ascii="黑体" w:eastAsia="黑体" w:hAnsi="黑体"/>
                <w:sz w:val="20"/>
                <w:szCs w:val="20"/>
              </w:rPr>
            </w:pPr>
            <w:r>
              <w:rPr>
                <w:rFonts w:ascii="黑体" w:eastAsia="黑体" w:hAnsi="黑体" w:hint="eastAsia"/>
                <w:sz w:val="20"/>
                <w:szCs w:val="20"/>
              </w:rPr>
              <w:t>国内扣费币种、金额必须同时输入。若币种不为空则对应金额必须</w:t>
            </w:r>
            <w:r>
              <w:rPr>
                <w:rFonts w:ascii="黑体" w:eastAsia="黑体" w:hAnsi="黑体"/>
                <w:sz w:val="20"/>
                <w:szCs w:val="20"/>
              </w:rPr>
              <w:t>&gt;</w:t>
            </w:r>
            <w:r>
              <w:rPr>
                <w:rFonts w:ascii="黑体" w:eastAsia="黑体" w:hAnsi="黑体" w:hint="eastAsia"/>
                <w:sz w:val="20"/>
                <w:szCs w:val="20"/>
              </w:rPr>
              <w:t>0；若金额</w:t>
            </w:r>
            <w:r>
              <w:rPr>
                <w:rFonts w:ascii="黑体" w:eastAsia="黑体" w:hAnsi="黑体"/>
                <w:sz w:val="20"/>
                <w:szCs w:val="20"/>
              </w:rPr>
              <w:t>&gt;</w:t>
            </w:r>
            <w:r>
              <w:rPr>
                <w:rFonts w:ascii="黑体" w:eastAsia="黑体" w:hAnsi="黑体" w:hint="eastAsia"/>
                <w:sz w:val="20"/>
                <w:szCs w:val="20"/>
              </w:rPr>
              <w:t>0，则对应币种不能为空。</w:t>
            </w:r>
          </w:p>
        </w:tc>
      </w:tr>
      <w:tr w:rsidR="00A052DC" w14:paraId="29B21AC4" w14:textId="77777777">
        <w:tc>
          <w:tcPr>
            <w:tcW w:w="1560" w:type="dxa"/>
          </w:tcPr>
          <w:p w14:paraId="2FBD3C86" w14:textId="77777777" w:rsidR="00A052DC" w:rsidRDefault="009F0A60">
            <w:pPr>
              <w:rPr>
                <w:rFonts w:ascii="黑体" w:eastAsia="黑体" w:hAnsi="黑体"/>
                <w:sz w:val="20"/>
                <w:szCs w:val="20"/>
              </w:rPr>
            </w:pPr>
            <w:r>
              <w:rPr>
                <w:rFonts w:ascii="黑体" w:eastAsia="黑体" w:hAnsi="黑体"/>
                <w:sz w:val="20"/>
                <w:szCs w:val="20"/>
              </w:rPr>
              <w:t>OUTCHARGECCY</w:t>
            </w:r>
          </w:p>
        </w:tc>
        <w:tc>
          <w:tcPr>
            <w:tcW w:w="1843" w:type="dxa"/>
          </w:tcPr>
          <w:p w14:paraId="09C7A29C" w14:textId="77777777" w:rsidR="00A052DC" w:rsidRDefault="009F0A60">
            <w:pPr>
              <w:rPr>
                <w:rFonts w:ascii="黑体" w:eastAsia="黑体" w:hAnsi="黑体"/>
                <w:sz w:val="20"/>
                <w:szCs w:val="20"/>
              </w:rPr>
            </w:pPr>
            <w:r>
              <w:rPr>
                <w:rFonts w:ascii="黑体" w:eastAsia="黑体" w:hAnsi="黑体" w:hint="eastAsia"/>
                <w:sz w:val="20"/>
                <w:szCs w:val="20"/>
              </w:rPr>
              <w:t>国外银行扣费币种</w:t>
            </w:r>
          </w:p>
        </w:tc>
        <w:tc>
          <w:tcPr>
            <w:tcW w:w="1559" w:type="dxa"/>
          </w:tcPr>
          <w:p w14:paraId="4AB5FF45" w14:textId="77777777" w:rsidR="00A052DC" w:rsidRDefault="009F0A60">
            <w:pPr>
              <w:rPr>
                <w:rFonts w:ascii="黑体" w:eastAsia="黑体" w:hAnsi="黑体"/>
                <w:sz w:val="20"/>
                <w:szCs w:val="20"/>
              </w:rPr>
            </w:pPr>
            <w:r>
              <w:rPr>
                <w:rFonts w:ascii="黑体" w:eastAsia="黑体" w:hAnsi="黑体" w:hint="eastAsia"/>
                <w:sz w:val="20"/>
                <w:szCs w:val="20"/>
              </w:rPr>
              <w:t>字符型，3</w:t>
            </w:r>
          </w:p>
        </w:tc>
        <w:tc>
          <w:tcPr>
            <w:tcW w:w="3685" w:type="dxa"/>
          </w:tcPr>
          <w:p w14:paraId="430ECBED" w14:textId="77777777" w:rsidR="00A052DC" w:rsidRDefault="00DD6AA3">
            <w:pPr>
              <w:rPr>
                <w:rFonts w:ascii="黑体" w:eastAsia="黑体" w:hAnsi="黑体"/>
                <w:sz w:val="20"/>
                <w:szCs w:val="20"/>
              </w:rPr>
            </w:pPr>
            <w:r>
              <w:rPr>
                <w:rFonts w:ascii="黑体" w:eastAsia="黑体" w:hAnsi="黑体" w:hint="eastAsia"/>
                <w:sz w:val="20"/>
                <w:szCs w:val="20"/>
              </w:rPr>
              <w:t>非必填项</w:t>
            </w:r>
            <w:r w:rsidR="009F0A60">
              <w:rPr>
                <w:rFonts w:ascii="黑体" w:eastAsia="黑体" w:hAnsi="黑体" w:hint="eastAsia"/>
                <w:sz w:val="20"/>
                <w:szCs w:val="20"/>
              </w:rPr>
              <w:t>，必须在币种代码表里存在。</w:t>
            </w:r>
          </w:p>
        </w:tc>
      </w:tr>
      <w:tr w:rsidR="00A052DC" w14:paraId="4D111734" w14:textId="77777777">
        <w:tc>
          <w:tcPr>
            <w:tcW w:w="1560" w:type="dxa"/>
          </w:tcPr>
          <w:p w14:paraId="30B9989C" w14:textId="77777777" w:rsidR="00A052DC" w:rsidRDefault="009F0A60">
            <w:pPr>
              <w:rPr>
                <w:rFonts w:ascii="黑体" w:eastAsia="黑体" w:hAnsi="黑体"/>
                <w:sz w:val="20"/>
                <w:szCs w:val="20"/>
              </w:rPr>
            </w:pPr>
            <w:r>
              <w:rPr>
                <w:rFonts w:ascii="黑体" w:eastAsia="黑体" w:hAnsi="黑体"/>
                <w:sz w:val="20"/>
                <w:szCs w:val="20"/>
              </w:rPr>
              <w:t>OUTCHARGEAMT</w:t>
            </w:r>
          </w:p>
        </w:tc>
        <w:tc>
          <w:tcPr>
            <w:tcW w:w="1843" w:type="dxa"/>
          </w:tcPr>
          <w:p w14:paraId="5B20767B" w14:textId="77777777" w:rsidR="00A052DC" w:rsidRDefault="009F0A60">
            <w:pPr>
              <w:rPr>
                <w:rFonts w:ascii="黑体" w:eastAsia="黑体" w:hAnsi="黑体"/>
                <w:sz w:val="20"/>
                <w:szCs w:val="20"/>
              </w:rPr>
            </w:pPr>
            <w:r>
              <w:rPr>
                <w:rFonts w:ascii="黑体" w:eastAsia="黑体" w:hAnsi="黑体" w:hint="eastAsia"/>
                <w:sz w:val="20"/>
                <w:szCs w:val="20"/>
              </w:rPr>
              <w:t>国外银行扣费金额</w:t>
            </w:r>
          </w:p>
        </w:tc>
        <w:tc>
          <w:tcPr>
            <w:tcW w:w="1559" w:type="dxa"/>
          </w:tcPr>
          <w:p w14:paraId="076E3669" w14:textId="77777777" w:rsidR="00A052DC" w:rsidRDefault="009F0A60">
            <w:pPr>
              <w:rPr>
                <w:rFonts w:ascii="黑体" w:eastAsia="黑体" w:hAnsi="黑体"/>
                <w:sz w:val="20"/>
                <w:szCs w:val="20"/>
              </w:rPr>
            </w:pPr>
            <w:r>
              <w:rPr>
                <w:rFonts w:ascii="黑体" w:eastAsia="黑体" w:hAnsi="黑体" w:hint="eastAsia"/>
                <w:sz w:val="20"/>
                <w:szCs w:val="20"/>
              </w:rPr>
              <w:t>数值型，22.0</w:t>
            </w:r>
          </w:p>
        </w:tc>
        <w:tc>
          <w:tcPr>
            <w:tcW w:w="3685" w:type="dxa"/>
          </w:tcPr>
          <w:p w14:paraId="2A2A18F0" w14:textId="77777777" w:rsidR="00A052DC" w:rsidRDefault="00DD6AA3">
            <w:pPr>
              <w:rPr>
                <w:rFonts w:ascii="黑体" w:eastAsia="黑体" w:hAnsi="黑体"/>
                <w:sz w:val="20"/>
                <w:szCs w:val="20"/>
              </w:rPr>
            </w:pPr>
            <w:r>
              <w:rPr>
                <w:rFonts w:ascii="黑体" w:eastAsia="黑体" w:hAnsi="黑体" w:hint="eastAsia"/>
                <w:sz w:val="20"/>
                <w:szCs w:val="20"/>
              </w:rPr>
              <w:t>非必填项</w:t>
            </w:r>
            <w:r w:rsidR="009F0A60">
              <w:rPr>
                <w:rFonts w:ascii="黑体" w:eastAsia="黑体" w:hAnsi="黑体" w:hint="eastAsia"/>
                <w:sz w:val="20"/>
                <w:szCs w:val="20"/>
              </w:rPr>
              <w:t>，若输入，则输入的金额必须大于0，且没有小数位。</w:t>
            </w:r>
          </w:p>
          <w:p w14:paraId="2C0B6AE8" w14:textId="77777777" w:rsidR="00A052DC" w:rsidRDefault="009F0A60">
            <w:pPr>
              <w:rPr>
                <w:rFonts w:ascii="黑体" w:eastAsia="黑体" w:hAnsi="黑体"/>
                <w:sz w:val="20"/>
                <w:szCs w:val="20"/>
              </w:rPr>
            </w:pPr>
            <w:r>
              <w:rPr>
                <w:rFonts w:ascii="黑体" w:eastAsia="黑体" w:hAnsi="黑体" w:hint="eastAsia"/>
                <w:sz w:val="20"/>
                <w:szCs w:val="20"/>
              </w:rPr>
              <w:t>国外扣费币种、金额必须同时输入。若币种不为空则对应金额必须</w:t>
            </w:r>
            <w:r>
              <w:rPr>
                <w:rFonts w:ascii="黑体" w:eastAsia="黑体" w:hAnsi="黑体"/>
                <w:sz w:val="20"/>
                <w:szCs w:val="20"/>
              </w:rPr>
              <w:t>&gt;</w:t>
            </w:r>
            <w:r>
              <w:rPr>
                <w:rFonts w:ascii="黑体" w:eastAsia="黑体" w:hAnsi="黑体" w:hint="eastAsia"/>
                <w:sz w:val="20"/>
                <w:szCs w:val="20"/>
              </w:rPr>
              <w:t>0；若金额</w:t>
            </w:r>
            <w:r>
              <w:rPr>
                <w:rFonts w:ascii="黑体" w:eastAsia="黑体" w:hAnsi="黑体"/>
                <w:sz w:val="20"/>
                <w:szCs w:val="20"/>
              </w:rPr>
              <w:t>&gt;</w:t>
            </w:r>
            <w:r>
              <w:rPr>
                <w:rFonts w:ascii="黑体" w:eastAsia="黑体" w:hAnsi="黑体" w:hint="eastAsia"/>
                <w:sz w:val="20"/>
                <w:szCs w:val="20"/>
              </w:rPr>
              <w:t>0，则对应币种不能为空。</w:t>
            </w:r>
          </w:p>
        </w:tc>
      </w:tr>
    </w:tbl>
    <w:p w14:paraId="23B40653" w14:textId="77777777" w:rsidR="00A052DC" w:rsidRDefault="009F0A60">
      <w:pPr>
        <w:pStyle w:val="3"/>
        <w:numPr>
          <w:ilvl w:val="2"/>
          <w:numId w:val="13"/>
        </w:numPr>
        <w:ind w:left="0"/>
      </w:pPr>
      <w:bookmarkStart w:id="947" w:name="_Toc454386755"/>
      <w:bookmarkStart w:id="948" w:name="_Toc91455266"/>
      <w:bookmarkStart w:id="949" w:name="_Toc101684439"/>
      <w:r>
        <w:rPr>
          <w:rFonts w:hint="eastAsia"/>
        </w:rPr>
        <w:t>涉外收入</w:t>
      </w:r>
      <w:r>
        <w:t>-</w:t>
      </w:r>
      <w:r>
        <w:rPr>
          <w:rFonts w:hint="eastAsia"/>
        </w:rPr>
        <w:t>申报信息</w:t>
      </w:r>
      <w:bookmarkEnd w:id="947"/>
      <w:bookmarkEnd w:id="948"/>
      <w:bookmarkEnd w:id="949"/>
    </w:p>
    <w:p w14:paraId="4C636F39" w14:textId="77777777" w:rsidR="00A052DC" w:rsidRDefault="009F0A60" w:rsidP="0020251D">
      <w:pPr>
        <w:pStyle w:val="4"/>
        <w:numPr>
          <w:ilvl w:val="3"/>
          <w:numId w:val="1"/>
        </w:numPr>
        <w:jc w:val="left"/>
      </w:pPr>
      <w:bookmarkStart w:id="950" w:name="_Toc454386756"/>
      <w:r>
        <w:rPr>
          <w:rFonts w:hint="eastAsia"/>
        </w:rPr>
        <w:t>数据术语解释</w:t>
      </w:r>
      <w:bookmarkEnd w:id="950"/>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26"/>
        <w:gridCol w:w="7087"/>
      </w:tblGrid>
      <w:tr w:rsidR="00A052DC" w14:paraId="56565BD6" w14:textId="77777777">
        <w:tc>
          <w:tcPr>
            <w:tcW w:w="1526" w:type="dxa"/>
          </w:tcPr>
          <w:p w14:paraId="1DAECC14" w14:textId="77777777" w:rsidR="00A052DC" w:rsidRDefault="009F0A60">
            <w:pPr>
              <w:jc w:val="center"/>
              <w:rPr>
                <w:rFonts w:ascii="黑体" w:eastAsia="黑体" w:hAnsi="黑体"/>
                <w:b/>
                <w:sz w:val="20"/>
                <w:szCs w:val="20"/>
              </w:rPr>
            </w:pPr>
            <w:r>
              <w:rPr>
                <w:rFonts w:ascii="黑体" w:eastAsia="黑体" w:hAnsi="黑体" w:hint="eastAsia"/>
                <w:b/>
                <w:sz w:val="20"/>
                <w:szCs w:val="20"/>
              </w:rPr>
              <w:t>申报数据项</w:t>
            </w:r>
          </w:p>
        </w:tc>
        <w:tc>
          <w:tcPr>
            <w:tcW w:w="7087" w:type="dxa"/>
          </w:tcPr>
          <w:p w14:paraId="55D7E418" w14:textId="77777777" w:rsidR="00A052DC" w:rsidRDefault="009F0A60">
            <w:pPr>
              <w:jc w:val="center"/>
              <w:rPr>
                <w:rFonts w:ascii="黑体" w:eastAsia="黑体" w:hAnsi="黑体"/>
                <w:b/>
                <w:sz w:val="20"/>
                <w:szCs w:val="20"/>
              </w:rPr>
            </w:pPr>
            <w:r>
              <w:rPr>
                <w:rFonts w:ascii="黑体" w:eastAsia="黑体" w:hAnsi="黑体" w:hint="eastAsia"/>
                <w:b/>
                <w:sz w:val="20"/>
                <w:szCs w:val="20"/>
              </w:rPr>
              <w:t>定义</w:t>
            </w:r>
          </w:p>
        </w:tc>
      </w:tr>
      <w:tr w:rsidR="00A052DC" w14:paraId="71824DFA" w14:textId="77777777">
        <w:trPr>
          <w:cantSplit/>
        </w:trPr>
        <w:tc>
          <w:tcPr>
            <w:tcW w:w="1526" w:type="dxa"/>
          </w:tcPr>
          <w:p w14:paraId="4A0E08E4" w14:textId="77777777" w:rsidR="00A052DC" w:rsidRDefault="009F0A60">
            <w:pPr>
              <w:rPr>
                <w:rFonts w:ascii="黑体" w:eastAsia="黑体" w:hAnsi="黑体"/>
                <w:sz w:val="20"/>
                <w:szCs w:val="20"/>
              </w:rPr>
            </w:pPr>
            <w:r>
              <w:rPr>
                <w:rFonts w:ascii="黑体" w:eastAsia="黑体" w:hAnsi="黑体" w:hint="eastAsia"/>
                <w:sz w:val="20"/>
                <w:szCs w:val="20"/>
              </w:rPr>
              <w:t>付款人常驻国家（地区）名称</w:t>
            </w:r>
          </w:p>
        </w:tc>
        <w:tc>
          <w:tcPr>
            <w:tcW w:w="7087" w:type="dxa"/>
          </w:tcPr>
          <w:p w14:paraId="1777FF1A" w14:textId="77777777" w:rsidR="00A052DC" w:rsidRDefault="009F0A60">
            <w:pPr>
              <w:rPr>
                <w:rFonts w:ascii="黑体" w:eastAsia="黑体" w:hAnsi="黑体"/>
                <w:sz w:val="20"/>
                <w:szCs w:val="20"/>
              </w:rPr>
            </w:pPr>
            <w:r>
              <w:rPr>
                <w:rFonts w:ascii="黑体" w:eastAsia="黑体" w:hAnsi="黑体" w:hint="eastAsia"/>
                <w:sz w:val="20"/>
                <w:szCs w:val="20"/>
              </w:rPr>
              <w:t>指付款人所在国家（地区）的名称。</w:t>
            </w:r>
          </w:p>
        </w:tc>
      </w:tr>
      <w:tr w:rsidR="00A052DC" w14:paraId="5AE727F2" w14:textId="77777777">
        <w:trPr>
          <w:cantSplit/>
        </w:trPr>
        <w:tc>
          <w:tcPr>
            <w:tcW w:w="1526" w:type="dxa"/>
          </w:tcPr>
          <w:p w14:paraId="2EF65F3D" w14:textId="77777777" w:rsidR="00A052DC" w:rsidRDefault="009F0A60">
            <w:pPr>
              <w:rPr>
                <w:rFonts w:ascii="黑体" w:eastAsia="黑体" w:hAnsi="黑体"/>
                <w:sz w:val="20"/>
                <w:szCs w:val="20"/>
              </w:rPr>
            </w:pPr>
            <w:r>
              <w:rPr>
                <w:rFonts w:ascii="黑体" w:eastAsia="黑体" w:hAnsi="黑体" w:hint="eastAsia"/>
                <w:sz w:val="20"/>
                <w:szCs w:val="20"/>
              </w:rPr>
              <w:t>付款人常驻国家（地区）代码</w:t>
            </w:r>
          </w:p>
        </w:tc>
        <w:tc>
          <w:tcPr>
            <w:tcW w:w="7087" w:type="dxa"/>
          </w:tcPr>
          <w:p w14:paraId="3CB084E5" w14:textId="77777777" w:rsidR="00A052DC" w:rsidRDefault="009F0A60">
            <w:pPr>
              <w:rPr>
                <w:rFonts w:ascii="黑体" w:eastAsia="黑体" w:hAnsi="黑体"/>
                <w:sz w:val="20"/>
                <w:szCs w:val="20"/>
              </w:rPr>
            </w:pPr>
            <w:r>
              <w:rPr>
                <w:rFonts w:ascii="黑体" w:eastAsia="黑体" w:hAnsi="黑体" w:hint="eastAsia"/>
                <w:sz w:val="20"/>
                <w:szCs w:val="20"/>
              </w:rPr>
              <w:t>指付款人所在国家（地区）对应的代码。</w:t>
            </w:r>
          </w:p>
        </w:tc>
      </w:tr>
      <w:tr w:rsidR="00A052DC" w14:paraId="29005EE3" w14:textId="77777777">
        <w:trPr>
          <w:cantSplit/>
        </w:trPr>
        <w:tc>
          <w:tcPr>
            <w:tcW w:w="1526" w:type="dxa"/>
          </w:tcPr>
          <w:p w14:paraId="70F45830" w14:textId="77777777" w:rsidR="00A052DC" w:rsidRDefault="009F0A60">
            <w:pPr>
              <w:rPr>
                <w:rFonts w:ascii="黑体" w:eastAsia="黑体" w:hAnsi="黑体"/>
                <w:sz w:val="20"/>
                <w:szCs w:val="20"/>
              </w:rPr>
            </w:pPr>
            <w:r>
              <w:rPr>
                <w:rFonts w:ascii="黑体" w:eastAsia="黑体" w:hAnsi="黑体" w:hint="eastAsia"/>
                <w:sz w:val="20"/>
                <w:szCs w:val="20"/>
              </w:rPr>
              <w:t>申报日期</w:t>
            </w:r>
          </w:p>
        </w:tc>
        <w:tc>
          <w:tcPr>
            <w:tcW w:w="7087" w:type="dxa"/>
          </w:tcPr>
          <w:p w14:paraId="68E80B24" w14:textId="77777777" w:rsidR="00A052DC" w:rsidRDefault="009F0A60">
            <w:pPr>
              <w:rPr>
                <w:rFonts w:ascii="黑体" w:eastAsia="黑体" w:hAnsi="黑体"/>
                <w:sz w:val="20"/>
                <w:szCs w:val="20"/>
              </w:rPr>
            </w:pPr>
            <w:r>
              <w:rPr>
                <w:rFonts w:ascii="黑体" w:eastAsia="黑体" w:hAnsi="黑体" w:hint="eastAsia"/>
                <w:sz w:val="20"/>
                <w:szCs w:val="20"/>
              </w:rPr>
              <w:t>申报主体将完整的《涉外收入申报单》送达银行的日期。</w:t>
            </w:r>
          </w:p>
        </w:tc>
      </w:tr>
      <w:tr w:rsidR="00A052DC" w14:paraId="0B68E269" w14:textId="77777777">
        <w:trPr>
          <w:cantSplit/>
          <w:trHeight w:val="20"/>
        </w:trPr>
        <w:tc>
          <w:tcPr>
            <w:tcW w:w="1526" w:type="dxa"/>
          </w:tcPr>
          <w:p w14:paraId="0E44F925" w14:textId="77777777" w:rsidR="00A052DC" w:rsidRDefault="009F0A60">
            <w:pPr>
              <w:rPr>
                <w:rFonts w:ascii="黑体" w:eastAsia="黑体" w:hAnsi="黑体"/>
                <w:sz w:val="20"/>
                <w:szCs w:val="20"/>
              </w:rPr>
            </w:pPr>
            <w:r>
              <w:rPr>
                <w:rFonts w:ascii="黑体" w:eastAsia="黑体" w:hAnsi="黑体" w:hint="eastAsia"/>
                <w:sz w:val="20"/>
                <w:szCs w:val="20"/>
              </w:rPr>
              <w:t>收款性质</w:t>
            </w:r>
          </w:p>
        </w:tc>
        <w:tc>
          <w:tcPr>
            <w:tcW w:w="7087" w:type="dxa"/>
          </w:tcPr>
          <w:p w14:paraId="0716A948" w14:textId="77777777" w:rsidR="00A052DC" w:rsidRDefault="009F0A60">
            <w:pPr>
              <w:rPr>
                <w:rFonts w:ascii="黑体" w:eastAsia="黑体" w:hAnsi="黑体"/>
                <w:sz w:val="20"/>
                <w:szCs w:val="20"/>
              </w:rPr>
            </w:pPr>
            <w:r>
              <w:rPr>
                <w:rFonts w:ascii="黑体" w:eastAsia="黑体" w:hAnsi="黑体" w:hint="eastAsia"/>
                <w:sz w:val="20"/>
                <w:szCs w:val="20"/>
              </w:rPr>
              <w:t>如为预收款或退款，须进行选择。</w:t>
            </w:r>
          </w:p>
        </w:tc>
      </w:tr>
      <w:tr w:rsidR="00A052DC" w14:paraId="59E94828" w14:textId="77777777">
        <w:trPr>
          <w:cantSplit/>
        </w:trPr>
        <w:tc>
          <w:tcPr>
            <w:tcW w:w="1526" w:type="dxa"/>
          </w:tcPr>
          <w:p w14:paraId="51C292E9" w14:textId="77777777" w:rsidR="00A052DC" w:rsidRDefault="009F0A60">
            <w:pPr>
              <w:rPr>
                <w:rFonts w:ascii="黑体" w:eastAsia="黑体" w:hAnsi="黑体"/>
                <w:sz w:val="20"/>
                <w:szCs w:val="20"/>
              </w:rPr>
            </w:pPr>
            <w:r>
              <w:rPr>
                <w:rFonts w:ascii="黑体" w:eastAsia="黑体" w:hAnsi="黑体" w:hint="eastAsia"/>
                <w:sz w:val="20"/>
                <w:szCs w:val="20"/>
              </w:rPr>
              <w:t>是否为保税货物项下收入</w:t>
            </w:r>
          </w:p>
        </w:tc>
        <w:tc>
          <w:tcPr>
            <w:tcW w:w="7087" w:type="dxa"/>
          </w:tcPr>
          <w:p w14:paraId="308ADA66" w14:textId="77777777" w:rsidR="00A052DC" w:rsidRDefault="00A052DC">
            <w:pPr>
              <w:rPr>
                <w:rFonts w:ascii="黑体" w:eastAsia="黑体" w:hAnsi="黑体"/>
                <w:sz w:val="20"/>
                <w:szCs w:val="20"/>
              </w:rPr>
            </w:pPr>
          </w:p>
        </w:tc>
      </w:tr>
      <w:tr w:rsidR="00A052DC" w14:paraId="6620899A" w14:textId="77777777">
        <w:trPr>
          <w:cantSplit/>
        </w:trPr>
        <w:tc>
          <w:tcPr>
            <w:tcW w:w="1526" w:type="dxa"/>
          </w:tcPr>
          <w:p w14:paraId="6581FCD9" w14:textId="77777777" w:rsidR="00A052DC" w:rsidRDefault="009F0A60">
            <w:pPr>
              <w:rPr>
                <w:rFonts w:ascii="黑体" w:eastAsia="黑体" w:hAnsi="黑体"/>
                <w:sz w:val="20"/>
                <w:szCs w:val="20"/>
              </w:rPr>
            </w:pPr>
            <w:r>
              <w:rPr>
                <w:rFonts w:ascii="黑体" w:eastAsia="黑体" w:hAnsi="黑体" w:hint="eastAsia"/>
                <w:sz w:val="20"/>
                <w:szCs w:val="20"/>
              </w:rPr>
              <w:t>外汇局批件号/备案表号/业务编号</w:t>
            </w:r>
          </w:p>
        </w:tc>
        <w:tc>
          <w:tcPr>
            <w:tcW w:w="7087" w:type="dxa"/>
          </w:tcPr>
          <w:p w14:paraId="46CDF443" w14:textId="77777777" w:rsidR="00A052DC" w:rsidRDefault="009F0A60">
            <w:pPr>
              <w:rPr>
                <w:rFonts w:ascii="黑体" w:eastAsia="黑体" w:hAnsi="黑体"/>
                <w:sz w:val="20"/>
                <w:szCs w:val="20"/>
              </w:rPr>
            </w:pPr>
            <w:r>
              <w:rPr>
                <w:rFonts w:ascii="黑体" w:eastAsia="黑体" w:hAnsi="黑体" w:hint="eastAsia"/>
                <w:sz w:val="20"/>
                <w:szCs w:val="20"/>
              </w:rPr>
              <w:t>根据本笔收入所涉及的外汇局批件号、备案表号、业务编号进行填写。如果本笔涉外收入涉及外汇局核准件，则优先填写该核准件编号。若本笔收入涉及货物贸易登记表，则填写相应的业务登记表编号。交易编码以“3”、“5”、“6”、“7”、“8”和部分“2”、“9”开头或涉及账户性质为资本项目性质账户的，“外汇局批件号/备案表号/业务编号”为必填项，填写规则参见《银行资本项目下数据报送参考规则》；对于《银行资本项目下数据报送参考规则》中未提到的情况，且不需要外汇局核准的（即确实没有对应的“外汇局批件号/备案表号/业务编号”），则应填写“N/A”（大写英文字母）。</w:t>
            </w:r>
          </w:p>
        </w:tc>
      </w:tr>
      <w:tr w:rsidR="00A052DC" w14:paraId="63C7C859" w14:textId="77777777">
        <w:trPr>
          <w:cantSplit/>
          <w:trHeight w:val="1524"/>
        </w:trPr>
        <w:tc>
          <w:tcPr>
            <w:tcW w:w="1526" w:type="dxa"/>
          </w:tcPr>
          <w:p w14:paraId="094BBBEE" w14:textId="77777777" w:rsidR="00A052DC" w:rsidRDefault="009F0A60">
            <w:pPr>
              <w:rPr>
                <w:rFonts w:ascii="黑体" w:eastAsia="黑体" w:hAnsi="黑体"/>
                <w:sz w:val="20"/>
                <w:szCs w:val="20"/>
              </w:rPr>
            </w:pPr>
            <w:r>
              <w:rPr>
                <w:rFonts w:ascii="黑体" w:eastAsia="黑体" w:hAnsi="黑体" w:hint="eastAsia"/>
                <w:sz w:val="20"/>
                <w:szCs w:val="20"/>
              </w:rPr>
              <w:t>交易编码1</w:t>
            </w:r>
          </w:p>
        </w:tc>
        <w:tc>
          <w:tcPr>
            <w:tcW w:w="7087" w:type="dxa"/>
          </w:tcPr>
          <w:p w14:paraId="39754AEA" w14:textId="77777777" w:rsidR="00A052DC" w:rsidRDefault="009F0A60">
            <w:pPr>
              <w:rPr>
                <w:rFonts w:ascii="黑体" w:eastAsia="黑体" w:hAnsi="黑体"/>
                <w:sz w:val="20"/>
                <w:szCs w:val="20"/>
              </w:rPr>
            </w:pPr>
            <w:r>
              <w:rPr>
                <w:rFonts w:ascii="黑体" w:eastAsia="黑体" w:hAnsi="黑体" w:hint="eastAsia"/>
                <w:sz w:val="20"/>
                <w:szCs w:val="20"/>
              </w:rPr>
              <w:t>指本笔涉外收入涉及的国际收支交易对应的代码。如果本笔涉外收入为多种交易性质，则在本交易编码代表最大金额交易对应的国际收支交易性质；如果本笔汇款涉及出口收汇核查项下交易，则核查项下交易视同最大金额交易处理；如果本笔涉外收入为退款，则应填写本笔涉外收入对应原对外付款的国际收支交易编码。</w:t>
            </w:r>
          </w:p>
        </w:tc>
      </w:tr>
      <w:tr w:rsidR="00A052DC" w14:paraId="1E15F7AD" w14:textId="77777777">
        <w:trPr>
          <w:cantSplit/>
          <w:trHeight w:val="668"/>
        </w:trPr>
        <w:tc>
          <w:tcPr>
            <w:tcW w:w="1526" w:type="dxa"/>
          </w:tcPr>
          <w:p w14:paraId="025DFA44" w14:textId="77777777" w:rsidR="00A052DC" w:rsidRDefault="009F0A60">
            <w:pPr>
              <w:rPr>
                <w:rFonts w:ascii="黑体" w:eastAsia="黑体" w:hAnsi="黑体"/>
                <w:sz w:val="20"/>
                <w:szCs w:val="20"/>
              </w:rPr>
            </w:pPr>
            <w:r>
              <w:rPr>
                <w:rFonts w:ascii="黑体" w:eastAsia="黑体" w:hAnsi="黑体" w:hint="eastAsia"/>
                <w:sz w:val="20"/>
                <w:szCs w:val="20"/>
              </w:rPr>
              <w:t>交易编码2</w:t>
            </w:r>
          </w:p>
        </w:tc>
        <w:tc>
          <w:tcPr>
            <w:tcW w:w="7087" w:type="dxa"/>
          </w:tcPr>
          <w:p w14:paraId="6A56C6D0" w14:textId="77777777" w:rsidR="00A052DC" w:rsidRDefault="009F0A60">
            <w:pPr>
              <w:rPr>
                <w:rFonts w:ascii="黑体" w:eastAsia="黑体" w:hAnsi="黑体"/>
                <w:sz w:val="20"/>
                <w:szCs w:val="20"/>
              </w:rPr>
            </w:pPr>
            <w:r>
              <w:rPr>
                <w:rFonts w:ascii="黑体" w:eastAsia="黑体" w:hAnsi="黑体" w:hint="eastAsia"/>
                <w:sz w:val="20"/>
                <w:szCs w:val="20"/>
              </w:rPr>
              <w:t>指本笔涉外收入涉及的国际收支交易对应的代码。如果本笔涉外收入为多种交易性质，则本交易编码代表次大金额交易对应的国际收支交易性质。</w:t>
            </w:r>
          </w:p>
        </w:tc>
      </w:tr>
      <w:tr w:rsidR="00A052DC" w14:paraId="7F174C99" w14:textId="77777777">
        <w:trPr>
          <w:cantSplit/>
          <w:trHeight w:val="252"/>
        </w:trPr>
        <w:tc>
          <w:tcPr>
            <w:tcW w:w="1526" w:type="dxa"/>
          </w:tcPr>
          <w:p w14:paraId="4BCB77B9" w14:textId="77777777" w:rsidR="00A052DC" w:rsidRDefault="009F0A60">
            <w:pPr>
              <w:rPr>
                <w:rFonts w:ascii="黑体" w:eastAsia="黑体" w:hAnsi="黑体"/>
                <w:sz w:val="20"/>
                <w:szCs w:val="20"/>
              </w:rPr>
            </w:pPr>
            <w:r>
              <w:rPr>
                <w:rFonts w:ascii="黑体" w:eastAsia="黑体" w:hAnsi="黑体" w:hint="eastAsia"/>
                <w:sz w:val="20"/>
                <w:szCs w:val="20"/>
              </w:rPr>
              <w:t>相应币种1</w:t>
            </w:r>
          </w:p>
        </w:tc>
        <w:tc>
          <w:tcPr>
            <w:tcW w:w="7087" w:type="dxa"/>
          </w:tcPr>
          <w:p w14:paraId="57BCBFCF" w14:textId="77777777" w:rsidR="00A052DC" w:rsidRDefault="009F0A60">
            <w:pPr>
              <w:rPr>
                <w:rFonts w:ascii="黑体" w:eastAsia="黑体" w:hAnsi="黑体"/>
                <w:sz w:val="20"/>
                <w:szCs w:val="20"/>
              </w:rPr>
            </w:pPr>
            <w:r>
              <w:rPr>
                <w:rFonts w:ascii="黑体" w:eastAsia="黑体" w:hAnsi="黑体" w:hint="eastAsia"/>
                <w:sz w:val="20"/>
                <w:szCs w:val="20"/>
              </w:rPr>
              <w:t>同收入款币种。</w:t>
            </w:r>
          </w:p>
        </w:tc>
      </w:tr>
      <w:tr w:rsidR="00A052DC" w14:paraId="34826242" w14:textId="77777777">
        <w:trPr>
          <w:cantSplit/>
          <w:trHeight w:val="271"/>
        </w:trPr>
        <w:tc>
          <w:tcPr>
            <w:tcW w:w="1526" w:type="dxa"/>
          </w:tcPr>
          <w:p w14:paraId="3BE29912" w14:textId="77777777" w:rsidR="00A052DC" w:rsidRDefault="009F0A60">
            <w:pPr>
              <w:rPr>
                <w:rFonts w:ascii="黑体" w:eastAsia="黑体" w:hAnsi="黑体"/>
                <w:sz w:val="20"/>
                <w:szCs w:val="20"/>
              </w:rPr>
            </w:pPr>
            <w:r>
              <w:rPr>
                <w:rFonts w:ascii="黑体" w:eastAsia="黑体" w:hAnsi="黑体" w:hint="eastAsia"/>
                <w:sz w:val="20"/>
                <w:szCs w:val="20"/>
              </w:rPr>
              <w:t>相应币种2</w:t>
            </w:r>
          </w:p>
        </w:tc>
        <w:tc>
          <w:tcPr>
            <w:tcW w:w="7087" w:type="dxa"/>
          </w:tcPr>
          <w:p w14:paraId="7F171B61" w14:textId="77777777" w:rsidR="00A052DC" w:rsidRDefault="009F0A60">
            <w:pPr>
              <w:rPr>
                <w:rFonts w:ascii="黑体" w:eastAsia="黑体" w:hAnsi="黑体"/>
                <w:sz w:val="20"/>
                <w:szCs w:val="20"/>
              </w:rPr>
            </w:pPr>
            <w:r>
              <w:rPr>
                <w:rFonts w:ascii="黑体" w:eastAsia="黑体" w:hAnsi="黑体" w:hint="eastAsia"/>
                <w:sz w:val="20"/>
                <w:szCs w:val="20"/>
              </w:rPr>
              <w:t>同收入款币种。</w:t>
            </w:r>
          </w:p>
        </w:tc>
      </w:tr>
      <w:tr w:rsidR="00A052DC" w14:paraId="6F8E1C26" w14:textId="77777777">
        <w:trPr>
          <w:cantSplit/>
        </w:trPr>
        <w:tc>
          <w:tcPr>
            <w:tcW w:w="1526" w:type="dxa"/>
          </w:tcPr>
          <w:p w14:paraId="090047EF" w14:textId="77777777" w:rsidR="00A052DC" w:rsidRDefault="009F0A60">
            <w:pPr>
              <w:rPr>
                <w:rFonts w:ascii="黑体" w:eastAsia="黑体" w:hAnsi="黑体"/>
                <w:sz w:val="20"/>
                <w:szCs w:val="20"/>
              </w:rPr>
            </w:pPr>
            <w:r>
              <w:rPr>
                <w:rFonts w:ascii="黑体" w:eastAsia="黑体" w:hAnsi="黑体" w:hint="eastAsia"/>
                <w:sz w:val="20"/>
                <w:szCs w:val="20"/>
              </w:rPr>
              <w:t>相应金额1</w:t>
            </w:r>
          </w:p>
        </w:tc>
        <w:tc>
          <w:tcPr>
            <w:tcW w:w="7087" w:type="dxa"/>
          </w:tcPr>
          <w:p w14:paraId="6AD45A03" w14:textId="77777777" w:rsidR="00A052DC" w:rsidRDefault="009F0A60">
            <w:pPr>
              <w:rPr>
                <w:rFonts w:ascii="黑体" w:eastAsia="黑体" w:hAnsi="黑体"/>
                <w:sz w:val="20"/>
                <w:szCs w:val="20"/>
              </w:rPr>
            </w:pPr>
            <w:r>
              <w:rPr>
                <w:rFonts w:ascii="黑体" w:eastAsia="黑体" w:hAnsi="黑体" w:hint="eastAsia"/>
                <w:sz w:val="20"/>
                <w:szCs w:val="20"/>
              </w:rPr>
              <w:t>与申报主体填报的交易编码1相对应。如果本笔涉外收入为多种交易性质，则本金额为最大金额交易相应金额。如果涉外收入涉及出口收汇核查项下交易，则核查项下交易视同最大金额交易处理。</w:t>
            </w:r>
          </w:p>
        </w:tc>
      </w:tr>
      <w:tr w:rsidR="00A052DC" w14:paraId="2DD29F17" w14:textId="77777777">
        <w:trPr>
          <w:cantSplit/>
        </w:trPr>
        <w:tc>
          <w:tcPr>
            <w:tcW w:w="1526" w:type="dxa"/>
          </w:tcPr>
          <w:p w14:paraId="39DACFC5" w14:textId="77777777" w:rsidR="00A052DC" w:rsidRDefault="009F0A60">
            <w:pPr>
              <w:rPr>
                <w:rFonts w:ascii="黑体" w:eastAsia="黑体" w:hAnsi="黑体"/>
                <w:sz w:val="20"/>
                <w:szCs w:val="20"/>
              </w:rPr>
            </w:pPr>
            <w:r>
              <w:rPr>
                <w:rFonts w:ascii="黑体" w:eastAsia="黑体" w:hAnsi="黑体" w:hint="eastAsia"/>
                <w:sz w:val="20"/>
                <w:szCs w:val="20"/>
              </w:rPr>
              <w:t>相应金额2</w:t>
            </w:r>
          </w:p>
        </w:tc>
        <w:tc>
          <w:tcPr>
            <w:tcW w:w="7087" w:type="dxa"/>
          </w:tcPr>
          <w:p w14:paraId="1A619D0C" w14:textId="77777777" w:rsidR="00A052DC" w:rsidRDefault="009F0A60">
            <w:pPr>
              <w:rPr>
                <w:rFonts w:ascii="黑体" w:eastAsia="黑体" w:hAnsi="黑体"/>
                <w:sz w:val="20"/>
                <w:szCs w:val="20"/>
              </w:rPr>
            </w:pPr>
            <w:r>
              <w:rPr>
                <w:rFonts w:ascii="黑体" w:eastAsia="黑体" w:hAnsi="黑体" w:hint="eastAsia"/>
                <w:sz w:val="20"/>
                <w:szCs w:val="20"/>
              </w:rPr>
              <w:t>与申报主体填报的交易编码2相对应。如果涉外收入为多种交易性质，则本金额为除最大金额交易外，涉外收入的其余金额。</w:t>
            </w:r>
          </w:p>
        </w:tc>
      </w:tr>
      <w:tr w:rsidR="00A052DC" w14:paraId="5A1C2400" w14:textId="77777777">
        <w:trPr>
          <w:cantSplit/>
        </w:trPr>
        <w:tc>
          <w:tcPr>
            <w:tcW w:w="1526" w:type="dxa"/>
          </w:tcPr>
          <w:p w14:paraId="042E0502" w14:textId="77777777" w:rsidR="00A052DC" w:rsidRDefault="009F0A60">
            <w:pPr>
              <w:rPr>
                <w:rFonts w:ascii="黑体" w:eastAsia="黑体" w:hAnsi="黑体"/>
                <w:sz w:val="20"/>
                <w:szCs w:val="20"/>
              </w:rPr>
            </w:pPr>
            <w:r>
              <w:rPr>
                <w:rFonts w:ascii="黑体" w:eastAsia="黑体" w:hAnsi="黑体" w:hint="eastAsia"/>
                <w:sz w:val="20"/>
                <w:szCs w:val="20"/>
              </w:rPr>
              <w:t>交易附言1</w:t>
            </w:r>
          </w:p>
        </w:tc>
        <w:tc>
          <w:tcPr>
            <w:tcW w:w="7087" w:type="dxa"/>
          </w:tcPr>
          <w:p w14:paraId="7482D46C" w14:textId="77777777" w:rsidR="00A052DC" w:rsidRDefault="009F0A60">
            <w:pPr>
              <w:rPr>
                <w:rFonts w:ascii="黑体" w:eastAsia="黑体" w:hAnsi="黑体"/>
                <w:sz w:val="20"/>
                <w:szCs w:val="20"/>
              </w:rPr>
            </w:pPr>
            <w:r>
              <w:rPr>
                <w:rFonts w:ascii="黑体" w:eastAsia="黑体" w:hAnsi="黑体" w:hint="eastAsia"/>
                <w:sz w:val="20"/>
                <w:szCs w:val="20"/>
              </w:rPr>
              <w:t>申报主体对交易编码1所对应的交易性质进行的详细描述。</w:t>
            </w:r>
          </w:p>
        </w:tc>
      </w:tr>
      <w:tr w:rsidR="00A052DC" w14:paraId="0D179CE9" w14:textId="77777777">
        <w:trPr>
          <w:cantSplit/>
          <w:trHeight w:val="246"/>
        </w:trPr>
        <w:tc>
          <w:tcPr>
            <w:tcW w:w="1526" w:type="dxa"/>
          </w:tcPr>
          <w:p w14:paraId="049DFC14" w14:textId="77777777" w:rsidR="00A052DC" w:rsidRDefault="009F0A60">
            <w:pPr>
              <w:rPr>
                <w:rFonts w:ascii="黑体" w:eastAsia="黑体" w:hAnsi="黑体"/>
                <w:sz w:val="20"/>
                <w:szCs w:val="20"/>
              </w:rPr>
            </w:pPr>
            <w:r>
              <w:rPr>
                <w:rFonts w:ascii="黑体" w:eastAsia="黑体" w:hAnsi="黑体" w:hint="eastAsia"/>
                <w:sz w:val="20"/>
                <w:szCs w:val="20"/>
              </w:rPr>
              <w:t>交易附言2</w:t>
            </w:r>
          </w:p>
        </w:tc>
        <w:tc>
          <w:tcPr>
            <w:tcW w:w="7087" w:type="dxa"/>
          </w:tcPr>
          <w:p w14:paraId="3BDC4A35" w14:textId="77777777" w:rsidR="00A052DC" w:rsidRDefault="009F0A60">
            <w:pPr>
              <w:rPr>
                <w:rFonts w:ascii="黑体" w:eastAsia="黑体" w:hAnsi="黑体"/>
                <w:sz w:val="20"/>
                <w:szCs w:val="20"/>
              </w:rPr>
            </w:pPr>
            <w:r>
              <w:rPr>
                <w:rFonts w:ascii="黑体" w:eastAsia="黑体" w:hAnsi="黑体" w:hint="eastAsia"/>
                <w:sz w:val="20"/>
                <w:szCs w:val="20"/>
              </w:rPr>
              <w:t>申报主体对交易编码2所对应的交易性质进行的详细描述。</w:t>
            </w:r>
          </w:p>
        </w:tc>
      </w:tr>
      <w:tr w:rsidR="00A052DC" w14:paraId="1942B146" w14:textId="77777777">
        <w:trPr>
          <w:cantSplit/>
          <w:trHeight w:val="336"/>
        </w:trPr>
        <w:tc>
          <w:tcPr>
            <w:tcW w:w="1526" w:type="dxa"/>
          </w:tcPr>
          <w:p w14:paraId="5DEB5F53" w14:textId="77777777" w:rsidR="00A052DC" w:rsidRDefault="009F0A60">
            <w:pPr>
              <w:rPr>
                <w:rFonts w:ascii="黑体" w:eastAsia="黑体" w:hAnsi="黑体"/>
                <w:sz w:val="20"/>
                <w:szCs w:val="20"/>
              </w:rPr>
            </w:pPr>
            <w:r>
              <w:rPr>
                <w:rFonts w:ascii="黑体" w:eastAsia="黑体" w:hAnsi="黑体" w:hint="eastAsia"/>
                <w:sz w:val="20"/>
                <w:szCs w:val="20"/>
              </w:rPr>
              <w:t>填报人</w:t>
            </w:r>
          </w:p>
        </w:tc>
        <w:tc>
          <w:tcPr>
            <w:tcW w:w="7087" w:type="dxa"/>
          </w:tcPr>
          <w:p w14:paraId="29B4D456" w14:textId="77777777" w:rsidR="00A052DC" w:rsidRDefault="00A052DC">
            <w:pPr>
              <w:rPr>
                <w:rFonts w:ascii="黑体" w:eastAsia="黑体" w:hAnsi="黑体"/>
                <w:sz w:val="20"/>
                <w:szCs w:val="20"/>
              </w:rPr>
            </w:pPr>
          </w:p>
        </w:tc>
      </w:tr>
      <w:tr w:rsidR="00A052DC" w14:paraId="63BC4E3A" w14:textId="77777777">
        <w:trPr>
          <w:cantSplit/>
        </w:trPr>
        <w:tc>
          <w:tcPr>
            <w:tcW w:w="1526" w:type="dxa"/>
          </w:tcPr>
          <w:p w14:paraId="2E978F97" w14:textId="77777777" w:rsidR="00A052DC" w:rsidRDefault="009F0A60">
            <w:pPr>
              <w:rPr>
                <w:rFonts w:ascii="黑体" w:eastAsia="黑体" w:hAnsi="黑体"/>
                <w:sz w:val="20"/>
                <w:szCs w:val="20"/>
              </w:rPr>
            </w:pPr>
            <w:r>
              <w:rPr>
                <w:rFonts w:ascii="黑体" w:eastAsia="黑体" w:hAnsi="黑体" w:hint="eastAsia"/>
                <w:sz w:val="20"/>
                <w:szCs w:val="20"/>
              </w:rPr>
              <w:t>填报人电话</w:t>
            </w:r>
          </w:p>
        </w:tc>
        <w:tc>
          <w:tcPr>
            <w:tcW w:w="7087" w:type="dxa"/>
          </w:tcPr>
          <w:p w14:paraId="076C6070" w14:textId="77777777" w:rsidR="00A052DC" w:rsidRDefault="00A052DC">
            <w:pPr>
              <w:rPr>
                <w:rFonts w:ascii="黑体" w:eastAsia="黑体" w:hAnsi="黑体"/>
                <w:sz w:val="20"/>
                <w:szCs w:val="20"/>
              </w:rPr>
            </w:pPr>
          </w:p>
        </w:tc>
      </w:tr>
      <w:tr w:rsidR="00A052DC" w14:paraId="7A0792B4" w14:textId="77777777">
        <w:trPr>
          <w:cantSplit/>
        </w:trPr>
        <w:tc>
          <w:tcPr>
            <w:tcW w:w="1526" w:type="dxa"/>
          </w:tcPr>
          <w:p w14:paraId="4A11E0FC" w14:textId="77777777" w:rsidR="00A052DC" w:rsidRDefault="009F0A60">
            <w:pPr>
              <w:rPr>
                <w:rFonts w:ascii="黑体" w:eastAsia="黑体" w:hAnsi="黑体"/>
                <w:sz w:val="20"/>
                <w:szCs w:val="20"/>
              </w:rPr>
            </w:pPr>
            <w:r>
              <w:rPr>
                <w:rFonts w:ascii="黑体" w:eastAsia="黑体" w:hAnsi="黑体" w:hint="eastAsia"/>
                <w:sz w:val="20"/>
                <w:szCs w:val="20"/>
              </w:rPr>
              <w:t>收入类型</w:t>
            </w:r>
          </w:p>
        </w:tc>
        <w:tc>
          <w:tcPr>
            <w:tcW w:w="7087" w:type="dxa"/>
          </w:tcPr>
          <w:p w14:paraId="2AF0FC30" w14:textId="77777777" w:rsidR="00A052DC" w:rsidRDefault="009F0A60">
            <w:pPr>
              <w:rPr>
                <w:rFonts w:ascii="黑体" w:eastAsia="黑体" w:hAnsi="黑体"/>
                <w:sz w:val="20"/>
                <w:szCs w:val="20"/>
              </w:rPr>
            </w:pPr>
            <w:r>
              <w:rPr>
                <w:rFonts w:ascii="黑体" w:eastAsia="黑体" w:hAnsi="黑体" w:hint="eastAsia"/>
                <w:sz w:val="20"/>
                <w:szCs w:val="20"/>
              </w:rPr>
              <w:t>应根据本笔涉外收入款项涉及的银行贸易融资方式进行填写，其中，“其他”项的含义为除福费廷、出口保理、出口押汇和出口贴现以外的贸易融资方式。</w:t>
            </w:r>
          </w:p>
        </w:tc>
      </w:tr>
    </w:tbl>
    <w:p w14:paraId="0F93F85B" w14:textId="77777777" w:rsidR="00A052DC" w:rsidRDefault="009F0A60">
      <w:pPr>
        <w:pStyle w:val="4"/>
        <w:numPr>
          <w:ilvl w:val="3"/>
          <w:numId w:val="1"/>
        </w:numPr>
        <w:jc w:val="left"/>
      </w:pPr>
      <w:bookmarkStart w:id="951" w:name="_Toc454386757"/>
      <w:r>
        <w:rPr>
          <w:rFonts w:hint="eastAsia"/>
        </w:rPr>
        <w:t>数据格式</w:t>
      </w:r>
      <w:bookmarkEnd w:id="951"/>
    </w:p>
    <w:p w14:paraId="3AAB835D" w14:textId="77777777" w:rsidR="00A052DC" w:rsidRDefault="009F0A60">
      <w:r>
        <w:t>&lt;REC&gt;</w:t>
      </w:r>
    </w:p>
    <w:p w14:paraId="60DB6B7D" w14:textId="77777777" w:rsidR="00A052DC" w:rsidRDefault="009F0A60">
      <w:r>
        <w:t>&lt;ACTIONTYPE&gt;</w:t>
      </w:r>
      <w:r>
        <w:rPr>
          <w:rFonts w:hint="eastAsia"/>
        </w:rPr>
        <w:t>操作类型</w:t>
      </w:r>
      <w:r>
        <w:t>&lt;/ACTIONTYPE&gt;</w:t>
      </w:r>
    </w:p>
    <w:p w14:paraId="5CB7790B" w14:textId="77777777" w:rsidR="00A052DC" w:rsidRDefault="009F0A60">
      <w:r>
        <w:t>&lt;ACTIONDESC&gt;</w:t>
      </w:r>
      <w:r>
        <w:rPr>
          <w:rFonts w:hint="eastAsia"/>
        </w:rPr>
        <w:t>修改</w:t>
      </w:r>
      <w:r>
        <w:t>/</w:t>
      </w:r>
      <w:r>
        <w:rPr>
          <w:rFonts w:hint="eastAsia"/>
        </w:rPr>
        <w:t>删除原因</w:t>
      </w:r>
      <w:r>
        <w:t>&lt;/ACTIONDESC&gt;</w:t>
      </w:r>
    </w:p>
    <w:p w14:paraId="05AB84A6" w14:textId="77777777" w:rsidR="00A052DC" w:rsidRDefault="009F0A60">
      <w:r>
        <w:t>&lt;RPTNO&gt;</w:t>
      </w:r>
      <w:r>
        <w:rPr>
          <w:rFonts w:hint="eastAsia"/>
        </w:rPr>
        <w:t>申报号码</w:t>
      </w:r>
      <w:r>
        <w:t>&lt;/RPTNO&gt;</w:t>
      </w:r>
    </w:p>
    <w:p w14:paraId="200C8C21" w14:textId="77777777" w:rsidR="00A052DC" w:rsidRDefault="009F0A60">
      <w:r>
        <w:t>&lt;COUNTRY&gt;</w:t>
      </w:r>
      <w:r>
        <w:rPr>
          <w:rFonts w:hint="eastAsia"/>
        </w:rPr>
        <w:t>付款人常驻国家</w:t>
      </w:r>
      <w:r>
        <w:t>/</w:t>
      </w:r>
      <w:r>
        <w:rPr>
          <w:rFonts w:hint="eastAsia"/>
        </w:rPr>
        <w:t>地区代码</w:t>
      </w:r>
      <w:r>
        <w:t>&lt;/COUNTRY&gt;</w:t>
      </w:r>
    </w:p>
    <w:p w14:paraId="1C688DD4" w14:textId="77777777" w:rsidR="00A052DC" w:rsidRDefault="009F0A60">
      <w:r>
        <w:t>&lt;PAYTYPE&gt;</w:t>
      </w:r>
      <w:r>
        <w:rPr>
          <w:rFonts w:hint="eastAsia"/>
        </w:rPr>
        <w:t>收款性质</w:t>
      </w:r>
      <w:r>
        <w:t>&lt;/PAYTYPE&gt;</w:t>
      </w:r>
    </w:p>
    <w:p w14:paraId="7215CE90" w14:textId="77777777" w:rsidR="00A052DC" w:rsidRDefault="009F0A60">
      <w:r>
        <w:t>&lt;TXCODE&gt;</w:t>
      </w:r>
      <w:r>
        <w:rPr>
          <w:rFonts w:hint="eastAsia"/>
        </w:rPr>
        <w:t>交易编码</w:t>
      </w:r>
      <w:r>
        <w:t>1&lt;/TXCODE&gt;</w:t>
      </w:r>
    </w:p>
    <w:p w14:paraId="49A24E44" w14:textId="77777777" w:rsidR="00A052DC" w:rsidRDefault="009F0A60">
      <w:r>
        <w:t>&lt;TC1AMT&gt;</w:t>
      </w:r>
      <w:r>
        <w:rPr>
          <w:rFonts w:hint="eastAsia"/>
        </w:rPr>
        <w:t>相应金额</w:t>
      </w:r>
      <w:r>
        <w:t>1&lt;/TC1AMT&gt;</w:t>
      </w:r>
    </w:p>
    <w:p w14:paraId="72A16C87" w14:textId="77777777" w:rsidR="00A052DC" w:rsidRDefault="009F0A60">
      <w:r>
        <w:t>&lt;TXREM&gt;</w:t>
      </w:r>
      <w:r>
        <w:rPr>
          <w:rFonts w:hint="eastAsia"/>
        </w:rPr>
        <w:t>交易附言</w:t>
      </w:r>
      <w:r>
        <w:t>1&lt;/TXREM&gt;</w:t>
      </w:r>
    </w:p>
    <w:p w14:paraId="35CD717A" w14:textId="77777777" w:rsidR="00A052DC" w:rsidRDefault="009F0A60">
      <w:r>
        <w:t>&lt;TXCODE2&gt;</w:t>
      </w:r>
      <w:r>
        <w:rPr>
          <w:rFonts w:hint="eastAsia"/>
        </w:rPr>
        <w:t>交易编码</w:t>
      </w:r>
      <w:r>
        <w:t>2&lt;/TXCODE2&gt;</w:t>
      </w:r>
    </w:p>
    <w:p w14:paraId="258727AB" w14:textId="77777777" w:rsidR="00A052DC" w:rsidRDefault="009F0A60">
      <w:r>
        <w:t>&lt;TC2AMT&gt;</w:t>
      </w:r>
      <w:r>
        <w:rPr>
          <w:rFonts w:hint="eastAsia"/>
        </w:rPr>
        <w:t>相应金额</w:t>
      </w:r>
      <w:r>
        <w:t>2&lt;/TC2AMT&gt;</w:t>
      </w:r>
    </w:p>
    <w:p w14:paraId="4D099680" w14:textId="77777777" w:rsidR="00A052DC" w:rsidRDefault="009F0A60">
      <w:r>
        <w:t>&lt;TX2REM&gt;</w:t>
      </w:r>
      <w:r>
        <w:rPr>
          <w:rFonts w:hint="eastAsia"/>
        </w:rPr>
        <w:t>交易附言</w:t>
      </w:r>
      <w:r>
        <w:t>2&lt;/TX2REM&gt;</w:t>
      </w:r>
    </w:p>
    <w:p w14:paraId="03DF7C01" w14:textId="77777777" w:rsidR="00A052DC" w:rsidRDefault="009F0A60">
      <w:r>
        <w:t>&lt;ISREF&gt;</w:t>
      </w:r>
      <w:r>
        <w:rPr>
          <w:rFonts w:hint="eastAsia"/>
        </w:rPr>
        <w:t>是否保税货物项下收汇</w:t>
      </w:r>
      <w:r>
        <w:t>&lt;/ISREF&gt;</w:t>
      </w:r>
    </w:p>
    <w:p w14:paraId="2FA4DB20" w14:textId="77777777" w:rsidR="00A052DC" w:rsidRDefault="009F0A60">
      <w:r>
        <w:t>&lt;BILLNO&gt;</w:t>
      </w:r>
      <w:r>
        <w:rPr>
          <w:rFonts w:hint="eastAsia"/>
        </w:rPr>
        <w:t>外汇局批件号</w:t>
      </w:r>
      <w:r>
        <w:t>/</w:t>
      </w:r>
      <w:r>
        <w:rPr>
          <w:rFonts w:hint="eastAsia"/>
        </w:rPr>
        <w:t>备案表号</w:t>
      </w:r>
      <w:r>
        <w:t>/</w:t>
      </w:r>
      <w:r>
        <w:rPr>
          <w:rFonts w:hint="eastAsia"/>
        </w:rPr>
        <w:t>业务编号</w:t>
      </w:r>
      <w:r>
        <w:t>&lt;/BILLNO&gt;</w:t>
      </w:r>
    </w:p>
    <w:p w14:paraId="62772D45" w14:textId="77777777" w:rsidR="00A052DC" w:rsidRDefault="009F0A60">
      <w:r>
        <w:t>&lt;PAYATTR&gt;</w:t>
      </w:r>
      <w:r>
        <w:rPr>
          <w:rFonts w:hint="eastAsia"/>
        </w:rPr>
        <w:t>收入类型</w:t>
      </w:r>
      <w:r>
        <w:t>&lt;/PAYATTR&gt;</w:t>
      </w:r>
    </w:p>
    <w:p w14:paraId="11109752" w14:textId="77777777" w:rsidR="00A052DC" w:rsidRDefault="009F0A60">
      <w:r>
        <w:t>&lt;CRTUSER&gt;</w:t>
      </w:r>
      <w:r>
        <w:rPr>
          <w:rFonts w:hint="eastAsia"/>
        </w:rPr>
        <w:t>填报人</w:t>
      </w:r>
      <w:r>
        <w:t>&lt;/CRTUSER&gt;</w:t>
      </w:r>
    </w:p>
    <w:p w14:paraId="4489E3CE" w14:textId="77777777" w:rsidR="00A052DC" w:rsidRDefault="009F0A60">
      <w:r>
        <w:t>&lt;INPTELC&gt;</w:t>
      </w:r>
      <w:r>
        <w:rPr>
          <w:rFonts w:hint="eastAsia"/>
        </w:rPr>
        <w:t>填报人电话</w:t>
      </w:r>
      <w:r>
        <w:t>&lt;/INPTELC&gt;</w:t>
      </w:r>
    </w:p>
    <w:p w14:paraId="78F52675" w14:textId="77777777" w:rsidR="00A052DC" w:rsidRDefault="009F0A60">
      <w:r>
        <w:t>&lt;RPTDATE&gt;</w:t>
      </w:r>
      <w:r>
        <w:rPr>
          <w:rFonts w:hint="eastAsia"/>
        </w:rPr>
        <w:t>申报日期</w:t>
      </w:r>
      <w:r>
        <w:t>&lt;/RPTDATE&gt;</w:t>
      </w:r>
    </w:p>
    <w:p w14:paraId="6FD1416D" w14:textId="77777777" w:rsidR="00A052DC" w:rsidRDefault="009F0A60">
      <w:r>
        <w:t>&lt;/REC&gt;</w:t>
      </w:r>
    </w:p>
    <w:p w14:paraId="49C7D43B" w14:textId="77777777" w:rsidR="00A052DC" w:rsidRDefault="009F0A60" w:rsidP="0020251D">
      <w:pPr>
        <w:pStyle w:val="4"/>
        <w:numPr>
          <w:ilvl w:val="3"/>
          <w:numId w:val="1"/>
        </w:numPr>
        <w:jc w:val="left"/>
      </w:pPr>
      <w:bookmarkStart w:id="952" w:name="_Toc454386758"/>
      <w:r>
        <w:rPr>
          <w:rFonts w:hint="eastAsia"/>
        </w:rPr>
        <w:t>数据字典</w:t>
      </w:r>
      <w:bookmarkEnd w:id="952"/>
    </w:p>
    <w:tbl>
      <w:tblPr>
        <w:tblW w:w="86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701"/>
        <w:gridCol w:w="1559"/>
        <w:gridCol w:w="3969"/>
      </w:tblGrid>
      <w:tr w:rsidR="00A052DC" w14:paraId="39C27E55" w14:textId="77777777">
        <w:trPr>
          <w:tblHeader/>
        </w:trPr>
        <w:tc>
          <w:tcPr>
            <w:tcW w:w="1418" w:type="dxa"/>
            <w:shd w:val="clear" w:color="auto" w:fill="C0C0C0"/>
          </w:tcPr>
          <w:p w14:paraId="1225A8FD" w14:textId="77777777" w:rsidR="00A052DC" w:rsidRDefault="009F0A60">
            <w:pPr>
              <w:jc w:val="center"/>
              <w:rPr>
                <w:rFonts w:ascii="黑体" w:eastAsia="黑体" w:hAnsi="黑体"/>
                <w:b/>
                <w:sz w:val="20"/>
                <w:szCs w:val="20"/>
              </w:rPr>
            </w:pPr>
            <w:r>
              <w:rPr>
                <w:rFonts w:ascii="黑体" w:eastAsia="黑体" w:hAnsi="黑体" w:hint="eastAsia"/>
                <w:b/>
                <w:sz w:val="20"/>
                <w:szCs w:val="20"/>
              </w:rPr>
              <w:t>字段</w:t>
            </w:r>
          </w:p>
        </w:tc>
        <w:tc>
          <w:tcPr>
            <w:tcW w:w="1701" w:type="dxa"/>
            <w:shd w:val="clear" w:color="auto" w:fill="C0C0C0"/>
          </w:tcPr>
          <w:p w14:paraId="49D0A550" w14:textId="77777777" w:rsidR="00A052DC" w:rsidRDefault="009F0A60">
            <w:pPr>
              <w:jc w:val="center"/>
              <w:rPr>
                <w:rFonts w:ascii="黑体" w:eastAsia="黑体" w:hAnsi="黑体"/>
                <w:b/>
                <w:sz w:val="20"/>
                <w:szCs w:val="20"/>
              </w:rPr>
            </w:pPr>
            <w:r>
              <w:rPr>
                <w:rFonts w:ascii="黑体" w:eastAsia="黑体" w:hAnsi="黑体" w:hint="eastAsia"/>
                <w:b/>
                <w:sz w:val="20"/>
                <w:szCs w:val="20"/>
              </w:rPr>
              <w:t>内容</w:t>
            </w:r>
          </w:p>
        </w:tc>
        <w:tc>
          <w:tcPr>
            <w:tcW w:w="1559" w:type="dxa"/>
            <w:shd w:val="clear" w:color="auto" w:fill="C0C0C0"/>
          </w:tcPr>
          <w:p w14:paraId="6462B8C4" w14:textId="77777777" w:rsidR="00A052DC" w:rsidRDefault="009F0A60">
            <w:pPr>
              <w:jc w:val="center"/>
              <w:rPr>
                <w:rFonts w:ascii="黑体" w:eastAsia="黑体" w:hAnsi="黑体"/>
                <w:b/>
                <w:sz w:val="20"/>
                <w:szCs w:val="20"/>
              </w:rPr>
            </w:pPr>
            <w:r>
              <w:rPr>
                <w:rFonts w:ascii="黑体" w:eastAsia="黑体" w:hAnsi="黑体" w:hint="eastAsia"/>
                <w:b/>
                <w:sz w:val="20"/>
                <w:szCs w:val="20"/>
              </w:rPr>
              <w:t>类型（长度）</w:t>
            </w:r>
          </w:p>
        </w:tc>
        <w:tc>
          <w:tcPr>
            <w:tcW w:w="3969" w:type="dxa"/>
            <w:shd w:val="clear" w:color="auto" w:fill="C0C0C0"/>
          </w:tcPr>
          <w:p w14:paraId="3A5714B7" w14:textId="77777777" w:rsidR="00A052DC" w:rsidRDefault="009F0A60">
            <w:pPr>
              <w:jc w:val="center"/>
              <w:rPr>
                <w:rFonts w:ascii="黑体" w:eastAsia="黑体" w:hAnsi="黑体"/>
                <w:b/>
                <w:sz w:val="20"/>
                <w:szCs w:val="20"/>
              </w:rPr>
            </w:pPr>
            <w:r>
              <w:rPr>
                <w:rFonts w:ascii="黑体" w:eastAsia="黑体" w:hAnsi="黑体" w:hint="eastAsia"/>
                <w:b/>
                <w:sz w:val="20"/>
                <w:szCs w:val="20"/>
              </w:rPr>
              <w:t>校验</w:t>
            </w:r>
          </w:p>
        </w:tc>
      </w:tr>
      <w:tr w:rsidR="00A052DC" w14:paraId="076997CF" w14:textId="77777777">
        <w:tc>
          <w:tcPr>
            <w:tcW w:w="1418" w:type="dxa"/>
            <w:tcBorders>
              <w:top w:val="single" w:sz="4" w:space="0" w:color="auto"/>
              <w:left w:val="single" w:sz="4" w:space="0" w:color="auto"/>
              <w:bottom w:val="single" w:sz="4" w:space="0" w:color="auto"/>
              <w:right w:val="single" w:sz="4" w:space="0" w:color="auto"/>
            </w:tcBorders>
          </w:tcPr>
          <w:p w14:paraId="75755226" w14:textId="77777777" w:rsidR="00A052DC" w:rsidRDefault="009F0A60">
            <w:pPr>
              <w:rPr>
                <w:rFonts w:ascii="黑体" w:eastAsia="黑体" w:hAnsi="黑体"/>
                <w:sz w:val="20"/>
                <w:szCs w:val="20"/>
              </w:rPr>
            </w:pPr>
            <w:r>
              <w:rPr>
                <w:rFonts w:ascii="黑体" w:eastAsia="黑体" w:hAnsi="黑体" w:hint="eastAsia"/>
                <w:sz w:val="20"/>
                <w:szCs w:val="20"/>
              </w:rPr>
              <w:t>ACTIONTYPE</w:t>
            </w:r>
          </w:p>
        </w:tc>
        <w:tc>
          <w:tcPr>
            <w:tcW w:w="1701" w:type="dxa"/>
            <w:tcBorders>
              <w:top w:val="single" w:sz="4" w:space="0" w:color="auto"/>
              <w:left w:val="single" w:sz="4" w:space="0" w:color="auto"/>
              <w:bottom w:val="single" w:sz="4" w:space="0" w:color="auto"/>
              <w:right w:val="single" w:sz="4" w:space="0" w:color="auto"/>
            </w:tcBorders>
          </w:tcPr>
          <w:p w14:paraId="30DD82C0" w14:textId="77777777" w:rsidR="00A052DC" w:rsidRDefault="009F0A60">
            <w:pPr>
              <w:rPr>
                <w:rFonts w:ascii="黑体" w:eastAsia="黑体" w:hAnsi="黑体"/>
                <w:sz w:val="20"/>
                <w:szCs w:val="20"/>
              </w:rPr>
            </w:pPr>
            <w:r>
              <w:rPr>
                <w:rFonts w:ascii="黑体" w:eastAsia="黑体" w:hAnsi="黑体" w:hint="eastAsia"/>
                <w:sz w:val="20"/>
                <w:szCs w:val="20"/>
              </w:rPr>
              <w:t>操作类型</w:t>
            </w:r>
          </w:p>
        </w:tc>
        <w:tc>
          <w:tcPr>
            <w:tcW w:w="1559" w:type="dxa"/>
            <w:tcBorders>
              <w:top w:val="single" w:sz="4" w:space="0" w:color="auto"/>
              <w:left w:val="single" w:sz="4" w:space="0" w:color="auto"/>
              <w:bottom w:val="single" w:sz="4" w:space="0" w:color="auto"/>
              <w:right w:val="single" w:sz="4" w:space="0" w:color="auto"/>
            </w:tcBorders>
          </w:tcPr>
          <w:p w14:paraId="3CEDDED6" w14:textId="77777777" w:rsidR="00A052DC" w:rsidRDefault="009F0A60">
            <w:pPr>
              <w:rPr>
                <w:rFonts w:ascii="黑体" w:eastAsia="黑体" w:hAnsi="黑体"/>
                <w:sz w:val="20"/>
                <w:szCs w:val="20"/>
              </w:rPr>
            </w:pPr>
            <w:r>
              <w:rPr>
                <w:rFonts w:ascii="黑体" w:eastAsia="黑体" w:hAnsi="黑体" w:hint="eastAsia"/>
                <w:sz w:val="20"/>
                <w:szCs w:val="20"/>
              </w:rPr>
              <w:t>字符型，1</w:t>
            </w:r>
          </w:p>
        </w:tc>
        <w:tc>
          <w:tcPr>
            <w:tcW w:w="3969" w:type="dxa"/>
            <w:tcBorders>
              <w:top w:val="single" w:sz="4" w:space="0" w:color="auto"/>
              <w:left w:val="single" w:sz="4" w:space="0" w:color="auto"/>
              <w:bottom w:val="single" w:sz="4" w:space="0" w:color="auto"/>
              <w:right w:val="single" w:sz="4" w:space="0" w:color="auto"/>
            </w:tcBorders>
          </w:tcPr>
          <w:p w14:paraId="0C8A7E7A" w14:textId="77777777" w:rsidR="00A052DC" w:rsidRDefault="009F0A60">
            <w:pPr>
              <w:rPr>
                <w:rFonts w:ascii="黑体" w:eastAsia="黑体" w:hAnsi="黑体"/>
                <w:sz w:val="20"/>
                <w:szCs w:val="20"/>
              </w:rPr>
            </w:pPr>
            <w:r>
              <w:rPr>
                <w:rFonts w:ascii="黑体" w:eastAsia="黑体" w:hAnsi="黑体" w:hint="eastAsia"/>
                <w:sz w:val="20"/>
                <w:szCs w:val="20"/>
              </w:rPr>
              <w:t>A</w:t>
            </w:r>
            <w:r w:rsidR="00AE4602">
              <w:rPr>
                <w:rFonts w:ascii="黑体" w:eastAsia="黑体" w:hAnsi="黑体" w:hint="eastAsia"/>
                <w:sz w:val="20"/>
                <w:szCs w:val="20"/>
              </w:rPr>
              <w:t>-</w:t>
            </w:r>
            <w:r>
              <w:rPr>
                <w:rFonts w:ascii="黑体" w:eastAsia="黑体" w:hAnsi="黑体" w:hint="eastAsia"/>
                <w:sz w:val="20"/>
                <w:szCs w:val="20"/>
              </w:rPr>
              <w:t>新建</w:t>
            </w:r>
          </w:p>
          <w:p w14:paraId="3822D3C8" w14:textId="77777777" w:rsidR="00A052DC" w:rsidRDefault="009F0A60">
            <w:pPr>
              <w:rPr>
                <w:rFonts w:ascii="黑体" w:eastAsia="黑体" w:hAnsi="黑体"/>
                <w:sz w:val="20"/>
                <w:szCs w:val="20"/>
              </w:rPr>
            </w:pPr>
            <w:r>
              <w:rPr>
                <w:rFonts w:ascii="黑体" w:eastAsia="黑体" w:hAnsi="黑体" w:hint="eastAsia"/>
                <w:sz w:val="20"/>
                <w:szCs w:val="20"/>
              </w:rPr>
              <w:t>C</w:t>
            </w:r>
            <w:r w:rsidR="00AE4602">
              <w:rPr>
                <w:rFonts w:ascii="黑体" w:eastAsia="黑体" w:hAnsi="黑体" w:hint="eastAsia"/>
                <w:sz w:val="20"/>
                <w:szCs w:val="20"/>
              </w:rPr>
              <w:t>-</w:t>
            </w:r>
            <w:r>
              <w:rPr>
                <w:rFonts w:ascii="黑体" w:eastAsia="黑体" w:hAnsi="黑体" w:hint="eastAsia"/>
                <w:sz w:val="20"/>
                <w:szCs w:val="20"/>
              </w:rPr>
              <w:t>修改</w:t>
            </w:r>
          </w:p>
          <w:p w14:paraId="2B2361BF" w14:textId="77777777" w:rsidR="00A052DC" w:rsidRDefault="009F0A60">
            <w:pPr>
              <w:rPr>
                <w:rFonts w:ascii="黑体" w:eastAsia="黑体" w:hAnsi="黑体"/>
                <w:sz w:val="20"/>
                <w:szCs w:val="20"/>
              </w:rPr>
            </w:pPr>
            <w:r>
              <w:rPr>
                <w:rFonts w:ascii="黑体" w:eastAsia="黑体" w:hAnsi="黑体" w:hint="eastAsia"/>
                <w:sz w:val="20"/>
                <w:szCs w:val="20"/>
              </w:rPr>
              <w:t>D</w:t>
            </w:r>
            <w:r w:rsidR="00AE4602">
              <w:rPr>
                <w:rFonts w:ascii="黑体" w:eastAsia="黑体" w:hAnsi="黑体" w:hint="eastAsia"/>
                <w:sz w:val="20"/>
                <w:szCs w:val="20"/>
              </w:rPr>
              <w:t>-</w:t>
            </w:r>
            <w:r>
              <w:rPr>
                <w:rFonts w:ascii="黑体" w:eastAsia="黑体" w:hAnsi="黑体" w:hint="eastAsia"/>
                <w:sz w:val="20"/>
                <w:szCs w:val="20"/>
              </w:rPr>
              <w:t>删除，预留，暂不用</w:t>
            </w:r>
          </w:p>
        </w:tc>
      </w:tr>
      <w:tr w:rsidR="00A052DC" w14:paraId="0D908E94" w14:textId="77777777">
        <w:tc>
          <w:tcPr>
            <w:tcW w:w="1418" w:type="dxa"/>
            <w:tcBorders>
              <w:top w:val="single" w:sz="4" w:space="0" w:color="auto"/>
              <w:left w:val="single" w:sz="4" w:space="0" w:color="auto"/>
              <w:bottom w:val="single" w:sz="4" w:space="0" w:color="auto"/>
              <w:right w:val="single" w:sz="4" w:space="0" w:color="auto"/>
            </w:tcBorders>
          </w:tcPr>
          <w:p w14:paraId="78F1953F" w14:textId="77777777" w:rsidR="00A052DC" w:rsidRDefault="009F0A60">
            <w:pPr>
              <w:rPr>
                <w:rFonts w:ascii="黑体" w:eastAsia="黑体" w:hAnsi="黑体"/>
                <w:sz w:val="20"/>
                <w:szCs w:val="20"/>
              </w:rPr>
            </w:pPr>
            <w:r>
              <w:rPr>
                <w:rFonts w:ascii="黑体" w:eastAsia="黑体" w:hAnsi="黑体" w:hint="eastAsia"/>
                <w:sz w:val="20"/>
                <w:szCs w:val="20"/>
              </w:rPr>
              <w:t>ACTIONDESC</w:t>
            </w:r>
          </w:p>
        </w:tc>
        <w:tc>
          <w:tcPr>
            <w:tcW w:w="1701" w:type="dxa"/>
            <w:tcBorders>
              <w:top w:val="single" w:sz="4" w:space="0" w:color="auto"/>
              <w:left w:val="single" w:sz="4" w:space="0" w:color="auto"/>
              <w:bottom w:val="single" w:sz="4" w:space="0" w:color="auto"/>
              <w:right w:val="single" w:sz="4" w:space="0" w:color="auto"/>
            </w:tcBorders>
          </w:tcPr>
          <w:p w14:paraId="66F782CD" w14:textId="77777777" w:rsidR="00A052DC" w:rsidRDefault="009F0A60">
            <w:pPr>
              <w:rPr>
                <w:rFonts w:ascii="黑体" w:eastAsia="黑体" w:hAnsi="黑体"/>
                <w:sz w:val="20"/>
                <w:szCs w:val="20"/>
              </w:rPr>
            </w:pPr>
            <w:r>
              <w:rPr>
                <w:rFonts w:ascii="黑体" w:eastAsia="黑体" w:hAnsi="黑体" w:hint="eastAsia"/>
                <w:sz w:val="20"/>
                <w:szCs w:val="20"/>
              </w:rPr>
              <w:t>修改/删除原因</w:t>
            </w:r>
          </w:p>
        </w:tc>
        <w:tc>
          <w:tcPr>
            <w:tcW w:w="1559" w:type="dxa"/>
            <w:tcBorders>
              <w:top w:val="single" w:sz="4" w:space="0" w:color="auto"/>
              <w:left w:val="single" w:sz="4" w:space="0" w:color="auto"/>
              <w:bottom w:val="single" w:sz="4" w:space="0" w:color="auto"/>
              <w:right w:val="single" w:sz="4" w:space="0" w:color="auto"/>
            </w:tcBorders>
          </w:tcPr>
          <w:p w14:paraId="4061E87C"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3969" w:type="dxa"/>
            <w:tcBorders>
              <w:top w:val="single" w:sz="4" w:space="0" w:color="auto"/>
              <w:left w:val="single" w:sz="4" w:space="0" w:color="auto"/>
              <w:bottom w:val="single" w:sz="4" w:space="0" w:color="auto"/>
              <w:right w:val="single" w:sz="4" w:space="0" w:color="auto"/>
            </w:tcBorders>
          </w:tcPr>
          <w:p w14:paraId="0720BA1D" w14:textId="77777777" w:rsidR="00A052DC" w:rsidRDefault="00A052DC">
            <w:pPr>
              <w:rPr>
                <w:rFonts w:ascii="黑体" w:eastAsia="黑体" w:hAnsi="黑体"/>
                <w:sz w:val="20"/>
                <w:szCs w:val="20"/>
              </w:rPr>
            </w:pPr>
          </w:p>
        </w:tc>
      </w:tr>
      <w:tr w:rsidR="00A052DC" w14:paraId="7551E4D0" w14:textId="77777777">
        <w:tc>
          <w:tcPr>
            <w:tcW w:w="1418" w:type="dxa"/>
          </w:tcPr>
          <w:p w14:paraId="7DBA8566" w14:textId="77777777" w:rsidR="00A052DC" w:rsidRDefault="009F0A60">
            <w:pPr>
              <w:rPr>
                <w:rFonts w:ascii="黑体" w:eastAsia="黑体" w:hAnsi="黑体"/>
                <w:sz w:val="20"/>
                <w:szCs w:val="20"/>
              </w:rPr>
            </w:pPr>
            <w:r>
              <w:rPr>
                <w:rFonts w:ascii="黑体" w:eastAsia="黑体" w:hAnsi="黑体" w:hint="eastAsia"/>
                <w:sz w:val="20"/>
                <w:szCs w:val="20"/>
              </w:rPr>
              <w:t>RPTNO</w:t>
            </w:r>
          </w:p>
        </w:tc>
        <w:tc>
          <w:tcPr>
            <w:tcW w:w="1701" w:type="dxa"/>
          </w:tcPr>
          <w:p w14:paraId="779C9EC0" w14:textId="77777777" w:rsidR="00A052DC" w:rsidRDefault="009F0A60">
            <w:pPr>
              <w:rPr>
                <w:rFonts w:ascii="黑体" w:eastAsia="黑体" w:hAnsi="黑体"/>
                <w:sz w:val="20"/>
                <w:szCs w:val="20"/>
              </w:rPr>
            </w:pPr>
            <w:r>
              <w:rPr>
                <w:rFonts w:ascii="黑体" w:eastAsia="黑体" w:hAnsi="黑体" w:hint="eastAsia"/>
                <w:sz w:val="20"/>
                <w:szCs w:val="20"/>
              </w:rPr>
              <w:t>申报号码</w:t>
            </w:r>
          </w:p>
        </w:tc>
        <w:tc>
          <w:tcPr>
            <w:tcW w:w="1559" w:type="dxa"/>
          </w:tcPr>
          <w:p w14:paraId="4E831FF7" w14:textId="77777777" w:rsidR="00A052DC" w:rsidRDefault="009F0A60">
            <w:pPr>
              <w:rPr>
                <w:rFonts w:ascii="黑体" w:eastAsia="黑体" w:hAnsi="黑体"/>
                <w:sz w:val="20"/>
                <w:szCs w:val="20"/>
              </w:rPr>
            </w:pPr>
            <w:r>
              <w:rPr>
                <w:rFonts w:ascii="黑体" w:eastAsia="黑体" w:hAnsi="黑体" w:hint="eastAsia"/>
                <w:sz w:val="20"/>
                <w:szCs w:val="20"/>
              </w:rPr>
              <w:t>字符型，22</w:t>
            </w:r>
          </w:p>
        </w:tc>
        <w:tc>
          <w:tcPr>
            <w:tcW w:w="3969" w:type="dxa"/>
          </w:tcPr>
          <w:p w14:paraId="176E1615" w14:textId="77777777" w:rsidR="00A052DC" w:rsidRDefault="009F0A60">
            <w:pPr>
              <w:rPr>
                <w:rFonts w:ascii="黑体" w:eastAsia="黑体" w:hAnsi="黑体"/>
                <w:sz w:val="20"/>
                <w:szCs w:val="20"/>
              </w:rPr>
            </w:pPr>
            <w:r>
              <w:rPr>
                <w:rFonts w:ascii="黑体" w:eastAsia="黑体" w:hAnsi="黑体" w:hint="eastAsia"/>
                <w:sz w:val="20"/>
                <w:szCs w:val="20"/>
              </w:rPr>
              <w:t>应与基础数据一致。</w:t>
            </w:r>
          </w:p>
        </w:tc>
      </w:tr>
      <w:tr w:rsidR="00A052DC" w14:paraId="67170D76" w14:textId="77777777">
        <w:tc>
          <w:tcPr>
            <w:tcW w:w="1418" w:type="dxa"/>
          </w:tcPr>
          <w:p w14:paraId="61C400D0" w14:textId="77777777" w:rsidR="00A052DC" w:rsidRDefault="009F0A60">
            <w:pPr>
              <w:rPr>
                <w:rFonts w:ascii="黑体" w:eastAsia="黑体" w:hAnsi="黑体"/>
                <w:sz w:val="20"/>
                <w:szCs w:val="20"/>
              </w:rPr>
            </w:pPr>
            <w:r>
              <w:rPr>
                <w:rFonts w:ascii="黑体" w:eastAsia="黑体" w:hAnsi="黑体" w:hint="eastAsia"/>
                <w:sz w:val="20"/>
                <w:szCs w:val="20"/>
              </w:rPr>
              <w:t>COUNTRY</w:t>
            </w:r>
          </w:p>
        </w:tc>
        <w:tc>
          <w:tcPr>
            <w:tcW w:w="1701" w:type="dxa"/>
          </w:tcPr>
          <w:p w14:paraId="37601224" w14:textId="77777777" w:rsidR="00A052DC" w:rsidRDefault="009F0A60">
            <w:pPr>
              <w:rPr>
                <w:rFonts w:ascii="黑体" w:eastAsia="黑体" w:hAnsi="黑体"/>
                <w:sz w:val="20"/>
                <w:szCs w:val="20"/>
              </w:rPr>
            </w:pPr>
            <w:r>
              <w:rPr>
                <w:rFonts w:ascii="黑体" w:eastAsia="黑体" w:hAnsi="黑体" w:hint="eastAsia"/>
                <w:sz w:val="20"/>
                <w:szCs w:val="20"/>
              </w:rPr>
              <w:t>付款人常驻国家/地区代码</w:t>
            </w:r>
          </w:p>
        </w:tc>
        <w:tc>
          <w:tcPr>
            <w:tcW w:w="1559" w:type="dxa"/>
          </w:tcPr>
          <w:p w14:paraId="7BA4BC1A" w14:textId="77777777" w:rsidR="00A052DC" w:rsidRDefault="009F0A60">
            <w:pPr>
              <w:rPr>
                <w:rFonts w:ascii="黑体" w:eastAsia="黑体" w:hAnsi="黑体"/>
                <w:sz w:val="20"/>
                <w:szCs w:val="20"/>
              </w:rPr>
            </w:pPr>
            <w:r>
              <w:rPr>
                <w:rFonts w:ascii="黑体" w:eastAsia="黑体" w:hAnsi="黑体" w:hint="eastAsia"/>
                <w:sz w:val="20"/>
                <w:szCs w:val="20"/>
              </w:rPr>
              <w:t>字符型，3</w:t>
            </w:r>
          </w:p>
        </w:tc>
        <w:tc>
          <w:tcPr>
            <w:tcW w:w="3969" w:type="dxa"/>
          </w:tcPr>
          <w:p w14:paraId="79D12728" w14:textId="77777777" w:rsidR="00A052DC" w:rsidRDefault="009F0A60">
            <w:pPr>
              <w:rPr>
                <w:rFonts w:ascii="黑体" w:eastAsia="黑体" w:hAnsi="黑体"/>
                <w:sz w:val="20"/>
                <w:szCs w:val="20"/>
              </w:rPr>
            </w:pPr>
            <w:r>
              <w:rPr>
                <w:rFonts w:ascii="黑体" w:eastAsia="黑体" w:hAnsi="黑体" w:hint="eastAsia"/>
                <w:sz w:val="20"/>
                <w:szCs w:val="20"/>
              </w:rPr>
              <w:t>必填项，</w:t>
            </w:r>
          </w:p>
          <w:p w14:paraId="67D81128" w14:textId="77777777" w:rsidR="00A052DC" w:rsidRDefault="009F0A60">
            <w:pPr>
              <w:rPr>
                <w:rFonts w:ascii="黑体" w:eastAsia="黑体" w:hAnsi="黑体"/>
                <w:sz w:val="20"/>
                <w:szCs w:val="20"/>
              </w:rPr>
            </w:pPr>
            <w:r>
              <w:rPr>
                <w:rFonts w:ascii="黑体" w:eastAsia="黑体" w:hAnsi="黑体" w:hint="eastAsia"/>
                <w:sz w:val="20"/>
                <w:szCs w:val="20"/>
              </w:rPr>
              <w:t>使用国家和地区代码表中的3位字母代码。半角</w:t>
            </w:r>
            <w:r>
              <w:rPr>
                <w:rFonts w:ascii="黑体" w:eastAsia="黑体" w:hAnsi="黑体"/>
                <w:sz w:val="20"/>
                <w:szCs w:val="20"/>
              </w:rPr>
              <w:t>大</w:t>
            </w:r>
            <w:r>
              <w:rPr>
                <w:rFonts w:ascii="黑体" w:eastAsia="黑体" w:hAnsi="黑体" w:hint="eastAsia"/>
                <w:sz w:val="20"/>
                <w:szCs w:val="20"/>
              </w:rPr>
              <w:t>写</w:t>
            </w:r>
            <w:r>
              <w:rPr>
                <w:rFonts w:ascii="黑体" w:eastAsia="黑体" w:hAnsi="黑体"/>
                <w:sz w:val="20"/>
                <w:szCs w:val="20"/>
              </w:rPr>
              <w:t>英文字母。</w:t>
            </w:r>
          </w:p>
        </w:tc>
      </w:tr>
      <w:tr w:rsidR="00A052DC" w14:paraId="0139BA6B" w14:textId="77777777">
        <w:tc>
          <w:tcPr>
            <w:tcW w:w="1418" w:type="dxa"/>
          </w:tcPr>
          <w:p w14:paraId="7A6C5137" w14:textId="77777777" w:rsidR="00A052DC" w:rsidRDefault="009F0A60">
            <w:pPr>
              <w:rPr>
                <w:rFonts w:ascii="黑体" w:eastAsia="黑体" w:hAnsi="黑体"/>
                <w:sz w:val="20"/>
                <w:szCs w:val="20"/>
              </w:rPr>
            </w:pPr>
            <w:r>
              <w:rPr>
                <w:rFonts w:ascii="黑体" w:eastAsia="黑体" w:hAnsi="黑体" w:hint="eastAsia"/>
                <w:sz w:val="20"/>
                <w:szCs w:val="20"/>
              </w:rPr>
              <w:t>PAYTYPE</w:t>
            </w:r>
          </w:p>
        </w:tc>
        <w:tc>
          <w:tcPr>
            <w:tcW w:w="1701" w:type="dxa"/>
          </w:tcPr>
          <w:p w14:paraId="287493A8" w14:textId="77777777" w:rsidR="00A052DC" w:rsidRDefault="009F0A60">
            <w:pPr>
              <w:rPr>
                <w:rFonts w:ascii="黑体" w:eastAsia="黑体" w:hAnsi="黑体"/>
                <w:sz w:val="20"/>
                <w:szCs w:val="20"/>
              </w:rPr>
            </w:pPr>
            <w:r>
              <w:rPr>
                <w:rFonts w:ascii="黑体" w:eastAsia="黑体" w:hAnsi="黑体" w:hint="eastAsia"/>
                <w:sz w:val="20"/>
                <w:szCs w:val="20"/>
              </w:rPr>
              <w:t>收款性质</w:t>
            </w:r>
          </w:p>
        </w:tc>
        <w:tc>
          <w:tcPr>
            <w:tcW w:w="1559" w:type="dxa"/>
          </w:tcPr>
          <w:p w14:paraId="1B51646F" w14:textId="77777777" w:rsidR="00A052DC" w:rsidRDefault="009F0A60">
            <w:pPr>
              <w:rPr>
                <w:rFonts w:ascii="黑体" w:eastAsia="黑体" w:hAnsi="黑体"/>
                <w:sz w:val="20"/>
                <w:szCs w:val="20"/>
              </w:rPr>
            </w:pPr>
            <w:r>
              <w:rPr>
                <w:rFonts w:ascii="黑体" w:eastAsia="黑体" w:hAnsi="黑体" w:hint="eastAsia"/>
                <w:sz w:val="20"/>
                <w:szCs w:val="20"/>
              </w:rPr>
              <w:t>字符型，1</w:t>
            </w:r>
          </w:p>
        </w:tc>
        <w:tc>
          <w:tcPr>
            <w:tcW w:w="3969" w:type="dxa"/>
          </w:tcPr>
          <w:p w14:paraId="1C86A5FB" w14:textId="77777777" w:rsidR="00A052DC" w:rsidRDefault="009F0A60">
            <w:pPr>
              <w:rPr>
                <w:rFonts w:ascii="黑体" w:eastAsia="黑体" w:hAnsi="黑体"/>
                <w:sz w:val="20"/>
                <w:szCs w:val="20"/>
              </w:rPr>
            </w:pPr>
            <w:r>
              <w:rPr>
                <w:rFonts w:ascii="黑体" w:eastAsia="黑体" w:hAnsi="黑体" w:hint="eastAsia"/>
                <w:sz w:val="20"/>
                <w:szCs w:val="20"/>
              </w:rPr>
              <w:t>A</w:t>
            </w:r>
            <w:r w:rsidR="00AE4602">
              <w:rPr>
                <w:rFonts w:ascii="黑体" w:eastAsia="黑体" w:hAnsi="黑体" w:hint="eastAsia"/>
                <w:sz w:val="20"/>
                <w:szCs w:val="20"/>
              </w:rPr>
              <w:t>-</w:t>
            </w:r>
            <w:r>
              <w:rPr>
                <w:rFonts w:ascii="黑体" w:eastAsia="黑体" w:hAnsi="黑体" w:hint="eastAsia"/>
                <w:sz w:val="20"/>
                <w:szCs w:val="20"/>
              </w:rPr>
              <w:t>预收款</w:t>
            </w:r>
          </w:p>
          <w:p w14:paraId="749A55BD" w14:textId="77777777" w:rsidR="00A052DC" w:rsidRDefault="009F0A60">
            <w:pPr>
              <w:rPr>
                <w:rFonts w:ascii="黑体" w:eastAsia="黑体" w:hAnsi="黑体"/>
                <w:sz w:val="20"/>
                <w:szCs w:val="20"/>
              </w:rPr>
            </w:pPr>
            <w:r>
              <w:rPr>
                <w:rFonts w:ascii="黑体" w:eastAsia="黑体" w:hAnsi="黑体" w:hint="eastAsia"/>
                <w:sz w:val="20"/>
                <w:szCs w:val="20"/>
              </w:rPr>
              <w:t>R</w:t>
            </w:r>
            <w:r w:rsidR="00AE4602">
              <w:rPr>
                <w:rFonts w:ascii="黑体" w:eastAsia="黑体" w:hAnsi="黑体" w:hint="eastAsia"/>
                <w:sz w:val="20"/>
                <w:szCs w:val="20"/>
              </w:rPr>
              <w:t>-</w:t>
            </w:r>
            <w:r>
              <w:rPr>
                <w:rFonts w:ascii="黑体" w:eastAsia="黑体" w:hAnsi="黑体" w:hint="eastAsia"/>
                <w:sz w:val="20"/>
                <w:szCs w:val="20"/>
              </w:rPr>
              <w:t>退款</w:t>
            </w:r>
          </w:p>
          <w:p w14:paraId="5FD81F68" w14:textId="77777777" w:rsidR="00A052DC" w:rsidRDefault="009F0A60">
            <w:pPr>
              <w:rPr>
                <w:rFonts w:ascii="黑体" w:eastAsia="黑体" w:hAnsi="黑体"/>
                <w:sz w:val="20"/>
                <w:szCs w:val="20"/>
              </w:rPr>
            </w:pPr>
            <w:r>
              <w:rPr>
                <w:rFonts w:ascii="黑体" w:eastAsia="黑体" w:hAnsi="黑体" w:hint="eastAsia"/>
                <w:sz w:val="20"/>
                <w:szCs w:val="20"/>
              </w:rPr>
              <w:t>O</w:t>
            </w:r>
            <w:r w:rsidR="00AE4602">
              <w:rPr>
                <w:rFonts w:ascii="黑体" w:eastAsia="黑体" w:hAnsi="黑体" w:hint="eastAsia"/>
                <w:sz w:val="20"/>
                <w:szCs w:val="20"/>
              </w:rPr>
              <w:t>-</w:t>
            </w:r>
            <w:r>
              <w:rPr>
                <w:rFonts w:ascii="黑体" w:eastAsia="黑体" w:hAnsi="黑体" w:hint="eastAsia"/>
                <w:sz w:val="20"/>
                <w:szCs w:val="20"/>
              </w:rPr>
              <w:t>其他</w:t>
            </w:r>
          </w:p>
        </w:tc>
      </w:tr>
      <w:tr w:rsidR="00A052DC" w14:paraId="66E620C4" w14:textId="77777777">
        <w:tc>
          <w:tcPr>
            <w:tcW w:w="1418" w:type="dxa"/>
          </w:tcPr>
          <w:p w14:paraId="1EB141FC" w14:textId="77777777" w:rsidR="00A052DC" w:rsidRDefault="009F0A60">
            <w:pPr>
              <w:rPr>
                <w:rFonts w:ascii="黑体" w:eastAsia="黑体" w:hAnsi="黑体"/>
                <w:sz w:val="20"/>
                <w:szCs w:val="20"/>
              </w:rPr>
            </w:pPr>
            <w:r>
              <w:rPr>
                <w:rFonts w:ascii="黑体" w:eastAsia="黑体" w:hAnsi="黑体" w:hint="eastAsia"/>
                <w:sz w:val="20"/>
                <w:szCs w:val="20"/>
              </w:rPr>
              <w:t>TXCODE</w:t>
            </w:r>
          </w:p>
        </w:tc>
        <w:tc>
          <w:tcPr>
            <w:tcW w:w="1701" w:type="dxa"/>
          </w:tcPr>
          <w:p w14:paraId="113D3359" w14:textId="77777777" w:rsidR="00A052DC" w:rsidRDefault="009F0A60">
            <w:pPr>
              <w:rPr>
                <w:rFonts w:ascii="黑体" w:eastAsia="黑体" w:hAnsi="黑体"/>
                <w:sz w:val="20"/>
                <w:szCs w:val="20"/>
              </w:rPr>
            </w:pPr>
            <w:r>
              <w:rPr>
                <w:rFonts w:ascii="黑体" w:eastAsia="黑体" w:hAnsi="黑体" w:hint="eastAsia"/>
                <w:sz w:val="20"/>
                <w:szCs w:val="20"/>
              </w:rPr>
              <w:t>交易编码1</w:t>
            </w:r>
          </w:p>
        </w:tc>
        <w:tc>
          <w:tcPr>
            <w:tcW w:w="1559" w:type="dxa"/>
          </w:tcPr>
          <w:p w14:paraId="73E7914B" w14:textId="77777777" w:rsidR="00A052DC" w:rsidRDefault="009F0A60">
            <w:pPr>
              <w:rPr>
                <w:rFonts w:ascii="黑体" w:eastAsia="黑体" w:hAnsi="黑体"/>
                <w:sz w:val="20"/>
                <w:szCs w:val="20"/>
              </w:rPr>
            </w:pPr>
            <w:r>
              <w:rPr>
                <w:rFonts w:ascii="黑体" w:eastAsia="黑体" w:hAnsi="黑体" w:hint="eastAsia"/>
                <w:sz w:val="20"/>
                <w:szCs w:val="20"/>
              </w:rPr>
              <w:t>字符型，6</w:t>
            </w:r>
          </w:p>
        </w:tc>
        <w:tc>
          <w:tcPr>
            <w:tcW w:w="3969" w:type="dxa"/>
          </w:tcPr>
          <w:p w14:paraId="15BDD609" w14:textId="77777777" w:rsidR="00A052DC" w:rsidRDefault="009F0A60">
            <w:pPr>
              <w:rPr>
                <w:rFonts w:ascii="黑体" w:eastAsia="黑体" w:hAnsi="黑体"/>
                <w:sz w:val="20"/>
                <w:szCs w:val="20"/>
              </w:rPr>
            </w:pPr>
            <w:r>
              <w:rPr>
                <w:rFonts w:ascii="黑体" w:eastAsia="黑体" w:hAnsi="黑体" w:hint="eastAsia"/>
                <w:sz w:val="20"/>
                <w:szCs w:val="20"/>
              </w:rPr>
              <w:t>必填</w:t>
            </w:r>
            <w:r w:rsidR="006237F5">
              <w:rPr>
                <w:rFonts w:ascii="黑体" w:eastAsia="黑体" w:hAnsi="黑体" w:hint="eastAsia"/>
                <w:sz w:val="20"/>
                <w:szCs w:val="20"/>
              </w:rPr>
              <w:t>项</w:t>
            </w:r>
            <w:r>
              <w:rPr>
                <w:rFonts w:ascii="黑体" w:eastAsia="黑体" w:hAnsi="黑体" w:hint="eastAsia"/>
                <w:sz w:val="20"/>
                <w:szCs w:val="20"/>
              </w:rPr>
              <w:t>，</w:t>
            </w:r>
          </w:p>
          <w:p w14:paraId="2EC8C2CE" w14:textId="77777777" w:rsidR="00A052DC" w:rsidRDefault="009F0A60">
            <w:pPr>
              <w:rPr>
                <w:rFonts w:ascii="黑体" w:eastAsia="黑体" w:hAnsi="黑体"/>
                <w:sz w:val="20"/>
                <w:szCs w:val="20"/>
              </w:rPr>
            </w:pPr>
            <w:r>
              <w:rPr>
                <w:rFonts w:ascii="黑体" w:eastAsia="黑体" w:hAnsi="黑体" w:hint="eastAsia"/>
                <w:sz w:val="20"/>
                <w:szCs w:val="20"/>
              </w:rPr>
              <w:t>必须在国际收支交易编码表中存在。</w:t>
            </w:r>
          </w:p>
        </w:tc>
      </w:tr>
      <w:tr w:rsidR="00A052DC" w14:paraId="74CD7486" w14:textId="77777777">
        <w:tc>
          <w:tcPr>
            <w:tcW w:w="1418" w:type="dxa"/>
          </w:tcPr>
          <w:p w14:paraId="2583E76E" w14:textId="77777777" w:rsidR="00A052DC" w:rsidRDefault="009F0A60">
            <w:pPr>
              <w:rPr>
                <w:rFonts w:ascii="黑体" w:eastAsia="黑体" w:hAnsi="黑体"/>
                <w:sz w:val="20"/>
                <w:szCs w:val="20"/>
              </w:rPr>
            </w:pPr>
            <w:r>
              <w:rPr>
                <w:rFonts w:ascii="黑体" w:eastAsia="黑体" w:hAnsi="黑体" w:hint="eastAsia"/>
                <w:sz w:val="20"/>
                <w:szCs w:val="20"/>
              </w:rPr>
              <w:t>TC1AMT</w:t>
            </w:r>
          </w:p>
        </w:tc>
        <w:tc>
          <w:tcPr>
            <w:tcW w:w="1701" w:type="dxa"/>
          </w:tcPr>
          <w:p w14:paraId="505233D6" w14:textId="77777777" w:rsidR="00A052DC" w:rsidRDefault="009F0A60">
            <w:pPr>
              <w:rPr>
                <w:rFonts w:ascii="黑体" w:eastAsia="黑体" w:hAnsi="黑体"/>
                <w:sz w:val="20"/>
                <w:szCs w:val="20"/>
              </w:rPr>
            </w:pPr>
            <w:r>
              <w:rPr>
                <w:rFonts w:ascii="黑体" w:eastAsia="黑体" w:hAnsi="黑体" w:hint="eastAsia"/>
                <w:sz w:val="20"/>
                <w:szCs w:val="20"/>
              </w:rPr>
              <w:t>相应金额1</w:t>
            </w:r>
          </w:p>
        </w:tc>
        <w:tc>
          <w:tcPr>
            <w:tcW w:w="1559" w:type="dxa"/>
          </w:tcPr>
          <w:p w14:paraId="7C9B8084" w14:textId="77777777" w:rsidR="00A052DC" w:rsidRDefault="009F0A60">
            <w:pPr>
              <w:rPr>
                <w:rFonts w:ascii="黑体" w:eastAsia="黑体" w:hAnsi="黑体"/>
                <w:sz w:val="20"/>
                <w:szCs w:val="20"/>
              </w:rPr>
            </w:pPr>
            <w:r>
              <w:rPr>
                <w:rFonts w:ascii="黑体" w:eastAsia="黑体" w:hAnsi="黑体" w:hint="eastAsia"/>
                <w:sz w:val="20"/>
                <w:szCs w:val="20"/>
              </w:rPr>
              <w:t>数值型，22.0</w:t>
            </w:r>
          </w:p>
        </w:tc>
        <w:tc>
          <w:tcPr>
            <w:tcW w:w="3969" w:type="dxa"/>
          </w:tcPr>
          <w:p w14:paraId="749E37BE" w14:textId="77777777" w:rsidR="00A052DC" w:rsidRDefault="009F0A60">
            <w:pPr>
              <w:rPr>
                <w:rFonts w:ascii="黑体" w:eastAsia="黑体" w:hAnsi="黑体"/>
                <w:sz w:val="20"/>
                <w:szCs w:val="20"/>
              </w:rPr>
            </w:pPr>
            <w:r>
              <w:rPr>
                <w:rFonts w:ascii="黑体" w:eastAsia="黑体" w:hAnsi="黑体" w:hint="eastAsia"/>
                <w:sz w:val="20"/>
                <w:szCs w:val="20"/>
              </w:rPr>
              <w:t>必填</w:t>
            </w:r>
            <w:r w:rsidR="006237F5">
              <w:rPr>
                <w:rFonts w:ascii="黑体" w:eastAsia="黑体" w:hAnsi="黑体" w:hint="eastAsia"/>
                <w:sz w:val="20"/>
                <w:szCs w:val="20"/>
              </w:rPr>
              <w:t>项</w:t>
            </w:r>
            <w:r>
              <w:rPr>
                <w:rFonts w:ascii="黑体" w:eastAsia="黑体" w:hAnsi="黑体" w:hint="eastAsia"/>
                <w:sz w:val="20"/>
                <w:szCs w:val="20"/>
              </w:rPr>
              <w:t>。</w:t>
            </w:r>
          </w:p>
        </w:tc>
      </w:tr>
      <w:tr w:rsidR="00A052DC" w14:paraId="45DD59E6" w14:textId="77777777">
        <w:tc>
          <w:tcPr>
            <w:tcW w:w="1418" w:type="dxa"/>
          </w:tcPr>
          <w:p w14:paraId="08FC264E" w14:textId="77777777" w:rsidR="00A052DC" w:rsidRDefault="009F0A60">
            <w:pPr>
              <w:rPr>
                <w:rFonts w:ascii="黑体" w:eastAsia="黑体" w:hAnsi="黑体"/>
                <w:sz w:val="20"/>
                <w:szCs w:val="20"/>
              </w:rPr>
            </w:pPr>
            <w:r>
              <w:rPr>
                <w:rFonts w:ascii="黑体" w:eastAsia="黑体" w:hAnsi="黑体" w:hint="eastAsia"/>
                <w:sz w:val="20"/>
                <w:szCs w:val="20"/>
              </w:rPr>
              <w:t>TXREM</w:t>
            </w:r>
          </w:p>
        </w:tc>
        <w:tc>
          <w:tcPr>
            <w:tcW w:w="1701" w:type="dxa"/>
          </w:tcPr>
          <w:p w14:paraId="4C5627EC" w14:textId="77777777" w:rsidR="00A052DC" w:rsidRDefault="009F0A60">
            <w:pPr>
              <w:rPr>
                <w:rFonts w:ascii="黑体" w:eastAsia="黑体" w:hAnsi="黑体"/>
                <w:sz w:val="20"/>
                <w:szCs w:val="20"/>
              </w:rPr>
            </w:pPr>
            <w:r>
              <w:rPr>
                <w:rFonts w:ascii="黑体" w:eastAsia="黑体" w:hAnsi="黑体" w:hint="eastAsia"/>
                <w:sz w:val="20"/>
                <w:szCs w:val="20"/>
              </w:rPr>
              <w:t>交易附言1</w:t>
            </w:r>
          </w:p>
        </w:tc>
        <w:tc>
          <w:tcPr>
            <w:tcW w:w="1559" w:type="dxa"/>
          </w:tcPr>
          <w:p w14:paraId="20465B4F" w14:textId="77777777" w:rsidR="00A052DC" w:rsidRDefault="009F0A60">
            <w:pPr>
              <w:rPr>
                <w:rFonts w:ascii="黑体" w:eastAsia="黑体" w:hAnsi="黑体"/>
                <w:sz w:val="20"/>
                <w:szCs w:val="20"/>
              </w:rPr>
            </w:pPr>
            <w:r>
              <w:rPr>
                <w:rFonts w:ascii="黑体" w:eastAsia="黑体" w:hAnsi="黑体" w:hint="eastAsia"/>
                <w:sz w:val="20"/>
                <w:szCs w:val="20"/>
              </w:rPr>
              <w:t>字符型，256</w:t>
            </w:r>
          </w:p>
        </w:tc>
        <w:tc>
          <w:tcPr>
            <w:tcW w:w="3969" w:type="dxa"/>
          </w:tcPr>
          <w:p w14:paraId="46299F9E" w14:textId="77777777" w:rsidR="00A052DC" w:rsidRDefault="009F0A60">
            <w:pPr>
              <w:rPr>
                <w:rFonts w:ascii="黑体" w:eastAsia="黑体" w:hAnsi="黑体"/>
                <w:sz w:val="20"/>
                <w:szCs w:val="20"/>
              </w:rPr>
            </w:pPr>
            <w:r>
              <w:rPr>
                <w:rFonts w:ascii="黑体" w:eastAsia="黑体" w:hAnsi="黑体" w:hint="eastAsia"/>
                <w:sz w:val="20"/>
                <w:szCs w:val="20"/>
              </w:rPr>
              <w:t>必填</w:t>
            </w:r>
            <w:r w:rsidR="006237F5">
              <w:rPr>
                <w:rFonts w:ascii="黑体" w:eastAsia="黑体" w:hAnsi="黑体" w:hint="eastAsia"/>
                <w:sz w:val="20"/>
                <w:szCs w:val="20"/>
              </w:rPr>
              <w:t>项</w:t>
            </w:r>
            <w:r>
              <w:rPr>
                <w:rFonts w:ascii="黑体" w:eastAsia="黑体" w:hAnsi="黑体" w:hint="eastAsia"/>
                <w:sz w:val="20"/>
                <w:szCs w:val="20"/>
              </w:rPr>
              <w:t>。</w:t>
            </w:r>
          </w:p>
        </w:tc>
      </w:tr>
      <w:tr w:rsidR="00A052DC" w14:paraId="69139BB1" w14:textId="77777777">
        <w:tc>
          <w:tcPr>
            <w:tcW w:w="1418" w:type="dxa"/>
          </w:tcPr>
          <w:p w14:paraId="57CE9CCD" w14:textId="77777777" w:rsidR="00A052DC" w:rsidRDefault="009F0A60">
            <w:pPr>
              <w:rPr>
                <w:rFonts w:ascii="黑体" w:eastAsia="黑体" w:hAnsi="黑体"/>
                <w:sz w:val="20"/>
                <w:szCs w:val="20"/>
              </w:rPr>
            </w:pPr>
            <w:r>
              <w:rPr>
                <w:rFonts w:ascii="黑体" w:eastAsia="黑体" w:hAnsi="黑体" w:hint="eastAsia"/>
                <w:sz w:val="20"/>
                <w:szCs w:val="20"/>
              </w:rPr>
              <w:t>TXCODE2</w:t>
            </w:r>
          </w:p>
        </w:tc>
        <w:tc>
          <w:tcPr>
            <w:tcW w:w="1701" w:type="dxa"/>
          </w:tcPr>
          <w:p w14:paraId="2C6252EB" w14:textId="77777777" w:rsidR="00A052DC" w:rsidRDefault="009F0A60">
            <w:pPr>
              <w:rPr>
                <w:rFonts w:ascii="黑体" w:eastAsia="黑体" w:hAnsi="黑体"/>
                <w:sz w:val="20"/>
                <w:szCs w:val="20"/>
              </w:rPr>
            </w:pPr>
            <w:r>
              <w:rPr>
                <w:rFonts w:ascii="黑体" w:eastAsia="黑体" w:hAnsi="黑体" w:hint="eastAsia"/>
                <w:sz w:val="20"/>
                <w:szCs w:val="20"/>
              </w:rPr>
              <w:t>交易编码2</w:t>
            </w:r>
          </w:p>
        </w:tc>
        <w:tc>
          <w:tcPr>
            <w:tcW w:w="1559" w:type="dxa"/>
          </w:tcPr>
          <w:p w14:paraId="5313D12B" w14:textId="77777777" w:rsidR="00A052DC" w:rsidRDefault="009F0A60">
            <w:pPr>
              <w:rPr>
                <w:rFonts w:ascii="黑体" w:eastAsia="黑体" w:hAnsi="黑体"/>
                <w:sz w:val="20"/>
                <w:szCs w:val="20"/>
              </w:rPr>
            </w:pPr>
            <w:r>
              <w:rPr>
                <w:rFonts w:ascii="黑体" w:eastAsia="黑体" w:hAnsi="黑体" w:hint="eastAsia"/>
                <w:sz w:val="20"/>
                <w:szCs w:val="20"/>
              </w:rPr>
              <w:t>字符型，6</w:t>
            </w:r>
          </w:p>
        </w:tc>
        <w:tc>
          <w:tcPr>
            <w:tcW w:w="3969" w:type="dxa"/>
          </w:tcPr>
          <w:p w14:paraId="3A4C499F" w14:textId="77777777" w:rsidR="00A052DC" w:rsidRDefault="00DD6AA3">
            <w:pPr>
              <w:rPr>
                <w:rFonts w:ascii="黑体" w:eastAsia="黑体" w:hAnsi="黑体"/>
                <w:sz w:val="20"/>
                <w:szCs w:val="20"/>
              </w:rPr>
            </w:pPr>
            <w:r>
              <w:rPr>
                <w:rFonts w:ascii="黑体" w:eastAsia="黑体" w:hAnsi="黑体" w:hint="eastAsia"/>
                <w:sz w:val="20"/>
                <w:szCs w:val="20"/>
              </w:rPr>
              <w:t>非必填项</w:t>
            </w:r>
            <w:r w:rsidR="009F0A60">
              <w:rPr>
                <w:rFonts w:ascii="黑体" w:eastAsia="黑体" w:hAnsi="黑体" w:hint="eastAsia"/>
                <w:sz w:val="20"/>
                <w:szCs w:val="20"/>
              </w:rPr>
              <w:t>，</w:t>
            </w:r>
          </w:p>
          <w:p w14:paraId="1BB11AED" w14:textId="77777777" w:rsidR="00A052DC" w:rsidRDefault="009F0A60">
            <w:pPr>
              <w:rPr>
                <w:rFonts w:ascii="黑体" w:eastAsia="黑体" w:hAnsi="黑体"/>
                <w:sz w:val="20"/>
                <w:szCs w:val="20"/>
              </w:rPr>
            </w:pPr>
            <w:r>
              <w:rPr>
                <w:rFonts w:ascii="黑体" w:eastAsia="黑体" w:hAnsi="黑体" w:hint="eastAsia"/>
                <w:sz w:val="20"/>
                <w:szCs w:val="20"/>
              </w:rPr>
              <w:t>必须在国际收支交易编码表中存在。</w:t>
            </w:r>
          </w:p>
          <w:p w14:paraId="7462B87B" w14:textId="77777777" w:rsidR="00A052DC" w:rsidRDefault="009F0A60">
            <w:pPr>
              <w:rPr>
                <w:rFonts w:ascii="黑体" w:eastAsia="黑体" w:hAnsi="黑体"/>
                <w:sz w:val="20"/>
                <w:szCs w:val="20"/>
              </w:rPr>
            </w:pPr>
            <w:r>
              <w:rPr>
                <w:rFonts w:ascii="黑体" w:eastAsia="黑体" w:hAnsi="黑体" w:hint="eastAsia"/>
                <w:sz w:val="20"/>
                <w:szCs w:val="20"/>
              </w:rPr>
              <w:t>不能与交易编码1相同</w:t>
            </w:r>
            <w:r w:rsidR="009C6148">
              <w:rPr>
                <w:rFonts w:ascii="黑体" w:eastAsia="黑体" w:hAnsi="黑体" w:hint="eastAsia"/>
                <w:sz w:val="20"/>
                <w:szCs w:val="20"/>
              </w:rPr>
              <w:t>。</w:t>
            </w:r>
          </w:p>
          <w:p w14:paraId="0A4C4458" w14:textId="77777777" w:rsidR="00A052DC" w:rsidRDefault="009F0A60">
            <w:pPr>
              <w:rPr>
                <w:rFonts w:ascii="黑体" w:eastAsia="黑体" w:hAnsi="黑体"/>
                <w:sz w:val="20"/>
                <w:szCs w:val="20"/>
              </w:rPr>
            </w:pPr>
            <w:r>
              <w:rPr>
                <w:rFonts w:ascii="黑体" w:eastAsia="黑体" w:hAnsi="黑体" w:hint="eastAsia"/>
                <w:sz w:val="20"/>
                <w:szCs w:val="20"/>
              </w:rPr>
              <w:t>没有输入交易编码时，相应金额及交易附言不应该填写。</w:t>
            </w:r>
          </w:p>
          <w:p w14:paraId="2AE6889C" w14:textId="77777777" w:rsidR="00A052DC" w:rsidRDefault="009F0A60">
            <w:pPr>
              <w:rPr>
                <w:rFonts w:ascii="黑体" w:eastAsia="黑体" w:hAnsi="黑体"/>
                <w:sz w:val="20"/>
                <w:szCs w:val="20"/>
              </w:rPr>
            </w:pPr>
            <w:r>
              <w:rPr>
                <w:rFonts w:ascii="黑体" w:eastAsia="黑体" w:hAnsi="黑体" w:hint="eastAsia"/>
                <w:sz w:val="20"/>
                <w:szCs w:val="20"/>
              </w:rPr>
              <w:t>有交易金额2或交易附言2时必填。</w:t>
            </w:r>
          </w:p>
        </w:tc>
      </w:tr>
      <w:tr w:rsidR="00A052DC" w14:paraId="18ECC75B" w14:textId="77777777">
        <w:tc>
          <w:tcPr>
            <w:tcW w:w="1418" w:type="dxa"/>
          </w:tcPr>
          <w:p w14:paraId="3048B908" w14:textId="77777777" w:rsidR="00A052DC" w:rsidRDefault="009F0A60">
            <w:pPr>
              <w:rPr>
                <w:rFonts w:ascii="黑体" w:eastAsia="黑体" w:hAnsi="黑体"/>
                <w:sz w:val="20"/>
                <w:szCs w:val="20"/>
              </w:rPr>
            </w:pPr>
            <w:r>
              <w:rPr>
                <w:rFonts w:ascii="黑体" w:eastAsia="黑体" w:hAnsi="黑体" w:hint="eastAsia"/>
                <w:sz w:val="20"/>
                <w:szCs w:val="20"/>
              </w:rPr>
              <w:t>TC2AMT</w:t>
            </w:r>
          </w:p>
        </w:tc>
        <w:tc>
          <w:tcPr>
            <w:tcW w:w="1701" w:type="dxa"/>
          </w:tcPr>
          <w:p w14:paraId="70EF38AD" w14:textId="77777777" w:rsidR="00A052DC" w:rsidRDefault="009F0A60">
            <w:pPr>
              <w:rPr>
                <w:rFonts w:ascii="黑体" w:eastAsia="黑体" w:hAnsi="黑体"/>
                <w:sz w:val="20"/>
                <w:szCs w:val="20"/>
              </w:rPr>
            </w:pPr>
            <w:r>
              <w:rPr>
                <w:rFonts w:ascii="黑体" w:eastAsia="黑体" w:hAnsi="黑体" w:hint="eastAsia"/>
                <w:sz w:val="20"/>
                <w:szCs w:val="20"/>
              </w:rPr>
              <w:t>相应金额2</w:t>
            </w:r>
          </w:p>
        </w:tc>
        <w:tc>
          <w:tcPr>
            <w:tcW w:w="1559" w:type="dxa"/>
          </w:tcPr>
          <w:p w14:paraId="245E3DB6" w14:textId="77777777" w:rsidR="00A052DC" w:rsidRDefault="009F0A60">
            <w:pPr>
              <w:rPr>
                <w:rFonts w:ascii="黑体" w:eastAsia="黑体" w:hAnsi="黑体"/>
                <w:sz w:val="20"/>
                <w:szCs w:val="20"/>
              </w:rPr>
            </w:pPr>
            <w:r>
              <w:rPr>
                <w:rFonts w:ascii="黑体" w:eastAsia="黑体" w:hAnsi="黑体" w:hint="eastAsia"/>
                <w:sz w:val="20"/>
                <w:szCs w:val="20"/>
              </w:rPr>
              <w:t>数值型，22.0</w:t>
            </w:r>
          </w:p>
        </w:tc>
        <w:tc>
          <w:tcPr>
            <w:tcW w:w="3969" w:type="dxa"/>
          </w:tcPr>
          <w:p w14:paraId="4E722225" w14:textId="77777777" w:rsidR="00A052DC" w:rsidRDefault="00DD6AA3">
            <w:pPr>
              <w:rPr>
                <w:rFonts w:ascii="黑体" w:eastAsia="黑体" w:hAnsi="黑体"/>
                <w:sz w:val="20"/>
                <w:szCs w:val="20"/>
              </w:rPr>
            </w:pPr>
            <w:r>
              <w:rPr>
                <w:rFonts w:ascii="黑体" w:eastAsia="黑体" w:hAnsi="黑体" w:hint="eastAsia"/>
                <w:sz w:val="20"/>
                <w:szCs w:val="20"/>
              </w:rPr>
              <w:t>非必填项</w:t>
            </w:r>
            <w:r w:rsidR="009F0A60">
              <w:rPr>
                <w:rFonts w:ascii="黑体" w:eastAsia="黑体" w:hAnsi="黑体" w:hint="eastAsia"/>
                <w:sz w:val="20"/>
                <w:szCs w:val="20"/>
              </w:rPr>
              <w:t>，</w:t>
            </w:r>
          </w:p>
          <w:p w14:paraId="0B94B3AC" w14:textId="77777777" w:rsidR="00A052DC" w:rsidRDefault="009F0A60">
            <w:pPr>
              <w:rPr>
                <w:rFonts w:ascii="黑体" w:eastAsia="黑体" w:hAnsi="黑体"/>
                <w:sz w:val="20"/>
                <w:szCs w:val="20"/>
              </w:rPr>
            </w:pPr>
            <w:r>
              <w:rPr>
                <w:rFonts w:ascii="黑体" w:eastAsia="黑体" w:hAnsi="黑体" w:hint="eastAsia"/>
                <w:sz w:val="20"/>
                <w:szCs w:val="20"/>
              </w:rPr>
              <w:t>有交易编码2时必填。</w:t>
            </w:r>
          </w:p>
          <w:p w14:paraId="62BD72DF" w14:textId="77777777" w:rsidR="00A052DC" w:rsidRDefault="009F0A60">
            <w:pPr>
              <w:rPr>
                <w:rFonts w:ascii="黑体" w:eastAsia="黑体" w:hAnsi="黑体"/>
                <w:sz w:val="20"/>
                <w:szCs w:val="20"/>
              </w:rPr>
            </w:pPr>
            <w:r>
              <w:rPr>
                <w:rFonts w:ascii="黑体" w:eastAsia="黑体" w:hAnsi="黑体" w:hint="eastAsia"/>
                <w:sz w:val="20"/>
                <w:szCs w:val="20"/>
              </w:rPr>
              <w:t>两个交易编码对应的金额之和必须等于收入款金额。</w:t>
            </w:r>
          </w:p>
        </w:tc>
      </w:tr>
      <w:tr w:rsidR="00A052DC" w14:paraId="2FC4AE0B" w14:textId="77777777">
        <w:tc>
          <w:tcPr>
            <w:tcW w:w="1418" w:type="dxa"/>
          </w:tcPr>
          <w:p w14:paraId="4EA8A894" w14:textId="77777777" w:rsidR="00A052DC" w:rsidRDefault="009F0A60">
            <w:pPr>
              <w:rPr>
                <w:rFonts w:ascii="黑体" w:eastAsia="黑体" w:hAnsi="黑体"/>
                <w:sz w:val="20"/>
                <w:szCs w:val="20"/>
              </w:rPr>
            </w:pPr>
            <w:r>
              <w:rPr>
                <w:rFonts w:ascii="黑体" w:eastAsia="黑体" w:hAnsi="黑体" w:hint="eastAsia"/>
                <w:sz w:val="20"/>
                <w:szCs w:val="20"/>
              </w:rPr>
              <w:t>TX2REM</w:t>
            </w:r>
          </w:p>
        </w:tc>
        <w:tc>
          <w:tcPr>
            <w:tcW w:w="1701" w:type="dxa"/>
          </w:tcPr>
          <w:p w14:paraId="37580A49" w14:textId="77777777" w:rsidR="00A052DC" w:rsidRDefault="009F0A60">
            <w:pPr>
              <w:rPr>
                <w:rFonts w:ascii="黑体" w:eastAsia="黑体" w:hAnsi="黑体"/>
                <w:sz w:val="20"/>
                <w:szCs w:val="20"/>
              </w:rPr>
            </w:pPr>
            <w:r>
              <w:rPr>
                <w:rFonts w:ascii="黑体" w:eastAsia="黑体" w:hAnsi="黑体" w:hint="eastAsia"/>
                <w:sz w:val="20"/>
                <w:szCs w:val="20"/>
              </w:rPr>
              <w:t>交易附言2</w:t>
            </w:r>
          </w:p>
        </w:tc>
        <w:tc>
          <w:tcPr>
            <w:tcW w:w="1559" w:type="dxa"/>
          </w:tcPr>
          <w:p w14:paraId="478F682A" w14:textId="77777777" w:rsidR="00A052DC" w:rsidRDefault="009F0A60">
            <w:pPr>
              <w:rPr>
                <w:rFonts w:ascii="黑体" w:eastAsia="黑体" w:hAnsi="黑体"/>
                <w:sz w:val="20"/>
                <w:szCs w:val="20"/>
              </w:rPr>
            </w:pPr>
            <w:r>
              <w:rPr>
                <w:rFonts w:ascii="黑体" w:eastAsia="黑体" w:hAnsi="黑体" w:hint="eastAsia"/>
                <w:sz w:val="20"/>
                <w:szCs w:val="20"/>
              </w:rPr>
              <w:t>字符型，256</w:t>
            </w:r>
          </w:p>
        </w:tc>
        <w:tc>
          <w:tcPr>
            <w:tcW w:w="3969" w:type="dxa"/>
          </w:tcPr>
          <w:p w14:paraId="639BDE56" w14:textId="77777777" w:rsidR="00A052DC" w:rsidRDefault="00DD6AA3">
            <w:pPr>
              <w:rPr>
                <w:rFonts w:ascii="黑体" w:eastAsia="黑体" w:hAnsi="黑体"/>
                <w:sz w:val="20"/>
                <w:szCs w:val="20"/>
              </w:rPr>
            </w:pPr>
            <w:r>
              <w:rPr>
                <w:rFonts w:ascii="黑体" w:eastAsia="黑体" w:hAnsi="黑体" w:hint="eastAsia"/>
                <w:sz w:val="20"/>
                <w:szCs w:val="20"/>
              </w:rPr>
              <w:t>非必填项</w:t>
            </w:r>
            <w:r w:rsidR="009F0A60">
              <w:rPr>
                <w:rFonts w:ascii="黑体" w:eastAsia="黑体" w:hAnsi="黑体" w:hint="eastAsia"/>
                <w:sz w:val="20"/>
                <w:szCs w:val="20"/>
              </w:rPr>
              <w:t>，</w:t>
            </w:r>
          </w:p>
          <w:p w14:paraId="6DAD633B" w14:textId="77777777" w:rsidR="00A052DC" w:rsidRDefault="009F0A60">
            <w:pPr>
              <w:rPr>
                <w:rFonts w:ascii="黑体" w:eastAsia="黑体" w:hAnsi="黑体"/>
                <w:sz w:val="20"/>
                <w:szCs w:val="20"/>
              </w:rPr>
            </w:pPr>
            <w:r>
              <w:rPr>
                <w:rFonts w:ascii="黑体" w:eastAsia="黑体" w:hAnsi="黑体" w:hint="eastAsia"/>
                <w:sz w:val="20"/>
                <w:szCs w:val="20"/>
              </w:rPr>
              <w:t>有交易编码2时必填。</w:t>
            </w:r>
          </w:p>
        </w:tc>
      </w:tr>
      <w:tr w:rsidR="00A052DC" w14:paraId="585C230C" w14:textId="77777777">
        <w:tc>
          <w:tcPr>
            <w:tcW w:w="1418" w:type="dxa"/>
          </w:tcPr>
          <w:p w14:paraId="2755AD25" w14:textId="77777777" w:rsidR="00A052DC" w:rsidRDefault="009F0A60">
            <w:pPr>
              <w:rPr>
                <w:rFonts w:ascii="黑体" w:eastAsia="黑体" w:hAnsi="黑体"/>
                <w:sz w:val="20"/>
                <w:szCs w:val="20"/>
              </w:rPr>
            </w:pPr>
            <w:r>
              <w:rPr>
                <w:rFonts w:ascii="黑体" w:eastAsia="黑体" w:hAnsi="黑体" w:hint="eastAsia"/>
                <w:sz w:val="20"/>
                <w:szCs w:val="20"/>
              </w:rPr>
              <w:t>ISREF</w:t>
            </w:r>
          </w:p>
        </w:tc>
        <w:tc>
          <w:tcPr>
            <w:tcW w:w="1701" w:type="dxa"/>
          </w:tcPr>
          <w:p w14:paraId="1CE0336B" w14:textId="77777777" w:rsidR="00A052DC" w:rsidRDefault="009F0A60">
            <w:pPr>
              <w:rPr>
                <w:rFonts w:ascii="黑体" w:eastAsia="黑体" w:hAnsi="黑体"/>
                <w:sz w:val="20"/>
                <w:szCs w:val="20"/>
              </w:rPr>
            </w:pPr>
            <w:r>
              <w:rPr>
                <w:rFonts w:ascii="黑体" w:eastAsia="黑体" w:hAnsi="黑体" w:hint="eastAsia"/>
                <w:sz w:val="20"/>
                <w:szCs w:val="20"/>
              </w:rPr>
              <w:t>是否保税货物项下收汇</w:t>
            </w:r>
          </w:p>
        </w:tc>
        <w:tc>
          <w:tcPr>
            <w:tcW w:w="1559" w:type="dxa"/>
          </w:tcPr>
          <w:p w14:paraId="60215494" w14:textId="77777777" w:rsidR="00A052DC" w:rsidRDefault="009F0A60">
            <w:pPr>
              <w:rPr>
                <w:rFonts w:ascii="黑体" w:eastAsia="黑体" w:hAnsi="黑体"/>
                <w:sz w:val="20"/>
                <w:szCs w:val="20"/>
              </w:rPr>
            </w:pPr>
            <w:r>
              <w:rPr>
                <w:rFonts w:ascii="黑体" w:eastAsia="黑体" w:hAnsi="黑体" w:hint="eastAsia"/>
                <w:sz w:val="20"/>
                <w:szCs w:val="20"/>
              </w:rPr>
              <w:t>字符型，1</w:t>
            </w:r>
          </w:p>
        </w:tc>
        <w:tc>
          <w:tcPr>
            <w:tcW w:w="3969" w:type="dxa"/>
          </w:tcPr>
          <w:p w14:paraId="79B6A141" w14:textId="77777777" w:rsidR="00A052DC" w:rsidRDefault="009F0A60">
            <w:pPr>
              <w:rPr>
                <w:rFonts w:ascii="黑体" w:eastAsia="黑体" w:hAnsi="黑体"/>
                <w:sz w:val="20"/>
                <w:szCs w:val="20"/>
              </w:rPr>
            </w:pPr>
            <w:r>
              <w:rPr>
                <w:rFonts w:ascii="黑体" w:eastAsia="黑体" w:hAnsi="黑体" w:hint="eastAsia"/>
                <w:sz w:val="20"/>
                <w:szCs w:val="20"/>
              </w:rPr>
              <w:t>Y</w:t>
            </w:r>
            <w:r w:rsidR="00AE4602">
              <w:rPr>
                <w:rFonts w:ascii="黑体" w:eastAsia="黑体" w:hAnsi="黑体" w:hint="eastAsia"/>
                <w:sz w:val="20"/>
                <w:szCs w:val="20"/>
              </w:rPr>
              <w:t>-</w:t>
            </w:r>
            <w:r>
              <w:rPr>
                <w:rFonts w:ascii="黑体" w:eastAsia="黑体" w:hAnsi="黑体" w:hint="eastAsia"/>
                <w:sz w:val="20"/>
                <w:szCs w:val="20"/>
              </w:rPr>
              <w:t>是</w:t>
            </w:r>
          </w:p>
          <w:p w14:paraId="6E55459A" w14:textId="77777777" w:rsidR="00A052DC" w:rsidRDefault="009F0A60" w:rsidP="007A3AE7">
            <w:pPr>
              <w:rPr>
                <w:rFonts w:ascii="黑体" w:eastAsia="黑体" w:hAnsi="黑体"/>
                <w:sz w:val="20"/>
                <w:szCs w:val="20"/>
              </w:rPr>
            </w:pPr>
            <w:r>
              <w:rPr>
                <w:rFonts w:ascii="黑体" w:eastAsia="黑体" w:hAnsi="黑体" w:hint="eastAsia"/>
                <w:sz w:val="20"/>
                <w:szCs w:val="20"/>
              </w:rPr>
              <w:t>N</w:t>
            </w:r>
            <w:r w:rsidR="00AE4602">
              <w:rPr>
                <w:rFonts w:ascii="黑体" w:eastAsia="黑体" w:hAnsi="黑体" w:hint="eastAsia"/>
                <w:sz w:val="20"/>
                <w:szCs w:val="20"/>
              </w:rPr>
              <w:t>-</w:t>
            </w:r>
            <w:r>
              <w:rPr>
                <w:rFonts w:ascii="黑体" w:eastAsia="黑体" w:hAnsi="黑体" w:hint="eastAsia"/>
                <w:sz w:val="20"/>
                <w:szCs w:val="20"/>
              </w:rPr>
              <w:t>否</w:t>
            </w:r>
          </w:p>
        </w:tc>
      </w:tr>
      <w:tr w:rsidR="00A052DC" w14:paraId="5737C72C" w14:textId="77777777">
        <w:tc>
          <w:tcPr>
            <w:tcW w:w="1418" w:type="dxa"/>
          </w:tcPr>
          <w:p w14:paraId="61B9782C" w14:textId="77777777" w:rsidR="00A052DC" w:rsidRDefault="009F0A60">
            <w:pPr>
              <w:rPr>
                <w:rFonts w:ascii="黑体" w:eastAsia="黑体" w:hAnsi="黑体"/>
                <w:sz w:val="20"/>
                <w:szCs w:val="20"/>
              </w:rPr>
            </w:pPr>
            <w:r>
              <w:rPr>
                <w:rFonts w:ascii="黑体" w:eastAsia="黑体" w:hAnsi="黑体" w:hint="eastAsia"/>
                <w:sz w:val="20"/>
                <w:szCs w:val="20"/>
              </w:rPr>
              <w:t>BILLNO</w:t>
            </w:r>
          </w:p>
        </w:tc>
        <w:tc>
          <w:tcPr>
            <w:tcW w:w="1701" w:type="dxa"/>
          </w:tcPr>
          <w:p w14:paraId="234410A5" w14:textId="77777777" w:rsidR="00A052DC" w:rsidRDefault="009F0A60">
            <w:pPr>
              <w:rPr>
                <w:rFonts w:ascii="黑体" w:eastAsia="黑体" w:hAnsi="黑体"/>
                <w:sz w:val="20"/>
                <w:szCs w:val="20"/>
              </w:rPr>
            </w:pPr>
            <w:r>
              <w:rPr>
                <w:rFonts w:ascii="黑体" w:eastAsia="黑体" w:hAnsi="黑体" w:hint="eastAsia"/>
                <w:sz w:val="20"/>
                <w:szCs w:val="20"/>
              </w:rPr>
              <w:t>外汇局批件号/备案表号/业务编号</w:t>
            </w:r>
          </w:p>
        </w:tc>
        <w:tc>
          <w:tcPr>
            <w:tcW w:w="1559" w:type="dxa"/>
          </w:tcPr>
          <w:p w14:paraId="053F498F" w14:textId="77777777" w:rsidR="00A052DC" w:rsidRDefault="009F0A60">
            <w:pPr>
              <w:rPr>
                <w:rFonts w:ascii="黑体" w:eastAsia="黑体" w:hAnsi="黑体"/>
                <w:sz w:val="20"/>
                <w:szCs w:val="20"/>
              </w:rPr>
            </w:pPr>
            <w:r>
              <w:rPr>
                <w:rFonts w:ascii="黑体" w:eastAsia="黑体" w:hAnsi="黑体" w:hint="eastAsia"/>
                <w:sz w:val="20"/>
                <w:szCs w:val="20"/>
              </w:rPr>
              <w:t>字符型，50</w:t>
            </w:r>
          </w:p>
        </w:tc>
        <w:tc>
          <w:tcPr>
            <w:tcW w:w="3969" w:type="dxa"/>
          </w:tcPr>
          <w:p w14:paraId="67F5AE97" w14:textId="77777777" w:rsidR="00A052DC" w:rsidRDefault="00DD6AA3">
            <w:pPr>
              <w:rPr>
                <w:rFonts w:ascii="黑体" w:eastAsia="黑体" w:hAnsi="黑体"/>
                <w:sz w:val="20"/>
                <w:szCs w:val="20"/>
              </w:rPr>
            </w:pPr>
            <w:r>
              <w:rPr>
                <w:rFonts w:ascii="黑体" w:eastAsia="黑体" w:hAnsi="黑体" w:hint="eastAsia"/>
                <w:sz w:val="20"/>
                <w:szCs w:val="20"/>
              </w:rPr>
              <w:t>非必填项</w:t>
            </w:r>
            <w:r w:rsidR="009F0A60">
              <w:rPr>
                <w:rFonts w:ascii="黑体" w:eastAsia="黑体" w:hAnsi="黑体" w:hint="eastAsia"/>
                <w:sz w:val="20"/>
                <w:szCs w:val="20"/>
              </w:rPr>
              <w:t>，根据本笔收入所涉及的外汇局批件号、备案表号、业务编号进行填写。如果本笔涉外收入涉及外汇局核准件，则优先填写该核准件编号。若本笔收入涉及货物贸易登记表，则填写相应的业务登记表编号。交易编码以“3”、“5”、“6”、“7”、“8”和部分“2”、“9”开头或涉及账户性质为资本项目性质账户的，“外汇局批件号/备案表号/业务编号”为必填项，填写规则参见《银行资本项目下数据报送参考规则》；对于《银行资本项目下数据报送参考规则》中未提到的情况，且不需要外汇局核准的（即确实没有对应的“外汇局批件号/备案表号/业务编号”），则应填写“N/A”（大写英文字母）。</w:t>
            </w:r>
          </w:p>
        </w:tc>
      </w:tr>
      <w:tr w:rsidR="00A052DC" w14:paraId="17101EB1" w14:textId="77777777">
        <w:tc>
          <w:tcPr>
            <w:tcW w:w="1418" w:type="dxa"/>
          </w:tcPr>
          <w:p w14:paraId="11E0C78B" w14:textId="77777777" w:rsidR="00A052DC" w:rsidRDefault="009F0A60">
            <w:pPr>
              <w:rPr>
                <w:rFonts w:ascii="黑体" w:eastAsia="黑体" w:hAnsi="黑体"/>
                <w:sz w:val="20"/>
                <w:szCs w:val="20"/>
              </w:rPr>
            </w:pPr>
            <w:r>
              <w:rPr>
                <w:rFonts w:ascii="黑体" w:eastAsia="黑体" w:hAnsi="黑体" w:hint="eastAsia"/>
                <w:sz w:val="20"/>
                <w:szCs w:val="20"/>
              </w:rPr>
              <w:t>PAYATTR</w:t>
            </w:r>
          </w:p>
        </w:tc>
        <w:tc>
          <w:tcPr>
            <w:tcW w:w="1701" w:type="dxa"/>
          </w:tcPr>
          <w:p w14:paraId="7753C9D4" w14:textId="77777777" w:rsidR="00A052DC" w:rsidRDefault="009F0A60">
            <w:pPr>
              <w:rPr>
                <w:rFonts w:ascii="黑体" w:eastAsia="黑体" w:hAnsi="黑体"/>
                <w:sz w:val="20"/>
                <w:szCs w:val="20"/>
              </w:rPr>
            </w:pPr>
            <w:r>
              <w:rPr>
                <w:rFonts w:ascii="黑体" w:eastAsia="黑体" w:hAnsi="黑体" w:hint="eastAsia"/>
                <w:sz w:val="20"/>
                <w:szCs w:val="20"/>
              </w:rPr>
              <w:t>收入类型</w:t>
            </w:r>
          </w:p>
        </w:tc>
        <w:tc>
          <w:tcPr>
            <w:tcW w:w="1559" w:type="dxa"/>
          </w:tcPr>
          <w:p w14:paraId="6472BBE8" w14:textId="77777777" w:rsidR="00A052DC" w:rsidRDefault="009F0A60">
            <w:pPr>
              <w:rPr>
                <w:rFonts w:ascii="黑体" w:eastAsia="黑体" w:hAnsi="黑体"/>
                <w:sz w:val="20"/>
                <w:szCs w:val="20"/>
              </w:rPr>
            </w:pPr>
            <w:r>
              <w:rPr>
                <w:rFonts w:ascii="黑体" w:eastAsia="黑体" w:hAnsi="黑体" w:hint="eastAsia"/>
                <w:sz w:val="20"/>
                <w:szCs w:val="20"/>
              </w:rPr>
              <w:t>字符型，1</w:t>
            </w:r>
          </w:p>
        </w:tc>
        <w:tc>
          <w:tcPr>
            <w:tcW w:w="3969" w:type="dxa"/>
          </w:tcPr>
          <w:p w14:paraId="209F90B8" w14:textId="77777777" w:rsidR="00A052DC" w:rsidRDefault="00DD6AA3">
            <w:pPr>
              <w:rPr>
                <w:rFonts w:ascii="黑体" w:eastAsia="黑体" w:hAnsi="黑体"/>
                <w:sz w:val="20"/>
                <w:szCs w:val="20"/>
              </w:rPr>
            </w:pPr>
            <w:r>
              <w:rPr>
                <w:rFonts w:ascii="黑体" w:eastAsia="黑体" w:hAnsi="黑体" w:hint="eastAsia"/>
                <w:sz w:val="20"/>
                <w:szCs w:val="20"/>
              </w:rPr>
              <w:t>非必填项</w:t>
            </w:r>
            <w:r w:rsidR="006237F5">
              <w:rPr>
                <w:rFonts w:ascii="黑体" w:eastAsia="黑体" w:hAnsi="黑体" w:hint="eastAsia"/>
                <w:sz w:val="20"/>
                <w:szCs w:val="20"/>
              </w:rPr>
              <w:t>。</w:t>
            </w:r>
          </w:p>
          <w:p w14:paraId="247FA9BA" w14:textId="77777777" w:rsidR="00A052DC" w:rsidRDefault="009F0A60">
            <w:pPr>
              <w:rPr>
                <w:rFonts w:ascii="黑体" w:eastAsia="黑体" w:hAnsi="黑体"/>
                <w:sz w:val="20"/>
                <w:szCs w:val="20"/>
              </w:rPr>
            </w:pPr>
            <w:r>
              <w:rPr>
                <w:rFonts w:ascii="黑体" w:eastAsia="黑体" w:hAnsi="黑体" w:hint="eastAsia"/>
                <w:sz w:val="20"/>
                <w:szCs w:val="20"/>
              </w:rPr>
              <w:t>F-福费廷</w:t>
            </w:r>
          </w:p>
          <w:p w14:paraId="509F17F7" w14:textId="77777777" w:rsidR="00A052DC" w:rsidRDefault="009F0A60">
            <w:pPr>
              <w:rPr>
                <w:rFonts w:ascii="黑体" w:eastAsia="黑体" w:hAnsi="黑体"/>
                <w:sz w:val="20"/>
                <w:szCs w:val="20"/>
              </w:rPr>
            </w:pPr>
            <w:r>
              <w:rPr>
                <w:rFonts w:ascii="黑体" w:eastAsia="黑体" w:hAnsi="黑体" w:hint="eastAsia"/>
                <w:sz w:val="20"/>
                <w:szCs w:val="20"/>
              </w:rPr>
              <w:t>T-出口保理</w:t>
            </w:r>
          </w:p>
          <w:p w14:paraId="02673EF1" w14:textId="77777777" w:rsidR="00A052DC" w:rsidRDefault="009F0A60">
            <w:pPr>
              <w:rPr>
                <w:rFonts w:ascii="黑体" w:eastAsia="黑体" w:hAnsi="黑体"/>
                <w:sz w:val="20"/>
                <w:szCs w:val="20"/>
              </w:rPr>
            </w:pPr>
            <w:r>
              <w:rPr>
                <w:rFonts w:ascii="黑体" w:eastAsia="黑体" w:hAnsi="黑体" w:hint="eastAsia"/>
                <w:sz w:val="20"/>
                <w:szCs w:val="20"/>
              </w:rPr>
              <w:t>N-出口押汇</w:t>
            </w:r>
          </w:p>
          <w:p w14:paraId="4DE65FB8" w14:textId="77777777" w:rsidR="00A052DC" w:rsidRDefault="009F0A60">
            <w:pPr>
              <w:rPr>
                <w:rFonts w:ascii="黑体" w:eastAsia="黑体" w:hAnsi="黑体"/>
                <w:sz w:val="20"/>
                <w:szCs w:val="20"/>
              </w:rPr>
            </w:pPr>
            <w:r>
              <w:rPr>
                <w:rFonts w:ascii="黑体" w:eastAsia="黑体" w:hAnsi="黑体" w:hint="eastAsia"/>
                <w:sz w:val="20"/>
                <w:szCs w:val="20"/>
              </w:rPr>
              <w:t>D-出口贴现</w:t>
            </w:r>
          </w:p>
          <w:p w14:paraId="19F2EA38" w14:textId="77777777" w:rsidR="00A052DC" w:rsidRDefault="009F0A60">
            <w:pPr>
              <w:rPr>
                <w:rFonts w:ascii="黑体" w:eastAsia="黑体" w:hAnsi="黑体"/>
                <w:sz w:val="20"/>
                <w:szCs w:val="20"/>
              </w:rPr>
            </w:pPr>
            <w:r>
              <w:rPr>
                <w:rFonts w:ascii="黑体" w:eastAsia="黑体" w:hAnsi="黑体" w:hint="eastAsia"/>
                <w:sz w:val="20"/>
                <w:szCs w:val="20"/>
              </w:rPr>
              <w:t>O-其他贸易融资</w:t>
            </w:r>
          </w:p>
        </w:tc>
      </w:tr>
      <w:tr w:rsidR="00A052DC" w14:paraId="4AED1156" w14:textId="77777777">
        <w:tc>
          <w:tcPr>
            <w:tcW w:w="1418" w:type="dxa"/>
          </w:tcPr>
          <w:p w14:paraId="6076368E" w14:textId="77777777" w:rsidR="00A052DC" w:rsidRDefault="009F0A60">
            <w:pPr>
              <w:rPr>
                <w:rFonts w:ascii="黑体" w:eastAsia="黑体" w:hAnsi="黑体"/>
                <w:sz w:val="20"/>
                <w:szCs w:val="20"/>
              </w:rPr>
            </w:pPr>
            <w:r>
              <w:rPr>
                <w:rFonts w:ascii="黑体" w:eastAsia="黑体" w:hAnsi="黑体" w:hint="eastAsia"/>
                <w:sz w:val="20"/>
                <w:szCs w:val="20"/>
              </w:rPr>
              <w:t>CRTUSER</w:t>
            </w:r>
          </w:p>
        </w:tc>
        <w:tc>
          <w:tcPr>
            <w:tcW w:w="1701" w:type="dxa"/>
          </w:tcPr>
          <w:p w14:paraId="3217BFA7" w14:textId="77777777" w:rsidR="00A052DC" w:rsidRDefault="009F0A60">
            <w:pPr>
              <w:rPr>
                <w:rFonts w:ascii="黑体" w:eastAsia="黑体" w:hAnsi="黑体"/>
                <w:sz w:val="20"/>
                <w:szCs w:val="20"/>
              </w:rPr>
            </w:pPr>
            <w:r>
              <w:rPr>
                <w:rFonts w:ascii="黑体" w:eastAsia="黑体" w:hAnsi="黑体" w:hint="eastAsia"/>
                <w:sz w:val="20"/>
                <w:szCs w:val="20"/>
              </w:rPr>
              <w:t>填报人</w:t>
            </w:r>
          </w:p>
        </w:tc>
        <w:tc>
          <w:tcPr>
            <w:tcW w:w="1559" w:type="dxa"/>
          </w:tcPr>
          <w:p w14:paraId="542029E1" w14:textId="77777777" w:rsidR="00A052DC" w:rsidRDefault="009F0A60">
            <w:pPr>
              <w:rPr>
                <w:rFonts w:ascii="黑体" w:eastAsia="黑体" w:hAnsi="黑体"/>
                <w:sz w:val="20"/>
                <w:szCs w:val="20"/>
              </w:rPr>
            </w:pPr>
            <w:r>
              <w:rPr>
                <w:rFonts w:ascii="黑体" w:eastAsia="黑体" w:hAnsi="黑体" w:hint="eastAsia"/>
                <w:sz w:val="20"/>
                <w:szCs w:val="20"/>
              </w:rPr>
              <w:t>字符型，20</w:t>
            </w:r>
          </w:p>
        </w:tc>
        <w:tc>
          <w:tcPr>
            <w:tcW w:w="3969" w:type="dxa"/>
          </w:tcPr>
          <w:p w14:paraId="70F39020"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r w:rsidR="00A052DC" w14:paraId="081AA8BE" w14:textId="77777777">
        <w:tc>
          <w:tcPr>
            <w:tcW w:w="1418" w:type="dxa"/>
          </w:tcPr>
          <w:p w14:paraId="03BEF7DF" w14:textId="77777777" w:rsidR="00A052DC" w:rsidRDefault="009F0A60">
            <w:pPr>
              <w:rPr>
                <w:rFonts w:ascii="黑体" w:eastAsia="黑体" w:hAnsi="黑体"/>
                <w:sz w:val="20"/>
                <w:szCs w:val="20"/>
              </w:rPr>
            </w:pPr>
            <w:r>
              <w:rPr>
                <w:rFonts w:ascii="黑体" w:eastAsia="黑体" w:hAnsi="黑体" w:hint="eastAsia"/>
                <w:sz w:val="20"/>
                <w:szCs w:val="20"/>
              </w:rPr>
              <w:t>INPTELC</w:t>
            </w:r>
          </w:p>
        </w:tc>
        <w:tc>
          <w:tcPr>
            <w:tcW w:w="1701" w:type="dxa"/>
          </w:tcPr>
          <w:p w14:paraId="5037E181" w14:textId="77777777" w:rsidR="00A052DC" w:rsidRDefault="009F0A60">
            <w:pPr>
              <w:rPr>
                <w:rFonts w:ascii="黑体" w:eastAsia="黑体" w:hAnsi="黑体"/>
                <w:sz w:val="20"/>
                <w:szCs w:val="20"/>
              </w:rPr>
            </w:pPr>
            <w:r>
              <w:rPr>
                <w:rFonts w:ascii="黑体" w:eastAsia="黑体" w:hAnsi="黑体" w:hint="eastAsia"/>
                <w:sz w:val="20"/>
                <w:szCs w:val="20"/>
              </w:rPr>
              <w:t>填报人电话</w:t>
            </w:r>
          </w:p>
        </w:tc>
        <w:tc>
          <w:tcPr>
            <w:tcW w:w="1559" w:type="dxa"/>
          </w:tcPr>
          <w:p w14:paraId="0AD2F43F" w14:textId="77777777" w:rsidR="00A052DC" w:rsidRDefault="009F0A60">
            <w:pPr>
              <w:rPr>
                <w:rFonts w:ascii="黑体" w:eastAsia="黑体" w:hAnsi="黑体"/>
                <w:sz w:val="20"/>
                <w:szCs w:val="20"/>
              </w:rPr>
            </w:pPr>
            <w:r>
              <w:rPr>
                <w:rFonts w:ascii="黑体" w:eastAsia="黑体" w:hAnsi="黑体" w:hint="eastAsia"/>
                <w:sz w:val="20"/>
                <w:szCs w:val="20"/>
              </w:rPr>
              <w:t>字符型，20</w:t>
            </w:r>
          </w:p>
        </w:tc>
        <w:tc>
          <w:tcPr>
            <w:tcW w:w="3969" w:type="dxa"/>
          </w:tcPr>
          <w:p w14:paraId="59F0DB51"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r w:rsidR="00A052DC" w14:paraId="773D7BC6" w14:textId="77777777">
        <w:tc>
          <w:tcPr>
            <w:tcW w:w="1418" w:type="dxa"/>
            <w:tcBorders>
              <w:top w:val="single" w:sz="4" w:space="0" w:color="auto"/>
              <w:left w:val="single" w:sz="4" w:space="0" w:color="auto"/>
              <w:bottom w:val="single" w:sz="4" w:space="0" w:color="auto"/>
              <w:right w:val="single" w:sz="4" w:space="0" w:color="auto"/>
            </w:tcBorders>
          </w:tcPr>
          <w:p w14:paraId="01C82D3C" w14:textId="77777777" w:rsidR="00A052DC" w:rsidRDefault="009F0A60">
            <w:pPr>
              <w:rPr>
                <w:rFonts w:ascii="黑体" w:eastAsia="黑体" w:hAnsi="黑体"/>
                <w:sz w:val="20"/>
                <w:szCs w:val="20"/>
              </w:rPr>
            </w:pPr>
            <w:r>
              <w:rPr>
                <w:rFonts w:ascii="黑体" w:eastAsia="黑体" w:hAnsi="黑体" w:hint="eastAsia"/>
                <w:sz w:val="20"/>
                <w:szCs w:val="20"/>
              </w:rPr>
              <w:t>RPTDATE</w:t>
            </w:r>
          </w:p>
        </w:tc>
        <w:tc>
          <w:tcPr>
            <w:tcW w:w="1701" w:type="dxa"/>
            <w:tcBorders>
              <w:top w:val="single" w:sz="4" w:space="0" w:color="auto"/>
              <w:left w:val="single" w:sz="4" w:space="0" w:color="auto"/>
              <w:bottom w:val="single" w:sz="4" w:space="0" w:color="auto"/>
              <w:right w:val="single" w:sz="4" w:space="0" w:color="auto"/>
            </w:tcBorders>
          </w:tcPr>
          <w:p w14:paraId="777C10B7" w14:textId="77777777" w:rsidR="00A052DC" w:rsidRDefault="009F0A60">
            <w:pPr>
              <w:rPr>
                <w:rFonts w:ascii="黑体" w:eastAsia="黑体" w:hAnsi="黑体"/>
                <w:sz w:val="20"/>
                <w:szCs w:val="20"/>
              </w:rPr>
            </w:pPr>
            <w:r>
              <w:rPr>
                <w:rFonts w:ascii="黑体" w:eastAsia="黑体" w:hAnsi="黑体" w:hint="eastAsia"/>
                <w:sz w:val="20"/>
                <w:szCs w:val="20"/>
              </w:rPr>
              <w:t>申报日期</w:t>
            </w:r>
          </w:p>
        </w:tc>
        <w:tc>
          <w:tcPr>
            <w:tcW w:w="1559" w:type="dxa"/>
            <w:tcBorders>
              <w:top w:val="single" w:sz="4" w:space="0" w:color="auto"/>
              <w:left w:val="single" w:sz="4" w:space="0" w:color="auto"/>
              <w:bottom w:val="single" w:sz="4" w:space="0" w:color="auto"/>
              <w:right w:val="single" w:sz="4" w:space="0" w:color="auto"/>
            </w:tcBorders>
          </w:tcPr>
          <w:p w14:paraId="6D9A25FB" w14:textId="77777777" w:rsidR="00A052DC" w:rsidRDefault="009F0A60">
            <w:pPr>
              <w:rPr>
                <w:rFonts w:ascii="黑体" w:eastAsia="黑体" w:hAnsi="黑体"/>
                <w:sz w:val="20"/>
                <w:szCs w:val="20"/>
              </w:rPr>
            </w:pPr>
            <w:r>
              <w:rPr>
                <w:rFonts w:ascii="黑体" w:eastAsia="黑体" w:hAnsi="黑体" w:hint="eastAsia"/>
                <w:sz w:val="20"/>
                <w:szCs w:val="20"/>
              </w:rPr>
              <w:t>日期型， 8</w:t>
            </w:r>
          </w:p>
          <w:p w14:paraId="4DAFF582" w14:textId="77777777" w:rsidR="00A052DC" w:rsidRDefault="009F0A60">
            <w:pPr>
              <w:rPr>
                <w:rFonts w:ascii="黑体" w:eastAsia="黑体" w:hAnsi="黑体"/>
                <w:sz w:val="20"/>
                <w:szCs w:val="20"/>
              </w:rPr>
            </w:pPr>
            <w:r>
              <w:rPr>
                <w:rFonts w:ascii="黑体" w:eastAsia="黑体" w:hAnsi="黑体" w:hint="eastAsia"/>
                <w:sz w:val="20"/>
                <w:szCs w:val="20"/>
              </w:rPr>
              <w:t>YYYYMMDD</w:t>
            </w:r>
          </w:p>
        </w:tc>
        <w:tc>
          <w:tcPr>
            <w:tcW w:w="3969" w:type="dxa"/>
            <w:tcBorders>
              <w:top w:val="single" w:sz="4" w:space="0" w:color="auto"/>
              <w:left w:val="single" w:sz="4" w:space="0" w:color="auto"/>
              <w:bottom w:val="single" w:sz="4" w:space="0" w:color="auto"/>
              <w:right w:val="single" w:sz="4" w:space="0" w:color="auto"/>
            </w:tcBorders>
          </w:tcPr>
          <w:p w14:paraId="726A68A5" w14:textId="77777777" w:rsidR="00A052DC" w:rsidRDefault="009F0A60">
            <w:pPr>
              <w:rPr>
                <w:rFonts w:ascii="黑体" w:eastAsia="黑体" w:hAnsi="黑体"/>
                <w:sz w:val="20"/>
                <w:szCs w:val="20"/>
              </w:rPr>
            </w:pPr>
            <w:r>
              <w:rPr>
                <w:rFonts w:ascii="黑体" w:eastAsia="黑体" w:hAnsi="黑体" w:hint="eastAsia"/>
                <w:sz w:val="20"/>
                <w:szCs w:val="20"/>
              </w:rPr>
              <w:t>必填项，按申报主体真实申报日期填写。申报日期&gt;=申报号码中的日期。</w:t>
            </w:r>
          </w:p>
        </w:tc>
      </w:tr>
    </w:tbl>
    <w:p w14:paraId="0CC24242" w14:textId="77777777" w:rsidR="00A052DC" w:rsidRDefault="009F0A60">
      <w:pPr>
        <w:pStyle w:val="3"/>
        <w:numPr>
          <w:ilvl w:val="2"/>
          <w:numId w:val="13"/>
        </w:numPr>
        <w:ind w:left="0"/>
      </w:pPr>
      <w:bookmarkStart w:id="953" w:name="_Toc91455267"/>
      <w:bookmarkStart w:id="954" w:name="_Toc454386759"/>
      <w:bookmarkStart w:id="955" w:name="_Toc101684440"/>
      <w:r>
        <w:rPr>
          <w:rFonts w:hint="eastAsia"/>
        </w:rPr>
        <w:t>境外汇款申请书</w:t>
      </w:r>
      <w:r>
        <w:rPr>
          <w:rFonts w:ascii="Times New Roman" w:hAnsi="Times New Roman"/>
        </w:rPr>
        <w:t>-</w:t>
      </w:r>
      <w:r>
        <w:rPr>
          <w:rFonts w:ascii="Times New Roman" w:hAnsi="Times New Roman" w:hint="eastAsia"/>
        </w:rPr>
        <w:t>基础信息</w:t>
      </w:r>
      <w:bookmarkEnd w:id="953"/>
      <w:bookmarkEnd w:id="954"/>
      <w:bookmarkEnd w:id="955"/>
    </w:p>
    <w:p w14:paraId="1374A40A" w14:textId="77777777" w:rsidR="00A052DC" w:rsidRDefault="009F0A60" w:rsidP="0020251D">
      <w:pPr>
        <w:pStyle w:val="4"/>
        <w:numPr>
          <w:ilvl w:val="3"/>
          <w:numId w:val="1"/>
        </w:numPr>
        <w:jc w:val="left"/>
      </w:pPr>
      <w:bookmarkStart w:id="956" w:name="_Toc454386760"/>
      <w:r>
        <w:rPr>
          <w:rFonts w:hint="eastAsia"/>
        </w:rPr>
        <w:t>数据术语解释</w:t>
      </w:r>
      <w:bookmarkEnd w:id="956"/>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26"/>
        <w:gridCol w:w="7229"/>
      </w:tblGrid>
      <w:tr w:rsidR="00A052DC" w14:paraId="4DA0653A" w14:textId="77777777">
        <w:tc>
          <w:tcPr>
            <w:tcW w:w="1526" w:type="dxa"/>
          </w:tcPr>
          <w:p w14:paraId="7CC5C0BC" w14:textId="77777777" w:rsidR="00A052DC" w:rsidRDefault="009F0A60">
            <w:pPr>
              <w:jc w:val="center"/>
              <w:rPr>
                <w:rFonts w:ascii="黑体" w:eastAsia="黑体" w:hAnsi="黑体"/>
                <w:b/>
                <w:sz w:val="20"/>
                <w:szCs w:val="20"/>
              </w:rPr>
            </w:pPr>
            <w:r>
              <w:rPr>
                <w:rFonts w:ascii="黑体" w:eastAsia="黑体" w:hAnsi="黑体" w:hint="eastAsia"/>
                <w:b/>
                <w:sz w:val="20"/>
                <w:szCs w:val="20"/>
              </w:rPr>
              <w:t>基础数据项</w:t>
            </w:r>
          </w:p>
        </w:tc>
        <w:tc>
          <w:tcPr>
            <w:tcW w:w="7229" w:type="dxa"/>
          </w:tcPr>
          <w:p w14:paraId="497FF9D6" w14:textId="77777777" w:rsidR="00A052DC" w:rsidRDefault="009F0A60">
            <w:pPr>
              <w:jc w:val="center"/>
              <w:rPr>
                <w:rFonts w:ascii="黑体" w:eastAsia="黑体" w:hAnsi="黑体"/>
                <w:b/>
                <w:sz w:val="20"/>
                <w:szCs w:val="20"/>
              </w:rPr>
            </w:pPr>
            <w:r>
              <w:rPr>
                <w:rFonts w:ascii="黑体" w:eastAsia="黑体" w:hAnsi="黑体" w:hint="eastAsia"/>
                <w:b/>
                <w:sz w:val="20"/>
                <w:szCs w:val="20"/>
              </w:rPr>
              <w:t>定义</w:t>
            </w:r>
          </w:p>
        </w:tc>
      </w:tr>
      <w:tr w:rsidR="00A052DC" w14:paraId="090DF316" w14:textId="77777777">
        <w:trPr>
          <w:cantSplit/>
          <w:trHeight w:val="1622"/>
        </w:trPr>
        <w:tc>
          <w:tcPr>
            <w:tcW w:w="1526" w:type="dxa"/>
          </w:tcPr>
          <w:p w14:paraId="1D583DC9" w14:textId="77777777" w:rsidR="00A052DC" w:rsidRDefault="009F0A60">
            <w:pPr>
              <w:rPr>
                <w:rFonts w:ascii="黑体" w:eastAsia="黑体" w:hAnsi="黑体"/>
                <w:sz w:val="20"/>
                <w:szCs w:val="20"/>
              </w:rPr>
            </w:pPr>
            <w:r>
              <w:rPr>
                <w:rFonts w:ascii="黑体" w:eastAsia="黑体" w:hAnsi="黑体" w:hint="eastAsia"/>
                <w:sz w:val="20"/>
                <w:szCs w:val="20"/>
              </w:rPr>
              <w:t>申报号码</w:t>
            </w:r>
          </w:p>
        </w:tc>
        <w:tc>
          <w:tcPr>
            <w:tcW w:w="7229" w:type="dxa"/>
          </w:tcPr>
          <w:p w14:paraId="5D470815" w14:textId="77777777" w:rsidR="00A052DC" w:rsidRDefault="009F0A60" w:rsidP="006237F5">
            <w:pPr>
              <w:rPr>
                <w:rFonts w:ascii="黑体" w:eastAsia="黑体" w:hAnsi="黑体"/>
                <w:sz w:val="20"/>
                <w:szCs w:val="20"/>
              </w:rPr>
            </w:pPr>
            <w:r>
              <w:rPr>
                <w:rFonts w:ascii="黑体" w:eastAsia="黑体" w:hAnsi="黑体" w:hint="eastAsia"/>
                <w:sz w:val="20"/>
                <w:szCs w:val="20"/>
              </w:rPr>
              <w:t>指由境内银行按国家外汇管理局要求编制的号码，共计22位。第1至6位为地区标识码;第7至10位为金融机构代码;第11至12位为金融机构顺序码；第13至18位为该笔对外付款的支付日期(按年月日顺序排列,如2003年8月28日的日期码为030828);第19至22位为该银行营业部门的当日业务流水码。银行当日业务流水码不得重号。（流水码编制规则：对公：A***，B***，C***</w:t>
            </w:r>
            <w:r w:rsidR="006237F5">
              <w:rPr>
                <w:rFonts w:ascii="黑体" w:eastAsia="黑体" w:hAnsi="黑体" w:hint="eastAsia"/>
                <w:sz w:val="20"/>
                <w:szCs w:val="20"/>
              </w:rPr>
              <w:t>，</w:t>
            </w:r>
            <w:r>
              <w:rPr>
                <w:rFonts w:ascii="黑体" w:eastAsia="黑体" w:hAnsi="黑体" w:hint="eastAsia"/>
                <w:sz w:val="20"/>
                <w:szCs w:val="20"/>
              </w:rPr>
              <w:t>D</w:t>
            </w:r>
            <w:r w:rsidR="006237F5">
              <w:rPr>
                <w:rFonts w:ascii="黑体" w:eastAsia="黑体" w:hAnsi="黑体" w:hint="eastAsia"/>
                <w:sz w:val="20"/>
                <w:szCs w:val="20"/>
              </w:rPr>
              <w:t>***；</w:t>
            </w:r>
            <w:r>
              <w:rPr>
                <w:rFonts w:ascii="黑体" w:eastAsia="黑体" w:hAnsi="黑体" w:hint="eastAsia"/>
                <w:sz w:val="20"/>
                <w:szCs w:val="20"/>
              </w:rPr>
              <w:t>对私：J***</w:t>
            </w:r>
            <w:r w:rsidR="006237F5">
              <w:rPr>
                <w:rFonts w:ascii="黑体" w:eastAsia="黑体" w:hAnsi="黑体" w:hint="eastAsia"/>
                <w:sz w:val="20"/>
                <w:szCs w:val="20"/>
              </w:rPr>
              <w:t>，</w:t>
            </w:r>
            <w:r>
              <w:rPr>
                <w:rFonts w:ascii="黑体" w:eastAsia="黑体" w:hAnsi="黑体" w:hint="eastAsia"/>
                <w:sz w:val="20"/>
                <w:szCs w:val="20"/>
              </w:rPr>
              <w:t>K</w:t>
            </w:r>
            <w:r w:rsidR="006237F5">
              <w:rPr>
                <w:rFonts w:ascii="黑体" w:eastAsia="黑体" w:hAnsi="黑体" w:hint="eastAsia"/>
                <w:sz w:val="20"/>
                <w:szCs w:val="20"/>
              </w:rPr>
              <w:t>***；</w:t>
            </w:r>
            <w:r>
              <w:rPr>
                <w:rFonts w:ascii="黑体" w:eastAsia="黑体" w:hAnsi="黑体" w:hint="eastAsia"/>
                <w:sz w:val="20"/>
                <w:szCs w:val="20"/>
              </w:rPr>
              <w:t>后三位流水单号中允许使用英文大写字母（O、I、Z除外）与数字（0-9）。）</w:t>
            </w:r>
          </w:p>
        </w:tc>
      </w:tr>
      <w:tr w:rsidR="00A052DC" w14:paraId="0B31F5DD" w14:textId="77777777">
        <w:trPr>
          <w:cantSplit/>
        </w:trPr>
        <w:tc>
          <w:tcPr>
            <w:tcW w:w="1526" w:type="dxa"/>
          </w:tcPr>
          <w:p w14:paraId="77334438" w14:textId="77777777" w:rsidR="00A052DC" w:rsidRDefault="009F0A60">
            <w:pPr>
              <w:rPr>
                <w:rFonts w:ascii="黑体" w:eastAsia="黑体" w:hAnsi="黑体"/>
                <w:sz w:val="20"/>
                <w:szCs w:val="20"/>
              </w:rPr>
            </w:pPr>
            <w:r>
              <w:rPr>
                <w:rFonts w:ascii="黑体" w:eastAsia="黑体" w:hAnsi="黑体" w:hint="eastAsia"/>
                <w:sz w:val="20"/>
                <w:szCs w:val="20"/>
              </w:rPr>
              <w:t>汇款人名称</w:t>
            </w:r>
          </w:p>
        </w:tc>
        <w:tc>
          <w:tcPr>
            <w:tcW w:w="7229" w:type="dxa"/>
          </w:tcPr>
          <w:p w14:paraId="04CCFF26" w14:textId="77777777" w:rsidR="00A052DC" w:rsidRDefault="009F0A60">
            <w:pPr>
              <w:rPr>
                <w:rFonts w:ascii="黑体" w:eastAsia="黑体" w:hAnsi="黑体"/>
                <w:sz w:val="20"/>
                <w:szCs w:val="20"/>
              </w:rPr>
            </w:pPr>
            <w:r>
              <w:rPr>
                <w:rFonts w:ascii="黑体" w:eastAsia="黑体" w:hAnsi="黑体" w:hint="eastAsia"/>
                <w:sz w:val="20"/>
                <w:szCs w:val="20"/>
              </w:rPr>
              <w:t>对公项下指汇款人预留银行印鉴、营业执照或国家外汇管理局及其分支局签发的特殊机构代码赋码通知书上的名称；</w:t>
            </w:r>
          </w:p>
          <w:p w14:paraId="4765105F" w14:textId="77777777" w:rsidR="00A052DC" w:rsidRDefault="009F0A60">
            <w:pPr>
              <w:rPr>
                <w:rFonts w:ascii="黑体" w:eastAsia="黑体" w:hAnsi="黑体"/>
                <w:sz w:val="20"/>
                <w:szCs w:val="20"/>
              </w:rPr>
            </w:pPr>
            <w:r>
              <w:rPr>
                <w:rFonts w:ascii="黑体" w:eastAsia="黑体" w:hAnsi="黑体" w:hint="eastAsia"/>
                <w:sz w:val="20"/>
                <w:szCs w:val="20"/>
              </w:rPr>
              <w:t>对私项下指个人身份证件上的名称。</w:t>
            </w:r>
          </w:p>
        </w:tc>
      </w:tr>
      <w:tr w:rsidR="00A052DC" w14:paraId="1C0DB98F" w14:textId="77777777">
        <w:trPr>
          <w:cantSplit/>
        </w:trPr>
        <w:tc>
          <w:tcPr>
            <w:tcW w:w="1526" w:type="dxa"/>
          </w:tcPr>
          <w:p w14:paraId="16B1E199" w14:textId="77777777" w:rsidR="00A052DC" w:rsidRDefault="009F0A60">
            <w:pPr>
              <w:rPr>
                <w:rFonts w:ascii="黑体" w:eastAsia="黑体" w:hAnsi="黑体"/>
                <w:sz w:val="20"/>
                <w:szCs w:val="20"/>
              </w:rPr>
            </w:pPr>
            <w:r>
              <w:rPr>
                <w:rFonts w:ascii="黑体" w:eastAsia="黑体" w:hAnsi="黑体" w:hint="eastAsia"/>
                <w:sz w:val="20"/>
                <w:szCs w:val="20"/>
              </w:rPr>
              <w:t>对公</w:t>
            </w:r>
            <w:r w:rsidR="00010212">
              <w:rPr>
                <w:rFonts w:ascii="黑体" w:eastAsia="黑体" w:hAnsi="黑体" w:hint="eastAsia"/>
                <w:sz w:val="20"/>
                <w:szCs w:val="20"/>
              </w:rPr>
              <w:t>/</w:t>
            </w:r>
            <w:r>
              <w:rPr>
                <w:rFonts w:ascii="黑体" w:eastAsia="黑体" w:hAnsi="黑体" w:hint="eastAsia"/>
                <w:sz w:val="20"/>
                <w:szCs w:val="20"/>
              </w:rPr>
              <w:t>对私</w:t>
            </w:r>
          </w:p>
        </w:tc>
        <w:tc>
          <w:tcPr>
            <w:tcW w:w="7229" w:type="dxa"/>
          </w:tcPr>
          <w:p w14:paraId="41287AE8" w14:textId="77777777" w:rsidR="00A052DC" w:rsidRDefault="009F0A60">
            <w:pPr>
              <w:rPr>
                <w:rFonts w:ascii="黑体" w:eastAsia="黑体" w:hAnsi="黑体"/>
                <w:sz w:val="20"/>
                <w:szCs w:val="20"/>
              </w:rPr>
            </w:pPr>
            <w:r>
              <w:rPr>
                <w:rFonts w:ascii="黑体" w:eastAsia="黑体" w:hAnsi="黑体" w:hint="eastAsia"/>
                <w:sz w:val="20"/>
                <w:szCs w:val="20"/>
              </w:rPr>
              <w:t>如付款人为机构，则选择对公；</w:t>
            </w:r>
          </w:p>
          <w:p w14:paraId="48FFE555" w14:textId="77777777" w:rsidR="00A052DC" w:rsidRDefault="009F0A60">
            <w:pPr>
              <w:rPr>
                <w:rFonts w:ascii="黑体" w:eastAsia="黑体" w:hAnsi="黑体"/>
                <w:sz w:val="20"/>
                <w:szCs w:val="20"/>
              </w:rPr>
            </w:pPr>
            <w:r>
              <w:rPr>
                <w:rFonts w:ascii="黑体" w:eastAsia="黑体" w:hAnsi="黑体" w:hint="eastAsia"/>
                <w:sz w:val="20"/>
                <w:szCs w:val="20"/>
              </w:rPr>
              <w:t>如付款人为个人，则选择对私。</w:t>
            </w:r>
          </w:p>
        </w:tc>
      </w:tr>
      <w:tr w:rsidR="00A052DC" w14:paraId="73CAABDE" w14:textId="77777777">
        <w:trPr>
          <w:cantSplit/>
        </w:trPr>
        <w:tc>
          <w:tcPr>
            <w:tcW w:w="1526" w:type="dxa"/>
          </w:tcPr>
          <w:p w14:paraId="559467F5" w14:textId="77777777" w:rsidR="00A052DC" w:rsidRDefault="009F0A60">
            <w:pPr>
              <w:rPr>
                <w:rFonts w:ascii="黑体" w:eastAsia="黑体" w:hAnsi="黑体"/>
                <w:sz w:val="20"/>
                <w:szCs w:val="20"/>
              </w:rPr>
            </w:pPr>
            <w:r>
              <w:rPr>
                <w:rFonts w:ascii="黑体" w:eastAsia="黑体" w:hAnsi="黑体" w:hint="eastAsia"/>
                <w:sz w:val="20"/>
                <w:szCs w:val="20"/>
              </w:rPr>
              <w:t>主体标识码（单位代码）</w:t>
            </w:r>
          </w:p>
        </w:tc>
        <w:tc>
          <w:tcPr>
            <w:tcW w:w="7229" w:type="dxa"/>
          </w:tcPr>
          <w:p w14:paraId="39650702" w14:textId="77777777" w:rsidR="00A052DC" w:rsidRDefault="009F0A60">
            <w:pPr>
              <w:pStyle w:val="a8"/>
              <w:spacing w:line="240" w:lineRule="auto"/>
              <w:ind w:firstLineChars="0" w:firstLine="0"/>
            </w:pPr>
            <w:r>
              <w:rPr>
                <w:rFonts w:ascii="黑体" w:eastAsia="黑体" w:hAnsi="黑体" w:hint="eastAsia"/>
                <w:kern w:val="2"/>
                <w:szCs w:val="20"/>
              </w:rPr>
              <w:t>指统一社会信用代码法定载体（如营业执照）上统一社会信用代码中的第9至17位或国家外汇管理局</w:t>
            </w:r>
            <w:r>
              <w:rPr>
                <w:rFonts w:ascii="黑体" w:eastAsia="黑体" w:hAnsi="黑体" w:hint="eastAsia"/>
                <w:szCs w:val="20"/>
              </w:rPr>
              <w:t>及其分支局</w:t>
            </w:r>
            <w:r>
              <w:rPr>
                <w:rFonts w:ascii="黑体" w:eastAsia="黑体" w:hAnsi="黑体" w:hint="eastAsia"/>
                <w:kern w:val="2"/>
                <w:szCs w:val="20"/>
              </w:rPr>
              <w:t>签发的特殊机构代码赋码通知书上的机构代码。</w:t>
            </w:r>
          </w:p>
        </w:tc>
      </w:tr>
      <w:tr w:rsidR="00A052DC" w14:paraId="1FBCEBC4" w14:textId="77777777">
        <w:trPr>
          <w:cantSplit/>
        </w:trPr>
        <w:tc>
          <w:tcPr>
            <w:tcW w:w="1526" w:type="dxa"/>
          </w:tcPr>
          <w:p w14:paraId="4130632D" w14:textId="77777777" w:rsidR="00A052DC" w:rsidRDefault="009F0A60">
            <w:pPr>
              <w:rPr>
                <w:rFonts w:ascii="黑体" w:eastAsia="黑体" w:hAnsi="黑体"/>
                <w:sz w:val="20"/>
                <w:szCs w:val="20"/>
              </w:rPr>
            </w:pPr>
            <w:r>
              <w:rPr>
                <w:rFonts w:ascii="黑体" w:eastAsia="黑体" w:hAnsi="黑体" w:hint="eastAsia"/>
                <w:sz w:val="20"/>
                <w:szCs w:val="20"/>
              </w:rPr>
              <w:t>个人身份证件号码</w:t>
            </w:r>
          </w:p>
        </w:tc>
        <w:tc>
          <w:tcPr>
            <w:tcW w:w="7229" w:type="dxa"/>
          </w:tcPr>
          <w:p w14:paraId="7859952E" w14:textId="77777777" w:rsidR="00A052DC" w:rsidRDefault="009F0A60">
            <w:pPr>
              <w:rPr>
                <w:rFonts w:ascii="黑体" w:eastAsia="黑体" w:hAnsi="黑体"/>
                <w:sz w:val="20"/>
                <w:szCs w:val="20"/>
              </w:rPr>
            </w:pPr>
            <w:r>
              <w:rPr>
                <w:rFonts w:ascii="黑体" w:eastAsia="黑体" w:hAnsi="黑体" w:hint="eastAsia"/>
                <w:sz w:val="20"/>
                <w:szCs w:val="20"/>
              </w:rPr>
              <w:t>包括境内居民个人的身份证号、军官证号等以及境外居民个人的护照号等。</w:t>
            </w:r>
          </w:p>
        </w:tc>
      </w:tr>
      <w:tr w:rsidR="00A052DC" w14:paraId="56DEA62F" w14:textId="77777777">
        <w:trPr>
          <w:cantSplit/>
        </w:trPr>
        <w:tc>
          <w:tcPr>
            <w:tcW w:w="1526" w:type="dxa"/>
          </w:tcPr>
          <w:p w14:paraId="2DAD80F7" w14:textId="77777777" w:rsidR="00A052DC" w:rsidRDefault="009F0A60">
            <w:pPr>
              <w:rPr>
                <w:rFonts w:ascii="黑体" w:eastAsia="黑体" w:hAnsi="黑体"/>
                <w:sz w:val="20"/>
                <w:szCs w:val="20"/>
              </w:rPr>
            </w:pPr>
            <w:r>
              <w:rPr>
                <w:rFonts w:ascii="黑体" w:eastAsia="黑体" w:hAnsi="黑体" w:hint="eastAsia"/>
                <w:sz w:val="20"/>
                <w:szCs w:val="20"/>
              </w:rPr>
              <w:t>中国居民个人</w:t>
            </w:r>
            <w:r w:rsidR="00010212">
              <w:rPr>
                <w:rFonts w:ascii="黑体" w:eastAsia="黑体" w:hAnsi="黑体" w:hint="eastAsia"/>
                <w:sz w:val="20"/>
                <w:szCs w:val="20"/>
              </w:rPr>
              <w:t>/</w:t>
            </w:r>
            <w:r>
              <w:rPr>
                <w:rFonts w:ascii="黑体" w:eastAsia="黑体" w:hAnsi="黑体" w:hint="eastAsia"/>
                <w:sz w:val="20"/>
                <w:szCs w:val="20"/>
              </w:rPr>
              <w:t>中国非居民个人</w:t>
            </w:r>
          </w:p>
        </w:tc>
        <w:tc>
          <w:tcPr>
            <w:tcW w:w="7229" w:type="dxa"/>
          </w:tcPr>
          <w:p w14:paraId="7439577F" w14:textId="77777777" w:rsidR="00A052DC" w:rsidRDefault="009F0A60">
            <w:pPr>
              <w:rPr>
                <w:rFonts w:ascii="黑体" w:eastAsia="黑体" w:hAnsi="黑体"/>
                <w:sz w:val="20"/>
                <w:szCs w:val="20"/>
              </w:rPr>
            </w:pPr>
            <w:r>
              <w:rPr>
                <w:rFonts w:ascii="黑体" w:eastAsia="黑体" w:hAnsi="黑体" w:hint="eastAsia"/>
                <w:sz w:val="20"/>
                <w:szCs w:val="20"/>
              </w:rPr>
              <w:t>参见《国际收支统计申报办法》中对中国居民</w:t>
            </w:r>
            <w:r w:rsidR="00010212">
              <w:rPr>
                <w:rFonts w:ascii="黑体" w:eastAsia="黑体" w:hAnsi="黑体" w:hint="eastAsia"/>
                <w:sz w:val="20"/>
                <w:szCs w:val="20"/>
              </w:rPr>
              <w:t>/</w:t>
            </w:r>
            <w:r>
              <w:rPr>
                <w:rFonts w:ascii="黑体" w:eastAsia="黑体" w:hAnsi="黑体" w:hint="eastAsia"/>
                <w:sz w:val="20"/>
                <w:szCs w:val="20"/>
              </w:rPr>
              <w:t>中国非居民的定义。实践中，按照身份证、护照等有效证件中的国籍来认定。</w:t>
            </w:r>
          </w:p>
        </w:tc>
      </w:tr>
      <w:tr w:rsidR="00A052DC" w14:paraId="5D5BF1F3" w14:textId="77777777">
        <w:trPr>
          <w:cantSplit/>
        </w:trPr>
        <w:tc>
          <w:tcPr>
            <w:tcW w:w="1526" w:type="dxa"/>
          </w:tcPr>
          <w:p w14:paraId="369A4D70" w14:textId="77777777" w:rsidR="00A052DC" w:rsidRDefault="009F0A60">
            <w:pPr>
              <w:rPr>
                <w:rFonts w:ascii="黑体" w:eastAsia="黑体" w:hAnsi="黑体"/>
                <w:sz w:val="20"/>
                <w:szCs w:val="20"/>
              </w:rPr>
            </w:pPr>
            <w:r>
              <w:rPr>
                <w:rFonts w:ascii="黑体" w:eastAsia="黑体" w:hAnsi="黑体" w:hint="eastAsia"/>
                <w:sz w:val="20"/>
                <w:szCs w:val="20"/>
              </w:rPr>
              <w:t>收款人名称</w:t>
            </w:r>
          </w:p>
        </w:tc>
        <w:tc>
          <w:tcPr>
            <w:tcW w:w="7229" w:type="dxa"/>
          </w:tcPr>
          <w:p w14:paraId="58999EE6" w14:textId="77777777" w:rsidR="00A052DC" w:rsidRDefault="009F0A60">
            <w:pPr>
              <w:rPr>
                <w:rFonts w:ascii="黑体" w:eastAsia="黑体" w:hAnsi="黑体"/>
                <w:sz w:val="20"/>
                <w:szCs w:val="20"/>
              </w:rPr>
            </w:pPr>
            <w:r>
              <w:rPr>
                <w:rFonts w:ascii="黑体" w:eastAsia="黑体" w:hAnsi="黑体" w:hint="eastAsia"/>
                <w:sz w:val="20"/>
                <w:szCs w:val="20"/>
              </w:rPr>
              <w:t>指境外和境内非居民收款人的名称。境内申报主体对境外支付款项，境内付款银行应当在基础信息中的对方收款人名称前添加“（JW）”（半角大写英文字母）字样；如果为境内居民向境内非居民付款，境内付款银行应当在基础信息中的对方收款人名称前添加“（JN）”（半角大写英文字母）字样。如果是对私业务，收款人名称后增加收款人账号信息，以名称后加“[acc:账号]”表示。对于速汇业务和托收等没有对应账号的业务，账号部分填写“000000”（六个零）。</w:t>
            </w:r>
          </w:p>
          <w:p w14:paraId="1871B5E6" w14:textId="77777777" w:rsidR="00A052DC" w:rsidRDefault="009F0A60">
            <w:pPr>
              <w:rPr>
                <w:rFonts w:ascii="黑体" w:eastAsia="黑体" w:hAnsi="黑体"/>
                <w:sz w:val="20"/>
                <w:szCs w:val="20"/>
              </w:rPr>
            </w:pPr>
            <w:r>
              <w:rPr>
                <w:rFonts w:ascii="黑体" w:eastAsia="黑体" w:hAnsi="黑体" w:hint="eastAsia"/>
                <w:sz w:val="20"/>
                <w:szCs w:val="20"/>
              </w:rPr>
              <w:t>括号</w:t>
            </w:r>
            <w:r>
              <w:rPr>
                <w:rFonts w:ascii="黑体" w:eastAsia="黑体" w:hAnsi="黑体"/>
                <w:sz w:val="20"/>
                <w:szCs w:val="20"/>
              </w:rPr>
              <w:t>和冒号是半角</w:t>
            </w:r>
            <w:r>
              <w:rPr>
                <w:rFonts w:ascii="黑体" w:eastAsia="黑体" w:hAnsi="黑体" w:hint="eastAsia"/>
                <w:sz w:val="20"/>
                <w:szCs w:val="20"/>
              </w:rPr>
              <w:t>英文</w:t>
            </w:r>
            <w:r>
              <w:rPr>
                <w:rFonts w:ascii="黑体" w:eastAsia="黑体" w:hAnsi="黑体"/>
                <w:sz w:val="20"/>
                <w:szCs w:val="20"/>
              </w:rPr>
              <w:t>字符。</w:t>
            </w:r>
          </w:p>
        </w:tc>
      </w:tr>
      <w:tr w:rsidR="00A052DC" w14:paraId="6883D7C6" w14:textId="77777777">
        <w:trPr>
          <w:cantSplit/>
        </w:trPr>
        <w:tc>
          <w:tcPr>
            <w:tcW w:w="1526" w:type="dxa"/>
          </w:tcPr>
          <w:p w14:paraId="2B5DD65D" w14:textId="77777777" w:rsidR="00A052DC" w:rsidRDefault="009F0A60">
            <w:pPr>
              <w:rPr>
                <w:rFonts w:ascii="黑体" w:eastAsia="黑体" w:hAnsi="黑体"/>
                <w:sz w:val="20"/>
                <w:szCs w:val="20"/>
              </w:rPr>
            </w:pPr>
            <w:r>
              <w:rPr>
                <w:rFonts w:ascii="黑体" w:eastAsia="黑体" w:hAnsi="黑体" w:hint="eastAsia"/>
                <w:sz w:val="20"/>
                <w:szCs w:val="20"/>
              </w:rPr>
              <w:t>汇款币种</w:t>
            </w:r>
          </w:p>
        </w:tc>
        <w:tc>
          <w:tcPr>
            <w:tcW w:w="7229" w:type="dxa"/>
          </w:tcPr>
          <w:p w14:paraId="49F57484" w14:textId="77777777" w:rsidR="00A052DC" w:rsidRDefault="009F0A60">
            <w:pPr>
              <w:rPr>
                <w:rFonts w:ascii="黑体" w:eastAsia="黑体" w:hAnsi="黑体"/>
                <w:sz w:val="20"/>
                <w:szCs w:val="20"/>
              </w:rPr>
            </w:pPr>
            <w:r>
              <w:rPr>
                <w:rFonts w:ascii="黑体" w:eastAsia="黑体" w:hAnsi="黑体" w:hint="eastAsia"/>
                <w:sz w:val="20"/>
                <w:szCs w:val="20"/>
              </w:rPr>
              <w:t>指汇款人申请汇出的实际付款币种。</w:t>
            </w:r>
          </w:p>
        </w:tc>
      </w:tr>
      <w:tr w:rsidR="00A052DC" w14:paraId="7522E13A" w14:textId="77777777">
        <w:trPr>
          <w:cantSplit/>
        </w:trPr>
        <w:tc>
          <w:tcPr>
            <w:tcW w:w="1526" w:type="dxa"/>
          </w:tcPr>
          <w:p w14:paraId="24F9AF62" w14:textId="77777777" w:rsidR="00A052DC" w:rsidRDefault="009F0A60">
            <w:pPr>
              <w:rPr>
                <w:rFonts w:ascii="黑体" w:eastAsia="黑体" w:hAnsi="黑体"/>
                <w:sz w:val="20"/>
                <w:szCs w:val="20"/>
              </w:rPr>
            </w:pPr>
            <w:r>
              <w:rPr>
                <w:rFonts w:ascii="黑体" w:eastAsia="黑体" w:hAnsi="黑体" w:hint="eastAsia"/>
                <w:sz w:val="20"/>
                <w:szCs w:val="20"/>
              </w:rPr>
              <w:t>汇款金额</w:t>
            </w:r>
          </w:p>
        </w:tc>
        <w:tc>
          <w:tcPr>
            <w:tcW w:w="7229" w:type="dxa"/>
          </w:tcPr>
          <w:p w14:paraId="19C9FE06" w14:textId="77777777" w:rsidR="00A052DC" w:rsidRDefault="009F0A60">
            <w:pPr>
              <w:rPr>
                <w:rFonts w:ascii="黑体" w:eastAsia="黑体" w:hAnsi="黑体"/>
                <w:sz w:val="20"/>
                <w:szCs w:val="20"/>
              </w:rPr>
            </w:pPr>
            <w:r>
              <w:rPr>
                <w:rFonts w:ascii="黑体" w:eastAsia="黑体" w:hAnsi="黑体" w:hint="eastAsia"/>
                <w:sz w:val="20"/>
                <w:szCs w:val="20"/>
              </w:rPr>
              <w:t>指汇款人申请汇出的实际付款金额。</w:t>
            </w:r>
          </w:p>
        </w:tc>
      </w:tr>
      <w:tr w:rsidR="00A052DC" w14:paraId="5B544E02" w14:textId="77777777">
        <w:trPr>
          <w:cantSplit/>
        </w:trPr>
        <w:tc>
          <w:tcPr>
            <w:tcW w:w="1526" w:type="dxa"/>
          </w:tcPr>
          <w:p w14:paraId="56275EFC" w14:textId="77777777" w:rsidR="00A052DC" w:rsidRDefault="009F0A60">
            <w:pPr>
              <w:rPr>
                <w:rFonts w:ascii="黑体" w:eastAsia="黑体" w:hAnsi="黑体"/>
                <w:sz w:val="20"/>
                <w:szCs w:val="20"/>
              </w:rPr>
            </w:pPr>
            <w:r>
              <w:rPr>
                <w:rFonts w:ascii="黑体" w:eastAsia="黑体" w:hAnsi="黑体" w:hint="eastAsia"/>
                <w:sz w:val="20"/>
                <w:szCs w:val="20"/>
              </w:rPr>
              <w:t>购汇汇率</w:t>
            </w:r>
          </w:p>
        </w:tc>
        <w:tc>
          <w:tcPr>
            <w:tcW w:w="7229" w:type="dxa"/>
          </w:tcPr>
          <w:p w14:paraId="3F73DF8F" w14:textId="77777777" w:rsidR="00A052DC" w:rsidRDefault="009F0A60">
            <w:pPr>
              <w:rPr>
                <w:rFonts w:ascii="黑体" w:eastAsia="黑体" w:hAnsi="黑体"/>
                <w:sz w:val="20"/>
                <w:szCs w:val="20"/>
              </w:rPr>
            </w:pPr>
            <w:r>
              <w:rPr>
                <w:rFonts w:ascii="黑体" w:eastAsia="黑体" w:hAnsi="黑体" w:hint="eastAsia"/>
                <w:sz w:val="20"/>
                <w:szCs w:val="20"/>
              </w:rPr>
              <w:t>指对境外汇款金额中，以人民币购汇部分的汇率。</w:t>
            </w:r>
          </w:p>
        </w:tc>
      </w:tr>
      <w:tr w:rsidR="00A052DC" w14:paraId="238FFA44" w14:textId="77777777">
        <w:trPr>
          <w:cantSplit/>
        </w:trPr>
        <w:tc>
          <w:tcPr>
            <w:tcW w:w="1526" w:type="dxa"/>
          </w:tcPr>
          <w:p w14:paraId="4C41937E" w14:textId="77777777" w:rsidR="00A052DC" w:rsidRDefault="009F0A60">
            <w:pPr>
              <w:rPr>
                <w:rFonts w:ascii="黑体" w:eastAsia="黑体" w:hAnsi="黑体"/>
                <w:sz w:val="20"/>
                <w:szCs w:val="20"/>
              </w:rPr>
            </w:pPr>
            <w:r>
              <w:rPr>
                <w:rFonts w:ascii="黑体" w:eastAsia="黑体" w:hAnsi="黑体" w:hint="eastAsia"/>
                <w:sz w:val="20"/>
                <w:szCs w:val="20"/>
              </w:rPr>
              <w:t>购汇金额</w:t>
            </w:r>
          </w:p>
        </w:tc>
        <w:tc>
          <w:tcPr>
            <w:tcW w:w="7229" w:type="dxa"/>
          </w:tcPr>
          <w:p w14:paraId="0AC430C7" w14:textId="77777777" w:rsidR="00A052DC" w:rsidRDefault="009F0A60">
            <w:pPr>
              <w:rPr>
                <w:rFonts w:ascii="黑体" w:eastAsia="黑体" w:hAnsi="黑体"/>
                <w:sz w:val="20"/>
                <w:szCs w:val="20"/>
              </w:rPr>
            </w:pPr>
            <w:r>
              <w:rPr>
                <w:rFonts w:ascii="黑体" w:eastAsia="黑体" w:hAnsi="黑体" w:hint="eastAsia"/>
                <w:sz w:val="20"/>
                <w:szCs w:val="20"/>
              </w:rPr>
              <w:t>指汇款人申请汇出的实际付款金额中，向银行购买外汇直接对境外支付的金额。</w:t>
            </w:r>
          </w:p>
        </w:tc>
      </w:tr>
      <w:tr w:rsidR="00A052DC" w14:paraId="1340BC9E" w14:textId="77777777">
        <w:trPr>
          <w:cantSplit/>
        </w:trPr>
        <w:tc>
          <w:tcPr>
            <w:tcW w:w="1526" w:type="dxa"/>
          </w:tcPr>
          <w:p w14:paraId="6580D07A" w14:textId="77777777" w:rsidR="00A052DC" w:rsidRDefault="009F0A60">
            <w:pPr>
              <w:rPr>
                <w:rFonts w:ascii="黑体" w:eastAsia="黑体" w:hAnsi="黑体"/>
                <w:sz w:val="20"/>
                <w:szCs w:val="20"/>
              </w:rPr>
            </w:pPr>
            <w:r>
              <w:rPr>
                <w:rFonts w:ascii="黑体" w:eastAsia="黑体" w:hAnsi="黑体" w:hint="eastAsia"/>
                <w:sz w:val="20"/>
                <w:szCs w:val="20"/>
              </w:rPr>
              <w:t>人民币账号/银行卡号</w:t>
            </w:r>
          </w:p>
        </w:tc>
        <w:tc>
          <w:tcPr>
            <w:tcW w:w="7229" w:type="dxa"/>
          </w:tcPr>
          <w:p w14:paraId="19CAC6FE" w14:textId="77777777" w:rsidR="00A052DC" w:rsidRDefault="009F0A60">
            <w:pPr>
              <w:rPr>
                <w:rFonts w:ascii="黑体" w:eastAsia="黑体" w:hAnsi="黑体"/>
                <w:sz w:val="20"/>
                <w:szCs w:val="20"/>
              </w:rPr>
            </w:pPr>
            <w:r>
              <w:rPr>
                <w:rFonts w:ascii="黑体" w:eastAsia="黑体" w:hAnsi="黑体" w:hint="eastAsia"/>
                <w:sz w:val="20"/>
                <w:szCs w:val="20"/>
              </w:rPr>
              <w:t>汇款人向银行购买外汇直接对境外支付时银行扣款的人民币账号。</w:t>
            </w:r>
          </w:p>
        </w:tc>
      </w:tr>
      <w:tr w:rsidR="00A052DC" w14:paraId="20C821C1" w14:textId="77777777">
        <w:trPr>
          <w:cantSplit/>
        </w:trPr>
        <w:tc>
          <w:tcPr>
            <w:tcW w:w="1526" w:type="dxa"/>
          </w:tcPr>
          <w:p w14:paraId="3590B1AC" w14:textId="77777777" w:rsidR="00A052DC" w:rsidRDefault="009F0A60">
            <w:pPr>
              <w:rPr>
                <w:rFonts w:ascii="黑体" w:eastAsia="黑体" w:hAnsi="黑体"/>
                <w:sz w:val="20"/>
                <w:szCs w:val="20"/>
              </w:rPr>
            </w:pPr>
            <w:r>
              <w:rPr>
                <w:rFonts w:ascii="黑体" w:eastAsia="黑体" w:hAnsi="黑体" w:hint="eastAsia"/>
                <w:sz w:val="20"/>
                <w:szCs w:val="20"/>
              </w:rPr>
              <w:t>现汇金额</w:t>
            </w:r>
          </w:p>
        </w:tc>
        <w:tc>
          <w:tcPr>
            <w:tcW w:w="7229" w:type="dxa"/>
          </w:tcPr>
          <w:p w14:paraId="0AFCD6C6" w14:textId="77777777" w:rsidR="00A052DC" w:rsidRDefault="009F0A60">
            <w:pPr>
              <w:rPr>
                <w:rFonts w:ascii="黑体" w:eastAsia="黑体" w:hAnsi="黑体"/>
                <w:sz w:val="20"/>
                <w:szCs w:val="20"/>
              </w:rPr>
            </w:pPr>
            <w:r>
              <w:rPr>
                <w:rFonts w:ascii="黑体" w:eastAsia="黑体" w:hAnsi="黑体" w:hint="eastAsia"/>
                <w:sz w:val="20"/>
                <w:szCs w:val="20"/>
              </w:rPr>
              <w:t>汇款人申请汇出的实际付款金额中，直接从外汇账户（包括外汇保证金账户）中支付的金额，汇款人将从银行购买的外汇存入外汇账户（包括外汇保证金账户）后对境外支付的金额应作为现汇金额。汇款人以外币现钞方式对境外支付的金额作为现汇金额。</w:t>
            </w:r>
          </w:p>
        </w:tc>
      </w:tr>
      <w:tr w:rsidR="00A052DC" w14:paraId="2D113A65" w14:textId="77777777">
        <w:trPr>
          <w:cantSplit/>
        </w:trPr>
        <w:tc>
          <w:tcPr>
            <w:tcW w:w="1526" w:type="dxa"/>
          </w:tcPr>
          <w:p w14:paraId="38C3A8F4" w14:textId="77777777" w:rsidR="00A052DC" w:rsidRDefault="009F0A60">
            <w:pPr>
              <w:rPr>
                <w:rFonts w:ascii="黑体" w:eastAsia="黑体" w:hAnsi="黑体"/>
                <w:sz w:val="20"/>
                <w:szCs w:val="20"/>
              </w:rPr>
            </w:pPr>
            <w:r>
              <w:rPr>
                <w:rFonts w:ascii="黑体" w:eastAsia="黑体" w:hAnsi="黑体" w:hint="eastAsia"/>
                <w:sz w:val="20"/>
                <w:szCs w:val="20"/>
              </w:rPr>
              <w:t>外汇账号/银行卡号</w:t>
            </w:r>
          </w:p>
        </w:tc>
        <w:tc>
          <w:tcPr>
            <w:tcW w:w="7229" w:type="dxa"/>
          </w:tcPr>
          <w:p w14:paraId="45356930" w14:textId="77777777" w:rsidR="00A052DC" w:rsidRDefault="009F0A60">
            <w:pPr>
              <w:rPr>
                <w:rFonts w:ascii="黑体" w:eastAsia="黑体" w:hAnsi="黑体"/>
                <w:sz w:val="20"/>
                <w:szCs w:val="20"/>
              </w:rPr>
            </w:pPr>
            <w:r>
              <w:rPr>
                <w:rFonts w:ascii="黑体" w:eastAsia="黑体" w:hAnsi="黑体" w:hint="eastAsia"/>
                <w:sz w:val="20"/>
                <w:szCs w:val="20"/>
              </w:rPr>
              <w:t>银行以外汇方式对境外付款时扣款的账号</w:t>
            </w:r>
            <w:r w:rsidR="00010212">
              <w:rPr>
                <w:rFonts w:ascii="黑体" w:eastAsia="黑体" w:hAnsi="黑体" w:hint="eastAsia"/>
                <w:sz w:val="20"/>
                <w:szCs w:val="20"/>
              </w:rPr>
              <w:t>/</w:t>
            </w:r>
            <w:r>
              <w:rPr>
                <w:rFonts w:ascii="黑体" w:eastAsia="黑体" w:hAnsi="黑体" w:hint="eastAsia"/>
                <w:sz w:val="20"/>
                <w:szCs w:val="20"/>
              </w:rPr>
              <w:t>银行卡号，包括现汇账号、现钞账号、外汇保证金账号、银行外币卡卡号等。</w:t>
            </w:r>
          </w:p>
        </w:tc>
      </w:tr>
      <w:tr w:rsidR="00A052DC" w14:paraId="00FDF05D" w14:textId="77777777">
        <w:trPr>
          <w:cantSplit/>
        </w:trPr>
        <w:tc>
          <w:tcPr>
            <w:tcW w:w="1526" w:type="dxa"/>
          </w:tcPr>
          <w:p w14:paraId="08F9F402" w14:textId="77777777" w:rsidR="00A052DC" w:rsidRDefault="009F0A60">
            <w:pPr>
              <w:rPr>
                <w:rFonts w:ascii="黑体" w:eastAsia="黑体" w:hAnsi="黑体"/>
                <w:sz w:val="20"/>
                <w:szCs w:val="20"/>
              </w:rPr>
            </w:pPr>
            <w:r>
              <w:rPr>
                <w:rFonts w:ascii="黑体" w:eastAsia="黑体" w:hAnsi="黑体" w:hint="eastAsia"/>
                <w:sz w:val="20"/>
                <w:szCs w:val="20"/>
              </w:rPr>
              <w:t>其他金额</w:t>
            </w:r>
          </w:p>
        </w:tc>
        <w:tc>
          <w:tcPr>
            <w:tcW w:w="7229" w:type="dxa"/>
          </w:tcPr>
          <w:p w14:paraId="7812B6DB" w14:textId="77777777" w:rsidR="00A052DC" w:rsidRDefault="009F0A60">
            <w:pPr>
              <w:rPr>
                <w:rFonts w:ascii="黑体" w:eastAsia="黑体" w:hAnsi="黑体"/>
                <w:sz w:val="20"/>
                <w:szCs w:val="20"/>
              </w:rPr>
            </w:pPr>
            <w:r>
              <w:rPr>
                <w:rFonts w:ascii="黑体" w:eastAsia="黑体" w:hAnsi="黑体" w:hint="eastAsia"/>
                <w:sz w:val="20"/>
                <w:szCs w:val="20"/>
              </w:rPr>
              <w:t>指汇款人除购汇和现汇以外对境外支付的金额。包括跨境人民币交易以及记账贸易项下交易等的金额。</w:t>
            </w:r>
          </w:p>
        </w:tc>
      </w:tr>
      <w:tr w:rsidR="00A052DC" w14:paraId="08D5396D" w14:textId="77777777">
        <w:trPr>
          <w:cantSplit/>
        </w:trPr>
        <w:tc>
          <w:tcPr>
            <w:tcW w:w="1526" w:type="dxa"/>
          </w:tcPr>
          <w:p w14:paraId="28FADC8E" w14:textId="77777777" w:rsidR="00A052DC" w:rsidRDefault="009F0A60">
            <w:pPr>
              <w:rPr>
                <w:rFonts w:ascii="黑体" w:eastAsia="黑体" w:hAnsi="黑体"/>
                <w:sz w:val="20"/>
                <w:szCs w:val="20"/>
              </w:rPr>
            </w:pPr>
            <w:r>
              <w:rPr>
                <w:rFonts w:ascii="黑体" w:eastAsia="黑体" w:hAnsi="黑体" w:hint="eastAsia"/>
                <w:sz w:val="20"/>
                <w:szCs w:val="20"/>
              </w:rPr>
              <w:t>其他账号/银行卡号</w:t>
            </w:r>
          </w:p>
        </w:tc>
        <w:tc>
          <w:tcPr>
            <w:tcW w:w="7229" w:type="dxa"/>
          </w:tcPr>
          <w:p w14:paraId="3AEBF2FA" w14:textId="77777777" w:rsidR="00A052DC" w:rsidRDefault="009F0A60">
            <w:pPr>
              <w:rPr>
                <w:rFonts w:ascii="黑体" w:eastAsia="黑体" w:hAnsi="黑体"/>
                <w:sz w:val="20"/>
                <w:szCs w:val="20"/>
              </w:rPr>
            </w:pPr>
            <w:r>
              <w:rPr>
                <w:rFonts w:ascii="黑体" w:eastAsia="黑体" w:hAnsi="黑体" w:hint="eastAsia"/>
                <w:sz w:val="20"/>
                <w:szCs w:val="20"/>
              </w:rPr>
              <w:t>银行除购汇和现汇以外其他方式对境外付款时扣款的账号/银行卡号。</w:t>
            </w:r>
          </w:p>
        </w:tc>
      </w:tr>
      <w:tr w:rsidR="00A052DC" w14:paraId="1E2E7294" w14:textId="77777777">
        <w:trPr>
          <w:cantSplit/>
        </w:trPr>
        <w:tc>
          <w:tcPr>
            <w:tcW w:w="1526" w:type="dxa"/>
          </w:tcPr>
          <w:p w14:paraId="7708C93C" w14:textId="77777777" w:rsidR="00A052DC" w:rsidRDefault="009F0A60">
            <w:pPr>
              <w:rPr>
                <w:rFonts w:ascii="黑体" w:eastAsia="黑体" w:hAnsi="黑体"/>
                <w:sz w:val="20"/>
                <w:szCs w:val="20"/>
              </w:rPr>
            </w:pPr>
            <w:r>
              <w:rPr>
                <w:rFonts w:ascii="黑体" w:eastAsia="黑体" w:hAnsi="黑体" w:hint="eastAsia"/>
                <w:sz w:val="20"/>
                <w:szCs w:val="20"/>
              </w:rPr>
              <w:t>结算方式</w:t>
            </w:r>
          </w:p>
        </w:tc>
        <w:tc>
          <w:tcPr>
            <w:tcW w:w="7229" w:type="dxa"/>
          </w:tcPr>
          <w:p w14:paraId="271CFD4E" w14:textId="77777777" w:rsidR="00A052DC" w:rsidRDefault="009F0A60">
            <w:pPr>
              <w:rPr>
                <w:rFonts w:ascii="黑体" w:eastAsia="黑体" w:hAnsi="黑体"/>
                <w:sz w:val="20"/>
                <w:szCs w:val="20"/>
              </w:rPr>
            </w:pPr>
            <w:r>
              <w:rPr>
                <w:rFonts w:ascii="黑体" w:eastAsia="黑体" w:hAnsi="黑体" w:hint="eastAsia"/>
                <w:sz w:val="20"/>
                <w:szCs w:val="20"/>
              </w:rPr>
              <w:t>电汇、票汇、信汇选项三选一。</w:t>
            </w:r>
          </w:p>
        </w:tc>
      </w:tr>
      <w:tr w:rsidR="00A052DC" w14:paraId="26C521EF" w14:textId="77777777">
        <w:trPr>
          <w:cantSplit/>
        </w:trPr>
        <w:tc>
          <w:tcPr>
            <w:tcW w:w="1526" w:type="dxa"/>
          </w:tcPr>
          <w:p w14:paraId="76EE580D" w14:textId="77777777" w:rsidR="00A052DC" w:rsidRDefault="009F0A60">
            <w:pPr>
              <w:rPr>
                <w:rFonts w:ascii="黑体" w:eastAsia="黑体" w:hAnsi="黑体"/>
                <w:sz w:val="20"/>
                <w:szCs w:val="20"/>
              </w:rPr>
            </w:pPr>
            <w:r>
              <w:rPr>
                <w:rFonts w:ascii="黑体" w:eastAsia="黑体" w:hAnsi="黑体" w:hint="eastAsia"/>
                <w:sz w:val="20"/>
                <w:szCs w:val="20"/>
              </w:rPr>
              <w:t>银行业务编号</w:t>
            </w:r>
          </w:p>
        </w:tc>
        <w:tc>
          <w:tcPr>
            <w:tcW w:w="7229" w:type="dxa"/>
          </w:tcPr>
          <w:p w14:paraId="30B4E515" w14:textId="77777777" w:rsidR="00A052DC" w:rsidRDefault="009F0A60">
            <w:pPr>
              <w:rPr>
                <w:rFonts w:ascii="黑体" w:eastAsia="黑体" w:hAnsi="黑体"/>
                <w:sz w:val="20"/>
                <w:szCs w:val="20"/>
              </w:rPr>
            </w:pPr>
            <w:r>
              <w:rPr>
                <w:rFonts w:ascii="黑体" w:eastAsia="黑体" w:hAnsi="黑体" w:hint="eastAsia"/>
                <w:sz w:val="20"/>
                <w:szCs w:val="20"/>
              </w:rPr>
              <w:t>指该笔业务在银行的业务编号。</w:t>
            </w:r>
          </w:p>
        </w:tc>
      </w:tr>
    </w:tbl>
    <w:p w14:paraId="73B3965A" w14:textId="77777777" w:rsidR="00A052DC" w:rsidRDefault="009F0A60">
      <w:pPr>
        <w:pStyle w:val="4"/>
        <w:numPr>
          <w:ilvl w:val="3"/>
          <w:numId w:val="1"/>
        </w:numPr>
        <w:jc w:val="left"/>
      </w:pPr>
      <w:bookmarkStart w:id="957" w:name="_Toc454386761"/>
      <w:r>
        <w:rPr>
          <w:rFonts w:hint="eastAsia"/>
        </w:rPr>
        <w:t>数据格式</w:t>
      </w:r>
      <w:bookmarkEnd w:id="957"/>
    </w:p>
    <w:p w14:paraId="4B9BF44E" w14:textId="77777777" w:rsidR="00A052DC" w:rsidRDefault="009F0A60">
      <w:r>
        <w:t>&lt;REC&gt;</w:t>
      </w:r>
    </w:p>
    <w:p w14:paraId="38F826AF" w14:textId="77777777" w:rsidR="00A052DC" w:rsidRDefault="009F0A60">
      <w:r>
        <w:t>&lt;ACTIONTYPE&gt;</w:t>
      </w:r>
      <w:r>
        <w:rPr>
          <w:rFonts w:hint="eastAsia"/>
        </w:rPr>
        <w:t>操作类型</w:t>
      </w:r>
      <w:r>
        <w:t>&lt;/ACTIONTYPE&gt;</w:t>
      </w:r>
    </w:p>
    <w:p w14:paraId="22F0D2F4" w14:textId="77777777" w:rsidR="00A052DC" w:rsidRDefault="009F0A60">
      <w:r>
        <w:t>&lt;ACTIONDESC&gt;</w:t>
      </w:r>
      <w:r>
        <w:rPr>
          <w:rFonts w:hint="eastAsia"/>
        </w:rPr>
        <w:t>修改</w:t>
      </w:r>
      <w:r>
        <w:t>/</w:t>
      </w:r>
      <w:r>
        <w:rPr>
          <w:rFonts w:hint="eastAsia"/>
        </w:rPr>
        <w:t>删除原因</w:t>
      </w:r>
      <w:r>
        <w:t>/</w:t>
      </w:r>
      <w:r>
        <w:rPr>
          <w:rFonts w:hint="eastAsia"/>
        </w:rPr>
        <w:t>申报无误理由</w:t>
      </w:r>
      <w:r>
        <w:t>&lt;/ACTIONDESC&gt;</w:t>
      </w:r>
    </w:p>
    <w:p w14:paraId="0BD9AA25" w14:textId="77777777" w:rsidR="00A052DC" w:rsidRDefault="009F0A60">
      <w:r>
        <w:t>&lt;RPTNO&gt;</w:t>
      </w:r>
      <w:r>
        <w:rPr>
          <w:rFonts w:hint="eastAsia"/>
        </w:rPr>
        <w:t>申报号码</w:t>
      </w:r>
      <w:r>
        <w:t>&lt;/RPTNO&gt;</w:t>
      </w:r>
    </w:p>
    <w:p w14:paraId="3860F634" w14:textId="77777777" w:rsidR="00A052DC" w:rsidRDefault="009F0A60">
      <w:r>
        <w:t>&lt;CUSTYPE&gt;</w:t>
      </w:r>
      <w:r>
        <w:rPr>
          <w:rFonts w:hint="eastAsia"/>
        </w:rPr>
        <w:t>汇款人类型</w:t>
      </w:r>
      <w:r>
        <w:t>&lt;/CUSTYPE&gt;</w:t>
      </w:r>
    </w:p>
    <w:p w14:paraId="7AD1FB89" w14:textId="77777777" w:rsidR="00A052DC" w:rsidRDefault="009F0A60">
      <w:r>
        <w:t>&lt;IDCODE&gt;</w:t>
      </w:r>
      <w:r>
        <w:rPr>
          <w:rFonts w:hint="eastAsia"/>
        </w:rPr>
        <w:t>个人身份证件号码</w:t>
      </w:r>
      <w:r>
        <w:t>&lt;/IDCODE&gt;</w:t>
      </w:r>
    </w:p>
    <w:p w14:paraId="64AB9E05" w14:textId="77777777" w:rsidR="00A052DC" w:rsidRDefault="009F0A60">
      <w:r>
        <w:t>&lt;CUSTCOD&gt;</w:t>
      </w:r>
      <w:r>
        <w:rPr>
          <w:rFonts w:hint="eastAsia"/>
        </w:rPr>
        <w:t>主体标识码</w:t>
      </w:r>
      <w:r>
        <w:t>&lt;/CUSTCOD&gt;</w:t>
      </w:r>
    </w:p>
    <w:p w14:paraId="26DA0B59" w14:textId="77777777" w:rsidR="00A052DC" w:rsidRDefault="009F0A60">
      <w:r>
        <w:t>&lt;CUSTNM&gt;</w:t>
      </w:r>
      <w:r>
        <w:rPr>
          <w:rFonts w:hint="eastAsia"/>
        </w:rPr>
        <w:t>汇款人名称</w:t>
      </w:r>
      <w:r>
        <w:t>&lt;/CUSTNM&gt;</w:t>
      </w:r>
    </w:p>
    <w:p w14:paraId="15F20D88" w14:textId="77777777" w:rsidR="00A052DC" w:rsidRDefault="009F0A60">
      <w:r>
        <w:t>&lt;OPPUSER&gt;</w:t>
      </w:r>
      <w:r>
        <w:rPr>
          <w:rFonts w:hint="eastAsia"/>
        </w:rPr>
        <w:t>收款人名称</w:t>
      </w:r>
      <w:r>
        <w:t>&lt;/OPPUSER&gt;</w:t>
      </w:r>
    </w:p>
    <w:p w14:paraId="01FDD6BA" w14:textId="77777777" w:rsidR="00A052DC" w:rsidRDefault="009F0A60">
      <w:r>
        <w:t>&lt;TXCCY&gt;</w:t>
      </w:r>
      <w:r>
        <w:rPr>
          <w:rFonts w:hint="eastAsia"/>
        </w:rPr>
        <w:t>汇款币种</w:t>
      </w:r>
      <w:r>
        <w:t>&lt;/TXCCY&gt;</w:t>
      </w:r>
    </w:p>
    <w:p w14:paraId="02235984" w14:textId="77777777" w:rsidR="00A052DC" w:rsidRDefault="009F0A60">
      <w:r>
        <w:t>&lt;TXAMT&gt;</w:t>
      </w:r>
      <w:r>
        <w:rPr>
          <w:rFonts w:hint="eastAsia"/>
        </w:rPr>
        <w:t>汇款金额</w:t>
      </w:r>
      <w:r>
        <w:t>&lt;/TXAMT&gt;</w:t>
      </w:r>
    </w:p>
    <w:p w14:paraId="212DDC6C" w14:textId="77777777" w:rsidR="00A052DC" w:rsidRDefault="009F0A60">
      <w:r>
        <w:t>&lt;EXRATE&gt;</w:t>
      </w:r>
      <w:r>
        <w:rPr>
          <w:rFonts w:hint="eastAsia"/>
        </w:rPr>
        <w:t>购汇汇率</w:t>
      </w:r>
      <w:r>
        <w:t>&lt;/EXRATE&gt;</w:t>
      </w:r>
    </w:p>
    <w:p w14:paraId="776DDFF0" w14:textId="77777777" w:rsidR="00A052DC" w:rsidRDefault="009F0A60">
      <w:r>
        <w:t>&lt;LCYAMT&gt;</w:t>
      </w:r>
      <w:r>
        <w:rPr>
          <w:rFonts w:hint="eastAsia"/>
        </w:rPr>
        <w:t>购汇金额</w:t>
      </w:r>
      <w:r>
        <w:t>&lt;/LCYAMT&gt;</w:t>
      </w:r>
    </w:p>
    <w:p w14:paraId="4D34E20A" w14:textId="77777777" w:rsidR="00A052DC" w:rsidRDefault="009F0A60">
      <w:r>
        <w:t>&lt;LCYACC&gt;</w:t>
      </w:r>
      <w:r>
        <w:rPr>
          <w:rFonts w:hint="eastAsia"/>
        </w:rPr>
        <w:t>人民币账号</w:t>
      </w:r>
      <w:r>
        <w:t>/</w:t>
      </w:r>
      <w:r>
        <w:rPr>
          <w:rFonts w:hint="eastAsia"/>
        </w:rPr>
        <w:t>银行卡号</w:t>
      </w:r>
      <w:r>
        <w:t>&lt;/LCYACC&gt;</w:t>
      </w:r>
    </w:p>
    <w:p w14:paraId="00D06A2F" w14:textId="77777777" w:rsidR="00A052DC" w:rsidRDefault="009F0A60">
      <w:r>
        <w:t>&lt;FCYAMT&gt;</w:t>
      </w:r>
      <w:r>
        <w:rPr>
          <w:rFonts w:hint="eastAsia"/>
        </w:rPr>
        <w:t>现汇金额</w:t>
      </w:r>
      <w:r>
        <w:t>&lt;/FCYAMT&gt;</w:t>
      </w:r>
    </w:p>
    <w:p w14:paraId="56864AAA" w14:textId="77777777" w:rsidR="00A052DC" w:rsidRDefault="009F0A60">
      <w:r>
        <w:t>&lt;FCYACC&gt;</w:t>
      </w:r>
      <w:r>
        <w:rPr>
          <w:rFonts w:hint="eastAsia"/>
        </w:rPr>
        <w:t>外汇账号</w:t>
      </w:r>
      <w:r>
        <w:t>/</w:t>
      </w:r>
      <w:r>
        <w:rPr>
          <w:rFonts w:hint="eastAsia"/>
        </w:rPr>
        <w:t>银行卡号</w:t>
      </w:r>
      <w:r>
        <w:t>&lt;/FCYACC&gt;</w:t>
      </w:r>
    </w:p>
    <w:p w14:paraId="78EB416F" w14:textId="77777777" w:rsidR="00A052DC" w:rsidRDefault="009F0A60">
      <w:r>
        <w:t>&lt;OTHAMT&gt;</w:t>
      </w:r>
      <w:r w:rsidR="0021563C">
        <w:rPr>
          <w:rFonts w:hint="eastAsia"/>
        </w:rPr>
        <w:t>其他</w:t>
      </w:r>
      <w:r>
        <w:rPr>
          <w:rFonts w:hint="eastAsia"/>
        </w:rPr>
        <w:t>金额</w:t>
      </w:r>
      <w:r>
        <w:t>&lt;/OTHAMT&gt;</w:t>
      </w:r>
    </w:p>
    <w:p w14:paraId="743A3748" w14:textId="77777777" w:rsidR="00A052DC" w:rsidRDefault="009F0A60">
      <w:r>
        <w:t>&lt;OTHACC&gt;</w:t>
      </w:r>
      <w:r w:rsidR="0021563C">
        <w:rPr>
          <w:rFonts w:hint="eastAsia"/>
        </w:rPr>
        <w:t>其他</w:t>
      </w:r>
      <w:r>
        <w:rPr>
          <w:rFonts w:hint="eastAsia"/>
        </w:rPr>
        <w:t>账号</w:t>
      </w:r>
      <w:r>
        <w:t>/</w:t>
      </w:r>
      <w:r>
        <w:rPr>
          <w:rFonts w:hint="eastAsia"/>
        </w:rPr>
        <w:t>银行卡号</w:t>
      </w:r>
      <w:r>
        <w:t>&lt;/OTHACC&gt;</w:t>
      </w:r>
    </w:p>
    <w:p w14:paraId="7867BE03" w14:textId="77777777" w:rsidR="00A052DC" w:rsidRDefault="009F0A60">
      <w:r>
        <w:t>&lt;METHOD&gt;</w:t>
      </w:r>
      <w:r>
        <w:rPr>
          <w:rFonts w:hint="eastAsia"/>
        </w:rPr>
        <w:t>结算方式</w:t>
      </w:r>
      <w:r>
        <w:t>&lt;/METHOD&gt;</w:t>
      </w:r>
    </w:p>
    <w:p w14:paraId="3EF178D8" w14:textId="77777777" w:rsidR="00A052DC" w:rsidRDefault="009F0A60">
      <w:r>
        <w:t>&lt;BUSCODE&gt;</w:t>
      </w:r>
      <w:r>
        <w:rPr>
          <w:rFonts w:hint="eastAsia"/>
        </w:rPr>
        <w:t>银行业务编号</w:t>
      </w:r>
      <w:r>
        <w:t>&lt;/BUSCODE&gt;</w:t>
      </w:r>
    </w:p>
    <w:p w14:paraId="50B5C4C5" w14:textId="77777777" w:rsidR="00A052DC" w:rsidRDefault="009F0A60">
      <w:r>
        <w:t>&lt;/REC&gt;</w:t>
      </w:r>
    </w:p>
    <w:p w14:paraId="684A8C49" w14:textId="77777777" w:rsidR="00A052DC" w:rsidRDefault="00A052DC"/>
    <w:p w14:paraId="0EF4BABE" w14:textId="77777777" w:rsidR="00A052DC" w:rsidRDefault="009F0A60" w:rsidP="0020251D">
      <w:pPr>
        <w:pStyle w:val="4"/>
        <w:numPr>
          <w:ilvl w:val="3"/>
          <w:numId w:val="1"/>
        </w:numPr>
        <w:jc w:val="left"/>
      </w:pPr>
      <w:bookmarkStart w:id="958" w:name="_Toc454386762"/>
      <w:r>
        <w:rPr>
          <w:rFonts w:hint="eastAsia"/>
        </w:rPr>
        <w:t>数据字典</w:t>
      </w:r>
      <w:bookmarkEnd w:id="958"/>
    </w:p>
    <w:tbl>
      <w:tblPr>
        <w:tblW w:w="86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559"/>
        <w:gridCol w:w="1560"/>
        <w:gridCol w:w="4110"/>
      </w:tblGrid>
      <w:tr w:rsidR="00A052DC" w14:paraId="3B349EBB" w14:textId="77777777">
        <w:trPr>
          <w:tblHeader/>
        </w:trPr>
        <w:tc>
          <w:tcPr>
            <w:tcW w:w="1418" w:type="dxa"/>
            <w:shd w:val="clear" w:color="auto" w:fill="C0C0C0"/>
          </w:tcPr>
          <w:p w14:paraId="5DACC5EA" w14:textId="77777777" w:rsidR="00A052DC" w:rsidRDefault="009F0A60">
            <w:pPr>
              <w:jc w:val="center"/>
              <w:rPr>
                <w:rFonts w:ascii="黑体" w:eastAsia="黑体" w:hAnsi="黑体"/>
                <w:b/>
                <w:sz w:val="20"/>
                <w:szCs w:val="20"/>
              </w:rPr>
            </w:pPr>
            <w:r>
              <w:rPr>
                <w:rFonts w:ascii="黑体" w:eastAsia="黑体" w:hAnsi="黑体" w:hint="eastAsia"/>
                <w:b/>
                <w:sz w:val="20"/>
                <w:szCs w:val="20"/>
              </w:rPr>
              <w:t>字段</w:t>
            </w:r>
          </w:p>
        </w:tc>
        <w:tc>
          <w:tcPr>
            <w:tcW w:w="1559" w:type="dxa"/>
            <w:shd w:val="clear" w:color="auto" w:fill="C0C0C0"/>
          </w:tcPr>
          <w:p w14:paraId="4831995E" w14:textId="77777777" w:rsidR="00A052DC" w:rsidRDefault="009F0A60">
            <w:pPr>
              <w:jc w:val="center"/>
              <w:rPr>
                <w:rFonts w:ascii="黑体" w:eastAsia="黑体" w:hAnsi="黑体"/>
                <w:b/>
                <w:sz w:val="20"/>
                <w:szCs w:val="20"/>
              </w:rPr>
            </w:pPr>
            <w:r>
              <w:rPr>
                <w:rFonts w:ascii="黑体" w:eastAsia="黑体" w:hAnsi="黑体" w:hint="eastAsia"/>
                <w:b/>
                <w:sz w:val="20"/>
                <w:szCs w:val="20"/>
              </w:rPr>
              <w:t>内容</w:t>
            </w:r>
          </w:p>
        </w:tc>
        <w:tc>
          <w:tcPr>
            <w:tcW w:w="1560" w:type="dxa"/>
            <w:shd w:val="clear" w:color="auto" w:fill="C0C0C0"/>
          </w:tcPr>
          <w:p w14:paraId="31D5928D" w14:textId="77777777" w:rsidR="00A052DC" w:rsidRDefault="009F0A60">
            <w:pPr>
              <w:jc w:val="center"/>
              <w:rPr>
                <w:rFonts w:ascii="黑体" w:eastAsia="黑体" w:hAnsi="黑体"/>
                <w:b/>
                <w:sz w:val="20"/>
                <w:szCs w:val="20"/>
              </w:rPr>
            </w:pPr>
            <w:r>
              <w:rPr>
                <w:rFonts w:ascii="黑体" w:eastAsia="黑体" w:hAnsi="黑体" w:hint="eastAsia"/>
                <w:b/>
                <w:sz w:val="20"/>
                <w:szCs w:val="20"/>
              </w:rPr>
              <w:t>类型（长度）</w:t>
            </w:r>
          </w:p>
        </w:tc>
        <w:tc>
          <w:tcPr>
            <w:tcW w:w="4110" w:type="dxa"/>
            <w:shd w:val="clear" w:color="auto" w:fill="C0C0C0"/>
          </w:tcPr>
          <w:p w14:paraId="6963F82C" w14:textId="77777777" w:rsidR="00A052DC" w:rsidRDefault="009F0A60">
            <w:pPr>
              <w:jc w:val="center"/>
              <w:rPr>
                <w:rFonts w:ascii="黑体" w:eastAsia="黑体" w:hAnsi="黑体"/>
                <w:b/>
                <w:sz w:val="20"/>
                <w:szCs w:val="20"/>
              </w:rPr>
            </w:pPr>
            <w:r>
              <w:rPr>
                <w:rFonts w:ascii="黑体" w:eastAsia="黑体" w:hAnsi="黑体" w:hint="eastAsia"/>
                <w:b/>
                <w:sz w:val="20"/>
                <w:szCs w:val="20"/>
              </w:rPr>
              <w:t>校验</w:t>
            </w:r>
          </w:p>
        </w:tc>
      </w:tr>
      <w:tr w:rsidR="00A052DC" w14:paraId="02F8EBB9" w14:textId="77777777">
        <w:tc>
          <w:tcPr>
            <w:tcW w:w="1418" w:type="dxa"/>
          </w:tcPr>
          <w:p w14:paraId="6CBA313D" w14:textId="77777777" w:rsidR="00A052DC" w:rsidRDefault="009F0A60">
            <w:pPr>
              <w:rPr>
                <w:rFonts w:ascii="黑体" w:eastAsia="黑体" w:hAnsi="黑体"/>
                <w:sz w:val="20"/>
                <w:szCs w:val="20"/>
              </w:rPr>
            </w:pPr>
            <w:r>
              <w:rPr>
                <w:rFonts w:ascii="黑体" w:eastAsia="黑体" w:hAnsi="黑体"/>
                <w:sz w:val="20"/>
                <w:szCs w:val="20"/>
              </w:rPr>
              <w:t>ACTIONTYPE</w:t>
            </w:r>
          </w:p>
        </w:tc>
        <w:tc>
          <w:tcPr>
            <w:tcW w:w="1559" w:type="dxa"/>
          </w:tcPr>
          <w:p w14:paraId="3DFFF20A" w14:textId="77777777" w:rsidR="00A052DC" w:rsidRDefault="009F0A60">
            <w:pPr>
              <w:rPr>
                <w:rFonts w:ascii="黑体" w:eastAsia="黑体" w:hAnsi="黑体"/>
                <w:sz w:val="20"/>
                <w:szCs w:val="20"/>
              </w:rPr>
            </w:pPr>
            <w:r>
              <w:rPr>
                <w:rFonts w:ascii="黑体" w:eastAsia="黑体" w:hAnsi="黑体" w:hint="eastAsia"/>
                <w:sz w:val="20"/>
                <w:szCs w:val="20"/>
              </w:rPr>
              <w:t>操作类型</w:t>
            </w:r>
          </w:p>
        </w:tc>
        <w:tc>
          <w:tcPr>
            <w:tcW w:w="1560" w:type="dxa"/>
          </w:tcPr>
          <w:p w14:paraId="1EF52D4C" w14:textId="77777777" w:rsidR="00A052DC" w:rsidRDefault="009F0A60">
            <w:pPr>
              <w:rPr>
                <w:rFonts w:ascii="黑体" w:eastAsia="黑体" w:hAnsi="黑体"/>
                <w:sz w:val="20"/>
                <w:szCs w:val="20"/>
              </w:rPr>
            </w:pPr>
            <w:r>
              <w:rPr>
                <w:rFonts w:ascii="黑体" w:eastAsia="黑体" w:hAnsi="黑体" w:hint="eastAsia"/>
                <w:sz w:val="20"/>
                <w:szCs w:val="20"/>
              </w:rPr>
              <w:t>字符型，1</w:t>
            </w:r>
          </w:p>
        </w:tc>
        <w:tc>
          <w:tcPr>
            <w:tcW w:w="4110" w:type="dxa"/>
          </w:tcPr>
          <w:p w14:paraId="3ED770E9" w14:textId="77777777" w:rsidR="00A052DC" w:rsidRDefault="009F0A60">
            <w:pPr>
              <w:rPr>
                <w:rFonts w:ascii="黑体" w:eastAsia="黑体" w:hAnsi="黑体"/>
                <w:sz w:val="20"/>
                <w:szCs w:val="20"/>
              </w:rPr>
            </w:pPr>
            <w:r>
              <w:rPr>
                <w:rFonts w:ascii="黑体" w:eastAsia="黑体" w:hAnsi="黑体" w:hint="eastAsia"/>
                <w:sz w:val="20"/>
                <w:szCs w:val="20"/>
              </w:rPr>
              <w:t>A</w:t>
            </w:r>
            <w:r w:rsidR="00AE4602">
              <w:rPr>
                <w:rFonts w:ascii="黑体" w:eastAsia="黑体" w:hAnsi="黑体" w:hint="eastAsia"/>
                <w:sz w:val="20"/>
                <w:szCs w:val="20"/>
              </w:rPr>
              <w:t>-</w:t>
            </w:r>
            <w:r>
              <w:rPr>
                <w:rFonts w:ascii="黑体" w:eastAsia="黑体" w:hAnsi="黑体" w:hint="eastAsia"/>
                <w:sz w:val="20"/>
                <w:szCs w:val="20"/>
              </w:rPr>
              <w:t>新建</w:t>
            </w:r>
          </w:p>
          <w:p w14:paraId="6A136C3D" w14:textId="77777777" w:rsidR="00A052DC" w:rsidRDefault="009F0A60">
            <w:pPr>
              <w:rPr>
                <w:rFonts w:ascii="黑体" w:eastAsia="黑体" w:hAnsi="黑体"/>
                <w:sz w:val="20"/>
                <w:szCs w:val="20"/>
              </w:rPr>
            </w:pPr>
            <w:r>
              <w:rPr>
                <w:rFonts w:ascii="黑体" w:eastAsia="黑体" w:hAnsi="黑体" w:hint="eastAsia"/>
                <w:sz w:val="20"/>
                <w:szCs w:val="20"/>
              </w:rPr>
              <w:t>C</w:t>
            </w:r>
            <w:r w:rsidR="00AE4602">
              <w:rPr>
                <w:rFonts w:ascii="黑体" w:eastAsia="黑体" w:hAnsi="黑体" w:hint="eastAsia"/>
                <w:sz w:val="20"/>
                <w:szCs w:val="20"/>
              </w:rPr>
              <w:t>-</w:t>
            </w:r>
            <w:r>
              <w:rPr>
                <w:rFonts w:ascii="黑体" w:eastAsia="黑体" w:hAnsi="黑体" w:hint="eastAsia"/>
                <w:sz w:val="20"/>
                <w:szCs w:val="20"/>
              </w:rPr>
              <w:t>修改</w:t>
            </w:r>
          </w:p>
          <w:p w14:paraId="062C58F3" w14:textId="77777777" w:rsidR="00A052DC" w:rsidRDefault="009F0A60">
            <w:pPr>
              <w:rPr>
                <w:rFonts w:ascii="黑体" w:eastAsia="黑体" w:hAnsi="黑体"/>
                <w:sz w:val="20"/>
                <w:szCs w:val="20"/>
              </w:rPr>
            </w:pPr>
            <w:r>
              <w:rPr>
                <w:rFonts w:ascii="黑体" w:eastAsia="黑体" w:hAnsi="黑体" w:hint="eastAsia"/>
                <w:sz w:val="20"/>
                <w:szCs w:val="20"/>
              </w:rPr>
              <w:t>D</w:t>
            </w:r>
            <w:r w:rsidR="00AE4602">
              <w:rPr>
                <w:rFonts w:ascii="黑体" w:eastAsia="黑体" w:hAnsi="黑体" w:hint="eastAsia"/>
                <w:sz w:val="20"/>
                <w:szCs w:val="20"/>
              </w:rPr>
              <w:t>-</w:t>
            </w:r>
            <w:r>
              <w:rPr>
                <w:rFonts w:ascii="黑体" w:eastAsia="黑体" w:hAnsi="黑体" w:hint="eastAsia"/>
                <w:sz w:val="20"/>
                <w:szCs w:val="20"/>
              </w:rPr>
              <w:t>删除</w:t>
            </w:r>
          </w:p>
          <w:p w14:paraId="6E5D0E42" w14:textId="77777777" w:rsidR="00A052DC" w:rsidRDefault="009F0A60">
            <w:pPr>
              <w:rPr>
                <w:rFonts w:ascii="黑体" w:eastAsia="黑体" w:hAnsi="黑体"/>
                <w:sz w:val="20"/>
                <w:szCs w:val="20"/>
              </w:rPr>
            </w:pPr>
            <w:r>
              <w:rPr>
                <w:rFonts w:ascii="黑体" w:eastAsia="黑体" w:hAnsi="黑体" w:hint="eastAsia"/>
                <w:sz w:val="20"/>
                <w:szCs w:val="20"/>
              </w:rPr>
              <w:t>R-申报无误（银行反馈），预留，暂不用</w:t>
            </w:r>
          </w:p>
        </w:tc>
      </w:tr>
      <w:tr w:rsidR="00A052DC" w14:paraId="1DFAAD24" w14:textId="77777777">
        <w:tc>
          <w:tcPr>
            <w:tcW w:w="1418" w:type="dxa"/>
          </w:tcPr>
          <w:p w14:paraId="2277C17F" w14:textId="77777777" w:rsidR="00A052DC" w:rsidRDefault="009F0A60">
            <w:pPr>
              <w:rPr>
                <w:rFonts w:ascii="黑体" w:eastAsia="黑体" w:hAnsi="黑体"/>
                <w:sz w:val="20"/>
                <w:szCs w:val="20"/>
              </w:rPr>
            </w:pPr>
            <w:r>
              <w:rPr>
                <w:rFonts w:ascii="黑体" w:eastAsia="黑体" w:hAnsi="黑体"/>
                <w:sz w:val="20"/>
                <w:szCs w:val="20"/>
              </w:rPr>
              <w:t>ACTIONDESC</w:t>
            </w:r>
          </w:p>
        </w:tc>
        <w:tc>
          <w:tcPr>
            <w:tcW w:w="1559" w:type="dxa"/>
          </w:tcPr>
          <w:p w14:paraId="6746DBD6" w14:textId="77777777" w:rsidR="00A052DC" w:rsidRDefault="009F0A60">
            <w:pPr>
              <w:rPr>
                <w:rFonts w:ascii="黑体" w:eastAsia="黑体" w:hAnsi="黑体"/>
                <w:sz w:val="20"/>
                <w:szCs w:val="20"/>
              </w:rPr>
            </w:pPr>
            <w:r>
              <w:rPr>
                <w:rFonts w:ascii="黑体" w:eastAsia="黑体" w:hAnsi="黑体" w:hint="eastAsia"/>
                <w:sz w:val="20"/>
                <w:szCs w:val="20"/>
              </w:rPr>
              <w:t>修改/删除原因</w:t>
            </w:r>
          </w:p>
          <w:p w14:paraId="246C8227" w14:textId="77777777" w:rsidR="00A052DC" w:rsidRDefault="009F0A60">
            <w:pPr>
              <w:rPr>
                <w:rFonts w:ascii="黑体" w:eastAsia="黑体" w:hAnsi="黑体"/>
                <w:sz w:val="20"/>
                <w:szCs w:val="20"/>
              </w:rPr>
            </w:pPr>
            <w:r>
              <w:rPr>
                <w:rFonts w:ascii="黑体" w:eastAsia="黑体" w:hAnsi="黑体" w:hint="eastAsia"/>
                <w:sz w:val="20"/>
                <w:szCs w:val="20"/>
              </w:rPr>
              <w:t>或申报无误理由</w:t>
            </w:r>
          </w:p>
        </w:tc>
        <w:tc>
          <w:tcPr>
            <w:tcW w:w="1560" w:type="dxa"/>
          </w:tcPr>
          <w:p w14:paraId="71C9CABC"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4110" w:type="dxa"/>
          </w:tcPr>
          <w:p w14:paraId="657393D1" w14:textId="77777777" w:rsidR="00A052DC" w:rsidRDefault="00A052DC">
            <w:pPr>
              <w:keepNext/>
              <w:keepLines/>
              <w:spacing w:before="120" w:after="120" w:line="360" w:lineRule="auto"/>
              <w:outlineLvl w:val="2"/>
              <w:rPr>
                <w:rFonts w:ascii="黑体" w:eastAsia="黑体" w:hAnsi="黑体"/>
                <w:sz w:val="20"/>
                <w:szCs w:val="20"/>
              </w:rPr>
            </w:pPr>
            <w:bookmarkStart w:id="959" w:name="_Toc454386763"/>
            <w:bookmarkEnd w:id="959"/>
          </w:p>
        </w:tc>
      </w:tr>
      <w:tr w:rsidR="00A052DC" w14:paraId="28B3EB8A" w14:textId="77777777">
        <w:tc>
          <w:tcPr>
            <w:tcW w:w="1418" w:type="dxa"/>
          </w:tcPr>
          <w:p w14:paraId="34D10D5A" w14:textId="77777777" w:rsidR="00A052DC" w:rsidRDefault="009F0A60">
            <w:pPr>
              <w:rPr>
                <w:rFonts w:ascii="黑体" w:eastAsia="黑体" w:hAnsi="黑体"/>
                <w:sz w:val="20"/>
                <w:szCs w:val="20"/>
              </w:rPr>
            </w:pPr>
            <w:r>
              <w:rPr>
                <w:rFonts w:ascii="黑体" w:eastAsia="黑体" w:hAnsi="黑体"/>
                <w:sz w:val="20"/>
                <w:szCs w:val="20"/>
              </w:rPr>
              <w:t>RPTNO</w:t>
            </w:r>
          </w:p>
        </w:tc>
        <w:tc>
          <w:tcPr>
            <w:tcW w:w="1559" w:type="dxa"/>
          </w:tcPr>
          <w:p w14:paraId="52FA1647" w14:textId="77777777" w:rsidR="00A052DC" w:rsidRDefault="009F0A60">
            <w:pPr>
              <w:rPr>
                <w:rFonts w:ascii="黑体" w:eastAsia="黑体" w:hAnsi="黑体"/>
                <w:sz w:val="20"/>
                <w:szCs w:val="20"/>
              </w:rPr>
            </w:pPr>
            <w:r>
              <w:rPr>
                <w:rFonts w:ascii="黑体" w:eastAsia="黑体" w:hAnsi="黑体" w:hint="eastAsia"/>
                <w:sz w:val="20"/>
                <w:szCs w:val="20"/>
              </w:rPr>
              <w:t>申报号码</w:t>
            </w:r>
          </w:p>
        </w:tc>
        <w:tc>
          <w:tcPr>
            <w:tcW w:w="1560" w:type="dxa"/>
          </w:tcPr>
          <w:p w14:paraId="5F3580CD" w14:textId="77777777" w:rsidR="00A052DC" w:rsidRDefault="009F0A60">
            <w:pPr>
              <w:rPr>
                <w:rFonts w:ascii="黑体" w:eastAsia="黑体" w:hAnsi="黑体"/>
                <w:sz w:val="20"/>
                <w:szCs w:val="20"/>
              </w:rPr>
            </w:pPr>
            <w:r>
              <w:rPr>
                <w:rFonts w:ascii="黑体" w:eastAsia="黑体" w:hAnsi="黑体" w:hint="eastAsia"/>
                <w:sz w:val="20"/>
                <w:szCs w:val="20"/>
              </w:rPr>
              <w:t>字符型，22</w:t>
            </w:r>
          </w:p>
        </w:tc>
        <w:tc>
          <w:tcPr>
            <w:tcW w:w="4110" w:type="dxa"/>
          </w:tcPr>
          <w:p w14:paraId="229B1E9A" w14:textId="77777777" w:rsidR="00A052DC" w:rsidRDefault="009F0A60">
            <w:pPr>
              <w:rPr>
                <w:rFonts w:ascii="黑体" w:eastAsia="黑体" w:hAnsi="黑体"/>
                <w:sz w:val="20"/>
                <w:szCs w:val="20"/>
              </w:rPr>
            </w:pPr>
            <w:r>
              <w:rPr>
                <w:rFonts w:ascii="黑体" w:eastAsia="黑体" w:hAnsi="黑体" w:hint="eastAsia"/>
                <w:sz w:val="20"/>
                <w:szCs w:val="20"/>
              </w:rPr>
              <w:t>编码规则：6位地区标识码+4位银行代码+2位银行顺序码+支付日期（yymmdd）+4位银行业务流水码。</w:t>
            </w:r>
          </w:p>
          <w:p w14:paraId="33F1C387" w14:textId="77777777" w:rsidR="006237F5" w:rsidRDefault="009F0A60">
            <w:pPr>
              <w:rPr>
                <w:rFonts w:ascii="黑体" w:eastAsia="黑体" w:hAnsi="黑体"/>
                <w:sz w:val="20"/>
                <w:szCs w:val="20"/>
              </w:rPr>
            </w:pPr>
            <w:r>
              <w:rPr>
                <w:rFonts w:ascii="黑体" w:eastAsia="黑体" w:hAnsi="黑体" w:hint="eastAsia"/>
                <w:sz w:val="20"/>
                <w:szCs w:val="20"/>
              </w:rPr>
              <w:t>支付日期不能大于系统日期</w:t>
            </w:r>
            <w:r w:rsidR="006237F5">
              <w:rPr>
                <w:rFonts w:ascii="黑体" w:eastAsia="黑体" w:hAnsi="黑体" w:hint="eastAsia"/>
                <w:sz w:val="20"/>
                <w:szCs w:val="20"/>
              </w:rPr>
              <w:t>。</w:t>
            </w:r>
          </w:p>
          <w:p w14:paraId="5CE6D3C1" w14:textId="77777777" w:rsidR="00A052DC" w:rsidRDefault="009F0A60">
            <w:pPr>
              <w:rPr>
                <w:rFonts w:ascii="黑体" w:eastAsia="黑体" w:hAnsi="黑体"/>
                <w:sz w:val="20"/>
                <w:szCs w:val="20"/>
              </w:rPr>
            </w:pPr>
            <w:r>
              <w:rPr>
                <w:rFonts w:ascii="黑体" w:eastAsia="黑体" w:hAnsi="黑体" w:hint="eastAsia"/>
                <w:sz w:val="20"/>
                <w:szCs w:val="20"/>
              </w:rPr>
              <w:t>银行业务流水码规则：</w:t>
            </w:r>
          </w:p>
          <w:p w14:paraId="1E56786B" w14:textId="77777777" w:rsidR="00A052DC" w:rsidRDefault="009F0A60">
            <w:pPr>
              <w:rPr>
                <w:rFonts w:ascii="黑体" w:eastAsia="黑体" w:hAnsi="黑体"/>
                <w:sz w:val="20"/>
                <w:szCs w:val="20"/>
              </w:rPr>
            </w:pPr>
            <w:r>
              <w:rPr>
                <w:rFonts w:ascii="黑体" w:eastAsia="黑体" w:hAnsi="黑体" w:hint="eastAsia"/>
                <w:sz w:val="20"/>
                <w:szCs w:val="20"/>
              </w:rPr>
              <w:t>对公为：A***，B***，C***</w:t>
            </w:r>
            <w:r w:rsidR="006237F5">
              <w:rPr>
                <w:rFonts w:ascii="黑体" w:eastAsia="黑体" w:hAnsi="黑体" w:hint="eastAsia"/>
                <w:sz w:val="20"/>
                <w:szCs w:val="20"/>
              </w:rPr>
              <w:t>，</w:t>
            </w:r>
            <w:r>
              <w:rPr>
                <w:rFonts w:ascii="黑体" w:eastAsia="黑体" w:hAnsi="黑体" w:hint="eastAsia"/>
                <w:sz w:val="20"/>
                <w:szCs w:val="20"/>
              </w:rPr>
              <w:t>D***；</w:t>
            </w:r>
          </w:p>
          <w:p w14:paraId="76566A86" w14:textId="77777777" w:rsidR="00A052DC" w:rsidRDefault="009F0A60">
            <w:pPr>
              <w:rPr>
                <w:rFonts w:ascii="黑体" w:eastAsia="黑体" w:hAnsi="黑体"/>
                <w:sz w:val="20"/>
                <w:szCs w:val="20"/>
              </w:rPr>
            </w:pPr>
            <w:r>
              <w:rPr>
                <w:rFonts w:ascii="黑体" w:eastAsia="黑体" w:hAnsi="黑体" w:hint="eastAsia"/>
                <w:sz w:val="20"/>
                <w:szCs w:val="20"/>
              </w:rPr>
              <w:t>对私为：J***</w:t>
            </w:r>
            <w:r w:rsidR="006237F5">
              <w:rPr>
                <w:rFonts w:ascii="黑体" w:eastAsia="黑体" w:hAnsi="黑体" w:hint="eastAsia"/>
                <w:sz w:val="20"/>
                <w:szCs w:val="20"/>
              </w:rPr>
              <w:t>，</w:t>
            </w:r>
            <w:r>
              <w:rPr>
                <w:rFonts w:ascii="黑体" w:eastAsia="黑体" w:hAnsi="黑体" w:hint="eastAsia"/>
                <w:sz w:val="20"/>
                <w:szCs w:val="20"/>
              </w:rPr>
              <w:t>K***；</w:t>
            </w:r>
          </w:p>
          <w:p w14:paraId="6C4185B9" w14:textId="77777777" w:rsidR="00A052DC" w:rsidRDefault="009F0A60">
            <w:pPr>
              <w:rPr>
                <w:rFonts w:ascii="黑体" w:eastAsia="黑体" w:hAnsi="黑体"/>
                <w:sz w:val="20"/>
                <w:szCs w:val="20"/>
              </w:rPr>
            </w:pPr>
            <w:r>
              <w:rPr>
                <w:rFonts w:ascii="黑体" w:eastAsia="黑体" w:hAnsi="黑体" w:hint="eastAsia"/>
                <w:sz w:val="20"/>
                <w:szCs w:val="20"/>
              </w:rPr>
              <w:t>后三位流水单号中允许使用英文大写字母（O、I、Z除外）与数字（0-9）。</w:t>
            </w:r>
          </w:p>
        </w:tc>
      </w:tr>
      <w:tr w:rsidR="00A052DC" w14:paraId="49634192" w14:textId="77777777">
        <w:tc>
          <w:tcPr>
            <w:tcW w:w="1418" w:type="dxa"/>
          </w:tcPr>
          <w:p w14:paraId="195FE52D" w14:textId="77777777" w:rsidR="00A052DC" w:rsidRDefault="009F0A60">
            <w:pPr>
              <w:rPr>
                <w:rFonts w:ascii="黑体" w:eastAsia="黑体" w:hAnsi="黑体"/>
                <w:sz w:val="20"/>
                <w:szCs w:val="20"/>
              </w:rPr>
            </w:pPr>
            <w:r>
              <w:rPr>
                <w:rFonts w:ascii="黑体" w:eastAsia="黑体" w:hAnsi="黑体"/>
                <w:sz w:val="20"/>
                <w:szCs w:val="20"/>
              </w:rPr>
              <w:t>CUSTYPE</w:t>
            </w:r>
          </w:p>
        </w:tc>
        <w:tc>
          <w:tcPr>
            <w:tcW w:w="1559" w:type="dxa"/>
          </w:tcPr>
          <w:p w14:paraId="0EE7B33C" w14:textId="77777777" w:rsidR="00A052DC" w:rsidRDefault="009F0A60">
            <w:pPr>
              <w:rPr>
                <w:rFonts w:ascii="黑体" w:eastAsia="黑体" w:hAnsi="黑体"/>
                <w:sz w:val="20"/>
                <w:szCs w:val="20"/>
              </w:rPr>
            </w:pPr>
            <w:r>
              <w:rPr>
                <w:rFonts w:ascii="黑体" w:eastAsia="黑体" w:hAnsi="黑体" w:hint="eastAsia"/>
                <w:sz w:val="20"/>
                <w:szCs w:val="20"/>
              </w:rPr>
              <w:t>汇款人类型</w:t>
            </w:r>
          </w:p>
        </w:tc>
        <w:tc>
          <w:tcPr>
            <w:tcW w:w="1560" w:type="dxa"/>
          </w:tcPr>
          <w:p w14:paraId="69D3CE00" w14:textId="77777777" w:rsidR="00A052DC" w:rsidRDefault="009F0A60">
            <w:pPr>
              <w:rPr>
                <w:rFonts w:ascii="黑体" w:eastAsia="黑体" w:hAnsi="黑体"/>
                <w:sz w:val="20"/>
                <w:szCs w:val="20"/>
              </w:rPr>
            </w:pPr>
            <w:r>
              <w:rPr>
                <w:rFonts w:ascii="黑体" w:eastAsia="黑体" w:hAnsi="黑体" w:hint="eastAsia"/>
                <w:sz w:val="20"/>
                <w:szCs w:val="20"/>
              </w:rPr>
              <w:t>字符型，1</w:t>
            </w:r>
          </w:p>
        </w:tc>
        <w:tc>
          <w:tcPr>
            <w:tcW w:w="4110" w:type="dxa"/>
          </w:tcPr>
          <w:p w14:paraId="7D92C198" w14:textId="77777777" w:rsidR="00A052DC" w:rsidRDefault="009F0A60">
            <w:pPr>
              <w:rPr>
                <w:rFonts w:ascii="黑体" w:eastAsia="黑体" w:hAnsi="黑体"/>
                <w:sz w:val="20"/>
                <w:szCs w:val="20"/>
              </w:rPr>
            </w:pPr>
            <w:r>
              <w:rPr>
                <w:rFonts w:ascii="黑体" w:eastAsia="黑体" w:hAnsi="黑体" w:hint="eastAsia"/>
                <w:sz w:val="20"/>
                <w:szCs w:val="20"/>
              </w:rPr>
              <w:t>C</w:t>
            </w:r>
            <w:r w:rsidR="00AE4602">
              <w:rPr>
                <w:rFonts w:ascii="黑体" w:eastAsia="黑体" w:hAnsi="黑体" w:hint="eastAsia"/>
                <w:sz w:val="20"/>
                <w:szCs w:val="20"/>
              </w:rPr>
              <w:t>-</w:t>
            </w:r>
            <w:r>
              <w:rPr>
                <w:rFonts w:ascii="黑体" w:eastAsia="黑体" w:hAnsi="黑体" w:hint="eastAsia"/>
                <w:sz w:val="20"/>
                <w:szCs w:val="20"/>
              </w:rPr>
              <w:t>对公用户</w:t>
            </w:r>
          </w:p>
          <w:p w14:paraId="0219DE22" w14:textId="77777777" w:rsidR="00A052DC" w:rsidRDefault="009F0A60">
            <w:pPr>
              <w:rPr>
                <w:rFonts w:ascii="黑体" w:eastAsia="黑体" w:hAnsi="黑体"/>
                <w:sz w:val="20"/>
                <w:szCs w:val="20"/>
              </w:rPr>
            </w:pPr>
            <w:r>
              <w:rPr>
                <w:rFonts w:ascii="黑体" w:eastAsia="黑体" w:hAnsi="黑体" w:hint="eastAsia"/>
                <w:sz w:val="20"/>
                <w:szCs w:val="20"/>
              </w:rPr>
              <w:t>D</w:t>
            </w:r>
            <w:r w:rsidR="00AE4602">
              <w:rPr>
                <w:rFonts w:ascii="黑体" w:eastAsia="黑体" w:hAnsi="黑体" w:hint="eastAsia"/>
                <w:sz w:val="20"/>
                <w:szCs w:val="20"/>
              </w:rPr>
              <w:t>-</w:t>
            </w:r>
            <w:r>
              <w:rPr>
                <w:rFonts w:ascii="黑体" w:eastAsia="黑体" w:hAnsi="黑体" w:hint="eastAsia"/>
                <w:sz w:val="20"/>
                <w:szCs w:val="20"/>
              </w:rPr>
              <w:t>对私中国居民</w:t>
            </w:r>
          </w:p>
          <w:p w14:paraId="356B5FD8" w14:textId="77777777" w:rsidR="006237F5" w:rsidRDefault="009F0A60">
            <w:pPr>
              <w:rPr>
                <w:rFonts w:ascii="黑体" w:eastAsia="黑体" w:hAnsi="黑体"/>
                <w:sz w:val="20"/>
                <w:szCs w:val="20"/>
              </w:rPr>
            </w:pPr>
            <w:r>
              <w:rPr>
                <w:rFonts w:ascii="黑体" w:eastAsia="黑体" w:hAnsi="黑体" w:hint="eastAsia"/>
                <w:sz w:val="20"/>
                <w:szCs w:val="20"/>
              </w:rPr>
              <w:t>F</w:t>
            </w:r>
            <w:r w:rsidR="00AE4602">
              <w:rPr>
                <w:rFonts w:ascii="黑体" w:eastAsia="黑体" w:hAnsi="黑体" w:hint="eastAsia"/>
                <w:sz w:val="20"/>
                <w:szCs w:val="20"/>
              </w:rPr>
              <w:t>-</w:t>
            </w:r>
            <w:r>
              <w:rPr>
                <w:rFonts w:ascii="黑体" w:eastAsia="黑体" w:hAnsi="黑体" w:hint="eastAsia"/>
                <w:sz w:val="20"/>
                <w:szCs w:val="20"/>
              </w:rPr>
              <w:t>对私中国非居民</w:t>
            </w:r>
          </w:p>
          <w:p w14:paraId="7348C2BA" w14:textId="77777777" w:rsidR="00A052DC" w:rsidRDefault="009F0A60">
            <w:pPr>
              <w:rPr>
                <w:rFonts w:ascii="黑体" w:eastAsia="黑体" w:hAnsi="黑体"/>
                <w:sz w:val="20"/>
                <w:szCs w:val="20"/>
              </w:rPr>
            </w:pPr>
            <w:r>
              <w:rPr>
                <w:rFonts w:ascii="黑体" w:eastAsia="黑体" w:hAnsi="黑体" w:hint="eastAsia"/>
                <w:sz w:val="20"/>
                <w:szCs w:val="20"/>
              </w:rPr>
              <w:t>需与申报号码中第19位字母所表明的含义一致。</w:t>
            </w:r>
          </w:p>
        </w:tc>
      </w:tr>
      <w:tr w:rsidR="00A052DC" w14:paraId="125DE251" w14:textId="77777777">
        <w:tc>
          <w:tcPr>
            <w:tcW w:w="1418" w:type="dxa"/>
          </w:tcPr>
          <w:p w14:paraId="7FD75C5F" w14:textId="77777777" w:rsidR="00A052DC" w:rsidRDefault="009F0A60">
            <w:pPr>
              <w:rPr>
                <w:rFonts w:ascii="黑体" w:eastAsia="黑体" w:hAnsi="黑体"/>
                <w:sz w:val="20"/>
                <w:szCs w:val="20"/>
              </w:rPr>
            </w:pPr>
            <w:r>
              <w:rPr>
                <w:rFonts w:ascii="黑体" w:eastAsia="黑体" w:hAnsi="黑体"/>
                <w:sz w:val="20"/>
                <w:szCs w:val="20"/>
              </w:rPr>
              <w:t>IDCODE</w:t>
            </w:r>
          </w:p>
        </w:tc>
        <w:tc>
          <w:tcPr>
            <w:tcW w:w="1559" w:type="dxa"/>
          </w:tcPr>
          <w:p w14:paraId="03FF9CA8" w14:textId="77777777" w:rsidR="00A052DC" w:rsidRDefault="009F0A60">
            <w:pPr>
              <w:rPr>
                <w:rFonts w:ascii="黑体" w:eastAsia="黑体" w:hAnsi="黑体"/>
                <w:sz w:val="20"/>
                <w:szCs w:val="20"/>
              </w:rPr>
            </w:pPr>
            <w:r>
              <w:rPr>
                <w:rFonts w:ascii="黑体" w:eastAsia="黑体" w:hAnsi="黑体" w:hint="eastAsia"/>
                <w:sz w:val="20"/>
                <w:szCs w:val="20"/>
              </w:rPr>
              <w:t>个人身份证件号码</w:t>
            </w:r>
          </w:p>
        </w:tc>
        <w:tc>
          <w:tcPr>
            <w:tcW w:w="1560" w:type="dxa"/>
          </w:tcPr>
          <w:p w14:paraId="00297B21" w14:textId="77777777" w:rsidR="00A052DC" w:rsidRDefault="009F0A60">
            <w:pPr>
              <w:rPr>
                <w:rFonts w:ascii="黑体" w:eastAsia="黑体" w:hAnsi="黑体"/>
                <w:sz w:val="20"/>
                <w:szCs w:val="20"/>
              </w:rPr>
            </w:pPr>
            <w:r>
              <w:rPr>
                <w:rFonts w:ascii="黑体" w:eastAsia="黑体" w:hAnsi="黑体" w:hint="eastAsia"/>
                <w:sz w:val="20"/>
                <w:szCs w:val="20"/>
              </w:rPr>
              <w:t>字符型，32</w:t>
            </w:r>
          </w:p>
        </w:tc>
        <w:tc>
          <w:tcPr>
            <w:tcW w:w="4110" w:type="dxa"/>
          </w:tcPr>
          <w:p w14:paraId="526546E7" w14:textId="77777777" w:rsidR="00A052DC" w:rsidRDefault="009F0A60">
            <w:pPr>
              <w:rPr>
                <w:rFonts w:ascii="黑体" w:eastAsia="黑体" w:hAnsi="黑体"/>
                <w:sz w:val="20"/>
                <w:szCs w:val="20"/>
              </w:rPr>
            </w:pPr>
            <w:r>
              <w:rPr>
                <w:rFonts w:ascii="黑体" w:eastAsia="黑体" w:hAnsi="黑体"/>
                <w:sz w:val="20"/>
                <w:szCs w:val="20"/>
              </w:rPr>
              <w:t>CUSTYPE&lt;&gt;</w:t>
            </w:r>
            <w:r>
              <w:rPr>
                <w:rFonts w:ascii="黑体" w:eastAsia="黑体" w:hAnsi="黑体" w:hint="eastAsia"/>
                <w:sz w:val="20"/>
                <w:szCs w:val="20"/>
              </w:rPr>
              <w:t>C时必填。</w:t>
            </w:r>
          </w:p>
        </w:tc>
      </w:tr>
      <w:tr w:rsidR="00A052DC" w14:paraId="21E84FA9" w14:textId="77777777">
        <w:tc>
          <w:tcPr>
            <w:tcW w:w="1418" w:type="dxa"/>
          </w:tcPr>
          <w:p w14:paraId="36BFE97C" w14:textId="77777777" w:rsidR="00A052DC" w:rsidRDefault="009F0A60">
            <w:pPr>
              <w:rPr>
                <w:rFonts w:ascii="黑体" w:eastAsia="黑体" w:hAnsi="黑体"/>
                <w:sz w:val="20"/>
                <w:szCs w:val="20"/>
              </w:rPr>
            </w:pPr>
            <w:r>
              <w:rPr>
                <w:rFonts w:ascii="黑体" w:eastAsia="黑体" w:hAnsi="黑体"/>
                <w:sz w:val="20"/>
                <w:szCs w:val="20"/>
              </w:rPr>
              <w:t>CUSTCOD</w:t>
            </w:r>
          </w:p>
        </w:tc>
        <w:tc>
          <w:tcPr>
            <w:tcW w:w="1559" w:type="dxa"/>
          </w:tcPr>
          <w:p w14:paraId="7B6D0C64" w14:textId="77777777" w:rsidR="00A052DC" w:rsidRDefault="009F0A60">
            <w:pPr>
              <w:rPr>
                <w:rFonts w:ascii="黑体" w:eastAsia="黑体" w:hAnsi="黑体"/>
                <w:sz w:val="20"/>
                <w:szCs w:val="20"/>
              </w:rPr>
            </w:pPr>
            <w:r>
              <w:rPr>
                <w:rFonts w:ascii="黑体" w:eastAsia="黑体" w:hAnsi="黑体" w:hint="eastAsia"/>
                <w:sz w:val="20"/>
                <w:szCs w:val="20"/>
              </w:rPr>
              <w:t>主体标识码</w:t>
            </w:r>
          </w:p>
        </w:tc>
        <w:tc>
          <w:tcPr>
            <w:tcW w:w="1560" w:type="dxa"/>
          </w:tcPr>
          <w:p w14:paraId="21814A12" w14:textId="77777777" w:rsidR="00A052DC" w:rsidRDefault="009F0A60">
            <w:pPr>
              <w:rPr>
                <w:rFonts w:ascii="黑体" w:eastAsia="黑体" w:hAnsi="黑体"/>
                <w:sz w:val="20"/>
                <w:szCs w:val="20"/>
              </w:rPr>
            </w:pPr>
            <w:r>
              <w:rPr>
                <w:rFonts w:ascii="黑体" w:eastAsia="黑体" w:hAnsi="黑体" w:hint="eastAsia"/>
                <w:sz w:val="20"/>
                <w:szCs w:val="20"/>
              </w:rPr>
              <w:t>字符型，</w:t>
            </w:r>
            <w:r>
              <w:rPr>
                <w:rFonts w:ascii="黑体" w:eastAsia="黑体" w:hAnsi="黑体"/>
                <w:sz w:val="20"/>
                <w:szCs w:val="20"/>
              </w:rPr>
              <w:t>18</w:t>
            </w:r>
          </w:p>
        </w:tc>
        <w:tc>
          <w:tcPr>
            <w:tcW w:w="4110" w:type="dxa"/>
          </w:tcPr>
          <w:p w14:paraId="7803642F" w14:textId="77777777" w:rsidR="00A052DC" w:rsidRDefault="009F0A60">
            <w:pPr>
              <w:rPr>
                <w:rFonts w:ascii="黑体" w:eastAsia="黑体" w:hAnsi="黑体"/>
                <w:sz w:val="20"/>
                <w:szCs w:val="20"/>
              </w:rPr>
            </w:pPr>
            <w:r>
              <w:rPr>
                <w:rFonts w:ascii="黑体" w:eastAsia="黑体" w:hAnsi="黑体" w:hint="eastAsia"/>
                <w:sz w:val="20"/>
                <w:szCs w:val="20"/>
              </w:rPr>
              <w:t>CUSTYPE=</w:t>
            </w:r>
            <w:r w:rsidR="009D0FD2">
              <w:rPr>
                <w:rFonts w:ascii="黑体" w:eastAsia="黑体" w:hAnsi="黑体" w:hint="eastAsia"/>
                <w:sz w:val="20"/>
                <w:szCs w:val="20"/>
              </w:rPr>
              <w:t>C时必填。</w:t>
            </w:r>
          </w:p>
          <w:p w14:paraId="35276280" w14:textId="77777777" w:rsidR="00A052DC" w:rsidRDefault="009F0A60">
            <w:pPr>
              <w:pStyle w:val="a8"/>
              <w:spacing w:line="240" w:lineRule="auto"/>
              <w:ind w:firstLineChars="0" w:firstLine="0"/>
              <w:rPr>
                <w:rFonts w:ascii="黑体" w:eastAsia="黑体" w:hAnsi="黑体"/>
                <w:kern w:val="2"/>
                <w:szCs w:val="20"/>
              </w:rPr>
            </w:pPr>
            <w:r>
              <w:rPr>
                <w:rFonts w:ascii="黑体" w:eastAsia="黑体" w:hAnsi="黑体" w:hint="eastAsia"/>
                <w:kern w:val="2"/>
                <w:szCs w:val="20"/>
              </w:rPr>
              <w:t>指统一社会信用代码法定载体（如营业执照）上统一社会信用代码中的第9至17位或国家外汇管理局</w:t>
            </w:r>
            <w:r>
              <w:rPr>
                <w:rFonts w:ascii="黑体" w:eastAsia="黑体" w:hAnsi="黑体" w:hint="eastAsia"/>
                <w:szCs w:val="20"/>
              </w:rPr>
              <w:t>及其分支局</w:t>
            </w:r>
            <w:r>
              <w:rPr>
                <w:rFonts w:ascii="黑体" w:eastAsia="黑体" w:hAnsi="黑体" w:hint="eastAsia"/>
                <w:kern w:val="2"/>
                <w:szCs w:val="20"/>
              </w:rPr>
              <w:t>签发的特殊机构代码赋码通知书上的机构代码。</w:t>
            </w:r>
          </w:p>
          <w:p w14:paraId="42FA930E" w14:textId="77777777" w:rsidR="00A052DC" w:rsidRDefault="009F0A60">
            <w:pPr>
              <w:rPr>
                <w:rFonts w:ascii="黑体" w:eastAsia="黑体" w:hAnsi="黑体"/>
                <w:sz w:val="20"/>
                <w:szCs w:val="20"/>
              </w:rPr>
            </w:pPr>
            <w:r>
              <w:rPr>
                <w:rFonts w:ascii="黑体" w:eastAsia="黑体" w:hAnsi="黑体" w:hint="eastAsia"/>
                <w:sz w:val="20"/>
                <w:szCs w:val="20"/>
              </w:rPr>
              <w:t>按统一社会信用代码中的9位主体标识码（组织机构代码）或特殊机构赋码编制规则进行校验，字段长度仍预留18位。</w:t>
            </w:r>
          </w:p>
        </w:tc>
      </w:tr>
      <w:tr w:rsidR="00A052DC" w14:paraId="70DD7361" w14:textId="77777777">
        <w:tc>
          <w:tcPr>
            <w:tcW w:w="1418" w:type="dxa"/>
          </w:tcPr>
          <w:p w14:paraId="6844DC7C" w14:textId="77777777" w:rsidR="00A052DC" w:rsidRDefault="009F0A60">
            <w:pPr>
              <w:rPr>
                <w:rFonts w:ascii="黑体" w:eastAsia="黑体" w:hAnsi="黑体"/>
                <w:sz w:val="20"/>
                <w:szCs w:val="20"/>
              </w:rPr>
            </w:pPr>
            <w:r>
              <w:rPr>
                <w:rFonts w:ascii="黑体" w:eastAsia="黑体" w:hAnsi="黑体"/>
                <w:sz w:val="20"/>
                <w:szCs w:val="20"/>
              </w:rPr>
              <w:t>CUSTNM</w:t>
            </w:r>
          </w:p>
        </w:tc>
        <w:tc>
          <w:tcPr>
            <w:tcW w:w="1559" w:type="dxa"/>
          </w:tcPr>
          <w:p w14:paraId="34CB75F0" w14:textId="77777777" w:rsidR="00A052DC" w:rsidRDefault="009F0A60">
            <w:pPr>
              <w:rPr>
                <w:rFonts w:ascii="黑体" w:eastAsia="黑体" w:hAnsi="黑体"/>
                <w:sz w:val="20"/>
                <w:szCs w:val="20"/>
              </w:rPr>
            </w:pPr>
            <w:r>
              <w:rPr>
                <w:rFonts w:ascii="黑体" w:eastAsia="黑体" w:hAnsi="黑体" w:hint="eastAsia"/>
                <w:sz w:val="20"/>
                <w:szCs w:val="20"/>
              </w:rPr>
              <w:t>汇款人名称</w:t>
            </w:r>
          </w:p>
        </w:tc>
        <w:tc>
          <w:tcPr>
            <w:tcW w:w="1560" w:type="dxa"/>
          </w:tcPr>
          <w:p w14:paraId="7C783972"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4110" w:type="dxa"/>
          </w:tcPr>
          <w:p w14:paraId="2B40D2A3"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r w:rsidR="00A052DC" w14:paraId="2D37F22F" w14:textId="77777777">
        <w:tc>
          <w:tcPr>
            <w:tcW w:w="1418" w:type="dxa"/>
            <w:tcBorders>
              <w:top w:val="single" w:sz="4" w:space="0" w:color="auto"/>
              <w:left w:val="single" w:sz="4" w:space="0" w:color="auto"/>
              <w:bottom w:val="single" w:sz="4" w:space="0" w:color="auto"/>
              <w:right w:val="single" w:sz="4" w:space="0" w:color="auto"/>
            </w:tcBorders>
          </w:tcPr>
          <w:p w14:paraId="7AA04AF8" w14:textId="77777777" w:rsidR="00A052DC" w:rsidRDefault="009F0A60">
            <w:pPr>
              <w:rPr>
                <w:rFonts w:ascii="黑体" w:eastAsia="黑体" w:hAnsi="黑体"/>
                <w:sz w:val="20"/>
                <w:szCs w:val="20"/>
              </w:rPr>
            </w:pPr>
            <w:r>
              <w:rPr>
                <w:rFonts w:ascii="黑体" w:eastAsia="黑体" w:hAnsi="黑体"/>
                <w:sz w:val="20"/>
                <w:szCs w:val="20"/>
              </w:rPr>
              <w:t>OPPUSER</w:t>
            </w:r>
          </w:p>
        </w:tc>
        <w:tc>
          <w:tcPr>
            <w:tcW w:w="1559" w:type="dxa"/>
            <w:tcBorders>
              <w:top w:val="single" w:sz="4" w:space="0" w:color="auto"/>
              <w:left w:val="single" w:sz="4" w:space="0" w:color="auto"/>
              <w:bottom w:val="single" w:sz="4" w:space="0" w:color="auto"/>
              <w:right w:val="single" w:sz="4" w:space="0" w:color="auto"/>
            </w:tcBorders>
          </w:tcPr>
          <w:p w14:paraId="7268FA4F" w14:textId="77777777" w:rsidR="00A052DC" w:rsidRDefault="009F0A60">
            <w:pPr>
              <w:rPr>
                <w:rFonts w:ascii="黑体" w:eastAsia="黑体" w:hAnsi="黑体"/>
                <w:sz w:val="20"/>
                <w:szCs w:val="20"/>
              </w:rPr>
            </w:pPr>
            <w:r>
              <w:rPr>
                <w:rFonts w:ascii="黑体" w:eastAsia="黑体" w:hAnsi="黑体" w:hint="eastAsia"/>
                <w:sz w:val="20"/>
                <w:szCs w:val="20"/>
              </w:rPr>
              <w:t>收款人名称</w:t>
            </w:r>
          </w:p>
        </w:tc>
        <w:tc>
          <w:tcPr>
            <w:tcW w:w="1560" w:type="dxa"/>
            <w:tcBorders>
              <w:top w:val="single" w:sz="4" w:space="0" w:color="auto"/>
              <w:left w:val="single" w:sz="4" w:space="0" w:color="auto"/>
              <w:bottom w:val="single" w:sz="4" w:space="0" w:color="auto"/>
              <w:right w:val="single" w:sz="4" w:space="0" w:color="auto"/>
            </w:tcBorders>
          </w:tcPr>
          <w:p w14:paraId="4057B065"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4110" w:type="dxa"/>
            <w:tcBorders>
              <w:top w:val="single" w:sz="4" w:space="0" w:color="auto"/>
              <w:left w:val="single" w:sz="4" w:space="0" w:color="auto"/>
              <w:bottom w:val="single" w:sz="4" w:space="0" w:color="auto"/>
              <w:right w:val="single" w:sz="4" w:space="0" w:color="auto"/>
            </w:tcBorders>
          </w:tcPr>
          <w:p w14:paraId="7F16EABB" w14:textId="77777777" w:rsidR="00A052DC" w:rsidRDefault="009F0A60">
            <w:pPr>
              <w:rPr>
                <w:rFonts w:ascii="黑体" w:eastAsia="黑体" w:hAnsi="黑体"/>
                <w:sz w:val="20"/>
                <w:szCs w:val="20"/>
              </w:rPr>
            </w:pPr>
            <w:r>
              <w:rPr>
                <w:rFonts w:ascii="黑体" w:eastAsia="黑体" w:hAnsi="黑体" w:hint="eastAsia"/>
                <w:sz w:val="20"/>
                <w:szCs w:val="20"/>
              </w:rPr>
              <w:t>必填项，必须以半角大写英文字母 “（JW）”或“（JN）”开头。当CUSTYPE</w:t>
            </w:r>
            <w:r>
              <w:rPr>
                <w:rFonts w:ascii="黑体" w:eastAsia="黑体" w:hAnsi="黑体"/>
                <w:sz w:val="20"/>
                <w:szCs w:val="20"/>
              </w:rPr>
              <w:t>&lt;&gt;</w:t>
            </w:r>
            <w:r>
              <w:rPr>
                <w:rFonts w:ascii="黑体" w:eastAsia="黑体" w:hAnsi="黑体" w:hint="eastAsia"/>
                <w:sz w:val="20"/>
                <w:szCs w:val="20"/>
              </w:rPr>
              <w:t>C时，账号必填。对于速汇业务和托收等没有对应账号的业务，账号部分填写“000000”（六个零）。</w:t>
            </w:r>
          </w:p>
        </w:tc>
      </w:tr>
      <w:tr w:rsidR="00A052DC" w14:paraId="7B364C8E" w14:textId="77777777">
        <w:trPr>
          <w:cantSplit/>
          <w:trHeight w:val="623"/>
        </w:trPr>
        <w:tc>
          <w:tcPr>
            <w:tcW w:w="1418" w:type="dxa"/>
          </w:tcPr>
          <w:p w14:paraId="5652BE6E" w14:textId="77777777" w:rsidR="00A052DC" w:rsidRDefault="009F0A60">
            <w:pPr>
              <w:rPr>
                <w:rFonts w:ascii="黑体" w:eastAsia="黑体" w:hAnsi="黑体"/>
                <w:sz w:val="20"/>
                <w:szCs w:val="20"/>
              </w:rPr>
            </w:pPr>
            <w:r>
              <w:rPr>
                <w:rFonts w:ascii="黑体" w:eastAsia="黑体" w:hAnsi="黑体"/>
                <w:sz w:val="20"/>
                <w:szCs w:val="20"/>
              </w:rPr>
              <w:t>TXCCY</w:t>
            </w:r>
          </w:p>
        </w:tc>
        <w:tc>
          <w:tcPr>
            <w:tcW w:w="1559" w:type="dxa"/>
          </w:tcPr>
          <w:p w14:paraId="3F605522" w14:textId="77777777" w:rsidR="00A052DC" w:rsidRDefault="009F0A60">
            <w:pPr>
              <w:rPr>
                <w:rFonts w:ascii="黑体" w:eastAsia="黑体" w:hAnsi="黑体"/>
                <w:sz w:val="20"/>
                <w:szCs w:val="20"/>
              </w:rPr>
            </w:pPr>
            <w:r>
              <w:rPr>
                <w:rFonts w:ascii="黑体" w:eastAsia="黑体" w:hAnsi="黑体" w:hint="eastAsia"/>
                <w:sz w:val="20"/>
                <w:szCs w:val="20"/>
              </w:rPr>
              <w:t>汇款币种</w:t>
            </w:r>
          </w:p>
        </w:tc>
        <w:tc>
          <w:tcPr>
            <w:tcW w:w="1560" w:type="dxa"/>
          </w:tcPr>
          <w:p w14:paraId="6DAEC4A7" w14:textId="77777777" w:rsidR="00A052DC" w:rsidRDefault="009F0A60">
            <w:pPr>
              <w:rPr>
                <w:rFonts w:ascii="黑体" w:eastAsia="黑体" w:hAnsi="黑体"/>
                <w:sz w:val="20"/>
                <w:szCs w:val="20"/>
              </w:rPr>
            </w:pPr>
            <w:r>
              <w:rPr>
                <w:rFonts w:ascii="黑体" w:eastAsia="黑体" w:hAnsi="黑体" w:hint="eastAsia"/>
                <w:sz w:val="20"/>
                <w:szCs w:val="20"/>
              </w:rPr>
              <w:t>字符型，3</w:t>
            </w:r>
          </w:p>
        </w:tc>
        <w:tc>
          <w:tcPr>
            <w:tcW w:w="4110" w:type="dxa"/>
          </w:tcPr>
          <w:p w14:paraId="64BB298F" w14:textId="77777777" w:rsidR="00A052DC" w:rsidRDefault="009F0A60">
            <w:pPr>
              <w:rPr>
                <w:rFonts w:ascii="黑体" w:eastAsia="黑体" w:hAnsi="黑体"/>
                <w:sz w:val="20"/>
                <w:szCs w:val="20"/>
              </w:rPr>
            </w:pPr>
            <w:r>
              <w:rPr>
                <w:rFonts w:ascii="黑体" w:eastAsia="黑体" w:hAnsi="黑体" w:hint="eastAsia"/>
                <w:sz w:val="20"/>
                <w:szCs w:val="20"/>
              </w:rPr>
              <w:t>必填项，字母代码,必须在币种代码表里存在。</w:t>
            </w:r>
          </w:p>
        </w:tc>
      </w:tr>
      <w:tr w:rsidR="00A052DC" w14:paraId="50F19EA4" w14:textId="77777777">
        <w:trPr>
          <w:cantSplit/>
          <w:trHeight w:val="20"/>
        </w:trPr>
        <w:tc>
          <w:tcPr>
            <w:tcW w:w="1418" w:type="dxa"/>
          </w:tcPr>
          <w:p w14:paraId="6D23DC38" w14:textId="77777777" w:rsidR="00A052DC" w:rsidRDefault="009F0A60">
            <w:pPr>
              <w:rPr>
                <w:rFonts w:ascii="黑体" w:eastAsia="黑体" w:hAnsi="黑体"/>
                <w:sz w:val="20"/>
                <w:szCs w:val="20"/>
              </w:rPr>
            </w:pPr>
            <w:r>
              <w:rPr>
                <w:rFonts w:ascii="黑体" w:eastAsia="黑体" w:hAnsi="黑体"/>
                <w:sz w:val="20"/>
                <w:szCs w:val="20"/>
              </w:rPr>
              <w:t>TXAMT</w:t>
            </w:r>
          </w:p>
        </w:tc>
        <w:tc>
          <w:tcPr>
            <w:tcW w:w="1559" w:type="dxa"/>
          </w:tcPr>
          <w:p w14:paraId="13C43B45" w14:textId="77777777" w:rsidR="00A052DC" w:rsidRDefault="009F0A60">
            <w:pPr>
              <w:rPr>
                <w:rFonts w:ascii="黑体" w:eastAsia="黑体" w:hAnsi="黑体"/>
                <w:sz w:val="20"/>
                <w:szCs w:val="20"/>
              </w:rPr>
            </w:pPr>
            <w:r>
              <w:rPr>
                <w:rFonts w:ascii="黑体" w:eastAsia="黑体" w:hAnsi="黑体" w:hint="eastAsia"/>
                <w:sz w:val="20"/>
                <w:szCs w:val="20"/>
              </w:rPr>
              <w:t>汇款金额</w:t>
            </w:r>
          </w:p>
        </w:tc>
        <w:tc>
          <w:tcPr>
            <w:tcW w:w="1560" w:type="dxa"/>
          </w:tcPr>
          <w:p w14:paraId="6A228155" w14:textId="77777777" w:rsidR="00A052DC" w:rsidRDefault="009F0A60">
            <w:pPr>
              <w:rPr>
                <w:rFonts w:ascii="黑体" w:eastAsia="黑体" w:hAnsi="黑体"/>
                <w:sz w:val="20"/>
                <w:szCs w:val="20"/>
              </w:rPr>
            </w:pPr>
            <w:r>
              <w:rPr>
                <w:rFonts w:ascii="黑体" w:eastAsia="黑体" w:hAnsi="黑体" w:hint="eastAsia"/>
                <w:sz w:val="20"/>
                <w:szCs w:val="20"/>
              </w:rPr>
              <w:t>数值型，22.0</w:t>
            </w:r>
          </w:p>
        </w:tc>
        <w:tc>
          <w:tcPr>
            <w:tcW w:w="4110" w:type="dxa"/>
          </w:tcPr>
          <w:p w14:paraId="48C88DB8" w14:textId="77777777" w:rsidR="00A052DC" w:rsidRDefault="009F0A60">
            <w:pPr>
              <w:rPr>
                <w:rFonts w:ascii="黑体" w:eastAsia="黑体" w:hAnsi="黑体"/>
                <w:sz w:val="20"/>
                <w:szCs w:val="20"/>
              </w:rPr>
            </w:pPr>
            <w:r>
              <w:rPr>
                <w:rFonts w:ascii="黑体" w:eastAsia="黑体" w:hAnsi="黑体" w:hint="eastAsia"/>
                <w:sz w:val="20"/>
                <w:szCs w:val="20"/>
              </w:rPr>
              <w:t>必填项，必须大于等于0，无小数位。</w:t>
            </w:r>
          </w:p>
        </w:tc>
      </w:tr>
      <w:tr w:rsidR="00A052DC" w14:paraId="39244AD0" w14:textId="77777777">
        <w:tc>
          <w:tcPr>
            <w:tcW w:w="1418" w:type="dxa"/>
          </w:tcPr>
          <w:p w14:paraId="605FC867" w14:textId="77777777" w:rsidR="00A052DC" w:rsidRDefault="009F0A60">
            <w:pPr>
              <w:rPr>
                <w:rFonts w:ascii="黑体" w:eastAsia="黑体" w:hAnsi="黑体"/>
                <w:sz w:val="20"/>
                <w:szCs w:val="20"/>
              </w:rPr>
            </w:pPr>
            <w:r>
              <w:rPr>
                <w:rFonts w:ascii="黑体" w:eastAsia="黑体" w:hAnsi="黑体"/>
                <w:sz w:val="20"/>
                <w:szCs w:val="20"/>
              </w:rPr>
              <w:t>EXRATE</w:t>
            </w:r>
          </w:p>
        </w:tc>
        <w:tc>
          <w:tcPr>
            <w:tcW w:w="1559" w:type="dxa"/>
          </w:tcPr>
          <w:p w14:paraId="5597F48E" w14:textId="77777777" w:rsidR="00A052DC" w:rsidRDefault="009F0A60">
            <w:pPr>
              <w:rPr>
                <w:rFonts w:ascii="黑体" w:eastAsia="黑体" w:hAnsi="黑体"/>
                <w:sz w:val="20"/>
                <w:szCs w:val="20"/>
              </w:rPr>
            </w:pPr>
            <w:r>
              <w:rPr>
                <w:rFonts w:ascii="黑体" w:eastAsia="黑体" w:hAnsi="黑体" w:hint="eastAsia"/>
                <w:sz w:val="20"/>
                <w:szCs w:val="20"/>
              </w:rPr>
              <w:t>购汇汇率</w:t>
            </w:r>
          </w:p>
        </w:tc>
        <w:tc>
          <w:tcPr>
            <w:tcW w:w="1560" w:type="dxa"/>
          </w:tcPr>
          <w:p w14:paraId="418DBCF5" w14:textId="77777777" w:rsidR="00A052DC" w:rsidRDefault="009F0A60">
            <w:pPr>
              <w:rPr>
                <w:rFonts w:ascii="黑体" w:eastAsia="黑体" w:hAnsi="黑体"/>
                <w:sz w:val="20"/>
                <w:szCs w:val="20"/>
              </w:rPr>
            </w:pPr>
            <w:r>
              <w:rPr>
                <w:rFonts w:ascii="黑体" w:eastAsia="黑体" w:hAnsi="黑体" w:hint="eastAsia"/>
                <w:sz w:val="20"/>
                <w:szCs w:val="20"/>
              </w:rPr>
              <w:t>数值型，13.8</w:t>
            </w:r>
          </w:p>
        </w:tc>
        <w:tc>
          <w:tcPr>
            <w:tcW w:w="4110" w:type="dxa"/>
          </w:tcPr>
          <w:p w14:paraId="7596E6E1" w14:textId="77777777" w:rsidR="00A052DC" w:rsidRDefault="009F0A60">
            <w:pPr>
              <w:rPr>
                <w:rFonts w:ascii="黑体" w:eastAsia="黑体" w:hAnsi="黑体"/>
                <w:sz w:val="20"/>
                <w:szCs w:val="20"/>
              </w:rPr>
            </w:pPr>
            <w:r>
              <w:rPr>
                <w:rFonts w:ascii="黑体" w:eastAsia="黑体" w:hAnsi="黑体" w:hint="eastAsia"/>
                <w:sz w:val="20"/>
                <w:szCs w:val="20"/>
              </w:rPr>
              <w:t>当购汇金额大于0时必填，否则不应该填写。</w:t>
            </w:r>
          </w:p>
        </w:tc>
      </w:tr>
      <w:tr w:rsidR="00A052DC" w14:paraId="5BAB76D2" w14:textId="77777777">
        <w:tc>
          <w:tcPr>
            <w:tcW w:w="1418" w:type="dxa"/>
          </w:tcPr>
          <w:p w14:paraId="4056D7D1" w14:textId="77777777" w:rsidR="00A052DC" w:rsidRDefault="009F0A60">
            <w:pPr>
              <w:rPr>
                <w:rFonts w:ascii="黑体" w:eastAsia="黑体" w:hAnsi="黑体"/>
                <w:sz w:val="20"/>
                <w:szCs w:val="20"/>
              </w:rPr>
            </w:pPr>
            <w:r>
              <w:rPr>
                <w:rFonts w:ascii="黑体" w:eastAsia="黑体" w:hAnsi="黑体"/>
                <w:sz w:val="20"/>
                <w:szCs w:val="20"/>
              </w:rPr>
              <w:t>LCYAMT</w:t>
            </w:r>
          </w:p>
        </w:tc>
        <w:tc>
          <w:tcPr>
            <w:tcW w:w="1559" w:type="dxa"/>
          </w:tcPr>
          <w:p w14:paraId="5EA246FD" w14:textId="77777777" w:rsidR="00A052DC" w:rsidRDefault="009F0A60">
            <w:pPr>
              <w:rPr>
                <w:rFonts w:ascii="黑体" w:eastAsia="黑体" w:hAnsi="黑体"/>
                <w:sz w:val="20"/>
                <w:szCs w:val="20"/>
              </w:rPr>
            </w:pPr>
            <w:r>
              <w:rPr>
                <w:rFonts w:ascii="黑体" w:eastAsia="黑体" w:hAnsi="黑体" w:hint="eastAsia"/>
                <w:sz w:val="20"/>
                <w:szCs w:val="20"/>
              </w:rPr>
              <w:t>购汇金额</w:t>
            </w:r>
          </w:p>
        </w:tc>
        <w:tc>
          <w:tcPr>
            <w:tcW w:w="1560" w:type="dxa"/>
          </w:tcPr>
          <w:p w14:paraId="128A3E7D" w14:textId="77777777" w:rsidR="00A052DC" w:rsidRDefault="009F0A60">
            <w:pPr>
              <w:rPr>
                <w:rFonts w:ascii="黑体" w:eastAsia="黑体" w:hAnsi="黑体"/>
                <w:sz w:val="20"/>
                <w:szCs w:val="20"/>
              </w:rPr>
            </w:pPr>
            <w:r>
              <w:rPr>
                <w:rFonts w:ascii="黑体" w:eastAsia="黑体" w:hAnsi="黑体" w:hint="eastAsia"/>
                <w:sz w:val="20"/>
                <w:szCs w:val="20"/>
              </w:rPr>
              <w:t>数值型，22.0</w:t>
            </w:r>
          </w:p>
        </w:tc>
        <w:tc>
          <w:tcPr>
            <w:tcW w:w="4110" w:type="dxa"/>
          </w:tcPr>
          <w:p w14:paraId="5C8C0E6F" w14:textId="77777777" w:rsidR="00A052DC" w:rsidRDefault="00DD6AA3">
            <w:pPr>
              <w:rPr>
                <w:rFonts w:ascii="黑体" w:eastAsia="黑体" w:hAnsi="黑体"/>
                <w:sz w:val="20"/>
                <w:szCs w:val="20"/>
              </w:rPr>
            </w:pPr>
            <w:r>
              <w:rPr>
                <w:rFonts w:ascii="黑体" w:eastAsia="黑体" w:hAnsi="黑体" w:hint="eastAsia"/>
                <w:sz w:val="20"/>
                <w:szCs w:val="20"/>
              </w:rPr>
              <w:t>非必填项</w:t>
            </w:r>
            <w:r w:rsidR="009F0A60">
              <w:rPr>
                <w:rFonts w:ascii="黑体" w:eastAsia="黑体" w:hAnsi="黑体" w:hint="eastAsia"/>
                <w:sz w:val="20"/>
                <w:szCs w:val="20"/>
              </w:rPr>
              <w:t>，但不能小于0。</w:t>
            </w:r>
          </w:p>
          <w:p w14:paraId="0412AE0A" w14:textId="77777777" w:rsidR="00A052DC" w:rsidRDefault="009F0A60">
            <w:pPr>
              <w:rPr>
                <w:rFonts w:ascii="黑体" w:eastAsia="黑体" w:hAnsi="黑体"/>
                <w:sz w:val="20"/>
                <w:szCs w:val="20"/>
              </w:rPr>
            </w:pPr>
            <w:r>
              <w:rPr>
                <w:rFonts w:ascii="黑体" w:eastAsia="黑体" w:hAnsi="黑体" w:hint="eastAsia"/>
                <w:sz w:val="20"/>
                <w:szCs w:val="20"/>
              </w:rPr>
              <w:t>若账号不为空则对应金额必须</w:t>
            </w:r>
            <w:r>
              <w:rPr>
                <w:rFonts w:ascii="黑体" w:eastAsia="黑体" w:hAnsi="黑体"/>
                <w:sz w:val="20"/>
                <w:szCs w:val="20"/>
              </w:rPr>
              <w:t>&gt;</w:t>
            </w:r>
            <w:r>
              <w:rPr>
                <w:rFonts w:ascii="黑体" w:eastAsia="黑体" w:hAnsi="黑体" w:hint="eastAsia"/>
                <w:sz w:val="20"/>
                <w:szCs w:val="20"/>
              </w:rPr>
              <w:t>0；若金额</w:t>
            </w:r>
            <w:r>
              <w:rPr>
                <w:rFonts w:ascii="黑体" w:eastAsia="黑体" w:hAnsi="黑体"/>
                <w:sz w:val="20"/>
                <w:szCs w:val="20"/>
              </w:rPr>
              <w:t>&gt;</w:t>
            </w:r>
            <w:r>
              <w:rPr>
                <w:rFonts w:ascii="黑体" w:eastAsia="黑体" w:hAnsi="黑体" w:hint="eastAsia"/>
                <w:sz w:val="20"/>
                <w:szCs w:val="20"/>
              </w:rPr>
              <w:t>0，则对应账号不能为空。</w:t>
            </w:r>
          </w:p>
        </w:tc>
      </w:tr>
      <w:tr w:rsidR="00A052DC" w14:paraId="6A5EA7CE" w14:textId="77777777">
        <w:tc>
          <w:tcPr>
            <w:tcW w:w="1418" w:type="dxa"/>
          </w:tcPr>
          <w:p w14:paraId="5BFA312D" w14:textId="77777777" w:rsidR="00A052DC" w:rsidRDefault="009F0A60">
            <w:pPr>
              <w:rPr>
                <w:rFonts w:ascii="黑体" w:eastAsia="黑体" w:hAnsi="黑体"/>
                <w:sz w:val="20"/>
                <w:szCs w:val="20"/>
              </w:rPr>
            </w:pPr>
            <w:r>
              <w:rPr>
                <w:rFonts w:ascii="黑体" w:eastAsia="黑体" w:hAnsi="黑体"/>
                <w:sz w:val="20"/>
                <w:szCs w:val="20"/>
              </w:rPr>
              <w:t>LCYACC</w:t>
            </w:r>
          </w:p>
        </w:tc>
        <w:tc>
          <w:tcPr>
            <w:tcW w:w="1559" w:type="dxa"/>
          </w:tcPr>
          <w:p w14:paraId="283D71DA" w14:textId="77777777" w:rsidR="00A052DC" w:rsidRDefault="009F0A60">
            <w:pPr>
              <w:rPr>
                <w:rFonts w:ascii="黑体" w:eastAsia="黑体" w:hAnsi="黑体"/>
                <w:sz w:val="20"/>
                <w:szCs w:val="20"/>
              </w:rPr>
            </w:pPr>
            <w:r>
              <w:rPr>
                <w:rFonts w:ascii="黑体" w:eastAsia="黑体" w:hAnsi="黑体" w:hint="eastAsia"/>
                <w:sz w:val="20"/>
                <w:szCs w:val="20"/>
              </w:rPr>
              <w:t>人民币账号/银行卡号</w:t>
            </w:r>
          </w:p>
        </w:tc>
        <w:tc>
          <w:tcPr>
            <w:tcW w:w="1560" w:type="dxa"/>
          </w:tcPr>
          <w:p w14:paraId="58457E41" w14:textId="77777777" w:rsidR="00A052DC" w:rsidRDefault="009F0A60">
            <w:pPr>
              <w:rPr>
                <w:rFonts w:ascii="黑体" w:eastAsia="黑体" w:hAnsi="黑体"/>
                <w:sz w:val="20"/>
                <w:szCs w:val="20"/>
              </w:rPr>
            </w:pPr>
            <w:r>
              <w:rPr>
                <w:rFonts w:ascii="黑体" w:eastAsia="黑体" w:hAnsi="黑体" w:hint="eastAsia"/>
                <w:sz w:val="20"/>
                <w:szCs w:val="20"/>
              </w:rPr>
              <w:t>字符型，</w:t>
            </w:r>
            <w:r>
              <w:rPr>
                <w:rFonts w:ascii="黑体" w:eastAsia="黑体" w:hAnsi="黑体"/>
                <w:sz w:val="20"/>
                <w:szCs w:val="20"/>
              </w:rPr>
              <w:t>32</w:t>
            </w:r>
          </w:p>
        </w:tc>
        <w:tc>
          <w:tcPr>
            <w:tcW w:w="4110" w:type="dxa"/>
          </w:tcPr>
          <w:p w14:paraId="7D095714" w14:textId="77777777" w:rsidR="00A052DC" w:rsidRDefault="009F0A60">
            <w:pPr>
              <w:rPr>
                <w:rFonts w:ascii="黑体" w:eastAsia="黑体" w:hAnsi="黑体"/>
                <w:sz w:val="20"/>
                <w:szCs w:val="20"/>
              </w:rPr>
            </w:pPr>
            <w:r>
              <w:rPr>
                <w:rFonts w:ascii="黑体" w:eastAsia="黑体" w:hAnsi="黑体" w:hint="eastAsia"/>
                <w:sz w:val="20"/>
                <w:szCs w:val="20"/>
              </w:rPr>
              <w:t>购汇金额、购汇汇率、购汇账号三个或同时空或同时有值。</w:t>
            </w:r>
          </w:p>
        </w:tc>
      </w:tr>
      <w:tr w:rsidR="00A052DC" w14:paraId="1806C634" w14:textId="77777777">
        <w:tc>
          <w:tcPr>
            <w:tcW w:w="1418" w:type="dxa"/>
          </w:tcPr>
          <w:p w14:paraId="4C586852" w14:textId="77777777" w:rsidR="00A052DC" w:rsidRDefault="009F0A60">
            <w:pPr>
              <w:rPr>
                <w:rFonts w:ascii="黑体" w:eastAsia="黑体" w:hAnsi="黑体"/>
                <w:sz w:val="20"/>
                <w:szCs w:val="20"/>
              </w:rPr>
            </w:pPr>
            <w:r>
              <w:rPr>
                <w:rFonts w:ascii="黑体" w:eastAsia="黑体" w:hAnsi="黑体"/>
                <w:sz w:val="20"/>
                <w:szCs w:val="20"/>
              </w:rPr>
              <w:t>FCYAMT</w:t>
            </w:r>
          </w:p>
        </w:tc>
        <w:tc>
          <w:tcPr>
            <w:tcW w:w="1559" w:type="dxa"/>
          </w:tcPr>
          <w:p w14:paraId="76A6ED80" w14:textId="77777777" w:rsidR="00A052DC" w:rsidRDefault="009F0A60">
            <w:pPr>
              <w:rPr>
                <w:rFonts w:ascii="黑体" w:eastAsia="黑体" w:hAnsi="黑体"/>
                <w:sz w:val="20"/>
                <w:szCs w:val="20"/>
              </w:rPr>
            </w:pPr>
            <w:r>
              <w:rPr>
                <w:rFonts w:ascii="黑体" w:eastAsia="黑体" w:hAnsi="黑体" w:hint="eastAsia"/>
                <w:sz w:val="20"/>
                <w:szCs w:val="20"/>
              </w:rPr>
              <w:t>现汇金额</w:t>
            </w:r>
            <w:bookmarkStart w:id="960" w:name="_Toc454386764"/>
            <w:bookmarkEnd w:id="960"/>
          </w:p>
        </w:tc>
        <w:tc>
          <w:tcPr>
            <w:tcW w:w="1560" w:type="dxa"/>
          </w:tcPr>
          <w:p w14:paraId="7CF22DEC" w14:textId="77777777" w:rsidR="00A052DC" w:rsidRDefault="009F0A60">
            <w:pPr>
              <w:rPr>
                <w:rFonts w:ascii="黑体" w:eastAsia="黑体" w:hAnsi="黑体"/>
                <w:sz w:val="20"/>
                <w:szCs w:val="20"/>
              </w:rPr>
            </w:pPr>
            <w:r>
              <w:rPr>
                <w:rFonts w:ascii="黑体" w:eastAsia="黑体" w:hAnsi="黑体" w:hint="eastAsia"/>
                <w:sz w:val="20"/>
                <w:szCs w:val="20"/>
              </w:rPr>
              <w:t>数值型，22.0</w:t>
            </w:r>
          </w:p>
        </w:tc>
        <w:tc>
          <w:tcPr>
            <w:tcW w:w="4110" w:type="dxa"/>
          </w:tcPr>
          <w:p w14:paraId="71D8C29F" w14:textId="77777777" w:rsidR="00A052DC" w:rsidRDefault="00DD6AA3">
            <w:pPr>
              <w:rPr>
                <w:rFonts w:ascii="黑体" w:eastAsia="黑体" w:hAnsi="黑体"/>
                <w:sz w:val="20"/>
                <w:szCs w:val="20"/>
              </w:rPr>
            </w:pPr>
            <w:r>
              <w:rPr>
                <w:rFonts w:ascii="黑体" w:eastAsia="黑体" w:hAnsi="黑体" w:hint="eastAsia"/>
                <w:sz w:val="20"/>
                <w:szCs w:val="20"/>
              </w:rPr>
              <w:t>非必填项</w:t>
            </w:r>
            <w:r w:rsidR="009F0A60">
              <w:rPr>
                <w:rFonts w:ascii="黑体" w:eastAsia="黑体" w:hAnsi="黑体" w:hint="eastAsia"/>
                <w:sz w:val="20"/>
                <w:szCs w:val="20"/>
              </w:rPr>
              <w:t>，但不能小于0。</w:t>
            </w:r>
          </w:p>
          <w:p w14:paraId="23AF52C3" w14:textId="77777777" w:rsidR="00A052DC" w:rsidRDefault="009F0A60">
            <w:pPr>
              <w:rPr>
                <w:rFonts w:ascii="黑体" w:eastAsia="黑体" w:hAnsi="黑体"/>
                <w:sz w:val="20"/>
                <w:szCs w:val="20"/>
              </w:rPr>
            </w:pPr>
            <w:r>
              <w:rPr>
                <w:rFonts w:ascii="黑体" w:eastAsia="黑体" w:hAnsi="黑体" w:hint="eastAsia"/>
                <w:sz w:val="20"/>
                <w:szCs w:val="20"/>
              </w:rPr>
              <w:t>若账号不为空</w:t>
            </w:r>
            <w:r w:rsidR="006D55A3">
              <w:rPr>
                <w:rFonts w:ascii="黑体" w:eastAsia="黑体" w:hAnsi="黑体" w:hint="eastAsia"/>
                <w:sz w:val="20"/>
                <w:szCs w:val="20"/>
              </w:rPr>
              <w:t>，</w:t>
            </w:r>
            <w:r>
              <w:rPr>
                <w:rFonts w:ascii="黑体" w:eastAsia="黑体" w:hAnsi="黑体" w:hint="eastAsia"/>
                <w:sz w:val="20"/>
                <w:szCs w:val="20"/>
              </w:rPr>
              <w:t>则对应金额必须</w:t>
            </w:r>
            <w:r>
              <w:rPr>
                <w:rFonts w:ascii="黑体" w:eastAsia="黑体" w:hAnsi="黑体"/>
                <w:sz w:val="20"/>
                <w:szCs w:val="20"/>
              </w:rPr>
              <w:t>&gt;</w:t>
            </w:r>
            <w:r>
              <w:rPr>
                <w:rFonts w:ascii="黑体" w:eastAsia="黑体" w:hAnsi="黑体" w:hint="eastAsia"/>
                <w:sz w:val="20"/>
                <w:szCs w:val="20"/>
              </w:rPr>
              <w:t>0；若金额</w:t>
            </w:r>
            <w:r>
              <w:rPr>
                <w:rFonts w:ascii="黑体" w:eastAsia="黑体" w:hAnsi="黑体"/>
                <w:sz w:val="20"/>
                <w:szCs w:val="20"/>
              </w:rPr>
              <w:t>&gt;</w:t>
            </w:r>
            <w:r>
              <w:rPr>
                <w:rFonts w:ascii="黑体" w:eastAsia="黑体" w:hAnsi="黑体" w:hint="eastAsia"/>
                <w:sz w:val="20"/>
                <w:szCs w:val="20"/>
              </w:rPr>
              <w:t>0，则对应账号不能为空。</w:t>
            </w:r>
          </w:p>
        </w:tc>
      </w:tr>
      <w:tr w:rsidR="00A052DC" w14:paraId="29E0C70D" w14:textId="77777777">
        <w:tc>
          <w:tcPr>
            <w:tcW w:w="1418" w:type="dxa"/>
          </w:tcPr>
          <w:p w14:paraId="56EE77AE" w14:textId="77777777" w:rsidR="00A052DC" w:rsidRDefault="009F0A60">
            <w:pPr>
              <w:rPr>
                <w:rFonts w:ascii="黑体" w:eastAsia="黑体" w:hAnsi="黑体"/>
                <w:sz w:val="20"/>
                <w:szCs w:val="20"/>
              </w:rPr>
            </w:pPr>
            <w:r>
              <w:rPr>
                <w:rFonts w:ascii="黑体" w:eastAsia="黑体" w:hAnsi="黑体"/>
                <w:sz w:val="20"/>
                <w:szCs w:val="20"/>
              </w:rPr>
              <w:t>FCYACC</w:t>
            </w:r>
          </w:p>
        </w:tc>
        <w:tc>
          <w:tcPr>
            <w:tcW w:w="1559" w:type="dxa"/>
          </w:tcPr>
          <w:p w14:paraId="1572304C" w14:textId="77777777" w:rsidR="00A052DC" w:rsidRDefault="009F0A60">
            <w:pPr>
              <w:rPr>
                <w:rFonts w:ascii="黑体" w:eastAsia="黑体" w:hAnsi="黑体"/>
                <w:sz w:val="20"/>
                <w:szCs w:val="20"/>
              </w:rPr>
            </w:pPr>
            <w:r>
              <w:rPr>
                <w:rFonts w:ascii="黑体" w:eastAsia="黑体" w:hAnsi="黑体" w:hint="eastAsia"/>
                <w:sz w:val="20"/>
                <w:szCs w:val="20"/>
              </w:rPr>
              <w:t>外汇账号/银行卡号</w:t>
            </w:r>
          </w:p>
        </w:tc>
        <w:tc>
          <w:tcPr>
            <w:tcW w:w="1560" w:type="dxa"/>
          </w:tcPr>
          <w:p w14:paraId="58B37E2B" w14:textId="77777777" w:rsidR="00A052DC" w:rsidRDefault="009F0A60">
            <w:pPr>
              <w:rPr>
                <w:rFonts w:ascii="黑体" w:eastAsia="黑体" w:hAnsi="黑体"/>
                <w:sz w:val="20"/>
                <w:szCs w:val="20"/>
              </w:rPr>
            </w:pPr>
            <w:r>
              <w:rPr>
                <w:rFonts w:ascii="黑体" w:eastAsia="黑体" w:hAnsi="黑体" w:hint="eastAsia"/>
                <w:sz w:val="20"/>
                <w:szCs w:val="20"/>
              </w:rPr>
              <w:t>字符型，32</w:t>
            </w:r>
          </w:p>
        </w:tc>
        <w:tc>
          <w:tcPr>
            <w:tcW w:w="4110" w:type="dxa"/>
          </w:tcPr>
          <w:p w14:paraId="78FC180D" w14:textId="77777777" w:rsidR="00A052DC" w:rsidRDefault="009F0A60">
            <w:pPr>
              <w:rPr>
                <w:rFonts w:ascii="黑体" w:eastAsia="黑体" w:hAnsi="黑体"/>
                <w:sz w:val="20"/>
                <w:szCs w:val="20"/>
              </w:rPr>
            </w:pPr>
            <w:r>
              <w:rPr>
                <w:rFonts w:ascii="黑体" w:eastAsia="黑体" w:hAnsi="黑体" w:hint="eastAsia"/>
                <w:sz w:val="20"/>
                <w:szCs w:val="20"/>
              </w:rPr>
              <w:t>如果有现汇金额，则该字段不能为空。</w:t>
            </w:r>
          </w:p>
          <w:p w14:paraId="7A33A228" w14:textId="77777777" w:rsidR="00A052DC" w:rsidRDefault="009F0A60">
            <w:pPr>
              <w:rPr>
                <w:rFonts w:ascii="黑体" w:eastAsia="黑体" w:hAnsi="黑体"/>
                <w:sz w:val="20"/>
                <w:szCs w:val="20"/>
              </w:rPr>
            </w:pPr>
            <w:r>
              <w:rPr>
                <w:rFonts w:ascii="黑体" w:eastAsia="黑体" w:hAnsi="黑体" w:hint="eastAsia"/>
                <w:sz w:val="20"/>
                <w:szCs w:val="20"/>
              </w:rPr>
              <w:t>现汇金额、现汇账号或同时空，或同时有值。</w:t>
            </w:r>
          </w:p>
        </w:tc>
      </w:tr>
      <w:tr w:rsidR="00A052DC" w14:paraId="74BA5EA9" w14:textId="77777777">
        <w:tc>
          <w:tcPr>
            <w:tcW w:w="1418" w:type="dxa"/>
          </w:tcPr>
          <w:p w14:paraId="2F411491" w14:textId="77777777" w:rsidR="00A052DC" w:rsidRDefault="009F0A60">
            <w:pPr>
              <w:rPr>
                <w:rFonts w:ascii="黑体" w:eastAsia="黑体" w:hAnsi="黑体"/>
                <w:sz w:val="20"/>
                <w:szCs w:val="20"/>
              </w:rPr>
            </w:pPr>
            <w:r>
              <w:rPr>
                <w:rFonts w:ascii="黑体" w:eastAsia="黑体" w:hAnsi="黑体"/>
                <w:sz w:val="20"/>
                <w:szCs w:val="20"/>
              </w:rPr>
              <w:t>OTHAMT</w:t>
            </w:r>
          </w:p>
        </w:tc>
        <w:tc>
          <w:tcPr>
            <w:tcW w:w="1559" w:type="dxa"/>
          </w:tcPr>
          <w:p w14:paraId="6EBEC628" w14:textId="77777777" w:rsidR="00A052DC" w:rsidRDefault="0021563C">
            <w:pPr>
              <w:rPr>
                <w:rFonts w:ascii="黑体" w:eastAsia="黑体" w:hAnsi="黑体"/>
                <w:sz w:val="20"/>
                <w:szCs w:val="20"/>
              </w:rPr>
            </w:pPr>
            <w:r>
              <w:rPr>
                <w:rFonts w:ascii="黑体" w:eastAsia="黑体" w:hAnsi="黑体" w:hint="eastAsia"/>
                <w:sz w:val="20"/>
                <w:szCs w:val="20"/>
              </w:rPr>
              <w:t>其他</w:t>
            </w:r>
            <w:r w:rsidR="009F0A60">
              <w:rPr>
                <w:rFonts w:ascii="黑体" w:eastAsia="黑体" w:hAnsi="黑体" w:hint="eastAsia"/>
                <w:sz w:val="20"/>
                <w:szCs w:val="20"/>
              </w:rPr>
              <w:t>金额</w:t>
            </w:r>
          </w:p>
        </w:tc>
        <w:tc>
          <w:tcPr>
            <w:tcW w:w="1560" w:type="dxa"/>
          </w:tcPr>
          <w:p w14:paraId="27C4D150" w14:textId="77777777" w:rsidR="00A052DC" w:rsidRDefault="009F0A60">
            <w:pPr>
              <w:rPr>
                <w:rFonts w:ascii="黑体" w:eastAsia="黑体" w:hAnsi="黑体"/>
                <w:sz w:val="20"/>
                <w:szCs w:val="20"/>
              </w:rPr>
            </w:pPr>
            <w:r>
              <w:rPr>
                <w:rFonts w:ascii="黑体" w:eastAsia="黑体" w:hAnsi="黑体" w:hint="eastAsia"/>
                <w:sz w:val="20"/>
                <w:szCs w:val="20"/>
              </w:rPr>
              <w:t>数值型，22.0</w:t>
            </w:r>
          </w:p>
        </w:tc>
        <w:tc>
          <w:tcPr>
            <w:tcW w:w="4110" w:type="dxa"/>
          </w:tcPr>
          <w:p w14:paraId="449EA961" w14:textId="77777777" w:rsidR="00A052DC" w:rsidRDefault="00DD6AA3">
            <w:pPr>
              <w:rPr>
                <w:rFonts w:ascii="黑体" w:eastAsia="黑体" w:hAnsi="黑体"/>
                <w:sz w:val="20"/>
                <w:szCs w:val="20"/>
              </w:rPr>
            </w:pPr>
            <w:r>
              <w:rPr>
                <w:rFonts w:ascii="黑体" w:eastAsia="黑体" w:hAnsi="黑体" w:hint="eastAsia"/>
                <w:sz w:val="20"/>
                <w:szCs w:val="20"/>
              </w:rPr>
              <w:t>非必填项</w:t>
            </w:r>
            <w:r w:rsidR="009F0A60">
              <w:rPr>
                <w:rFonts w:ascii="黑体" w:eastAsia="黑体" w:hAnsi="黑体" w:hint="eastAsia"/>
                <w:sz w:val="20"/>
                <w:szCs w:val="20"/>
              </w:rPr>
              <w:t>，但不能小于0。</w:t>
            </w:r>
          </w:p>
          <w:p w14:paraId="15D4B460" w14:textId="77777777" w:rsidR="00A052DC" w:rsidRDefault="009F0A60">
            <w:pPr>
              <w:rPr>
                <w:rFonts w:ascii="黑体" w:eastAsia="黑体" w:hAnsi="黑体"/>
                <w:sz w:val="20"/>
                <w:szCs w:val="20"/>
              </w:rPr>
            </w:pPr>
            <w:r>
              <w:rPr>
                <w:rFonts w:ascii="黑体" w:eastAsia="黑体" w:hAnsi="黑体" w:hint="eastAsia"/>
                <w:sz w:val="20"/>
                <w:szCs w:val="20"/>
              </w:rPr>
              <w:t>若账号不为空</w:t>
            </w:r>
            <w:r w:rsidR="006D55A3">
              <w:rPr>
                <w:rFonts w:ascii="黑体" w:eastAsia="黑体" w:hAnsi="黑体" w:hint="eastAsia"/>
                <w:sz w:val="20"/>
                <w:szCs w:val="20"/>
              </w:rPr>
              <w:t>，</w:t>
            </w:r>
            <w:r>
              <w:rPr>
                <w:rFonts w:ascii="黑体" w:eastAsia="黑体" w:hAnsi="黑体" w:hint="eastAsia"/>
                <w:sz w:val="20"/>
                <w:szCs w:val="20"/>
              </w:rPr>
              <w:t>则对应金额必须</w:t>
            </w:r>
            <w:r>
              <w:rPr>
                <w:rFonts w:ascii="黑体" w:eastAsia="黑体" w:hAnsi="黑体"/>
                <w:sz w:val="20"/>
                <w:szCs w:val="20"/>
              </w:rPr>
              <w:t>&gt;</w:t>
            </w:r>
            <w:r>
              <w:rPr>
                <w:rFonts w:ascii="黑体" w:eastAsia="黑体" w:hAnsi="黑体" w:hint="eastAsia"/>
                <w:sz w:val="20"/>
                <w:szCs w:val="20"/>
              </w:rPr>
              <w:t>0；若金额</w:t>
            </w:r>
            <w:r>
              <w:rPr>
                <w:rFonts w:ascii="黑体" w:eastAsia="黑体" w:hAnsi="黑体"/>
                <w:sz w:val="20"/>
                <w:szCs w:val="20"/>
              </w:rPr>
              <w:t>&gt;</w:t>
            </w:r>
            <w:r>
              <w:rPr>
                <w:rFonts w:ascii="黑体" w:eastAsia="黑体" w:hAnsi="黑体" w:hint="eastAsia"/>
                <w:sz w:val="20"/>
                <w:szCs w:val="20"/>
              </w:rPr>
              <w:t>0，则对应账号不能为空。</w:t>
            </w:r>
          </w:p>
          <w:p w14:paraId="1C187AF4" w14:textId="77777777" w:rsidR="00A052DC" w:rsidRDefault="009F0A60">
            <w:pPr>
              <w:rPr>
                <w:rFonts w:ascii="黑体" w:eastAsia="黑体" w:hAnsi="黑体"/>
                <w:sz w:val="20"/>
                <w:szCs w:val="20"/>
              </w:rPr>
            </w:pPr>
            <w:r>
              <w:rPr>
                <w:rFonts w:ascii="黑体" w:eastAsia="黑体" w:hAnsi="黑体" w:hint="eastAsia"/>
                <w:sz w:val="20"/>
                <w:szCs w:val="20"/>
              </w:rPr>
              <w:t>购汇金额,现汇金额,</w:t>
            </w:r>
            <w:r w:rsidR="0021563C">
              <w:rPr>
                <w:rFonts w:ascii="黑体" w:eastAsia="黑体" w:hAnsi="黑体" w:hint="eastAsia"/>
                <w:sz w:val="20"/>
                <w:szCs w:val="20"/>
              </w:rPr>
              <w:t>其他</w:t>
            </w:r>
            <w:r>
              <w:rPr>
                <w:rFonts w:ascii="黑体" w:eastAsia="黑体" w:hAnsi="黑体" w:hint="eastAsia"/>
                <w:sz w:val="20"/>
                <w:szCs w:val="20"/>
              </w:rPr>
              <w:t>金额至少输入一项。</w:t>
            </w:r>
          </w:p>
          <w:p w14:paraId="72319F54" w14:textId="77777777" w:rsidR="00A052DC" w:rsidRDefault="009F0A60">
            <w:pPr>
              <w:rPr>
                <w:rFonts w:ascii="黑体" w:eastAsia="黑体" w:hAnsi="黑体"/>
                <w:sz w:val="20"/>
                <w:szCs w:val="20"/>
              </w:rPr>
            </w:pPr>
            <w:r>
              <w:rPr>
                <w:rFonts w:ascii="黑体" w:eastAsia="黑体" w:hAnsi="黑体" w:hint="eastAsia"/>
                <w:sz w:val="20"/>
                <w:szCs w:val="20"/>
              </w:rPr>
              <w:t>购汇金额、现汇金额、</w:t>
            </w:r>
            <w:r w:rsidR="0021563C">
              <w:rPr>
                <w:rFonts w:ascii="黑体" w:eastAsia="黑体" w:hAnsi="黑体" w:hint="eastAsia"/>
                <w:sz w:val="20"/>
                <w:szCs w:val="20"/>
              </w:rPr>
              <w:t>其他</w:t>
            </w:r>
            <w:r>
              <w:rPr>
                <w:rFonts w:ascii="黑体" w:eastAsia="黑体" w:hAnsi="黑体" w:hint="eastAsia"/>
                <w:sz w:val="20"/>
                <w:szCs w:val="20"/>
              </w:rPr>
              <w:t>金额之和应等于汇款金额。</w:t>
            </w:r>
          </w:p>
        </w:tc>
      </w:tr>
      <w:tr w:rsidR="00A052DC" w14:paraId="606EE97C" w14:textId="77777777">
        <w:tc>
          <w:tcPr>
            <w:tcW w:w="1418" w:type="dxa"/>
          </w:tcPr>
          <w:p w14:paraId="2CCE710E" w14:textId="77777777" w:rsidR="00A052DC" w:rsidRDefault="009F0A60">
            <w:pPr>
              <w:rPr>
                <w:rFonts w:ascii="黑体" w:eastAsia="黑体" w:hAnsi="黑体"/>
                <w:sz w:val="20"/>
                <w:szCs w:val="20"/>
              </w:rPr>
            </w:pPr>
            <w:r>
              <w:rPr>
                <w:rFonts w:ascii="黑体" w:eastAsia="黑体" w:hAnsi="黑体"/>
                <w:sz w:val="20"/>
                <w:szCs w:val="20"/>
              </w:rPr>
              <w:t>OTHACC</w:t>
            </w:r>
          </w:p>
        </w:tc>
        <w:tc>
          <w:tcPr>
            <w:tcW w:w="1559" w:type="dxa"/>
          </w:tcPr>
          <w:p w14:paraId="06D40313" w14:textId="77777777" w:rsidR="00A052DC" w:rsidRDefault="0021563C">
            <w:pPr>
              <w:rPr>
                <w:rFonts w:ascii="黑体" w:eastAsia="黑体" w:hAnsi="黑体"/>
                <w:sz w:val="20"/>
                <w:szCs w:val="20"/>
              </w:rPr>
            </w:pPr>
            <w:r>
              <w:rPr>
                <w:rFonts w:ascii="黑体" w:eastAsia="黑体" w:hAnsi="黑体" w:hint="eastAsia"/>
                <w:sz w:val="20"/>
                <w:szCs w:val="20"/>
              </w:rPr>
              <w:t>其他</w:t>
            </w:r>
            <w:r w:rsidR="009F0A60">
              <w:rPr>
                <w:rFonts w:ascii="黑体" w:eastAsia="黑体" w:hAnsi="黑体" w:hint="eastAsia"/>
                <w:sz w:val="20"/>
                <w:szCs w:val="20"/>
              </w:rPr>
              <w:t>账号/银行卡号</w:t>
            </w:r>
            <w:bookmarkStart w:id="961" w:name="_Toc454386765"/>
            <w:bookmarkEnd w:id="961"/>
          </w:p>
        </w:tc>
        <w:tc>
          <w:tcPr>
            <w:tcW w:w="1560" w:type="dxa"/>
          </w:tcPr>
          <w:p w14:paraId="0E86B357" w14:textId="77777777" w:rsidR="00A052DC" w:rsidRDefault="009F0A60">
            <w:pPr>
              <w:rPr>
                <w:rFonts w:ascii="黑体" w:eastAsia="黑体" w:hAnsi="黑体"/>
                <w:sz w:val="20"/>
                <w:szCs w:val="20"/>
              </w:rPr>
            </w:pPr>
            <w:r>
              <w:rPr>
                <w:rFonts w:ascii="黑体" w:eastAsia="黑体" w:hAnsi="黑体" w:hint="eastAsia"/>
                <w:sz w:val="20"/>
                <w:szCs w:val="20"/>
              </w:rPr>
              <w:t>字符型，32</w:t>
            </w:r>
          </w:p>
        </w:tc>
        <w:tc>
          <w:tcPr>
            <w:tcW w:w="4110" w:type="dxa"/>
          </w:tcPr>
          <w:p w14:paraId="609AD65D" w14:textId="77777777" w:rsidR="00A052DC" w:rsidRDefault="009F0A60">
            <w:pPr>
              <w:rPr>
                <w:rFonts w:ascii="黑体" w:eastAsia="黑体" w:hAnsi="黑体"/>
                <w:sz w:val="20"/>
                <w:szCs w:val="20"/>
              </w:rPr>
            </w:pPr>
            <w:r>
              <w:rPr>
                <w:rFonts w:ascii="黑体" w:eastAsia="黑体" w:hAnsi="黑体" w:hint="eastAsia"/>
                <w:sz w:val="20"/>
                <w:szCs w:val="20"/>
              </w:rPr>
              <w:t>如果有其他金额，则该字段不能为空</w:t>
            </w:r>
            <w:r w:rsidR="006D55A3">
              <w:rPr>
                <w:rFonts w:ascii="黑体" w:eastAsia="黑体" w:hAnsi="黑体" w:hint="eastAsia"/>
                <w:sz w:val="20"/>
                <w:szCs w:val="20"/>
              </w:rPr>
              <w:t>；</w:t>
            </w:r>
          </w:p>
          <w:p w14:paraId="2F1E8BBF" w14:textId="77777777" w:rsidR="00A052DC" w:rsidRDefault="009F0A60">
            <w:pPr>
              <w:rPr>
                <w:rFonts w:ascii="黑体" w:eastAsia="黑体" w:hAnsi="黑体"/>
                <w:sz w:val="20"/>
                <w:szCs w:val="20"/>
              </w:rPr>
            </w:pPr>
            <w:r>
              <w:rPr>
                <w:rFonts w:ascii="黑体" w:eastAsia="黑体" w:hAnsi="黑体" w:hint="eastAsia"/>
                <w:sz w:val="20"/>
                <w:szCs w:val="20"/>
              </w:rPr>
              <w:t>其他金额为0，则该字段不应该填写</w:t>
            </w:r>
            <w:r w:rsidR="006D55A3">
              <w:rPr>
                <w:rFonts w:ascii="黑体" w:eastAsia="黑体" w:hAnsi="黑体" w:hint="eastAsia"/>
                <w:sz w:val="20"/>
                <w:szCs w:val="20"/>
              </w:rPr>
              <w:t>。</w:t>
            </w:r>
          </w:p>
          <w:p w14:paraId="41E3EFAF" w14:textId="77777777" w:rsidR="00A052DC" w:rsidRDefault="0021563C">
            <w:pPr>
              <w:rPr>
                <w:rFonts w:ascii="黑体" w:eastAsia="黑体" w:hAnsi="黑体"/>
                <w:sz w:val="20"/>
                <w:szCs w:val="20"/>
              </w:rPr>
            </w:pPr>
            <w:r>
              <w:rPr>
                <w:rFonts w:ascii="黑体" w:eastAsia="黑体" w:hAnsi="黑体" w:hint="eastAsia"/>
                <w:sz w:val="20"/>
                <w:szCs w:val="20"/>
              </w:rPr>
              <w:t>其他</w:t>
            </w:r>
            <w:r w:rsidR="009F0A60">
              <w:rPr>
                <w:rFonts w:ascii="黑体" w:eastAsia="黑体" w:hAnsi="黑体" w:hint="eastAsia"/>
                <w:sz w:val="20"/>
                <w:szCs w:val="20"/>
              </w:rPr>
              <w:t>金额、</w:t>
            </w:r>
            <w:r>
              <w:rPr>
                <w:rFonts w:ascii="黑体" w:eastAsia="黑体" w:hAnsi="黑体" w:hint="eastAsia"/>
                <w:sz w:val="20"/>
                <w:szCs w:val="20"/>
              </w:rPr>
              <w:t>其他</w:t>
            </w:r>
            <w:r w:rsidR="009F0A60">
              <w:rPr>
                <w:rFonts w:ascii="黑体" w:eastAsia="黑体" w:hAnsi="黑体" w:hint="eastAsia"/>
                <w:sz w:val="20"/>
                <w:szCs w:val="20"/>
              </w:rPr>
              <w:t>账号或同时空，或同时有值。</w:t>
            </w:r>
          </w:p>
        </w:tc>
      </w:tr>
      <w:tr w:rsidR="00A052DC" w14:paraId="30A95BD2" w14:textId="77777777">
        <w:tc>
          <w:tcPr>
            <w:tcW w:w="1418" w:type="dxa"/>
          </w:tcPr>
          <w:p w14:paraId="1A001CE1" w14:textId="77777777" w:rsidR="00A052DC" w:rsidRDefault="009F0A60">
            <w:pPr>
              <w:rPr>
                <w:rFonts w:ascii="黑体" w:eastAsia="黑体" w:hAnsi="黑体"/>
                <w:sz w:val="20"/>
                <w:szCs w:val="20"/>
              </w:rPr>
            </w:pPr>
            <w:r>
              <w:rPr>
                <w:rFonts w:ascii="黑体" w:eastAsia="黑体" w:hAnsi="黑体"/>
                <w:sz w:val="20"/>
                <w:szCs w:val="20"/>
              </w:rPr>
              <w:t>METHOD</w:t>
            </w:r>
          </w:p>
        </w:tc>
        <w:tc>
          <w:tcPr>
            <w:tcW w:w="1559" w:type="dxa"/>
          </w:tcPr>
          <w:p w14:paraId="1160AD9F" w14:textId="77777777" w:rsidR="00A052DC" w:rsidRDefault="009F0A60">
            <w:pPr>
              <w:rPr>
                <w:rFonts w:ascii="黑体" w:eastAsia="黑体" w:hAnsi="黑体"/>
                <w:sz w:val="20"/>
                <w:szCs w:val="20"/>
              </w:rPr>
            </w:pPr>
            <w:r>
              <w:rPr>
                <w:rFonts w:ascii="黑体" w:eastAsia="黑体" w:hAnsi="黑体" w:hint="eastAsia"/>
                <w:sz w:val="20"/>
                <w:szCs w:val="20"/>
              </w:rPr>
              <w:t>结算方式</w:t>
            </w:r>
          </w:p>
        </w:tc>
        <w:tc>
          <w:tcPr>
            <w:tcW w:w="1560" w:type="dxa"/>
          </w:tcPr>
          <w:p w14:paraId="44F163FC" w14:textId="77777777" w:rsidR="00A052DC" w:rsidRDefault="009F0A60">
            <w:pPr>
              <w:rPr>
                <w:rFonts w:ascii="黑体" w:eastAsia="黑体" w:hAnsi="黑体"/>
                <w:sz w:val="20"/>
                <w:szCs w:val="20"/>
              </w:rPr>
            </w:pPr>
            <w:r>
              <w:rPr>
                <w:rFonts w:ascii="黑体" w:eastAsia="黑体" w:hAnsi="黑体" w:hint="eastAsia"/>
                <w:sz w:val="20"/>
                <w:szCs w:val="20"/>
              </w:rPr>
              <w:t>字符型，1</w:t>
            </w:r>
          </w:p>
        </w:tc>
        <w:tc>
          <w:tcPr>
            <w:tcW w:w="4110" w:type="dxa"/>
          </w:tcPr>
          <w:p w14:paraId="7B958F5D" w14:textId="77777777" w:rsidR="00A052DC" w:rsidRDefault="009F0A60">
            <w:pPr>
              <w:rPr>
                <w:rFonts w:ascii="黑体" w:eastAsia="黑体" w:hAnsi="黑体"/>
                <w:sz w:val="20"/>
                <w:szCs w:val="20"/>
              </w:rPr>
            </w:pPr>
            <w:r>
              <w:rPr>
                <w:rFonts w:ascii="黑体" w:eastAsia="黑体" w:hAnsi="黑体" w:hint="eastAsia"/>
                <w:sz w:val="20"/>
                <w:szCs w:val="20"/>
              </w:rPr>
              <w:t>T</w:t>
            </w:r>
            <w:r w:rsidR="00AE4602">
              <w:rPr>
                <w:rFonts w:ascii="黑体" w:eastAsia="黑体" w:hAnsi="黑体" w:hint="eastAsia"/>
                <w:sz w:val="20"/>
                <w:szCs w:val="20"/>
              </w:rPr>
              <w:t>-</w:t>
            </w:r>
            <w:r>
              <w:rPr>
                <w:rFonts w:ascii="黑体" w:eastAsia="黑体" w:hAnsi="黑体" w:hint="eastAsia"/>
                <w:sz w:val="20"/>
                <w:szCs w:val="20"/>
              </w:rPr>
              <w:t>电汇</w:t>
            </w:r>
          </w:p>
          <w:p w14:paraId="33A9D44D" w14:textId="77777777" w:rsidR="00A052DC" w:rsidRDefault="009F0A60">
            <w:pPr>
              <w:rPr>
                <w:rFonts w:ascii="黑体" w:eastAsia="黑体" w:hAnsi="黑体"/>
                <w:sz w:val="20"/>
                <w:szCs w:val="20"/>
              </w:rPr>
            </w:pPr>
            <w:r>
              <w:rPr>
                <w:rFonts w:ascii="黑体" w:eastAsia="黑体" w:hAnsi="黑体" w:hint="eastAsia"/>
                <w:sz w:val="20"/>
                <w:szCs w:val="20"/>
              </w:rPr>
              <w:t>D</w:t>
            </w:r>
            <w:r w:rsidR="00AE4602">
              <w:rPr>
                <w:rFonts w:ascii="黑体" w:eastAsia="黑体" w:hAnsi="黑体" w:hint="eastAsia"/>
                <w:sz w:val="20"/>
                <w:szCs w:val="20"/>
              </w:rPr>
              <w:t>-</w:t>
            </w:r>
            <w:r>
              <w:rPr>
                <w:rFonts w:ascii="黑体" w:eastAsia="黑体" w:hAnsi="黑体" w:hint="eastAsia"/>
                <w:sz w:val="20"/>
                <w:szCs w:val="20"/>
              </w:rPr>
              <w:t>票汇</w:t>
            </w:r>
          </w:p>
          <w:p w14:paraId="15426F02" w14:textId="77777777" w:rsidR="00A052DC" w:rsidRDefault="009F0A60">
            <w:pPr>
              <w:rPr>
                <w:rFonts w:ascii="黑体" w:eastAsia="黑体" w:hAnsi="黑体"/>
                <w:sz w:val="20"/>
                <w:szCs w:val="20"/>
              </w:rPr>
            </w:pPr>
            <w:r>
              <w:rPr>
                <w:rFonts w:ascii="黑体" w:eastAsia="黑体" w:hAnsi="黑体" w:hint="eastAsia"/>
                <w:sz w:val="20"/>
                <w:szCs w:val="20"/>
              </w:rPr>
              <w:t>M</w:t>
            </w:r>
            <w:r w:rsidR="00AE4602">
              <w:rPr>
                <w:rFonts w:ascii="黑体" w:eastAsia="黑体" w:hAnsi="黑体" w:hint="eastAsia"/>
                <w:sz w:val="20"/>
                <w:szCs w:val="20"/>
              </w:rPr>
              <w:t>-</w:t>
            </w:r>
            <w:r>
              <w:rPr>
                <w:rFonts w:ascii="黑体" w:eastAsia="黑体" w:hAnsi="黑体" w:hint="eastAsia"/>
                <w:sz w:val="20"/>
                <w:szCs w:val="20"/>
              </w:rPr>
              <w:t>信汇</w:t>
            </w:r>
          </w:p>
        </w:tc>
      </w:tr>
      <w:tr w:rsidR="00A052DC" w14:paraId="0A803A64" w14:textId="77777777">
        <w:tc>
          <w:tcPr>
            <w:tcW w:w="1418" w:type="dxa"/>
          </w:tcPr>
          <w:p w14:paraId="6C3454B0" w14:textId="77777777" w:rsidR="00A052DC" w:rsidRDefault="009F0A60">
            <w:pPr>
              <w:rPr>
                <w:rFonts w:ascii="黑体" w:eastAsia="黑体" w:hAnsi="黑体"/>
                <w:sz w:val="20"/>
                <w:szCs w:val="20"/>
              </w:rPr>
            </w:pPr>
            <w:r>
              <w:rPr>
                <w:rFonts w:ascii="黑体" w:eastAsia="黑体" w:hAnsi="黑体"/>
                <w:sz w:val="20"/>
                <w:szCs w:val="20"/>
              </w:rPr>
              <w:t>BUSCODE</w:t>
            </w:r>
          </w:p>
        </w:tc>
        <w:tc>
          <w:tcPr>
            <w:tcW w:w="1559" w:type="dxa"/>
          </w:tcPr>
          <w:p w14:paraId="2EA1D621" w14:textId="77777777" w:rsidR="00A052DC" w:rsidRDefault="009F0A60">
            <w:pPr>
              <w:rPr>
                <w:rFonts w:ascii="黑体" w:eastAsia="黑体" w:hAnsi="黑体"/>
                <w:sz w:val="20"/>
                <w:szCs w:val="20"/>
              </w:rPr>
            </w:pPr>
            <w:r>
              <w:rPr>
                <w:rFonts w:ascii="黑体" w:eastAsia="黑体" w:hAnsi="黑体" w:hint="eastAsia"/>
                <w:sz w:val="20"/>
                <w:szCs w:val="20"/>
              </w:rPr>
              <w:t>银行业务编号</w:t>
            </w:r>
          </w:p>
        </w:tc>
        <w:tc>
          <w:tcPr>
            <w:tcW w:w="1560" w:type="dxa"/>
          </w:tcPr>
          <w:p w14:paraId="11A082F0" w14:textId="77777777" w:rsidR="00A052DC" w:rsidRDefault="009F0A60">
            <w:pPr>
              <w:rPr>
                <w:rFonts w:ascii="黑体" w:eastAsia="黑体" w:hAnsi="黑体"/>
                <w:sz w:val="20"/>
                <w:szCs w:val="20"/>
              </w:rPr>
            </w:pPr>
            <w:r>
              <w:rPr>
                <w:rFonts w:ascii="黑体" w:eastAsia="黑体" w:hAnsi="黑体" w:hint="eastAsia"/>
                <w:sz w:val="20"/>
                <w:szCs w:val="20"/>
              </w:rPr>
              <w:t>字符型，22</w:t>
            </w:r>
          </w:p>
        </w:tc>
        <w:tc>
          <w:tcPr>
            <w:tcW w:w="4110" w:type="dxa"/>
          </w:tcPr>
          <w:p w14:paraId="55CBE796"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bl>
    <w:p w14:paraId="744CBA15" w14:textId="77777777" w:rsidR="00A052DC" w:rsidRDefault="009F0A60">
      <w:pPr>
        <w:pStyle w:val="3"/>
        <w:numPr>
          <w:ilvl w:val="2"/>
          <w:numId w:val="14"/>
        </w:numPr>
        <w:ind w:left="0"/>
        <w:rPr>
          <w:rFonts w:ascii="Times New Roman" w:hAnsi="Times New Roman"/>
        </w:rPr>
      </w:pPr>
      <w:bookmarkStart w:id="962" w:name="_Toc454386766"/>
      <w:bookmarkStart w:id="963" w:name="_Toc91455268"/>
      <w:bookmarkStart w:id="964" w:name="_Toc101684441"/>
      <w:r>
        <w:rPr>
          <w:rFonts w:ascii="Times New Roman" w:hAnsi="Times New Roman" w:hint="eastAsia"/>
        </w:rPr>
        <w:t>境外汇款申请书</w:t>
      </w:r>
      <w:r>
        <w:rPr>
          <w:rFonts w:ascii="Times New Roman" w:hAnsi="Times New Roman"/>
        </w:rPr>
        <w:t>-</w:t>
      </w:r>
      <w:r>
        <w:rPr>
          <w:rFonts w:ascii="Times New Roman" w:hAnsi="Times New Roman" w:hint="eastAsia"/>
        </w:rPr>
        <w:t>申报信息</w:t>
      </w:r>
      <w:bookmarkEnd w:id="962"/>
      <w:bookmarkEnd w:id="963"/>
      <w:bookmarkEnd w:id="964"/>
    </w:p>
    <w:p w14:paraId="3E8BBAD4" w14:textId="77777777" w:rsidR="00A052DC" w:rsidRDefault="009F0A60" w:rsidP="0020251D">
      <w:pPr>
        <w:pStyle w:val="4"/>
        <w:numPr>
          <w:ilvl w:val="3"/>
          <w:numId w:val="1"/>
        </w:numPr>
        <w:jc w:val="left"/>
      </w:pPr>
      <w:bookmarkStart w:id="965" w:name="_Toc454386767"/>
      <w:r>
        <w:rPr>
          <w:rFonts w:hint="eastAsia"/>
        </w:rPr>
        <w:t>数据术语解释</w:t>
      </w:r>
      <w:bookmarkEnd w:id="965"/>
    </w:p>
    <w:tbl>
      <w:tblPr>
        <w:tblW w:w="861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26"/>
        <w:gridCol w:w="7087"/>
      </w:tblGrid>
      <w:tr w:rsidR="00A052DC" w14:paraId="29482CC3" w14:textId="77777777">
        <w:trPr>
          <w:trHeight w:val="20"/>
        </w:trPr>
        <w:tc>
          <w:tcPr>
            <w:tcW w:w="1526" w:type="dxa"/>
          </w:tcPr>
          <w:p w14:paraId="118B32F5" w14:textId="77777777" w:rsidR="00A052DC" w:rsidRDefault="009F0A60">
            <w:pPr>
              <w:jc w:val="center"/>
              <w:rPr>
                <w:rFonts w:ascii="黑体" w:eastAsia="黑体" w:hAnsi="黑体"/>
                <w:b/>
                <w:sz w:val="20"/>
                <w:szCs w:val="20"/>
              </w:rPr>
            </w:pPr>
            <w:r>
              <w:rPr>
                <w:rFonts w:ascii="黑体" w:eastAsia="黑体" w:hAnsi="黑体" w:hint="eastAsia"/>
                <w:b/>
                <w:sz w:val="20"/>
                <w:szCs w:val="20"/>
              </w:rPr>
              <w:t>申报数据项</w:t>
            </w:r>
          </w:p>
        </w:tc>
        <w:tc>
          <w:tcPr>
            <w:tcW w:w="7087" w:type="dxa"/>
          </w:tcPr>
          <w:p w14:paraId="242E8F9D" w14:textId="77777777" w:rsidR="00A052DC" w:rsidRDefault="009F0A60">
            <w:pPr>
              <w:jc w:val="center"/>
              <w:rPr>
                <w:rFonts w:ascii="黑体" w:eastAsia="黑体" w:hAnsi="黑体"/>
                <w:b/>
                <w:sz w:val="20"/>
                <w:szCs w:val="20"/>
              </w:rPr>
            </w:pPr>
            <w:r>
              <w:rPr>
                <w:rFonts w:ascii="黑体" w:eastAsia="黑体" w:hAnsi="黑体" w:hint="eastAsia"/>
                <w:b/>
                <w:sz w:val="20"/>
                <w:szCs w:val="20"/>
              </w:rPr>
              <w:t>定义</w:t>
            </w:r>
          </w:p>
        </w:tc>
      </w:tr>
      <w:tr w:rsidR="00A052DC" w14:paraId="0E225522" w14:textId="77777777">
        <w:trPr>
          <w:trHeight w:val="20"/>
        </w:trPr>
        <w:tc>
          <w:tcPr>
            <w:tcW w:w="1526" w:type="dxa"/>
          </w:tcPr>
          <w:p w14:paraId="50EA0D8E" w14:textId="77777777" w:rsidR="00A052DC" w:rsidRDefault="009F0A60">
            <w:pPr>
              <w:rPr>
                <w:rFonts w:ascii="黑体" w:eastAsia="黑体" w:hAnsi="黑体"/>
                <w:sz w:val="20"/>
                <w:szCs w:val="20"/>
              </w:rPr>
            </w:pPr>
            <w:r>
              <w:rPr>
                <w:rFonts w:ascii="黑体" w:eastAsia="黑体" w:hAnsi="黑体" w:hint="eastAsia"/>
                <w:sz w:val="20"/>
                <w:szCs w:val="20"/>
              </w:rPr>
              <w:t>收款人常驻国家（地区）名称</w:t>
            </w:r>
          </w:p>
        </w:tc>
        <w:tc>
          <w:tcPr>
            <w:tcW w:w="7087" w:type="dxa"/>
          </w:tcPr>
          <w:p w14:paraId="3E16DCD3" w14:textId="77777777" w:rsidR="00A052DC" w:rsidRDefault="009F0A60">
            <w:pPr>
              <w:rPr>
                <w:rFonts w:ascii="黑体" w:eastAsia="黑体" w:hAnsi="黑体"/>
                <w:sz w:val="20"/>
                <w:szCs w:val="20"/>
              </w:rPr>
            </w:pPr>
            <w:r>
              <w:rPr>
                <w:rFonts w:ascii="黑体" w:eastAsia="黑体" w:hAnsi="黑体" w:hint="eastAsia"/>
                <w:sz w:val="20"/>
                <w:szCs w:val="20"/>
              </w:rPr>
              <w:t>指收款人所在国家（地区）的名称。</w:t>
            </w:r>
          </w:p>
        </w:tc>
      </w:tr>
      <w:tr w:rsidR="00A052DC" w14:paraId="1319687F" w14:textId="77777777">
        <w:trPr>
          <w:trHeight w:val="20"/>
        </w:trPr>
        <w:tc>
          <w:tcPr>
            <w:tcW w:w="1526" w:type="dxa"/>
          </w:tcPr>
          <w:p w14:paraId="5628C1F5" w14:textId="77777777" w:rsidR="00A052DC" w:rsidRDefault="009F0A60">
            <w:pPr>
              <w:rPr>
                <w:rFonts w:ascii="黑体" w:eastAsia="黑体" w:hAnsi="黑体"/>
                <w:sz w:val="20"/>
                <w:szCs w:val="20"/>
              </w:rPr>
            </w:pPr>
            <w:r>
              <w:rPr>
                <w:rFonts w:ascii="黑体" w:eastAsia="黑体" w:hAnsi="黑体" w:hint="eastAsia"/>
                <w:sz w:val="20"/>
                <w:szCs w:val="20"/>
              </w:rPr>
              <w:t>收款人常驻国家（地区）代码</w:t>
            </w:r>
          </w:p>
        </w:tc>
        <w:tc>
          <w:tcPr>
            <w:tcW w:w="7087" w:type="dxa"/>
          </w:tcPr>
          <w:p w14:paraId="74A5AE37" w14:textId="77777777" w:rsidR="00A052DC" w:rsidRDefault="009F0A60">
            <w:pPr>
              <w:rPr>
                <w:rFonts w:ascii="黑体" w:eastAsia="黑体" w:hAnsi="黑体"/>
                <w:sz w:val="20"/>
                <w:szCs w:val="20"/>
              </w:rPr>
            </w:pPr>
            <w:r>
              <w:rPr>
                <w:rFonts w:ascii="黑体" w:eastAsia="黑体" w:hAnsi="黑体" w:hint="eastAsia"/>
                <w:sz w:val="20"/>
                <w:szCs w:val="20"/>
              </w:rPr>
              <w:t>指收款人所在国家（地区）对应的代码。</w:t>
            </w:r>
          </w:p>
        </w:tc>
      </w:tr>
      <w:tr w:rsidR="00A052DC" w14:paraId="7AF3C2C6" w14:textId="77777777">
        <w:trPr>
          <w:trHeight w:val="20"/>
        </w:trPr>
        <w:tc>
          <w:tcPr>
            <w:tcW w:w="1526" w:type="dxa"/>
          </w:tcPr>
          <w:p w14:paraId="50CA94FF" w14:textId="77777777" w:rsidR="00A052DC" w:rsidRDefault="009F0A60">
            <w:pPr>
              <w:rPr>
                <w:rFonts w:ascii="黑体" w:eastAsia="黑体" w:hAnsi="黑体"/>
                <w:sz w:val="20"/>
                <w:szCs w:val="20"/>
              </w:rPr>
            </w:pPr>
            <w:r>
              <w:rPr>
                <w:rFonts w:ascii="黑体" w:eastAsia="黑体" w:hAnsi="黑体" w:hint="eastAsia"/>
                <w:sz w:val="20"/>
                <w:szCs w:val="20"/>
              </w:rPr>
              <w:t>交易编码1</w:t>
            </w:r>
          </w:p>
        </w:tc>
        <w:tc>
          <w:tcPr>
            <w:tcW w:w="7087" w:type="dxa"/>
          </w:tcPr>
          <w:p w14:paraId="06C2D1B5" w14:textId="77777777" w:rsidR="00A052DC" w:rsidRDefault="009F0A60">
            <w:pPr>
              <w:rPr>
                <w:rFonts w:ascii="黑体" w:eastAsia="黑体" w:hAnsi="黑体"/>
                <w:sz w:val="20"/>
                <w:szCs w:val="20"/>
              </w:rPr>
            </w:pPr>
            <w:r>
              <w:rPr>
                <w:rFonts w:ascii="黑体" w:eastAsia="黑体" w:hAnsi="黑体" w:hint="eastAsia"/>
                <w:sz w:val="20"/>
                <w:szCs w:val="20"/>
              </w:rPr>
              <w:t>指本笔对境外汇款涉及的国际收支交易对应的代码。如果本笔汇款为多种交易性质，则本交易编码表示最大金额交易对应的国际收支交易性质；如果本笔汇款涉及进口付汇核查项下交易，则核查项下交易视同最大金额交易处理；如果本笔汇款为退款，则应填写本笔付款对应原涉外收入的国际收支交易编码。</w:t>
            </w:r>
          </w:p>
        </w:tc>
      </w:tr>
      <w:tr w:rsidR="00A052DC" w14:paraId="4FE1BBB9" w14:textId="77777777">
        <w:trPr>
          <w:trHeight w:val="20"/>
        </w:trPr>
        <w:tc>
          <w:tcPr>
            <w:tcW w:w="1526" w:type="dxa"/>
          </w:tcPr>
          <w:p w14:paraId="748424B5" w14:textId="77777777" w:rsidR="00A052DC" w:rsidRDefault="009F0A60">
            <w:pPr>
              <w:rPr>
                <w:rFonts w:ascii="黑体" w:eastAsia="黑体" w:hAnsi="黑体"/>
                <w:sz w:val="20"/>
                <w:szCs w:val="20"/>
              </w:rPr>
            </w:pPr>
            <w:r>
              <w:rPr>
                <w:rFonts w:ascii="黑体" w:eastAsia="黑体" w:hAnsi="黑体" w:hint="eastAsia"/>
                <w:sz w:val="20"/>
                <w:szCs w:val="20"/>
              </w:rPr>
              <w:t>交易编码2</w:t>
            </w:r>
          </w:p>
        </w:tc>
        <w:tc>
          <w:tcPr>
            <w:tcW w:w="7087" w:type="dxa"/>
          </w:tcPr>
          <w:p w14:paraId="0C811A7C" w14:textId="77777777" w:rsidR="00A052DC" w:rsidRDefault="009F0A60">
            <w:pPr>
              <w:rPr>
                <w:rFonts w:ascii="黑体" w:eastAsia="黑体" w:hAnsi="黑体"/>
                <w:sz w:val="20"/>
                <w:szCs w:val="20"/>
              </w:rPr>
            </w:pPr>
            <w:r>
              <w:rPr>
                <w:rFonts w:ascii="黑体" w:eastAsia="黑体" w:hAnsi="黑体" w:hint="eastAsia"/>
                <w:sz w:val="20"/>
                <w:szCs w:val="20"/>
              </w:rPr>
              <w:t>指本笔对境外汇款涉及的国际收支交易对应的代码。如果本笔汇款为多种交易性质，则本交易编码表示次大金额交易对应的国际收支交易性质。</w:t>
            </w:r>
          </w:p>
        </w:tc>
      </w:tr>
      <w:tr w:rsidR="00A052DC" w14:paraId="78859375" w14:textId="77777777">
        <w:trPr>
          <w:trHeight w:val="20"/>
        </w:trPr>
        <w:tc>
          <w:tcPr>
            <w:tcW w:w="1526" w:type="dxa"/>
          </w:tcPr>
          <w:p w14:paraId="21EB7649" w14:textId="77777777" w:rsidR="00A052DC" w:rsidRDefault="009F0A60">
            <w:pPr>
              <w:rPr>
                <w:rFonts w:ascii="黑体" w:eastAsia="黑体" w:hAnsi="黑体"/>
                <w:sz w:val="20"/>
                <w:szCs w:val="20"/>
              </w:rPr>
            </w:pPr>
            <w:r>
              <w:rPr>
                <w:rFonts w:ascii="黑体" w:eastAsia="黑体" w:hAnsi="黑体" w:hint="eastAsia"/>
                <w:sz w:val="20"/>
                <w:szCs w:val="20"/>
              </w:rPr>
              <w:t>相应币种1</w:t>
            </w:r>
          </w:p>
        </w:tc>
        <w:tc>
          <w:tcPr>
            <w:tcW w:w="7087" w:type="dxa"/>
          </w:tcPr>
          <w:p w14:paraId="61258C55" w14:textId="77777777" w:rsidR="00A052DC" w:rsidRDefault="009F0A60">
            <w:pPr>
              <w:rPr>
                <w:rFonts w:ascii="黑体" w:eastAsia="黑体" w:hAnsi="黑体"/>
                <w:sz w:val="20"/>
                <w:szCs w:val="20"/>
              </w:rPr>
            </w:pPr>
            <w:r>
              <w:rPr>
                <w:rFonts w:ascii="黑体" w:eastAsia="黑体" w:hAnsi="黑体" w:hint="eastAsia"/>
                <w:sz w:val="20"/>
                <w:szCs w:val="20"/>
              </w:rPr>
              <w:t>同汇款币种。</w:t>
            </w:r>
          </w:p>
        </w:tc>
      </w:tr>
      <w:tr w:rsidR="00A052DC" w14:paraId="415801AC" w14:textId="77777777">
        <w:trPr>
          <w:trHeight w:val="20"/>
        </w:trPr>
        <w:tc>
          <w:tcPr>
            <w:tcW w:w="1526" w:type="dxa"/>
          </w:tcPr>
          <w:p w14:paraId="3776F600" w14:textId="77777777" w:rsidR="00A052DC" w:rsidRDefault="009F0A60">
            <w:pPr>
              <w:rPr>
                <w:rFonts w:ascii="黑体" w:eastAsia="黑体" w:hAnsi="黑体"/>
                <w:sz w:val="20"/>
                <w:szCs w:val="20"/>
              </w:rPr>
            </w:pPr>
            <w:r>
              <w:rPr>
                <w:rFonts w:ascii="黑体" w:eastAsia="黑体" w:hAnsi="黑体" w:hint="eastAsia"/>
                <w:sz w:val="20"/>
                <w:szCs w:val="20"/>
              </w:rPr>
              <w:t>相应币种2</w:t>
            </w:r>
          </w:p>
        </w:tc>
        <w:tc>
          <w:tcPr>
            <w:tcW w:w="7087" w:type="dxa"/>
          </w:tcPr>
          <w:p w14:paraId="69C839A3" w14:textId="77777777" w:rsidR="00A052DC" w:rsidRDefault="009F0A60">
            <w:pPr>
              <w:rPr>
                <w:rFonts w:ascii="黑体" w:eastAsia="黑体" w:hAnsi="黑体"/>
                <w:sz w:val="20"/>
                <w:szCs w:val="20"/>
              </w:rPr>
            </w:pPr>
            <w:r>
              <w:rPr>
                <w:rFonts w:ascii="黑体" w:eastAsia="黑体" w:hAnsi="黑体" w:hint="eastAsia"/>
                <w:sz w:val="20"/>
                <w:szCs w:val="20"/>
              </w:rPr>
              <w:t>同汇款币种。</w:t>
            </w:r>
          </w:p>
        </w:tc>
      </w:tr>
      <w:tr w:rsidR="00A052DC" w14:paraId="38B59715" w14:textId="77777777">
        <w:trPr>
          <w:trHeight w:val="20"/>
        </w:trPr>
        <w:tc>
          <w:tcPr>
            <w:tcW w:w="1526" w:type="dxa"/>
          </w:tcPr>
          <w:p w14:paraId="68450D0E" w14:textId="77777777" w:rsidR="00A052DC" w:rsidRDefault="009F0A60">
            <w:pPr>
              <w:rPr>
                <w:rFonts w:ascii="黑体" w:eastAsia="黑体" w:hAnsi="黑体"/>
                <w:sz w:val="20"/>
                <w:szCs w:val="20"/>
              </w:rPr>
            </w:pPr>
            <w:r>
              <w:rPr>
                <w:rFonts w:ascii="黑体" w:eastAsia="黑体" w:hAnsi="黑体" w:hint="eastAsia"/>
                <w:sz w:val="20"/>
                <w:szCs w:val="20"/>
              </w:rPr>
              <w:t>相应金额1</w:t>
            </w:r>
          </w:p>
        </w:tc>
        <w:tc>
          <w:tcPr>
            <w:tcW w:w="7087" w:type="dxa"/>
          </w:tcPr>
          <w:p w14:paraId="3C12CFAB" w14:textId="77777777" w:rsidR="00A052DC" w:rsidRDefault="009F0A60">
            <w:pPr>
              <w:rPr>
                <w:rFonts w:ascii="黑体" w:eastAsia="黑体" w:hAnsi="黑体"/>
                <w:sz w:val="20"/>
                <w:szCs w:val="20"/>
              </w:rPr>
            </w:pPr>
            <w:r>
              <w:rPr>
                <w:rFonts w:ascii="黑体" w:eastAsia="黑体" w:hAnsi="黑体" w:hint="eastAsia"/>
                <w:sz w:val="20"/>
                <w:szCs w:val="20"/>
              </w:rPr>
              <w:t>与申报主体填报的交易编码1相对应。如果本笔对境外汇款为多种交易性质，则本金额为最大金额交易相应金额。如果汇款涉及进口付汇核查项下交易，则核查项下交易视同最大金额交易处理。</w:t>
            </w:r>
          </w:p>
        </w:tc>
      </w:tr>
      <w:tr w:rsidR="00A052DC" w14:paraId="34905133" w14:textId="77777777">
        <w:trPr>
          <w:trHeight w:val="20"/>
        </w:trPr>
        <w:tc>
          <w:tcPr>
            <w:tcW w:w="1526" w:type="dxa"/>
          </w:tcPr>
          <w:p w14:paraId="2971D0CE" w14:textId="77777777" w:rsidR="00A052DC" w:rsidRDefault="009F0A60">
            <w:pPr>
              <w:rPr>
                <w:rFonts w:ascii="黑体" w:eastAsia="黑体" w:hAnsi="黑体"/>
                <w:sz w:val="20"/>
                <w:szCs w:val="20"/>
              </w:rPr>
            </w:pPr>
            <w:r>
              <w:rPr>
                <w:rFonts w:ascii="黑体" w:eastAsia="黑体" w:hAnsi="黑体" w:hint="eastAsia"/>
                <w:sz w:val="20"/>
                <w:szCs w:val="20"/>
              </w:rPr>
              <w:t>相应金额2</w:t>
            </w:r>
          </w:p>
        </w:tc>
        <w:tc>
          <w:tcPr>
            <w:tcW w:w="7087" w:type="dxa"/>
          </w:tcPr>
          <w:p w14:paraId="0E642FF4" w14:textId="77777777" w:rsidR="00A052DC" w:rsidRDefault="009F0A60">
            <w:pPr>
              <w:rPr>
                <w:rFonts w:ascii="黑体" w:eastAsia="黑体" w:hAnsi="黑体"/>
                <w:sz w:val="20"/>
                <w:szCs w:val="20"/>
              </w:rPr>
            </w:pPr>
            <w:r>
              <w:rPr>
                <w:rFonts w:ascii="黑体" w:eastAsia="黑体" w:hAnsi="黑体" w:hint="eastAsia"/>
                <w:sz w:val="20"/>
                <w:szCs w:val="20"/>
              </w:rPr>
              <w:t>与申报主体填报的交易编码2相对应。如果对境外汇款为多种交易性质，则本金额为除最大金额交易外，对境外汇款的其余金额。</w:t>
            </w:r>
          </w:p>
        </w:tc>
      </w:tr>
      <w:tr w:rsidR="00A052DC" w14:paraId="523B9F2B" w14:textId="77777777">
        <w:trPr>
          <w:trHeight w:val="20"/>
        </w:trPr>
        <w:tc>
          <w:tcPr>
            <w:tcW w:w="1526" w:type="dxa"/>
          </w:tcPr>
          <w:p w14:paraId="1F87D5CA" w14:textId="77777777" w:rsidR="00A052DC" w:rsidRDefault="009F0A60">
            <w:pPr>
              <w:rPr>
                <w:rFonts w:ascii="黑体" w:eastAsia="黑体" w:hAnsi="黑体"/>
                <w:sz w:val="20"/>
                <w:szCs w:val="20"/>
              </w:rPr>
            </w:pPr>
            <w:r>
              <w:rPr>
                <w:rFonts w:ascii="黑体" w:eastAsia="黑体" w:hAnsi="黑体" w:hint="eastAsia"/>
                <w:sz w:val="20"/>
                <w:szCs w:val="20"/>
              </w:rPr>
              <w:t>交易附言1</w:t>
            </w:r>
          </w:p>
        </w:tc>
        <w:tc>
          <w:tcPr>
            <w:tcW w:w="7087" w:type="dxa"/>
          </w:tcPr>
          <w:p w14:paraId="39216C11" w14:textId="77777777" w:rsidR="00A052DC" w:rsidRDefault="009F0A60">
            <w:pPr>
              <w:rPr>
                <w:rFonts w:ascii="黑体" w:eastAsia="黑体" w:hAnsi="黑体"/>
                <w:sz w:val="20"/>
                <w:szCs w:val="20"/>
              </w:rPr>
            </w:pPr>
            <w:r>
              <w:rPr>
                <w:rFonts w:ascii="黑体" w:eastAsia="黑体" w:hAnsi="黑体" w:hint="eastAsia"/>
                <w:sz w:val="20"/>
                <w:szCs w:val="20"/>
              </w:rPr>
              <w:t>申报主体对交易编码1所对应的交易性质进行的详细描述。</w:t>
            </w:r>
          </w:p>
        </w:tc>
      </w:tr>
      <w:tr w:rsidR="00A052DC" w14:paraId="43E29DF9" w14:textId="77777777">
        <w:trPr>
          <w:trHeight w:val="20"/>
        </w:trPr>
        <w:tc>
          <w:tcPr>
            <w:tcW w:w="1526" w:type="dxa"/>
          </w:tcPr>
          <w:p w14:paraId="54560A0A" w14:textId="77777777" w:rsidR="00A052DC" w:rsidRDefault="009F0A60">
            <w:pPr>
              <w:rPr>
                <w:rFonts w:ascii="黑体" w:eastAsia="黑体" w:hAnsi="黑体"/>
                <w:sz w:val="20"/>
                <w:szCs w:val="20"/>
              </w:rPr>
            </w:pPr>
            <w:r>
              <w:rPr>
                <w:rFonts w:ascii="黑体" w:eastAsia="黑体" w:hAnsi="黑体" w:hint="eastAsia"/>
                <w:sz w:val="20"/>
                <w:szCs w:val="20"/>
              </w:rPr>
              <w:t>交易附言2</w:t>
            </w:r>
          </w:p>
        </w:tc>
        <w:tc>
          <w:tcPr>
            <w:tcW w:w="7087" w:type="dxa"/>
          </w:tcPr>
          <w:p w14:paraId="03CBFE2C" w14:textId="77777777" w:rsidR="00A052DC" w:rsidRDefault="009F0A60">
            <w:pPr>
              <w:rPr>
                <w:rFonts w:ascii="黑体" w:eastAsia="黑体" w:hAnsi="黑体"/>
                <w:sz w:val="20"/>
                <w:szCs w:val="20"/>
              </w:rPr>
            </w:pPr>
            <w:r>
              <w:rPr>
                <w:rFonts w:ascii="黑体" w:eastAsia="黑体" w:hAnsi="黑体" w:hint="eastAsia"/>
                <w:sz w:val="20"/>
                <w:szCs w:val="20"/>
              </w:rPr>
              <w:t>申报主体对交易编码2所对应的交易性质进行的详细描述。</w:t>
            </w:r>
          </w:p>
        </w:tc>
      </w:tr>
      <w:tr w:rsidR="00A052DC" w14:paraId="3E4894C4" w14:textId="77777777">
        <w:trPr>
          <w:trHeight w:val="20"/>
        </w:trPr>
        <w:tc>
          <w:tcPr>
            <w:tcW w:w="1526" w:type="dxa"/>
          </w:tcPr>
          <w:p w14:paraId="67D337F1" w14:textId="77777777" w:rsidR="00A052DC" w:rsidRDefault="009F0A60">
            <w:pPr>
              <w:rPr>
                <w:rFonts w:ascii="黑体" w:eastAsia="黑体" w:hAnsi="黑体"/>
                <w:sz w:val="20"/>
                <w:szCs w:val="20"/>
              </w:rPr>
            </w:pPr>
            <w:r>
              <w:rPr>
                <w:rFonts w:ascii="黑体" w:eastAsia="黑体" w:hAnsi="黑体" w:hint="eastAsia"/>
                <w:sz w:val="20"/>
                <w:szCs w:val="20"/>
              </w:rPr>
              <w:t>是否保税货物项下付款</w:t>
            </w:r>
          </w:p>
        </w:tc>
        <w:tc>
          <w:tcPr>
            <w:tcW w:w="7087" w:type="dxa"/>
          </w:tcPr>
          <w:p w14:paraId="2D15F444" w14:textId="77777777" w:rsidR="00A052DC" w:rsidRDefault="00A052DC">
            <w:pPr>
              <w:rPr>
                <w:rFonts w:ascii="黑体" w:eastAsia="黑体" w:hAnsi="黑体"/>
                <w:sz w:val="20"/>
                <w:szCs w:val="20"/>
              </w:rPr>
            </w:pPr>
          </w:p>
        </w:tc>
      </w:tr>
      <w:tr w:rsidR="00A052DC" w14:paraId="6EA35FBE" w14:textId="77777777">
        <w:trPr>
          <w:trHeight w:val="20"/>
        </w:trPr>
        <w:tc>
          <w:tcPr>
            <w:tcW w:w="1526" w:type="dxa"/>
          </w:tcPr>
          <w:p w14:paraId="018008A9" w14:textId="77777777" w:rsidR="00A052DC" w:rsidRDefault="009F0A60">
            <w:pPr>
              <w:rPr>
                <w:rFonts w:ascii="黑体" w:eastAsia="黑体" w:hAnsi="黑体"/>
                <w:sz w:val="20"/>
                <w:szCs w:val="20"/>
              </w:rPr>
            </w:pPr>
            <w:r>
              <w:rPr>
                <w:rFonts w:ascii="黑体" w:eastAsia="黑体" w:hAnsi="黑体" w:hint="eastAsia"/>
                <w:sz w:val="20"/>
                <w:szCs w:val="20"/>
              </w:rPr>
              <w:t>外汇局批件号/备案表号/业务编号</w:t>
            </w:r>
          </w:p>
        </w:tc>
        <w:tc>
          <w:tcPr>
            <w:tcW w:w="7087" w:type="dxa"/>
          </w:tcPr>
          <w:p w14:paraId="27D8ECA0" w14:textId="77777777" w:rsidR="00A052DC" w:rsidRDefault="009F0A60">
            <w:pPr>
              <w:rPr>
                <w:rFonts w:ascii="黑体" w:eastAsia="黑体" w:hAnsi="黑体"/>
                <w:sz w:val="20"/>
                <w:szCs w:val="20"/>
              </w:rPr>
            </w:pPr>
            <w:r>
              <w:rPr>
                <w:rFonts w:ascii="黑体" w:eastAsia="黑体" w:hAnsi="黑体" w:hint="eastAsia"/>
                <w:sz w:val="20"/>
                <w:szCs w:val="20"/>
              </w:rPr>
              <w:t>根据本笔汇款所涉及的外汇局批件号、备案表号、业务编号进行填写。如果本笔汇款涉及外汇局核准件，则优先填写该核准件编号。若本笔汇款涉及货物贸易登记表，则填写相应的业务登记表编号。</w:t>
            </w:r>
          </w:p>
          <w:p w14:paraId="47FA7690" w14:textId="77777777" w:rsidR="00A052DC" w:rsidRDefault="009F0A60">
            <w:pPr>
              <w:rPr>
                <w:rFonts w:ascii="黑体" w:eastAsia="黑体" w:hAnsi="黑体"/>
                <w:sz w:val="20"/>
                <w:szCs w:val="20"/>
              </w:rPr>
            </w:pPr>
            <w:r>
              <w:rPr>
                <w:rFonts w:ascii="黑体" w:eastAsia="黑体" w:hAnsi="黑体" w:hint="eastAsia"/>
                <w:sz w:val="20"/>
                <w:szCs w:val="20"/>
              </w:rPr>
              <w:t>交易编码以“3”、“5”、“6”、“7”、“8”和部分“2”、“9”开头或涉及账户性质为资本项目性质账户的，“外汇局批件号/备案表号/业务编号”为必填项，填写规则参见《银行资本项目下数据报送参考规则》；对于《银行资本项目下数据报送参考规则》中未提到的情况，且不需要外汇局核准的（即确实没有对应的“外汇局批件号/备案表号/业务编号”），则应填写“N/A”（大写英文字母）。</w:t>
            </w:r>
          </w:p>
        </w:tc>
      </w:tr>
      <w:tr w:rsidR="00A052DC" w14:paraId="009E1213" w14:textId="77777777">
        <w:trPr>
          <w:trHeight w:val="20"/>
        </w:trPr>
        <w:tc>
          <w:tcPr>
            <w:tcW w:w="1526" w:type="dxa"/>
          </w:tcPr>
          <w:p w14:paraId="0C9CF410" w14:textId="77777777" w:rsidR="00A052DC" w:rsidRDefault="009F0A60">
            <w:pPr>
              <w:rPr>
                <w:rFonts w:ascii="黑体" w:eastAsia="黑体" w:hAnsi="黑体"/>
                <w:sz w:val="20"/>
                <w:szCs w:val="20"/>
              </w:rPr>
            </w:pPr>
            <w:r>
              <w:rPr>
                <w:rFonts w:ascii="黑体" w:eastAsia="黑体" w:hAnsi="黑体" w:hint="eastAsia"/>
                <w:sz w:val="20"/>
                <w:szCs w:val="20"/>
              </w:rPr>
              <w:t>申请人姓名</w:t>
            </w:r>
          </w:p>
        </w:tc>
        <w:tc>
          <w:tcPr>
            <w:tcW w:w="7087" w:type="dxa"/>
          </w:tcPr>
          <w:p w14:paraId="7C4BBCFC" w14:textId="77777777" w:rsidR="00A052DC" w:rsidRDefault="00A052DC">
            <w:pPr>
              <w:rPr>
                <w:rFonts w:ascii="黑体" w:eastAsia="黑体" w:hAnsi="黑体"/>
                <w:sz w:val="20"/>
                <w:szCs w:val="20"/>
              </w:rPr>
            </w:pPr>
          </w:p>
        </w:tc>
      </w:tr>
      <w:tr w:rsidR="00A052DC" w14:paraId="139C1FE2" w14:textId="77777777">
        <w:trPr>
          <w:trHeight w:val="20"/>
        </w:trPr>
        <w:tc>
          <w:tcPr>
            <w:tcW w:w="1526" w:type="dxa"/>
          </w:tcPr>
          <w:p w14:paraId="4B282690" w14:textId="77777777" w:rsidR="00A052DC" w:rsidRDefault="009F0A60">
            <w:pPr>
              <w:rPr>
                <w:rFonts w:ascii="黑体" w:eastAsia="黑体" w:hAnsi="黑体"/>
                <w:sz w:val="20"/>
                <w:szCs w:val="20"/>
              </w:rPr>
            </w:pPr>
            <w:r>
              <w:rPr>
                <w:rFonts w:ascii="黑体" w:eastAsia="黑体" w:hAnsi="黑体" w:hint="eastAsia"/>
                <w:sz w:val="20"/>
                <w:szCs w:val="20"/>
              </w:rPr>
              <w:t>申请人电话</w:t>
            </w:r>
          </w:p>
        </w:tc>
        <w:tc>
          <w:tcPr>
            <w:tcW w:w="7087" w:type="dxa"/>
          </w:tcPr>
          <w:p w14:paraId="5E5C3CFA" w14:textId="77777777" w:rsidR="00A052DC" w:rsidRDefault="00A052DC">
            <w:pPr>
              <w:rPr>
                <w:rFonts w:ascii="黑体" w:eastAsia="黑体" w:hAnsi="黑体"/>
                <w:sz w:val="20"/>
                <w:szCs w:val="20"/>
              </w:rPr>
            </w:pPr>
          </w:p>
        </w:tc>
      </w:tr>
    </w:tbl>
    <w:p w14:paraId="677FEB81" w14:textId="77777777" w:rsidR="00A052DC" w:rsidRDefault="009F0A60">
      <w:pPr>
        <w:pStyle w:val="4"/>
        <w:numPr>
          <w:ilvl w:val="3"/>
          <w:numId w:val="1"/>
        </w:numPr>
        <w:jc w:val="left"/>
      </w:pPr>
      <w:bookmarkStart w:id="966" w:name="_Toc454386768"/>
      <w:r>
        <w:rPr>
          <w:rFonts w:hint="eastAsia"/>
        </w:rPr>
        <w:t>数据格式</w:t>
      </w:r>
      <w:bookmarkEnd w:id="966"/>
    </w:p>
    <w:p w14:paraId="317A9BDD" w14:textId="77777777" w:rsidR="00A052DC" w:rsidRDefault="009F0A60">
      <w:r>
        <w:t>&lt;REC&gt;</w:t>
      </w:r>
    </w:p>
    <w:p w14:paraId="47BA4B9F" w14:textId="77777777" w:rsidR="00A052DC" w:rsidRDefault="009F0A60">
      <w:r>
        <w:t>&lt;ACTIONTYPE&gt;</w:t>
      </w:r>
      <w:r>
        <w:rPr>
          <w:rFonts w:hint="eastAsia"/>
        </w:rPr>
        <w:t>操作类型</w:t>
      </w:r>
      <w:r>
        <w:t>&lt;/ACTIONTYPE&gt;</w:t>
      </w:r>
    </w:p>
    <w:p w14:paraId="50F3E089" w14:textId="77777777" w:rsidR="00A052DC" w:rsidRDefault="009F0A60">
      <w:r>
        <w:t>&lt;ACTIONDESC&gt;</w:t>
      </w:r>
      <w:r>
        <w:rPr>
          <w:rFonts w:hint="eastAsia"/>
        </w:rPr>
        <w:t>修改</w:t>
      </w:r>
      <w:r>
        <w:t>/</w:t>
      </w:r>
      <w:r>
        <w:rPr>
          <w:rFonts w:hint="eastAsia"/>
        </w:rPr>
        <w:t>删除原因</w:t>
      </w:r>
      <w:r>
        <w:t>&lt;/ACTIONDESC&gt;</w:t>
      </w:r>
    </w:p>
    <w:p w14:paraId="36F9D671" w14:textId="77777777" w:rsidR="00A052DC" w:rsidRDefault="009F0A60">
      <w:r>
        <w:t>&lt;RPTNO&gt;</w:t>
      </w:r>
      <w:r>
        <w:rPr>
          <w:rFonts w:hint="eastAsia"/>
        </w:rPr>
        <w:t>申报号码</w:t>
      </w:r>
      <w:r>
        <w:t>&lt;/RPTNO&gt;</w:t>
      </w:r>
    </w:p>
    <w:p w14:paraId="29A46B65" w14:textId="77777777" w:rsidR="00A052DC" w:rsidRDefault="009F0A60">
      <w:r>
        <w:t>&lt;COUNTRY&gt;</w:t>
      </w:r>
      <w:r>
        <w:rPr>
          <w:rFonts w:hint="eastAsia"/>
        </w:rPr>
        <w:t>收款人常驻国家</w:t>
      </w:r>
      <w:r>
        <w:t>/</w:t>
      </w:r>
      <w:r>
        <w:rPr>
          <w:rFonts w:hint="eastAsia"/>
        </w:rPr>
        <w:t>地区代码</w:t>
      </w:r>
      <w:r>
        <w:t>&lt;/COUNTRY&gt;</w:t>
      </w:r>
    </w:p>
    <w:p w14:paraId="23B8B9F7" w14:textId="77777777" w:rsidR="00A052DC" w:rsidRDefault="009F0A60">
      <w:r>
        <w:t>&lt;PAYTYPE&gt;</w:t>
      </w:r>
      <w:r>
        <w:rPr>
          <w:rFonts w:hint="eastAsia"/>
        </w:rPr>
        <w:t>付款类型</w:t>
      </w:r>
      <w:r>
        <w:t>&lt;/PAYTYPE&gt;</w:t>
      </w:r>
    </w:p>
    <w:p w14:paraId="00C2FC05" w14:textId="77777777" w:rsidR="00A052DC" w:rsidRDefault="009F0A60">
      <w:r>
        <w:t>&lt;TXCODE&gt;</w:t>
      </w:r>
      <w:r>
        <w:rPr>
          <w:rFonts w:hint="eastAsia"/>
        </w:rPr>
        <w:t>交易编码</w:t>
      </w:r>
      <w:r>
        <w:t>1&lt;/TXCODE&gt;</w:t>
      </w:r>
    </w:p>
    <w:p w14:paraId="534B03A3" w14:textId="77777777" w:rsidR="00A052DC" w:rsidRDefault="009F0A60">
      <w:r>
        <w:t>&lt;TC1AMT&gt;</w:t>
      </w:r>
      <w:r>
        <w:rPr>
          <w:rFonts w:hint="eastAsia"/>
        </w:rPr>
        <w:t>相应金额</w:t>
      </w:r>
      <w:r>
        <w:t>1&lt;/TC1AMT&gt;</w:t>
      </w:r>
    </w:p>
    <w:p w14:paraId="7FD76A6A" w14:textId="77777777" w:rsidR="00A052DC" w:rsidRDefault="009F0A60">
      <w:r>
        <w:t>&lt;TXREM&gt;</w:t>
      </w:r>
      <w:r>
        <w:rPr>
          <w:rFonts w:hint="eastAsia"/>
        </w:rPr>
        <w:t>交易附言</w:t>
      </w:r>
      <w:r>
        <w:t>1&lt;/TXREM&gt;</w:t>
      </w:r>
    </w:p>
    <w:p w14:paraId="061A66E3" w14:textId="77777777" w:rsidR="00A052DC" w:rsidRDefault="009F0A60">
      <w:r>
        <w:t>&lt;TXCODE2&gt;</w:t>
      </w:r>
      <w:r>
        <w:rPr>
          <w:rFonts w:hint="eastAsia"/>
        </w:rPr>
        <w:t>交易编码</w:t>
      </w:r>
      <w:r>
        <w:t>2&lt;/TXCODE2&gt;</w:t>
      </w:r>
    </w:p>
    <w:p w14:paraId="3DE9C80A" w14:textId="77777777" w:rsidR="00A052DC" w:rsidRDefault="009F0A60">
      <w:r>
        <w:t>&lt;TC2AMT&gt;</w:t>
      </w:r>
      <w:r>
        <w:rPr>
          <w:rFonts w:hint="eastAsia"/>
        </w:rPr>
        <w:t>相应金额</w:t>
      </w:r>
      <w:r>
        <w:t>2&lt;/TC2AMT&gt;</w:t>
      </w:r>
    </w:p>
    <w:p w14:paraId="4CABFC9A" w14:textId="77777777" w:rsidR="00A052DC" w:rsidRDefault="009F0A60">
      <w:r>
        <w:t>&lt;TX2REM&gt;</w:t>
      </w:r>
      <w:r>
        <w:rPr>
          <w:rFonts w:hint="eastAsia"/>
        </w:rPr>
        <w:t>交易附言</w:t>
      </w:r>
      <w:r>
        <w:t>2&lt;/TX2REM&gt;</w:t>
      </w:r>
    </w:p>
    <w:p w14:paraId="7D067908" w14:textId="77777777" w:rsidR="00A052DC" w:rsidRDefault="009F0A60">
      <w:r>
        <w:t>&lt;ISREF&gt;</w:t>
      </w:r>
      <w:r>
        <w:rPr>
          <w:rFonts w:hint="eastAsia"/>
        </w:rPr>
        <w:t>是否保税货物项下付款</w:t>
      </w:r>
      <w:r>
        <w:t>&lt;/ISREF&gt;</w:t>
      </w:r>
    </w:p>
    <w:p w14:paraId="7C5E26FB" w14:textId="77777777" w:rsidR="00A052DC" w:rsidRDefault="009F0A60">
      <w:r>
        <w:t>&lt;CRTUSER&gt;</w:t>
      </w:r>
      <w:r>
        <w:rPr>
          <w:rFonts w:hint="eastAsia"/>
        </w:rPr>
        <w:t>申请人</w:t>
      </w:r>
      <w:r>
        <w:t>&lt;/CRTUSER&gt;</w:t>
      </w:r>
    </w:p>
    <w:p w14:paraId="430A6DC9" w14:textId="77777777" w:rsidR="00A052DC" w:rsidRDefault="009F0A60">
      <w:r>
        <w:t>&lt;INPTELC&gt;</w:t>
      </w:r>
      <w:r>
        <w:rPr>
          <w:rFonts w:hint="eastAsia"/>
        </w:rPr>
        <w:t>申请人电话</w:t>
      </w:r>
      <w:r>
        <w:t>&lt;/INPTELC&gt;</w:t>
      </w:r>
    </w:p>
    <w:p w14:paraId="02228294" w14:textId="77777777" w:rsidR="00A052DC" w:rsidRDefault="009F0A60">
      <w:r>
        <w:t>&lt;RPTDATE&gt;</w:t>
      </w:r>
      <w:r>
        <w:rPr>
          <w:rFonts w:hint="eastAsia"/>
        </w:rPr>
        <w:t>申报日期</w:t>
      </w:r>
      <w:r>
        <w:t>&lt;/RPTDATE&gt;</w:t>
      </w:r>
    </w:p>
    <w:p w14:paraId="00F810FB" w14:textId="77777777" w:rsidR="00A052DC" w:rsidRDefault="009F0A60">
      <w:r>
        <w:t>&lt;REGNO&gt;</w:t>
      </w:r>
      <w:r>
        <w:rPr>
          <w:rFonts w:hint="eastAsia"/>
        </w:rPr>
        <w:t>外汇局批件号</w:t>
      </w:r>
      <w:r>
        <w:t>/</w:t>
      </w:r>
      <w:r>
        <w:rPr>
          <w:rFonts w:hint="eastAsia"/>
        </w:rPr>
        <w:t>备案表号</w:t>
      </w:r>
      <w:r>
        <w:t>/</w:t>
      </w:r>
      <w:r>
        <w:rPr>
          <w:rFonts w:hint="eastAsia"/>
        </w:rPr>
        <w:t>业务编号</w:t>
      </w:r>
      <w:r>
        <w:t>&lt;/REGNO&gt;</w:t>
      </w:r>
    </w:p>
    <w:p w14:paraId="47B01CEA" w14:textId="77777777" w:rsidR="00A052DC" w:rsidRDefault="009F0A60">
      <w:r>
        <w:t>&lt;/REC&gt;</w:t>
      </w:r>
    </w:p>
    <w:p w14:paraId="4A522288" w14:textId="77777777" w:rsidR="00A052DC" w:rsidRDefault="009F0A60" w:rsidP="0020251D">
      <w:pPr>
        <w:pStyle w:val="4"/>
        <w:numPr>
          <w:ilvl w:val="3"/>
          <w:numId w:val="1"/>
        </w:numPr>
        <w:jc w:val="left"/>
      </w:pPr>
      <w:bookmarkStart w:id="967" w:name="_Toc454386769"/>
      <w:r>
        <w:rPr>
          <w:rFonts w:hint="eastAsia"/>
        </w:rPr>
        <w:t>数据字典</w:t>
      </w:r>
      <w:bookmarkEnd w:id="967"/>
    </w:p>
    <w:tbl>
      <w:tblPr>
        <w:tblW w:w="86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843"/>
        <w:gridCol w:w="1559"/>
        <w:gridCol w:w="3827"/>
      </w:tblGrid>
      <w:tr w:rsidR="00A052DC" w14:paraId="570BF948" w14:textId="77777777">
        <w:trPr>
          <w:tblHeader/>
        </w:trPr>
        <w:tc>
          <w:tcPr>
            <w:tcW w:w="1418" w:type="dxa"/>
            <w:shd w:val="clear" w:color="auto" w:fill="C0C0C0"/>
          </w:tcPr>
          <w:p w14:paraId="4C0386DC" w14:textId="77777777" w:rsidR="00A052DC" w:rsidRDefault="009F0A60">
            <w:pPr>
              <w:jc w:val="center"/>
              <w:rPr>
                <w:rFonts w:ascii="黑体" w:eastAsia="黑体" w:hAnsi="黑体"/>
                <w:b/>
                <w:sz w:val="20"/>
                <w:szCs w:val="20"/>
              </w:rPr>
            </w:pPr>
            <w:r>
              <w:rPr>
                <w:rFonts w:ascii="黑体" w:eastAsia="黑体" w:hAnsi="黑体" w:hint="eastAsia"/>
                <w:b/>
                <w:sz w:val="20"/>
                <w:szCs w:val="20"/>
              </w:rPr>
              <w:t>字段</w:t>
            </w:r>
          </w:p>
        </w:tc>
        <w:tc>
          <w:tcPr>
            <w:tcW w:w="1843" w:type="dxa"/>
            <w:shd w:val="clear" w:color="auto" w:fill="C0C0C0"/>
          </w:tcPr>
          <w:p w14:paraId="3E597C64" w14:textId="77777777" w:rsidR="00A052DC" w:rsidRDefault="009F0A60">
            <w:pPr>
              <w:jc w:val="center"/>
              <w:rPr>
                <w:rFonts w:ascii="黑体" w:eastAsia="黑体" w:hAnsi="黑体"/>
                <w:b/>
                <w:sz w:val="20"/>
                <w:szCs w:val="20"/>
              </w:rPr>
            </w:pPr>
            <w:r>
              <w:rPr>
                <w:rFonts w:ascii="黑体" w:eastAsia="黑体" w:hAnsi="黑体" w:hint="eastAsia"/>
                <w:b/>
                <w:sz w:val="20"/>
                <w:szCs w:val="20"/>
              </w:rPr>
              <w:t>内容</w:t>
            </w:r>
          </w:p>
        </w:tc>
        <w:tc>
          <w:tcPr>
            <w:tcW w:w="1559" w:type="dxa"/>
            <w:shd w:val="clear" w:color="auto" w:fill="C0C0C0"/>
          </w:tcPr>
          <w:p w14:paraId="0A05D356" w14:textId="77777777" w:rsidR="00A052DC" w:rsidRDefault="009F0A60">
            <w:pPr>
              <w:jc w:val="center"/>
              <w:rPr>
                <w:rFonts w:ascii="黑体" w:eastAsia="黑体" w:hAnsi="黑体"/>
                <w:b/>
                <w:sz w:val="20"/>
                <w:szCs w:val="20"/>
              </w:rPr>
            </w:pPr>
            <w:r>
              <w:rPr>
                <w:rFonts w:ascii="黑体" w:eastAsia="黑体" w:hAnsi="黑体" w:hint="eastAsia"/>
                <w:b/>
                <w:sz w:val="20"/>
                <w:szCs w:val="20"/>
              </w:rPr>
              <w:t>类型（长度）</w:t>
            </w:r>
          </w:p>
        </w:tc>
        <w:tc>
          <w:tcPr>
            <w:tcW w:w="3827" w:type="dxa"/>
            <w:shd w:val="clear" w:color="auto" w:fill="C0C0C0"/>
          </w:tcPr>
          <w:p w14:paraId="1C8936E7" w14:textId="77777777" w:rsidR="00A052DC" w:rsidRDefault="009F0A60">
            <w:pPr>
              <w:jc w:val="center"/>
              <w:rPr>
                <w:rFonts w:ascii="黑体" w:eastAsia="黑体" w:hAnsi="黑体"/>
                <w:b/>
                <w:sz w:val="20"/>
                <w:szCs w:val="20"/>
              </w:rPr>
            </w:pPr>
            <w:r>
              <w:rPr>
                <w:rFonts w:ascii="黑体" w:eastAsia="黑体" w:hAnsi="黑体" w:hint="eastAsia"/>
                <w:b/>
                <w:sz w:val="20"/>
                <w:szCs w:val="20"/>
              </w:rPr>
              <w:t>校验</w:t>
            </w:r>
          </w:p>
        </w:tc>
      </w:tr>
      <w:tr w:rsidR="00A052DC" w14:paraId="3C48703B" w14:textId="77777777">
        <w:tc>
          <w:tcPr>
            <w:tcW w:w="1418" w:type="dxa"/>
            <w:tcBorders>
              <w:top w:val="single" w:sz="4" w:space="0" w:color="auto"/>
              <w:left w:val="single" w:sz="4" w:space="0" w:color="auto"/>
              <w:bottom w:val="single" w:sz="4" w:space="0" w:color="auto"/>
              <w:right w:val="single" w:sz="4" w:space="0" w:color="auto"/>
            </w:tcBorders>
          </w:tcPr>
          <w:p w14:paraId="0167364C" w14:textId="77777777" w:rsidR="00A052DC" w:rsidRDefault="009F0A60">
            <w:pPr>
              <w:rPr>
                <w:rFonts w:ascii="黑体" w:eastAsia="黑体" w:hAnsi="黑体"/>
                <w:sz w:val="20"/>
                <w:szCs w:val="20"/>
              </w:rPr>
            </w:pPr>
            <w:r>
              <w:rPr>
                <w:rFonts w:ascii="黑体" w:eastAsia="黑体" w:hAnsi="黑体"/>
                <w:sz w:val="20"/>
                <w:szCs w:val="20"/>
              </w:rPr>
              <w:t>ACTIONTYPE</w:t>
            </w:r>
          </w:p>
        </w:tc>
        <w:tc>
          <w:tcPr>
            <w:tcW w:w="1843" w:type="dxa"/>
            <w:tcBorders>
              <w:top w:val="single" w:sz="4" w:space="0" w:color="auto"/>
              <w:left w:val="single" w:sz="4" w:space="0" w:color="auto"/>
              <w:bottom w:val="single" w:sz="4" w:space="0" w:color="auto"/>
              <w:right w:val="single" w:sz="4" w:space="0" w:color="auto"/>
            </w:tcBorders>
          </w:tcPr>
          <w:p w14:paraId="6F9AADBD" w14:textId="77777777" w:rsidR="00A052DC" w:rsidRDefault="009F0A60">
            <w:pPr>
              <w:rPr>
                <w:rFonts w:ascii="黑体" w:eastAsia="黑体" w:hAnsi="黑体"/>
                <w:sz w:val="20"/>
                <w:szCs w:val="20"/>
              </w:rPr>
            </w:pPr>
            <w:r>
              <w:rPr>
                <w:rFonts w:ascii="黑体" w:eastAsia="黑体" w:hAnsi="黑体" w:hint="eastAsia"/>
                <w:sz w:val="20"/>
                <w:szCs w:val="20"/>
              </w:rPr>
              <w:t>操作类型</w:t>
            </w:r>
          </w:p>
        </w:tc>
        <w:tc>
          <w:tcPr>
            <w:tcW w:w="1559" w:type="dxa"/>
            <w:tcBorders>
              <w:top w:val="single" w:sz="4" w:space="0" w:color="auto"/>
              <w:left w:val="single" w:sz="4" w:space="0" w:color="auto"/>
              <w:bottom w:val="single" w:sz="4" w:space="0" w:color="auto"/>
              <w:right w:val="single" w:sz="4" w:space="0" w:color="auto"/>
            </w:tcBorders>
          </w:tcPr>
          <w:p w14:paraId="1C082B57" w14:textId="77777777" w:rsidR="00A052DC" w:rsidRDefault="009F0A60">
            <w:pPr>
              <w:rPr>
                <w:rFonts w:ascii="黑体" w:eastAsia="黑体" w:hAnsi="黑体"/>
                <w:sz w:val="20"/>
                <w:szCs w:val="20"/>
              </w:rPr>
            </w:pPr>
            <w:r>
              <w:rPr>
                <w:rFonts w:ascii="黑体" w:eastAsia="黑体" w:hAnsi="黑体" w:hint="eastAsia"/>
                <w:sz w:val="20"/>
                <w:szCs w:val="20"/>
              </w:rPr>
              <w:t>字符型，1</w:t>
            </w:r>
          </w:p>
        </w:tc>
        <w:tc>
          <w:tcPr>
            <w:tcW w:w="3827" w:type="dxa"/>
            <w:tcBorders>
              <w:top w:val="single" w:sz="4" w:space="0" w:color="auto"/>
              <w:left w:val="single" w:sz="4" w:space="0" w:color="auto"/>
              <w:bottom w:val="single" w:sz="4" w:space="0" w:color="auto"/>
              <w:right w:val="single" w:sz="4" w:space="0" w:color="auto"/>
            </w:tcBorders>
          </w:tcPr>
          <w:p w14:paraId="00737B68" w14:textId="77777777" w:rsidR="00A052DC" w:rsidRDefault="009F0A60">
            <w:pPr>
              <w:rPr>
                <w:rFonts w:ascii="黑体" w:eastAsia="黑体" w:hAnsi="黑体"/>
                <w:sz w:val="20"/>
                <w:szCs w:val="20"/>
              </w:rPr>
            </w:pPr>
            <w:r>
              <w:rPr>
                <w:rFonts w:ascii="黑体" w:eastAsia="黑体" w:hAnsi="黑体" w:hint="eastAsia"/>
                <w:sz w:val="20"/>
                <w:szCs w:val="20"/>
              </w:rPr>
              <w:t>A</w:t>
            </w:r>
            <w:r w:rsidR="00AE4602">
              <w:rPr>
                <w:rFonts w:ascii="黑体" w:eastAsia="黑体" w:hAnsi="黑体" w:hint="eastAsia"/>
                <w:sz w:val="20"/>
                <w:szCs w:val="20"/>
              </w:rPr>
              <w:t>-</w:t>
            </w:r>
            <w:r>
              <w:rPr>
                <w:rFonts w:ascii="黑体" w:eastAsia="黑体" w:hAnsi="黑体" w:hint="eastAsia"/>
                <w:sz w:val="20"/>
                <w:szCs w:val="20"/>
              </w:rPr>
              <w:t>新建</w:t>
            </w:r>
          </w:p>
          <w:p w14:paraId="6951ED3E" w14:textId="77777777" w:rsidR="00A052DC" w:rsidRDefault="009F0A60">
            <w:pPr>
              <w:rPr>
                <w:rFonts w:ascii="黑体" w:eastAsia="黑体" w:hAnsi="黑体"/>
                <w:sz w:val="20"/>
                <w:szCs w:val="20"/>
              </w:rPr>
            </w:pPr>
            <w:r>
              <w:rPr>
                <w:rFonts w:ascii="黑体" w:eastAsia="黑体" w:hAnsi="黑体" w:hint="eastAsia"/>
                <w:sz w:val="20"/>
                <w:szCs w:val="20"/>
              </w:rPr>
              <w:t>C</w:t>
            </w:r>
            <w:r w:rsidR="00AE4602">
              <w:rPr>
                <w:rFonts w:ascii="黑体" w:eastAsia="黑体" w:hAnsi="黑体" w:hint="eastAsia"/>
                <w:sz w:val="20"/>
                <w:szCs w:val="20"/>
              </w:rPr>
              <w:t>-</w:t>
            </w:r>
            <w:r>
              <w:rPr>
                <w:rFonts w:ascii="黑体" w:eastAsia="黑体" w:hAnsi="黑体" w:hint="eastAsia"/>
                <w:sz w:val="20"/>
                <w:szCs w:val="20"/>
              </w:rPr>
              <w:t>修改</w:t>
            </w:r>
          </w:p>
          <w:p w14:paraId="070740AA" w14:textId="77777777" w:rsidR="00A052DC" w:rsidRDefault="009F0A60">
            <w:pPr>
              <w:rPr>
                <w:rFonts w:ascii="黑体" w:eastAsia="黑体" w:hAnsi="黑体"/>
                <w:sz w:val="20"/>
                <w:szCs w:val="20"/>
              </w:rPr>
            </w:pPr>
            <w:r>
              <w:rPr>
                <w:rFonts w:ascii="黑体" w:eastAsia="黑体" w:hAnsi="黑体" w:hint="eastAsia"/>
                <w:sz w:val="20"/>
                <w:szCs w:val="20"/>
              </w:rPr>
              <w:t>D</w:t>
            </w:r>
            <w:r w:rsidR="00AE4602">
              <w:rPr>
                <w:rFonts w:ascii="黑体" w:eastAsia="黑体" w:hAnsi="黑体" w:hint="eastAsia"/>
                <w:sz w:val="20"/>
                <w:szCs w:val="20"/>
              </w:rPr>
              <w:t>-</w:t>
            </w:r>
            <w:r>
              <w:rPr>
                <w:rFonts w:ascii="黑体" w:eastAsia="黑体" w:hAnsi="黑体" w:hint="eastAsia"/>
                <w:sz w:val="20"/>
                <w:szCs w:val="20"/>
              </w:rPr>
              <w:t>删除，预留，暂不用</w:t>
            </w:r>
          </w:p>
        </w:tc>
      </w:tr>
      <w:tr w:rsidR="00A052DC" w14:paraId="276399E3" w14:textId="77777777">
        <w:tc>
          <w:tcPr>
            <w:tcW w:w="1418" w:type="dxa"/>
            <w:tcBorders>
              <w:top w:val="single" w:sz="4" w:space="0" w:color="auto"/>
              <w:left w:val="single" w:sz="4" w:space="0" w:color="auto"/>
              <w:bottom w:val="single" w:sz="4" w:space="0" w:color="auto"/>
              <w:right w:val="single" w:sz="4" w:space="0" w:color="auto"/>
            </w:tcBorders>
          </w:tcPr>
          <w:p w14:paraId="4206634C" w14:textId="77777777" w:rsidR="00A052DC" w:rsidRDefault="009F0A60">
            <w:pPr>
              <w:rPr>
                <w:rFonts w:ascii="黑体" w:eastAsia="黑体" w:hAnsi="黑体"/>
                <w:sz w:val="20"/>
                <w:szCs w:val="20"/>
              </w:rPr>
            </w:pPr>
            <w:r>
              <w:rPr>
                <w:rFonts w:ascii="黑体" w:eastAsia="黑体" w:hAnsi="黑体"/>
                <w:sz w:val="20"/>
                <w:szCs w:val="20"/>
              </w:rPr>
              <w:t>ACTIONDESC</w:t>
            </w:r>
          </w:p>
        </w:tc>
        <w:tc>
          <w:tcPr>
            <w:tcW w:w="1843" w:type="dxa"/>
            <w:tcBorders>
              <w:top w:val="single" w:sz="4" w:space="0" w:color="auto"/>
              <w:left w:val="single" w:sz="4" w:space="0" w:color="auto"/>
              <w:bottom w:val="single" w:sz="4" w:space="0" w:color="auto"/>
              <w:right w:val="single" w:sz="4" w:space="0" w:color="auto"/>
            </w:tcBorders>
          </w:tcPr>
          <w:p w14:paraId="0A1C289D" w14:textId="77777777" w:rsidR="00A052DC" w:rsidRDefault="009F0A60">
            <w:pPr>
              <w:rPr>
                <w:rFonts w:ascii="黑体" w:eastAsia="黑体" w:hAnsi="黑体"/>
                <w:sz w:val="20"/>
                <w:szCs w:val="20"/>
              </w:rPr>
            </w:pPr>
            <w:r>
              <w:rPr>
                <w:rFonts w:ascii="黑体" w:eastAsia="黑体" w:hAnsi="黑体" w:hint="eastAsia"/>
                <w:sz w:val="20"/>
                <w:szCs w:val="20"/>
              </w:rPr>
              <w:t>修改/删除原因</w:t>
            </w:r>
          </w:p>
        </w:tc>
        <w:tc>
          <w:tcPr>
            <w:tcW w:w="1559" w:type="dxa"/>
            <w:tcBorders>
              <w:top w:val="single" w:sz="4" w:space="0" w:color="auto"/>
              <w:left w:val="single" w:sz="4" w:space="0" w:color="auto"/>
              <w:bottom w:val="single" w:sz="4" w:space="0" w:color="auto"/>
              <w:right w:val="single" w:sz="4" w:space="0" w:color="auto"/>
            </w:tcBorders>
          </w:tcPr>
          <w:p w14:paraId="754EC5E1"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3827" w:type="dxa"/>
            <w:tcBorders>
              <w:top w:val="single" w:sz="4" w:space="0" w:color="auto"/>
              <w:left w:val="single" w:sz="4" w:space="0" w:color="auto"/>
              <w:bottom w:val="single" w:sz="4" w:space="0" w:color="auto"/>
              <w:right w:val="single" w:sz="4" w:space="0" w:color="auto"/>
            </w:tcBorders>
          </w:tcPr>
          <w:p w14:paraId="6A0A4771" w14:textId="77777777" w:rsidR="00A052DC" w:rsidRDefault="00A052DC">
            <w:pPr>
              <w:keepNext/>
              <w:keepLines/>
              <w:spacing w:before="120" w:after="120" w:line="360" w:lineRule="auto"/>
              <w:outlineLvl w:val="2"/>
              <w:rPr>
                <w:rFonts w:ascii="黑体" w:eastAsia="黑体" w:hAnsi="黑体"/>
                <w:sz w:val="20"/>
                <w:szCs w:val="20"/>
              </w:rPr>
            </w:pPr>
          </w:p>
        </w:tc>
      </w:tr>
      <w:tr w:rsidR="00A052DC" w14:paraId="7E143798" w14:textId="77777777">
        <w:tc>
          <w:tcPr>
            <w:tcW w:w="1418" w:type="dxa"/>
          </w:tcPr>
          <w:p w14:paraId="33135928" w14:textId="77777777" w:rsidR="00A052DC" w:rsidRDefault="009F0A60">
            <w:pPr>
              <w:rPr>
                <w:rFonts w:ascii="黑体" w:eastAsia="黑体" w:hAnsi="黑体"/>
                <w:sz w:val="20"/>
                <w:szCs w:val="20"/>
              </w:rPr>
            </w:pPr>
            <w:r>
              <w:rPr>
                <w:rFonts w:ascii="黑体" w:eastAsia="黑体" w:hAnsi="黑体"/>
                <w:sz w:val="20"/>
                <w:szCs w:val="20"/>
              </w:rPr>
              <w:t>RPTNO</w:t>
            </w:r>
          </w:p>
        </w:tc>
        <w:tc>
          <w:tcPr>
            <w:tcW w:w="1843" w:type="dxa"/>
          </w:tcPr>
          <w:p w14:paraId="08501625" w14:textId="77777777" w:rsidR="00A052DC" w:rsidRDefault="009F0A60">
            <w:pPr>
              <w:rPr>
                <w:rFonts w:ascii="黑体" w:eastAsia="黑体" w:hAnsi="黑体"/>
                <w:sz w:val="20"/>
                <w:szCs w:val="20"/>
              </w:rPr>
            </w:pPr>
            <w:r>
              <w:rPr>
                <w:rFonts w:ascii="黑体" w:eastAsia="黑体" w:hAnsi="黑体" w:hint="eastAsia"/>
                <w:sz w:val="20"/>
                <w:szCs w:val="20"/>
              </w:rPr>
              <w:t>申报号码</w:t>
            </w:r>
          </w:p>
        </w:tc>
        <w:tc>
          <w:tcPr>
            <w:tcW w:w="1559" w:type="dxa"/>
          </w:tcPr>
          <w:p w14:paraId="036E4F47" w14:textId="77777777" w:rsidR="00A052DC" w:rsidRDefault="009F0A60">
            <w:pPr>
              <w:rPr>
                <w:rFonts w:ascii="黑体" w:eastAsia="黑体" w:hAnsi="黑体"/>
                <w:sz w:val="20"/>
                <w:szCs w:val="20"/>
              </w:rPr>
            </w:pPr>
            <w:r>
              <w:rPr>
                <w:rFonts w:ascii="黑体" w:eastAsia="黑体" w:hAnsi="黑体" w:hint="eastAsia"/>
                <w:sz w:val="20"/>
                <w:szCs w:val="20"/>
              </w:rPr>
              <w:t>字符型，22</w:t>
            </w:r>
          </w:p>
        </w:tc>
        <w:tc>
          <w:tcPr>
            <w:tcW w:w="3827" w:type="dxa"/>
          </w:tcPr>
          <w:p w14:paraId="39E4155C" w14:textId="77777777" w:rsidR="00A052DC" w:rsidRDefault="009F0A60">
            <w:pPr>
              <w:rPr>
                <w:rFonts w:ascii="黑体" w:eastAsia="黑体" w:hAnsi="黑体"/>
                <w:sz w:val="20"/>
                <w:szCs w:val="20"/>
              </w:rPr>
            </w:pPr>
            <w:r>
              <w:rPr>
                <w:rFonts w:ascii="黑体" w:eastAsia="黑体" w:hAnsi="黑体" w:hint="eastAsia"/>
                <w:sz w:val="20"/>
                <w:szCs w:val="20"/>
              </w:rPr>
              <w:t>应与基础数据一致。</w:t>
            </w:r>
          </w:p>
        </w:tc>
      </w:tr>
      <w:tr w:rsidR="00A052DC" w14:paraId="1401200F" w14:textId="77777777">
        <w:tc>
          <w:tcPr>
            <w:tcW w:w="1418" w:type="dxa"/>
          </w:tcPr>
          <w:p w14:paraId="68A5C5DE" w14:textId="77777777" w:rsidR="00A052DC" w:rsidRDefault="009F0A60">
            <w:pPr>
              <w:rPr>
                <w:rFonts w:ascii="黑体" w:eastAsia="黑体" w:hAnsi="黑体"/>
                <w:sz w:val="20"/>
                <w:szCs w:val="20"/>
              </w:rPr>
            </w:pPr>
            <w:r>
              <w:rPr>
                <w:rFonts w:ascii="黑体" w:eastAsia="黑体" w:hAnsi="黑体"/>
                <w:sz w:val="20"/>
                <w:szCs w:val="20"/>
              </w:rPr>
              <w:t>COUNTRY</w:t>
            </w:r>
          </w:p>
        </w:tc>
        <w:tc>
          <w:tcPr>
            <w:tcW w:w="1843" w:type="dxa"/>
          </w:tcPr>
          <w:p w14:paraId="3AA4B508" w14:textId="77777777" w:rsidR="00A052DC" w:rsidRDefault="009F0A60">
            <w:pPr>
              <w:rPr>
                <w:rFonts w:ascii="黑体" w:eastAsia="黑体" w:hAnsi="黑体"/>
                <w:sz w:val="20"/>
                <w:szCs w:val="20"/>
              </w:rPr>
            </w:pPr>
            <w:r>
              <w:rPr>
                <w:rFonts w:ascii="黑体" w:eastAsia="黑体" w:hAnsi="黑体" w:hint="eastAsia"/>
                <w:sz w:val="20"/>
                <w:szCs w:val="20"/>
              </w:rPr>
              <w:t>收款人常驻国家/地区代码</w:t>
            </w:r>
          </w:p>
        </w:tc>
        <w:tc>
          <w:tcPr>
            <w:tcW w:w="1559" w:type="dxa"/>
          </w:tcPr>
          <w:p w14:paraId="5BC1D683" w14:textId="77777777" w:rsidR="00A052DC" w:rsidRDefault="009F0A60">
            <w:pPr>
              <w:rPr>
                <w:rFonts w:ascii="黑体" w:eastAsia="黑体" w:hAnsi="黑体"/>
                <w:sz w:val="20"/>
                <w:szCs w:val="20"/>
              </w:rPr>
            </w:pPr>
            <w:r>
              <w:rPr>
                <w:rFonts w:ascii="黑体" w:eastAsia="黑体" w:hAnsi="黑体" w:hint="eastAsia"/>
                <w:sz w:val="20"/>
                <w:szCs w:val="20"/>
              </w:rPr>
              <w:t>字符型，3</w:t>
            </w:r>
          </w:p>
        </w:tc>
        <w:tc>
          <w:tcPr>
            <w:tcW w:w="3827" w:type="dxa"/>
          </w:tcPr>
          <w:p w14:paraId="364F3AEE" w14:textId="77777777" w:rsidR="00A052DC" w:rsidRDefault="009F0A60">
            <w:pPr>
              <w:rPr>
                <w:rFonts w:ascii="黑体" w:eastAsia="黑体" w:hAnsi="黑体"/>
                <w:sz w:val="20"/>
                <w:szCs w:val="20"/>
              </w:rPr>
            </w:pPr>
            <w:r>
              <w:rPr>
                <w:rFonts w:ascii="黑体" w:eastAsia="黑体" w:hAnsi="黑体" w:hint="eastAsia"/>
                <w:sz w:val="20"/>
                <w:szCs w:val="20"/>
              </w:rPr>
              <w:t>必填项</w:t>
            </w:r>
            <w:r w:rsidR="00477FB9">
              <w:rPr>
                <w:rFonts w:ascii="黑体" w:eastAsia="黑体" w:hAnsi="黑体" w:hint="eastAsia"/>
                <w:sz w:val="20"/>
                <w:szCs w:val="20"/>
              </w:rPr>
              <w:t>，</w:t>
            </w:r>
          </w:p>
          <w:p w14:paraId="1894800D" w14:textId="77777777" w:rsidR="00A052DC" w:rsidRDefault="009F0A60">
            <w:pPr>
              <w:rPr>
                <w:rFonts w:ascii="黑体" w:eastAsia="黑体" w:hAnsi="黑体"/>
                <w:sz w:val="20"/>
                <w:szCs w:val="20"/>
              </w:rPr>
            </w:pPr>
            <w:r>
              <w:rPr>
                <w:rFonts w:ascii="黑体" w:eastAsia="黑体" w:hAnsi="黑体" w:hint="eastAsia"/>
                <w:sz w:val="20"/>
                <w:szCs w:val="20"/>
              </w:rPr>
              <w:t>使用国家和地区代码表中的3位字母代码。半角英文</w:t>
            </w:r>
            <w:r>
              <w:rPr>
                <w:rFonts w:ascii="黑体" w:eastAsia="黑体" w:hAnsi="黑体"/>
                <w:sz w:val="20"/>
                <w:szCs w:val="20"/>
              </w:rPr>
              <w:t>大写字母。</w:t>
            </w:r>
          </w:p>
        </w:tc>
      </w:tr>
      <w:tr w:rsidR="00A052DC" w14:paraId="138DD10B" w14:textId="77777777">
        <w:tc>
          <w:tcPr>
            <w:tcW w:w="1418" w:type="dxa"/>
          </w:tcPr>
          <w:p w14:paraId="0A378ECF" w14:textId="77777777" w:rsidR="00A052DC" w:rsidRDefault="009F0A60">
            <w:pPr>
              <w:rPr>
                <w:rFonts w:ascii="黑体" w:eastAsia="黑体" w:hAnsi="黑体"/>
                <w:sz w:val="20"/>
                <w:szCs w:val="20"/>
              </w:rPr>
            </w:pPr>
            <w:r>
              <w:rPr>
                <w:rFonts w:ascii="黑体" w:eastAsia="黑体" w:hAnsi="黑体"/>
                <w:sz w:val="20"/>
                <w:szCs w:val="20"/>
              </w:rPr>
              <w:t>PAYTYPE</w:t>
            </w:r>
          </w:p>
        </w:tc>
        <w:tc>
          <w:tcPr>
            <w:tcW w:w="1843" w:type="dxa"/>
          </w:tcPr>
          <w:p w14:paraId="106E46E3" w14:textId="77777777" w:rsidR="00A052DC" w:rsidRDefault="009F0A60">
            <w:pPr>
              <w:rPr>
                <w:rFonts w:ascii="黑体" w:eastAsia="黑体" w:hAnsi="黑体"/>
                <w:sz w:val="20"/>
                <w:szCs w:val="20"/>
              </w:rPr>
            </w:pPr>
            <w:r>
              <w:rPr>
                <w:rFonts w:ascii="黑体" w:eastAsia="黑体" w:hAnsi="黑体" w:hint="eastAsia"/>
                <w:sz w:val="20"/>
                <w:szCs w:val="20"/>
              </w:rPr>
              <w:t>付款类型</w:t>
            </w:r>
          </w:p>
        </w:tc>
        <w:tc>
          <w:tcPr>
            <w:tcW w:w="1559" w:type="dxa"/>
          </w:tcPr>
          <w:p w14:paraId="71A221F7" w14:textId="77777777" w:rsidR="00A052DC" w:rsidRDefault="009F0A60">
            <w:pPr>
              <w:rPr>
                <w:rFonts w:ascii="黑体" w:eastAsia="黑体" w:hAnsi="黑体"/>
                <w:sz w:val="20"/>
                <w:szCs w:val="20"/>
              </w:rPr>
            </w:pPr>
            <w:r>
              <w:rPr>
                <w:rFonts w:ascii="黑体" w:eastAsia="黑体" w:hAnsi="黑体" w:hint="eastAsia"/>
                <w:sz w:val="20"/>
                <w:szCs w:val="20"/>
              </w:rPr>
              <w:t>字符型，1</w:t>
            </w:r>
          </w:p>
        </w:tc>
        <w:tc>
          <w:tcPr>
            <w:tcW w:w="3827" w:type="dxa"/>
          </w:tcPr>
          <w:p w14:paraId="73FE0713" w14:textId="77777777" w:rsidR="00A052DC" w:rsidRDefault="009F0A60">
            <w:pPr>
              <w:rPr>
                <w:rFonts w:ascii="黑体" w:eastAsia="黑体" w:hAnsi="黑体"/>
                <w:sz w:val="20"/>
                <w:szCs w:val="20"/>
              </w:rPr>
            </w:pPr>
            <w:r>
              <w:rPr>
                <w:rFonts w:ascii="黑体" w:eastAsia="黑体" w:hAnsi="黑体" w:hint="eastAsia"/>
                <w:sz w:val="20"/>
                <w:szCs w:val="20"/>
              </w:rPr>
              <w:t>A</w:t>
            </w:r>
            <w:r w:rsidR="00AE4602">
              <w:rPr>
                <w:rFonts w:ascii="黑体" w:eastAsia="黑体" w:hAnsi="黑体" w:hint="eastAsia"/>
                <w:sz w:val="20"/>
                <w:szCs w:val="20"/>
              </w:rPr>
              <w:t>-</w:t>
            </w:r>
            <w:r>
              <w:rPr>
                <w:rFonts w:ascii="黑体" w:eastAsia="黑体" w:hAnsi="黑体" w:hint="eastAsia"/>
                <w:sz w:val="20"/>
                <w:szCs w:val="20"/>
              </w:rPr>
              <w:t>预付款</w:t>
            </w:r>
          </w:p>
          <w:p w14:paraId="736257F7" w14:textId="77777777" w:rsidR="00A052DC" w:rsidRDefault="009F0A60">
            <w:pPr>
              <w:rPr>
                <w:rFonts w:ascii="黑体" w:eastAsia="黑体" w:hAnsi="黑体"/>
                <w:sz w:val="20"/>
                <w:szCs w:val="20"/>
              </w:rPr>
            </w:pPr>
            <w:r>
              <w:rPr>
                <w:rFonts w:ascii="黑体" w:eastAsia="黑体" w:hAnsi="黑体" w:hint="eastAsia"/>
                <w:sz w:val="20"/>
                <w:szCs w:val="20"/>
              </w:rPr>
              <w:t>P</w:t>
            </w:r>
            <w:r w:rsidR="00AE4602">
              <w:rPr>
                <w:rFonts w:ascii="黑体" w:eastAsia="黑体" w:hAnsi="黑体" w:hint="eastAsia"/>
                <w:sz w:val="20"/>
                <w:szCs w:val="20"/>
              </w:rPr>
              <w:t>-</w:t>
            </w:r>
            <w:r>
              <w:rPr>
                <w:rFonts w:ascii="黑体" w:eastAsia="黑体" w:hAnsi="黑体" w:hint="eastAsia"/>
                <w:sz w:val="20"/>
                <w:szCs w:val="20"/>
              </w:rPr>
              <w:t>货到付款</w:t>
            </w:r>
          </w:p>
          <w:p w14:paraId="1ED58682" w14:textId="77777777" w:rsidR="00A052DC" w:rsidRDefault="009F0A60">
            <w:pPr>
              <w:rPr>
                <w:rFonts w:ascii="黑体" w:eastAsia="黑体" w:hAnsi="黑体"/>
                <w:sz w:val="20"/>
                <w:szCs w:val="20"/>
              </w:rPr>
            </w:pPr>
            <w:r>
              <w:rPr>
                <w:rFonts w:ascii="黑体" w:eastAsia="黑体" w:hAnsi="黑体" w:hint="eastAsia"/>
                <w:sz w:val="20"/>
                <w:szCs w:val="20"/>
              </w:rPr>
              <w:t>R</w:t>
            </w:r>
            <w:r w:rsidR="00AE4602">
              <w:rPr>
                <w:rFonts w:ascii="黑体" w:eastAsia="黑体" w:hAnsi="黑体" w:hint="eastAsia"/>
                <w:sz w:val="20"/>
                <w:szCs w:val="20"/>
              </w:rPr>
              <w:t>-</w:t>
            </w:r>
            <w:r>
              <w:rPr>
                <w:rFonts w:ascii="黑体" w:eastAsia="黑体" w:hAnsi="黑体" w:hint="eastAsia"/>
                <w:sz w:val="20"/>
                <w:szCs w:val="20"/>
              </w:rPr>
              <w:t>退款</w:t>
            </w:r>
          </w:p>
          <w:p w14:paraId="0095F2BC" w14:textId="77777777" w:rsidR="00A052DC" w:rsidRDefault="009F0A60" w:rsidP="006237F5">
            <w:pPr>
              <w:rPr>
                <w:rFonts w:ascii="黑体" w:eastAsia="黑体" w:hAnsi="黑体"/>
                <w:sz w:val="20"/>
                <w:szCs w:val="20"/>
              </w:rPr>
            </w:pPr>
            <w:r>
              <w:rPr>
                <w:rFonts w:ascii="黑体" w:eastAsia="黑体" w:hAnsi="黑体" w:hint="eastAsia"/>
                <w:sz w:val="20"/>
                <w:szCs w:val="20"/>
              </w:rPr>
              <w:t>O-</w:t>
            </w:r>
            <w:r w:rsidR="006237F5">
              <w:rPr>
                <w:rFonts w:ascii="黑体" w:eastAsia="黑体" w:hAnsi="黑体" w:hint="eastAsia"/>
                <w:sz w:val="20"/>
                <w:szCs w:val="20"/>
              </w:rPr>
              <w:t>其他</w:t>
            </w:r>
          </w:p>
        </w:tc>
      </w:tr>
      <w:tr w:rsidR="00A052DC" w14:paraId="3F2266C1" w14:textId="77777777">
        <w:tc>
          <w:tcPr>
            <w:tcW w:w="1418" w:type="dxa"/>
          </w:tcPr>
          <w:p w14:paraId="4299560F" w14:textId="77777777" w:rsidR="00A052DC" w:rsidRDefault="009F0A60">
            <w:pPr>
              <w:rPr>
                <w:rFonts w:ascii="黑体" w:eastAsia="黑体" w:hAnsi="黑体"/>
                <w:sz w:val="20"/>
                <w:szCs w:val="20"/>
              </w:rPr>
            </w:pPr>
            <w:r>
              <w:rPr>
                <w:rFonts w:ascii="黑体" w:eastAsia="黑体" w:hAnsi="黑体"/>
                <w:sz w:val="20"/>
                <w:szCs w:val="20"/>
              </w:rPr>
              <w:t>TXCODE</w:t>
            </w:r>
          </w:p>
        </w:tc>
        <w:tc>
          <w:tcPr>
            <w:tcW w:w="1843" w:type="dxa"/>
          </w:tcPr>
          <w:p w14:paraId="0F87523C" w14:textId="77777777" w:rsidR="00A052DC" w:rsidRDefault="009F0A60">
            <w:pPr>
              <w:rPr>
                <w:rFonts w:ascii="黑体" w:eastAsia="黑体" w:hAnsi="黑体"/>
                <w:sz w:val="20"/>
                <w:szCs w:val="20"/>
              </w:rPr>
            </w:pPr>
            <w:r>
              <w:rPr>
                <w:rFonts w:ascii="黑体" w:eastAsia="黑体" w:hAnsi="黑体" w:hint="eastAsia"/>
                <w:sz w:val="20"/>
                <w:szCs w:val="20"/>
              </w:rPr>
              <w:t>交易编码1</w:t>
            </w:r>
          </w:p>
        </w:tc>
        <w:tc>
          <w:tcPr>
            <w:tcW w:w="1559" w:type="dxa"/>
          </w:tcPr>
          <w:p w14:paraId="556A7C3F" w14:textId="77777777" w:rsidR="00A052DC" w:rsidRDefault="009F0A60">
            <w:pPr>
              <w:rPr>
                <w:rFonts w:ascii="黑体" w:eastAsia="黑体" w:hAnsi="黑体"/>
                <w:sz w:val="20"/>
                <w:szCs w:val="20"/>
              </w:rPr>
            </w:pPr>
            <w:r>
              <w:rPr>
                <w:rFonts w:ascii="黑体" w:eastAsia="黑体" w:hAnsi="黑体" w:hint="eastAsia"/>
                <w:sz w:val="20"/>
                <w:szCs w:val="20"/>
              </w:rPr>
              <w:t>字符型，6</w:t>
            </w:r>
          </w:p>
        </w:tc>
        <w:tc>
          <w:tcPr>
            <w:tcW w:w="3827" w:type="dxa"/>
          </w:tcPr>
          <w:p w14:paraId="712D5C6B" w14:textId="77777777" w:rsidR="00A052DC" w:rsidRDefault="009F0A60">
            <w:pPr>
              <w:rPr>
                <w:rFonts w:ascii="黑体" w:eastAsia="黑体" w:hAnsi="黑体"/>
                <w:sz w:val="20"/>
                <w:szCs w:val="20"/>
              </w:rPr>
            </w:pPr>
            <w:r>
              <w:rPr>
                <w:rFonts w:ascii="黑体" w:eastAsia="黑体" w:hAnsi="黑体" w:hint="eastAsia"/>
                <w:sz w:val="20"/>
                <w:szCs w:val="20"/>
              </w:rPr>
              <w:t>必填</w:t>
            </w:r>
            <w:r w:rsidR="009C6148">
              <w:rPr>
                <w:rFonts w:ascii="黑体" w:eastAsia="黑体" w:hAnsi="黑体" w:hint="eastAsia"/>
                <w:sz w:val="20"/>
                <w:szCs w:val="20"/>
              </w:rPr>
              <w:t>项</w:t>
            </w:r>
            <w:r>
              <w:rPr>
                <w:rFonts w:ascii="黑体" w:eastAsia="黑体" w:hAnsi="黑体" w:hint="eastAsia"/>
                <w:sz w:val="20"/>
                <w:szCs w:val="20"/>
              </w:rPr>
              <w:t>，</w:t>
            </w:r>
          </w:p>
          <w:p w14:paraId="743F6569" w14:textId="77777777" w:rsidR="00A052DC" w:rsidRDefault="009F0A60">
            <w:pPr>
              <w:rPr>
                <w:rFonts w:ascii="黑体" w:eastAsia="黑体" w:hAnsi="黑体"/>
                <w:sz w:val="20"/>
                <w:szCs w:val="20"/>
              </w:rPr>
            </w:pPr>
            <w:r>
              <w:rPr>
                <w:rFonts w:ascii="黑体" w:eastAsia="黑体" w:hAnsi="黑体" w:hint="eastAsia"/>
                <w:sz w:val="20"/>
                <w:szCs w:val="20"/>
              </w:rPr>
              <w:t>必须在国际收支交易编码表中存在。</w:t>
            </w:r>
          </w:p>
        </w:tc>
      </w:tr>
      <w:tr w:rsidR="00A052DC" w14:paraId="27806401" w14:textId="77777777">
        <w:tc>
          <w:tcPr>
            <w:tcW w:w="1418" w:type="dxa"/>
          </w:tcPr>
          <w:p w14:paraId="25CCCC76" w14:textId="77777777" w:rsidR="00A052DC" w:rsidRDefault="009F0A60">
            <w:pPr>
              <w:rPr>
                <w:rFonts w:ascii="黑体" w:eastAsia="黑体" w:hAnsi="黑体"/>
                <w:sz w:val="20"/>
                <w:szCs w:val="20"/>
              </w:rPr>
            </w:pPr>
            <w:r>
              <w:rPr>
                <w:rFonts w:ascii="黑体" w:eastAsia="黑体" w:hAnsi="黑体"/>
                <w:sz w:val="20"/>
                <w:szCs w:val="20"/>
              </w:rPr>
              <w:t>TC1AMT</w:t>
            </w:r>
          </w:p>
        </w:tc>
        <w:tc>
          <w:tcPr>
            <w:tcW w:w="1843" w:type="dxa"/>
          </w:tcPr>
          <w:p w14:paraId="3CCC963F" w14:textId="77777777" w:rsidR="00A052DC" w:rsidRDefault="009F0A60">
            <w:pPr>
              <w:rPr>
                <w:rFonts w:ascii="黑体" w:eastAsia="黑体" w:hAnsi="黑体"/>
                <w:sz w:val="20"/>
                <w:szCs w:val="20"/>
              </w:rPr>
            </w:pPr>
            <w:r>
              <w:rPr>
                <w:rFonts w:ascii="黑体" w:eastAsia="黑体" w:hAnsi="黑体" w:hint="eastAsia"/>
                <w:sz w:val="20"/>
                <w:szCs w:val="20"/>
              </w:rPr>
              <w:t>相应金额1</w:t>
            </w:r>
          </w:p>
        </w:tc>
        <w:tc>
          <w:tcPr>
            <w:tcW w:w="1559" w:type="dxa"/>
          </w:tcPr>
          <w:p w14:paraId="0FACBE64" w14:textId="77777777" w:rsidR="00A052DC" w:rsidRDefault="009F0A60">
            <w:pPr>
              <w:rPr>
                <w:rFonts w:ascii="黑体" w:eastAsia="黑体" w:hAnsi="黑体"/>
                <w:sz w:val="20"/>
                <w:szCs w:val="20"/>
              </w:rPr>
            </w:pPr>
            <w:r>
              <w:rPr>
                <w:rFonts w:ascii="黑体" w:eastAsia="黑体" w:hAnsi="黑体" w:hint="eastAsia"/>
                <w:sz w:val="20"/>
                <w:szCs w:val="20"/>
              </w:rPr>
              <w:t>数值型，22.0</w:t>
            </w:r>
          </w:p>
        </w:tc>
        <w:tc>
          <w:tcPr>
            <w:tcW w:w="3827" w:type="dxa"/>
          </w:tcPr>
          <w:p w14:paraId="7110AB16" w14:textId="77777777" w:rsidR="00A052DC" w:rsidRDefault="009F0A60">
            <w:pPr>
              <w:rPr>
                <w:rFonts w:ascii="黑体" w:eastAsia="黑体" w:hAnsi="黑体"/>
                <w:sz w:val="20"/>
                <w:szCs w:val="20"/>
              </w:rPr>
            </w:pPr>
            <w:r>
              <w:rPr>
                <w:rFonts w:ascii="黑体" w:eastAsia="黑体" w:hAnsi="黑体" w:hint="eastAsia"/>
                <w:sz w:val="20"/>
                <w:szCs w:val="20"/>
              </w:rPr>
              <w:t>必填</w:t>
            </w:r>
            <w:r w:rsidR="009C6148">
              <w:rPr>
                <w:rFonts w:ascii="黑体" w:eastAsia="黑体" w:hAnsi="黑体" w:hint="eastAsia"/>
                <w:sz w:val="20"/>
                <w:szCs w:val="20"/>
              </w:rPr>
              <w:t>项</w:t>
            </w:r>
            <w:r>
              <w:rPr>
                <w:rFonts w:ascii="黑体" w:eastAsia="黑体" w:hAnsi="黑体" w:hint="eastAsia"/>
                <w:sz w:val="20"/>
                <w:szCs w:val="20"/>
              </w:rPr>
              <w:t>。</w:t>
            </w:r>
          </w:p>
        </w:tc>
      </w:tr>
      <w:tr w:rsidR="00A052DC" w14:paraId="2C3BAAA5" w14:textId="77777777">
        <w:tc>
          <w:tcPr>
            <w:tcW w:w="1418" w:type="dxa"/>
          </w:tcPr>
          <w:p w14:paraId="03893B55" w14:textId="77777777" w:rsidR="00A052DC" w:rsidRDefault="009F0A60">
            <w:pPr>
              <w:rPr>
                <w:rFonts w:ascii="黑体" w:eastAsia="黑体" w:hAnsi="黑体"/>
                <w:sz w:val="20"/>
                <w:szCs w:val="20"/>
              </w:rPr>
            </w:pPr>
            <w:r>
              <w:rPr>
                <w:rFonts w:ascii="黑体" w:eastAsia="黑体" w:hAnsi="黑体"/>
                <w:sz w:val="20"/>
                <w:szCs w:val="20"/>
              </w:rPr>
              <w:t>TXREM</w:t>
            </w:r>
          </w:p>
        </w:tc>
        <w:tc>
          <w:tcPr>
            <w:tcW w:w="1843" w:type="dxa"/>
          </w:tcPr>
          <w:p w14:paraId="42B5CB80" w14:textId="77777777" w:rsidR="00A052DC" w:rsidRDefault="009F0A60">
            <w:pPr>
              <w:rPr>
                <w:rFonts w:ascii="黑体" w:eastAsia="黑体" w:hAnsi="黑体"/>
                <w:sz w:val="20"/>
                <w:szCs w:val="20"/>
              </w:rPr>
            </w:pPr>
            <w:r>
              <w:rPr>
                <w:rFonts w:ascii="黑体" w:eastAsia="黑体" w:hAnsi="黑体" w:hint="eastAsia"/>
                <w:sz w:val="20"/>
                <w:szCs w:val="20"/>
              </w:rPr>
              <w:t>交易附言1</w:t>
            </w:r>
          </w:p>
        </w:tc>
        <w:tc>
          <w:tcPr>
            <w:tcW w:w="1559" w:type="dxa"/>
          </w:tcPr>
          <w:p w14:paraId="534CBA00" w14:textId="77777777" w:rsidR="00A052DC" w:rsidRDefault="009F0A60">
            <w:pPr>
              <w:rPr>
                <w:rFonts w:ascii="黑体" w:eastAsia="黑体" w:hAnsi="黑体"/>
                <w:sz w:val="20"/>
                <w:szCs w:val="20"/>
              </w:rPr>
            </w:pPr>
            <w:r>
              <w:rPr>
                <w:rFonts w:ascii="黑体" w:eastAsia="黑体" w:hAnsi="黑体" w:hint="eastAsia"/>
                <w:sz w:val="20"/>
                <w:szCs w:val="20"/>
              </w:rPr>
              <w:t>字符型，256</w:t>
            </w:r>
          </w:p>
        </w:tc>
        <w:tc>
          <w:tcPr>
            <w:tcW w:w="3827" w:type="dxa"/>
          </w:tcPr>
          <w:p w14:paraId="41887D4C" w14:textId="77777777" w:rsidR="00A052DC" w:rsidRDefault="009F0A60">
            <w:pPr>
              <w:rPr>
                <w:rFonts w:ascii="黑体" w:eastAsia="黑体" w:hAnsi="黑体"/>
                <w:sz w:val="20"/>
                <w:szCs w:val="20"/>
              </w:rPr>
            </w:pPr>
            <w:r>
              <w:rPr>
                <w:rFonts w:ascii="黑体" w:eastAsia="黑体" w:hAnsi="黑体" w:hint="eastAsia"/>
                <w:sz w:val="20"/>
                <w:szCs w:val="20"/>
              </w:rPr>
              <w:t>必填</w:t>
            </w:r>
            <w:r w:rsidR="009C6148">
              <w:rPr>
                <w:rFonts w:ascii="黑体" w:eastAsia="黑体" w:hAnsi="黑体" w:hint="eastAsia"/>
                <w:sz w:val="20"/>
                <w:szCs w:val="20"/>
              </w:rPr>
              <w:t>项</w:t>
            </w:r>
            <w:r>
              <w:rPr>
                <w:rFonts w:ascii="黑体" w:eastAsia="黑体" w:hAnsi="黑体" w:hint="eastAsia"/>
                <w:sz w:val="20"/>
                <w:szCs w:val="20"/>
              </w:rPr>
              <w:t>。</w:t>
            </w:r>
          </w:p>
        </w:tc>
      </w:tr>
      <w:tr w:rsidR="00A052DC" w14:paraId="086DA55F" w14:textId="77777777">
        <w:tc>
          <w:tcPr>
            <w:tcW w:w="1418" w:type="dxa"/>
          </w:tcPr>
          <w:p w14:paraId="080E5436" w14:textId="77777777" w:rsidR="00A052DC" w:rsidRDefault="009F0A60">
            <w:pPr>
              <w:rPr>
                <w:rFonts w:ascii="黑体" w:eastAsia="黑体" w:hAnsi="黑体"/>
                <w:sz w:val="20"/>
                <w:szCs w:val="20"/>
              </w:rPr>
            </w:pPr>
            <w:r>
              <w:rPr>
                <w:rFonts w:ascii="黑体" w:eastAsia="黑体" w:hAnsi="黑体"/>
                <w:sz w:val="20"/>
                <w:szCs w:val="20"/>
              </w:rPr>
              <w:t>TXCODE2</w:t>
            </w:r>
          </w:p>
        </w:tc>
        <w:tc>
          <w:tcPr>
            <w:tcW w:w="1843" w:type="dxa"/>
          </w:tcPr>
          <w:p w14:paraId="28C14E0C" w14:textId="77777777" w:rsidR="00A052DC" w:rsidRDefault="009F0A60">
            <w:pPr>
              <w:rPr>
                <w:rFonts w:ascii="黑体" w:eastAsia="黑体" w:hAnsi="黑体"/>
                <w:sz w:val="20"/>
                <w:szCs w:val="20"/>
              </w:rPr>
            </w:pPr>
            <w:r>
              <w:rPr>
                <w:rFonts w:ascii="黑体" w:eastAsia="黑体" w:hAnsi="黑体" w:hint="eastAsia"/>
                <w:sz w:val="20"/>
                <w:szCs w:val="20"/>
              </w:rPr>
              <w:t>交易编码2</w:t>
            </w:r>
          </w:p>
        </w:tc>
        <w:tc>
          <w:tcPr>
            <w:tcW w:w="1559" w:type="dxa"/>
          </w:tcPr>
          <w:p w14:paraId="1ADBDF34" w14:textId="77777777" w:rsidR="00A052DC" w:rsidRDefault="009F0A60">
            <w:pPr>
              <w:rPr>
                <w:rFonts w:ascii="黑体" w:eastAsia="黑体" w:hAnsi="黑体"/>
                <w:sz w:val="20"/>
                <w:szCs w:val="20"/>
              </w:rPr>
            </w:pPr>
            <w:r>
              <w:rPr>
                <w:rFonts w:ascii="黑体" w:eastAsia="黑体" w:hAnsi="黑体" w:hint="eastAsia"/>
                <w:sz w:val="20"/>
                <w:szCs w:val="20"/>
              </w:rPr>
              <w:t>字符型，6</w:t>
            </w:r>
          </w:p>
        </w:tc>
        <w:tc>
          <w:tcPr>
            <w:tcW w:w="3827" w:type="dxa"/>
          </w:tcPr>
          <w:p w14:paraId="000E9441" w14:textId="77777777" w:rsidR="00A052DC" w:rsidRDefault="00DD6AA3">
            <w:pPr>
              <w:rPr>
                <w:rFonts w:ascii="黑体" w:eastAsia="黑体" w:hAnsi="黑体"/>
                <w:sz w:val="20"/>
                <w:szCs w:val="20"/>
              </w:rPr>
            </w:pPr>
            <w:r>
              <w:rPr>
                <w:rFonts w:ascii="黑体" w:eastAsia="黑体" w:hAnsi="黑体" w:hint="eastAsia"/>
                <w:sz w:val="20"/>
                <w:szCs w:val="20"/>
              </w:rPr>
              <w:t>非必填项</w:t>
            </w:r>
            <w:r w:rsidR="009F0A60">
              <w:rPr>
                <w:rFonts w:ascii="黑体" w:eastAsia="黑体" w:hAnsi="黑体" w:hint="eastAsia"/>
                <w:sz w:val="20"/>
                <w:szCs w:val="20"/>
              </w:rPr>
              <w:t>，</w:t>
            </w:r>
          </w:p>
          <w:p w14:paraId="4A5A243B" w14:textId="77777777" w:rsidR="00A052DC" w:rsidRDefault="009F0A60">
            <w:pPr>
              <w:rPr>
                <w:rFonts w:ascii="黑体" w:eastAsia="黑体" w:hAnsi="黑体"/>
                <w:sz w:val="20"/>
                <w:szCs w:val="20"/>
              </w:rPr>
            </w:pPr>
            <w:r>
              <w:rPr>
                <w:rFonts w:ascii="黑体" w:eastAsia="黑体" w:hAnsi="黑体" w:hint="eastAsia"/>
                <w:sz w:val="20"/>
                <w:szCs w:val="20"/>
              </w:rPr>
              <w:t>必须在国际收支交易编码表中存在。</w:t>
            </w:r>
          </w:p>
          <w:p w14:paraId="7F2CC220" w14:textId="77777777" w:rsidR="00A052DC" w:rsidRDefault="009F0A60">
            <w:pPr>
              <w:rPr>
                <w:rFonts w:ascii="黑体" w:eastAsia="黑体" w:hAnsi="黑体"/>
                <w:sz w:val="20"/>
                <w:szCs w:val="20"/>
              </w:rPr>
            </w:pPr>
            <w:r>
              <w:rPr>
                <w:rFonts w:ascii="黑体" w:eastAsia="黑体" w:hAnsi="黑体" w:hint="eastAsia"/>
                <w:sz w:val="20"/>
                <w:szCs w:val="20"/>
              </w:rPr>
              <w:t>不能与交易编码1相同</w:t>
            </w:r>
            <w:r w:rsidR="009C6148">
              <w:rPr>
                <w:rFonts w:ascii="黑体" w:eastAsia="黑体" w:hAnsi="黑体" w:hint="eastAsia"/>
                <w:sz w:val="20"/>
                <w:szCs w:val="20"/>
              </w:rPr>
              <w:t>。</w:t>
            </w:r>
          </w:p>
          <w:p w14:paraId="7320332B" w14:textId="77777777" w:rsidR="00A052DC" w:rsidRDefault="009F0A60">
            <w:pPr>
              <w:rPr>
                <w:rFonts w:ascii="黑体" w:eastAsia="黑体" w:hAnsi="黑体"/>
                <w:sz w:val="20"/>
                <w:szCs w:val="20"/>
              </w:rPr>
            </w:pPr>
            <w:r>
              <w:rPr>
                <w:rFonts w:ascii="黑体" w:eastAsia="黑体" w:hAnsi="黑体" w:hint="eastAsia"/>
                <w:sz w:val="20"/>
                <w:szCs w:val="20"/>
              </w:rPr>
              <w:t>没有输入交易编码时，相应金额及交易附言不应该填写。</w:t>
            </w:r>
          </w:p>
          <w:p w14:paraId="3557E80A" w14:textId="77777777" w:rsidR="00A052DC" w:rsidRDefault="009F0A60">
            <w:pPr>
              <w:rPr>
                <w:rFonts w:ascii="黑体" w:eastAsia="黑体" w:hAnsi="黑体"/>
                <w:sz w:val="20"/>
                <w:szCs w:val="20"/>
              </w:rPr>
            </w:pPr>
            <w:r>
              <w:rPr>
                <w:rFonts w:ascii="黑体" w:eastAsia="黑体" w:hAnsi="黑体" w:hint="eastAsia"/>
                <w:sz w:val="20"/>
                <w:szCs w:val="20"/>
              </w:rPr>
              <w:t>有交易金额2或交易附言2时必填。</w:t>
            </w:r>
          </w:p>
        </w:tc>
      </w:tr>
      <w:tr w:rsidR="00A052DC" w14:paraId="4312BAB4" w14:textId="77777777">
        <w:tc>
          <w:tcPr>
            <w:tcW w:w="1418" w:type="dxa"/>
          </w:tcPr>
          <w:p w14:paraId="716DE9E7" w14:textId="77777777" w:rsidR="00A052DC" w:rsidRDefault="009F0A60">
            <w:pPr>
              <w:rPr>
                <w:rFonts w:ascii="黑体" w:eastAsia="黑体" w:hAnsi="黑体"/>
                <w:sz w:val="20"/>
                <w:szCs w:val="20"/>
              </w:rPr>
            </w:pPr>
            <w:r>
              <w:rPr>
                <w:rFonts w:ascii="黑体" w:eastAsia="黑体" w:hAnsi="黑体"/>
                <w:sz w:val="20"/>
                <w:szCs w:val="20"/>
              </w:rPr>
              <w:t>TC2AMT</w:t>
            </w:r>
          </w:p>
        </w:tc>
        <w:tc>
          <w:tcPr>
            <w:tcW w:w="1843" w:type="dxa"/>
          </w:tcPr>
          <w:p w14:paraId="20B32C32" w14:textId="77777777" w:rsidR="00A052DC" w:rsidRDefault="009F0A60">
            <w:pPr>
              <w:rPr>
                <w:rFonts w:ascii="黑体" w:eastAsia="黑体" w:hAnsi="黑体"/>
                <w:sz w:val="20"/>
                <w:szCs w:val="20"/>
              </w:rPr>
            </w:pPr>
            <w:r>
              <w:rPr>
                <w:rFonts w:ascii="黑体" w:eastAsia="黑体" w:hAnsi="黑体" w:hint="eastAsia"/>
                <w:sz w:val="20"/>
                <w:szCs w:val="20"/>
              </w:rPr>
              <w:t>相应金额2</w:t>
            </w:r>
          </w:p>
        </w:tc>
        <w:tc>
          <w:tcPr>
            <w:tcW w:w="1559" w:type="dxa"/>
          </w:tcPr>
          <w:p w14:paraId="14B33596" w14:textId="77777777" w:rsidR="00A052DC" w:rsidRDefault="009F0A60">
            <w:pPr>
              <w:rPr>
                <w:rFonts w:ascii="黑体" w:eastAsia="黑体" w:hAnsi="黑体"/>
                <w:sz w:val="20"/>
                <w:szCs w:val="20"/>
              </w:rPr>
            </w:pPr>
            <w:r>
              <w:rPr>
                <w:rFonts w:ascii="黑体" w:eastAsia="黑体" w:hAnsi="黑体" w:hint="eastAsia"/>
                <w:sz w:val="20"/>
                <w:szCs w:val="20"/>
              </w:rPr>
              <w:t>数值型，22.0</w:t>
            </w:r>
          </w:p>
        </w:tc>
        <w:tc>
          <w:tcPr>
            <w:tcW w:w="3827" w:type="dxa"/>
          </w:tcPr>
          <w:p w14:paraId="3A1B708B" w14:textId="77777777" w:rsidR="00A052DC" w:rsidRDefault="00DD6AA3">
            <w:pPr>
              <w:rPr>
                <w:rFonts w:ascii="黑体" w:eastAsia="黑体" w:hAnsi="黑体"/>
                <w:sz w:val="20"/>
                <w:szCs w:val="20"/>
              </w:rPr>
            </w:pPr>
            <w:r>
              <w:rPr>
                <w:rFonts w:ascii="黑体" w:eastAsia="黑体" w:hAnsi="黑体" w:hint="eastAsia"/>
                <w:sz w:val="20"/>
                <w:szCs w:val="20"/>
              </w:rPr>
              <w:t>非必填项</w:t>
            </w:r>
            <w:r w:rsidR="009F0A60">
              <w:rPr>
                <w:rFonts w:ascii="黑体" w:eastAsia="黑体" w:hAnsi="黑体" w:hint="eastAsia"/>
                <w:sz w:val="20"/>
                <w:szCs w:val="20"/>
              </w:rPr>
              <w:t>，</w:t>
            </w:r>
          </w:p>
          <w:p w14:paraId="49B94F0D" w14:textId="77777777" w:rsidR="00A052DC" w:rsidRDefault="009F0A60">
            <w:pPr>
              <w:rPr>
                <w:rFonts w:ascii="黑体" w:eastAsia="黑体" w:hAnsi="黑体"/>
                <w:sz w:val="20"/>
                <w:szCs w:val="20"/>
              </w:rPr>
            </w:pPr>
            <w:r>
              <w:rPr>
                <w:rFonts w:ascii="黑体" w:eastAsia="黑体" w:hAnsi="黑体" w:hint="eastAsia"/>
                <w:sz w:val="20"/>
                <w:szCs w:val="20"/>
              </w:rPr>
              <w:t>有交易编码2时必填。</w:t>
            </w:r>
          </w:p>
          <w:p w14:paraId="651A754B" w14:textId="77777777" w:rsidR="00A052DC" w:rsidRDefault="009F0A60">
            <w:pPr>
              <w:rPr>
                <w:rFonts w:ascii="黑体" w:eastAsia="黑体" w:hAnsi="黑体"/>
                <w:sz w:val="20"/>
                <w:szCs w:val="20"/>
              </w:rPr>
            </w:pPr>
            <w:r>
              <w:rPr>
                <w:rFonts w:ascii="黑体" w:eastAsia="黑体" w:hAnsi="黑体" w:hint="eastAsia"/>
                <w:sz w:val="20"/>
                <w:szCs w:val="20"/>
              </w:rPr>
              <w:t>两个交易编码对应的金额之和必须等于汇款金额。</w:t>
            </w:r>
          </w:p>
        </w:tc>
      </w:tr>
      <w:tr w:rsidR="00A052DC" w14:paraId="7F16A0D4" w14:textId="77777777">
        <w:tc>
          <w:tcPr>
            <w:tcW w:w="1418" w:type="dxa"/>
          </w:tcPr>
          <w:p w14:paraId="409159EA" w14:textId="77777777" w:rsidR="00A052DC" w:rsidRDefault="009F0A60">
            <w:pPr>
              <w:rPr>
                <w:rFonts w:ascii="黑体" w:eastAsia="黑体" w:hAnsi="黑体"/>
                <w:sz w:val="20"/>
                <w:szCs w:val="20"/>
              </w:rPr>
            </w:pPr>
            <w:r>
              <w:rPr>
                <w:rFonts w:ascii="黑体" w:eastAsia="黑体" w:hAnsi="黑体"/>
                <w:sz w:val="20"/>
                <w:szCs w:val="20"/>
              </w:rPr>
              <w:t>TX2REM</w:t>
            </w:r>
          </w:p>
        </w:tc>
        <w:tc>
          <w:tcPr>
            <w:tcW w:w="1843" w:type="dxa"/>
          </w:tcPr>
          <w:p w14:paraId="23334DA3" w14:textId="77777777" w:rsidR="00A052DC" w:rsidRDefault="009F0A60">
            <w:pPr>
              <w:rPr>
                <w:rFonts w:ascii="黑体" w:eastAsia="黑体" w:hAnsi="黑体"/>
                <w:sz w:val="20"/>
                <w:szCs w:val="20"/>
              </w:rPr>
            </w:pPr>
            <w:r>
              <w:rPr>
                <w:rFonts w:ascii="黑体" w:eastAsia="黑体" w:hAnsi="黑体" w:hint="eastAsia"/>
                <w:sz w:val="20"/>
                <w:szCs w:val="20"/>
              </w:rPr>
              <w:t>交易附言2</w:t>
            </w:r>
          </w:p>
        </w:tc>
        <w:tc>
          <w:tcPr>
            <w:tcW w:w="1559" w:type="dxa"/>
          </w:tcPr>
          <w:p w14:paraId="023621B6" w14:textId="77777777" w:rsidR="00A052DC" w:rsidRDefault="009F0A60">
            <w:pPr>
              <w:rPr>
                <w:rFonts w:ascii="黑体" w:eastAsia="黑体" w:hAnsi="黑体"/>
                <w:sz w:val="20"/>
                <w:szCs w:val="20"/>
              </w:rPr>
            </w:pPr>
            <w:r>
              <w:rPr>
                <w:rFonts w:ascii="黑体" w:eastAsia="黑体" w:hAnsi="黑体" w:hint="eastAsia"/>
                <w:sz w:val="20"/>
                <w:szCs w:val="20"/>
              </w:rPr>
              <w:t>字符型，256</w:t>
            </w:r>
          </w:p>
        </w:tc>
        <w:tc>
          <w:tcPr>
            <w:tcW w:w="3827" w:type="dxa"/>
          </w:tcPr>
          <w:p w14:paraId="71B7FF22" w14:textId="77777777" w:rsidR="00A052DC" w:rsidRDefault="00DD6AA3">
            <w:pPr>
              <w:rPr>
                <w:rFonts w:ascii="黑体" w:eastAsia="黑体" w:hAnsi="黑体"/>
                <w:sz w:val="20"/>
                <w:szCs w:val="20"/>
              </w:rPr>
            </w:pPr>
            <w:r>
              <w:rPr>
                <w:rFonts w:ascii="黑体" w:eastAsia="黑体" w:hAnsi="黑体" w:hint="eastAsia"/>
                <w:sz w:val="20"/>
                <w:szCs w:val="20"/>
              </w:rPr>
              <w:t>非必填项</w:t>
            </w:r>
            <w:r w:rsidR="009C6148">
              <w:rPr>
                <w:rFonts w:ascii="黑体" w:eastAsia="黑体" w:hAnsi="黑体" w:hint="eastAsia"/>
                <w:sz w:val="20"/>
                <w:szCs w:val="20"/>
              </w:rPr>
              <w:t>，</w:t>
            </w:r>
          </w:p>
          <w:p w14:paraId="3AC3A827" w14:textId="77777777" w:rsidR="00A052DC" w:rsidRDefault="009F0A60">
            <w:pPr>
              <w:rPr>
                <w:rFonts w:ascii="黑体" w:eastAsia="黑体" w:hAnsi="黑体"/>
                <w:sz w:val="20"/>
                <w:szCs w:val="20"/>
              </w:rPr>
            </w:pPr>
            <w:r>
              <w:rPr>
                <w:rFonts w:ascii="黑体" w:eastAsia="黑体" w:hAnsi="黑体" w:hint="eastAsia"/>
                <w:sz w:val="20"/>
                <w:szCs w:val="20"/>
              </w:rPr>
              <w:t>有交易编码2时必填。</w:t>
            </w:r>
          </w:p>
        </w:tc>
      </w:tr>
      <w:tr w:rsidR="00A052DC" w14:paraId="25C92111" w14:textId="77777777">
        <w:tc>
          <w:tcPr>
            <w:tcW w:w="1418" w:type="dxa"/>
          </w:tcPr>
          <w:p w14:paraId="2224DBDB" w14:textId="77777777" w:rsidR="00A052DC" w:rsidRDefault="009F0A60">
            <w:pPr>
              <w:rPr>
                <w:rFonts w:ascii="黑体" w:eastAsia="黑体" w:hAnsi="黑体"/>
                <w:sz w:val="20"/>
                <w:szCs w:val="20"/>
              </w:rPr>
            </w:pPr>
            <w:r>
              <w:rPr>
                <w:rFonts w:ascii="黑体" w:eastAsia="黑体" w:hAnsi="黑体"/>
                <w:sz w:val="20"/>
                <w:szCs w:val="20"/>
              </w:rPr>
              <w:t>ISREF</w:t>
            </w:r>
          </w:p>
        </w:tc>
        <w:tc>
          <w:tcPr>
            <w:tcW w:w="1843" w:type="dxa"/>
          </w:tcPr>
          <w:p w14:paraId="7B131754" w14:textId="77777777" w:rsidR="00A052DC" w:rsidRDefault="009F0A60">
            <w:pPr>
              <w:rPr>
                <w:rFonts w:ascii="黑体" w:eastAsia="黑体" w:hAnsi="黑体"/>
                <w:sz w:val="20"/>
                <w:szCs w:val="20"/>
              </w:rPr>
            </w:pPr>
            <w:r>
              <w:rPr>
                <w:rFonts w:ascii="黑体" w:eastAsia="黑体" w:hAnsi="黑体" w:hint="eastAsia"/>
                <w:sz w:val="20"/>
                <w:szCs w:val="20"/>
              </w:rPr>
              <w:t>是否保税货物项下付款</w:t>
            </w:r>
          </w:p>
        </w:tc>
        <w:tc>
          <w:tcPr>
            <w:tcW w:w="1559" w:type="dxa"/>
          </w:tcPr>
          <w:p w14:paraId="2672E941" w14:textId="77777777" w:rsidR="00A052DC" w:rsidRDefault="009F0A60">
            <w:pPr>
              <w:rPr>
                <w:rFonts w:ascii="黑体" w:eastAsia="黑体" w:hAnsi="黑体"/>
                <w:sz w:val="20"/>
                <w:szCs w:val="20"/>
              </w:rPr>
            </w:pPr>
            <w:r>
              <w:rPr>
                <w:rFonts w:ascii="黑体" w:eastAsia="黑体" w:hAnsi="黑体" w:hint="eastAsia"/>
                <w:sz w:val="20"/>
                <w:szCs w:val="20"/>
              </w:rPr>
              <w:t>字符型，1</w:t>
            </w:r>
          </w:p>
        </w:tc>
        <w:tc>
          <w:tcPr>
            <w:tcW w:w="3827" w:type="dxa"/>
          </w:tcPr>
          <w:p w14:paraId="216B2048" w14:textId="77777777" w:rsidR="00A052DC" w:rsidRDefault="009F0A60">
            <w:pPr>
              <w:rPr>
                <w:rFonts w:ascii="黑体" w:eastAsia="黑体" w:hAnsi="黑体"/>
                <w:sz w:val="20"/>
                <w:szCs w:val="20"/>
              </w:rPr>
            </w:pPr>
            <w:r>
              <w:rPr>
                <w:rFonts w:ascii="黑体" w:eastAsia="黑体" w:hAnsi="黑体" w:hint="eastAsia"/>
                <w:sz w:val="20"/>
                <w:szCs w:val="20"/>
              </w:rPr>
              <w:t>Y</w:t>
            </w:r>
            <w:r w:rsidR="00AE4602">
              <w:rPr>
                <w:rFonts w:ascii="黑体" w:eastAsia="黑体" w:hAnsi="黑体" w:hint="eastAsia"/>
                <w:sz w:val="20"/>
                <w:szCs w:val="20"/>
              </w:rPr>
              <w:t>-</w:t>
            </w:r>
            <w:r>
              <w:rPr>
                <w:rFonts w:ascii="黑体" w:eastAsia="黑体" w:hAnsi="黑体" w:hint="eastAsia"/>
                <w:sz w:val="20"/>
                <w:szCs w:val="20"/>
              </w:rPr>
              <w:t>是</w:t>
            </w:r>
          </w:p>
          <w:p w14:paraId="25C23071" w14:textId="77777777" w:rsidR="00A052DC" w:rsidRDefault="009F0A60">
            <w:pPr>
              <w:rPr>
                <w:rFonts w:ascii="黑体" w:eastAsia="黑体" w:hAnsi="黑体"/>
                <w:sz w:val="20"/>
                <w:szCs w:val="20"/>
              </w:rPr>
            </w:pPr>
            <w:r>
              <w:rPr>
                <w:rFonts w:ascii="黑体" w:eastAsia="黑体" w:hAnsi="黑体" w:hint="eastAsia"/>
                <w:sz w:val="20"/>
                <w:szCs w:val="20"/>
              </w:rPr>
              <w:t>N</w:t>
            </w:r>
            <w:r w:rsidR="00AE4602">
              <w:rPr>
                <w:rFonts w:ascii="黑体" w:eastAsia="黑体" w:hAnsi="黑体" w:hint="eastAsia"/>
                <w:sz w:val="20"/>
                <w:szCs w:val="20"/>
              </w:rPr>
              <w:t>-</w:t>
            </w:r>
            <w:r>
              <w:rPr>
                <w:rFonts w:ascii="黑体" w:eastAsia="黑体" w:hAnsi="黑体" w:hint="eastAsia"/>
                <w:sz w:val="20"/>
                <w:szCs w:val="20"/>
              </w:rPr>
              <w:t>否</w:t>
            </w:r>
          </w:p>
        </w:tc>
      </w:tr>
      <w:tr w:rsidR="00A052DC" w14:paraId="3E63B394" w14:textId="77777777">
        <w:tc>
          <w:tcPr>
            <w:tcW w:w="1418" w:type="dxa"/>
          </w:tcPr>
          <w:p w14:paraId="30063DA0" w14:textId="77777777" w:rsidR="00A052DC" w:rsidRDefault="009F0A60">
            <w:pPr>
              <w:rPr>
                <w:rFonts w:ascii="黑体" w:eastAsia="黑体" w:hAnsi="黑体"/>
                <w:sz w:val="20"/>
                <w:szCs w:val="20"/>
              </w:rPr>
            </w:pPr>
            <w:r>
              <w:rPr>
                <w:rFonts w:ascii="黑体" w:eastAsia="黑体" w:hAnsi="黑体"/>
                <w:sz w:val="20"/>
                <w:szCs w:val="20"/>
              </w:rPr>
              <w:t>CRTUSER</w:t>
            </w:r>
          </w:p>
        </w:tc>
        <w:tc>
          <w:tcPr>
            <w:tcW w:w="1843" w:type="dxa"/>
          </w:tcPr>
          <w:p w14:paraId="7A7702A8" w14:textId="77777777" w:rsidR="00A052DC" w:rsidRDefault="009F0A60">
            <w:pPr>
              <w:rPr>
                <w:rFonts w:ascii="黑体" w:eastAsia="黑体" w:hAnsi="黑体"/>
                <w:sz w:val="20"/>
                <w:szCs w:val="20"/>
              </w:rPr>
            </w:pPr>
            <w:r>
              <w:rPr>
                <w:rFonts w:ascii="黑体" w:eastAsia="黑体" w:hAnsi="黑体" w:hint="eastAsia"/>
                <w:sz w:val="20"/>
                <w:szCs w:val="20"/>
              </w:rPr>
              <w:t>申请人</w:t>
            </w:r>
          </w:p>
        </w:tc>
        <w:tc>
          <w:tcPr>
            <w:tcW w:w="1559" w:type="dxa"/>
          </w:tcPr>
          <w:p w14:paraId="42ADD793" w14:textId="77777777" w:rsidR="00A052DC" w:rsidRDefault="009F0A60">
            <w:pPr>
              <w:rPr>
                <w:rFonts w:ascii="黑体" w:eastAsia="黑体" w:hAnsi="黑体"/>
                <w:sz w:val="20"/>
                <w:szCs w:val="20"/>
              </w:rPr>
            </w:pPr>
            <w:r>
              <w:rPr>
                <w:rFonts w:ascii="黑体" w:eastAsia="黑体" w:hAnsi="黑体" w:hint="eastAsia"/>
                <w:sz w:val="20"/>
                <w:szCs w:val="20"/>
              </w:rPr>
              <w:t>字符型，20</w:t>
            </w:r>
          </w:p>
        </w:tc>
        <w:tc>
          <w:tcPr>
            <w:tcW w:w="3827" w:type="dxa"/>
          </w:tcPr>
          <w:p w14:paraId="2233F5A6"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r w:rsidR="00A052DC" w14:paraId="64ECFCB5" w14:textId="77777777">
        <w:tc>
          <w:tcPr>
            <w:tcW w:w="1418" w:type="dxa"/>
          </w:tcPr>
          <w:p w14:paraId="11ECF92E" w14:textId="77777777" w:rsidR="00A052DC" w:rsidRDefault="009F0A60">
            <w:pPr>
              <w:rPr>
                <w:rFonts w:ascii="黑体" w:eastAsia="黑体" w:hAnsi="黑体"/>
                <w:sz w:val="20"/>
                <w:szCs w:val="20"/>
              </w:rPr>
            </w:pPr>
            <w:r>
              <w:rPr>
                <w:rFonts w:ascii="黑体" w:eastAsia="黑体" w:hAnsi="黑体"/>
                <w:sz w:val="20"/>
                <w:szCs w:val="20"/>
              </w:rPr>
              <w:t>INPTELC</w:t>
            </w:r>
          </w:p>
        </w:tc>
        <w:tc>
          <w:tcPr>
            <w:tcW w:w="1843" w:type="dxa"/>
          </w:tcPr>
          <w:p w14:paraId="4B2006F8" w14:textId="77777777" w:rsidR="00A052DC" w:rsidRDefault="009F0A60">
            <w:pPr>
              <w:rPr>
                <w:rFonts w:ascii="黑体" w:eastAsia="黑体" w:hAnsi="黑体"/>
                <w:sz w:val="20"/>
                <w:szCs w:val="20"/>
              </w:rPr>
            </w:pPr>
            <w:r>
              <w:rPr>
                <w:rFonts w:ascii="黑体" w:eastAsia="黑体" w:hAnsi="黑体" w:hint="eastAsia"/>
                <w:sz w:val="20"/>
                <w:szCs w:val="20"/>
              </w:rPr>
              <w:t>申请人电话</w:t>
            </w:r>
          </w:p>
        </w:tc>
        <w:tc>
          <w:tcPr>
            <w:tcW w:w="1559" w:type="dxa"/>
          </w:tcPr>
          <w:p w14:paraId="26B826D8" w14:textId="77777777" w:rsidR="00A052DC" w:rsidRDefault="009F0A60">
            <w:pPr>
              <w:rPr>
                <w:rFonts w:ascii="黑体" w:eastAsia="黑体" w:hAnsi="黑体"/>
                <w:sz w:val="20"/>
                <w:szCs w:val="20"/>
              </w:rPr>
            </w:pPr>
            <w:r>
              <w:rPr>
                <w:rFonts w:ascii="黑体" w:eastAsia="黑体" w:hAnsi="黑体" w:hint="eastAsia"/>
                <w:sz w:val="20"/>
                <w:szCs w:val="20"/>
              </w:rPr>
              <w:t>字符型，20</w:t>
            </w:r>
          </w:p>
        </w:tc>
        <w:tc>
          <w:tcPr>
            <w:tcW w:w="3827" w:type="dxa"/>
          </w:tcPr>
          <w:p w14:paraId="01B702A4"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r w:rsidR="00A052DC" w14:paraId="62E0E057" w14:textId="77777777">
        <w:tc>
          <w:tcPr>
            <w:tcW w:w="1418" w:type="dxa"/>
            <w:tcBorders>
              <w:top w:val="single" w:sz="4" w:space="0" w:color="auto"/>
              <w:left w:val="single" w:sz="4" w:space="0" w:color="auto"/>
              <w:bottom w:val="single" w:sz="4" w:space="0" w:color="auto"/>
              <w:right w:val="single" w:sz="4" w:space="0" w:color="auto"/>
            </w:tcBorders>
          </w:tcPr>
          <w:p w14:paraId="72A78F42" w14:textId="77777777" w:rsidR="00A052DC" w:rsidRDefault="009F0A60">
            <w:pPr>
              <w:rPr>
                <w:rFonts w:ascii="黑体" w:eastAsia="黑体" w:hAnsi="黑体"/>
                <w:sz w:val="20"/>
                <w:szCs w:val="20"/>
              </w:rPr>
            </w:pPr>
            <w:r>
              <w:rPr>
                <w:rFonts w:ascii="黑体" w:eastAsia="黑体" w:hAnsi="黑体"/>
                <w:sz w:val="20"/>
                <w:szCs w:val="20"/>
              </w:rPr>
              <w:t>RPTDATE</w:t>
            </w:r>
          </w:p>
        </w:tc>
        <w:tc>
          <w:tcPr>
            <w:tcW w:w="1843" w:type="dxa"/>
            <w:tcBorders>
              <w:top w:val="single" w:sz="4" w:space="0" w:color="auto"/>
              <w:left w:val="single" w:sz="4" w:space="0" w:color="auto"/>
              <w:bottom w:val="single" w:sz="4" w:space="0" w:color="auto"/>
              <w:right w:val="single" w:sz="4" w:space="0" w:color="auto"/>
            </w:tcBorders>
          </w:tcPr>
          <w:p w14:paraId="212FD036" w14:textId="77777777" w:rsidR="00A052DC" w:rsidRDefault="009F0A60">
            <w:pPr>
              <w:rPr>
                <w:rFonts w:ascii="黑体" w:eastAsia="黑体" w:hAnsi="黑体"/>
                <w:sz w:val="20"/>
                <w:szCs w:val="20"/>
              </w:rPr>
            </w:pPr>
            <w:r>
              <w:rPr>
                <w:rFonts w:ascii="黑体" w:eastAsia="黑体" w:hAnsi="黑体" w:hint="eastAsia"/>
                <w:sz w:val="20"/>
                <w:szCs w:val="20"/>
              </w:rPr>
              <w:t>申报日期</w:t>
            </w:r>
          </w:p>
        </w:tc>
        <w:tc>
          <w:tcPr>
            <w:tcW w:w="1559" w:type="dxa"/>
            <w:tcBorders>
              <w:top w:val="single" w:sz="4" w:space="0" w:color="auto"/>
              <w:left w:val="single" w:sz="4" w:space="0" w:color="auto"/>
              <w:bottom w:val="single" w:sz="4" w:space="0" w:color="auto"/>
              <w:right w:val="single" w:sz="4" w:space="0" w:color="auto"/>
            </w:tcBorders>
          </w:tcPr>
          <w:p w14:paraId="42537D8F" w14:textId="77777777" w:rsidR="00A052DC" w:rsidRDefault="009F0A60">
            <w:pPr>
              <w:rPr>
                <w:rFonts w:ascii="黑体" w:eastAsia="黑体" w:hAnsi="黑体"/>
                <w:sz w:val="20"/>
                <w:szCs w:val="20"/>
              </w:rPr>
            </w:pPr>
            <w:r>
              <w:rPr>
                <w:rFonts w:ascii="黑体" w:eastAsia="黑体" w:hAnsi="黑体" w:hint="eastAsia"/>
                <w:sz w:val="20"/>
                <w:szCs w:val="20"/>
              </w:rPr>
              <w:t>日期型，</w:t>
            </w:r>
            <w:r>
              <w:rPr>
                <w:rFonts w:ascii="黑体" w:eastAsia="黑体" w:hAnsi="黑体"/>
                <w:sz w:val="20"/>
                <w:szCs w:val="20"/>
              </w:rPr>
              <w:t>8</w:t>
            </w:r>
          </w:p>
          <w:p w14:paraId="1804BDE7" w14:textId="77777777" w:rsidR="00A052DC" w:rsidRDefault="009F0A60">
            <w:pPr>
              <w:rPr>
                <w:rFonts w:ascii="黑体" w:eastAsia="黑体" w:hAnsi="黑体"/>
                <w:sz w:val="20"/>
                <w:szCs w:val="20"/>
              </w:rPr>
            </w:pPr>
            <w:r>
              <w:rPr>
                <w:rFonts w:ascii="黑体" w:eastAsia="黑体" w:hAnsi="黑体"/>
                <w:sz w:val="20"/>
                <w:szCs w:val="20"/>
              </w:rPr>
              <w:t>YYYYMMD</w:t>
            </w:r>
          </w:p>
        </w:tc>
        <w:tc>
          <w:tcPr>
            <w:tcW w:w="3827" w:type="dxa"/>
            <w:tcBorders>
              <w:top w:val="single" w:sz="4" w:space="0" w:color="auto"/>
              <w:left w:val="single" w:sz="4" w:space="0" w:color="auto"/>
              <w:bottom w:val="single" w:sz="4" w:space="0" w:color="auto"/>
              <w:right w:val="single" w:sz="4" w:space="0" w:color="auto"/>
            </w:tcBorders>
          </w:tcPr>
          <w:p w14:paraId="08F6106D" w14:textId="77777777" w:rsidR="00A052DC" w:rsidRDefault="009F0A60">
            <w:pPr>
              <w:rPr>
                <w:rFonts w:ascii="黑体" w:eastAsia="黑体" w:hAnsi="黑体"/>
                <w:sz w:val="20"/>
                <w:szCs w:val="20"/>
              </w:rPr>
            </w:pPr>
            <w:r>
              <w:rPr>
                <w:rFonts w:ascii="黑体" w:eastAsia="黑体" w:hAnsi="黑体" w:hint="eastAsia"/>
                <w:sz w:val="20"/>
                <w:szCs w:val="20"/>
              </w:rPr>
              <w:t>必填项，按申报主体真实填报日期填写。申报日期</w:t>
            </w:r>
            <w:r>
              <w:rPr>
                <w:rFonts w:ascii="黑体" w:eastAsia="黑体" w:hAnsi="黑体"/>
                <w:sz w:val="20"/>
                <w:szCs w:val="20"/>
              </w:rPr>
              <w:t>&lt;</w:t>
            </w:r>
            <w:r>
              <w:rPr>
                <w:rFonts w:ascii="黑体" w:eastAsia="黑体" w:hAnsi="黑体" w:hint="eastAsia"/>
                <w:sz w:val="20"/>
                <w:szCs w:val="20"/>
              </w:rPr>
              <w:t>=申报号码中的日期。</w:t>
            </w:r>
          </w:p>
        </w:tc>
      </w:tr>
      <w:tr w:rsidR="00A052DC" w14:paraId="53983985" w14:textId="77777777">
        <w:tc>
          <w:tcPr>
            <w:tcW w:w="1418" w:type="dxa"/>
            <w:tcBorders>
              <w:top w:val="single" w:sz="4" w:space="0" w:color="auto"/>
              <w:left w:val="single" w:sz="4" w:space="0" w:color="auto"/>
              <w:bottom w:val="single" w:sz="4" w:space="0" w:color="auto"/>
              <w:right w:val="single" w:sz="4" w:space="0" w:color="auto"/>
            </w:tcBorders>
          </w:tcPr>
          <w:p w14:paraId="680B5307" w14:textId="77777777" w:rsidR="00A052DC" w:rsidRDefault="009F0A60">
            <w:pPr>
              <w:rPr>
                <w:rFonts w:ascii="黑体" w:eastAsia="黑体" w:hAnsi="黑体"/>
                <w:sz w:val="20"/>
                <w:szCs w:val="20"/>
              </w:rPr>
            </w:pPr>
            <w:r>
              <w:rPr>
                <w:rFonts w:ascii="黑体" w:eastAsia="黑体" w:hAnsi="黑体"/>
                <w:sz w:val="20"/>
                <w:szCs w:val="20"/>
              </w:rPr>
              <w:t>REGNO</w:t>
            </w:r>
          </w:p>
        </w:tc>
        <w:tc>
          <w:tcPr>
            <w:tcW w:w="1843" w:type="dxa"/>
            <w:tcBorders>
              <w:top w:val="single" w:sz="4" w:space="0" w:color="auto"/>
              <w:left w:val="single" w:sz="4" w:space="0" w:color="auto"/>
              <w:bottom w:val="single" w:sz="4" w:space="0" w:color="auto"/>
              <w:right w:val="single" w:sz="4" w:space="0" w:color="auto"/>
            </w:tcBorders>
          </w:tcPr>
          <w:p w14:paraId="157D2330" w14:textId="77777777" w:rsidR="00A052DC" w:rsidRDefault="009F0A60">
            <w:pPr>
              <w:rPr>
                <w:rFonts w:ascii="黑体" w:eastAsia="黑体" w:hAnsi="黑体"/>
                <w:sz w:val="20"/>
                <w:szCs w:val="20"/>
              </w:rPr>
            </w:pPr>
            <w:r>
              <w:rPr>
                <w:rFonts w:ascii="黑体" w:eastAsia="黑体" w:hAnsi="黑体" w:hint="eastAsia"/>
                <w:sz w:val="20"/>
                <w:szCs w:val="20"/>
              </w:rPr>
              <w:t>外汇局批件号/备案表号/业务编号</w:t>
            </w:r>
          </w:p>
        </w:tc>
        <w:tc>
          <w:tcPr>
            <w:tcW w:w="1559" w:type="dxa"/>
            <w:tcBorders>
              <w:top w:val="single" w:sz="4" w:space="0" w:color="auto"/>
              <w:left w:val="single" w:sz="4" w:space="0" w:color="auto"/>
              <w:bottom w:val="single" w:sz="4" w:space="0" w:color="auto"/>
              <w:right w:val="single" w:sz="4" w:space="0" w:color="auto"/>
            </w:tcBorders>
          </w:tcPr>
          <w:p w14:paraId="7CBBB4A3" w14:textId="77777777" w:rsidR="00A052DC" w:rsidRDefault="009F0A60">
            <w:pPr>
              <w:rPr>
                <w:rFonts w:ascii="黑体" w:eastAsia="黑体" w:hAnsi="黑体"/>
                <w:sz w:val="20"/>
                <w:szCs w:val="20"/>
              </w:rPr>
            </w:pPr>
            <w:r>
              <w:rPr>
                <w:rFonts w:ascii="黑体" w:eastAsia="黑体" w:hAnsi="黑体" w:hint="eastAsia"/>
                <w:sz w:val="20"/>
                <w:szCs w:val="20"/>
              </w:rPr>
              <w:t>字符型，20</w:t>
            </w:r>
          </w:p>
        </w:tc>
        <w:tc>
          <w:tcPr>
            <w:tcW w:w="3827" w:type="dxa"/>
            <w:tcBorders>
              <w:top w:val="single" w:sz="4" w:space="0" w:color="auto"/>
              <w:left w:val="single" w:sz="4" w:space="0" w:color="auto"/>
              <w:bottom w:val="single" w:sz="4" w:space="0" w:color="auto"/>
              <w:right w:val="single" w:sz="4" w:space="0" w:color="auto"/>
            </w:tcBorders>
          </w:tcPr>
          <w:p w14:paraId="480DC700" w14:textId="77777777" w:rsidR="00A052DC" w:rsidRDefault="00DD6AA3">
            <w:pPr>
              <w:rPr>
                <w:rFonts w:ascii="黑体" w:eastAsia="黑体" w:hAnsi="黑体"/>
                <w:sz w:val="20"/>
                <w:szCs w:val="20"/>
              </w:rPr>
            </w:pPr>
            <w:r>
              <w:rPr>
                <w:rFonts w:ascii="黑体" w:eastAsia="黑体" w:hAnsi="黑体" w:hint="eastAsia"/>
                <w:sz w:val="20"/>
                <w:szCs w:val="20"/>
              </w:rPr>
              <w:t>非必填项</w:t>
            </w:r>
            <w:r w:rsidR="009F0A60">
              <w:rPr>
                <w:rFonts w:ascii="黑体" w:eastAsia="黑体" w:hAnsi="黑体" w:hint="eastAsia"/>
                <w:sz w:val="20"/>
                <w:szCs w:val="20"/>
              </w:rPr>
              <w:t>，根据本笔汇款所涉及的外汇局批件号、备案表号、业务编号进行填写。如果本笔汇款涉及外汇局核准件，则优先填写该核准件编号。若本笔汇款涉及货物贸易登记表，则填写相应的业务登记表编号。交易编码以“3”、“5”、“6”、“7”、“8”和部分“2”、“9”开头或涉及账户性质为资本项目性质账户的，“外汇局批件号/备案表号/业务编号”为必填项，填写规则参见《银行资本项目下数据报送参考规则》；对于《银行资本项目下数据报送参考规则》中未提到的情况，且不需要外汇局核准的（即确实没有对应的“外汇局批件号/备案表号/业务编号”），则应填写“N/A”（大写英文字母）。</w:t>
            </w:r>
          </w:p>
        </w:tc>
      </w:tr>
    </w:tbl>
    <w:p w14:paraId="11E37A16" w14:textId="77777777" w:rsidR="00A052DC" w:rsidRDefault="009F0A60">
      <w:pPr>
        <w:pStyle w:val="3"/>
        <w:ind w:left="0"/>
        <w:rPr>
          <w:rFonts w:ascii="Times New Roman" w:hAnsi="Times New Roman"/>
        </w:rPr>
      </w:pPr>
      <w:bookmarkStart w:id="968" w:name="_Toc454386770"/>
      <w:bookmarkStart w:id="969" w:name="_Toc91455269"/>
      <w:bookmarkStart w:id="970" w:name="_Toc101684442"/>
      <w:r>
        <w:rPr>
          <w:rFonts w:ascii="Times New Roman" w:hAnsi="Times New Roman" w:hint="eastAsia"/>
        </w:rPr>
        <w:t>境外汇款申请书</w:t>
      </w:r>
      <w:r>
        <w:rPr>
          <w:rFonts w:ascii="Times New Roman" w:hAnsi="Times New Roman"/>
        </w:rPr>
        <w:t>-</w:t>
      </w:r>
      <w:r>
        <w:rPr>
          <w:rFonts w:ascii="Times New Roman" w:hAnsi="Times New Roman" w:hint="eastAsia"/>
        </w:rPr>
        <w:t>管理信息</w:t>
      </w:r>
      <w:bookmarkEnd w:id="968"/>
      <w:bookmarkEnd w:id="969"/>
      <w:bookmarkEnd w:id="970"/>
    </w:p>
    <w:p w14:paraId="5ECF5E81" w14:textId="77777777" w:rsidR="00A052DC" w:rsidRDefault="009F0A60" w:rsidP="0020251D">
      <w:pPr>
        <w:pStyle w:val="4"/>
        <w:numPr>
          <w:ilvl w:val="3"/>
          <w:numId w:val="1"/>
        </w:numPr>
        <w:jc w:val="left"/>
      </w:pPr>
      <w:bookmarkStart w:id="971" w:name="_Toc454386771"/>
      <w:r>
        <w:rPr>
          <w:rFonts w:hint="eastAsia"/>
        </w:rPr>
        <w:t>数据格式</w:t>
      </w:r>
      <w:bookmarkEnd w:id="971"/>
    </w:p>
    <w:p w14:paraId="546963C3" w14:textId="77777777" w:rsidR="00A052DC" w:rsidRDefault="009F0A60">
      <w:r>
        <w:t>&lt;REC&gt;</w:t>
      </w:r>
    </w:p>
    <w:p w14:paraId="6A251511" w14:textId="77777777" w:rsidR="00A052DC" w:rsidRDefault="009F0A60">
      <w:r>
        <w:t>&lt;ACTIONTYPE&gt;</w:t>
      </w:r>
      <w:r>
        <w:rPr>
          <w:rFonts w:hint="eastAsia"/>
        </w:rPr>
        <w:t>操作类型</w:t>
      </w:r>
      <w:r>
        <w:t>&lt;/ACTIONTYPE&gt;</w:t>
      </w:r>
    </w:p>
    <w:p w14:paraId="2BA6163A" w14:textId="77777777" w:rsidR="00A052DC" w:rsidRDefault="009F0A60">
      <w:r>
        <w:t>&lt;ACTIONDESC&gt;</w:t>
      </w:r>
      <w:r>
        <w:rPr>
          <w:rFonts w:hint="eastAsia"/>
        </w:rPr>
        <w:t>修改</w:t>
      </w:r>
      <w:r>
        <w:t>/</w:t>
      </w:r>
      <w:r>
        <w:t>删除原因</w:t>
      </w:r>
      <w:r>
        <w:t>&lt;/ACTIONDESC&gt;</w:t>
      </w:r>
    </w:p>
    <w:p w14:paraId="1DAF7BE0" w14:textId="77777777" w:rsidR="00A052DC" w:rsidRDefault="009F0A60">
      <w:r>
        <w:t>&lt;RPTNO&gt;</w:t>
      </w:r>
      <w:r>
        <w:rPr>
          <w:rFonts w:hint="eastAsia"/>
        </w:rPr>
        <w:t>申报号码</w:t>
      </w:r>
      <w:r>
        <w:t>&lt;/RPTNO&gt;</w:t>
      </w:r>
    </w:p>
    <w:p w14:paraId="702FFAD1" w14:textId="77777777" w:rsidR="00A052DC" w:rsidRDefault="009F0A60">
      <w:r>
        <w:t>&lt;IMPDATE&gt;</w:t>
      </w:r>
      <w:r>
        <w:rPr>
          <w:rFonts w:hint="eastAsia"/>
        </w:rPr>
        <w:t>最迟装运日期</w:t>
      </w:r>
      <w:r>
        <w:t>&lt;/IMPDATE&gt;</w:t>
      </w:r>
    </w:p>
    <w:p w14:paraId="7BB617D6" w14:textId="77777777" w:rsidR="00A052DC" w:rsidRDefault="009F0A60">
      <w:r>
        <w:t>&lt;CONTRNO&gt;</w:t>
      </w:r>
      <w:r>
        <w:rPr>
          <w:rFonts w:hint="eastAsia"/>
        </w:rPr>
        <w:t>合同号</w:t>
      </w:r>
      <w:r>
        <w:t>&lt;/CONTRNO&gt;</w:t>
      </w:r>
    </w:p>
    <w:p w14:paraId="13BD6CF3" w14:textId="77777777" w:rsidR="00A052DC" w:rsidRDefault="009F0A60">
      <w:r>
        <w:t>&lt;INVOINO&gt;</w:t>
      </w:r>
      <w:r>
        <w:rPr>
          <w:rFonts w:hint="eastAsia"/>
        </w:rPr>
        <w:t>发票号</w:t>
      </w:r>
      <w:r>
        <w:t>&lt;/INVOINO&gt;</w:t>
      </w:r>
    </w:p>
    <w:p w14:paraId="650951A9" w14:textId="77777777" w:rsidR="00A052DC" w:rsidRDefault="009F0A60">
      <w:r>
        <w:t>&lt;REGNO&gt;</w:t>
      </w:r>
      <w:r>
        <w:rPr>
          <w:rFonts w:hint="eastAsia"/>
        </w:rPr>
        <w:t>外汇局批件</w:t>
      </w:r>
      <w:r>
        <w:t>/</w:t>
      </w:r>
      <w:r>
        <w:t>备案表号</w:t>
      </w:r>
      <w:r>
        <w:t>&lt;/REGNO&gt;</w:t>
      </w:r>
    </w:p>
    <w:p w14:paraId="318EA0C1" w14:textId="77777777" w:rsidR="00A052DC" w:rsidRDefault="009F0A60">
      <w:r>
        <w:t>&lt;CUSMNO&gt;</w:t>
      </w:r>
      <w:r>
        <w:rPr>
          <w:rFonts w:hint="eastAsia"/>
        </w:rPr>
        <w:t>报关单经营单位代码</w:t>
      </w:r>
      <w:r>
        <w:t>&lt;/CUSMNO&gt;</w:t>
      </w:r>
    </w:p>
    <w:p w14:paraId="47B9D638" w14:textId="77777777" w:rsidR="00A052DC" w:rsidRDefault="009F0A60">
      <w:r>
        <w:t>&lt;CUSTOMS&gt;</w:t>
      </w:r>
    </w:p>
    <w:p w14:paraId="3F5BEE79" w14:textId="77777777" w:rsidR="00A052DC" w:rsidRDefault="009F0A60">
      <w:r>
        <w:t>&lt;CUSTOM&gt;</w:t>
      </w:r>
    </w:p>
    <w:p w14:paraId="44D8606A" w14:textId="77777777" w:rsidR="00A052DC" w:rsidRDefault="009F0A60">
      <w:r>
        <w:t>&lt;CUSTOMN&gt;</w:t>
      </w:r>
      <w:r>
        <w:rPr>
          <w:rFonts w:hint="eastAsia"/>
        </w:rPr>
        <w:t>报关单号</w:t>
      </w:r>
      <w:r>
        <w:t>&lt;/CUSTOMN&gt;</w:t>
      </w:r>
    </w:p>
    <w:p w14:paraId="3BF78EC9" w14:textId="77777777" w:rsidR="00A052DC" w:rsidRDefault="009F0A60">
      <w:r>
        <w:t>&lt;CUSTCCY&gt;</w:t>
      </w:r>
      <w:r>
        <w:rPr>
          <w:rFonts w:hint="eastAsia"/>
        </w:rPr>
        <w:t>报关单币种</w:t>
      </w:r>
      <w:r>
        <w:t>&lt;/CUSTCCY&gt;</w:t>
      </w:r>
    </w:p>
    <w:p w14:paraId="232D8B6A" w14:textId="77777777" w:rsidR="00A052DC" w:rsidRDefault="009F0A60">
      <w:r>
        <w:t>&lt;CUSTAMT&gt;</w:t>
      </w:r>
      <w:r>
        <w:rPr>
          <w:rFonts w:hint="eastAsia"/>
        </w:rPr>
        <w:t>报关金额</w:t>
      </w:r>
      <w:r>
        <w:t>&lt;/CUSTAMT&gt;</w:t>
      </w:r>
    </w:p>
    <w:p w14:paraId="254A258B" w14:textId="77777777" w:rsidR="00A052DC" w:rsidRDefault="009F0A60">
      <w:r>
        <w:t>&lt;OFFAMT&gt;</w:t>
      </w:r>
      <w:r>
        <w:rPr>
          <w:rFonts w:hint="eastAsia"/>
        </w:rPr>
        <w:t>本次核注金额</w:t>
      </w:r>
      <w:r>
        <w:t>&lt;/OFFAMT&gt;</w:t>
      </w:r>
    </w:p>
    <w:p w14:paraId="288F1CA4" w14:textId="77777777" w:rsidR="00A052DC" w:rsidRDefault="009F0A60">
      <w:r>
        <w:t>&lt;/CUSTOM&gt;</w:t>
      </w:r>
    </w:p>
    <w:p w14:paraId="154A7C93" w14:textId="77777777" w:rsidR="00A052DC" w:rsidRDefault="009F0A60">
      <w:r>
        <w:t>……</w:t>
      </w:r>
    </w:p>
    <w:p w14:paraId="6599C155" w14:textId="77777777" w:rsidR="00A052DC" w:rsidRDefault="009F0A60">
      <w:r>
        <w:t>&lt;/CUSTOMS&gt;</w:t>
      </w:r>
    </w:p>
    <w:p w14:paraId="569AC0FB" w14:textId="77777777" w:rsidR="00A052DC" w:rsidRDefault="009F0A60">
      <w:r>
        <w:t>&lt;CRTUSER&gt;</w:t>
      </w:r>
      <w:r>
        <w:rPr>
          <w:rFonts w:hint="eastAsia"/>
        </w:rPr>
        <w:t>填报人</w:t>
      </w:r>
      <w:r>
        <w:t>&lt;/CRTUSER&gt;</w:t>
      </w:r>
    </w:p>
    <w:p w14:paraId="09EA34A1" w14:textId="77777777" w:rsidR="00A052DC" w:rsidRDefault="009F0A60">
      <w:r>
        <w:t>&lt;INPTELC&gt;</w:t>
      </w:r>
      <w:r>
        <w:rPr>
          <w:rFonts w:hint="eastAsia"/>
        </w:rPr>
        <w:t>填报人电话</w:t>
      </w:r>
      <w:r>
        <w:t>&lt;/INPTELC&gt;</w:t>
      </w:r>
    </w:p>
    <w:p w14:paraId="78F1B6FD" w14:textId="77777777" w:rsidR="00A052DC" w:rsidRDefault="009F0A60">
      <w:r>
        <w:t>&lt;RPTDATE&gt;</w:t>
      </w:r>
      <w:r>
        <w:rPr>
          <w:rFonts w:hint="eastAsia"/>
        </w:rPr>
        <w:t>申报日期</w:t>
      </w:r>
      <w:r>
        <w:t>&lt;/RPTDATE&gt;</w:t>
      </w:r>
    </w:p>
    <w:p w14:paraId="6C05F215" w14:textId="77777777" w:rsidR="00A052DC" w:rsidRDefault="009F0A60">
      <w:r>
        <w:t>&lt;/REC&gt;</w:t>
      </w:r>
    </w:p>
    <w:p w14:paraId="3B24F84E" w14:textId="77777777" w:rsidR="00A052DC" w:rsidRDefault="009F0A60" w:rsidP="0020251D">
      <w:pPr>
        <w:pStyle w:val="4"/>
        <w:numPr>
          <w:ilvl w:val="3"/>
          <w:numId w:val="1"/>
        </w:numPr>
        <w:jc w:val="left"/>
      </w:pPr>
      <w:bookmarkStart w:id="972" w:name="_Toc454386772"/>
      <w:r>
        <w:rPr>
          <w:rFonts w:hint="eastAsia"/>
        </w:rPr>
        <w:t>数据字典</w:t>
      </w:r>
      <w:bookmarkEnd w:id="972"/>
    </w:p>
    <w:tbl>
      <w:tblPr>
        <w:tblW w:w="86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268"/>
        <w:gridCol w:w="1559"/>
        <w:gridCol w:w="3402"/>
      </w:tblGrid>
      <w:tr w:rsidR="00A052DC" w14:paraId="6744CFF1" w14:textId="77777777">
        <w:trPr>
          <w:tblHeader/>
        </w:trPr>
        <w:tc>
          <w:tcPr>
            <w:tcW w:w="1418" w:type="dxa"/>
            <w:shd w:val="clear" w:color="auto" w:fill="C0C0C0"/>
          </w:tcPr>
          <w:p w14:paraId="145698BD" w14:textId="77777777" w:rsidR="00A052DC" w:rsidRDefault="009F0A60">
            <w:pPr>
              <w:jc w:val="center"/>
              <w:rPr>
                <w:rFonts w:ascii="黑体" w:eastAsia="黑体" w:hAnsi="黑体"/>
                <w:b/>
                <w:sz w:val="20"/>
                <w:szCs w:val="20"/>
              </w:rPr>
            </w:pPr>
            <w:r>
              <w:rPr>
                <w:rFonts w:ascii="黑体" w:eastAsia="黑体" w:hAnsi="黑体" w:hint="eastAsia"/>
                <w:b/>
                <w:sz w:val="20"/>
                <w:szCs w:val="20"/>
              </w:rPr>
              <w:t>字段</w:t>
            </w:r>
          </w:p>
        </w:tc>
        <w:tc>
          <w:tcPr>
            <w:tcW w:w="2268" w:type="dxa"/>
            <w:shd w:val="clear" w:color="auto" w:fill="C0C0C0"/>
          </w:tcPr>
          <w:p w14:paraId="592E3A50" w14:textId="77777777" w:rsidR="00A052DC" w:rsidRDefault="009F0A60">
            <w:pPr>
              <w:jc w:val="center"/>
              <w:rPr>
                <w:rFonts w:ascii="黑体" w:eastAsia="黑体" w:hAnsi="黑体"/>
                <w:b/>
                <w:sz w:val="20"/>
                <w:szCs w:val="20"/>
              </w:rPr>
            </w:pPr>
            <w:r>
              <w:rPr>
                <w:rFonts w:ascii="黑体" w:eastAsia="黑体" w:hAnsi="黑体" w:hint="eastAsia"/>
                <w:b/>
                <w:sz w:val="20"/>
                <w:szCs w:val="20"/>
              </w:rPr>
              <w:t>内容</w:t>
            </w:r>
          </w:p>
        </w:tc>
        <w:tc>
          <w:tcPr>
            <w:tcW w:w="1559" w:type="dxa"/>
            <w:shd w:val="clear" w:color="auto" w:fill="C0C0C0"/>
          </w:tcPr>
          <w:p w14:paraId="5D7FFCFB" w14:textId="77777777" w:rsidR="00A052DC" w:rsidRDefault="009F0A60">
            <w:pPr>
              <w:jc w:val="center"/>
              <w:rPr>
                <w:rFonts w:ascii="黑体" w:eastAsia="黑体" w:hAnsi="黑体"/>
                <w:b/>
                <w:sz w:val="20"/>
                <w:szCs w:val="20"/>
              </w:rPr>
            </w:pPr>
            <w:r>
              <w:rPr>
                <w:rFonts w:ascii="黑体" w:eastAsia="黑体" w:hAnsi="黑体" w:hint="eastAsia"/>
                <w:b/>
                <w:sz w:val="20"/>
                <w:szCs w:val="20"/>
              </w:rPr>
              <w:t>类型（长度）</w:t>
            </w:r>
          </w:p>
        </w:tc>
        <w:tc>
          <w:tcPr>
            <w:tcW w:w="3402" w:type="dxa"/>
            <w:shd w:val="clear" w:color="auto" w:fill="C0C0C0"/>
          </w:tcPr>
          <w:p w14:paraId="121914EF" w14:textId="77777777" w:rsidR="00A052DC" w:rsidRDefault="009F0A60">
            <w:pPr>
              <w:jc w:val="center"/>
              <w:rPr>
                <w:rFonts w:ascii="黑体" w:eastAsia="黑体" w:hAnsi="黑体"/>
                <w:b/>
                <w:sz w:val="20"/>
                <w:szCs w:val="20"/>
              </w:rPr>
            </w:pPr>
            <w:r>
              <w:rPr>
                <w:rFonts w:ascii="黑体" w:eastAsia="黑体" w:hAnsi="黑体" w:hint="eastAsia"/>
                <w:b/>
                <w:sz w:val="20"/>
                <w:szCs w:val="20"/>
              </w:rPr>
              <w:t>校验</w:t>
            </w:r>
          </w:p>
        </w:tc>
      </w:tr>
      <w:tr w:rsidR="00A052DC" w14:paraId="702344E0" w14:textId="77777777">
        <w:tc>
          <w:tcPr>
            <w:tcW w:w="1418" w:type="dxa"/>
            <w:tcBorders>
              <w:top w:val="single" w:sz="4" w:space="0" w:color="auto"/>
              <w:left w:val="single" w:sz="4" w:space="0" w:color="auto"/>
              <w:bottom w:val="single" w:sz="4" w:space="0" w:color="auto"/>
              <w:right w:val="single" w:sz="4" w:space="0" w:color="auto"/>
            </w:tcBorders>
          </w:tcPr>
          <w:p w14:paraId="55EA3674" w14:textId="77777777" w:rsidR="00A052DC" w:rsidRDefault="009F0A60">
            <w:pPr>
              <w:rPr>
                <w:rFonts w:ascii="黑体" w:eastAsia="黑体" w:hAnsi="黑体"/>
                <w:sz w:val="20"/>
                <w:szCs w:val="20"/>
              </w:rPr>
            </w:pPr>
            <w:r>
              <w:rPr>
                <w:rFonts w:ascii="黑体" w:eastAsia="黑体" w:hAnsi="黑体" w:hint="eastAsia"/>
                <w:sz w:val="20"/>
                <w:szCs w:val="20"/>
              </w:rPr>
              <w:t>ACTIONTYPE</w:t>
            </w:r>
          </w:p>
        </w:tc>
        <w:tc>
          <w:tcPr>
            <w:tcW w:w="2268" w:type="dxa"/>
            <w:tcBorders>
              <w:top w:val="single" w:sz="4" w:space="0" w:color="auto"/>
              <w:left w:val="single" w:sz="4" w:space="0" w:color="auto"/>
              <w:bottom w:val="single" w:sz="4" w:space="0" w:color="auto"/>
              <w:right w:val="single" w:sz="4" w:space="0" w:color="auto"/>
            </w:tcBorders>
          </w:tcPr>
          <w:p w14:paraId="1537DB2E" w14:textId="77777777" w:rsidR="00A052DC" w:rsidRDefault="009F0A60">
            <w:pPr>
              <w:rPr>
                <w:rFonts w:ascii="黑体" w:eastAsia="黑体" w:hAnsi="黑体"/>
                <w:sz w:val="20"/>
                <w:szCs w:val="20"/>
              </w:rPr>
            </w:pPr>
            <w:r>
              <w:rPr>
                <w:rFonts w:ascii="黑体" w:eastAsia="黑体" w:hAnsi="黑体" w:hint="eastAsia"/>
                <w:sz w:val="20"/>
                <w:szCs w:val="20"/>
              </w:rPr>
              <w:t>操作类型</w:t>
            </w:r>
          </w:p>
        </w:tc>
        <w:tc>
          <w:tcPr>
            <w:tcW w:w="1559" w:type="dxa"/>
            <w:tcBorders>
              <w:top w:val="single" w:sz="4" w:space="0" w:color="auto"/>
              <w:left w:val="single" w:sz="4" w:space="0" w:color="auto"/>
              <w:bottom w:val="single" w:sz="4" w:space="0" w:color="auto"/>
              <w:right w:val="single" w:sz="4" w:space="0" w:color="auto"/>
            </w:tcBorders>
          </w:tcPr>
          <w:p w14:paraId="1AE041CA" w14:textId="77777777" w:rsidR="00A052DC" w:rsidRDefault="009F0A60">
            <w:pPr>
              <w:rPr>
                <w:rFonts w:ascii="黑体" w:eastAsia="黑体" w:hAnsi="黑体"/>
                <w:sz w:val="20"/>
                <w:szCs w:val="20"/>
              </w:rPr>
            </w:pPr>
            <w:r>
              <w:rPr>
                <w:rFonts w:ascii="黑体" w:eastAsia="黑体" w:hAnsi="黑体" w:hint="eastAsia"/>
                <w:sz w:val="20"/>
                <w:szCs w:val="20"/>
              </w:rPr>
              <w:t>字符型，1</w:t>
            </w:r>
          </w:p>
        </w:tc>
        <w:tc>
          <w:tcPr>
            <w:tcW w:w="3402" w:type="dxa"/>
            <w:tcBorders>
              <w:top w:val="single" w:sz="4" w:space="0" w:color="auto"/>
              <w:left w:val="single" w:sz="4" w:space="0" w:color="auto"/>
              <w:bottom w:val="single" w:sz="4" w:space="0" w:color="auto"/>
              <w:right w:val="single" w:sz="4" w:space="0" w:color="auto"/>
            </w:tcBorders>
          </w:tcPr>
          <w:p w14:paraId="2848A033" w14:textId="77777777" w:rsidR="00A052DC" w:rsidRDefault="009F0A60">
            <w:pPr>
              <w:rPr>
                <w:rFonts w:ascii="黑体" w:eastAsia="黑体" w:hAnsi="黑体"/>
                <w:sz w:val="20"/>
                <w:szCs w:val="20"/>
              </w:rPr>
            </w:pPr>
            <w:r>
              <w:rPr>
                <w:rFonts w:ascii="黑体" w:eastAsia="黑体" w:hAnsi="黑体" w:hint="eastAsia"/>
                <w:sz w:val="20"/>
                <w:szCs w:val="20"/>
              </w:rPr>
              <w:t>A</w:t>
            </w:r>
            <w:r w:rsidR="00AE4602">
              <w:rPr>
                <w:rFonts w:ascii="黑体" w:eastAsia="黑体" w:hAnsi="黑体" w:hint="eastAsia"/>
                <w:sz w:val="20"/>
                <w:szCs w:val="20"/>
              </w:rPr>
              <w:t>-</w:t>
            </w:r>
            <w:r>
              <w:rPr>
                <w:rFonts w:ascii="黑体" w:eastAsia="黑体" w:hAnsi="黑体" w:hint="eastAsia"/>
                <w:sz w:val="20"/>
                <w:szCs w:val="20"/>
              </w:rPr>
              <w:t>新建</w:t>
            </w:r>
          </w:p>
          <w:p w14:paraId="053698C0" w14:textId="77777777" w:rsidR="00A052DC" w:rsidRDefault="009F0A60">
            <w:pPr>
              <w:rPr>
                <w:rFonts w:ascii="黑体" w:eastAsia="黑体" w:hAnsi="黑体"/>
                <w:sz w:val="20"/>
                <w:szCs w:val="20"/>
              </w:rPr>
            </w:pPr>
            <w:r>
              <w:rPr>
                <w:rFonts w:ascii="黑体" w:eastAsia="黑体" w:hAnsi="黑体" w:hint="eastAsia"/>
                <w:sz w:val="20"/>
                <w:szCs w:val="20"/>
              </w:rPr>
              <w:t>C</w:t>
            </w:r>
            <w:r w:rsidR="00AE4602">
              <w:rPr>
                <w:rFonts w:ascii="黑体" w:eastAsia="黑体" w:hAnsi="黑体" w:hint="eastAsia"/>
                <w:sz w:val="20"/>
                <w:szCs w:val="20"/>
              </w:rPr>
              <w:t>-</w:t>
            </w:r>
            <w:r>
              <w:rPr>
                <w:rFonts w:ascii="黑体" w:eastAsia="黑体" w:hAnsi="黑体" w:hint="eastAsia"/>
                <w:sz w:val="20"/>
                <w:szCs w:val="20"/>
              </w:rPr>
              <w:t>修改</w:t>
            </w:r>
          </w:p>
          <w:p w14:paraId="1A8EB786" w14:textId="77777777" w:rsidR="00A052DC" w:rsidRDefault="009F0A60">
            <w:pPr>
              <w:rPr>
                <w:rFonts w:ascii="黑体" w:eastAsia="黑体" w:hAnsi="黑体"/>
                <w:sz w:val="20"/>
                <w:szCs w:val="20"/>
              </w:rPr>
            </w:pPr>
            <w:r>
              <w:rPr>
                <w:rFonts w:ascii="黑体" w:eastAsia="黑体" w:hAnsi="黑体" w:hint="eastAsia"/>
                <w:sz w:val="20"/>
                <w:szCs w:val="20"/>
              </w:rPr>
              <w:t>D</w:t>
            </w:r>
            <w:r w:rsidR="00AE4602">
              <w:rPr>
                <w:rFonts w:ascii="黑体" w:eastAsia="黑体" w:hAnsi="黑体" w:hint="eastAsia"/>
                <w:sz w:val="20"/>
                <w:szCs w:val="20"/>
              </w:rPr>
              <w:t>-</w:t>
            </w:r>
            <w:r>
              <w:rPr>
                <w:rFonts w:ascii="黑体" w:eastAsia="黑体" w:hAnsi="黑体" w:hint="eastAsia"/>
                <w:sz w:val="20"/>
                <w:szCs w:val="20"/>
              </w:rPr>
              <w:t>删除，预留，暂不用</w:t>
            </w:r>
          </w:p>
        </w:tc>
      </w:tr>
      <w:tr w:rsidR="00A052DC" w14:paraId="64FED416" w14:textId="77777777">
        <w:tc>
          <w:tcPr>
            <w:tcW w:w="1418" w:type="dxa"/>
            <w:tcBorders>
              <w:top w:val="single" w:sz="4" w:space="0" w:color="auto"/>
              <w:left w:val="single" w:sz="4" w:space="0" w:color="auto"/>
              <w:bottom w:val="single" w:sz="4" w:space="0" w:color="auto"/>
              <w:right w:val="single" w:sz="4" w:space="0" w:color="auto"/>
            </w:tcBorders>
          </w:tcPr>
          <w:p w14:paraId="1416443B" w14:textId="77777777" w:rsidR="00A052DC" w:rsidRDefault="009F0A60">
            <w:pPr>
              <w:rPr>
                <w:rFonts w:ascii="黑体" w:eastAsia="黑体" w:hAnsi="黑体"/>
                <w:sz w:val="20"/>
                <w:szCs w:val="20"/>
              </w:rPr>
            </w:pPr>
            <w:r>
              <w:rPr>
                <w:rFonts w:ascii="黑体" w:eastAsia="黑体" w:hAnsi="黑体" w:hint="eastAsia"/>
                <w:sz w:val="20"/>
                <w:szCs w:val="20"/>
              </w:rPr>
              <w:t>ACTIONDESC</w:t>
            </w:r>
          </w:p>
        </w:tc>
        <w:tc>
          <w:tcPr>
            <w:tcW w:w="2268" w:type="dxa"/>
            <w:tcBorders>
              <w:top w:val="single" w:sz="4" w:space="0" w:color="auto"/>
              <w:left w:val="single" w:sz="4" w:space="0" w:color="auto"/>
              <w:bottom w:val="single" w:sz="4" w:space="0" w:color="auto"/>
              <w:right w:val="single" w:sz="4" w:space="0" w:color="auto"/>
            </w:tcBorders>
          </w:tcPr>
          <w:p w14:paraId="354452D7" w14:textId="77777777" w:rsidR="00A052DC" w:rsidRDefault="009F0A60">
            <w:pPr>
              <w:rPr>
                <w:rFonts w:ascii="黑体" w:eastAsia="黑体" w:hAnsi="黑体"/>
                <w:sz w:val="20"/>
                <w:szCs w:val="20"/>
              </w:rPr>
            </w:pPr>
            <w:r>
              <w:rPr>
                <w:rFonts w:ascii="黑体" w:eastAsia="黑体" w:hAnsi="黑体" w:hint="eastAsia"/>
                <w:sz w:val="20"/>
                <w:szCs w:val="20"/>
              </w:rPr>
              <w:t>修改/删除原因</w:t>
            </w:r>
          </w:p>
        </w:tc>
        <w:tc>
          <w:tcPr>
            <w:tcW w:w="1559" w:type="dxa"/>
            <w:tcBorders>
              <w:top w:val="single" w:sz="4" w:space="0" w:color="auto"/>
              <w:left w:val="single" w:sz="4" w:space="0" w:color="auto"/>
              <w:bottom w:val="single" w:sz="4" w:space="0" w:color="auto"/>
              <w:right w:val="single" w:sz="4" w:space="0" w:color="auto"/>
            </w:tcBorders>
          </w:tcPr>
          <w:p w14:paraId="192ADFEB"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3402" w:type="dxa"/>
            <w:tcBorders>
              <w:top w:val="single" w:sz="4" w:space="0" w:color="auto"/>
              <w:left w:val="single" w:sz="4" w:space="0" w:color="auto"/>
              <w:bottom w:val="single" w:sz="4" w:space="0" w:color="auto"/>
              <w:right w:val="single" w:sz="4" w:space="0" w:color="auto"/>
            </w:tcBorders>
          </w:tcPr>
          <w:p w14:paraId="1CDCFDBC" w14:textId="77777777" w:rsidR="00A052DC" w:rsidRDefault="00A052DC">
            <w:pPr>
              <w:rPr>
                <w:rFonts w:ascii="黑体" w:eastAsia="黑体" w:hAnsi="黑体"/>
                <w:sz w:val="20"/>
                <w:szCs w:val="20"/>
              </w:rPr>
            </w:pPr>
          </w:p>
        </w:tc>
      </w:tr>
      <w:tr w:rsidR="00A052DC" w14:paraId="6995930D" w14:textId="77777777">
        <w:tc>
          <w:tcPr>
            <w:tcW w:w="1418" w:type="dxa"/>
          </w:tcPr>
          <w:p w14:paraId="1F1B3213" w14:textId="77777777" w:rsidR="00A052DC" w:rsidRDefault="009F0A60">
            <w:pPr>
              <w:rPr>
                <w:rFonts w:ascii="黑体" w:eastAsia="黑体" w:hAnsi="黑体"/>
                <w:sz w:val="20"/>
                <w:szCs w:val="20"/>
              </w:rPr>
            </w:pPr>
            <w:r>
              <w:rPr>
                <w:rFonts w:ascii="黑体" w:eastAsia="黑体" w:hAnsi="黑体" w:hint="eastAsia"/>
                <w:sz w:val="20"/>
                <w:szCs w:val="20"/>
              </w:rPr>
              <w:t>RPTNO</w:t>
            </w:r>
          </w:p>
        </w:tc>
        <w:tc>
          <w:tcPr>
            <w:tcW w:w="2268" w:type="dxa"/>
          </w:tcPr>
          <w:p w14:paraId="715CD3D2" w14:textId="77777777" w:rsidR="00A052DC" w:rsidRDefault="009F0A60">
            <w:pPr>
              <w:rPr>
                <w:rFonts w:ascii="黑体" w:eastAsia="黑体" w:hAnsi="黑体"/>
                <w:sz w:val="20"/>
                <w:szCs w:val="20"/>
              </w:rPr>
            </w:pPr>
            <w:r>
              <w:rPr>
                <w:rFonts w:ascii="黑体" w:eastAsia="黑体" w:hAnsi="黑体" w:hint="eastAsia"/>
                <w:sz w:val="20"/>
                <w:szCs w:val="20"/>
              </w:rPr>
              <w:t>申报号码</w:t>
            </w:r>
          </w:p>
        </w:tc>
        <w:tc>
          <w:tcPr>
            <w:tcW w:w="1559" w:type="dxa"/>
          </w:tcPr>
          <w:p w14:paraId="11372617" w14:textId="77777777" w:rsidR="00A052DC" w:rsidRDefault="009F0A60">
            <w:pPr>
              <w:rPr>
                <w:rFonts w:ascii="黑体" w:eastAsia="黑体" w:hAnsi="黑体"/>
                <w:sz w:val="20"/>
                <w:szCs w:val="20"/>
              </w:rPr>
            </w:pPr>
            <w:r>
              <w:rPr>
                <w:rFonts w:ascii="黑体" w:eastAsia="黑体" w:hAnsi="黑体" w:hint="eastAsia"/>
                <w:sz w:val="20"/>
                <w:szCs w:val="20"/>
              </w:rPr>
              <w:t>字符型，22</w:t>
            </w:r>
          </w:p>
        </w:tc>
        <w:tc>
          <w:tcPr>
            <w:tcW w:w="3402" w:type="dxa"/>
          </w:tcPr>
          <w:p w14:paraId="0BBCEB25" w14:textId="77777777" w:rsidR="00A052DC" w:rsidRDefault="009F0A60">
            <w:pPr>
              <w:rPr>
                <w:rFonts w:ascii="黑体" w:eastAsia="黑体" w:hAnsi="黑体"/>
                <w:sz w:val="20"/>
                <w:szCs w:val="20"/>
              </w:rPr>
            </w:pPr>
            <w:r>
              <w:rPr>
                <w:rFonts w:ascii="黑体" w:eastAsia="黑体" w:hAnsi="黑体" w:hint="eastAsia"/>
                <w:sz w:val="20"/>
                <w:szCs w:val="20"/>
              </w:rPr>
              <w:t>应与基础数据一致。</w:t>
            </w:r>
          </w:p>
        </w:tc>
      </w:tr>
      <w:tr w:rsidR="00A052DC" w14:paraId="24148DE0" w14:textId="77777777">
        <w:tc>
          <w:tcPr>
            <w:tcW w:w="1418" w:type="dxa"/>
          </w:tcPr>
          <w:p w14:paraId="2A3744CC" w14:textId="77777777" w:rsidR="00A052DC" w:rsidRDefault="009F0A60">
            <w:pPr>
              <w:rPr>
                <w:rFonts w:ascii="黑体" w:eastAsia="黑体" w:hAnsi="黑体"/>
                <w:sz w:val="20"/>
                <w:szCs w:val="20"/>
              </w:rPr>
            </w:pPr>
            <w:r>
              <w:rPr>
                <w:rFonts w:ascii="黑体" w:eastAsia="黑体" w:hAnsi="黑体" w:hint="eastAsia"/>
                <w:sz w:val="20"/>
                <w:szCs w:val="20"/>
              </w:rPr>
              <w:t>IMPDATE</w:t>
            </w:r>
          </w:p>
        </w:tc>
        <w:tc>
          <w:tcPr>
            <w:tcW w:w="2268" w:type="dxa"/>
          </w:tcPr>
          <w:p w14:paraId="25570F3E" w14:textId="77777777" w:rsidR="00A052DC" w:rsidRDefault="009F0A60">
            <w:pPr>
              <w:rPr>
                <w:rFonts w:ascii="黑体" w:eastAsia="黑体" w:hAnsi="黑体"/>
                <w:sz w:val="20"/>
                <w:szCs w:val="20"/>
              </w:rPr>
            </w:pPr>
            <w:r>
              <w:rPr>
                <w:rFonts w:ascii="黑体" w:eastAsia="黑体" w:hAnsi="黑体" w:hint="eastAsia"/>
                <w:sz w:val="20"/>
                <w:szCs w:val="20"/>
              </w:rPr>
              <w:t>最迟装运日期</w:t>
            </w:r>
          </w:p>
        </w:tc>
        <w:tc>
          <w:tcPr>
            <w:tcW w:w="1559" w:type="dxa"/>
          </w:tcPr>
          <w:p w14:paraId="17F07BCB" w14:textId="77777777" w:rsidR="00A052DC" w:rsidRDefault="009F0A60">
            <w:pPr>
              <w:rPr>
                <w:rFonts w:ascii="黑体" w:eastAsia="黑体" w:hAnsi="黑体"/>
                <w:sz w:val="20"/>
                <w:szCs w:val="20"/>
              </w:rPr>
            </w:pPr>
            <w:r>
              <w:rPr>
                <w:rFonts w:ascii="黑体" w:eastAsia="黑体" w:hAnsi="黑体" w:hint="eastAsia"/>
                <w:sz w:val="20"/>
                <w:szCs w:val="20"/>
              </w:rPr>
              <w:t>日期型，8</w:t>
            </w:r>
          </w:p>
          <w:p w14:paraId="7FC9CC0C" w14:textId="77777777" w:rsidR="00A052DC" w:rsidRDefault="009F0A60">
            <w:pPr>
              <w:rPr>
                <w:rFonts w:ascii="黑体" w:eastAsia="黑体" w:hAnsi="黑体"/>
                <w:sz w:val="20"/>
                <w:szCs w:val="20"/>
              </w:rPr>
            </w:pPr>
            <w:r>
              <w:rPr>
                <w:rFonts w:ascii="黑体" w:eastAsia="黑体" w:hAnsi="黑体" w:hint="eastAsia"/>
                <w:sz w:val="20"/>
                <w:szCs w:val="20"/>
              </w:rPr>
              <w:t>YYYYMMDD</w:t>
            </w:r>
          </w:p>
        </w:tc>
        <w:tc>
          <w:tcPr>
            <w:tcW w:w="3402" w:type="dxa"/>
          </w:tcPr>
          <w:p w14:paraId="7BA5D620" w14:textId="77777777" w:rsidR="00A052DC" w:rsidRDefault="009F0A60">
            <w:pPr>
              <w:rPr>
                <w:rFonts w:ascii="黑体" w:eastAsia="黑体" w:hAnsi="黑体"/>
                <w:sz w:val="20"/>
                <w:szCs w:val="20"/>
              </w:rPr>
            </w:pPr>
            <w:r>
              <w:rPr>
                <w:rFonts w:ascii="黑体" w:eastAsia="黑体" w:hAnsi="黑体" w:hint="eastAsia"/>
                <w:sz w:val="20"/>
                <w:szCs w:val="20"/>
              </w:rPr>
              <w:t>空，不赋值。</w:t>
            </w:r>
          </w:p>
        </w:tc>
      </w:tr>
      <w:tr w:rsidR="00A052DC" w14:paraId="27E23297" w14:textId="77777777">
        <w:tc>
          <w:tcPr>
            <w:tcW w:w="1418" w:type="dxa"/>
          </w:tcPr>
          <w:p w14:paraId="439394C7" w14:textId="77777777" w:rsidR="00A052DC" w:rsidRDefault="009F0A60">
            <w:pPr>
              <w:rPr>
                <w:rFonts w:ascii="黑体" w:eastAsia="黑体" w:hAnsi="黑体"/>
                <w:sz w:val="20"/>
                <w:szCs w:val="20"/>
              </w:rPr>
            </w:pPr>
            <w:r>
              <w:rPr>
                <w:rFonts w:ascii="黑体" w:eastAsia="黑体" w:hAnsi="黑体" w:hint="eastAsia"/>
                <w:sz w:val="20"/>
                <w:szCs w:val="20"/>
              </w:rPr>
              <w:t>CONTRNO</w:t>
            </w:r>
          </w:p>
        </w:tc>
        <w:tc>
          <w:tcPr>
            <w:tcW w:w="2268" w:type="dxa"/>
          </w:tcPr>
          <w:p w14:paraId="0FBF7E4C" w14:textId="77777777" w:rsidR="00A052DC" w:rsidRDefault="009F0A60">
            <w:pPr>
              <w:rPr>
                <w:rFonts w:ascii="黑体" w:eastAsia="黑体" w:hAnsi="黑体"/>
                <w:sz w:val="20"/>
                <w:szCs w:val="20"/>
              </w:rPr>
            </w:pPr>
            <w:r>
              <w:rPr>
                <w:rFonts w:ascii="黑体" w:eastAsia="黑体" w:hAnsi="黑体" w:hint="eastAsia"/>
                <w:sz w:val="20"/>
                <w:szCs w:val="20"/>
              </w:rPr>
              <w:t>合同号</w:t>
            </w:r>
          </w:p>
        </w:tc>
        <w:tc>
          <w:tcPr>
            <w:tcW w:w="1559" w:type="dxa"/>
          </w:tcPr>
          <w:p w14:paraId="405CE195"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3402" w:type="dxa"/>
          </w:tcPr>
          <w:p w14:paraId="4646DEE8"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r w:rsidR="00A052DC" w14:paraId="7274A1AB" w14:textId="77777777">
        <w:tc>
          <w:tcPr>
            <w:tcW w:w="1418" w:type="dxa"/>
          </w:tcPr>
          <w:p w14:paraId="2BBB8933" w14:textId="77777777" w:rsidR="00A052DC" w:rsidRDefault="009F0A60">
            <w:pPr>
              <w:rPr>
                <w:rFonts w:ascii="黑体" w:eastAsia="黑体" w:hAnsi="黑体"/>
                <w:sz w:val="20"/>
                <w:szCs w:val="20"/>
              </w:rPr>
            </w:pPr>
            <w:r>
              <w:rPr>
                <w:rFonts w:ascii="黑体" w:eastAsia="黑体" w:hAnsi="黑体" w:hint="eastAsia"/>
                <w:sz w:val="20"/>
                <w:szCs w:val="20"/>
              </w:rPr>
              <w:t>INVOINO</w:t>
            </w:r>
          </w:p>
        </w:tc>
        <w:tc>
          <w:tcPr>
            <w:tcW w:w="2268" w:type="dxa"/>
          </w:tcPr>
          <w:p w14:paraId="548B21CC" w14:textId="77777777" w:rsidR="00A052DC" w:rsidRDefault="009F0A60">
            <w:pPr>
              <w:rPr>
                <w:rFonts w:ascii="黑体" w:eastAsia="黑体" w:hAnsi="黑体"/>
                <w:sz w:val="20"/>
                <w:szCs w:val="20"/>
              </w:rPr>
            </w:pPr>
            <w:r>
              <w:rPr>
                <w:rFonts w:ascii="黑体" w:eastAsia="黑体" w:hAnsi="黑体" w:hint="eastAsia"/>
                <w:sz w:val="20"/>
                <w:szCs w:val="20"/>
              </w:rPr>
              <w:t>发票号</w:t>
            </w:r>
          </w:p>
        </w:tc>
        <w:tc>
          <w:tcPr>
            <w:tcW w:w="1559" w:type="dxa"/>
          </w:tcPr>
          <w:p w14:paraId="789C78C1"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3402" w:type="dxa"/>
          </w:tcPr>
          <w:p w14:paraId="25D188AA"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r w:rsidR="00A052DC" w14:paraId="7C3FF9E8" w14:textId="77777777">
        <w:tc>
          <w:tcPr>
            <w:tcW w:w="1418" w:type="dxa"/>
          </w:tcPr>
          <w:p w14:paraId="7F6B1AFF" w14:textId="77777777" w:rsidR="00A052DC" w:rsidRDefault="009F0A60">
            <w:pPr>
              <w:rPr>
                <w:rFonts w:ascii="黑体" w:eastAsia="黑体" w:hAnsi="黑体"/>
                <w:sz w:val="20"/>
                <w:szCs w:val="20"/>
              </w:rPr>
            </w:pPr>
            <w:r>
              <w:rPr>
                <w:rFonts w:ascii="黑体" w:eastAsia="黑体" w:hAnsi="黑体" w:hint="eastAsia"/>
                <w:sz w:val="20"/>
                <w:szCs w:val="20"/>
              </w:rPr>
              <w:t>REGNO</w:t>
            </w:r>
          </w:p>
        </w:tc>
        <w:tc>
          <w:tcPr>
            <w:tcW w:w="2268" w:type="dxa"/>
          </w:tcPr>
          <w:p w14:paraId="4AF7AED5" w14:textId="77777777" w:rsidR="00A052DC" w:rsidRDefault="009F0A60">
            <w:pPr>
              <w:rPr>
                <w:rFonts w:ascii="黑体" w:eastAsia="黑体" w:hAnsi="黑体"/>
                <w:sz w:val="20"/>
                <w:szCs w:val="20"/>
              </w:rPr>
            </w:pPr>
            <w:r>
              <w:rPr>
                <w:rFonts w:ascii="黑体" w:eastAsia="黑体" w:hAnsi="黑体" w:hint="eastAsia"/>
                <w:sz w:val="20"/>
                <w:szCs w:val="20"/>
              </w:rPr>
              <w:t>外汇局批件/备案表号</w:t>
            </w:r>
          </w:p>
        </w:tc>
        <w:tc>
          <w:tcPr>
            <w:tcW w:w="1559" w:type="dxa"/>
          </w:tcPr>
          <w:p w14:paraId="1AFB0782" w14:textId="77777777" w:rsidR="00A052DC" w:rsidRDefault="009F0A60">
            <w:pPr>
              <w:rPr>
                <w:rFonts w:ascii="黑体" w:eastAsia="黑体" w:hAnsi="黑体"/>
                <w:sz w:val="20"/>
                <w:szCs w:val="20"/>
              </w:rPr>
            </w:pPr>
            <w:r>
              <w:rPr>
                <w:rFonts w:ascii="黑体" w:eastAsia="黑体" w:hAnsi="黑体" w:hint="eastAsia"/>
                <w:sz w:val="20"/>
                <w:szCs w:val="20"/>
              </w:rPr>
              <w:t>字符型，20</w:t>
            </w:r>
          </w:p>
        </w:tc>
        <w:tc>
          <w:tcPr>
            <w:tcW w:w="3402" w:type="dxa"/>
          </w:tcPr>
          <w:p w14:paraId="2B5BCFCF" w14:textId="77777777" w:rsidR="00A052DC" w:rsidRDefault="009F0A60">
            <w:pPr>
              <w:rPr>
                <w:rFonts w:ascii="黑体" w:eastAsia="黑体" w:hAnsi="黑体"/>
                <w:sz w:val="20"/>
                <w:szCs w:val="20"/>
              </w:rPr>
            </w:pPr>
            <w:r>
              <w:rPr>
                <w:rFonts w:ascii="黑体" w:eastAsia="黑体" w:hAnsi="黑体" w:hint="eastAsia"/>
                <w:sz w:val="20"/>
                <w:szCs w:val="20"/>
              </w:rPr>
              <w:t>空，不赋值。</w:t>
            </w:r>
          </w:p>
        </w:tc>
      </w:tr>
      <w:tr w:rsidR="00A052DC" w14:paraId="2E17D864" w14:textId="77777777">
        <w:tc>
          <w:tcPr>
            <w:tcW w:w="1418" w:type="dxa"/>
          </w:tcPr>
          <w:p w14:paraId="3D6344F3" w14:textId="77777777" w:rsidR="00A052DC" w:rsidRDefault="009F0A60">
            <w:pPr>
              <w:rPr>
                <w:rFonts w:ascii="黑体" w:eastAsia="黑体" w:hAnsi="黑体"/>
                <w:sz w:val="20"/>
                <w:szCs w:val="20"/>
              </w:rPr>
            </w:pPr>
            <w:r>
              <w:rPr>
                <w:rFonts w:ascii="黑体" w:eastAsia="黑体" w:hAnsi="黑体" w:hint="eastAsia"/>
                <w:sz w:val="20"/>
                <w:szCs w:val="20"/>
              </w:rPr>
              <w:t>CUSMNO</w:t>
            </w:r>
          </w:p>
        </w:tc>
        <w:tc>
          <w:tcPr>
            <w:tcW w:w="2268" w:type="dxa"/>
          </w:tcPr>
          <w:p w14:paraId="2458E7EF" w14:textId="77777777" w:rsidR="00A052DC" w:rsidRDefault="009F0A60">
            <w:pPr>
              <w:rPr>
                <w:rFonts w:ascii="黑体" w:eastAsia="黑体" w:hAnsi="黑体"/>
                <w:sz w:val="20"/>
                <w:szCs w:val="20"/>
              </w:rPr>
            </w:pPr>
            <w:r>
              <w:rPr>
                <w:rFonts w:ascii="黑体" w:eastAsia="黑体" w:hAnsi="黑体" w:hint="eastAsia"/>
                <w:sz w:val="20"/>
                <w:szCs w:val="20"/>
              </w:rPr>
              <w:t>报关单经营单位代码</w:t>
            </w:r>
          </w:p>
        </w:tc>
        <w:tc>
          <w:tcPr>
            <w:tcW w:w="1559" w:type="dxa"/>
          </w:tcPr>
          <w:p w14:paraId="01C68482" w14:textId="77777777" w:rsidR="00A052DC" w:rsidRDefault="009F0A60">
            <w:pPr>
              <w:rPr>
                <w:rFonts w:ascii="黑体" w:eastAsia="黑体" w:hAnsi="黑体"/>
                <w:sz w:val="20"/>
                <w:szCs w:val="20"/>
              </w:rPr>
            </w:pPr>
            <w:r>
              <w:rPr>
                <w:rFonts w:ascii="黑体" w:eastAsia="黑体" w:hAnsi="黑体" w:hint="eastAsia"/>
                <w:sz w:val="20"/>
                <w:szCs w:val="20"/>
              </w:rPr>
              <w:t>字符型，12</w:t>
            </w:r>
          </w:p>
        </w:tc>
        <w:tc>
          <w:tcPr>
            <w:tcW w:w="3402" w:type="dxa"/>
          </w:tcPr>
          <w:p w14:paraId="37D62A0C" w14:textId="77777777" w:rsidR="00A052DC" w:rsidRDefault="009F0A60">
            <w:pPr>
              <w:rPr>
                <w:rFonts w:ascii="黑体" w:eastAsia="黑体" w:hAnsi="黑体"/>
                <w:sz w:val="20"/>
                <w:szCs w:val="20"/>
              </w:rPr>
            </w:pPr>
            <w:r>
              <w:rPr>
                <w:rFonts w:ascii="黑体" w:eastAsia="黑体" w:hAnsi="黑体" w:hint="eastAsia"/>
                <w:sz w:val="20"/>
                <w:szCs w:val="20"/>
              </w:rPr>
              <w:t>空，不赋值。</w:t>
            </w:r>
          </w:p>
        </w:tc>
      </w:tr>
      <w:tr w:rsidR="00A052DC" w14:paraId="2446813F" w14:textId="77777777">
        <w:tc>
          <w:tcPr>
            <w:tcW w:w="1418" w:type="dxa"/>
          </w:tcPr>
          <w:p w14:paraId="63D5507D" w14:textId="77777777" w:rsidR="00A052DC" w:rsidRDefault="009F0A60">
            <w:pPr>
              <w:rPr>
                <w:rFonts w:ascii="黑体" w:eastAsia="黑体" w:hAnsi="黑体"/>
                <w:sz w:val="20"/>
                <w:szCs w:val="20"/>
              </w:rPr>
            </w:pPr>
            <w:r>
              <w:rPr>
                <w:rFonts w:ascii="黑体" w:eastAsia="黑体" w:hAnsi="黑体" w:hint="eastAsia"/>
                <w:sz w:val="20"/>
                <w:szCs w:val="20"/>
              </w:rPr>
              <w:t>报关单信息</w:t>
            </w:r>
          </w:p>
        </w:tc>
        <w:tc>
          <w:tcPr>
            <w:tcW w:w="2268" w:type="dxa"/>
          </w:tcPr>
          <w:p w14:paraId="097DB54A" w14:textId="77777777" w:rsidR="00A052DC" w:rsidRDefault="00A052DC">
            <w:pPr>
              <w:rPr>
                <w:rFonts w:ascii="黑体" w:eastAsia="黑体" w:hAnsi="黑体"/>
                <w:sz w:val="20"/>
                <w:szCs w:val="20"/>
              </w:rPr>
            </w:pPr>
          </w:p>
        </w:tc>
        <w:tc>
          <w:tcPr>
            <w:tcW w:w="1559" w:type="dxa"/>
          </w:tcPr>
          <w:p w14:paraId="36A07E3F" w14:textId="77777777" w:rsidR="00A052DC" w:rsidRDefault="00A052DC">
            <w:pPr>
              <w:rPr>
                <w:rFonts w:ascii="黑体" w:eastAsia="黑体" w:hAnsi="黑体"/>
                <w:sz w:val="20"/>
                <w:szCs w:val="20"/>
              </w:rPr>
            </w:pPr>
          </w:p>
        </w:tc>
        <w:tc>
          <w:tcPr>
            <w:tcW w:w="3402" w:type="dxa"/>
          </w:tcPr>
          <w:p w14:paraId="461810BA" w14:textId="77777777" w:rsidR="00A052DC" w:rsidRDefault="009F0A60">
            <w:pPr>
              <w:rPr>
                <w:rFonts w:ascii="黑体" w:eastAsia="黑体" w:hAnsi="黑体"/>
                <w:sz w:val="20"/>
                <w:szCs w:val="20"/>
              </w:rPr>
            </w:pPr>
            <w:r>
              <w:rPr>
                <w:rFonts w:ascii="黑体" w:eastAsia="黑体" w:hAnsi="黑体" w:hint="eastAsia"/>
                <w:sz w:val="20"/>
                <w:szCs w:val="20"/>
              </w:rPr>
              <w:t>空，不赋值。</w:t>
            </w:r>
          </w:p>
        </w:tc>
      </w:tr>
      <w:tr w:rsidR="00A052DC" w14:paraId="7A65E17C" w14:textId="77777777">
        <w:tc>
          <w:tcPr>
            <w:tcW w:w="1418" w:type="dxa"/>
          </w:tcPr>
          <w:p w14:paraId="3FD900EA" w14:textId="77777777" w:rsidR="00A052DC" w:rsidRDefault="009F0A60">
            <w:pPr>
              <w:rPr>
                <w:rFonts w:ascii="黑体" w:eastAsia="黑体" w:hAnsi="黑体"/>
                <w:sz w:val="20"/>
                <w:szCs w:val="20"/>
              </w:rPr>
            </w:pPr>
            <w:r>
              <w:rPr>
                <w:rFonts w:ascii="黑体" w:eastAsia="黑体" w:hAnsi="黑体" w:hint="eastAsia"/>
                <w:sz w:val="20"/>
                <w:szCs w:val="20"/>
              </w:rPr>
              <w:t>CUSTOMN</w:t>
            </w:r>
          </w:p>
        </w:tc>
        <w:tc>
          <w:tcPr>
            <w:tcW w:w="2268" w:type="dxa"/>
          </w:tcPr>
          <w:p w14:paraId="0304DF3D" w14:textId="77777777" w:rsidR="00A052DC" w:rsidRDefault="009F0A60">
            <w:pPr>
              <w:rPr>
                <w:rFonts w:ascii="黑体" w:eastAsia="黑体" w:hAnsi="黑体"/>
                <w:sz w:val="20"/>
                <w:szCs w:val="20"/>
              </w:rPr>
            </w:pPr>
            <w:r>
              <w:rPr>
                <w:rFonts w:ascii="黑体" w:eastAsia="黑体" w:hAnsi="黑体" w:hint="eastAsia"/>
                <w:sz w:val="20"/>
                <w:szCs w:val="20"/>
              </w:rPr>
              <w:t>报关单号</w:t>
            </w:r>
          </w:p>
        </w:tc>
        <w:tc>
          <w:tcPr>
            <w:tcW w:w="1559" w:type="dxa"/>
          </w:tcPr>
          <w:p w14:paraId="6CF4CC8C" w14:textId="77777777" w:rsidR="00A052DC" w:rsidRDefault="009F0A60">
            <w:pPr>
              <w:rPr>
                <w:rFonts w:ascii="黑体" w:eastAsia="黑体" w:hAnsi="黑体"/>
                <w:sz w:val="20"/>
                <w:szCs w:val="20"/>
              </w:rPr>
            </w:pPr>
            <w:r>
              <w:rPr>
                <w:rFonts w:ascii="黑体" w:eastAsia="黑体" w:hAnsi="黑体" w:hint="eastAsia"/>
                <w:sz w:val="20"/>
                <w:szCs w:val="20"/>
              </w:rPr>
              <w:t>字符型，50</w:t>
            </w:r>
          </w:p>
        </w:tc>
        <w:tc>
          <w:tcPr>
            <w:tcW w:w="3402" w:type="dxa"/>
          </w:tcPr>
          <w:p w14:paraId="06580935" w14:textId="77777777" w:rsidR="00A052DC" w:rsidRDefault="009F0A60">
            <w:pPr>
              <w:rPr>
                <w:rFonts w:ascii="黑体" w:eastAsia="黑体" w:hAnsi="黑体"/>
                <w:sz w:val="20"/>
                <w:szCs w:val="20"/>
              </w:rPr>
            </w:pPr>
            <w:r>
              <w:rPr>
                <w:rFonts w:ascii="黑体" w:eastAsia="黑体" w:hAnsi="黑体" w:hint="eastAsia"/>
                <w:sz w:val="20"/>
                <w:szCs w:val="20"/>
              </w:rPr>
              <w:t>空，不赋值。</w:t>
            </w:r>
          </w:p>
        </w:tc>
      </w:tr>
      <w:tr w:rsidR="00A052DC" w14:paraId="4183EB6B" w14:textId="77777777">
        <w:tc>
          <w:tcPr>
            <w:tcW w:w="1418" w:type="dxa"/>
          </w:tcPr>
          <w:p w14:paraId="31884AD5" w14:textId="77777777" w:rsidR="00A052DC" w:rsidRDefault="009F0A60">
            <w:pPr>
              <w:rPr>
                <w:rFonts w:ascii="黑体" w:eastAsia="黑体" w:hAnsi="黑体"/>
                <w:sz w:val="20"/>
                <w:szCs w:val="20"/>
              </w:rPr>
            </w:pPr>
            <w:r>
              <w:rPr>
                <w:rFonts w:ascii="黑体" w:eastAsia="黑体" w:hAnsi="黑体" w:hint="eastAsia"/>
                <w:sz w:val="20"/>
                <w:szCs w:val="20"/>
              </w:rPr>
              <w:t>CUSTCCY</w:t>
            </w:r>
          </w:p>
        </w:tc>
        <w:tc>
          <w:tcPr>
            <w:tcW w:w="2268" w:type="dxa"/>
          </w:tcPr>
          <w:p w14:paraId="54AB9FB9" w14:textId="77777777" w:rsidR="00A052DC" w:rsidRDefault="009F0A60">
            <w:pPr>
              <w:rPr>
                <w:rFonts w:ascii="黑体" w:eastAsia="黑体" w:hAnsi="黑体"/>
                <w:sz w:val="20"/>
                <w:szCs w:val="20"/>
              </w:rPr>
            </w:pPr>
            <w:r>
              <w:rPr>
                <w:rFonts w:ascii="黑体" w:eastAsia="黑体" w:hAnsi="黑体" w:hint="eastAsia"/>
                <w:sz w:val="20"/>
                <w:szCs w:val="20"/>
              </w:rPr>
              <w:t>报关单币种</w:t>
            </w:r>
          </w:p>
        </w:tc>
        <w:tc>
          <w:tcPr>
            <w:tcW w:w="1559" w:type="dxa"/>
          </w:tcPr>
          <w:p w14:paraId="571B6DF2" w14:textId="77777777" w:rsidR="00A052DC" w:rsidRDefault="009F0A60">
            <w:pPr>
              <w:rPr>
                <w:rFonts w:ascii="黑体" w:eastAsia="黑体" w:hAnsi="黑体"/>
                <w:sz w:val="20"/>
                <w:szCs w:val="20"/>
              </w:rPr>
            </w:pPr>
            <w:r>
              <w:rPr>
                <w:rFonts w:ascii="黑体" w:eastAsia="黑体" w:hAnsi="黑体" w:hint="eastAsia"/>
                <w:sz w:val="20"/>
                <w:szCs w:val="20"/>
              </w:rPr>
              <w:t>字符型，3</w:t>
            </w:r>
          </w:p>
        </w:tc>
        <w:tc>
          <w:tcPr>
            <w:tcW w:w="3402" w:type="dxa"/>
          </w:tcPr>
          <w:p w14:paraId="5255D2C7" w14:textId="77777777" w:rsidR="00A052DC" w:rsidRDefault="009F0A60">
            <w:pPr>
              <w:rPr>
                <w:rFonts w:ascii="黑体" w:eastAsia="黑体" w:hAnsi="黑体"/>
                <w:sz w:val="20"/>
                <w:szCs w:val="20"/>
              </w:rPr>
            </w:pPr>
            <w:r>
              <w:rPr>
                <w:rFonts w:ascii="黑体" w:eastAsia="黑体" w:hAnsi="黑体" w:hint="eastAsia"/>
                <w:sz w:val="20"/>
                <w:szCs w:val="20"/>
              </w:rPr>
              <w:t>空，不赋值。</w:t>
            </w:r>
          </w:p>
        </w:tc>
      </w:tr>
      <w:tr w:rsidR="00A052DC" w14:paraId="45D13EA4" w14:textId="77777777">
        <w:tc>
          <w:tcPr>
            <w:tcW w:w="1418" w:type="dxa"/>
          </w:tcPr>
          <w:p w14:paraId="7CEB3A83" w14:textId="77777777" w:rsidR="00A052DC" w:rsidRDefault="009F0A60">
            <w:pPr>
              <w:rPr>
                <w:rFonts w:ascii="黑体" w:eastAsia="黑体" w:hAnsi="黑体"/>
                <w:sz w:val="20"/>
                <w:szCs w:val="20"/>
              </w:rPr>
            </w:pPr>
            <w:r>
              <w:rPr>
                <w:rFonts w:ascii="黑体" w:eastAsia="黑体" w:hAnsi="黑体" w:hint="eastAsia"/>
                <w:sz w:val="20"/>
                <w:szCs w:val="20"/>
              </w:rPr>
              <w:t>CUSTAMT</w:t>
            </w:r>
          </w:p>
        </w:tc>
        <w:tc>
          <w:tcPr>
            <w:tcW w:w="2268" w:type="dxa"/>
          </w:tcPr>
          <w:p w14:paraId="6730C134" w14:textId="77777777" w:rsidR="00A052DC" w:rsidRDefault="009F0A60">
            <w:pPr>
              <w:rPr>
                <w:rFonts w:ascii="黑体" w:eastAsia="黑体" w:hAnsi="黑体"/>
                <w:sz w:val="20"/>
                <w:szCs w:val="20"/>
              </w:rPr>
            </w:pPr>
            <w:r>
              <w:rPr>
                <w:rFonts w:ascii="黑体" w:eastAsia="黑体" w:hAnsi="黑体" w:hint="eastAsia"/>
                <w:sz w:val="20"/>
                <w:szCs w:val="20"/>
              </w:rPr>
              <w:t>报关金额</w:t>
            </w:r>
          </w:p>
        </w:tc>
        <w:tc>
          <w:tcPr>
            <w:tcW w:w="1559" w:type="dxa"/>
          </w:tcPr>
          <w:p w14:paraId="5470CD6B" w14:textId="77777777" w:rsidR="00A052DC" w:rsidRDefault="009F0A60">
            <w:pPr>
              <w:rPr>
                <w:rFonts w:ascii="黑体" w:eastAsia="黑体" w:hAnsi="黑体"/>
                <w:sz w:val="20"/>
                <w:szCs w:val="20"/>
              </w:rPr>
            </w:pPr>
            <w:r>
              <w:rPr>
                <w:rFonts w:ascii="黑体" w:eastAsia="黑体" w:hAnsi="黑体" w:hint="eastAsia"/>
                <w:sz w:val="20"/>
                <w:szCs w:val="20"/>
              </w:rPr>
              <w:t>数值型，22.0</w:t>
            </w:r>
          </w:p>
        </w:tc>
        <w:tc>
          <w:tcPr>
            <w:tcW w:w="3402" w:type="dxa"/>
          </w:tcPr>
          <w:p w14:paraId="0685606F" w14:textId="77777777" w:rsidR="00A052DC" w:rsidRDefault="009F0A60">
            <w:pPr>
              <w:rPr>
                <w:rFonts w:ascii="黑体" w:eastAsia="黑体" w:hAnsi="黑体"/>
                <w:sz w:val="20"/>
                <w:szCs w:val="20"/>
              </w:rPr>
            </w:pPr>
            <w:r>
              <w:rPr>
                <w:rFonts w:ascii="黑体" w:eastAsia="黑体" w:hAnsi="黑体" w:hint="eastAsia"/>
                <w:sz w:val="20"/>
                <w:szCs w:val="20"/>
              </w:rPr>
              <w:t>空，不赋值。</w:t>
            </w:r>
          </w:p>
        </w:tc>
      </w:tr>
      <w:tr w:rsidR="00A052DC" w14:paraId="210626C1" w14:textId="77777777">
        <w:tc>
          <w:tcPr>
            <w:tcW w:w="1418" w:type="dxa"/>
          </w:tcPr>
          <w:p w14:paraId="075CFBE3" w14:textId="77777777" w:rsidR="00A052DC" w:rsidRDefault="009F0A60">
            <w:pPr>
              <w:rPr>
                <w:rFonts w:ascii="黑体" w:eastAsia="黑体" w:hAnsi="黑体"/>
                <w:sz w:val="20"/>
                <w:szCs w:val="20"/>
              </w:rPr>
            </w:pPr>
            <w:r>
              <w:rPr>
                <w:rFonts w:ascii="黑体" w:eastAsia="黑体" w:hAnsi="黑体" w:hint="eastAsia"/>
                <w:sz w:val="20"/>
                <w:szCs w:val="20"/>
              </w:rPr>
              <w:t>OFFAMT</w:t>
            </w:r>
          </w:p>
        </w:tc>
        <w:tc>
          <w:tcPr>
            <w:tcW w:w="2268" w:type="dxa"/>
          </w:tcPr>
          <w:p w14:paraId="1537F2EF" w14:textId="77777777" w:rsidR="00A052DC" w:rsidRDefault="009F0A60">
            <w:pPr>
              <w:rPr>
                <w:rFonts w:ascii="黑体" w:eastAsia="黑体" w:hAnsi="黑体"/>
                <w:sz w:val="20"/>
                <w:szCs w:val="20"/>
              </w:rPr>
            </w:pPr>
            <w:r>
              <w:rPr>
                <w:rFonts w:ascii="黑体" w:eastAsia="黑体" w:hAnsi="黑体" w:hint="eastAsia"/>
                <w:sz w:val="20"/>
                <w:szCs w:val="20"/>
              </w:rPr>
              <w:t>本次核注金额</w:t>
            </w:r>
          </w:p>
        </w:tc>
        <w:tc>
          <w:tcPr>
            <w:tcW w:w="1559" w:type="dxa"/>
          </w:tcPr>
          <w:p w14:paraId="1E6F6888" w14:textId="77777777" w:rsidR="00A052DC" w:rsidRDefault="009F0A60">
            <w:pPr>
              <w:rPr>
                <w:rFonts w:ascii="黑体" w:eastAsia="黑体" w:hAnsi="黑体"/>
                <w:sz w:val="20"/>
                <w:szCs w:val="20"/>
              </w:rPr>
            </w:pPr>
            <w:r>
              <w:rPr>
                <w:rFonts w:ascii="黑体" w:eastAsia="黑体" w:hAnsi="黑体" w:hint="eastAsia"/>
                <w:sz w:val="20"/>
                <w:szCs w:val="20"/>
              </w:rPr>
              <w:t>数值型，22.0</w:t>
            </w:r>
          </w:p>
        </w:tc>
        <w:tc>
          <w:tcPr>
            <w:tcW w:w="3402" w:type="dxa"/>
          </w:tcPr>
          <w:p w14:paraId="3309FB9B" w14:textId="77777777" w:rsidR="00A052DC" w:rsidRDefault="009F0A60">
            <w:pPr>
              <w:rPr>
                <w:rFonts w:ascii="黑体" w:eastAsia="黑体" w:hAnsi="黑体"/>
                <w:sz w:val="20"/>
                <w:szCs w:val="20"/>
              </w:rPr>
            </w:pPr>
            <w:r>
              <w:rPr>
                <w:rFonts w:ascii="黑体" w:eastAsia="黑体" w:hAnsi="黑体" w:hint="eastAsia"/>
                <w:sz w:val="20"/>
                <w:szCs w:val="20"/>
              </w:rPr>
              <w:t>空，不赋值。</w:t>
            </w:r>
          </w:p>
        </w:tc>
      </w:tr>
      <w:tr w:rsidR="00A052DC" w14:paraId="23E9D984" w14:textId="77777777">
        <w:tc>
          <w:tcPr>
            <w:tcW w:w="1418" w:type="dxa"/>
          </w:tcPr>
          <w:p w14:paraId="04096B7F" w14:textId="77777777" w:rsidR="00A052DC" w:rsidRDefault="009F0A60">
            <w:pPr>
              <w:rPr>
                <w:rFonts w:ascii="黑体" w:eastAsia="黑体" w:hAnsi="黑体"/>
                <w:sz w:val="20"/>
                <w:szCs w:val="20"/>
              </w:rPr>
            </w:pPr>
            <w:r>
              <w:rPr>
                <w:rFonts w:ascii="黑体" w:eastAsia="黑体" w:hAnsi="黑体" w:hint="eastAsia"/>
                <w:sz w:val="20"/>
                <w:szCs w:val="20"/>
              </w:rPr>
              <w:t>CRTUSER</w:t>
            </w:r>
          </w:p>
        </w:tc>
        <w:tc>
          <w:tcPr>
            <w:tcW w:w="2268" w:type="dxa"/>
          </w:tcPr>
          <w:p w14:paraId="786D8F25" w14:textId="77777777" w:rsidR="00A052DC" w:rsidRDefault="009F0A60">
            <w:pPr>
              <w:rPr>
                <w:rFonts w:ascii="黑体" w:eastAsia="黑体" w:hAnsi="黑体"/>
                <w:sz w:val="20"/>
                <w:szCs w:val="20"/>
              </w:rPr>
            </w:pPr>
            <w:r>
              <w:rPr>
                <w:rFonts w:ascii="黑体" w:eastAsia="黑体" w:hAnsi="黑体" w:hint="eastAsia"/>
                <w:sz w:val="20"/>
                <w:szCs w:val="20"/>
              </w:rPr>
              <w:t>填报人</w:t>
            </w:r>
          </w:p>
        </w:tc>
        <w:tc>
          <w:tcPr>
            <w:tcW w:w="1559" w:type="dxa"/>
          </w:tcPr>
          <w:p w14:paraId="1E197E7F" w14:textId="77777777" w:rsidR="00A052DC" w:rsidRDefault="009F0A60">
            <w:pPr>
              <w:rPr>
                <w:rFonts w:ascii="黑体" w:eastAsia="黑体" w:hAnsi="黑体"/>
                <w:sz w:val="20"/>
                <w:szCs w:val="20"/>
              </w:rPr>
            </w:pPr>
            <w:r>
              <w:rPr>
                <w:rFonts w:ascii="黑体" w:eastAsia="黑体" w:hAnsi="黑体" w:hint="eastAsia"/>
                <w:sz w:val="20"/>
                <w:szCs w:val="20"/>
              </w:rPr>
              <w:t>字符型，20</w:t>
            </w:r>
          </w:p>
        </w:tc>
        <w:tc>
          <w:tcPr>
            <w:tcW w:w="3402" w:type="dxa"/>
          </w:tcPr>
          <w:p w14:paraId="531691F2"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r w:rsidR="00A052DC" w14:paraId="5491E240" w14:textId="77777777">
        <w:tc>
          <w:tcPr>
            <w:tcW w:w="1418" w:type="dxa"/>
          </w:tcPr>
          <w:p w14:paraId="5D4A664E" w14:textId="77777777" w:rsidR="00A052DC" w:rsidRDefault="009F0A60">
            <w:pPr>
              <w:rPr>
                <w:rFonts w:ascii="黑体" w:eastAsia="黑体" w:hAnsi="黑体"/>
                <w:sz w:val="20"/>
                <w:szCs w:val="20"/>
              </w:rPr>
            </w:pPr>
            <w:r>
              <w:rPr>
                <w:rFonts w:ascii="黑体" w:eastAsia="黑体" w:hAnsi="黑体" w:hint="eastAsia"/>
                <w:sz w:val="20"/>
                <w:szCs w:val="20"/>
              </w:rPr>
              <w:t>INPTELC</w:t>
            </w:r>
          </w:p>
        </w:tc>
        <w:tc>
          <w:tcPr>
            <w:tcW w:w="2268" w:type="dxa"/>
          </w:tcPr>
          <w:p w14:paraId="0A43B7E0" w14:textId="77777777" w:rsidR="00A052DC" w:rsidRDefault="009F0A60">
            <w:pPr>
              <w:rPr>
                <w:rFonts w:ascii="黑体" w:eastAsia="黑体" w:hAnsi="黑体"/>
                <w:sz w:val="20"/>
                <w:szCs w:val="20"/>
              </w:rPr>
            </w:pPr>
            <w:r>
              <w:rPr>
                <w:rFonts w:ascii="黑体" w:eastAsia="黑体" w:hAnsi="黑体" w:hint="eastAsia"/>
                <w:sz w:val="20"/>
                <w:szCs w:val="20"/>
              </w:rPr>
              <w:t>填报人电话</w:t>
            </w:r>
          </w:p>
        </w:tc>
        <w:tc>
          <w:tcPr>
            <w:tcW w:w="1559" w:type="dxa"/>
          </w:tcPr>
          <w:p w14:paraId="62F1B150" w14:textId="77777777" w:rsidR="00A052DC" w:rsidRDefault="009F0A60">
            <w:pPr>
              <w:rPr>
                <w:rFonts w:ascii="黑体" w:eastAsia="黑体" w:hAnsi="黑体"/>
                <w:sz w:val="20"/>
                <w:szCs w:val="20"/>
              </w:rPr>
            </w:pPr>
            <w:r>
              <w:rPr>
                <w:rFonts w:ascii="黑体" w:eastAsia="黑体" w:hAnsi="黑体" w:hint="eastAsia"/>
                <w:sz w:val="20"/>
                <w:szCs w:val="20"/>
              </w:rPr>
              <w:t>字符型，20</w:t>
            </w:r>
          </w:p>
        </w:tc>
        <w:tc>
          <w:tcPr>
            <w:tcW w:w="3402" w:type="dxa"/>
          </w:tcPr>
          <w:p w14:paraId="6D2C38F4"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r w:rsidR="00A052DC" w14:paraId="019D84F4" w14:textId="77777777">
        <w:tc>
          <w:tcPr>
            <w:tcW w:w="1418" w:type="dxa"/>
          </w:tcPr>
          <w:p w14:paraId="7BA18398" w14:textId="77777777" w:rsidR="00A052DC" w:rsidRDefault="009F0A60">
            <w:pPr>
              <w:rPr>
                <w:rFonts w:ascii="黑体" w:eastAsia="黑体" w:hAnsi="黑体"/>
                <w:sz w:val="20"/>
                <w:szCs w:val="20"/>
              </w:rPr>
            </w:pPr>
            <w:r>
              <w:rPr>
                <w:rFonts w:ascii="黑体" w:eastAsia="黑体" w:hAnsi="黑体" w:hint="eastAsia"/>
                <w:sz w:val="20"/>
                <w:szCs w:val="20"/>
              </w:rPr>
              <w:t>RPTDATE</w:t>
            </w:r>
          </w:p>
        </w:tc>
        <w:tc>
          <w:tcPr>
            <w:tcW w:w="2268" w:type="dxa"/>
          </w:tcPr>
          <w:p w14:paraId="7E424FF5" w14:textId="77777777" w:rsidR="00A052DC" w:rsidRDefault="009F0A60">
            <w:pPr>
              <w:rPr>
                <w:rFonts w:ascii="黑体" w:eastAsia="黑体" w:hAnsi="黑体"/>
                <w:sz w:val="20"/>
                <w:szCs w:val="20"/>
              </w:rPr>
            </w:pPr>
            <w:r>
              <w:rPr>
                <w:rFonts w:ascii="黑体" w:eastAsia="黑体" w:hAnsi="黑体" w:hint="eastAsia"/>
                <w:sz w:val="20"/>
                <w:szCs w:val="20"/>
              </w:rPr>
              <w:t>申报日期</w:t>
            </w:r>
          </w:p>
        </w:tc>
        <w:tc>
          <w:tcPr>
            <w:tcW w:w="1559" w:type="dxa"/>
          </w:tcPr>
          <w:p w14:paraId="51026004" w14:textId="77777777" w:rsidR="00A052DC" w:rsidRDefault="009F0A60">
            <w:pPr>
              <w:rPr>
                <w:rFonts w:ascii="黑体" w:eastAsia="黑体" w:hAnsi="黑体"/>
                <w:sz w:val="20"/>
                <w:szCs w:val="20"/>
              </w:rPr>
            </w:pPr>
            <w:r>
              <w:rPr>
                <w:rFonts w:ascii="黑体" w:eastAsia="黑体" w:hAnsi="黑体" w:hint="eastAsia"/>
                <w:sz w:val="20"/>
                <w:szCs w:val="20"/>
              </w:rPr>
              <w:t>日期型，8</w:t>
            </w:r>
          </w:p>
          <w:p w14:paraId="632A5696" w14:textId="77777777" w:rsidR="00A052DC" w:rsidRDefault="009F0A60">
            <w:pPr>
              <w:rPr>
                <w:rFonts w:ascii="黑体" w:eastAsia="黑体" w:hAnsi="黑体"/>
                <w:sz w:val="20"/>
                <w:szCs w:val="20"/>
              </w:rPr>
            </w:pPr>
            <w:r>
              <w:rPr>
                <w:rFonts w:ascii="黑体" w:eastAsia="黑体" w:hAnsi="黑体" w:hint="eastAsia"/>
                <w:sz w:val="20"/>
                <w:szCs w:val="20"/>
              </w:rPr>
              <w:t>YYYYMMMDD</w:t>
            </w:r>
          </w:p>
        </w:tc>
        <w:tc>
          <w:tcPr>
            <w:tcW w:w="3402" w:type="dxa"/>
          </w:tcPr>
          <w:p w14:paraId="6A48B03A" w14:textId="77777777" w:rsidR="00A052DC" w:rsidRDefault="009F0A60">
            <w:pPr>
              <w:rPr>
                <w:rFonts w:ascii="黑体" w:eastAsia="黑体" w:hAnsi="黑体"/>
                <w:sz w:val="20"/>
                <w:szCs w:val="20"/>
              </w:rPr>
            </w:pPr>
            <w:r>
              <w:rPr>
                <w:rFonts w:ascii="黑体" w:eastAsia="黑体" w:hAnsi="黑体" w:hint="eastAsia"/>
                <w:sz w:val="20"/>
                <w:szCs w:val="20"/>
              </w:rPr>
              <w:t>必填项，按申报主体真实申报日期填写。</w:t>
            </w:r>
          </w:p>
        </w:tc>
      </w:tr>
    </w:tbl>
    <w:p w14:paraId="13023CFD" w14:textId="77777777" w:rsidR="00A052DC" w:rsidRDefault="009F0A60">
      <w:pPr>
        <w:pStyle w:val="3"/>
        <w:ind w:left="0"/>
        <w:rPr>
          <w:rFonts w:ascii="Times New Roman" w:hAnsi="Times New Roman"/>
        </w:rPr>
      </w:pPr>
      <w:bookmarkStart w:id="973" w:name="_Toc91455270"/>
      <w:bookmarkStart w:id="974" w:name="_Toc454386773"/>
      <w:bookmarkStart w:id="975" w:name="_Toc101684443"/>
      <w:r>
        <w:rPr>
          <w:rFonts w:ascii="Times New Roman" w:hAnsi="Times New Roman" w:hint="eastAsia"/>
        </w:rPr>
        <w:t>对外付款</w:t>
      </w:r>
      <w:r>
        <w:rPr>
          <w:rFonts w:ascii="Times New Roman" w:hAnsi="Times New Roman"/>
        </w:rPr>
        <w:t>/</w:t>
      </w:r>
      <w:r>
        <w:rPr>
          <w:rFonts w:ascii="Times New Roman" w:hAnsi="Times New Roman" w:hint="eastAsia"/>
        </w:rPr>
        <w:t>承兑通知书</w:t>
      </w:r>
      <w:r>
        <w:rPr>
          <w:rFonts w:ascii="Times New Roman" w:hAnsi="Times New Roman"/>
        </w:rPr>
        <w:t>-</w:t>
      </w:r>
      <w:r>
        <w:rPr>
          <w:rFonts w:ascii="Times New Roman" w:hAnsi="Times New Roman" w:hint="eastAsia"/>
        </w:rPr>
        <w:t>基础信息</w:t>
      </w:r>
      <w:bookmarkEnd w:id="973"/>
      <w:bookmarkEnd w:id="974"/>
      <w:bookmarkEnd w:id="975"/>
    </w:p>
    <w:p w14:paraId="57EA802A" w14:textId="77777777" w:rsidR="00A052DC" w:rsidRDefault="009F0A60" w:rsidP="0020251D">
      <w:pPr>
        <w:pStyle w:val="4"/>
        <w:numPr>
          <w:ilvl w:val="3"/>
          <w:numId w:val="1"/>
        </w:numPr>
        <w:jc w:val="left"/>
      </w:pPr>
      <w:bookmarkStart w:id="976" w:name="_Toc454386774"/>
      <w:r>
        <w:rPr>
          <w:rFonts w:hint="eastAsia"/>
        </w:rPr>
        <w:t>数据术语解释</w:t>
      </w:r>
      <w:bookmarkEnd w:id="976"/>
    </w:p>
    <w:tbl>
      <w:tblPr>
        <w:tblW w:w="861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26"/>
        <w:gridCol w:w="7087"/>
      </w:tblGrid>
      <w:tr w:rsidR="00A052DC" w14:paraId="3A85EE75" w14:textId="77777777">
        <w:tc>
          <w:tcPr>
            <w:tcW w:w="1526" w:type="dxa"/>
          </w:tcPr>
          <w:p w14:paraId="5A43B0D2" w14:textId="77777777" w:rsidR="00A052DC" w:rsidRDefault="009F0A60">
            <w:pPr>
              <w:jc w:val="center"/>
              <w:rPr>
                <w:rFonts w:ascii="黑体" w:eastAsia="黑体" w:hAnsi="黑体"/>
                <w:b/>
                <w:sz w:val="20"/>
                <w:szCs w:val="20"/>
              </w:rPr>
            </w:pPr>
            <w:r>
              <w:rPr>
                <w:rFonts w:ascii="黑体" w:eastAsia="黑体" w:hAnsi="黑体" w:hint="eastAsia"/>
                <w:b/>
                <w:sz w:val="20"/>
                <w:szCs w:val="20"/>
              </w:rPr>
              <w:t>基础数据项</w:t>
            </w:r>
          </w:p>
        </w:tc>
        <w:tc>
          <w:tcPr>
            <w:tcW w:w="7087" w:type="dxa"/>
          </w:tcPr>
          <w:p w14:paraId="71E35D79" w14:textId="77777777" w:rsidR="00A052DC" w:rsidRDefault="009F0A60">
            <w:pPr>
              <w:jc w:val="center"/>
              <w:rPr>
                <w:rFonts w:ascii="黑体" w:eastAsia="黑体" w:hAnsi="黑体"/>
                <w:b/>
                <w:sz w:val="20"/>
                <w:szCs w:val="20"/>
              </w:rPr>
            </w:pPr>
            <w:r>
              <w:rPr>
                <w:rFonts w:ascii="黑体" w:eastAsia="黑体" w:hAnsi="黑体" w:hint="eastAsia"/>
                <w:b/>
                <w:sz w:val="20"/>
                <w:szCs w:val="20"/>
              </w:rPr>
              <w:t>定义</w:t>
            </w:r>
          </w:p>
        </w:tc>
      </w:tr>
      <w:tr w:rsidR="00A052DC" w14:paraId="58B20E36" w14:textId="77777777">
        <w:trPr>
          <w:cantSplit/>
          <w:trHeight w:val="1622"/>
        </w:trPr>
        <w:tc>
          <w:tcPr>
            <w:tcW w:w="1526" w:type="dxa"/>
          </w:tcPr>
          <w:p w14:paraId="3F19CFF4" w14:textId="77777777" w:rsidR="00A052DC" w:rsidRDefault="009F0A60">
            <w:pPr>
              <w:rPr>
                <w:rFonts w:ascii="黑体" w:eastAsia="黑体" w:hAnsi="黑体"/>
                <w:sz w:val="20"/>
                <w:szCs w:val="20"/>
              </w:rPr>
            </w:pPr>
            <w:r>
              <w:rPr>
                <w:rFonts w:ascii="黑体" w:eastAsia="黑体" w:hAnsi="黑体" w:hint="eastAsia"/>
                <w:sz w:val="20"/>
                <w:szCs w:val="20"/>
              </w:rPr>
              <w:t>申报号码</w:t>
            </w:r>
          </w:p>
        </w:tc>
        <w:tc>
          <w:tcPr>
            <w:tcW w:w="7087" w:type="dxa"/>
          </w:tcPr>
          <w:p w14:paraId="5C4B8820" w14:textId="77777777" w:rsidR="00A052DC" w:rsidRDefault="009F0A60">
            <w:pPr>
              <w:rPr>
                <w:rFonts w:ascii="黑体" w:eastAsia="黑体" w:hAnsi="黑体"/>
                <w:sz w:val="20"/>
                <w:szCs w:val="20"/>
              </w:rPr>
            </w:pPr>
            <w:r>
              <w:rPr>
                <w:rFonts w:ascii="黑体" w:eastAsia="黑体" w:hAnsi="黑体" w:hint="eastAsia"/>
                <w:sz w:val="20"/>
                <w:szCs w:val="20"/>
              </w:rPr>
              <w:t>指由境内银行按国家外汇管理局要求编制的号码，共计22位。第1至6位为地区标识码;第7至10位为金融机构代码;第11至12位为金融机构顺序码；第13至18位为该笔对外付款的支付日期(按年月日顺序排列,如2003年8月28日的日期码为030828);第19至22位为该银行营业部门的当日业务流水码。银行当日业务流水码不得重号。（流水码编制规则：对公为E***，F***，G***</w:t>
            </w:r>
            <w:r w:rsidR="006D55A3">
              <w:rPr>
                <w:rFonts w:ascii="黑体" w:eastAsia="黑体" w:hAnsi="黑体" w:hint="eastAsia"/>
                <w:sz w:val="20"/>
                <w:szCs w:val="20"/>
              </w:rPr>
              <w:t>，</w:t>
            </w:r>
            <w:r>
              <w:rPr>
                <w:rFonts w:ascii="黑体" w:eastAsia="黑体" w:hAnsi="黑体" w:hint="eastAsia"/>
                <w:sz w:val="20"/>
                <w:szCs w:val="20"/>
              </w:rPr>
              <w:t>H***；对私为：L***</w:t>
            </w:r>
            <w:r w:rsidR="006D55A3">
              <w:rPr>
                <w:rFonts w:ascii="黑体" w:eastAsia="黑体" w:hAnsi="黑体" w:hint="eastAsia"/>
                <w:sz w:val="20"/>
                <w:szCs w:val="20"/>
              </w:rPr>
              <w:t>，</w:t>
            </w:r>
            <w:r>
              <w:rPr>
                <w:rFonts w:ascii="黑体" w:eastAsia="黑体" w:hAnsi="黑体" w:hint="eastAsia"/>
                <w:sz w:val="20"/>
                <w:szCs w:val="20"/>
              </w:rPr>
              <w:t>M***；后三位流水单号中允许使用英文大写字母（O、I、Z除外）与数字（0-9）。）</w:t>
            </w:r>
          </w:p>
        </w:tc>
      </w:tr>
      <w:tr w:rsidR="00A052DC" w14:paraId="01C4978B" w14:textId="77777777">
        <w:trPr>
          <w:cantSplit/>
        </w:trPr>
        <w:tc>
          <w:tcPr>
            <w:tcW w:w="1526" w:type="dxa"/>
          </w:tcPr>
          <w:p w14:paraId="41D81E9C" w14:textId="77777777" w:rsidR="00A052DC" w:rsidRDefault="009F0A60">
            <w:pPr>
              <w:rPr>
                <w:rFonts w:ascii="黑体" w:eastAsia="黑体" w:hAnsi="黑体"/>
                <w:sz w:val="20"/>
                <w:szCs w:val="20"/>
              </w:rPr>
            </w:pPr>
            <w:r>
              <w:rPr>
                <w:rFonts w:ascii="黑体" w:eastAsia="黑体" w:hAnsi="黑体" w:hint="eastAsia"/>
                <w:sz w:val="20"/>
                <w:szCs w:val="20"/>
              </w:rPr>
              <w:t>付款人名称</w:t>
            </w:r>
          </w:p>
        </w:tc>
        <w:tc>
          <w:tcPr>
            <w:tcW w:w="7087" w:type="dxa"/>
          </w:tcPr>
          <w:p w14:paraId="1B1B1D37" w14:textId="77777777" w:rsidR="00A052DC" w:rsidRDefault="009F0A60">
            <w:pPr>
              <w:rPr>
                <w:rFonts w:ascii="黑体" w:eastAsia="黑体" w:hAnsi="黑体"/>
                <w:sz w:val="20"/>
                <w:szCs w:val="20"/>
              </w:rPr>
            </w:pPr>
            <w:r>
              <w:rPr>
                <w:rFonts w:ascii="黑体" w:eastAsia="黑体" w:hAnsi="黑体" w:hint="eastAsia"/>
                <w:sz w:val="20"/>
                <w:szCs w:val="20"/>
              </w:rPr>
              <w:t>对公项下指付款人预留银行印鉴、营业执照或国家外汇管理局及其分支局签发的特殊机构代码赋码通知书上的名称；</w:t>
            </w:r>
          </w:p>
          <w:p w14:paraId="7A3C98F3" w14:textId="77777777" w:rsidR="00A052DC" w:rsidRDefault="009F0A60">
            <w:pPr>
              <w:rPr>
                <w:rFonts w:ascii="黑体" w:eastAsia="黑体" w:hAnsi="黑体"/>
                <w:sz w:val="20"/>
                <w:szCs w:val="20"/>
              </w:rPr>
            </w:pPr>
            <w:r>
              <w:rPr>
                <w:rFonts w:ascii="黑体" w:eastAsia="黑体" w:hAnsi="黑体" w:hint="eastAsia"/>
                <w:sz w:val="20"/>
                <w:szCs w:val="20"/>
              </w:rPr>
              <w:t>对私项下指个人身份证件上的名称。</w:t>
            </w:r>
          </w:p>
        </w:tc>
      </w:tr>
      <w:tr w:rsidR="00A052DC" w14:paraId="0323469E" w14:textId="77777777">
        <w:trPr>
          <w:cantSplit/>
        </w:trPr>
        <w:tc>
          <w:tcPr>
            <w:tcW w:w="1526" w:type="dxa"/>
          </w:tcPr>
          <w:p w14:paraId="6DF66D4F" w14:textId="77777777" w:rsidR="00A052DC" w:rsidRDefault="009F0A60">
            <w:pPr>
              <w:rPr>
                <w:rFonts w:ascii="黑体" w:eastAsia="黑体" w:hAnsi="黑体"/>
                <w:sz w:val="20"/>
                <w:szCs w:val="20"/>
              </w:rPr>
            </w:pPr>
            <w:r>
              <w:rPr>
                <w:rFonts w:ascii="黑体" w:eastAsia="黑体" w:hAnsi="黑体" w:hint="eastAsia"/>
                <w:sz w:val="20"/>
                <w:szCs w:val="20"/>
              </w:rPr>
              <w:t>对公</w:t>
            </w:r>
            <w:r w:rsidR="00010212">
              <w:rPr>
                <w:rFonts w:ascii="黑体" w:eastAsia="黑体" w:hAnsi="黑体" w:hint="eastAsia"/>
                <w:sz w:val="20"/>
                <w:szCs w:val="20"/>
              </w:rPr>
              <w:t>/</w:t>
            </w:r>
            <w:r>
              <w:rPr>
                <w:rFonts w:ascii="黑体" w:eastAsia="黑体" w:hAnsi="黑体" w:hint="eastAsia"/>
                <w:sz w:val="20"/>
                <w:szCs w:val="20"/>
              </w:rPr>
              <w:t>对私</w:t>
            </w:r>
          </w:p>
        </w:tc>
        <w:tc>
          <w:tcPr>
            <w:tcW w:w="7087" w:type="dxa"/>
          </w:tcPr>
          <w:p w14:paraId="21CC6A49" w14:textId="77777777" w:rsidR="00A052DC" w:rsidRDefault="009F0A60">
            <w:pPr>
              <w:rPr>
                <w:rFonts w:ascii="黑体" w:eastAsia="黑体" w:hAnsi="黑体"/>
                <w:sz w:val="20"/>
                <w:szCs w:val="20"/>
              </w:rPr>
            </w:pPr>
            <w:r>
              <w:rPr>
                <w:rFonts w:ascii="黑体" w:eastAsia="黑体" w:hAnsi="黑体" w:hint="eastAsia"/>
                <w:sz w:val="20"/>
                <w:szCs w:val="20"/>
              </w:rPr>
              <w:t>如付款人为机构，则选择对公；</w:t>
            </w:r>
          </w:p>
          <w:p w14:paraId="3A16435E" w14:textId="77777777" w:rsidR="00A052DC" w:rsidRDefault="009F0A60">
            <w:pPr>
              <w:rPr>
                <w:rFonts w:ascii="黑体" w:eastAsia="黑体" w:hAnsi="黑体"/>
                <w:sz w:val="20"/>
                <w:szCs w:val="20"/>
              </w:rPr>
            </w:pPr>
            <w:r>
              <w:rPr>
                <w:rFonts w:ascii="黑体" w:eastAsia="黑体" w:hAnsi="黑体" w:hint="eastAsia"/>
                <w:sz w:val="20"/>
                <w:szCs w:val="20"/>
              </w:rPr>
              <w:t>如付款人为个人，则选择对私。</w:t>
            </w:r>
          </w:p>
        </w:tc>
      </w:tr>
      <w:tr w:rsidR="00A052DC" w14:paraId="435CCC9B" w14:textId="77777777">
        <w:trPr>
          <w:cantSplit/>
        </w:trPr>
        <w:tc>
          <w:tcPr>
            <w:tcW w:w="1526" w:type="dxa"/>
          </w:tcPr>
          <w:p w14:paraId="7B58CA3A" w14:textId="77777777" w:rsidR="00A052DC" w:rsidRDefault="009F0A60">
            <w:pPr>
              <w:rPr>
                <w:rFonts w:ascii="黑体" w:eastAsia="黑体" w:hAnsi="黑体"/>
                <w:sz w:val="20"/>
                <w:szCs w:val="20"/>
              </w:rPr>
            </w:pPr>
            <w:r>
              <w:rPr>
                <w:rFonts w:ascii="黑体" w:eastAsia="黑体" w:hAnsi="黑体" w:hint="eastAsia"/>
                <w:sz w:val="20"/>
                <w:szCs w:val="20"/>
              </w:rPr>
              <w:t>主体标识码（单位代码）</w:t>
            </w:r>
          </w:p>
        </w:tc>
        <w:tc>
          <w:tcPr>
            <w:tcW w:w="7087" w:type="dxa"/>
          </w:tcPr>
          <w:p w14:paraId="18530112" w14:textId="77777777" w:rsidR="00A052DC" w:rsidRDefault="009F0A60">
            <w:pPr>
              <w:rPr>
                <w:rFonts w:ascii="黑体" w:eastAsia="黑体" w:hAnsi="黑体"/>
                <w:sz w:val="20"/>
                <w:szCs w:val="20"/>
              </w:rPr>
            </w:pPr>
            <w:r>
              <w:rPr>
                <w:rFonts w:ascii="黑体" w:eastAsia="黑体" w:hAnsi="黑体" w:hint="eastAsia"/>
                <w:sz w:val="20"/>
                <w:szCs w:val="20"/>
              </w:rPr>
              <w:t>指统一社会信用代码法定载体（如营业执照）上统一社会信用代码中的第9至17位或国家外汇管理局及其分支局签发的特殊机构代码赋码通知书上的机构代码。</w:t>
            </w:r>
          </w:p>
        </w:tc>
      </w:tr>
      <w:tr w:rsidR="00A052DC" w14:paraId="31CC44A2" w14:textId="77777777">
        <w:trPr>
          <w:cantSplit/>
        </w:trPr>
        <w:tc>
          <w:tcPr>
            <w:tcW w:w="1526" w:type="dxa"/>
          </w:tcPr>
          <w:p w14:paraId="5A223192" w14:textId="77777777" w:rsidR="00A052DC" w:rsidRDefault="009F0A60">
            <w:pPr>
              <w:rPr>
                <w:rFonts w:ascii="黑体" w:eastAsia="黑体" w:hAnsi="黑体"/>
                <w:sz w:val="20"/>
                <w:szCs w:val="20"/>
              </w:rPr>
            </w:pPr>
            <w:r>
              <w:rPr>
                <w:rFonts w:ascii="黑体" w:eastAsia="黑体" w:hAnsi="黑体" w:hint="eastAsia"/>
                <w:sz w:val="20"/>
                <w:szCs w:val="20"/>
              </w:rPr>
              <w:t>个人身份证件号码</w:t>
            </w:r>
          </w:p>
        </w:tc>
        <w:tc>
          <w:tcPr>
            <w:tcW w:w="7087" w:type="dxa"/>
          </w:tcPr>
          <w:p w14:paraId="6CD49104" w14:textId="77777777" w:rsidR="00A052DC" w:rsidRDefault="009F0A60">
            <w:pPr>
              <w:rPr>
                <w:rFonts w:ascii="黑体" w:eastAsia="黑体" w:hAnsi="黑体"/>
                <w:sz w:val="20"/>
                <w:szCs w:val="20"/>
              </w:rPr>
            </w:pPr>
            <w:r>
              <w:rPr>
                <w:rFonts w:ascii="黑体" w:eastAsia="黑体" w:hAnsi="黑体" w:hint="eastAsia"/>
                <w:sz w:val="20"/>
                <w:szCs w:val="20"/>
              </w:rPr>
              <w:t>包括境内居民个人的身份证号、军官证号等以及境外居民个人的护照号等。</w:t>
            </w:r>
          </w:p>
        </w:tc>
      </w:tr>
      <w:tr w:rsidR="00A052DC" w14:paraId="29C96769" w14:textId="77777777">
        <w:trPr>
          <w:cantSplit/>
        </w:trPr>
        <w:tc>
          <w:tcPr>
            <w:tcW w:w="1526" w:type="dxa"/>
          </w:tcPr>
          <w:p w14:paraId="0471D033" w14:textId="77777777" w:rsidR="00A052DC" w:rsidRDefault="009F0A60">
            <w:pPr>
              <w:rPr>
                <w:rFonts w:ascii="黑体" w:eastAsia="黑体" w:hAnsi="黑体"/>
                <w:sz w:val="20"/>
                <w:szCs w:val="20"/>
              </w:rPr>
            </w:pPr>
            <w:r>
              <w:rPr>
                <w:rFonts w:ascii="黑体" w:eastAsia="黑体" w:hAnsi="黑体" w:hint="eastAsia"/>
                <w:sz w:val="20"/>
                <w:szCs w:val="20"/>
              </w:rPr>
              <w:t>中国居民个人</w:t>
            </w:r>
            <w:r w:rsidR="00010212">
              <w:rPr>
                <w:rFonts w:ascii="黑体" w:eastAsia="黑体" w:hAnsi="黑体" w:hint="eastAsia"/>
                <w:sz w:val="20"/>
                <w:szCs w:val="20"/>
              </w:rPr>
              <w:t>/</w:t>
            </w:r>
            <w:r>
              <w:rPr>
                <w:rFonts w:ascii="黑体" w:eastAsia="黑体" w:hAnsi="黑体" w:hint="eastAsia"/>
                <w:sz w:val="20"/>
                <w:szCs w:val="20"/>
              </w:rPr>
              <w:t>中国非居民个人</w:t>
            </w:r>
          </w:p>
        </w:tc>
        <w:tc>
          <w:tcPr>
            <w:tcW w:w="7087" w:type="dxa"/>
          </w:tcPr>
          <w:p w14:paraId="1D4CE3BC" w14:textId="77777777" w:rsidR="00A052DC" w:rsidRDefault="009F0A60">
            <w:pPr>
              <w:rPr>
                <w:rFonts w:ascii="黑体" w:eastAsia="黑体" w:hAnsi="黑体"/>
                <w:sz w:val="20"/>
                <w:szCs w:val="20"/>
              </w:rPr>
            </w:pPr>
            <w:r>
              <w:rPr>
                <w:rFonts w:ascii="黑体" w:eastAsia="黑体" w:hAnsi="黑体" w:hint="eastAsia"/>
                <w:sz w:val="20"/>
                <w:szCs w:val="20"/>
              </w:rPr>
              <w:t>参见《国际收支统计申报办法》中对中国居民</w:t>
            </w:r>
            <w:r w:rsidR="00010212">
              <w:rPr>
                <w:rFonts w:ascii="黑体" w:eastAsia="黑体" w:hAnsi="黑体" w:hint="eastAsia"/>
                <w:sz w:val="20"/>
                <w:szCs w:val="20"/>
              </w:rPr>
              <w:t>/</w:t>
            </w:r>
            <w:r>
              <w:rPr>
                <w:rFonts w:ascii="黑体" w:eastAsia="黑体" w:hAnsi="黑体" w:hint="eastAsia"/>
                <w:sz w:val="20"/>
                <w:szCs w:val="20"/>
              </w:rPr>
              <w:t>中国非居民的定义。实践中，按照身份证、护照等有效证件中的国籍来认定。</w:t>
            </w:r>
          </w:p>
        </w:tc>
      </w:tr>
      <w:tr w:rsidR="00A052DC" w14:paraId="4AD89443" w14:textId="77777777">
        <w:trPr>
          <w:cantSplit/>
        </w:trPr>
        <w:tc>
          <w:tcPr>
            <w:tcW w:w="1526" w:type="dxa"/>
          </w:tcPr>
          <w:p w14:paraId="2E90DEE4" w14:textId="77777777" w:rsidR="00A052DC" w:rsidRDefault="009F0A60">
            <w:pPr>
              <w:rPr>
                <w:rFonts w:ascii="黑体" w:eastAsia="黑体" w:hAnsi="黑体"/>
                <w:sz w:val="20"/>
                <w:szCs w:val="20"/>
              </w:rPr>
            </w:pPr>
            <w:r>
              <w:rPr>
                <w:rFonts w:ascii="黑体" w:eastAsia="黑体" w:hAnsi="黑体" w:hint="eastAsia"/>
                <w:sz w:val="20"/>
                <w:szCs w:val="20"/>
              </w:rPr>
              <w:t>收款人名称</w:t>
            </w:r>
          </w:p>
        </w:tc>
        <w:tc>
          <w:tcPr>
            <w:tcW w:w="7087" w:type="dxa"/>
          </w:tcPr>
          <w:p w14:paraId="06C3B011" w14:textId="77777777" w:rsidR="00A052DC" w:rsidRDefault="009F0A60">
            <w:pPr>
              <w:rPr>
                <w:rFonts w:ascii="黑体" w:eastAsia="黑体" w:hAnsi="黑体"/>
                <w:sz w:val="20"/>
                <w:szCs w:val="20"/>
              </w:rPr>
            </w:pPr>
            <w:r>
              <w:rPr>
                <w:rFonts w:ascii="黑体" w:eastAsia="黑体" w:hAnsi="黑体" w:hint="eastAsia"/>
                <w:sz w:val="20"/>
                <w:szCs w:val="20"/>
              </w:rPr>
              <w:t>指境外和境内非居民收款人的名称。境内申报主体对境外支付款项，境内付款银行应当在基础信息中的对方收款人名称前添加“（JW）”（半角大写英文字母）字样；如果为境内居民向境内非居民付款，境内付款银行应当在基础信息中的对方收款人名称前添加“（JN）”（半角大写英文字母）字样。</w:t>
            </w:r>
          </w:p>
          <w:p w14:paraId="1C462A7C" w14:textId="77777777" w:rsidR="00A052DC" w:rsidRDefault="009F0A60">
            <w:pPr>
              <w:rPr>
                <w:rFonts w:ascii="黑体" w:eastAsia="黑体" w:hAnsi="黑体"/>
                <w:sz w:val="20"/>
                <w:szCs w:val="20"/>
              </w:rPr>
            </w:pPr>
            <w:r>
              <w:rPr>
                <w:rFonts w:ascii="黑体" w:eastAsia="黑体" w:hAnsi="黑体" w:hint="eastAsia"/>
                <w:sz w:val="20"/>
                <w:szCs w:val="20"/>
              </w:rPr>
              <w:t>括号</w:t>
            </w:r>
            <w:r>
              <w:rPr>
                <w:rFonts w:ascii="黑体" w:eastAsia="黑体" w:hAnsi="黑体"/>
                <w:sz w:val="20"/>
                <w:szCs w:val="20"/>
              </w:rPr>
              <w:t>和冒号是半角</w:t>
            </w:r>
            <w:r>
              <w:rPr>
                <w:rFonts w:ascii="黑体" w:eastAsia="黑体" w:hAnsi="黑体" w:hint="eastAsia"/>
                <w:sz w:val="20"/>
                <w:szCs w:val="20"/>
              </w:rPr>
              <w:t>英文</w:t>
            </w:r>
            <w:r>
              <w:rPr>
                <w:rFonts w:ascii="黑体" w:eastAsia="黑体" w:hAnsi="黑体"/>
                <w:sz w:val="20"/>
                <w:szCs w:val="20"/>
              </w:rPr>
              <w:t>字符。</w:t>
            </w:r>
          </w:p>
        </w:tc>
      </w:tr>
      <w:tr w:rsidR="00A052DC" w14:paraId="19D35AA8" w14:textId="77777777">
        <w:trPr>
          <w:cantSplit/>
        </w:trPr>
        <w:tc>
          <w:tcPr>
            <w:tcW w:w="1526" w:type="dxa"/>
          </w:tcPr>
          <w:p w14:paraId="71BCB789" w14:textId="77777777" w:rsidR="00A052DC" w:rsidRDefault="009F0A60">
            <w:pPr>
              <w:rPr>
                <w:rFonts w:ascii="黑体" w:eastAsia="黑体" w:hAnsi="黑体"/>
                <w:sz w:val="20"/>
                <w:szCs w:val="20"/>
              </w:rPr>
            </w:pPr>
            <w:r>
              <w:rPr>
                <w:rFonts w:ascii="黑体" w:eastAsia="黑体" w:hAnsi="黑体" w:hint="eastAsia"/>
                <w:sz w:val="20"/>
                <w:szCs w:val="20"/>
              </w:rPr>
              <w:t>实际付款币种</w:t>
            </w:r>
          </w:p>
        </w:tc>
        <w:tc>
          <w:tcPr>
            <w:tcW w:w="7087" w:type="dxa"/>
          </w:tcPr>
          <w:p w14:paraId="6FDA03DE" w14:textId="77777777" w:rsidR="00A052DC" w:rsidRDefault="009F0A60">
            <w:pPr>
              <w:rPr>
                <w:rFonts w:ascii="黑体" w:eastAsia="黑体" w:hAnsi="黑体"/>
                <w:sz w:val="20"/>
                <w:szCs w:val="20"/>
              </w:rPr>
            </w:pPr>
            <w:r>
              <w:rPr>
                <w:rFonts w:ascii="黑体" w:eastAsia="黑体" w:hAnsi="黑体" w:hint="eastAsia"/>
                <w:sz w:val="20"/>
                <w:szCs w:val="20"/>
              </w:rPr>
              <w:t>指银行实际对境外支付的币种。</w:t>
            </w:r>
          </w:p>
        </w:tc>
      </w:tr>
      <w:tr w:rsidR="00A052DC" w14:paraId="1D3FBD82" w14:textId="77777777">
        <w:trPr>
          <w:cantSplit/>
        </w:trPr>
        <w:tc>
          <w:tcPr>
            <w:tcW w:w="1526" w:type="dxa"/>
          </w:tcPr>
          <w:p w14:paraId="5C498E03" w14:textId="77777777" w:rsidR="00A052DC" w:rsidRDefault="009F0A60">
            <w:pPr>
              <w:rPr>
                <w:rFonts w:ascii="黑体" w:eastAsia="黑体" w:hAnsi="黑体"/>
                <w:sz w:val="20"/>
                <w:szCs w:val="20"/>
              </w:rPr>
            </w:pPr>
            <w:r>
              <w:rPr>
                <w:rFonts w:ascii="黑体" w:eastAsia="黑体" w:hAnsi="黑体" w:hint="eastAsia"/>
                <w:sz w:val="20"/>
                <w:szCs w:val="20"/>
              </w:rPr>
              <w:t>实际付款金额</w:t>
            </w:r>
          </w:p>
        </w:tc>
        <w:tc>
          <w:tcPr>
            <w:tcW w:w="7087" w:type="dxa"/>
          </w:tcPr>
          <w:p w14:paraId="0CD9DEA9" w14:textId="77777777" w:rsidR="00A052DC" w:rsidRDefault="009F0A60">
            <w:pPr>
              <w:rPr>
                <w:rFonts w:ascii="黑体" w:eastAsia="黑体" w:hAnsi="黑体"/>
                <w:sz w:val="20"/>
                <w:szCs w:val="20"/>
              </w:rPr>
            </w:pPr>
            <w:r>
              <w:rPr>
                <w:rFonts w:ascii="黑体" w:eastAsia="黑体" w:hAnsi="黑体" w:hint="eastAsia"/>
                <w:sz w:val="20"/>
                <w:szCs w:val="20"/>
              </w:rPr>
              <w:t>指银行实际对境外支付的金额。</w:t>
            </w:r>
          </w:p>
        </w:tc>
      </w:tr>
      <w:tr w:rsidR="00A052DC" w14:paraId="737460F8" w14:textId="77777777">
        <w:trPr>
          <w:cantSplit/>
        </w:trPr>
        <w:tc>
          <w:tcPr>
            <w:tcW w:w="1526" w:type="dxa"/>
          </w:tcPr>
          <w:p w14:paraId="3155DBF9" w14:textId="77777777" w:rsidR="00A052DC" w:rsidRDefault="009F0A60">
            <w:pPr>
              <w:rPr>
                <w:rFonts w:ascii="黑体" w:eastAsia="黑体" w:hAnsi="黑体"/>
                <w:sz w:val="20"/>
                <w:szCs w:val="20"/>
              </w:rPr>
            </w:pPr>
            <w:r>
              <w:rPr>
                <w:rFonts w:ascii="黑体" w:eastAsia="黑体" w:hAnsi="黑体" w:hint="eastAsia"/>
                <w:sz w:val="20"/>
                <w:szCs w:val="20"/>
              </w:rPr>
              <w:t>扣费币种</w:t>
            </w:r>
          </w:p>
        </w:tc>
        <w:tc>
          <w:tcPr>
            <w:tcW w:w="7087" w:type="dxa"/>
          </w:tcPr>
          <w:p w14:paraId="45E4BEB1" w14:textId="77777777" w:rsidR="00A052DC" w:rsidRDefault="009F0A60">
            <w:pPr>
              <w:rPr>
                <w:rFonts w:ascii="黑体" w:eastAsia="黑体" w:hAnsi="黑体"/>
                <w:sz w:val="20"/>
                <w:szCs w:val="20"/>
              </w:rPr>
            </w:pPr>
            <w:r>
              <w:rPr>
                <w:rFonts w:ascii="黑体" w:eastAsia="黑体" w:hAnsi="黑体" w:hint="eastAsia"/>
                <w:sz w:val="20"/>
                <w:szCs w:val="20"/>
              </w:rPr>
              <w:t>指银行围绕本笔对外付款发生的，需要付款人支付费用的币种。</w:t>
            </w:r>
          </w:p>
        </w:tc>
      </w:tr>
      <w:tr w:rsidR="00A052DC" w14:paraId="035C9C30" w14:textId="77777777">
        <w:trPr>
          <w:cantSplit/>
        </w:trPr>
        <w:tc>
          <w:tcPr>
            <w:tcW w:w="1526" w:type="dxa"/>
          </w:tcPr>
          <w:p w14:paraId="52B8EDAC" w14:textId="77777777" w:rsidR="00A052DC" w:rsidRDefault="009F0A60">
            <w:pPr>
              <w:rPr>
                <w:rFonts w:ascii="黑体" w:eastAsia="黑体" w:hAnsi="黑体"/>
                <w:sz w:val="20"/>
                <w:szCs w:val="20"/>
              </w:rPr>
            </w:pPr>
            <w:r>
              <w:rPr>
                <w:rFonts w:ascii="黑体" w:eastAsia="黑体" w:hAnsi="黑体" w:hint="eastAsia"/>
                <w:sz w:val="20"/>
                <w:szCs w:val="20"/>
              </w:rPr>
              <w:t>扣费金额</w:t>
            </w:r>
          </w:p>
        </w:tc>
        <w:tc>
          <w:tcPr>
            <w:tcW w:w="7087" w:type="dxa"/>
          </w:tcPr>
          <w:p w14:paraId="1B82C8C3" w14:textId="77777777" w:rsidR="00A052DC" w:rsidRDefault="009F0A60">
            <w:pPr>
              <w:rPr>
                <w:rFonts w:ascii="黑体" w:eastAsia="黑体" w:hAnsi="黑体"/>
                <w:sz w:val="20"/>
                <w:szCs w:val="20"/>
              </w:rPr>
            </w:pPr>
            <w:r>
              <w:rPr>
                <w:rFonts w:ascii="黑体" w:eastAsia="黑体" w:hAnsi="黑体" w:hint="eastAsia"/>
                <w:sz w:val="20"/>
                <w:szCs w:val="20"/>
              </w:rPr>
              <w:t>指银行围绕本笔对外付款发生的，需要付款人支付费用的金额。</w:t>
            </w:r>
          </w:p>
        </w:tc>
      </w:tr>
      <w:tr w:rsidR="00A052DC" w14:paraId="1FEB4E7A" w14:textId="77777777">
        <w:trPr>
          <w:cantSplit/>
        </w:trPr>
        <w:tc>
          <w:tcPr>
            <w:tcW w:w="1526" w:type="dxa"/>
          </w:tcPr>
          <w:p w14:paraId="12E08B85" w14:textId="77777777" w:rsidR="00A052DC" w:rsidRDefault="009F0A60">
            <w:pPr>
              <w:rPr>
                <w:rFonts w:ascii="黑体" w:eastAsia="黑体" w:hAnsi="黑体"/>
                <w:sz w:val="20"/>
                <w:szCs w:val="20"/>
              </w:rPr>
            </w:pPr>
            <w:r>
              <w:rPr>
                <w:rFonts w:ascii="黑体" w:eastAsia="黑体" w:hAnsi="黑体" w:hint="eastAsia"/>
                <w:sz w:val="20"/>
                <w:szCs w:val="20"/>
              </w:rPr>
              <w:t>付款币种</w:t>
            </w:r>
          </w:p>
        </w:tc>
        <w:tc>
          <w:tcPr>
            <w:tcW w:w="7087" w:type="dxa"/>
          </w:tcPr>
          <w:p w14:paraId="4B553BFE" w14:textId="77777777" w:rsidR="00A052DC" w:rsidRDefault="009F0A60">
            <w:pPr>
              <w:rPr>
                <w:rFonts w:ascii="黑体" w:eastAsia="黑体" w:hAnsi="黑体"/>
                <w:sz w:val="20"/>
                <w:szCs w:val="20"/>
              </w:rPr>
            </w:pPr>
            <w:r>
              <w:rPr>
                <w:rFonts w:ascii="黑体" w:eastAsia="黑体" w:hAnsi="黑体" w:hint="eastAsia"/>
                <w:sz w:val="20"/>
                <w:szCs w:val="20"/>
              </w:rPr>
              <w:t>指付款人支付的币种。</w:t>
            </w:r>
          </w:p>
        </w:tc>
      </w:tr>
      <w:tr w:rsidR="00A052DC" w14:paraId="4DF72460" w14:textId="77777777">
        <w:trPr>
          <w:cantSplit/>
        </w:trPr>
        <w:tc>
          <w:tcPr>
            <w:tcW w:w="1526" w:type="dxa"/>
          </w:tcPr>
          <w:p w14:paraId="212E5193" w14:textId="77777777" w:rsidR="00A052DC" w:rsidRDefault="009F0A60">
            <w:pPr>
              <w:rPr>
                <w:rFonts w:ascii="黑体" w:eastAsia="黑体" w:hAnsi="黑体"/>
                <w:sz w:val="20"/>
                <w:szCs w:val="20"/>
              </w:rPr>
            </w:pPr>
            <w:r>
              <w:rPr>
                <w:rFonts w:ascii="黑体" w:eastAsia="黑体" w:hAnsi="黑体" w:hint="eastAsia"/>
                <w:sz w:val="20"/>
                <w:szCs w:val="20"/>
              </w:rPr>
              <w:t>付款金额</w:t>
            </w:r>
          </w:p>
        </w:tc>
        <w:tc>
          <w:tcPr>
            <w:tcW w:w="7087" w:type="dxa"/>
          </w:tcPr>
          <w:p w14:paraId="08FC312C" w14:textId="77777777" w:rsidR="00A052DC" w:rsidRDefault="009F0A60">
            <w:pPr>
              <w:rPr>
                <w:rFonts w:ascii="黑体" w:eastAsia="黑体" w:hAnsi="黑体"/>
                <w:sz w:val="20"/>
                <w:szCs w:val="20"/>
              </w:rPr>
            </w:pPr>
            <w:r>
              <w:rPr>
                <w:rFonts w:ascii="黑体" w:eastAsia="黑体" w:hAnsi="黑体" w:hint="eastAsia"/>
                <w:sz w:val="20"/>
                <w:szCs w:val="20"/>
              </w:rPr>
              <w:t>指付款人支付的金额（付款金额=购汇金额＋现汇金额＋其他金额）。</w:t>
            </w:r>
          </w:p>
        </w:tc>
      </w:tr>
      <w:tr w:rsidR="00A052DC" w14:paraId="24C4B626" w14:textId="77777777">
        <w:trPr>
          <w:cantSplit/>
        </w:trPr>
        <w:tc>
          <w:tcPr>
            <w:tcW w:w="1526" w:type="dxa"/>
          </w:tcPr>
          <w:p w14:paraId="1D3B43FB" w14:textId="77777777" w:rsidR="00A052DC" w:rsidRDefault="009F0A60">
            <w:pPr>
              <w:rPr>
                <w:rFonts w:ascii="黑体" w:eastAsia="黑体" w:hAnsi="黑体"/>
                <w:sz w:val="20"/>
                <w:szCs w:val="20"/>
              </w:rPr>
            </w:pPr>
            <w:r>
              <w:rPr>
                <w:rFonts w:ascii="黑体" w:eastAsia="黑体" w:hAnsi="黑体" w:hint="eastAsia"/>
                <w:sz w:val="20"/>
                <w:szCs w:val="20"/>
              </w:rPr>
              <w:t>购汇汇率</w:t>
            </w:r>
          </w:p>
        </w:tc>
        <w:tc>
          <w:tcPr>
            <w:tcW w:w="7087" w:type="dxa"/>
          </w:tcPr>
          <w:p w14:paraId="05ABA424" w14:textId="77777777" w:rsidR="00A052DC" w:rsidRDefault="009F0A60">
            <w:pPr>
              <w:rPr>
                <w:rFonts w:ascii="黑体" w:eastAsia="黑体" w:hAnsi="黑体"/>
                <w:sz w:val="20"/>
                <w:szCs w:val="20"/>
              </w:rPr>
            </w:pPr>
            <w:r>
              <w:rPr>
                <w:rFonts w:ascii="黑体" w:eastAsia="黑体" w:hAnsi="黑体" w:hint="eastAsia"/>
                <w:sz w:val="20"/>
                <w:szCs w:val="20"/>
              </w:rPr>
              <w:t>指对外付款金额中，以人民币购汇部分的汇率。</w:t>
            </w:r>
          </w:p>
        </w:tc>
      </w:tr>
      <w:tr w:rsidR="00A052DC" w14:paraId="3C05A454" w14:textId="77777777">
        <w:trPr>
          <w:cantSplit/>
        </w:trPr>
        <w:tc>
          <w:tcPr>
            <w:tcW w:w="1526" w:type="dxa"/>
          </w:tcPr>
          <w:p w14:paraId="298C84B5" w14:textId="77777777" w:rsidR="00A052DC" w:rsidRDefault="009F0A60">
            <w:pPr>
              <w:rPr>
                <w:rFonts w:ascii="黑体" w:eastAsia="黑体" w:hAnsi="黑体"/>
                <w:sz w:val="20"/>
                <w:szCs w:val="20"/>
              </w:rPr>
            </w:pPr>
            <w:r>
              <w:rPr>
                <w:rFonts w:ascii="黑体" w:eastAsia="黑体" w:hAnsi="黑体" w:hint="eastAsia"/>
                <w:sz w:val="20"/>
                <w:szCs w:val="20"/>
              </w:rPr>
              <w:t>购汇金额</w:t>
            </w:r>
          </w:p>
        </w:tc>
        <w:tc>
          <w:tcPr>
            <w:tcW w:w="7087" w:type="dxa"/>
          </w:tcPr>
          <w:p w14:paraId="0ECBD060" w14:textId="77777777" w:rsidR="00A052DC" w:rsidRDefault="009F0A60">
            <w:pPr>
              <w:rPr>
                <w:rFonts w:ascii="黑体" w:eastAsia="黑体" w:hAnsi="黑体"/>
                <w:sz w:val="20"/>
                <w:szCs w:val="20"/>
              </w:rPr>
            </w:pPr>
            <w:r>
              <w:rPr>
                <w:rFonts w:ascii="黑体" w:eastAsia="黑体" w:hAnsi="黑体" w:hint="eastAsia"/>
                <w:sz w:val="20"/>
                <w:szCs w:val="20"/>
              </w:rPr>
              <w:t>指实际对外付款金额中，从银行购买外汇直接对境外支付的金额。</w:t>
            </w:r>
          </w:p>
        </w:tc>
      </w:tr>
      <w:tr w:rsidR="00A052DC" w14:paraId="676155E2" w14:textId="77777777">
        <w:trPr>
          <w:cantSplit/>
        </w:trPr>
        <w:tc>
          <w:tcPr>
            <w:tcW w:w="1526" w:type="dxa"/>
          </w:tcPr>
          <w:p w14:paraId="3F7DFFDC" w14:textId="77777777" w:rsidR="00A052DC" w:rsidRDefault="009F0A60">
            <w:pPr>
              <w:rPr>
                <w:rFonts w:ascii="黑体" w:eastAsia="黑体" w:hAnsi="黑体"/>
                <w:sz w:val="20"/>
                <w:szCs w:val="20"/>
              </w:rPr>
            </w:pPr>
            <w:r>
              <w:rPr>
                <w:rFonts w:ascii="黑体" w:eastAsia="黑体" w:hAnsi="黑体" w:hint="eastAsia"/>
                <w:sz w:val="20"/>
                <w:szCs w:val="20"/>
              </w:rPr>
              <w:t>人民币账号/银行卡号</w:t>
            </w:r>
          </w:p>
        </w:tc>
        <w:tc>
          <w:tcPr>
            <w:tcW w:w="7087" w:type="dxa"/>
          </w:tcPr>
          <w:p w14:paraId="5FCD707D" w14:textId="77777777" w:rsidR="00A052DC" w:rsidRDefault="009F0A60">
            <w:pPr>
              <w:rPr>
                <w:rFonts w:ascii="黑体" w:eastAsia="黑体" w:hAnsi="黑体"/>
                <w:sz w:val="20"/>
                <w:szCs w:val="20"/>
              </w:rPr>
            </w:pPr>
            <w:r>
              <w:rPr>
                <w:rFonts w:ascii="黑体" w:eastAsia="黑体" w:hAnsi="黑体" w:hint="eastAsia"/>
                <w:sz w:val="20"/>
                <w:szCs w:val="20"/>
              </w:rPr>
              <w:t>付款人向银行购买外汇直接对境外支付时银行扣款的人民币账号。</w:t>
            </w:r>
          </w:p>
        </w:tc>
      </w:tr>
      <w:tr w:rsidR="00A052DC" w14:paraId="491B22DD" w14:textId="77777777">
        <w:trPr>
          <w:cantSplit/>
        </w:trPr>
        <w:tc>
          <w:tcPr>
            <w:tcW w:w="1526" w:type="dxa"/>
          </w:tcPr>
          <w:p w14:paraId="1C289D37" w14:textId="77777777" w:rsidR="00A052DC" w:rsidRDefault="009F0A60">
            <w:pPr>
              <w:rPr>
                <w:rFonts w:ascii="黑体" w:eastAsia="黑体" w:hAnsi="黑体"/>
                <w:sz w:val="20"/>
                <w:szCs w:val="20"/>
              </w:rPr>
            </w:pPr>
            <w:r>
              <w:rPr>
                <w:rFonts w:ascii="黑体" w:eastAsia="黑体" w:hAnsi="黑体" w:hint="eastAsia"/>
                <w:sz w:val="20"/>
                <w:szCs w:val="20"/>
              </w:rPr>
              <w:t>现汇金额</w:t>
            </w:r>
          </w:p>
        </w:tc>
        <w:tc>
          <w:tcPr>
            <w:tcW w:w="7087" w:type="dxa"/>
          </w:tcPr>
          <w:p w14:paraId="5D23FFD9" w14:textId="77777777" w:rsidR="00A052DC" w:rsidRDefault="009F0A60">
            <w:pPr>
              <w:rPr>
                <w:rFonts w:ascii="黑体" w:eastAsia="黑体" w:hAnsi="黑体"/>
                <w:sz w:val="20"/>
                <w:szCs w:val="20"/>
              </w:rPr>
            </w:pPr>
            <w:r>
              <w:rPr>
                <w:rFonts w:ascii="黑体" w:eastAsia="黑体" w:hAnsi="黑体" w:hint="eastAsia"/>
                <w:sz w:val="20"/>
                <w:szCs w:val="20"/>
              </w:rPr>
              <w:t>实际对外付款金额中，直接从外汇账户（包括外汇保证金账户）中支付的金额，付款人将从银行购买的外汇存入外汇账户（包括外汇保证金账户）后对境外支付的金额应作为现汇金额。付款人以外币现钞方式对境外支付的金额作为现汇金额。</w:t>
            </w:r>
          </w:p>
        </w:tc>
      </w:tr>
      <w:tr w:rsidR="00A052DC" w14:paraId="02D56DCA" w14:textId="77777777">
        <w:trPr>
          <w:cantSplit/>
        </w:trPr>
        <w:tc>
          <w:tcPr>
            <w:tcW w:w="1526" w:type="dxa"/>
          </w:tcPr>
          <w:p w14:paraId="31155BDE" w14:textId="77777777" w:rsidR="00A052DC" w:rsidRDefault="009F0A60">
            <w:pPr>
              <w:rPr>
                <w:rFonts w:ascii="黑体" w:eastAsia="黑体" w:hAnsi="黑体"/>
                <w:sz w:val="20"/>
                <w:szCs w:val="20"/>
              </w:rPr>
            </w:pPr>
            <w:r>
              <w:rPr>
                <w:rFonts w:ascii="黑体" w:eastAsia="黑体" w:hAnsi="黑体" w:hint="eastAsia"/>
                <w:sz w:val="20"/>
                <w:szCs w:val="20"/>
              </w:rPr>
              <w:t>外汇账号/银行卡号</w:t>
            </w:r>
          </w:p>
        </w:tc>
        <w:tc>
          <w:tcPr>
            <w:tcW w:w="7087" w:type="dxa"/>
          </w:tcPr>
          <w:p w14:paraId="1B72167D" w14:textId="77777777" w:rsidR="00A052DC" w:rsidRDefault="009F0A60">
            <w:pPr>
              <w:rPr>
                <w:rFonts w:ascii="黑体" w:eastAsia="黑体" w:hAnsi="黑体"/>
                <w:sz w:val="20"/>
                <w:szCs w:val="20"/>
              </w:rPr>
            </w:pPr>
            <w:r>
              <w:rPr>
                <w:rFonts w:ascii="黑体" w:eastAsia="黑体" w:hAnsi="黑体" w:hint="eastAsia"/>
                <w:sz w:val="20"/>
                <w:szCs w:val="20"/>
              </w:rPr>
              <w:t>银行以外汇方式对境外付款时扣款的账号/银行卡号，包括现汇账号、现钞账号、外汇保证金账号、银行外币卡卡号等。</w:t>
            </w:r>
          </w:p>
        </w:tc>
      </w:tr>
      <w:tr w:rsidR="00A052DC" w14:paraId="2C168D79" w14:textId="77777777">
        <w:trPr>
          <w:cantSplit/>
        </w:trPr>
        <w:tc>
          <w:tcPr>
            <w:tcW w:w="1526" w:type="dxa"/>
          </w:tcPr>
          <w:p w14:paraId="50E19096" w14:textId="77777777" w:rsidR="00A052DC" w:rsidRDefault="009F0A60">
            <w:pPr>
              <w:rPr>
                <w:rFonts w:ascii="黑体" w:eastAsia="黑体" w:hAnsi="黑体"/>
                <w:sz w:val="20"/>
                <w:szCs w:val="20"/>
              </w:rPr>
            </w:pPr>
            <w:r>
              <w:rPr>
                <w:rFonts w:ascii="黑体" w:eastAsia="黑体" w:hAnsi="黑体" w:hint="eastAsia"/>
                <w:sz w:val="20"/>
                <w:szCs w:val="20"/>
              </w:rPr>
              <w:t>其他金额</w:t>
            </w:r>
          </w:p>
        </w:tc>
        <w:tc>
          <w:tcPr>
            <w:tcW w:w="7087" w:type="dxa"/>
          </w:tcPr>
          <w:p w14:paraId="787498CB" w14:textId="77777777" w:rsidR="00A052DC" w:rsidRDefault="009F0A60">
            <w:pPr>
              <w:rPr>
                <w:rFonts w:ascii="黑体" w:eastAsia="黑体" w:hAnsi="黑体"/>
                <w:sz w:val="20"/>
                <w:szCs w:val="20"/>
              </w:rPr>
            </w:pPr>
            <w:r>
              <w:rPr>
                <w:rFonts w:ascii="黑体" w:eastAsia="黑体" w:hAnsi="黑体" w:hint="eastAsia"/>
                <w:sz w:val="20"/>
                <w:szCs w:val="20"/>
              </w:rPr>
              <w:t>指付款人除购汇和现汇以外对境外支付的金额。包括跨境人民币交易以及记账贸易项下交易等的金额。</w:t>
            </w:r>
          </w:p>
        </w:tc>
      </w:tr>
      <w:tr w:rsidR="00A052DC" w14:paraId="78D5B48E" w14:textId="77777777">
        <w:trPr>
          <w:cantSplit/>
        </w:trPr>
        <w:tc>
          <w:tcPr>
            <w:tcW w:w="1526" w:type="dxa"/>
          </w:tcPr>
          <w:p w14:paraId="783E19D2" w14:textId="77777777" w:rsidR="00A052DC" w:rsidRDefault="009F0A60">
            <w:pPr>
              <w:rPr>
                <w:rFonts w:ascii="黑体" w:eastAsia="黑体" w:hAnsi="黑体"/>
                <w:sz w:val="20"/>
                <w:szCs w:val="20"/>
              </w:rPr>
            </w:pPr>
            <w:r>
              <w:rPr>
                <w:rFonts w:ascii="黑体" w:eastAsia="黑体" w:hAnsi="黑体" w:hint="eastAsia"/>
                <w:sz w:val="20"/>
                <w:szCs w:val="20"/>
              </w:rPr>
              <w:t>其他账号/银行卡号</w:t>
            </w:r>
          </w:p>
        </w:tc>
        <w:tc>
          <w:tcPr>
            <w:tcW w:w="7087" w:type="dxa"/>
          </w:tcPr>
          <w:p w14:paraId="01717658" w14:textId="77777777" w:rsidR="00A052DC" w:rsidRDefault="009F0A60">
            <w:pPr>
              <w:rPr>
                <w:rFonts w:ascii="黑体" w:eastAsia="黑体" w:hAnsi="黑体"/>
                <w:sz w:val="20"/>
                <w:szCs w:val="20"/>
              </w:rPr>
            </w:pPr>
            <w:r>
              <w:rPr>
                <w:rFonts w:ascii="黑体" w:eastAsia="黑体" w:hAnsi="黑体" w:hint="eastAsia"/>
                <w:sz w:val="20"/>
                <w:szCs w:val="20"/>
              </w:rPr>
              <w:t>银行除购汇和现汇以外其他方式对境外付款时扣款的账号/银行卡号。</w:t>
            </w:r>
          </w:p>
        </w:tc>
      </w:tr>
      <w:tr w:rsidR="00A052DC" w14:paraId="44E5DC09" w14:textId="77777777">
        <w:trPr>
          <w:cantSplit/>
        </w:trPr>
        <w:tc>
          <w:tcPr>
            <w:tcW w:w="1526" w:type="dxa"/>
          </w:tcPr>
          <w:p w14:paraId="397C9A55" w14:textId="77777777" w:rsidR="00A052DC" w:rsidRDefault="009F0A60">
            <w:pPr>
              <w:rPr>
                <w:rFonts w:ascii="黑体" w:eastAsia="黑体" w:hAnsi="黑体"/>
                <w:sz w:val="20"/>
                <w:szCs w:val="20"/>
              </w:rPr>
            </w:pPr>
            <w:r>
              <w:rPr>
                <w:rFonts w:ascii="黑体" w:eastAsia="黑体" w:hAnsi="黑体" w:hint="eastAsia"/>
                <w:sz w:val="20"/>
                <w:szCs w:val="20"/>
              </w:rPr>
              <w:t>结算方式</w:t>
            </w:r>
          </w:p>
        </w:tc>
        <w:tc>
          <w:tcPr>
            <w:tcW w:w="7087" w:type="dxa"/>
          </w:tcPr>
          <w:p w14:paraId="7C397FB9" w14:textId="77777777" w:rsidR="00A052DC" w:rsidRDefault="009F0A60">
            <w:pPr>
              <w:rPr>
                <w:rFonts w:ascii="黑体" w:eastAsia="黑体" w:hAnsi="黑体"/>
                <w:sz w:val="20"/>
                <w:szCs w:val="20"/>
              </w:rPr>
            </w:pPr>
            <w:r>
              <w:rPr>
                <w:rFonts w:ascii="黑体" w:eastAsia="黑体" w:hAnsi="黑体" w:hint="eastAsia"/>
                <w:sz w:val="20"/>
                <w:szCs w:val="20"/>
              </w:rPr>
              <w:t>信用证、托收、保函、其他选项四选一。</w:t>
            </w:r>
          </w:p>
        </w:tc>
      </w:tr>
      <w:tr w:rsidR="00A052DC" w14:paraId="2576D46C" w14:textId="77777777">
        <w:trPr>
          <w:cantSplit/>
        </w:trPr>
        <w:tc>
          <w:tcPr>
            <w:tcW w:w="1526" w:type="dxa"/>
          </w:tcPr>
          <w:p w14:paraId="41371A9D" w14:textId="77777777" w:rsidR="00A052DC" w:rsidRDefault="009F0A60">
            <w:pPr>
              <w:rPr>
                <w:rFonts w:ascii="黑体" w:eastAsia="黑体" w:hAnsi="黑体"/>
                <w:sz w:val="20"/>
                <w:szCs w:val="20"/>
              </w:rPr>
            </w:pPr>
            <w:r>
              <w:rPr>
                <w:rFonts w:ascii="黑体" w:eastAsia="黑体" w:hAnsi="黑体" w:hint="eastAsia"/>
                <w:sz w:val="20"/>
                <w:szCs w:val="20"/>
              </w:rPr>
              <w:t>信用证</w:t>
            </w:r>
            <w:r w:rsidR="00010212">
              <w:rPr>
                <w:rFonts w:ascii="黑体" w:eastAsia="黑体" w:hAnsi="黑体" w:hint="eastAsia"/>
                <w:sz w:val="20"/>
                <w:szCs w:val="20"/>
              </w:rPr>
              <w:t>/</w:t>
            </w:r>
            <w:r>
              <w:rPr>
                <w:rFonts w:ascii="黑体" w:eastAsia="黑体" w:hAnsi="黑体" w:hint="eastAsia"/>
                <w:sz w:val="20"/>
                <w:szCs w:val="20"/>
              </w:rPr>
              <w:t>保函编号</w:t>
            </w:r>
          </w:p>
        </w:tc>
        <w:tc>
          <w:tcPr>
            <w:tcW w:w="7087" w:type="dxa"/>
          </w:tcPr>
          <w:p w14:paraId="7A04CE9A" w14:textId="77777777" w:rsidR="00A052DC" w:rsidRDefault="009F0A60">
            <w:pPr>
              <w:rPr>
                <w:rFonts w:ascii="黑体" w:eastAsia="黑体" w:hAnsi="黑体"/>
                <w:sz w:val="20"/>
                <w:szCs w:val="20"/>
              </w:rPr>
            </w:pPr>
            <w:r>
              <w:rPr>
                <w:rFonts w:ascii="黑体" w:eastAsia="黑体" w:hAnsi="黑体" w:hint="eastAsia"/>
                <w:sz w:val="20"/>
                <w:szCs w:val="20"/>
              </w:rPr>
              <w:t>指银行开出的信用证/保函的编号。</w:t>
            </w:r>
          </w:p>
        </w:tc>
      </w:tr>
      <w:tr w:rsidR="00A052DC" w14:paraId="6F930D6E" w14:textId="77777777">
        <w:trPr>
          <w:cantSplit/>
          <w:trHeight w:val="226"/>
        </w:trPr>
        <w:tc>
          <w:tcPr>
            <w:tcW w:w="1526" w:type="dxa"/>
          </w:tcPr>
          <w:p w14:paraId="5ABFEB0E" w14:textId="77777777" w:rsidR="00A052DC" w:rsidRDefault="009F0A60">
            <w:pPr>
              <w:rPr>
                <w:rFonts w:ascii="黑体" w:eastAsia="黑体" w:hAnsi="黑体"/>
                <w:sz w:val="20"/>
                <w:szCs w:val="20"/>
              </w:rPr>
            </w:pPr>
            <w:r>
              <w:rPr>
                <w:rFonts w:ascii="黑体" w:eastAsia="黑体" w:hAnsi="黑体" w:hint="eastAsia"/>
                <w:sz w:val="20"/>
                <w:szCs w:val="20"/>
              </w:rPr>
              <w:t>期限</w:t>
            </w:r>
          </w:p>
        </w:tc>
        <w:tc>
          <w:tcPr>
            <w:tcW w:w="7087" w:type="dxa"/>
          </w:tcPr>
          <w:p w14:paraId="0FA95E4B" w14:textId="77777777" w:rsidR="00A052DC" w:rsidRDefault="009F0A60">
            <w:pPr>
              <w:rPr>
                <w:rFonts w:ascii="黑体" w:eastAsia="黑体" w:hAnsi="黑体"/>
                <w:sz w:val="20"/>
                <w:szCs w:val="20"/>
              </w:rPr>
            </w:pPr>
            <w:r>
              <w:rPr>
                <w:rFonts w:ascii="黑体" w:eastAsia="黑体" w:hAnsi="黑体" w:hint="eastAsia"/>
                <w:sz w:val="20"/>
                <w:szCs w:val="20"/>
              </w:rPr>
              <w:t>指远期付款天数。</w:t>
            </w:r>
          </w:p>
        </w:tc>
      </w:tr>
      <w:tr w:rsidR="00A052DC" w14:paraId="3B571BE3" w14:textId="77777777">
        <w:trPr>
          <w:cantSplit/>
        </w:trPr>
        <w:tc>
          <w:tcPr>
            <w:tcW w:w="1526" w:type="dxa"/>
          </w:tcPr>
          <w:p w14:paraId="777718EA" w14:textId="77777777" w:rsidR="00A052DC" w:rsidRDefault="009F0A60">
            <w:pPr>
              <w:rPr>
                <w:rFonts w:ascii="黑体" w:eastAsia="黑体" w:hAnsi="黑体"/>
                <w:sz w:val="20"/>
                <w:szCs w:val="20"/>
              </w:rPr>
            </w:pPr>
            <w:r>
              <w:rPr>
                <w:rFonts w:ascii="黑体" w:eastAsia="黑体" w:hAnsi="黑体" w:hint="eastAsia"/>
                <w:sz w:val="20"/>
                <w:szCs w:val="20"/>
              </w:rPr>
              <w:t>开证日期</w:t>
            </w:r>
          </w:p>
        </w:tc>
        <w:tc>
          <w:tcPr>
            <w:tcW w:w="7087" w:type="dxa"/>
          </w:tcPr>
          <w:p w14:paraId="2F03AED6" w14:textId="77777777" w:rsidR="00A052DC" w:rsidRDefault="009F0A60">
            <w:pPr>
              <w:rPr>
                <w:rFonts w:ascii="黑体" w:eastAsia="黑体" w:hAnsi="黑体"/>
                <w:sz w:val="20"/>
                <w:szCs w:val="20"/>
              </w:rPr>
            </w:pPr>
            <w:r>
              <w:rPr>
                <w:rFonts w:ascii="黑体" w:eastAsia="黑体" w:hAnsi="黑体" w:hint="eastAsia"/>
                <w:sz w:val="20"/>
                <w:szCs w:val="20"/>
              </w:rPr>
              <w:t>指银行开立信用证</w:t>
            </w:r>
            <w:r w:rsidR="00010212">
              <w:rPr>
                <w:rFonts w:ascii="黑体" w:eastAsia="黑体" w:hAnsi="黑体" w:hint="eastAsia"/>
                <w:sz w:val="20"/>
                <w:szCs w:val="20"/>
              </w:rPr>
              <w:t>/</w:t>
            </w:r>
            <w:r>
              <w:rPr>
                <w:rFonts w:ascii="黑体" w:eastAsia="黑体" w:hAnsi="黑体" w:hint="eastAsia"/>
                <w:sz w:val="20"/>
                <w:szCs w:val="20"/>
              </w:rPr>
              <w:t>保函的日期。</w:t>
            </w:r>
          </w:p>
        </w:tc>
      </w:tr>
      <w:tr w:rsidR="00A052DC" w14:paraId="40447C1A" w14:textId="77777777">
        <w:trPr>
          <w:cantSplit/>
        </w:trPr>
        <w:tc>
          <w:tcPr>
            <w:tcW w:w="1526" w:type="dxa"/>
          </w:tcPr>
          <w:p w14:paraId="17D5ACA2" w14:textId="77777777" w:rsidR="00A052DC" w:rsidRDefault="009F0A60">
            <w:pPr>
              <w:rPr>
                <w:rFonts w:ascii="黑体" w:eastAsia="黑体" w:hAnsi="黑体"/>
                <w:sz w:val="20"/>
                <w:szCs w:val="20"/>
              </w:rPr>
            </w:pPr>
            <w:r>
              <w:rPr>
                <w:rFonts w:ascii="黑体" w:eastAsia="黑体" w:hAnsi="黑体" w:hint="eastAsia"/>
                <w:sz w:val="20"/>
                <w:szCs w:val="20"/>
              </w:rPr>
              <w:t>银行业务编号</w:t>
            </w:r>
          </w:p>
        </w:tc>
        <w:tc>
          <w:tcPr>
            <w:tcW w:w="7087" w:type="dxa"/>
          </w:tcPr>
          <w:p w14:paraId="7B4C7C2B" w14:textId="77777777" w:rsidR="00A052DC" w:rsidRDefault="009F0A60">
            <w:pPr>
              <w:rPr>
                <w:rFonts w:ascii="黑体" w:eastAsia="黑体" w:hAnsi="黑体"/>
                <w:sz w:val="20"/>
                <w:szCs w:val="20"/>
              </w:rPr>
            </w:pPr>
            <w:r>
              <w:rPr>
                <w:rFonts w:ascii="黑体" w:eastAsia="黑体" w:hAnsi="黑体" w:hint="eastAsia"/>
                <w:sz w:val="20"/>
                <w:szCs w:val="20"/>
              </w:rPr>
              <w:t>指该笔业务在银行的业务编号。</w:t>
            </w:r>
          </w:p>
        </w:tc>
      </w:tr>
    </w:tbl>
    <w:p w14:paraId="1E59BC4D" w14:textId="77777777" w:rsidR="00A052DC" w:rsidRDefault="009F0A60">
      <w:pPr>
        <w:pStyle w:val="4"/>
        <w:numPr>
          <w:ilvl w:val="3"/>
          <w:numId w:val="1"/>
        </w:numPr>
        <w:jc w:val="left"/>
      </w:pPr>
      <w:bookmarkStart w:id="977" w:name="_Toc454386775"/>
      <w:r>
        <w:rPr>
          <w:rFonts w:hint="eastAsia"/>
        </w:rPr>
        <w:t>数据格式</w:t>
      </w:r>
      <w:bookmarkEnd w:id="977"/>
    </w:p>
    <w:p w14:paraId="73999B0E" w14:textId="77777777" w:rsidR="00A052DC" w:rsidRDefault="009F0A60">
      <w:r>
        <w:t>&lt;REC&gt;</w:t>
      </w:r>
    </w:p>
    <w:p w14:paraId="66DE540E" w14:textId="77777777" w:rsidR="00A052DC" w:rsidRDefault="009F0A60">
      <w:r>
        <w:t>&lt;ACTIONTYPE&gt;</w:t>
      </w:r>
      <w:r>
        <w:rPr>
          <w:rFonts w:hint="eastAsia"/>
        </w:rPr>
        <w:t>操作类型</w:t>
      </w:r>
      <w:r>
        <w:t>&lt;/ACTIONTYPE&gt;</w:t>
      </w:r>
    </w:p>
    <w:p w14:paraId="7A4B938B" w14:textId="77777777" w:rsidR="00A052DC" w:rsidRDefault="009F0A60">
      <w:r>
        <w:t>&lt;ACTIONDESC&gt;</w:t>
      </w:r>
      <w:r>
        <w:rPr>
          <w:rFonts w:hint="eastAsia"/>
        </w:rPr>
        <w:t>修改</w:t>
      </w:r>
      <w:r>
        <w:t>/</w:t>
      </w:r>
      <w:r>
        <w:rPr>
          <w:rFonts w:hint="eastAsia"/>
        </w:rPr>
        <w:t>删除原因</w:t>
      </w:r>
      <w:r>
        <w:t>/</w:t>
      </w:r>
      <w:r>
        <w:rPr>
          <w:rFonts w:hint="eastAsia"/>
        </w:rPr>
        <w:t>申报无误理由</w:t>
      </w:r>
      <w:r>
        <w:t>&lt;/ACTIONDESC&gt;</w:t>
      </w:r>
    </w:p>
    <w:p w14:paraId="4068425E" w14:textId="77777777" w:rsidR="00A052DC" w:rsidRDefault="009F0A60">
      <w:r>
        <w:t>&lt;RPTNO&gt;</w:t>
      </w:r>
      <w:r>
        <w:rPr>
          <w:rFonts w:hint="eastAsia"/>
        </w:rPr>
        <w:t>申报号码</w:t>
      </w:r>
      <w:r>
        <w:t>&lt;/RPTNO&gt;</w:t>
      </w:r>
    </w:p>
    <w:p w14:paraId="7AC6E830" w14:textId="77777777" w:rsidR="00A052DC" w:rsidRDefault="009F0A60">
      <w:r>
        <w:t>&lt;CUSTYPE&gt;</w:t>
      </w:r>
      <w:r>
        <w:rPr>
          <w:rFonts w:hint="eastAsia"/>
        </w:rPr>
        <w:t>付款人类型</w:t>
      </w:r>
      <w:r>
        <w:t>&lt;/CUSTYPE&gt;</w:t>
      </w:r>
    </w:p>
    <w:p w14:paraId="3BC663B0" w14:textId="77777777" w:rsidR="00A052DC" w:rsidRDefault="009F0A60">
      <w:r>
        <w:t>&lt;IDCODE&gt;</w:t>
      </w:r>
      <w:r>
        <w:rPr>
          <w:rFonts w:hint="eastAsia"/>
        </w:rPr>
        <w:t>个人身份证件号码</w:t>
      </w:r>
      <w:r>
        <w:t>&lt;/IDCODE&gt;</w:t>
      </w:r>
    </w:p>
    <w:p w14:paraId="44EB204B" w14:textId="77777777" w:rsidR="00A052DC" w:rsidRDefault="009F0A60">
      <w:r>
        <w:t>&lt;CUSTCOD&gt;</w:t>
      </w:r>
      <w:r>
        <w:rPr>
          <w:rFonts w:hint="eastAsia"/>
        </w:rPr>
        <w:t>主体标识码</w:t>
      </w:r>
      <w:r>
        <w:t>&lt;/CUSTCOD&gt;</w:t>
      </w:r>
    </w:p>
    <w:p w14:paraId="0B42B06C" w14:textId="77777777" w:rsidR="00A052DC" w:rsidRDefault="009F0A60">
      <w:r>
        <w:t>&lt;CUSTNM&gt;</w:t>
      </w:r>
      <w:r>
        <w:rPr>
          <w:rFonts w:hint="eastAsia"/>
        </w:rPr>
        <w:t>付款人名称</w:t>
      </w:r>
      <w:r>
        <w:t>&lt;/CUSTNM&gt;</w:t>
      </w:r>
    </w:p>
    <w:p w14:paraId="1876C42D" w14:textId="77777777" w:rsidR="00A052DC" w:rsidRDefault="009F0A60">
      <w:r>
        <w:t>&lt;OPPUSER&gt;</w:t>
      </w:r>
      <w:r>
        <w:rPr>
          <w:rFonts w:hint="eastAsia"/>
        </w:rPr>
        <w:t>收款人名称</w:t>
      </w:r>
      <w:r>
        <w:t>&lt;/OPPUSER&gt;</w:t>
      </w:r>
    </w:p>
    <w:p w14:paraId="1F50BAE1" w14:textId="77777777" w:rsidR="00A052DC" w:rsidRDefault="009F0A60">
      <w:r>
        <w:t>&lt;TXCCY&gt;</w:t>
      </w:r>
      <w:r>
        <w:rPr>
          <w:rFonts w:hint="eastAsia"/>
        </w:rPr>
        <w:t>付款币种</w:t>
      </w:r>
      <w:r>
        <w:t>&lt;/TXCCY&gt;</w:t>
      </w:r>
    </w:p>
    <w:p w14:paraId="771E1CFB" w14:textId="77777777" w:rsidR="00A052DC" w:rsidRDefault="009F0A60">
      <w:r>
        <w:t>&lt;TXAMT&gt;</w:t>
      </w:r>
      <w:r>
        <w:rPr>
          <w:rFonts w:hint="eastAsia"/>
        </w:rPr>
        <w:t>付款金额</w:t>
      </w:r>
      <w:r>
        <w:t>&lt;/TXAMT&gt;</w:t>
      </w:r>
    </w:p>
    <w:p w14:paraId="594AC1D1" w14:textId="77777777" w:rsidR="00A052DC" w:rsidRDefault="009F0A60">
      <w:r>
        <w:t>&lt;EXRATE&gt;</w:t>
      </w:r>
      <w:r>
        <w:rPr>
          <w:rFonts w:hint="eastAsia"/>
        </w:rPr>
        <w:t>购汇汇率</w:t>
      </w:r>
      <w:r>
        <w:t>&lt;/EXRATE&gt;</w:t>
      </w:r>
    </w:p>
    <w:p w14:paraId="23FA59DA" w14:textId="77777777" w:rsidR="00A052DC" w:rsidRDefault="009F0A60">
      <w:r>
        <w:t>&lt;LCYAMT&gt;</w:t>
      </w:r>
      <w:r>
        <w:rPr>
          <w:rFonts w:hint="eastAsia"/>
        </w:rPr>
        <w:t>购汇金额</w:t>
      </w:r>
      <w:r>
        <w:t>&lt;/LCYAMT&gt;</w:t>
      </w:r>
    </w:p>
    <w:p w14:paraId="5655BB63" w14:textId="77777777" w:rsidR="00A052DC" w:rsidRDefault="009F0A60">
      <w:r>
        <w:t>&lt;LCYACC&gt;</w:t>
      </w:r>
      <w:r>
        <w:rPr>
          <w:rFonts w:hint="eastAsia"/>
        </w:rPr>
        <w:t>人民币账号</w:t>
      </w:r>
      <w:r>
        <w:t>/</w:t>
      </w:r>
      <w:r>
        <w:rPr>
          <w:rFonts w:hint="eastAsia"/>
        </w:rPr>
        <w:t>银行卡号</w:t>
      </w:r>
      <w:r>
        <w:t>&lt;/LCYACC&gt;</w:t>
      </w:r>
    </w:p>
    <w:p w14:paraId="3202B1D6" w14:textId="77777777" w:rsidR="00A052DC" w:rsidRDefault="009F0A60">
      <w:r>
        <w:t>&lt;FCYAMT&gt;</w:t>
      </w:r>
      <w:r>
        <w:rPr>
          <w:rFonts w:hint="eastAsia"/>
        </w:rPr>
        <w:t>现汇金额</w:t>
      </w:r>
      <w:r>
        <w:t>&lt;/FCYAMT&gt;</w:t>
      </w:r>
    </w:p>
    <w:p w14:paraId="2C6D35A9" w14:textId="77777777" w:rsidR="00A052DC" w:rsidRDefault="009F0A60">
      <w:r>
        <w:t>&lt;FCYACC&gt;</w:t>
      </w:r>
      <w:r>
        <w:rPr>
          <w:rFonts w:hint="eastAsia"/>
        </w:rPr>
        <w:t>外汇账号</w:t>
      </w:r>
      <w:r>
        <w:t>/</w:t>
      </w:r>
      <w:r>
        <w:rPr>
          <w:rFonts w:hint="eastAsia"/>
        </w:rPr>
        <w:t>银行卡号</w:t>
      </w:r>
      <w:r>
        <w:t>&lt;/FCYACC&gt;</w:t>
      </w:r>
    </w:p>
    <w:p w14:paraId="74B062D7" w14:textId="77777777" w:rsidR="00A052DC" w:rsidRDefault="009F0A60">
      <w:r>
        <w:t>&lt;OTHAMT&gt;</w:t>
      </w:r>
      <w:r w:rsidR="0021563C">
        <w:rPr>
          <w:rFonts w:hint="eastAsia"/>
        </w:rPr>
        <w:t>其他</w:t>
      </w:r>
      <w:r>
        <w:rPr>
          <w:rFonts w:hint="eastAsia"/>
        </w:rPr>
        <w:t>金额</w:t>
      </w:r>
      <w:r>
        <w:t>&lt;/OTHAMT&gt;</w:t>
      </w:r>
    </w:p>
    <w:p w14:paraId="2DCCD921" w14:textId="77777777" w:rsidR="00A052DC" w:rsidRDefault="009F0A60">
      <w:r>
        <w:t>&lt;OTHACC&gt;</w:t>
      </w:r>
      <w:r w:rsidR="0021563C">
        <w:rPr>
          <w:rFonts w:hint="eastAsia"/>
        </w:rPr>
        <w:t>其他</w:t>
      </w:r>
      <w:r>
        <w:rPr>
          <w:rFonts w:hint="eastAsia"/>
        </w:rPr>
        <w:t>账号</w:t>
      </w:r>
      <w:r>
        <w:t>/</w:t>
      </w:r>
      <w:r>
        <w:rPr>
          <w:rFonts w:hint="eastAsia"/>
        </w:rPr>
        <w:t>银行卡号</w:t>
      </w:r>
      <w:r>
        <w:t>&lt;/OTHACC&gt;</w:t>
      </w:r>
    </w:p>
    <w:p w14:paraId="26B286C1" w14:textId="77777777" w:rsidR="00A052DC" w:rsidRDefault="009F0A60">
      <w:r>
        <w:t>&lt;METHOD&gt;</w:t>
      </w:r>
      <w:r>
        <w:rPr>
          <w:rFonts w:hint="eastAsia"/>
        </w:rPr>
        <w:t>结算方式</w:t>
      </w:r>
      <w:r>
        <w:t>&lt;/METHOD&gt;</w:t>
      </w:r>
    </w:p>
    <w:p w14:paraId="29E863B2" w14:textId="77777777" w:rsidR="00A052DC" w:rsidRDefault="009F0A60">
      <w:r>
        <w:t>&lt;BUSCODE&gt;</w:t>
      </w:r>
      <w:r>
        <w:rPr>
          <w:rFonts w:hint="eastAsia"/>
        </w:rPr>
        <w:t>银行业务编码</w:t>
      </w:r>
      <w:r>
        <w:t>&lt;/BUSCODE&gt;</w:t>
      </w:r>
    </w:p>
    <w:p w14:paraId="53456560" w14:textId="77777777" w:rsidR="00A052DC" w:rsidRDefault="009F0A60">
      <w:r>
        <w:t>&lt;ACTUCCY&gt;</w:t>
      </w:r>
      <w:r>
        <w:rPr>
          <w:rFonts w:hint="eastAsia"/>
        </w:rPr>
        <w:t>实际付款币种</w:t>
      </w:r>
      <w:r>
        <w:t>&lt;/ACTUCCY&gt;</w:t>
      </w:r>
    </w:p>
    <w:p w14:paraId="284EF92E" w14:textId="77777777" w:rsidR="00A052DC" w:rsidRDefault="009F0A60">
      <w:r>
        <w:t>&lt;ACTUAMT&gt;</w:t>
      </w:r>
      <w:r>
        <w:rPr>
          <w:rFonts w:hint="eastAsia"/>
        </w:rPr>
        <w:t>实际付款金额</w:t>
      </w:r>
      <w:r>
        <w:t>&lt;/ACTUAMT&gt;</w:t>
      </w:r>
    </w:p>
    <w:p w14:paraId="78BA235D" w14:textId="77777777" w:rsidR="00A052DC" w:rsidRDefault="009F0A60">
      <w:r>
        <w:t>&lt;OUTCHARGECCY&gt;</w:t>
      </w:r>
      <w:r>
        <w:rPr>
          <w:rFonts w:hint="eastAsia"/>
        </w:rPr>
        <w:t>扣费币种</w:t>
      </w:r>
      <w:r>
        <w:t>&lt;/OUTCHARGECCY&gt;</w:t>
      </w:r>
    </w:p>
    <w:p w14:paraId="17EB95D5" w14:textId="77777777" w:rsidR="00A052DC" w:rsidRDefault="009F0A60">
      <w:r>
        <w:t>&lt;OUTCHARGEAMT&gt;</w:t>
      </w:r>
      <w:r>
        <w:rPr>
          <w:rFonts w:hint="eastAsia"/>
        </w:rPr>
        <w:t>扣费金额</w:t>
      </w:r>
      <w:r>
        <w:t>&lt;/OUTCHARGEAMT&gt;</w:t>
      </w:r>
    </w:p>
    <w:p w14:paraId="43DFC759" w14:textId="77777777" w:rsidR="00A052DC" w:rsidRDefault="009F0A60">
      <w:r>
        <w:t>&lt;LCBGNO&gt;</w:t>
      </w:r>
      <w:r>
        <w:rPr>
          <w:rFonts w:hint="eastAsia"/>
        </w:rPr>
        <w:t>信用证</w:t>
      </w:r>
      <w:r>
        <w:t>/</w:t>
      </w:r>
      <w:r>
        <w:rPr>
          <w:rFonts w:hint="eastAsia"/>
        </w:rPr>
        <w:t>保函编号</w:t>
      </w:r>
      <w:r>
        <w:t>&lt;/LCBGNO&gt;</w:t>
      </w:r>
    </w:p>
    <w:p w14:paraId="7AEF794B" w14:textId="77777777" w:rsidR="00A052DC" w:rsidRDefault="009F0A60">
      <w:r>
        <w:t>&lt;ISSDATE&gt;</w:t>
      </w:r>
      <w:r>
        <w:rPr>
          <w:rFonts w:hint="eastAsia"/>
        </w:rPr>
        <w:t>开证日期</w:t>
      </w:r>
      <w:r>
        <w:t>&lt;/ISSDATE&gt;</w:t>
      </w:r>
    </w:p>
    <w:p w14:paraId="500D3BE4" w14:textId="77777777" w:rsidR="00A052DC" w:rsidRDefault="009F0A60">
      <w:r>
        <w:t>&lt;TENOR&gt;</w:t>
      </w:r>
      <w:r>
        <w:rPr>
          <w:rFonts w:hint="eastAsia"/>
        </w:rPr>
        <w:t>期限</w:t>
      </w:r>
      <w:r>
        <w:t>&lt;/TENOR&gt;</w:t>
      </w:r>
    </w:p>
    <w:p w14:paraId="26BF673B" w14:textId="77777777" w:rsidR="00A052DC" w:rsidRDefault="009F0A60">
      <w:r>
        <w:t>&lt;/REC&gt;</w:t>
      </w:r>
    </w:p>
    <w:p w14:paraId="17E80E44" w14:textId="77777777" w:rsidR="00A052DC" w:rsidRDefault="009F0A60" w:rsidP="0020251D">
      <w:pPr>
        <w:pStyle w:val="4"/>
        <w:numPr>
          <w:ilvl w:val="3"/>
          <w:numId w:val="1"/>
        </w:numPr>
        <w:jc w:val="left"/>
      </w:pPr>
      <w:bookmarkStart w:id="978" w:name="_Toc454386776"/>
      <w:r>
        <w:rPr>
          <w:rFonts w:hint="eastAsia"/>
        </w:rPr>
        <w:t>数据字典</w:t>
      </w:r>
      <w:bookmarkEnd w:id="978"/>
    </w:p>
    <w:tbl>
      <w:tblPr>
        <w:tblW w:w="84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3"/>
        <w:gridCol w:w="1525"/>
        <w:gridCol w:w="1387"/>
        <w:gridCol w:w="3873"/>
      </w:tblGrid>
      <w:tr w:rsidR="00A052DC" w14:paraId="0EE2AA4F" w14:textId="77777777">
        <w:trPr>
          <w:tblHeader/>
        </w:trPr>
        <w:tc>
          <w:tcPr>
            <w:tcW w:w="1663" w:type="dxa"/>
            <w:shd w:val="clear" w:color="auto" w:fill="C0C0C0"/>
          </w:tcPr>
          <w:p w14:paraId="3C77F349" w14:textId="77777777" w:rsidR="00A052DC" w:rsidRDefault="009F0A60">
            <w:pPr>
              <w:jc w:val="center"/>
              <w:rPr>
                <w:rFonts w:ascii="黑体" w:eastAsia="黑体" w:hAnsi="黑体"/>
                <w:b/>
                <w:sz w:val="20"/>
                <w:szCs w:val="20"/>
              </w:rPr>
            </w:pPr>
            <w:r>
              <w:rPr>
                <w:rFonts w:ascii="黑体" w:eastAsia="黑体" w:hAnsi="黑体" w:hint="eastAsia"/>
                <w:b/>
                <w:sz w:val="20"/>
                <w:szCs w:val="20"/>
              </w:rPr>
              <w:t>字段</w:t>
            </w:r>
          </w:p>
        </w:tc>
        <w:tc>
          <w:tcPr>
            <w:tcW w:w="1525" w:type="dxa"/>
            <w:shd w:val="clear" w:color="auto" w:fill="C0C0C0"/>
          </w:tcPr>
          <w:p w14:paraId="60BD1447" w14:textId="77777777" w:rsidR="00A052DC" w:rsidRDefault="009F0A60">
            <w:pPr>
              <w:jc w:val="center"/>
              <w:rPr>
                <w:rFonts w:ascii="黑体" w:eastAsia="黑体" w:hAnsi="黑体"/>
                <w:b/>
                <w:sz w:val="20"/>
                <w:szCs w:val="20"/>
              </w:rPr>
            </w:pPr>
            <w:r>
              <w:rPr>
                <w:rFonts w:ascii="黑体" w:eastAsia="黑体" w:hAnsi="黑体" w:hint="eastAsia"/>
                <w:b/>
                <w:sz w:val="20"/>
                <w:szCs w:val="20"/>
              </w:rPr>
              <w:t>内容</w:t>
            </w:r>
          </w:p>
        </w:tc>
        <w:tc>
          <w:tcPr>
            <w:tcW w:w="1387" w:type="dxa"/>
            <w:shd w:val="clear" w:color="auto" w:fill="C0C0C0"/>
          </w:tcPr>
          <w:p w14:paraId="50BFE30D" w14:textId="77777777" w:rsidR="00A052DC" w:rsidRDefault="009F0A60">
            <w:pPr>
              <w:jc w:val="center"/>
              <w:rPr>
                <w:rFonts w:ascii="黑体" w:eastAsia="黑体" w:hAnsi="黑体"/>
                <w:b/>
                <w:sz w:val="20"/>
                <w:szCs w:val="20"/>
              </w:rPr>
            </w:pPr>
            <w:r>
              <w:rPr>
                <w:rFonts w:ascii="黑体" w:eastAsia="黑体" w:hAnsi="黑体" w:hint="eastAsia"/>
                <w:b/>
                <w:sz w:val="20"/>
                <w:szCs w:val="20"/>
              </w:rPr>
              <w:t>类型（长度）</w:t>
            </w:r>
          </w:p>
        </w:tc>
        <w:tc>
          <w:tcPr>
            <w:tcW w:w="3873" w:type="dxa"/>
            <w:shd w:val="clear" w:color="auto" w:fill="C0C0C0"/>
          </w:tcPr>
          <w:p w14:paraId="6C763BD7" w14:textId="77777777" w:rsidR="00A052DC" w:rsidRDefault="009F0A60">
            <w:pPr>
              <w:jc w:val="center"/>
              <w:rPr>
                <w:rFonts w:ascii="黑体" w:eastAsia="黑体" w:hAnsi="黑体"/>
                <w:b/>
                <w:sz w:val="20"/>
                <w:szCs w:val="20"/>
              </w:rPr>
            </w:pPr>
            <w:r>
              <w:rPr>
                <w:rFonts w:ascii="黑体" w:eastAsia="黑体" w:hAnsi="黑体" w:hint="eastAsia"/>
                <w:b/>
                <w:sz w:val="20"/>
                <w:szCs w:val="20"/>
              </w:rPr>
              <w:t>校验</w:t>
            </w:r>
          </w:p>
        </w:tc>
      </w:tr>
      <w:tr w:rsidR="00A052DC" w14:paraId="636C1150" w14:textId="77777777">
        <w:tc>
          <w:tcPr>
            <w:tcW w:w="1663" w:type="dxa"/>
          </w:tcPr>
          <w:p w14:paraId="28AC4E46" w14:textId="77777777" w:rsidR="00A052DC" w:rsidRDefault="009F0A60">
            <w:pPr>
              <w:rPr>
                <w:rFonts w:ascii="黑体" w:eastAsia="黑体" w:hAnsi="黑体"/>
                <w:sz w:val="20"/>
                <w:szCs w:val="20"/>
              </w:rPr>
            </w:pPr>
            <w:r>
              <w:rPr>
                <w:rFonts w:ascii="黑体" w:eastAsia="黑体" w:hAnsi="黑体"/>
                <w:sz w:val="20"/>
                <w:szCs w:val="20"/>
              </w:rPr>
              <w:t>ACTIONTYPE</w:t>
            </w:r>
          </w:p>
        </w:tc>
        <w:tc>
          <w:tcPr>
            <w:tcW w:w="1525" w:type="dxa"/>
          </w:tcPr>
          <w:p w14:paraId="7543A865" w14:textId="77777777" w:rsidR="00A052DC" w:rsidRDefault="009F0A60">
            <w:pPr>
              <w:rPr>
                <w:rFonts w:ascii="黑体" w:eastAsia="黑体" w:hAnsi="黑体"/>
                <w:sz w:val="20"/>
                <w:szCs w:val="20"/>
              </w:rPr>
            </w:pPr>
            <w:r>
              <w:rPr>
                <w:rFonts w:ascii="黑体" w:eastAsia="黑体" w:hAnsi="黑体" w:hint="eastAsia"/>
                <w:sz w:val="20"/>
                <w:szCs w:val="20"/>
              </w:rPr>
              <w:t>操作类型</w:t>
            </w:r>
          </w:p>
        </w:tc>
        <w:tc>
          <w:tcPr>
            <w:tcW w:w="1387" w:type="dxa"/>
          </w:tcPr>
          <w:p w14:paraId="3FA02A25" w14:textId="77777777" w:rsidR="00A052DC" w:rsidRDefault="009F0A60">
            <w:pPr>
              <w:rPr>
                <w:rFonts w:ascii="黑体" w:eastAsia="黑体" w:hAnsi="黑体"/>
                <w:sz w:val="20"/>
                <w:szCs w:val="20"/>
              </w:rPr>
            </w:pPr>
            <w:r>
              <w:rPr>
                <w:rFonts w:ascii="黑体" w:eastAsia="黑体" w:hAnsi="黑体" w:hint="eastAsia"/>
                <w:sz w:val="20"/>
                <w:szCs w:val="20"/>
              </w:rPr>
              <w:t>字符型，1</w:t>
            </w:r>
          </w:p>
        </w:tc>
        <w:tc>
          <w:tcPr>
            <w:tcW w:w="3873" w:type="dxa"/>
          </w:tcPr>
          <w:p w14:paraId="7E7DA63A" w14:textId="77777777" w:rsidR="00A052DC" w:rsidRDefault="009F0A60">
            <w:pPr>
              <w:rPr>
                <w:rFonts w:ascii="黑体" w:eastAsia="黑体" w:hAnsi="黑体"/>
                <w:sz w:val="20"/>
                <w:szCs w:val="20"/>
              </w:rPr>
            </w:pPr>
            <w:r>
              <w:rPr>
                <w:rFonts w:ascii="黑体" w:eastAsia="黑体" w:hAnsi="黑体" w:hint="eastAsia"/>
                <w:sz w:val="20"/>
                <w:szCs w:val="20"/>
              </w:rPr>
              <w:t>A</w:t>
            </w:r>
            <w:r w:rsidR="00AE4602">
              <w:rPr>
                <w:rFonts w:ascii="黑体" w:eastAsia="黑体" w:hAnsi="黑体" w:hint="eastAsia"/>
                <w:sz w:val="20"/>
                <w:szCs w:val="20"/>
              </w:rPr>
              <w:t>-</w:t>
            </w:r>
            <w:r>
              <w:rPr>
                <w:rFonts w:ascii="黑体" w:eastAsia="黑体" w:hAnsi="黑体" w:hint="eastAsia"/>
                <w:sz w:val="20"/>
                <w:szCs w:val="20"/>
              </w:rPr>
              <w:t>新建</w:t>
            </w:r>
          </w:p>
          <w:p w14:paraId="355F08A4" w14:textId="77777777" w:rsidR="00A052DC" w:rsidRDefault="009F0A60">
            <w:pPr>
              <w:rPr>
                <w:rFonts w:ascii="黑体" w:eastAsia="黑体" w:hAnsi="黑体"/>
                <w:sz w:val="20"/>
                <w:szCs w:val="20"/>
              </w:rPr>
            </w:pPr>
            <w:r>
              <w:rPr>
                <w:rFonts w:ascii="黑体" w:eastAsia="黑体" w:hAnsi="黑体" w:hint="eastAsia"/>
                <w:sz w:val="20"/>
                <w:szCs w:val="20"/>
              </w:rPr>
              <w:t>C</w:t>
            </w:r>
            <w:r w:rsidR="00AE4602">
              <w:rPr>
                <w:rFonts w:ascii="黑体" w:eastAsia="黑体" w:hAnsi="黑体" w:hint="eastAsia"/>
                <w:sz w:val="20"/>
                <w:szCs w:val="20"/>
              </w:rPr>
              <w:t>-</w:t>
            </w:r>
            <w:r>
              <w:rPr>
                <w:rFonts w:ascii="黑体" w:eastAsia="黑体" w:hAnsi="黑体" w:hint="eastAsia"/>
                <w:sz w:val="20"/>
                <w:szCs w:val="20"/>
              </w:rPr>
              <w:t>修改</w:t>
            </w:r>
          </w:p>
          <w:p w14:paraId="19DB41F0" w14:textId="77777777" w:rsidR="00A052DC" w:rsidRDefault="009F0A60">
            <w:pPr>
              <w:rPr>
                <w:rFonts w:ascii="黑体" w:eastAsia="黑体" w:hAnsi="黑体"/>
                <w:sz w:val="20"/>
                <w:szCs w:val="20"/>
              </w:rPr>
            </w:pPr>
            <w:r>
              <w:rPr>
                <w:rFonts w:ascii="黑体" w:eastAsia="黑体" w:hAnsi="黑体" w:hint="eastAsia"/>
                <w:sz w:val="20"/>
                <w:szCs w:val="20"/>
              </w:rPr>
              <w:t>D</w:t>
            </w:r>
            <w:r w:rsidR="00AE4602">
              <w:rPr>
                <w:rFonts w:ascii="黑体" w:eastAsia="黑体" w:hAnsi="黑体" w:hint="eastAsia"/>
                <w:sz w:val="20"/>
                <w:szCs w:val="20"/>
              </w:rPr>
              <w:t>-</w:t>
            </w:r>
            <w:r>
              <w:rPr>
                <w:rFonts w:ascii="黑体" w:eastAsia="黑体" w:hAnsi="黑体" w:hint="eastAsia"/>
                <w:sz w:val="20"/>
                <w:szCs w:val="20"/>
              </w:rPr>
              <w:t>删除</w:t>
            </w:r>
          </w:p>
          <w:p w14:paraId="0B7D5D2C" w14:textId="77777777" w:rsidR="00A052DC" w:rsidRDefault="009F0A60">
            <w:pPr>
              <w:rPr>
                <w:rFonts w:ascii="黑体" w:eastAsia="黑体" w:hAnsi="黑体"/>
                <w:sz w:val="20"/>
                <w:szCs w:val="20"/>
              </w:rPr>
            </w:pPr>
            <w:r>
              <w:rPr>
                <w:rFonts w:ascii="黑体" w:eastAsia="黑体" w:hAnsi="黑体" w:hint="eastAsia"/>
                <w:sz w:val="20"/>
                <w:szCs w:val="20"/>
              </w:rPr>
              <w:t>R-申报无误（银行反馈），预留，暂不用</w:t>
            </w:r>
          </w:p>
        </w:tc>
      </w:tr>
      <w:tr w:rsidR="00A052DC" w14:paraId="29E76149" w14:textId="77777777">
        <w:tc>
          <w:tcPr>
            <w:tcW w:w="1663" w:type="dxa"/>
          </w:tcPr>
          <w:p w14:paraId="43E109F9" w14:textId="77777777" w:rsidR="00A052DC" w:rsidRDefault="009F0A60">
            <w:pPr>
              <w:rPr>
                <w:rFonts w:ascii="黑体" w:eastAsia="黑体" w:hAnsi="黑体"/>
                <w:sz w:val="20"/>
                <w:szCs w:val="20"/>
              </w:rPr>
            </w:pPr>
            <w:r>
              <w:rPr>
                <w:rFonts w:ascii="黑体" w:eastAsia="黑体" w:hAnsi="黑体"/>
                <w:sz w:val="20"/>
                <w:szCs w:val="20"/>
              </w:rPr>
              <w:t>ACTIONDESC</w:t>
            </w:r>
          </w:p>
        </w:tc>
        <w:tc>
          <w:tcPr>
            <w:tcW w:w="1525" w:type="dxa"/>
          </w:tcPr>
          <w:p w14:paraId="2B485C1E" w14:textId="77777777" w:rsidR="00A052DC" w:rsidRDefault="009F0A60">
            <w:pPr>
              <w:rPr>
                <w:rFonts w:ascii="黑体" w:eastAsia="黑体" w:hAnsi="黑体"/>
                <w:sz w:val="20"/>
                <w:szCs w:val="20"/>
              </w:rPr>
            </w:pPr>
            <w:r>
              <w:rPr>
                <w:rFonts w:ascii="黑体" w:eastAsia="黑体" w:hAnsi="黑体" w:hint="eastAsia"/>
                <w:sz w:val="20"/>
                <w:szCs w:val="20"/>
              </w:rPr>
              <w:t>修改/删除原因</w:t>
            </w:r>
          </w:p>
          <w:p w14:paraId="1202A964" w14:textId="77777777" w:rsidR="00A052DC" w:rsidRDefault="009F0A60">
            <w:pPr>
              <w:rPr>
                <w:rFonts w:ascii="黑体" w:eastAsia="黑体" w:hAnsi="黑体"/>
                <w:sz w:val="20"/>
                <w:szCs w:val="20"/>
              </w:rPr>
            </w:pPr>
            <w:r>
              <w:rPr>
                <w:rFonts w:ascii="黑体" w:eastAsia="黑体" w:hAnsi="黑体" w:hint="eastAsia"/>
                <w:sz w:val="20"/>
                <w:szCs w:val="20"/>
              </w:rPr>
              <w:t>或申报无误理由</w:t>
            </w:r>
          </w:p>
        </w:tc>
        <w:tc>
          <w:tcPr>
            <w:tcW w:w="1387" w:type="dxa"/>
          </w:tcPr>
          <w:p w14:paraId="0B29278A"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3873" w:type="dxa"/>
          </w:tcPr>
          <w:p w14:paraId="44DE942D" w14:textId="77777777" w:rsidR="00A052DC" w:rsidRDefault="00A052DC">
            <w:pPr>
              <w:keepNext/>
              <w:keepLines/>
              <w:spacing w:before="120" w:after="120" w:line="360" w:lineRule="auto"/>
              <w:outlineLvl w:val="2"/>
              <w:rPr>
                <w:rFonts w:ascii="黑体" w:eastAsia="黑体" w:hAnsi="黑体"/>
                <w:sz w:val="20"/>
                <w:szCs w:val="20"/>
              </w:rPr>
            </w:pPr>
          </w:p>
        </w:tc>
      </w:tr>
      <w:tr w:rsidR="00A052DC" w14:paraId="1F2D4EF2" w14:textId="77777777">
        <w:tc>
          <w:tcPr>
            <w:tcW w:w="1663" w:type="dxa"/>
          </w:tcPr>
          <w:p w14:paraId="2C8BE651" w14:textId="77777777" w:rsidR="00A052DC" w:rsidRDefault="009F0A60">
            <w:pPr>
              <w:rPr>
                <w:rFonts w:ascii="黑体" w:eastAsia="黑体" w:hAnsi="黑体"/>
                <w:sz w:val="20"/>
                <w:szCs w:val="20"/>
              </w:rPr>
            </w:pPr>
            <w:r>
              <w:rPr>
                <w:rFonts w:ascii="黑体" w:eastAsia="黑体" w:hAnsi="黑体"/>
                <w:sz w:val="20"/>
                <w:szCs w:val="20"/>
              </w:rPr>
              <w:t>RPTNO</w:t>
            </w:r>
          </w:p>
        </w:tc>
        <w:tc>
          <w:tcPr>
            <w:tcW w:w="1525" w:type="dxa"/>
          </w:tcPr>
          <w:p w14:paraId="0E0F7F21" w14:textId="77777777" w:rsidR="00A052DC" w:rsidRDefault="009F0A60">
            <w:pPr>
              <w:rPr>
                <w:rFonts w:ascii="黑体" w:eastAsia="黑体" w:hAnsi="黑体"/>
                <w:sz w:val="20"/>
                <w:szCs w:val="20"/>
              </w:rPr>
            </w:pPr>
            <w:r>
              <w:rPr>
                <w:rFonts w:ascii="黑体" w:eastAsia="黑体" w:hAnsi="黑体" w:hint="eastAsia"/>
                <w:sz w:val="20"/>
                <w:szCs w:val="20"/>
              </w:rPr>
              <w:t>申报号码</w:t>
            </w:r>
          </w:p>
        </w:tc>
        <w:tc>
          <w:tcPr>
            <w:tcW w:w="1387" w:type="dxa"/>
          </w:tcPr>
          <w:p w14:paraId="038CD654" w14:textId="77777777" w:rsidR="00A052DC" w:rsidRDefault="009F0A60">
            <w:pPr>
              <w:rPr>
                <w:rFonts w:ascii="黑体" w:eastAsia="黑体" w:hAnsi="黑体"/>
                <w:sz w:val="20"/>
                <w:szCs w:val="20"/>
              </w:rPr>
            </w:pPr>
            <w:r>
              <w:rPr>
                <w:rFonts w:ascii="黑体" w:eastAsia="黑体" w:hAnsi="黑体" w:hint="eastAsia"/>
                <w:sz w:val="20"/>
                <w:szCs w:val="20"/>
              </w:rPr>
              <w:t>字符型，22</w:t>
            </w:r>
          </w:p>
        </w:tc>
        <w:tc>
          <w:tcPr>
            <w:tcW w:w="3873" w:type="dxa"/>
          </w:tcPr>
          <w:p w14:paraId="4D0716FA" w14:textId="77777777" w:rsidR="00A052DC" w:rsidRDefault="009F0A60">
            <w:pPr>
              <w:rPr>
                <w:rFonts w:ascii="黑体" w:eastAsia="黑体" w:hAnsi="黑体"/>
                <w:sz w:val="20"/>
                <w:szCs w:val="20"/>
              </w:rPr>
            </w:pPr>
            <w:r>
              <w:rPr>
                <w:rFonts w:ascii="黑体" w:eastAsia="黑体" w:hAnsi="黑体" w:hint="eastAsia"/>
                <w:sz w:val="20"/>
                <w:szCs w:val="20"/>
              </w:rPr>
              <w:t>编码规则：6位地区标识码+4位银行代码+2位银行顺序码+支付日期（yymmdd）+4位银行业务流水码。</w:t>
            </w:r>
          </w:p>
          <w:p w14:paraId="24095315" w14:textId="77777777" w:rsidR="00A052DC" w:rsidRDefault="009F0A60">
            <w:pPr>
              <w:rPr>
                <w:rFonts w:ascii="黑体" w:eastAsia="黑体" w:hAnsi="黑体"/>
                <w:sz w:val="20"/>
                <w:szCs w:val="20"/>
              </w:rPr>
            </w:pPr>
            <w:r>
              <w:rPr>
                <w:rFonts w:ascii="黑体" w:eastAsia="黑体" w:hAnsi="黑体" w:hint="eastAsia"/>
                <w:sz w:val="20"/>
                <w:szCs w:val="20"/>
              </w:rPr>
              <w:t>支付日期不能大于系统日期</w:t>
            </w:r>
            <w:r w:rsidR="007A3AE7">
              <w:rPr>
                <w:rFonts w:ascii="黑体" w:eastAsia="黑体" w:hAnsi="黑体" w:hint="eastAsia"/>
                <w:sz w:val="20"/>
                <w:szCs w:val="20"/>
              </w:rPr>
              <w:t>。</w:t>
            </w:r>
          </w:p>
          <w:p w14:paraId="14C51370" w14:textId="77777777" w:rsidR="00A052DC" w:rsidRDefault="009F0A60">
            <w:pPr>
              <w:rPr>
                <w:rFonts w:ascii="黑体" w:eastAsia="黑体" w:hAnsi="黑体"/>
                <w:sz w:val="20"/>
                <w:szCs w:val="20"/>
              </w:rPr>
            </w:pPr>
            <w:r>
              <w:rPr>
                <w:rFonts w:ascii="黑体" w:eastAsia="黑体" w:hAnsi="黑体" w:hint="eastAsia"/>
                <w:sz w:val="20"/>
                <w:szCs w:val="20"/>
              </w:rPr>
              <w:t>银行业务流水码规则：</w:t>
            </w:r>
          </w:p>
          <w:p w14:paraId="67877C1D" w14:textId="77777777" w:rsidR="00A052DC" w:rsidRDefault="009F0A60">
            <w:pPr>
              <w:rPr>
                <w:rFonts w:ascii="黑体" w:eastAsia="黑体" w:hAnsi="黑体"/>
                <w:sz w:val="20"/>
                <w:szCs w:val="20"/>
              </w:rPr>
            </w:pPr>
            <w:r>
              <w:rPr>
                <w:rFonts w:ascii="黑体" w:eastAsia="黑体" w:hAnsi="黑体" w:hint="eastAsia"/>
                <w:sz w:val="20"/>
                <w:szCs w:val="20"/>
              </w:rPr>
              <w:t>对公为E***，F***，G</w:t>
            </w:r>
            <w:r w:rsidR="006D55A3">
              <w:rPr>
                <w:rFonts w:ascii="黑体" w:eastAsia="黑体" w:hAnsi="黑体" w:hint="eastAsia"/>
                <w:sz w:val="20"/>
                <w:szCs w:val="20"/>
              </w:rPr>
              <w:t>***，</w:t>
            </w:r>
            <w:r>
              <w:rPr>
                <w:rFonts w:ascii="黑体" w:eastAsia="黑体" w:hAnsi="黑体" w:hint="eastAsia"/>
                <w:sz w:val="20"/>
                <w:szCs w:val="20"/>
              </w:rPr>
              <w:t>H***；</w:t>
            </w:r>
          </w:p>
          <w:p w14:paraId="53B148DD" w14:textId="77777777" w:rsidR="00A052DC" w:rsidRDefault="009F0A60">
            <w:pPr>
              <w:rPr>
                <w:rFonts w:ascii="黑体" w:eastAsia="黑体" w:hAnsi="黑体"/>
                <w:sz w:val="20"/>
                <w:szCs w:val="20"/>
              </w:rPr>
            </w:pPr>
            <w:r>
              <w:rPr>
                <w:rFonts w:ascii="黑体" w:eastAsia="黑体" w:hAnsi="黑体" w:hint="eastAsia"/>
                <w:sz w:val="20"/>
                <w:szCs w:val="20"/>
              </w:rPr>
              <w:t>对私为：L***</w:t>
            </w:r>
            <w:r w:rsidR="006D55A3">
              <w:rPr>
                <w:rFonts w:ascii="黑体" w:eastAsia="黑体" w:hAnsi="黑体" w:hint="eastAsia"/>
                <w:sz w:val="20"/>
                <w:szCs w:val="20"/>
              </w:rPr>
              <w:t>，</w:t>
            </w:r>
            <w:r>
              <w:rPr>
                <w:rFonts w:ascii="黑体" w:eastAsia="黑体" w:hAnsi="黑体" w:hint="eastAsia"/>
                <w:sz w:val="20"/>
                <w:szCs w:val="20"/>
              </w:rPr>
              <w:t>M***；</w:t>
            </w:r>
          </w:p>
          <w:p w14:paraId="53452871" w14:textId="77777777" w:rsidR="00A052DC" w:rsidRDefault="009F0A60">
            <w:pPr>
              <w:rPr>
                <w:rFonts w:ascii="黑体" w:eastAsia="黑体" w:hAnsi="黑体"/>
                <w:sz w:val="20"/>
                <w:szCs w:val="20"/>
              </w:rPr>
            </w:pPr>
            <w:r>
              <w:rPr>
                <w:rFonts w:ascii="黑体" w:eastAsia="黑体" w:hAnsi="黑体" w:hint="eastAsia"/>
                <w:sz w:val="20"/>
                <w:szCs w:val="20"/>
              </w:rPr>
              <w:t>后三位流水单号中允许使用半角英文大写字母（O、I、Z除外）与数字（0-9）。</w:t>
            </w:r>
          </w:p>
        </w:tc>
      </w:tr>
      <w:tr w:rsidR="00A052DC" w14:paraId="079FAD13" w14:textId="77777777">
        <w:tc>
          <w:tcPr>
            <w:tcW w:w="1663" w:type="dxa"/>
          </w:tcPr>
          <w:p w14:paraId="283A4FDD" w14:textId="77777777" w:rsidR="00A052DC" w:rsidRDefault="009F0A60">
            <w:pPr>
              <w:rPr>
                <w:rFonts w:ascii="黑体" w:eastAsia="黑体" w:hAnsi="黑体"/>
                <w:sz w:val="20"/>
                <w:szCs w:val="20"/>
              </w:rPr>
            </w:pPr>
            <w:r>
              <w:rPr>
                <w:rFonts w:ascii="黑体" w:eastAsia="黑体" w:hAnsi="黑体"/>
                <w:sz w:val="20"/>
                <w:szCs w:val="20"/>
              </w:rPr>
              <w:t>CUSTYPE</w:t>
            </w:r>
          </w:p>
        </w:tc>
        <w:tc>
          <w:tcPr>
            <w:tcW w:w="1525" w:type="dxa"/>
          </w:tcPr>
          <w:p w14:paraId="6016A2BB" w14:textId="77777777" w:rsidR="00A052DC" w:rsidRDefault="009F0A60">
            <w:pPr>
              <w:rPr>
                <w:rFonts w:ascii="黑体" w:eastAsia="黑体" w:hAnsi="黑体"/>
                <w:sz w:val="20"/>
                <w:szCs w:val="20"/>
              </w:rPr>
            </w:pPr>
            <w:r>
              <w:rPr>
                <w:rFonts w:ascii="黑体" w:eastAsia="黑体" w:hAnsi="黑体" w:hint="eastAsia"/>
                <w:sz w:val="20"/>
                <w:szCs w:val="20"/>
              </w:rPr>
              <w:t>付款人类型</w:t>
            </w:r>
          </w:p>
        </w:tc>
        <w:tc>
          <w:tcPr>
            <w:tcW w:w="1387" w:type="dxa"/>
          </w:tcPr>
          <w:p w14:paraId="5F6DCAC8" w14:textId="77777777" w:rsidR="00A052DC" w:rsidRDefault="009F0A60">
            <w:pPr>
              <w:rPr>
                <w:rFonts w:ascii="黑体" w:eastAsia="黑体" w:hAnsi="黑体"/>
                <w:sz w:val="20"/>
                <w:szCs w:val="20"/>
              </w:rPr>
            </w:pPr>
            <w:r>
              <w:rPr>
                <w:rFonts w:ascii="黑体" w:eastAsia="黑体" w:hAnsi="黑体" w:hint="eastAsia"/>
                <w:sz w:val="20"/>
                <w:szCs w:val="20"/>
              </w:rPr>
              <w:t>字符型，1</w:t>
            </w:r>
          </w:p>
        </w:tc>
        <w:tc>
          <w:tcPr>
            <w:tcW w:w="3873" w:type="dxa"/>
          </w:tcPr>
          <w:p w14:paraId="1209353F" w14:textId="77777777" w:rsidR="00A052DC" w:rsidRDefault="009F0A60">
            <w:pPr>
              <w:rPr>
                <w:rFonts w:ascii="黑体" w:eastAsia="黑体" w:hAnsi="黑体"/>
                <w:sz w:val="20"/>
                <w:szCs w:val="20"/>
              </w:rPr>
            </w:pPr>
            <w:r>
              <w:rPr>
                <w:rFonts w:ascii="黑体" w:eastAsia="黑体" w:hAnsi="黑体" w:hint="eastAsia"/>
                <w:sz w:val="20"/>
                <w:szCs w:val="20"/>
              </w:rPr>
              <w:t>C</w:t>
            </w:r>
            <w:r w:rsidR="00AE4602">
              <w:rPr>
                <w:rFonts w:ascii="黑体" w:eastAsia="黑体" w:hAnsi="黑体" w:hint="eastAsia"/>
                <w:sz w:val="20"/>
                <w:szCs w:val="20"/>
              </w:rPr>
              <w:t>-</w:t>
            </w:r>
            <w:r>
              <w:rPr>
                <w:rFonts w:ascii="黑体" w:eastAsia="黑体" w:hAnsi="黑体" w:hint="eastAsia"/>
                <w:sz w:val="20"/>
                <w:szCs w:val="20"/>
              </w:rPr>
              <w:t>对公用户</w:t>
            </w:r>
          </w:p>
          <w:p w14:paraId="064C7C85" w14:textId="77777777" w:rsidR="00A052DC" w:rsidRDefault="009F0A60">
            <w:pPr>
              <w:rPr>
                <w:rFonts w:ascii="黑体" w:eastAsia="黑体" w:hAnsi="黑体"/>
                <w:sz w:val="20"/>
                <w:szCs w:val="20"/>
              </w:rPr>
            </w:pPr>
            <w:r>
              <w:rPr>
                <w:rFonts w:ascii="黑体" w:eastAsia="黑体" w:hAnsi="黑体" w:hint="eastAsia"/>
                <w:sz w:val="20"/>
                <w:szCs w:val="20"/>
              </w:rPr>
              <w:t>D</w:t>
            </w:r>
            <w:r w:rsidR="00AE4602">
              <w:rPr>
                <w:rFonts w:ascii="黑体" w:eastAsia="黑体" w:hAnsi="黑体" w:hint="eastAsia"/>
                <w:sz w:val="20"/>
                <w:szCs w:val="20"/>
              </w:rPr>
              <w:t>-</w:t>
            </w:r>
            <w:r>
              <w:rPr>
                <w:rFonts w:ascii="黑体" w:eastAsia="黑体" w:hAnsi="黑体" w:hint="eastAsia"/>
                <w:sz w:val="20"/>
                <w:szCs w:val="20"/>
              </w:rPr>
              <w:t>对私中国居民</w:t>
            </w:r>
          </w:p>
          <w:p w14:paraId="3F51AA7F" w14:textId="77777777" w:rsidR="006D55A3" w:rsidRDefault="009F0A60">
            <w:pPr>
              <w:rPr>
                <w:rFonts w:ascii="黑体" w:eastAsia="黑体" w:hAnsi="黑体"/>
                <w:sz w:val="20"/>
                <w:szCs w:val="20"/>
              </w:rPr>
            </w:pPr>
            <w:r>
              <w:rPr>
                <w:rFonts w:ascii="黑体" w:eastAsia="黑体" w:hAnsi="黑体" w:hint="eastAsia"/>
                <w:sz w:val="20"/>
                <w:szCs w:val="20"/>
              </w:rPr>
              <w:t>F</w:t>
            </w:r>
            <w:r w:rsidR="00AE4602">
              <w:rPr>
                <w:rFonts w:ascii="黑体" w:eastAsia="黑体" w:hAnsi="黑体" w:hint="eastAsia"/>
                <w:sz w:val="20"/>
                <w:szCs w:val="20"/>
              </w:rPr>
              <w:t>-</w:t>
            </w:r>
            <w:r>
              <w:rPr>
                <w:rFonts w:ascii="黑体" w:eastAsia="黑体" w:hAnsi="黑体" w:hint="eastAsia"/>
                <w:sz w:val="20"/>
                <w:szCs w:val="20"/>
              </w:rPr>
              <w:t>对私中国非居民</w:t>
            </w:r>
          </w:p>
          <w:p w14:paraId="3B069C1C" w14:textId="77777777" w:rsidR="00A052DC" w:rsidRDefault="009F0A60">
            <w:pPr>
              <w:rPr>
                <w:rFonts w:ascii="黑体" w:eastAsia="黑体" w:hAnsi="黑体"/>
                <w:sz w:val="20"/>
                <w:szCs w:val="20"/>
              </w:rPr>
            </w:pPr>
            <w:r>
              <w:rPr>
                <w:rFonts w:ascii="黑体" w:eastAsia="黑体" w:hAnsi="黑体" w:hint="eastAsia"/>
                <w:sz w:val="20"/>
                <w:szCs w:val="20"/>
              </w:rPr>
              <w:t>需与申报号码中第19位字母所表明的含义一致。</w:t>
            </w:r>
          </w:p>
        </w:tc>
      </w:tr>
      <w:tr w:rsidR="00A052DC" w14:paraId="42135B71" w14:textId="77777777">
        <w:tc>
          <w:tcPr>
            <w:tcW w:w="1663" w:type="dxa"/>
          </w:tcPr>
          <w:p w14:paraId="13BF6FA5" w14:textId="77777777" w:rsidR="00A052DC" w:rsidRDefault="009F0A60">
            <w:pPr>
              <w:rPr>
                <w:rFonts w:ascii="黑体" w:eastAsia="黑体" w:hAnsi="黑体"/>
                <w:sz w:val="20"/>
                <w:szCs w:val="20"/>
              </w:rPr>
            </w:pPr>
            <w:r>
              <w:rPr>
                <w:rFonts w:ascii="黑体" w:eastAsia="黑体" w:hAnsi="黑体"/>
                <w:sz w:val="20"/>
                <w:szCs w:val="20"/>
              </w:rPr>
              <w:t>IDCODE</w:t>
            </w:r>
          </w:p>
        </w:tc>
        <w:tc>
          <w:tcPr>
            <w:tcW w:w="1525" w:type="dxa"/>
          </w:tcPr>
          <w:p w14:paraId="322ADA32" w14:textId="77777777" w:rsidR="00A052DC" w:rsidRDefault="009F0A60">
            <w:pPr>
              <w:rPr>
                <w:rFonts w:ascii="黑体" w:eastAsia="黑体" w:hAnsi="黑体"/>
                <w:sz w:val="20"/>
                <w:szCs w:val="20"/>
              </w:rPr>
            </w:pPr>
            <w:r>
              <w:rPr>
                <w:rFonts w:ascii="黑体" w:eastAsia="黑体" w:hAnsi="黑体" w:hint="eastAsia"/>
                <w:sz w:val="20"/>
                <w:szCs w:val="20"/>
              </w:rPr>
              <w:t>个人身份证件号码</w:t>
            </w:r>
          </w:p>
        </w:tc>
        <w:tc>
          <w:tcPr>
            <w:tcW w:w="1387" w:type="dxa"/>
          </w:tcPr>
          <w:p w14:paraId="31016E0E" w14:textId="77777777" w:rsidR="00A052DC" w:rsidRDefault="009F0A60">
            <w:pPr>
              <w:rPr>
                <w:rFonts w:ascii="黑体" w:eastAsia="黑体" w:hAnsi="黑体"/>
                <w:sz w:val="20"/>
                <w:szCs w:val="20"/>
              </w:rPr>
            </w:pPr>
            <w:r>
              <w:rPr>
                <w:rFonts w:ascii="黑体" w:eastAsia="黑体" w:hAnsi="黑体" w:hint="eastAsia"/>
                <w:sz w:val="20"/>
                <w:szCs w:val="20"/>
              </w:rPr>
              <w:t>字符型，32</w:t>
            </w:r>
          </w:p>
        </w:tc>
        <w:tc>
          <w:tcPr>
            <w:tcW w:w="3873" w:type="dxa"/>
          </w:tcPr>
          <w:p w14:paraId="1EE7EA47" w14:textId="77777777" w:rsidR="00A052DC" w:rsidRDefault="009F0A60">
            <w:pPr>
              <w:rPr>
                <w:rFonts w:ascii="黑体" w:eastAsia="黑体" w:hAnsi="黑体"/>
                <w:sz w:val="20"/>
                <w:szCs w:val="20"/>
              </w:rPr>
            </w:pPr>
            <w:r>
              <w:rPr>
                <w:rFonts w:ascii="黑体" w:eastAsia="黑体" w:hAnsi="黑体"/>
                <w:sz w:val="20"/>
                <w:szCs w:val="20"/>
              </w:rPr>
              <w:t>CUSTYPE&lt;&gt;</w:t>
            </w:r>
            <w:r>
              <w:rPr>
                <w:rFonts w:ascii="黑体" w:eastAsia="黑体" w:hAnsi="黑体" w:hint="eastAsia"/>
                <w:sz w:val="20"/>
                <w:szCs w:val="20"/>
              </w:rPr>
              <w:t>C时必填。</w:t>
            </w:r>
          </w:p>
        </w:tc>
      </w:tr>
      <w:tr w:rsidR="00A052DC" w14:paraId="6D2DCAAB" w14:textId="77777777">
        <w:tc>
          <w:tcPr>
            <w:tcW w:w="1663" w:type="dxa"/>
          </w:tcPr>
          <w:p w14:paraId="7BA7D9FC" w14:textId="77777777" w:rsidR="00A052DC" w:rsidRDefault="009F0A60">
            <w:pPr>
              <w:rPr>
                <w:rFonts w:ascii="黑体" w:eastAsia="黑体" w:hAnsi="黑体"/>
                <w:sz w:val="20"/>
                <w:szCs w:val="20"/>
              </w:rPr>
            </w:pPr>
            <w:r>
              <w:rPr>
                <w:rFonts w:ascii="黑体" w:eastAsia="黑体" w:hAnsi="黑体"/>
                <w:sz w:val="20"/>
                <w:szCs w:val="20"/>
              </w:rPr>
              <w:t>CUSTCOD</w:t>
            </w:r>
          </w:p>
        </w:tc>
        <w:tc>
          <w:tcPr>
            <w:tcW w:w="1525" w:type="dxa"/>
          </w:tcPr>
          <w:p w14:paraId="716293E0" w14:textId="77777777" w:rsidR="00A052DC" w:rsidRDefault="009F0A60">
            <w:pPr>
              <w:rPr>
                <w:rFonts w:ascii="黑体" w:eastAsia="黑体" w:hAnsi="黑体"/>
                <w:sz w:val="20"/>
                <w:szCs w:val="20"/>
              </w:rPr>
            </w:pPr>
            <w:r>
              <w:rPr>
                <w:rFonts w:ascii="黑体" w:eastAsia="黑体" w:hAnsi="黑体" w:hint="eastAsia"/>
                <w:sz w:val="20"/>
                <w:szCs w:val="20"/>
              </w:rPr>
              <w:t>主体标识码</w:t>
            </w:r>
          </w:p>
        </w:tc>
        <w:tc>
          <w:tcPr>
            <w:tcW w:w="1387" w:type="dxa"/>
          </w:tcPr>
          <w:p w14:paraId="6DCFF7FA" w14:textId="77777777" w:rsidR="00A052DC" w:rsidRDefault="009F0A60">
            <w:pPr>
              <w:rPr>
                <w:rFonts w:ascii="黑体" w:eastAsia="黑体" w:hAnsi="黑体"/>
                <w:sz w:val="20"/>
                <w:szCs w:val="20"/>
              </w:rPr>
            </w:pPr>
            <w:r>
              <w:rPr>
                <w:rFonts w:ascii="黑体" w:eastAsia="黑体" w:hAnsi="黑体" w:hint="eastAsia"/>
                <w:sz w:val="20"/>
                <w:szCs w:val="20"/>
              </w:rPr>
              <w:t>字符型，</w:t>
            </w:r>
            <w:r>
              <w:rPr>
                <w:rFonts w:ascii="黑体" w:eastAsia="黑体" w:hAnsi="黑体"/>
                <w:sz w:val="20"/>
                <w:szCs w:val="20"/>
              </w:rPr>
              <w:t>18</w:t>
            </w:r>
          </w:p>
        </w:tc>
        <w:tc>
          <w:tcPr>
            <w:tcW w:w="3873" w:type="dxa"/>
          </w:tcPr>
          <w:p w14:paraId="5E69188C" w14:textId="77777777" w:rsidR="00A052DC" w:rsidRDefault="009F0A60">
            <w:pPr>
              <w:rPr>
                <w:rFonts w:ascii="黑体" w:eastAsia="黑体" w:hAnsi="黑体"/>
                <w:sz w:val="20"/>
                <w:szCs w:val="20"/>
              </w:rPr>
            </w:pPr>
            <w:r>
              <w:rPr>
                <w:rFonts w:ascii="黑体" w:eastAsia="黑体" w:hAnsi="黑体" w:hint="eastAsia"/>
                <w:sz w:val="20"/>
                <w:szCs w:val="20"/>
              </w:rPr>
              <w:t>CUSTYPE=</w:t>
            </w:r>
            <w:r w:rsidR="009D0FD2">
              <w:rPr>
                <w:rFonts w:ascii="黑体" w:eastAsia="黑体" w:hAnsi="黑体" w:hint="eastAsia"/>
                <w:sz w:val="20"/>
                <w:szCs w:val="20"/>
              </w:rPr>
              <w:t>C时必填。</w:t>
            </w:r>
          </w:p>
          <w:p w14:paraId="00DF8DE7" w14:textId="77777777" w:rsidR="00A052DC" w:rsidRDefault="009F0A60">
            <w:pPr>
              <w:jc w:val="left"/>
              <w:rPr>
                <w:rFonts w:ascii="黑体" w:eastAsia="黑体" w:hAnsi="黑体"/>
                <w:sz w:val="20"/>
                <w:szCs w:val="20"/>
              </w:rPr>
            </w:pPr>
            <w:r>
              <w:rPr>
                <w:rFonts w:ascii="黑体" w:eastAsia="黑体" w:hAnsi="黑体" w:hint="eastAsia"/>
                <w:sz w:val="20"/>
                <w:szCs w:val="20"/>
              </w:rPr>
              <w:t>指统一社会信用代码法定载体（如营业执照）上统一社会信用代码中的第9至17位或国家外汇管理局及其分支局签发的特殊机构代码赋码通知书上的机构代码。</w:t>
            </w:r>
          </w:p>
          <w:p w14:paraId="1B537EA2" w14:textId="77777777" w:rsidR="00A052DC" w:rsidRDefault="009F0A60">
            <w:pPr>
              <w:rPr>
                <w:rFonts w:ascii="黑体" w:eastAsia="黑体" w:hAnsi="黑体"/>
                <w:sz w:val="20"/>
                <w:szCs w:val="20"/>
              </w:rPr>
            </w:pPr>
            <w:r>
              <w:rPr>
                <w:rFonts w:ascii="黑体" w:eastAsia="黑体" w:hAnsi="黑体" w:hint="eastAsia"/>
                <w:sz w:val="20"/>
                <w:szCs w:val="20"/>
              </w:rPr>
              <w:t>按统一社会信用代码中的9位主体标识码（组织机构代码）或特殊机构赋码编制规则进行校验，字段长度仍预留18位。</w:t>
            </w:r>
          </w:p>
        </w:tc>
      </w:tr>
      <w:tr w:rsidR="00A052DC" w14:paraId="5949CED7" w14:textId="77777777">
        <w:tc>
          <w:tcPr>
            <w:tcW w:w="1663" w:type="dxa"/>
          </w:tcPr>
          <w:p w14:paraId="10C4E1D8" w14:textId="77777777" w:rsidR="00A052DC" w:rsidRDefault="009F0A60">
            <w:pPr>
              <w:rPr>
                <w:rFonts w:ascii="黑体" w:eastAsia="黑体" w:hAnsi="黑体"/>
                <w:sz w:val="20"/>
                <w:szCs w:val="20"/>
              </w:rPr>
            </w:pPr>
            <w:r>
              <w:rPr>
                <w:rFonts w:ascii="黑体" w:eastAsia="黑体" w:hAnsi="黑体"/>
                <w:sz w:val="20"/>
                <w:szCs w:val="20"/>
              </w:rPr>
              <w:t>CUSTNM</w:t>
            </w:r>
          </w:p>
        </w:tc>
        <w:tc>
          <w:tcPr>
            <w:tcW w:w="1525" w:type="dxa"/>
          </w:tcPr>
          <w:p w14:paraId="6C18E3EC" w14:textId="77777777" w:rsidR="00A052DC" w:rsidRDefault="009F0A60">
            <w:pPr>
              <w:rPr>
                <w:rFonts w:ascii="黑体" w:eastAsia="黑体" w:hAnsi="黑体"/>
                <w:sz w:val="20"/>
                <w:szCs w:val="20"/>
              </w:rPr>
            </w:pPr>
            <w:r>
              <w:rPr>
                <w:rFonts w:ascii="黑体" w:eastAsia="黑体" w:hAnsi="黑体" w:hint="eastAsia"/>
                <w:sz w:val="20"/>
                <w:szCs w:val="20"/>
              </w:rPr>
              <w:t>付款人名称</w:t>
            </w:r>
          </w:p>
        </w:tc>
        <w:tc>
          <w:tcPr>
            <w:tcW w:w="1387" w:type="dxa"/>
          </w:tcPr>
          <w:p w14:paraId="11ECC761"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3873" w:type="dxa"/>
          </w:tcPr>
          <w:p w14:paraId="43A9846B"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r w:rsidR="00A052DC" w14:paraId="342AD231" w14:textId="77777777">
        <w:tc>
          <w:tcPr>
            <w:tcW w:w="1663" w:type="dxa"/>
            <w:tcBorders>
              <w:top w:val="single" w:sz="4" w:space="0" w:color="auto"/>
              <w:left w:val="single" w:sz="4" w:space="0" w:color="auto"/>
              <w:bottom w:val="single" w:sz="4" w:space="0" w:color="auto"/>
              <w:right w:val="single" w:sz="4" w:space="0" w:color="auto"/>
            </w:tcBorders>
          </w:tcPr>
          <w:p w14:paraId="7F91035D" w14:textId="77777777" w:rsidR="00A052DC" w:rsidRDefault="009F0A60">
            <w:pPr>
              <w:rPr>
                <w:rFonts w:ascii="黑体" w:eastAsia="黑体" w:hAnsi="黑体"/>
                <w:sz w:val="20"/>
                <w:szCs w:val="20"/>
              </w:rPr>
            </w:pPr>
            <w:r>
              <w:rPr>
                <w:rFonts w:ascii="黑体" w:eastAsia="黑体" w:hAnsi="黑体"/>
                <w:sz w:val="20"/>
                <w:szCs w:val="20"/>
              </w:rPr>
              <w:t>OPPUSER</w:t>
            </w:r>
          </w:p>
        </w:tc>
        <w:tc>
          <w:tcPr>
            <w:tcW w:w="1525" w:type="dxa"/>
            <w:tcBorders>
              <w:top w:val="single" w:sz="4" w:space="0" w:color="auto"/>
              <w:left w:val="single" w:sz="4" w:space="0" w:color="auto"/>
              <w:bottom w:val="single" w:sz="4" w:space="0" w:color="auto"/>
              <w:right w:val="single" w:sz="4" w:space="0" w:color="auto"/>
            </w:tcBorders>
          </w:tcPr>
          <w:p w14:paraId="793B1140" w14:textId="77777777" w:rsidR="00A052DC" w:rsidRDefault="009F0A60">
            <w:pPr>
              <w:rPr>
                <w:rFonts w:ascii="黑体" w:eastAsia="黑体" w:hAnsi="黑体"/>
                <w:sz w:val="20"/>
                <w:szCs w:val="20"/>
              </w:rPr>
            </w:pPr>
            <w:r>
              <w:rPr>
                <w:rFonts w:ascii="黑体" w:eastAsia="黑体" w:hAnsi="黑体" w:hint="eastAsia"/>
                <w:sz w:val="20"/>
                <w:szCs w:val="20"/>
              </w:rPr>
              <w:t>收款人名称</w:t>
            </w:r>
          </w:p>
        </w:tc>
        <w:tc>
          <w:tcPr>
            <w:tcW w:w="1387" w:type="dxa"/>
            <w:tcBorders>
              <w:top w:val="single" w:sz="4" w:space="0" w:color="auto"/>
              <w:left w:val="single" w:sz="4" w:space="0" w:color="auto"/>
              <w:bottom w:val="single" w:sz="4" w:space="0" w:color="auto"/>
              <w:right w:val="single" w:sz="4" w:space="0" w:color="auto"/>
            </w:tcBorders>
          </w:tcPr>
          <w:p w14:paraId="6A11B7DD"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3873" w:type="dxa"/>
            <w:tcBorders>
              <w:top w:val="single" w:sz="4" w:space="0" w:color="auto"/>
              <w:left w:val="single" w:sz="4" w:space="0" w:color="auto"/>
              <w:bottom w:val="single" w:sz="4" w:space="0" w:color="auto"/>
              <w:right w:val="single" w:sz="4" w:space="0" w:color="auto"/>
            </w:tcBorders>
          </w:tcPr>
          <w:p w14:paraId="44C77D9D" w14:textId="77777777" w:rsidR="00A052DC" w:rsidRDefault="009F0A60" w:rsidP="007A3AE7">
            <w:pPr>
              <w:rPr>
                <w:rFonts w:ascii="黑体" w:eastAsia="黑体" w:hAnsi="黑体"/>
                <w:sz w:val="20"/>
                <w:szCs w:val="20"/>
              </w:rPr>
            </w:pPr>
            <w:r>
              <w:rPr>
                <w:rFonts w:ascii="黑体" w:eastAsia="黑体" w:hAnsi="黑体" w:hint="eastAsia"/>
                <w:sz w:val="20"/>
                <w:szCs w:val="20"/>
              </w:rPr>
              <w:t>必填项</w:t>
            </w:r>
            <w:r w:rsidR="007A3AE7">
              <w:rPr>
                <w:rFonts w:ascii="黑体" w:eastAsia="黑体" w:hAnsi="黑体" w:hint="eastAsia"/>
                <w:sz w:val="20"/>
                <w:szCs w:val="20"/>
              </w:rPr>
              <w:t>，</w:t>
            </w:r>
            <w:r>
              <w:rPr>
                <w:rFonts w:ascii="黑体" w:eastAsia="黑体" w:hAnsi="黑体" w:hint="eastAsia"/>
                <w:sz w:val="20"/>
                <w:szCs w:val="20"/>
              </w:rPr>
              <w:t>必须以半角大写英文字母“（JW）”或“（JN）”开头。</w:t>
            </w:r>
          </w:p>
        </w:tc>
      </w:tr>
      <w:tr w:rsidR="00A052DC" w14:paraId="0FD05BFF" w14:textId="77777777">
        <w:trPr>
          <w:cantSplit/>
          <w:trHeight w:val="317"/>
        </w:trPr>
        <w:tc>
          <w:tcPr>
            <w:tcW w:w="1663" w:type="dxa"/>
          </w:tcPr>
          <w:p w14:paraId="69CE79B0" w14:textId="77777777" w:rsidR="00A052DC" w:rsidRDefault="009F0A60">
            <w:pPr>
              <w:rPr>
                <w:rFonts w:ascii="黑体" w:eastAsia="黑体" w:hAnsi="黑体"/>
                <w:sz w:val="20"/>
                <w:szCs w:val="20"/>
              </w:rPr>
            </w:pPr>
            <w:r>
              <w:rPr>
                <w:rFonts w:ascii="黑体" w:eastAsia="黑体" w:hAnsi="黑体"/>
                <w:sz w:val="20"/>
                <w:szCs w:val="20"/>
              </w:rPr>
              <w:t>TXCCY</w:t>
            </w:r>
          </w:p>
        </w:tc>
        <w:tc>
          <w:tcPr>
            <w:tcW w:w="1525" w:type="dxa"/>
          </w:tcPr>
          <w:p w14:paraId="311F579D" w14:textId="77777777" w:rsidR="00A052DC" w:rsidRDefault="009F0A60">
            <w:pPr>
              <w:rPr>
                <w:rFonts w:ascii="黑体" w:eastAsia="黑体" w:hAnsi="黑体"/>
                <w:sz w:val="20"/>
                <w:szCs w:val="20"/>
              </w:rPr>
            </w:pPr>
            <w:r>
              <w:rPr>
                <w:rFonts w:ascii="黑体" w:eastAsia="黑体" w:hAnsi="黑体" w:hint="eastAsia"/>
                <w:sz w:val="20"/>
                <w:szCs w:val="20"/>
              </w:rPr>
              <w:t>付款币种</w:t>
            </w:r>
          </w:p>
        </w:tc>
        <w:tc>
          <w:tcPr>
            <w:tcW w:w="1387" w:type="dxa"/>
          </w:tcPr>
          <w:p w14:paraId="1A70F37C" w14:textId="77777777" w:rsidR="00A052DC" w:rsidRDefault="009F0A60">
            <w:pPr>
              <w:rPr>
                <w:rFonts w:ascii="黑体" w:eastAsia="黑体" w:hAnsi="黑体"/>
                <w:sz w:val="20"/>
                <w:szCs w:val="20"/>
              </w:rPr>
            </w:pPr>
            <w:r>
              <w:rPr>
                <w:rFonts w:ascii="黑体" w:eastAsia="黑体" w:hAnsi="黑体" w:hint="eastAsia"/>
                <w:sz w:val="20"/>
                <w:szCs w:val="20"/>
              </w:rPr>
              <w:t>字符型，3</w:t>
            </w:r>
          </w:p>
        </w:tc>
        <w:tc>
          <w:tcPr>
            <w:tcW w:w="3873" w:type="dxa"/>
          </w:tcPr>
          <w:p w14:paraId="7A39A087" w14:textId="77777777" w:rsidR="00A052DC" w:rsidRDefault="009F0A60">
            <w:pPr>
              <w:rPr>
                <w:rFonts w:ascii="黑体" w:eastAsia="黑体" w:hAnsi="黑体"/>
                <w:sz w:val="20"/>
                <w:szCs w:val="20"/>
              </w:rPr>
            </w:pPr>
            <w:r>
              <w:rPr>
                <w:rFonts w:ascii="黑体" w:eastAsia="黑体" w:hAnsi="黑体" w:hint="eastAsia"/>
                <w:sz w:val="20"/>
                <w:szCs w:val="20"/>
              </w:rPr>
              <w:t>必填项。字母代码必须在币种代码表里存在</w:t>
            </w:r>
            <w:r w:rsidR="009708FD">
              <w:rPr>
                <w:rFonts w:ascii="黑体" w:eastAsia="黑体" w:hAnsi="黑体" w:hint="eastAsia"/>
                <w:sz w:val="20"/>
                <w:szCs w:val="20"/>
              </w:rPr>
              <w:t>。</w:t>
            </w:r>
          </w:p>
        </w:tc>
      </w:tr>
      <w:tr w:rsidR="00A052DC" w14:paraId="62B426C3" w14:textId="77777777">
        <w:trPr>
          <w:cantSplit/>
          <w:trHeight w:val="317"/>
        </w:trPr>
        <w:tc>
          <w:tcPr>
            <w:tcW w:w="1663" w:type="dxa"/>
          </w:tcPr>
          <w:p w14:paraId="47661057" w14:textId="77777777" w:rsidR="00A052DC" w:rsidRDefault="009F0A60">
            <w:pPr>
              <w:rPr>
                <w:rFonts w:ascii="黑体" w:eastAsia="黑体" w:hAnsi="黑体"/>
                <w:sz w:val="20"/>
                <w:szCs w:val="20"/>
              </w:rPr>
            </w:pPr>
            <w:r>
              <w:rPr>
                <w:rFonts w:ascii="黑体" w:eastAsia="黑体" w:hAnsi="黑体"/>
                <w:sz w:val="20"/>
                <w:szCs w:val="20"/>
              </w:rPr>
              <w:t>TXAMT</w:t>
            </w:r>
          </w:p>
        </w:tc>
        <w:tc>
          <w:tcPr>
            <w:tcW w:w="1525" w:type="dxa"/>
          </w:tcPr>
          <w:p w14:paraId="318DB71E" w14:textId="77777777" w:rsidR="00A052DC" w:rsidRDefault="009F0A60">
            <w:pPr>
              <w:rPr>
                <w:rFonts w:ascii="黑体" w:eastAsia="黑体" w:hAnsi="黑体"/>
                <w:sz w:val="20"/>
                <w:szCs w:val="20"/>
              </w:rPr>
            </w:pPr>
            <w:r>
              <w:rPr>
                <w:rFonts w:ascii="黑体" w:eastAsia="黑体" w:hAnsi="黑体" w:hint="eastAsia"/>
                <w:sz w:val="20"/>
                <w:szCs w:val="20"/>
              </w:rPr>
              <w:t>付款金额</w:t>
            </w:r>
          </w:p>
        </w:tc>
        <w:tc>
          <w:tcPr>
            <w:tcW w:w="1387" w:type="dxa"/>
          </w:tcPr>
          <w:p w14:paraId="24B6C7C0" w14:textId="77777777" w:rsidR="00A052DC" w:rsidRDefault="009F0A60">
            <w:pPr>
              <w:rPr>
                <w:rFonts w:ascii="黑体" w:eastAsia="黑体" w:hAnsi="黑体"/>
                <w:sz w:val="20"/>
                <w:szCs w:val="20"/>
              </w:rPr>
            </w:pPr>
            <w:r>
              <w:rPr>
                <w:rFonts w:ascii="黑体" w:eastAsia="黑体" w:hAnsi="黑体" w:hint="eastAsia"/>
                <w:sz w:val="20"/>
                <w:szCs w:val="20"/>
              </w:rPr>
              <w:t>数值型，22.0</w:t>
            </w:r>
          </w:p>
        </w:tc>
        <w:tc>
          <w:tcPr>
            <w:tcW w:w="3873" w:type="dxa"/>
          </w:tcPr>
          <w:p w14:paraId="1319E007" w14:textId="77777777" w:rsidR="00A052DC" w:rsidRDefault="009F0A60">
            <w:pPr>
              <w:rPr>
                <w:rFonts w:ascii="黑体" w:eastAsia="黑体" w:hAnsi="黑体"/>
                <w:sz w:val="20"/>
                <w:szCs w:val="20"/>
              </w:rPr>
            </w:pPr>
            <w:r>
              <w:rPr>
                <w:rFonts w:ascii="黑体" w:eastAsia="黑体" w:hAnsi="黑体" w:hint="eastAsia"/>
                <w:sz w:val="20"/>
                <w:szCs w:val="20"/>
              </w:rPr>
              <w:t>必须大于0。无小数位。</w:t>
            </w:r>
          </w:p>
        </w:tc>
      </w:tr>
      <w:tr w:rsidR="00A052DC" w14:paraId="01FACB38" w14:textId="77777777">
        <w:tc>
          <w:tcPr>
            <w:tcW w:w="1663" w:type="dxa"/>
          </w:tcPr>
          <w:p w14:paraId="343FE5DA" w14:textId="77777777" w:rsidR="00A052DC" w:rsidRDefault="009F0A60">
            <w:pPr>
              <w:rPr>
                <w:rFonts w:ascii="黑体" w:eastAsia="黑体" w:hAnsi="黑体"/>
                <w:sz w:val="20"/>
                <w:szCs w:val="20"/>
              </w:rPr>
            </w:pPr>
            <w:r>
              <w:rPr>
                <w:rFonts w:ascii="黑体" w:eastAsia="黑体" w:hAnsi="黑体"/>
                <w:sz w:val="20"/>
                <w:szCs w:val="20"/>
              </w:rPr>
              <w:t>EXRATE</w:t>
            </w:r>
          </w:p>
        </w:tc>
        <w:tc>
          <w:tcPr>
            <w:tcW w:w="1525" w:type="dxa"/>
          </w:tcPr>
          <w:p w14:paraId="12619BF6" w14:textId="77777777" w:rsidR="00A052DC" w:rsidRDefault="009F0A60">
            <w:pPr>
              <w:rPr>
                <w:rFonts w:ascii="黑体" w:eastAsia="黑体" w:hAnsi="黑体"/>
                <w:sz w:val="20"/>
                <w:szCs w:val="20"/>
              </w:rPr>
            </w:pPr>
            <w:r>
              <w:rPr>
                <w:rFonts w:ascii="黑体" w:eastAsia="黑体" w:hAnsi="黑体" w:hint="eastAsia"/>
                <w:sz w:val="20"/>
                <w:szCs w:val="20"/>
              </w:rPr>
              <w:t>购汇汇率</w:t>
            </w:r>
          </w:p>
        </w:tc>
        <w:tc>
          <w:tcPr>
            <w:tcW w:w="1387" w:type="dxa"/>
          </w:tcPr>
          <w:p w14:paraId="45A8F5F2" w14:textId="77777777" w:rsidR="00A052DC" w:rsidRDefault="009F0A60">
            <w:pPr>
              <w:rPr>
                <w:rFonts w:ascii="黑体" w:eastAsia="黑体" w:hAnsi="黑体"/>
                <w:sz w:val="20"/>
                <w:szCs w:val="20"/>
              </w:rPr>
            </w:pPr>
            <w:r>
              <w:rPr>
                <w:rFonts w:ascii="黑体" w:eastAsia="黑体" w:hAnsi="黑体" w:hint="eastAsia"/>
                <w:sz w:val="20"/>
                <w:szCs w:val="20"/>
              </w:rPr>
              <w:t>数值型，13.8</w:t>
            </w:r>
          </w:p>
        </w:tc>
        <w:tc>
          <w:tcPr>
            <w:tcW w:w="3873" w:type="dxa"/>
          </w:tcPr>
          <w:p w14:paraId="7DF02CFC" w14:textId="77777777" w:rsidR="00A052DC" w:rsidRDefault="009F0A60">
            <w:pPr>
              <w:rPr>
                <w:rFonts w:ascii="黑体" w:eastAsia="黑体" w:hAnsi="黑体"/>
                <w:sz w:val="20"/>
                <w:szCs w:val="20"/>
              </w:rPr>
            </w:pPr>
            <w:r>
              <w:rPr>
                <w:rFonts w:ascii="黑体" w:eastAsia="黑体" w:hAnsi="黑体" w:hint="eastAsia"/>
                <w:sz w:val="20"/>
                <w:szCs w:val="20"/>
              </w:rPr>
              <w:t>当购汇金额大于0时必填，否则不应该填写</w:t>
            </w:r>
            <w:r w:rsidR="009708FD">
              <w:rPr>
                <w:rFonts w:ascii="黑体" w:eastAsia="黑体" w:hAnsi="黑体" w:hint="eastAsia"/>
                <w:sz w:val="20"/>
                <w:szCs w:val="20"/>
              </w:rPr>
              <w:t>。</w:t>
            </w:r>
          </w:p>
        </w:tc>
      </w:tr>
      <w:tr w:rsidR="00A052DC" w14:paraId="4202D64B" w14:textId="77777777">
        <w:tc>
          <w:tcPr>
            <w:tcW w:w="1663" w:type="dxa"/>
          </w:tcPr>
          <w:p w14:paraId="0D52C6A3" w14:textId="77777777" w:rsidR="00A052DC" w:rsidRDefault="009F0A60">
            <w:pPr>
              <w:rPr>
                <w:rFonts w:ascii="黑体" w:eastAsia="黑体" w:hAnsi="黑体"/>
                <w:sz w:val="20"/>
                <w:szCs w:val="20"/>
              </w:rPr>
            </w:pPr>
            <w:r>
              <w:rPr>
                <w:rFonts w:ascii="黑体" w:eastAsia="黑体" w:hAnsi="黑体"/>
                <w:sz w:val="20"/>
                <w:szCs w:val="20"/>
              </w:rPr>
              <w:t>LCYAMT</w:t>
            </w:r>
          </w:p>
        </w:tc>
        <w:tc>
          <w:tcPr>
            <w:tcW w:w="1525" w:type="dxa"/>
          </w:tcPr>
          <w:p w14:paraId="3B9B23E6" w14:textId="77777777" w:rsidR="00A052DC" w:rsidRDefault="009F0A60">
            <w:pPr>
              <w:rPr>
                <w:rFonts w:ascii="黑体" w:eastAsia="黑体" w:hAnsi="黑体"/>
                <w:sz w:val="20"/>
                <w:szCs w:val="20"/>
              </w:rPr>
            </w:pPr>
            <w:r>
              <w:rPr>
                <w:rFonts w:ascii="黑体" w:eastAsia="黑体" w:hAnsi="黑体" w:hint="eastAsia"/>
                <w:sz w:val="20"/>
                <w:szCs w:val="20"/>
              </w:rPr>
              <w:t>购汇金额</w:t>
            </w:r>
          </w:p>
        </w:tc>
        <w:tc>
          <w:tcPr>
            <w:tcW w:w="1387" w:type="dxa"/>
          </w:tcPr>
          <w:p w14:paraId="49BD005E" w14:textId="77777777" w:rsidR="00A052DC" w:rsidRDefault="009F0A60">
            <w:pPr>
              <w:rPr>
                <w:rFonts w:ascii="黑体" w:eastAsia="黑体" w:hAnsi="黑体"/>
                <w:sz w:val="20"/>
                <w:szCs w:val="20"/>
              </w:rPr>
            </w:pPr>
            <w:r>
              <w:rPr>
                <w:rFonts w:ascii="黑体" w:eastAsia="黑体" w:hAnsi="黑体" w:hint="eastAsia"/>
                <w:sz w:val="20"/>
                <w:szCs w:val="20"/>
              </w:rPr>
              <w:t>数值型，22.0</w:t>
            </w:r>
          </w:p>
        </w:tc>
        <w:tc>
          <w:tcPr>
            <w:tcW w:w="3873" w:type="dxa"/>
          </w:tcPr>
          <w:p w14:paraId="72C3EE30" w14:textId="77777777" w:rsidR="00A052DC" w:rsidRDefault="00DD6AA3">
            <w:pPr>
              <w:rPr>
                <w:rFonts w:ascii="黑体" w:eastAsia="黑体" w:hAnsi="黑体"/>
                <w:sz w:val="20"/>
                <w:szCs w:val="20"/>
              </w:rPr>
            </w:pPr>
            <w:r>
              <w:rPr>
                <w:rFonts w:ascii="黑体" w:eastAsia="黑体" w:hAnsi="黑体" w:hint="eastAsia"/>
                <w:sz w:val="20"/>
                <w:szCs w:val="20"/>
              </w:rPr>
              <w:t>非必填项</w:t>
            </w:r>
            <w:r w:rsidR="009F0A60">
              <w:rPr>
                <w:rFonts w:ascii="黑体" w:eastAsia="黑体" w:hAnsi="黑体" w:hint="eastAsia"/>
                <w:sz w:val="20"/>
                <w:szCs w:val="20"/>
              </w:rPr>
              <w:t>，但不能小于0。</w:t>
            </w:r>
          </w:p>
          <w:p w14:paraId="619591AF" w14:textId="77777777" w:rsidR="00A052DC" w:rsidRDefault="009F0A60">
            <w:pPr>
              <w:rPr>
                <w:rFonts w:ascii="黑体" w:eastAsia="黑体" w:hAnsi="黑体"/>
                <w:sz w:val="20"/>
                <w:szCs w:val="20"/>
              </w:rPr>
            </w:pPr>
            <w:r>
              <w:rPr>
                <w:rFonts w:ascii="黑体" w:eastAsia="黑体" w:hAnsi="黑体" w:hint="eastAsia"/>
                <w:sz w:val="20"/>
                <w:szCs w:val="20"/>
              </w:rPr>
              <w:t>若账号不为空</w:t>
            </w:r>
            <w:r w:rsidR="006D55A3">
              <w:rPr>
                <w:rFonts w:ascii="黑体" w:eastAsia="黑体" w:hAnsi="黑体" w:hint="eastAsia"/>
                <w:sz w:val="20"/>
                <w:szCs w:val="20"/>
              </w:rPr>
              <w:t>，</w:t>
            </w:r>
            <w:r>
              <w:rPr>
                <w:rFonts w:ascii="黑体" w:eastAsia="黑体" w:hAnsi="黑体" w:hint="eastAsia"/>
                <w:sz w:val="20"/>
                <w:szCs w:val="20"/>
              </w:rPr>
              <w:t>则对应金额必须</w:t>
            </w:r>
            <w:r>
              <w:rPr>
                <w:rFonts w:ascii="黑体" w:eastAsia="黑体" w:hAnsi="黑体"/>
                <w:sz w:val="20"/>
                <w:szCs w:val="20"/>
              </w:rPr>
              <w:t>&gt;</w:t>
            </w:r>
            <w:r>
              <w:rPr>
                <w:rFonts w:ascii="黑体" w:eastAsia="黑体" w:hAnsi="黑体" w:hint="eastAsia"/>
                <w:sz w:val="20"/>
                <w:szCs w:val="20"/>
              </w:rPr>
              <w:t>0；若金额</w:t>
            </w:r>
            <w:r>
              <w:rPr>
                <w:rFonts w:ascii="黑体" w:eastAsia="黑体" w:hAnsi="黑体"/>
                <w:sz w:val="20"/>
                <w:szCs w:val="20"/>
              </w:rPr>
              <w:t>&gt;</w:t>
            </w:r>
            <w:r>
              <w:rPr>
                <w:rFonts w:ascii="黑体" w:eastAsia="黑体" w:hAnsi="黑体" w:hint="eastAsia"/>
                <w:sz w:val="20"/>
                <w:szCs w:val="20"/>
              </w:rPr>
              <w:t>0，则对应账号不能为空。</w:t>
            </w:r>
          </w:p>
        </w:tc>
      </w:tr>
      <w:tr w:rsidR="00A052DC" w14:paraId="4958B81D" w14:textId="77777777">
        <w:tc>
          <w:tcPr>
            <w:tcW w:w="1663" w:type="dxa"/>
          </w:tcPr>
          <w:p w14:paraId="01E3CE6C" w14:textId="77777777" w:rsidR="00A052DC" w:rsidRDefault="009F0A60">
            <w:pPr>
              <w:rPr>
                <w:rFonts w:ascii="黑体" w:eastAsia="黑体" w:hAnsi="黑体"/>
                <w:sz w:val="20"/>
                <w:szCs w:val="20"/>
              </w:rPr>
            </w:pPr>
            <w:r>
              <w:rPr>
                <w:rFonts w:ascii="黑体" w:eastAsia="黑体" w:hAnsi="黑体"/>
                <w:sz w:val="20"/>
                <w:szCs w:val="20"/>
              </w:rPr>
              <w:t>LCYACC</w:t>
            </w:r>
          </w:p>
        </w:tc>
        <w:tc>
          <w:tcPr>
            <w:tcW w:w="1525" w:type="dxa"/>
          </w:tcPr>
          <w:p w14:paraId="1B72AA2D" w14:textId="77777777" w:rsidR="00A052DC" w:rsidRDefault="009F0A60">
            <w:pPr>
              <w:rPr>
                <w:rFonts w:ascii="黑体" w:eastAsia="黑体" w:hAnsi="黑体"/>
                <w:sz w:val="20"/>
                <w:szCs w:val="20"/>
              </w:rPr>
            </w:pPr>
            <w:r>
              <w:rPr>
                <w:rFonts w:ascii="黑体" w:eastAsia="黑体" w:hAnsi="黑体" w:hint="eastAsia"/>
                <w:sz w:val="20"/>
                <w:szCs w:val="20"/>
              </w:rPr>
              <w:t>人民币账号/银行卡号</w:t>
            </w:r>
          </w:p>
        </w:tc>
        <w:tc>
          <w:tcPr>
            <w:tcW w:w="1387" w:type="dxa"/>
          </w:tcPr>
          <w:p w14:paraId="18F748E2" w14:textId="77777777" w:rsidR="00A052DC" w:rsidRDefault="009F0A60">
            <w:pPr>
              <w:rPr>
                <w:rFonts w:ascii="黑体" w:eastAsia="黑体" w:hAnsi="黑体"/>
                <w:sz w:val="20"/>
                <w:szCs w:val="20"/>
              </w:rPr>
            </w:pPr>
            <w:r>
              <w:rPr>
                <w:rFonts w:ascii="黑体" w:eastAsia="黑体" w:hAnsi="黑体" w:hint="eastAsia"/>
                <w:sz w:val="20"/>
                <w:szCs w:val="20"/>
              </w:rPr>
              <w:t>字符型，</w:t>
            </w:r>
            <w:r>
              <w:rPr>
                <w:rFonts w:ascii="黑体" w:eastAsia="黑体" w:hAnsi="黑体"/>
                <w:sz w:val="20"/>
                <w:szCs w:val="20"/>
              </w:rPr>
              <w:t>32</w:t>
            </w:r>
          </w:p>
        </w:tc>
        <w:tc>
          <w:tcPr>
            <w:tcW w:w="3873" w:type="dxa"/>
          </w:tcPr>
          <w:p w14:paraId="61B3C9FC" w14:textId="77777777" w:rsidR="00A052DC" w:rsidRDefault="009F0A60">
            <w:pPr>
              <w:rPr>
                <w:rFonts w:ascii="黑体" w:eastAsia="黑体" w:hAnsi="黑体"/>
                <w:sz w:val="20"/>
                <w:szCs w:val="20"/>
              </w:rPr>
            </w:pPr>
            <w:r>
              <w:rPr>
                <w:rFonts w:ascii="黑体" w:eastAsia="黑体" w:hAnsi="黑体" w:hint="eastAsia"/>
                <w:sz w:val="20"/>
                <w:szCs w:val="20"/>
              </w:rPr>
              <w:t>购汇金额、购汇汇率、购汇账号三个或同时空或同时有值。</w:t>
            </w:r>
          </w:p>
        </w:tc>
      </w:tr>
      <w:tr w:rsidR="00A052DC" w14:paraId="0BA850FD" w14:textId="77777777">
        <w:tc>
          <w:tcPr>
            <w:tcW w:w="1663" w:type="dxa"/>
          </w:tcPr>
          <w:p w14:paraId="6B9C1C21" w14:textId="77777777" w:rsidR="00A052DC" w:rsidRDefault="009F0A60">
            <w:pPr>
              <w:rPr>
                <w:rFonts w:ascii="黑体" w:eastAsia="黑体" w:hAnsi="黑体"/>
                <w:sz w:val="20"/>
                <w:szCs w:val="20"/>
              </w:rPr>
            </w:pPr>
            <w:r>
              <w:rPr>
                <w:rFonts w:ascii="黑体" w:eastAsia="黑体" w:hAnsi="黑体"/>
                <w:sz w:val="20"/>
                <w:szCs w:val="20"/>
              </w:rPr>
              <w:t>FCYAMT</w:t>
            </w:r>
          </w:p>
        </w:tc>
        <w:tc>
          <w:tcPr>
            <w:tcW w:w="1525" w:type="dxa"/>
          </w:tcPr>
          <w:p w14:paraId="5EF017E5" w14:textId="77777777" w:rsidR="00A052DC" w:rsidRDefault="009F0A60">
            <w:pPr>
              <w:rPr>
                <w:rFonts w:ascii="黑体" w:eastAsia="黑体" w:hAnsi="黑体"/>
                <w:sz w:val="20"/>
                <w:szCs w:val="20"/>
              </w:rPr>
            </w:pPr>
            <w:r>
              <w:rPr>
                <w:rFonts w:ascii="黑体" w:eastAsia="黑体" w:hAnsi="黑体" w:hint="eastAsia"/>
                <w:sz w:val="20"/>
                <w:szCs w:val="20"/>
              </w:rPr>
              <w:t>现汇金额</w:t>
            </w:r>
          </w:p>
        </w:tc>
        <w:tc>
          <w:tcPr>
            <w:tcW w:w="1387" w:type="dxa"/>
          </w:tcPr>
          <w:p w14:paraId="3BD19A69" w14:textId="77777777" w:rsidR="00A052DC" w:rsidRDefault="009F0A60">
            <w:pPr>
              <w:rPr>
                <w:rFonts w:ascii="黑体" w:eastAsia="黑体" w:hAnsi="黑体"/>
                <w:sz w:val="20"/>
                <w:szCs w:val="20"/>
              </w:rPr>
            </w:pPr>
            <w:r>
              <w:rPr>
                <w:rFonts w:ascii="黑体" w:eastAsia="黑体" w:hAnsi="黑体" w:hint="eastAsia"/>
                <w:sz w:val="20"/>
                <w:szCs w:val="20"/>
              </w:rPr>
              <w:t>数值型，22.0</w:t>
            </w:r>
          </w:p>
        </w:tc>
        <w:tc>
          <w:tcPr>
            <w:tcW w:w="3873" w:type="dxa"/>
          </w:tcPr>
          <w:p w14:paraId="731D8F66" w14:textId="77777777" w:rsidR="00A052DC" w:rsidRDefault="00DD6AA3">
            <w:pPr>
              <w:rPr>
                <w:rFonts w:ascii="黑体" w:eastAsia="黑体" w:hAnsi="黑体"/>
                <w:sz w:val="20"/>
                <w:szCs w:val="20"/>
              </w:rPr>
            </w:pPr>
            <w:r>
              <w:rPr>
                <w:rFonts w:ascii="黑体" w:eastAsia="黑体" w:hAnsi="黑体" w:hint="eastAsia"/>
                <w:sz w:val="20"/>
                <w:szCs w:val="20"/>
              </w:rPr>
              <w:t>非必填项</w:t>
            </w:r>
            <w:r w:rsidR="009F0A60">
              <w:rPr>
                <w:rFonts w:ascii="黑体" w:eastAsia="黑体" w:hAnsi="黑体" w:hint="eastAsia"/>
                <w:sz w:val="20"/>
                <w:szCs w:val="20"/>
              </w:rPr>
              <w:t>，但不能小于0。</w:t>
            </w:r>
          </w:p>
          <w:p w14:paraId="5013336A" w14:textId="77777777" w:rsidR="00A052DC" w:rsidRDefault="009F0A60">
            <w:pPr>
              <w:rPr>
                <w:rFonts w:ascii="黑体" w:eastAsia="黑体" w:hAnsi="黑体"/>
                <w:sz w:val="20"/>
                <w:szCs w:val="20"/>
              </w:rPr>
            </w:pPr>
            <w:r>
              <w:rPr>
                <w:rFonts w:ascii="黑体" w:eastAsia="黑体" w:hAnsi="黑体" w:hint="eastAsia"/>
                <w:sz w:val="20"/>
                <w:szCs w:val="20"/>
              </w:rPr>
              <w:t>若账号不为空</w:t>
            </w:r>
            <w:r w:rsidR="006D55A3">
              <w:rPr>
                <w:rFonts w:ascii="黑体" w:eastAsia="黑体" w:hAnsi="黑体" w:hint="eastAsia"/>
                <w:sz w:val="20"/>
                <w:szCs w:val="20"/>
              </w:rPr>
              <w:t>，</w:t>
            </w:r>
            <w:r>
              <w:rPr>
                <w:rFonts w:ascii="黑体" w:eastAsia="黑体" w:hAnsi="黑体" w:hint="eastAsia"/>
                <w:sz w:val="20"/>
                <w:szCs w:val="20"/>
              </w:rPr>
              <w:t>则对应金额必须</w:t>
            </w:r>
            <w:r>
              <w:rPr>
                <w:rFonts w:ascii="黑体" w:eastAsia="黑体" w:hAnsi="黑体"/>
                <w:sz w:val="20"/>
                <w:szCs w:val="20"/>
              </w:rPr>
              <w:t>&gt;</w:t>
            </w:r>
            <w:r>
              <w:rPr>
                <w:rFonts w:ascii="黑体" w:eastAsia="黑体" w:hAnsi="黑体" w:hint="eastAsia"/>
                <w:sz w:val="20"/>
                <w:szCs w:val="20"/>
              </w:rPr>
              <w:t>0；若金额</w:t>
            </w:r>
            <w:r>
              <w:rPr>
                <w:rFonts w:ascii="黑体" w:eastAsia="黑体" w:hAnsi="黑体"/>
                <w:sz w:val="20"/>
                <w:szCs w:val="20"/>
              </w:rPr>
              <w:t>&gt;</w:t>
            </w:r>
            <w:r>
              <w:rPr>
                <w:rFonts w:ascii="黑体" w:eastAsia="黑体" w:hAnsi="黑体" w:hint="eastAsia"/>
                <w:sz w:val="20"/>
                <w:szCs w:val="20"/>
              </w:rPr>
              <w:t>0，则对应账号不能为空。</w:t>
            </w:r>
          </w:p>
        </w:tc>
      </w:tr>
      <w:tr w:rsidR="00A052DC" w14:paraId="6FF7880C" w14:textId="77777777">
        <w:tc>
          <w:tcPr>
            <w:tcW w:w="1663" w:type="dxa"/>
          </w:tcPr>
          <w:p w14:paraId="5337A777" w14:textId="77777777" w:rsidR="00A052DC" w:rsidRDefault="009F0A60">
            <w:pPr>
              <w:rPr>
                <w:rFonts w:ascii="黑体" w:eastAsia="黑体" w:hAnsi="黑体"/>
                <w:sz w:val="20"/>
                <w:szCs w:val="20"/>
              </w:rPr>
            </w:pPr>
            <w:r>
              <w:rPr>
                <w:rFonts w:ascii="黑体" w:eastAsia="黑体" w:hAnsi="黑体"/>
                <w:sz w:val="20"/>
                <w:szCs w:val="20"/>
              </w:rPr>
              <w:t>FCYACC</w:t>
            </w:r>
          </w:p>
        </w:tc>
        <w:tc>
          <w:tcPr>
            <w:tcW w:w="1525" w:type="dxa"/>
          </w:tcPr>
          <w:p w14:paraId="19206ADB" w14:textId="77777777" w:rsidR="00A052DC" w:rsidRDefault="009F0A60">
            <w:pPr>
              <w:rPr>
                <w:rFonts w:ascii="黑体" w:eastAsia="黑体" w:hAnsi="黑体"/>
                <w:sz w:val="20"/>
                <w:szCs w:val="20"/>
              </w:rPr>
            </w:pPr>
            <w:r>
              <w:rPr>
                <w:rFonts w:ascii="黑体" w:eastAsia="黑体" w:hAnsi="黑体" w:hint="eastAsia"/>
                <w:sz w:val="20"/>
                <w:szCs w:val="20"/>
              </w:rPr>
              <w:t>外汇账号/银行卡号</w:t>
            </w:r>
          </w:p>
        </w:tc>
        <w:tc>
          <w:tcPr>
            <w:tcW w:w="1387" w:type="dxa"/>
          </w:tcPr>
          <w:p w14:paraId="0BB0193F" w14:textId="77777777" w:rsidR="00A052DC" w:rsidRDefault="009F0A60">
            <w:pPr>
              <w:rPr>
                <w:rFonts w:ascii="黑体" w:eastAsia="黑体" w:hAnsi="黑体"/>
                <w:sz w:val="20"/>
                <w:szCs w:val="20"/>
              </w:rPr>
            </w:pPr>
            <w:r>
              <w:rPr>
                <w:rFonts w:ascii="黑体" w:eastAsia="黑体" w:hAnsi="黑体" w:hint="eastAsia"/>
                <w:sz w:val="20"/>
                <w:szCs w:val="20"/>
              </w:rPr>
              <w:t>字符型，32</w:t>
            </w:r>
          </w:p>
        </w:tc>
        <w:tc>
          <w:tcPr>
            <w:tcW w:w="3873" w:type="dxa"/>
          </w:tcPr>
          <w:p w14:paraId="7DC53683" w14:textId="77777777" w:rsidR="00A052DC" w:rsidRDefault="009F0A60">
            <w:pPr>
              <w:rPr>
                <w:rFonts w:ascii="黑体" w:eastAsia="黑体" w:hAnsi="黑体"/>
                <w:sz w:val="20"/>
                <w:szCs w:val="20"/>
              </w:rPr>
            </w:pPr>
            <w:r>
              <w:rPr>
                <w:rFonts w:ascii="黑体" w:eastAsia="黑体" w:hAnsi="黑体" w:hint="eastAsia"/>
                <w:sz w:val="20"/>
                <w:szCs w:val="20"/>
              </w:rPr>
              <w:t>如果有现汇金额，则该字段不能为空。</w:t>
            </w:r>
          </w:p>
          <w:p w14:paraId="11C93B60" w14:textId="77777777" w:rsidR="00A052DC" w:rsidRDefault="009F0A60">
            <w:pPr>
              <w:rPr>
                <w:rFonts w:ascii="黑体" w:eastAsia="黑体" w:hAnsi="黑体"/>
                <w:sz w:val="20"/>
                <w:szCs w:val="20"/>
              </w:rPr>
            </w:pPr>
            <w:r>
              <w:rPr>
                <w:rFonts w:ascii="黑体" w:eastAsia="黑体" w:hAnsi="黑体" w:hint="eastAsia"/>
                <w:sz w:val="20"/>
                <w:szCs w:val="20"/>
              </w:rPr>
              <w:t>现汇金额、现汇账号或同时空，或同时有值。</w:t>
            </w:r>
          </w:p>
        </w:tc>
      </w:tr>
      <w:tr w:rsidR="00A052DC" w14:paraId="5A09B342" w14:textId="77777777">
        <w:tc>
          <w:tcPr>
            <w:tcW w:w="1663" w:type="dxa"/>
          </w:tcPr>
          <w:p w14:paraId="062B1AB7" w14:textId="77777777" w:rsidR="00A052DC" w:rsidRDefault="009F0A60">
            <w:pPr>
              <w:rPr>
                <w:rFonts w:ascii="黑体" w:eastAsia="黑体" w:hAnsi="黑体"/>
                <w:sz w:val="20"/>
                <w:szCs w:val="20"/>
              </w:rPr>
            </w:pPr>
            <w:r>
              <w:rPr>
                <w:rFonts w:ascii="黑体" w:eastAsia="黑体" w:hAnsi="黑体"/>
                <w:sz w:val="20"/>
                <w:szCs w:val="20"/>
              </w:rPr>
              <w:t>OTHAMT</w:t>
            </w:r>
          </w:p>
        </w:tc>
        <w:tc>
          <w:tcPr>
            <w:tcW w:w="1525" w:type="dxa"/>
          </w:tcPr>
          <w:p w14:paraId="3EAC96C1" w14:textId="77777777" w:rsidR="00A052DC" w:rsidRDefault="0021563C">
            <w:pPr>
              <w:rPr>
                <w:rFonts w:ascii="黑体" w:eastAsia="黑体" w:hAnsi="黑体"/>
                <w:sz w:val="20"/>
                <w:szCs w:val="20"/>
              </w:rPr>
            </w:pPr>
            <w:r>
              <w:rPr>
                <w:rFonts w:ascii="黑体" w:eastAsia="黑体" w:hAnsi="黑体" w:hint="eastAsia"/>
                <w:sz w:val="20"/>
                <w:szCs w:val="20"/>
              </w:rPr>
              <w:t>其他</w:t>
            </w:r>
            <w:r w:rsidR="009F0A60">
              <w:rPr>
                <w:rFonts w:ascii="黑体" w:eastAsia="黑体" w:hAnsi="黑体" w:hint="eastAsia"/>
                <w:sz w:val="20"/>
                <w:szCs w:val="20"/>
              </w:rPr>
              <w:t>金额</w:t>
            </w:r>
          </w:p>
        </w:tc>
        <w:tc>
          <w:tcPr>
            <w:tcW w:w="1387" w:type="dxa"/>
          </w:tcPr>
          <w:p w14:paraId="7E202D65" w14:textId="77777777" w:rsidR="00A052DC" w:rsidRDefault="009F0A60">
            <w:pPr>
              <w:rPr>
                <w:rFonts w:ascii="黑体" w:eastAsia="黑体" w:hAnsi="黑体"/>
                <w:sz w:val="20"/>
                <w:szCs w:val="20"/>
              </w:rPr>
            </w:pPr>
            <w:r>
              <w:rPr>
                <w:rFonts w:ascii="黑体" w:eastAsia="黑体" w:hAnsi="黑体" w:hint="eastAsia"/>
                <w:sz w:val="20"/>
                <w:szCs w:val="20"/>
              </w:rPr>
              <w:t>数值型，22.0</w:t>
            </w:r>
          </w:p>
        </w:tc>
        <w:tc>
          <w:tcPr>
            <w:tcW w:w="3873" w:type="dxa"/>
          </w:tcPr>
          <w:p w14:paraId="337A803E" w14:textId="77777777" w:rsidR="00A052DC" w:rsidRDefault="00DD6AA3">
            <w:pPr>
              <w:rPr>
                <w:rFonts w:ascii="黑体" w:eastAsia="黑体" w:hAnsi="黑体"/>
                <w:sz w:val="20"/>
                <w:szCs w:val="20"/>
              </w:rPr>
            </w:pPr>
            <w:r>
              <w:rPr>
                <w:rFonts w:ascii="黑体" w:eastAsia="黑体" w:hAnsi="黑体" w:hint="eastAsia"/>
                <w:sz w:val="20"/>
                <w:szCs w:val="20"/>
              </w:rPr>
              <w:t>非必填项</w:t>
            </w:r>
            <w:r w:rsidR="009F0A60">
              <w:rPr>
                <w:rFonts w:ascii="黑体" w:eastAsia="黑体" w:hAnsi="黑体" w:hint="eastAsia"/>
                <w:sz w:val="20"/>
                <w:szCs w:val="20"/>
              </w:rPr>
              <w:t>，但不能小于0。</w:t>
            </w:r>
          </w:p>
          <w:p w14:paraId="7D968A6F" w14:textId="77777777" w:rsidR="00A052DC" w:rsidRDefault="009F0A60">
            <w:pPr>
              <w:rPr>
                <w:rFonts w:ascii="黑体" w:eastAsia="黑体" w:hAnsi="黑体"/>
                <w:sz w:val="20"/>
                <w:szCs w:val="20"/>
              </w:rPr>
            </w:pPr>
            <w:r>
              <w:rPr>
                <w:rFonts w:ascii="黑体" w:eastAsia="黑体" w:hAnsi="黑体" w:hint="eastAsia"/>
                <w:sz w:val="20"/>
                <w:szCs w:val="20"/>
              </w:rPr>
              <w:t>若账号不为空</w:t>
            </w:r>
            <w:r w:rsidR="006D55A3">
              <w:rPr>
                <w:rFonts w:ascii="黑体" w:eastAsia="黑体" w:hAnsi="黑体" w:hint="eastAsia"/>
                <w:sz w:val="20"/>
                <w:szCs w:val="20"/>
              </w:rPr>
              <w:t>，</w:t>
            </w:r>
            <w:r>
              <w:rPr>
                <w:rFonts w:ascii="黑体" w:eastAsia="黑体" w:hAnsi="黑体" w:hint="eastAsia"/>
                <w:sz w:val="20"/>
                <w:szCs w:val="20"/>
              </w:rPr>
              <w:t>则对应金额必须</w:t>
            </w:r>
            <w:r>
              <w:rPr>
                <w:rFonts w:ascii="黑体" w:eastAsia="黑体" w:hAnsi="黑体"/>
                <w:sz w:val="20"/>
                <w:szCs w:val="20"/>
              </w:rPr>
              <w:t>&gt;</w:t>
            </w:r>
            <w:r>
              <w:rPr>
                <w:rFonts w:ascii="黑体" w:eastAsia="黑体" w:hAnsi="黑体" w:hint="eastAsia"/>
                <w:sz w:val="20"/>
                <w:szCs w:val="20"/>
              </w:rPr>
              <w:t>0；若金额</w:t>
            </w:r>
            <w:r>
              <w:rPr>
                <w:rFonts w:ascii="黑体" w:eastAsia="黑体" w:hAnsi="黑体"/>
                <w:sz w:val="20"/>
                <w:szCs w:val="20"/>
              </w:rPr>
              <w:t>&gt;</w:t>
            </w:r>
            <w:r>
              <w:rPr>
                <w:rFonts w:ascii="黑体" w:eastAsia="黑体" w:hAnsi="黑体" w:hint="eastAsia"/>
                <w:sz w:val="20"/>
                <w:szCs w:val="20"/>
              </w:rPr>
              <w:t>0，则对应账号不能为空。</w:t>
            </w:r>
          </w:p>
          <w:p w14:paraId="1349C235" w14:textId="77777777" w:rsidR="00A052DC" w:rsidRDefault="009F0A60">
            <w:pPr>
              <w:rPr>
                <w:rFonts w:ascii="黑体" w:eastAsia="黑体" w:hAnsi="黑体"/>
                <w:sz w:val="20"/>
                <w:szCs w:val="20"/>
              </w:rPr>
            </w:pPr>
            <w:r>
              <w:rPr>
                <w:rFonts w:ascii="黑体" w:eastAsia="黑体" w:hAnsi="黑体" w:hint="eastAsia"/>
                <w:sz w:val="20"/>
                <w:szCs w:val="20"/>
              </w:rPr>
              <w:t>购汇金额、现汇金额、</w:t>
            </w:r>
            <w:r w:rsidR="0021563C">
              <w:rPr>
                <w:rFonts w:ascii="黑体" w:eastAsia="黑体" w:hAnsi="黑体" w:hint="eastAsia"/>
                <w:sz w:val="20"/>
                <w:szCs w:val="20"/>
              </w:rPr>
              <w:t>其他</w:t>
            </w:r>
            <w:r>
              <w:rPr>
                <w:rFonts w:ascii="黑体" w:eastAsia="黑体" w:hAnsi="黑体" w:hint="eastAsia"/>
                <w:sz w:val="20"/>
                <w:szCs w:val="20"/>
              </w:rPr>
              <w:t>金额至少输入一项。</w:t>
            </w:r>
          </w:p>
          <w:p w14:paraId="0FAC24BA" w14:textId="77777777" w:rsidR="00A052DC" w:rsidRDefault="009F0A60">
            <w:pPr>
              <w:rPr>
                <w:rFonts w:ascii="黑体" w:eastAsia="黑体" w:hAnsi="黑体"/>
                <w:sz w:val="20"/>
                <w:szCs w:val="20"/>
              </w:rPr>
            </w:pPr>
            <w:r>
              <w:rPr>
                <w:rFonts w:ascii="黑体" w:eastAsia="黑体" w:hAnsi="黑体" w:hint="eastAsia"/>
                <w:sz w:val="20"/>
                <w:szCs w:val="20"/>
              </w:rPr>
              <w:t>购汇金额、现汇金额、</w:t>
            </w:r>
            <w:r w:rsidR="0021563C">
              <w:rPr>
                <w:rFonts w:ascii="黑体" w:eastAsia="黑体" w:hAnsi="黑体" w:hint="eastAsia"/>
                <w:sz w:val="20"/>
                <w:szCs w:val="20"/>
              </w:rPr>
              <w:t>其他</w:t>
            </w:r>
            <w:r>
              <w:rPr>
                <w:rFonts w:ascii="黑体" w:eastAsia="黑体" w:hAnsi="黑体" w:hint="eastAsia"/>
                <w:sz w:val="20"/>
                <w:szCs w:val="20"/>
              </w:rPr>
              <w:t>金额之和应等于付款金额。</w:t>
            </w:r>
          </w:p>
        </w:tc>
      </w:tr>
      <w:tr w:rsidR="00A052DC" w14:paraId="50CF83C9" w14:textId="77777777">
        <w:tc>
          <w:tcPr>
            <w:tcW w:w="1663" w:type="dxa"/>
          </w:tcPr>
          <w:p w14:paraId="412ED3F4" w14:textId="77777777" w:rsidR="00A052DC" w:rsidRDefault="009F0A60">
            <w:pPr>
              <w:rPr>
                <w:rFonts w:ascii="黑体" w:eastAsia="黑体" w:hAnsi="黑体"/>
                <w:sz w:val="20"/>
                <w:szCs w:val="20"/>
              </w:rPr>
            </w:pPr>
            <w:r>
              <w:rPr>
                <w:rFonts w:ascii="黑体" w:eastAsia="黑体" w:hAnsi="黑体"/>
                <w:sz w:val="20"/>
                <w:szCs w:val="20"/>
              </w:rPr>
              <w:t>OTHACC</w:t>
            </w:r>
          </w:p>
        </w:tc>
        <w:tc>
          <w:tcPr>
            <w:tcW w:w="1525" w:type="dxa"/>
          </w:tcPr>
          <w:p w14:paraId="3C85FD79" w14:textId="77777777" w:rsidR="00A052DC" w:rsidRDefault="0021563C">
            <w:pPr>
              <w:rPr>
                <w:rFonts w:ascii="黑体" w:eastAsia="黑体" w:hAnsi="黑体"/>
                <w:sz w:val="20"/>
                <w:szCs w:val="20"/>
              </w:rPr>
            </w:pPr>
            <w:r>
              <w:rPr>
                <w:rFonts w:ascii="黑体" w:eastAsia="黑体" w:hAnsi="黑体" w:hint="eastAsia"/>
                <w:sz w:val="20"/>
                <w:szCs w:val="20"/>
              </w:rPr>
              <w:t>其他</w:t>
            </w:r>
            <w:r w:rsidR="009F0A60">
              <w:rPr>
                <w:rFonts w:ascii="黑体" w:eastAsia="黑体" w:hAnsi="黑体" w:hint="eastAsia"/>
                <w:sz w:val="20"/>
                <w:szCs w:val="20"/>
              </w:rPr>
              <w:t>账号/银行卡号</w:t>
            </w:r>
          </w:p>
        </w:tc>
        <w:tc>
          <w:tcPr>
            <w:tcW w:w="1387" w:type="dxa"/>
          </w:tcPr>
          <w:p w14:paraId="7B59EFE2" w14:textId="77777777" w:rsidR="00A052DC" w:rsidRDefault="009F0A60">
            <w:pPr>
              <w:rPr>
                <w:rFonts w:ascii="黑体" w:eastAsia="黑体" w:hAnsi="黑体"/>
                <w:sz w:val="20"/>
                <w:szCs w:val="20"/>
              </w:rPr>
            </w:pPr>
            <w:r>
              <w:rPr>
                <w:rFonts w:ascii="黑体" w:eastAsia="黑体" w:hAnsi="黑体" w:hint="eastAsia"/>
                <w:sz w:val="20"/>
                <w:szCs w:val="20"/>
              </w:rPr>
              <w:t>字符型，32</w:t>
            </w:r>
          </w:p>
        </w:tc>
        <w:tc>
          <w:tcPr>
            <w:tcW w:w="3873" w:type="dxa"/>
          </w:tcPr>
          <w:p w14:paraId="4454A4A4" w14:textId="77777777" w:rsidR="00A052DC" w:rsidRDefault="009F0A60">
            <w:pPr>
              <w:rPr>
                <w:rFonts w:ascii="黑体" w:eastAsia="黑体" w:hAnsi="黑体"/>
                <w:sz w:val="20"/>
                <w:szCs w:val="20"/>
              </w:rPr>
            </w:pPr>
            <w:r>
              <w:rPr>
                <w:rFonts w:ascii="黑体" w:eastAsia="黑体" w:hAnsi="黑体" w:hint="eastAsia"/>
                <w:sz w:val="20"/>
                <w:szCs w:val="20"/>
              </w:rPr>
              <w:t>如果有其他金额，则该字段不能为空</w:t>
            </w:r>
            <w:r w:rsidR="006D55A3">
              <w:rPr>
                <w:rFonts w:ascii="黑体" w:eastAsia="黑体" w:hAnsi="黑体" w:hint="eastAsia"/>
                <w:sz w:val="20"/>
                <w:szCs w:val="20"/>
              </w:rPr>
              <w:t>；</w:t>
            </w:r>
          </w:p>
          <w:p w14:paraId="7E3D0503" w14:textId="77777777" w:rsidR="00A052DC" w:rsidRDefault="009F0A60">
            <w:pPr>
              <w:rPr>
                <w:rFonts w:ascii="黑体" w:eastAsia="黑体" w:hAnsi="黑体"/>
                <w:sz w:val="20"/>
                <w:szCs w:val="20"/>
              </w:rPr>
            </w:pPr>
            <w:r>
              <w:rPr>
                <w:rFonts w:ascii="黑体" w:eastAsia="黑体" w:hAnsi="黑体" w:hint="eastAsia"/>
                <w:sz w:val="20"/>
                <w:szCs w:val="20"/>
              </w:rPr>
              <w:t>其他金额为0，则该字段不应该填写</w:t>
            </w:r>
            <w:r w:rsidR="006D55A3">
              <w:rPr>
                <w:rFonts w:ascii="黑体" w:eastAsia="黑体" w:hAnsi="黑体" w:hint="eastAsia"/>
                <w:sz w:val="20"/>
                <w:szCs w:val="20"/>
              </w:rPr>
              <w:t>。</w:t>
            </w:r>
          </w:p>
          <w:p w14:paraId="05F63157" w14:textId="77777777" w:rsidR="00A052DC" w:rsidRDefault="0021563C">
            <w:pPr>
              <w:rPr>
                <w:rFonts w:ascii="黑体" w:eastAsia="黑体" w:hAnsi="黑体"/>
                <w:sz w:val="20"/>
                <w:szCs w:val="20"/>
              </w:rPr>
            </w:pPr>
            <w:r>
              <w:rPr>
                <w:rFonts w:ascii="黑体" w:eastAsia="黑体" w:hAnsi="黑体" w:hint="eastAsia"/>
                <w:sz w:val="20"/>
                <w:szCs w:val="20"/>
              </w:rPr>
              <w:t>其他</w:t>
            </w:r>
            <w:r w:rsidR="009F0A60">
              <w:rPr>
                <w:rFonts w:ascii="黑体" w:eastAsia="黑体" w:hAnsi="黑体" w:hint="eastAsia"/>
                <w:sz w:val="20"/>
                <w:szCs w:val="20"/>
              </w:rPr>
              <w:t>金额、</w:t>
            </w:r>
            <w:r>
              <w:rPr>
                <w:rFonts w:ascii="黑体" w:eastAsia="黑体" w:hAnsi="黑体" w:hint="eastAsia"/>
                <w:sz w:val="20"/>
                <w:szCs w:val="20"/>
              </w:rPr>
              <w:t>其他</w:t>
            </w:r>
            <w:r w:rsidR="009F0A60">
              <w:rPr>
                <w:rFonts w:ascii="黑体" w:eastAsia="黑体" w:hAnsi="黑体" w:hint="eastAsia"/>
                <w:sz w:val="20"/>
                <w:szCs w:val="20"/>
              </w:rPr>
              <w:t>账号或同时空，或同时有值。</w:t>
            </w:r>
          </w:p>
        </w:tc>
      </w:tr>
      <w:tr w:rsidR="00A052DC" w14:paraId="6AE3EC9D" w14:textId="77777777">
        <w:tc>
          <w:tcPr>
            <w:tcW w:w="1663" w:type="dxa"/>
          </w:tcPr>
          <w:p w14:paraId="43FFA42A" w14:textId="77777777" w:rsidR="00A052DC" w:rsidRDefault="009F0A60">
            <w:pPr>
              <w:rPr>
                <w:rFonts w:ascii="黑体" w:eastAsia="黑体" w:hAnsi="黑体"/>
                <w:sz w:val="20"/>
                <w:szCs w:val="20"/>
              </w:rPr>
            </w:pPr>
            <w:r>
              <w:rPr>
                <w:rFonts w:ascii="黑体" w:eastAsia="黑体" w:hAnsi="黑体"/>
                <w:sz w:val="20"/>
                <w:szCs w:val="20"/>
              </w:rPr>
              <w:t>METHOD</w:t>
            </w:r>
          </w:p>
        </w:tc>
        <w:tc>
          <w:tcPr>
            <w:tcW w:w="1525" w:type="dxa"/>
          </w:tcPr>
          <w:p w14:paraId="4149B98C" w14:textId="77777777" w:rsidR="00A052DC" w:rsidRDefault="009F0A60">
            <w:pPr>
              <w:rPr>
                <w:rFonts w:ascii="黑体" w:eastAsia="黑体" w:hAnsi="黑体"/>
                <w:sz w:val="20"/>
                <w:szCs w:val="20"/>
              </w:rPr>
            </w:pPr>
            <w:r>
              <w:rPr>
                <w:rFonts w:ascii="黑体" w:eastAsia="黑体" w:hAnsi="黑体" w:hint="eastAsia"/>
                <w:sz w:val="20"/>
                <w:szCs w:val="20"/>
              </w:rPr>
              <w:t>结算方式</w:t>
            </w:r>
          </w:p>
        </w:tc>
        <w:tc>
          <w:tcPr>
            <w:tcW w:w="1387" w:type="dxa"/>
          </w:tcPr>
          <w:p w14:paraId="446004FA" w14:textId="77777777" w:rsidR="00A052DC" w:rsidRDefault="009F0A60">
            <w:pPr>
              <w:rPr>
                <w:rFonts w:ascii="黑体" w:eastAsia="黑体" w:hAnsi="黑体"/>
                <w:sz w:val="20"/>
                <w:szCs w:val="20"/>
              </w:rPr>
            </w:pPr>
            <w:r>
              <w:rPr>
                <w:rFonts w:ascii="黑体" w:eastAsia="黑体" w:hAnsi="黑体" w:hint="eastAsia"/>
                <w:sz w:val="20"/>
                <w:szCs w:val="20"/>
              </w:rPr>
              <w:t>字符型，1</w:t>
            </w:r>
          </w:p>
        </w:tc>
        <w:tc>
          <w:tcPr>
            <w:tcW w:w="3873" w:type="dxa"/>
          </w:tcPr>
          <w:p w14:paraId="32ABD1D9" w14:textId="77777777" w:rsidR="00A052DC" w:rsidRDefault="009F0A60">
            <w:pPr>
              <w:rPr>
                <w:rFonts w:ascii="黑体" w:eastAsia="黑体" w:hAnsi="黑体"/>
                <w:sz w:val="20"/>
                <w:szCs w:val="20"/>
              </w:rPr>
            </w:pPr>
            <w:r>
              <w:rPr>
                <w:rFonts w:ascii="黑体" w:eastAsia="黑体" w:hAnsi="黑体" w:hint="eastAsia"/>
                <w:sz w:val="20"/>
                <w:szCs w:val="20"/>
              </w:rPr>
              <w:t>L</w:t>
            </w:r>
            <w:r w:rsidR="00AE4602">
              <w:rPr>
                <w:rFonts w:ascii="黑体" w:eastAsia="黑体" w:hAnsi="黑体" w:hint="eastAsia"/>
                <w:sz w:val="20"/>
                <w:szCs w:val="20"/>
              </w:rPr>
              <w:t>-</w:t>
            </w:r>
            <w:r>
              <w:rPr>
                <w:rFonts w:ascii="黑体" w:eastAsia="黑体" w:hAnsi="黑体" w:hint="eastAsia"/>
                <w:sz w:val="20"/>
                <w:szCs w:val="20"/>
              </w:rPr>
              <w:t>信用证</w:t>
            </w:r>
          </w:p>
          <w:p w14:paraId="049E424F" w14:textId="77777777" w:rsidR="00A052DC" w:rsidRDefault="009F0A60">
            <w:pPr>
              <w:rPr>
                <w:rFonts w:ascii="黑体" w:eastAsia="黑体" w:hAnsi="黑体"/>
                <w:sz w:val="20"/>
                <w:szCs w:val="20"/>
              </w:rPr>
            </w:pPr>
            <w:r>
              <w:rPr>
                <w:rFonts w:ascii="黑体" w:eastAsia="黑体" w:hAnsi="黑体" w:hint="eastAsia"/>
                <w:sz w:val="20"/>
                <w:szCs w:val="20"/>
              </w:rPr>
              <w:t>G</w:t>
            </w:r>
            <w:r w:rsidR="00AE4602">
              <w:rPr>
                <w:rFonts w:ascii="黑体" w:eastAsia="黑体" w:hAnsi="黑体" w:hint="eastAsia"/>
                <w:sz w:val="20"/>
                <w:szCs w:val="20"/>
              </w:rPr>
              <w:t>-</w:t>
            </w:r>
            <w:r>
              <w:rPr>
                <w:rFonts w:ascii="黑体" w:eastAsia="黑体" w:hAnsi="黑体" w:hint="eastAsia"/>
                <w:sz w:val="20"/>
                <w:szCs w:val="20"/>
              </w:rPr>
              <w:t>保函</w:t>
            </w:r>
          </w:p>
          <w:p w14:paraId="46628752" w14:textId="77777777" w:rsidR="00A052DC" w:rsidRDefault="009F0A60">
            <w:pPr>
              <w:rPr>
                <w:rFonts w:ascii="黑体" w:eastAsia="黑体" w:hAnsi="黑体"/>
                <w:sz w:val="20"/>
                <w:szCs w:val="20"/>
              </w:rPr>
            </w:pPr>
            <w:r>
              <w:rPr>
                <w:rFonts w:ascii="黑体" w:eastAsia="黑体" w:hAnsi="黑体" w:hint="eastAsia"/>
                <w:sz w:val="20"/>
                <w:szCs w:val="20"/>
              </w:rPr>
              <w:t>C</w:t>
            </w:r>
            <w:r w:rsidR="00AE4602">
              <w:rPr>
                <w:rFonts w:ascii="黑体" w:eastAsia="黑体" w:hAnsi="黑体" w:hint="eastAsia"/>
                <w:sz w:val="20"/>
                <w:szCs w:val="20"/>
              </w:rPr>
              <w:t>-</w:t>
            </w:r>
            <w:r>
              <w:rPr>
                <w:rFonts w:ascii="黑体" w:eastAsia="黑体" w:hAnsi="黑体" w:hint="eastAsia"/>
                <w:sz w:val="20"/>
                <w:szCs w:val="20"/>
              </w:rPr>
              <w:t>托收</w:t>
            </w:r>
          </w:p>
          <w:p w14:paraId="4CEE3E96" w14:textId="77777777" w:rsidR="00A052DC" w:rsidRDefault="009F0A60">
            <w:pPr>
              <w:rPr>
                <w:rFonts w:ascii="黑体" w:eastAsia="黑体" w:hAnsi="黑体"/>
                <w:sz w:val="20"/>
                <w:szCs w:val="20"/>
              </w:rPr>
            </w:pPr>
            <w:r>
              <w:rPr>
                <w:rFonts w:ascii="黑体" w:eastAsia="黑体" w:hAnsi="黑体" w:hint="eastAsia"/>
                <w:sz w:val="20"/>
                <w:szCs w:val="20"/>
              </w:rPr>
              <w:t>O</w:t>
            </w:r>
            <w:r w:rsidR="00AE4602">
              <w:rPr>
                <w:rFonts w:ascii="黑体" w:eastAsia="黑体" w:hAnsi="黑体" w:hint="eastAsia"/>
                <w:sz w:val="20"/>
                <w:szCs w:val="20"/>
              </w:rPr>
              <w:t>-</w:t>
            </w:r>
            <w:r>
              <w:rPr>
                <w:rFonts w:ascii="黑体" w:eastAsia="黑体" w:hAnsi="黑体" w:hint="eastAsia"/>
                <w:sz w:val="20"/>
                <w:szCs w:val="20"/>
              </w:rPr>
              <w:t>其他</w:t>
            </w:r>
          </w:p>
        </w:tc>
      </w:tr>
      <w:tr w:rsidR="00A052DC" w14:paraId="2979E746" w14:textId="77777777">
        <w:tc>
          <w:tcPr>
            <w:tcW w:w="1663" w:type="dxa"/>
          </w:tcPr>
          <w:p w14:paraId="44F920FF" w14:textId="77777777" w:rsidR="00A052DC" w:rsidRDefault="009F0A60">
            <w:pPr>
              <w:rPr>
                <w:rFonts w:ascii="黑体" w:eastAsia="黑体" w:hAnsi="黑体"/>
                <w:sz w:val="20"/>
                <w:szCs w:val="20"/>
              </w:rPr>
            </w:pPr>
            <w:r>
              <w:rPr>
                <w:rFonts w:ascii="黑体" w:eastAsia="黑体" w:hAnsi="黑体"/>
                <w:sz w:val="20"/>
                <w:szCs w:val="20"/>
              </w:rPr>
              <w:t>BUSCODE</w:t>
            </w:r>
          </w:p>
        </w:tc>
        <w:tc>
          <w:tcPr>
            <w:tcW w:w="1525" w:type="dxa"/>
          </w:tcPr>
          <w:p w14:paraId="2473A816" w14:textId="77777777" w:rsidR="00A052DC" w:rsidRDefault="009F0A60">
            <w:pPr>
              <w:rPr>
                <w:rFonts w:ascii="黑体" w:eastAsia="黑体" w:hAnsi="黑体"/>
                <w:sz w:val="20"/>
                <w:szCs w:val="20"/>
              </w:rPr>
            </w:pPr>
            <w:r>
              <w:rPr>
                <w:rFonts w:ascii="黑体" w:eastAsia="黑体" w:hAnsi="黑体" w:hint="eastAsia"/>
                <w:sz w:val="20"/>
                <w:szCs w:val="20"/>
              </w:rPr>
              <w:t>银行业务编号</w:t>
            </w:r>
          </w:p>
        </w:tc>
        <w:tc>
          <w:tcPr>
            <w:tcW w:w="1387" w:type="dxa"/>
          </w:tcPr>
          <w:p w14:paraId="0404187B" w14:textId="77777777" w:rsidR="00A052DC" w:rsidRDefault="009F0A60">
            <w:pPr>
              <w:rPr>
                <w:rFonts w:ascii="黑体" w:eastAsia="黑体" w:hAnsi="黑体"/>
                <w:sz w:val="20"/>
                <w:szCs w:val="20"/>
              </w:rPr>
            </w:pPr>
            <w:r>
              <w:rPr>
                <w:rFonts w:ascii="黑体" w:eastAsia="黑体" w:hAnsi="黑体" w:hint="eastAsia"/>
                <w:sz w:val="20"/>
                <w:szCs w:val="20"/>
              </w:rPr>
              <w:t>字符型，22</w:t>
            </w:r>
          </w:p>
        </w:tc>
        <w:tc>
          <w:tcPr>
            <w:tcW w:w="3873" w:type="dxa"/>
          </w:tcPr>
          <w:p w14:paraId="2C2BDAE9"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r w:rsidR="00A052DC" w14:paraId="6F7927CB" w14:textId="77777777">
        <w:tc>
          <w:tcPr>
            <w:tcW w:w="1663" w:type="dxa"/>
          </w:tcPr>
          <w:p w14:paraId="44AA3EF9" w14:textId="77777777" w:rsidR="00A052DC" w:rsidRDefault="009F0A60">
            <w:pPr>
              <w:rPr>
                <w:rFonts w:ascii="黑体" w:eastAsia="黑体" w:hAnsi="黑体"/>
                <w:sz w:val="20"/>
                <w:szCs w:val="20"/>
              </w:rPr>
            </w:pPr>
            <w:r>
              <w:rPr>
                <w:rFonts w:ascii="黑体" w:eastAsia="黑体" w:hAnsi="黑体"/>
                <w:sz w:val="20"/>
                <w:szCs w:val="20"/>
              </w:rPr>
              <w:t>ACTUCCY</w:t>
            </w:r>
          </w:p>
        </w:tc>
        <w:tc>
          <w:tcPr>
            <w:tcW w:w="1525" w:type="dxa"/>
          </w:tcPr>
          <w:p w14:paraId="523EA86E" w14:textId="77777777" w:rsidR="00A052DC" w:rsidRDefault="009F0A60">
            <w:pPr>
              <w:rPr>
                <w:rFonts w:ascii="黑体" w:eastAsia="黑体" w:hAnsi="黑体"/>
                <w:sz w:val="20"/>
                <w:szCs w:val="20"/>
              </w:rPr>
            </w:pPr>
            <w:r>
              <w:rPr>
                <w:rFonts w:ascii="黑体" w:eastAsia="黑体" w:hAnsi="黑体" w:hint="eastAsia"/>
                <w:sz w:val="20"/>
                <w:szCs w:val="20"/>
              </w:rPr>
              <w:t>实际付款币种</w:t>
            </w:r>
          </w:p>
        </w:tc>
        <w:tc>
          <w:tcPr>
            <w:tcW w:w="1387" w:type="dxa"/>
          </w:tcPr>
          <w:p w14:paraId="48D052DC" w14:textId="77777777" w:rsidR="00A052DC" w:rsidRDefault="009F0A60">
            <w:pPr>
              <w:rPr>
                <w:rFonts w:ascii="黑体" w:eastAsia="黑体" w:hAnsi="黑体"/>
                <w:sz w:val="20"/>
                <w:szCs w:val="20"/>
              </w:rPr>
            </w:pPr>
            <w:r>
              <w:rPr>
                <w:rFonts w:ascii="黑体" w:eastAsia="黑体" w:hAnsi="黑体" w:hint="eastAsia"/>
                <w:sz w:val="20"/>
                <w:szCs w:val="20"/>
              </w:rPr>
              <w:t>字符型，3</w:t>
            </w:r>
          </w:p>
        </w:tc>
        <w:tc>
          <w:tcPr>
            <w:tcW w:w="3873" w:type="dxa"/>
          </w:tcPr>
          <w:p w14:paraId="7B07A606" w14:textId="77777777" w:rsidR="00A052DC" w:rsidRDefault="009F0A60">
            <w:pPr>
              <w:rPr>
                <w:rFonts w:ascii="黑体" w:eastAsia="黑体" w:hAnsi="黑体"/>
                <w:sz w:val="20"/>
                <w:szCs w:val="20"/>
              </w:rPr>
            </w:pPr>
            <w:r>
              <w:rPr>
                <w:rFonts w:ascii="黑体" w:eastAsia="黑体" w:hAnsi="黑体" w:hint="eastAsia"/>
                <w:sz w:val="20"/>
                <w:szCs w:val="20"/>
              </w:rPr>
              <w:t>必填项。必须在币种代码表里存在。</w:t>
            </w:r>
          </w:p>
        </w:tc>
      </w:tr>
      <w:tr w:rsidR="00A052DC" w14:paraId="167C6AC4" w14:textId="77777777">
        <w:tc>
          <w:tcPr>
            <w:tcW w:w="1663" w:type="dxa"/>
          </w:tcPr>
          <w:p w14:paraId="15F87B14" w14:textId="77777777" w:rsidR="00A052DC" w:rsidRDefault="009F0A60">
            <w:pPr>
              <w:rPr>
                <w:rFonts w:ascii="黑体" w:eastAsia="黑体" w:hAnsi="黑体"/>
                <w:sz w:val="20"/>
                <w:szCs w:val="20"/>
              </w:rPr>
            </w:pPr>
            <w:r>
              <w:rPr>
                <w:rFonts w:ascii="黑体" w:eastAsia="黑体" w:hAnsi="黑体"/>
                <w:sz w:val="20"/>
                <w:szCs w:val="20"/>
              </w:rPr>
              <w:t>ACTUAMT</w:t>
            </w:r>
          </w:p>
        </w:tc>
        <w:tc>
          <w:tcPr>
            <w:tcW w:w="1525" w:type="dxa"/>
          </w:tcPr>
          <w:p w14:paraId="78966A21" w14:textId="77777777" w:rsidR="00A052DC" w:rsidRDefault="009F0A60">
            <w:pPr>
              <w:rPr>
                <w:rFonts w:ascii="黑体" w:eastAsia="黑体" w:hAnsi="黑体"/>
                <w:sz w:val="20"/>
                <w:szCs w:val="20"/>
              </w:rPr>
            </w:pPr>
            <w:r>
              <w:rPr>
                <w:rFonts w:ascii="黑体" w:eastAsia="黑体" w:hAnsi="黑体" w:hint="eastAsia"/>
                <w:sz w:val="20"/>
                <w:szCs w:val="20"/>
              </w:rPr>
              <w:t>实际付款金额</w:t>
            </w:r>
          </w:p>
        </w:tc>
        <w:tc>
          <w:tcPr>
            <w:tcW w:w="1387" w:type="dxa"/>
          </w:tcPr>
          <w:p w14:paraId="3D727936" w14:textId="77777777" w:rsidR="00A052DC" w:rsidRDefault="009F0A60">
            <w:pPr>
              <w:rPr>
                <w:rFonts w:ascii="黑体" w:eastAsia="黑体" w:hAnsi="黑体"/>
                <w:sz w:val="20"/>
                <w:szCs w:val="20"/>
              </w:rPr>
            </w:pPr>
            <w:r>
              <w:rPr>
                <w:rFonts w:ascii="黑体" w:eastAsia="黑体" w:hAnsi="黑体" w:hint="eastAsia"/>
                <w:sz w:val="20"/>
                <w:szCs w:val="20"/>
              </w:rPr>
              <w:t>数值型，22.0</w:t>
            </w:r>
          </w:p>
        </w:tc>
        <w:tc>
          <w:tcPr>
            <w:tcW w:w="3873" w:type="dxa"/>
          </w:tcPr>
          <w:p w14:paraId="6BA0E4F5" w14:textId="77777777" w:rsidR="00A052DC" w:rsidRDefault="009F0A60">
            <w:pPr>
              <w:rPr>
                <w:rFonts w:ascii="黑体" w:eastAsia="黑体" w:hAnsi="黑体"/>
                <w:sz w:val="20"/>
                <w:szCs w:val="20"/>
              </w:rPr>
            </w:pPr>
            <w:r>
              <w:rPr>
                <w:rFonts w:ascii="黑体" w:eastAsia="黑体" w:hAnsi="黑体" w:hint="eastAsia"/>
                <w:sz w:val="20"/>
                <w:szCs w:val="20"/>
              </w:rPr>
              <w:t>必须大于0，无小数位。</w:t>
            </w:r>
          </w:p>
        </w:tc>
      </w:tr>
      <w:tr w:rsidR="00A052DC" w14:paraId="50344552" w14:textId="77777777">
        <w:tc>
          <w:tcPr>
            <w:tcW w:w="1663" w:type="dxa"/>
          </w:tcPr>
          <w:p w14:paraId="3E189A13" w14:textId="77777777" w:rsidR="00A052DC" w:rsidRDefault="009F0A60">
            <w:pPr>
              <w:rPr>
                <w:rFonts w:ascii="黑体" w:eastAsia="黑体" w:hAnsi="黑体"/>
                <w:sz w:val="20"/>
                <w:szCs w:val="20"/>
              </w:rPr>
            </w:pPr>
            <w:r>
              <w:rPr>
                <w:rFonts w:ascii="黑体" w:eastAsia="黑体" w:hAnsi="黑体"/>
                <w:sz w:val="20"/>
                <w:szCs w:val="20"/>
              </w:rPr>
              <w:t>OUTCHARGECCY</w:t>
            </w:r>
          </w:p>
        </w:tc>
        <w:tc>
          <w:tcPr>
            <w:tcW w:w="1525" w:type="dxa"/>
          </w:tcPr>
          <w:p w14:paraId="50DB9F92" w14:textId="77777777" w:rsidR="00A052DC" w:rsidRDefault="009F0A60">
            <w:pPr>
              <w:rPr>
                <w:rFonts w:ascii="黑体" w:eastAsia="黑体" w:hAnsi="黑体"/>
                <w:sz w:val="20"/>
                <w:szCs w:val="20"/>
              </w:rPr>
            </w:pPr>
            <w:r>
              <w:rPr>
                <w:rFonts w:ascii="黑体" w:eastAsia="黑体" w:hAnsi="黑体" w:hint="eastAsia"/>
                <w:sz w:val="20"/>
                <w:szCs w:val="20"/>
              </w:rPr>
              <w:t>扣费币种</w:t>
            </w:r>
          </w:p>
        </w:tc>
        <w:tc>
          <w:tcPr>
            <w:tcW w:w="1387" w:type="dxa"/>
          </w:tcPr>
          <w:p w14:paraId="1485879F" w14:textId="77777777" w:rsidR="00A052DC" w:rsidRDefault="009F0A60">
            <w:pPr>
              <w:rPr>
                <w:rFonts w:ascii="黑体" w:eastAsia="黑体" w:hAnsi="黑体"/>
                <w:sz w:val="20"/>
                <w:szCs w:val="20"/>
              </w:rPr>
            </w:pPr>
            <w:r>
              <w:rPr>
                <w:rFonts w:ascii="黑体" w:eastAsia="黑体" w:hAnsi="黑体" w:hint="eastAsia"/>
                <w:sz w:val="20"/>
                <w:szCs w:val="20"/>
              </w:rPr>
              <w:t>字符型，3</w:t>
            </w:r>
          </w:p>
        </w:tc>
        <w:tc>
          <w:tcPr>
            <w:tcW w:w="3873" w:type="dxa"/>
          </w:tcPr>
          <w:p w14:paraId="61B0A199" w14:textId="77777777" w:rsidR="00A052DC" w:rsidRDefault="009F0A60">
            <w:pPr>
              <w:rPr>
                <w:rFonts w:ascii="黑体" w:eastAsia="黑体" w:hAnsi="黑体"/>
                <w:sz w:val="20"/>
                <w:szCs w:val="20"/>
              </w:rPr>
            </w:pPr>
            <w:r>
              <w:rPr>
                <w:rFonts w:ascii="黑体" w:eastAsia="黑体" w:hAnsi="黑体" w:hint="eastAsia"/>
                <w:sz w:val="20"/>
                <w:szCs w:val="20"/>
              </w:rPr>
              <w:t>必须在币种代码表里存在</w:t>
            </w:r>
            <w:r w:rsidR="009708FD">
              <w:rPr>
                <w:rFonts w:ascii="黑体" w:eastAsia="黑体" w:hAnsi="黑体" w:hint="eastAsia"/>
                <w:sz w:val="20"/>
                <w:szCs w:val="20"/>
              </w:rPr>
              <w:t>。</w:t>
            </w:r>
          </w:p>
        </w:tc>
      </w:tr>
      <w:tr w:rsidR="00A052DC" w14:paraId="0F4F6047" w14:textId="77777777">
        <w:tc>
          <w:tcPr>
            <w:tcW w:w="1663" w:type="dxa"/>
          </w:tcPr>
          <w:p w14:paraId="0054335C" w14:textId="77777777" w:rsidR="00A052DC" w:rsidRDefault="009F0A60">
            <w:pPr>
              <w:rPr>
                <w:rFonts w:ascii="黑体" w:eastAsia="黑体" w:hAnsi="黑体"/>
                <w:sz w:val="20"/>
                <w:szCs w:val="20"/>
              </w:rPr>
            </w:pPr>
            <w:r>
              <w:rPr>
                <w:rFonts w:ascii="黑体" w:eastAsia="黑体" w:hAnsi="黑体"/>
                <w:sz w:val="20"/>
                <w:szCs w:val="20"/>
              </w:rPr>
              <w:t>OUTCHARGEAMT</w:t>
            </w:r>
          </w:p>
        </w:tc>
        <w:tc>
          <w:tcPr>
            <w:tcW w:w="1525" w:type="dxa"/>
          </w:tcPr>
          <w:p w14:paraId="3942F85C" w14:textId="77777777" w:rsidR="00A052DC" w:rsidRDefault="009F0A60">
            <w:pPr>
              <w:rPr>
                <w:rFonts w:ascii="黑体" w:eastAsia="黑体" w:hAnsi="黑体"/>
                <w:sz w:val="20"/>
                <w:szCs w:val="20"/>
              </w:rPr>
            </w:pPr>
            <w:r>
              <w:rPr>
                <w:rFonts w:ascii="黑体" w:eastAsia="黑体" w:hAnsi="黑体" w:hint="eastAsia"/>
                <w:sz w:val="20"/>
                <w:szCs w:val="20"/>
              </w:rPr>
              <w:t>扣费金额</w:t>
            </w:r>
          </w:p>
        </w:tc>
        <w:tc>
          <w:tcPr>
            <w:tcW w:w="1387" w:type="dxa"/>
          </w:tcPr>
          <w:p w14:paraId="593EB425" w14:textId="77777777" w:rsidR="00A052DC" w:rsidRDefault="009F0A60">
            <w:pPr>
              <w:rPr>
                <w:rFonts w:ascii="黑体" w:eastAsia="黑体" w:hAnsi="黑体"/>
                <w:sz w:val="20"/>
                <w:szCs w:val="20"/>
              </w:rPr>
            </w:pPr>
            <w:r>
              <w:rPr>
                <w:rFonts w:ascii="黑体" w:eastAsia="黑体" w:hAnsi="黑体" w:hint="eastAsia"/>
                <w:sz w:val="20"/>
                <w:szCs w:val="20"/>
              </w:rPr>
              <w:t>数值型，22.0</w:t>
            </w:r>
          </w:p>
        </w:tc>
        <w:tc>
          <w:tcPr>
            <w:tcW w:w="3873" w:type="dxa"/>
          </w:tcPr>
          <w:p w14:paraId="5591C5AF" w14:textId="77777777" w:rsidR="00A052DC" w:rsidRDefault="009F0A60">
            <w:pPr>
              <w:rPr>
                <w:rFonts w:ascii="黑体" w:eastAsia="黑体" w:hAnsi="黑体"/>
                <w:sz w:val="20"/>
                <w:szCs w:val="20"/>
              </w:rPr>
            </w:pPr>
            <w:r>
              <w:rPr>
                <w:rFonts w:ascii="黑体" w:eastAsia="黑体" w:hAnsi="黑体" w:hint="eastAsia"/>
                <w:sz w:val="20"/>
                <w:szCs w:val="20"/>
              </w:rPr>
              <w:t>允许大于等于0。</w:t>
            </w:r>
          </w:p>
          <w:p w14:paraId="5459A709" w14:textId="77777777" w:rsidR="00A052DC" w:rsidRDefault="009F0A60">
            <w:pPr>
              <w:rPr>
                <w:rFonts w:ascii="黑体" w:eastAsia="黑体" w:hAnsi="黑体"/>
                <w:sz w:val="20"/>
                <w:szCs w:val="20"/>
              </w:rPr>
            </w:pPr>
            <w:r>
              <w:rPr>
                <w:rFonts w:ascii="黑体" w:eastAsia="黑体" w:hAnsi="黑体" w:hint="eastAsia"/>
                <w:sz w:val="20"/>
                <w:szCs w:val="20"/>
              </w:rPr>
              <w:t>无小数位。</w:t>
            </w:r>
          </w:p>
          <w:p w14:paraId="0E69E3A8" w14:textId="77777777" w:rsidR="00A052DC" w:rsidRDefault="009F0A60">
            <w:pPr>
              <w:rPr>
                <w:rFonts w:ascii="黑体" w:eastAsia="黑体" w:hAnsi="黑体"/>
                <w:sz w:val="20"/>
                <w:szCs w:val="20"/>
              </w:rPr>
            </w:pPr>
            <w:r>
              <w:rPr>
                <w:rFonts w:ascii="黑体" w:eastAsia="黑体" w:hAnsi="黑体" w:hint="eastAsia"/>
                <w:sz w:val="20"/>
                <w:szCs w:val="20"/>
              </w:rPr>
              <w:t>若币种不为空则对应金额必须</w:t>
            </w:r>
            <w:r>
              <w:rPr>
                <w:rFonts w:ascii="黑体" w:eastAsia="黑体" w:hAnsi="黑体"/>
                <w:sz w:val="20"/>
                <w:szCs w:val="20"/>
              </w:rPr>
              <w:t>&gt;</w:t>
            </w:r>
            <w:r>
              <w:rPr>
                <w:rFonts w:ascii="黑体" w:eastAsia="黑体" w:hAnsi="黑体" w:hint="eastAsia"/>
                <w:sz w:val="20"/>
                <w:szCs w:val="20"/>
              </w:rPr>
              <w:t>0；若金额</w:t>
            </w:r>
            <w:r>
              <w:rPr>
                <w:rFonts w:ascii="黑体" w:eastAsia="黑体" w:hAnsi="黑体"/>
                <w:sz w:val="20"/>
                <w:szCs w:val="20"/>
              </w:rPr>
              <w:t>&gt;</w:t>
            </w:r>
            <w:r>
              <w:rPr>
                <w:rFonts w:ascii="黑体" w:eastAsia="黑体" w:hAnsi="黑体" w:hint="eastAsia"/>
                <w:sz w:val="20"/>
                <w:szCs w:val="20"/>
              </w:rPr>
              <w:t>0，则对应币种不能为空。</w:t>
            </w:r>
          </w:p>
        </w:tc>
      </w:tr>
      <w:tr w:rsidR="00A052DC" w14:paraId="774AA67D" w14:textId="77777777">
        <w:tc>
          <w:tcPr>
            <w:tcW w:w="1663" w:type="dxa"/>
          </w:tcPr>
          <w:p w14:paraId="732D38C4" w14:textId="77777777" w:rsidR="00A052DC" w:rsidRDefault="009F0A60">
            <w:pPr>
              <w:rPr>
                <w:rFonts w:ascii="黑体" w:eastAsia="黑体" w:hAnsi="黑体"/>
                <w:sz w:val="20"/>
                <w:szCs w:val="20"/>
              </w:rPr>
            </w:pPr>
            <w:r>
              <w:rPr>
                <w:rFonts w:ascii="黑体" w:eastAsia="黑体" w:hAnsi="黑体"/>
                <w:sz w:val="20"/>
                <w:szCs w:val="20"/>
              </w:rPr>
              <w:t>LCBGNO</w:t>
            </w:r>
          </w:p>
        </w:tc>
        <w:tc>
          <w:tcPr>
            <w:tcW w:w="1525" w:type="dxa"/>
          </w:tcPr>
          <w:p w14:paraId="28E7A127" w14:textId="77777777" w:rsidR="00A052DC" w:rsidRDefault="009F0A60">
            <w:pPr>
              <w:rPr>
                <w:rFonts w:ascii="黑体" w:eastAsia="黑体" w:hAnsi="黑体"/>
                <w:sz w:val="20"/>
                <w:szCs w:val="20"/>
              </w:rPr>
            </w:pPr>
            <w:r>
              <w:rPr>
                <w:rFonts w:ascii="黑体" w:eastAsia="黑体" w:hAnsi="黑体" w:hint="eastAsia"/>
                <w:sz w:val="20"/>
                <w:szCs w:val="20"/>
              </w:rPr>
              <w:t>信用证/保函编号</w:t>
            </w:r>
          </w:p>
        </w:tc>
        <w:tc>
          <w:tcPr>
            <w:tcW w:w="1387" w:type="dxa"/>
          </w:tcPr>
          <w:p w14:paraId="591E2903" w14:textId="77777777" w:rsidR="00A052DC" w:rsidRDefault="009F0A60">
            <w:pPr>
              <w:rPr>
                <w:rFonts w:ascii="黑体" w:eastAsia="黑体" w:hAnsi="黑体"/>
                <w:sz w:val="20"/>
                <w:szCs w:val="20"/>
              </w:rPr>
            </w:pPr>
            <w:r>
              <w:rPr>
                <w:rFonts w:ascii="黑体" w:eastAsia="黑体" w:hAnsi="黑体" w:hint="eastAsia"/>
                <w:sz w:val="20"/>
                <w:szCs w:val="20"/>
              </w:rPr>
              <w:t>字符型，20</w:t>
            </w:r>
          </w:p>
        </w:tc>
        <w:tc>
          <w:tcPr>
            <w:tcW w:w="3873" w:type="dxa"/>
          </w:tcPr>
          <w:p w14:paraId="75183BBE" w14:textId="77777777" w:rsidR="00A052DC" w:rsidRDefault="00DD6AA3">
            <w:pPr>
              <w:rPr>
                <w:rFonts w:ascii="黑体" w:eastAsia="黑体" w:hAnsi="黑体"/>
                <w:sz w:val="20"/>
                <w:szCs w:val="20"/>
              </w:rPr>
            </w:pPr>
            <w:r>
              <w:rPr>
                <w:rFonts w:ascii="黑体" w:eastAsia="黑体" w:hAnsi="黑体" w:hint="eastAsia"/>
                <w:sz w:val="20"/>
                <w:szCs w:val="20"/>
              </w:rPr>
              <w:t>非必填项</w:t>
            </w:r>
            <w:r w:rsidR="009F0A60">
              <w:rPr>
                <w:rFonts w:ascii="黑体" w:eastAsia="黑体" w:hAnsi="黑体" w:hint="eastAsia"/>
                <w:sz w:val="20"/>
                <w:szCs w:val="20"/>
              </w:rPr>
              <w:t>，</w:t>
            </w:r>
          </w:p>
          <w:p w14:paraId="3DB8D831" w14:textId="77777777" w:rsidR="00A052DC" w:rsidRDefault="009F0A60">
            <w:pPr>
              <w:rPr>
                <w:rFonts w:ascii="黑体" w:eastAsia="黑体" w:hAnsi="黑体"/>
                <w:sz w:val="20"/>
                <w:szCs w:val="20"/>
              </w:rPr>
            </w:pPr>
            <w:r>
              <w:rPr>
                <w:rFonts w:ascii="黑体" w:eastAsia="黑体" w:hAnsi="黑体" w:hint="eastAsia"/>
                <w:sz w:val="20"/>
                <w:szCs w:val="20"/>
              </w:rPr>
              <w:t>当有开证日期或期限时必填。</w:t>
            </w:r>
          </w:p>
        </w:tc>
      </w:tr>
      <w:tr w:rsidR="00A052DC" w14:paraId="1CC232A6" w14:textId="77777777">
        <w:tc>
          <w:tcPr>
            <w:tcW w:w="1663" w:type="dxa"/>
          </w:tcPr>
          <w:p w14:paraId="05E20FAF" w14:textId="77777777" w:rsidR="00A052DC" w:rsidRDefault="009F0A60">
            <w:pPr>
              <w:rPr>
                <w:rFonts w:ascii="黑体" w:eastAsia="黑体" w:hAnsi="黑体"/>
                <w:sz w:val="20"/>
                <w:szCs w:val="20"/>
              </w:rPr>
            </w:pPr>
            <w:r>
              <w:rPr>
                <w:rFonts w:ascii="黑体" w:eastAsia="黑体" w:hAnsi="黑体"/>
                <w:sz w:val="20"/>
                <w:szCs w:val="20"/>
              </w:rPr>
              <w:t>ISSDATE</w:t>
            </w:r>
          </w:p>
        </w:tc>
        <w:tc>
          <w:tcPr>
            <w:tcW w:w="1525" w:type="dxa"/>
          </w:tcPr>
          <w:p w14:paraId="4C80733B" w14:textId="77777777" w:rsidR="00A052DC" w:rsidRDefault="009F0A60">
            <w:pPr>
              <w:rPr>
                <w:rFonts w:ascii="黑体" w:eastAsia="黑体" w:hAnsi="黑体"/>
                <w:sz w:val="20"/>
                <w:szCs w:val="20"/>
              </w:rPr>
            </w:pPr>
            <w:r>
              <w:rPr>
                <w:rFonts w:ascii="黑体" w:eastAsia="黑体" w:hAnsi="黑体" w:hint="eastAsia"/>
                <w:sz w:val="20"/>
                <w:szCs w:val="20"/>
              </w:rPr>
              <w:t>开证日期</w:t>
            </w:r>
          </w:p>
        </w:tc>
        <w:tc>
          <w:tcPr>
            <w:tcW w:w="1387" w:type="dxa"/>
          </w:tcPr>
          <w:p w14:paraId="76D18349" w14:textId="77777777" w:rsidR="00A052DC" w:rsidRDefault="009F0A60">
            <w:pPr>
              <w:rPr>
                <w:rFonts w:ascii="黑体" w:eastAsia="黑体" w:hAnsi="黑体"/>
                <w:sz w:val="20"/>
                <w:szCs w:val="20"/>
              </w:rPr>
            </w:pPr>
            <w:r>
              <w:rPr>
                <w:rFonts w:ascii="黑体" w:eastAsia="黑体" w:hAnsi="黑体" w:hint="eastAsia"/>
                <w:sz w:val="20"/>
                <w:szCs w:val="20"/>
              </w:rPr>
              <w:t>日期型，</w:t>
            </w:r>
            <w:r>
              <w:rPr>
                <w:rFonts w:ascii="黑体" w:eastAsia="黑体" w:hAnsi="黑体"/>
                <w:sz w:val="20"/>
                <w:szCs w:val="20"/>
              </w:rPr>
              <w:t>8</w:t>
            </w:r>
          </w:p>
          <w:p w14:paraId="5EA67417" w14:textId="77777777" w:rsidR="00A052DC" w:rsidRDefault="009F0A60">
            <w:pPr>
              <w:rPr>
                <w:rFonts w:ascii="黑体" w:eastAsia="黑体" w:hAnsi="黑体"/>
                <w:sz w:val="20"/>
                <w:szCs w:val="20"/>
              </w:rPr>
            </w:pPr>
            <w:r>
              <w:rPr>
                <w:rFonts w:ascii="黑体" w:eastAsia="黑体" w:hAnsi="黑体"/>
                <w:sz w:val="20"/>
                <w:szCs w:val="20"/>
              </w:rPr>
              <w:t>YYYYMMDD</w:t>
            </w:r>
          </w:p>
        </w:tc>
        <w:tc>
          <w:tcPr>
            <w:tcW w:w="3873" w:type="dxa"/>
          </w:tcPr>
          <w:p w14:paraId="32C077D7" w14:textId="77777777" w:rsidR="00A052DC" w:rsidRDefault="009F0A60">
            <w:pPr>
              <w:rPr>
                <w:rFonts w:ascii="黑体" w:eastAsia="黑体" w:hAnsi="黑体"/>
                <w:sz w:val="20"/>
                <w:szCs w:val="20"/>
              </w:rPr>
            </w:pPr>
            <w:r>
              <w:rPr>
                <w:rFonts w:ascii="黑体" w:eastAsia="黑体" w:hAnsi="黑体" w:hint="eastAsia"/>
                <w:sz w:val="20"/>
                <w:szCs w:val="20"/>
              </w:rPr>
              <w:t>当信用证/保函编号输入时必须输入，否则不可输入。</w:t>
            </w:r>
          </w:p>
        </w:tc>
      </w:tr>
      <w:tr w:rsidR="00A052DC" w14:paraId="6997B5BD" w14:textId="77777777">
        <w:tc>
          <w:tcPr>
            <w:tcW w:w="1663" w:type="dxa"/>
          </w:tcPr>
          <w:p w14:paraId="611DBEFA" w14:textId="77777777" w:rsidR="00A052DC" w:rsidRDefault="009F0A60">
            <w:pPr>
              <w:rPr>
                <w:rFonts w:ascii="黑体" w:eastAsia="黑体" w:hAnsi="黑体"/>
                <w:sz w:val="20"/>
                <w:szCs w:val="20"/>
              </w:rPr>
            </w:pPr>
            <w:r>
              <w:rPr>
                <w:rFonts w:ascii="黑体" w:eastAsia="黑体" w:hAnsi="黑体"/>
                <w:sz w:val="20"/>
                <w:szCs w:val="20"/>
              </w:rPr>
              <w:t>TENOR</w:t>
            </w:r>
          </w:p>
        </w:tc>
        <w:tc>
          <w:tcPr>
            <w:tcW w:w="1525" w:type="dxa"/>
          </w:tcPr>
          <w:p w14:paraId="4D347142" w14:textId="77777777" w:rsidR="00A052DC" w:rsidRDefault="009F0A60">
            <w:pPr>
              <w:rPr>
                <w:rFonts w:ascii="黑体" w:eastAsia="黑体" w:hAnsi="黑体"/>
                <w:sz w:val="20"/>
                <w:szCs w:val="20"/>
              </w:rPr>
            </w:pPr>
            <w:r>
              <w:rPr>
                <w:rFonts w:ascii="黑体" w:eastAsia="黑体" w:hAnsi="黑体" w:hint="eastAsia"/>
                <w:sz w:val="20"/>
                <w:szCs w:val="20"/>
              </w:rPr>
              <w:t>期限</w:t>
            </w:r>
          </w:p>
        </w:tc>
        <w:tc>
          <w:tcPr>
            <w:tcW w:w="1387" w:type="dxa"/>
          </w:tcPr>
          <w:p w14:paraId="6FE9D527" w14:textId="77777777" w:rsidR="00A052DC" w:rsidRDefault="009F0A60">
            <w:pPr>
              <w:rPr>
                <w:rFonts w:ascii="黑体" w:eastAsia="黑体" w:hAnsi="黑体"/>
                <w:sz w:val="20"/>
                <w:szCs w:val="20"/>
              </w:rPr>
            </w:pPr>
            <w:r>
              <w:rPr>
                <w:rFonts w:ascii="黑体" w:eastAsia="黑体" w:hAnsi="黑体" w:hint="eastAsia"/>
                <w:sz w:val="20"/>
                <w:szCs w:val="20"/>
              </w:rPr>
              <w:t>数值型，10</w:t>
            </w:r>
          </w:p>
          <w:p w14:paraId="78A333BF" w14:textId="77777777" w:rsidR="00A052DC" w:rsidRDefault="009F0A60">
            <w:pPr>
              <w:rPr>
                <w:rFonts w:ascii="黑体" w:eastAsia="黑体" w:hAnsi="黑体"/>
                <w:sz w:val="20"/>
                <w:szCs w:val="20"/>
              </w:rPr>
            </w:pPr>
            <w:r>
              <w:rPr>
                <w:rFonts w:ascii="黑体" w:eastAsia="黑体" w:hAnsi="黑体" w:hint="eastAsia"/>
                <w:sz w:val="20"/>
                <w:szCs w:val="20"/>
              </w:rPr>
              <w:t>单位为天</w:t>
            </w:r>
          </w:p>
        </w:tc>
        <w:tc>
          <w:tcPr>
            <w:tcW w:w="3873" w:type="dxa"/>
          </w:tcPr>
          <w:p w14:paraId="28052CE3" w14:textId="77777777" w:rsidR="00A052DC" w:rsidRDefault="009F0A60">
            <w:pPr>
              <w:rPr>
                <w:rFonts w:ascii="黑体" w:eastAsia="黑体" w:hAnsi="黑体"/>
                <w:sz w:val="20"/>
                <w:szCs w:val="20"/>
              </w:rPr>
            </w:pPr>
            <w:r>
              <w:rPr>
                <w:rFonts w:ascii="黑体" w:eastAsia="黑体" w:hAnsi="黑体" w:hint="eastAsia"/>
                <w:sz w:val="20"/>
                <w:szCs w:val="20"/>
              </w:rPr>
              <w:t>仅当有信用证/保函编号时才可有值。</w:t>
            </w:r>
          </w:p>
        </w:tc>
      </w:tr>
    </w:tbl>
    <w:p w14:paraId="7C23F31E" w14:textId="77777777" w:rsidR="00A052DC" w:rsidRDefault="009F0A60">
      <w:pPr>
        <w:pStyle w:val="3"/>
        <w:ind w:left="0"/>
        <w:rPr>
          <w:rFonts w:ascii="Times New Roman" w:hAnsi="Times New Roman"/>
        </w:rPr>
      </w:pPr>
      <w:bookmarkStart w:id="979" w:name="_Toc454386777"/>
      <w:bookmarkStart w:id="980" w:name="_Toc91455271"/>
      <w:bookmarkStart w:id="981" w:name="_Toc101684444"/>
      <w:r>
        <w:rPr>
          <w:rFonts w:ascii="Times New Roman" w:hAnsi="Times New Roman" w:hint="eastAsia"/>
        </w:rPr>
        <w:t>对外付款</w:t>
      </w:r>
      <w:r>
        <w:rPr>
          <w:rFonts w:ascii="Times New Roman" w:hAnsi="Times New Roman"/>
        </w:rPr>
        <w:t>/</w:t>
      </w:r>
      <w:r>
        <w:rPr>
          <w:rFonts w:ascii="Times New Roman" w:hAnsi="Times New Roman" w:hint="eastAsia"/>
        </w:rPr>
        <w:t>承兑通知书</w:t>
      </w:r>
      <w:r>
        <w:rPr>
          <w:rFonts w:ascii="Times New Roman" w:hAnsi="Times New Roman"/>
        </w:rPr>
        <w:t>-</w:t>
      </w:r>
      <w:r>
        <w:rPr>
          <w:rFonts w:ascii="Times New Roman" w:hAnsi="Times New Roman" w:hint="eastAsia"/>
        </w:rPr>
        <w:t>申报信息</w:t>
      </w:r>
      <w:bookmarkEnd w:id="979"/>
      <w:bookmarkEnd w:id="980"/>
      <w:bookmarkEnd w:id="981"/>
    </w:p>
    <w:p w14:paraId="0A32AF7A" w14:textId="77777777" w:rsidR="00A052DC" w:rsidRDefault="009F0A60" w:rsidP="0020251D">
      <w:pPr>
        <w:pStyle w:val="4"/>
        <w:numPr>
          <w:ilvl w:val="3"/>
          <w:numId w:val="1"/>
        </w:numPr>
        <w:jc w:val="left"/>
      </w:pPr>
      <w:bookmarkStart w:id="982" w:name="_Toc454386778"/>
      <w:r>
        <w:rPr>
          <w:rFonts w:hint="eastAsia"/>
        </w:rPr>
        <w:t>数据术语解释</w:t>
      </w:r>
      <w:bookmarkEnd w:id="982"/>
    </w:p>
    <w:tbl>
      <w:tblPr>
        <w:tblW w:w="861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26"/>
        <w:gridCol w:w="7087"/>
      </w:tblGrid>
      <w:tr w:rsidR="00A052DC" w14:paraId="3D9D36C3" w14:textId="77777777">
        <w:tc>
          <w:tcPr>
            <w:tcW w:w="1526" w:type="dxa"/>
          </w:tcPr>
          <w:p w14:paraId="55828C3F" w14:textId="77777777" w:rsidR="00A052DC" w:rsidRDefault="009F0A60">
            <w:pPr>
              <w:jc w:val="center"/>
              <w:rPr>
                <w:rFonts w:ascii="黑体" w:eastAsia="黑体" w:hAnsi="黑体"/>
                <w:b/>
                <w:sz w:val="20"/>
                <w:szCs w:val="20"/>
              </w:rPr>
            </w:pPr>
            <w:r>
              <w:rPr>
                <w:rFonts w:ascii="黑体" w:eastAsia="黑体" w:hAnsi="黑体" w:hint="eastAsia"/>
                <w:b/>
                <w:sz w:val="20"/>
                <w:szCs w:val="20"/>
              </w:rPr>
              <w:t>申报数据项</w:t>
            </w:r>
          </w:p>
        </w:tc>
        <w:tc>
          <w:tcPr>
            <w:tcW w:w="7087" w:type="dxa"/>
          </w:tcPr>
          <w:p w14:paraId="0C4B3E2F" w14:textId="77777777" w:rsidR="00A052DC" w:rsidRDefault="009F0A60">
            <w:pPr>
              <w:jc w:val="center"/>
              <w:rPr>
                <w:rFonts w:ascii="黑体" w:eastAsia="黑体" w:hAnsi="黑体"/>
                <w:b/>
                <w:sz w:val="20"/>
                <w:szCs w:val="20"/>
              </w:rPr>
            </w:pPr>
            <w:r>
              <w:rPr>
                <w:rFonts w:ascii="黑体" w:eastAsia="黑体" w:hAnsi="黑体" w:hint="eastAsia"/>
                <w:b/>
                <w:sz w:val="20"/>
                <w:szCs w:val="20"/>
              </w:rPr>
              <w:t>定义</w:t>
            </w:r>
          </w:p>
        </w:tc>
      </w:tr>
      <w:tr w:rsidR="00A052DC" w14:paraId="252B150C" w14:textId="77777777">
        <w:trPr>
          <w:cantSplit/>
        </w:trPr>
        <w:tc>
          <w:tcPr>
            <w:tcW w:w="1526" w:type="dxa"/>
          </w:tcPr>
          <w:p w14:paraId="534ABEB1" w14:textId="77777777" w:rsidR="00A052DC" w:rsidRDefault="009F0A60">
            <w:pPr>
              <w:rPr>
                <w:rFonts w:ascii="黑体" w:eastAsia="黑体" w:hAnsi="黑体"/>
                <w:sz w:val="20"/>
                <w:szCs w:val="20"/>
              </w:rPr>
            </w:pPr>
            <w:r>
              <w:rPr>
                <w:rFonts w:ascii="黑体" w:eastAsia="黑体" w:hAnsi="黑体" w:hint="eastAsia"/>
                <w:sz w:val="20"/>
                <w:szCs w:val="20"/>
              </w:rPr>
              <w:t>收款人常驻国家（地区）名称</w:t>
            </w:r>
          </w:p>
        </w:tc>
        <w:tc>
          <w:tcPr>
            <w:tcW w:w="7087" w:type="dxa"/>
          </w:tcPr>
          <w:p w14:paraId="75825CB2" w14:textId="77777777" w:rsidR="00A052DC" w:rsidRDefault="009F0A60">
            <w:pPr>
              <w:rPr>
                <w:rFonts w:ascii="黑体" w:eastAsia="黑体" w:hAnsi="黑体"/>
                <w:sz w:val="20"/>
                <w:szCs w:val="20"/>
              </w:rPr>
            </w:pPr>
            <w:r>
              <w:rPr>
                <w:rFonts w:ascii="黑体" w:eastAsia="黑体" w:hAnsi="黑体" w:hint="eastAsia"/>
                <w:sz w:val="20"/>
                <w:szCs w:val="20"/>
              </w:rPr>
              <w:t>指收款人所在国家（地区）的名称。</w:t>
            </w:r>
          </w:p>
        </w:tc>
      </w:tr>
      <w:tr w:rsidR="00A052DC" w14:paraId="7A382D98" w14:textId="77777777">
        <w:trPr>
          <w:cantSplit/>
        </w:trPr>
        <w:tc>
          <w:tcPr>
            <w:tcW w:w="1526" w:type="dxa"/>
          </w:tcPr>
          <w:p w14:paraId="00D334EC" w14:textId="77777777" w:rsidR="00A052DC" w:rsidRDefault="009F0A60">
            <w:pPr>
              <w:rPr>
                <w:rFonts w:ascii="黑体" w:eastAsia="黑体" w:hAnsi="黑体"/>
                <w:sz w:val="20"/>
                <w:szCs w:val="20"/>
              </w:rPr>
            </w:pPr>
            <w:r>
              <w:rPr>
                <w:rFonts w:ascii="黑体" w:eastAsia="黑体" w:hAnsi="黑体" w:hint="eastAsia"/>
                <w:sz w:val="20"/>
                <w:szCs w:val="20"/>
              </w:rPr>
              <w:t>收款人常驻国家（地区）代码</w:t>
            </w:r>
          </w:p>
        </w:tc>
        <w:tc>
          <w:tcPr>
            <w:tcW w:w="7087" w:type="dxa"/>
          </w:tcPr>
          <w:p w14:paraId="41A1E0C1" w14:textId="77777777" w:rsidR="00A052DC" w:rsidRDefault="009F0A60">
            <w:pPr>
              <w:rPr>
                <w:rFonts w:ascii="黑体" w:eastAsia="黑体" w:hAnsi="黑体"/>
                <w:sz w:val="20"/>
                <w:szCs w:val="20"/>
              </w:rPr>
            </w:pPr>
            <w:r>
              <w:rPr>
                <w:rFonts w:ascii="黑体" w:eastAsia="黑体" w:hAnsi="黑体" w:hint="eastAsia"/>
                <w:sz w:val="20"/>
                <w:szCs w:val="20"/>
              </w:rPr>
              <w:t>指收款人所在国家（地区）对应的代码。</w:t>
            </w:r>
          </w:p>
        </w:tc>
      </w:tr>
      <w:tr w:rsidR="00A052DC" w14:paraId="0788B732" w14:textId="77777777">
        <w:trPr>
          <w:cantSplit/>
        </w:trPr>
        <w:tc>
          <w:tcPr>
            <w:tcW w:w="1526" w:type="dxa"/>
          </w:tcPr>
          <w:p w14:paraId="583A1196" w14:textId="77777777" w:rsidR="00A052DC" w:rsidRDefault="009F0A60">
            <w:pPr>
              <w:rPr>
                <w:rFonts w:ascii="黑体" w:eastAsia="黑体" w:hAnsi="黑体"/>
                <w:sz w:val="20"/>
                <w:szCs w:val="20"/>
              </w:rPr>
            </w:pPr>
            <w:r>
              <w:rPr>
                <w:rFonts w:ascii="黑体" w:eastAsia="黑体" w:hAnsi="黑体" w:hint="eastAsia"/>
                <w:sz w:val="20"/>
                <w:szCs w:val="20"/>
              </w:rPr>
              <w:t>交易编码1</w:t>
            </w:r>
          </w:p>
        </w:tc>
        <w:tc>
          <w:tcPr>
            <w:tcW w:w="7087" w:type="dxa"/>
          </w:tcPr>
          <w:p w14:paraId="46C17A96" w14:textId="77777777" w:rsidR="00A052DC" w:rsidRDefault="009F0A60">
            <w:pPr>
              <w:rPr>
                <w:rFonts w:ascii="黑体" w:eastAsia="黑体" w:hAnsi="黑体"/>
                <w:sz w:val="20"/>
                <w:szCs w:val="20"/>
              </w:rPr>
            </w:pPr>
            <w:r>
              <w:rPr>
                <w:rFonts w:ascii="黑体" w:eastAsia="黑体" w:hAnsi="黑体" w:hint="eastAsia"/>
                <w:sz w:val="20"/>
                <w:szCs w:val="20"/>
              </w:rPr>
              <w:t>指本笔对外付款涉及的国际收支交易对应的代码。如果本笔对外付款为多种交易性质，则本交易编码表示最大金额交易对应的国际收支交易性质；如果本笔对外付款涉及进口付汇核查项下交易，则核查项下交易视同最大金额交易处理；如果本笔对外付款为退款，则应填写本笔付款对应原涉外收入的国际收支交易编码。</w:t>
            </w:r>
          </w:p>
        </w:tc>
      </w:tr>
      <w:tr w:rsidR="00A052DC" w14:paraId="37EC60E2" w14:textId="77777777">
        <w:trPr>
          <w:cantSplit/>
        </w:trPr>
        <w:tc>
          <w:tcPr>
            <w:tcW w:w="1526" w:type="dxa"/>
          </w:tcPr>
          <w:p w14:paraId="22E89F74" w14:textId="77777777" w:rsidR="00A052DC" w:rsidRDefault="009F0A60">
            <w:pPr>
              <w:rPr>
                <w:rFonts w:ascii="黑体" w:eastAsia="黑体" w:hAnsi="黑体"/>
                <w:sz w:val="20"/>
                <w:szCs w:val="20"/>
              </w:rPr>
            </w:pPr>
            <w:r>
              <w:rPr>
                <w:rFonts w:ascii="黑体" w:eastAsia="黑体" w:hAnsi="黑体" w:hint="eastAsia"/>
                <w:sz w:val="20"/>
                <w:szCs w:val="20"/>
              </w:rPr>
              <w:t>交易编码2</w:t>
            </w:r>
          </w:p>
        </w:tc>
        <w:tc>
          <w:tcPr>
            <w:tcW w:w="7087" w:type="dxa"/>
          </w:tcPr>
          <w:p w14:paraId="5139F803" w14:textId="77777777" w:rsidR="00A052DC" w:rsidRDefault="009F0A60">
            <w:pPr>
              <w:rPr>
                <w:rFonts w:ascii="黑体" w:eastAsia="黑体" w:hAnsi="黑体"/>
                <w:sz w:val="20"/>
                <w:szCs w:val="20"/>
              </w:rPr>
            </w:pPr>
            <w:r>
              <w:rPr>
                <w:rFonts w:ascii="黑体" w:eastAsia="黑体" w:hAnsi="黑体" w:hint="eastAsia"/>
                <w:sz w:val="20"/>
                <w:szCs w:val="20"/>
              </w:rPr>
              <w:t>指本笔对外付款涉及的国际收支交易对应的代码。如果本笔付款为多种交易性质，则本交易编码表示次大金额交易对应的国际收支交易性质。</w:t>
            </w:r>
          </w:p>
        </w:tc>
      </w:tr>
      <w:tr w:rsidR="00A052DC" w14:paraId="42B6394D" w14:textId="77777777">
        <w:trPr>
          <w:cantSplit/>
        </w:trPr>
        <w:tc>
          <w:tcPr>
            <w:tcW w:w="1526" w:type="dxa"/>
          </w:tcPr>
          <w:p w14:paraId="024D971F" w14:textId="77777777" w:rsidR="00A052DC" w:rsidRDefault="009F0A60">
            <w:pPr>
              <w:rPr>
                <w:rFonts w:ascii="黑体" w:eastAsia="黑体" w:hAnsi="黑体"/>
                <w:sz w:val="20"/>
                <w:szCs w:val="20"/>
              </w:rPr>
            </w:pPr>
            <w:r>
              <w:rPr>
                <w:rFonts w:ascii="黑体" w:eastAsia="黑体" w:hAnsi="黑体" w:hint="eastAsia"/>
                <w:sz w:val="20"/>
                <w:szCs w:val="20"/>
              </w:rPr>
              <w:t>相应币种1</w:t>
            </w:r>
          </w:p>
        </w:tc>
        <w:tc>
          <w:tcPr>
            <w:tcW w:w="7087" w:type="dxa"/>
          </w:tcPr>
          <w:p w14:paraId="75AB2BA4" w14:textId="77777777" w:rsidR="00A052DC" w:rsidRDefault="009F0A60">
            <w:pPr>
              <w:rPr>
                <w:rFonts w:ascii="黑体" w:eastAsia="黑体" w:hAnsi="黑体"/>
                <w:sz w:val="20"/>
                <w:szCs w:val="20"/>
              </w:rPr>
            </w:pPr>
            <w:r>
              <w:rPr>
                <w:rFonts w:ascii="黑体" w:eastAsia="黑体" w:hAnsi="黑体" w:hint="eastAsia"/>
                <w:sz w:val="20"/>
                <w:szCs w:val="20"/>
              </w:rPr>
              <w:t>同付款币种。</w:t>
            </w:r>
          </w:p>
        </w:tc>
      </w:tr>
      <w:tr w:rsidR="00A052DC" w14:paraId="01E7217A" w14:textId="77777777">
        <w:trPr>
          <w:cantSplit/>
        </w:trPr>
        <w:tc>
          <w:tcPr>
            <w:tcW w:w="1526" w:type="dxa"/>
          </w:tcPr>
          <w:p w14:paraId="63C12027" w14:textId="77777777" w:rsidR="00A052DC" w:rsidRDefault="009F0A60">
            <w:pPr>
              <w:rPr>
                <w:rFonts w:ascii="黑体" w:eastAsia="黑体" w:hAnsi="黑体"/>
                <w:sz w:val="20"/>
                <w:szCs w:val="20"/>
              </w:rPr>
            </w:pPr>
            <w:r>
              <w:rPr>
                <w:rFonts w:ascii="黑体" w:eastAsia="黑体" w:hAnsi="黑体" w:hint="eastAsia"/>
                <w:sz w:val="20"/>
                <w:szCs w:val="20"/>
              </w:rPr>
              <w:t>相应币种2</w:t>
            </w:r>
          </w:p>
        </w:tc>
        <w:tc>
          <w:tcPr>
            <w:tcW w:w="7087" w:type="dxa"/>
          </w:tcPr>
          <w:p w14:paraId="02FB6891" w14:textId="77777777" w:rsidR="00A052DC" w:rsidRDefault="009F0A60">
            <w:pPr>
              <w:rPr>
                <w:rFonts w:ascii="黑体" w:eastAsia="黑体" w:hAnsi="黑体"/>
                <w:sz w:val="20"/>
                <w:szCs w:val="20"/>
              </w:rPr>
            </w:pPr>
            <w:r>
              <w:rPr>
                <w:rFonts w:ascii="黑体" w:eastAsia="黑体" w:hAnsi="黑体" w:hint="eastAsia"/>
                <w:sz w:val="20"/>
                <w:szCs w:val="20"/>
              </w:rPr>
              <w:t>同付款币种。</w:t>
            </w:r>
          </w:p>
        </w:tc>
      </w:tr>
      <w:tr w:rsidR="00A052DC" w14:paraId="6D5094B0" w14:textId="77777777">
        <w:trPr>
          <w:cantSplit/>
        </w:trPr>
        <w:tc>
          <w:tcPr>
            <w:tcW w:w="1526" w:type="dxa"/>
          </w:tcPr>
          <w:p w14:paraId="1AFBEB8A" w14:textId="77777777" w:rsidR="00A052DC" w:rsidRDefault="009F0A60">
            <w:pPr>
              <w:rPr>
                <w:rFonts w:ascii="黑体" w:eastAsia="黑体" w:hAnsi="黑体"/>
                <w:sz w:val="20"/>
                <w:szCs w:val="20"/>
              </w:rPr>
            </w:pPr>
            <w:r>
              <w:rPr>
                <w:rFonts w:ascii="黑体" w:eastAsia="黑体" w:hAnsi="黑体" w:hint="eastAsia"/>
                <w:sz w:val="20"/>
                <w:szCs w:val="20"/>
              </w:rPr>
              <w:t>相应金额1</w:t>
            </w:r>
          </w:p>
        </w:tc>
        <w:tc>
          <w:tcPr>
            <w:tcW w:w="7087" w:type="dxa"/>
          </w:tcPr>
          <w:p w14:paraId="4D87C9AB" w14:textId="77777777" w:rsidR="00A052DC" w:rsidRDefault="009F0A60">
            <w:pPr>
              <w:rPr>
                <w:rFonts w:ascii="黑体" w:eastAsia="黑体" w:hAnsi="黑体"/>
                <w:sz w:val="20"/>
                <w:szCs w:val="20"/>
              </w:rPr>
            </w:pPr>
            <w:r>
              <w:rPr>
                <w:rFonts w:ascii="黑体" w:eastAsia="黑体" w:hAnsi="黑体" w:hint="eastAsia"/>
                <w:sz w:val="20"/>
                <w:szCs w:val="20"/>
              </w:rPr>
              <w:t>与申报主体填报的交易编码1相对应。如果本笔对外付款为多种交易性质，则本金额为最大金额交易相应金额。如果付款涉及进口付汇核查项下交易，则核查项下交易视同最大金额交易处理。</w:t>
            </w:r>
          </w:p>
        </w:tc>
      </w:tr>
      <w:tr w:rsidR="00A052DC" w14:paraId="4524C135" w14:textId="77777777">
        <w:trPr>
          <w:cantSplit/>
        </w:trPr>
        <w:tc>
          <w:tcPr>
            <w:tcW w:w="1526" w:type="dxa"/>
          </w:tcPr>
          <w:p w14:paraId="47650F89" w14:textId="77777777" w:rsidR="00A052DC" w:rsidRDefault="009F0A60">
            <w:pPr>
              <w:rPr>
                <w:rFonts w:ascii="黑体" w:eastAsia="黑体" w:hAnsi="黑体"/>
                <w:sz w:val="20"/>
                <w:szCs w:val="20"/>
              </w:rPr>
            </w:pPr>
            <w:r>
              <w:rPr>
                <w:rFonts w:ascii="黑体" w:eastAsia="黑体" w:hAnsi="黑体" w:hint="eastAsia"/>
                <w:sz w:val="20"/>
                <w:szCs w:val="20"/>
              </w:rPr>
              <w:t>相应金额2</w:t>
            </w:r>
          </w:p>
        </w:tc>
        <w:tc>
          <w:tcPr>
            <w:tcW w:w="7087" w:type="dxa"/>
          </w:tcPr>
          <w:p w14:paraId="0B11CE51" w14:textId="77777777" w:rsidR="00A052DC" w:rsidRDefault="009F0A60">
            <w:pPr>
              <w:rPr>
                <w:rFonts w:ascii="黑体" w:eastAsia="黑体" w:hAnsi="黑体"/>
                <w:sz w:val="20"/>
                <w:szCs w:val="20"/>
              </w:rPr>
            </w:pPr>
            <w:r>
              <w:rPr>
                <w:rFonts w:ascii="黑体" w:eastAsia="黑体" w:hAnsi="黑体" w:hint="eastAsia"/>
                <w:sz w:val="20"/>
                <w:szCs w:val="20"/>
              </w:rPr>
              <w:t>与申报主体填报的交易编码2相对应。如果对外付款为多种交易性质，则本金额为除最大金额交易外，对外付款的其余金额。</w:t>
            </w:r>
          </w:p>
        </w:tc>
      </w:tr>
      <w:tr w:rsidR="00A052DC" w14:paraId="2B26FB10" w14:textId="77777777">
        <w:trPr>
          <w:cantSplit/>
        </w:trPr>
        <w:tc>
          <w:tcPr>
            <w:tcW w:w="1526" w:type="dxa"/>
          </w:tcPr>
          <w:p w14:paraId="2E14E88B" w14:textId="77777777" w:rsidR="00A052DC" w:rsidRDefault="009F0A60">
            <w:pPr>
              <w:rPr>
                <w:rFonts w:ascii="黑体" w:eastAsia="黑体" w:hAnsi="黑体"/>
                <w:sz w:val="20"/>
                <w:szCs w:val="20"/>
              </w:rPr>
            </w:pPr>
            <w:r>
              <w:rPr>
                <w:rFonts w:ascii="黑体" w:eastAsia="黑体" w:hAnsi="黑体" w:hint="eastAsia"/>
                <w:sz w:val="20"/>
                <w:szCs w:val="20"/>
              </w:rPr>
              <w:t>交易附言1</w:t>
            </w:r>
          </w:p>
        </w:tc>
        <w:tc>
          <w:tcPr>
            <w:tcW w:w="7087" w:type="dxa"/>
          </w:tcPr>
          <w:p w14:paraId="7329F19D" w14:textId="77777777" w:rsidR="00A052DC" w:rsidRDefault="009F0A60">
            <w:pPr>
              <w:rPr>
                <w:rFonts w:ascii="黑体" w:eastAsia="黑体" w:hAnsi="黑体"/>
                <w:sz w:val="20"/>
                <w:szCs w:val="20"/>
              </w:rPr>
            </w:pPr>
            <w:r>
              <w:rPr>
                <w:rFonts w:ascii="黑体" w:eastAsia="黑体" w:hAnsi="黑体" w:hint="eastAsia"/>
                <w:sz w:val="20"/>
                <w:szCs w:val="20"/>
              </w:rPr>
              <w:t>申报主体对交易编码1所对应的交易性质进行的详细描述。</w:t>
            </w:r>
          </w:p>
        </w:tc>
      </w:tr>
      <w:tr w:rsidR="00A052DC" w14:paraId="5A246E8D" w14:textId="77777777">
        <w:trPr>
          <w:cantSplit/>
          <w:trHeight w:val="276"/>
        </w:trPr>
        <w:tc>
          <w:tcPr>
            <w:tcW w:w="1526" w:type="dxa"/>
          </w:tcPr>
          <w:p w14:paraId="117A655D" w14:textId="77777777" w:rsidR="00A052DC" w:rsidRDefault="009F0A60">
            <w:pPr>
              <w:rPr>
                <w:rFonts w:ascii="黑体" w:eastAsia="黑体" w:hAnsi="黑体"/>
                <w:sz w:val="20"/>
                <w:szCs w:val="20"/>
              </w:rPr>
            </w:pPr>
            <w:r>
              <w:rPr>
                <w:rFonts w:ascii="黑体" w:eastAsia="黑体" w:hAnsi="黑体" w:hint="eastAsia"/>
                <w:sz w:val="20"/>
                <w:szCs w:val="20"/>
              </w:rPr>
              <w:t>交易附言2</w:t>
            </w:r>
          </w:p>
        </w:tc>
        <w:tc>
          <w:tcPr>
            <w:tcW w:w="7087" w:type="dxa"/>
          </w:tcPr>
          <w:p w14:paraId="1F8F5E61" w14:textId="77777777" w:rsidR="00A052DC" w:rsidRDefault="009F0A60">
            <w:pPr>
              <w:rPr>
                <w:rFonts w:ascii="黑体" w:eastAsia="黑体" w:hAnsi="黑体"/>
                <w:sz w:val="20"/>
                <w:szCs w:val="20"/>
              </w:rPr>
            </w:pPr>
            <w:r>
              <w:rPr>
                <w:rFonts w:ascii="黑体" w:eastAsia="黑体" w:hAnsi="黑体" w:hint="eastAsia"/>
                <w:sz w:val="20"/>
                <w:szCs w:val="20"/>
              </w:rPr>
              <w:t>申报主体对交易编码2所对应的交易性质进行的详细描述。</w:t>
            </w:r>
          </w:p>
        </w:tc>
      </w:tr>
      <w:tr w:rsidR="00A052DC" w14:paraId="7FF0A135" w14:textId="77777777">
        <w:trPr>
          <w:cantSplit/>
          <w:trHeight w:val="650"/>
        </w:trPr>
        <w:tc>
          <w:tcPr>
            <w:tcW w:w="1526" w:type="dxa"/>
          </w:tcPr>
          <w:p w14:paraId="42B203B8" w14:textId="77777777" w:rsidR="00A052DC" w:rsidRDefault="009F0A60">
            <w:pPr>
              <w:rPr>
                <w:rFonts w:ascii="黑体" w:eastAsia="黑体" w:hAnsi="黑体"/>
                <w:sz w:val="20"/>
                <w:szCs w:val="20"/>
              </w:rPr>
            </w:pPr>
            <w:r>
              <w:rPr>
                <w:rFonts w:ascii="黑体" w:eastAsia="黑体" w:hAnsi="黑体" w:hint="eastAsia"/>
                <w:sz w:val="20"/>
                <w:szCs w:val="20"/>
              </w:rPr>
              <w:t>是否为保税货物项下付款</w:t>
            </w:r>
          </w:p>
        </w:tc>
        <w:tc>
          <w:tcPr>
            <w:tcW w:w="7087" w:type="dxa"/>
          </w:tcPr>
          <w:p w14:paraId="42458448" w14:textId="77777777" w:rsidR="00A052DC" w:rsidRDefault="009F0A60">
            <w:pPr>
              <w:rPr>
                <w:rFonts w:ascii="黑体" w:eastAsia="黑体" w:hAnsi="黑体"/>
                <w:sz w:val="20"/>
                <w:szCs w:val="20"/>
              </w:rPr>
            </w:pPr>
            <w:r>
              <w:rPr>
                <w:rFonts w:ascii="黑体" w:eastAsia="黑体" w:hAnsi="黑体" w:hint="eastAsia"/>
                <w:sz w:val="20"/>
                <w:szCs w:val="20"/>
              </w:rPr>
              <w:t>Y-是，N-否。</w:t>
            </w:r>
          </w:p>
        </w:tc>
      </w:tr>
      <w:tr w:rsidR="00A052DC" w14:paraId="1D79D465" w14:textId="77777777">
        <w:trPr>
          <w:cantSplit/>
          <w:trHeight w:val="1065"/>
        </w:trPr>
        <w:tc>
          <w:tcPr>
            <w:tcW w:w="1526" w:type="dxa"/>
          </w:tcPr>
          <w:p w14:paraId="4D657367" w14:textId="77777777" w:rsidR="00A052DC" w:rsidRDefault="009F0A60">
            <w:pPr>
              <w:rPr>
                <w:rFonts w:ascii="黑体" w:eastAsia="黑体" w:hAnsi="黑体"/>
                <w:sz w:val="20"/>
                <w:szCs w:val="20"/>
              </w:rPr>
            </w:pPr>
            <w:r>
              <w:rPr>
                <w:rFonts w:ascii="黑体" w:eastAsia="黑体" w:hAnsi="黑体" w:hint="eastAsia"/>
                <w:sz w:val="20"/>
                <w:szCs w:val="20"/>
              </w:rPr>
              <w:t>外汇局批件号/备案表号/业务编号</w:t>
            </w:r>
          </w:p>
        </w:tc>
        <w:tc>
          <w:tcPr>
            <w:tcW w:w="7087" w:type="dxa"/>
          </w:tcPr>
          <w:p w14:paraId="480907B7" w14:textId="77777777" w:rsidR="00A052DC" w:rsidRDefault="009F0A60">
            <w:pPr>
              <w:rPr>
                <w:rFonts w:ascii="黑体" w:eastAsia="黑体" w:hAnsi="黑体"/>
                <w:sz w:val="20"/>
                <w:szCs w:val="20"/>
              </w:rPr>
            </w:pPr>
            <w:r>
              <w:rPr>
                <w:rFonts w:ascii="黑体" w:eastAsia="黑体" w:hAnsi="黑体" w:hint="eastAsia"/>
                <w:sz w:val="20"/>
                <w:szCs w:val="20"/>
              </w:rPr>
              <w:t>根据本笔付款所涉及的外汇局批件号、备案表号、业务编号进行填写。如果本笔付款涉及外汇局核准件，则优先填写该核准件编号。若本笔付款涉及货物贸易登记表，则填写相应的业务登记表编号。交易编码以“3”、“5”、“6”、“7”、“8”和部分“2”、“9”开头或涉及账户性质为资本项目性质账户的，“外汇局批件号/备案表号/业务编号”为必填项，填写规则参见《银行资本项目下数据报送参考规则》；对于《银行资本项目下数据报送参考规则》中未提到的情况，且不需要外汇局核准的（即确实没有对应的“外汇局批件号/备案表号/业务编号”），则应填写“N/A”（大写英文字母）。</w:t>
            </w:r>
          </w:p>
        </w:tc>
      </w:tr>
      <w:tr w:rsidR="00A052DC" w14:paraId="7AE53A83" w14:textId="77777777">
        <w:trPr>
          <w:cantSplit/>
        </w:trPr>
        <w:tc>
          <w:tcPr>
            <w:tcW w:w="1526" w:type="dxa"/>
          </w:tcPr>
          <w:p w14:paraId="65D5E328" w14:textId="77777777" w:rsidR="00A052DC" w:rsidRDefault="009F0A60">
            <w:pPr>
              <w:rPr>
                <w:rFonts w:ascii="黑体" w:eastAsia="黑体" w:hAnsi="黑体"/>
                <w:sz w:val="20"/>
                <w:szCs w:val="20"/>
              </w:rPr>
            </w:pPr>
            <w:r>
              <w:rPr>
                <w:rFonts w:ascii="黑体" w:eastAsia="黑体" w:hAnsi="黑体" w:hint="eastAsia"/>
                <w:sz w:val="20"/>
                <w:szCs w:val="20"/>
              </w:rPr>
              <w:t>联系人姓名</w:t>
            </w:r>
          </w:p>
        </w:tc>
        <w:tc>
          <w:tcPr>
            <w:tcW w:w="7087" w:type="dxa"/>
          </w:tcPr>
          <w:p w14:paraId="597865C6" w14:textId="77777777" w:rsidR="00A052DC" w:rsidRDefault="00A052DC">
            <w:pPr>
              <w:rPr>
                <w:rFonts w:ascii="黑体" w:eastAsia="黑体" w:hAnsi="黑体"/>
                <w:sz w:val="20"/>
                <w:szCs w:val="20"/>
              </w:rPr>
            </w:pPr>
          </w:p>
        </w:tc>
      </w:tr>
      <w:tr w:rsidR="00A052DC" w14:paraId="54B7DF96" w14:textId="77777777">
        <w:trPr>
          <w:cantSplit/>
        </w:trPr>
        <w:tc>
          <w:tcPr>
            <w:tcW w:w="1526" w:type="dxa"/>
          </w:tcPr>
          <w:p w14:paraId="4702AEC6" w14:textId="77777777" w:rsidR="00A052DC" w:rsidRDefault="009F0A60">
            <w:pPr>
              <w:rPr>
                <w:rFonts w:ascii="黑体" w:eastAsia="黑体" w:hAnsi="黑体"/>
                <w:sz w:val="20"/>
                <w:szCs w:val="20"/>
              </w:rPr>
            </w:pPr>
            <w:r>
              <w:rPr>
                <w:rFonts w:ascii="黑体" w:eastAsia="黑体" w:hAnsi="黑体" w:hint="eastAsia"/>
                <w:sz w:val="20"/>
                <w:szCs w:val="20"/>
              </w:rPr>
              <w:t>联系人电话</w:t>
            </w:r>
          </w:p>
        </w:tc>
        <w:tc>
          <w:tcPr>
            <w:tcW w:w="7087" w:type="dxa"/>
          </w:tcPr>
          <w:p w14:paraId="4CF7AD15" w14:textId="77777777" w:rsidR="00A052DC" w:rsidRDefault="00A052DC">
            <w:pPr>
              <w:rPr>
                <w:rFonts w:ascii="黑体" w:eastAsia="黑体" w:hAnsi="黑体"/>
                <w:sz w:val="20"/>
                <w:szCs w:val="20"/>
              </w:rPr>
            </w:pPr>
          </w:p>
        </w:tc>
      </w:tr>
    </w:tbl>
    <w:p w14:paraId="2D0958FB" w14:textId="77777777" w:rsidR="00A052DC" w:rsidRDefault="009F0A60">
      <w:pPr>
        <w:pStyle w:val="4"/>
        <w:numPr>
          <w:ilvl w:val="3"/>
          <w:numId w:val="1"/>
        </w:numPr>
        <w:jc w:val="left"/>
      </w:pPr>
      <w:bookmarkStart w:id="983" w:name="_Toc454386779"/>
      <w:r>
        <w:rPr>
          <w:rFonts w:hint="eastAsia"/>
        </w:rPr>
        <w:t>数据格式</w:t>
      </w:r>
      <w:bookmarkEnd w:id="983"/>
    </w:p>
    <w:p w14:paraId="5AA766B4" w14:textId="77777777" w:rsidR="00A052DC" w:rsidRDefault="009F0A60">
      <w:r>
        <w:t>&lt;REC&gt;</w:t>
      </w:r>
    </w:p>
    <w:p w14:paraId="631BF934" w14:textId="77777777" w:rsidR="00A052DC" w:rsidRDefault="009F0A60">
      <w:r>
        <w:t>&lt;ACTIONTYPE&gt;</w:t>
      </w:r>
      <w:r>
        <w:rPr>
          <w:rFonts w:hint="eastAsia"/>
        </w:rPr>
        <w:t>操作类型</w:t>
      </w:r>
      <w:r>
        <w:t>&lt;/ACTIONTYPE&gt;</w:t>
      </w:r>
    </w:p>
    <w:p w14:paraId="43343CB9" w14:textId="77777777" w:rsidR="00A052DC" w:rsidRDefault="009F0A60">
      <w:r>
        <w:t>&lt;ACTIONDESC&gt;</w:t>
      </w:r>
      <w:r>
        <w:rPr>
          <w:rFonts w:hint="eastAsia"/>
        </w:rPr>
        <w:t>修改</w:t>
      </w:r>
      <w:r>
        <w:t>/</w:t>
      </w:r>
      <w:r>
        <w:rPr>
          <w:rFonts w:hint="eastAsia"/>
        </w:rPr>
        <w:t>删除原因</w:t>
      </w:r>
      <w:r>
        <w:t>&lt;/ACTIONDESC&gt;</w:t>
      </w:r>
    </w:p>
    <w:p w14:paraId="460A5036" w14:textId="77777777" w:rsidR="00A052DC" w:rsidRDefault="009F0A60">
      <w:r>
        <w:t>&lt;RPTNO&gt;</w:t>
      </w:r>
      <w:r>
        <w:rPr>
          <w:rFonts w:hint="eastAsia"/>
        </w:rPr>
        <w:t>申报号码</w:t>
      </w:r>
      <w:r>
        <w:t>&lt;/RPTNO&gt;</w:t>
      </w:r>
    </w:p>
    <w:p w14:paraId="14B3FAA4" w14:textId="77777777" w:rsidR="00A052DC" w:rsidRDefault="009F0A60">
      <w:r>
        <w:t>&lt;COUNTRY&gt;</w:t>
      </w:r>
      <w:r>
        <w:rPr>
          <w:rFonts w:hint="eastAsia"/>
        </w:rPr>
        <w:t>收款人国别</w:t>
      </w:r>
      <w:r>
        <w:t>/</w:t>
      </w:r>
      <w:r>
        <w:rPr>
          <w:rFonts w:hint="eastAsia"/>
        </w:rPr>
        <w:t>地区</w:t>
      </w:r>
      <w:r>
        <w:t>&lt;/COUNTRY&gt;</w:t>
      </w:r>
    </w:p>
    <w:p w14:paraId="57A322F1" w14:textId="77777777" w:rsidR="00A052DC" w:rsidRDefault="009F0A60">
      <w:r>
        <w:t>&lt;PAYTYPE&gt;</w:t>
      </w:r>
      <w:r>
        <w:rPr>
          <w:rFonts w:hint="eastAsia"/>
        </w:rPr>
        <w:t>付款类型</w:t>
      </w:r>
      <w:r>
        <w:t>&lt;/PAYTYPE&gt;</w:t>
      </w:r>
    </w:p>
    <w:p w14:paraId="28806EB0" w14:textId="77777777" w:rsidR="00A052DC" w:rsidRDefault="009F0A60">
      <w:r>
        <w:t>&lt;TXCODE&gt;</w:t>
      </w:r>
      <w:r>
        <w:rPr>
          <w:rFonts w:hint="eastAsia"/>
        </w:rPr>
        <w:t>交易编码</w:t>
      </w:r>
      <w:r>
        <w:t>1&lt;/TXCODE&gt;</w:t>
      </w:r>
    </w:p>
    <w:p w14:paraId="6223286F" w14:textId="77777777" w:rsidR="00A052DC" w:rsidRDefault="009F0A60">
      <w:r>
        <w:t>&lt;TC1AMT&gt;</w:t>
      </w:r>
      <w:r>
        <w:rPr>
          <w:rFonts w:hint="eastAsia"/>
        </w:rPr>
        <w:t>相应金额</w:t>
      </w:r>
      <w:r>
        <w:t>1&lt;/TC1AMT&gt;</w:t>
      </w:r>
    </w:p>
    <w:p w14:paraId="79D303A3" w14:textId="77777777" w:rsidR="00A052DC" w:rsidRDefault="009F0A60">
      <w:r>
        <w:t>&lt;TXREM&gt;</w:t>
      </w:r>
      <w:r>
        <w:rPr>
          <w:rFonts w:hint="eastAsia"/>
        </w:rPr>
        <w:t>交易附言</w:t>
      </w:r>
      <w:r>
        <w:t>1&lt;/TXREM&gt;</w:t>
      </w:r>
    </w:p>
    <w:p w14:paraId="2F3F71D6" w14:textId="77777777" w:rsidR="00A052DC" w:rsidRDefault="009F0A60">
      <w:r>
        <w:t>&lt;TXCODE2&gt;</w:t>
      </w:r>
      <w:r>
        <w:rPr>
          <w:rFonts w:hint="eastAsia"/>
        </w:rPr>
        <w:t>交易编码</w:t>
      </w:r>
      <w:r>
        <w:t>2&lt;/TXCODE2&gt;</w:t>
      </w:r>
    </w:p>
    <w:p w14:paraId="2FFEEEB1" w14:textId="77777777" w:rsidR="00A052DC" w:rsidRDefault="009F0A60">
      <w:r>
        <w:t>&lt;TC2AMT&gt;</w:t>
      </w:r>
      <w:r>
        <w:rPr>
          <w:rFonts w:hint="eastAsia"/>
        </w:rPr>
        <w:t>相应金额</w:t>
      </w:r>
      <w:r>
        <w:t>2&lt;/TC2AMT&gt;</w:t>
      </w:r>
    </w:p>
    <w:p w14:paraId="6217CEDF" w14:textId="77777777" w:rsidR="00A052DC" w:rsidRDefault="009F0A60">
      <w:r>
        <w:t>&lt;TX2REM&gt;</w:t>
      </w:r>
      <w:r>
        <w:rPr>
          <w:rFonts w:hint="eastAsia"/>
        </w:rPr>
        <w:t>交易附言</w:t>
      </w:r>
      <w:r>
        <w:t>2&lt;/TX2REM&gt;</w:t>
      </w:r>
    </w:p>
    <w:p w14:paraId="4668214B" w14:textId="77777777" w:rsidR="00A052DC" w:rsidRDefault="009F0A60">
      <w:r>
        <w:t>&lt;ISREF&gt;</w:t>
      </w:r>
      <w:r>
        <w:rPr>
          <w:rFonts w:hint="eastAsia"/>
        </w:rPr>
        <w:t>是否保税货物项下付款</w:t>
      </w:r>
      <w:r>
        <w:t>&lt;/ISREF&gt;</w:t>
      </w:r>
    </w:p>
    <w:p w14:paraId="23D223BF" w14:textId="77777777" w:rsidR="00A052DC" w:rsidRDefault="009F0A60">
      <w:r>
        <w:t>&lt;CRTUSER&gt;</w:t>
      </w:r>
      <w:r>
        <w:rPr>
          <w:rFonts w:hint="eastAsia"/>
        </w:rPr>
        <w:t>联系人</w:t>
      </w:r>
      <w:r>
        <w:t>&lt;/CRTUSER&gt;</w:t>
      </w:r>
    </w:p>
    <w:p w14:paraId="4FB226A2" w14:textId="77777777" w:rsidR="00A052DC" w:rsidRDefault="009F0A60">
      <w:r>
        <w:t>&lt;INPTELC&gt;</w:t>
      </w:r>
      <w:r>
        <w:rPr>
          <w:rFonts w:hint="eastAsia"/>
        </w:rPr>
        <w:t>联系人电话</w:t>
      </w:r>
      <w:r>
        <w:t>&lt;/INPTELC&gt;</w:t>
      </w:r>
    </w:p>
    <w:p w14:paraId="0081034D" w14:textId="77777777" w:rsidR="00A052DC" w:rsidRDefault="009F0A60">
      <w:r>
        <w:t>&lt;RPTDATE&gt;</w:t>
      </w:r>
      <w:r>
        <w:rPr>
          <w:rFonts w:hint="eastAsia"/>
        </w:rPr>
        <w:t>申报日期</w:t>
      </w:r>
      <w:r>
        <w:t>&lt;/RPTDATE&gt;</w:t>
      </w:r>
    </w:p>
    <w:p w14:paraId="70684A68" w14:textId="77777777" w:rsidR="00A052DC" w:rsidRDefault="009F0A60">
      <w:r>
        <w:t>&lt;REGNO&gt;</w:t>
      </w:r>
      <w:r>
        <w:rPr>
          <w:rFonts w:hint="eastAsia"/>
        </w:rPr>
        <w:t>外汇局批件号</w:t>
      </w:r>
      <w:r>
        <w:t>/</w:t>
      </w:r>
      <w:r>
        <w:rPr>
          <w:rFonts w:hint="eastAsia"/>
        </w:rPr>
        <w:t>备案表号</w:t>
      </w:r>
      <w:r>
        <w:t>/</w:t>
      </w:r>
      <w:r>
        <w:rPr>
          <w:rFonts w:hint="eastAsia"/>
        </w:rPr>
        <w:t>业务编号</w:t>
      </w:r>
      <w:r>
        <w:t>&lt;/REGNO&gt;</w:t>
      </w:r>
    </w:p>
    <w:p w14:paraId="6BFB62C7" w14:textId="77777777" w:rsidR="00A052DC" w:rsidRDefault="009F0A60">
      <w:r>
        <w:t>&lt;/REC&gt;</w:t>
      </w:r>
    </w:p>
    <w:p w14:paraId="2609605C" w14:textId="77777777" w:rsidR="00A052DC" w:rsidRDefault="009F0A60" w:rsidP="0020251D">
      <w:pPr>
        <w:pStyle w:val="4"/>
        <w:numPr>
          <w:ilvl w:val="3"/>
          <w:numId w:val="1"/>
        </w:numPr>
        <w:jc w:val="left"/>
      </w:pPr>
      <w:bookmarkStart w:id="984" w:name="_Toc454386780"/>
      <w:r>
        <w:rPr>
          <w:rFonts w:hint="eastAsia"/>
        </w:rPr>
        <w:t>数据字典</w:t>
      </w:r>
      <w:bookmarkEnd w:id="984"/>
    </w:p>
    <w:tbl>
      <w:tblPr>
        <w:tblW w:w="86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843"/>
        <w:gridCol w:w="1417"/>
        <w:gridCol w:w="3969"/>
      </w:tblGrid>
      <w:tr w:rsidR="00A052DC" w14:paraId="32FF2B1B" w14:textId="77777777">
        <w:trPr>
          <w:tblHeader/>
        </w:trPr>
        <w:tc>
          <w:tcPr>
            <w:tcW w:w="1418" w:type="dxa"/>
            <w:shd w:val="clear" w:color="auto" w:fill="C0C0C0"/>
          </w:tcPr>
          <w:p w14:paraId="50C26AD5" w14:textId="77777777" w:rsidR="00A052DC" w:rsidRDefault="009F0A60">
            <w:pPr>
              <w:jc w:val="center"/>
              <w:rPr>
                <w:rFonts w:ascii="黑体" w:eastAsia="黑体" w:hAnsi="黑体"/>
                <w:b/>
                <w:sz w:val="20"/>
                <w:szCs w:val="20"/>
              </w:rPr>
            </w:pPr>
            <w:r>
              <w:rPr>
                <w:rFonts w:ascii="黑体" w:eastAsia="黑体" w:hAnsi="黑体" w:hint="eastAsia"/>
                <w:b/>
                <w:sz w:val="20"/>
                <w:szCs w:val="20"/>
              </w:rPr>
              <w:t>字段</w:t>
            </w:r>
          </w:p>
        </w:tc>
        <w:tc>
          <w:tcPr>
            <w:tcW w:w="1843" w:type="dxa"/>
            <w:shd w:val="clear" w:color="auto" w:fill="C0C0C0"/>
          </w:tcPr>
          <w:p w14:paraId="4D895D2C" w14:textId="77777777" w:rsidR="00A052DC" w:rsidRDefault="009F0A60">
            <w:pPr>
              <w:jc w:val="center"/>
              <w:rPr>
                <w:rFonts w:ascii="黑体" w:eastAsia="黑体" w:hAnsi="黑体"/>
                <w:b/>
                <w:sz w:val="20"/>
                <w:szCs w:val="20"/>
              </w:rPr>
            </w:pPr>
            <w:r>
              <w:rPr>
                <w:rFonts w:ascii="黑体" w:eastAsia="黑体" w:hAnsi="黑体" w:hint="eastAsia"/>
                <w:b/>
                <w:sz w:val="20"/>
                <w:szCs w:val="20"/>
              </w:rPr>
              <w:t>内容</w:t>
            </w:r>
          </w:p>
        </w:tc>
        <w:tc>
          <w:tcPr>
            <w:tcW w:w="1417" w:type="dxa"/>
            <w:shd w:val="clear" w:color="auto" w:fill="C0C0C0"/>
          </w:tcPr>
          <w:p w14:paraId="29C83B20" w14:textId="77777777" w:rsidR="00A052DC" w:rsidRDefault="009F0A60">
            <w:pPr>
              <w:jc w:val="center"/>
              <w:rPr>
                <w:rFonts w:ascii="黑体" w:eastAsia="黑体" w:hAnsi="黑体"/>
                <w:b/>
                <w:sz w:val="20"/>
                <w:szCs w:val="20"/>
              </w:rPr>
            </w:pPr>
            <w:r>
              <w:rPr>
                <w:rFonts w:ascii="黑体" w:eastAsia="黑体" w:hAnsi="黑体" w:hint="eastAsia"/>
                <w:b/>
                <w:sz w:val="20"/>
                <w:szCs w:val="20"/>
              </w:rPr>
              <w:t>类型（长度）</w:t>
            </w:r>
          </w:p>
        </w:tc>
        <w:tc>
          <w:tcPr>
            <w:tcW w:w="3969" w:type="dxa"/>
            <w:shd w:val="clear" w:color="auto" w:fill="C0C0C0"/>
          </w:tcPr>
          <w:p w14:paraId="019101D0" w14:textId="77777777" w:rsidR="00A052DC" w:rsidRDefault="009F0A60">
            <w:pPr>
              <w:jc w:val="center"/>
              <w:rPr>
                <w:rFonts w:ascii="黑体" w:eastAsia="黑体" w:hAnsi="黑体"/>
                <w:b/>
                <w:sz w:val="20"/>
                <w:szCs w:val="20"/>
              </w:rPr>
            </w:pPr>
            <w:r>
              <w:rPr>
                <w:rFonts w:ascii="黑体" w:eastAsia="黑体" w:hAnsi="黑体" w:hint="eastAsia"/>
                <w:b/>
                <w:sz w:val="20"/>
                <w:szCs w:val="20"/>
              </w:rPr>
              <w:t>校验</w:t>
            </w:r>
          </w:p>
        </w:tc>
      </w:tr>
      <w:tr w:rsidR="00A052DC" w14:paraId="4A584C4C" w14:textId="77777777">
        <w:tc>
          <w:tcPr>
            <w:tcW w:w="1418" w:type="dxa"/>
            <w:tcBorders>
              <w:top w:val="single" w:sz="4" w:space="0" w:color="auto"/>
              <w:left w:val="single" w:sz="4" w:space="0" w:color="auto"/>
              <w:bottom w:val="single" w:sz="4" w:space="0" w:color="auto"/>
              <w:right w:val="single" w:sz="4" w:space="0" w:color="auto"/>
            </w:tcBorders>
          </w:tcPr>
          <w:p w14:paraId="02257A8A" w14:textId="77777777" w:rsidR="00A052DC" w:rsidRDefault="009F0A60">
            <w:pPr>
              <w:rPr>
                <w:rFonts w:ascii="黑体" w:eastAsia="黑体" w:hAnsi="黑体"/>
                <w:sz w:val="20"/>
                <w:szCs w:val="20"/>
              </w:rPr>
            </w:pPr>
            <w:r>
              <w:rPr>
                <w:rFonts w:ascii="黑体" w:eastAsia="黑体" w:hAnsi="黑体" w:hint="eastAsia"/>
                <w:sz w:val="20"/>
                <w:szCs w:val="20"/>
              </w:rPr>
              <w:t>ACTIONTYPE</w:t>
            </w:r>
          </w:p>
        </w:tc>
        <w:tc>
          <w:tcPr>
            <w:tcW w:w="1843" w:type="dxa"/>
            <w:tcBorders>
              <w:top w:val="single" w:sz="4" w:space="0" w:color="auto"/>
              <w:left w:val="single" w:sz="4" w:space="0" w:color="auto"/>
              <w:bottom w:val="single" w:sz="4" w:space="0" w:color="auto"/>
              <w:right w:val="single" w:sz="4" w:space="0" w:color="auto"/>
            </w:tcBorders>
          </w:tcPr>
          <w:p w14:paraId="72DAA2EF" w14:textId="77777777" w:rsidR="00A052DC" w:rsidRDefault="009F0A60">
            <w:pPr>
              <w:rPr>
                <w:rFonts w:ascii="黑体" w:eastAsia="黑体" w:hAnsi="黑体"/>
                <w:sz w:val="20"/>
                <w:szCs w:val="20"/>
              </w:rPr>
            </w:pPr>
            <w:r>
              <w:rPr>
                <w:rFonts w:ascii="黑体" w:eastAsia="黑体" w:hAnsi="黑体" w:hint="eastAsia"/>
                <w:sz w:val="20"/>
                <w:szCs w:val="20"/>
              </w:rPr>
              <w:t>操作类型</w:t>
            </w:r>
          </w:p>
        </w:tc>
        <w:tc>
          <w:tcPr>
            <w:tcW w:w="1417" w:type="dxa"/>
            <w:tcBorders>
              <w:top w:val="single" w:sz="4" w:space="0" w:color="auto"/>
              <w:left w:val="single" w:sz="4" w:space="0" w:color="auto"/>
              <w:bottom w:val="single" w:sz="4" w:space="0" w:color="auto"/>
              <w:right w:val="single" w:sz="4" w:space="0" w:color="auto"/>
            </w:tcBorders>
          </w:tcPr>
          <w:p w14:paraId="48A9A61F" w14:textId="77777777" w:rsidR="00A052DC" w:rsidRDefault="009F0A60">
            <w:pPr>
              <w:rPr>
                <w:rFonts w:ascii="黑体" w:eastAsia="黑体" w:hAnsi="黑体"/>
                <w:sz w:val="20"/>
                <w:szCs w:val="20"/>
              </w:rPr>
            </w:pPr>
            <w:r>
              <w:rPr>
                <w:rFonts w:ascii="黑体" w:eastAsia="黑体" w:hAnsi="黑体" w:hint="eastAsia"/>
                <w:sz w:val="20"/>
                <w:szCs w:val="20"/>
              </w:rPr>
              <w:t>字符型，1</w:t>
            </w:r>
          </w:p>
        </w:tc>
        <w:tc>
          <w:tcPr>
            <w:tcW w:w="3969" w:type="dxa"/>
            <w:tcBorders>
              <w:top w:val="single" w:sz="4" w:space="0" w:color="auto"/>
              <w:left w:val="single" w:sz="4" w:space="0" w:color="auto"/>
              <w:bottom w:val="single" w:sz="4" w:space="0" w:color="auto"/>
              <w:right w:val="single" w:sz="4" w:space="0" w:color="auto"/>
            </w:tcBorders>
          </w:tcPr>
          <w:p w14:paraId="2F56CCCD" w14:textId="77777777" w:rsidR="00A052DC" w:rsidRDefault="009F0A60">
            <w:pPr>
              <w:rPr>
                <w:rFonts w:ascii="黑体" w:eastAsia="黑体" w:hAnsi="黑体"/>
                <w:sz w:val="20"/>
                <w:szCs w:val="20"/>
              </w:rPr>
            </w:pPr>
            <w:r>
              <w:rPr>
                <w:rFonts w:ascii="黑体" w:eastAsia="黑体" w:hAnsi="黑体" w:hint="eastAsia"/>
                <w:sz w:val="20"/>
                <w:szCs w:val="20"/>
              </w:rPr>
              <w:t>A</w:t>
            </w:r>
            <w:r w:rsidR="00AE4602">
              <w:rPr>
                <w:rFonts w:ascii="黑体" w:eastAsia="黑体" w:hAnsi="黑体" w:hint="eastAsia"/>
                <w:sz w:val="20"/>
                <w:szCs w:val="20"/>
              </w:rPr>
              <w:t>-</w:t>
            </w:r>
            <w:r>
              <w:rPr>
                <w:rFonts w:ascii="黑体" w:eastAsia="黑体" w:hAnsi="黑体" w:hint="eastAsia"/>
                <w:sz w:val="20"/>
                <w:szCs w:val="20"/>
              </w:rPr>
              <w:t>新建</w:t>
            </w:r>
          </w:p>
          <w:p w14:paraId="2FFBB0A3" w14:textId="77777777" w:rsidR="00A052DC" w:rsidRDefault="009F0A60">
            <w:pPr>
              <w:rPr>
                <w:rFonts w:ascii="黑体" w:eastAsia="黑体" w:hAnsi="黑体"/>
                <w:sz w:val="20"/>
                <w:szCs w:val="20"/>
              </w:rPr>
            </w:pPr>
            <w:r>
              <w:rPr>
                <w:rFonts w:ascii="黑体" w:eastAsia="黑体" w:hAnsi="黑体" w:hint="eastAsia"/>
                <w:sz w:val="20"/>
                <w:szCs w:val="20"/>
              </w:rPr>
              <w:t>C</w:t>
            </w:r>
            <w:r w:rsidR="00AE4602">
              <w:rPr>
                <w:rFonts w:ascii="黑体" w:eastAsia="黑体" w:hAnsi="黑体" w:hint="eastAsia"/>
                <w:sz w:val="20"/>
                <w:szCs w:val="20"/>
              </w:rPr>
              <w:t>-</w:t>
            </w:r>
            <w:r>
              <w:rPr>
                <w:rFonts w:ascii="黑体" w:eastAsia="黑体" w:hAnsi="黑体" w:hint="eastAsia"/>
                <w:sz w:val="20"/>
                <w:szCs w:val="20"/>
              </w:rPr>
              <w:t>修改</w:t>
            </w:r>
          </w:p>
          <w:p w14:paraId="65B420B9" w14:textId="77777777" w:rsidR="00A052DC" w:rsidRDefault="009F0A60">
            <w:pPr>
              <w:rPr>
                <w:rFonts w:ascii="黑体" w:eastAsia="黑体" w:hAnsi="黑体"/>
                <w:sz w:val="20"/>
                <w:szCs w:val="20"/>
              </w:rPr>
            </w:pPr>
            <w:r>
              <w:rPr>
                <w:rFonts w:ascii="黑体" w:eastAsia="黑体" w:hAnsi="黑体" w:hint="eastAsia"/>
                <w:sz w:val="20"/>
                <w:szCs w:val="20"/>
              </w:rPr>
              <w:t>D</w:t>
            </w:r>
            <w:r w:rsidR="00AE4602">
              <w:rPr>
                <w:rFonts w:ascii="黑体" w:eastAsia="黑体" w:hAnsi="黑体" w:hint="eastAsia"/>
                <w:sz w:val="20"/>
                <w:szCs w:val="20"/>
              </w:rPr>
              <w:t>-</w:t>
            </w:r>
            <w:r>
              <w:rPr>
                <w:rFonts w:ascii="黑体" w:eastAsia="黑体" w:hAnsi="黑体" w:hint="eastAsia"/>
                <w:sz w:val="20"/>
                <w:szCs w:val="20"/>
              </w:rPr>
              <w:t>删除，预留，暂不用</w:t>
            </w:r>
          </w:p>
        </w:tc>
      </w:tr>
      <w:tr w:rsidR="00A052DC" w14:paraId="03461A97" w14:textId="77777777">
        <w:tc>
          <w:tcPr>
            <w:tcW w:w="1418" w:type="dxa"/>
            <w:tcBorders>
              <w:top w:val="single" w:sz="4" w:space="0" w:color="auto"/>
              <w:left w:val="single" w:sz="4" w:space="0" w:color="auto"/>
              <w:bottom w:val="single" w:sz="4" w:space="0" w:color="auto"/>
              <w:right w:val="single" w:sz="4" w:space="0" w:color="auto"/>
            </w:tcBorders>
          </w:tcPr>
          <w:p w14:paraId="3873D973" w14:textId="77777777" w:rsidR="00A052DC" w:rsidRDefault="009F0A60">
            <w:pPr>
              <w:rPr>
                <w:rFonts w:ascii="黑体" w:eastAsia="黑体" w:hAnsi="黑体"/>
                <w:sz w:val="20"/>
                <w:szCs w:val="20"/>
              </w:rPr>
            </w:pPr>
            <w:r>
              <w:rPr>
                <w:rFonts w:ascii="黑体" w:eastAsia="黑体" w:hAnsi="黑体" w:hint="eastAsia"/>
                <w:sz w:val="20"/>
                <w:szCs w:val="20"/>
              </w:rPr>
              <w:t>ACTIONDESC</w:t>
            </w:r>
          </w:p>
        </w:tc>
        <w:tc>
          <w:tcPr>
            <w:tcW w:w="1843" w:type="dxa"/>
            <w:tcBorders>
              <w:top w:val="single" w:sz="4" w:space="0" w:color="auto"/>
              <w:left w:val="single" w:sz="4" w:space="0" w:color="auto"/>
              <w:bottom w:val="single" w:sz="4" w:space="0" w:color="auto"/>
              <w:right w:val="single" w:sz="4" w:space="0" w:color="auto"/>
            </w:tcBorders>
          </w:tcPr>
          <w:p w14:paraId="4F69E273" w14:textId="77777777" w:rsidR="00A052DC" w:rsidRDefault="009F0A60">
            <w:pPr>
              <w:rPr>
                <w:rFonts w:ascii="黑体" w:eastAsia="黑体" w:hAnsi="黑体"/>
                <w:sz w:val="20"/>
                <w:szCs w:val="20"/>
              </w:rPr>
            </w:pPr>
            <w:r>
              <w:rPr>
                <w:rFonts w:ascii="黑体" w:eastAsia="黑体" w:hAnsi="黑体" w:hint="eastAsia"/>
                <w:sz w:val="20"/>
                <w:szCs w:val="20"/>
              </w:rPr>
              <w:t>修改/删除原因</w:t>
            </w:r>
          </w:p>
        </w:tc>
        <w:tc>
          <w:tcPr>
            <w:tcW w:w="1417" w:type="dxa"/>
            <w:tcBorders>
              <w:top w:val="single" w:sz="4" w:space="0" w:color="auto"/>
              <w:left w:val="single" w:sz="4" w:space="0" w:color="auto"/>
              <w:bottom w:val="single" w:sz="4" w:space="0" w:color="auto"/>
              <w:right w:val="single" w:sz="4" w:space="0" w:color="auto"/>
            </w:tcBorders>
          </w:tcPr>
          <w:p w14:paraId="2C212F2B"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3969" w:type="dxa"/>
            <w:tcBorders>
              <w:top w:val="single" w:sz="4" w:space="0" w:color="auto"/>
              <w:left w:val="single" w:sz="4" w:space="0" w:color="auto"/>
              <w:bottom w:val="single" w:sz="4" w:space="0" w:color="auto"/>
              <w:right w:val="single" w:sz="4" w:space="0" w:color="auto"/>
            </w:tcBorders>
          </w:tcPr>
          <w:p w14:paraId="101B52D9" w14:textId="77777777" w:rsidR="00A052DC" w:rsidRDefault="00A052DC">
            <w:pPr>
              <w:rPr>
                <w:rFonts w:ascii="黑体" w:eastAsia="黑体" w:hAnsi="黑体"/>
                <w:sz w:val="20"/>
                <w:szCs w:val="20"/>
              </w:rPr>
            </w:pPr>
          </w:p>
        </w:tc>
      </w:tr>
      <w:tr w:rsidR="00A052DC" w14:paraId="4F70A622" w14:textId="77777777">
        <w:tc>
          <w:tcPr>
            <w:tcW w:w="1418" w:type="dxa"/>
          </w:tcPr>
          <w:p w14:paraId="3376B878" w14:textId="77777777" w:rsidR="00A052DC" w:rsidRDefault="009F0A60">
            <w:pPr>
              <w:rPr>
                <w:rFonts w:ascii="黑体" w:eastAsia="黑体" w:hAnsi="黑体"/>
                <w:sz w:val="20"/>
                <w:szCs w:val="20"/>
              </w:rPr>
            </w:pPr>
            <w:r>
              <w:rPr>
                <w:rFonts w:ascii="黑体" w:eastAsia="黑体" w:hAnsi="黑体" w:hint="eastAsia"/>
                <w:sz w:val="20"/>
                <w:szCs w:val="20"/>
              </w:rPr>
              <w:t>RPTNO</w:t>
            </w:r>
          </w:p>
        </w:tc>
        <w:tc>
          <w:tcPr>
            <w:tcW w:w="1843" w:type="dxa"/>
          </w:tcPr>
          <w:p w14:paraId="6C8FB47A" w14:textId="77777777" w:rsidR="00A052DC" w:rsidRDefault="009F0A60">
            <w:pPr>
              <w:rPr>
                <w:rFonts w:ascii="黑体" w:eastAsia="黑体" w:hAnsi="黑体"/>
                <w:sz w:val="20"/>
                <w:szCs w:val="20"/>
              </w:rPr>
            </w:pPr>
            <w:r>
              <w:rPr>
                <w:rFonts w:ascii="黑体" w:eastAsia="黑体" w:hAnsi="黑体" w:hint="eastAsia"/>
                <w:sz w:val="20"/>
                <w:szCs w:val="20"/>
              </w:rPr>
              <w:t>申报号码</w:t>
            </w:r>
          </w:p>
        </w:tc>
        <w:tc>
          <w:tcPr>
            <w:tcW w:w="1417" w:type="dxa"/>
          </w:tcPr>
          <w:p w14:paraId="600B97D7" w14:textId="77777777" w:rsidR="00A052DC" w:rsidRDefault="009F0A60">
            <w:pPr>
              <w:rPr>
                <w:rFonts w:ascii="黑体" w:eastAsia="黑体" w:hAnsi="黑体"/>
                <w:sz w:val="20"/>
                <w:szCs w:val="20"/>
              </w:rPr>
            </w:pPr>
            <w:r>
              <w:rPr>
                <w:rFonts w:ascii="黑体" w:eastAsia="黑体" w:hAnsi="黑体" w:hint="eastAsia"/>
                <w:sz w:val="20"/>
                <w:szCs w:val="20"/>
              </w:rPr>
              <w:t>字符型，22</w:t>
            </w:r>
          </w:p>
        </w:tc>
        <w:tc>
          <w:tcPr>
            <w:tcW w:w="3969" w:type="dxa"/>
          </w:tcPr>
          <w:p w14:paraId="37CD061F" w14:textId="77777777" w:rsidR="00A052DC" w:rsidRDefault="009F0A60">
            <w:pPr>
              <w:rPr>
                <w:rFonts w:ascii="黑体" w:eastAsia="黑体" w:hAnsi="黑体"/>
                <w:sz w:val="20"/>
                <w:szCs w:val="20"/>
              </w:rPr>
            </w:pPr>
            <w:r>
              <w:rPr>
                <w:rFonts w:ascii="黑体" w:eastAsia="黑体" w:hAnsi="黑体" w:hint="eastAsia"/>
                <w:sz w:val="20"/>
                <w:szCs w:val="20"/>
              </w:rPr>
              <w:t>应与基础数据一致。</w:t>
            </w:r>
          </w:p>
        </w:tc>
      </w:tr>
      <w:tr w:rsidR="00A052DC" w14:paraId="58B7AB4F" w14:textId="77777777">
        <w:tc>
          <w:tcPr>
            <w:tcW w:w="1418" w:type="dxa"/>
          </w:tcPr>
          <w:p w14:paraId="2FA23C25" w14:textId="77777777" w:rsidR="00A052DC" w:rsidRDefault="009F0A60">
            <w:pPr>
              <w:rPr>
                <w:rFonts w:ascii="黑体" w:eastAsia="黑体" w:hAnsi="黑体"/>
                <w:sz w:val="20"/>
                <w:szCs w:val="20"/>
              </w:rPr>
            </w:pPr>
            <w:r>
              <w:rPr>
                <w:rFonts w:ascii="黑体" w:eastAsia="黑体" w:hAnsi="黑体" w:hint="eastAsia"/>
                <w:sz w:val="20"/>
                <w:szCs w:val="20"/>
              </w:rPr>
              <w:t>COUNTRY</w:t>
            </w:r>
          </w:p>
        </w:tc>
        <w:tc>
          <w:tcPr>
            <w:tcW w:w="1843" w:type="dxa"/>
          </w:tcPr>
          <w:p w14:paraId="7DEA3074" w14:textId="77777777" w:rsidR="00A052DC" w:rsidRDefault="009F0A60">
            <w:pPr>
              <w:rPr>
                <w:rFonts w:ascii="黑体" w:eastAsia="黑体" w:hAnsi="黑体"/>
                <w:sz w:val="20"/>
                <w:szCs w:val="20"/>
              </w:rPr>
            </w:pPr>
            <w:r>
              <w:rPr>
                <w:rFonts w:ascii="黑体" w:eastAsia="黑体" w:hAnsi="黑体" w:hint="eastAsia"/>
                <w:sz w:val="20"/>
                <w:szCs w:val="20"/>
              </w:rPr>
              <w:t>收款人常驻国家/地区代码</w:t>
            </w:r>
          </w:p>
        </w:tc>
        <w:tc>
          <w:tcPr>
            <w:tcW w:w="1417" w:type="dxa"/>
          </w:tcPr>
          <w:p w14:paraId="1C51CA41" w14:textId="77777777" w:rsidR="00A052DC" w:rsidRDefault="009F0A60">
            <w:pPr>
              <w:rPr>
                <w:rFonts w:ascii="黑体" w:eastAsia="黑体" w:hAnsi="黑体"/>
                <w:sz w:val="20"/>
                <w:szCs w:val="20"/>
              </w:rPr>
            </w:pPr>
            <w:r>
              <w:rPr>
                <w:rFonts w:ascii="黑体" w:eastAsia="黑体" w:hAnsi="黑体" w:hint="eastAsia"/>
                <w:sz w:val="20"/>
                <w:szCs w:val="20"/>
              </w:rPr>
              <w:t>字符型，3</w:t>
            </w:r>
          </w:p>
        </w:tc>
        <w:tc>
          <w:tcPr>
            <w:tcW w:w="3969" w:type="dxa"/>
          </w:tcPr>
          <w:p w14:paraId="08C8D9B0" w14:textId="77777777" w:rsidR="00A052DC" w:rsidRDefault="009F0A60">
            <w:pPr>
              <w:rPr>
                <w:rFonts w:ascii="黑体" w:eastAsia="黑体" w:hAnsi="黑体"/>
                <w:sz w:val="20"/>
                <w:szCs w:val="20"/>
              </w:rPr>
            </w:pPr>
            <w:r>
              <w:rPr>
                <w:rFonts w:ascii="黑体" w:eastAsia="黑体" w:hAnsi="黑体" w:hint="eastAsia"/>
                <w:sz w:val="20"/>
                <w:szCs w:val="20"/>
              </w:rPr>
              <w:t>必填项，</w:t>
            </w:r>
          </w:p>
          <w:p w14:paraId="1C53DFA6" w14:textId="77777777" w:rsidR="00A052DC" w:rsidRDefault="009F0A60">
            <w:pPr>
              <w:rPr>
                <w:rFonts w:ascii="黑体" w:eastAsia="黑体" w:hAnsi="黑体"/>
                <w:sz w:val="20"/>
                <w:szCs w:val="20"/>
              </w:rPr>
            </w:pPr>
            <w:r>
              <w:rPr>
                <w:rFonts w:ascii="黑体" w:eastAsia="黑体" w:hAnsi="黑体" w:hint="eastAsia"/>
                <w:sz w:val="20"/>
                <w:szCs w:val="20"/>
              </w:rPr>
              <w:t>使用国家和地区代码表中的3位字母代码。</w:t>
            </w:r>
          </w:p>
        </w:tc>
      </w:tr>
      <w:tr w:rsidR="00A052DC" w14:paraId="4EEDBFE1" w14:textId="77777777">
        <w:tc>
          <w:tcPr>
            <w:tcW w:w="1418" w:type="dxa"/>
          </w:tcPr>
          <w:p w14:paraId="1933E4E5" w14:textId="77777777" w:rsidR="00A052DC" w:rsidRDefault="009F0A60">
            <w:pPr>
              <w:rPr>
                <w:rFonts w:ascii="黑体" w:eastAsia="黑体" w:hAnsi="黑体"/>
                <w:sz w:val="20"/>
                <w:szCs w:val="20"/>
              </w:rPr>
            </w:pPr>
            <w:r>
              <w:rPr>
                <w:rFonts w:ascii="黑体" w:eastAsia="黑体" w:hAnsi="黑体" w:hint="eastAsia"/>
                <w:sz w:val="20"/>
                <w:szCs w:val="20"/>
              </w:rPr>
              <w:t>PAYTYPE</w:t>
            </w:r>
          </w:p>
        </w:tc>
        <w:tc>
          <w:tcPr>
            <w:tcW w:w="1843" w:type="dxa"/>
          </w:tcPr>
          <w:p w14:paraId="76E0EDF2" w14:textId="77777777" w:rsidR="00A052DC" w:rsidRDefault="009F0A60">
            <w:pPr>
              <w:rPr>
                <w:rFonts w:ascii="黑体" w:eastAsia="黑体" w:hAnsi="黑体"/>
                <w:sz w:val="20"/>
                <w:szCs w:val="20"/>
              </w:rPr>
            </w:pPr>
            <w:r>
              <w:rPr>
                <w:rFonts w:ascii="黑体" w:eastAsia="黑体" w:hAnsi="黑体" w:hint="eastAsia"/>
                <w:sz w:val="20"/>
                <w:szCs w:val="20"/>
              </w:rPr>
              <w:t>付款类型</w:t>
            </w:r>
          </w:p>
        </w:tc>
        <w:tc>
          <w:tcPr>
            <w:tcW w:w="1417" w:type="dxa"/>
          </w:tcPr>
          <w:p w14:paraId="2E154511" w14:textId="77777777" w:rsidR="00A052DC" w:rsidRDefault="009F0A60">
            <w:pPr>
              <w:rPr>
                <w:rFonts w:ascii="黑体" w:eastAsia="黑体" w:hAnsi="黑体"/>
                <w:sz w:val="20"/>
                <w:szCs w:val="20"/>
              </w:rPr>
            </w:pPr>
            <w:r>
              <w:rPr>
                <w:rFonts w:ascii="黑体" w:eastAsia="黑体" w:hAnsi="黑体" w:hint="eastAsia"/>
                <w:sz w:val="20"/>
                <w:szCs w:val="20"/>
              </w:rPr>
              <w:t>字符型，1</w:t>
            </w:r>
          </w:p>
        </w:tc>
        <w:tc>
          <w:tcPr>
            <w:tcW w:w="3969" w:type="dxa"/>
          </w:tcPr>
          <w:p w14:paraId="0107633D" w14:textId="77777777" w:rsidR="00A052DC" w:rsidRDefault="009F0A60">
            <w:pPr>
              <w:rPr>
                <w:rFonts w:ascii="黑体" w:eastAsia="黑体" w:hAnsi="黑体"/>
                <w:sz w:val="20"/>
                <w:szCs w:val="20"/>
              </w:rPr>
            </w:pPr>
            <w:r>
              <w:rPr>
                <w:rFonts w:ascii="黑体" w:eastAsia="黑体" w:hAnsi="黑体" w:hint="eastAsia"/>
                <w:sz w:val="20"/>
                <w:szCs w:val="20"/>
              </w:rPr>
              <w:t>A</w:t>
            </w:r>
            <w:r w:rsidR="00AE4602">
              <w:rPr>
                <w:rFonts w:ascii="黑体" w:eastAsia="黑体" w:hAnsi="黑体" w:hint="eastAsia"/>
                <w:sz w:val="20"/>
                <w:szCs w:val="20"/>
              </w:rPr>
              <w:t>-</w:t>
            </w:r>
            <w:r>
              <w:rPr>
                <w:rFonts w:ascii="黑体" w:eastAsia="黑体" w:hAnsi="黑体" w:hint="eastAsia"/>
                <w:sz w:val="20"/>
                <w:szCs w:val="20"/>
              </w:rPr>
              <w:t>预付款</w:t>
            </w:r>
          </w:p>
          <w:p w14:paraId="1376C845" w14:textId="77777777" w:rsidR="00A052DC" w:rsidRDefault="009F0A60">
            <w:pPr>
              <w:rPr>
                <w:rFonts w:ascii="黑体" w:eastAsia="黑体" w:hAnsi="黑体"/>
                <w:sz w:val="20"/>
                <w:szCs w:val="20"/>
              </w:rPr>
            </w:pPr>
            <w:r>
              <w:rPr>
                <w:rFonts w:ascii="黑体" w:eastAsia="黑体" w:hAnsi="黑体" w:hint="eastAsia"/>
                <w:sz w:val="20"/>
                <w:szCs w:val="20"/>
              </w:rPr>
              <w:t>O-其他</w:t>
            </w:r>
          </w:p>
        </w:tc>
      </w:tr>
      <w:tr w:rsidR="00A052DC" w14:paraId="02BFB5D9" w14:textId="77777777">
        <w:tc>
          <w:tcPr>
            <w:tcW w:w="1418" w:type="dxa"/>
          </w:tcPr>
          <w:p w14:paraId="11E704A7" w14:textId="77777777" w:rsidR="00A052DC" w:rsidRDefault="009F0A60">
            <w:pPr>
              <w:rPr>
                <w:rFonts w:ascii="黑体" w:eastAsia="黑体" w:hAnsi="黑体"/>
                <w:sz w:val="20"/>
                <w:szCs w:val="20"/>
              </w:rPr>
            </w:pPr>
            <w:r>
              <w:rPr>
                <w:rFonts w:ascii="黑体" w:eastAsia="黑体" w:hAnsi="黑体" w:hint="eastAsia"/>
                <w:sz w:val="20"/>
                <w:szCs w:val="20"/>
              </w:rPr>
              <w:t>TXCODE</w:t>
            </w:r>
          </w:p>
        </w:tc>
        <w:tc>
          <w:tcPr>
            <w:tcW w:w="1843" w:type="dxa"/>
          </w:tcPr>
          <w:p w14:paraId="66AA37A8" w14:textId="77777777" w:rsidR="00A052DC" w:rsidRDefault="009F0A60">
            <w:pPr>
              <w:rPr>
                <w:rFonts w:ascii="黑体" w:eastAsia="黑体" w:hAnsi="黑体"/>
                <w:sz w:val="20"/>
                <w:szCs w:val="20"/>
              </w:rPr>
            </w:pPr>
            <w:r>
              <w:rPr>
                <w:rFonts w:ascii="黑体" w:eastAsia="黑体" w:hAnsi="黑体" w:hint="eastAsia"/>
                <w:sz w:val="20"/>
                <w:szCs w:val="20"/>
              </w:rPr>
              <w:t>交易编码1</w:t>
            </w:r>
          </w:p>
        </w:tc>
        <w:tc>
          <w:tcPr>
            <w:tcW w:w="1417" w:type="dxa"/>
          </w:tcPr>
          <w:p w14:paraId="2B2622B1" w14:textId="77777777" w:rsidR="00A052DC" w:rsidRDefault="009F0A60">
            <w:pPr>
              <w:rPr>
                <w:rFonts w:ascii="黑体" w:eastAsia="黑体" w:hAnsi="黑体"/>
                <w:sz w:val="20"/>
                <w:szCs w:val="20"/>
              </w:rPr>
            </w:pPr>
            <w:r>
              <w:rPr>
                <w:rFonts w:ascii="黑体" w:eastAsia="黑体" w:hAnsi="黑体" w:hint="eastAsia"/>
                <w:sz w:val="20"/>
                <w:szCs w:val="20"/>
              </w:rPr>
              <w:t>字符型，6</w:t>
            </w:r>
          </w:p>
        </w:tc>
        <w:tc>
          <w:tcPr>
            <w:tcW w:w="3969" w:type="dxa"/>
          </w:tcPr>
          <w:p w14:paraId="710DA109" w14:textId="77777777" w:rsidR="00A052DC" w:rsidRDefault="009F0A60">
            <w:pPr>
              <w:rPr>
                <w:rFonts w:ascii="黑体" w:eastAsia="黑体" w:hAnsi="黑体"/>
                <w:sz w:val="20"/>
                <w:szCs w:val="20"/>
              </w:rPr>
            </w:pPr>
            <w:r>
              <w:rPr>
                <w:rFonts w:ascii="黑体" w:eastAsia="黑体" w:hAnsi="黑体" w:hint="eastAsia"/>
                <w:sz w:val="20"/>
                <w:szCs w:val="20"/>
              </w:rPr>
              <w:t>必填项</w:t>
            </w:r>
            <w:r w:rsidR="009708FD">
              <w:rPr>
                <w:rFonts w:ascii="黑体" w:eastAsia="黑体" w:hAnsi="黑体" w:hint="eastAsia"/>
                <w:sz w:val="20"/>
                <w:szCs w:val="20"/>
              </w:rPr>
              <w:t>，</w:t>
            </w:r>
          </w:p>
          <w:p w14:paraId="32E7D413" w14:textId="77777777" w:rsidR="00A052DC" w:rsidRDefault="009F0A60">
            <w:pPr>
              <w:rPr>
                <w:rFonts w:ascii="黑体" w:eastAsia="黑体" w:hAnsi="黑体"/>
                <w:sz w:val="20"/>
                <w:szCs w:val="20"/>
              </w:rPr>
            </w:pPr>
            <w:r>
              <w:rPr>
                <w:rFonts w:ascii="黑体" w:eastAsia="黑体" w:hAnsi="黑体" w:hint="eastAsia"/>
                <w:sz w:val="20"/>
                <w:szCs w:val="20"/>
              </w:rPr>
              <w:t>必须在国际收支交易编码表中存在</w:t>
            </w:r>
            <w:r w:rsidR="009708FD">
              <w:rPr>
                <w:rFonts w:ascii="黑体" w:eastAsia="黑体" w:hAnsi="黑体" w:hint="eastAsia"/>
                <w:sz w:val="20"/>
                <w:szCs w:val="20"/>
              </w:rPr>
              <w:t>。</w:t>
            </w:r>
          </w:p>
        </w:tc>
      </w:tr>
      <w:tr w:rsidR="00A052DC" w14:paraId="7FD58475" w14:textId="77777777">
        <w:tc>
          <w:tcPr>
            <w:tcW w:w="1418" w:type="dxa"/>
          </w:tcPr>
          <w:p w14:paraId="0FAFEA40" w14:textId="77777777" w:rsidR="00A052DC" w:rsidRDefault="009F0A60">
            <w:pPr>
              <w:rPr>
                <w:rFonts w:ascii="黑体" w:eastAsia="黑体" w:hAnsi="黑体"/>
                <w:sz w:val="20"/>
                <w:szCs w:val="20"/>
              </w:rPr>
            </w:pPr>
            <w:r>
              <w:rPr>
                <w:rFonts w:ascii="黑体" w:eastAsia="黑体" w:hAnsi="黑体" w:hint="eastAsia"/>
                <w:sz w:val="20"/>
                <w:szCs w:val="20"/>
              </w:rPr>
              <w:t>TC1AMT</w:t>
            </w:r>
          </w:p>
        </w:tc>
        <w:tc>
          <w:tcPr>
            <w:tcW w:w="1843" w:type="dxa"/>
          </w:tcPr>
          <w:p w14:paraId="6ABA575E" w14:textId="77777777" w:rsidR="00A052DC" w:rsidRDefault="009F0A60">
            <w:pPr>
              <w:rPr>
                <w:rFonts w:ascii="黑体" w:eastAsia="黑体" w:hAnsi="黑体"/>
                <w:sz w:val="20"/>
                <w:szCs w:val="20"/>
              </w:rPr>
            </w:pPr>
            <w:r>
              <w:rPr>
                <w:rFonts w:ascii="黑体" w:eastAsia="黑体" w:hAnsi="黑体" w:hint="eastAsia"/>
                <w:sz w:val="20"/>
                <w:szCs w:val="20"/>
              </w:rPr>
              <w:t>相应金额1</w:t>
            </w:r>
          </w:p>
        </w:tc>
        <w:tc>
          <w:tcPr>
            <w:tcW w:w="1417" w:type="dxa"/>
          </w:tcPr>
          <w:p w14:paraId="09B691E2" w14:textId="77777777" w:rsidR="00A052DC" w:rsidRDefault="009F0A60">
            <w:pPr>
              <w:rPr>
                <w:rFonts w:ascii="黑体" w:eastAsia="黑体" w:hAnsi="黑体"/>
                <w:sz w:val="20"/>
                <w:szCs w:val="20"/>
              </w:rPr>
            </w:pPr>
            <w:r>
              <w:rPr>
                <w:rFonts w:ascii="黑体" w:eastAsia="黑体" w:hAnsi="黑体" w:hint="eastAsia"/>
                <w:sz w:val="20"/>
                <w:szCs w:val="20"/>
              </w:rPr>
              <w:t>数值型，22.0</w:t>
            </w:r>
          </w:p>
        </w:tc>
        <w:tc>
          <w:tcPr>
            <w:tcW w:w="3969" w:type="dxa"/>
          </w:tcPr>
          <w:p w14:paraId="3C0751AF" w14:textId="77777777" w:rsidR="00A052DC" w:rsidRDefault="009F0A60">
            <w:pPr>
              <w:rPr>
                <w:rFonts w:ascii="黑体" w:eastAsia="黑体" w:hAnsi="黑体"/>
                <w:sz w:val="20"/>
                <w:szCs w:val="20"/>
              </w:rPr>
            </w:pPr>
            <w:r>
              <w:rPr>
                <w:rFonts w:ascii="黑体" w:eastAsia="黑体" w:hAnsi="黑体" w:hint="eastAsia"/>
                <w:sz w:val="20"/>
                <w:szCs w:val="20"/>
              </w:rPr>
              <w:t>必填</w:t>
            </w:r>
            <w:r w:rsidR="006D55A3">
              <w:rPr>
                <w:rFonts w:ascii="黑体" w:eastAsia="黑体" w:hAnsi="黑体" w:hint="eastAsia"/>
                <w:sz w:val="20"/>
                <w:szCs w:val="20"/>
              </w:rPr>
              <w:t>项。</w:t>
            </w:r>
          </w:p>
        </w:tc>
      </w:tr>
      <w:tr w:rsidR="00A052DC" w14:paraId="77F58BD3" w14:textId="77777777">
        <w:tc>
          <w:tcPr>
            <w:tcW w:w="1418" w:type="dxa"/>
          </w:tcPr>
          <w:p w14:paraId="3D476D32" w14:textId="77777777" w:rsidR="00A052DC" w:rsidRDefault="009F0A60">
            <w:pPr>
              <w:rPr>
                <w:rFonts w:ascii="黑体" w:eastAsia="黑体" w:hAnsi="黑体"/>
                <w:sz w:val="20"/>
                <w:szCs w:val="20"/>
              </w:rPr>
            </w:pPr>
            <w:r>
              <w:rPr>
                <w:rFonts w:ascii="黑体" w:eastAsia="黑体" w:hAnsi="黑体" w:hint="eastAsia"/>
                <w:sz w:val="20"/>
                <w:szCs w:val="20"/>
              </w:rPr>
              <w:t>TXREM</w:t>
            </w:r>
          </w:p>
        </w:tc>
        <w:tc>
          <w:tcPr>
            <w:tcW w:w="1843" w:type="dxa"/>
          </w:tcPr>
          <w:p w14:paraId="7834F831" w14:textId="77777777" w:rsidR="00A052DC" w:rsidRDefault="009F0A60">
            <w:pPr>
              <w:rPr>
                <w:rFonts w:ascii="黑体" w:eastAsia="黑体" w:hAnsi="黑体"/>
                <w:sz w:val="20"/>
                <w:szCs w:val="20"/>
              </w:rPr>
            </w:pPr>
            <w:r>
              <w:rPr>
                <w:rFonts w:ascii="黑体" w:eastAsia="黑体" w:hAnsi="黑体" w:hint="eastAsia"/>
                <w:sz w:val="20"/>
                <w:szCs w:val="20"/>
              </w:rPr>
              <w:t>交易附言1</w:t>
            </w:r>
          </w:p>
        </w:tc>
        <w:tc>
          <w:tcPr>
            <w:tcW w:w="1417" w:type="dxa"/>
          </w:tcPr>
          <w:p w14:paraId="2322789F" w14:textId="77777777" w:rsidR="00A052DC" w:rsidRDefault="009F0A60">
            <w:pPr>
              <w:rPr>
                <w:rFonts w:ascii="黑体" w:eastAsia="黑体" w:hAnsi="黑体"/>
                <w:sz w:val="20"/>
                <w:szCs w:val="20"/>
              </w:rPr>
            </w:pPr>
            <w:r>
              <w:rPr>
                <w:rFonts w:ascii="黑体" w:eastAsia="黑体" w:hAnsi="黑体" w:hint="eastAsia"/>
                <w:sz w:val="20"/>
                <w:szCs w:val="20"/>
              </w:rPr>
              <w:t>字符型，256</w:t>
            </w:r>
          </w:p>
        </w:tc>
        <w:tc>
          <w:tcPr>
            <w:tcW w:w="3969" w:type="dxa"/>
          </w:tcPr>
          <w:p w14:paraId="7C7A394F" w14:textId="77777777" w:rsidR="00A052DC" w:rsidRDefault="009F0A60">
            <w:pPr>
              <w:rPr>
                <w:rFonts w:ascii="黑体" w:eastAsia="黑体" w:hAnsi="黑体"/>
                <w:sz w:val="20"/>
                <w:szCs w:val="20"/>
              </w:rPr>
            </w:pPr>
            <w:r>
              <w:rPr>
                <w:rFonts w:ascii="黑体" w:eastAsia="黑体" w:hAnsi="黑体" w:hint="eastAsia"/>
                <w:sz w:val="20"/>
                <w:szCs w:val="20"/>
              </w:rPr>
              <w:t>必填</w:t>
            </w:r>
            <w:r w:rsidR="006D55A3">
              <w:rPr>
                <w:rFonts w:ascii="黑体" w:eastAsia="黑体" w:hAnsi="黑体" w:hint="eastAsia"/>
                <w:sz w:val="20"/>
                <w:szCs w:val="20"/>
              </w:rPr>
              <w:t>项。</w:t>
            </w:r>
          </w:p>
        </w:tc>
      </w:tr>
      <w:tr w:rsidR="00A052DC" w14:paraId="49D04FE1" w14:textId="77777777">
        <w:tc>
          <w:tcPr>
            <w:tcW w:w="1418" w:type="dxa"/>
          </w:tcPr>
          <w:p w14:paraId="22020EDF" w14:textId="77777777" w:rsidR="00A052DC" w:rsidRDefault="009F0A60">
            <w:pPr>
              <w:rPr>
                <w:rFonts w:ascii="黑体" w:eastAsia="黑体" w:hAnsi="黑体"/>
                <w:sz w:val="20"/>
                <w:szCs w:val="20"/>
              </w:rPr>
            </w:pPr>
            <w:r>
              <w:rPr>
                <w:rFonts w:ascii="黑体" w:eastAsia="黑体" w:hAnsi="黑体" w:hint="eastAsia"/>
                <w:sz w:val="20"/>
                <w:szCs w:val="20"/>
              </w:rPr>
              <w:t>TXCODE2</w:t>
            </w:r>
          </w:p>
        </w:tc>
        <w:tc>
          <w:tcPr>
            <w:tcW w:w="1843" w:type="dxa"/>
          </w:tcPr>
          <w:p w14:paraId="4401462C" w14:textId="77777777" w:rsidR="00A052DC" w:rsidRDefault="009F0A60">
            <w:pPr>
              <w:rPr>
                <w:rFonts w:ascii="黑体" w:eastAsia="黑体" w:hAnsi="黑体"/>
                <w:sz w:val="20"/>
                <w:szCs w:val="20"/>
              </w:rPr>
            </w:pPr>
            <w:r>
              <w:rPr>
                <w:rFonts w:ascii="黑体" w:eastAsia="黑体" w:hAnsi="黑体" w:hint="eastAsia"/>
                <w:sz w:val="20"/>
                <w:szCs w:val="20"/>
              </w:rPr>
              <w:t>交易编码2</w:t>
            </w:r>
          </w:p>
        </w:tc>
        <w:tc>
          <w:tcPr>
            <w:tcW w:w="1417" w:type="dxa"/>
          </w:tcPr>
          <w:p w14:paraId="7FEDD28F" w14:textId="77777777" w:rsidR="00A052DC" w:rsidRDefault="009F0A60">
            <w:pPr>
              <w:rPr>
                <w:rFonts w:ascii="黑体" w:eastAsia="黑体" w:hAnsi="黑体"/>
                <w:sz w:val="20"/>
                <w:szCs w:val="20"/>
              </w:rPr>
            </w:pPr>
            <w:r>
              <w:rPr>
                <w:rFonts w:ascii="黑体" w:eastAsia="黑体" w:hAnsi="黑体" w:hint="eastAsia"/>
                <w:sz w:val="20"/>
                <w:szCs w:val="20"/>
              </w:rPr>
              <w:t>字符型，6</w:t>
            </w:r>
          </w:p>
        </w:tc>
        <w:tc>
          <w:tcPr>
            <w:tcW w:w="3969" w:type="dxa"/>
          </w:tcPr>
          <w:p w14:paraId="61B3AA37" w14:textId="77777777" w:rsidR="00A052DC" w:rsidRPr="006D55A3" w:rsidRDefault="00DD6AA3">
            <w:pPr>
              <w:rPr>
                <w:rFonts w:ascii="黑体" w:eastAsia="黑体" w:hAnsi="黑体"/>
                <w:sz w:val="20"/>
                <w:szCs w:val="20"/>
              </w:rPr>
            </w:pPr>
            <w:r>
              <w:rPr>
                <w:rFonts w:ascii="黑体" w:eastAsia="黑体" w:hAnsi="黑体" w:hint="eastAsia"/>
                <w:sz w:val="20"/>
                <w:szCs w:val="20"/>
              </w:rPr>
              <w:t>非必填项</w:t>
            </w:r>
            <w:r w:rsidR="006D55A3">
              <w:rPr>
                <w:rFonts w:ascii="黑体" w:eastAsia="黑体" w:hAnsi="黑体" w:hint="eastAsia"/>
                <w:sz w:val="20"/>
                <w:szCs w:val="20"/>
              </w:rPr>
              <w:t>，</w:t>
            </w:r>
          </w:p>
          <w:p w14:paraId="4495D9F8" w14:textId="77777777" w:rsidR="00A052DC" w:rsidRDefault="009F0A60">
            <w:pPr>
              <w:rPr>
                <w:rFonts w:ascii="黑体" w:eastAsia="黑体" w:hAnsi="黑体"/>
                <w:sz w:val="20"/>
                <w:szCs w:val="20"/>
              </w:rPr>
            </w:pPr>
            <w:r>
              <w:rPr>
                <w:rFonts w:ascii="黑体" w:eastAsia="黑体" w:hAnsi="黑体" w:hint="eastAsia"/>
                <w:sz w:val="20"/>
                <w:szCs w:val="20"/>
              </w:rPr>
              <w:t>必须在国际收支交易编码表中存在</w:t>
            </w:r>
            <w:r w:rsidR="009708FD">
              <w:rPr>
                <w:rFonts w:ascii="黑体" w:eastAsia="黑体" w:hAnsi="黑体" w:hint="eastAsia"/>
                <w:sz w:val="20"/>
                <w:szCs w:val="20"/>
              </w:rPr>
              <w:t>。</w:t>
            </w:r>
          </w:p>
          <w:p w14:paraId="43D7DEB4" w14:textId="77777777" w:rsidR="00A052DC" w:rsidRDefault="009F0A60">
            <w:pPr>
              <w:rPr>
                <w:rFonts w:ascii="黑体" w:eastAsia="黑体" w:hAnsi="黑体"/>
                <w:sz w:val="20"/>
                <w:szCs w:val="20"/>
              </w:rPr>
            </w:pPr>
            <w:r>
              <w:rPr>
                <w:rFonts w:ascii="黑体" w:eastAsia="黑体" w:hAnsi="黑体" w:hint="eastAsia"/>
                <w:sz w:val="20"/>
                <w:szCs w:val="20"/>
              </w:rPr>
              <w:t>不能与交易编码1相同</w:t>
            </w:r>
            <w:r w:rsidR="006D55A3">
              <w:rPr>
                <w:rFonts w:ascii="黑体" w:eastAsia="黑体" w:hAnsi="黑体" w:hint="eastAsia"/>
                <w:sz w:val="20"/>
                <w:szCs w:val="20"/>
              </w:rPr>
              <w:t>。</w:t>
            </w:r>
          </w:p>
          <w:p w14:paraId="4B87708A" w14:textId="77777777" w:rsidR="00A052DC" w:rsidRDefault="009F0A60">
            <w:pPr>
              <w:rPr>
                <w:rFonts w:ascii="黑体" w:eastAsia="黑体" w:hAnsi="黑体"/>
                <w:sz w:val="20"/>
                <w:szCs w:val="20"/>
              </w:rPr>
            </w:pPr>
            <w:r>
              <w:rPr>
                <w:rFonts w:ascii="黑体" w:eastAsia="黑体" w:hAnsi="黑体" w:hint="eastAsia"/>
                <w:sz w:val="20"/>
                <w:szCs w:val="20"/>
              </w:rPr>
              <w:t>没有输入交易编码时，相应金额及交易附言不应该填写。</w:t>
            </w:r>
          </w:p>
          <w:p w14:paraId="25F52D1C" w14:textId="77777777" w:rsidR="00A052DC" w:rsidRDefault="009F0A60">
            <w:pPr>
              <w:rPr>
                <w:rFonts w:ascii="黑体" w:eastAsia="黑体" w:hAnsi="黑体"/>
                <w:sz w:val="20"/>
                <w:szCs w:val="20"/>
              </w:rPr>
            </w:pPr>
            <w:r>
              <w:rPr>
                <w:rFonts w:ascii="黑体" w:eastAsia="黑体" w:hAnsi="黑体" w:hint="eastAsia"/>
                <w:sz w:val="20"/>
                <w:szCs w:val="20"/>
              </w:rPr>
              <w:t>有交易金额2或交易附言2时必填。</w:t>
            </w:r>
          </w:p>
        </w:tc>
      </w:tr>
      <w:tr w:rsidR="00A052DC" w14:paraId="046FE757" w14:textId="77777777">
        <w:tc>
          <w:tcPr>
            <w:tcW w:w="1418" w:type="dxa"/>
          </w:tcPr>
          <w:p w14:paraId="57955A3B" w14:textId="77777777" w:rsidR="00A052DC" w:rsidRDefault="009F0A60">
            <w:pPr>
              <w:rPr>
                <w:rFonts w:ascii="黑体" w:eastAsia="黑体" w:hAnsi="黑体"/>
                <w:sz w:val="20"/>
                <w:szCs w:val="20"/>
              </w:rPr>
            </w:pPr>
            <w:r>
              <w:rPr>
                <w:rFonts w:ascii="黑体" w:eastAsia="黑体" w:hAnsi="黑体" w:hint="eastAsia"/>
                <w:sz w:val="20"/>
                <w:szCs w:val="20"/>
              </w:rPr>
              <w:t>TC2AMT</w:t>
            </w:r>
          </w:p>
        </w:tc>
        <w:tc>
          <w:tcPr>
            <w:tcW w:w="1843" w:type="dxa"/>
          </w:tcPr>
          <w:p w14:paraId="17B36E11" w14:textId="77777777" w:rsidR="00A052DC" w:rsidRDefault="009F0A60">
            <w:pPr>
              <w:rPr>
                <w:rFonts w:ascii="黑体" w:eastAsia="黑体" w:hAnsi="黑体"/>
                <w:sz w:val="20"/>
                <w:szCs w:val="20"/>
              </w:rPr>
            </w:pPr>
            <w:r>
              <w:rPr>
                <w:rFonts w:ascii="黑体" w:eastAsia="黑体" w:hAnsi="黑体" w:hint="eastAsia"/>
                <w:sz w:val="20"/>
                <w:szCs w:val="20"/>
              </w:rPr>
              <w:t>相应金额2</w:t>
            </w:r>
          </w:p>
        </w:tc>
        <w:tc>
          <w:tcPr>
            <w:tcW w:w="1417" w:type="dxa"/>
          </w:tcPr>
          <w:p w14:paraId="5992337A" w14:textId="77777777" w:rsidR="00A052DC" w:rsidRDefault="009F0A60">
            <w:pPr>
              <w:rPr>
                <w:rFonts w:ascii="黑体" w:eastAsia="黑体" w:hAnsi="黑体"/>
                <w:sz w:val="20"/>
                <w:szCs w:val="20"/>
              </w:rPr>
            </w:pPr>
            <w:r>
              <w:rPr>
                <w:rFonts w:ascii="黑体" w:eastAsia="黑体" w:hAnsi="黑体" w:hint="eastAsia"/>
                <w:sz w:val="20"/>
                <w:szCs w:val="20"/>
              </w:rPr>
              <w:t>数值型，22.0</w:t>
            </w:r>
          </w:p>
        </w:tc>
        <w:tc>
          <w:tcPr>
            <w:tcW w:w="3969" w:type="dxa"/>
          </w:tcPr>
          <w:p w14:paraId="58CDBD17" w14:textId="77777777" w:rsidR="00A052DC" w:rsidRDefault="00DD6AA3">
            <w:pPr>
              <w:rPr>
                <w:rFonts w:ascii="黑体" w:eastAsia="黑体" w:hAnsi="黑体"/>
                <w:sz w:val="20"/>
                <w:szCs w:val="20"/>
              </w:rPr>
            </w:pPr>
            <w:r>
              <w:rPr>
                <w:rFonts w:ascii="黑体" w:eastAsia="黑体" w:hAnsi="黑体" w:hint="eastAsia"/>
                <w:sz w:val="20"/>
                <w:szCs w:val="20"/>
              </w:rPr>
              <w:t>非必填项</w:t>
            </w:r>
            <w:r w:rsidR="009F0A60">
              <w:rPr>
                <w:rFonts w:ascii="黑体" w:eastAsia="黑体" w:hAnsi="黑体" w:hint="eastAsia"/>
                <w:sz w:val="20"/>
                <w:szCs w:val="20"/>
              </w:rPr>
              <w:t>，</w:t>
            </w:r>
          </w:p>
          <w:p w14:paraId="67DBF92A" w14:textId="77777777" w:rsidR="00A052DC" w:rsidRDefault="009F0A60">
            <w:pPr>
              <w:rPr>
                <w:rFonts w:ascii="黑体" w:eastAsia="黑体" w:hAnsi="黑体"/>
                <w:sz w:val="20"/>
                <w:szCs w:val="20"/>
              </w:rPr>
            </w:pPr>
            <w:r>
              <w:rPr>
                <w:rFonts w:ascii="黑体" w:eastAsia="黑体" w:hAnsi="黑体" w:hint="eastAsia"/>
                <w:sz w:val="20"/>
                <w:szCs w:val="20"/>
              </w:rPr>
              <w:t>有交易编码2时必填。</w:t>
            </w:r>
          </w:p>
          <w:p w14:paraId="7CF2A9FA" w14:textId="77777777" w:rsidR="00A052DC" w:rsidRDefault="009F0A60">
            <w:pPr>
              <w:rPr>
                <w:rFonts w:ascii="黑体" w:eastAsia="黑体" w:hAnsi="黑体"/>
                <w:sz w:val="20"/>
                <w:szCs w:val="20"/>
              </w:rPr>
            </w:pPr>
            <w:r>
              <w:rPr>
                <w:rFonts w:ascii="黑体" w:eastAsia="黑体" w:hAnsi="黑体" w:hint="eastAsia"/>
                <w:sz w:val="20"/>
                <w:szCs w:val="20"/>
              </w:rPr>
              <w:t>两个交易编码对应的金额之和必须等于付款金额。</w:t>
            </w:r>
          </w:p>
        </w:tc>
      </w:tr>
      <w:tr w:rsidR="00A052DC" w14:paraId="3EAC41F8" w14:textId="77777777">
        <w:tc>
          <w:tcPr>
            <w:tcW w:w="1418" w:type="dxa"/>
          </w:tcPr>
          <w:p w14:paraId="540AB079" w14:textId="77777777" w:rsidR="00A052DC" w:rsidRDefault="009F0A60">
            <w:pPr>
              <w:rPr>
                <w:rFonts w:ascii="黑体" w:eastAsia="黑体" w:hAnsi="黑体"/>
                <w:sz w:val="20"/>
                <w:szCs w:val="20"/>
              </w:rPr>
            </w:pPr>
            <w:r>
              <w:rPr>
                <w:rFonts w:ascii="黑体" w:eastAsia="黑体" w:hAnsi="黑体" w:hint="eastAsia"/>
                <w:sz w:val="20"/>
                <w:szCs w:val="20"/>
              </w:rPr>
              <w:t>TX2REM</w:t>
            </w:r>
          </w:p>
        </w:tc>
        <w:tc>
          <w:tcPr>
            <w:tcW w:w="1843" w:type="dxa"/>
          </w:tcPr>
          <w:p w14:paraId="3920F0D1" w14:textId="77777777" w:rsidR="00A052DC" w:rsidRDefault="009F0A60">
            <w:pPr>
              <w:rPr>
                <w:rFonts w:ascii="黑体" w:eastAsia="黑体" w:hAnsi="黑体"/>
                <w:sz w:val="20"/>
                <w:szCs w:val="20"/>
              </w:rPr>
            </w:pPr>
            <w:r>
              <w:rPr>
                <w:rFonts w:ascii="黑体" w:eastAsia="黑体" w:hAnsi="黑体" w:hint="eastAsia"/>
                <w:sz w:val="20"/>
                <w:szCs w:val="20"/>
              </w:rPr>
              <w:t>交易附言2</w:t>
            </w:r>
          </w:p>
        </w:tc>
        <w:tc>
          <w:tcPr>
            <w:tcW w:w="1417" w:type="dxa"/>
          </w:tcPr>
          <w:p w14:paraId="3FC35A1E" w14:textId="77777777" w:rsidR="00A052DC" w:rsidRDefault="009F0A60">
            <w:pPr>
              <w:rPr>
                <w:rFonts w:ascii="黑体" w:eastAsia="黑体" w:hAnsi="黑体"/>
                <w:sz w:val="20"/>
                <w:szCs w:val="20"/>
              </w:rPr>
            </w:pPr>
            <w:r>
              <w:rPr>
                <w:rFonts w:ascii="黑体" w:eastAsia="黑体" w:hAnsi="黑体" w:hint="eastAsia"/>
                <w:sz w:val="20"/>
                <w:szCs w:val="20"/>
              </w:rPr>
              <w:t>字符型，256</w:t>
            </w:r>
          </w:p>
        </w:tc>
        <w:tc>
          <w:tcPr>
            <w:tcW w:w="3969" w:type="dxa"/>
          </w:tcPr>
          <w:p w14:paraId="446502B8" w14:textId="77777777" w:rsidR="00A052DC" w:rsidRDefault="00DD6AA3">
            <w:pPr>
              <w:rPr>
                <w:rFonts w:ascii="黑体" w:eastAsia="黑体" w:hAnsi="黑体"/>
                <w:sz w:val="20"/>
                <w:szCs w:val="20"/>
              </w:rPr>
            </w:pPr>
            <w:r>
              <w:rPr>
                <w:rFonts w:ascii="黑体" w:eastAsia="黑体" w:hAnsi="黑体" w:hint="eastAsia"/>
                <w:sz w:val="20"/>
                <w:szCs w:val="20"/>
              </w:rPr>
              <w:t>非必填项</w:t>
            </w:r>
            <w:r w:rsidR="009F0A60">
              <w:rPr>
                <w:rFonts w:ascii="黑体" w:eastAsia="黑体" w:hAnsi="黑体" w:hint="eastAsia"/>
                <w:sz w:val="20"/>
                <w:szCs w:val="20"/>
              </w:rPr>
              <w:t>，</w:t>
            </w:r>
          </w:p>
          <w:p w14:paraId="7226342B" w14:textId="77777777" w:rsidR="00A052DC" w:rsidRDefault="009F0A60">
            <w:pPr>
              <w:rPr>
                <w:rFonts w:ascii="黑体" w:eastAsia="黑体" w:hAnsi="黑体"/>
                <w:sz w:val="20"/>
                <w:szCs w:val="20"/>
              </w:rPr>
            </w:pPr>
            <w:r>
              <w:rPr>
                <w:rFonts w:ascii="黑体" w:eastAsia="黑体" w:hAnsi="黑体" w:hint="eastAsia"/>
                <w:sz w:val="20"/>
                <w:szCs w:val="20"/>
              </w:rPr>
              <w:t>有交易编码2时必填。</w:t>
            </w:r>
          </w:p>
        </w:tc>
      </w:tr>
      <w:tr w:rsidR="00A052DC" w14:paraId="39EC1724" w14:textId="77777777">
        <w:tc>
          <w:tcPr>
            <w:tcW w:w="1418" w:type="dxa"/>
          </w:tcPr>
          <w:p w14:paraId="716B93BE" w14:textId="77777777" w:rsidR="00A052DC" w:rsidRDefault="009F0A60">
            <w:pPr>
              <w:rPr>
                <w:rFonts w:ascii="黑体" w:eastAsia="黑体" w:hAnsi="黑体"/>
                <w:sz w:val="20"/>
                <w:szCs w:val="20"/>
              </w:rPr>
            </w:pPr>
            <w:r>
              <w:rPr>
                <w:rFonts w:ascii="黑体" w:eastAsia="黑体" w:hAnsi="黑体" w:hint="eastAsia"/>
                <w:sz w:val="20"/>
                <w:szCs w:val="20"/>
              </w:rPr>
              <w:t>ISREF</w:t>
            </w:r>
          </w:p>
        </w:tc>
        <w:tc>
          <w:tcPr>
            <w:tcW w:w="1843" w:type="dxa"/>
          </w:tcPr>
          <w:p w14:paraId="470FD942" w14:textId="77777777" w:rsidR="00A052DC" w:rsidRDefault="009F0A60">
            <w:pPr>
              <w:rPr>
                <w:rFonts w:ascii="黑体" w:eastAsia="黑体" w:hAnsi="黑体"/>
                <w:sz w:val="20"/>
                <w:szCs w:val="20"/>
              </w:rPr>
            </w:pPr>
            <w:r>
              <w:rPr>
                <w:rFonts w:ascii="黑体" w:eastAsia="黑体" w:hAnsi="黑体" w:hint="eastAsia"/>
                <w:sz w:val="20"/>
                <w:szCs w:val="20"/>
              </w:rPr>
              <w:t>是否保税货物项下付款</w:t>
            </w:r>
          </w:p>
        </w:tc>
        <w:tc>
          <w:tcPr>
            <w:tcW w:w="1417" w:type="dxa"/>
          </w:tcPr>
          <w:p w14:paraId="460E8EEB" w14:textId="77777777" w:rsidR="00A052DC" w:rsidRDefault="009F0A60">
            <w:pPr>
              <w:rPr>
                <w:rFonts w:ascii="黑体" w:eastAsia="黑体" w:hAnsi="黑体"/>
                <w:sz w:val="20"/>
                <w:szCs w:val="20"/>
              </w:rPr>
            </w:pPr>
            <w:r>
              <w:rPr>
                <w:rFonts w:ascii="黑体" w:eastAsia="黑体" w:hAnsi="黑体" w:hint="eastAsia"/>
                <w:sz w:val="20"/>
                <w:szCs w:val="20"/>
              </w:rPr>
              <w:t>字符型，1</w:t>
            </w:r>
          </w:p>
        </w:tc>
        <w:tc>
          <w:tcPr>
            <w:tcW w:w="3969" w:type="dxa"/>
          </w:tcPr>
          <w:p w14:paraId="378DB453" w14:textId="77777777" w:rsidR="00A052DC" w:rsidRDefault="009F0A60">
            <w:pPr>
              <w:rPr>
                <w:rFonts w:ascii="黑体" w:eastAsia="黑体" w:hAnsi="黑体"/>
                <w:sz w:val="20"/>
                <w:szCs w:val="20"/>
              </w:rPr>
            </w:pPr>
            <w:r>
              <w:rPr>
                <w:rFonts w:ascii="黑体" w:eastAsia="黑体" w:hAnsi="黑体" w:hint="eastAsia"/>
                <w:sz w:val="20"/>
                <w:szCs w:val="20"/>
              </w:rPr>
              <w:t>Y</w:t>
            </w:r>
            <w:r w:rsidR="00AE4602">
              <w:rPr>
                <w:rFonts w:ascii="黑体" w:eastAsia="黑体" w:hAnsi="黑体" w:hint="eastAsia"/>
                <w:sz w:val="20"/>
                <w:szCs w:val="20"/>
              </w:rPr>
              <w:t>-</w:t>
            </w:r>
            <w:r>
              <w:rPr>
                <w:rFonts w:ascii="黑体" w:eastAsia="黑体" w:hAnsi="黑体" w:hint="eastAsia"/>
                <w:sz w:val="20"/>
                <w:szCs w:val="20"/>
              </w:rPr>
              <w:t>是</w:t>
            </w:r>
          </w:p>
          <w:p w14:paraId="524B9DA8" w14:textId="77777777" w:rsidR="00A052DC" w:rsidRDefault="009F0A60">
            <w:pPr>
              <w:rPr>
                <w:rFonts w:ascii="黑体" w:eastAsia="黑体" w:hAnsi="黑体"/>
                <w:sz w:val="20"/>
                <w:szCs w:val="20"/>
              </w:rPr>
            </w:pPr>
            <w:r>
              <w:rPr>
                <w:rFonts w:ascii="黑体" w:eastAsia="黑体" w:hAnsi="黑体" w:hint="eastAsia"/>
                <w:sz w:val="20"/>
                <w:szCs w:val="20"/>
              </w:rPr>
              <w:t>N</w:t>
            </w:r>
            <w:r w:rsidR="00AE4602">
              <w:rPr>
                <w:rFonts w:ascii="黑体" w:eastAsia="黑体" w:hAnsi="黑体" w:hint="eastAsia"/>
                <w:sz w:val="20"/>
                <w:szCs w:val="20"/>
              </w:rPr>
              <w:t>-</w:t>
            </w:r>
            <w:r>
              <w:rPr>
                <w:rFonts w:ascii="黑体" w:eastAsia="黑体" w:hAnsi="黑体" w:hint="eastAsia"/>
                <w:sz w:val="20"/>
                <w:szCs w:val="20"/>
              </w:rPr>
              <w:t>否</w:t>
            </w:r>
          </w:p>
        </w:tc>
      </w:tr>
      <w:tr w:rsidR="00A052DC" w14:paraId="2FDFC461" w14:textId="77777777">
        <w:tc>
          <w:tcPr>
            <w:tcW w:w="1418" w:type="dxa"/>
          </w:tcPr>
          <w:p w14:paraId="31408324" w14:textId="77777777" w:rsidR="00A052DC" w:rsidRDefault="009F0A60">
            <w:pPr>
              <w:rPr>
                <w:rFonts w:ascii="黑体" w:eastAsia="黑体" w:hAnsi="黑体"/>
                <w:sz w:val="20"/>
                <w:szCs w:val="20"/>
              </w:rPr>
            </w:pPr>
            <w:r>
              <w:rPr>
                <w:rFonts w:ascii="黑体" w:eastAsia="黑体" w:hAnsi="黑体" w:hint="eastAsia"/>
                <w:sz w:val="20"/>
                <w:szCs w:val="20"/>
              </w:rPr>
              <w:t>CRTUSER</w:t>
            </w:r>
          </w:p>
        </w:tc>
        <w:tc>
          <w:tcPr>
            <w:tcW w:w="1843" w:type="dxa"/>
          </w:tcPr>
          <w:p w14:paraId="12F3C55C" w14:textId="77777777" w:rsidR="00A052DC" w:rsidRDefault="009F0A60">
            <w:pPr>
              <w:rPr>
                <w:rFonts w:ascii="黑体" w:eastAsia="黑体" w:hAnsi="黑体"/>
                <w:sz w:val="20"/>
                <w:szCs w:val="20"/>
              </w:rPr>
            </w:pPr>
            <w:r>
              <w:rPr>
                <w:rFonts w:ascii="黑体" w:eastAsia="黑体" w:hAnsi="黑体" w:hint="eastAsia"/>
                <w:sz w:val="20"/>
                <w:szCs w:val="20"/>
              </w:rPr>
              <w:t>联系人</w:t>
            </w:r>
          </w:p>
        </w:tc>
        <w:tc>
          <w:tcPr>
            <w:tcW w:w="1417" w:type="dxa"/>
          </w:tcPr>
          <w:p w14:paraId="2CE726A0" w14:textId="77777777" w:rsidR="00A052DC" w:rsidRDefault="009F0A60">
            <w:pPr>
              <w:rPr>
                <w:rFonts w:ascii="黑体" w:eastAsia="黑体" w:hAnsi="黑体"/>
                <w:sz w:val="20"/>
                <w:szCs w:val="20"/>
              </w:rPr>
            </w:pPr>
            <w:r>
              <w:rPr>
                <w:rFonts w:ascii="黑体" w:eastAsia="黑体" w:hAnsi="黑体" w:hint="eastAsia"/>
                <w:sz w:val="20"/>
                <w:szCs w:val="20"/>
              </w:rPr>
              <w:t>字符型，20</w:t>
            </w:r>
          </w:p>
        </w:tc>
        <w:tc>
          <w:tcPr>
            <w:tcW w:w="3969" w:type="dxa"/>
          </w:tcPr>
          <w:p w14:paraId="3AC1978D"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r w:rsidR="00A052DC" w14:paraId="616333E5" w14:textId="77777777">
        <w:tc>
          <w:tcPr>
            <w:tcW w:w="1418" w:type="dxa"/>
          </w:tcPr>
          <w:p w14:paraId="367D9402" w14:textId="77777777" w:rsidR="00A052DC" w:rsidRDefault="009F0A60">
            <w:pPr>
              <w:rPr>
                <w:rFonts w:ascii="黑体" w:eastAsia="黑体" w:hAnsi="黑体"/>
                <w:sz w:val="20"/>
                <w:szCs w:val="20"/>
              </w:rPr>
            </w:pPr>
            <w:r>
              <w:rPr>
                <w:rFonts w:ascii="黑体" w:eastAsia="黑体" w:hAnsi="黑体" w:hint="eastAsia"/>
                <w:sz w:val="20"/>
                <w:szCs w:val="20"/>
              </w:rPr>
              <w:t>INPTELC</w:t>
            </w:r>
          </w:p>
        </w:tc>
        <w:tc>
          <w:tcPr>
            <w:tcW w:w="1843" w:type="dxa"/>
          </w:tcPr>
          <w:p w14:paraId="0AA3D13E" w14:textId="77777777" w:rsidR="00A052DC" w:rsidRDefault="009F0A60">
            <w:pPr>
              <w:rPr>
                <w:rFonts w:ascii="黑体" w:eastAsia="黑体" w:hAnsi="黑体"/>
                <w:sz w:val="20"/>
                <w:szCs w:val="20"/>
              </w:rPr>
            </w:pPr>
            <w:r>
              <w:rPr>
                <w:rFonts w:ascii="黑体" w:eastAsia="黑体" w:hAnsi="黑体" w:hint="eastAsia"/>
                <w:sz w:val="20"/>
                <w:szCs w:val="20"/>
              </w:rPr>
              <w:t>联系人电话</w:t>
            </w:r>
          </w:p>
        </w:tc>
        <w:tc>
          <w:tcPr>
            <w:tcW w:w="1417" w:type="dxa"/>
          </w:tcPr>
          <w:p w14:paraId="499EFA0F" w14:textId="77777777" w:rsidR="00A052DC" w:rsidRDefault="009F0A60">
            <w:pPr>
              <w:rPr>
                <w:rFonts w:ascii="黑体" w:eastAsia="黑体" w:hAnsi="黑体"/>
                <w:sz w:val="20"/>
                <w:szCs w:val="20"/>
              </w:rPr>
            </w:pPr>
            <w:r>
              <w:rPr>
                <w:rFonts w:ascii="黑体" w:eastAsia="黑体" w:hAnsi="黑体" w:hint="eastAsia"/>
                <w:sz w:val="20"/>
                <w:szCs w:val="20"/>
              </w:rPr>
              <w:t>字符型，20</w:t>
            </w:r>
          </w:p>
        </w:tc>
        <w:tc>
          <w:tcPr>
            <w:tcW w:w="3969" w:type="dxa"/>
          </w:tcPr>
          <w:p w14:paraId="72EBF6AD"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r w:rsidR="00A052DC" w14:paraId="3601829A" w14:textId="77777777">
        <w:tc>
          <w:tcPr>
            <w:tcW w:w="1418" w:type="dxa"/>
            <w:tcBorders>
              <w:top w:val="single" w:sz="4" w:space="0" w:color="auto"/>
              <w:left w:val="single" w:sz="4" w:space="0" w:color="auto"/>
              <w:bottom w:val="single" w:sz="4" w:space="0" w:color="auto"/>
              <w:right w:val="single" w:sz="4" w:space="0" w:color="auto"/>
            </w:tcBorders>
          </w:tcPr>
          <w:p w14:paraId="35CACB82" w14:textId="77777777" w:rsidR="00A052DC" w:rsidRDefault="009F0A60">
            <w:pPr>
              <w:rPr>
                <w:rFonts w:ascii="黑体" w:eastAsia="黑体" w:hAnsi="黑体"/>
                <w:sz w:val="20"/>
                <w:szCs w:val="20"/>
              </w:rPr>
            </w:pPr>
            <w:r>
              <w:rPr>
                <w:rFonts w:ascii="黑体" w:eastAsia="黑体" w:hAnsi="黑体" w:hint="eastAsia"/>
                <w:sz w:val="20"/>
                <w:szCs w:val="20"/>
              </w:rPr>
              <w:t>RPTDATE</w:t>
            </w:r>
          </w:p>
        </w:tc>
        <w:tc>
          <w:tcPr>
            <w:tcW w:w="1843" w:type="dxa"/>
            <w:tcBorders>
              <w:top w:val="single" w:sz="4" w:space="0" w:color="auto"/>
              <w:left w:val="single" w:sz="4" w:space="0" w:color="auto"/>
              <w:bottom w:val="single" w:sz="4" w:space="0" w:color="auto"/>
              <w:right w:val="single" w:sz="4" w:space="0" w:color="auto"/>
            </w:tcBorders>
          </w:tcPr>
          <w:p w14:paraId="3FEE029C" w14:textId="77777777" w:rsidR="00A052DC" w:rsidRDefault="009F0A60">
            <w:pPr>
              <w:rPr>
                <w:rFonts w:ascii="黑体" w:eastAsia="黑体" w:hAnsi="黑体"/>
                <w:sz w:val="20"/>
                <w:szCs w:val="20"/>
              </w:rPr>
            </w:pPr>
            <w:r>
              <w:rPr>
                <w:rFonts w:ascii="黑体" w:eastAsia="黑体" w:hAnsi="黑体" w:hint="eastAsia"/>
                <w:sz w:val="20"/>
                <w:szCs w:val="20"/>
              </w:rPr>
              <w:t>申报日期</w:t>
            </w:r>
          </w:p>
        </w:tc>
        <w:tc>
          <w:tcPr>
            <w:tcW w:w="1417" w:type="dxa"/>
            <w:tcBorders>
              <w:top w:val="single" w:sz="4" w:space="0" w:color="auto"/>
              <w:left w:val="single" w:sz="4" w:space="0" w:color="auto"/>
              <w:bottom w:val="single" w:sz="4" w:space="0" w:color="auto"/>
              <w:right w:val="single" w:sz="4" w:space="0" w:color="auto"/>
            </w:tcBorders>
          </w:tcPr>
          <w:p w14:paraId="28E6DFFB" w14:textId="77777777" w:rsidR="00A052DC" w:rsidRDefault="009F0A60">
            <w:pPr>
              <w:rPr>
                <w:rFonts w:ascii="黑体" w:eastAsia="黑体" w:hAnsi="黑体"/>
                <w:sz w:val="20"/>
                <w:szCs w:val="20"/>
              </w:rPr>
            </w:pPr>
            <w:r>
              <w:rPr>
                <w:rFonts w:ascii="黑体" w:eastAsia="黑体" w:hAnsi="黑体" w:hint="eastAsia"/>
                <w:sz w:val="20"/>
                <w:szCs w:val="20"/>
              </w:rPr>
              <w:t>日期型，8</w:t>
            </w:r>
          </w:p>
          <w:p w14:paraId="3C2B7AB3" w14:textId="77777777" w:rsidR="00A052DC" w:rsidRDefault="009F0A60">
            <w:pPr>
              <w:rPr>
                <w:rFonts w:ascii="黑体" w:eastAsia="黑体" w:hAnsi="黑体"/>
                <w:sz w:val="20"/>
                <w:szCs w:val="20"/>
              </w:rPr>
            </w:pPr>
            <w:r>
              <w:rPr>
                <w:rFonts w:ascii="黑体" w:eastAsia="黑体" w:hAnsi="黑体" w:hint="eastAsia"/>
                <w:sz w:val="20"/>
                <w:szCs w:val="20"/>
              </w:rPr>
              <w:t>YYYYMMDD</w:t>
            </w:r>
          </w:p>
        </w:tc>
        <w:tc>
          <w:tcPr>
            <w:tcW w:w="3969" w:type="dxa"/>
            <w:tcBorders>
              <w:top w:val="single" w:sz="4" w:space="0" w:color="auto"/>
              <w:left w:val="single" w:sz="4" w:space="0" w:color="auto"/>
              <w:bottom w:val="single" w:sz="4" w:space="0" w:color="auto"/>
              <w:right w:val="single" w:sz="4" w:space="0" w:color="auto"/>
            </w:tcBorders>
          </w:tcPr>
          <w:p w14:paraId="6B0EE8AF" w14:textId="77777777" w:rsidR="00A052DC" w:rsidRDefault="009F0A60">
            <w:pPr>
              <w:rPr>
                <w:rFonts w:ascii="黑体" w:eastAsia="黑体" w:hAnsi="黑体"/>
                <w:sz w:val="20"/>
                <w:szCs w:val="20"/>
              </w:rPr>
            </w:pPr>
            <w:r>
              <w:rPr>
                <w:rFonts w:ascii="黑体" w:eastAsia="黑体" w:hAnsi="黑体" w:hint="eastAsia"/>
                <w:sz w:val="20"/>
                <w:szCs w:val="20"/>
              </w:rPr>
              <w:t>必填项，按申报主体真实填报日期填写。</w:t>
            </w:r>
          </w:p>
        </w:tc>
      </w:tr>
      <w:tr w:rsidR="00A052DC" w14:paraId="3A84A0BA" w14:textId="77777777">
        <w:tc>
          <w:tcPr>
            <w:tcW w:w="1418" w:type="dxa"/>
            <w:tcBorders>
              <w:top w:val="single" w:sz="4" w:space="0" w:color="auto"/>
              <w:left w:val="single" w:sz="4" w:space="0" w:color="auto"/>
              <w:bottom w:val="single" w:sz="4" w:space="0" w:color="auto"/>
              <w:right w:val="single" w:sz="4" w:space="0" w:color="auto"/>
            </w:tcBorders>
          </w:tcPr>
          <w:p w14:paraId="72FC1FB0" w14:textId="77777777" w:rsidR="00A052DC" w:rsidRDefault="009F0A60">
            <w:pPr>
              <w:rPr>
                <w:rFonts w:ascii="黑体" w:eastAsia="黑体" w:hAnsi="黑体"/>
                <w:sz w:val="20"/>
                <w:szCs w:val="20"/>
              </w:rPr>
            </w:pPr>
            <w:r>
              <w:rPr>
                <w:rFonts w:ascii="黑体" w:eastAsia="黑体" w:hAnsi="黑体" w:hint="eastAsia"/>
                <w:sz w:val="20"/>
                <w:szCs w:val="20"/>
              </w:rPr>
              <w:t>REGNO</w:t>
            </w:r>
          </w:p>
        </w:tc>
        <w:tc>
          <w:tcPr>
            <w:tcW w:w="1843" w:type="dxa"/>
            <w:tcBorders>
              <w:top w:val="single" w:sz="4" w:space="0" w:color="auto"/>
              <w:left w:val="single" w:sz="4" w:space="0" w:color="auto"/>
              <w:bottom w:val="single" w:sz="4" w:space="0" w:color="auto"/>
              <w:right w:val="single" w:sz="4" w:space="0" w:color="auto"/>
            </w:tcBorders>
          </w:tcPr>
          <w:p w14:paraId="4D58A9A8" w14:textId="77777777" w:rsidR="00A052DC" w:rsidRDefault="009F0A60">
            <w:pPr>
              <w:rPr>
                <w:rFonts w:ascii="黑体" w:eastAsia="黑体" w:hAnsi="黑体"/>
                <w:sz w:val="20"/>
                <w:szCs w:val="20"/>
              </w:rPr>
            </w:pPr>
            <w:r>
              <w:rPr>
                <w:rFonts w:ascii="黑体" w:eastAsia="黑体" w:hAnsi="黑体" w:hint="eastAsia"/>
                <w:sz w:val="20"/>
                <w:szCs w:val="20"/>
              </w:rPr>
              <w:t>外汇局批件号/备案表号/业务编号</w:t>
            </w:r>
          </w:p>
        </w:tc>
        <w:tc>
          <w:tcPr>
            <w:tcW w:w="1417" w:type="dxa"/>
            <w:tcBorders>
              <w:top w:val="single" w:sz="4" w:space="0" w:color="auto"/>
              <w:left w:val="single" w:sz="4" w:space="0" w:color="auto"/>
              <w:bottom w:val="single" w:sz="4" w:space="0" w:color="auto"/>
              <w:right w:val="single" w:sz="4" w:space="0" w:color="auto"/>
            </w:tcBorders>
          </w:tcPr>
          <w:p w14:paraId="5D7182A6" w14:textId="77777777" w:rsidR="00A052DC" w:rsidRDefault="009F0A60">
            <w:pPr>
              <w:rPr>
                <w:rFonts w:ascii="黑体" w:eastAsia="黑体" w:hAnsi="黑体"/>
                <w:sz w:val="20"/>
                <w:szCs w:val="20"/>
              </w:rPr>
            </w:pPr>
            <w:r>
              <w:rPr>
                <w:rFonts w:ascii="黑体" w:eastAsia="黑体" w:hAnsi="黑体" w:hint="eastAsia"/>
                <w:sz w:val="20"/>
                <w:szCs w:val="20"/>
              </w:rPr>
              <w:t>字符型，20</w:t>
            </w:r>
          </w:p>
        </w:tc>
        <w:tc>
          <w:tcPr>
            <w:tcW w:w="3969" w:type="dxa"/>
            <w:tcBorders>
              <w:top w:val="single" w:sz="4" w:space="0" w:color="auto"/>
              <w:left w:val="single" w:sz="4" w:space="0" w:color="auto"/>
              <w:bottom w:val="single" w:sz="4" w:space="0" w:color="auto"/>
              <w:right w:val="single" w:sz="4" w:space="0" w:color="auto"/>
            </w:tcBorders>
          </w:tcPr>
          <w:p w14:paraId="66ADF45E" w14:textId="77777777" w:rsidR="00A052DC" w:rsidRDefault="00DD6AA3">
            <w:pPr>
              <w:rPr>
                <w:rFonts w:ascii="黑体" w:eastAsia="黑体" w:hAnsi="黑体"/>
                <w:sz w:val="20"/>
                <w:szCs w:val="20"/>
              </w:rPr>
            </w:pPr>
            <w:r>
              <w:rPr>
                <w:rFonts w:ascii="黑体" w:eastAsia="黑体" w:hAnsi="黑体" w:hint="eastAsia"/>
                <w:sz w:val="20"/>
                <w:szCs w:val="20"/>
              </w:rPr>
              <w:t>非必填项</w:t>
            </w:r>
            <w:r w:rsidR="009F0A60">
              <w:rPr>
                <w:rFonts w:ascii="黑体" w:eastAsia="黑体" w:hAnsi="黑体" w:hint="eastAsia"/>
                <w:sz w:val="20"/>
                <w:szCs w:val="20"/>
              </w:rPr>
              <w:t>，根据本笔付款所涉及的外汇局批件号、备案表号、业务编号进行填写。如果本笔付款涉及外汇局核准件，则优先填写该核准件编号。若本笔付款涉及货物贸易登记表，则填写相应的业务登记表编号。交易编码以“3”、“5”、“6”、“7”、“8”和部分“2”、“9”开头或涉及账户性质为资本项目性质账户的，“外汇局批件号/备案表号/业务编号”为必填项，填写规则参见《银行资本项目下数据报送参考规则》；对于《银行资本项目下数据报送参考规则》中未提到的情况，且不需要外汇局核准的（即确实没有对应的“外汇局批件号/备案表号/业务编号”），则应填写“N/A”（大写英文字母）。</w:t>
            </w:r>
          </w:p>
        </w:tc>
      </w:tr>
    </w:tbl>
    <w:p w14:paraId="0D16CC9A" w14:textId="77777777" w:rsidR="00A052DC" w:rsidRDefault="009F0A60">
      <w:pPr>
        <w:pStyle w:val="3"/>
        <w:ind w:left="0"/>
        <w:rPr>
          <w:rFonts w:ascii="Times New Roman" w:hAnsi="Times New Roman"/>
        </w:rPr>
      </w:pPr>
      <w:bookmarkStart w:id="985" w:name="_Toc454386781"/>
      <w:bookmarkStart w:id="986" w:name="_Toc91455272"/>
      <w:bookmarkStart w:id="987" w:name="_Toc101684445"/>
      <w:r>
        <w:rPr>
          <w:rFonts w:ascii="Times New Roman" w:hAnsi="Times New Roman" w:hint="eastAsia"/>
        </w:rPr>
        <w:t>对外付款</w:t>
      </w:r>
      <w:r>
        <w:rPr>
          <w:rFonts w:ascii="Times New Roman" w:hAnsi="Times New Roman"/>
        </w:rPr>
        <w:t>/</w:t>
      </w:r>
      <w:r>
        <w:rPr>
          <w:rFonts w:ascii="Times New Roman" w:hAnsi="Times New Roman" w:hint="eastAsia"/>
        </w:rPr>
        <w:t>承兑通知书</w:t>
      </w:r>
      <w:r>
        <w:rPr>
          <w:rFonts w:ascii="Times New Roman" w:hAnsi="Times New Roman"/>
        </w:rPr>
        <w:t>-</w:t>
      </w:r>
      <w:r>
        <w:rPr>
          <w:rFonts w:ascii="Times New Roman" w:hAnsi="Times New Roman" w:hint="eastAsia"/>
        </w:rPr>
        <w:t>管理信息</w:t>
      </w:r>
      <w:bookmarkEnd w:id="985"/>
      <w:bookmarkEnd w:id="986"/>
      <w:bookmarkEnd w:id="987"/>
    </w:p>
    <w:p w14:paraId="3EB3D8EE" w14:textId="77777777" w:rsidR="00A052DC" w:rsidRDefault="009F0A60" w:rsidP="0020251D">
      <w:pPr>
        <w:pStyle w:val="4"/>
        <w:numPr>
          <w:ilvl w:val="3"/>
          <w:numId w:val="1"/>
        </w:numPr>
        <w:jc w:val="left"/>
      </w:pPr>
      <w:bookmarkStart w:id="988" w:name="_Toc454386782"/>
      <w:r>
        <w:rPr>
          <w:rFonts w:hint="eastAsia"/>
        </w:rPr>
        <w:t>数据格式</w:t>
      </w:r>
      <w:bookmarkEnd w:id="988"/>
    </w:p>
    <w:p w14:paraId="14960A04" w14:textId="77777777" w:rsidR="00A052DC" w:rsidRDefault="009F0A60">
      <w:r>
        <w:t>&lt;REC&gt;</w:t>
      </w:r>
    </w:p>
    <w:p w14:paraId="5B0AEFFA" w14:textId="77777777" w:rsidR="00A052DC" w:rsidRDefault="009F0A60">
      <w:r>
        <w:t>&lt;ACTIONTYPE&gt;</w:t>
      </w:r>
      <w:r>
        <w:rPr>
          <w:rFonts w:hint="eastAsia"/>
        </w:rPr>
        <w:t>操作类型</w:t>
      </w:r>
      <w:r>
        <w:t>&lt;/ACTIONTYPE&gt;</w:t>
      </w:r>
    </w:p>
    <w:p w14:paraId="4DA53052" w14:textId="77777777" w:rsidR="00A052DC" w:rsidRDefault="009F0A60">
      <w:r>
        <w:t>&lt;ACTIONDESC&gt;</w:t>
      </w:r>
      <w:r>
        <w:rPr>
          <w:rFonts w:hint="eastAsia"/>
        </w:rPr>
        <w:t>修改</w:t>
      </w:r>
      <w:r>
        <w:t>/</w:t>
      </w:r>
      <w:r>
        <w:rPr>
          <w:rFonts w:hint="eastAsia"/>
        </w:rPr>
        <w:t>删除原因</w:t>
      </w:r>
      <w:r>
        <w:t>&lt;/ACTIONDESC&gt;</w:t>
      </w:r>
    </w:p>
    <w:p w14:paraId="553BA636" w14:textId="77777777" w:rsidR="00A052DC" w:rsidRDefault="009F0A60">
      <w:r>
        <w:t>&lt;RPTNO&gt;</w:t>
      </w:r>
      <w:r>
        <w:rPr>
          <w:rFonts w:hint="eastAsia"/>
        </w:rPr>
        <w:t>申报号码</w:t>
      </w:r>
      <w:r>
        <w:t>&lt;/RPTNO&gt;</w:t>
      </w:r>
    </w:p>
    <w:p w14:paraId="6C643916" w14:textId="77777777" w:rsidR="00A052DC" w:rsidRDefault="009F0A60">
      <w:r>
        <w:t>&lt;IMPDATE&gt;</w:t>
      </w:r>
      <w:r>
        <w:rPr>
          <w:rFonts w:hint="eastAsia"/>
        </w:rPr>
        <w:t>最迟装运日期</w:t>
      </w:r>
      <w:r>
        <w:t>&lt;/IMPDATE&gt;</w:t>
      </w:r>
    </w:p>
    <w:p w14:paraId="5BEEE82B" w14:textId="77777777" w:rsidR="00A052DC" w:rsidRDefault="009F0A60">
      <w:r>
        <w:t>&lt;CONTRNO&gt;</w:t>
      </w:r>
      <w:r>
        <w:rPr>
          <w:rFonts w:hint="eastAsia"/>
        </w:rPr>
        <w:t>合同号</w:t>
      </w:r>
      <w:r>
        <w:t>&lt;/CONTRNO&gt;</w:t>
      </w:r>
    </w:p>
    <w:p w14:paraId="774D981A" w14:textId="77777777" w:rsidR="00A052DC" w:rsidRDefault="009F0A60">
      <w:r>
        <w:t>&lt;INVOINO&gt;</w:t>
      </w:r>
      <w:r>
        <w:rPr>
          <w:rFonts w:hint="eastAsia"/>
        </w:rPr>
        <w:t>发票号</w:t>
      </w:r>
      <w:r>
        <w:t>&lt;/INVOINO&gt;</w:t>
      </w:r>
    </w:p>
    <w:p w14:paraId="76D11F85" w14:textId="77777777" w:rsidR="00A052DC" w:rsidRDefault="009F0A60">
      <w:r>
        <w:t>&lt;BILLNO&gt;</w:t>
      </w:r>
      <w:r>
        <w:rPr>
          <w:rFonts w:hint="eastAsia"/>
        </w:rPr>
        <w:t>提运单号</w:t>
      </w:r>
      <w:r>
        <w:rPr>
          <w:rFonts w:hint="eastAsia"/>
        </w:rPr>
        <w:t>/</w:t>
      </w:r>
      <w:r>
        <w:rPr>
          <w:rFonts w:hint="eastAsia"/>
        </w:rPr>
        <w:t>仓单号</w:t>
      </w:r>
      <w:r>
        <w:t>&lt;/BILLNO&gt;</w:t>
      </w:r>
    </w:p>
    <w:p w14:paraId="4FB317BE" w14:textId="77777777" w:rsidR="00A052DC" w:rsidRDefault="009F0A60">
      <w:r>
        <w:t>&lt;CONTAMT&gt;</w:t>
      </w:r>
      <w:r>
        <w:rPr>
          <w:rFonts w:hint="eastAsia"/>
        </w:rPr>
        <w:t>合同金额</w:t>
      </w:r>
      <w:r>
        <w:t>&lt;/CONTAMT&gt;</w:t>
      </w:r>
    </w:p>
    <w:p w14:paraId="24A2B98E" w14:textId="77777777" w:rsidR="00A052DC" w:rsidRDefault="009F0A60">
      <w:r>
        <w:t>&lt;REGNO&gt;</w:t>
      </w:r>
      <w:r>
        <w:rPr>
          <w:rFonts w:hint="eastAsia"/>
        </w:rPr>
        <w:t>外汇局批件</w:t>
      </w:r>
      <w:r>
        <w:t>/</w:t>
      </w:r>
      <w:r>
        <w:rPr>
          <w:rFonts w:hint="eastAsia"/>
        </w:rPr>
        <w:t>备案表号</w:t>
      </w:r>
      <w:r>
        <w:t>&lt;/REGNO&gt;</w:t>
      </w:r>
    </w:p>
    <w:p w14:paraId="11B534C9" w14:textId="77777777" w:rsidR="00A052DC" w:rsidRDefault="009F0A60">
      <w:r>
        <w:t>&lt;CRTUSER&gt;</w:t>
      </w:r>
      <w:r>
        <w:rPr>
          <w:rFonts w:hint="eastAsia"/>
        </w:rPr>
        <w:t>填报人</w:t>
      </w:r>
      <w:r>
        <w:t>&lt;/CRTUSER&gt;</w:t>
      </w:r>
    </w:p>
    <w:p w14:paraId="6FB6BF56" w14:textId="77777777" w:rsidR="00A052DC" w:rsidRDefault="009F0A60">
      <w:r>
        <w:t>&lt;INPTELC&gt;</w:t>
      </w:r>
      <w:r>
        <w:rPr>
          <w:rFonts w:hint="eastAsia"/>
        </w:rPr>
        <w:t>填报人电话</w:t>
      </w:r>
      <w:r>
        <w:t>&lt;/INPTELC&gt;</w:t>
      </w:r>
    </w:p>
    <w:p w14:paraId="50D7288C" w14:textId="77777777" w:rsidR="00A052DC" w:rsidRDefault="009F0A60">
      <w:r>
        <w:t>&lt;RPTDATE&gt;</w:t>
      </w:r>
      <w:r>
        <w:rPr>
          <w:rFonts w:hint="eastAsia"/>
        </w:rPr>
        <w:t>申报日期</w:t>
      </w:r>
      <w:r>
        <w:t>&lt;/RPTDATE&gt;</w:t>
      </w:r>
    </w:p>
    <w:p w14:paraId="693B68AF" w14:textId="77777777" w:rsidR="00A052DC" w:rsidRDefault="009F0A60">
      <w:r>
        <w:t>&lt;/REC&gt;</w:t>
      </w:r>
    </w:p>
    <w:p w14:paraId="272BFC02" w14:textId="77777777" w:rsidR="00A052DC" w:rsidRDefault="009F0A60" w:rsidP="0020251D">
      <w:pPr>
        <w:pStyle w:val="4"/>
        <w:numPr>
          <w:ilvl w:val="3"/>
          <w:numId w:val="1"/>
        </w:numPr>
        <w:jc w:val="left"/>
      </w:pPr>
      <w:bookmarkStart w:id="989" w:name="_Toc454386783"/>
      <w:r>
        <w:rPr>
          <w:rFonts w:hint="eastAsia"/>
        </w:rPr>
        <w:t>数据字典</w:t>
      </w:r>
      <w:bookmarkEnd w:id="989"/>
    </w:p>
    <w:tbl>
      <w:tblPr>
        <w:tblW w:w="86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559"/>
        <w:gridCol w:w="1559"/>
        <w:gridCol w:w="3827"/>
      </w:tblGrid>
      <w:tr w:rsidR="00A052DC" w14:paraId="67E79E70" w14:textId="77777777">
        <w:trPr>
          <w:tblHeader/>
        </w:trPr>
        <w:tc>
          <w:tcPr>
            <w:tcW w:w="1702" w:type="dxa"/>
            <w:shd w:val="clear" w:color="auto" w:fill="C0C0C0"/>
          </w:tcPr>
          <w:p w14:paraId="5D6FAAEC" w14:textId="77777777" w:rsidR="00A052DC" w:rsidRDefault="009F0A60">
            <w:pPr>
              <w:jc w:val="center"/>
              <w:rPr>
                <w:rFonts w:ascii="黑体" w:eastAsia="黑体" w:hAnsi="黑体"/>
                <w:b/>
                <w:sz w:val="20"/>
                <w:szCs w:val="20"/>
              </w:rPr>
            </w:pPr>
            <w:r>
              <w:rPr>
                <w:rFonts w:ascii="黑体" w:eastAsia="黑体" w:hAnsi="黑体" w:hint="eastAsia"/>
                <w:b/>
                <w:sz w:val="20"/>
                <w:szCs w:val="20"/>
              </w:rPr>
              <w:t>字段</w:t>
            </w:r>
          </w:p>
        </w:tc>
        <w:tc>
          <w:tcPr>
            <w:tcW w:w="1559" w:type="dxa"/>
            <w:shd w:val="clear" w:color="auto" w:fill="C0C0C0"/>
          </w:tcPr>
          <w:p w14:paraId="1FFD038B" w14:textId="77777777" w:rsidR="00A052DC" w:rsidRDefault="009F0A60">
            <w:pPr>
              <w:jc w:val="center"/>
              <w:rPr>
                <w:rFonts w:ascii="黑体" w:eastAsia="黑体" w:hAnsi="黑体"/>
                <w:b/>
                <w:sz w:val="20"/>
                <w:szCs w:val="20"/>
              </w:rPr>
            </w:pPr>
            <w:r>
              <w:rPr>
                <w:rFonts w:ascii="黑体" w:eastAsia="黑体" w:hAnsi="黑体" w:hint="eastAsia"/>
                <w:b/>
                <w:sz w:val="20"/>
                <w:szCs w:val="20"/>
              </w:rPr>
              <w:t>内容</w:t>
            </w:r>
          </w:p>
        </w:tc>
        <w:tc>
          <w:tcPr>
            <w:tcW w:w="1559" w:type="dxa"/>
            <w:shd w:val="clear" w:color="auto" w:fill="C0C0C0"/>
          </w:tcPr>
          <w:p w14:paraId="487D9CE0" w14:textId="77777777" w:rsidR="00A052DC" w:rsidRDefault="009F0A60">
            <w:pPr>
              <w:jc w:val="center"/>
              <w:rPr>
                <w:rFonts w:ascii="黑体" w:eastAsia="黑体" w:hAnsi="黑体"/>
                <w:b/>
                <w:sz w:val="20"/>
                <w:szCs w:val="20"/>
              </w:rPr>
            </w:pPr>
            <w:r>
              <w:rPr>
                <w:rFonts w:ascii="黑体" w:eastAsia="黑体" w:hAnsi="黑体" w:hint="eastAsia"/>
                <w:b/>
                <w:sz w:val="20"/>
                <w:szCs w:val="20"/>
              </w:rPr>
              <w:t>类型（长度）</w:t>
            </w:r>
          </w:p>
        </w:tc>
        <w:tc>
          <w:tcPr>
            <w:tcW w:w="3827" w:type="dxa"/>
            <w:shd w:val="clear" w:color="auto" w:fill="C0C0C0"/>
          </w:tcPr>
          <w:p w14:paraId="15F80BC1" w14:textId="77777777" w:rsidR="00A052DC" w:rsidRDefault="009F0A60">
            <w:pPr>
              <w:jc w:val="center"/>
              <w:rPr>
                <w:rFonts w:ascii="黑体" w:eastAsia="黑体" w:hAnsi="黑体"/>
                <w:b/>
                <w:sz w:val="20"/>
                <w:szCs w:val="20"/>
              </w:rPr>
            </w:pPr>
            <w:r>
              <w:rPr>
                <w:rFonts w:ascii="黑体" w:eastAsia="黑体" w:hAnsi="黑体" w:hint="eastAsia"/>
                <w:b/>
                <w:sz w:val="20"/>
                <w:szCs w:val="20"/>
              </w:rPr>
              <w:t>校验</w:t>
            </w:r>
          </w:p>
        </w:tc>
      </w:tr>
      <w:tr w:rsidR="00A052DC" w14:paraId="3E416EF2" w14:textId="77777777">
        <w:tc>
          <w:tcPr>
            <w:tcW w:w="1702" w:type="dxa"/>
            <w:tcBorders>
              <w:top w:val="single" w:sz="4" w:space="0" w:color="auto"/>
              <w:left w:val="single" w:sz="4" w:space="0" w:color="auto"/>
              <w:bottom w:val="single" w:sz="4" w:space="0" w:color="auto"/>
              <w:right w:val="single" w:sz="4" w:space="0" w:color="auto"/>
            </w:tcBorders>
          </w:tcPr>
          <w:p w14:paraId="3BB618C9" w14:textId="77777777" w:rsidR="00A052DC" w:rsidRDefault="009F0A60">
            <w:pPr>
              <w:rPr>
                <w:rFonts w:ascii="黑体" w:eastAsia="黑体" w:hAnsi="黑体"/>
                <w:sz w:val="20"/>
                <w:szCs w:val="20"/>
              </w:rPr>
            </w:pPr>
            <w:r>
              <w:rPr>
                <w:rFonts w:ascii="黑体" w:eastAsia="黑体" w:hAnsi="黑体" w:hint="eastAsia"/>
                <w:sz w:val="20"/>
                <w:szCs w:val="20"/>
              </w:rPr>
              <w:t>ACTIONTYPE</w:t>
            </w:r>
          </w:p>
        </w:tc>
        <w:tc>
          <w:tcPr>
            <w:tcW w:w="1559" w:type="dxa"/>
            <w:tcBorders>
              <w:top w:val="single" w:sz="4" w:space="0" w:color="auto"/>
              <w:left w:val="single" w:sz="4" w:space="0" w:color="auto"/>
              <w:bottom w:val="single" w:sz="4" w:space="0" w:color="auto"/>
              <w:right w:val="single" w:sz="4" w:space="0" w:color="auto"/>
            </w:tcBorders>
          </w:tcPr>
          <w:p w14:paraId="53E1B8A6" w14:textId="77777777" w:rsidR="00A052DC" w:rsidRDefault="009F0A60">
            <w:pPr>
              <w:rPr>
                <w:rFonts w:ascii="黑体" w:eastAsia="黑体" w:hAnsi="黑体"/>
                <w:sz w:val="20"/>
                <w:szCs w:val="20"/>
              </w:rPr>
            </w:pPr>
            <w:r>
              <w:rPr>
                <w:rFonts w:ascii="黑体" w:eastAsia="黑体" w:hAnsi="黑体" w:hint="eastAsia"/>
                <w:sz w:val="20"/>
                <w:szCs w:val="20"/>
              </w:rPr>
              <w:t>操作类型</w:t>
            </w:r>
          </w:p>
        </w:tc>
        <w:tc>
          <w:tcPr>
            <w:tcW w:w="1559" w:type="dxa"/>
            <w:tcBorders>
              <w:top w:val="single" w:sz="4" w:space="0" w:color="auto"/>
              <w:left w:val="single" w:sz="4" w:space="0" w:color="auto"/>
              <w:bottom w:val="single" w:sz="4" w:space="0" w:color="auto"/>
              <w:right w:val="single" w:sz="4" w:space="0" w:color="auto"/>
            </w:tcBorders>
          </w:tcPr>
          <w:p w14:paraId="1575AC26" w14:textId="77777777" w:rsidR="00A052DC" w:rsidRDefault="009F0A60">
            <w:pPr>
              <w:rPr>
                <w:rFonts w:ascii="黑体" w:eastAsia="黑体" w:hAnsi="黑体"/>
                <w:sz w:val="20"/>
                <w:szCs w:val="20"/>
              </w:rPr>
            </w:pPr>
            <w:r>
              <w:rPr>
                <w:rFonts w:ascii="黑体" w:eastAsia="黑体" w:hAnsi="黑体" w:hint="eastAsia"/>
                <w:sz w:val="20"/>
                <w:szCs w:val="20"/>
              </w:rPr>
              <w:t>字符型，1</w:t>
            </w:r>
          </w:p>
        </w:tc>
        <w:tc>
          <w:tcPr>
            <w:tcW w:w="3827" w:type="dxa"/>
            <w:tcBorders>
              <w:top w:val="single" w:sz="4" w:space="0" w:color="auto"/>
              <w:left w:val="single" w:sz="4" w:space="0" w:color="auto"/>
              <w:bottom w:val="single" w:sz="4" w:space="0" w:color="auto"/>
              <w:right w:val="single" w:sz="4" w:space="0" w:color="auto"/>
            </w:tcBorders>
          </w:tcPr>
          <w:p w14:paraId="5E59DA3C" w14:textId="77777777" w:rsidR="00A052DC" w:rsidRDefault="009F0A60">
            <w:pPr>
              <w:rPr>
                <w:rFonts w:ascii="黑体" w:eastAsia="黑体" w:hAnsi="黑体"/>
                <w:sz w:val="20"/>
                <w:szCs w:val="20"/>
              </w:rPr>
            </w:pPr>
            <w:r>
              <w:rPr>
                <w:rFonts w:ascii="黑体" w:eastAsia="黑体" w:hAnsi="黑体" w:hint="eastAsia"/>
                <w:sz w:val="20"/>
                <w:szCs w:val="20"/>
              </w:rPr>
              <w:t>A</w:t>
            </w:r>
            <w:r w:rsidR="00AE4602">
              <w:rPr>
                <w:rFonts w:ascii="黑体" w:eastAsia="黑体" w:hAnsi="黑体" w:hint="eastAsia"/>
                <w:sz w:val="20"/>
                <w:szCs w:val="20"/>
              </w:rPr>
              <w:t>-</w:t>
            </w:r>
            <w:r>
              <w:rPr>
                <w:rFonts w:ascii="黑体" w:eastAsia="黑体" w:hAnsi="黑体" w:hint="eastAsia"/>
                <w:sz w:val="20"/>
                <w:szCs w:val="20"/>
              </w:rPr>
              <w:t>新建</w:t>
            </w:r>
          </w:p>
          <w:p w14:paraId="381624FC" w14:textId="77777777" w:rsidR="00A052DC" w:rsidRDefault="009F0A60">
            <w:pPr>
              <w:rPr>
                <w:rFonts w:ascii="黑体" w:eastAsia="黑体" w:hAnsi="黑体"/>
                <w:sz w:val="20"/>
                <w:szCs w:val="20"/>
              </w:rPr>
            </w:pPr>
            <w:r>
              <w:rPr>
                <w:rFonts w:ascii="黑体" w:eastAsia="黑体" w:hAnsi="黑体" w:hint="eastAsia"/>
                <w:sz w:val="20"/>
                <w:szCs w:val="20"/>
              </w:rPr>
              <w:t>C</w:t>
            </w:r>
            <w:r w:rsidR="00AE4602">
              <w:rPr>
                <w:rFonts w:ascii="黑体" w:eastAsia="黑体" w:hAnsi="黑体" w:hint="eastAsia"/>
                <w:sz w:val="20"/>
                <w:szCs w:val="20"/>
              </w:rPr>
              <w:t>-</w:t>
            </w:r>
            <w:r>
              <w:rPr>
                <w:rFonts w:ascii="黑体" w:eastAsia="黑体" w:hAnsi="黑体" w:hint="eastAsia"/>
                <w:sz w:val="20"/>
                <w:szCs w:val="20"/>
              </w:rPr>
              <w:t>修改</w:t>
            </w:r>
          </w:p>
          <w:p w14:paraId="4495B4AF" w14:textId="77777777" w:rsidR="00A052DC" w:rsidRDefault="009F0A60">
            <w:pPr>
              <w:rPr>
                <w:rFonts w:ascii="黑体" w:eastAsia="黑体" w:hAnsi="黑体"/>
                <w:sz w:val="20"/>
                <w:szCs w:val="20"/>
              </w:rPr>
            </w:pPr>
            <w:r>
              <w:rPr>
                <w:rFonts w:ascii="黑体" w:eastAsia="黑体" w:hAnsi="黑体" w:hint="eastAsia"/>
                <w:sz w:val="20"/>
                <w:szCs w:val="20"/>
              </w:rPr>
              <w:t>D</w:t>
            </w:r>
            <w:r w:rsidR="00AE4602">
              <w:rPr>
                <w:rFonts w:ascii="黑体" w:eastAsia="黑体" w:hAnsi="黑体" w:hint="eastAsia"/>
                <w:sz w:val="20"/>
                <w:szCs w:val="20"/>
              </w:rPr>
              <w:t>-</w:t>
            </w:r>
            <w:r>
              <w:rPr>
                <w:rFonts w:ascii="黑体" w:eastAsia="黑体" w:hAnsi="黑体" w:hint="eastAsia"/>
                <w:sz w:val="20"/>
                <w:szCs w:val="20"/>
              </w:rPr>
              <w:t>删除，预留，暂不用</w:t>
            </w:r>
          </w:p>
        </w:tc>
      </w:tr>
      <w:tr w:rsidR="00A052DC" w14:paraId="3291D1B6" w14:textId="77777777">
        <w:tc>
          <w:tcPr>
            <w:tcW w:w="1702" w:type="dxa"/>
            <w:tcBorders>
              <w:top w:val="single" w:sz="4" w:space="0" w:color="auto"/>
              <w:left w:val="single" w:sz="4" w:space="0" w:color="auto"/>
              <w:bottom w:val="single" w:sz="4" w:space="0" w:color="auto"/>
              <w:right w:val="single" w:sz="4" w:space="0" w:color="auto"/>
            </w:tcBorders>
          </w:tcPr>
          <w:p w14:paraId="6F4A1DCA" w14:textId="77777777" w:rsidR="00A052DC" w:rsidRDefault="009F0A60">
            <w:pPr>
              <w:rPr>
                <w:rFonts w:ascii="黑体" w:eastAsia="黑体" w:hAnsi="黑体"/>
                <w:sz w:val="20"/>
                <w:szCs w:val="20"/>
              </w:rPr>
            </w:pPr>
            <w:r>
              <w:rPr>
                <w:rFonts w:ascii="黑体" w:eastAsia="黑体" w:hAnsi="黑体" w:hint="eastAsia"/>
                <w:sz w:val="20"/>
                <w:szCs w:val="20"/>
              </w:rPr>
              <w:t>ACTIONDESC</w:t>
            </w:r>
          </w:p>
        </w:tc>
        <w:tc>
          <w:tcPr>
            <w:tcW w:w="1559" w:type="dxa"/>
            <w:tcBorders>
              <w:top w:val="single" w:sz="4" w:space="0" w:color="auto"/>
              <w:left w:val="single" w:sz="4" w:space="0" w:color="auto"/>
              <w:bottom w:val="single" w:sz="4" w:space="0" w:color="auto"/>
              <w:right w:val="single" w:sz="4" w:space="0" w:color="auto"/>
            </w:tcBorders>
          </w:tcPr>
          <w:p w14:paraId="0965D376" w14:textId="77777777" w:rsidR="00A052DC" w:rsidRDefault="009F0A60">
            <w:pPr>
              <w:rPr>
                <w:rFonts w:ascii="黑体" w:eastAsia="黑体" w:hAnsi="黑体"/>
                <w:sz w:val="20"/>
                <w:szCs w:val="20"/>
              </w:rPr>
            </w:pPr>
            <w:r>
              <w:rPr>
                <w:rFonts w:ascii="黑体" w:eastAsia="黑体" w:hAnsi="黑体" w:hint="eastAsia"/>
                <w:sz w:val="20"/>
                <w:szCs w:val="20"/>
              </w:rPr>
              <w:t>修改/删除原因</w:t>
            </w:r>
          </w:p>
        </w:tc>
        <w:tc>
          <w:tcPr>
            <w:tcW w:w="1559" w:type="dxa"/>
            <w:tcBorders>
              <w:top w:val="single" w:sz="4" w:space="0" w:color="auto"/>
              <w:left w:val="single" w:sz="4" w:space="0" w:color="auto"/>
              <w:bottom w:val="single" w:sz="4" w:space="0" w:color="auto"/>
              <w:right w:val="single" w:sz="4" w:space="0" w:color="auto"/>
            </w:tcBorders>
          </w:tcPr>
          <w:p w14:paraId="226DF9C3"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3827" w:type="dxa"/>
            <w:tcBorders>
              <w:top w:val="single" w:sz="4" w:space="0" w:color="auto"/>
              <w:left w:val="single" w:sz="4" w:space="0" w:color="auto"/>
              <w:bottom w:val="single" w:sz="4" w:space="0" w:color="auto"/>
              <w:right w:val="single" w:sz="4" w:space="0" w:color="auto"/>
            </w:tcBorders>
          </w:tcPr>
          <w:p w14:paraId="7013618A" w14:textId="77777777" w:rsidR="00A052DC" w:rsidRDefault="00A052DC">
            <w:pPr>
              <w:rPr>
                <w:rFonts w:ascii="黑体" w:eastAsia="黑体" w:hAnsi="黑体"/>
                <w:sz w:val="20"/>
                <w:szCs w:val="20"/>
              </w:rPr>
            </w:pPr>
          </w:p>
        </w:tc>
      </w:tr>
      <w:tr w:rsidR="00A052DC" w14:paraId="6FBD70FC" w14:textId="77777777">
        <w:tc>
          <w:tcPr>
            <w:tcW w:w="1702" w:type="dxa"/>
          </w:tcPr>
          <w:p w14:paraId="1F270039" w14:textId="77777777" w:rsidR="00A052DC" w:rsidRDefault="009F0A60">
            <w:pPr>
              <w:rPr>
                <w:rFonts w:ascii="黑体" w:eastAsia="黑体" w:hAnsi="黑体"/>
                <w:sz w:val="20"/>
                <w:szCs w:val="20"/>
              </w:rPr>
            </w:pPr>
            <w:r>
              <w:rPr>
                <w:rFonts w:ascii="黑体" w:eastAsia="黑体" w:hAnsi="黑体" w:hint="eastAsia"/>
                <w:sz w:val="20"/>
                <w:szCs w:val="20"/>
              </w:rPr>
              <w:t>RPTNO</w:t>
            </w:r>
          </w:p>
        </w:tc>
        <w:tc>
          <w:tcPr>
            <w:tcW w:w="1559" w:type="dxa"/>
          </w:tcPr>
          <w:p w14:paraId="36403AA9" w14:textId="77777777" w:rsidR="00A052DC" w:rsidRDefault="009F0A60">
            <w:pPr>
              <w:rPr>
                <w:rFonts w:ascii="黑体" w:eastAsia="黑体" w:hAnsi="黑体"/>
                <w:sz w:val="20"/>
                <w:szCs w:val="20"/>
              </w:rPr>
            </w:pPr>
            <w:r>
              <w:rPr>
                <w:rFonts w:ascii="黑体" w:eastAsia="黑体" w:hAnsi="黑体" w:hint="eastAsia"/>
                <w:sz w:val="20"/>
                <w:szCs w:val="20"/>
              </w:rPr>
              <w:t>申报号码</w:t>
            </w:r>
          </w:p>
        </w:tc>
        <w:tc>
          <w:tcPr>
            <w:tcW w:w="1559" w:type="dxa"/>
          </w:tcPr>
          <w:p w14:paraId="591748D3" w14:textId="77777777" w:rsidR="00A052DC" w:rsidRDefault="009F0A60">
            <w:pPr>
              <w:rPr>
                <w:rFonts w:ascii="黑体" w:eastAsia="黑体" w:hAnsi="黑体"/>
                <w:sz w:val="20"/>
                <w:szCs w:val="20"/>
              </w:rPr>
            </w:pPr>
            <w:r>
              <w:rPr>
                <w:rFonts w:ascii="黑体" w:eastAsia="黑体" w:hAnsi="黑体" w:hint="eastAsia"/>
                <w:sz w:val="20"/>
                <w:szCs w:val="20"/>
              </w:rPr>
              <w:t>字符型，22</w:t>
            </w:r>
          </w:p>
        </w:tc>
        <w:tc>
          <w:tcPr>
            <w:tcW w:w="3827" w:type="dxa"/>
          </w:tcPr>
          <w:p w14:paraId="6D51A1EA" w14:textId="77777777" w:rsidR="00A052DC" w:rsidRDefault="009F0A60">
            <w:pPr>
              <w:rPr>
                <w:rFonts w:ascii="黑体" w:eastAsia="黑体" w:hAnsi="黑体"/>
                <w:sz w:val="20"/>
                <w:szCs w:val="20"/>
              </w:rPr>
            </w:pPr>
            <w:r>
              <w:rPr>
                <w:rFonts w:ascii="黑体" w:eastAsia="黑体" w:hAnsi="黑体" w:hint="eastAsia"/>
                <w:sz w:val="20"/>
                <w:szCs w:val="20"/>
              </w:rPr>
              <w:t>应与基础数据一致。</w:t>
            </w:r>
          </w:p>
        </w:tc>
      </w:tr>
      <w:tr w:rsidR="00A052DC" w14:paraId="505A298E" w14:textId="77777777">
        <w:tc>
          <w:tcPr>
            <w:tcW w:w="1702" w:type="dxa"/>
          </w:tcPr>
          <w:p w14:paraId="51A471CD" w14:textId="77777777" w:rsidR="00A052DC" w:rsidRDefault="009F0A60">
            <w:pPr>
              <w:rPr>
                <w:rFonts w:ascii="黑体" w:eastAsia="黑体" w:hAnsi="黑体"/>
                <w:sz w:val="20"/>
                <w:szCs w:val="20"/>
              </w:rPr>
            </w:pPr>
            <w:r>
              <w:rPr>
                <w:rFonts w:ascii="黑体" w:eastAsia="黑体" w:hAnsi="黑体" w:hint="eastAsia"/>
                <w:sz w:val="20"/>
                <w:szCs w:val="20"/>
              </w:rPr>
              <w:t>IMPDATE</w:t>
            </w:r>
          </w:p>
        </w:tc>
        <w:tc>
          <w:tcPr>
            <w:tcW w:w="1559" w:type="dxa"/>
          </w:tcPr>
          <w:p w14:paraId="2CAEA1DC" w14:textId="77777777" w:rsidR="00A052DC" w:rsidRDefault="009F0A60">
            <w:pPr>
              <w:rPr>
                <w:rFonts w:ascii="黑体" w:eastAsia="黑体" w:hAnsi="黑体"/>
                <w:sz w:val="20"/>
                <w:szCs w:val="20"/>
              </w:rPr>
            </w:pPr>
            <w:r>
              <w:rPr>
                <w:rFonts w:ascii="黑体" w:eastAsia="黑体" w:hAnsi="黑体" w:hint="eastAsia"/>
                <w:sz w:val="20"/>
                <w:szCs w:val="20"/>
              </w:rPr>
              <w:t>最迟装运日期</w:t>
            </w:r>
          </w:p>
        </w:tc>
        <w:tc>
          <w:tcPr>
            <w:tcW w:w="1559" w:type="dxa"/>
          </w:tcPr>
          <w:p w14:paraId="42844D56" w14:textId="77777777" w:rsidR="00A052DC" w:rsidRDefault="009F0A60">
            <w:pPr>
              <w:rPr>
                <w:rFonts w:ascii="黑体" w:eastAsia="黑体" w:hAnsi="黑体"/>
                <w:sz w:val="20"/>
                <w:szCs w:val="20"/>
              </w:rPr>
            </w:pPr>
            <w:r>
              <w:rPr>
                <w:rFonts w:ascii="黑体" w:eastAsia="黑体" w:hAnsi="黑体" w:hint="eastAsia"/>
                <w:sz w:val="20"/>
                <w:szCs w:val="20"/>
              </w:rPr>
              <w:t>日期型，8</w:t>
            </w:r>
          </w:p>
          <w:p w14:paraId="6897C2F7" w14:textId="77777777" w:rsidR="00A052DC" w:rsidRDefault="009F0A60">
            <w:pPr>
              <w:rPr>
                <w:rFonts w:ascii="黑体" w:eastAsia="黑体" w:hAnsi="黑体"/>
                <w:sz w:val="20"/>
                <w:szCs w:val="20"/>
              </w:rPr>
            </w:pPr>
            <w:r>
              <w:rPr>
                <w:rFonts w:ascii="黑体" w:eastAsia="黑体" w:hAnsi="黑体" w:hint="eastAsia"/>
                <w:sz w:val="20"/>
                <w:szCs w:val="20"/>
              </w:rPr>
              <w:t>YYYYMMDD</w:t>
            </w:r>
          </w:p>
        </w:tc>
        <w:tc>
          <w:tcPr>
            <w:tcW w:w="3827" w:type="dxa"/>
          </w:tcPr>
          <w:p w14:paraId="211F7F0F" w14:textId="77777777" w:rsidR="00A052DC" w:rsidRDefault="009F0A60">
            <w:pPr>
              <w:rPr>
                <w:rFonts w:ascii="黑体" w:eastAsia="黑体" w:hAnsi="黑体"/>
                <w:sz w:val="20"/>
                <w:szCs w:val="20"/>
              </w:rPr>
            </w:pPr>
            <w:r>
              <w:rPr>
                <w:rFonts w:ascii="黑体" w:eastAsia="黑体" w:hAnsi="黑体" w:hint="eastAsia"/>
                <w:sz w:val="20"/>
                <w:szCs w:val="20"/>
              </w:rPr>
              <w:t>空，不赋值。</w:t>
            </w:r>
          </w:p>
        </w:tc>
      </w:tr>
      <w:tr w:rsidR="00A052DC" w14:paraId="159AC6E8" w14:textId="77777777">
        <w:tc>
          <w:tcPr>
            <w:tcW w:w="1702" w:type="dxa"/>
          </w:tcPr>
          <w:p w14:paraId="2DF914E3" w14:textId="77777777" w:rsidR="00A052DC" w:rsidRDefault="009F0A60">
            <w:pPr>
              <w:rPr>
                <w:rFonts w:ascii="黑体" w:eastAsia="黑体" w:hAnsi="黑体"/>
                <w:sz w:val="20"/>
                <w:szCs w:val="20"/>
              </w:rPr>
            </w:pPr>
            <w:r>
              <w:rPr>
                <w:rFonts w:ascii="黑体" w:eastAsia="黑体" w:hAnsi="黑体" w:hint="eastAsia"/>
                <w:sz w:val="20"/>
                <w:szCs w:val="20"/>
              </w:rPr>
              <w:t>CONTRNO</w:t>
            </w:r>
          </w:p>
        </w:tc>
        <w:tc>
          <w:tcPr>
            <w:tcW w:w="1559" w:type="dxa"/>
          </w:tcPr>
          <w:p w14:paraId="47A31C4F" w14:textId="77777777" w:rsidR="00A052DC" w:rsidRDefault="009F0A60">
            <w:pPr>
              <w:rPr>
                <w:rFonts w:ascii="黑体" w:eastAsia="黑体" w:hAnsi="黑体"/>
                <w:sz w:val="20"/>
                <w:szCs w:val="20"/>
              </w:rPr>
            </w:pPr>
            <w:r>
              <w:rPr>
                <w:rFonts w:ascii="黑体" w:eastAsia="黑体" w:hAnsi="黑体" w:hint="eastAsia"/>
                <w:sz w:val="20"/>
                <w:szCs w:val="20"/>
              </w:rPr>
              <w:t>合同号</w:t>
            </w:r>
          </w:p>
        </w:tc>
        <w:tc>
          <w:tcPr>
            <w:tcW w:w="1559" w:type="dxa"/>
          </w:tcPr>
          <w:p w14:paraId="5781E65A"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3827" w:type="dxa"/>
          </w:tcPr>
          <w:p w14:paraId="2D6EFADD"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r w:rsidR="00A052DC" w14:paraId="3F3B0B4E" w14:textId="77777777">
        <w:tc>
          <w:tcPr>
            <w:tcW w:w="1702" w:type="dxa"/>
          </w:tcPr>
          <w:p w14:paraId="6DCD64DB" w14:textId="77777777" w:rsidR="00A052DC" w:rsidRDefault="009F0A60">
            <w:pPr>
              <w:rPr>
                <w:rFonts w:ascii="黑体" w:eastAsia="黑体" w:hAnsi="黑体"/>
                <w:sz w:val="20"/>
                <w:szCs w:val="20"/>
              </w:rPr>
            </w:pPr>
            <w:r>
              <w:rPr>
                <w:rFonts w:ascii="黑体" w:eastAsia="黑体" w:hAnsi="黑体" w:hint="eastAsia"/>
                <w:sz w:val="20"/>
                <w:szCs w:val="20"/>
              </w:rPr>
              <w:t>INVOINO</w:t>
            </w:r>
          </w:p>
        </w:tc>
        <w:tc>
          <w:tcPr>
            <w:tcW w:w="1559" w:type="dxa"/>
          </w:tcPr>
          <w:p w14:paraId="7BA316B2" w14:textId="77777777" w:rsidR="00A052DC" w:rsidRDefault="009F0A60">
            <w:pPr>
              <w:rPr>
                <w:rFonts w:ascii="黑体" w:eastAsia="黑体" w:hAnsi="黑体"/>
                <w:sz w:val="20"/>
                <w:szCs w:val="20"/>
              </w:rPr>
            </w:pPr>
            <w:r>
              <w:rPr>
                <w:rFonts w:ascii="黑体" w:eastAsia="黑体" w:hAnsi="黑体" w:hint="eastAsia"/>
                <w:sz w:val="20"/>
                <w:szCs w:val="20"/>
              </w:rPr>
              <w:t>发票号</w:t>
            </w:r>
          </w:p>
        </w:tc>
        <w:tc>
          <w:tcPr>
            <w:tcW w:w="1559" w:type="dxa"/>
          </w:tcPr>
          <w:p w14:paraId="3AAAB5A8"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3827" w:type="dxa"/>
          </w:tcPr>
          <w:p w14:paraId="4207C5C6"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r w:rsidR="00A052DC" w14:paraId="0590B8B4" w14:textId="77777777">
        <w:tc>
          <w:tcPr>
            <w:tcW w:w="1702" w:type="dxa"/>
          </w:tcPr>
          <w:p w14:paraId="572D8906" w14:textId="77777777" w:rsidR="00A052DC" w:rsidRDefault="009F0A60">
            <w:pPr>
              <w:rPr>
                <w:rFonts w:ascii="黑体" w:eastAsia="黑体" w:hAnsi="黑体"/>
                <w:sz w:val="20"/>
                <w:szCs w:val="20"/>
              </w:rPr>
            </w:pPr>
            <w:r>
              <w:rPr>
                <w:rFonts w:ascii="黑体" w:eastAsia="黑体" w:hAnsi="黑体" w:hint="eastAsia"/>
                <w:sz w:val="20"/>
                <w:szCs w:val="20"/>
              </w:rPr>
              <w:t>BILLNO</w:t>
            </w:r>
          </w:p>
        </w:tc>
        <w:tc>
          <w:tcPr>
            <w:tcW w:w="1559" w:type="dxa"/>
          </w:tcPr>
          <w:p w14:paraId="08EE9548" w14:textId="77777777" w:rsidR="00A052DC" w:rsidRDefault="009F0A60">
            <w:pPr>
              <w:rPr>
                <w:rFonts w:ascii="黑体" w:eastAsia="黑体" w:hAnsi="黑体"/>
                <w:sz w:val="20"/>
                <w:szCs w:val="20"/>
              </w:rPr>
            </w:pPr>
            <w:r>
              <w:rPr>
                <w:rFonts w:ascii="黑体" w:eastAsia="黑体" w:hAnsi="黑体" w:hint="eastAsia"/>
                <w:sz w:val="20"/>
                <w:szCs w:val="20"/>
              </w:rPr>
              <w:t>提运单号/仓单号</w:t>
            </w:r>
          </w:p>
        </w:tc>
        <w:tc>
          <w:tcPr>
            <w:tcW w:w="1559" w:type="dxa"/>
          </w:tcPr>
          <w:p w14:paraId="43E1A66D"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3827" w:type="dxa"/>
          </w:tcPr>
          <w:p w14:paraId="42BA7113" w14:textId="77777777" w:rsidR="00A052DC" w:rsidRDefault="00DD6AA3">
            <w:pPr>
              <w:rPr>
                <w:rFonts w:ascii="黑体" w:eastAsia="黑体" w:hAnsi="黑体"/>
                <w:sz w:val="20"/>
                <w:szCs w:val="20"/>
              </w:rPr>
            </w:pPr>
            <w:r>
              <w:rPr>
                <w:rFonts w:ascii="黑体" w:eastAsia="黑体" w:hAnsi="黑体" w:hint="eastAsia"/>
                <w:sz w:val="20"/>
                <w:szCs w:val="20"/>
              </w:rPr>
              <w:t>非必填项</w:t>
            </w:r>
            <w:r w:rsidR="009F0A60">
              <w:rPr>
                <w:rFonts w:ascii="黑体" w:eastAsia="黑体" w:hAnsi="黑体" w:hint="eastAsia"/>
                <w:sz w:val="20"/>
                <w:szCs w:val="20"/>
              </w:rPr>
              <w:t>。</w:t>
            </w:r>
          </w:p>
        </w:tc>
      </w:tr>
      <w:tr w:rsidR="00A052DC" w14:paraId="4CC46EB2" w14:textId="77777777">
        <w:tc>
          <w:tcPr>
            <w:tcW w:w="1702" w:type="dxa"/>
          </w:tcPr>
          <w:p w14:paraId="1C0A79DB" w14:textId="77777777" w:rsidR="00A052DC" w:rsidRDefault="009F0A60">
            <w:pPr>
              <w:rPr>
                <w:rFonts w:ascii="黑体" w:eastAsia="黑体" w:hAnsi="黑体"/>
                <w:sz w:val="20"/>
                <w:szCs w:val="20"/>
              </w:rPr>
            </w:pPr>
            <w:r>
              <w:rPr>
                <w:rFonts w:ascii="黑体" w:eastAsia="黑体" w:hAnsi="黑体" w:hint="eastAsia"/>
                <w:sz w:val="20"/>
                <w:szCs w:val="20"/>
              </w:rPr>
              <w:t>CONTAMT</w:t>
            </w:r>
          </w:p>
        </w:tc>
        <w:tc>
          <w:tcPr>
            <w:tcW w:w="1559" w:type="dxa"/>
          </w:tcPr>
          <w:p w14:paraId="58F17D54" w14:textId="77777777" w:rsidR="00A052DC" w:rsidRDefault="009F0A60">
            <w:pPr>
              <w:rPr>
                <w:rFonts w:ascii="黑体" w:eastAsia="黑体" w:hAnsi="黑体"/>
                <w:sz w:val="20"/>
                <w:szCs w:val="20"/>
              </w:rPr>
            </w:pPr>
            <w:r>
              <w:rPr>
                <w:rFonts w:ascii="黑体" w:eastAsia="黑体" w:hAnsi="黑体" w:hint="eastAsia"/>
                <w:sz w:val="20"/>
                <w:szCs w:val="20"/>
              </w:rPr>
              <w:t>合同金额</w:t>
            </w:r>
          </w:p>
        </w:tc>
        <w:tc>
          <w:tcPr>
            <w:tcW w:w="1559" w:type="dxa"/>
          </w:tcPr>
          <w:p w14:paraId="4361F740" w14:textId="77777777" w:rsidR="00A052DC" w:rsidRDefault="009F0A60">
            <w:pPr>
              <w:rPr>
                <w:rFonts w:ascii="黑体" w:eastAsia="黑体" w:hAnsi="黑体"/>
                <w:sz w:val="20"/>
                <w:szCs w:val="20"/>
              </w:rPr>
            </w:pPr>
            <w:r>
              <w:rPr>
                <w:rFonts w:ascii="黑体" w:eastAsia="黑体" w:hAnsi="黑体" w:hint="eastAsia"/>
                <w:sz w:val="20"/>
                <w:szCs w:val="20"/>
              </w:rPr>
              <w:t>数值型，22.0</w:t>
            </w:r>
          </w:p>
        </w:tc>
        <w:tc>
          <w:tcPr>
            <w:tcW w:w="3827" w:type="dxa"/>
          </w:tcPr>
          <w:p w14:paraId="20573622" w14:textId="77777777" w:rsidR="00A052DC" w:rsidRDefault="00DD6AA3">
            <w:pPr>
              <w:rPr>
                <w:rFonts w:ascii="黑体" w:eastAsia="黑体" w:hAnsi="黑体"/>
                <w:sz w:val="20"/>
                <w:szCs w:val="20"/>
              </w:rPr>
            </w:pPr>
            <w:r>
              <w:rPr>
                <w:rFonts w:ascii="黑体" w:eastAsia="黑体" w:hAnsi="黑体" w:hint="eastAsia"/>
                <w:sz w:val="20"/>
                <w:szCs w:val="20"/>
              </w:rPr>
              <w:t>非必填项</w:t>
            </w:r>
            <w:r w:rsidR="009F0A60">
              <w:rPr>
                <w:rFonts w:ascii="黑体" w:eastAsia="黑体" w:hAnsi="黑体" w:hint="eastAsia"/>
                <w:sz w:val="20"/>
                <w:szCs w:val="20"/>
              </w:rPr>
              <w:t>。</w:t>
            </w:r>
          </w:p>
        </w:tc>
      </w:tr>
      <w:tr w:rsidR="00A052DC" w14:paraId="50F89B30" w14:textId="77777777">
        <w:tc>
          <w:tcPr>
            <w:tcW w:w="1702" w:type="dxa"/>
          </w:tcPr>
          <w:p w14:paraId="26D79348" w14:textId="77777777" w:rsidR="00A052DC" w:rsidRDefault="009F0A60">
            <w:pPr>
              <w:rPr>
                <w:rFonts w:ascii="黑体" w:eastAsia="黑体" w:hAnsi="黑体"/>
                <w:sz w:val="20"/>
                <w:szCs w:val="20"/>
              </w:rPr>
            </w:pPr>
            <w:r>
              <w:rPr>
                <w:rFonts w:ascii="黑体" w:eastAsia="黑体" w:hAnsi="黑体" w:hint="eastAsia"/>
                <w:sz w:val="20"/>
                <w:szCs w:val="20"/>
              </w:rPr>
              <w:t>REGNO</w:t>
            </w:r>
          </w:p>
        </w:tc>
        <w:tc>
          <w:tcPr>
            <w:tcW w:w="1559" w:type="dxa"/>
          </w:tcPr>
          <w:p w14:paraId="373A0B39" w14:textId="77777777" w:rsidR="00A052DC" w:rsidRDefault="009F0A60">
            <w:pPr>
              <w:rPr>
                <w:rFonts w:ascii="黑体" w:eastAsia="黑体" w:hAnsi="黑体"/>
                <w:sz w:val="20"/>
                <w:szCs w:val="20"/>
              </w:rPr>
            </w:pPr>
            <w:r>
              <w:rPr>
                <w:rFonts w:ascii="黑体" w:eastAsia="黑体" w:hAnsi="黑体" w:hint="eastAsia"/>
                <w:sz w:val="20"/>
                <w:szCs w:val="20"/>
              </w:rPr>
              <w:t>外汇局批件/备案表号</w:t>
            </w:r>
          </w:p>
        </w:tc>
        <w:tc>
          <w:tcPr>
            <w:tcW w:w="1559" w:type="dxa"/>
          </w:tcPr>
          <w:p w14:paraId="48CD49EC" w14:textId="77777777" w:rsidR="00A052DC" w:rsidRDefault="009F0A60">
            <w:pPr>
              <w:rPr>
                <w:rFonts w:ascii="黑体" w:eastAsia="黑体" w:hAnsi="黑体"/>
                <w:sz w:val="20"/>
                <w:szCs w:val="20"/>
              </w:rPr>
            </w:pPr>
            <w:r>
              <w:rPr>
                <w:rFonts w:ascii="黑体" w:eastAsia="黑体" w:hAnsi="黑体" w:hint="eastAsia"/>
                <w:sz w:val="20"/>
                <w:szCs w:val="20"/>
              </w:rPr>
              <w:t>字符型，20</w:t>
            </w:r>
          </w:p>
        </w:tc>
        <w:tc>
          <w:tcPr>
            <w:tcW w:w="3827" w:type="dxa"/>
          </w:tcPr>
          <w:p w14:paraId="0699AFC4" w14:textId="77777777" w:rsidR="00A052DC" w:rsidRDefault="009F0A60">
            <w:pPr>
              <w:rPr>
                <w:rFonts w:ascii="黑体" w:eastAsia="黑体" w:hAnsi="黑体"/>
                <w:sz w:val="20"/>
                <w:szCs w:val="20"/>
              </w:rPr>
            </w:pPr>
            <w:r>
              <w:rPr>
                <w:rFonts w:ascii="黑体" w:eastAsia="黑体" w:hAnsi="黑体" w:hint="eastAsia"/>
                <w:sz w:val="20"/>
                <w:szCs w:val="20"/>
              </w:rPr>
              <w:t>空，不赋值。</w:t>
            </w:r>
          </w:p>
        </w:tc>
      </w:tr>
      <w:tr w:rsidR="00A052DC" w14:paraId="0DD6F215" w14:textId="77777777">
        <w:tc>
          <w:tcPr>
            <w:tcW w:w="1702" w:type="dxa"/>
          </w:tcPr>
          <w:p w14:paraId="6C6667FC" w14:textId="77777777" w:rsidR="00A052DC" w:rsidRDefault="009F0A60">
            <w:pPr>
              <w:rPr>
                <w:rFonts w:ascii="黑体" w:eastAsia="黑体" w:hAnsi="黑体"/>
                <w:sz w:val="20"/>
                <w:szCs w:val="20"/>
              </w:rPr>
            </w:pPr>
            <w:r>
              <w:rPr>
                <w:rFonts w:ascii="黑体" w:eastAsia="黑体" w:hAnsi="黑体" w:hint="eastAsia"/>
                <w:sz w:val="20"/>
                <w:szCs w:val="20"/>
              </w:rPr>
              <w:t>CRTUSER</w:t>
            </w:r>
          </w:p>
        </w:tc>
        <w:tc>
          <w:tcPr>
            <w:tcW w:w="1559" w:type="dxa"/>
          </w:tcPr>
          <w:p w14:paraId="2FB02FCD" w14:textId="77777777" w:rsidR="00A052DC" w:rsidRDefault="009F0A60">
            <w:pPr>
              <w:rPr>
                <w:rFonts w:ascii="黑体" w:eastAsia="黑体" w:hAnsi="黑体"/>
                <w:sz w:val="20"/>
                <w:szCs w:val="20"/>
              </w:rPr>
            </w:pPr>
            <w:r>
              <w:rPr>
                <w:rFonts w:ascii="黑体" w:eastAsia="黑体" w:hAnsi="黑体" w:hint="eastAsia"/>
                <w:sz w:val="20"/>
                <w:szCs w:val="20"/>
              </w:rPr>
              <w:t>填报人</w:t>
            </w:r>
          </w:p>
        </w:tc>
        <w:tc>
          <w:tcPr>
            <w:tcW w:w="1559" w:type="dxa"/>
          </w:tcPr>
          <w:p w14:paraId="15268BB0" w14:textId="77777777" w:rsidR="00A052DC" w:rsidRDefault="009F0A60">
            <w:pPr>
              <w:rPr>
                <w:rFonts w:ascii="黑体" w:eastAsia="黑体" w:hAnsi="黑体"/>
                <w:sz w:val="20"/>
                <w:szCs w:val="20"/>
              </w:rPr>
            </w:pPr>
            <w:r>
              <w:rPr>
                <w:rFonts w:ascii="黑体" w:eastAsia="黑体" w:hAnsi="黑体" w:hint="eastAsia"/>
                <w:sz w:val="20"/>
                <w:szCs w:val="20"/>
              </w:rPr>
              <w:t>字符型，20</w:t>
            </w:r>
          </w:p>
        </w:tc>
        <w:tc>
          <w:tcPr>
            <w:tcW w:w="3827" w:type="dxa"/>
          </w:tcPr>
          <w:p w14:paraId="02C9ABF8"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r w:rsidR="00A052DC" w14:paraId="28B29785" w14:textId="77777777">
        <w:tc>
          <w:tcPr>
            <w:tcW w:w="1702" w:type="dxa"/>
          </w:tcPr>
          <w:p w14:paraId="0A11D0D3" w14:textId="77777777" w:rsidR="00A052DC" w:rsidRDefault="009F0A60">
            <w:pPr>
              <w:rPr>
                <w:rFonts w:ascii="黑体" w:eastAsia="黑体" w:hAnsi="黑体"/>
                <w:sz w:val="20"/>
                <w:szCs w:val="20"/>
              </w:rPr>
            </w:pPr>
            <w:r>
              <w:rPr>
                <w:rFonts w:ascii="黑体" w:eastAsia="黑体" w:hAnsi="黑体" w:hint="eastAsia"/>
                <w:sz w:val="20"/>
                <w:szCs w:val="20"/>
              </w:rPr>
              <w:t>INPTELC</w:t>
            </w:r>
          </w:p>
        </w:tc>
        <w:tc>
          <w:tcPr>
            <w:tcW w:w="1559" w:type="dxa"/>
          </w:tcPr>
          <w:p w14:paraId="6884D3D1" w14:textId="77777777" w:rsidR="00A052DC" w:rsidRDefault="009F0A60">
            <w:pPr>
              <w:rPr>
                <w:rFonts w:ascii="黑体" w:eastAsia="黑体" w:hAnsi="黑体"/>
                <w:sz w:val="20"/>
                <w:szCs w:val="20"/>
              </w:rPr>
            </w:pPr>
            <w:r>
              <w:rPr>
                <w:rFonts w:ascii="黑体" w:eastAsia="黑体" w:hAnsi="黑体" w:hint="eastAsia"/>
                <w:sz w:val="20"/>
                <w:szCs w:val="20"/>
              </w:rPr>
              <w:t>填报人电话</w:t>
            </w:r>
          </w:p>
        </w:tc>
        <w:tc>
          <w:tcPr>
            <w:tcW w:w="1559" w:type="dxa"/>
          </w:tcPr>
          <w:p w14:paraId="4ABED65C" w14:textId="77777777" w:rsidR="00A052DC" w:rsidRDefault="009F0A60">
            <w:pPr>
              <w:rPr>
                <w:rFonts w:ascii="黑体" w:eastAsia="黑体" w:hAnsi="黑体"/>
                <w:sz w:val="20"/>
                <w:szCs w:val="20"/>
              </w:rPr>
            </w:pPr>
            <w:r>
              <w:rPr>
                <w:rFonts w:ascii="黑体" w:eastAsia="黑体" w:hAnsi="黑体" w:hint="eastAsia"/>
                <w:sz w:val="20"/>
                <w:szCs w:val="20"/>
              </w:rPr>
              <w:t>字符型，20</w:t>
            </w:r>
          </w:p>
        </w:tc>
        <w:tc>
          <w:tcPr>
            <w:tcW w:w="3827" w:type="dxa"/>
          </w:tcPr>
          <w:p w14:paraId="163274AC"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r w:rsidR="00A052DC" w14:paraId="0571C7FD" w14:textId="77777777">
        <w:tc>
          <w:tcPr>
            <w:tcW w:w="1702" w:type="dxa"/>
            <w:tcBorders>
              <w:top w:val="single" w:sz="4" w:space="0" w:color="auto"/>
              <w:left w:val="single" w:sz="4" w:space="0" w:color="auto"/>
              <w:bottom w:val="single" w:sz="4" w:space="0" w:color="auto"/>
              <w:right w:val="single" w:sz="4" w:space="0" w:color="auto"/>
            </w:tcBorders>
          </w:tcPr>
          <w:p w14:paraId="666B8329" w14:textId="77777777" w:rsidR="00A052DC" w:rsidRDefault="009F0A60">
            <w:pPr>
              <w:rPr>
                <w:rFonts w:ascii="黑体" w:eastAsia="黑体" w:hAnsi="黑体"/>
                <w:sz w:val="20"/>
                <w:szCs w:val="20"/>
              </w:rPr>
            </w:pPr>
            <w:r>
              <w:rPr>
                <w:rFonts w:ascii="黑体" w:eastAsia="黑体" w:hAnsi="黑体" w:hint="eastAsia"/>
                <w:sz w:val="20"/>
                <w:szCs w:val="20"/>
              </w:rPr>
              <w:t>RPTDATE</w:t>
            </w:r>
          </w:p>
        </w:tc>
        <w:tc>
          <w:tcPr>
            <w:tcW w:w="1559" w:type="dxa"/>
            <w:tcBorders>
              <w:top w:val="single" w:sz="4" w:space="0" w:color="auto"/>
              <w:left w:val="single" w:sz="4" w:space="0" w:color="auto"/>
              <w:bottom w:val="single" w:sz="4" w:space="0" w:color="auto"/>
              <w:right w:val="single" w:sz="4" w:space="0" w:color="auto"/>
            </w:tcBorders>
          </w:tcPr>
          <w:p w14:paraId="45939E6D" w14:textId="77777777" w:rsidR="00A052DC" w:rsidRDefault="009F0A60">
            <w:pPr>
              <w:rPr>
                <w:rFonts w:ascii="黑体" w:eastAsia="黑体" w:hAnsi="黑体"/>
                <w:sz w:val="20"/>
                <w:szCs w:val="20"/>
              </w:rPr>
            </w:pPr>
            <w:r>
              <w:rPr>
                <w:rFonts w:ascii="黑体" w:eastAsia="黑体" w:hAnsi="黑体" w:hint="eastAsia"/>
                <w:sz w:val="20"/>
                <w:szCs w:val="20"/>
              </w:rPr>
              <w:t>申报日期</w:t>
            </w:r>
          </w:p>
        </w:tc>
        <w:tc>
          <w:tcPr>
            <w:tcW w:w="1559" w:type="dxa"/>
            <w:tcBorders>
              <w:top w:val="single" w:sz="4" w:space="0" w:color="auto"/>
              <w:left w:val="single" w:sz="4" w:space="0" w:color="auto"/>
              <w:bottom w:val="single" w:sz="4" w:space="0" w:color="auto"/>
              <w:right w:val="single" w:sz="4" w:space="0" w:color="auto"/>
            </w:tcBorders>
          </w:tcPr>
          <w:p w14:paraId="4B318FF7" w14:textId="77777777" w:rsidR="00A052DC" w:rsidRDefault="009F0A60">
            <w:pPr>
              <w:rPr>
                <w:rFonts w:ascii="黑体" w:eastAsia="黑体" w:hAnsi="黑体"/>
                <w:sz w:val="20"/>
                <w:szCs w:val="20"/>
              </w:rPr>
            </w:pPr>
            <w:r>
              <w:rPr>
                <w:rFonts w:ascii="黑体" w:eastAsia="黑体" w:hAnsi="黑体" w:hint="eastAsia"/>
                <w:sz w:val="20"/>
                <w:szCs w:val="20"/>
              </w:rPr>
              <w:t>日期型，8</w:t>
            </w:r>
          </w:p>
          <w:p w14:paraId="476CE4CD" w14:textId="77777777" w:rsidR="00A052DC" w:rsidRDefault="009F0A60">
            <w:pPr>
              <w:rPr>
                <w:rFonts w:ascii="黑体" w:eastAsia="黑体" w:hAnsi="黑体"/>
                <w:sz w:val="20"/>
                <w:szCs w:val="20"/>
              </w:rPr>
            </w:pPr>
            <w:r>
              <w:rPr>
                <w:rFonts w:ascii="黑体" w:eastAsia="黑体" w:hAnsi="黑体" w:hint="eastAsia"/>
                <w:sz w:val="20"/>
                <w:szCs w:val="20"/>
              </w:rPr>
              <w:t>YYYYMMDD</w:t>
            </w:r>
          </w:p>
        </w:tc>
        <w:tc>
          <w:tcPr>
            <w:tcW w:w="3827" w:type="dxa"/>
            <w:tcBorders>
              <w:top w:val="single" w:sz="4" w:space="0" w:color="auto"/>
              <w:left w:val="single" w:sz="4" w:space="0" w:color="auto"/>
              <w:bottom w:val="single" w:sz="4" w:space="0" w:color="auto"/>
              <w:right w:val="single" w:sz="4" w:space="0" w:color="auto"/>
            </w:tcBorders>
          </w:tcPr>
          <w:p w14:paraId="37925FCB" w14:textId="77777777" w:rsidR="00A052DC" w:rsidRDefault="009F0A60">
            <w:pPr>
              <w:rPr>
                <w:rFonts w:ascii="黑体" w:eastAsia="黑体" w:hAnsi="黑体"/>
                <w:sz w:val="20"/>
                <w:szCs w:val="20"/>
              </w:rPr>
            </w:pPr>
            <w:r>
              <w:rPr>
                <w:rFonts w:ascii="黑体" w:eastAsia="黑体" w:hAnsi="黑体" w:hint="eastAsia"/>
                <w:sz w:val="20"/>
                <w:szCs w:val="20"/>
              </w:rPr>
              <w:t>必填项，按申报主体真实申报日期填写。</w:t>
            </w:r>
          </w:p>
        </w:tc>
      </w:tr>
    </w:tbl>
    <w:p w14:paraId="7911F532" w14:textId="77777777" w:rsidR="00A052DC" w:rsidRDefault="00A052DC">
      <w:bookmarkStart w:id="990" w:name="_Toc310578640"/>
      <w:bookmarkStart w:id="991" w:name="_Toc310598066"/>
      <w:bookmarkStart w:id="992" w:name="_Toc310578849"/>
      <w:bookmarkStart w:id="993" w:name="_Toc132432518"/>
      <w:bookmarkStart w:id="994" w:name="_Toc310598067"/>
      <w:bookmarkEnd w:id="888"/>
      <w:bookmarkEnd w:id="889"/>
      <w:bookmarkEnd w:id="943"/>
      <w:bookmarkEnd w:id="990"/>
      <w:bookmarkEnd w:id="991"/>
      <w:bookmarkEnd w:id="992"/>
    </w:p>
    <w:p w14:paraId="40F87986" w14:textId="77777777" w:rsidR="00A052DC" w:rsidRDefault="009F0A60" w:rsidP="0020251D">
      <w:pPr>
        <w:pStyle w:val="2"/>
        <w:rPr>
          <w:rFonts w:ascii="Times New Roman" w:hAnsi="Times New Roman"/>
        </w:rPr>
      </w:pPr>
      <w:bookmarkStart w:id="995" w:name="_Toc454464745"/>
      <w:bookmarkStart w:id="996" w:name="_Toc454780122"/>
      <w:bookmarkStart w:id="997" w:name="_Toc455163943"/>
      <w:bookmarkStart w:id="998" w:name="_Toc454378133"/>
      <w:bookmarkStart w:id="999" w:name="_Toc455152764"/>
      <w:bookmarkStart w:id="1000" w:name="_Toc454454828"/>
      <w:bookmarkStart w:id="1001" w:name="_Toc455167668"/>
      <w:bookmarkStart w:id="1002" w:name="_Toc454386784"/>
      <w:bookmarkStart w:id="1003" w:name="_Toc455156492"/>
      <w:bookmarkStart w:id="1004" w:name="_Toc454395052"/>
      <w:bookmarkStart w:id="1005" w:name="_Toc91455273"/>
      <w:bookmarkStart w:id="1006" w:name="_Toc454386785"/>
      <w:bookmarkStart w:id="1007" w:name="_Toc380356244"/>
      <w:bookmarkStart w:id="1008" w:name="_Toc101684446"/>
      <w:bookmarkStart w:id="1009" w:name="_Toc310598077"/>
      <w:bookmarkStart w:id="1010" w:name="_Toc310598206"/>
      <w:bookmarkEnd w:id="993"/>
      <w:bookmarkEnd w:id="994"/>
      <w:bookmarkEnd w:id="995"/>
      <w:bookmarkEnd w:id="996"/>
      <w:bookmarkEnd w:id="997"/>
      <w:bookmarkEnd w:id="998"/>
      <w:bookmarkEnd w:id="999"/>
      <w:bookmarkEnd w:id="1000"/>
      <w:bookmarkEnd w:id="1001"/>
      <w:bookmarkEnd w:id="1002"/>
      <w:bookmarkEnd w:id="1003"/>
      <w:bookmarkEnd w:id="1004"/>
      <w:r>
        <w:rPr>
          <w:rFonts w:ascii="Times New Roman" w:hAnsi="Times New Roman" w:hint="eastAsia"/>
        </w:rPr>
        <w:t>境内划转</w:t>
      </w:r>
      <w:bookmarkEnd w:id="1005"/>
      <w:bookmarkEnd w:id="1006"/>
      <w:bookmarkEnd w:id="1007"/>
      <w:bookmarkEnd w:id="1008"/>
    </w:p>
    <w:p w14:paraId="175AD4FC" w14:textId="77777777" w:rsidR="00A052DC" w:rsidRDefault="009F0A60" w:rsidP="0020251D">
      <w:pPr>
        <w:pStyle w:val="3"/>
        <w:ind w:left="0"/>
        <w:rPr>
          <w:rFonts w:ascii="Times New Roman" w:hAnsi="Times New Roman"/>
        </w:rPr>
      </w:pPr>
      <w:bookmarkStart w:id="1011" w:name="_Toc454386786"/>
      <w:bookmarkStart w:id="1012" w:name="_Toc91455274"/>
      <w:bookmarkStart w:id="1013" w:name="_Toc380356245"/>
      <w:bookmarkStart w:id="1014" w:name="_Toc101684447"/>
      <w:r>
        <w:rPr>
          <w:rFonts w:ascii="Times New Roman" w:hAnsi="Times New Roman" w:hint="eastAsia"/>
        </w:rPr>
        <w:t>境内收入申报单</w:t>
      </w:r>
      <w:r>
        <w:rPr>
          <w:rFonts w:ascii="Times New Roman" w:hAnsi="Times New Roman"/>
        </w:rPr>
        <w:t>-</w:t>
      </w:r>
      <w:r>
        <w:rPr>
          <w:rFonts w:ascii="Times New Roman" w:hAnsi="Times New Roman" w:hint="eastAsia"/>
        </w:rPr>
        <w:t>基础信息</w:t>
      </w:r>
      <w:bookmarkEnd w:id="1011"/>
      <w:bookmarkEnd w:id="1012"/>
      <w:bookmarkEnd w:id="1013"/>
      <w:bookmarkEnd w:id="1014"/>
    </w:p>
    <w:p w14:paraId="12A99015" w14:textId="77777777" w:rsidR="00A052DC" w:rsidRDefault="009F0A60" w:rsidP="0020251D">
      <w:pPr>
        <w:pStyle w:val="4"/>
        <w:numPr>
          <w:ilvl w:val="3"/>
          <w:numId w:val="1"/>
        </w:numPr>
        <w:jc w:val="left"/>
      </w:pPr>
      <w:bookmarkStart w:id="1015" w:name="_Toc454386787"/>
      <w:r>
        <w:rPr>
          <w:rFonts w:hint="eastAsia"/>
        </w:rPr>
        <w:t>数据格式</w:t>
      </w:r>
      <w:bookmarkEnd w:id="1015"/>
    </w:p>
    <w:p w14:paraId="0E092284" w14:textId="77777777" w:rsidR="00A052DC" w:rsidRDefault="009F0A60">
      <w:r>
        <w:t>&lt;REC&gt;</w:t>
      </w:r>
    </w:p>
    <w:p w14:paraId="0F7DCDDD" w14:textId="77777777" w:rsidR="00A052DC" w:rsidRDefault="009F0A60">
      <w:r>
        <w:t>&lt;ACTIONTYPE&gt;</w:t>
      </w:r>
      <w:r>
        <w:rPr>
          <w:rFonts w:hint="eastAsia"/>
        </w:rPr>
        <w:t>操作类型</w:t>
      </w:r>
      <w:r>
        <w:t>&lt;/ACTIONTYPE&gt;</w:t>
      </w:r>
    </w:p>
    <w:p w14:paraId="684F5BB1" w14:textId="77777777" w:rsidR="00A052DC" w:rsidRDefault="009F0A60">
      <w:r>
        <w:t>&lt;ACTIONDESC&gt;</w:t>
      </w:r>
      <w:r>
        <w:rPr>
          <w:rFonts w:hint="eastAsia"/>
        </w:rPr>
        <w:t>修改</w:t>
      </w:r>
      <w:r>
        <w:t>/</w:t>
      </w:r>
      <w:r>
        <w:rPr>
          <w:rFonts w:hint="eastAsia"/>
        </w:rPr>
        <w:t>删除原因</w:t>
      </w:r>
      <w:r>
        <w:t>/</w:t>
      </w:r>
      <w:r>
        <w:rPr>
          <w:rFonts w:hint="eastAsia"/>
        </w:rPr>
        <w:t>申报无误理由</w:t>
      </w:r>
      <w:r>
        <w:t>&lt;/ACTIONDESC&gt;</w:t>
      </w:r>
    </w:p>
    <w:p w14:paraId="477D8F49" w14:textId="77777777" w:rsidR="00A052DC" w:rsidRDefault="009F0A60">
      <w:r>
        <w:t>&lt;RPTNO&gt;</w:t>
      </w:r>
      <w:r>
        <w:rPr>
          <w:rFonts w:hint="eastAsia"/>
        </w:rPr>
        <w:t>申报号码</w:t>
      </w:r>
      <w:r>
        <w:t>&lt;/RPTNO&gt;</w:t>
      </w:r>
    </w:p>
    <w:p w14:paraId="36EEB245" w14:textId="77777777" w:rsidR="00A052DC" w:rsidRDefault="009F0A60">
      <w:r>
        <w:t>&lt;CUSTYPE&gt;</w:t>
      </w:r>
      <w:r>
        <w:rPr>
          <w:rFonts w:hint="eastAsia"/>
        </w:rPr>
        <w:t>收款人类型</w:t>
      </w:r>
      <w:r>
        <w:t>&lt;/CUSTYPE&gt;</w:t>
      </w:r>
    </w:p>
    <w:p w14:paraId="7E39D73B" w14:textId="77777777" w:rsidR="00A052DC" w:rsidRDefault="009F0A60">
      <w:r>
        <w:t>&lt;IDCODE&gt;</w:t>
      </w:r>
      <w:r>
        <w:rPr>
          <w:rFonts w:hint="eastAsia"/>
        </w:rPr>
        <w:t>个人身份证件号码</w:t>
      </w:r>
      <w:r>
        <w:t>&lt;/IDCODE&gt;</w:t>
      </w:r>
    </w:p>
    <w:p w14:paraId="0C02EE4B" w14:textId="77777777" w:rsidR="00A052DC" w:rsidRDefault="009F0A60">
      <w:r>
        <w:t>&lt;CUSTCOD&gt;</w:t>
      </w:r>
      <w:r>
        <w:rPr>
          <w:rFonts w:hint="eastAsia"/>
        </w:rPr>
        <w:t>主体标识码</w:t>
      </w:r>
      <w:r>
        <w:t>&lt;/CUSTCOD&gt;</w:t>
      </w:r>
    </w:p>
    <w:p w14:paraId="677C7076" w14:textId="77777777" w:rsidR="00A052DC" w:rsidRDefault="009F0A60">
      <w:r>
        <w:t>&lt;CUSTNM&gt;</w:t>
      </w:r>
      <w:r>
        <w:rPr>
          <w:rFonts w:hint="eastAsia"/>
        </w:rPr>
        <w:t>收款人名称</w:t>
      </w:r>
      <w:r>
        <w:t>&lt;/CUSTNM&gt;</w:t>
      </w:r>
    </w:p>
    <w:p w14:paraId="2BF34811" w14:textId="77777777" w:rsidR="00A052DC" w:rsidRDefault="009F0A60">
      <w:r>
        <w:t>&lt;OPPUSER&gt;</w:t>
      </w:r>
      <w:r>
        <w:rPr>
          <w:rFonts w:hint="eastAsia"/>
        </w:rPr>
        <w:t>付款人名称</w:t>
      </w:r>
      <w:r>
        <w:t>&lt;/OPPUSER&gt;</w:t>
      </w:r>
    </w:p>
    <w:p w14:paraId="2F208EEA" w14:textId="77777777" w:rsidR="00A052DC" w:rsidRDefault="009F0A60">
      <w:r>
        <w:t>&lt;TXCCY&gt;</w:t>
      </w:r>
      <w:r>
        <w:rPr>
          <w:rFonts w:hint="eastAsia"/>
        </w:rPr>
        <w:t>收入款币种</w:t>
      </w:r>
      <w:r>
        <w:t>&lt;/TXCCY&gt;</w:t>
      </w:r>
    </w:p>
    <w:p w14:paraId="0F177F94" w14:textId="77777777" w:rsidR="00A052DC" w:rsidRDefault="009F0A60">
      <w:r>
        <w:t>&lt;TXAMT&gt;</w:t>
      </w:r>
      <w:r>
        <w:rPr>
          <w:rFonts w:hint="eastAsia"/>
        </w:rPr>
        <w:t>收入款金额</w:t>
      </w:r>
      <w:r>
        <w:t>&lt;/TXAMT&gt;</w:t>
      </w:r>
    </w:p>
    <w:p w14:paraId="1385F8B5" w14:textId="77777777" w:rsidR="00A052DC" w:rsidRDefault="009F0A60">
      <w:r>
        <w:t>&lt;EXRATE&gt;</w:t>
      </w:r>
      <w:r>
        <w:rPr>
          <w:rFonts w:hint="eastAsia"/>
        </w:rPr>
        <w:t>结汇汇率</w:t>
      </w:r>
      <w:r>
        <w:t>&lt;/EXRATE&gt;</w:t>
      </w:r>
    </w:p>
    <w:p w14:paraId="15A2E41D" w14:textId="77777777" w:rsidR="00A052DC" w:rsidRDefault="009F0A60">
      <w:r>
        <w:t>&lt;LCYAMT&gt;</w:t>
      </w:r>
      <w:r>
        <w:rPr>
          <w:rFonts w:hint="eastAsia"/>
        </w:rPr>
        <w:t>结汇金额</w:t>
      </w:r>
      <w:r>
        <w:t>&lt;/LCYAMT&gt;</w:t>
      </w:r>
    </w:p>
    <w:p w14:paraId="2515F465" w14:textId="77777777" w:rsidR="00A052DC" w:rsidRDefault="009F0A60">
      <w:r>
        <w:t>&lt;LCYACC&gt;</w:t>
      </w:r>
      <w:r>
        <w:rPr>
          <w:rFonts w:hint="eastAsia"/>
        </w:rPr>
        <w:t>人民币账号</w:t>
      </w:r>
      <w:r>
        <w:t>/</w:t>
      </w:r>
      <w:r>
        <w:rPr>
          <w:rFonts w:hint="eastAsia"/>
        </w:rPr>
        <w:t>银行卡号</w:t>
      </w:r>
      <w:r>
        <w:t>&lt;/LCYACC&gt;</w:t>
      </w:r>
    </w:p>
    <w:p w14:paraId="564D8196" w14:textId="77777777" w:rsidR="00A052DC" w:rsidRDefault="009F0A60">
      <w:r>
        <w:t>&lt;FCYAMT&gt;</w:t>
      </w:r>
      <w:r>
        <w:rPr>
          <w:rFonts w:hint="eastAsia"/>
        </w:rPr>
        <w:t>现汇金额</w:t>
      </w:r>
      <w:r>
        <w:t>&lt;/FCYAMT&gt;</w:t>
      </w:r>
    </w:p>
    <w:p w14:paraId="7671287D" w14:textId="77777777" w:rsidR="00A052DC" w:rsidRDefault="009F0A60">
      <w:r>
        <w:t>&lt;FCYACC&gt;</w:t>
      </w:r>
      <w:r>
        <w:rPr>
          <w:rFonts w:hint="eastAsia"/>
        </w:rPr>
        <w:t>外汇账号</w:t>
      </w:r>
      <w:r>
        <w:t>/</w:t>
      </w:r>
      <w:r>
        <w:rPr>
          <w:rFonts w:hint="eastAsia"/>
        </w:rPr>
        <w:t>银行卡号</w:t>
      </w:r>
      <w:r>
        <w:t>&lt;/FCYACC&gt;</w:t>
      </w:r>
    </w:p>
    <w:p w14:paraId="6E2B2ACF" w14:textId="77777777" w:rsidR="00A052DC" w:rsidRDefault="009F0A60">
      <w:r>
        <w:t>&lt;OTHAMT&gt;</w:t>
      </w:r>
      <w:r w:rsidR="0021563C">
        <w:rPr>
          <w:rFonts w:hint="eastAsia"/>
        </w:rPr>
        <w:t>其他</w:t>
      </w:r>
      <w:r>
        <w:rPr>
          <w:rFonts w:hint="eastAsia"/>
        </w:rPr>
        <w:t>金额</w:t>
      </w:r>
      <w:r>
        <w:t>&lt;/OTHAMT&gt;</w:t>
      </w:r>
    </w:p>
    <w:p w14:paraId="09163A84" w14:textId="77777777" w:rsidR="00A052DC" w:rsidRDefault="009F0A60">
      <w:r>
        <w:t>&lt;OTHACC&gt;</w:t>
      </w:r>
      <w:r w:rsidR="0021563C">
        <w:rPr>
          <w:rFonts w:hint="eastAsia"/>
        </w:rPr>
        <w:t>其他</w:t>
      </w:r>
      <w:r>
        <w:rPr>
          <w:rFonts w:hint="eastAsia"/>
        </w:rPr>
        <w:t>账号</w:t>
      </w:r>
      <w:r>
        <w:t>/</w:t>
      </w:r>
      <w:r>
        <w:rPr>
          <w:rFonts w:hint="eastAsia"/>
        </w:rPr>
        <w:t>银行卡号</w:t>
      </w:r>
      <w:r>
        <w:t>&lt;/OTHACC&gt;</w:t>
      </w:r>
    </w:p>
    <w:p w14:paraId="34CFA269" w14:textId="77777777" w:rsidR="00A052DC" w:rsidRDefault="009F0A60">
      <w:r>
        <w:t>&lt;METHOD&gt;</w:t>
      </w:r>
      <w:r>
        <w:rPr>
          <w:rFonts w:hint="eastAsia"/>
        </w:rPr>
        <w:t>结算方式</w:t>
      </w:r>
      <w:r>
        <w:t>&lt;/METHOD&gt;</w:t>
      </w:r>
    </w:p>
    <w:p w14:paraId="1C96626D" w14:textId="77777777" w:rsidR="00A052DC" w:rsidRDefault="009F0A60">
      <w:r>
        <w:t>&lt;BUSCODE&gt;</w:t>
      </w:r>
      <w:r>
        <w:rPr>
          <w:rFonts w:hint="eastAsia"/>
        </w:rPr>
        <w:t>银行业务编号</w:t>
      </w:r>
      <w:r>
        <w:t>&lt;/BUSCODE&gt;</w:t>
      </w:r>
    </w:p>
    <w:p w14:paraId="504A9FA0" w14:textId="77777777" w:rsidR="00A052DC" w:rsidRDefault="009F0A60">
      <w:r>
        <w:t>&lt;INCHARGECCY&gt;</w:t>
      </w:r>
      <w:r>
        <w:rPr>
          <w:rFonts w:hint="eastAsia"/>
        </w:rPr>
        <w:t>国内银行扣费币种</w:t>
      </w:r>
      <w:r>
        <w:t>&lt;/INCHARGECCY&gt;</w:t>
      </w:r>
    </w:p>
    <w:p w14:paraId="59DAA786" w14:textId="77777777" w:rsidR="00A052DC" w:rsidRDefault="009F0A60">
      <w:r>
        <w:t>&lt;INCHARGEAMT&gt;</w:t>
      </w:r>
      <w:r>
        <w:rPr>
          <w:rFonts w:hint="eastAsia"/>
        </w:rPr>
        <w:t>国内银行扣费金额</w:t>
      </w:r>
      <w:r>
        <w:t>&lt;/INCHARGEAMT&gt;</w:t>
      </w:r>
    </w:p>
    <w:p w14:paraId="345996D3" w14:textId="77777777" w:rsidR="00A052DC" w:rsidRDefault="009F0A60">
      <w:r>
        <w:t>&lt;/REC&gt;</w:t>
      </w:r>
    </w:p>
    <w:p w14:paraId="6BFBD9A4" w14:textId="77777777" w:rsidR="00A052DC" w:rsidRDefault="009F0A60" w:rsidP="0020251D">
      <w:pPr>
        <w:pStyle w:val="4"/>
        <w:numPr>
          <w:ilvl w:val="3"/>
          <w:numId w:val="1"/>
        </w:numPr>
        <w:jc w:val="left"/>
      </w:pPr>
      <w:bookmarkStart w:id="1016" w:name="_Toc454386788"/>
      <w:bookmarkStart w:id="1017" w:name="_Toc454386789"/>
      <w:bookmarkEnd w:id="1016"/>
      <w:r>
        <w:rPr>
          <w:rFonts w:hint="eastAsia"/>
        </w:rPr>
        <w:t>数据字典</w:t>
      </w:r>
      <w:bookmarkEnd w:id="1017"/>
    </w:p>
    <w:tbl>
      <w:tblPr>
        <w:tblW w:w="86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559"/>
        <w:gridCol w:w="1559"/>
        <w:gridCol w:w="3969"/>
      </w:tblGrid>
      <w:tr w:rsidR="00A052DC" w14:paraId="07C960E1" w14:textId="77777777">
        <w:trPr>
          <w:trHeight w:val="20"/>
          <w:tblHeader/>
        </w:trPr>
        <w:tc>
          <w:tcPr>
            <w:tcW w:w="1560" w:type="dxa"/>
            <w:shd w:val="clear" w:color="auto" w:fill="C0C0C0"/>
          </w:tcPr>
          <w:p w14:paraId="37D9633D" w14:textId="77777777" w:rsidR="00A052DC" w:rsidRDefault="009F0A60">
            <w:pPr>
              <w:jc w:val="center"/>
              <w:rPr>
                <w:rFonts w:ascii="黑体" w:eastAsia="黑体" w:hAnsi="黑体"/>
                <w:b/>
                <w:sz w:val="20"/>
                <w:szCs w:val="20"/>
              </w:rPr>
            </w:pPr>
            <w:r>
              <w:rPr>
                <w:rFonts w:ascii="黑体" w:eastAsia="黑体" w:hAnsi="黑体" w:hint="eastAsia"/>
                <w:b/>
                <w:sz w:val="20"/>
                <w:szCs w:val="20"/>
              </w:rPr>
              <w:t>字段</w:t>
            </w:r>
          </w:p>
        </w:tc>
        <w:tc>
          <w:tcPr>
            <w:tcW w:w="1559" w:type="dxa"/>
            <w:shd w:val="clear" w:color="auto" w:fill="C0C0C0"/>
          </w:tcPr>
          <w:p w14:paraId="29C0DBFA" w14:textId="77777777" w:rsidR="00A052DC" w:rsidRDefault="009F0A60">
            <w:pPr>
              <w:jc w:val="center"/>
              <w:rPr>
                <w:rFonts w:ascii="黑体" w:eastAsia="黑体" w:hAnsi="黑体"/>
                <w:b/>
                <w:sz w:val="20"/>
                <w:szCs w:val="20"/>
              </w:rPr>
            </w:pPr>
            <w:r>
              <w:rPr>
                <w:rFonts w:ascii="黑体" w:eastAsia="黑体" w:hAnsi="黑体" w:hint="eastAsia"/>
                <w:b/>
                <w:sz w:val="20"/>
                <w:szCs w:val="20"/>
              </w:rPr>
              <w:t>内容</w:t>
            </w:r>
          </w:p>
        </w:tc>
        <w:tc>
          <w:tcPr>
            <w:tcW w:w="1559" w:type="dxa"/>
            <w:shd w:val="clear" w:color="auto" w:fill="C0C0C0"/>
          </w:tcPr>
          <w:p w14:paraId="66C3BDDD" w14:textId="77777777" w:rsidR="00A052DC" w:rsidRDefault="009F0A60">
            <w:pPr>
              <w:jc w:val="center"/>
              <w:rPr>
                <w:rFonts w:ascii="黑体" w:eastAsia="黑体" w:hAnsi="黑体"/>
                <w:b/>
                <w:sz w:val="20"/>
                <w:szCs w:val="20"/>
              </w:rPr>
            </w:pPr>
            <w:r>
              <w:rPr>
                <w:rFonts w:ascii="黑体" w:eastAsia="黑体" w:hAnsi="黑体" w:hint="eastAsia"/>
                <w:b/>
                <w:sz w:val="20"/>
                <w:szCs w:val="20"/>
              </w:rPr>
              <w:t>类型（长度）</w:t>
            </w:r>
          </w:p>
        </w:tc>
        <w:tc>
          <w:tcPr>
            <w:tcW w:w="3969" w:type="dxa"/>
            <w:shd w:val="clear" w:color="auto" w:fill="C0C0C0"/>
          </w:tcPr>
          <w:p w14:paraId="7E57C264" w14:textId="77777777" w:rsidR="00A052DC" w:rsidRDefault="009F0A60">
            <w:pPr>
              <w:jc w:val="center"/>
              <w:rPr>
                <w:rFonts w:ascii="黑体" w:eastAsia="黑体" w:hAnsi="黑体"/>
                <w:b/>
                <w:sz w:val="20"/>
                <w:szCs w:val="20"/>
              </w:rPr>
            </w:pPr>
            <w:r>
              <w:rPr>
                <w:rFonts w:ascii="黑体" w:eastAsia="黑体" w:hAnsi="黑体" w:hint="eastAsia"/>
                <w:b/>
                <w:sz w:val="20"/>
                <w:szCs w:val="20"/>
              </w:rPr>
              <w:t>校验</w:t>
            </w:r>
          </w:p>
        </w:tc>
      </w:tr>
      <w:tr w:rsidR="00A052DC" w14:paraId="124EBDF9" w14:textId="77777777">
        <w:trPr>
          <w:trHeight w:val="20"/>
        </w:trPr>
        <w:tc>
          <w:tcPr>
            <w:tcW w:w="1560" w:type="dxa"/>
          </w:tcPr>
          <w:p w14:paraId="5396569A" w14:textId="77777777" w:rsidR="00A052DC" w:rsidRDefault="009F0A60">
            <w:pPr>
              <w:rPr>
                <w:rFonts w:ascii="黑体" w:eastAsia="黑体" w:hAnsi="黑体"/>
                <w:sz w:val="20"/>
                <w:szCs w:val="20"/>
              </w:rPr>
            </w:pPr>
            <w:r>
              <w:rPr>
                <w:rFonts w:ascii="黑体" w:eastAsia="黑体" w:hAnsi="黑体"/>
                <w:sz w:val="20"/>
                <w:szCs w:val="20"/>
              </w:rPr>
              <w:t>ACTIONTYPE</w:t>
            </w:r>
          </w:p>
        </w:tc>
        <w:tc>
          <w:tcPr>
            <w:tcW w:w="1559" w:type="dxa"/>
          </w:tcPr>
          <w:p w14:paraId="49853AFF" w14:textId="77777777" w:rsidR="00A052DC" w:rsidRDefault="009F0A60">
            <w:pPr>
              <w:rPr>
                <w:rFonts w:ascii="黑体" w:eastAsia="黑体" w:hAnsi="黑体"/>
                <w:sz w:val="20"/>
                <w:szCs w:val="20"/>
              </w:rPr>
            </w:pPr>
            <w:r>
              <w:rPr>
                <w:rFonts w:ascii="黑体" w:eastAsia="黑体" w:hAnsi="黑体" w:hint="eastAsia"/>
                <w:sz w:val="20"/>
                <w:szCs w:val="20"/>
              </w:rPr>
              <w:t>操作类型</w:t>
            </w:r>
          </w:p>
        </w:tc>
        <w:tc>
          <w:tcPr>
            <w:tcW w:w="1559" w:type="dxa"/>
          </w:tcPr>
          <w:p w14:paraId="17351571" w14:textId="77777777" w:rsidR="00A052DC" w:rsidRDefault="009F0A60">
            <w:pPr>
              <w:rPr>
                <w:rFonts w:ascii="黑体" w:eastAsia="黑体" w:hAnsi="黑体"/>
                <w:sz w:val="20"/>
                <w:szCs w:val="20"/>
              </w:rPr>
            </w:pPr>
            <w:r>
              <w:rPr>
                <w:rFonts w:ascii="黑体" w:eastAsia="黑体" w:hAnsi="黑体" w:hint="eastAsia"/>
                <w:sz w:val="20"/>
                <w:szCs w:val="20"/>
              </w:rPr>
              <w:t>字符型，1</w:t>
            </w:r>
          </w:p>
        </w:tc>
        <w:tc>
          <w:tcPr>
            <w:tcW w:w="3969" w:type="dxa"/>
          </w:tcPr>
          <w:p w14:paraId="6A844A7E" w14:textId="77777777" w:rsidR="00A052DC" w:rsidRDefault="009F0A60">
            <w:pPr>
              <w:rPr>
                <w:rFonts w:ascii="黑体" w:eastAsia="黑体" w:hAnsi="黑体"/>
                <w:sz w:val="20"/>
                <w:szCs w:val="20"/>
              </w:rPr>
            </w:pPr>
            <w:r>
              <w:rPr>
                <w:rFonts w:ascii="黑体" w:eastAsia="黑体" w:hAnsi="黑体" w:hint="eastAsia"/>
                <w:sz w:val="20"/>
                <w:szCs w:val="20"/>
              </w:rPr>
              <w:t>A</w:t>
            </w:r>
            <w:r w:rsidR="00AE4602">
              <w:rPr>
                <w:rFonts w:ascii="黑体" w:eastAsia="黑体" w:hAnsi="黑体" w:hint="eastAsia"/>
                <w:sz w:val="20"/>
                <w:szCs w:val="20"/>
              </w:rPr>
              <w:t>-</w:t>
            </w:r>
            <w:r>
              <w:rPr>
                <w:rFonts w:ascii="黑体" w:eastAsia="黑体" w:hAnsi="黑体" w:hint="eastAsia"/>
                <w:sz w:val="20"/>
                <w:szCs w:val="20"/>
              </w:rPr>
              <w:t>新建</w:t>
            </w:r>
          </w:p>
          <w:p w14:paraId="702AB7AF" w14:textId="77777777" w:rsidR="00A052DC" w:rsidRDefault="009F0A60">
            <w:pPr>
              <w:rPr>
                <w:rFonts w:ascii="黑体" w:eastAsia="黑体" w:hAnsi="黑体"/>
                <w:sz w:val="20"/>
                <w:szCs w:val="20"/>
              </w:rPr>
            </w:pPr>
            <w:r>
              <w:rPr>
                <w:rFonts w:ascii="黑体" w:eastAsia="黑体" w:hAnsi="黑体" w:hint="eastAsia"/>
                <w:sz w:val="20"/>
                <w:szCs w:val="20"/>
              </w:rPr>
              <w:t>C</w:t>
            </w:r>
            <w:r w:rsidR="00AE4602">
              <w:rPr>
                <w:rFonts w:ascii="黑体" w:eastAsia="黑体" w:hAnsi="黑体" w:hint="eastAsia"/>
                <w:sz w:val="20"/>
                <w:szCs w:val="20"/>
              </w:rPr>
              <w:t>-</w:t>
            </w:r>
            <w:r>
              <w:rPr>
                <w:rFonts w:ascii="黑体" w:eastAsia="黑体" w:hAnsi="黑体" w:hint="eastAsia"/>
                <w:sz w:val="20"/>
                <w:szCs w:val="20"/>
              </w:rPr>
              <w:t>修改</w:t>
            </w:r>
          </w:p>
          <w:p w14:paraId="31D5B4B4" w14:textId="77777777" w:rsidR="00A052DC" w:rsidRDefault="009F0A60">
            <w:pPr>
              <w:rPr>
                <w:rFonts w:ascii="黑体" w:eastAsia="黑体" w:hAnsi="黑体"/>
                <w:sz w:val="20"/>
                <w:szCs w:val="20"/>
              </w:rPr>
            </w:pPr>
            <w:r>
              <w:rPr>
                <w:rFonts w:ascii="黑体" w:eastAsia="黑体" w:hAnsi="黑体" w:hint="eastAsia"/>
                <w:sz w:val="20"/>
                <w:szCs w:val="20"/>
              </w:rPr>
              <w:t>D</w:t>
            </w:r>
            <w:r w:rsidR="00AE4602">
              <w:rPr>
                <w:rFonts w:ascii="黑体" w:eastAsia="黑体" w:hAnsi="黑体" w:hint="eastAsia"/>
                <w:sz w:val="20"/>
                <w:szCs w:val="20"/>
              </w:rPr>
              <w:t>-</w:t>
            </w:r>
            <w:r>
              <w:rPr>
                <w:rFonts w:ascii="黑体" w:eastAsia="黑体" w:hAnsi="黑体" w:hint="eastAsia"/>
                <w:sz w:val="20"/>
                <w:szCs w:val="20"/>
              </w:rPr>
              <w:t>删除</w:t>
            </w:r>
          </w:p>
          <w:p w14:paraId="6E82283E" w14:textId="77777777" w:rsidR="00A052DC" w:rsidRDefault="009F0A60" w:rsidP="006D55A3">
            <w:pPr>
              <w:rPr>
                <w:rFonts w:ascii="黑体" w:eastAsia="黑体" w:hAnsi="黑体"/>
                <w:sz w:val="20"/>
                <w:szCs w:val="20"/>
              </w:rPr>
            </w:pPr>
            <w:r>
              <w:rPr>
                <w:rFonts w:ascii="黑体" w:eastAsia="黑体" w:hAnsi="黑体" w:hint="eastAsia"/>
                <w:sz w:val="20"/>
                <w:szCs w:val="20"/>
              </w:rPr>
              <w:t>R</w:t>
            </w:r>
            <w:r w:rsidR="00AE4602">
              <w:rPr>
                <w:rFonts w:ascii="黑体" w:eastAsia="黑体" w:hAnsi="黑体" w:hint="eastAsia"/>
                <w:sz w:val="20"/>
                <w:szCs w:val="20"/>
              </w:rPr>
              <w:t>-</w:t>
            </w:r>
            <w:r>
              <w:rPr>
                <w:rFonts w:ascii="黑体" w:eastAsia="黑体" w:hAnsi="黑体" w:hint="eastAsia"/>
                <w:sz w:val="20"/>
                <w:szCs w:val="20"/>
              </w:rPr>
              <w:t>申报无误（银行反馈），预留，暂不用</w:t>
            </w:r>
          </w:p>
        </w:tc>
      </w:tr>
      <w:tr w:rsidR="00A052DC" w14:paraId="0B99419C" w14:textId="77777777">
        <w:trPr>
          <w:trHeight w:val="20"/>
        </w:trPr>
        <w:tc>
          <w:tcPr>
            <w:tcW w:w="1560" w:type="dxa"/>
          </w:tcPr>
          <w:p w14:paraId="71DABF36" w14:textId="77777777" w:rsidR="00A052DC" w:rsidRDefault="009F0A60">
            <w:pPr>
              <w:rPr>
                <w:rFonts w:ascii="黑体" w:eastAsia="黑体" w:hAnsi="黑体"/>
                <w:sz w:val="20"/>
                <w:szCs w:val="20"/>
              </w:rPr>
            </w:pPr>
            <w:r>
              <w:rPr>
                <w:rFonts w:ascii="黑体" w:eastAsia="黑体" w:hAnsi="黑体"/>
                <w:sz w:val="20"/>
                <w:szCs w:val="20"/>
              </w:rPr>
              <w:t>ACTIONDESC</w:t>
            </w:r>
          </w:p>
        </w:tc>
        <w:tc>
          <w:tcPr>
            <w:tcW w:w="1559" w:type="dxa"/>
          </w:tcPr>
          <w:p w14:paraId="6FE67EF0" w14:textId="77777777" w:rsidR="00A052DC" w:rsidRDefault="009F0A60">
            <w:pPr>
              <w:rPr>
                <w:rFonts w:ascii="黑体" w:eastAsia="黑体" w:hAnsi="黑体"/>
                <w:sz w:val="20"/>
                <w:szCs w:val="20"/>
              </w:rPr>
            </w:pPr>
            <w:r>
              <w:rPr>
                <w:rFonts w:ascii="黑体" w:eastAsia="黑体" w:hAnsi="黑体" w:hint="eastAsia"/>
                <w:sz w:val="20"/>
                <w:szCs w:val="20"/>
              </w:rPr>
              <w:t>修改/删除原因</w:t>
            </w:r>
          </w:p>
          <w:p w14:paraId="78A0B4FF" w14:textId="77777777" w:rsidR="00A052DC" w:rsidRDefault="009F0A60">
            <w:pPr>
              <w:rPr>
                <w:rFonts w:ascii="黑体" w:eastAsia="黑体" w:hAnsi="黑体"/>
                <w:sz w:val="20"/>
                <w:szCs w:val="20"/>
              </w:rPr>
            </w:pPr>
            <w:r>
              <w:rPr>
                <w:rFonts w:ascii="黑体" w:eastAsia="黑体" w:hAnsi="黑体" w:hint="eastAsia"/>
                <w:sz w:val="20"/>
                <w:szCs w:val="20"/>
              </w:rPr>
              <w:t>或申报无误理由</w:t>
            </w:r>
          </w:p>
        </w:tc>
        <w:tc>
          <w:tcPr>
            <w:tcW w:w="1559" w:type="dxa"/>
          </w:tcPr>
          <w:p w14:paraId="484C858F"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3969" w:type="dxa"/>
          </w:tcPr>
          <w:p w14:paraId="3AACA095" w14:textId="77777777" w:rsidR="00A052DC" w:rsidRDefault="00A052DC">
            <w:pPr>
              <w:keepNext/>
              <w:keepLines/>
              <w:spacing w:before="120" w:after="120" w:line="360" w:lineRule="auto"/>
              <w:outlineLvl w:val="2"/>
              <w:rPr>
                <w:rFonts w:ascii="黑体" w:eastAsia="黑体" w:hAnsi="黑体"/>
                <w:sz w:val="20"/>
                <w:szCs w:val="20"/>
              </w:rPr>
            </w:pPr>
          </w:p>
        </w:tc>
      </w:tr>
      <w:tr w:rsidR="00A052DC" w14:paraId="2A9D4C0E" w14:textId="77777777">
        <w:trPr>
          <w:trHeight w:val="20"/>
        </w:trPr>
        <w:tc>
          <w:tcPr>
            <w:tcW w:w="1560" w:type="dxa"/>
          </w:tcPr>
          <w:p w14:paraId="1176AA1C" w14:textId="77777777" w:rsidR="00A052DC" w:rsidRDefault="009F0A60">
            <w:pPr>
              <w:rPr>
                <w:rFonts w:ascii="黑体" w:eastAsia="黑体" w:hAnsi="黑体"/>
                <w:sz w:val="20"/>
                <w:szCs w:val="20"/>
              </w:rPr>
            </w:pPr>
            <w:r>
              <w:rPr>
                <w:rFonts w:ascii="黑体" w:eastAsia="黑体" w:hAnsi="黑体"/>
                <w:sz w:val="20"/>
                <w:szCs w:val="20"/>
              </w:rPr>
              <w:t>RPTNO</w:t>
            </w:r>
          </w:p>
        </w:tc>
        <w:tc>
          <w:tcPr>
            <w:tcW w:w="1559" w:type="dxa"/>
          </w:tcPr>
          <w:p w14:paraId="10689CA3" w14:textId="77777777" w:rsidR="00A052DC" w:rsidRDefault="009F0A60">
            <w:pPr>
              <w:rPr>
                <w:rFonts w:ascii="黑体" w:eastAsia="黑体" w:hAnsi="黑体"/>
                <w:sz w:val="20"/>
                <w:szCs w:val="20"/>
              </w:rPr>
            </w:pPr>
            <w:r>
              <w:rPr>
                <w:rFonts w:ascii="黑体" w:eastAsia="黑体" w:hAnsi="黑体" w:hint="eastAsia"/>
                <w:sz w:val="20"/>
                <w:szCs w:val="20"/>
              </w:rPr>
              <w:t>申报号码</w:t>
            </w:r>
          </w:p>
        </w:tc>
        <w:tc>
          <w:tcPr>
            <w:tcW w:w="1559" w:type="dxa"/>
          </w:tcPr>
          <w:p w14:paraId="184DCFFD" w14:textId="77777777" w:rsidR="00A052DC" w:rsidRDefault="009F0A60">
            <w:pPr>
              <w:rPr>
                <w:rFonts w:ascii="黑体" w:eastAsia="黑体" w:hAnsi="黑体"/>
                <w:sz w:val="20"/>
                <w:szCs w:val="20"/>
              </w:rPr>
            </w:pPr>
            <w:r>
              <w:rPr>
                <w:rFonts w:ascii="黑体" w:eastAsia="黑体" w:hAnsi="黑体" w:hint="eastAsia"/>
                <w:sz w:val="20"/>
                <w:szCs w:val="20"/>
              </w:rPr>
              <w:t>字符型，22</w:t>
            </w:r>
          </w:p>
        </w:tc>
        <w:tc>
          <w:tcPr>
            <w:tcW w:w="3969" w:type="dxa"/>
          </w:tcPr>
          <w:p w14:paraId="7C30EE47" w14:textId="77777777" w:rsidR="00A052DC" w:rsidRDefault="009F0A60">
            <w:pPr>
              <w:rPr>
                <w:rFonts w:ascii="黑体" w:eastAsia="黑体" w:hAnsi="黑体"/>
                <w:sz w:val="20"/>
                <w:szCs w:val="20"/>
              </w:rPr>
            </w:pPr>
            <w:r>
              <w:rPr>
                <w:rFonts w:ascii="黑体" w:eastAsia="黑体" w:hAnsi="黑体" w:hint="eastAsia"/>
                <w:sz w:val="20"/>
                <w:szCs w:val="20"/>
              </w:rPr>
              <w:t>编码规则：6位地区标识码+4位银行代码+2位银行顺序码+支付日期（yymmdd）+4位银行业务流水码。支付日期不能大于系统日期。</w:t>
            </w:r>
          </w:p>
          <w:p w14:paraId="7C322408" w14:textId="77777777" w:rsidR="00A052DC" w:rsidRDefault="009F0A60">
            <w:pPr>
              <w:rPr>
                <w:rFonts w:ascii="黑体" w:eastAsia="黑体" w:hAnsi="黑体"/>
                <w:sz w:val="20"/>
                <w:szCs w:val="20"/>
              </w:rPr>
            </w:pPr>
            <w:r>
              <w:rPr>
                <w:rFonts w:ascii="黑体" w:eastAsia="黑体" w:hAnsi="黑体" w:hint="eastAsia"/>
                <w:sz w:val="20"/>
                <w:szCs w:val="20"/>
              </w:rPr>
              <w:t>银行业务流水码规则：****，其中，第一位与第四位的取值为数字0-9，第二与第三位的取值为数字（0-9）与大写字母（O、I、Z除外）。</w:t>
            </w:r>
          </w:p>
        </w:tc>
      </w:tr>
      <w:tr w:rsidR="00A052DC" w14:paraId="5287F11F" w14:textId="77777777">
        <w:trPr>
          <w:trHeight w:val="20"/>
        </w:trPr>
        <w:tc>
          <w:tcPr>
            <w:tcW w:w="1560" w:type="dxa"/>
          </w:tcPr>
          <w:p w14:paraId="6F7B8661" w14:textId="77777777" w:rsidR="00A052DC" w:rsidRDefault="009F0A60">
            <w:pPr>
              <w:rPr>
                <w:rFonts w:ascii="黑体" w:eastAsia="黑体" w:hAnsi="黑体"/>
                <w:sz w:val="20"/>
                <w:szCs w:val="20"/>
              </w:rPr>
            </w:pPr>
            <w:r>
              <w:rPr>
                <w:rFonts w:ascii="黑体" w:eastAsia="黑体" w:hAnsi="黑体"/>
                <w:sz w:val="20"/>
                <w:szCs w:val="20"/>
              </w:rPr>
              <w:t>CUSTYPE</w:t>
            </w:r>
          </w:p>
        </w:tc>
        <w:tc>
          <w:tcPr>
            <w:tcW w:w="1559" w:type="dxa"/>
          </w:tcPr>
          <w:p w14:paraId="70DF3A83" w14:textId="77777777" w:rsidR="00A052DC" w:rsidRDefault="009F0A60">
            <w:pPr>
              <w:rPr>
                <w:rFonts w:ascii="黑体" w:eastAsia="黑体" w:hAnsi="黑体"/>
                <w:sz w:val="20"/>
                <w:szCs w:val="20"/>
              </w:rPr>
            </w:pPr>
            <w:r>
              <w:rPr>
                <w:rFonts w:ascii="黑体" w:eastAsia="黑体" w:hAnsi="黑体" w:hint="eastAsia"/>
                <w:sz w:val="20"/>
                <w:szCs w:val="20"/>
              </w:rPr>
              <w:t>收款人类型</w:t>
            </w:r>
          </w:p>
        </w:tc>
        <w:tc>
          <w:tcPr>
            <w:tcW w:w="1559" w:type="dxa"/>
          </w:tcPr>
          <w:p w14:paraId="3ED4966C" w14:textId="77777777" w:rsidR="00A052DC" w:rsidRDefault="009F0A60">
            <w:pPr>
              <w:rPr>
                <w:rFonts w:ascii="黑体" w:eastAsia="黑体" w:hAnsi="黑体"/>
                <w:sz w:val="20"/>
                <w:szCs w:val="20"/>
              </w:rPr>
            </w:pPr>
            <w:r>
              <w:rPr>
                <w:rFonts w:ascii="黑体" w:eastAsia="黑体" w:hAnsi="黑体" w:hint="eastAsia"/>
                <w:sz w:val="20"/>
                <w:szCs w:val="20"/>
              </w:rPr>
              <w:t>字符型，1</w:t>
            </w:r>
          </w:p>
        </w:tc>
        <w:tc>
          <w:tcPr>
            <w:tcW w:w="3969" w:type="dxa"/>
          </w:tcPr>
          <w:p w14:paraId="7C9B772F" w14:textId="77777777" w:rsidR="00A052DC" w:rsidRDefault="009F0A60">
            <w:pPr>
              <w:rPr>
                <w:rFonts w:ascii="黑体" w:eastAsia="黑体" w:hAnsi="黑体"/>
                <w:sz w:val="20"/>
                <w:szCs w:val="20"/>
              </w:rPr>
            </w:pPr>
            <w:r>
              <w:rPr>
                <w:rFonts w:ascii="黑体" w:eastAsia="黑体" w:hAnsi="黑体" w:hint="eastAsia"/>
                <w:sz w:val="20"/>
                <w:szCs w:val="20"/>
              </w:rPr>
              <w:t>C</w:t>
            </w:r>
            <w:r w:rsidR="00AE4602">
              <w:rPr>
                <w:rFonts w:ascii="黑体" w:eastAsia="黑体" w:hAnsi="黑体" w:hint="eastAsia"/>
                <w:sz w:val="20"/>
                <w:szCs w:val="20"/>
              </w:rPr>
              <w:t>-</w:t>
            </w:r>
            <w:r>
              <w:rPr>
                <w:rFonts w:ascii="黑体" w:eastAsia="黑体" w:hAnsi="黑体" w:hint="eastAsia"/>
                <w:sz w:val="20"/>
                <w:szCs w:val="20"/>
              </w:rPr>
              <w:t>对公</w:t>
            </w:r>
          </w:p>
          <w:p w14:paraId="733850FD" w14:textId="77777777" w:rsidR="00A052DC" w:rsidRDefault="009F0A60">
            <w:pPr>
              <w:rPr>
                <w:rFonts w:ascii="黑体" w:eastAsia="黑体" w:hAnsi="黑体"/>
                <w:sz w:val="20"/>
                <w:szCs w:val="20"/>
              </w:rPr>
            </w:pPr>
            <w:r>
              <w:rPr>
                <w:rFonts w:ascii="黑体" w:eastAsia="黑体" w:hAnsi="黑体" w:hint="eastAsia"/>
                <w:sz w:val="20"/>
                <w:szCs w:val="20"/>
              </w:rPr>
              <w:t>D</w:t>
            </w:r>
            <w:r w:rsidR="00AE4602">
              <w:rPr>
                <w:rFonts w:ascii="黑体" w:eastAsia="黑体" w:hAnsi="黑体" w:hint="eastAsia"/>
                <w:sz w:val="20"/>
                <w:szCs w:val="20"/>
              </w:rPr>
              <w:t>-</w:t>
            </w:r>
            <w:r>
              <w:rPr>
                <w:rFonts w:ascii="黑体" w:eastAsia="黑体" w:hAnsi="黑体" w:hint="eastAsia"/>
                <w:sz w:val="20"/>
                <w:szCs w:val="20"/>
              </w:rPr>
              <w:t>对私</w:t>
            </w:r>
          </w:p>
        </w:tc>
      </w:tr>
      <w:tr w:rsidR="00A052DC" w14:paraId="14535F74" w14:textId="77777777">
        <w:trPr>
          <w:trHeight w:val="20"/>
        </w:trPr>
        <w:tc>
          <w:tcPr>
            <w:tcW w:w="1560" w:type="dxa"/>
          </w:tcPr>
          <w:p w14:paraId="443A0BCD" w14:textId="77777777" w:rsidR="00A052DC" w:rsidRDefault="009F0A60">
            <w:pPr>
              <w:rPr>
                <w:rFonts w:ascii="黑体" w:eastAsia="黑体" w:hAnsi="黑体"/>
                <w:sz w:val="20"/>
                <w:szCs w:val="20"/>
              </w:rPr>
            </w:pPr>
            <w:r>
              <w:rPr>
                <w:rFonts w:ascii="黑体" w:eastAsia="黑体" w:hAnsi="黑体"/>
                <w:sz w:val="20"/>
                <w:szCs w:val="20"/>
              </w:rPr>
              <w:t>IDCODE</w:t>
            </w:r>
          </w:p>
        </w:tc>
        <w:tc>
          <w:tcPr>
            <w:tcW w:w="1559" w:type="dxa"/>
          </w:tcPr>
          <w:p w14:paraId="01E393A3" w14:textId="77777777" w:rsidR="00A052DC" w:rsidRDefault="009F0A60">
            <w:pPr>
              <w:rPr>
                <w:rFonts w:ascii="黑体" w:eastAsia="黑体" w:hAnsi="黑体"/>
                <w:sz w:val="20"/>
                <w:szCs w:val="20"/>
              </w:rPr>
            </w:pPr>
            <w:r>
              <w:rPr>
                <w:rFonts w:ascii="黑体" w:eastAsia="黑体" w:hAnsi="黑体" w:hint="eastAsia"/>
                <w:sz w:val="20"/>
                <w:szCs w:val="20"/>
              </w:rPr>
              <w:t>个人身份证件号码</w:t>
            </w:r>
          </w:p>
        </w:tc>
        <w:tc>
          <w:tcPr>
            <w:tcW w:w="1559" w:type="dxa"/>
          </w:tcPr>
          <w:p w14:paraId="12A397BA" w14:textId="77777777" w:rsidR="00A052DC" w:rsidRDefault="009F0A60">
            <w:pPr>
              <w:rPr>
                <w:rFonts w:ascii="黑体" w:eastAsia="黑体" w:hAnsi="黑体"/>
                <w:sz w:val="20"/>
                <w:szCs w:val="20"/>
              </w:rPr>
            </w:pPr>
            <w:r>
              <w:rPr>
                <w:rFonts w:ascii="黑体" w:eastAsia="黑体" w:hAnsi="黑体" w:hint="eastAsia"/>
                <w:sz w:val="20"/>
                <w:szCs w:val="20"/>
              </w:rPr>
              <w:t>字符型，32</w:t>
            </w:r>
          </w:p>
        </w:tc>
        <w:tc>
          <w:tcPr>
            <w:tcW w:w="3969" w:type="dxa"/>
          </w:tcPr>
          <w:p w14:paraId="2900874D" w14:textId="77777777" w:rsidR="00A052DC" w:rsidRDefault="009F0A60">
            <w:pPr>
              <w:rPr>
                <w:rFonts w:ascii="黑体" w:eastAsia="黑体" w:hAnsi="黑体"/>
                <w:sz w:val="20"/>
                <w:szCs w:val="20"/>
              </w:rPr>
            </w:pPr>
            <w:r>
              <w:rPr>
                <w:rFonts w:ascii="黑体" w:eastAsia="黑体" w:hAnsi="黑体"/>
                <w:sz w:val="20"/>
                <w:szCs w:val="20"/>
              </w:rPr>
              <w:t>CUSTYPE&lt;&gt;</w:t>
            </w:r>
            <w:r>
              <w:rPr>
                <w:rFonts w:ascii="黑体" w:eastAsia="黑体" w:hAnsi="黑体" w:hint="eastAsia"/>
                <w:sz w:val="20"/>
                <w:szCs w:val="20"/>
              </w:rPr>
              <w:t>C时必填。</w:t>
            </w:r>
          </w:p>
        </w:tc>
      </w:tr>
      <w:tr w:rsidR="00A052DC" w14:paraId="1B76B7C0" w14:textId="77777777">
        <w:trPr>
          <w:trHeight w:val="20"/>
        </w:trPr>
        <w:tc>
          <w:tcPr>
            <w:tcW w:w="1560" w:type="dxa"/>
          </w:tcPr>
          <w:p w14:paraId="5D81ADBF" w14:textId="77777777" w:rsidR="00A052DC" w:rsidRDefault="009F0A60">
            <w:pPr>
              <w:rPr>
                <w:rFonts w:ascii="黑体" w:eastAsia="黑体" w:hAnsi="黑体"/>
                <w:sz w:val="20"/>
                <w:szCs w:val="20"/>
              </w:rPr>
            </w:pPr>
            <w:r>
              <w:rPr>
                <w:rFonts w:ascii="黑体" w:eastAsia="黑体" w:hAnsi="黑体"/>
                <w:sz w:val="20"/>
                <w:szCs w:val="20"/>
              </w:rPr>
              <w:t>CUSTCOD</w:t>
            </w:r>
          </w:p>
        </w:tc>
        <w:tc>
          <w:tcPr>
            <w:tcW w:w="1559" w:type="dxa"/>
          </w:tcPr>
          <w:p w14:paraId="52F35299" w14:textId="77777777" w:rsidR="00A052DC" w:rsidRDefault="009F0A60">
            <w:pPr>
              <w:rPr>
                <w:rFonts w:ascii="黑体" w:eastAsia="黑体" w:hAnsi="黑体"/>
                <w:sz w:val="20"/>
                <w:szCs w:val="20"/>
              </w:rPr>
            </w:pPr>
            <w:r>
              <w:rPr>
                <w:rFonts w:ascii="黑体" w:eastAsia="黑体" w:hAnsi="黑体" w:hint="eastAsia"/>
                <w:sz w:val="20"/>
                <w:szCs w:val="20"/>
              </w:rPr>
              <w:t>主体标识码</w:t>
            </w:r>
          </w:p>
        </w:tc>
        <w:tc>
          <w:tcPr>
            <w:tcW w:w="1559" w:type="dxa"/>
          </w:tcPr>
          <w:p w14:paraId="5BB4AC18" w14:textId="77777777" w:rsidR="00A052DC" w:rsidRDefault="009F0A60">
            <w:pPr>
              <w:rPr>
                <w:rFonts w:ascii="黑体" w:eastAsia="黑体" w:hAnsi="黑体"/>
                <w:sz w:val="20"/>
                <w:szCs w:val="20"/>
              </w:rPr>
            </w:pPr>
            <w:r>
              <w:rPr>
                <w:rFonts w:ascii="黑体" w:eastAsia="黑体" w:hAnsi="黑体" w:hint="eastAsia"/>
                <w:sz w:val="20"/>
                <w:szCs w:val="20"/>
              </w:rPr>
              <w:t>字符型，</w:t>
            </w:r>
            <w:r>
              <w:rPr>
                <w:rFonts w:ascii="黑体" w:eastAsia="黑体" w:hAnsi="黑体"/>
                <w:sz w:val="20"/>
                <w:szCs w:val="20"/>
              </w:rPr>
              <w:t>18</w:t>
            </w:r>
          </w:p>
        </w:tc>
        <w:tc>
          <w:tcPr>
            <w:tcW w:w="3969" w:type="dxa"/>
          </w:tcPr>
          <w:p w14:paraId="3D3AFFDE" w14:textId="77777777" w:rsidR="00A052DC" w:rsidRDefault="009F0A60">
            <w:pPr>
              <w:jc w:val="left"/>
              <w:rPr>
                <w:rFonts w:ascii="黑体" w:eastAsia="黑体" w:hAnsi="黑体"/>
                <w:sz w:val="20"/>
                <w:szCs w:val="20"/>
              </w:rPr>
            </w:pPr>
            <w:r>
              <w:rPr>
                <w:rFonts w:ascii="黑体" w:eastAsia="黑体" w:hAnsi="黑体" w:hint="eastAsia"/>
                <w:sz w:val="20"/>
                <w:szCs w:val="20"/>
              </w:rPr>
              <w:t>CUSTYPE=</w:t>
            </w:r>
            <w:r w:rsidR="009D0FD2">
              <w:rPr>
                <w:rFonts w:ascii="黑体" w:eastAsia="黑体" w:hAnsi="黑体" w:hint="eastAsia"/>
                <w:sz w:val="20"/>
                <w:szCs w:val="20"/>
              </w:rPr>
              <w:t>C时必填。</w:t>
            </w:r>
            <w:r>
              <w:rPr>
                <w:rFonts w:ascii="黑体" w:eastAsia="黑体" w:hAnsi="黑体" w:hint="eastAsia"/>
                <w:sz w:val="20"/>
                <w:szCs w:val="20"/>
              </w:rPr>
              <w:t>指统一社会信用代码法定载体（如营业执照）上统一社会信用代码中的第9至17位或国家外汇管理局及其分支局签发的特殊机构代码赋码通知书上的机构代码。按统一社会信用代码中的9位主体标识码（组织机构代码）或特殊机构赋码编制规则进行校验，字段长度仍预留18位。</w:t>
            </w:r>
          </w:p>
        </w:tc>
      </w:tr>
      <w:tr w:rsidR="00A052DC" w14:paraId="7C6CE7E3" w14:textId="77777777">
        <w:trPr>
          <w:trHeight w:val="20"/>
        </w:trPr>
        <w:tc>
          <w:tcPr>
            <w:tcW w:w="1560" w:type="dxa"/>
          </w:tcPr>
          <w:p w14:paraId="3473FAE5" w14:textId="77777777" w:rsidR="00A052DC" w:rsidRDefault="009F0A60">
            <w:pPr>
              <w:rPr>
                <w:rFonts w:ascii="黑体" w:eastAsia="黑体" w:hAnsi="黑体"/>
                <w:sz w:val="20"/>
                <w:szCs w:val="20"/>
              </w:rPr>
            </w:pPr>
            <w:r>
              <w:rPr>
                <w:rFonts w:ascii="黑体" w:eastAsia="黑体" w:hAnsi="黑体"/>
                <w:sz w:val="20"/>
                <w:szCs w:val="20"/>
              </w:rPr>
              <w:t>CUSTNM</w:t>
            </w:r>
          </w:p>
        </w:tc>
        <w:tc>
          <w:tcPr>
            <w:tcW w:w="1559" w:type="dxa"/>
          </w:tcPr>
          <w:p w14:paraId="606CFB3B" w14:textId="77777777" w:rsidR="00A052DC" w:rsidRDefault="009F0A60">
            <w:pPr>
              <w:rPr>
                <w:rFonts w:ascii="黑体" w:eastAsia="黑体" w:hAnsi="黑体"/>
                <w:sz w:val="20"/>
                <w:szCs w:val="20"/>
              </w:rPr>
            </w:pPr>
            <w:r>
              <w:rPr>
                <w:rFonts w:ascii="黑体" w:eastAsia="黑体" w:hAnsi="黑体" w:hint="eastAsia"/>
                <w:sz w:val="20"/>
                <w:szCs w:val="20"/>
              </w:rPr>
              <w:t>收款人名称</w:t>
            </w:r>
          </w:p>
        </w:tc>
        <w:tc>
          <w:tcPr>
            <w:tcW w:w="1559" w:type="dxa"/>
          </w:tcPr>
          <w:p w14:paraId="4FEEF0AE"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3969" w:type="dxa"/>
          </w:tcPr>
          <w:p w14:paraId="1C9432C8"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r w:rsidR="00A052DC" w14:paraId="20B9D58E" w14:textId="77777777">
        <w:trPr>
          <w:trHeight w:val="20"/>
        </w:trPr>
        <w:tc>
          <w:tcPr>
            <w:tcW w:w="1560" w:type="dxa"/>
            <w:tcBorders>
              <w:top w:val="single" w:sz="4" w:space="0" w:color="auto"/>
              <w:left w:val="single" w:sz="4" w:space="0" w:color="auto"/>
              <w:bottom w:val="single" w:sz="4" w:space="0" w:color="auto"/>
              <w:right w:val="single" w:sz="4" w:space="0" w:color="auto"/>
            </w:tcBorders>
          </w:tcPr>
          <w:p w14:paraId="7908E95F" w14:textId="77777777" w:rsidR="00A052DC" w:rsidRDefault="009F0A60">
            <w:pPr>
              <w:rPr>
                <w:rFonts w:ascii="黑体" w:eastAsia="黑体" w:hAnsi="黑体"/>
                <w:sz w:val="20"/>
                <w:szCs w:val="20"/>
              </w:rPr>
            </w:pPr>
            <w:r>
              <w:rPr>
                <w:rFonts w:ascii="黑体" w:eastAsia="黑体" w:hAnsi="黑体"/>
                <w:sz w:val="20"/>
                <w:szCs w:val="20"/>
              </w:rPr>
              <w:t>OPPUSER</w:t>
            </w:r>
          </w:p>
        </w:tc>
        <w:tc>
          <w:tcPr>
            <w:tcW w:w="1559" w:type="dxa"/>
            <w:tcBorders>
              <w:top w:val="single" w:sz="4" w:space="0" w:color="auto"/>
              <w:left w:val="single" w:sz="4" w:space="0" w:color="auto"/>
              <w:bottom w:val="single" w:sz="4" w:space="0" w:color="auto"/>
              <w:right w:val="single" w:sz="4" w:space="0" w:color="auto"/>
            </w:tcBorders>
          </w:tcPr>
          <w:p w14:paraId="65EDCFBB" w14:textId="77777777" w:rsidR="00A052DC" w:rsidRDefault="009F0A60">
            <w:pPr>
              <w:rPr>
                <w:rFonts w:ascii="黑体" w:eastAsia="黑体" w:hAnsi="黑体"/>
                <w:sz w:val="20"/>
                <w:szCs w:val="20"/>
              </w:rPr>
            </w:pPr>
            <w:r>
              <w:rPr>
                <w:rFonts w:ascii="黑体" w:eastAsia="黑体" w:hAnsi="黑体" w:hint="eastAsia"/>
                <w:sz w:val="20"/>
                <w:szCs w:val="20"/>
              </w:rPr>
              <w:t>付款人名称</w:t>
            </w:r>
          </w:p>
        </w:tc>
        <w:tc>
          <w:tcPr>
            <w:tcW w:w="1559" w:type="dxa"/>
            <w:tcBorders>
              <w:top w:val="single" w:sz="4" w:space="0" w:color="auto"/>
              <w:left w:val="single" w:sz="4" w:space="0" w:color="auto"/>
              <w:bottom w:val="single" w:sz="4" w:space="0" w:color="auto"/>
              <w:right w:val="single" w:sz="4" w:space="0" w:color="auto"/>
            </w:tcBorders>
          </w:tcPr>
          <w:p w14:paraId="6F471A43"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3969" w:type="dxa"/>
            <w:tcBorders>
              <w:top w:val="single" w:sz="4" w:space="0" w:color="auto"/>
              <w:left w:val="single" w:sz="4" w:space="0" w:color="auto"/>
              <w:bottom w:val="single" w:sz="4" w:space="0" w:color="auto"/>
              <w:right w:val="single" w:sz="4" w:space="0" w:color="auto"/>
            </w:tcBorders>
          </w:tcPr>
          <w:p w14:paraId="15C77AAC" w14:textId="77777777" w:rsidR="00A052DC" w:rsidRDefault="009F0A60">
            <w:pPr>
              <w:rPr>
                <w:rFonts w:ascii="黑体" w:eastAsia="黑体" w:hAnsi="黑体"/>
                <w:sz w:val="20"/>
                <w:szCs w:val="20"/>
              </w:rPr>
            </w:pPr>
            <w:r>
              <w:rPr>
                <w:rFonts w:ascii="黑体" w:eastAsia="黑体" w:hAnsi="黑体" w:hint="eastAsia"/>
                <w:sz w:val="20"/>
                <w:szCs w:val="20"/>
              </w:rPr>
              <w:t>必填项。当申报非居民机构账户间境内划转数据时，应在付款人名称后增加付款人账号信息，以名称后加“[acc:账号]”表示。对于速汇业务和托收等没有对应账号的业务，账号部分填写“000000”（六个零）。申报其他对公收入信息时不应在付款人名称后追加账号信息。如报送时混淆以上两类写法，不允许进行修改，应报送删除信息后重新进行报送。</w:t>
            </w:r>
          </w:p>
        </w:tc>
      </w:tr>
      <w:tr w:rsidR="00A052DC" w14:paraId="657BE3D8" w14:textId="77777777">
        <w:trPr>
          <w:trHeight w:val="20"/>
        </w:trPr>
        <w:tc>
          <w:tcPr>
            <w:tcW w:w="1560" w:type="dxa"/>
          </w:tcPr>
          <w:p w14:paraId="14425D7D" w14:textId="77777777" w:rsidR="00A052DC" w:rsidRDefault="009F0A60">
            <w:pPr>
              <w:rPr>
                <w:rFonts w:ascii="黑体" w:eastAsia="黑体" w:hAnsi="黑体"/>
                <w:sz w:val="20"/>
                <w:szCs w:val="20"/>
              </w:rPr>
            </w:pPr>
            <w:r>
              <w:rPr>
                <w:rFonts w:ascii="黑体" w:eastAsia="黑体" w:hAnsi="黑体"/>
                <w:sz w:val="20"/>
                <w:szCs w:val="20"/>
              </w:rPr>
              <w:t>TXCCY</w:t>
            </w:r>
          </w:p>
        </w:tc>
        <w:tc>
          <w:tcPr>
            <w:tcW w:w="1559" w:type="dxa"/>
          </w:tcPr>
          <w:p w14:paraId="51094107" w14:textId="77777777" w:rsidR="00A052DC" w:rsidRDefault="009F0A60">
            <w:pPr>
              <w:rPr>
                <w:rFonts w:ascii="黑体" w:eastAsia="黑体" w:hAnsi="黑体"/>
                <w:sz w:val="20"/>
                <w:szCs w:val="20"/>
              </w:rPr>
            </w:pPr>
            <w:r>
              <w:rPr>
                <w:rFonts w:ascii="黑体" w:eastAsia="黑体" w:hAnsi="黑体" w:hint="eastAsia"/>
                <w:sz w:val="20"/>
                <w:szCs w:val="20"/>
              </w:rPr>
              <w:t>收入款币种</w:t>
            </w:r>
          </w:p>
        </w:tc>
        <w:tc>
          <w:tcPr>
            <w:tcW w:w="1559" w:type="dxa"/>
          </w:tcPr>
          <w:p w14:paraId="6B10815B" w14:textId="77777777" w:rsidR="00A052DC" w:rsidRDefault="009F0A60">
            <w:pPr>
              <w:rPr>
                <w:rFonts w:ascii="黑体" w:eastAsia="黑体" w:hAnsi="黑体"/>
                <w:sz w:val="20"/>
                <w:szCs w:val="20"/>
              </w:rPr>
            </w:pPr>
            <w:r>
              <w:rPr>
                <w:rFonts w:ascii="黑体" w:eastAsia="黑体" w:hAnsi="黑体" w:hint="eastAsia"/>
                <w:sz w:val="20"/>
                <w:szCs w:val="20"/>
              </w:rPr>
              <w:t>字符型，3</w:t>
            </w:r>
          </w:p>
        </w:tc>
        <w:tc>
          <w:tcPr>
            <w:tcW w:w="3969" w:type="dxa"/>
          </w:tcPr>
          <w:p w14:paraId="733F7BC3" w14:textId="77777777" w:rsidR="00A052DC" w:rsidRDefault="009F0A60">
            <w:pPr>
              <w:rPr>
                <w:rFonts w:ascii="黑体" w:eastAsia="黑体" w:hAnsi="黑体"/>
                <w:sz w:val="20"/>
                <w:szCs w:val="20"/>
              </w:rPr>
            </w:pPr>
            <w:r>
              <w:rPr>
                <w:rFonts w:ascii="黑体" w:eastAsia="黑体" w:hAnsi="黑体" w:hint="eastAsia"/>
                <w:sz w:val="20"/>
                <w:szCs w:val="20"/>
              </w:rPr>
              <w:t>必填项，字母代码,必须在币种代码表里存在。</w:t>
            </w:r>
          </w:p>
        </w:tc>
      </w:tr>
      <w:tr w:rsidR="00A052DC" w14:paraId="02360FCD" w14:textId="77777777">
        <w:trPr>
          <w:trHeight w:val="20"/>
        </w:trPr>
        <w:tc>
          <w:tcPr>
            <w:tcW w:w="1560" w:type="dxa"/>
          </w:tcPr>
          <w:p w14:paraId="5CE0C6FC" w14:textId="77777777" w:rsidR="00A052DC" w:rsidRDefault="009F0A60">
            <w:pPr>
              <w:rPr>
                <w:rFonts w:ascii="黑体" w:eastAsia="黑体" w:hAnsi="黑体"/>
                <w:sz w:val="20"/>
                <w:szCs w:val="20"/>
              </w:rPr>
            </w:pPr>
            <w:r>
              <w:rPr>
                <w:rFonts w:ascii="黑体" w:eastAsia="黑体" w:hAnsi="黑体"/>
                <w:sz w:val="20"/>
                <w:szCs w:val="20"/>
              </w:rPr>
              <w:t>TXAMT</w:t>
            </w:r>
          </w:p>
        </w:tc>
        <w:tc>
          <w:tcPr>
            <w:tcW w:w="1559" w:type="dxa"/>
          </w:tcPr>
          <w:p w14:paraId="363E9281" w14:textId="77777777" w:rsidR="00A052DC" w:rsidRDefault="009F0A60">
            <w:pPr>
              <w:rPr>
                <w:rFonts w:ascii="黑体" w:eastAsia="黑体" w:hAnsi="黑体"/>
                <w:sz w:val="20"/>
                <w:szCs w:val="20"/>
              </w:rPr>
            </w:pPr>
            <w:r>
              <w:rPr>
                <w:rFonts w:ascii="黑体" w:eastAsia="黑体" w:hAnsi="黑体" w:hint="eastAsia"/>
                <w:sz w:val="20"/>
                <w:szCs w:val="20"/>
              </w:rPr>
              <w:t>收入款金额</w:t>
            </w:r>
          </w:p>
        </w:tc>
        <w:tc>
          <w:tcPr>
            <w:tcW w:w="1559" w:type="dxa"/>
          </w:tcPr>
          <w:p w14:paraId="19873A5A" w14:textId="77777777" w:rsidR="00A052DC" w:rsidRDefault="009F0A60">
            <w:pPr>
              <w:rPr>
                <w:rFonts w:ascii="黑体" w:eastAsia="黑体" w:hAnsi="黑体"/>
                <w:sz w:val="20"/>
                <w:szCs w:val="20"/>
              </w:rPr>
            </w:pPr>
            <w:r>
              <w:rPr>
                <w:rFonts w:ascii="黑体" w:eastAsia="黑体" w:hAnsi="黑体" w:hint="eastAsia"/>
                <w:sz w:val="20"/>
                <w:szCs w:val="20"/>
              </w:rPr>
              <w:t>数值型，22.0</w:t>
            </w:r>
          </w:p>
        </w:tc>
        <w:tc>
          <w:tcPr>
            <w:tcW w:w="3969" w:type="dxa"/>
          </w:tcPr>
          <w:p w14:paraId="73D66037" w14:textId="77777777" w:rsidR="00A052DC" w:rsidRDefault="009F0A60">
            <w:pPr>
              <w:rPr>
                <w:rFonts w:ascii="黑体" w:eastAsia="黑体" w:hAnsi="黑体"/>
                <w:sz w:val="20"/>
                <w:szCs w:val="20"/>
              </w:rPr>
            </w:pPr>
            <w:r>
              <w:rPr>
                <w:rFonts w:ascii="黑体" w:eastAsia="黑体" w:hAnsi="黑体" w:hint="eastAsia"/>
                <w:sz w:val="20"/>
                <w:szCs w:val="20"/>
              </w:rPr>
              <w:t>必须为大于0的整数。</w:t>
            </w:r>
          </w:p>
        </w:tc>
      </w:tr>
      <w:tr w:rsidR="00A052DC" w14:paraId="01387A2D" w14:textId="77777777">
        <w:trPr>
          <w:trHeight w:val="20"/>
        </w:trPr>
        <w:tc>
          <w:tcPr>
            <w:tcW w:w="1560" w:type="dxa"/>
          </w:tcPr>
          <w:p w14:paraId="6F08DBA6" w14:textId="77777777" w:rsidR="00A052DC" w:rsidRDefault="009F0A60">
            <w:pPr>
              <w:rPr>
                <w:rFonts w:ascii="黑体" w:eastAsia="黑体" w:hAnsi="黑体"/>
                <w:sz w:val="20"/>
                <w:szCs w:val="20"/>
              </w:rPr>
            </w:pPr>
            <w:r>
              <w:rPr>
                <w:rFonts w:ascii="黑体" w:eastAsia="黑体" w:hAnsi="黑体"/>
                <w:sz w:val="20"/>
                <w:szCs w:val="20"/>
              </w:rPr>
              <w:t>EXRATE</w:t>
            </w:r>
          </w:p>
        </w:tc>
        <w:tc>
          <w:tcPr>
            <w:tcW w:w="1559" w:type="dxa"/>
          </w:tcPr>
          <w:p w14:paraId="41DF67A4" w14:textId="77777777" w:rsidR="00A052DC" w:rsidRDefault="009F0A60">
            <w:pPr>
              <w:rPr>
                <w:rFonts w:ascii="黑体" w:eastAsia="黑体" w:hAnsi="黑体"/>
                <w:sz w:val="20"/>
                <w:szCs w:val="20"/>
              </w:rPr>
            </w:pPr>
            <w:r>
              <w:rPr>
                <w:rFonts w:ascii="黑体" w:eastAsia="黑体" w:hAnsi="黑体" w:hint="eastAsia"/>
                <w:sz w:val="20"/>
                <w:szCs w:val="20"/>
              </w:rPr>
              <w:t>结汇汇率</w:t>
            </w:r>
          </w:p>
        </w:tc>
        <w:tc>
          <w:tcPr>
            <w:tcW w:w="1559" w:type="dxa"/>
          </w:tcPr>
          <w:p w14:paraId="3297E48F" w14:textId="77777777" w:rsidR="00A052DC" w:rsidRDefault="009F0A60">
            <w:pPr>
              <w:rPr>
                <w:rFonts w:ascii="黑体" w:eastAsia="黑体" w:hAnsi="黑体"/>
                <w:sz w:val="20"/>
                <w:szCs w:val="20"/>
              </w:rPr>
            </w:pPr>
            <w:r>
              <w:rPr>
                <w:rFonts w:ascii="黑体" w:eastAsia="黑体" w:hAnsi="黑体" w:hint="eastAsia"/>
                <w:sz w:val="20"/>
                <w:szCs w:val="20"/>
              </w:rPr>
              <w:t>数值型，13.8</w:t>
            </w:r>
          </w:p>
        </w:tc>
        <w:tc>
          <w:tcPr>
            <w:tcW w:w="3969" w:type="dxa"/>
          </w:tcPr>
          <w:p w14:paraId="0827FD99" w14:textId="77777777" w:rsidR="00A052DC" w:rsidRDefault="009F0A60">
            <w:pPr>
              <w:rPr>
                <w:rFonts w:ascii="黑体" w:eastAsia="黑体" w:hAnsi="黑体"/>
                <w:sz w:val="20"/>
                <w:szCs w:val="20"/>
              </w:rPr>
            </w:pPr>
            <w:r>
              <w:rPr>
                <w:rFonts w:ascii="黑体" w:eastAsia="黑体" w:hAnsi="黑体" w:hint="eastAsia"/>
                <w:sz w:val="20"/>
                <w:szCs w:val="20"/>
              </w:rPr>
              <w:t>当结汇金额大于0时必填，否则不应该填写。</w:t>
            </w:r>
          </w:p>
        </w:tc>
      </w:tr>
      <w:tr w:rsidR="00A052DC" w14:paraId="7DC79AB0" w14:textId="77777777">
        <w:trPr>
          <w:trHeight w:val="20"/>
        </w:trPr>
        <w:tc>
          <w:tcPr>
            <w:tcW w:w="1560" w:type="dxa"/>
          </w:tcPr>
          <w:p w14:paraId="6EB3CE89" w14:textId="77777777" w:rsidR="00A052DC" w:rsidRDefault="009F0A60">
            <w:pPr>
              <w:rPr>
                <w:rFonts w:ascii="黑体" w:eastAsia="黑体" w:hAnsi="黑体"/>
                <w:sz w:val="20"/>
                <w:szCs w:val="20"/>
              </w:rPr>
            </w:pPr>
            <w:r>
              <w:rPr>
                <w:rFonts w:ascii="黑体" w:eastAsia="黑体" w:hAnsi="黑体"/>
                <w:sz w:val="20"/>
                <w:szCs w:val="20"/>
              </w:rPr>
              <w:t>LCYAMT</w:t>
            </w:r>
          </w:p>
        </w:tc>
        <w:tc>
          <w:tcPr>
            <w:tcW w:w="1559" w:type="dxa"/>
          </w:tcPr>
          <w:p w14:paraId="030754D6" w14:textId="77777777" w:rsidR="00A052DC" w:rsidRDefault="009F0A60">
            <w:pPr>
              <w:rPr>
                <w:rFonts w:ascii="黑体" w:eastAsia="黑体" w:hAnsi="黑体"/>
                <w:sz w:val="20"/>
                <w:szCs w:val="20"/>
              </w:rPr>
            </w:pPr>
            <w:r>
              <w:rPr>
                <w:rFonts w:ascii="黑体" w:eastAsia="黑体" w:hAnsi="黑体" w:hint="eastAsia"/>
                <w:sz w:val="20"/>
                <w:szCs w:val="20"/>
              </w:rPr>
              <w:t>结汇金额</w:t>
            </w:r>
          </w:p>
        </w:tc>
        <w:tc>
          <w:tcPr>
            <w:tcW w:w="1559" w:type="dxa"/>
          </w:tcPr>
          <w:p w14:paraId="4B4E4685" w14:textId="77777777" w:rsidR="00A052DC" w:rsidRDefault="009F0A60">
            <w:pPr>
              <w:rPr>
                <w:rFonts w:ascii="黑体" w:eastAsia="黑体" w:hAnsi="黑体"/>
                <w:sz w:val="20"/>
                <w:szCs w:val="20"/>
              </w:rPr>
            </w:pPr>
            <w:r>
              <w:rPr>
                <w:rFonts w:ascii="黑体" w:eastAsia="黑体" w:hAnsi="黑体" w:hint="eastAsia"/>
                <w:sz w:val="20"/>
                <w:szCs w:val="20"/>
              </w:rPr>
              <w:t>数值型，22.0</w:t>
            </w:r>
          </w:p>
        </w:tc>
        <w:tc>
          <w:tcPr>
            <w:tcW w:w="3969" w:type="dxa"/>
          </w:tcPr>
          <w:p w14:paraId="14F43FAD" w14:textId="77777777" w:rsidR="00A052DC" w:rsidRDefault="00DD6AA3">
            <w:pPr>
              <w:rPr>
                <w:rFonts w:ascii="黑体" w:eastAsia="黑体" w:hAnsi="黑体"/>
                <w:sz w:val="20"/>
                <w:szCs w:val="20"/>
              </w:rPr>
            </w:pPr>
            <w:r>
              <w:rPr>
                <w:rFonts w:ascii="黑体" w:eastAsia="黑体" w:hAnsi="黑体" w:hint="eastAsia"/>
                <w:sz w:val="20"/>
                <w:szCs w:val="20"/>
              </w:rPr>
              <w:t>非必填项</w:t>
            </w:r>
            <w:r w:rsidR="009F0A60">
              <w:rPr>
                <w:rFonts w:ascii="黑体" w:eastAsia="黑体" w:hAnsi="黑体" w:hint="eastAsia"/>
                <w:sz w:val="20"/>
                <w:szCs w:val="20"/>
              </w:rPr>
              <w:t>，但不能小于0。</w:t>
            </w:r>
          </w:p>
          <w:p w14:paraId="793B94C7" w14:textId="77777777" w:rsidR="00A052DC" w:rsidRDefault="009F0A60">
            <w:pPr>
              <w:rPr>
                <w:rFonts w:ascii="黑体" w:eastAsia="黑体" w:hAnsi="黑体"/>
                <w:sz w:val="20"/>
                <w:szCs w:val="20"/>
              </w:rPr>
            </w:pPr>
            <w:r>
              <w:rPr>
                <w:rFonts w:ascii="黑体" w:eastAsia="黑体" w:hAnsi="黑体" w:hint="eastAsia"/>
                <w:sz w:val="20"/>
                <w:szCs w:val="20"/>
              </w:rPr>
              <w:t>若账号不为空则对应金额必须</w:t>
            </w:r>
            <w:r>
              <w:rPr>
                <w:rFonts w:ascii="黑体" w:eastAsia="黑体" w:hAnsi="黑体"/>
                <w:sz w:val="20"/>
                <w:szCs w:val="20"/>
              </w:rPr>
              <w:t>&gt;</w:t>
            </w:r>
            <w:r>
              <w:rPr>
                <w:rFonts w:ascii="黑体" w:eastAsia="黑体" w:hAnsi="黑体" w:hint="eastAsia"/>
                <w:sz w:val="20"/>
                <w:szCs w:val="20"/>
              </w:rPr>
              <w:t>0；若金额</w:t>
            </w:r>
            <w:r>
              <w:rPr>
                <w:rFonts w:ascii="黑体" w:eastAsia="黑体" w:hAnsi="黑体"/>
                <w:sz w:val="20"/>
                <w:szCs w:val="20"/>
              </w:rPr>
              <w:t>&gt;</w:t>
            </w:r>
            <w:r>
              <w:rPr>
                <w:rFonts w:ascii="黑体" w:eastAsia="黑体" w:hAnsi="黑体" w:hint="eastAsia"/>
                <w:sz w:val="20"/>
                <w:szCs w:val="20"/>
              </w:rPr>
              <w:t>0，则对应账号不能为空。</w:t>
            </w:r>
          </w:p>
        </w:tc>
      </w:tr>
      <w:tr w:rsidR="00A052DC" w14:paraId="398BC0CD" w14:textId="77777777">
        <w:trPr>
          <w:trHeight w:val="20"/>
        </w:trPr>
        <w:tc>
          <w:tcPr>
            <w:tcW w:w="1560" w:type="dxa"/>
          </w:tcPr>
          <w:p w14:paraId="6D8650A4" w14:textId="77777777" w:rsidR="00A052DC" w:rsidRDefault="009F0A60">
            <w:pPr>
              <w:rPr>
                <w:rFonts w:ascii="黑体" w:eastAsia="黑体" w:hAnsi="黑体"/>
                <w:sz w:val="20"/>
                <w:szCs w:val="20"/>
              </w:rPr>
            </w:pPr>
            <w:r>
              <w:rPr>
                <w:rFonts w:ascii="黑体" w:eastAsia="黑体" w:hAnsi="黑体"/>
                <w:sz w:val="20"/>
                <w:szCs w:val="20"/>
              </w:rPr>
              <w:t>LCYACC</w:t>
            </w:r>
          </w:p>
        </w:tc>
        <w:tc>
          <w:tcPr>
            <w:tcW w:w="1559" w:type="dxa"/>
          </w:tcPr>
          <w:p w14:paraId="54D08369" w14:textId="77777777" w:rsidR="00A052DC" w:rsidRDefault="009F0A60">
            <w:pPr>
              <w:rPr>
                <w:rFonts w:ascii="黑体" w:eastAsia="黑体" w:hAnsi="黑体"/>
                <w:sz w:val="20"/>
                <w:szCs w:val="20"/>
              </w:rPr>
            </w:pPr>
            <w:r>
              <w:rPr>
                <w:rFonts w:ascii="黑体" w:eastAsia="黑体" w:hAnsi="黑体" w:hint="eastAsia"/>
                <w:sz w:val="20"/>
                <w:szCs w:val="20"/>
              </w:rPr>
              <w:t>人民币账号/银行卡号</w:t>
            </w:r>
          </w:p>
        </w:tc>
        <w:tc>
          <w:tcPr>
            <w:tcW w:w="1559" w:type="dxa"/>
          </w:tcPr>
          <w:p w14:paraId="5E4E3945" w14:textId="77777777" w:rsidR="00A052DC" w:rsidRDefault="009F0A60">
            <w:pPr>
              <w:rPr>
                <w:rFonts w:ascii="黑体" w:eastAsia="黑体" w:hAnsi="黑体"/>
                <w:sz w:val="20"/>
                <w:szCs w:val="20"/>
              </w:rPr>
            </w:pPr>
            <w:r>
              <w:rPr>
                <w:rFonts w:ascii="黑体" w:eastAsia="黑体" w:hAnsi="黑体" w:hint="eastAsia"/>
                <w:sz w:val="20"/>
                <w:szCs w:val="20"/>
              </w:rPr>
              <w:t>字符型，</w:t>
            </w:r>
            <w:r>
              <w:rPr>
                <w:rFonts w:ascii="黑体" w:eastAsia="黑体" w:hAnsi="黑体"/>
                <w:sz w:val="20"/>
                <w:szCs w:val="20"/>
              </w:rPr>
              <w:t>32</w:t>
            </w:r>
          </w:p>
        </w:tc>
        <w:tc>
          <w:tcPr>
            <w:tcW w:w="3969" w:type="dxa"/>
          </w:tcPr>
          <w:p w14:paraId="79F7FC02" w14:textId="77777777" w:rsidR="00A052DC" w:rsidRDefault="009F0A60">
            <w:pPr>
              <w:rPr>
                <w:rFonts w:ascii="黑体" w:eastAsia="黑体" w:hAnsi="黑体"/>
                <w:sz w:val="20"/>
                <w:szCs w:val="20"/>
              </w:rPr>
            </w:pPr>
            <w:r>
              <w:rPr>
                <w:rFonts w:ascii="黑体" w:eastAsia="黑体" w:hAnsi="黑体" w:hint="eastAsia"/>
                <w:sz w:val="20"/>
                <w:szCs w:val="20"/>
              </w:rPr>
              <w:t>结汇金额、结汇汇率、结汇账号三个或同时空或同时有值。</w:t>
            </w:r>
          </w:p>
        </w:tc>
      </w:tr>
      <w:tr w:rsidR="00A052DC" w14:paraId="3D475D7F" w14:textId="77777777">
        <w:trPr>
          <w:trHeight w:val="20"/>
        </w:trPr>
        <w:tc>
          <w:tcPr>
            <w:tcW w:w="1560" w:type="dxa"/>
          </w:tcPr>
          <w:p w14:paraId="41705DDA" w14:textId="77777777" w:rsidR="00A052DC" w:rsidRDefault="009F0A60">
            <w:pPr>
              <w:rPr>
                <w:rFonts w:ascii="黑体" w:eastAsia="黑体" w:hAnsi="黑体"/>
                <w:sz w:val="20"/>
                <w:szCs w:val="20"/>
              </w:rPr>
            </w:pPr>
            <w:r>
              <w:rPr>
                <w:rFonts w:ascii="黑体" w:eastAsia="黑体" w:hAnsi="黑体"/>
                <w:sz w:val="20"/>
                <w:szCs w:val="20"/>
              </w:rPr>
              <w:t>FCYAMT</w:t>
            </w:r>
          </w:p>
        </w:tc>
        <w:tc>
          <w:tcPr>
            <w:tcW w:w="1559" w:type="dxa"/>
          </w:tcPr>
          <w:p w14:paraId="0ECD44D2" w14:textId="77777777" w:rsidR="00A052DC" w:rsidRDefault="009F0A60">
            <w:pPr>
              <w:rPr>
                <w:rFonts w:ascii="黑体" w:eastAsia="黑体" w:hAnsi="黑体"/>
                <w:sz w:val="20"/>
                <w:szCs w:val="20"/>
              </w:rPr>
            </w:pPr>
            <w:r>
              <w:rPr>
                <w:rFonts w:ascii="黑体" w:eastAsia="黑体" w:hAnsi="黑体" w:hint="eastAsia"/>
                <w:sz w:val="20"/>
                <w:szCs w:val="20"/>
              </w:rPr>
              <w:t>现汇金额</w:t>
            </w:r>
          </w:p>
          <w:p w14:paraId="73D5F0D8" w14:textId="77777777" w:rsidR="00A052DC" w:rsidRDefault="00A052DC">
            <w:pPr>
              <w:keepNext/>
              <w:keepLines/>
              <w:spacing w:before="120" w:after="120" w:line="360" w:lineRule="auto"/>
              <w:outlineLvl w:val="2"/>
              <w:rPr>
                <w:rFonts w:ascii="黑体" w:eastAsia="黑体" w:hAnsi="黑体"/>
                <w:sz w:val="20"/>
                <w:szCs w:val="20"/>
              </w:rPr>
            </w:pPr>
          </w:p>
        </w:tc>
        <w:tc>
          <w:tcPr>
            <w:tcW w:w="1559" w:type="dxa"/>
          </w:tcPr>
          <w:p w14:paraId="71859663" w14:textId="77777777" w:rsidR="00A052DC" w:rsidRDefault="009F0A60">
            <w:pPr>
              <w:rPr>
                <w:rFonts w:ascii="黑体" w:eastAsia="黑体" w:hAnsi="黑体"/>
                <w:sz w:val="20"/>
                <w:szCs w:val="20"/>
              </w:rPr>
            </w:pPr>
            <w:r>
              <w:rPr>
                <w:rFonts w:ascii="黑体" w:eastAsia="黑体" w:hAnsi="黑体" w:hint="eastAsia"/>
                <w:sz w:val="20"/>
                <w:szCs w:val="20"/>
              </w:rPr>
              <w:t>数值型，22.0</w:t>
            </w:r>
          </w:p>
        </w:tc>
        <w:tc>
          <w:tcPr>
            <w:tcW w:w="3969" w:type="dxa"/>
          </w:tcPr>
          <w:p w14:paraId="2CE740FD" w14:textId="77777777" w:rsidR="00A052DC" w:rsidRDefault="00DD6AA3">
            <w:pPr>
              <w:rPr>
                <w:rFonts w:ascii="黑体" w:eastAsia="黑体" w:hAnsi="黑体"/>
                <w:sz w:val="20"/>
                <w:szCs w:val="20"/>
              </w:rPr>
            </w:pPr>
            <w:r>
              <w:rPr>
                <w:rFonts w:ascii="黑体" w:eastAsia="黑体" w:hAnsi="黑体" w:hint="eastAsia"/>
                <w:sz w:val="20"/>
                <w:szCs w:val="20"/>
              </w:rPr>
              <w:t>非必填项</w:t>
            </w:r>
            <w:r w:rsidR="009F0A60">
              <w:rPr>
                <w:rFonts w:ascii="黑体" w:eastAsia="黑体" w:hAnsi="黑体" w:hint="eastAsia"/>
                <w:sz w:val="20"/>
                <w:szCs w:val="20"/>
              </w:rPr>
              <w:t>，但不能小于0。</w:t>
            </w:r>
          </w:p>
          <w:p w14:paraId="3EB4E87A" w14:textId="77777777" w:rsidR="00A052DC" w:rsidRDefault="009F0A60">
            <w:pPr>
              <w:rPr>
                <w:rFonts w:ascii="黑体" w:eastAsia="黑体" w:hAnsi="黑体"/>
                <w:sz w:val="20"/>
                <w:szCs w:val="20"/>
              </w:rPr>
            </w:pPr>
            <w:r>
              <w:rPr>
                <w:rFonts w:ascii="黑体" w:eastAsia="黑体" w:hAnsi="黑体" w:hint="eastAsia"/>
                <w:sz w:val="20"/>
                <w:szCs w:val="20"/>
              </w:rPr>
              <w:t>若账号不为空则对应金额必须</w:t>
            </w:r>
            <w:r>
              <w:rPr>
                <w:rFonts w:ascii="黑体" w:eastAsia="黑体" w:hAnsi="黑体"/>
                <w:sz w:val="20"/>
                <w:szCs w:val="20"/>
              </w:rPr>
              <w:t>&gt;</w:t>
            </w:r>
            <w:r>
              <w:rPr>
                <w:rFonts w:ascii="黑体" w:eastAsia="黑体" w:hAnsi="黑体" w:hint="eastAsia"/>
                <w:sz w:val="20"/>
                <w:szCs w:val="20"/>
              </w:rPr>
              <w:t>0；若金额</w:t>
            </w:r>
            <w:r>
              <w:rPr>
                <w:rFonts w:ascii="黑体" w:eastAsia="黑体" w:hAnsi="黑体"/>
                <w:sz w:val="20"/>
                <w:szCs w:val="20"/>
              </w:rPr>
              <w:t>&gt;</w:t>
            </w:r>
            <w:r>
              <w:rPr>
                <w:rFonts w:ascii="黑体" w:eastAsia="黑体" w:hAnsi="黑体" w:hint="eastAsia"/>
                <w:sz w:val="20"/>
                <w:szCs w:val="20"/>
              </w:rPr>
              <w:t>0，则对应账号不能为空。</w:t>
            </w:r>
          </w:p>
        </w:tc>
      </w:tr>
      <w:tr w:rsidR="00A052DC" w14:paraId="40A7DC26" w14:textId="77777777">
        <w:trPr>
          <w:trHeight w:val="20"/>
        </w:trPr>
        <w:tc>
          <w:tcPr>
            <w:tcW w:w="1560" w:type="dxa"/>
          </w:tcPr>
          <w:p w14:paraId="75DAAE6B" w14:textId="77777777" w:rsidR="00A052DC" w:rsidRDefault="009F0A60">
            <w:pPr>
              <w:rPr>
                <w:rFonts w:ascii="黑体" w:eastAsia="黑体" w:hAnsi="黑体"/>
                <w:sz w:val="20"/>
                <w:szCs w:val="20"/>
              </w:rPr>
            </w:pPr>
            <w:r>
              <w:rPr>
                <w:rFonts w:ascii="黑体" w:eastAsia="黑体" w:hAnsi="黑体"/>
                <w:sz w:val="20"/>
                <w:szCs w:val="20"/>
              </w:rPr>
              <w:t>FCYACC</w:t>
            </w:r>
          </w:p>
        </w:tc>
        <w:tc>
          <w:tcPr>
            <w:tcW w:w="1559" w:type="dxa"/>
          </w:tcPr>
          <w:p w14:paraId="6162448B" w14:textId="77777777" w:rsidR="00A052DC" w:rsidRDefault="009F0A60">
            <w:pPr>
              <w:rPr>
                <w:rFonts w:ascii="黑体" w:eastAsia="黑体" w:hAnsi="黑体"/>
                <w:sz w:val="20"/>
                <w:szCs w:val="20"/>
              </w:rPr>
            </w:pPr>
            <w:r>
              <w:rPr>
                <w:rFonts w:ascii="黑体" w:eastAsia="黑体" w:hAnsi="黑体" w:hint="eastAsia"/>
                <w:sz w:val="20"/>
                <w:szCs w:val="20"/>
              </w:rPr>
              <w:t>外汇账号/银行卡号</w:t>
            </w:r>
          </w:p>
        </w:tc>
        <w:tc>
          <w:tcPr>
            <w:tcW w:w="1559" w:type="dxa"/>
          </w:tcPr>
          <w:p w14:paraId="11EC6423" w14:textId="77777777" w:rsidR="00A052DC" w:rsidRDefault="009F0A60">
            <w:pPr>
              <w:rPr>
                <w:rFonts w:ascii="黑体" w:eastAsia="黑体" w:hAnsi="黑体"/>
                <w:sz w:val="20"/>
                <w:szCs w:val="20"/>
              </w:rPr>
            </w:pPr>
            <w:r>
              <w:rPr>
                <w:rFonts w:ascii="黑体" w:eastAsia="黑体" w:hAnsi="黑体" w:hint="eastAsia"/>
                <w:sz w:val="20"/>
                <w:szCs w:val="20"/>
              </w:rPr>
              <w:t>字符型，32</w:t>
            </w:r>
          </w:p>
        </w:tc>
        <w:tc>
          <w:tcPr>
            <w:tcW w:w="3969" w:type="dxa"/>
          </w:tcPr>
          <w:p w14:paraId="34CA4BD0" w14:textId="77777777" w:rsidR="00A052DC" w:rsidRDefault="009F0A60">
            <w:pPr>
              <w:rPr>
                <w:rFonts w:ascii="黑体" w:eastAsia="黑体" w:hAnsi="黑体"/>
                <w:sz w:val="20"/>
                <w:szCs w:val="20"/>
              </w:rPr>
            </w:pPr>
            <w:r>
              <w:rPr>
                <w:rFonts w:ascii="黑体" w:eastAsia="黑体" w:hAnsi="黑体" w:hint="eastAsia"/>
                <w:sz w:val="20"/>
                <w:szCs w:val="20"/>
              </w:rPr>
              <w:t>如果有现汇金额，则该字段不能为空。</w:t>
            </w:r>
          </w:p>
          <w:p w14:paraId="4FCB2DC6" w14:textId="77777777" w:rsidR="00A052DC" w:rsidRDefault="009F0A60">
            <w:pPr>
              <w:rPr>
                <w:rFonts w:ascii="黑体" w:eastAsia="黑体" w:hAnsi="黑体"/>
                <w:sz w:val="20"/>
                <w:szCs w:val="20"/>
              </w:rPr>
            </w:pPr>
            <w:r>
              <w:rPr>
                <w:rFonts w:ascii="黑体" w:eastAsia="黑体" w:hAnsi="黑体" w:hint="eastAsia"/>
                <w:sz w:val="20"/>
                <w:szCs w:val="20"/>
              </w:rPr>
              <w:t>现汇金额、现汇账号或同时空，或同时有值。</w:t>
            </w:r>
          </w:p>
        </w:tc>
      </w:tr>
      <w:tr w:rsidR="00A052DC" w14:paraId="4DF895CD" w14:textId="77777777">
        <w:trPr>
          <w:trHeight w:val="20"/>
        </w:trPr>
        <w:tc>
          <w:tcPr>
            <w:tcW w:w="1560" w:type="dxa"/>
          </w:tcPr>
          <w:p w14:paraId="02B561C5" w14:textId="77777777" w:rsidR="00A052DC" w:rsidRDefault="009F0A60">
            <w:pPr>
              <w:rPr>
                <w:rFonts w:ascii="黑体" w:eastAsia="黑体" w:hAnsi="黑体"/>
                <w:sz w:val="20"/>
                <w:szCs w:val="20"/>
              </w:rPr>
            </w:pPr>
            <w:r>
              <w:rPr>
                <w:rFonts w:ascii="黑体" w:eastAsia="黑体" w:hAnsi="黑体"/>
                <w:sz w:val="20"/>
                <w:szCs w:val="20"/>
              </w:rPr>
              <w:t>OTHAMT</w:t>
            </w:r>
          </w:p>
        </w:tc>
        <w:tc>
          <w:tcPr>
            <w:tcW w:w="1559" w:type="dxa"/>
          </w:tcPr>
          <w:p w14:paraId="03746C61" w14:textId="77777777" w:rsidR="00A052DC" w:rsidRDefault="0021563C">
            <w:pPr>
              <w:rPr>
                <w:rFonts w:ascii="黑体" w:eastAsia="黑体" w:hAnsi="黑体"/>
                <w:sz w:val="20"/>
                <w:szCs w:val="20"/>
              </w:rPr>
            </w:pPr>
            <w:r>
              <w:rPr>
                <w:rFonts w:ascii="黑体" w:eastAsia="黑体" w:hAnsi="黑体" w:hint="eastAsia"/>
                <w:sz w:val="20"/>
                <w:szCs w:val="20"/>
              </w:rPr>
              <w:t>其他</w:t>
            </w:r>
            <w:r w:rsidR="009F0A60">
              <w:rPr>
                <w:rFonts w:ascii="黑体" w:eastAsia="黑体" w:hAnsi="黑体" w:hint="eastAsia"/>
                <w:sz w:val="20"/>
                <w:szCs w:val="20"/>
              </w:rPr>
              <w:t>金额</w:t>
            </w:r>
          </w:p>
        </w:tc>
        <w:tc>
          <w:tcPr>
            <w:tcW w:w="1559" w:type="dxa"/>
          </w:tcPr>
          <w:p w14:paraId="246E865B" w14:textId="77777777" w:rsidR="00A052DC" w:rsidRDefault="009F0A60">
            <w:pPr>
              <w:rPr>
                <w:rFonts w:ascii="黑体" w:eastAsia="黑体" w:hAnsi="黑体"/>
                <w:sz w:val="20"/>
                <w:szCs w:val="20"/>
              </w:rPr>
            </w:pPr>
            <w:r>
              <w:rPr>
                <w:rFonts w:ascii="黑体" w:eastAsia="黑体" w:hAnsi="黑体" w:hint="eastAsia"/>
                <w:sz w:val="20"/>
                <w:szCs w:val="20"/>
              </w:rPr>
              <w:t>数值型，22.0</w:t>
            </w:r>
          </w:p>
        </w:tc>
        <w:tc>
          <w:tcPr>
            <w:tcW w:w="3969" w:type="dxa"/>
          </w:tcPr>
          <w:p w14:paraId="3F25159C" w14:textId="77777777" w:rsidR="00A052DC" w:rsidRDefault="00DD6AA3">
            <w:pPr>
              <w:rPr>
                <w:rFonts w:ascii="黑体" w:eastAsia="黑体" w:hAnsi="黑体"/>
                <w:sz w:val="20"/>
                <w:szCs w:val="20"/>
              </w:rPr>
            </w:pPr>
            <w:r>
              <w:rPr>
                <w:rFonts w:ascii="黑体" w:eastAsia="黑体" w:hAnsi="黑体" w:hint="eastAsia"/>
                <w:sz w:val="20"/>
                <w:szCs w:val="20"/>
              </w:rPr>
              <w:t>非必填项</w:t>
            </w:r>
            <w:r w:rsidR="009F0A60">
              <w:rPr>
                <w:rFonts w:ascii="黑体" w:eastAsia="黑体" w:hAnsi="黑体" w:hint="eastAsia"/>
                <w:sz w:val="20"/>
                <w:szCs w:val="20"/>
              </w:rPr>
              <w:t>，但不能小于0。</w:t>
            </w:r>
          </w:p>
          <w:p w14:paraId="0CBAD3FC" w14:textId="77777777" w:rsidR="00A052DC" w:rsidRDefault="009F0A60">
            <w:pPr>
              <w:rPr>
                <w:rFonts w:ascii="黑体" w:eastAsia="黑体" w:hAnsi="黑体"/>
                <w:sz w:val="20"/>
                <w:szCs w:val="20"/>
              </w:rPr>
            </w:pPr>
            <w:r>
              <w:rPr>
                <w:rFonts w:ascii="黑体" w:eastAsia="黑体" w:hAnsi="黑体" w:hint="eastAsia"/>
                <w:sz w:val="20"/>
                <w:szCs w:val="20"/>
              </w:rPr>
              <w:t>若账号不为空则对应金额必须</w:t>
            </w:r>
            <w:r>
              <w:rPr>
                <w:rFonts w:ascii="黑体" w:eastAsia="黑体" w:hAnsi="黑体"/>
                <w:sz w:val="20"/>
                <w:szCs w:val="20"/>
              </w:rPr>
              <w:t>&gt;</w:t>
            </w:r>
            <w:r>
              <w:rPr>
                <w:rFonts w:ascii="黑体" w:eastAsia="黑体" w:hAnsi="黑体" w:hint="eastAsia"/>
                <w:sz w:val="20"/>
                <w:szCs w:val="20"/>
              </w:rPr>
              <w:t>0；若金额</w:t>
            </w:r>
            <w:r>
              <w:rPr>
                <w:rFonts w:ascii="黑体" w:eastAsia="黑体" w:hAnsi="黑体"/>
                <w:sz w:val="20"/>
                <w:szCs w:val="20"/>
              </w:rPr>
              <w:t>&gt;</w:t>
            </w:r>
            <w:r>
              <w:rPr>
                <w:rFonts w:ascii="黑体" w:eastAsia="黑体" w:hAnsi="黑体" w:hint="eastAsia"/>
                <w:sz w:val="20"/>
                <w:szCs w:val="20"/>
              </w:rPr>
              <w:t>0，则对应账号不能为空。</w:t>
            </w:r>
          </w:p>
          <w:p w14:paraId="76631F4B" w14:textId="77777777" w:rsidR="00A052DC" w:rsidRDefault="009F0A60">
            <w:pPr>
              <w:rPr>
                <w:rFonts w:ascii="黑体" w:eastAsia="黑体" w:hAnsi="黑体"/>
                <w:sz w:val="20"/>
                <w:szCs w:val="20"/>
              </w:rPr>
            </w:pPr>
            <w:r>
              <w:rPr>
                <w:rFonts w:ascii="黑体" w:eastAsia="黑体" w:hAnsi="黑体" w:hint="eastAsia"/>
                <w:sz w:val="20"/>
                <w:szCs w:val="20"/>
              </w:rPr>
              <w:t>结汇金额,现汇金额,</w:t>
            </w:r>
            <w:r w:rsidR="0021563C">
              <w:rPr>
                <w:rFonts w:ascii="黑体" w:eastAsia="黑体" w:hAnsi="黑体" w:hint="eastAsia"/>
                <w:sz w:val="20"/>
                <w:szCs w:val="20"/>
              </w:rPr>
              <w:t>其他</w:t>
            </w:r>
            <w:r>
              <w:rPr>
                <w:rFonts w:ascii="黑体" w:eastAsia="黑体" w:hAnsi="黑体" w:hint="eastAsia"/>
                <w:sz w:val="20"/>
                <w:szCs w:val="20"/>
              </w:rPr>
              <w:t>金额至少输入一项。</w:t>
            </w:r>
          </w:p>
          <w:p w14:paraId="53B47BA7" w14:textId="77777777" w:rsidR="00A052DC" w:rsidRDefault="009F0A60">
            <w:pPr>
              <w:rPr>
                <w:rFonts w:ascii="黑体" w:eastAsia="黑体" w:hAnsi="黑体"/>
                <w:sz w:val="20"/>
                <w:szCs w:val="20"/>
              </w:rPr>
            </w:pPr>
            <w:r>
              <w:rPr>
                <w:rFonts w:ascii="黑体" w:eastAsia="黑体" w:hAnsi="黑体" w:hint="eastAsia"/>
                <w:sz w:val="20"/>
                <w:szCs w:val="20"/>
              </w:rPr>
              <w:t>结汇金额、现汇金额、</w:t>
            </w:r>
            <w:r w:rsidR="0021563C">
              <w:rPr>
                <w:rFonts w:ascii="黑体" w:eastAsia="黑体" w:hAnsi="黑体" w:hint="eastAsia"/>
                <w:sz w:val="20"/>
                <w:szCs w:val="20"/>
              </w:rPr>
              <w:t>其他</w:t>
            </w:r>
            <w:r>
              <w:rPr>
                <w:rFonts w:ascii="黑体" w:eastAsia="黑体" w:hAnsi="黑体" w:hint="eastAsia"/>
                <w:sz w:val="20"/>
                <w:szCs w:val="20"/>
              </w:rPr>
              <w:t>金额之和不能大于收入款金额。</w:t>
            </w:r>
          </w:p>
        </w:tc>
      </w:tr>
      <w:tr w:rsidR="00A052DC" w14:paraId="29799AD3" w14:textId="77777777">
        <w:trPr>
          <w:trHeight w:val="20"/>
        </w:trPr>
        <w:tc>
          <w:tcPr>
            <w:tcW w:w="1560" w:type="dxa"/>
          </w:tcPr>
          <w:p w14:paraId="5497B509" w14:textId="77777777" w:rsidR="00A052DC" w:rsidRDefault="009F0A60">
            <w:pPr>
              <w:rPr>
                <w:rFonts w:ascii="黑体" w:eastAsia="黑体" w:hAnsi="黑体"/>
                <w:sz w:val="20"/>
                <w:szCs w:val="20"/>
              </w:rPr>
            </w:pPr>
            <w:r>
              <w:rPr>
                <w:rFonts w:ascii="黑体" w:eastAsia="黑体" w:hAnsi="黑体"/>
                <w:sz w:val="20"/>
                <w:szCs w:val="20"/>
              </w:rPr>
              <w:t>OTHACC</w:t>
            </w:r>
          </w:p>
        </w:tc>
        <w:tc>
          <w:tcPr>
            <w:tcW w:w="1559" w:type="dxa"/>
          </w:tcPr>
          <w:p w14:paraId="5B08F2C2" w14:textId="77777777" w:rsidR="00A052DC" w:rsidRDefault="0021563C">
            <w:pPr>
              <w:rPr>
                <w:rFonts w:ascii="黑体" w:eastAsia="黑体" w:hAnsi="黑体"/>
                <w:sz w:val="20"/>
                <w:szCs w:val="20"/>
              </w:rPr>
            </w:pPr>
            <w:r>
              <w:rPr>
                <w:rFonts w:ascii="黑体" w:eastAsia="黑体" w:hAnsi="黑体" w:hint="eastAsia"/>
                <w:sz w:val="20"/>
                <w:szCs w:val="20"/>
              </w:rPr>
              <w:t>其他</w:t>
            </w:r>
            <w:r w:rsidR="009F0A60">
              <w:rPr>
                <w:rFonts w:ascii="黑体" w:eastAsia="黑体" w:hAnsi="黑体" w:hint="eastAsia"/>
                <w:sz w:val="20"/>
                <w:szCs w:val="20"/>
              </w:rPr>
              <w:t>账号/银行卡号</w:t>
            </w:r>
          </w:p>
        </w:tc>
        <w:tc>
          <w:tcPr>
            <w:tcW w:w="1559" w:type="dxa"/>
          </w:tcPr>
          <w:p w14:paraId="0155EA2D" w14:textId="77777777" w:rsidR="00A052DC" w:rsidRDefault="009F0A60">
            <w:pPr>
              <w:rPr>
                <w:rFonts w:ascii="黑体" w:eastAsia="黑体" w:hAnsi="黑体"/>
                <w:sz w:val="20"/>
                <w:szCs w:val="20"/>
              </w:rPr>
            </w:pPr>
            <w:r>
              <w:rPr>
                <w:rFonts w:ascii="黑体" w:eastAsia="黑体" w:hAnsi="黑体" w:hint="eastAsia"/>
                <w:sz w:val="20"/>
                <w:szCs w:val="20"/>
              </w:rPr>
              <w:t>字符型，32</w:t>
            </w:r>
          </w:p>
        </w:tc>
        <w:tc>
          <w:tcPr>
            <w:tcW w:w="3969" w:type="dxa"/>
          </w:tcPr>
          <w:p w14:paraId="580570D3" w14:textId="77777777" w:rsidR="00A052DC" w:rsidRDefault="009F0A60">
            <w:pPr>
              <w:rPr>
                <w:rFonts w:ascii="黑体" w:eastAsia="黑体" w:hAnsi="黑体"/>
                <w:sz w:val="20"/>
                <w:szCs w:val="20"/>
              </w:rPr>
            </w:pPr>
            <w:r>
              <w:rPr>
                <w:rFonts w:ascii="黑体" w:eastAsia="黑体" w:hAnsi="黑体" w:hint="eastAsia"/>
                <w:sz w:val="20"/>
                <w:szCs w:val="20"/>
              </w:rPr>
              <w:t>如果有其他金额，则该字段不能为空，</w:t>
            </w:r>
          </w:p>
          <w:p w14:paraId="63C63C7F" w14:textId="77777777" w:rsidR="00A052DC" w:rsidRDefault="009F0A60">
            <w:pPr>
              <w:rPr>
                <w:rFonts w:ascii="黑体" w:eastAsia="黑体" w:hAnsi="黑体"/>
                <w:sz w:val="20"/>
                <w:szCs w:val="20"/>
              </w:rPr>
            </w:pPr>
            <w:r>
              <w:rPr>
                <w:rFonts w:ascii="黑体" w:eastAsia="黑体" w:hAnsi="黑体" w:hint="eastAsia"/>
                <w:sz w:val="20"/>
                <w:szCs w:val="20"/>
              </w:rPr>
              <w:t>其他金额为0，则该字段不应该填写，</w:t>
            </w:r>
          </w:p>
          <w:p w14:paraId="470BC461" w14:textId="77777777" w:rsidR="00A052DC" w:rsidRDefault="0021563C">
            <w:pPr>
              <w:rPr>
                <w:rFonts w:ascii="黑体" w:eastAsia="黑体" w:hAnsi="黑体"/>
                <w:sz w:val="20"/>
                <w:szCs w:val="20"/>
              </w:rPr>
            </w:pPr>
            <w:r>
              <w:rPr>
                <w:rFonts w:ascii="黑体" w:eastAsia="黑体" w:hAnsi="黑体" w:hint="eastAsia"/>
                <w:sz w:val="20"/>
                <w:szCs w:val="20"/>
              </w:rPr>
              <w:t>其他</w:t>
            </w:r>
            <w:r w:rsidR="009F0A60">
              <w:rPr>
                <w:rFonts w:ascii="黑体" w:eastAsia="黑体" w:hAnsi="黑体" w:hint="eastAsia"/>
                <w:sz w:val="20"/>
                <w:szCs w:val="20"/>
              </w:rPr>
              <w:t>金额、</w:t>
            </w:r>
            <w:r>
              <w:rPr>
                <w:rFonts w:ascii="黑体" w:eastAsia="黑体" w:hAnsi="黑体" w:hint="eastAsia"/>
                <w:sz w:val="20"/>
                <w:szCs w:val="20"/>
              </w:rPr>
              <w:t>其他</w:t>
            </w:r>
            <w:r w:rsidR="009F0A60">
              <w:rPr>
                <w:rFonts w:ascii="黑体" w:eastAsia="黑体" w:hAnsi="黑体" w:hint="eastAsia"/>
                <w:sz w:val="20"/>
                <w:szCs w:val="20"/>
              </w:rPr>
              <w:t>账号或同时空，或同时有值。</w:t>
            </w:r>
          </w:p>
        </w:tc>
      </w:tr>
      <w:tr w:rsidR="00A052DC" w14:paraId="148FF587" w14:textId="77777777">
        <w:trPr>
          <w:trHeight w:val="20"/>
        </w:trPr>
        <w:tc>
          <w:tcPr>
            <w:tcW w:w="1560" w:type="dxa"/>
          </w:tcPr>
          <w:p w14:paraId="39356579" w14:textId="77777777" w:rsidR="00A052DC" w:rsidRDefault="009F0A60">
            <w:pPr>
              <w:rPr>
                <w:rFonts w:ascii="黑体" w:eastAsia="黑体" w:hAnsi="黑体"/>
                <w:sz w:val="20"/>
                <w:szCs w:val="20"/>
              </w:rPr>
            </w:pPr>
            <w:r>
              <w:rPr>
                <w:rFonts w:ascii="黑体" w:eastAsia="黑体" w:hAnsi="黑体"/>
                <w:sz w:val="20"/>
                <w:szCs w:val="20"/>
              </w:rPr>
              <w:t>METHOD</w:t>
            </w:r>
          </w:p>
        </w:tc>
        <w:tc>
          <w:tcPr>
            <w:tcW w:w="1559" w:type="dxa"/>
          </w:tcPr>
          <w:p w14:paraId="50829E1C" w14:textId="77777777" w:rsidR="00A052DC" w:rsidRDefault="009F0A60">
            <w:pPr>
              <w:rPr>
                <w:rFonts w:ascii="黑体" w:eastAsia="黑体" w:hAnsi="黑体"/>
                <w:sz w:val="20"/>
                <w:szCs w:val="20"/>
              </w:rPr>
            </w:pPr>
            <w:r>
              <w:rPr>
                <w:rFonts w:ascii="黑体" w:eastAsia="黑体" w:hAnsi="黑体" w:hint="eastAsia"/>
                <w:sz w:val="20"/>
                <w:szCs w:val="20"/>
              </w:rPr>
              <w:t>结算方式</w:t>
            </w:r>
          </w:p>
        </w:tc>
        <w:tc>
          <w:tcPr>
            <w:tcW w:w="1559" w:type="dxa"/>
          </w:tcPr>
          <w:p w14:paraId="3DF87921" w14:textId="77777777" w:rsidR="00A052DC" w:rsidRDefault="009F0A60">
            <w:pPr>
              <w:rPr>
                <w:rFonts w:ascii="黑体" w:eastAsia="黑体" w:hAnsi="黑体"/>
                <w:sz w:val="20"/>
                <w:szCs w:val="20"/>
              </w:rPr>
            </w:pPr>
            <w:r>
              <w:rPr>
                <w:rFonts w:ascii="黑体" w:eastAsia="黑体" w:hAnsi="黑体" w:hint="eastAsia"/>
                <w:sz w:val="20"/>
                <w:szCs w:val="20"/>
              </w:rPr>
              <w:t>字符型，1</w:t>
            </w:r>
          </w:p>
        </w:tc>
        <w:tc>
          <w:tcPr>
            <w:tcW w:w="3969" w:type="dxa"/>
          </w:tcPr>
          <w:p w14:paraId="004BC27B" w14:textId="77777777" w:rsidR="00A052DC" w:rsidRDefault="009F0A60">
            <w:pPr>
              <w:rPr>
                <w:rFonts w:ascii="黑体" w:eastAsia="黑体" w:hAnsi="黑体"/>
                <w:sz w:val="20"/>
                <w:szCs w:val="20"/>
              </w:rPr>
            </w:pPr>
            <w:r>
              <w:rPr>
                <w:rFonts w:ascii="黑体" w:eastAsia="黑体" w:hAnsi="黑体" w:hint="eastAsia"/>
                <w:sz w:val="20"/>
                <w:szCs w:val="20"/>
              </w:rPr>
              <w:t>L</w:t>
            </w:r>
            <w:r w:rsidR="00AE4602">
              <w:rPr>
                <w:rFonts w:ascii="黑体" w:eastAsia="黑体" w:hAnsi="黑体" w:hint="eastAsia"/>
                <w:sz w:val="20"/>
                <w:szCs w:val="20"/>
              </w:rPr>
              <w:t>-</w:t>
            </w:r>
            <w:r>
              <w:rPr>
                <w:rFonts w:ascii="黑体" w:eastAsia="黑体" w:hAnsi="黑体" w:hint="eastAsia"/>
                <w:sz w:val="20"/>
                <w:szCs w:val="20"/>
              </w:rPr>
              <w:t>信用证</w:t>
            </w:r>
          </w:p>
          <w:p w14:paraId="757093D7" w14:textId="77777777" w:rsidR="00A052DC" w:rsidRDefault="009F0A60">
            <w:pPr>
              <w:rPr>
                <w:rFonts w:ascii="黑体" w:eastAsia="黑体" w:hAnsi="黑体"/>
                <w:sz w:val="20"/>
                <w:szCs w:val="20"/>
              </w:rPr>
            </w:pPr>
            <w:r>
              <w:rPr>
                <w:rFonts w:ascii="黑体" w:eastAsia="黑体" w:hAnsi="黑体" w:hint="eastAsia"/>
                <w:sz w:val="20"/>
                <w:szCs w:val="20"/>
              </w:rPr>
              <w:t>C</w:t>
            </w:r>
            <w:r w:rsidR="00AE4602">
              <w:rPr>
                <w:rFonts w:ascii="黑体" w:eastAsia="黑体" w:hAnsi="黑体" w:hint="eastAsia"/>
                <w:sz w:val="20"/>
                <w:szCs w:val="20"/>
              </w:rPr>
              <w:t>-</w:t>
            </w:r>
            <w:r>
              <w:rPr>
                <w:rFonts w:ascii="黑体" w:eastAsia="黑体" w:hAnsi="黑体" w:hint="eastAsia"/>
                <w:sz w:val="20"/>
                <w:szCs w:val="20"/>
              </w:rPr>
              <w:t>托收</w:t>
            </w:r>
          </w:p>
          <w:p w14:paraId="7AE490EB" w14:textId="77777777" w:rsidR="00A052DC" w:rsidRDefault="009F0A60">
            <w:pPr>
              <w:rPr>
                <w:rFonts w:ascii="黑体" w:eastAsia="黑体" w:hAnsi="黑体"/>
                <w:sz w:val="20"/>
                <w:szCs w:val="20"/>
              </w:rPr>
            </w:pPr>
            <w:r>
              <w:rPr>
                <w:rFonts w:ascii="黑体" w:eastAsia="黑体" w:hAnsi="黑体" w:hint="eastAsia"/>
                <w:sz w:val="20"/>
                <w:szCs w:val="20"/>
              </w:rPr>
              <w:t>G</w:t>
            </w:r>
            <w:r w:rsidR="00AE4602">
              <w:rPr>
                <w:rFonts w:ascii="黑体" w:eastAsia="黑体" w:hAnsi="黑体" w:hint="eastAsia"/>
                <w:sz w:val="20"/>
                <w:szCs w:val="20"/>
              </w:rPr>
              <w:t>-</w:t>
            </w:r>
            <w:r>
              <w:rPr>
                <w:rFonts w:ascii="黑体" w:eastAsia="黑体" w:hAnsi="黑体" w:hint="eastAsia"/>
                <w:sz w:val="20"/>
                <w:szCs w:val="20"/>
              </w:rPr>
              <w:t>保函</w:t>
            </w:r>
          </w:p>
          <w:p w14:paraId="2D9892AA" w14:textId="77777777" w:rsidR="00A052DC" w:rsidRDefault="009F0A60">
            <w:pPr>
              <w:rPr>
                <w:rFonts w:ascii="黑体" w:eastAsia="黑体" w:hAnsi="黑体"/>
                <w:sz w:val="20"/>
                <w:szCs w:val="20"/>
              </w:rPr>
            </w:pPr>
            <w:r>
              <w:rPr>
                <w:rFonts w:ascii="黑体" w:eastAsia="黑体" w:hAnsi="黑体" w:hint="eastAsia"/>
                <w:sz w:val="20"/>
                <w:szCs w:val="20"/>
              </w:rPr>
              <w:t>T</w:t>
            </w:r>
            <w:r w:rsidR="00AE4602">
              <w:rPr>
                <w:rFonts w:ascii="黑体" w:eastAsia="黑体" w:hAnsi="黑体" w:hint="eastAsia"/>
                <w:sz w:val="20"/>
                <w:szCs w:val="20"/>
              </w:rPr>
              <w:t>-</w:t>
            </w:r>
            <w:r>
              <w:rPr>
                <w:rFonts w:ascii="黑体" w:eastAsia="黑体" w:hAnsi="黑体" w:hint="eastAsia"/>
                <w:sz w:val="20"/>
                <w:szCs w:val="20"/>
              </w:rPr>
              <w:t>电汇</w:t>
            </w:r>
          </w:p>
          <w:p w14:paraId="513F5102" w14:textId="77777777" w:rsidR="00A052DC" w:rsidRDefault="009F0A60">
            <w:pPr>
              <w:rPr>
                <w:rFonts w:ascii="黑体" w:eastAsia="黑体" w:hAnsi="黑体"/>
                <w:sz w:val="20"/>
                <w:szCs w:val="20"/>
              </w:rPr>
            </w:pPr>
            <w:r>
              <w:rPr>
                <w:rFonts w:ascii="黑体" w:eastAsia="黑体" w:hAnsi="黑体" w:hint="eastAsia"/>
                <w:sz w:val="20"/>
                <w:szCs w:val="20"/>
              </w:rPr>
              <w:t>D</w:t>
            </w:r>
            <w:r w:rsidR="00AE4602">
              <w:rPr>
                <w:rFonts w:ascii="黑体" w:eastAsia="黑体" w:hAnsi="黑体" w:hint="eastAsia"/>
                <w:sz w:val="20"/>
                <w:szCs w:val="20"/>
              </w:rPr>
              <w:t>-</w:t>
            </w:r>
            <w:r>
              <w:rPr>
                <w:rFonts w:ascii="黑体" w:eastAsia="黑体" w:hAnsi="黑体" w:hint="eastAsia"/>
                <w:sz w:val="20"/>
                <w:szCs w:val="20"/>
              </w:rPr>
              <w:t>票汇</w:t>
            </w:r>
          </w:p>
          <w:p w14:paraId="05139DFC" w14:textId="77777777" w:rsidR="00A052DC" w:rsidRDefault="009F0A60">
            <w:pPr>
              <w:rPr>
                <w:rFonts w:ascii="黑体" w:eastAsia="黑体" w:hAnsi="黑体"/>
                <w:sz w:val="20"/>
                <w:szCs w:val="20"/>
              </w:rPr>
            </w:pPr>
            <w:r>
              <w:rPr>
                <w:rFonts w:ascii="黑体" w:eastAsia="黑体" w:hAnsi="黑体" w:hint="eastAsia"/>
                <w:sz w:val="20"/>
                <w:szCs w:val="20"/>
              </w:rPr>
              <w:t>M</w:t>
            </w:r>
            <w:r w:rsidR="00AE4602">
              <w:rPr>
                <w:rFonts w:ascii="黑体" w:eastAsia="黑体" w:hAnsi="黑体" w:hint="eastAsia"/>
                <w:sz w:val="20"/>
                <w:szCs w:val="20"/>
              </w:rPr>
              <w:t>-</w:t>
            </w:r>
            <w:r>
              <w:rPr>
                <w:rFonts w:ascii="黑体" w:eastAsia="黑体" w:hAnsi="黑体" w:hint="eastAsia"/>
                <w:sz w:val="20"/>
                <w:szCs w:val="20"/>
              </w:rPr>
              <w:t>信汇</w:t>
            </w:r>
          </w:p>
          <w:p w14:paraId="5CA0815F" w14:textId="77777777" w:rsidR="00A052DC" w:rsidRDefault="009F0A60">
            <w:pPr>
              <w:rPr>
                <w:rFonts w:ascii="黑体" w:eastAsia="黑体" w:hAnsi="黑体"/>
                <w:sz w:val="20"/>
                <w:szCs w:val="20"/>
              </w:rPr>
            </w:pPr>
            <w:r>
              <w:rPr>
                <w:rFonts w:ascii="黑体" w:eastAsia="黑体" w:hAnsi="黑体" w:hint="eastAsia"/>
                <w:sz w:val="20"/>
                <w:szCs w:val="20"/>
              </w:rPr>
              <w:t>O</w:t>
            </w:r>
            <w:r w:rsidR="00AE4602">
              <w:rPr>
                <w:rFonts w:ascii="黑体" w:eastAsia="黑体" w:hAnsi="黑体" w:hint="eastAsia"/>
                <w:sz w:val="20"/>
                <w:szCs w:val="20"/>
              </w:rPr>
              <w:t>-</w:t>
            </w:r>
            <w:r>
              <w:rPr>
                <w:rFonts w:ascii="黑体" w:eastAsia="黑体" w:hAnsi="黑体" w:hint="eastAsia"/>
                <w:sz w:val="20"/>
                <w:szCs w:val="20"/>
              </w:rPr>
              <w:t>其他</w:t>
            </w:r>
          </w:p>
        </w:tc>
      </w:tr>
      <w:tr w:rsidR="00A052DC" w14:paraId="6EA4BF64" w14:textId="77777777">
        <w:trPr>
          <w:trHeight w:val="20"/>
        </w:trPr>
        <w:tc>
          <w:tcPr>
            <w:tcW w:w="1560" w:type="dxa"/>
          </w:tcPr>
          <w:p w14:paraId="71CAF19D" w14:textId="77777777" w:rsidR="00A052DC" w:rsidRDefault="009F0A60">
            <w:pPr>
              <w:rPr>
                <w:rFonts w:ascii="黑体" w:eastAsia="黑体" w:hAnsi="黑体"/>
                <w:sz w:val="20"/>
                <w:szCs w:val="20"/>
              </w:rPr>
            </w:pPr>
            <w:r>
              <w:rPr>
                <w:rFonts w:ascii="黑体" w:eastAsia="黑体" w:hAnsi="黑体"/>
                <w:sz w:val="20"/>
                <w:szCs w:val="20"/>
              </w:rPr>
              <w:t>BUSCODE</w:t>
            </w:r>
          </w:p>
        </w:tc>
        <w:tc>
          <w:tcPr>
            <w:tcW w:w="1559" w:type="dxa"/>
          </w:tcPr>
          <w:p w14:paraId="11A40F5F" w14:textId="77777777" w:rsidR="00A052DC" w:rsidRDefault="009F0A60">
            <w:pPr>
              <w:rPr>
                <w:rFonts w:ascii="黑体" w:eastAsia="黑体" w:hAnsi="黑体"/>
                <w:sz w:val="20"/>
                <w:szCs w:val="20"/>
              </w:rPr>
            </w:pPr>
            <w:r>
              <w:rPr>
                <w:rFonts w:ascii="黑体" w:eastAsia="黑体" w:hAnsi="黑体" w:hint="eastAsia"/>
                <w:sz w:val="20"/>
                <w:szCs w:val="20"/>
              </w:rPr>
              <w:t>银行业务编号</w:t>
            </w:r>
          </w:p>
        </w:tc>
        <w:tc>
          <w:tcPr>
            <w:tcW w:w="1559" w:type="dxa"/>
          </w:tcPr>
          <w:p w14:paraId="5DEE6263" w14:textId="77777777" w:rsidR="00A052DC" w:rsidRDefault="009F0A60">
            <w:pPr>
              <w:rPr>
                <w:rFonts w:ascii="黑体" w:eastAsia="黑体" w:hAnsi="黑体"/>
                <w:sz w:val="20"/>
                <w:szCs w:val="20"/>
              </w:rPr>
            </w:pPr>
            <w:r>
              <w:rPr>
                <w:rFonts w:ascii="黑体" w:eastAsia="黑体" w:hAnsi="黑体" w:hint="eastAsia"/>
                <w:sz w:val="20"/>
                <w:szCs w:val="20"/>
              </w:rPr>
              <w:t>字符型，22</w:t>
            </w:r>
          </w:p>
        </w:tc>
        <w:tc>
          <w:tcPr>
            <w:tcW w:w="3969" w:type="dxa"/>
          </w:tcPr>
          <w:p w14:paraId="1D41569E"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r w:rsidR="00A052DC" w14:paraId="4A0CF7C6" w14:textId="77777777">
        <w:trPr>
          <w:trHeight w:val="20"/>
        </w:trPr>
        <w:tc>
          <w:tcPr>
            <w:tcW w:w="1560" w:type="dxa"/>
          </w:tcPr>
          <w:p w14:paraId="414F50EB" w14:textId="77777777" w:rsidR="00A052DC" w:rsidRDefault="009F0A60">
            <w:pPr>
              <w:rPr>
                <w:rFonts w:ascii="黑体" w:eastAsia="黑体" w:hAnsi="黑体"/>
                <w:sz w:val="20"/>
                <w:szCs w:val="20"/>
              </w:rPr>
            </w:pPr>
            <w:r>
              <w:rPr>
                <w:rFonts w:ascii="黑体" w:eastAsia="黑体" w:hAnsi="黑体"/>
                <w:sz w:val="20"/>
                <w:szCs w:val="20"/>
              </w:rPr>
              <w:t>INCHARGECCY</w:t>
            </w:r>
          </w:p>
        </w:tc>
        <w:tc>
          <w:tcPr>
            <w:tcW w:w="1559" w:type="dxa"/>
          </w:tcPr>
          <w:p w14:paraId="1AE02F4D" w14:textId="77777777" w:rsidR="00A052DC" w:rsidRDefault="009F0A60">
            <w:pPr>
              <w:rPr>
                <w:rFonts w:ascii="黑体" w:eastAsia="黑体" w:hAnsi="黑体"/>
                <w:sz w:val="20"/>
                <w:szCs w:val="20"/>
              </w:rPr>
            </w:pPr>
            <w:r>
              <w:rPr>
                <w:rFonts w:ascii="黑体" w:eastAsia="黑体" w:hAnsi="黑体" w:hint="eastAsia"/>
                <w:sz w:val="20"/>
                <w:szCs w:val="20"/>
              </w:rPr>
              <w:t>国内银行扣费币种</w:t>
            </w:r>
          </w:p>
        </w:tc>
        <w:tc>
          <w:tcPr>
            <w:tcW w:w="1559" w:type="dxa"/>
          </w:tcPr>
          <w:p w14:paraId="25834DFA" w14:textId="77777777" w:rsidR="00A052DC" w:rsidRDefault="009F0A60">
            <w:pPr>
              <w:rPr>
                <w:rFonts w:ascii="黑体" w:eastAsia="黑体" w:hAnsi="黑体"/>
                <w:sz w:val="20"/>
                <w:szCs w:val="20"/>
              </w:rPr>
            </w:pPr>
            <w:r>
              <w:rPr>
                <w:rFonts w:ascii="黑体" w:eastAsia="黑体" w:hAnsi="黑体" w:hint="eastAsia"/>
                <w:sz w:val="20"/>
                <w:szCs w:val="20"/>
              </w:rPr>
              <w:t>字符型，3</w:t>
            </w:r>
          </w:p>
        </w:tc>
        <w:tc>
          <w:tcPr>
            <w:tcW w:w="3969" w:type="dxa"/>
          </w:tcPr>
          <w:p w14:paraId="395341B8" w14:textId="77777777" w:rsidR="00A052DC" w:rsidRDefault="00DD6AA3">
            <w:pPr>
              <w:rPr>
                <w:rFonts w:ascii="黑体" w:eastAsia="黑体" w:hAnsi="黑体"/>
                <w:sz w:val="20"/>
                <w:szCs w:val="20"/>
              </w:rPr>
            </w:pPr>
            <w:r>
              <w:rPr>
                <w:rFonts w:ascii="黑体" w:eastAsia="黑体" w:hAnsi="黑体" w:hint="eastAsia"/>
                <w:sz w:val="20"/>
                <w:szCs w:val="20"/>
              </w:rPr>
              <w:t>非必填项</w:t>
            </w:r>
            <w:r w:rsidR="009F0A60">
              <w:rPr>
                <w:rFonts w:ascii="黑体" w:eastAsia="黑体" w:hAnsi="黑体" w:hint="eastAsia"/>
                <w:sz w:val="20"/>
                <w:szCs w:val="20"/>
              </w:rPr>
              <w:t>，必须在币种代码表里存在。</w:t>
            </w:r>
          </w:p>
        </w:tc>
      </w:tr>
      <w:tr w:rsidR="00A052DC" w14:paraId="191B65D4" w14:textId="77777777">
        <w:trPr>
          <w:trHeight w:val="20"/>
        </w:trPr>
        <w:tc>
          <w:tcPr>
            <w:tcW w:w="1560" w:type="dxa"/>
          </w:tcPr>
          <w:p w14:paraId="6E8A4F27" w14:textId="77777777" w:rsidR="00A052DC" w:rsidRDefault="009F0A60">
            <w:pPr>
              <w:rPr>
                <w:rFonts w:ascii="黑体" w:eastAsia="黑体" w:hAnsi="黑体"/>
                <w:sz w:val="20"/>
                <w:szCs w:val="20"/>
              </w:rPr>
            </w:pPr>
            <w:r>
              <w:rPr>
                <w:rFonts w:ascii="黑体" w:eastAsia="黑体" w:hAnsi="黑体"/>
                <w:sz w:val="20"/>
                <w:szCs w:val="20"/>
              </w:rPr>
              <w:t>INCHARGEAMT</w:t>
            </w:r>
          </w:p>
        </w:tc>
        <w:tc>
          <w:tcPr>
            <w:tcW w:w="1559" w:type="dxa"/>
          </w:tcPr>
          <w:p w14:paraId="4B0B7E68" w14:textId="77777777" w:rsidR="00A052DC" w:rsidRDefault="009F0A60">
            <w:pPr>
              <w:rPr>
                <w:rFonts w:ascii="黑体" w:eastAsia="黑体" w:hAnsi="黑体"/>
                <w:sz w:val="20"/>
                <w:szCs w:val="20"/>
              </w:rPr>
            </w:pPr>
            <w:r>
              <w:rPr>
                <w:rFonts w:ascii="黑体" w:eastAsia="黑体" w:hAnsi="黑体" w:hint="eastAsia"/>
                <w:sz w:val="20"/>
                <w:szCs w:val="20"/>
              </w:rPr>
              <w:t>国内银行扣费金额</w:t>
            </w:r>
          </w:p>
        </w:tc>
        <w:tc>
          <w:tcPr>
            <w:tcW w:w="1559" w:type="dxa"/>
          </w:tcPr>
          <w:p w14:paraId="12FD43B6" w14:textId="77777777" w:rsidR="00A052DC" w:rsidRDefault="009F0A60">
            <w:pPr>
              <w:rPr>
                <w:rFonts w:ascii="黑体" w:eastAsia="黑体" w:hAnsi="黑体"/>
                <w:sz w:val="20"/>
                <w:szCs w:val="20"/>
              </w:rPr>
            </w:pPr>
            <w:r>
              <w:rPr>
                <w:rFonts w:ascii="黑体" w:eastAsia="黑体" w:hAnsi="黑体" w:hint="eastAsia"/>
                <w:sz w:val="20"/>
                <w:szCs w:val="20"/>
              </w:rPr>
              <w:t>数值型，22.0</w:t>
            </w:r>
          </w:p>
        </w:tc>
        <w:tc>
          <w:tcPr>
            <w:tcW w:w="3969" w:type="dxa"/>
          </w:tcPr>
          <w:p w14:paraId="191B4E1F" w14:textId="77777777" w:rsidR="00A052DC" w:rsidRDefault="00DD6AA3">
            <w:pPr>
              <w:rPr>
                <w:rFonts w:ascii="黑体" w:eastAsia="黑体" w:hAnsi="黑体"/>
                <w:sz w:val="20"/>
                <w:szCs w:val="20"/>
              </w:rPr>
            </w:pPr>
            <w:r>
              <w:rPr>
                <w:rFonts w:ascii="黑体" w:eastAsia="黑体" w:hAnsi="黑体" w:hint="eastAsia"/>
                <w:sz w:val="20"/>
                <w:szCs w:val="20"/>
              </w:rPr>
              <w:t>非必填项</w:t>
            </w:r>
            <w:r w:rsidR="009F0A60">
              <w:rPr>
                <w:rFonts w:ascii="黑体" w:eastAsia="黑体" w:hAnsi="黑体" w:hint="eastAsia"/>
                <w:sz w:val="20"/>
                <w:szCs w:val="20"/>
              </w:rPr>
              <w:t>。</w:t>
            </w:r>
          </w:p>
          <w:p w14:paraId="4790CD29" w14:textId="77777777" w:rsidR="00A052DC" w:rsidRDefault="009F0A60">
            <w:pPr>
              <w:rPr>
                <w:rFonts w:ascii="黑体" w:eastAsia="黑体" w:hAnsi="黑体"/>
                <w:sz w:val="20"/>
                <w:szCs w:val="20"/>
              </w:rPr>
            </w:pPr>
            <w:r>
              <w:rPr>
                <w:rFonts w:ascii="黑体" w:eastAsia="黑体" w:hAnsi="黑体" w:hint="eastAsia"/>
                <w:sz w:val="20"/>
                <w:szCs w:val="20"/>
              </w:rPr>
              <w:t>若币种不为空则对应金额必须</w:t>
            </w:r>
            <w:r>
              <w:rPr>
                <w:rFonts w:ascii="黑体" w:eastAsia="黑体" w:hAnsi="黑体"/>
                <w:sz w:val="20"/>
                <w:szCs w:val="20"/>
              </w:rPr>
              <w:t>&gt;</w:t>
            </w:r>
            <w:r>
              <w:rPr>
                <w:rFonts w:ascii="黑体" w:eastAsia="黑体" w:hAnsi="黑体" w:hint="eastAsia"/>
                <w:sz w:val="20"/>
                <w:szCs w:val="20"/>
              </w:rPr>
              <w:t>0；若金额</w:t>
            </w:r>
            <w:r>
              <w:rPr>
                <w:rFonts w:ascii="黑体" w:eastAsia="黑体" w:hAnsi="黑体"/>
                <w:sz w:val="20"/>
                <w:szCs w:val="20"/>
              </w:rPr>
              <w:t>&gt;</w:t>
            </w:r>
            <w:r>
              <w:rPr>
                <w:rFonts w:ascii="黑体" w:eastAsia="黑体" w:hAnsi="黑体" w:hint="eastAsia"/>
                <w:sz w:val="20"/>
                <w:szCs w:val="20"/>
              </w:rPr>
              <w:t>0，则对应币种不能为空。</w:t>
            </w:r>
          </w:p>
        </w:tc>
      </w:tr>
    </w:tbl>
    <w:p w14:paraId="4B1E37E1" w14:textId="77777777" w:rsidR="00A052DC" w:rsidRDefault="009F0A60">
      <w:pPr>
        <w:pStyle w:val="3"/>
        <w:ind w:left="0"/>
        <w:rPr>
          <w:rFonts w:ascii="Times New Roman" w:hAnsi="Times New Roman"/>
        </w:rPr>
      </w:pPr>
      <w:bookmarkStart w:id="1018" w:name="_Toc455167671"/>
      <w:bookmarkStart w:id="1019" w:name="_Toc454386790"/>
      <w:bookmarkStart w:id="1020" w:name="_Toc454378136"/>
      <w:bookmarkStart w:id="1021" w:name="_Toc455163947"/>
      <w:bookmarkStart w:id="1022" w:name="_Toc455167672"/>
      <w:bookmarkStart w:id="1023" w:name="_Toc455156496"/>
      <w:bookmarkStart w:id="1024" w:name="_Toc455152768"/>
      <w:bookmarkStart w:id="1025" w:name="_Toc454454832"/>
      <w:bookmarkStart w:id="1026" w:name="_Toc454780126"/>
      <w:bookmarkStart w:id="1027" w:name="_Toc454386791"/>
      <w:bookmarkStart w:id="1028" w:name="_Toc454464749"/>
      <w:bookmarkStart w:id="1029" w:name="_Toc454378137"/>
      <w:bookmarkStart w:id="1030" w:name="_Toc454395056"/>
      <w:bookmarkStart w:id="1031" w:name="_Toc455163946"/>
      <w:bookmarkStart w:id="1032" w:name="_Toc455152767"/>
      <w:bookmarkStart w:id="1033" w:name="_Toc455156495"/>
      <w:bookmarkStart w:id="1034" w:name="_Toc454780125"/>
      <w:bookmarkStart w:id="1035" w:name="_Toc454395055"/>
      <w:bookmarkStart w:id="1036" w:name="_Toc454464748"/>
      <w:bookmarkStart w:id="1037" w:name="_Toc454454831"/>
      <w:bookmarkStart w:id="1038" w:name="_Toc380356246"/>
      <w:bookmarkStart w:id="1039" w:name="_Toc91455275"/>
      <w:bookmarkStart w:id="1040" w:name="_Toc454386792"/>
      <w:bookmarkStart w:id="1041" w:name="_Toc101684448"/>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r>
        <w:rPr>
          <w:rFonts w:ascii="Times New Roman" w:hAnsi="Times New Roman" w:hint="eastAsia"/>
        </w:rPr>
        <w:t>境内收入申报单</w:t>
      </w:r>
      <w:r>
        <w:rPr>
          <w:rFonts w:ascii="Times New Roman" w:hAnsi="Times New Roman"/>
        </w:rPr>
        <w:t>-</w:t>
      </w:r>
      <w:r>
        <w:rPr>
          <w:rFonts w:ascii="Times New Roman" w:hAnsi="Times New Roman" w:hint="eastAsia"/>
        </w:rPr>
        <w:t>管理信息</w:t>
      </w:r>
      <w:bookmarkEnd w:id="1038"/>
      <w:bookmarkEnd w:id="1039"/>
      <w:bookmarkEnd w:id="1040"/>
      <w:bookmarkEnd w:id="1041"/>
    </w:p>
    <w:p w14:paraId="61527F9D" w14:textId="77777777" w:rsidR="00A052DC" w:rsidRDefault="009F0A60" w:rsidP="0020251D">
      <w:pPr>
        <w:pStyle w:val="4"/>
        <w:numPr>
          <w:ilvl w:val="3"/>
          <w:numId w:val="1"/>
        </w:numPr>
        <w:jc w:val="left"/>
      </w:pPr>
      <w:bookmarkStart w:id="1042" w:name="_Toc454386793"/>
      <w:r>
        <w:rPr>
          <w:rFonts w:hint="eastAsia"/>
        </w:rPr>
        <w:t>数据格式</w:t>
      </w:r>
      <w:bookmarkEnd w:id="1042"/>
    </w:p>
    <w:p w14:paraId="34F691D0" w14:textId="77777777" w:rsidR="00A052DC" w:rsidRDefault="009F0A60">
      <w:r>
        <w:t>&lt;REC&gt;</w:t>
      </w:r>
    </w:p>
    <w:p w14:paraId="7244A1FD" w14:textId="77777777" w:rsidR="00A052DC" w:rsidRDefault="009F0A60">
      <w:r>
        <w:t>&lt;ACTIONTYPE&gt;</w:t>
      </w:r>
      <w:r>
        <w:rPr>
          <w:rFonts w:hint="eastAsia"/>
        </w:rPr>
        <w:t>操作类型</w:t>
      </w:r>
      <w:r>
        <w:t>&lt;/ACTIONTYPE&gt;</w:t>
      </w:r>
    </w:p>
    <w:p w14:paraId="4E076769" w14:textId="77777777" w:rsidR="00A052DC" w:rsidRDefault="009F0A60">
      <w:r>
        <w:t>&lt;ACTIONDESC&gt;</w:t>
      </w:r>
      <w:r>
        <w:rPr>
          <w:rFonts w:hint="eastAsia"/>
        </w:rPr>
        <w:t>修改</w:t>
      </w:r>
      <w:r>
        <w:t>/</w:t>
      </w:r>
      <w:r>
        <w:rPr>
          <w:rFonts w:hint="eastAsia"/>
        </w:rPr>
        <w:t>删除原因</w:t>
      </w:r>
      <w:r>
        <w:t>&lt;/ACTIONDESC&gt;</w:t>
      </w:r>
    </w:p>
    <w:p w14:paraId="0D1714C5" w14:textId="77777777" w:rsidR="00A052DC" w:rsidRDefault="009F0A60">
      <w:r>
        <w:t>&lt;RPTNO&gt;</w:t>
      </w:r>
      <w:r>
        <w:rPr>
          <w:rFonts w:hint="eastAsia"/>
        </w:rPr>
        <w:t>申报号码</w:t>
      </w:r>
      <w:r>
        <w:t>&lt;/RPTNO&gt;</w:t>
      </w:r>
    </w:p>
    <w:p w14:paraId="49847314" w14:textId="77777777" w:rsidR="00A052DC" w:rsidRDefault="009F0A60">
      <w:r>
        <w:t>&lt;ISREF&gt;</w:t>
      </w:r>
      <w:r>
        <w:rPr>
          <w:rFonts w:hint="eastAsia"/>
        </w:rPr>
        <w:t>是否保税货物项下收汇</w:t>
      </w:r>
      <w:r>
        <w:t>&lt;/ISREF&gt;</w:t>
      </w:r>
    </w:p>
    <w:p w14:paraId="793F91DD" w14:textId="77777777" w:rsidR="00A052DC" w:rsidRDefault="009F0A60">
      <w:r>
        <w:t>&lt;PAYATTR&gt;</w:t>
      </w:r>
      <w:r>
        <w:rPr>
          <w:rFonts w:hint="eastAsia"/>
        </w:rPr>
        <w:t>境内收入类型</w:t>
      </w:r>
      <w:r>
        <w:t>&lt;/PAYATTR&gt;</w:t>
      </w:r>
    </w:p>
    <w:p w14:paraId="16CBD60E" w14:textId="77777777" w:rsidR="00A052DC" w:rsidRDefault="009F0A60">
      <w:r>
        <w:t>&lt;TXCODE&gt;</w:t>
      </w:r>
      <w:r>
        <w:rPr>
          <w:rFonts w:hint="eastAsia"/>
        </w:rPr>
        <w:t>交易编码</w:t>
      </w:r>
      <w:r>
        <w:t>1&lt;/TXCODE&gt;</w:t>
      </w:r>
    </w:p>
    <w:p w14:paraId="24DF99D9" w14:textId="77777777" w:rsidR="00A052DC" w:rsidRDefault="009F0A60">
      <w:r>
        <w:t>&lt;TC1AMT&gt;</w:t>
      </w:r>
      <w:r>
        <w:rPr>
          <w:rFonts w:hint="eastAsia"/>
        </w:rPr>
        <w:t>相应金额</w:t>
      </w:r>
      <w:r>
        <w:t>1&lt;/TC1AMT&gt;</w:t>
      </w:r>
    </w:p>
    <w:p w14:paraId="311DED9A" w14:textId="77777777" w:rsidR="00A052DC" w:rsidRDefault="009F0A60">
      <w:r>
        <w:t>&lt;TXREM&gt;</w:t>
      </w:r>
      <w:r>
        <w:rPr>
          <w:rFonts w:hint="eastAsia"/>
        </w:rPr>
        <w:t>交易附言</w:t>
      </w:r>
      <w:r>
        <w:t>1&lt;/TXREM&gt;</w:t>
      </w:r>
    </w:p>
    <w:p w14:paraId="643109A1" w14:textId="77777777" w:rsidR="00A052DC" w:rsidRDefault="009F0A60">
      <w:r>
        <w:t>&lt;TXCODE2&gt;</w:t>
      </w:r>
      <w:r>
        <w:rPr>
          <w:rFonts w:hint="eastAsia"/>
        </w:rPr>
        <w:t>交易编码</w:t>
      </w:r>
      <w:r>
        <w:t>2&lt;/TXCODE2&gt;</w:t>
      </w:r>
    </w:p>
    <w:p w14:paraId="484B59C7" w14:textId="77777777" w:rsidR="00A052DC" w:rsidRDefault="009F0A60">
      <w:r>
        <w:t>&lt;TC2AMT&gt;</w:t>
      </w:r>
      <w:r>
        <w:rPr>
          <w:rFonts w:hint="eastAsia"/>
        </w:rPr>
        <w:t>相应金额</w:t>
      </w:r>
      <w:r>
        <w:t>2&lt;/TC2AMT&gt;</w:t>
      </w:r>
    </w:p>
    <w:p w14:paraId="0DBFFD8A" w14:textId="77777777" w:rsidR="00A052DC" w:rsidRDefault="009F0A60">
      <w:r>
        <w:t>&lt;TX2REM&gt;</w:t>
      </w:r>
      <w:r>
        <w:rPr>
          <w:rFonts w:hint="eastAsia"/>
        </w:rPr>
        <w:t>交易附言</w:t>
      </w:r>
      <w:r>
        <w:t>2&lt;/TX2REM&gt;</w:t>
      </w:r>
    </w:p>
    <w:p w14:paraId="196E4D3C" w14:textId="77777777" w:rsidR="00A052DC" w:rsidRDefault="009F0A60">
      <w:r>
        <w:t>&lt;PAYTYPE&gt;</w:t>
      </w:r>
      <w:r>
        <w:rPr>
          <w:rFonts w:hint="eastAsia"/>
        </w:rPr>
        <w:t>收款性质</w:t>
      </w:r>
      <w:r>
        <w:t>&lt;/PAYTYPE&gt;</w:t>
      </w:r>
    </w:p>
    <w:p w14:paraId="3795AFD1" w14:textId="77777777" w:rsidR="00A052DC" w:rsidRDefault="009F0A60">
      <w:r>
        <w:t>&lt;REFNOS&gt;</w:t>
      </w:r>
    </w:p>
    <w:p w14:paraId="0486C789" w14:textId="77777777" w:rsidR="00A052DC" w:rsidRDefault="009F0A60">
      <w:r>
        <w:t>&lt;REFNO&gt;</w:t>
      </w:r>
      <w:r>
        <w:rPr>
          <w:rFonts w:hint="eastAsia"/>
        </w:rPr>
        <w:t>出口收汇核销单号码</w:t>
      </w:r>
      <w:r>
        <w:t>&lt;/REFNO&gt;</w:t>
      </w:r>
    </w:p>
    <w:p w14:paraId="41A187BE" w14:textId="77777777" w:rsidR="00A052DC" w:rsidRDefault="009F0A60">
      <w:r>
        <w:tab/>
      </w:r>
      <w:r>
        <w:tab/>
      </w:r>
      <w:r>
        <w:tab/>
      </w:r>
      <w:r>
        <w:tab/>
      </w:r>
      <w:r>
        <w:rPr>
          <w:rFonts w:hint="eastAsia"/>
        </w:rPr>
        <w:t>……</w:t>
      </w:r>
    </w:p>
    <w:p w14:paraId="6CE16DF8" w14:textId="77777777" w:rsidR="00A052DC" w:rsidRDefault="009F0A60">
      <w:r>
        <w:t>&lt;/REFNOS&gt;</w:t>
      </w:r>
    </w:p>
    <w:p w14:paraId="1F44BD27" w14:textId="77777777" w:rsidR="00A052DC" w:rsidRDefault="009F0A60">
      <w:r>
        <w:t>&lt;CHKAMT&gt;</w:t>
      </w:r>
      <w:r>
        <w:rPr>
          <w:rFonts w:hint="eastAsia"/>
        </w:rPr>
        <w:t>收汇总金额中用于出口核销的金额</w:t>
      </w:r>
      <w:r>
        <w:t>&lt;/CHKAMT&gt;</w:t>
      </w:r>
    </w:p>
    <w:p w14:paraId="2B1956F6" w14:textId="77777777" w:rsidR="00A052DC" w:rsidRDefault="009F0A60">
      <w:r>
        <w:t>&lt;CRTUSER&gt;</w:t>
      </w:r>
      <w:r>
        <w:rPr>
          <w:rFonts w:hint="eastAsia"/>
        </w:rPr>
        <w:t>填报人</w:t>
      </w:r>
      <w:r>
        <w:t>&lt;/CRTUSER&gt;</w:t>
      </w:r>
    </w:p>
    <w:p w14:paraId="0629F463" w14:textId="77777777" w:rsidR="00A052DC" w:rsidRDefault="009F0A60">
      <w:r>
        <w:t>&lt;INPTELC&gt;</w:t>
      </w:r>
      <w:r>
        <w:rPr>
          <w:rFonts w:hint="eastAsia"/>
        </w:rPr>
        <w:t>填报人电话</w:t>
      </w:r>
      <w:r>
        <w:t>&lt;/INPTELC&gt;</w:t>
      </w:r>
    </w:p>
    <w:p w14:paraId="1291255A" w14:textId="77777777" w:rsidR="00A052DC" w:rsidRDefault="009F0A60">
      <w:r>
        <w:t>&lt;RPTDATE&gt;</w:t>
      </w:r>
      <w:r>
        <w:rPr>
          <w:rFonts w:hint="eastAsia"/>
        </w:rPr>
        <w:t>申报日期</w:t>
      </w:r>
      <w:r>
        <w:t>&lt;/RPTDATE&gt;</w:t>
      </w:r>
    </w:p>
    <w:p w14:paraId="6552A7B0" w14:textId="77777777" w:rsidR="00A052DC" w:rsidRDefault="009F0A60">
      <w:r>
        <w:t>&lt;REGNO&gt;</w:t>
      </w:r>
      <w:r>
        <w:rPr>
          <w:rFonts w:hint="eastAsia"/>
        </w:rPr>
        <w:t>外汇局批件号</w:t>
      </w:r>
      <w:r>
        <w:t>/</w:t>
      </w:r>
      <w:r>
        <w:rPr>
          <w:rFonts w:hint="eastAsia"/>
        </w:rPr>
        <w:t>备案表号</w:t>
      </w:r>
      <w:r>
        <w:t>/</w:t>
      </w:r>
      <w:r>
        <w:rPr>
          <w:rFonts w:hint="eastAsia"/>
        </w:rPr>
        <w:t>业务编号</w:t>
      </w:r>
      <w:r>
        <w:t>&lt;/REGNO&gt;</w:t>
      </w:r>
    </w:p>
    <w:p w14:paraId="2EF7FB68" w14:textId="77777777" w:rsidR="00A052DC" w:rsidRDefault="009F0A60">
      <w:r>
        <w:t>&lt;/REC&gt;</w:t>
      </w:r>
    </w:p>
    <w:p w14:paraId="7A7490E8" w14:textId="77777777" w:rsidR="00A052DC" w:rsidRDefault="009F0A60" w:rsidP="0020251D">
      <w:pPr>
        <w:pStyle w:val="4"/>
        <w:numPr>
          <w:ilvl w:val="3"/>
          <w:numId w:val="1"/>
        </w:numPr>
        <w:jc w:val="left"/>
      </w:pPr>
      <w:bookmarkStart w:id="1043" w:name="_Toc454386794"/>
      <w:bookmarkStart w:id="1044" w:name="_Toc454386795"/>
      <w:bookmarkEnd w:id="1043"/>
      <w:r>
        <w:rPr>
          <w:rFonts w:hint="eastAsia"/>
        </w:rPr>
        <w:t>数据字典</w:t>
      </w:r>
      <w:bookmarkEnd w:id="1044"/>
    </w:p>
    <w:tbl>
      <w:tblPr>
        <w:tblW w:w="86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560"/>
        <w:gridCol w:w="1417"/>
        <w:gridCol w:w="3827"/>
      </w:tblGrid>
      <w:tr w:rsidR="00A052DC" w14:paraId="51140E87" w14:textId="77777777">
        <w:trPr>
          <w:tblHeader/>
        </w:trPr>
        <w:tc>
          <w:tcPr>
            <w:tcW w:w="1843" w:type="dxa"/>
            <w:shd w:val="clear" w:color="auto" w:fill="C0C0C0"/>
          </w:tcPr>
          <w:p w14:paraId="64E80319" w14:textId="77777777" w:rsidR="00A052DC" w:rsidRDefault="009F0A60">
            <w:pPr>
              <w:jc w:val="center"/>
              <w:rPr>
                <w:rFonts w:ascii="黑体" w:eastAsia="黑体" w:hAnsi="黑体"/>
                <w:b/>
                <w:sz w:val="20"/>
                <w:szCs w:val="20"/>
              </w:rPr>
            </w:pPr>
            <w:r>
              <w:rPr>
                <w:rFonts w:ascii="黑体" w:eastAsia="黑体" w:hAnsi="黑体" w:hint="eastAsia"/>
                <w:b/>
                <w:sz w:val="20"/>
                <w:szCs w:val="20"/>
              </w:rPr>
              <w:t>字段</w:t>
            </w:r>
          </w:p>
        </w:tc>
        <w:tc>
          <w:tcPr>
            <w:tcW w:w="1560" w:type="dxa"/>
            <w:shd w:val="clear" w:color="auto" w:fill="C0C0C0"/>
          </w:tcPr>
          <w:p w14:paraId="33CBC8CC" w14:textId="77777777" w:rsidR="00A052DC" w:rsidRDefault="009F0A60">
            <w:pPr>
              <w:jc w:val="center"/>
              <w:rPr>
                <w:rFonts w:ascii="黑体" w:eastAsia="黑体" w:hAnsi="黑体"/>
                <w:b/>
                <w:sz w:val="20"/>
                <w:szCs w:val="20"/>
              </w:rPr>
            </w:pPr>
            <w:r>
              <w:rPr>
                <w:rFonts w:ascii="黑体" w:eastAsia="黑体" w:hAnsi="黑体" w:hint="eastAsia"/>
                <w:b/>
                <w:sz w:val="20"/>
                <w:szCs w:val="20"/>
              </w:rPr>
              <w:t>内容</w:t>
            </w:r>
          </w:p>
        </w:tc>
        <w:tc>
          <w:tcPr>
            <w:tcW w:w="1417" w:type="dxa"/>
            <w:shd w:val="clear" w:color="auto" w:fill="C0C0C0"/>
          </w:tcPr>
          <w:p w14:paraId="2BE31779" w14:textId="77777777" w:rsidR="00A052DC" w:rsidRDefault="009F0A60">
            <w:pPr>
              <w:jc w:val="center"/>
              <w:rPr>
                <w:rFonts w:ascii="黑体" w:eastAsia="黑体" w:hAnsi="黑体"/>
                <w:b/>
                <w:sz w:val="20"/>
                <w:szCs w:val="20"/>
              </w:rPr>
            </w:pPr>
            <w:r>
              <w:rPr>
                <w:rFonts w:ascii="黑体" w:eastAsia="黑体" w:hAnsi="黑体" w:hint="eastAsia"/>
                <w:b/>
                <w:sz w:val="20"/>
                <w:szCs w:val="20"/>
              </w:rPr>
              <w:t>类型（长度）</w:t>
            </w:r>
          </w:p>
        </w:tc>
        <w:tc>
          <w:tcPr>
            <w:tcW w:w="3827" w:type="dxa"/>
            <w:shd w:val="clear" w:color="auto" w:fill="C0C0C0"/>
          </w:tcPr>
          <w:p w14:paraId="42083CDF" w14:textId="77777777" w:rsidR="00A052DC" w:rsidRDefault="009F0A60">
            <w:pPr>
              <w:jc w:val="center"/>
              <w:rPr>
                <w:rFonts w:ascii="黑体" w:eastAsia="黑体" w:hAnsi="黑体"/>
                <w:b/>
                <w:sz w:val="20"/>
                <w:szCs w:val="20"/>
              </w:rPr>
            </w:pPr>
            <w:r>
              <w:rPr>
                <w:rFonts w:ascii="黑体" w:eastAsia="黑体" w:hAnsi="黑体" w:hint="eastAsia"/>
                <w:b/>
                <w:sz w:val="20"/>
                <w:szCs w:val="20"/>
              </w:rPr>
              <w:t>校验</w:t>
            </w:r>
          </w:p>
        </w:tc>
      </w:tr>
      <w:tr w:rsidR="00A052DC" w14:paraId="71E2E4AB" w14:textId="77777777">
        <w:tc>
          <w:tcPr>
            <w:tcW w:w="1843" w:type="dxa"/>
            <w:tcBorders>
              <w:top w:val="single" w:sz="4" w:space="0" w:color="auto"/>
              <w:left w:val="single" w:sz="4" w:space="0" w:color="auto"/>
              <w:bottom w:val="single" w:sz="4" w:space="0" w:color="auto"/>
              <w:right w:val="single" w:sz="4" w:space="0" w:color="auto"/>
            </w:tcBorders>
          </w:tcPr>
          <w:p w14:paraId="097E30E1" w14:textId="77777777" w:rsidR="00A052DC" w:rsidRDefault="009F0A60">
            <w:pPr>
              <w:rPr>
                <w:rFonts w:ascii="黑体" w:eastAsia="黑体" w:hAnsi="黑体"/>
                <w:sz w:val="20"/>
                <w:szCs w:val="20"/>
              </w:rPr>
            </w:pPr>
            <w:r>
              <w:rPr>
                <w:rFonts w:ascii="黑体" w:eastAsia="黑体" w:hAnsi="黑体" w:hint="eastAsia"/>
                <w:sz w:val="20"/>
                <w:szCs w:val="20"/>
              </w:rPr>
              <w:t>ACTIONTYPE</w:t>
            </w:r>
          </w:p>
        </w:tc>
        <w:tc>
          <w:tcPr>
            <w:tcW w:w="1560" w:type="dxa"/>
            <w:tcBorders>
              <w:top w:val="single" w:sz="4" w:space="0" w:color="auto"/>
              <w:left w:val="single" w:sz="4" w:space="0" w:color="auto"/>
              <w:bottom w:val="single" w:sz="4" w:space="0" w:color="auto"/>
              <w:right w:val="single" w:sz="4" w:space="0" w:color="auto"/>
            </w:tcBorders>
          </w:tcPr>
          <w:p w14:paraId="4925E76D" w14:textId="77777777" w:rsidR="00A052DC" w:rsidRDefault="009F0A60">
            <w:pPr>
              <w:rPr>
                <w:rFonts w:ascii="黑体" w:eastAsia="黑体" w:hAnsi="黑体"/>
                <w:sz w:val="20"/>
                <w:szCs w:val="20"/>
              </w:rPr>
            </w:pPr>
            <w:r>
              <w:rPr>
                <w:rFonts w:ascii="黑体" w:eastAsia="黑体" w:hAnsi="黑体" w:hint="eastAsia"/>
                <w:sz w:val="20"/>
                <w:szCs w:val="20"/>
              </w:rPr>
              <w:t>操作类型</w:t>
            </w:r>
          </w:p>
        </w:tc>
        <w:tc>
          <w:tcPr>
            <w:tcW w:w="1417" w:type="dxa"/>
            <w:tcBorders>
              <w:top w:val="single" w:sz="4" w:space="0" w:color="auto"/>
              <w:left w:val="single" w:sz="4" w:space="0" w:color="auto"/>
              <w:bottom w:val="single" w:sz="4" w:space="0" w:color="auto"/>
              <w:right w:val="single" w:sz="4" w:space="0" w:color="auto"/>
            </w:tcBorders>
          </w:tcPr>
          <w:p w14:paraId="4E2C2992" w14:textId="77777777" w:rsidR="00A052DC" w:rsidRDefault="009F0A60">
            <w:pPr>
              <w:rPr>
                <w:rFonts w:ascii="黑体" w:eastAsia="黑体" w:hAnsi="黑体"/>
                <w:sz w:val="20"/>
                <w:szCs w:val="20"/>
              </w:rPr>
            </w:pPr>
            <w:r>
              <w:rPr>
                <w:rFonts w:ascii="黑体" w:eastAsia="黑体" w:hAnsi="黑体" w:hint="eastAsia"/>
                <w:sz w:val="20"/>
                <w:szCs w:val="20"/>
              </w:rPr>
              <w:t>字符型，1</w:t>
            </w:r>
          </w:p>
        </w:tc>
        <w:tc>
          <w:tcPr>
            <w:tcW w:w="3827" w:type="dxa"/>
            <w:tcBorders>
              <w:top w:val="single" w:sz="4" w:space="0" w:color="auto"/>
              <w:left w:val="single" w:sz="4" w:space="0" w:color="auto"/>
              <w:bottom w:val="single" w:sz="4" w:space="0" w:color="auto"/>
              <w:right w:val="single" w:sz="4" w:space="0" w:color="auto"/>
            </w:tcBorders>
          </w:tcPr>
          <w:p w14:paraId="0F43B23D" w14:textId="77777777" w:rsidR="00A052DC" w:rsidRDefault="009F0A60">
            <w:pPr>
              <w:rPr>
                <w:rFonts w:ascii="黑体" w:eastAsia="黑体" w:hAnsi="黑体"/>
                <w:sz w:val="20"/>
                <w:szCs w:val="20"/>
              </w:rPr>
            </w:pPr>
            <w:r>
              <w:rPr>
                <w:rFonts w:ascii="黑体" w:eastAsia="黑体" w:hAnsi="黑体" w:hint="eastAsia"/>
                <w:sz w:val="20"/>
                <w:szCs w:val="20"/>
              </w:rPr>
              <w:t>A</w:t>
            </w:r>
            <w:r w:rsidR="00AE4602">
              <w:rPr>
                <w:rFonts w:ascii="黑体" w:eastAsia="黑体" w:hAnsi="黑体" w:hint="eastAsia"/>
                <w:sz w:val="20"/>
                <w:szCs w:val="20"/>
              </w:rPr>
              <w:t>-</w:t>
            </w:r>
            <w:r>
              <w:rPr>
                <w:rFonts w:ascii="黑体" w:eastAsia="黑体" w:hAnsi="黑体" w:hint="eastAsia"/>
                <w:sz w:val="20"/>
                <w:szCs w:val="20"/>
              </w:rPr>
              <w:t>新建</w:t>
            </w:r>
          </w:p>
          <w:p w14:paraId="33198CBA" w14:textId="77777777" w:rsidR="00A052DC" w:rsidRDefault="009F0A60">
            <w:pPr>
              <w:rPr>
                <w:rFonts w:ascii="黑体" w:eastAsia="黑体" w:hAnsi="黑体"/>
                <w:sz w:val="20"/>
                <w:szCs w:val="20"/>
              </w:rPr>
            </w:pPr>
            <w:r>
              <w:rPr>
                <w:rFonts w:ascii="黑体" w:eastAsia="黑体" w:hAnsi="黑体" w:hint="eastAsia"/>
                <w:sz w:val="20"/>
                <w:szCs w:val="20"/>
              </w:rPr>
              <w:t>C</w:t>
            </w:r>
            <w:r w:rsidR="00AE4602">
              <w:rPr>
                <w:rFonts w:ascii="黑体" w:eastAsia="黑体" w:hAnsi="黑体" w:hint="eastAsia"/>
                <w:sz w:val="20"/>
                <w:szCs w:val="20"/>
              </w:rPr>
              <w:t>-</w:t>
            </w:r>
            <w:r>
              <w:rPr>
                <w:rFonts w:ascii="黑体" w:eastAsia="黑体" w:hAnsi="黑体" w:hint="eastAsia"/>
                <w:sz w:val="20"/>
                <w:szCs w:val="20"/>
              </w:rPr>
              <w:t>修改</w:t>
            </w:r>
          </w:p>
          <w:p w14:paraId="763888BE" w14:textId="77777777" w:rsidR="00A052DC" w:rsidRDefault="009F0A60" w:rsidP="006D55A3">
            <w:pPr>
              <w:rPr>
                <w:rFonts w:ascii="黑体" w:eastAsia="黑体" w:hAnsi="黑体"/>
                <w:sz w:val="20"/>
                <w:szCs w:val="20"/>
              </w:rPr>
            </w:pPr>
            <w:r>
              <w:rPr>
                <w:rFonts w:ascii="黑体" w:eastAsia="黑体" w:hAnsi="黑体" w:hint="eastAsia"/>
                <w:sz w:val="20"/>
                <w:szCs w:val="20"/>
              </w:rPr>
              <w:t>D</w:t>
            </w:r>
            <w:r w:rsidR="00AE4602">
              <w:rPr>
                <w:rFonts w:ascii="黑体" w:eastAsia="黑体" w:hAnsi="黑体" w:hint="eastAsia"/>
                <w:sz w:val="20"/>
                <w:szCs w:val="20"/>
              </w:rPr>
              <w:t>-</w:t>
            </w:r>
            <w:r>
              <w:rPr>
                <w:rFonts w:ascii="黑体" w:eastAsia="黑体" w:hAnsi="黑体" w:hint="eastAsia"/>
                <w:sz w:val="20"/>
                <w:szCs w:val="20"/>
              </w:rPr>
              <w:t>删除，预留，暂不用</w:t>
            </w:r>
          </w:p>
        </w:tc>
      </w:tr>
      <w:tr w:rsidR="00A052DC" w14:paraId="45863CF8" w14:textId="77777777">
        <w:tc>
          <w:tcPr>
            <w:tcW w:w="1843" w:type="dxa"/>
            <w:tcBorders>
              <w:top w:val="single" w:sz="4" w:space="0" w:color="auto"/>
              <w:left w:val="single" w:sz="4" w:space="0" w:color="auto"/>
              <w:bottom w:val="single" w:sz="4" w:space="0" w:color="auto"/>
              <w:right w:val="single" w:sz="4" w:space="0" w:color="auto"/>
            </w:tcBorders>
          </w:tcPr>
          <w:p w14:paraId="286B79DF" w14:textId="77777777" w:rsidR="00A052DC" w:rsidRDefault="009F0A60">
            <w:pPr>
              <w:rPr>
                <w:rFonts w:ascii="黑体" w:eastAsia="黑体" w:hAnsi="黑体"/>
                <w:sz w:val="20"/>
                <w:szCs w:val="20"/>
              </w:rPr>
            </w:pPr>
            <w:r>
              <w:rPr>
                <w:rFonts w:ascii="黑体" w:eastAsia="黑体" w:hAnsi="黑体" w:hint="eastAsia"/>
                <w:sz w:val="20"/>
                <w:szCs w:val="20"/>
              </w:rPr>
              <w:t>ACTIONDESC</w:t>
            </w:r>
          </w:p>
        </w:tc>
        <w:tc>
          <w:tcPr>
            <w:tcW w:w="1560" w:type="dxa"/>
            <w:tcBorders>
              <w:top w:val="single" w:sz="4" w:space="0" w:color="auto"/>
              <w:left w:val="single" w:sz="4" w:space="0" w:color="auto"/>
              <w:bottom w:val="single" w:sz="4" w:space="0" w:color="auto"/>
              <w:right w:val="single" w:sz="4" w:space="0" w:color="auto"/>
            </w:tcBorders>
          </w:tcPr>
          <w:p w14:paraId="3E2F1C54" w14:textId="77777777" w:rsidR="00A052DC" w:rsidRDefault="009F0A60">
            <w:pPr>
              <w:rPr>
                <w:rFonts w:ascii="黑体" w:eastAsia="黑体" w:hAnsi="黑体"/>
                <w:sz w:val="20"/>
                <w:szCs w:val="20"/>
              </w:rPr>
            </w:pPr>
            <w:r>
              <w:rPr>
                <w:rFonts w:ascii="黑体" w:eastAsia="黑体" w:hAnsi="黑体" w:hint="eastAsia"/>
                <w:sz w:val="20"/>
                <w:szCs w:val="20"/>
              </w:rPr>
              <w:t>修改/删除原因</w:t>
            </w:r>
          </w:p>
        </w:tc>
        <w:tc>
          <w:tcPr>
            <w:tcW w:w="1417" w:type="dxa"/>
            <w:tcBorders>
              <w:top w:val="single" w:sz="4" w:space="0" w:color="auto"/>
              <w:left w:val="single" w:sz="4" w:space="0" w:color="auto"/>
              <w:bottom w:val="single" w:sz="4" w:space="0" w:color="auto"/>
              <w:right w:val="single" w:sz="4" w:space="0" w:color="auto"/>
            </w:tcBorders>
          </w:tcPr>
          <w:p w14:paraId="305EA4D3"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3827" w:type="dxa"/>
            <w:tcBorders>
              <w:top w:val="single" w:sz="4" w:space="0" w:color="auto"/>
              <w:left w:val="single" w:sz="4" w:space="0" w:color="auto"/>
              <w:bottom w:val="single" w:sz="4" w:space="0" w:color="auto"/>
              <w:right w:val="single" w:sz="4" w:space="0" w:color="auto"/>
            </w:tcBorders>
          </w:tcPr>
          <w:p w14:paraId="39E5F21E" w14:textId="77777777" w:rsidR="00A052DC" w:rsidRDefault="00A052DC">
            <w:pPr>
              <w:rPr>
                <w:rFonts w:ascii="黑体" w:eastAsia="黑体" w:hAnsi="黑体"/>
                <w:sz w:val="20"/>
                <w:szCs w:val="20"/>
              </w:rPr>
            </w:pPr>
          </w:p>
        </w:tc>
      </w:tr>
      <w:tr w:rsidR="00A052DC" w14:paraId="665E6A54" w14:textId="77777777">
        <w:tc>
          <w:tcPr>
            <w:tcW w:w="1843" w:type="dxa"/>
          </w:tcPr>
          <w:p w14:paraId="49DDC84A" w14:textId="77777777" w:rsidR="00A052DC" w:rsidRDefault="009F0A60">
            <w:pPr>
              <w:rPr>
                <w:rFonts w:ascii="黑体" w:eastAsia="黑体" w:hAnsi="黑体"/>
                <w:sz w:val="20"/>
                <w:szCs w:val="20"/>
              </w:rPr>
            </w:pPr>
            <w:r>
              <w:rPr>
                <w:rFonts w:ascii="黑体" w:eastAsia="黑体" w:hAnsi="黑体" w:hint="eastAsia"/>
                <w:sz w:val="20"/>
                <w:szCs w:val="20"/>
              </w:rPr>
              <w:t>RPTNO</w:t>
            </w:r>
          </w:p>
        </w:tc>
        <w:tc>
          <w:tcPr>
            <w:tcW w:w="1560" w:type="dxa"/>
          </w:tcPr>
          <w:p w14:paraId="5C59A2B0" w14:textId="77777777" w:rsidR="00A052DC" w:rsidRDefault="009F0A60">
            <w:pPr>
              <w:rPr>
                <w:rFonts w:ascii="黑体" w:eastAsia="黑体" w:hAnsi="黑体"/>
                <w:sz w:val="20"/>
                <w:szCs w:val="20"/>
              </w:rPr>
            </w:pPr>
            <w:r>
              <w:rPr>
                <w:rFonts w:ascii="黑体" w:eastAsia="黑体" w:hAnsi="黑体" w:hint="eastAsia"/>
                <w:sz w:val="20"/>
                <w:szCs w:val="20"/>
              </w:rPr>
              <w:t>申报号码</w:t>
            </w:r>
          </w:p>
        </w:tc>
        <w:tc>
          <w:tcPr>
            <w:tcW w:w="1417" w:type="dxa"/>
          </w:tcPr>
          <w:p w14:paraId="75C311AD" w14:textId="77777777" w:rsidR="00A052DC" w:rsidRDefault="009F0A60">
            <w:pPr>
              <w:rPr>
                <w:rFonts w:ascii="黑体" w:eastAsia="黑体" w:hAnsi="黑体"/>
                <w:sz w:val="20"/>
                <w:szCs w:val="20"/>
              </w:rPr>
            </w:pPr>
            <w:r>
              <w:rPr>
                <w:rFonts w:ascii="黑体" w:eastAsia="黑体" w:hAnsi="黑体" w:hint="eastAsia"/>
                <w:sz w:val="20"/>
                <w:szCs w:val="20"/>
              </w:rPr>
              <w:t>字符型，22</w:t>
            </w:r>
          </w:p>
        </w:tc>
        <w:tc>
          <w:tcPr>
            <w:tcW w:w="3827" w:type="dxa"/>
          </w:tcPr>
          <w:p w14:paraId="578A0E96" w14:textId="77777777" w:rsidR="00A052DC" w:rsidRDefault="009F0A60">
            <w:pPr>
              <w:rPr>
                <w:rFonts w:ascii="黑体" w:eastAsia="黑体" w:hAnsi="黑体"/>
                <w:sz w:val="20"/>
                <w:szCs w:val="20"/>
              </w:rPr>
            </w:pPr>
            <w:r>
              <w:rPr>
                <w:rFonts w:ascii="黑体" w:eastAsia="黑体" w:hAnsi="黑体" w:hint="eastAsia"/>
                <w:sz w:val="20"/>
                <w:szCs w:val="20"/>
              </w:rPr>
              <w:t>应与基础数据一致。</w:t>
            </w:r>
          </w:p>
        </w:tc>
      </w:tr>
      <w:tr w:rsidR="00A052DC" w14:paraId="5B997A8C" w14:textId="77777777">
        <w:tc>
          <w:tcPr>
            <w:tcW w:w="1843" w:type="dxa"/>
          </w:tcPr>
          <w:p w14:paraId="4F22108D" w14:textId="77777777" w:rsidR="00A052DC" w:rsidRDefault="009F0A60">
            <w:pPr>
              <w:rPr>
                <w:rFonts w:ascii="黑体" w:eastAsia="黑体" w:hAnsi="黑体"/>
                <w:sz w:val="20"/>
                <w:szCs w:val="20"/>
              </w:rPr>
            </w:pPr>
            <w:r>
              <w:rPr>
                <w:rFonts w:ascii="黑体" w:eastAsia="黑体" w:hAnsi="黑体" w:hint="eastAsia"/>
                <w:sz w:val="20"/>
                <w:szCs w:val="20"/>
              </w:rPr>
              <w:t>ISREF</w:t>
            </w:r>
          </w:p>
        </w:tc>
        <w:tc>
          <w:tcPr>
            <w:tcW w:w="1560" w:type="dxa"/>
          </w:tcPr>
          <w:p w14:paraId="68E1CA9C" w14:textId="77777777" w:rsidR="00A052DC" w:rsidRDefault="009F0A60">
            <w:pPr>
              <w:rPr>
                <w:rFonts w:ascii="黑体" w:eastAsia="黑体" w:hAnsi="黑体"/>
                <w:sz w:val="20"/>
                <w:szCs w:val="20"/>
              </w:rPr>
            </w:pPr>
            <w:r>
              <w:rPr>
                <w:rFonts w:ascii="黑体" w:eastAsia="黑体" w:hAnsi="黑体" w:hint="eastAsia"/>
                <w:sz w:val="20"/>
                <w:szCs w:val="20"/>
              </w:rPr>
              <w:t>是否保税货物项下收汇</w:t>
            </w:r>
          </w:p>
        </w:tc>
        <w:tc>
          <w:tcPr>
            <w:tcW w:w="1417" w:type="dxa"/>
          </w:tcPr>
          <w:p w14:paraId="3926B743" w14:textId="77777777" w:rsidR="00A052DC" w:rsidRDefault="009F0A60">
            <w:pPr>
              <w:rPr>
                <w:rFonts w:ascii="黑体" w:eastAsia="黑体" w:hAnsi="黑体"/>
                <w:sz w:val="20"/>
                <w:szCs w:val="20"/>
              </w:rPr>
            </w:pPr>
            <w:r>
              <w:rPr>
                <w:rFonts w:ascii="黑体" w:eastAsia="黑体" w:hAnsi="黑体" w:hint="eastAsia"/>
                <w:sz w:val="20"/>
                <w:szCs w:val="20"/>
              </w:rPr>
              <w:t>字符型，1</w:t>
            </w:r>
          </w:p>
        </w:tc>
        <w:tc>
          <w:tcPr>
            <w:tcW w:w="3827" w:type="dxa"/>
          </w:tcPr>
          <w:p w14:paraId="1D515118" w14:textId="77777777" w:rsidR="00A052DC" w:rsidRDefault="009F0A60">
            <w:pPr>
              <w:rPr>
                <w:rFonts w:ascii="黑体" w:eastAsia="黑体" w:hAnsi="黑体"/>
                <w:sz w:val="20"/>
                <w:szCs w:val="20"/>
              </w:rPr>
            </w:pPr>
            <w:r>
              <w:rPr>
                <w:rFonts w:ascii="黑体" w:eastAsia="黑体" w:hAnsi="黑体" w:hint="eastAsia"/>
                <w:sz w:val="20"/>
                <w:szCs w:val="20"/>
              </w:rPr>
              <w:t>Y</w:t>
            </w:r>
            <w:r w:rsidR="00AE4602">
              <w:rPr>
                <w:rFonts w:ascii="黑体" w:eastAsia="黑体" w:hAnsi="黑体" w:hint="eastAsia"/>
                <w:sz w:val="20"/>
                <w:szCs w:val="20"/>
              </w:rPr>
              <w:t>-</w:t>
            </w:r>
            <w:r>
              <w:rPr>
                <w:rFonts w:ascii="黑体" w:eastAsia="黑体" w:hAnsi="黑体" w:hint="eastAsia"/>
                <w:sz w:val="20"/>
                <w:szCs w:val="20"/>
              </w:rPr>
              <w:t>是</w:t>
            </w:r>
          </w:p>
          <w:p w14:paraId="53A0D1B2" w14:textId="77777777" w:rsidR="00A052DC" w:rsidRDefault="009F0A60">
            <w:pPr>
              <w:rPr>
                <w:rFonts w:ascii="黑体" w:eastAsia="黑体" w:hAnsi="黑体"/>
                <w:sz w:val="20"/>
                <w:szCs w:val="20"/>
              </w:rPr>
            </w:pPr>
            <w:r>
              <w:rPr>
                <w:rFonts w:ascii="黑体" w:eastAsia="黑体" w:hAnsi="黑体" w:hint="eastAsia"/>
                <w:sz w:val="20"/>
                <w:szCs w:val="20"/>
              </w:rPr>
              <w:t>N</w:t>
            </w:r>
            <w:r w:rsidR="00AE4602">
              <w:rPr>
                <w:rFonts w:ascii="黑体" w:eastAsia="黑体" w:hAnsi="黑体" w:hint="eastAsia"/>
                <w:sz w:val="20"/>
                <w:szCs w:val="20"/>
              </w:rPr>
              <w:t>-</w:t>
            </w:r>
            <w:r>
              <w:rPr>
                <w:rFonts w:ascii="黑体" w:eastAsia="黑体" w:hAnsi="黑体" w:hint="eastAsia"/>
                <w:sz w:val="20"/>
                <w:szCs w:val="20"/>
              </w:rPr>
              <w:t>否</w:t>
            </w:r>
          </w:p>
        </w:tc>
      </w:tr>
      <w:tr w:rsidR="00A052DC" w14:paraId="695CE62E" w14:textId="77777777">
        <w:tc>
          <w:tcPr>
            <w:tcW w:w="1843" w:type="dxa"/>
          </w:tcPr>
          <w:p w14:paraId="29FF2161" w14:textId="77777777" w:rsidR="00A052DC" w:rsidRDefault="009F0A60">
            <w:pPr>
              <w:rPr>
                <w:rFonts w:ascii="黑体" w:eastAsia="黑体" w:hAnsi="黑体"/>
                <w:sz w:val="20"/>
                <w:szCs w:val="20"/>
              </w:rPr>
            </w:pPr>
            <w:r>
              <w:rPr>
                <w:rFonts w:ascii="黑体" w:eastAsia="黑体" w:hAnsi="黑体" w:hint="eastAsia"/>
                <w:sz w:val="20"/>
                <w:szCs w:val="20"/>
              </w:rPr>
              <w:t>PAYATTR</w:t>
            </w:r>
          </w:p>
        </w:tc>
        <w:tc>
          <w:tcPr>
            <w:tcW w:w="1560" w:type="dxa"/>
          </w:tcPr>
          <w:p w14:paraId="3BB05BE2" w14:textId="77777777" w:rsidR="00A052DC" w:rsidRDefault="009F0A60">
            <w:pPr>
              <w:rPr>
                <w:rFonts w:ascii="黑体" w:eastAsia="黑体" w:hAnsi="黑体"/>
                <w:sz w:val="20"/>
                <w:szCs w:val="20"/>
              </w:rPr>
            </w:pPr>
            <w:r>
              <w:rPr>
                <w:rFonts w:ascii="黑体" w:eastAsia="黑体" w:hAnsi="黑体" w:hint="eastAsia"/>
                <w:sz w:val="20"/>
                <w:szCs w:val="20"/>
              </w:rPr>
              <w:t>境内收入类型</w:t>
            </w:r>
          </w:p>
        </w:tc>
        <w:tc>
          <w:tcPr>
            <w:tcW w:w="1417" w:type="dxa"/>
          </w:tcPr>
          <w:p w14:paraId="77C1B82D" w14:textId="77777777" w:rsidR="00A052DC" w:rsidRDefault="009F0A60">
            <w:pPr>
              <w:rPr>
                <w:rFonts w:ascii="黑体" w:eastAsia="黑体" w:hAnsi="黑体"/>
                <w:sz w:val="20"/>
                <w:szCs w:val="20"/>
              </w:rPr>
            </w:pPr>
            <w:r>
              <w:rPr>
                <w:rFonts w:ascii="黑体" w:eastAsia="黑体" w:hAnsi="黑体" w:hint="eastAsia"/>
                <w:sz w:val="20"/>
                <w:szCs w:val="20"/>
              </w:rPr>
              <w:t>字符型，1</w:t>
            </w:r>
          </w:p>
        </w:tc>
        <w:tc>
          <w:tcPr>
            <w:tcW w:w="3827" w:type="dxa"/>
          </w:tcPr>
          <w:p w14:paraId="5DC396B3" w14:textId="77777777" w:rsidR="00A052DC" w:rsidRDefault="009F0A60">
            <w:pPr>
              <w:rPr>
                <w:rFonts w:ascii="黑体" w:eastAsia="黑体" w:hAnsi="黑体"/>
                <w:sz w:val="20"/>
                <w:szCs w:val="20"/>
              </w:rPr>
            </w:pPr>
            <w:r>
              <w:rPr>
                <w:rFonts w:ascii="黑体" w:eastAsia="黑体" w:hAnsi="黑体" w:hint="eastAsia"/>
                <w:sz w:val="20"/>
                <w:szCs w:val="20"/>
              </w:rPr>
              <w:t>M-深加工结转</w:t>
            </w:r>
          </w:p>
          <w:p w14:paraId="337930B6" w14:textId="77777777" w:rsidR="00A052DC" w:rsidRDefault="009F0A60">
            <w:pPr>
              <w:rPr>
                <w:rFonts w:ascii="黑体" w:eastAsia="黑体" w:hAnsi="黑体"/>
                <w:sz w:val="20"/>
                <w:szCs w:val="20"/>
              </w:rPr>
            </w:pPr>
            <w:r>
              <w:rPr>
                <w:rFonts w:ascii="黑体" w:eastAsia="黑体" w:hAnsi="黑体" w:hint="eastAsia"/>
                <w:sz w:val="20"/>
                <w:szCs w:val="20"/>
              </w:rPr>
              <w:t>X-保税区</w:t>
            </w:r>
          </w:p>
          <w:p w14:paraId="4B4E8E3C" w14:textId="77777777" w:rsidR="00A052DC" w:rsidRDefault="009F0A60">
            <w:pPr>
              <w:rPr>
                <w:rFonts w:ascii="黑体" w:eastAsia="黑体" w:hAnsi="黑体"/>
                <w:sz w:val="20"/>
                <w:szCs w:val="20"/>
              </w:rPr>
            </w:pPr>
            <w:r>
              <w:rPr>
                <w:rFonts w:ascii="黑体" w:eastAsia="黑体" w:hAnsi="黑体" w:hint="eastAsia"/>
                <w:sz w:val="20"/>
                <w:szCs w:val="20"/>
              </w:rPr>
              <w:t>E-出口加工区</w:t>
            </w:r>
          </w:p>
          <w:p w14:paraId="1FB35EA7" w14:textId="77777777" w:rsidR="00A052DC" w:rsidRDefault="009F0A60">
            <w:pPr>
              <w:rPr>
                <w:rFonts w:ascii="黑体" w:eastAsia="黑体" w:hAnsi="黑体"/>
                <w:sz w:val="20"/>
                <w:szCs w:val="20"/>
              </w:rPr>
            </w:pPr>
            <w:r>
              <w:rPr>
                <w:rFonts w:ascii="黑体" w:eastAsia="黑体" w:hAnsi="黑体" w:hint="eastAsia"/>
                <w:sz w:val="20"/>
                <w:szCs w:val="20"/>
              </w:rPr>
              <w:t>D-钻石交易所</w:t>
            </w:r>
          </w:p>
          <w:p w14:paraId="3F42F1C1" w14:textId="77777777" w:rsidR="00A052DC" w:rsidRDefault="009F0A60">
            <w:pPr>
              <w:rPr>
                <w:rFonts w:ascii="黑体" w:eastAsia="黑体" w:hAnsi="黑体"/>
                <w:sz w:val="20"/>
                <w:szCs w:val="20"/>
              </w:rPr>
            </w:pPr>
            <w:r>
              <w:rPr>
                <w:rFonts w:ascii="黑体" w:eastAsia="黑体" w:hAnsi="黑体" w:hint="eastAsia"/>
                <w:sz w:val="20"/>
                <w:szCs w:val="20"/>
              </w:rPr>
              <w:t>A-其他特殊经济区</w:t>
            </w:r>
          </w:p>
          <w:p w14:paraId="06413EBA" w14:textId="77777777" w:rsidR="00A052DC" w:rsidRDefault="009F0A60">
            <w:pPr>
              <w:rPr>
                <w:rFonts w:ascii="黑体" w:eastAsia="黑体" w:hAnsi="黑体"/>
                <w:sz w:val="20"/>
                <w:szCs w:val="20"/>
              </w:rPr>
            </w:pPr>
            <w:r>
              <w:rPr>
                <w:rFonts w:ascii="黑体" w:eastAsia="黑体" w:hAnsi="黑体" w:hint="eastAsia"/>
                <w:sz w:val="20"/>
                <w:szCs w:val="20"/>
              </w:rPr>
              <w:t>R-汇路引起出口项下跨境收入</w:t>
            </w:r>
          </w:p>
          <w:p w14:paraId="10100F3C" w14:textId="77777777" w:rsidR="00A052DC" w:rsidRDefault="009F0A60">
            <w:pPr>
              <w:rPr>
                <w:rFonts w:ascii="黑体" w:eastAsia="黑体" w:hAnsi="黑体"/>
                <w:sz w:val="20"/>
                <w:szCs w:val="20"/>
              </w:rPr>
            </w:pPr>
            <w:r>
              <w:rPr>
                <w:rFonts w:ascii="黑体" w:eastAsia="黑体" w:hAnsi="黑体" w:hint="eastAsia"/>
                <w:sz w:val="20"/>
                <w:szCs w:val="20"/>
              </w:rPr>
              <w:t>C-出口信用保险理赔</w:t>
            </w:r>
          </w:p>
          <w:p w14:paraId="532523F9" w14:textId="77777777" w:rsidR="00A052DC" w:rsidRDefault="009F0A60">
            <w:pPr>
              <w:rPr>
                <w:rFonts w:ascii="黑体" w:eastAsia="黑体" w:hAnsi="黑体"/>
                <w:sz w:val="20"/>
                <w:szCs w:val="20"/>
              </w:rPr>
            </w:pPr>
            <w:r>
              <w:rPr>
                <w:rFonts w:ascii="黑体" w:eastAsia="黑体" w:hAnsi="黑体" w:hint="eastAsia"/>
                <w:sz w:val="20"/>
                <w:szCs w:val="20"/>
              </w:rPr>
              <w:t>I-出口货物保险理赔</w:t>
            </w:r>
          </w:p>
          <w:p w14:paraId="52E1E39E" w14:textId="77777777" w:rsidR="00A052DC" w:rsidRDefault="009F0A60">
            <w:pPr>
              <w:rPr>
                <w:rFonts w:ascii="黑体" w:eastAsia="黑体" w:hAnsi="黑体"/>
                <w:sz w:val="20"/>
                <w:szCs w:val="20"/>
              </w:rPr>
            </w:pPr>
            <w:r>
              <w:rPr>
                <w:rFonts w:ascii="黑体" w:eastAsia="黑体" w:hAnsi="黑体" w:hint="eastAsia"/>
                <w:sz w:val="20"/>
                <w:szCs w:val="20"/>
              </w:rPr>
              <w:t>N-买方信贷</w:t>
            </w:r>
          </w:p>
          <w:p w14:paraId="3EE60E46" w14:textId="77777777" w:rsidR="00A052DC" w:rsidRDefault="009F0A60">
            <w:pPr>
              <w:rPr>
                <w:rFonts w:ascii="黑体" w:eastAsia="黑体" w:hAnsi="黑体"/>
                <w:sz w:val="20"/>
                <w:szCs w:val="20"/>
              </w:rPr>
            </w:pPr>
            <w:r>
              <w:rPr>
                <w:rFonts w:ascii="黑体" w:eastAsia="黑体" w:hAnsi="黑体" w:hint="eastAsia"/>
                <w:sz w:val="20"/>
                <w:szCs w:val="20"/>
              </w:rPr>
              <w:t>L-转让信用证</w:t>
            </w:r>
          </w:p>
          <w:p w14:paraId="1ABE6029" w14:textId="77777777" w:rsidR="00A052DC" w:rsidRDefault="009F0A60">
            <w:pPr>
              <w:rPr>
                <w:rFonts w:ascii="黑体" w:eastAsia="黑体" w:hAnsi="黑体"/>
                <w:sz w:val="20"/>
                <w:szCs w:val="20"/>
              </w:rPr>
            </w:pPr>
            <w:r>
              <w:rPr>
                <w:rFonts w:ascii="黑体" w:eastAsia="黑体" w:hAnsi="黑体" w:hint="eastAsia"/>
                <w:sz w:val="20"/>
                <w:szCs w:val="20"/>
              </w:rPr>
              <w:t>B-背对背信用证</w:t>
            </w:r>
          </w:p>
          <w:p w14:paraId="147BB860" w14:textId="77777777" w:rsidR="00A052DC" w:rsidRDefault="009F0A60">
            <w:pPr>
              <w:rPr>
                <w:rFonts w:ascii="黑体" w:eastAsia="黑体" w:hAnsi="黑体"/>
                <w:sz w:val="20"/>
                <w:szCs w:val="20"/>
              </w:rPr>
            </w:pPr>
            <w:r>
              <w:rPr>
                <w:rFonts w:ascii="黑体" w:eastAsia="黑体" w:hAnsi="黑体" w:hint="eastAsia"/>
                <w:sz w:val="20"/>
                <w:szCs w:val="20"/>
              </w:rPr>
              <w:t>O-其他</w:t>
            </w:r>
          </w:p>
        </w:tc>
      </w:tr>
      <w:tr w:rsidR="00A052DC" w14:paraId="1C7B9E34" w14:textId="77777777">
        <w:tc>
          <w:tcPr>
            <w:tcW w:w="1843" w:type="dxa"/>
          </w:tcPr>
          <w:p w14:paraId="2BF77277" w14:textId="77777777" w:rsidR="00A052DC" w:rsidRDefault="009F0A60">
            <w:pPr>
              <w:rPr>
                <w:rFonts w:ascii="黑体" w:eastAsia="黑体" w:hAnsi="黑体"/>
                <w:sz w:val="20"/>
                <w:szCs w:val="20"/>
              </w:rPr>
            </w:pPr>
            <w:r>
              <w:rPr>
                <w:rFonts w:ascii="黑体" w:eastAsia="黑体" w:hAnsi="黑体" w:hint="eastAsia"/>
                <w:sz w:val="20"/>
                <w:szCs w:val="20"/>
              </w:rPr>
              <w:t>PAYTYPE</w:t>
            </w:r>
          </w:p>
        </w:tc>
        <w:tc>
          <w:tcPr>
            <w:tcW w:w="1560" w:type="dxa"/>
          </w:tcPr>
          <w:p w14:paraId="4EEF0D74" w14:textId="77777777" w:rsidR="00A052DC" w:rsidRDefault="009F0A60">
            <w:pPr>
              <w:rPr>
                <w:rFonts w:ascii="黑体" w:eastAsia="黑体" w:hAnsi="黑体"/>
                <w:sz w:val="20"/>
                <w:szCs w:val="20"/>
              </w:rPr>
            </w:pPr>
            <w:r>
              <w:rPr>
                <w:rFonts w:ascii="黑体" w:eastAsia="黑体" w:hAnsi="黑体" w:hint="eastAsia"/>
                <w:sz w:val="20"/>
                <w:szCs w:val="20"/>
              </w:rPr>
              <w:t>收款性质</w:t>
            </w:r>
          </w:p>
        </w:tc>
        <w:tc>
          <w:tcPr>
            <w:tcW w:w="1417" w:type="dxa"/>
          </w:tcPr>
          <w:p w14:paraId="43E40D42" w14:textId="77777777" w:rsidR="00A052DC" w:rsidRDefault="009F0A60">
            <w:pPr>
              <w:rPr>
                <w:rFonts w:ascii="黑体" w:eastAsia="黑体" w:hAnsi="黑体"/>
                <w:sz w:val="20"/>
                <w:szCs w:val="20"/>
              </w:rPr>
            </w:pPr>
            <w:r>
              <w:rPr>
                <w:rFonts w:ascii="黑体" w:eastAsia="黑体" w:hAnsi="黑体" w:hint="eastAsia"/>
                <w:sz w:val="20"/>
                <w:szCs w:val="20"/>
              </w:rPr>
              <w:t>字符型，1</w:t>
            </w:r>
          </w:p>
        </w:tc>
        <w:tc>
          <w:tcPr>
            <w:tcW w:w="3827" w:type="dxa"/>
          </w:tcPr>
          <w:p w14:paraId="1EDD68F5" w14:textId="77777777" w:rsidR="00A052DC" w:rsidRDefault="009F0A60">
            <w:pPr>
              <w:rPr>
                <w:rFonts w:ascii="黑体" w:eastAsia="黑体" w:hAnsi="黑体"/>
                <w:sz w:val="20"/>
                <w:szCs w:val="20"/>
              </w:rPr>
            </w:pPr>
            <w:r>
              <w:rPr>
                <w:rFonts w:ascii="黑体" w:eastAsia="黑体" w:hAnsi="黑体" w:hint="eastAsia"/>
                <w:sz w:val="20"/>
                <w:szCs w:val="20"/>
              </w:rPr>
              <w:t>A</w:t>
            </w:r>
            <w:r w:rsidR="00AE4602">
              <w:rPr>
                <w:rFonts w:ascii="黑体" w:eastAsia="黑体" w:hAnsi="黑体" w:hint="eastAsia"/>
                <w:sz w:val="20"/>
                <w:szCs w:val="20"/>
              </w:rPr>
              <w:t>-</w:t>
            </w:r>
            <w:r>
              <w:rPr>
                <w:rFonts w:ascii="黑体" w:eastAsia="黑体" w:hAnsi="黑体" w:hint="eastAsia"/>
                <w:sz w:val="20"/>
                <w:szCs w:val="20"/>
              </w:rPr>
              <w:t>预收款</w:t>
            </w:r>
          </w:p>
          <w:p w14:paraId="2F103986" w14:textId="77777777" w:rsidR="00A052DC" w:rsidRDefault="009F0A60">
            <w:pPr>
              <w:rPr>
                <w:rFonts w:ascii="黑体" w:eastAsia="黑体" w:hAnsi="黑体"/>
                <w:sz w:val="20"/>
                <w:szCs w:val="20"/>
              </w:rPr>
            </w:pPr>
            <w:r>
              <w:rPr>
                <w:rFonts w:ascii="黑体" w:eastAsia="黑体" w:hAnsi="黑体" w:hint="eastAsia"/>
                <w:sz w:val="20"/>
                <w:szCs w:val="20"/>
              </w:rPr>
              <w:t>O</w:t>
            </w:r>
            <w:r w:rsidR="00AE4602">
              <w:rPr>
                <w:rFonts w:ascii="黑体" w:eastAsia="黑体" w:hAnsi="黑体" w:hint="eastAsia"/>
                <w:sz w:val="20"/>
                <w:szCs w:val="20"/>
              </w:rPr>
              <w:t>-</w:t>
            </w:r>
            <w:r>
              <w:rPr>
                <w:rFonts w:ascii="黑体" w:eastAsia="黑体" w:hAnsi="黑体" w:hint="eastAsia"/>
                <w:sz w:val="20"/>
                <w:szCs w:val="20"/>
              </w:rPr>
              <w:t>其他</w:t>
            </w:r>
          </w:p>
        </w:tc>
      </w:tr>
      <w:tr w:rsidR="00A052DC" w14:paraId="24602F29" w14:textId="77777777">
        <w:tc>
          <w:tcPr>
            <w:tcW w:w="1843" w:type="dxa"/>
          </w:tcPr>
          <w:p w14:paraId="4D70E02B" w14:textId="77777777" w:rsidR="00A052DC" w:rsidRDefault="009F0A60">
            <w:pPr>
              <w:rPr>
                <w:rFonts w:ascii="黑体" w:eastAsia="黑体" w:hAnsi="黑体"/>
                <w:sz w:val="20"/>
                <w:szCs w:val="20"/>
              </w:rPr>
            </w:pPr>
            <w:r>
              <w:rPr>
                <w:rFonts w:ascii="黑体" w:eastAsia="黑体" w:hAnsi="黑体" w:hint="eastAsia"/>
                <w:sz w:val="20"/>
                <w:szCs w:val="20"/>
              </w:rPr>
              <w:t>TXCODE</w:t>
            </w:r>
          </w:p>
        </w:tc>
        <w:tc>
          <w:tcPr>
            <w:tcW w:w="1560" w:type="dxa"/>
          </w:tcPr>
          <w:p w14:paraId="7E54C30F" w14:textId="77777777" w:rsidR="00A052DC" w:rsidRDefault="009F0A60">
            <w:pPr>
              <w:rPr>
                <w:rFonts w:ascii="黑体" w:eastAsia="黑体" w:hAnsi="黑体"/>
                <w:sz w:val="20"/>
                <w:szCs w:val="20"/>
              </w:rPr>
            </w:pPr>
            <w:r>
              <w:rPr>
                <w:rFonts w:ascii="黑体" w:eastAsia="黑体" w:hAnsi="黑体" w:hint="eastAsia"/>
                <w:sz w:val="20"/>
                <w:szCs w:val="20"/>
              </w:rPr>
              <w:t>交易编码1</w:t>
            </w:r>
          </w:p>
        </w:tc>
        <w:tc>
          <w:tcPr>
            <w:tcW w:w="1417" w:type="dxa"/>
          </w:tcPr>
          <w:p w14:paraId="14CC16CE" w14:textId="77777777" w:rsidR="00A052DC" w:rsidRDefault="009F0A60">
            <w:pPr>
              <w:rPr>
                <w:rFonts w:ascii="黑体" w:eastAsia="黑体" w:hAnsi="黑体"/>
                <w:sz w:val="20"/>
                <w:szCs w:val="20"/>
              </w:rPr>
            </w:pPr>
            <w:r>
              <w:rPr>
                <w:rFonts w:ascii="黑体" w:eastAsia="黑体" w:hAnsi="黑体" w:hint="eastAsia"/>
                <w:sz w:val="20"/>
                <w:szCs w:val="20"/>
              </w:rPr>
              <w:t>字符型，6</w:t>
            </w:r>
          </w:p>
        </w:tc>
        <w:tc>
          <w:tcPr>
            <w:tcW w:w="3827" w:type="dxa"/>
          </w:tcPr>
          <w:p w14:paraId="74939627" w14:textId="77777777" w:rsidR="00A052DC" w:rsidRDefault="009F0A60">
            <w:pPr>
              <w:rPr>
                <w:rFonts w:ascii="黑体" w:eastAsia="黑体" w:hAnsi="黑体"/>
                <w:sz w:val="20"/>
                <w:szCs w:val="20"/>
              </w:rPr>
            </w:pPr>
            <w:r>
              <w:rPr>
                <w:rFonts w:ascii="黑体" w:eastAsia="黑体" w:hAnsi="黑体" w:hint="eastAsia"/>
                <w:sz w:val="20"/>
                <w:szCs w:val="20"/>
              </w:rPr>
              <w:t>必填</w:t>
            </w:r>
            <w:r w:rsidR="006D55A3">
              <w:rPr>
                <w:rFonts w:ascii="黑体" w:eastAsia="黑体" w:hAnsi="黑体" w:hint="eastAsia"/>
                <w:sz w:val="20"/>
                <w:szCs w:val="20"/>
              </w:rPr>
              <w:t>项</w:t>
            </w:r>
            <w:r>
              <w:rPr>
                <w:rFonts w:ascii="黑体" w:eastAsia="黑体" w:hAnsi="黑体" w:hint="eastAsia"/>
                <w:sz w:val="20"/>
                <w:szCs w:val="20"/>
              </w:rPr>
              <w:t>，</w:t>
            </w:r>
          </w:p>
          <w:p w14:paraId="5CF454A5" w14:textId="77777777" w:rsidR="00A052DC" w:rsidRDefault="009F0A60">
            <w:pPr>
              <w:rPr>
                <w:rFonts w:ascii="黑体" w:eastAsia="黑体" w:hAnsi="黑体"/>
                <w:sz w:val="20"/>
                <w:szCs w:val="20"/>
              </w:rPr>
            </w:pPr>
            <w:r>
              <w:rPr>
                <w:rFonts w:ascii="黑体" w:eastAsia="黑体" w:hAnsi="黑体" w:hint="eastAsia"/>
                <w:sz w:val="20"/>
                <w:szCs w:val="20"/>
              </w:rPr>
              <w:t>必须在涉外收支交易代码表（《涉外收支交易分类与代码（2014版）》（汇发〔2014〕21号））中存在。若该交易为非居民机构账户间境内划转，应填写为“929090”（其他）。</w:t>
            </w:r>
          </w:p>
        </w:tc>
      </w:tr>
      <w:tr w:rsidR="00A052DC" w14:paraId="4A5A63F8" w14:textId="77777777">
        <w:tc>
          <w:tcPr>
            <w:tcW w:w="1843" w:type="dxa"/>
          </w:tcPr>
          <w:p w14:paraId="18FDFCFB" w14:textId="77777777" w:rsidR="00A052DC" w:rsidRDefault="009F0A60">
            <w:pPr>
              <w:rPr>
                <w:rFonts w:ascii="黑体" w:eastAsia="黑体" w:hAnsi="黑体"/>
                <w:sz w:val="20"/>
                <w:szCs w:val="20"/>
              </w:rPr>
            </w:pPr>
            <w:r>
              <w:rPr>
                <w:rFonts w:ascii="黑体" w:eastAsia="黑体" w:hAnsi="黑体" w:hint="eastAsia"/>
                <w:sz w:val="20"/>
                <w:szCs w:val="20"/>
              </w:rPr>
              <w:t>TC1AMT</w:t>
            </w:r>
          </w:p>
        </w:tc>
        <w:tc>
          <w:tcPr>
            <w:tcW w:w="1560" w:type="dxa"/>
          </w:tcPr>
          <w:p w14:paraId="62DEEECA" w14:textId="77777777" w:rsidR="00A052DC" w:rsidRDefault="009F0A60">
            <w:pPr>
              <w:rPr>
                <w:rFonts w:ascii="黑体" w:eastAsia="黑体" w:hAnsi="黑体"/>
                <w:sz w:val="20"/>
                <w:szCs w:val="20"/>
              </w:rPr>
            </w:pPr>
            <w:r>
              <w:rPr>
                <w:rFonts w:ascii="黑体" w:eastAsia="黑体" w:hAnsi="黑体" w:hint="eastAsia"/>
                <w:sz w:val="20"/>
                <w:szCs w:val="20"/>
              </w:rPr>
              <w:t>相应金额1</w:t>
            </w:r>
          </w:p>
        </w:tc>
        <w:tc>
          <w:tcPr>
            <w:tcW w:w="1417" w:type="dxa"/>
          </w:tcPr>
          <w:p w14:paraId="1D7BB1C6" w14:textId="77777777" w:rsidR="00A052DC" w:rsidRDefault="009F0A60">
            <w:pPr>
              <w:rPr>
                <w:rFonts w:ascii="黑体" w:eastAsia="黑体" w:hAnsi="黑体"/>
                <w:sz w:val="20"/>
                <w:szCs w:val="20"/>
              </w:rPr>
            </w:pPr>
            <w:r>
              <w:rPr>
                <w:rFonts w:ascii="黑体" w:eastAsia="黑体" w:hAnsi="黑体" w:hint="eastAsia"/>
                <w:sz w:val="20"/>
                <w:szCs w:val="20"/>
              </w:rPr>
              <w:t>数值型，22.0</w:t>
            </w:r>
          </w:p>
        </w:tc>
        <w:tc>
          <w:tcPr>
            <w:tcW w:w="3827" w:type="dxa"/>
          </w:tcPr>
          <w:p w14:paraId="2D5FAC1B" w14:textId="77777777" w:rsidR="00A052DC" w:rsidRDefault="009F0A60">
            <w:pPr>
              <w:rPr>
                <w:rFonts w:ascii="黑体" w:eastAsia="黑体" w:hAnsi="黑体"/>
                <w:sz w:val="20"/>
                <w:szCs w:val="20"/>
              </w:rPr>
            </w:pPr>
            <w:r>
              <w:rPr>
                <w:rFonts w:ascii="黑体" w:eastAsia="黑体" w:hAnsi="黑体" w:hint="eastAsia"/>
                <w:sz w:val="20"/>
                <w:szCs w:val="20"/>
              </w:rPr>
              <w:t>必填</w:t>
            </w:r>
            <w:r w:rsidR="006D55A3">
              <w:rPr>
                <w:rFonts w:ascii="黑体" w:eastAsia="黑体" w:hAnsi="黑体" w:hint="eastAsia"/>
                <w:sz w:val="20"/>
                <w:szCs w:val="20"/>
              </w:rPr>
              <w:t>项</w:t>
            </w:r>
            <w:r>
              <w:rPr>
                <w:rFonts w:ascii="黑体" w:eastAsia="黑体" w:hAnsi="黑体" w:hint="eastAsia"/>
                <w:sz w:val="20"/>
                <w:szCs w:val="20"/>
              </w:rPr>
              <w:t>。</w:t>
            </w:r>
          </w:p>
        </w:tc>
      </w:tr>
      <w:tr w:rsidR="00A052DC" w14:paraId="5BF45DC8" w14:textId="77777777">
        <w:tc>
          <w:tcPr>
            <w:tcW w:w="1843" w:type="dxa"/>
          </w:tcPr>
          <w:p w14:paraId="08BA0AF9" w14:textId="77777777" w:rsidR="00A052DC" w:rsidRDefault="009F0A60">
            <w:pPr>
              <w:rPr>
                <w:rFonts w:ascii="黑体" w:eastAsia="黑体" w:hAnsi="黑体"/>
                <w:sz w:val="20"/>
                <w:szCs w:val="20"/>
              </w:rPr>
            </w:pPr>
            <w:r>
              <w:rPr>
                <w:rFonts w:ascii="黑体" w:eastAsia="黑体" w:hAnsi="黑体" w:hint="eastAsia"/>
                <w:sz w:val="20"/>
                <w:szCs w:val="20"/>
              </w:rPr>
              <w:t>TXREM</w:t>
            </w:r>
          </w:p>
        </w:tc>
        <w:tc>
          <w:tcPr>
            <w:tcW w:w="1560" w:type="dxa"/>
          </w:tcPr>
          <w:p w14:paraId="644398D2" w14:textId="77777777" w:rsidR="00A052DC" w:rsidRDefault="009F0A60">
            <w:pPr>
              <w:rPr>
                <w:rFonts w:ascii="黑体" w:eastAsia="黑体" w:hAnsi="黑体"/>
                <w:sz w:val="20"/>
                <w:szCs w:val="20"/>
              </w:rPr>
            </w:pPr>
            <w:r>
              <w:rPr>
                <w:rFonts w:ascii="黑体" w:eastAsia="黑体" w:hAnsi="黑体" w:hint="eastAsia"/>
                <w:sz w:val="20"/>
                <w:szCs w:val="20"/>
              </w:rPr>
              <w:t>交易附言1</w:t>
            </w:r>
          </w:p>
        </w:tc>
        <w:tc>
          <w:tcPr>
            <w:tcW w:w="1417" w:type="dxa"/>
          </w:tcPr>
          <w:p w14:paraId="104A8A22" w14:textId="77777777" w:rsidR="00A052DC" w:rsidRDefault="009F0A60">
            <w:pPr>
              <w:rPr>
                <w:rFonts w:ascii="黑体" w:eastAsia="黑体" w:hAnsi="黑体"/>
                <w:sz w:val="20"/>
                <w:szCs w:val="20"/>
              </w:rPr>
            </w:pPr>
            <w:r>
              <w:rPr>
                <w:rFonts w:ascii="黑体" w:eastAsia="黑体" w:hAnsi="黑体" w:hint="eastAsia"/>
                <w:sz w:val="20"/>
                <w:szCs w:val="20"/>
              </w:rPr>
              <w:t>字符型，256</w:t>
            </w:r>
          </w:p>
        </w:tc>
        <w:tc>
          <w:tcPr>
            <w:tcW w:w="3827" w:type="dxa"/>
          </w:tcPr>
          <w:p w14:paraId="16A1E5AA" w14:textId="77777777" w:rsidR="00A052DC" w:rsidRDefault="009F0A60">
            <w:pPr>
              <w:rPr>
                <w:rFonts w:ascii="黑体" w:eastAsia="黑体" w:hAnsi="黑体"/>
                <w:sz w:val="20"/>
                <w:szCs w:val="20"/>
              </w:rPr>
            </w:pPr>
            <w:r>
              <w:rPr>
                <w:rFonts w:ascii="黑体" w:eastAsia="黑体" w:hAnsi="黑体" w:hint="eastAsia"/>
                <w:sz w:val="20"/>
                <w:szCs w:val="20"/>
              </w:rPr>
              <w:t>必填</w:t>
            </w:r>
            <w:r w:rsidR="006D55A3">
              <w:rPr>
                <w:rFonts w:ascii="黑体" w:eastAsia="黑体" w:hAnsi="黑体" w:hint="eastAsia"/>
                <w:sz w:val="20"/>
                <w:szCs w:val="20"/>
              </w:rPr>
              <w:t>项</w:t>
            </w:r>
            <w:r>
              <w:rPr>
                <w:rFonts w:ascii="黑体" w:eastAsia="黑体" w:hAnsi="黑体" w:hint="eastAsia"/>
                <w:sz w:val="20"/>
                <w:szCs w:val="20"/>
              </w:rPr>
              <w:t>。若该笔交易为非居民机构账户间境内划转，则应填写“非居民机构账户间划转”。</w:t>
            </w:r>
          </w:p>
        </w:tc>
      </w:tr>
      <w:tr w:rsidR="00A052DC" w14:paraId="7172047D" w14:textId="77777777">
        <w:tc>
          <w:tcPr>
            <w:tcW w:w="1843" w:type="dxa"/>
          </w:tcPr>
          <w:p w14:paraId="48BEB63F" w14:textId="77777777" w:rsidR="00A052DC" w:rsidRDefault="009F0A60">
            <w:pPr>
              <w:rPr>
                <w:rFonts w:ascii="黑体" w:eastAsia="黑体" w:hAnsi="黑体"/>
                <w:sz w:val="20"/>
                <w:szCs w:val="20"/>
              </w:rPr>
            </w:pPr>
            <w:r>
              <w:rPr>
                <w:rFonts w:ascii="黑体" w:eastAsia="黑体" w:hAnsi="黑体" w:hint="eastAsia"/>
                <w:sz w:val="20"/>
                <w:szCs w:val="20"/>
              </w:rPr>
              <w:t>TXCODE2</w:t>
            </w:r>
          </w:p>
        </w:tc>
        <w:tc>
          <w:tcPr>
            <w:tcW w:w="1560" w:type="dxa"/>
          </w:tcPr>
          <w:p w14:paraId="57625AA3" w14:textId="77777777" w:rsidR="00A052DC" w:rsidRDefault="009F0A60">
            <w:pPr>
              <w:rPr>
                <w:rFonts w:ascii="黑体" w:eastAsia="黑体" w:hAnsi="黑体"/>
                <w:sz w:val="20"/>
                <w:szCs w:val="20"/>
              </w:rPr>
            </w:pPr>
            <w:r>
              <w:rPr>
                <w:rFonts w:ascii="黑体" w:eastAsia="黑体" w:hAnsi="黑体" w:hint="eastAsia"/>
                <w:sz w:val="20"/>
                <w:szCs w:val="20"/>
              </w:rPr>
              <w:t>交易编码2</w:t>
            </w:r>
          </w:p>
        </w:tc>
        <w:tc>
          <w:tcPr>
            <w:tcW w:w="1417" w:type="dxa"/>
          </w:tcPr>
          <w:p w14:paraId="733C118D" w14:textId="77777777" w:rsidR="00A052DC" w:rsidRDefault="009F0A60">
            <w:pPr>
              <w:rPr>
                <w:rFonts w:ascii="黑体" w:eastAsia="黑体" w:hAnsi="黑体"/>
                <w:sz w:val="20"/>
                <w:szCs w:val="20"/>
              </w:rPr>
            </w:pPr>
            <w:r>
              <w:rPr>
                <w:rFonts w:ascii="黑体" w:eastAsia="黑体" w:hAnsi="黑体" w:hint="eastAsia"/>
                <w:sz w:val="20"/>
                <w:szCs w:val="20"/>
              </w:rPr>
              <w:t>字符型，6</w:t>
            </w:r>
          </w:p>
        </w:tc>
        <w:tc>
          <w:tcPr>
            <w:tcW w:w="3827" w:type="dxa"/>
          </w:tcPr>
          <w:p w14:paraId="627A5577" w14:textId="77777777" w:rsidR="00A052DC" w:rsidRDefault="00DD6AA3">
            <w:pPr>
              <w:rPr>
                <w:rFonts w:ascii="黑体" w:eastAsia="黑体" w:hAnsi="黑体"/>
                <w:sz w:val="20"/>
                <w:szCs w:val="20"/>
              </w:rPr>
            </w:pPr>
            <w:r>
              <w:rPr>
                <w:rFonts w:ascii="黑体" w:eastAsia="黑体" w:hAnsi="黑体" w:hint="eastAsia"/>
                <w:sz w:val="20"/>
                <w:szCs w:val="20"/>
              </w:rPr>
              <w:t>非必填项</w:t>
            </w:r>
            <w:r w:rsidR="009F0A60">
              <w:rPr>
                <w:rFonts w:ascii="黑体" w:eastAsia="黑体" w:hAnsi="黑体" w:hint="eastAsia"/>
                <w:sz w:val="20"/>
                <w:szCs w:val="20"/>
              </w:rPr>
              <w:t>，</w:t>
            </w:r>
          </w:p>
          <w:p w14:paraId="0A2DB131" w14:textId="77777777" w:rsidR="00A052DC" w:rsidRDefault="009F0A60">
            <w:pPr>
              <w:rPr>
                <w:rFonts w:ascii="黑体" w:eastAsia="黑体" w:hAnsi="黑体"/>
                <w:sz w:val="20"/>
                <w:szCs w:val="20"/>
              </w:rPr>
            </w:pPr>
            <w:r>
              <w:rPr>
                <w:rFonts w:ascii="黑体" w:eastAsia="黑体" w:hAnsi="黑体" w:hint="eastAsia"/>
                <w:sz w:val="20"/>
                <w:szCs w:val="20"/>
              </w:rPr>
              <w:t>必须在涉外收支交易代码表中存在。</w:t>
            </w:r>
          </w:p>
          <w:p w14:paraId="15F35B0D" w14:textId="77777777" w:rsidR="00A052DC" w:rsidRDefault="009F0A60">
            <w:pPr>
              <w:rPr>
                <w:rFonts w:ascii="黑体" w:eastAsia="黑体" w:hAnsi="黑体"/>
                <w:sz w:val="20"/>
                <w:szCs w:val="20"/>
              </w:rPr>
            </w:pPr>
            <w:r>
              <w:rPr>
                <w:rFonts w:ascii="黑体" w:eastAsia="黑体" w:hAnsi="黑体" w:hint="eastAsia"/>
                <w:sz w:val="20"/>
                <w:szCs w:val="20"/>
              </w:rPr>
              <w:t>不能与交易编码1相同，</w:t>
            </w:r>
          </w:p>
          <w:p w14:paraId="33F8C8AE" w14:textId="77777777" w:rsidR="00A052DC" w:rsidRDefault="009F0A60">
            <w:pPr>
              <w:rPr>
                <w:rFonts w:ascii="黑体" w:eastAsia="黑体" w:hAnsi="黑体"/>
                <w:sz w:val="20"/>
                <w:szCs w:val="20"/>
              </w:rPr>
            </w:pPr>
            <w:r>
              <w:rPr>
                <w:rFonts w:ascii="黑体" w:eastAsia="黑体" w:hAnsi="黑体" w:hint="eastAsia"/>
                <w:sz w:val="20"/>
                <w:szCs w:val="20"/>
              </w:rPr>
              <w:t>没有输入交易编码时，相应金额及交易附言不应该填写。</w:t>
            </w:r>
          </w:p>
          <w:p w14:paraId="6A379592" w14:textId="77777777" w:rsidR="00A052DC" w:rsidRDefault="009F0A60">
            <w:pPr>
              <w:rPr>
                <w:rFonts w:ascii="黑体" w:eastAsia="黑体" w:hAnsi="黑体"/>
                <w:sz w:val="20"/>
                <w:szCs w:val="20"/>
              </w:rPr>
            </w:pPr>
            <w:r>
              <w:rPr>
                <w:rFonts w:ascii="黑体" w:eastAsia="黑体" w:hAnsi="黑体" w:hint="eastAsia"/>
                <w:sz w:val="20"/>
                <w:szCs w:val="20"/>
              </w:rPr>
              <w:t>有交易金额2或交易附言2时必填。</w:t>
            </w:r>
          </w:p>
        </w:tc>
      </w:tr>
      <w:tr w:rsidR="00A052DC" w14:paraId="2FD1C230" w14:textId="77777777">
        <w:tc>
          <w:tcPr>
            <w:tcW w:w="1843" w:type="dxa"/>
          </w:tcPr>
          <w:p w14:paraId="3E231251" w14:textId="77777777" w:rsidR="00A052DC" w:rsidRDefault="009F0A60">
            <w:pPr>
              <w:rPr>
                <w:rFonts w:ascii="黑体" w:eastAsia="黑体" w:hAnsi="黑体"/>
                <w:sz w:val="20"/>
                <w:szCs w:val="20"/>
              </w:rPr>
            </w:pPr>
            <w:r>
              <w:rPr>
                <w:rFonts w:ascii="黑体" w:eastAsia="黑体" w:hAnsi="黑体" w:hint="eastAsia"/>
                <w:sz w:val="20"/>
                <w:szCs w:val="20"/>
              </w:rPr>
              <w:t>TC2AMT</w:t>
            </w:r>
          </w:p>
        </w:tc>
        <w:tc>
          <w:tcPr>
            <w:tcW w:w="1560" w:type="dxa"/>
          </w:tcPr>
          <w:p w14:paraId="62827E46" w14:textId="77777777" w:rsidR="00A052DC" w:rsidRDefault="009F0A60">
            <w:pPr>
              <w:rPr>
                <w:rFonts w:ascii="黑体" w:eastAsia="黑体" w:hAnsi="黑体"/>
                <w:sz w:val="20"/>
                <w:szCs w:val="20"/>
              </w:rPr>
            </w:pPr>
            <w:r>
              <w:rPr>
                <w:rFonts w:ascii="黑体" w:eastAsia="黑体" w:hAnsi="黑体" w:hint="eastAsia"/>
                <w:sz w:val="20"/>
                <w:szCs w:val="20"/>
              </w:rPr>
              <w:t>相应金额2</w:t>
            </w:r>
          </w:p>
        </w:tc>
        <w:tc>
          <w:tcPr>
            <w:tcW w:w="1417" w:type="dxa"/>
          </w:tcPr>
          <w:p w14:paraId="43331CE5" w14:textId="77777777" w:rsidR="00A052DC" w:rsidRDefault="009F0A60">
            <w:pPr>
              <w:rPr>
                <w:rFonts w:ascii="黑体" w:eastAsia="黑体" w:hAnsi="黑体"/>
                <w:sz w:val="20"/>
                <w:szCs w:val="20"/>
              </w:rPr>
            </w:pPr>
            <w:r>
              <w:rPr>
                <w:rFonts w:ascii="黑体" w:eastAsia="黑体" w:hAnsi="黑体" w:hint="eastAsia"/>
                <w:sz w:val="20"/>
                <w:szCs w:val="20"/>
              </w:rPr>
              <w:t>数值型，22.0</w:t>
            </w:r>
          </w:p>
        </w:tc>
        <w:tc>
          <w:tcPr>
            <w:tcW w:w="3827" w:type="dxa"/>
          </w:tcPr>
          <w:p w14:paraId="1AE85263" w14:textId="77777777" w:rsidR="00A052DC" w:rsidRDefault="00DD6AA3">
            <w:pPr>
              <w:rPr>
                <w:rFonts w:ascii="黑体" w:eastAsia="黑体" w:hAnsi="黑体"/>
                <w:sz w:val="20"/>
                <w:szCs w:val="20"/>
              </w:rPr>
            </w:pPr>
            <w:r>
              <w:rPr>
                <w:rFonts w:ascii="黑体" w:eastAsia="黑体" w:hAnsi="黑体" w:hint="eastAsia"/>
                <w:sz w:val="20"/>
                <w:szCs w:val="20"/>
              </w:rPr>
              <w:t>非必填项</w:t>
            </w:r>
            <w:r w:rsidR="009F0A60">
              <w:rPr>
                <w:rFonts w:ascii="黑体" w:eastAsia="黑体" w:hAnsi="黑体" w:hint="eastAsia"/>
                <w:sz w:val="20"/>
                <w:szCs w:val="20"/>
              </w:rPr>
              <w:t>，</w:t>
            </w:r>
          </w:p>
          <w:p w14:paraId="5DAD6798" w14:textId="77777777" w:rsidR="00A052DC" w:rsidRDefault="009F0A60">
            <w:pPr>
              <w:rPr>
                <w:rFonts w:ascii="黑体" w:eastAsia="黑体" w:hAnsi="黑体"/>
                <w:sz w:val="20"/>
                <w:szCs w:val="20"/>
              </w:rPr>
            </w:pPr>
            <w:r>
              <w:rPr>
                <w:rFonts w:ascii="黑体" w:eastAsia="黑体" w:hAnsi="黑体" w:hint="eastAsia"/>
                <w:sz w:val="20"/>
                <w:szCs w:val="20"/>
              </w:rPr>
              <w:t>有交易编码2时必填。</w:t>
            </w:r>
          </w:p>
          <w:p w14:paraId="606C24EF" w14:textId="77777777" w:rsidR="00A052DC" w:rsidRDefault="009F0A60">
            <w:pPr>
              <w:rPr>
                <w:rFonts w:ascii="黑体" w:eastAsia="黑体" w:hAnsi="黑体"/>
                <w:sz w:val="20"/>
                <w:szCs w:val="20"/>
              </w:rPr>
            </w:pPr>
            <w:r>
              <w:rPr>
                <w:rFonts w:ascii="黑体" w:eastAsia="黑体" w:hAnsi="黑体" w:hint="eastAsia"/>
                <w:sz w:val="20"/>
                <w:szCs w:val="20"/>
              </w:rPr>
              <w:t>两个交易编码对应的金额之和必须等于收入款金额。</w:t>
            </w:r>
          </w:p>
        </w:tc>
      </w:tr>
      <w:tr w:rsidR="00A052DC" w14:paraId="615A0E1B" w14:textId="77777777">
        <w:tc>
          <w:tcPr>
            <w:tcW w:w="1843" w:type="dxa"/>
          </w:tcPr>
          <w:p w14:paraId="1D136B5B" w14:textId="77777777" w:rsidR="00A052DC" w:rsidRDefault="009F0A60">
            <w:pPr>
              <w:rPr>
                <w:rFonts w:ascii="黑体" w:eastAsia="黑体" w:hAnsi="黑体"/>
                <w:sz w:val="20"/>
                <w:szCs w:val="20"/>
              </w:rPr>
            </w:pPr>
            <w:r>
              <w:rPr>
                <w:rFonts w:ascii="黑体" w:eastAsia="黑体" w:hAnsi="黑体" w:hint="eastAsia"/>
                <w:sz w:val="20"/>
                <w:szCs w:val="20"/>
              </w:rPr>
              <w:t>TX2REM</w:t>
            </w:r>
          </w:p>
        </w:tc>
        <w:tc>
          <w:tcPr>
            <w:tcW w:w="1560" w:type="dxa"/>
          </w:tcPr>
          <w:p w14:paraId="0D0A3337" w14:textId="77777777" w:rsidR="00A052DC" w:rsidRDefault="009F0A60">
            <w:pPr>
              <w:rPr>
                <w:rFonts w:ascii="黑体" w:eastAsia="黑体" w:hAnsi="黑体"/>
                <w:sz w:val="20"/>
                <w:szCs w:val="20"/>
              </w:rPr>
            </w:pPr>
            <w:r>
              <w:rPr>
                <w:rFonts w:ascii="黑体" w:eastAsia="黑体" w:hAnsi="黑体" w:hint="eastAsia"/>
                <w:sz w:val="20"/>
                <w:szCs w:val="20"/>
              </w:rPr>
              <w:t>交易附言2</w:t>
            </w:r>
          </w:p>
        </w:tc>
        <w:tc>
          <w:tcPr>
            <w:tcW w:w="1417" w:type="dxa"/>
          </w:tcPr>
          <w:p w14:paraId="5B5B7E73" w14:textId="77777777" w:rsidR="00A052DC" w:rsidRDefault="009F0A60">
            <w:pPr>
              <w:rPr>
                <w:rFonts w:ascii="黑体" w:eastAsia="黑体" w:hAnsi="黑体"/>
                <w:sz w:val="20"/>
                <w:szCs w:val="20"/>
              </w:rPr>
            </w:pPr>
            <w:r>
              <w:rPr>
                <w:rFonts w:ascii="黑体" w:eastAsia="黑体" w:hAnsi="黑体" w:hint="eastAsia"/>
                <w:sz w:val="20"/>
                <w:szCs w:val="20"/>
              </w:rPr>
              <w:t>字符型，256</w:t>
            </w:r>
          </w:p>
        </w:tc>
        <w:tc>
          <w:tcPr>
            <w:tcW w:w="3827" w:type="dxa"/>
          </w:tcPr>
          <w:p w14:paraId="600EE7D4" w14:textId="77777777" w:rsidR="00A052DC" w:rsidRDefault="00DD6AA3">
            <w:pPr>
              <w:rPr>
                <w:rFonts w:ascii="黑体" w:eastAsia="黑体" w:hAnsi="黑体"/>
                <w:sz w:val="20"/>
                <w:szCs w:val="20"/>
              </w:rPr>
            </w:pPr>
            <w:r>
              <w:rPr>
                <w:rFonts w:ascii="黑体" w:eastAsia="黑体" w:hAnsi="黑体" w:hint="eastAsia"/>
                <w:sz w:val="20"/>
                <w:szCs w:val="20"/>
              </w:rPr>
              <w:t>非必填项</w:t>
            </w:r>
            <w:r w:rsidR="009F0A60">
              <w:rPr>
                <w:rFonts w:ascii="黑体" w:eastAsia="黑体" w:hAnsi="黑体" w:hint="eastAsia"/>
                <w:sz w:val="20"/>
                <w:szCs w:val="20"/>
              </w:rPr>
              <w:t>，</w:t>
            </w:r>
          </w:p>
          <w:p w14:paraId="36E098FE" w14:textId="77777777" w:rsidR="00A052DC" w:rsidRDefault="009F0A60">
            <w:pPr>
              <w:rPr>
                <w:rFonts w:ascii="黑体" w:eastAsia="黑体" w:hAnsi="黑体"/>
                <w:sz w:val="20"/>
                <w:szCs w:val="20"/>
              </w:rPr>
            </w:pPr>
            <w:r>
              <w:rPr>
                <w:rFonts w:ascii="黑体" w:eastAsia="黑体" w:hAnsi="黑体" w:hint="eastAsia"/>
                <w:sz w:val="20"/>
                <w:szCs w:val="20"/>
              </w:rPr>
              <w:t>有交易编码2时必填。</w:t>
            </w:r>
          </w:p>
        </w:tc>
      </w:tr>
      <w:tr w:rsidR="00A052DC" w14:paraId="38E90DD5" w14:textId="77777777">
        <w:tc>
          <w:tcPr>
            <w:tcW w:w="1843" w:type="dxa"/>
          </w:tcPr>
          <w:p w14:paraId="56DC06BC" w14:textId="77777777" w:rsidR="00A052DC" w:rsidRDefault="009F0A60">
            <w:pPr>
              <w:rPr>
                <w:rFonts w:ascii="黑体" w:eastAsia="黑体" w:hAnsi="黑体"/>
                <w:sz w:val="20"/>
                <w:szCs w:val="20"/>
              </w:rPr>
            </w:pPr>
            <w:r>
              <w:rPr>
                <w:rFonts w:ascii="黑体" w:eastAsia="黑体" w:hAnsi="黑体"/>
                <w:sz w:val="20"/>
                <w:szCs w:val="20"/>
              </w:rPr>
              <w:t>REFNO</w:t>
            </w:r>
          </w:p>
        </w:tc>
        <w:tc>
          <w:tcPr>
            <w:tcW w:w="1560" w:type="dxa"/>
          </w:tcPr>
          <w:p w14:paraId="51FB4DD6" w14:textId="77777777" w:rsidR="00A052DC" w:rsidRDefault="009F0A60">
            <w:pPr>
              <w:rPr>
                <w:rFonts w:ascii="黑体" w:eastAsia="黑体" w:hAnsi="黑体"/>
                <w:sz w:val="20"/>
                <w:szCs w:val="20"/>
              </w:rPr>
            </w:pPr>
            <w:r>
              <w:rPr>
                <w:rFonts w:ascii="黑体" w:eastAsia="黑体" w:hAnsi="黑体" w:hint="eastAsia"/>
                <w:sz w:val="20"/>
                <w:szCs w:val="20"/>
              </w:rPr>
              <w:t>出口收汇核销单号码</w:t>
            </w:r>
          </w:p>
        </w:tc>
        <w:tc>
          <w:tcPr>
            <w:tcW w:w="1417" w:type="dxa"/>
          </w:tcPr>
          <w:p w14:paraId="30E5E807" w14:textId="77777777" w:rsidR="00A052DC" w:rsidRDefault="009F0A60">
            <w:pPr>
              <w:rPr>
                <w:rFonts w:ascii="黑体" w:eastAsia="黑体" w:hAnsi="黑体"/>
                <w:sz w:val="20"/>
                <w:szCs w:val="20"/>
              </w:rPr>
            </w:pPr>
            <w:r>
              <w:rPr>
                <w:rFonts w:ascii="黑体" w:eastAsia="黑体" w:hAnsi="黑体" w:hint="eastAsia"/>
                <w:sz w:val="20"/>
                <w:szCs w:val="20"/>
              </w:rPr>
              <w:t>字符型，9</w:t>
            </w:r>
          </w:p>
        </w:tc>
        <w:tc>
          <w:tcPr>
            <w:tcW w:w="3827" w:type="dxa"/>
          </w:tcPr>
          <w:p w14:paraId="7F0333D9" w14:textId="77777777" w:rsidR="00A052DC" w:rsidRDefault="009F0A60">
            <w:pPr>
              <w:rPr>
                <w:rFonts w:ascii="黑体" w:eastAsia="黑体" w:hAnsi="黑体"/>
                <w:sz w:val="20"/>
                <w:szCs w:val="20"/>
              </w:rPr>
            </w:pPr>
            <w:r>
              <w:rPr>
                <w:rFonts w:ascii="黑体" w:eastAsia="黑体" w:hAnsi="黑体" w:hint="eastAsia"/>
                <w:sz w:val="20"/>
                <w:szCs w:val="20"/>
              </w:rPr>
              <w:t>空，不赋值。</w:t>
            </w:r>
          </w:p>
        </w:tc>
      </w:tr>
      <w:tr w:rsidR="00A052DC" w14:paraId="7947D275" w14:textId="77777777">
        <w:tc>
          <w:tcPr>
            <w:tcW w:w="1843" w:type="dxa"/>
          </w:tcPr>
          <w:p w14:paraId="5FC483E9" w14:textId="77777777" w:rsidR="00A052DC" w:rsidRDefault="009F0A60">
            <w:pPr>
              <w:rPr>
                <w:rFonts w:ascii="黑体" w:eastAsia="黑体" w:hAnsi="黑体"/>
                <w:sz w:val="20"/>
                <w:szCs w:val="20"/>
              </w:rPr>
            </w:pPr>
            <w:r>
              <w:rPr>
                <w:rFonts w:ascii="黑体" w:eastAsia="黑体" w:hAnsi="黑体"/>
                <w:sz w:val="20"/>
                <w:szCs w:val="20"/>
              </w:rPr>
              <w:t>CHKAMT</w:t>
            </w:r>
          </w:p>
        </w:tc>
        <w:tc>
          <w:tcPr>
            <w:tcW w:w="1560" w:type="dxa"/>
          </w:tcPr>
          <w:p w14:paraId="11057231" w14:textId="77777777" w:rsidR="00A052DC" w:rsidRDefault="009F0A60">
            <w:pPr>
              <w:rPr>
                <w:rFonts w:ascii="黑体" w:eastAsia="黑体" w:hAnsi="黑体"/>
                <w:sz w:val="20"/>
                <w:szCs w:val="20"/>
              </w:rPr>
            </w:pPr>
            <w:r>
              <w:rPr>
                <w:rFonts w:ascii="黑体" w:eastAsia="黑体" w:hAnsi="黑体" w:hint="eastAsia"/>
                <w:sz w:val="20"/>
                <w:szCs w:val="20"/>
              </w:rPr>
              <w:t>收汇总金额中用于出口核销的金额</w:t>
            </w:r>
          </w:p>
        </w:tc>
        <w:tc>
          <w:tcPr>
            <w:tcW w:w="1417" w:type="dxa"/>
          </w:tcPr>
          <w:p w14:paraId="18FA6E89" w14:textId="77777777" w:rsidR="00A052DC" w:rsidRDefault="009F0A60">
            <w:pPr>
              <w:rPr>
                <w:rFonts w:ascii="黑体" w:eastAsia="黑体" w:hAnsi="黑体"/>
                <w:sz w:val="20"/>
                <w:szCs w:val="20"/>
              </w:rPr>
            </w:pPr>
            <w:r>
              <w:rPr>
                <w:rFonts w:ascii="黑体" w:eastAsia="黑体" w:hAnsi="黑体" w:hint="eastAsia"/>
                <w:sz w:val="20"/>
                <w:szCs w:val="20"/>
              </w:rPr>
              <w:t>数值型，22.0</w:t>
            </w:r>
          </w:p>
        </w:tc>
        <w:tc>
          <w:tcPr>
            <w:tcW w:w="3827" w:type="dxa"/>
          </w:tcPr>
          <w:p w14:paraId="5A6F421A" w14:textId="77777777" w:rsidR="00A052DC" w:rsidRDefault="009F0A60">
            <w:pPr>
              <w:rPr>
                <w:rFonts w:ascii="黑体" w:eastAsia="黑体" w:hAnsi="黑体"/>
                <w:sz w:val="20"/>
                <w:szCs w:val="20"/>
              </w:rPr>
            </w:pPr>
            <w:r>
              <w:rPr>
                <w:rFonts w:ascii="黑体" w:eastAsia="黑体" w:hAnsi="黑体" w:hint="eastAsia"/>
                <w:sz w:val="20"/>
                <w:szCs w:val="20"/>
              </w:rPr>
              <w:t>空，不赋值。</w:t>
            </w:r>
          </w:p>
        </w:tc>
      </w:tr>
      <w:tr w:rsidR="00A052DC" w14:paraId="56428A8E" w14:textId="77777777">
        <w:tc>
          <w:tcPr>
            <w:tcW w:w="1843" w:type="dxa"/>
          </w:tcPr>
          <w:p w14:paraId="5361CBBD" w14:textId="77777777" w:rsidR="00A052DC" w:rsidRDefault="009F0A60">
            <w:pPr>
              <w:rPr>
                <w:rFonts w:ascii="黑体" w:eastAsia="黑体" w:hAnsi="黑体"/>
                <w:sz w:val="20"/>
                <w:szCs w:val="20"/>
              </w:rPr>
            </w:pPr>
            <w:r>
              <w:rPr>
                <w:rFonts w:ascii="黑体" w:eastAsia="黑体" w:hAnsi="黑体" w:hint="eastAsia"/>
                <w:sz w:val="20"/>
                <w:szCs w:val="20"/>
              </w:rPr>
              <w:t>CRTUSER</w:t>
            </w:r>
          </w:p>
        </w:tc>
        <w:tc>
          <w:tcPr>
            <w:tcW w:w="1560" w:type="dxa"/>
          </w:tcPr>
          <w:p w14:paraId="69D1E79A" w14:textId="77777777" w:rsidR="00A052DC" w:rsidRDefault="009F0A60">
            <w:pPr>
              <w:rPr>
                <w:rFonts w:ascii="黑体" w:eastAsia="黑体" w:hAnsi="黑体"/>
                <w:sz w:val="20"/>
                <w:szCs w:val="20"/>
              </w:rPr>
            </w:pPr>
            <w:r>
              <w:rPr>
                <w:rFonts w:ascii="黑体" w:eastAsia="黑体" w:hAnsi="黑体" w:hint="eastAsia"/>
                <w:sz w:val="20"/>
                <w:szCs w:val="20"/>
              </w:rPr>
              <w:t>填报人</w:t>
            </w:r>
          </w:p>
        </w:tc>
        <w:tc>
          <w:tcPr>
            <w:tcW w:w="1417" w:type="dxa"/>
          </w:tcPr>
          <w:p w14:paraId="34AEE5E6" w14:textId="77777777" w:rsidR="00A052DC" w:rsidRDefault="009F0A60">
            <w:pPr>
              <w:rPr>
                <w:rFonts w:ascii="黑体" w:eastAsia="黑体" w:hAnsi="黑体"/>
                <w:sz w:val="20"/>
                <w:szCs w:val="20"/>
              </w:rPr>
            </w:pPr>
            <w:r>
              <w:rPr>
                <w:rFonts w:ascii="黑体" w:eastAsia="黑体" w:hAnsi="黑体" w:hint="eastAsia"/>
                <w:sz w:val="20"/>
                <w:szCs w:val="20"/>
              </w:rPr>
              <w:t>字符型，20</w:t>
            </w:r>
          </w:p>
        </w:tc>
        <w:tc>
          <w:tcPr>
            <w:tcW w:w="3827" w:type="dxa"/>
          </w:tcPr>
          <w:p w14:paraId="34B6720F"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r w:rsidR="00A052DC" w14:paraId="06653271" w14:textId="77777777">
        <w:tc>
          <w:tcPr>
            <w:tcW w:w="1843" w:type="dxa"/>
          </w:tcPr>
          <w:p w14:paraId="51CA5302" w14:textId="77777777" w:rsidR="00A052DC" w:rsidRDefault="009F0A60">
            <w:pPr>
              <w:rPr>
                <w:rFonts w:ascii="黑体" w:eastAsia="黑体" w:hAnsi="黑体"/>
                <w:sz w:val="20"/>
                <w:szCs w:val="20"/>
              </w:rPr>
            </w:pPr>
            <w:r>
              <w:rPr>
                <w:rFonts w:ascii="黑体" w:eastAsia="黑体" w:hAnsi="黑体" w:hint="eastAsia"/>
                <w:sz w:val="20"/>
                <w:szCs w:val="20"/>
              </w:rPr>
              <w:t>INPTELC</w:t>
            </w:r>
          </w:p>
        </w:tc>
        <w:tc>
          <w:tcPr>
            <w:tcW w:w="1560" w:type="dxa"/>
          </w:tcPr>
          <w:p w14:paraId="59DF635E" w14:textId="77777777" w:rsidR="00A052DC" w:rsidRDefault="009F0A60">
            <w:pPr>
              <w:rPr>
                <w:rFonts w:ascii="黑体" w:eastAsia="黑体" w:hAnsi="黑体"/>
                <w:sz w:val="20"/>
                <w:szCs w:val="20"/>
              </w:rPr>
            </w:pPr>
            <w:r>
              <w:rPr>
                <w:rFonts w:ascii="黑体" w:eastAsia="黑体" w:hAnsi="黑体" w:hint="eastAsia"/>
                <w:sz w:val="20"/>
                <w:szCs w:val="20"/>
              </w:rPr>
              <w:t>填报人电话</w:t>
            </w:r>
          </w:p>
        </w:tc>
        <w:tc>
          <w:tcPr>
            <w:tcW w:w="1417" w:type="dxa"/>
          </w:tcPr>
          <w:p w14:paraId="69F3FFB6" w14:textId="77777777" w:rsidR="00A052DC" w:rsidRDefault="009F0A60">
            <w:pPr>
              <w:rPr>
                <w:rFonts w:ascii="黑体" w:eastAsia="黑体" w:hAnsi="黑体"/>
                <w:sz w:val="20"/>
                <w:szCs w:val="20"/>
              </w:rPr>
            </w:pPr>
            <w:r>
              <w:rPr>
                <w:rFonts w:ascii="黑体" w:eastAsia="黑体" w:hAnsi="黑体" w:hint="eastAsia"/>
                <w:sz w:val="20"/>
                <w:szCs w:val="20"/>
              </w:rPr>
              <w:t>字符型，20</w:t>
            </w:r>
          </w:p>
        </w:tc>
        <w:tc>
          <w:tcPr>
            <w:tcW w:w="3827" w:type="dxa"/>
          </w:tcPr>
          <w:p w14:paraId="50A5DEE7"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r w:rsidR="00A052DC" w14:paraId="37560B19" w14:textId="77777777">
        <w:tc>
          <w:tcPr>
            <w:tcW w:w="1843" w:type="dxa"/>
            <w:tcBorders>
              <w:top w:val="single" w:sz="4" w:space="0" w:color="auto"/>
              <w:left w:val="single" w:sz="4" w:space="0" w:color="auto"/>
              <w:bottom w:val="single" w:sz="4" w:space="0" w:color="auto"/>
              <w:right w:val="single" w:sz="4" w:space="0" w:color="auto"/>
            </w:tcBorders>
          </w:tcPr>
          <w:p w14:paraId="734CC974" w14:textId="77777777" w:rsidR="00A052DC" w:rsidRDefault="009F0A60">
            <w:pPr>
              <w:rPr>
                <w:rFonts w:ascii="黑体" w:eastAsia="黑体" w:hAnsi="黑体"/>
                <w:sz w:val="20"/>
                <w:szCs w:val="20"/>
              </w:rPr>
            </w:pPr>
            <w:r>
              <w:rPr>
                <w:rFonts w:ascii="黑体" w:eastAsia="黑体" w:hAnsi="黑体" w:hint="eastAsia"/>
                <w:sz w:val="20"/>
                <w:szCs w:val="20"/>
              </w:rPr>
              <w:t>RPTDATE</w:t>
            </w:r>
          </w:p>
        </w:tc>
        <w:tc>
          <w:tcPr>
            <w:tcW w:w="1560" w:type="dxa"/>
            <w:tcBorders>
              <w:top w:val="single" w:sz="4" w:space="0" w:color="auto"/>
              <w:left w:val="single" w:sz="4" w:space="0" w:color="auto"/>
              <w:bottom w:val="single" w:sz="4" w:space="0" w:color="auto"/>
              <w:right w:val="single" w:sz="4" w:space="0" w:color="auto"/>
            </w:tcBorders>
          </w:tcPr>
          <w:p w14:paraId="63D94E04" w14:textId="77777777" w:rsidR="00A052DC" w:rsidRDefault="009F0A60">
            <w:pPr>
              <w:rPr>
                <w:rFonts w:ascii="黑体" w:eastAsia="黑体" w:hAnsi="黑体"/>
                <w:sz w:val="20"/>
                <w:szCs w:val="20"/>
              </w:rPr>
            </w:pPr>
            <w:r>
              <w:rPr>
                <w:rFonts w:ascii="黑体" w:eastAsia="黑体" w:hAnsi="黑体" w:hint="eastAsia"/>
                <w:sz w:val="20"/>
                <w:szCs w:val="20"/>
              </w:rPr>
              <w:t>申报日期</w:t>
            </w:r>
          </w:p>
        </w:tc>
        <w:tc>
          <w:tcPr>
            <w:tcW w:w="1417" w:type="dxa"/>
            <w:tcBorders>
              <w:top w:val="single" w:sz="4" w:space="0" w:color="auto"/>
              <w:left w:val="single" w:sz="4" w:space="0" w:color="auto"/>
              <w:bottom w:val="single" w:sz="4" w:space="0" w:color="auto"/>
              <w:right w:val="single" w:sz="4" w:space="0" w:color="auto"/>
            </w:tcBorders>
          </w:tcPr>
          <w:p w14:paraId="2292D86E" w14:textId="77777777" w:rsidR="00A052DC" w:rsidRDefault="009F0A60">
            <w:pPr>
              <w:rPr>
                <w:rFonts w:ascii="黑体" w:eastAsia="黑体" w:hAnsi="黑体"/>
                <w:sz w:val="20"/>
                <w:szCs w:val="20"/>
              </w:rPr>
            </w:pPr>
            <w:r>
              <w:rPr>
                <w:rFonts w:ascii="黑体" w:eastAsia="黑体" w:hAnsi="黑体" w:hint="eastAsia"/>
                <w:sz w:val="20"/>
                <w:szCs w:val="20"/>
              </w:rPr>
              <w:t>日期型，8</w:t>
            </w:r>
          </w:p>
          <w:p w14:paraId="7685B9CB" w14:textId="77777777" w:rsidR="00A052DC" w:rsidRDefault="009F0A60">
            <w:pPr>
              <w:rPr>
                <w:rFonts w:ascii="黑体" w:eastAsia="黑体" w:hAnsi="黑体"/>
                <w:sz w:val="20"/>
                <w:szCs w:val="20"/>
              </w:rPr>
            </w:pPr>
            <w:r>
              <w:rPr>
                <w:rFonts w:ascii="黑体" w:eastAsia="黑体" w:hAnsi="黑体" w:hint="eastAsia"/>
                <w:sz w:val="20"/>
                <w:szCs w:val="20"/>
              </w:rPr>
              <w:t>YYYYMMDD</w:t>
            </w:r>
          </w:p>
        </w:tc>
        <w:tc>
          <w:tcPr>
            <w:tcW w:w="3827" w:type="dxa"/>
            <w:tcBorders>
              <w:top w:val="single" w:sz="4" w:space="0" w:color="auto"/>
              <w:left w:val="single" w:sz="4" w:space="0" w:color="auto"/>
              <w:bottom w:val="single" w:sz="4" w:space="0" w:color="auto"/>
              <w:right w:val="single" w:sz="4" w:space="0" w:color="auto"/>
            </w:tcBorders>
          </w:tcPr>
          <w:p w14:paraId="033585AE" w14:textId="77777777" w:rsidR="00A052DC" w:rsidRDefault="009F0A60">
            <w:pPr>
              <w:rPr>
                <w:rFonts w:ascii="黑体" w:eastAsia="黑体" w:hAnsi="黑体"/>
                <w:sz w:val="20"/>
                <w:szCs w:val="20"/>
              </w:rPr>
            </w:pPr>
            <w:r>
              <w:rPr>
                <w:rFonts w:ascii="黑体" w:eastAsia="黑体" w:hAnsi="黑体" w:hint="eastAsia"/>
                <w:sz w:val="20"/>
                <w:szCs w:val="20"/>
              </w:rPr>
              <w:t>必填项，按申报主体真实申报日期填写。</w:t>
            </w:r>
          </w:p>
        </w:tc>
      </w:tr>
      <w:tr w:rsidR="00A052DC" w14:paraId="422E84C4" w14:textId="77777777">
        <w:tc>
          <w:tcPr>
            <w:tcW w:w="1843" w:type="dxa"/>
            <w:tcBorders>
              <w:top w:val="single" w:sz="4" w:space="0" w:color="auto"/>
              <w:left w:val="single" w:sz="4" w:space="0" w:color="auto"/>
              <w:bottom w:val="single" w:sz="4" w:space="0" w:color="auto"/>
              <w:right w:val="single" w:sz="4" w:space="0" w:color="auto"/>
            </w:tcBorders>
          </w:tcPr>
          <w:p w14:paraId="7AF4A256" w14:textId="77777777" w:rsidR="00A052DC" w:rsidRDefault="009F0A60">
            <w:pPr>
              <w:rPr>
                <w:rFonts w:ascii="黑体" w:eastAsia="黑体" w:hAnsi="黑体"/>
                <w:sz w:val="20"/>
                <w:szCs w:val="20"/>
              </w:rPr>
            </w:pPr>
            <w:r>
              <w:rPr>
                <w:rFonts w:ascii="黑体" w:eastAsia="黑体" w:hAnsi="黑体" w:hint="eastAsia"/>
                <w:sz w:val="20"/>
                <w:szCs w:val="20"/>
              </w:rPr>
              <w:t>REGNO</w:t>
            </w:r>
          </w:p>
        </w:tc>
        <w:tc>
          <w:tcPr>
            <w:tcW w:w="1560" w:type="dxa"/>
            <w:tcBorders>
              <w:top w:val="single" w:sz="4" w:space="0" w:color="auto"/>
              <w:left w:val="single" w:sz="4" w:space="0" w:color="auto"/>
              <w:bottom w:val="single" w:sz="4" w:space="0" w:color="auto"/>
              <w:right w:val="single" w:sz="4" w:space="0" w:color="auto"/>
            </w:tcBorders>
          </w:tcPr>
          <w:p w14:paraId="1604AF70" w14:textId="77777777" w:rsidR="00A052DC" w:rsidRDefault="009F0A60">
            <w:pPr>
              <w:rPr>
                <w:rFonts w:ascii="黑体" w:eastAsia="黑体" w:hAnsi="黑体"/>
                <w:sz w:val="20"/>
                <w:szCs w:val="20"/>
              </w:rPr>
            </w:pPr>
            <w:r>
              <w:rPr>
                <w:rFonts w:ascii="黑体" w:eastAsia="黑体" w:hAnsi="黑体" w:hint="eastAsia"/>
                <w:sz w:val="20"/>
                <w:szCs w:val="20"/>
              </w:rPr>
              <w:t>外汇局批件号</w:t>
            </w:r>
          </w:p>
          <w:p w14:paraId="4CCB0845" w14:textId="77777777" w:rsidR="00A052DC" w:rsidRDefault="009F0A60">
            <w:pPr>
              <w:rPr>
                <w:rFonts w:ascii="黑体" w:eastAsia="黑体" w:hAnsi="黑体"/>
                <w:sz w:val="20"/>
                <w:szCs w:val="20"/>
              </w:rPr>
            </w:pPr>
            <w:r>
              <w:rPr>
                <w:rFonts w:ascii="黑体" w:eastAsia="黑体" w:hAnsi="黑体" w:hint="eastAsia"/>
                <w:sz w:val="20"/>
                <w:szCs w:val="20"/>
              </w:rPr>
              <w:t>/登记表号/业务编号</w:t>
            </w:r>
          </w:p>
        </w:tc>
        <w:tc>
          <w:tcPr>
            <w:tcW w:w="1417" w:type="dxa"/>
            <w:tcBorders>
              <w:top w:val="single" w:sz="4" w:space="0" w:color="auto"/>
              <w:left w:val="single" w:sz="4" w:space="0" w:color="auto"/>
              <w:bottom w:val="single" w:sz="4" w:space="0" w:color="auto"/>
              <w:right w:val="single" w:sz="4" w:space="0" w:color="auto"/>
            </w:tcBorders>
          </w:tcPr>
          <w:p w14:paraId="24091BD4" w14:textId="77777777" w:rsidR="00A052DC" w:rsidRDefault="009F0A60">
            <w:pPr>
              <w:rPr>
                <w:rFonts w:ascii="黑体" w:eastAsia="黑体" w:hAnsi="黑体"/>
                <w:sz w:val="20"/>
                <w:szCs w:val="20"/>
              </w:rPr>
            </w:pPr>
            <w:r>
              <w:rPr>
                <w:rFonts w:ascii="黑体" w:eastAsia="黑体" w:hAnsi="黑体" w:hint="eastAsia"/>
                <w:sz w:val="20"/>
                <w:szCs w:val="20"/>
              </w:rPr>
              <w:t>字符型，20</w:t>
            </w:r>
          </w:p>
        </w:tc>
        <w:tc>
          <w:tcPr>
            <w:tcW w:w="3827" w:type="dxa"/>
            <w:tcBorders>
              <w:top w:val="single" w:sz="4" w:space="0" w:color="auto"/>
              <w:left w:val="single" w:sz="4" w:space="0" w:color="auto"/>
              <w:bottom w:val="single" w:sz="4" w:space="0" w:color="auto"/>
              <w:right w:val="single" w:sz="4" w:space="0" w:color="auto"/>
            </w:tcBorders>
          </w:tcPr>
          <w:p w14:paraId="0C7D68EA" w14:textId="77777777" w:rsidR="00A052DC" w:rsidRDefault="00DD6AA3">
            <w:pPr>
              <w:rPr>
                <w:rFonts w:ascii="黑体" w:eastAsia="黑体" w:hAnsi="黑体"/>
                <w:sz w:val="20"/>
                <w:szCs w:val="20"/>
              </w:rPr>
            </w:pPr>
            <w:r>
              <w:rPr>
                <w:rFonts w:ascii="黑体" w:eastAsia="黑体" w:hAnsi="黑体" w:hint="eastAsia"/>
                <w:sz w:val="20"/>
                <w:szCs w:val="20"/>
              </w:rPr>
              <w:t>非必填项</w:t>
            </w:r>
            <w:r w:rsidR="009F0A60">
              <w:rPr>
                <w:rFonts w:ascii="黑体" w:eastAsia="黑体" w:hAnsi="黑体" w:hint="eastAsia"/>
                <w:sz w:val="20"/>
                <w:szCs w:val="20"/>
              </w:rPr>
              <w:t>，交易编码以“3”、“5”、“6”、“7”、“8”和部分“2”、“9”开头或涉及账户性质为资本项目性质账户的，“外汇局批件号/备案表号/业务编号”为必填项，填写规则参见《银行资本项目下数据报送参考规则》；对于《银行资本项目下数据报送参考规则》中未提到的情况，且不需要外汇局核准的（即确实没有对应的“外汇局批件号/备案表号/业务编号”），则应填写“N/A”（大写英文字母）。</w:t>
            </w:r>
          </w:p>
        </w:tc>
      </w:tr>
    </w:tbl>
    <w:p w14:paraId="0DA8300B" w14:textId="77777777" w:rsidR="00A052DC" w:rsidRDefault="009F0A60">
      <w:pPr>
        <w:pStyle w:val="3"/>
        <w:ind w:left="0"/>
        <w:rPr>
          <w:rFonts w:ascii="Times New Roman" w:hAnsi="Times New Roman"/>
        </w:rPr>
      </w:pPr>
      <w:bookmarkStart w:id="1045" w:name="_Toc454378139"/>
      <w:bookmarkStart w:id="1046" w:name="_Toc455152770"/>
      <w:bookmarkStart w:id="1047" w:name="_Toc454780128"/>
      <w:bookmarkStart w:id="1048" w:name="_Toc454395058"/>
      <w:bookmarkStart w:id="1049" w:name="_Toc455156498"/>
      <w:bookmarkStart w:id="1050" w:name="_Toc454454834"/>
      <w:bookmarkStart w:id="1051" w:name="_Toc454464751"/>
      <w:bookmarkStart w:id="1052" w:name="_Toc454386796"/>
      <w:bookmarkStart w:id="1053" w:name="_Toc455156499"/>
      <w:bookmarkStart w:id="1054" w:name="_Toc455163950"/>
      <w:bookmarkStart w:id="1055" w:name="_Toc454780129"/>
      <w:bookmarkStart w:id="1056" w:name="_Toc455152771"/>
      <w:bookmarkStart w:id="1057" w:name="_Toc454464752"/>
      <w:bookmarkStart w:id="1058" w:name="_Toc454395059"/>
      <w:bookmarkStart w:id="1059" w:name="_Toc454454835"/>
      <w:bookmarkStart w:id="1060" w:name="_Toc455167675"/>
      <w:bookmarkStart w:id="1061" w:name="_Toc454378140"/>
      <w:bookmarkStart w:id="1062" w:name="_Toc454386797"/>
      <w:bookmarkStart w:id="1063" w:name="_Toc455163949"/>
      <w:bookmarkStart w:id="1064" w:name="_Toc455167674"/>
      <w:bookmarkStart w:id="1065" w:name="_Toc380356247"/>
      <w:bookmarkStart w:id="1066" w:name="_Toc91455276"/>
      <w:bookmarkStart w:id="1067" w:name="_Toc454386798"/>
      <w:bookmarkStart w:id="1068" w:name="_Toc101684449"/>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r>
        <w:rPr>
          <w:rFonts w:ascii="Times New Roman" w:hAnsi="Times New Roman" w:hint="eastAsia"/>
        </w:rPr>
        <w:t>境内汇款申请书</w:t>
      </w:r>
      <w:r>
        <w:rPr>
          <w:rFonts w:ascii="Times New Roman" w:hAnsi="Times New Roman"/>
        </w:rPr>
        <w:t>-</w:t>
      </w:r>
      <w:r>
        <w:rPr>
          <w:rFonts w:ascii="Times New Roman" w:hAnsi="Times New Roman" w:hint="eastAsia"/>
        </w:rPr>
        <w:t>基础信息</w:t>
      </w:r>
      <w:bookmarkEnd w:id="1065"/>
      <w:bookmarkEnd w:id="1066"/>
      <w:bookmarkEnd w:id="1067"/>
      <w:bookmarkEnd w:id="1068"/>
    </w:p>
    <w:p w14:paraId="0847CB80" w14:textId="77777777" w:rsidR="00A052DC" w:rsidRDefault="009F0A60" w:rsidP="0020251D">
      <w:pPr>
        <w:pStyle w:val="4"/>
        <w:numPr>
          <w:ilvl w:val="3"/>
          <w:numId w:val="1"/>
        </w:numPr>
        <w:jc w:val="left"/>
      </w:pPr>
      <w:bookmarkStart w:id="1069" w:name="_Toc132432524"/>
      <w:bookmarkStart w:id="1070" w:name="_Toc454386799"/>
      <w:bookmarkStart w:id="1071" w:name="_Toc310598071"/>
      <w:r>
        <w:rPr>
          <w:rFonts w:hint="eastAsia"/>
        </w:rPr>
        <w:t>数据格式</w:t>
      </w:r>
      <w:bookmarkEnd w:id="1069"/>
      <w:bookmarkEnd w:id="1070"/>
      <w:bookmarkEnd w:id="1071"/>
    </w:p>
    <w:p w14:paraId="45569523" w14:textId="77777777" w:rsidR="00A052DC" w:rsidRDefault="009F0A60">
      <w:r>
        <w:t>&lt;REC&gt;</w:t>
      </w:r>
    </w:p>
    <w:p w14:paraId="25A43CED" w14:textId="77777777" w:rsidR="00A052DC" w:rsidRDefault="009F0A60">
      <w:r>
        <w:t>&lt;ACTIONTYPE&gt;</w:t>
      </w:r>
      <w:r>
        <w:rPr>
          <w:rFonts w:hint="eastAsia"/>
        </w:rPr>
        <w:t>操作类型</w:t>
      </w:r>
      <w:r>
        <w:t>&lt;/ACTIONTYPE&gt;</w:t>
      </w:r>
    </w:p>
    <w:p w14:paraId="28C22871" w14:textId="77777777" w:rsidR="00A052DC" w:rsidRDefault="009F0A60">
      <w:r>
        <w:t>&lt;ACTIONDESC&gt;</w:t>
      </w:r>
      <w:r>
        <w:rPr>
          <w:rFonts w:hint="eastAsia"/>
        </w:rPr>
        <w:t>修改</w:t>
      </w:r>
      <w:r>
        <w:t>/</w:t>
      </w:r>
      <w:r>
        <w:rPr>
          <w:rFonts w:hint="eastAsia"/>
        </w:rPr>
        <w:t>删除原因</w:t>
      </w:r>
      <w:r>
        <w:t>/</w:t>
      </w:r>
      <w:r>
        <w:rPr>
          <w:rFonts w:hint="eastAsia"/>
        </w:rPr>
        <w:t>申报无误理由</w:t>
      </w:r>
      <w:r>
        <w:t>&lt;/ACTIONDESC&gt;</w:t>
      </w:r>
    </w:p>
    <w:p w14:paraId="3B963072" w14:textId="77777777" w:rsidR="00A052DC" w:rsidRDefault="009F0A60">
      <w:r>
        <w:t>&lt;RPTNO&gt;</w:t>
      </w:r>
      <w:r>
        <w:rPr>
          <w:rFonts w:hint="eastAsia"/>
        </w:rPr>
        <w:t>申报号码</w:t>
      </w:r>
      <w:r>
        <w:t>&lt;/RPTNO&gt;</w:t>
      </w:r>
    </w:p>
    <w:p w14:paraId="0BCD6480" w14:textId="77777777" w:rsidR="00A052DC" w:rsidRDefault="009F0A60">
      <w:r>
        <w:t>&lt;CUSTYPE&gt;</w:t>
      </w:r>
      <w:r>
        <w:rPr>
          <w:rFonts w:hint="eastAsia"/>
        </w:rPr>
        <w:t>汇款人类型</w:t>
      </w:r>
      <w:r>
        <w:t>&lt;/CUSTYPE&gt;</w:t>
      </w:r>
    </w:p>
    <w:p w14:paraId="6195493B" w14:textId="77777777" w:rsidR="00A052DC" w:rsidRDefault="009F0A60">
      <w:r>
        <w:t>&lt;IDCODE&gt;</w:t>
      </w:r>
      <w:r>
        <w:rPr>
          <w:rFonts w:hint="eastAsia"/>
        </w:rPr>
        <w:t>个人身份证件号码</w:t>
      </w:r>
      <w:r>
        <w:t>&lt;/IDCODE&gt;</w:t>
      </w:r>
    </w:p>
    <w:p w14:paraId="37274842" w14:textId="77777777" w:rsidR="00A052DC" w:rsidRDefault="009F0A60">
      <w:r>
        <w:t>&lt;CUSTCOD&gt;</w:t>
      </w:r>
      <w:r>
        <w:rPr>
          <w:rFonts w:hint="eastAsia"/>
        </w:rPr>
        <w:t>主体标识码</w:t>
      </w:r>
      <w:r>
        <w:t>&lt;/CUSTCOD&gt;</w:t>
      </w:r>
    </w:p>
    <w:p w14:paraId="790BCE0F" w14:textId="77777777" w:rsidR="00A052DC" w:rsidRDefault="009F0A60">
      <w:r>
        <w:t>&lt;CUSTNM&gt;</w:t>
      </w:r>
      <w:r>
        <w:rPr>
          <w:rFonts w:hint="eastAsia"/>
        </w:rPr>
        <w:t>汇款人名称</w:t>
      </w:r>
      <w:r>
        <w:t>&lt;/CUSTNM&gt;</w:t>
      </w:r>
    </w:p>
    <w:p w14:paraId="54ED1D98" w14:textId="77777777" w:rsidR="00A052DC" w:rsidRDefault="009F0A60">
      <w:r>
        <w:t>&lt;OPPUSER&gt;</w:t>
      </w:r>
      <w:r>
        <w:rPr>
          <w:rFonts w:hint="eastAsia"/>
        </w:rPr>
        <w:t>收款人名称</w:t>
      </w:r>
      <w:r>
        <w:t>&lt;/OPPUSER&gt;</w:t>
      </w:r>
    </w:p>
    <w:p w14:paraId="27952BB5" w14:textId="77777777" w:rsidR="00A052DC" w:rsidRDefault="009F0A60">
      <w:r>
        <w:t>&lt;OPPACC&gt;</w:t>
      </w:r>
      <w:r>
        <w:rPr>
          <w:rFonts w:hint="eastAsia"/>
        </w:rPr>
        <w:t>收款人账号</w:t>
      </w:r>
      <w:r>
        <w:t>&lt;/OPPACC&gt;</w:t>
      </w:r>
    </w:p>
    <w:p w14:paraId="20BA9047" w14:textId="77777777" w:rsidR="00A052DC" w:rsidRDefault="009F0A60">
      <w:r>
        <w:t>&lt;TXCCY&gt;</w:t>
      </w:r>
      <w:r>
        <w:rPr>
          <w:rFonts w:hint="eastAsia"/>
        </w:rPr>
        <w:t>汇款币种</w:t>
      </w:r>
      <w:r>
        <w:t>&lt;/TXCCY&gt;</w:t>
      </w:r>
    </w:p>
    <w:p w14:paraId="303DBF3F" w14:textId="77777777" w:rsidR="00A052DC" w:rsidRDefault="009F0A60">
      <w:r>
        <w:t>&lt;TXAMT&gt;</w:t>
      </w:r>
      <w:r>
        <w:rPr>
          <w:rFonts w:hint="eastAsia"/>
        </w:rPr>
        <w:t>汇款金额</w:t>
      </w:r>
      <w:r>
        <w:t>&lt;/TXAMT&gt;</w:t>
      </w:r>
    </w:p>
    <w:p w14:paraId="4BDEAA5B" w14:textId="77777777" w:rsidR="00A052DC" w:rsidRDefault="009F0A60">
      <w:r>
        <w:t>&lt;EXRATE&gt;</w:t>
      </w:r>
      <w:r>
        <w:rPr>
          <w:rFonts w:hint="eastAsia"/>
        </w:rPr>
        <w:t>购汇汇率</w:t>
      </w:r>
      <w:r>
        <w:t>&lt;/EXRATE&gt;</w:t>
      </w:r>
    </w:p>
    <w:p w14:paraId="383A3010" w14:textId="77777777" w:rsidR="00A052DC" w:rsidRDefault="009F0A60">
      <w:r>
        <w:t>&lt;LCYAMT&gt;</w:t>
      </w:r>
      <w:r>
        <w:rPr>
          <w:rFonts w:hint="eastAsia"/>
        </w:rPr>
        <w:t>购汇金额</w:t>
      </w:r>
      <w:r>
        <w:t>&lt;/LCYAMT&gt;</w:t>
      </w:r>
    </w:p>
    <w:p w14:paraId="2B52A8D6" w14:textId="77777777" w:rsidR="00A052DC" w:rsidRDefault="009F0A60">
      <w:r>
        <w:t>&lt;LCYACC&gt;</w:t>
      </w:r>
      <w:r>
        <w:rPr>
          <w:rFonts w:hint="eastAsia"/>
        </w:rPr>
        <w:t>人民币账号</w:t>
      </w:r>
      <w:r>
        <w:t>/</w:t>
      </w:r>
      <w:r>
        <w:rPr>
          <w:rFonts w:hint="eastAsia"/>
        </w:rPr>
        <w:t>银行卡号</w:t>
      </w:r>
      <w:r>
        <w:t>&lt;/LCYACC&gt;</w:t>
      </w:r>
    </w:p>
    <w:p w14:paraId="1D23D71C" w14:textId="77777777" w:rsidR="00A052DC" w:rsidRDefault="009F0A60">
      <w:r>
        <w:t>&lt;FCYAMT&gt;</w:t>
      </w:r>
      <w:r>
        <w:rPr>
          <w:rFonts w:hint="eastAsia"/>
        </w:rPr>
        <w:t>现汇金额</w:t>
      </w:r>
      <w:r>
        <w:t>&lt;/FCYAMT&gt;</w:t>
      </w:r>
    </w:p>
    <w:p w14:paraId="03001DF3" w14:textId="77777777" w:rsidR="00A052DC" w:rsidRDefault="009F0A60">
      <w:r>
        <w:t>&lt;FCYACC&gt;</w:t>
      </w:r>
      <w:r>
        <w:rPr>
          <w:rFonts w:hint="eastAsia"/>
        </w:rPr>
        <w:t>外汇账号</w:t>
      </w:r>
      <w:r>
        <w:t>/</w:t>
      </w:r>
      <w:r>
        <w:rPr>
          <w:rFonts w:hint="eastAsia"/>
        </w:rPr>
        <w:t>银行卡号</w:t>
      </w:r>
      <w:r>
        <w:t>&lt;/FCYACC&gt;</w:t>
      </w:r>
    </w:p>
    <w:p w14:paraId="36899F69" w14:textId="77777777" w:rsidR="00A052DC" w:rsidRDefault="009F0A60">
      <w:r>
        <w:t>&lt;OTHAMT&gt;</w:t>
      </w:r>
      <w:r w:rsidR="0021563C">
        <w:rPr>
          <w:rFonts w:hint="eastAsia"/>
        </w:rPr>
        <w:t>其他</w:t>
      </w:r>
      <w:r>
        <w:rPr>
          <w:rFonts w:hint="eastAsia"/>
        </w:rPr>
        <w:t>金额</w:t>
      </w:r>
      <w:r>
        <w:t>&lt;/OTHAMT&gt;</w:t>
      </w:r>
    </w:p>
    <w:p w14:paraId="58B55876" w14:textId="77777777" w:rsidR="00A052DC" w:rsidRDefault="009F0A60">
      <w:r>
        <w:t>&lt;OTHACC&gt;</w:t>
      </w:r>
      <w:r w:rsidR="0021563C">
        <w:rPr>
          <w:rFonts w:hint="eastAsia"/>
        </w:rPr>
        <w:t>其他</w:t>
      </w:r>
      <w:r>
        <w:rPr>
          <w:rFonts w:hint="eastAsia"/>
        </w:rPr>
        <w:t>账号</w:t>
      </w:r>
      <w:r>
        <w:t>/</w:t>
      </w:r>
      <w:r>
        <w:rPr>
          <w:rFonts w:hint="eastAsia"/>
        </w:rPr>
        <w:t>银行卡号</w:t>
      </w:r>
      <w:r>
        <w:t>&lt;/OTHACC&gt;</w:t>
      </w:r>
    </w:p>
    <w:p w14:paraId="400F8521" w14:textId="77777777" w:rsidR="00A052DC" w:rsidRDefault="009F0A60">
      <w:r>
        <w:t>&lt;METHOD&gt;</w:t>
      </w:r>
      <w:r>
        <w:rPr>
          <w:rFonts w:hint="eastAsia"/>
        </w:rPr>
        <w:t>结算方式</w:t>
      </w:r>
      <w:r>
        <w:t>&lt;/METHOD&gt;</w:t>
      </w:r>
    </w:p>
    <w:p w14:paraId="2E7309CC" w14:textId="77777777" w:rsidR="00A052DC" w:rsidRDefault="009F0A60">
      <w:r>
        <w:t>&lt;BUSCODE&gt;</w:t>
      </w:r>
      <w:r>
        <w:rPr>
          <w:rFonts w:hint="eastAsia"/>
        </w:rPr>
        <w:t>银行业务编号</w:t>
      </w:r>
      <w:r>
        <w:t>&lt;/BUSCODE&gt;</w:t>
      </w:r>
    </w:p>
    <w:p w14:paraId="0E4BA38A" w14:textId="77777777" w:rsidR="00A052DC" w:rsidRDefault="009F0A60">
      <w:r>
        <w:t>&lt;/REC&gt;</w:t>
      </w:r>
    </w:p>
    <w:p w14:paraId="06CDA31A" w14:textId="77777777" w:rsidR="00A052DC" w:rsidRDefault="009F0A60" w:rsidP="0020251D">
      <w:pPr>
        <w:pStyle w:val="4"/>
        <w:numPr>
          <w:ilvl w:val="3"/>
          <w:numId w:val="1"/>
        </w:numPr>
        <w:jc w:val="left"/>
      </w:pPr>
      <w:bookmarkStart w:id="1072" w:name="_Toc454386800"/>
      <w:bookmarkStart w:id="1073" w:name="_Toc132432526"/>
      <w:bookmarkStart w:id="1074" w:name="_Toc454386801"/>
      <w:bookmarkStart w:id="1075" w:name="_Toc310598072"/>
      <w:bookmarkEnd w:id="1072"/>
      <w:r>
        <w:rPr>
          <w:rFonts w:hint="eastAsia"/>
        </w:rPr>
        <w:t>数据字典</w:t>
      </w:r>
      <w:bookmarkEnd w:id="1073"/>
      <w:bookmarkEnd w:id="1074"/>
      <w:bookmarkEnd w:id="1075"/>
    </w:p>
    <w:tbl>
      <w:tblPr>
        <w:tblW w:w="86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559"/>
        <w:gridCol w:w="1418"/>
        <w:gridCol w:w="4110"/>
      </w:tblGrid>
      <w:tr w:rsidR="00A052DC" w14:paraId="13B96468" w14:textId="77777777">
        <w:trPr>
          <w:tblHeader/>
        </w:trPr>
        <w:tc>
          <w:tcPr>
            <w:tcW w:w="1560" w:type="dxa"/>
            <w:shd w:val="clear" w:color="auto" w:fill="C0C0C0"/>
          </w:tcPr>
          <w:p w14:paraId="19F6D83E" w14:textId="77777777" w:rsidR="00A052DC" w:rsidRDefault="009F0A60">
            <w:pPr>
              <w:jc w:val="center"/>
              <w:rPr>
                <w:rFonts w:ascii="黑体" w:eastAsia="黑体" w:hAnsi="黑体"/>
                <w:b/>
                <w:sz w:val="20"/>
                <w:szCs w:val="20"/>
              </w:rPr>
            </w:pPr>
            <w:r>
              <w:rPr>
                <w:rFonts w:ascii="黑体" w:eastAsia="黑体" w:hAnsi="黑体" w:hint="eastAsia"/>
                <w:b/>
                <w:sz w:val="20"/>
                <w:szCs w:val="20"/>
              </w:rPr>
              <w:t>字段</w:t>
            </w:r>
          </w:p>
        </w:tc>
        <w:tc>
          <w:tcPr>
            <w:tcW w:w="1559" w:type="dxa"/>
            <w:shd w:val="clear" w:color="auto" w:fill="C0C0C0"/>
          </w:tcPr>
          <w:p w14:paraId="2DD2740D" w14:textId="77777777" w:rsidR="00A052DC" w:rsidRDefault="009F0A60">
            <w:pPr>
              <w:jc w:val="center"/>
              <w:rPr>
                <w:rFonts w:ascii="黑体" w:eastAsia="黑体" w:hAnsi="黑体"/>
                <w:b/>
                <w:sz w:val="20"/>
                <w:szCs w:val="20"/>
              </w:rPr>
            </w:pPr>
            <w:r>
              <w:rPr>
                <w:rFonts w:ascii="黑体" w:eastAsia="黑体" w:hAnsi="黑体" w:hint="eastAsia"/>
                <w:b/>
                <w:sz w:val="20"/>
                <w:szCs w:val="20"/>
              </w:rPr>
              <w:t>内容</w:t>
            </w:r>
          </w:p>
        </w:tc>
        <w:tc>
          <w:tcPr>
            <w:tcW w:w="1418" w:type="dxa"/>
            <w:shd w:val="clear" w:color="auto" w:fill="C0C0C0"/>
          </w:tcPr>
          <w:p w14:paraId="7DBAF308" w14:textId="77777777" w:rsidR="00A052DC" w:rsidRDefault="009F0A60">
            <w:pPr>
              <w:jc w:val="center"/>
              <w:rPr>
                <w:rFonts w:ascii="黑体" w:eastAsia="黑体" w:hAnsi="黑体"/>
                <w:b/>
                <w:sz w:val="20"/>
                <w:szCs w:val="20"/>
              </w:rPr>
            </w:pPr>
            <w:r>
              <w:rPr>
                <w:rFonts w:ascii="黑体" w:eastAsia="黑体" w:hAnsi="黑体" w:hint="eastAsia"/>
                <w:b/>
                <w:sz w:val="20"/>
                <w:szCs w:val="20"/>
              </w:rPr>
              <w:t>类型（长度）</w:t>
            </w:r>
          </w:p>
        </w:tc>
        <w:tc>
          <w:tcPr>
            <w:tcW w:w="4110" w:type="dxa"/>
            <w:shd w:val="clear" w:color="auto" w:fill="C0C0C0"/>
          </w:tcPr>
          <w:p w14:paraId="080A71B8" w14:textId="77777777" w:rsidR="00A052DC" w:rsidRDefault="009F0A60">
            <w:pPr>
              <w:jc w:val="center"/>
              <w:rPr>
                <w:rFonts w:ascii="黑体" w:eastAsia="黑体" w:hAnsi="黑体"/>
                <w:b/>
                <w:sz w:val="20"/>
                <w:szCs w:val="20"/>
              </w:rPr>
            </w:pPr>
            <w:r>
              <w:rPr>
                <w:rFonts w:ascii="黑体" w:eastAsia="黑体" w:hAnsi="黑体" w:hint="eastAsia"/>
                <w:b/>
                <w:sz w:val="20"/>
                <w:szCs w:val="20"/>
              </w:rPr>
              <w:t>校验</w:t>
            </w:r>
          </w:p>
        </w:tc>
      </w:tr>
      <w:tr w:rsidR="00A052DC" w14:paraId="3DB6BF25" w14:textId="77777777">
        <w:tc>
          <w:tcPr>
            <w:tcW w:w="1560" w:type="dxa"/>
          </w:tcPr>
          <w:p w14:paraId="4A4DA4F9" w14:textId="77777777" w:rsidR="00A052DC" w:rsidRDefault="009F0A60">
            <w:pPr>
              <w:rPr>
                <w:rFonts w:ascii="黑体" w:eastAsia="黑体" w:hAnsi="黑体"/>
                <w:sz w:val="20"/>
                <w:szCs w:val="20"/>
              </w:rPr>
            </w:pPr>
            <w:r>
              <w:rPr>
                <w:rFonts w:ascii="黑体" w:eastAsia="黑体" w:hAnsi="黑体" w:hint="eastAsia"/>
                <w:sz w:val="20"/>
                <w:szCs w:val="20"/>
              </w:rPr>
              <w:t>ACTIONTYPE</w:t>
            </w:r>
          </w:p>
        </w:tc>
        <w:tc>
          <w:tcPr>
            <w:tcW w:w="1559" w:type="dxa"/>
          </w:tcPr>
          <w:p w14:paraId="1FBED155" w14:textId="77777777" w:rsidR="00A052DC" w:rsidRDefault="009F0A60">
            <w:pPr>
              <w:rPr>
                <w:rFonts w:ascii="黑体" w:eastAsia="黑体" w:hAnsi="黑体"/>
                <w:sz w:val="20"/>
                <w:szCs w:val="20"/>
              </w:rPr>
            </w:pPr>
            <w:r>
              <w:rPr>
                <w:rFonts w:ascii="黑体" w:eastAsia="黑体" w:hAnsi="黑体" w:hint="eastAsia"/>
                <w:sz w:val="20"/>
                <w:szCs w:val="20"/>
              </w:rPr>
              <w:t>操作类型</w:t>
            </w:r>
          </w:p>
        </w:tc>
        <w:tc>
          <w:tcPr>
            <w:tcW w:w="1418" w:type="dxa"/>
          </w:tcPr>
          <w:p w14:paraId="76715A6E" w14:textId="77777777" w:rsidR="00A052DC" w:rsidRDefault="009F0A60">
            <w:pPr>
              <w:rPr>
                <w:rFonts w:ascii="黑体" w:eastAsia="黑体" w:hAnsi="黑体"/>
                <w:sz w:val="20"/>
                <w:szCs w:val="20"/>
              </w:rPr>
            </w:pPr>
            <w:r>
              <w:rPr>
                <w:rFonts w:ascii="黑体" w:eastAsia="黑体" w:hAnsi="黑体" w:hint="eastAsia"/>
                <w:sz w:val="20"/>
                <w:szCs w:val="20"/>
              </w:rPr>
              <w:t>字符型，1</w:t>
            </w:r>
          </w:p>
        </w:tc>
        <w:tc>
          <w:tcPr>
            <w:tcW w:w="4110" w:type="dxa"/>
          </w:tcPr>
          <w:p w14:paraId="75A722C5" w14:textId="77777777" w:rsidR="00A052DC" w:rsidRDefault="009F0A60">
            <w:pPr>
              <w:rPr>
                <w:rFonts w:ascii="黑体" w:eastAsia="黑体" w:hAnsi="黑体"/>
                <w:sz w:val="20"/>
                <w:szCs w:val="20"/>
              </w:rPr>
            </w:pPr>
            <w:r>
              <w:rPr>
                <w:rFonts w:ascii="黑体" w:eastAsia="黑体" w:hAnsi="黑体" w:hint="eastAsia"/>
                <w:sz w:val="20"/>
                <w:szCs w:val="20"/>
              </w:rPr>
              <w:t>A</w:t>
            </w:r>
            <w:r w:rsidR="00AE4602">
              <w:rPr>
                <w:rFonts w:ascii="黑体" w:eastAsia="黑体" w:hAnsi="黑体" w:hint="eastAsia"/>
                <w:sz w:val="20"/>
                <w:szCs w:val="20"/>
              </w:rPr>
              <w:t>-</w:t>
            </w:r>
            <w:r>
              <w:rPr>
                <w:rFonts w:ascii="黑体" w:eastAsia="黑体" w:hAnsi="黑体" w:hint="eastAsia"/>
                <w:sz w:val="20"/>
                <w:szCs w:val="20"/>
              </w:rPr>
              <w:t>新建</w:t>
            </w:r>
          </w:p>
          <w:p w14:paraId="27EDE6AA" w14:textId="77777777" w:rsidR="00A052DC" w:rsidRDefault="009F0A60">
            <w:pPr>
              <w:rPr>
                <w:rFonts w:ascii="黑体" w:eastAsia="黑体" w:hAnsi="黑体"/>
                <w:sz w:val="20"/>
                <w:szCs w:val="20"/>
              </w:rPr>
            </w:pPr>
            <w:r>
              <w:rPr>
                <w:rFonts w:ascii="黑体" w:eastAsia="黑体" w:hAnsi="黑体" w:hint="eastAsia"/>
                <w:sz w:val="20"/>
                <w:szCs w:val="20"/>
              </w:rPr>
              <w:t>C</w:t>
            </w:r>
            <w:r w:rsidR="00AE4602">
              <w:rPr>
                <w:rFonts w:ascii="黑体" w:eastAsia="黑体" w:hAnsi="黑体" w:hint="eastAsia"/>
                <w:sz w:val="20"/>
                <w:szCs w:val="20"/>
              </w:rPr>
              <w:t>-</w:t>
            </w:r>
            <w:r>
              <w:rPr>
                <w:rFonts w:ascii="黑体" w:eastAsia="黑体" w:hAnsi="黑体" w:hint="eastAsia"/>
                <w:sz w:val="20"/>
                <w:szCs w:val="20"/>
              </w:rPr>
              <w:t>修改</w:t>
            </w:r>
          </w:p>
          <w:p w14:paraId="6CB6CE6A" w14:textId="77777777" w:rsidR="00A052DC" w:rsidRDefault="009F0A60">
            <w:pPr>
              <w:rPr>
                <w:rFonts w:ascii="黑体" w:eastAsia="黑体" w:hAnsi="黑体"/>
                <w:sz w:val="20"/>
                <w:szCs w:val="20"/>
              </w:rPr>
            </w:pPr>
            <w:r>
              <w:rPr>
                <w:rFonts w:ascii="黑体" w:eastAsia="黑体" w:hAnsi="黑体" w:hint="eastAsia"/>
                <w:sz w:val="20"/>
                <w:szCs w:val="20"/>
              </w:rPr>
              <w:t>D</w:t>
            </w:r>
            <w:r w:rsidR="00AE4602">
              <w:rPr>
                <w:rFonts w:ascii="黑体" w:eastAsia="黑体" w:hAnsi="黑体" w:hint="eastAsia"/>
                <w:sz w:val="20"/>
                <w:szCs w:val="20"/>
              </w:rPr>
              <w:t>-</w:t>
            </w:r>
            <w:r>
              <w:rPr>
                <w:rFonts w:ascii="黑体" w:eastAsia="黑体" w:hAnsi="黑体" w:hint="eastAsia"/>
                <w:sz w:val="20"/>
                <w:szCs w:val="20"/>
              </w:rPr>
              <w:t>删除</w:t>
            </w:r>
          </w:p>
          <w:p w14:paraId="3C199D5D" w14:textId="77777777" w:rsidR="00A052DC" w:rsidRDefault="009F0A60">
            <w:pPr>
              <w:rPr>
                <w:rFonts w:ascii="黑体" w:eastAsia="黑体" w:hAnsi="黑体"/>
                <w:sz w:val="20"/>
                <w:szCs w:val="20"/>
              </w:rPr>
            </w:pPr>
            <w:r>
              <w:rPr>
                <w:rFonts w:ascii="黑体" w:eastAsia="黑体" w:hAnsi="黑体" w:hint="eastAsia"/>
                <w:sz w:val="20"/>
                <w:szCs w:val="20"/>
              </w:rPr>
              <w:t>R-申报无误（银行反馈），预留，暂不用</w:t>
            </w:r>
          </w:p>
        </w:tc>
      </w:tr>
      <w:tr w:rsidR="00A052DC" w14:paraId="29DC71DD" w14:textId="77777777">
        <w:tc>
          <w:tcPr>
            <w:tcW w:w="1560" w:type="dxa"/>
          </w:tcPr>
          <w:p w14:paraId="26CFB76C" w14:textId="77777777" w:rsidR="00A052DC" w:rsidRDefault="009F0A60">
            <w:pPr>
              <w:rPr>
                <w:rFonts w:ascii="黑体" w:eastAsia="黑体" w:hAnsi="黑体"/>
                <w:sz w:val="20"/>
                <w:szCs w:val="20"/>
              </w:rPr>
            </w:pPr>
            <w:r>
              <w:rPr>
                <w:rFonts w:ascii="黑体" w:eastAsia="黑体" w:hAnsi="黑体" w:hint="eastAsia"/>
                <w:sz w:val="20"/>
                <w:szCs w:val="20"/>
              </w:rPr>
              <w:t>ACTIONDESC</w:t>
            </w:r>
          </w:p>
        </w:tc>
        <w:tc>
          <w:tcPr>
            <w:tcW w:w="1559" w:type="dxa"/>
          </w:tcPr>
          <w:p w14:paraId="09BC80EE" w14:textId="77777777" w:rsidR="00A052DC" w:rsidRDefault="009F0A60">
            <w:pPr>
              <w:rPr>
                <w:rFonts w:ascii="黑体" w:eastAsia="黑体" w:hAnsi="黑体"/>
                <w:sz w:val="20"/>
                <w:szCs w:val="20"/>
              </w:rPr>
            </w:pPr>
            <w:r>
              <w:rPr>
                <w:rFonts w:ascii="黑体" w:eastAsia="黑体" w:hAnsi="黑体" w:hint="eastAsia"/>
                <w:sz w:val="20"/>
                <w:szCs w:val="20"/>
              </w:rPr>
              <w:t>修改/删除原因</w:t>
            </w:r>
          </w:p>
          <w:p w14:paraId="1FAAE402" w14:textId="77777777" w:rsidR="00A052DC" w:rsidRDefault="009F0A60">
            <w:pPr>
              <w:rPr>
                <w:rFonts w:ascii="黑体" w:eastAsia="黑体" w:hAnsi="黑体"/>
                <w:sz w:val="20"/>
                <w:szCs w:val="20"/>
              </w:rPr>
            </w:pPr>
            <w:r>
              <w:rPr>
                <w:rFonts w:ascii="黑体" w:eastAsia="黑体" w:hAnsi="黑体" w:hint="eastAsia"/>
                <w:sz w:val="20"/>
                <w:szCs w:val="20"/>
              </w:rPr>
              <w:t>或申报无误理由</w:t>
            </w:r>
          </w:p>
        </w:tc>
        <w:tc>
          <w:tcPr>
            <w:tcW w:w="1418" w:type="dxa"/>
          </w:tcPr>
          <w:p w14:paraId="79F9E761"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4110" w:type="dxa"/>
          </w:tcPr>
          <w:p w14:paraId="032E7F76" w14:textId="77777777" w:rsidR="00A052DC" w:rsidRDefault="00A052DC">
            <w:pPr>
              <w:rPr>
                <w:rFonts w:ascii="黑体" w:eastAsia="黑体" w:hAnsi="黑体"/>
                <w:sz w:val="20"/>
                <w:szCs w:val="20"/>
              </w:rPr>
            </w:pPr>
          </w:p>
        </w:tc>
      </w:tr>
      <w:tr w:rsidR="00A052DC" w14:paraId="473AABF6" w14:textId="77777777">
        <w:tc>
          <w:tcPr>
            <w:tcW w:w="1560" w:type="dxa"/>
          </w:tcPr>
          <w:p w14:paraId="0908F445" w14:textId="77777777" w:rsidR="00A052DC" w:rsidRDefault="009F0A60">
            <w:pPr>
              <w:rPr>
                <w:rFonts w:ascii="黑体" w:eastAsia="黑体" w:hAnsi="黑体"/>
                <w:sz w:val="20"/>
                <w:szCs w:val="20"/>
              </w:rPr>
            </w:pPr>
            <w:r>
              <w:rPr>
                <w:rFonts w:ascii="黑体" w:eastAsia="黑体" w:hAnsi="黑体" w:hint="eastAsia"/>
                <w:sz w:val="20"/>
                <w:szCs w:val="20"/>
              </w:rPr>
              <w:t>RPTNO</w:t>
            </w:r>
          </w:p>
        </w:tc>
        <w:tc>
          <w:tcPr>
            <w:tcW w:w="1559" w:type="dxa"/>
          </w:tcPr>
          <w:p w14:paraId="378FC266" w14:textId="77777777" w:rsidR="00A052DC" w:rsidRDefault="009F0A60">
            <w:pPr>
              <w:rPr>
                <w:rFonts w:ascii="黑体" w:eastAsia="黑体" w:hAnsi="黑体"/>
                <w:sz w:val="20"/>
                <w:szCs w:val="20"/>
              </w:rPr>
            </w:pPr>
            <w:r>
              <w:rPr>
                <w:rFonts w:ascii="黑体" w:eastAsia="黑体" w:hAnsi="黑体" w:hint="eastAsia"/>
                <w:sz w:val="20"/>
                <w:szCs w:val="20"/>
              </w:rPr>
              <w:t>申报号码</w:t>
            </w:r>
          </w:p>
        </w:tc>
        <w:tc>
          <w:tcPr>
            <w:tcW w:w="1418" w:type="dxa"/>
          </w:tcPr>
          <w:p w14:paraId="212199E6" w14:textId="77777777" w:rsidR="00A052DC" w:rsidRDefault="009F0A60">
            <w:pPr>
              <w:rPr>
                <w:rFonts w:ascii="黑体" w:eastAsia="黑体" w:hAnsi="黑体"/>
                <w:sz w:val="20"/>
                <w:szCs w:val="20"/>
              </w:rPr>
            </w:pPr>
            <w:r>
              <w:rPr>
                <w:rFonts w:ascii="黑体" w:eastAsia="黑体" w:hAnsi="黑体" w:hint="eastAsia"/>
                <w:sz w:val="20"/>
                <w:szCs w:val="20"/>
              </w:rPr>
              <w:t>字符型，22</w:t>
            </w:r>
          </w:p>
        </w:tc>
        <w:tc>
          <w:tcPr>
            <w:tcW w:w="4110" w:type="dxa"/>
          </w:tcPr>
          <w:p w14:paraId="2119D40A" w14:textId="77777777" w:rsidR="00A052DC" w:rsidRDefault="009F0A60">
            <w:pPr>
              <w:rPr>
                <w:rFonts w:ascii="黑体" w:eastAsia="黑体" w:hAnsi="黑体"/>
                <w:sz w:val="20"/>
                <w:szCs w:val="20"/>
              </w:rPr>
            </w:pPr>
            <w:r>
              <w:rPr>
                <w:rFonts w:ascii="黑体" w:eastAsia="黑体" w:hAnsi="黑体" w:hint="eastAsia"/>
                <w:sz w:val="20"/>
                <w:szCs w:val="20"/>
              </w:rPr>
              <w:t>编码规则：6位地区标识码+4位银行代码+2位银行顺序码+支付日期（yymmdd）+4位银行业务流水码。支付日期不能大于系统日期。</w:t>
            </w:r>
          </w:p>
          <w:p w14:paraId="76E8420C" w14:textId="77777777" w:rsidR="00A052DC" w:rsidRDefault="009F0A60">
            <w:pPr>
              <w:rPr>
                <w:rFonts w:ascii="黑体" w:eastAsia="黑体" w:hAnsi="黑体"/>
                <w:sz w:val="20"/>
                <w:szCs w:val="20"/>
              </w:rPr>
            </w:pPr>
            <w:r>
              <w:rPr>
                <w:rFonts w:ascii="黑体" w:eastAsia="黑体" w:hAnsi="黑体" w:hint="eastAsia"/>
                <w:sz w:val="20"/>
                <w:szCs w:val="20"/>
              </w:rPr>
              <w:t>银行业务流水码规则：****，其中，第一位取值数字0-9，第二与第三位取值数字（0-9）与大写字母（O、I、Z除外），第四位取值大写字母A、B、C、D、E、F、G、H、J）。</w:t>
            </w:r>
          </w:p>
        </w:tc>
      </w:tr>
      <w:tr w:rsidR="00A052DC" w14:paraId="164C1B85" w14:textId="77777777">
        <w:tc>
          <w:tcPr>
            <w:tcW w:w="1560" w:type="dxa"/>
          </w:tcPr>
          <w:p w14:paraId="30E3E1E5" w14:textId="77777777" w:rsidR="00A052DC" w:rsidRDefault="009F0A60">
            <w:pPr>
              <w:rPr>
                <w:rFonts w:ascii="黑体" w:eastAsia="黑体" w:hAnsi="黑体"/>
                <w:sz w:val="20"/>
                <w:szCs w:val="20"/>
              </w:rPr>
            </w:pPr>
            <w:r>
              <w:rPr>
                <w:rFonts w:ascii="黑体" w:eastAsia="黑体" w:hAnsi="黑体" w:hint="eastAsia"/>
                <w:sz w:val="20"/>
                <w:szCs w:val="20"/>
              </w:rPr>
              <w:t>CUSTYPE</w:t>
            </w:r>
          </w:p>
        </w:tc>
        <w:tc>
          <w:tcPr>
            <w:tcW w:w="1559" w:type="dxa"/>
          </w:tcPr>
          <w:p w14:paraId="315DECC1" w14:textId="77777777" w:rsidR="00A052DC" w:rsidRDefault="009F0A60">
            <w:pPr>
              <w:rPr>
                <w:rFonts w:ascii="黑体" w:eastAsia="黑体" w:hAnsi="黑体"/>
                <w:sz w:val="20"/>
                <w:szCs w:val="20"/>
              </w:rPr>
            </w:pPr>
            <w:r>
              <w:rPr>
                <w:rFonts w:ascii="黑体" w:eastAsia="黑体" w:hAnsi="黑体" w:hint="eastAsia"/>
                <w:sz w:val="20"/>
                <w:szCs w:val="20"/>
              </w:rPr>
              <w:t>汇款人类型</w:t>
            </w:r>
          </w:p>
        </w:tc>
        <w:tc>
          <w:tcPr>
            <w:tcW w:w="1418" w:type="dxa"/>
          </w:tcPr>
          <w:p w14:paraId="7B50646D" w14:textId="77777777" w:rsidR="00A052DC" w:rsidRDefault="009F0A60">
            <w:pPr>
              <w:rPr>
                <w:rFonts w:ascii="黑体" w:eastAsia="黑体" w:hAnsi="黑体"/>
                <w:sz w:val="20"/>
                <w:szCs w:val="20"/>
              </w:rPr>
            </w:pPr>
            <w:r>
              <w:rPr>
                <w:rFonts w:ascii="黑体" w:eastAsia="黑体" w:hAnsi="黑体" w:hint="eastAsia"/>
                <w:sz w:val="20"/>
                <w:szCs w:val="20"/>
              </w:rPr>
              <w:t>字符型，1</w:t>
            </w:r>
          </w:p>
        </w:tc>
        <w:tc>
          <w:tcPr>
            <w:tcW w:w="4110" w:type="dxa"/>
          </w:tcPr>
          <w:p w14:paraId="5629B244" w14:textId="77777777" w:rsidR="00A052DC" w:rsidRDefault="009F0A60">
            <w:pPr>
              <w:rPr>
                <w:rFonts w:ascii="黑体" w:eastAsia="黑体" w:hAnsi="黑体"/>
                <w:sz w:val="20"/>
                <w:szCs w:val="20"/>
              </w:rPr>
            </w:pPr>
            <w:r>
              <w:rPr>
                <w:rFonts w:ascii="黑体" w:eastAsia="黑体" w:hAnsi="黑体" w:hint="eastAsia"/>
                <w:sz w:val="20"/>
                <w:szCs w:val="20"/>
              </w:rPr>
              <w:t>C</w:t>
            </w:r>
            <w:r w:rsidR="00AE4602">
              <w:rPr>
                <w:rFonts w:ascii="黑体" w:eastAsia="黑体" w:hAnsi="黑体" w:hint="eastAsia"/>
                <w:sz w:val="20"/>
                <w:szCs w:val="20"/>
              </w:rPr>
              <w:t>-</w:t>
            </w:r>
            <w:r>
              <w:rPr>
                <w:rFonts w:ascii="黑体" w:eastAsia="黑体" w:hAnsi="黑体" w:hint="eastAsia"/>
                <w:sz w:val="20"/>
                <w:szCs w:val="20"/>
              </w:rPr>
              <w:t>对公用户</w:t>
            </w:r>
          </w:p>
          <w:p w14:paraId="18A8C089" w14:textId="77777777" w:rsidR="00A052DC" w:rsidRDefault="009F0A60">
            <w:pPr>
              <w:rPr>
                <w:rFonts w:ascii="黑体" w:eastAsia="黑体" w:hAnsi="黑体"/>
                <w:sz w:val="20"/>
                <w:szCs w:val="20"/>
              </w:rPr>
            </w:pPr>
            <w:r>
              <w:rPr>
                <w:rFonts w:ascii="黑体" w:eastAsia="黑体" w:hAnsi="黑体" w:hint="eastAsia"/>
                <w:sz w:val="20"/>
                <w:szCs w:val="20"/>
              </w:rPr>
              <w:t>D</w:t>
            </w:r>
            <w:r w:rsidR="00AE4602">
              <w:rPr>
                <w:rFonts w:ascii="黑体" w:eastAsia="黑体" w:hAnsi="黑体" w:hint="eastAsia"/>
                <w:sz w:val="20"/>
                <w:szCs w:val="20"/>
              </w:rPr>
              <w:t>-</w:t>
            </w:r>
            <w:r>
              <w:rPr>
                <w:rFonts w:ascii="黑体" w:eastAsia="黑体" w:hAnsi="黑体" w:hint="eastAsia"/>
                <w:sz w:val="20"/>
                <w:szCs w:val="20"/>
              </w:rPr>
              <w:t>对私中国居民</w:t>
            </w:r>
          </w:p>
          <w:p w14:paraId="1CEEF57A" w14:textId="77777777" w:rsidR="00A052DC" w:rsidRDefault="009F0A60">
            <w:pPr>
              <w:rPr>
                <w:rFonts w:ascii="黑体" w:eastAsia="黑体" w:hAnsi="黑体"/>
                <w:sz w:val="20"/>
                <w:szCs w:val="20"/>
              </w:rPr>
            </w:pPr>
            <w:r>
              <w:rPr>
                <w:rFonts w:ascii="黑体" w:eastAsia="黑体" w:hAnsi="黑体" w:hint="eastAsia"/>
                <w:sz w:val="20"/>
                <w:szCs w:val="20"/>
              </w:rPr>
              <w:t>F</w:t>
            </w:r>
            <w:r w:rsidR="00AE4602">
              <w:rPr>
                <w:rFonts w:ascii="黑体" w:eastAsia="黑体" w:hAnsi="黑体" w:hint="eastAsia"/>
                <w:sz w:val="20"/>
                <w:szCs w:val="20"/>
              </w:rPr>
              <w:t>-</w:t>
            </w:r>
            <w:r>
              <w:rPr>
                <w:rFonts w:ascii="黑体" w:eastAsia="黑体" w:hAnsi="黑体" w:hint="eastAsia"/>
                <w:sz w:val="20"/>
                <w:szCs w:val="20"/>
              </w:rPr>
              <w:t>对私中国非居民</w:t>
            </w:r>
          </w:p>
        </w:tc>
      </w:tr>
      <w:tr w:rsidR="00A052DC" w14:paraId="638331B0" w14:textId="77777777">
        <w:tc>
          <w:tcPr>
            <w:tcW w:w="1560" w:type="dxa"/>
          </w:tcPr>
          <w:p w14:paraId="00C87AC3" w14:textId="77777777" w:rsidR="00A052DC" w:rsidRDefault="009F0A60">
            <w:pPr>
              <w:rPr>
                <w:rFonts w:ascii="黑体" w:eastAsia="黑体" w:hAnsi="黑体"/>
                <w:sz w:val="20"/>
                <w:szCs w:val="20"/>
              </w:rPr>
            </w:pPr>
            <w:r>
              <w:rPr>
                <w:rFonts w:ascii="黑体" w:eastAsia="黑体" w:hAnsi="黑体" w:hint="eastAsia"/>
                <w:sz w:val="20"/>
                <w:szCs w:val="20"/>
              </w:rPr>
              <w:t>IDCODE</w:t>
            </w:r>
          </w:p>
        </w:tc>
        <w:tc>
          <w:tcPr>
            <w:tcW w:w="1559" w:type="dxa"/>
          </w:tcPr>
          <w:p w14:paraId="261A3C38" w14:textId="77777777" w:rsidR="00A052DC" w:rsidRDefault="009F0A60">
            <w:pPr>
              <w:rPr>
                <w:rFonts w:ascii="黑体" w:eastAsia="黑体" w:hAnsi="黑体"/>
                <w:sz w:val="20"/>
                <w:szCs w:val="20"/>
              </w:rPr>
            </w:pPr>
            <w:r>
              <w:rPr>
                <w:rFonts w:ascii="黑体" w:eastAsia="黑体" w:hAnsi="黑体" w:hint="eastAsia"/>
                <w:sz w:val="20"/>
                <w:szCs w:val="20"/>
              </w:rPr>
              <w:t>个人身份证件号码</w:t>
            </w:r>
          </w:p>
        </w:tc>
        <w:tc>
          <w:tcPr>
            <w:tcW w:w="1418" w:type="dxa"/>
          </w:tcPr>
          <w:p w14:paraId="5784FEB8" w14:textId="77777777" w:rsidR="00A052DC" w:rsidRDefault="009F0A60">
            <w:pPr>
              <w:rPr>
                <w:rFonts w:ascii="黑体" w:eastAsia="黑体" w:hAnsi="黑体"/>
                <w:sz w:val="20"/>
                <w:szCs w:val="20"/>
              </w:rPr>
            </w:pPr>
            <w:r>
              <w:rPr>
                <w:rFonts w:ascii="黑体" w:eastAsia="黑体" w:hAnsi="黑体" w:hint="eastAsia"/>
                <w:sz w:val="20"/>
                <w:szCs w:val="20"/>
              </w:rPr>
              <w:t>字符型，32</w:t>
            </w:r>
          </w:p>
        </w:tc>
        <w:tc>
          <w:tcPr>
            <w:tcW w:w="4110" w:type="dxa"/>
          </w:tcPr>
          <w:p w14:paraId="242CBE09" w14:textId="77777777" w:rsidR="00A052DC" w:rsidRDefault="009F0A60">
            <w:pPr>
              <w:rPr>
                <w:rFonts w:ascii="黑体" w:eastAsia="黑体" w:hAnsi="黑体"/>
                <w:sz w:val="20"/>
                <w:szCs w:val="20"/>
              </w:rPr>
            </w:pPr>
            <w:r>
              <w:rPr>
                <w:rFonts w:ascii="黑体" w:eastAsia="黑体" w:hAnsi="黑体" w:hint="eastAsia"/>
                <w:sz w:val="20"/>
                <w:szCs w:val="20"/>
              </w:rPr>
              <w:t>CUSTYPE&lt;&gt;C时必填。</w:t>
            </w:r>
          </w:p>
        </w:tc>
      </w:tr>
      <w:tr w:rsidR="00A052DC" w14:paraId="05468131" w14:textId="77777777">
        <w:tc>
          <w:tcPr>
            <w:tcW w:w="1560" w:type="dxa"/>
          </w:tcPr>
          <w:p w14:paraId="3B1625A6" w14:textId="77777777" w:rsidR="00A052DC" w:rsidRDefault="009F0A60">
            <w:pPr>
              <w:rPr>
                <w:rFonts w:ascii="黑体" w:eastAsia="黑体" w:hAnsi="黑体"/>
                <w:sz w:val="20"/>
                <w:szCs w:val="20"/>
              </w:rPr>
            </w:pPr>
            <w:r>
              <w:rPr>
                <w:rFonts w:ascii="黑体" w:eastAsia="黑体" w:hAnsi="黑体" w:hint="eastAsia"/>
                <w:sz w:val="20"/>
                <w:szCs w:val="20"/>
              </w:rPr>
              <w:t>CUSTCOD</w:t>
            </w:r>
          </w:p>
        </w:tc>
        <w:tc>
          <w:tcPr>
            <w:tcW w:w="1559" w:type="dxa"/>
          </w:tcPr>
          <w:p w14:paraId="5BAF1CAE" w14:textId="77777777" w:rsidR="00A052DC" w:rsidRDefault="009F0A60">
            <w:pPr>
              <w:rPr>
                <w:rFonts w:ascii="黑体" w:eastAsia="黑体" w:hAnsi="黑体"/>
                <w:sz w:val="20"/>
                <w:szCs w:val="20"/>
              </w:rPr>
            </w:pPr>
            <w:r>
              <w:rPr>
                <w:rFonts w:ascii="黑体" w:eastAsia="黑体" w:hAnsi="黑体" w:hint="eastAsia"/>
                <w:sz w:val="20"/>
                <w:szCs w:val="20"/>
              </w:rPr>
              <w:t>主体标识码</w:t>
            </w:r>
          </w:p>
        </w:tc>
        <w:tc>
          <w:tcPr>
            <w:tcW w:w="1418" w:type="dxa"/>
          </w:tcPr>
          <w:p w14:paraId="67EC3512" w14:textId="77777777" w:rsidR="00A052DC" w:rsidRDefault="009F0A60">
            <w:pPr>
              <w:rPr>
                <w:rFonts w:ascii="黑体" w:eastAsia="黑体" w:hAnsi="黑体"/>
                <w:sz w:val="20"/>
                <w:szCs w:val="20"/>
              </w:rPr>
            </w:pPr>
            <w:r>
              <w:rPr>
                <w:rFonts w:ascii="黑体" w:eastAsia="黑体" w:hAnsi="黑体" w:hint="eastAsia"/>
                <w:sz w:val="20"/>
                <w:szCs w:val="20"/>
              </w:rPr>
              <w:t>字符型，18</w:t>
            </w:r>
          </w:p>
        </w:tc>
        <w:tc>
          <w:tcPr>
            <w:tcW w:w="4110" w:type="dxa"/>
          </w:tcPr>
          <w:p w14:paraId="6BBCE906" w14:textId="77777777" w:rsidR="00A052DC" w:rsidRDefault="009F0A60">
            <w:pPr>
              <w:rPr>
                <w:rFonts w:ascii="黑体" w:eastAsia="黑体" w:hAnsi="黑体"/>
                <w:sz w:val="20"/>
                <w:szCs w:val="20"/>
              </w:rPr>
            </w:pPr>
            <w:r>
              <w:rPr>
                <w:rFonts w:ascii="黑体" w:eastAsia="黑体" w:hAnsi="黑体" w:hint="eastAsia"/>
                <w:sz w:val="20"/>
                <w:szCs w:val="20"/>
              </w:rPr>
              <w:t>CUSTYPE=</w:t>
            </w:r>
            <w:r w:rsidR="009D0FD2">
              <w:rPr>
                <w:rFonts w:ascii="黑体" w:eastAsia="黑体" w:hAnsi="黑体" w:hint="eastAsia"/>
                <w:sz w:val="20"/>
                <w:szCs w:val="20"/>
              </w:rPr>
              <w:t>C时必填。</w:t>
            </w:r>
          </w:p>
          <w:p w14:paraId="49448430" w14:textId="77777777" w:rsidR="00A052DC" w:rsidRDefault="009F0A60">
            <w:pPr>
              <w:jc w:val="left"/>
              <w:rPr>
                <w:rFonts w:ascii="黑体" w:eastAsia="黑体" w:hAnsi="黑体"/>
                <w:sz w:val="20"/>
                <w:szCs w:val="20"/>
              </w:rPr>
            </w:pPr>
            <w:r>
              <w:rPr>
                <w:rFonts w:ascii="黑体" w:eastAsia="黑体" w:hAnsi="黑体" w:hint="eastAsia"/>
                <w:sz w:val="20"/>
                <w:szCs w:val="20"/>
              </w:rPr>
              <w:t>指统一社会信用代码法定载体（如营业执照）上统一社会信用代码中的第9至17位或国家外汇管理局及其分支局签发的特殊机构代码赋码通知书上的机构代码。</w:t>
            </w:r>
          </w:p>
          <w:p w14:paraId="64900CC3" w14:textId="77777777" w:rsidR="00A052DC" w:rsidRDefault="009F0A60">
            <w:pPr>
              <w:rPr>
                <w:rFonts w:ascii="黑体" w:eastAsia="黑体" w:hAnsi="黑体"/>
                <w:sz w:val="20"/>
                <w:szCs w:val="20"/>
              </w:rPr>
            </w:pPr>
            <w:r>
              <w:rPr>
                <w:rFonts w:ascii="黑体" w:eastAsia="黑体" w:hAnsi="黑体" w:hint="eastAsia"/>
                <w:sz w:val="20"/>
                <w:szCs w:val="20"/>
              </w:rPr>
              <w:t>按统一社会信用代码中的9位主体标识码（组织机构代码）或特殊机构赋码编制规则进行校验，字段长度仍预留18位。</w:t>
            </w:r>
          </w:p>
        </w:tc>
      </w:tr>
      <w:tr w:rsidR="00A052DC" w14:paraId="3BC6C1FB" w14:textId="77777777">
        <w:tc>
          <w:tcPr>
            <w:tcW w:w="1560" w:type="dxa"/>
          </w:tcPr>
          <w:p w14:paraId="7CD6DAF0" w14:textId="77777777" w:rsidR="00A052DC" w:rsidRDefault="009F0A60">
            <w:pPr>
              <w:rPr>
                <w:rFonts w:ascii="黑体" w:eastAsia="黑体" w:hAnsi="黑体"/>
                <w:sz w:val="20"/>
                <w:szCs w:val="20"/>
              </w:rPr>
            </w:pPr>
            <w:r>
              <w:rPr>
                <w:rFonts w:ascii="黑体" w:eastAsia="黑体" w:hAnsi="黑体" w:hint="eastAsia"/>
                <w:sz w:val="20"/>
                <w:szCs w:val="20"/>
              </w:rPr>
              <w:t>CUSTNM</w:t>
            </w:r>
          </w:p>
        </w:tc>
        <w:tc>
          <w:tcPr>
            <w:tcW w:w="1559" w:type="dxa"/>
          </w:tcPr>
          <w:p w14:paraId="599A147C" w14:textId="77777777" w:rsidR="00A052DC" w:rsidRDefault="009F0A60">
            <w:pPr>
              <w:rPr>
                <w:rFonts w:ascii="黑体" w:eastAsia="黑体" w:hAnsi="黑体"/>
                <w:sz w:val="20"/>
                <w:szCs w:val="20"/>
              </w:rPr>
            </w:pPr>
            <w:r>
              <w:rPr>
                <w:rFonts w:ascii="黑体" w:eastAsia="黑体" w:hAnsi="黑体" w:hint="eastAsia"/>
                <w:sz w:val="20"/>
                <w:szCs w:val="20"/>
              </w:rPr>
              <w:t>汇款人名称</w:t>
            </w:r>
          </w:p>
        </w:tc>
        <w:tc>
          <w:tcPr>
            <w:tcW w:w="1418" w:type="dxa"/>
          </w:tcPr>
          <w:p w14:paraId="0710B716"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4110" w:type="dxa"/>
          </w:tcPr>
          <w:p w14:paraId="274C78E5"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r w:rsidR="00A052DC" w14:paraId="4D70BAB8" w14:textId="77777777">
        <w:tc>
          <w:tcPr>
            <w:tcW w:w="1560" w:type="dxa"/>
            <w:tcBorders>
              <w:top w:val="single" w:sz="4" w:space="0" w:color="auto"/>
              <w:left w:val="single" w:sz="4" w:space="0" w:color="auto"/>
              <w:bottom w:val="single" w:sz="4" w:space="0" w:color="auto"/>
              <w:right w:val="single" w:sz="4" w:space="0" w:color="auto"/>
            </w:tcBorders>
          </w:tcPr>
          <w:p w14:paraId="530C9D63" w14:textId="77777777" w:rsidR="00A052DC" w:rsidRDefault="009F0A60">
            <w:pPr>
              <w:rPr>
                <w:rFonts w:ascii="黑体" w:eastAsia="黑体" w:hAnsi="黑体"/>
                <w:sz w:val="20"/>
                <w:szCs w:val="20"/>
              </w:rPr>
            </w:pPr>
            <w:r>
              <w:rPr>
                <w:rFonts w:ascii="黑体" w:eastAsia="黑体" w:hAnsi="黑体" w:hint="eastAsia"/>
                <w:sz w:val="20"/>
                <w:szCs w:val="20"/>
              </w:rPr>
              <w:t>OPPUSER</w:t>
            </w:r>
          </w:p>
        </w:tc>
        <w:tc>
          <w:tcPr>
            <w:tcW w:w="1559" w:type="dxa"/>
            <w:tcBorders>
              <w:top w:val="single" w:sz="4" w:space="0" w:color="auto"/>
              <w:left w:val="single" w:sz="4" w:space="0" w:color="auto"/>
              <w:bottom w:val="single" w:sz="4" w:space="0" w:color="auto"/>
              <w:right w:val="single" w:sz="4" w:space="0" w:color="auto"/>
            </w:tcBorders>
          </w:tcPr>
          <w:p w14:paraId="25FECBB0" w14:textId="77777777" w:rsidR="00A052DC" w:rsidRDefault="009F0A60">
            <w:pPr>
              <w:rPr>
                <w:rFonts w:ascii="黑体" w:eastAsia="黑体" w:hAnsi="黑体"/>
                <w:sz w:val="20"/>
                <w:szCs w:val="20"/>
              </w:rPr>
            </w:pPr>
            <w:r>
              <w:rPr>
                <w:rFonts w:ascii="黑体" w:eastAsia="黑体" w:hAnsi="黑体" w:hint="eastAsia"/>
                <w:sz w:val="20"/>
                <w:szCs w:val="20"/>
              </w:rPr>
              <w:t>收款人名称</w:t>
            </w:r>
          </w:p>
        </w:tc>
        <w:tc>
          <w:tcPr>
            <w:tcW w:w="1418" w:type="dxa"/>
            <w:tcBorders>
              <w:top w:val="single" w:sz="4" w:space="0" w:color="auto"/>
              <w:left w:val="single" w:sz="4" w:space="0" w:color="auto"/>
              <w:bottom w:val="single" w:sz="4" w:space="0" w:color="auto"/>
              <w:right w:val="single" w:sz="4" w:space="0" w:color="auto"/>
            </w:tcBorders>
          </w:tcPr>
          <w:p w14:paraId="3AD8E7EB"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4110" w:type="dxa"/>
            <w:tcBorders>
              <w:top w:val="single" w:sz="4" w:space="0" w:color="auto"/>
              <w:left w:val="single" w:sz="4" w:space="0" w:color="auto"/>
              <w:bottom w:val="single" w:sz="4" w:space="0" w:color="auto"/>
              <w:right w:val="single" w:sz="4" w:space="0" w:color="auto"/>
            </w:tcBorders>
          </w:tcPr>
          <w:p w14:paraId="2E45F911"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r w:rsidR="00A052DC" w14:paraId="48C7D6D0" w14:textId="77777777">
        <w:tc>
          <w:tcPr>
            <w:tcW w:w="1560" w:type="dxa"/>
            <w:tcBorders>
              <w:top w:val="single" w:sz="4" w:space="0" w:color="auto"/>
              <w:left w:val="single" w:sz="4" w:space="0" w:color="auto"/>
              <w:bottom w:val="single" w:sz="4" w:space="0" w:color="auto"/>
              <w:right w:val="single" w:sz="4" w:space="0" w:color="auto"/>
            </w:tcBorders>
          </w:tcPr>
          <w:p w14:paraId="78B811DC" w14:textId="77777777" w:rsidR="00A052DC" w:rsidRDefault="009F0A60">
            <w:pPr>
              <w:rPr>
                <w:rFonts w:ascii="黑体" w:eastAsia="黑体" w:hAnsi="黑体"/>
                <w:sz w:val="20"/>
                <w:szCs w:val="20"/>
              </w:rPr>
            </w:pPr>
            <w:r>
              <w:rPr>
                <w:rFonts w:ascii="黑体" w:eastAsia="黑体" w:hAnsi="黑体" w:hint="eastAsia"/>
                <w:sz w:val="20"/>
                <w:szCs w:val="20"/>
              </w:rPr>
              <w:t>OPPACC</w:t>
            </w:r>
          </w:p>
        </w:tc>
        <w:tc>
          <w:tcPr>
            <w:tcW w:w="1559" w:type="dxa"/>
            <w:tcBorders>
              <w:top w:val="single" w:sz="4" w:space="0" w:color="auto"/>
              <w:left w:val="single" w:sz="4" w:space="0" w:color="auto"/>
              <w:bottom w:val="single" w:sz="4" w:space="0" w:color="auto"/>
              <w:right w:val="single" w:sz="4" w:space="0" w:color="auto"/>
            </w:tcBorders>
          </w:tcPr>
          <w:p w14:paraId="48923023" w14:textId="77777777" w:rsidR="00A052DC" w:rsidRDefault="009F0A60">
            <w:pPr>
              <w:rPr>
                <w:rFonts w:ascii="黑体" w:eastAsia="黑体" w:hAnsi="黑体"/>
                <w:sz w:val="20"/>
                <w:szCs w:val="20"/>
              </w:rPr>
            </w:pPr>
            <w:r>
              <w:rPr>
                <w:rFonts w:ascii="黑体" w:eastAsia="黑体" w:hAnsi="黑体" w:hint="eastAsia"/>
                <w:sz w:val="20"/>
                <w:szCs w:val="20"/>
              </w:rPr>
              <w:t>收款人账号</w:t>
            </w:r>
          </w:p>
        </w:tc>
        <w:tc>
          <w:tcPr>
            <w:tcW w:w="1418" w:type="dxa"/>
            <w:tcBorders>
              <w:top w:val="single" w:sz="4" w:space="0" w:color="auto"/>
              <w:left w:val="single" w:sz="4" w:space="0" w:color="auto"/>
              <w:bottom w:val="single" w:sz="4" w:space="0" w:color="auto"/>
              <w:right w:val="single" w:sz="4" w:space="0" w:color="auto"/>
            </w:tcBorders>
          </w:tcPr>
          <w:p w14:paraId="2B4D9B70" w14:textId="77777777" w:rsidR="00A052DC" w:rsidRDefault="009F0A60">
            <w:pPr>
              <w:rPr>
                <w:rFonts w:ascii="黑体" w:eastAsia="黑体" w:hAnsi="黑体"/>
                <w:sz w:val="20"/>
                <w:szCs w:val="20"/>
              </w:rPr>
            </w:pPr>
            <w:r>
              <w:rPr>
                <w:rFonts w:ascii="黑体" w:eastAsia="黑体" w:hAnsi="黑体" w:hint="eastAsia"/>
                <w:sz w:val="20"/>
                <w:szCs w:val="20"/>
              </w:rPr>
              <w:t>字符型，32</w:t>
            </w:r>
          </w:p>
        </w:tc>
        <w:tc>
          <w:tcPr>
            <w:tcW w:w="4110" w:type="dxa"/>
            <w:tcBorders>
              <w:top w:val="single" w:sz="4" w:space="0" w:color="auto"/>
              <w:left w:val="single" w:sz="4" w:space="0" w:color="auto"/>
              <w:bottom w:val="single" w:sz="4" w:space="0" w:color="auto"/>
              <w:right w:val="single" w:sz="4" w:space="0" w:color="auto"/>
            </w:tcBorders>
          </w:tcPr>
          <w:p w14:paraId="5B50E0AB"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r w:rsidR="00A052DC" w14:paraId="3CDE6BAD" w14:textId="77777777">
        <w:trPr>
          <w:cantSplit/>
          <w:trHeight w:val="623"/>
        </w:trPr>
        <w:tc>
          <w:tcPr>
            <w:tcW w:w="1560" w:type="dxa"/>
          </w:tcPr>
          <w:p w14:paraId="3588C979" w14:textId="77777777" w:rsidR="00A052DC" w:rsidRDefault="009F0A60">
            <w:pPr>
              <w:rPr>
                <w:rFonts w:ascii="黑体" w:eastAsia="黑体" w:hAnsi="黑体"/>
                <w:sz w:val="20"/>
                <w:szCs w:val="20"/>
              </w:rPr>
            </w:pPr>
            <w:r>
              <w:rPr>
                <w:rFonts w:ascii="黑体" w:eastAsia="黑体" w:hAnsi="黑体" w:hint="eastAsia"/>
                <w:sz w:val="20"/>
                <w:szCs w:val="20"/>
              </w:rPr>
              <w:t>TXCCY</w:t>
            </w:r>
          </w:p>
        </w:tc>
        <w:tc>
          <w:tcPr>
            <w:tcW w:w="1559" w:type="dxa"/>
          </w:tcPr>
          <w:p w14:paraId="5BA5ED9D" w14:textId="77777777" w:rsidR="00A052DC" w:rsidRDefault="009F0A60">
            <w:pPr>
              <w:rPr>
                <w:rFonts w:ascii="黑体" w:eastAsia="黑体" w:hAnsi="黑体"/>
                <w:sz w:val="20"/>
                <w:szCs w:val="20"/>
              </w:rPr>
            </w:pPr>
            <w:r>
              <w:rPr>
                <w:rFonts w:ascii="黑体" w:eastAsia="黑体" w:hAnsi="黑体" w:hint="eastAsia"/>
                <w:sz w:val="20"/>
                <w:szCs w:val="20"/>
              </w:rPr>
              <w:t>汇款币种</w:t>
            </w:r>
          </w:p>
        </w:tc>
        <w:tc>
          <w:tcPr>
            <w:tcW w:w="1418" w:type="dxa"/>
          </w:tcPr>
          <w:p w14:paraId="079984E4" w14:textId="77777777" w:rsidR="00A052DC" w:rsidRDefault="009F0A60">
            <w:pPr>
              <w:rPr>
                <w:rFonts w:ascii="黑体" w:eastAsia="黑体" w:hAnsi="黑体"/>
                <w:sz w:val="20"/>
                <w:szCs w:val="20"/>
              </w:rPr>
            </w:pPr>
            <w:r>
              <w:rPr>
                <w:rFonts w:ascii="黑体" w:eastAsia="黑体" w:hAnsi="黑体" w:hint="eastAsia"/>
                <w:sz w:val="20"/>
                <w:szCs w:val="20"/>
              </w:rPr>
              <w:t>字符型，3</w:t>
            </w:r>
          </w:p>
        </w:tc>
        <w:tc>
          <w:tcPr>
            <w:tcW w:w="4110" w:type="dxa"/>
          </w:tcPr>
          <w:p w14:paraId="278BE50A" w14:textId="77777777" w:rsidR="00A052DC" w:rsidRDefault="009F0A60">
            <w:pPr>
              <w:rPr>
                <w:rFonts w:ascii="黑体" w:eastAsia="黑体" w:hAnsi="黑体"/>
                <w:sz w:val="20"/>
                <w:szCs w:val="20"/>
              </w:rPr>
            </w:pPr>
            <w:r>
              <w:rPr>
                <w:rFonts w:ascii="黑体" w:eastAsia="黑体" w:hAnsi="黑体" w:hint="eastAsia"/>
                <w:sz w:val="20"/>
                <w:szCs w:val="20"/>
              </w:rPr>
              <w:t>必填项。字母代码,必须在币种代码表里存在。</w:t>
            </w:r>
          </w:p>
        </w:tc>
      </w:tr>
      <w:tr w:rsidR="00A052DC" w14:paraId="309D5E95" w14:textId="77777777">
        <w:trPr>
          <w:cantSplit/>
          <w:trHeight w:val="623"/>
        </w:trPr>
        <w:tc>
          <w:tcPr>
            <w:tcW w:w="1560" w:type="dxa"/>
          </w:tcPr>
          <w:p w14:paraId="3BD5AAC8" w14:textId="77777777" w:rsidR="00A052DC" w:rsidRDefault="009F0A60">
            <w:pPr>
              <w:rPr>
                <w:rFonts w:ascii="黑体" w:eastAsia="黑体" w:hAnsi="黑体"/>
                <w:sz w:val="20"/>
                <w:szCs w:val="20"/>
              </w:rPr>
            </w:pPr>
            <w:r>
              <w:rPr>
                <w:rFonts w:ascii="黑体" w:eastAsia="黑体" w:hAnsi="黑体" w:hint="eastAsia"/>
                <w:sz w:val="20"/>
                <w:szCs w:val="20"/>
              </w:rPr>
              <w:t>TXAMT</w:t>
            </w:r>
          </w:p>
        </w:tc>
        <w:tc>
          <w:tcPr>
            <w:tcW w:w="1559" w:type="dxa"/>
          </w:tcPr>
          <w:p w14:paraId="0F0599D2" w14:textId="77777777" w:rsidR="00A052DC" w:rsidRDefault="009F0A60">
            <w:pPr>
              <w:rPr>
                <w:rFonts w:ascii="黑体" w:eastAsia="黑体" w:hAnsi="黑体"/>
                <w:sz w:val="20"/>
                <w:szCs w:val="20"/>
              </w:rPr>
            </w:pPr>
            <w:r>
              <w:rPr>
                <w:rFonts w:ascii="黑体" w:eastAsia="黑体" w:hAnsi="黑体" w:hint="eastAsia"/>
                <w:sz w:val="20"/>
                <w:szCs w:val="20"/>
              </w:rPr>
              <w:t>汇款金额</w:t>
            </w:r>
          </w:p>
        </w:tc>
        <w:tc>
          <w:tcPr>
            <w:tcW w:w="1418" w:type="dxa"/>
          </w:tcPr>
          <w:p w14:paraId="64EAB4A0" w14:textId="77777777" w:rsidR="00A052DC" w:rsidRDefault="009F0A60">
            <w:pPr>
              <w:rPr>
                <w:rFonts w:ascii="黑体" w:eastAsia="黑体" w:hAnsi="黑体"/>
                <w:sz w:val="20"/>
                <w:szCs w:val="20"/>
              </w:rPr>
            </w:pPr>
            <w:r>
              <w:rPr>
                <w:rFonts w:ascii="黑体" w:eastAsia="黑体" w:hAnsi="黑体" w:hint="eastAsia"/>
                <w:sz w:val="20"/>
                <w:szCs w:val="20"/>
              </w:rPr>
              <w:t>数值型，22.0</w:t>
            </w:r>
          </w:p>
        </w:tc>
        <w:tc>
          <w:tcPr>
            <w:tcW w:w="4110" w:type="dxa"/>
          </w:tcPr>
          <w:p w14:paraId="1B2045D4" w14:textId="77777777" w:rsidR="00A052DC" w:rsidRDefault="009F0A60">
            <w:pPr>
              <w:rPr>
                <w:rFonts w:ascii="黑体" w:eastAsia="黑体" w:hAnsi="黑体"/>
                <w:sz w:val="20"/>
                <w:szCs w:val="20"/>
              </w:rPr>
            </w:pPr>
            <w:r>
              <w:rPr>
                <w:rFonts w:ascii="黑体" w:eastAsia="黑体" w:hAnsi="黑体" w:hint="eastAsia"/>
                <w:sz w:val="20"/>
                <w:szCs w:val="20"/>
              </w:rPr>
              <w:t>必须大于0。</w:t>
            </w:r>
          </w:p>
          <w:p w14:paraId="4023987A" w14:textId="77777777" w:rsidR="00A052DC" w:rsidRDefault="009F0A60">
            <w:pPr>
              <w:rPr>
                <w:rFonts w:ascii="黑体" w:eastAsia="黑体" w:hAnsi="黑体"/>
                <w:sz w:val="20"/>
                <w:szCs w:val="20"/>
              </w:rPr>
            </w:pPr>
            <w:r>
              <w:rPr>
                <w:rFonts w:ascii="黑体" w:eastAsia="黑体" w:hAnsi="黑体" w:hint="eastAsia"/>
                <w:sz w:val="20"/>
                <w:szCs w:val="20"/>
              </w:rPr>
              <w:t>无小数位。</w:t>
            </w:r>
          </w:p>
        </w:tc>
      </w:tr>
      <w:tr w:rsidR="00A052DC" w14:paraId="4DADF471" w14:textId="77777777">
        <w:tc>
          <w:tcPr>
            <w:tcW w:w="1560" w:type="dxa"/>
          </w:tcPr>
          <w:p w14:paraId="204240F0" w14:textId="77777777" w:rsidR="00A052DC" w:rsidRDefault="009F0A60">
            <w:pPr>
              <w:rPr>
                <w:rFonts w:ascii="黑体" w:eastAsia="黑体" w:hAnsi="黑体"/>
                <w:sz w:val="20"/>
                <w:szCs w:val="20"/>
              </w:rPr>
            </w:pPr>
            <w:r>
              <w:rPr>
                <w:rFonts w:ascii="黑体" w:eastAsia="黑体" w:hAnsi="黑体" w:hint="eastAsia"/>
                <w:sz w:val="20"/>
                <w:szCs w:val="20"/>
              </w:rPr>
              <w:t>EXRATE</w:t>
            </w:r>
          </w:p>
        </w:tc>
        <w:tc>
          <w:tcPr>
            <w:tcW w:w="1559" w:type="dxa"/>
          </w:tcPr>
          <w:p w14:paraId="28C2039E" w14:textId="77777777" w:rsidR="00A052DC" w:rsidRDefault="009F0A60">
            <w:pPr>
              <w:rPr>
                <w:rFonts w:ascii="黑体" w:eastAsia="黑体" w:hAnsi="黑体"/>
                <w:sz w:val="20"/>
                <w:szCs w:val="20"/>
              </w:rPr>
            </w:pPr>
            <w:r>
              <w:rPr>
                <w:rFonts w:ascii="黑体" w:eastAsia="黑体" w:hAnsi="黑体" w:hint="eastAsia"/>
                <w:sz w:val="20"/>
                <w:szCs w:val="20"/>
              </w:rPr>
              <w:t>购汇汇率</w:t>
            </w:r>
          </w:p>
        </w:tc>
        <w:tc>
          <w:tcPr>
            <w:tcW w:w="1418" w:type="dxa"/>
          </w:tcPr>
          <w:p w14:paraId="3611825D" w14:textId="77777777" w:rsidR="00A052DC" w:rsidRDefault="009F0A60">
            <w:pPr>
              <w:rPr>
                <w:rFonts w:ascii="黑体" w:eastAsia="黑体" w:hAnsi="黑体"/>
                <w:sz w:val="20"/>
                <w:szCs w:val="20"/>
              </w:rPr>
            </w:pPr>
            <w:r>
              <w:rPr>
                <w:rFonts w:ascii="黑体" w:eastAsia="黑体" w:hAnsi="黑体" w:hint="eastAsia"/>
                <w:sz w:val="20"/>
                <w:szCs w:val="20"/>
              </w:rPr>
              <w:t>数值型，13.8</w:t>
            </w:r>
          </w:p>
        </w:tc>
        <w:tc>
          <w:tcPr>
            <w:tcW w:w="4110" w:type="dxa"/>
          </w:tcPr>
          <w:p w14:paraId="58C30BF1" w14:textId="77777777" w:rsidR="00A052DC" w:rsidRDefault="009F0A60">
            <w:pPr>
              <w:rPr>
                <w:rFonts w:ascii="黑体" w:eastAsia="黑体" w:hAnsi="黑体"/>
                <w:sz w:val="20"/>
                <w:szCs w:val="20"/>
              </w:rPr>
            </w:pPr>
            <w:r>
              <w:rPr>
                <w:rFonts w:ascii="黑体" w:eastAsia="黑体" w:hAnsi="黑体" w:hint="eastAsia"/>
                <w:sz w:val="20"/>
                <w:szCs w:val="20"/>
              </w:rPr>
              <w:t>当购汇金额大于0时必填，否则不应该填写。</w:t>
            </w:r>
          </w:p>
        </w:tc>
      </w:tr>
      <w:tr w:rsidR="00A052DC" w14:paraId="4BD9D3FF" w14:textId="77777777">
        <w:tc>
          <w:tcPr>
            <w:tcW w:w="1560" w:type="dxa"/>
          </w:tcPr>
          <w:p w14:paraId="25876F5D" w14:textId="77777777" w:rsidR="00A052DC" w:rsidRDefault="009F0A60">
            <w:pPr>
              <w:rPr>
                <w:rFonts w:ascii="黑体" w:eastAsia="黑体" w:hAnsi="黑体"/>
                <w:sz w:val="20"/>
                <w:szCs w:val="20"/>
              </w:rPr>
            </w:pPr>
            <w:r>
              <w:rPr>
                <w:rFonts w:ascii="黑体" w:eastAsia="黑体" w:hAnsi="黑体" w:hint="eastAsia"/>
                <w:sz w:val="20"/>
                <w:szCs w:val="20"/>
              </w:rPr>
              <w:t>LCYAMT</w:t>
            </w:r>
          </w:p>
        </w:tc>
        <w:tc>
          <w:tcPr>
            <w:tcW w:w="1559" w:type="dxa"/>
          </w:tcPr>
          <w:p w14:paraId="57C8143B" w14:textId="77777777" w:rsidR="00A052DC" w:rsidRDefault="009F0A60">
            <w:pPr>
              <w:rPr>
                <w:rFonts w:ascii="黑体" w:eastAsia="黑体" w:hAnsi="黑体"/>
                <w:sz w:val="20"/>
                <w:szCs w:val="20"/>
              </w:rPr>
            </w:pPr>
            <w:r>
              <w:rPr>
                <w:rFonts w:ascii="黑体" w:eastAsia="黑体" w:hAnsi="黑体" w:hint="eastAsia"/>
                <w:sz w:val="20"/>
                <w:szCs w:val="20"/>
              </w:rPr>
              <w:t>购汇金额</w:t>
            </w:r>
          </w:p>
        </w:tc>
        <w:tc>
          <w:tcPr>
            <w:tcW w:w="1418" w:type="dxa"/>
          </w:tcPr>
          <w:p w14:paraId="31BD0648" w14:textId="77777777" w:rsidR="00A052DC" w:rsidRDefault="009F0A60">
            <w:pPr>
              <w:rPr>
                <w:rFonts w:ascii="黑体" w:eastAsia="黑体" w:hAnsi="黑体"/>
                <w:sz w:val="20"/>
                <w:szCs w:val="20"/>
              </w:rPr>
            </w:pPr>
            <w:r>
              <w:rPr>
                <w:rFonts w:ascii="黑体" w:eastAsia="黑体" w:hAnsi="黑体" w:hint="eastAsia"/>
                <w:sz w:val="20"/>
                <w:szCs w:val="20"/>
              </w:rPr>
              <w:t>数值型，22.0</w:t>
            </w:r>
          </w:p>
        </w:tc>
        <w:tc>
          <w:tcPr>
            <w:tcW w:w="4110" w:type="dxa"/>
          </w:tcPr>
          <w:p w14:paraId="3BA6D2BF" w14:textId="77777777" w:rsidR="00A052DC" w:rsidRDefault="00DD6AA3">
            <w:pPr>
              <w:rPr>
                <w:rFonts w:ascii="黑体" w:eastAsia="黑体" w:hAnsi="黑体"/>
                <w:sz w:val="20"/>
                <w:szCs w:val="20"/>
              </w:rPr>
            </w:pPr>
            <w:r>
              <w:rPr>
                <w:rFonts w:ascii="黑体" w:eastAsia="黑体" w:hAnsi="黑体" w:hint="eastAsia"/>
                <w:sz w:val="20"/>
                <w:szCs w:val="20"/>
              </w:rPr>
              <w:t>非必填项</w:t>
            </w:r>
            <w:r w:rsidR="009F0A60">
              <w:rPr>
                <w:rFonts w:ascii="黑体" w:eastAsia="黑体" w:hAnsi="黑体" w:hint="eastAsia"/>
                <w:sz w:val="20"/>
                <w:szCs w:val="20"/>
              </w:rPr>
              <w:t>，但不能小于0。</w:t>
            </w:r>
          </w:p>
          <w:p w14:paraId="09EFB405" w14:textId="77777777" w:rsidR="00A052DC" w:rsidRDefault="009F0A60">
            <w:pPr>
              <w:rPr>
                <w:rFonts w:ascii="黑体" w:eastAsia="黑体" w:hAnsi="黑体"/>
                <w:sz w:val="20"/>
                <w:szCs w:val="20"/>
              </w:rPr>
            </w:pPr>
            <w:r>
              <w:rPr>
                <w:rFonts w:ascii="黑体" w:eastAsia="黑体" w:hAnsi="黑体" w:hint="eastAsia"/>
                <w:sz w:val="20"/>
                <w:szCs w:val="20"/>
              </w:rPr>
              <w:t>若账号不为空则对应金额必须&gt;0；若金额&gt;0，则对应账号不能为空。</w:t>
            </w:r>
          </w:p>
        </w:tc>
      </w:tr>
      <w:tr w:rsidR="00A052DC" w14:paraId="6CD04371" w14:textId="77777777">
        <w:tc>
          <w:tcPr>
            <w:tcW w:w="1560" w:type="dxa"/>
          </w:tcPr>
          <w:p w14:paraId="7EA6AF9B" w14:textId="77777777" w:rsidR="00A052DC" w:rsidRDefault="009F0A60">
            <w:pPr>
              <w:rPr>
                <w:rFonts w:ascii="黑体" w:eastAsia="黑体" w:hAnsi="黑体"/>
                <w:sz w:val="20"/>
                <w:szCs w:val="20"/>
              </w:rPr>
            </w:pPr>
            <w:r>
              <w:rPr>
                <w:rFonts w:ascii="黑体" w:eastAsia="黑体" w:hAnsi="黑体" w:hint="eastAsia"/>
                <w:sz w:val="20"/>
                <w:szCs w:val="20"/>
              </w:rPr>
              <w:t>LCYACC</w:t>
            </w:r>
          </w:p>
        </w:tc>
        <w:tc>
          <w:tcPr>
            <w:tcW w:w="1559" w:type="dxa"/>
          </w:tcPr>
          <w:p w14:paraId="5BABC292" w14:textId="77777777" w:rsidR="00A052DC" w:rsidRDefault="009F0A60">
            <w:pPr>
              <w:rPr>
                <w:rFonts w:ascii="黑体" w:eastAsia="黑体" w:hAnsi="黑体"/>
                <w:sz w:val="20"/>
                <w:szCs w:val="20"/>
              </w:rPr>
            </w:pPr>
            <w:r>
              <w:rPr>
                <w:rFonts w:ascii="黑体" w:eastAsia="黑体" w:hAnsi="黑体" w:hint="eastAsia"/>
                <w:sz w:val="20"/>
                <w:szCs w:val="20"/>
              </w:rPr>
              <w:t>人民币账号/银行卡号</w:t>
            </w:r>
          </w:p>
        </w:tc>
        <w:tc>
          <w:tcPr>
            <w:tcW w:w="1418" w:type="dxa"/>
          </w:tcPr>
          <w:p w14:paraId="67543F37" w14:textId="77777777" w:rsidR="00A052DC" w:rsidRDefault="009F0A60">
            <w:pPr>
              <w:rPr>
                <w:rFonts w:ascii="黑体" w:eastAsia="黑体" w:hAnsi="黑体"/>
                <w:sz w:val="20"/>
                <w:szCs w:val="20"/>
              </w:rPr>
            </w:pPr>
            <w:r>
              <w:rPr>
                <w:rFonts w:ascii="黑体" w:eastAsia="黑体" w:hAnsi="黑体" w:hint="eastAsia"/>
                <w:sz w:val="20"/>
                <w:szCs w:val="20"/>
              </w:rPr>
              <w:t>字符型，32</w:t>
            </w:r>
          </w:p>
        </w:tc>
        <w:tc>
          <w:tcPr>
            <w:tcW w:w="4110" w:type="dxa"/>
          </w:tcPr>
          <w:p w14:paraId="260A1B91" w14:textId="77777777" w:rsidR="00A052DC" w:rsidRDefault="009F0A60">
            <w:pPr>
              <w:rPr>
                <w:rFonts w:ascii="黑体" w:eastAsia="黑体" w:hAnsi="黑体"/>
                <w:sz w:val="20"/>
                <w:szCs w:val="20"/>
              </w:rPr>
            </w:pPr>
            <w:r>
              <w:rPr>
                <w:rFonts w:ascii="黑体" w:eastAsia="黑体" w:hAnsi="黑体" w:hint="eastAsia"/>
                <w:sz w:val="20"/>
                <w:szCs w:val="20"/>
              </w:rPr>
              <w:t>购汇金额、购汇汇率、购汇账号三个或同时空或同时有值。</w:t>
            </w:r>
          </w:p>
        </w:tc>
      </w:tr>
      <w:tr w:rsidR="00A052DC" w14:paraId="7C9BE7D9" w14:textId="77777777">
        <w:tc>
          <w:tcPr>
            <w:tcW w:w="1560" w:type="dxa"/>
          </w:tcPr>
          <w:p w14:paraId="0CB847FB" w14:textId="77777777" w:rsidR="00A052DC" w:rsidRDefault="009F0A60">
            <w:pPr>
              <w:rPr>
                <w:rFonts w:ascii="黑体" w:eastAsia="黑体" w:hAnsi="黑体"/>
                <w:sz w:val="20"/>
                <w:szCs w:val="20"/>
              </w:rPr>
            </w:pPr>
            <w:r>
              <w:rPr>
                <w:rFonts w:ascii="黑体" w:eastAsia="黑体" w:hAnsi="黑体" w:hint="eastAsia"/>
                <w:sz w:val="20"/>
                <w:szCs w:val="20"/>
              </w:rPr>
              <w:t>FCYAMT</w:t>
            </w:r>
          </w:p>
        </w:tc>
        <w:tc>
          <w:tcPr>
            <w:tcW w:w="1559" w:type="dxa"/>
          </w:tcPr>
          <w:p w14:paraId="14AE1A77" w14:textId="77777777" w:rsidR="00A052DC" w:rsidRDefault="009F0A60">
            <w:pPr>
              <w:rPr>
                <w:rFonts w:ascii="黑体" w:eastAsia="黑体" w:hAnsi="黑体"/>
                <w:sz w:val="20"/>
                <w:szCs w:val="20"/>
              </w:rPr>
            </w:pPr>
            <w:r>
              <w:rPr>
                <w:rFonts w:ascii="黑体" w:eastAsia="黑体" w:hAnsi="黑体" w:hint="eastAsia"/>
                <w:sz w:val="20"/>
                <w:szCs w:val="20"/>
              </w:rPr>
              <w:t>现汇金额</w:t>
            </w:r>
          </w:p>
          <w:p w14:paraId="7639F622" w14:textId="77777777" w:rsidR="00A052DC" w:rsidRDefault="00A052DC">
            <w:pPr>
              <w:rPr>
                <w:rFonts w:ascii="黑体" w:eastAsia="黑体" w:hAnsi="黑体"/>
                <w:sz w:val="20"/>
                <w:szCs w:val="20"/>
              </w:rPr>
            </w:pPr>
          </w:p>
        </w:tc>
        <w:tc>
          <w:tcPr>
            <w:tcW w:w="1418" w:type="dxa"/>
          </w:tcPr>
          <w:p w14:paraId="28A46B51" w14:textId="77777777" w:rsidR="00A052DC" w:rsidRDefault="009F0A60">
            <w:pPr>
              <w:rPr>
                <w:rFonts w:ascii="黑体" w:eastAsia="黑体" w:hAnsi="黑体"/>
                <w:sz w:val="20"/>
                <w:szCs w:val="20"/>
              </w:rPr>
            </w:pPr>
            <w:r>
              <w:rPr>
                <w:rFonts w:ascii="黑体" w:eastAsia="黑体" w:hAnsi="黑体" w:hint="eastAsia"/>
                <w:sz w:val="20"/>
                <w:szCs w:val="20"/>
              </w:rPr>
              <w:t>数值型，22.0</w:t>
            </w:r>
          </w:p>
        </w:tc>
        <w:tc>
          <w:tcPr>
            <w:tcW w:w="4110" w:type="dxa"/>
          </w:tcPr>
          <w:p w14:paraId="46B5CABB" w14:textId="77777777" w:rsidR="00A052DC" w:rsidRDefault="00DD6AA3">
            <w:pPr>
              <w:rPr>
                <w:rFonts w:ascii="黑体" w:eastAsia="黑体" w:hAnsi="黑体"/>
                <w:sz w:val="20"/>
                <w:szCs w:val="20"/>
              </w:rPr>
            </w:pPr>
            <w:r>
              <w:rPr>
                <w:rFonts w:ascii="黑体" w:eastAsia="黑体" w:hAnsi="黑体" w:hint="eastAsia"/>
                <w:sz w:val="20"/>
                <w:szCs w:val="20"/>
              </w:rPr>
              <w:t>非必填项</w:t>
            </w:r>
            <w:r w:rsidR="009F0A60">
              <w:rPr>
                <w:rFonts w:ascii="黑体" w:eastAsia="黑体" w:hAnsi="黑体" w:hint="eastAsia"/>
                <w:sz w:val="20"/>
                <w:szCs w:val="20"/>
              </w:rPr>
              <w:t>，但不能小于0。</w:t>
            </w:r>
          </w:p>
          <w:p w14:paraId="472F4CA3" w14:textId="77777777" w:rsidR="00A052DC" w:rsidRDefault="009F0A60">
            <w:pPr>
              <w:rPr>
                <w:rFonts w:ascii="黑体" w:eastAsia="黑体" w:hAnsi="黑体"/>
                <w:sz w:val="20"/>
                <w:szCs w:val="20"/>
              </w:rPr>
            </w:pPr>
            <w:r>
              <w:rPr>
                <w:rFonts w:ascii="黑体" w:eastAsia="黑体" w:hAnsi="黑体" w:hint="eastAsia"/>
                <w:sz w:val="20"/>
                <w:szCs w:val="20"/>
              </w:rPr>
              <w:t>若账号不为空则对应金额必须&gt;0；若金额&gt;0，则对应账号不能为空。</w:t>
            </w:r>
          </w:p>
        </w:tc>
      </w:tr>
      <w:tr w:rsidR="00A052DC" w14:paraId="73B1C588" w14:textId="77777777">
        <w:tc>
          <w:tcPr>
            <w:tcW w:w="1560" w:type="dxa"/>
          </w:tcPr>
          <w:p w14:paraId="041A597C" w14:textId="77777777" w:rsidR="00A052DC" w:rsidRDefault="009F0A60">
            <w:pPr>
              <w:rPr>
                <w:rFonts w:ascii="黑体" w:eastAsia="黑体" w:hAnsi="黑体"/>
                <w:sz w:val="20"/>
                <w:szCs w:val="20"/>
              </w:rPr>
            </w:pPr>
            <w:r>
              <w:rPr>
                <w:rFonts w:ascii="黑体" w:eastAsia="黑体" w:hAnsi="黑体" w:hint="eastAsia"/>
                <w:sz w:val="20"/>
                <w:szCs w:val="20"/>
              </w:rPr>
              <w:t>FCYACC</w:t>
            </w:r>
          </w:p>
        </w:tc>
        <w:tc>
          <w:tcPr>
            <w:tcW w:w="1559" w:type="dxa"/>
          </w:tcPr>
          <w:p w14:paraId="01E7A206" w14:textId="77777777" w:rsidR="00A052DC" w:rsidRDefault="009F0A60">
            <w:pPr>
              <w:rPr>
                <w:rFonts w:ascii="黑体" w:eastAsia="黑体" w:hAnsi="黑体"/>
                <w:sz w:val="20"/>
                <w:szCs w:val="20"/>
              </w:rPr>
            </w:pPr>
            <w:r>
              <w:rPr>
                <w:rFonts w:ascii="黑体" w:eastAsia="黑体" w:hAnsi="黑体" w:hint="eastAsia"/>
                <w:sz w:val="20"/>
                <w:szCs w:val="20"/>
              </w:rPr>
              <w:t>外汇账号/银行卡号</w:t>
            </w:r>
          </w:p>
        </w:tc>
        <w:tc>
          <w:tcPr>
            <w:tcW w:w="1418" w:type="dxa"/>
          </w:tcPr>
          <w:p w14:paraId="2E3F6798" w14:textId="77777777" w:rsidR="00A052DC" w:rsidRDefault="009F0A60">
            <w:pPr>
              <w:rPr>
                <w:rFonts w:ascii="黑体" w:eastAsia="黑体" w:hAnsi="黑体"/>
                <w:sz w:val="20"/>
                <w:szCs w:val="20"/>
              </w:rPr>
            </w:pPr>
            <w:r>
              <w:rPr>
                <w:rFonts w:ascii="黑体" w:eastAsia="黑体" w:hAnsi="黑体" w:hint="eastAsia"/>
                <w:sz w:val="20"/>
                <w:szCs w:val="20"/>
              </w:rPr>
              <w:t>字符型，32</w:t>
            </w:r>
          </w:p>
        </w:tc>
        <w:tc>
          <w:tcPr>
            <w:tcW w:w="4110" w:type="dxa"/>
          </w:tcPr>
          <w:p w14:paraId="5175FA87" w14:textId="77777777" w:rsidR="00A052DC" w:rsidRDefault="009F0A60">
            <w:pPr>
              <w:rPr>
                <w:rFonts w:ascii="黑体" w:eastAsia="黑体" w:hAnsi="黑体"/>
                <w:sz w:val="20"/>
                <w:szCs w:val="20"/>
              </w:rPr>
            </w:pPr>
            <w:r>
              <w:rPr>
                <w:rFonts w:ascii="黑体" w:eastAsia="黑体" w:hAnsi="黑体" w:hint="eastAsia"/>
                <w:sz w:val="20"/>
                <w:szCs w:val="20"/>
              </w:rPr>
              <w:t>如果有现汇金额，则该字段不能为空。</w:t>
            </w:r>
          </w:p>
          <w:p w14:paraId="3618E263" w14:textId="77777777" w:rsidR="00A052DC" w:rsidRDefault="009F0A60">
            <w:pPr>
              <w:rPr>
                <w:rFonts w:ascii="黑体" w:eastAsia="黑体" w:hAnsi="黑体"/>
                <w:sz w:val="20"/>
                <w:szCs w:val="20"/>
              </w:rPr>
            </w:pPr>
            <w:r>
              <w:rPr>
                <w:rFonts w:ascii="黑体" w:eastAsia="黑体" w:hAnsi="黑体" w:hint="eastAsia"/>
                <w:sz w:val="20"/>
                <w:szCs w:val="20"/>
              </w:rPr>
              <w:t>现汇金额、现汇账号或同时空，或同时有值。</w:t>
            </w:r>
          </w:p>
        </w:tc>
      </w:tr>
      <w:tr w:rsidR="00A052DC" w14:paraId="5F968CF4" w14:textId="77777777">
        <w:tc>
          <w:tcPr>
            <w:tcW w:w="1560" w:type="dxa"/>
          </w:tcPr>
          <w:p w14:paraId="05F3DCE2" w14:textId="77777777" w:rsidR="00A052DC" w:rsidRDefault="009F0A60">
            <w:pPr>
              <w:rPr>
                <w:rFonts w:ascii="黑体" w:eastAsia="黑体" w:hAnsi="黑体"/>
                <w:sz w:val="20"/>
                <w:szCs w:val="20"/>
              </w:rPr>
            </w:pPr>
            <w:r>
              <w:rPr>
                <w:rFonts w:ascii="黑体" w:eastAsia="黑体" w:hAnsi="黑体" w:hint="eastAsia"/>
                <w:sz w:val="20"/>
                <w:szCs w:val="20"/>
              </w:rPr>
              <w:t>OTHAMT</w:t>
            </w:r>
          </w:p>
        </w:tc>
        <w:tc>
          <w:tcPr>
            <w:tcW w:w="1559" w:type="dxa"/>
          </w:tcPr>
          <w:p w14:paraId="776D81EC" w14:textId="77777777" w:rsidR="00A052DC" w:rsidRDefault="0021563C">
            <w:pPr>
              <w:rPr>
                <w:rFonts w:ascii="黑体" w:eastAsia="黑体" w:hAnsi="黑体"/>
                <w:sz w:val="20"/>
                <w:szCs w:val="20"/>
              </w:rPr>
            </w:pPr>
            <w:r>
              <w:rPr>
                <w:rFonts w:ascii="黑体" w:eastAsia="黑体" w:hAnsi="黑体" w:hint="eastAsia"/>
                <w:sz w:val="20"/>
                <w:szCs w:val="20"/>
              </w:rPr>
              <w:t>其他</w:t>
            </w:r>
            <w:r w:rsidR="009F0A60">
              <w:rPr>
                <w:rFonts w:ascii="黑体" w:eastAsia="黑体" w:hAnsi="黑体" w:hint="eastAsia"/>
                <w:sz w:val="20"/>
                <w:szCs w:val="20"/>
              </w:rPr>
              <w:t>金额</w:t>
            </w:r>
          </w:p>
        </w:tc>
        <w:tc>
          <w:tcPr>
            <w:tcW w:w="1418" w:type="dxa"/>
          </w:tcPr>
          <w:p w14:paraId="3F1E20F0" w14:textId="77777777" w:rsidR="00A052DC" w:rsidRDefault="009F0A60">
            <w:pPr>
              <w:rPr>
                <w:rFonts w:ascii="黑体" w:eastAsia="黑体" w:hAnsi="黑体"/>
                <w:sz w:val="20"/>
                <w:szCs w:val="20"/>
              </w:rPr>
            </w:pPr>
            <w:r>
              <w:rPr>
                <w:rFonts w:ascii="黑体" w:eastAsia="黑体" w:hAnsi="黑体" w:hint="eastAsia"/>
                <w:sz w:val="20"/>
                <w:szCs w:val="20"/>
              </w:rPr>
              <w:t>数值型，22.0</w:t>
            </w:r>
          </w:p>
        </w:tc>
        <w:tc>
          <w:tcPr>
            <w:tcW w:w="4110" w:type="dxa"/>
          </w:tcPr>
          <w:p w14:paraId="01E267BD" w14:textId="77777777" w:rsidR="00A052DC" w:rsidRDefault="00DD6AA3">
            <w:pPr>
              <w:rPr>
                <w:rFonts w:ascii="黑体" w:eastAsia="黑体" w:hAnsi="黑体"/>
                <w:sz w:val="20"/>
                <w:szCs w:val="20"/>
              </w:rPr>
            </w:pPr>
            <w:r>
              <w:rPr>
                <w:rFonts w:ascii="黑体" w:eastAsia="黑体" w:hAnsi="黑体" w:hint="eastAsia"/>
                <w:sz w:val="20"/>
                <w:szCs w:val="20"/>
              </w:rPr>
              <w:t>非必填项</w:t>
            </w:r>
            <w:r w:rsidR="009F0A60">
              <w:rPr>
                <w:rFonts w:ascii="黑体" w:eastAsia="黑体" w:hAnsi="黑体" w:hint="eastAsia"/>
                <w:sz w:val="20"/>
                <w:szCs w:val="20"/>
              </w:rPr>
              <w:t>，但不能小于0。</w:t>
            </w:r>
          </w:p>
          <w:p w14:paraId="65B27B40" w14:textId="77777777" w:rsidR="00A052DC" w:rsidRDefault="009F0A60">
            <w:pPr>
              <w:rPr>
                <w:rFonts w:ascii="黑体" w:eastAsia="黑体" w:hAnsi="黑体"/>
                <w:sz w:val="20"/>
                <w:szCs w:val="20"/>
              </w:rPr>
            </w:pPr>
            <w:r>
              <w:rPr>
                <w:rFonts w:ascii="黑体" w:eastAsia="黑体" w:hAnsi="黑体" w:hint="eastAsia"/>
                <w:sz w:val="20"/>
                <w:szCs w:val="20"/>
              </w:rPr>
              <w:t>若账号不为空则对应金额必须&gt;0；若金额&gt;0，则对应账号不能为空。</w:t>
            </w:r>
          </w:p>
          <w:p w14:paraId="0B2F2BEF" w14:textId="77777777" w:rsidR="00A052DC" w:rsidRDefault="009F0A60">
            <w:pPr>
              <w:rPr>
                <w:rFonts w:ascii="黑体" w:eastAsia="黑体" w:hAnsi="黑体"/>
                <w:sz w:val="20"/>
                <w:szCs w:val="20"/>
              </w:rPr>
            </w:pPr>
            <w:r>
              <w:rPr>
                <w:rFonts w:ascii="黑体" w:eastAsia="黑体" w:hAnsi="黑体" w:hint="eastAsia"/>
                <w:sz w:val="20"/>
                <w:szCs w:val="20"/>
              </w:rPr>
              <w:t>购汇金额,现汇金额,</w:t>
            </w:r>
            <w:r w:rsidR="0021563C">
              <w:rPr>
                <w:rFonts w:ascii="黑体" w:eastAsia="黑体" w:hAnsi="黑体" w:hint="eastAsia"/>
                <w:sz w:val="20"/>
                <w:szCs w:val="20"/>
              </w:rPr>
              <w:t>其他</w:t>
            </w:r>
            <w:r>
              <w:rPr>
                <w:rFonts w:ascii="黑体" w:eastAsia="黑体" w:hAnsi="黑体" w:hint="eastAsia"/>
                <w:sz w:val="20"/>
                <w:szCs w:val="20"/>
              </w:rPr>
              <w:t>金额至少输入一项。</w:t>
            </w:r>
          </w:p>
          <w:p w14:paraId="2BB52699" w14:textId="77777777" w:rsidR="00A052DC" w:rsidRDefault="009F0A60">
            <w:pPr>
              <w:rPr>
                <w:rFonts w:ascii="黑体" w:eastAsia="黑体" w:hAnsi="黑体"/>
                <w:sz w:val="20"/>
                <w:szCs w:val="20"/>
              </w:rPr>
            </w:pPr>
            <w:r>
              <w:rPr>
                <w:rFonts w:ascii="黑体" w:eastAsia="黑体" w:hAnsi="黑体" w:hint="eastAsia"/>
                <w:sz w:val="20"/>
                <w:szCs w:val="20"/>
              </w:rPr>
              <w:t>购汇金额、现汇金额、</w:t>
            </w:r>
            <w:r w:rsidR="0021563C">
              <w:rPr>
                <w:rFonts w:ascii="黑体" w:eastAsia="黑体" w:hAnsi="黑体" w:hint="eastAsia"/>
                <w:sz w:val="20"/>
                <w:szCs w:val="20"/>
              </w:rPr>
              <w:t>其他</w:t>
            </w:r>
            <w:r>
              <w:rPr>
                <w:rFonts w:ascii="黑体" w:eastAsia="黑体" w:hAnsi="黑体" w:hint="eastAsia"/>
                <w:sz w:val="20"/>
                <w:szCs w:val="20"/>
              </w:rPr>
              <w:t>金额之和应等于汇款金额。</w:t>
            </w:r>
          </w:p>
        </w:tc>
      </w:tr>
      <w:tr w:rsidR="00A052DC" w14:paraId="6600256E" w14:textId="77777777">
        <w:tc>
          <w:tcPr>
            <w:tcW w:w="1560" w:type="dxa"/>
          </w:tcPr>
          <w:p w14:paraId="2DAA5085" w14:textId="77777777" w:rsidR="00A052DC" w:rsidRDefault="009F0A60">
            <w:pPr>
              <w:rPr>
                <w:rFonts w:ascii="黑体" w:eastAsia="黑体" w:hAnsi="黑体"/>
                <w:sz w:val="20"/>
                <w:szCs w:val="20"/>
              </w:rPr>
            </w:pPr>
            <w:r>
              <w:rPr>
                <w:rFonts w:ascii="黑体" w:eastAsia="黑体" w:hAnsi="黑体" w:hint="eastAsia"/>
                <w:sz w:val="20"/>
                <w:szCs w:val="20"/>
              </w:rPr>
              <w:t>OTHACC</w:t>
            </w:r>
          </w:p>
        </w:tc>
        <w:tc>
          <w:tcPr>
            <w:tcW w:w="1559" w:type="dxa"/>
          </w:tcPr>
          <w:p w14:paraId="79DFDD06" w14:textId="77777777" w:rsidR="00A052DC" w:rsidRDefault="0021563C">
            <w:pPr>
              <w:rPr>
                <w:rFonts w:ascii="黑体" w:eastAsia="黑体" w:hAnsi="黑体"/>
                <w:sz w:val="20"/>
                <w:szCs w:val="20"/>
              </w:rPr>
            </w:pPr>
            <w:r>
              <w:rPr>
                <w:rFonts w:ascii="黑体" w:eastAsia="黑体" w:hAnsi="黑体" w:hint="eastAsia"/>
                <w:sz w:val="20"/>
                <w:szCs w:val="20"/>
              </w:rPr>
              <w:t>其他</w:t>
            </w:r>
            <w:r w:rsidR="009F0A60">
              <w:rPr>
                <w:rFonts w:ascii="黑体" w:eastAsia="黑体" w:hAnsi="黑体" w:hint="eastAsia"/>
                <w:sz w:val="20"/>
                <w:szCs w:val="20"/>
              </w:rPr>
              <w:t>账号/银行卡号</w:t>
            </w:r>
          </w:p>
          <w:p w14:paraId="1C2F1FCD" w14:textId="77777777" w:rsidR="00A052DC" w:rsidRDefault="00A052DC">
            <w:pPr>
              <w:rPr>
                <w:rFonts w:ascii="黑体" w:eastAsia="黑体" w:hAnsi="黑体"/>
                <w:sz w:val="20"/>
                <w:szCs w:val="20"/>
              </w:rPr>
            </w:pPr>
          </w:p>
        </w:tc>
        <w:tc>
          <w:tcPr>
            <w:tcW w:w="1418" w:type="dxa"/>
          </w:tcPr>
          <w:p w14:paraId="56E3AF3F" w14:textId="77777777" w:rsidR="00A052DC" w:rsidRDefault="009F0A60">
            <w:pPr>
              <w:rPr>
                <w:rFonts w:ascii="黑体" w:eastAsia="黑体" w:hAnsi="黑体"/>
                <w:sz w:val="20"/>
                <w:szCs w:val="20"/>
              </w:rPr>
            </w:pPr>
            <w:r>
              <w:rPr>
                <w:rFonts w:ascii="黑体" w:eastAsia="黑体" w:hAnsi="黑体" w:hint="eastAsia"/>
                <w:sz w:val="20"/>
                <w:szCs w:val="20"/>
              </w:rPr>
              <w:t>字符型，32</w:t>
            </w:r>
          </w:p>
        </w:tc>
        <w:tc>
          <w:tcPr>
            <w:tcW w:w="4110" w:type="dxa"/>
          </w:tcPr>
          <w:p w14:paraId="77C6F16E" w14:textId="77777777" w:rsidR="00A052DC" w:rsidRDefault="009F0A60">
            <w:pPr>
              <w:rPr>
                <w:rFonts w:ascii="黑体" w:eastAsia="黑体" w:hAnsi="黑体"/>
                <w:sz w:val="20"/>
                <w:szCs w:val="20"/>
              </w:rPr>
            </w:pPr>
            <w:r>
              <w:rPr>
                <w:rFonts w:ascii="黑体" w:eastAsia="黑体" w:hAnsi="黑体" w:hint="eastAsia"/>
                <w:sz w:val="20"/>
                <w:szCs w:val="20"/>
              </w:rPr>
              <w:t>如果有其他金额，则该字段不能为空，</w:t>
            </w:r>
          </w:p>
          <w:p w14:paraId="2628F83B" w14:textId="77777777" w:rsidR="00A052DC" w:rsidRDefault="009F0A60">
            <w:pPr>
              <w:rPr>
                <w:rFonts w:ascii="黑体" w:eastAsia="黑体" w:hAnsi="黑体"/>
                <w:sz w:val="20"/>
                <w:szCs w:val="20"/>
              </w:rPr>
            </w:pPr>
            <w:r>
              <w:rPr>
                <w:rFonts w:ascii="黑体" w:eastAsia="黑体" w:hAnsi="黑体" w:hint="eastAsia"/>
                <w:sz w:val="20"/>
                <w:szCs w:val="20"/>
              </w:rPr>
              <w:t>其他金额为0，则该字段不应该填写，</w:t>
            </w:r>
          </w:p>
          <w:p w14:paraId="0CC7BF3C" w14:textId="77777777" w:rsidR="00A052DC" w:rsidRDefault="0021563C">
            <w:pPr>
              <w:rPr>
                <w:rFonts w:ascii="黑体" w:eastAsia="黑体" w:hAnsi="黑体"/>
                <w:sz w:val="20"/>
                <w:szCs w:val="20"/>
              </w:rPr>
            </w:pPr>
            <w:r>
              <w:rPr>
                <w:rFonts w:ascii="黑体" w:eastAsia="黑体" w:hAnsi="黑体" w:hint="eastAsia"/>
                <w:sz w:val="20"/>
                <w:szCs w:val="20"/>
              </w:rPr>
              <w:t>其他</w:t>
            </w:r>
            <w:r w:rsidR="009F0A60">
              <w:rPr>
                <w:rFonts w:ascii="黑体" w:eastAsia="黑体" w:hAnsi="黑体" w:hint="eastAsia"/>
                <w:sz w:val="20"/>
                <w:szCs w:val="20"/>
              </w:rPr>
              <w:t>金额、</w:t>
            </w:r>
            <w:r>
              <w:rPr>
                <w:rFonts w:ascii="黑体" w:eastAsia="黑体" w:hAnsi="黑体" w:hint="eastAsia"/>
                <w:sz w:val="20"/>
                <w:szCs w:val="20"/>
              </w:rPr>
              <w:t>其他</w:t>
            </w:r>
            <w:r w:rsidR="009F0A60">
              <w:rPr>
                <w:rFonts w:ascii="黑体" w:eastAsia="黑体" w:hAnsi="黑体" w:hint="eastAsia"/>
                <w:sz w:val="20"/>
                <w:szCs w:val="20"/>
              </w:rPr>
              <w:t>账号或同时空，或同时有值。</w:t>
            </w:r>
          </w:p>
        </w:tc>
      </w:tr>
      <w:tr w:rsidR="00A052DC" w14:paraId="3C39208A" w14:textId="77777777">
        <w:tc>
          <w:tcPr>
            <w:tcW w:w="1560" w:type="dxa"/>
          </w:tcPr>
          <w:p w14:paraId="2EA8D57D" w14:textId="77777777" w:rsidR="00A052DC" w:rsidRDefault="009F0A60">
            <w:pPr>
              <w:rPr>
                <w:rFonts w:ascii="黑体" w:eastAsia="黑体" w:hAnsi="黑体"/>
                <w:sz w:val="20"/>
                <w:szCs w:val="20"/>
              </w:rPr>
            </w:pPr>
            <w:r>
              <w:rPr>
                <w:rFonts w:ascii="黑体" w:eastAsia="黑体" w:hAnsi="黑体" w:hint="eastAsia"/>
                <w:sz w:val="20"/>
                <w:szCs w:val="20"/>
              </w:rPr>
              <w:t>METHOD</w:t>
            </w:r>
          </w:p>
        </w:tc>
        <w:tc>
          <w:tcPr>
            <w:tcW w:w="1559" w:type="dxa"/>
          </w:tcPr>
          <w:p w14:paraId="1E12DECD" w14:textId="77777777" w:rsidR="00A052DC" w:rsidRDefault="009F0A60">
            <w:pPr>
              <w:rPr>
                <w:rFonts w:ascii="黑体" w:eastAsia="黑体" w:hAnsi="黑体"/>
                <w:sz w:val="20"/>
                <w:szCs w:val="20"/>
              </w:rPr>
            </w:pPr>
            <w:r>
              <w:rPr>
                <w:rFonts w:ascii="黑体" w:eastAsia="黑体" w:hAnsi="黑体" w:hint="eastAsia"/>
                <w:sz w:val="20"/>
                <w:szCs w:val="20"/>
              </w:rPr>
              <w:t>结算方式</w:t>
            </w:r>
          </w:p>
        </w:tc>
        <w:tc>
          <w:tcPr>
            <w:tcW w:w="1418" w:type="dxa"/>
          </w:tcPr>
          <w:p w14:paraId="54FA0F66" w14:textId="77777777" w:rsidR="00A052DC" w:rsidRDefault="009F0A60">
            <w:pPr>
              <w:rPr>
                <w:rFonts w:ascii="黑体" w:eastAsia="黑体" w:hAnsi="黑体"/>
                <w:sz w:val="20"/>
                <w:szCs w:val="20"/>
              </w:rPr>
            </w:pPr>
            <w:r>
              <w:rPr>
                <w:rFonts w:ascii="黑体" w:eastAsia="黑体" w:hAnsi="黑体" w:hint="eastAsia"/>
                <w:sz w:val="20"/>
                <w:szCs w:val="20"/>
              </w:rPr>
              <w:t>字符型，1</w:t>
            </w:r>
          </w:p>
        </w:tc>
        <w:tc>
          <w:tcPr>
            <w:tcW w:w="4110" w:type="dxa"/>
          </w:tcPr>
          <w:p w14:paraId="182DAD59" w14:textId="77777777" w:rsidR="00A052DC" w:rsidRDefault="009F0A60">
            <w:pPr>
              <w:rPr>
                <w:rFonts w:ascii="黑体" w:eastAsia="黑体" w:hAnsi="黑体"/>
                <w:sz w:val="20"/>
                <w:szCs w:val="20"/>
              </w:rPr>
            </w:pPr>
            <w:r>
              <w:rPr>
                <w:rFonts w:ascii="黑体" w:eastAsia="黑体" w:hAnsi="黑体" w:hint="eastAsia"/>
                <w:sz w:val="20"/>
                <w:szCs w:val="20"/>
              </w:rPr>
              <w:t>T</w:t>
            </w:r>
            <w:r w:rsidR="00AE4602">
              <w:rPr>
                <w:rFonts w:ascii="黑体" w:eastAsia="黑体" w:hAnsi="黑体" w:hint="eastAsia"/>
                <w:sz w:val="20"/>
                <w:szCs w:val="20"/>
              </w:rPr>
              <w:t>-</w:t>
            </w:r>
            <w:r>
              <w:rPr>
                <w:rFonts w:ascii="黑体" w:eastAsia="黑体" w:hAnsi="黑体" w:hint="eastAsia"/>
                <w:sz w:val="20"/>
                <w:szCs w:val="20"/>
              </w:rPr>
              <w:t>电汇</w:t>
            </w:r>
          </w:p>
          <w:p w14:paraId="2B5FFB63" w14:textId="77777777" w:rsidR="00A052DC" w:rsidRDefault="009F0A60">
            <w:pPr>
              <w:rPr>
                <w:rFonts w:ascii="黑体" w:eastAsia="黑体" w:hAnsi="黑体"/>
                <w:sz w:val="20"/>
                <w:szCs w:val="20"/>
              </w:rPr>
            </w:pPr>
            <w:r>
              <w:rPr>
                <w:rFonts w:ascii="黑体" w:eastAsia="黑体" w:hAnsi="黑体" w:hint="eastAsia"/>
                <w:sz w:val="20"/>
                <w:szCs w:val="20"/>
              </w:rPr>
              <w:t>D</w:t>
            </w:r>
            <w:r w:rsidR="00AE4602">
              <w:rPr>
                <w:rFonts w:ascii="黑体" w:eastAsia="黑体" w:hAnsi="黑体" w:hint="eastAsia"/>
                <w:sz w:val="20"/>
                <w:szCs w:val="20"/>
              </w:rPr>
              <w:t>-</w:t>
            </w:r>
            <w:r>
              <w:rPr>
                <w:rFonts w:ascii="黑体" w:eastAsia="黑体" w:hAnsi="黑体" w:hint="eastAsia"/>
                <w:sz w:val="20"/>
                <w:szCs w:val="20"/>
              </w:rPr>
              <w:t>票汇</w:t>
            </w:r>
          </w:p>
          <w:p w14:paraId="1C3BC674" w14:textId="77777777" w:rsidR="00A052DC" w:rsidRDefault="009F0A60">
            <w:pPr>
              <w:rPr>
                <w:rFonts w:ascii="黑体" w:eastAsia="黑体" w:hAnsi="黑体"/>
                <w:sz w:val="20"/>
                <w:szCs w:val="20"/>
              </w:rPr>
            </w:pPr>
            <w:r>
              <w:rPr>
                <w:rFonts w:ascii="黑体" w:eastAsia="黑体" w:hAnsi="黑体" w:hint="eastAsia"/>
                <w:sz w:val="20"/>
                <w:szCs w:val="20"/>
              </w:rPr>
              <w:t>M</w:t>
            </w:r>
            <w:r w:rsidR="00AE4602">
              <w:rPr>
                <w:rFonts w:ascii="黑体" w:eastAsia="黑体" w:hAnsi="黑体" w:hint="eastAsia"/>
                <w:sz w:val="20"/>
                <w:szCs w:val="20"/>
              </w:rPr>
              <w:t>-</w:t>
            </w:r>
            <w:r>
              <w:rPr>
                <w:rFonts w:ascii="黑体" w:eastAsia="黑体" w:hAnsi="黑体" w:hint="eastAsia"/>
                <w:sz w:val="20"/>
                <w:szCs w:val="20"/>
              </w:rPr>
              <w:t>信汇</w:t>
            </w:r>
          </w:p>
        </w:tc>
      </w:tr>
      <w:tr w:rsidR="00A052DC" w14:paraId="28A7A20E" w14:textId="77777777">
        <w:tc>
          <w:tcPr>
            <w:tcW w:w="1560" w:type="dxa"/>
          </w:tcPr>
          <w:p w14:paraId="76A22426" w14:textId="77777777" w:rsidR="00A052DC" w:rsidRDefault="009F0A60">
            <w:pPr>
              <w:rPr>
                <w:rFonts w:ascii="黑体" w:eastAsia="黑体" w:hAnsi="黑体"/>
                <w:sz w:val="20"/>
                <w:szCs w:val="20"/>
              </w:rPr>
            </w:pPr>
            <w:r>
              <w:rPr>
                <w:rFonts w:ascii="黑体" w:eastAsia="黑体" w:hAnsi="黑体" w:hint="eastAsia"/>
                <w:sz w:val="20"/>
                <w:szCs w:val="20"/>
              </w:rPr>
              <w:t>BUSCODE</w:t>
            </w:r>
          </w:p>
        </w:tc>
        <w:tc>
          <w:tcPr>
            <w:tcW w:w="1559" w:type="dxa"/>
          </w:tcPr>
          <w:p w14:paraId="4551B3B9" w14:textId="77777777" w:rsidR="00A052DC" w:rsidRDefault="009F0A60">
            <w:pPr>
              <w:rPr>
                <w:rFonts w:ascii="黑体" w:eastAsia="黑体" w:hAnsi="黑体"/>
                <w:sz w:val="20"/>
                <w:szCs w:val="20"/>
              </w:rPr>
            </w:pPr>
            <w:r>
              <w:rPr>
                <w:rFonts w:ascii="黑体" w:eastAsia="黑体" w:hAnsi="黑体" w:hint="eastAsia"/>
                <w:sz w:val="20"/>
                <w:szCs w:val="20"/>
              </w:rPr>
              <w:t>银行业务编号</w:t>
            </w:r>
          </w:p>
        </w:tc>
        <w:tc>
          <w:tcPr>
            <w:tcW w:w="1418" w:type="dxa"/>
          </w:tcPr>
          <w:p w14:paraId="6A68AC07" w14:textId="77777777" w:rsidR="00A052DC" w:rsidRDefault="009F0A60">
            <w:pPr>
              <w:rPr>
                <w:rFonts w:ascii="黑体" w:eastAsia="黑体" w:hAnsi="黑体"/>
                <w:sz w:val="20"/>
                <w:szCs w:val="20"/>
              </w:rPr>
            </w:pPr>
            <w:r>
              <w:rPr>
                <w:rFonts w:ascii="黑体" w:eastAsia="黑体" w:hAnsi="黑体" w:hint="eastAsia"/>
                <w:sz w:val="20"/>
                <w:szCs w:val="20"/>
              </w:rPr>
              <w:t>字符型，22</w:t>
            </w:r>
          </w:p>
        </w:tc>
        <w:tc>
          <w:tcPr>
            <w:tcW w:w="4110" w:type="dxa"/>
          </w:tcPr>
          <w:p w14:paraId="4C9C70FE"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bl>
    <w:p w14:paraId="4200CE80" w14:textId="77777777" w:rsidR="00A052DC" w:rsidRDefault="009F0A60">
      <w:pPr>
        <w:pStyle w:val="3"/>
        <w:ind w:left="0"/>
        <w:rPr>
          <w:rFonts w:ascii="Times New Roman" w:hAnsi="Times New Roman"/>
        </w:rPr>
      </w:pPr>
      <w:bookmarkStart w:id="1076" w:name="_Toc455156502"/>
      <w:bookmarkStart w:id="1077" w:name="_Toc455163953"/>
      <w:bookmarkStart w:id="1078" w:name="_Toc455167678"/>
      <w:bookmarkStart w:id="1079" w:name="_Toc454395062"/>
      <w:bookmarkStart w:id="1080" w:name="_Toc455152774"/>
      <w:bookmarkStart w:id="1081" w:name="_Toc454780132"/>
      <w:bookmarkStart w:id="1082" w:name="_Toc454454838"/>
      <w:bookmarkStart w:id="1083" w:name="_Toc454464755"/>
      <w:bookmarkStart w:id="1084" w:name="_Toc455163952"/>
      <w:bookmarkStart w:id="1085" w:name="_Toc454386803"/>
      <w:bookmarkStart w:id="1086" w:name="_Toc454378143"/>
      <w:bookmarkStart w:id="1087" w:name="_Toc454780131"/>
      <w:bookmarkStart w:id="1088" w:name="_Toc455152773"/>
      <w:bookmarkStart w:id="1089" w:name="_Toc455167677"/>
      <w:bookmarkStart w:id="1090" w:name="_Toc454464754"/>
      <w:bookmarkStart w:id="1091" w:name="_Toc454395061"/>
      <w:bookmarkStart w:id="1092" w:name="_Toc455156501"/>
      <w:bookmarkStart w:id="1093" w:name="_Toc454386802"/>
      <w:bookmarkStart w:id="1094" w:name="_Toc454454837"/>
      <w:bookmarkStart w:id="1095" w:name="_Toc454378142"/>
      <w:bookmarkStart w:id="1096" w:name="_Toc132432572"/>
      <w:bookmarkStart w:id="1097" w:name="_Toc310598200"/>
      <w:bookmarkStart w:id="1098" w:name="_Toc454386804"/>
      <w:bookmarkStart w:id="1099" w:name="_Toc380356248"/>
      <w:bookmarkStart w:id="1100" w:name="_Toc91455277"/>
      <w:bookmarkStart w:id="1101" w:name="_Toc101684450"/>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r>
        <w:rPr>
          <w:rFonts w:ascii="Times New Roman" w:hAnsi="Times New Roman" w:hint="eastAsia"/>
        </w:rPr>
        <w:t>境内汇款申请书</w:t>
      </w:r>
      <w:bookmarkEnd w:id="1096"/>
      <w:bookmarkEnd w:id="1097"/>
      <w:r>
        <w:rPr>
          <w:rFonts w:ascii="Times New Roman" w:hAnsi="Times New Roman"/>
        </w:rPr>
        <w:t>-</w:t>
      </w:r>
      <w:r>
        <w:rPr>
          <w:rFonts w:ascii="Times New Roman" w:hAnsi="Times New Roman" w:hint="eastAsia"/>
        </w:rPr>
        <w:t>管理信息</w:t>
      </w:r>
      <w:bookmarkEnd w:id="1098"/>
      <w:bookmarkEnd w:id="1099"/>
      <w:bookmarkEnd w:id="1100"/>
      <w:bookmarkEnd w:id="1101"/>
    </w:p>
    <w:p w14:paraId="33FECF0E" w14:textId="77777777" w:rsidR="00A052DC" w:rsidRDefault="009F0A60" w:rsidP="0020251D">
      <w:pPr>
        <w:pStyle w:val="4"/>
        <w:numPr>
          <w:ilvl w:val="3"/>
          <w:numId w:val="1"/>
        </w:numPr>
        <w:jc w:val="left"/>
      </w:pPr>
      <w:bookmarkStart w:id="1102" w:name="_Toc132432573"/>
      <w:bookmarkStart w:id="1103" w:name="_Toc454386805"/>
      <w:bookmarkStart w:id="1104" w:name="_Toc310598201"/>
      <w:r>
        <w:rPr>
          <w:rFonts w:hint="eastAsia"/>
        </w:rPr>
        <w:t>数据格式</w:t>
      </w:r>
      <w:bookmarkEnd w:id="1102"/>
      <w:bookmarkEnd w:id="1103"/>
      <w:bookmarkEnd w:id="1104"/>
    </w:p>
    <w:p w14:paraId="515A1BA9" w14:textId="77777777" w:rsidR="00A052DC" w:rsidRDefault="009F0A60">
      <w:r>
        <w:t>&lt;REC&gt;</w:t>
      </w:r>
    </w:p>
    <w:p w14:paraId="08E3F87E" w14:textId="77777777" w:rsidR="00A052DC" w:rsidRDefault="009F0A60">
      <w:r>
        <w:t>&lt;ACTIONTYPE&gt;</w:t>
      </w:r>
      <w:r>
        <w:rPr>
          <w:rFonts w:hint="eastAsia"/>
        </w:rPr>
        <w:t>操作类型</w:t>
      </w:r>
      <w:r>
        <w:t>&lt;/ACTIONTYPE&gt;</w:t>
      </w:r>
    </w:p>
    <w:p w14:paraId="2CC0A1F0" w14:textId="77777777" w:rsidR="00A052DC" w:rsidRDefault="009F0A60">
      <w:r>
        <w:t>&lt;ACTIONDESC&gt;</w:t>
      </w:r>
      <w:r>
        <w:rPr>
          <w:rFonts w:hint="eastAsia"/>
        </w:rPr>
        <w:t>修改</w:t>
      </w:r>
      <w:r>
        <w:t>/</w:t>
      </w:r>
      <w:r>
        <w:rPr>
          <w:rFonts w:hint="eastAsia"/>
        </w:rPr>
        <w:t>删除原因</w:t>
      </w:r>
      <w:r>
        <w:t>&lt;/ACTIONDESC&gt;</w:t>
      </w:r>
    </w:p>
    <w:p w14:paraId="75113572" w14:textId="77777777" w:rsidR="00A052DC" w:rsidRDefault="009F0A60">
      <w:r>
        <w:t>&lt;RPTNO&gt;</w:t>
      </w:r>
      <w:r>
        <w:rPr>
          <w:rFonts w:hint="eastAsia"/>
        </w:rPr>
        <w:t>申报号码</w:t>
      </w:r>
      <w:r>
        <w:t>&lt;/RPTNO&gt;</w:t>
      </w:r>
    </w:p>
    <w:p w14:paraId="303C5EA3" w14:textId="77777777" w:rsidR="00A052DC" w:rsidRDefault="009F0A60">
      <w:r>
        <w:t>&lt;COUNTRY&gt;</w:t>
      </w:r>
      <w:r>
        <w:rPr>
          <w:rFonts w:hint="eastAsia"/>
        </w:rPr>
        <w:t>收款人常驻国家</w:t>
      </w:r>
      <w:r>
        <w:t>/</w:t>
      </w:r>
      <w:r>
        <w:rPr>
          <w:rFonts w:hint="eastAsia"/>
        </w:rPr>
        <w:t>地区代码</w:t>
      </w:r>
      <w:r>
        <w:t>&lt;/COUNTRY&gt;</w:t>
      </w:r>
    </w:p>
    <w:p w14:paraId="17074F63" w14:textId="77777777" w:rsidR="00A052DC" w:rsidRDefault="009F0A60">
      <w:r>
        <w:t>&lt;ISREF&gt;</w:t>
      </w:r>
      <w:r>
        <w:rPr>
          <w:rFonts w:hint="eastAsia"/>
        </w:rPr>
        <w:t>是否保税货物项下付款</w:t>
      </w:r>
      <w:r>
        <w:t>&lt;/ISREF&gt;</w:t>
      </w:r>
    </w:p>
    <w:p w14:paraId="0E7D36F9" w14:textId="77777777" w:rsidR="00A052DC" w:rsidRDefault="009F0A60">
      <w:r>
        <w:t>&lt;PAYTYPE&gt;</w:t>
      </w:r>
      <w:r>
        <w:rPr>
          <w:rFonts w:hint="eastAsia"/>
        </w:rPr>
        <w:t>付款类型</w:t>
      </w:r>
      <w:r>
        <w:t>&lt;/PAYTYPE&gt;</w:t>
      </w:r>
    </w:p>
    <w:p w14:paraId="74B2B629" w14:textId="77777777" w:rsidR="00A052DC" w:rsidRDefault="009F0A60">
      <w:r>
        <w:t>&lt;PAYATTR&gt;</w:t>
      </w:r>
      <w:r>
        <w:rPr>
          <w:rFonts w:hint="eastAsia"/>
        </w:rPr>
        <w:t>付汇性质</w:t>
      </w:r>
      <w:r>
        <w:t>&lt;/PAYATTR&gt;</w:t>
      </w:r>
    </w:p>
    <w:p w14:paraId="07033C95" w14:textId="77777777" w:rsidR="00A052DC" w:rsidRDefault="009F0A60">
      <w:r>
        <w:t>&lt;TXCODE&gt;</w:t>
      </w:r>
      <w:r>
        <w:rPr>
          <w:rFonts w:hint="eastAsia"/>
        </w:rPr>
        <w:t>交易编码</w:t>
      </w:r>
      <w:r>
        <w:t>1&lt;/TXCODE&gt;</w:t>
      </w:r>
    </w:p>
    <w:p w14:paraId="2237D302" w14:textId="77777777" w:rsidR="00A052DC" w:rsidRDefault="009F0A60">
      <w:r>
        <w:t>&lt;TC1AMT&gt;</w:t>
      </w:r>
      <w:r>
        <w:rPr>
          <w:rFonts w:hint="eastAsia"/>
        </w:rPr>
        <w:t>相应金额</w:t>
      </w:r>
      <w:r>
        <w:t>1&lt;/TC1AMT&gt;</w:t>
      </w:r>
    </w:p>
    <w:p w14:paraId="52A6B404" w14:textId="77777777" w:rsidR="00A052DC" w:rsidRDefault="009F0A60">
      <w:r>
        <w:t>&lt;TXREM&gt;</w:t>
      </w:r>
      <w:r>
        <w:rPr>
          <w:rFonts w:hint="eastAsia"/>
        </w:rPr>
        <w:t>交易附言</w:t>
      </w:r>
      <w:r>
        <w:t>1&lt;/TXREM&gt;</w:t>
      </w:r>
    </w:p>
    <w:p w14:paraId="6054D172" w14:textId="77777777" w:rsidR="00A052DC" w:rsidRDefault="009F0A60">
      <w:r>
        <w:t>&lt;TXCODE2&gt;</w:t>
      </w:r>
      <w:r>
        <w:rPr>
          <w:rFonts w:hint="eastAsia"/>
        </w:rPr>
        <w:t>交易编码</w:t>
      </w:r>
      <w:r>
        <w:t>2&lt;/TXCODE2&gt;</w:t>
      </w:r>
    </w:p>
    <w:p w14:paraId="30F3F402" w14:textId="77777777" w:rsidR="00A052DC" w:rsidRDefault="009F0A60">
      <w:r>
        <w:t>&lt;TC2AMT&gt;</w:t>
      </w:r>
      <w:r>
        <w:rPr>
          <w:rFonts w:hint="eastAsia"/>
        </w:rPr>
        <w:t>相应金额</w:t>
      </w:r>
      <w:r>
        <w:t>2&lt;/TC2AMT&gt;</w:t>
      </w:r>
    </w:p>
    <w:p w14:paraId="19E4B24B" w14:textId="77777777" w:rsidR="00A052DC" w:rsidRDefault="009F0A60">
      <w:r>
        <w:t>&lt;TX2REM&gt;</w:t>
      </w:r>
      <w:r>
        <w:rPr>
          <w:rFonts w:hint="eastAsia"/>
        </w:rPr>
        <w:t>交易附言</w:t>
      </w:r>
      <w:r>
        <w:t>2&lt;/TX2REM&gt;</w:t>
      </w:r>
    </w:p>
    <w:p w14:paraId="7598983F" w14:textId="77777777" w:rsidR="00A052DC" w:rsidRDefault="009F0A60">
      <w:r>
        <w:t>&lt;IMPDATE&gt;</w:t>
      </w:r>
      <w:r>
        <w:rPr>
          <w:rFonts w:hint="eastAsia"/>
        </w:rPr>
        <w:t>最迟装运日期</w:t>
      </w:r>
      <w:r>
        <w:t>&lt;/IMPDATE&gt;</w:t>
      </w:r>
    </w:p>
    <w:p w14:paraId="7A15A125" w14:textId="77777777" w:rsidR="00A052DC" w:rsidRDefault="009F0A60">
      <w:r>
        <w:t>&lt;CONTRNO&gt;</w:t>
      </w:r>
      <w:r>
        <w:rPr>
          <w:rFonts w:hint="eastAsia"/>
        </w:rPr>
        <w:t>合同号</w:t>
      </w:r>
      <w:r>
        <w:t>&lt;/CONTRNO&gt;</w:t>
      </w:r>
    </w:p>
    <w:p w14:paraId="2AD3F6D0" w14:textId="77777777" w:rsidR="00A052DC" w:rsidRDefault="009F0A60">
      <w:r>
        <w:t>&lt;INVOINO&gt;</w:t>
      </w:r>
      <w:r>
        <w:rPr>
          <w:rFonts w:hint="eastAsia"/>
        </w:rPr>
        <w:t>发票号</w:t>
      </w:r>
      <w:r>
        <w:t>&lt;/INVOINO&gt;</w:t>
      </w:r>
    </w:p>
    <w:p w14:paraId="20B05278" w14:textId="77777777" w:rsidR="00A052DC" w:rsidRDefault="009F0A60">
      <w:r>
        <w:t>&lt;REGNO&gt;</w:t>
      </w:r>
      <w:r>
        <w:rPr>
          <w:rFonts w:hint="eastAsia"/>
        </w:rPr>
        <w:t>外汇局批件</w:t>
      </w:r>
      <w:r>
        <w:t>/</w:t>
      </w:r>
      <w:r>
        <w:rPr>
          <w:rFonts w:hint="eastAsia"/>
        </w:rPr>
        <w:t>备案表号</w:t>
      </w:r>
      <w:r>
        <w:t>/</w:t>
      </w:r>
      <w:r>
        <w:rPr>
          <w:rFonts w:hint="eastAsia"/>
        </w:rPr>
        <w:t>业务编号</w:t>
      </w:r>
      <w:r>
        <w:t>&lt;/REGNO&gt;</w:t>
      </w:r>
    </w:p>
    <w:p w14:paraId="27589552" w14:textId="77777777" w:rsidR="00A052DC" w:rsidRDefault="009F0A60">
      <w:r>
        <w:t>&lt;CUSMNO&gt;</w:t>
      </w:r>
      <w:r>
        <w:rPr>
          <w:rFonts w:hint="eastAsia"/>
        </w:rPr>
        <w:t>报关单经营单位代码</w:t>
      </w:r>
      <w:r>
        <w:t>&lt;/CUSMNO&gt;</w:t>
      </w:r>
    </w:p>
    <w:p w14:paraId="0C652875" w14:textId="77777777" w:rsidR="00A052DC" w:rsidRDefault="009F0A60">
      <w:r>
        <w:t>&lt;CUSTOMS&gt;</w:t>
      </w:r>
    </w:p>
    <w:p w14:paraId="1FCDD6CA" w14:textId="77777777" w:rsidR="00A052DC" w:rsidRDefault="009F0A60">
      <w:r>
        <w:t>&lt;CUSTOM&gt;</w:t>
      </w:r>
    </w:p>
    <w:p w14:paraId="36B5C565" w14:textId="77777777" w:rsidR="00A052DC" w:rsidRDefault="009F0A60">
      <w:r>
        <w:t>&lt;CUSTOMN&gt;</w:t>
      </w:r>
      <w:r>
        <w:rPr>
          <w:rFonts w:hint="eastAsia"/>
        </w:rPr>
        <w:t>报关单号</w:t>
      </w:r>
      <w:r>
        <w:t>&lt;/CUSTOMN&gt;</w:t>
      </w:r>
    </w:p>
    <w:p w14:paraId="76628E80" w14:textId="77777777" w:rsidR="00A052DC" w:rsidRDefault="009F0A60">
      <w:r>
        <w:t>&lt;CUSTCCY&gt;</w:t>
      </w:r>
      <w:r>
        <w:rPr>
          <w:rFonts w:hint="eastAsia"/>
        </w:rPr>
        <w:t>报关单币种</w:t>
      </w:r>
      <w:r>
        <w:t>&lt;/CUSTCCY&gt;</w:t>
      </w:r>
    </w:p>
    <w:p w14:paraId="3E01CA66" w14:textId="77777777" w:rsidR="00A052DC" w:rsidRDefault="009F0A60">
      <w:r>
        <w:t>&lt;CUSTAMT&gt;</w:t>
      </w:r>
      <w:r>
        <w:rPr>
          <w:rFonts w:hint="eastAsia"/>
        </w:rPr>
        <w:t>报关金额</w:t>
      </w:r>
      <w:r>
        <w:t>&lt;/CUSTAMT&gt;</w:t>
      </w:r>
    </w:p>
    <w:p w14:paraId="65BE754F" w14:textId="77777777" w:rsidR="00A052DC" w:rsidRDefault="009F0A60">
      <w:r>
        <w:t>&lt;OFFAMT&gt;</w:t>
      </w:r>
      <w:r>
        <w:rPr>
          <w:rFonts w:hint="eastAsia"/>
        </w:rPr>
        <w:t>本次核注金额</w:t>
      </w:r>
      <w:r>
        <w:t>&lt;/OFFAMT&gt;</w:t>
      </w:r>
    </w:p>
    <w:p w14:paraId="56A731C3" w14:textId="77777777" w:rsidR="00A052DC" w:rsidRDefault="009F0A60">
      <w:r>
        <w:t>&lt;/CUSTOM&gt;</w:t>
      </w:r>
    </w:p>
    <w:p w14:paraId="672CEC6A" w14:textId="77777777" w:rsidR="00A052DC" w:rsidRDefault="009F0A60">
      <w:r>
        <w:t>……</w:t>
      </w:r>
    </w:p>
    <w:p w14:paraId="417691E6" w14:textId="77777777" w:rsidR="00A052DC" w:rsidRDefault="009F0A60">
      <w:r>
        <w:t>&lt;/CUSTOMS&gt;</w:t>
      </w:r>
    </w:p>
    <w:p w14:paraId="7CC7F3E6" w14:textId="77777777" w:rsidR="00A052DC" w:rsidRDefault="009F0A60">
      <w:r>
        <w:t>&lt;CRTUSER&gt;</w:t>
      </w:r>
      <w:r>
        <w:rPr>
          <w:rFonts w:hint="eastAsia"/>
        </w:rPr>
        <w:t>填报人</w:t>
      </w:r>
      <w:r>
        <w:t>&lt;/CRTUSER&gt;</w:t>
      </w:r>
    </w:p>
    <w:p w14:paraId="1DE4CC79" w14:textId="77777777" w:rsidR="00A052DC" w:rsidRDefault="009F0A60">
      <w:r>
        <w:t>&lt;INPTELC&gt;</w:t>
      </w:r>
      <w:r>
        <w:rPr>
          <w:rFonts w:hint="eastAsia"/>
        </w:rPr>
        <w:t>填报人电话</w:t>
      </w:r>
      <w:r>
        <w:t>&lt;/INPTELC&gt;</w:t>
      </w:r>
    </w:p>
    <w:p w14:paraId="6D84F2A1" w14:textId="77777777" w:rsidR="00A052DC" w:rsidRDefault="009F0A60">
      <w:r>
        <w:t>&lt;RPTDATE&gt;</w:t>
      </w:r>
      <w:r>
        <w:rPr>
          <w:rFonts w:hint="eastAsia"/>
        </w:rPr>
        <w:t>申报日期</w:t>
      </w:r>
      <w:r>
        <w:t>&lt;/RPTDATE&gt;</w:t>
      </w:r>
    </w:p>
    <w:p w14:paraId="205CFEEE" w14:textId="77777777" w:rsidR="00A052DC" w:rsidRDefault="009F0A60">
      <w:r>
        <w:t>&lt;/REC&gt;</w:t>
      </w:r>
    </w:p>
    <w:p w14:paraId="2AACAE6E" w14:textId="77777777" w:rsidR="00A052DC" w:rsidRDefault="009F0A60" w:rsidP="0020251D">
      <w:pPr>
        <w:pStyle w:val="4"/>
        <w:numPr>
          <w:ilvl w:val="3"/>
          <w:numId w:val="1"/>
        </w:numPr>
        <w:jc w:val="left"/>
      </w:pPr>
      <w:bookmarkStart w:id="1105" w:name="_Toc454386806"/>
      <w:bookmarkStart w:id="1106" w:name="_Toc310598202"/>
      <w:bookmarkStart w:id="1107" w:name="_Toc454386807"/>
      <w:bookmarkStart w:id="1108" w:name="_Toc132432575"/>
      <w:bookmarkEnd w:id="1105"/>
      <w:r>
        <w:rPr>
          <w:rFonts w:hint="eastAsia"/>
        </w:rPr>
        <w:t>数据字典</w:t>
      </w:r>
      <w:bookmarkEnd w:id="1106"/>
      <w:bookmarkEnd w:id="1107"/>
      <w:bookmarkEnd w:id="1108"/>
    </w:p>
    <w:tbl>
      <w:tblPr>
        <w:tblW w:w="86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560"/>
        <w:gridCol w:w="1417"/>
        <w:gridCol w:w="4394"/>
      </w:tblGrid>
      <w:tr w:rsidR="00A052DC" w14:paraId="1CA09119" w14:textId="77777777">
        <w:trPr>
          <w:tblHeader/>
        </w:trPr>
        <w:tc>
          <w:tcPr>
            <w:tcW w:w="1276" w:type="dxa"/>
            <w:shd w:val="clear" w:color="auto" w:fill="C0C0C0"/>
          </w:tcPr>
          <w:p w14:paraId="3DAC6DC1" w14:textId="77777777" w:rsidR="00A052DC" w:rsidRDefault="009F0A60">
            <w:pPr>
              <w:jc w:val="center"/>
              <w:rPr>
                <w:rFonts w:ascii="黑体" w:eastAsia="黑体" w:hAnsi="黑体"/>
                <w:b/>
                <w:sz w:val="20"/>
                <w:szCs w:val="20"/>
              </w:rPr>
            </w:pPr>
            <w:r>
              <w:rPr>
                <w:rFonts w:ascii="黑体" w:eastAsia="黑体" w:hAnsi="黑体" w:hint="eastAsia"/>
                <w:b/>
                <w:sz w:val="20"/>
                <w:szCs w:val="20"/>
              </w:rPr>
              <w:t>字段</w:t>
            </w:r>
          </w:p>
        </w:tc>
        <w:tc>
          <w:tcPr>
            <w:tcW w:w="1560" w:type="dxa"/>
            <w:shd w:val="clear" w:color="auto" w:fill="C0C0C0"/>
          </w:tcPr>
          <w:p w14:paraId="1AFB5D02" w14:textId="77777777" w:rsidR="00A052DC" w:rsidRDefault="009F0A60">
            <w:pPr>
              <w:jc w:val="center"/>
              <w:rPr>
                <w:rFonts w:ascii="黑体" w:eastAsia="黑体" w:hAnsi="黑体"/>
                <w:b/>
                <w:sz w:val="20"/>
                <w:szCs w:val="20"/>
              </w:rPr>
            </w:pPr>
            <w:r>
              <w:rPr>
                <w:rFonts w:ascii="黑体" w:eastAsia="黑体" w:hAnsi="黑体" w:hint="eastAsia"/>
                <w:b/>
                <w:sz w:val="20"/>
                <w:szCs w:val="20"/>
              </w:rPr>
              <w:t>内容</w:t>
            </w:r>
          </w:p>
        </w:tc>
        <w:tc>
          <w:tcPr>
            <w:tcW w:w="1417" w:type="dxa"/>
            <w:shd w:val="clear" w:color="auto" w:fill="C0C0C0"/>
          </w:tcPr>
          <w:p w14:paraId="382BCBAD" w14:textId="77777777" w:rsidR="00A052DC" w:rsidRDefault="009F0A60">
            <w:pPr>
              <w:jc w:val="center"/>
              <w:rPr>
                <w:rFonts w:ascii="黑体" w:eastAsia="黑体" w:hAnsi="黑体"/>
                <w:b/>
                <w:sz w:val="20"/>
                <w:szCs w:val="20"/>
              </w:rPr>
            </w:pPr>
            <w:r>
              <w:rPr>
                <w:rFonts w:ascii="黑体" w:eastAsia="黑体" w:hAnsi="黑体" w:hint="eastAsia"/>
                <w:b/>
                <w:sz w:val="20"/>
                <w:szCs w:val="20"/>
              </w:rPr>
              <w:t>类型（长度）</w:t>
            </w:r>
          </w:p>
        </w:tc>
        <w:tc>
          <w:tcPr>
            <w:tcW w:w="4394" w:type="dxa"/>
            <w:shd w:val="clear" w:color="auto" w:fill="C0C0C0"/>
          </w:tcPr>
          <w:p w14:paraId="03317D4C" w14:textId="77777777" w:rsidR="00A052DC" w:rsidRDefault="009F0A60">
            <w:pPr>
              <w:jc w:val="center"/>
              <w:rPr>
                <w:rFonts w:ascii="黑体" w:eastAsia="黑体" w:hAnsi="黑体"/>
                <w:b/>
                <w:sz w:val="20"/>
                <w:szCs w:val="20"/>
              </w:rPr>
            </w:pPr>
            <w:r>
              <w:rPr>
                <w:rFonts w:ascii="黑体" w:eastAsia="黑体" w:hAnsi="黑体" w:hint="eastAsia"/>
                <w:b/>
                <w:sz w:val="20"/>
                <w:szCs w:val="20"/>
              </w:rPr>
              <w:t>校验</w:t>
            </w:r>
          </w:p>
        </w:tc>
      </w:tr>
      <w:tr w:rsidR="00A052DC" w14:paraId="2D2A0B09" w14:textId="77777777">
        <w:tc>
          <w:tcPr>
            <w:tcW w:w="1276" w:type="dxa"/>
            <w:tcBorders>
              <w:top w:val="single" w:sz="4" w:space="0" w:color="auto"/>
              <w:left w:val="single" w:sz="4" w:space="0" w:color="auto"/>
              <w:bottom w:val="single" w:sz="4" w:space="0" w:color="auto"/>
              <w:right w:val="single" w:sz="4" w:space="0" w:color="auto"/>
            </w:tcBorders>
          </w:tcPr>
          <w:p w14:paraId="56EB204F" w14:textId="77777777" w:rsidR="00A052DC" w:rsidRDefault="009F0A60">
            <w:pPr>
              <w:rPr>
                <w:rFonts w:ascii="黑体" w:eastAsia="黑体" w:hAnsi="黑体"/>
                <w:sz w:val="20"/>
                <w:szCs w:val="20"/>
              </w:rPr>
            </w:pPr>
            <w:r>
              <w:rPr>
                <w:rFonts w:ascii="黑体" w:eastAsia="黑体" w:hAnsi="黑体" w:hint="eastAsia"/>
                <w:sz w:val="20"/>
                <w:szCs w:val="20"/>
              </w:rPr>
              <w:t>ACTIONTYPE</w:t>
            </w:r>
          </w:p>
        </w:tc>
        <w:tc>
          <w:tcPr>
            <w:tcW w:w="1560" w:type="dxa"/>
            <w:tcBorders>
              <w:top w:val="single" w:sz="4" w:space="0" w:color="auto"/>
              <w:left w:val="single" w:sz="4" w:space="0" w:color="auto"/>
              <w:bottom w:val="single" w:sz="4" w:space="0" w:color="auto"/>
              <w:right w:val="single" w:sz="4" w:space="0" w:color="auto"/>
            </w:tcBorders>
          </w:tcPr>
          <w:p w14:paraId="15435855" w14:textId="77777777" w:rsidR="00A052DC" w:rsidRDefault="009F0A60">
            <w:pPr>
              <w:rPr>
                <w:rFonts w:ascii="黑体" w:eastAsia="黑体" w:hAnsi="黑体"/>
                <w:sz w:val="20"/>
                <w:szCs w:val="20"/>
              </w:rPr>
            </w:pPr>
            <w:r>
              <w:rPr>
                <w:rFonts w:ascii="黑体" w:eastAsia="黑体" w:hAnsi="黑体" w:hint="eastAsia"/>
                <w:sz w:val="20"/>
                <w:szCs w:val="20"/>
              </w:rPr>
              <w:t>操作类型</w:t>
            </w:r>
          </w:p>
        </w:tc>
        <w:tc>
          <w:tcPr>
            <w:tcW w:w="1417" w:type="dxa"/>
            <w:tcBorders>
              <w:top w:val="single" w:sz="4" w:space="0" w:color="auto"/>
              <w:left w:val="single" w:sz="4" w:space="0" w:color="auto"/>
              <w:bottom w:val="single" w:sz="4" w:space="0" w:color="auto"/>
              <w:right w:val="single" w:sz="4" w:space="0" w:color="auto"/>
            </w:tcBorders>
          </w:tcPr>
          <w:p w14:paraId="53A0825B" w14:textId="77777777" w:rsidR="00A052DC" w:rsidRDefault="009F0A60">
            <w:pPr>
              <w:rPr>
                <w:rFonts w:ascii="黑体" w:eastAsia="黑体" w:hAnsi="黑体"/>
                <w:sz w:val="20"/>
                <w:szCs w:val="20"/>
              </w:rPr>
            </w:pPr>
            <w:r>
              <w:rPr>
                <w:rFonts w:ascii="黑体" w:eastAsia="黑体" w:hAnsi="黑体" w:hint="eastAsia"/>
                <w:sz w:val="20"/>
                <w:szCs w:val="20"/>
              </w:rPr>
              <w:t>字符型，1</w:t>
            </w:r>
          </w:p>
        </w:tc>
        <w:tc>
          <w:tcPr>
            <w:tcW w:w="4394" w:type="dxa"/>
            <w:tcBorders>
              <w:top w:val="single" w:sz="4" w:space="0" w:color="auto"/>
              <w:left w:val="single" w:sz="4" w:space="0" w:color="auto"/>
              <w:bottom w:val="single" w:sz="4" w:space="0" w:color="auto"/>
              <w:right w:val="single" w:sz="4" w:space="0" w:color="auto"/>
            </w:tcBorders>
          </w:tcPr>
          <w:p w14:paraId="4FB5AFDB" w14:textId="77777777" w:rsidR="00A052DC" w:rsidRDefault="009F0A60">
            <w:pPr>
              <w:rPr>
                <w:rFonts w:ascii="黑体" w:eastAsia="黑体" w:hAnsi="黑体"/>
                <w:sz w:val="20"/>
                <w:szCs w:val="20"/>
              </w:rPr>
            </w:pPr>
            <w:r>
              <w:rPr>
                <w:rFonts w:ascii="黑体" w:eastAsia="黑体" w:hAnsi="黑体" w:hint="eastAsia"/>
                <w:sz w:val="20"/>
                <w:szCs w:val="20"/>
              </w:rPr>
              <w:t>A</w:t>
            </w:r>
            <w:r w:rsidR="00AE4602">
              <w:rPr>
                <w:rFonts w:ascii="黑体" w:eastAsia="黑体" w:hAnsi="黑体" w:hint="eastAsia"/>
                <w:sz w:val="20"/>
                <w:szCs w:val="20"/>
              </w:rPr>
              <w:t>-</w:t>
            </w:r>
            <w:r>
              <w:rPr>
                <w:rFonts w:ascii="黑体" w:eastAsia="黑体" w:hAnsi="黑体" w:hint="eastAsia"/>
                <w:sz w:val="20"/>
                <w:szCs w:val="20"/>
              </w:rPr>
              <w:t>新建</w:t>
            </w:r>
          </w:p>
          <w:p w14:paraId="08283363" w14:textId="77777777" w:rsidR="00A052DC" w:rsidRDefault="009F0A60">
            <w:pPr>
              <w:rPr>
                <w:rFonts w:ascii="黑体" w:eastAsia="黑体" w:hAnsi="黑体"/>
                <w:sz w:val="20"/>
                <w:szCs w:val="20"/>
              </w:rPr>
            </w:pPr>
            <w:r>
              <w:rPr>
                <w:rFonts w:ascii="黑体" w:eastAsia="黑体" w:hAnsi="黑体" w:hint="eastAsia"/>
                <w:sz w:val="20"/>
                <w:szCs w:val="20"/>
              </w:rPr>
              <w:t>C</w:t>
            </w:r>
            <w:r w:rsidR="00AE4602">
              <w:rPr>
                <w:rFonts w:ascii="黑体" w:eastAsia="黑体" w:hAnsi="黑体" w:hint="eastAsia"/>
                <w:sz w:val="20"/>
                <w:szCs w:val="20"/>
              </w:rPr>
              <w:t>-</w:t>
            </w:r>
            <w:r>
              <w:rPr>
                <w:rFonts w:ascii="黑体" w:eastAsia="黑体" w:hAnsi="黑体" w:hint="eastAsia"/>
                <w:sz w:val="20"/>
                <w:szCs w:val="20"/>
              </w:rPr>
              <w:t>修改</w:t>
            </w:r>
          </w:p>
          <w:p w14:paraId="094813BE" w14:textId="77777777" w:rsidR="00A052DC" w:rsidRDefault="009F0A60" w:rsidP="006D55A3">
            <w:pPr>
              <w:rPr>
                <w:rFonts w:ascii="黑体" w:eastAsia="黑体" w:hAnsi="黑体"/>
                <w:sz w:val="20"/>
                <w:szCs w:val="20"/>
              </w:rPr>
            </w:pPr>
            <w:r>
              <w:rPr>
                <w:rFonts w:ascii="黑体" w:eastAsia="黑体" w:hAnsi="黑体" w:hint="eastAsia"/>
                <w:sz w:val="20"/>
                <w:szCs w:val="20"/>
              </w:rPr>
              <w:t>D</w:t>
            </w:r>
            <w:r w:rsidR="00AE4602">
              <w:rPr>
                <w:rFonts w:ascii="黑体" w:eastAsia="黑体" w:hAnsi="黑体" w:hint="eastAsia"/>
                <w:sz w:val="20"/>
                <w:szCs w:val="20"/>
              </w:rPr>
              <w:t>-</w:t>
            </w:r>
            <w:r>
              <w:rPr>
                <w:rFonts w:ascii="黑体" w:eastAsia="黑体" w:hAnsi="黑体" w:hint="eastAsia"/>
                <w:sz w:val="20"/>
                <w:szCs w:val="20"/>
              </w:rPr>
              <w:t>删除，预留，暂不用</w:t>
            </w:r>
          </w:p>
        </w:tc>
      </w:tr>
      <w:tr w:rsidR="00A052DC" w14:paraId="5F7E7A13" w14:textId="77777777">
        <w:tc>
          <w:tcPr>
            <w:tcW w:w="1276" w:type="dxa"/>
            <w:tcBorders>
              <w:top w:val="single" w:sz="4" w:space="0" w:color="auto"/>
              <w:left w:val="single" w:sz="4" w:space="0" w:color="auto"/>
              <w:bottom w:val="single" w:sz="4" w:space="0" w:color="auto"/>
              <w:right w:val="single" w:sz="4" w:space="0" w:color="auto"/>
            </w:tcBorders>
          </w:tcPr>
          <w:p w14:paraId="40F615C9" w14:textId="77777777" w:rsidR="00A052DC" w:rsidRDefault="009F0A60">
            <w:pPr>
              <w:rPr>
                <w:rFonts w:ascii="黑体" w:eastAsia="黑体" w:hAnsi="黑体"/>
                <w:sz w:val="20"/>
                <w:szCs w:val="20"/>
              </w:rPr>
            </w:pPr>
            <w:r>
              <w:rPr>
                <w:rFonts w:ascii="黑体" w:eastAsia="黑体" w:hAnsi="黑体" w:hint="eastAsia"/>
                <w:sz w:val="20"/>
                <w:szCs w:val="20"/>
              </w:rPr>
              <w:t>ACTIONDESC</w:t>
            </w:r>
          </w:p>
        </w:tc>
        <w:tc>
          <w:tcPr>
            <w:tcW w:w="1560" w:type="dxa"/>
            <w:tcBorders>
              <w:top w:val="single" w:sz="4" w:space="0" w:color="auto"/>
              <w:left w:val="single" w:sz="4" w:space="0" w:color="auto"/>
              <w:bottom w:val="single" w:sz="4" w:space="0" w:color="auto"/>
              <w:right w:val="single" w:sz="4" w:space="0" w:color="auto"/>
            </w:tcBorders>
          </w:tcPr>
          <w:p w14:paraId="3BAE9EBB" w14:textId="77777777" w:rsidR="00A052DC" w:rsidRDefault="009F0A60">
            <w:pPr>
              <w:rPr>
                <w:rFonts w:ascii="黑体" w:eastAsia="黑体" w:hAnsi="黑体"/>
                <w:sz w:val="20"/>
                <w:szCs w:val="20"/>
              </w:rPr>
            </w:pPr>
            <w:r>
              <w:rPr>
                <w:rFonts w:ascii="黑体" w:eastAsia="黑体" w:hAnsi="黑体" w:hint="eastAsia"/>
                <w:sz w:val="20"/>
                <w:szCs w:val="20"/>
              </w:rPr>
              <w:t>修改/删除原因</w:t>
            </w:r>
          </w:p>
        </w:tc>
        <w:tc>
          <w:tcPr>
            <w:tcW w:w="1417" w:type="dxa"/>
            <w:tcBorders>
              <w:top w:val="single" w:sz="4" w:space="0" w:color="auto"/>
              <w:left w:val="single" w:sz="4" w:space="0" w:color="auto"/>
              <w:bottom w:val="single" w:sz="4" w:space="0" w:color="auto"/>
              <w:right w:val="single" w:sz="4" w:space="0" w:color="auto"/>
            </w:tcBorders>
          </w:tcPr>
          <w:p w14:paraId="350C3630"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4394" w:type="dxa"/>
            <w:tcBorders>
              <w:top w:val="single" w:sz="4" w:space="0" w:color="auto"/>
              <w:left w:val="single" w:sz="4" w:space="0" w:color="auto"/>
              <w:bottom w:val="single" w:sz="4" w:space="0" w:color="auto"/>
              <w:right w:val="single" w:sz="4" w:space="0" w:color="auto"/>
            </w:tcBorders>
          </w:tcPr>
          <w:p w14:paraId="3087A981" w14:textId="77777777" w:rsidR="00A052DC" w:rsidRDefault="00A052DC">
            <w:pPr>
              <w:rPr>
                <w:rFonts w:ascii="黑体" w:eastAsia="黑体" w:hAnsi="黑体"/>
                <w:sz w:val="20"/>
                <w:szCs w:val="20"/>
              </w:rPr>
            </w:pPr>
          </w:p>
        </w:tc>
      </w:tr>
      <w:tr w:rsidR="00A052DC" w14:paraId="19BD80A5" w14:textId="77777777">
        <w:tc>
          <w:tcPr>
            <w:tcW w:w="1276" w:type="dxa"/>
          </w:tcPr>
          <w:p w14:paraId="121E1E4C" w14:textId="77777777" w:rsidR="00A052DC" w:rsidRDefault="009F0A60">
            <w:pPr>
              <w:rPr>
                <w:rFonts w:ascii="黑体" w:eastAsia="黑体" w:hAnsi="黑体"/>
                <w:sz w:val="20"/>
                <w:szCs w:val="20"/>
              </w:rPr>
            </w:pPr>
            <w:r>
              <w:rPr>
                <w:rFonts w:ascii="黑体" w:eastAsia="黑体" w:hAnsi="黑体" w:hint="eastAsia"/>
                <w:sz w:val="20"/>
                <w:szCs w:val="20"/>
              </w:rPr>
              <w:t>RPTNO</w:t>
            </w:r>
          </w:p>
        </w:tc>
        <w:tc>
          <w:tcPr>
            <w:tcW w:w="1560" w:type="dxa"/>
          </w:tcPr>
          <w:p w14:paraId="287CF299" w14:textId="77777777" w:rsidR="00A052DC" w:rsidRDefault="009F0A60">
            <w:pPr>
              <w:rPr>
                <w:rFonts w:ascii="黑体" w:eastAsia="黑体" w:hAnsi="黑体"/>
                <w:sz w:val="20"/>
                <w:szCs w:val="20"/>
              </w:rPr>
            </w:pPr>
            <w:r>
              <w:rPr>
                <w:rFonts w:ascii="黑体" w:eastAsia="黑体" w:hAnsi="黑体" w:hint="eastAsia"/>
                <w:sz w:val="20"/>
                <w:szCs w:val="20"/>
              </w:rPr>
              <w:t>申报号码</w:t>
            </w:r>
          </w:p>
        </w:tc>
        <w:tc>
          <w:tcPr>
            <w:tcW w:w="1417" w:type="dxa"/>
          </w:tcPr>
          <w:p w14:paraId="5C7398C5" w14:textId="77777777" w:rsidR="00A052DC" w:rsidRDefault="009F0A60">
            <w:pPr>
              <w:rPr>
                <w:rFonts w:ascii="黑体" w:eastAsia="黑体" w:hAnsi="黑体"/>
                <w:sz w:val="20"/>
                <w:szCs w:val="20"/>
              </w:rPr>
            </w:pPr>
            <w:r>
              <w:rPr>
                <w:rFonts w:ascii="黑体" w:eastAsia="黑体" w:hAnsi="黑体" w:hint="eastAsia"/>
                <w:sz w:val="20"/>
                <w:szCs w:val="20"/>
              </w:rPr>
              <w:t>字符型，22</w:t>
            </w:r>
          </w:p>
        </w:tc>
        <w:tc>
          <w:tcPr>
            <w:tcW w:w="4394" w:type="dxa"/>
          </w:tcPr>
          <w:p w14:paraId="59B89874" w14:textId="77777777" w:rsidR="00A052DC" w:rsidRDefault="009F0A60">
            <w:pPr>
              <w:rPr>
                <w:rFonts w:ascii="黑体" w:eastAsia="黑体" w:hAnsi="黑体"/>
                <w:sz w:val="20"/>
                <w:szCs w:val="20"/>
              </w:rPr>
            </w:pPr>
            <w:r>
              <w:rPr>
                <w:rFonts w:ascii="黑体" w:eastAsia="黑体" w:hAnsi="黑体" w:hint="eastAsia"/>
                <w:sz w:val="20"/>
                <w:szCs w:val="20"/>
              </w:rPr>
              <w:t>应与基础数据一致。</w:t>
            </w:r>
          </w:p>
        </w:tc>
      </w:tr>
      <w:tr w:rsidR="00A052DC" w14:paraId="23A925DD" w14:textId="77777777">
        <w:tc>
          <w:tcPr>
            <w:tcW w:w="1276" w:type="dxa"/>
          </w:tcPr>
          <w:p w14:paraId="15FD0001" w14:textId="77777777" w:rsidR="00A052DC" w:rsidRDefault="009F0A60">
            <w:pPr>
              <w:rPr>
                <w:rFonts w:ascii="黑体" w:eastAsia="黑体" w:hAnsi="黑体"/>
                <w:sz w:val="20"/>
                <w:szCs w:val="20"/>
              </w:rPr>
            </w:pPr>
            <w:r>
              <w:rPr>
                <w:rFonts w:ascii="黑体" w:eastAsia="黑体" w:hAnsi="黑体" w:hint="eastAsia"/>
                <w:sz w:val="20"/>
                <w:szCs w:val="20"/>
              </w:rPr>
              <w:t>COUNTRY</w:t>
            </w:r>
          </w:p>
        </w:tc>
        <w:tc>
          <w:tcPr>
            <w:tcW w:w="1560" w:type="dxa"/>
          </w:tcPr>
          <w:p w14:paraId="25F5D379" w14:textId="77777777" w:rsidR="00A052DC" w:rsidRDefault="009F0A60">
            <w:pPr>
              <w:rPr>
                <w:rFonts w:ascii="黑体" w:eastAsia="黑体" w:hAnsi="黑体"/>
                <w:sz w:val="20"/>
                <w:szCs w:val="20"/>
              </w:rPr>
            </w:pPr>
            <w:r>
              <w:rPr>
                <w:rFonts w:ascii="黑体" w:eastAsia="黑体" w:hAnsi="黑体" w:hint="eastAsia"/>
                <w:sz w:val="20"/>
                <w:szCs w:val="20"/>
              </w:rPr>
              <w:t>收款人常驻国家/地区代码</w:t>
            </w:r>
          </w:p>
        </w:tc>
        <w:tc>
          <w:tcPr>
            <w:tcW w:w="1417" w:type="dxa"/>
          </w:tcPr>
          <w:p w14:paraId="62BE89C5" w14:textId="77777777" w:rsidR="00A052DC" w:rsidRDefault="009F0A60">
            <w:pPr>
              <w:rPr>
                <w:rFonts w:ascii="黑体" w:eastAsia="黑体" w:hAnsi="黑体"/>
                <w:sz w:val="20"/>
                <w:szCs w:val="20"/>
              </w:rPr>
            </w:pPr>
            <w:r>
              <w:rPr>
                <w:rFonts w:ascii="黑体" w:eastAsia="黑体" w:hAnsi="黑体" w:hint="eastAsia"/>
                <w:sz w:val="20"/>
                <w:szCs w:val="20"/>
              </w:rPr>
              <w:t>字符型，3</w:t>
            </w:r>
          </w:p>
        </w:tc>
        <w:tc>
          <w:tcPr>
            <w:tcW w:w="4394" w:type="dxa"/>
          </w:tcPr>
          <w:p w14:paraId="42B828FA" w14:textId="77777777" w:rsidR="00A052DC" w:rsidRDefault="009F0A60">
            <w:pPr>
              <w:rPr>
                <w:rFonts w:ascii="黑体" w:eastAsia="黑体" w:hAnsi="黑体"/>
                <w:sz w:val="20"/>
                <w:szCs w:val="20"/>
              </w:rPr>
            </w:pPr>
            <w:r>
              <w:rPr>
                <w:rFonts w:ascii="黑体" w:eastAsia="黑体" w:hAnsi="黑体" w:hint="eastAsia"/>
                <w:sz w:val="20"/>
                <w:szCs w:val="20"/>
              </w:rPr>
              <w:t>必填项，</w:t>
            </w:r>
          </w:p>
          <w:p w14:paraId="2E08D391" w14:textId="77777777" w:rsidR="00A052DC" w:rsidRDefault="009F0A60">
            <w:pPr>
              <w:rPr>
                <w:rFonts w:ascii="黑体" w:eastAsia="黑体" w:hAnsi="黑体"/>
                <w:sz w:val="20"/>
                <w:szCs w:val="20"/>
              </w:rPr>
            </w:pPr>
            <w:r>
              <w:rPr>
                <w:rFonts w:ascii="黑体" w:eastAsia="黑体" w:hAnsi="黑体" w:hint="eastAsia"/>
                <w:sz w:val="20"/>
                <w:szCs w:val="20"/>
              </w:rPr>
              <w:t>使用国家和地区代码表中的3位字母代码。</w:t>
            </w:r>
          </w:p>
        </w:tc>
      </w:tr>
      <w:tr w:rsidR="00A052DC" w14:paraId="50DC2B93" w14:textId="77777777">
        <w:tc>
          <w:tcPr>
            <w:tcW w:w="1276" w:type="dxa"/>
          </w:tcPr>
          <w:p w14:paraId="2B1E4E00" w14:textId="77777777" w:rsidR="00A052DC" w:rsidRDefault="009F0A60">
            <w:pPr>
              <w:rPr>
                <w:rFonts w:ascii="黑体" w:eastAsia="黑体" w:hAnsi="黑体"/>
                <w:sz w:val="20"/>
                <w:szCs w:val="20"/>
              </w:rPr>
            </w:pPr>
            <w:r>
              <w:rPr>
                <w:rFonts w:ascii="黑体" w:eastAsia="黑体" w:hAnsi="黑体" w:hint="eastAsia"/>
                <w:sz w:val="20"/>
                <w:szCs w:val="20"/>
              </w:rPr>
              <w:t>ISREF</w:t>
            </w:r>
          </w:p>
        </w:tc>
        <w:tc>
          <w:tcPr>
            <w:tcW w:w="1560" w:type="dxa"/>
          </w:tcPr>
          <w:p w14:paraId="44A3311D" w14:textId="77777777" w:rsidR="00A052DC" w:rsidRDefault="009F0A60">
            <w:pPr>
              <w:rPr>
                <w:rFonts w:ascii="黑体" w:eastAsia="黑体" w:hAnsi="黑体"/>
                <w:sz w:val="20"/>
                <w:szCs w:val="20"/>
              </w:rPr>
            </w:pPr>
            <w:r>
              <w:rPr>
                <w:rFonts w:ascii="黑体" w:eastAsia="黑体" w:hAnsi="黑体" w:hint="eastAsia"/>
                <w:sz w:val="20"/>
                <w:szCs w:val="20"/>
              </w:rPr>
              <w:t>是否保税货物项下付款</w:t>
            </w:r>
          </w:p>
        </w:tc>
        <w:tc>
          <w:tcPr>
            <w:tcW w:w="1417" w:type="dxa"/>
          </w:tcPr>
          <w:p w14:paraId="439FFA94" w14:textId="77777777" w:rsidR="00A052DC" w:rsidRDefault="009F0A60">
            <w:pPr>
              <w:rPr>
                <w:rFonts w:ascii="黑体" w:eastAsia="黑体" w:hAnsi="黑体"/>
                <w:sz w:val="20"/>
                <w:szCs w:val="20"/>
              </w:rPr>
            </w:pPr>
            <w:r>
              <w:rPr>
                <w:rFonts w:ascii="黑体" w:eastAsia="黑体" w:hAnsi="黑体" w:hint="eastAsia"/>
                <w:sz w:val="20"/>
                <w:szCs w:val="20"/>
              </w:rPr>
              <w:t>字符型，1</w:t>
            </w:r>
          </w:p>
        </w:tc>
        <w:tc>
          <w:tcPr>
            <w:tcW w:w="4394" w:type="dxa"/>
          </w:tcPr>
          <w:p w14:paraId="6B5CDFD2" w14:textId="77777777" w:rsidR="00A052DC" w:rsidRDefault="009F0A60">
            <w:pPr>
              <w:rPr>
                <w:rFonts w:ascii="黑体" w:eastAsia="黑体" w:hAnsi="黑体"/>
                <w:sz w:val="20"/>
                <w:szCs w:val="20"/>
              </w:rPr>
            </w:pPr>
            <w:r>
              <w:rPr>
                <w:rFonts w:ascii="黑体" w:eastAsia="黑体" w:hAnsi="黑体" w:hint="eastAsia"/>
                <w:sz w:val="20"/>
                <w:szCs w:val="20"/>
              </w:rPr>
              <w:t>Y</w:t>
            </w:r>
            <w:r w:rsidR="00AE4602">
              <w:rPr>
                <w:rFonts w:ascii="黑体" w:eastAsia="黑体" w:hAnsi="黑体" w:hint="eastAsia"/>
                <w:sz w:val="20"/>
                <w:szCs w:val="20"/>
              </w:rPr>
              <w:t>-</w:t>
            </w:r>
            <w:r>
              <w:rPr>
                <w:rFonts w:ascii="黑体" w:eastAsia="黑体" w:hAnsi="黑体" w:hint="eastAsia"/>
                <w:sz w:val="20"/>
                <w:szCs w:val="20"/>
              </w:rPr>
              <w:t>是</w:t>
            </w:r>
          </w:p>
          <w:p w14:paraId="6503763F" w14:textId="77777777" w:rsidR="00A052DC" w:rsidRDefault="009F0A60">
            <w:pPr>
              <w:rPr>
                <w:rFonts w:ascii="黑体" w:eastAsia="黑体" w:hAnsi="黑体"/>
                <w:sz w:val="20"/>
                <w:szCs w:val="20"/>
              </w:rPr>
            </w:pPr>
            <w:r>
              <w:rPr>
                <w:rFonts w:ascii="黑体" w:eastAsia="黑体" w:hAnsi="黑体" w:hint="eastAsia"/>
                <w:sz w:val="20"/>
                <w:szCs w:val="20"/>
              </w:rPr>
              <w:t>N</w:t>
            </w:r>
            <w:r w:rsidR="00AE4602">
              <w:rPr>
                <w:rFonts w:ascii="黑体" w:eastAsia="黑体" w:hAnsi="黑体" w:hint="eastAsia"/>
                <w:sz w:val="20"/>
                <w:szCs w:val="20"/>
              </w:rPr>
              <w:t>-</w:t>
            </w:r>
            <w:r>
              <w:rPr>
                <w:rFonts w:ascii="黑体" w:eastAsia="黑体" w:hAnsi="黑体" w:hint="eastAsia"/>
                <w:sz w:val="20"/>
                <w:szCs w:val="20"/>
              </w:rPr>
              <w:t>否</w:t>
            </w:r>
          </w:p>
        </w:tc>
      </w:tr>
      <w:tr w:rsidR="00A052DC" w14:paraId="57516DB8" w14:textId="77777777">
        <w:tc>
          <w:tcPr>
            <w:tcW w:w="1276" w:type="dxa"/>
          </w:tcPr>
          <w:p w14:paraId="29807454" w14:textId="77777777" w:rsidR="00A052DC" w:rsidRDefault="009F0A60">
            <w:pPr>
              <w:rPr>
                <w:rFonts w:ascii="黑体" w:eastAsia="黑体" w:hAnsi="黑体"/>
                <w:sz w:val="20"/>
                <w:szCs w:val="20"/>
              </w:rPr>
            </w:pPr>
            <w:r>
              <w:rPr>
                <w:rFonts w:ascii="黑体" w:eastAsia="黑体" w:hAnsi="黑体" w:hint="eastAsia"/>
                <w:sz w:val="20"/>
                <w:szCs w:val="20"/>
              </w:rPr>
              <w:t>PAYTYPE</w:t>
            </w:r>
          </w:p>
        </w:tc>
        <w:tc>
          <w:tcPr>
            <w:tcW w:w="1560" w:type="dxa"/>
          </w:tcPr>
          <w:p w14:paraId="3FFB90C2" w14:textId="77777777" w:rsidR="00A052DC" w:rsidRDefault="009F0A60">
            <w:pPr>
              <w:rPr>
                <w:rFonts w:ascii="黑体" w:eastAsia="黑体" w:hAnsi="黑体"/>
                <w:sz w:val="20"/>
                <w:szCs w:val="20"/>
              </w:rPr>
            </w:pPr>
            <w:r>
              <w:rPr>
                <w:rFonts w:ascii="黑体" w:eastAsia="黑体" w:hAnsi="黑体" w:hint="eastAsia"/>
                <w:sz w:val="20"/>
                <w:szCs w:val="20"/>
              </w:rPr>
              <w:t>付款类型</w:t>
            </w:r>
          </w:p>
        </w:tc>
        <w:tc>
          <w:tcPr>
            <w:tcW w:w="1417" w:type="dxa"/>
          </w:tcPr>
          <w:p w14:paraId="30ED3EF0" w14:textId="77777777" w:rsidR="00A052DC" w:rsidRDefault="009F0A60">
            <w:pPr>
              <w:rPr>
                <w:rFonts w:ascii="黑体" w:eastAsia="黑体" w:hAnsi="黑体"/>
                <w:sz w:val="20"/>
                <w:szCs w:val="20"/>
              </w:rPr>
            </w:pPr>
            <w:r>
              <w:rPr>
                <w:rFonts w:ascii="黑体" w:eastAsia="黑体" w:hAnsi="黑体" w:hint="eastAsia"/>
                <w:sz w:val="20"/>
                <w:szCs w:val="20"/>
              </w:rPr>
              <w:t>字符型，1</w:t>
            </w:r>
          </w:p>
        </w:tc>
        <w:tc>
          <w:tcPr>
            <w:tcW w:w="4394" w:type="dxa"/>
          </w:tcPr>
          <w:p w14:paraId="18945C93" w14:textId="77777777" w:rsidR="00A052DC" w:rsidRDefault="009F0A60">
            <w:pPr>
              <w:rPr>
                <w:rFonts w:ascii="黑体" w:eastAsia="黑体" w:hAnsi="黑体"/>
                <w:sz w:val="20"/>
                <w:szCs w:val="20"/>
              </w:rPr>
            </w:pPr>
            <w:r>
              <w:rPr>
                <w:rFonts w:ascii="黑体" w:eastAsia="黑体" w:hAnsi="黑体" w:hint="eastAsia"/>
                <w:sz w:val="20"/>
                <w:szCs w:val="20"/>
              </w:rPr>
              <w:t>A</w:t>
            </w:r>
            <w:r w:rsidR="00AE4602">
              <w:rPr>
                <w:rFonts w:ascii="黑体" w:eastAsia="黑体" w:hAnsi="黑体" w:hint="eastAsia"/>
                <w:sz w:val="20"/>
                <w:szCs w:val="20"/>
              </w:rPr>
              <w:t>-</w:t>
            </w:r>
            <w:r>
              <w:rPr>
                <w:rFonts w:ascii="黑体" w:eastAsia="黑体" w:hAnsi="黑体" w:hint="eastAsia"/>
                <w:sz w:val="20"/>
                <w:szCs w:val="20"/>
              </w:rPr>
              <w:t>预付款</w:t>
            </w:r>
          </w:p>
          <w:p w14:paraId="0EB02FA6" w14:textId="77777777" w:rsidR="00A052DC" w:rsidRDefault="009F0A60">
            <w:pPr>
              <w:rPr>
                <w:rFonts w:ascii="黑体" w:eastAsia="黑体" w:hAnsi="黑体"/>
                <w:sz w:val="20"/>
                <w:szCs w:val="20"/>
              </w:rPr>
            </w:pPr>
            <w:r>
              <w:rPr>
                <w:rFonts w:ascii="黑体" w:eastAsia="黑体" w:hAnsi="黑体" w:hint="eastAsia"/>
                <w:sz w:val="20"/>
                <w:szCs w:val="20"/>
              </w:rPr>
              <w:t>P</w:t>
            </w:r>
            <w:r w:rsidR="00AE4602">
              <w:rPr>
                <w:rFonts w:ascii="黑体" w:eastAsia="黑体" w:hAnsi="黑体" w:hint="eastAsia"/>
                <w:sz w:val="20"/>
                <w:szCs w:val="20"/>
              </w:rPr>
              <w:t>-</w:t>
            </w:r>
            <w:r>
              <w:rPr>
                <w:rFonts w:ascii="黑体" w:eastAsia="黑体" w:hAnsi="黑体" w:hint="eastAsia"/>
                <w:sz w:val="20"/>
                <w:szCs w:val="20"/>
              </w:rPr>
              <w:t>货到付款</w:t>
            </w:r>
          </w:p>
          <w:p w14:paraId="1820A848" w14:textId="77777777" w:rsidR="00A052DC" w:rsidRDefault="009F0A60">
            <w:pPr>
              <w:rPr>
                <w:rFonts w:ascii="黑体" w:eastAsia="黑体" w:hAnsi="黑体"/>
                <w:sz w:val="20"/>
                <w:szCs w:val="20"/>
              </w:rPr>
            </w:pPr>
            <w:r>
              <w:rPr>
                <w:rFonts w:ascii="黑体" w:eastAsia="黑体" w:hAnsi="黑体" w:hint="eastAsia"/>
                <w:sz w:val="20"/>
                <w:szCs w:val="20"/>
              </w:rPr>
              <w:t>R</w:t>
            </w:r>
            <w:r w:rsidR="00AE4602">
              <w:rPr>
                <w:rFonts w:ascii="黑体" w:eastAsia="黑体" w:hAnsi="黑体" w:hint="eastAsia"/>
                <w:sz w:val="20"/>
                <w:szCs w:val="20"/>
              </w:rPr>
              <w:t>-</w:t>
            </w:r>
            <w:r>
              <w:rPr>
                <w:rFonts w:ascii="黑体" w:eastAsia="黑体" w:hAnsi="黑体" w:hint="eastAsia"/>
                <w:sz w:val="20"/>
                <w:szCs w:val="20"/>
              </w:rPr>
              <w:t>退款</w:t>
            </w:r>
          </w:p>
          <w:p w14:paraId="37E495BE" w14:textId="77777777" w:rsidR="00A052DC" w:rsidRDefault="009F0A60" w:rsidP="006D55A3">
            <w:pPr>
              <w:rPr>
                <w:rFonts w:ascii="黑体" w:eastAsia="黑体" w:hAnsi="黑体"/>
                <w:sz w:val="20"/>
                <w:szCs w:val="20"/>
              </w:rPr>
            </w:pPr>
            <w:r>
              <w:rPr>
                <w:rFonts w:ascii="黑体" w:eastAsia="黑体" w:hAnsi="黑体" w:hint="eastAsia"/>
                <w:sz w:val="20"/>
                <w:szCs w:val="20"/>
              </w:rPr>
              <w:t>O-</w:t>
            </w:r>
            <w:r w:rsidR="006D55A3">
              <w:rPr>
                <w:rFonts w:ascii="黑体" w:eastAsia="黑体" w:hAnsi="黑体" w:hint="eastAsia"/>
                <w:sz w:val="20"/>
                <w:szCs w:val="20"/>
              </w:rPr>
              <w:t>其他</w:t>
            </w:r>
          </w:p>
        </w:tc>
      </w:tr>
      <w:tr w:rsidR="00A052DC" w14:paraId="745BD831" w14:textId="77777777">
        <w:tc>
          <w:tcPr>
            <w:tcW w:w="1276" w:type="dxa"/>
          </w:tcPr>
          <w:p w14:paraId="69EB018F" w14:textId="77777777" w:rsidR="00A052DC" w:rsidRDefault="009F0A60">
            <w:pPr>
              <w:rPr>
                <w:rFonts w:ascii="黑体" w:eastAsia="黑体" w:hAnsi="黑体"/>
                <w:sz w:val="20"/>
                <w:szCs w:val="20"/>
              </w:rPr>
            </w:pPr>
            <w:r>
              <w:rPr>
                <w:rFonts w:ascii="黑体" w:eastAsia="黑体" w:hAnsi="黑体" w:hint="eastAsia"/>
                <w:sz w:val="20"/>
                <w:szCs w:val="20"/>
              </w:rPr>
              <w:t>PAYATTR</w:t>
            </w:r>
          </w:p>
        </w:tc>
        <w:tc>
          <w:tcPr>
            <w:tcW w:w="1560" w:type="dxa"/>
          </w:tcPr>
          <w:p w14:paraId="77A7C35B" w14:textId="77777777" w:rsidR="00A052DC" w:rsidRDefault="009F0A60">
            <w:pPr>
              <w:rPr>
                <w:rFonts w:ascii="黑体" w:eastAsia="黑体" w:hAnsi="黑体"/>
                <w:sz w:val="20"/>
                <w:szCs w:val="20"/>
              </w:rPr>
            </w:pPr>
            <w:r>
              <w:rPr>
                <w:rFonts w:ascii="黑体" w:eastAsia="黑体" w:hAnsi="黑体" w:hint="eastAsia"/>
                <w:sz w:val="20"/>
                <w:szCs w:val="20"/>
              </w:rPr>
              <w:t>付汇性质</w:t>
            </w:r>
          </w:p>
        </w:tc>
        <w:tc>
          <w:tcPr>
            <w:tcW w:w="1417" w:type="dxa"/>
          </w:tcPr>
          <w:p w14:paraId="79FE7649" w14:textId="77777777" w:rsidR="00A052DC" w:rsidRDefault="009F0A60">
            <w:pPr>
              <w:rPr>
                <w:rFonts w:ascii="黑体" w:eastAsia="黑体" w:hAnsi="黑体"/>
                <w:sz w:val="20"/>
                <w:szCs w:val="20"/>
              </w:rPr>
            </w:pPr>
            <w:r>
              <w:rPr>
                <w:rFonts w:ascii="黑体" w:eastAsia="黑体" w:hAnsi="黑体" w:hint="eastAsia"/>
                <w:sz w:val="20"/>
                <w:szCs w:val="20"/>
              </w:rPr>
              <w:t>字符型，1</w:t>
            </w:r>
          </w:p>
        </w:tc>
        <w:tc>
          <w:tcPr>
            <w:tcW w:w="4394" w:type="dxa"/>
          </w:tcPr>
          <w:p w14:paraId="320CD504" w14:textId="77777777" w:rsidR="00A052DC" w:rsidRDefault="009F0A60">
            <w:pPr>
              <w:rPr>
                <w:rFonts w:ascii="黑体" w:eastAsia="黑体" w:hAnsi="黑体"/>
                <w:sz w:val="20"/>
                <w:szCs w:val="20"/>
              </w:rPr>
            </w:pPr>
            <w:r>
              <w:rPr>
                <w:rFonts w:ascii="黑体" w:eastAsia="黑体" w:hAnsi="黑体" w:hint="eastAsia"/>
                <w:sz w:val="20"/>
                <w:szCs w:val="20"/>
              </w:rPr>
              <w:t>X</w:t>
            </w:r>
            <w:r w:rsidR="00AE4602">
              <w:rPr>
                <w:rFonts w:ascii="黑体" w:eastAsia="黑体" w:hAnsi="黑体" w:hint="eastAsia"/>
                <w:sz w:val="20"/>
                <w:szCs w:val="20"/>
              </w:rPr>
              <w:t>-</w:t>
            </w:r>
            <w:r>
              <w:rPr>
                <w:rFonts w:ascii="黑体" w:eastAsia="黑体" w:hAnsi="黑体" w:hint="eastAsia"/>
                <w:sz w:val="20"/>
                <w:szCs w:val="20"/>
              </w:rPr>
              <w:t>保税区</w:t>
            </w:r>
          </w:p>
          <w:p w14:paraId="3154D617" w14:textId="77777777" w:rsidR="00A052DC" w:rsidRDefault="009F0A60">
            <w:pPr>
              <w:rPr>
                <w:rFonts w:ascii="黑体" w:eastAsia="黑体" w:hAnsi="黑体"/>
                <w:sz w:val="20"/>
                <w:szCs w:val="20"/>
              </w:rPr>
            </w:pPr>
            <w:r>
              <w:rPr>
                <w:rFonts w:ascii="黑体" w:eastAsia="黑体" w:hAnsi="黑体" w:hint="eastAsia"/>
                <w:sz w:val="20"/>
                <w:szCs w:val="20"/>
              </w:rPr>
              <w:t>E</w:t>
            </w:r>
            <w:r w:rsidR="00AE4602">
              <w:rPr>
                <w:rFonts w:ascii="黑体" w:eastAsia="黑体" w:hAnsi="黑体" w:hint="eastAsia"/>
                <w:sz w:val="20"/>
                <w:szCs w:val="20"/>
              </w:rPr>
              <w:t>-</w:t>
            </w:r>
            <w:r>
              <w:rPr>
                <w:rFonts w:ascii="黑体" w:eastAsia="黑体" w:hAnsi="黑体" w:hint="eastAsia"/>
                <w:sz w:val="20"/>
                <w:szCs w:val="20"/>
              </w:rPr>
              <w:t>出口加工区</w:t>
            </w:r>
          </w:p>
          <w:p w14:paraId="1EA60FD1" w14:textId="77777777" w:rsidR="00A052DC" w:rsidRDefault="009F0A60">
            <w:pPr>
              <w:rPr>
                <w:rFonts w:ascii="黑体" w:eastAsia="黑体" w:hAnsi="黑体"/>
                <w:sz w:val="20"/>
                <w:szCs w:val="20"/>
              </w:rPr>
            </w:pPr>
            <w:r>
              <w:rPr>
                <w:rFonts w:ascii="黑体" w:eastAsia="黑体" w:hAnsi="黑体" w:hint="eastAsia"/>
                <w:sz w:val="20"/>
                <w:szCs w:val="20"/>
              </w:rPr>
              <w:t>D</w:t>
            </w:r>
            <w:r w:rsidR="00AE4602">
              <w:rPr>
                <w:rFonts w:ascii="黑体" w:eastAsia="黑体" w:hAnsi="黑体" w:hint="eastAsia"/>
                <w:sz w:val="20"/>
                <w:szCs w:val="20"/>
              </w:rPr>
              <w:t>-</w:t>
            </w:r>
            <w:r>
              <w:rPr>
                <w:rFonts w:ascii="黑体" w:eastAsia="黑体" w:hAnsi="黑体" w:hint="eastAsia"/>
                <w:sz w:val="20"/>
                <w:szCs w:val="20"/>
              </w:rPr>
              <w:t>钻石交易所</w:t>
            </w:r>
          </w:p>
          <w:p w14:paraId="63B98822" w14:textId="77777777" w:rsidR="00A052DC" w:rsidRDefault="009F0A60">
            <w:pPr>
              <w:rPr>
                <w:rFonts w:ascii="黑体" w:eastAsia="黑体" w:hAnsi="黑体"/>
                <w:sz w:val="20"/>
                <w:szCs w:val="20"/>
              </w:rPr>
            </w:pPr>
            <w:r>
              <w:rPr>
                <w:rFonts w:ascii="黑体" w:eastAsia="黑体" w:hAnsi="黑体" w:hint="eastAsia"/>
                <w:sz w:val="20"/>
                <w:szCs w:val="20"/>
              </w:rPr>
              <w:t>A</w:t>
            </w:r>
            <w:r w:rsidR="00AE4602">
              <w:rPr>
                <w:rFonts w:ascii="黑体" w:eastAsia="黑体" w:hAnsi="黑体" w:hint="eastAsia"/>
                <w:sz w:val="20"/>
                <w:szCs w:val="20"/>
              </w:rPr>
              <w:t>-</w:t>
            </w:r>
            <w:r>
              <w:rPr>
                <w:rFonts w:ascii="黑体" w:eastAsia="黑体" w:hAnsi="黑体" w:hint="eastAsia"/>
                <w:sz w:val="20"/>
                <w:szCs w:val="20"/>
              </w:rPr>
              <w:t>其他特殊经济区</w:t>
            </w:r>
          </w:p>
          <w:p w14:paraId="5FA87DEE" w14:textId="77777777" w:rsidR="00A052DC" w:rsidRDefault="009F0A60">
            <w:pPr>
              <w:rPr>
                <w:rFonts w:ascii="黑体" w:eastAsia="黑体" w:hAnsi="黑体"/>
                <w:sz w:val="20"/>
                <w:szCs w:val="20"/>
              </w:rPr>
            </w:pPr>
            <w:r>
              <w:rPr>
                <w:rFonts w:ascii="黑体" w:eastAsia="黑体" w:hAnsi="黑体" w:hint="eastAsia"/>
                <w:sz w:val="20"/>
                <w:szCs w:val="20"/>
              </w:rPr>
              <w:t>M</w:t>
            </w:r>
            <w:r w:rsidR="00AE4602">
              <w:rPr>
                <w:rFonts w:ascii="黑体" w:eastAsia="黑体" w:hAnsi="黑体" w:hint="eastAsia"/>
                <w:sz w:val="20"/>
                <w:szCs w:val="20"/>
              </w:rPr>
              <w:t>-</w:t>
            </w:r>
            <w:r>
              <w:rPr>
                <w:rFonts w:ascii="黑体" w:eastAsia="黑体" w:hAnsi="黑体" w:hint="eastAsia"/>
                <w:sz w:val="20"/>
                <w:szCs w:val="20"/>
              </w:rPr>
              <w:t>深加工结转</w:t>
            </w:r>
          </w:p>
          <w:p w14:paraId="5DF3FDC8" w14:textId="77777777" w:rsidR="00A052DC" w:rsidRDefault="009F0A60">
            <w:pPr>
              <w:rPr>
                <w:rFonts w:ascii="黑体" w:eastAsia="黑体" w:hAnsi="黑体"/>
                <w:sz w:val="20"/>
                <w:szCs w:val="20"/>
              </w:rPr>
            </w:pPr>
            <w:r>
              <w:rPr>
                <w:rFonts w:ascii="黑体" w:eastAsia="黑体" w:hAnsi="黑体" w:hint="eastAsia"/>
                <w:sz w:val="20"/>
                <w:szCs w:val="20"/>
              </w:rPr>
              <w:t>O</w:t>
            </w:r>
            <w:r w:rsidR="00AE4602">
              <w:rPr>
                <w:rFonts w:ascii="黑体" w:eastAsia="黑体" w:hAnsi="黑体" w:hint="eastAsia"/>
                <w:sz w:val="20"/>
                <w:szCs w:val="20"/>
              </w:rPr>
              <w:t>-</w:t>
            </w:r>
            <w:r>
              <w:rPr>
                <w:rFonts w:ascii="黑体" w:eastAsia="黑体" w:hAnsi="黑体" w:hint="eastAsia"/>
                <w:sz w:val="20"/>
                <w:szCs w:val="20"/>
              </w:rPr>
              <w:t>其他</w:t>
            </w:r>
          </w:p>
        </w:tc>
      </w:tr>
      <w:tr w:rsidR="00A052DC" w14:paraId="1737D6AF" w14:textId="77777777">
        <w:tc>
          <w:tcPr>
            <w:tcW w:w="1276" w:type="dxa"/>
          </w:tcPr>
          <w:p w14:paraId="0281B748" w14:textId="77777777" w:rsidR="00A052DC" w:rsidRDefault="009F0A60">
            <w:pPr>
              <w:rPr>
                <w:rFonts w:ascii="黑体" w:eastAsia="黑体" w:hAnsi="黑体"/>
                <w:sz w:val="20"/>
                <w:szCs w:val="20"/>
              </w:rPr>
            </w:pPr>
            <w:r>
              <w:rPr>
                <w:rFonts w:ascii="黑体" w:eastAsia="黑体" w:hAnsi="黑体" w:hint="eastAsia"/>
                <w:sz w:val="20"/>
                <w:szCs w:val="20"/>
              </w:rPr>
              <w:t>TXCODE</w:t>
            </w:r>
          </w:p>
        </w:tc>
        <w:tc>
          <w:tcPr>
            <w:tcW w:w="1560" w:type="dxa"/>
          </w:tcPr>
          <w:p w14:paraId="4560F2CA" w14:textId="77777777" w:rsidR="00A052DC" w:rsidRDefault="009F0A60">
            <w:pPr>
              <w:rPr>
                <w:rFonts w:ascii="黑体" w:eastAsia="黑体" w:hAnsi="黑体"/>
                <w:sz w:val="20"/>
                <w:szCs w:val="20"/>
              </w:rPr>
            </w:pPr>
            <w:r>
              <w:rPr>
                <w:rFonts w:ascii="黑体" w:eastAsia="黑体" w:hAnsi="黑体" w:hint="eastAsia"/>
                <w:sz w:val="20"/>
                <w:szCs w:val="20"/>
              </w:rPr>
              <w:t>交易编码1</w:t>
            </w:r>
          </w:p>
        </w:tc>
        <w:tc>
          <w:tcPr>
            <w:tcW w:w="1417" w:type="dxa"/>
          </w:tcPr>
          <w:p w14:paraId="334EFA9D" w14:textId="77777777" w:rsidR="00A052DC" w:rsidRDefault="009F0A60">
            <w:pPr>
              <w:rPr>
                <w:rFonts w:ascii="黑体" w:eastAsia="黑体" w:hAnsi="黑体"/>
                <w:sz w:val="20"/>
                <w:szCs w:val="20"/>
              </w:rPr>
            </w:pPr>
            <w:r>
              <w:rPr>
                <w:rFonts w:ascii="黑体" w:eastAsia="黑体" w:hAnsi="黑体" w:hint="eastAsia"/>
                <w:sz w:val="20"/>
                <w:szCs w:val="20"/>
              </w:rPr>
              <w:t>字符型，6</w:t>
            </w:r>
          </w:p>
        </w:tc>
        <w:tc>
          <w:tcPr>
            <w:tcW w:w="4394" w:type="dxa"/>
          </w:tcPr>
          <w:p w14:paraId="77F13199" w14:textId="77777777" w:rsidR="00A052DC" w:rsidRDefault="009F0A60">
            <w:pPr>
              <w:rPr>
                <w:rFonts w:ascii="黑体" w:eastAsia="黑体" w:hAnsi="黑体"/>
                <w:sz w:val="20"/>
                <w:szCs w:val="20"/>
              </w:rPr>
            </w:pPr>
            <w:r>
              <w:rPr>
                <w:rFonts w:ascii="黑体" w:eastAsia="黑体" w:hAnsi="黑体" w:hint="eastAsia"/>
                <w:sz w:val="20"/>
                <w:szCs w:val="20"/>
              </w:rPr>
              <w:t>必填</w:t>
            </w:r>
            <w:r w:rsidR="006D55A3">
              <w:rPr>
                <w:rFonts w:ascii="黑体" w:eastAsia="黑体" w:hAnsi="黑体" w:hint="eastAsia"/>
                <w:sz w:val="20"/>
                <w:szCs w:val="20"/>
              </w:rPr>
              <w:t>项</w:t>
            </w:r>
            <w:r>
              <w:rPr>
                <w:rFonts w:ascii="黑体" w:eastAsia="黑体" w:hAnsi="黑体" w:hint="eastAsia"/>
                <w:sz w:val="20"/>
                <w:szCs w:val="20"/>
              </w:rPr>
              <w:t>，</w:t>
            </w:r>
          </w:p>
          <w:p w14:paraId="7B08AF3E" w14:textId="77777777" w:rsidR="00A052DC" w:rsidRDefault="009F0A60">
            <w:pPr>
              <w:rPr>
                <w:rFonts w:ascii="黑体" w:eastAsia="黑体" w:hAnsi="黑体"/>
                <w:sz w:val="20"/>
                <w:szCs w:val="20"/>
              </w:rPr>
            </w:pPr>
            <w:r>
              <w:rPr>
                <w:rFonts w:ascii="黑体" w:eastAsia="黑体" w:hAnsi="黑体" w:hint="eastAsia"/>
                <w:sz w:val="20"/>
                <w:szCs w:val="20"/>
              </w:rPr>
              <w:t>必须在涉外收支交易代码表中存在。</w:t>
            </w:r>
          </w:p>
        </w:tc>
      </w:tr>
      <w:tr w:rsidR="00A052DC" w14:paraId="4269185D" w14:textId="77777777">
        <w:tc>
          <w:tcPr>
            <w:tcW w:w="1276" w:type="dxa"/>
          </w:tcPr>
          <w:p w14:paraId="5433C679" w14:textId="77777777" w:rsidR="00A052DC" w:rsidRDefault="009F0A60">
            <w:pPr>
              <w:rPr>
                <w:rFonts w:ascii="黑体" w:eastAsia="黑体" w:hAnsi="黑体"/>
                <w:sz w:val="20"/>
                <w:szCs w:val="20"/>
              </w:rPr>
            </w:pPr>
            <w:r>
              <w:rPr>
                <w:rFonts w:ascii="黑体" w:eastAsia="黑体" w:hAnsi="黑体" w:hint="eastAsia"/>
                <w:sz w:val="20"/>
                <w:szCs w:val="20"/>
              </w:rPr>
              <w:t>TC1AMT</w:t>
            </w:r>
          </w:p>
        </w:tc>
        <w:tc>
          <w:tcPr>
            <w:tcW w:w="1560" w:type="dxa"/>
          </w:tcPr>
          <w:p w14:paraId="6151F40F" w14:textId="77777777" w:rsidR="00A052DC" w:rsidRDefault="009F0A60">
            <w:pPr>
              <w:rPr>
                <w:rFonts w:ascii="黑体" w:eastAsia="黑体" w:hAnsi="黑体"/>
                <w:sz w:val="20"/>
                <w:szCs w:val="20"/>
              </w:rPr>
            </w:pPr>
            <w:r>
              <w:rPr>
                <w:rFonts w:ascii="黑体" w:eastAsia="黑体" w:hAnsi="黑体" w:hint="eastAsia"/>
                <w:sz w:val="20"/>
                <w:szCs w:val="20"/>
              </w:rPr>
              <w:t>相应金额1</w:t>
            </w:r>
          </w:p>
        </w:tc>
        <w:tc>
          <w:tcPr>
            <w:tcW w:w="1417" w:type="dxa"/>
          </w:tcPr>
          <w:p w14:paraId="200CD711" w14:textId="77777777" w:rsidR="00A052DC" w:rsidRDefault="009F0A60">
            <w:pPr>
              <w:rPr>
                <w:rFonts w:ascii="黑体" w:eastAsia="黑体" w:hAnsi="黑体"/>
                <w:sz w:val="20"/>
                <w:szCs w:val="20"/>
              </w:rPr>
            </w:pPr>
            <w:r>
              <w:rPr>
                <w:rFonts w:ascii="黑体" w:eastAsia="黑体" w:hAnsi="黑体" w:hint="eastAsia"/>
                <w:sz w:val="20"/>
                <w:szCs w:val="20"/>
              </w:rPr>
              <w:t>数值型，22.0</w:t>
            </w:r>
          </w:p>
        </w:tc>
        <w:tc>
          <w:tcPr>
            <w:tcW w:w="4394" w:type="dxa"/>
          </w:tcPr>
          <w:p w14:paraId="27A36512" w14:textId="77777777" w:rsidR="00A052DC" w:rsidRDefault="009F0A60">
            <w:pPr>
              <w:rPr>
                <w:rFonts w:ascii="黑体" w:eastAsia="黑体" w:hAnsi="黑体"/>
                <w:sz w:val="20"/>
                <w:szCs w:val="20"/>
              </w:rPr>
            </w:pPr>
            <w:r>
              <w:rPr>
                <w:rFonts w:ascii="黑体" w:eastAsia="黑体" w:hAnsi="黑体" w:hint="eastAsia"/>
                <w:sz w:val="20"/>
                <w:szCs w:val="20"/>
              </w:rPr>
              <w:t>必填</w:t>
            </w:r>
            <w:r w:rsidR="006D55A3">
              <w:rPr>
                <w:rFonts w:ascii="黑体" w:eastAsia="黑体" w:hAnsi="黑体" w:hint="eastAsia"/>
                <w:sz w:val="20"/>
                <w:szCs w:val="20"/>
              </w:rPr>
              <w:t>项</w:t>
            </w:r>
            <w:r>
              <w:rPr>
                <w:rFonts w:ascii="黑体" w:eastAsia="黑体" w:hAnsi="黑体" w:hint="eastAsia"/>
                <w:sz w:val="20"/>
                <w:szCs w:val="20"/>
              </w:rPr>
              <w:t>。</w:t>
            </w:r>
          </w:p>
        </w:tc>
      </w:tr>
      <w:tr w:rsidR="00A052DC" w14:paraId="4575E806" w14:textId="77777777">
        <w:tc>
          <w:tcPr>
            <w:tcW w:w="1276" w:type="dxa"/>
          </w:tcPr>
          <w:p w14:paraId="54D883CC" w14:textId="77777777" w:rsidR="00A052DC" w:rsidRDefault="009F0A60">
            <w:pPr>
              <w:rPr>
                <w:rFonts w:ascii="黑体" w:eastAsia="黑体" w:hAnsi="黑体"/>
                <w:sz w:val="20"/>
                <w:szCs w:val="20"/>
              </w:rPr>
            </w:pPr>
            <w:r>
              <w:rPr>
                <w:rFonts w:ascii="黑体" w:eastAsia="黑体" w:hAnsi="黑体"/>
                <w:sz w:val="20"/>
                <w:szCs w:val="20"/>
              </w:rPr>
              <w:t>TXREM</w:t>
            </w:r>
          </w:p>
        </w:tc>
        <w:tc>
          <w:tcPr>
            <w:tcW w:w="1560" w:type="dxa"/>
          </w:tcPr>
          <w:p w14:paraId="1145050D" w14:textId="77777777" w:rsidR="00A052DC" w:rsidRDefault="009F0A60">
            <w:pPr>
              <w:rPr>
                <w:rFonts w:ascii="黑体" w:eastAsia="黑体" w:hAnsi="黑体"/>
                <w:sz w:val="20"/>
                <w:szCs w:val="20"/>
              </w:rPr>
            </w:pPr>
            <w:r>
              <w:rPr>
                <w:rFonts w:ascii="黑体" w:eastAsia="黑体" w:hAnsi="黑体" w:hint="eastAsia"/>
                <w:sz w:val="20"/>
                <w:szCs w:val="20"/>
              </w:rPr>
              <w:t>交易附言</w:t>
            </w:r>
            <w:r>
              <w:rPr>
                <w:rFonts w:ascii="黑体" w:eastAsia="黑体" w:hAnsi="黑体"/>
                <w:sz w:val="20"/>
                <w:szCs w:val="20"/>
              </w:rPr>
              <w:t>1</w:t>
            </w:r>
          </w:p>
        </w:tc>
        <w:tc>
          <w:tcPr>
            <w:tcW w:w="1417" w:type="dxa"/>
          </w:tcPr>
          <w:p w14:paraId="1FDF7255" w14:textId="77777777" w:rsidR="00A052DC" w:rsidRDefault="009F0A60">
            <w:pPr>
              <w:rPr>
                <w:rFonts w:ascii="黑体" w:eastAsia="黑体" w:hAnsi="黑体"/>
                <w:sz w:val="20"/>
                <w:szCs w:val="20"/>
              </w:rPr>
            </w:pPr>
            <w:r>
              <w:rPr>
                <w:rFonts w:ascii="黑体" w:eastAsia="黑体" w:hAnsi="黑体" w:hint="eastAsia"/>
                <w:sz w:val="20"/>
                <w:szCs w:val="20"/>
              </w:rPr>
              <w:t>字符型，</w:t>
            </w:r>
            <w:r>
              <w:rPr>
                <w:rFonts w:ascii="黑体" w:eastAsia="黑体" w:hAnsi="黑体"/>
                <w:sz w:val="20"/>
                <w:szCs w:val="20"/>
              </w:rPr>
              <w:t>256</w:t>
            </w:r>
          </w:p>
        </w:tc>
        <w:tc>
          <w:tcPr>
            <w:tcW w:w="4394" w:type="dxa"/>
          </w:tcPr>
          <w:p w14:paraId="5A31D99B" w14:textId="77777777" w:rsidR="00A052DC" w:rsidRDefault="009F0A60">
            <w:pPr>
              <w:rPr>
                <w:rFonts w:ascii="黑体" w:eastAsia="黑体" w:hAnsi="黑体"/>
                <w:sz w:val="20"/>
                <w:szCs w:val="20"/>
              </w:rPr>
            </w:pPr>
            <w:r>
              <w:rPr>
                <w:rFonts w:ascii="黑体" w:eastAsia="黑体" w:hAnsi="黑体" w:hint="eastAsia"/>
                <w:sz w:val="20"/>
                <w:szCs w:val="20"/>
              </w:rPr>
              <w:t>必填</w:t>
            </w:r>
            <w:r w:rsidR="006D55A3">
              <w:rPr>
                <w:rFonts w:ascii="黑体" w:eastAsia="黑体" w:hAnsi="黑体" w:hint="eastAsia"/>
                <w:sz w:val="20"/>
                <w:szCs w:val="20"/>
              </w:rPr>
              <w:t>项</w:t>
            </w:r>
            <w:r>
              <w:rPr>
                <w:rFonts w:ascii="黑体" w:eastAsia="黑体" w:hAnsi="黑体" w:hint="eastAsia"/>
                <w:sz w:val="20"/>
                <w:szCs w:val="20"/>
              </w:rPr>
              <w:t>。</w:t>
            </w:r>
          </w:p>
        </w:tc>
      </w:tr>
      <w:tr w:rsidR="00A052DC" w14:paraId="54AEFE6E" w14:textId="77777777">
        <w:tc>
          <w:tcPr>
            <w:tcW w:w="1276" w:type="dxa"/>
          </w:tcPr>
          <w:p w14:paraId="57530A6A" w14:textId="77777777" w:rsidR="00A052DC" w:rsidRDefault="009F0A60">
            <w:pPr>
              <w:rPr>
                <w:rFonts w:ascii="黑体" w:eastAsia="黑体" w:hAnsi="黑体"/>
                <w:sz w:val="20"/>
                <w:szCs w:val="20"/>
              </w:rPr>
            </w:pPr>
            <w:r>
              <w:rPr>
                <w:rFonts w:ascii="黑体" w:eastAsia="黑体" w:hAnsi="黑体" w:hint="eastAsia"/>
                <w:sz w:val="20"/>
                <w:szCs w:val="20"/>
              </w:rPr>
              <w:t>TXCODE2</w:t>
            </w:r>
          </w:p>
        </w:tc>
        <w:tc>
          <w:tcPr>
            <w:tcW w:w="1560" w:type="dxa"/>
          </w:tcPr>
          <w:p w14:paraId="27C3755A" w14:textId="77777777" w:rsidR="00A052DC" w:rsidRDefault="009F0A60">
            <w:pPr>
              <w:rPr>
                <w:rFonts w:ascii="黑体" w:eastAsia="黑体" w:hAnsi="黑体"/>
                <w:sz w:val="20"/>
                <w:szCs w:val="20"/>
              </w:rPr>
            </w:pPr>
            <w:r>
              <w:rPr>
                <w:rFonts w:ascii="黑体" w:eastAsia="黑体" w:hAnsi="黑体" w:hint="eastAsia"/>
                <w:sz w:val="20"/>
                <w:szCs w:val="20"/>
              </w:rPr>
              <w:t>交易编码2</w:t>
            </w:r>
          </w:p>
        </w:tc>
        <w:tc>
          <w:tcPr>
            <w:tcW w:w="1417" w:type="dxa"/>
          </w:tcPr>
          <w:p w14:paraId="1079C64E" w14:textId="77777777" w:rsidR="00A052DC" w:rsidRDefault="009F0A60">
            <w:pPr>
              <w:rPr>
                <w:rFonts w:ascii="黑体" w:eastAsia="黑体" w:hAnsi="黑体"/>
                <w:sz w:val="20"/>
                <w:szCs w:val="20"/>
              </w:rPr>
            </w:pPr>
            <w:r>
              <w:rPr>
                <w:rFonts w:ascii="黑体" w:eastAsia="黑体" w:hAnsi="黑体" w:hint="eastAsia"/>
                <w:sz w:val="20"/>
                <w:szCs w:val="20"/>
              </w:rPr>
              <w:t>字符型，6</w:t>
            </w:r>
          </w:p>
        </w:tc>
        <w:tc>
          <w:tcPr>
            <w:tcW w:w="4394" w:type="dxa"/>
          </w:tcPr>
          <w:p w14:paraId="2AB95230" w14:textId="77777777" w:rsidR="00A052DC" w:rsidRDefault="00DD6AA3">
            <w:pPr>
              <w:rPr>
                <w:rFonts w:ascii="黑体" w:eastAsia="黑体" w:hAnsi="黑体"/>
                <w:sz w:val="20"/>
                <w:szCs w:val="20"/>
              </w:rPr>
            </w:pPr>
            <w:r>
              <w:rPr>
                <w:rFonts w:ascii="黑体" w:eastAsia="黑体" w:hAnsi="黑体" w:hint="eastAsia"/>
                <w:sz w:val="20"/>
                <w:szCs w:val="20"/>
              </w:rPr>
              <w:t>非必填项</w:t>
            </w:r>
            <w:r w:rsidR="009F0A60">
              <w:rPr>
                <w:rFonts w:ascii="黑体" w:eastAsia="黑体" w:hAnsi="黑体" w:hint="eastAsia"/>
                <w:sz w:val="20"/>
                <w:szCs w:val="20"/>
              </w:rPr>
              <w:t>，必须在涉外收支交易代码表中存在。</w:t>
            </w:r>
          </w:p>
          <w:p w14:paraId="2292C997" w14:textId="77777777" w:rsidR="00A052DC" w:rsidRDefault="009F0A60">
            <w:pPr>
              <w:rPr>
                <w:rFonts w:ascii="黑体" w:eastAsia="黑体" w:hAnsi="黑体"/>
                <w:sz w:val="20"/>
                <w:szCs w:val="20"/>
              </w:rPr>
            </w:pPr>
            <w:r>
              <w:rPr>
                <w:rFonts w:ascii="黑体" w:eastAsia="黑体" w:hAnsi="黑体" w:hint="eastAsia"/>
                <w:sz w:val="20"/>
                <w:szCs w:val="20"/>
              </w:rPr>
              <w:t>不能与交易编码1相同</w:t>
            </w:r>
            <w:r w:rsidR="006D55A3">
              <w:rPr>
                <w:rFonts w:ascii="黑体" w:eastAsia="黑体" w:hAnsi="黑体" w:hint="eastAsia"/>
                <w:sz w:val="20"/>
                <w:szCs w:val="20"/>
              </w:rPr>
              <w:t>。</w:t>
            </w:r>
          </w:p>
          <w:p w14:paraId="744C6AA3" w14:textId="77777777" w:rsidR="00A052DC" w:rsidRDefault="009F0A60">
            <w:pPr>
              <w:rPr>
                <w:rFonts w:ascii="黑体" w:eastAsia="黑体" w:hAnsi="黑体"/>
                <w:sz w:val="20"/>
                <w:szCs w:val="20"/>
              </w:rPr>
            </w:pPr>
            <w:r>
              <w:rPr>
                <w:rFonts w:ascii="黑体" w:eastAsia="黑体" w:hAnsi="黑体" w:hint="eastAsia"/>
                <w:sz w:val="20"/>
                <w:szCs w:val="20"/>
              </w:rPr>
              <w:t>没有输入交易编码时，相应金额不应该填写。</w:t>
            </w:r>
          </w:p>
          <w:p w14:paraId="32A3E5AD" w14:textId="77777777" w:rsidR="00A052DC" w:rsidRDefault="009F0A60">
            <w:pPr>
              <w:rPr>
                <w:rFonts w:ascii="黑体" w:eastAsia="黑体" w:hAnsi="黑体"/>
                <w:sz w:val="20"/>
                <w:szCs w:val="20"/>
              </w:rPr>
            </w:pPr>
            <w:r>
              <w:rPr>
                <w:rFonts w:ascii="黑体" w:eastAsia="黑体" w:hAnsi="黑体" w:hint="eastAsia"/>
                <w:sz w:val="20"/>
                <w:szCs w:val="20"/>
              </w:rPr>
              <w:t>有交易金额2时必填。</w:t>
            </w:r>
          </w:p>
        </w:tc>
      </w:tr>
      <w:tr w:rsidR="00A052DC" w14:paraId="1E51E332" w14:textId="77777777">
        <w:tc>
          <w:tcPr>
            <w:tcW w:w="1276" w:type="dxa"/>
          </w:tcPr>
          <w:p w14:paraId="5863A0F8" w14:textId="77777777" w:rsidR="00A052DC" w:rsidRDefault="009F0A60">
            <w:pPr>
              <w:rPr>
                <w:rFonts w:ascii="黑体" w:eastAsia="黑体" w:hAnsi="黑体"/>
                <w:sz w:val="20"/>
                <w:szCs w:val="20"/>
              </w:rPr>
            </w:pPr>
            <w:r>
              <w:rPr>
                <w:rFonts w:ascii="黑体" w:eastAsia="黑体" w:hAnsi="黑体" w:hint="eastAsia"/>
                <w:sz w:val="20"/>
                <w:szCs w:val="20"/>
              </w:rPr>
              <w:t>TC2AMT</w:t>
            </w:r>
          </w:p>
        </w:tc>
        <w:tc>
          <w:tcPr>
            <w:tcW w:w="1560" w:type="dxa"/>
          </w:tcPr>
          <w:p w14:paraId="0123303A" w14:textId="77777777" w:rsidR="00A052DC" w:rsidRDefault="009F0A60">
            <w:pPr>
              <w:rPr>
                <w:rFonts w:ascii="黑体" w:eastAsia="黑体" w:hAnsi="黑体"/>
                <w:sz w:val="20"/>
                <w:szCs w:val="20"/>
              </w:rPr>
            </w:pPr>
            <w:r>
              <w:rPr>
                <w:rFonts w:ascii="黑体" w:eastAsia="黑体" w:hAnsi="黑体" w:hint="eastAsia"/>
                <w:sz w:val="20"/>
                <w:szCs w:val="20"/>
              </w:rPr>
              <w:t>相应金额2</w:t>
            </w:r>
          </w:p>
        </w:tc>
        <w:tc>
          <w:tcPr>
            <w:tcW w:w="1417" w:type="dxa"/>
          </w:tcPr>
          <w:p w14:paraId="3DFDC449" w14:textId="77777777" w:rsidR="00A052DC" w:rsidRDefault="009F0A60">
            <w:pPr>
              <w:rPr>
                <w:rFonts w:ascii="黑体" w:eastAsia="黑体" w:hAnsi="黑体"/>
                <w:sz w:val="20"/>
                <w:szCs w:val="20"/>
              </w:rPr>
            </w:pPr>
            <w:r>
              <w:rPr>
                <w:rFonts w:ascii="黑体" w:eastAsia="黑体" w:hAnsi="黑体" w:hint="eastAsia"/>
                <w:sz w:val="20"/>
                <w:szCs w:val="20"/>
              </w:rPr>
              <w:t>数值型，22.0</w:t>
            </w:r>
          </w:p>
        </w:tc>
        <w:tc>
          <w:tcPr>
            <w:tcW w:w="4394" w:type="dxa"/>
          </w:tcPr>
          <w:p w14:paraId="4B600C99" w14:textId="77777777" w:rsidR="00A052DC" w:rsidRDefault="00DD6AA3">
            <w:pPr>
              <w:rPr>
                <w:rFonts w:ascii="黑体" w:eastAsia="黑体" w:hAnsi="黑体"/>
                <w:sz w:val="20"/>
                <w:szCs w:val="20"/>
              </w:rPr>
            </w:pPr>
            <w:r>
              <w:rPr>
                <w:rFonts w:ascii="黑体" w:eastAsia="黑体" w:hAnsi="黑体" w:hint="eastAsia"/>
                <w:sz w:val="20"/>
                <w:szCs w:val="20"/>
              </w:rPr>
              <w:t>非必填项</w:t>
            </w:r>
            <w:r w:rsidR="009F0A60">
              <w:rPr>
                <w:rFonts w:ascii="黑体" w:eastAsia="黑体" w:hAnsi="黑体" w:hint="eastAsia"/>
                <w:sz w:val="20"/>
                <w:szCs w:val="20"/>
              </w:rPr>
              <w:t>，</w:t>
            </w:r>
          </w:p>
          <w:p w14:paraId="3ED013FC" w14:textId="77777777" w:rsidR="00A052DC" w:rsidRDefault="009F0A60">
            <w:pPr>
              <w:rPr>
                <w:rFonts w:ascii="黑体" w:eastAsia="黑体" w:hAnsi="黑体"/>
                <w:sz w:val="20"/>
                <w:szCs w:val="20"/>
              </w:rPr>
            </w:pPr>
            <w:r>
              <w:rPr>
                <w:rFonts w:ascii="黑体" w:eastAsia="黑体" w:hAnsi="黑体" w:hint="eastAsia"/>
                <w:sz w:val="20"/>
                <w:szCs w:val="20"/>
              </w:rPr>
              <w:t>有交易编码2时必填。</w:t>
            </w:r>
          </w:p>
          <w:p w14:paraId="4F9B928C" w14:textId="77777777" w:rsidR="00A052DC" w:rsidRDefault="009F0A60">
            <w:pPr>
              <w:rPr>
                <w:rFonts w:ascii="黑体" w:eastAsia="黑体" w:hAnsi="黑体"/>
                <w:sz w:val="20"/>
                <w:szCs w:val="20"/>
              </w:rPr>
            </w:pPr>
            <w:r>
              <w:rPr>
                <w:rFonts w:ascii="黑体" w:eastAsia="黑体" w:hAnsi="黑体" w:hint="eastAsia"/>
                <w:sz w:val="20"/>
                <w:szCs w:val="20"/>
              </w:rPr>
              <w:t>两个交易编码对应的金额之和必须等于付款金额。</w:t>
            </w:r>
          </w:p>
        </w:tc>
      </w:tr>
      <w:tr w:rsidR="00A052DC" w14:paraId="5754431B" w14:textId="77777777">
        <w:tc>
          <w:tcPr>
            <w:tcW w:w="1276" w:type="dxa"/>
          </w:tcPr>
          <w:p w14:paraId="4685C2F1" w14:textId="77777777" w:rsidR="00A052DC" w:rsidRDefault="009F0A60">
            <w:pPr>
              <w:rPr>
                <w:rFonts w:ascii="黑体" w:eastAsia="黑体" w:hAnsi="黑体"/>
                <w:sz w:val="20"/>
                <w:szCs w:val="20"/>
              </w:rPr>
            </w:pPr>
            <w:r>
              <w:rPr>
                <w:rFonts w:ascii="黑体" w:eastAsia="黑体" w:hAnsi="黑体"/>
                <w:sz w:val="20"/>
                <w:szCs w:val="20"/>
              </w:rPr>
              <w:t>TX2REM</w:t>
            </w:r>
          </w:p>
        </w:tc>
        <w:tc>
          <w:tcPr>
            <w:tcW w:w="1560" w:type="dxa"/>
          </w:tcPr>
          <w:p w14:paraId="14945FDC" w14:textId="77777777" w:rsidR="00A052DC" w:rsidRDefault="009F0A60">
            <w:pPr>
              <w:rPr>
                <w:rFonts w:ascii="黑体" w:eastAsia="黑体" w:hAnsi="黑体"/>
                <w:sz w:val="20"/>
                <w:szCs w:val="20"/>
              </w:rPr>
            </w:pPr>
            <w:r>
              <w:rPr>
                <w:rFonts w:ascii="黑体" w:eastAsia="黑体" w:hAnsi="黑体" w:hint="eastAsia"/>
                <w:sz w:val="20"/>
                <w:szCs w:val="20"/>
              </w:rPr>
              <w:t>交易附言</w:t>
            </w:r>
            <w:r>
              <w:rPr>
                <w:rFonts w:ascii="黑体" w:eastAsia="黑体" w:hAnsi="黑体"/>
                <w:sz w:val="20"/>
                <w:szCs w:val="20"/>
              </w:rPr>
              <w:t>2</w:t>
            </w:r>
          </w:p>
        </w:tc>
        <w:tc>
          <w:tcPr>
            <w:tcW w:w="1417" w:type="dxa"/>
          </w:tcPr>
          <w:p w14:paraId="1B2E3944" w14:textId="77777777" w:rsidR="00A052DC" w:rsidRDefault="009F0A60">
            <w:pPr>
              <w:rPr>
                <w:rFonts w:ascii="黑体" w:eastAsia="黑体" w:hAnsi="黑体"/>
                <w:sz w:val="20"/>
                <w:szCs w:val="20"/>
              </w:rPr>
            </w:pPr>
            <w:r>
              <w:rPr>
                <w:rFonts w:ascii="黑体" w:eastAsia="黑体" w:hAnsi="黑体" w:hint="eastAsia"/>
                <w:sz w:val="20"/>
                <w:szCs w:val="20"/>
              </w:rPr>
              <w:t>字符型，</w:t>
            </w:r>
            <w:r>
              <w:rPr>
                <w:rFonts w:ascii="黑体" w:eastAsia="黑体" w:hAnsi="黑体"/>
                <w:sz w:val="20"/>
                <w:szCs w:val="20"/>
              </w:rPr>
              <w:t>256</w:t>
            </w:r>
          </w:p>
        </w:tc>
        <w:tc>
          <w:tcPr>
            <w:tcW w:w="4394" w:type="dxa"/>
          </w:tcPr>
          <w:p w14:paraId="57579DF9" w14:textId="77777777" w:rsidR="00A052DC" w:rsidRDefault="00DD6AA3" w:rsidP="00A769EC">
            <w:pPr>
              <w:rPr>
                <w:rFonts w:ascii="黑体" w:eastAsia="黑体" w:hAnsi="黑体"/>
                <w:sz w:val="20"/>
                <w:szCs w:val="20"/>
              </w:rPr>
            </w:pPr>
            <w:r>
              <w:rPr>
                <w:rFonts w:ascii="黑体" w:eastAsia="黑体" w:hAnsi="黑体" w:hint="eastAsia"/>
                <w:sz w:val="20"/>
                <w:szCs w:val="20"/>
              </w:rPr>
              <w:t>非必填项</w:t>
            </w:r>
            <w:r w:rsidR="009F0A60">
              <w:rPr>
                <w:rFonts w:ascii="黑体" w:eastAsia="黑体" w:hAnsi="黑体" w:hint="eastAsia"/>
                <w:sz w:val="20"/>
                <w:szCs w:val="20"/>
              </w:rPr>
              <w:t>，有交易编码</w:t>
            </w:r>
            <w:r w:rsidR="009F0A60">
              <w:rPr>
                <w:rFonts w:ascii="黑体" w:eastAsia="黑体" w:hAnsi="黑体"/>
                <w:sz w:val="20"/>
                <w:szCs w:val="20"/>
              </w:rPr>
              <w:t>2时必填</w:t>
            </w:r>
            <w:r w:rsidR="009F0A60">
              <w:rPr>
                <w:rFonts w:ascii="黑体" w:eastAsia="黑体" w:hAnsi="黑体" w:hint="eastAsia"/>
                <w:sz w:val="20"/>
                <w:szCs w:val="20"/>
              </w:rPr>
              <w:t>。</w:t>
            </w:r>
          </w:p>
        </w:tc>
      </w:tr>
      <w:tr w:rsidR="00A052DC" w14:paraId="61EC679F" w14:textId="77777777">
        <w:tc>
          <w:tcPr>
            <w:tcW w:w="1276" w:type="dxa"/>
          </w:tcPr>
          <w:p w14:paraId="569F40FE" w14:textId="77777777" w:rsidR="00A052DC" w:rsidRDefault="009F0A60">
            <w:pPr>
              <w:rPr>
                <w:rFonts w:ascii="黑体" w:eastAsia="黑体" w:hAnsi="黑体"/>
                <w:sz w:val="20"/>
                <w:szCs w:val="20"/>
              </w:rPr>
            </w:pPr>
            <w:r>
              <w:rPr>
                <w:rFonts w:ascii="黑体" w:eastAsia="黑体" w:hAnsi="黑体" w:hint="eastAsia"/>
                <w:sz w:val="20"/>
                <w:szCs w:val="20"/>
              </w:rPr>
              <w:t>IMPDATE</w:t>
            </w:r>
          </w:p>
        </w:tc>
        <w:tc>
          <w:tcPr>
            <w:tcW w:w="1560" w:type="dxa"/>
          </w:tcPr>
          <w:p w14:paraId="368D367A" w14:textId="77777777" w:rsidR="00A052DC" w:rsidRDefault="009F0A60">
            <w:pPr>
              <w:rPr>
                <w:rFonts w:ascii="黑体" w:eastAsia="黑体" w:hAnsi="黑体"/>
                <w:sz w:val="20"/>
                <w:szCs w:val="20"/>
              </w:rPr>
            </w:pPr>
            <w:r>
              <w:rPr>
                <w:rFonts w:ascii="黑体" w:eastAsia="黑体" w:hAnsi="黑体" w:hint="eastAsia"/>
                <w:sz w:val="20"/>
                <w:szCs w:val="20"/>
              </w:rPr>
              <w:t>最迟装运日期</w:t>
            </w:r>
          </w:p>
        </w:tc>
        <w:tc>
          <w:tcPr>
            <w:tcW w:w="1417" w:type="dxa"/>
          </w:tcPr>
          <w:p w14:paraId="626FB6DE" w14:textId="77777777" w:rsidR="00A052DC" w:rsidRDefault="009F0A60">
            <w:pPr>
              <w:rPr>
                <w:rFonts w:ascii="黑体" w:eastAsia="黑体" w:hAnsi="黑体"/>
                <w:sz w:val="20"/>
                <w:szCs w:val="20"/>
              </w:rPr>
            </w:pPr>
            <w:r>
              <w:rPr>
                <w:rFonts w:ascii="黑体" w:eastAsia="黑体" w:hAnsi="黑体" w:hint="eastAsia"/>
                <w:sz w:val="20"/>
                <w:szCs w:val="20"/>
              </w:rPr>
              <w:t>日期型，8</w:t>
            </w:r>
          </w:p>
        </w:tc>
        <w:tc>
          <w:tcPr>
            <w:tcW w:w="4394" w:type="dxa"/>
          </w:tcPr>
          <w:p w14:paraId="72C7469A" w14:textId="77777777" w:rsidR="00A052DC" w:rsidRDefault="009F0A60">
            <w:pPr>
              <w:rPr>
                <w:rFonts w:ascii="黑体" w:eastAsia="黑体" w:hAnsi="黑体"/>
                <w:sz w:val="20"/>
                <w:szCs w:val="20"/>
              </w:rPr>
            </w:pPr>
            <w:r>
              <w:rPr>
                <w:rFonts w:ascii="黑体" w:eastAsia="黑体" w:hAnsi="黑体" w:hint="eastAsia"/>
                <w:sz w:val="20"/>
                <w:szCs w:val="20"/>
              </w:rPr>
              <w:t>空，不赋值。YYYYMMDD</w:t>
            </w:r>
            <w:r w:rsidR="009708FD">
              <w:rPr>
                <w:rFonts w:ascii="黑体" w:eastAsia="黑体" w:hAnsi="黑体" w:hint="eastAsia"/>
                <w:sz w:val="20"/>
                <w:szCs w:val="20"/>
              </w:rPr>
              <w:t>。</w:t>
            </w:r>
          </w:p>
        </w:tc>
      </w:tr>
      <w:tr w:rsidR="00A052DC" w14:paraId="39F0ACD3" w14:textId="77777777">
        <w:tc>
          <w:tcPr>
            <w:tcW w:w="1276" w:type="dxa"/>
          </w:tcPr>
          <w:p w14:paraId="45502B55" w14:textId="77777777" w:rsidR="00A052DC" w:rsidRDefault="009F0A60">
            <w:pPr>
              <w:rPr>
                <w:rFonts w:ascii="黑体" w:eastAsia="黑体" w:hAnsi="黑体"/>
                <w:sz w:val="20"/>
                <w:szCs w:val="20"/>
              </w:rPr>
            </w:pPr>
            <w:r>
              <w:rPr>
                <w:rFonts w:ascii="黑体" w:eastAsia="黑体" w:hAnsi="黑体" w:hint="eastAsia"/>
                <w:sz w:val="20"/>
                <w:szCs w:val="20"/>
              </w:rPr>
              <w:t>CONTRNO</w:t>
            </w:r>
          </w:p>
        </w:tc>
        <w:tc>
          <w:tcPr>
            <w:tcW w:w="1560" w:type="dxa"/>
          </w:tcPr>
          <w:p w14:paraId="2F9B3D49" w14:textId="77777777" w:rsidR="00A052DC" w:rsidRDefault="009F0A60">
            <w:pPr>
              <w:rPr>
                <w:rFonts w:ascii="黑体" w:eastAsia="黑体" w:hAnsi="黑体"/>
                <w:sz w:val="20"/>
                <w:szCs w:val="20"/>
              </w:rPr>
            </w:pPr>
            <w:r>
              <w:rPr>
                <w:rFonts w:ascii="黑体" w:eastAsia="黑体" w:hAnsi="黑体" w:hint="eastAsia"/>
                <w:sz w:val="20"/>
                <w:szCs w:val="20"/>
              </w:rPr>
              <w:t>合同号</w:t>
            </w:r>
          </w:p>
        </w:tc>
        <w:tc>
          <w:tcPr>
            <w:tcW w:w="1417" w:type="dxa"/>
          </w:tcPr>
          <w:p w14:paraId="718AF873"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4394" w:type="dxa"/>
          </w:tcPr>
          <w:p w14:paraId="7B6A594C"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r w:rsidR="00A052DC" w14:paraId="7D06D3E7" w14:textId="77777777">
        <w:tc>
          <w:tcPr>
            <w:tcW w:w="1276" w:type="dxa"/>
          </w:tcPr>
          <w:p w14:paraId="6122EA00" w14:textId="77777777" w:rsidR="00A052DC" w:rsidRDefault="009F0A60">
            <w:pPr>
              <w:rPr>
                <w:rFonts w:ascii="黑体" w:eastAsia="黑体" w:hAnsi="黑体"/>
                <w:sz w:val="20"/>
                <w:szCs w:val="20"/>
              </w:rPr>
            </w:pPr>
            <w:r>
              <w:rPr>
                <w:rFonts w:ascii="黑体" w:eastAsia="黑体" w:hAnsi="黑体" w:hint="eastAsia"/>
                <w:sz w:val="20"/>
                <w:szCs w:val="20"/>
              </w:rPr>
              <w:t>INVOINO</w:t>
            </w:r>
          </w:p>
        </w:tc>
        <w:tc>
          <w:tcPr>
            <w:tcW w:w="1560" w:type="dxa"/>
          </w:tcPr>
          <w:p w14:paraId="1377E98E" w14:textId="77777777" w:rsidR="00A052DC" w:rsidRDefault="009F0A60">
            <w:pPr>
              <w:rPr>
                <w:rFonts w:ascii="黑体" w:eastAsia="黑体" w:hAnsi="黑体"/>
                <w:sz w:val="20"/>
                <w:szCs w:val="20"/>
              </w:rPr>
            </w:pPr>
            <w:r>
              <w:rPr>
                <w:rFonts w:ascii="黑体" w:eastAsia="黑体" w:hAnsi="黑体" w:hint="eastAsia"/>
                <w:sz w:val="20"/>
                <w:szCs w:val="20"/>
              </w:rPr>
              <w:t>发票号</w:t>
            </w:r>
          </w:p>
        </w:tc>
        <w:tc>
          <w:tcPr>
            <w:tcW w:w="1417" w:type="dxa"/>
          </w:tcPr>
          <w:p w14:paraId="7A47A11C"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4394" w:type="dxa"/>
          </w:tcPr>
          <w:p w14:paraId="28FC95AD"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r w:rsidR="00A052DC" w14:paraId="35A95420" w14:textId="77777777">
        <w:tc>
          <w:tcPr>
            <w:tcW w:w="1276" w:type="dxa"/>
          </w:tcPr>
          <w:p w14:paraId="09FC3EC1" w14:textId="77777777" w:rsidR="00A052DC" w:rsidRDefault="009F0A60">
            <w:pPr>
              <w:rPr>
                <w:rFonts w:ascii="黑体" w:eastAsia="黑体" w:hAnsi="黑体"/>
                <w:sz w:val="20"/>
                <w:szCs w:val="20"/>
              </w:rPr>
            </w:pPr>
            <w:r>
              <w:rPr>
                <w:rFonts w:ascii="黑体" w:eastAsia="黑体" w:hAnsi="黑体" w:hint="eastAsia"/>
                <w:sz w:val="20"/>
                <w:szCs w:val="20"/>
              </w:rPr>
              <w:t>REGNO</w:t>
            </w:r>
          </w:p>
        </w:tc>
        <w:tc>
          <w:tcPr>
            <w:tcW w:w="1560" w:type="dxa"/>
          </w:tcPr>
          <w:p w14:paraId="2D003314" w14:textId="77777777" w:rsidR="00A052DC" w:rsidRDefault="009F0A60">
            <w:pPr>
              <w:rPr>
                <w:rFonts w:ascii="黑体" w:eastAsia="黑体" w:hAnsi="黑体"/>
                <w:sz w:val="20"/>
                <w:szCs w:val="20"/>
              </w:rPr>
            </w:pPr>
            <w:r>
              <w:rPr>
                <w:rFonts w:ascii="黑体" w:eastAsia="黑体" w:hAnsi="黑体" w:hint="eastAsia"/>
                <w:sz w:val="20"/>
                <w:szCs w:val="20"/>
              </w:rPr>
              <w:t>外汇局批件号/备案表号/业务编号</w:t>
            </w:r>
          </w:p>
        </w:tc>
        <w:tc>
          <w:tcPr>
            <w:tcW w:w="1417" w:type="dxa"/>
          </w:tcPr>
          <w:p w14:paraId="7BB44C3F" w14:textId="77777777" w:rsidR="00A052DC" w:rsidRDefault="009F0A60">
            <w:pPr>
              <w:rPr>
                <w:rFonts w:ascii="黑体" w:eastAsia="黑体" w:hAnsi="黑体"/>
                <w:sz w:val="20"/>
                <w:szCs w:val="20"/>
              </w:rPr>
            </w:pPr>
            <w:r>
              <w:rPr>
                <w:rFonts w:ascii="黑体" w:eastAsia="黑体" w:hAnsi="黑体" w:hint="eastAsia"/>
                <w:sz w:val="20"/>
                <w:szCs w:val="20"/>
              </w:rPr>
              <w:t>字符型，20</w:t>
            </w:r>
          </w:p>
        </w:tc>
        <w:tc>
          <w:tcPr>
            <w:tcW w:w="4394" w:type="dxa"/>
          </w:tcPr>
          <w:p w14:paraId="4EDDFFC0" w14:textId="77777777" w:rsidR="00A052DC" w:rsidRDefault="009F0A60">
            <w:pPr>
              <w:rPr>
                <w:rFonts w:ascii="黑体" w:eastAsia="黑体" w:hAnsi="黑体"/>
                <w:sz w:val="20"/>
                <w:szCs w:val="20"/>
              </w:rPr>
            </w:pPr>
            <w:r>
              <w:rPr>
                <w:rFonts w:ascii="黑体" w:eastAsia="黑体" w:hAnsi="黑体" w:hint="eastAsia"/>
                <w:sz w:val="20"/>
                <w:szCs w:val="20"/>
              </w:rPr>
              <w:t>交易编码以“3”、“5”、“6”、“7”、“8”和部分“2”、“9”开头或涉及账户性质为资本项目性质账户的，“外汇局批件号/备案表号/业务编号”为必填项，填写规则参见《银行资本项目下数据报送参考规则》；对于《银行资本项目下数据报送参考规则》中未提到的情况，且不需要外汇局核准的（即确实没有对应的“外汇局批件号/备案表号/业务编号”），则应填写“N/A”（大写英文字母）。</w:t>
            </w:r>
          </w:p>
        </w:tc>
      </w:tr>
      <w:tr w:rsidR="00A052DC" w14:paraId="1F10A6E8" w14:textId="77777777">
        <w:tc>
          <w:tcPr>
            <w:tcW w:w="1276" w:type="dxa"/>
          </w:tcPr>
          <w:p w14:paraId="3C0D0E44" w14:textId="77777777" w:rsidR="00A052DC" w:rsidRDefault="009F0A60">
            <w:pPr>
              <w:rPr>
                <w:rFonts w:ascii="黑体" w:eastAsia="黑体" w:hAnsi="黑体"/>
                <w:sz w:val="20"/>
                <w:szCs w:val="20"/>
              </w:rPr>
            </w:pPr>
            <w:r>
              <w:rPr>
                <w:rFonts w:ascii="黑体" w:eastAsia="黑体" w:hAnsi="黑体" w:hint="eastAsia"/>
                <w:sz w:val="20"/>
                <w:szCs w:val="20"/>
              </w:rPr>
              <w:t>CUSMNO</w:t>
            </w:r>
          </w:p>
        </w:tc>
        <w:tc>
          <w:tcPr>
            <w:tcW w:w="1560" w:type="dxa"/>
          </w:tcPr>
          <w:p w14:paraId="5BE91AD9" w14:textId="77777777" w:rsidR="00A052DC" w:rsidRDefault="009F0A60">
            <w:pPr>
              <w:rPr>
                <w:rFonts w:ascii="黑体" w:eastAsia="黑体" w:hAnsi="黑体"/>
                <w:sz w:val="20"/>
                <w:szCs w:val="20"/>
              </w:rPr>
            </w:pPr>
            <w:r>
              <w:rPr>
                <w:rFonts w:ascii="黑体" w:eastAsia="黑体" w:hAnsi="黑体" w:hint="eastAsia"/>
                <w:sz w:val="20"/>
                <w:szCs w:val="20"/>
              </w:rPr>
              <w:t>报关单经营单位代码</w:t>
            </w:r>
          </w:p>
        </w:tc>
        <w:tc>
          <w:tcPr>
            <w:tcW w:w="1417" w:type="dxa"/>
          </w:tcPr>
          <w:p w14:paraId="18B7D000" w14:textId="77777777" w:rsidR="00A052DC" w:rsidRDefault="009F0A60">
            <w:pPr>
              <w:rPr>
                <w:rFonts w:ascii="黑体" w:eastAsia="黑体" w:hAnsi="黑体"/>
                <w:sz w:val="20"/>
                <w:szCs w:val="20"/>
              </w:rPr>
            </w:pPr>
            <w:r>
              <w:rPr>
                <w:rFonts w:ascii="黑体" w:eastAsia="黑体" w:hAnsi="黑体" w:hint="eastAsia"/>
                <w:sz w:val="20"/>
                <w:szCs w:val="20"/>
              </w:rPr>
              <w:t>字符型，12</w:t>
            </w:r>
          </w:p>
        </w:tc>
        <w:tc>
          <w:tcPr>
            <w:tcW w:w="4394" w:type="dxa"/>
          </w:tcPr>
          <w:p w14:paraId="5EB34952" w14:textId="77777777" w:rsidR="00A052DC" w:rsidRDefault="009F0A60">
            <w:pPr>
              <w:rPr>
                <w:rFonts w:ascii="黑体" w:eastAsia="黑体" w:hAnsi="黑体"/>
                <w:sz w:val="20"/>
                <w:szCs w:val="20"/>
              </w:rPr>
            </w:pPr>
            <w:r>
              <w:rPr>
                <w:rFonts w:ascii="黑体" w:eastAsia="黑体" w:hAnsi="黑体" w:hint="eastAsia"/>
                <w:sz w:val="20"/>
                <w:szCs w:val="20"/>
              </w:rPr>
              <w:t>空，不赋值。</w:t>
            </w:r>
          </w:p>
        </w:tc>
      </w:tr>
      <w:tr w:rsidR="00A052DC" w14:paraId="58DC4B35" w14:textId="77777777">
        <w:tc>
          <w:tcPr>
            <w:tcW w:w="1276" w:type="dxa"/>
          </w:tcPr>
          <w:p w14:paraId="5CDFDD22" w14:textId="77777777" w:rsidR="00A052DC" w:rsidRDefault="009F0A60">
            <w:pPr>
              <w:rPr>
                <w:rFonts w:ascii="黑体" w:eastAsia="黑体" w:hAnsi="黑体"/>
                <w:sz w:val="20"/>
                <w:szCs w:val="20"/>
              </w:rPr>
            </w:pPr>
            <w:r>
              <w:rPr>
                <w:rFonts w:ascii="黑体" w:eastAsia="黑体" w:hAnsi="黑体" w:hint="eastAsia"/>
                <w:sz w:val="20"/>
                <w:szCs w:val="20"/>
              </w:rPr>
              <w:t>报关单信息</w:t>
            </w:r>
          </w:p>
        </w:tc>
        <w:tc>
          <w:tcPr>
            <w:tcW w:w="1560" w:type="dxa"/>
          </w:tcPr>
          <w:p w14:paraId="13334CCD" w14:textId="77777777" w:rsidR="00A052DC" w:rsidRDefault="00A052DC">
            <w:pPr>
              <w:rPr>
                <w:rFonts w:ascii="黑体" w:eastAsia="黑体" w:hAnsi="黑体"/>
                <w:sz w:val="20"/>
                <w:szCs w:val="20"/>
              </w:rPr>
            </w:pPr>
          </w:p>
        </w:tc>
        <w:tc>
          <w:tcPr>
            <w:tcW w:w="1417" w:type="dxa"/>
          </w:tcPr>
          <w:p w14:paraId="32161A15" w14:textId="77777777" w:rsidR="00A052DC" w:rsidRDefault="00A052DC">
            <w:pPr>
              <w:rPr>
                <w:rFonts w:ascii="黑体" w:eastAsia="黑体" w:hAnsi="黑体"/>
                <w:sz w:val="20"/>
                <w:szCs w:val="20"/>
              </w:rPr>
            </w:pPr>
          </w:p>
        </w:tc>
        <w:tc>
          <w:tcPr>
            <w:tcW w:w="4394" w:type="dxa"/>
          </w:tcPr>
          <w:p w14:paraId="14F367A8" w14:textId="77777777" w:rsidR="00A052DC" w:rsidRDefault="00A052DC">
            <w:pPr>
              <w:rPr>
                <w:rFonts w:ascii="黑体" w:eastAsia="黑体" w:hAnsi="黑体"/>
                <w:sz w:val="20"/>
                <w:szCs w:val="20"/>
              </w:rPr>
            </w:pPr>
          </w:p>
        </w:tc>
      </w:tr>
      <w:tr w:rsidR="00A052DC" w14:paraId="3CE9E732" w14:textId="77777777">
        <w:tc>
          <w:tcPr>
            <w:tcW w:w="1276" w:type="dxa"/>
          </w:tcPr>
          <w:p w14:paraId="163E0C6B" w14:textId="77777777" w:rsidR="00A052DC" w:rsidRDefault="009F0A60">
            <w:pPr>
              <w:rPr>
                <w:rFonts w:ascii="黑体" w:eastAsia="黑体" w:hAnsi="黑体"/>
                <w:sz w:val="20"/>
                <w:szCs w:val="20"/>
              </w:rPr>
            </w:pPr>
            <w:r>
              <w:rPr>
                <w:rFonts w:ascii="黑体" w:eastAsia="黑体" w:hAnsi="黑体" w:hint="eastAsia"/>
                <w:sz w:val="20"/>
                <w:szCs w:val="20"/>
              </w:rPr>
              <w:t>CUSTOMN</w:t>
            </w:r>
          </w:p>
        </w:tc>
        <w:tc>
          <w:tcPr>
            <w:tcW w:w="1560" w:type="dxa"/>
          </w:tcPr>
          <w:p w14:paraId="656F2861" w14:textId="77777777" w:rsidR="00A052DC" w:rsidRDefault="009F0A60">
            <w:pPr>
              <w:rPr>
                <w:rFonts w:ascii="黑体" w:eastAsia="黑体" w:hAnsi="黑体"/>
                <w:sz w:val="20"/>
                <w:szCs w:val="20"/>
              </w:rPr>
            </w:pPr>
            <w:r>
              <w:rPr>
                <w:rFonts w:ascii="黑体" w:eastAsia="黑体" w:hAnsi="黑体" w:hint="eastAsia"/>
                <w:sz w:val="20"/>
                <w:szCs w:val="20"/>
              </w:rPr>
              <w:t>报关单号</w:t>
            </w:r>
          </w:p>
          <w:p w14:paraId="746D0453" w14:textId="77777777" w:rsidR="00A052DC" w:rsidRDefault="00A052DC">
            <w:pPr>
              <w:rPr>
                <w:rFonts w:ascii="黑体" w:eastAsia="黑体" w:hAnsi="黑体"/>
                <w:sz w:val="20"/>
                <w:szCs w:val="20"/>
              </w:rPr>
            </w:pPr>
          </w:p>
        </w:tc>
        <w:tc>
          <w:tcPr>
            <w:tcW w:w="1417" w:type="dxa"/>
          </w:tcPr>
          <w:p w14:paraId="154BE45C" w14:textId="77777777" w:rsidR="00A052DC" w:rsidRDefault="009F0A60">
            <w:pPr>
              <w:rPr>
                <w:rFonts w:ascii="黑体" w:eastAsia="黑体" w:hAnsi="黑体"/>
                <w:sz w:val="20"/>
                <w:szCs w:val="20"/>
              </w:rPr>
            </w:pPr>
            <w:r>
              <w:rPr>
                <w:rFonts w:ascii="黑体" w:eastAsia="黑体" w:hAnsi="黑体" w:hint="eastAsia"/>
                <w:sz w:val="20"/>
                <w:szCs w:val="20"/>
              </w:rPr>
              <w:t>字符型，50</w:t>
            </w:r>
          </w:p>
        </w:tc>
        <w:tc>
          <w:tcPr>
            <w:tcW w:w="4394" w:type="dxa"/>
          </w:tcPr>
          <w:p w14:paraId="1B8448CF" w14:textId="77777777" w:rsidR="00A052DC" w:rsidRDefault="009F0A60">
            <w:pPr>
              <w:rPr>
                <w:rFonts w:ascii="黑体" w:eastAsia="黑体" w:hAnsi="黑体"/>
                <w:sz w:val="20"/>
                <w:szCs w:val="20"/>
              </w:rPr>
            </w:pPr>
            <w:r>
              <w:rPr>
                <w:rFonts w:ascii="黑体" w:eastAsia="黑体" w:hAnsi="黑体" w:hint="eastAsia"/>
                <w:sz w:val="20"/>
                <w:szCs w:val="20"/>
              </w:rPr>
              <w:t>空，不赋值。</w:t>
            </w:r>
          </w:p>
        </w:tc>
      </w:tr>
      <w:tr w:rsidR="00A052DC" w14:paraId="4036BE07" w14:textId="77777777">
        <w:tc>
          <w:tcPr>
            <w:tcW w:w="1276" w:type="dxa"/>
          </w:tcPr>
          <w:p w14:paraId="74573344" w14:textId="77777777" w:rsidR="00A052DC" w:rsidRDefault="009F0A60">
            <w:pPr>
              <w:rPr>
                <w:rFonts w:ascii="黑体" w:eastAsia="黑体" w:hAnsi="黑体"/>
                <w:sz w:val="20"/>
                <w:szCs w:val="20"/>
              </w:rPr>
            </w:pPr>
            <w:r>
              <w:rPr>
                <w:rFonts w:ascii="黑体" w:eastAsia="黑体" w:hAnsi="黑体" w:hint="eastAsia"/>
                <w:sz w:val="20"/>
                <w:szCs w:val="20"/>
              </w:rPr>
              <w:t>CUSTCCY</w:t>
            </w:r>
          </w:p>
        </w:tc>
        <w:tc>
          <w:tcPr>
            <w:tcW w:w="1560" w:type="dxa"/>
          </w:tcPr>
          <w:p w14:paraId="5056AA31" w14:textId="77777777" w:rsidR="00A052DC" w:rsidRDefault="009F0A60">
            <w:pPr>
              <w:rPr>
                <w:rFonts w:ascii="黑体" w:eastAsia="黑体" w:hAnsi="黑体"/>
                <w:sz w:val="20"/>
                <w:szCs w:val="20"/>
              </w:rPr>
            </w:pPr>
            <w:r>
              <w:rPr>
                <w:rFonts w:ascii="黑体" w:eastAsia="黑体" w:hAnsi="黑体" w:hint="eastAsia"/>
                <w:sz w:val="20"/>
                <w:szCs w:val="20"/>
              </w:rPr>
              <w:t>报关单币种</w:t>
            </w:r>
          </w:p>
        </w:tc>
        <w:tc>
          <w:tcPr>
            <w:tcW w:w="1417" w:type="dxa"/>
          </w:tcPr>
          <w:p w14:paraId="27CC089F" w14:textId="77777777" w:rsidR="00A052DC" w:rsidRDefault="009F0A60">
            <w:pPr>
              <w:rPr>
                <w:rFonts w:ascii="黑体" w:eastAsia="黑体" w:hAnsi="黑体"/>
                <w:sz w:val="20"/>
                <w:szCs w:val="20"/>
              </w:rPr>
            </w:pPr>
            <w:r>
              <w:rPr>
                <w:rFonts w:ascii="黑体" w:eastAsia="黑体" w:hAnsi="黑体" w:hint="eastAsia"/>
                <w:sz w:val="20"/>
                <w:szCs w:val="20"/>
              </w:rPr>
              <w:t>字符型，3</w:t>
            </w:r>
          </w:p>
        </w:tc>
        <w:tc>
          <w:tcPr>
            <w:tcW w:w="4394" w:type="dxa"/>
          </w:tcPr>
          <w:p w14:paraId="5973880A" w14:textId="77777777" w:rsidR="00A052DC" w:rsidRDefault="009F0A60">
            <w:pPr>
              <w:rPr>
                <w:rFonts w:ascii="黑体" w:eastAsia="黑体" w:hAnsi="黑体"/>
                <w:sz w:val="20"/>
                <w:szCs w:val="20"/>
              </w:rPr>
            </w:pPr>
            <w:r>
              <w:rPr>
                <w:rFonts w:ascii="黑体" w:eastAsia="黑体" w:hAnsi="黑体" w:hint="eastAsia"/>
                <w:sz w:val="20"/>
                <w:szCs w:val="20"/>
              </w:rPr>
              <w:t>空，不赋值。</w:t>
            </w:r>
          </w:p>
        </w:tc>
      </w:tr>
      <w:tr w:rsidR="00A052DC" w14:paraId="3CFFE854" w14:textId="77777777">
        <w:tc>
          <w:tcPr>
            <w:tcW w:w="1276" w:type="dxa"/>
          </w:tcPr>
          <w:p w14:paraId="0F24D695" w14:textId="77777777" w:rsidR="00A052DC" w:rsidRDefault="009F0A60">
            <w:pPr>
              <w:rPr>
                <w:rFonts w:ascii="黑体" w:eastAsia="黑体" w:hAnsi="黑体"/>
                <w:sz w:val="20"/>
                <w:szCs w:val="20"/>
              </w:rPr>
            </w:pPr>
            <w:r>
              <w:rPr>
                <w:rFonts w:ascii="黑体" w:eastAsia="黑体" w:hAnsi="黑体" w:hint="eastAsia"/>
                <w:sz w:val="20"/>
                <w:szCs w:val="20"/>
              </w:rPr>
              <w:t>CUSTAMT</w:t>
            </w:r>
          </w:p>
        </w:tc>
        <w:tc>
          <w:tcPr>
            <w:tcW w:w="1560" w:type="dxa"/>
          </w:tcPr>
          <w:p w14:paraId="1348C2E9" w14:textId="77777777" w:rsidR="00A052DC" w:rsidRDefault="009F0A60">
            <w:pPr>
              <w:rPr>
                <w:rFonts w:ascii="黑体" w:eastAsia="黑体" w:hAnsi="黑体"/>
                <w:sz w:val="20"/>
                <w:szCs w:val="20"/>
              </w:rPr>
            </w:pPr>
            <w:r>
              <w:rPr>
                <w:rFonts w:ascii="黑体" w:eastAsia="黑体" w:hAnsi="黑体" w:hint="eastAsia"/>
                <w:sz w:val="20"/>
                <w:szCs w:val="20"/>
              </w:rPr>
              <w:t>报关金额</w:t>
            </w:r>
          </w:p>
        </w:tc>
        <w:tc>
          <w:tcPr>
            <w:tcW w:w="1417" w:type="dxa"/>
          </w:tcPr>
          <w:p w14:paraId="696A21A2" w14:textId="77777777" w:rsidR="00A052DC" w:rsidRDefault="009F0A60">
            <w:pPr>
              <w:rPr>
                <w:rFonts w:ascii="黑体" w:eastAsia="黑体" w:hAnsi="黑体"/>
                <w:sz w:val="20"/>
                <w:szCs w:val="20"/>
              </w:rPr>
            </w:pPr>
            <w:r>
              <w:rPr>
                <w:rFonts w:ascii="黑体" w:eastAsia="黑体" w:hAnsi="黑体" w:hint="eastAsia"/>
                <w:sz w:val="20"/>
                <w:szCs w:val="20"/>
              </w:rPr>
              <w:t>数值型，22.0</w:t>
            </w:r>
          </w:p>
        </w:tc>
        <w:tc>
          <w:tcPr>
            <w:tcW w:w="4394" w:type="dxa"/>
          </w:tcPr>
          <w:p w14:paraId="27993E83" w14:textId="77777777" w:rsidR="00A052DC" w:rsidRDefault="009F0A60">
            <w:pPr>
              <w:rPr>
                <w:rFonts w:ascii="黑体" w:eastAsia="黑体" w:hAnsi="黑体"/>
                <w:sz w:val="20"/>
                <w:szCs w:val="20"/>
              </w:rPr>
            </w:pPr>
            <w:r>
              <w:rPr>
                <w:rFonts w:ascii="黑体" w:eastAsia="黑体" w:hAnsi="黑体" w:hint="eastAsia"/>
                <w:sz w:val="20"/>
                <w:szCs w:val="20"/>
              </w:rPr>
              <w:t>空，不赋值。</w:t>
            </w:r>
          </w:p>
        </w:tc>
      </w:tr>
      <w:tr w:rsidR="00A052DC" w14:paraId="005C8230" w14:textId="77777777">
        <w:tc>
          <w:tcPr>
            <w:tcW w:w="1276" w:type="dxa"/>
          </w:tcPr>
          <w:p w14:paraId="4080B5F5" w14:textId="77777777" w:rsidR="00A052DC" w:rsidRDefault="009F0A60">
            <w:pPr>
              <w:rPr>
                <w:rFonts w:ascii="黑体" w:eastAsia="黑体" w:hAnsi="黑体"/>
                <w:sz w:val="20"/>
                <w:szCs w:val="20"/>
              </w:rPr>
            </w:pPr>
            <w:r>
              <w:rPr>
                <w:rFonts w:ascii="黑体" w:eastAsia="黑体" w:hAnsi="黑体" w:hint="eastAsia"/>
                <w:sz w:val="20"/>
                <w:szCs w:val="20"/>
              </w:rPr>
              <w:t>OFFAMT</w:t>
            </w:r>
          </w:p>
        </w:tc>
        <w:tc>
          <w:tcPr>
            <w:tcW w:w="1560" w:type="dxa"/>
          </w:tcPr>
          <w:p w14:paraId="24D150DF" w14:textId="77777777" w:rsidR="00A052DC" w:rsidRDefault="009F0A60">
            <w:pPr>
              <w:rPr>
                <w:rFonts w:ascii="黑体" w:eastAsia="黑体" w:hAnsi="黑体"/>
                <w:sz w:val="20"/>
                <w:szCs w:val="20"/>
              </w:rPr>
            </w:pPr>
            <w:r>
              <w:rPr>
                <w:rFonts w:ascii="黑体" w:eastAsia="黑体" w:hAnsi="黑体" w:hint="eastAsia"/>
                <w:sz w:val="20"/>
                <w:szCs w:val="20"/>
              </w:rPr>
              <w:t>本次核注金额</w:t>
            </w:r>
          </w:p>
        </w:tc>
        <w:tc>
          <w:tcPr>
            <w:tcW w:w="1417" w:type="dxa"/>
          </w:tcPr>
          <w:p w14:paraId="0D183ED3" w14:textId="77777777" w:rsidR="00A052DC" w:rsidRDefault="009F0A60">
            <w:pPr>
              <w:rPr>
                <w:rFonts w:ascii="黑体" w:eastAsia="黑体" w:hAnsi="黑体"/>
                <w:sz w:val="20"/>
                <w:szCs w:val="20"/>
              </w:rPr>
            </w:pPr>
            <w:r>
              <w:rPr>
                <w:rFonts w:ascii="黑体" w:eastAsia="黑体" w:hAnsi="黑体" w:hint="eastAsia"/>
                <w:sz w:val="20"/>
                <w:szCs w:val="20"/>
              </w:rPr>
              <w:t>数值型，22.0</w:t>
            </w:r>
          </w:p>
        </w:tc>
        <w:tc>
          <w:tcPr>
            <w:tcW w:w="4394" w:type="dxa"/>
          </w:tcPr>
          <w:p w14:paraId="762EE6E3" w14:textId="77777777" w:rsidR="00A052DC" w:rsidRDefault="009F0A60">
            <w:pPr>
              <w:rPr>
                <w:rFonts w:ascii="黑体" w:eastAsia="黑体" w:hAnsi="黑体"/>
                <w:sz w:val="20"/>
                <w:szCs w:val="20"/>
              </w:rPr>
            </w:pPr>
            <w:r>
              <w:rPr>
                <w:rFonts w:ascii="黑体" w:eastAsia="黑体" w:hAnsi="黑体" w:hint="eastAsia"/>
                <w:sz w:val="20"/>
                <w:szCs w:val="20"/>
              </w:rPr>
              <w:t>空，不赋值。</w:t>
            </w:r>
          </w:p>
        </w:tc>
      </w:tr>
      <w:tr w:rsidR="00A052DC" w14:paraId="4D90F425" w14:textId="77777777">
        <w:tc>
          <w:tcPr>
            <w:tcW w:w="1276" w:type="dxa"/>
          </w:tcPr>
          <w:p w14:paraId="77FB1851" w14:textId="77777777" w:rsidR="00A052DC" w:rsidRDefault="009F0A60">
            <w:pPr>
              <w:rPr>
                <w:rFonts w:ascii="黑体" w:eastAsia="黑体" w:hAnsi="黑体"/>
                <w:sz w:val="20"/>
                <w:szCs w:val="20"/>
              </w:rPr>
            </w:pPr>
            <w:r>
              <w:rPr>
                <w:rFonts w:ascii="黑体" w:eastAsia="黑体" w:hAnsi="黑体" w:hint="eastAsia"/>
                <w:sz w:val="20"/>
                <w:szCs w:val="20"/>
              </w:rPr>
              <w:t>CRTUSER</w:t>
            </w:r>
          </w:p>
        </w:tc>
        <w:tc>
          <w:tcPr>
            <w:tcW w:w="1560" w:type="dxa"/>
          </w:tcPr>
          <w:p w14:paraId="76E0D40F" w14:textId="77777777" w:rsidR="00A052DC" w:rsidRDefault="009F0A60">
            <w:pPr>
              <w:rPr>
                <w:rFonts w:ascii="黑体" w:eastAsia="黑体" w:hAnsi="黑体"/>
                <w:sz w:val="20"/>
                <w:szCs w:val="20"/>
              </w:rPr>
            </w:pPr>
            <w:r>
              <w:rPr>
                <w:rFonts w:ascii="黑体" w:eastAsia="黑体" w:hAnsi="黑体" w:hint="eastAsia"/>
                <w:sz w:val="20"/>
                <w:szCs w:val="20"/>
              </w:rPr>
              <w:t>填报人</w:t>
            </w:r>
          </w:p>
        </w:tc>
        <w:tc>
          <w:tcPr>
            <w:tcW w:w="1417" w:type="dxa"/>
          </w:tcPr>
          <w:p w14:paraId="2A343C9C" w14:textId="77777777" w:rsidR="00A052DC" w:rsidRDefault="009F0A60">
            <w:pPr>
              <w:rPr>
                <w:rFonts w:ascii="黑体" w:eastAsia="黑体" w:hAnsi="黑体"/>
                <w:sz w:val="20"/>
                <w:szCs w:val="20"/>
              </w:rPr>
            </w:pPr>
            <w:r>
              <w:rPr>
                <w:rFonts w:ascii="黑体" w:eastAsia="黑体" w:hAnsi="黑体" w:hint="eastAsia"/>
                <w:sz w:val="20"/>
                <w:szCs w:val="20"/>
              </w:rPr>
              <w:t>字符型，20</w:t>
            </w:r>
          </w:p>
        </w:tc>
        <w:tc>
          <w:tcPr>
            <w:tcW w:w="4394" w:type="dxa"/>
          </w:tcPr>
          <w:p w14:paraId="3105FB93"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r w:rsidR="00A052DC" w14:paraId="6EED847C" w14:textId="77777777">
        <w:tc>
          <w:tcPr>
            <w:tcW w:w="1276" w:type="dxa"/>
          </w:tcPr>
          <w:p w14:paraId="4CF2FCB1" w14:textId="77777777" w:rsidR="00A052DC" w:rsidRDefault="009F0A60">
            <w:pPr>
              <w:rPr>
                <w:rFonts w:ascii="黑体" w:eastAsia="黑体" w:hAnsi="黑体"/>
                <w:sz w:val="20"/>
                <w:szCs w:val="20"/>
              </w:rPr>
            </w:pPr>
            <w:r>
              <w:rPr>
                <w:rFonts w:ascii="黑体" w:eastAsia="黑体" w:hAnsi="黑体" w:hint="eastAsia"/>
                <w:sz w:val="20"/>
                <w:szCs w:val="20"/>
              </w:rPr>
              <w:t>INPTELC</w:t>
            </w:r>
          </w:p>
        </w:tc>
        <w:tc>
          <w:tcPr>
            <w:tcW w:w="1560" w:type="dxa"/>
          </w:tcPr>
          <w:p w14:paraId="20D4F68F" w14:textId="77777777" w:rsidR="00A052DC" w:rsidRDefault="009F0A60">
            <w:pPr>
              <w:rPr>
                <w:rFonts w:ascii="黑体" w:eastAsia="黑体" w:hAnsi="黑体"/>
                <w:sz w:val="20"/>
                <w:szCs w:val="20"/>
              </w:rPr>
            </w:pPr>
            <w:r>
              <w:rPr>
                <w:rFonts w:ascii="黑体" w:eastAsia="黑体" w:hAnsi="黑体" w:hint="eastAsia"/>
                <w:sz w:val="20"/>
                <w:szCs w:val="20"/>
              </w:rPr>
              <w:t>填报人电话</w:t>
            </w:r>
          </w:p>
        </w:tc>
        <w:tc>
          <w:tcPr>
            <w:tcW w:w="1417" w:type="dxa"/>
          </w:tcPr>
          <w:p w14:paraId="250380C7" w14:textId="77777777" w:rsidR="00A052DC" w:rsidRDefault="009F0A60">
            <w:pPr>
              <w:rPr>
                <w:rFonts w:ascii="黑体" w:eastAsia="黑体" w:hAnsi="黑体"/>
                <w:sz w:val="20"/>
                <w:szCs w:val="20"/>
              </w:rPr>
            </w:pPr>
            <w:r>
              <w:rPr>
                <w:rFonts w:ascii="黑体" w:eastAsia="黑体" w:hAnsi="黑体" w:hint="eastAsia"/>
                <w:sz w:val="20"/>
                <w:szCs w:val="20"/>
              </w:rPr>
              <w:t>字符型，20</w:t>
            </w:r>
          </w:p>
        </w:tc>
        <w:tc>
          <w:tcPr>
            <w:tcW w:w="4394" w:type="dxa"/>
          </w:tcPr>
          <w:p w14:paraId="127007F2"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r w:rsidR="00A052DC" w14:paraId="70BF0D5E" w14:textId="77777777">
        <w:tc>
          <w:tcPr>
            <w:tcW w:w="1276" w:type="dxa"/>
            <w:tcBorders>
              <w:top w:val="single" w:sz="4" w:space="0" w:color="auto"/>
              <w:left w:val="single" w:sz="4" w:space="0" w:color="auto"/>
              <w:bottom w:val="single" w:sz="4" w:space="0" w:color="auto"/>
              <w:right w:val="single" w:sz="4" w:space="0" w:color="auto"/>
            </w:tcBorders>
          </w:tcPr>
          <w:p w14:paraId="29008461" w14:textId="77777777" w:rsidR="00A052DC" w:rsidRDefault="009F0A60">
            <w:pPr>
              <w:rPr>
                <w:rFonts w:ascii="黑体" w:eastAsia="黑体" w:hAnsi="黑体"/>
                <w:sz w:val="20"/>
                <w:szCs w:val="20"/>
              </w:rPr>
            </w:pPr>
            <w:r>
              <w:rPr>
                <w:rFonts w:ascii="黑体" w:eastAsia="黑体" w:hAnsi="黑体" w:hint="eastAsia"/>
                <w:sz w:val="20"/>
                <w:szCs w:val="20"/>
              </w:rPr>
              <w:t>RPTDATE</w:t>
            </w:r>
          </w:p>
        </w:tc>
        <w:tc>
          <w:tcPr>
            <w:tcW w:w="1560" w:type="dxa"/>
            <w:tcBorders>
              <w:top w:val="single" w:sz="4" w:space="0" w:color="auto"/>
              <w:left w:val="single" w:sz="4" w:space="0" w:color="auto"/>
              <w:bottom w:val="single" w:sz="4" w:space="0" w:color="auto"/>
              <w:right w:val="single" w:sz="4" w:space="0" w:color="auto"/>
            </w:tcBorders>
          </w:tcPr>
          <w:p w14:paraId="13E3567B" w14:textId="77777777" w:rsidR="00A052DC" w:rsidRDefault="009F0A60">
            <w:pPr>
              <w:rPr>
                <w:rFonts w:ascii="黑体" w:eastAsia="黑体" w:hAnsi="黑体"/>
                <w:sz w:val="20"/>
                <w:szCs w:val="20"/>
              </w:rPr>
            </w:pPr>
            <w:r>
              <w:rPr>
                <w:rFonts w:ascii="黑体" w:eastAsia="黑体" w:hAnsi="黑体" w:hint="eastAsia"/>
                <w:sz w:val="20"/>
                <w:szCs w:val="20"/>
              </w:rPr>
              <w:t>申报日期</w:t>
            </w:r>
          </w:p>
        </w:tc>
        <w:tc>
          <w:tcPr>
            <w:tcW w:w="1417" w:type="dxa"/>
            <w:tcBorders>
              <w:top w:val="single" w:sz="4" w:space="0" w:color="auto"/>
              <w:left w:val="single" w:sz="4" w:space="0" w:color="auto"/>
              <w:bottom w:val="single" w:sz="4" w:space="0" w:color="auto"/>
              <w:right w:val="single" w:sz="4" w:space="0" w:color="auto"/>
            </w:tcBorders>
          </w:tcPr>
          <w:p w14:paraId="13796CFA" w14:textId="77777777" w:rsidR="00A052DC" w:rsidRDefault="009F0A60">
            <w:pPr>
              <w:rPr>
                <w:rFonts w:ascii="黑体" w:eastAsia="黑体" w:hAnsi="黑体"/>
                <w:sz w:val="20"/>
                <w:szCs w:val="20"/>
              </w:rPr>
            </w:pPr>
            <w:r>
              <w:rPr>
                <w:rFonts w:ascii="黑体" w:eastAsia="黑体" w:hAnsi="黑体" w:hint="eastAsia"/>
                <w:sz w:val="20"/>
                <w:szCs w:val="20"/>
              </w:rPr>
              <w:t>日期型，8</w:t>
            </w:r>
          </w:p>
        </w:tc>
        <w:tc>
          <w:tcPr>
            <w:tcW w:w="4394" w:type="dxa"/>
            <w:tcBorders>
              <w:top w:val="single" w:sz="4" w:space="0" w:color="auto"/>
              <w:left w:val="single" w:sz="4" w:space="0" w:color="auto"/>
              <w:bottom w:val="single" w:sz="4" w:space="0" w:color="auto"/>
              <w:right w:val="single" w:sz="4" w:space="0" w:color="auto"/>
            </w:tcBorders>
          </w:tcPr>
          <w:p w14:paraId="34566074" w14:textId="77777777" w:rsidR="00A052DC" w:rsidRDefault="009F0A60">
            <w:pPr>
              <w:rPr>
                <w:rFonts w:ascii="黑体" w:eastAsia="黑体" w:hAnsi="黑体"/>
                <w:sz w:val="20"/>
                <w:szCs w:val="20"/>
              </w:rPr>
            </w:pPr>
            <w:r>
              <w:rPr>
                <w:rFonts w:ascii="黑体" w:eastAsia="黑体" w:hAnsi="黑体" w:hint="eastAsia"/>
                <w:sz w:val="20"/>
                <w:szCs w:val="20"/>
              </w:rPr>
              <w:t>必填项，按申报主体真实申报日期填写。YYYYMMDD</w:t>
            </w:r>
            <w:r w:rsidR="00A769EC">
              <w:rPr>
                <w:rFonts w:ascii="黑体" w:eastAsia="黑体" w:hAnsi="黑体" w:hint="eastAsia"/>
                <w:sz w:val="20"/>
                <w:szCs w:val="20"/>
              </w:rPr>
              <w:t>。</w:t>
            </w:r>
          </w:p>
        </w:tc>
      </w:tr>
    </w:tbl>
    <w:p w14:paraId="6C70B712" w14:textId="77777777" w:rsidR="00A052DC" w:rsidRDefault="009F0A60">
      <w:pPr>
        <w:pStyle w:val="3"/>
        <w:ind w:left="0"/>
        <w:rPr>
          <w:rFonts w:ascii="Times New Roman" w:hAnsi="Times New Roman"/>
        </w:rPr>
      </w:pPr>
      <w:bookmarkStart w:id="1109" w:name="_Toc454780135"/>
      <w:bookmarkStart w:id="1110" w:name="_Toc455167681"/>
      <w:bookmarkStart w:id="1111" w:name="_Toc455163956"/>
      <w:bookmarkStart w:id="1112" w:name="_Toc455156505"/>
      <w:bookmarkStart w:id="1113" w:name="_Toc454395065"/>
      <w:bookmarkStart w:id="1114" w:name="_Toc455167680"/>
      <w:bookmarkStart w:id="1115" w:name="_Toc454464758"/>
      <w:bookmarkStart w:id="1116" w:name="_Toc454378146"/>
      <w:bookmarkStart w:id="1117" w:name="_Toc454454841"/>
      <w:bookmarkStart w:id="1118" w:name="_Toc454386809"/>
      <w:bookmarkStart w:id="1119" w:name="_Toc455156504"/>
      <w:bookmarkStart w:id="1120" w:name="_Toc455152777"/>
      <w:bookmarkStart w:id="1121" w:name="_Toc455152776"/>
      <w:bookmarkStart w:id="1122" w:name="_Toc454780134"/>
      <w:bookmarkStart w:id="1123" w:name="_Toc454464757"/>
      <w:bookmarkStart w:id="1124" w:name="_Toc454454840"/>
      <w:bookmarkStart w:id="1125" w:name="_Toc454378145"/>
      <w:bookmarkStart w:id="1126" w:name="_Toc454395064"/>
      <w:bookmarkStart w:id="1127" w:name="_Toc455163955"/>
      <w:bookmarkStart w:id="1128" w:name="_Toc454386808"/>
      <w:bookmarkStart w:id="1129" w:name="_Toc454386810"/>
      <w:bookmarkStart w:id="1130" w:name="_Toc91455278"/>
      <w:bookmarkStart w:id="1131" w:name="_Toc380356249"/>
      <w:bookmarkStart w:id="1132" w:name="_Toc101684451"/>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r>
        <w:rPr>
          <w:rFonts w:ascii="Times New Roman" w:hAnsi="Times New Roman" w:hint="eastAsia"/>
        </w:rPr>
        <w:t>境内付款</w:t>
      </w:r>
      <w:r>
        <w:rPr>
          <w:rFonts w:ascii="Times New Roman" w:hAnsi="Times New Roman"/>
        </w:rPr>
        <w:t>/</w:t>
      </w:r>
      <w:r>
        <w:rPr>
          <w:rFonts w:ascii="Times New Roman" w:hAnsi="Times New Roman" w:hint="eastAsia"/>
        </w:rPr>
        <w:t>承兑通知书</w:t>
      </w:r>
      <w:r>
        <w:rPr>
          <w:rFonts w:ascii="Times New Roman" w:hAnsi="Times New Roman"/>
        </w:rPr>
        <w:t>-</w:t>
      </w:r>
      <w:r>
        <w:rPr>
          <w:rFonts w:ascii="Times New Roman" w:hAnsi="Times New Roman" w:hint="eastAsia"/>
        </w:rPr>
        <w:t>基础信息</w:t>
      </w:r>
      <w:bookmarkEnd w:id="1129"/>
      <w:bookmarkEnd w:id="1130"/>
      <w:bookmarkEnd w:id="1131"/>
      <w:bookmarkEnd w:id="1132"/>
    </w:p>
    <w:p w14:paraId="3B2C2B58" w14:textId="77777777" w:rsidR="00A052DC" w:rsidRDefault="009F0A60" w:rsidP="0020251D">
      <w:pPr>
        <w:pStyle w:val="4"/>
        <w:numPr>
          <w:ilvl w:val="3"/>
          <w:numId w:val="1"/>
        </w:numPr>
        <w:jc w:val="left"/>
      </w:pPr>
      <w:bookmarkStart w:id="1133" w:name="_Toc310598074"/>
      <w:bookmarkStart w:id="1134" w:name="_Toc132432529"/>
      <w:bookmarkStart w:id="1135" w:name="_Toc454386811"/>
      <w:r>
        <w:rPr>
          <w:rFonts w:hint="eastAsia"/>
        </w:rPr>
        <w:t>数据格式</w:t>
      </w:r>
      <w:bookmarkEnd w:id="1133"/>
      <w:bookmarkEnd w:id="1134"/>
      <w:bookmarkEnd w:id="1135"/>
    </w:p>
    <w:p w14:paraId="2887A7E9" w14:textId="77777777" w:rsidR="00A052DC" w:rsidRDefault="009F0A60">
      <w:r>
        <w:t>&lt;REC&gt;</w:t>
      </w:r>
    </w:p>
    <w:p w14:paraId="7741606B" w14:textId="77777777" w:rsidR="00A052DC" w:rsidRDefault="009F0A60">
      <w:r>
        <w:t>&lt;ACTIONTYPE&gt;</w:t>
      </w:r>
      <w:r>
        <w:rPr>
          <w:rFonts w:hint="eastAsia"/>
        </w:rPr>
        <w:t>操作类型</w:t>
      </w:r>
      <w:r>
        <w:t>&lt;/ACTIONTYPE&gt;</w:t>
      </w:r>
    </w:p>
    <w:p w14:paraId="221CF3B7" w14:textId="77777777" w:rsidR="00A052DC" w:rsidRDefault="009F0A60">
      <w:r>
        <w:t>&lt;ACTIONDESC&gt;</w:t>
      </w:r>
      <w:r>
        <w:rPr>
          <w:rFonts w:hint="eastAsia"/>
        </w:rPr>
        <w:t>修改</w:t>
      </w:r>
      <w:r>
        <w:t>/</w:t>
      </w:r>
      <w:r>
        <w:rPr>
          <w:rFonts w:hint="eastAsia"/>
        </w:rPr>
        <w:t>删除原因</w:t>
      </w:r>
      <w:r>
        <w:t>/</w:t>
      </w:r>
      <w:r>
        <w:rPr>
          <w:rFonts w:hint="eastAsia"/>
        </w:rPr>
        <w:t>申报无误理由</w:t>
      </w:r>
      <w:r>
        <w:t>&lt;/ACTIONDESC&gt;</w:t>
      </w:r>
    </w:p>
    <w:p w14:paraId="4BBE7D49" w14:textId="77777777" w:rsidR="00A052DC" w:rsidRDefault="009F0A60">
      <w:r>
        <w:t>&lt;RPTNO&gt;</w:t>
      </w:r>
      <w:r>
        <w:rPr>
          <w:rFonts w:hint="eastAsia"/>
        </w:rPr>
        <w:t>申报号码</w:t>
      </w:r>
      <w:r>
        <w:t>&lt;/RPTNO&gt;</w:t>
      </w:r>
    </w:p>
    <w:p w14:paraId="65D93022" w14:textId="77777777" w:rsidR="00A052DC" w:rsidRDefault="009F0A60">
      <w:r>
        <w:t>&lt;CUSTYPE&gt;</w:t>
      </w:r>
      <w:r>
        <w:rPr>
          <w:rFonts w:hint="eastAsia"/>
        </w:rPr>
        <w:t>付款人类型</w:t>
      </w:r>
      <w:r>
        <w:t>&lt;/CUSTYPE&gt;</w:t>
      </w:r>
    </w:p>
    <w:p w14:paraId="581887A7" w14:textId="77777777" w:rsidR="00A052DC" w:rsidRDefault="009F0A60">
      <w:r>
        <w:t>&lt;IDCODE&gt;</w:t>
      </w:r>
      <w:r>
        <w:rPr>
          <w:rFonts w:hint="eastAsia"/>
        </w:rPr>
        <w:t>个人身份证件号码</w:t>
      </w:r>
      <w:r>
        <w:t>&lt;/IDCODE&gt;</w:t>
      </w:r>
    </w:p>
    <w:p w14:paraId="401902CF" w14:textId="77777777" w:rsidR="00A052DC" w:rsidRDefault="009F0A60">
      <w:r>
        <w:t>&lt;CUSTCOD&gt;</w:t>
      </w:r>
      <w:r>
        <w:rPr>
          <w:rFonts w:hint="eastAsia"/>
        </w:rPr>
        <w:t>主体标识码</w:t>
      </w:r>
      <w:r>
        <w:t>&lt;/CUSTCOD&gt;</w:t>
      </w:r>
    </w:p>
    <w:p w14:paraId="1A8DA3AE" w14:textId="77777777" w:rsidR="00A052DC" w:rsidRDefault="009F0A60">
      <w:r>
        <w:t>&lt;CUSTNM&gt;</w:t>
      </w:r>
      <w:r>
        <w:rPr>
          <w:rFonts w:hint="eastAsia"/>
        </w:rPr>
        <w:t>付款人名称</w:t>
      </w:r>
      <w:r>
        <w:t>&lt;/CUSTNM&gt;</w:t>
      </w:r>
    </w:p>
    <w:p w14:paraId="46CD13F1" w14:textId="77777777" w:rsidR="00A052DC" w:rsidRDefault="009F0A60">
      <w:r>
        <w:t>&lt;OPPUSER&gt;</w:t>
      </w:r>
      <w:r>
        <w:rPr>
          <w:rFonts w:hint="eastAsia"/>
        </w:rPr>
        <w:t>收款人名称</w:t>
      </w:r>
      <w:r>
        <w:t>&lt;/OPPUSER&gt;</w:t>
      </w:r>
    </w:p>
    <w:p w14:paraId="4482D433" w14:textId="77777777" w:rsidR="00A052DC" w:rsidRDefault="009F0A60">
      <w:r>
        <w:t>&lt;TXCCY&gt;</w:t>
      </w:r>
      <w:r>
        <w:rPr>
          <w:rFonts w:hint="eastAsia"/>
        </w:rPr>
        <w:t>付款币种</w:t>
      </w:r>
      <w:r>
        <w:t>&lt;/TXCCY&gt;</w:t>
      </w:r>
    </w:p>
    <w:p w14:paraId="6A138596" w14:textId="77777777" w:rsidR="00A052DC" w:rsidRDefault="009F0A60">
      <w:r>
        <w:t>&lt;TXAMT&gt;</w:t>
      </w:r>
      <w:r>
        <w:rPr>
          <w:rFonts w:hint="eastAsia"/>
        </w:rPr>
        <w:t>付款金额</w:t>
      </w:r>
      <w:r>
        <w:t>&lt;/TXAMT&gt;</w:t>
      </w:r>
    </w:p>
    <w:p w14:paraId="09F8BC43" w14:textId="77777777" w:rsidR="00A052DC" w:rsidRDefault="009F0A60">
      <w:r>
        <w:t>&lt;EXRATE&gt;</w:t>
      </w:r>
      <w:r>
        <w:rPr>
          <w:rFonts w:hint="eastAsia"/>
        </w:rPr>
        <w:t>购汇汇率</w:t>
      </w:r>
      <w:r>
        <w:t>&lt;/EXRATE&gt;</w:t>
      </w:r>
    </w:p>
    <w:p w14:paraId="265B17FB" w14:textId="77777777" w:rsidR="00A052DC" w:rsidRDefault="009F0A60">
      <w:r>
        <w:t>&lt;LCYAMT&gt;</w:t>
      </w:r>
      <w:r>
        <w:rPr>
          <w:rFonts w:hint="eastAsia"/>
        </w:rPr>
        <w:t>购汇金额</w:t>
      </w:r>
      <w:r>
        <w:t>&lt;/LCYAMT&gt;</w:t>
      </w:r>
    </w:p>
    <w:p w14:paraId="0FB3B029" w14:textId="77777777" w:rsidR="00A052DC" w:rsidRDefault="009F0A60">
      <w:r>
        <w:t>&lt;LCYACC&gt;</w:t>
      </w:r>
      <w:r>
        <w:rPr>
          <w:rFonts w:hint="eastAsia"/>
        </w:rPr>
        <w:t>人民币账号</w:t>
      </w:r>
      <w:r>
        <w:t>/</w:t>
      </w:r>
      <w:r>
        <w:rPr>
          <w:rFonts w:hint="eastAsia"/>
        </w:rPr>
        <w:t>银行卡号</w:t>
      </w:r>
      <w:r>
        <w:t>&lt;/LCYACC&gt;</w:t>
      </w:r>
    </w:p>
    <w:p w14:paraId="7B79BC4E" w14:textId="77777777" w:rsidR="00A052DC" w:rsidRDefault="009F0A60">
      <w:r>
        <w:t>&lt;FCYAMT&gt;</w:t>
      </w:r>
      <w:r>
        <w:rPr>
          <w:rFonts w:hint="eastAsia"/>
        </w:rPr>
        <w:t>现汇金额</w:t>
      </w:r>
      <w:r>
        <w:t>&lt;/FCYAMT&gt;</w:t>
      </w:r>
    </w:p>
    <w:p w14:paraId="0839EB02" w14:textId="77777777" w:rsidR="00A052DC" w:rsidRDefault="009F0A60">
      <w:r>
        <w:t>&lt;FCYACC&gt;</w:t>
      </w:r>
      <w:r>
        <w:rPr>
          <w:rFonts w:hint="eastAsia"/>
        </w:rPr>
        <w:t>外汇账号</w:t>
      </w:r>
      <w:r>
        <w:t>/</w:t>
      </w:r>
      <w:r>
        <w:rPr>
          <w:rFonts w:hint="eastAsia"/>
        </w:rPr>
        <w:t>银行卡号</w:t>
      </w:r>
      <w:r>
        <w:t>&lt;/FCYACC&gt;</w:t>
      </w:r>
    </w:p>
    <w:p w14:paraId="30F96A25" w14:textId="77777777" w:rsidR="00A052DC" w:rsidRDefault="009F0A60">
      <w:r>
        <w:t>&lt;OTHAMT&gt;</w:t>
      </w:r>
      <w:r w:rsidR="0021563C">
        <w:rPr>
          <w:rFonts w:hint="eastAsia"/>
        </w:rPr>
        <w:t>其他</w:t>
      </w:r>
      <w:r>
        <w:rPr>
          <w:rFonts w:hint="eastAsia"/>
        </w:rPr>
        <w:t>金额</w:t>
      </w:r>
      <w:r>
        <w:t>&lt;/OTHAMT&gt;</w:t>
      </w:r>
    </w:p>
    <w:p w14:paraId="6B69CCAE" w14:textId="77777777" w:rsidR="00A052DC" w:rsidRDefault="009F0A60">
      <w:r>
        <w:t>&lt;OTHACC&gt;</w:t>
      </w:r>
      <w:r w:rsidR="0021563C">
        <w:rPr>
          <w:rFonts w:hint="eastAsia"/>
        </w:rPr>
        <w:t>其他</w:t>
      </w:r>
      <w:r>
        <w:rPr>
          <w:rFonts w:hint="eastAsia"/>
        </w:rPr>
        <w:t>账号</w:t>
      </w:r>
      <w:r>
        <w:t>/</w:t>
      </w:r>
      <w:r>
        <w:rPr>
          <w:rFonts w:hint="eastAsia"/>
        </w:rPr>
        <w:t>银行卡号</w:t>
      </w:r>
      <w:r>
        <w:t>&lt;/OTHACC&gt;</w:t>
      </w:r>
    </w:p>
    <w:p w14:paraId="54DE14BD" w14:textId="77777777" w:rsidR="00A052DC" w:rsidRDefault="009F0A60">
      <w:r>
        <w:t>&lt;METHOD&gt;</w:t>
      </w:r>
      <w:r>
        <w:rPr>
          <w:rFonts w:hint="eastAsia"/>
        </w:rPr>
        <w:t>结算方式</w:t>
      </w:r>
      <w:r>
        <w:t>&lt;/METHOD&gt;</w:t>
      </w:r>
    </w:p>
    <w:p w14:paraId="66CE754B" w14:textId="77777777" w:rsidR="00A052DC" w:rsidRDefault="009F0A60">
      <w:r>
        <w:t>&lt;BUSCODE&gt;</w:t>
      </w:r>
      <w:r>
        <w:rPr>
          <w:rFonts w:hint="eastAsia"/>
        </w:rPr>
        <w:t>银行业务编码</w:t>
      </w:r>
      <w:r>
        <w:t>&lt;/BUSCODE&gt;</w:t>
      </w:r>
    </w:p>
    <w:p w14:paraId="1976A7E6" w14:textId="77777777" w:rsidR="00A052DC" w:rsidRDefault="009F0A60">
      <w:r>
        <w:t>&lt;ACTUCCY&gt;</w:t>
      </w:r>
      <w:r>
        <w:rPr>
          <w:rFonts w:hint="eastAsia"/>
        </w:rPr>
        <w:t>实际付款币种</w:t>
      </w:r>
      <w:r>
        <w:t>&lt;/ACTUCCY&gt;</w:t>
      </w:r>
    </w:p>
    <w:p w14:paraId="7813DA60" w14:textId="77777777" w:rsidR="00A052DC" w:rsidRDefault="009F0A60">
      <w:r>
        <w:t>&lt;ACTUAMT&gt;</w:t>
      </w:r>
      <w:r>
        <w:rPr>
          <w:rFonts w:hint="eastAsia"/>
        </w:rPr>
        <w:t>实际付款金额</w:t>
      </w:r>
      <w:r>
        <w:t>&lt;/ACTUAMT&gt;</w:t>
      </w:r>
    </w:p>
    <w:p w14:paraId="2CAD7B14" w14:textId="77777777" w:rsidR="00A052DC" w:rsidRDefault="009F0A60">
      <w:r>
        <w:t>&lt;OUTCHARGECCY&gt;</w:t>
      </w:r>
      <w:r>
        <w:rPr>
          <w:rFonts w:hint="eastAsia"/>
        </w:rPr>
        <w:t>扣费币种</w:t>
      </w:r>
      <w:r>
        <w:t>&lt;/OUTCHARGECCY&gt;</w:t>
      </w:r>
    </w:p>
    <w:p w14:paraId="16577ED1" w14:textId="77777777" w:rsidR="00A052DC" w:rsidRDefault="009F0A60">
      <w:r>
        <w:t>&lt;OUTCHARGEAMT&gt;</w:t>
      </w:r>
      <w:r>
        <w:rPr>
          <w:rFonts w:hint="eastAsia"/>
        </w:rPr>
        <w:t>扣费金额</w:t>
      </w:r>
      <w:r>
        <w:t>&lt;/OUTCHARGEAMT&gt;</w:t>
      </w:r>
    </w:p>
    <w:p w14:paraId="35A8D585" w14:textId="77777777" w:rsidR="00A052DC" w:rsidRDefault="009F0A60">
      <w:r>
        <w:t>&lt;LCBGNO&gt;</w:t>
      </w:r>
      <w:r>
        <w:rPr>
          <w:rFonts w:hint="eastAsia"/>
        </w:rPr>
        <w:t>信用证编号</w:t>
      </w:r>
      <w:r>
        <w:t>&lt;/LCBGNO&gt;</w:t>
      </w:r>
    </w:p>
    <w:p w14:paraId="29140EA2" w14:textId="77777777" w:rsidR="00A052DC" w:rsidRDefault="009F0A60">
      <w:r>
        <w:t>&lt;ISSDATE&gt;</w:t>
      </w:r>
      <w:r>
        <w:rPr>
          <w:rFonts w:hint="eastAsia"/>
        </w:rPr>
        <w:t>开证日期</w:t>
      </w:r>
      <w:r>
        <w:t>&lt;/ISSDATE&gt;</w:t>
      </w:r>
    </w:p>
    <w:p w14:paraId="018222FD" w14:textId="77777777" w:rsidR="00A052DC" w:rsidRDefault="009F0A60">
      <w:r>
        <w:t>&lt;TENOR&gt;</w:t>
      </w:r>
      <w:r>
        <w:rPr>
          <w:rFonts w:hint="eastAsia"/>
        </w:rPr>
        <w:t>期限</w:t>
      </w:r>
      <w:r>
        <w:t>&lt;/TENOR&gt;</w:t>
      </w:r>
    </w:p>
    <w:p w14:paraId="7884F7FB" w14:textId="77777777" w:rsidR="00A052DC" w:rsidRDefault="009F0A60">
      <w:r>
        <w:t>&lt;/REC&gt;</w:t>
      </w:r>
    </w:p>
    <w:p w14:paraId="202A619B" w14:textId="77777777" w:rsidR="00A052DC" w:rsidRDefault="009F0A60" w:rsidP="0020251D">
      <w:pPr>
        <w:pStyle w:val="4"/>
        <w:numPr>
          <w:ilvl w:val="3"/>
          <w:numId w:val="1"/>
        </w:numPr>
        <w:jc w:val="left"/>
      </w:pPr>
      <w:bookmarkStart w:id="1136" w:name="_Toc310598075"/>
      <w:bookmarkStart w:id="1137" w:name="_Toc310578858"/>
      <w:bookmarkStart w:id="1138" w:name="_Toc310578649"/>
      <w:bookmarkStart w:id="1139" w:name="_Toc132432531"/>
      <w:bookmarkStart w:id="1140" w:name="_Toc454386812"/>
      <w:bookmarkStart w:id="1141" w:name="_Toc310598076"/>
      <w:bookmarkEnd w:id="1136"/>
      <w:bookmarkEnd w:id="1137"/>
      <w:bookmarkEnd w:id="1138"/>
      <w:r>
        <w:rPr>
          <w:rFonts w:hint="eastAsia"/>
        </w:rPr>
        <w:t>数据字典</w:t>
      </w:r>
      <w:bookmarkEnd w:id="1139"/>
      <w:bookmarkEnd w:id="1140"/>
      <w:bookmarkEnd w:id="1141"/>
    </w:p>
    <w:tbl>
      <w:tblPr>
        <w:tblW w:w="86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701"/>
        <w:gridCol w:w="1418"/>
        <w:gridCol w:w="4110"/>
      </w:tblGrid>
      <w:tr w:rsidR="00A052DC" w14:paraId="39A630FA" w14:textId="77777777">
        <w:trPr>
          <w:tblHeader/>
        </w:trPr>
        <w:tc>
          <w:tcPr>
            <w:tcW w:w="1418" w:type="dxa"/>
            <w:shd w:val="clear" w:color="auto" w:fill="C0C0C0"/>
          </w:tcPr>
          <w:p w14:paraId="14EF3B46" w14:textId="77777777" w:rsidR="00A052DC" w:rsidRDefault="009F0A60">
            <w:pPr>
              <w:jc w:val="center"/>
              <w:rPr>
                <w:rFonts w:ascii="黑体" w:eastAsia="黑体" w:hAnsi="黑体"/>
                <w:b/>
                <w:sz w:val="20"/>
                <w:szCs w:val="20"/>
              </w:rPr>
            </w:pPr>
            <w:r>
              <w:rPr>
                <w:rFonts w:ascii="黑体" w:eastAsia="黑体" w:hAnsi="黑体" w:hint="eastAsia"/>
                <w:b/>
                <w:sz w:val="20"/>
                <w:szCs w:val="20"/>
              </w:rPr>
              <w:t>字段</w:t>
            </w:r>
          </w:p>
        </w:tc>
        <w:tc>
          <w:tcPr>
            <w:tcW w:w="1701" w:type="dxa"/>
            <w:shd w:val="clear" w:color="auto" w:fill="C0C0C0"/>
          </w:tcPr>
          <w:p w14:paraId="38C1963E" w14:textId="77777777" w:rsidR="00A052DC" w:rsidRDefault="009F0A60">
            <w:pPr>
              <w:jc w:val="center"/>
              <w:rPr>
                <w:rFonts w:ascii="黑体" w:eastAsia="黑体" w:hAnsi="黑体"/>
                <w:b/>
                <w:sz w:val="20"/>
                <w:szCs w:val="20"/>
              </w:rPr>
            </w:pPr>
            <w:r>
              <w:rPr>
                <w:rFonts w:ascii="黑体" w:eastAsia="黑体" w:hAnsi="黑体" w:hint="eastAsia"/>
                <w:b/>
                <w:sz w:val="20"/>
                <w:szCs w:val="20"/>
              </w:rPr>
              <w:t>内容</w:t>
            </w:r>
          </w:p>
        </w:tc>
        <w:tc>
          <w:tcPr>
            <w:tcW w:w="1418" w:type="dxa"/>
            <w:shd w:val="clear" w:color="auto" w:fill="C0C0C0"/>
          </w:tcPr>
          <w:p w14:paraId="75AD89A2" w14:textId="77777777" w:rsidR="00A052DC" w:rsidRDefault="009F0A60">
            <w:pPr>
              <w:jc w:val="center"/>
              <w:rPr>
                <w:rFonts w:ascii="黑体" w:eastAsia="黑体" w:hAnsi="黑体"/>
                <w:b/>
                <w:sz w:val="20"/>
                <w:szCs w:val="20"/>
              </w:rPr>
            </w:pPr>
            <w:r>
              <w:rPr>
                <w:rFonts w:ascii="黑体" w:eastAsia="黑体" w:hAnsi="黑体" w:hint="eastAsia"/>
                <w:b/>
                <w:sz w:val="20"/>
                <w:szCs w:val="20"/>
              </w:rPr>
              <w:t>类型（长度）</w:t>
            </w:r>
          </w:p>
        </w:tc>
        <w:tc>
          <w:tcPr>
            <w:tcW w:w="4110" w:type="dxa"/>
            <w:shd w:val="clear" w:color="auto" w:fill="C0C0C0"/>
          </w:tcPr>
          <w:p w14:paraId="1D860623" w14:textId="77777777" w:rsidR="00A052DC" w:rsidRDefault="009F0A60">
            <w:pPr>
              <w:jc w:val="center"/>
              <w:rPr>
                <w:rFonts w:ascii="黑体" w:eastAsia="黑体" w:hAnsi="黑体"/>
                <w:b/>
                <w:sz w:val="20"/>
                <w:szCs w:val="20"/>
              </w:rPr>
            </w:pPr>
            <w:r>
              <w:rPr>
                <w:rFonts w:ascii="黑体" w:eastAsia="黑体" w:hAnsi="黑体" w:hint="eastAsia"/>
                <w:b/>
                <w:sz w:val="20"/>
                <w:szCs w:val="20"/>
              </w:rPr>
              <w:t>校验</w:t>
            </w:r>
          </w:p>
        </w:tc>
      </w:tr>
      <w:tr w:rsidR="00A052DC" w14:paraId="4F4CBE28" w14:textId="77777777">
        <w:tc>
          <w:tcPr>
            <w:tcW w:w="1418" w:type="dxa"/>
          </w:tcPr>
          <w:p w14:paraId="37B1AC81" w14:textId="77777777" w:rsidR="00A052DC" w:rsidRDefault="009F0A60">
            <w:pPr>
              <w:rPr>
                <w:rFonts w:ascii="黑体" w:eastAsia="黑体" w:hAnsi="黑体"/>
                <w:sz w:val="20"/>
                <w:szCs w:val="20"/>
              </w:rPr>
            </w:pPr>
            <w:r>
              <w:rPr>
                <w:rFonts w:ascii="黑体" w:eastAsia="黑体" w:hAnsi="黑体" w:hint="eastAsia"/>
                <w:sz w:val="20"/>
                <w:szCs w:val="20"/>
              </w:rPr>
              <w:t>ACTIONTYPE</w:t>
            </w:r>
          </w:p>
        </w:tc>
        <w:tc>
          <w:tcPr>
            <w:tcW w:w="1701" w:type="dxa"/>
          </w:tcPr>
          <w:p w14:paraId="3633A7DB" w14:textId="77777777" w:rsidR="00A052DC" w:rsidRDefault="009F0A60">
            <w:pPr>
              <w:rPr>
                <w:rFonts w:ascii="黑体" w:eastAsia="黑体" w:hAnsi="黑体"/>
                <w:sz w:val="20"/>
                <w:szCs w:val="20"/>
              </w:rPr>
            </w:pPr>
            <w:r>
              <w:rPr>
                <w:rFonts w:ascii="黑体" w:eastAsia="黑体" w:hAnsi="黑体" w:hint="eastAsia"/>
                <w:sz w:val="20"/>
                <w:szCs w:val="20"/>
              </w:rPr>
              <w:t>操作类型</w:t>
            </w:r>
          </w:p>
        </w:tc>
        <w:tc>
          <w:tcPr>
            <w:tcW w:w="1418" w:type="dxa"/>
          </w:tcPr>
          <w:p w14:paraId="76BB51F9" w14:textId="77777777" w:rsidR="00A052DC" w:rsidRDefault="009F0A60">
            <w:pPr>
              <w:rPr>
                <w:rFonts w:ascii="黑体" w:eastAsia="黑体" w:hAnsi="黑体"/>
                <w:sz w:val="20"/>
                <w:szCs w:val="20"/>
              </w:rPr>
            </w:pPr>
            <w:r>
              <w:rPr>
                <w:rFonts w:ascii="黑体" w:eastAsia="黑体" w:hAnsi="黑体" w:hint="eastAsia"/>
                <w:sz w:val="20"/>
                <w:szCs w:val="20"/>
              </w:rPr>
              <w:t>字符型，1</w:t>
            </w:r>
          </w:p>
        </w:tc>
        <w:tc>
          <w:tcPr>
            <w:tcW w:w="4110" w:type="dxa"/>
          </w:tcPr>
          <w:p w14:paraId="0B44C05C" w14:textId="77777777" w:rsidR="00A052DC" w:rsidRDefault="009F0A60">
            <w:pPr>
              <w:rPr>
                <w:rFonts w:ascii="黑体" w:eastAsia="黑体" w:hAnsi="黑体"/>
                <w:sz w:val="20"/>
                <w:szCs w:val="20"/>
              </w:rPr>
            </w:pPr>
            <w:r>
              <w:rPr>
                <w:rFonts w:ascii="黑体" w:eastAsia="黑体" w:hAnsi="黑体" w:hint="eastAsia"/>
                <w:sz w:val="20"/>
                <w:szCs w:val="20"/>
              </w:rPr>
              <w:t>A</w:t>
            </w:r>
            <w:r w:rsidR="00AE4602">
              <w:rPr>
                <w:rFonts w:ascii="黑体" w:eastAsia="黑体" w:hAnsi="黑体" w:hint="eastAsia"/>
                <w:sz w:val="20"/>
                <w:szCs w:val="20"/>
              </w:rPr>
              <w:t>-</w:t>
            </w:r>
            <w:r>
              <w:rPr>
                <w:rFonts w:ascii="黑体" w:eastAsia="黑体" w:hAnsi="黑体" w:hint="eastAsia"/>
                <w:sz w:val="20"/>
                <w:szCs w:val="20"/>
              </w:rPr>
              <w:t>新建</w:t>
            </w:r>
          </w:p>
          <w:p w14:paraId="6794497C" w14:textId="77777777" w:rsidR="00A052DC" w:rsidRDefault="009F0A60">
            <w:pPr>
              <w:rPr>
                <w:rFonts w:ascii="黑体" w:eastAsia="黑体" w:hAnsi="黑体"/>
                <w:sz w:val="20"/>
                <w:szCs w:val="20"/>
              </w:rPr>
            </w:pPr>
            <w:r>
              <w:rPr>
                <w:rFonts w:ascii="黑体" w:eastAsia="黑体" w:hAnsi="黑体" w:hint="eastAsia"/>
                <w:sz w:val="20"/>
                <w:szCs w:val="20"/>
              </w:rPr>
              <w:t>C</w:t>
            </w:r>
            <w:r w:rsidR="00AE4602">
              <w:rPr>
                <w:rFonts w:ascii="黑体" w:eastAsia="黑体" w:hAnsi="黑体" w:hint="eastAsia"/>
                <w:sz w:val="20"/>
                <w:szCs w:val="20"/>
              </w:rPr>
              <w:t>-</w:t>
            </w:r>
            <w:r>
              <w:rPr>
                <w:rFonts w:ascii="黑体" w:eastAsia="黑体" w:hAnsi="黑体" w:hint="eastAsia"/>
                <w:sz w:val="20"/>
                <w:szCs w:val="20"/>
              </w:rPr>
              <w:t>修改</w:t>
            </w:r>
          </w:p>
          <w:p w14:paraId="3ED3FF80" w14:textId="77777777" w:rsidR="00A052DC" w:rsidRDefault="009F0A60">
            <w:pPr>
              <w:rPr>
                <w:rFonts w:ascii="黑体" w:eastAsia="黑体" w:hAnsi="黑体"/>
                <w:sz w:val="20"/>
                <w:szCs w:val="20"/>
              </w:rPr>
            </w:pPr>
            <w:r>
              <w:rPr>
                <w:rFonts w:ascii="黑体" w:eastAsia="黑体" w:hAnsi="黑体" w:hint="eastAsia"/>
                <w:sz w:val="20"/>
                <w:szCs w:val="20"/>
              </w:rPr>
              <w:t>D</w:t>
            </w:r>
            <w:r w:rsidR="00AE4602">
              <w:rPr>
                <w:rFonts w:ascii="黑体" w:eastAsia="黑体" w:hAnsi="黑体" w:hint="eastAsia"/>
                <w:sz w:val="20"/>
                <w:szCs w:val="20"/>
              </w:rPr>
              <w:t>-</w:t>
            </w:r>
            <w:r>
              <w:rPr>
                <w:rFonts w:ascii="黑体" w:eastAsia="黑体" w:hAnsi="黑体" w:hint="eastAsia"/>
                <w:sz w:val="20"/>
                <w:szCs w:val="20"/>
              </w:rPr>
              <w:t>删除</w:t>
            </w:r>
          </w:p>
          <w:p w14:paraId="65FDA917" w14:textId="77777777" w:rsidR="00A052DC" w:rsidRDefault="009F0A60">
            <w:pPr>
              <w:rPr>
                <w:rFonts w:ascii="黑体" w:eastAsia="黑体" w:hAnsi="黑体"/>
                <w:sz w:val="20"/>
                <w:szCs w:val="20"/>
              </w:rPr>
            </w:pPr>
            <w:r>
              <w:rPr>
                <w:rFonts w:ascii="黑体" w:eastAsia="黑体" w:hAnsi="黑体" w:hint="eastAsia"/>
                <w:sz w:val="20"/>
                <w:szCs w:val="20"/>
              </w:rPr>
              <w:t>R-申报无误（银行反馈），预留，暂不用</w:t>
            </w:r>
          </w:p>
        </w:tc>
      </w:tr>
      <w:tr w:rsidR="00A052DC" w14:paraId="3C921A9C" w14:textId="77777777">
        <w:tc>
          <w:tcPr>
            <w:tcW w:w="1418" w:type="dxa"/>
          </w:tcPr>
          <w:p w14:paraId="4E27E676" w14:textId="77777777" w:rsidR="00A052DC" w:rsidRDefault="009F0A60">
            <w:pPr>
              <w:rPr>
                <w:rFonts w:ascii="黑体" w:eastAsia="黑体" w:hAnsi="黑体"/>
                <w:sz w:val="20"/>
                <w:szCs w:val="20"/>
              </w:rPr>
            </w:pPr>
            <w:r>
              <w:rPr>
                <w:rFonts w:ascii="黑体" w:eastAsia="黑体" w:hAnsi="黑体" w:hint="eastAsia"/>
                <w:sz w:val="20"/>
                <w:szCs w:val="20"/>
              </w:rPr>
              <w:t>ACTIONDESC</w:t>
            </w:r>
          </w:p>
        </w:tc>
        <w:tc>
          <w:tcPr>
            <w:tcW w:w="1701" w:type="dxa"/>
          </w:tcPr>
          <w:p w14:paraId="6BC12637" w14:textId="77777777" w:rsidR="00A052DC" w:rsidRDefault="009F0A60">
            <w:pPr>
              <w:rPr>
                <w:rFonts w:ascii="黑体" w:eastAsia="黑体" w:hAnsi="黑体"/>
                <w:sz w:val="20"/>
                <w:szCs w:val="20"/>
              </w:rPr>
            </w:pPr>
            <w:r>
              <w:rPr>
                <w:rFonts w:ascii="黑体" w:eastAsia="黑体" w:hAnsi="黑体" w:hint="eastAsia"/>
                <w:sz w:val="20"/>
                <w:szCs w:val="20"/>
              </w:rPr>
              <w:t>修改/删除原因</w:t>
            </w:r>
          </w:p>
          <w:p w14:paraId="6BE3F4A7" w14:textId="77777777" w:rsidR="00A052DC" w:rsidRDefault="009F0A60">
            <w:pPr>
              <w:rPr>
                <w:rFonts w:ascii="黑体" w:eastAsia="黑体" w:hAnsi="黑体"/>
                <w:sz w:val="20"/>
                <w:szCs w:val="20"/>
              </w:rPr>
            </w:pPr>
            <w:r>
              <w:rPr>
                <w:rFonts w:ascii="黑体" w:eastAsia="黑体" w:hAnsi="黑体" w:hint="eastAsia"/>
                <w:sz w:val="20"/>
                <w:szCs w:val="20"/>
              </w:rPr>
              <w:t>或申报无误理由</w:t>
            </w:r>
          </w:p>
        </w:tc>
        <w:tc>
          <w:tcPr>
            <w:tcW w:w="1418" w:type="dxa"/>
          </w:tcPr>
          <w:p w14:paraId="232DA16E"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4110" w:type="dxa"/>
          </w:tcPr>
          <w:p w14:paraId="2896CF0E" w14:textId="77777777" w:rsidR="00A052DC" w:rsidRDefault="00A052DC">
            <w:pPr>
              <w:rPr>
                <w:rFonts w:ascii="黑体" w:eastAsia="黑体" w:hAnsi="黑体"/>
                <w:sz w:val="20"/>
                <w:szCs w:val="20"/>
              </w:rPr>
            </w:pPr>
          </w:p>
        </w:tc>
      </w:tr>
      <w:tr w:rsidR="00A052DC" w14:paraId="10E26D76" w14:textId="77777777">
        <w:tc>
          <w:tcPr>
            <w:tcW w:w="1418" w:type="dxa"/>
          </w:tcPr>
          <w:p w14:paraId="4C13BA4C" w14:textId="77777777" w:rsidR="00A052DC" w:rsidRDefault="009F0A60">
            <w:pPr>
              <w:rPr>
                <w:rFonts w:ascii="黑体" w:eastAsia="黑体" w:hAnsi="黑体"/>
                <w:sz w:val="20"/>
                <w:szCs w:val="20"/>
              </w:rPr>
            </w:pPr>
            <w:r>
              <w:rPr>
                <w:rFonts w:ascii="黑体" w:eastAsia="黑体" w:hAnsi="黑体" w:hint="eastAsia"/>
                <w:sz w:val="20"/>
                <w:szCs w:val="20"/>
              </w:rPr>
              <w:t>RPTNO</w:t>
            </w:r>
          </w:p>
        </w:tc>
        <w:tc>
          <w:tcPr>
            <w:tcW w:w="1701" w:type="dxa"/>
          </w:tcPr>
          <w:p w14:paraId="2BDED778" w14:textId="77777777" w:rsidR="00A052DC" w:rsidRDefault="009F0A60">
            <w:pPr>
              <w:rPr>
                <w:rFonts w:ascii="黑体" w:eastAsia="黑体" w:hAnsi="黑体"/>
                <w:sz w:val="20"/>
                <w:szCs w:val="20"/>
              </w:rPr>
            </w:pPr>
            <w:r>
              <w:rPr>
                <w:rFonts w:ascii="黑体" w:eastAsia="黑体" w:hAnsi="黑体" w:hint="eastAsia"/>
                <w:sz w:val="20"/>
                <w:szCs w:val="20"/>
              </w:rPr>
              <w:t>申报号码</w:t>
            </w:r>
          </w:p>
        </w:tc>
        <w:tc>
          <w:tcPr>
            <w:tcW w:w="1418" w:type="dxa"/>
          </w:tcPr>
          <w:p w14:paraId="1EFCD29D" w14:textId="77777777" w:rsidR="00A052DC" w:rsidRDefault="009F0A60">
            <w:pPr>
              <w:rPr>
                <w:rFonts w:ascii="黑体" w:eastAsia="黑体" w:hAnsi="黑体"/>
                <w:sz w:val="20"/>
                <w:szCs w:val="20"/>
              </w:rPr>
            </w:pPr>
            <w:r>
              <w:rPr>
                <w:rFonts w:ascii="黑体" w:eastAsia="黑体" w:hAnsi="黑体" w:hint="eastAsia"/>
                <w:sz w:val="20"/>
                <w:szCs w:val="20"/>
              </w:rPr>
              <w:t>字符型，22</w:t>
            </w:r>
          </w:p>
        </w:tc>
        <w:tc>
          <w:tcPr>
            <w:tcW w:w="4110" w:type="dxa"/>
          </w:tcPr>
          <w:p w14:paraId="64289777" w14:textId="77777777" w:rsidR="00A052DC" w:rsidRDefault="009F0A60">
            <w:pPr>
              <w:rPr>
                <w:rFonts w:ascii="黑体" w:eastAsia="黑体" w:hAnsi="黑体"/>
                <w:sz w:val="20"/>
                <w:szCs w:val="20"/>
              </w:rPr>
            </w:pPr>
            <w:r>
              <w:rPr>
                <w:rFonts w:ascii="黑体" w:eastAsia="黑体" w:hAnsi="黑体" w:hint="eastAsia"/>
                <w:sz w:val="20"/>
                <w:szCs w:val="20"/>
              </w:rPr>
              <w:t>编码规则：6位地区标识码+4位银行代码+2位银行顺序码+支付日期（yymmdd）+4位银行业务流水码。支付日期不能大于系统日期。</w:t>
            </w:r>
          </w:p>
          <w:p w14:paraId="0447A68C" w14:textId="77777777" w:rsidR="00A052DC" w:rsidRDefault="009F0A60">
            <w:pPr>
              <w:rPr>
                <w:rFonts w:ascii="黑体" w:eastAsia="黑体" w:hAnsi="黑体"/>
                <w:sz w:val="20"/>
                <w:szCs w:val="20"/>
              </w:rPr>
            </w:pPr>
            <w:r>
              <w:rPr>
                <w:rFonts w:ascii="黑体" w:eastAsia="黑体" w:hAnsi="黑体" w:hint="eastAsia"/>
                <w:sz w:val="20"/>
                <w:szCs w:val="20"/>
              </w:rPr>
              <w:t>银行业务流水码规则：</w:t>
            </w:r>
          </w:p>
          <w:p w14:paraId="4BCCF511" w14:textId="77777777" w:rsidR="00A052DC" w:rsidRDefault="009F0A60">
            <w:pPr>
              <w:rPr>
                <w:rFonts w:ascii="黑体" w:eastAsia="黑体" w:hAnsi="黑体"/>
                <w:sz w:val="20"/>
                <w:szCs w:val="20"/>
              </w:rPr>
            </w:pPr>
            <w:r>
              <w:rPr>
                <w:rFonts w:ascii="黑体" w:eastAsia="黑体" w:hAnsi="黑体" w:hint="eastAsia"/>
                <w:sz w:val="20"/>
                <w:szCs w:val="20"/>
              </w:rPr>
              <w:t>****，其中，第一位取值数字0-9，第二与第三位取值数字（0-9）与大写字母（O、I、Z除外），第四位取值大写字母K、L、M、N、P、Q、R、S、T）。</w:t>
            </w:r>
          </w:p>
        </w:tc>
      </w:tr>
      <w:tr w:rsidR="00A052DC" w14:paraId="7790F41E" w14:textId="77777777">
        <w:tc>
          <w:tcPr>
            <w:tcW w:w="1418" w:type="dxa"/>
          </w:tcPr>
          <w:p w14:paraId="598E0B00" w14:textId="77777777" w:rsidR="00A052DC" w:rsidRDefault="009F0A60">
            <w:pPr>
              <w:rPr>
                <w:rFonts w:ascii="黑体" w:eastAsia="黑体" w:hAnsi="黑体"/>
                <w:sz w:val="20"/>
                <w:szCs w:val="20"/>
              </w:rPr>
            </w:pPr>
            <w:r>
              <w:rPr>
                <w:rFonts w:ascii="黑体" w:eastAsia="黑体" w:hAnsi="黑体" w:hint="eastAsia"/>
                <w:sz w:val="20"/>
                <w:szCs w:val="20"/>
              </w:rPr>
              <w:t>CUSTYPE</w:t>
            </w:r>
          </w:p>
        </w:tc>
        <w:tc>
          <w:tcPr>
            <w:tcW w:w="1701" w:type="dxa"/>
          </w:tcPr>
          <w:p w14:paraId="3948F59D" w14:textId="77777777" w:rsidR="00A052DC" w:rsidRDefault="009F0A60">
            <w:pPr>
              <w:rPr>
                <w:rFonts w:ascii="黑体" w:eastAsia="黑体" w:hAnsi="黑体"/>
                <w:sz w:val="20"/>
                <w:szCs w:val="20"/>
              </w:rPr>
            </w:pPr>
            <w:r>
              <w:rPr>
                <w:rFonts w:ascii="黑体" w:eastAsia="黑体" w:hAnsi="黑体" w:hint="eastAsia"/>
                <w:sz w:val="20"/>
                <w:szCs w:val="20"/>
              </w:rPr>
              <w:t>付款人类型</w:t>
            </w:r>
          </w:p>
        </w:tc>
        <w:tc>
          <w:tcPr>
            <w:tcW w:w="1418" w:type="dxa"/>
          </w:tcPr>
          <w:p w14:paraId="3F03501E" w14:textId="77777777" w:rsidR="00A052DC" w:rsidRDefault="009F0A60">
            <w:pPr>
              <w:rPr>
                <w:rFonts w:ascii="黑体" w:eastAsia="黑体" w:hAnsi="黑体"/>
                <w:sz w:val="20"/>
                <w:szCs w:val="20"/>
              </w:rPr>
            </w:pPr>
            <w:r>
              <w:rPr>
                <w:rFonts w:ascii="黑体" w:eastAsia="黑体" w:hAnsi="黑体" w:hint="eastAsia"/>
                <w:sz w:val="20"/>
                <w:szCs w:val="20"/>
              </w:rPr>
              <w:t>字符型，1</w:t>
            </w:r>
          </w:p>
        </w:tc>
        <w:tc>
          <w:tcPr>
            <w:tcW w:w="4110" w:type="dxa"/>
          </w:tcPr>
          <w:p w14:paraId="7D255EB2" w14:textId="77777777" w:rsidR="00A052DC" w:rsidRDefault="009F0A60">
            <w:pPr>
              <w:rPr>
                <w:rFonts w:ascii="黑体" w:eastAsia="黑体" w:hAnsi="黑体"/>
                <w:sz w:val="20"/>
                <w:szCs w:val="20"/>
              </w:rPr>
            </w:pPr>
            <w:r>
              <w:rPr>
                <w:rFonts w:ascii="黑体" w:eastAsia="黑体" w:hAnsi="黑体" w:hint="eastAsia"/>
                <w:sz w:val="20"/>
                <w:szCs w:val="20"/>
              </w:rPr>
              <w:t>C</w:t>
            </w:r>
            <w:r w:rsidR="00AE4602">
              <w:rPr>
                <w:rFonts w:ascii="黑体" w:eastAsia="黑体" w:hAnsi="黑体" w:hint="eastAsia"/>
                <w:sz w:val="20"/>
                <w:szCs w:val="20"/>
              </w:rPr>
              <w:t>-</w:t>
            </w:r>
            <w:r>
              <w:rPr>
                <w:rFonts w:ascii="黑体" w:eastAsia="黑体" w:hAnsi="黑体" w:hint="eastAsia"/>
                <w:sz w:val="20"/>
                <w:szCs w:val="20"/>
              </w:rPr>
              <w:t>对公用户</w:t>
            </w:r>
          </w:p>
          <w:p w14:paraId="1DAEBDAA" w14:textId="77777777" w:rsidR="00A052DC" w:rsidRDefault="009F0A60">
            <w:pPr>
              <w:rPr>
                <w:rFonts w:ascii="黑体" w:eastAsia="黑体" w:hAnsi="黑体"/>
                <w:sz w:val="20"/>
                <w:szCs w:val="20"/>
              </w:rPr>
            </w:pPr>
            <w:r>
              <w:rPr>
                <w:rFonts w:ascii="黑体" w:eastAsia="黑体" w:hAnsi="黑体" w:hint="eastAsia"/>
                <w:sz w:val="20"/>
                <w:szCs w:val="20"/>
              </w:rPr>
              <w:t>D</w:t>
            </w:r>
            <w:r w:rsidR="00AE4602">
              <w:rPr>
                <w:rFonts w:ascii="黑体" w:eastAsia="黑体" w:hAnsi="黑体" w:hint="eastAsia"/>
                <w:sz w:val="20"/>
                <w:szCs w:val="20"/>
              </w:rPr>
              <w:t>-</w:t>
            </w:r>
            <w:r>
              <w:rPr>
                <w:rFonts w:ascii="黑体" w:eastAsia="黑体" w:hAnsi="黑体" w:hint="eastAsia"/>
                <w:sz w:val="20"/>
                <w:szCs w:val="20"/>
              </w:rPr>
              <w:t>对私中国居民</w:t>
            </w:r>
          </w:p>
          <w:p w14:paraId="53AEE4EB" w14:textId="77777777" w:rsidR="00A052DC" w:rsidRDefault="009F0A60">
            <w:pPr>
              <w:rPr>
                <w:rFonts w:ascii="黑体" w:eastAsia="黑体" w:hAnsi="黑体"/>
                <w:sz w:val="20"/>
                <w:szCs w:val="20"/>
              </w:rPr>
            </w:pPr>
            <w:r>
              <w:rPr>
                <w:rFonts w:ascii="黑体" w:eastAsia="黑体" w:hAnsi="黑体" w:hint="eastAsia"/>
                <w:sz w:val="20"/>
                <w:szCs w:val="20"/>
              </w:rPr>
              <w:t>F</w:t>
            </w:r>
            <w:r w:rsidR="00AE4602">
              <w:rPr>
                <w:rFonts w:ascii="黑体" w:eastAsia="黑体" w:hAnsi="黑体" w:hint="eastAsia"/>
                <w:sz w:val="20"/>
                <w:szCs w:val="20"/>
              </w:rPr>
              <w:t>-</w:t>
            </w:r>
            <w:r>
              <w:rPr>
                <w:rFonts w:ascii="黑体" w:eastAsia="黑体" w:hAnsi="黑体" w:hint="eastAsia"/>
                <w:sz w:val="20"/>
                <w:szCs w:val="20"/>
              </w:rPr>
              <w:t>对私中国非居民</w:t>
            </w:r>
          </w:p>
        </w:tc>
      </w:tr>
      <w:tr w:rsidR="00A052DC" w14:paraId="42522295" w14:textId="77777777">
        <w:tc>
          <w:tcPr>
            <w:tcW w:w="1418" w:type="dxa"/>
          </w:tcPr>
          <w:p w14:paraId="0EF2208E" w14:textId="77777777" w:rsidR="00A052DC" w:rsidRDefault="009F0A60">
            <w:pPr>
              <w:rPr>
                <w:rFonts w:ascii="黑体" w:eastAsia="黑体" w:hAnsi="黑体"/>
                <w:sz w:val="20"/>
                <w:szCs w:val="20"/>
              </w:rPr>
            </w:pPr>
            <w:r>
              <w:rPr>
                <w:rFonts w:ascii="黑体" w:eastAsia="黑体" w:hAnsi="黑体" w:hint="eastAsia"/>
                <w:sz w:val="20"/>
                <w:szCs w:val="20"/>
              </w:rPr>
              <w:t>IDCODE</w:t>
            </w:r>
          </w:p>
        </w:tc>
        <w:tc>
          <w:tcPr>
            <w:tcW w:w="1701" w:type="dxa"/>
          </w:tcPr>
          <w:p w14:paraId="79D7B296" w14:textId="77777777" w:rsidR="00A052DC" w:rsidRDefault="009F0A60">
            <w:pPr>
              <w:rPr>
                <w:rFonts w:ascii="黑体" w:eastAsia="黑体" w:hAnsi="黑体"/>
                <w:sz w:val="20"/>
                <w:szCs w:val="20"/>
              </w:rPr>
            </w:pPr>
            <w:r>
              <w:rPr>
                <w:rFonts w:ascii="黑体" w:eastAsia="黑体" w:hAnsi="黑体" w:hint="eastAsia"/>
                <w:sz w:val="20"/>
                <w:szCs w:val="20"/>
              </w:rPr>
              <w:t>个人身份证件号码</w:t>
            </w:r>
          </w:p>
        </w:tc>
        <w:tc>
          <w:tcPr>
            <w:tcW w:w="1418" w:type="dxa"/>
          </w:tcPr>
          <w:p w14:paraId="62EB1DE0" w14:textId="77777777" w:rsidR="00A052DC" w:rsidRDefault="009F0A60">
            <w:pPr>
              <w:rPr>
                <w:rFonts w:ascii="黑体" w:eastAsia="黑体" w:hAnsi="黑体"/>
                <w:sz w:val="20"/>
                <w:szCs w:val="20"/>
              </w:rPr>
            </w:pPr>
            <w:r>
              <w:rPr>
                <w:rFonts w:ascii="黑体" w:eastAsia="黑体" w:hAnsi="黑体" w:hint="eastAsia"/>
                <w:sz w:val="20"/>
                <w:szCs w:val="20"/>
              </w:rPr>
              <w:t>字符型，32</w:t>
            </w:r>
          </w:p>
        </w:tc>
        <w:tc>
          <w:tcPr>
            <w:tcW w:w="4110" w:type="dxa"/>
          </w:tcPr>
          <w:p w14:paraId="70E5FE1A" w14:textId="77777777" w:rsidR="00A052DC" w:rsidRDefault="009F0A60">
            <w:pPr>
              <w:rPr>
                <w:rFonts w:ascii="黑体" w:eastAsia="黑体" w:hAnsi="黑体"/>
                <w:sz w:val="20"/>
                <w:szCs w:val="20"/>
              </w:rPr>
            </w:pPr>
            <w:r>
              <w:rPr>
                <w:rFonts w:ascii="黑体" w:eastAsia="黑体" w:hAnsi="黑体" w:hint="eastAsia"/>
                <w:sz w:val="20"/>
                <w:szCs w:val="20"/>
              </w:rPr>
              <w:t>CUSTYPE&lt;&gt;C时必填。</w:t>
            </w:r>
          </w:p>
        </w:tc>
      </w:tr>
      <w:tr w:rsidR="00A052DC" w14:paraId="0AE6C0A4" w14:textId="77777777">
        <w:tc>
          <w:tcPr>
            <w:tcW w:w="1418" w:type="dxa"/>
          </w:tcPr>
          <w:p w14:paraId="640580C6" w14:textId="77777777" w:rsidR="00A052DC" w:rsidRDefault="009F0A60">
            <w:pPr>
              <w:rPr>
                <w:rFonts w:ascii="黑体" w:eastAsia="黑体" w:hAnsi="黑体"/>
                <w:sz w:val="20"/>
                <w:szCs w:val="20"/>
              </w:rPr>
            </w:pPr>
            <w:r>
              <w:rPr>
                <w:rFonts w:ascii="黑体" w:eastAsia="黑体" w:hAnsi="黑体" w:hint="eastAsia"/>
                <w:sz w:val="20"/>
                <w:szCs w:val="20"/>
              </w:rPr>
              <w:t>CUSTCOD</w:t>
            </w:r>
          </w:p>
        </w:tc>
        <w:tc>
          <w:tcPr>
            <w:tcW w:w="1701" w:type="dxa"/>
          </w:tcPr>
          <w:p w14:paraId="422A132E" w14:textId="77777777" w:rsidR="00A052DC" w:rsidRDefault="009F0A60">
            <w:pPr>
              <w:rPr>
                <w:rFonts w:ascii="黑体" w:eastAsia="黑体" w:hAnsi="黑体"/>
                <w:sz w:val="20"/>
                <w:szCs w:val="20"/>
              </w:rPr>
            </w:pPr>
            <w:r>
              <w:rPr>
                <w:rFonts w:ascii="黑体" w:eastAsia="黑体" w:hAnsi="黑体" w:hint="eastAsia"/>
                <w:sz w:val="20"/>
                <w:szCs w:val="20"/>
              </w:rPr>
              <w:t>主体标识码</w:t>
            </w:r>
          </w:p>
        </w:tc>
        <w:tc>
          <w:tcPr>
            <w:tcW w:w="1418" w:type="dxa"/>
          </w:tcPr>
          <w:p w14:paraId="632EB116" w14:textId="77777777" w:rsidR="00A052DC" w:rsidRDefault="009F0A60">
            <w:pPr>
              <w:rPr>
                <w:rFonts w:ascii="黑体" w:eastAsia="黑体" w:hAnsi="黑体"/>
                <w:sz w:val="20"/>
                <w:szCs w:val="20"/>
              </w:rPr>
            </w:pPr>
            <w:r>
              <w:rPr>
                <w:rFonts w:ascii="黑体" w:eastAsia="黑体" w:hAnsi="黑体" w:hint="eastAsia"/>
                <w:sz w:val="20"/>
                <w:szCs w:val="20"/>
              </w:rPr>
              <w:t>字符型，18</w:t>
            </w:r>
          </w:p>
        </w:tc>
        <w:tc>
          <w:tcPr>
            <w:tcW w:w="4110" w:type="dxa"/>
          </w:tcPr>
          <w:p w14:paraId="114C8FFB" w14:textId="77777777" w:rsidR="00A052DC" w:rsidRDefault="009F0A60">
            <w:pPr>
              <w:rPr>
                <w:rFonts w:ascii="黑体" w:eastAsia="黑体" w:hAnsi="黑体"/>
                <w:sz w:val="20"/>
                <w:szCs w:val="20"/>
              </w:rPr>
            </w:pPr>
            <w:r>
              <w:rPr>
                <w:rFonts w:ascii="黑体" w:eastAsia="黑体" w:hAnsi="黑体" w:hint="eastAsia"/>
                <w:sz w:val="20"/>
                <w:szCs w:val="20"/>
              </w:rPr>
              <w:t>CUSTYPE=C时必填。</w:t>
            </w:r>
          </w:p>
          <w:p w14:paraId="413C54BE" w14:textId="77777777" w:rsidR="00A052DC" w:rsidRDefault="009F0A60">
            <w:pPr>
              <w:jc w:val="left"/>
              <w:rPr>
                <w:rFonts w:ascii="黑体" w:eastAsia="黑体" w:hAnsi="黑体"/>
                <w:sz w:val="20"/>
                <w:szCs w:val="20"/>
              </w:rPr>
            </w:pPr>
            <w:r>
              <w:rPr>
                <w:rFonts w:ascii="黑体" w:eastAsia="黑体" w:hAnsi="黑体" w:hint="eastAsia"/>
                <w:sz w:val="20"/>
                <w:szCs w:val="20"/>
              </w:rPr>
              <w:t>指统一社会信用代码法定载体（如营业执照）上统一社会信用代码中的第9至17位或国家外汇管理局及其分支局签发的特殊机构代码赋码通知书上的机构代码。</w:t>
            </w:r>
          </w:p>
          <w:p w14:paraId="428BDE95" w14:textId="77777777" w:rsidR="00A052DC" w:rsidRDefault="009F0A60">
            <w:pPr>
              <w:rPr>
                <w:rFonts w:ascii="黑体" w:eastAsia="黑体" w:hAnsi="黑体"/>
                <w:sz w:val="20"/>
                <w:szCs w:val="20"/>
              </w:rPr>
            </w:pPr>
            <w:r>
              <w:rPr>
                <w:rFonts w:ascii="黑体" w:eastAsia="黑体" w:hAnsi="黑体" w:hint="eastAsia"/>
                <w:sz w:val="20"/>
                <w:szCs w:val="20"/>
              </w:rPr>
              <w:t>按统一社会信用代码中的9位主体标识码（组织机构代码）或特殊机构赋码编制规则进行校验，字段长度仍预留18位。</w:t>
            </w:r>
          </w:p>
        </w:tc>
      </w:tr>
      <w:tr w:rsidR="00A052DC" w14:paraId="0C38E3BD" w14:textId="77777777">
        <w:tc>
          <w:tcPr>
            <w:tcW w:w="1418" w:type="dxa"/>
          </w:tcPr>
          <w:p w14:paraId="51790422" w14:textId="77777777" w:rsidR="00A052DC" w:rsidRDefault="009F0A60">
            <w:pPr>
              <w:rPr>
                <w:rFonts w:ascii="黑体" w:eastAsia="黑体" w:hAnsi="黑体"/>
                <w:sz w:val="20"/>
                <w:szCs w:val="20"/>
              </w:rPr>
            </w:pPr>
            <w:r>
              <w:rPr>
                <w:rFonts w:ascii="黑体" w:eastAsia="黑体" w:hAnsi="黑体" w:hint="eastAsia"/>
                <w:sz w:val="20"/>
                <w:szCs w:val="20"/>
              </w:rPr>
              <w:t>CUSTNM</w:t>
            </w:r>
          </w:p>
        </w:tc>
        <w:tc>
          <w:tcPr>
            <w:tcW w:w="1701" w:type="dxa"/>
          </w:tcPr>
          <w:p w14:paraId="2AA05ACE" w14:textId="77777777" w:rsidR="00A052DC" w:rsidRDefault="009F0A60">
            <w:pPr>
              <w:rPr>
                <w:rFonts w:ascii="黑体" w:eastAsia="黑体" w:hAnsi="黑体"/>
                <w:sz w:val="20"/>
                <w:szCs w:val="20"/>
              </w:rPr>
            </w:pPr>
            <w:r>
              <w:rPr>
                <w:rFonts w:ascii="黑体" w:eastAsia="黑体" w:hAnsi="黑体" w:hint="eastAsia"/>
                <w:sz w:val="20"/>
                <w:szCs w:val="20"/>
              </w:rPr>
              <w:t>付款人名称</w:t>
            </w:r>
          </w:p>
        </w:tc>
        <w:tc>
          <w:tcPr>
            <w:tcW w:w="1418" w:type="dxa"/>
          </w:tcPr>
          <w:p w14:paraId="64C84B21"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4110" w:type="dxa"/>
          </w:tcPr>
          <w:p w14:paraId="72F716F7"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r w:rsidR="00A052DC" w14:paraId="6E91C3C0" w14:textId="77777777">
        <w:tc>
          <w:tcPr>
            <w:tcW w:w="1418" w:type="dxa"/>
            <w:tcBorders>
              <w:top w:val="single" w:sz="4" w:space="0" w:color="auto"/>
              <w:left w:val="single" w:sz="4" w:space="0" w:color="auto"/>
              <w:bottom w:val="single" w:sz="4" w:space="0" w:color="auto"/>
              <w:right w:val="single" w:sz="4" w:space="0" w:color="auto"/>
            </w:tcBorders>
          </w:tcPr>
          <w:p w14:paraId="7D85939C" w14:textId="77777777" w:rsidR="00A052DC" w:rsidRDefault="009F0A60">
            <w:pPr>
              <w:rPr>
                <w:rFonts w:ascii="黑体" w:eastAsia="黑体" w:hAnsi="黑体"/>
                <w:sz w:val="20"/>
                <w:szCs w:val="20"/>
              </w:rPr>
            </w:pPr>
            <w:r>
              <w:rPr>
                <w:rFonts w:ascii="黑体" w:eastAsia="黑体" w:hAnsi="黑体" w:hint="eastAsia"/>
                <w:sz w:val="20"/>
                <w:szCs w:val="20"/>
              </w:rPr>
              <w:t>OPPUSER</w:t>
            </w:r>
          </w:p>
        </w:tc>
        <w:tc>
          <w:tcPr>
            <w:tcW w:w="1701" w:type="dxa"/>
            <w:tcBorders>
              <w:top w:val="single" w:sz="4" w:space="0" w:color="auto"/>
              <w:left w:val="single" w:sz="4" w:space="0" w:color="auto"/>
              <w:bottom w:val="single" w:sz="4" w:space="0" w:color="auto"/>
              <w:right w:val="single" w:sz="4" w:space="0" w:color="auto"/>
            </w:tcBorders>
          </w:tcPr>
          <w:p w14:paraId="087CD298" w14:textId="77777777" w:rsidR="00A052DC" w:rsidRDefault="009F0A60">
            <w:pPr>
              <w:rPr>
                <w:rFonts w:ascii="黑体" w:eastAsia="黑体" w:hAnsi="黑体"/>
                <w:sz w:val="20"/>
                <w:szCs w:val="20"/>
              </w:rPr>
            </w:pPr>
            <w:r>
              <w:rPr>
                <w:rFonts w:ascii="黑体" w:eastAsia="黑体" w:hAnsi="黑体" w:hint="eastAsia"/>
                <w:sz w:val="20"/>
                <w:szCs w:val="20"/>
              </w:rPr>
              <w:t>收款人名称</w:t>
            </w:r>
          </w:p>
        </w:tc>
        <w:tc>
          <w:tcPr>
            <w:tcW w:w="1418" w:type="dxa"/>
            <w:tcBorders>
              <w:top w:val="single" w:sz="4" w:space="0" w:color="auto"/>
              <w:left w:val="single" w:sz="4" w:space="0" w:color="auto"/>
              <w:bottom w:val="single" w:sz="4" w:space="0" w:color="auto"/>
              <w:right w:val="single" w:sz="4" w:space="0" w:color="auto"/>
            </w:tcBorders>
          </w:tcPr>
          <w:p w14:paraId="37A7BBB4"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4110" w:type="dxa"/>
            <w:tcBorders>
              <w:top w:val="single" w:sz="4" w:space="0" w:color="auto"/>
              <w:left w:val="single" w:sz="4" w:space="0" w:color="auto"/>
              <w:bottom w:val="single" w:sz="4" w:space="0" w:color="auto"/>
              <w:right w:val="single" w:sz="4" w:space="0" w:color="auto"/>
            </w:tcBorders>
          </w:tcPr>
          <w:p w14:paraId="38D8C1DB"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r w:rsidR="00A052DC" w14:paraId="5C0D2F3C" w14:textId="77777777">
        <w:trPr>
          <w:cantSplit/>
          <w:trHeight w:val="623"/>
        </w:trPr>
        <w:tc>
          <w:tcPr>
            <w:tcW w:w="1418" w:type="dxa"/>
          </w:tcPr>
          <w:p w14:paraId="690F8ABE" w14:textId="77777777" w:rsidR="00A052DC" w:rsidRDefault="009F0A60">
            <w:pPr>
              <w:rPr>
                <w:rFonts w:ascii="黑体" w:eastAsia="黑体" w:hAnsi="黑体"/>
                <w:sz w:val="20"/>
                <w:szCs w:val="20"/>
              </w:rPr>
            </w:pPr>
            <w:r>
              <w:rPr>
                <w:rFonts w:ascii="黑体" w:eastAsia="黑体" w:hAnsi="黑体" w:hint="eastAsia"/>
                <w:sz w:val="20"/>
                <w:szCs w:val="20"/>
              </w:rPr>
              <w:t>TXCCY</w:t>
            </w:r>
          </w:p>
        </w:tc>
        <w:tc>
          <w:tcPr>
            <w:tcW w:w="1701" w:type="dxa"/>
          </w:tcPr>
          <w:p w14:paraId="144A8DBE" w14:textId="77777777" w:rsidR="00A052DC" w:rsidRDefault="009F0A60">
            <w:pPr>
              <w:rPr>
                <w:rFonts w:ascii="黑体" w:eastAsia="黑体" w:hAnsi="黑体"/>
                <w:sz w:val="20"/>
                <w:szCs w:val="20"/>
              </w:rPr>
            </w:pPr>
            <w:r>
              <w:rPr>
                <w:rFonts w:ascii="黑体" w:eastAsia="黑体" w:hAnsi="黑体" w:hint="eastAsia"/>
                <w:sz w:val="20"/>
                <w:szCs w:val="20"/>
              </w:rPr>
              <w:t>付款币种</w:t>
            </w:r>
          </w:p>
        </w:tc>
        <w:tc>
          <w:tcPr>
            <w:tcW w:w="1418" w:type="dxa"/>
          </w:tcPr>
          <w:p w14:paraId="0B2C6906" w14:textId="77777777" w:rsidR="00A052DC" w:rsidRDefault="009F0A60">
            <w:pPr>
              <w:rPr>
                <w:rFonts w:ascii="黑体" w:eastAsia="黑体" w:hAnsi="黑体"/>
                <w:sz w:val="20"/>
                <w:szCs w:val="20"/>
              </w:rPr>
            </w:pPr>
            <w:r>
              <w:rPr>
                <w:rFonts w:ascii="黑体" w:eastAsia="黑体" w:hAnsi="黑体" w:hint="eastAsia"/>
                <w:sz w:val="20"/>
                <w:szCs w:val="20"/>
              </w:rPr>
              <w:t>字符型，3</w:t>
            </w:r>
          </w:p>
        </w:tc>
        <w:tc>
          <w:tcPr>
            <w:tcW w:w="4110" w:type="dxa"/>
          </w:tcPr>
          <w:p w14:paraId="41C5CB18" w14:textId="77777777" w:rsidR="00A052DC" w:rsidRDefault="009F0A60">
            <w:pPr>
              <w:rPr>
                <w:rFonts w:ascii="黑体" w:eastAsia="黑体" w:hAnsi="黑体"/>
                <w:sz w:val="20"/>
                <w:szCs w:val="20"/>
              </w:rPr>
            </w:pPr>
            <w:r>
              <w:rPr>
                <w:rFonts w:ascii="黑体" w:eastAsia="黑体" w:hAnsi="黑体" w:hint="eastAsia"/>
                <w:sz w:val="20"/>
                <w:szCs w:val="20"/>
              </w:rPr>
              <w:t>必填项。字母代码,必须在币种代码表里存在。</w:t>
            </w:r>
          </w:p>
        </w:tc>
      </w:tr>
      <w:tr w:rsidR="00A052DC" w14:paraId="153E13B2" w14:textId="77777777">
        <w:trPr>
          <w:cantSplit/>
          <w:trHeight w:val="623"/>
        </w:trPr>
        <w:tc>
          <w:tcPr>
            <w:tcW w:w="1418" w:type="dxa"/>
          </w:tcPr>
          <w:p w14:paraId="00D9F0A2" w14:textId="77777777" w:rsidR="00A052DC" w:rsidRDefault="009F0A60">
            <w:pPr>
              <w:rPr>
                <w:rFonts w:ascii="黑体" w:eastAsia="黑体" w:hAnsi="黑体"/>
                <w:sz w:val="20"/>
                <w:szCs w:val="20"/>
              </w:rPr>
            </w:pPr>
            <w:r>
              <w:rPr>
                <w:rFonts w:ascii="黑体" w:eastAsia="黑体" w:hAnsi="黑体" w:hint="eastAsia"/>
                <w:sz w:val="20"/>
                <w:szCs w:val="20"/>
              </w:rPr>
              <w:t>TXAMT</w:t>
            </w:r>
          </w:p>
        </w:tc>
        <w:tc>
          <w:tcPr>
            <w:tcW w:w="1701" w:type="dxa"/>
          </w:tcPr>
          <w:p w14:paraId="43F1368A" w14:textId="77777777" w:rsidR="00A052DC" w:rsidRDefault="009F0A60">
            <w:pPr>
              <w:rPr>
                <w:rFonts w:ascii="黑体" w:eastAsia="黑体" w:hAnsi="黑体"/>
                <w:sz w:val="20"/>
                <w:szCs w:val="20"/>
              </w:rPr>
            </w:pPr>
            <w:r>
              <w:rPr>
                <w:rFonts w:ascii="黑体" w:eastAsia="黑体" w:hAnsi="黑体" w:hint="eastAsia"/>
                <w:sz w:val="20"/>
                <w:szCs w:val="20"/>
              </w:rPr>
              <w:t>付款金额</w:t>
            </w:r>
          </w:p>
        </w:tc>
        <w:tc>
          <w:tcPr>
            <w:tcW w:w="1418" w:type="dxa"/>
          </w:tcPr>
          <w:p w14:paraId="17C6351C" w14:textId="77777777" w:rsidR="00A052DC" w:rsidRDefault="009F0A60">
            <w:pPr>
              <w:rPr>
                <w:rFonts w:ascii="黑体" w:eastAsia="黑体" w:hAnsi="黑体"/>
                <w:sz w:val="20"/>
                <w:szCs w:val="20"/>
              </w:rPr>
            </w:pPr>
            <w:r>
              <w:rPr>
                <w:rFonts w:ascii="黑体" w:eastAsia="黑体" w:hAnsi="黑体" w:hint="eastAsia"/>
                <w:sz w:val="20"/>
                <w:szCs w:val="20"/>
              </w:rPr>
              <w:t>数值型，22.0</w:t>
            </w:r>
          </w:p>
        </w:tc>
        <w:tc>
          <w:tcPr>
            <w:tcW w:w="4110" w:type="dxa"/>
          </w:tcPr>
          <w:p w14:paraId="29F04479" w14:textId="77777777" w:rsidR="00A052DC" w:rsidRDefault="009F0A60">
            <w:pPr>
              <w:rPr>
                <w:rFonts w:ascii="黑体" w:eastAsia="黑体" w:hAnsi="黑体"/>
                <w:sz w:val="20"/>
                <w:szCs w:val="20"/>
              </w:rPr>
            </w:pPr>
            <w:r>
              <w:rPr>
                <w:rFonts w:ascii="黑体" w:eastAsia="黑体" w:hAnsi="黑体" w:hint="eastAsia"/>
                <w:sz w:val="20"/>
                <w:szCs w:val="20"/>
              </w:rPr>
              <w:t>必须大于0。</w:t>
            </w:r>
          </w:p>
          <w:p w14:paraId="017F8C82" w14:textId="77777777" w:rsidR="00A052DC" w:rsidRDefault="009F0A60">
            <w:pPr>
              <w:rPr>
                <w:rFonts w:ascii="黑体" w:eastAsia="黑体" w:hAnsi="黑体"/>
                <w:sz w:val="20"/>
                <w:szCs w:val="20"/>
              </w:rPr>
            </w:pPr>
            <w:r>
              <w:rPr>
                <w:rFonts w:ascii="黑体" w:eastAsia="黑体" w:hAnsi="黑体" w:hint="eastAsia"/>
                <w:sz w:val="20"/>
                <w:szCs w:val="20"/>
              </w:rPr>
              <w:t>无小数位。</w:t>
            </w:r>
          </w:p>
        </w:tc>
      </w:tr>
      <w:tr w:rsidR="00A052DC" w14:paraId="3C319889" w14:textId="77777777">
        <w:tc>
          <w:tcPr>
            <w:tcW w:w="1418" w:type="dxa"/>
          </w:tcPr>
          <w:p w14:paraId="09865D8C" w14:textId="77777777" w:rsidR="00A052DC" w:rsidRDefault="009F0A60">
            <w:pPr>
              <w:rPr>
                <w:rFonts w:ascii="黑体" w:eastAsia="黑体" w:hAnsi="黑体"/>
                <w:sz w:val="20"/>
                <w:szCs w:val="20"/>
              </w:rPr>
            </w:pPr>
            <w:r>
              <w:rPr>
                <w:rFonts w:ascii="黑体" w:eastAsia="黑体" w:hAnsi="黑体" w:hint="eastAsia"/>
                <w:sz w:val="20"/>
                <w:szCs w:val="20"/>
              </w:rPr>
              <w:t>EXRATE</w:t>
            </w:r>
          </w:p>
        </w:tc>
        <w:tc>
          <w:tcPr>
            <w:tcW w:w="1701" w:type="dxa"/>
          </w:tcPr>
          <w:p w14:paraId="02BF8696" w14:textId="77777777" w:rsidR="00A052DC" w:rsidRDefault="009F0A60">
            <w:pPr>
              <w:rPr>
                <w:rFonts w:ascii="黑体" w:eastAsia="黑体" w:hAnsi="黑体"/>
                <w:sz w:val="20"/>
                <w:szCs w:val="20"/>
              </w:rPr>
            </w:pPr>
            <w:r>
              <w:rPr>
                <w:rFonts w:ascii="黑体" w:eastAsia="黑体" w:hAnsi="黑体" w:hint="eastAsia"/>
                <w:sz w:val="20"/>
                <w:szCs w:val="20"/>
              </w:rPr>
              <w:t>购汇汇率</w:t>
            </w:r>
          </w:p>
        </w:tc>
        <w:tc>
          <w:tcPr>
            <w:tcW w:w="1418" w:type="dxa"/>
          </w:tcPr>
          <w:p w14:paraId="089AE59A" w14:textId="77777777" w:rsidR="00A052DC" w:rsidRDefault="009F0A60">
            <w:pPr>
              <w:rPr>
                <w:rFonts w:ascii="黑体" w:eastAsia="黑体" w:hAnsi="黑体"/>
                <w:sz w:val="20"/>
                <w:szCs w:val="20"/>
              </w:rPr>
            </w:pPr>
            <w:r>
              <w:rPr>
                <w:rFonts w:ascii="黑体" w:eastAsia="黑体" w:hAnsi="黑体" w:hint="eastAsia"/>
                <w:sz w:val="20"/>
                <w:szCs w:val="20"/>
              </w:rPr>
              <w:t>数值型，13.8</w:t>
            </w:r>
          </w:p>
        </w:tc>
        <w:tc>
          <w:tcPr>
            <w:tcW w:w="4110" w:type="dxa"/>
          </w:tcPr>
          <w:p w14:paraId="3966EA26" w14:textId="77777777" w:rsidR="00A052DC" w:rsidRDefault="009F0A60">
            <w:pPr>
              <w:rPr>
                <w:rFonts w:ascii="黑体" w:eastAsia="黑体" w:hAnsi="黑体"/>
                <w:sz w:val="20"/>
                <w:szCs w:val="20"/>
              </w:rPr>
            </w:pPr>
            <w:r>
              <w:rPr>
                <w:rFonts w:ascii="黑体" w:eastAsia="黑体" w:hAnsi="黑体" w:hint="eastAsia"/>
                <w:sz w:val="20"/>
                <w:szCs w:val="20"/>
              </w:rPr>
              <w:t>当购汇金额大于0时必填，否则不应该填写。</w:t>
            </w:r>
          </w:p>
        </w:tc>
      </w:tr>
      <w:tr w:rsidR="00A052DC" w14:paraId="306E542D" w14:textId="77777777">
        <w:tc>
          <w:tcPr>
            <w:tcW w:w="1418" w:type="dxa"/>
          </w:tcPr>
          <w:p w14:paraId="55B5A5D2" w14:textId="77777777" w:rsidR="00A052DC" w:rsidRDefault="009F0A60">
            <w:pPr>
              <w:rPr>
                <w:rFonts w:ascii="黑体" w:eastAsia="黑体" w:hAnsi="黑体"/>
                <w:sz w:val="20"/>
                <w:szCs w:val="20"/>
              </w:rPr>
            </w:pPr>
            <w:r>
              <w:rPr>
                <w:rFonts w:ascii="黑体" w:eastAsia="黑体" w:hAnsi="黑体" w:hint="eastAsia"/>
                <w:sz w:val="20"/>
                <w:szCs w:val="20"/>
              </w:rPr>
              <w:t>LCYAMT</w:t>
            </w:r>
          </w:p>
        </w:tc>
        <w:tc>
          <w:tcPr>
            <w:tcW w:w="1701" w:type="dxa"/>
          </w:tcPr>
          <w:p w14:paraId="34A75244" w14:textId="77777777" w:rsidR="00A052DC" w:rsidRDefault="009F0A60">
            <w:pPr>
              <w:rPr>
                <w:rFonts w:ascii="黑体" w:eastAsia="黑体" w:hAnsi="黑体"/>
                <w:sz w:val="20"/>
                <w:szCs w:val="20"/>
              </w:rPr>
            </w:pPr>
            <w:r>
              <w:rPr>
                <w:rFonts w:ascii="黑体" w:eastAsia="黑体" w:hAnsi="黑体" w:hint="eastAsia"/>
                <w:sz w:val="20"/>
                <w:szCs w:val="20"/>
              </w:rPr>
              <w:t>购汇金额</w:t>
            </w:r>
          </w:p>
        </w:tc>
        <w:tc>
          <w:tcPr>
            <w:tcW w:w="1418" w:type="dxa"/>
          </w:tcPr>
          <w:p w14:paraId="120BC08A" w14:textId="77777777" w:rsidR="00A052DC" w:rsidRDefault="009F0A60">
            <w:pPr>
              <w:rPr>
                <w:rFonts w:ascii="黑体" w:eastAsia="黑体" w:hAnsi="黑体"/>
                <w:sz w:val="20"/>
                <w:szCs w:val="20"/>
              </w:rPr>
            </w:pPr>
            <w:r>
              <w:rPr>
                <w:rFonts w:ascii="黑体" w:eastAsia="黑体" w:hAnsi="黑体" w:hint="eastAsia"/>
                <w:sz w:val="20"/>
                <w:szCs w:val="20"/>
              </w:rPr>
              <w:t>数值型，22.0</w:t>
            </w:r>
          </w:p>
        </w:tc>
        <w:tc>
          <w:tcPr>
            <w:tcW w:w="4110" w:type="dxa"/>
          </w:tcPr>
          <w:p w14:paraId="67E62CB2" w14:textId="77777777" w:rsidR="00A052DC" w:rsidRDefault="00DD6AA3">
            <w:pPr>
              <w:rPr>
                <w:rFonts w:ascii="黑体" w:eastAsia="黑体" w:hAnsi="黑体"/>
                <w:sz w:val="20"/>
                <w:szCs w:val="20"/>
              </w:rPr>
            </w:pPr>
            <w:r>
              <w:rPr>
                <w:rFonts w:ascii="黑体" w:eastAsia="黑体" w:hAnsi="黑体" w:hint="eastAsia"/>
                <w:sz w:val="20"/>
                <w:szCs w:val="20"/>
              </w:rPr>
              <w:t>非必填项</w:t>
            </w:r>
            <w:r w:rsidR="009F0A60">
              <w:rPr>
                <w:rFonts w:ascii="黑体" w:eastAsia="黑体" w:hAnsi="黑体" w:hint="eastAsia"/>
                <w:sz w:val="20"/>
                <w:szCs w:val="20"/>
              </w:rPr>
              <w:t>，但不能小于0。</w:t>
            </w:r>
          </w:p>
          <w:p w14:paraId="044D9C35" w14:textId="77777777" w:rsidR="00A052DC" w:rsidRDefault="009F0A60">
            <w:pPr>
              <w:rPr>
                <w:rFonts w:ascii="黑体" w:eastAsia="黑体" w:hAnsi="黑体"/>
                <w:sz w:val="20"/>
                <w:szCs w:val="20"/>
              </w:rPr>
            </w:pPr>
            <w:r>
              <w:rPr>
                <w:rFonts w:ascii="黑体" w:eastAsia="黑体" w:hAnsi="黑体" w:hint="eastAsia"/>
                <w:sz w:val="20"/>
                <w:szCs w:val="20"/>
              </w:rPr>
              <w:t>若账号不为空则对应金额必须&gt;0；若金额&gt;0，则对应账号不能为空。</w:t>
            </w:r>
          </w:p>
        </w:tc>
      </w:tr>
      <w:tr w:rsidR="00A052DC" w14:paraId="1340174A" w14:textId="77777777">
        <w:tc>
          <w:tcPr>
            <w:tcW w:w="1418" w:type="dxa"/>
          </w:tcPr>
          <w:p w14:paraId="13A021A9" w14:textId="77777777" w:rsidR="00A052DC" w:rsidRDefault="009F0A60">
            <w:pPr>
              <w:rPr>
                <w:rFonts w:ascii="黑体" w:eastAsia="黑体" w:hAnsi="黑体"/>
                <w:sz w:val="20"/>
                <w:szCs w:val="20"/>
              </w:rPr>
            </w:pPr>
            <w:r>
              <w:rPr>
                <w:rFonts w:ascii="黑体" w:eastAsia="黑体" w:hAnsi="黑体" w:hint="eastAsia"/>
                <w:sz w:val="20"/>
                <w:szCs w:val="20"/>
              </w:rPr>
              <w:t>LCYACC</w:t>
            </w:r>
          </w:p>
        </w:tc>
        <w:tc>
          <w:tcPr>
            <w:tcW w:w="1701" w:type="dxa"/>
          </w:tcPr>
          <w:p w14:paraId="013805AC" w14:textId="77777777" w:rsidR="00A052DC" w:rsidRDefault="009F0A60">
            <w:pPr>
              <w:rPr>
                <w:rFonts w:ascii="黑体" w:eastAsia="黑体" w:hAnsi="黑体"/>
                <w:sz w:val="20"/>
                <w:szCs w:val="20"/>
              </w:rPr>
            </w:pPr>
            <w:r>
              <w:rPr>
                <w:rFonts w:ascii="黑体" w:eastAsia="黑体" w:hAnsi="黑体" w:hint="eastAsia"/>
                <w:sz w:val="20"/>
                <w:szCs w:val="20"/>
              </w:rPr>
              <w:t>人民币账号/银行卡号</w:t>
            </w:r>
          </w:p>
        </w:tc>
        <w:tc>
          <w:tcPr>
            <w:tcW w:w="1418" w:type="dxa"/>
          </w:tcPr>
          <w:p w14:paraId="5D3E5094" w14:textId="77777777" w:rsidR="00A052DC" w:rsidRDefault="009F0A60">
            <w:pPr>
              <w:rPr>
                <w:rFonts w:ascii="黑体" w:eastAsia="黑体" w:hAnsi="黑体"/>
                <w:sz w:val="20"/>
                <w:szCs w:val="20"/>
              </w:rPr>
            </w:pPr>
            <w:r>
              <w:rPr>
                <w:rFonts w:ascii="黑体" w:eastAsia="黑体" w:hAnsi="黑体" w:hint="eastAsia"/>
                <w:sz w:val="20"/>
                <w:szCs w:val="20"/>
              </w:rPr>
              <w:t>字符型，32</w:t>
            </w:r>
          </w:p>
        </w:tc>
        <w:tc>
          <w:tcPr>
            <w:tcW w:w="4110" w:type="dxa"/>
          </w:tcPr>
          <w:p w14:paraId="3AA62757" w14:textId="77777777" w:rsidR="00A052DC" w:rsidRDefault="009F0A60">
            <w:pPr>
              <w:rPr>
                <w:rFonts w:ascii="黑体" w:eastAsia="黑体" w:hAnsi="黑体"/>
                <w:sz w:val="20"/>
                <w:szCs w:val="20"/>
              </w:rPr>
            </w:pPr>
            <w:r>
              <w:rPr>
                <w:rFonts w:ascii="黑体" w:eastAsia="黑体" w:hAnsi="黑体" w:hint="eastAsia"/>
                <w:sz w:val="20"/>
                <w:szCs w:val="20"/>
              </w:rPr>
              <w:t>购汇金额、购汇汇率、购汇账号三个或同时空或同时有值。</w:t>
            </w:r>
          </w:p>
        </w:tc>
      </w:tr>
      <w:tr w:rsidR="00A052DC" w14:paraId="46E03FAF" w14:textId="77777777">
        <w:tc>
          <w:tcPr>
            <w:tcW w:w="1418" w:type="dxa"/>
          </w:tcPr>
          <w:p w14:paraId="1CCA2DD4" w14:textId="77777777" w:rsidR="00A052DC" w:rsidRDefault="009F0A60">
            <w:pPr>
              <w:rPr>
                <w:rFonts w:ascii="黑体" w:eastAsia="黑体" w:hAnsi="黑体"/>
                <w:sz w:val="20"/>
                <w:szCs w:val="20"/>
              </w:rPr>
            </w:pPr>
            <w:r>
              <w:rPr>
                <w:rFonts w:ascii="黑体" w:eastAsia="黑体" w:hAnsi="黑体" w:hint="eastAsia"/>
                <w:sz w:val="20"/>
                <w:szCs w:val="20"/>
              </w:rPr>
              <w:t>FCYAMT</w:t>
            </w:r>
          </w:p>
        </w:tc>
        <w:tc>
          <w:tcPr>
            <w:tcW w:w="1701" w:type="dxa"/>
          </w:tcPr>
          <w:p w14:paraId="134CDD7C" w14:textId="77777777" w:rsidR="00A052DC" w:rsidRDefault="009F0A60">
            <w:pPr>
              <w:rPr>
                <w:rFonts w:ascii="黑体" w:eastAsia="黑体" w:hAnsi="黑体"/>
                <w:sz w:val="20"/>
                <w:szCs w:val="20"/>
              </w:rPr>
            </w:pPr>
            <w:r>
              <w:rPr>
                <w:rFonts w:ascii="黑体" w:eastAsia="黑体" w:hAnsi="黑体" w:hint="eastAsia"/>
                <w:sz w:val="20"/>
                <w:szCs w:val="20"/>
              </w:rPr>
              <w:t>现汇金额</w:t>
            </w:r>
          </w:p>
          <w:p w14:paraId="06D98BC2" w14:textId="77777777" w:rsidR="00A052DC" w:rsidRDefault="00A052DC">
            <w:pPr>
              <w:rPr>
                <w:rFonts w:ascii="黑体" w:eastAsia="黑体" w:hAnsi="黑体"/>
                <w:sz w:val="20"/>
                <w:szCs w:val="20"/>
              </w:rPr>
            </w:pPr>
          </w:p>
        </w:tc>
        <w:tc>
          <w:tcPr>
            <w:tcW w:w="1418" w:type="dxa"/>
          </w:tcPr>
          <w:p w14:paraId="62D33D4F" w14:textId="77777777" w:rsidR="00A052DC" w:rsidRDefault="009F0A60">
            <w:pPr>
              <w:rPr>
                <w:rFonts w:ascii="黑体" w:eastAsia="黑体" w:hAnsi="黑体"/>
                <w:sz w:val="20"/>
                <w:szCs w:val="20"/>
              </w:rPr>
            </w:pPr>
            <w:r>
              <w:rPr>
                <w:rFonts w:ascii="黑体" w:eastAsia="黑体" w:hAnsi="黑体" w:hint="eastAsia"/>
                <w:sz w:val="20"/>
                <w:szCs w:val="20"/>
              </w:rPr>
              <w:t>数值型，22.0</w:t>
            </w:r>
          </w:p>
        </w:tc>
        <w:tc>
          <w:tcPr>
            <w:tcW w:w="4110" w:type="dxa"/>
          </w:tcPr>
          <w:p w14:paraId="5CE3E381" w14:textId="77777777" w:rsidR="00A052DC" w:rsidRDefault="00DD6AA3">
            <w:pPr>
              <w:rPr>
                <w:rFonts w:ascii="黑体" w:eastAsia="黑体" w:hAnsi="黑体"/>
                <w:sz w:val="20"/>
                <w:szCs w:val="20"/>
              </w:rPr>
            </w:pPr>
            <w:r>
              <w:rPr>
                <w:rFonts w:ascii="黑体" w:eastAsia="黑体" w:hAnsi="黑体" w:hint="eastAsia"/>
                <w:sz w:val="20"/>
                <w:szCs w:val="20"/>
              </w:rPr>
              <w:t>非必填项</w:t>
            </w:r>
            <w:r w:rsidR="009F0A60">
              <w:rPr>
                <w:rFonts w:ascii="黑体" w:eastAsia="黑体" w:hAnsi="黑体" w:hint="eastAsia"/>
                <w:sz w:val="20"/>
                <w:szCs w:val="20"/>
              </w:rPr>
              <w:t>，但不能小于0。</w:t>
            </w:r>
          </w:p>
          <w:p w14:paraId="2D9BA39B" w14:textId="77777777" w:rsidR="00A052DC" w:rsidRDefault="009F0A60">
            <w:pPr>
              <w:rPr>
                <w:rFonts w:ascii="黑体" w:eastAsia="黑体" w:hAnsi="黑体"/>
                <w:sz w:val="20"/>
                <w:szCs w:val="20"/>
              </w:rPr>
            </w:pPr>
            <w:r>
              <w:rPr>
                <w:rFonts w:ascii="黑体" w:eastAsia="黑体" w:hAnsi="黑体" w:hint="eastAsia"/>
                <w:sz w:val="20"/>
                <w:szCs w:val="20"/>
              </w:rPr>
              <w:t>若账号不为空</w:t>
            </w:r>
            <w:r w:rsidR="00A769EC">
              <w:rPr>
                <w:rFonts w:ascii="黑体" w:eastAsia="黑体" w:hAnsi="黑体" w:hint="eastAsia"/>
                <w:sz w:val="20"/>
                <w:szCs w:val="20"/>
              </w:rPr>
              <w:t>，</w:t>
            </w:r>
            <w:r>
              <w:rPr>
                <w:rFonts w:ascii="黑体" w:eastAsia="黑体" w:hAnsi="黑体" w:hint="eastAsia"/>
                <w:sz w:val="20"/>
                <w:szCs w:val="20"/>
              </w:rPr>
              <w:t>则对应金额必须&gt;0；若金额&gt;0，则对应账号不能为空。</w:t>
            </w:r>
          </w:p>
        </w:tc>
      </w:tr>
      <w:tr w:rsidR="00A052DC" w14:paraId="0666D138" w14:textId="77777777">
        <w:tc>
          <w:tcPr>
            <w:tcW w:w="1418" w:type="dxa"/>
          </w:tcPr>
          <w:p w14:paraId="23F7F644" w14:textId="77777777" w:rsidR="00A052DC" w:rsidRDefault="009F0A60">
            <w:pPr>
              <w:rPr>
                <w:rFonts w:ascii="黑体" w:eastAsia="黑体" w:hAnsi="黑体"/>
                <w:sz w:val="20"/>
                <w:szCs w:val="20"/>
              </w:rPr>
            </w:pPr>
            <w:r>
              <w:rPr>
                <w:rFonts w:ascii="黑体" w:eastAsia="黑体" w:hAnsi="黑体" w:hint="eastAsia"/>
                <w:sz w:val="20"/>
                <w:szCs w:val="20"/>
              </w:rPr>
              <w:t>FCYACC</w:t>
            </w:r>
          </w:p>
        </w:tc>
        <w:tc>
          <w:tcPr>
            <w:tcW w:w="1701" w:type="dxa"/>
          </w:tcPr>
          <w:p w14:paraId="7AAF526F" w14:textId="77777777" w:rsidR="00A052DC" w:rsidRDefault="009F0A60">
            <w:pPr>
              <w:rPr>
                <w:rFonts w:ascii="黑体" w:eastAsia="黑体" w:hAnsi="黑体"/>
                <w:sz w:val="20"/>
                <w:szCs w:val="20"/>
              </w:rPr>
            </w:pPr>
            <w:r>
              <w:rPr>
                <w:rFonts w:ascii="黑体" w:eastAsia="黑体" w:hAnsi="黑体" w:hint="eastAsia"/>
                <w:sz w:val="20"/>
                <w:szCs w:val="20"/>
              </w:rPr>
              <w:t>外汇账号/银行卡号</w:t>
            </w:r>
          </w:p>
        </w:tc>
        <w:tc>
          <w:tcPr>
            <w:tcW w:w="1418" w:type="dxa"/>
          </w:tcPr>
          <w:p w14:paraId="32FA7452" w14:textId="77777777" w:rsidR="00A052DC" w:rsidRDefault="009F0A60">
            <w:pPr>
              <w:rPr>
                <w:rFonts w:ascii="黑体" w:eastAsia="黑体" w:hAnsi="黑体"/>
                <w:sz w:val="20"/>
                <w:szCs w:val="20"/>
              </w:rPr>
            </w:pPr>
            <w:r>
              <w:rPr>
                <w:rFonts w:ascii="黑体" w:eastAsia="黑体" w:hAnsi="黑体" w:hint="eastAsia"/>
                <w:sz w:val="20"/>
                <w:szCs w:val="20"/>
              </w:rPr>
              <w:t>字符型，32</w:t>
            </w:r>
          </w:p>
        </w:tc>
        <w:tc>
          <w:tcPr>
            <w:tcW w:w="4110" w:type="dxa"/>
          </w:tcPr>
          <w:p w14:paraId="4D4D3B57" w14:textId="77777777" w:rsidR="00A052DC" w:rsidRDefault="009F0A60">
            <w:pPr>
              <w:rPr>
                <w:rFonts w:ascii="黑体" w:eastAsia="黑体" w:hAnsi="黑体"/>
                <w:sz w:val="20"/>
                <w:szCs w:val="20"/>
              </w:rPr>
            </w:pPr>
            <w:r>
              <w:rPr>
                <w:rFonts w:ascii="黑体" w:eastAsia="黑体" w:hAnsi="黑体" w:hint="eastAsia"/>
                <w:sz w:val="20"/>
                <w:szCs w:val="20"/>
              </w:rPr>
              <w:t>如果有现汇金额，则该字段不能为空。</w:t>
            </w:r>
          </w:p>
          <w:p w14:paraId="26EA525F" w14:textId="77777777" w:rsidR="00A052DC" w:rsidRDefault="009F0A60">
            <w:pPr>
              <w:rPr>
                <w:rFonts w:ascii="黑体" w:eastAsia="黑体" w:hAnsi="黑体"/>
                <w:sz w:val="20"/>
                <w:szCs w:val="20"/>
              </w:rPr>
            </w:pPr>
            <w:r>
              <w:rPr>
                <w:rFonts w:ascii="黑体" w:eastAsia="黑体" w:hAnsi="黑体" w:hint="eastAsia"/>
                <w:sz w:val="20"/>
                <w:szCs w:val="20"/>
              </w:rPr>
              <w:t>若账号不为空</w:t>
            </w:r>
            <w:r w:rsidR="00A769EC">
              <w:rPr>
                <w:rFonts w:ascii="黑体" w:eastAsia="黑体" w:hAnsi="黑体" w:hint="eastAsia"/>
                <w:sz w:val="20"/>
                <w:szCs w:val="20"/>
              </w:rPr>
              <w:t>，</w:t>
            </w:r>
            <w:r>
              <w:rPr>
                <w:rFonts w:ascii="黑体" w:eastAsia="黑体" w:hAnsi="黑体" w:hint="eastAsia"/>
                <w:sz w:val="20"/>
                <w:szCs w:val="20"/>
              </w:rPr>
              <w:t>则对应金额必须&gt;0；若金额&gt;0，则对应账号不能为空。</w:t>
            </w:r>
          </w:p>
        </w:tc>
      </w:tr>
      <w:tr w:rsidR="00A052DC" w14:paraId="7B482899" w14:textId="77777777">
        <w:tc>
          <w:tcPr>
            <w:tcW w:w="1418" w:type="dxa"/>
          </w:tcPr>
          <w:p w14:paraId="3175087E" w14:textId="77777777" w:rsidR="00A052DC" w:rsidRDefault="009F0A60">
            <w:pPr>
              <w:rPr>
                <w:rFonts w:ascii="黑体" w:eastAsia="黑体" w:hAnsi="黑体"/>
                <w:sz w:val="20"/>
                <w:szCs w:val="20"/>
              </w:rPr>
            </w:pPr>
            <w:r>
              <w:rPr>
                <w:rFonts w:ascii="黑体" w:eastAsia="黑体" w:hAnsi="黑体" w:hint="eastAsia"/>
                <w:sz w:val="20"/>
                <w:szCs w:val="20"/>
              </w:rPr>
              <w:t>OTHAMT</w:t>
            </w:r>
          </w:p>
        </w:tc>
        <w:tc>
          <w:tcPr>
            <w:tcW w:w="1701" w:type="dxa"/>
          </w:tcPr>
          <w:p w14:paraId="71D3979F" w14:textId="77777777" w:rsidR="00A052DC" w:rsidRDefault="0021563C">
            <w:pPr>
              <w:rPr>
                <w:rFonts w:ascii="黑体" w:eastAsia="黑体" w:hAnsi="黑体"/>
                <w:sz w:val="20"/>
                <w:szCs w:val="20"/>
              </w:rPr>
            </w:pPr>
            <w:r>
              <w:rPr>
                <w:rFonts w:ascii="黑体" w:eastAsia="黑体" w:hAnsi="黑体" w:hint="eastAsia"/>
                <w:sz w:val="20"/>
                <w:szCs w:val="20"/>
              </w:rPr>
              <w:t>其他</w:t>
            </w:r>
            <w:r w:rsidR="009F0A60">
              <w:rPr>
                <w:rFonts w:ascii="黑体" w:eastAsia="黑体" w:hAnsi="黑体" w:hint="eastAsia"/>
                <w:sz w:val="20"/>
                <w:szCs w:val="20"/>
              </w:rPr>
              <w:t>金额</w:t>
            </w:r>
          </w:p>
        </w:tc>
        <w:tc>
          <w:tcPr>
            <w:tcW w:w="1418" w:type="dxa"/>
          </w:tcPr>
          <w:p w14:paraId="5D6CA466" w14:textId="77777777" w:rsidR="00A052DC" w:rsidRDefault="009F0A60">
            <w:pPr>
              <w:rPr>
                <w:rFonts w:ascii="黑体" w:eastAsia="黑体" w:hAnsi="黑体"/>
                <w:sz w:val="20"/>
                <w:szCs w:val="20"/>
              </w:rPr>
            </w:pPr>
            <w:r>
              <w:rPr>
                <w:rFonts w:ascii="黑体" w:eastAsia="黑体" w:hAnsi="黑体" w:hint="eastAsia"/>
                <w:sz w:val="20"/>
                <w:szCs w:val="20"/>
              </w:rPr>
              <w:t>数值型，22.0</w:t>
            </w:r>
          </w:p>
        </w:tc>
        <w:tc>
          <w:tcPr>
            <w:tcW w:w="4110" w:type="dxa"/>
          </w:tcPr>
          <w:p w14:paraId="2BEBBDCA" w14:textId="77777777" w:rsidR="00A052DC" w:rsidRDefault="00DD6AA3">
            <w:pPr>
              <w:rPr>
                <w:rFonts w:ascii="黑体" w:eastAsia="黑体" w:hAnsi="黑体"/>
                <w:sz w:val="20"/>
                <w:szCs w:val="20"/>
              </w:rPr>
            </w:pPr>
            <w:r>
              <w:rPr>
                <w:rFonts w:ascii="黑体" w:eastAsia="黑体" w:hAnsi="黑体" w:hint="eastAsia"/>
                <w:sz w:val="20"/>
                <w:szCs w:val="20"/>
              </w:rPr>
              <w:t>非必填项</w:t>
            </w:r>
            <w:r w:rsidR="009F0A60">
              <w:rPr>
                <w:rFonts w:ascii="黑体" w:eastAsia="黑体" w:hAnsi="黑体" w:hint="eastAsia"/>
                <w:sz w:val="20"/>
                <w:szCs w:val="20"/>
              </w:rPr>
              <w:t>，但不能小于0。</w:t>
            </w:r>
          </w:p>
          <w:p w14:paraId="0DDCB4F8" w14:textId="77777777" w:rsidR="00A052DC" w:rsidRDefault="009F0A60">
            <w:pPr>
              <w:rPr>
                <w:rFonts w:ascii="黑体" w:eastAsia="黑体" w:hAnsi="黑体"/>
                <w:sz w:val="20"/>
                <w:szCs w:val="20"/>
              </w:rPr>
            </w:pPr>
            <w:r>
              <w:rPr>
                <w:rFonts w:ascii="黑体" w:eastAsia="黑体" w:hAnsi="黑体" w:hint="eastAsia"/>
                <w:sz w:val="20"/>
                <w:szCs w:val="20"/>
              </w:rPr>
              <w:t>有</w:t>
            </w:r>
            <w:r w:rsidR="0021563C">
              <w:rPr>
                <w:rFonts w:ascii="黑体" w:eastAsia="黑体" w:hAnsi="黑体" w:hint="eastAsia"/>
                <w:sz w:val="20"/>
                <w:szCs w:val="20"/>
              </w:rPr>
              <w:t>其他</w:t>
            </w:r>
            <w:r>
              <w:rPr>
                <w:rFonts w:ascii="黑体" w:eastAsia="黑体" w:hAnsi="黑体" w:hint="eastAsia"/>
                <w:sz w:val="20"/>
                <w:szCs w:val="20"/>
              </w:rPr>
              <w:t>账号则</w:t>
            </w:r>
            <w:r w:rsidR="0021563C">
              <w:rPr>
                <w:rFonts w:ascii="黑体" w:eastAsia="黑体" w:hAnsi="黑体" w:hint="eastAsia"/>
                <w:sz w:val="20"/>
                <w:szCs w:val="20"/>
              </w:rPr>
              <w:t>其他</w:t>
            </w:r>
            <w:r>
              <w:rPr>
                <w:rFonts w:ascii="黑体" w:eastAsia="黑体" w:hAnsi="黑体" w:hint="eastAsia"/>
                <w:sz w:val="20"/>
                <w:szCs w:val="20"/>
              </w:rPr>
              <w:t>金额必填。</w:t>
            </w:r>
          </w:p>
          <w:p w14:paraId="6717459D" w14:textId="77777777" w:rsidR="00A052DC" w:rsidRDefault="009F0A60">
            <w:pPr>
              <w:rPr>
                <w:rFonts w:ascii="黑体" w:eastAsia="黑体" w:hAnsi="黑体"/>
                <w:sz w:val="20"/>
                <w:szCs w:val="20"/>
              </w:rPr>
            </w:pPr>
            <w:r>
              <w:rPr>
                <w:rFonts w:ascii="黑体" w:eastAsia="黑体" w:hAnsi="黑体" w:hint="eastAsia"/>
                <w:sz w:val="20"/>
                <w:szCs w:val="20"/>
              </w:rPr>
              <w:t>购汇金额,现汇金额,</w:t>
            </w:r>
            <w:r w:rsidR="0021563C">
              <w:rPr>
                <w:rFonts w:ascii="黑体" w:eastAsia="黑体" w:hAnsi="黑体" w:hint="eastAsia"/>
                <w:sz w:val="20"/>
                <w:szCs w:val="20"/>
              </w:rPr>
              <w:t>其他</w:t>
            </w:r>
            <w:r>
              <w:rPr>
                <w:rFonts w:ascii="黑体" w:eastAsia="黑体" w:hAnsi="黑体" w:hint="eastAsia"/>
                <w:sz w:val="20"/>
                <w:szCs w:val="20"/>
              </w:rPr>
              <w:t>金额至少输入一项。</w:t>
            </w:r>
          </w:p>
          <w:p w14:paraId="02D688BB" w14:textId="77777777" w:rsidR="00A052DC" w:rsidRDefault="009F0A60">
            <w:pPr>
              <w:rPr>
                <w:rFonts w:ascii="黑体" w:eastAsia="黑体" w:hAnsi="黑体"/>
                <w:sz w:val="20"/>
                <w:szCs w:val="20"/>
              </w:rPr>
            </w:pPr>
            <w:r>
              <w:rPr>
                <w:rFonts w:ascii="黑体" w:eastAsia="黑体" w:hAnsi="黑体" w:hint="eastAsia"/>
                <w:sz w:val="20"/>
                <w:szCs w:val="20"/>
              </w:rPr>
              <w:t>购汇金额、现汇金额、</w:t>
            </w:r>
            <w:r w:rsidR="0021563C">
              <w:rPr>
                <w:rFonts w:ascii="黑体" w:eastAsia="黑体" w:hAnsi="黑体" w:hint="eastAsia"/>
                <w:sz w:val="20"/>
                <w:szCs w:val="20"/>
              </w:rPr>
              <w:t>其他</w:t>
            </w:r>
            <w:r>
              <w:rPr>
                <w:rFonts w:ascii="黑体" w:eastAsia="黑体" w:hAnsi="黑体" w:hint="eastAsia"/>
                <w:sz w:val="20"/>
                <w:szCs w:val="20"/>
              </w:rPr>
              <w:t>金额之和应等于付款金额。</w:t>
            </w:r>
          </w:p>
        </w:tc>
      </w:tr>
      <w:tr w:rsidR="00A052DC" w14:paraId="5EE99B91" w14:textId="77777777">
        <w:tc>
          <w:tcPr>
            <w:tcW w:w="1418" w:type="dxa"/>
          </w:tcPr>
          <w:p w14:paraId="1A4A7E68" w14:textId="77777777" w:rsidR="00A052DC" w:rsidRDefault="009F0A60">
            <w:pPr>
              <w:rPr>
                <w:rFonts w:ascii="黑体" w:eastAsia="黑体" w:hAnsi="黑体"/>
                <w:sz w:val="20"/>
                <w:szCs w:val="20"/>
              </w:rPr>
            </w:pPr>
            <w:r>
              <w:rPr>
                <w:rFonts w:ascii="黑体" w:eastAsia="黑体" w:hAnsi="黑体" w:hint="eastAsia"/>
                <w:sz w:val="20"/>
                <w:szCs w:val="20"/>
              </w:rPr>
              <w:t>OTHACC</w:t>
            </w:r>
          </w:p>
        </w:tc>
        <w:tc>
          <w:tcPr>
            <w:tcW w:w="1701" w:type="dxa"/>
          </w:tcPr>
          <w:p w14:paraId="36E019E6" w14:textId="77777777" w:rsidR="00A052DC" w:rsidRDefault="0021563C">
            <w:pPr>
              <w:rPr>
                <w:rFonts w:ascii="黑体" w:eastAsia="黑体" w:hAnsi="黑体"/>
                <w:sz w:val="20"/>
                <w:szCs w:val="20"/>
              </w:rPr>
            </w:pPr>
            <w:r>
              <w:rPr>
                <w:rFonts w:ascii="黑体" w:eastAsia="黑体" w:hAnsi="黑体" w:hint="eastAsia"/>
                <w:sz w:val="20"/>
                <w:szCs w:val="20"/>
              </w:rPr>
              <w:t>其他</w:t>
            </w:r>
            <w:r w:rsidR="009F0A60">
              <w:rPr>
                <w:rFonts w:ascii="黑体" w:eastAsia="黑体" w:hAnsi="黑体" w:hint="eastAsia"/>
                <w:sz w:val="20"/>
                <w:szCs w:val="20"/>
              </w:rPr>
              <w:t>账号/银行卡号</w:t>
            </w:r>
          </w:p>
          <w:p w14:paraId="4E4E5649" w14:textId="77777777" w:rsidR="00A052DC" w:rsidRDefault="00A052DC">
            <w:pPr>
              <w:rPr>
                <w:rFonts w:ascii="黑体" w:eastAsia="黑体" w:hAnsi="黑体"/>
                <w:sz w:val="20"/>
                <w:szCs w:val="20"/>
              </w:rPr>
            </w:pPr>
          </w:p>
        </w:tc>
        <w:tc>
          <w:tcPr>
            <w:tcW w:w="1418" w:type="dxa"/>
          </w:tcPr>
          <w:p w14:paraId="2E50FE2B" w14:textId="77777777" w:rsidR="00A052DC" w:rsidRDefault="009F0A60">
            <w:pPr>
              <w:rPr>
                <w:rFonts w:ascii="黑体" w:eastAsia="黑体" w:hAnsi="黑体"/>
                <w:sz w:val="20"/>
                <w:szCs w:val="20"/>
              </w:rPr>
            </w:pPr>
            <w:r>
              <w:rPr>
                <w:rFonts w:ascii="黑体" w:eastAsia="黑体" w:hAnsi="黑体" w:hint="eastAsia"/>
                <w:sz w:val="20"/>
                <w:szCs w:val="20"/>
              </w:rPr>
              <w:t>字符型，32</w:t>
            </w:r>
          </w:p>
        </w:tc>
        <w:tc>
          <w:tcPr>
            <w:tcW w:w="4110" w:type="dxa"/>
          </w:tcPr>
          <w:p w14:paraId="743394AE" w14:textId="77777777" w:rsidR="00A052DC" w:rsidRDefault="009F0A60">
            <w:pPr>
              <w:rPr>
                <w:rFonts w:ascii="黑体" w:eastAsia="黑体" w:hAnsi="黑体"/>
                <w:sz w:val="20"/>
                <w:szCs w:val="20"/>
              </w:rPr>
            </w:pPr>
            <w:r>
              <w:rPr>
                <w:rFonts w:ascii="黑体" w:eastAsia="黑体" w:hAnsi="黑体" w:hint="eastAsia"/>
                <w:sz w:val="20"/>
                <w:szCs w:val="20"/>
              </w:rPr>
              <w:t>如果有其他金额，则该字段不能为空，</w:t>
            </w:r>
          </w:p>
          <w:p w14:paraId="79DBC7FA" w14:textId="77777777" w:rsidR="00A052DC" w:rsidRDefault="009F0A60">
            <w:pPr>
              <w:rPr>
                <w:rFonts w:ascii="黑体" w:eastAsia="黑体" w:hAnsi="黑体"/>
                <w:sz w:val="20"/>
                <w:szCs w:val="20"/>
              </w:rPr>
            </w:pPr>
            <w:r>
              <w:rPr>
                <w:rFonts w:ascii="黑体" w:eastAsia="黑体" w:hAnsi="黑体" w:hint="eastAsia"/>
                <w:sz w:val="20"/>
                <w:szCs w:val="20"/>
              </w:rPr>
              <w:t>其他金额为0，则该字段不应该填写，</w:t>
            </w:r>
          </w:p>
          <w:p w14:paraId="7F93A9E4" w14:textId="77777777" w:rsidR="00A052DC" w:rsidRDefault="0021563C">
            <w:pPr>
              <w:rPr>
                <w:rFonts w:ascii="黑体" w:eastAsia="黑体" w:hAnsi="黑体"/>
                <w:sz w:val="20"/>
                <w:szCs w:val="20"/>
              </w:rPr>
            </w:pPr>
            <w:r>
              <w:rPr>
                <w:rFonts w:ascii="黑体" w:eastAsia="黑体" w:hAnsi="黑体" w:hint="eastAsia"/>
                <w:sz w:val="20"/>
                <w:szCs w:val="20"/>
              </w:rPr>
              <w:t>其他</w:t>
            </w:r>
            <w:r w:rsidR="009F0A60">
              <w:rPr>
                <w:rFonts w:ascii="黑体" w:eastAsia="黑体" w:hAnsi="黑体" w:hint="eastAsia"/>
                <w:sz w:val="20"/>
                <w:szCs w:val="20"/>
              </w:rPr>
              <w:t>金额、</w:t>
            </w:r>
            <w:r>
              <w:rPr>
                <w:rFonts w:ascii="黑体" w:eastAsia="黑体" w:hAnsi="黑体" w:hint="eastAsia"/>
                <w:sz w:val="20"/>
                <w:szCs w:val="20"/>
              </w:rPr>
              <w:t>其他</w:t>
            </w:r>
            <w:r w:rsidR="009F0A60">
              <w:rPr>
                <w:rFonts w:ascii="黑体" w:eastAsia="黑体" w:hAnsi="黑体" w:hint="eastAsia"/>
                <w:sz w:val="20"/>
                <w:szCs w:val="20"/>
              </w:rPr>
              <w:t>账号或同时空，或同时有值。</w:t>
            </w:r>
          </w:p>
        </w:tc>
      </w:tr>
      <w:tr w:rsidR="00A052DC" w14:paraId="250E3C60" w14:textId="77777777">
        <w:tc>
          <w:tcPr>
            <w:tcW w:w="1418" w:type="dxa"/>
          </w:tcPr>
          <w:p w14:paraId="430200BD" w14:textId="77777777" w:rsidR="00A052DC" w:rsidRDefault="009F0A60">
            <w:pPr>
              <w:rPr>
                <w:rFonts w:ascii="黑体" w:eastAsia="黑体" w:hAnsi="黑体"/>
                <w:sz w:val="20"/>
                <w:szCs w:val="20"/>
              </w:rPr>
            </w:pPr>
            <w:r>
              <w:rPr>
                <w:rFonts w:ascii="黑体" w:eastAsia="黑体" w:hAnsi="黑体" w:hint="eastAsia"/>
                <w:sz w:val="20"/>
                <w:szCs w:val="20"/>
              </w:rPr>
              <w:t>METHOD</w:t>
            </w:r>
          </w:p>
        </w:tc>
        <w:tc>
          <w:tcPr>
            <w:tcW w:w="1701" w:type="dxa"/>
          </w:tcPr>
          <w:p w14:paraId="3EE31E30" w14:textId="77777777" w:rsidR="00A052DC" w:rsidRDefault="009F0A60">
            <w:pPr>
              <w:rPr>
                <w:rFonts w:ascii="黑体" w:eastAsia="黑体" w:hAnsi="黑体"/>
                <w:sz w:val="20"/>
                <w:szCs w:val="20"/>
              </w:rPr>
            </w:pPr>
            <w:r>
              <w:rPr>
                <w:rFonts w:ascii="黑体" w:eastAsia="黑体" w:hAnsi="黑体" w:hint="eastAsia"/>
                <w:sz w:val="20"/>
                <w:szCs w:val="20"/>
              </w:rPr>
              <w:t>结算方式</w:t>
            </w:r>
          </w:p>
        </w:tc>
        <w:tc>
          <w:tcPr>
            <w:tcW w:w="1418" w:type="dxa"/>
          </w:tcPr>
          <w:p w14:paraId="2A09F4E0" w14:textId="77777777" w:rsidR="00A052DC" w:rsidRDefault="009F0A60">
            <w:pPr>
              <w:rPr>
                <w:rFonts w:ascii="黑体" w:eastAsia="黑体" w:hAnsi="黑体"/>
                <w:sz w:val="20"/>
                <w:szCs w:val="20"/>
              </w:rPr>
            </w:pPr>
            <w:r>
              <w:rPr>
                <w:rFonts w:ascii="黑体" w:eastAsia="黑体" w:hAnsi="黑体" w:hint="eastAsia"/>
                <w:sz w:val="20"/>
                <w:szCs w:val="20"/>
              </w:rPr>
              <w:t>字符型，1</w:t>
            </w:r>
          </w:p>
        </w:tc>
        <w:tc>
          <w:tcPr>
            <w:tcW w:w="4110" w:type="dxa"/>
          </w:tcPr>
          <w:p w14:paraId="5B03FC41" w14:textId="77777777" w:rsidR="00A052DC" w:rsidRDefault="009F0A60">
            <w:pPr>
              <w:rPr>
                <w:rFonts w:ascii="黑体" w:eastAsia="黑体" w:hAnsi="黑体"/>
                <w:sz w:val="20"/>
                <w:szCs w:val="20"/>
              </w:rPr>
            </w:pPr>
            <w:r>
              <w:rPr>
                <w:rFonts w:ascii="黑体" w:eastAsia="黑体" w:hAnsi="黑体" w:hint="eastAsia"/>
                <w:sz w:val="20"/>
                <w:szCs w:val="20"/>
              </w:rPr>
              <w:t>L</w:t>
            </w:r>
            <w:r w:rsidR="00AE4602">
              <w:rPr>
                <w:rFonts w:ascii="黑体" w:eastAsia="黑体" w:hAnsi="黑体" w:hint="eastAsia"/>
                <w:sz w:val="20"/>
                <w:szCs w:val="20"/>
              </w:rPr>
              <w:t>-</w:t>
            </w:r>
            <w:r>
              <w:rPr>
                <w:rFonts w:ascii="黑体" w:eastAsia="黑体" w:hAnsi="黑体" w:hint="eastAsia"/>
                <w:sz w:val="20"/>
                <w:szCs w:val="20"/>
              </w:rPr>
              <w:t>信用证</w:t>
            </w:r>
          </w:p>
          <w:p w14:paraId="42F1435F" w14:textId="77777777" w:rsidR="00A052DC" w:rsidRDefault="009F0A60">
            <w:pPr>
              <w:rPr>
                <w:rFonts w:ascii="黑体" w:eastAsia="黑体" w:hAnsi="黑体"/>
                <w:sz w:val="20"/>
                <w:szCs w:val="20"/>
              </w:rPr>
            </w:pPr>
            <w:r>
              <w:rPr>
                <w:rFonts w:ascii="黑体" w:eastAsia="黑体" w:hAnsi="黑体" w:hint="eastAsia"/>
                <w:sz w:val="20"/>
                <w:szCs w:val="20"/>
              </w:rPr>
              <w:t>C</w:t>
            </w:r>
            <w:r w:rsidR="00AE4602">
              <w:rPr>
                <w:rFonts w:ascii="黑体" w:eastAsia="黑体" w:hAnsi="黑体" w:hint="eastAsia"/>
                <w:sz w:val="20"/>
                <w:szCs w:val="20"/>
              </w:rPr>
              <w:t>-</w:t>
            </w:r>
            <w:r>
              <w:rPr>
                <w:rFonts w:ascii="黑体" w:eastAsia="黑体" w:hAnsi="黑体" w:hint="eastAsia"/>
                <w:sz w:val="20"/>
                <w:szCs w:val="20"/>
              </w:rPr>
              <w:t>托收</w:t>
            </w:r>
          </w:p>
          <w:p w14:paraId="3CB273B8" w14:textId="77777777" w:rsidR="00A052DC" w:rsidRDefault="009F0A60">
            <w:pPr>
              <w:rPr>
                <w:rFonts w:ascii="黑体" w:eastAsia="黑体" w:hAnsi="黑体"/>
                <w:sz w:val="20"/>
                <w:szCs w:val="20"/>
              </w:rPr>
            </w:pPr>
            <w:r>
              <w:rPr>
                <w:rFonts w:ascii="黑体" w:eastAsia="黑体" w:hAnsi="黑体" w:hint="eastAsia"/>
                <w:sz w:val="20"/>
                <w:szCs w:val="20"/>
              </w:rPr>
              <w:t>O</w:t>
            </w:r>
            <w:r w:rsidR="00AE4602">
              <w:rPr>
                <w:rFonts w:ascii="黑体" w:eastAsia="黑体" w:hAnsi="黑体" w:hint="eastAsia"/>
                <w:sz w:val="20"/>
                <w:szCs w:val="20"/>
              </w:rPr>
              <w:t>-</w:t>
            </w:r>
            <w:r>
              <w:rPr>
                <w:rFonts w:ascii="黑体" w:eastAsia="黑体" w:hAnsi="黑体" w:hint="eastAsia"/>
                <w:sz w:val="20"/>
                <w:szCs w:val="20"/>
              </w:rPr>
              <w:t>其他</w:t>
            </w:r>
          </w:p>
        </w:tc>
      </w:tr>
      <w:tr w:rsidR="00A052DC" w14:paraId="77BEA33C" w14:textId="77777777">
        <w:tc>
          <w:tcPr>
            <w:tcW w:w="1418" w:type="dxa"/>
          </w:tcPr>
          <w:p w14:paraId="2E2F033F" w14:textId="77777777" w:rsidR="00A052DC" w:rsidRDefault="009F0A60">
            <w:pPr>
              <w:rPr>
                <w:rFonts w:ascii="黑体" w:eastAsia="黑体" w:hAnsi="黑体"/>
                <w:sz w:val="20"/>
                <w:szCs w:val="20"/>
              </w:rPr>
            </w:pPr>
            <w:r>
              <w:rPr>
                <w:rFonts w:ascii="黑体" w:eastAsia="黑体" w:hAnsi="黑体" w:hint="eastAsia"/>
                <w:sz w:val="20"/>
                <w:szCs w:val="20"/>
              </w:rPr>
              <w:t>BUSCODE</w:t>
            </w:r>
          </w:p>
        </w:tc>
        <w:tc>
          <w:tcPr>
            <w:tcW w:w="1701" w:type="dxa"/>
          </w:tcPr>
          <w:p w14:paraId="5C9C4F97" w14:textId="77777777" w:rsidR="00A052DC" w:rsidRDefault="009F0A60">
            <w:pPr>
              <w:rPr>
                <w:rFonts w:ascii="黑体" w:eastAsia="黑体" w:hAnsi="黑体"/>
                <w:sz w:val="20"/>
                <w:szCs w:val="20"/>
              </w:rPr>
            </w:pPr>
            <w:r>
              <w:rPr>
                <w:rFonts w:ascii="黑体" w:eastAsia="黑体" w:hAnsi="黑体" w:hint="eastAsia"/>
                <w:sz w:val="20"/>
                <w:szCs w:val="20"/>
              </w:rPr>
              <w:t>银行业务编号</w:t>
            </w:r>
          </w:p>
        </w:tc>
        <w:tc>
          <w:tcPr>
            <w:tcW w:w="1418" w:type="dxa"/>
          </w:tcPr>
          <w:p w14:paraId="73A64D89" w14:textId="77777777" w:rsidR="00A052DC" w:rsidRDefault="009F0A60">
            <w:pPr>
              <w:rPr>
                <w:rFonts w:ascii="黑体" w:eastAsia="黑体" w:hAnsi="黑体"/>
                <w:sz w:val="20"/>
                <w:szCs w:val="20"/>
              </w:rPr>
            </w:pPr>
            <w:r>
              <w:rPr>
                <w:rFonts w:ascii="黑体" w:eastAsia="黑体" w:hAnsi="黑体" w:hint="eastAsia"/>
                <w:sz w:val="20"/>
                <w:szCs w:val="20"/>
              </w:rPr>
              <w:t>字符型，22</w:t>
            </w:r>
          </w:p>
        </w:tc>
        <w:tc>
          <w:tcPr>
            <w:tcW w:w="4110" w:type="dxa"/>
          </w:tcPr>
          <w:p w14:paraId="4DF9805F"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r w:rsidR="00A052DC" w14:paraId="65B0D2B6" w14:textId="77777777">
        <w:tc>
          <w:tcPr>
            <w:tcW w:w="1418" w:type="dxa"/>
          </w:tcPr>
          <w:p w14:paraId="6789361F" w14:textId="77777777" w:rsidR="00A052DC" w:rsidRDefault="009F0A60">
            <w:pPr>
              <w:rPr>
                <w:rFonts w:ascii="黑体" w:eastAsia="黑体" w:hAnsi="黑体"/>
                <w:sz w:val="20"/>
                <w:szCs w:val="20"/>
              </w:rPr>
            </w:pPr>
            <w:r>
              <w:rPr>
                <w:rFonts w:ascii="黑体" w:eastAsia="黑体" w:hAnsi="黑体" w:hint="eastAsia"/>
                <w:sz w:val="20"/>
                <w:szCs w:val="20"/>
              </w:rPr>
              <w:t>ACTUCCY</w:t>
            </w:r>
          </w:p>
        </w:tc>
        <w:tc>
          <w:tcPr>
            <w:tcW w:w="1701" w:type="dxa"/>
          </w:tcPr>
          <w:p w14:paraId="15EE30E2" w14:textId="77777777" w:rsidR="00A052DC" w:rsidRDefault="009F0A60">
            <w:pPr>
              <w:rPr>
                <w:rFonts w:ascii="黑体" w:eastAsia="黑体" w:hAnsi="黑体"/>
                <w:sz w:val="20"/>
                <w:szCs w:val="20"/>
              </w:rPr>
            </w:pPr>
            <w:r>
              <w:rPr>
                <w:rFonts w:ascii="黑体" w:eastAsia="黑体" w:hAnsi="黑体" w:hint="eastAsia"/>
                <w:sz w:val="20"/>
                <w:szCs w:val="20"/>
              </w:rPr>
              <w:t>实际付款币种</w:t>
            </w:r>
          </w:p>
        </w:tc>
        <w:tc>
          <w:tcPr>
            <w:tcW w:w="1418" w:type="dxa"/>
          </w:tcPr>
          <w:p w14:paraId="6DD61DF9" w14:textId="77777777" w:rsidR="00A052DC" w:rsidRDefault="009F0A60">
            <w:pPr>
              <w:rPr>
                <w:rFonts w:ascii="黑体" w:eastAsia="黑体" w:hAnsi="黑体"/>
                <w:sz w:val="20"/>
                <w:szCs w:val="20"/>
              </w:rPr>
            </w:pPr>
            <w:r>
              <w:rPr>
                <w:rFonts w:ascii="黑体" w:eastAsia="黑体" w:hAnsi="黑体" w:hint="eastAsia"/>
                <w:sz w:val="20"/>
                <w:szCs w:val="20"/>
              </w:rPr>
              <w:t>字符型，3</w:t>
            </w:r>
          </w:p>
        </w:tc>
        <w:tc>
          <w:tcPr>
            <w:tcW w:w="4110" w:type="dxa"/>
          </w:tcPr>
          <w:p w14:paraId="4A48CB6C" w14:textId="77777777" w:rsidR="00A052DC" w:rsidRDefault="009F0A60">
            <w:pPr>
              <w:rPr>
                <w:rFonts w:ascii="黑体" w:eastAsia="黑体" w:hAnsi="黑体"/>
                <w:sz w:val="20"/>
                <w:szCs w:val="20"/>
              </w:rPr>
            </w:pPr>
            <w:r>
              <w:rPr>
                <w:rFonts w:ascii="黑体" w:eastAsia="黑体" w:hAnsi="黑体" w:hint="eastAsia"/>
                <w:sz w:val="20"/>
                <w:szCs w:val="20"/>
              </w:rPr>
              <w:t>必须在币种代码表里存在</w:t>
            </w:r>
            <w:r w:rsidR="009708FD">
              <w:rPr>
                <w:rFonts w:ascii="黑体" w:eastAsia="黑体" w:hAnsi="黑体" w:hint="eastAsia"/>
                <w:sz w:val="20"/>
                <w:szCs w:val="20"/>
              </w:rPr>
              <w:t>。</w:t>
            </w:r>
          </w:p>
        </w:tc>
      </w:tr>
      <w:tr w:rsidR="00A052DC" w14:paraId="19C0D426" w14:textId="77777777">
        <w:tc>
          <w:tcPr>
            <w:tcW w:w="1418" w:type="dxa"/>
          </w:tcPr>
          <w:p w14:paraId="4B908036" w14:textId="77777777" w:rsidR="00A052DC" w:rsidRDefault="009F0A60">
            <w:pPr>
              <w:rPr>
                <w:rFonts w:ascii="黑体" w:eastAsia="黑体" w:hAnsi="黑体"/>
                <w:sz w:val="20"/>
                <w:szCs w:val="20"/>
              </w:rPr>
            </w:pPr>
            <w:r>
              <w:rPr>
                <w:rFonts w:ascii="黑体" w:eastAsia="黑体" w:hAnsi="黑体" w:hint="eastAsia"/>
                <w:sz w:val="20"/>
                <w:szCs w:val="20"/>
              </w:rPr>
              <w:t>ACTUAMT</w:t>
            </w:r>
          </w:p>
        </w:tc>
        <w:tc>
          <w:tcPr>
            <w:tcW w:w="1701" w:type="dxa"/>
          </w:tcPr>
          <w:p w14:paraId="01936745" w14:textId="77777777" w:rsidR="00A052DC" w:rsidRDefault="009F0A60">
            <w:pPr>
              <w:rPr>
                <w:rFonts w:ascii="黑体" w:eastAsia="黑体" w:hAnsi="黑体"/>
                <w:sz w:val="20"/>
                <w:szCs w:val="20"/>
              </w:rPr>
            </w:pPr>
            <w:r>
              <w:rPr>
                <w:rFonts w:ascii="黑体" w:eastAsia="黑体" w:hAnsi="黑体" w:hint="eastAsia"/>
                <w:sz w:val="20"/>
                <w:szCs w:val="20"/>
              </w:rPr>
              <w:t>实际付款金额</w:t>
            </w:r>
          </w:p>
        </w:tc>
        <w:tc>
          <w:tcPr>
            <w:tcW w:w="1418" w:type="dxa"/>
          </w:tcPr>
          <w:p w14:paraId="0EED78C4" w14:textId="77777777" w:rsidR="00A052DC" w:rsidRDefault="009F0A60">
            <w:pPr>
              <w:rPr>
                <w:rFonts w:ascii="黑体" w:eastAsia="黑体" w:hAnsi="黑体"/>
                <w:sz w:val="20"/>
                <w:szCs w:val="20"/>
              </w:rPr>
            </w:pPr>
            <w:r>
              <w:rPr>
                <w:rFonts w:ascii="黑体" w:eastAsia="黑体" w:hAnsi="黑体" w:hint="eastAsia"/>
                <w:sz w:val="20"/>
                <w:szCs w:val="20"/>
              </w:rPr>
              <w:t>数值型，22.0</w:t>
            </w:r>
          </w:p>
        </w:tc>
        <w:tc>
          <w:tcPr>
            <w:tcW w:w="4110" w:type="dxa"/>
          </w:tcPr>
          <w:p w14:paraId="473EC19C" w14:textId="77777777" w:rsidR="00A052DC" w:rsidRDefault="009F0A60">
            <w:pPr>
              <w:rPr>
                <w:rFonts w:ascii="黑体" w:eastAsia="黑体" w:hAnsi="黑体"/>
                <w:sz w:val="20"/>
                <w:szCs w:val="20"/>
              </w:rPr>
            </w:pPr>
            <w:r>
              <w:rPr>
                <w:rFonts w:ascii="黑体" w:eastAsia="黑体" w:hAnsi="黑体" w:hint="eastAsia"/>
                <w:sz w:val="20"/>
                <w:szCs w:val="20"/>
              </w:rPr>
              <w:t>必须大于0。</w:t>
            </w:r>
          </w:p>
          <w:p w14:paraId="4D964ACF" w14:textId="77777777" w:rsidR="00A052DC" w:rsidRDefault="009F0A60">
            <w:pPr>
              <w:rPr>
                <w:rFonts w:ascii="黑体" w:eastAsia="黑体" w:hAnsi="黑体"/>
                <w:sz w:val="20"/>
                <w:szCs w:val="20"/>
              </w:rPr>
            </w:pPr>
            <w:r>
              <w:rPr>
                <w:rFonts w:ascii="黑体" w:eastAsia="黑体" w:hAnsi="黑体" w:hint="eastAsia"/>
                <w:sz w:val="20"/>
                <w:szCs w:val="20"/>
              </w:rPr>
              <w:t>无小数位。</w:t>
            </w:r>
          </w:p>
        </w:tc>
      </w:tr>
      <w:tr w:rsidR="00A052DC" w14:paraId="1F3D8847" w14:textId="77777777">
        <w:tc>
          <w:tcPr>
            <w:tcW w:w="1418" w:type="dxa"/>
          </w:tcPr>
          <w:p w14:paraId="15976D54" w14:textId="77777777" w:rsidR="00A052DC" w:rsidRDefault="009F0A60">
            <w:pPr>
              <w:rPr>
                <w:rFonts w:ascii="黑体" w:eastAsia="黑体" w:hAnsi="黑体"/>
                <w:sz w:val="20"/>
                <w:szCs w:val="20"/>
              </w:rPr>
            </w:pPr>
            <w:r>
              <w:rPr>
                <w:rFonts w:ascii="黑体" w:eastAsia="黑体" w:hAnsi="黑体" w:hint="eastAsia"/>
                <w:sz w:val="20"/>
                <w:szCs w:val="20"/>
              </w:rPr>
              <w:t>OUTCHARGECCY</w:t>
            </w:r>
          </w:p>
        </w:tc>
        <w:tc>
          <w:tcPr>
            <w:tcW w:w="1701" w:type="dxa"/>
          </w:tcPr>
          <w:p w14:paraId="6D49F9D8" w14:textId="77777777" w:rsidR="00A052DC" w:rsidRDefault="009F0A60">
            <w:pPr>
              <w:rPr>
                <w:rFonts w:ascii="黑体" w:eastAsia="黑体" w:hAnsi="黑体"/>
                <w:sz w:val="20"/>
                <w:szCs w:val="20"/>
              </w:rPr>
            </w:pPr>
            <w:r>
              <w:rPr>
                <w:rFonts w:ascii="黑体" w:eastAsia="黑体" w:hAnsi="黑体" w:hint="eastAsia"/>
                <w:sz w:val="20"/>
                <w:szCs w:val="20"/>
              </w:rPr>
              <w:t>扣费币种</w:t>
            </w:r>
          </w:p>
        </w:tc>
        <w:tc>
          <w:tcPr>
            <w:tcW w:w="1418" w:type="dxa"/>
          </w:tcPr>
          <w:p w14:paraId="4A02B480" w14:textId="77777777" w:rsidR="00A052DC" w:rsidRDefault="009F0A60">
            <w:pPr>
              <w:rPr>
                <w:rFonts w:ascii="黑体" w:eastAsia="黑体" w:hAnsi="黑体"/>
                <w:sz w:val="20"/>
                <w:szCs w:val="20"/>
              </w:rPr>
            </w:pPr>
            <w:r>
              <w:rPr>
                <w:rFonts w:ascii="黑体" w:eastAsia="黑体" w:hAnsi="黑体" w:hint="eastAsia"/>
                <w:sz w:val="20"/>
                <w:szCs w:val="20"/>
              </w:rPr>
              <w:t>字符型，3</w:t>
            </w:r>
          </w:p>
        </w:tc>
        <w:tc>
          <w:tcPr>
            <w:tcW w:w="4110" w:type="dxa"/>
          </w:tcPr>
          <w:p w14:paraId="64D37507" w14:textId="77777777" w:rsidR="00A052DC" w:rsidRDefault="009F0A60" w:rsidP="009708FD">
            <w:pPr>
              <w:rPr>
                <w:rFonts w:ascii="黑体" w:eastAsia="黑体" w:hAnsi="黑体"/>
                <w:sz w:val="20"/>
                <w:szCs w:val="20"/>
              </w:rPr>
            </w:pPr>
            <w:r>
              <w:rPr>
                <w:rFonts w:ascii="黑体" w:eastAsia="黑体" w:hAnsi="黑体" w:hint="eastAsia"/>
                <w:sz w:val="20"/>
                <w:szCs w:val="20"/>
              </w:rPr>
              <w:t>必须在币种代码表里存在</w:t>
            </w:r>
            <w:r w:rsidR="009708FD">
              <w:rPr>
                <w:rFonts w:ascii="黑体" w:eastAsia="黑体" w:hAnsi="黑体" w:hint="eastAsia"/>
                <w:sz w:val="20"/>
                <w:szCs w:val="20"/>
              </w:rPr>
              <w:t>。</w:t>
            </w:r>
          </w:p>
        </w:tc>
      </w:tr>
      <w:tr w:rsidR="00A052DC" w14:paraId="77C27B30" w14:textId="77777777">
        <w:tc>
          <w:tcPr>
            <w:tcW w:w="1418" w:type="dxa"/>
          </w:tcPr>
          <w:p w14:paraId="16A1D381" w14:textId="77777777" w:rsidR="00A052DC" w:rsidRDefault="009F0A60">
            <w:pPr>
              <w:rPr>
                <w:rFonts w:ascii="黑体" w:eastAsia="黑体" w:hAnsi="黑体"/>
                <w:sz w:val="20"/>
                <w:szCs w:val="20"/>
              </w:rPr>
            </w:pPr>
            <w:r>
              <w:rPr>
                <w:rFonts w:ascii="黑体" w:eastAsia="黑体" w:hAnsi="黑体" w:hint="eastAsia"/>
                <w:sz w:val="20"/>
                <w:szCs w:val="20"/>
              </w:rPr>
              <w:t>OUTCHARGEAMT</w:t>
            </w:r>
          </w:p>
        </w:tc>
        <w:tc>
          <w:tcPr>
            <w:tcW w:w="1701" w:type="dxa"/>
          </w:tcPr>
          <w:p w14:paraId="593BA8D2" w14:textId="77777777" w:rsidR="00A052DC" w:rsidRDefault="009F0A60">
            <w:pPr>
              <w:rPr>
                <w:rFonts w:ascii="黑体" w:eastAsia="黑体" w:hAnsi="黑体"/>
                <w:sz w:val="20"/>
                <w:szCs w:val="20"/>
              </w:rPr>
            </w:pPr>
            <w:r>
              <w:rPr>
                <w:rFonts w:ascii="黑体" w:eastAsia="黑体" w:hAnsi="黑体" w:hint="eastAsia"/>
                <w:sz w:val="20"/>
                <w:szCs w:val="20"/>
              </w:rPr>
              <w:t>扣费金额</w:t>
            </w:r>
          </w:p>
        </w:tc>
        <w:tc>
          <w:tcPr>
            <w:tcW w:w="1418" w:type="dxa"/>
          </w:tcPr>
          <w:p w14:paraId="60C85987" w14:textId="77777777" w:rsidR="00A052DC" w:rsidRDefault="009F0A60">
            <w:pPr>
              <w:rPr>
                <w:rFonts w:ascii="黑体" w:eastAsia="黑体" w:hAnsi="黑体"/>
                <w:sz w:val="20"/>
                <w:szCs w:val="20"/>
              </w:rPr>
            </w:pPr>
            <w:r>
              <w:rPr>
                <w:rFonts w:ascii="黑体" w:eastAsia="黑体" w:hAnsi="黑体" w:hint="eastAsia"/>
                <w:sz w:val="20"/>
                <w:szCs w:val="20"/>
              </w:rPr>
              <w:t>数值型，22.0</w:t>
            </w:r>
          </w:p>
        </w:tc>
        <w:tc>
          <w:tcPr>
            <w:tcW w:w="4110" w:type="dxa"/>
          </w:tcPr>
          <w:p w14:paraId="011F76B3" w14:textId="77777777" w:rsidR="00A052DC" w:rsidRDefault="009F0A60">
            <w:pPr>
              <w:rPr>
                <w:rFonts w:ascii="黑体" w:eastAsia="黑体" w:hAnsi="黑体"/>
                <w:sz w:val="20"/>
                <w:szCs w:val="20"/>
              </w:rPr>
            </w:pPr>
            <w:r>
              <w:rPr>
                <w:rFonts w:ascii="黑体" w:eastAsia="黑体" w:hAnsi="黑体" w:hint="eastAsia"/>
                <w:sz w:val="20"/>
                <w:szCs w:val="20"/>
              </w:rPr>
              <w:t>允许大于等于0。</w:t>
            </w:r>
          </w:p>
          <w:p w14:paraId="2F195EA9" w14:textId="77777777" w:rsidR="00A052DC" w:rsidRDefault="009F0A60">
            <w:pPr>
              <w:rPr>
                <w:rFonts w:ascii="黑体" w:eastAsia="黑体" w:hAnsi="黑体"/>
                <w:sz w:val="20"/>
                <w:szCs w:val="20"/>
              </w:rPr>
            </w:pPr>
            <w:r>
              <w:rPr>
                <w:rFonts w:ascii="黑体" w:eastAsia="黑体" w:hAnsi="黑体" w:hint="eastAsia"/>
                <w:sz w:val="20"/>
                <w:szCs w:val="20"/>
              </w:rPr>
              <w:t>无小数位。</w:t>
            </w:r>
          </w:p>
          <w:p w14:paraId="7B51449F" w14:textId="77777777" w:rsidR="00A052DC" w:rsidRDefault="009F0A60">
            <w:pPr>
              <w:rPr>
                <w:rFonts w:ascii="黑体" w:eastAsia="黑体" w:hAnsi="黑体"/>
                <w:sz w:val="20"/>
                <w:szCs w:val="20"/>
              </w:rPr>
            </w:pPr>
            <w:r>
              <w:rPr>
                <w:rFonts w:ascii="黑体" w:eastAsia="黑体" w:hAnsi="黑体" w:hint="eastAsia"/>
                <w:sz w:val="20"/>
                <w:szCs w:val="20"/>
              </w:rPr>
              <w:t>若币种不为空则对应金额必须&gt;0；若金额&gt;0，则对应币种不能为空。</w:t>
            </w:r>
          </w:p>
        </w:tc>
      </w:tr>
      <w:tr w:rsidR="00A052DC" w14:paraId="60D850B4" w14:textId="77777777">
        <w:tc>
          <w:tcPr>
            <w:tcW w:w="1418" w:type="dxa"/>
          </w:tcPr>
          <w:p w14:paraId="7AFCC690" w14:textId="77777777" w:rsidR="00A052DC" w:rsidRDefault="009F0A60">
            <w:pPr>
              <w:rPr>
                <w:rFonts w:ascii="黑体" w:eastAsia="黑体" w:hAnsi="黑体"/>
                <w:sz w:val="20"/>
                <w:szCs w:val="20"/>
              </w:rPr>
            </w:pPr>
            <w:r>
              <w:rPr>
                <w:rFonts w:ascii="黑体" w:eastAsia="黑体" w:hAnsi="黑体" w:hint="eastAsia"/>
                <w:sz w:val="20"/>
                <w:szCs w:val="20"/>
              </w:rPr>
              <w:t>LCBGNO</w:t>
            </w:r>
          </w:p>
        </w:tc>
        <w:tc>
          <w:tcPr>
            <w:tcW w:w="1701" w:type="dxa"/>
          </w:tcPr>
          <w:p w14:paraId="4E5A7254" w14:textId="77777777" w:rsidR="00A052DC" w:rsidRDefault="009F0A60">
            <w:pPr>
              <w:rPr>
                <w:rFonts w:ascii="黑体" w:eastAsia="黑体" w:hAnsi="黑体"/>
                <w:sz w:val="20"/>
                <w:szCs w:val="20"/>
              </w:rPr>
            </w:pPr>
            <w:r>
              <w:rPr>
                <w:rFonts w:ascii="黑体" w:eastAsia="黑体" w:hAnsi="黑体" w:hint="eastAsia"/>
                <w:sz w:val="20"/>
                <w:szCs w:val="20"/>
              </w:rPr>
              <w:t>信用证编号</w:t>
            </w:r>
          </w:p>
        </w:tc>
        <w:tc>
          <w:tcPr>
            <w:tcW w:w="1418" w:type="dxa"/>
          </w:tcPr>
          <w:p w14:paraId="7EE0EFA1" w14:textId="77777777" w:rsidR="00A052DC" w:rsidRDefault="009F0A60">
            <w:pPr>
              <w:rPr>
                <w:rFonts w:ascii="黑体" w:eastAsia="黑体" w:hAnsi="黑体"/>
                <w:sz w:val="20"/>
                <w:szCs w:val="20"/>
              </w:rPr>
            </w:pPr>
            <w:r>
              <w:rPr>
                <w:rFonts w:ascii="黑体" w:eastAsia="黑体" w:hAnsi="黑体" w:hint="eastAsia"/>
                <w:sz w:val="20"/>
                <w:szCs w:val="20"/>
              </w:rPr>
              <w:t>字符型，20</w:t>
            </w:r>
          </w:p>
        </w:tc>
        <w:tc>
          <w:tcPr>
            <w:tcW w:w="4110" w:type="dxa"/>
          </w:tcPr>
          <w:p w14:paraId="16560201" w14:textId="77777777" w:rsidR="00A052DC" w:rsidRDefault="00DD6AA3">
            <w:pPr>
              <w:rPr>
                <w:rFonts w:ascii="黑体" w:eastAsia="黑体" w:hAnsi="黑体"/>
                <w:sz w:val="20"/>
                <w:szCs w:val="20"/>
              </w:rPr>
            </w:pPr>
            <w:r>
              <w:rPr>
                <w:rFonts w:ascii="黑体" w:eastAsia="黑体" w:hAnsi="黑体" w:hint="eastAsia"/>
                <w:sz w:val="20"/>
                <w:szCs w:val="20"/>
              </w:rPr>
              <w:t>非必填项</w:t>
            </w:r>
            <w:r w:rsidR="009708FD">
              <w:rPr>
                <w:rFonts w:ascii="黑体" w:eastAsia="黑体" w:hAnsi="黑体" w:hint="eastAsia"/>
                <w:sz w:val="20"/>
                <w:szCs w:val="20"/>
              </w:rPr>
              <w:t>，</w:t>
            </w:r>
          </w:p>
          <w:p w14:paraId="7C97A66B" w14:textId="77777777" w:rsidR="00A052DC" w:rsidRDefault="009F0A60">
            <w:pPr>
              <w:rPr>
                <w:rFonts w:ascii="黑体" w:eastAsia="黑体" w:hAnsi="黑体"/>
                <w:sz w:val="20"/>
                <w:szCs w:val="20"/>
              </w:rPr>
            </w:pPr>
            <w:r>
              <w:rPr>
                <w:rFonts w:ascii="黑体" w:eastAsia="黑体" w:hAnsi="黑体" w:hint="eastAsia"/>
                <w:sz w:val="20"/>
                <w:szCs w:val="20"/>
              </w:rPr>
              <w:t>当有开证日期或期限时必填。</w:t>
            </w:r>
          </w:p>
        </w:tc>
      </w:tr>
      <w:tr w:rsidR="00A052DC" w14:paraId="7B7AB1C8" w14:textId="77777777">
        <w:tc>
          <w:tcPr>
            <w:tcW w:w="1418" w:type="dxa"/>
          </w:tcPr>
          <w:p w14:paraId="659CF0B7" w14:textId="77777777" w:rsidR="00A052DC" w:rsidRDefault="009F0A60">
            <w:pPr>
              <w:rPr>
                <w:rFonts w:ascii="黑体" w:eastAsia="黑体" w:hAnsi="黑体"/>
                <w:sz w:val="20"/>
                <w:szCs w:val="20"/>
              </w:rPr>
            </w:pPr>
            <w:r>
              <w:rPr>
                <w:rFonts w:ascii="黑体" w:eastAsia="黑体" w:hAnsi="黑体" w:hint="eastAsia"/>
                <w:sz w:val="20"/>
                <w:szCs w:val="20"/>
              </w:rPr>
              <w:t>ISSDATE</w:t>
            </w:r>
          </w:p>
        </w:tc>
        <w:tc>
          <w:tcPr>
            <w:tcW w:w="1701" w:type="dxa"/>
          </w:tcPr>
          <w:p w14:paraId="50CB88D3" w14:textId="77777777" w:rsidR="00A052DC" w:rsidRDefault="009F0A60">
            <w:pPr>
              <w:rPr>
                <w:rFonts w:ascii="黑体" w:eastAsia="黑体" w:hAnsi="黑体"/>
                <w:sz w:val="20"/>
                <w:szCs w:val="20"/>
              </w:rPr>
            </w:pPr>
            <w:r>
              <w:rPr>
                <w:rFonts w:ascii="黑体" w:eastAsia="黑体" w:hAnsi="黑体" w:hint="eastAsia"/>
                <w:sz w:val="20"/>
                <w:szCs w:val="20"/>
              </w:rPr>
              <w:t>开证日期</w:t>
            </w:r>
          </w:p>
        </w:tc>
        <w:tc>
          <w:tcPr>
            <w:tcW w:w="1418" w:type="dxa"/>
          </w:tcPr>
          <w:p w14:paraId="2B4CF985" w14:textId="77777777" w:rsidR="00A052DC" w:rsidRDefault="009F0A60">
            <w:pPr>
              <w:rPr>
                <w:rFonts w:ascii="黑体" w:eastAsia="黑体" w:hAnsi="黑体"/>
                <w:sz w:val="20"/>
                <w:szCs w:val="20"/>
              </w:rPr>
            </w:pPr>
            <w:r>
              <w:rPr>
                <w:rFonts w:ascii="黑体" w:eastAsia="黑体" w:hAnsi="黑体" w:hint="eastAsia"/>
                <w:sz w:val="20"/>
                <w:szCs w:val="20"/>
              </w:rPr>
              <w:t>日期型，8</w:t>
            </w:r>
          </w:p>
          <w:p w14:paraId="430D2840" w14:textId="77777777" w:rsidR="00A052DC" w:rsidRDefault="009F0A60">
            <w:pPr>
              <w:rPr>
                <w:rFonts w:ascii="黑体" w:eastAsia="黑体" w:hAnsi="黑体"/>
                <w:sz w:val="20"/>
                <w:szCs w:val="20"/>
              </w:rPr>
            </w:pPr>
            <w:r>
              <w:rPr>
                <w:rFonts w:ascii="黑体" w:eastAsia="黑体" w:hAnsi="黑体" w:hint="eastAsia"/>
                <w:sz w:val="20"/>
                <w:szCs w:val="20"/>
              </w:rPr>
              <w:t>YYYYMMDD</w:t>
            </w:r>
          </w:p>
        </w:tc>
        <w:tc>
          <w:tcPr>
            <w:tcW w:w="4110" w:type="dxa"/>
          </w:tcPr>
          <w:p w14:paraId="6ACDFD48" w14:textId="77777777" w:rsidR="00A052DC" w:rsidRDefault="009F0A60">
            <w:pPr>
              <w:rPr>
                <w:rFonts w:ascii="黑体" w:eastAsia="黑体" w:hAnsi="黑体"/>
                <w:sz w:val="20"/>
                <w:szCs w:val="20"/>
              </w:rPr>
            </w:pPr>
            <w:r>
              <w:rPr>
                <w:rFonts w:ascii="黑体" w:eastAsia="黑体" w:hAnsi="黑体" w:hint="eastAsia"/>
                <w:sz w:val="20"/>
                <w:szCs w:val="20"/>
              </w:rPr>
              <w:t>当信用证/保函编号输入时必须输入，否则不可输入。</w:t>
            </w:r>
          </w:p>
        </w:tc>
      </w:tr>
      <w:tr w:rsidR="00A052DC" w14:paraId="469BBA19" w14:textId="77777777">
        <w:tc>
          <w:tcPr>
            <w:tcW w:w="1418" w:type="dxa"/>
          </w:tcPr>
          <w:p w14:paraId="2D0344F6" w14:textId="77777777" w:rsidR="00A052DC" w:rsidRDefault="009F0A60">
            <w:pPr>
              <w:rPr>
                <w:rFonts w:ascii="黑体" w:eastAsia="黑体" w:hAnsi="黑体"/>
                <w:sz w:val="20"/>
                <w:szCs w:val="20"/>
              </w:rPr>
            </w:pPr>
            <w:r>
              <w:rPr>
                <w:rFonts w:ascii="黑体" w:eastAsia="黑体" w:hAnsi="黑体" w:hint="eastAsia"/>
                <w:sz w:val="20"/>
                <w:szCs w:val="20"/>
              </w:rPr>
              <w:t>TENOR</w:t>
            </w:r>
          </w:p>
        </w:tc>
        <w:tc>
          <w:tcPr>
            <w:tcW w:w="1701" w:type="dxa"/>
          </w:tcPr>
          <w:p w14:paraId="71795C38" w14:textId="77777777" w:rsidR="00A052DC" w:rsidRDefault="009F0A60">
            <w:pPr>
              <w:rPr>
                <w:rFonts w:ascii="黑体" w:eastAsia="黑体" w:hAnsi="黑体"/>
                <w:sz w:val="20"/>
                <w:szCs w:val="20"/>
              </w:rPr>
            </w:pPr>
            <w:r>
              <w:rPr>
                <w:rFonts w:ascii="黑体" w:eastAsia="黑体" w:hAnsi="黑体" w:hint="eastAsia"/>
                <w:sz w:val="20"/>
                <w:szCs w:val="20"/>
              </w:rPr>
              <w:t>期限</w:t>
            </w:r>
          </w:p>
        </w:tc>
        <w:tc>
          <w:tcPr>
            <w:tcW w:w="1418" w:type="dxa"/>
          </w:tcPr>
          <w:p w14:paraId="57D3BBCA" w14:textId="77777777" w:rsidR="00A052DC" w:rsidRDefault="009F0A60">
            <w:pPr>
              <w:rPr>
                <w:rFonts w:ascii="黑体" w:eastAsia="黑体" w:hAnsi="黑体"/>
                <w:sz w:val="20"/>
                <w:szCs w:val="20"/>
              </w:rPr>
            </w:pPr>
            <w:r>
              <w:rPr>
                <w:rFonts w:ascii="黑体" w:eastAsia="黑体" w:hAnsi="黑体" w:hint="eastAsia"/>
                <w:sz w:val="20"/>
                <w:szCs w:val="20"/>
              </w:rPr>
              <w:t>数值型，10</w:t>
            </w:r>
          </w:p>
          <w:p w14:paraId="70D82080" w14:textId="77777777" w:rsidR="00A052DC" w:rsidRDefault="009F0A60">
            <w:pPr>
              <w:rPr>
                <w:rFonts w:ascii="黑体" w:eastAsia="黑体" w:hAnsi="黑体"/>
                <w:sz w:val="20"/>
                <w:szCs w:val="20"/>
              </w:rPr>
            </w:pPr>
            <w:r>
              <w:rPr>
                <w:rFonts w:ascii="黑体" w:eastAsia="黑体" w:hAnsi="黑体" w:hint="eastAsia"/>
                <w:sz w:val="20"/>
                <w:szCs w:val="20"/>
              </w:rPr>
              <w:t>单位为天</w:t>
            </w:r>
          </w:p>
        </w:tc>
        <w:tc>
          <w:tcPr>
            <w:tcW w:w="4110" w:type="dxa"/>
          </w:tcPr>
          <w:p w14:paraId="2E63D2D3" w14:textId="77777777" w:rsidR="00A052DC" w:rsidRDefault="009F0A60">
            <w:pPr>
              <w:rPr>
                <w:rFonts w:ascii="黑体" w:eastAsia="黑体" w:hAnsi="黑体"/>
                <w:sz w:val="20"/>
                <w:szCs w:val="20"/>
              </w:rPr>
            </w:pPr>
            <w:r>
              <w:rPr>
                <w:rFonts w:ascii="黑体" w:eastAsia="黑体" w:hAnsi="黑体" w:hint="eastAsia"/>
                <w:sz w:val="20"/>
                <w:szCs w:val="20"/>
              </w:rPr>
              <w:t>仅当有信用证/保函编号时才可有值。</w:t>
            </w:r>
          </w:p>
        </w:tc>
      </w:tr>
    </w:tbl>
    <w:p w14:paraId="5F3F3BEE" w14:textId="77777777" w:rsidR="00A052DC" w:rsidRDefault="009F0A60">
      <w:pPr>
        <w:pStyle w:val="3"/>
        <w:ind w:left="0"/>
        <w:rPr>
          <w:rFonts w:ascii="Times New Roman" w:hAnsi="Times New Roman"/>
        </w:rPr>
      </w:pPr>
      <w:bookmarkStart w:id="1142" w:name="_Toc455156508"/>
      <w:bookmarkStart w:id="1143" w:name="_Toc310578685"/>
      <w:bookmarkStart w:id="1144" w:name="_Toc455152780"/>
      <w:bookmarkStart w:id="1145" w:name="_Toc308105315"/>
      <w:bookmarkStart w:id="1146" w:name="_Toc455152779"/>
      <w:bookmarkStart w:id="1147" w:name="_Toc308091849"/>
      <w:bookmarkStart w:id="1148" w:name="_Toc310598118"/>
      <w:bookmarkStart w:id="1149" w:name="_Toc455163959"/>
      <w:bookmarkStart w:id="1150" w:name="_Toc310578692"/>
      <w:bookmarkStart w:id="1151" w:name="_Toc308531297"/>
      <w:bookmarkStart w:id="1152" w:name="_Toc309565026"/>
      <w:bookmarkStart w:id="1153" w:name="_Toc454780138"/>
      <w:bookmarkStart w:id="1154" w:name="_Toc309574366"/>
      <w:bookmarkStart w:id="1155" w:name="_Toc309629224"/>
      <w:bookmarkStart w:id="1156" w:name="_Toc309650535"/>
      <w:bookmarkStart w:id="1157" w:name="_Toc309715959"/>
      <w:bookmarkStart w:id="1158" w:name="_Toc309717230"/>
      <w:bookmarkStart w:id="1159" w:name="_Toc309737375"/>
      <w:bookmarkStart w:id="1160" w:name="_Toc309915414"/>
      <w:bookmarkStart w:id="1161" w:name="_Toc310578693"/>
      <w:bookmarkStart w:id="1162" w:name="_Toc310578902"/>
      <w:bookmarkStart w:id="1163" w:name="_Toc310598119"/>
      <w:bookmarkStart w:id="1164" w:name="_Toc308091850"/>
      <w:bookmarkStart w:id="1165" w:name="_Toc308105316"/>
      <w:bookmarkStart w:id="1166" w:name="_Toc308531298"/>
      <w:bookmarkStart w:id="1167" w:name="_Toc309565027"/>
      <w:bookmarkStart w:id="1168" w:name="_Toc309574367"/>
      <w:bookmarkStart w:id="1169" w:name="_Toc309629225"/>
      <w:bookmarkStart w:id="1170" w:name="_Toc309650536"/>
      <w:bookmarkStart w:id="1171" w:name="_Toc309715960"/>
      <w:bookmarkStart w:id="1172" w:name="_Toc309717231"/>
      <w:bookmarkStart w:id="1173" w:name="_Toc309737376"/>
      <w:bookmarkStart w:id="1174" w:name="_Toc309915415"/>
      <w:bookmarkStart w:id="1175" w:name="_Toc310578694"/>
      <w:bookmarkStart w:id="1176" w:name="_Toc310578903"/>
      <w:bookmarkStart w:id="1177" w:name="_Toc310598120"/>
      <w:bookmarkStart w:id="1178" w:name="_Toc308091851"/>
      <w:bookmarkStart w:id="1179" w:name="_Toc308105317"/>
      <w:bookmarkStart w:id="1180" w:name="_Toc308531299"/>
      <w:bookmarkStart w:id="1181" w:name="_Toc309565028"/>
      <w:bookmarkStart w:id="1182" w:name="_Toc309574368"/>
      <w:bookmarkStart w:id="1183" w:name="_Toc309629226"/>
      <w:bookmarkStart w:id="1184" w:name="_Toc309650537"/>
      <w:bookmarkStart w:id="1185" w:name="_Toc309715961"/>
      <w:bookmarkStart w:id="1186" w:name="_Toc309717232"/>
      <w:bookmarkStart w:id="1187" w:name="_Toc309737377"/>
      <w:bookmarkStart w:id="1188" w:name="_Toc309915416"/>
      <w:bookmarkStart w:id="1189" w:name="_Toc310578695"/>
      <w:bookmarkStart w:id="1190" w:name="_Toc310578904"/>
      <w:bookmarkStart w:id="1191" w:name="_Toc310598121"/>
      <w:bookmarkStart w:id="1192" w:name="_Toc308091918"/>
      <w:bookmarkStart w:id="1193" w:name="_Toc308105384"/>
      <w:bookmarkStart w:id="1194" w:name="_Toc308531366"/>
      <w:bookmarkStart w:id="1195" w:name="_Toc309565095"/>
      <w:bookmarkStart w:id="1196" w:name="_Toc309574435"/>
      <w:bookmarkStart w:id="1197" w:name="_Toc309629293"/>
      <w:bookmarkStart w:id="1198" w:name="_Toc309650604"/>
      <w:bookmarkStart w:id="1199" w:name="_Toc309716028"/>
      <w:bookmarkStart w:id="1200" w:name="_Toc309717299"/>
      <w:bookmarkStart w:id="1201" w:name="_Toc309737444"/>
      <w:bookmarkStart w:id="1202" w:name="_Toc309915483"/>
      <w:bookmarkStart w:id="1203" w:name="_Toc310578762"/>
      <w:bookmarkStart w:id="1204" w:name="_Toc310578971"/>
      <w:bookmarkStart w:id="1205" w:name="_Toc310598188"/>
      <w:bookmarkStart w:id="1206" w:name="_Toc308091919"/>
      <w:bookmarkStart w:id="1207" w:name="_Toc308105385"/>
      <w:bookmarkStart w:id="1208" w:name="_Toc308531367"/>
      <w:bookmarkStart w:id="1209" w:name="_Toc309565096"/>
      <w:bookmarkStart w:id="1210" w:name="_Toc309574436"/>
      <w:bookmarkStart w:id="1211" w:name="_Toc309629294"/>
      <w:bookmarkStart w:id="1212" w:name="_Toc309650605"/>
      <w:bookmarkStart w:id="1213" w:name="_Toc309716029"/>
      <w:bookmarkStart w:id="1214" w:name="_Toc309717300"/>
      <w:bookmarkStart w:id="1215" w:name="_Toc309737445"/>
      <w:bookmarkStart w:id="1216" w:name="_Toc309915484"/>
      <w:bookmarkStart w:id="1217" w:name="_Toc309915413"/>
      <w:bookmarkStart w:id="1218" w:name="_Toc309574365"/>
      <w:bookmarkStart w:id="1219" w:name="_Toc309650534"/>
      <w:bookmarkStart w:id="1220" w:name="_Toc309629223"/>
      <w:bookmarkStart w:id="1221" w:name="_Toc309565025"/>
      <w:bookmarkStart w:id="1222" w:name="_Toc454454843"/>
      <w:bookmarkStart w:id="1223" w:name="_Toc454378148"/>
      <w:bookmarkStart w:id="1224" w:name="_Toc310578763"/>
      <w:bookmarkStart w:id="1225" w:name="_Toc310578972"/>
      <w:bookmarkStart w:id="1226" w:name="_Toc310598189"/>
      <w:bookmarkStart w:id="1227" w:name="_Toc310578901"/>
      <w:bookmarkStart w:id="1228" w:name="_Toc454386814"/>
      <w:bookmarkStart w:id="1229" w:name="_Toc454395068"/>
      <w:bookmarkStart w:id="1230" w:name="_Toc455163958"/>
      <w:bookmarkStart w:id="1231" w:name="_Toc454454844"/>
      <w:bookmarkStart w:id="1232" w:name="_Toc455156507"/>
      <w:bookmarkStart w:id="1233" w:name="_Toc454386813"/>
      <w:bookmarkStart w:id="1234" w:name="_Toc454464760"/>
      <w:bookmarkStart w:id="1235" w:name="_Toc454780137"/>
      <w:bookmarkStart w:id="1236" w:name="_Toc455167683"/>
      <w:bookmarkStart w:id="1237" w:name="_Toc454395067"/>
      <w:bookmarkStart w:id="1238" w:name="_Toc309715958"/>
      <w:bookmarkStart w:id="1239" w:name="_Toc309717229"/>
      <w:bookmarkStart w:id="1240" w:name="_Toc308105314"/>
      <w:bookmarkStart w:id="1241" w:name="_Toc308091848"/>
      <w:bookmarkStart w:id="1242" w:name="_Toc308531296"/>
      <w:bookmarkStart w:id="1243" w:name="_Toc309737374"/>
      <w:bookmarkStart w:id="1244" w:name="_Toc309737367"/>
      <w:bookmarkStart w:id="1245" w:name="_Toc454378149"/>
      <w:bookmarkStart w:id="1246" w:name="_Toc455167684"/>
      <w:bookmarkStart w:id="1247" w:name="_Toc454464761"/>
      <w:bookmarkStart w:id="1248" w:name="_Toc309629204"/>
      <w:bookmarkStart w:id="1249" w:name="_Toc308091829"/>
      <w:bookmarkStart w:id="1250" w:name="_Toc309574346"/>
      <w:bookmarkStart w:id="1251" w:name="_Toc308105295"/>
      <w:bookmarkStart w:id="1252" w:name="_Toc309650515"/>
      <w:bookmarkStart w:id="1253" w:name="_Toc309715939"/>
      <w:bookmarkStart w:id="1254" w:name="_Toc308531277"/>
      <w:bookmarkStart w:id="1255" w:name="_Toc309717210"/>
      <w:bookmarkStart w:id="1256" w:name="_Toc310598099"/>
      <w:bookmarkStart w:id="1257" w:name="_Toc310578673"/>
      <w:bookmarkStart w:id="1258" w:name="_Toc309574347"/>
      <w:bookmarkStart w:id="1259" w:name="_Toc310578882"/>
      <w:bookmarkStart w:id="1260" w:name="_Toc309915394"/>
      <w:bookmarkStart w:id="1261" w:name="_Toc309565007"/>
      <w:bookmarkStart w:id="1262" w:name="_Toc309650516"/>
      <w:bookmarkStart w:id="1263" w:name="_Toc308105296"/>
      <w:bookmarkStart w:id="1264" w:name="_Toc308091830"/>
      <w:bookmarkStart w:id="1265" w:name="_Toc308531278"/>
      <w:bookmarkStart w:id="1266" w:name="_Toc309565006"/>
      <w:bookmarkStart w:id="1267" w:name="_Toc309737356"/>
      <w:bookmarkStart w:id="1268" w:name="_Toc309717211"/>
      <w:bookmarkStart w:id="1269" w:name="_Toc309629205"/>
      <w:bookmarkStart w:id="1270" w:name="_Toc309737355"/>
      <w:bookmarkStart w:id="1271" w:name="_Toc309565008"/>
      <w:bookmarkStart w:id="1272" w:name="_Toc310578674"/>
      <w:bookmarkStart w:id="1273" w:name="_Toc309715940"/>
      <w:bookmarkStart w:id="1274" w:name="_Toc309650517"/>
      <w:bookmarkStart w:id="1275" w:name="_Toc310578883"/>
      <w:bookmarkStart w:id="1276" w:name="_Toc308105297"/>
      <w:bookmarkStart w:id="1277" w:name="_Toc309915395"/>
      <w:bookmarkStart w:id="1278" w:name="_Toc310598100"/>
      <w:bookmarkStart w:id="1279" w:name="_Toc308091831"/>
      <w:bookmarkStart w:id="1280" w:name="_Toc309737357"/>
      <w:bookmarkStart w:id="1281" w:name="_Toc308531279"/>
      <w:bookmarkStart w:id="1282" w:name="_Toc309715941"/>
      <w:bookmarkStart w:id="1283" w:name="_Toc309574348"/>
      <w:bookmarkStart w:id="1284" w:name="_Toc309717212"/>
      <w:bookmarkStart w:id="1285" w:name="_Toc308091841"/>
      <w:bookmarkStart w:id="1286" w:name="_Toc309915396"/>
      <w:bookmarkStart w:id="1287" w:name="_Toc309629206"/>
      <w:bookmarkStart w:id="1288" w:name="_Toc310578884"/>
      <w:bookmarkStart w:id="1289" w:name="_Toc309715951"/>
      <w:bookmarkStart w:id="1290" w:name="_Toc308531289"/>
      <w:bookmarkStart w:id="1291" w:name="_Toc309565018"/>
      <w:bookmarkStart w:id="1292" w:name="_Toc309574358"/>
      <w:bookmarkStart w:id="1293" w:name="_Toc310598101"/>
      <w:bookmarkStart w:id="1294" w:name="_Toc310578675"/>
      <w:bookmarkStart w:id="1295" w:name="_Toc308105307"/>
      <w:bookmarkStart w:id="1296" w:name="_Toc309717222"/>
      <w:bookmarkStart w:id="1297" w:name="_Toc310598111"/>
      <w:bookmarkStart w:id="1298" w:name="_Toc310578894"/>
      <w:bookmarkStart w:id="1299" w:name="_Toc309650527"/>
      <w:bookmarkStart w:id="1300" w:name="_Toc309629216"/>
      <w:bookmarkStart w:id="1301" w:name="_Toc309915406"/>
      <w:bookmarkStart w:id="1302" w:name="_Toc132432577"/>
      <w:bookmarkStart w:id="1303" w:name="_Toc310598203"/>
      <w:bookmarkStart w:id="1304" w:name="_Toc380356250"/>
      <w:bookmarkStart w:id="1305" w:name="_Toc454386815"/>
      <w:bookmarkStart w:id="1306" w:name="_Toc91455279"/>
      <w:bookmarkStart w:id="1307" w:name="_Toc101684452"/>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r>
        <w:rPr>
          <w:rFonts w:ascii="Times New Roman" w:hAnsi="Times New Roman" w:hint="eastAsia"/>
        </w:rPr>
        <w:t>境内付款</w:t>
      </w:r>
      <w:r>
        <w:rPr>
          <w:rFonts w:ascii="Times New Roman" w:hAnsi="Times New Roman"/>
        </w:rPr>
        <w:t>/</w:t>
      </w:r>
      <w:r>
        <w:rPr>
          <w:rFonts w:ascii="Times New Roman" w:hAnsi="Times New Roman" w:hint="eastAsia"/>
        </w:rPr>
        <w:t>承兑通知书</w:t>
      </w:r>
      <w:bookmarkEnd w:id="1302"/>
      <w:bookmarkEnd w:id="1303"/>
      <w:r>
        <w:rPr>
          <w:rFonts w:ascii="Times New Roman" w:hAnsi="Times New Roman"/>
        </w:rPr>
        <w:t>-</w:t>
      </w:r>
      <w:r>
        <w:rPr>
          <w:rFonts w:ascii="Times New Roman" w:hAnsi="Times New Roman" w:hint="eastAsia"/>
        </w:rPr>
        <w:t>管理信息</w:t>
      </w:r>
      <w:bookmarkEnd w:id="1304"/>
      <w:bookmarkEnd w:id="1305"/>
      <w:bookmarkEnd w:id="1306"/>
      <w:bookmarkEnd w:id="1307"/>
    </w:p>
    <w:p w14:paraId="17EAF40D" w14:textId="77777777" w:rsidR="00A052DC" w:rsidRDefault="009F0A60" w:rsidP="0020251D">
      <w:pPr>
        <w:pStyle w:val="4"/>
        <w:numPr>
          <w:ilvl w:val="3"/>
          <w:numId w:val="1"/>
        </w:numPr>
        <w:jc w:val="left"/>
      </w:pPr>
      <w:bookmarkStart w:id="1308" w:name="_Toc310598204"/>
      <w:bookmarkStart w:id="1309" w:name="_Toc454386816"/>
      <w:bookmarkStart w:id="1310" w:name="_Toc132432578"/>
      <w:r>
        <w:rPr>
          <w:rFonts w:hint="eastAsia"/>
        </w:rPr>
        <w:t>数据格式</w:t>
      </w:r>
      <w:bookmarkEnd w:id="1308"/>
      <w:bookmarkEnd w:id="1309"/>
      <w:bookmarkEnd w:id="1310"/>
    </w:p>
    <w:p w14:paraId="2BA1615A" w14:textId="77777777" w:rsidR="00A052DC" w:rsidRDefault="009F0A60">
      <w:r>
        <w:t>&lt;REC&gt;</w:t>
      </w:r>
    </w:p>
    <w:p w14:paraId="6920903C" w14:textId="77777777" w:rsidR="00A052DC" w:rsidRDefault="009F0A60">
      <w:r>
        <w:t>&lt;ACTIONTYPE&gt;</w:t>
      </w:r>
      <w:r>
        <w:rPr>
          <w:rFonts w:hint="eastAsia"/>
        </w:rPr>
        <w:t>操作类型</w:t>
      </w:r>
      <w:r>
        <w:t>&lt;/ACTIONTYPE&gt;</w:t>
      </w:r>
    </w:p>
    <w:p w14:paraId="214A4622" w14:textId="77777777" w:rsidR="00A052DC" w:rsidRDefault="009F0A60">
      <w:r>
        <w:t>&lt;ACTIONDESC&gt;</w:t>
      </w:r>
      <w:r>
        <w:rPr>
          <w:rFonts w:hint="eastAsia"/>
        </w:rPr>
        <w:t>修改</w:t>
      </w:r>
      <w:r>
        <w:t>/</w:t>
      </w:r>
      <w:r>
        <w:rPr>
          <w:rFonts w:hint="eastAsia"/>
        </w:rPr>
        <w:t>删除原因</w:t>
      </w:r>
      <w:r>
        <w:t>&lt;/ACTIONDESC&gt;</w:t>
      </w:r>
    </w:p>
    <w:p w14:paraId="39715540" w14:textId="77777777" w:rsidR="00A052DC" w:rsidRDefault="009F0A60">
      <w:r>
        <w:t>&lt;RPTNO&gt;</w:t>
      </w:r>
      <w:r>
        <w:rPr>
          <w:rFonts w:hint="eastAsia"/>
        </w:rPr>
        <w:t>申报号码</w:t>
      </w:r>
      <w:r>
        <w:t>&lt;/RPTNO&gt;</w:t>
      </w:r>
    </w:p>
    <w:p w14:paraId="4BE05C5B" w14:textId="77777777" w:rsidR="00A052DC" w:rsidRDefault="009F0A60">
      <w:r>
        <w:t>&lt;ISREF&gt;</w:t>
      </w:r>
      <w:r>
        <w:rPr>
          <w:rFonts w:hint="eastAsia"/>
        </w:rPr>
        <w:t>是否保税贸易项下付款</w:t>
      </w:r>
      <w:r>
        <w:t>&lt;/ISREF&gt;</w:t>
      </w:r>
    </w:p>
    <w:p w14:paraId="7943DC4E" w14:textId="77777777" w:rsidR="00A052DC" w:rsidRDefault="009F0A60">
      <w:r>
        <w:t>&lt;COUNTRY&gt;</w:t>
      </w:r>
      <w:r>
        <w:rPr>
          <w:rFonts w:hint="eastAsia"/>
        </w:rPr>
        <w:t>收款人国别</w:t>
      </w:r>
      <w:r>
        <w:t>/</w:t>
      </w:r>
      <w:r>
        <w:rPr>
          <w:rFonts w:hint="eastAsia"/>
        </w:rPr>
        <w:t>地区</w:t>
      </w:r>
      <w:r>
        <w:t>&lt;/COUNTRY&gt;</w:t>
      </w:r>
    </w:p>
    <w:p w14:paraId="3B67A6F4" w14:textId="77777777" w:rsidR="00A052DC" w:rsidRDefault="009F0A60">
      <w:r>
        <w:t>&lt;PAYTYPE&gt;</w:t>
      </w:r>
      <w:r>
        <w:rPr>
          <w:rFonts w:hint="eastAsia"/>
        </w:rPr>
        <w:t>付款类型</w:t>
      </w:r>
      <w:r>
        <w:t>&lt;/PAYTYPE&gt;</w:t>
      </w:r>
    </w:p>
    <w:p w14:paraId="127CB9FB" w14:textId="77777777" w:rsidR="00A052DC" w:rsidRDefault="009F0A60">
      <w:r>
        <w:t>&lt;PAYATTR&gt;</w:t>
      </w:r>
      <w:r>
        <w:rPr>
          <w:rFonts w:hint="eastAsia"/>
        </w:rPr>
        <w:t>付汇性质</w:t>
      </w:r>
      <w:r>
        <w:t>&lt;/PAYATTR&gt;</w:t>
      </w:r>
    </w:p>
    <w:p w14:paraId="55F795C5" w14:textId="77777777" w:rsidR="00A052DC" w:rsidRDefault="009F0A60">
      <w:r>
        <w:t>&lt;TXCODE&gt;</w:t>
      </w:r>
      <w:r>
        <w:rPr>
          <w:rFonts w:hint="eastAsia"/>
        </w:rPr>
        <w:t>交易编码</w:t>
      </w:r>
      <w:r>
        <w:t>1&lt;/TXCODE&gt;</w:t>
      </w:r>
    </w:p>
    <w:p w14:paraId="16397A44" w14:textId="77777777" w:rsidR="00A052DC" w:rsidRDefault="009F0A60">
      <w:r>
        <w:t>&lt;TC1AMT&gt;</w:t>
      </w:r>
      <w:r>
        <w:rPr>
          <w:rFonts w:hint="eastAsia"/>
        </w:rPr>
        <w:t>相应金额</w:t>
      </w:r>
      <w:r>
        <w:t>1&lt;/TC1AMT&gt;</w:t>
      </w:r>
    </w:p>
    <w:p w14:paraId="3614320F" w14:textId="77777777" w:rsidR="00A052DC" w:rsidRDefault="009F0A60">
      <w:r>
        <w:t>&lt;TXREM&gt;</w:t>
      </w:r>
      <w:r>
        <w:rPr>
          <w:rFonts w:hint="eastAsia"/>
        </w:rPr>
        <w:t>交易附言</w:t>
      </w:r>
      <w:r>
        <w:t>1&lt;/TXREM&gt;</w:t>
      </w:r>
    </w:p>
    <w:p w14:paraId="3FD13B7F" w14:textId="77777777" w:rsidR="00A052DC" w:rsidRDefault="009F0A60">
      <w:r>
        <w:t>&lt;TXCODE2&gt;</w:t>
      </w:r>
      <w:r>
        <w:rPr>
          <w:rFonts w:hint="eastAsia"/>
        </w:rPr>
        <w:t>交易编码</w:t>
      </w:r>
      <w:r>
        <w:t>2&lt;/TXCODE2&gt;</w:t>
      </w:r>
    </w:p>
    <w:p w14:paraId="58E44D01" w14:textId="77777777" w:rsidR="00A052DC" w:rsidRDefault="009F0A60">
      <w:r>
        <w:t>&lt;TC2AMT&gt;</w:t>
      </w:r>
      <w:r>
        <w:rPr>
          <w:rFonts w:hint="eastAsia"/>
        </w:rPr>
        <w:t>相应金额</w:t>
      </w:r>
      <w:r>
        <w:t>2&lt;/TC2AMT&gt;</w:t>
      </w:r>
    </w:p>
    <w:p w14:paraId="496AFF59" w14:textId="77777777" w:rsidR="00A052DC" w:rsidRDefault="009F0A60">
      <w:r>
        <w:t>&lt;TX2REM&gt;</w:t>
      </w:r>
      <w:r>
        <w:rPr>
          <w:rFonts w:hint="eastAsia"/>
        </w:rPr>
        <w:t>交易附言</w:t>
      </w:r>
      <w:r>
        <w:t>2&lt;/TX2REM&gt;</w:t>
      </w:r>
    </w:p>
    <w:p w14:paraId="28D2C6F6" w14:textId="77777777" w:rsidR="00A052DC" w:rsidRDefault="009F0A60">
      <w:r>
        <w:t>&lt;IMPDATE&gt;</w:t>
      </w:r>
      <w:r>
        <w:rPr>
          <w:rFonts w:hint="eastAsia"/>
        </w:rPr>
        <w:t>最迟装运日期</w:t>
      </w:r>
      <w:r>
        <w:t>&lt;/IMPDATE&gt;</w:t>
      </w:r>
    </w:p>
    <w:p w14:paraId="392785BD" w14:textId="77777777" w:rsidR="00A052DC" w:rsidRDefault="009F0A60">
      <w:r>
        <w:t>&lt;CONTRNO&gt;</w:t>
      </w:r>
      <w:r>
        <w:rPr>
          <w:rFonts w:hint="eastAsia"/>
        </w:rPr>
        <w:t>合同号</w:t>
      </w:r>
      <w:r>
        <w:t>&lt;/CONTRNO&gt;</w:t>
      </w:r>
    </w:p>
    <w:p w14:paraId="3C426A3E" w14:textId="77777777" w:rsidR="00A052DC" w:rsidRDefault="009F0A60">
      <w:r>
        <w:t>&lt;INVOINO&gt;</w:t>
      </w:r>
      <w:r>
        <w:rPr>
          <w:rFonts w:hint="eastAsia"/>
        </w:rPr>
        <w:t>发票号</w:t>
      </w:r>
      <w:r>
        <w:t>&lt;/INVOINO&gt;</w:t>
      </w:r>
    </w:p>
    <w:p w14:paraId="5AF2AA68" w14:textId="77777777" w:rsidR="00A052DC" w:rsidRDefault="009F0A60">
      <w:r>
        <w:t>&lt;BILLNO&gt;</w:t>
      </w:r>
      <w:r>
        <w:rPr>
          <w:rFonts w:hint="eastAsia"/>
        </w:rPr>
        <w:t>提运单号</w:t>
      </w:r>
      <w:r>
        <w:rPr>
          <w:rFonts w:hint="eastAsia"/>
        </w:rPr>
        <w:t>/</w:t>
      </w:r>
      <w:r>
        <w:rPr>
          <w:rFonts w:hint="eastAsia"/>
        </w:rPr>
        <w:t>仓单号</w:t>
      </w:r>
      <w:r>
        <w:t>&lt;/BILLNO&gt;</w:t>
      </w:r>
    </w:p>
    <w:p w14:paraId="2A80487A" w14:textId="77777777" w:rsidR="00A052DC" w:rsidRDefault="009F0A60">
      <w:r>
        <w:t>&lt;CONTAMT&gt;</w:t>
      </w:r>
      <w:r>
        <w:rPr>
          <w:rFonts w:hint="eastAsia"/>
        </w:rPr>
        <w:t>合同金额</w:t>
      </w:r>
      <w:r>
        <w:t>&lt;/CONTAMT&gt;</w:t>
      </w:r>
    </w:p>
    <w:p w14:paraId="16692AFE" w14:textId="77777777" w:rsidR="00A052DC" w:rsidRDefault="009F0A60">
      <w:r>
        <w:t>&lt;REGNO&gt;</w:t>
      </w:r>
      <w:r>
        <w:rPr>
          <w:rFonts w:hint="eastAsia"/>
        </w:rPr>
        <w:t>外汇局批件号</w:t>
      </w:r>
      <w:r>
        <w:t>/</w:t>
      </w:r>
      <w:r>
        <w:rPr>
          <w:rFonts w:hint="eastAsia"/>
        </w:rPr>
        <w:t>备案表号</w:t>
      </w:r>
      <w:r>
        <w:t>/</w:t>
      </w:r>
      <w:r>
        <w:rPr>
          <w:rFonts w:hint="eastAsia"/>
        </w:rPr>
        <w:t>业务编号</w:t>
      </w:r>
      <w:r>
        <w:t>&lt;/REGNO&gt;</w:t>
      </w:r>
    </w:p>
    <w:p w14:paraId="5BA30E5D" w14:textId="77777777" w:rsidR="00A052DC" w:rsidRDefault="009F0A60">
      <w:r>
        <w:t>&lt;CRTUSER&gt;</w:t>
      </w:r>
      <w:r>
        <w:rPr>
          <w:rFonts w:hint="eastAsia"/>
        </w:rPr>
        <w:t>填报人</w:t>
      </w:r>
      <w:r>
        <w:t>&lt;/CRTUSER&gt;</w:t>
      </w:r>
    </w:p>
    <w:p w14:paraId="196AF98D" w14:textId="77777777" w:rsidR="00A052DC" w:rsidRDefault="009F0A60">
      <w:r>
        <w:t>&lt;INPTELC&gt;</w:t>
      </w:r>
      <w:r>
        <w:rPr>
          <w:rFonts w:hint="eastAsia"/>
        </w:rPr>
        <w:t>填报人电话</w:t>
      </w:r>
      <w:r>
        <w:t>&lt;/INPTELC&gt;</w:t>
      </w:r>
    </w:p>
    <w:p w14:paraId="37F4620D" w14:textId="77777777" w:rsidR="00A052DC" w:rsidRDefault="009F0A60">
      <w:r>
        <w:t>&lt;RPTDATE&gt;</w:t>
      </w:r>
      <w:r>
        <w:rPr>
          <w:rFonts w:hint="eastAsia"/>
        </w:rPr>
        <w:t>申报日期</w:t>
      </w:r>
      <w:r>
        <w:t>&lt;/RPTDATE&gt;</w:t>
      </w:r>
    </w:p>
    <w:p w14:paraId="35625FAB" w14:textId="77777777" w:rsidR="00A052DC" w:rsidRDefault="009F0A60">
      <w:r>
        <w:t>&lt;/REC&gt;</w:t>
      </w:r>
    </w:p>
    <w:p w14:paraId="19FCFFE3" w14:textId="77777777" w:rsidR="00A052DC" w:rsidRDefault="009F0A60" w:rsidP="0020251D">
      <w:pPr>
        <w:pStyle w:val="4"/>
        <w:numPr>
          <w:ilvl w:val="3"/>
          <w:numId w:val="1"/>
        </w:numPr>
        <w:jc w:val="left"/>
      </w:pPr>
      <w:bookmarkStart w:id="1311" w:name="_Toc454386817"/>
      <w:bookmarkStart w:id="1312" w:name="_Toc454386818"/>
      <w:bookmarkStart w:id="1313" w:name="_Toc310598205"/>
      <w:bookmarkStart w:id="1314" w:name="_Toc132432580"/>
      <w:bookmarkEnd w:id="1311"/>
      <w:r>
        <w:rPr>
          <w:rFonts w:hint="eastAsia"/>
        </w:rPr>
        <w:t>数据字典</w:t>
      </w:r>
      <w:bookmarkEnd w:id="1312"/>
      <w:bookmarkEnd w:id="1313"/>
      <w:bookmarkEnd w:id="1314"/>
    </w:p>
    <w:tbl>
      <w:tblPr>
        <w:tblW w:w="86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701"/>
        <w:gridCol w:w="1559"/>
        <w:gridCol w:w="3969"/>
      </w:tblGrid>
      <w:tr w:rsidR="00A052DC" w14:paraId="231EFE1A" w14:textId="77777777">
        <w:trPr>
          <w:tblHeader/>
        </w:trPr>
        <w:tc>
          <w:tcPr>
            <w:tcW w:w="1418" w:type="dxa"/>
            <w:shd w:val="clear" w:color="auto" w:fill="C0C0C0"/>
          </w:tcPr>
          <w:p w14:paraId="19F155FF" w14:textId="77777777" w:rsidR="00A052DC" w:rsidRDefault="009F0A60">
            <w:pPr>
              <w:jc w:val="center"/>
              <w:rPr>
                <w:rFonts w:ascii="黑体" w:eastAsia="黑体" w:hAnsi="黑体"/>
                <w:b/>
                <w:sz w:val="20"/>
                <w:szCs w:val="20"/>
              </w:rPr>
            </w:pPr>
            <w:r>
              <w:rPr>
                <w:rFonts w:ascii="黑体" w:eastAsia="黑体" w:hAnsi="黑体" w:hint="eastAsia"/>
                <w:b/>
                <w:sz w:val="20"/>
                <w:szCs w:val="20"/>
              </w:rPr>
              <w:t>字段</w:t>
            </w:r>
          </w:p>
        </w:tc>
        <w:tc>
          <w:tcPr>
            <w:tcW w:w="1701" w:type="dxa"/>
            <w:shd w:val="clear" w:color="auto" w:fill="C0C0C0"/>
          </w:tcPr>
          <w:p w14:paraId="5A7CE9C2" w14:textId="77777777" w:rsidR="00A052DC" w:rsidRDefault="009F0A60">
            <w:pPr>
              <w:jc w:val="center"/>
              <w:rPr>
                <w:rFonts w:ascii="黑体" w:eastAsia="黑体" w:hAnsi="黑体"/>
                <w:b/>
                <w:sz w:val="20"/>
                <w:szCs w:val="20"/>
              </w:rPr>
            </w:pPr>
            <w:r>
              <w:rPr>
                <w:rFonts w:ascii="黑体" w:eastAsia="黑体" w:hAnsi="黑体" w:hint="eastAsia"/>
                <w:b/>
                <w:sz w:val="20"/>
                <w:szCs w:val="20"/>
              </w:rPr>
              <w:t>内容</w:t>
            </w:r>
          </w:p>
        </w:tc>
        <w:tc>
          <w:tcPr>
            <w:tcW w:w="1559" w:type="dxa"/>
            <w:shd w:val="clear" w:color="auto" w:fill="C0C0C0"/>
          </w:tcPr>
          <w:p w14:paraId="05209451" w14:textId="77777777" w:rsidR="00A052DC" w:rsidRDefault="009F0A60">
            <w:pPr>
              <w:jc w:val="center"/>
              <w:rPr>
                <w:rFonts w:ascii="黑体" w:eastAsia="黑体" w:hAnsi="黑体"/>
                <w:b/>
                <w:sz w:val="20"/>
                <w:szCs w:val="20"/>
              </w:rPr>
            </w:pPr>
            <w:r>
              <w:rPr>
                <w:rFonts w:ascii="黑体" w:eastAsia="黑体" w:hAnsi="黑体" w:hint="eastAsia"/>
                <w:b/>
                <w:sz w:val="20"/>
                <w:szCs w:val="20"/>
              </w:rPr>
              <w:t>类型（长度）</w:t>
            </w:r>
          </w:p>
        </w:tc>
        <w:tc>
          <w:tcPr>
            <w:tcW w:w="3969" w:type="dxa"/>
            <w:shd w:val="clear" w:color="auto" w:fill="C0C0C0"/>
          </w:tcPr>
          <w:p w14:paraId="4DE69CED" w14:textId="77777777" w:rsidR="00A052DC" w:rsidRDefault="009F0A60">
            <w:pPr>
              <w:jc w:val="center"/>
              <w:rPr>
                <w:rFonts w:ascii="黑体" w:eastAsia="黑体" w:hAnsi="黑体"/>
                <w:b/>
                <w:sz w:val="20"/>
                <w:szCs w:val="20"/>
              </w:rPr>
            </w:pPr>
            <w:r>
              <w:rPr>
                <w:rFonts w:ascii="黑体" w:eastAsia="黑体" w:hAnsi="黑体" w:hint="eastAsia"/>
                <w:b/>
                <w:sz w:val="20"/>
                <w:szCs w:val="20"/>
              </w:rPr>
              <w:t>校验</w:t>
            </w:r>
          </w:p>
        </w:tc>
      </w:tr>
      <w:tr w:rsidR="00A052DC" w14:paraId="6A812B9C" w14:textId="77777777">
        <w:tc>
          <w:tcPr>
            <w:tcW w:w="1418" w:type="dxa"/>
            <w:tcBorders>
              <w:top w:val="single" w:sz="4" w:space="0" w:color="auto"/>
              <w:left w:val="single" w:sz="4" w:space="0" w:color="auto"/>
              <w:bottom w:val="single" w:sz="4" w:space="0" w:color="auto"/>
              <w:right w:val="single" w:sz="4" w:space="0" w:color="auto"/>
            </w:tcBorders>
          </w:tcPr>
          <w:p w14:paraId="7706E24A" w14:textId="77777777" w:rsidR="00A052DC" w:rsidRDefault="009F0A60">
            <w:pPr>
              <w:rPr>
                <w:rFonts w:ascii="黑体" w:eastAsia="黑体" w:hAnsi="黑体"/>
                <w:sz w:val="20"/>
                <w:szCs w:val="20"/>
              </w:rPr>
            </w:pPr>
            <w:r>
              <w:rPr>
                <w:rFonts w:ascii="黑体" w:eastAsia="黑体" w:hAnsi="黑体" w:hint="eastAsia"/>
                <w:sz w:val="20"/>
                <w:szCs w:val="20"/>
              </w:rPr>
              <w:t>ACTIONTYPE</w:t>
            </w:r>
          </w:p>
        </w:tc>
        <w:tc>
          <w:tcPr>
            <w:tcW w:w="1701" w:type="dxa"/>
            <w:tcBorders>
              <w:top w:val="single" w:sz="4" w:space="0" w:color="auto"/>
              <w:left w:val="single" w:sz="4" w:space="0" w:color="auto"/>
              <w:bottom w:val="single" w:sz="4" w:space="0" w:color="auto"/>
              <w:right w:val="single" w:sz="4" w:space="0" w:color="auto"/>
            </w:tcBorders>
          </w:tcPr>
          <w:p w14:paraId="5E242F96" w14:textId="77777777" w:rsidR="00A052DC" w:rsidRDefault="009F0A60">
            <w:pPr>
              <w:rPr>
                <w:rFonts w:ascii="黑体" w:eastAsia="黑体" w:hAnsi="黑体"/>
                <w:sz w:val="20"/>
                <w:szCs w:val="20"/>
              </w:rPr>
            </w:pPr>
            <w:r>
              <w:rPr>
                <w:rFonts w:ascii="黑体" w:eastAsia="黑体" w:hAnsi="黑体" w:hint="eastAsia"/>
                <w:sz w:val="20"/>
                <w:szCs w:val="20"/>
              </w:rPr>
              <w:t>操作类型</w:t>
            </w:r>
          </w:p>
        </w:tc>
        <w:tc>
          <w:tcPr>
            <w:tcW w:w="1559" w:type="dxa"/>
            <w:tcBorders>
              <w:top w:val="single" w:sz="4" w:space="0" w:color="auto"/>
              <w:left w:val="single" w:sz="4" w:space="0" w:color="auto"/>
              <w:bottom w:val="single" w:sz="4" w:space="0" w:color="auto"/>
              <w:right w:val="single" w:sz="4" w:space="0" w:color="auto"/>
            </w:tcBorders>
          </w:tcPr>
          <w:p w14:paraId="2D426D54" w14:textId="77777777" w:rsidR="00A052DC" w:rsidRDefault="009F0A60">
            <w:pPr>
              <w:rPr>
                <w:rFonts w:ascii="黑体" w:eastAsia="黑体" w:hAnsi="黑体"/>
                <w:sz w:val="20"/>
                <w:szCs w:val="20"/>
              </w:rPr>
            </w:pPr>
            <w:r>
              <w:rPr>
                <w:rFonts w:ascii="黑体" w:eastAsia="黑体" w:hAnsi="黑体" w:hint="eastAsia"/>
                <w:sz w:val="20"/>
                <w:szCs w:val="20"/>
              </w:rPr>
              <w:t>字符型，1</w:t>
            </w:r>
          </w:p>
        </w:tc>
        <w:tc>
          <w:tcPr>
            <w:tcW w:w="3969" w:type="dxa"/>
            <w:tcBorders>
              <w:top w:val="single" w:sz="4" w:space="0" w:color="auto"/>
              <w:left w:val="single" w:sz="4" w:space="0" w:color="auto"/>
              <w:bottom w:val="single" w:sz="4" w:space="0" w:color="auto"/>
              <w:right w:val="single" w:sz="4" w:space="0" w:color="auto"/>
            </w:tcBorders>
          </w:tcPr>
          <w:p w14:paraId="6868EF34" w14:textId="77777777" w:rsidR="00A052DC" w:rsidRDefault="009F0A60">
            <w:pPr>
              <w:rPr>
                <w:rFonts w:ascii="黑体" w:eastAsia="黑体" w:hAnsi="黑体"/>
                <w:sz w:val="20"/>
                <w:szCs w:val="20"/>
              </w:rPr>
            </w:pPr>
            <w:r>
              <w:rPr>
                <w:rFonts w:ascii="黑体" w:eastAsia="黑体" w:hAnsi="黑体" w:hint="eastAsia"/>
                <w:sz w:val="20"/>
                <w:szCs w:val="20"/>
              </w:rPr>
              <w:t>A</w:t>
            </w:r>
            <w:r w:rsidR="00AE4602">
              <w:rPr>
                <w:rFonts w:ascii="黑体" w:eastAsia="黑体" w:hAnsi="黑体" w:hint="eastAsia"/>
                <w:sz w:val="20"/>
                <w:szCs w:val="20"/>
              </w:rPr>
              <w:t>-</w:t>
            </w:r>
            <w:r>
              <w:rPr>
                <w:rFonts w:ascii="黑体" w:eastAsia="黑体" w:hAnsi="黑体" w:hint="eastAsia"/>
                <w:sz w:val="20"/>
                <w:szCs w:val="20"/>
              </w:rPr>
              <w:t>新建</w:t>
            </w:r>
          </w:p>
          <w:p w14:paraId="1CAD86DE" w14:textId="77777777" w:rsidR="00A052DC" w:rsidRDefault="009F0A60">
            <w:pPr>
              <w:rPr>
                <w:rFonts w:ascii="黑体" w:eastAsia="黑体" w:hAnsi="黑体"/>
                <w:sz w:val="20"/>
                <w:szCs w:val="20"/>
              </w:rPr>
            </w:pPr>
            <w:r>
              <w:rPr>
                <w:rFonts w:ascii="黑体" w:eastAsia="黑体" w:hAnsi="黑体" w:hint="eastAsia"/>
                <w:sz w:val="20"/>
                <w:szCs w:val="20"/>
              </w:rPr>
              <w:t>C</w:t>
            </w:r>
            <w:r w:rsidR="00AE4602">
              <w:rPr>
                <w:rFonts w:ascii="黑体" w:eastAsia="黑体" w:hAnsi="黑体" w:hint="eastAsia"/>
                <w:sz w:val="20"/>
                <w:szCs w:val="20"/>
              </w:rPr>
              <w:t>-</w:t>
            </w:r>
            <w:r>
              <w:rPr>
                <w:rFonts w:ascii="黑体" w:eastAsia="黑体" w:hAnsi="黑体" w:hint="eastAsia"/>
                <w:sz w:val="20"/>
                <w:szCs w:val="20"/>
              </w:rPr>
              <w:t>修改</w:t>
            </w:r>
          </w:p>
          <w:p w14:paraId="481BB87B" w14:textId="77777777" w:rsidR="00A052DC" w:rsidRDefault="009F0A60">
            <w:pPr>
              <w:rPr>
                <w:rFonts w:ascii="黑体" w:eastAsia="黑体" w:hAnsi="黑体"/>
                <w:sz w:val="20"/>
                <w:szCs w:val="20"/>
              </w:rPr>
            </w:pPr>
            <w:r>
              <w:rPr>
                <w:rFonts w:ascii="黑体" w:eastAsia="黑体" w:hAnsi="黑体" w:hint="eastAsia"/>
                <w:sz w:val="20"/>
                <w:szCs w:val="20"/>
              </w:rPr>
              <w:t>D</w:t>
            </w:r>
            <w:r w:rsidR="00AE4602">
              <w:rPr>
                <w:rFonts w:ascii="黑体" w:eastAsia="黑体" w:hAnsi="黑体" w:hint="eastAsia"/>
                <w:sz w:val="20"/>
                <w:szCs w:val="20"/>
              </w:rPr>
              <w:t>-</w:t>
            </w:r>
            <w:r>
              <w:rPr>
                <w:rFonts w:ascii="黑体" w:eastAsia="黑体" w:hAnsi="黑体" w:hint="eastAsia"/>
                <w:sz w:val="20"/>
                <w:szCs w:val="20"/>
              </w:rPr>
              <w:t>删除，预留，暂不用</w:t>
            </w:r>
          </w:p>
        </w:tc>
      </w:tr>
      <w:tr w:rsidR="00A052DC" w14:paraId="354570FA" w14:textId="77777777">
        <w:tc>
          <w:tcPr>
            <w:tcW w:w="1418" w:type="dxa"/>
            <w:tcBorders>
              <w:top w:val="single" w:sz="4" w:space="0" w:color="auto"/>
              <w:left w:val="single" w:sz="4" w:space="0" w:color="auto"/>
              <w:bottom w:val="single" w:sz="4" w:space="0" w:color="auto"/>
              <w:right w:val="single" w:sz="4" w:space="0" w:color="auto"/>
            </w:tcBorders>
          </w:tcPr>
          <w:p w14:paraId="7872F335" w14:textId="77777777" w:rsidR="00A052DC" w:rsidRDefault="009F0A60">
            <w:pPr>
              <w:rPr>
                <w:rFonts w:ascii="黑体" w:eastAsia="黑体" w:hAnsi="黑体"/>
                <w:sz w:val="20"/>
                <w:szCs w:val="20"/>
              </w:rPr>
            </w:pPr>
            <w:r>
              <w:rPr>
                <w:rFonts w:ascii="黑体" w:eastAsia="黑体" w:hAnsi="黑体" w:hint="eastAsia"/>
                <w:sz w:val="20"/>
                <w:szCs w:val="20"/>
              </w:rPr>
              <w:t>ACTIONDESC</w:t>
            </w:r>
          </w:p>
        </w:tc>
        <w:tc>
          <w:tcPr>
            <w:tcW w:w="1701" w:type="dxa"/>
            <w:tcBorders>
              <w:top w:val="single" w:sz="4" w:space="0" w:color="auto"/>
              <w:left w:val="single" w:sz="4" w:space="0" w:color="auto"/>
              <w:bottom w:val="single" w:sz="4" w:space="0" w:color="auto"/>
              <w:right w:val="single" w:sz="4" w:space="0" w:color="auto"/>
            </w:tcBorders>
          </w:tcPr>
          <w:p w14:paraId="6CE93BE7" w14:textId="77777777" w:rsidR="00A052DC" w:rsidRDefault="009F0A60">
            <w:pPr>
              <w:rPr>
                <w:rFonts w:ascii="黑体" w:eastAsia="黑体" w:hAnsi="黑体"/>
                <w:sz w:val="20"/>
                <w:szCs w:val="20"/>
              </w:rPr>
            </w:pPr>
            <w:r>
              <w:rPr>
                <w:rFonts w:ascii="黑体" w:eastAsia="黑体" w:hAnsi="黑体" w:hint="eastAsia"/>
                <w:sz w:val="20"/>
                <w:szCs w:val="20"/>
              </w:rPr>
              <w:t>修改/删除原因</w:t>
            </w:r>
          </w:p>
        </w:tc>
        <w:tc>
          <w:tcPr>
            <w:tcW w:w="1559" w:type="dxa"/>
            <w:tcBorders>
              <w:top w:val="single" w:sz="4" w:space="0" w:color="auto"/>
              <w:left w:val="single" w:sz="4" w:space="0" w:color="auto"/>
              <w:bottom w:val="single" w:sz="4" w:space="0" w:color="auto"/>
              <w:right w:val="single" w:sz="4" w:space="0" w:color="auto"/>
            </w:tcBorders>
          </w:tcPr>
          <w:p w14:paraId="4AABEC4D"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3969" w:type="dxa"/>
            <w:tcBorders>
              <w:top w:val="single" w:sz="4" w:space="0" w:color="auto"/>
              <w:left w:val="single" w:sz="4" w:space="0" w:color="auto"/>
              <w:bottom w:val="single" w:sz="4" w:space="0" w:color="auto"/>
              <w:right w:val="single" w:sz="4" w:space="0" w:color="auto"/>
            </w:tcBorders>
          </w:tcPr>
          <w:p w14:paraId="409528A7" w14:textId="77777777" w:rsidR="00A052DC" w:rsidRDefault="00A052DC">
            <w:pPr>
              <w:rPr>
                <w:rFonts w:ascii="黑体" w:eastAsia="黑体" w:hAnsi="黑体"/>
                <w:sz w:val="20"/>
                <w:szCs w:val="20"/>
              </w:rPr>
            </w:pPr>
          </w:p>
        </w:tc>
      </w:tr>
      <w:tr w:rsidR="00A052DC" w14:paraId="26DCB5C9" w14:textId="77777777">
        <w:tc>
          <w:tcPr>
            <w:tcW w:w="1418" w:type="dxa"/>
          </w:tcPr>
          <w:p w14:paraId="440BE649" w14:textId="77777777" w:rsidR="00A052DC" w:rsidRDefault="009F0A60">
            <w:pPr>
              <w:rPr>
                <w:rFonts w:ascii="黑体" w:eastAsia="黑体" w:hAnsi="黑体"/>
                <w:sz w:val="20"/>
                <w:szCs w:val="20"/>
              </w:rPr>
            </w:pPr>
            <w:r>
              <w:rPr>
                <w:rFonts w:ascii="黑体" w:eastAsia="黑体" w:hAnsi="黑体" w:hint="eastAsia"/>
                <w:sz w:val="20"/>
                <w:szCs w:val="20"/>
              </w:rPr>
              <w:t>RPTNO</w:t>
            </w:r>
          </w:p>
        </w:tc>
        <w:tc>
          <w:tcPr>
            <w:tcW w:w="1701" w:type="dxa"/>
          </w:tcPr>
          <w:p w14:paraId="178E5298" w14:textId="77777777" w:rsidR="00A052DC" w:rsidRDefault="009F0A60">
            <w:pPr>
              <w:rPr>
                <w:rFonts w:ascii="黑体" w:eastAsia="黑体" w:hAnsi="黑体"/>
                <w:sz w:val="20"/>
                <w:szCs w:val="20"/>
              </w:rPr>
            </w:pPr>
            <w:r>
              <w:rPr>
                <w:rFonts w:ascii="黑体" w:eastAsia="黑体" w:hAnsi="黑体" w:hint="eastAsia"/>
                <w:sz w:val="20"/>
                <w:szCs w:val="20"/>
              </w:rPr>
              <w:t>申报号码</w:t>
            </w:r>
          </w:p>
        </w:tc>
        <w:tc>
          <w:tcPr>
            <w:tcW w:w="1559" w:type="dxa"/>
          </w:tcPr>
          <w:p w14:paraId="4A033D0D" w14:textId="77777777" w:rsidR="00A052DC" w:rsidRDefault="009F0A60">
            <w:pPr>
              <w:rPr>
                <w:rFonts w:ascii="黑体" w:eastAsia="黑体" w:hAnsi="黑体"/>
                <w:sz w:val="20"/>
                <w:szCs w:val="20"/>
              </w:rPr>
            </w:pPr>
            <w:r>
              <w:rPr>
                <w:rFonts w:ascii="黑体" w:eastAsia="黑体" w:hAnsi="黑体" w:hint="eastAsia"/>
                <w:sz w:val="20"/>
                <w:szCs w:val="20"/>
              </w:rPr>
              <w:t>字符型，22</w:t>
            </w:r>
          </w:p>
        </w:tc>
        <w:tc>
          <w:tcPr>
            <w:tcW w:w="3969" w:type="dxa"/>
          </w:tcPr>
          <w:p w14:paraId="7949FF86" w14:textId="77777777" w:rsidR="00A052DC" w:rsidRDefault="009F0A60">
            <w:pPr>
              <w:rPr>
                <w:rFonts w:ascii="黑体" w:eastAsia="黑体" w:hAnsi="黑体"/>
                <w:sz w:val="20"/>
                <w:szCs w:val="20"/>
              </w:rPr>
            </w:pPr>
            <w:r>
              <w:rPr>
                <w:rFonts w:ascii="黑体" w:eastAsia="黑体" w:hAnsi="黑体" w:hint="eastAsia"/>
                <w:sz w:val="20"/>
                <w:szCs w:val="20"/>
              </w:rPr>
              <w:t>应与基础数据一致。</w:t>
            </w:r>
          </w:p>
        </w:tc>
      </w:tr>
      <w:tr w:rsidR="00A052DC" w14:paraId="45EC7C4E" w14:textId="77777777">
        <w:tc>
          <w:tcPr>
            <w:tcW w:w="1418" w:type="dxa"/>
          </w:tcPr>
          <w:p w14:paraId="7C36AE77" w14:textId="77777777" w:rsidR="00A052DC" w:rsidRDefault="009F0A60">
            <w:pPr>
              <w:rPr>
                <w:rFonts w:ascii="黑体" w:eastAsia="黑体" w:hAnsi="黑体"/>
                <w:sz w:val="20"/>
                <w:szCs w:val="20"/>
              </w:rPr>
            </w:pPr>
            <w:r>
              <w:rPr>
                <w:rFonts w:ascii="黑体" w:eastAsia="黑体" w:hAnsi="黑体" w:hint="eastAsia"/>
                <w:sz w:val="20"/>
                <w:szCs w:val="20"/>
              </w:rPr>
              <w:t>ISREF</w:t>
            </w:r>
          </w:p>
        </w:tc>
        <w:tc>
          <w:tcPr>
            <w:tcW w:w="1701" w:type="dxa"/>
          </w:tcPr>
          <w:p w14:paraId="58D01240" w14:textId="77777777" w:rsidR="00A052DC" w:rsidRDefault="009F0A60">
            <w:pPr>
              <w:rPr>
                <w:rFonts w:ascii="黑体" w:eastAsia="黑体" w:hAnsi="黑体"/>
                <w:sz w:val="20"/>
                <w:szCs w:val="20"/>
              </w:rPr>
            </w:pPr>
            <w:r>
              <w:rPr>
                <w:rFonts w:ascii="黑体" w:eastAsia="黑体" w:hAnsi="黑体" w:hint="eastAsia"/>
                <w:sz w:val="20"/>
                <w:szCs w:val="20"/>
              </w:rPr>
              <w:t>是否保税货物项下付款</w:t>
            </w:r>
          </w:p>
        </w:tc>
        <w:tc>
          <w:tcPr>
            <w:tcW w:w="1559" w:type="dxa"/>
          </w:tcPr>
          <w:p w14:paraId="41590761" w14:textId="77777777" w:rsidR="00A052DC" w:rsidRDefault="009F0A60">
            <w:pPr>
              <w:rPr>
                <w:rFonts w:ascii="黑体" w:eastAsia="黑体" w:hAnsi="黑体"/>
                <w:sz w:val="20"/>
                <w:szCs w:val="20"/>
              </w:rPr>
            </w:pPr>
            <w:r>
              <w:rPr>
                <w:rFonts w:ascii="黑体" w:eastAsia="黑体" w:hAnsi="黑体" w:hint="eastAsia"/>
                <w:sz w:val="20"/>
                <w:szCs w:val="20"/>
              </w:rPr>
              <w:t>字符型，1</w:t>
            </w:r>
          </w:p>
        </w:tc>
        <w:tc>
          <w:tcPr>
            <w:tcW w:w="3969" w:type="dxa"/>
          </w:tcPr>
          <w:p w14:paraId="0F7CDDD2" w14:textId="77777777" w:rsidR="00A052DC" w:rsidRDefault="009F0A60">
            <w:pPr>
              <w:rPr>
                <w:rFonts w:ascii="黑体" w:eastAsia="黑体" w:hAnsi="黑体"/>
                <w:sz w:val="20"/>
                <w:szCs w:val="20"/>
              </w:rPr>
            </w:pPr>
            <w:r>
              <w:rPr>
                <w:rFonts w:ascii="黑体" w:eastAsia="黑体" w:hAnsi="黑体" w:hint="eastAsia"/>
                <w:sz w:val="20"/>
                <w:szCs w:val="20"/>
              </w:rPr>
              <w:t>Y</w:t>
            </w:r>
            <w:r w:rsidR="00AE4602">
              <w:rPr>
                <w:rFonts w:ascii="黑体" w:eastAsia="黑体" w:hAnsi="黑体" w:hint="eastAsia"/>
                <w:sz w:val="20"/>
                <w:szCs w:val="20"/>
              </w:rPr>
              <w:t>-</w:t>
            </w:r>
            <w:r>
              <w:rPr>
                <w:rFonts w:ascii="黑体" w:eastAsia="黑体" w:hAnsi="黑体" w:hint="eastAsia"/>
                <w:sz w:val="20"/>
                <w:szCs w:val="20"/>
              </w:rPr>
              <w:t>是</w:t>
            </w:r>
          </w:p>
          <w:p w14:paraId="44568300" w14:textId="77777777" w:rsidR="00A052DC" w:rsidRDefault="009F0A60">
            <w:pPr>
              <w:rPr>
                <w:rFonts w:ascii="黑体" w:eastAsia="黑体" w:hAnsi="黑体"/>
                <w:sz w:val="20"/>
                <w:szCs w:val="20"/>
              </w:rPr>
            </w:pPr>
            <w:r>
              <w:rPr>
                <w:rFonts w:ascii="黑体" w:eastAsia="黑体" w:hAnsi="黑体" w:hint="eastAsia"/>
                <w:sz w:val="20"/>
                <w:szCs w:val="20"/>
              </w:rPr>
              <w:t>N</w:t>
            </w:r>
            <w:r w:rsidR="00AE4602">
              <w:rPr>
                <w:rFonts w:ascii="黑体" w:eastAsia="黑体" w:hAnsi="黑体" w:hint="eastAsia"/>
                <w:sz w:val="20"/>
                <w:szCs w:val="20"/>
              </w:rPr>
              <w:t>-</w:t>
            </w:r>
            <w:r>
              <w:rPr>
                <w:rFonts w:ascii="黑体" w:eastAsia="黑体" w:hAnsi="黑体" w:hint="eastAsia"/>
                <w:sz w:val="20"/>
                <w:szCs w:val="20"/>
              </w:rPr>
              <w:t>否</w:t>
            </w:r>
          </w:p>
        </w:tc>
      </w:tr>
      <w:tr w:rsidR="00A052DC" w14:paraId="1EB294F3" w14:textId="77777777">
        <w:tc>
          <w:tcPr>
            <w:tcW w:w="1418" w:type="dxa"/>
          </w:tcPr>
          <w:p w14:paraId="1C6985FE" w14:textId="77777777" w:rsidR="00A052DC" w:rsidRDefault="009F0A60">
            <w:pPr>
              <w:rPr>
                <w:rFonts w:ascii="黑体" w:eastAsia="黑体" w:hAnsi="黑体"/>
                <w:sz w:val="20"/>
                <w:szCs w:val="20"/>
              </w:rPr>
            </w:pPr>
            <w:r>
              <w:rPr>
                <w:rFonts w:ascii="黑体" w:eastAsia="黑体" w:hAnsi="黑体" w:hint="eastAsia"/>
                <w:sz w:val="20"/>
                <w:szCs w:val="20"/>
              </w:rPr>
              <w:t>COUNTRY</w:t>
            </w:r>
          </w:p>
        </w:tc>
        <w:tc>
          <w:tcPr>
            <w:tcW w:w="1701" w:type="dxa"/>
          </w:tcPr>
          <w:p w14:paraId="174629F5" w14:textId="77777777" w:rsidR="00A052DC" w:rsidRDefault="009F0A60">
            <w:pPr>
              <w:rPr>
                <w:rFonts w:ascii="黑体" w:eastAsia="黑体" w:hAnsi="黑体"/>
                <w:sz w:val="20"/>
                <w:szCs w:val="20"/>
              </w:rPr>
            </w:pPr>
            <w:r>
              <w:rPr>
                <w:rFonts w:ascii="黑体" w:eastAsia="黑体" w:hAnsi="黑体" w:hint="eastAsia"/>
                <w:sz w:val="20"/>
                <w:szCs w:val="20"/>
              </w:rPr>
              <w:t>收款人常驻国家/地区代码</w:t>
            </w:r>
          </w:p>
        </w:tc>
        <w:tc>
          <w:tcPr>
            <w:tcW w:w="1559" w:type="dxa"/>
          </w:tcPr>
          <w:p w14:paraId="79C456D2" w14:textId="77777777" w:rsidR="00A052DC" w:rsidRDefault="009F0A60">
            <w:pPr>
              <w:rPr>
                <w:rFonts w:ascii="黑体" w:eastAsia="黑体" w:hAnsi="黑体"/>
                <w:sz w:val="20"/>
                <w:szCs w:val="20"/>
              </w:rPr>
            </w:pPr>
            <w:r>
              <w:rPr>
                <w:rFonts w:ascii="黑体" w:eastAsia="黑体" w:hAnsi="黑体" w:hint="eastAsia"/>
                <w:sz w:val="20"/>
                <w:szCs w:val="20"/>
              </w:rPr>
              <w:t>字符型，3</w:t>
            </w:r>
          </w:p>
        </w:tc>
        <w:tc>
          <w:tcPr>
            <w:tcW w:w="3969" w:type="dxa"/>
          </w:tcPr>
          <w:p w14:paraId="7C43A6AE" w14:textId="77777777" w:rsidR="00A052DC" w:rsidRDefault="009F0A60">
            <w:pPr>
              <w:rPr>
                <w:rFonts w:ascii="黑体" w:eastAsia="黑体" w:hAnsi="黑体"/>
                <w:sz w:val="20"/>
                <w:szCs w:val="20"/>
              </w:rPr>
            </w:pPr>
            <w:r>
              <w:rPr>
                <w:rFonts w:ascii="黑体" w:eastAsia="黑体" w:hAnsi="黑体" w:hint="eastAsia"/>
                <w:sz w:val="20"/>
                <w:szCs w:val="20"/>
              </w:rPr>
              <w:t>必填项，</w:t>
            </w:r>
          </w:p>
          <w:p w14:paraId="4A5E4CBC" w14:textId="77777777" w:rsidR="00A052DC" w:rsidRDefault="009F0A60">
            <w:pPr>
              <w:rPr>
                <w:rFonts w:ascii="黑体" w:eastAsia="黑体" w:hAnsi="黑体"/>
                <w:sz w:val="20"/>
                <w:szCs w:val="20"/>
              </w:rPr>
            </w:pPr>
            <w:r>
              <w:rPr>
                <w:rFonts w:ascii="黑体" w:eastAsia="黑体" w:hAnsi="黑体" w:hint="eastAsia"/>
                <w:sz w:val="20"/>
                <w:szCs w:val="20"/>
              </w:rPr>
              <w:t>使用国家和地区代码表中的3位字母代码</w:t>
            </w:r>
            <w:r w:rsidR="009708FD">
              <w:rPr>
                <w:rFonts w:ascii="黑体" w:eastAsia="黑体" w:hAnsi="黑体" w:hint="eastAsia"/>
                <w:sz w:val="20"/>
                <w:szCs w:val="20"/>
              </w:rPr>
              <w:t>。</w:t>
            </w:r>
          </w:p>
        </w:tc>
      </w:tr>
      <w:tr w:rsidR="00A052DC" w14:paraId="50EC3DFB" w14:textId="77777777">
        <w:tc>
          <w:tcPr>
            <w:tcW w:w="1418" w:type="dxa"/>
          </w:tcPr>
          <w:p w14:paraId="44090126" w14:textId="77777777" w:rsidR="00A052DC" w:rsidRDefault="009F0A60">
            <w:pPr>
              <w:rPr>
                <w:rFonts w:ascii="黑体" w:eastAsia="黑体" w:hAnsi="黑体"/>
                <w:sz w:val="20"/>
                <w:szCs w:val="20"/>
              </w:rPr>
            </w:pPr>
            <w:r>
              <w:rPr>
                <w:rFonts w:ascii="黑体" w:eastAsia="黑体" w:hAnsi="黑体" w:hint="eastAsia"/>
                <w:sz w:val="20"/>
                <w:szCs w:val="20"/>
              </w:rPr>
              <w:t>PAYTYPE</w:t>
            </w:r>
          </w:p>
        </w:tc>
        <w:tc>
          <w:tcPr>
            <w:tcW w:w="1701" w:type="dxa"/>
          </w:tcPr>
          <w:p w14:paraId="287DE499" w14:textId="77777777" w:rsidR="00A052DC" w:rsidRDefault="009F0A60">
            <w:pPr>
              <w:rPr>
                <w:rFonts w:ascii="黑体" w:eastAsia="黑体" w:hAnsi="黑体"/>
                <w:sz w:val="20"/>
                <w:szCs w:val="20"/>
              </w:rPr>
            </w:pPr>
            <w:r>
              <w:rPr>
                <w:rFonts w:ascii="黑体" w:eastAsia="黑体" w:hAnsi="黑体" w:hint="eastAsia"/>
                <w:sz w:val="20"/>
                <w:szCs w:val="20"/>
              </w:rPr>
              <w:t>付款类型</w:t>
            </w:r>
          </w:p>
        </w:tc>
        <w:tc>
          <w:tcPr>
            <w:tcW w:w="1559" w:type="dxa"/>
          </w:tcPr>
          <w:p w14:paraId="00B79A9A" w14:textId="77777777" w:rsidR="00A052DC" w:rsidRDefault="009F0A60">
            <w:pPr>
              <w:rPr>
                <w:rFonts w:ascii="黑体" w:eastAsia="黑体" w:hAnsi="黑体"/>
                <w:sz w:val="20"/>
                <w:szCs w:val="20"/>
              </w:rPr>
            </w:pPr>
            <w:r>
              <w:rPr>
                <w:rFonts w:ascii="黑体" w:eastAsia="黑体" w:hAnsi="黑体" w:hint="eastAsia"/>
                <w:sz w:val="20"/>
                <w:szCs w:val="20"/>
              </w:rPr>
              <w:t>字符型，1</w:t>
            </w:r>
          </w:p>
        </w:tc>
        <w:tc>
          <w:tcPr>
            <w:tcW w:w="3969" w:type="dxa"/>
          </w:tcPr>
          <w:p w14:paraId="1EB2B155" w14:textId="77777777" w:rsidR="00A052DC" w:rsidRDefault="009F0A60">
            <w:pPr>
              <w:rPr>
                <w:rFonts w:ascii="黑体" w:eastAsia="黑体" w:hAnsi="黑体"/>
                <w:sz w:val="20"/>
                <w:szCs w:val="20"/>
              </w:rPr>
            </w:pPr>
            <w:r>
              <w:rPr>
                <w:rFonts w:ascii="黑体" w:eastAsia="黑体" w:hAnsi="黑体" w:hint="eastAsia"/>
                <w:sz w:val="20"/>
                <w:szCs w:val="20"/>
              </w:rPr>
              <w:t>A</w:t>
            </w:r>
            <w:r w:rsidR="00AE4602">
              <w:rPr>
                <w:rFonts w:ascii="黑体" w:eastAsia="黑体" w:hAnsi="黑体" w:hint="eastAsia"/>
                <w:sz w:val="20"/>
                <w:szCs w:val="20"/>
              </w:rPr>
              <w:t>-</w:t>
            </w:r>
            <w:r>
              <w:rPr>
                <w:rFonts w:ascii="黑体" w:eastAsia="黑体" w:hAnsi="黑体" w:hint="eastAsia"/>
                <w:sz w:val="20"/>
                <w:szCs w:val="20"/>
              </w:rPr>
              <w:t>预付款</w:t>
            </w:r>
          </w:p>
          <w:p w14:paraId="4849C3E0" w14:textId="77777777" w:rsidR="00A052DC" w:rsidRDefault="009F0A60">
            <w:pPr>
              <w:rPr>
                <w:rFonts w:ascii="黑体" w:eastAsia="黑体" w:hAnsi="黑体"/>
                <w:sz w:val="20"/>
                <w:szCs w:val="20"/>
              </w:rPr>
            </w:pPr>
            <w:r>
              <w:rPr>
                <w:rFonts w:ascii="黑体" w:eastAsia="黑体" w:hAnsi="黑体" w:hint="eastAsia"/>
                <w:sz w:val="20"/>
                <w:szCs w:val="20"/>
              </w:rPr>
              <w:t>O</w:t>
            </w:r>
            <w:r w:rsidR="00AE4602">
              <w:rPr>
                <w:rFonts w:ascii="黑体" w:eastAsia="黑体" w:hAnsi="黑体" w:hint="eastAsia"/>
                <w:sz w:val="20"/>
                <w:szCs w:val="20"/>
              </w:rPr>
              <w:t>-</w:t>
            </w:r>
            <w:r>
              <w:rPr>
                <w:rFonts w:ascii="黑体" w:eastAsia="黑体" w:hAnsi="黑体" w:hint="eastAsia"/>
                <w:sz w:val="20"/>
                <w:szCs w:val="20"/>
              </w:rPr>
              <w:t>其他</w:t>
            </w:r>
          </w:p>
        </w:tc>
      </w:tr>
      <w:tr w:rsidR="00A052DC" w14:paraId="134EEA3F" w14:textId="77777777">
        <w:tc>
          <w:tcPr>
            <w:tcW w:w="1418" w:type="dxa"/>
          </w:tcPr>
          <w:p w14:paraId="1212A100" w14:textId="77777777" w:rsidR="00A052DC" w:rsidRDefault="009F0A60">
            <w:pPr>
              <w:rPr>
                <w:rFonts w:ascii="黑体" w:eastAsia="黑体" w:hAnsi="黑体"/>
                <w:sz w:val="20"/>
                <w:szCs w:val="20"/>
              </w:rPr>
            </w:pPr>
            <w:r>
              <w:rPr>
                <w:rFonts w:ascii="黑体" w:eastAsia="黑体" w:hAnsi="黑体" w:hint="eastAsia"/>
                <w:sz w:val="20"/>
                <w:szCs w:val="20"/>
              </w:rPr>
              <w:t>PAYATTR</w:t>
            </w:r>
          </w:p>
        </w:tc>
        <w:tc>
          <w:tcPr>
            <w:tcW w:w="1701" w:type="dxa"/>
          </w:tcPr>
          <w:p w14:paraId="6FB7362B" w14:textId="77777777" w:rsidR="00A052DC" w:rsidRDefault="009F0A60">
            <w:pPr>
              <w:rPr>
                <w:rFonts w:ascii="黑体" w:eastAsia="黑体" w:hAnsi="黑体"/>
                <w:sz w:val="20"/>
                <w:szCs w:val="20"/>
              </w:rPr>
            </w:pPr>
            <w:r>
              <w:rPr>
                <w:rFonts w:ascii="黑体" w:eastAsia="黑体" w:hAnsi="黑体" w:hint="eastAsia"/>
                <w:sz w:val="20"/>
                <w:szCs w:val="20"/>
              </w:rPr>
              <w:t>付汇性质</w:t>
            </w:r>
          </w:p>
        </w:tc>
        <w:tc>
          <w:tcPr>
            <w:tcW w:w="1559" w:type="dxa"/>
          </w:tcPr>
          <w:p w14:paraId="62A60029" w14:textId="77777777" w:rsidR="00A052DC" w:rsidRDefault="009F0A60">
            <w:pPr>
              <w:rPr>
                <w:rFonts w:ascii="黑体" w:eastAsia="黑体" w:hAnsi="黑体"/>
                <w:sz w:val="20"/>
                <w:szCs w:val="20"/>
              </w:rPr>
            </w:pPr>
            <w:r>
              <w:rPr>
                <w:rFonts w:ascii="黑体" w:eastAsia="黑体" w:hAnsi="黑体" w:hint="eastAsia"/>
                <w:sz w:val="20"/>
                <w:szCs w:val="20"/>
              </w:rPr>
              <w:t>字符型，1</w:t>
            </w:r>
          </w:p>
        </w:tc>
        <w:tc>
          <w:tcPr>
            <w:tcW w:w="3969" w:type="dxa"/>
          </w:tcPr>
          <w:p w14:paraId="15611E82" w14:textId="77777777" w:rsidR="00A052DC" w:rsidRDefault="009F0A60">
            <w:pPr>
              <w:rPr>
                <w:rFonts w:ascii="黑体" w:eastAsia="黑体" w:hAnsi="黑体"/>
                <w:sz w:val="20"/>
                <w:szCs w:val="20"/>
              </w:rPr>
            </w:pPr>
            <w:r>
              <w:rPr>
                <w:rFonts w:ascii="黑体" w:eastAsia="黑体" w:hAnsi="黑体" w:hint="eastAsia"/>
                <w:sz w:val="20"/>
                <w:szCs w:val="20"/>
              </w:rPr>
              <w:t>X</w:t>
            </w:r>
            <w:r w:rsidR="00AE4602">
              <w:rPr>
                <w:rFonts w:ascii="黑体" w:eastAsia="黑体" w:hAnsi="黑体" w:hint="eastAsia"/>
                <w:sz w:val="20"/>
                <w:szCs w:val="20"/>
              </w:rPr>
              <w:t>-</w:t>
            </w:r>
            <w:r>
              <w:rPr>
                <w:rFonts w:ascii="黑体" w:eastAsia="黑体" w:hAnsi="黑体" w:hint="eastAsia"/>
                <w:sz w:val="20"/>
                <w:szCs w:val="20"/>
              </w:rPr>
              <w:t>保税区</w:t>
            </w:r>
          </w:p>
          <w:p w14:paraId="49DC0D22" w14:textId="77777777" w:rsidR="00A052DC" w:rsidRDefault="009F0A60">
            <w:pPr>
              <w:rPr>
                <w:rFonts w:ascii="黑体" w:eastAsia="黑体" w:hAnsi="黑体"/>
                <w:sz w:val="20"/>
                <w:szCs w:val="20"/>
              </w:rPr>
            </w:pPr>
            <w:r>
              <w:rPr>
                <w:rFonts w:ascii="黑体" w:eastAsia="黑体" w:hAnsi="黑体" w:hint="eastAsia"/>
                <w:sz w:val="20"/>
                <w:szCs w:val="20"/>
              </w:rPr>
              <w:t>E</w:t>
            </w:r>
            <w:r w:rsidR="00AE4602">
              <w:rPr>
                <w:rFonts w:ascii="黑体" w:eastAsia="黑体" w:hAnsi="黑体" w:hint="eastAsia"/>
                <w:sz w:val="20"/>
                <w:szCs w:val="20"/>
              </w:rPr>
              <w:t>-</w:t>
            </w:r>
            <w:r>
              <w:rPr>
                <w:rFonts w:ascii="黑体" w:eastAsia="黑体" w:hAnsi="黑体" w:hint="eastAsia"/>
                <w:sz w:val="20"/>
                <w:szCs w:val="20"/>
              </w:rPr>
              <w:t>出口加工区</w:t>
            </w:r>
          </w:p>
          <w:p w14:paraId="19F0BC21" w14:textId="77777777" w:rsidR="00A052DC" w:rsidRDefault="009F0A60">
            <w:pPr>
              <w:rPr>
                <w:rFonts w:ascii="黑体" w:eastAsia="黑体" w:hAnsi="黑体"/>
                <w:sz w:val="20"/>
                <w:szCs w:val="20"/>
              </w:rPr>
            </w:pPr>
            <w:r>
              <w:rPr>
                <w:rFonts w:ascii="黑体" w:eastAsia="黑体" w:hAnsi="黑体" w:hint="eastAsia"/>
                <w:sz w:val="20"/>
                <w:szCs w:val="20"/>
              </w:rPr>
              <w:t>D</w:t>
            </w:r>
            <w:r w:rsidR="00AE4602">
              <w:rPr>
                <w:rFonts w:ascii="黑体" w:eastAsia="黑体" w:hAnsi="黑体" w:hint="eastAsia"/>
                <w:sz w:val="20"/>
                <w:szCs w:val="20"/>
              </w:rPr>
              <w:t>-</w:t>
            </w:r>
            <w:r>
              <w:rPr>
                <w:rFonts w:ascii="黑体" w:eastAsia="黑体" w:hAnsi="黑体" w:hint="eastAsia"/>
                <w:sz w:val="20"/>
                <w:szCs w:val="20"/>
              </w:rPr>
              <w:t>钻石交易所</w:t>
            </w:r>
          </w:p>
          <w:p w14:paraId="436DEB3F" w14:textId="77777777" w:rsidR="00A052DC" w:rsidRDefault="009F0A60">
            <w:pPr>
              <w:rPr>
                <w:rFonts w:ascii="黑体" w:eastAsia="黑体" w:hAnsi="黑体"/>
                <w:sz w:val="20"/>
                <w:szCs w:val="20"/>
              </w:rPr>
            </w:pPr>
            <w:r>
              <w:rPr>
                <w:rFonts w:ascii="黑体" w:eastAsia="黑体" w:hAnsi="黑体" w:hint="eastAsia"/>
                <w:sz w:val="20"/>
                <w:szCs w:val="20"/>
              </w:rPr>
              <w:t>A</w:t>
            </w:r>
            <w:r w:rsidR="00AE4602">
              <w:rPr>
                <w:rFonts w:ascii="黑体" w:eastAsia="黑体" w:hAnsi="黑体" w:hint="eastAsia"/>
                <w:sz w:val="20"/>
                <w:szCs w:val="20"/>
              </w:rPr>
              <w:t>-</w:t>
            </w:r>
            <w:r>
              <w:rPr>
                <w:rFonts w:ascii="黑体" w:eastAsia="黑体" w:hAnsi="黑体" w:hint="eastAsia"/>
                <w:sz w:val="20"/>
                <w:szCs w:val="20"/>
              </w:rPr>
              <w:t>其他特殊经济区</w:t>
            </w:r>
          </w:p>
          <w:p w14:paraId="6AE69EA2" w14:textId="77777777" w:rsidR="00A052DC" w:rsidRDefault="009F0A60">
            <w:pPr>
              <w:rPr>
                <w:rFonts w:ascii="黑体" w:eastAsia="黑体" w:hAnsi="黑体"/>
                <w:sz w:val="20"/>
                <w:szCs w:val="20"/>
              </w:rPr>
            </w:pPr>
            <w:r>
              <w:rPr>
                <w:rFonts w:ascii="黑体" w:eastAsia="黑体" w:hAnsi="黑体" w:hint="eastAsia"/>
                <w:sz w:val="20"/>
                <w:szCs w:val="20"/>
              </w:rPr>
              <w:t>M</w:t>
            </w:r>
            <w:r w:rsidR="00AE4602">
              <w:rPr>
                <w:rFonts w:ascii="黑体" w:eastAsia="黑体" w:hAnsi="黑体" w:hint="eastAsia"/>
                <w:sz w:val="20"/>
                <w:szCs w:val="20"/>
              </w:rPr>
              <w:t>-</w:t>
            </w:r>
            <w:r>
              <w:rPr>
                <w:rFonts w:ascii="黑体" w:eastAsia="黑体" w:hAnsi="黑体" w:hint="eastAsia"/>
                <w:sz w:val="20"/>
                <w:szCs w:val="20"/>
              </w:rPr>
              <w:t>深加工结转</w:t>
            </w:r>
          </w:p>
          <w:p w14:paraId="2C60A962" w14:textId="77777777" w:rsidR="00A052DC" w:rsidRDefault="009F0A60">
            <w:pPr>
              <w:rPr>
                <w:rFonts w:ascii="黑体" w:eastAsia="黑体" w:hAnsi="黑体"/>
                <w:sz w:val="20"/>
                <w:szCs w:val="20"/>
              </w:rPr>
            </w:pPr>
            <w:r>
              <w:rPr>
                <w:rFonts w:ascii="黑体" w:eastAsia="黑体" w:hAnsi="黑体" w:hint="eastAsia"/>
                <w:sz w:val="20"/>
                <w:szCs w:val="20"/>
              </w:rPr>
              <w:t>O</w:t>
            </w:r>
            <w:r w:rsidR="00AE4602">
              <w:rPr>
                <w:rFonts w:ascii="黑体" w:eastAsia="黑体" w:hAnsi="黑体" w:hint="eastAsia"/>
                <w:sz w:val="20"/>
                <w:szCs w:val="20"/>
              </w:rPr>
              <w:t>-</w:t>
            </w:r>
            <w:r>
              <w:rPr>
                <w:rFonts w:ascii="黑体" w:eastAsia="黑体" w:hAnsi="黑体" w:hint="eastAsia"/>
                <w:sz w:val="20"/>
                <w:szCs w:val="20"/>
              </w:rPr>
              <w:t>其他</w:t>
            </w:r>
          </w:p>
        </w:tc>
      </w:tr>
      <w:tr w:rsidR="00A052DC" w14:paraId="3071F881" w14:textId="77777777">
        <w:tc>
          <w:tcPr>
            <w:tcW w:w="1418" w:type="dxa"/>
          </w:tcPr>
          <w:p w14:paraId="557D3DF7" w14:textId="77777777" w:rsidR="00A052DC" w:rsidRDefault="009F0A60">
            <w:pPr>
              <w:rPr>
                <w:rFonts w:ascii="黑体" w:eastAsia="黑体" w:hAnsi="黑体"/>
                <w:sz w:val="20"/>
                <w:szCs w:val="20"/>
              </w:rPr>
            </w:pPr>
            <w:r>
              <w:rPr>
                <w:rFonts w:ascii="黑体" w:eastAsia="黑体" w:hAnsi="黑体" w:hint="eastAsia"/>
                <w:sz w:val="20"/>
                <w:szCs w:val="20"/>
              </w:rPr>
              <w:t>TXCODE</w:t>
            </w:r>
          </w:p>
        </w:tc>
        <w:tc>
          <w:tcPr>
            <w:tcW w:w="1701" w:type="dxa"/>
          </w:tcPr>
          <w:p w14:paraId="40BF06B8" w14:textId="77777777" w:rsidR="00A052DC" w:rsidRDefault="009F0A60">
            <w:pPr>
              <w:rPr>
                <w:rFonts w:ascii="黑体" w:eastAsia="黑体" w:hAnsi="黑体"/>
                <w:sz w:val="20"/>
                <w:szCs w:val="20"/>
              </w:rPr>
            </w:pPr>
            <w:r>
              <w:rPr>
                <w:rFonts w:ascii="黑体" w:eastAsia="黑体" w:hAnsi="黑体" w:hint="eastAsia"/>
                <w:sz w:val="20"/>
                <w:szCs w:val="20"/>
              </w:rPr>
              <w:t>交易编码1</w:t>
            </w:r>
          </w:p>
        </w:tc>
        <w:tc>
          <w:tcPr>
            <w:tcW w:w="1559" w:type="dxa"/>
          </w:tcPr>
          <w:p w14:paraId="7B71A073" w14:textId="77777777" w:rsidR="00A052DC" w:rsidRDefault="009F0A60">
            <w:pPr>
              <w:rPr>
                <w:rFonts w:ascii="黑体" w:eastAsia="黑体" w:hAnsi="黑体"/>
                <w:sz w:val="20"/>
                <w:szCs w:val="20"/>
              </w:rPr>
            </w:pPr>
            <w:r>
              <w:rPr>
                <w:rFonts w:ascii="黑体" w:eastAsia="黑体" w:hAnsi="黑体" w:hint="eastAsia"/>
                <w:sz w:val="20"/>
                <w:szCs w:val="20"/>
              </w:rPr>
              <w:t>字符型，6</w:t>
            </w:r>
          </w:p>
        </w:tc>
        <w:tc>
          <w:tcPr>
            <w:tcW w:w="3969" w:type="dxa"/>
          </w:tcPr>
          <w:p w14:paraId="5125534A" w14:textId="77777777" w:rsidR="00A052DC" w:rsidRDefault="009F0A60">
            <w:pPr>
              <w:rPr>
                <w:rFonts w:ascii="黑体" w:eastAsia="黑体" w:hAnsi="黑体"/>
                <w:sz w:val="20"/>
                <w:szCs w:val="20"/>
              </w:rPr>
            </w:pPr>
            <w:r>
              <w:rPr>
                <w:rFonts w:ascii="黑体" w:eastAsia="黑体" w:hAnsi="黑体" w:hint="eastAsia"/>
                <w:sz w:val="20"/>
                <w:szCs w:val="20"/>
              </w:rPr>
              <w:t>必填</w:t>
            </w:r>
            <w:r w:rsidR="00A769EC">
              <w:rPr>
                <w:rFonts w:ascii="黑体" w:eastAsia="黑体" w:hAnsi="黑体" w:hint="eastAsia"/>
                <w:sz w:val="20"/>
                <w:szCs w:val="20"/>
              </w:rPr>
              <w:t>项</w:t>
            </w:r>
            <w:r>
              <w:rPr>
                <w:rFonts w:ascii="黑体" w:eastAsia="黑体" w:hAnsi="黑体" w:hint="eastAsia"/>
                <w:sz w:val="20"/>
                <w:szCs w:val="20"/>
              </w:rPr>
              <w:t>，</w:t>
            </w:r>
          </w:p>
          <w:p w14:paraId="1FF90CEF" w14:textId="77777777" w:rsidR="00A052DC" w:rsidRDefault="009F0A60">
            <w:pPr>
              <w:rPr>
                <w:rFonts w:ascii="黑体" w:eastAsia="黑体" w:hAnsi="黑体"/>
                <w:sz w:val="20"/>
                <w:szCs w:val="20"/>
              </w:rPr>
            </w:pPr>
            <w:r>
              <w:rPr>
                <w:rFonts w:ascii="黑体" w:eastAsia="黑体" w:hAnsi="黑体" w:hint="eastAsia"/>
                <w:sz w:val="20"/>
                <w:szCs w:val="20"/>
              </w:rPr>
              <w:t>必须在涉外收支交易代码表中存在。</w:t>
            </w:r>
          </w:p>
        </w:tc>
      </w:tr>
      <w:tr w:rsidR="00A052DC" w14:paraId="31E072F1" w14:textId="77777777">
        <w:tc>
          <w:tcPr>
            <w:tcW w:w="1418" w:type="dxa"/>
          </w:tcPr>
          <w:p w14:paraId="1F5731E0" w14:textId="77777777" w:rsidR="00A052DC" w:rsidRDefault="009F0A60">
            <w:pPr>
              <w:rPr>
                <w:rFonts w:ascii="黑体" w:eastAsia="黑体" w:hAnsi="黑体"/>
                <w:sz w:val="20"/>
                <w:szCs w:val="20"/>
              </w:rPr>
            </w:pPr>
            <w:r>
              <w:rPr>
                <w:rFonts w:ascii="黑体" w:eastAsia="黑体" w:hAnsi="黑体" w:hint="eastAsia"/>
                <w:sz w:val="20"/>
                <w:szCs w:val="20"/>
              </w:rPr>
              <w:t>TC1AMT</w:t>
            </w:r>
          </w:p>
        </w:tc>
        <w:tc>
          <w:tcPr>
            <w:tcW w:w="1701" w:type="dxa"/>
          </w:tcPr>
          <w:p w14:paraId="6F211D03" w14:textId="77777777" w:rsidR="00A052DC" w:rsidRDefault="009F0A60">
            <w:pPr>
              <w:rPr>
                <w:rFonts w:ascii="黑体" w:eastAsia="黑体" w:hAnsi="黑体"/>
                <w:sz w:val="20"/>
                <w:szCs w:val="20"/>
              </w:rPr>
            </w:pPr>
            <w:r>
              <w:rPr>
                <w:rFonts w:ascii="黑体" w:eastAsia="黑体" w:hAnsi="黑体" w:hint="eastAsia"/>
                <w:sz w:val="20"/>
                <w:szCs w:val="20"/>
              </w:rPr>
              <w:t>相应金额1</w:t>
            </w:r>
          </w:p>
        </w:tc>
        <w:tc>
          <w:tcPr>
            <w:tcW w:w="1559" w:type="dxa"/>
          </w:tcPr>
          <w:p w14:paraId="6462F699" w14:textId="77777777" w:rsidR="00A052DC" w:rsidRDefault="009F0A60">
            <w:pPr>
              <w:rPr>
                <w:rFonts w:ascii="黑体" w:eastAsia="黑体" w:hAnsi="黑体"/>
                <w:sz w:val="20"/>
                <w:szCs w:val="20"/>
              </w:rPr>
            </w:pPr>
            <w:r>
              <w:rPr>
                <w:rFonts w:ascii="黑体" w:eastAsia="黑体" w:hAnsi="黑体" w:hint="eastAsia"/>
                <w:sz w:val="20"/>
                <w:szCs w:val="20"/>
              </w:rPr>
              <w:t>数值型，22.0</w:t>
            </w:r>
          </w:p>
        </w:tc>
        <w:tc>
          <w:tcPr>
            <w:tcW w:w="3969" w:type="dxa"/>
          </w:tcPr>
          <w:p w14:paraId="439B24D2" w14:textId="77777777" w:rsidR="00A052DC" w:rsidRDefault="009F0A60">
            <w:pPr>
              <w:rPr>
                <w:rFonts w:ascii="黑体" w:eastAsia="黑体" w:hAnsi="黑体"/>
                <w:sz w:val="20"/>
                <w:szCs w:val="20"/>
              </w:rPr>
            </w:pPr>
            <w:r>
              <w:rPr>
                <w:rFonts w:ascii="黑体" w:eastAsia="黑体" w:hAnsi="黑体" w:hint="eastAsia"/>
                <w:sz w:val="20"/>
                <w:szCs w:val="20"/>
              </w:rPr>
              <w:t>必填</w:t>
            </w:r>
            <w:r w:rsidR="00A769EC">
              <w:rPr>
                <w:rFonts w:ascii="黑体" w:eastAsia="黑体" w:hAnsi="黑体" w:hint="eastAsia"/>
                <w:sz w:val="20"/>
                <w:szCs w:val="20"/>
              </w:rPr>
              <w:t>项</w:t>
            </w:r>
            <w:r>
              <w:rPr>
                <w:rFonts w:ascii="黑体" w:eastAsia="黑体" w:hAnsi="黑体" w:hint="eastAsia"/>
                <w:sz w:val="20"/>
                <w:szCs w:val="20"/>
              </w:rPr>
              <w:t>。</w:t>
            </w:r>
          </w:p>
        </w:tc>
      </w:tr>
      <w:tr w:rsidR="00A052DC" w14:paraId="7CD76E8E" w14:textId="77777777">
        <w:tc>
          <w:tcPr>
            <w:tcW w:w="1418" w:type="dxa"/>
          </w:tcPr>
          <w:p w14:paraId="0AA65B8D" w14:textId="77777777" w:rsidR="00A052DC" w:rsidRDefault="009F0A60">
            <w:pPr>
              <w:rPr>
                <w:rFonts w:ascii="黑体" w:eastAsia="黑体" w:hAnsi="黑体"/>
                <w:sz w:val="20"/>
                <w:szCs w:val="20"/>
              </w:rPr>
            </w:pPr>
            <w:r>
              <w:rPr>
                <w:rFonts w:ascii="黑体" w:eastAsia="黑体" w:hAnsi="黑体"/>
                <w:sz w:val="20"/>
                <w:szCs w:val="20"/>
              </w:rPr>
              <w:t>TXREM</w:t>
            </w:r>
          </w:p>
        </w:tc>
        <w:tc>
          <w:tcPr>
            <w:tcW w:w="1701" w:type="dxa"/>
          </w:tcPr>
          <w:p w14:paraId="2B12D517" w14:textId="77777777" w:rsidR="00A052DC" w:rsidRDefault="009F0A60">
            <w:pPr>
              <w:rPr>
                <w:rFonts w:ascii="黑体" w:eastAsia="黑体" w:hAnsi="黑体"/>
                <w:sz w:val="20"/>
                <w:szCs w:val="20"/>
              </w:rPr>
            </w:pPr>
            <w:r>
              <w:rPr>
                <w:rFonts w:ascii="黑体" w:eastAsia="黑体" w:hAnsi="黑体" w:hint="eastAsia"/>
                <w:sz w:val="20"/>
                <w:szCs w:val="20"/>
              </w:rPr>
              <w:t>交易附言</w:t>
            </w:r>
            <w:r>
              <w:rPr>
                <w:rFonts w:ascii="黑体" w:eastAsia="黑体" w:hAnsi="黑体"/>
                <w:sz w:val="20"/>
                <w:szCs w:val="20"/>
              </w:rPr>
              <w:t>1</w:t>
            </w:r>
          </w:p>
        </w:tc>
        <w:tc>
          <w:tcPr>
            <w:tcW w:w="1559" w:type="dxa"/>
          </w:tcPr>
          <w:p w14:paraId="0C8594EC" w14:textId="77777777" w:rsidR="00A052DC" w:rsidRDefault="009F0A60">
            <w:pPr>
              <w:rPr>
                <w:rFonts w:ascii="黑体" w:eastAsia="黑体" w:hAnsi="黑体"/>
                <w:sz w:val="20"/>
                <w:szCs w:val="20"/>
              </w:rPr>
            </w:pPr>
            <w:r>
              <w:rPr>
                <w:rFonts w:ascii="黑体" w:eastAsia="黑体" w:hAnsi="黑体" w:hint="eastAsia"/>
                <w:sz w:val="20"/>
                <w:szCs w:val="20"/>
              </w:rPr>
              <w:t>字符型，</w:t>
            </w:r>
            <w:r>
              <w:rPr>
                <w:rFonts w:ascii="黑体" w:eastAsia="黑体" w:hAnsi="黑体"/>
                <w:sz w:val="20"/>
                <w:szCs w:val="20"/>
              </w:rPr>
              <w:t>256</w:t>
            </w:r>
          </w:p>
        </w:tc>
        <w:tc>
          <w:tcPr>
            <w:tcW w:w="3969" w:type="dxa"/>
          </w:tcPr>
          <w:p w14:paraId="7BAED2BC" w14:textId="77777777" w:rsidR="00A052DC" w:rsidRDefault="009F0A60">
            <w:pPr>
              <w:rPr>
                <w:rFonts w:ascii="黑体" w:eastAsia="黑体" w:hAnsi="黑体"/>
                <w:sz w:val="20"/>
                <w:szCs w:val="20"/>
              </w:rPr>
            </w:pPr>
            <w:r>
              <w:rPr>
                <w:rFonts w:ascii="黑体" w:eastAsia="黑体" w:hAnsi="黑体" w:hint="eastAsia"/>
                <w:sz w:val="20"/>
                <w:szCs w:val="20"/>
              </w:rPr>
              <w:t>必填</w:t>
            </w:r>
            <w:r w:rsidR="00A769EC">
              <w:rPr>
                <w:rFonts w:ascii="黑体" w:eastAsia="黑体" w:hAnsi="黑体" w:hint="eastAsia"/>
                <w:sz w:val="20"/>
                <w:szCs w:val="20"/>
              </w:rPr>
              <w:t>项</w:t>
            </w:r>
            <w:r>
              <w:rPr>
                <w:rFonts w:ascii="黑体" w:eastAsia="黑体" w:hAnsi="黑体" w:hint="eastAsia"/>
                <w:sz w:val="20"/>
                <w:szCs w:val="20"/>
              </w:rPr>
              <w:t>。</w:t>
            </w:r>
          </w:p>
        </w:tc>
      </w:tr>
      <w:tr w:rsidR="00A052DC" w14:paraId="11FA29DD" w14:textId="77777777">
        <w:tc>
          <w:tcPr>
            <w:tcW w:w="1418" w:type="dxa"/>
          </w:tcPr>
          <w:p w14:paraId="6FB92BF4" w14:textId="77777777" w:rsidR="00A052DC" w:rsidRDefault="009F0A60">
            <w:pPr>
              <w:rPr>
                <w:rFonts w:ascii="黑体" w:eastAsia="黑体" w:hAnsi="黑体"/>
                <w:sz w:val="20"/>
                <w:szCs w:val="20"/>
              </w:rPr>
            </w:pPr>
            <w:r>
              <w:rPr>
                <w:rFonts w:ascii="黑体" w:eastAsia="黑体" w:hAnsi="黑体" w:hint="eastAsia"/>
                <w:sz w:val="20"/>
                <w:szCs w:val="20"/>
              </w:rPr>
              <w:t>TXCODE2</w:t>
            </w:r>
          </w:p>
        </w:tc>
        <w:tc>
          <w:tcPr>
            <w:tcW w:w="1701" w:type="dxa"/>
          </w:tcPr>
          <w:p w14:paraId="2DD81EE9" w14:textId="77777777" w:rsidR="00A052DC" w:rsidRDefault="009F0A60">
            <w:pPr>
              <w:rPr>
                <w:rFonts w:ascii="黑体" w:eastAsia="黑体" w:hAnsi="黑体"/>
                <w:sz w:val="20"/>
                <w:szCs w:val="20"/>
              </w:rPr>
            </w:pPr>
            <w:r>
              <w:rPr>
                <w:rFonts w:ascii="黑体" w:eastAsia="黑体" w:hAnsi="黑体" w:hint="eastAsia"/>
                <w:sz w:val="20"/>
                <w:szCs w:val="20"/>
              </w:rPr>
              <w:t>交易编码2</w:t>
            </w:r>
          </w:p>
        </w:tc>
        <w:tc>
          <w:tcPr>
            <w:tcW w:w="1559" w:type="dxa"/>
          </w:tcPr>
          <w:p w14:paraId="5726A071" w14:textId="77777777" w:rsidR="00A052DC" w:rsidRDefault="009F0A60">
            <w:pPr>
              <w:rPr>
                <w:rFonts w:ascii="黑体" w:eastAsia="黑体" w:hAnsi="黑体"/>
                <w:sz w:val="20"/>
                <w:szCs w:val="20"/>
              </w:rPr>
            </w:pPr>
            <w:r>
              <w:rPr>
                <w:rFonts w:ascii="黑体" w:eastAsia="黑体" w:hAnsi="黑体" w:hint="eastAsia"/>
                <w:sz w:val="20"/>
                <w:szCs w:val="20"/>
              </w:rPr>
              <w:t>字符型，6</w:t>
            </w:r>
          </w:p>
        </w:tc>
        <w:tc>
          <w:tcPr>
            <w:tcW w:w="3969" w:type="dxa"/>
          </w:tcPr>
          <w:p w14:paraId="7FE5FA0B" w14:textId="77777777" w:rsidR="00A052DC" w:rsidRDefault="00DD6AA3">
            <w:pPr>
              <w:rPr>
                <w:rFonts w:ascii="黑体" w:eastAsia="黑体" w:hAnsi="黑体"/>
                <w:sz w:val="20"/>
                <w:szCs w:val="20"/>
              </w:rPr>
            </w:pPr>
            <w:r>
              <w:rPr>
                <w:rFonts w:ascii="黑体" w:eastAsia="黑体" w:hAnsi="黑体" w:hint="eastAsia"/>
                <w:sz w:val="20"/>
                <w:szCs w:val="20"/>
              </w:rPr>
              <w:t>非必填项</w:t>
            </w:r>
            <w:r w:rsidR="009F0A60">
              <w:rPr>
                <w:rFonts w:ascii="黑体" w:eastAsia="黑体" w:hAnsi="黑体" w:hint="eastAsia"/>
                <w:sz w:val="20"/>
                <w:szCs w:val="20"/>
              </w:rPr>
              <w:t>，</w:t>
            </w:r>
          </w:p>
          <w:p w14:paraId="34B686E3" w14:textId="77777777" w:rsidR="00A052DC" w:rsidRDefault="009F0A60">
            <w:pPr>
              <w:rPr>
                <w:rFonts w:ascii="黑体" w:eastAsia="黑体" w:hAnsi="黑体"/>
                <w:sz w:val="20"/>
                <w:szCs w:val="20"/>
              </w:rPr>
            </w:pPr>
            <w:r>
              <w:rPr>
                <w:rFonts w:ascii="黑体" w:eastAsia="黑体" w:hAnsi="黑体" w:hint="eastAsia"/>
                <w:sz w:val="20"/>
                <w:szCs w:val="20"/>
              </w:rPr>
              <w:t>必须在涉外收支交易代码表中存在。</w:t>
            </w:r>
          </w:p>
          <w:p w14:paraId="596174ED" w14:textId="77777777" w:rsidR="00A052DC" w:rsidRDefault="009F0A60">
            <w:pPr>
              <w:rPr>
                <w:rFonts w:ascii="黑体" w:eastAsia="黑体" w:hAnsi="黑体"/>
                <w:sz w:val="20"/>
                <w:szCs w:val="20"/>
              </w:rPr>
            </w:pPr>
            <w:r>
              <w:rPr>
                <w:rFonts w:ascii="黑体" w:eastAsia="黑体" w:hAnsi="黑体" w:hint="eastAsia"/>
                <w:sz w:val="20"/>
                <w:szCs w:val="20"/>
              </w:rPr>
              <w:t>不能与交易编码1相同</w:t>
            </w:r>
            <w:r w:rsidR="00A769EC">
              <w:rPr>
                <w:rFonts w:ascii="黑体" w:eastAsia="黑体" w:hAnsi="黑体" w:hint="eastAsia"/>
                <w:sz w:val="20"/>
                <w:szCs w:val="20"/>
              </w:rPr>
              <w:t>。</w:t>
            </w:r>
          </w:p>
          <w:p w14:paraId="0ACF865C" w14:textId="77777777" w:rsidR="00A052DC" w:rsidRDefault="009F0A60">
            <w:pPr>
              <w:rPr>
                <w:rFonts w:ascii="黑体" w:eastAsia="黑体" w:hAnsi="黑体"/>
                <w:sz w:val="20"/>
                <w:szCs w:val="20"/>
              </w:rPr>
            </w:pPr>
            <w:r>
              <w:rPr>
                <w:rFonts w:ascii="黑体" w:eastAsia="黑体" w:hAnsi="黑体" w:hint="eastAsia"/>
                <w:sz w:val="20"/>
                <w:szCs w:val="20"/>
              </w:rPr>
              <w:t>没有输入交易编码时，相应金额不应该填写。</w:t>
            </w:r>
          </w:p>
          <w:p w14:paraId="56623E3A" w14:textId="77777777" w:rsidR="00A052DC" w:rsidRDefault="009F0A60">
            <w:pPr>
              <w:rPr>
                <w:rFonts w:ascii="黑体" w:eastAsia="黑体" w:hAnsi="黑体"/>
                <w:sz w:val="20"/>
                <w:szCs w:val="20"/>
              </w:rPr>
            </w:pPr>
            <w:r>
              <w:rPr>
                <w:rFonts w:ascii="黑体" w:eastAsia="黑体" w:hAnsi="黑体" w:hint="eastAsia"/>
                <w:sz w:val="20"/>
                <w:szCs w:val="20"/>
              </w:rPr>
              <w:t>有交易金额2时必填。</w:t>
            </w:r>
          </w:p>
        </w:tc>
      </w:tr>
      <w:tr w:rsidR="00A052DC" w14:paraId="2A06F283" w14:textId="77777777">
        <w:tc>
          <w:tcPr>
            <w:tcW w:w="1418" w:type="dxa"/>
          </w:tcPr>
          <w:p w14:paraId="4524C140" w14:textId="77777777" w:rsidR="00A052DC" w:rsidRDefault="009F0A60">
            <w:pPr>
              <w:rPr>
                <w:rFonts w:ascii="黑体" w:eastAsia="黑体" w:hAnsi="黑体"/>
                <w:sz w:val="20"/>
                <w:szCs w:val="20"/>
              </w:rPr>
            </w:pPr>
            <w:r>
              <w:rPr>
                <w:rFonts w:ascii="黑体" w:eastAsia="黑体" w:hAnsi="黑体" w:hint="eastAsia"/>
                <w:sz w:val="20"/>
                <w:szCs w:val="20"/>
              </w:rPr>
              <w:t>TC2AMT</w:t>
            </w:r>
          </w:p>
        </w:tc>
        <w:tc>
          <w:tcPr>
            <w:tcW w:w="1701" w:type="dxa"/>
          </w:tcPr>
          <w:p w14:paraId="2E169668" w14:textId="77777777" w:rsidR="00A052DC" w:rsidRDefault="009F0A60">
            <w:pPr>
              <w:rPr>
                <w:rFonts w:ascii="黑体" w:eastAsia="黑体" w:hAnsi="黑体"/>
                <w:sz w:val="20"/>
                <w:szCs w:val="20"/>
              </w:rPr>
            </w:pPr>
            <w:r>
              <w:rPr>
                <w:rFonts w:ascii="黑体" w:eastAsia="黑体" w:hAnsi="黑体" w:hint="eastAsia"/>
                <w:sz w:val="20"/>
                <w:szCs w:val="20"/>
              </w:rPr>
              <w:t>相应金额2</w:t>
            </w:r>
          </w:p>
        </w:tc>
        <w:tc>
          <w:tcPr>
            <w:tcW w:w="1559" w:type="dxa"/>
          </w:tcPr>
          <w:p w14:paraId="3394EBAC" w14:textId="77777777" w:rsidR="00A052DC" w:rsidRDefault="009F0A60">
            <w:pPr>
              <w:rPr>
                <w:rFonts w:ascii="黑体" w:eastAsia="黑体" w:hAnsi="黑体"/>
                <w:sz w:val="20"/>
                <w:szCs w:val="20"/>
              </w:rPr>
            </w:pPr>
            <w:r>
              <w:rPr>
                <w:rFonts w:ascii="黑体" w:eastAsia="黑体" w:hAnsi="黑体" w:hint="eastAsia"/>
                <w:sz w:val="20"/>
                <w:szCs w:val="20"/>
              </w:rPr>
              <w:t>数值型，22.0</w:t>
            </w:r>
          </w:p>
        </w:tc>
        <w:tc>
          <w:tcPr>
            <w:tcW w:w="3969" w:type="dxa"/>
          </w:tcPr>
          <w:p w14:paraId="732201CB" w14:textId="77777777" w:rsidR="00A052DC" w:rsidRDefault="00DD6AA3">
            <w:pPr>
              <w:rPr>
                <w:rFonts w:ascii="黑体" w:eastAsia="黑体" w:hAnsi="黑体"/>
                <w:sz w:val="20"/>
                <w:szCs w:val="20"/>
              </w:rPr>
            </w:pPr>
            <w:r>
              <w:rPr>
                <w:rFonts w:ascii="黑体" w:eastAsia="黑体" w:hAnsi="黑体" w:hint="eastAsia"/>
                <w:sz w:val="20"/>
                <w:szCs w:val="20"/>
              </w:rPr>
              <w:t>非必填项</w:t>
            </w:r>
            <w:r w:rsidR="009F0A60">
              <w:rPr>
                <w:rFonts w:ascii="黑体" w:eastAsia="黑体" w:hAnsi="黑体" w:hint="eastAsia"/>
                <w:sz w:val="20"/>
                <w:szCs w:val="20"/>
              </w:rPr>
              <w:t>，有交易编码2时必填。</w:t>
            </w:r>
          </w:p>
          <w:p w14:paraId="7AABC08E" w14:textId="77777777" w:rsidR="00A052DC" w:rsidRDefault="009F0A60">
            <w:pPr>
              <w:rPr>
                <w:rFonts w:ascii="黑体" w:eastAsia="黑体" w:hAnsi="黑体"/>
                <w:sz w:val="20"/>
                <w:szCs w:val="20"/>
              </w:rPr>
            </w:pPr>
            <w:r>
              <w:rPr>
                <w:rFonts w:ascii="黑体" w:eastAsia="黑体" w:hAnsi="黑体" w:hint="eastAsia"/>
                <w:sz w:val="20"/>
                <w:szCs w:val="20"/>
              </w:rPr>
              <w:t>两个交易编码对应的金额之和必须等于付款金额。</w:t>
            </w:r>
          </w:p>
        </w:tc>
      </w:tr>
      <w:tr w:rsidR="00A052DC" w14:paraId="3A1400D3" w14:textId="77777777">
        <w:tc>
          <w:tcPr>
            <w:tcW w:w="1418" w:type="dxa"/>
          </w:tcPr>
          <w:p w14:paraId="679246DB" w14:textId="77777777" w:rsidR="00A052DC" w:rsidRDefault="009F0A60">
            <w:pPr>
              <w:rPr>
                <w:rFonts w:ascii="黑体" w:eastAsia="黑体" w:hAnsi="黑体"/>
                <w:sz w:val="20"/>
                <w:szCs w:val="20"/>
              </w:rPr>
            </w:pPr>
            <w:r>
              <w:rPr>
                <w:rFonts w:ascii="黑体" w:eastAsia="黑体" w:hAnsi="黑体"/>
                <w:sz w:val="20"/>
                <w:szCs w:val="20"/>
              </w:rPr>
              <w:t>TX2REM</w:t>
            </w:r>
          </w:p>
        </w:tc>
        <w:tc>
          <w:tcPr>
            <w:tcW w:w="1701" w:type="dxa"/>
          </w:tcPr>
          <w:p w14:paraId="71B53365" w14:textId="77777777" w:rsidR="00A052DC" w:rsidRDefault="009F0A60">
            <w:pPr>
              <w:rPr>
                <w:rFonts w:ascii="黑体" w:eastAsia="黑体" w:hAnsi="黑体"/>
                <w:sz w:val="20"/>
                <w:szCs w:val="20"/>
              </w:rPr>
            </w:pPr>
            <w:r>
              <w:rPr>
                <w:rFonts w:ascii="黑体" w:eastAsia="黑体" w:hAnsi="黑体" w:hint="eastAsia"/>
                <w:sz w:val="20"/>
                <w:szCs w:val="20"/>
              </w:rPr>
              <w:t>交易附言</w:t>
            </w:r>
            <w:r>
              <w:rPr>
                <w:rFonts w:ascii="黑体" w:eastAsia="黑体" w:hAnsi="黑体"/>
                <w:sz w:val="20"/>
                <w:szCs w:val="20"/>
              </w:rPr>
              <w:t>2</w:t>
            </w:r>
          </w:p>
        </w:tc>
        <w:tc>
          <w:tcPr>
            <w:tcW w:w="1559" w:type="dxa"/>
          </w:tcPr>
          <w:p w14:paraId="4F81A2DA" w14:textId="77777777" w:rsidR="00A052DC" w:rsidRDefault="009F0A60">
            <w:pPr>
              <w:rPr>
                <w:rFonts w:ascii="黑体" w:eastAsia="黑体" w:hAnsi="黑体"/>
                <w:sz w:val="20"/>
                <w:szCs w:val="20"/>
              </w:rPr>
            </w:pPr>
            <w:r>
              <w:rPr>
                <w:rFonts w:ascii="黑体" w:eastAsia="黑体" w:hAnsi="黑体" w:hint="eastAsia"/>
                <w:sz w:val="20"/>
                <w:szCs w:val="20"/>
              </w:rPr>
              <w:t>字符型，</w:t>
            </w:r>
            <w:r>
              <w:rPr>
                <w:rFonts w:ascii="黑体" w:eastAsia="黑体" w:hAnsi="黑体"/>
                <w:sz w:val="20"/>
                <w:szCs w:val="20"/>
              </w:rPr>
              <w:t>256</w:t>
            </w:r>
          </w:p>
        </w:tc>
        <w:tc>
          <w:tcPr>
            <w:tcW w:w="3969" w:type="dxa"/>
          </w:tcPr>
          <w:p w14:paraId="3B515418" w14:textId="77777777" w:rsidR="00A052DC" w:rsidRDefault="0079302F">
            <w:pPr>
              <w:rPr>
                <w:rFonts w:ascii="黑体" w:eastAsia="黑体" w:hAnsi="黑体"/>
                <w:sz w:val="20"/>
                <w:szCs w:val="20"/>
              </w:rPr>
            </w:pPr>
            <w:r>
              <w:rPr>
                <w:rFonts w:ascii="黑体" w:eastAsia="黑体" w:hAnsi="黑体" w:hint="eastAsia"/>
                <w:sz w:val="20"/>
                <w:szCs w:val="20"/>
              </w:rPr>
              <w:t>非必填项</w:t>
            </w:r>
            <w:r w:rsidR="009F0A60">
              <w:rPr>
                <w:rFonts w:ascii="黑体" w:eastAsia="黑体" w:hAnsi="黑体" w:hint="eastAsia"/>
                <w:sz w:val="20"/>
                <w:szCs w:val="20"/>
              </w:rPr>
              <w:t>，有交易编码</w:t>
            </w:r>
            <w:r w:rsidR="009F0A60">
              <w:rPr>
                <w:rFonts w:ascii="黑体" w:eastAsia="黑体" w:hAnsi="黑体"/>
                <w:sz w:val="20"/>
                <w:szCs w:val="20"/>
              </w:rPr>
              <w:t>2时必填</w:t>
            </w:r>
            <w:r w:rsidR="009F0A60">
              <w:rPr>
                <w:rFonts w:ascii="黑体" w:eastAsia="黑体" w:hAnsi="黑体" w:hint="eastAsia"/>
                <w:sz w:val="20"/>
                <w:szCs w:val="20"/>
              </w:rPr>
              <w:t>。</w:t>
            </w:r>
          </w:p>
        </w:tc>
      </w:tr>
      <w:tr w:rsidR="00A052DC" w14:paraId="6DD6E971" w14:textId="77777777">
        <w:tc>
          <w:tcPr>
            <w:tcW w:w="1418" w:type="dxa"/>
          </w:tcPr>
          <w:p w14:paraId="2C706BE8" w14:textId="77777777" w:rsidR="00A052DC" w:rsidRDefault="009F0A60">
            <w:pPr>
              <w:rPr>
                <w:rFonts w:ascii="黑体" w:eastAsia="黑体" w:hAnsi="黑体"/>
                <w:sz w:val="20"/>
                <w:szCs w:val="20"/>
              </w:rPr>
            </w:pPr>
            <w:r>
              <w:rPr>
                <w:rFonts w:ascii="黑体" w:eastAsia="黑体" w:hAnsi="黑体" w:hint="eastAsia"/>
                <w:sz w:val="20"/>
                <w:szCs w:val="20"/>
              </w:rPr>
              <w:t>IMPDATE</w:t>
            </w:r>
          </w:p>
        </w:tc>
        <w:tc>
          <w:tcPr>
            <w:tcW w:w="1701" w:type="dxa"/>
          </w:tcPr>
          <w:p w14:paraId="6FE8612B" w14:textId="77777777" w:rsidR="00A052DC" w:rsidRDefault="009F0A60">
            <w:pPr>
              <w:rPr>
                <w:rFonts w:ascii="黑体" w:eastAsia="黑体" w:hAnsi="黑体"/>
                <w:sz w:val="20"/>
                <w:szCs w:val="20"/>
              </w:rPr>
            </w:pPr>
            <w:r>
              <w:rPr>
                <w:rFonts w:ascii="黑体" w:eastAsia="黑体" w:hAnsi="黑体" w:hint="eastAsia"/>
                <w:sz w:val="20"/>
                <w:szCs w:val="20"/>
              </w:rPr>
              <w:t>最迟装运日期</w:t>
            </w:r>
          </w:p>
        </w:tc>
        <w:tc>
          <w:tcPr>
            <w:tcW w:w="1559" w:type="dxa"/>
          </w:tcPr>
          <w:p w14:paraId="40E4B02C" w14:textId="77777777" w:rsidR="00A052DC" w:rsidRDefault="009F0A60">
            <w:pPr>
              <w:rPr>
                <w:rFonts w:ascii="黑体" w:eastAsia="黑体" w:hAnsi="黑体"/>
                <w:sz w:val="20"/>
                <w:szCs w:val="20"/>
              </w:rPr>
            </w:pPr>
            <w:r>
              <w:rPr>
                <w:rFonts w:ascii="黑体" w:eastAsia="黑体" w:hAnsi="黑体" w:hint="eastAsia"/>
                <w:sz w:val="20"/>
                <w:szCs w:val="20"/>
              </w:rPr>
              <w:t>日期型，8</w:t>
            </w:r>
          </w:p>
        </w:tc>
        <w:tc>
          <w:tcPr>
            <w:tcW w:w="3969" w:type="dxa"/>
          </w:tcPr>
          <w:p w14:paraId="20476413" w14:textId="77777777" w:rsidR="00A052DC" w:rsidRDefault="009F0A60">
            <w:pPr>
              <w:rPr>
                <w:rFonts w:ascii="黑体" w:eastAsia="黑体" w:hAnsi="黑体"/>
                <w:sz w:val="20"/>
                <w:szCs w:val="20"/>
              </w:rPr>
            </w:pPr>
            <w:r>
              <w:rPr>
                <w:rFonts w:ascii="黑体" w:eastAsia="黑体" w:hAnsi="黑体" w:hint="eastAsia"/>
                <w:sz w:val="20"/>
                <w:szCs w:val="20"/>
              </w:rPr>
              <w:t>空，不赋值。YYYYMMDD</w:t>
            </w:r>
          </w:p>
        </w:tc>
      </w:tr>
      <w:tr w:rsidR="00A052DC" w14:paraId="38A0DAB0" w14:textId="77777777">
        <w:tc>
          <w:tcPr>
            <w:tcW w:w="1418" w:type="dxa"/>
          </w:tcPr>
          <w:p w14:paraId="68C68B42" w14:textId="77777777" w:rsidR="00A052DC" w:rsidRDefault="009F0A60">
            <w:pPr>
              <w:rPr>
                <w:rFonts w:ascii="黑体" w:eastAsia="黑体" w:hAnsi="黑体"/>
                <w:sz w:val="20"/>
                <w:szCs w:val="20"/>
              </w:rPr>
            </w:pPr>
            <w:r>
              <w:rPr>
                <w:rFonts w:ascii="黑体" w:eastAsia="黑体" w:hAnsi="黑体" w:hint="eastAsia"/>
                <w:sz w:val="20"/>
                <w:szCs w:val="20"/>
              </w:rPr>
              <w:t>CONTRNO</w:t>
            </w:r>
          </w:p>
        </w:tc>
        <w:tc>
          <w:tcPr>
            <w:tcW w:w="1701" w:type="dxa"/>
          </w:tcPr>
          <w:p w14:paraId="23D962E2" w14:textId="77777777" w:rsidR="00A052DC" w:rsidRDefault="009F0A60">
            <w:pPr>
              <w:rPr>
                <w:rFonts w:ascii="黑体" w:eastAsia="黑体" w:hAnsi="黑体"/>
                <w:sz w:val="20"/>
                <w:szCs w:val="20"/>
              </w:rPr>
            </w:pPr>
            <w:r>
              <w:rPr>
                <w:rFonts w:ascii="黑体" w:eastAsia="黑体" w:hAnsi="黑体" w:hint="eastAsia"/>
                <w:sz w:val="20"/>
                <w:szCs w:val="20"/>
              </w:rPr>
              <w:t>合同号</w:t>
            </w:r>
          </w:p>
        </w:tc>
        <w:tc>
          <w:tcPr>
            <w:tcW w:w="1559" w:type="dxa"/>
          </w:tcPr>
          <w:p w14:paraId="65B32DE6"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3969" w:type="dxa"/>
          </w:tcPr>
          <w:p w14:paraId="25F4BA6E"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r w:rsidR="00A052DC" w14:paraId="10FB5D2A" w14:textId="77777777">
        <w:tc>
          <w:tcPr>
            <w:tcW w:w="1418" w:type="dxa"/>
          </w:tcPr>
          <w:p w14:paraId="0DF26BC8" w14:textId="77777777" w:rsidR="00A052DC" w:rsidRDefault="009F0A60">
            <w:pPr>
              <w:rPr>
                <w:rFonts w:ascii="黑体" w:eastAsia="黑体" w:hAnsi="黑体"/>
                <w:sz w:val="20"/>
                <w:szCs w:val="20"/>
              </w:rPr>
            </w:pPr>
            <w:r>
              <w:rPr>
                <w:rFonts w:ascii="黑体" w:eastAsia="黑体" w:hAnsi="黑体" w:hint="eastAsia"/>
                <w:sz w:val="20"/>
                <w:szCs w:val="20"/>
              </w:rPr>
              <w:t>INVOINO</w:t>
            </w:r>
          </w:p>
        </w:tc>
        <w:tc>
          <w:tcPr>
            <w:tcW w:w="1701" w:type="dxa"/>
          </w:tcPr>
          <w:p w14:paraId="281D82F7" w14:textId="77777777" w:rsidR="00A052DC" w:rsidRDefault="009F0A60">
            <w:pPr>
              <w:rPr>
                <w:rFonts w:ascii="黑体" w:eastAsia="黑体" w:hAnsi="黑体"/>
                <w:sz w:val="20"/>
                <w:szCs w:val="20"/>
              </w:rPr>
            </w:pPr>
            <w:r>
              <w:rPr>
                <w:rFonts w:ascii="黑体" w:eastAsia="黑体" w:hAnsi="黑体" w:hint="eastAsia"/>
                <w:sz w:val="20"/>
                <w:szCs w:val="20"/>
              </w:rPr>
              <w:t>发票号</w:t>
            </w:r>
          </w:p>
        </w:tc>
        <w:tc>
          <w:tcPr>
            <w:tcW w:w="1559" w:type="dxa"/>
          </w:tcPr>
          <w:p w14:paraId="0F361720"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3969" w:type="dxa"/>
          </w:tcPr>
          <w:p w14:paraId="2921CE7D"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r w:rsidR="00A052DC" w14:paraId="33481CD8" w14:textId="77777777">
        <w:tc>
          <w:tcPr>
            <w:tcW w:w="1418" w:type="dxa"/>
          </w:tcPr>
          <w:p w14:paraId="1631E03D" w14:textId="77777777" w:rsidR="00A052DC" w:rsidRDefault="009F0A60">
            <w:pPr>
              <w:rPr>
                <w:rFonts w:ascii="黑体" w:eastAsia="黑体" w:hAnsi="黑体"/>
                <w:sz w:val="20"/>
                <w:szCs w:val="20"/>
              </w:rPr>
            </w:pPr>
            <w:r>
              <w:rPr>
                <w:rFonts w:ascii="黑体" w:eastAsia="黑体" w:hAnsi="黑体" w:hint="eastAsia"/>
                <w:sz w:val="20"/>
                <w:szCs w:val="20"/>
              </w:rPr>
              <w:t>BILLNO</w:t>
            </w:r>
          </w:p>
        </w:tc>
        <w:tc>
          <w:tcPr>
            <w:tcW w:w="1701" w:type="dxa"/>
          </w:tcPr>
          <w:p w14:paraId="12743EAF" w14:textId="77777777" w:rsidR="00A052DC" w:rsidRDefault="009F0A60">
            <w:pPr>
              <w:rPr>
                <w:rFonts w:ascii="黑体" w:eastAsia="黑体" w:hAnsi="黑体"/>
                <w:sz w:val="20"/>
                <w:szCs w:val="20"/>
              </w:rPr>
            </w:pPr>
            <w:r>
              <w:rPr>
                <w:rFonts w:ascii="黑体" w:eastAsia="黑体" w:hAnsi="黑体" w:hint="eastAsia"/>
                <w:sz w:val="20"/>
                <w:szCs w:val="20"/>
              </w:rPr>
              <w:t>提运单号/仓单号</w:t>
            </w:r>
          </w:p>
        </w:tc>
        <w:tc>
          <w:tcPr>
            <w:tcW w:w="1559" w:type="dxa"/>
          </w:tcPr>
          <w:p w14:paraId="10956DBC"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3969" w:type="dxa"/>
          </w:tcPr>
          <w:p w14:paraId="4F9F7493" w14:textId="77777777" w:rsidR="00A052DC" w:rsidRDefault="00DD6AA3">
            <w:pPr>
              <w:rPr>
                <w:rFonts w:ascii="黑体" w:eastAsia="黑体" w:hAnsi="黑体"/>
                <w:sz w:val="20"/>
                <w:szCs w:val="20"/>
              </w:rPr>
            </w:pPr>
            <w:r>
              <w:rPr>
                <w:rFonts w:ascii="黑体" w:eastAsia="黑体" w:hAnsi="黑体" w:hint="eastAsia"/>
                <w:sz w:val="20"/>
                <w:szCs w:val="20"/>
              </w:rPr>
              <w:t>非必填项</w:t>
            </w:r>
            <w:r w:rsidR="009F0A60">
              <w:rPr>
                <w:rFonts w:ascii="黑体" w:eastAsia="黑体" w:hAnsi="黑体" w:hint="eastAsia"/>
                <w:sz w:val="20"/>
                <w:szCs w:val="20"/>
              </w:rPr>
              <w:t>。</w:t>
            </w:r>
          </w:p>
        </w:tc>
      </w:tr>
      <w:tr w:rsidR="00A052DC" w14:paraId="1EDAAAEF" w14:textId="77777777">
        <w:tc>
          <w:tcPr>
            <w:tcW w:w="1418" w:type="dxa"/>
          </w:tcPr>
          <w:p w14:paraId="70876474" w14:textId="77777777" w:rsidR="00A052DC" w:rsidRDefault="009F0A60">
            <w:pPr>
              <w:rPr>
                <w:rFonts w:ascii="黑体" w:eastAsia="黑体" w:hAnsi="黑体"/>
                <w:sz w:val="20"/>
                <w:szCs w:val="20"/>
              </w:rPr>
            </w:pPr>
            <w:r>
              <w:rPr>
                <w:rFonts w:ascii="黑体" w:eastAsia="黑体" w:hAnsi="黑体" w:hint="eastAsia"/>
                <w:sz w:val="20"/>
                <w:szCs w:val="20"/>
              </w:rPr>
              <w:t>CONTAMT</w:t>
            </w:r>
          </w:p>
        </w:tc>
        <w:tc>
          <w:tcPr>
            <w:tcW w:w="1701" w:type="dxa"/>
          </w:tcPr>
          <w:p w14:paraId="1525BC1E" w14:textId="77777777" w:rsidR="00A052DC" w:rsidRDefault="009F0A60">
            <w:pPr>
              <w:rPr>
                <w:rFonts w:ascii="黑体" w:eastAsia="黑体" w:hAnsi="黑体"/>
                <w:sz w:val="20"/>
                <w:szCs w:val="20"/>
              </w:rPr>
            </w:pPr>
            <w:r>
              <w:rPr>
                <w:rFonts w:ascii="黑体" w:eastAsia="黑体" w:hAnsi="黑体" w:hint="eastAsia"/>
                <w:sz w:val="20"/>
                <w:szCs w:val="20"/>
              </w:rPr>
              <w:t>合同金额</w:t>
            </w:r>
          </w:p>
        </w:tc>
        <w:tc>
          <w:tcPr>
            <w:tcW w:w="1559" w:type="dxa"/>
          </w:tcPr>
          <w:p w14:paraId="63AE75AE" w14:textId="77777777" w:rsidR="00A052DC" w:rsidRDefault="009F0A60">
            <w:pPr>
              <w:rPr>
                <w:rFonts w:ascii="黑体" w:eastAsia="黑体" w:hAnsi="黑体"/>
                <w:sz w:val="20"/>
                <w:szCs w:val="20"/>
              </w:rPr>
            </w:pPr>
            <w:r>
              <w:rPr>
                <w:rFonts w:ascii="黑体" w:eastAsia="黑体" w:hAnsi="黑体" w:hint="eastAsia"/>
                <w:sz w:val="20"/>
                <w:szCs w:val="20"/>
              </w:rPr>
              <w:t>数值型，22.0</w:t>
            </w:r>
          </w:p>
        </w:tc>
        <w:tc>
          <w:tcPr>
            <w:tcW w:w="3969" w:type="dxa"/>
          </w:tcPr>
          <w:p w14:paraId="36E5898D" w14:textId="77777777" w:rsidR="00A052DC" w:rsidRDefault="00DD6AA3">
            <w:pPr>
              <w:rPr>
                <w:rFonts w:ascii="黑体" w:eastAsia="黑体" w:hAnsi="黑体"/>
                <w:sz w:val="20"/>
                <w:szCs w:val="20"/>
              </w:rPr>
            </w:pPr>
            <w:r>
              <w:rPr>
                <w:rFonts w:ascii="黑体" w:eastAsia="黑体" w:hAnsi="黑体" w:hint="eastAsia"/>
                <w:sz w:val="20"/>
                <w:szCs w:val="20"/>
              </w:rPr>
              <w:t>非必填项</w:t>
            </w:r>
            <w:r w:rsidR="009F0A60">
              <w:rPr>
                <w:rFonts w:ascii="黑体" w:eastAsia="黑体" w:hAnsi="黑体" w:hint="eastAsia"/>
                <w:sz w:val="20"/>
                <w:szCs w:val="20"/>
              </w:rPr>
              <w:t>。</w:t>
            </w:r>
          </w:p>
        </w:tc>
      </w:tr>
      <w:tr w:rsidR="00A052DC" w14:paraId="6D25D033" w14:textId="77777777">
        <w:tc>
          <w:tcPr>
            <w:tcW w:w="1418" w:type="dxa"/>
          </w:tcPr>
          <w:p w14:paraId="45DC5BF4" w14:textId="77777777" w:rsidR="00A052DC" w:rsidRDefault="009F0A60">
            <w:pPr>
              <w:rPr>
                <w:rFonts w:ascii="黑体" w:eastAsia="黑体" w:hAnsi="黑体"/>
                <w:sz w:val="20"/>
                <w:szCs w:val="20"/>
              </w:rPr>
            </w:pPr>
            <w:r>
              <w:rPr>
                <w:rFonts w:ascii="黑体" w:eastAsia="黑体" w:hAnsi="黑体" w:hint="eastAsia"/>
                <w:sz w:val="20"/>
                <w:szCs w:val="20"/>
              </w:rPr>
              <w:t>REGNO</w:t>
            </w:r>
          </w:p>
        </w:tc>
        <w:tc>
          <w:tcPr>
            <w:tcW w:w="1701" w:type="dxa"/>
          </w:tcPr>
          <w:p w14:paraId="31C08445" w14:textId="77777777" w:rsidR="00A052DC" w:rsidRDefault="009F0A60">
            <w:pPr>
              <w:rPr>
                <w:rFonts w:ascii="黑体" w:eastAsia="黑体" w:hAnsi="黑体"/>
                <w:sz w:val="20"/>
                <w:szCs w:val="20"/>
              </w:rPr>
            </w:pPr>
            <w:r>
              <w:rPr>
                <w:rFonts w:ascii="黑体" w:eastAsia="黑体" w:hAnsi="黑体" w:hint="eastAsia"/>
                <w:sz w:val="20"/>
                <w:szCs w:val="20"/>
              </w:rPr>
              <w:t>外汇局批件号/备案表号/业务编号</w:t>
            </w:r>
          </w:p>
        </w:tc>
        <w:tc>
          <w:tcPr>
            <w:tcW w:w="1559" w:type="dxa"/>
          </w:tcPr>
          <w:p w14:paraId="419F22BC" w14:textId="77777777" w:rsidR="00A052DC" w:rsidRDefault="009F0A60">
            <w:pPr>
              <w:rPr>
                <w:rFonts w:ascii="黑体" w:eastAsia="黑体" w:hAnsi="黑体"/>
                <w:sz w:val="20"/>
                <w:szCs w:val="20"/>
              </w:rPr>
            </w:pPr>
            <w:r>
              <w:rPr>
                <w:rFonts w:ascii="黑体" w:eastAsia="黑体" w:hAnsi="黑体" w:hint="eastAsia"/>
                <w:sz w:val="20"/>
                <w:szCs w:val="20"/>
              </w:rPr>
              <w:t>字符型，20</w:t>
            </w:r>
          </w:p>
        </w:tc>
        <w:tc>
          <w:tcPr>
            <w:tcW w:w="3969" w:type="dxa"/>
          </w:tcPr>
          <w:p w14:paraId="11044DB5" w14:textId="77777777" w:rsidR="00A052DC" w:rsidRDefault="00DD6AA3">
            <w:pPr>
              <w:rPr>
                <w:rFonts w:ascii="黑体" w:eastAsia="黑体" w:hAnsi="黑体"/>
                <w:sz w:val="20"/>
                <w:szCs w:val="20"/>
              </w:rPr>
            </w:pPr>
            <w:r>
              <w:rPr>
                <w:rFonts w:ascii="黑体" w:eastAsia="黑体" w:hAnsi="黑体" w:hint="eastAsia"/>
                <w:sz w:val="20"/>
                <w:szCs w:val="20"/>
              </w:rPr>
              <w:t>非必填项</w:t>
            </w:r>
            <w:r w:rsidR="009F0A60">
              <w:rPr>
                <w:rFonts w:ascii="黑体" w:eastAsia="黑体" w:hAnsi="黑体" w:hint="eastAsia"/>
                <w:sz w:val="20"/>
                <w:szCs w:val="20"/>
              </w:rPr>
              <w:t>，交易编码以“3”、“5”、“6”、“7”、“8”和部分“2”、“9”开头或涉及账户性质为资本项目性质账户的，“外汇局批件号/备案表号/业务编号”为必填项，填写规则参见《银行资本项目下数据报送参考规则》；对于《银行资本项目下数据报送参考规则》中未提到的情况，且不需要外汇局核准的（即确实没有对应的“外汇局批件号/备案表号/业务编号”），则应填写“N/A”（大写英文字母）。</w:t>
            </w:r>
          </w:p>
        </w:tc>
      </w:tr>
      <w:tr w:rsidR="00A052DC" w14:paraId="76E785DE" w14:textId="77777777">
        <w:tc>
          <w:tcPr>
            <w:tcW w:w="1418" w:type="dxa"/>
          </w:tcPr>
          <w:p w14:paraId="5EB11E40" w14:textId="77777777" w:rsidR="00A052DC" w:rsidRDefault="009F0A60">
            <w:pPr>
              <w:rPr>
                <w:rFonts w:ascii="黑体" w:eastAsia="黑体" w:hAnsi="黑体"/>
                <w:sz w:val="20"/>
                <w:szCs w:val="20"/>
              </w:rPr>
            </w:pPr>
            <w:r>
              <w:rPr>
                <w:rFonts w:ascii="黑体" w:eastAsia="黑体" w:hAnsi="黑体" w:hint="eastAsia"/>
                <w:sz w:val="20"/>
                <w:szCs w:val="20"/>
              </w:rPr>
              <w:t>CRTUSER</w:t>
            </w:r>
          </w:p>
        </w:tc>
        <w:tc>
          <w:tcPr>
            <w:tcW w:w="1701" w:type="dxa"/>
          </w:tcPr>
          <w:p w14:paraId="4BE2627A" w14:textId="77777777" w:rsidR="00A052DC" w:rsidRDefault="009F0A60">
            <w:pPr>
              <w:rPr>
                <w:rFonts w:ascii="黑体" w:eastAsia="黑体" w:hAnsi="黑体"/>
                <w:sz w:val="20"/>
                <w:szCs w:val="20"/>
              </w:rPr>
            </w:pPr>
            <w:r>
              <w:rPr>
                <w:rFonts w:ascii="黑体" w:eastAsia="黑体" w:hAnsi="黑体" w:hint="eastAsia"/>
                <w:sz w:val="20"/>
                <w:szCs w:val="20"/>
              </w:rPr>
              <w:t>填报人</w:t>
            </w:r>
          </w:p>
        </w:tc>
        <w:tc>
          <w:tcPr>
            <w:tcW w:w="1559" w:type="dxa"/>
          </w:tcPr>
          <w:p w14:paraId="46E8CB5F" w14:textId="77777777" w:rsidR="00A052DC" w:rsidRDefault="009F0A60">
            <w:pPr>
              <w:rPr>
                <w:rFonts w:ascii="黑体" w:eastAsia="黑体" w:hAnsi="黑体"/>
                <w:sz w:val="20"/>
                <w:szCs w:val="20"/>
              </w:rPr>
            </w:pPr>
            <w:r>
              <w:rPr>
                <w:rFonts w:ascii="黑体" w:eastAsia="黑体" w:hAnsi="黑体" w:hint="eastAsia"/>
                <w:sz w:val="20"/>
                <w:szCs w:val="20"/>
              </w:rPr>
              <w:t>字符型，20</w:t>
            </w:r>
          </w:p>
        </w:tc>
        <w:tc>
          <w:tcPr>
            <w:tcW w:w="3969" w:type="dxa"/>
          </w:tcPr>
          <w:p w14:paraId="6BCEC850"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r w:rsidR="00A052DC" w14:paraId="2B52B35D" w14:textId="77777777">
        <w:tc>
          <w:tcPr>
            <w:tcW w:w="1418" w:type="dxa"/>
          </w:tcPr>
          <w:p w14:paraId="2B078990" w14:textId="77777777" w:rsidR="00A052DC" w:rsidRDefault="009F0A60">
            <w:pPr>
              <w:rPr>
                <w:rFonts w:ascii="黑体" w:eastAsia="黑体" w:hAnsi="黑体"/>
                <w:sz w:val="20"/>
                <w:szCs w:val="20"/>
              </w:rPr>
            </w:pPr>
            <w:r>
              <w:rPr>
                <w:rFonts w:ascii="黑体" w:eastAsia="黑体" w:hAnsi="黑体" w:hint="eastAsia"/>
                <w:sz w:val="20"/>
                <w:szCs w:val="20"/>
              </w:rPr>
              <w:t>INPTELC</w:t>
            </w:r>
          </w:p>
        </w:tc>
        <w:tc>
          <w:tcPr>
            <w:tcW w:w="1701" w:type="dxa"/>
          </w:tcPr>
          <w:p w14:paraId="5B353326" w14:textId="77777777" w:rsidR="00A052DC" w:rsidRDefault="009F0A60">
            <w:pPr>
              <w:rPr>
                <w:rFonts w:ascii="黑体" w:eastAsia="黑体" w:hAnsi="黑体"/>
                <w:sz w:val="20"/>
                <w:szCs w:val="20"/>
              </w:rPr>
            </w:pPr>
            <w:r>
              <w:rPr>
                <w:rFonts w:ascii="黑体" w:eastAsia="黑体" w:hAnsi="黑体" w:hint="eastAsia"/>
                <w:sz w:val="20"/>
                <w:szCs w:val="20"/>
              </w:rPr>
              <w:t>填报人电话</w:t>
            </w:r>
          </w:p>
        </w:tc>
        <w:tc>
          <w:tcPr>
            <w:tcW w:w="1559" w:type="dxa"/>
          </w:tcPr>
          <w:p w14:paraId="22F830D8" w14:textId="77777777" w:rsidR="00A052DC" w:rsidRDefault="009F0A60">
            <w:pPr>
              <w:rPr>
                <w:rFonts w:ascii="黑体" w:eastAsia="黑体" w:hAnsi="黑体"/>
                <w:sz w:val="20"/>
                <w:szCs w:val="20"/>
              </w:rPr>
            </w:pPr>
            <w:r>
              <w:rPr>
                <w:rFonts w:ascii="黑体" w:eastAsia="黑体" w:hAnsi="黑体" w:hint="eastAsia"/>
                <w:sz w:val="20"/>
                <w:szCs w:val="20"/>
              </w:rPr>
              <w:t>字符型，20</w:t>
            </w:r>
          </w:p>
        </w:tc>
        <w:tc>
          <w:tcPr>
            <w:tcW w:w="3969" w:type="dxa"/>
          </w:tcPr>
          <w:p w14:paraId="2676817F"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r w:rsidR="00A052DC" w14:paraId="2F37D7F4" w14:textId="77777777">
        <w:tc>
          <w:tcPr>
            <w:tcW w:w="1418" w:type="dxa"/>
            <w:tcBorders>
              <w:top w:val="single" w:sz="4" w:space="0" w:color="auto"/>
              <w:left w:val="single" w:sz="4" w:space="0" w:color="auto"/>
              <w:bottom w:val="single" w:sz="4" w:space="0" w:color="auto"/>
              <w:right w:val="single" w:sz="4" w:space="0" w:color="auto"/>
            </w:tcBorders>
          </w:tcPr>
          <w:p w14:paraId="1EB7C28A" w14:textId="77777777" w:rsidR="00A052DC" w:rsidRDefault="009F0A60">
            <w:pPr>
              <w:rPr>
                <w:rFonts w:ascii="黑体" w:eastAsia="黑体" w:hAnsi="黑体"/>
                <w:sz w:val="20"/>
                <w:szCs w:val="20"/>
              </w:rPr>
            </w:pPr>
            <w:r>
              <w:rPr>
                <w:rFonts w:ascii="黑体" w:eastAsia="黑体" w:hAnsi="黑体" w:hint="eastAsia"/>
                <w:sz w:val="20"/>
                <w:szCs w:val="20"/>
              </w:rPr>
              <w:t>RPTDATE</w:t>
            </w:r>
          </w:p>
        </w:tc>
        <w:tc>
          <w:tcPr>
            <w:tcW w:w="1701" w:type="dxa"/>
            <w:tcBorders>
              <w:top w:val="single" w:sz="4" w:space="0" w:color="auto"/>
              <w:left w:val="single" w:sz="4" w:space="0" w:color="auto"/>
              <w:bottom w:val="single" w:sz="4" w:space="0" w:color="auto"/>
              <w:right w:val="single" w:sz="4" w:space="0" w:color="auto"/>
            </w:tcBorders>
          </w:tcPr>
          <w:p w14:paraId="0AAEF41D" w14:textId="77777777" w:rsidR="00A052DC" w:rsidRDefault="009F0A60">
            <w:pPr>
              <w:rPr>
                <w:rFonts w:ascii="黑体" w:eastAsia="黑体" w:hAnsi="黑体"/>
                <w:sz w:val="20"/>
                <w:szCs w:val="20"/>
              </w:rPr>
            </w:pPr>
            <w:r>
              <w:rPr>
                <w:rFonts w:ascii="黑体" w:eastAsia="黑体" w:hAnsi="黑体" w:hint="eastAsia"/>
                <w:sz w:val="20"/>
                <w:szCs w:val="20"/>
              </w:rPr>
              <w:t>申报日期</w:t>
            </w:r>
          </w:p>
        </w:tc>
        <w:tc>
          <w:tcPr>
            <w:tcW w:w="1559" w:type="dxa"/>
            <w:tcBorders>
              <w:top w:val="single" w:sz="4" w:space="0" w:color="auto"/>
              <w:left w:val="single" w:sz="4" w:space="0" w:color="auto"/>
              <w:bottom w:val="single" w:sz="4" w:space="0" w:color="auto"/>
              <w:right w:val="single" w:sz="4" w:space="0" w:color="auto"/>
            </w:tcBorders>
          </w:tcPr>
          <w:p w14:paraId="74D7B70D" w14:textId="77777777" w:rsidR="00A052DC" w:rsidRDefault="009F0A60">
            <w:pPr>
              <w:rPr>
                <w:rFonts w:ascii="黑体" w:eastAsia="黑体" w:hAnsi="黑体"/>
                <w:sz w:val="20"/>
                <w:szCs w:val="20"/>
              </w:rPr>
            </w:pPr>
            <w:r>
              <w:rPr>
                <w:rFonts w:ascii="黑体" w:eastAsia="黑体" w:hAnsi="黑体" w:hint="eastAsia"/>
                <w:sz w:val="20"/>
                <w:szCs w:val="20"/>
              </w:rPr>
              <w:t>日期型，8</w:t>
            </w:r>
          </w:p>
        </w:tc>
        <w:tc>
          <w:tcPr>
            <w:tcW w:w="3969" w:type="dxa"/>
            <w:tcBorders>
              <w:top w:val="single" w:sz="4" w:space="0" w:color="auto"/>
              <w:left w:val="single" w:sz="4" w:space="0" w:color="auto"/>
              <w:bottom w:val="single" w:sz="4" w:space="0" w:color="auto"/>
              <w:right w:val="single" w:sz="4" w:space="0" w:color="auto"/>
            </w:tcBorders>
          </w:tcPr>
          <w:p w14:paraId="1296689C" w14:textId="77777777" w:rsidR="00A052DC" w:rsidRDefault="009F0A60">
            <w:pPr>
              <w:rPr>
                <w:rFonts w:ascii="黑体" w:eastAsia="黑体" w:hAnsi="黑体"/>
                <w:sz w:val="20"/>
                <w:szCs w:val="20"/>
              </w:rPr>
            </w:pPr>
            <w:r>
              <w:rPr>
                <w:rFonts w:ascii="黑体" w:eastAsia="黑体" w:hAnsi="黑体" w:hint="eastAsia"/>
                <w:sz w:val="20"/>
                <w:szCs w:val="20"/>
              </w:rPr>
              <w:t>必填项，按申报主体真实填报日期填写。YYYYMMDD</w:t>
            </w:r>
            <w:r w:rsidR="00A769EC">
              <w:rPr>
                <w:rFonts w:ascii="黑体" w:eastAsia="黑体" w:hAnsi="黑体" w:hint="eastAsia"/>
                <w:sz w:val="20"/>
                <w:szCs w:val="20"/>
              </w:rPr>
              <w:t>。</w:t>
            </w:r>
          </w:p>
        </w:tc>
      </w:tr>
    </w:tbl>
    <w:p w14:paraId="0C6476B9" w14:textId="77777777" w:rsidR="00A052DC" w:rsidRDefault="009F0A60">
      <w:pPr>
        <w:pStyle w:val="2"/>
        <w:rPr>
          <w:rFonts w:ascii="Times New Roman" w:hAnsi="Times New Roman"/>
        </w:rPr>
      </w:pPr>
      <w:bookmarkStart w:id="1315" w:name="_Toc380356251"/>
      <w:bookmarkStart w:id="1316" w:name="_Toc454386819"/>
      <w:bookmarkStart w:id="1317" w:name="_Toc91455280"/>
      <w:bookmarkStart w:id="1318" w:name="_Toc101684453"/>
      <w:r>
        <w:rPr>
          <w:rFonts w:ascii="Times New Roman" w:hAnsi="Times New Roman" w:hint="eastAsia"/>
        </w:rPr>
        <w:t>外汇账户数据</w:t>
      </w:r>
      <w:bookmarkEnd w:id="1315"/>
      <w:bookmarkEnd w:id="1316"/>
      <w:bookmarkEnd w:id="1317"/>
      <w:bookmarkEnd w:id="1318"/>
    </w:p>
    <w:p w14:paraId="052B4AD6" w14:textId="77777777" w:rsidR="00A052DC" w:rsidRDefault="009F0A60" w:rsidP="0020251D">
      <w:pPr>
        <w:pStyle w:val="3"/>
        <w:ind w:left="0"/>
        <w:rPr>
          <w:rFonts w:ascii="Times New Roman" w:hAnsi="Times New Roman"/>
        </w:rPr>
      </w:pPr>
      <w:bookmarkStart w:id="1319" w:name="_Toc380356252"/>
      <w:bookmarkStart w:id="1320" w:name="_Toc454386820"/>
      <w:bookmarkStart w:id="1321" w:name="_Toc91455281"/>
      <w:bookmarkStart w:id="1322" w:name="_Toc101684454"/>
      <w:r>
        <w:rPr>
          <w:rFonts w:ascii="Times New Roman" w:hAnsi="Times New Roman" w:hint="eastAsia"/>
        </w:rPr>
        <w:t>账户开关户信息</w:t>
      </w:r>
      <w:bookmarkEnd w:id="1319"/>
      <w:bookmarkEnd w:id="1320"/>
      <w:bookmarkEnd w:id="1321"/>
      <w:bookmarkEnd w:id="1322"/>
    </w:p>
    <w:p w14:paraId="68E2ACFC" w14:textId="77777777" w:rsidR="00A052DC" w:rsidRDefault="009F0A60" w:rsidP="0020251D">
      <w:pPr>
        <w:pStyle w:val="4"/>
        <w:numPr>
          <w:ilvl w:val="3"/>
          <w:numId w:val="1"/>
        </w:numPr>
        <w:jc w:val="left"/>
      </w:pPr>
      <w:bookmarkStart w:id="1323" w:name="_Toc326841488"/>
      <w:bookmarkStart w:id="1324" w:name="_Toc454386821"/>
      <w:r>
        <w:rPr>
          <w:rFonts w:hint="eastAsia"/>
        </w:rPr>
        <w:t>数据术语解释</w:t>
      </w:r>
      <w:bookmarkEnd w:id="1323"/>
      <w:bookmarkEnd w:id="1324"/>
    </w:p>
    <w:tbl>
      <w:tblPr>
        <w:tblW w:w="84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78"/>
        <w:gridCol w:w="6894"/>
      </w:tblGrid>
      <w:tr w:rsidR="00A052DC" w14:paraId="665A5F4E" w14:textId="77777777">
        <w:tc>
          <w:tcPr>
            <w:tcW w:w="1578" w:type="dxa"/>
          </w:tcPr>
          <w:p w14:paraId="5B13370E" w14:textId="77777777" w:rsidR="00A052DC" w:rsidRDefault="009F0A60">
            <w:pPr>
              <w:jc w:val="center"/>
              <w:rPr>
                <w:rFonts w:ascii="黑体" w:eastAsia="黑体" w:hAnsi="黑体"/>
                <w:b/>
                <w:sz w:val="20"/>
                <w:szCs w:val="20"/>
              </w:rPr>
            </w:pPr>
            <w:r>
              <w:rPr>
                <w:rFonts w:ascii="黑体" w:eastAsia="黑体" w:hAnsi="黑体" w:hint="eastAsia"/>
                <w:b/>
                <w:sz w:val="20"/>
                <w:szCs w:val="20"/>
              </w:rPr>
              <w:t>基础数据项</w:t>
            </w:r>
          </w:p>
        </w:tc>
        <w:tc>
          <w:tcPr>
            <w:tcW w:w="6894" w:type="dxa"/>
          </w:tcPr>
          <w:p w14:paraId="0B34096D" w14:textId="77777777" w:rsidR="00A052DC" w:rsidRDefault="009F0A60">
            <w:pPr>
              <w:jc w:val="center"/>
              <w:rPr>
                <w:rFonts w:ascii="黑体" w:eastAsia="黑体" w:hAnsi="黑体"/>
                <w:b/>
                <w:sz w:val="20"/>
                <w:szCs w:val="20"/>
              </w:rPr>
            </w:pPr>
            <w:r>
              <w:rPr>
                <w:rFonts w:ascii="黑体" w:eastAsia="黑体" w:hAnsi="黑体" w:hint="eastAsia"/>
                <w:b/>
                <w:sz w:val="20"/>
                <w:szCs w:val="20"/>
              </w:rPr>
              <w:t>定义</w:t>
            </w:r>
          </w:p>
        </w:tc>
      </w:tr>
      <w:tr w:rsidR="00A052DC" w14:paraId="1728A89C" w14:textId="77777777">
        <w:tc>
          <w:tcPr>
            <w:tcW w:w="1578" w:type="dxa"/>
          </w:tcPr>
          <w:p w14:paraId="340722D5" w14:textId="77777777" w:rsidR="00A052DC" w:rsidRDefault="009F0A60">
            <w:pPr>
              <w:rPr>
                <w:rFonts w:ascii="黑体" w:eastAsia="黑体" w:hAnsi="黑体"/>
                <w:sz w:val="20"/>
                <w:szCs w:val="20"/>
              </w:rPr>
            </w:pPr>
            <w:r>
              <w:rPr>
                <w:rFonts w:ascii="黑体" w:eastAsia="黑体" w:hAnsi="黑体" w:hint="eastAsia"/>
                <w:sz w:val="20"/>
                <w:szCs w:val="20"/>
              </w:rPr>
              <w:t>金融机构标识码</w:t>
            </w:r>
          </w:p>
        </w:tc>
        <w:tc>
          <w:tcPr>
            <w:tcW w:w="6894" w:type="dxa"/>
          </w:tcPr>
          <w:p w14:paraId="10D003A6" w14:textId="77777777" w:rsidR="00A052DC" w:rsidRDefault="009F0A60">
            <w:pPr>
              <w:rPr>
                <w:rFonts w:ascii="黑体" w:eastAsia="黑体" w:hAnsi="黑体"/>
                <w:sz w:val="20"/>
                <w:szCs w:val="20"/>
              </w:rPr>
            </w:pPr>
            <w:r>
              <w:rPr>
                <w:rFonts w:ascii="黑体" w:eastAsia="黑体" w:hAnsi="黑体" w:hint="eastAsia"/>
                <w:sz w:val="20"/>
                <w:szCs w:val="20"/>
              </w:rPr>
              <w:t>国家外汇管理局及其分支局签发的12位金融机构标识码编码。</w:t>
            </w:r>
          </w:p>
        </w:tc>
      </w:tr>
      <w:tr w:rsidR="00A052DC" w14:paraId="5297BBA0" w14:textId="77777777">
        <w:tc>
          <w:tcPr>
            <w:tcW w:w="1578" w:type="dxa"/>
          </w:tcPr>
          <w:p w14:paraId="0DD93015" w14:textId="77777777" w:rsidR="00A052DC" w:rsidRDefault="009F0A60">
            <w:pPr>
              <w:rPr>
                <w:rFonts w:ascii="黑体" w:eastAsia="黑体" w:hAnsi="黑体"/>
                <w:sz w:val="20"/>
                <w:szCs w:val="20"/>
              </w:rPr>
            </w:pPr>
            <w:r>
              <w:rPr>
                <w:rFonts w:ascii="黑体" w:eastAsia="黑体" w:hAnsi="黑体" w:hint="eastAsia"/>
                <w:sz w:val="20"/>
                <w:szCs w:val="20"/>
              </w:rPr>
              <w:t>金融机构名称</w:t>
            </w:r>
          </w:p>
        </w:tc>
        <w:tc>
          <w:tcPr>
            <w:tcW w:w="6894" w:type="dxa"/>
          </w:tcPr>
          <w:p w14:paraId="60164D13" w14:textId="77777777" w:rsidR="00A052DC" w:rsidRDefault="009F0A60">
            <w:pPr>
              <w:rPr>
                <w:rFonts w:ascii="黑体" w:eastAsia="黑体" w:hAnsi="黑体"/>
                <w:sz w:val="20"/>
                <w:szCs w:val="20"/>
              </w:rPr>
            </w:pPr>
            <w:r>
              <w:rPr>
                <w:rFonts w:ascii="黑体" w:eastAsia="黑体" w:hAnsi="黑体" w:hint="eastAsia"/>
                <w:sz w:val="20"/>
                <w:szCs w:val="20"/>
              </w:rPr>
              <w:t>开户银行中文名称。</w:t>
            </w:r>
          </w:p>
        </w:tc>
      </w:tr>
      <w:tr w:rsidR="00A052DC" w14:paraId="221C714D" w14:textId="77777777">
        <w:tc>
          <w:tcPr>
            <w:tcW w:w="1578" w:type="dxa"/>
          </w:tcPr>
          <w:p w14:paraId="2205CE48" w14:textId="77777777" w:rsidR="00A052DC" w:rsidRDefault="009F0A60">
            <w:pPr>
              <w:rPr>
                <w:rFonts w:ascii="黑体" w:eastAsia="黑体" w:hAnsi="黑体"/>
                <w:sz w:val="20"/>
                <w:szCs w:val="20"/>
              </w:rPr>
            </w:pPr>
            <w:r>
              <w:rPr>
                <w:rFonts w:ascii="黑体" w:eastAsia="黑体" w:hAnsi="黑体" w:hint="eastAsia"/>
                <w:sz w:val="20"/>
                <w:szCs w:val="20"/>
              </w:rPr>
              <w:t>账号</w:t>
            </w:r>
          </w:p>
        </w:tc>
        <w:tc>
          <w:tcPr>
            <w:tcW w:w="6894" w:type="dxa"/>
          </w:tcPr>
          <w:p w14:paraId="53C75BE0" w14:textId="77777777" w:rsidR="00A052DC" w:rsidRDefault="009F0A60">
            <w:pPr>
              <w:rPr>
                <w:rFonts w:ascii="黑体" w:eastAsia="黑体" w:hAnsi="黑体"/>
                <w:sz w:val="20"/>
                <w:szCs w:val="20"/>
              </w:rPr>
            </w:pPr>
            <w:r>
              <w:rPr>
                <w:rFonts w:ascii="黑体" w:eastAsia="黑体" w:hAnsi="黑体" w:hint="eastAsia"/>
                <w:sz w:val="20"/>
                <w:szCs w:val="20"/>
              </w:rPr>
              <w:t>账户账号。</w:t>
            </w:r>
          </w:p>
        </w:tc>
      </w:tr>
      <w:tr w:rsidR="00A052DC" w14:paraId="07124E8D" w14:textId="77777777">
        <w:tc>
          <w:tcPr>
            <w:tcW w:w="1578" w:type="dxa"/>
          </w:tcPr>
          <w:p w14:paraId="3833510B" w14:textId="77777777" w:rsidR="00A052DC" w:rsidRDefault="009F0A60">
            <w:pPr>
              <w:rPr>
                <w:rFonts w:ascii="黑体" w:eastAsia="黑体" w:hAnsi="黑体"/>
                <w:sz w:val="20"/>
                <w:szCs w:val="20"/>
              </w:rPr>
            </w:pPr>
            <w:r>
              <w:rPr>
                <w:rFonts w:ascii="黑体" w:eastAsia="黑体" w:hAnsi="黑体" w:hint="eastAsia"/>
                <w:sz w:val="20"/>
                <w:szCs w:val="20"/>
              </w:rPr>
              <w:t>账户状态</w:t>
            </w:r>
          </w:p>
        </w:tc>
        <w:tc>
          <w:tcPr>
            <w:tcW w:w="6894" w:type="dxa"/>
          </w:tcPr>
          <w:p w14:paraId="23B8E412" w14:textId="77777777" w:rsidR="00A052DC" w:rsidRDefault="009F0A60">
            <w:pPr>
              <w:rPr>
                <w:rFonts w:ascii="黑体" w:eastAsia="黑体" w:hAnsi="黑体"/>
                <w:sz w:val="20"/>
                <w:szCs w:val="20"/>
              </w:rPr>
            </w:pPr>
            <w:r>
              <w:rPr>
                <w:rFonts w:ascii="黑体" w:eastAsia="黑体" w:hAnsi="黑体" w:hint="eastAsia"/>
                <w:sz w:val="20"/>
                <w:szCs w:val="20"/>
              </w:rPr>
              <w:t>开户、关户及变更，见账户状态代码。</w:t>
            </w:r>
          </w:p>
        </w:tc>
      </w:tr>
      <w:tr w:rsidR="00A052DC" w14:paraId="3FD5553D" w14:textId="77777777">
        <w:tc>
          <w:tcPr>
            <w:tcW w:w="1578" w:type="dxa"/>
          </w:tcPr>
          <w:p w14:paraId="645C19B0" w14:textId="77777777" w:rsidR="00A052DC" w:rsidRDefault="009F0A60">
            <w:pPr>
              <w:rPr>
                <w:rFonts w:ascii="黑体" w:eastAsia="黑体" w:hAnsi="黑体"/>
                <w:sz w:val="20"/>
                <w:szCs w:val="20"/>
              </w:rPr>
            </w:pPr>
            <w:r>
              <w:rPr>
                <w:rFonts w:ascii="黑体" w:eastAsia="黑体" w:hAnsi="黑体" w:hint="eastAsia"/>
                <w:sz w:val="20"/>
                <w:szCs w:val="20"/>
              </w:rPr>
              <w:t>开户主体类型</w:t>
            </w:r>
          </w:p>
        </w:tc>
        <w:tc>
          <w:tcPr>
            <w:tcW w:w="6894" w:type="dxa"/>
          </w:tcPr>
          <w:p w14:paraId="3C52640F" w14:textId="77777777" w:rsidR="00A052DC" w:rsidRDefault="009F0A60">
            <w:pPr>
              <w:rPr>
                <w:rFonts w:ascii="黑体" w:eastAsia="黑体" w:hAnsi="黑体"/>
                <w:sz w:val="20"/>
                <w:szCs w:val="20"/>
              </w:rPr>
            </w:pPr>
            <w:r>
              <w:rPr>
                <w:rFonts w:ascii="黑体" w:eastAsia="黑体" w:hAnsi="黑体" w:hint="eastAsia"/>
                <w:sz w:val="20"/>
                <w:szCs w:val="20"/>
              </w:rPr>
              <w:t>开户主体的类型，见开户主体类型代码。</w:t>
            </w:r>
          </w:p>
        </w:tc>
      </w:tr>
      <w:tr w:rsidR="00A052DC" w14:paraId="3C079CF5" w14:textId="77777777">
        <w:tc>
          <w:tcPr>
            <w:tcW w:w="1578" w:type="dxa"/>
          </w:tcPr>
          <w:p w14:paraId="7633CB11" w14:textId="77777777" w:rsidR="00A052DC" w:rsidRDefault="009F0A60">
            <w:pPr>
              <w:rPr>
                <w:rFonts w:ascii="黑体" w:eastAsia="黑体" w:hAnsi="黑体"/>
                <w:sz w:val="20"/>
                <w:szCs w:val="20"/>
              </w:rPr>
            </w:pPr>
            <w:r>
              <w:rPr>
                <w:rFonts w:ascii="黑体" w:eastAsia="黑体" w:hAnsi="黑体" w:hint="eastAsia"/>
                <w:sz w:val="20"/>
                <w:szCs w:val="20"/>
              </w:rPr>
              <w:t>开户主体代码</w:t>
            </w:r>
          </w:p>
        </w:tc>
        <w:tc>
          <w:tcPr>
            <w:tcW w:w="6894" w:type="dxa"/>
          </w:tcPr>
          <w:p w14:paraId="3C023713" w14:textId="77777777" w:rsidR="00A052DC" w:rsidRDefault="009F0A60">
            <w:pPr>
              <w:rPr>
                <w:rFonts w:ascii="黑体" w:eastAsia="黑体" w:hAnsi="黑体"/>
                <w:sz w:val="20"/>
                <w:szCs w:val="20"/>
              </w:rPr>
            </w:pPr>
            <w:r>
              <w:rPr>
                <w:rFonts w:ascii="黑体" w:eastAsia="黑体" w:hAnsi="黑体" w:hint="eastAsia"/>
                <w:sz w:val="20"/>
                <w:szCs w:val="20"/>
              </w:rPr>
              <w:t>如果开户主体人为境内机构，应填写统一社会信用代码法定载体（如营业执照）上统一社会信用代码中的第9至17位；如果开户主体为境外机构，应填写国家外汇管理局及其分支局签发的特殊机构代码赋码通知书上的机构代码；如果开户主体为境内个人，应填写开户主体个人身份证件号码；如果开户主体为境外个人，应填写其开户时提交的身份证件上的身份证件号码。</w:t>
            </w:r>
          </w:p>
        </w:tc>
      </w:tr>
      <w:tr w:rsidR="00A052DC" w14:paraId="3AE3E2E4" w14:textId="77777777">
        <w:tc>
          <w:tcPr>
            <w:tcW w:w="1578" w:type="dxa"/>
          </w:tcPr>
          <w:p w14:paraId="0B1D40AB" w14:textId="77777777" w:rsidR="00A052DC" w:rsidRDefault="009F0A60">
            <w:pPr>
              <w:rPr>
                <w:rFonts w:ascii="黑体" w:eastAsia="黑体" w:hAnsi="黑体"/>
                <w:sz w:val="20"/>
                <w:szCs w:val="20"/>
              </w:rPr>
            </w:pPr>
            <w:r>
              <w:rPr>
                <w:rFonts w:ascii="黑体" w:eastAsia="黑体" w:hAnsi="黑体" w:hint="eastAsia"/>
                <w:sz w:val="20"/>
                <w:szCs w:val="20"/>
              </w:rPr>
              <w:t>开户主体名称</w:t>
            </w:r>
          </w:p>
        </w:tc>
        <w:tc>
          <w:tcPr>
            <w:tcW w:w="6894" w:type="dxa"/>
          </w:tcPr>
          <w:p w14:paraId="7C46958B" w14:textId="77777777" w:rsidR="00A052DC" w:rsidRDefault="009F0A60">
            <w:pPr>
              <w:rPr>
                <w:rFonts w:ascii="黑体" w:eastAsia="黑体" w:hAnsi="黑体"/>
                <w:sz w:val="20"/>
                <w:szCs w:val="20"/>
              </w:rPr>
            </w:pPr>
            <w:r>
              <w:rPr>
                <w:rFonts w:ascii="黑体" w:eastAsia="黑体" w:hAnsi="黑体" w:hint="eastAsia"/>
                <w:sz w:val="20"/>
                <w:szCs w:val="20"/>
              </w:rPr>
              <w:t>如果开户主体人为境内机构，应填写营业执照等统一社会信用代码法定载体上的名称；如果开户主体为境外机构，应填写国家外汇管理局签发的特殊机构赋码通知书上的名称；如果开户主体为境内个人，应填写开户主体个人身份证件上的名称；如果开户主体为境外个人，应填写其开户时提交的身份证件上的名称。</w:t>
            </w:r>
          </w:p>
        </w:tc>
      </w:tr>
      <w:tr w:rsidR="00A052DC" w14:paraId="3F4B3D34" w14:textId="77777777">
        <w:tc>
          <w:tcPr>
            <w:tcW w:w="1578" w:type="dxa"/>
          </w:tcPr>
          <w:p w14:paraId="53842629" w14:textId="77777777" w:rsidR="00A052DC" w:rsidRDefault="009F0A60">
            <w:pPr>
              <w:rPr>
                <w:rFonts w:ascii="黑体" w:eastAsia="黑体" w:hAnsi="黑体"/>
                <w:sz w:val="20"/>
                <w:szCs w:val="20"/>
              </w:rPr>
            </w:pPr>
            <w:r>
              <w:rPr>
                <w:rFonts w:ascii="黑体" w:eastAsia="黑体" w:hAnsi="黑体" w:hint="eastAsia"/>
                <w:sz w:val="20"/>
                <w:szCs w:val="20"/>
              </w:rPr>
              <w:t>账户性质代码</w:t>
            </w:r>
          </w:p>
        </w:tc>
        <w:tc>
          <w:tcPr>
            <w:tcW w:w="6894" w:type="dxa"/>
          </w:tcPr>
          <w:p w14:paraId="0FB8CADD" w14:textId="77777777" w:rsidR="00A052DC" w:rsidRDefault="009F0A60">
            <w:pPr>
              <w:rPr>
                <w:rFonts w:ascii="黑体" w:eastAsia="黑体" w:hAnsi="黑体"/>
                <w:sz w:val="20"/>
                <w:szCs w:val="20"/>
              </w:rPr>
            </w:pPr>
            <w:r>
              <w:rPr>
                <w:rFonts w:ascii="黑体" w:eastAsia="黑体" w:hAnsi="黑体" w:hint="eastAsia"/>
                <w:sz w:val="20"/>
                <w:szCs w:val="20"/>
              </w:rPr>
              <w:t>账户性质代码，见账户性质代码表。</w:t>
            </w:r>
          </w:p>
        </w:tc>
      </w:tr>
      <w:tr w:rsidR="00A052DC" w14:paraId="405E0FF5" w14:textId="77777777">
        <w:tc>
          <w:tcPr>
            <w:tcW w:w="1578" w:type="dxa"/>
          </w:tcPr>
          <w:p w14:paraId="4477C137" w14:textId="77777777" w:rsidR="00A052DC" w:rsidRDefault="009F0A60">
            <w:pPr>
              <w:rPr>
                <w:rFonts w:ascii="黑体" w:eastAsia="黑体" w:hAnsi="黑体"/>
                <w:sz w:val="20"/>
                <w:szCs w:val="20"/>
              </w:rPr>
            </w:pPr>
            <w:r>
              <w:rPr>
                <w:rFonts w:ascii="黑体" w:eastAsia="黑体" w:hAnsi="黑体" w:hint="eastAsia"/>
                <w:sz w:val="20"/>
                <w:szCs w:val="20"/>
              </w:rPr>
              <w:t>账户类别</w:t>
            </w:r>
          </w:p>
        </w:tc>
        <w:tc>
          <w:tcPr>
            <w:tcW w:w="6894" w:type="dxa"/>
          </w:tcPr>
          <w:p w14:paraId="413C4634" w14:textId="77777777" w:rsidR="00A052DC" w:rsidRDefault="009F0A60">
            <w:pPr>
              <w:rPr>
                <w:rFonts w:ascii="黑体" w:eastAsia="黑体" w:hAnsi="黑体"/>
                <w:sz w:val="20"/>
                <w:szCs w:val="20"/>
              </w:rPr>
            </w:pPr>
            <w:r>
              <w:rPr>
                <w:rFonts w:ascii="黑体" w:eastAsia="黑体" w:hAnsi="黑体" w:hint="eastAsia"/>
                <w:sz w:val="20"/>
                <w:szCs w:val="20"/>
              </w:rPr>
              <w:t>区分账户是现钞户还是现汇户，见账户类别代码表。</w:t>
            </w:r>
          </w:p>
        </w:tc>
      </w:tr>
      <w:tr w:rsidR="00A052DC" w14:paraId="50BF19C0" w14:textId="77777777">
        <w:tc>
          <w:tcPr>
            <w:tcW w:w="1578" w:type="dxa"/>
          </w:tcPr>
          <w:p w14:paraId="73970663" w14:textId="77777777" w:rsidR="00A052DC" w:rsidRDefault="009F0A60">
            <w:pPr>
              <w:rPr>
                <w:rFonts w:ascii="黑体" w:eastAsia="黑体" w:hAnsi="黑体"/>
                <w:sz w:val="20"/>
                <w:szCs w:val="20"/>
              </w:rPr>
            </w:pPr>
            <w:r>
              <w:rPr>
                <w:rFonts w:ascii="黑体" w:eastAsia="黑体" w:hAnsi="黑体" w:hint="eastAsia"/>
                <w:sz w:val="20"/>
                <w:szCs w:val="20"/>
              </w:rPr>
              <w:t>币种</w:t>
            </w:r>
          </w:p>
        </w:tc>
        <w:tc>
          <w:tcPr>
            <w:tcW w:w="6894" w:type="dxa"/>
          </w:tcPr>
          <w:p w14:paraId="03DD02BF" w14:textId="77777777" w:rsidR="00A052DC" w:rsidRDefault="009F0A60">
            <w:pPr>
              <w:rPr>
                <w:rFonts w:ascii="黑体" w:eastAsia="黑体" w:hAnsi="黑体"/>
                <w:sz w:val="20"/>
                <w:szCs w:val="20"/>
              </w:rPr>
            </w:pPr>
            <w:r>
              <w:rPr>
                <w:rFonts w:ascii="黑体" w:eastAsia="黑体" w:hAnsi="黑体" w:hint="eastAsia"/>
                <w:sz w:val="20"/>
                <w:szCs w:val="20"/>
              </w:rPr>
              <w:t>币种代码，见币种代码表。</w:t>
            </w:r>
          </w:p>
        </w:tc>
      </w:tr>
      <w:tr w:rsidR="00A052DC" w14:paraId="596206CB" w14:textId="77777777">
        <w:tc>
          <w:tcPr>
            <w:tcW w:w="1578" w:type="dxa"/>
          </w:tcPr>
          <w:p w14:paraId="4E4BB5B6" w14:textId="77777777" w:rsidR="00A052DC" w:rsidRDefault="009F0A60">
            <w:pPr>
              <w:rPr>
                <w:rFonts w:ascii="黑体" w:eastAsia="黑体" w:hAnsi="黑体"/>
                <w:sz w:val="20"/>
                <w:szCs w:val="20"/>
              </w:rPr>
            </w:pPr>
            <w:r>
              <w:rPr>
                <w:rFonts w:ascii="黑体" w:eastAsia="黑体" w:hAnsi="黑体" w:hint="eastAsia"/>
                <w:sz w:val="20"/>
                <w:szCs w:val="20"/>
              </w:rPr>
              <w:t>业务发生日期</w:t>
            </w:r>
          </w:p>
        </w:tc>
        <w:tc>
          <w:tcPr>
            <w:tcW w:w="6894" w:type="dxa"/>
          </w:tcPr>
          <w:p w14:paraId="4986F496" w14:textId="77777777" w:rsidR="00A052DC" w:rsidRDefault="009F0A60">
            <w:pPr>
              <w:rPr>
                <w:rFonts w:ascii="黑体" w:eastAsia="黑体" w:hAnsi="黑体"/>
                <w:sz w:val="20"/>
                <w:szCs w:val="20"/>
              </w:rPr>
            </w:pPr>
            <w:r>
              <w:rPr>
                <w:rFonts w:ascii="黑体" w:eastAsia="黑体" w:hAnsi="黑体" w:hint="eastAsia"/>
                <w:sz w:val="20"/>
                <w:szCs w:val="20"/>
              </w:rPr>
              <w:t>银行账户开户、变更或关户日期。</w:t>
            </w:r>
          </w:p>
        </w:tc>
      </w:tr>
      <w:tr w:rsidR="00A052DC" w14:paraId="45B0F465" w14:textId="77777777">
        <w:tc>
          <w:tcPr>
            <w:tcW w:w="1578" w:type="dxa"/>
          </w:tcPr>
          <w:p w14:paraId="20AB6D98" w14:textId="77777777" w:rsidR="00A052DC" w:rsidRDefault="009F0A60">
            <w:pPr>
              <w:rPr>
                <w:rFonts w:ascii="黑体" w:eastAsia="黑体" w:hAnsi="黑体"/>
                <w:sz w:val="20"/>
                <w:szCs w:val="20"/>
              </w:rPr>
            </w:pPr>
            <w:r>
              <w:rPr>
                <w:rFonts w:ascii="黑体" w:eastAsia="黑体" w:hAnsi="黑体" w:hint="eastAsia"/>
                <w:sz w:val="20"/>
                <w:szCs w:val="20"/>
              </w:rPr>
              <w:t>外汇局批件号/备案表号/业务编号</w:t>
            </w:r>
          </w:p>
        </w:tc>
        <w:tc>
          <w:tcPr>
            <w:tcW w:w="6894" w:type="dxa"/>
          </w:tcPr>
          <w:p w14:paraId="6B981D82" w14:textId="77777777" w:rsidR="00A052DC" w:rsidRDefault="009F0A60">
            <w:pPr>
              <w:rPr>
                <w:rFonts w:ascii="黑体" w:eastAsia="黑体" w:hAnsi="黑体"/>
                <w:sz w:val="20"/>
                <w:szCs w:val="20"/>
              </w:rPr>
            </w:pPr>
            <w:r>
              <w:rPr>
                <w:rFonts w:ascii="黑体" w:eastAsia="黑体" w:hAnsi="黑体" w:hint="eastAsia"/>
                <w:sz w:val="20"/>
                <w:szCs w:val="20"/>
              </w:rPr>
              <w:t>对于需要外汇局核准的开户、变更、关户等业务，填写外汇局签发的账户开户、变更或关户的核准件编号；对于不需要外汇局核准，可凭外汇局相关登记、备案信息直接办理的开户、变更、关户等业务，填写外汇局的相应业务编号或备案表号。</w:t>
            </w:r>
          </w:p>
        </w:tc>
      </w:tr>
      <w:tr w:rsidR="00A052DC" w14:paraId="793DA03E" w14:textId="77777777">
        <w:tc>
          <w:tcPr>
            <w:tcW w:w="1578" w:type="dxa"/>
          </w:tcPr>
          <w:p w14:paraId="309C9D62" w14:textId="77777777" w:rsidR="00A052DC" w:rsidRDefault="009F0A60">
            <w:pPr>
              <w:rPr>
                <w:rFonts w:ascii="黑体" w:eastAsia="黑体" w:hAnsi="黑体"/>
                <w:sz w:val="20"/>
                <w:szCs w:val="20"/>
              </w:rPr>
            </w:pPr>
            <w:r>
              <w:rPr>
                <w:rFonts w:ascii="黑体" w:eastAsia="黑体" w:hAnsi="黑体" w:hint="eastAsia"/>
                <w:sz w:val="20"/>
                <w:szCs w:val="20"/>
              </w:rPr>
              <w:t>限额类型</w:t>
            </w:r>
          </w:p>
        </w:tc>
        <w:tc>
          <w:tcPr>
            <w:tcW w:w="6894" w:type="dxa"/>
          </w:tcPr>
          <w:p w14:paraId="034E9884" w14:textId="77777777" w:rsidR="00A052DC" w:rsidRDefault="009F0A60">
            <w:pPr>
              <w:rPr>
                <w:rFonts w:ascii="黑体" w:eastAsia="黑体" w:hAnsi="黑体"/>
                <w:sz w:val="20"/>
                <w:szCs w:val="20"/>
              </w:rPr>
            </w:pPr>
            <w:r>
              <w:rPr>
                <w:rFonts w:ascii="黑体" w:eastAsia="黑体" w:hAnsi="黑体" w:hint="eastAsia"/>
                <w:sz w:val="20"/>
                <w:szCs w:val="20"/>
              </w:rPr>
              <w:t>限额类型，见账户限额类型代码表。</w:t>
            </w:r>
          </w:p>
        </w:tc>
      </w:tr>
      <w:tr w:rsidR="00A052DC" w14:paraId="2B5ED102" w14:textId="77777777">
        <w:tc>
          <w:tcPr>
            <w:tcW w:w="1578" w:type="dxa"/>
          </w:tcPr>
          <w:p w14:paraId="4C3975BE" w14:textId="77777777" w:rsidR="00A052DC" w:rsidRDefault="009F0A60">
            <w:pPr>
              <w:rPr>
                <w:rFonts w:ascii="黑体" w:eastAsia="黑体" w:hAnsi="黑体"/>
                <w:sz w:val="20"/>
                <w:szCs w:val="20"/>
              </w:rPr>
            </w:pPr>
            <w:r>
              <w:rPr>
                <w:rFonts w:ascii="黑体" w:eastAsia="黑体" w:hAnsi="黑体" w:hint="eastAsia"/>
                <w:sz w:val="20"/>
                <w:szCs w:val="20"/>
              </w:rPr>
              <w:t>账户限额</w:t>
            </w:r>
          </w:p>
        </w:tc>
        <w:tc>
          <w:tcPr>
            <w:tcW w:w="6894" w:type="dxa"/>
          </w:tcPr>
          <w:p w14:paraId="5366D74F" w14:textId="77777777" w:rsidR="00A052DC" w:rsidRDefault="009F0A60">
            <w:pPr>
              <w:rPr>
                <w:rFonts w:ascii="黑体" w:eastAsia="黑体" w:hAnsi="黑体"/>
                <w:sz w:val="20"/>
                <w:szCs w:val="20"/>
              </w:rPr>
            </w:pPr>
            <w:r>
              <w:rPr>
                <w:rFonts w:ascii="黑体" w:eastAsia="黑体" w:hAnsi="黑体" w:hint="eastAsia"/>
                <w:sz w:val="20"/>
                <w:szCs w:val="20"/>
              </w:rPr>
              <w:t>外汇局核定的账户限额值。</w:t>
            </w:r>
          </w:p>
        </w:tc>
      </w:tr>
      <w:tr w:rsidR="00A052DC" w14:paraId="698BE43F" w14:textId="77777777">
        <w:tc>
          <w:tcPr>
            <w:tcW w:w="1578" w:type="dxa"/>
          </w:tcPr>
          <w:p w14:paraId="6F85155C" w14:textId="77777777" w:rsidR="00A052DC" w:rsidRDefault="009F0A60">
            <w:pPr>
              <w:rPr>
                <w:rFonts w:ascii="黑体" w:eastAsia="黑体" w:hAnsi="黑体"/>
                <w:sz w:val="20"/>
                <w:szCs w:val="20"/>
              </w:rPr>
            </w:pPr>
            <w:r>
              <w:rPr>
                <w:rFonts w:ascii="黑体" w:eastAsia="黑体" w:hAnsi="黑体" w:hint="eastAsia"/>
                <w:sz w:val="20"/>
                <w:szCs w:val="20"/>
              </w:rPr>
              <w:t>备注</w:t>
            </w:r>
          </w:p>
        </w:tc>
        <w:tc>
          <w:tcPr>
            <w:tcW w:w="6894" w:type="dxa"/>
          </w:tcPr>
          <w:p w14:paraId="5F91703E" w14:textId="77777777" w:rsidR="00A052DC" w:rsidRDefault="009F0A60">
            <w:pPr>
              <w:rPr>
                <w:rFonts w:ascii="黑体" w:eastAsia="黑体" w:hAnsi="黑体"/>
                <w:sz w:val="20"/>
                <w:szCs w:val="20"/>
              </w:rPr>
            </w:pPr>
            <w:r>
              <w:rPr>
                <w:rFonts w:ascii="黑体" w:eastAsia="黑体" w:hAnsi="黑体" w:hint="eastAsia"/>
                <w:sz w:val="20"/>
                <w:szCs w:val="20"/>
              </w:rPr>
              <w:t>需要说明的备注事项。</w:t>
            </w:r>
          </w:p>
        </w:tc>
      </w:tr>
    </w:tbl>
    <w:p w14:paraId="36C02A0A" w14:textId="77777777" w:rsidR="00A052DC" w:rsidRDefault="009F0A60">
      <w:pPr>
        <w:pStyle w:val="4"/>
        <w:numPr>
          <w:ilvl w:val="3"/>
          <w:numId w:val="1"/>
        </w:numPr>
        <w:jc w:val="left"/>
      </w:pPr>
      <w:bookmarkStart w:id="1325" w:name="_Toc454386822"/>
      <w:bookmarkStart w:id="1326" w:name="_Toc326841489"/>
      <w:bookmarkStart w:id="1327" w:name="_Toc454386823"/>
      <w:bookmarkEnd w:id="1325"/>
      <w:r>
        <w:rPr>
          <w:rFonts w:hint="eastAsia"/>
        </w:rPr>
        <w:t>数据格式</w:t>
      </w:r>
      <w:bookmarkEnd w:id="1326"/>
      <w:bookmarkEnd w:id="1327"/>
    </w:p>
    <w:p w14:paraId="0519A3B8" w14:textId="77777777" w:rsidR="00A052DC" w:rsidRDefault="009F0A60">
      <w:r>
        <w:t>&lt;REC&gt;</w:t>
      </w:r>
    </w:p>
    <w:p w14:paraId="43AA7467" w14:textId="77777777" w:rsidR="00A052DC" w:rsidRDefault="009F0A60">
      <w:r>
        <w:t>&lt;ACTIONTYPE&gt;</w:t>
      </w:r>
      <w:r>
        <w:rPr>
          <w:rFonts w:hint="eastAsia"/>
        </w:rPr>
        <w:t>操作类型</w:t>
      </w:r>
      <w:r>
        <w:t>&lt;/ACTIONTYPE&gt;</w:t>
      </w:r>
    </w:p>
    <w:p w14:paraId="7D4073D9" w14:textId="77777777" w:rsidR="00A052DC" w:rsidRDefault="009F0A60">
      <w:r>
        <w:t>&lt;ACTIONDESC&gt;</w:t>
      </w:r>
      <w:r>
        <w:rPr>
          <w:rFonts w:hint="eastAsia"/>
        </w:rPr>
        <w:t>删除原因</w:t>
      </w:r>
      <w:r>
        <w:t>&lt;/ACTIONDESC&gt;</w:t>
      </w:r>
    </w:p>
    <w:p w14:paraId="2CA94345" w14:textId="77777777" w:rsidR="00A052DC" w:rsidRDefault="009F0A60">
      <w:r>
        <w:t>&lt;BRANCH_CODE&gt;</w:t>
      </w:r>
      <w:r>
        <w:rPr>
          <w:rFonts w:hint="eastAsia"/>
        </w:rPr>
        <w:t>金融机构机构标识码</w:t>
      </w:r>
      <w:r>
        <w:t>&lt;/BRANCH_CODE&gt;</w:t>
      </w:r>
    </w:p>
    <w:p w14:paraId="74867638" w14:textId="77777777" w:rsidR="00A052DC" w:rsidRDefault="009F0A60">
      <w:r>
        <w:t>&lt;BRANCH_NAME&gt;</w:t>
      </w:r>
      <w:r>
        <w:rPr>
          <w:rFonts w:hint="eastAsia"/>
        </w:rPr>
        <w:t>金融机构名称</w:t>
      </w:r>
      <w:r>
        <w:t>&lt;/BRANCH_NAME&gt;</w:t>
      </w:r>
    </w:p>
    <w:p w14:paraId="65723F79" w14:textId="77777777" w:rsidR="00A052DC" w:rsidRDefault="009F0A60">
      <w:r>
        <w:t>&lt;accountNO&gt;</w:t>
      </w:r>
      <w:r>
        <w:rPr>
          <w:rFonts w:hint="eastAsia"/>
        </w:rPr>
        <w:t>账号</w:t>
      </w:r>
      <w:r>
        <w:t>&lt;/accountNO&gt;</w:t>
      </w:r>
    </w:p>
    <w:p w14:paraId="6AF9EBFB" w14:textId="77777777" w:rsidR="00A052DC" w:rsidRDefault="009F0A60">
      <w:r>
        <w:t>&lt;accountSTAT&gt;</w:t>
      </w:r>
      <w:r>
        <w:rPr>
          <w:rFonts w:hint="eastAsia"/>
        </w:rPr>
        <w:t>账户状态</w:t>
      </w:r>
      <w:r>
        <w:t>&lt;/accountSTAT&gt;</w:t>
      </w:r>
    </w:p>
    <w:p w14:paraId="10DEF306" w14:textId="77777777" w:rsidR="00A052DC" w:rsidRDefault="009F0A60">
      <w:r>
        <w:t>&lt;AMTYPE&gt;</w:t>
      </w:r>
      <w:r>
        <w:rPr>
          <w:rFonts w:hint="eastAsia"/>
        </w:rPr>
        <w:t>开户主体类型</w:t>
      </w:r>
      <w:r>
        <w:t>&lt;/aMTYPE&gt;</w:t>
      </w:r>
    </w:p>
    <w:p w14:paraId="541DE3F4" w14:textId="77777777" w:rsidR="00A052DC" w:rsidRDefault="009F0A60">
      <w:r>
        <w:t>&lt;en_code&gt;</w:t>
      </w:r>
      <w:r>
        <w:rPr>
          <w:rFonts w:hint="eastAsia"/>
        </w:rPr>
        <w:t>开户主体代码</w:t>
      </w:r>
      <w:r>
        <w:t>&lt;/en_code&gt;</w:t>
      </w:r>
    </w:p>
    <w:p w14:paraId="19BED904" w14:textId="77777777" w:rsidR="00A052DC" w:rsidRDefault="009F0A60">
      <w:r>
        <w:t>&lt;en_name&gt;</w:t>
      </w:r>
      <w:r>
        <w:rPr>
          <w:rFonts w:hint="eastAsia"/>
        </w:rPr>
        <w:t>开户主体名称</w:t>
      </w:r>
      <w:r>
        <w:t>&lt;/en_name&gt;</w:t>
      </w:r>
    </w:p>
    <w:p w14:paraId="49982BF8" w14:textId="77777777" w:rsidR="00A052DC" w:rsidRDefault="009F0A60">
      <w:r>
        <w:t>&lt;account_type&gt;</w:t>
      </w:r>
      <w:r>
        <w:rPr>
          <w:rFonts w:hint="eastAsia"/>
        </w:rPr>
        <w:t>账户性质代码</w:t>
      </w:r>
      <w:r>
        <w:t>&lt;/account_type&gt;</w:t>
      </w:r>
    </w:p>
    <w:p w14:paraId="6DDBA7CD" w14:textId="77777777" w:rsidR="00A052DC" w:rsidRDefault="009F0A60">
      <w:r>
        <w:t>&lt;account_CATA&gt;</w:t>
      </w:r>
      <w:r>
        <w:rPr>
          <w:rFonts w:hint="eastAsia"/>
        </w:rPr>
        <w:t>账户类别</w:t>
      </w:r>
      <w:r>
        <w:t>&lt;/account_CATA&gt;</w:t>
      </w:r>
    </w:p>
    <w:p w14:paraId="1EC15418" w14:textId="77777777" w:rsidR="00A052DC" w:rsidRDefault="009F0A60">
      <w:r>
        <w:t>&lt;CURRENCY_code&gt;</w:t>
      </w:r>
      <w:r>
        <w:rPr>
          <w:rFonts w:hint="eastAsia"/>
        </w:rPr>
        <w:t>币种</w:t>
      </w:r>
      <w:r>
        <w:t>&lt;/CURRENCY_code&gt;</w:t>
      </w:r>
    </w:p>
    <w:p w14:paraId="79C3D07E" w14:textId="77777777" w:rsidR="00A052DC" w:rsidRDefault="009F0A60">
      <w:r>
        <w:t>&lt;BUSINESS_date&gt;</w:t>
      </w:r>
      <w:r>
        <w:rPr>
          <w:rFonts w:hint="eastAsia"/>
        </w:rPr>
        <w:t>业务发生日期</w:t>
      </w:r>
      <w:r>
        <w:t>&lt;/BUSINESS_date&gt;</w:t>
      </w:r>
    </w:p>
    <w:p w14:paraId="68225F51" w14:textId="77777777" w:rsidR="00A052DC" w:rsidRDefault="009F0A60">
      <w:r>
        <w:t>&lt;file_number&gt;</w:t>
      </w:r>
      <w:r>
        <w:rPr>
          <w:rFonts w:hint="eastAsia"/>
        </w:rPr>
        <w:t>外汇局批件号</w:t>
      </w:r>
      <w:r>
        <w:t>/</w:t>
      </w:r>
      <w:r>
        <w:rPr>
          <w:rFonts w:hint="eastAsia"/>
        </w:rPr>
        <w:t>备案表号</w:t>
      </w:r>
      <w:r>
        <w:t>/</w:t>
      </w:r>
      <w:r>
        <w:rPr>
          <w:rFonts w:hint="eastAsia"/>
        </w:rPr>
        <w:t>业务编号</w:t>
      </w:r>
      <w:r>
        <w:t>&lt;/file_number&gt;</w:t>
      </w:r>
    </w:p>
    <w:p w14:paraId="09AF95D9" w14:textId="77777777" w:rsidR="00A052DC" w:rsidRDefault="009F0A60">
      <w:r>
        <w:t>&lt;Limit_type&gt;</w:t>
      </w:r>
      <w:r>
        <w:rPr>
          <w:rFonts w:hint="eastAsia"/>
        </w:rPr>
        <w:t>限额类型</w:t>
      </w:r>
      <w:r>
        <w:t>&lt;/Limit_type&gt;</w:t>
      </w:r>
    </w:p>
    <w:p w14:paraId="30145D21" w14:textId="77777777" w:rsidR="00A052DC" w:rsidRDefault="009F0A60">
      <w:r>
        <w:t>&lt;Account_limit&gt;</w:t>
      </w:r>
      <w:r>
        <w:rPr>
          <w:rFonts w:hint="eastAsia"/>
        </w:rPr>
        <w:t>账户限额</w:t>
      </w:r>
      <w:r>
        <w:t>&lt;/Account_limit&gt;</w:t>
      </w:r>
    </w:p>
    <w:p w14:paraId="184596C7" w14:textId="77777777" w:rsidR="00A052DC" w:rsidRDefault="009F0A60">
      <w:r>
        <w:t>&lt;REMARK&gt;</w:t>
      </w:r>
      <w:r>
        <w:rPr>
          <w:rFonts w:hint="eastAsia"/>
        </w:rPr>
        <w:t>备注</w:t>
      </w:r>
      <w:r>
        <w:t>&lt;/REMARK&gt;</w:t>
      </w:r>
    </w:p>
    <w:p w14:paraId="40B61753" w14:textId="77777777" w:rsidR="00A052DC" w:rsidRDefault="009F0A60">
      <w:r>
        <w:t>&lt;/REC&gt;</w:t>
      </w:r>
    </w:p>
    <w:p w14:paraId="24A9AC7C" w14:textId="77777777" w:rsidR="00A052DC" w:rsidRDefault="009F0A60" w:rsidP="0020251D">
      <w:pPr>
        <w:pStyle w:val="4"/>
        <w:numPr>
          <w:ilvl w:val="3"/>
          <w:numId w:val="1"/>
        </w:numPr>
        <w:jc w:val="left"/>
      </w:pPr>
      <w:bookmarkStart w:id="1328" w:name="_Toc326841490"/>
      <w:bookmarkStart w:id="1329" w:name="_Toc454386824"/>
      <w:r>
        <w:rPr>
          <w:rFonts w:hint="eastAsia"/>
        </w:rPr>
        <w:t>数据字典</w:t>
      </w:r>
      <w:bookmarkEnd w:id="1328"/>
      <w:bookmarkEnd w:id="1329"/>
    </w:p>
    <w:tbl>
      <w:tblPr>
        <w:tblW w:w="86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701"/>
        <w:gridCol w:w="1701"/>
        <w:gridCol w:w="3402"/>
      </w:tblGrid>
      <w:tr w:rsidR="00A052DC" w14:paraId="4E2A6A43" w14:textId="77777777">
        <w:trPr>
          <w:tblHeader/>
        </w:trPr>
        <w:tc>
          <w:tcPr>
            <w:tcW w:w="1843" w:type="dxa"/>
            <w:shd w:val="clear" w:color="auto" w:fill="C0C0C0"/>
          </w:tcPr>
          <w:p w14:paraId="1C4AE904" w14:textId="77777777" w:rsidR="00A052DC" w:rsidRDefault="009F0A60">
            <w:pPr>
              <w:jc w:val="center"/>
              <w:rPr>
                <w:rFonts w:ascii="黑体" w:eastAsia="黑体" w:hAnsi="黑体"/>
                <w:b/>
                <w:sz w:val="20"/>
                <w:szCs w:val="20"/>
              </w:rPr>
            </w:pPr>
            <w:r>
              <w:rPr>
                <w:rFonts w:ascii="黑体" w:eastAsia="黑体" w:hAnsi="黑体" w:hint="eastAsia"/>
                <w:b/>
                <w:sz w:val="20"/>
                <w:szCs w:val="20"/>
              </w:rPr>
              <w:t>字段</w:t>
            </w:r>
          </w:p>
        </w:tc>
        <w:tc>
          <w:tcPr>
            <w:tcW w:w="1701" w:type="dxa"/>
            <w:shd w:val="clear" w:color="auto" w:fill="C0C0C0"/>
          </w:tcPr>
          <w:p w14:paraId="00D9FB60" w14:textId="77777777" w:rsidR="00A052DC" w:rsidRDefault="009F0A60">
            <w:pPr>
              <w:jc w:val="center"/>
              <w:rPr>
                <w:rFonts w:ascii="黑体" w:eastAsia="黑体" w:hAnsi="黑体"/>
                <w:b/>
                <w:sz w:val="20"/>
                <w:szCs w:val="20"/>
              </w:rPr>
            </w:pPr>
            <w:r>
              <w:rPr>
                <w:rFonts w:ascii="黑体" w:eastAsia="黑体" w:hAnsi="黑体" w:hint="eastAsia"/>
                <w:b/>
                <w:sz w:val="20"/>
                <w:szCs w:val="20"/>
              </w:rPr>
              <w:t>内容</w:t>
            </w:r>
          </w:p>
        </w:tc>
        <w:tc>
          <w:tcPr>
            <w:tcW w:w="1701" w:type="dxa"/>
            <w:shd w:val="clear" w:color="auto" w:fill="C0C0C0"/>
          </w:tcPr>
          <w:p w14:paraId="458D38D6" w14:textId="77777777" w:rsidR="00A052DC" w:rsidRDefault="009F0A60">
            <w:pPr>
              <w:jc w:val="center"/>
              <w:rPr>
                <w:rFonts w:ascii="黑体" w:eastAsia="黑体" w:hAnsi="黑体"/>
                <w:b/>
                <w:sz w:val="20"/>
                <w:szCs w:val="20"/>
              </w:rPr>
            </w:pPr>
            <w:r>
              <w:rPr>
                <w:rFonts w:ascii="黑体" w:eastAsia="黑体" w:hAnsi="黑体" w:hint="eastAsia"/>
                <w:b/>
                <w:sz w:val="20"/>
                <w:szCs w:val="20"/>
              </w:rPr>
              <w:t>类型（长度）</w:t>
            </w:r>
          </w:p>
        </w:tc>
        <w:tc>
          <w:tcPr>
            <w:tcW w:w="3402" w:type="dxa"/>
            <w:shd w:val="clear" w:color="auto" w:fill="C0C0C0"/>
          </w:tcPr>
          <w:p w14:paraId="55CA54F7" w14:textId="77777777" w:rsidR="00A052DC" w:rsidRDefault="009F0A60">
            <w:pPr>
              <w:jc w:val="center"/>
              <w:rPr>
                <w:rFonts w:ascii="黑体" w:eastAsia="黑体" w:hAnsi="黑体"/>
                <w:b/>
                <w:sz w:val="20"/>
                <w:szCs w:val="20"/>
              </w:rPr>
            </w:pPr>
            <w:r>
              <w:rPr>
                <w:rFonts w:ascii="黑体" w:eastAsia="黑体" w:hAnsi="黑体" w:hint="eastAsia"/>
                <w:b/>
                <w:sz w:val="20"/>
                <w:szCs w:val="20"/>
              </w:rPr>
              <w:t>校验</w:t>
            </w:r>
          </w:p>
        </w:tc>
      </w:tr>
      <w:tr w:rsidR="00A052DC" w14:paraId="231D501D" w14:textId="77777777">
        <w:tc>
          <w:tcPr>
            <w:tcW w:w="1843" w:type="dxa"/>
            <w:tcBorders>
              <w:top w:val="single" w:sz="4" w:space="0" w:color="auto"/>
              <w:left w:val="single" w:sz="4" w:space="0" w:color="auto"/>
              <w:bottom w:val="single" w:sz="4" w:space="0" w:color="auto"/>
              <w:right w:val="single" w:sz="4" w:space="0" w:color="auto"/>
            </w:tcBorders>
          </w:tcPr>
          <w:p w14:paraId="4C3B60B5" w14:textId="77777777" w:rsidR="00A052DC" w:rsidRDefault="009F0A60">
            <w:pPr>
              <w:rPr>
                <w:rFonts w:ascii="黑体" w:eastAsia="黑体" w:hAnsi="黑体"/>
                <w:sz w:val="20"/>
                <w:szCs w:val="20"/>
              </w:rPr>
            </w:pPr>
            <w:r>
              <w:rPr>
                <w:rFonts w:ascii="黑体" w:eastAsia="黑体" w:hAnsi="黑体"/>
                <w:sz w:val="20"/>
                <w:szCs w:val="20"/>
              </w:rPr>
              <w:t>ACTIONTYPE</w:t>
            </w:r>
          </w:p>
        </w:tc>
        <w:tc>
          <w:tcPr>
            <w:tcW w:w="1701" w:type="dxa"/>
            <w:tcBorders>
              <w:top w:val="single" w:sz="4" w:space="0" w:color="auto"/>
              <w:left w:val="single" w:sz="4" w:space="0" w:color="auto"/>
              <w:bottom w:val="single" w:sz="4" w:space="0" w:color="auto"/>
              <w:right w:val="single" w:sz="4" w:space="0" w:color="auto"/>
            </w:tcBorders>
          </w:tcPr>
          <w:p w14:paraId="1CF9EDD3" w14:textId="77777777" w:rsidR="00A052DC" w:rsidRDefault="009F0A60">
            <w:pPr>
              <w:rPr>
                <w:rFonts w:ascii="黑体" w:eastAsia="黑体" w:hAnsi="黑体"/>
                <w:sz w:val="20"/>
                <w:szCs w:val="20"/>
              </w:rPr>
            </w:pPr>
            <w:r>
              <w:rPr>
                <w:rFonts w:ascii="黑体" w:eastAsia="黑体" w:hAnsi="黑体" w:hint="eastAsia"/>
                <w:sz w:val="20"/>
                <w:szCs w:val="20"/>
              </w:rPr>
              <w:t>操作类型</w:t>
            </w:r>
          </w:p>
        </w:tc>
        <w:tc>
          <w:tcPr>
            <w:tcW w:w="1701" w:type="dxa"/>
            <w:tcBorders>
              <w:top w:val="single" w:sz="4" w:space="0" w:color="auto"/>
              <w:left w:val="single" w:sz="4" w:space="0" w:color="auto"/>
              <w:bottom w:val="single" w:sz="4" w:space="0" w:color="auto"/>
              <w:right w:val="single" w:sz="4" w:space="0" w:color="auto"/>
            </w:tcBorders>
          </w:tcPr>
          <w:p w14:paraId="3B258AF9" w14:textId="77777777" w:rsidR="00A052DC" w:rsidRDefault="009F0A60">
            <w:pPr>
              <w:rPr>
                <w:rFonts w:ascii="黑体" w:eastAsia="黑体" w:hAnsi="黑体"/>
                <w:sz w:val="20"/>
                <w:szCs w:val="20"/>
              </w:rPr>
            </w:pPr>
            <w:r>
              <w:rPr>
                <w:rFonts w:ascii="黑体" w:eastAsia="黑体" w:hAnsi="黑体" w:hint="eastAsia"/>
                <w:sz w:val="20"/>
                <w:szCs w:val="20"/>
              </w:rPr>
              <w:t>定长字符型，1</w:t>
            </w:r>
          </w:p>
        </w:tc>
        <w:tc>
          <w:tcPr>
            <w:tcW w:w="3402" w:type="dxa"/>
            <w:tcBorders>
              <w:top w:val="single" w:sz="4" w:space="0" w:color="auto"/>
              <w:left w:val="single" w:sz="4" w:space="0" w:color="auto"/>
              <w:bottom w:val="single" w:sz="4" w:space="0" w:color="auto"/>
              <w:right w:val="single" w:sz="4" w:space="0" w:color="auto"/>
            </w:tcBorders>
          </w:tcPr>
          <w:p w14:paraId="2A514BB3" w14:textId="77777777" w:rsidR="00A052DC" w:rsidRDefault="009F0A60">
            <w:pPr>
              <w:rPr>
                <w:rFonts w:ascii="黑体" w:eastAsia="黑体" w:hAnsi="黑体"/>
                <w:sz w:val="20"/>
                <w:szCs w:val="20"/>
              </w:rPr>
            </w:pPr>
            <w:r>
              <w:rPr>
                <w:rFonts w:ascii="黑体" w:eastAsia="黑体" w:hAnsi="黑体" w:hint="eastAsia"/>
                <w:sz w:val="20"/>
                <w:szCs w:val="20"/>
              </w:rPr>
              <w:t>必填项</w:t>
            </w:r>
            <w:r w:rsidR="00A769EC">
              <w:rPr>
                <w:rFonts w:ascii="黑体" w:eastAsia="黑体" w:hAnsi="黑体" w:hint="eastAsia"/>
                <w:sz w:val="20"/>
                <w:szCs w:val="20"/>
              </w:rPr>
              <w:t>。</w:t>
            </w:r>
          </w:p>
          <w:p w14:paraId="0BD1D252" w14:textId="77777777" w:rsidR="00A052DC" w:rsidRDefault="009F0A60">
            <w:pPr>
              <w:rPr>
                <w:rFonts w:ascii="黑体" w:eastAsia="黑体" w:hAnsi="黑体"/>
                <w:sz w:val="20"/>
                <w:szCs w:val="20"/>
              </w:rPr>
            </w:pPr>
            <w:r>
              <w:rPr>
                <w:rFonts w:ascii="黑体" w:eastAsia="黑体" w:hAnsi="黑体" w:hint="eastAsia"/>
                <w:sz w:val="20"/>
                <w:szCs w:val="20"/>
              </w:rPr>
              <w:t>A</w:t>
            </w:r>
            <w:r w:rsidR="00AE4602">
              <w:rPr>
                <w:rFonts w:ascii="黑体" w:eastAsia="黑体" w:hAnsi="黑体" w:hint="eastAsia"/>
                <w:sz w:val="20"/>
                <w:szCs w:val="20"/>
              </w:rPr>
              <w:t>-</w:t>
            </w:r>
            <w:r>
              <w:rPr>
                <w:rFonts w:ascii="黑体" w:eastAsia="黑体" w:hAnsi="黑体" w:hint="eastAsia"/>
                <w:sz w:val="20"/>
                <w:szCs w:val="20"/>
              </w:rPr>
              <w:t>新建</w:t>
            </w:r>
          </w:p>
          <w:p w14:paraId="0B7E416D" w14:textId="77777777" w:rsidR="00A052DC" w:rsidRDefault="009F0A60">
            <w:pPr>
              <w:rPr>
                <w:rFonts w:ascii="黑体" w:eastAsia="黑体" w:hAnsi="黑体"/>
                <w:sz w:val="20"/>
                <w:szCs w:val="20"/>
              </w:rPr>
            </w:pPr>
            <w:r>
              <w:rPr>
                <w:rFonts w:ascii="黑体" w:eastAsia="黑体" w:hAnsi="黑体" w:hint="eastAsia"/>
                <w:sz w:val="20"/>
                <w:szCs w:val="20"/>
              </w:rPr>
              <w:t>C</w:t>
            </w:r>
            <w:r w:rsidR="00AE4602">
              <w:rPr>
                <w:rFonts w:ascii="黑体" w:eastAsia="黑体" w:hAnsi="黑体" w:hint="eastAsia"/>
                <w:sz w:val="20"/>
                <w:szCs w:val="20"/>
              </w:rPr>
              <w:t>-</w:t>
            </w:r>
            <w:r>
              <w:rPr>
                <w:rFonts w:ascii="黑体" w:eastAsia="黑体" w:hAnsi="黑体" w:hint="eastAsia"/>
                <w:sz w:val="20"/>
                <w:szCs w:val="20"/>
              </w:rPr>
              <w:t>修改</w:t>
            </w:r>
          </w:p>
          <w:p w14:paraId="05A09777" w14:textId="77777777" w:rsidR="00A769EC" w:rsidRDefault="009F0A60">
            <w:pPr>
              <w:rPr>
                <w:rFonts w:ascii="黑体" w:eastAsia="黑体" w:hAnsi="黑体"/>
                <w:sz w:val="20"/>
                <w:szCs w:val="20"/>
              </w:rPr>
            </w:pPr>
            <w:r>
              <w:rPr>
                <w:rFonts w:ascii="黑体" w:eastAsia="黑体" w:hAnsi="黑体" w:hint="eastAsia"/>
                <w:sz w:val="20"/>
                <w:szCs w:val="20"/>
              </w:rPr>
              <w:t>D</w:t>
            </w:r>
            <w:r w:rsidR="00AE4602">
              <w:rPr>
                <w:rFonts w:ascii="黑体" w:eastAsia="黑体" w:hAnsi="黑体" w:hint="eastAsia"/>
                <w:sz w:val="20"/>
                <w:szCs w:val="20"/>
              </w:rPr>
              <w:t>-</w:t>
            </w:r>
            <w:r>
              <w:rPr>
                <w:rFonts w:ascii="黑体" w:eastAsia="黑体" w:hAnsi="黑体" w:hint="eastAsia"/>
                <w:sz w:val="20"/>
                <w:szCs w:val="20"/>
              </w:rPr>
              <w:t>删除</w:t>
            </w:r>
          </w:p>
          <w:p w14:paraId="7CDF71CA" w14:textId="77777777" w:rsidR="00A052DC" w:rsidRDefault="009F0A60">
            <w:pPr>
              <w:rPr>
                <w:rFonts w:ascii="黑体" w:eastAsia="黑体" w:hAnsi="黑体"/>
                <w:sz w:val="20"/>
                <w:szCs w:val="20"/>
              </w:rPr>
            </w:pPr>
            <w:r>
              <w:rPr>
                <w:rFonts w:ascii="黑体" w:eastAsia="黑体" w:hAnsi="黑体" w:hint="eastAsia"/>
                <w:sz w:val="20"/>
                <w:szCs w:val="20"/>
              </w:rPr>
              <w:t>已经有收支余信息的账户不能删除。</w:t>
            </w:r>
          </w:p>
        </w:tc>
      </w:tr>
      <w:tr w:rsidR="00A052DC" w14:paraId="582EA0B2" w14:textId="77777777">
        <w:tc>
          <w:tcPr>
            <w:tcW w:w="1843" w:type="dxa"/>
            <w:tcBorders>
              <w:top w:val="single" w:sz="4" w:space="0" w:color="auto"/>
              <w:left w:val="single" w:sz="4" w:space="0" w:color="auto"/>
              <w:bottom w:val="single" w:sz="4" w:space="0" w:color="auto"/>
              <w:right w:val="single" w:sz="4" w:space="0" w:color="auto"/>
            </w:tcBorders>
          </w:tcPr>
          <w:p w14:paraId="36973A95" w14:textId="77777777" w:rsidR="00A052DC" w:rsidRDefault="009F0A60">
            <w:pPr>
              <w:rPr>
                <w:rFonts w:ascii="黑体" w:eastAsia="黑体" w:hAnsi="黑体"/>
                <w:sz w:val="20"/>
                <w:szCs w:val="20"/>
              </w:rPr>
            </w:pPr>
            <w:r>
              <w:rPr>
                <w:rFonts w:ascii="黑体" w:eastAsia="黑体" w:hAnsi="黑体"/>
                <w:sz w:val="20"/>
                <w:szCs w:val="20"/>
              </w:rPr>
              <w:t>ACTIONDESC</w:t>
            </w:r>
          </w:p>
        </w:tc>
        <w:tc>
          <w:tcPr>
            <w:tcW w:w="1701" w:type="dxa"/>
            <w:tcBorders>
              <w:top w:val="single" w:sz="4" w:space="0" w:color="auto"/>
              <w:left w:val="single" w:sz="4" w:space="0" w:color="auto"/>
              <w:bottom w:val="single" w:sz="4" w:space="0" w:color="auto"/>
              <w:right w:val="single" w:sz="4" w:space="0" w:color="auto"/>
            </w:tcBorders>
          </w:tcPr>
          <w:p w14:paraId="62AF3BFF" w14:textId="77777777" w:rsidR="00A052DC" w:rsidRDefault="009F0A60">
            <w:pPr>
              <w:rPr>
                <w:rFonts w:ascii="黑体" w:eastAsia="黑体" w:hAnsi="黑体"/>
                <w:sz w:val="20"/>
                <w:szCs w:val="20"/>
              </w:rPr>
            </w:pPr>
            <w:r>
              <w:rPr>
                <w:rFonts w:ascii="黑体" w:eastAsia="黑体" w:hAnsi="黑体" w:hint="eastAsia"/>
                <w:sz w:val="20"/>
                <w:szCs w:val="20"/>
              </w:rPr>
              <w:t>删除原因</w:t>
            </w:r>
          </w:p>
        </w:tc>
        <w:tc>
          <w:tcPr>
            <w:tcW w:w="1701" w:type="dxa"/>
            <w:tcBorders>
              <w:top w:val="single" w:sz="4" w:space="0" w:color="auto"/>
              <w:left w:val="single" w:sz="4" w:space="0" w:color="auto"/>
              <w:bottom w:val="single" w:sz="4" w:space="0" w:color="auto"/>
              <w:right w:val="single" w:sz="4" w:space="0" w:color="auto"/>
            </w:tcBorders>
          </w:tcPr>
          <w:p w14:paraId="779D859E" w14:textId="77777777" w:rsidR="00A052DC" w:rsidRDefault="009F0A60">
            <w:pPr>
              <w:rPr>
                <w:rFonts w:ascii="黑体" w:eastAsia="黑体" w:hAnsi="黑体"/>
                <w:sz w:val="20"/>
                <w:szCs w:val="20"/>
              </w:rPr>
            </w:pPr>
            <w:r>
              <w:rPr>
                <w:rFonts w:ascii="黑体" w:eastAsia="黑体" w:hAnsi="黑体" w:hint="eastAsia"/>
                <w:sz w:val="20"/>
                <w:szCs w:val="20"/>
              </w:rPr>
              <w:t>变长字符型，128</w:t>
            </w:r>
          </w:p>
        </w:tc>
        <w:tc>
          <w:tcPr>
            <w:tcW w:w="3402" w:type="dxa"/>
            <w:tcBorders>
              <w:top w:val="single" w:sz="4" w:space="0" w:color="auto"/>
              <w:left w:val="single" w:sz="4" w:space="0" w:color="auto"/>
              <w:bottom w:val="single" w:sz="4" w:space="0" w:color="auto"/>
              <w:right w:val="single" w:sz="4" w:space="0" w:color="auto"/>
            </w:tcBorders>
          </w:tcPr>
          <w:p w14:paraId="711BF262" w14:textId="77777777" w:rsidR="00A052DC" w:rsidRDefault="009F0A60" w:rsidP="00A769EC">
            <w:pPr>
              <w:rPr>
                <w:rFonts w:ascii="黑体" w:eastAsia="黑体" w:hAnsi="黑体"/>
                <w:sz w:val="20"/>
                <w:szCs w:val="20"/>
              </w:rPr>
            </w:pPr>
            <w:r>
              <w:rPr>
                <w:rFonts w:ascii="黑体" w:eastAsia="黑体" w:hAnsi="黑体" w:hint="eastAsia"/>
                <w:sz w:val="20"/>
                <w:szCs w:val="20"/>
              </w:rPr>
              <w:t>如果ACTIONTYPE字段值为D，则此字段为必填。</w:t>
            </w:r>
          </w:p>
        </w:tc>
      </w:tr>
      <w:tr w:rsidR="00A052DC" w14:paraId="1CD8837B" w14:textId="77777777">
        <w:tc>
          <w:tcPr>
            <w:tcW w:w="1843" w:type="dxa"/>
            <w:tcBorders>
              <w:top w:val="single" w:sz="4" w:space="0" w:color="auto"/>
              <w:left w:val="single" w:sz="4" w:space="0" w:color="auto"/>
              <w:bottom w:val="single" w:sz="4" w:space="0" w:color="auto"/>
              <w:right w:val="single" w:sz="4" w:space="0" w:color="auto"/>
            </w:tcBorders>
          </w:tcPr>
          <w:p w14:paraId="0FD7B9B0" w14:textId="77777777" w:rsidR="00A052DC" w:rsidRDefault="009F0A60">
            <w:pPr>
              <w:rPr>
                <w:rFonts w:ascii="黑体" w:eastAsia="黑体" w:hAnsi="黑体"/>
                <w:sz w:val="20"/>
                <w:szCs w:val="20"/>
              </w:rPr>
            </w:pPr>
            <w:r>
              <w:rPr>
                <w:rFonts w:ascii="黑体" w:eastAsia="黑体" w:hAnsi="黑体"/>
                <w:sz w:val="20"/>
                <w:szCs w:val="20"/>
              </w:rPr>
              <w:t>BRANCH_CODE</w:t>
            </w:r>
          </w:p>
        </w:tc>
        <w:tc>
          <w:tcPr>
            <w:tcW w:w="1701" w:type="dxa"/>
            <w:tcBorders>
              <w:top w:val="single" w:sz="4" w:space="0" w:color="auto"/>
              <w:left w:val="single" w:sz="4" w:space="0" w:color="auto"/>
              <w:bottom w:val="single" w:sz="4" w:space="0" w:color="auto"/>
              <w:right w:val="single" w:sz="4" w:space="0" w:color="auto"/>
            </w:tcBorders>
          </w:tcPr>
          <w:p w14:paraId="61FB536D" w14:textId="77777777" w:rsidR="00A052DC" w:rsidRDefault="009F0A60">
            <w:pPr>
              <w:rPr>
                <w:rFonts w:ascii="黑体" w:eastAsia="黑体" w:hAnsi="黑体"/>
                <w:sz w:val="20"/>
                <w:szCs w:val="20"/>
              </w:rPr>
            </w:pPr>
            <w:r>
              <w:rPr>
                <w:rFonts w:ascii="黑体" w:eastAsia="黑体" w:hAnsi="黑体" w:hint="eastAsia"/>
                <w:sz w:val="20"/>
                <w:szCs w:val="20"/>
              </w:rPr>
              <w:t>金融机构标识码</w:t>
            </w:r>
          </w:p>
        </w:tc>
        <w:tc>
          <w:tcPr>
            <w:tcW w:w="1701" w:type="dxa"/>
            <w:tcBorders>
              <w:top w:val="single" w:sz="4" w:space="0" w:color="auto"/>
              <w:left w:val="single" w:sz="4" w:space="0" w:color="auto"/>
              <w:bottom w:val="single" w:sz="4" w:space="0" w:color="auto"/>
              <w:right w:val="single" w:sz="4" w:space="0" w:color="auto"/>
            </w:tcBorders>
          </w:tcPr>
          <w:p w14:paraId="01BC692C" w14:textId="77777777" w:rsidR="00A052DC" w:rsidRDefault="009F0A60">
            <w:pPr>
              <w:rPr>
                <w:rFonts w:ascii="黑体" w:eastAsia="黑体" w:hAnsi="黑体"/>
                <w:sz w:val="20"/>
                <w:szCs w:val="20"/>
              </w:rPr>
            </w:pPr>
            <w:r>
              <w:rPr>
                <w:rFonts w:ascii="黑体" w:eastAsia="黑体" w:hAnsi="黑体" w:hint="eastAsia"/>
                <w:sz w:val="20"/>
                <w:szCs w:val="20"/>
              </w:rPr>
              <w:t>定长字符型，12</w:t>
            </w:r>
          </w:p>
        </w:tc>
        <w:tc>
          <w:tcPr>
            <w:tcW w:w="3402" w:type="dxa"/>
            <w:tcBorders>
              <w:top w:val="single" w:sz="4" w:space="0" w:color="auto"/>
              <w:left w:val="single" w:sz="4" w:space="0" w:color="auto"/>
              <w:bottom w:val="single" w:sz="4" w:space="0" w:color="auto"/>
              <w:right w:val="single" w:sz="4" w:space="0" w:color="auto"/>
            </w:tcBorders>
          </w:tcPr>
          <w:p w14:paraId="341B7807" w14:textId="77777777" w:rsidR="00A052DC" w:rsidRDefault="009F0A60">
            <w:pPr>
              <w:rPr>
                <w:rFonts w:ascii="黑体" w:eastAsia="黑体" w:hAnsi="黑体"/>
                <w:sz w:val="20"/>
                <w:szCs w:val="20"/>
              </w:rPr>
            </w:pPr>
            <w:r>
              <w:rPr>
                <w:rFonts w:ascii="黑体" w:eastAsia="黑体" w:hAnsi="黑体" w:hint="eastAsia"/>
                <w:sz w:val="20"/>
                <w:szCs w:val="20"/>
              </w:rPr>
              <w:t>必填项，金融机构标识码。</w:t>
            </w:r>
          </w:p>
        </w:tc>
      </w:tr>
      <w:tr w:rsidR="00A052DC" w14:paraId="0540F9A8" w14:textId="77777777">
        <w:tc>
          <w:tcPr>
            <w:tcW w:w="1843" w:type="dxa"/>
            <w:tcBorders>
              <w:top w:val="single" w:sz="4" w:space="0" w:color="auto"/>
              <w:left w:val="single" w:sz="4" w:space="0" w:color="auto"/>
              <w:bottom w:val="single" w:sz="4" w:space="0" w:color="auto"/>
              <w:right w:val="single" w:sz="4" w:space="0" w:color="auto"/>
            </w:tcBorders>
          </w:tcPr>
          <w:p w14:paraId="3938D57C" w14:textId="77777777" w:rsidR="00A052DC" w:rsidRDefault="009F0A60">
            <w:pPr>
              <w:rPr>
                <w:rFonts w:ascii="黑体" w:eastAsia="黑体" w:hAnsi="黑体"/>
                <w:sz w:val="20"/>
                <w:szCs w:val="20"/>
              </w:rPr>
            </w:pPr>
            <w:r>
              <w:rPr>
                <w:rFonts w:ascii="黑体" w:eastAsia="黑体" w:hAnsi="黑体"/>
                <w:sz w:val="20"/>
                <w:szCs w:val="20"/>
              </w:rPr>
              <w:t>BRANCH_NAME</w:t>
            </w:r>
          </w:p>
        </w:tc>
        <w:tc>
          <w:tcPr>
            <w:tcW w:w="1701" w:type="dxa"/>
            <w:tcBorders>
              <w:top w:val="single" w:sz="4" w:space="0" w:color="auto"/>
              <w:left w:val="single" w:sz="4" w:space="0" w:color="auto"/>
              <w:bottom w:val="single" w:sz="4" w:space="0" w:color="auto"/>
              <w:right w:val="single" w:sz="4" w:space="0" w:color="auto"/>
            </w:tcBorders>
          </w:tcPr>
          <w:p w14:paraId="5462BAAE" w14:textId="77777777" w:rsidR="00A052DC" w:rsidRDefault="009F0A60">
            <w:pPr>
              <w:rPr>
                <w:rFonts w:ascii="黑体" w:eastAsia="黑体" w:hAnsi="黑体"/>
                <w:sz w:val="20"/>
                <w:szCs w:val="20"/>
              </w:rPr>
            </w:pPr>
            <w:r>
              <w:rPr>
                <w:rFonts w:ascii="黑体" w:eastAsia="黑体" w:hAnsi="黑体" w:hint="eastAsia"/>
                <w:sz w:val="20"/>
                <w:szCs w:val="20"/>
              </w:rPr>
              <w:t>金融机构名称</w:t>
            </w:r>
          </w:p>
        </w:tc>
        <w:tc>
          <w:tcPr>
            <w:tcW w:w="1701" w:type="dxa"/>
            <w:tcBorders>
              <w:top w:val="single" w:sz="4" w:space="0" w:color="auto"/>
              <w:left w:val="single" w:sz="4" w:space="0" w:color="auto"/>
              <w:bottom w:val="single" w:sz="4" w:space="0" w:color="auto"/>
              <w:right w:val="single" w:sz="4" w:space="0" w:color="auto"/>
            </w:tcBorders>
          </w:tcPr>
          <w:p w14:paraId="6AA08DBC" w14:textId="77777777" w:rsidR="00A052DC" w:rsidRDefault="009F0A60">
            <w:pPr>
              <w:rPr>
                <w:rFonts w:ascii="黑体" w:eastAsia="黑体" w:hAnsi="黑体"/>
                <w:sz w:val="20"/>
                <w:szCs w:val="20"/>
              </w:rPr>
            </w:pPr>
            <w:r>
              <w:rPr>
                <w:rFonts w:ascii="黑体" w:eastAsia="黑体" w:hAnsi="黑体" w:hint="eastAsia"/>
                <w:sz w:val="20"/>
                <w:szCs w:val="20"/>
              </w:rPr>
              <w:t>变长字符型，128</w:t>
            </w:r>
          </w:p>
        </w:tc>
        <w:tc>
          <w:tcPr>
            <w:tcW w:w="3402" w:type="dxa"/>
            <w:tcBorders>
              <w:top w:val="single" w:sz="4" w:space="0" w:color="auto"/>
              <w:left w:val="single" w:sz="4" w:space="0" w:color="auto"/>
              <w:bottom w:val="single" w:sz="4" w:space="0" w:color="auto"/>
              <w:right w:val="single" w:sz="4" w:space="0" w:color="auto"/>
            </w:tcBorders>
          </w:tcPr>
          <w:p w14:paraId="2C6A4E0C" w14:textId="77777777" w:rsidR="00A052DC" w:rsidRDefault="009F0A60">
            <w:pPr>
              <w:rPr>
                <w:rFonts w:ascii="黑体" w:eastAsia="黑体" w:hAnsi="黑体"/>
                <w:sz w:val="20"/>
                <w:szCs w:val="20"/>
              </w:rPr>
            </w:pPr>
            <w:r>
              <w:rPr>
                <w:rFonts w:ascii="黑体" w:eastAsia="黑体" w:hAnsi="黑体" w:hint="eastAsia"/>
                <w:sz w:val="20"/>
                <w:szCs w:val="20"/>
              </w:rPr>
              <w:t>必填项，开户金融机构中文名称。</w:t>
            </w:r>
          </w:p>
        </w:tc>
      </w:tr>
      <w:tr w:rsidR="00A052DC" w14:paraId="33D5C125" w14:textId="77777777">
        <w:tc>
          <w:tcPr>
            <w:tcW w:w="1843" w:type="dxa"/>
            <w:tcBorders>
              <w:top w:val="single" w:sz="4" w:space="0" w:color="auto"/>
              <w:left w:val="single" w:sz="4" w:space="0" w:color="auto"/>
              <w:bottom w:val="single" w:sz="4" w:space="0" w:color="auto"/>
              <w:right w:val="single" w:sz="4" w:space="0" w:color="auto"/>
            </w:tcBorders>
          </w:tcPr>
          <w:p w14:paraId="28B64699" w14:textId="77777777" w:rsidR="00A052DC" w:rsidRDefault="009F0A60">
            <w:pPr>
              <w:rPr>
                <w:rFonts w:ascii="黑体" w:eastAsia="黑体" w:hAnsi="黑体"/>
                <w:sz w:val="20"/>
                <w:szCs w:val="20"/>
              </w:rPr>
            </w:pPr>
            <w:r>
              <w:rPr>
                <w:rFonts w:ascii="黑体" w:eastAsia="黑体" w:hAnsi="黑体"/>
                <w:sz w:val="20"/>
                <w:szCs w:val="20"/>
              </w:rPr>
              <w:t>accountNO</w:t>
            </w:r>
          </w:p>
        </w:tc>
        <w:tc>
          <w:tcPr>
            <w:tcW w:w="1701" w:type="dxa"/>
            <w:tcBorders>
              <w:top w:val="single" w:sz="4" w:space="0" w:color="auto"/>
              <w:left w:val="single" w:sz="4" w:space="0" w:color="auto"/>
              <w:bottom w:val="single" w:sz="4" w:space="0" w:color="auto"/>
              <w:right w:val="single" w:sz="4" w:space="0" w:color="auto"/>
            </w:tcBorders>
          </w:tcPr>
          <w:p w14:paraId="73BF27A2" w14:textId="77777777" w:rsidR="00A052DC" w:rsidRDefault="009F0A60">
            <w:pPr>
              <w:rPr>
                <w:rFonts w:ascii="黑体" w:eastAsia="黑体" w:hAnsi="黑体"/>
                <w:sz w:val="20"/>
                <w:szCs w:val="20"/>
              </w:rPr>
            </w:pPr>
            <w:r>
              <w:rPr>
                <w:rFonts w:ascii="黑体" w:eastAsia="黑体" w:hAnsi="黑体" w:hint="eastAsia"/>
                <w:sz w:val="20"/>
                <w:szCs w:val="20"/>
              </w:rPr>
              <w:t>账号</w:t>
            </w:r>
          </w:p>
        </w:tc>
        <w:tc>
          <w:tcPr>
            <w:tcW w:w="1701" w:type="dxa"/>
            <w:tcBorders>
              <w:top w:val="single" w:sz="4" w:space="0" w:color="auto"/>
              <w:left w:val="single" w:sz="4" w:space="0" w:color="auto"/>
              <w:bottom w:val="single" w:sz="4" w:space="0" w:color="auto"/>
              <w:right w:val="single" w:sz="4" w:space="0" w:color="auto"/>
            </w:tcBorders>
          </w:tcPr>
          <w:p w14:paraId="076059B5" w14:textId="77777777" w:rsidR="00A052DC" w:rsidRDefault="009F0A60">
            <w:pPr>
              <w:rPr>
                <w:rFonts w:ascii="黑体" w:eastAsia="黑体" w:hAnsi="黑体"/>
                <w:sz w:val="20"/>
                <w:szCs w:val="20"/>
              </w:rPr>
            </w:pPr>
            <w:r>
              <w:rPr>
                <w:rFonts w:ascii="黑体" w:eastAsia="黑体" w:hAnsi="黑体" w:hint="eastAsia"/>
                <w:sz w:val="20"/>
                <w:szCs w:val="20"/>
              </w:rPr>
              <w:t>变长字符型，64</w:t>
            </w:r>
          </w:p>
        </w:tc>
        <w:tc>
          <w:tcPr>
            <w:tcW w:w="3402" w:type="dxa"/>
            <w:tcBorders>
              <w:top w:val="single" w:sz="4" w:space="0" w:color="auto"/>
              <w:left w:val="single" w:sz="4" w:space="0" w:color="auto"/>
              <w:bottom w:val="single" w:sz="4" w:space="0" w:color="auto"/>
              <w:right w:val="single" w:sz="4" w:space="0" w:color="auto"/>
            </w:tcBorders>
          </w:tcPr>
          <w:p w14:paraId="165E1EF1"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r w:rsidR="00A052DC" w14:paraId="284ED2DB" w14:textId="77777777">
        <w:tc>
          <w:tcPr>
            <w:tcW w:w="1843" w:type="dxa"/>
            <w:tcBorders>
              <w:top w:val="single" w:sz="4" w:space="0" w:color="auto"/>
              <w:left w:val="single" w:sz="4" w:space="0" w:color="auto"/>
              <w:bottom w:val="single" w:sz="4" w:space="0" w:color="auto"/>
              <w:right w:val="single" w:sz="4" w:space="0" w:color="auto"/>
            </w:tcBorders>
          </w:tcPr>
          <w:p w14:paraId="2A5F67C2" w14:textId="77777777" w:rsidR="00A052DC" w:rsidRDefault="009F0A60">
            <w:pPr>
              <w:rPr>
                <w:rFonts w:ascii="黑体" w:eastAsia="黑体" w:hAnsi="黑体"/>
                <w:sz w:val="20"/>
                <w:szCs w:val="20"/>
              </w:rPr>
            </w:pPr>
            <w:r>
              <w:rPr>
                <w:rFonts w:ascii="黑体" w:eastAsia="黑体" w:hAnsi="黑体"/>
                <w:sz w:val="20"/>
                <w:szCs w:val="20"/>
              </w:rPr>
              <w:t>accountSTAT</w:t>
            </w:r>
          </w:p>
        </w:tc>
        <w:tc>
          <w:tcPr>
            <w:tcW w:w="1701" w:type="dxa"/>
            <w:tcBorders>
              <w:top w:val="single" w:sz="4" w:space="0" w:color="auto"/>
              <w:left w:val="single" w:sz="4" w:space="0" w:color="auto"/>
              <w:bottom w:val="single" w:sz="4" w:space="0" w:color="auto"/>
              <w:right w:val="single" w:sz="4" w:space="0" w:color="auto"/>
            </w:tcBorders>
          </w:tcPr>
          <w:p w14:paraId="291C439C" w14:textId="77777777" w:rsidR="00A052DC" w:rsidRDefault="009F0A60">
            <w:pPr>
              <w:rPr>
                <w:rFonts w:ascii="黑体" w:eastAsia="黑体" w:hAnsi="黑体"/>
                <w:sz w:val="20"/>
                <w:szCs w:val="20"/>
              </w:rPr>
            </w:pPr>
            <w:r>
              <w:rPr>
                <w:rFonts w:ascii="黑体" w:eastAsia="黑体" w:hAnsi="黑体" w:hint="eastAsia"/>
                <w:sz w:val="20"/>
                <w:szCs w:val="20"/>
              </w:rPr>
              <w:t>账户状态</w:t>
            </w:r>
          </w:p>
        </w:tc>
        <w:tc>
          <w:tcPr>
            <w:tcW w:w="1701" w:type="dxa"/>
            <w:tcBorders>
              <w:top w:val="single" w:sz="4" w:space="0" w:color="auto"/>
              <w:left w:val="single" w:sz="4" w:space="0" w:color="auto"/>
              <w:bottom w:val="single" w:sz="4" w:space="0" w:color="auto"/>
              <w:right w:val="single" w:sz="4" w:space="0" w:color="auto"/>
            </w:tcBorders>
          </w:tcPr>
          <w:p w14:paraId="3C5A921C" w14:textId="77777777" w:rsidR="00A052DC" w:rsidRDefault="009F0A60">
            <w:pPr>
              <w:rPr>
                <w:rFonts w:ascii="黑体" w:eastAsia="黑体" w:hAnsi="黑体"/>
                <w:sz w:val="20"/>
                <w:szCs w:val="20"/>
              </w:rPr>
            </w:pPr>
            <w:r>
              <w:rPr>
                <w:rFonts w:ascii="黑体" w:eastAsia="黑体" w:hAnsi="黑体" w:hint="eastAsia"/>
                <w:sz w:val="20"/>
                <w:szCs w:val="20"/>
              </w:rPr>
              <w:t>定长字符型，2</w:t>
            </w:r>
          </w:p>
        </w:tc>
        <w:tc>
          <w:tcPr>
            <w:tcW w:w="3402" w:type="dxa"/>
            <w:tcBorders>
              <w:top w:val="single" w:sz="4" w:space="0" w:color="auto"/>
              <w:left w:val="single" w:sz="4" w:space="0" w:color="auto"/>
              <w:bottom w:val="single" w:sz="4" w:space="0" w:color="auto"/>
              <w:right w:val="single" w:sz="4" w:space="0" w:color="auto"/>
            </w:tcBorders>
          </w:tcPr>
          <w:p w14:paraId="79A41F39" w14:textId="77777777" w:rsidR="00A052DC" w:rsidRDefault="009F0A60">
            <w:pPr>
              <w:rPr>
                <w:rFonts w:ascii="黑体" w:eastAsia="黑体" w:hAnsi="黑体"/>
                <w:sz w:val="20"/>
                <w:szCs w:val="20"/>
              </w:rPr>
            </w:pPr>
            <w:r>
              <w:rPr>
                <w:rFonts w:ascii="黑体" w:eastAsia="黑体" w:hAnsi="黑体" w:hint="eastAsia"/>
                <w:sz w:val="20"/>
                <w:szCs w:val="20"/>
              </w:rPr>
              <w:t>必填项，见账户状态代码表。</w:t>
            </w:r>
          </w:p>
        </w:tc>
      </w:tr>
      <w:tr w:rsidR="00A052DC" w14:paraId="5BE3C8E8" w14:textId="77777777">
        <w:tc>
          <w:tcPr>
            <w:tcW w:w="1843" w:type="dxa"/>
            <w:tcBorders>
              <w:top w:val="single" w:sz="4" w:space="0" w:color="auto"/>
              <w:left w:val="single" w:sz="4" w:space="0" w:color="auto"/>
              <w:bottom w:val="single" w:sz="4" w:space="0" w:color="auto"/>
              <w:right w:val="single" w:sz="4" w:space="0" w:color="auto"/>
            </w:tcBorders>
          </w:tcPr>
          <w:p w14:paraId="72FBECDA" w14:textId="77777777" w:rsidR="00A052DC" w:rsidRDefault="009F0A60">
            <w:pPr>
              <w:rPr>
                <w:rFonts w:ascii="黑体" w:eastAsia="黑体" w:hAnsi="黑体"/>
                <w:sz w:val="20"/>
                <w:szCs w:val="20"/>
              </w:rPr>
            </w:pPr>
            <w:r>
              <w:rPr>
                <w:rFonts w:ascii="黑体" w:eastAsia="黑体" w:hAnsi="黑体"/>
                <w:sz w:val="20"/>
                <w:szCs w:val="20"/>
              </w:rPr>
              <w:t>AMTYPE</w:t>
            </w:r>
          </w:p>
        </w:tc>
        <w:tc>
          <w:tcPr>
            <w:tcW w:w="1701" w:type="dxa"/>
            <w:tcBorders>
              <w:top w:val="single" w:sz="4" w:space="0" w:color="auto"/>
              <w:left w:val="single" w:sz="4" w:space="0" w:color="auto"/>
              <w:bottom w:val="single" w:sz="4" w:space="0" w:color="auto"/>
              <w:right w:val="single" w:sz="4" w:space="0" w:color="auto"/>
            </w:tcBorders>
          </w:tcPr>
          <w:p w14:paraId="45BA6A78" w14:textId="77777777" w:rsidR="00A052DC" w:rsidRDefault="009F0A60">
            <w:pPr>
              <w:rPr>
                <w:rFonts w:ascii="黑体" w:eastAsia="黑体" w:hAnsi="黑体"/>
                <w:sz w:val="20"/>
                <w:szCs w:val="20"/>
              </w:rPr>
            </w:pPr>
            <w:r>
              <w:rPr>
                <w:rFonts w:ascii="黑体" w:eastAsia="黑体" w:hAnsi="黑体" w:hint="eastAsia"/>
                <w:sz w:val="20"/>
                <w:szCs w:val="20"/>
              </w:rPr>
              <w:t>开户主体类型</w:t>
            </w:r>
          </w:p>
        </w:tc>
        <w:tc>
          <w:tcPr>
            <w:tcW w:w="1701" w:type="dxa"/>
            <w:tcBorders>
              <w:top w:val="single" w:sz="4" w:space="0" w:color="auto"/>
              <w:left w:val="single" w:sz="4" w:space="0" w:color="auto"/>
              <w:bottom w:val="single" w:sz="4" w:space="0" w:color="auto"/>
              <w:right w:val="single" w:sz="4" w:space="0" w:color="auto"/>
            </w:tcBorders>
          </w:tcPr>
          <w:p w14:paraId="1B93606D" w14:textId="77777777" w:rsidR="00A052DC" w:rsidRDefault="009F0A60">
            <w:pPr>
              <w:rPr>
                <w:rFonts w:ascii="黑体" w:eastAsia="黑体" w:hAnsi="黑体"/>
                <w:sz w:val="20"/>
                <w:szCs w:val="20"/>
              </w:rPr>
            </w:pPr>
            <w:r>
              <w:rPr>
                <w:rFonts w:ascii="黑体" w:eastAsia="黑体" w:hAnsi="黑体" w:hint="eastAsia"/>
                <w:sz w:val="20"/>
                <w:szCs w:val="20"/>
              </w:rPr>
              <w:t>定长字符型，2</w:t>
            </w:r>
          </w:p>
        </w:tc>
        <w:tc>
          <w:tcPr>
            <w:tcW w:w="3402" w:type="dxa"/>
            <w:tcBorders>
              <w:top w:val="single" w:sz="4" w:space="0" w:color="auto"/>
              <w:left w:val="single" w:sz="4" w:space="0" w:color="auto"/>
              <w:bottom w:val="single" w:sz="4" w:space="0" w:color="auto"/>
              <w:right w:val="single" w:sz="4" w:space="0" w:color="auto"/>
            </w:tcBorders>
          </w:tcPr>
          <w:p w14:paraId="7FE6FF79" w14:textId="77777777" w:rsidR="00A052DC" w:rsidRDefault="009F0A60">
            <w:pPr>
              <w:rPr>
                <w:rFonts w:ascii="黑体" w:eastAsia="黑体" w:hAnsi="黑体"/>
                <w:sz w:val="20"/>
                <w:szCs w:val="20"/>
              </w:rPr>
            </w:pPr>
            <w:r>
              <w:rPr>
                <w:rFonts w:ascii="黑体" w:eastAsia="黑体" w:hAnsi="黑体" w:hint="eastAsia"/>
                <w:sz w:val="20"/>
                <w:szCs w:val="20"/>
              </w:rPr>
              <w:t>必填项，见开户主体类型代码表。</w:t>
            </w:r>
          </w:p>
        </w:tc>
      </w:tr>
      <w:tr w:rsidR="00A052DC" w14:paraId="497B80A7" w14:textId="77777777">
        <w:tc>
          <w:tcPr>
            <w:tcW w:w="1843" w:type="dxa"/>
            <w:tcBorders>
              <w:top w:val="single" w:sz="4" w:space="0" w:color="auto"/>
              <w:left w:val="single" w:sz="4" w:space="0" w:color="auto"/>
              <w:bottom w:val="single" w:sz="4" w:space="0" w:color="auto"/>
              <w:right w:val="single" w:sz="4" w:space="0" w:color="auto"/>
            </w:tcBorders>
          </w:tcPr>
          <w:p w14:paraId="4C9F412D" w14:textId="77777777" w:rsidR="00A052DC" w:rsidRDefault="009F0A60">
            <w:pPr>
              <w:rPr>
                <w:rFonts w:ascii="黑体" w:eastAsia="黑体" w:hAnsi="黑体"/>
                <w:sz w:val="20"/>
                <w:szCs w:val="20"/>
              </w:rPr>
            </w:pPr>
            <w:r>
              <w:rPr>
                <w:rFonts w:ascii="黑体" w:eastAsia="黑体" w:hAnsi="黑体"/>
                <w:sz w:val="20"/>
                <w:szCs w:val="20"/>
              </w:rPr>
              <w:t>en_code</w:t>
            </w:r>
          </w:p>
        </w:tc>
        <w:tc>
          <w:tcPr>
            <w:tcW w:w="1701" w:type="dxa"/>
            <w:tcBorders>
              <w:top w:val="single" w:sz="4" w:space="0" w:color="auto"/>
              <w:left w:val="single" w:sz="4" w:space="0" w:color="auto"/>
              <w:bottom w:val="single" w:sz="4" w:space="0" w:color="auto"/>
              <w:right w:val="single" w:sz="4" w:space="0" w:color="auto"/>
            </w:tcBorders>
          </w:tcPr>
          <w:p w14:paraId="14942D79" w14:textId="77777777" w:rsidR="00A052DC" w:rsidRDefault="009F0A60">
            <w:pPr>
              <w:rPr>
                <w:rFonts w:ascii="黑体" w:eastAsia="黑体" w:hAnsi="黑体"/>
                <w:sz w:val="20"/>
                <w:szCs w:val="20"/>
              </w:rPr>
            </w:pPr>
            <w:r>
              <w:rPr>
                <w:rFonts w:ascii="黑体" w:eastAsia="黑体" w:hAnsi="黑体" w:hint="eastAsia"/>
                <w:sz w:val="20"/>
                <w:szCs w:val="20"/>
              </w:rPr>
              <w:t>开户主体代码</w:t>
            </w:r>
          </w:p>
        </w:tc>
        <w:tc>
          <w:tcPr>
            <w:tcW w:w="1701" w:type="dxa"/>
            <w:tcBorders>
              <w:top w:val="single" w:sz="4" w:space="0" w:color="auto"/>
              <w:left w:val="single" w:sz="4" w:space="0" w:color="auto"/>
              <w:bottom w:val="single" w:sz="4" w:space="0" w:color="auto"/>
              <w:right w:val="single" w:sz="4" w:space="0" w:color="auto"/>
            </w:tcBorders>
          </w:tcPr>
          <w:p w14:paraId="13A1316F" w14:textId="77777777" w:rsidR="00A052DC" w:rsidRDefault="009F0A60">
            <w:pPr>
              <w:rPr>
                <w:rFonts w:ascii="黑体" w:eastAsia="黑体" w:hAnsi="黑体"/>
                <w:sz w:val="20"/>
                <w:szCs w:val="20"/>
              </w:rPr>
            </w:pPr>
            <w:r>
              <w:rPr>
                <w:rFonts w:ascii="黑体" w:eastAsia="黑体" w:hAnsi="黑体" w:hint="eastAsia"/>
                <w:sz w:val="20"/>
                <w:szCs w:val="20"/>
              </w:rPr>
              <w:t>变长字符型，18</w:t>
            </w:r>
          </w:p>
        </w:tc>
        <w:tc>
          <w:tcPr>
            <w:tcW w:w="3402" w:type="dxa"/>
            <w:tcBorders>
              <w:top w:val="single" w:sz="4" w:space="0" w:color="auto"/>
              <w:left w:val="single" w:sz="4" w:space="0" w:color="auto"/>
              <w:bottom w:val="single" w:sz="4" w:space="0" w:color="auto"/>
              <w:right w:val="single" w:sz="4" w:space="0" w:color="auto"/>
            </w:tcBorders>
          </w:tcPr>
          <w:p w14:paraId="29F224D3" w14:textId="77777777" w:rsidR="00A052DC" w:rsidRDefault="009F0A60">
            <w:pPr>
              <w:rPr>
                <w:rFonts w:ascii="黑体" w:eastAsia="黑体" w:hAnsi="黑体"/>
                <w:sz w:val="20"/>
                <w:szCs w:val="20"/>
              </w:rPr>
            </w:pPr>
            <w:r>
              <w:rPr>
                <w:rFonts w:ascii="黑体" w:eastAsia="黑体" w:hAnsi="黑体" w:hint="eastAsia"/>
                <w:sz w:val="20"/>
                <w:szCs w:val="20"/>
              </w:rPr>
              <w:t>如果开户主体人为境内机构，应填写统一社会信用代码法定载体（如营业执照）上统一社会信用代码中的第9至17位；如果开户主体为境外机构，应填写国家外汇管理局及其分支局签发的特殊机构代码赋码通知书上的机构代码；如果开户主体为境内个人，应填写开户主体个人身份证件号码；如果开户主体为境外个人，应填写其开户时提交的身份证件上的身份代码。</w:t>
            </w:r>
          </w:p>
        </w:tc>
      </w:tr>
      <w:tr w:rsidR="00A052DC" w14:paraId="6C760240" w14:textId="77777777">
        <w:tc>
          <w:tcPr>
            <w:tcW w:w="1843" w:type="dxa"/>
            <w:tcBorders>
              <w:top w:val="single" w:sz="4" w:space="0" w:color="auto"/>
              <w:left w:val="single" w:sz="4" w:space="0" w:color="auto"/>
              <w:bottom w:val="single" w:sz="4" w:space="0" w:color="auto"/>
              <w:right w:val="single" w:sz="4" w:space="0" w:color="auto"/>
            </w:tcBorders>
          </w:tcPr>
          <w:p w14:paraId="220363E2" w14:textId="77777777" w:rsidR="00A052DC" w:rsidRDefault="009F0A60">
            <w:pPr>
              <w:rPr>
                <w:rFonts w:ascii="黑体" w:eastAsia="黑体" w:hAnsi="黑体"/>
                <w:sz w:val="20"/>
                <w:szCs w:val="20"/>
              </w:rPr>
            </w:pPr>
            <w:r>
              <w:rPr>
                <w:rFonts w:ascii="黑体" w:eastAsia="黑体" w:hAnsi="黑体"/>
                <w:sz w:val="20"/>
                <w:szCs w:val="20"/>
              </w:rPr>
              <w:t>en_name</w:t>
            </w:r>
          </w:p>
        </w:tc>
        <w:tc>
          <w:tcPr>
            <w:tcW w:w="1701" w:type="dxa"/>
            <w:tcBorders>
              <w:top w:val="single" w:sz="4" w:space="0" w:color="auto"/>
              <w:left w:val="single" w:sz="4" w:space="0" w:color="auto"/>
              <w:bottom w:val="single" w:sz="4" w:space="0" w:color="auto"/>
              <w:right w:val="single" w:sz="4" w:space="0" w:color="auto"/>
            </w:tcBorders>
          </w:tcPr>
          <w:p w14:paraId="771B8713" w14:textId="77777777" w:rsidR="00A052DC" w:rsidRDefault="009F0A60">
            <w:pPr>
              <w:rPr>
                <w:rFonts w:ascii="黑体" w:eastAsia="黑体" w:hAnsi="黑体"/>
                <w:sz w:val="20"/>
                <w:szCs w:val="20"/>
              </w:rPr>
            </w:pPr>
            <w:r>
              <w:rPr>
                <w:rFonts w:ascii="黑体" w:eastAsia="黑体" w:hAnsi="黑体" w:hint="eastAsia"/>
                <w:sz w:val="20"/>
                <w:szCs w:val="20"/>
              </w:rPr>
              <w:t>开户主体名称</w:t>
            </w:r>
          </w:p>
        </w:tc>
        <w:tc>
          <w:tcPr>
            <w:tcW w:w="1701" w:type="dxa"/>
            <w:tcBorders>
              <w:top w:val="single" w:sz="4" w:space="0" w:color="auto"/>
              <w:left w:val="single" w:sz="4" w:space="0" w:color="auto"/>
              <w:bottom w:val="single" w:sz="4" w:space="0" w:color="auto"/>
              <w:right w:val="single" w:sz="4" w:space="0" w:color="auto"/>
            </w:tcBorders>
          </w:tcPr>
          <w:p w14:paraId="7619EA05" w14:textId="77777777" w:rsidR="00A052DC" w:rsidRDefault="009F0A60">
            <w:pPr>
              <w:rPr>
                <w:rFonts w:ascii="黑体" w:eastAsia="黑体" w:hAnsi="黑体"/>
                <w:sz w:val="20"/>
                <w:szCs w:val="20"/>
              </w:rPr>
            </w:pPr>
            <w:r>
              <w:rPr>
                <w:rFonts w:ascii="黑体" w:eastAsia="黑体" w:hAnsi="黑体" w:hint="eastAsia"/>
                <w:sz w:val="20"/>
                <w:szCs w:val="20"/>
              </w:rPr>
              <w:t>变长字符型，128</w:t>
            </w:r>
          </w:p>
        </w:tc>
        <w:tc>
          <w:tcPr>
            <w:tcW w:w="3402" w:type="dxa"/>
            <w:tcBorders>
              <w:top w:val="single" w:sz="4" w:space="0" w:color="auto"/>
              <w:left w:val="single" w:sz="4" w:space="0" w:color="auto"/>
              <w:bottom w:val="single" w:sz="4" w:space="0" w:color="auto"/>
              <w:right w:val="single" w:sz="4" w:space="0" w:color="auto"/>
            </w:tcBorders>
          </w:tcPr>
          <w:p w14:paraId="5B33C76A"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r w:rsidR="00A052DC" w14:paraId="56F2F92A" w14:textId="77777777">
        <w:tc>
          <w:tcPr>
            <w:tcW w:w="1843" w:type="dxa"/>
            <w:tcBorders>
              <w:top w:val="single" w:sz="4" w:space="0" w:color="auto"/>
              <w:left w:val="single" w:sz="4" w:space="0" w:color="auto"/>
              <w:bottom w:val="single" w:sz="4" w:space="0" w:color="auto"/>
              <w:right w:val="single" w:sz="4" w:space="0" w:color="auto"/>
            </w:tcBorders>
          </w:tcPr>
          <w:p w14:paraId="06413BCD" w14:textId="77777777" w:rsidR="00A052DC" w:rsidRDefault="009F0A60">
            <w:pPr>
              <w:rPr>
                <w:rFonts w:ascii="黑体" w:eastAsia="黑体" w:hAnsi="黑体"/>
                <w:sz w:val="20"/>
                <w:szCs w:val="20"/>
              </w:rPr>
            </w:pPr>
            <w:r>
              <w:rPr>
                <w:rFonts w:ascii="黑体" w:eastAsia="黑体" w:hAnsi="黑体"/>
                <w:sz w:val="20"/>
                <w:szCs w:val="20"/>
              </w:rPr>
              <w:t>account_type</w:t>
            </w:r>
          </w:p>
        </w:tc>
        <w:tc>
          <w:tcPr>
            <w:tcW w:w="1701" w:type="dxa"/>
            <w:tcBorders>
              <w:top w:val="single" w:sz="4" w:space="0" w:color="auto"/>
              <w:left w:val="single" w:sz="4" w:space="0" w:color="auto"/>
              <w:bottom w:val="single" w:sz="4" w:space="0" w:color="auto"/>
              <w:right w:val="single" w:sz="4" w:space="0" w:color="auto"/>
            </w:tcBorders>
          </w:tcPr>
          <w:p w14:paraId="0F9FE657" w14:textId="77777777" w:rsidR="00A052DC" w:rsidRDefault="009F0A60">
            <w:pPr>
              <w:rPr>
                <w:rFonts w:ascii="黑体" w:eastAsia="黑体" w:hAnsi="黑体"/>
                <w:sz w:val="20"/>
                <w:szCs w:val="20"/>
              </w:rPr>
            </w:pPr>
            <w:r>
              <w:rPr>
                <w:rFonts w:ascii="黑体" w:eastAsia="黑体" w:hAnsi="黑体" w:hint="eastAsia"/>
                <w:sz w:val="20"/>
                <w:szCs w:val="20"/>
              </w:rPr>
              <w:t>账户性质代码</w:t>
            </w:r>
          </w:p>
        </w:tc>
        <w:tc>
          <w:tcPr>
            <w:tcW w:w="1701" w:type="dxa"/>
            <w:tcBorders>
              <w:top w:val="single" w:sz="4" w:space="0" w:color="auto"/>
              <w:left w:val="single" w:sz="4" w:space="0" w:color="auto"/>
              <w:bottom w:val="single" w:sz="4" w:space="0" w:color="auto"/>
              <w:right w:val="single" w:sz="4" w:space="0" w:color="auto"/>
            </w:tcBorders>
          </w:tcPr>
          <w:p w14:paraId="04545A4C" w14:textId="77777777" w:rsidR="00A052DC" w:rsidRDefault="009F0A60">
            <w:pPr>
              <w:rPr>
                <w:rFonts w:ascii="黑体" w:eastAsia="黑体" w:hAnsi="黑体"/>
                <w:sz w:val="20"/>
                <w:szCs w:val="20"/>
              </w:rPr>
            </w:pPr>
            <w:r>
              <w:rPr>
                <w:rFonts w:ascii="黑体" w:eastAsia="黑体" w:hAnsi="黑体" w:hint="eastAsia"/>
                <w:sz w:val="20"/>
                <w:szCs w:val="20"/>
              </w:rPr>
              <w:t>定长字符型，4</w:t>
            </w:r>
          </w:p>
        </w:tc>
        <w:tc>
          <w:tcPr>
            <w:tcW w:w="3402" w:type="dxa"/>
            <w:tcBorders>
              <w:top w:val="single" w:sz="4" w:space="0" w:color="auto"/>
              <w:left w:val="single" w:sz="4" w:space="0" w:color="auto"/>
              <w:bottom w:val="single" w:sz="4" w:space="0" w:color="auto"/>
              <w:right w:val="single" w:sz="4" w:space="0" w:color="auto"/>
            </w:tcBorders>
          </w:tcPr>
          <w:p w14:paraId="3318BC0C" w14:textId="77777777" w:rsidR="00A052DC" w:rsidRDefault="009F0A60">
            <w:pPr>
              <w:rPr>
                <w:rFonts w:ascii="黑体" w:eastAsia="黑体" w:hAnsi="黑体"/>
                <w:sz w:val="20"/>
                <w:szCs w:val="20"/>
              </w:rPr>
            </w:pPr>
            <w:r>
              <w:rPr>
                <w:rFonts w:ascii="黑体" w:eastAsia="黑体" w:hAnsi="黑体" w:hint="eastAsia"/>
                <w:sz w:val="20"/>
                <w:szCs w:val="20"/>
              </w:rPr>
              <w:t>必填项，见账户性质代码表。</w:t>
            </w:r>
          </w:p>
        </w:tc>
      </w:tr>
      <w:tr w:rsidR="00A052DC" w14:paraId="24F3F085" w14:textId="77777777">
        <w:tc>
          <w:tcPr>
            <w:tcW w:w="1843" w:type="dxa"/>
            <w:tcBorders>
              <w:top w:val="single" w:sz="4" w:space="0" w:color="auto"/>
              <w:left w:val="single" w:sz="4" w:space="0" w:color="auto"/>
              <w:bottom w:val="single" w:sz="4" w:space="0" w:color="auto"/>
              <w:right w:val="single" w:sz="4" w:space="0" w:color="auto"/>
            </w:tcBorders>
          </w:tcPr>
          <w:p w14:paraId="424DB42C" w14:textId="77777777" w:rsidR="00A052DC" w:rsidRDefault="009F0A60">
            <w:pPr>
              <w:rPr>
                <w:rFonts w:ascii="黑体" w:eastAsia="黑体" w:hAnsi="黑体"/>
                <w:sz w:val="20"/>
                <w:szCs w:val="20"/>
              </w:rPr>
            </w:pPr>
            <w:r>
              <w:rPr>
                <w:rFonts w:ascii="黑体" w:eastAsia="黑体" w:hAnsi="黑体"/>
                <w:sz w:val="20"/>
                <w:szCs w:val="20"/>
              </w:rPr>
              <w:t>account_CATA</w:t>
            </w:r>
          </w:p>
        </w:tc>
        <w:tc>
          <w:tcPr>
            <w:tcW w:w="1701" w:type="dxa"/>
            <w:tcBorders>
              <w:top w:val="single" w:sz="4" w:space="0" w:color="auto"/>
              <w:left w:val="single" w:sz="4" w:space="0" w:color="auto"/>
              <w:bottom w:val="single" w:sz="4" w:space="0" w:color="auto"/>
              <w:right w:val="single" w:sz="4" w:space="0" w:color="auto"/>
            </w:tcBorders>
          </w:tcPr>
          <w:p w14:paraId="3A05D5C0" w14:textId="77777777" w:rsidR="00A052DC" w:rsidRDefault="009F0A60">
            <w:pPr>
              <w:rPr>
                <w:rFonts w:ascii="黑体" w:eastAsia="黑体" w:hAnsi="黑体"/>
                <w:sz w:val="20"/>
                <w:szCs w:val="20"/>
              </w:rPr>
            </w:pPr>
            <w:r>
              <w:rPr>
                <w:rFonts w:ascii="黑体" w:eastAsia="黑体" w:hAnsi="黑体" w:hint="eastAsia"/>
                <w:sz w:val="20"/>
                <w:szCs w:val="20"/>
              </w:rPr>
              <w:t>账户类别</w:t>
            </w:r>
          </w:p>
        </w:tc>
        <w:tc>
          <w:tcPr>
            <w:tcW w:w="1701" w:type="dxa"/>
            <w:tcBorders>
              <w:top w:val="single" w:sz="4" w:space="0" w:color="auto"/>
              <w:left w:val="single" w:sz="4" w:space="0" w:color="auto"/>
              <w:bottom w:val="single" w:sz="4" w:space="0" w:color="auto"/>
              <w:right w:val="single" w:sz="4" w:space="0" w:color="auto"/>
            </w:tcBorders>
          </w:tcPr>
          <w:p w14:paraId="0CE5F175" w14:textId="77777777" w:rsidR="00A052DC" w:rsidRDefault="009F0A60">
            <w:pPr>
              <w:rPr>
                <w:rFonts w:ascii="黑体" w:eastAsia="黑体" w:hAnsi="黑体"/>
                <w:sz w:val="20"/>
                <w:szCs w:val="20"/>
              </w:rPr>
            </w:pPr>
            <w:r>
              <w:rPr>
                <w:rFonts w:ascii="黑体" w:eastAsia="黑体" w:hAnsi="黑体" w:hint="eastAsia"/>
                <w:sz w:val="20"/>
                <w:szCs w:val="20"/>
              </w:rPr>
              <w:t>定长，2</w:t>
            </w:r>
          </w:p>
        </w:tc>
        <w:tc>
          <w:tcPr>
            <w:tcW w:w="3402" w:type="dxa"/>
            <w:tcBorders>
              <w:top w:val="single" w:sz="4" w:space="0" w:color="auto"/>
              <w:left w:val="single" w:sz="4" w:space="0" w:color="auto"/>
              <w:bottom w:val="single" w:sz="4" w:space="0" w:color="auto"/>
              <w:right w:val="single" w:sz="4" w:space="0" w:color="auto"/>
            </w:tcBorders>
          </w:tcPr>
          <w:p w14:paraId="6C6CCCA6" w14:textId="77777777" w:rsidR="00A052DC" w:rsidRDefault="009F0A60">
            <w:pPr>
              <w:rPr>
                <w:rFonts w:ascii="黑体" w:eastAsia="黑体" w:hAnsi="黑体"/>
                <w:sz w:val="20"/>
                <w:szCs w:val="20"/>
              </w:rPr>
            </w:pPr>
            <w:r>
              <w:rPr>
                <w:rFonts w:ascii="黑体" w:eastAsia="黑体" w:hAnsi="黑体" w:hint="eastAsia"/>
                <w:sz w:val="20"/>
                <w:szCs w:val="20"/>
              </w:rPr>
              <w:t>必填项，见账户类别代码表。</w:t>
            </w:r>
          </w:p>
        </w:tc>
      </w:tr>
      <w:tr w:rsidR="00A052DC" w14:paraId="29C21791" w14:textId="77777777">
        <w:tc>
          <w:tcPr>
            <w:tcW w:w="1843" w:type="dxa"/>
            <w:tcBorders>
              <w:top w:val="single" w:sz="4" w:space="0" w:color="auto"/>
              <w:left w:val="single" w:sz="4" w:space="0" w:color="auto"/>
              <w:bottom w:val="single" w:sz="4" w:space="0" w:color="auto"/>
              <w:right w:val="single" w:sz="4" w:space="0" w:color="auto"/>
            </w:tcBorders>
          </w:tcPr>
          <w:p w14:paraId="3D5EEDAA" w14:textId="77777777" w:rsidR="00A052DC" w:rsidRDefault="009F0A60">
            <w:pPr>
              <w:rPr>
                <w:rFonts w:ascii="黑体" w:eastAsia="黑体" w:hAnsi="黑体"/>
                <w:sz w:val="20"/>
                <w:szCs w:val="20"/>
              </w:rPr>
            </w:pPr>
            <w:r>
              <w:rPr>
                <w:rFonts w:ascii="黑体" w:eastAsia="黑体" w:hAnsi="黑体"/>
                <w:sz w:val="20"/>
                <w:szCs w:val="20"/>
              </w:rPr>
              <w:t>CURRENCY_code</w:t>
            </w:r>
          </w:p>
        </w:tc>
        <w:tc>
          <w:tcPr>
            <w:tcW w:w="1701" w:type="dxa"/>
            <w:tcBorders>
              <w:top w:val="single" w:sz="4" w:space="0" w:color="auto"/>
              <w:left w:val="single" w:sz="4" w:space="0" w:color="auto"/>
              <w:bottom w:val="single" w:sz="4" w:space="0" w:color="auto"/>
              <w:right w:val="single" w:sz="4" w:space="0" w:color="auto"/>
            </w:tcBorders>
          </w:tcPr>
          <w:p w14:paraId="7DD07A4E" w14:textId="77777777" w:rsidR="00A052DC" w:rsidRDefault="009F0A60">
            <w:pPr>
              <w:rPr>
                <w:rFonts w:ascii="黑体" w:eastAsia="黑体" w:hAnsi="黑体"/>
                <w:sz w:val="20"/>
                <w:szCs w:val="20"/>
              </w:rPr>
            </w:pPr>
            <w:r>
              <w:rPr>
                <w:rFonts w:ascii="黑体" w:eastAsia="黑体" w:hAnsi="黑体" w:hint="eastAsia"/>
                <w:sz w:val="20"/>
                <w:szCs w:val="20"/>
              </w:rPr>
              <w:t>币种</w:t>
            </w:r>
          </w:p>
        </w:tc>
        <w:tc>
          <w:tcPr>
            <w:tcW w:w="1701" w:type="dxa"/>
            <w:tcBorders>
              <w:top w:val="single" w:sz="4" w:space="0" w:color="auto"/>
              <w:left w:val="single" w:sz="4" w:space="0" w:color="auto"/>
              <w:bottom w:val="single" w:sz="4" w:space="0" w:color="auto"/>
              <w:right w:val="single" w:sz="4" w:space="0" w:color="auto"/>
            </w:tcBorders>
          </w:tcPr>
          <w:p w14:paraId="41F10396" w14:textId="77777777" w:rsidR="00A052DC" w:rsidRDefault="009F0A60">
            <w:pPr>
              <w:rPr>
                <w:rFonts w:ascii="黑体" w:eastAsia="黑体" w:hAnsi="黑体"/>
                <w:sz w:val="20"/>
                <w:szCs w:val="20"/>
              </w:rPr>
            </w:pPr>
            <w:r>
              <w:rPr>
                <w:rFonts w:ascii="黑体" w:eastAsia="黑体" w:hAnsi="黑体" w:hint="eastAsia"/>
                <w:sz w:val="20"/>
                <w:szCs w:val="20"/>
              </w:rPr>
              <w:t>定长字符型，3</w:t>
            </w:r>
          </w:p>
        </w:tc>
        <w:tc>
          <w:tcPr>
            <w:tcW w:w="3402" w:type="dxa"/>
            <w:tcBorders>
              <w:top w:val="single" w:sz="4" w:space="0" w:color="auto"/>
              <w:left w:val="single" w:sz="4" w:space="0" w:color="auto"/>
              <w:bottom w:val="single" w:sz="4" w:space="0" w:color="auto"/>
              <w:right w:val="single" w:sz="4" w:space="0" w:color="auto"/>
            </w:tcBorders>
          </w:tcPr>
          <w:p w14:paraId="56237811" w14:textId="77777777" w:rsidR="00A052DC" w:rsidRDefault="009F0A60">
            <w:pPr>
              <w:rPr>
                <w:rFonts w:ascii="黑体" w:eastAsia="黑体" w:hAnsi="黑体"/>
                <w:sz w:val="20"/>
                <w:szCs w:val="20"/>
              </w:rPr>
            </w:pPr>
            <w:r>
              <w:rPr>
                <w:rFonts w:ascii="黑体" w:eastAsia="黑体" w:hAnsi="黑体" w:hint="eastAsia"/>
                <w:sz w:val="20"/>
                <w:szCs w:val="20"/>
              </w:rPr>
              <w:t>必填项，见币种代码表。</w:t>
            </w:r>
          </w:p>
        </w:tc>
      </w:tr>
      <w:tr w:rsidR="00A052DC" w14:paraId="176E2DCF" w14:textId="77777777">
        <w:tc>
          <w:tcPr>
            <w:tcW w:w="1843" w:type="dxa"/>
            <w:tcBorders>
              <w:top w:val="single" w:sz="4" w:space="0" w:color="auto"/>
              <w:left w:val="single" w:sz="4" w:space="0" w:color="auto"/>
              <w:bottom w:val="single" w:sz="4" w:space="0" w:color="auto"/>
              <w:right w:val="single" w:sz="4" w:space="0" w:color="auto"/>
            </w:tcBorders>
          </w:tcPr>
          <w:p w14:paraId="160EE507" w14:textId="77777777" w:rsidR="00A052DC" w:rsidRDefault="009F0A60">
            <w:pPr>
              <w:rPr>
                <w:rFonts w:ascii="黑体" w:eastAsia="黑体" w:hAnsi="黑体"/>
                <w:sz w:val="20"/>
                <w:szCs w:val="20"/>
              </w:rPr>
            </w:pPr>
            <w:r>
              <w:rPr>
                <w:rFonts w:ascii="黑体" w:eastAsia="黑体" w:hAnsi="黑体"/>
                <w:sz w:val="20"/>
                <w:szCs w:val="20"/>
              </w:rPr>
              <w:t>BUSINESS_DATE</w:t>
            </w:r>
          </w:p>
        </w:tc>
        <w:tc>
          <w:tcPr>
            <w:tcW w:w="1701" w:type="dxa"/>
            <w:tcBorders>
              <w:top w:val="single" w:sz="4" w:space="0" w:color="auto"/>
              <w:left w:val="single" w:sz="4" w:space="0" w:color="auto"/>
              <w:bottom w:val="single" w:sz="4" w:space="0" w:color="auto"/>
              <w:right w:val="single" w:sz="4" w:space="0" w:color="auto"/>
            </w:tcBorders>
          </w:tcPr>
          <w:p w14:paraId="5474FEBB" w14:textId="77777777" w:rsidR="00A052DC" w:rsidRDefault="009F0A60">
            <w:pPr>
              <w:rPr>
                <w:rFonts w:ascii="黑体" w:eastAsia="黑体" w:hAnsi="黑体"/>
                <w:sz w:val="20"/>
                <w:szCs w:val="20"/>
              </w:rPr>
            </w:pPr>
            <w:r>
              <w:rPr>
                <w:rFonts w:ascii="黑体" w:eastAsia="黑体" w:hAnsi="黑体" w:hint="eastAsia"/>
                <w:sz w:val="20"/>
                <w:szCs w:val="20"/>
              </w:rPr>
              <w:t>业务发生日期</w:t>
            </w:r>
          </w:p>
        </w:tc>
        <w:tc>
          <w:tcPr>
            <w:tcW w:w="1701" w:type="dxa"/>
            <w:tcBorders>
              <w:top w:val="single" w:sz="4" w:space="0" w:color="auto"/>
              <w:left w:val="single" w:sz="4" w:space="0" w:color="auto"/>
              <w:bottom w:val="single" w:sz="4" w:space="0" w:color="auto"/>
              <w:right w:val="single" w:sz="4" w:space="0" w:color="auto"/>
            </w:tcBorders>
          </w:tcPr>
          <w:p w14:paraId="275D26D3" w14:textId="77777777" w:rsidR="00A052DC" w:rsidRDefault="009F0A60">
            <w:pPr>
              <w:rPr>
                <w:rFonts w:ascii="黑体" w:eastAsia="黑体" w:hAnsi="黑体"/>
                <w:sz w:val="20"/>
                <w:szCs w:val="20"/>
              </w:rPr>
            </w:pPr>
            <w:r>
              <w:rPr>
                <w:rFonts w:ascii="黑体" w:eastAsia="黑体" w:hAnsi="黑体" w:hint="eastAsia"/>
                <w:sz w:val="20"/>
                <w:szCs w:val="20"/>
              </w:rPr>
              <w:t>日期型，8</w:t>
            </w:r>
          </w:p>
        </w:tc>
        <w:tc>
          <w:tcPr>
            <w:tcW w:w="3402" w:type="dxa"/>
            <w:tcBorders>
              <w:top w:val="single" w:sz="4" w:space="0" w:color="auto"/>
              <w:left w:val="single" w:sz="4" w:space="0" w:color="auto"/>
              <w:bottom w:val="single" w:sz="4" w:space="0" w:color="auto"/>
              <w:right w:val="single" w:sz="4" w:space="0" w:color="auto"/>
            </w:tcBorders>
          </w:tcPr>
          <w:p w14:paraId="3BA72CCB" w14:textId="77777777" w:rsidR="00A052DC" w:rsidRDefault="009F0A60">
            <w:pPr>
              <w:rPr>
                <w:rFonts w:ascii="黑体" w:eastAsia="黑体" w:hAnsi="黑体"/>
                <w:sz w:val="20"/>
                <w:szCs w:val="20"/>
              </w:rPr>
            </w:pPr>
            <w:r>
              <w:rPr>
                <w:rFonts w:ascii="黑体" w:eastAsia="黑体" w:hAnsi="黑体" w:hint="eastAsia"/>
                <w:sz w:val="20"/>
                <w:szCs w:val="20"/>
              </w:rPr>
              <w:t>必填项，格式YYYYMMDD。</w:t>
            </w:r>
          </w:p>
        </w:tc>
      </w:tr>
      <w:tr w:rsidR="00A052DC" w14:paraId="755E3F76" w14:textId="77777777">
        <w:tc>
          <w:tcPr>
            <w:tcW w:w="1843" w:type="dxa"/>
            <w:tcBorders>
              <w:top w:val="single" w:sz="4" w:space="0" w:color="auto"/>
              <w:left w:val="single" w:sz="4" w:space="0" w:color="auto"/>
              <w:bottom w:val="single" w:sz="4" w:space="0" w:color="auto"/>
              <w:right w:val="single" w:sz="4" w:space="0" w:color="auto"/>
            </w:tcBorders>
          </w:tcPr>
          <w:p w14:paraId="78E00B4E" w14:textId="77777777" w:rsidR="00A052DC" w:rsidRDefault="009F0A60">
            <w:pPr>
              <w:rPr>
                <w:rFonts w:ascii="黑体" w:eastAsia="黑体" w:hAnsi="黑体"/>
                <w:sz w:val="20"/>
                <w:szCs w:val="20"/>
              </w:rPr>
            </w:pPr>
            <w:r>
              <w:rPr>
                <w:rFonts w:ascii="黑体" w:eastAsia="黑体" w:hAnsi="黑体"/>
                <w:sz w:val="20"/>
                <w:szCs w:val="20"/>
              </w:rPr>
              <w:t>file_number</w:t>
            </w:r>
          </w:p>
        </w:tc>
        <w:tc>
          <w:tcPr>
            <w:tcW w:w="1701" w:type="dxa"/>
            <w:tcBorders>
              <w:top w:val="single" w:sz="4" w:space="0" w:color="auto"/>
              <w:left w:val="single" w:sz="4" w:space="0" w:color="auto"/>
              <w:bottom w:val="single" w:sz="4" w:space="0" w:color="auto"/>
              <w:right w:val="single" w:sz="4" w:space="0" w:color="auto"/>
            </w:tcBorders>
          </w:tcPr>
          <w:p w14:paraId="461E9683" w14:textId="77777777" w:rsidR="00A052DC" w:rsidRDefault="009F0A60">
            <w:pPr>
              <w:rPr>
                <w:rFonts w:ascii="黑体" w:eastAsia="黑体" w:hAnsi="黑体"/>
                <w:sz w:val="20"/>
                <w:szCs w:val="20"/>
              </w:rPr>
            </w:pPr>
            <w:r>
              <w:rPr>
                <w:rFonts w:ascii="黑体" w:eastAsia="黑体" w:hAnsi="黑体" w:hint="eastAsia"/>
                <w:sz w:val="20"/>
                <w:szCs w:val="20"/>
              </w:rPr>
              <w:t>外汇局批件号/备案表号/业务编号</w:t>
            </w:r>
          </w:p>
        </w:tc>
        <w:tc>
          <w:tcPr>
            <w:tcW w:w="1701" w:type="dxa"/>
            <w:tcBorders>
              <w:top w:val="single" w:sz="4" w:space="0" w:color="auto"/>
              <w:left w:val="single" w:sz="4" w:space="0" w:color="auto"/>
              <w:bottom w:val="single" w:sz="4" w:space="0" w:color="auto"/>
              <w:right w:val="single" w:sz="4" w:space="0" w:color="auto"/>
            </w:tcBorders>
          </w:tcPr>
          <w:p w14:paraId="1E80FE14" w14:textId="77777777" w:rsidR="00A052DC" w:rsidRDefault="009F0A60">
            <w:pPr>
              <w:rPr>
                <w:rFonts w:ascii="黑体" w:eastAsia="黑体" w:hAnsi="黑体"/>
                <w:sz w:val="20"/>
                <w:szCs w:val="20"/>
              </w:rPr>
            </w:pPr>
            <w:r>
              <w:rPr>
                <w:rFonts w:ascii="黑体" w:eastAsia="黑体" w:hAnsi="黑体" w:hint="eastAsia"/>
                <w:sz w:val="20"/>
                <w:szCs w:val="20"/>
              </w:rPr>
              <w:t>变长字符型，28</w:t>
            </w:r>
          </w:p>
        </w:tc>
        <w:tc>
          <w:tcPr>
            <w:tcW w:w="3402" w:type="dxa"/>
            <w:tcBorders>
              <w:top w:val="single" w:sz="4" w:space="0" w:color="auto"/>
              <w:left w:val="single" w:sz="4" w:space="0" w:color="auto"/>
              <w:bottom w:val="single" w:sz="4" w:space="0" w:color="auto"/>
              <w:right w:val="single" w:sz="4" w:space="0" w:color="auto"/>
            </w:tcBorders>
          </w:tcPr>
          <w:p w14:paraId="559FFA9D" w14:textId="77777777" w:rsidR="00A052DC" w:rsidRDefault="009F0A60">
            <w:pPr>
              <w:rPr>
                <w:rFonts w:ascii="黑体" w:eastAsia="黑体" w:hAnsi="黑体"/>
                <w:sz w:val="20"/>
                <w:szCs w:val="20"/>
              </w:rPr>
            </w:pPr>
            <w:r>
              <w:rPr>
                <w:rFonts w:ascii="黑体" w:eastAsia="黑体" w:hAnsi="黑体" w:hint="eastAsia"/>
                <w:sz w:val="20"/>
                <w:szCs w:val="20"/>
              </w:rPr>
              <w:t>非必填项。账户性质为资本项目性质账户的，“外汇局批件号/备案表号/业务编号”为必填项，填写规则参见《银行资本项目下数据报送参考规则》；对于《银行资本项目下数据报送参考规则》中未提到的情况，且不需要外汇局核准的（即确实没有对应的‘“外汇局批件号/备案表号/业务编号”），则应填写“N/A”（大写英文字母）。</w:t>
            </w:r>
          </w:p>
        </w:tc>
      </w:tr>
      <w:tr w:rsidR="00A052DC" w14:paraId="30E21712" w14:textId="77777777">
        <w:tc>
          <w:tcPr>
            <w:tcW w:w="1843" w:type="dxa"/>
            <w:tcBorders>
              <w:top w:val="single" w:sz="4" w:space="0" w:color="auto"/>
              <w:left w:val="single" w:sz="4" w:space="0" w:color="auto"/>
              <w:bottom w:val="single" w:sz="4" w:space="0" w:color="auto"/>
              <w:right w:val="single" w:sz="4" w:space="0" w:color="auto"/>
            </w:tcBorders>
          </w:tcPr>
          <w:p w14:paraId="3BB57752" w14:textId="77777777" w:rsidR="00A052DC" w:rsidRDefault="009F0A60">
            <w:pPr>
              <w:rPr>
                <w:rFonts w:ascii="黑体" w:eastAsia="黑体" w:hAnsi="黑体"/>
                <w:sz w:val="20"/>
                <w:szCs w:val="20"/>
              </w:rPr>
            </w:pPr>
            <w:r>
              <w:rPr>
                <w:rFonts w:ascii="黑体" w:eastAsia="黑体" w:hAnsi="黑体"/>
                <w:sz w:val="20"/>
                <w:szCs w:val="20"/>
              </w:rPr>
              <w:t>Limit_type</w:t>
            </w:r>
          </w:p>
        </w:tc>
        <w:tc>
          <w:tcPr>
            <w:tcW w:w="1701" w:type="dxa"/>
            <w:tcBorders>
              <w:top w:val="single" w:sz="4" w:space="0" w:color="auto"/>
              <w:left w:val="single" w:sz="4" w:space="0" w:color="auto"/>
              <w:bottom w:val="single" w:sz="4" w:space="0" w:color="auto"/>
              <w:right w:val="single" w:sz="4" w:space="0" w:color="auto"/>
            </w:tcBorders>
          </w:tcPr>
          <w:p w14:paraId="3BAF5C88" w14:textId="77777777" w:rsidR="00A052DC" w:rsidRDefault="009F0A60">
            <w:pPr>
              <w:rPr>
                <w:rFonts w:ascii="黑体" w:eastAsia="黑体" w:hAnsi="黑体"/>
                <w:sz w:val="20"/>
                <w:szCs w:val="20"/>
              </w:rPr>
            </w:pPr>
            <w:r>
              <w:rPr>
                <w:rFonts w:ascii="黑体" w:eastAsia="黑体" w:hAnsi="黑体" w:hint="eastAsia"/>
                <w:sz w:val="20"/>
                <w:szCs w:val="20"/>
              </w:rPr>
              <w:t>限额类型</w:t>
            </w:r>
          </w:p>
        </w:tc>
        <w:tc>
          <w:tcPr>
            <w:tcW w:w="1701" w:type="dxa"/>
            <w:tcBorders>
              <w:top w:val="single" w:sz="4" w:space="0" w:color="auto"/>
              <w:left w:val="single" w:sz="4" w:space="0" w:color="auto"/>
              <w:bottom w:val="single" w:sz="4" w:space="0" w:color="auto"/>
              <w:right w:val="single" w:sz="4" w:space="0" w:color="auto"/>
            </w:tcBorders>
          </w:tcPr>
          <w:p w14:paraId="517D9BC8" w14:textId="77777777" w:rsidR="00A052DC" w:rsidRDefault="009F0A60">
            <w:pPr>
              <w:rPr>
                <w:rFonts w:ascii="黑体" w:eastAsia="黑体" w:hAnsi="黑体"/>
                <w:sz w:val="20"/>
                <w:szCs w:val="20"/>
              </w:rPr>
            </w:pPr>
            <w:r>
              <w:rPr>
                <w:rFonts w:ascii="黑体" w:eastAsia="黑体" w:hAnsi="黑体" w:hint="eastAsia"/>
                <w:sz w:val="20"/>
                <w:szCs w:val="20"/>
              </w:rPr>
              <w:t>定长字符型，2</w:t>
            </w:r>
          </w:p>
        </w:tc>
        <w:tc>
          <w:tcPr>
            <w:tcW w:w="3402" w:type="dxa"/>
            <w:tcBorders>
              <w:top w:val="single" w:sz="4" w:space="0" w:color="auto"/>
              <w:left w:val="single" w:sz="4" w:space="0" w:color="auto"/>
              <w:bottom w:val="single" w:sz="4" w:space="0" w:color="auto"/>
              <w:right w:val="single" w:sz="4" w:space="0" w:color="auto"/>
            </w:tcBorders>
          </w:tcPr>
          <w:p w14:paraId="5ACE2158" w14:textId="77777777" w:rsidR="00A052DC" w:rsidRDefault="009F0A60">
            <w:pPr>
              <w:rPr>
                <w:rFonts w:ascii="黑体" w:eastAsia="黑体" w:hAnsi="黑体"/>
                <w:sz w:val="20"/>
                <w:szCs w:val="20"/>
              </w:rPr>
            </w:pPr>
            <w:r>
              <w:rPr>
                <w:rFonts w:ascii="黑体" w:eastAsia="黑体" w:hAnsi="黑体" w:hint="eastAsia"/>
                <w:sz w:val="20"/>
                <w:szCs w:val="20"/>
              </w:rPr>
              <w:t>必填项，见账户限额类型代码表。</w:t>
            </w:r>
          </w:p>
        </w:tc>
      </w:tr>
      <w:tr w:rsidR="00A052DC" w14:paraId="0689D146" w14:textId="77777777">
        <w:tc>
          <w:tcPr>
            <w:tcW w:w="1843" w:type="dxa"/>
            <w:tcBorders>
              <w:top w:val="single" w:sz="4" w:space="0" w:color="auto"/>
              <w:left w:val="single" w:sz="4" w:space="0" w:color="auto"/>
              <w:bottom w:val="single" w:sz="4" w:space="0" w:color="auto"/>
              <w:right w:val="single" w:sz="4" w:space="0" w:color="auto"/>
            </w:tcBorders>
          </w:tcPr>
          <w:p w14:paraId="6C9BC8CE" w14:textId="77777777" w:rsidR="00A052DC" w:rsidRDefault="009F0A60">
            <w:pPr>
              <w:rPr>
                <w:rFonts w:ascii="黑体" w:eastAsia="黑体" w:hAnsi="黑体"/>
                <w:sz w:val="20"/>
                <w:szCs w:val="20"/>
              </w:rPr>
            </w:pPr>
            <w:r>
              <w:rPr>
                <w:rFonts w:ascii="黑体" w:eastAsia="黑体" w:hAnsi="黑体"/>
                <w:sz w:val="20"/>
                <w:szCs w:val="20"/>
              </w:rPr>
              <w:t>Account_limit</w:t>
            </w:r>
          </w:p>
        </w:tc>
        <w:tc>
          <w:tcPr>
            <w:tcW w:w="1701" w:type="dxa"/>
            <w:tcBorders>
              <w:top w:val="single" w:sz="4" w:space="0" w:color="auto"/>
              <w:left w:val="single" w:sz="4" w:space="0" w:color="auto"/>
              <w:bottom w:val="single" w:sz="4" w:space="0" w:color="auto"/>
              <w:right w:val="single" w:sz="4" w:space="0" w:color="auto"/>
            </w:tcBorders>
          </w:tcPr>
          <w:p w14:paraId="2F737AAD" w14:textId="77777777" w:rsidR="00A052DC" w:rsidRDefault="009F0A60">
            <w:pPr>
              <w:rPr>
                <w:rFonts w:ascii="黑体" w:eastAsia="黑体" w:hAnsi="黑体"/>
                <w:sz w:val="20"/>
                <w:szCs w:val="20"/>
              </w:rPr>
            </w:pPr>
            <w:r>
              <w:rPr>
                <w:rFonts w:ascii="黑体" w:eastAsia="黑体" w:hAnsi="黑体" w:hint="eastAsia"/>
                <w:sz w:val="20"/>
                <w:szCs w:val="20"/>
              </w:rPr>
              <w:t>账户限额</w:t>
            </w:r>
          </w:p>
        </w:tc>
        <w:tc>
          <w:tcPr>
            <w:tcW w:w="1701" w:type="dxa"/>
            <w:tcBorders>
              <w:top w:val="single" w:sz="4" w:space="0" w:color="auto"/>
              <w:left w:val="single" w:sz="4" w:space="0" w:color="auto"/>
              <w:bottom w:val="single" w:sz="4" w:space="0" w:color="auto"/>
              <w:right w:val="single" w:sz="4" w:space="0" w:color="auto"/>
            </w:tcBorders>
          </w:tcPr>
          <w:p w14:paraId="7C3611CA" w14:textId="77777777" w:rsidR="00A052DC" w:rsidRDefault="009F0A60">
            <w:pPr>
              <w:rPr>
                <w:rFonts w:ascii="黑体" w:eastAsia="黑体" w:hAnsi="黑体"/>
                <w:sz w:val="20"/>
                <w:szCs w:val="20"/>
              </w:rPr>
            </w:pPr>
            <w:r>
              <w:rPr>
                <w:rFonts w:ascii="黑体" w:eastAsia="黑体" w:hAnsi="黑体" w:hint="eastAsia"/>
                <w:sz w:val="20"/>
                <w:szCs w:val="20"/>
              </w:rPr>
              <w:t>变长数值型，22.2</w:t>
            </w:r>
          </w:p>
        </w:tc>
        <w:tc>
          <w:tcPr>
            <w:tcW w:w="3402" w:type="dxa"/>
            <w:tcBorders>
              <w:top w:val="single" w:sz="4" w:space="0" w:color="auto"/>
              <w:left w:val="single" w:sz="4" w:space="0" w:color="auto"/>
              <w:bottom w:val="single" w:sz="4" w:space="0" w:color="auto"/>
              <w:right w:val="single" w:sz="4" w:space="0" w:color="auto"/>
            </w:tcBorders>
          </w:tcPr>
          <w:p w14:paraId="41557582" w14:textId="77777777" w:rsidR="00A052DC" w:rsidRDefault="009F0A60">
            <w:pPr>
              <w:rPr>
                <w:rFonts w:ascii="黑体" w:eastAsia="黑体" w:hAnsi="黑体"/>
                <w:sz w:val="20"/>
                <w:szCs w:val="20"/>
              </w:rPr>
            </w:pPr>
            <w:r>
              <w:rPr>
                <w:rFonts w:ascii="黑体" w:eastAsia="黑体" w:hAnsi="黑体" w:hint="eastAsia"/>
                <w:sz w:val="20"/>
                <w:szCs w:val="20"/>
              </w:rPr>
              <w:t>非必填项。如果“限额类型”选择“12”或“13”，则必填。</w:t>
            </w:r>
          </w:p>
        </w:tc>
      </w:tr>
      <w:tr w:rsidR="00A052DC" w14:paraId="496F4E9F" w14:textId="77777777">
        <w:tc>
          <w:tcPr>
            <w:tcW w:w="1843" w:type="dxa"/>
            <w:tcBorders>
              <w:top w:val="single" w:sz="4" w:space="0" w:color="auto"/>
              <w:left w:val="single" w:sz="4" w:space="0" w:color="auto"/>
              <w:bottom w:val="single" w:sz="4" w:space="0" w:color="auto"/>
              <w:right w:val="single" w:sz="4" w:space="0" w:color="auto"/>
            </w:tcBorders>
          </w:tcPr>
          <w:p w14:paraId="702E241F" w14:textId="77777777" w:rsidR="00A052DC" w:rsidRDefault="009F0A60">
            <w:pPr>
              <w:rPr>
                <w:rFonts w:ascii="黑体" w:eastAsia="黑体" w:hAnsi="黑体"/>
                <w:sz w:val="20"/>
                <w:szCs w:val="20"/>
              </w:rPr>
            </w:pPr>
            <w:r>
              <w:rPr>
                <w:rFonts w:ascii="黑体" w:eastAsia="黑体" w:hAnsi="黑体"/>
                <w:sz w:val="20"/>
                <w:szCs w:val="20"/>
              </w:rPr>
              <w:t>REMARK</w:t>
            </w:r>
          </w:p>
        </w:tc>
        <w:tc>
          <w:tcPr>
            <w:tcW w:w="1701" w:type="dxa"/>
            <w:tcBorders>
              <w:top w:val="single" w:sz="4" w:space="0" w:color="auto"/>
              <w:left w:val="single" w:sz="4" w:space="0" w:color="auto"/>
              <w:bottom w:val="single" w:sz="4" w:space="0" w:color="auto"/>
              <w:right w:val="single" w:sz="4" w:space="0" w:color="auto"/>
            </w:tcBorders>
          </w:tcPr>
          <w:p w14:paraId="352CB438" w14:textId="77777777" w:rsidR="00A052DC" w:rsidRDefault="009F0A60">
            <w:pPr>
              <w:rPr>
                <w:rFonts w:ascii="黑体" w:eastAsia="黑体" w:hAnsi="黑体"/>
                <w:sz w:val="20"/>
                <w:szCs w:val="20"/>
              </w:rPr>
            </w:pPr>
            <w:r>
              <w:rPr>
                <w:rFonts w:ascii="黑体" w:eastAsia="黑体" w:hAnsi="黑体" w:hint="eastAsia"/>
                <w:sz w:val="20"/>
                <w:szCs w:val="20"/>
              </w:rPr>
              <w:t>备注</w:t>
            </w:r>
          </w:p>
        </w:tc>
        <w:tc>
          <w:tcPr>
            <w:tcW w:w="1701" w:type="dxa"/>
            <w:tcBorders>
              <w:top w:val="single" w:sz="4" w:space="0" w:color="auto"/>
              <w:left w:val="single" w:sz="4" w:space="0" w:color="auto"/>
              <w:bottom w:val="single" w:sz="4" w:space="0" w:color="auto"/>
              <w:right w:val="single" w:sz="4" w:space="0" w:color="auto"/>
            </w:tcBorders>
          </w:tcPr>
          <w:p w14:paraId="0F0AA509" w14:textId="77777777" w:rsidR="00A052DC" w:rsidRDefault="009F0A60">
            <w:pPr>
              <w:rPr>
                <w:rFonts w:ascii="黑体" w:eastAsia="黑体" w:hAnsi="黑体"/>
                <w:sz w:val="20"/>
                <w:szCs w:val="20"/>
              </w:rPr>
            </w:pPr>
            <w:r>
              <w:rPr>
                <w:rFonts w:ascii="黑体" w:eastAsia="黑体" w:hAnsi="黑体" w:hint="eastAsia"/>
                <w:sz w:val="20"/>
                <w:szCs w:val="20"/>
              </w:rPr>
              <w:t>变长字符型，256</w:t>
            </w:r>
          </w:p>
        </w:tc>
        <w:tc>
          <w:tcPr>
            <w:tcW w:w="3402" w:type="dxa"/>
            <w:tcBorders>
              <w:top w:val="single" w:sz="4" w:space="0" w:color="auto"/>
              <w:left w:val="single" w:sz="4" w:space="0" w:color="auto"/>
              <w:bottom w:val="single" w:sz="4" w:space="0" w:color="auto"/>
              <w:right w:val="single" w:sz="4" w:space="0" w:color="auto"/>
            </w:tcBorders>
          </w:tcPr>
          <w:p w14:paraId="2669F1D5" w14:textId="77777777" w:rsidR="00A052DC" w:rsidRDefault="009F0A60">
            <w:pPr>
              <w:rPr>
                <w:rFonts w:ascii="黑体" w:eastAsia="黑体" w:hAnsi="黑体"/>
                <w:sz w:val="20"/>
                <w:szCs w:val="20"/>
              </w:rPr>
            </w:pPr>
            <w:r>
              <w:rPr>
                <w:rFonts w:ascii="黑体" w:eastAsia="黑体" w:hAnsi="黑体" w:hint="eastAsia"/>
                <w:sz w:val="20"/>
                <w:szCs w:val="20"/>
              </w:rPr>
              <w:t>非必填项。</w:t>
            </w:r>
          </w:p>
        </w:tc>
      </w:tr>
    </w:tbl>
    <w:p w14:paraId="4E280639" w14:textId="77777777" w:rsidR="00A052DC" w:rsidRDefault="009F0A60">
      <w:r>
        <w:rPr>
          <w:rFonts w:hint="eastAsia"/>
        </w:rPr>
        <w:t>主键为：</w:t>
      </w:r>
      <w:r>
        <w:t>BRANCH_CODE,ACCOUNTNO,CURRENCY_CODE</w:t>
      </w:r>
    </w:p>
    <w:p w14:paraId="70839817" w14:textId="77777777" w:rsidR="00A052DC" w:rsidRDefault="009F0A60" w:rsidP="0020251D">
      <w:pPr>
        <w:pStyle w:val="3"/>
        <w:ind w:left="0"/>
        <w:rPr>
          <w:rFonts w:ascii="Times New Roman" w:hAnsi="Times New Roman"/>
        </w:rPr>
      </w:pPr>
      <w:bookmarkStart w:id="1330" w:name="_Toc326841491"/>
      <w:bookmarkStart w:id="1331" w:name="_Toc91455282"/>
      <w:bookmarkStart w:id="1332" w:name="_Toc380356253"/>
      <w:bookmarkStart w:id="1333" w:name="_Toc454386825"/>
      <w:bookmarkStart w:id="1334" w:name="_Toc101684455"/>
      <w:r>
        <w:rPr>
          <w:rFonts w:ascii="Times New Roman" w:hAnsi="Times New Roman" w:hint="eastAsia"/>
        </w:rPr>
        <w:t>账户收支余信息</w:t>
      </w:r>
      <w:bookmarkEnd w:id="1330"/>
      <w:bookmarkEnd w:id="1331"/>
      <w:bookmarkEnd w:id="1332"/>
      <w:bookmarkEnd w:id="1333"/>
      <w:bookmarkEnd w:id="1334"/>
    </w:p>
    <w:p w14:paraId="036E8CF7" w14:textId="77777777" w:rsidR="00A052DC" w:rsidRDefault="009F0A60" w:rsidP="0020251D">
      <w:pPr>
        <w:pStyle w:val="4"/>
        <w:numPr>
          <w:ilvl w:val="3"/>
          <w:numId w:val="1"/>
        </w:numPr>
        <w:jc w:val="left"/>
      </w:pPr>
      <w:bookmarkStart w:id="1335" w:name="_Toc326841492"/>
      <w:bookmarkStart w:id="1336" w:name="_Toc454386826"/>
      <w:r>
        <w:rPr>
          <w:rFonts w:hint="eastAsia"/>
        </w:rPr>
        <w:t>数据术语解释</w:t>
      </w:r>
      <w:bookmarkEnd w:id="1335"/>
      <w:bookmarkEnd w:id="1336"/>
    </w:p>
    <w:tbl>
      <w:tblPr>
        <w:tblW w:w="84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809"/>
        <w:gridCol w:w="6663"/>
      </w:tblGrid>
      <w:tr w:rsidR="00A052DC" w14:paraId="0DB3884E" w14:textId="77777777">
        <w:tc>
          <w:tcPr>
            <w:tcW w:w="1809" w:type="dxa"/>
          </w:tcPr>
          <w:p w14:paraId="432294B4" w14:textId="77777777" w:rsidR="00A052DC" w:rsidRDefault="009F0A60">
            <w:pPr>
              <w:jc w:val="center"/>
              <w:rPr>
                <w:rFonts w:ascii="黑体" w:eastAsia="黑体" w:hAnsi="黑体"/>
                <w:b/>
                <w:sz w:val="20"/>
                <w:szCs w:val="20"/>
              </w:rPr>
            </w:pPr>
            <w:r>
              <w:rPr>
                <w:rFonts w:ascii="黑体" w:eastAsia="黑体" w:hAnsi="黑体" w:hint="eastAsia"/>
                <w:b/>
                <w:sz w:val="20"/>
                <w:szCs w:val="20"/>
              </w:rPr>
              <w:t>基础数据项</w:t>
            </w:r>
          </w:p>
        </w:tc>
        <w:tc>
          <w:tcPr>
            <w:tcW w:w="6663" w:type="dxa"/>
          </w:tcPr>
          <w:p w14:paraId="20AFA757" w14:textId="77777777" w:rsidR="00A052DC" w:rsidRDefault="009F0A60">
            <w:pPr>
              <w:jc w:val="center"/>
              <w:rPr>
                <w:rFonts w:ascii="黑体" w:eastAsia="黑体" w:hAnsi="黑体"/>
                <w:b/>
                <w:sz w:val="20"/>
                <w:szCs w:val="20"/>
              </w:rPr>
            </w:pPr>
            <w:r>
              <w:rPr>
                <w:rFonts w:ascii="黑体" w:eastAsia="黑体" w:hAnsi="黑体" w:hint="eastAsia"/>
                <w:b/>
                <w:sz w:val="20"/>
                <w:szCs w:val="20"/>
              </w:rPr>
              <w:t>定义</w:t>
            </w:r>
          </w:p>
        </w:tc>
      </w:tr>
      <w:tr w:rsidR="00A052DC" w14:paraId="137C6334" w14:textId="77777777">
        <w:tc>
          <w:tcPr>
            <w:tcW w:w="1809" w:type="dxa"/>
          </w:tcPr>
          <w:p w14:paraId="3B80C7B1" w14:textId="77777777" w:rsidR="00A052DC" w:rsidRDefault="009F0A60">
            <w:pPr>
              <w:rPr>
                <w:rFonts w:ascii="黑体" w:eastAsia="黑体" w:hAnsi="黑体"/>
                <w:sz w:val="20"/>
                <w:szCs w:val="20"/>
              </w:rPr>
            </w:pPr>
            <w:r>
              <w:rPr>
                <w:rFonts w:ascii="黑体" w:eastAsia="黑体" w:hAnsi="黑体" w:hint="eastAsia"/>
                <w:sz w:val="20"/>
                <w:szCs w:val="20"/>
              </w:rPr>
              <w:t>金融机构标识码</w:t>
            </w:r>
          </w:p>
        </w:tc>
        <w:tc>
          <w:tcPr>
            <w:tcW w:w="6663" w:type="dxa"/>
          </w:tcPr>
          <w:p w14:paraId="5679A359" w14:textId="77777777" w:rsidR="00A052DC" w:rsidRDefault="009F0A60">
            <w:pPr>
              <w:rPr>
                <w:rFonts w:ascii="黑体" w:eastAsia="黑体" w:hAnsi="黑体"/>
                <w:sz w:val="20"/>
                <w:szCs w:val="20"/>
              </w:rPr>
            </w:pPr>
            <w:r>
              <w:rPr>
                <w:rFonts w:ascii="黑体" w:eastAsia="黑体" w:hAnsi="黑体" w:hint="eastAsia"/>
                <w:sz w:val="20"/>
                <w:szCs w:val="20"/>
              </w:rPr>
              <w:t>国家外汇管理局及其分支局签发的12位金融机构标识码编码。</w:t>
            </w:r>
          </w:p>
        </w:tc>
      </w:tr>
      <w:tr w:rsidR="00A052DC" w14:paraId="52AD04B6" w14:textId="77777777">
        <w:tc>
          <w:tcPr>
            <w:tcW w:w="1809" w:type="dxa"/>
          </w:tcPr>
          <w:p w14:paraId="25F67B83" w14:textId="77777777" w:rsidR="00A052DC" w:rsidRDefault="009F0A60">
            <w:pPr>
              <w:rPr>
                <w:rFonts w:ascii="黑体" w:eastAsia="黑体" w:hAnsi="黑体"/>
                <w:sz w:val="20"/>
                <w:szCs w:val="20"/>
              </w:rPr>
            </w:pPr>
            <w:r>
              <w:rPr>
                <w:rFonts w:ascii="黑体" w:eastAsia="黑体" w:hAnsi="黑体" w:hint="eastAsia"/>
                <w:sz w:val="20"/>
                <w:szCs w:val="20"/>
              </w:rPr>
              <w:t>账号</w:t>
            </w:r>
          </w:p>
        </w:tc>
        <w:tc>
          <w:tcPr>
            <w:tcW w:w="6663" w:type="dxa"/>
          </w:tcPr>
          <w:p w14:paraId="7BED1E36" w14:textId="77777777" w:rsidR="00A052DC" w:rsidRDefault="009F0A60">
            <w:pPr>
              <w:rPr>
                <w:rFonts w:ascii="黑体" w:eastAsia="黑体" w:hAnsi="黑体"/>
                <w:sz w:val="20"/>
                <w:szCs w:val="20"/>
              </w:rPr>
            </w:pPr>
            <w:r>
              <w:rPr>
                <w:rFonts w:ascii="黑体" w:eastAsia="黑体" w:hAnsi="黑体" w:hint="eastAsia"/>
                <w:sz w:val="20"/>
                <w:szCs w:val="20"/>
              </w:rPr>
              <w:t>账户账号。</w:t>
            </w:r>
          </w:p>
        </w:tc>
      </w:tr>
      <w:tr w:rsidR="00A052DC" w14:paraId="43A37D3F" w14:textId="77777777">
        <w:tc>
          <w:tcPr>
            <w:tcW w:w="1809" w:type="dxa"/>
          </w:tcPr>
          <w:p w14:paraId="529AA723" w14:textId="77777777" w:rsidR="00A052DC" w:rsidRDefault="009F0A60">
            <w:pPr>
              <w:rPr>
                <w:rFonts w:ascii="黑体" w:eastAsia="黑体" w:hAnsi="黑体"/>
                <w:sz w:val="20"/>
                <w:szCs w:val="20"/>
              </w:rPr>
            </w:pPr>
            <w:r>
              <w:rPr>
                <w:rFonts w:ascii="黑体" w:eastAsia="黑体" w:hAnsi="黑体" w:hint="eastAsia"/>
                <w:sz w:val="20"/>
                <w:szCs w:val="20"/>
              </w:rPr>
              <w:t>发生日期</w:t>
            </w:r>
          </w:p>
        </w:tc>
        <w:tc>
          <w:tcPr>
            <w:tcW w:w="6663" w:type="dxa"/>
          </w:tcPr>
          <w:p w14:paraId="120ACE92" w14:textId="77777777" w:rsidR="00A052DC" w:rsidRDefault="009F0A60">
            <w:pPr>
              <w:rPr>
                <w:rFonts w:ascii="黑体" w:eastAsia="黑体" w:hAnsi="黑体"/>
                <w:sz w:val="20"/>
                <w:szCs w:val="20"/>
              </w:rPr>
            </w:pPr>
            <w:r>
              <w:rPr>
                <w:rFonts w:ascii="黑体" w:eastAsia="黑体" w:hAnsi="黑体" w:hint="eastAsia"/>
                <w:sz w:val="20"/>
                <w:szCs w:val="20"/>
              </w:rPr>
              <w:t>账户收支余发生变动日期。</w:t>
            </w:r>
          </w:p>
        </w:tc>
      </w:tr>
      <w:tr w:rsidR="00A052DC" w14:paraId="06E7C2F3" w14:textId="77777777">
        <w:tc>
          <w:tcPr>
            <w:tcW w:w="1809" w:type="dxa"/>
          </w:tcPr>
          <w:p w14:paraId="7208BB4A" w14:textId="77777777" w:rsidR="00A052DC" w:rsidRDefault="009F0A60">
            <w:pPr>
              <w:rPr>
                <w:rFonts w:ascii="黑体" w:eastAsia="黑体" w:hAnsi="黑体"/>
                <w:sz w:val="20"/>
                <w:szCs w:val="20"/>
              </w:rPr>
            </w:pPr>
            <w:r>
              <w:rPr>
                <w:rFonts w:ascii="黑体" w:eastAsia="黑体" w:hAnsi="黑体" w:hint="eastAsia"/>
                <w:sz w:val="20"/>
                <w:szCs w:val="20"/>
              </w:rPr>
              <w:t>币种</w:t>
            </w:r>
          </w:p>
        </w:tc>
        <w:tc>
          <w:tcPr>
            <w:tcW w:w="6663" w:type="dxa"/>
          </w:tcPr>
          <w:p w14:paraId="54060B2E" w14:textId="77777777" w:rsidR="00A052DC" w:rsidRDefault="009F0A60">
            <w:pPr>
              <w:rPr>
                <w:rFonts w:ascii="黑体" w:eastAsia="黑体" w:hAnsi="黑体"/>
                <w:sz w:val="20"/>
                <w:szCs w:val="20"/>
              </w:rPr>
            </w:pPr>
            <w:r>
              <w:rPr>
                <w:rFonts w:ascii="黑体" w:eastAsia="黑体" w:hAnsi="黑体" w:hint="eastAsia"/>
                <w:sz w:val="20"/>
                <w:szCs w:val="20"/>
              </w:rPr>
              <w:t>币种代码，见币种代码表。</w:t>
            </w:r>
          </w:p>
        </w:tc>
      </w:tr>
      <w:tr w:rsidR="00A052DC" w14:paraId="4977A5F4" w14:textId="77777777">
        <w:tc>
          <w:tcPr>
            <w:tcW w:w="1809" w:type="dxa"/>
          </w:tcPr>
          <w:p w14:paraId="042E9296" w14:textId="77777777" w:rsidR="00A052DC" w:rsidRDefault="009F0A60">
            <w:pPr>
              <w:rPr>
                <w:rFonts w:ascii="黑体" w:eastAsia="黑体" w:hAnsi="黑体"/>
                <w:sz w:val="20"/>
                <w:szCs w:val="20"/>
              </w:rPr>
            </w:pPr>
            <w:r>
              <w:rPr>
                <w:rFonts w:ascii="黑体" w:eastAsia="黑体" w:hAnsi="黑体" w:hint="eastAsia"/>
                <w:sz w:val="20"/>
                <w:szCs w:val="20"/>
              </w:rPr>
              <w:t>当日贷方发生额</w:t>
            </w:r>
          </w:p>
        </w:tc>
        <w:tc>
          <w:tcPr>
            <w:tcW w:w="6663" w:type="dxa"/>
          </w:tcPr>
          <w:p w14:paraId="09BA41B6" w14:textId="77777777" w:rsidR="00A052DC" w:rsidRDefault="009F0A60">
            <w:pPr>
              <w:rPr>
                <w:rFonts w:ascii="黑体" w:eastAsia="黑体" w:hAnsi="黑体"/>
                <w:sz w:val="20"/>
                <w:szCs w:val="20"/>
              </w:rPr>
            </w:pPr>
            <w:r>
              <w:rPr>
                <w:rFonts w:ascii="黑体" w:eastAsia="黑体" w:hAnsi="黑体" w:hint="eastAsia"/>
                <w:sz w:val="20"/>
                <w:szCs w:val="20"/>
              </w:rPr>
              <w:t>当日账户累计贷方发生额。</w:t>
            </w:r>
          </w:p>
        </w:tc>
      </w:tr>
      <w:tr w:rsidR="00A052DC" w14:paraId="168E2624" w14:textId="77777777">
        <w:tc>
          <w:tcPr>
            <w:tcW w:w="1809" w:type="dxa"/>
          </w:tcPr>
          <w:p w14:paraId="0E265C62" w14:textId="77777777" w:rsidR="00A052DC" w:rsidRDefault="009F0A60">
            <w:pPr>
              <w:rPr>
                <w:rFonts w:ascii="黑体" w:eastAsia="黑体" w:hAnsi="黑体"/>
                <w:sz w:val="20"/>
                <w:szCs w:val="20"/>
              </w:rPr>
            </w:pPr>
            <w:r>
              <w:rPr>
                <w:rFonts w:ascii="黑体" w:eastAsia="黑体" w:hAnsi="黑体" w:hint="eastAsia"/>
                <w:sz w:val="20"/>
                <w:szCs w:val="20"/>
              </w:rPr>
              <w:t>当日借方发生额</w:t>
            </w:r>
          </w:p>
        </w:tc>
        <w:tc>
          <w:tcPr>
            <w:tcW w:w="6663" w:type="dxa"/>
          </w:tcPr>
          <w:p w14:paraId="70B2CDCD" w14:textId="77777777" w:rsidR="00A052DC" w:rsidRDefault="009F0A60">
            <w:pPr>
              <w:rPr>
                <w:rFonts w:ascii="黑体" w:eastAsia="黑体" w:hAnsi="黑体"/>
                <w:sz w:val="20"/>
                <w:szCs w:val="20"/>
              </w:rPr>
            </w:pPr>
            <w:r>
              <w:rPr>
                <w:rFonts w:ascii="黑体" w:eastAsia="黑体" w:hAnsi="黑体" w:hint="eastAsia"/>
                <w:sz w:val="20"/>
                <w:szCs w:val="20"/>
              </w:rPr>
              <w:t>当日账户累计借方发生额。</w:t>
            </w:r>
          </w:p>
        </w:tc>
      </w:tr>
      <w:tr w:rsidR="00A052DC" w14:paraId="5DB886A4" w14:textId="77777777">
        <w:tc>
          <w:tcPr>
            <w:tcW w:w="1809" w:type="dxa"/>
          </w:tcPr>
          <w:p w14:paraId="6659DF82" w14:textId="77777777" w:rsidR="00A052DC" w:rsidRDefault="009F0A60">
            <w:pPr>
              <w:rPr>
                <w:rFonts w:ascii="黑体" w:eastAsia="黑体" w:hAnsi="黑体"/>
                <w:sz w:val="20"/>
                <w:szCs w:val="20"/>
              </w:rPr>
            </w:pPr>
            <w:r>
              <w:rPr>
                <w:rFonts w:ascii="黑体" w:eastAsia="黑体" w:hAnsi="黑体" w:hint="eastAsia"/>
                <w:sz w:val="20"/>
                <w:szCs w:val="20"/>
              </w:rPr>
              <w:t>账户余额</w:t>
            </w:r>
          </w:p>
        </w:tc>
        <w:tc>
          <w:tcPr>
            <w:tcW w:w="6663" w:type="dxa"/>
          </w:tcPr>
          <w:p w14:paraId="20E0736B" w14:textId="77777777" w:rsidR="00A052DC" w:rsidRDefault="009F0A60">
            <w:pPr>
              <w:rPr>
                <w:rFonts w:ascii="黑体" w:eastAsia="黑体" w:hAnsi="黑体"/>
                <w:sz w:val="20"/>
                <w:szCs w:val="20"/>
              </w:rPr>
            </w:pPr>
            <w:r>
              <w:rPr>
                <w:rFonts w:ascii="黑体" w:eastAsia="黑体" w:hAnsi="黑体" w:hint="eastAsia"/>
                <w:sz w:val="20"/>
                <w:szCs w:val="20"/>
              </w:rPr>
              <w:t>账户余额。</w:t>
            </w:r>
          </w:p>
        </w:tc>
      </w:tr>
      <w:tr w:rsidR="00A052DC" w14:paraId="50DE1D42" w14:textId="77777777">
        <w:tc>
          <w:tcPr>
            <w:tcW w:w="1809" w:type="dxa"/>
            <w:tcBorders>
              <w:top w:val="single" w:sz="6" w:space="0" w:color="auto"/>
              <w:left w:val="single" w:sz="6" w:space="0" w:color="auto"/>
              <w:bottom w:val="single" w:sz="6" w:space="0" w:color="auto"/>
              <w:right w:val="single" w:sz="6" w:space="0" w:color="auto"/>
            </w:tcBorders>
          </w:tcPr>
          <w:p w14:paraId="0B123951" w14:textId="77777777" w:rsidR="00A052DC" w:rsidRDefault="009F0A60">
            <w:pPr>
              <w:rPr>
                <w:rFonts w:ascii="黑体" w:eastAsia="黑体" w:hAnsi="黑体"/>
                <w:sz w:val="20"/>
                <w:szCs w:val="20"/>
              </w:rPr>
            </w:pPr>
            <w:r>
              <w:rPr>
                <w:rFonts w:ascii="黑体" w:eastAsia="黑体" w:hAnsi="黑体" w:hint="eastAsia"/>
                <w:sz w:val="20"/>
                <w:szCs w:val="20"/>
              </w:rPr>
              <w:t>备注</w:t>
            </w:r>
          </w:p>
        </w:tc>
        <w:tc>
          <w:tcPr>
            <w:tcW w:w="6663" w:type="dxa"/>
            <w:tcBorders>
              <w:top w:val="single" w:sz="6" w:space="0" w:color="auto"/>
              <w:left w:val="single" w:sz="6" w:space="0" w:color="auto"/>
              <w:bottom w:val="single" w:sz="6" w:space="0" w:color="auto"/>
              <w:right w:val="single" w:sz="6" w:space="0" w:color="auto"/>
            </w:tcBorders>
          </w:tcPr>
          <w:p w14:paraId="552D95F1" w14:textId="77777777" w:rsidR="00A052DC" w:rsidRDefault="009F0A60">
            <w:pPr>
              <w:rPr>
                <w:rFonts w:ascii="黑体" w:eastAsia="黑体" w:hAnsi="黑体"/>
                <w:sz w:val="20"/>
                <w:szCs w:val="20"/>
              </w:rPr>
            </w:pPr>
            <w:r>
              <w:rPr>
                <w:rFonts w:ascii="黑体" w:eastAsia="黑体" w:hAnsi="黑体" w:hint="eastAsia"/>
                <w:sz w:val="20"/>
                <w:szCs w:val="20"/>
              </w:rPr>
              <w:t>需要说明的备注事项。</w:t>
            </w:r>
          </w:p>
        </w:tc>
      </w:tr>
    </w:tbl>
    <w:p w14:paraId="74155D97" w14:textId="77777777" w:rsidR="00A052DC" w:rsidRDefault="009F0A60">
      <w:pPr>
        <w:pStyle w:val="4"/>
        <w:numPr>
          <w:ilvl w:val="3"/>
          <w:numId w:val="1"/>
        </w:numPr>
        <w:jc w:val="left"/>
      </w:pPr>
      <w:bookmarkStart w:id="1337" w:name="_Toc454386827"/>
      <w:bookmarkStart w:id="1338" w:name="_Toc326841493"/>
      <w:bookmarkStart w:id="1339" w:name="_Toc454386828"/>
      <w:bookmarkEnd w:id="1337"/>
      <w:r>
        <w:rPr>
          <w:rFonts w:hint="eastAsia"/>
        </w:rPr>
        <w:t>数据格式</w:t>
      </w:r>
      <w:bookmarkEnd w:id="1338"/>
      <w:bookmarkEnd w:id="1339"/>
    </w:p>
    <w:p w14:paraId="72B46A48" w14:textId="77777777" w:rsidR="00A052DC" w:rsidRDefault="009F0A60">
      <w:r>
        <w:t>&lt;REC&gt;</w:t>
      </w:r>
    </w:p>
    <w:p w14:paraId="0E5E32E3" w14:textId="77777777" w:rsidR="00A052DC" w:rsidRDefault="009F0A60">
      <w:r>
        <w:t>&lt;ACTIONTYPE&gt;</w:t>
      </w:r>
      <w:r>
        <w:rPr>
          <w:rFonts w:hint="eastAsia"/>
        </w:rPr>
        <w:t>操作类型</w:t>
      </w:r>
      <w:r>
        <w:t>&lt;/ACTIONTYPE&gt;</w:t>
      </w:r>
    </w:p>
    <w:p w14:paraId="4ED2E324" w14:textId="77777777" w:rsidR="00A052DC" w:rsidRDefault="009F0A60">
      <w:r>
        <w:t>&lt;ACTIONDESC&gt;</w:t>
      </w:r>
      <w:r>
        <w:rPr>
          <w:rFonts w:hint="eastAsia"/>
        </w:rPr>
        <w:t>删除原因</w:t>
      </w:r>
      <w:r>
        <w:t>&lt;/ACTIONDESC&gt;</w:t>
      </w:r>
    </w:p>
    <w:p w14:paraId="0B60AA28" w14:textId="77777777" w:rsidR="00A052DC" w:rsidRDefault="009F0A60">
      <w:r>
        <w:t>&lt;BRANCH_CODE&gt;</w:t>
      </w:r>
      <w:r>
        <w:rPr>
          <w:rFonts w:hint="eastAsia"/>
        </w:rPr>
        <w:t>金融机构机构标识码</w:t>
      </w:r>
      <w:r>
        <w:t>&lt;/BRANCH_CODE&gt;</w:t>
      </w:r>
    </w:p>
    <w:p w14:paraId="166C7E5A" w14:textId="77777777" w:rsidR="00A052DC" w:rsidRDefault="009F0A60">
      <w:r>
        <w:t>&lt;</w:t>
      </w:r>
      <w:bookmarkStart w:id="1340" w:name="OLE_LINK2"/>
      <w:bookmarkStart w:id="1341" w:name="OLE_LINK1"/>
      <w:r>
        <w:t>accountNO</w:t>
      </w:r>
      <w:bookmarkEnd w:id="1340"/>
      <w:bookmarkEnd w:id="1341"/>
      <w:r>
        <w:t>&gt;</w:t>
      </w:r>
      <w:r>
        <w:rPr>
          <w:rFonts w:hint="eastAsia"/>
        </w:rPr>
        <w:t>账号</w:t>
      </w:r>
      <w:r>
        <w:t>&lt;/accountNO&gt;</w:t>
      </w:r>
    </w:p>
    <w:p w14:paraId="5B37F08D" w14:textId="77777777" w:rsidR="00A052DC" w:rsidRDefault="009F0A60">
      <w:r>
        <w:t>&lt;DEAL_DATE&gt;</w:t>
      </w:r>
      <w:r>
        <w:rPr>
          <w:rFonts w:hint="eastAsia"/>
        </w:rPr>
        <w:t>发生日期</w:t>
      </w:r>
      <w:r>
        <w:t>&lt;/DEAL_DATE&gt;</w:t>
      </w:r>
    </w:p>
    <w:p w14:paraId="0C14315C" w14:textId="77777777" w:rsidR="00A052DC" w:rsidRDefault="009F0A60">
      <w:r>
        <w:t>&lt;CURRENCY_code&gt;</w:t>
      </w:r>
      <w:r>
        <w:rPr>
          <w:rFonts w:hint="eastAsia"/>
        </w:rPr>
        <w:t>币种</w:t>
      </w:r>
      <w:r>
        <w:t>&lt;/CURRENCY_code&gt;</w:t>
      </w:r>
    </w:p>
    <w:p w14:paraId="7DB64B9E" w14:textId="77777777" w:rsidR="00A052DC" w:rsidRDefault="009F0A60">
      <w:r>
        <w:t>&lt;CREDIT&gt;</w:t>
      </w:r>
      <w:r>
        <w:rPr>
          <w:rFonts w:hint="eastAsia"/>
        </w:rPr>
        <w:t>当日贷方发生额</w:t>
      </w:r>
      <w:r>
        <w:t>&lt;/CREDIT&gt;</w:t>
      </w:r>
    </w:p>
    <w:p w14:paraId="557FEB40" w14:textId="77777777" w:rsidR="00A052DC" w:rsidRDefault="009F0A60">
      <w:r>
        <w:t>&lt;DEBIT&gt;</w:t>
      </w:r>
      <w:r>
        <w:rPr>
          <w:rFonts w:hint="eastAsia"/>
        </w:rPr>
        <w:t>当日借方发生额</w:t>
      </w:r>
      <w:r>
        <w:t>&lt;/DEBIT&gt;</w:t>
      </w:r>
    </w:p>
    <w:p w14:paraId="2770E406" w14:textId="77777777" w:rsidR="00A052DC" w:rsidRDefault="009F0A60">
      <w:r>
        <w:t>&lt;BALANCE&gt;</w:t>
      </w:r>
      <w:r>
        <w:rPr>
          <w:rFonts w:hint="eastAsia"/>
        </w:rPr>
        <w:t>账户余额</w:t>
      </w:r>
      <w:r>
        <w:t>&lt;/BALANCE&gt;</w:t>
      </w:r>
    </w:p>
    <w:p w14:paraId="30E871A1" w14:textId="77777777" w:rsidR="00A052DC" w:rsidRDefault="009F0A60">
      <w:r>
        <w:t>&lt;REMARK&gt;</w:t>
      </w:r>
      <w:r>
        <w:rPr>
          <w:rFonts w:hint="eastAsia"/>
        </w:rPr>
        <w:t>备注</w:t>
      </w:r>
      <w:r>
        <w:t>&lt;/REMARK&gt;</w:t>
      </w:r>
    </w:p>
    <w:p w14:paraId="605BF0D9" w14:textId="77777777" w:rsidR="00A052DC" w:rsidRDefault="009F0A60">
      <w:r>
        <w:t>&lt;/REC&gt;</w:t>
      </w:r>
    </w:p>
    <w:p w14:paraId="423399FC" w14:textId="77777777" w:rsidR="00A052DC" w:rsidRDefault="009F0A60" w:rsidP="0020251D">
      <w:pPr>
        <w:pStyle w:val="4"/>
        <w:numPr>
          <w:ilvl w:val="3"/>
          <w:numId w:val="1"/>
        </w:numPr>
        <w:jc w:val="left"/>
      </w:pPr>
      <w:bookmarkStart w:id="1342" w:name="_Toc454386829"/>
      <w:bookmarkStart w:id="1343" w:name="_Toc326841494"/>
      <w:r>
        <w:rPr>
          <w:rFonts w:hint="eastAsia"/>
        </w:rPr>
        <w:t>数据字典</w:t>
      </w:r>
      <w:bookmarkEnd w:id="1342"/>
      <w:bookmarkEnd w:id="1343"/>
    </w:p>
    <w:tbl>
      <w:tblPr>
        <w:tblW w:w="86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701"/>
        <w:gridCol w:w="1843"/>
        <w:gridCol w:w="3543"/>
      </w:tblGrid>
      <w:tr w:rsidR="00A052DC" w14:paraId="5D16D11D" w14:textId="77777777">
        <w:trPr>
          <w:tblHeader/>
        </w:trPr>
        <w:tc>
          <w:tcPr>
            <w:tcW w:w="1560" w:type="dxa"/>
            <w:shd w:val="clear" w:color="auto" w:fill="C0C0C0"/>
          </w:tcPr>
          <w:p w14:paraId="50A73AA1" w14:textId="77777777" w:rsidR="00A052DC" w:rsidRDefault="009F0A60">
            <w:pPr>
              <w:jc w:val="center"/>
              <w:rPr>
                <w:rFonts w:ascii="黑体" w:eastAsia="黑体" w:hAnsi="黑体"/>
                <w:b/>
                <w:sz w:val="20"/>
                <w:szCs w:val="20"/>
              </w:rPr>
            </w:pPr>
            <w:r>
              <w:rPr>
                <w:rFonts w:ascii="黑体" w:eastAsia="黑体" w:hAnsi="黑体" w:hint="eastAsia"/>
                <w:b/>
                <w:sz w:val="20"/>
                <w:szCs w:val="20"/>
              </w:rPr>
              <w:t>字段</w:t>
            </w:r>
          </w:p>
        </w:tc>
        <w:tc>
          <w:tcPr>
            <w:tcW w:w="1701" w:type="dxa"/>
            <w:shd w:val="clear" w:color="auto" w:fill="C0C0C0"/>
          </w:tcPr>
          <w:p w14:paraId="3A810369" w14:textId="77777777" w:rsidR="00A052DC" w:rsidRDefault="009F0A60">
            <w:pPr>
              <w:jc w:val="center"/>
              <w:rPr>
                <w:rFonts w:ascii="黑体" w:eastAsia="黑体" w:hAnsi="黑体"/>
                <w:b/>
                <w:sz w:val="20"/>
                <w:szCs w:val="20"/>
              </w:rPr>
            </w:pPr>
            <w:r>
              <w:rPr>
                <w:rFonts w:ascii="黑体" w:eastAsia="黑体" w:hAnsi="黑体" w:hint="eastAsia"/>
                <w:b/>
                <w:sz w:val="20"/>
                <w:szCs w:val="20"/>
              </w:rPr>
              <w:t>内容</w:t>
            </w:r>
          </w:p>
        </w:tc>
        <w:tc>
          <w:tcPr>
            <w:tcW w:w="1843" w:type="dxa"/>
            <w:shd w:val="clear" w:color="auto" w:fill="C0C0C0"/>
          </w:tcPr>
          <w:p w14:paraId="026CB395" w14:textId="77777777" w:rsidR="00A052DC" w:rsidRDefault="009F0A60">
            <w:pPr>
              <w:jc w:val="center"/>
              <w:rPr>
                <w:rFonts w:ascii="黑体" w:eastAsia="黑体" w:hAnsi="黑体"/>
                <w:b/>
                <w:sz w:val="20"/>
                <w:szCs w:val="20"/>
              </w:rPr>
            </w:pPr>
            <w:r>
              <w:rPr>
                <w:rFonts w:ascii="黑体" w:eastAsia="黑体" w:hAnsi="黑体" w:hint="eastAsia"/>
                <w:b/>
                <w:sz w:val="20"/>
                <w:szCs w:val="20"/>
              </w:rPr>
              <w:t>类型（长度）</w:t>
            </w:r>
          </w:p>
        </w:tc>
        <w:tc>
          <w:tcPr>
            <w:tcW w:w="3543" w:type="dxa"/>
            <w:shd w:val="clear" w:color="auto" w:fill="C0C0C0"/>
          </w:tcPr>
          <w:p w14:paraId="1F3205D7" w14:textId="77777777" w:rsidR="00A052DC" w:rsidRDefault="009F0A60">
            <w:pPr>
              <w:jc w:val="center"/>
              <w:rPr>
                <w:rFonts w:ascii="黑体" w:eastAsia="黑体" w:hAnsi="黑体"/>
                <w:b/>
                <w:sz w:val="20"/>
                <w:szCs w:val="20"/>
              </w:rPr>
            </w:pPr>
            <w:r>
              <w:rPr>
                <w:rFonts w:ascii="黑体" w:eastAsia="黑体" w:hAnsi="黑体" w:hint="eastAsia"/>
                <w:b/>
                <w:sz w:val="20"/>
                <w:szCs w:val="20"/>
              </w:rPr>
              <w:t>校验</w:t>
            </w:r>
          </w:p>
        </w:tc>
      </w:tr>
      <w:tr w:rsidR="00A052DC" w14:paraId="5A7C6A21" w14:textId="77777777">
        <w:tc>
          <w:tcPr>
            <w:tcW w:w="1560" w:type="dxa"/>
            <w:tcBorders>
              <w:top w:val="single" w:sz="4" w:space="0" w:color="auto"/>
              <w:left w:val="single" w:sz="4" w:space="0" w:color="auto"/>
              <w:bottom w:val="single" w:sz="4" w:space="0" w:color="auto"/>
              <w:right w:val="single" w:sz="4" w:space="0" w:color="auto"/>
            </w:tcBorders>
          </w:tcPr>
          <w:p w14:paraId="4F61255E" w14:textId="77777777" w:rsidR="00A052DC" w:rsidRDefault="009F0A60">
            <w:pPr>
              <w:rPr>
                <w:rFonts w:ascii="黑体" w:eastAsia="黑体" w:hAnsi="黑体"/>
                <w:sz w:val="20"/>
                <w:szCs w:val="20"/>
              </w:rPr>
            </w:pPr>
            <w:r>
              <w:rPr>
                <w:rFonts w:ascii="黑体" w:eastAsia="黑体" w:hAnsi="黑体" w:hint="eastAsia"/>
                <w:sz w:val="20"/>
                <w:szCs w:val="20"/>
              </w:rPr>
              <w:t>ACTIONTYPE</w:t>
            </w:r>
          </w:p>
        </w:tc>
        <w:tc>
          <w:tcPr>
            <w:tcW w:w="1701" w:type="dxa"/>
            <w:tcBorders>
              <w:top w:val="single" w:sz="4" w:space="0" w:color="auto"/>
              <w:left w:val="single" w:sz="4" w:space="0" w:color="auto"/>
              <w:bottom w:val="single" w:sz="4" w:space="0" w:color="auto"/>
              <w:right w:val="single" w:sz="4" w:space="0" w:color="auto"/>
            </w:tcBorders>
          </w:tcPr>
          <w:p w14:paraId="5CE36D33" w14:textId="77777777" w:rsidR="00A052DC" w:rsidRDefault="009F0A60">
            <w:pPr>
              <w:rPr>
                <w:rFonts w:ascii="黑体" w:eastAsia="黑体" w:hAnsi="黑体"/>
                <w:sz w:val="20"/>
                <w:szCs w:val="20"/>
              </w:rPr>
            </w:pPr>
            <w:r>
              <w:rPr>
                <w:rFonts w:ascii="黑体" w:eastAsia="黑体" w:hAnsi="黑体" w:hint="eastAsia"/>
                <w:sz w:val="20"/>
                <w:szCs w:val="20"/>
              </w:rPr>
              <w:t>操作类型</w:t>
            </w:r>
          </w:p>
        </w:tc>
        <w:tc>
          <w:tcPr>
            <w:tcW w:w="1843" w:type="dxa"/>
            <w:tcBorders>
              <w:top w:val="single" w:sz="4" w:space="0" w:color="auto"/>
              <w:left w:val="single" w:sz="4" w:space="0" w:color="auto"/>
              <w:bottom w:val="single" w:sz="4" w:space="0" w:color="auto"/>
              <w:right w:val="single" w:sz="4" w:space="0" w:color="auto"/>
            </w:tcBorders>
          </w:tcPr>
          <w:p w14:paraId="1BE12681" w14:textId="77777777" w:rsidR="00A052DC" w:rsidRDefault="009F0A60">
            <w:pPr>
              <w:rPr>
                <w:rFonts w:ascii="黑体" w:eastAsia="黑体" w:hAnsi="黑体"/>
                <w:sz w:val="20"/>
                <w:szCs w:val="20"/>
              </w:rPr>
            </w:pPr>
            <w:r>
              <w:rPr>
                <w:rFonts w:ascii="黑体" w:eastAsia="黑体" w:hAnsi="黑体" w:hint="eastAsia"/>
                <w:sz w:val="20"/>
                <w:szCs w:val="20"/>
              </w:rPr>
              <w:t>定长字符型，1</w:t>
            </w:r>
          </w:p>
        </w:tc>
        <w:tc>
          <w:tcPr>
            <w:tcW w:w="3543" w:type="dxa"/>
            <w:tcBorders>
              <w:top w:val="single" w:sz="4" w:space="0" w:color="auto"/>
              <w:left w:val="single" w:sz="4" w:space="0" w:color="auto"/>
              <w:bottom w:val="single" w:sz="4" w:space="0" w:color="auto"/>
              <w:right w:val="single" w:sz="4" w:space="0" w:color="auto"/>
            </w:tcBorders>
          </w:tcPr>
          <w:p w14:paraId="278EE8B3" w14:textId="77777777" w:rsidR="00A052DC" w:rsidRDefault="009F0A60">
            <w:pPr>
              <w:rPr>
                <w:rFonts w:ascii="黑体" w:eastAsia="黑体" w:hAnsi="黑体"/>
                <w:sz w:val="20"/>
                <w:szCs w:val="20"/>
              </w:rPr>
            </w:pPr>
            <w:r>
              <w:rPr>
                <w:rFonts w:ascii="黑体" w:eastAsia="黑体" w:hAnsi="黑体" w:hint="eastAsia"/>
                <w:sz w:val="20"/>
                <w:szCs w:val="20"/>
              </w:rPr>
              <w:t>必填项</w:t>
            </w:r>
            <w:r w:rsidR="00A769EC">
              <w:rPr>
                <w:rFonts w:ascii="黑体" w:eastAsia="黑体" w:hAnsi="黑体" w:hint="eastAsia"/>
                <w:sz w:val="20"/>
                <w:szCs w:val="20"/>
              </w:rPr>
              <w:t>。</w:t>
            </w:r>
          </w:p>
          <w:p w14:paraId="3081D998" w14:textId="77777777" w:rsidR="00A052DC" w:rsidRDefault="009F0A60">
            <w:pPr>
              <w:rPr>
                <w:rFonts w:ascii="黑体" w:eastAsia="黑体" w:hAnsi="黑体"/>
                <w:sz w:val="20"/>
                <w:szCs w:val="20"/>
              </w:rPr>
            </w:pPr>
            <w:r>
              <w:rPr>
                <w:rFonts w:ascii="黑体" w:eastAsia="黑体" w:hAnsi="黑体" w:hint="eastAsia"/>
                <w:sz w:val="20"/>
                <w:szCs w:val="20"/>
              </w:rPr>
              <w:t>A</w:t>
            </w:r>
            <w:r w:rsidR="00AE4602">
              <w:rPr>
                <w:rFonts w:ascii="黑体" w:eastAsia="黑体" w:hAnsi="黑体" w:hint="eastAsia"/>
                <w:sz w:val="20"/>
                <w:szCs w:val="20"/>
              </w:rPr>
              <w:t>-</w:t>
            </w:r>
            <w:r>
              <w:rPr>
                <w:rFonts w:ascii="黑体" w:eastAsia="黑体" w:hAnsi="黑体" w:hint="eastAsia"/>
                <w:sz w:val="20"/>
                <w:szCs w:val="20"/>
              </w:rPr>
              <w:t>新建</w:t>
            </w:r>
          </w:p>
          <w:p w14:paraId="00856966" w14:textId="77777777" w:rsidR="00A052DC" w:rsidRDefault="009F0A60">
            <w:pPr>
              <w:rPr>
                <w:rFonts w:ascii="黑体" w:eastAsia="黑体" w:hAnsi="黑体"/>
                <w:sz w:val="20"/>
                <w:szCs w:val="20"/>
              </w:rPr>
            </w:pPr>
            <w:r>
              <w:rPr>
                <w:rFonts w:ascii="黑体" w:eastAsia="黑体" w:hAnsi="黑体" w:hint="eastAsia"/>
                <w:sz w:val="20"/>
                <w:szCs w:val="20"/>
              </w:rPr>
              <w:t>C</w:t>
            </w:r>
            <w:r w:rsidR="00AE4602">
              <w:rPr>
                <w:rFonts w:ascii="黑体" w:eastAsia="黑体" w:hAnsi="黑体" w:hint="eastAsia"/>
                <w:sz w:val="20"/>
                <w:szCs w:val="20"/>
              </w:rPr>
              <w:t>-</w:t>
            </w:r>
            <w:r>
              <w:rPr>
                <w:rFonts w:ascii="黑体" w:eastAsia="黑体" w:hAnsi="黑体" w:hint="eastAsia"/>
                <w:sz w:val="20"/>
                <w:szCs w:val="20"/>
              </w:rPr>
              <w:t>修改</w:t>
            </w:r>
          </w:p>
          <w:p w14:paraId="192924FB" w14:textId="77777777" w:rsidR="00A052DC" w:rsidRDefault="009F0A60">
            <w:pPr>
              <w:rPr>
                <w:rFonts w:ascii="黑体" w:eastAsia="黑体" w:hAnsi="黑体"/>
                <w:sz w:val="20"/>
                <w:szCs w:val="20"/>
              </w:rPr>
            </w:pPr>
            <w:r>
              <w:rPr>
                <w:rFonts w:ascii="黑体" w:eastAsia="黑体" w:hAnsi="黑体" w:hint="eastAsia"/>
                <w:sz w:val="20"/>
                <w:szCs w:val="20"/>
              </w:rPr>
              <w:t>D</w:t>
            </w:r>
            <w:r w:rsidR="00AE4602">
              <w:rPr>
                <w:rFonts w:ascii="黑体" w:eastAsia="黑体" w:hAnsi="黑体" w:hint="eastAsia"/>
                <w:sz w:val="20"/>
                <w:szCs w:val="20"/>
              </w:rPr>
              <w:t>-</w:t>
            </w:r>
            <w:r>
              <w:rPr>
                <w:rFonts w:ascii="黑体" w:eastAsia="黑体" w:hAnsi="黑体" w:hint="eastAsia"/>
                <w:sz w:val="20"/>
                <w:szCs w:val="20"/>
              </w:rPr>
              <w:t>删除</w:t>
            </w:r>
          </w:p>
        </w:tc>
      </w:tr>
      <w:tr w:rsidR="00A052DC" w14:paraId="0D1C74A9" w14:textId="77777777">
        <w:tc>
          <w:tcPr>
            <w:tcW w:w="1560" w:type="dxa"/>
            <w:tcBorders>
              <w:top w:val="single" w:sz="4" w:space="0" w:color="auto"/>
              <w:left w:val="single" w:sz="4" w:space="0" w:color="auto"/>
              <w:bottom w:val="single" w:sz="4" w:space="0" w:color="auto"/>
              <w:right w:val="single" w:sz="4" w:space="0" w:color="auto"/>
            </w:tcBorders>
          </w:tcPr>
          <w:p w14:paraId="72005B20" w14:textId="77777777" w:rsidR="00A052DC" w:rsidRDefault="009F0A60">
            <w:pPr>
              <w:rPr>
                <w:rFonts w:ascii="黑体" w:eastAsia="黑体" w:hAnsi="黑体"/>
                <w:sz w:val="20"/>
                <w:szCs w:val="20"/>
              </w:rPr>
            </w:pPr>
            <w:r>
              <w:rPr>
                <w:rFonts w:ascii="黑体" w:eastAsia="黑体" w:hAnsi="黑体" w:hint="eastAsia"/>
                <w:sz w:val="20"/>
                <w:szCs w:val="20"/>
              </w:rPr>
              <w:t>ACTIONDESC</w:t>
            </w:r>
          </w:p>
        </w:tc>
        <w:tc>
          <w:tcPr>
            <w:tcW w:w="1701" w:type="dxa"/>
            <w:tcBorders>
              <w:top w:val="single" w:sz="4" w:space="0" w:color="auto"/>
              <w:left w:val="single" w:sz="4" w:space="0" w:color="auto"/>
              <w:bottom w:val="single" w:sz="4" w:space="0" w:color="auto"/>
              <w:right w:val="single" w:sz="4" w:space="0" w:color="auto"/>
            </w:tcBorders>
          </w:tcPr>
          <w:p w14:paraId="12B4C8C6" w14:textId="77777777" w:rsidR="00A052DC" w:rsidRDefault="009F0A60">
            <w:pPr>
              <w:rPr>
                <w:rFonts w:ascii="黑体" w:eastAsia="黑体" w:hAnsi="黑体"/>
                <w:sz w:val="20"/>
                <w:szCs w:val="20"/>
              </w:rPr>
            </w:pPr>
            <w:r>
              <w:rPr>
                <w:rFonts w:ascii="黑体" w:eastAsia="黑体" w:hAnsi="黑体" w:hint="eastAsia"/>
                <w:sz w:val="20"/>
                <w:szCs w:val="20"/>
              </w:rPr>
              <w:t>删除原因</w:t>
            </w:r>
          </w:p>
        </w:tc>
        <w:tc>
          <w:tcPr>
            <w:tcW w:w="1843" w:type="dxa"/>
            <w:tcBorders>
              <w:top w:val="single" w:sz="4" w:space="0" w:color="auto"/>
              <w:left w:val="single" w:sz="4" w:space="0" w:color="auto"/>
              <w:bottom w:val="single" w:sz="4" w:space="0" w:color="auto"/>
              <w:right w:val="single" w:sz="4" w:space="0" w:color="auto"/>
            </w:tcBorders>
          </w:tcPr>
          <w:p w14:paraId="3C870801" w14:textId="77777777" w:rsidR="00A052DC" w:rsidRDefault="009F0A60">
            <w:pPr>
              <w:rPr>
                <w:rFonts w:ascii="黑体" w:eastAsia="黑体" w:hAnsi="黑体"/>
                <w:sz w:val="20"/>
                <w:szCs w:val="20"/>
              </w:rPr>
            </w:pPr>
            <w:r>
              <w:rPr>
                <w:rFonts w:ascii="黑体" w:eastAsia="黑体" w:hAnsi="黑体" w:hint="eastAsia"/>
                <w:sz w:val="20"/>
                <w:szCs w:val="20"/>
              </w:rPr>
              <w:t>变长字符型，128</w:t>
            </w:r>
          </w:p>
        </w:tc>
        <w:tc>
          <w:tcPr>
            <w:tcW w:w="3543" w:type="dxa"/>
            <w:tcBorders>
              <w:top w:val="single" w:sz="4" w:space="0" w:color="auto"/>
              <w:left w:val="single" w:sz="4" w:space="0" w:color="auto"/>
              <w:bottom w:val="single" w:sz="4" w:space="0" w:color="auto"/>
              <w:right w:val="single" w:sz="4" w:space="0" w:color="auto"/>
            </w:tcBorders>
          </w:tcPr>
          <w:p w14:paraId="234AF16C" w14:textId="77777777" w:rsidR="00A052DC" w:rsidRDefault="00DD6AA3">
            <w:pPr>
              <w:rPr>
                <w:rFonts w:ascii="黑体" w:eastAsia="黑体" w:hAnsi="黑体"/>
                <w:sz w:val="20"/>
                <w:szCs w:val="20"/>
              </w:rPr>
            </w:pPr>
            <w:r>
              <w:rPr>
                <w:rFonts w:ascii="黑体" w:eastAsia="黑体" w:hAnsi="黑体" w:hint="eastAsia"/>
                <w:sz w:val="20"/>
                <w:szCs w:val="20"/>
              </w:rPr>
              <w:t>非必填项，当操作类型（ACTIONTYPE）为删除时必填。</w:t>
            </w:r>
          </w:p>
        </w:tc>
      </w:tr>
      <w:tr w:rsidR="00A052DC" w14:paraId="30D00811" w14:textId="77777777">
        <w:tc>
          <w:tcPr>
            <w:tcW w:w="1560" w:type="dxa"/>
            <w:tcBorders>
              <w:top w:val="single" w:sz="4" w:space="0" w:color="auto"/>
              <w:left w:val="single" w:sz="4" w:space="0" w:color="auto"/>
              <w:bottom w:val="single" w:sz="4" w:space="0" w:color="auto"/>
              <w:right w:val="single" w:sz="4" w:space="0" w:color="auto"/>
            </w:tcBorders>
          </w:tcPr>
          <w:p w14:paraId="17B42242" w14:textId="77777777" w:rsidR="00A052DC" w:rsidRDefault="009F0A60">
            <w:pPr>
              <w:rPr>
                <w:rFonts w:ascii="黑体" w:eastAsia="黑体" w:hAnsi="黑体"/>
                <w:sz w:val="20"/>
                <w:szCs w:val="20"/>
              </w:rPr>
            </w:pPr>
            <w:r>
              <w:rPr>
                <w:rFonts w:ascii="黑体" w:eastAsia="黑体" w:hAnsi="黑体" w:hint="eastAsia"/>
                <w:sz w:val="20"/>
                <w:szCs w:val="20"/>
              </w:rPr>
              <w:t>BRANCH_CODE</w:t>
            </w:r>
          </w:p>
        </w:tc>
        <w:tc>
          <w:tcPr>
            <w:tcW w:w="1701" w:type="dxa"/>
            <w:tcBorders>
              <w:top w:val="single" w:sz="4" w:space="0" w:color="auto"/>
              <w:left w:val="single" w:sz="4" w:space="0" w:color="auto"/>
              <w:bottom w:val="single" w:sz="4" w:space="0" w:color="auto"/>
              <w:right w:val="single" w:sz="4" w:space="0" w:color="auto"/>
            </w:tcBorders>
          </w:tcPr>
          <w:p w14:paraId="7492ED8E" w14:textId="77777777" w:rsidR="00A052DC" w:rsidRDefault="009F0A60">
            <w:pPr>
              <w:rPr>
                <w:rFonts w:ascii="黑体" w:eastAsia="黑体" w:hAnsi="黑体"/>
                <w:sz w:val="20"/>
                <w:szCs w:val="20"/>
              </w:rPr>
            </w:pPr>
            <w:r>
              <w:rPr>
                <w:rFonts w:ascii="黑体" w:eastAsia="黑体" w:hAnsi="黑体" w:hint="eastAsia"/>
                <w:sz w:val="20"/>
                <w:szCs w:val="20"/>
              </w:rPr>
              <w:t>金融机构标识码</w:t>
            </w:r>
          </w:p>
        </w:tc>
        <w:tc>
          <w:tcPr>
            <w:tcW w:w="1843" w:type="dxa"/>
            <w:tcBorders>
              <w:top w:val="single" w:sz="4" w:space="0" w:color="auto"/>
              <w:left w:val="single" w:sz="4" w:space="0" w:color="auto"/>
              <w:bottom w:val="single" w:sz="4" w:space="0" w:color="auto"/>
              <w:right w:val="single" w:sz="4" w:space="0" w:color="auto"/>
            </w:tcBorders>
          </w:tcPr>
          <w:p w14:paraId="43B0478A" w14:textId="77777777" w:rsidR="00A052DC" w:rsidRDefault="009F0A60">
            <w:pPr>
              <w:rPr>
                <w:rFonts w:ascii="黑体" w:eastAsia="黑体" w:hAnsi="黑体"/>
                <w:sz w:val="20"/>
                <w:szCs w:val="20"/>
              </w:rPr>
            </w:pPr>
            <w:r>
              <w:rPr>
                <w:rFonts w:ascii="黑体" w:eastAsia="黑体" w:hAnsi="黑体" w:hint="eastAsia"/>
                <w:sz w:val="20"/>
                <w:szCs w:val="20"/>
              </w:rPr>
              <w:t>定长字符型，12</w:t>
            </w:r>
          </w:p>
        </w:tc>
        <w:tc>
          <w:tcPr>
            <w:tcW w:w="3543" w:type="dxa"/>
            <w:tcBorders>
              <w:top w:val="single" w:sz="4" w:space="0" w:color="auto"/>
              <w:left w:val="single" w:sz="4" w:space="0" w:color="auto"/>
              <w:bottom w:val="single" w:sz="4" w:space="0" w:color="auto"/>
              <w:right w:val="single" w:sz="4" w:space="0" w:color="auto"/>
            </w:tcBorders>
          </w:tcPr>
          <w:p w14:paraId="5CB542C9" w14:textId="77777777" w:rsidR="00A052DC" w:rsidRDefault="009F0A60">
            <w:pPr>
              <w:rPr>
                <w:rFonts w:ascii="黑体" w:eastAsia="黑体" w:hAnsi="黑体"/>
                <w:sz w:val="20"/>
                <w:szCs w:val="20"/>
              </w:rPr>
            </w:pPr>
            <w:r>
              <w:rPr>
                <w:rFonts w:ascii="黑体" w:eastAsia="黑体" w:hAnsi="黑体" w:hint="eastAsia"/>
                <w:sz w:val="20"/>
                <w:szCs w:val="20"/>
              </w:rPr>
              <w:t>必填项，金融机构标识码。</w:t>
            </w:r>
          </w:p>
        </w:tc>
      </w:tr>
      <w:tr w:rsidR="00A052DC" w14:paraId="3ACD5133" w14:textId="77777777">
        <w:tc>
          <w:tcPr>
            <w:tcW w:w="1560" w:type="dxa"/>
            <w:tcBorders>
              <w:top w:val="single" w:sz="4" w:space="0" w:color="auto"/>
              <w:left w:val="single" w:sz="4" w:space="0" w:color="auto"/>
              <w:bottom w:val="single" w:sz="4" w:space="0" w:color="auto"/>
              <w:right w:val="single" w:sz="4" w:space="0" w:color="auto"/>
            </w:tcBorders>
          </w:tcPr>
          <w:p w14:paraId="37D22EFF" w14:textId="77777777" w:rsidR="00A052DC" w:rsidRDefault="009F0A60">
            <w:pPr>
              <w:rPr>
                <w:rFonts w:ascii="黑体" w:eastAsia="黑体" w:hAnsi="黑体"/>
                <w:sz w:val="20"/>
                <w:szCs w:val="20"/>
              </w:rPr>
            </w:pPr>
            <w:r>
              <w:rPr>
                <w:rFonts w:ascii="黑体" w:eastAsia="黑体" w:hAnsi="黑体" w:hint="eastAsia"/>
                <w:sz w:val="20"/>
                <w:szCs w:val="20"/>
              </w:rPr>
              <w:t>accountNO</w:t>
            </w:r>
          </w:p>
        </w:tc>
        <w:tc>
          <w:tcPr>
            <w:tcW w:w="1701" w:type="dxa"/>
            <w:tcBorders>
              <w:top w:val="single" w:sz="4" w:space="0" w:color="auto"/>
              <w:left w:val="single" w:sz="4" w:space="0" w:color="auto"/>
              <w:bottom w:val="single" w:sz="4" w:space="0" w:color="auto"/>
              <w:right w:val="single" w:sz="4" w:space="0" w:color="auto"/>
            </w:tcBorders>
          </w:tcPr>
          <w:p w14:paraId="1561B6AB" w14:textId="77777777" w:rsidR="00A052DC" w:rsidRDefault="009F0A60">
            <w:pPr>
              <w:rPr>
                <w:rFonts w:ascii="黑体" w:eastAsia="黑体" w:hAnsi="黑体"/>
                <w:sz w:val="20"/>
                <w:szCs w:val="20"/>
              </w:rPr>
            </w:pPr>
            <w:r>
              <w:rPr>
                <w:rFonts w:ascii="黑体" w:eastAsia="黑体" w:hAnsi="黑体" w:hint="eastAsia"/>
                <w:sz w:val="20"/>
                <w:szCs w:val="20"/>
              </w:rPr>
              <w:t>账号</w:t>
            </w:r>
          </w:p>
        </w:tc>
        <w:tc>
          <w:tcPr>
            <w:tcW w:w="1843" w:type="dxa"/>
            <w:tcBorders>
              <w:top w:val="single" w:sz="4" w:space="0" w:color="auto"/>
              <w:left w:val="single" w:sz="4" w:space="0" w:color="auto"/>
              <w:bottom w:val="single" w:sz="4" w:space="0" w:color="auto"/>
              <w:right w:val="single" w:sz="4" w:space="0" w:color="auto"/>
            </w:tcBorders>
          </w:tcPr>
          <w:p w14:paraId="60A98347" w14:textId="77777777" w:rsidR="00A052DC" w:rsidRDefault="009F0A60">
            <w:pPr>
              <w:rPr>
                <w:rFonts w:ascii="黑体" w:eastAsia="黑体" w:hAnsi="黑体"/>
                <w:sz w:val="20"/>
                <w:szCs w:val="20"/>
              </w:rPr>
            </w:pPr>
            <w:r>
              <w:rPr>
                <w:rFonts w:ascii="黑体" w:eastAsia="黑体" w:hAnsi="黑体" w:hint="eastAsia"/>
                <w:sz w:val="20"/>
                <w:szCs w:val="20"/>
              </w:rPr>
              <w:t>变长字符型，64</w:t>
            </w:r>
          </w:p>
        </w:tc>
        <w:tc>
          <w:tcPr>
            <w:tcW w:w="3543" w:type="dxa"/>
            <w:tcBorders>
              <w:top w:val="single" w:sz="4" w:space="0" w:color="auto"/>
              <w:left w:val="single" w:sz="4" w:space="0" w:color="auto"/>
              <w:bottom w:val="single" w:sz="4" w:space="0" w:color="auto"/>
              <w:right w:val="single" w:sz="4" w:space="0" w:color="auto"/>
            </w:tcBorders>
          </w:tcPr>
          <w:p w14:paraId="621E2DBB"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r w:rsidR="00A052DC" w14:paraId="001E89B4" w14:textId="77777777">
        <w:tc>
          <w:tcPr>
            <w:tcW w:w="1560" w:type="dxa"/>
            <w:tcBorders>
              <w:top w:val="single" w:sz="4" w:space="0" w:color="auto"/>
              <w:left w:val="single" w:sz="4" w:space="0" w:color="auto"/>
              <w:bottom w:val="single" w:sz="4" w:space="0" w:color="auto"/>
              <w:right w:val="single" w:sz="4" w:space="0" w:color="auto"/>
            </w:tcBorders>
          </w:tcPr>
          <w:p w14:paraId="71B0EB70" w14:textId="77777777" w:rsidR="00A052DC" w:rsidRDefault="009F0A60">
            <w:pPr>
              <w:rPr>
                <w:rFonts w:ascii="黑体" w:eastAsia="黑体" w:hAnsi="黑体"/>
                <w:sz w:val="20"/>
                <w:szCs w:val="20"/>
              </w:rPr>
            </w:pPr>
            <w:r>
              <w:rPr>
                <w:rFonts w:ascii="黑体" w:eastAsia="黑体" w:hAnsi="黑体" w:hint="eastAsia"/>
                <w:sz w:val="20"/>
                <w:szCs w:val="20"/>
              </w:rPr>
              <w:t>deal_date</w:t>
            </w:r>
          </w:p>
        </w:tc>
        <w:tc>
          <w:tcPr>
            <w:tcW w:w="1701" w:type="dxa"/>
            <w:tcBorders>
              <w:top w:val="single" w:sz="4" w:space="0" w:color="auto"/>
              <w:left w:val="single" w:sz="4" w:space="0" w:color="auto"/>
              <w:bottom w:val="single" w:sz="4" w:space="0" w:color="auto"/>
              <w:right w:val="single" w:sz="4" w:space="0" w:color="auto"/>
            </w:tcBorders>
          </w:tcPr>
          <w:p w14:paraId="2B4526B1" w14:textId="77777777" w:rsidR="00A052DC" w:rsidRDefault="009F0A60">
            <w:pPr>
              <w:rPr>
                <w:rFonts w:ascii="黑体" w:eastAsia="黑体" w:hAnsi="黑体"/>
                <w:sz w:val="20"/>
                <w:szCs w:val="20"/>
              </w:rPr>
            </w:pPr>
            <w:r>
              <w:rPr>
                <w:rFonts w:ascii="黑体" w:eastAsia="黑体" w:hAnsi="黑体" w:hint="eastAsia"/>
                <w:sz w:val="20"/>
                <w:szCs w:val="20"/>
              </w:rPr>
              <w:t>发生日期</w:t>
            </w:r>
          </w:p>
        </w:tc>
        <w:tc>
          <w:tcPr>
            <w:tcW w:w="1843" w:type="dxa"/>
            <w:tcBorders>
              <w:top w:val="single" w:sz="4" w:space="0" w:color="auto"/>
              <w:left w:val="single" w:sz="4" w:space="0" w:color="auto"/>
              <w:bottom w:val="single" w:sz="4" w:space="0" w:color="auto"/>
              <w:right w:val="single" w:sz="4" w:space="0" w:color="auto"/>
            </w:tcBorders>
          </w:tcPr>
          <w:p w14:paraId="16EA29A6" w14:textId="77777777" w:rsidR="00A052DC" w:rsidRDefault="009F0A60">
            <w:pPr>
              <w:rPr>
                <w:rFonts w:ascii="黑体" w:eastAsia="黑体" w:hAnsi="黑体"/>
                <w:sz w:val="20"/>
                <w:szCs w:val="20"/>
              </w:rPr>
            </w:pPr>
            <w:r>
              <w:rPr>
                <w:rFonts w:ascii="黑体" w:eastAsia="黑体" w:hAnsi="黑体" w:hint="eastAsia"/>
                <w:sz w:val="20"/>
                <w:szCs w:val="20"/>
              </w:rPr>
              <w:t>日期型，8</w:t>
            </w:r>
          </w:p>
        </w:tc>
        <w:tc>
          <w:tcPr>
            <w:tcW w:w="3543" w:type="dxa"/>
            <w:tcBorders>
              <w:top w:val="single" w:sz="4" w:space="0" w:color="auto"/>
              <w:left w:val="single" w:sz="4" w:space="0" w:color="auto"/>
              <w:bottom w:val="single" w:sz="4" w:space="0" w:color="auto"/>
              <w:right w:val="single" w:sz="4" w:space="0" w:color="auto"/>
            </w:tcBorders>
          </w:tcPr>
          <w:p w14:paraId="304C7483" w14:textId="77777777" w:rsidR="00A052DC" w:rsidRDefault="009F0A60">
            <w:pPr>
              <w:rPr>
                <w:rFonts w:ascii="黑体" w:eastAsia="黑体" w:hAnsi="黑体"/>
                <w:sz w:val="20"/>
                <w:szCs w:val="20"/>
              </w:rPr>
            </w:pPr>
            <w:r>
              <w:rPr>
                <w:rFonts w:ascii="黑体" w:eastAsia="黑体" w:hAnsi="黑体" w:hint="eastAsia"/>
                <w:sz w:val="20"/>
                <w:szCs w:val="20"/>
              </w:rPr>
              <w:t>必填项，格式YYYYMMDD，大于等于开户日期。</w:t>
            </w:r>
          </w:p>
        </w:tc>
      </w:tr>
      <w:tr w:rsidR="00A052DC" w14:paraId="7285F5FA" w14:textId="77777777">
        <w:tc>
          <w:tcPr>
            <w:tcW w:w="1560" w:type="dxa"/>
            <w:tcBorders>
              <w:top w:val="single" w:sz="4" w:space="0" w:color="auto"/>
              <w:left w:val="single" w:sz="4" w:space="0" w:color="auto"/>
              <w:bottom w:val="single" w:sz="4" w:space="0" w:color="auto"/>
              <w:right w:val="single" w:sz="4" w:space="0" w:color="auto"/>
            </w:tcBorders>
          </w:tcPr>
          <w:p w14:paraId="2E957623" w14:textId="77777777" w:rsidR="00A052DC" w:rsidRDefault="009F0A60">
            <w:pPr>
              <w:rPr>
                <w:rFonts w:ascii="黑体" w:eastAsia="黑体" w:hAnsi="黑体"/>
                <w:sz w:val="20"/>
                <w:szCs w:val="20"/>
              </w:rPr>
            </w:pPr>
            <w:r>
              <w:rPr>
                <w:rFonts w:ascii="黑体" w:eastAsia="黑体" w:hAnsi="黑体" w:hint="eastAsia"/>
                <w:sz w:val="20"/>
                <w:szCs w:val="20"/>
              </w:rPr>
              <w:t>CURRENCY_code</w:t>
            </w:r>
          </w:p>
        </w:tc>
        <w:tc>
          <w:tcPr>
            <w:tcW w:w="1701" w:type="dxa"/>
            <w:tcBorders>
              <w:top w:val="single" w:sz="4" w:space="0" w:color="auto"/>
              <w:left w:val="single" w:sz="4" w:space="0" w:color="auto"/>
              <w:bottom w:val="single" w:sz="4" w:space="0" w:color="auto"/>
              <w:right w:val="single" w:sz="4" w:space="0" w:color="auto"/>
            </w:tcBorders>
          </w:tcPr>
          <w:p w14:paraId="36E1FBF3" w14:textId="77777777" w:rsidR="00A052DC" w:rsidRDefault="009F0A60">
            <w:pPr>
              <w:rPr>
                <w:rFonts w:ascii="黑体" w:eastAsia="黑体" w:hAnsi="黑体"/>
                <w:sz w:val="20"/>
                <w:szCs w:val="20"/>
              </w:rPr>
            </w:pPr>
            <w:r>
              <w:rPr>
                <w:rFonts w:ascii="黑体" w:eastAsia="黑体" w:hAnsi="黑体" w:hint="eastAsia"/>
                <w:sz w:val="20"/>
                <w:szCs w:val="20"/>
              </w:rPr>
              <w:t>币种</w:t>
            </w:r>
          </w:p>
        </w:tc>
        <w:tc>
          <w:tcPr>
            <w:tcW w:w="1843" w:type="dxa"/>
            <w:tcBorders>
              <w:top w:val="single" w:sz="4" w:space="0" w:color="auto"/>
              <w:left w:val="single" w:sz="4" w:space="0" w:color="auto"/>
              <w:bottom w:val="single" w:sz="4" w:space="0" w:color="auto"/>
              <w:right w:val="single" w:sz="4" w:space="0" w:color="auto"/>
            </w:tcBorders>
          </w:tcPr>
          <w:p w14:paraId="168B7C56" w14:textId="77777777" w:rsidR="00A052DC" w:rsidRDefault="009F0A60">
            <w:pPr>
              <w:rPr>
                <w:rFonts w:ascii="黑体" w:eastAsia="黑体" w:hAnsi="黑体"/>
                <w:sz w:val="20"/>
                <w:szCs w:val="20"/>
              </w:rPr>
            </w:pPr>
            <w:r>
              <w:rPr>
                <w:rFonts w:ascii="黑体" w:eastAsia="黑体" w:hAnsi="黑体" w:hint="eastAsia"/>
                <w:sz w:val="20"/>
                <w:szCs w:val="20"/>
              </w:rPr>
              <w:t>定长字符型，3</w:t>
            </w:r>
          </w:p>
        </w:tc>
        <w:tc>
          <w:tcPr>
            <w:tcW w:w="3543" w:type="dxa"/>
            <w:tcBorders>
              <w:top w:val="single" w:sz="4" w:space="0" w:color="auto"/>
              <w:left w:val="single" w:sz="4" w:space="0" w:color="auto"/>
              <w:bottom w:val="single" w:sz="4" w:space="0" w:color="auto"/>
              <w:right w:val="single" w:sz="4" w:space="0" w:color="auto"/>
            </w:tcBorders>
          </w:tcPr>
          <w:p w14:paraId="002DA7AB" w14:textId="77777777" w:rsidR="00A052DC" w:rsidRDefault="009F0A60">
            <w:pPr>
              <w:rPr>
                <w:rFonts w:ascii="黑体" w:eastAsia="黑体" w:hAnsi="黑体"/>
                <w:sz w:val="20"/>
                <w:szCs w:val="20"/>
              </w:rPr>
            </w:pPr>
            <w:r>
              <w:rPr>
                <w:rFonts w:ascii="黑体" w:eastAsia="黑体" w:hAnsi="黑体" w:hint="eastAsia"/>
                <w:sz w:val="20"/>
                <w:szCs w:val="20"/>
              </w:rPr>
              <w:t>必填项，见币种代码表。</w:t>
            </w:r>
          </w:p>
        </w:tc>
      </w:tr>
      <w:tr w:rsidR="00A052DC" w14:paraId="25F76D8B" w14:textId="77777777">
        <w:tc>
          <w:tcPr>
            <w:tcW w:w="1560" w:type="dxa"/>
            <w:tcBorders>
              <w:top w:val="single" w:sz="4" w:space="0" w:color="auto"/>
              <w:left w:val="single" w:sz="4" w:space="0" w:color="auto"/>
              <w:bottom w:val="single" w:sz="4" w:space="0" w:color="auto"/>
              <w:right w:val="single" w:sz="4" w:space="0" w:color="auto"/>
            </w:tcBorders>
          </w:tcPr>
          <w:p w14:paraId="183A7421" w14:textId="77777777" w:rsidR="00A052DC" w:rsidRDefault="009F0A60">
            <w:pPr>
              <w:rPr>
                <w:rFonts w:ascii="黑体" w:eastAsia="黑体" w:hAnsi="黑体"/>
                <w:sz w:val="20"/>
                <w:szCs w:val="20"/>
              </w:rPr>
            </w:pPr>
            <w:r>
              <w:rPr>
                <w:rFonts w:ascii="黑体" w:eastAsia="黑体" w:hAnsi="黑体" w:hint="eastAsia"/>
                <w:sz w:val="20"/>
                <w:szCs w:val="20"/>
              </w:rPr>
              <w:t>credit</w:t>
            </w:r>
          </w:p>
        </w:tc>
        <w:tc>
          <w:tcPr>
            <w:tcW w:w="1701" w:type="dxa"/>
            <w:tcBorders>
              <w:top w:val="single" w:sz="4" w:space="0" w:color="auto"/>
              <w:left w:val="single" w:sz="4" w:space="0" w:color="auto"/>
              <w:bottom w:val="single" w:sz="4" w:space="0" w:color="auto"/>
              <w:right w:val="single" w:sz="4" w:space="0" w:color="auto"/>
            </w:tcBorders>
          </w:tcPr>
          <w:p w14:paraId="1585E50A" w14:textId="77777777" w:rsidR="00A052DC" w:rsidRDefault="009F0A60">
            <w:pPr>
              <w:rPr>
                <w:rFonts w:ascii="黑体" w:eastAsia="黑体" w:hAnsi="黑体"/>
                <w:sz w:val="20"/>
                <w:szCs w:val="20"/>
              </w:rPr>
            </w:pPr>
            <w:r>
              <w:rPr>
                <w:rFonts w:ascii="黑体" w:eastAsia="黑体" w:hAnsi="黑体" w:hint="eastAsia"/>
                <w:sz w:val="20"/>
                <w:szCs w:val="20"/>
              </w:rPr>
              <w:t>当日贷方发生额</w:t>
            </w:r>
          </w:p>
        </w:tc>
        <w:tc>
          <w:tcPr>
            <w:tcW w:w="1843" w:type="dxa"/>
            <w:tcBorders>
              <w:top w:val="single" w:sz="4" w:space="0" w:color="auto"/>
              <w:left w:val="single" w:sz="4" w:space="0" w:color="auto"/>
              <w:bottom w:val="single" w:sz="4" w:space="0" w:color="auto"/>
              <w:right w:val="single" w:sz="4" w:space="0" w:color="auto"/>
            </w:tcBorders>
          </w:tcPr>
          <w:p w14:paraId="4CB07C4F" w14:textId="77777777" w:rsidR="00A052DC" w:rsidRDefault="009F0A60">
            <w:pPr>
              <w:rPr>
                <w:rFonts w:ascii="黑体" w:eastAsia="黑体" w:hAnsi="黑体"/>
                <w:sz w:val="20"/>
                <w:szCs w:val="20"/>
              </w:rPr>
            </w:pPr>
            <w:r>
              <w:rPr>
                <w:rFonts w:ascii="黑体" w:eastAsia="黑体" w:hAnsi="黑体" w:hint="eastAsia"/>
                <w:sz w:val="20"/>
                <w:szCs w:val="20"/>
              </w:rPr>
              <w:t>变长数值型，22.2</w:t>
            </w:r>
          </w:p>
        </w:tc>
        <w:tc>
          <w:tcPr>
            <w:tcW w:w="3543" w:type="dxa"/>
            <w:tcBorders>
              <w:top w:val="single" w:sz="4" w:space="0" w:color="auto"/>
              <w:left w:val="single" w:sz="4" w:space="0" w:color="auto"/>
              <w:bottom w:val="single" w:sz="4" w:space="0" w:color="auto"/>
              <w:right w:val="single" w:sz="4" w:space="0" w:color="auto"/>
            </w:tcBorders>
          </w:tcPr>
          <w:p w14:paraId="299DCE13" w14:textId="77777777" w:rsidR="00A052DC" w:rsidRDefault="009F0A60">
            <w:pPr>
              <w:rPr>
                <w:rFonts w:ascii="黑体" w:eastAsia="黑体" w:hAnsi="黑体"/>
                <w:sz w:val="20"/>
                <w:szCs w:val="20"/>
              </w:rPr>
            </w:pPr>
            <w:r>
              <w:rPr>
                <w:rFonts w:ascii="黑体" w:eastAsia="黑体" w:hAnsi="黑体" w:hint="eastAsia"/>
                <w:sz w:val="20"/>
                <w:szCs w:val="20"/>
              </w:rPr>
              <w:t>非必填项，大于等于0。</w:t>
            </w:r>
          </w:p>
        </w:tc>
      </w:tr>
      <w:tr w:rsidR="00A052DC" w14:paraId="521435DD" w14:textId="77777777">
        <w:tc>
          <w:tcPr>
            <w:tcW w:w="1560" w:type="dxa"/>
            <w:tcBorders>
              <w:top w:val="single" w:sz="4" w:space="0" w:color="auto"/>
              <w:left w:val="single" w:sz="4" w:space="0" w:color="auto"/>
              <w:bottom w:val="single" w:sz="4" w:space="0" w:color="auto"/>
              <w:right w:val="single" w:sz="4" w:space="0" w:color="auto"/>
            </w:tcBorders>
          </w:tcPr>
          <w:p w14:paraId="203241A5" w14:textId="77777777" w:rsidR="00A052DC" w:rsidRDefault="009F0A60">
            <w:pPr>
              <w:rPr>
                <w:rFonts w:ascii="黑体" w:eastAsia="黑体" w:hAnsi="黑体"/>
                <w:sz w:val="20"/>
                <w:szCs w:val="20"/>
              </w:rPr>
            </w:pPr>
            <w:r>
              <w:rPr>
                <w:rFonts w:ascii="黑体" w:eastAsia="黑体" w:hAnsi="黑体" w:hint="eastAsia"/>
                <w:sz w:val="20"/>
                <w:szCs w:val="20"/>
              </w:rPr>
              <w:t>debit</w:t>
            </w:r>
          </w:p>
        </w:tc>
        <w:tc>
          <w:tcPr>
            <w:tcW w:w="1701" w:type="dxa"/>
            <w:tcBorders>
              <w:top w:val="single" w:sz="4" w:space="0" w:color="auto"/>
              <w:left w:val="single" w:sz="4" w:space="0" w:color="auto"/>
              <w:bottom w:val="single" w:sz="4" w:space="0" w:color="auto"/>
              <w:right w:val="single" w:sz="4" w:space="0" w:color="auto"/>
            </w:tcBorders>
          </w:tcPr>
          <w:p w14:paraId="430D09BE" w14:textId="77777777" w:rsidR="00A052DC" w:rsidRDefault="009F0A60">
            <w:pPr>
              <w:rPr>
                <w:rFonts w:ascii="黑体" w:eastAsia="黑体" w:hAnsi="黑体"/>
                <w:sz w:val="20"/>
                <w:szCs w:val="20"/>
              </w:rPr>
            </w:pPr>
            <w:r>
              <w:rPr>
                <w:rFonts w:ascii="黑体" w:eastAsia="黑体" w:hAnsi="黑体" w:hint="eastAsia"/>
                <w:sz w:val="20"/>
                <w:szCs w:val="20"/>
              </w:rPr>
              <w:t>当日借方发生额</w:t>
            </w:r>
          </w:p>
        </w:tc>
        <w:tc>
          <w:tcPr>
            <w:tcW w:w="1843" w:type="dxa"/>
            <w:tcBorders>
              <w:top w:val="single" w:sz="4" w:space="0" w:color="auto"/>
              <w:left w:val="single" w:sz="4" w:space="0" w:color="auto"/>
              <w:bottom w:val="single" w:sz="4" w:space="0" w:color="auto"/>
              <w:right w:val="single" w:sz="4" w:space="0" w:color="auto"/>
            </w:tcBorders>
          </w:tcPr>
          <w:p w14:paraId="663B9DB4" w14:textId="77777777" w:rsidR="00A052DC" w:rsidRDefault="009F0A60">
            <w:pPr>
              <w:rPr>
                <w:rFonts w:ascii="黑体" w:eastAsia="黑体" w:hAnsi="黑体"/>
                <w:sz w:val="20"/>
                <w:szCs w:val="20"/>
              </w:rPr>
            </w:pPr>
            <w:r>
              <w:rPr>
                <w:rFonts w:ascii="黑体" w:eastAsia="黑体" w:hAnsi="黑体" w:hint="eastAsia"/>
                <w:sz w:val="20"/>
                <w:szCs w:val="20"/>
              </w:rPr>
              <w:t>变长数值型，22.2</w:t>
            </w:r>
          </w:p>
        </w:tc>
        <w:tc>
          <w:tcPr>
            <w:tcW w:w="3543" w:type="dxa"/>
            <w:tcBorders>
              <w:top w:val="single" w:sz="4" w:space="0" w:color="auto"/>
              <w:left w:val="single" w:sz="4" w:space="0" w:color="auto"/>
              <w:bottom w:val="single" w:sz="4" w:space="0" w:color="auto"/>
              <w:right w:val="single" w:sz="4" w:space="0" w:color="auto"/>
            </w:tcBorders>
          </w:tcPr>
          <w:p w14:paraId="181E00DF" w14:textId="77777777" w:rsidR="00A052DC" w:rsidRDefault="009F0A60">
            <w:pPr>
              <w:rPr>
                <w:rFonts w:ascii="黑体" w:eastAsia="黑体" w:hAnsi="黑体"/>
                <w:sz w:val="20"/>
                <w:szCs w:val="20"/>
              </w:rPr>
            </w:pPr>
            <w:r>
              <w:rPr>
                <w:rFonts w:ascii="黑体" w:eastAsia="黑体" w:hAnsi="黑体" w:hint="eastAsia"/>
                <w:sz w:val="20"/>
                <w:szCs w:val="20"/>
              </w:rPr>
              <w:t>非必填项，大于等于0。</w:t>
            </w:r>
          </w:p>
        </w:tc>
      </w:tr>
      <w:tr w:rsidR="00A052DC" w14:paraId="413DEF6D" w14:textId="77777777">
        <w:tc>
          <w:tcPr>
            <w:tcW w:w="1560" w:type="dxa"/>
            <w:tcBorders>
              <w:top w:val="single" w:sz="4" w:space="0" w:color="auto"/>
              <w:left w:val="single" w:sz="4" w:space="0" w:color="auto"/>
              <w:bottom w:val="single" w:sz="4" w:space="0" w:color="auto"/>
              <w:right w:val="single" w:sz="4" w:space="0" w:color="auto"/>
            </w:tcBorders>
          </w:tcPr>
          <w:p w14:paraId="6C634ABB" w14:textId="77777777" w:rsidR="00A052DC" w:rsidRDefault="009F0A60">
            <w:pPr>
              <w:rPr>
                <w:rFonts w:ascii="黑体" w:eastAsia="黑体" w:hAnsi="黑体"/>
                <w:sz w:val="20"/>
                <w:szCs w:val="20"/>
              </w:rPr>
            </w:pPr>
            <w:r>
              <w:rPr>
                <w:rFonts w:ascii="黑体" w:eastAsia="黑体" w:hAnsi="黑体" w:hint="eastAsia"/>
                <w:sz w:val="20"/>
                <w:szCs w:val="20"/>
              </w:rPr>
              <w:t>balance</w:t>
            </w:r>
          </w:p>
        </w:tc>
        <w:tc>
          <w:tcPr>
            <w:tcW w:w="1701" w:type="dxa"/>
            <w:tcBorders>
              <w:top w:val="single" w:sz="4" w:space="0" w:color="auto"/>
              <w:left w:val="single" w:sz="4" w:space="0" w:color="auto"/>
              <w:bottom w:val="single" w:sz="4" w:space="0" w:color="auto"/>
              <w:right w:val="single" w:sz="4" w:space="0" w:color="auto"/>
            </w:tcBorders>
          </w:tcPr>
          <w:p w14:paraId="3836D3E8" w14:textId="77777777" w:rsidR="00A052DC" w:rsidRDefault="009F0A60">
            <w:pPr>
              <w:rPr>
                <w:rFonts w:ascii="黑体" w:eastAsia="黑体" w:hAnsi="黑体"/>
                <w:sz w:val="20"/>
                <w:szCs w:val="20"/>
              </w:rPr>
            </w:pPr>
            <w:r>
              <w:rPr>
                <w:rFonts w:ascii="黑体" w:eastAsia="黑体" w:hAnsi="黑体" w:hint="eastAsia"/>
                <w:sz w:val="20"/>
                <w:szCs w:val="20"/>
              </w:rPr>
              <w:t>账户余额</w:t>
            </w:r>
          </w:p>
        </w:tc>
        <w:tc>
          <w:tcPr>
            <w:tcW w:w="1843" w:type="dxa"/>
            <w:tcBorders>
              <w:top w:val="single" w:sz="4" w:space="0" w:color="auto"/>
              <w:left w:val="single" w:sz="4" w:space="0" w:color="auto"/>
              <w:bottom w:val="single" w:sz="4" w:space="0" w:color="auto"/>
              <w:right w:val="single" w:sz="4" w:space="0" w:color="auto"/>
            </w:tcBorders>
          </w:tcPr>
          <w:p w14:paraId="2A6C3B62" w14:textId="77777777" w:rsidR="00A052DC" w:rsidRDefault="009F0A60">
            <w:pPr>
              <w:rPr>
                <w:rFonts w:ascii="黑体" w:eastAsia="黑体" w:hAnsi="黑体"/>
                <w:sz w:val="20"/>
                <w:szCs w:val="20"/>
              </w:rPr>
            </w:pPr>
            <w:r>
              <w:rPr>
                <w:rFonts w:ascii="黑体" w:eastAsia="黑体" w:hAnsi="黑体" w:hint="eastAsia"/>
                <w:sz w:val="20"/>
                <w:szCs w:val="20"/>
              </w:rPr>
              <w:t>变长数值型，22.2</w:t>
            </w:r>
          </w:p>
        </w:tc>
        <w:tc>
          <w:tcPr>
            <w:tcW w:w="3543" w:type="dxa"/>
            <w:tcBorders>
              <w:top w:val="single" w:sz="4" w:space="0" w:color="auto"/>
              <w:left w:val="single" w:sz="4" w:space="0" w:color="auto"/>
              <w:bottom w:val="single" w:sz="4" w:space="0" w:color="auto"/>
              <w:right w:val="single" w:sz="4" w:space="0" w:color="auto"/>
            </w:tcBorders>
          </w:tcPr>
          <w:p w14:paraId="152ED8C0"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r w:rsidR="00A052DC" w14:paraId="28BC7A5C" w14:textId="77777777">
        <w:tc>
          <w:tcPr>
            <w:tcW w:w="1560" w:type="dxa"/>
            <w:tcBorders>
              <w:top w:val="single" w:sz="4" w:space="0" w:color="auto"/>
              <w:left w:val="single" w:sz="4" w:space="0" w:color="auto"/>
              <w:bottom w:val="single" w:sz="4" w:space="0" w:color="auto"/>
              <w:right w:val="single" w:sz="4" w:space="0" w:color="auto"/>
            </w:tcBorders>
          </w:tcPr>
          <w:p w14:paraId="001712DA" w14:textId="77777777" w:rsidR="00A052DC" w:rsidRDefault="009F0A60">
            <w:pPr>
              <w:rPr>
                <w:rFonts w:ascii="黑体" w:eastAsia="黑体" w:hAnsi="黑体"/>
                <w:sz w:val="20"/>
                <w:szCs w:val="20"/>
              </w:rPr>
            </w:pPr>
            <w:r>
              <w:rPr>
                <w:rFonts w:ascii="黑体" w:eastAsia="黑体" w:hAnsi="黑体" w:hint="eastAsia"/>
                <w:sz w:val="20"/>
                <w:szCs w:val="20"/>
              </w:rPr>
              <w:t>REMARK</w:t>
            </w:r>
          </w:p>
        </w:tc>
        <w:tc>
          <w:tcPr>
            <w:tcW w:w="1701" w:type="dxa"/>
            <w:tcBorders>
              <w:top w:val="single" w:sz="4" w:space="0" w:color="auto"/>
              <w:left w:val="single" w:sz="4" w:space="0" w:color="auto"/>
              <w:bottom w:val="single" w:sz="4" w:space="0" w:color="auto"/>
              <w:right w:val="single" w:sz="4" w:space="0" w:color="auto"/>
            </w:tcBorders>
          </w:tcPr>
          <w:p w14:paraId="103AD80A" w14:textId="77777777" w:rsidR="00A052DC" w:rsidRDefault="009F0A60">
            <w:pPr>
              <w:rPr>
                <w:rFonts w:ascii="黑体" w:eastAsia="黑体" w:hAnsi="黑体"/>
                <w:sz w:val="20"/>
                <w:szCs w:val="20"/>
              </w:rPr>
            </w:pPr>
            <w:r>
              <w:rPr>
                <w:rFonts w:ascii="黑体" w:eastAsia="黑体" w:hAnsi="黑体" w:hint="eastAsia"/>
                <w:sz w:val="20"/>
                <w:szCs w:val="20"/>
              </w:rPr>
              <w:t>备注</w:t>
            </w:r>
          </w:p>
        </w:tc>
        <w:tc>
          <w:tcPr>
            <w:tcW w:w="1843" w:type="dxa"/>
            <w:tcBorders>
              <w:top w:val="single" w:sz="4" w:space="0" w:color="auto"/>
              <w:left w:val="single" w:sz="4" w:space="0" w:color="auto"/>
              <w:bottom w:val="single" w:sz="4" w:space="0" w:color="auto"/>
              <w:right w:val="single" w:sz="4" w:space="0" w:color="auto"/>
            </w:tcBorders>
          </w:tcPr>
          <w:p w14:paraId="3C7EBCDE" w14:textId="77777777" w:rsidR="00A052DC" w:rsidRDefault="009F0A60">
            <w:pPr>
              <w:rPr>
                <w:rFonts w:ascii="黑体" w:eastAsia="黑体" w:hAnsi="黑体"/>
                <w:sz w:val="20"/>
                <w:szCs w:val="20"/>
              </w:rPr>
            </w:pPr>
            <w:r>
              <w:rPr>
                <w:rFonts w:ascii="黑体" w:eastAsia="黑体" w:hAnsi="黑体" w:hint="eastAsia"/>
                <w:sz w:val="20"/>
                <w:szCs w:val="20"/>
              </w:rPr>
              <w:t>变长字符型，256</w:t>
            </w:r>
          </w:p>
        </w:tc>
        <w:tc>
          <w:tcPr>
            <w:tcW w:w="3543" w:type="dxa"/>
            <w:tcBorders>
              <w:top w:val="single" w:sz="4" w:space="0" w:color="auto"/>
              <w:left w:val="single" w:sz="4" w:space="0" w:color="auto"/>
              <w:bottom w:val="single" w:sz="4" w:space="0" w:color="auto"/>
              <w:right w:val="single" w:sz="4" w:space="0" w:color="auto"/>
            </w:tcBorders>
          </w:tcPr>
          <w:p w14:paraId="652071D9" w14:textId="77777777" w:rsidR="00A052DC" w:rsidRDefault="009F0A60">
            <w:pPr>
              <w:rPr>
                <w:rFonts w:ascii="黑体" w:eastAsia="黑体" w:hAnsi="黑体"/>
                <w:sz w:val="20"/>
                <w:szCs w:val="20"/>
              </w:rPr>
            </w:pPr>
            <w:r>
              <w:rPr>
                <w:rFonts w:ascii="黑体" w:eastAsia="黑体" w:hAnsi="黑体" w:hint="eastAsia"/>
                <w:sz w:val="20"/>
                <w:szCs w:val="20"/>
              </w:rPr>
              <w:t>非必填项。</w:t>
            </w:r>
          </w:p>
        </w:tc>
      </w:tr>
    </w:tbl>
    <w:p w14:paraId="61AEDDCE" w14:textId="77777777" w:rsidR="00A052DC" w:rsidRDefault="009F0A60">
      <w:r>
        <w:rPr>
          <w:rFonts w:hint="eastAsia"/>
        </w:rPr>
        <w:t>主键为：</w:t>
      </w:r>
      <w:r>
        <w:t>BRANCH_CODE,ACCOUNTNO,CURRENCY_CODE,DEAL_DATE</w:t>
      </w:r>
    </w:p>
    <w:p w14:paraId="0C80257F" w14:textId="77777777" w:rsidR="00A052DC" w:rsidRDefault="009F0A60" w:rsidP="0020251D">
      <w:pPr>
        <w:pStyle w:val="2"/>
        <w:rPr>
          <w:rFonts w:ascii="Times New Roman" w:hAnsi="Times New Roman"/>
        </w:rPr>
      </w:pPr>
      <w:bookmarkStart w:id="1344" w:name="_Toc454464766"/>
      <w:bookmarkStart w:id="1345" w:name="_Toc455167690"/>
      <w:bookmarkStart w:id="1346" w:name="_Toc455163965"/>
      <w:bookmarkStart w:id="1347" w:name="_Toc454780144"/>
      <w:bookmarkStart w:id="1348" w:name="_Toc455156514"/>
      <w:bookmarkStart w:id="1349" w:name="_Toc455163964"/>
      <w:bookmarkStart w:id="1350" w:name="_Toc455152786"/>
      <w:bookmarkStart w:id="1351" w:name="_Toc454780143"/>
      <w:bookmarkStart w:id="1352" w:name="_Toc455167689"/>
      <w:bookmarkStart w:id="1353" w:name="_Toc454454850"/>
      <w:bookmarkStart w:id="1354" w:name="_Toc454395074"/>
      <w:bookmarkStart w:id="1355" w:name="_Toc454386831"/>
      <w:bookmarkStart w:id="1356" w:name="_Toc454378155"/>
      <w:bookmarkStart w:id="1357" w:name="_Toc454464767"/>
      <w:bookmarkStart w:id="1358" w:name="_Toc455152785"/>
      <w:bookmarkStart w:id="1359" w:name="_Toc454454849"/>
      <w:bookmarkStart w:id="1360" w:name="_Toc455156513"/>
      <w:bookmarkStart w:id="1361" w:name="_Toc454386830"/>
      <w:bookmarkStart w:id="1362" w:name="_Toc454395073"/>
      <w:bookmarkStart w:id="1363" w:name="_Toc454378154"/>
      <w:bookmarkStart w:id="1364" w:name="_Toc91455283"/>
      <w:bookmarkStart w:id="1365" w:name="_Toc454386832"/>
      <w:bookmarkStart w:id="1366" w:name="_Toc380356254"/>
      <w:bookmarkStart w:id="1367" w:name="_Toc101684456"/>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r>
        <w:rPr>
          <w:rFonts w:ascii="Times New Roman" w:hAnsi="Times New Roman" w:hint="eastAsia"/>
        </w:rPr>
        <w:t>账户内结售汇</w:t>
      </w:r>
      <w:bookmarkEnd w:id="1364"/>
      <w:bookmarkEnd w:id="1365"/>
      <w:bookmarkEnd w:id="1366"/>
      <w:bookmarkEnd w:id="1367"/>
    </w:p>
    <w:p w14:paraId="2B2B1DB4" w14:textId="77777777" w:rsidR="00A052DC" w:rsidRDefault="009F0A60" w:rsidP="0020251D">
      <w:pPr>
        <w:pStyle w:val="3"/>
        <w:ind w:left="0"/>
        <w:rPr>
          <w:rFonts w:ascii="Times New Roman" w:hAnsi="Times New Roman"/>
        </w:rPr>
      </w:pPr>
      <w:bookmarkStart w:id="1368" w:name="_Toc380356255"/>
      <w:bookmarkStart w:id="1369" w:name="_Toc454386833"/>
      <w:bookmarkStart w:id="1370" w:name="_Toc91455284"/>
      <w:bookmarkStart w:id="1371" w:name="_Toc101684457"/>
      <w:r>
        <w:rPr>
          <w:rFonts w:ascii="Times New Roman" w:hAnsi="Times New Roman" w:hint="eastAsia"/>
        </w:rPr>
        <w:t>外汇账户内结汇</w:t>
      </w:r>
      <w:bookmarkEnd w:id="1009"/>
      <w:r>
        <w:rPr>
          <w:rFonts w:ascii="Times New Roman" w:hAnsi="Times New Roman"/>
        </w:rPr>
        <w:t>-</w:t>
      </w:r>
      <w:r>
        <w:rPr>
          <w:rFonts w:ascii="Times New Roman" w:hAnsi="Times New Roman" w:hint="eastAsia"/>
        </w:rPr>
        <w:t>基础信息</w:t>
      </w:r>
      <w:bookmarkEnd w:id="1368"/>
      <w:bookmarkEnd w:id="1369"/>
      <w:bookmarkEnd w:id="1370"/>
      <w:bookmarkEnd w:id="1371"/>
    </w:p>
    <w:p w14:paraId="301F4E72" w14:textId="77777777" w:rsidR="00A052DC" w:rsidRDefault="009F0A60" w:rsidP="0020251D">
      <w:pPr>
        <w:pStyle w:val="4"/>
        <w:numPr>
          <w:ilvl w:val="3"/>
          <w:numId w:val="1"/>
        </w:numPr>
        <w:jc w:val="left"/>
      </w:pPr>
      <w:bookmarkStart w:id="1372" w:name="_Toc454386834"/>
      <w:bookmarkStart w:id="1373" w:name="_Toc310598078"/>
      <w:r>
        <w:rPr>
          <w:rFonts w:hint="eastAsia"/>
        </w:rPr>
        <w:t>数据术语解释</w:t>
      </w:r>
      <w:bookmarkEnd w:id="1372"/>
      <w:bookmarkEnd w:id="137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6854"/>
      </w:tblGrid>
      <w:tr w:rsidR="00A052DC" w14:paraId="309F7B72" w14:textId="77777777">
        <w:tc>
          <w:tcPr>
            <w:tcW w:w="1668" w:type="dxa"/>
          </w:tcPr>
          <w:p w14:paraId="3C112CE7" w14:textId="77777777" w:rsidR="00A052DC" w:rsidRDefault="009F0A60">
            <w:pPr>
              <w:jc w:val="center"/>
              <w:rPr>
                <w:rFonts w:ascii="黑体" w:eastAsia="黑体" w:hAnsi="黑体"/>
                <w:b/>
                <w:sz w:val="20"/>
                <w:szCs w:val="20"/>
              </w:rPr>
            </w:pPr>
            <w:r>
              <w:rPr>
                <w:rFonts w:ascii="黑体" w:eastAsia="黑体" w:hAnsi="黑体" w:hint="eastAsia"/>
                <w:b/>
                <w:sz w:val="20"/>
                <w:szCs w:val="20"/>
              </w:rPr>
              <w:t>基础数据项</w:t>
            </w:r>
          </w:p>
        </w:tc>
        <w:tc>
          <w:tcPr>
            <w:tcW w:w="6854" w:type="dxa"/>
          </w:tcPr>
          <w:p w14:paraId="79F46A50" w14:textId="77777777" w:rsidR="00A052DC" w:rsidRDefault="009F0A60">
            <w:pPr>
              <w:jc w:val="center"/>
              <w:rPr>
                <w:rFonts w:ascii="黑体" w:eastAsia="黑体" w:hAnsi="黑体"/>
                <w:b/>
                <w:sz w:val="20"/>
                <w:szCs w:val="20"/>
              </w:rPr>
            </w:pPr>
            <w:r>
              <w:rPr>
                <w:rFonts w:ascii="黑体" w:eastAsia="黑体" w:hAnsi="黑体" w:hint="eastAsia"/>
                <w:b/>
                <w:sz w:val="20"/>
                <w:szCs w:val="20"/>
              </w:rPr>
              <w:t>定义</w:t>
            </w:r>
          </w:p>
        </w:tc>
      </w:tr>
      <w:tr w:rsidR="00A052DC" w14:paraId="518FDDBC" w14:textId="77777777">
        <w:tc>
          <w:tcPr>
            <w:tcW w:w="1668" w:type="dxa"/>
          </w:tcPr>
          <w:p w14:paraId="714F8BF8" w14:textId="77777777" w:rsidR="00A052DC" w:rsidRDefault="009F0A60">
            <w:pPr>
              <w:rPr>
                <w:rFonts w:ascii="黑体" w:eastAsia="黑体" w:hAnsi="黑体"/>
                <w:sz w:val="20"/>
                <w:szCs w:val="20"/>
              </w:rPr>
            </w:pPr>
            <w:r>
              <w:rPr>
                <w:rFonts w:ascii="黑体" w:eastAsia="黑体" w:hAnsi="黑体" w:hint="eastAsia"/>
                <w:sz w:val="20"/>
                <w:szCs w:val="20"/>
              </w:rPr>
              <w:t>申报号码</w:t>
            </w:r>
          </w:p>
        </w:tc>
        <w:tc>
          <w:tcPr>
            <w:tcW w:w="6854" w:type="dxa"/>
          </w:tcPr>
          <w:p w14:paraId="13B994D8" w14:textId="77777777" w:rsidR="00A052DC" w:rsidRDefault="009F0A60">
            <w:pPr>
              <w:rPr>
                <w:rFonts w:ascii="黑体" w:eastAsia="黑体" w:hAnsi="黑体"/>
                <w:sz w:val="20"/>
                <w:szCs w:val="20"/>
              </w:rPr>
            </w:pPr>
            <w:r>
              <w:rPr>
                <w:rFonts w:ascii="黑体" w:eastAsia="黑体" w:hAnsi="黑体" w:hint="eastAsia"/>
                <w:sz w:val="20"/>
                <w:szCs w:val="20"/>
              </w:rPr>
              <w:t>指由境内银行按国家外汇管理局要求编制的号码，共计22位。编码规则：6位地区标识码+4位银行代码+2位银行顺序码+支付日期（yymmdd）+4位银行业务流水码。支付日期不能大于系统日期。银行业务流水码第一位应为数字0-9，第二、三位可使用数字0-9或大写英文字母（O、I、Z除外），第四位应为大写英文字母U、V或W。</w:t>
            </w:r>
          </w:p>
        </w:tc>
      </w:tr>
      <w:tr w:rsidR="00A052DC" w14:paraId="52980E6A" w14:textId="77777777">
        <w:tc>
          <w:tcPr>
            <w:tcW w:w="1668" w:type="dxa"/>
          </w:tcPr>
          <w:p w14:paraId="173A6924" w14:textId="77777777" w:rsidR="00A052DC" w:rsidRDefault="009F0A60">
            <w:pPr>
              <w:rPr>
                <w:rFonts w:ascii="黑体" w:eastAsia="黑体" w:hAnsi="黑体"/>
                <w:sz w:val="20"/>
                <w:szCs w:val="20"/>
              </w:rPr>
            </w:pPr>
            <w:r>
              <w:rPr>
                <w:rFonts w:ascii="黑体" w:eastAsia="黑体" w:hAnsi="黑体" w:hint="eastAsia"/>
                <w:sz w:val="20"/>
                <w:szCs w:val="20"/>
              </w:rPr>
              <w:t>银行业务编号</w:t>
            </w:r>
          </w:p>
        </w:tc>
        <w:tc>
          <w:tcPr>
            <w:tcW w:w="6854" w:type="dxa"/>
          </w:tcPr>
          <w:p w14:paraId="36E03683" w14:textId="77777777" w:rsidR="00A052DC" w:rsidRDefault="009F0A60">
            <w:pPr>
              <w:rPr>
                <w:rFonts w:ascii="黑体" w:eastAsia="黑体" w:hAnsi="黑体"/>
                <w:sz w:val="20"/>
                <w:szCs w:val="20"/>
              </w:rPr>
            </w:pPr>
            <w:r>
              <w:rPr>
                <w:rFonts w:ascii="黑体" w:eastAsia="黑体" w:hAnsi="黑体" w:hint="eastAsia"/>
                <w:sz w:val="20"/>
                <w:szCs w:val="20"/>
              </w:rPr>
              <w:t>指该业务在银行的业务编号。</w:t>
            </w:r>
          </w:p>
        </w:tc>
      </w:tr>
      <w:tr w:rsidR="00A052DC" w14:paraId="2720A843" w14:textId="77777777">
        <w:tc>
          <w:tcPr>
            <w:tcW w:w="1668" w:type="dxa"/>
          </w:tcPr>
          <w:p w14:paraId="2E6DD5A5" w14:textId="77777777" w:rsidR="00A052DC" w:rsidRDefault="009F0A60">
            <w:pPr>
              <w:rPr>
                <w:rFonts w:ascii="黑体" w:eastAsia="黑体" w:hAnsi="黑体"/>
                <w:sz w:val="20"/>
                <w:szCs w:val="20"/>
              </w:rPr>
            </w:pPr>
            <w:r>
              <w:rPr>
                <w:rFonts w:ascii="黑体" w:eastAsia="黑体" w:hAnsi="黑体" w:hint="eastAsia"/>
                <w:sz w:val="20"/>
                <w:szCs w:val="20"/>
              </w:rPr>
              <w:t>结汇申请人名称</w:t>
            </w:r>
          </w:p>
        </w:tc>
        <w:tc>
          <w:tcPr>
            <w:tcW w:w="6854" w:type="dxa"/>
          </w:tcPr>
          <w:p w14:paraId="46A9EC50" w14:textId="77777777" w:rsidR="00A052DC" w:rsidRDefault="009F0A60">
            <w:pPr>
              <w:rPr>
                <w:rFonts w:ascii="黑体" w:eastAsia="黑体" w:hAnsi="黑体"/>
                <w:sz w:val="20"/>
                <w:szCs w:val="20"/>
              </w:rPr>
            </w:pPr>
            <w:r>
              <w:rPr>
                <w:rFonts w:ascii="黑体" w:eastAsia="黑体" w:hAnsi="黑体" w:hint="eastAsia"/>
                <w:sz w:val="20"/>
                <w:szCs w:val="20"/>
              </w:rPr>
              <w:t>对公项下指结汇人预留银行印鉴、营业执照或国家外汇管理局及其分支局签发的特殊机构代码赋码通知书上的名称；</w:t>
            </w:r>
          </w:p>
          <w:p w14:paraId="7FDB9CF0" w14:textId="77777777" w:rsidR="00A052DC" w:rsidRDefault="009F0A60">
            <w:pPr>
              <w:rPr>
                <w:rFonts w:ascii="黑体" w:eastAsia="黑体" w:hAnsi="黑体"/>
                <w:sz w:val="20"/>
                <w:szCs w:val="20"/>
              </w:rPr>
            </w:pPr>
            <w:r>
              <w:rPr>
                <w:rFonts w:ascii="黑体" w:eastAsia="黑体" w:hAnsi="黑体" w:hint="eastAsia"/>
                <w:sz w:val="20"/>
                <w:szCs w:val="20"/>
              </w:rPr>
              <w:t>对私项下指个人身份证件上的名称。</w:t>
            </w:r>
          </w:p>
        </w:tc>
      </w:tr>
      <w:tr w:rsidR="00A052DC" w14:paraId="610D9E53" w14:textId="77777777">
        <w:tc>
          <w:tcPr>
            <w:tcW w:w="1668" w:type="dxa"/>
          </w:tcPr>
          <w:p w14:paraId="2AE3DC98" w14:textId="77777777" w:rsidR="00A052DC" w:rsidRDefault="009F0A60">
            <w:pPr>
              <w:rPr>
                <w:rFonts w:ascii="黑体" w:eastAsia="黑体" w:hAnsi="黑体"/>
                <w:sz w:val="20"/>
                <w:szCs w:val="20"/>
              </w:rPr>
            </w:pPr>
            <w:r>
              <w:rPr>
                <w:rFonts w:ascii="黑体" w:eastAsia="黑体" w:hAnsi="黑体" w:hint="eastAsia"/>
                <w:sz w:val="20"/>
                <w:szCs w:val="20"/>
              </w:rPr>
              <w:t>结汇申请人组织机构代码（身份证件号码）</w:t>
            </w:r>
          </w:p>
        </w:tc>
        <w:tc>
          <w:tcPr>
            <w:tcW w:w="6854" w:type="dxa"/>
          </w:tcPr>
          <w:p w14:paraId="02928D49" w14:textId="77777777" w:rsidR="00A052DC" w:rsidRDefault="009F0A60">
            <w:pPr>
              <w:rPr>
                <w:rFonts w:ascii="黑体" w:eastAsia="黑体" w:hAnsi="黑体"/>
                <w:sz w:val="20"/>
                <w:szCs w:val="20"/>
              </w:rPr>
            </w:pPr>
            <w:r>
              <w:rPr>
                <w:rFonts w:ascii="黑体" w:eastAsia="黑体" w:hAnsi="黑体" w:hint="eastAsia"/>
                <w:sz w:val="20"/>
                <w:szCs w:val="20"/>
              </w:rPr>
              <w:t>对公项下指统一社会信用代码法定载体（如营业执照）上统一社会信用代码中的第9至17位或国家外汇管理局及其分支局签发的特殊机构代码赋码通知书上的机构代码；</w:t>
            </w:r>
          </w:p>
          <w:p w14:paraId="4B42E9BC" w14:textId="77777777" w:rsidR="00A052DC" w:rsidRDefault="009F0A60">
            <w:pPr>
              <w:rPr>
                <w:rFonts w:ascii="黑体" w:eastAsia="黑体" w:hAnsi="黑体"/>
                <w:sz w:val="20"/>
                <w:szCs w:val="20"/>
              </w:rPr>
            </w:pPr>
            <w:r>
              <w:rPr>
                <w:rFonts w:ascii="黑体" w:eastAsia="黑体" w:hAnsi="黑体" w:hint="eastAsia"/>
                <w:sz w:val="20"/>
                <w:szCs w:val="20"/>
              </w:rPr>
              <w:t>对私项下包括境内居民个人的身份证号、军官证号等以及境外居民个人的护照号等。</w:t>
            </w:r>
          </w:p>
        </w:tc>
      </w:tr>
      <w:tr w:rsidR="00A052DC" w14:paraId="2575550C" w14:textId="77777777">
        <w:tc>
          <w:tcPr>
            <w:tcW w:w="1668" w:type="dxa"/>
          </w:tcPr>
          <w:p w14:paraId="627FBC81" w14:textId="77777777" w:rsidR="00A052DC" w:rsidRDefault="009F0A60">
            <w:pPr>
              <w:rPr>
                <w:rFonts w:ascii="黑体" w:eastAsia="黑体" w:hAnsi="黑体"/>
                <w:sz w:val="20"/>
                <w:szCs w:val="20"/>
              </w:rPr>
            </w:pPr>
            <w:r>
              <w:rPr>
                <w:rFonts w:ascii="黑体" w:eastAsia="黑体" w:hAnsi="黑体" w:hint="eastAsia"/>
                <w:sz w:val="20"/>
                <w:szCs w:val="20"/>
              </w:rPr>
              <w:t>外汇账户账号</w:t>
            </w:r>
          </w:p>
        </w:tc>
        <w:tc>
          <w:tcPr>
            <w:tcW w:w="6854" w:type="dxa"/>
          </w:tcPr>
          <w:p w14:paraId="596F7F59" w14:textId="77777777" w:rsidR="00A052DC" w:rsidRDefault="009F0A60">
            <w:pPr>
              <w:rPr>
                <w:rFonts w:ascii="黑体" w:eastAsia="黑体" w:hAnsi="黑体"/>
                <w:sz w:val="20"/>
                <w:szCs w:val="20"/>
              </w:rPr>
            </w:pPr>
            <w:r>
              <w:rPr>
                <w:rFonts w:ascii="黑体" w:eastAsia="黑体" w:hAnsi="黑体" w:hint="eastAsia"/>
                <w:sz w:val="20"/>
                <w:szCs w:val="20"/>
              </w:rPr>
              <w:t>银行在结汇时扣款的外汇账户账号/银行卡号，包括现汇账号、外汇保证金账号、银行外币卡卡号等。</w:t>
            </w:r>
          </w:p>
        </w:tc>
      </w:tr>
      <w:tr w:rsidR="00A052DC" w14:paraId="2A2A1088" w14:textId="77777777">
        <w:tc>
          <w:tcPr>
            <w:tcW w:w="1668" w:type="dxa"/>
          </w:tcPr>
          <w:p w14:paraId="214C6D6D" w14:textId="77777777" w:rsidR="00A052DC" w:rsidRDefault="009F0A60">
            <w:pPr>
              <w:rPr>
                <w:rFonts w:ascii="黑体" w:eastAsia="黑体" w:hAnsi="黑体"/>
                <w:sz w:val="20"/>
                <w:szCs w:val="20"/>
              </w:rPr>
            </w:pPr>
            <w:r>
              <w:rPr>
                <w:rFonts w:ascii="黑体" w:eastAsia="黑体" w:hAnsi="黑体" w:hint="eastAsia"/>
                <w:sz w:val="20"/>
                <w:szCs w:val="20"/>
              </w:rPr>
              <w:t>人民币账户账号</w:t>
            </w:r>
          </w:p>
        </w:tc>
        <w:tc>
          <w:tcPr>
            <w:tcW w:w="6854" w:type="dxa"/>
          </w:tcPr>
          <w:p w14:paraId="0C0EADB1" w14:textId="77777777" w:rsidR="00A052DC" w:rsidRDefault="009F0A60">
            <w:pPr>
              <w:rPr>
                <w:rFonts w:ascii="黑体" w:eastAsia="黑体" w:hAnsi="黑体"/>
                <w:sz w:val="20"/>
                <w:szCs w:val="20"/>
              </w:rPr>
            </w:pPr>
            <w:r>
              <w:rPr>
                <w:rFonts w:ascii="黑体" w:eastAsia="黑体" w:hAnsi="黑体" w:hint="eastAsia"/>
                <w:sz w:val="20"/>
                <w:szCs w:val="20"/>
              </w:rPr>
              <w:t>银行办理结汇后进入收款人人民币账户/银行卡的账号/卡号。如结汇后直接提取人民币现钞，无需填写人民币账户账号。</w:t>
            </w:r>
          </w:p>
        </w:tc>
      </w:tr>
      <w:tr w:rsidR="00A052DC" w14:paraId="72BEAB67" w14:textId="77777777">
        <w:tc>
          <w:tcPr>
            <w:tcW w:w="1668" w:type="dxa"/>
          </w:tcPr>
          <w:p w14:paraId="2AC8F1D9" w14:textId="77777777" w:rsidR="00A052DC" w:rsidRDefault="009F0A60">
            <w:pPr>
              <w:rPr>
                <w:rFonts w:ascii="黑体" w:eastAsia="黑体" w:hAnsi="黑体"/>
                <w:sz w:val="20"/>
                <w:szCs w:val="20"/>
              </w:rPr>
            </w:pPr>
            <w:r>
              <w:rPr>
                <w:rFonts w:ascii="黑体" w:eastAsia="黑体" w:hAnsi="黑体" w:hint="eastAsia"/>
                <w:sz w:val="20"/>
                <w:szCs w:val="20"/>
              </w:rPr>
              <w:t>人民币收款人名称</w:t>
            </w:r>
          </w:p>
        </w:tc>
        <w:tc>
          <w:tcPr>
            <w:tcW w:w="6854" w:type="dxa"/>
          </w:tcPr>
          <w:p w14:paraId="79F2CD66" w14:textId="77777777" w:rsidR="00A052DC" w:rsidRDefault="009F0A60">
            <w:pPr>
              <w:rPr>
                <w:rFonts w:ascii="黑体" w:eastAsia="黑体" w:hAnsi="黑体"/>
                <w:sz w:val="20"/>
                <w:szCs w:val="20"/>
              </w:rPr>
            </w:pPr>
            <w:r>
              <w:rPr>
                <w:rFonts w:ascii="黑体" w:eastAsia="黑体" w:hAnsi="黑体" w:hint="eastAsia"/>
                <w:sz w:val="20"/>
                <w:szCs w:val="20"/>
              </w:rPr>
              <w:t>上述人民币账户持有人的名称。如结汇后直接提取人民币现钞，则“人民币收款人名称”应与“结汇申请人名称”相同。</w:t>
            </w:r>
          </w:p>
        </w:tc>
      </w:tr>
      <w:tr w:rsidR="00A052DC" w14:paraId="3EB4BCB3" w14:textId="77777777">
        <w:tc>
          <w:tcPr>
            <w:tcW w:w="1668" w:type="dxa"/>
          </w:tcPr>
          <w:p w14:paraId="17C2773F" w14:textId="77777777" w:rsidR="00A052DC" w:rsidRDefault="009F0A60">
            <w:pPr>
              <w:rPr>
                <w:rFonts w:ascii="黑体" w:eastAsia="黑体" w:hAnsi="黑体"/>
                <w:sz w:val="20"/>
                <w:szCs w:val="20"/>
              </w:rPr>
            </w:pPr>
            <w:r>
              <w:rPr>
                <w:rFonts w:ascii="黑体" w:eastAsia="黑体" w:hAnsi="黑体" w:hint="eastAsia"/>
                <w:sz w:val="20"/>
                <w:szCs w:val="20"/>
              </w:rPr>
              <w:t>人民币账户开户行</w:t>
            </w:r>
          </w:p>
        </w:tc>
        <w:tc>
          <w:tcPr>
            <w:tcW w:w="6854" w:type="dxa"/>
          </w:tcPr>
          <w:p w14:paraId="1A6563DC" w14:textId="77777777" w:rsidR="00A052DC" w:rsidRDefault="009F0A60">
            <w:pPr>
              <w:rPr>
                <w:rFonts w:ascii="黑体" w:eastAsia="黑体" w:hAnsi="黑体"/>
                <w:sz w:val="20"/>
                <w:szCs w:val="20"/>
              </w:rPr>
            </w:pPr>
            <w:r>
              <w:rPr>
                <w:rFonts w:ascii="黑体" w:eastAsia="黑体" w:hAnsi="黑体" w:hint="eastAsia"/>
                <w:sz w:val="20"/>
                <w:szCs w:val="20"/>
              </w:rPr>
              <w:t>上述人民币账户的开户行名称。如结汇后直接提取人民币现钞，无需填写人民币账户开户行。</w:t>
            </w:r>
          </w:p>
        </w:tc>
      </w:tr>
      <w:tr w:rsidR="00A052DC" w14:paraId="56480EC3" w14:textId="77777777">
        <w:tc>
          <w:tcPr>
            <w:tcW w:w="1668" w:type="dxa"/>
          </w:tcPr>
          <w:p w14:paraId="36B7E756" w14:textId="77777777" w:rsidR="00A052DC" w:rsidRDefault="009F0A60">
            <w:pPr>
              <w:rPr>
                <w:rFonts w:ascii="黑体" w:eastAsia="黑体" w:hAnsi="黑体"/>
                <w:sz w:val="20"/>
                <w:szCs w:val="20"/>
              </w:rPr>
            </w:pPr>
            <w:r>
              <w:rPr>
                <w:rFonts w:ascii="黑体" w:eastAsia="黑体" w:hAnsi="黑体" w:hint="eastAsia"/>
                <w:sz w:val="20"/>
                <w:szCs w:val="20"/>
              </w:rPr>
              <w:t>结汇金额</w:t>
            </w:r>
          </w:p>
        </w:tc>
        <w:tc>
          <w:tcPr>
            <w:tcW w:w="6854" w:type="dxa"/>
          </w:tcPr>
          <w:p w14:paraId="48328C95" w14:textId="77777777" w:rsidR="00A052DC" w:rsidRDefault="009F0A60">
            <w:pPr>
              <w:rPr>
                <w:rFonts w:ascii="黑体" w:eastAsia="黑体" w:hAnsi="黑体"/>
                <w:sz w:val="20"/>
                <w:szCs w:val="20"/>
              </w:rPr>
            </w:pPr>
            <w:r>
              <w:rPr>
                <w:rFonts w:ascii="黑体" w:eastAsia="黑体" w:hAnsi="黑体" w:hint="eastAsia"/>
                <w:sz w:val="20"/>
                <w:szCs w:val="20"/>
              </w:rPr>
              <w:t>申请结汇成人民币的外汇金额。按原币金额填写，不含扣费金额。</w:t>
            </w:r>
          </w:p>
        </w:tc>
      </w:tr>
      <w:tr w:rsidR="00A052DC" w14:paraId="77DB3A6B" w14:textId="77777777">
        <w:tc>
          <w:tcPr>
            <w:tcW w:w="1668" w:type="dxa"/>
          </w:tcPr>
          <w:p w14:paraId="256B387E" w14:textId="77777777" w:rsidR="00A052DC" w:rsidRDefault="009F0A60">
            <w:pPr>
              <w:rPr>
                <w:rFonts w:ascii="黑体" w:eastAsia="黑体" w:hAnsi="黑体"/>
                <w:sz w:val="20"/>
                <w:szCs w:val="20"/>
              </w:rPr>
            </w:pPr>
            <w:r>
              <w:rPr>
                <w:rFonts w:ascii="黑体" w:eastAsia="黑体" w:hAnsi="黑体" w:hint="eastAsia"/>
                <w:sz w:val="20"/>
                <w:szCs w:val="20"/>
              </w:rPr>
              <w:t>币别</w:t>
            </w:r>
          </w:p>
        </w:tc>
        <w:tc>
          <w:tcPr>
            <w:tcW w:w="6854" w:type="dxa"/>
          </w:tcPr>
          <w:p w14:paraId="1D62F199" w14:textId="77777777" w:rsidR="00A052DC" w:rsidRDefault="009F0A60">
            <w:pPr>
              <w:rPr>
                <w:rFonts w:ascii="黑体" w:eastAsia="黑体" w:hAnsi="黑体"/>
                <w:sz w:val="20"/>
                <w:szCs w:val="20"/>
              </w:rPr>
            </w:pPr>
            <w:r>
              <w:rPr>
                <w:rFonts w:ascii="黑体" w:eastAsia="黑体" w:hAnsi="黑体" w:hint="eastAsia"/>
                <w:sz w:val="20"/>
                <w:szCs w:val="20"/>
              </w:rPr>
              <w:t>申请结汇的外汇币种。</w:t>
            </w:r>
          </w:p>
        </w:tc>
      </w:tr>
      <w:tr w:rsidR="00A052DC" w14:paraId="34006B39" w14:textId="77777777">
        <w:trPr>
          <w:cantSplit/>
        </w:trPr>
        <w:tc>
          <w:tcPr>
            <w:tcW w:w="1668" w:type="dxa"/>
          </w:tcPr>
          <w:p w14:paraId="305D11C9" w14:textId="77777777" w:rsidR="00A052DC" w:rsidRDefault="009F0A60">
            <w:pPr>
              <w:rPr>
                <w:rFonts w:ascii="黑体" w:eastAsia="黑体" w:hAnsi="黑体"/>
                <w:sz w:val="20"/>
                <w:szCs w:val="20"/>
              </w:rPr>
            </w:pPr>
            <w:r>
              <w:rPr>
                <w:rFonts w:ascii="黑体" w:eastAsia="黑体" w:hAnsi="黑体" w:hint="eastAsia"/>
                <w:sz w:val="20"/>
                <w:szCs w:val="20"/>
              </w:rPr>
              <w:t>结汇申请人主体类型</w:t>
            </w:r>
          </w:p>
        </w:tc>
        <w:tc>
          <w:tcPr>
            <w:tcW w:w="6854" w:type="dxa"/>
          </w:tcPr>
          <w:p w14:paraId="7D8009AF" w14:textId="77777777" w:rsidR="00A052DC" w:rsidRDefault="009F0A60">
            <w:pPr>
              <w:rPr>
                <w:rFonts w:ascii="黑体" w:eastAsia="黑体" w:hAnsi="黑体"/>
                <w:sz w:val="20"/>
                <w:szCs w:val="20"/>
              </w:rPr>
            </w:pPr>
            <w:r>
              <w:rPr>
                <w:rFonts w:ascii="黑体" w:eastAsia="黑体" w:hAnsi="黑体" w:hint="eastAsia"/>
                <w:sz w:val="20"/>
                <w:szCs w:val="20"/>
              </w:rPr>
              <w:t>在C</w:t>
            </w:r>
            <w:r w:rsidR="00AE4602">
              <w:rPr>
                <w:rFonts w:ascii="黑体" w:eastAsia="黑体" w:hAnsi="黑体" w:hint="eastAsia"/>
                <w:sz w:val="20"/>
                <w:szCs w:val="20"/>
              </w:rPr>
              <w:t>-</w:t>
            </w:r>
            <w:r>
              <w:rPr>
                <w:rFonts w:ascii="黑体" w:eastAsia="黑体" w:hAnsi="黑体" w:hint="eastAsia"/>
                <w:sz w:val="20"/>
                <w:szCs w:val="20"/>
              </w:rPr>
              <w:t>对公用户、D</w:t>
            </w:r>
            <w:r w:rsidR="00AE4602">
              <w:rPr>
                <w:rFonts w:ascii="黑体" w:eastAsia="黑体" w:hAnsi="黑体" w:hint="eastAsia"/>
                <w:sz w:val="20"/>
                <w:szCs w:val="20"/>
              </w:rPr>
              <w:t>-</w:t>
            </w:r>
            <w:r>
              <w:rPr>
                <w:rFonts w:ascii="黑体" w:eastAsia="黑体" w:hAnsi="黑体" w:hint="eastAsia"/>
                <w:sz w:val="20"/>
                <w:szCs w:val="20"/>
              </w:rPr>
              <w:t>对私中国居民、F</w:t>
            </w:r>
            <w:r w:rsidR="00AE4602">
              <w:rPr>
                <w:rFonts w:ascii="黑体" w:eastAsia="黑体" w:hAnsi="黑体" w:hint="eastAsia"/>
                <w:sz w:val="20"/>
                <w:szCs w:val="20"/>
              </w:rPr>
              <w:t>-</w:t>
            </w:r>
            <w:r>
              <w:rPr>
                <w:rFonts w:ascii="黑体" w:eastAsia="黑体" w:hAnsi="黑体" w:hint="eastAsia"/>
                <w:sz w:val="20"/>
                <w:szCs w:val="20"/>
              </w:rPr>
              <w:t>对私中国非居民中选择其一。</w:t>
            </w:r>
          </w:p>
        </w:tc>
      </w:tr>
      <w:tr w:rsidR="00A052DC" w14:paraId="0EFF3C59" w14:textId="77777777">
        <w:tc>
          <w:tcPr>
            <w:tcW w:w="1668" w:type="dxa"/>
          </w:tcPr>
          <w:p w14:paraId="0F1E2BDF" w14:textId="77777777" w:rsidR="00A052DC" w:rsidRDefault="009F0A60">
            <w:pPr>
              <w:rPr>
                <w:rFonts w:ascii="黑体" w:eastAsia="黑体" w:hAnsi="黑体"/>
                <w:sz w:val="20"/>
                <w:szCs w:val="20"/>
              </w:rPr>
            </w:pPr>
            <w:r>
              <w:rPr>
                <w:rFonts w:ascii="黑体" w:eastAsia="黑体" w:hAnsi="黑体" w:hint="eastAsia"/>
                <w:sz w:val="20"/>
                <w:szCs w:val="20"/>
              </w:rPr>
              <w:t>汇率</w:t>
            </w:r>
          </w:p>
        </w:tc>
        <w:tc>
          <w:tcPr>
            <w:tcW w:w="6854" w:type="dxa"/>
          </w:tcPr>
          <w:p w14:paraId="1385CC67" w14:textId="77777777" w:rsidR="00A052DC" w:rsidRDefault="009F0A60">
            <w:pPr>
              <w:rPr>
                <w:rFonts w:ascii="黑体" w:eastAsia="黑体" w:hAnsi="黑体"/>
                <w:sz w:val="20"/>
                <w:szCs w:val="20"/>
              </w:rPr>
            </w:pPr>
            <w:r>
              <w:rPr>
                <w:rFonts w:ascii="黑体" w:eastAsia="黑体" w:hAnsi="黑体" w:hint="eastAsia"/>
                <w:sz w:val="20"/>
                <w:szCs w:val="20"/>
              </w:rPr>
              <w:t>银行办理结汇的汇率。</w:t>
            </w:r>
          </w:p>
        </w:tc>
      </w:tr>
    </w:tbl>
    <w:p w14:paraId="70BAED42" w14:textId="77777777" w:rsidR="00A052DC" w:rsidRDefault="009F0A60">
      <w:pPr>
        <w:pStyle w:val="4"/>
        <w:numPr>
          <w:ilvl w:val="3"/>
          <w:numId w:val="1"/>
        </w:numPr>
        <w:jc w:val="left"/>
      </w:pPr>
      <w:bookmarkStart w:id="1374" w:name="_Toc454386835"/>
      <w:bookmarkStart w:id="1375" w:name="_Toc310598079"/>
      <w:bookmarkStart w:id="1376" w:name="_Toc454386836"/>
      <w:bookmarkEnd w:id="1374"/>
      <w:r>
        <w:rPr>
          <w:rFonts w:hint="eastAsia"/>
        </w:rPr>
        <w:t>数据格式</w:t>
      </w:r>
      <w:bookmarkEnd w:id="1375"/>
      <w:bookmarkEnd w:id="1376"/>
    </w:p>
    <w:p w14:paraId="4E2CEF64" w14:textId="77777777" w:rsidR="00A052DC" w:rsidRDefault="009F0A60">
      <w:r>
        <w:t>&lt;REC&gt;</w:t>
      </w:r>
    </w:p>
    <w:p w14:paraId="2CE8B741" w14:textId="77777777" w:rsidR="00A052DC" w:rsidRDefault="009F0A60">
      <w:r>
        <w:t>&lt;ACTIONTYPE&gt;</w:t>
      </w:r>
      <w:r>
        <w:rPr>
          <w:rFonts w:hint="eastAsia"/>
        </w:rPr>
        <w:t>操作类型</w:t>
      </w:r>
      <w:r>
        <w:t>&lt;/ACTIONTYPE&gt;</w:t>
      </w:r>
    </w:p>
    <w:p w14:paraId="76CB0FFA" w14:textId="77777777" w:rsidR="00A052DC" w:rsidRDefault="009F0A60">
      <w:r>
        <w:t>&lt;ACTIONDESC&gt;</w:t>
      </w:r>
      <w:r>
        <w:rPr>
          <w:rFonts w:hint="eastAsia"/>
        </w:rPr>
        <w:t>修改</w:t>
      </w:r>
      <w:r>
        <w:t>/</w:t>
      </w:r>
      <w:r>
        <w:rPr>
          <w:rFonts w:hint="eastAsia"/>
        </w:rPr>
        <w:t>删除原因</w:t>
      </w:r>
      <w:r>
        <w:t>/</w:t>
      </w:r>
      <w:r>
        <w:rPr>
          <w:rFonts w:hint="eastAsia"/>
        </w:rPr>
        <w:t>申报无误理由</w:t>
      </w:r>
      <w:r>
        <w:t>&lt;/ACTIONDESC&gt;</w:t>
      </w:r>
    </w:p>
    <w:p w14:paraId="6730E214" w14:textId="77777777" w:rsidR="00A052DC" w:rsidRDefault="009F0A60">
      <w:r>
        <w:t>&lt;RPTNO&gt;</w:t>
      </w:r>
      <w:r>
        <w:rPr>
          <w:rFonts w:hint="eastAsia"/>
        </w:rPr>
        <w:t>申报号码</w:t>
      </w:r>
      <w:r>
        <w:t>&lt;/RPTNO&gt;</w:t>
      </w:r>
    </w:p>
    <w:p w14:paraId="595E07A2" w14:textId="77777777" w:rsidR="00A052DC" w:rsidRDefault="009F0A60">
      <w:r>
        <w:t>&lt;BUSCODE&gt;</w:t>
      </w:r>
      <w:r>
        <w:rPr>
          <w:rFonts w:hint="eastAsia"/>
        </w:rPr>
        <w:t>银行业务编码</w:t>
      </w:r>
      <w:r>
        <w:t>&lt;/BUSCODE&gt;</w:t>
      </w:r>
    </w:p>
    <w:p w14:paraId="0757C10D" w14:textId="77777777" w:rsidR="00A052DC" w:rsidRDefault="009F0A60">
      <w:r>
        <w:t>&lt;CUSTYPE&gt;</w:t>
      </w:r>
      <w:r>
        <w:rPr>
          <w:rFonts w:hint="eastAsia"/>
        </w:rPr>
        <w:t>结汇申请人主体类型</w:t>
      </w:r>
      <w:r>
        <w:t>&lt;/CUSTYPE&gt;</w:t>
      </w:r>
    </w:p>
    <w:p w14:paraId="4C95B21D" w14:textId="77777777" w:rsidR="00A052DC" w:rsidRDefault="009F0A60">
      <w:r>
        <w:t>&lt;CUSTCOD&gt;</w:t>
      </w:r>
      <w:r>
        <w:rPr>
          <w:rFonts w:hint="eastAsia"/>
        </w:rPr>
        <w:t>结汇申请人组织机构代码</w:t>
      </w:r>
      <w:r>
        <w:t>&lt;/CUSTCOD&gt;</w:t>
      </w:r>
    </w:p>
    <w:p w14:paraId="25DEEAB0" w14:textId="77777777" w:rsidR="00A052DC" w:rsidRDefault="009F0A60">
      <w:r>
        <w:t>&lt;IDCODE&gt;</w:t>
      </w:r>
      <w:r>
        <w:rPr>
          <w:rFonts w:hint="eastAsia"/>
        </w:rPr>
        <w:t>结汇申请人个人身份证件号码</w:t>
      </w:r>
      <w:r>
        <w:t>&lt;/IDCODE&gt;</w:t>
      </w:r>
    </w:p>
    <w:p w14:paraId="73DE27D8" w14:textId="77777777" w:rsidR="00A052DC" w:rsidRDefault="009F0A60">
      <w:r>
        <w:t>&lt;CUSTNM&gt;</w:t>
      </w:r>
      <w:r>
        <w:rPr>
          <w:rFonts w:hint="eastAsia"/>
        </w:rPr>
        <w:t>结汇申请人名称</w:t>
      </w:r>
      <w:r>
        <w:t>&lt;/CUSTNM&gt;</w:t>
      </w:r>
    </w:p>
    <w:p w14:paraId="2CAB755E" w14:textId="77777777" w:rsidR="00A052DC" w:rsidRDefault="009F0A60">
      <w:r>
        <w:t>&lt;FCYACC&gt;</w:t>
      </w:r>
      <w:r>
        <w:rPr>
          <w:rFonts w:hint="eastAsia"/>
        </w:rPr>
        <w:t>外汇账户账号</w:t>
      </w:r>
      <w:r>
        <w:t>&lt;/FCYACC&gt;</w:t>
      </w:r>
    </w:p>
    <w:p w14:paraId="48C26034" w14:textId="77777777" w:rsidR="00A052DC" w:rsidRDefault="009F0A60">
      <w:r>
        <w:t>&lt;LCYACC&gt;</w:t>
      </w:r>
      <w:r>
        <w:rPr>
          <w:rFonts w:hint="eastAsia"/>
        </w:rPr>
        <w:t>人民币账户账号</w:t>
      </w:r>
      <w:r>
        <w:t>&lt;/LCYACC&gt;</w:t>
      </w:r>
    </w:p>
    <w:p w14:paraId="63F1888D" w14:textId="77777777" w:rsidR="00A052DC" w:rsidRDefault="009F0A60">
      <w:r>
        <w:t>&lt;OPPUSER&gt;</w:t>
      </w:r>
      <w:r>
        <w:rPr>
          <w:rFonts w:hint="eastAsia"/>
        </w:rPr>
        <w:t>人民币收款人名称</w:t>
      </w:r>
      <w:r>
        <w:t>&lt;/OPPUSER&gt;</w:t>
      </w:r>
    </w:p>
    <w:p w14:paraId="44106503" w14:textId="77777777" w:rsidR="00A052DC" w:rsidRDefault="009F0A60">
      <w:r>
        <w:t>&lt;OPPBANK&gt;</w:t>
      </w:r>
      <w:r>
        <w:rPr>
          <w:rFonts w:hint="eastAsia"/>
        </w:rPr>
        <w:t>人民币账户开户行</w:t>
      </w:r>
      <w:r>
        <w:t>&lt;/OPPBANK&gt;</w:t>
      </w:r>
    </w:p>
    <w:p w14:paraId="43FFEB1F" w14:textId="77777777" w:rsidR="00A052DC" w:rsidRDefault="009F0A60">
      <w:r>
        <w:t>&lt;FCYAMT&gt;</w:t>
      </w:r>
      <w:r>
        <w:rPr>
          <w:rFonts w:hint="eastAsia"/>
        </w:rPr>
        <w:t>结汇金额</w:t>
      </w:r>
      <w:r>
        <w:t>&lt;/FCYAMT&gt;</w:t>
      </w:r>
    </w:p>
    <w:p w14:paraId="4BEBE598" w14:textId="77777777" w:rsidR="00A052DC" w:rsidRDefault="009F0A60">
      <w:r>
        <w:t>&lt;FCYCCY&gt;</w:t>
      </w:r>
      <w:r>
        <w:rPr>
          <w:rFonts w:hint="eastAsia"/>
        </w:rPr>
        <w:t>币别</w:t>
      </w:r>
      <w:r>
        <w:t>&lt;/FCYCCY&gt;</w:t>
      </w:r>
    </w:p>
    <w:p w14:paraId="33D3D030" w14:textId="77777777" w:rsidR="00A052DC" w:rsidRDefault="009F0A60">
      <w:r>
        <w:t>&lt;EXRATE&gt;</w:t>
      </w:r>
      <w:r>
        <w:rPr>
          <w:rFonts w:hint="eastAsia"/>
        </w:rPr>
        <w:t>汇率</w:t>
      </w:r>
      <w:r>
        <w:t>&lt;/EXRATE&gt;</w:t>
      </w:r>
    </w:p>
    <w:p w14:paraId="5FE67E5A" w14:textId="77777777" w:rsidR="00A052DC" w:rsidRDefault="009F0A60">
      <w:r>
        <w:t>&lt;/REC&gt;</w:t>
      </w:r>
    </w:p>
    <w:p w14:paraId="288A3663" w14:textId="77777777" w:rsidR="00A052DC" w:rsidRDefault="009F0A60" w:rsidP="0020251D">
      <w:pPr>
        <w:pStyle w:val="4"/>
        <w:numPr>
          <w:ilvl w:val="3"/>
          <w:numId w:val="1"/>
        </w:numPr>
        <w:jc w:val="left"/>
      </w:pPr>
      <w:bookmarkStart w:id="1377" w:name="_Toc454386837"/>
      <w:bookmarkStart w:id="1378" w:name="_Toc454386838"/>
      <w:bookmarkStart w:id="1379" w:name="_Toc310598080"/>
      <w:bookmarkEnd w:id="1377"/>
      <w:r>
        <w:rPr>
          <w:rFonts w:hint="eastAsia"/>
        </w:rPr>
        <w:t>数据字典</w:t>
      </w:r>
      <w:bookmarkEnd w:id="1378"/>
      <w:bookmarkEnd w:id="1379"/>
    </w:p>
    <w:tbl>
      <w:tblPr>
        <w:tblW w:w="86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701"/>
        <w:gridCol w:w="1417"/>
        <w:gridCol w:w="3969"/>
      </w:tblGrid>
      <w:tr w:rsidR="00A052DC" w14:paraId="121B2690" w14:textId="77777777">
        <w:trPr>
          <w:tblHeader/>
        </w:trPr>
        <w:tc>
          <w:tcPr>
            <w:tcW w:w="1560" w:type="dxa"/>
            <w:shd w:val="clear" w:color="auto" w:fill="BFBFBF"/>
          </w:tcPr>
          <w:p w14:paraId="595538D3" w14:textId="77777777" w:rsidR="00A052DC" w:rsidRDefault="009F0A60">
            <w:pPr>
              <w:jc w:val="center"/>
              <w:rPr>
                <w:rFonts w:ascii="黑体" w:eastAsia="黑体" w:hAnsi="黑体"/>
                <w:b/>
                <w:sz w:val="20"/>
                <w:szCs w:val="20"/>
              </w:rPr>
            </w:pPr>
            <w:r>
              <w:rPr>
                <w:rFonts w:ascii="黑体" w:eastAsia="黑体" w:hAnsi="黑体" w:hint="eastAsia"/>
                <w:b/>
                <w:sz w:val="20"/>
                <w:szCs w:val="20"/>
              </w:rPr>
              <w:t>字段</w:t>
            </w:r>
          </w:p>
        </w:tc>
        <w:tc>
          <w:tcPr>
            <w:tcW w:w="1701" w:type="dxa"/>
            <w:shd w:val="clear" w:color="auto" w:fill="BFBFBF"/>
          </w:tcPr>
          <w:p w14:paraId="3571CDB8" w14:textId="77777777" w:rsidR="00A052DC" w:rsidRDefault="009F0A60">
            <w:pPr>
              <w:jc w:val="center"/>
              <w:rPr>
                <w:rFonts w:ascii="黑体" w:eastAsia="黑体" w:hAnsi="黑体"/>
                <w:b/>
                <w:sz w:val="20"/>
                <w:szCs w:val="20"/>
              </w:rPr>
            </w:pPr>
            <w:r>
              <w:rPr>
                <w:rFonts w:ascii="黑体" w:eastAsia="黑体" w:hAnsi="黑体" w:hint="eastAsia"/>
                <w:b/>
                <w:sz w:val="20"/>
                <w:szCs w:val="20"/>
              </w:rPr>
              <w:t>内容</w:t>
            </w:r>
          </w:p>
        </w:tc>
        <w:tc>
          <w:tcPr>
            <w:tcW w:w="1417" w:type="dxa"/>
            <w:shd w:val="clear" w:color="auto" w:fill="BFBFBF"/>
          </w:tcPr>
          <w:p w14:paraId="69EDE83A" w14:textId="77777777" w:rsidR="00A052DC" w:rsidRDefault="009F0A60">
            <w:pPr>
              <w:jc w:val="center"/>
              <w:rPr>
                <w:rFonts w:ascii="黑体" w:eastAsia="黑体" w:hAnsi="黑体"/>
                <w:b/>
                <w:sz w:val="20"/>
                <w:szCs w:val="20"/>
              </w:rPr>
            </w:pPr>
            <w:r>
              <w:rPr>
                <w:rFonts w:ascii="黑体" w:eastAsia="黑体" w:hAnsi="黑体" w:hint="eastAsia"/>
                <w:b/>
                <w:sz w:val="20"/>
                <w:szCs w:val="20"/>
              </w:rPr>
              <w:t>类型（长度）</w:t>
            </w:r>
          </w:p>
        </w:tc>
        <w:tc>
          <w:tcPr>
            <w:tcW w:w="3969" w:type="dxa"/>
            <w:shd w:val="clear" w:color="auto" w:fill="BFBFBF"/>
          </w:tcPr>
          <w:p w14:paraId="66F2F7D9" w14:textId="77777777" w:rsidR="00A052DC" w:rsidRDefault="009F0A60">
            <w:pPr>
              <w:jc w:val="center"/>
              <w:rPr>
                <w:rFonts w:ascii="黑体" w:eastAsia="黑体" w:hAnsi="黑体"/>
                <w:b/>
                <w:sz w:val="20"/>
                <w:szCs w:val="20"/>
              </w:rPr>
            </w:pPr>
            <w:r>
              <w:rPr>
                <w:rFonts w:ascii="黑体" w:eastAsia="黑体" w:hAnsi="黑体" w:hint="eastAsia"/>
                <w:b/>
                <w:sz w:val="20"/>
                <w:szCs w:val="20"/>
              </w:rPr>
              <w:t>校验</w:t>
            </w:r>
          </w:p>
        </w:tc>
      </w:tr>
      <w:tr w:rsidR="00A052DC" w14:paraId="2A82429B" w14:textId="77777777">
        <w:tc>
          <w:tcPr>
            <w:tcW w:w="1560" w:type="dxa"/>
          </w:tcPr>
          <w:p w14:paraId="36A316EA" w14:textId="77777777" w:rsidR="00A052DC" w:rsidRDefault="009F0A60">
            <w:pPr>
              <w:rPr>
                <w:rFonts w:ascii="黑体" w:eastAsia="黑体" w:hAnsi="黑体"/>
                <w:sz w:val="20"/>
                <w:szCs w:val="20"/>
              </w:rPr>
            </w:pPr>
            <w:r>
              <w:rPr>
                <w:rFonts w:ascii="黑体" w:eastAsia="黑体" w:hAnsi="黑体" w:hint="eastAsia"/>
                <w:sz w:val="20"/>
                <w:szCs w:val="20"/>
              </w:rPr>
              <w:t>ACTIONTYPE</w:t>
            </w:r>
          </w:p>
        </w:tc>
        <w:tc>
          <w:tcPr>
            <w:tcW w:w="1701" w:type="dxa"/>
          </w:tcPr>
          <w:p w14:paraId="29B2D61E" w14:textId="77777777" w:rsidR="00A052DC" w:rsidRDefault="009F0A60">
            <w:pPr>
              <w:rPr>
                <w:rFonts w:ascii="黑体" w:eastAsia="黑体" w:hAnsi="黑体"/>
                <w:sz w:val="20"/>
                <w:szCs w:val="20"/>
              </w:rPr>
            </w:pPr>
            <w:r>
              <w:rPr>
                <w:rFonts w:ascii="黑体" w:eastAsia="黑体" w:hAnsi="黑体" w:hint="eastAsia"/>
                <w:sz w:val="20"/>
                <w:szCs w:val="20"/>
              </w:rPr>
              <w:t>操作类型</w:t>
            </w:r>
          </w:p>
        </w:tc>
        <w:tc>
          <w:tcPr>
            <w:tcW w:w="1417" w:type="dxa"/>
          </w:tcPr>
          <w:p w14:paraId="4CCCFED6" w14:textId="77777777" w:rsidR="00A052DC" w:rsidRDefault="009F0A60">
            <w:pPr>
              <w:rPr>
                <w:rFonts w:ascii="黑体" w:eastAsia="黑体" w:hAnsi="黑体"/>
                <w:sz w:val="20"/>
                <w:szCs w:val="20"/>
              </w:rPr>
            </w:pPr>
            <w:r>
              <w:rPr>
                <w:rFonts w:ascii="黑体" w:eastAsia="黑体" w:hAnsi="黑体" w:hint="eastAsia"/>
                <w:sz w:val="20"/>
                <w:szCs w:val="20"/>
              </w:rPr>
              <w:t>字符型，</w:t>
            </w:r>
            <w:r>
              <w:rPr>
                <w:rFonts w:ascii="黑体" w:eastAsia="黑体" w:hAnsi="黑体"/>
                <w:sz w:val="20"/>
                <w:szCs w:val="20"/>
              </w:rPr>
              <w:t>1</w:t>
            </w:r>
          </w:p>
        </w:tc>
        <w:tc>
          <w:tcPr>
            <w:tcW w:w="3969" w:type="dxa"/>
          </w:tcPr>
          <w:p w14:paraId="6F592B96" w14:textId="77777777" w:rsidR="00A052DC" w:rsidRDefault="009F0A60">
            <w:pPr>
              <w:rPr>
                <w:rFonts w:ascii="黑体" w:eastAsia="黑体" w:hAnsi="黑体"/>
                <w:sz w:val="20"/>
                <w:szCs w:val="20"/>
              </w:rPr>
            </w:pPr>
            <w:r>
              <w:rPr>
                <w:rFonts w:ascii="黑体" w:eastAsia="黑体" w:hAnsi="黑体" w:hint="eastAsia"/>
                <w:sz w:val="20"/>
                <w:szCs w:val="20"/>
              </w:rPr>
              <w:t>A</w:t>
            </w:r>
            <w:r w:rsidR="00AE4602">
              <w:rPr>
                <w:rFonts w:ascii="黑体" w:eastAsia="黑体" w:hAnsi="黑体" w:hint="eastAsia"/>
                <w:sz w:val="20"/>
                <w:szCs w:val="20"/>
              </w:rPr>
              <w:t>-</w:t>
            </w:r>
            <w:r>
              <w:rPr>
                <w:rFonts w:ascii="黑体" w:eastAsia="黑体" w:hAnsi="黑体" w:hint="eastAsia"/>
                <w:sz w:val="20"/>
                <w:szCs w:val="20"/>
              </w:rPr>
              <w:t>新建</w:t>
            </w:r>
          </w:p>
          <w:p w14:paraId="4AE9FD26" w14:textId="77777777" w:rsidR="00A052DC" w:rsidRDefault="009F0A60">
            <w:pPr>
              <w:rPr>
                <w:rFonts w:ascii="黑体" w:eastAsia="黑体" w:hAnsi="黑体"/>
                <w:sz w:val="20"/>
                <w:szCs w:val="20"/>
              </w:rPr>
            </w:pPr>
            <w:r>
              <w:rPr>
                <w:rFonts w:ascii="黑体" w:eastAsia="黑体" w:hAnsi="黑体" w:hint="eastAsia"/>
                <w:sz w:val="20"/>
                <w:szCs w:val="20"/>
              </w:rPr>
              <w:t>C</w:t>
            </w:r>
            <w:r w:rsidR="00AE4602">
              <w:rPr>
                <w:rFonts w:ascii="黑体" w:eastAsia="黑体" w:hAnsi="黑体" w:hint="eastAsia"/>
                <w:sz w:val="20"/>
                <w:szCs w:val="20"/>
              </w:rPr>
              <w:t>-</w:t>
            </w:r>
            <w:r>
              <w:rPr>
                <w:rFonts w:ascii="黑体" w:eastAsia="黑体" w:hAnsi="黑体" w:hint="eastAsia"/>
                <w:sz w:val="20"/>
                <w:szCs w:val="20"/>
              </w:rPr>
              <w:t>修改</w:t>
            </w:r>
          </w:p>
          <w:p w14:paraId="0DA164C3" w14:textId="77777777" w:rsidR="00A052DC" w:rsidRDefault="009F0A60">
            <w:pPr>
              <w:rPr>
                <w:rFonts w:ascii="黑体" w:eastAsia="黑体" w:hAnsi="黑体"/>
                <w:sz w:val="20"/>
                <w:szCs w:val="20"/>
              </w:rPr>
            </w:pPr>
            <w:r>
              <w:rPr>
                <w:rFonts w:ascii="黑体" w:eastAsia="黑体" w:hAnsi="黑体" w:hint="eastAsia"/>
                <w:sz w:val="20"/>
                <w:szCs w:val="20"/>
              </w:rPr>
              <w:t>D</w:t>
            </w:r>
            <w:r w:rsidR="00AE4602">
              <w:rPr>
                <w:rFonts w:ascii="黑体" w:eastAsia="黑体" w:hAnsi="黑体" w:hint="eastAsia"/>
                <w:sz w:val="20"/>
                <w:szCs w:val="20"/>
              </w:rPr>
              <w:t>-</w:t>
            </w:r>
            <w:r>
              <w:rPr>
                <w:rFonts w:ascii="黑体" w:eastAsia="黑体" w:hAnsi="黑体" w:hint="eastAsia"/>
                <w:sz w:val="20"/>
                <w:szCs w:val="20"/>
              </w:rPr>
              <w:t>删除</w:t>
            </w:r>
          </w:p>
          <w:p w14:paraId="03A34B09" w14:textId="77777777" w:rsidR="00A052DC" w:rsidRDefault="009F0A60" w:rsidP="000E18F5">
            <w:pPr>
              <w:rPr>
                <w:rFonts w:ascii="黑体" w:eastAsia="黑体" w:hAnsi="黑体"/>
                <w:sz w:val="20"/>
                <w:szCs w:val="20"/>
              </w:rPr>
            </w:pPr>
            <w:r>
              <w:rPr>
                <w:rFonts w:ascii="黑体" w:eastAsia="黑体" w:hAnsi="黑体" w:hint="eastAsia"/>
                <w:sz w:val="20"/>
                <w:szCs w:val="20"/>
              </w:rPr>
              <w:t>R-申报无误（银行反馈），预留，暂不用</w:t>
            </w:r>
          </w:p>
        </w:tc>
      </w:tr>
      <w:tr w:rsidR="00A052DC" w14:paraId="61B2763E" w14:textId="77777777">
        <w:tc>
          <w:tcPr>
            <w:tcW w:w="1560" w:type="dxa"/>
          </w:tcPr>
          <w:p w14:paraId="6241FFD6" w14:textId="77777777" w:rsidR="00A052DC" w:rsidRDefault="009F0A60">
            <w:pPr>
              <w:rPr>
                <w:rFonts w:ascii="黑体" w:eastAsia="黑体" w:hAnsi="黑体"/>
                <w:sz w:val="20"/>
                <w:szCs w:val="20"/>
              </w:rPr>
            </w:pPr>
            <w:r>
              <w:rPr>
                <w:rFonts w:ascii="黑体" w:eastAsia="黑体" w:hAnsi="黑体" w:hint="eastAsia"/>
                <w:sz w:val="20"/>
                <w:szCs w:val="20"/>
              </w:rPr>
              <w:t>ACTIONDESC</w:t>
            </w:r>
          </w:p>
        </w:tc>
        <w:tc>
          <w:tcPr>
            <w:tcW w:w="1701" w:type="dxa"/>
          </w:tcPr>
          <w:p w14:paraId="1900922E" w14:textId="77777777" w:rsidR="00A052DC" w:rsidRDefault="009F0A60">
            <w:pPr>
              <w:rPr>
                <w:rFonts w:ascii="黑体" w:eastAsia="黑体" w:hAnsi="黑体"/>
                <w:sz w:val="20"/>
                <w:szCs w:val="20"/>
              </w:rPr>
            </w:pPr>
            <w:r>
              <w:rPr>
                <w:rFonts w:ascii="黑体" w:eastAsia="黑体" w:hAnsi="黑体" w:hint="eastAsia"/>
                <w:sz w:val="20"/>
                <w:szCs w:val="20"/>
              </w:rPr>
              <w:t>修改/删除原因或申报无误理由</w:t>
            </w:r>
          </w:p>
        </w:tc>
        <w:tc>
          <w:tcPr>
            <w:tcW w:w="1417" w:type="dxa"/>
          </w:tcPr>
          <w:p w14:paraId="45F4B598" w14:textId="77777777" w:rsidR="00A052DC" w:rsidRDefault="009F0A60">
            <w:pPr>
              <w:rPr>
                <w:rFonts w:ascii="黑体" w:eastAsia="黑体" w:hAnsi="黑体"/>
                <w:sz w:val="20"/>
                <w:szCs w:val="20"/>
              </w:rPr>
            </w:pPr>
            <w:r>
              <w:rPr>
                <w:rFonts w:ascii="黑体" w:eastAsia="黑体" w:hAnsi="黑体" w:hint="eastAsia"/>
                <w:sz w:val="20"/>
                <w:szCs w:val="20"/>
              </w:rPr>
              <w:t>字符型，</w:t>
            </w:r>
            <w:r>
              <w:rPr>
                <w:rFonts w:ascii="黑体" w:eastAsia="黑体" w:hAnsi="黑体"/>
                <w:sz w:val="20"/>
                <w:szCs w:val="20"/>
              </w:rPr>
              <w:t>128</w:t>
            </w:r>
          </w:p>
        </w:tc>
        <w:tc>
          <w:tcPr>
            <w:tcW w:w="3969" w:type="dxa"/>
          </w:tcPr>
          <w:p w14:paraId="57E75B9D" w14:textId="77777777" w:rsidR="00A052DC" w:rsidRDefault="00A052DC">
            <w:pPr>
              <w:keepNext/>
              <w:keepLines/>
              <w:spacing w:before="120" w:after="120" w:line="360" w:lineRule="auto"/>
              <w:outlineLvl w:val="2"/>
              <w:rPr>
                <w:rFonts w:ascii="黑体" w:eastAsia="黑体" w:hAnsi="黑体"/>
                <w:sz w:val="20"/>
                <w:szCs w:val="20"/>
              </w:rPr>
            </w:pPr>
          </w:p>
        </w:tc>
      </w:tr>
      <w:tr w:rsidR="00A052DC" w14:paraId="4DEA3E6D" w14:textId="77777777">
        <w:tc>
          <w:tcPr>
            <w:tcW w:w="1560" w:type="dxa"/>
          </w:tcPr>
          <w:p w14:paraId="166F0B0F" w14:textId="77777777" w:rsidR="00A052DC" w:rsidRDefault="009F0A60">
            <w:pPr>
              <w:rPr>
                <w:rFonts w:ascii="黑体" w:eastAsia="黑体" w:hAnsi="黑体"/>
                <w:sz w:val="20"/>
                <w:szCs w:val="20"/>
              </w:rPr>
            </w:pPr>
            <w:r>
              <w:rPr>
                <w:rFonts w:ascii="黑体" w:eastAsia="黑体" w:hAnsi="黑体" w:hint="eastAsia"/>
                <w:sz w:val="20"/>
                <w:szCs w:val="20"/>
              </w:rPr>
              <w:t>RPTNO</w:t>
            </w:r>
          </w:p>
        </w:tc>
        <w:tc>
          <w:tcPr>
            <w:tcW w:w="1701" w:type="dxa"/>
          </w:tcPr>
          <w:p w14:paraId="3D07EC75" w14:textId="77777777" w:rsidR="00A052DC" w:rsidRDefault="009F0A60">
            <w:pPr>
              <w:rPr>
                <w:rFonts w:ascii="黑体" w:eastAsia="黑体" w:hAnsi="黑体"/>
                <w:sz w:val="20"/>
                <w:szCs w:val="20"/>
              </w:rPr>
            </w:pPr>
            <w:r>
              <w:rPr>
                <w:rFonts w:ascii="黑体" w:eastAsia="黑体" w:hAnsi="黑体" w:hint="eastAsia"/>
                <w:sz w:val="20"/>
                <w:szCs w:val="20"/>
              </w:rPr>
              <w:t>申报号码</w:t>
            </w:r>
          </w:p>
        </w:tc>
        <w:tc>
          <w:tcPr>
            <w:tcW w:w="1417" w:type="dxa"/>
          </w:tcPr>
          <w:p w14:paraId="74070C35" w14:textId="77777777" w:rsidR="00A052DC" w:rsidRDefault="009F0A60">
            <w:pPr>
              <w:rPr>
                <w:rFonts w:ascii="黑体" w:eastAsia="黑体" w:hAnsi="黑体"/>
                <w:sz w:val="20"/>
                <w:szCs w:val="20"/>
              </w:rPr>
            </w:pPr>
            <w:r>
              <w:rPr>
                <w:rFonts w:ascii="黑体" w:eastAsia="黑体" w:hAnsi="黑体" w:hint="eastAsia"/>
                <w:sz w:val="20"/>
                <w:szCs w:val="20"/>
              </w:rPr>
              <w:t>字符型，</w:t>
            </w:r>
            <w:r>
              <w:rPr>
                <w:rFonts w:ascii="黑体" w:eastAsia="黑体" w:hAnsi="黑体"/>
                <w:sz w:val="20"/>
                <w:szCs w:val="20"/>
              </w:rPr>
              <w:t>22</w:t>
            </w:r>
          </w:p>
        </w:tc>
        <w:tc>
          <w:tcPr>
            <w:tcW w:w="3969" w:type="dxa"/>
          </w:tcPr>
          <w:p w14:paraId="4D6C46F0" w14:textId="77777777" w:rsidR="00A052DC" w:rsidRDefault="009F0A60">
            <w:pPr>
              <w:rPr>
                <w:rFonts w:ascii="黑体" w:eastAsia="黑体" w:hAnsi="黑体"/>
                <w:sz w:val="20"/>
                <w:szCs w:val="20"/>
              </w:rPr>
            </w:pPr>
            <w:r>
              <w:rPr>
                <w:rFonts w:ascii="黑体" w:eastAsia="黑体" w:hAnsi="黑体" w:hint="eastAsia"/>
                <w:sz w:val="20"/>
                <w:szCs w:val="20"/>
              </w:rPr>
              <w:t>编码规则：6位地区标识码+4位银行代码+2位银行顺序码+支付日期（yymmdd）+4位银行业务流水码。支付日期不能大于系统日期。银行业务流水码第一位应为数字0-9，第二、三位可使用数字0-9或大写英文字母（O、I、Z除外），第四位应为大写英文字母U、V或W。</w:t>
            </w:r>
          </w:p>
        </w:tc>
      </w:tr>
      <w:tr w:rsidR="00A052DC" w14:paraId="60115B3B" w14:textId="77777777">
        <w:tc>
          <w:tcPr>
            <w:tcW w:w="1560" w:type="dxa"/>
          </w:tcPr>
          <w:p w14:paraId="2E69C240" w14:textId="77777777" w:rsidR="00A052DC" w:rsidRDefault="009F0A60">
            <w:pPr>
              <w:rPr>
                <w:rFonts w:ascii="黑体" w:eastAsia="黑体" w:hAnsi="黑体"/>
                <w:sz w:val="20"/>
                <w:szCs w:val="20"/>
              </w:rPr>
            </w:pPr>
            <w:r>
              <w:rPr>
                <w:rFonts w:ascii="黑体" w:eastAsia="黑体" w:hAnsi="黑体" w:hint="eastAsia"/>
                <w:sz w:val="20"/>
                <w:szCs w:val="20"/>
              </w:rPr>
              <w:t>BUSCODE</w:t>
            </w:r>
          </w:p>
        </w:tc>
        <w:tc>
          <w:tcPr>
            <w:tcW w:w="1701" w:type="dxa"/>
          </w:tcPr>
          <w:p w14:paraId="2A4DE53F" w14:textId="77777777" w:rsidR="00A052DC" w:rsidRDefault="009F0A60">
            <w:pPr>
              <w:rPr>
                <w:rFonts w:ascii="黑体" w:eastAsia="黑体" w:hAnsi="黑体"/>
                <w:sz w:val="20"/>
                <w:szCs w:val="20"/>
              </w:rPr>
            </w:pPr>
            <w:r>
              <w:rPr>
                <w:rFonts w:ascii="黑体" w:eastAsia="黑体" w:hAnsi="黑体" w:hint="eastAsia"/>
                <w:sz w:val="20"/>
                <w:szCs w:val="20"/>
              </w:rPr>
              <w:t>银行业务编号</w:t>
            </w:r>
          </w:p>
        </w:tc>
        <w:tc>
          <w:tcPr>
            <w:tcW w:w="1417" w:type="dxa"/>
          </w:tcPr>
          <w:p w14:paraId="09606D1E" w14:textId="77777777" w:rsidR="00A052DC" w:rsidRDefault="009F0A60">
            <w:pPr>
              <w:rPr>
                <w:rFonts w:ascii="黑体" w:eastAsia="黑体" w:hAnsi="黑体"/>
                <w:sz w:val="20"/>
                <w:szCs w:val="20"/>
              </w:rPr>
            </w:pPr>
            <w:r>
              <w:rPr>
                <w:rFonts w:ascii="黑体" w:eastAsia="黑体" w:hAnsi="黑体" w:hint="eastAsia"/>
                <w:sz w:val="20"/>
                <w:szCs w:val="20"/>
              </w:rPr>
              <w:t>字符型，</w:t>
            </w:r>
            <w:r>
              <w:rPr>
                <w:rFonts w:ascii="黑体" w:eastAsia="黑体" w:hAnsi="黑体"/>
                <w:sz w:val="20"/>
                <w:szCs w:val="20"/>
              </w:rPr>
              <w:t>22</w:t>
            </w:r>
          </w:p>
        </w:tc>
        <w:tc>
          <w:tcPr>
            <w:tcW w:w="3969" w:type="dxa"/>
          </w:tcPr>
          <w:p w14:paraId="5346D976" w14:textId="77777777" w:rsidR="00A052DC" w:rsidRDefault="009F0A60">
            <w:pPr>
              <w:rPr>
                <w:rFonts w:ascii="黑体" w:eastAsia="黑体" w:hAnsi="黑体"/>
                <w:sz w:val="20"/>
                <w:szCs w:val="20"/>
              </w:rPr>
            </w:pPr>
            <w:r>
              <w:rPr>
                <w:rFonts w:ascii="黑体" w:eastAsia="黑体" w:hAnsi="黑体" w:hint="eastAsia"/>
                <w:sz w:val="20"/>
                <w:szCs w:val="20"/>
              </w:rPr>
              <w:t>必填项。指该业务在银行的业务编号。</w:t>
            </w:r>
          </w:p>
        </w:tc>
      </w:tr>
      <w:tr w:rsidR="00A052DC" w14:paraId="41C26DCB" w14:textId="77777777">
        <w:tc>
          <w:tcPr>
            <w:tcW w:w="1560" w:type="dxa"/>
          </w:tcPr>
          <w:p w14:paraId="14E5DEB2" w14:textId="77777777" w:rsidR="00A052DC" w:rsidRDefault="009F0A60">
            <w:pPr>
              <w:rPr>
                <w:rFonts w:ascii="黑体" w:eastAsia="黑体" w:hAnsi="黑体"/>
                <w:sz w:val="20"/>
                <w:szCs w:val="20"/>
              </w:rPr>
            </w:pPr>
            <w:r>
              <w:rPr>
                <w:rFonts w:ascii="黑体" w:eastAsia="黑体" w:hAnsi="黑体" w:hint="eastAsia"/>
                <w:sz w:val="20"/>
                <w:szCs w:val="20"/>
              </w:rPr>
              <w:t>CUSTYPE</w:t>
            </w:r>
          </w:p>
        </w:tc>
        <w:tc>
          <w:tcPr>
            <w:tcW w:w="1701" w:type="dxa"/>
          </w:tcPr>
          <w:p w14:paraId="519D1A98" w14:textId="77777777" w:rsidR="00A052DC" w:rsidRDefault="009F0A60">
            <w:pPr>
              <w:rPr>
                <w:rFonts w:ascii="黑体" w:eastAsia="黑体" w:hAnsi="黑体"/>
                <w:sz w:val="20"/>
                <w:szCs w:val="20"/>
              </w:rPr>
            </w:pPr>
            <w:r>
              <w:rPr>
                <w:rFonts w:ascii="黑体" w:eastAsia="黑体" w:hAnsi="黑体" w:hint="eastAsia"/>
                <w:sz w:val="20"/>
                <w:szCs w:val="20"/>
              </w:rPr>
              <w:t>结汇申请人主体类型</w:t>
            </w:r>
          </w:p>
        </w:tc>
        <w:tc>
          <w:tcPr>
            <w:tcW w:w="1417" w:type="dxa"/>
          </w:tcPr>
          <w:p w14:paraId="13122172" w14:textId="77777777" w:rsidR="00A052DC" w:rsidRDefault="009F0A60">
            <w:pPr>
              <w:rPr>
                <w:rFonts w:ascii="黑体" w:eastAsia="黑体" w:hAnsi="黑体"/>
                <w:sz w:val="20"/>
                <w:szCs w:val="20"/>
              </w:rPr>
            </w:pPr>
            <w:r>
              <w:rPr>
                <w:rFonts w:ascii="黑体" w:eastAsia="黑体" w:hAnsi="黑体" w:hint="eastAsia"/>
                <w:sz w:val="20"/>
                <w:szCs w:val="20"/>
              </w:rPr>
              <w:t>字符型，</w:t>
            </w:r>
            <w:r>
              <w:rPr>
                <w:rFonts w:ascii="黑体" w:eastAsia="黑体" w:hAnsi="黑体"/>
                <w:sz w:val="20"/>
                <w:szCs w:val="20"/>
              </w:rPr>
              <w:t>1</w:t>
            </w:r>
          </w:p>
        </w:tc>
        <w:tc>
          <w:tcPr>
            <w:tcW w:w="3969" w:type="dxa"/>
          </w:tcPr>
          <w:p w14:paraId="3999DF4B" w14:textId="77777777" w:rsidR="00A052DC" w:rsidRDefault="009F0A60">
            <w:pPr>
              <w:rPr>
                <w:rFonts w:ascii="黑体" w:eastAsia="黑体" w:hAnsi="黑体"/>
                <w:sz w:val="20"/>
                <w:szCs w:val="20"/>
              </w:rPr>
            </w:pPr>
            <w:r>
              <w:rPr>
                <w:rFonts w:ascii="黑体" w:eastAsia="黑体" w:hAnsi="黑体" w:hint="eastAsia"/>
                <w:sz w:val="20"/>
                <w:szCs w:val="20"/>
              </w:rPr>
              <w:t>C</w:t>
            </w:r>
            <w:r w:rsidR="00AE4602">
              <w:rPr>
                <w:rFonts w:ascii="黑体" w:eastAsia="黑体" w:hAnsi="黑体" w:hint="eastAsia"/>
                <w:sz w:val="20"/>
                <w:szCs w:val="20"/>
              </w:rPr>
              <w:t>-</w:t>
            </w:r>
            <w:r>
              <w:rPr>
                <w:rFonts w:ascii="黑体" w:eastAsia="黑体" w:hAnsi="黑体" w:hint="eastAsia"/>
                <w:sz w:val="20"/>
                <w:szCs w:val="20"/>
              </w:rPr>
              <w:t>对公用户</w:t>
            </w:r>
          </w:p>
          <w:p w14:paraId="5F1801A8" w14:textId="77777777" w:rsidR="00A052DC" w:rsidRDefault="009F0A60">
            <w:pPr>
              <w:rPr>
                <w:rFonts w:ascii="黑体" w:eastAsia="黑体" w:hAnsi="黑体"/>
                <w:sz w:val="20"/>
                <w:szCs w:val="20"/>
              </w:rPr>
            </w:pPr>
            <w:r>
              <w:rPr>
                <w:rFonts w:ascii="黑体" w:eastAsia="黑体" w:hAnsi="黑体" w:hint="eastAsia"/>
                <w:sz w:val="20"/>
                <w:szCs w:val="20"/>
              </w:rPr>
              <w:t>D</w:t>
            </w:r>
            <w:r w:rsidR="00AE4602">
              <w:rPr>
                <w:rFonts w:ascii="黑体" w:eastAsia="黑体" w:hAnsi="黑体" w:hint="eastAsia"/>
                <w:sz w:val="20"/>
                <w:szCs w:val="20"/>
              </w:rPr>
              <w:t>-</w:t>
            </w:r>
            <w:r>
              <w:rPr>
                <w:rFonts w:ascii="黑体" w:eastAsia="黑体" w:hAnsi="黑体" w:hint="eastAsia"/>
                <w:sz w:val="20"/>
                <w:szCs w:val="20"/>
              </w:rPr>
              <w:t>对私中国居民</w:t>
            </w:r>
          </w:p>
          <w:p w14:paraId="370479D3" w14:textId="77777777" w:rsidR="00A052DC" w:rsidRDefault="009F0A60">
            <w:pPr>
              <w:rPr>
                <w:rFonts w:ascii="黑体" w:eastAsia="黑体" w:hAnsi="黑体"/>
                <w:sz w:val="20"/>
                <w:szCs w:val="20"/>
              </w:rPr>
            </w:pPr>
            <w:r>
              <w:rPr>
                <w:rFonts w:ascii="黑体" w:eastAsia="黑体" w:hAnsi="黑体" w:hint="eastAsia"/>
                <w:sz w:val="20"/>
                <w:szCs w:val="20"/>
              </w:rPr>
              <w:t>F</w:t>
            </w:r>
            <w:r w:rsidR="00AE4602">
              <w:rPr>
                <w:rFonts w:ascii="黑体" w:eastAsia="黑体" w:hAnsi="黑体" w:hint="eastAsia"/>
                <w:sz w:val="20"/>
                <w:szCs w:val="20"/>
              </w:rPr>
              <w:t>-</w:t>
            </w:r>
            <w:r>
              <w:rPr>
                <w:rFonts w:ascii="黑体" w:eastAsia="黑体" w:hAnsi="黑体" w:hint="eastAsia"/>
                <w:sz w:val="20"/>
                <w:szCs w:val="20"/>
              </w:rPr>
              <w:t>对私中国非居民</w:t>
            </w:r>
          </w:p>
        </w:tc>
      </w:tr>
      <w:tr w:rsidR="00A052DC" w14:paraId="478F1A2B" w14:textId="77777777">
        <w:tc>
          <w:tcPr>
            <w:tcW w:w="1560" w:type="dxa"/>
          </w:tcPr>
          <w:p w14:paraId="5AFACBED" w14:textId="77777777" w:rsidR="00A052DC" w:rsidRDefault="009F0A60">
            <w:pPr>
              <w:rPr>
                <w:rFonts w:ascii="黑体" w:eastAsia="黑体" w:hAnsi="黑体"/>
                <w:sz w:val="20"/>
                <w:szCs w:val="20"/>
              </w:rPr>
            </w:pPr>
            <w:r>
              <w:rPr>
                <w:rFonts w:ascii="黑体" w:eastAsia="黑体" w:hAnsi="黑体" w:hint="eastAsia"/>
                <w:sz w:val="20"/>
                <w:szCs w:val="20"/>
              </w:rPr>
              <w:t>CUSTCOD</w:t>
            </w:r>
          </w:p>
        </w:tc>
        <w:tc>
          <w:tcPr>
            <w:tcW w:w="1701" w:type="dxa"/>
          </w:tcPr>
          <w:p w14:paraId="626E325D" w14:textId="77777777" w:rsidR="00A052DC" w:rsidRDefault="009F0A60">
            <w:pPr>
              <w:rPr>
                <w:rFonts w:ascii="黑体" w:eastAsia="黑体" w:hAnsi="黑体"/>
                <w:sz w:val="20"/>
                <w:szCs w:val="20"/>
              </w:rPr>
            </w:pPr>
            <w:r>
              <w:rPr>
                <w:rFonts w:ascii="黑体" w:eastAsia="黑体" w:hAnsi="黑体" w:hint="eastAsia"/>
                <w:sz w:val="20"/>
                <w:szCs w:val="20"/>
              </w:rPr>
              <w:t>结汇申请人组织机构代码</w:t>
            </w:r>
          </w:p>
        </w:tc>
        <w:tc>
          <w:tcPr>
            <w:tcW w:w="1417" w:type="dxa"/>
          </w:tcPr>
          <w:p w14:paraId="388F0FDF" w14:textId="77777777" w:rsidR="00A052DC" w:rsidRDefault="009F0A60">
            <w:pPr>
              <w:rPr>
                <w:rFonts w:ascii="黑体" w:eastAsia="黑体" w:hAnsi="黑体"/>
                <w:sz w:val="20"/>
                <w:szCs w:val="20"/>
              </w:rPr>
            </w:pPr>
            <w:r>
              <w:rPr>
                <w:rFonts w:ascii="黑体" w:eastAsia="黑体" w:hAnsi="黑体" w:hint="eastAsia"/>
                <w:sz w:val="20"/>
                <w:szCs w:val="20"/>
              </w:rPr>
              <w:t>字符型，</w:t>
            </w:r>
            <w:r>
              <w:rPr>
                <w:rFonts w:ascii="黑体" w:eastAsia="黑体" w:hAnsi="黑体"/>
                <w:sz w:val="20"/>
                <w:szCs w:val="20"/>
              </w:rPr>
              <w:t>18</w:t>
            </w:r>
          </w:p>
        </w:tc>
        <w:tc>
          <w:tcPr>
            <w:tcW w:w="3969" w:type="dxa"/>
          </w:tcPr>
          <w:p w14:paraId="6360C20A" w14:textId="77777777" w:rsidR="00A052DC" w:rsidRDefault="009F0A60">
            <w:pPr>
              <w:rPr>
                <w:rFonts w:ascii="黑体" w:eastAsia="黑体" w:hAnsi="黑体"/>
                <w:sz w:val="20"/>
                <w:szCs w:val="20"/>
              </w:rPr>
            </w:pPr>
            <w:r>
              <w:rPr>
                <w:rFonts w:ascii="黑体" w:eastAsia="黑体" w:hAnsi="黑体" w:hint="eastAsia"/>
                <w:sz w:val="20"/>
                <w:szCs w:val="20"/>
              </w:rPr>
              <w:t>CUSTYPE=C时必填。</w:t>
            </w:r>
          </w:p>
          <w:p w14:paraId="1200E648" w14:textId="77777777" w:rsidR="00A052DC" w:rsidRDefault="009F0A60">
            <w:pPr>
              <w:rPr>
                <w:rFonts w:ascii="黑体" w:eastAsia="黑体" w:hAnsi="黑体"/>
                <w:sz w:val="20"/>
                <w:szCs w:val="20"/>
              </w:rPr>
            </w:pPr>
            <w:r>
              <w:rPr>
                <w:rFonts w:ascii="黑体" w:eastAsia="黑体" w:hAnsi="黑体" w:hint="eastAsia"/>
                <w:sz w:val="20"/>
                <w:szCs w:val="20"/>
              </w:rPr>
              <w:t>指统一社会信用代码法定载体（如营业执照）上统一社会信用代码中的第9至17位或国家外汇管理局及其分支局签发的特殊机构代码赋码通知书上的机构代码。</w:t>
            </w:r>
          </w:p>
        </w:tc>
      </w:tr>
      <w:tr w:rsidR="00A052DC" w14:paraId="10EF65D5" w14:textId="77777777">
        <w:tc>
          <w:tcPr>
            <w:tcW w:w="1560" w:type="dxa"/>
          </w:tcPr>
          <w:p w14:paraId="57EBBE6F" w14:textId="77777777" w:rsidR="00A052DC" w:rsidRDefault="009F0A60">
            <w:pPr>
              <w:rPr>
                <w:rFonts w:ascii="黑体" w:eastAsia="黑体" w:hAnsi="黑体"/>
                <w:sz w:val="20"/>
                <w:szCs w:val="20"/>
              </w:rPr>
            </w:pPr>
            <w:r>
              <w:rPr>
                <w:rFonts w:ascii="黑体" w:eastAsia="黑体" w:hAnsi="黑体" w:hint="eastAsia"/>
                <w:sz w:val="20"/>
                <w:szCs w:val="20"/>
              </w:rPr>
              <w:t>IDCODE</w:t>
            </w:r>
          </w:p>
        </w:tc>
        <w:tc>
          <w:tcPr>
            <w:tcW w:w="1701" w:type="dxa"/>
          </w:tcPr>
          <w:p w14:paraId="09F587DD" w14:textId="77777777" w:rsidR="00A052DC" w:rsidRDefault="009F0A60">
            <w:pPr>
              <w:rPr>
                <w:rFonts w:ascii="黑体" w:eastAsia="黑体" w:hAnsi="黑体"/>
                <w:sz w:val="20"/>
                <w:szCs w:val="20"/>
              </w:rPr>
            </w:pPr>
            <w:r>
              <w:rPr>
                <w:rFonts w:ascii="黑体" w:eastAsia="黑体" w:hAnsi="黑体" w:hint="eastAsia"/>
                <w:sz w:val="20"/>
                <w:szCs w:val="20"/>
              </w:rPr>
              <w:t>结汇申请人个人身份证件号码</w:t>
            </w:r>
          </w:p>
        </w:tc>
        <w:tc>
          <w:tcPr>
            <w:tcW w:w="1417" w:type="dxa"/>
          </w:tcPr>
          <w:p w14:paraId="2B69CD1A" w14:textId="77777777" w:rsidR="00A052DC" w:rsidRDefault="009F0A60">
            <w:pPr>
              <w:rPr>
                <w:rFonts w:ascii="黑体" w:eastAsia="黑体" w:hAnsi="黑体"/>
                <w:sz w:val="20"/>
                <w:szCs w:val="20"/>
              </w:rPr>
            </w:pPr>
            <w:r>
              <w:rPr>
                <w:rFonts w:ascii="黑体" w:eastAsia="黑体" w:hAnsi="黑体" w:hint="eastAsia"/>
                <w:sz w:val="20"/>
                <w:szCs w:val="20"/>
              </w:rPr>
              <w:t>字符型，</w:t>
            </w:r>
            <w:r>
              <w:rPr>
                <w:rFonts w:ascii="黑体" w:eastAsia="黑体" w:hAnsi="黑体"/>
                <w:sz w:val="20"/>
                <w:szCs w:val="20"/>
              </w:rPr>
              <w:t>32</w:t>
            </w:r>
          </w:p>
        </w:tc>
        <w:tc>
          <w:tcPr>
            <w:tcW w:w="3969" w:type="dxa"/>
          </w:tcPr>
          <w:p w14:paraId="14EE318B" w14:textId="77777777" w:rsidR="00A052DC" w:rsidRDefault="009F0A60">
            <w:pPr>
              <w:rPr>
                <w:rFonts w:ascii="黑体" w:eastAsia="黑体" w:hAnsi="黑体"/>
                <w:sz w:val="20"/>
                <w:szCs w:val="20"/>
              </w:rPr>
            </w:pPr>
            <w:r>
              <w:rPr>
                <w:rFonts w:ascii="黑体" w:eastAsia="黑体" w:hAnsi="黑体" w:hint="eastAsia"/>
                <w:sz w:val="20"/>
                <w:szCs w:val="20"/>
              </w:rPr>
              <w:t>CUSTYPE&lt;&gt;C时必填。对私项下包括境内居民个人的身份证号、军官证号等以及境外居民个人的护照号等。</w:t>
            </w:r>
          </w:p>
        </w:tc>
      </w:tr>
      <w:tr w:rsidR="00A052DC" w14:paraId="0A48FF9E" w14:textId="77777777">
        <w:tc>
          <w:tcPr>
            <w:tcW w:w="1560" w:type="dxa"/>
          </w:tcPr>
          <w:p w14:paraId="4B226908" w14:textId="77777777" w:rsidR="00A052DC" w:rsidRDefault="009F0A60">
            <w:pPr>
              <w:rPr>
                <w:rFonts w:ascii="黑体" w:eastAsia="黑体" w:hAnsi="黑体"/>
                <w:sz w:val="20"/>
                <w:szCs w:val="20"/>
              </w:rPr>
            </w:pPr>
            <w:r>
              <w:rPr>
                <w:rFonts w:ascii="黑体" w:eastAsia="黑体" w:hAnsi="黑体" w:hint="eastAsia"/>
                <w:sz w:val="20"/>
                <w:szCs w:val="20"/>
              </w:rPr>
              <w:t>CUSTNM</w:t>
            </w:r>
          </w:p>
        </w:tc>
        <w:tc>
          <w:tcPr>
            <w:tcW w:w="1701" w:type="dxa"/>
          </w:tcPr>
          <w:p w14:paraId="02242AC8" w14:textId="77777777" w:rsidR="00A052DC" w:rsidRDefault="009F0A60">
            <w:pPr>
              <w:rPr>
                <w:rFonts w:ascii="黑体" w:eastAsia="黑体" w:hAnsi="黑体"/>
                <w:sz w:val="20"/>
                <w:szCs w:val="20"/>
              </w:rPr>
            </w:pPr>
            <w:r>
              <w:rPr>
                <w:rFonts w:ascii="黑体" w:eastAsia="黑体" w:hAnsi="黑体" w:hint="eastAsia"/>
                <w:sz w:val="20"/>
                <w:szCs w:val="20"/>
              </w:rPr>
              <w:t>结汇申请人名称</w:t>
            </w:r>
          </w:p>
        </w:tc>
        <w:tc>
          <w:tcPr>
            <w:tcW w:w="1417" w:type="dxa"/>
          </w:tcPr>
          <w:p w14:paraId="4089EA16" w14:textId="77777777" w:rsidR="00A052DC" w:rsidRDefault="009F0A60">
            <w:pPr>
              <w:rPr>
                <w:rFonts w:ascii="黑体" w:eastAsia="黑体" w:hAnsi="黑体"/>
                <w:sz w:val="20"/>
                <w:szCs w:val="20"/>
              </w:rPr>
            </w:pPr>
            <w:r>
              <w:rPr>
                <w:rFonts w:ascii="黑体" w:eastAsia="黑体" w:hAnsi="黑体" w:hint="eastAsia"/>
                <w:sz w:val="20"/>
                <w:szCs w:val="20"/>
              </w:rPr>
              <w:t>字符型，</w:t>
            </w:r>
            <w:r>
              <w:rPr>
                <w:rFonts w:ascii="黑体" w:eastAsia="黑体" w:hAnsi="黑体"/>
                <w:sz w:val="20"/>
                <w:szCs w:val="20"/>
              </w:rPr>
              <w:t>128</w:t>
            </w:r>
          </w:p>
        </w:tc>
        <w:tc>
          <w:tcPr>
            <w:tcW w:w="3969" w:type="dxa"/>
          </w:tcPr>
          <w:p w14:paraId="05E62703" w14:textId="77777777" w:rsidR="00A052DC" w:rsidRDefault="009F0A60">
            <w:pPr>
              <w:rPr>
                <w:rFonts w:ascii="黑体" w:eastAsia="黑体" w:hAnsi="黑体"/>
                <w:sz w:val="20"/>
                <w:szCs w:val="20"/>
              </w:rPr>
            </w:pPr>
            <w:r>
              <w:rPr>
                <w:rFonts w:ascii="黑体" w:eastAsia="黑体" w:hAnsi="黑体" w:hint="eastAsia"/>
                <w:sz w:val="20"/>
                <w:szCs w:val="20"/>
              </w:rPr>
              <w:t>必填项。对公项下指结汇人预留银行印鉴、营业执照或国家外汇管理局及其分支局签发的特殊机构代码赋码通知书上的名称；</w:t>
            </w:r>
          </w:p>
          <w:p w14:paraId="69736079" w14:textId="77777777" w:rsidR="00A052DC" w:rsidRDefault="009F0A60">
            <w:pPr>
              <w:rPr>
                <w:rFonts w:ascii="黑体" w:eastAsia="黑体" w:hAnsi="黑体"/>
                <w:sz w:val="20"/>
                <w:szCs w:val="20"/>
              </w:rPr>
            </w:pPr>
            <w:r>
              <w:rPr>
                <w:rFonts w:ascii="黑体" w:eastAsia="黑体" w:hAnsi="黑体" w:hint="eastAsia"/>
                <w:sz w:val="20"/>
                <w:szCs w:val="20"/>
              </w:rPr>
              <w:t>对私项下指个人身份证件上的名称。</w:t>
            </w:r>
          </w:p>
        </w:tc>
      </w:tr>
      <w:tr w:rsidR="00A052DC" w14:paraId="43D22E25" w14:textId="77777777">
        <w:tc>
          <w:tcPr>
            <w:tcW w:w="1560" w:type="dxa"/>
          </w:tcPr>
          <w:p w14:paraId="2D82F4F7" w14:textId="77777777" w:rsidR="00A052DC" w:rsidRDefault="009F0A60">
            <w:pPr>
              <w:rPr>
                <w:rFonts w:ascii="黑体" w:eastAsia="黑体" w:hAnsi="黑体"/>
                <w:sz w:val="20"/>
                <w:szCs w:val="20"/>
              </w:rPr>
            </w:pPr>
            <w:r>
              <w:rPr>
                <w:rFonts w:ascii="黑体" w:eastAsia="黑体" w:hAnsi="黑体" w:hint="eastAsia"/>
                <w:sz w:val="20"/>
                <w:szCs w:val="20"/>
              </w:rPr>
              <w:t>FCYACC</w:t>
            </w:r>
          </w:p>
        </w:tc>
        <w:tc>
          <w:tcPr>
            <w:tcW w:w="1701" w:type="dxa"/>
          </w:tcPr>
          <w:p w14:paraId="13FC73C9" w14:textId="77777777" w:rsidR="00A052DC" w:rsidRDefault="009F0A60">
            <w:pPr>
              <w:rPr>
                <w:rFonts w:ascii="黑体" w:eastAsia="黑体" w:hAnsi="黑体"/>
                <w:sz w:val="20"/>
                <w:szCs w:val="20"/>
              </w:rPr>
            </w:pPr>
            <w:r>
              <w:rPr>
                <w:rFonts w:ascii="黑体" w:eastAsia="黑体" w:hAnsi="黑体" w:hint="eastAsia"/>
                <w:sz w:val="20"/>
                <w:szCs w:val="20"/>
              </w:rPr>
              <w:t>外汇账户账号</w:t>
            </w:r>
          </w:p>
        </w:tc>
        <w:tc>
          <w:tcPr>
            <w:tcW w:w="1417" w:type="dxa"/>
          </w:tcPr>
          <w:p w14:paraId="56F2A781" w14:textId="77777777" w:rsidR="00A052DC" w:rsidRDefault="009F0A60">
            <w:pPr>
              <w:rPr>
                <w:rFonts w:ascii="黑体" w:eastAsia="黑体" w:hAnsi="黑体"/>
                <w:sz w:val="20"/>
                <w:szCs w:val="20"/>
              </w:rPr>
            </w:pPr>
            <w:r>
              <w:rPr>
                <w:rFonts w:ascii="黑体" w:eastAsia="黑体" w:hAnsi="黑体" w:hint="eastAsia"/>
                <w:sz w:val="20"/>
                <w:szCs w:val="20"/>
              </w:rPr>
              <w:t>字符型，</w:t>
            </w:r>
            <w:r>
              <w:rPr>
                <w:rFonts w:ascii="黑体" w:eastAsia="黑体" w:hAnsi="黑体"/>
                <w:sz w:val="20"/>
                <w:szCs w:val="20"/>
              </w:rPr>
              <w:t>32</w:t>
            </w:r>
          </w:p>
        </w:tc>
        <w:tc>
          <w:tcPr>
            <w:tcW w:w="3969" w:type="dxa"/>
          </w:tcPr>
          <w:p w14:paraId="3610F6A0" w14:textId="77777777" w:rsidR="00A052DC" w:rsidRDefault="009F0A60">
            <w:pPr>
              <w:rPr>
                <w:rFonts w:ascii="黑体" w:eastAsia="黑体" w:hAnsi="黑体"/>
                <w:sz w:val="20"/>
                <w:szCs w:val="20"/>
              </w:rPr>
            </w:pPr>
            <w:r>
              <w:rPr>
                <w:rFonts w:ascii="黑体" w:eastAsia="黑体" w:hAnsi="黑体" w:hint="eastAsia"/>
                <w:sz w:val="20"/>
                <w:szCs w:val="20"/>
              </w:rPr>
              <w:t>必填项。银行在结汇时扣款的外汇账户账号/银行卡号，包括现汇账号、现钞账号、外汇保证金账号、银行外币卡卡号等。</w:t>
            </w:r>
          </w:p>
        </w:tc>
      </w:tr>
      <w:tr w:rsidR="00A052DC" w14:paraId="20B51A61" w14:textId="77777777">
        <w:tc>
          <w:tcPr>
            <w:tcW w:w="1560" w:type="dxa"/>
          </w:tcPr>
          <w:p w14:paraId="714108FF" w14:textId="77777777" w:rsidR="00A052DC" w:rsidRDefault="009F0A60">
            <w:pPr>
              <w:rPr>
                <w:rFonts w:ascii="黑体" w:eastAsia="黑体" w:hAnsi="黑体"/>
                <w:sz w:val="20"/>
                <w:szCs w:val="20"/>
              </w:rPr>
            </w:pPr>
            <w:r>
              <w:rPr>
                <w:rFonts w:ascii="黑体" w:eastAsia="黑体" w:hAnsi="黑体" w:hint="eastAsia"/>
                <w:sz w:val="20"/>
                <w:szCs w:val="20"/>
              </w:rPr>
              <w:t>LCYACC</w:t>
            </w:r>
          </w:p>
        </w:tc>
        <w:tc>
          <w:tcPr>
            <w:tcW w:w="1701" w:type="dxa"/>
          </w:tcPr>
          <w:p w14:paraId="67030A62" w14:textId="77777777" w:rsidR="00A052DC" w:rsidRDefault="009F0A60">
            <w:pPr>
              <w:rPr>
                <w:rFonts w:ascii="黑体" w:eastAsia="黑体" w:hAnsi="黑体"/>
                <w:sz w:val="20"/>
                <w:szCs w:val="20"/>
              </w:rPr>
            </w:pPr>
            <w:r>
              <w:rPr>
                <w:rFonts w:ascii="黑体" w:eastAsia="黑体" w:hAnsi="黑体" w:hint="eastAsia"/>
                <w:sz w:val="20"/>
                <w:szCs w:val="20"/>
              </w:rPr>
              <w:t>人民币账户账号</w:t>
            </w:r>
          </w:p>
        </w:tc>
        <w:tc>
          <w:tcPr>
            <w:tcW w:w="1417" w:type="dxa"/>
          </w:tcPr>
          <w:p w14:paraId="7AB2333B" w14:textId="77777777" w:rsidR="00A052DC" w:rsidRDefault="009F0A60">
            <w:pPr>
              <w:rPr>
                <w:rFonts w:ascii="黑体" w:eastAsia="黑体" w:hAnsi="黑体"/>
                <w:sz w:val="20"/>
                <w:szCs w:val="20"/>
              </w:rPr>
            </w:pPr>
            <w:r>
              <w:rPr>
                <w:rFonts w:ascii="黑体" w:eastAsia="黑体" w:hAnsi="黑体" w:hint="eastAsia"/>
                <w:sz w:val="20"/>
                <w:szCs w:val="20"/>
              </w:rPr>
              <w:t>字符型，</w:t>
            </w:r>
            <w:r>
              <w:rPr>
                <w:rFonts w:ascii="黑体" w:eastAsia="黑体" w:hAnsi="黑体"/>
                <w:sz w:val="20"/>
                <w:szCs w:val="20"/>
              </w:rPr>
              <w:t>32</w:t>
            </w:r>
          </w:p>
        </w:tc>
        <w:tc>
          <w:tcPr>
            <w:tcW w:w="3969" w:type="dxa"/>
          </w:tcPr>
          <w:p w14:paraId="21645246" w14:textId="77777777" w:rsidR="00A052DC" w:rsidRDefault="00DD6AA3">
            <w:pPr>
              <w:rPr>
                <w:rFonts w:ascii="黑体" w:eastAsia="黑体" w:hAnsi="黑体"/>
                <w:sz w:val="20"/>
                <w:szCs w:val="20"/>
              </w:rPr>
            </w:pPr>
            <w:r>
              <w:rPr>
                <w:rFonts w:ascii="黑体" w:eastAsia="黑体" w:hAnsi="黑体" w:hint="eastAsia"/>
                <w:sz w:val="20"/>
                <w:szCs w:val="20"/>
              </w:rPr>
              <w:t>非必填项</w:t>
            </w:r>
            <w:r w:rsidR="009F0A60">
              <w:rPr>
                <w:rFonts w:ascii="黑体" w:eastAsia="黑体" w:hAnsi="黑体" w:hint="eastAsia"/>
                <w:sz w:val="20"/>
                <w:szCs w:val="20"/>
              </w:rPr>
              <w:t>。银行办理结汇后进入收款人人民币账户/银行卡的账号/卡号。如结汇后直接提取人民币现钞，无需填写人民币账户账号。</w:t>
            </w:r>
          </w:p>
        </w:tc>
      </w:tr>
      <w:tr w:rsidR="00A052DC" w14:paraId="46A06291" w14:textId="77777777">
        <w:tc>
          <w:tcPr>
            <w:tcW w:w="1560" w:type="dxa"/>
          </w:tcPr>
          <w:p w14:paraId="5EC1B1A2" w14:textId="77777777" w:rsidR="00A052DC" w:rsidRDefault="009F0A60">
            <w:pPr>
              <w:rPr>
                <w:rFonts w:ascii="黑体" w:eastAsia="黑体" w:hAnsi="黑体"/>
                <w:sz w:val="20"/>
                <w:szCs w:val="20"/>
              </w:rPr>
            </w:pPr>
            <w:r>
              <w:rPr>
                <w:rFonts w:ascii="黑体" w:eastAsia="黑体" w:hAnsi="黑体" w:hint="eastAsia"/>
                <w:sz w:val="20"/>
                <w:szCs w:val="20"/>
              </w:rPr>
              <w:t>OPPUSER</w:t>
            </w:r>
          </w:p>
        </w:tc>
        <w:tc>
          <w:tcPr>
            <w:tcW w:w="1701" w:type="dxa"/>
          </w:tcPr>
          <w:p w14:paraId="47C88F1C" w14:textId="77777777" w:rsidR="00A052DC" w:rsidRDefault="009F0A60">
            <w:pPr>
              <w:rPr>
                <w:rFonts w:ascii="黑体" w:eastAsia="黑体" w:hAnsi="黑体"/>
                <w:sz w:val="20"/>
                <w:szCs w:val="20"/>
              </w:rPr>
            </w:pPr>
            <w:r>
              <w:rPr>
                <w:rFonts w:ascii="黑体" w:eastAsia="黑体" w:hAnsi="黑体" w:hint="eastAsia"/>
                <w:sz w:val="20"/>
                <w:szCs w:val="20"/>
              </w:rPr>
              <w:t>人民币收款人名称</w:t>
            </w:r>
          </w:p>
        </w:tc>
        <w:tc>
          <w:tcPr>
            <w:tcW w:w="1417" w:type="dxa"/>
          </w:tcPr>
          <w:p w14:paraId="7426F74A" w14:textId="77777777" w:rsidR="00A052DC" w:rsidRDefault="009F0A60">
            <w:pPr>
              <w:rPr>
                <w:rFonts w:ascii="黑体" w:eastAsia="黑体" w:hAnsi="黑体"/>
                <w:sz w:val="20"/>
                <w:szCs w:val="20"/>
              </w:rPr>
            </w:pPr>
            <w:r>
              <w:rPr>
                <w:rFonts w:ascii="黑体" w:eastAsia="黑体" w:hAnsi="黑体" w:hint="eastAsia"/>
                <w:sz w:val="20"/>
                <w:szCs w:val="20"/>
              </w:rPr>
              <w:t>字符型，</w:t>
            </w:r>
            <w:r>
              <w:rPr>
                <w:rFonts w:ascii="黑体" w:eastAsia="黑体" w:hAnsi="黑体"/>
                <w:sz w:val="20"/>
                <w:szCs w:val="20"/>
              </w:rPr>
              <w:t>128</w:t>
            </w:r>
          </w:p>
        </w:tc>
        <w:tc>
          <w:tcPr>
            <w:tcW w:w="3969" w:type="dxa"/>
          </w:tcPr>
          <w:p w14:paraId="15E9D516"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r w:rsidR="00A052DC" w14:paraId="7B6CB57A" w14:textId="77777777">
        <w:tc>
          <w:tcPr>
            <w:tcW w:w="1560" w:type="dxa"/>
          </w:tcPr>
          <w:p w14:paraId="11F229A6" w14:textId="77777777" w:rsidR="00A052DC" w:rsidRDefault="009F0A60">
            <w:pPr>
              <w:rPr>
                <w:rFonts w:ascii="黑体" w:eastAsia="黑体" w:hAnsi="黑体"/>
                <w:sz w:val="20"/>
                <w:szCs w:val="20"/>
              </w:rPr>
            </w:pPr>
            <w:r>
              <w:rPr>
                <w:rFonts w:ascii="黑体" w:eastAsia="黑体" w:hAnsi="黑体" w:hint="eastAsia"/>
                <w:sz w:val="20"/>
                <w:szCs w:val="20"/>
              </w:rPr>
              <w:t>OPPBANK</w:t>
            </w:r>
          </w:p>
        </w:tc>
        <w:tc>
          <w:tcPr>
            <w:tcW w:w="1701" w:type="dxa"/>
          </w:tcPr>
          <w:p w14:paraId="12347809" w14:textId="77777777" w:rsidR="00A052DC" w:rsidRDefault="009F0A60">
            <w:pPr>
              <w:rPr>
                <w:rFonts w:ascii="黑体" w:eastAsia="黑体" w:hAnsi="黑体"/>
                <w:sz w:val="20"/>
                <w:szCs w:val="20"/>
              </w:rPr>
            </w:pPr>
            <w:r>
              <w:rPr>
                <w:rFonts w:ascii="黑体" w:eastAsia="黑体" w:hAnsi="黑体" w:hint="eastAsia"/>
                <w:sz w:val="20"/>
                <w:szCs w:val="20"/>
              </w:rPr>
              <w:t>人民币账户开户行</w:t>
            </w:r>
          </w:p>
        </w:tc>
        <w:tc>
          <w:tcPr>
            <w:tcW w:w="1417" w:type="dxa"/>
          </w:tcPr>
          <w:p w14:paraId="01EDA3A0" w14:textId="77777777" w:rsidR="00A052DC" w:rsidRDefault="009F0A60">
            <w:pPr>
              <w:rPr>
                <w:rFonts w:ascii="黑体" w:eastAsia="黑体" w:hAnsi="黑体"/>
                <w:sz w:val="20"/>
                <w:szCs w:val="20"/>
              </w:rPr>
            </w:pPr>
            <w:r>
              <w:rPr>
                <w:rFonts w:ascii="黑体" w:eastAsia="黑体" w:hAnsi="黑体" w:hint="eastAsia"/>
                <w:sz w:val="20"/>
                <w:szCs w:val="20"/>
              </w:rPr>
              <w:t>字符型，</w:t>
            </w:r>
            <w:r>
              <w:rPr>
                <w:rFonts w:ascii="黑体" w:eastAsia="黑体" w:hAnsi="黑体"/>
                <w:sz w:val="20"/>
                <w:szCs w:val="20"/>
              </w:rPr>
              <w:t>256</w:t>
            </w:r>
          </w:p>
        </w:tc>
        <w:tc>
          <w:tcPr>
            <w:tcW w:w="3969" w:type="dxa"/>
          </w:tcPr>
          <w:p w14:paraId="14AAE700" w14:textId="77777777" w:rsidR="00A052DC" w:rsidRDefault="00DD6AA3">
            <w:pPr>
              <w:rPr>
                <w:rFonts w:ascii="黑体" w:eastAsia="黑体" w:hAnsi="黑体"/>
                <w:sz w:val="20"/>
                <w:szCs w:val="20"/>
              </w:rPr>
            </w:pPr>
            <w:r>
              <w:rPr>
                <w:rFonts w:ascii="黑体" w:eastAsia="黑体" w:hAnsi="黑体" w:hint="eastAsia"/>
                <w:sz w:val="20"/>
                <w:szCs w:val="20"/>
              </w:rPr>
              <w:t>非必填项</w:t>
            </w:r>
            <w:r w:rsidR="009F0A60">
              <w:rPr>
                <w:rFonts w:ascii="黑体" w:eastAsia="黑体" w:hAnsi="黑体" w:hint="eastAsia"/>
                <w:sz w:val="20"/>
                <w:szCs w:val="20"/>
              </w:rPr>
              <w:t>。上述人民币账户的开户行名称，有人民币账户时必填。</w:t>
            </w:r>
          </w:p>
        </w:tc>
      </w:tr>
      <w:tr w:rsidR="00A052DC" w14:paraId="5BBCC682" w14:textId="77777777">
        <w:tc>
          <w:tcPr>
            <w:tcW w:w="1560" w:type="dxa"/>
          </w:tcPr>
          <w:p w14:paraId="147B0F4C" w14:textId="77777777" w:rsidR="00A052DC" w:rsidRDefault="009F0A60">
            <w:pPr>
              <w:rPr>
                <w:rFonts w:ascii="黑体" w:eastAsia="黑体" w:hAnsi="黑体"/>
                <w:sz w:val="20"/>
                <w:szCs w:val="20"/>
              </w:rPr>
            </w:pPr>
            <w:r>
              <w:rPr>
                <w:rFonts w:ascii="黑体" w:eastAsia="黑体" w:hAnsi="黑体" w:hint="eastAsia"/>
                <w:sz w:val="20"/>
                <w:szCs w:val="20"/>
              </w:rPr>
              <w:t>FCYAMT</w:t>
            </w:r>
          </w:p>
        </w:tc>
        <w:tc>
          <w:tcPr>
            <w:tcW w:w="1701" w:type="dxa"/>
          </w:tcPr>
          <w:p w14:paraId="50068165" w14:textId="77777777" w:rsidR="00A052DC" w:rsidRDefault="009F0A60">
            <w:pPr>
              <w:rPr>
                <w:rFonts w:ascii="黑体" w:eastAsia="黑体" w:hAnsi="黑体"/>
                <w:sz w:val="20"/>
                <w:szCs w:val="20"/>
              </w:rPr>
            </w:pPr>
            <w:r>
              <w:rPr>
                <w:rFonts w:ascii="黑体" w:eastAsia="黑体" w:hAnsi="黑体" w:hint="eastAsia"/>
                <w:sz w:val="20"/>
                <w:szCs w:val="20"/>
              </w:rPr>
              <w:t>结汇金额</w:t>
            </w:r>
          </w:p>
        </w:tc>
        <w:tc>
          <w:tcPr>
            <w:tcW w:w="1417" w:type="dxa"/>
          </w:tcPr>
          <w:p w14:paraId="249ECEAB" w14:textId="77777777" w:rsidR="00A052DC" w:rsidRDefault="009F0A60">
            <w:pPr>
              <w:rPr>
                <w:rFonts w:ascii="黑体" w:eastAsia="黑体" w:hAnsi="黑体"/>
                <w:sz w:val="20"/>
                <w:szCs w:val="20"/>
              </w:rPr>
            </w:pPr>
            <w:r>
              <w:rPr>
                <w:rFonts w:ascii="黑体" w:eastAsia="黑体" w:hAnsi="黑体" w:hint="eastAsia"/>
                <w:sz w:val="20"/>
                <w:szCs w:val="20"/>
              </w:rPr>
              <w:t>数值型，</w:t>
            </w:r>
            <w:r>
              <w:rPr>
                <w:rFonts w:ascii="黑体" w:eastAsia="黑体" w:hAnsi="黑体"/>
                <w:sz w:val="20"/>
                <w:szCs w:val="20"/>
              </w:rPr>
              <w:t>22.0</w:t>
            </w:r>
          </w:p>
        </w:tc>
        <w:tc>
          <w:tcPr>
            <w:tcW w:w="3969" w:type="dxa"/>
          </w:tcPr>
          <w:p w14:paraId="7B6B3AD4" w14:textId="77777777" w:rsidR="00A052DC" w:rsidRDefault="009F0A60">
            <w:pPr>
              <w:rPr>
                <w:rFonts w:ascii="黑体" w:eastAsia="黑体" w:hAnsi="黑体"/>
                <w:sz w:val="20"/>
                <w:szCs w:val="20"/>
              </w:rPr>
            </w:pPr>
            <w:r>
              <w:rPr>
                <w:rFonts w:ascii="黑体" w:eastAsia="黑体" w:hAnsi="黑体" w:hint="eastAsia"/>
                <w:sz w:val="20"/>
                <w:szCs w:val="20"/>
              </w:rPr>
              <w:t>必填项。申请结汇成人民币的外汇金额。按原币金额填写，不含扣费金额。</w:t>
            </w:r>
          </w:p>
        </w:tc>
      </w:tr>
      <w:tr w:rsidR="00A052DC" w14:paraId="44C4DF7E" w14:textId="77777777">
        <w:tc>
          <w:tcPr>
            <w:tcW w:w="1560" w:type="dxa"/>
          </w:tcPr>
          <w:p w14:paraId="74184DDA" w14:textId="77777777" w:rsidR="00A052DC" w:rsidRDefault="009F0A60">
            <w:pPr>
              <w:rPr>
                <w:rFonts w:ascii="黑体" w:eastAsia="黑体" w:hAnsi="黑体"/>
                <w:sz w:val="20"/>
                <w:szCs w:val="20"/>
              </w:rPr>
            </w:pPr>
            <w:r>
              <w:rPr>
                <w:rFonts w:ascii="黑体" w:eastAsia="黑体" w:hAnsi="黑体" w:hint="eastAsia"/>
                <w:sz w:val="20"/>
                <w:szCs w:val="20"/>
              </w:rPr>
              <w:t>FCYCCY</w:t>
            </w:r>
          </w:p>
        </w:tc>
        <w:tc>
          <w:tcPr>
            <w:tcW w:w="1701" w:type="dxa"/>
          </w:tcPr>
          <w:p w14:paraId="636FA239" w14:textId="77777777" w:rsidR="00A052DC" w:rsidRDefault="009F0A60">
            <w:pPr>
              <w:rPr>
                <w:rFonts w:ascii="黑体" w:eastAsia="黑体" w:hAnsi="黑体"/>
                <w:sz w:val="20"/>
                <w:szCs w:val="20"/>
              </w:rPr>
            </w:pPr>
            <w:r>
              <w:rPr>
                <w:rFonts w:ascii="黑体" w:eastAsia="黑体" w:hAnsi="黑体" w:hint="eastAsia"/>
                <w:sz w:val="20"/>
                <w:szCs w:val="20"/>
              </w:rPr>
              <w:t>币别</w:t>
            </w:r>
          </w:p>
        </w:tc>
        <w:tc>
          <w:tcPr>
            <w:tcW w:w="1417" w:type="dxa"/>
          </w:tcPr>
          <w:p w14:paraId="4CAF52A0" w14:textId="77777777" w:rsidR="00A052DC" w:rsidRDefault="009F0A60">
            <w:pPr>
              <w:rPr>
                <w:rFonts w:ascii="黑体" w:eastAsia="黑体" w:hAnsi="黑体"/>
                <w:sz w:val="20"/>
                <w:szCs w:val="20"/>
              </w:rPr>
            </w:pPr>
            <w:r>
              <w:rPr>
                <w:rFonts w:ascii="黑体" w:eastAsia="黑体" w:hAnsi="黑体" w:hint="eastAsia"/>
                <w:sz w:val="20"/>
                <w:szCs w:val="20"/>
              </w:rPr>
              <w:t>字符型，</w:t>
            </w:r>
            <w:r>
              <w:rPr>
                <w:rFonts w:ascii="黑体" w:eastAsia="黑体" w:hAnsi="黑体"/>
                <w:sz w:val="20"/>
                <w:szCs w:val="20"/>
              </w:rPr>
              <w:t>3</w:t>
            </w:r>
          </w:p>
        </w:tc>
        <w:tc>
          <w:tcPr>
            <w:tcW w:w="3969" w:type="dxa"/>
          </w:tcPr>
          <w:p w14:paraId="7D01AFDE" w14:textId="77777777" w:rsidR="00A052DC" w:rsidRDefault="009F0A60">
            <w:pPr>
              <w:rPr>
                <w:rFonts w:ascii="黑体" w:eastAsia="黑体" w:hAnsi="黑体"/>
                <w:sz w:val="20"/>
                <w:szCs w:val="20"/>
              </w:rPr>
            </w:pPr>
            <w:r>
              <w:rPr>
                <w:rFonts w:ascii="黑体" w:eastAsia="黑体" w:hAnsi="黑体" w:hint="eastAsia"/>
                <w:sz w:val="20"/>
                <w:szCs w:val="20"/>
              </w:rPr>
              <w:t>必填项。申请结汇的外汇币种。字母代码,必须在币种代码表里存在。</w:t>
            </w:r>
          </w:p>
        </w:tc>
      </w:tr>
      <w:tr w:rsidR="00A052DC" w14:paraId="05A761A8" w14:textId="77777777">
        <w:tc>
          <w:tcPr>
            <w:tcW w:w="1560" w:type="dxa"/>
          </w:tcPr>
          <w:p w14:paraId="4FBECAC0" w14:textId="77777777" w:rsidR="00A052DC" w:rsidRDefault="009F0A60">
            <w:pPr>
              <w:rPr>
                <w:rFonts w:ascii="黑体" w:eastAsia="黑体" w:hAnsi="黑体"/>
                <w:sz w:val="20"/>
                <w:szCs w:val="20"/>
              </w:rPr>
            </w:pPr>
            <w:r>
              <w:rPr>
                <w:rFonts w:ascii="黑体" w:eastAsia="黑体" w:hAnsi="黑体" w:hint="eastAsia"/>
                <w:sz w:val="20"/>
                <w:szCs w:val="20"/>
              </w:rPr>
              <w:t>EXRATE</w:t>
            </w:r>
          </w:p>
        </w:tc>
        <w:tc>
          <w:tcPr>
            <w:tcW w:w="1701" w:type="dxa"/>
          </w:tcPr>
          <w:p w14:paraId="657509C1" w14:textId="77777777" w:rsidR="00A052DC" w:rsidRDefault="009F0A60">
            <w:pPr>
              <w:rPr>
                <w:rFonts w:ascii="黑体" w:eastAsia="黑体" w:hAnsi="黑体"/>
                <w:sz w:val="20"/>
                <w:szCs w:val="20"/>
              </w:rPr>
            </w:pPr>
            <w:r>
              <w:rPr>
                <w:rFonts w:ascii="黑体" w:eastAsia="黑体" w:hAnsi="黑体" w:hint="eastAsia"/>
                <w:sz w:val="20"/>
                <w:szCs w:val="20"/>
              </w:rPr>
              <w:t>汇率</w:t>
            </w:r>
          </w:p>
        </w:tc>
        <w:tc>
          <w:tcPr>
            <w:tcW w:w="1417" w:type="dxa"/>
          </w:tcPr>
          <w:p w14:paraId="5604216E" w14:textId="77777777" w:rsidR="00A052DC" w:rsidRDefault="009F0A60">
            <w:pPr>
              <w:rPr>
                <w:rFonts w:ascii="黑体" w:eastAsia="黑体" w:hAnsi="黑体"/>
                <w:sz w:val="20"/>
                <w:szCs w:val="20"/>
              </w:rPr>
            </w:pPr>
            <w:r>
              <w:rPr>
                <w:rFonts w:ascii="黑体" w:eastAsia="黑体" w:hAnsi="黑体" w:hint="eastAsia"/>
                <w:sz w:val="20"/>
                <w:szCs w:val="20"/>
              </w:rPr>
              <w:t>数值型，</w:t>
            </w:r>
            <w:r>
              <w:rPr>
                <w:rFonts w:ascii="黑体" w:eastAsia="黑体" w:hAnsi="黑体"/>
                <w:sz w:val="20"/>
                <w:szCs w:val="20"/>
              </w:rPr>
              <w:t>13.8</w:t>
            </w:r>
          </w:p>
        </w:tc>
        <w:tc>
          <w:tcPr>
            <w:tcW w:w="3969" w:type="dxa"/>
          </w:tcPr>
          <w:p w14:paraId="77835D83" w14:textId="77777777" w:rsidR="00A052DC" w:rsidRDefault="009F0A60">
            <w:pPr>
              <w:rPr>
                <w:rFonts w:ascii="黑体" w:eastAsia="黑体" w:hAnsi="黑体"/>
                <w:sz w:val="20"/>
                <w:szCs w:val="20"/>
              </w:rPr>
            </w:pPr>
            <w:r>
              <w:rPr>
                <w:rFonts w:ascii="黑体" w:eastAsia="黑体" w:hAnsi="黑体" w:hint="eastAsia"/>
                <w:sz w:val="20"/>
                <w:szCs w:val="20"/>
              </w:rPr>
              <w:t>必填项。银行办理结汇的汇率。</w:t>
            </w:r>
          </w:p>
        </w:tc>
      </w:tr>
    </w:tbl>
    <w:p w14:paraId="015A0F46" w14:textId="77777777" w:rsidR="00A052DC" w:rsidRDefault="009F0A60">
      <w:pPr>
        <w:pStyle w:val="3"/>
        <w:ind w:left="0"/>
        <w:rPr>
          <w:rFonts w:ascii="Times New Roman" w:hAnsi="Times New Roman"/>
        </w:rPr>
      </w:pPr>
      <w:bookmarkStart w:id="1380" w:name="_Toc454454854"/>
      <w:bookmarkStart w:id="1381" w:name="_Toc455163969"/>
      <w:bookmarkStart w:id="1382" w:name="_Toc455167694"/>
      <w:bookmarkStart w:id="1383" w:name="_Toc454395078"/>
      <w:bookmarkStart w:id="1384" w:name="_Toc454464771"/>
      <w:bookmarkStart w:id="1385" w:name="_Toc455152790"/>
      <w:bookmarkStart w:id="1386" w:name="_Toc455156518"/>
      <w:bookmarkStart w:id="1387" w:name="_Toc454454853"/>
      <w:bookmarkStart w:id="1388" w:name="_Toc454386840"/>
      <w:bookmarkStart w:id="1389" w:name="_Toc454780148"/>
      <w:bookmarkStart w:id="1390" w:name="_Toc455167693"/>
      <w:bookmarkStart w:id="1391" w:name="_Toc454378159"/>
      <w:bookmarkStart w:id="1392" w:name="_Toc455152789"/>
      <w:bookmarkStart w:id="1393" w:name="_Toc455163968"/>
      <w:bookmarkStart w:id="1394" w:name="_Toc454780147"/>
      <w:bookmarkStart w:id="1395" w:name="_Toc455156517"/>
      <w:bookmarkStart w:id="1396" w:name="_Toc454378158"/>
      <w:bookmarkStart w:id="1397" w:name="_Toc454395077"/>
      <w:bookmarkStart w:id="1398" w:name="_Toc454464770"/>
      <w:bookmarkStart w:id="1399" w:name="_Toc454386839"/>
      <w:bookmarkStart w:id="1400" w:name="_Toc454386841"/>
      <w:bookmarkStart w:id="1401" w:name="_Toc380356256"/>
      <w:bookmarkStart w:id="1402" w:name="_Toc91455285"/>
      <w:bookmarkStart w:id="1403" w:name="_Toc101684458"/>
      <w:bookmarkStart w:id="1404" w:name="_Toc310598081"/>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r>
        <w:rPr>
          <w:rFonts w:ascii="Times New Roman" w:hAnsi="Times New Roman" w:hint="eastAsia"/>
        </w:rPr>
        <w:t>外汇账户内结汇</w:t>
      </w:r>
      <w:r>
        <w:rPr>
          <w:rFonts w:ascii="Times New Roman" w:hAnsi="Times New Roman"/>
        </w:rPr>
        <w:t>-</w:t>
      </w:r>
      <w:r>
        <w:rPr>
          <w:rFonts w:ascii="Times New Roman" w:hAnsi="Times New Roman" w:hint="eastAsia"/>
        </w:rPr>
        <w:t>管理信息</w:t>
      </w:r>
      <w:bookmarkEnd w:id="1400"/>
      <w:bookmarkEnd w:id="1401"/>
      <w:bookmarkEnd w:id="1402"/>
      <w:bookmarkEnd w:id="1403"/>
    </w:p>
    <w:p w14:paraId="7708AE78" w14:textId="77777777" w:rsidR="00A052DC" w:rsidRDefault="009F0A60" w:rsidP="0020251D">
      <w:pPr>
        <w:pStyle w:val="4"/>
        <w:numPr>
          <w:ilvl w:val="3"/>
          <w:numId w:val="1"/>
        </w:numPr>
        <w:jc w:val="left"/>
      </w:pPr>
      <w:bookmarkStart w:id="1405" w:name="_Toc454386842"/>
      <w:bookmarkStart w:id="1406" w:name="_Toc310598207"/>
      <w:r>
        <w:rPr>
          <w:rFonts w:hint="eastAsia"/>
        </w:rPr>
        <w:t>数据术语解释</w:t>
      </w:r>
      <w:bookmarkEnd w:id="1405"/>
      <w:bookmarkEnd w:id="140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6854"/>
      </w:tblGrid>
      <w:tr w:rsidR="00A052DC" w14:paraId="346367AD" w14:textId="77777777">
        <w:tc>
          <w:tcPr>
            <w:tcW w:w="1668" w:type="dxa"/>
          </w:tcPr>
          <w:p w14:paraId="231A1AB9" w14:textId="77777777" w:rsidR="00A052DC" w:rsidRDefault="009F0A60">
            <w:pPr>
              <w:jc w:val="center"/>
              <w:rPr>
                <w:rFonts w:ascii="黑体" w:eastAsia="黑体" w:hAnsi="黑体"/>
                <w:b/>
                <w:sz w:val="20"/>
                <w:szCs w:val="20"/>
              </w:rPr>
            </w:pPr>
            <w:r>
              <w:rPr>
                <w:rFonts w:ascii="黑体" w:eastAsia="黑体" w:hAnsi="黑体" w:hint="eastAsia"/>
                <w:b/>
                <w:sz w:val="20"/>
                <w:szCs w:val="20"/>
              </w:rPr>
              <w:t>数据项</w:t>
            </w:r>
          </w:p>
        </w:tc>
        <w:tc>
          <w:tcPr>
            <w:tcW w:w="6854" w:type="dxa"/>
          </w:tcPr>
          <w:p w14:paraId="3B7FE43A" w14:textId="77777777" w:rsidR="00A052DC" w:rsidRDefault="009F0A60">
            <w:pPr>
              <w:jc w:val="center"/>
              <w:rPr>
                <w:rFonts w:ascii="黑体" w:eastAsia="黑体" w:hAnsi="黑体"/>
                <w:b/>
                <w:sz w:val="20"/>
                <w:szCs w:val="20"/>
              </w:rPr>
            </w:pPr>
            <w:r>
              <w:rPr>
                <w:rFonts w:ascii="黑体" w:eastAsia="黑体" w:hAnsi="黑体" w:hint="eastAsia"/>
                <w:b/>
                <w:sz w:val="20"/>
                <w:szCs w:val="20"/>
              </w:rPr>
              <w:t>定义</w:t>
            </w:r>
          </w:p>
        </w:tc>
      </w:tr>
      <w:tr w:rsidR="00A052DC" w14:paraId="262FC5E0" w14:textId="77777777">
        <w:tc>
          <w:tcPr>
            <w:tcW w:w="1668" w:type="dxa"/>
          </w:tcPr>
          <w:p w14:paraId="648D332F" w14:textId="77777777" w:rsidR="00A052DC" w:rsidRDefault="009F0A60">
            <w:pPr>
              <w:rPr>
                <w:rFonts w:ascii="黑体" w:eastAsia="黑体" w:hAnsi="黑体"/>
                <w:sz w:val="20"/>
                <w:szCs w:val="20"/>
              </w:rPr>
            </w:pPr>
            <w:r>
              <w:rPr>
                <w:rFonts w:ascii="黑体" w:eastAsia="黑体" w:hAnsi="黑体" w:hint="eastAsia"/>
                <w:sz w:val="20"/>
                <w:szCs w:val="20"/>
              </w:rPr>
              <w:t>外汇局批件号/备案表号/业务编号</w:t>
            </w:r>
          </w:p>
        </w:tc>
        <w:tc>
          <w:tcPr>
            <w:tcW w:w="6854" w:type="dxa"/>
          </w:tcPr>
          <w:p w14:paraId="17F17C07" w14:textId="77777777" w:rsidR="00A052DC" w:rsidRDefault="009F0A60">
            <w:pPr>
              <w:rPr>
                <w:rFonts w:ascii="黑体" w:eastAsia="黑体" w:hAnsi="黑体"/>
                <w:sz w:val="20"/>
                <w:szCs w:val="20"/>
              </w:rPr>
            </w:pPr>
            <w:r>
              <w:rPr>
                <w:rFonts w:ascii="黑体" w:eastAsia="黑体" w:hAnsi="黑体" w:hint="eastAsia"/>
                <w:sz w:val="20"/>
                <w:szCs w:val="20"/>
              </w:rPr>
              <w:t>结汇申请人办理结汇时出具的外汇局核准件、备案表或登记凭证等的编号。交易编码以‘3’、‘5’、‘6’、‘7’、‘8’和部分‘2’、‘9’开头或涉及账户性质为资本项目性质账户的，“外汇局批件号/备案表号/业务编号”为必填项，填写规则参见《银行资本项目下数据报送参考规则》；对于《银行资本项目下数据报送参考规则》中未提到的情况，且不需要外汇局核准的（即确实没有对应的“外汇局批件号/备案表号/业务编号”），则应填写“N/A”（大写英文字母）。</w:t>
            </w:r>
          </w:p>
        </w:tc>
      </w:tr>
      <w:tr w:rsidR="00A052DC" w14:paraId="422D6F12" w14:textId="77777777">
        <w:trPr>
          <w:cantSplit/>
        </w:trPr>
        <w:tc>
          <w:tcPr>
            <w:tcW w:w="1668" w:type="dxa"/>
            <w:tcBorders>
              <w:bottom w:val="single" w:sz="4" w:space="0" w:color="auto"/>
            </w:tcBorders>
          </w:tcPr>
          <w:p w14:paraId="11C6F819" w14:textId="77777777" w:rsidR="00A052DC" w:rsidRDefault="009F0A60">
            <w:pPr>
              <w:rPr>
                <w:rFonts w:ascii="黑体" w:eastAsia="黑体" w:hAnsi="黑体"/>
                <w:sz w:val="20"/>
                <w:szCs w:val="20"/>
              </w:rPr>
            </w:pPr>
            <w:r>
              <w:rPr>
                <w:rFonts w:ascii="黑体" w:eastAsia="黑体" w:hAnsi="黑体" w:hint="eastAsia"/>
                <w:sz w:val="20"/>
                <w:szCs w:val="20"/>
              </w:rPr>
              <w:t>交易编码</w:t>
            </w:r>
          </w:p>
        </w:tc>
        <w:tc>
          <w:tcPr>
            <w:tcW w:w="6854" w:type="dxa"/>
            <w:tcBorders>
              <w:bottom w:val="single" w:sz="4" w:space="0" w:color="auto"/>
            </w:tcBorders>
          </w:tcPr>
          <w:p w14:paraId="192882C5" w14:textId="77777777" w:rsidR="00A052DC" w:rsidRDefault="009F0A60">
            <w:pPr>
              <w:rPr>
                <w:rFonts w:ascii="黑体" w:eastAsia="黑体" w:hAnsi="黑体"/>
                <w:sz w:val="20"/>
                <w:szCs w:val="20"/>
              </w:rPr>
            </w:pPr>
            <w:r>
              <w:rPr>
                <w:rFonts w:ascii="黑体" w:eastAsia="黑体" w:hAnsi="黑体" w:hint="eastAsia"/>
                <w:sz w:val="20"/>
                <w:szCs w:val="20"/>
              </w:rPr>
              <w:t>指用于结汇的外汇资金来源对应的涉外收支交易代码（《涉外收支交易分类与代码（2014版）》（汇发〔2014〕21号））。</w:t>
            </w:r>
          </w:p>
        </w:tc>
      </w:tr>
      <w:tr w:rsidR="00A052DC" w14:paraId="4A357811" w14:textId="77777777">
        <w:tc>
          <w:tcPr>
            <w:tcW w:w="1668" w:type="dxa"/>
            <w:tcBorders>
              <w:top w:val="single" w:sz="4" w:space="0" w:color="auto"/>
              <w:left w:val="single" w:sz="4" w:space="0" w:color="auto"/>
              <w:bottom w:val="single" w:sz="4" w:space="0" w:color="auto"/>
              <w:right w:val="single" w:sz="4" w:space="0" w:color="auto"/>
            </w:tcBorders>
          </w:tcPr>
          <w:p w14:paraId="640AE585" w14:textId="77777777" w:rsidR="00A052DC" w:rsidRDefault="009F0A60">
            <w:pPr>
              <w:rPr>
                <w:rFonts w:ascii="黑体" w:eastAsia="黑体" w:hAnsi="黑体"/>
                <w:sz w:val="20"/>
                <w:szCs w:val="20"/>
              </w:rPr>
            </w:pPr>
            <w:r>
              <w:rPr>
                <w:rFonts w:ascii="黑体" w:eastAsia="黑体" w:hAnsi="黑体" w:hint="eastAsia"/>
                <w:sz w:val="20"/>
                <w:szCs w:val="20"/>
              </w:rPr>
              <w:t>结汇用途</w:t>
            </w:r>
          </w:p>
        </w:tc>
        <w:tc>
          <w:tcPr>
            <w:tcW w:w="6854" w:type="dxa"/>
            <w:tcBorders>
              <w:top w:val="single" w:sz="4" w:space="0" w:color="auto"/>
              <w:left w:val="single" w:sz="4" w:space="0" w:color="auto"/>
              <w:bottom w:val="single" w:sz="4" w:space="0" w:color="auto"/>
              <w:right w:val="single" w:sz="4" w:space="0" w:color="auto"/>
            </w:tcBorders>
          </w:tcPr>
          <w:p w14:paraId="1114134F" w14:textId="77777777" w:rsidR="00A052DC" w:rsidRDefault="009F0A60">
            <w:pPr>
              <w:rPr>
                <w:rFonts w:ascii="黑体" w:eastAsia="黑体" w:hAnsi="黑体"/>
                <w:sz w:val="20"/>
                <w:szCs w:val="20"/>
              </w:rPr>
            </w:pPr>
            <w:r>
              <w:rPr>
                <w:rFonts w:ascii="黑体" w:eastAsia="黑体" w:hAnsi="黑体" w:hint="eastAsia"/>
                <w:sz w:val="20"/>
                <w:szCs w:val="20"/>
              </w:rPr>
              <w:t>在</w:t>
            </w:r>
            <w:r>
              <w:rPr>
                <w:rFonts w:ascii="黑体" w:eastAsia="黑体" w:hAnsi="黑体"/>
                <w:sz w:val="20"/>
                <w:szCs w:val="20"/>
              </w:rPr>
              <w:t>001支付货款、002支付工程款、003支付保证金非同名、004支付咨询费、005支付其他服务费用、006预付款、007支付税款、008支付工资等劳务报酬、009土地出让金、010购房、011购买其他固定资产、012股权出资、</w:t>
            </w:r>
            <w:r>
              <w:rPr>
                <w:rFonts w:ascii="黑体" w:eastAsia="黑体" w:hAnsi="黑体" w:hint="eastAsia"/>
                <w:sz w:val="20"/>
                <w:szCs w:val="20"/>
              </w:rPr>
              <w:t>013偿还金融机构贷款（含委托贷款）及利息</w:t>
            </w:r>
            <w:r>
              <w:rPr>
                <w:rFonts w:ascii="黑体" w:eastAsia="黑体" w:hAnsi="黑体"/>
                <w:sz w:val="20"/>
                <w:szCs w:val="20"/>
              </w:rPr>
              <w:t>、014购买股票/债券/基金/信托等境内金融资产、015同名划转、016支付投资人境外证券投资本金/收益、017利息结汇、018备用金、019现钞、020个人、</w:t>
            </w:r>
            <w:r>
              <w:rPr>
                <w:rFonts w:ascii="黑体" w:eastAsia="黑体" w:hAnsi="黑体" w:hint="eastAsia"/>
                <w:sz w:val="20"/>
                <w:szCs w:val="20"/>
              </w:rPr>
              <w:t>021购买理财产品</w:t>
            </w:r>
            <w:r>
              <w:rPr>
                <w:rFonts w:ascii="黑体" w:eastAsia="黑体" w:hAnsi="黑体"/>
                <w:sz w:val="20"/>
                <w:szCs w:val="20"/>
              </w:rPr>
              <w:t>、022转入结汇待支付账户、023特殊备案、024融资租赁、025担保履约、026小额贷款、027保理业务、</w:t>
            </w:r>
            <w:r>
              <w:rPr>
                <w:rFonts w:ascii="黑体" w:eastAsia="黑体" w:hAnsi="黑体" w:hint="eastAsia"/>
                <w:sz w:val="20"/>
                <w:szCs w:val="20"/>
              </w:rPr>
              <w:t>028结汇转入同名人民币帐户、</w:t>
            </w:r>
            <w:r>
              <w:rPr>
                <w:rFonts w:ascii="黑体" w:eastAsia="黑体" w:hAnsi="黑体"/>
                <w:sz w:val="20"/>
                <w:szCs w:val="20"/>
              </w:rPr>
              <w:t>099其他等用途中选择其中之一。如选择“005”、“006”或“099”，则应填列详细用途。</w:t>
            </w:r>
          </w:p>
        </w:tc>
      </w:tr>
    </w:tbl>
    <w:p w14:paraId="004C1120" w14:textId="77777777" w:rsidR="00A052DC" w:rsidRDefault="009F0A60">
      <w:pPr>
        <w:pStyle w:val="4"/>
        <w:numPr>
          <w:ilvl w:val="3"/>
          <w:numId w:val="1"/>
        </w:numPr>
        <w:jc w:val="left"/>
      </w:pPr>
      <w:bookmarkStart w:id="1407" w:name="_Toc454386843"/>
      <w:bookmarkStart w:id="1408" w:name="_Toc454386844"/>
      <w:bookmarkStart w:id="1409" w:name="_Toc310598208"/>
      <w:bookmarkEnd w:id="1407"/>
      <w:r>
        <w:rPr>
          <w:rFonts w:hint="eastAsia"/>
        </w:rPr>
        <w:t>数据格式</w:t>
      </w:r>
      <w:bookmarkEnd w:id="1408"/>
      <w:bookmarkEnd w:id="1409"/>
    </w:p>
    <w:p w14:paraId="0139B027" w14:textId="77777777" w:rsidR="00A052DC" w:rsidRDefault="009F0A60">
      <w:r>
        <w:t>&lt;REC&gt;</w:t>
      </w:r>
    </w:p>
    <w:p w14:paraId="1D276C23" w14:textId="77777777" w:rsidR="00A052DC" w:rsidRDefault="009F0A60">
      <w:r>
        <w:t>&lt;ACTIONTYPE&gt;</w:t>
      </w:r>
      <w:r>
        <w:rPr>
          <w:rFonts w:hint="eastAsia"/>
        </w:rPr>
        <w:t>操作类型</w:t>
      </w:r>
      <w:r>
        <w:t>&lt;/ACTIONTYPE&gt;</w:t>
      </w:r>
    </w:p>
    <w:p w14:paraId="0C6C43C3" w14:textId="77777777" w:rsidR="00A052DC" w:rsidRDefault="009F0A60">
      <w:r>
        <w:t>&lt;ACTIONDESC&gt;</w:t>
      </w:r>
      <w:r>
        <w:rPr>
          <w:rFonts w:hint="eastAsia"/>
        </w:rPr>
        <w:t>修改</w:t>
      </w:r>
      <w:r>
        <w:t>/</w:t>
      </w:r>
      <w:r>
        <w:rPr>
          <w:rFonts w:hint="eastAsia"/>
        </w:rPr>
        <w:t>删除原因</w:t>
      </w:r>
      <w:r>
        <w:t>&lt;/ACTIONDESC&gt;</w:t>
      </w:r>
    </w:p>
    <w:p w14:paraId="30703BC0" w14:textId="77777777" w:rsidR="00A052DC" w:rsidRDefault="009F0A60">
      <w:r>
        <w:t>&lt;RPTNO&gt;</w:t>
      </w:r>
      <w:r>
        <w:rPr>
          <w:rFonts w:hint="eastAsia"/>
        </w:rPr>
        <w:t>申报号码</w:t>
      </w:r>
      <w:r>
        <w:t>&lt;/RPTNO&gt;</w:t>
      </w:r>
    </w:p>
    <w:p w14:paraId="5CB0F928" w14:textId="77777777" w:rsidR="00A052DC" w:rsidRDefault="009F0A60">
      <w:r>
        <w:t>&lt;REGNO&gt;</w:t>
      </w:r>
      <w:r>
        <w:rPr>
          <w:rFonts w:hint="eastAsia"/>
        </w:rPr>
        <w:t>外汇局批件号</w:t>
      </w:r>
      <w:r>
        <w:t>/</w:t>
      </w:r>
      <w:r>
        <w:rPr>
          <w:rFonts w:hint="eastAsia"/>
        </w:rPr>
        <w:t>备案表号</w:t>
      </w:r>
      <w:r>
        <w:t>/</w:t>
      </w:r>
      <w:r>
        <w:rPr>
          <w:rFonts w:hint="eastAsia"/>
        </w:rPr>
        <w:t>业务编号</w:t>
      </w:r>
      <w:r>
        <w:t>&lt;/REGNO&gt;</w:t>
      </w:r>
    </w:p>
    <w:p w14:paraId="0C536D85" w14:textId="77777777" w:rsidR="00A052DC" w:rsidRDefault="009F0A60">
      <w:r>
        <w:t>&lt;TXCODE&gt;</w:t>
      </w:r>
      <w:r>
        <w:rPr>
          <w:rFonts w:hint="eastAsia"/>
        </w:rPr>
        <w:t>交易编码</w:t>
      </w:r>
      <w:r>
        <w:t>&lt;/TXCODE&gt;</w:t>
      </w:r>
    </w:p>
    <w:p w14:paraId="779D2FB3" w14:textId="77777777" w:rsidR="00A052DC" w:rsidRDefault="009F0A60">
      <w:r>
        <w:t>&lt;USETYPE&gt;</w:t>
      </w:r>
      <w:r>
        <w:rPr>
          <w:rFonts w:hint="eastAsia"/>
        </w:rPr>
        <w:t>结汇用途</w:t>
      </w:r>
      <w:r>
        <w:t>&lt;/USETYPE&gt;</w:t>
      </w:r>
    </w:p>
    <w:p w14:paraId="643BE28E" w14:textId="77777777" w:rsidR="00A052DC" w:rsidRDefault="009F0A60">
      <w:r>
        <w:t>&lt;USEDETAIL&gt;</w:t>
      </w:r>
      <w:r>
        <w:rPr>
          <w:rFonts w:hint="eastAsia"/>
        </w:rPr>
        <w:t>结汇详细用途</w:t>
      </w:r>
      <w:r>
        <w:t>&lt;/USEDETAIL&gt;</w:t>
      </w:r>
    </w:p>
    <w:p w14:paraId="686F5D97" w14:textId="77777777" w:rsidR="00A052DC" w:rsidRDefault="009F0A60">
      <w:r>
        <w:t>&lt;CRTUSER&gt;</w:t>
      </w:r>
      <w:r>
        <w:rPr>
          <w:rFonts w:hint="eastAsia"/>
        </w:rPr>
        <w:t>填报人</w:t>
      </w:r>
      <w:r>
        <w:t>&lt;/CRTUSER&gt;</w:t>
      </w:r>
    </w:p>
    <w:p w14:paraId="13665B4D" w14:textId="77777777" w:rsidR="00A052DC" w:rsidRDefault="009F0A60">
      <w:r>
        <w:t>&lt;INPTELC&gt;</w:t>
      </w:r>
      <w:r>
        <w:rPr>
          <w:rFonts w:hint="eastAsia"/>
        </w:rPr>
        <w:t>填报人电话</w:t>
      </w:r>
      <w:r>
        <w:t>&lt;/INPTELC&gt;</w:t>
      </w:r>
    </w:p>
    <w:p w14:paraId="58C94C99" w14:textId="77777777" w:rsidR="00A052DC" w:rsidRDefault="009F0A60">
      <w:r>
        <w:t>&lt;RPTDATE&gt;</w:t>
      </w:r>
      <w:r>
        <w:rPr>
          <w:rFonts w:hint="eastAsia"/>
        </w:rPr>
        <w:t>申报日期</w:t>
      </w:r>
      <w:r>
        <w:t>&lt;/RPTDATE&gt;</w:t>
      </w:r>
    </w:p>
    <w:p w14:paraId="3D8C6931" w14:textId="77777777" w:rsidR="00A052DC" w:rsidRDefault="009F0A60">
      <w:r>
        <w:t>&lt;/REC&gt;</w:t>
      </w:r>
    </w:p>
    <w:p w14:paraId="4EAC4DF3" w14:textId="77777777" w:rsidR="00A052DC" w:rsidRDefault="009F0A60" w:rsidP="0020251D">
      <w:pPr>
        <w:pStyle w:val="4"/>
        <w:numPr>
          <w:ilvl w:val="3"/>
          <w:numId w:val="1"/>
        </w:numPr>
        <w:jc w:val="left"/>
      </w:pPr>
      <w:bookmarkStart w:id="1410" w:name="_Toc454386845"/>
      <w:bookmarkStart w:id="1411" w:name="_Toc454386846"/>
      <w:bookmarkStart w:id="1412" w:name="_Toc310598209"/>
      <w:bookmarkEnd w:id="1410"/>
      <w:r>
        <w:rPr>
          <w:rFonts w:hint="eastAsia"/>
        </w:rPr>
        <w:t>数据字典</w:t>
      </w:r>
      <w:bookmarkEnd w:id="1411"/>
      <w:bookmarkEnd w:id="1412"/>
    </w:p>
    <w:tbl>
      <w:tblPr>
        <w:tblW w:w="86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559"/>
        <w:gridCol w:w="1418"/>
        <w:gridCol w:w="4252"/>
      </w:tblGrid>
      <w:tr w:rsidR="00A052DC" w14:paraId="7BAA49AF" w14:textId="77777777">
        <w:trPr>
          <w:tblHeader/>
        </w:trPr>
        <w:tc>
          <w:tcPr>
            <w:tcW w:w="1418" w:type="dxa"/>
            <w:shd w:val="clear" w:color="auto" w:fill="BFBFBF"/>
          </w:tcPr>
          <w:p w14:paraId="43373240" w14:textId="77777777" w:rsidR="00A052DC" w:rsidRDefault="009F0A60">
            <w:pPr>
              <w:jc w:val="center"/>
              <w:rPr>
                <w:rFonts w:ascii="黑体" w:eastAsia="黑体" w:hAnsi="黑体"/>
                <w:b/>
                <w:sz w:val="20"/>
                <w:szCs w:val="20"/>
              </w:rPr>
            </w:pPr>
            <w:r>
              <w:rPr>
                <w:rFonts w:ascii="黑体" w:eastAsia="黑体" w:hAnsi="黑体" w:hint="eastAsia"/>
                <w:b/>
                <w:sz w:val="20"/>
                <w:szCs w:val="20"/>
              </w:rPr>
              <w:t>字段</w:t>
            </w:r>
          </w:p>
        </w:tc>
        <w:tc>
          <w:tcPr>
            <w:tcW w:w="1559" w:type="dxa"/>
            <w:shd w:val="clear" w:color="auto" w:fill="BFBFBF"/>
          </w:tcPr>
          <w:p w14:paraId="378FAC53" w14:textId="77777777" w:rsidR="00A052DC" w:rsidRDefault="009F0A60">
            <w:pPr>
              <w:jc w:val="center"/>
              <w:rPr>
                <w:rFonts w:ascii="黑体" w:eastAsia="黑体" w:hAnsi="黑体"/>
                <w:b/>
                <w:sz w:val="20"/>
                <w:szCs w:val="20"/>
              </w:rPr>
            </w:pPr>
            <w:r>
              <w:rPr>
                <w:rFonts w:ascii="黑体" w:eastAsia="黑体" w:hAnsi="黑体" w:hint="eastAsia"/>
                <w:b/>
                <w:sz w:val="20"/>
                <w:szCs w:val="20"/>
              </w:rPr>
              <w:t>内容</w:t>
            </w:r>
          </w:p>
        </w:tc>
        <w:tc>
          <w:tcPr>
            <w:tcW w:w="1418" w:type="dxa"/>
            <w:shd w:val="clear" w:color="auto" w:fill="BFBFBF"/>
          </w:tcPr>
          <w:p w14:paraId="1DD2B549" w14:textId="77777777" w:rsidR="00A052DC" w:rsidRDefault="009F0A60">
            <w:pPr>
              <w:jc w:val="center"/>
              <w:rPr>
                <w:rFonts w:ascii="黑体" w:eastAsia="黑体" w:hAnsi="黑体"/>
                <w:b/>
                <w:sz w:val="20"/>
                <w:szCs w:val="20"/>
              </w:rPr>
            </w:pPr>
            <w:r>
              <w:rPr>
                <w:rFonts w:ascii="黑体" w:eastAsia="黑体" w:hAnsi="黑体" w:hint="eastAsia"/>
                <w:b/>
                <w:sz w:val="20"/>
                <w:szCs w:val="20"/>
              </w:rPr>
              <w:t>类型（长度）</w:t>
            </w:r>
          </w:p>
        </w:tc>
        <w:tc>
          <w:tcPr>
            <w:tcW w:w="4252" w:type="dxa"/>
            <w:shd w:val="clear" w:color="auto" w:fill="BFBFBF"/>
          </w:tcPr>
          <w:p w14:paraId="37816FC9" w14:textId="77777777" w:rsidR="00A052DC" w:rsidRDefault="009F0A60">
            <w:pPr>
              <w:jc w:val="center"/>
              <w:rPr>
                <w:rFonts w:ascii="黑体" w:eastAsia="黑体" w:hAnsi="黑体"/>
                <w:b/>
                <w:sz w:val="20"/>
                <w:szCs w:val="20"/>
              </w:rPr>
            </w:pPr>
            <w:r>
              <w:rPr>
                <w:rFonts w:ascii="黑体" w:eastAsia="黑体" w:hAnsi="黑体" w:hint="eastAsia"/>
                <w:b/>
                <w:sz w:val="20"/>
                <w:szCs w:val="20"/>
              </w:rPr>
              <w:t>校验</w:t>
            </w:r>
          </w:p>
        </w:tc>
      </w:tr>
      <w:tr w:rsidR="00A052DC" w14:paraId="7DF0F696" w14:textId="77777777">
        <w:tc>
          <w:tcPr>
            <w:tcW w:w="1418" w:type="dxa"/>
          </w:tcPr>
          <w:p w14:paraId="4ED9AC58" w14:textId="77777777" w:rsidR="00A052DC" w:rsidRDefault="009F0A60">
            <w:pPr>
              <w:rPr>
                <w:rFonts w:ascii="黑体" w:eastAsia="黑体" w:hAnsi="黑体"/>
                <w:sz w:val="20"/>
                <w:szCs w:val="20"/>
              </w:rPr>
            </w:pPr>
            <w:r>
              <w:rPr>
                <w:rFonts w:ascii="黑体" w:eastAsia="黑体" w:hAnsi="黑体" w:hint="eastAsia"/>
                <w:sz w:val="20"/>
                <w:szCs w:val="20"/>
              </w:rPr>
              <w:t>ACTIONTYPE</w:t>
            </w:r>
          </w:p>
        </w:tc>
        <w:tc>
          <w:tcPr>
            <w:tcW w:w="1559" w:type="dxa"/>
          </w:tcPr>
          <w:p w14:paraId="0FB589DB" w14:textId="77777777" w:rsidR="00A052DC" w:rsidRDefault="009F0A60">
            <w:pPr>
              <w:rPr>
                <w:rFonts w:ascii="黑体" w:eastAsia="黑体" w:hAnsi="黑体"/>
                <w:sz w:val="20"/>
                <w:szCs w:val="20"/>
              </w:rPr>
            </w:pPr>
            <w:r>
              <w:rPr>
                <w:rFonts w:ascii="黑体" w:eastAsia="黑体" w:hAnsi="黑体" w:hint="eastAsia"/>
                <w:sz w:val="20"/>
                <w:szCs w:val="20"/>
              </w:rPr>
              <w:t>操作类型</w:t>
            </w:r>
          </w:p>
        </w:tc>
        <w:tc>
          <w:tcPr>
            <w:tcW w:w="1418" w:type="dxa"/>
          </w:tcPr>
          <w:p w14:paraId="427660E3" w14:textId="77777777" w:rsidR="00A052DC" w:rsidRDefault="009F0A60">
            <w:pPr>
              <w:rPr>
                <w:rFonts w:ascii="黑体" w:eastAsia="黑体" w:hAnsi="黑体"/>
                <w:sz w:val="20"/>
                <w:szCs w:val="20"/>
              </w:rPr>
            </w:pPr>
            <w:r>
              <w:rPr>
                <w:rFonts w:ascii="黑体" w:eastAsia="黑体" w:hAnsi="黑体" w:hint="eastAsia"/>
                <w:sz w:val="20"/>
                <w:szCs w:val="20"/>
              </w:rPr>
              <w:t>字符型，1</w:t>
            </w:r>
          </w:p>
        </w:tc>
        <w:tc>
          <w:tcPr>
            <w:tcW w:w="4252" w:type="dxa"/>
          </w:tcPr>
          <w:p w14:paraId="526FC57F" w14:textId="77777777" w:rsidR="00A052DC" w:rsidRDefault="009F0A60">
            <w:pPr>
              <w:rPr>
                <w:rFonts w:ascii="黑体" w:eastAsia="黑体" w:hAnsi="黑体"/>
                <w:sz w:val="20"/>
                <w:szCs w:val="20"/>
              </w:rPr>
            </w:pPr>
            <w:r>
              <w:rPr>
                <w:rFonts w:ascii="黑体" w:eastAsia="黑体" w:hAnsi="黑体" w:hint="eastAsia"/>
                <w:sz w:val="20"/>
                <w:szCs w:val="20"/>
              </w:rPr>
              <w:t>A</w:t>
            </w:r>
            <w:r w:rsidR="00AE4602">
              <w:rPr>
                <w:rFonts w:ascii="黑体" w:eastAsia="黑体" w:hAnsi="黑体" w:hint="eastAsia"/>
                <w:sz w:val="20"/>
                <w:szCs w:val="20"/>
              </w:rPr>
              <w:t>-</w:t>
            </w:r>
            <w:r>
              <w:rPr>
                <w:rFonts w:ascii="黑体" w:eastAsia="黑体" w:hAnsi="黑体" w:hint="eastAsia"/>
                <w:sz w:val="20"/>
                <w:szCs w:val="20"/>
              </w:rPr>
              <w:t>新建</w:t>
            </w:r>
          </w:p>
          <w:p w14:paraId="24F87B98" w14:textId="77777777" w:rsidR="00A052DC" w:rsidRDefault="009F0A60">
            <w:pPr>
              <w:rPr>
                <w:rFonts w:ascii="黑体" w:eastAsia="黑体" w:hAnsi="黑体"/>
                <w:sz w:val="20"/>
                <w:szCs w:val="20"/>
              </w:rPr>
            </w:pPr>
            <w:r>
              <w:rPr>
                <w:rFonts w:ascii="黑体" w:eastAsia="黑体" w:hAnsi="黑体" w:hint="eastAsia"/>
                <w:sz w:val="20"/>
                <w:szCs w:val="20"/>
              </w:rPr>
              <w:t>C</w:t>
            </w:r>
            <w:r w:rsidR="00AE4602">
              <w:rPr>
                <w:rFonts w:ascii="黑体" w:eastAsia="黑体" w:hAnsi="黑体" w:hint="eastAsia"/>
                <w:sz w:val="20"/>
                <w:szCs w:val="20"/>
              </w:rPr>
              <w:t>-</w:t>
            </w:r>
            <w:r>
              <w:rPr>
                <w:rFonts w:ascii="黑体" w:eastAsia="黑体" w:hAnsi="黑体" w:hint="eastAsia"/>
                <w:sz w:val="20"/>
                <w:szCs w:val="20"/>
              </w:rPr>
              <w:t>修改</w:t>
            </w:r>
          </w:p>
          <w:p w14:paraId="6BAA439E" w14:textId="77777777" w:rsidR="00A052DC" w:rsidRDefault="009F0A60">
            <w:pPr>
              <w:rPr>
                <w:rFonts w:ascii="黑体" w:eastAsia="黑体" w:hAnsi="黑体"/>
                <w:sz w:val="20"/>
                <w:szCs w:val="20"/>
              </w:rPr>
            </w:pPr>
            <w:r>
              <w:rPr>
                <w:rFonts w:ascii="黑体" w:eastAsia="黑体" w:hAnsi="黑体" w:hint="eastAsia"/>
                <w:sz w:val="20"/>
                <w:szCs w:val="20"/>
              </w:rPr>
              <w:t>D</w:t>
            </w:r>
            <w:r w:rsidR="00AE4602">
              <w:rPr>
                <w:rFonts w:ascii="黑体" w:eastAsia="黑体" w:hAnsi="黑体" w:hint="eastAsia"/>
                <w:sz w:val="20"/>
                <w:szCs w:val="20"/>
              </w:rPr>
              <w:t>-</w:t>
            </w:r>
            <w:r>
              <w:rPr>
                <w:rFonts w:ascii="黑体" w:eastAsia="黑体" w:hAnsi="黑体" w:hint="eastAsia"/>
                <w:sz w:val="20"/>
                <w:szCs w:val="20"/>
              </w:rPr>
              <w:t>删除，预留，暂不用</w:t>
            </w:r>
          </w:p>
        </w:tc>
      </w:tr>
      <w:tr w:rsidR="00A052DC" w14:paraId="5023C046" w14:textId="77777777">
        <w:tc>
          <w:tcPr>
            <w:tcW w:w="1418" w:type="dxa"/>
          </w:tcPr>
          <w:p w14:paraId="2030D1CE" w14:textId="77777777" w:rsidR="00A052DC" w:rsidRDefault="009F0A60">
            <w:pPr>
              <w:rPr>
                <w:rFonts w:ascii="黑体" w:eastAsia="黑体" w:hAnsi="黑体"/>
                <w:sz w:val="20"/>
                <w:szCs w:val="20"/>
              </w:rPr>
            </w:pPr>
            <w:r>
              <w:rPr>
                <w:rFonts w:ascii="黑体" w:eastAsia="黑体" w:hAnsi="黑体" w:hint="eastAsia"/>
                <w:sz w:val="20"/>
                <w:szCs w:val="20"/>
              </w:rPr>
              <w:t>ACTIONDESC</w:t>
            </w:r>
          </w:p>
        </w:tc>
        <w:tc>
          <w:tcPr>
            <w:tcW w:w="1559" w:type="dxa"/>
          </w:tcPr>
          <w:p w14:paraId="0BED8250" w14:textId="77777777" w:rsidR="00A052DC" w:rsidRDefault="009F0A60">
            <w:pPr>
              <w:rPr>
                <w:rFonts w:ascii="黑体" w:eastAsia="黑体" w:hAnsi="黑体"/>
                <w:sz w:val="20"/>
                <w:szCs w:val="20"/>
              </w:rPr>
            </w:pPr>
            <w:r>
              <w:rPr>
                <w:rFonts w:ascii="黑体" w:eastAsia="黑体" w:hAnsi="黑体" w:hint="eastAsia"/>
                <w:sz w:val="20"/>
                <w:szCs w:val="20"/>
              </w:rPr>
              <w:t>修改/删除原因</w:t>
            </w:r>
          </w:p>
        </w:tc>
        <w:tc>
          <w:tcPr>
            <w:tcW w:w="1418" w:type="dxa"/>
          </w:tcPr>
          <w:p w14:paraId="31ACEC90"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4252" w:type="dxa"/>
          </w:tcPr>
          <w:p w14:paraId="51FC1E50" w14:textId="77777777" w:rsidR="00A052DC" w:rsidRDefault="00A052DC">
            <w:pPr>
              <w:rPr>
                <w:rFonts w:ascii="黑体" w:eastAsia="黑体" w:hAnsi="黑体"/>
                <w:sz w:val="20"/>
                <w:szCs w:val="20"/>
              </w:rPr>
            </w:pPr>
          </w:p>
        </w:tc>
      </w:tr>
      <w:tr w:rsidR="00A052DC" w14:paraId="132A1D99" w14:textId="77777777">
        <w:tc>
          <w:tcPr>
            <w:tcW w:w="1418" w:type="dxa"/>
          </w:tcPr>
          <w:p w14:paraId="069415C6" w14:textId="77777777" w:rsidR="00A052DC" w:rsidRDefault="009F0A60">
            <w:pPr>
              <w:rPr>
                <w:rFonts w:ascii="黑体" w:eastAsia="黑体" w:hAnsi="黑体"/>
                <w:sz w:val="20"/>
                <w:szCs w:val="20"/>
              </w:rPr>
            </w:pPr>
            <w:r>
              <w:rPr>
                <w:rFonts w:ascii="黑体" w:eastAsia="黑体" w:hAnsi="黑体" w:hint="eastAsia"/>
                <w:sz w:val="20"/>
                <w:szCs w:val="20"/>
              </w:rPr>
              <w:t>RPTNO</w:t>
            </w:r>
          </w:p>
        </w:tc>
        <w:tc>
          <w:tcPr>
            <w:tcW w:w="1559" w:type="dxa"/>
          </w:tcPr>
          <w:p w14:paraId="7A140652" w14:textId="77777777" w:rsidR="00A052DC" w:rsidRDefault="009F0A60">
            <w:pPr>
              <w:rPr>
                <w:rFonts w:ascii="黑体" w:eastAsia="黑体" w:hAnsi="黑体"/>
                <w:sz w:val="20"/>
                <w:szCs w:val="20"/>
              </w:rPr>
            </w:pPr>
            <w:r>
              <w:rPr>
                <w:rFonts w:ascii="黑体" w:eastAsia="黑体" w:hAnsi="黑体" w:hint="eastAsia"/>
                <w:sz w:val="20"/>
                <w:szCs w:val="20"/>
              </w:rPr>
              <w:t>申报号码</w:t>
            </w:r>
          </w:p>
        </w:tc>
        <w:tc>
          <w:tcPr>
            <w:tcW w:w="1418" w:type="dxa"/>
          </w:tcPr>
          <w:p w14:paraId="6D437D3C" w14:textId="77777777" w:rsidR="00A052DC" w:rsidRDefault="009F0A60">
            <w:pPr>
              <w:rPr>
                <w:rFonts w:ascii="黑体" w:eastAsia="黑体" w:hAnsi="黑体"/>
                <w:sz w:val="20"/>
                <w:szCs w:val="20"/>
              </w:rPr>
            </w:pPr>
            <w:r>
              <w:rPr>
                <w:rFonts w:ascii="黑体" w:eastAsia="黑体" w:hAnsi="黑体" w:hint="eastAsia"/>
                <w:sz w:val="20"/>
                <w:szCs w:val="20"/>
              </w:rPr>
              <w:t>字符型，22</w:t>
            </w:r>
          </w:p>
        </w:tc>
        <w:tc>
          <w:tcPr>
            <w:tcW w:w="4252" w:type="dxa"/>
          </w:tcPr>
          <w:p w14:paraId="512853F7" w14:textId="77777777" w:rsidR="00A052DC" w:rsidRDefault="009F0A60">
            <w:pPr>
              <w:rPr>
                <w:rFonts w:ascii="黑体" w:eastAsia="黑体" w:hAnsi="黑体"/>
                <w:sz w:val="20"/>
                <w:szCs w:val="20"/>
              </w:rPr>
            </w:pPr>
            <w:r>
              <w:rPr>
                <w:rFonts w:ascii="黑体" w:eastAsia="黑体" w:hAnsi="黑体" w:hint="eastAsia"/>
                <w:sz w:val="20"/>
                <w:szCs w:val="20"/>
              </w:rPr>
              <w:t>应与基础数据一致</w:t>
            </w:r>
            <w:r w:rsidR="009708FD">
              <w:rPr>
                <w:rFonts w:ascii="黑体" w:eastAsia="黑体" w:hAnsi="黑体" w:hint="eastAsia"/>
                <w:sz w:val="20"/>
                <w:szCs w:val="20"/>
              </w:rPr>
              <w:t>。</w:t>
            </w:r>
          </w:p>
        </w:tc>
      </w:tr>
      <w:tr w:rsidR="00A052DC" w14:paraId="1944B2FF" w14:textId="77777777">
        <w:tc>
          <w:tcPr>
            <w:tcW w:w="1418" w:type="dxa"/>
          </w:tcPr>
          <w:p w14:paraId="51BE3B84" w14:textId="77777777" w:rsidR="00A052DC" w:rsidRDefault="009F0A60">
            <w:pPr>
              <w:rPr>
                <w:rFonts w:ascii="黑体" w:eastAsia="黑体" w:hAnsi="黑体"/>
                <w:sz w:val="20"/>
                <w:szCs w:val="20"/>
              </w:rPr>
            </w:pPr>
            <w:r>
              <w:rPr>
                <w:rFonts w:ascii="黑体" w:eastAsia="黑体" w:hAnsi="黑体" w:hint="eastAsia"/>
                <w:sz w:val="20"/>
                <w:szCs w:val="20"/>
              </w:rPr>
              <w:t>REGNO</w:t>
            </w:r>
          </w:p>
        </w:tc>
        <w:tc>
          <w:tcPr>
            <w:tcW w:w="1559" w:type="dxa"/>
          </w:tcPr>
          <w:p w14:paraId="09FE14FE" w14:textId="77777777" w:rsidR="00A052DC" w:rsidRDefault="009F0A60">
            <w:pPr>
              <w:rPr>
                <w:rFonts w:ascii="黑体" w:eastAsia="黑体" w:hAnsi="黑体"/>
                <w:sz w:val="20"/>
                <w:szCs w:val="20"/>
              </w:rPr>
            </w:pPr>
            <w:r>
              <w:rPr>
                <w:rFonts w:ascii="黑体" w:eastAsia="黑体" w:hAnsi="黑体" w:hint="eastAsia"/>
                <w:sz w:val="20"/>
                <w:szCs w:val="20"/>
              </w:rPr>
              <w:t>外汇局批件号/备案表号/业务编号</w:t>
            </w:r>
          </w:p>
        </w:tc>
        <w:tc>
          <w:tcPr>
            <w:tcW w:w="1418" w:type="dxa"/>
          </w:tcPr>
          <w:p w14:paraId="7378062C" w14:textId="77777777" w:rsidR="00A052DC" w:rsidRDefault="009F0A60">
            <w:pPr>
              <w:rPr>
                <w:rFonts w:ascii="黑体" w:eastAsia="黑体" w:hAnsi="黑体"/>
                <w:sz w:val="20"/>
                <w:szCs w:val="20"/>
              </w:rPr>
            </w:pPr>
            <w:r>
              <w:rPr>
                <w:rFonts w:ascii="黑体" w:eastAsia="黑体" w:hAnsi="黑体" w:hint="eastAsia"/>
                <w:sz w:val="20"/>
                <w:szCs w:val="20"/>
              </w:rPr>
              <w:t>字符型，20</w:t>
            </w:r>
          </w:p>
        </w:tc>
        <w:tc>
          <w:tcPr>
            <w:tcW w:w="4252" w:type="dxa"/>
          </w:tcPr>
          <w:p w14:paraId="5E91C523" w14:textId="77777777" w:rsidR="00A052DC" w:rsidRDefault="00DD6AA3">
            <w:pPr>
              <w:rPr>
                <w:rFonts w:ascii="黑体" w:eastAsia="黑体" w:hAnsi="黑体"/>
                <w:sz w:val="20"/>
                <w:szCs w:val="20"/>
              </w:rPr>
            </w:pPr>
            <w:r>
              <w:rPr>
                <w:rFonts w:ascii="黑体" w:eastAsia="黑体" w:hAnsi="黑体" w:hint="eastAsia"/>
                <w:sz w:val="20"/>
                <w:szCs w:val="20"/>
              </w:rPr>
              <w:t>非必填项</w:t>
            </w:r>
            <w:r w:rsidR="009F0A60">
              <w:rPr>
                <w:rFonts w:ascii="黑体" w:eastAsia="黑体" w:hAnsi="黑体" w:hint="eastAsia"/>
                <w:sz w:val="20"/>
                <w:szCs w:val="20"/>
              </w:rPr>
              <w:t>，交易编码以“3”、“5”、“6”、“7”、“8”和部分“2”、“9”开头或涉及账户性质为资本项目性质账户的，“外汇局批件号/备案表号/业务编号”为必填项，填写规则参见《银行资本项目下数据报送参考规则》；对于《银行资本项目下数据报送参考规则》中未提到的情况，且不需要外汇局核准的（即确实没有对应的“外汇局批件号/备案表号/业务编号”），则应填写“N/A”（大写英文字母）。</w:t>
            </w:r>
          </w:p>
        </w:tc>
      </w:tr>
      <w:tr w:rsidR="00A052DC" w14:paraId="0B936D71" w14:textId="77777777">
        <w:trPr>
          <w:cantSplit/>
        </w:trPr>
        <w:tc>
          <w:tcPr>
            <w:tcW w:w="1418" w:type="dxa"/>
          </w:tcPr>
          <w:p w14:paraId="7B93ADF6" w14:textId="77777777" w:rsidR="00A052DC" w:rsidRDefault="009F0A60">
            <w:pPr>
              <w:rPr>
                <w:rFonts w:ascii="黑体" w:eastAsia="黑体" w:hAnsi="黑体"/>
                <w:sz w:val="20"/>
                <w:szCs w:val="20"/>
              </w:rPr>
            </w:pPr>
            <w:r>
              <w:rPr>
                <w:rFonts w:ascii="黑体" w:eastAsia="黑体" w:hAnsi="黑体" w:hint="eastAsia"/>
                <w:sz w:val="20"/>
                <w:szCs w:val="20"/>
              </w:rPr>
              <w:t>TXCODE</w:t>
            </w:r>
          </w:p>
        </w:tc>
        <w:tc>
          <w:tcPr>
            <w:tcW w:w="1559" w:type="dxa"/>
          </w:tcPr>
          <w:p w14:paraId="6B85A196" w14:textId="77777777" w:rsidR="00A052DC" w:rsidRDefault="009F0A60">
            <w:pPr>
              <w:rPr>
                <w:rFonts w:ascii="黑体" w:eastAsia="黑体" w:hAnsi="黑体"/>
                <w:sz w:val="20"/>
                <w:szCs w:val="20"/>
              </w:rPr>
            </w:pPr>
            <w:r>
              <w:rPr>
                <w:rFonts w:ascii="黑体" w:eastAsia="黑体" w:hAnsi="黑体" w:hint="eastAsia"/>
                <w:sz w:val="20"/>
                <w:szCs w:val="20"/>
              </w:rPr>
              <w:t>交易编码</w:t>
            </w:r>
          </w:p>
        </w:tc>
        <w:tc>
          <w:tcPr>
            <w:tcW w:w="1418" w:type="dxa"/>
          </w:tcPr>
          <w:p w14:paraId="0094F500" w14:textId="77777777" w:rsidR="00A052DC" w:rsidRDefault="009F0A60">
            <w:pPr>
              <w:rPr>
                <w:rFonts w:ascii="黑体" w:eastAsia="黑体" w:hAnsi="黑体"/>
                <w:sz w:val="20"/>
                <w:szCs w:val="20"/>
              </w:rPr>
            </w:pPr>
            <w:r>
              <w:rPr>
                <w:rFonts w:ascii="黑体" w:eastAsia="黑体" w:hAnsi="黑体" w:hint="eastAsia"/>
                <w:sz w:val="20"/>
                <w:szCs w:val="20"/>
              </w:rPr>
              <w:t>字符型，6</w:t>
            </w:r>
          </w:p>
        </w:tc>
        <w:tc>
          <w:tcPr>
            <w:tcW w:w="4252" w:type="dxa"/>
          </w:tcPr>
          <w:p w14:paraId="6D87BE10" w14:textId="77777777" w:rsidR="00A052DC" w:rsidRDefault="009F0A60">
            <w:pPr>
              <w:rPr>
                <w:rFonts w:ascii="黑体" w:eastAsia="黑体" w:hAnsi="黑体"/>
                <w:sz w:val="20"/>
                <w:szCs w:val="20"/>
              </w:rPr>
            </w:pPr>
            <w:r>
              <w:rPr>
                <w:rFonts w:ascii="黑体" w:eastAsia="黑体" w:hAnsi="黑体" w:hint="eastAsia"/>
                <w:sz w:val="20"/>
                <w:szCs w:val="20"/>
              </w:rPr>
              <w:t>必填项。必须在涉外收支交易代码中存在。</w:t>
            </w:r>
          </w:p>
        </w:tc>
      </w:tr>
      <w:tr w:rsidR="00A052DC" w14:paraId="131E572A" w14:textId="77777777">
        <w:tc>
          <w:tcPr>
            <w:tcW w:w="1418" w:type="dxa"/>
          </w:tcPr>
          <w:p w14:paraId="31DA5035" w14:textId="77777777" w:rsidR="00A052DC" w:rsidRDefault="009F0A60">
            <w:pPr>
              <w:rPr>
                <w:rFonts w:ascii="黑体" w:eastAsia="黑体" w:hAnsi="黑体"/>
                <w:sz w:val="20"/>
                <w:szCs w:val="20"/>
              </w:rPr>
            </w:pPr>
            <w:r>
              <w:rPr>
                <w:rFonts w:ascii="黑体" w:eastAsia="黑体" w:hAnsi="黑体" w:hint="eastAsia"/>
                <w:sz w:val="20"/>
                <w:szCs w:val="20"/>
              </w:rPr>
              <w:t>USETYPE</w:t>
            </w:r>
          </w:p>
        </w:tc>
        <w:tc>
          <w:tcPr>
            <w:tcW w:w="1559" w:type="dxa"/>
          </w:tcPr>
          <w:p w14:paraId="1F43D806" w14:textId="77777777" w:rsidR="00A052DC" w:rsidRDefault="009F0A60">
            <w:pPr>
              <w:rPr>
                <w:rFonts w:ascii="黑体" w:eastAsia="黑体" w:hAnsi="黑体"/>
                <w:sz w:val="20"/>
                <w:szCs w:val="20"/>
              </w:rPr>
            </w:pPr>
            <w:r>
              <w:rPr>
                <w:rFonts w:ascii="黑体" w:eastAsia="黑体" w:hAnsi="黑体" w:hint="eastAsia"/>
                <w:sz w:val="20"/>
                <w:szCs w:val="20"/>
              </w:rPr>
              <w:t>结汇用途</w:t>
            </w:r>
          </w:p>
        </w:tc>
        <w:tc>
          <w:tcPr>
            <w:tcW w:w="1418" w:type="dxa"/>
          </w:tcPr>
          <w:p w14:paraId="08C31EB2" w14:textId="77777777" w:rsidR="00A052DC" w:rsidRDefault="009F0A60">
            <w:pPr>
              <w:rPr>
                <w:rFonts w:ascii="黑体" w:eastAsia="黑体" w:hAnsi="黑体"/>
                <w:sz w:val="20"/>
                <w:szCs w:val="20"/>
              </w:rPr>
            </w:pPr>
            <w:r>
              <w:rPr>
                <w:rFonts w:ascii="黑体" w:eastAsia="黑体" w:hAnsi="黑体" w:hint="eastAsia"/>
                <w:sz w:val="20"/>
                <w:szCs w:val="20"/>
              </w:rPr>
              <w:t>字符型，3</w:t>
            </w:r>
          </w:p>
        </w:tc>
        <w:tc>
          <w:tcPr>
            <w:tcW w:w="4252" w:type="dxa"/>
          </w:tcPr>
          <w:p w14:paraId="407D5533" w14:textId="77777777" w:rsidR="00A052DC" w:rsidRDefault="00DD6AA3">
            <w:pPr>
              <w:rPr>
                <w:rFonts w:ascii="黑体" w:eastAsia="黑体" w:hAnsi="黑体"/>
                <w:sz w:val="20"/>
                <w:szCs w:val="20"/>
              </w:rPr>
            </w:pPr>
            <w:r>
              <w:rPr>
                <w:rFonts w:ascii="黑体" w:eastAsia="黑体" w:hAnsi="黑体" w:hint="eastAsia"/>
                <w:sz w:val="20"/>
                <w:szCs w:val="20"/>
              </w:rPr>
              <w:t>非必填项</w:t>
            </w:r>
            <w:r w:rsidR="009F0A60">
              <w:rPr>
                <w:rFonts w:ascii="黑体" w:eastAsia="黑体" w:hAnsi="黑体" w:hint="eastAsia"/>
                <w:sz w:val="20"/>
                <w:szCs w:val="20"/>
              </w:rPr>
              <w:t>。资本项目项下必填。</w:t>
            </w:r>
          </w:p>
          <w:p w14:paraId="233A6AC2" w14:textId="77777777" w:rsidR="00A052DC" w:rsidRDefault="009F0A60">
            <w:pPr>
              <w:rPr>
                <w:rFonts w:ascii="黑体" w:eastAsia="黑体" w:hAnsi="黑体"/>
                <w:sz w:val="20"/>
                <w:szCs w:val="20"/>
              </w:rPr>
            </w:pPr>
            <w:r>
              <w:rPr>
                <w:rFonts w:ascii="黑体" w:eastAsia="黑体" w:hAnsi="黑体" w:hint="eastAsia"/>
                <w:sz w:val="20"/>
                <w:szCs w:val="20"/>
              </w:rPr>
              <w:t>在001支付货款、002支付工程款、003支付保证金非同名、004支付咨询费、005支付其他服务费用、006预付款、007支付税款、008支付工资等劳务报酬、009土地出让金、010购房、011购买其他固定资产、012股权出资、013偿还金融机构贷款（含委托贷款）及利息、014购买股票/债券/基金/信托等境内金融资产、015同名划转、016支付投资人境外证券投资本金/收益、017利息结汇、018备用金、019现钞、020个人、021购买理财产品、022转入结汇待支付账户、023特殊备案、024融资租赁、025担保履约、026小额贷款、027保理业务、028结汇转入同名人民币帐户、099其他等用途中选择其中之一。如选择“005”、“006”或“099”，则应填列详细用途。</w:t>
            </w:r>
          </w:p>
        </w:tc>
      </w:tr>
      <w:tr w:rsidR="00A052DC" w14:paraId="122ACFE8" w14:textId="77777777">
        <w:tc>
          <w:tcPr>
            <w:tcW w:w="1418" w:type="dxa"/>
          </w:tcPr>
          <w:p w14:paraId="0E02B310" w14:textId="77777777" w:rsidR="00A052DC" w:rsidRDefault="009F0A60">
            <w:pPr>
              <w:rPr>
                <w:rFonts w:ascii="黑体" w:eastAsia="黑体" w:hAnsi="黑体"/>
                <w:sz w:val="20"/>
                <w:szCs w:val="20"/>
              </w:rPr>
            </w:pPr>
            <w:r>
              <w:rPr>
                <w:rFonts w:ascii="黑体" w:eastAsia="黑体" w:hAnsi="黑体" w:hint="eastAsia"/>
                <w:sz w:val="20"/>
                <w:szCs w:val="20"/>
              </w:rPr>
              <w:t>USEDETAIL</w:t>
            </w:r>
          </w:p>
        </w:tc>
        <w:tc>
          <w:tcPr>
            <w:tcW w:w="1559" w:type="dxa"/>
          </w:tcPr>
          <w:p w14:paraId="189C2742" w14:textId="77777777" w:rsidR="00A052DC" w:rsidRDefault="009F0A60">
            <w:pPr>
              <w:rPr>
                <w:rFonts w:ascii="黑体" w:eastAsia="黑体" w:hAnsi="黑体"/>
                <w:sz w:val="20"/>
                <w:szCs w:val="20"/>
              </w:rPr>
            </w:pPr>
            <w:r>
              <w:rPr>
                <w:rFonts w:ascii="黑体" w:eastAsia="黑体" w:hAnsi="黑体" w:hint="eastAsia"/>
                <w:sz w:val="20"/>
                <w:szCs w:val="20"/>
              </w:rPr>
              <w:t>结汇详细用途</w:t>
            </w:r>
          </w:p>
        </w:tc>
        <w:tc>
          <w:tcPr>
            <w:tcW w:w="1418" w:type="dxa"/>
          </w:tcPr>
          <w:p w14:paraId="399ADC87" w14:textId="77777777" w:rsidR="00A052DC" w:rsidRDefault="009F0A60">
            <w:pPr>
              <w:rPr>
                <w:rFonts w:ascii="黑体" w:eastAsia="黑体" w:hAnsi="黑体"/>
                <w:sz w:val="20"/>
                <w:szCs w:val="20"/>
              </w:rPr>
            </w:pPr>
            <w:r>
              <w:rPr>
                <w:rFonts w:ascii="黑体" w:eastAsia="黑体" w:hAnsi="黑体" w:hint="eastAsia"/>
                <w:sz w:val="20"/>
                <w:szCs w:val="20"/>
              </w:rPr>
              <w:t>字符型，100</w:t>
            </w:r>
          </w:p>
        </w:tc>
        <w:tc>
          <w:tcPr>
            <w:tcW w:w="4252" w:type="dxa"/>
          </w:tcPr>
          <w:p w14:paraId="050B00D0" w14:textId="77777777" w:rsidR="00A052DC" w:rsidRDefault="00DD6AA3">
            <w:pPr>
              <w:rPr>
                <w:rFonts w:ascii="黑体" w:eastAsia="黑体" w:hAnsi="黑体"/>
                <w:sz w:val="20"/>
                <w:szCs w:val="20"/>
              </w:rPr>
            </w:pPr>
            <w:r>
              <w:rPr>
                <w:rFonts w:ascii="黑体" w:eastAsia="黑体" w:hAnsi="黑体" w:hint="eastAsia"/>
                <w:sz w:val="20"/>
                <w:szCs w:val="20"/>
              </w:rPr>
              <w:t>非必填项</w:t>
            </w:r>
            <w:r w:rsidR="009F0A60">
              <w:rPr>
                <w:rFonts w:ascii="黑体" w:eastAsia="黑体" w:hAnsi="黑体" w:hint="eastAsia"/>
                <w:sz w:val="20"/>
                <w:szCs w:val="20"/>
              </w:rPr>
              <w:t>。如果结汇用途选择“005”、“006”或“099”，则应填列详细用途。</w:t>
            </w:r>
          </w:p>
        </w:tc>
      </w:tr>
      <w:tr w:rsidR="00A052DC" w14:paraId="2CF2FE2A" w14:textId="77777777">
        <w:tc>
          <w:tcPr>
            <w:tcW w:w="1418" w:type="dxa"/>
          </w:tcPr>
          <w:p w14:paraId="0F76AE6F" w14:textId="77777777" w:rsidR="00A052DC" w:rsidRDefault="009F0A60">
            <w:pPr>
              <w:rPr>
                <w:rFonts w:ascii="黑体" w:eastAsia="黑体" w:hAnsi="黑体"/>
                <w:sz w:val="20"/>
                <w:szCs w:val="20"/>
              </w:rPr>
            </w:pPr>
            <w:r>
              <w:rPr>
                <w:rFonts w:ascii="黑体" w:eastAsia="黑体" w:hAnsi="黑体" w:hint="eastAsia"/>
                <w:sz w:val="20"/>
                <w:szCs w:val="20"/>
              </w:rPr>
              <w:t>CRTUSER</w:t>
            </w:r>
          </w:p>
        </w:tc>
        <w:tc>
          <w:tcPr>
            <w:tcW w:w="1559" w:type="dxa"/>
          </w:tcPr>
          <w:p w14:paraId="570E7FCF" w14:textId="77777777" w:rsidR="00A052DC" w:rsidRDefault="009F0A60">
            <w:pPr>
              <w:rPr>
                <w:rFonts w:ascii="黑体" w:eastAsia="黑体" w:hAnsi="黑体"/>
                <w:sz w:val="20"/>
                <w:szCs w:val="20"/>
              </w:rPr>
            </w:pPr>
            <w:r>
              <w:rPr>
                <w:rFonts w:ascii="黑体" w:eastAsia="黑体" w:hAnsi="黑体" w:hint="eastAsia"/>
                <w:sz w:val="20"/>
                <w:szCs w:val="20"/>
              </w:rPr>
              <w:t>填报人</w:t>
            </w:r>
          </w:p>
        </w:tc>
        <w:tc>
          <w:tcPr>
            <w:tcW w:w="1418" w:type="dxa"/>
          </w:tcPr>
          <w:p w14:paraId="624A1DD6" w14:textId="77777777" w:rsidR="00A052DC" w:rsidRDefault="009F0A60">
            <w:pPr>
              <w:rPr>
                <w:rFonts w:ascii="黑体" w:eastAsia="黑体" w:hAnsi="黑体"/>
                <w:sz w:val="20"/>
                <w:szCs w:val="20"/>
              </w:rPr>
            </w:pPr>
            <w:r>
              <w:rPr>
                <w:rFonts w:ascii="黑体" w:eastAsia="黑体" w:hAnsi="黑体" w:hint="eastAsia"/>
                <w:sz w:val="20"/>
                <w:szCs w:val="20"/>
              </w:rPr>
              <w:t>字符型，20</w:t>
            </w:r>
          </w:p>
        </w:tc>
        <w:tc>
          <w:tcPr>
            <w:tcW w:w="4252" w:type="dxa"/>
          </w:tcPr>
          <w:p w14:paraId="50677B53"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r w:rsidR="00A052DC" w14:paraId="291894A7" w14:textId="77777777">
        <w:tc>
          <w:tcPr>
            <w:tcW w:w="1418" w:type="dxa"/>
          </w:tcPr>
          <w:p w14:paraId="010D5107" w14:textId="77777777" w:rsidR="00A052DC" w:rsidRDefault="009F0A60">
            <w:pPr>
              <w:rPr>
                <w:rFonts w:ascii="黑体" w:eastAsia="黑体" w:hAnsi="黑体"/>
                <w:sz w:val="20"/>
                <w:szCs w:val="20"/>
              </w:rPr>
            </w:pPr>
            <w:r>
              <w:rPr>
                <w:rFonts w:ascii="黑体" w:eastAsia="黑体" w:hAnsi="黑体" w:hint="eastAsia"/>
                <w:sz w:val="20"/>
                <w:szCs w:val="20"/>
              </w:rPr>
              <w:t>INPTELC</w:t>
            </w:r>
          </w:p>
        </w:tc>
        <w:tc>
          <w:tcPr>
            <w:tcW w:w="1559" w:type="dxa"/>
          </w:tcPr>
          <w:p w14:paraId="76EA1CC2" w14:textId="77777777" w:rsidR="00A052DC" w:rsidRDefault="009F0A60">
            <w:pPr>
              <w:rPr>
                <w:rFonts w:ascii="黑体" w:eastAsia="黑体" w:hAnsi="黑体"/>
                <w:sz w:val="20"/>
                <w:szCs w:val="20"/>
              </w:rPr>
            </w:pPr>
            <w:r>
              <w:rPr>
                <w:rFonts w:ascii="黑体" w:eastAsia="黑体" w:hAnsi="黑体" w:hint="eastAsia"/>
                <w:sz w:val="20"/>
                <w:szCs w:val="20"/>
              </w:rPr>
              <w:t>填报人电话</w:t>
            </w:r>
          </w:p>
        </w:tc>
        <w:tc>
          <w:tcPr>
            <w:tcW w:w="1418" w:type="dxa"/>
          </w:tcPr>
          <w:p w14:paraId="0E5E268E" w14:textId="77777777" w:rsidR="00A052DC" w:rsidRDefault="009F0A60">
            <w:pPr>
              <w:rPr>
                <w:rFonts w:ascii="黑体" w:eastAsia="黑体" w:hAnsi="黑体"/>
                <w:sz w:val="20"/>
                <w:szCs w:val="20"/>
              </w:rPr>
            </w:pPr>
            <w:r>
              <w:rPr>
                <w:rFonts w:ascii="黑体" w:eastAsia="黑体" w:hAnsi="黑体" w:hint="eastAsia"/>
                <w:sz w:val="20"/>
                <w:szCs w:val="20"/>
              </w:rPr>
              <w:t>字符型，20</w:t>
            </w:r>
          </w:p>
        </w:tc>
        <w:tc>
          <w:tcPr>
            <w:tcW w:w="4252" w:type="dxa"/>
          </w:tcPr>
          <w:p w14:paraId="4CF9E024"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r w:rsidR="00A052DC" w14:paraId="149C11EE" w14:textId="77777777">
        <w:tc>
          <w:tcPr>
            <w:tcW w:w="1418" w:type="dxa"/>
          </w:tcPr>
          <w:p w14:paraId="2F0BA0C3" w14:textId="77777777" w:rsidR="00A052DC" w:rsidRDefault="009F0A60">
            <w:pPr>
              <w:rPr>
                <w:rFonts w:ascii="黑体" w:eastAsia="黑体" w:hAnsi="黑体"/>
                <w:sz w:val="20"/>
                <w:szCs w:val="20"/>
              </w:rPr>
            </w:pPr>
            <w:r>
              <w:rPr>
                <w:rFonts w:ascii="黑体" w:eastAsia="黑体" w:hAnsi="黑体" w:hint="eastAsia"/>
                <w:sz w:val="20"/>
                <w:szCs w:val="20"/>
              </w:rPr>
              <w:t>RPTDATE</w:t>
            </w:r>
          </w:p>
        </w:tc>
        <w:tc>
          <w:tcPr>
            <w:tcW w:w="1559" w:type="dxa"/>
          </w:tcPr>
          <w:p w14:paraId="6C23275D" w14:textId="77777777" w:rsidR="00A052DC" w:rsidRDefault="009F0A60">
            <w:pPr>
              <w:rPr>
                <w:rFonts w:ascii="黑体" w:eastAsia="黑体" w:hAnsi="黑体"/>
                <w:sz w:val="20"/>
                <w:szCs w:val="20"/>
              </w:rPr>
            </w:pPr>
            <w:r>
              <w:rPr>
                <w:rFonts w:ascii="黑体" w:eastAsia="黑体" w:hAnsi="黑体" w:hint="eastAsia"/>
                <w:sz w:val="20"/>
                <w:szCs w:val="20"/>
              </w:rPr>
              <w:t>申报日期</w:t>
            </w:r>
          </w:p>
        </w:tc>
        <w:tc>
          <w:tcPr>
            <w:tcW w:w="1418" w:type="dxa"/>
          </w:tcPr>
          <w:p w14:paraId="1BAA026A" w14:textId="77777777" w:rsidR="00A052DC" w:rsidRDefault="009F0A60">
            <w:pPr>
              <w:rPr>
                <w:rFonts w:ascii="黑体" w:eastAsia="黑体" w:hAnsi="黑体"/>
                <w:sz w:val="20"/>
                <w:szCs w:val="20"/>
              </w:rPr>
            </w:pPr>
            <w:r>
              <w:rPr>
                <w:rFonts w:ascii="黑体" w:eastAsia="黑体" w:hAnsi="黑体" w:hint="eastAsia"/>
                <w:sz w:val="20"/>
                <w:szCs w:val="20"/>
              </w:rPr>
              <w:t>日期型，8</w:t>
            </w:r>
          </w:p>
          <w:p w14:paraId="642B5813" w14:textId="77777777" w:rsidR="00A052DC" w:rsidRDefault="009F0A60">
            <w:pPr>
              <w:rPr>
                <w:rFonts w:ascii="黑体" w:eastAsia="黑体" w:hAnsi="黑体"/>
                <w:sz w:val="20"/>
                <w:szCs w:val="20"/>
              </w:rPr>
            </w:pPr>
            <w:r>
              <w:rPr>
                <w:rFonts w:ascii="黑体" w:eastAsia="黑体" w:hAnsi="黑体" w:hint="eastAsia"/>
                <w:sz w:val="20"/>
                <w:szCs w:val="20"/>
              </w:rPr>
              <w:t>YYYYMMDD</w:t>
            </w:r>
          </w:p>
        </w:tc>
        <w:tc>
          <w:tcPr>
            <w:tcW w:w="4252" w:type="dxa"/>
          </w:tcPr>
          <w:p w14:paraId="6DDEBA40" w14:textId="77777777" w:rsidR="00A052DC" w:rsidRDefault="009F0A60">
            <w:pPr>
              <w:rPr>
                <w:rFonts w:ascii="黑体" w:eastAsia="黑体" w:hAnsi="黑体"/>
                <w:sz w:val="20"/>
                <w:szCs w:val="20"/>
              </w:rPr>
            </w:pPr>
            <w:r>
              <w:rPr>
                <w:rFonts w:ascii="黑体" w:eastAsia="黑体" w:hAnsi="黑体" w:hint="eastAsia"/>
                <w:sz w:val="20"/>
                <w:szCs w:val="20"/>
              </w:rPr>
              <w:t>必填项，按申报主体真实申报日期填写。</w:t>
            </w:r>
          </w:p>
        </w:tc>
      </w:tr>
    </w:tbl>
    <w:p w14:paraId="4268817F" w14:textId="77777777" w:rsidR="00A052DC" w:rsidRDefault="009F0A60">
      <w:pPr>
        <w:pStyle w:val="3"/>
        <w:ind w:left="0"/>
        <w:rPr>
          <w:rFonts w:ascii="Times New Roman" w:hAnsi="Times New Roman"/>
        </w:rPr>
      </w:pPr>
      <w:bookmarkStart w:id="1413" w:name="_Toc455167696"/>
      <w:bookmarkStart w:id="1414" w:name="_Toc454386847"/>
      <w:bookmarkStart w:id="1415" w:name="_Toc454395080"/>
      <w:bookmarkStart w:id="1416" w:name="_Toc454378161"/>
      <w:bookmarkStart w:id="1417" w:name="_Toc454464773"/>
      <w:bookmarkStart w:id="1418" w:name="_Toc454780150"/>
      <w:bookmarkStart w:id="1419" w:name="_Toc455156520"/>
      <w:bookmarkStart w:id="1420" w:name="_Toc455163971"/>
      <w:bookmarkStart w:id="1421" w:name="_Toc455152792"/>
      <w:bookmarkStart w:id="1422" w:name="_Toc454454856"/>
      <w:bookmarkStart w:id="1423" w:name="_Toc380356257"/>
      <w:bookmarkStart w:id="1424" w:name="_Toc454386848"/>
      <w:bookmarkStart w:id="1425" w:name="_Toc91455286"/>
      <w:bookmarkStart w:id="1426" w:name="_Toc101684459"/>
      <w:bookmarkEnd w:id="1413"/>
      <w:bookmarkEnd w:id="1414"/>
      <w:bookmarkEnd w:id="1415"/>
      <w:bookmarkEnd w:id="1416"/>
      <w:bookmarkEnd w:id="1417"/>
      <w:bookmarkEnd w:id="1418"/>
      <w:bookmarkEnd w:id="1419"/>
      <w:bookmarkEnd w:id="1420"/>
      <w:bookmarkEnd w:id="1421"/>
      <w:bookmarkEnd w:id="1422"/>
      <w:r>
        <w:rPr>
          <w:rFonts w:ascii="Times New Roman" w:hAnsi="Times New Roman" w:hint="eastAsia"/>
        </w:rPr>
        <w:t>外汇账户内购汇</w:t>
      </w:r>
      <w:bookmarkEnd w:id="1404"/>
      <w:r>
        <w:rPr>
          <w:rFonts w:ascii="Times New Roman" w:hAnsi="Times New Roman"/>
        </w:rPr>
        <w:t>-</w:t>
      </w:r>
      <w:r>
        <w:rPr>
          <w:rFonts w:ascii="Times New Roman" w:hAnsi="Times New Roman" w:hint="eastAsia"/>
        </w:rPr>
        <w:t>基础信息</w:t>
      </w:r>
      <w:bookmarkEnd w:id="1423"/>
      <w:bookmarkEnd w:id="1424"/>
      <w:bookmarkEnd w:id="1425"/>
      <w:bookmarkEnd w:id="1426"/>
    </w:p>
    <w:p w14:paraId="3E3CBB28" w14:textId="77777777" w:rsidR="00A052DC" w:rsidRDefault="009F0A60" w:rsidP="0020251D">
      <w:pPr>
        <w:pStyle w:val="4"/>
        <w:numPr>
          <w:ilvl w:val="3"/>
          <w:numId w:val="1"/>
        </w:numPr>
        <w:jc w:val="left"/>
      </w:pPr>
      <w:bookmarkStart w:id="1427" w:name="_Toc310598082"/>
      <w:bookmarkStart w:id="1428" w:name="_Toc454386849"/>
      <w:r>
        <w:rPr>
          <w:rFonts w:hint="eastAsia"/>
        </w:rPr>
        <w:t>数据术语解释</w:t>
      </w:r>
      <w:bookmarkEnd w:id="1427"/>
      <w:bookmarkEnd w:id="142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6854"/>
      </w:tblGrid>
      <w:tr w:rsidR="00A052DC" w14:paraId="7A6A4C23" w14:textId="77777777">
        <w:tc>
          <w:tcPr>
            <w:tcW w:w="1668" w:type="dxa"/>
          </w:tcPr>
          <w:p w14:paraId="3AE4B517" w14:textId="77777777" w:rsidR="00A052DC" w:rsidRDefault="009F0A60">
            <w:pPr>
              <w:jc w:val="center"/>
              <w:rPr>
                <w:rFonts w:ascii="黑体" w:eastAsia="黑体" w:hAnsi="黑体"/>
                <w:b/>
                <w:sz w:val="20"/>
                <w:szCs w:val="20"/>
              </w:rPr>
            </w:pPr>
            <w:r>
              <w:rPr>
                <w:rFonts w:ascii="黑体" w:eastAsia="黑体" w:hAnsi="黑体" w:hint="eastAsia"/>
                <w:b/>
                <w:sz w:val="20"/>
                <w:szCs w:val="20"/>
              </w:rPr>
              <w:t>基础数据项</w:t>
            </w:r>
          </w:p>
        </w:tc>
        <w:tc>
          <w:tcPr>
            <w:tcW w:w="6854" w:type="dxa"/>
          </w:tcPr>
          <w:p w14:paraId="7303F8BC" w14:textId="77777777" w:rsidR="00A052DC" w:rsidRDefault="009F0A60">
            <w:pPr>
              <w:jc w:val="center"/>
              <w:rPr>
                <w:rFonts w:ascii="黑体" w:eastAsia="黑体" w:hAnsi="黑体"/>
                <w:b/>
                <w:sz w:val="20"/>
                <w:szCs w:val="20"/>
              </w:rPr>
            </w:pPr>
            <w:r>
              <w:rPr>
                <w:rFonts w:ascii="黑体" w:eastAsia="黑体" w:hAnsi="黑体" w:hint="eastAsia"/>
                <w:b/>
                <w:sz w:val="20"/>
                <w:szCs w:val="20"/>
              </w:rPr>
              <w:t>定义</w:t>
            </w:r>
          </w:p>
        </w:tc>
      </w:tr>
      <w:tr w:rsidR="00A052DC" w14:paraId="384E44EE" w14:textId="77777777">
        <w:tc>
          <w:tcPr>
            <w:tcW w:w="1668" w:type="dxa"/>
          </w:tcPr>
          <w:p w14:paraId="5AF7E70E" w14:textId="77777777" w:rsidR="00A052DC" w:rsidRDefault="009F0A60">
            <w:pPr>
              <w:rPr>
                <w:rFonts w:ascii="黑体" w:eastAsia="黑体" w:hAnsi="黑体"/>
                <w:sz w:val="20"/>
                <w:szCs w:val="20"/>
              </w:rPr>
            </w:pPr>
            <w:r>
              <w:rPr>
                <w:rFonts w:ascii="黑体" w:eastAsia="黑体" w:hAnsi="黑体" w:hint="eastAsia"/>
                <w:sz w:val="20"/>
                <w:szCs w:val="20"/>
              </w:rPr>
              <w:t>申报号码</w:t>
            </w:r>
          </w:p>
        </w:tc>
        <w:tc>
          <w:tcPr>
            <w:tcW w:w="6854" w:type="dxa"/>
          </w:tcPr>
          <w:p w14:paraId="7367E62A" w14:textId="77777777" w:rsidR="00A052DC" w:rsidRDefault="009F0A60">
            <w:pPr>
              <w:rPr>
                <w:rFonts w:ascii="黑体" w:eastAsia="黑体" w:hAnsi="黑体"/>
                <w:sz w:val="20"/>
                <w:szCs w:val="20"/>
              </w:rPr>
            </w:pPr>
            <w:r>
              <w:rPr>
                <w:rFonts w:ascii="黑体" w:eastAsia="黑体" w:hAnsi="黑体" w:hint="eastAsia"/>
                <w:sz w:val="20"/>
                <w:szCs w:val="20"/>
              </w:rPr>
              <w:t>指由境内银行按国家外汇管理局要求编制的号码，共计22位。编码规则：6位地区标识码+4位银行代码+2位银行顺序码+支付日期（yymmdd）+4位银行业务流水码。支付日期不能大于系统日期。</w:t>
            </w:r>
          </w:p>
          <w:p w14:paraId="73F5D08A" w14:textId="77777777" w:rsidR="00A052DC" w:rsidRDefault="009F0A60">
            <w:pPr>
              <w:rPr>
                <w:rFonts w:ascii="黑体" w:eastAsia="黑体" w:hAnsi="黑体"/>
                <w:sz w:val="20"/>
                <w:szCs w:val="20"/>
              </w:rPr>
            </w:pPr>
            <w:r>
              <w:rPr>
                <w:rFonts w:ascii="黑体" w:eastAsia="黑体" w:hAnsi="黑体" w:hint="eastAsia"/>
                <w:sz w:val="20"/>
                <w:szCs w:val="20"/>
              </w:rPr>
              <w:t>银行业务流水码第一位应为数字0-9，第二、三位可使用数字0-9或大写英文字母（O、I、Z除外），第四位应为大写英文字母X或Y。</w:t>
            </w:r>
          </w:p>
        </w:tc>
      </w:tr>
      <w:tr w:rsidR="00A052DC" w14:paraId="09CB9F04" w14:textId="77777777">
        <w:tc>
          <w:tcPr>
            <w:tcW w:w="1668" w:type="dxa"/>
          </w:tcPr>
          <w:p w14:paraId="2DB72F9C" w14:textId="77777777" w:rsidR="00A052DC" w:rsidRDefault="009F0A60">
            <w:pPr>
              <w:rPr>
                <w:rFonts w:ascii="黑体" w:eastAsia="黑体" w:hAnsi="黑体"/>
                <w:sz w:val="20"/>
                <w:szCs w:val="20"/>
              </w:rPr>
            </w:pPr>
            <w:r>
              <w:rPr>
                <w:rFonts w:ascii="黑体" w:eastAsia="黑体" w:hAnsi="黑体" w:hint="eastAsia"/>
                <w:sz w:val="20"/>
                <w:szCs w:val="20"/>
              </w:rPr>
              <w:t>银行业务编号</w:t>
            </w:r>
          </w:p>
        </w:tc>
        <w:tc>
          <w:tcPr>
            <w:tcW w:w="6854" w:type="dxa"/>
          </w:tcPr>
          <w:p w14:paraId="67AA42A5" w14:textId="77777777" w:rsidR="00A052DC" w:rsidRDefault="009F0A60">
            <w:pPr>
              <w:rPr>
                <w:rFonts w:ascii="黑体" w:eastAsia="黑体" w:hAnsi="黑体"/>
                <w:sz w:val="20"/>
                <w:szCs w:val="20"/>
              </w:rPr>
            </w:pPr>
            <w:r>
              <w:rPr>
                <w:rFonts w:ascii="黑体" w:eastAsia="黑体" w:hAnsi="黑体" w:hint="eastAsia"/>
                <w:sz w:val="20"/>
                <w:szCs w:val="20"/>
              </w:rPr>
              <w:t>指该业务在银行的业务编号</w:t>
            </w:r>
            <w:r w:rsidR="009708FD">
              <w:rPr>
                <w:rFonts w:ascii="黑体" w:eastAsia="黑体" w:hAnsi="黑体" w:hint="eastAsia"/>
                <w:sz w:val="20"/>
                <w:szCs w:val="20"/>
              </w:rPr>
              <w:t>。</w:t>
            </w:r>
          </w:p>
        </w:tc>
      </w:tr>
      <w:tr w:rsidR="00A052DC" w14:paraId="571005D9" w14:textId="77777777">
        <w:tc>
          <w:tcPr>
            <w:tcW w:w="1668" w:type="dxa"/>
          </w:tcPr>
          <w:p w14:paraId="63A02595" w14:textId="77777777" w:rsidR="00A052DC" w:rsidRDefault="009F0A60">
            <w:pPr>
              <w:rPr>
                <w:rFonts w:ascii="黑体" w:eastAsia="黑体" w:hAnsi="黑体"/>
                <w:sz w:val="20"/>
                <w:szCs w:val="20"/>
              </w:rPr>
            </w:pPr>
            <w:r>
              <w:rPr>
                <w:rFonts w:ascii="黑体" w:eastAsia="黑体" w:hAnsi="黑体" w:hint="eastAsia"/>
                <w:sz w:val="20"/>
                <w:szCs w:val="20"/>
              </w:rPr>
              <w:t>购汇申请人名称</w:t>
            </w:r>
          </w:p>
        </w:tc>
        <w:tc>
          <w:tcPr>
            <w:tcW w:w="6854" w:type="dxa"/>
          </w:tcPr>
          <w:p w14:paraId="11CEA9C3" w14:textId="77777777" w:rsidR="00A052DC" w:rsidRDefault="009F0A60">
            <w:pPr>
              <w:rPr>
                <w:rFonts w:ascii="黑体" w:eastAsia="黑体" w:hAnsi="黑体"/>
                <w:sz w:val="20"/>
                <w:szCs w:val="20"/>
              </w:rPr>
            </w:pPr>
            <w:r>
              <w:rPr>
                <w:rFonts w:ascii="黑体" w:eastAsia="黑体" w:hAnsi="黑体" w:hint="eastAsia"/>
                <w:sz w:val="20"/>
                <w:szCs w:val="20"/>
              </w:rPr>
              <w:t>对公项下指购汇人预留银行印鉴、营业执照或国家外汇管理局及其分支局签发的特殊机构代码赋码通知书上的名称；</w:t>
            </w:r>
          </w:p>
          <w:p w14:paraId="40534F25" w14:textId="77777777" w:rsidR="00A052DC" w:rsidRDefault="009F0A60">
            <w:pPr>
              <w:rPr>
                <w:rFonts w:ascii="黑体" w:eastAsia="黑体" w:hAnsi="黑体"/>
                <w:sz w:val="20"/>
                <w:szCs w:val="20"/>
              </w:rPr>
            </w:pPr>
            <w:r>
              <w:rPr>
                <w:rFonts w:ascii="黑体" w:eastAsia="黑体" w:hAnsi="黑体" w:hint="eastAsia"/>
                <w:sz w:val="20"/>
                <w:szCs w:val="20"/>
              </w:rPr>
              <w:t>对私项下指个人身份证件上的名称。</w:t>
            </w:r>
          </w:p>
        </w:tc>
      </w:tr>
      <w:tr w:rsidR="00A052DC" w14:paraId="7FC304AC" w14:textId="77777777">
        <w:tc>
          <w:tcPr>
            <w:tcW w:w="1668" w:type="dxa"/>
          </w:tcPr>
          <w:p w14:paraId="1CBD33A5" w14:textId="77777777" w:rsidR="00A052DC" w:rsidRDefault="009F0A60">
            <w:pPr>
              <w:rPr>
                <w:rFonts w:ascii="黑体" w:eastAsia="黑体" w:hAnsi="黑体"/>
                <w:sz w:val="20"/>
                <w:szCs w:val="20"/>
              </w:rPr>
            </w:pPr>
            <w:r>
              <w:rPr>
                <w:rFonts w:ascii="黑体" w:eastAsia="黑体" w:hAnsi="黑体" w:hint="eastAsia"/>
                <w:sz w:val="20"/>
                <w:szCs w:val="20"/>
              </w:rPr>
              <w:t>购汇申请人组织机构代码（身份证件号码）</w:t>
            </w:r>
          </w:p>
        </w:tc>
        <w:tc>
          <w:tcPr>
            <w:tcW w:w="6854" w:type="dxa"/>
          </w:tcPr>
          <w:p w14:paraId="2173044E" w14:textId="77777777" w:rsidR="00A052DC" w:rsidRDefault="009F0A60">
            <w:pPr>
              <w:rPr>
                <w:rFonts w:ascii="黑体" w:eastAsia="黑体" w:hAnsi="黑体"/>
                <w:sz w:val="20"/>
                <w:szCs w:val="20"/>
              </w:rPr>
            </w:pPr>
            <w:r>
              <w:rPr>
                <w:rFonts w:ascii="黑体" w:eastAsia="黑体" w:hAnsi="黑体" w:hint="eastAsia"/>
                <w:sz w:val="20"/>
                <w:szCs w:val="20"/>
              </w:rPr>
              <w:t>对公项下指统一社会信用代码法定载体（如营业执照）上统一社会信用代码中的第9至17位或国家外汇管理局及其分支局签发的特殊机构代码赋码通知书上的机构代码；</w:t>
            </w:r>
          </w:p>
          <w:p w14:paraId="5478E320" w14:textId="77777777" w:rsidR="00A052DC" w:rsidRDefault="009F0A60">
            <w:pPr>
              <w:rPr>
                <w:rFonts w:ascii="黑体" w:eastAsia="黑体" w:hAnsi="黑体"/>
                <w:sz w:val="20"/>
                <w:szCs w:val="20"/>
              </w:rPr>
            </w:pPr>
            <w:r>
              <w:rPr>
                <w:rFonts w:ascii="黑体" w:eastAsia="黑体" w:hAnsi="黑体" w:hint="eastAsia"/>
                <w:sz w:val="20"/>
                <w:szCs w:val="20"/>
              </w:rPr>
              <w:t>对私项下包括境内居民个人的身份证号、军官证号等以及境外居民个人的护照号等。</w:t>
            </w:r>
          </w:p>
          <w:p w14:paraId="3CAE24B5" w14:textId="77777777" w:rsidR="00A052DC" w:rsidRDefault="009F0A60">
            <w:pPr>
              <w:rPr>
                <w:rFonts w:ascii="黑体" w:eastAsia="黑体" w:hAnsi="黑体"/>
                <w:sz w:val="20"/>
                <w:szCs w:val="20"/>
              </w:rPr>
            </w:pPr>
            <w:r>
              <w:rPr>
                <w:rFonts w:ascii="黑体" w:eastAsia="黑体" w:hAnsi="黑体" w:hint="eastAsia"/>
                <w:sz w:val="20"/>
                <w:szCs w:val="20"/>
              </w:rPr>
              <w:t>当“购汇申请人主体类型”为“对公”时，应填写对公项下的代码，并符合技监局的机构代码编制规则。</w:t>
            </w:r>
          </w:p>
        </w:tc>
      </w:tr>
      <w:tr w:rsidR="00A052DC" w14:paraId="036CD764" w14:textId="77777777">
        <w:tc>
          <w:tcPr>
            <w:tcW w:w="1668" w:type="dxa"/>
          </w:tcPr>
          <w:p w14:paraId="77974147" w14:textId="77777777" w:rsidR="00A052DC" w:rsidRDefault="009F0A60">
            <w:pPr>
              <w:rPr>
                <w:rFonts w:ascii="黑体" w:eastAsia="黑体" w:hAnsi="黑体"/>
                <w:sz w:val="20"/>
                <w:szCs w:val="20"/>
              </w:rPr>
            </w:pPr>
            <w:r>
              <w:rPr>
                <w:rFonts w:ascii="黑体" w:eastAsia="黑体" w:hAnsi="黑体" w:hint="eastAsia"/>
                <w:sz w:val="20"/>
                <w:szCs w:val="20"/>
              </w:rPr>
              <w:t>人民币账户账号</w:t>
            </w:r>
          </w:p>
        </w:tc>
        <w:tc>
          <w:tcPr>
            <w:tcW w:w="6854" w:type="dxa"/>
          </w:tcPr>
          <w:p w14:paraId="00B0384F" w14:textId="77777777" w:rsidR="00A052DC" w:rsidRDefault="009F0A60">
            <w:pPr>
              <w:rPr>
                <w:rFonts w:ascii="黑体" w:eastAsia="黑体" w:hAnsi="黑体"/>
                <w:sz w:val="20"/>
                <w:szCs w:val="20"/>
              </w:rPr>
            </w:pPr>
            <w:r>
              <w:rPr>
                <w:rFonts w:ascii="黑体" w:eastAsia="黑体" w:hAnsi="黑体" w:hint="eastAsia"/>
                <w:sz w:val="20"/>
                <w:szCs w:val="20"/>
              </w:rPr>
              <w:t>购汇时银行扣款的人民币账号。如购汇申请人持人民币现钞购汇，无需填写人民币账户账号。</w:t>
            </w:r>
          </w:p>
        </w:tc>
      </w:tr>
      <w:tr w:rsidR="00A052DC" w14:paraId="25E3BF71" w14:textId="77777777">
        <w:trPr>
          <w:trHeight w:val="70"/>
        </w:trPr>
        <w:tc>
          <w:tcPr>
            <w:tcW w:w="1668" w:type="dxa"/>
          </w:tcPr>
          <w:p w14:paraId="018FBCA6" w14:textId="77777777" w:rsidR="00A052DC" w:rsidRDefault="009F0A60">
            <w:pPr>
              <w:rPr>
                <w:rFonts w:ascii="黑体" w:eastAsia="黑体" w:hAnsi="黑体"/>
                <w:sz w:val="20"/>
                <w:szCs w:val="20"/>
              </w:rPr>
            </w:pPr>
            <w:r>
              <w:rPr>
                <w:rFonts w:ascii="黑体" w:eastAsia="黑体" w:hAnsi="黑体" w:hint="eastAsia"/>
                <w:sz w:val="20"/>
                <w:szCs w:val="20"/>
              </w:rPr>
              <w:t>外汇账户账号</w:t>
            </w:r>
          </w:p>
        </w:tc>
        <w:tc>
          <w:tcPr>
            <w:tcW w:w="6854" w:type="dxa"/>
          </w:tcPr>
          <w:p w14:paraId="0244D674" w14:textId="77777777" w:rsidR="00A052DC" w:rsidRDefault="009F0A60">
            <w:pPr>
              <w:rPr>
                <w:rFonts w:ascii="黑体" w:eastAsia="黑体" w:hAnsi="黑体"/>
                <w:sz w:val="20"/>
                <w:szCs w:val="20"/>
              </w:rPr>
            </w:pPr>
            <w:r>
              <w:rPr>
                <w:rFonts w:ascii="黑体" w:eastAsia="黑体" w:hAnsi="黑体" w:hint="eastAsia"/>
                <w:sz w:val="20"/>
                <w:szCs w:val="20"/>
              </w:rPr>
              <w:t>银行为客户办理购汇后进入收款人外汇账户/银行卡的账号/卡号。</w:t>
            </w:r>
          </w:p>
        </w:tc>
      </w:tr>
      <w:tr w:rsidR="00A052DC" w14:paraId="7FBC99F4" w14:textId="77777777">
        <w:tc>
          <w:tcPr>
            <w:tcW w:w="1668" w:type="dxa"/>
          </w:tcPr>
          <w:p w14:paraId="2D340E66" w14:textId="77777777" w:rsidR="00A052DC" w:rsidRDefault="009F0A60">
            <w:pPr>
              <w:rPr>
                <w:rFonts w:ascii="黑体" w:eastAsia="黑体" w:hAnsi="黑体"/>
                <w:sz w:val="20"/>
                <w:szCs w:val="20"/>
              </w:rPr>
            </w:pPr>
            <w:r>
              <w:rPr>
                <w:rFonts w:ascii="黑体" w:eastAsia="黑体" w:hAnsi="黑体" w:hint="eastAsia"/>
                <w:sz w:val="20"/>
                <w:szCs w:val="20"/>
              </w:rPr>
              <w:t>外汇收款人名称</w:t>
            </w:r>
          </w:p>
        </w:tc>
        <w:tc>
          <w:tcPr>
            <w:tcW w:w="6854" w:type="dxa"/>
          </w:tcPr>
          <w:p w14:paraId="4119396B" w14:textId="77777777" w:rsidR="00A052DC" w:rsidRDefault="009F0A60">
            <w:pPr>
              <w:rPr>
                <w:rFonts w:ascii="黑体" w:eastAsia="黑体" w:hAnsi="黑体"/>
                <w:sz w:val="20"/>
                <w:szCs w:val="20"/>
              </w:rPr>
            </w:pPr>
            <w:r>
              <w:rPr>
                <w:rFonts w:ascii="黑体" w:eastAsia="黑体" w:hAnsi="黑体" w:hint="eastAsia"/>
                <w:sz w:val="20"/>
                <w:szCs w:val="20"/>
              </w:rPr>
              <w:t>上述外汇账户持有人的名称。“外汇收款人名称”应与“购汇申请人名称”相同。</w:t>
            </w:r>
          </w:p>
        </w:tc>
      </w:tr>
      <w:tr w:rsidR="00A052DC" w14:paraId="2155C83E" w14:textId="77777777">
        <w:tc>
          <w:tcPr>
            <w:tcW w:w="1668" w:type="dxa"/>
          </w:tcPr>
          <w:p w14:paraId="016B2EEA" w14:textId="77777777" w:rsidR="00A052DC" w:rsidRDefault="009F0A60">
            <w:pPr>
              <w:rPr>
                <w:rFonts w:ascii="黑体" w:eastAsia="黑体" w:hAnsi="黑体"/>
                <w:sz w:val="20"/>
                <w:szCs w:val="20"/>
              </w:rPr>
            </w:pPr>
            <w:r>
              <w:rPr>
                <w:rFonts w:ascii="黑体" w:eastAsia="黑体" w:hAnsi="黑体" w:hint="eastAsia"/>
                <w:sz w:val="20"/>
                <w:szCs w:val="20"/>
              </w:rPr>
              <w:t>外汇账户开户行</w:t>
            </w:r>
          </w:p>
        </w:tc>
        <w:tc>
          <w:tcPr>
            <w:tcW w:w="6854" w:type="dxa"/>
          </w:tcPr>
          <w:p w14:paraId="07F3717F" w14:textId="77777777" w:rsidR="00A052DC" w:rsidRDefault="009F0A60">
            <w:pPr>
              <w:rPr>
                <w:rFonts w:ascii="黑体" w:eastAsia="黑体" w:hAnsi="黑体"/>
                <w:sz w:val="20"/>
                <w:szCs w:val="20"/>
              </w:rPr>
            </w:pPr>
            <w:r>
              <w:rPr>
                <w:rFonts w:ascii="黑体" w:eastAsia="黑体" w:hAnsi="黑体" w:hint="eastAsia"/>
                <w:sz w:val="20"/>
                <w:szCs w:val="20"/>
              </w:rPr>
              <w:t>上述外汇账户的开户行名称。</w:t>
            </w:r>
          </w:p>
        </w:tc>
      </w:tr>
      <w:tr w:rsidR="00A052DC" w14:paraId="45B6BBE8" w14:textId="77777777">
        <w:trPr>
          <w:trHeight w:val="70"/>
        </w:trPr>
        <w:tc>
          <w:tcPr>
            <w:tcW w:w="1668" w:type="dxa"/>
          </w:tcPr>
          <w:p w14:paraId="72EFACDA" w14:textId="77777777" w:rsidR="00A052DC" w:rsidRDefault="009F0A60">
            <w:pPr>
              <w:rPr>
                <w:rFonts w:ascii="黑体" w:eastAsia="黑体" w:hAnsi="黑体"/>
                <w:sz w:val="20"/>
                <w:szCs w:val="20"/>
              </w:rPr>
            </w:pPr>
            <w:r>
              <w:rPr>
                <w:rFonts w:ascii="黑体" w:eastAsia="黑体" w:hAnsi="黑体" w:hint="eastAsia"/>
                <w:sz w:val="20"/>
                <w:szCs w:val="20"/>
              </w:rPr>
              <w:t>购汇金额（人民币）</w:t>
            </w:r>
          </w:p>
        </w:tc>
        <w:tc>
          <w:tcPr>
            <w:tcW w:w="6854" w:type="dxa"/>
          </w:tcPr>
          <w:p w14:paraId="6FC723D6" w14:textId="77777777" w:rsidR="00A052DC" w:rsidRDefault="009F0A60">
            <w:pPr>
              <w:rPr>
                <w:rFonts w:ascii="黑体" w:eastAsia="黑体" w:hAnsi="黑体"/>
                <w:sz w:val="20"/>
                <w:szCs w:val="20"/>
              </w:rPr>
            </w:pPr>
            <w:r>
              <w:rPr>
                <w:rFonts w:ascii="黑体" w:eastAsia="黑体" w:hAnsi="黑体" w:hint="eastAsia"/>
                <w:sz w:val="20"/>
                <w:szCs w:val="20"/>
              </w:rPr>
              <w:t>申请购汇的人民币金额。不含扣费金额。</w:t>
            </w:r>
          </w:p>
        </w:tc>
      </w:tr>
      <w:tr w:rsidR="00A052DC" w14:paraId="279A1EF0" w14:textId="77777777">
        <w:trPr>
          <w:trHeight w:val="70"/>
        </w:trPr>
        <w:tc>
          <w:tcPr>
            <w:tcW w:w="1668" w:type="dxa"/>
          </w:tcPr>
          <w:p w14:paraId="0E53942B" w14:textId="77777777" w:rsidR="00A052DC" w:rsidRDefault="009F0A60">
            <w:pPr>
              <w:rPr>
                <w:rFonts w:ascii="黑体" w:eastAsia="黑体" w:hAnsi="黑体"/>
                <w:sz w:val="20"/>
                <w:szCs w:val="20"/>
              </w:rPr>
            </w:pPr>
            <w:r>
              <w:rPr>
                <w:rFonts w:ascii="黑体" w:eastAsia="黑体" w:hAnsi="黑体" w:hint="eastAsia"/>
                <w:sz w:val="20"/>
                <w:szCs w:val="20"/>
              </w:rPr>
              <w:t>购汇币别</w:t>
            </w:r>
          </w:p>
        </w:tc>
        <w:tc>
          <w:tcPr>
            <w:tcW w:w="6854" w:type="dxa"/>
          </w:tcPr>
          <w:p w14:paraId="3767E3C7" w14:textId="77777777" w:rsidR="00A052DC" w:rsidRDefault="009F0A60">
            <w:pPr>
              <w:rPr>
                <w:rFonts w:ascii="黑体" w:eastAsia="黑体" w:hAnsi="黑体"/>
                <w:sz w:val="20"/>
                <w:szCs w:val="20"/>
              </w:rPr>
            </w:pPr>
            <w:r>
              <w:rPr>
                <w:rFonts w:ascii="黑体" w:eastAsia="黑体" w:hAnsi="黑体" w:hint="eastAsia"/>
                <w:sz w:val="20"/>
                <w:szCs w:val="20"/>
              </w:rPr>
              <w:t>申请购汇的外汇币别。</w:t>
            </w:r>
          </w:p>
        </w:tc>
      </w:tr>
      <w:tr w:rsidR="00A052DC" w14:paraId="5BF6EFE8" w14:textId="77777777">
        <w:trPr>
          <w:cantSplit/>
        </w:trPr>
        <w:tc>
          <w:tcPr>
            <w:tcW w:w="1668" w:type="dxa"/>
          </w:tcPr>
          <w:p w14:paraId="5EA1A844" w14:textId="77777777" w:rsidR="00A052DC" w:rsidRDefault="009F0A60">
            <w:pPr>
              <w:rPr>
                <w:rFonts w:ascii="黑体" w:eastAsia="黑体" w:hAnsi="黑体"/>
                <w:sz w:val="20"/>
                <w:szCs w:val="20"/>
              </w:rPr>
            </w:pPr>
            <w:r>
              <w:rPr>
                <w:rFonts w:ascii="黑体" w:eastAsia="黑体" w:hAnsi="黑体" w:hint="eastAsia"/>
                <w:sz w:val="20"/>
                <w:szCs w:val="20"/>
              </w:rPr>
              <w:t>购汇申请人主体类型</w:t>
            </w:r>
          </w:p>
        </w:tc>
        <w:tc>
          <w:tcPr>
            <w:tcW w:w="6854" w:type="dxa"/>
          </w:tcPr>
          <w:p w14:paraId="7AC112B0" w14:textId="77777777" w:rsidR="00A052DC" w:rsidRDefault="009F0A60">
            <w:pPr>
              <w:rPr>
                <w:rFonts w:ascii="黑体" w:eastAsia="黑体" w:hAnsi="黑体"/>
                <w:sz w:val="20"/>
                <w:szCs w:val="20"/>
              </w:rPr>
            </w:pPr>
            <w:r>
              <w:rPr>
                <w:rFonts w:ascii="黑体" w:eastAsia="黑体" w:hAnsi="黑体" w:hint="eastAsia"/>
                <w:sz w:val="20"/>
                <w:szCs w:val="20"/>
              </w:rPr>
              <w:t>在“C</w:t>
            </w:r>
            <w:r w:rsidR="00AE4602">
              <w:rPr>
                <w:rFonts w:ascii="黑体" w:eastAsia="黑体" w:hAnsi="黑体" w:hint="eastAsia"/>
                <w:sz w:val="20"/>
                <w:szCs w:val="20"/>
              </w:rPr>
              <w:t>-</w:t>
            </w:r>
            <w:r>
              <w:rPr>
                <w:rFonts w:ascii="黑体" w:eastAsia="黑体" w:hAnsi="黑体" w:hint="eastAsia"/>
                <w:sz w:val="20"/>
                <w:szCs w:val="20"/>
              </w:rPr>
              <w:t>对公用户、D</w:t>
            </w:r>
            <w:r w:rsidR="00AE4602">
              <w:rPr>
                <w:rFonts w:ascii="黑体" w:eastAsia="黑体" w:hAnsi="黑体" w:hint="eastAsia"/>
                <w:sz w:val="20"/>
                <w:szCs w:val="20"/>
              </w:rPr>
              <w:t>-</w:t>
            </w:r>
            <w:r>
              <w:rPr>
                <w:rFonts w:ascii="黑体" w:eastAsia="黑体" w:hAnsi="黑体" w:hint="eastAsia"/>
                <w:sz w:val="20"/>
                <w:szCs w:val="20"/>
              </w:rPr>
              <w:t>对私中国居民、F</w:t>
            </w:r>
            <w:r w:rsidR="00AE4602">
              <w:rPr>
                <w:rFonts w:ascii="黑体" w:eastAsia="黑体" w:hAnsi="黑体" w:hint="eastAsia"/>
                <w:sz w:val="20"/>
                <w:szCs w:val="20"/>
              </w:rPr>
              <w:t>-</w:t>
            </w:r>
            <w:r>
              <w:rPr>
                <w:rFonts w:ascii="黑体" w:eastAsia="黑体" w:hAnsi="黑体" w:hint="eastAsia"/>
                <w:sz w:val="20"/>
                <w:szCs w:val="20"/>
              </w:rPr>
              <w:t>对私中国非居民”中选择其一。</w:t>
            </w:r>
          </w:p>
        </w:tc>
      </w:tr>
      <w:tr w:rsidR="00A052DC" w14:paraId="328C0DEB" w14:textId="77777777">
        <w:trPr>
          <w:trHeight w:val="70"/>
        </w:trPr>
        <w:tc>
          <w:tcPr>
            <w:tcW w:w="1668" w:type="dxa"/>
          </w:tcPr>
          <w:p w14:paraId="2B5E8ECB" w14:textId="77777777" w:rsidR="00A052DC" w:rsidRDefault="009F0A60">
            <w:pPr>
              <w:rPr>
                <w:rFonts w:ascii="黑体" w:eastAsia="黑体" w:hAnsi="黑体"/>
                <w:sz w:val="20"/>
                <w:szCs w:val="20"/>
              </w:rPr>
            </w:pPr>
            <w:r>
              <w:rPr>
                <w:rFonts w:ascii="黑体" w:eastAsia="黑体" w:hAnsi="黑体" w:hint="eastAsia"/>
                <w:sz w:val="20"/>
                <w:szCs w:val="20"/>
              </w:rPr>
              <w:t>汇率</w:t>
            </w:r>
          </w:p>
        </w:tc>
        <w:tc>
          <w:tcPr>
            <w:tcW w:w="6854" w:type="dxa"/>
          </w:tcPr>
          <w:p w14:paraId="6598D0B8" w14:textId="77777777" w:rsidR="00A052DC" w:rsidRDefault="009F0A60">
            <w:pPr>
              <w:rPr>
                <w:rFonts w:ascii="黑体" w:eastAsia="黑体" w:hAnsi="黑体"/>
                <w:sz w:val="20"/>
                <w:szCs w:val="20"/>
              </w:rPr>
            </w:pPr>
            <w:r>
              <w:rPr>
                <w:rFonts w:ascii="黑体" w:eastAsia="黑体" w:hAnsi="黑体" w:hint="eastAsia"/>
                <w:sz w:val="20"/>
                <w:szCs w:val="20"/>
              </w:rPr>
              <w:t>银行办理购汇的汇率。</w:t>
            </w:r>
          </w:p>
        </w:tc>
      </w:tr>
    </w:tbl>
    <w:p w14:paraId="41FEB980" w14:textId="77777777" w:rsidR="00A052DC" w:rsidRDefault="009F0A60">
      <w:pPr>
        <w:pStyle w:val="4"/>
        <w:numPr>
          <w:ilvl w:val="3"/>
          <w:numId w:val="1"/>
        </w:numPr>
        <w:jc w:val="left"/>
      </w:pPr>
      <w:bookmarkStart w:id="1429" w:name="_Toc454386850"/>
      <w:bookmarkStart w:id="1430" w:name="_Toc454386851"/>
      <w:bookmarkStart w:id="1431" w:name="_Toc310598083"/>
      <w:bookmarkEnd w:id="1429"/>
      <w:r>
        <w:rPr>
          <w:rFonts w:hint="eastAsia"/>
        </w:rPr>
        <w:t>数据格式</w:t>
      </w:r>
      <w:bookmarkEnd w:id="1430"/>
      <w:bookmarkEnd w:id="1431"/>
    </w:p>
    <w:p w14:paraId="641F4820" w14:textId="77777777" w:rsidR="00A052DC" w:rsidRDefault="009F0A60">
      <w:r>
        <w:t>&lt;REC&gt;</w:t>
      </w:r>
    </w:p>
    <w:p w14:paraId="1F1EF1A8" w14:textId="77777777" w:rsidR="00A052DC" w:rsidRDefault="009F0A60">
      <w:r>
        <w:t>&lt;ACTIONTYPE&gt;</w:t>
      </w:r>
      <w:r>
        <w:rPr>
          <w:rFonts w:hint="eastAsia"/>
        </w:rPr>
        <w:t>操作类型</w:t>
      </w:r>
      <w:r>
        <w:t>&lt;/ACTIONTYPE&gt;</w:t>
      </w:r>
    </w:p>
    <w:p w14:paraId="01298171" w14:textId="77777777" w:rsidR="00A052DC" w:rsidRDefault="009F0A60">
      <w:r>
        <w:t>&lt;ACTIONDESC&gt;</w:t>
      </w:r>
      <w:r>
        <w:rPr>
          <w:rFonts w:hint="eastAsia"/>
        </w:rPr>
        <w:t>修改</w:t>
      </w:r>
      <w:r>
        <w:t>/</w:t>
      </w:r>
      <w:r>
        <w:rPr>
          <w:rFonts w:hint="eastAsia"/>
        </w:rPr>
        <w:t>删除原因</w:t>
      </w:r>
      <w:r>
        <w:t>/</w:t>
      </w:r>
      <w:r>
        <w:rPr>
          <w:rFonts w:hint="eastAsia"/>
        </w:rPr>
        <w:t>申报无误理由</w:t>
      </w:r>
      <w:r>
        <w:t>&lt;/ACTIONDESC&gt;</w:t>
      </w:r>
    </w:p>
    <w:p w14:paraId="30578380" w14:textId="77777777" w:rsidR="00A052DC" w:rsidRDefault="009F0A60">
      <w:r>
        <w:t>&lt;RPTNO&gt;</w:t>
      </w:r>
      <w:r>
        <w:rPr>
          <w:rFonts w:hint="eastAsia"/>
        </w:rPr>
        <w:t>申报号码</w:t>
      </w:r>
      <w:r>
        <w:t>&lt;/RPTNO&gt;</w:t>
      </w:r>
    </w:p>
    <w:p w14:paraId="285C88DD" w14:textId="77777777" w:rsidR="00A052DC" w:rsidRDefault="009F0A60">
      <w:r>
        <w:t>&lt;BUSCODE&gt;</w:t>
      </w:r>
      <w:r>
        <w:rPr>
          <w:rFonts w:hint="eastAsia"/>
        </w:rPr>
        <w:t>银行业务编码</w:t>
      </w:r>
      <w:r>
        <w:t>&lt;/BUSCODE&gt;</w:t>
      </w:r>
    </w:p>
    <w:p w14:paraId="00FB5095" w14:textId="77777777" w:rsidR="00A052DC" w:rsidRDefault="009F0A60">
      <w:r>
        <w:t>&lt;CUSTYPE&gt;</w:t>
      </w:r>
      <w:r>
        <w:rPr>
          <w:rFonts w:hint="eastAsia"/>
        </w:rPr>
        <w:t>购汇申请人主体类型</w:t>
      </w:r>
      <w:r>
        <w:t>&lt;/CUSTYPE&gt;</w:t>
      </w:r>
    </w:p>
    <w:p w14:paraId="444F0822" w14:textId="77777777" w:rsidR="00A052DC" w:rsidRDefault="009F0A60">
      <w:r>
        <w:t>&lt;CUSTCOD&gt;</w:t>
      </w:r>
      <w:r>
        <w:rPr>
          <w:rFonts w:hint="eastAsia"/>
        </w:rPr>
        <w:t>购汇申请人组织机构代码</w:t>
      </w:r>
      <w:r>
        <w:t>&lt;/CUSTCOD&gt;</w:t>
      </w:r>
    </w:p>
    <w:p w14:paraId="26F7D1B0" w14:textId="77777777" w:rsidR="00A052DC" w:rsidRDefault="009F0A60">
      <w:r>
        <w:t>&lt;IDCODE&gt;</w:t>
      </w:r>
      <w:r>
        <w:rPr>
          <w:rFonts w:hint="eastAsia"/>
        </w:rPr>
        <w:t>购汇申请人个人身份证件号码</w:t>
      </w:r>
      <w:r>
        <w:t>&lt;/IDCODE&gt;</w:t>
      </w:r>
    </w:p>
    <w:p w14:paraId="0C3425A8" w14:textId="77777777" w:rsidR="00A052DC" w:rsidRDefault="009F0A60">
      <w:r>
        <w:t>&lt;CUSTNM&gt;</w:t>
      </w:r>
      <w:r>
        <w:rPr>
          <w:rFonts w:hint="eastAsia"/>
        </w:rPr>
        <w:t>购汇申请人名称</w:t>
      </w:r>
      <w:r>
        <w:t>&lt;/CUSTNM&gt;</w:t>
      </w:r>
    </w:p>
    <w:p w14:paraId="479553E8" w14:textId="77777777" w:rsidR="00A052DC" w:rsidRDefault="009F0A60">
      <w:r>
        <w:t>&lt;LCYACC&gt;</w:t>
      </w:r>
      <w:r>
        <w:rPr>
          <w:rFonts w:hint="eastAsia"/>
        </w:rPr>
        <w:t>人民币账户账号</w:t>
      </w:r>
      <w:r>
        <w:t>&lt;/LCYACC&gt;</w:t>
      </w:r>
    </w:p>
    <w:p w14:paraId="46C0B5C3" w14:textId="77777777" w:rsidR="00A052DC" w:rsidRDefault="009F0A60">
      <w:r>
        <w:t>&lt;FCYACC&gt;</w:t>
      </w:r>
      <w:r>
        <w:rPr>
          <w:rFonts w:hint="eastAsia"/>
        </w:rPr>
        <w:t>外汇账户账号</w:t>
      </w:r>
      <w:r>
        <w:t>&lt;/FCYACC&gt;</w:t>
      </w:r>
    </w:p>
    <w:p w14:paraId="6A09C271" w14:textId="77777777" w:rsidR="00A052DC" w:rsidRDefault="009F0A60">
      <w:r>
        <w:t>&lt;OPPUSER&gt;</w:t>
      </w:r>
      <w:r>
        <w:rPr>
          <w:rFonts w:hint="eastAsia"/>
        </w:rPr>
        <w:t>外汇收款人名称</w:t>
      </w:r>
      <w:r>
        <w:t>&lt;/OPPUSER&gt;</w:t>
      </w:r>
    </w:p>
    <w:p w14:paraId="137569A1" w14:textId="77777777" w:rsidR="00A052DC" w:rsidRDefault="009F0A60">
      <w:r>
        <w:t>&lt;OPPBANK&gt;</w:t>
      </w:r>
      <w:r>
        <w:rPr>
          <w:rFonts w:hint="eastAsia"/>
        </w:rPr>
        <w:t>外汇账户开户行</w:t>
      </w:r>
      <w:r>
        <w:t>&lt;/OPPBANK&gt;</w:t>
      </w:r>
    </w:p>
    <w:p w14:paraId="1A6213A4" w14:textId="77777777" w:rsidR="00A052DC" w:rsidRDefault="009F0A60">
      <w:r>
        <w:t>&lt;LCYAMT&gt;</w:t>
      </w:r>
      <w:r>
        <w:rPr>
          <w:rFonts w:hint="eastAsia"/>
        </w:rPr>
        <w:t>购汇金额</w:t>
      </w:r>
      <w:r>
        <w:t>&lt;/LCYAMT&gt;</w:t>
      </w:r>
    </w:p>
    <w:p w14:paraId="3F983F5D" w14:textId="77777777" w:rsidR="00A052DC" w:rsidRDefault="009F0A60">
      <w:r>
        <w:t>&lt;LCYCCY&gt;</w:t>
      </w:r>
      <w:r>
        <w:rPr>
          <w:rFonts w:hint="eastAsia"/>
        </w:rPr>
        <w:t>购汇币别</w:t>
      </w:r>
      <w:r>
        <w:t>&lt;/LCYCCY&gt;</w:t>
      </w:r>
    </w:p>
    <w:p w14:paraId="4EC3A2E2" w14:textId="77777777" w:rsidR="00A052DC" w:rsidRDefault="009F0A60">
      <w:r>
        <w:t>&lt;EXRATE&gt;</w:t>
      </w:r>
      <w:r>
        <w:rPr>
          <w:rFonts w:hint="eastAsia"/>
        </w:rPr>
        <w:t>汇率</w:t>
      </w:r>
      <w:r>
        <w:t>&lt;/EXRATE&gt;</w:t>
      </w:r>
    </w:p>
    <w:p w14:paraId="424C989C" w14:textId="77777777" w:rsidR="00A052DC" w:rsidRDefault="009F0A60">
      <w:r>
        <w:t>&lt;/REC&gt;</w:t>
      </w:r>
    </w:p>
    <w:p w14:paraId="0F8770B7" w14:textId="77777777" w:rsidR="00A052DC" w:rsidRDefault="009F0A60" w:rsidP="0020251D">
      <w:pPr>
        <w:pStyle w:val="4"/>
        <w:numPr>
          <w:ilvl w:val="3"/>
          <w:numId w:val="1"/>
        </w:numPr>
        <w:jc w:val="left"/>
      </w:pPr>
      <w:bookmarkStart w:id="1432" w:name="_Toc454386852"/>
      <w:bookmarkStart w:id="1433" w:name="_Toc310598084"/>
      <w:r>
        <w:rPr>
          <w:rFonts w:hint="eastAsia"/>
        </w:rPr>
        <w:t>数据字典</w:t>
      </w:r>
      <w:bookmarkEnd w:id="1432"/>
      <w:bookmarkEnd w:id="1433"/>
    </w:p>
    <w:tbl>
      <w:tblPr>
        <w:tblW w:w="86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701"/>
        <w:gridCol w:w="1701"/>
        <w:gridCol w:w="3827"/>
      </w:tblGrid>
      <w:tr w:rsidR="00A052DC" w14:paraId="044CE688" w14:textId="77777777">
        <w:trPr>
          <w:tblHeader/>
        </w:trPr>
        <w:tc>
          <w:tcPr>
            <w:tcW w:w="1418" w:type="dxa"/>
            <w:shd w:val="clear" w:color="auto" w:fill="BFBFBF"/>
          </w:tcPr>
          <w:p w14:paraId="59FBE05D" w14:textId="77777777" w:rsidR="00A052DC" w:rsidRDefault="009F0A60">
            <w:pPr>
              <w:jc w:val="center"/>
              <w:rPr>
                <w:rFonts w:ascii="黑体" w:eastAsia="黑体" w:hAnsi="黑体"/>
                <w:b/>
                <w:sz w:val="20"/>
                <w:szCs w:val="20"/>
              </w:rPr>
            </w:pPr>
            <w:r>
              <w:rPr>
                <w:rFonts w:ascii="黑体" w:eastAsia="黑体" w:hAnsi="黑体" w:hint="eastAsia"/>
                <w:b/>
                <w:sz w:val="20"/>
                <w:szCs w:val="20"/>
              </w:rPr>
              <w:t>字段</w:t>
            </w:r>
          </w:p>
        </w:tc>
        <w:tc>
          <w:tcPr>
            <w:tcW w:w="1701" w:type="dxa"/>
            <w:shd w:val="clear" w:color="auto" w:fill="BFBFBF"/>
          </w:tcPr>
          <w:p w14:paraId="2EDB3F5B" w14:textId="77777777" w:rsidR="00A052DC" w:rsidRDefault="009F0A60">
            <w:pPr>
              <w:jc w:val="center"/>
              <w:rPr>
                <w:rFonts w:ascii="黑体" w:eastAsia="黑体" w:hAnsi="黑体"/>
                <w:b/>
                <w:sz w:val="20"/>
                <w:szCs w:val="20"/>
              </w:rPr>
            </w:pPr>
            <w:r>
              <w:rPr>
                <w:rFonts w:ascii="黑体" w:eastAsia="黑体" w:hAnsi="黑体" w:hint="eastAsia"/>
                <w:b/>
                <w:sz w:val="20"/>
                <w:szCs w:val="20"/>
              </w:rPr>
              <w:t>内容</w:t>
            </w:r>
          </w:p>
        </w:tc>
        <w:tc>
          <w:tcPr>
            <w:tcW w:w="1701" w:type="dxa"/>
            <w:shd w:val="clear" w:color="auto" w:fill="BFBFBF"/>
          </w:tcPr>
          <w:p w14:paraId="2C1A4B4B" w14:textId="77777777" w:rsidR="00A052DC" w:rsidRDefault="009F0A60">
            <w:pPr>
              <w:jc w:val="center"/>
              <w:rPr>
                <w:rFonts w:ascii="黑体" w:eastAsia="黑体" w:hAnsi="黑体"/>
                <w:b/>
                <w:sz w:val="20"/>
                <w:szCs w:val="20"/>
              </w:rPr>
            </w:pPr>
            <w:r>
              <w:rPr>
                <w:rFonts w:ascii="黑体" w:eastAsia="黑体" w:hAnsi="黑体" w:hint="eastAsia"/>
                <w:b/>
                <w:sz w:val="20"/>
                <w:szCs w:val="20"/>
              </w:rPr>
              <w:t>类型（长度）</w:t>
            </w:r>
          </w:p>
        </w:tc>
        <w:tc>
          <w:tcPr>
            <w:tcW w:w="3827" w:type="dxa"/>
            <w:shd w:val="clear" w:color="auto" w:fill="BFBFBF"/>
          </w:tcPr>
          <w:p w14:paraId="07C74FCB" w14:textId="77777777" w:rsidR="00A052DC" w:rsidRDefault="009F0A60">
            <w:pPr>
              <w:jc w:val="center"/>
              <w:rPr>
                <w:rFonts w:ascii="黑体" w:eastAsia="黑体" w:hAnsi="黑体"/>
                <w:b/>
                <w:sz w:val="20"/>
                <w:szCs w:val="20"/>
              </w:rPr>
            </w:pPr>
            <w:r>
              <w:rPr>
                <w:rFonts w:ascii="黑体" w:eastAsia="黑体" w:hAnsi="黑体" w:hint="eastAsia"/>
                <w:b/>
                <w:sz w:val="20"/>
                <w:szCs w:val="20"/>
              </w:rPr>
              <w:t>校验</w:t>
            </w:r>
          </w:p>
        </w:tc>
      </w:tr>
      <w:tr w:rsidR="00A052DC" w14:paraId="3AE3558F" w14:textId="77777777">
        <w:tc>
          <w:tcPr>
            <w:tcW w:w="1418" w:type="dxa"/>
          </w:tcPr>
          <w:p w14:paraId="1534A356" w14:textId="77777777" w:rsidR="00A052DC" w:rsidRDefault="009F0A60">
            <w:pPr>
              <w:rPr>
                <w:rFonts w:ascii="黑体" w:eastAsia="黑体" w:hAnsi="黑体"/>
                <w:sz w:val="20"/>
                <w:szCs w:val="20"/>
              </w:rPr>
            </w:pPr>
            <w:r>
              <w:rPr>
                <w:rFonts w:ascii="黑体" w:eastAsia="黑体" w:hAnsi="黑体"/>
                <w:sz w:val="20"/>
                <w:szCs w:val="20"/>
              </w:rPr>
              <w:t>ACTIONTYPE</w:t>
            </w:r>
          </w:p>
        </w:tc>
        <w:tc>
          <w:tcPr>
            <w:tcW w:w="1701" w:type="dxa"/>
          </w:tcPr>
          <w:p w14:paraId="1F6AC900" w14:textId="77777777" w:rsidR="00A052DC" w:rsidRDefault="009F0A60">
            <w:pPr>
              <w:rPr>
                <w:rFonts w:ascii="黑体" w:eastAsia="黑体" w:hAnsi="黑体"/>
                <w:sz w:val="20"/>
                <w:szCs w:val="20"/>
              </w:rPr>
            </w:pPr>
            <w:r>
              <w:rPr>
                <w:rFonts w:ascii="黑体" w:eastAsia="黑体" w:hAnsi="黑体" w:hint="eastAsia"/>
                <w:sz w:val="20"/>
                <w:szCs w:val="20"/>
              </w:rPr>
              <w:t>操作类型</w:t>
            </w:r>
          </w:p>
        </w:tc>
        <w:tc>
          <w:tcPr>
            <w:tcW w:w="1701" w:type="dxa"/>
          </w:tcPr>
          <w:p w14:paraId="5EADC5A9" w14:textId="77777777" w:rsidR="00A052DC" w:rsidRDefault="009F0A60">
            <w:pPr>
              <w:rPr>
                <w:rFonts w:ascii="黑体" w:eastAsia="黑体" w:hAnsi="黑体"/>
                <w:sz w:val="20"/>
                <w:szCs w:val="20"/>
              </w:rPr>
            </w:pPr>
            <w:r>
              <w:rPr>
                <w:rFonts w:ascii="黑体" w:eastAsia="黑体" w:hAnsi="黑体" w:hint="eastAsia"/>
                <w:sz w:val="20"/>
                <w:szCs w:val="20"/>
              </w:rPr>
              <w:t>字符型，1</w:t>
            </w:r>
          </w:p>
        </w:tc>
        <w:tc>
          <w:tcPr>
            <w:tcW w:w="3827" w:type="dxa"/>
          </w:tcPr>
          <w:p w14:paraId="4B84DB3B" w14:textId="77777777" w:rsidR="00A052DC" w:rsidRDefault="009F0A60">
            <w:pPr>
              <w:rPr>
                <w:rFonts w:ascii="黑体" w:eastAsia="黑体" w:hAnsi="黑体"/>
                <w:sz w:val="20"/>
                <w:szCs w:val="20"/>
              </w:rPr>
            </w:pPr>
            <w:r>
              <w:rPr>
                <w:rFonts w:ascii="黑体" w:eastAsia="黑体" w:hAnsi="黑体" w:hint="eastAsia"/>
                <w:sz w:val="20"/>
                <w:szCs w:val="20"/>
              </w:rPr>
              <w:t>A</w:t>
            </w:r>
            <w:r w:rsidR="00AE4602">
              <w:rPr>
                <w:rFonts w:ascii="黑体" w:eastAsia="黑体" w:hAnsi="黑体" w:hint="eastAsia"/>
                <w:sz w:val="20"/>
                <w:szCs w:val="20"/>
              </w:rPr>
              <w:t>-</w:t>
            </w:r>
            <w:r>
              <w:rPr>
                <w:rFonts w:ascii="黑体" w:eastAsia="黑体" w:hAnsi="黑体" w:hint="eastAsia"/>
                <w:sz w:val="20"/>
                <w:szCs w:val="20"/>
              </w:rPr>
              <w:t>新建</w:t>
            </w:r>
          </w:p>
          <w:p w14:paraId="42DB436B" w14:textId="77777777" w:rsidR="00A052DC" w:rsidRDefault="009F0A60">
            <w:pPr>
              <w:rPr>
                <w:rFonts w:ascii="黑体" w:eastAsia="黑体" w:hAnsi="黑体"/>
                <w:sz w:val="20"/>
                <w:szCs w:val="20"/>
              </w:rPr>
            </w:pPr>
            <w:r>
              <w:rPr>
                <w:rFonts w:ascii="黑体" w:eastAsia="黑体" w:hAnsi="黑体" w:hint="eastAsia"/>
                <w:sz w:val="20"/>
                <w:szCs w:val="20"/>
              </w:rPr>
              <w:t>C</w:t>
            </w:r>
            <w:r w:rsidR="00AE4602">
              <w:rPr>
                <w:rFonts w:ascii="黑体" w:eastAsia="黑体" w:hAnsi="黑体" w:hint="eastAsia"/>
                <w:sz w:val="20"/>
                <w:szCs w:val="20"/>
              </w:rPr>
              <w:t>-</w:t>
            </w:r>
            <w:r>
              <w:rPr>
                <w:rFonts w:ascii="黑体" w:eastAsia="黑体" w:hAnsi="黑体" w:hint="eastAsia"/>
                <w:sz w:val="20"/>
                <w:szCs w:val="20"/>
              </w:rPr>
              <w:t>修改</w:t>
            </w:r>
          </w:p>
          <w:p w14:paraId="70B649AB" w14:textId="77777777" w:rsidR="00A052DC" w:rsidRDefault="009F0A60">
            <w:pPr>
              <w:rPr>
                <w:rFonts w:ascii="黑体" w:eastAsia="黑体" w:hAnsi="黑体"/>
                <w:sz w:val="20"/>
                <w:szCs w:val="20"/>
              </w:rPr>
            </w:pPr>
            <w:r>
              <w:rPr>
                <w:rFonts w:ascii="黑体" w:eastAsia="黑体" w:hAnsi="黑体" w:hint="eastAsia"/>
                <w:sz w:val="20"/>
                <w:szCs w:val="20"/>
              </w:rPr>
              <w:t>D</w:t>
            </w:r>
            <w:r w:rsidR="00AE4602">
              <w:rPr>
                <w:rFonts w:ascii="黑体" w:eastAsia="黑体" w:hAnsi="黑体" w:hint="eastAsia"/>
                <w:sz w:val="20"/>
                <w:szCs w:val="20"/>
              </w:rPr>
              <w:t>-</w:t>
            </w:r>
            <w:r>
              <w:rPr>
                <w:rFonts w:ascii="黑体" w:eastAsia="黑体" w:hAnsi="黑体" w:hint="eastAsia"/>
                <w:sz w:val="20"/>
                <w:szCs w:val="20"/>
              </w:rPr>
              <w:t>删除</w:t>
            </w:r>
          </w:p>
          <w:p w14:paraId="1C35113F" w14:textId="77777777" w:rsidR="00A052DC" w:rsidRDefault="009F0A60">
            <w:pPr>
              <w:rPr>
                <w:rFonts w:ascii="黑体" w:eastAsia="黑体" w:hAnsi="黑体"/>
                <w:sz w:val="20"/>
                <w:szCs w:val="20"/>
              </w:rPr>
            </w:pPr>
            <w:r>
              <w:rPr>
                <w:rFonts w:ascii="黑体" w:eastAsia="黑体" w:hAnsi="黑体" w:hint="eastAsia"/>
                <w:sz w:val="20"/>
                <w:szCs w:val="20"/>
              </w:rPr>
              <w:t>R-申报无误（银行反馈），预留，暂不用</w:t>
            </w:r>
          </w:p>
        </w:tc>
      </w:tr>
      <w:tr w:rsidR="00A052DC" w14:paraId="6BFC92FA" w14:textId="77777777">
        <w:tc>
          <w:tcPr>
            <w:tcW w:w="1418" w:type="dxa"/>
          </w:tcPr>
          <w:p w14:paraId="3E562737" w14:textId="77777777" w:rsidR="00A052DC" w:rsidRDefault="009F0A60">
            <w:pPr>
              <w:rPr>
                <w:rFonts w:ascii="黑体" w:eastAsia="黑体" w:hAnsi="黑体"/>
                <w:sz w:val="20"/>
                <w:szCs w:val="20"/>
              </w:rPr>
            </w:pPr>
            <w:r>
              <w:rPr>
                <w:rFonts w:ascii="黑体" w:eastAsia="黑体" w:hAnsi="黑体"/>
                <w:sz w:val="20"/>
                <w:szCs w:val="20"/>
              </w:rPr>
              <w:t>ACTIONDESC</w:t>
            </w:r>
          </w:p>
        </w:tc>
        <w:tc>
          <w:tcPr>
            <w:tcW w:w="1701" w:type="dxa"/>
          </w:tcPr>
          <w:p w14:paraId="0A2B41C6" w14:textId="77777777" w:rsidR="00A052DC" w:rsidRDefault="009F0A60">
            <w:pPr>
              <w:rPr>
                <w:rFonts w:ascii="黑体" w:eastAsia="黑体" w:hAnsi="黑体"/>
                <w:sz w:val="20"/>
                <w:szCs w:val="20"/>
              </w:rPr>
            </w:pPr>
            <w:r>
              <w:rPr>
                <w:rFonts w:ascii="黑体" w:eastAsia="黑体" w:hAnsi="黑体" w:hint="eastAsia"/>
                <w:sz w:val="20"/>
                <w:szCs w:val="20"/>
              </w:rPr>
              <w:t>修改/删除原因</w:t>
            </w:r>
          </w:p>
          <w:p w14:paraId="388705C6" w14:textId="77777777" w:rsidR="00A052DC" w:rsidRDefault="009F0A60">
            <w:pPr>
              <w:rPr>
                <w:rFonts w:ascii="黑体" w:eastAsia="黑体" w:hAnsi="黑体"/>
                <w:sz w:val="20"/>
                <w:szCs w:val="20"/>
              </w:rPr>
            </w:pPr>
            <w:r>
              <w:rPr>
                <w:rFonts w:ascii="黑体" w:eastAsia="黑体" w:hAnsi="黑体" w:hint="eastAsia"/>
                <w:sz w:val="20"/>
                <w:szCs w:val="20"/>
              </w:rPr>
              <w:t>或申报无误理由</w:t>
            </w:r>
          </w:p>
        </w:tc>
        <w:tc>
          <w:tcPr>
            <w:tcW w:w="1701" w:type="dxa"/>
          </w:tcPr>
          <w:p w14:paraId="2EF5434A"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3827" w:type="dxa"/>
          </w:tcPr>
          <w:p w14:paraId="122336DE" w14:textId="77777777" w:rsidR="00A052DC" w:rsidRDefault="00A052DC">
            <w:pPr>
              <w:keepNext/>
              <w:keepLines/>
              <w:spacing w:before="120" w:after="120" w:line="360" w:lineRule="auto"/>
              <w:outlineLvl w:val="2"/>
              <w:rPr>
                <w:rFonts w:ascii="黑体" w:eastAsia="黑体" w:hAnsi="黑体"/>
                <w:sz w:val="20"/>
                <w:szCs w:val="20"/>
              </w:rPr>
            </w:pPr>
          </w:p>
        </w:tc>
      </w:tr>
      <w:tr w:rsidR="00A052DC" w14:paraId="3EB30AC1" w14:textId="77777777">
        <w:tc>
          <w:tcPr>
            <w:tcW w:w="1418" w:type="dxa"/>
          </w:tcPr>
          <w:p w14:paraId="539F60BA" w14:textId="77777777" w:rsidR="00A052DC" w:rsidRDefault="009F0A60">
            <w:pPr>
              <w:rPr>
                <w:rFonts w:ascii="黑体" w:eastAsia="黑体" w:hAnsi="黑体"/>
                <w:sz w:val="20"/>
                <w:szCs w:val="20"/>
              </w:rPr>
            </w:pPr>
            <w:r>
              <w:rPr>
                <w:rFonts w:ascii="黑体" w:eastAsia="黑体" w:hAnsi="黑体"/>
                <w:sz w:val="20"/>
                <w:szCs w:val="20"/>
              </w:rPr>
              <w:t>RPTNO</w:t>
            </w:r>
          </w:p>
        </w:tc>
        <w:tc>
          <w:tcPr>
            <w:tcW w:w="1701" w:type="dxa"/>
          </w:tcPr>
          <w:p w14:paraId="244EAC98" w14:textId="77777777" w:rsidR="00A052DC" w:rsidRDefault="009F0A60">
            <w:pPr>
              <w:rPr>
                <w:rFonts w:ascii="黑体" w:eastAsia="黑体" w:hAnsi="黑体"/>
                <w:sz w:val="20"/>
                <w:szCs w:val="20"/>
              </w:rPr>
            </w:pPr>
            <w:r>
              <w:rPr>
                <w:rFonts w:ascii="黑体" w:eastAsia="黑体" w:hAnsi="黑体" w:hint="eastAsia"/>
                <w:sz w:val="20"/>
                <w:szCs w:val="20"/>
              </w:rPr>
              <w:t>申报号码</w:t>
            </w:r>
          </w:p>
        </w:tc>
        <w:tc>
          <w:tcPr>
            <w:tcW w:w="1701" w:type="dxa"/>
          </w:tcPr>
          <w:p w14:paraId="794001B5" w14:textId="77777777" w:rsidR="00A052DC" w:rsidRDefault="009F0A60">
            <w:pPr>
              <w:rPr>
                <w:rFonts w:ascii="黑体" w:eastAsia="黑体" w:hAnsi="黑体"/>
                <w:sz w:val="20"/>
                <w:szCs w:val="20"/>
              </w:rPr>
            </w:pPr>
            <w:r>
              <w:rPr>
                <w:rFonts w:ascii="黑体" w:eastAsia="黑体" w:hAnsi="黑体" w:hint="eastAsia"/>
                <w:sz w:val="20"/>
                <w:szCs w:val="20"/>
              </w:rPr>
              <w:t>字符型，22</w:t>
            </w:r>
          </w:p>
        </w:tc>
        <w:tc>
          <w:tcPr>
            <w:tcW w:w="3827" w:type="dxa"/>
          </w:tcPr>
          <w:p w14:paraId="278E6954" w14:textId="77777777" w:rsidR="00A052DC" w:rsidRDefault="009F0A60">
            <w:pPr>
              <w:rPr>
                <w:rFonts w:ascii="黑体" w:eastAsia="黑体" w:hAnsi="黑体"/>
                <w:sz w:val="20"/>
                <w:szCs w:val="20"/>
              </w:rPr>
            </w:pPr>
            <w:r>
              <w:rPr>
                <w:rFonts w:ascii="黑体" w:eastAsia="黑体" w:hAnsi="黑体" w:hint="eastAsia"/>
                <w:sz w:val="20"/>
                <w:szCs w:val="20"/>
              </w:rPr>
              <w:t>编码规则：6位地区标识码+4位银行代码+2位银行顺序码+支付日期（yymmdd）+4位银行业务流水码。支付日期不能大于系统日期。</w:t>
            </w:r>
          </w:p>
          <w:p w14:paraId="1D6B76A3" w14:textId="77777777" w:rsidR="00A052DC" w:rsidRDefault="009F0A60">
            <w:pPr>
              <w:rPr>
                <w:rFonts w:ascii="黑体" w:eastAsia="黑体" w:hAnsi="黑体"/>
                <w:sz w:val="20"/>
                <w:szCs w:val="20"/>
              </w:rPr>
            </w:pPr>
            <w:r>
              <w:rPr>
                <w:rFonts w:ascii="黑体" w:eastAsia="黑体" w:hAnsi="黑体" w:hint="eastAsia"/>
                <w:sz w:val="20"/>
                <w:szCs w:val="20"/>
              </w:rPr>
              <w:t>银行业务流水码第一位应为数字0-9，第二、三位可使用数字0-9或大写英文字母（O、I、Z除外），第四位应为大写英文字母X或Y。</w:t>
            </w:r>
          </w:p>
        </w:tc>
      </w:tr>
      <w:tr w:rsidR="00A052DC" w14:paraId="4E46A296" w14:textId="77777777">
        <w:tc>
          <w:tcPr>
            <w:tcW w:w="1418" w:type="dxa"/>
          </w:tcPr>
          <w:p w14:paraId="75B06926" w14:textId="77777777" w:rsidR="00A052DC" w:rsidRDefault="009F0A60">
            <w:pPr>
              <w:rPr>
                <w:rFonts w:ascii="黑体" w:eastAsia="黑体" w:hAnsi="黑体"/>
                <w:sz w:val="20"/>
                <w:szCs w:val="20"/>
              </w:rPr>
            </w:pPr>
            <w:r>
              <w:rPr>
                <w:rFonts w:ascii="黑体" w:eastAsia="黑体" w:hAnsi="黑体"/>
                <w:sz w:val="20"/>
                <w:szCs w:val="20"/>
              </w:rPr>
              <w:t>BUSCODE</w:t>
            </w:r>
          </w:p>
        </w:tc>
        <w:tc>
          <w:tcPr>
            <w:tcW w:w="1701" w:type="dxa"/>
          </w:tcPr>
          <w:p w14:paraId="0BBECB3F" w14:textId="77777777" w:rsidR="00A052DC" w:rsidRDefault="009F0A60">
            <w:pPr>
              <w:rPr>
                <w:rFonts w:ascii="黑体" w:eastAsia="黑体" w:hAnsi="黑体"/>
                <w:sz w:val="20"/>
                <w:szCs w:val="20"/>
              </w:rPr>
            </w:pPr>
            <w:r>
              <w:rPr>
                <w:rFonts w:ascii="黑体" w:eastAsia="黑体" w:hAnsi="黑体" w:hint="eastAsia"/>
                <w:sz w:val="20"/>
                <w:szCs w:val="20"/>
              </w:rPr>
              <w:t>银行业务编号</w:t>
            </w:r>
          </w:p>
        </w:tc>
        <w:tc>
          <w:tcPr>
            <w:tcW w:w="1701" w:type="dxa"/>
          </w:tcPr>
          <w:p w14:paraId="3187EDDB" w14:textId="77777777" w:rsidR="00A052DC" w:rsidRDefault="009F0A60">
            <w:pPr>
              <w:rPr>
                <w:rFonts w:ascii="黑体" w:eastAsia="黑体" w:hAnsi="黑体"/>
                <w:sz w:val="20"/>
                <w:szCs w:val="20"/>
              </w:rPr>
            </w:pPr>
            <w:r>
              <w:rPr>
                <w:rFonts w:ascii="黑体" w:eastAsia="黑体" w:hAnsi="黑体" w:hint="eastAsia"/>
                <w:sz w:val="20"/>
                <w:szCs w:val="20"/>
              </w:rPr>
              <w:t>字符型，22</w:t>
            </w:r>
          </w:p>
        </w:tc>
        <w:tc>
          <w:tcPr>
            <w:tcW w:w="3827" w:type="dxa"/>
          </w:tcPr>
          <w:p w14:paraId="46BCA65A" w14:textId="77777777" w:rsidR="00A052DC" w:rsidRDefault="009F0A60">
            <w:pPr>
              <w:rPr>
                <w:rFonts w:ascii="黑体" w:eastAsia="黑体" w:hAnsi="黑体"/>
                <w:sz w:val="20"/>
                <w:szCs w:val="20"/>
              </w:rPr>
            </w:pPr>
            <w:r>
              <w:rPr>
                <w:rFonts w:ascii="黑体" w:eastAsia="黑体" w:hAnsi="黑体" w:hint="eastAsia"/>
                <w:sz w:val="20"/>
                <w:szCs w:val="20"/>
              </w:rPr>
              <w:t>必填项。指该业务在银行的业务编号。</w:t>
            </w:r>
          </w:p>
        </w:tc>
      </w:tr>
      <w:tr w:rsidR="00A052DC" w14:paraId="286A63B8" w14:textId="77777777">
        <w:tc>
          <w:tcPr>
            <w:tcW w:w="1418" w:type="dxa"/>
          </w:tcPr>
          <w:p w14:paraId="06D830CF" w14:textId="77777777" w:rsidR="00A052DC" w:rsidRDefault="009F0A60">
            <w:pPr>
              <w:rPr>
                <w:rFonts w:ascii="黑体" w:eastAsia="黑体" w:hAnsi="黑体"/>
                <w:sz w:val="20"/>
                <w:szCs w:val="20"/>
              </w:rPr>
            </w:pPr>
            <w:r>
              <w:rPr>
                <w:rFonts w:ascii="黑体" w:eastAsia="黑体" w:hAnsi="黑体"/>
                <w:sz w:val="20"/>
                <w:szCs w:val="20"/>
              </w:rPr>
              <w:t>CUSTYPE</w:t>
            </w:r>
          </w:p>
        </w:tc>
        <w:tc>
          <w:tcPr>
            <w:tcW w:w="1701" w:type="dxa"/>
          </w:tcPr>
          <w:p w14:paraId="2ED52049" w14:textId="77777777" w:rsidR="00A052DC" w:rsidRDefault="009F0A60">
            <w:pPr>
              <w:rPr>
                <w:rFonts w:ascii="黑体" w:eastAsia="黑体" w:hAnsi="黑体"/>
                <w:sz w:val="20"/>
                <w:szCs w:val="20"/>
              </w:rPr>
            </w:pPr>
            <w:r>
              <w:rPr>
                <w:rFonts w:ascii="黑体" w:eastAsia="黑体" w:hAnsi="黑体" w:hint="eastAsia"/>
                <w:sz w:val="20"/>
                <w:szCs w:val="20"/>
              </w:rPr>
              <w:t>购汇申请人主体类型</w:t>
            </w:r>
          </w:p>
        </w:tc>
        <w:tc>
          <w:tcPr>
            <w:tcW w:w="1701" w:type="dxa"/>
          </w:tcPr>
          <w:p w14:paraId="41445501" w14:textId="77777777" w:rsidR="00A052DC" w:rsidRDefault="009F0A60">
            <w:pPr>
              <w:rPr>
                <w:rFonts w:ascii="黑体" w:eastAsia="黑体" w:hAnsi="黑体"/>
                <w:sz w:val="20"/>
                <w:szCs w:val="20"/>
              </w:rPr>
            </w:pPr>
            <w:r>
              <w:rPr>
                <w:rFonts w:ascii="黑体" w:eastAsia="黑体" w:hAnsi="黑体" w:hint="eastAsia"/>
                <w:sz w:val="20"/>
                <w:szCs w:val="20"/>
              </w:rPr>
              <w:t>字符型，1</w:t>
            </w:r>
          </w:p>
        </w:tc>
        <w:tc>
          <w:tcPr>
            <w:tcW w:w="3827" w:type="dxa"/>
          </w:tcPr>
          <w:p w14:paraId="757DE1F3" w14:textId="77777777" w:rsidR="00A052DC" w:rsidRDefault="009F0A60">
            <w:pPr>
              <w:rPr>
                <w:rFonts w:ascii="黑体" w:eastAsia="黑体" w:hAnsi="黑体"/>
                <w:sz w:val="20"/>
                <w:szCs w:val="20"/>
              </w:rPr>
            </w:pPr>
            <w:r>
              <w:rPr>
                <w:rFonts w:ascii="黑体" w:eastAsia="黑体" w:hAnsi="黑体" w:hint="eastAsia"/>
                <w:sz w:val="20"/>
                <w:szCs w:val="20"/>
              </w:rPr>
              <w:t>C</w:t>
            </w:r>
            <w:r w:rsidR="00AE4602">
              <w:rPr>
                <w:rFonts w:ascii="黑体" w:eastAsia="黑体" w:hAnsi="黑体" w:hint="eastAsia"/>
                <w:sz w:val="20"/>
                <w:szCs w:val="20"/>
              </w:rPr>
              <w:t>-</w:t>
            </w:r>
            <w:r>
              <w:rPr>
                <w:rFonts w:ascii="黑体" w:eastAsia="黑体" w:hAnsi="黑体" w:hint="eastAsia"/>
                <w:sz w:val="20"/>
                <w:szCs w:val="20"/>
              </w:rPr>
              <w:t>对公用户</w:t>
            </w:r>
          </w:p>
          <w:p w14:paraId="79521844" w14:textId="77777777" w:rsidR="00A052DC" w:rsidRDefault="009F0A60">
            <w:pPr>
              <w:rPr>
                <w:rFonts w:ascii="黑体" w:eastAsia="黑体" w:hAnsi="黑体"/>
                <w:sz w:val="20"/>
                <w:szCs w:val="20"/>
              </w:rPr>
            </w:pPr>
            <w:r>
              <w:rPr>
                <w:rFonts w:ascii="黑体" w:eastAsia="黑体" w:hAnsi="黑体" w:hint="eastAsia"/>
                <w:sz w:val="20"/>
                <w:szCs w:val="20"/>
              </w:rPr>
              <w:t>D</w:t>
            </w:r>
            <w:r w:rsidR="00AE4602">
              <w:rPr>
                <w:rFonts w:ascii="黑体" w:eastAsia="黑体" w:hAnsi="黑体" w:hint="eastAsia"/>
                <w:sz w:val="20"/>
                <w:szCs w:val="20"/>
              </w:rPr>
              <w:t>-</w:t>
            </w:r>
            <w:r>
              <w:rPr>
                <w:rFonts w:ascii="黑体" w:eastAsia="黑体" w:hAnsi="黑体" w:hint="eastAsia"/>
                <w:sz w:val="20"/>
                <w:szCs w:val="20"/>
              </w:rPr>
              <w:t>对私中国居民</w:t>
            </w:r>
          </w:p>
          <w:p w14:paraId="5D79E59B" w14:textId="77777777" w:rsidR="00A052DC" w:rsidRDefault="009F0A60">
            <w:pPr>
              <w:rPr>
                <w:rFonts w:ascii="黑体" w:eastAsia="黑体" w:hAnsi="黑体"/>
                <w:sz w:val="20"/>
                <w:szCs w:val="20"/>
              </w:rPr>
            </w:pPr>
            <w:r>
              <w:rPr>
                <w:rFonts w:ascii="黑体" w:eastAsia="黑体" w:hAnsi="黑体" w:hint="eastAsia"/>
                <w:sz w:val="20"/>
                <w:szCs w:val="20"/>
              </w:rPr>
              <w:t>F</w:t>
            </w:r>
            <w:r w:rsidR="00AE4602">
              <w:rPr>
                <w:rFonts w:ascii="黑体" w:eastAsia="黑体" w:hAnsi="黑体" w:hint="eastAsia"/>
                <w:sz w:val="20"/>
                <w:szCs w:val="20"/>
              </w:rPr>
              <w:t>-</w:t>
            </w:r>
            <w:r>
              <w:rPr>
                <w:rFonts w:ascii="黑体" w:eastAsia="黑体" w:hAnsi="黑体" w:hint="eastAsia"/>
                <w:sz w:val="20"/>
                <w:szCs w:val="20"/>
              </w:rPr>
              <w:t>对私中国非居民</w:t>
            </w:r>
          </w:p>
        </w:tc>
      </w:tr>
      <w:tr w:rsidR="00A052DC" w14:paraId="7B7C8ED5" w14:textId="77777777">
        <w:tc>
          <w:tcPr>
            <w:tcW w:w="1418" w:type="dxa"/>
          </w:tcPr>
          <w:p w14:paraId="14805FB7" w14:textId="77777777" w:rsidR="00A052DC" w:rsidRDefault="009F0A60">
            <w:pPr>
              <w:rPr>
                <w:rFonts w:ascii="黑体" w:eastAsia="黑体" w:hAnsi="黑体"/>
                <w:sz w:val="20"/>
                <w:szCs w:val="20"/>
              </w:rPr>
            </w:pPr>
            <w:r>
              <w:rPr>
                <w:rFonts w:ascii="黑体" w:eastAsia="黑体" w:hAnsi="黑体"/>
                <w:sz w:val="20"/>
                <w:szCs w:val="20"/>
              </w:rPr>
              <w:t>CUSTCOD</w:t>
            </w:r>
          </w:p>
        </w:tc>
        <w:tc>
          <w:tcPr>
            <w:tcW w:w="1701" w:type="dxa"/>
          </w:tcPr>
          <w:p w14:paraId="1BE4A91A" w14:textId="77777777" w:rsidR="00A052DC" w:rsidRDefault="009F0A60">
            <w:pPr>
              <w:rPr>
                <w:rFonts w:ascii="黑体" w:eastAsia="黑体" w:hAnsi="黑体"/>
                <w:sz w:val="20"/>
                <w:szCs w:val="20"/>
              </w:rPr>
            </w:pPr>
            <w:r>
              <w:rPr>
                <w:rFonts w:ascii="黑体" w:eastAsia="黑体" w:hAnsi="黑体" w:hint="eastAsia"/>
                <w:sz w:val="20"/>
                <w:szCs w:val="20"/>
              </w:rPr>
              <w:t>购汇申请人组织</w:t>
            </w:r>
          </w:p>
          <w:p w14:paraId="2E381813" w14:textId="77777777" w:rsidR="00A052DC" w:rsidRDefault="009F0A60">
            <w:pPr>
              <w:rPr>
                <w:rFonts w:ascii="黑体" w:eastAsia="黑体" w:hAnsi="黑体"/>
                <w:sz w:val="20"/>
                <w:szCs w:val="20"/>
              </w:rPr>
            </w:pPr>
            <w:r>
              <w:rPr>
                <w:rFonts w:ascii="黑体" w:eastAsia="黑体" w:hAnsi="黑体" w:hint="eastAsia"/>
                <w:sz w:val="20"/>
                <w:szCs w:val="20"/>
              </w:rPr>
              <w:t>机构代码</w:t>
            </w:r>
          </w:p>
        </w:tc>
        <w:tc>
          <w:tcPr>
            <w:tcW w:w="1701" w:type="dxa"/>
          </w:tcPr>
          <w:p w14:paraId="39004B46" w14:textId="77777777" w:rsidR="00A052DC" w:rsidRDefault="009F0A60">
            <w:pPr>
              <w:rPr>
                <w:rFonts w:ascii="黑体" w:eastAsia="黑体" w:hAnsi="黑体"/>
                <w:sz w:val="20"/>
                <w:szCs w:val="20"/>
              </w:rPr>
            </w:pPr>
            <w:r>
              <w:rPr>
                <w:rFonts w:ascii="黑体" w:eastAsia="黑体" w:hAnsi="黑体" w:hint="eastAsia"/>
                <w:sz w:val="20"/>
                <w:szCs w:val="20"/>
              </w:rPr>
              <w:t>字符型，</w:t>
            </w:r>
            <w:r>
              <w:rPr>
                <w:rFonts w:ascii="黑体" w:eastAsia="黑体" w:hAnsi="黑体"/>
                <w:sz w:val="20"/>
                <w:szCs w:val="20"/>
              </w:rPr>
              <w:t>18</w:t>
            </w:r>
          </w:p>
        </w:tc>
        <w:tc>
          <w:tcPr>
            <w:tcW w:w="3827" w:type="dxa"/>
          </w:tcPr>
          <w:p w14:paraId="5B548303" w14:textId="77777777" w:rsidR="00A052DC" w:rsidRDefault="009F0A60">
            <w:pPr>
              <w:rPr>
                <w:rFonts w:ascii="黑体" w:eastAsia="黑体" w:hAnsi="黑体"/>
                <w:sz w:val="20"/>
                <w:szCs w:val="20"/>
              </w:rPr>
            </w:pPr>
            <w:r>
              <w:rPr>
                <w:rFonts w:ascii="黑体" w:eastAsia="黑体" w:hAnsi="黑体" w:hint="eastAsia"/>
                <w:sz w:val="20"/>
                <w:szCs w:val="20"/>
              </w:rPr>
              <w:t>CUSTYPE=C时必填。</w:t>
            </w:r>
          </w:p>
          <w:p w14:paraId="5432E7F9" w14:textId="77777777" w:rsidR="00A052DC" w:rsidRDefault="009F0A60">
            <w:pPr>
              <w:rPr>
                <w:rFonts w:ascii="黑体" w:eastAsia="黑体" w:hAnsi="黑体"/>
                <w:sz w:val="20"/>
                <w:szCs w:val="20"/>
              </w:rPr>
            </w:pPr>
            <w:r>
              <w:rPr>
                <w:rFonts w:ascii="黑体" w:eastAsia="黑体" w:hAnsi="黑体" w:hint="eastAsia"/>
                <w:sz w:val="20"/>
                <w:szCs w:val="20"/>
              </w:rPr>
              <w:t>指统一社会信用代码法定载体（如营业执照）上统一社会信用代码中的第9至17位或国家外汇管理局及其分支局签发的特殊机构代码赋码通知书上的机构代码。</w:t>
            </w:r>
          </w:p>
          <w:p w14:paraId="3FFA2C26" w14:textId="77777777" w:rsidR="00A052DC" w:rsidRDefault="009F0A60">
            <w:pPr>
              <w:rPr>
                <w:rFonts w:ascii="黑体" w:eastAsia="黑体" w:hAnsi="黑体"/>
                <w:sz w:val="20"/>
                <w:szCs w:val="20"/>
              </w:rPr>
            </w:pPr>
            <w:r>
              <w:rPr>
                <w:rFonts w:ascii="黑体" w:eastAsia="黑体" w:hAnsi="黑体" w:hint="eastAsia"/>
                <w:sz w:val="20"/>
                <w:szCs w:val="20"/>
              </w:rPr>
              <w:t>按统一社会信用代码中的9位主体标识码（组织机构代码）或特殊机构赋码编制规则进行校验，字段长度仍预留18位。</w:t>
            </w:r>
          </w:p>
        </w:tc>
      </w:tr>
      <w:tr w:rsidR="00A052DC" w14:paraId="55A0ED13" w14:textId="77777777">
        <w:tc>
          <w:tcPr>
            <w:tcW w:w="1418" w:type="dxa"/>
          </w:tcPr>
          <w:p w14:paraId="74808A32" w14:textId="77777777" w:rsidR="00A052DC" w:rsidRDefault="009F0A60">
            <w:pPr>
              <w:rPr>
                <w:rFonts w:ascii="黑体" w:eastAsia="黑体" w:hAnsi="黑体"/>
                <w:sz w:val="20"/>
                <w:szCs w:val="20"/>
              </w:rPr>
            </w:pPr>
            <w:r>
              <w:rPr>
                <w:rFonts w:ascii="黑体" w:eastAsia="黑体" w:hAnsi="黑体"/>
                <w:sz w:val="20"/>
                <w:szCs w:val="20"/>
              </w:rPr>
              <w:t>IDCODE</w:t>
            </w:r>
          </w:p>
        </w:tc>
        <w:tc>
          <w:tcPr>
            <w:tcW w:w="1701" w:type="dxa"/>
          </w:tcPr>
          <w:p w14:paraId="02429415" w14:textId="77777777" w:rsidR="00A052DC" w:rsidRDefault="009F0A60">
            <w:pPr>
              <w:rPr>
                <w:rFonts w:ascii="黑体" w:eastAsia="黑体" w:hAnsi="黑体"/>
                <w:sz w:val="20"/>
                <w:szCs w:val="20"/>
              </w:rPr>
            </w:pPr>
            <w:r>
              <w:rPr>
                <w:rFonts w:ascii="黑体" w:eastAsia="黑体" w:hAnsi="黑体" w:hint="eastAsia"/>
                <w:sz w:val="20"/>
                <w:szCs w:val="20"/>
              </w:rPr>
              <w:t>购汇申请人个人身份证件号码</w:t>
            </w:r>
          </w:p>
        </w:tc>
        <w:tc>
          <w:tcPr>
            <w:tcW w:w="1701" w:type="dxa"/>
          </w:tcPr>
          <w:p w14:paraId="4F379D1B" w14:textId="77777777" w:rsidR="00A052DC" w:rsidRDefault="009F0A60">
            <w:pPr>
              <w:rPr>
                <w:rFonts w:ascii="黑体" w:eastAsia="黑体" w:hAnsi="黑体"/>
                <w:sz w:val="20"/>
                <w:szCs w:val="20"/>
              </w:rPr>
            </w:pPr>
            <w:r>
              <w:rPr>
                <w:rFonts w:ascii="黑体" w:eastAsia="黑体" w:hAnsi="黑体" w:hint="eastAsia"/>
                <w:sz w:val="20"/>
                <w:szCs w:val="20"/>
              </w:rPr>
              <w:t>字符型，32</w:t>
            </w:r>
          </w:p>
        </w:tc>
        <w:tc>
          <w:tcPr>
            <w:tcW w:w="3827" w:type="dxa"/>
          </w:tcPr>
          <w:p w14:paraId="2392E67C" w14:textId="77777777" w:rsidR="00A052DC" w:rsidRDefault="009F0A60">
            <w:pPr>
              <w:rPr>
                <w:rFonts w:ascii="黑体" w:eastAsia="黑体" w:hAnsi="黑体"/>
                <w:sz w:val="20"/>
                <w:szCs w:val="20"/>
              </w:rPr>
            </w:pPr>
            <w:r>
              <w:rPr>
                <w:rFonts w:ascii="黑体" w:eastAsia="黑体" w:hAnsi="黑体"/>
                <w:sz w:val="20"/>
                <w:szCs w:val="20"/>
              </w:rPr>
              <w:t>CUSTYPE&lt;&gt;</w:t>
            </w:r>
            <w:r>
              <w:rPr>
                <w:rFonts w:ascii="黑体" w:eastAsia="黑体" w:hAnsi="黑体" w:hint="eastAsia"/>
                <w:sz w:val="20"/>
                <w:szCs w:val="20"/>
              </w:rPr>
              <w:t>C时必填。对私项下包括境内居民个人的身份证号、军官证号等以及境外居民个人的护照号等。</w:t>
            </w:r>
          </w:p>
        </w:tc>
      </w:tr>
      <w:tr w:rsidR="00A052DC" w14:paraId="29D8C9D3" w14:textId="77777777">
        <w:tc>
          <w:tcPr>
            <w:tcW w:w="1418" w:type="dxa"/>
          </w:tcPr>
          <w:p w14:paraId="19B3DD6D" w14:textId="77777777" w:rsidR="00A052DC" w:rsidRDefault="009F0A60">
            <w:pPr>
              <w:rPr>
                <w:rFonts w:ascii="黑体" w:eastAsia="黑体" w:hAnsi="黑体"/>
                <w:sz w:val="20"/>
                <w:szCs w:val="20"/>
              </w:rPr>
            </w:pPr>
            <w:r>
              <w:rPr>
                <w:rFonts w:ascii="黑体" w:eastAsia="黑体" w:hAnsi="黑体"/>
                <w:sz w:val="20"/>
                <w:szCs w:val="20"/>
              </w:rPr>
              <w:t>CUSTNM</w:t>
            </w:r>
          </w:p>
        </w:tc>
        <w:tc>
          <w:tcPr>
            <w:tcW w:w="1701" w:type="dxa"/>
          </w:tcPr>
          <w:p w14:paraId="24426B2D" w14:textId="77777777" w:rsidR="00A052DC" w:rsidRDefault="009F0A60">
            <w:pPr>
              <w:rPr>
                <w:rFonts w:ascii="黑体" w:eastAsia="黑体" w:hAnsi="黑体"/>
                <w:sz w:val="20"/>
                <w:szCs w:val="20"/>
              </w:rPr>
            </w:pPr>
            <w:r>
              <w:rPr>
                <w:rFonts w:ascii="黑体" w:eastAsia="黑体" w:hAnsi="黑体" w:hint="eastAsia"/>
                <w:sz w:val="20"/>
                <w:szCs w:val="20"/>
              </w:rPr>
              <w:t>购汇申请人名称</w:t>
            </w:r>
          </w:p>
        </w:tc>
        <w:tc>
          <w:tcPr>
            <w:tcW w:w="1701" w:type="dxa"/>
          </w:tcPr>
          <w:p w14:paraId="23166941"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3827" w:type="dxa"/>
          </w:tcPr>
          <w:p w14:paraId="2DD0962A" w14:textId="77777777" w:rsidR="00A052DC" w:rsidRDefault="009F0A60">
            <w:pPr>
              <w:rPr>
                <w:rFonts w:ascii="黑体" w:eastAsia="黑体" w:hAnsi="黑体"/>
                <w:sz w:val="20"/>
                <w:szCs w:val="20"/>
              </w:rPr>
            </w:pPr>
            <w:r>
              <w:rPr>
                <w:rFonts w:ascii="黑体" w:eastAsia="黑体" w:hAnsi="黑体" w:hint="eastAsia"/>
                <w:sz w:val="20"/>
                <w:szCs w:val="20"/>
              </w:rPr>
              <w:t>必填项。对公项下指购汇人预留银行印鉴、营业执照或国家外汇管理局及其分支局签发的特殊机构代码赋码通知书上的名称；</w:t>
            </w:r>
          </w:p>
          <w:p w14:paraId="361DA1E6" w14:textId="77777777" w:rsidR="00A052DC" w:rsidRDefault="009F0A60">
            <w:pPr>
              <w:rPr>
                <w:rFonts w:ascii="黑体" w:eastAsia="黑体" w:hAnsi="黑体"/>
                <w:sz w:val="20"/>
                <w:szCs w:val="20"/>
              </w:rPr>
            </w:pPr>
            <w:r>
              <w:rPr>
                <w:rFonts w:ascii="黑体" w:eastAsia="黑体" w:hAnsi="黑体" w:hint="eastAsia"/>
                <w:sz w:val="20"/>
                <w:szCs w:val="20"/>
              </w:rPr>
              <w:t>对私项下指个人身份证件上的名称。</w:t>
            </w:r>
          </w:p>
        </w:tc>
      </w:tr>
      <w:tr w:rsidR="00A052DC" w14:paraId="7FF02315" w14:textId="77777777">
        <w:tc>
          <w:tcPr>
            <w:tcW w:w="1418" w:type="dxa"/>
          </w:tcPr>
          <w:p w14:paraId="7CC37240" w14:textId="77777777" w:rsidR="00A052DC" w:rsidRDefault="009F0A60">
            <w:pPr>
              <w:rPr>
                <w:rFonts w:ascii="黑体" w:eastAsia="黑体" w:hAnsi="黑体"/>
                <w:sz w:val="20"/>
                <w:szCs w:val="20"/>
              </w:rPr>
            </w:pPr>
            <w:r>
              <w:rPr>
                <w:rFonts w:ascii="黑体" w:eastAsia="黑体" w:hAnsi="黑体"/>
                <w:sz w:val="20"/>
                <w:szCs w:val="20"/>
              </w:rPr>
              <w:t>LCYACC</w:t>
            </w:r>
          </w:p>
        </w:tc>
        <w:tc>
          <w:tcPr>
            <w:tcW w:w="1701" w:type="dxa"/>
          </w:tcPr>
          <w:p w14:paraId="7102EFD7" w14:textId="77777777" w:rsidR="00A052DC" w:rsidRDefault="009F0A60">
            <w:pPr>
              <w:rPr>
                <w:rFonts w:ascii="黑体" w:eastAsia="黑体" w:hAnsi="黑体"/>
                <w:sz w:val="20"/>
                <w:szCs w:val="20"/>
              </w:rPr>
            </w:pPr>
            <w:r>
              <w:rPr>
                <w:rFonts w:ascii="黑体" w:eastAsia="黑体" w:hAnsi="黑体" w:hint="eastAsia"/>
                <w:sz w:val="20"/>
                <w:szCs w:val="20"/>
              </w:rPr>
              <w:t>人民币账户账号</w:t>
            </w:r>
          </w:p>
        </w:tc>
        <w:tc>
          <w:tcPr>
            <w:tcW w:w="1701" w:type="dxa"/>
          </w:tcPr>
          <w:p w14:paraId="18B80F35" w14:textId="77777777" w:rsidR="00A052DC" w:rsidRDefault="009F0A60">
            <w:pPr>
              <w:rPr>
                <w:rFonts w:ascii="黑体" w:eastAsia="黑体" w:hAnsi="黑体"/>
                <w:sz w:val="20"/>
                <w:szCs w:val="20"/>
              </w:rPr>
            </w:pPr>
            <w:r>
              <w:rPr>
                <w:rFonts w:ascii="黑体" w:eastAsia="黑体" w:hAnsi="黑体" w:hint="eastAsia"/>
                <w:sz w:val="20"/>
                <w:szCs w:val="20"/>
              </w:rPr>
              <w:t>字符型，32</w:t>
            </w:r>
          </w:p>
        </w:tc>
        <w:tc>
          <w:tcPr>
            <w:tcW w:w="3827" w:type="dxa"/>
          </w:tcPr>
          <w:p w14:paraId="682C20B8" w14:textId="77777777" w:rsidR="00A052DC" w:rsidRDefault="00DD6AA3">
            <w:pPr>
              <w:rPr>
                <w:rFonts w:ascii="黑体" w:eastAsia="黑体" w:hAnsi="黑体"/>
                <w:sz w:val="20"/>
                <w:szCs w:val="20"/>
              </w:rPr>
            </w:pPr>
            <w:r>
              <w:rPr>
                <w:rFonts w:ascii="黑体" w:eastAsia="黑体" w:hAnsi="黑体" w:hint="eastAsia"/>
                <w:sz w:val="20"/>
                <w:szCs w:val="20"/>
              </w:rPr>
              <w:t>非必填项</w:t>
            </w:r>
            <w:r w:rsidR="009F0A60">
              <w:rPr>
                <w:rFonts w:ascii="黑体" w:eastAsia="黑体" w:hAnsi="黑体" w:hint="eastAsia"/>
                <w:sz w:val="20"/>
                <w:szCs w:val="20"/>
              </w:rPr>
              <w:t>。购汇时银行扣款的人民币账号。如购汇申请人持人民币现钞购汇，无需填写人民币账户账号。</w:t>
            </w:r>
          </w:p>
        </w:tc>
      </w:tr>
      <w:tr w:rsidR="00A052DC" w14:paraId="3896AC3F" w14:textId="77777777">
        <w:tc>
          <w:tcPr>
            <w:tcW w:w="1418" w:type="dxa"/>
          </w:tcPr>
          <w:p w14:paraId="3A7EE094" w14:textId="77777777" w:rsidR="00A052DC" w:rsidRDefault="009F0A60">
            <w:pPr>
              <w:rPr>
                <w:rFonts w:ascii="黑体" w:eastAsia="黑体" w:hAnsi="黑体"/>
                <w:sz w:val="20"/>
                <w:szCs w:val="20"/>
              </w:rPr>
            </w:pPr>
            <w:r>
              <w:rPr>
                <w:rFonts w:ascii="黑体" w:eastAsia="黑体" w:hAnsi="黑体"/>
                <w:sz w:val="20"/>
                <w:szCs w:val="20"/>
              </w:rPr>
              <w:t>FCYACC</w:t>
            </w:r>
          </w:p>
        </w:tc>
        <w:tc>
          <w:tcPr>
            <w:tcW w:w="1701" w:type="dxa"/>
          </w:tcPr>
          <w:p w14:paraId="307A62A9" w14:textId="77777777" w:rsidR="00A052DC" w:rsidRDefault="009F0A60">
            <w:pPr>
              <w:rPr>
                <w:rFonts w:ascii="黑体" w:eastAsia="黑体" w:hAnsi="黑体"/>
                <w:sz w:val="20"/>
                <w:szCs w:val="20"/>
              </w:rPr>
            </w:pPr>
            <w:r>
              <w:rPr>
                <w:rFonts w:ascii="黑体" w:eastAsia="黑体" w:hAnsi="黑体" w:hint="eastAsia"/>
                <w:sz w:val="20"/>
                <w:szCs w:val="20"/>
              </w:rPr>
              <w:t>外汇账户账号</w:t>
            </w:r>
          </w:p>
        </w:tc>
        <w:tc>
          <w:tcPr>
            <w:tcW w:w="1701" w:type="dxa"/>
          </w:tcPr>
          <w:p w14:paraId="6227BF84" w14:textId="77777777" w:rsidR="00A052DC" w:rsidRDefault="009F0A60">
            <w:pPr>
              <w:rPr>
                <w:rFonts w:ascii="黑体" w:eastAsia="黑体" w:hAnsi="黑体"/>
                <w:sz w:val="20"/>
                <w:szCs w:val="20"/>
              </w:rPr>
            </w:pPr>
            <w:r>
              <w:rPr>
                <w:rFonts w:ascii="黑体" w:eastAsia="黑体" w:hAnsi="黑体" w:hint="eastAsia"/>
                <w:sz w:val="20"/>
                <w:szCs w:val="20"/>
              </w:rPr>
              <w:t>字符型，32</w:t>
            </w:r>
          </w:p>
        </w:tc>
        <w:tc>
          <w:tcPr>
            <w:tcW w:w="3827" w:type="dxa"/>
          </w:tcPr>
          <w:p w14:paraId="29EB07CA" w14:textId="77777777" w:rsidR="00A052DC" w:rsidRDefault="009F0A60">
            <w:pPr>
              <w:rPr>
                <w:rFonts w:ascii="黑体" w:eastAsia="黑体" w:hAnsi="黑体"/>
                <w:sz w:val="20"/>
                <w:szCs w:val="20"/>
              </w:rPr>
            </w:pPr>
            <w:r>
              <w:rPr>
                <w:rFonts w:ascii="黑体" w:eastAsia="黑体" w:hAnsi="黑体" w:hint="eastAsia"/>
                <w:sz w:val="20"/>
                <w:szCs w:val="20"/>
              </w:rPr>
              <w:t>必填项。银行为客户办理购汇后进入收款人外汇账户/银行卡的账号/卡号。</w:t>
            </w:r>
          </w:p>
        </w:tc>
      </w:tr>
      <w:tr w:rsidR="00A052DC" w14:paraId="73AAFBB9" w14:textId="77777777">
        <w:tc>
          <w:tcPr>
            <w:tcW w:w="1418" w:type="dxa"/>
          </w:tcPr>
          <w:p w14:paraId="075ABAE4" w14:textId="77777777" w:rsidR="00A052DC" w:rsidRDefault="009F0A60">
            <w:pPr>
              <w:rPr>
                <w:rFonts w:ascii="黑体" w:eastAsia="黑体" w:hAnsi="黑体"/>
                <w:sz w:val="20"/>
                <w:szCs w:val="20"/>
              </w:rPr>
            </w:pPr>
            <w:r>
              <w:rPr>
                <w:rFonts w:ascii="黑体" w:eastAsia="黑体" w:hAnsi="黑体"/>
                <w:sz w:val="20"/>
                <w:szCs w:val="20"/>
              </w:rPr>
              <w:t>OPPUSER</w:t>
            </w:r>
          </w:p>
        </w:tc>
        <w:tc>
          <w:tcPr>
            <w:tcW w:w="1701" w:type="dxa"/>
          </w:tcPr>
          <w:p w14:paraId="3EC073AD" w14:textId="77777777" w:rsidR="00A052DC" w:rsidRDefault="009F0A60">
            <w:pPr>
              <w:rPr>
                <w:rFonts w:ascii="黑体" w:eastAsia="黑体" w:hAnsi="黑体"/>
                <w:sz w:val="20"/>
                <w:szCs w:val="20"/>
              </w:rPr>
            </w:pPr>
            <w:r>
              <w:rPr>
                <w:rFonts w:ascii="黑体" w:eastAsia="黑体" w:hAnsi="黑体" w:hint="eastAsia"/>
                <w:sz w:val="20"/>
                <w:szCs w:val="20"/>
              </w:rPr>
              <w:t>外汇收款人名称</w:t>
            </w:r>
          </w:p>
        </w:tc>
        <w:tc>
          <w:tcPr>
            <w:tcW w:w="1701" w:type="dxa"/>
          </w:tcPr>
          <w:p w14:paraId="78228C2F"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3827" w:type="dxa"/>
          </w:tcPr>
          <w:p w14:paraId="6068ED32" w14:textId="77777777" w:rsidR="00A052DC" w:rsidRDefault="009F0A60">
            <w:pPr>
              <w:rPr>
                <w:rFonts w:ascii="黑体" w:eastAsia="黑体" w:hAnsi="黑体"/>
                <w:sz w:val="20"/>
                <w:szCs w:val="20"/>
              </w:rPr>
            </w:pPr>
            <w:r>
              <w:rPr>
                <w:rFonts w:ascii="黑体" w:eastAsia="黑体" w:hAnsi="黑体" w:hint="eastAsia"/>
                <w:sz w:val="20"/>
                <w:szCs w:val="20"/>
              </w:rPr>
              <w:t>必填项。上述外汇账户持有人的名称。“外汇收款人名称”应与“购汇申请人名称”相同。对公项下指购汇人预留银行印鉴、营业执照或国家外汇管理局及其分支局签发的特殊机构代码赋码通知书上的名称；</w:t>
            </w:r>
          </w:p>
          <w:p w14:paraId="34607666" w14:textId="77777777" w:rsidR="00A052DC" w:rsidRDefault="009F0A60">
            <w:pPr>
              <w:rPr>
                <w:rFonts w:ascii="黑体" w:eastAsia="黑体" w:hAnsi="黑体"/>
                <w:sz w:val="20"/>
                <w:szCs w:val="20"/>
              </w:rPr>
            </w:pPr>
            <w:r>
              <w:rPr>
                <w:rFonts w:ascii="黑体" w:eastAsia="黑体" w:hAnsi="黑体" w:hint="eastAsia"/>
                <w:sz w:val="20"/>
                <w:szCs w:val="20"/>
              </w:rPr>
              <w:t>对私项下指个人身份证件上的名称。</w:t>
            </w:r>
          </w:p>
        </w:tc>
      </w:tr>
      <w:tr w:rsidR="00A052DC" w14:paraId="496E08E1" w14:textId="77777777">
        <w:tc>
          <w:tcPr>
            <w:tcW w:w="1418" w:type="dxa"/>
          </w:tcPr>
          <w:p w14:paraId="0187CBCA" w14:textId="77777777" w:rsidR="00A052DC" w:rsidRDefault="009F0A60">
            <w:pPr>
              <w:rPr>
                <w:rFonts w:ascii="黑体" w:eastAsia="黑体" w:hAnsi="黑体"/>
                <w:sz w:val="20"/>
                <w:szCs w:val="20"/>
              </w:rPr>
            </w:pPr>
            <w:r>
              <w:rPr>
                <w:rFonts w:ascii="黑体" w:eastAsia="黑体" w:hAnsi="黑体"/>
                <w:sz w:val="20"/>
                <w:szCs w:val="20"/>
              </w:rPr>
              <w:t>OPPBANK</w:t>
            </w:r>
          </w:p>
        </w:tc>
        <w:tc>
          <w:tcPr>
            <w:tcW w:w="1701" w:type="dxa"/>
          </w:tcPr>
          <w:p w14:paraId="51A1C74B" w14:textId="77777777" w:rsidR="00A052DC" w:rsidRDefault="009F0A60">
            <w:pPr>
              <w:rPr>
                <w:rFonts w:ascii="黑体" w:eastAsia="黑体" w:hAnsi="黑体"/>
                <w:sz w:val="20"/>
                <w:szCs w:val="20"/>
              </w:rPr>
            </w:pPr>
            <w:r>
              <w:rPr>
                <w:rFonts w:ascii="黑体" w:eastAsia="黑体" w:hAnsi="黑体" w:hint="eastAsia"/>
                <w:sz w:val="20"/>
                <w:szCs w:val="20"/>
              </w:rPr>
              <w:t>外汇账户开户行</w:t>
            </w:r>
          </w:p>
        </w:tc>
        <w:tc>
          <w:tcPr>
            <w:tcW w:w="1701" w:type="dxa"/>
          </w:tcPr>
          <w:p w14:paraId="466769F4" w14:textId="77777777" w:rsidR="00A052DC" w:rsidRDefault="009F0A60">
            <w:pPr>
              <w:rPr>
                <w:rFonts w:ascii="黑体" w:eastAsia="黑体" w:hAnsi="黑体"/>
                <w:sz w:val="20"/>
                <w:szCs w:val="20"/>
              </w:rPr>
            </w:pPr>
            <w:r>
              <w:rPr>
                <w:rFonts w:ascii="黑体" w:eastAsia="黑体" w:hAnsi="黑体" w:hint="eastAsia"/>
                <w:sz w:val="20"/>
                <w:szCs w:val="20"/>
              </w:rPr>
              <w:t>字符型，256</w:t>
            </w:r>
          </w:p>
        </w:tc>
        <w:tc>
          <w:tcPr>
            <w:tcW w:w="3827" w:type="dxa"/>
          </w:tcPr>
          <w:p w14:paraId="0858958D" w14:textId="77777777" w:rsidR="00A052DC" w:rsidRDefault="009F0A60">
            <w:pPr>
              <w:rPr>
                <w:rFonts w:ascii="黑体" w:eastAsia="黑体" w:hAnsi="黑体"/>
                <w:sz w:val="20"/>
                <w:szCs w:val="20"/>
              </w:rPr>
            </w:pPr>
            <w:r>
              <w:rPr>
                <w:rFonts w:ascii="黑体" w:eastAsia="黑体" w:hAnsi="黑体" w:hint="eastAsia"/>
                <w:sz w:val="20"/>
                <w:szCs w:val="20"/>
              </w:rPr>
              <w:t>必填项。上述外汇账户的开户行名称。</w:t>
            </w:r>
          </w:p>
        </w:tc>
      </w:tr>
      <w:tr w:rsidR="00A052DC" w14:paraId="7184C7C4" w14:textId="77777777">
        <w:tc>
          <w:tcPr>
            <w:tcW w:w="1418" w:type="dxa"/>
          </w:tcPr>
          <w:p w14:paraId="1D578498" w14:textId="77777777" w:rsidR="00A052DC" w:rsidRDefault="009F0A60">
            <w:pPr>
              <w:rPr>
                <w:rFonts w:ascii="黑体" w:eastAsia="黑体" w:hAnsi="黑体"/>
                <w:sz w:val="20"/>
                <w:szCs w:val="20"/>
              </w:rPr>
            </w:pPr>
            <w:r>
              <w:rPr>
                <w:rFonts w:ascii="黑体" w:eastAsia="黑体" w:hAnsi="黑体"/>
                <w:sz w:val="20"/>
                <w:szCs w:val="20"/>
              </w:rPr>
              <w:t>LCYAMT</w:t>
            </w:r>
          </w:p>
        </w:tc>
        <w:tc>
          <w:tcPr>
            <w:tcW w:w="1701" w:type="dxa"/>
          </w:tcPr>
          <w:p w14:paraId="4186816D" w14:textId="77777777" w:rsidR="00A052DC" w:rsidRDefault="009F0A60">
            <w:pPr>
              <w:rPr>
                <w:rFonts w:ascii="黑体" w:eastAsia="黑体" w:hAnsi="黑体"/>
                <w:sz w:val="20"/>
                <w:szCs w:val="20"/>
              </w:rPr>
            </w:pPr>
            <w:r>
              <w:rPr>
                <w:rFonts w:ascii="黑体" w:eastAsia="黑体" w:hAnsi="黑体" w:hint="eastAsia"/>
                <w:sz w:val="20"/>
                <w:szCs w:val="20"/>
              </w:rPr>
              <w:t>购汇金额（人民币）</w:t>
            </w:r>
          </w:p>
        </w:tc>
        <w:tc>
          <w:tcPr>
            <w:tcW w:w="1701" w:type="dxa"/>
          </w:tcPr>
          <w:p w14:paraId="60201401" w14:textId="77777777" w:rsidR="00A052DC" w:rsidRDefault="009F0A60">
            <w:pPr>
              <w:rPr>
                <w:rFonts w:ascii="黑体" w:eastAsia="黑体" w:hAnsi="黑体"/>
                <w:sz w:val="20"/>
                <w:szCs w:val="20"/>
              </w:rPr>
            </w:pPr>
            <w:r>
              <w:rPr>
                <w:rFonts w:ascii="黑体" w:eastAsia="黑体" w:hAnsi="黑体" w:hint="eastAsia"/>
                <w:sz w:val="20"/>
                <w:szCs w:val="20"/>
              </w:rPr>
              <w:t>数值型，22.0</w:t>
            </w:r>
          </w:p>
        </w:tc>
        <w:tc>
          <w:tcPr>
            <w:tcW w:w="3827" w:type="dxa"/>
          </w:tcPr>
          <w:p w14:paraId="49AC494C" w14:textId="77777777" w:rsidR="00A052DC" w:rsidRDefault="009F0A60">
            <w:pPr>
              <w:rPr>
                <w:rFonts w:ascii="黑体" w:eastAsia="黑体" w:hAnsi="黑体"/>
                <w:sz w:val="20"/>
                <w:szCs w:val="20"/>
              </w:rPr>
            </w:pPr>
            <w:r>
              <w:rPr>
                <w:rFonts w:ascii="黑体" w:eastAsia="黑体" w:hAnsi="黑体" w:hint="eastAsia"/>
                <w:sz w:val="20"/>
                <w:szCs w:val="20"/>
              </w:rPr>
              <w:t>必填项。申请购汇的人民币金额。</w:t>
            </w:r>
          </w:p>
        </w:tc>
      </w:tr>
      <w:tr w:rsidR="00A052DC" w14:paraId="68E34C07" w14:textId="77777777">
        <w:tc>
          <w:tcPr>
            <w:tcW w:w="1418" w:type="dxa"/>
          </w:tcPr>
          <w:p w14:paraId="0DF09E45" w14:textId="77777777" w:rsidR="00A052DC" w:rsidRDefault="009F0A60">
            <w:pPr>
              <w:rPr>
                <w:rFonts w:ascii="黑体" w:eastAsia="黑体" w:hAnsi="黑体"/>
                <w:sz w:val="20"/>
                <w:szCs w:val="20"/>
              </w:rPr>
            </w:pPr>
            <w:r>
              <w:rPr>
                <w:rFonts w:ascii="黑体" w:eastAsia="黑体" w:hAnsi="黑体"/>
                <w:sz w:val="20"/>
                <w:szCs w:val="20"/>
              </w:rPr>
              <w:t>LCYCCY</w:t>
            </w:r>
          </w:p>
        </w:tc>
        <w:tc>
          <w:tcPr>
            <w:tcW w:w="1701" w:type="dxa"/>
          </w:tcPr>
          <w:p w14:paraId="62F47E7A" w14:textId="77777777" w:rsidR="00A052DC" w:rsidRDefault="009F0A60">
            <w:pPr>
              <w:rPr>
                <w:rFonts w:ascii="黑体" w:eastAsia="黑体" w:hAnsi="黑体"/>
                <w:sz w:val="20"/>
                <w:szCs w:val="20"/>
              </w:rPr>
            </w:pPr>
            <w:r>
              <w:rPr>
                <w:rFonts w:ascii="黑体" w:eastAsia="黑体" w:hAnsi="黑体" w:hint="eastAsia"/>
                <w:sz w:val="20"/>
                <w:szCs w:val="20"/>
              </w:rPr>
              <w:t>购汇币别</w:t>
            </w:r>
          </w:p>
        </w:tc>
        <w:tc>
          <w:tcPr>
            <w:tcW w:w="1701" w:type="dxa"/>
          </w:tcPr>
          <w:p w14:paraId="58A4FE1D" w14:textId="77777777" w:rsidR="00A052DC" w:rsidRDefault="009F0A60">
            <w:pPr>
              <w:rPr>
                <w:rFonts w:ascii="黑体" w:eastAsia="黑体" w:hAnsi="黑体"/>
                <w:sz w:val="20"/>
                <w:szCs w:val="20"/>
              </w:rPr>
            </w:pPr>
            <w:r>
              <w:rPr>
                <w:rFonts w:ascii="黑体" w:eastAsia="黑体" w:hAnsi="黑体" w:hint="eastAsia"/>
                <w:sz w:val="20"/>
                <w:szCs w:val="20"/>
              </w:rPr>
              <w:t>字符型，3</w:t>
            </w:r>
          </w:p>
        </w:tc>
        <w:tc>
          <w:tcPr>
            <w:tcW w:w="3827" w:type="dxa"/>
          </w:tcPr>
          <w:p w14:paraId="4CB578AC" w14:textId="77777777" w:rsidR="00A052DC" w:rsidRDefault="009F0A60">
            <w:pPr>
              <w:rPr>
                <w:rFonts w:ascii="黑体" w:eastAsia="黑体" w:hAnsi="黑体"/>
                <w:sz w:val="20"/>
                <w:szCs w:val="20"/>
              </w:rPr>
            </w:pPr>
            <w:r>
              <w:rPr>
                <w:rFonts w:ascii="黑体" w:eastAsia="黑体" w:hAnsi="黑体" w:hint="eastAsia"/>
                <w:sz w:val="20"/>
                <w:szCs w:val="20"/>
              </w:rPr>
              <w:t>必填项。申请购汇的外汇币别。</w:t>
            </w:r>
          </w:p>
        </w:tc>
      </w:tr>
      <w:tr w:rsidR="00A052DC" w14:paraId="118CCA3E" w14:textId="77777777">
        <w:tc>
          <w:tcPr>
            <w:tcW w:w="1418" w:type="dxa"/>
          </w:tcPr>
          <w:p w14:paraId="72E897CF" w14:textId="77777777" w:rsidR="00A052DC" w:rsidRDefault="009F0A60">
            <w:pPr>
              <w:rPr>
                <w:rFonts w:ascii="黑体" w:eastAsia="黑体" w:hAnsi="黑体"/>
                <w:sz w:val="20"/>
                <w:szCs w:val="20"/>
              </w:rPr>
            </w:pPr>
            <w:r>
              <w:rPr>
                <w:rFonts w:ascii="黑体" w:eastAsia="黑体" w:hAnsi="黑体"/>
                <w:sz w:val="20"/>
                <w:szCs w:val="20"/>
              </w:rPr>
              <w:t>EXRATE</w:t>
            </w:r>
          </w:p>
        </w:tc>
        <w:tc>
          <w:tcPr>
            <w:tcW w:w="1701" w:type="dxa"/>
          </w:tcPr>
          <w:p w14:paraId="6014D649" w14:textId="77777777" w:rsidR="00A052DC" w:rsidRDefault="009F0A60">
            <w:pPr>
              <w:rPr>
                <w:rFonts w:ascii="黑体" w:eastAsia="黑体" w:hAnsi="黑体"/>
                <w:sz w:val="20"/>
                <w:szCs w:val="20"/>
              </w:rPr>
            </w:pPr>
            <w:r>
              <w:rPr>
                <w:rFonts w:ascii="黑体" w:eastAsia="黑体" w:hAnsi="黑体" w:hint="eastAsia"/>
                <w:sz w:val="20"/>
                <w:szCs w:val="20"/>
              </w:rPr>
              <w:t>汇率</w:t>
            </w:r>
          </w:p>
        </w:tc>
        <w:tc>
          <w:tcPr>
            <w:tcW w:w="1701" w:type="dxa"/>
          </w:tcPr>
          <w:p w14:paraId="1A6D928D" w14:textId="77777777" w:rsidR="00A052DC" w:rsidRDefault="009F0A60">
            <w:pPr>
              <w:rPr>
                <w:rFonts w:ascii="黑体" w:eastAsia="黑体" w:hAnsi="黑体"/>
                <w:sz w:val="20"/>
                <w:szCs w:val="20"/>
              </w:rPr>
            </w:pPr>
            <w:r>
              <w:rPr>
                <w:rFonts w:ascii="黑体" w:eastAsia="黑体" w:hAnsi="黑体" w:hint="eastAsia"/>
                <w:sz w:val="20"/>
                <w:szCs w:val="20"/>
              </w:rPr>
              <w:t>数值型，13.8</w:t>
            </w:r>
          </w:p>
        </w:tc>
        <w:tc>
          <w:tcPr>
            <w:tcW w:w="3827" w:type="dxa"/>
          </w:tcPr>
          <w:p w14:paraId="789BF181" w14:textId="77777777" w:rsidR="00A052DC" w:rsidRDefault="009F0A60">
            <w:pPr>
              <w:rPr>
                <w:rFonts w:ascii="黑体" w:eastAsia="黑体" w:hAnsi="黑体"/>
                <w:sz w:val="20"/>
                <w:szCs w:val="20"/>
              </w:rPr>
            </w:pPr>
            <w:r>
              <w:rPr>
                <w:rFonts w:ascii="黑体" w:eastAsia="黑体" w:hAnsi="黑体" w:hint="eastAsia"/>
                <w:sz w:val="20"/>
                <w:szCs w:val="20"/>
              </w:rPr>
              <w:t>必填项。银行办理购汇的汇率。</w:t>
            </w:r>
          </w:p>
        </w:tc>
      </w:tr>
    </w:tbl>
    <w:p w14:paraId="6137610C" w14:textId="77777777" w:rsidR="00A052DC" w:rsidRDefault="009F0A60">
      <w:pPr>
        <w:pStyle w:val="3"/>
        <w:ind w:left="0"/>
        <w:rPr>
          <w:rFonts w:ascii="Times New Roman" w:hAnsi="Times New Roman"/>
        </w:rPr>
      </w:pPr>
      <w:bookmarkStart w:id="1434" w:name="_Toc454386854"/>
      <w:bookmarkStart w:id="1435" w:name="_Toc454464776"/>
      <w:bookmarkStart w:id="1436" w:name="_Toc454454859"/>
      <w:bookmarkStart w:id="1437" w:name="_Toc455152794"/>
      <w:bookmarkStart w:id="1438" w:name="_Toc454378164"/>
      <w:bookmarkStart w:id="1439" w:name="_Toc455163973"/>
      <w:bookmarkStart w:id="1440" w:name="_Toc454780152"/>
      <w:bookmarkStart w:id="1441" w:name="_Toc455156522"/>
      <w:bookmarkStart w:id="1442" w:name="_Toc455167698"/>
      <w:bookmarkStart w:id="1443" w:name="_Toc454395082"/>
      <w:bookmarkStart w:id="1444" w:name="_Toc454464775"/>
      <w:bookmarkStart w:id="1445" w:name="_Toc454386853"/>
      <w:bookmarkStart w:id="1446" w:name="_Toc454454858"/>
      <w:bookmarkStart w:id="1447" w:name="_Toc454395083"/>
      <w:bookmarkStart w:id="1448" w:name="_Toc454378163"/>
      <w:bookmarkStart w:id="1449" w:name="_Toc455156523"/>
      <w:bookmarkStart w:id="1450" w:name="_Toc455167699"/>
      <w:bookmarkStart w:id="1451" w:name="_Toc455152795"/>
      <w:bookmarkStart w:id="1452" w:name="_Toc454780153"/>
      <w:bookmarkStart w:id="1453" w:name="_Toc455163974"/>
      <w:bookmarkStart w:id="1454" w:name="_Toc91455287"/>
      <w:bookmarkStart w:id="1455" w:name="_Toc380356258"/>
      <w:bookmarkStart w:id="1456" w:name="_Toc454386855"/>
      <w:bookmarkStart w:id="1457" w:name="_Toc310598210"/>
      <w:bookmarkStart w:id="1458" w:name="_Toc101684460"/>
      <w:bookmarkEnd w:id="1010"/>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r>
        <w:rPr>
          <w:rFonts w:ascii="Times New Roman" w:hAnsi="Times New Roman" w:hint="eastAsia"/>
        </w:rPr>
        <w:t>外汇账户内购汇</w:t>
      </w:r>
      <w:r>
        <w:rPr>
          <w:rFonts w:ascii="Times New Roman" w:hAnsi="Times New Roman"/>
        </w:rPr>
        <w:t>-</w:t>
      </w:r>
      <w:r>
        <w:rPr>
          <w:rFonts w:ascii="Times New Roman" w:hAnsi="Times New Roman" w:hint="eastAsia"/>
        </w:rPr>
        <w:t>管理信息</w:t>
      </w:r>
      <w:bookmarkEnd w:id="1454"/>
      <w:bookmarkEnd w:id="1455"/>
      <w:bookmarkEnd w:id="1456"/>
      <w:bookmarkEnd w:id="1457"/>
      <w:bookmarkEnd w:id="1458"/>
    </w:p>
    <w:p w14:paraId="2492EFDD" w14:textId="77777777" w:rsidR="00A052DC" w:rsidRDefault="009F0A60" w:rsidP="0020251D">
      <w:pPr>
        <w:pStyle w:val="4"/>
        <w:numPr>
          <w:ilvl w:val="3"/>
          <w:numId w:val="1"/>
        </w:numPr>
        <w:jc w:val="left"/>
      </w:pPr>
      <w:bookmarkStart w:id="1459" w:name="_Toc310598211"/>
      <w:bookmarkStart w:id="1460" w:name="_Toc454386856"/>
      <w:r>
        <w:rPr>
          <w:rFonts w:hint="eastAsia"/>
        </w:rPr>
        <w:t>数据术语解释</w:t>
      </w:r>
      <w:bookmarkEnd w:id="1459"/>
      <w:bookmarkEnd w:id="146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6854"/>
      </w:tblGrid>
      <w:tr w:rsidR="00A052DC" w14:paraId="22F575DE" w14:textId="77777777">
        <w:tc>
          <w:tcPr>
            <w:tcW w:w="1668" w:type="dxa"/>
          </w:tcPr>
          <w:p w14:paraId="3408B758" w14:textId="77777777" w:rsidR="00A052DC" w:rsidRDefault="009F0A60">
            <w:pPr>
              <w:jc w:val="center"/>
              <w:rPr>
                <w:rFonts w:ascii="黑体" w:eastAsia="黑体" w:hAnsi="黑体"/>
                <w:b/>
                <w:sz w:val="20"/>
                <w:szCs w:val="20"/>
              </w:rPr>
            </w:pPr>
            <w:r>
              <w:rPr>
                <w:rFonts w:ascii="黑体" w:eastAsia="黑体" w:hAnsi="黑体" w:hint="eastAsia"/>
                <w:b/>
                <w:sz w:val="20"/>
                <w:szCs w:val="20"/>
              </w:rPr>
              <w:t>数据项</w:t>
            </w:r>
          </w:p>
        </w:tc>
        <w:tc>
          <w:tcPr>
            <w:tcW w:w="6854" w:type="dxa"/>
          </w:tcPr>
          <w:p w14:paraId="4D6E7E70" w14:textId="77777777" w:rsidR="00A052DC" w:rsidRDefault="009F0A60">
            <w:pPr>
              <w:jc w:val="center"/>
              <w:rPr>
                <w:rFonts w:ascii="黑体" w:eastAsia="黑体" w:hAnsi="黑体"/>
                <w:b/>
                <w:sz w:val="20"/>
                <w:szCs w:val="20"/>
              </w:rPr>
            </w:pPr>
            <w:r>
              <w:rPr>
                <w:rFonts w:ascii="黑体" w:eastAsia="黑体" w:hAnsi="黑体" w:hint="eastAsia"/>
                <w:b/>
                <w:sz w:val="20"/>
                <w:szCs w:val="20"/>
              </w:rPr>
              <w:t>定义</w:t>
            </w:r>
          </w:p>
        </w:tc>
      </w:tr>
      <w:tr w:rsidR="00A052DC" w14:paraId="04F68255" w14:textId="77777777">
        <w:trPr>
          <w:trHeight w:val="70"/>
        </w:trPr>
        <w:tc>
          <w:tcPr>
            <w:tcW w:w="1668" w:type="dxa"/>
          </w:tcPr>
          <w:p w14:paraId="3DB77DB2" w14:textId="77777777" w:rsidR="00A052DC" w:rsidRDefault="009F0A60">
            <w:pPr>
              <w:rPr>
                <w:rFonts w:ascii="黑体" w:eastAsia="黑体" w:hAnsi="黑体"/>
                <w:sz w:val="20"/>
                <w:szCs w:val="20"/>
              </w:rPr>
            </w:pPr>
            <w:r>
              <w:rPr>
                <w:rFonts w:ascii="黑体" w:eastAsia="黑体" w:hAnsi="黑体" w:hint="eastAsia"/>
                <w:sz w:val="20"/>
                <w:szCs w:val="20"/>
              </w:rPr>
              <w:t>外汇局批件号/备案表号/业务编号</w:t>
            </w:r>
          </w:p>
        </w:tc>
        <w:tc>
          <w:tcPr>
            <w:tcW w:w="6854" w:type="dxa"/>
          </w:tcPr>
          <w:p w14:paraId="435DEA68" w14:textId="77777777" w:rsidR="00A052DC" w:rsidRDefault="009F0A60">
            <w:pPr>
              <w:rPr>
                <w:rFonts w:ascii="黑体" w:eastAsia="黑体" w:hAnsi="黑体"/>
                <w:sz w:val="20"/>
                <w:szCs w:val="20"/>
              </w:rPr>
            </w:pPr>
            <w:r>
              <w:rPr>
                <w:rFonts w:ascii="黑体" w:eastAsia="黑体" w:hAnsi="黑体" w:hint="eastAsia"/>
                <w:sz w:val="20"/>
                <w:szCs w:val="20"/>
              </w:rPr>
              <w:t>购汇申请人办理购汇时出具的外汇局核准件、备案表或登记编号等。</w:t>
            </w:r>
            <w:r>
              <w:rPr>
                <w:rFonts w:ascii="黑体" w:eastAsia="黑体" w:hint="eastAsia"/>
                <w:sz w:val="20"/>
                <w:szCs w:val="20"/>
              </w:rPr>
              <w:t>交易编码以‘3’、‘5’、‘6’、‘7’、‘8’和部分‘2’、‘9’开头或涉及账户性质为资本项目性质账户的，“外汇局批件号/备案表号/业务编号”为必填项，填写规则参见《银行资本项目下数据报送参考规则》；对于《银行资本项目下数据报送参考规则》中未提到的情况，且不需要外汇局核准的（即确实没有对应的“外汇局批件号/备案表号/业务编号”），则应填写“N/A”（大写英文字母）。</w:t>
            </w:r>
          </w:p>
        </w:tc>
      </w:tr>
      <w:tr w:rsidR="00A052DC" w14:paraId="714888EB" w14:textId="77777777">
        <w:trPr>
          <w:trHeight w:val="70"/>
        </w:trPr>
        <w:tc>
          <w:tcPr>
            <w:tcW w:w="1668" w:type="dxa"/>
          </w:tcPr>
          <w:p w14:paraId="7FF2B597" w14:textId="77777777" w:rsidR="00A052DC" w:rsidRDefault="009F0A60">
            <w:pPr>
              <w:rPr>
                <w:rFonts w:ascii="黑体" w:eastAsia="黑体" w:hAnsi="黑体"/>
                <w:sz w:val="20"/>
                <w:szCs w:val="20"/>
              </w:rPr>
            </w:pPr>
            <w:r>
              <w:rPr>
                <w:rFonts w:ascii="黑体" w:eastAsia="黑体" w:hAnsi="黑体" w:hint="eastAsia"/>
                <w:sz w:val="20"/>
                <w:szCs w:val="20"/>
              </w:rPr>
              <w:t>交易编码</w:t>
            </w:r>
          </w:p>
        </w:tc>
        <w:tc>
          <w:tcPr>
            <w:tcW w:w="6854" w:type="dxa"/>
          </w:tcPr>
          <w:p w14:paraId="1D2D6356" w14:textId="77777777" w:rsidR="00A052DC" w:rsidRDefault="009F0A60">
            <w:pPr>
              <w:rPr>
                <w:rFonts w:ascii="黑体" w:eastAsia="黑体" w:hAnsi="黑体"/>
                <w:sz w:val="20"/>
                <w:szCs w:val="20"/>
              </w:rPr>
            </w:pPr>
            <w:r>
              <w:rPr>
                <w:rFonts w:ascii="黑体" w:eastAsia="黑体" w:hAnsi="黑体" w:hint="eastAsia"/>
                <w:sz w:val="20"/>
                <w:szCs w:val="20"/>
              </w:rPr>
              <w:t>指购汇后的外汇资金用途对应的涉外收支交易代码（《涉外收支交易分类与代码（2014版）》（汇发〔2014〕21号））。</w:t>
            </w:r>
          </w:p>
        </w:tc>
      </w:tr>
    </w:tbl>
    <w:p w14:paraId="06B9A5CC" w14:textId="77777777" w:rsidR="00A052DC" w:rsidRDefault="009F0A60">
      <w:pPr>
        <w:pStyle w:val="4"/>
        <w:numPr>
          <w:ilvl w:val="3"/>
          <w:numId w:val="1"/>
        </w:numPr>
        <w:jc w:val="left"/>
      </w:pPr>
      <w:bookmarkStart w:id="1461" w:name="_Toc454386857"/>
      <w:bookmarkStart w:id="1462" w:name="_Toc310598212"/>
      <w:bookmarkStart w:id="1463" w:name="_Toc454386858"/>
      <w:bookmarkEnd w:id="1461"/>
      <w:r>
        <w:rPr>
          <w:rFonts w:hint="eastAsia"/>
        </w:rPr>
        <w:t>数据格式</w:t>
      </w:r>
      <w:bookmarkEnd w:id="1462"/>
      <w:bookmarkEnd w:id="1463"/>
    </w:p>
    <w:p w14:paraId="1B1A317E" w14:textId="77777777" w:rsidR="00A052DC" w:rsidRDefault="009F0A60">
      <w:r>
        <w:t>&lt;REC&gt;</w:t>
      </w:r>
    </w:p>
    <w:p w14:paraId="56E972F5" w14:textId="77777777" w:rsidR="00A052DC" w:rsidRDefault="009F0A60">
      <w:r>
        <w:t>&lt;ACTIONTYPE&gt;</w:t>
      </w:r>
      <w:r>
        <w:rPr>
          <w:rFonts w:hint="eastAsia"/>
        </w:rPr>
        <w:t>操作类型</w:t>
      </w:r>
      <w:r>
        <w:t>&lt;/ACTIONTYPE&gt;</w:t>
      </w:r>
    </w:p>
    <w:p w14:paraId="54EC0615" w14:textId="77777777" w:rsidR="00A052DC" w:rsidRDefault="009F0A60">
      <w:r>
        <w:t>&lt;ACTIONDESC&gt;</w:t>
      </w:r>
      <w:r>
        <w:rPr>
          <w:rFonts w:hint="eastAsia"/>
        </w:rPr>
        <w:t>修改</w:t>
      </w:r>
      <w:r>
        <w:t>/</w:t>
      </w:r>
      <w:r>
        <w:rPr>
          <w:rFonts w:hint="eastAsia"/>
        </w:rPr>
        <w:t>删除原因</w:t>
      </w:r>
      <w:r>
        <w:t>&lt;/ACTIONDESC&gt;</w:t>
      </w:r>
    </w:p>
    <w:p w14:paraId="7DB22EBD" w14:textId="77777777" w:rsidR="00A052DC" w:rsidRDefault="009F0A60">
      <w:r>
        <w:t>&lt;RPTNO&gt;</w:t>
      </w:r>
      <w:r>
        <w:rPr>
          <w:rFonts w:hint="eastAsia"/>
        </w:rPr>
        <w:t>申报号码</w:t>
      </w:r>
      <w:r>
        <w:t>&lt;/RPTNO&gt;</w:t>
      </w:r>
    </w:p>
    <w:p w14:paraId="37B80411" w14:textId="77777777" w:rsidR="00A052DC" w:rsidRDefault="009F0A60">
      <w:r>
        <w:t>&lt;REGNO&gt;</w:t>
      </w:r>
      <w:r>
        <w:rPr>
          <w:rFonts w:hint="eastAsia"/>
        </w:rPr>
        <w:t>外汇局批件号</w:t>
      </w:r>
      <w:r>
        <w:t>/</w:t>
      </w:r>
      <w:r>
        <w:rPr>
          <w:rFonts w:hint="eastAsia"/>
        </w:rPr>
        <w:t>备案表号</w:t>
      </w:r>
      <w:r>
        <w:t>/</w:t>
      </w:r>
      <w:r>
        <w:rPr>
          <w:rFonts w:hint="eastAsia"/>
        </w:rPr>
        <w:t>业务编号</w:t>
      </w:r>
      <w:r>
        <w:t>&lt;/REGNO&gt;</w:t>
      </w:r>
    </w:p>
    <w:p w14:paraId="2980E04F" w14:textId="77777777" w:rsidR="00A052DC" w:rsidRDefault="009F0A60">
      <w:r>
        <w:t>&lt;TXCODE&gt;</w:t>
      </w:r>
      <w:r>
        <w:rPr>
          <w:rFonts w:hint="eastAsia"/>
        </w:rPr>
        <w:t>交易编码</w:t>
      </w:r>
      <w:r>
        <w:t>&lt;/TXCODE&gt;</w:t>
      </w:r>
    </w:p>
    <w:p w14:paraId="502A1243" w14:textId="77777777" w:rsidR="00A052DC" w:rsidRDefault="009F0A60">
      <w:r>
        <w:t>&lt;CRTUSER&gt;</w:t>
      </w:r>
      <w:r>
        <w:rPr>
          <w:rFonts w:hint="eastAsia"/>
        </w:rPr>
        <w:t>填报人</w:t>
      </w:r>
      <w:r>
        <w:t>&lt;/CRTUSER&gt;</w:t>
      </w:r>
    </w:p>
    <w:p w14:paraId="790B6CD4" w14:textId="77777777" w:rsidR="00A052DC" w:rsidRDefault="009F0A60">
      <w:r>
        <w:t>&lt;INPTELC&gt;</w:t>
      </w:r>
      <w:r>
        <w:rPr>
          <w:rFonts w:hint="eastAsia"/>
        </w:rPr>
        <w:t>填报人电话</w:t>
      </w:r>
      <w:r>
        <w:t>&lt;/INPTELC&gt;</w:t>
      </w:r>
    </w:p>
    <w:p w14:paraId="465AEEB6" w14:textId="77777777" w:rsidR="00A052DC" w:rsidRDefault="009F0A60">
      <w:r>
        <w:t>&lt;RPTDATE&gt;</w:t>
      </w:r>
      <w:r>
        <w:rPr>
          <w:rFonts w:hint="eastAsia"/>
        </w:rPr>
        <w:t>申报日期</w:t>
      </w:r>
      <w:r>
        <w:t>&lt;/RPTDATE&gt;</w:t>
      </w:r>
    </w:p>
    <w:p w14:paraId="298492F6" w14:textId="77777777" w:rsidR="00A052DC" w:rsidRDefault="009F0A60">
      <w:r>
        <w:t>&lt;/REC&gt;</w:t>
      </w:r>
    </w:p>
    <w:p w14:paraId="5E06AED9" w14:textId="77777777" w:rsidR="00A052DC" w:rsidRDefault="009F0A60" w:rsidP="0020251D">
      <w:pPr>
        <w:pStyle w:val="4"/>
        <w:numPr>
          <w:ilvl w:val="3"/>
          <w:numId w:val="1"/>
        </w:numPr>
        <w:jc w:val="left"/>
      </w:pPr>
      <w:bookmarkStart w:id="1464" w:name="_Toc454386860"/>
      <w:bookmarkStart w:id="1465" w:name="_Toc454386859"/>
      <w:bookmarkStart w:id="1466" w:name="_Toc310598213"/>
      <w:bookmarkStart w:id="1467" w:name="_Toc454386861"/>
      <w:bookmarkEnd w:id="1464"/>
      <w:bookmarkEnd w:id="1465"/>
      <w:r>
        <w:rPr>
          <w:rFonts w:hint="eastAsia"/>
        </w:rPr>
        <w:t>数据字典</w:t>
      </w:r>
      <w:bookmarkEnd w:id="1466"/>
      <w:bookmarkEnd w:id="1467"/>
    </w:p>
    <w:tbl>
      <w:tblPr>
        <w:tblW w:w="86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559"/>
        <w:gridCol w:w="1418"/>
        <w:gridCol w:w="4252"/>
      </w:tblGrid>
      <w:tr w:rsidR="00A052DC" w14:paraId="5CA7B6FE" w14:textId="77777777">
        <w:trPr>
          <w:tblHeader/>
        </w:trPr>
        <w:tc>
          <w:tcPr>
            <w:tcW w:w="1418" w:type="dxa"/>
            <w:shd w:val="clear" w:color="auto" w:fill="BFBFBF"/>
          </w:tcPr>
          <w:p w14:paraId="416E9F9C" w14:textId="77777777" w:rsidR="00A052DC" w:rsidRDefault="009F0A60">
            <w:pPr>
              <w:jc w:val="center"/>
              <w:rPr>
                <w:rFonts w:ascii="黑体" w:eastAsia="黑体" w:hAnsi="黑体"/>
                <w:b/>
                <w:sz w:val="20"/>
                <w:szCs w:val="20"/>
              </w:rPr>
            </w:pPr>
            <w:r>
              <w:rPr>
                <w:rFonts w:ascii="黑体" w:eastAsia="黑体" w:hAnsi="黑体" w:hint="eastAsia"/>
                <w:b/>
                <w:sz w:val="20"/>
                <w:szCs w:val="20"/>
              </w:rPr>
              <w:t>字段</w:t>
            </w:r>
          </w:p>
        </w:tc>
        <w:tc>
          <w:tcPr>
            <w:tcW w:w="1559" w:type="dxa"/>
            <w:shd w:val="clear" w:color="auto" w:fill="BFBFBF"/>
          </w:tcPr>
          <w:p w14:paraId="4BEE0946" w14:textId="77777777" w:rsidR="00A052DC" w:rsidRDefault="009F0A60">
            <w:pPr>
              <w:jc w:val="center"/>
              <w:rPr>
                <w:rFonts w:ascii="黑体" w:eastAsia="黑体" w:hAnsi="黑体"/>
                <w:b/>
                <w:sz w:val="20"/>
                <w:szCs w:val="20"/>
              </w:rPr>
            </w:pPr>
            <w:r>
              <w:rPr>
                <w:rFonts w:ascii="黑体" w:eastAsia="黑体" w:hAnsi="黑体" w:hint="eastAsia"/>
                <w:b/>
                <w:sz w:val="20"/>
                <w:szCs w:val="20"/>
              </w:rPr>
              <w:t>内容</w:t>
            </w:r>
          </w:p>
        </w:tc>
        <w:tc>
          <w:tcPr>
            <w:tcW w:w="1418" w:type="dxa"/>
            <w:shd w:val="clear" w:color="auto" w:fill="BFBFBF"/>
          </w:tcPr>
          <w:p w14:paraId="05E6A7F6" w14:textId="77777777" w:rsidR="00A052DC" w:rsidRDefault="009F0A60">
            <w:pPr>
              <w:jc w:val="center"/>
              <w:rPr>
                <w:rFonts w:ascii="黑体" w:eastAsia="黑体" w:hAnsi="黑体"/>
                <w:b/>
                <w:sz w:val="20"/>
                <w:szCs w:val="20"/>
              </w:rPr>
            </w:pPr>
            <w:r>
              <w:rPr>
                <w:rFonts w:ascii="黑体" w:eastAsia="黑体" w:hAnsi="黑体" w:hint="eastAsia"/>
                <w:b/>
                <w:sz w:val="20"/>
                <w:szCs w:val="20"/>
              </w:rPr>
              <w:t>类型（长度）</w:t>
            </w:r>
          </w:p>
        </w:tc>
        <w:tc>
          <w:tcPr>
            <w:tcW w:w="4252" w:type="dxa"/>
            <w:shd w:val="clear" w:color="auto" w:fill="BFBFBF"/>
          </w:tcPr>
          <w:p w14:paraId="7CC6408F" w14:textId="77777777" w:rsidR="00A052DC" w:rsidRDefault="009F0A60">
            <w:pPr>
              <w:jc w:val="center"/>
              <w:rPr>
                <w:rFonts w:ascii="黑体" w:eastAsia="黑体" w:hAnsi="黑体"/>
                <w:b/>
                <w:sz w:val="20"/>
                <w:szCs w:val="20"/>
              </w:rPr>
            </w:pPr>
            <w:r>
              <w:rPr>
                <w:rFonts w:ascii="黑体" w:eastAsia="黑体" w:hAnsi="黑体" w:hint="eastAsia"/>
                <w:b/>
                <w:sz w:val="20"/>
                <w:szCs w:val="20"/>
              </w:rPr>
              <w:t>校验</w:t>
            </w:r>
          </w:p>
        </w:tc>
      </w:tr>
      <w:tr w:rsidR="00A052DC" w14:paraId="75CAC89D" w14:textId="77777777">
        <w:tc>
          <w:tcPr>
            <w:tcW w:w="1418" w:type="dxa"/>
          </w:tcPr>
          <w:p w14:paraId="292410A8" w14:textId="77777777" w:rsidR="00A052DC" w:rsidRDefault="009F0A60">
            <w:pPr>
              <w:rPr>
                <w:rFonts w:ascii="黑体" w:eastAsia="黑体" w:hAnsi="黑体"/>
                <w:sz w:val="20"/>
                <w:szCs w:val="20"/>
              </w:rPr>
            </w:pPr>
            <w:r>
              <w:rPr>
                <w:rFonts w:ascii="黑体" w:eastAsia="黑体" w:hAnsi="黑体" w:hint="eastAsia"/>
                <w:sz w:val="20"/>
                <w:szCs w:val="20"/>
              </w:rPr>
              <w:t>ACTIONTYPE</w:t>
            </w:r>
          </w:p>
        </w:tc>
        <w:tc>
          <w:tcPr>
            <w:tcW w:w="1559" w:type="dxa"/>
          </w:tcPr>
          <w:p w14:paraId="679FC376" w14:textId="77777777" w:rsidR="00A052DC" w:rsidRDefault="009F0A60">
            <w:pPr>
              <w:rPr>
                <w:rFonts w:ascii="黑体" w:eastAsia="黑体" w:hAnsi="黑体"/>
                <w:sz w:val="20"/>
                <w:szCs w:val="20"/>
              </w:rPr>
            </w:pPr>
            <w:r>
              <w:rPr>
                <w:rFonts w:ascii="黑体" w:eastAsia="黑体" w:hAnsi="黑体" w:hint="eastAsia"/>
                <w:sz w:val="20"/>
                <w:szCs w:val="20"/>
              </w:rPr>
              <w:t>操作类型</w:t>
            </w:r>
          </w:p>
        </w:tc>
        <w:tc>
          <w:tcPr>
            <w:tcW w:w="1418" w:type="dxa"/>
          </w:tcPr>
          <w:p w14:paraId="771A7C2D" w14:textId="77777777" w:rsidR="00A052DC" w:rsidRDefault="009F0A60">
            <w:pPr>
              <w:rPr>
                <w:rFonts w:ascii="黑体" w:eastAsia="黑体" w:hAnsi="黑体"/>
                <w:sz w:val="20"/>
                <w:szCs w:val="20"/>
              </w:rPr>
            </w:pPr>
            <w:r>
              <w:rPr>
                <w:rFonts w:ascii="黑体" w:eastAsia="黑体" w:hAnsi="黑体" w:hint="eastAsia"/>
                <w:sz w:val="20"/>
                <w:szCs w:val="20"/>
              </w:rPr>
              <w:t>字符型，1</w:t>
            </w:r>
          </w:p>
        </w:tc>
        <w:tc>
          <w:tcPr>
            <w:tcW w:w="4252" w:type="dxa"/>
          </w:tcPr>
          <w:p w14:paraId="4E1AC348" w14:textId="77777777" w:rsidR="00A052DC" w:rsidRDefault="009F0A60">
            <w:pPr>
              <w:rPr>
                <w:rFonts w:ascii="黑体" w:eastAsia="黑体" w:hAnsi="黑体"/>
                <w:sz w:val="20"/>
                <w:szCs w:val="20"/>
              </w:rPr>
            </w:pPr>
            <w:r>
              <w:rPr>
                <w:rFonts w:ascii="黑体" w:eastAsia="黑体" w:hAnsi="黑体" w:hint="eastAsia"/>
                <w:sz w:val="20"/>
                <w:szCs w:val="20"/>
              </w:rPr>
              <w:t>A</w:t>
            </w:r>
            <w:r w:rsidR="00AE4602">
              <w:rPr>
                <w:rFonts w:ascii="黑体" w:eastAsia="黑体" w:hAnsi="黑体" w:hint="eastAsia"/>
                <w:sz w:val="20"/>
                <w:szCs w:val="20"/>
              </w:rPr>
              <w:t>-</w:t>
            </w:r>
            <w:r>
              <w:rPr>
                <w:rFonts w:ascii="黑体" w:eastAsia="黑体" w:hAnsi="黑体" w:hint="eastAsia"/>
                <w:sz w:val="20"/>
                <w:szCs w:val="20"/>
              </w:rPr>
              <w:t>新建</w:t>
            </w:r>
          </w:p>
          <w:p w14:paraId="73C28196" w14:textId="77777777" w:rsidR="00A052DC" w:rsidRDefault="009F0A60">
            <w:pPr>
              <w:rPr>
                <w:rFonts w:ascii="黑体" w:eastAsia="黑体" w:hAnsi="黑体"/>
                <w:sz w:val="20"/>
                <w:szCs w:val="20"/>
              </w:rPr>
            </w:pPr>
            <w:r>
              <w:rPr>
                <w:rFonts w:ascii="黑体" w:eastAsia="黑体" w:hAnsi="黑体" w:hint="eastAsia"/>
                <w:sz w:val="20"/>
                <w:szCs w:val="20"/>
              </w:rPr>
              <w:t>C</w:t>
            </w:r>
            <w:r w:rsidR="00AE4602">
              <w:rPr>
                <w:rFonts w:ascii="黑体" w:eastAsia="黑体" w:hAnsi="黑体" w:hint="eastAsia"/>
                <w:sz w:val="20"/>
                <w:szCs w:val="20"/>
              </w:rPr>
              <w:t>-</w:t>
            </w:r>
            <w:r>
              <w:rPr>
                <w:rFonts w:ascii="黑体" w:eastAsia="黑体" w:hAnsi="黑体" w:hint="eastAsia"/>
                <w:sz w:val="20"/>
                <w:szCs w:val="20"/>
              </w:rPr>
              <w:t>修改</w:t>
            </w:r>
          </w:p>
          <w:p w14:paraId="07F24EEF" w14:textId="77777777" w:rsidR="00A052DC" w:rsidRDefault="009F0A60">
            <w:pPr>
              <w:rPr>
                <w:rFonts w:ascii="黑体" w:eastAsia="黑体" w:hAnsi="黑体"/>
                <w:sz w:val="20"/>
                <w:szCs w:val="20"/>
              </w:rPr>
            </w:pPr>
            <w:r>
              <w:rPr>
                <w:rFonts w:ascii="黑体" w:eastAsia="黑体" w:hAnsi="黑体" w:hint="eastAsia"/>
                <w:sz w:val="20"/>
                <w:szCs w:val="20"/>
              </w:rPr>
              <w:t>D</w:t>
            </w:r>
            <w:r w:rsidR="00AE4602">
              <w:rPr>
                <w:rFonts w:ascii="黑体" w:eastAsia="黑体" w:hAnsi="黑体" w:hint="eastAsia"/>
                <w:sz w:val="20"/>
                <w:szCs w:val="20"/>
              </w:rPr>
              <w:t>-</w:t>
            </w:r>
            <w:r>
              <w:rPr>
                <w:rFonts w:ascii="黑体" w:eastAsia="黑体" w:hAnsi="黑体" w:hint="eastAsia"/>
                <w:sz w:val="20"/>
                <w:szCs w:val="20"/>
              </w:rPr>
              <w:t>删除，预留，暂不用</w:t>
            </w:r>
          </w:p>
        </w:tc>
      </w:tr>
      <w:tr w:rsidR="00A052DC" w14:paraId="0667F6AB" w14:textId="77777777">
        <w:tc>
          <w:tcPr>
            <w:tcW w:w="1418" w:type="dxa"/>
          </w:tcPr>
          <w:p w14:paraId="7F7F2C29" w14:textId="77777777" w:rsidR="00A052DC" w:rsidRDefault="009F0A60">
            <w:pPr>
              <w:rPr>
                <w:rFonts w:ascii="黑体" w:eastAsia="黑体" w:hAnsi="黑体"/>
                <w:sz w:val="20"/>
                <w:szCs w:val="20"/>
              </w:rPr>
            </w:pPr>
            <w:r>
              <w:rPr>
                <w:rFonts w:ascii="黑体" w:eastAsia="黑体" w:hAnsi="黑体" w:hint="eastAsia"/>
                <w:sz w:val="20"/>
                <w:szCs w:val="20"/>
              </w:rPr>
              <w:t>ACTIONDESC</w:t>
            </w:r>
          </w:p>
        </w:tc>
        <w:tc>
          <w:tcPr>
            <w:tcW w:w="1559" w:type="dxa"/>
          </w:tcPr>
          <w:p w14:paraId="4CCE2E49" w14:textId="77777777" w:rsidR="00A052DC" w:rsidRDefault="009F0A60">
            <w:pPr>
              <w:rPr>
                <w:rFonts w:ascii="黑体" w:eastAsia="黑体" w:hAnsi="黑体"/>
                <w:sz w:val="20"/>
                <w:szCs w:val="20"/>
              </w:rPr>
            </w:pPr>
            <w:r>
              <w:rPr>
                <w:rFonts w:ascii="黑体" w:eastAsia="黑体" w:hAnsi="黑体" w:hint="eastAsia"/>
                <w:sz w:val="20"/>
                <w:szCs w:val="20"/>
              </w:rPr>
              <w:t>修改/删除原因</w:t>
            </w:r>
          </w:p>
        </w:tc>
        <w:tc>
          <w:tcPr>
            <w:tcW w:w="1418" w:type="dxa"/>
          </w:tcPr>
          <w:p w14:paraId="1CD27712"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4252" w:type="dxa"/>
          </w:tcPr>
          <w:p w14:paraId="512EAB21" w14:textId="77777777" w:rsidR="00A052DC" w:rsidRDefault="00A052DC">
            <w:pPr>
              <w:rPr>
                <w:rFonts w:ascii="黑体" w:eastAsia="黑体" w:hAnsi="黑体"/>
                <w:sz w:val="20"/>
                <w:szCs w:val="20"/>
              </w:rPr>
            </w:pPr>
          </w:p>
        </w:tc>
      </w:tr>
      <w:tr w:rsidR="00A052DC" w14:paraId="3B3F163B" w14:textId="77777777">
        <w:tc>
          <w:tcPr>
            <w:tcW w:w="1418" w:type="dxa"/>
          </w:tcPr>
          <w:p w14:paraId="5D6EC441" w14:textId="77777777" w:rsidR="00A052DC" w:rsidRDefault="009F0A60">
            <w:pPr>
              <w:rPr>
                <w:rFonts w:ascii="黑体" w:eastAsia="黑体" w:hAnsi="黑体"/>
                <w:sz w:val="20"/>
                <w:szCs w:val="20"/>
              </w:rPr>
            </w:pPr>
            <w:r>
              <w:rPr>
                <w:rFonts w:ascii="黑体" w:eastAsia="黑体" w:hAnsi="黑体" w:hint="eastAsia"/>
                <w:sz w:val="20"/>
                <w:szCs w:val="20"/>
              </w:rPr>
              <w:t>RPTNO</w:t>
            </w:r>
          </w:p>
        </w:tc>
        <w:tc>
          <w:tcPr>
            <w:tcW w:w="1559" w:type="dxa"/>
          </w:tcPr>
          <w:p w14:paraId="7D6BCC0C" w14:textId="77777777" w:rsidR="00A052DC" w:rsidRDefault="009F0A60">
            <w:pPr>
              <w:rPr>
                <w:rFonts w:ascii="黑体" w:eastAsia="黑体" w:hAnsi="黑体"/>
                <w:sz w:val="20"/>
                <w:szCs w:val="20"/>
              </w:rPr>
            </w:pPr>
            <w:r>
              <w:rPr>
                <w:rFonts w:ascii="黑体" w:eastAsia="黑体" w:hAnsi="黑体" w:hint="eastAsia"/>
                <w:sz w:val="20"/>
                <w:szCs w:val="20"/>
              </w:rPr>
              <w:t>申报号码</w:t>
            </w:r>
          </w:p>
        </w:tc>
        <w:tc>
          <w:tcPr>
            <w:tcW w:w="1418" w:type="dxa"/>
          </w:tcPr>
          <w:p w14:paraId="2B7FF1C8" w14:textId="77777777" w:rsidR="00A052DC" w:rsidRDefault="009F0A60">
            <w:pPr>
              <w:rPr>
                <w:rFonts w:ascii="黑体" w:eastAsia="黑体" w:hAnsi="黑体"/>
                <w:sz w:val="20"/>
                <w:szCs w:val="20"/>
              </w:rPr>
            </w:pPr>
            <w:r>
              <w:rPr>
                <w:rFonts w:ascii="黑体" w:eastAsia="黑体" w:hAnsi="黑体" w:hint="eastAsia"/>
                <w:sz w:val="20"/>
                <w:szCs w:val="20"/>
              </w:rPr>
              <w:t>字符型，22</w:t>
            </w:r>
          </w:p>
        </w:tc>
        <w:tc>
          <w:tcPr>
            <w:tcW w:w="4252" w:type="dxa"/>
          </w:tcPr>
          <w:p w14:paraId="666B3E3A" w14:textId="77777777" w:rsidR="00A052DC" w:rsidRDefault="009F0A60">
            <w:pPr>
              <w:rPr>
                <w:rFonts w:ascii="黑体" w:eastAsia="黑体" w:hAnsi="黑体"/>
                <w:sz w:val="20"/>
                <w:szCs w:val="20"/>
              </w:rPr>
            </w:pPr>
            <w:r>
              <w:rPr>
                <w:rFonts w:ascii="黑体" w:eastAsia="黑体" w:hAnsi="黑体" w:hint="eastAsia"/>
                <w:sz w:val="20"/>
                <w:szCs w:val="20"/>
              </w:rPr>
              <w:t>应与基础数据一致</w:t>
            </w:r>
          </w:p>
        </w:tc>
      </w:tr>
      <w:tr w:rsidR="00A052DC" w14:paraId="42E44712" w14:textId="77777777">
        <w:tc>
          <w:tcPr>
            <w:tcW w:w="1418" w:type="dxa"/>
          </w:tcPr>
          <w:p w14:paraId="7E44A321" w14:textId="77777777" w:rsidR="00A052DC" w:rsidRDefault="009F0A60">
            <w:pPr>
              <w:rPr>
                <w:rFonts w:ascii="黑体" w:eastAsia="黑体" w:hAnsi="黑体"/>
                <w:sz w:val="20"/>
                <w:szCs w:val="20"/>
              </w:rPr>
            </w:pPr>
            <w:r>
              <w:rPr>
                <w:rFonts w:ascii="黑体" w:eastAsia="黑体" w:hAnsi="黑体" w:hint="eastAsia"/>
                <w:sz w:val="20"/>
                <w:szCs w:val="20"/>
              </w:rPr>
              <w:t>REGNO</w:t>
            </w:r>
          </w:p>
        </w:tc>
        <w:tc>
          <w:tcPr>
            <w:tcW w:w="1559" w:type="dxa"/>
          </w:tcPr>
          <w:p w14:paraId="2A33370E" w14:textId="77777777" w:rsidR="00A052DC" w:rsidRDefault="009F0A60">
            <w:pPr>
              <w:rPr>
                <w:rFonts w:ascii="黑体" w:eastAsia="黑体" w:hAnsi="黑体"/>
                <w:sz w:val="20"/>
                <w:szCs w:val="20"/>
              </w:rPr>
            </w:pPr>
            <w:r>
              <w:rPr>
                <w:rFonts w:ascii="黑体" w:eastAsia="黑体" w:hAnsi="黑体" w:hint="eastAsia"/>
                <w:sz w:val="20"/>
                <w:szCs w:val="20"/>
              </w:rPr>
              <w:t>外汇局批件号/备案表号/业务编号</w:t>
            </w:r>
          </w:p>
        </w:tc>
        <w:tc>
          <w:tcPr>
            <w:tcW w:w="1418" w:type="dxa"/>
          </w:tcPr>
          <w:p w14:paraId="09D3D68D" w14:textId="77777777" w:rsidR="00A052DC" w:rsidRDefault="009F0A60">
            <w:pPr>
              <w:rPr>
                <w:rFonts w:ascii="黑体" w:eastAsia="黑体" w:hAnsi="黑体"/>
                <w:sz w:val="20"/>
                <w:szCs w:val="20"/>
              </w:rPr>
            </w:pPr>
            <w:r>
              <w:rPr>
                <w:rFonts w:ascii="黑体" w:eastAsia="黑体" w:hAnsi="黑体" w:hint="eastAsia"/>
                <w:sz w:val="20"/>
                <w:szCs w:val="20"/>
              </w:rPr>
              <w:t>字符型，20</w:t>
            </w:r>
          </w:p>
        </w:tc>
        <w:tc>
          <w:tcPr>
            <w:tcW w:w="4252" w:type="dxa"/>
          </w:tcPr>
          <w:p w14:paraId="1EDA971F" w14:textId="77777777" w:rsidR="00A052DC" w:rsidRDefault="00DD6AA3">
            <w:pPr>
              <w:rPr>
                <w:rFonts w:ascii="黑体" w:eastAsia="黑体" w:hAnsi="黑体"/>
                <w:sz w:val="20"/>
                <w:szCs w:val="20"/>
              </w:rPr>
            </w:pPr>
            <w:r>
              <w:rPr>
                <w:rFonts w:ascii="黑体" w:eastAsia="黑体" w:hAnsi="黑体" w:hint="eastAsia"/>
                <w:sz w:val="20"/>
                <w:szCs w:val="20"/>
              </w:rPr>
              <w:t>非必填项</w:t>
            </w:r>
            <w:r w:rsidR="009F0A60">
              <w:rPr>
                <w:rFonts w:ascii="黑体" w:eastAsia="黑体" w:hAnsi="黑体" w:hint="eastAsia"/>
                <w:sz w:val="20"/>
                <w:szCs w:val="20"/>
              </w:rPr>
              <w:t>，交易编码以“3”、“5”、“6”、“7”、“8”和部分“2”、“9”开头或涉及账户性质为资本项目性质账户的，“外汇局批件号/备案表号/业务编号”为必填项，填写规则参见《银行资本项目下数据报送参考规则》；对于《银行资本项目下数据报送参考规则》中未提到的情况，且不需要外汇局核准的（即确实没有对应的“外汇局批件号/备案表号/业务编号”），则应填写“N/A”（大写英文字符）。</w:t>
            </w:r>
          </w:p>
        </w:tc>
      </w:tr>
      <w:tr w:rsidR="00A052DC" w14:paraId="7F2414D6" w14:textId="77777777">
        <w:trPr>
          <w:cantSplit/>
        </w:trPr>
        <w:tc>
          <w:tcPr>
            <w:tcW w:w="1418" w:type="dxa"/>
          </w:tcPr>
          <w:p w14:paraId="4A8749F7" w14:textId="77777777" w:rsidR="00A052DC" w:rsidRDefault="009F0A60">
            <w:pPr>
              <w:rPr>
                <w:rFonts w:ascii="黑体" w:eastAsia="黑体" w:hAnsi="黑体"/>
                <w:sz w:val="20"/>
                <w:szCs w:val="20"/>
              </w:rPr>
            </w:pPr>
            <w:r>
              <w:rPr>
                <w:rFonts w:ascii="黑体" w:eastAsia="黑体" w:hAnsi="黑体" w:hint="eastAsia"/>
                <w:sz w:val="20"/>
                <w:szCs w:val="20"/>
              </w:rPr>
              <w:t>TXCODE</w:t>
            </w:r>
          </w:p>
        </w:tc>
        <w:tc>
          <w:tcPr>
            <w:tcW w:w="1559" w:type="dxa"/>
          </w:tcPr>
          <w:p w14:paraId="432D6D0F" w14:textId="77777777" w:rsidR="00A052DC" w:rsidRDefault="009F0A60">
            <w:pPr>
              <w:rPr>
                <w:rFonts w:ascii="黑体" w:eastAsia="黑体" w:hAnsi="黑体"/>
                <w:sz w:val="20"/>
                <w:szCs w:val="20"/>
              </w:rPr>
            </w:pPr>
            <w:r>
              <w:rPr>
                <w:rFonts w:ascii="黑体" w:eastAsia="黑体" w:hAnsi="黑体" w:hint="eastAsia"/>
                <w:sz w:val="20"/>
                <w:szCs w:val="20"/>
              </w:rPr>
              <w:t>交易编码</w:t>
            </w:r>
          </w:p>
        </w:tc>
        <w:tc>
          <w:tcPr>
            <w:tcW w:w="1418" w:type="dxa"/>
          </w:tcPr>
          <w:p w14:paraId="40BDBA9B" w14:textId="77777777" w:rsidR="00A052DC" w:rsidRDefault="009F0A60">
            <w:pPr>
              <w:rPr>
                <w:rFonts w:ascii="黑体" w:eastAsia="黑体" w:hAnsi="黑体"/>
                <w:sz w:val="20"/>
                <w:szCs w:val="20"/>
              </w:rPr>
            </w:pPr>
            <w:r>
              <w:rPr>
                <w:rFonts w:ascii="黑体" w:eastAsia="黑体" w:hAnsi="黑体" w:hint="eastAsia"/>
                <w:sz w:val="20"/>
                <w:szCs w:val="20"/>
              </w:rPr>
              <w:t>字符型，6</w:t>
            </w:r>
          </w:p>
        </w:tc>
        <w:tc>
          <w:tcPr>
            <w:tcW w:w="4252" w:type="dxa"/>
          </w:tcPr>
          <w:p w14:paraId="49ACA433" w14:textId="77777777" w:rsidR="00A052DC" w:rsidRDefault="009F0A60" w:rsidP="000E18F5">
            <w:pPr>
              <w:rPr>
                <w:rFonts w:ascii="黑体" w:eastAsia="黑体" w:hAnsi="黑体"/>
                <w:sz w:val="20"/>
                <w:szCs w:val="20"/>
              </w:rPr>
            </w:pPr>
            <w:r>
              <w:rPr>
                <w:rFonts w:ascii="黑体" w:eastAsia="黑体" w:hAnsi="黑体" w:hint="eastAsia"/>
                <w:sz w:val="20"/>
                <w:szCs w:val="20"/>
              </w:rPr>
              <w:t>必填项</w:t>
            </w:r>
            <w:r w:rsidR="000E18F5">
              <w:rPr>
                <w:rFonts w:ascii="黑体" w:eastAsia="黑体" w:hAnsi="黑体" w:hint="eastAsia"/>
                <w:sz w:val="20"/>
                <w:szCs w:val="20"/>
              </w:rPr>
              <w:t>，</w:t>
            </w:r>
            <w:r>
              <w:rPr>
                <w:rFonts w:ascii="黑体" w:eastAsia="黑体" w:hAnsi="黑体" w:hint="eastAsia"/>
                <w:sz w:val="20"/>
                <w:szCs w:val="20"/>
              </w:rPr>
              <w:t>必须在涉外收支交易代码中存在。</w:t>
            </w:r>
          </w:p>
        </w:tc>
      </w:tr>
      <w:tr w:rsidR="00A052DC" w14:paraId="419CEE38" w14:textId="77777777">
        <w:trPr>
          <w:cantSplit/>
        </w:trPr>
        <w:tc>
          <w:tcPr>
            <w:tcW w:w="1418" w:type="dxa"/>
          </w:tcPr>
          <w:p w14:paraId="26404D8E" w14:textId="77777777" w:rsidR="00A052DC" w:rsidRDefault="009F0A60">
            <w:pPr>
              <w:rPr>
                <w:rFonts w:ascii="黑体" w:eastAsia="黑体" w:hAnsi="黑体"/>
                <w:sz w:val="20"/>
                <w:szCs w:val="20"/>
              </w:rPr>
            </w:pPr>
            <w:r>
              <w:rPr>
                <w:rFonts w:ascii="黑体" w:eastAsia="黑体" w:hAnsi="黑体" w:hint="eastAsia"/>
                <w:sz w:val="20"/>
                <w:szCs w:val="20"/>
              </w:rPr>
              <w:t>CRTUSER</w:t>
            </w:r>
          </w:p>
        </w:tc>
        <w:tc>
          <w:tcPr>
            <w:tcW w:w="1559" w:type="dxa"/>
          </w:tcPr>
          <w:p w14:paraId="0BEC0526" w14:textId="77777777" w:rsidR="00A052DC" w:rsidRDefault="009F0A60">
            <w:pPr>
              <w:rPr>
                <w:rFonts w:ascii="黑体" w:eastAsia="黑体" w:hAnsi="黑体"/>
                <w:sz w:val="20"/>
                <w:szCs w:val="20"/>
              </w:rPr>
            </w:pPr>
            <w:r>
              <w:rPr>
                <w:rFonts w:ascii="黑体" w:eastAsia="黑体" w:hAnsi="黑体" w:hint="eastAsia"/>
                <w:sz w:val="20"/>
                <w:szCs w:val="20"/>
              </w:rPr>
              <w:t>填报人</w:t>
            </w:r>
          </w:p>
        </w:tc>
        <w:tc>
          <w:tcPr>
            <w:tcW w:w="1418" w:type="dxa"/>
          </w:tcPr>
          <w:p w14:paraId="788E3DFF" w14:textId="77777777" w:rsidR="00A052DC" w:rsidRDefault="009F0A60">
            <w:pPr>
              <w:rPr>
                <w:rFonts w:ascii="黑体" w:eastAsia="黑体" w:hAnsi="黑体"/>
                <w:sz w:val="20"/>
                <w:szCs w:val="20"/>
              </w:rPr>
            </w:pPr>
            <w:r>
              <w:rPr>
                <w:rFonts w:ascii="黑体" w:eastAsia="黑体" w:hAnsi="黑体" w:hint="eastAsia"/>
                <w:sz w:val="20"/>
                <w:szCs w:val="20"/>
              </w:rPr>
              <w:t>字符型，20</w:t>
            </w:r>
          </w:p>
        </w:tc>
        <w:tc>
          <w:tcPr>
            <w:tcW w:w="4252" w:type="dxa"/>
          </w:tcPr>
          <w:p w14:paraId="03ED4C83"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r w:rsidR="00A052DC" w14:paraId="480FAF4C" w14:textId="77777777">
        <w:trPr>
          <w:cantSplit/>
        </w:trPr>
        <w:tc>
          <w:tcPr>
            <w:tcW w:w="1418" w:type="dxa"/>
          </w:tcPr>
          <w:p w14:paraId="3C6BAFC3" w14:textId="77777777" w:rsidR="00A052DC" w:rsidRDefault="009F0A60">
            <w:pPr>
              <w:rPr>
                <w:rFonts w:ascii="黑体" w:eastAsia="黑体" w:hAnsi="黑体"/>
                <w:sz w:val="20"/>
                <w:szCs w:val="20"/>
              </w:rPr>
            </w:pPr>
            <w:r>
              <w:rPr>
                <w:rFonts w:ascii="黑体" w:eastAsia="黑体" w:hAnsi="黑体" w:hint="eastAsia"/>
                <w:sz w:val="20"/>
                <w:szCs w:val="20"/>
              </w:rPr>
              <w:t>INPTELC</w:t>
            </w:r>
          </w:p>
        </w:tc>
        <w:tc>
          <w:tcPr>
            <w:tcW w:w="1559" w:type="dxa"/>
          </w:tcPr>
          <w:p w14:paraId="0A42A861" w14:textId="77777777" w:rsidR="00A052DC" w:rsidRDefault="009F0A60">
            <w:pPr>
              <w:rPr>
                <w:rFonts w:ascii="黑体" w:eastAsia="黑体" w:hAnsi="黑体"/>
                <w:sz w:val="20"/>
                <w:szCs w:val="20"/>
              </w:rPr>
            </w:pPr>
            <w:r>
              <w:rPr>
                <w:rFonts w:ascii="黑体" w:eastAsia="黑体" w:hAnsi="黑体" w:hint="eastAsia"/>
                <w:sz w:val="20"/>
                <w:szCs w:val="20"/>
              </w:rPr>
              <w:t>填报人电话</w:t>
            </w:r>
          </w:p>
        </w:tc>
        <w:tc>
          <w:tcPr>
            <w:tcW w:w="1418" w:type="dxa"/>
          </w:tcPr>
          <w:p w14:paraId="3A42513A" w14:textId="77777777" w:rsidR="00A052DC" w:rsidRDefault="009F0A60">
            <w:pPr>
              <w:rPr>
                <w:rFonts w:ascii="黑体" w:eastAsia="黑体" w:hAnsi="黑体"/>
                <w:sz w:val="20"/>
                <w:szCs w:val="20"/>
              </w:rPr>
            </w:pPr>
            <w:r>
              <w:rPr>
                <w:rFonts w:ascii="黑体" w:eastAsia="黑体" w:hAnsi="黑体" w:hint="eastAsia"/>
                <w:sz w:val="20"/>
                <w:szCs w:val="20"/>
              </w:rPr>
              <w:t>字符型，20</w:t>
            </w:r>
          </w:p>
        </w:tc>
        <w:tc>
          <w:tcPr>
            <w:tcW w:w="4252" w:type="dxa"/>
          </w:tcPr>
          <w:p w14:paraId="1D32FC8F"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r w:rsidR="00A052DC" w14:paraId="6CEB4BC0" w14:textId="77777777">
        <w:trPr>
          <w:cantSplit/>
        </w:trPr>
        <w:tc>
          <w:tcPr>
            <w:tcW w:w="1418" w:type="dxa"/>
          </w:tcPr>
          <w:p w14:paraId="1CC4DD0A" w14:textId="77777777" w:rsidR="00A052DC" w:rsidRDefault="009F0A60">
            <w:pPr>
              <w:rPr>
                <w:rFonts w:ascii="黑体" w:eastAsia="黑体" w:hAnsi="黑体"/>
                <w:sz w:val="20"/>
                <w:szCs w:val="20"/>
              </w:rPr>
            </w:pPr>
            <w:r>
              <w:rPr>
                <w:rFonts w:ascii="黑体" w:eastAsia="黑体" w:hAnsi="黑体" w:hint="eastAsia"/>
                <w:sz w:val="20"/>
                <w:szCs w:val="20"/>
              </w:rPr>
              <w:t>RPTDATE</w:t>
            </w:r>
          </w:p>
        </w:tc>
        <w:tc>
          <w:tcPr>
            <w:tcW w:w="1559" w:type="dxa"/>
          </w:tcPr>
          <w:p w14:paraId="476087B9" w14:textId="77777777" w:rsidR="00A052DC" w:rsidRDefault="009F0A60">
            <w:pPr>
              <w:rPr>
                <w:rFonts w:ascii="黑体" w:eastAsia="黑体" w:hAnsi="黑体"/>
                <w:sz w:val="20"/>
                <w:szCs w:val="20"/>
              </w:rPr>
            </w:pPr>
            <w:r>
              <w:rPr>
                <w:rFonts w:ascii="黑体" w:eastAsia="黑体" w:hAnsi="黑体" w:hint="eastAsia"/>
                <w:sz w:val="20"/>
                <w:szCs w:val="20"/>
              </w:rPr>
              <w:t>申报日期</w:t>
            </w:r>
          </w:p>
        </w:tc>
        <w:tc>
          <w:tcPr>
            <w:tcW w:w="1418" w:type="dxa"/>
          </w:tcPr>
          <w:p w14:paraId="5D439BCC" w14:textId="77777777" w:rsidR="00A052DC" w:rsidRDefault="009F0A60">
            <w:pPr>
              <w:rPr>
                <w:rFonts w:ascii="黑体" w:eastAsia="黑体" w:hAnsi="黑体"/>
                <w:sz w:val="20"/>
                <w:szCs w:val="20"/>
              </w:rPr>
            </w:pPr>
            <w:r>
              <w:rPr>
                <w:rFonts w:ascii="黑体" w:eastAsia="黑体" w:hAnsi="黑体" w:hint="eastAsia"/>
                <w:sz w:val="20"/>
                <w:szCs w:val="20"/>
              </w:rPr>
              <w:t>日期型，8</w:t>
            </w:r>
          </w:p>
          <w:p w14:paraId="05BCC7EA" w14:textId="77777777" w:rsidR="00A052DC" w:rsidRDefault="009F0A60">
            <w:pPr>
              <w:rPr>
                <w:rFonts w:ascii="黑体" w:eastAsia="黑体" w:hAnsi="黑体"/>
                <w:sz w:val="20"/>
                <w:szCs w:val="20"/>
              </w:rPr>
            </w:pPr>
            <w:r>
              <w:rPr>
                <w:rFonts w:ascii="黑体" w:eastAsia="黑体" w:hAnsi="黑体" w:hint="eastAsia"/>
                <w:sz w:val="20"/>
                <w:szCs w:val="20"/>
              </w:rPr>
              <w:t>YYYYMMDD</w:t>
            </w:r>
          </w:p>
        </w:tc>
        <w:tc>
          <w:tcPr>
            <w:tcW w:w="4252" w:type="dxa"/>
          </w:tcPr>
          <w:p w14:paraId="364E1794" w14:textId="77777777" w:rsidR="00A052DC" w:rsidRDefault="009F0A60">
            <w:pPr>
              <w:rPr>
                <w:rFonts w:ascii="黑体" w:eastAsia="黑体" w:hAnsi="黑体"/>
                <w:sz w:val="20"/>
                <w:szCs w:val="20"/>
              </w:rPr>
            </w:pPr>
            <w:r>
              <w:rPr>
                <w:rFonts w:ascii="黑体" w:eastAsia="黑体" w:hAnsi="黑体" w:hint="eastAsia"/>
                <w:sz w:val="20"/>
                <w:szCs w:val="20"/>
              </w:rPr>
              <w:t>必填项，按申报主体真实申报日期填写。</w:t>
            </w:r>
          </w:p>
        </w:tc>
      </w:tr>
    </w:tbl>
    <w:p w14:paraId="19C5ED6D" w14:textId="77777777" w:rsidR="00A052DC" w:rsidRDefault="00A052DC">
      <w:bookmarkStart w:id="1468" w:name="_Toc454271610"/>
      <w:bookmarkStart w:id="1469" w:name="_Toc454780155"/>
      <w:bookmarkStart w:id="1470" w:name="_Toc454378166"/>
      <w:bookmarkStart w:id="1471" w:name="_Toc454454861"/>
      <w:bookmarkStart w:id="1472" w:name="_Toc455167701"/>
      <w:bookmarkStart w:id="1473" w:name="_Toc455152797"/>
      <w:bookmarkStart w:id="1474" w:name="_Toc454386862"/>
      <w:bookmarkStart w:id="1475" w:name="_Toc454281256"/>
      <w:bookmarkStart w:id="1476" w:name="_Toc454464778"/>
      <w:bookmarkStart w:id="1477" w:name="_Toc454395085"/>
      <w:bookmarkStart w:id="1478" w:name="_Toc455163976"/>
      <w:bookmarkStart w:id="1479" w:name="_Toc452557669"/>
      <w:bookmarkStart w:id="1480" w:name="_Toc455156525"/>
      <w:bookmarkStart w:id="1481" w:name="_Toc454386863"/>
      <w:bookmarkStart w:id="1482" w:name="_Toc380356259"/>
      <w:bookmarkStart w:id="1483" w:name="_Toc328635480"/>
      <w:bookmarkStart w:id="1484" w:name="_Toc328635491"/>
      <w:bookmarkStart w:id="1485" w:name="_Toc326841487"/>
      <w:bookmarkEnd w:id="1468"/>
      <w:bookmarkEnd w:id="1469"/>
      <w:bookmarkEnd w:id="1470"/>
      <w:bookmarkEnd w:id="1471"/>
      <w:bookmarkEnd w:id="1472"/>
      <w:bookmarkEnd w:id="1473"/>
      <w:bookmarkEnd w:id="1474"/>
      <w:bookmarkEnd w:id="1475"/>
      <w:bookmarkEnd w:id="1476"/>
      <w:bookmarkEnd w:id="1477"/>
      <w:bookmarkEnd w:id="1478"/>
      <w:bookmarkEnd w:id="1479"/>
      <w:bookmarkEnd w:id="1480"/>
    </w:p>
    <w:p w14:paraId="59323EFF" w14:textId="77777777" w:rsidR="00A052DC" w:rsidRDefault="00A052DC"/>
    <w:p w14:paraId="77A792A7" w14:textId="77777777" w:rsidR="00A052DC" w:rsidRDefault="00A052DC"/>
    <w:p w14:paraId="72B1FE96" w14:textId="77777777" w:rsidR="00A052DC" w:rsidRDefault="00A052DC"/>
    <w:p w14:paraId="3180AC51" w14:textId="77777777" w:rsidR="00A052DC" w:rsidRDefault="009F0A60" w:rsidP="0020251D">
      <w:pPr>
        <w:pStyle w:val="2"/>
        <w:rPr>
          <w:rFonts w:ascii="Times New Roman" w:hAnsi="Times New Roman"/>
        </w:rPr>
      </w:pPr>
      <w:bookmarkStart w:id="1486" w:name="_Toc91455288"/>
      <w:bookmarkStart w:id="1487" w:name="_Toc101684461"/>
      <w:r>
        <w:rPr>
          <w:rFonts w:ascii="Times New Roman" w:hAnsi="Times New Roman" w:hint="eastAsia"/>
        </w:rPr>
        <w:t>银行自身外债业务</w:t>
      </w:r>
      <w:bookmarkEnd w:id="1481"/>
      <w:bookmarkEnd w:id="1486"/>
      <w:bookmarkEnd w:id="1487"/>
    </w:p>
    <w:p w14:paraId="305F6197" w14:textId="77777777" w:rsidR="00A052DC" w:rsidRDefault="009F0A60" w:rsidP="0020251D">
      <w:pPr>
        <w:pStyle w:val="3"/>
        <w:ind w:left="0"/>
        <w:rPr>
          <w:rFonts w:ascii="Times New Roman" w:hAnsi="Times New Roman"/>
        </w:rPr>
      </w:pPr>
      <w:bookmarkStart w:id="1488" w:name="_Toc380356260"/>
      <w:bookmarkStart w:id="1489" w:name="_Toc454386864"/>
      <w:bookmarkStart w:id="1490" w:name="_Toc91455289"/>
      <w:bookmarkStart w:id="1491" w:name="_Toc101684462"/>
      <w:r>
        <w:rPr>
          <w:rFonts w:ascii="Times New Roman" w:hAnsi="Times New Roman" w:hint="eastAsia"/>
        </w:rPr>
        <w:t>外债签约信息</w:t>
      </w:r>
      <w:bookmarkEnd w:id="1488"/>
      <w:bookmarkEnd w:id="1489"/>
      <w:bookmarkEnd w:id="1490"/>
      <w:bookmarkEnd w:id="1491"/>
    </w:p>
    <w:p w14:paraId="562FA03E" w14:textId="77777777" w:rsidR="00A052DC" w:rsidRDefault="009F0A60" w:rsidP="0020251D">
      <w:pPr>
        <w:pStyle w:val="4"/>
        <w:numPr>
          <w:ilvl w:val="3"/>
          <w:numId w:val="1"/>
        </w:numPr>
        <w:jc w:val="left"/>
      </w:pPr>
      <w:bookmarkStart w:id="1492" w:name="_Toc328635481"/>
      <w:bookmarkStart w:id="1493" w:name="_Toc454386865"/>
      <w:r>
        <w:rPr>
          <w:rFonts w:hint="eastAsia"/>
        </w:rPr>
        <w:t>双边贷款</w:t>
      </w:r>
      <w:bookmarkEnd w:id="1492"/>
      <w:bookmarkEnd w:id="1493"/>
    </w:p>
    <w:p w14:paraId="7C2341D0" w14:textId="77777777" w:rsidR="00A052DC" w:rsidRDefault="009F0A60" w:rsidP="0020251D">
      <w:pPr>
        <w:pStyle w:val="5"/>
        <w:numPr>
          <w:ilvl w:val="4"/>
          <w:numId w:val="1"/>
        </w:numPr>
        <w:spacing w:before="120" w:after="120" w:line="360" w:lineRule="auto"/>
        <w:jc w:val="left"/>
      </w:pPr>
      <w:bookmarkStart w:id="1494" w:name="_Toc454386866"/>
      <w:r>
        <w:rPr>
          <w:rFonts w:hint="eastAsia"/>
        </w:rPr>
        <w:t>数据术语解释</w:t>
      </w:r>
      <w:bookmarkEnd w:id="1494"/>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668"/>
        <w:gridCol w:w="6804"/>
      </w:tblGrid>
      <w:tr w:rsidR="00A052DC" w14:paraId="14CA929A" w14:textId="77777777">
        <w:trPr>
          <w:cantSplit/>
        </w:trPr>
        <w:tc>
          <w:tcPr>
            <w:tcW w:w="1668" w:type="dxa"/>
          </w:tcPr>
          <w:p w14:paraId="6FA0B9DA" w14:textId="77777777" w:rsidR="00A052DC" w:rsidRDefault="009F0A60">
            <w:pPr>
              <w:pStyle w:val="B1"/>
              <w:rPr>
                <w:u w:val="single"/>
              </w:rPr>
            </w:pPr>
            <w:r>
              <w:rPr>
                <w:rFonts w:hint="eastAsia"/>
              </w:rPr>
              <w:t>基础数据项</w:t>
            </w:r>
          </w:p>
        </w:tc>
        <w:tc>
          <w:tcPr>
            <w:tcW w:w="6804" w:type="dxa"/>
          </w:tcPr>
          <w:p w14:paraId="0406D29D" w14:textId="77777777" w:rsidR="00A052DC" w:rsidRDefault="009F0A60">
            <w:pPr>
              <w:pStyle w:val="B1"/>
            </w:pPr>
            <w:r>
              <w:rPr>
                <w:rFonts w:hint="eastAsia"/>
              </w:rPr>
              <w:t>定义</w:t>
            </w:r>
          </w:p>
        </w:tc>
      </w:tr>
      <w:tr w:rsidR="00A052DC" w14:paraId="3DAC1047" w14:textId="77777777">
        <w:trPr>
          <w:cantSplit/>
        </w:trPr>
        <w:tc>
          <w:tcPr>
            <w:tcW w:w="1668" w:type="dxa"/>
          </w:tcPr>
          <w:p w14:paraId="3A66CEF3" w14:textId="77777777" w:rsidR="00A052DC" w:rsidRDefault="009F0A60">
            <w:pPr>
              <w:pStyle w:val="B"/>
              <w:rPr>
                <w:szCs w:val="20"/>
              </w:rPr>
            </w:pPr>
            <w:r>
              <w:rPr>
                <w:rFonts w:hint="eastAsia"/>
                <w:szCs w:val="20"/>
              </w:rPr>
              <w:t>外债编号</w:t>
            </w:r>
          </w:p>
        </w:tc>
        <w:tc>
          <w:tcPr>
            <w:tcW w:w="6804" w:type="dxa"/>
          </w:tcPr>
          <w:p w14:paraId="151E122D" w14:textId="77777777" w:rsidR="00A052DC" w:rsidRDefault="009F0A60">
            <w:pPr>
              <w:pStyle w:val="B"/>
              <w:rPr>
                <w:szCs w:val="20"/>
              </w:rPr>
            </w:pPr>
            <w:r>
              <w:rPr>
                <w:rFonts w:hint="eastAsia"/>
                <w:szCs w:val="20"/>
              </w:rPr>
              <w:t>外汇局制定统一编号规则，银行自行对每一笔外债编号，用于唯一标识该笔外债。银行外债编号共计</w:t>
            </w:r>
            <w:r>
              <w:rPr>
                <w:szCs w:val="20"/>
              </w:rPr>
              <w:t>28</w:t>
            </w:r>
            <w:r>
              <w:rPr>
                <w:rFonts w:hint="eastAsia"/>
                <w:szCs w:val="20"/>
              </w:rPr>
              <w:t>位。第</w:t>
            </w:r>
            <w:r>
              <w:rPr>
                <w:szCs w:val="20"/>
              </w:rPr>
              <w:t>1</w:t>
            </w:r>
            <w:r>
              <w:rPr>
                <w:rFonts w:hint="eastAsia"/>
                <w:szCs w:val="20"/>
              </w:rPr>
              <w:t>至</w:t>
            </w:r>
            <w:r>
              <w:rPr>
                <w:szCs w:val="20"/>
              </w:rPr>
              <w:t>2</w:t>
            </w:r>
            <w:r>
              <w:rPr>
                <w:rFonts w:hint="eastAsia"/>
                <w:szCs w:val="20"/>
              </w:rPr>
              <w:t>位为业务类型标识，第</w:t>
            </w:r>
            <w:r>
              <w:rPr>
                <w:szCs w:val="20"/>
              </w:rPr>
              <w:t>3</w:t>
            </w:r>
            <w:r>
              <w:rPr>
                <w:rFonts w:hint="eastAsia"/>
                <w:szCs w:val="20"/>
              </w:rPr>
              <w:t>位至</w:t>
            </w:r>
            <w:r>
              <w:rPr>
                <w:szCs w:val="20"/>
              </w:rPr>
              <w:t>14</w:t>
            </w:r>
            <w:r>
              <w:rPr>
                <w:rFonts w:hint="eastAsia"/>
                <w:szCs w:val="20"/>
              </w:rPr>
              <w:t>位为银行金融机构标识码</w:t>
            </w:r>
            <w:r>
              <w:rPr>
                <w:szCs w:val="20"/>
              </w:rPr>
              <w:t>;</w:t>
            </w:r>
            <w:r>
              <w:rPr>
                <w:rFonts w:hint="eastAsia"/>
                <w:szCs w:val="20"/>
              </w:rPr>
              <w:t>第</w:t>
            </w:r>
            <w:r>
              <w:rPr>
                <w:szCs w:val="20"/>
              </w:rPr>
              <w:t>15</w:t>
            </w:r>
            <w:r>
              <w:rPr>
                <w:rFonts w:hint="eastAsia"/>
                <w:szCs w:val="20"/>
              </w:rPr>
              <w:t>至</w:t>
            </w:r>
            <w:r>
              <w:rPr>
                <w:szCs w:val="20"/>
              </w:rPr>
              <w:t>22</w:t>
            </w:r>
            <w:r>
              <w:rPr>
                <w:rFonts w:hint="eastAsia"/>
                <w:szCs w:val="20"/>
              </w:rPr>
              <w:t>位为</w:t>
            </w:r>
            <w:r>
              <w:rPr>
                <w:szCs w:val="20"/>
              </w:rPr>
              <w:t>8</w:t>
            </w:r>
            <w:r>
              <w:rPr>
                <w:rFonts w:hint="eastAsia"/>
                <w:szCs w:val="20"/>
              </w:rPr>
              <w:t>位年月日数字（</w:t>
            </w:r>
            <w:r>
              <w:rPr>
                <w:szCs w:val="20"/>
              </w:rPr>
              <w:t>20110701</w:t>
            </w:r>
            <w:r>
              <w:rPr>
                <w:rFonts w:hint="eastAsia"/>
                <w:szCs w:val="20"/>
              </w:rPr>
              <w:t>）</w:t>
            </w:r>
            <w:r>
              <w:rPr>
                <w:szCs w:val="20"/>
              </w:rPr>
              <w:t>;</w:t>
            </w:r>
            <w:r>
              <w:rPr>
                <w:rFonts w:hint="eastAsia"/>
                <w:szCs w:val="20"/>
              </w:rPr>
              <w:t>第</w:t>
            </w:r>
            <w:r>
              <w:rPr>
                <w:szCs w:val="20"/>
              </w:rPr>
              <w:t>23</w:t>
            </w:r>
            <w:r>
              <w:rPr>
                <w:rFonts w:hint="eastAsia"/>
                <w:szCs w:val="20"/>
              </w:rPr>
              <w:t>至</w:t>
            </w:r>
            <w:r>
              <w:rPr>
                <w:szCs w:val="20"/>
              </w:rPr>
              <w:t>28</w:t>
            </w:r>
            <w:r>
              <w:rPr>
                <w:rFonts w:hint="eastAsia"/>
                <w:szCs w:val="20"/>
              </w:rPr>
              <w:t>位为该笔业务的流水号（流水码编制规则：从</w:t>
            </w:r>
            <w:r>
              <w:rPr>
                <w:szCs w:val="20"/>
              </w:rPr>
              <w:t>000001</w:t>
            </w:r>
            <w:r>
              <w:rPr>
                <w:rFonts w:hint="eastAsia"/>
                <w:szCs w:val="20"/>
              </w:rPr>
              <w:t>～</w:t>
            </w:r>
            <w:r>
              <w:rPr>
                <w:szCs w:val="20"/>
              </w:rPr>
              <w:t>999999</w:t>
            </w:r>
            <w:r>
              <w:rPr>
                <w:rFonts w:hint="eastAsia"/>
                <w:szCs w:val="20"/>
              </w:rPr>
              <w:t>）。银行新发生一笔外债业务时，需为该笔外债编制外债编号，同一笔外债发生变更或展期时，不作为一笔新业务进行登记，发生展期时，变更到期日。</w:t>
            </w:r>
          </w:p>
        </w:tc>
      </w:tr>
      <w:tr w:rsidR="00A052DC" w14:paraId="5E908613" w14:textId="77777777">
        <w:trPr>
          <w:cantSplit/>
        </w:trPr>
        <w:tc>
          <w:tcPr>
            <w:tcW w:w="1668" w:type="dxa"/>
          </w:tcPr>
          <w:p w14:paraId="0CF95C06" w14:textId="77777777" w:rsidR="00A052DC" w:rsidRDefault="009F0A60">
            <w:pPr>
              <w:pStyle w:val="B"/>
              <w:rPr>
                <w:szCs w:val="20"/>
              </w:rPr>
            </w:pPr>
            <w:r>
              <w:rPr>
                <w:rFonts w:hint="eastAsia"/>
                <w:szCs w:val="20"/>
              </w:rPr>
              <w:t>债务人代码</w:t>
            </w:r>
          </w:p>
        </w:tc>
        <w:tc>
          <w:tcPr>
            <w:tcW w:w="6804" w:type="dxa"/>
          </w:tcPr>
          <w:p w14:paraId="554BF8B1" w14:textId="77777777" w:rsidR="00A052DC" w:rsidRDefault="009F0A60">
            <w:pPr>
              <w:pStyle w:val="B"/>
              <w:rPr>
                <w:szCs w:val="20"/>
              </w:rPr>
            </w:pPr>
            <w:r>
              <w:rPr>
                <w:rFonts w:hint="eastAsia"/>
                <w:szCs w:val="20"/>
              </w:rPr>
              <w:t>国家外汇管理局及其分支局签发给境内债务银行的</w:t>
            </w:r>
            <w:r>
              <w:rPr>
                <w:szCs w:val="20"/>
              </w:rPr>
              <w:t>12</w:t>
            </w:r>
            <w:r>
              <w:rPr>
                <w:rFonts w:hint="eastAsia"/>
                <w:szCs w:val="20"/>
              </w:rPr>
              <w:t>位金融机构标识码编码。</w:t>
            </w:r>
          </w:p>
        </w:tc>
      </w:tr>
      <w:tr w:rsidR="00A052DC" w14:paraId="27F9FA05" w14:textId="77777777">
        <w:trPr>
          <w:cantSplit/>
        </w:trPr>
        <w:tc>
          <w:tcPr>
            <w:tcW w:w="1668" w:type="dxa"/>
          </w:tcPr>
          <w:p w14:paraId="697476B1" w14:textId="77777777" w:rsidR="00A052DC" w:rsidRDefault="009F0A60">
            <w:pPr>
              <w:pStyle w:val="B"/>
              <w:rPr>
                <w:szCs w:val="20"/>
              </w:rPr>
            </w:pPr>
            <w:r>
              <w:rPr>
                <w:rFonts w:hint="eastAsia"/>
                <w:szCs w:val="20"/>
              </w:rPr>
              <w:t>债务类型</w:t>
            </w:r>
          </w:p>
        </w:tc>
        <w:tc>
          <w:tcPr>
            <w:tcW w:w="6804" w:type="dxa"/>
          </w:tcPr>
          <w:p w14:paraId="33FA64CE" w14:textId="77777777" w:rsidR="00A052DC" w:rsidRDefault="009F0A60">
            <w:pPr>
              <w:pStyle w:val="B"/>
              <w:rPr>
                <w:szCs w:val="20"/>
              </w:rPr>
            </w:pPr>
            <w:r>
              <w:rPr>
                <w:rFonts w:hint="eastAsia"/>
                <w:szCs w:val="20"/>
              </w:rPr>
              <w:t>外债的债务类型代码，见外债的债务类型表。</w:t>
            </w:r>
          </w:p>
        </w:tc>
      </w:tr>
      <w:tr w:rsidR="00A052DC" w14:paraId="5153A07D" w14:textId="77777777">
        <w:trPr>
          <w:cantSplit/>
        </w:trPr>
        <w:tc>
          <w:tcPr>
            <w:tcW w:w="1668" w:type="dxa"/>
          </w:tcPr>
          <w:p w14:paraId="3BF95AB9" w14:textId="77777777" w:rsidR="00A052DC" w:rsidRDefault="009F0A60">
            <w:pPr>
              <w:pStyle w:val="B"/>
              <w:rPr>
                <w:szCs w:val="20"/>
              </w:rPr>
            </w:pPr>
            <w:r>
              <w:rPr>
                <w:rFonts w:hint="eastAsia"/>
                <w:szCs w:val="20"/>
              </w:rPr>
              <w:t>签约日期</w:t>
            </w:r>
          </w:p>
        </w:tc>
        <w:tc>
          <w:tcPr>
            <w:tcW w:w="6804" w:type="dxa"/>
          </w:tcPr>
          <w:p w14:paraId="681A3AEE" w14:textId="77777777" w:rsidR="00A052DC" w:rsidRDefault="009F0A60">
            <w:pPr>
              <w:pStyle w:val="B"/>
              <w:rPr>
                <w:szCs w:val="20"/>
              </w:rPr>
            </w:pPr>
            <w:r>
              <w:rPr>
                <w:rFonts w:hint="eastAsia"/>
                <w:szCs w:val="20"/>
              </w:rPr>
              <w:t>境内债务银行与境外债权人签订该笔外债合同日期。</w:t>
            </w:r>
          </w:p>
        </w:tc>
      </w:tr>
      <w:tr w:rsidR="00A052DC" w14:paraId="783CEEAD" w14:textId="77777777">
        <w:trPr>
          <w:cantSplit/>
        </w:trPr>
        <w:tc>
          <w:tcPr>
            <w:tcW w:w="1668" w:type="dxa"/>
          </w:tcPr>
          <w:p w14:paraId="1040C80F" w14:textId="77777777" w:rsidR="00A052DC" w:rsidRDefault="009F0A60">
            <w:pPr>
              <w:pStyle w:val="B"/>
              <w:rPr>
                <w:szCs w:val="20"/>
              </w:rPr>
            </w:pPr>
            <w:r>
              <w:rPr>
                <w:rFonts w:hint="eastAsia"/>
                <w:szCs w:val="20"/>
              </w:rPr>
              <w:t>起息日</w:t>
            </w:r>
          </w:p>
        </w:tc>
        <w:tc>
          <w:tcPr>
            <w:tcW w:w="6804" w:type="dxa"/>
          </w:tcPr>
          <w:p w14:paraId="2047A977" w14:textId="77777777" w:rsidR="00A052DC" w:rsidRDefault="009F0A60">
            <w:pPr>
              <w:pStyle w:val="B"/>
              <w:rPr>
                <w:szCs w:val="20"/>
              </w:rPr>
            </w:pPr>
            <w:r>
              <w:rPr>
                <w:rFonts w:hint="eastAsia"/>
                <w:szCs w:val="20"/>
              </w:rPr>
              <w:t>债务起始计息日期。</w:t>
            </w:r>
          </w:p>
        </w:tc>
      </w:tr>
      <w:tr w:rsidR="00A052DC" w14:paraId="5C253AA4" w14:textId="77777777">
        <w:trPr>
          <w:cantSplit/>
        </w:trPr>
        <w:tc>
          <w:tcPr>
            <w:tcW w:w="1668" w:type="dxa"/>
          </w:tcPr>
          <w:p w14:paraId="549D68BE" w14:textId="77777777" w:rsidR="00A052DC" w:rsidRDefault="009F0A60">
            <w:pPr>
              <w:pStyle w:val="B"/>
              <w:rPr>
                <w:szCs w:val="20"/>
              </w:rPr>
            </w:pPr>
            <w:r>
              <w:rPr>
                <w:rFonts w:hint="eastAsia"/>
                <w:szCs w:val="20"/>
              </w:rPr>
              <w:t>签约币种</w:t>
            </w:r>
          </w:p>
        </w:tc>
        <w:tc>
          <w:tcPr>
            <w:tcW w:w="6804" w:type="dxa"/>
          </w:tcPr>
          <w:p w14:paraId="35C831A4" w14:textId="77777777" w:rsidR="00A052DC" w:rsidRDefault="009F0A60">
            <w:pPr>
              <w:pStyle w:val="B"/>
              <w:rPr>
                <w:szCs w:val="20"/>
              </w:rPr>
            </w:pPr>
            <w:r>
              <w:rPr>
                <w:rFonts w:hint="eastAsia"/>
                <w:szCs w:val="20"/>
              </w:rPr>
              <w:t>外债合同约定的签约币种。</w:t>
            </w:r>
          </w:p>
        </w:tc>
      </w:tr>
      <w:tr w:rsidR="00A052DC" w14:paraId="6CA0E84C" w14:textId="77777777">
        <w:trPr>
          <w:cantSplit/>
        </w:trPr>
        <w:tc>
          <w:tcPr>
            <w:tcW w:w="1668" w:type="dxa"/>
          </w:tcPr>
          <w:p w14:paraId="1B478C28" w14:textId="77777777" w:rsidR="00A052DC" w:rsidRDefault="009F0A60">
            <w:pPr>
              <w:pStyle w:val="B"/>
              <w:rPr>
                <w:szCs w:val="20"/>
              </w:rPr>
            </w:pPr>
            <w:r>
              <w:rPr>
                <w:rFonts w:hint="eastAsia"/>
                <w:szCs w:val="20"/>
              </w:rPr>
              <w:t>签约金额</w:t>
            </w:r>
          </w:p>
        </w:tc>
        <w:tc>
          <w:tcPr>
            <w:tcW w:w="6804" w:type="dxa"/>
          </w:tcPr>
          <w:p w14:paraId="22D8A78F" w14:textId="77777777" w:rsidR="00A052DC" w:rsidRDefault="009F0A60">
            <w:pPr>
              <w:pStyle w:val="B"/>
              <w:rPr>
                <w:szCs w:val="20"/>
              </w:rPr>
            </w:pPr>
            <w:r>
              <w:rPr>
                <w:rFonts w:hint="eastAsia"/>
                <w:szCs w:val="20"/>
              </w:rPr>
              <w:t>外债合同约定的签约金额。</w:t>
            </w:r>
          </w:p>
        </w:tc>
      </w:tr>
      <w:tr w:rsidR="00A052DC" w14:paraId="79C7ACF9" w14:textId="77777777">
        <w:trPr>
          <w:cantSplit/>
        </w:trPr>
        <w:tc>
          <w:tcPr>
            <w:tcW w:w="1668" w:type="dxa"/>
          </w:tcPr>
          <w:p w14:paraId="73FC9328" w14:textId="77777777" w:rsidR="00A052DC" w:rsidRDefault="009F0A60">
            <w:pPr>
              <w:pStyle w:val="B"/>
              <w:rPr>
                <w:szCs w:val="20"/>
              </w:rPr>
            </w:pPr>
            <w:r>
              <w:rPr>
                <w:rFonts w:hint="eastAsia"/>
                <w:szCs w:val="20"/>
              </w:rPr>
              <w:t>到期日</w:t>
            </w:r>
          </w:p>
        </w:tc>
        <w:tc>
          <w:tcPr>
            <w:tcW w:w="6804" w:type="dxa"/>
            <w:vAlign w:val="center"/>
          </w:tcPr>
          <w:p w14:paraId="3BA666EF" w14:textId="77777777" w:rsidR="00A052DC" w:rsidRDefault="009F0A60">
            <w:pPr>
              <w:pStyle w:val="B"/>
              <w:rPr>
                <w:szCs w:val="20"/>
              </w:rPr>
            </w:pPr>
            <w:r>
              <w:rPr>
                <w:rFonts w:hint="eastAsia"/>
                <w:szCs w:val="20"/>
              </w:rPr>
              <w:t>外债的到期日期。</w:t>
            </w:r>
          </w:p>
        </w:tc>
      </w:tr>
      <w:tr w:rsidR="00A052DC" w14:paraId="68FB871A" w14:textId="77777777">
        <w:trPr>
          <w:cantSplit/>
        </w:trPr>
        <w:tc>
          <w:tcPr>
            <w:tcW w:w="1668" w:type="dxa"/>
          </w:tcPr>
          <w:p w14:paraId="7C43B79A" w14:textId="77777777" w:rsidR="00A052DC" w:rsidRDefault="009F0A60">
            <w:pPr>
              <w:pStyle w:val="B"/>
              <w:rPr>
                <w:szCs w:val="20"/>
              </w:rPr>
            </w:pPr>
            <w:r>
              <w:rPr>
                <w:rFonts w:hint="eastAsia"/>
                <w:szCs w:val="20"/>
              </w:rPr>
              <w:t>是否浮动利率</w:t>
            </w:r>
          </w:p>
        </w:tc>
        <w:tc>
          <w:tcPr>
            <w:tcW w:w="6804" w:type="dxa"/>
          </w:tcPr>
          <w:p w14:paraId="4CE7858E" w14:textId="77777777" w:rsidR="00A052DC" w:rsidRDefault="009F0A60">
            <w:pPr>
              <w:pStyle w:val="B"/>
              <w:rPr>
                <w:szCs w:val="20"/>
              </w:rPr>
            </w:pPr>
            <w:r>
              <w:rPr>
                <w:rFonts w:hint="eastAsia"/>
                <w:szCs w:val="20"/>
              </w:rPr>
              <w:t>标识债务利率条件为浮动利率或固定利率，系统默认为否，若为浮动利率，选择是。</w:t>
            </w:r>
          </w:p>
        </w:tc>
      </w:tr>
      <w:tr w:rsidR="00A052DC" w14:paraId="4E9917B1" w14:textId="77777777">
        <w:trPr>
          <w:cantSplit/>
        </w:trPr>
        <w:tc>
          <w:tcPr>
            <w:tcW w:w="1668" w:type="dxa"/>
          </w:tcPr>
          <w:p w14:paraId="147AED94" w14:textId="77777777" w:rsidR="00A052DC" w:rsidRDefault="009F0A60">
            <w:pPr>
              <w:pStyle w:val="B"/>
              <w:rPr>
                <w:szCs w:val="20"/>
              </w:rPr>
            </w:pPr>
            <w:r>
              <w:rPr>
                <w:rFonts w:hint="eastAsia"/>
                <w:szCs w:val="20"/>
              </w:rPr>
              <w:t>年化利率值</w:t>
            </w:r>
          </w:p>
        </w:tc>
        <w:tc>
          <w:tcPr>
            <w:tcW w:w="6804" w:type="dxa"/>
          </w:tcPr>
          <w:p w14:paraId="4AF90747" w14:textId="77777777" w:rsidR="00A052DC" w:rsidRDefault="009F0A60">
            <w:pPr>
              <w:pStyle w:val="B"/>
              <w:rPr>
                <w:szCs w:val="20"/>
              </w:rPr>
            </w:pPr>
            <w:r>
              <w:rPr>
                <w:rFonts w:hint="eastAsia"/>
                <w:szCs w:val="20"/>
              </w:rPr>
              <w:t>外债的年化利率。若为浮动利率，应该按照该笔外债签约日期当天的浮动利率条件计算年化利率值。</w:t>
            </w:r>
          </w:p>
        </w:tc>
      </w:tr>
      <w:tr w:rsidR="00A052DC" w14:paraId="2746A220" w14:textId="77777777">
        <w:trPr>
          <w:cantSplit/>
        </w:trPr>
        <w:tc>
          <w:tcPr>
            <w:tcW w:w="1668" w:type="dxa"/>
          </w:tcPr>
          <w:p w14:paraId="622EC687" w14:textId="77777777" w:rsidR="00A052DC" w:rsidRDefault="009F0A60">
            <w:pPr>
              <w:pStyle w:val="B"/>
              <w:rPr>
                <w:szCs w:val="20"/>
              </w:rPr>
            </w:pPr>
            <w:r>
              <w:rPr>
                <w:rFonts w:hint="eastAsia"/>
                <w:szCs w:val="20"/>
              </w:rPr>
              <w:t>债权人代码</w:t>
            </w:r>
          </w:p>
        </w:tc>
        <w:tc>
          <w:tcPr>
            <w:tcW w:w="6804" w:type="dxa"/>
            <w:vAlign w:val="center"/>
          </w:tcPr>
          <w:p w14:paraId="37831218" w14:textId="77777777" w:rsidR="00A052DC" w:rsidRDefault="009F0A60">
            <w:pPr>
              <w:pStyle w:val="B"/>
              <w:rPr>
                <w:szCs w:val="20"/>
              </w:rPr>
            </w:pPr>
            <w:r>
              <w:rPr>
                <w:rFonts w:hint="eastAsia"/>
                <w:szCs w:val="20"/>
              </w:rPr>
              <w:t>如果债权人为银行，应填写</w:t>
            </w:r>
            <w:r>
              <w:rPr>
                <w:szCs w:val="20"/>
              </w:rPr>
              <w:t>8</w:t>
            </w:r>
            <w:r>
              <w:rPr>
                <w:rFonts w:hint="eastAsia"/>
                <w:szCs w:val="20"/>
              </w:rPr>
              <w:t>位或</w:t>
            </w:r>
            <w:r>
              <w:rPr>
                <w:szCs w:val="20"/>
              </w:rPr>
              <w:t>11</w:t>
            </w:r>
            <w:r>
              <w:rPr>
                <w:rFonts w:hint="eastAsia"/>
                <w:szCs w:val="20"/>
              </w:rPr>
              <w:t>位的</w:t>
            </w:r>
            <w:r>
              <w:rPr>
                <w:szCs w:val="20"/>
              </w:rPr>
              <w:t>SWIFT CODE</w:t>
            </w:r>
            <w:r>
              <w:rPr>
                <w:rFonts w:hint="eastAsia"/>
                <w:szCs w:val="20"/>
              </w:rPr>
              <w:t>；如果债权人类型为“政府”、或“中央银行”时，或者当债务类型为“货币市场工具”或“债券和票据”或“非居民个人存款”时，应在外汇局编制的部分债权人代码表中选择债权人代码；否则为空。</w:t>
            </w:r>
          </w:p>
          <w:p w14:paraId="3A59EF85" w14:textId="77777777" w:rsidR="00A052DC" w:rsidRDefault="009F0A60">
            <w:pPr>
              <w:pStyle w:val="B1"/>
              <w:jc w:val="left"/>
              <w:rPr>
                <w:b w:val="0"/>
              </w:rPr>
            </w:pPr>
            <w:r>
              <w:rPr>
                <w:rFonts w:hint="eastAsia"/>
                <w:b w:val="0"/>
              </w:rPr>
              <w:t>如果债权人为“非银行金融机构”或“国际金融组织”，应优先填写</w:t>
            </w:r>
            <w:r>
              <w:rPr>
                <w:b w:val="0"/>
              </w:rPr>
              <w:t>SWIFT CODE</w:t>
            </w:r>
            <w:r>
              <w:rPr>
                <w:rFonts w:hint="eastAsia"/>
                <w:b w:val="0"/>
              </w:rPr>
              <w:t>。</w:t>
            </w:r>
          </w:p>
        </w:tc>
      </w:tr>
      <w:tr w:rsidR="00A052DC" w14:paraId="3876A63D" w14:textId="77777777">
        <w:trPr>
          <w:cantSplit/>
        </w:trPr>
        <w:tc>
          <w:tcPr>
            <w:tcW w:w="1668" w:type="dxa"/>
          </w:tcPr>
          <w:p w14:paraId="5BC6732D" w14:textId="77777777" w:rsidR="00A052DC" w:rsidRDefault="009F0A60">
            <w:pPr>
              <w:pStyle w:val="B"/>
              <w:rPr>
                <w:szCs w:val="20"/>
              </w:rPr>
            </w:pPr>
            <w:r>
              <w:rPr>
                <w:rFonts w:hint="eastAsia"/>
                <w:szCs w:val="20"/>
              </w:rPr>
              <w:t>债权人中文名称</w:t>
            </w:r>
          </w:p>
        </w:tc>
        <w:tc>
          <w:tcPr>
            <w:tcW w:w="6804" w:type="dxa"/>
            <w:vAlign w:val="center"/>
          </w:tcPr>
          <w:p w14:paraId="673D5F1C" w14:textId="77777777" w:rsidR="00A052DC" w:rsidRDefault="009F0A60">
            <w:pPr>
              <w:pStyle w:val="B"/>
              <w:rPr>
                <w:szCs w:val="20"/>
              </w:rPr>
            </w:pPr>
            <w:r>
              <w:rPr>
                <w:rFonts w:hint="eastAsia"/>
                <w:szCs w:val="20"/>
              </w:rPr>
              <w:t>债权人中文名称。</w:t>
            </w:r>
          </w:p>
        </w:tc>
      </w:tr>
      <w:tr w:rsidR="00A052DC" w14:paraId="121A7D85" w14:textId="77777777">
        <w:trPr>
          <w:cantSplit/>
        </w:trPr>
        <w:tc>
          <w:tcPr>
            <w:tcW w:w="1668" w:type="dxa"/>
          </w:tcPr>
          <w:p w14:paraId="3AD44FAC" w14:textId="77777777" w:rsidR="00A052DC" w:rsidRDefault="009F0A60">
            <w:pPr>
              <w:pStyle w:val="B"/>
              <w:rPr>
                <w:szCs w:val="20"/>
              </w:rPr>
            </w:pPr>
            <w:r>
              <w:rPr>
                <w:rFonts w:hint="eastAsia"/>
                <w:szCs w:val="20"/>
              </w:rPr>
              <w:t>债权人英文名称</w:t>
            </w:r>
          </w:p>
        </w:tc>
        <w:tc>
          <w:tcPr>
            <w:tcW w:w="6804" w:type="dxa"/>
            <w:vAlign w:val="center"/>
          </w:tcPr>
          <w:p w14:paraId="7E014755" w14:textId="77777777" w:rsidR="00A052DC" w:rsidRDefault="009F0A60">
            <w:pPr>
              <w:pStyle w:val="B"/>
              <w:rPr>
                <w:szCs w:val="20"/>
              </w:rPr>
            </w:pPr>
            <w:r>
              <w:rPr>
                <w:rFonts w:hint="eastAsia"/>
                <w:szCs w:val="20"/>
              </w:rPr>
              <w:t>债权人英文名称（中英文名称至少填写一个）。</w:t>
            </w:r>
          </w:p>
        </w:tc>
      </w:tr>
      <w:tr w:rsidR="00A052DC" w14:paraId="1BD5F334" w14:textId="77777777">
        <w:trPr>
          <w:cantSplit/>
        </w:trPr>
        <w:tc>
          <w:tcPr>
            <w:tcW w:w="1668" w:type="dxa"/>
          </w:tcPr>
          <w:p w14:paraId="1D4E11B0" w14:textId="77777777" w:rsidR="00A052DC" w:rsidRDefault="009F0A60">
            <w:pPr>
              <w:pStyle w:val="B"/>
              <w:rPr>
                <w:szCs w:val="20"/>
              </w:rPr>
            </w:pPr>
            <w:r>
              <w:rPr>
                <w:rFonts w:hint="eastAsia"/>
                <w:szCs w:val="20"/>
              </w:rPr>
              <w:t>债权人类型代码</w:t>
            </w:r>
          </w:p>
        </w:tc>
        <w:tc>
          <w:tcPr>
            <w:tcW w:w="6804" w:type="dxa"/>
          </w:tcPr>
          <w:p w14:paraId="57095385" w14:textId="77777777" w:rsidR="00A052DC" w:rsidRDefault="009F0A60">
            <w:pPr>
              <w:pStyle w:val="B"/>
              <w:rPr>
                <w:szCs w:val="20"/>
              </w:rPr>
            </w:pPr>
            <w:r>
              <w:rPr>
                <w:rFonts w:hint="eastAsia"/>
                <w:szCs w:val="20"/>
              </w:rPr>
              <w:t>债权人的类型代码，见境外主体类型代码表。</w:t>
            </w:r>
          </w:p>
        </w:tc>
      </w:tr>
      <w:tr w:rsidR="00A052DC" w14:paraId="34431268" w14:textId="77777777">
        <w:trPr>
          <w:cantSplit/>
        </w:trPr>
        <w:tc>
          <w:tcPr>
            <w:tcW w:w="1668" w:type="dxa"/>
          </w:tcPr>
          <w:p w14:paraId="79DFDC37" w14:textId="77777777" w:rsidR="00A052DC" w:rsidRDefault="009F0A60">
            <w:pPr>
              <w:pStyle w:val="B"/>
              <w:rPr>
                <w:szCs w:val="20"/>
              </w:rPr>
            </w:pPr>
            <w:r>
              <w:rPr>
                <w:rFonts w:hint="eastAsia"/>
                <w:szCs w:val="20"/>
              </w:rPr>
              <w:t>债权人总部所在国家（地区）代码</w:t>
            </w:r>
          </w:p>
        </w:tc>
        <w:tc>
          <w:tcPr>
            <w:tcW w:w="6804" w:type="dxa"/>
            <w:vAlign w:val="center"/>
          </w:tcPr>
          <w:p w14:paraId="1C103161" w14:textId="77777777" w:rsidR="00A052DC" w:rsidRDefault="009F0A60">
            <w:pPr>
              <w:pStyle w:val="B"/>
              <w:rPr>
                <w:szCs w:val="20"/>
              </w:rPr>
            </w:pPr>
            <w:r>
              <w:rPr>
                <w:rFonts w:hint="eastAsia"/>
                <w:szCs w:val="20"/>
              </w:rPr>
              <w:t>债权人总部所在地代码，见国家和地区代码表。</w:t>
            </w:r>
          </w:p>
        </w:tc>
      </w:tr>
      <w:tr w:rsidR="00A052DC" w14:paraId="4F7CBBB2" w14:textId="77777777">
        <w:trPr>
          <w:cantSplit/>
        </w:trPr>
        <w:tc>
          <w:tcPr>
            <w:tcW w:w="1668" w:type="dxa"/>
          </w:tcPr>
          <w:p w14:paraId="0C25F427" w14:textId="77777777" w:rsidR="00A052DC" w:rsidRDefault="009F0A60">
            <w:pPr>
              <w:pStyle w:val="B"/>
              <w:rPr>
                <w:szCs w:val="20"/>
              </w:rPr>
            </w:pPr>
            <w:r>
              <w:rPr>
                <w:rFonts w:hint="eastAsia"/>
                <w:szCs w:val="20"/>
              </w:rPr>
              <w:t>债权人经营地所在国家（地区）代码</w:t>
            </w:r>
          </w:p>
        </w:tc>
        <w:tc>
          <w:tcPr>
            <w:tcW w:w="6804" w:type="dxa"/>
            <w:vAlign w:val="center"/>
          </w:tcPr>
          <w:p w14:paraId="271443E0" w14:textId="77777777" w:rsidR="00A052DC" w:rsidRDefault="009F0A60">
            <w:pPr>
              <w:pStyle w:val="B"/>
              <w:rPr>
                <w:szCs w:val="20"/>
              </w:rPr>
            </w:pPr>
            <w:r>
              <w:rPr>
                <w:rFonts w:hint="eastAsia"/>
                <w:szCs w:val="20"/>
              </w:rPr>
              <w:t>债权人经营所在地代码，见国家和地区代码表。</w:t>
            </w:r>
          </w:p>
        </w:tc>
      </w:tr>
      <w:tr w:rsidR="00A052DC" w14:paraId="63BDBD2F" w14:textId="77777777">
        <w:trPr>
          <w:cantSplit/>
        </w:trPr>
        <w:tc>
          <w:tcPr>
            <w:tcW w:w="1668" w:type="dxa"/>
          </w:tcPr>
          <w:p w14:paraId="7F3974E6" w14:textId="77777777" w:rsidR="00A052DC" w:rsidRDefault="009F0A60">
            <w:pPr>
              <w:pStyle w:val="B"/>
              <w:rPr>
                <w:szCs w:val="20"/>
              </w:rPr>
            </w:pPr>
            <w:r>
              <w:rPr>
                <w:rFonts w:hint="eastAsia"/>
                <w:szCs w:val="20"/>
              </w:rPr>
              <w:t>是否有利息本金化条款</w:t>
            </w:r>
          </w:p>
        </w:tc>
        <w:tc>
          <w:tcPr>
            <w:tcW w:w="6804" w:type="dxa"/>
          </w:tcPr>
          <w:p w14:paraId="5A46A892" w14:textId="77777777" w:rsidR="00A052DC" w:rsidRDefault="009F0A60">
            <w:pPr>
              <w:pStyle w:val="B"/>
              <w:rPr>
                <w:szCs w:val="20"/>
              </w:rPr>
            </w:pPr>
            <w:r>
              <w:rPr>
                <w:rFonts w:hint="eastAsia"/>
                <w:szCs w:val="20"/>
              </w:rPr>
              <w:t>标识债务合同中是否包含利息本金化条款，默认为“否”。</w:t>
            </w:r>
          </w:p>
        </w:tc>
      </w:tr>
      <w:tr w:rsidR="00A052DC" w14:paraId="39ED0296" w14:textId="77777777">
        <w:trPr>
          <w:cantSplit/>
        </w:trPr>
        <w:tc>
          <w:tcPr>
            <w:tcW w:w="1668" w:type="dxa"/>
          </w:tcPr>
          <w:p w14:paraId="010F8D3E" w14:textId="77777777" w:rsidR="00A052DC" w:rsidRDefault="009F0A60">
            <w:pPr>
              <w:pStyle w:val="B"/>
              <w:rPr>
                <w:szCs w:val="20"/>
              </w:rPr>
            </w:pPr>
            <w:r>
              <w:rPr>
                <w:rFonts w:hint="eastAsia"/>
                <w:szCs w:val="20"/>
              </w:rPr>
              <w:t>是否不纳入跨境融资风险加权余额计算</w:t>
            </w:r>
          </w:p>
        </w:tc>
        <w:tc>
          <w:tcPr>
            <w:tcW w:w="6804" w:type="dxa"/>
          </w:tcPr>
          <w:p w14:paraId="4CAA3CD8" w14:textId="77777777" w:rsidR="00A052DC" w:rsidRDefault="009F0A60">
            <w:pPr>
              <w:pStyle w:val="B"/>
              <w:rPr>
                <w:szCs w:val="20"/>
              </w:rPr>
            </w:pPr>
            <w:r>
              <w:rPr>
                <w:rFonts w:hint="eastAsia"/>
                <w:szCs w:val="20"/>
              </w:rPr>
              <w:t>标识该笔债务是否不纳入跨境融资风险加权余额计算，默认为“否”。</w:t>
            </w:r>
          </w:p>
        </w:tc>
      </w:tr>
      <w:tr w:rsidR="00A052DC" w14:paraId="00831DC1" w14:textId="77777777">
        <w:trPr>
          <w:cantSplit/>
        </w:trPr>
        <w:tc>
          <w:tcPr>
            <w:tcW w:w="1668" w:type="dxa"/>
          </w:tcPr>
          <w:p w14:paraId="54890ACF" w14:textId="77777777" w:rsidR="00A052DC" w:rsidRDefault="009F0A60">
            <w:pPr>
              <w:pStyle w:val="B"/>
              <w:rPr>
                <w:szCs w:val="20"/>
              </w:rPr>
            </w:pPr>
            <w:r>
              <w:rPr>
                <w:rFonts w:hint="eastAsia"/>
                <w:szCs w:val="20"/>
              </w:rPr>
              <w:t>项目名称</w:t>
            </w:r>
          </w:p>
        </w:tc>
        <w:tc>
          <w:tcPr>
            <w:tcW w:w="6804" w:type="dxa"/>
          </w:tcPr>
          <w:p w14:paraId="28708AA1" w14:textId="77777777" w:rsidR="00A052DC" w:rsidRDefault="009F0A60">
            <w:pPr>
              <w:pStyle w:val="B"/>
              <w:rPr>
                <w:szCs w:val="20"/>
              </w:rPr>
            </w:pPr>
            <w:r>
              <w:rPr>
                <w:rFonts w:hint="eastAsia"/>
                <w:szCs w:val="20"/>
              </w:rPr>
              <w:t>该笔外债对应的项目名称。当债务类型为双边贷款和买方信贷时，项目名称为必填。</w:t>
            </w:r>
          </w:p>
        </w:tc>
      </w:tr>
      <w:tr w:rsidR="00A052DC" w14:paraId="4EC4688F" w14:textId="77777777">
        <w:trPr>
          <w:cantSplit/>
        </w:trPr>
        <w:tc>
          <w:tcPr>
            <w:tcW w:w="1668" w:type="dxa"/>
          </w:tcPr>
          <w:p w14:paraId="411931BB" w14:textId="77777777" w:rsidR="00A052DC" w:rsidRDefault="009F0A60">
            <w:pPr>
              <w:pStyle w:val="B"/>
              <w:rPr>
                <w:szCs w:val="20"/>
              </w:rPr>
            </w:pPr>
            <w:r>
              <w:rPr>
                <w:rFonts w:hint="eastAsia"/>
                <w:szCs w:val="20"/>
              </w:rPr>
              <w:t>对方与本机构的关系</w:t>
            </w:r>
          </w:p>
        </w:tc>
        <w:tc>
          <w:tcPr>
            <w:tcW w:w="6804" w:type="dxa"/>
          </w:tcPr>
          <w:p w14:paraId="7E95AABF" w14:textId="77777777" w:rsidR="00A052DC" w:rsidRDefault="009F0A60">
            <w:pPr>
              <w:pStyle w:val="B"/>
              <w:rPr>
                <w:szCs w:val="20"/>
              </w:rPr>
            </w:pPr>
            <w:r>
              <w:rPr>
                <w:rFonts w:hint="eastAsia"/>
                <w:szCs w:val="20"/>
              </w:rPr>
              <w:t>债权人与本机构的关系，见对方与本机构</w:t>
            </w:r>
            <w:r>
              <w:rPr>
                <w:szCs w:val="20"/>
              </w:rPr>
              <w:t>/</w:t>
            </w:r>
            <w:r>
              <w:rPr>
                <w:rFonts w:hint="eastAsia"/>
                <w:szCs w:val="20"/>
              </w:rPr>
              <w:t>被代理居民机构</w:t>
            </w:r>
            <w:r>
              <w:rPr>
                <w:szCs w:val="20"/>
              </w:rPr>
              <w:t>/</w:t>
            </w:r>
            <w:r>
              <w:rPr>
                <w:rFonts w:hint="eastAsia"/>
                <w:szCs w:val="20"/>
              </w:rPr>
              <w:t>委托人的关系代码表。</w:t>
            </w:r>
          </w:p>
        </w:tc>
      </w:tr>
      <w:tr w:rsidR="00A052DC" w14:paraId="026F3E69" w14:textId="77777777">
        <w:trPr>
          <w:cantSplit/>
        </w:trPr>
        <w:tc>
          <w:tcPr>
            <w:tcW w:w="1668" w:type="dxa"/>
          </w:tcPr>
          <w:p w14:paraId="5FEC0380" w14:textId="77777777" w:rsidR="00A052DC" w:rsidRDefault="009F0A60">
            <w:pPr>
              <w:pStyle w:val="B"/>
              <w:rPr>
                <w:szCs w:val="20"/>
              </w:rPr>
            </w:pPr>
            <w:r>
              <w:rPr>
                <w:rFonts w:hint="eastAsia"/>
                <w:szCs w:val="20"/>
              </w:rPr>
              <w:t>备注</w:t>
            </w:r>
          </w:p>
        </w:tc>
        <w:tc>
          <w:tcPr>
            <w:tcW w:w="6804" w:type="dxa"/>
          </w:tcPr>
          <w:p w14:paraId="7C4F1F43" w14:textId="77777777" w:rsidR="00A052DC" w:rsidRDefault="009F0A60">
            <w:pPr>
              <w:pStyle w:val="B"/>
              <w:rPr>
                <w:szCs w:val="20"/>
              </w:rPr>
            </w:pPr>
            <w:r>
              <w:rPr>
                <w:rFonts w:hint="eastAsia"/>
                <w:szCs w:val="20"/>
              </w:rPr>
              <w:t>需要说明的备注事项。</w:t>
            </w:r>
          </w:p>
        </w:tc>
      </w:tr>
    </w:tbl>
    <w:p w14:paraId="00B9F95F" w14:textId="77777777" w:rsidR="00A052DC" w:rsidRDefault="009F0A60">
      <w:pPr>
        <w:pStyle w:val="5"/>
        <w:numPr>
          <w:ilvl w:val="4"/>
          <w:numId w:val="1"/>
        </w:numPr>
        <w:spacing w:before="120" w:after="120" w:line="360" w:lineRule="auto"/>
        <w:jc w:val="left"/>
      </w:pPr>
      <w:bookmarkStart w:id="1495" w:name="_Toc454386867"/>
      <w:bookmarkStart w:id="1496" w:name="_Toc454386868"/>
      <w:bookmarkEnd w:id="1495"/>
      <w:r>
        <w:rPr>
          <w:rFonts w:hint="eastAsia"/>
        </w:rPr>
        <w:t>数据格式</w:t>
      </w:r>
      <w:bookmarkEnd w:id="1496"/>
    </w:p>
    <w:p w14:paraId="79A05FF7" w14:textId="77777777" w:rsidR="00A052DC" w:rsidRDefault="009F0A60">
      <w:pPr>
        <w:ind w:firstLine="480"/>
      </w:pPr>
      <w:r>
        <w:t>&lt;REC&gt;</w:t>
      </w:r>
    </w:p>
    <w:p w14:paraId="188E8F3F" w14:textId="77777777" w:rsidR="00A052DC" w:rsidRDefault="009F0A60">
      <w:pPr>
        <w:ind w:firstLine="480"/>
      </w:pPr>
      <w:r>
        <w:t>&lt;ACTIONTYPE&gt;</w:t>
      </w:r>
      <w:r>
        <w:rPr>
          <w:rFonts w:hint="eastAsia"/>
        </w:rPr>
        <w:t>操作类型</w:t>
      </w:r>
      <w:r>
        <w:t>&lt;/ACTIONTYPE&gt;</w:t>
      </w:r>
    </w:p>
    <w:p w14:paraId="301A28BF" w14:textId="77777777" w:rsidR="00A052DC" w:rsidRDefault="009F0A60">
      <w:pPr>
        <w:ind w:firstLine="480"/>
      </w:pPr>
      <w:r>
        <w:t>&lt;ACTIONDESC&gt;</w:t>
      </w:r>
      <w:r>
        <w:rPr>
          <w:rFonts w:hint="eastAsia"/>
        </w:rPr>
        <w:t>删除原因</w:t>
      </w:r>
      <w:r>
        <w:t>&lt;/ACTIONDESC&gt;</w:t>
      </w:r>
    </w:p>
    <w:p w14:paraId="7699FE73" w14:textId="77777777" w:rsidR="00A052DC" w:rsidRDefault="009F0A60">
      <w:pPr>
        <w:ind w:firstLine="480"/>
      </w:pPr>
      <w:r>
        <w:t>&lt;EXDEBTCODE&gt;</w:t>
      </w:r>
      <w:r>
        <w:rPr>
          <w:rFonts w:hint="eastAsia"/>
        </w:rPr>
        <w:t>外债编号</w:t>
      </w:r>
      <w:r>
        <w:t>&lt;/EXDEBTCODE&gt;</w:t>
      </w:r>
    </w:p>
    <w:p w14:paraId="0CC38488" w14:textId="77777777" w:rsidR="00A052DC" w:rsidRDefault="009F0A60">
      <w:pPr>
        <w:ind w:firstLine="480"/>
      </w:pPr>
      <w:r>
        <w:t>&lt;DEBTORCODE&gt;</w:t>
      </w:r>
      <w:r>
        <w:rPr>
          <w:rFonts w:hint="eastAsia"/>
        </w:rPr>
        <w:t>债务人代码</w:t>
      </w:r>
      <w:r>
        <w:t>&lt;/DEBTORCODE&gt;</w:t>
      </w:r>
    </w:p>
    <w:p w14:paraId="43C00789" w14:textId="77777777" w:rsidR="00A052DC" w:rsidRDefault="009F0A60">
      <w:pPr>
        <w:ind w:firstLine="480"/>
      </w:pPr>
      <w:r>
        <w:t>&lt;DEBTYPE&gt;</w:t>
      </w:r>
      <w:r>
        <w:rPr>
          <w:rFonts w:hint="eastAsia"/>
        </w:rPr>
        <w:t>债务类型</w:t>
      </w:r>
      <w:r>
        <w:t>&lt;/DEBTYPE&gt;</w:t>
      </w:r>
    </w:p>
    <w:p w14:paraId="38EDDA1A" w14:textId="77777777" w:rsidR="00A052DC" w:rsidRDefault="009F0A60">
      <w:pPr>
        <w:ind w:firstLine="480"/>
      </w:pPr>
      <w:r>
        <w:t>&lt;CONTRACTDATE&gt;</w:t>
      </w:r>
      <w:r>
        <w:rPr>
          <w:rFonts w:hint="eastAsia"/>
        </w:rPr>
        <w:t>签约日期</w:t>
      </w:r>
      <w:r>
        <w:t>&lt;/CONTRACTDATE&gt;</w:t>
      </w:r>
    </w:p>
    <w:p w14:paraId="17D4EE4A" w14:textId="77777777" w:rsidR="00A052DC" w:rsidRDefault="009F0A60">
      <w:pPr>
        <w:ind w:firstLine="480"/>
      </w:pPr>
      <w:r>
        <w:t>&lt;VALUEDATE&gt;</w:t>
      </w:r>
      <w:r>
        <w:rPr>
          <w:rFonts w:hint="eastAsia"/>
        </w:rPr>
        <w:t>起息日</w:t>
      </w:r>
      <w:r>
        <w:t>&lt;/VALUEDATE&gt;</w:t>
      </w:r>
    </w:p>
    <w:p w14:paraId="5EC6545D" w14:textId="77777777" w:rsidR="00A052DC" w:rsidRDefault="009F0A60">
      <w:pPr>
        <w:ind w:firstLine="480"/>
      </w:pPr>
      <w:r>
        <w:t>&lt;CONTRACTCURR&gt;</w:t>
      </w:r>
      <w:r>
        <w:rPr>
          <w:rFonts w:hint="eastAsia"/>
        </w:rPr>
        <w:t>签约币种</w:t>
      </w:r>
      <w:r>
        <w:t>&lt;/CONTRACTCURR&gt;</w:t>
      </w:r>
    </w:p>
    <w:p w14:paraId="799F588F" w14:textId="77777777" w:rsidR="00A052DC" w:rsidRDefault="009F0A60">
      <w:pPr>
        <w:ind w:firstLine="480"/>
      </w:pPr>
      <w:r>
        <w:t>&lt;CONTRACTAMOUNT&gt;</w:t>
      </w:r>
      <w:r>
        <w:rPr>
          <w:rFonts w:hint="eastAsia"/>
        </w:rPr>
        <w:t>签约金额</w:t>
      </w:r>
      <w:r>
        <w:t>&lt;/CONTRACTAMOUNT&gt;</w:t>
      </w:r>
    </w:p>
    <w:p w14:paraId="711571EA" w14:textId="77777777" w:rsidR="00A052DC" w:rsidRDefault="009F0A60">
      <w:pPr>
        <w:ind w:firstLine="480"/>
      </w:pPr>
      <w:r>
        <w:t>&lt;MATURITY&gt;</w:t>
      </w:r>
      <w:r>
        <w:rPr>
          <w:rFonts w:hint="eastAsia"/>
        </w:rPr>
        <w:t>到期日</w:t>
      </w:r>
      <w:r>
        <w:t>&lt;/MATURITY&gt;</w:t>
      </w:r>
    </w:p>
    <w:p w14:paraId="5EC00389" w14:textId="77777777" w:rsidR="00A052DC" w:rsidRDefault="009F0A60">
      <w:pPr>
        <w:ind w:firstLine="480"/>
      </w:pPr>
      <w:r>
        <w:t>&lt;FLOATRATE&gt;</w:t>
      </w:r>
      <w:r>
        <w:rPr>
          <w:rFonts w:hint="eastAsia"/>
        </w:rPr>
        <w:t>是否浮动利率</w:t>
      </w:r>
      <w:r>
        <w:t>&lt;/FLOATRATE&gt;</w:t>
      </w:r>
    </w:p>
    <w:p w14:paraId="07547D68" w14:textId="77777777" w:rsidR="00A052DC" w:rsidRDefault="009F0A60">
      <w:pPr>
        <w:ind w:firstLine="480"/>
      </w:pPr>
      <w:r>
        <w:t>&lt;ANNINRATE&gt;</w:t>
      </w:r>
      <w:r>
        <w:rPr>
          <w:rFonts w:hint="eastAsia"/>
        </w:rPr>
        <w:t>年化利率值</w:t>
      </w:r>
      <w:r>
        <w:t>&lt;/ANNINRATE&gt;</w:t>
      </w:r>
    </w:p>
    <w:p w14:paraId="4F5BC211" w14:textId="77777777" w:rsidR="00A052DC" w:rsidRDefault="009F0A60">
      <w:pPr>
        <w:ind w:firstLineChars="231" w:firstLine="485"/>
      </w:pPr>
      <w:r>
        <w:t>&lt;CREDITORCODE&gt;</w:t>
      </w:r>
      <w:r>
        <w:rPr>
          <w:rFonts w:hint="eastAsia"/>
        </w:rPr>
        <w:t>债权人代码</w:t>
      </w:r>
      <w:r>
        <w:t>&lt;/CREDITORCODE&gt;</w:t>
      </w:r>
    </w:p>
    <w:p w14:paraId="0E30E45D" w14:textId="77777777" w:rsidR="00A052DC" w:rsidRDefault="009F0A60">
      <w:pPr>
        <w:ind w:firstLineChars="231" w:firstLine="485"/>
      </w:pPr>
      <w:r>
        <w:t>&lt;CREDITORNAME&gt;</w:t>
      </w:r>
      <w:r>
        <w:rPr>
          <w:rFonts w:hint="eastAsia"/>
        </w:rPr>
        <w:t>债权人中文名称</w:t>
      </w:r>
      <w:r>
        <w:t>&lt;/CREDITORNAME&gt;</w:t>
      </w:r>
    </w:p>
    <w:p w14:paraId="04B583A1" w14:textId="77777777" w:rsidR="00A052DC" w:rsidRDefault="009F0A60">
      <w:pPr>
        <w:ind w:firstLineChars="231" w:firstLine="485"/>
      </w:pPr>
      <w:r>
        <w:t>&lt;CREDITORNAMEN&gt;</w:t>
      </w:r>
      <w:r>
        <w:rPr>
          <w:rFonts w:hint="eastAsia"/>
        </w:rPr>
        <w:t>债权人英文名称</w:t>
      </w:r>
      <w:r>
        <w:t>&lt;/CREDITORNAMEN&gt;</w:t>
      </w:r>
    </w:p>
    <w:p w14:paraId="428761AC" w14:textId="77777777" w:rsidR="00A052DC" w:rsidRDefault="009F0A60">
      <w:pPr>
        <w:ind w:firstLineChars="231" w:firstLine="485"/>
      </w:pPr>
      <w:r>
        <w:t>&lt;CREDITORTYPE&gt;</w:t>
      </w:r>
      <w:r>
        <w:rPr>
          <w:rFonts w:hint="eastAsia"/>
        </w:rPr>
        <w:t>债权人类型代码</w:t>
      </w:r>
      <w:r>
        <w:t>&lt;/CREDITORTYPE&gt;</w:t>
      </w:r>
    </w:p>
    <w:p w14:paraId="5EBAE770" w14:textId="77777777" w:rsidR="00A052DC" w:rsidRDefault="009F0A60">
      <w:pPr>
        <w:ind w:firstLineChars="231" w:firstLine="485"/>
      </w:pPr>
      <w:r>
        <w:t>&lt;CREHQCODE&gt;</w:t>
      </w:r>
      <w:r>
        <w:rPr>
          <w:rFonts w:hint="eastAsia"/>
        </w:rPr>
        <w:t>债权人总部所在国家（地区）代码</w:t>
      </w:r>
      <w:r>
        <w:t>&lt;/CREHQCODE&gt;</w:t>
      </w:r>
    </w:p>
    <w:p w14:paraId="434D995E" w14:textId="77777777" w:rsidR="00A052DC" w:rsidRDefault="009F0A60">
      <w:pPr>
        <w:ind w:firstLineChars="231" w:firstLine="485"/>
      </w:pPr>
      <w:r>
        <w:t>&lt;OPERCODE&gt;</w:t>
      </w:r>
      <w:r>
        <w:rPr>
          <w:rFonts w:hint="eastAsia"/>
        </w:rPr>
        <w:t>债权人经营地所在国家（地区）代码</w:t>
      </w:r>
      <w:r>
        <w:t>&lt;/OPERCODE&gt;</w:t>
      </w:r>
    </w:p>
    <w:p w14:paraId="13017149" w14:textId="77777777" w:rsidR="00A052DC" w:rsidRDefault="009F0A60">
      <w:pPr>
        <w:ind w:firstLine="480"/>
      </w:pPr>
      <w:r>
        <w:t>&lt;INPRTERM&gt;</w:t>
      </w:r>
      <w:r>
        <w:rPr>
          <w:rFonts w:hint="eastAsia"/>
        </w:rPr>
        <w:t>是否有利息本金化条款</w:t>
      </w:r>
      <w:r>
        <w:t>&lt;/INPRTERM&gt;</w:t>
      </w:r>
    </w:p>
    <w:p w14:paraId="3963B198" w14:textId="77777777" w:rsidR="00A052DC" w:rsidRDefault="009F0A60">
      <w:pPr>
        <w:ind w:firstLine="480"/>
      </w:pPr>
      <w:r>
        <w:t>&lt;SPAPFEBOINDEX&gt;</w:t>
      </w:r>
      <w:r>
        <w:rPr>
          <w:rFonts w:hint="eastAsia"/>
        </w:rPr>
        <w:t>是否不纳入跨境融资风险加权余额计算</w:t>
      </w:r>
      <w:r>
        <w:t>&lt;/SPAPFEBOINDEX&gt;</w:t>
      </w:r>
    </w:p>
    <w:p w14:paraId="40A0F746" w14:textId="77777777" w:rsidR="00A052DC" w:rsidRDefault="009F0A60">
      <w:pPr>
        <w:ind w:firstLineChars="250" w:firstLine="525"/>
      </w:pPr>
      <w:r>
        <w:t>&lt;PROJECTS&gt;</w:t>
      </w:r>
    </w:p>
    <w:p w14:paraId="7A3B1736" w14:textId="77777777" w:rsidR="00A052DC" w:rsidRDefault="009F0A60">
      <w:pPr>
        <w:ind w:firstLineChars="250" w:firstLine="525"/>
      </w:pPr>
      <w:r>
        <w:t>&lt;PROJECTNAME&gt;</w:t>
      </w:r>
      <w:r>
        <w:rPr>
          <w:rFonts w:hint="eastAsia"/>
        </w:rPr>
        <w:t>项目名称</w:t>
      </w:r>
      <w:r>
        <w:t>&lt;/PROJECTNAME&gt;</w:t>
      </w:r>
    </w:p>
    <w:p w14:paraId="47F66A34" w14:textId="77777777" w:rsidR="00A052DC" w:rsidRDefault="009F0A60">
      <w:pPr>
        <w:ind w:firstLineChars="250" w:firstLine="525"/>
      </w:pPr>
      <w:r>
        <w:t>……</w:t>
      </w:r>
    </w:p>
    <w:p w14:paraId="535522D5" w14:textId="77777777" w:rsidR="00A052DC" w:rsidRDefault="009F0A60">
      <w:pPr>
        <w:ind w:firstLineChars="250" w:firstLine="525"/>
      </w:pPr>
      <w:r>
        <w:t>&lt;/PROJECTS&gt;</w:t>
      </w:r>
    </w:p>
    <w:p w14:paraId="04262C56" w14:textId="77777777" w:rsidR="00A052DC" w:rsidRDefault="009F0A60">
      <w:pPr>
        <w:ind w:firstLineChars="250" w:firstLine="525"/>
      </w:pPr>
      <w:r>
        <w:t>&lt;RELATION&gt;</w:t>
      </w:r>
      <w:r>
        <w:rPr>
          <w:rFonts w:hint="eastAsia"/>
        </w:rPr>
        <w:t>对方与本机构的关系</w:t>
      </w:r>
      <w:r>
        <w:t>&lt;/RELATION&gt;</w:t>
      </w:r>
    </w:p>
    <w:p w14:paraId="477F8262" w14:textId="77777777" w:rsidR="00A052DC" w:rsidRDefault="009F0A60">
      <w:pPr>
        <w:ind w:firstLine="480"/>
      </w:pPr>
      <w:r>
        <w:t>&lt;REMARK&gt;</w:t>
      </w:r>
      <w:r>
        <w:rPr>
          <w:rFonts w:hint="eastAsia"/>
        </w:rPr>
        <w:t>备注</w:t>
      </w:r>
      <w:r>
        <w:t>&lt;/REMARK&gt;</w:t>
      </w:r>
    </w:p>
    <w:p w14:paraId="01B9CAB6" w14:textId="77777777" w:rsidR="00A052DC" w:rsidRDefault="009F0A60">
      <w:pPr>
        <w:ind w:firstLine="480"/>
      </w:pPr>
      <w:r>
        <w:t>&lt;/REC&gt;</w:t>
      </w:r>
    </w:p>
    <w:p w14:paraId="4FA26B2D" w14:textId="77777777" w:rsidR="00A052DC" w:rsidRDefault="009F0A60" w:rsidP="0020251D">
      <w:pPr>
        <w:pStyle w:val="5"/>
        <w:numPr>
          <w:ilvl w:val="4"/>
          <w:numId w:val="1"/>
        </w:numPr>
        <w:spacing w:before="120" w:after="120" w:line="360" w:lineRule="auto"/>
        <w:jc w:val="left"/>
      </w:pPr>
      <w:bookmarkStart w:id="1497" w:name="_Toc454386869"/>
      <w:r>
        <w:rPr>
          <w:rFonts w:hint="eastAsia"/>
        </w:rPr>
        <w:t>数据字典</w:t>
      </w:r>
      <w:bookmarkEnd w:id="1497"/>
    </w:p>
    <w:tbl>
      <w:tblPr>
        <w:tblW w:w="86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559"/>
        <w:gridCol w:w="1417"/>
        <w:gridCol w:w="3969"/>
      </w:tblGrid>
      <w:tr w:rsidR="00A052DC" w14:paraId="72D8EB82" w14:textId="77777777">
        <w:trPr>
          <w:tblHeader/>
        </w:trPr>
        <w:tc>
          <w:tcPr>
            <w:tcW w:w="1702" w:type="dxa"/>
            <w:shd w:val="clear" w:color="auto" w:fill="C0C0C0"/>
          </w:tcPr>
          <w:p w14:paraId="24F68CFF" w14:textId="77777777" w:rsidR="00A052DC" w:rsidRDefault="009F0A60">
            <w:pPr>
              <w:pStyle w:val="B1"/>
            </w:pPr>
            <w:r>
              <w:rPr>
                <w:rFonts w:hint="eastAsia"/>
              </w:rPr>
              <w:t>字段</w:t>
            </w:r>
          </w:p>
        </w:tc>
        <w:tc>
          <w:tcPr>
            <w:tcW w:w="1559" w:type="dxa"/>
            <w:shd w:val="clear" w:color="auto" w:fill="C0C0C0"/>
          </w:tcPr>
          <w:p w14:paraId="218BCF7B" w14:textId="77777777" w:rsidR="00A052DC" w:rsidRDefault="009F0A60">
            <w:pPr>
              <w:pStyle w:val="B1"/>
            </w:pPr>
            <w:r>
              <w:rPr>
                <w:rFonts w:hint="eastAsia"/>
              </w:rPr>
              <w:t>内容</w:t>
            </w:r>
          </w:p>
        </w:tc>
        <w:tc>
          <w:tcPr>
            <w:tcW w:w="1417" w:type="dxa"/>
            <w:shd w:val="clear" w:color="auto" w:fill="C0C0C0"/>
          </w:tcPr>
          <w:p w14:paraId="0BA3680B" w14:textId="77777777" w:rsidR="00A052DC" w:rsidRDefault="009F0A60">
            <w:pPr>
              <w:pStyle w:val="B1"/>
            </w:pPr>
            <w:r>
              <w:rPr>
                <w:rFonts w:hint="eastAsia"/>
              </w:rPr>
              <w:t>类型（长度）</w:t>
            </w:r>
          </w:p>
        </w:tc>
        <w:tc>
          <w:tcPr>
            <w:tcW w:w="3969" w:type="dxa"/>
            <w:shd w:val="clear" w:color="auto" w:fill="C0C0C0"/>
          </w:tcPr>
          <w:p w14:paraId="16DB36FB" w14:textId="77777777" w:rsidR="00A052DC" w:rsidRDefault="009F0A60">
            <w:pPr>
              <w:pStyle w:val="B1"/>
            </w:pPr>
            <w:r>
              <w:rPr>
                <w:rFonts w:hint="eastAsia"/>
              </w:rPr>
              <w:t>校验</w:t>
            </w:r>
          </w:p>
        </w:tc>
      </w:tr>
      <w:tr w:rsidR="00A052DC" w14:paraId="1F7F2F0B" w14:textId="77777777">
        <w:tc>
          <w:tcPr>
            <w:tcW w:w="1702" w:type="dxa"/>
          </w:tcPr>
          <w:p w14:paraId="06CFE080" w14:textId="77777777" w:rsidR="00A052DC" w:rsidRDefault="009F0A60">
            <w:pPr>
              <w:pStyle w:val="B"/>
              <w:rPr>
                <w:szCs w:val="20"/>
              </w:rPr>
            </w:pPr>
            <w:r>
              <w:rPr>
                <w:szCs w:val="20"/>
              </w:rPr>
              <w:t>ACTIONTYPE</w:t>
            </w:r>
          </w:p>
        </w:tc>
        <w:tc>
          <w:tcPr>
            <w:tcW w:w="1559" w:type="dxa"/>
          </w:tcPr>
          <w:p w14:paraId="6FE45528" w14:textId="77777777" w:rsidR="00A052DC" w:rsidRDefault="009F0A60">
            <w:pPr>
              <w:pStyle w:val="B"/>
              <w:rPr>
                <w:szCs w:val="20"/>
              </w:rPr>
            </w:pPr>
            <w:r>
              <w:rPr>
                <w:rFonts w:hint="eastAsia"/>
                <w:szCs w:val="20"/>
              </w:rPr>
              <w:t>操作类型</w:t>
            </w:r>
          </w:p>
        </w:tc>
        <w:tc>
          <w:tcPr>
            <w:tcW w:w="1417" w:type="dxa"/>
          </w:tcPr>
          <w:p w14:paraId="25A3C463" w14:textId="77777777" w:rsidR="00A052DC" w:rsidRDefault="009F0A60">
            <w:pPr>
              <w:pStyle w:val="B1"/>
              <w:jc w:val="both"/>
              <w:rPr>
                <w:b w:val="0"/>
              </w:rPr>
            </w:pPr>
            <w:r>
              <w:rPr>
                <w:rFonts w:hint="eastAsia"/>
                <w:b w:val="0"/>
              </w:rPr>
              <w:t>字符型，</w:t>
            </w:r>
            <w:r>
              <w:rPr>
                <w:b w:val="0"/>
              </w:rPr>
              <w:t>1</w:t>
            </w:r>
          </w:p>
        </w:tc>
        <w:tc>
          <w:tcPr>
            <w:tcW w:w="3969" w:type="dxa"/>
          </w:tcPr>
          <w:p w14:paraId="16B1D053" w14:textId="77777777" w:rsidR="00A052DC" w:rsidRDefault="009F0A60">
            <w:pPr>
              <w:pStyle w:val="B"/>
              <w:rPr>
                <w:szCs w:val="20"/>
              </w:rPr>
            </w:pPr>
            <w:r>
              <w:rPr>
                <w:rFonts w:hint="eastAsia"/>
                <w:szCs w:val="20"/>
              </w:rPr>
              <w:t>必填项</w:t>
            </w:r>
            <w:r w:rsidR="000E18F5">
              <w:rPr>
                <w:rFonts w:hint="eastAsia"/>
                <w:szCs w:val="20"/>
              </w:rPr>
              <w:t>。</w:t>
            </w:r>
          </w:p>
          <w:p w14:paraId="3E91C922" w14:textId="77777777" w:rsidR="00A052DC" w:rsidRDefault="009F0A60">
            <w:pPr>
              <w:pStyle w:val="B"/>
              <w:rPr>
                <w:szCs w:val="20"/>
              </w:rPr>
            </w:pPr>
            <w:r>
              <w:rPr>
                <w:szCs w:val="20"/>
              </w:rPr>
              <w:t>A</w:t>
            </w:r>
            <w:r w:rsidR="00AE4602">
              <w:rPr>
                <w:rFonts w:hint="eastAsia"/>
                <w:szCs w:val="20"/>
              </w:rPr>
              <w:t>-</w:t>
            </w:r>
            <w:r>
              <w:rPr>
                <w:rFonts w:hint="eastAsia"/>
                <w:szCs w:val="20"/>
              </w:rPr>
              <w:t>新建</w:t>
            </w:r>
          </w:p>
          <w:p w14:paraId="79DDF40A" w14:textId="77777777" w:rsidR="00A052DC" w:rsidRDefault="009F0A60">
            <w:pPr>
              <w:pStyle w:val="B"/>
              <w:rPr>
                <w:szCs w:val="20"/>
              </w:rPr>
            </w:pPr>
            <w:r>
              <w:rPr>
                <w:szCs w:val="20"/>
              </w:rPr>
              <w:t>C</w:t>
            </w:r>
            <w:r w:rsidR="00AE4602">
              <w:rPr>
                <w:rFonts w:hint="eastAsia"/>
                <w:szCs w:val="20"/>
              </w:rPr>
              <w:t>-</w:t>
            </w:r>
            <w:r>
              <w:rPr>
                <w:rFonts w:hint="eastAsia"/>
                <w:szCs w:val="20"/>
              </w:rPr>
              <w:t>修改</w:t>
            </w:r>
          </w:p>
          <w:p w14:paraId="52E829E7" w14:textId="77777777" w:rsidR="000E18F5" w:rsidRDefault="009F0A60">
            <w:pPr>
              <w:pStyle w:val="B"/>
              <w:rPr>
                <w:szCs w:val="20"/>
              </w:rPr>
            </w:pPr>
            <w:r>
              <w:rPr>
                <w:szCs w:val="20"/>
              </w:rPr>
              <w:t>D</w:t>
            </w:r>
            <w:r w:rsidR="00AE4602">
              <w:rPr>
                <w:rFonts w:hint="eastAsia"/>
                <w:szCs w:val="20"/>
              </w:rPr>
              <w:t>-</w:t>
            </w:r>
            <w:r>
              <w:rPr>
                <w:rFonts w:hint="eastAsia"/>
                <w:szCs w:val="20"/>
              </w:rPr>
              <w:t>删除</w:t>
            </w:r>
          </w:p>
          <w:p w14:paraId="2F9C6FF1" w14:textId="77777777" w:rsidR="00A052DC" w:rsidRDefault="009F0A60">
            <w:pPr>
              <w:pStyle w:val="B"/>
              <w:rPr>
                <w:szCs w:val="20"/>
              </w:rPr>
            </w:pPr>
            <w:r>
              <w:rPr>
                <w:rFonts w:hint="eastAsia"/>
                <w:szCs w:val="20"/>
              </w:rPr>
              <w:t>一旦银行报送了该外债编号下的变动信息或月末存量信息，就不可以删除了。</w:t>
            </w:r>
          </w:p>
        </w:tc>
      </w:tr>
      <w:tr w:rsidR="00A052DC" w14:paraId="3AFFDEBC" w14:textId="77777777">
        <w:tc>
          <w:tcPr>
            <w:tcW w:w="1702" w:type="dxa"/>
          </w:tcPr>
          <w:p w14:paraId="6D3C7F34" w14:textId="77777777" w:rsidR="00A052DC" w:rsidRDefault="009F0A60">
            <w:pPr>
              <w:pStyle w:val="B"/>
              <w:rPr>
                <w:szCs w:val="20"/>
              </w:rPr>
            </w:pPr>
            <w:r>
              <w:rPr>
                <w:szCs w:val="20"/>
              </w:rPr>
              <w:t>ACTIONDESC</w:t>
            </w:r>
          </w:p>
        </w:tc>
        <w:tc>
          <w:tcPr>
            <w:tcW w:w="1559" w:type="dxa"/>
          </w:tcPr>
          <w:p w14:paraId="44E8CF4C" w14:textId="77777777" w:rsidR="00A052DC" w:rsidRDefault="009F0A60">
            <w:pPr>
              <w:pStyle w:val="B"/>
              <w:rPr>
                <w:szCs w:val="20"/>
              </w:rPr>
            </w:pPr>
            <w:r>
              <w:rPr>
                <w:rFonts w:hint="eastAsia"/>
                <w:szCs w:val="20"/>
              </w:rPr>
              <w:t>删除原因</w:t>
            </w:r>
          </w:p>
        </w:tc>
        <w:tc>
          <w:tcPr>
            <w:tcW w:w="1417" w:type="dxa"/>
          </w:tcPr>
          <w:p w14:paraId="3265758B" w14:textId="77777777" w:rsidR="00A052DC" w:rsidRDefault="009F0A60">
            <w:pPr>
              <w:pStyle w:val="B1"/>
              <w:jc w:val="both"/>
              <w:rPr>
                <w:b w:val="0"/>
              </w:rPr>
            </w:pPr>
            <w:r>
              <w:rPr>
                <w:rFonts w:hint="eastAsia"/>
                <w:b w:val="0"/>
              </w:rPr>
              <w:t>字符型，</w:t>
            </w:r>
            <w:r>
              <w:rPr>
                <w:b w:val="0"/>
              </w:rPr>
              <w:t>128</w:t>
            </w:r>
          </w:p>
        </w:tc>
        <w:tc>
          <w:tcPr>
            <w:tcW w:w="3969" w:type="dxa"/>
          </w:tcPr>
          <w:p w14:paraId="795B34A7" w14:textId="77777777" w:rsidR="00A052DC" w:rsidRDefault="00DD6AA3" w:rsidP="000E18F5">
            <w:pPr>
              <w:pStyle w:val="B"/>
              <w:rPr>
                <w:szCs w:val="20"/>
              </w:rPr>
            </w:pPr>
            <w:r>
              <w:rPr>
                <w:rFonts w:hint="eastAsia"/>
                <w:szCs w:val="20"/>
              </w:rPr>
              <w:t>非必填项，当操作类型（ACTIONTYPE）为删除时必填。</w:t>
            </w:r>
          </w:p>
        </w:tc>
      </w:tr>
      <w:tr w:rsidR="00A052DC" w14:paraId="6540A9FA" w14:textId="77777777">
        <w:tc>
          <w:tcPr>
            <w:tcW w:w="1702" w:type="dxa"/>
          </w:tcPr>
          <w:p w14:paraId="051093B7" w14:textId="77777777" w:rsidR="00A052DC" w:rsidRDefault="009F0A60">
            <w:pPr>
              <w:pStyle w:val="B"/>
              <w:rPr>
                <w:szCs w:val="20"/>
              </w:rPr>
            </w:pPr>
            <w:r>
              <w:rPr>
                <w:szCs w:val="20"/>
              </w:rPr>
              <w:t>EXDEBTCODE</w:t>
            </w:r>
          </w:p>
        </w:tc>
        <w:tc>
          <w:tcPr>
            <w:tcW w:w="1559" w:type="dxa"/>
          </w:tcPr>
          <w:p w14:paraId="67FF768B" w14:textId="77777777" w:rsidR="00A052DC" w:rsidRDefault="009F0A60">
            <w:pPr>
              <w:pStyle w:val="B"/>
              <w:rPr>
                <w:szCs w:val="20"/>
              </w:rPr>
            </w:pPr>
            <w:r>
              <w:rPr>
                <w:rFonts w:hint="eastAsia"/>
                <w:szCs w:val="20"/>
              </w:rPr>
              <w:t>外债编号</w:t>
            </w:r>
          </w:p>
        </w:tc>
        <w:tc>
          <w:tcPr>
            <w:tcW w:w="1417" w:type="dxa"/>
          </w:tcPr>
          <w:p w14:paraId="4E73B2FF" w14:textId="77777777" w:rsidR="00A052DC" w:rsidRDefault="009F0A60">
            <w:pPr>
              <w:pStyle w:val="B"/>
              <w:rPr>
                <w:szCs w:val="20"/>
              </w:rPr>
            </w:pPr>
            <w:r>
              <w:rPr>
                <w:rFonts w:hint="eastAsia"/>
                <w:szCs w:val="20"/>
              </w:rPr>
              <w:t>字符型，</w:t>
            </w:r>
            <w:r>
              <w:rPr>
                <w:szCs w:val="20"/>
              </w:rPr>
              <w:t>28</w:t>
            </w:r>
          </w:p>
        </w:tc>
        <w:tc>
          <w:tcPr>
            <w:tcW w:w="3969" w:type="dxa"/>
          </w:tcPr>
          <w:p w14:paraId="47A6CE2F" w14:textId="77777777" w:rsidR="00A052DC" w:rsidRDefault="009F0A60" w:rsidP="000E18F5">
            <w:pPr>
              <w:pStyle w:val="B"/>
              <w:rPr>
                <w:szCs w:val="20"/>
              </w:rPr>
            </w:pPr>
            <w:r>
              <w:rPr>
                <w:rFonts w:hint="eastAsia"/>
                <w:szCs w:val="20"/>
              </w:rPr>
              <w:t>必填项，外债唯一性编码。</w:t>
            </w:r>
          </w:p>
        </w:tc>
      </w:tr>
      <w:tr w:rsidR="00A052DC" w14:paraId="1C9830D3" w14:textId="77777777">
        <w:tc>
          <w:tcPr>
            <w:tcW w:w="1702" w:type="dxa"/>
          </w:tcPr>
          <w:p w14:paraId="7CC5D1E7" w14:textId="77777777" w:rsidR="00A052DC" w:rsidRDefault="009F0A60">
            <w:pPr>
              <w:pStyle w:val="B"/>
              <w:rPr>
                <w:szCs w:val="20"/>
              </w:rPr>
            </w:pPr>
            <w:r>
              <w:rPr>
                <w:szCs w:val="20"/>
              </w:rPr>
              <w:t>DEBTORCODE</w:t>
            </w:r>
          </w:p>
        </w:tc>
        <w:tc>
          <w:tcPr>
            <w:tcW w:w="1559" w:type="dxa"/>
          </w:tcPr>
          <w:p w14:paraId="4C12954F" w14:textId="77777777" w:rsidR="00A052DC" w:rsidRDefault="009F0A60">
            <w:pPr>
              <w:pStyle w:val="B"/>
              <w:rPr>
                <w:szCs w:val="20"/>
              </w:rPr>
            </w:pPr>
            <w:r>
              <w:rPr>
                <w:rFonts w:hint="eastAsia"/>
                <w:szCs w:val="20"/>
              </w:rPr>
              <w:t>债务人代码</w:t>
            </w:r>
          </w:p>
        </w:tc>
        <w:tc>
          <w:tcPr>
            <w:tcW w:w="1417" w:type="dxa"/>
          </w:tcPr>
          <w:p w14:paraId="7FF6E46B" w14:textId="77777777" w:rsidR="00A052DC" w:rsidRDefault="009F0A60">
            <w:pPr>
              <w:pStyle w:val="B"/>
              <w:rPr>
                <w:szCs w:val="20"/>
              </w:rPr>
            </w:pPr>
            <w:r>
              <w:rPr>
                <w:rFonts w:hint="eastAsia"/>
                <w:szCs w:val="20"/>
              </w:rPr>
              <w:t>字符型，</w:t>
            </w:r>
            <w:r>
              <w:rPr>
                <w:szCs w:val="20"/>
              </w:rPr>
              <w:t>12</w:t>
            </w:r>
          </w:p>
        </w:tc>
        <w:tc>
          <w:tcPr>
            <w:tcW w:w="3969" w:type="dxa"/>
          </w:tcPr>
          <w:p w14:paraId="3DA5CC37" w14:textId="77777777" w:rsidR="00A052DC" w:rsidRDefault="009F0A60" w:rsidP="000E18F5">
            <w:pPr>
              <w:pStyle w:val="B"/>
              <w:rPr>
                <w:szCs w:val="20"/>
              </w:rPr>
            </w:pPr>
            <w:r>
              <w:rPr>
                <w:rFonts w:hint="eastAsia"/>
                <w:szCs w:val="20"/>
              </w:rPr>
              <w:t>必填项，金融机构标识码。</w:t>
            </w:r>
          </w:p>
        </w:tc>
      </w:tr>
      <w:tr w:rsidR="00A052DC" w14:paraId="5713B229" w14:textId="77777777">
        <w:tc>
          <w:tcPr>
            <w:tcW w:w="1702" w:type="dxa"/>
          </w:tcPr>
          <w:p w14:paraId="1595D623" w14:textId="77777777" w:rsidR="00A052DC" w:rsidRDefault="009F0A60">
            <w:pPr>
              <w:pStyle w:val="B"/>
              <w:rPr>
                <w:szCs w:val="20"/>
              </w:rPr>
            </w:pPr>
            <w:r>
              <w:rPr>
                <w:szCs w:val="20"/>
              </w:rPr>
              <w:t>DEBTYPE</w:t>
            </w:r>
          </w:p>
        </w:tc>
        <w:tc>
          <w:tcPr>
            <w:tcW w:w="1559" w:type="dxa"/>
          </w:tcPr>
          <w:p w14:paraId="3044BB22" w14:textId="77777777" w:rsidR="00A052DC" w:rsidRDefault="009F0A60">
            <w:pPr>
              <w:pStyle w:val="B"/>
              <w:rPr>
                <w:szCs w:val="20"/>
              </w:rPr>
            </w:pPr>
            <w:r>
              <w:rPr>
                <w:rFonts w:hint="eastAsia"/>
                <w:szCs w:val="20"/>
              </w:rPr>
              <w:t>债务类型</w:t>
            </w:r>
          </w:p>
        </w:tc>
        <w:tc>
          <w:tcPr>
            <w:tcW w:w="1417" w:type="dxa"/>
          </w:tcPr>
          <w:p w14:paraId="57CBC697" w14:textId="77777777" w:rsidR="00A052DC" w:rsidRDefault="009F0A60">
            <w:pPr>
              <w:pStyle w:val="B"/>
              <w:rPr>
                <w:szCs w:val="20"/>
              </w:rPr>
            </w:pPr>
            <w:r>
              <w:rPr>
                <w:rFonts w:hint="eastAsia"/>
                <w:szCs w:val="20"/>
              </w:rPr>
              <w:t>字符型</w:t>
            </w:r>
            <w:r>
              <w:rPr>
                <w:rFonts w:cs="宋体" w:hint="eastAsia"/>
                <w:szCs w:val="20"/>
              </w:rPr>
              <w:t>，</w:t>
            </w:r>
            <w:r>
              <w:rPr>
                <w:rFonts w:cs="宋体"/>
                <w:szCs w:val="20"/>
              </w:rPr>
              <w:t>4</w:t>
            </w:r>
          </w:p>
        </w:tc>
        <w:tc>
          <w:tcPr>
            <w:tcW w:w="3969" w:type="dxa"/>
          </w:tcPr>
          <w:p w14:paraId="3F8E7462" w14:textId="77777777" w:rsidR="00A052DC" w:rsidRDefault="009F0A60">
            <w:pPr>
              <w:pStyle w:val="B"/>
              <w:rPr>
                <w:szCs w:val="20"/>
              </w:rPr>
            </w:pPr>
            <w:r>
              <w:rPr>
                <w:rFonts w:cs="宋体" w:hint="eastAsia"/>
                <w:szCs w:val="20"/>
              </w:rPr>
              <w:t>必填项，</w:t>
            </w:r>
            <w:r>
              <w:rPr>
                <w:rFonts w:hint="eastAsia"/>
                <w:szCs w:val="20"/>
              </w:rPr>
              <w:t>见债务类型代码表。</w:t>
            </w:r>
          </w:p>
        </w:tc>
      </w:tr>
      <w:tr w:rsidR="00A052DC" w14:paraId="52EDD9AB" w14:textId="77777777">
        <w:tc>
          <w:tcPr>
            <w:tcW w:w="1702" w:type="dxa"/>
            <w:tcBorders>
              <w:top w:val="single" w:sz="4" w:space="0" w:color="auto"/>
              <w:left w:val="single" w:sz="4" w:space="0" w:color="auto"/>
              <w:bottom w:val="single" w:sz="4" w:space="0" w:color="auto"/>
              <w:right w:val="single" w:sz="4" w:space="0" w:color="auto"/>
            </w:tcBorders>
          </w:tcPr>
          <w:p w14:paraId="29A6B194" w14:textId="77777777" w:rsidR="00A052DC" w:rsidRDefault="009F0A60">
            <w:pPr>
              <w:pStyle w:val="B"/>
              <w:rPr>
                <w:szCs w:val="20"/>
              </w:rPr>
            </w:pPr>
            <w:r>
              <w:rPr>
                <w:szCs w:val="20"/>
              </w:rPr>
              <w:t>CONTRACTDATE</w:t>
            </w:r>
          </w:p>
        </w:tc>
        <w:tc>
          <w:tcPr>
            <w:tcW w:w="1559" w:type="dxa"/>
            <w:tcBorders>
              <w:top w:val="single" w:sz="4" w:space="0" w:color="auto"/>
              <w:left w:val="single" w:sz="4" w:space="0" w:color="auto"/>
              <w:bottom w:val="single" w:sz="4" w:space="0" w:color="auto"/>
              <w:right w:val="single" w:sz="4" w:space="0" w:color="auto"/>
            </w:tcBorders>
          </w:tcPr>
          <w:p w14:paraId="7AF736B4" w14:textId="77777777" w:rsidR="00A052DC" w:rsidRDefault="009F0A60">
            <w:pPr>
              <w:pStyle w:val="B"/>
              <w:rPr>
                <w:szCs w:val="20"/>
              </w:rPr>
            </w:pPr>
            <w:r>
              <w:rPr>
                <w:rFonts w:hint="eastAsia"/>
                <w:szCs w:val="20"/>
              </w:rPr>
              <w:t>签约日期</w:t>
            </w:r>
          </w:p>
        </w:tc>
        <w:tc>
          <w:tcPr>
            <w:tcW w:w="1417" w:type="dxa"/>
            <w:tcBorders>
              <w:top w:val="single" w:sz="4" w:space="0" w:color="auto"/>
              <w:left w:val="single" w:sz="4" w:space="0" w:color="auto"/>
              <w:bottom w:val="single" w:sz="4" w:space="0" w:color="auto"/>
              <w:right w:val="single" w:sz="4" w:space="0" w:color="auto"/>
            </w:tcBorders>
          </w:tcPr>
          <w:p w14:paraId="78FAA394" w14:textId="77777777" w:rsidR="00A052DC" w:rsidRDefault="009F0A60">
            <w:pPr>
              <w:pStyle w:val="B"/>
              <w:rPr>
                <w:szCs w:val="20"/>
              </w:rPr>
            </w:pPr>
            <w:r>
              <w:rPr>
                <w:rFonts w:hint="eastAsia"/>
                <w:szCs w:val="20"/>
              </w:rPr>
              <w:t>日期型，</w:t>
            </w:r>
            <w:r>
              <w:rPr>
                <w:szCs w:val="20"/>
              </w:rPr>
              <w:t>8</w:t>
            </w:r>
          </w:p>
        </w:tc>
        <w:tc>
          <w:tcPr>
            <w:tcW w:w="3969" w:type="dxa"/>
            <w:tcBorders>
              <w:top w:val="single" w:sz="4" w:space="0" w:color="auto"/>
              <w:left w:val="single" w:sz="4" w:space="0" w:color="auto"/>
              <w:bottom w:val="single" w:sz="4" w:space="0" w:color="auto"/>
              <w:right w:val="single" w:sz="4" w:space="0" w:color="auto"/>
            </w:tcBorders>
          </w:tcPr>
          <w:p w14:paraId="42625F46" w14:textId="77777777" w:rsidR="00A052DC" w:rsidRDefault="009F0A60" w:rsidP="000E18F5">
            <w:pPr>
              <w:pStyle w:val="B"/>
              <w:rPr>
                <w:szCs w:val="20"/>
              </w:rPr>
            </w:pPr>
            <w:r>
              <w:rPr>
                <w:rFonts w:hint="eastAsia"/>
                <w:szCs w:val="20"/>
              </w:rPr>
              <w:t>必填项，格式</w:t>
            </w:r>
            <w:r>
              <w:rPr>
                <w:szCs w:val="20"/>
              </w:rPr>
              <w:t>YYYYMMDD</w:t>
            </w:r>
            <w:r>
              <w:rPr>
                <w:rFonts w:hint="eastAsia"/>
                <w:szCs w:val="20"/>
              </w:rPr>
              <w:t>，小于等于当前日期。</w:t>
            </w:r>
          </w:p>
        </w:tc>
      </w:tr>
      <w:tr w:rsidR="00A052DC" w14:paraId="6C8D9BA1" w14:textId="77777777">
        <w:trPr>
          <w:cantSplit/>
          <w:trHeight w:val="64"/>
        </w:trPr>
        <w:tc>
          <w:tcPr>
            <w:tcW w:w="1702" w:type="dxa"/>
          </w:tcPr>
          <w:p w14:paraId="09C45BC7" w14:textId="77777777" w:rsidR="00A052DC" w:rsidRDefault="009F0A60">
            <w:pPr>
              <w:pStyle w:val="B"/>
              <w:rPr>
                <w:szCs w:val="20"/>
              </w:rPr>
            </w:pPr>
            <w:r>
              <w:rPr>
                <w:szCs w:val="20"/>
              </w:rPr>
              <w:t>VALUEDATE</w:t>
            </w:r>
          </w:p>
        </w:tc>
        <w:tc>
          <w:tcPr>
            <w:tcW w:w="1559" w:type="dxa"/>
          </w:tcPr>
          <w:p w14:paraId="4D018EED" w14:textId="77777777" w:rsidR="00A052DC" w:rsidRDefault="009F0A60">
            <w:pPr>
              <w:pStyle w:val="B"/>
              <w:rPr>
                <w:szCs w:val="20"/>
              </w:rPr>
            </w:pPr>
            <w:r>
              <w:rPr>
                <w:rFonts w:hint="eastAsia"/>
                <w:szCs w:val="20"/>
              </w:rPr>
              <w:t>起息日</w:t>
            </w:r>
          </w:p>
        </w:tc>
        <w:tc>
          <w:tcPr>
            <w:tcW w:w="1417" w:type="dxa"/>
          </w:tcPr>
          <w:p w14:paraId="4FD4E553" w14:textId="77777777" w:rsidR="00A052DC" w:rsidRDefault="009F0A60">
            <w:pPr>
              <w:pStyle w:val="B"/>
              <w:rPr>
                <w:szCs w:val="20"/>
              </w:rPr>
            </w:pPr>
            <w:r>
              <w:rPr>
                <w:rFonts w:hint="eastAsia"/>
                <w:szCs w:val="20"/>
              </w:rPr>
              <w:t>日期型，</w:t>
            </w:r>
            <w:r>
              <w:rPr>
                <w:szCs w:val="20"/>
              </w:rPr>
              <w:t>8</w:t>
            </w:r>
          </w:p>
        </w:tc>
        <w:tc>
          <w:tcPr>
            <w:tcW w:w="3969" w:type="dxa"/>
          </w:tcPr>
          <w:p w14:paraId="356E8914" w14:textId="77777777" w:rsidR="00A052DC" w:rsidRDefault="009F0A60" w:rsidP="000E18F5">
            <w:pPr>
              <w:pStyle w:val="B"/>
              <w:rPr>
                <w:szCs w:val="20"/>
              </w:rPr>
            </w:pPr>
            <w:r>
              <w:rPr>
                <w:rFonts w:hint="eastAsia"/>
                <w:szCs w:val="20"/>
              </w:rPr>
              <w:t>必填项，格式</w:t>
            </w:r>
            <w:r>
              <w:rPr>
                <w:szCs w:val="20"/>
              </w:rPr>
              <w:t>YYYYMMDD</w:t>
            </w:r>
            <w:r>
              <w:rPr>
                <w:rFonts w:hint="eastAsia"/>
                <w:szCs w:val="20"/>
              </w:rPr>
              <w:t>，大于等于签约日期。</w:t>
            </w:r>
          </w:p>
        </w:tc>
      </w:tr>
      <w:tr w:rsidR="00A052DC" w14:paraId="5C0AD84A" w14:textId="77777777">
        <w:trPr>
          <w:cantSplit/>
          <w:trHeight w:val="64"/>
        </w:trPr>
        <w:tc>
          <w:tcPr>
            <w:tcW w:w="1702" w:type="dxa"/>
          </w:tcPr>
          <w:p w14:paraId="0F9867C0" w14:textId="77777777" w:rsidR="00A052DC" w:rsidRDefault="009F0A60">
            <w:pPr>
              <w:pStyle w:val="B"/>
              <w:rPr>
                <w:szCs w:val="20"/>
              </w:rPr>
            </w:pPr>
            <w:r>
              <w:rPr>
                <w:szCs w:val="20"/>
              </w:rPr>
              <w:t>CONTRACTCURR</w:t>
            </w:r>
          </w:p>
        </w:tc>
        <w:tc>
          <w:tcPr>
            <w:tcW w:w="1559" w:type="dxa"/>
          </w:tcPr>
          <w:p w14:paraId="64D0F8C1" w14:textId="77777777" w:rsidR="00A052DC" w:rsidRDefault="009F0A60">
            <w:pPr>
              <w:pStyle w:val="B"/>
              <w:rPr>
                <w:szCs w:val="20"/>
              </w:rPr>
            </w:pPr>
            <w:r>
              <w:rPr>
                <w:rFonts w:hint="eastAsia"/>
                <w:szCs w:val="20"/>
              </w:rPr>
              <w:t>签约币种</w:t>
            </w:r>
          </w:p>
        </w:tc>
        <w:tc>
          <w:tcPr>
            <w:tcW w:w="1417" w:type="dxa"/>
          </w:tcPr>
          <w:p w14:paraId="3FE3F34F" w14:textId="77777777" w:rsidR="00A052DC" w:rsidRDefault="009F0A60">
            <w:pPr>
              <w:pStyle w:val="B"/>
              <w:rPr>
                <w:szCs w:val="20"/>
              </w:rPr>
            </w:pPr>
            <w:r>
              <w:rPr>
                <w:rFonts w:hint="eastAsia"/>
                <w:szCs w:val="20"/>
              </w:rPr>
              <w:t>字符型，</w:t>
            </w:r>
            <w:r>
              <w:rPr>
                <w:szCs w:val="20"/>
              </w:rPr>
              <w:t>3</w:t>
            </w:r>
          </w:p>
        </w:tc>
        <w:tc>
          <w:tcPr>
            <w:tcW w:w="3969" w:type="dxa"/>
          </w:tcPr>
          <w:p w14:paraId="26F9E675" w14:textId="77777777" w:rsidR="00A052DC" w:rsidRDefault="009F0A60" w:rsidP="000E18F5">
            <w:pPr>
              <w:pStyle w:val="B"/>
              <w:rPr>
                <w:szCs w:val="20"/>
              </w:rPr>
            </w:pPr>
            <w:r>
              <w:rPr>
                <w:rFonts w:hint="eastAsia"/>
                <w:szCs w:val="20"/>
              </w:rPr>
              <w:t>必填项，见币种代码表。</w:t>
            </w:r>
          </w:p>
        </w:tc>
      </w:tr>
      <w:tr w:rsidR="00A052DC" w14:paraId="07961161" w14:textId="77777777">
        <w:tc>
          <w:tcPr>
            <w:tcW w:w="1702" w:type="dxa"/>
          </w:tcPr>
          <w:p w14:paraId="27187B28" w14:textId="77777777" w:rsidR="00A052DC" w:rsidRDefault="009F0A60">
            <w:pPr>
              <w:pStyle w:val="B"/>
              <w:rPr>
                <w:szCs w:val="20"/>
              </w:rPr>
            </w:pPr>
            <w:r>
              <w:rPr>
                <w:szCs w:val="20"/>
              </w:rPr>
              <w:t>CONTRACTAMOUNT</w:t>
            </w:r>
          </w:p>
        </w:tc>
        <w:tc>
          <w:tcPr>
            <w:tcW w:w="1559" w:type="dxa"/>
          </w:tcPr>
          <w:p w14:paraId="71397310" w14:textId="77777777" w:rsidR="00A052DC" w:rsidRDefault="009F0A60">
            <w:pPr>
              <w:pStyle w:val="B"/>
              <w:rPr>
                <w:szCs w:val="20"/>
              </w:rPr>
            </w:pPr>
            <w:r>
              <w:rPr>
                <w:rFonts w:hint="eastAsia"/>
                <w:szCs w:val="20"/>
              </w:rPr>
              <w:t>签约金额</w:t>
            </w:r>
          </w:p>
        </w:tc>
        <w:tc>
          <w:tcPr>
            <w:tcW w:w="1417" w:type="dxa"/>
          </w:tcPr>
          <w:p w14:paraId="44001C3B" w14:textId="77777777" w:rsidR="00A052DC" w:rsidRDefault="009F0A60">
            <w:pPr>
              <w:pStyle w:val="B"/>
              <w:rPr>
                <w:szCs w:val="20"/>
              </w:rPr>
            </w:pPr>
            <w:r>
              <w:rPr>
                <w:rFonts w:hint="eastAsia"/>
                <w:szCs w:val="20"/>
              </w:rPr>
              <w:t>数值型，</w:t>
            </w:r>
            <w:r>
              <w:rPr>
                <w:szCs w:val="20"/>
              </w:rPr>
              <w:t>22.2</w:t>
            </w:r>
          </w:p>
        </w:tc>
        <w:tc>
          <w:tcPr>
            <w:tcW w:w="3969" w:type="dxa"/>
          </w:tcPr>
          <w:p w14:paraId="5347E12B" w14:textId="77777777" w:rsidR="00A052DC" w:rsidRDefault="009F0A60">
            <w:pPr>
              <w:pStyle w:val="B"/>
              <w:rPr>
                <w:szCs w:val="20"/>
              </w:rPr>
            </w:pPr>
            <w:r>
              <w:rPr>
                <w:rFonts w:hint="eastAsia"/>
                <w:szCs w:val="20"/>
              </w:rPr>
              <w:t>必填项，大于等于</w:t>
            </w:r>
            <w:r>
              <w:rPr>
                <w:szCs w:val="20"/>
              </w:rPr>
              <w:t>0</w:t>
            </w:r>
            <w:r>
              <w:rPr>
                <w:rFonts w:hint="eastAsia"/>
                <w:szCs w:val="20"/>
              </w:rPr>
              <w:t>。</w:t>
            </w:r>
          </w:p>
        </w:tc>
      </w:tr>
      <w:tr w:rsidR="00A052DC" w14:paraId="6F386BFB" w14:textId="77777777">
        <w:tc>
          <w:tcPr>
            <w:tcW w:w="1702" w:type="dxa"/>
          </w:tcPr>
          <w:p w14:paraId="23257927" w14:textId="77777777" w:rsidR="00A052DC" w:rsidRDefault="009F0A60">
            <w:pPr>
              <w:pStyle w:val="B"/>
              <w:rPr>
                <w:szCs w:val="20"/>
              </w:rPr>
            </w:pPr>
            <w:r>
              <w:rPr>
                <w:szCs w:val="20"/>
              </w:rPr>
              <w:t>Maturity</w:t>
            </w:r>
          </w:p>
        </w:tc>
        <w:tc>
          <w:tcPr>
            <w:tcW w:w="1559" w:type="dxa"/>
          </w:tcPr>
          <w:p w14:paraId="6FA58882" w14:textId="77777777" w:rsidR="00A052DC" w:rsidRDefault="009F0A60">
            <w:pPr>
              <w:pStyle w:val="B"/>
              <w:rPr>
                <w:szCs w:val="20"/>
              </w:rPr>
            </w:pPr>
            <w:r>
              <w:rPr>
                <w:rFonts w:hint="eastAsia"/>
                <w:szCs w:val="20"/>
              </w:rPr>
              <w:t>到期日</w:t>
            </w:r>
          </w:p>
        </w:tc>
        <w:tc>
          <w:tcPr>
            <w:tcW w:w="1417" w:type="dxa"/>
          </w:tcPr>
          <w:p w14:paraId="3C72DE09" w14:textId="77777777" w:rsidR="00A052DC" w:rsidRDefault="009F0A60">
            <w:pPr>
              <w:pStyle w:val="B"/>
              <w:rPr>
                <w:szCs w:val="20"/>
              </w:rPr>
            </w:pPr>
            <w:r>
              <w:rPr>
                <w:rFonts w:hint="eastAsia"/>
                <w:szCs w:val="20"/>
              </w:rPr>
              <w:t>日期型，</w:t>
            </w:r>
            <w:r>
              <w:rPr>
                <w:szCs w:val="20"/>
              </w:rPr>
              <w:t>8</w:t>
            </w:r>
          </w:p>
        </w:tc>
        <w:tc>
          <w:tcPr>
            <w:tcW w:w="3969" w:type="dxa"/>
          </w:tcPr>
          <w:p w14:paraId="1DBCCE06" w14:textId="77777777" w:rsidR="00A052DC" w:rsidRDefault="009F0A60">
            <w:pPr>
              <w:pStyle w:val="B"/>
              <w:rPr>
                <w:szCs w:val="20"/>
              </w:rPr>
            </w:pPr>
            <w:r>
              <w:rPr>
                <w:rFonts w:hint="eastAsia"/>
                <w:szCs w:val="20"/>
              </w:rPr>
              <w:t>必填项，格式</w:t>
            </w:r>
            <w:r>
              <w:rPr>
                <w:szCs w:val="20"/>
              </w:rPr>
              <w:t>YYYYMMDD</w:t>
            </w:r>
            <w:r>
              <w:rPr>
                <w:rFonts w:hint="eastAsia"/>
                <w:szCs w:val="20"/>
              </w:rPr>
              <w:t>，大于等于起息日。</w:t>
            </w:r>
          </w:p>
        </w:tc>
      </w:tr>
      <w:tr w:rsidR="00A052DC" w14:paraId="7A843552" w14:textId="77777777">
        <w:tc>
          <w:tcPr>
            <w:tcW w:w="1702" w:type="dxa"/>
          </w:tcPr>
          <w:p w14:paraId="6293780A" w14:textId="77777777" w:rsidR="00A052DC" w:rsidRDefault="009F0A60">
            <w:pPr>
              <w:pStyle w:val="B"/>
              <w:rPr>
                <w:szCs w:val="20"/>
              </w:rPr>
            </w:pPr>
            <w:r>
              <w:rPr>
                <w:szCs w:val="20"/>
              </w:rPr>
              <w:t>FLOATRATE</w:t>
            </w:r>
          </w:p>
        </w:tc>
        <w:tc>
          <w:tcPr>
            <w:tcW w:w="1559" w:type="dxa"/>
          </w:tcPr>
          <w:p w14:paraId="4E70FB36" w14:textId="77777777" w:rsidR="00A052DC" w:rsidRDefault="009F0A60">
            <w:pPr>
              <w:pStyle w:val="B"/>
              <w:rPr>
                <w:szCs w:val="20"/>
              </w:rPr>
            </w:pPr>
            <w:r>
              <w:rPr>
                <w:rFonts w:hint="eastAsia"/>
                <w:szCs w:val="20"/>
              </w:rPr>
              <w:t>是否浮动利率</w:t>
            </w:r>
          </w:p>
        </w:tc>
        <w:tc>
          <w:tcPr>
            <w:tcW w:w="1417" w:type="dxa"/>
          </w:tcPr>
          <w:p w14:paraId="5F622FD1" w14:textId="77777777" w:rsidR="00A052DC" w:rsidRDefault="009F0A60">
            <w:pPr>
              <w:pStyle w:val="B"/>
              <w:rPr>
                <w:szCs w:val="20"/>
              </w:rPr>
            </w:pPr>
            <w:r>
              <w:rPr>
                <w:rFonts w:hint="eastAsia"/>
                <w:szCs w:val="20"/>
              </w:rPr>
              <w:t>字符型，</w:t>
            </w:r>
            <w:r>
              <w:rPr>
                <w:szCs w:val="20"/>
              </w:rPr>
              <w:t>1</w:t>
            </w:r>
          </w:p>
        </w:tc>
        <w:tc>
          <w:tcPr>
            <w:tcW w:w="3969" w:type="dxa"/>
          </w:tcPr>
          <w:p w14:paraId="54D13FAA" w14:textId="77777777" w:rsidR="00A052DC" w:rsidRDefault="009F0A60">
            <w:pPr>
              <w:pStyle w:val="B"/>
              <w:rPr>
                <w:szCs w:val="20"/>
              </w:rPr>
            </w:pPr>
            <w:r>
              <w:rPr>
                <w:rFonts w:hint="eastAsia"/>
                <w:szCs w:val="20"/>
              </w:rPr>
              <w:t>必填项，是</w:t>
            </w:r>
            <w:r>
              <w:rPr>
                <w:szCs w:val="20"/>
              </w:rPr>
              <w:t>-Y</w:t>
            </w:r>
            <w:r>
              <w:rPr>
                <w:rFonts w:hint="eastAsia"/>
                <w:szCs w:val="20"/>
              </w:rPr>
              <w:t>，否</w:t>
            </w:r>
            <w:r>
              <w:rPr>
                <w:szCs w:val="20"/>
              </w:rPr>
              <w:t>-N</w:t>
            </w:r>
            <w:r>
              <w:rPr>
                <w:rFonts w:hint="eastAsia"/>
                <w:szCs w:val="20"/>
              </w:rPr>
              <w:t>，默认为否，填写</w:t>
            </w:r>
            <w:r>
              <w:rPr>
                <w:szCs w:val="20"/>
              </w:rPr>
              <w:t>N</w:t>
            </w:r>
            <w:r>
              <w:rPr>
                <w:rFonts w:hint="eastAsia"/>
                <w:szCs w:val="20"/>
              </w:rPr>
              <w:t>。</w:t>
            </w:r>
          </w:p>
        </w:tc>
      </w:tr>
      <w:tr w:rsidR="00A052DC" w14:paraId="0B5ABB85" w14:textId="77777777">
        <w:tc>
          <w:tcPr>
            <w:tcW w:w="1702" w:type="dxa"/>
          </w:tcPr>
          <w:p w14:paraId="3CFE7F74" w14:textId="77777777" w:rsidR="00A052DC" w:rsidRDefault="009F0A60">
            <w:pPr>
              <w:pStyle w:val="B"/>
              <w:rPr>
                <w:szCs w:val="20"/>
              </w:rPr>
            </w:pPr>
            <w:r>
              <w:rPr>
                <w:szCs w:val="20"/>
              </w:rPr>
              <w:t>ANNINRATE</w:t>
            </w:r>
          </w:p>
        </w:tc>
        <w:tc>
          <w:tcPr>
            <w:tcW w:w="1559" w:type="dxa"/>
          </w:tcPr>
          <w:p w14:paraId="0A6C57F1" w14:textId="77777777" w:rsidR="00A052DC" w:rsidRDefault="009F0A60">
            <w:pPr>
              <w:pStyle w:val="B"/>
              <w:rPr>
                <w:szCs w:val="20"/>
              </w:rPr>
            </w:pPr>
            <w:r>
              <w:rPr>
                <w:rFonts w:hint="eastAsia"/>
                <w:szCs w:val="20"/>
              </w:rPr>
              <w:t>年化利率值</w:t>
            </w:r>
          </w:p>
        </w:tc>
        <w:tc>
          <w:tcPr>
            <w:tcW w:w="1417" w:type="dxa"/>
          </w:tcPr>
          <w:p w14:paraId="79766102" w14:textId="77777777" w:rsidR="00A052DC" w:rsidRDefault="009F0A60">
            <w:pPr>
              <w:pStyle w:val="B"/>
              <w:rPr>
                <w:szCs w:val="20"/>
              </w:rPr>
            </w:pPr>
            <w:r>
              <w:rPr>
                <w:rFonts w:hint="eastAsia"/>
                <w:szCs w:val="20"/>
              </w:rPr>
              <w:t>数值型，</w:t>
            </w:r>
            <w:r>
              <w:rPr>
                <w:szCs w:val="20"/>
              </w:rPr>
              <w:t>13.8</w:t>
            </w:r>
          </w:p>
        </w:tc>
        <w:tc>
          <w:tcPr>
            <w:tcW w:w="3969" w:type="dxa"/>
          </w:tcPr>
          <w:p w14:paraId="4D748D3A" w14:textId="77777777" w:rsidR="00A052DC" w:rsidRDefault="009F0A60" w:rsidP="000E18F5">
            <w:pPr>
              <w:pStyle w:val="B"/>
              <w:rPr>
                <w:szCs w:val="20"/>
              </w:rPr>
            </w:pPr>
            <w:r>
              <w:rPr>
                <w:rFonts w:hint="eastAsia"/>
                <w:szCs w:val="20"/>
              </w:rPr>
              <w:t>必填项，大于等于</w:t>
            </w:r>
            <w:r>
              <w:rPr>
                <w:szCs w:val="20"/>
              </w:rPr>
              <w:t>0</w:t>
            </w:r>
            <w:r>
              <w:rPr>
                <w:rFonts w:hint="eastAsia"/>
                <w:szCs w:val="20"/>
              </w:rPr>
              <w:t>，按小数填写</w:t>
            </w:r>
            <w:r w:rsidR="000E18F5">
              <w:rPr>
                <w:rFonts w:hint="eastAsia"/>
                <w:szCs w:val="20"/>
              </w:rPr>
              <w:t>。</w:t>
            </w:r>
            <w:r>
              <w:rPr>
                <w:rFonts w:hint="eastAsia"/>
                <w:szCs w:val="20"/>
              </w:rPr>
              <w:t>如利率为</w:t>
            </w:r>
            <w:r>
              <w:rPr>
                <w:szCs w:val="20"/>
              </w:rPr>
              <w:t>3.21%</w:t>
            </w:r>
            <w:r>
              <w:rPr>
                <w:rFonts w:hint="eastAsia"/>
                <w:szCs w:val="20"/>
              </w:rPr>
              <w:t>，则填写</w:t>
            </w:r>
            <w:r>
              <w:rPr>
                <w:szCs w:val="20"/>
              </w:rPr>
              <w:t>0.0321</w:t>
            </w:r>
            <w:r>
              <w:rPr>
                <w:rFonts w:hint="eastAsia"/>
                <w:szCs w:val="20"/>
              </w:rPr>
              <w:t>。</w:t>
            </w:r>
          </w:p>
        </w:tc>
      </w:tr>
      <w:tr w:rsidR="00A052DC" w14:paraId="2CE32A44" w14:textId="77777777">
        <w:tc>
          <w:tcPr>
            <w:tcW w:w="1702" w:type="dxa"/>
          </w:tcPr>
          <w:p w14:paraId="32D8A1CD" w14:textId="77777777" w:rsidR="00A052DC" w:rsidRDefault="009F0A60">
            <w:pPr>
              <w:pStyle w:val="B"/>
              <w:rPr>
                <w:szCs w:val="20"/>
              </w:rPr>
            </w:pPr>
            <w:r>
              <w:rPr>
                <w:szCs w:val="20"/>
              </w:rPr>
              <w:t>CREDITORCODE</w:t>
            </w:r>
          </w:p>
        </w:tc>
        <w:tc>
          <w:tcPr>
            <w:tcW w:w="1559" w:type="dxa"/>
          </w:tcPr>
          <w:p w14:paraId="3BC41010" w14:textId="77777777" w:rsidR="00A052DC" w:rsidRDefault="009F0A60">
            <w:pPr>
              <w:pStyle w:val="B"/>
              <w:rPr>
                <w:szCs w:val="20"/>
              </w:rPr>
            </w:pPr>
            <w:r>
              <w:rPr>
                <w:rFonts w:hint="eastAsia"/>
                <w:szCs w:val="20"/>
              </w:rPr>
              <w:t>债权人代码</w:t>
            </w:r>
          </w:p>
        </w:tc>
        <w:tc>
          <w:tcPr>
            <w:tcW w:w="1417" w:type="dxa"/>
          </w:tcPr>
          <w:p w14:paraId="6BA90070" w14:textId="77777777" w:rsidR="00A052DC" w:rsidRDefault="009F0A60">
            <w:pPr>
              <w:pStyle w:val="B"/>
              <w:rPr>
                <w:szCs w:val="20"/>
              </w:rPr>
            </w:pPr>
            <w:r>
              <w:rPr>
                <w:rFonts w:hint="eastAsia"/>
                <w:szCs w:val="20"/>
              </w:rPr>
              <w:t>字符型，</w:t>
            </w:r>
            <w:r>
              <w:rPr>
                <w:szCs w:val="20"/>
              </w:rPr>
              <w:t>11</w:t>
            </w:r>
          </w:p>
        </w:tc>
        <w:tc>
          <w:tcPr>
            <w:tcW w:w="3969" w:type="dxa"/>
          </w:tcPr>
          <w:p w14:paraId="4D82C598" w14:textId="77777777" w:rsidR="00A052DC" w:rsidRDefault="009F0A60">
            <w:pPr>
              <w:pStyle w:val="B"/>
              <w:rPr>
                <w:szCs w:val="20"/>
              </w:rPr>
            </w:pPr>
            <w:r>
              <w:rPr>
                <w:rFonts w:hint="eastAsia"/>
                <w:szCs w:val="20"/>
              </w:rPr>
              <w:t>非必填项。</w:t>
            </w:r>
          </w:p>
        </w:tc>
      </w:tr>
      <w:tr w:rsidR="00A052DC" w14:paraId="301B229F" w14:textId="77777777">
        <w:tc>
          <w:tcPr>
            <w:tcW w:w="1702" w:type="dxa"/>
          </w:tcPr>
          <w:p w14:paraId="21D94893" w14:textId="77777777" w:rsidR="00A052DC" w:rsidRDefault="009F0A60">
            <w:pPr>
              <w:pStyle w:val="B"/>
              <w:rPr>
                <w:szCs w:val="20"/>
              </w:rPr>
            </w:pPr>
            <w:r>
              <w:rPr>
                <w:szCs w:val="20"/>
              </w:rPr>
              <w:t>CREDITORNAME</w:t>
            </w:r>
          </w:p>
        </w:tc>
        <w:tc>
          <w:tcPr>
            <w:tcW w:w="1559" w:type="dxa"/>
          </w:tcPr>
          <w:p w14:paraId="27C1E906" w14:textId="77777777" w:rsidR="00A052DC" w:rsidRDefault="009F0A60">
            <w:pPr>
              <w:pStyle w:val="B"/>
              <w:rPr>
                <w:szCs w:val="20"/>
              </w:rPr>
            </w:pPr>
            <w:r>
              <w:rPr>
                <w:rFonts w:hint="eastAsia"/>
                <w:szCs w:val="20"/>
              </w:rPr>
              <w:t>债权人中文名称</w:t>
            </w:r>
          </w:p>
        </w:tc>
        <w:tc>
          <w:tcPr>
            <w:tcW w:w="1417" w:type="dxa"/>
          </w:tcPr>
          <w:p w14:paraId="551558CE" w14:textId="77777777" w:rsidR="00A052DC" w:rsidRDefault="009F0A60">
            <w:pPr>
              <w:pStyle w:val="B"/>
              <w:rPr>
                <w:szCs w:val="20"/>
              </w:rPr>
            </w:pPr>
            <w:r>
              <w:rPr>
                <w:rFonts w:hint="eastAsia"/>
                <w:szCs w:val="20"/>
              </w:rPr>
              <w:t>字符型，</w:t>
            </w:r>
            <w:r>
              <w:rPr>
                <w:szCs w:val="20"/>
              </w:rPr>
              <w:t>128</w:t>
            </w:r>
          </w:p>
        </w:tc>
        <w:tc>
          <w:tcPr>
            <w:tcW w:w="3969" w:type="dxa"/>
          </w:tcPr>
          <w:p w14:paraId="2EFCB792" w14:textId="77777777" w:rsidR="00A052DC" w:rsidRDefault="009F0A60">
            <w:pPr>
              <w:pStyle w:val="B"/>
              <w:rPr>
                <w:szCs w:val="20"/>
              </w:rPr>
            </w:pPr>
            <w:r>
              <w:rPr>
                <w:rFonts w:hint="eastAsia"/>
                <w:szCs w:val="20"/>
              </w:rPr>
              <w:t>非必填项。债权人中文名称和债权人英文名称至少填写一个。</w:t>
            </w:r>
          </w:p>
        </w:tc>
      </w:tr>
      <w:tr w:rsidR="00A052DC" w14:paraId="7362E759" w14:textId="77777777">
        <w:tc>
          <w:tcPr>
            <w:tcW w:w="1702" w:type="dxa"/>
          </w:tcPr>
          <w:p w14:paraId="1C0C0BA6" w14:textId="77777777" w:rsidR="00A052DC" w:rsidRDefault="009F0A60">
            <w:pPr>
              <w:pStyle w:val="B"/>
              <w:rPr>
                <w:szCs w:val="20"/>
              </w:rPr>
            </w:pPr>
            <w:r>
              <w:rPr>
                <w:szCs w:val="20"/>
              </w:rPr>
              <w:t>CREDITORNAMEN</w:t>
            </w:r>
          </w:p>
        </w:tc>
        <w:tc>
          <w:tcPr>
            <w:tcW w:w="1559" w:type="dxa"/>
          </w:tcPr>
          <w:p w14:paraId="1527A9A3" w14:textId="77777777" w:rsidR="00A052DC" w:rsidRDefault="009F0A60">
            <w:pPr>
              <w:pStyle w:val="B"/>
              <w:rPr>
                <w:szCs w:val="20"/>
              </w:rPr>
            </w:pPr>
            <w:r>
              <w:rPr>
                <w:rFonts w:hint="eastAsia"/>
                <w:szCs w:val="20"/>
              </w:rPr>
              <w:t>债权人英文名称</w:t>
            </w:r>
          </w:p>
        </w:tc>
        <w:tc>
          <w:tcPr>
            <w:tcW w:w="1417" w:type="dxa"/>
          </w:tcPr>
          <w:p w14:paraId="2DA38CE3" w14:textId="77777777" w:rsidR="00A052DC" w:rsidRDefault="009F0A60">
            <w:pPr>
              <w:pStyle w:val="B"/>
              <w:rPr>
                <w:szCs w:val="20"/>
              </w:rPr>
            </w:pPr>
            <w:r>
              <w:rPr>
                <w:rFonts w:hint="eastAsia"/>
                <w:szCs w:val="20"/>
              </w:rPr>
              <w:t>字符型，</w:t>
            </w:r>
            <w:r>
              <w:rPr>
                <w:szCs w:val="20"/>
              </w:rPr>
              <w:t>128</w:t>
            </w:r>
          </w:p>
        </w:tc>
        <w:tc>
          <w:tcPr>
            <w:tcW w:w="3969" w:type="dxa"/>
          </w:tcPr>
          <w:p w14:paraId="76609C8E" w14:textId="77777777" w:rsidR="00A052DC" w:rsidRDefault="009F0A60">
            <w:pPr>
              <w:pStyle w:val="B"/>
              <w:rPr>
                <w:szCs w:val="20"/>
              </w:rPr>
            </w:pPr>
            <w:r>
              <w:rPr>
                <w:rFonts w:hint="eastAsia"/>
                <w:szCs w:val="20"/>
              </w:rPr>
              <w:t>非必填项。债权人中文名称和债权人英文名称至少填写一个。</w:t>
            </w:r>
          </w:p>
        </w:tc>
      </w:tr>
      <w:tr w:rsidR="00A052DC" w14:paraId="6FE9C41D" w14:textId="77777777">
        <w:tc>
          <w:tcPr>
            <w:tcW w:w="1702" w:type="dxa"/>
          </w:tcPr>
          <w:p w14:paraId="34523399" w14:textId="77777777" w:rsidR="00A052DC" w:rsidRDefault="009F0A60">
            <w:pPr>
              <w:pStyle w:val="B"/>
              <w:rPr>
                <w:szCs w:val="20"/>
              </w:rPr>
            </w:pPr>
            <w:r>
              <w:rPr>
                <w:szCs w:val="20"/>
              </w:rPr>
              <w:t>CREDITORTYPE</w:t>
            </w:r>
          </w:p>
        </w:tc>
        <w:tc>
          <w:tcPr>
            <w:tcW w:w="1559" w:type="dxa"/>
          </w:tcPr>
          <w:p w14:paraId="50924E92" w14:textId="77777777" w:rsidR="00A052DC" w:rsidRDefault="009F0A60">
            <w:pPr>
              <w:pStyle w:val="B"/>
              <w:rPr>
                <w:szCs w:val="20"/>
              </w:rPr>
            </w:pPr>
            <w:r>
              <w:rPr>
                <w:rFonts w:hint="eastAsia"/>
                <w:szCs w:val="20"/>
              </w:rPr>
              <w:t>债权人类型代码</w:t>
            </w:r>
          </w:p>
        </w:tc>
        <w:tc>
          <w:tcPr>
            <w:tcW w:w="1417" w:type="dxa"/>
          </w:tcPr>
          <w:p w14:paraId="17DD16A6" w14:textId="77777777" w:rsidR="00A052DC" w:rsidRDefault="009F0A60">
            <w:pPr>
              <w:pStyle w:val="B"/>
              <w:rPr>
                <w:szCs w:val="20"/>
              </w:rPr>
            </w:pPr>
            <w:r>
              <w:rPr>
                <w:rFonts w:hint="eastAsia"/>
                <w:szCs w:val="20"/>
              </w:rPr>
              <w:t>字符型，</w:t>
            </w:r>
            <w:r>
              <w:rPr>
                <w:szCs w:val="20"/>
              </w:rPr>
              <w:t>8</w:t>
            </w:r>
          </w:p>
        </w:tc>
        <w:tc>
          <w:tcPr>
            <w:tcW w:w="3969" w:type="dxa"/>
          </w:tcPr>
          <w:p w14:paraId="17BAAF74" w14:textId="77777777" w:rsidR="00A052DC" w:rsidRDefault="009F0A60">
            <w:pPr>
              <w:pStyle w:val="B"/>
              <w:rPr>
                <w:szCs w:val="20"/>
              </w:rPr>
            </w:pPr>
            <w:r>
              <w:rPr>
                <w:rFonts w:hint="eastAsia"/>
                <w:szCs w:val="20"/>
              </w:rPr>
              <w:t>必填项，见境外主体类型代码表。</w:t>
            </w:r>
          </w:p>
        </w:tc>
      </w:tr>
      <w:tr w:rsidR="00A052DC" w14:paraId="0611BC0A" w14:textId="77777777">
        <w:tc>
          <w:tcPr>
            <w:tcW w:w="1702" w:type="dxa"/>
          </w:tcPr>
          <w:p w14:paraId="7615779B" w14:textId="77777777" w:rsidR="00A052DC" w:rsidRDefault="009F0A60">
            <w:pPr>
              <w:pStyle w:val="B"/>
              <w:rPr>
                <w:szCs w:val="20"/>
              </w:rPr>
            </w:pPr>
            <w:r>
              <w:rPr>
                <w:szCs w:val="20"/>
              </w:rPr>
              <w:t>CREHQCODE</w:t>
            </w:r>
          </w:p>
        </w:tc>
        <w:tc>
          <w:tcPr>
            <w:tcW w:w="1559" w:type="dxa"/>
          </w:tcPr>
          <w:p w14:paraId="309A64E1" w14:textId="77777777" w:rsidR="00A052DC" w:rsidRDefault="009F0A60">
            <w:pPr>
              <w:pStyle w:val="B"/>
              <w:rPr>
                <w:szCs w:val="20"/>
              </w:rPr>
            </w:pPr>
            <w:r>
              <w:rPr>
                <w:rFonts w:hint="eastAsia"/>
                <w:szCs w:val="20"/>
              </w:rPr>
              <w:t>债权人总部所在国家（地区）代码</w:t>
            </w:r>
          </w:p>
        </w:tc>
        <w:tc>
          <w:tcPr>
            <w:tcW w:w="1417" w:type="dxa"/>
          </w:tcPr>
          <w:p w14:paraId="2E1CD10C" w14:textId="77777777" w:rsidR="00A052DC" w:rsidRDefault="009F0A60">
            <w:pPr>
              <w:pStyle w:val="B"/>
              <w:rPr>
                <w:szCs w:val="20"/>
              </w:rPr>
            </w:pPr>
            <w:r>
              <w:rPr>
                <w:rFonts w:hint="eastAsia"/>
                <w:szCs w:val="20"/>
              </w:rPr>
              <w:t>字符型，</w:t>
            </w:r>
            <w:r>
              <w:rPr>
                <w:szCs w:val="20"/>
              </w:rPr>
              <w:t>3</w:t>
            </w:r>
          </w:p>
        </w:tc>
        <w:tc>
          <w:tcPr>
            <w:tcW w:w="3969" w:type="dxa"/>
          </w:tcPr>
          <w:p w14:paraId="228C93E0" w14:textId="77777777" w:rsidR="00A052DC" w:rsidRDefault="009F0A60">
            <w:pPr>
              <w:pStyle w:val="B"/>
              <w:rPr>
                <w:szCs w:val="20"/>
              </w:rPr>
            </w:pPr>
            <w:r>
              <w:rPr>
                <w:rFonts w:hint="eastAsia"/>
                <w:szCs w:val="20"/>
              </w:rPr>
              <w:t>必填项，见国家和地区代码表。</w:t>
            </w:r>
          </w:p>
        </w:tc>
      </w:tr>
      <w:tr w:rsidR="00A052DC" w14:paraId="22A70382" w14:textId="77777777">
        <w:tc>
          <w:tcPr>
            <w:tcW w:w="1702" w:type="dxa"/>
          </w:tcPr>
          <w:p w14:paraId="71677FEE" w14:textId="77777777" w:rsidR="00A052DC" w:rsidRDefault="009F0A60">
            <w:pPr>
              <w:pStyle w:val="B"/>
              <w:rPr>
                <w:szCs w:val="20"/>
              </w:rPr>
            </w:pPr>
            <w:r>
              <w:rPr>
                <w:szCs w:val="20"/>
              </w:rPr>
              <w:t>OPERCODE</w:t>
            </w:r>
          </w:p>
        </w:tc>
        <w:tc>
          <w:tcPr>
            <w:tcW w:w="1559" w:type="dxa"/>
          </w:tcPr>
          <w:p w14:paraId="2AA3C56C" w14:textId="77777777" w:rsidR="00A052DC" w:rsidRDefault="009F0A60">
            <w:pPr>
              <w:pStyle w:val="B"/>
              <w:rPr>
                <w:szCs w:val="20"/>
              </w:rPr>
            </w:pPr>
            <w:r>
              <w:rPr>
                <w:rFonts w:hint="eastAsia"/>
                <w:szCs w:val="20"/>
              </w:rPr>
              <w:t>债权人经营地所在国家（地区）代码</w:t>
            </w:r>
          </w:p>
        </w:tc>
        <w:tc>
          <w:tcPr>
            <w:tcW w:w="1417" w:type="dxa"/>
          </w:tcPr>
          <w:p w14:paraId="67D992BA" w14:textId="77777777" w:rsidR="00A052DC" w:rsidRDefault="009F0A60">
            <w:pPr>
              <w:pStyle w:val="B"/>
              <w:rPr>
                <w:szCs w:val="20"/>
              </w:rPr>
            </w:pPr>
            <w:r>
              <w:rPr>
                <w:rFonts w:hint="eastAsia"/>
                <w:szCs w:val="20"/>
              </w:rPr>
              <w:t>字符型，</w:t>
            </w:r>
            <w:r>
              <w:rPr>
                <w:szCs w:val="20"/>
              </w:rPr>
              <w:t>3</w:t>
            </w:r>
          </w:p>
        </w:tc>
        <w:tc>
          <w:tcPr>
            <w:tcW w:w="3969" w:type="dxa"/>
          </w:tcPr>
          <w:p w14:paraId="20DEE940" w14:textId="77777777" w:rsidR="00A052DC" w:rsidRDefault="009F0A60">
            <w:pPr>
              <w:pStyle w:val="B"/>
              <w:rPr>
                <w:szCs w:val="20"/>
              </w:rPr>
            </w:pPr>
            <w:r>
              <w:rPr>
                <w:rFonts w:hint="eastAsia"/>
                <w:szCs w:val="20"/>
              </w:rPr>
              <w:t>必填项，见国家和地区代码表。当债权人类型代码不为“境内银行离岸部（20001403）”时,不能为中国CHN。</w:t>
            </w:r>
          </w:p>
        </w:tc>
      </w:tr>
      <w:tr w:rsidR="00A052DC" w14:paraId="4C1BF3C7" w14:textId="77777777">
        <w:tc>
          <w:tcPr>
            <w:tcW w:w="1702" w:type="dxa"/>
          </w:tcPr>
          <w:p w14:paraId="7C3E6219" w14:textId="77777777" w:rsidR="00A052DC" w:rsidRDefault="009F0A60">
            <w:pPr>
              <w:pStyle w:val="B"/>
              <w:rPr>
                <w:szCs w:val="20"/>
              </w:rPr>
            </w:pPr>
            <w:r>
              <w:rPr>
                <w:szCs w:val="20"/>
              </w:rPr>
              <w:t>INPRTERM</w:t>
            </w:r>
          </w:p>
        </w:tc>
        <w:tc>
          <w:tcPr>
            <w:tcW w:w="1559" w:type="dxa"/>
          </w:tcPr>
          <w:p w14:paraId="00464B0D" w14:textId="77777777" w:rsidR="00A052DC" w:rsidRDefault="009F0A60">
            <w:pPr>
              <w:pStyle w:val="B"/>
              <w:rPr>
                <w:szCs w:val="20"/>
              </w:rPr>
            </w:pPr>
            <w:r>
              <w:rPr>
                <w:rFonts w:hint="eastAsia"/>
                <w:szCs w:val="20"/>
              </w:rPr>
              <w:t>是否有利息本金化条款</w:t>
            </w:r>
          </w:p>
        </w:tc>
        <w:tc>
          <w:tcPr>
            <w:tcW w:w="1417" w:type="dxa"/>
          </w:tcPr>
          <w:p w14:paraId="23B9EFD7" w14:textId="77777777" w:rsidR="00A052DC" w:rsidRDefault="009F0A60">
            <w:pPr>
              <w:pStyle w:val="B"/>
              <w:rPr>
                <w:szCs w:val="20"/>
              </w:rPr>
            </w:pPr>
            <w:r>
              <w:rPr>
                <w:rFonts w:hint="eastAsia"/>
                <w:szCs w:val="20"/>
              </w:rPr>
              <w:t>字符型，</w:t>
            </w:r>
            <w:r>
              <w:rPr>
                <w:szCs w:val="20"/>
              </w:rPr>
              <w:t>1</w:t>
            </w:r>
          </w:p>
        </w:tc>
        <w:tc>
          <w:tcPr>
            <w:tcW w:w="3969" w:type="dxa"/>
          </w:tcPr>
          <w:p w14:paraId="2F32D4D6" w14:textId="77777777" w:rsidR="00A052DC" w:rsidRDefault="009F0A60">
            <w:pPr>
              <w:pStyle w:val="B"/>
              <w:rPr>
                <w:szCs w:val="20"/>
              </w:rPr>
            </w:pPr>
            <w:r>
              <w:rPr>
                <w:rFonts w:hint="eastAsia"/>
                <w:szCs w:val="20"/>
              </w:rPr>
              <w:t>必填项，是</w:t>
            </w:r>
            <w:r>
              <w:rPr>
                <w:szCs w:val="20"/>
              </w:rPr>
              <w:t>-Y</w:t>
            </w:r>
            <w:r>
              <w:rPr>
                <w:rFonts w:hint="eastAsia"/>
                <w:szCs w:val="20"/>
              </w:rPr>
              <w:t>，否</w:t>
            </w:r>
            <w:r>
              <w:rPr>
                <w:szCs w:val="20"/>
              </w:rPr>
              <w:t>-N</w:t>
            </w:r>
            <w:r>
              <w:rPr>
                <w:rFonts w:hint="eastAsia"/>
                <w:szCs w:val="20"/>
              </w:rPr>
              <w:t>，默认为否，填写</w:t>
            </w:r>
            <w:r>
              <w:rPr>
                <w:szCs w:val="20"/>
              </w:rPr>
              <w:t>N</w:t>
            </w:r>
            <w:r>
              <w:rPr>
                <w:rFonts w:hint="eastAsia"/>
                <w:szCs w:val="20"/>
              </w:rPr>
              <w:t>。</w:t>
            </w:r>
          </w:p>
        </w:tc>
      </w:tr>
      <w:tr w:rsidR="00A052DC" w14:paraId="59CEDF17" w14:textId="77777777">
        <w:tc>
          <w:tcPr>
            <w:tcW w:w="1702" w:type="dxa"/>
          </w:tcPr>
          <w:p w14:paraId="6763F18E" w14:textId="77777777" w:rsidR="00A052DC" w:rsidRDefault="009F0A60">
            <w:pPr>
              <w:pStyle w:val="B"/>
              <w:rPr>
                <w:szCs w:val="20"/>
              </w:rPr>
            </w:pPr>
            <w:r>
              <w:rPr>
                <w:szCs w:val="20"/>
              </w:rPr>
              <w:t>SPAPFEBOINDEX</w:t>
            </w:r>
          </w:p>
        </w:tc>
        <w:tc>
          <w:tcPr>
            <w:tcW w:w="1559" w:type="dxa"/>
          </w:tcPr>
          <w:p w14:paraId="0036D3BE" w14:textId="77777777" w:rsidR="00A052DC" w:rsidRDefault="009F0A60">
            <w:pPr>
              <w:pStyle w:val="B"/>
              <w:rPr>
                <w:szCs w:val="20"/>
              </w:rPr>
            </w:pPr>
            <w:r>
              <w:rPr>
                <w:rFonts w:hint="eastAsia"/>
                <w:szCs w:val="20"/>
              </w:rPr>
              <w:t>是否不纳入跨境融资风险加权余额计算</w:t>
            </w:r>
          </w:p>
        </w:tc>
        <w:tc>
          <w:tcPr>
            <w:tcW w:w="1417" w:type="dxa"/>
          </w:tcPr>
          <w:p w14:paraId="5265DCDD" w14:textId="77777777" w:rsidR="00A052DC" w:rsidRDefault="009F0A60">
            <w:pPr>
              <w:pStyle w:val="B"/>
              <w:rPr>
                <w:szCs w:val="20"/>
              </w:rPr>
            </w:pPr>
            <w:r>
              <w:rPr>
                <w:rFonts w:hint="eastAsia"/>
                <w:szCs w:val="20"/>
              </w:rPr>
              <w:t>字符型，</w:t>
            </w:r>
            <w:r>
              <w:rPr>
                <w:szCs w:val="20"/>
              </w:rPr>
              <w:t>1</w:t>
            </w:r>
          </w:p>
        </w:tc>
        <w:tc>
          <w:tcPr>
            <w:tcW w:w="3969" w:type="dxa"/>
          </w:tcPr>
          <w:p w14:paraId="28D6F702" w14:textId="77777777" w:rsidR="00A052DC" w:rsidRDefault="009F0A60">
            <w:pPr>
              <w:pStyle w:val="B"/>
              <w:rPr>
                <w:szCs w:val="20"/>
              </w:rPr>
            </w:pPr>
            <w:r>
              <w:rPr>
                <w:rFonts w:hint="eastAsia"/>
                <w:szCs w:val="20"/>
              </w:rPr>
              <w:t>必填项，是</w:t>
            </w:r>
            <w:r>
              <w:rPr>
                <w:szCs w:val="20"/>
              </w:rPr>
              <w:t>-Y</w:t>
            </w:r>
            <w:r>
              <w:rPr>
                <w:rFonts w:hint="eastAsia"/>
                <w:szCs w:val="20"/>
              </w:rPr>
              <w:t>，否</w:t>
            </w:r>
            <w:r>
              <w:rPr>
                <w:szCs w:val="20"/>
              </w:rPr>
              <w:t>-N</w:t>
            </w:r>
            <w:r>
              <w:rPr>
                <w:rFonts w:hint="eastAsia"/>
                <w:szCs w:val="20"/>
              </w:rPr>
              <w:t>，默认为否，填写</w:t>
            </w:r>
            <w:r>
              <w:rPr>
                <w:szCs w:val="20"/>
              </w:rPr>
              <w:t>N</w:t>
            </w:r>
            <w:r>
              <w:rPr>
                <w:rFonts w:hint="eastAsia"/>
                <w:szCs w:val="20"/>
              </w:rPr>
              <w:t>。</w:t>
            </w:r>
          </w:p>
        </w:tc>
      </w:tr>
      <w:tr w:rsidR="00A052DC" w14:paraId="3BEB8434" w14:textId="77777777">
        <w:tc>
          <w:tcPr>
            <w:tcW w:w="1702" w:type="dxa"/>
          </w:tcPr>
          <w:p w14:paraId="70516D9D" w14:textId="77777777" w:rsidR="00A052DC" w:rsidRDefault="009F0A60">
            <w:pPr>
              <w:pStyle w:val="B"/>
              <w:rPr>
                <w:szCs w:val="20"/>
              </w:rPr>
            </w:pPr>
            <w:r>
              <w:rPr>
                <w:szCs w:val="20"/>
              </w:rPr>
              <w:t>PROJECTNAME</w:t>
            </w:r>
          </w:p>
        </w:tc>
        <w:tc>
          <w:tcPr>
            <w:tcW w:w="1559" w:type="dxa"/>
          </w:tcPr>
          <w:p w14:paraId="7EE70E53" w14:textId="77777777" w:rsidR="00A052DC" w:rsidRDefault="009F0A60">
            <w:pPr>
              <w:pStyle w:val="B"/>
              <w:rPr>
                <w:szCs w:val="20"/>
              </w:rPr>
            </w:pPr>
            <w:r>
              <w:rPr>
                <w:rFonts w:hint="eastAsia"/>
                <w:szCs w:val="20"/>
              </w:rPr>
              <w:t>项目名称</w:t>
            </w:r>
          </w:p>
        </w:tc>
        <w:tc>
          <w:tcPr>
            <w:tcW w:w="1417" w:type="dxa"/>
          </w:tcPr>
          <w:p w14:paraId="011D94BF" w14:textId="77777777" w:rsidR="00A052DC" w:rsidRDefault="009F0A60">
            <w:pPr>
              <w:pStyle w:val="B"/>
              <w:rPr>
                <w:szCs w:val="20"/>
              </w:rPr>
            </w:pPr>
            <w:r>
              <w:rPr>
                <w:rFonts w:hint="eastAsia"/>
                <w:szCs w:val="20"/>
              </w:rPr>
              <w:t>字符型，</w:t>
            </w:r>
            <w:r>
              <w:rPr>
                <w:szCs w:val="20"/>
              </w:rPr>
              <w:t>128</w:t>
            </w:r>
          </w:p>
        </w:tc>
        <w:tc>
          <w:tcPr>
            <w:tcW w:w="3969" w:type="dxa"/>
          </w:tcPr>
          <w:p w14:paraId="66E009F9" w14:textId="77777777" w:rsidR="00A052DC" w:rsidRDefault="009F0A60">
            <w:pPr>
              <w:pStyle w:val="B"/>
              <w:rPr>
                <w:szCs w:val="20"/>
              </w:rPr>
            </w:pPr>
            <w:r>
              <w:rPr>
                <w:rFonts w:hint="eastAsia"/>
                <w:szCs w:val="20"/>
              </w:rPr>
              <w:t>必填项。</w:t>
            </w:r>
          </w:p>
        </w:tc>
      </w:tr>
      <w:tr w:rsidR="00A052DC" w14:paraId="0B4970B9" w14:textId="77777777">
        <w:tc>
          <w:tcPr>
            <w:tcW w:w="1702" w:type="dxa"/>
          </w:tcPr>
          <w:p w14:paraId="553B8FAA" w14:textId="77777777" w:rsidR="00A052DC" w:rsidRDefault="009F0A60">
            <w:pPr>
              <w:pStyle w:val="B"/>
              <w:rPr>
                <w:szCs w:val="20"/>
              </w:rPr>
            </w:pPr>
            <w:r>
              <w:rPr>
                <w:szCs w:val="20"/>
              </w:rPr>
              <w:t>RELATION</w:t>
            </w:r>
          </w:p>
        </w:tc>
        <w:tc>
          <w:tcPr>
            <w:tcW w:w="1559" w:type="dxa"/>
          </w:tcPr>
          <w:p w14:paraId="69033F40" w14:textId="77777777" w:rsidR="00A052DC" w:rsidRDefault="009F0A60">
            <w:pPr>
              <w:pStyle w:val="B"/>
              <w:rPr>
                <w:szCs w:val="20"/>
              </w:rPr>
            </w:pPr>
            <w:r>
              <w:rPr>
                <w:rFonts w:hint="eastAsia"/>
                <w:szCs w:val="20"/>
              </w:rPr>
              <w:t>对方与本机构的关系</w:t>
            </w:r>
          </w:p>
        </w:tc>
        <w:tc>
          <w:tcPr>
            <w:tcW w:w="1417" w:type="dxa"/>
          </w:tcPr>
          <w:p w14:paraId="3C9E79EE" w14:textId="77777777" w:rsidR="00A052DC" w:rsidRDefault="009F0A60">
            <w:pPr>
              <w:pStyle w:val="B"/>
              <w:rPr>
                <w:szCs w:val="20"/>
              </w:rPr>
            </w:pPr>
            <w:r>
              <w:rPr>
                <w:rFonts w:hint="eastAsia"/>
                <w:szCs w:val="20"/>
              </w:rPr>
              <w:t>字符型，</w:t>
            </w:r>
            <w:r>
              <w:rPr>
                <w:szCs w:val="20"/>
              </w:rPr>
              <w:t>2</w:t>
            </w:r>
          </w:p>
        </w:tc>
        <w:tc>
          <w:tcPr>
            <w:tcW w:w="3969" w:type="dxa"/>
          </w:tcPr>
          <w:p w14:paraId="26B866B8" w14:textId="77777777" w:rsidR="00A052DC" w:rsidRDefault="009F0A60">
            <w:pPr>
              <w:pStyle w:val="B"/>
              <w:rPr>
                <w:szCs w:val="20"/>
              </w:rPr>
            </w:pPr>
            <w:r>
              <w:rPr>
                <w:rFonts w:hint="eastAsia"/>
                <w:szCs w:val="20"/>
              </w:rPr>
              <w:t>必填项，见对方与本机构</w:t>
            </w:r>
            <w:r>
              <w:rPr>
                <w:szCs w:val="20"/>
              </w:rPr>
              <w:t>/</w:t>
            </w:r>
            <w:r>
              <w:rPr>
                <w:rFonts w:hint="eastAsia"/>
                <w:szCs w:val="20"/>
              </w:rPr>
              <w:t>被代理居民机构</w:t>
            </w:r>
            <w:r>
              <w:rPr>
                <w:szCs w:val="20"/>
              </w:rPr>
              <w:t>/</w:t>
            </w:r>
            <w:r>
              <w:rPr>
                <w:rFonts w:hint="eastAsia"/>
                <w:szCs w:val="20"/>
              </w:rPr>
              <w:t>委托人的关系代码表。</w:t>
            </w:r>
          </w:p>
        </w:tc>
      </w:tr>
      <w:tr w:rsidR="00A052DC" w14:paraId="7B4C4A75" w14:textId="77777777">
        <w:tc>
          <w:tcPr>
            <w:tcW w:w="1702" w:type="dxa"/>
          </w:tcPr>
          <w:p w14:paraId="1B760E73" w14:textId="77777777" w:rsidR="00A052DC" w:rsidRDefault="009F0A60">
            <w:pPr>
              <w:pStyle w:val="B"/>
              <w:rPr>
                <w:szCs w:val="20"/>
              </w:rPr>
            </w:pPr>
            <w:r>
              <w:rPr>
                <w:szCs w:val="20"/>
              </w:rPr>
              <w:t>REMARK</w:t>
            </w:r>
          </w:p>
        </w:tc>
        <w:tc>
          <w:tcPr>
            <w:tcW w:w="1559" w:type="dxa"/>
          </w:tcPr>
          <w:p w14:paraId="1B150FD2" w14:textId="77777777" w:rsidR="00A052DC" w:rsidRDefault="009F0A60">
            <w:pPr>
              <w:pStyle w:val="B"/>
              <w:rPr>
                <w:szCs w:val="20"/>
              </w:rPr>
            </w:pPr>
            <w:r>
              <w:rPr>
                <w:rFonts w:hint="eastAsia"/>
                <w:szCs w:val="20"/>
              </w:rPr>
              <w:t>备注</w:t>
            </w:r>
          </w:p>
        </w:tc>
        <w:tc>
          <w:tcPr>
            <w:tcW w:w="1417" w:type="dxa"/>
          </w:tcPr>
          <w:p w14:paraId="120CAE0E" w14:textId="77777777" w:rsidR="00A052DC" w:rsidRDefault="009F0A60">
            <w:pPr>
              <w:pStyle w:val="B"/>
              <w:rPr>
                <w:szCs w:val="20"/>
              </w:rPr>
            </w:pPr>
            <w:r>
              <w:rPr>
                <w:rFonts w:hint="eastAsia"/>
                <w:szCs w:val="20"/>
              </w:rPr>
              <w:t>字符型，</w:t>
            </w:r>
            <w:r>
              <w:rPr>
                <w:szCs w:val="20"/>
              </w:rPr>
              <w:t>256</w:t>
            </w:r>
          </w:p>
        </w:tc>
        <w:tc>
          <w:tcPr>
            <w:tcW w:w="3969" w:type="dxa"/>
          </w:tcPr>
          <w:p w14:paraId="0B7DFC7F" w14:textId="77777777" w:rsidR="00A052DC" w:rsidRDefault="009F0A60">
            <w:pPr>
              <w:pStyle w:val="B"/>
              <w:rPr>
                <w:szCs w:val="20"/>
              </w:rPr>
            </w:pPr>
            <w:r>
              <w:rPr>
                <w:rFonts w:hint="eastAsia"/>
                <w:szCs w:val="20"/>
              </w:rPr>
              <w:t>非必填项。</w:t>
            </w:r>
          </w:p>
        </w:tc>
      </w:tr>
    </w:tbl>
    <w:p w14:paraId="38D15ECB" w14:textId="77777777" w:rsidR="00A052DC" w:rsidRDefault="009F0A60">
      <w:pPr>
        <w:pStyle w:val="4"/>
        <w:numPr>
          <w:ilvl w:val="3"/>
          <w:numId w:val="1"/>
        </w:numPr>
        <w:jc w:val="left"/>
      </w:pPr>
      <w:bookmarkStart w:id="1498" w:name="_Toc454386870"/>
      <w:bookmarkStart w:id="1499" w:name="_Toc328635482"/>
      <w:r>
        <w:rPr>
          <w:rFonts w:hint="eastAsia"/>
        </w:rPr>
        <w:t>买方信贷</w:t>
      </w:r>
      <w:bookmarkEnd w:id="1498"/>
      <w:bookmarkEnd w:id="1499"/>
    </w:p>
    <w:p w14:paraId="532E67FD" w14:textId="77777777" w:rsidR="00A052DC" w:rsidRDefault="009F0A60" w:rsidP="0020251D">
      <w:pPr>
        <w:pStyle w:val="5"/>
        <w:numPr>
          <w:ilvl w:val="4"/>
          <w:numId w:val="1"/>
        </w:numPr>
        <w:spacing w:before="120" w:after="120" w:line="360" w:lineRule="auto"/>
        <w:jc w:val="left"/>
      </w:pPr>
      <w:bookmarkStart w:id="1500" w:name="_Toc454386871"/>
      <w:r>
        <w:rPr>
          <w:rFonts w:hint="eastAsia"/>
        </w:rPr>
        <w:t>数据术语解释</w:t>
      </w:r>
      <w:bookmarkEnd w:id="1500"/>
    </w:p>
    <w:tbl>
      <w:tblPr>
        <w:tblW w:w="84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668"/>
        <w:gridCol w:w="6804"/>
      </w:tblGrid>
      <w:tr w:rsidR="00A052DC" w14:paraId="50757BCC" w14:textId="77777777">
        <w:tc>
          <w:tcPr>
            <w:tcW w:w="1668" w:type="dxa"/>
          </w:tcPr>
          <w:p w14:paraId="3658315F" w14:textId="77777777" w:rsidR="00A052DC" w:rsidRDefault="009F0A60">
            <w:pPr>
              <w:pStyle w:val="B1"/>
              <w:rPr>
                <w:u w:val="single"/>
              </w:rPr>
            </w:pPr>
            <w:r>
              <w:rPr>
                <w:rFonts w:hint="eastAsia"/>
              </w:rPr>
              <w:t>基础数据项</w:t>
            </w:r>
          </w:p>
        </w:tc>
        <w:tc>
          <w:tcPr>
            <w:tcW w:w="6804" w:type="dxa"/>
          </w:tcPr>
          <w:p w14:paraId="706AE8E5" w14:textId="77777777" w:rsidR="00A052DC" w:rsidRDefault="009F0A60">
            <w:pPr>
              <w:pStyle w:val="B1"/>
              <w:ind w:firstLineChars="17" w:firstLine="34"/>
            </w:pPr>
            <w:r>
              <w:rPr>
                <w:rFonts w:hint="eastAsia"/>
              </w:rPr>
              <w:t>定义</w:t>
            </w:r>
          </w:p>
        </w:tc>
      </w:tr>
      <w:tr w:rsidR="00A052DC" w14:paraId="5BCF627B" w14:textId="77777777">
        <w:trPr>
          <w:cantSplit/>
          <w:trHeight w:val="157"/>
        </w:trPr>
        <w:tc>
          <w:tcPr>
            <w:tcW w:w="1668" w:type="dxa"/>
          </w:tcPr>
          <w:p w14:paraId="461B1C72" w14:textId="77777777" w:rsidR="00A052DC" w:rsidRDefault="009F0A60">
            <w:pPr>
              <w:pStyle w:val="B"/>
              <w:rPr>
                <w:szCs w:val="20"/>
              </w:rPr>
            </w:pPr>
            <w:r>
              <w:rPr>
                <w:rFonts w:hint="eastAsia"/>
                <w:szCs w:val="20"/>
              </w:rPr>
              <w:t>外债编号</w:t>
            </w:r>
          </w:p>
        </w:tc>
        <w:tc>
          <w:tcPr>
            <w:tcW w:w="6804" w:type="dxa"/>
          </w:tcPr>
          <w:p w14:paraId="191F2B5E" w14:textId="77777777" w:rsidR="00A052DC" w:rsidRDefault="009F0A60">
            <w:pPr>
              <w:pStyle w:val="B"/>
              <w:rPr>
                <w:szCs w:val="20"/>
              </w:rPr>
            </w:pPr>
            <w:r>
              <w:rPr>
                <w:rFonts w:hint="eastAsia"/>
                <w:szCs w:val="20"/>
              </w:rPr>
              <w:t>外汇局制定统一编号规则，银行自行对每一笔外债编号，用于唯一标识该笔外债。银行外债编号共计</w:t>
            </w:r>
            <w:r>
              <w:rPr>
                <w:szCs w:val="20"/>
              </w:rPr>
              <w:t>28</w:t>
            </w:r>
            <w:r>
              <w:rPr>
                <w:rFonts w:hint="eastAsia"/>
                <w:szCs w:val="20"/>
              </w:rPr>
              <w:t>位。第</w:t>
            </w:r>
            <w:r>
              <w:rPr>
                <w:szCs w:val="20"/>
              </w:rPr>
              <w:t>1</w:t>
            </w:r>
            <w:r>
              <w:rPr>
                <w:rFonts w:hint="eastAsia"/>
                <w:szCs w:val="20"/>
              </w:rPr>
              <w:t>至</w:t>
            </w:r>
            <w:r>
              <w:rPr>
                <w:szCs w:val="20"/>
              </w:rPr>
              <w:t>2</w:t>
            </w:r>
            <w:r>
              <w:rPr>
                <w:rFonts w:hint="eastAsia"/>
                <w:szCs w:val="20"/>
              </w:rPr>
              <w:t>位为业务类型标识，第</w:t>
            </w:r>
            <w:r>
              <w:rPr>
                <w:szCs w:val="20"/>
              </w:rPr>
              <w:t>3</w:t>
            </w:r>
            <w:r>
              <w:rPr>
                <w:rFonts w:hint="eastAsia"/>
                <w:szCs w:val="20"/>
              </w:rPr>
              <w:t>位至</w:t>
            </w:r>
            <w:r>
              <w:rPr>
                <w:szCs w:val="20"/>
              </w:rPr>
              <w:t>14</w:t>
            </w:r>
            <w:r>
              <w:rPr>
                <w:rFonts w:hint="eastAsia"/>
                <w:szCs w:val="20"/>
              </w:rPr>
              <w:t>位为银行金融机构标识码</w:t>
            </w:r>
            <w:r>
              <w:rPr>
                <w:szCs w:val="20"/>
              </w:rPr>
              <w:t>;</w:t>
            </w:r>
            <w:r>
              <w:rPr>
                <w:rFonts w:hint="eastAsia"/>
                <w:szCs w:val="20"/>
              </w:rPr>
              <w:t>第</w:t>
            </w:r>
            <w:r>
              <w:rPr>
                <w:szCs w:val="20"/>
              </w:rPr>
              <w:t>15</w:t>
            </w:r>
            <w:r>
              <w:rPr>
                <w:rFonts w:hint="eastAsia"/>
                <w:szCs w:val="20"/>
              </w:rPr>
              <w:t>至</w:t>
            </w:r>
            <w:r>
              <w:rPr>
                <w:szCs w:val="20"/>
              </w:rPr>
              <w:t>22</w:t>
            </w:r>
            <w:r>
              <w:rPr>
                <w:rFonts w:hint="eastAsia"/>
                <w:szCs w:val="20"/>
              </w:rPr>
              <w:t>位为</w:t>
            </w:r>
            <w:r>
              <w:rPr>
                <w:szCs w:val="20"/>
              </w:rPr>
              <w:t>8</w:t>
            </w:r>
            <w:r>
              <w:rPr>
                <w:rFonts w:hint="eastAsia"/>
                <w:szCs w:val="20"/>
              </w:rPr>
              <w:t>位年月日数字（</w:t>
            </w:r>
            <w:r>
              <w:rPr>
                <w:szCs w:val="20"/>
              </w:rPr>
              <w:t>20110701</w:t>
            </w:r>
            <w:r>
              <w:rPr>
                <w:rFonts w:hint="eastAsia"/>
                <w:szCs w:val="20"/>
              </w:rPr>
              <w:t>）</w:t>
            </w:r>
            <w:r>
              <w:rPr>
                <w:szCs w:val="20"/>
              </w:rPr>
              <w:t>;</w:t>
            </w:r>
            <w:r>
              <w:rPr>
                <w:rFonts w:hint="eastAsia"/>
                <w:szCs w:val="20"/>
              </w:rPr>
              <w:t>第</w:t>
            </w:r>
            <w:r>
              <w:rPr>
                <w:szCs w:val="20"/>
              </w:rPr>
              <w:t>23</w:t>
            </w:r>
            <w:r>
              <w:rPr>
                <w:rFonts w:hint="eastAsia"/>
                <w:szCs w:val="20"/>
              </w:rPr>
              <w:t>至</w:t>
            </w:r>
            <w:r>
              <w:rPr>
                <w:szCs w:val="20"/>
              </w:rPr>
              <w:t>28</w:t>
            </w:r>
            <w:r>
              <w:rPr>
                <w:rFonts w:hint="eastAsia"/>
                <w:szCs w:val="20"/>
              </w:rPr>
              <w:t>位为该笔业务的流水号（流水码编制规则：从</w:t>
            </w:r>
            <w:r>
              <w:rPr>
                <w:szCs w:val="20"/>
              </w:rPr>
              <w:t>000001</w:t>
            </w:r>
            <w:r>
              <w:rPr>
                <w:rFonts w:hint="eastAsia"/>
                <w:szCs w:val="20"/>
              </w:rPr>
              <w:t>～</w:t>
            </w:r>
            <w:r>
              <w:rPr>
                <w:szCs w:val="20"/>
              </w:rPr>
              <w:t>999999</w:t>
            </w:r>
            <w:r>
              <w:rPr>
                <w:rFonts w:hint="eastAsia"/>
                <w:szCs w:val="20"/>
              </w:rPr>
              <w:t>）。银行新发生一笔外债业务时，需为该笔外债编制外债编号，同一笔外债发生变更或展期时，不作为一笔新业务进行登记，发生展期时，变更到期日。</w:t>
            </w:r>
          </w:p>
        </w:tc>
      </w:tr>
      <w:tr w:rsidR="00A052DC" w14:paraId="58659619" w14:textId="77777777">
        <w:trPr>
          <w:cantSplit/>
        </w:trPr>
        <w:tc>
          <w:tcPr>
            <w:tcW w:w="1668" w:type="dxa"/>
          </w:tcPr>
          <w:p w14:paraId="3E01DE67" w14:textId="77777777" w:rsidR="00A052DC" w:rsidRDefault="009F0A60">
            <w:pPr>
              <w:pStyle w:val="B"/>
              <w:rPr>
                <w:szCs w:val="20"/>
              </w:rPr>
            </w:pPr>
            <w:r>
              <w:rPr>
                <w:rFonts w:hint="eastAsia"/>
                <w:szCs w:val="20"/>
              </w:rPr>
              <w:t>债务人代码</w:t>
            </w:r>
          </w:p>
        </w:tc>
        <w:tc>
          <w:tcPr>
            <w:tcW w:w="6804" w:type="dxa"/>
          </w:tcPr>
          <w:p w14:paraId="68BDE776" w14:textId="77777777" w:rsidR="00A052DC" w:rsidRDefault="009F0A60">
            <w:pPr>
              <w:pStyle w:val="B"/>
              <w:rPr>
                <w:szCs w:val="20"/>
              </w:rPr>
            </w:pPr>
            <w:r>
              <w:rPr>
                <w:rFonts w:hint="eastAsia"/>
                <w:szCs w:val="20"/>
              </w:rPr>
              <w:t>国家外汇管理局及其分支局签发给境内债务银行的</w:t>
            </w:r>
            <w:r>
              <w:rPr>
                <w:szCs w:val="20"/>
              </w:rPr>
              <w:t>12</w:t>
            </w:r>
            <w:r>
              <w:rPr>
                <w:rFonts w:hint="eastAsia"/>
                <w:szCs w:val="20"/>
              </w:rPr>
              <w:t>位金融机构标识码编码。</w:t>
            </w:r>
          </w:p>
        </w:tc>
      </w:tr>
      <w:tr w:rsidR="00A052DC" w14:paraId="1690B335" w14:textId="77777777">
        <w:trPr>
          <w:cantSplit/>
        </w:trPr>
        <w:tc>
          <w:tcPr>
            <w:tcW w:w="1668" w:type="dxa"/>
          </w:tcPr>
          <w:p w14:paraId="4C3C1D11" w14:textId="77777777" w:rsidR="00A052DC" w:rsidRDefault="009F0A60">
            <w:pPr>
              <w:pStyle w:val="B"/>
              <w:rPr>
                <w:szCs w:val="20"/>
              </w:rPr>
            </w:pPr>
            <w:r>
              <w:rPr>
                <w:rFonts w:hint="eastAsia"/>
                <w:szCs w:val="20"/>
              </w:rPr>
              <w:t>债务类型</w:t>
            </w:r>
          </w:p>
        </w:tc>
        <w:tc>
          <w:tcPr>
            <w:tcW w:w="6804" w:type="dxa"/>
          </w:tcPr>
          <w:p w14:paraId="3933E2CD" w14:textId="77777777" w:rsidR="00A052DC" w:rsidRDefault="009F0A60">
            <w:pPr>
              <w:pStyle w:val="B"/>
              <w:rPr>
                <w:szCs w:val="20"/>
              </w:rPr>
            </w:pPr>
            <w:r>
              <w:rPr>
                <w:rFonts w:hint="eastAsia"/>
                <w:szCs w:val="20"/>
              </w:rPr>
              <w:t>外债的债务类型代码，见外债的债务类型表。</w:t>
            </w:r>
          </w:p>
        </w:tc>
      </w:tr>
      <w:tr w:rsidR="00A052DC" w14:paraId="42FBEBD1" w14:textId="77777777">
        <w:trPr>
          <w:cantSplit/>
        </w:trPr>
        <w:tc>
          <w:tcPr>
            <w:tcW w:w="1668" w:type="dxa"/>
          </w:tcPr>
          <w:p w14:paraId="4837BED6" w14:textId="77777777" w:rsidR="00A052DC" w:rsidRDefault="009F0A60">
            <w:pPr>
              <w:pStyle w:val="B"/>
              <w:rPr>
                <w:szCs w:val="20"/>
              </w:rPr>
            </w:pPr>
            <w:r>
              <w:rPr>
                <w:rFonts w:hint="eastAsia"/>
                <w:szCs w:val="20"/>
              </w:rPr>
              <w:t>签约日期</w:t>
            </w:r>
          </w:p>
        </w:tc>
        <w:tc>
          <w:tcPr>
            <w:tcW w:w="6804" w:type="dxa"/>
          </w:tcPr>
          <w:p w14:paraId="1DA0F5A1" w14:textId="77777777" w:rsidR="00A052DC" w:rsidRDefault="009F0A60">
            <w:pPr>
              <w:pStyle w:val="B"/>
              <w:rPr>
                <w:szCs w:val="20"/>
              </w:rPr>
            </w:pPr>
            <w:r>
              <w:rPr>
                <w:rFonts w:hint="eastAsia"/>
                <w:szCs w:val="20"/>
              </w:rPr>
              <w:t>境内债务银行与境外债权人签订该笔外债合同日期。</w:t>
            </w:r>
          </w:p>
        </w:tc>
      </w:tr>
      <w:tr w:rsidR="00A052DC" w14:paraId="6CF9EA44" w14:textId="77777777">
        <w:trPr>
          <w:cantSplit/>
        </w:trPr>
        <w:tc>
          <w:tcPr>
            <w:tcW w:w="1668" w:type="dxa"/>
          </w:tcPr>
          <w:p w14:paraId="559291F5" w14:textId="77777777" w:rsidR="00A052DC" w:rsidRDefault="009F0A60">
            <w:pPr>
              <w:pStyle w:val="B"/>
              <w:rPr>
                <w:szCs w:val="20"/>
              </w:rPr>
            </w:pPr>
            <w:r>
              <w:rPr>
                <w:rFonts w:hint="eastAsia"/>
                <w:szCs w:val="20"/>
              </w:rPr>
              <w:t>起息日</w:t>
            </w:r>
          </w:p>
        </w:tc>
        <w:tc>
          <w:tcPr>
            <w:tcW w:w="6804" w:type="dxa"/>
          </w:tcPr>
          <w:p w14:paraId="72F64675" w14:textId="77777777" w:rsidR="00A052DC" w:rsidRDefault="009F0A60">
            <w:pPr>
              <w:pStyle w:val="B"/>
              <w:rPr>
                <w:szCs w:val="20"/>
              </w:rPr>
            </w:pPr>
            <w:r>
              <w:rPr>
                <w:rFonts w:hint="eastAsia"/>
                <w:szCs w:val="20"/>
              </w:rPr>
              <w:t>债务起始计息日期。</w:t>
            </w:r>
          </w:p>
        </w:tc>
      </w:tr>
      <w:tr w:rsidR="00A052DC" w14:paraId="5DC8BD3C" w14:textId="77777777">
        <w:trPr>
          <w:cantSplit/>
        </w:trPr>
        <w:tc>
          <w:tcPr>
            <w:tcW w:w="1668" w:type="dxa"/>
          </w:tcPr>
          <w:p w14:paraId="4A9D24F8" w14:textId="77777777" w:rsidR="00A052DC" w:rsidRDefault="009F0A60">
            <w:pPr>
              <w:pStyle w:val="B"/>
              <w:rPr>
                <w:szCs w:val="20"/>
              </w:rPr>
            </w:pPr>
            <w:r>
              <w:rPr>
                <w:rFonts w:hint="eastAsia"/>
                <w:szCs w:val="20"/>
              </w:rPr>
              <w:t>签约币种</w:t>
            </w:r>
          </w:p>
        </w:tc>
        <w:tc>
          <w:tcPr>
            <w:tcW w:w="6804" w:type="dxa"/>
          </w:tcPr>
          <w:p w14:paraId="09A01816" w14:textId="77777777" w:rsidR="00A052DC" w:rsidRDefault="009F0A60">
            <w:pPr>
              <w:pStyle w:val="B"/>
              <w:rPr>
                <w:szCs w:val="20"/>
              </w:rPr>
            </w:pPr>
            <w:r>
              <w:rPr>
                <w:rFonts w:hint="eastAsia"/>
                <w:szCs w:val="20"/>
              </w:rPr>
              <w:t>外债合同约定的签约币种。</w:t>
            </w:r>
          </w:p>
        </w:tc>
      </w:tr>
      <w:tr w:rsidR="00A052DC" w14:paraId="504AB0B5" w14:textId="77777777">
        <w:trPr>
          <w:cantSplit/>
        </w:trPr>
        <w:tc>
          <w:tcPr>
            <w:tcW w:w="1668" w:type="dxa"/>
          </w:tcPr>
          <w:p w14:paraId="79109E4E" w14:textId="77777777" w:rsidR="00A052DC" w:rsidRDefault="009F0A60">
            <w:pPr>
              <w:pStyle w:val="B"/>
              <w:rPr>
                <w:szCs w:val="20"/>
              </w:rPr>
            </w:pPr>
            <w:r>
              <w:rPr>
                <w:rFonts w:hint="eastAsia"/>
                <w:szCs w:val="20"/>
              </w:rPr>
              <w:t>签约金额</w:t>
            </w:r>
          </w:p>
        </w:tc>
        <w:tc>
          <w:tcPr>
            <w:tcW w:w="6804" w:type="dxa"/>
          </w:tcPr>
          <w:p w14:paraId="0D960BAD" w14:textId="77777777" w:rsidR="00A052DC" w:rsidRDefault="009F0A60">
            <w:pPr>
              <w:pStyle w:val="B"/>
              <w:rPr>
                <w:szCs w:val="20"/>
              </w:rPr>
            </w:pPr>
            <w:r>
              <w:rPr>
                <w:rFonts w:hint="eastAsia"/>
                <w:szCs w:val="20"/>
              </w:rPr>
              <w:t>外债合同约定的签约金额。</w:t>
            </w:r>
          </w:p>
        </w:tc>
      </w:tr>
      <w:tr w:rsidR="00A052DC" w14:paraId="66ACDF43" w14:textId="77777777">
        <w:trPr>
          <w:cantSplit/>
        </w:trPr>
        <w:tc>
          <w:tcPr>
            <w:tcW w:w="1668" w:type="dxa"/>
          </w:tcPr>
          <w:p w14:paraId="5C69E6D2" w14:textId="77777777" w:rsidR="00A052DC" w:rsidRDefault="009F0A60">
            <w:pPr>
              <w:pStyle w:val="B"/>
              <w:rPr>
                <w:szCs w:val="20"/>
              </w:rPr>
            </w:pPr>
            <w:r>
              <w:rPr>
                <w:rFonts w:hint="eastAsia"/>
                <w:szCs w:val="20"/>
              </w:rPr>
              <w:t>到期日</w:t>
            </w:r>
          </w:p>
        </w:tc>
        <w:tc>
          <w:tcPr>
            <w:tcW w:w="6804" w:type="dxa"/>
            <w:vAlign w:val="center"/>
          </w:tcPr>
          <w:p w14:paraId="65C8E2AC" w14:textId="77777777" w:rsidR="00A052DC" w:rsidRDefault="009F0A60">
            <w:pPr>
              <w:pStyle w:val="B"/>
              <w:rPr>
                <w:szCs w:val="20"/>
              </w:rPr>
            </w:pPr>
            <w:r>
              <w:rPr>
                <w:rFonts w:hint="eastAsia"/>
                <w:szCs w:val="20"/>
              </w:rPr>
              <w:t>外债的到期日期。</w:t>
            </w:r>
          </w:p>
        </w:tc>
      </w:tr>
      <w:tr w:rsidR="00A052DC" w14:paraId="197D2B30" w14:textId="77777777">
        <w:trPr>
          <w:cantSplit/>
        </w:trPr>
        <w:tc>
          <w:tcPr>
            <w:tcW w:w="1668" w:type="dxa"/>
          </w:tcPr>
          <w:p w14:paraId="10FDF412" w14:textId="77777777" w:rsidR="00A052DC" w:rsidRDefault="009F0A60">
            <w:pPr>
              <w:pStyle w:val="B"/>
              <w:rPr>
                <w:szCs w:val="20"/>
              </w:rPr>
            </w:pPr>
            <w:r>
              <w:rPr>
                <w:rFonts w:hint="eastAsia"/>
                <w:szCs w:val="20"/>
              </w:rPr>
              <w:t>是否浮动利率</w:t>
            </w:r>
          </w:p>
        </w:tc>
        <w:tc>
          <w:tcPr>
            <w:tcW w:w="6804" w:type="dxa"/>
          </w:tcPr>
          <w:p w14:paraId="79890B23" w14:textId="77777777" w:rsidR="00A052DC" w:rsidRDefault="009F0A60">
            <w:pPr>
              <w:pStyle w:val="B"/>
              <w:rPr>
                <w:szCs w:val="20"/>
              </w:rPr>
            </w:pPr>
            <w:r>
              <w:rPr>
                <w:rFonts w:hint="eastAsia"/>
                <w:szCs w:val="20"/>
              </w:rPr>
              <w:t>标识债务利率条件为浮动利率或固定利率，系统默认为否，若为浮动利率，选择是。</w:t>
            </w:r>
          </w:p>
        </w:tc>
      </w:tr>
      <w:tr w:rsidR="00A052DC" w14:paraId="70702063" w14:textId="77777777">
        <w:trPr>
          <w:cantSplit/>
        </w:trPr>
        <w:tc>
          <w:tcPr>
            <w:tcW w:w="1668" w:type="dxa"/>
          </w:tcPr>
          <w:p w14:paraId="71EE9272" w14:textId="77777777" w:rsidR="00A052DC" w:rsidRDefault="009F0A60">
            <w:pPr>
              <w:pStyle w:val="B"/>
              <w:rPr>
                <w:szCs w:val="20"/>
              </w:rPr>
            </w:pPr>
            <w:r>
              <w:rPr>
                <w:rFonts w:hint="eastAsia"/>
                <w:szCs w:val="20"/>
              </w:rPr>
              <w:t>年化利率值</w:t>
            </w:r>
          </w:p>
        </w:tc>
        <w:tc>
          <w:tcPr>
            <w:tcW w:w="6804" w:type="dxa"/>
          </w:tcPr>
          <w:p w14:paraId="68752097" w14:textId="77777777" w:rsidR="00A052DC" w:rsidRDefault="009F0A60">
            <w:pPr>
              <w:pStyle w:val="B"/>
              <w:rPr>
                <w:szCs w:val="20"/>
              </w:rPr>
            </w:pPr>
            <w:r>
              <w:rPr>
                <w:rFonts w:hint="eastAsia"/>
                <w:szCs w:val="20"/>
              </w:rPr>
              <w:t>外债的年化利率。若为浮动利率，应该按照该笔外债签约日期当天的浮动利率条件计算年化利率值。</w:t>
            </w:r>
          </w:p>
        </w:tc>
      </w:tr>
      <w:tr w:rsidR="00A052DC" w14:paraId="3A247BD9" w14:textId="77777777">
        <w:trPr>
          <w:cantSplit/>
        </w:trPr>
        <w:tc>
          <w:tcPr>
            <w:tcW w:w="1668" w:type="dxa"/>
          </w:tcPr>
          <w:p w14:paraId="18976683" w14:textId="77777777" w:rsidR="00A052DC" w:rsidRDefault="009F0A60">
            <w:pPr>
              <w:pStyle w:val="B"/>
              <w:rPr>
                <w:szCs w:val="20"/>
              </w:rPr>
            </w:pPr>
            <w:r>
              <w:rPr>
                <w:rFonts w:hint="eastAsia"/>
                <w:szCs w:val="20"/>
              </w:rPr>
              <w:t>债权人代码</w:t>
            </w:r>
          </w:p>
        </w:tc>
        <w:tc>
          <w:tcPr>
            <w:tcW w:w="6804" w:type="dxa"/>
            <w:vAlign w:val="center"/>
          </w:tcPr>
          <w:p w14:paraId="03445C7A" w14:textId="77777777" w:rsidR="00A052DC" w:rsidRDefault="009F0A60">
            <w:pPr>
              <w:pStyle w:val="B"/>
              <w:rPr>
                <w:szCs w:val="20"/>
              </w:rPr>
            </w:pPr>
            <w:r>
              <w:rPr>
                <w:rFonts w:hint="eastAsia"/>
                <w:szCs w:val="20"/>
              </w:rPr>
              <w:t>如果债权人为银行，应填写</w:t>
            </w:r>
            <w:r>
              <w:rPr>
                <w:szCs w:val="20"/>
              </w:rPr>
              <w:t>8</w:t>
            </w:r>
            <w:r>
              <w:rPr>
                <w:rFonts w:hint="eastAsia"/>
                <w:szCs w:val="20"/>
              </w:rPr>
              <w:t>位或</w:t>
            </w:r>
            <w:r>
              <w:rPr>
                <w:szCs w:val="20"/>
              </w:rPr>
              <w:t>11</w:t>
            </w:r>
            <w:r>
              <w:rPr>
                <w:rFonts w:hint="eastAsia"/>
                <w:szCs w:val="20"/>
              </w:rPr>
              <w:t>位的</w:t>
            </w:r>
            <w:r>
              <w:rPr>
                <w:szCs w:val="20"/>
              </w:rPr>
              <w:t>SWIFT CODE</w:t>
            </w:r>
            <w:r>
              <w:rPr>
                <w:rFonts w:hint="eastAsia"/>
                <w:szCs w:val="20"/>
              </w:rPr>
              <w:t>；如果债权人类型为“政府”、或“中央银行”时，或者当债务类型为“货币市场工具”或“债券和票据”或“非居民个人存款”时，应在外汇局编制的部分债权人代码表中选择债权人代码；否则为空。</w:t>
            </w:r>
          </w:p>
          <w:p w14:paraId="709C603A" w14:textId="77777777" w:rsidR="00A052DC" w:rsidRDefault="009F0A60">
            <w:pPr>
              <w:pStyle w:val="B"/>
              <w:rPr>
                <w:szCs w:val="20"/>
              </w:rPr>
            </w:pPr>
            <w:r>
              <w:rPr>
                <w:rFonts w:hint="eastAsia"/>
                <w:szCs w:val="20"/>
              </w:rPr>
              <w:t>如果债权人为“非银行金融机构”或“国际金融组织”，应优先填写</w:t>
            </w:r>
            <w:r>
              <w:rPr>
                <w:szCs w:val="20"/>
              </w:rPr>
              <w:t>SWIFT CODE</w:t>
            </w:r>
            <w:r>
              <w:rPr>
                <w:rFonts w:hint="eastAsia"/>
                <w:szCs w:val="20"/>
              </w:rPr>
              <w:t>。</w:t>
            </w:r>
          </w:p>
        </w:tc>
      </w:tr>
      <w:tr w:rsidR="00A052DC" w14:paraId="1E442469" w14:textId="77777777">
        <w:trPr>
          <w:cantSplit/>
        </w:trPr>
        <w:tc>
          <w:tcPr>
            <w:tcW w:w="1668" w:type="dxa"/>
          </w:tcPr>
          <w:p w14:paraId="24AFF818" w14:textId="77777777" w:rsidR="00A052DC" w:rsidRDefault="009F0A60">
            <w:pPr>
              <w:pStyle w:val="B"/>
              <w:rPr>
                <w:szCs w:val="20"/>
              </w:rPr>
            </w:pPr>
            <w:r>
              <w:rPr>
                <w:rFonts w:hint="eastAsia"/>
                <w:szCs w:val="20"/>
              </w:rPr>
              <w:t>债权人中文名称</w:t>
            </w:r>
          </w:p>
        </w:tc>
        <w:tc>
          <w:tcPr>
            <w:tcW w:w="6804" w:type="dxa"/>
            <w:vAlign w:val="center"/>
          </w:tcPr>
          <w:p w14:paraId="0DCD7668" w14:textId="77777777" w:rsidR="00A052DC" w:rsidRDefault="009F0A60">
            <w:pPr>
              <w:pStyle w:val="B"/>
              <w:rPr>
                <w:szCs w:val="20"/>
              </w:rPr>
            </w:pPr>
            <w:r>
              <w:rPr>
                <w:rFonts w:hint="eastAsia"/>
                <w:szCs w:val="20"/>
              </w:rPr>
              <w:t>债权人中文名称。</w:t>
            </w:r>
          </w:p>
        </w:tc>
      </w:tr>
      <w:tr w:rsidR="00A052DC" w14:paraId="223FA830" w14:textId="77777777">
        <w:trPr>
          <w:cantSplit/>
        </w:trPr>
        <w:tc>
          <w:tcPr>
            <w:tcW w:w="1668" w:type="dxa"/>
          </w:tcPr>
          <w:p w14:paraId="3735A590" w14:textId="77777777" w:rsidR="00A052DC" w:rsidRDefault="009F0A60">
            <w:pPr>
              <w:pStyle w:val="B"/>
              <w:rPr>
                <w:szCs w:val="20"/>
              </w:rPr>
            </w:pPr>
            <w:r>
              <w:rPr>
                <w:rFonts w:hint="eastAsia"/>
                <w:szCs w:val="20"/>
              </w:rPr>
              <w:t>债权人英文名称</w:t>
            </w:r>
          </w:p>
        </w:tc>
        <w:tc>
          <w:tcPr>
            <w:tcW w:w="6804" w:type="dxa"/>
            <w:vAlign w:val="center"/>
          </w:tcPr>
          <w:p w14:paraId="201D61DA" w14:textId="77777777" w:rsidR="00A052DC" w:rsidRDefault="009F0A60">
            <w:pPr>
              <w:pStyle w:val="B"/>
              <w:rPr>
                <w:szCs w:val="20"/>
              </w:rPr>
            </w:pPr>
            <w:r>
              <w:rPr>
                <w:rFonts w:hint="eastAsia"/>
                <w:szCs w:val="20"/>
              </w:rPr>
              <w:t>债权人英文名称（中英文名称至少填写一个）。</w:t>
            </w:r>
          </w:p>
        </w:tc>
      </w:tr>
      <w:tr w:rsidR="00A052DC" w14:paraId="3895F7D3" w14:textId="77777777">
        <w:trPr>
          <w:cantSplit/>
        </w:trPr>
        <w:tc>
          <w:tcPr>
            <w:tcW w:w="1668" w:type="dxa"/>
          </w:tcPr>
          <w:p w14:paraId="7F23F18E" w14:textId="77777777" w:rsidR="00A052DC" w:rsidRDefault="009F0A60">
            <w:pPr>
              <w:pStyle w:val="B"/>
              <w:rPr>
                <w:szCs w:val="20"/>
              </w:rPr>
            </w:pPr>
            <w:r>
              <w:rPr>
                <w:rFonts w:hint="eastAsia"/>
                <w:szCs w:val="20"/>
              </w:rPr>
              <w:t>债权人类型代码</w:t>
            </w:r>
          </w:p>
        </w:tc>
        <w:tc>
          <w:tcPr>
            <w:tcW w:w="6804" w:type="dxa"/>
          </w:tcPr>
          <w:p w14:paraId="20F6D6AA" w14:textId="77777777" w:rsidR="00A052DC" w:rsidRDefault="009F0A60">
            <w:pPr>
              <w:pStyle w:val="B"/>
              <w:rPr>
                <w:szCs w:val="20"/>
              </w:rPr>
            </w:pPr>
            <w:r>
              <w:rPr>
                <w:rFonts w:hint="eastAsia"/>
                <w:szCs w:val="20"/>
              </w:rPr>
              <w:t>债权人的类型代码，见境外主体类型代码表。</w:t>
            </w:r>
          </w:p>
        </w:tc>
      </w:tr>
      <w:tr w:rsidR="00A052DC" w14:paraId="6D6A55E9" w14:textId="77777777">
        <w:trPr>
          <w:cantSplit/>
        </w:trPr>
        <w:tc>
          <w:tcPr>
            <w:tcW w:w="1668" w:type="dxa"/>
          </w:tcPr>
          <w:p w14:paraId="6C5118BD" w14:textId="77777777" w:rsidR="00A052DC" w:rsidRDefault="009F0A60">
            <w:pPr>
              <w:pStyle w:val="B"/>
              <w:rPr>
                <w:szCs w:val="20"/>
              </w:rPr>
            </w:pPr>
            <w:r>
              <w:rPr>
                <w:rFonts w:hint="eastAsia"/>
                <w:szCs w:val="20"/>
              </w:rPr>
              <w:t>债权人总部所在国家（地区）代码</w:t>
            </w:r>
          </w:p>
        </w:tc>
        <w:tc>
          <w:tcPr>
            <w:tcW w:w="6804" w:type="dxa"/>
            <w:vAlign w:val="center"/>
          </w:tcPr>
          <w:p w14:paraId="7E2F089C" w14:textId="77777777" w:rsidR="00A052DC" w:rsidRDefault="009F0A60">
            <w:pPr>
              <w:pStyle w:val="B"/>
              <w:rPr>
                <w:szCs w:val="20"/>
              </w:rPr>
            </w:pPr>
            <w:r>
              <w:rPr>
                <w:rFonts w:hint="eastAsia"/>
                <w:szCs w:val="20"/>
              </w:rPr>
              <w:t>债权人总部所在地代码，见国家和地区代码表。</w:t>
            </w:r>
          </w:p>
        </w:tc>
      </w:tr>
      <w:tr w:rsidR="00A052DC" w14:paraId="3EF77505" w14:textId="77777777">
        <w:trPr>
          <w:cantSplit/>
        </w:trPr>
        <w:tc>
          <w:tcPr>
            <w:tcW w:w="1668" w:type="dxa"/>
          </w:tcPr>
          <w:p w14:paraId="236EB49F" w14:textId="77777777" w:rsidR="00A052DC" w:rsidRDefault="009F0A60">
            <w:pPr>
              <w:pStyle w:val="B"/>
              <w:rPr>
                <w:szCs w:val="20"/>
              </w:rPr>
            </w:pPr>
            <w:r>
              <w:rPr>
                <w:rFonts w:hint="eastAsia"/>
                <w:szCs w:val="20"/>
              </w:rPr>
              <w:t>债权人经营地所在国家（地区）代码</w:t>
            </w:r>
          </w:p>
        </w:tc>
        <w:tc>
          <w:tcPr>
            <w:tcW w:w="6804" w:type="dxa"/>
            <w:vAlign w:val="center"/>
          </w:tcPr>
          <w:p w14:paraId="6913FDAB" w14:textId="77777777" w:rsidR="00A052DC" w:rsidRDefault="009F0A60">
            <w:pPr>
              <w:pStyle w:val="B"/>
              <w:rPr>
                <w:szCs w:val="20"/>
              </w:rPr>
            </w:pPr>
            <w:r>
              <w:rPr>
                <w:rFonts w:hint="eastAsia"/>
                <w:szCs w:val="20"/>
              </w:rPr>
              <w:t>债权人经营所在地代码，见国家和地区代码表。</w:t>
            </w:r>
          </w:p>
        </w:tc>
      </w:tr>
      <w:tr w:rsidR="00A052DC" w14:paraId="09EBDB46" w14:textId="77777777">
        <w:trPr>
          <w:cantSplit/>
        </w:trPr>
        <w:tc>
          <w:tcPr>
            <w:tcW w:w="1668" w:type="dxa"/>
          </w:tcPr>
          <w:p w14:paraId="365109DF" w14:textId="77777777" w:rsidR="00A052DC" w:rsidRDefault="009F0A60">
            <w:pPr>
              <w:pStyle w:val="B"/>
              <w:rPr>
                <w:szCs w:val="20"/>
              </w:rPr>
            </w:pPr>
            <w:r>
              <w:rPr>
                <w:rFonts w:hint="eastAsia"/>
                <w:szCs w:val="20"/>
              </w:rPr>
              <w:t>是否有利息本金化条款</w:t>
            </w:r>
          </w:p>
        </w:tc>
        <w:tc>
          <w:tcPr>
            <w:tcW w:w="6804" w:type="dxa"/>
          </w:tcPr>
          <w:p w14:paraId="5DF48DAC" w14:textId="77777777" w:rsidR="00A052DC" w:rsidRDefault="009F0A60">
            <w:pPr>
              <w:pStyle w:val="B"/>
              <w:rPr>
                <w:szCs w:val="20"/>
              </w:rPr>
            </w:pPr>
            <w:r>
              <w:rPr>
                <w:rFonts w:hint="eastAsia"/>
                <w:szCs w:val="20"/>
              </w:rPr>
              <w:t>标识债务合同中是否包含利息本金化条款，默认为“否”。</w:t>
            </w:r>
          </w:p>
        </w:tc>
      </w:tr>
      <w:tr w:rsidR="00A052DC" w14:paraId="22BA777F" w14:textId="77777777">
        <w:trPr>
          <w:cantSplit/>
        </w:trPr>
        <w:tc>
          <w:tcPr>
            <w:tcW w:w="1668" w:type="dxa"/>
          </w:tcPr>
          <w:p w14:paraId="3847D376" w14:textId="77777777" w:rsidR="00A052DC" w:rsidRDefault="009F0A60">
            <w:pPr>
              <w:pStyle w:val="B"/>
              <w:rPr>
                <w:szCs w:val="20"/>
              </w:rPr>
            </w:pPr>
            <w:r>
              <w:rPr>
                <w:rFonts w:hint="eastAsia"/>
                <w:szCs w:val="20"/>
              </w:rPr>
              <w:t>是否不纳入跨境融资风险加权余额计算</w:t>
            </w:r>
          </w:p>
        </w:tc>
        <w:tc>
          <w:tcPr>
            <w:tcW w:w="6804" w:type="dxa"/>
          </w:tcPr>
          <w:p w14:paraId="36883733" w14:textId="77777777" w:rsidR="00A052DC" w:rsidRDefault="009F0A60">
            <w:pPr>
              <w:pStyle w:val="B"/>
              <w:rPr>
                <w:szCs w:val="20"/>
              </w:rPr>
            </w:pPr>
            <w:r>
              <w:rPr>
                <w:rFonts w:hint="eastAsia"/>
                <w:szCs w:val="20"/>
              </w:rPr>
              <w:t>标识该笔债务是否不纳入跨境融资风险加权余额计算，默认为“否”。</w:t>
            </w:r>
          </w:p>
        </w:tc>
      </w:tr>
      <w:tr w:rsidR="00A052DC" w14:paraId="50A9355E" w14:textId="77777777">
        <w:trPr>
          <w:cantSplit/>
        </w:trPr>
        <w:tc>
          <w:tcPr>
            <w:tcW w:w="1668" w:type="dxa"/>
          </w:tcPr>
          <w:p w14:paraId="6687000D" w14:textId="77777777" w:rsidR="00A052DC" w:rsidRDefault="009F0A60">
            <w:pPr>
              <w:pStyle w:val="B"/>
              <w:rPr>
                <w:szCs w:val="20"/>
              </w:rPr>
            </w:pPr>
            <w:r>
              <w:rPr>
                <w:rFonts w:hint="eastAsia"/>
                <w:szCs w:val="20"/>
              </w:rPr>
              <w:t>项目名称</w:t>
            </w:r>
          </w:p>
        </w:tc>
        <w:tc>
          <w:tcPr>
            <w:tcW w:w="6804" w:type="dxa"/>
          </w:tcPr>
          <w:p w14:paraId="6419E669" w14:textId="77777777" w:rsidR="00A052DC" w:rsidRDefault="009F0A60">
            <w:pPr>
              <w:pStyle w:val="B"/>
              <w:rPr>
                <w:szCs w:val="20"/>
              </w:rPr>
            </w:pPr>
            <w:r>
              <w:rPr>
                <w:rFonts w:hint="eastAsia"/>
                <w:szCs w:val="20"/>
              </w:rPr>
              <w:t>该笔外债对应的项目名称。当债务类型为双边贷款和买方信贷时，项目名称为必填。</w:t>
            </w:r>
          </w:p>
        </w:tc>
      </w:tr>
      <w:tr w:rsidR="00A052DC" w14:paraId="03747E91" w14:textId="77777777">
        <w:trPr>
          <w:cantSplit/>
        </w:trPr>
        <w:tc>
          <w:tcPr>
            <w:tcW w:w="1668" w:type="dxa"/>
          </w:tcPr>
          <w:p w14:paraId="06712E38" w14:textId="77777777" w:rsidR="00A052DC" w:rsidRDefault="009F0A60">
            <w:pPr>
              <w:pStyle w:val="B"/>
              <w:rPr>
                <w:szCs w:val="20"/>
              </w:rPr>
            </w:pPr>
            <w:r>
              <w:rPr>
                <w:rFonts w:hint="eastAsia"/>
                <w:szCs w:val="20"/>
              </w:rPr>
              <w:t>对方与本机构的关系</w:t>
            </w:r>
          </w:p>
        </w:tc>
        <w:tc>
          <w:tcPr>
            <w:tcW w:w="6804" w:type="dxa"/>
          </w:tcPr>
          <w:p w14:paraId="3F06D05E" w14:textId="77777777" w:rsidR="00A052DC" w:rsidRDefault="009F0A60">
            <w:pPr>
              <w:pStyle w:val="B"/>
              <w:rPr>
                <w:szCs w:val="20"/>
              </w:rPr>
            </w:pPr>
            <w:r>
              <w:rPr>
                <w:rFonts w:hint="eastAsia"/>
                <w:szCs w:val="20"/>
              </w:rPr>
              <w:t>债权人与本机构的关系，见对方与本机构</w:t>
            </w:r>
            <w:r>
              <w:rPr>
                <w:szCs w:val="20"/>
              </w:rPr>
              <w:t>/</w:t>
            </w:r>
            <w:r>
              <w:rPr>
                <w:rFonts w:hint="eastAsia"/>
                <w:szCs w:val="20"/>
              </w:rPr>
              <w:t>被代理居民机构</w:t>
            </w:r>
            <w:r>
              <w:rPr>
                <w:szCs w:val="20"/>
              </w:rPr>
              <w:t>/</w:t>
            </w:r>
            <w:r>
              <w:rPr>
                <w:rFonts w:hint="eastAsia"/>
                <w:szCs w:val="20"/>
              </w:rPr>
              <w:t>委托人的关系代码表。</w:t>
            </w:r>
          </w:p>
        </w:tc>
      </w:tr>
      <w:tr w:rsidR="00A052DC" w14:paraId="064E6FB1" w14:textId="77777777">
        <w:trPr>
          <w:cantSplit/>
        </w:trPr>
        <w:tc>
          <w:tcPr>
            <w:tcW w:w="1668" w:type="dxa"/>
            <w:tcBorders>
              <w:top w:val="single" w:sz="6" w:space="0" w:color="auto"/>
              <w:left w:val="single" w:sz="6" w:space="0" w:color="auto"/>
              <w:bottom w:val="single" w:sz="6" w:space="0" w:color="auto"/>
              <w:right w:val="single" w:sz="6" w:space="0" w:color="auto"/>
            </w:tcBorders>
          </w:tcPr>
          <w:p w14:paraId="2728410B" w14:textId="77777777" w:rsidR="00A052DC" w:rsidRDefault="009F0A60">
            <w:pPr>
              <w:pStyle w:val="B"/>
              <w:rPr>
                <w:szCs w:val="20"/>
              </w:rPr>
            </w:pPr>
            <w:r>
              <w:rPr>
                <w:rFonts w:hint="eastAsia"/>
                <w:szCs w:val="20"/>
              </w:rPr>
              <w:t>备注</w:t>
            </w:r>
          </w:p>
        </w:tc>
        <w:tc>
          <w:tcPr>
            <w:tcW w:w="6804" w:type="dxa"/>
            <w:tcBorders>
              <w:top w:val="single" w:sz="6" w:space="0" w:color="auto"/>
              <w:left w:val="single" w:sz="6" w:space="0" w:color="auto"/>
              <w:bottom w:val="single" w:sz="6" w:space="0" w:color="auto"/>
              <w:right w:val="single" w:sz="6" w:space="0" w:color="auto"/>
            </w:tcBorders>
          </w:tcPr>
          <w:p w14:paraId="4E53F798" w14:textId="77777777" w:rsidR="00A052DC" w:rsidRDefault="009F0A60">
            <w:pPr>
              <w:pStyle w:val="B"/>
              <w:rPr>
                <w:szCs w:val="20"/>
              </w:rPr>
            </w:pPr>
            <w:r>
              <w:rPr>
                <w:rFonts w:hint="eastAsia"/>
                <w:szCs w:val="20"/>
              </w:rPr>
              <w:t>需要说明的备注事项。</w:t>
            </w:r>
          </w:p>
        </w:tc>
      </w:tr>
    </w:tbl>
    <w:p w14:paraId="0A1F9B3E" w14:textId="77777777" w:rsidR="00A052DC" w:rsidRDefault="009F0A60">
      <w:pPr>
        <w:pStyle w:val="5"/>
        <w:numPr>
          <w:ilvl w:val="4"/>
          <w:numId w:val="1"/>
        </w:numPr>
        <w:spacing w:before="120" w:after="120" w:line="360" w:lineRule="auto"/>
        <w:jc w:val="left"/>
      </w:pPr>
      <w:bookmarkStart w:id="1501" w:name="_Toc454386872"/>
      <w:bookmarkStart w:id="1502" w:name="_Toc454386873"/>
      <w:bookmarkEnd w:id="1501"/>
      <w:r>
        <w:rPr>
          <w:rFonts w:hint="eastAsia"/>
        </w:rPr>
        <w:t>数据格式</w:t>
      </w:r>
      <w:bookmarkEnd w:id="1502"/>
    </w:p>
    <w:p w14:paraId="79934700" w14:textId="77777777" w:rsidR="00A052DC" w:rsidRDefault="009F0A60">
      <w:pPr>
        <w:ind w:firstLine="480"/>
      </w:pPr>
      <w:r>
        <w:t>&lt;REC&gt;</w:t>
      </w:r>
    </w:p>
    <w:p w14:paraId="2217D505" w14:textId="77777777" w:rsidR="00A052DC" w:rsidRDefault="009F0A60">
      <w:pPr>
        <w:ind w:firstLine="480"/>
      </w:pPr>
      <w:r>
        <w:t>&lt;ACTIONTYPE&gt;</w:t>
      </w:r>
      <w:r>
        <w:rPr>
          <w:rFonts w:hint="eastAsia"/>
        </w:rPr>
        <w:t>操作类型</w:t>
      </w:r>
      <w:r>
        <w:t>&lt;/ACTIONTYPE&gt;</w:t>
      </w:r>
    </w:p>
    <w:p w14:paraId="0753EAC6" w14:textId="77777777" w:rsidR="00A052DC" w:rsidRDefault="009F0A60">
      <w:pPr>
        <w:ind w:firstLine="480"/>
      </w:pPr>
      <w:r>
        <w:t>&lt;ACTIONDESC&gt;</w:t>
      </w:r>
      <w:r>
        <w:rPr>
          <w:rFonts w:hint="eastAsia"/>
        </w:rPr>
        <w:t>删除原因</w:t>
      </w:r>
      <w:r>
        <w:t>&lt;/ACTIONDESC&gt;</w:t>
      </w:r>
    </w:p>
    <w:p w14:paraId="39626C1F" w14:textId="77777777" w:rsidR="00A052DC" w:rsidRDefault="009F0A60">
      <w:pPr>
        <w:ind w:firstLine="480"/>
      </w:pPr>
      <w:r>
        <w:t>&lt;EXDEBTCODE&gt;</w:t>
      </w:r>
      <w:r>
        <w:rPr>
          <w:rFonts w:hint="eastAsia"/>
        </w:rPr>
        <w:t>外债编号</w:t>
      </w:r>
      <w:r>
        <w:t>&lt;/EXDEBTCODE&gt;</w:t>
      </w:r>
    </w:p>
    <w:p w14:paraId="0FDAB1F6" w14:textId="77777777" w:rsidR="00A052DC" w:rsidRDefault="009F0A60">
      <w:pPr>
        <w:ind w:firstLine="480"/>
      </w:pPr>
      <w:r>
        <w:t>&lt;DEBTORCODE&gt;</w:t>
      </w:r>
      <w:r>
        <w:rPr>
          <w:rFonts w:hint="eastAsia"/>
        </w:rPr>
        <w:t>债务人代码</w:t>
      </w:r>
      <w:r>
        <w:t>&lt;/DEBTORCODE&gt;</w:t>
      </w:r>
    </w:p>
    <w:p w14:paraId="53E9F5E5" w14:textId="77777777" w:rsidR="00A052DC" w:rsidRDefault="009F0A60">
      <w:pPr>
        <w:ind w:firstLine="480"/>
      </w:pPr>
      <w:r>
        <w:t>&lt;DEBTYPE&gt;</w:t>
      </w:r>
      <w:r>
        <w:rPr>
          <w:rFonts w:hint="eastAsia"/>
        </w:rPr>
        <w:t>债务类型</w:t>
      </w:r>
      <w:r>
        <w:t>&lt;/DEBTYPE&gt;</w:t>
      </w:r>
    </w:p>
    <w:p w14:paraId="518B2FA0" w14:textId="77777777" w:rsidR="00A052DC" w:rsidRDefault="009F0A60">
      <w:pPr>
        <w:ind w:firstLine="480"/>
      </w:pPr>
      <w:r>
        <w:t>&lt;CONTRACTDATE&gt;</w:t>
      </w:r>
      <w:r>
        <w:rPr>
          <w:rFonts w:hint="eastAsia"/>
        </w:rPr>
        <w:t>签约日期</w:t>
      </w:r>
      <w:r>
        <w:t>&lt;/CONTRACTDATE&gt;</w:t>
      </w:r>
    </w:p>
    <w:p w14:paraId="63AEFA5E" w14:textId="77777777" w:rsidR="00A052DC" w:rsidRDefault="009F0A60">
      <w:pPr>
        <w:ind w:firstLine="480"/>
      </w:pPr>
      <w:r>
        <w:t>&lt;VALUEDATE&gt;</w:t>
      </w:r>
      <w:r>
        <w:rPr>
          <w:rFonts w:hint="eastAsia"/>
        </w:rPr>
        <w:t>起息日</w:t>
      </w:r>
      <w:r>
        <w:t>&lt;/VALUEDATE&gt;</w:t>
      </w:r>
    </w:p>
    <w:p w14:paraId="4AC7E1E8" w14:textId="77777777" w:rsidR="00A052DC" w:rsidRDefault="009F0A60">
      <w:pPr>
        <w:ind w:firstLine="480"/>
      </w:pPr>
      <w:r>
        <w:t>&lt;CONTRACTCURR&gt;</w:t>
      </w:r>
      <w:r>
        <w:rPr>
          <w:rFonts w:hint="eastAsia"/>
        </w:rPr>
        <w:t>签约币种</w:t>
      </w:r>
      <w:r>
        <w:t>&lt;/CONTRACTCURR&gt;</w:t>
      </w:r>
    </w:p>
    <w:p w14:paraId="7132617D" w14:textId="77777777" w:rsidR="00A052DC" w:rsidRDefault="009F0A60">
      <w:pPr>
        <w:ind w:firstLine="480"/>
      </w:pPr>
      <w:r>
        <w:t>&lt;CONTRACTAMOUNT&gt;</w:t>
      </w:r>
      <w:r>
        <w:rPr>
          <w:rFonts w:hint="eastAsia"/>
        </w:rPr>
        <w:t>签约金额</w:t>
      </w:r>
      <w:r>
        <w:t>&lt;/CONTRACTAMOUNT&gt;</w:t>
      </w:r>
    </w:p>
    <w:p w14:paraId="34D2DAF1" w14:textId="77777777" w:rsidR="00A052DC" w:rsidRDefault="009F0A60">
      <w:pPr>
        <w:ind w:firstLine="480"/>
      </w:pPr>
      <w:r>
        <w:t>&lt;MATURITY&gt;</w:t>
      </w:r>
      <w:r>
        <w:rPr>
          <w:rFonts w:hint="eastAsia"/>
        </w:rPr>
        <w:t>到期日</w:t>
      </w:r>
      <w:r>
        <w:t>&lt;/MATURITY&gt;</w:t>
      </w:r>
    </w:p>
    <w:p w14:paraId="182623FF" w14:textId="77777777" w:rsidR="00A052DC" w:rsidRDefault="009F0A60">
      <w:pPr>
        <w:ind w:firstLine="480"/>
      </w:pPr>
      <w:r>
        <w:t>&lt;FLOATRATE&gt;</w:t>
      </w:r>
      <w:r>
        <w:rPr>
          <w:rFonts w:hint="eastAsia"/>
        </w:rPr>
        <w:t>是否浮动利率</w:t>
      </w:r>
      <w:r>
        <w:t>&lt;/FLOATRATE&gt;</w:t>
      </w:r>
    </w:p>
    <w:p w14:paraId="0A3FBC51" w14:textId="77777777" w:rsidR="00A052DC" w:rsidRDefault="009F0A60">
      <w:pPr>
        <w:ind w:firstLine="480"/>
      </w:pPr>
      <w:r>
        <w:t>&lt;ANNINRATE&gt;</w:t>
      </w:r>
      <w:r>
        <w:rPr>
          <w:rFonts w:hint="eastAsia"/>
        </w:rPr>
        <w:t>年化利率值</w:t>
      </w:r>
      <w:r>
        <w:t>&lt;/ANNINRATE&gt;</w:t>
      </w:r>
    </w:p>
    <w:p w14:paraId="4A281843" w14:textId="77777777" w:rsidR="00881462" w:rsidRDefault="009F0A60">
      <w:pPr>
        <w:ind w:firstLine="480"/>
      </w:pPr>
      <w:r>
        <w:t>&lt;CREDITORCODE&gt;</w:t>
      </w:r>
      <w:r>
        <w:rPr>
          <w:rFonts w:hint="eastAsia"/>
        </w:rPr>
        <w:t>债权人代码</w:t>
      </w:r>
      <w:r>
        <w:t>&lt;/CREDITORCODE&gt;</w:t>
      </w:r>
    </w:p>
    <w:p w14:paraId="7F379BF3" w14:textId="77777777" w:rsidR="00881462" w:rsidRDefault="009F0A60">
      <w:pPr>
        <w:ind w:firstLine="480"/>
      </w:pPr>
      <w:r>
        <w:t>&lt;CREDITORNAME&gt;</w:t>
      </w:r>
      <w:r>
        <w:rPr>
          <w:rFonts w:hint="eastAsia"/>
        </w:rPr>
        <w:t>债权人中文名称</w:t>
      </w:r>
      <w:r>
        <w:t>&lt;/CREDITORNAME&gt;</w:t>
      </w:r>
    </w:p>
    <w:p w14:paraId="1366C2C6" w14:textId="77777777" w:rsidR="00881462" w:rsidRDefault="009F0A60">
      <w:pPr>
        <w:ind w:firstLine="480"/>
      </w:pPr>
      <w:r>
        <w:t>&lt;CREDITORNAMEN&gt;</w:t>
      </w:r>
      <w:r>
        <w:rPr>
          <w:rFonts w:hint="eastAsia"/>
        </w:rPr>
        <w:t>债权人英文名称</w:t>
      </w:r>
      <w:r>
        <w:t>&lt;/CREDITORNAMEN&gt;</w:t>
      </w:r>
    </w:p>
    <w:p w14:paraId="684AE564" w14:textId="77777777" w:rsidR="00881462" w:rsidRDefault="009F0A60">
      <w:pPr>
        <w:ind w:firstLine="480"/>
      </w:pPr>
      <w:r>
        <w:t>&lt;CREDITORTYPE&gt;</w:t>
      </w:r>
      <w:r>
        <w:rPr>
          <w:rFonts w:hint="eastAsia"/>
        </w:rPr>
        <w:t>债权人类型代码</w:t>
      </w:r>
      <w:r>
        <w:t>&lt;/CREDITORTYPE&gt;</w:t>
      </w:r>
    </w:p>
    <w:p w14:paraId="1C4F27C3" w14:textId="77777777" w:rsidR="00881462" w:rsidRDefault="009F0A60">
      <w:pPr>
        <w:ind w:firstLine="480"/>
      </w:pPr>
      <w:r>
        <w:t>&lt;CREHQCODE&gt;</w:t>
      </w:r>
      <w:r>
        <w:rPr>
          <w:rFonts w:hint="eastAsia"/>
        </w:rPr>
        <w:t>债权人总部所在国家（地区）代码</w:t>
      </w:r>
      <w:r>
        <w:t>&lt;/CREHQCODE&gt;</w:t>
      </w:r>
    </w:p>
    <w:p w14:paraId="23B5360A" w14:textId="77777777" w:rsidR="00881462" w:rsidRDefault="009F0A60" w:rsidP="003F5826">
      <w:pPr>
        <w:ind w:firstLine="480"/>
      </w:pPr>
      <w:r>
        <w:t>&lt;OPERCODE&gt;</w:t>
      </w:r>
      <w:r>
        <w:rPr>
          <w:rFonts w:hint="eastAsia"/>
        </w:rPr>
        <w:t>债权人经营地所在国家（地区）代码</w:t>
      </w:r>
      <w:r>
        <w:t>&lt;/OPERCODE&gt;</w:t>
      </w:r>
    </w:p>
    <w:p w14:paraId="79E6DB12" w14:textId="77777777" w:rsidR="00A052DC" w:rsidRDefault="009F0A60">
      <w:pPr>
        <w:ind w:firstLine="480"/>
      </w:pPr>
      <w:r>
        <w:t>&lt;INPRTERM&gt;</w:t>
      </w:r>
      <w:r>
        <w:rPr>
          <w:rFonts w:hint="eastAsia"/>
        </w:rPr>
        <w:t>是否有利息本金化条款</w:t>
      </w:r>
      <w:r>
        <w:t>&lt;/INPRTERM&gt;</w:t>
      </w:r>
    </w:p>
    <w:p w14:paraId="286F3FA5" w14:textId="77777777" w:rsidR="00881462" w:rsidRDefault="009F0A60" w:rsidP="003F5826">
      <w:pPr>
        <w:ind w:firstLine="480"/>
      </w:pPr>
      <w:r>
        <w:t>&lt;SPAPFEBOINDEX&gt;</w:t>
      </w:r>
      <w:r>
        <w:rPr>
          <w:rFonts w:hint="eastAsia"/>
        </w:rPr>
        <w:t>是否不纳入跨境融资风险加权余额计算</w:t>
      </w:r>
      <w:r>
        <w:t>&lt;/SPAPFEBOINDEX&gt;</w:t>
      </w:r>
    </w:p>
    <w:p w14:paraId="4EE96B64" w14:textId="77777777" w:rsidR="00A052DC" w:rsidRDefault="009F0A60">
      <w:pPr>
        <w:ind w:firstLine="480"/>
      </w:pPr>
      <w:r>
        <w:t>&lt;PROJECTS&gt;</w:t>
      </w:r>
    </w:p>
    <w:p w14:paraId="6BC9BBFC" w14:textId="77777777" w:rsidR="00A052DC" w:rsidRDefault="009F0A60">
      <w:pPr>
        <w:ind w:firstLine="480"/>
      </w:pPr>
      <w:r>
        <w:t>&lt;PROJECTNAME&gt;</w:t>
      </w:r>
      <w:r>
        <w:rPr>
          <w:rFonts w:hint="eastAsia"/>
        </w:rPr>
        <w:t>项目名称</w:t>
      </w:r>
      <w:r>
        <w:t>&lt;/PROJECTNAME&gt;</w:t>
      </w:r>
    </w:p>
    <w:p w14:paraId="353D9886" w14:textId="77777777" w:rsidR="00A052DC" w:rsidRDefault="009F0A60">
      <w:pPr>
        <w:ind w:firstLine="480"/>
      </w:pPr>
      <w:r>
        <w:t>……</w:t>
      </w:r>
    </w:p>
    <w:p w14:paraId="17112EC3" w14:textId="77777777" w:rsidR="00A052DC" w:rsidRDefault="009F0A60">
      <w:pPr>
        <w:ind w:firstLine="480"/>
      </w:pPr>
      <w:r>
        <w:t>&lt;/PROJECTS&gt;</w:t>
      </w:r>
    </w:p>
    <w:p w14:paraId="093BBFC4" w14:textId="77777777" w:rsidR="00A052DC" w:rsidRDefault="009F0A60">
      <w:pPr>
        <w:ind w:firstLine="480"/>
      </w:pPr>
      <w:r>
        <w:t>&lt;RELATION&gt;</w:t>
      </w:r>
      <w:r>
        <w:rPr>
          <w:rFonts w:hint="eastAsia"/>
        </w:rPr>
        <w:t>对方与本机构的关系</w:t>
      </w:r>
      <w:r>
        <w:t>&lt;/RELATION&gt;</w:t>
      </w:r>
    </w:p>
    <w:p w14:paraId="54387C46" w14:textId="77777777" w:rsidR="00A052DC" w:rsidRDefault="009F0A60">
      <w:pPr>
        <w:ind w:firstLine="480"/>
      </w:pPr>
      <w:r>
        <w:t>&lt;REMARK&gt;</w:t>
      </w:r>
      <w:r>
        <w:rPr>
          <w:rFonts w:hint="eastAsia"/>
        </w:rPr>
        <w:t>备注</w:t>
      </w:r>
      <w:r>
        <w:t>&lt;/REMARK&gt;</w:t>
      </w:r>
    </w:p>
    <w:p w14:paraId="16045A81" w14:textId="77777777" w:rsidR="00A052DC" w:rsidRDefault="009F0A60">
      <w:pPr>
        <w:ind w:firstLine="480"/>
      </w:pPr>
      <w:r>
        <w:t>&lt;/REC&gt;</w:t>
      </w:r>
    </w:p>
    <w:p w14:paraId="4010CEDF" w14:textId="77777777" w:rsidR="00A052DC" w:rsidRDefault="009F0A60" w:rsidP="0020251D">
      <w:pPr>
        <w:pStyle w:val="5"/>
        <w:numPr>
          <w:ilvl w:val="4"/>
          <w:numId w:val="1"/>
        </w:numPr>
        <w:spacing w:before="120" w:after="120" w:line="360" w:lineRule="auto"/>
        <w:jc w:val="left"/>
      </w:pPr>
      <w:bookmarkStart w:id="1503" w:name="_Toc454386874"/>
      <w:r>
        <w:rPr>
          <w:rFonts w:hint="eastAsia"/>
        </w:rPr>
        <w:t>数据字典</w:t>
      </w:r>
      <w:bookmarkEnd w:id="1503"/>
    </w:p>
    <w:tbl>
      <w:tblPr>
        <w:tblW w:w="86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559"/>
        <w:gridCol w:w="1417"/>
        <w:gridCol w:w="3969"/>
      </w:tblGrid>
      <w:tr w:rsidR="00A052DC" w14:paraId="3145F7EA" w14:textId="77777777">
        <w:trPr>
          <w:tblHeader/>
        </w:trPr>
        <w:tc>
          <w:tcPr>
            <w:tcW w:w="1702" w:type="dxa"/>
            <w:shd w:val="clear" w:color="auto" w:fill="C0C0C0"/>
          </w:tcPr>
          <w:p w14:paraId="5FDD09D7" w14:textId="77777777" w:rsidR="00A052DC" w:rsidRDefault="009F0A60">
            <w:pPr>
              <w:pStyle w:val="B1"/>
            </w:pPr>
            <w:r>
              <w:rPr>
                <w:rFonts w:hint="eastAsia"/>
              </w:rPr>
              <w:t>字段</w:t>
            </w:r>
          </w:p>
        </w:tc>
        <w:tc>
          <w:tcPr>
            <w:tcW w:w="1559" w:type="dxa"/>
            <w:shd w:val="clear" w:color="auto" w:fill="C0C0C0"/>
          </w:tcPr>
          <w:p w14:paraId="3DCF6C39" w14:textId="77777777" w:rsidR="00A052DC" w:rsidRDefault="009F0A60">
            <w:pPr>
              <w:pStyle w:val="B1"/>
            </w:pPr>
            <w:r>
              <w:rPr>
                <w:rFonts w:hint="eastAsia"/>
              </w:rPr>
              <w:t>内容</w:t>
            </w:r>
          </w:p>
        </w:tc>
        <w:tc>
          <w:tcPr>
            <w:tcW w:w="1417" w:type="dxa"/>
            <w:shd w:val="clear" w:color="auto" w:fill="C0C0C0"/>
          </w:tcPr>
          <w:p w14:paraId="5977AEDB" w14:textId="77777777" w:rsidR="00A052DC" w:rsidRDefault="009F0A60">
            <w:pPr>
              <w:pStyle w:val="B1"/>
            </w:pPr>
            <w:r>
              <w:rPr>
                <w:rFonts w:hint="eastAsia"/>
              </w:rPr>
              <w:t>类型（长度）</w:t>
            </w:r>
          </w:p>
        </w:tc>
        <w:tc>
          <w:tcPr>
            <w:tcW w:w="3969" w:type="dxa"/>
            <w:shd w:val="clear" w:color="auto" w:fill="C0C0C0"/>
          </w:tcPr>
          <w:p w14:paraId="5F7BF3D4" w14:textId="77777777" w:rsidR="00A052DC" w:rsidRDefault="009F0A60">
            <w:pPr>
              <w:pStyle w:val="B1"/>
            </w:pPr>
            <w:r>
              <w:rPr>
                <w:rFonts w:hint="eastAsia"/>
              </w:rPr>
              <w:t>校验</w:t>
            </w:r>
          </w:p>
        </w:tc>
      </w:tr>
      <w:tr w:rsidR="00A052DC" w14:paraId="074E1730" w14:textId="77777777">
        <w:tc>
          <w:tcPr>
            <w:tcW w:w="1702" w:type="dxa"/>
          </w:tcPr>
          <w:p w14:paraId="64449510" w14:textId="77777777" w:rsidR="00A052DC" w:rsidRDefault="009F0A60">
            <w:pPr>
              <w:pStyle w:val="B"/>
              <w:rPr>
                <w:szCs w:val="20"/>
              </w:rPr>
            </w:pPr>
            <w:r>
              <w:rPr>
                <w:szCs w:val="20"/>
              </w:rPr>
              <w:t>ACTIONTYPE</w:t>
            </w:r>
          </w:p>
        </w:tc>
        <w:tc>
          <w:tcPr>
            <w:tcW w:w="1559" w:type="dxa"/>
          </w:tcPr>
          <w:p w14:paraId="36176479" w14:textId="77777777" w:rsidR="00A052DC" w:rsidRDefault="009F0A60">
            <w:pPr>
              <w:pStyle w:val="B"/>
              <w:rPr>
                <w:szCs w:val="20"/>
              </w:rPr>
            </w:pPr>
            <w:r>
              <w:rPr>
                <w:rFonts w:hint="eastAsia"/>
                <w:szCs w:val="20"/>
              </w:rPr>
              <w:t>操作类型</w:t>
            </w:r>
          </w:p>
        </w:tc>
        <w:tc>
          <w:tcPr>
            <w:tcW w:w="1417" w:type="dxa"/>
          </w:tcPr>
          <w:p w14:paraId="3A7651BF" w14:textId="77777777" w:rsidR="00A052DC" w:rsidRDefault="009F0A60">
            <w:pPr>
              <w:pStyle w:val="B"/>
              <w:rPr>
                <w:szCs w:val="20"/>
              </w:rPr>
            </w:pPr>
            <w:r>
              <w:rPr>
                <w:rFonts w:hint="eastAsia"/>
                <w:szCs w:val="20"/>
              </w:rPr>
              <w:t>字符型，</w:t>
            </w:r>
            <w:r>
              <w:rPr>
                <w:szCs w:val="20"/>
              </w:rPr>
              <w:t>1</w:t>
            </w:r>
          </w:p>
        </w:tc>
        <w:tc>
          <w:tcPr>
            <w:tcW w:w="3969" w:type="dxa"/>
          </w:tcPr>
          <w:p w14:paraId="682AD36B" w14:textId="77777777" w:rsidR="00A052DC" w:rsidRDefault="009F0A60">
            <w:pPr>
              <w:pStyle w:val="B"/>
              <w:rPr>
                <w:szCs w:val="20"/>
              </w:rPr>
            </w:pPr>
            <w:r>
              <w:rPr>
                <w:rFonts w:hint="eastAsia"/>
                <w:szCs w:val="20"/>
              </w:rPr>
              <w:t>必填项</w:t>
            </w:r>
            <w:r w:rsidR="000E18F5">
              <w:rPr>
                <w:rFonts w:hint="eastAsia"/>
                <w:szCs w:val="20"/>
              </w:rPr>
              <w:t>。</w:t>
            </w:r>
          </w:p>
          <w:p w14:paraId="4DFD9134" w14:textId="77777777" w:rsidR="00A052DC" w:rsidRDefault="009F0A60">
            <w:pPr>
              <w:pStyle w:val="B"/>
              <w:rPr>
                <w:szCs w:val="20"/>
              </w:rPr>
            </w:pPr>
            <w:r>
              <w:rPr>
                <w:szCs w:val="20"/>
              </w:rPr>
              <w:t>A</w:t>
            </w:r>
            <w:r w:rsidR="00AE4602">
              <w:rPr>
                <w:rFonts w:hint="eastAsia"/>
                <w:szCs w:val="20"/>
              </w:rPr>
              <w:t>-</w:t>
            </w:r>
            <w:r>
              <w:rPr>
                <w:rFonts w:hint="eastAsia"/>
                <w:szCs w:val="20"/>
              </w:rPr>
              <w:t>新建</w:t>
            </w:r>
          </w:p>
          <w:p w14:paraId="13B84FDC" w14:textId="77777777" w:rsidR="00A052DC" w:rsidRDefault="009F0A60">
            <w:pPr>
              <w:pStyle w:val="B"/>
              <w:rPr>
                <w:szCs w:val="20"/>
              </w:rPr>
            </w:pPr>
            <w:r>
              <w:rPr>
                <w:szCs w:val="20"/>
              </w:rPr>
              <w:t>C</w:t>
            </w:r>
            <w:r w:rsidR="00AE4602">
              <w:rPr>
                <w:rFonts w:hint="eastAsia"/>
                <w:szCs w:val="20"/>
              </w:rPr>
              <w:t>-</w:t>
            </w:r>
            <w:r>
              <w:rPr>
                <w:rFonts w:hint="eastAsia"/>
                <w:szCs w:val="20"/>
              </w:rPr>
              <w:t>修改</w:t>
            </w:r>
          </w:p>
          <w:p w14:paraId="20DC67D7" w14:textId="77777777" w:rsidR="000E18F5" w:rsidRDefault="009F0A60">
            <w:pPr>
              <w:pStyle w:val="B"/>
              <w:rPr>
                <w:szCs w:val="20"/>
              </w:rPr>
            </w:pPr>
            <w:r>
              <w:rPr>
                <w:szCs w:val="20"/>
              </w:rPr>
              <w:t>D</w:t>
            </w:r>
            <w:r w:rsidR="00AE4602">
              <w:rPr>
                <w:rFonts w:hint="eastAsia"/>
                <w:szCs w:val="20"/>
              </w:rPr>
              <w:t>-</w:t>
            </w:r>
            <w:r>
              <w:rPr>
                <w:rFonts w:hint="eastAsia"/>
                <w:szCs w:val="20"/>
              </w:rPr>
              <w:t>删除</w:t>
            </w:r>
          </w:p>
          <w:p w14:paraId="4288706E" w14:textId="77777777" w:rsidR="00A052DC" w:rsidRDefault="009F0A60">
            <w:pPr>
              <w:pStyle w:val="B"/>
              <w:rPr>
                <w:szCs w:val="20"/>
              </w:rPr>
            </w:pPr>
            <w:r>
              <w:rPr>
                <w:rFonts w:hint="eastAsia"/>
                <w:szCs w:val="20"/>
              </w:rPr>
              <w:t>一旦银行报送了该外债编号下的变动信息或月末存量信息，就不可以删除了。</w:t>
            </w:r>
          </w:p>
        </w:tc>
      </w:tr>
      <w:tr w:rsidR="00A052DC" w14:paraId="07DC8216" w14:textId="77777777">
        <w:tc>
          <w:tcPr>
            <w:tcW w:w="1702" w:type="dxa"/>
          </w:tcPr>
          <w:p w14:paraId="59DC3D24" w14:textId="77777777" w:rsidR="00A052DC" w:rsidRDefault="009F0A60">
            <w:pPr>
              <w:pStyle w:val="B"/>
              <w:rPr>
                <w:szCs w:val="20"/>
              </w:rPr>
            </w:pPr>
            <w:r>
              <w:rPr>
                <w:szCs w:val="20"/>
              </w:rPr>
              <w:t>ACTIONDESC</w:t>
            </w:r>
          </w:p>
        </w:tc>
        <w:tc>
          <w:tcPr>
            <w:tcW w:w="1559" w:type="dxa"/>
          </w:tcPr>
          <w:p w14:paraId="71226A76" w14:textId="77777777" w:rsidR="00A052DC" w:rsidRDefault="009F0A60">
            <w:pPr>
              <w:pStyle w:val="B"/>
              <w:rPr>
                <w:szCs w:val="20"/>
              </w:rPr>
            </w:pPr>
            <w:r>
              <w:rPr>
                <w:rFonts w:hint="eastAsia"/>
                <w:szCs w:val="20"/>
              </w:rPr>
              <w:t>删除原因</w:t>
            </w:r>
          </w:p>
        </w:tc>
        <w:tc>
          <w:tcPr>
            <w:tcW w:w="1417" w:type="dxa"/>
          </w:tcPr>
          <w:p w14:paraId="505B2FA5" w14:textId="77777777" w:rsidR="00A052DC" w:rsidRDefault="009F0A60">
            <w:pPr>
              <w:pStyle w:val="B"/>
              <w:rPr>
                <w:szCs w:val="20"/>
              </w:rPr>
            </w:pPr>
            <w:r>
              <w:rPr>
                <w:rFonts w:hint="eastAsia"/>
                <w:szCs w:val="20"/>
              </w:rPr>
              <w:t>字符型，</w:t>
            </w:r>
            <w:r>
              <w:rPr>
                <w:szCs w:val="20"/>
              </w:rPr>
              <w:t>128</w:t>
            </w:r>
          </w:p>
        </w:tc>
        <w:tc>
          <w:tcPr>
            <w:tcW w:w="3969" w:type="dxa"/>
          </w:tcPr>
          <w:p w14:paraId="553FB3AB" w14:textId="77777777" w:rsidR="00A052DC" w:rsidRDefault="00DD6AA3" w:rsidP="000E18F5">
            <w:pPr>
              <w:pStyle w:val="B"/>
              <w:rPr>
                <w:szCs w:val="20"/>
              </w:rPr>
            </w:pPr>
            <w:r>
              <w:rPr>
                <w:rFonts w:hint="eastAsia"/>
                <w:szCs w:val="20"/>
              </w:rPr>
              <w:t>非必填项，当操作类型（ACTIONTYPE）为删除时必填。</w:t>
            </w:r>
          </w:p>
        </w:tc>
      </w:tr>
      <w:tr w:rsidR="00A052DC" w14:paraId="6E65EC57" w14:textId="77777777">
        <w:tc>
          <w:tcPr>
            <w:tcW w:w="1702" w:type="dxa"/>
          </w:tcPr>
          <w:p w14:paraId="31774D1A" w14:textId="77777777" w:rsidR="00A052DC" w:rsidRDefault="009F0A60">
            <w:pPr>
              <w:pStyle w:val="B"/>
              <w:rPr>
                <w:szCs w:val="20"/>
              </w:rPr>
            </w:pPr>
            <w:r>
              <w:rPr>
                <w:szCs w:val="20"/>
              </w:rPr>
              <w:t>EXDEBTCODE</w:t>
            </w:r>
          </w:p>
        </w:tc>
        <w:tc>
          <w:tcPr>
            <w:tcW w:w="1559" w:type="dxa"/>
          </w:tcPr>
          <w:p w14:paraId="48D5A062" w14:textId="77777777" w:rsidR="00A052DC" w:rsidRDefault="009F0A60">
            <w:pPr>
              <w:pStyle w:val="B"/>
              <w:rPr>
                <w:szCs w:val="20"/>
              </w:rPr>
            </w:pPr>
            <w:r>
              <w:rPr>
                <w:rFonts w:hint="eastAsia"/>
                <w:szCs w:val="20"/>
              </w:rPr>
              <w:t>外债编号</w:t>
            </w:r>
          </w:p>
        </w:tc>
        <w:tc>
          <w:tcPr>
            <w:tcW w:w="1417" w:type="dxa"/>
          </w:tcPr>
          <w:p w14:paraId="4676A372" w14:textId="77777777" w:rsidR="00A052DC" w:rsidRDefault="009F0A60">
            <w:pPr>
              <w:pStyle w:val="B"/>
              <w:rPr>
                <w:szCs w:val="20"/>
              </w:rPr>
            </w:pPr>
            <w:r>
              <w:rPr>
                <w:rFonts w:hint="eastAsia"/>
                <w:szCs w:val="20"/>
              </w:rPr>
              <w:t>字符型，</w:t>
            </w:r>
            <w:r>
              <w:rPr>
                <w:szCs w:val="20"/>
              </w:rPr>
              <w:t>28</w:t>
            </w:r>
          </w:p>
        </w:tc>
        <w:tc>
          <w:tcPr>
            <w:tcW w:w="3969" w:type="dxa"/>
          </w:tcPr>
          <w:p w14:paraId="50693011" w14:textId="77777777" w:rsidR="00A052DC" w:rsidRDefault="009F0A60" w:rsidP="000E18F5">
            <w:pPr>
              <w:pStyle w:val="B"/>
              <w:rPr>
                <w:szCs w:val="20"/>
              </w:rPr>
            </w:pPr>
            <w:r>
              <w:rPr>
                <w:rFonts w:hint="eastAsia"/>
                <w:szCs w:val="20"/>
              </w:rPr>
              <w:t>必填项，外债唯一性编码。</w:t>
            </w:r>
          </w:p>
        </w:tc>
      </w:tr>
      <w:tr w:rsidR="00A052DC" w14:paraId="1C8FE8E8" w14:textId="77777777">
        <w:tc>
          <w:tcPr>
            <w:tcW w:w="1702" w:type="dxa"/>
          </w:tcPr>
          <w:p w14:paraId="5728C296" w14:textId="77777777" w:rsidR="00A052DC" w:rsidRDefault="009F0A60">
            <w:pPr>
              <w:pStyle w:val="B"/>
              <w:rPr>
                <w:szCs w:val="20"/>
              </w:rPr>
            </w:pPr>
            <w:r>
              <w:rPr>
                <w:szCs w:val="20"/>
              </w:rPr>
              <w:t>DEBTORCODE</w:t>
            </w:r>
          </w:p>
        </w:tc>
        <w:tc>
          <w:tcPr>
            <w:tcW w:w="1559" w:type="dxa"/>
          </w:tcPr>
          <w:p w14:paraId="51BDCD6E" w14:textId="77777777" w:rsidR="00A052DC" w:rsidRDefault="009F0A60">
            <w:pPr>
              <w:pStyle w:val="B"/>
              <w:rPr>
                <w:szCs w:val="20"/>
              </w:rPr>
            </w:pPr>
            <w:r>
              <w:rPr>
                <w:rFonts w:hint="eastAsia"/>
                <w:szCs w:val="20"/>
              </w:rPr>
              <w:t>债务人代码</w:t>
            </w:r>
          </w:p>
        </w:tc>
        <w:tc>
          <w:tcPr>
            <w:tcW w:w="1417" w:type="dxa"/>
          </w:tcPr>
          <w:p w14:paraId="797EE619" w14:textId="77777777" w:rsidR="00A052DC" w:rsidRDefault="009F0A60">
            <w:pPr>
              <w:pStyle w:val="B"/>
              <w:rPr>
                <w:szCs w:val="20"/>
              </w:rPr>
            </w:pPr>
            <w:r>
              <w:rPr>
                <w:rFonts w:hint="eastAsia"/>
                <w:szCs w:val="20"/>
              </w:rPr>
              <w:t>字符型，</w:t>
            </w:r>
            <w:r>
              <w:rPr>
                <w:szCs w:val="20"/>
              </w:rPr>
              <w:t>12</w:t>
            </w:r>
          </w:p>
        </w:tc>
        <w:tc>
          <w:tcPr>
            <w:tcW w:w="3969" w:type="dxa"/>
          </w:tcPr>
          <w:p w14:paraId="144E57ED" w14:textId="77777777" w:rsidR="00A052DC" w:rsidRDefault="009F0A60" w:rsidP="000E18F5">
            <w:pPr>
              <w:pStyle w:val="B"/>
              <w:rPr>
                <w:szCs w:val="20"/>
              </w:rPr>
            </w:pPr>
            <w:r>
              <w:rPr>
                <w:rFonts w:hint="eastAsia"/>
                <w:szCs w:val="20"/>
              </w:rPr>
              <w:t>必填项，金融机构标识码。</w:t>
            </w:r>
          </w:p>
        </w:tc>
      </w:tr>
      <w:tr w:rsidR="00A052DC" w14:paraId="2719BD37" w14:textId="77777777">
        <w:tc>
          <w:tcPr>
            <w:tcW w:w="1702" w:type="dxa"/>
          </w:tcPr>
          <w:p w14:paraId="57E6BC89" w14:textId="77777777" w:rsidR="00A052DC" w:rsidRDefault="009F0A60">
            <w:pPr>
              <w:pStyle w:val="B"/>
              <w:rPr>
                <w:szCs w:val="20"/>
              </w:rPr>
            </w:pPr>
            <w:r>
              <w:rPr>
                <w:szCs w:val="20"/>
              </w:rPr>
              <w:t>DEBTYPE</w:t>
            </w:r>
          </w:p>
        </w:tc>
        <w:tc>
          <w:tcPr>
            <w:tcW w:w="1559" w:type="dxa"/>
          </w:tcPr>
          <w:p w14:paraId="49DBACB6" w14:textId="77777777" w:rsidR="00A052DC" w:rsidRDefault="009F0A60">
            <w:pPr>
              <w:pStyle w:val="B"/>
              <w:rPr>
                <w:szCs w:val="20"/>
              </w:rPr>
            </w:pPr>
            <w:r>
              <w:rPr>
                <w:rFonts w:hint="eastAsia"/>
                <w:szCs w:val="20"/>
              </w:rPr>
              <w:t>债务类型</w:t>
            </w:r>
          </w:p>
        </w:tc>
        <w:tc>
          <w:tcPr>
            <w:tcW w:w="1417" w:type="dxa"/>
          </w:tcPr>
          <w:p w14:paraId="0B7D8CE6" w14:textId="77777777" w:rsidR="00A052DC" w:rsidRDefault="009F0A60">
            <w:pPr>
              <w:pStyle w:val="B"/>
              <w:rPr>
                <w:szCs w:val="20"/>
              </w:rPr>
            </w:pPr>
            <w:r>
              <w:rPr>
                <w:rFonts w:hint="eastAsia"/>
                <w:szCs w:val="20"/>
              </w:rPr>
              <w:t>字符型</w:t>
            </w:r>
            <w:r>
              <w:rPr>
                <w:rFonts w:cs="宋体" w:hint="eastAsia"/>
                <w:szCs w:val="20"/>
              </w:rPr>
              <w:t>，</w:t>
            </w:r>
            <w:r>
              <w:rPr>
                <w:rFonts w:cs="宋体"/>
                <w:szCs w:val="20"/>
              </w:rPr>
              <w:t>4</w:t>
            </w:r>
          </w:p>
        </w:tc>
        <w:tc>
          <w:tcPr>
            <w:tcW w:w="3969" w:type="dxa"/>
          </w:tcPr>
          <w:p w14:paraId="6A9311AB" w14:textId="77777777" w:rsidR="00A052DC" w:rsidRDefault="009F0A60">
            <w:pPr>
              <w:pStyle w:val="B"/>
              <w:rPr>
                <w:szCs w:val="20"/>
              </w:rPr>
            </w:pPr>
            <w:r>
              <w:rPr>
                <w:rFonts w:cs="宋体" w:hint="eastAsia"/>
                <w:szCs w:val="20"/>
              </w:rPr>
              <w:t>必填项，</w:t>
            </w:r>
            <w:r>
              <w:rPr>
                <w:rFonts w:hint="eastAsia"/>
                <w:szCs w:val="20"/>
              </w:rPr>
              <w:t>见债务类型代码表。</w:t>
            </w:r>
          </w:p>
        </w:tc>
      </w:tr>
      <w:tr w:rsidR="00A052DC" w14:paraId="568FCDF5" w14:textId="77777777">
        <w:tc>
          <w:tcPr>
            <w:tcW w:w="1702" w:type="dxa"/>
            <w:tcBorders>
              <w:top w:val="single" w:sz="4" w:space="0" w:color="auto"/>
              <w:left w:val="single" w:sz="4" w:space="0" w:color="auto"/>
              <w:bottom w:val="single" w:sz="4" w:space="0" w:color="auto"/>
              <w:right w:val="single" w:sz="4" w:space="0" w:color="auto"/>
            </w:tcBorders>
          </w:tcPr>
          <w:p w14:paraId="217CB6A2" w14:textId="77777777" w:rsidR="00A052DC" w:rsidRDefault="009F0A60">
            <w:pPr>
              <w:pStyle w:val="B"/>
              <w:rPr>
                <w:szCs w:val="20"/>
              </w:rPr>
            </w:pPr>
            <w:r>
              <w:rPr>
                <w:szCs w:val="20"/>
              </w:rPr>
              <w:t>CONTRACTDATE</w:t>
            </w:r>
          </w:p>
        </w:tc>
        <w:tc>
          <w:tcPr>
            <w:tcW w:w="1559" w:type="dxa"/>
            <w:tcBorders>
              <w:top w:val="single" w:sz="4" w:space="0" w:color="auto"/>
              <w:left w:val="single" w:sz="4" w:space="0" w:color="auto"/>
              <w:bottom w:val="single" w:sz="4" w:space="0" w:color="auto"/>
              <w:right w:val="single" w:sz="4" w:space="0" w:color="auto"/>
            </w:tcBorders>
          </w:tcPr>
          <w:p w14:paraId="48771B8D" w14:textId="77777777" w:rsidR="00A052DC" w:rsidRDefault="009F0A60">
            <w:pPr>
              <w:pStyle w:val="B"/>
              <w:rPr>
                <w:szCs w:val="20"/>
              </w:rPr>
            </w:pPr>
            <w:r>
              <w:rPr>
                <w:rFonts w:hint="eastAsia"/>
                <w:szCs w:val="20"/>
              </w:rPr>
              <w:t>签约日期</w:t>
            </w:r>
          </w:p>
        </w:tc>
        <w:tc>
          <w:tcPr>
            <w:tcW w:w="1417" w:type="dxa"/>
            <w:tcBorders>
              <w:top w:val="single" w:sz="4" w:space="0" w:color="auto"/>
              <w:left w:val="single" w:sz="4" w:space="0" w:color="auto"/>
              <w:bottom w:val="single" w:sz="4" w:space="0" w:color="auto"/>
              <w:right w:val="single" w:sz="4" w:space="0" w:color="auto"/>
            </w:tcBorders>
          </w:tcPr>
          <w:p w14:paraId="1C68BAA1" w14:textId="77777777" w:rsidR="00A052DC" w:rsidRDefault="009F0A60">
            <w:pPr>
              <w:pStyle w:val="B"/>
              <w:rPr>
                <w:szCs w:val="20"/>
              </w:rPr>
            </w:pPr>
            <w:r>
              <w:rPr>
                <w:rFonts w:hint="eastAsia"/>
                <w:szCs w:val="20"/>
              </w:rPr>
              <w:t>日期型，</w:t>
            </w:r>
            <w:r>
              <w:rPr>
                <w:szCs w:val="20"/>
              </w:rPr>
              <w:t>8</w:t>
            </w:r>
          </w:p>
        </w:tc>
        <w:tc>
          <w:tcPr>
            <w:tcW w:w="3969" w:type="dxa"/>
            <w:tcBorders>
              <w:top w:val="single" w:sz="4" w:space="0" w:color="auto"/>
              <w:left w:val="single" w:sz="4" w:space="0" w:color="auto"/>
              <w:bottom w:val="single" w:sz="4" w:space="0" w:color="auto"/>
              <w:right w:val="single" w:sz="4" w:space="0" w:color="auto"/>
            </w:tcBorders>
          </w:tcPr>
          <w:p w14:paraId="78CC741F" w14:textId="77777777" w:rsidR="00A052DC" w:rsidRDefault="009F0A60" w:rsidP="000E18F5">
            <w:pPr>
              <w:pStyle w:val="B"/>
              <w:rPr>
                <w:szCs w:val="20"/>
              </w:rPr>
            </w:pPr>
            <w:r>
              <w:rPr>
                <w:rFonts w:hint="eastAsia"/>
                <w:szCs w:val="20"/>
              </w:rPr>
              <w:t>必填项，格式</w:t>
            </w:r>
            <w:r>
              <w:rPr>
                <w:szCs w:val="20"/>
              </w:rPr>
              <w:t>YYYYMMDD</w:t>
            </w:r>
            <w:r>
              <w:rPr>
                <w:rFonts w:hint="eastAsia"/>
                <w:szCs w:val="20"/>
              </w:rPr>
              <w:t>，小于等于当前日期。</w:t>
            </w:r>
          </w:p>
        </w:tc>
      </w:tr>
      <w:tr w:rsidR="00A052DC" w14:paraId="3CEA41CD" w14:textId="77777777">
        <w:trPr>
          <w:cantSplit/>
          <w:trHeight w:val="64"/>
        </w:trPr>
        <w:tc>
          <w:tcPr>
            <w:tcW w:w="1702" w:type="dxa"/>
          </w:tcPr>
          <w:p w14:paraId="65DD2437" w14:textId="77777777" w:rsidR="00A052DC" w:rsidRDefault="009F0A60">
            <w:pPr>
              <w:pStyle w:val="B"/>
              <w:rPr>
                <w:szCs w:val="20"/>
              </w:rPr>
            </w:pPr>
            <w:r>
              <w:rPr>
                <w:szCs w:val="20"/>
              </w:rPr>
              <w:t>VALUEDATE</w:t>
            </w:r>
          </w:p>
        </w:tc>
        <w:tc>
          <w:tcPr>
            <w:tcW w:w="1559" w:type="dxa"/>
          </w:tcPr>
          <w:p w14:paraId="6FC3479E" w14:textId="77777777" w:rsidR="00A052DC" w:rsidRDefault="009F0A60">
            <w:pPr>
              <w:pStyle w:val="B"/>
              <w:rPr>
                <w:szCs w:val="20"/>
              </w:rPr>
            </w:pPr>
            <w:r>
              <w:rPr>
                <w:rFonts w:hint="eastAsia"/>
                <w:szCs w:val="20"/>
              </w:rPr>
              <w:t>起息日</w:t>
            </w:r>
          </w:p>
        </w:tc>
        <w:tc>
          <w:tcPr>
            <w:tcW w:w="1417" w:type="dxa"/>
          </w:tcPr>
          <w:p w14:paraId="319F58FB" w14:textId="77777777" w:rsidR="00A052DC" w:rsidRDefault="009F0A60">
            <w:pPr>
              <w:pStyle w:val="B"/>
              <w:rPr>
                <w:szCs w:val="20"/>
              </w:rPr>
            </w:pPr>
            <w:r>
              <w:rPr>
                <w:rFonts w:hint="eastAsia"/>
                <w:szCs w:val="20"/>
              </w:rPr>
              <w:t>日期型，</w:t>
            </w:r>
            <w:r>
              <w:rPr>
                <w:szCs w:val="20"/>
              </w:rPr>
              <w:t>8</w:t>
            </w:r>
          </w:p>
        </w:tc>
        <w:tc>
          <w:tcPr>
            <w:tcW w:w="3969" w:type="dxa"/>
          </w:tcPr>
          <w:p w14:paraId="49257444" w14:textId="77777777" w:rsidR="00A052DC" w:rsidRDefault="009F0A60" w:rsidP="000E18F5">
            <w:pPr>
              <w:pStyle w:val="B"/>
              <w:rPr>
                <w:szCs w:val="20"/>
              </w:rPr>
            </w:pPr>
            <w:r>
              <w:rPr>
                <w:rFonts w:hint="eastAsia"/>
                <w:szCs w:val="20"/>
              </w:rPr>
              <w:t>必填项，格式</w:t>
            </w:r>
            <w:r>
              <w:rPr>
                <w:szCs w:val="20"/>
              </w:rPr>
              <w:t>YYYYMMDD</w:t>
            </w:r>
            <w:r>
              <w:rPr>
                <w:rFonts w:hint="eastAsia"/>
                <w:szCs w:val="20"/>
              </w:rPr>
              <w:t>，大于等于签约日期。</w:t>
            </w:r>
          </w:p>
        </w:tc>
      </w:tr>
      <w:tr w:rsidR="00A052DC" w14:paraId="5BECC2F0" w14:textId="77777777">
        <w:trPr>
          <w:cantSplit/>
          <w:trHeight w:val="64"/>
        </w:trPr>
        <w:tc>
          <w:tcPr>
            <w:tcW w:w="1702" w:type="dxa"/>
          </w:tcPr>
          <w:p w14:paraId="01EB1AEF" w14:textId="77777777" w:rsidR="00A052DC" w:rsidRDefault="009F0A60">
            <w:pPr>
              <w:pStyle w:val="B"/>
              <w:rPr>
                <w:szCs w:val="20"/>
              </w:rPr>
            </w:pPr>
            <w:r>
              <w:rPr>
                <w:szCs w:val="20"/>
              </w:rPr>
              <w:t>CONTRACTCURR</w:t>
            </w:r>
          </w:p>
        </w:tc>
        <w:tc>
          <w:tcPr>
            <w:tcW w:w="1559" w:type="dxa"/>
          </w:tcPr>
          <w:p w14:paraId="337504E9" w14:textId="77777777" w:rsidR="00A052DC" w:rsidRDefault="009F0A60">
            <w:pPr>
              <w:pStyle w:val="B"/>
              <w:rPr>
                <w:szCs w:val="20"/>
              </w:rPr>
            </w:pPr>
            <w:r>
              <w:rPr>
                <w:rFonts w:hint="eastAsia"/>
                <w:szCs w:val="20"/>
              </w:rPr>
              <w:t>签约币种</w:t>
            </w:r>
          </w:p>
        </w:tc>
        <w:tc>
          <w:tcPr>
            <w:tcW w:w="1417" w:type="dxa"/>
          </w:tcPr>
          <w:p w14:paraId="2B4A406E" w14:textId="77777777" w:rsidR="00A052DC" w:rsidRDefault="009F0A60">
            <w:pPr>
              <w:pStyle w:val="B"/>
              <w:rPr>
                <w:szCs w:val="20"/>
              </w:rPr>
            </w:pPr>
            <w:r>
              <w:rPr>
                <w:rFonts w:hint="eastAsia"/>
                <w:szCs w:val="20"/>
              </w:rPr>
              <w:t>字符型，</w:t>
            </w:r>
            <w:r>
              <w:rPr>
                <w:szCs w:val="20"/>
              </w:rPr>
              <w:t>3</w:t>
            </w:r>
          </w:p>
        </w:tc>
        <w:tc>
          <w:tcPr>
            <w:tcW w:w="3969" w:type="dxa"/>
          </w:tcPr>
          <w:p w14:paraId="5A968803" w14:textId="77777777" w:rsidR="00A052DC" w:rsidRDefault="009F0A60" w:rsidP="000E18F5">
            <w:pPr>
              <w:pStyle w:val="B"/>
              <w:rPr>
                <w:szCs w:val="20"/>
              </w:rPr>
            </w:pPr>
            <w:r>
              <w:rPr>
                <w:rFonts w:hint="eastAsia"/>
                <w:szCs w:val="20"/>
              </w:rPr>
              <w:t>必填项，见币种代码表。</w:t>
            </w:r>
          </w:p>
        </w:tc>
      </w:tr>
      <w:tr w:rsidR="00A052DC" w14:paraId="16D7FCB8" w14:textId="77777777">
        <w:tc>
          <w:tcPr>
            <w:tcW w:w="1702" w:type="dxa"/>
          </w:tcPr>
          <w:p w14:paraId="24FF67F3" w14:textId="77777777" w:rsidR="00A052DC" w:rsidRDefault="009F0A60">
            <w:pPr>
              <w:pStyle w:val="B"/>
              <w:rPr>
                <w:szCs w:val="20"/>
              </w:rPr>
            </w:pPr>
            <w:r>
              <w:rPr>
                <w:szCs w:val="20"/>
              </w:rPr>
              <w:t>CONTRACTAMOUNT</w:t>
            </w:r>
          </w:p>
        </w:tc>
        <w:tc>
          <w:tcPr>
            <w:tcW w:w="1559" w:type="dxa"/>
          </w:tcPr>
          <w:p w14:paraId="7543AB4B" w14:textId="77777777" w:rsidR="00A052DC" w:rsidRDefault="009F0A60">
            <w:pPr>
              <w:pStyle w:val="B"/>
              <w:rPr>
                <w:szCs w:val="20"/>
              </w:rPr>
            </w:pPr>
            <w:r>
              <w:rPr>
                <w:rFonts w:hint="eastAsia"/>
                <w:szCs w:val="20"/>
              </w:rPr>
              <w:t>签约金额</w:t>
            </w:r>
          </w:p>
        </w:tc>
        <w:tc>
          <w:tcPr>
            <w:tcW w:w="1417" w:type="dxa"/>
          </w:tcPr>
          <w:p w14:paraId="400F4A2B" w14:textId="77777777" w:rsidR="00A052DC" w:rsidRDefault="009F0A60">
            <w:pPr>
              <w:pStyle w:val="B"/>
              <w:rPr>
                <w:szCs w:val="20"/>
              </w:rPr>
            </w:pPr>
            <w:r>
              <w:rPr>
                <w:rFonts w:hint="eastAsia"/>
                <w:szCs w:val="20"/>
              </w:rPr>
              <w:t>数值型，</w:t>
            </w:r>
            <w:r>
              <w:rPr>
                <w:szCs w:val="20"/>
              </w:rPr>
              <w:t>22.2</w:t>
            </w:r>
          </w:p>
        </w:tc>
        <w:tc>
          <w:tcPr>
            <w:tcW w:w="3969" w:type="dxa"/>
          </w:tcPr>
          <w:p w14:paraId="259D1915" w14:textId="77777777" w:rsidR="00A052DC" w:rsidRDefault="009F0A60">
            <w:pPr>
              <w:pStyle w:val="B"/>
              <w:rPr>
                <w:szCs w:val="20"/>
              </w:rPr>
            </w:pPr>
            <w:r>
              <w:rPr>
                <w:rFonts w:hint="eastAsia"/>
                <w:szCs w:val="20"/>
              </w:rPr>
              <w:t>必填项，大于等于</w:t>
            </w:r>
            <w:r>
              <w:rPr>
                <w:szCs w:val="20"/>
              </w:rPr>
              <w:t>0</w:t>
            </w:r>
            <w:r>
              <w:rPr>
                <w:rFonts w:hint="eastAsia"/>
                <w:szCs w:val="20"/>
              </w:rPr>
              <w:t>。</w:t>
            </w:r>
          </w:p>
        </w:tc>
      </w:tr>
      <w:tr w:rsidR="00A052DC" w14:paraId="6D5E2EC2" w14:textId="77777777">
        <w:tc>
          <w:tcPr>
            <w:tcW w:w="1702" w:type="dxa"/>
          </w:tcPr>
          <w:p w14:paraId="7706DA42" w14:textId="77777777" w:rsidR="00A052DC" w:rsidRDefault="009F0A60">
            <w:pPr>
              <w:pStyle w:val="B"/>
              <w:rPr>
                <w:szCs w:val="20"/>
              </w:rPr>
            </w:pPr>
            <w:r>
              <w:rPr>
                <w:szCs w:val="20"/>
              </w:rPr>
              <w:t>Maturity</w:t>
            </w:r>
          </w:p>
        </w:tc>
        <w:tc>
          <w:tcPr>
            <w:tcW w:w="1559" w:type="dxa"/>
          </w:tcPr>
          <w:p w14:paraId="5CF017C0" w14:textId="77777777" w:rsidR="00A052DC" w:rsidRDefault="009F0A60">
            <w:pPr>
              <w:pStyle w:val="B"/>
              <w:rPr>
                <w:szCs w:val="20"/>
              </w:rPr>
            </w:pPr>
            <w:r>
              <w:rPr>
                <w:rFonts w:hint="eastAsia"/>
                <w:szCs w:val="20"/>
              </w:rPr>
              <w:t>到期日</w:t>
            </w:r>
          </w:p>
        </w:tc>
        <w:tc>
          <w:tcPr>
            <w:tcW w:w="1417" w:type="dxa"/>
          </w:tcPr>
          <w:p w14:paraId="01CC11AC" w14:textId="77777777" w:rsidR="00A052DC" w:rsidRDefault="009F0A60">
            <w:pPr>
              <w:pStyle w:val="B"/>
              <w:rPr>
                <w:szCs w:val="20"/>
              </w:rPr>
            </w:pPr>
            <w:r>
              <w:rPr>
                <w:rFonts w:hint="eastAsia"/>
                <w:szCs w:val="20"/>
              </w:rPr>
              <w:t>日期型，</w:t>
            </w:r>
            <w:r>
              <w:rPr>
                <w:szCs w:val="20"/>
              </w:rPr>
              <w:t>8</w:t>
            </w:r>
          </w:p>
        </w:tc>
        <w:tc>
          <w:tcPr>
            <w:tcW w:w="3969" w:type="dxa"/>
          </w:tcPr>
          <w:p w14:paraId="0CCE9CB3" w14:textId="77777777" w:rsidR="00A052DC" w:rsidRDefault="009F0A60" w:rsidP="000E18F5">
            <w:pPr>
              <w:pStyle w:val="B"/>
              <w:rPr>
                <w:szCs w:val="20"/>
              </w:rPr>
            </w:pPr>
            <w:r>
              <w:rPr>
                <w:rFonts w:hint="eastAsia"/>
                <w:szCs w:val="20"/>
              </w:rPr>
              <w:t>必填项，格式</w:t>
            </w:r>
            <w:r>
              <w:rPr>
                <w:szCs w:val="20"/>
              </w:rPr>
              <w:t>YYYYMMDD</w:t>
            </w:r>
            <w:r>
              <w:rPr>
                <w:rFonts w:hint="eastAsia"/>
                <w:szCs w:val="20"/>
              </w:rPr>
              <w:t>，大于等于起息日。</w:t>
            </w:r>
          </w:p>
        </w:tc>
      </w:tr>
      <w:tr w:rsidR="00A052DC" w14:paraId="5F7FFE56" w14:textId="77777777">
        <w:tc>
          <w:tcPr>
            <w:tcW w:w="1702" w:type="dxa"/>
          </w:tcPr>
          <w:p w14:paraId="5134ADFF" w14:textId="77777777" w:rsidR="00A052DC" w:rsidRDefault="009F0A60">
            <w:pPr>
              <w:pStyle w:val="B"/>
              <w:rPr>
                <w:szCs w:val="20"/>
              </w:rPr>
            </w:pPr>
            <w:r>
              <w:rPr>
                <w:szCs w:val="20"/>
              </w:rPr>
              <w:t>FLOATRATE</w:t>
            </w:r>
          </w:p>
        </w:tc>
        <w:tc>
          <w:tcPr>
            <w:tcW w:w="1559" w:type="dxa"/>
          </w:tcPr>
          <w:p w14:paraId="6D03DEFC" w14:textId="77777777" w:rsidR="00A052DC" w:rsidRDefault="009F0A60">
            <w:pPr>
              <w:pStyle w:val="B"/>
              <w:rPr>
                <w:szCs w:val="20"/>
              </w:rPr>
            </w:pPr>
            <w:r>
              <w:rPr>
                <w:rFonts w:hint="eastAsia"/>
                <w:szCs w:val="20"/>
              </w:rPr>
              <w:t>是否浮动利率</w:t>
            </w:r>
          </w:p>
        </w:tc>
        <w:tc>
          <w:tcPr>
            <w:tcW w:w="1417" w:type="dxa"/>
          </w:tcPr>
          <w:p w14:paraId="488E5119" w14:textId="77777777" w:rsidR="00A052DC" w:rsidRDefault="009F0A60">
            <w:pPr>
              <w:pStyle w:val="B"/>
              <w:rPr>
                <w:szCs w:val="20"/>
              </w:rPr>
            </w:pPr>
            <w:r>
              <w:rPr>
                <w:rFonts w:hint="eastAsia"/>
                <w:szCs w:val="20"/>
              </w:rPr>
              <w:t>字符型，</w:t>
            </w:r>
            <w:r>
              <w:rPr>
                <w:szCs w:val="20"/>
              </w:rPr>
              <w:t>1</w:t>
            </w:r>
          </w:p>
        </w:tc>
        <w:tc>
          <w:tcPr>
            <w:tcW w:w="3969" w:type="dxa"/>
          </w:tcPr>
          <w:p w14:paraId="16CA071F" w14:textId="77777777" w:rsidR="00A052DC" w:rsidRDefault="009F0A60">
            <w:pPr>
              <w:pStyle w:val="B"/>
              <w:rPr>
                <w:szCs w:val="20"/>
              </w:rPr>
            </w:pPr>
            <w:r>
              <w:rPr>
                <w:rFonts w:hint="eastAsia"/>
                <w:szCs w:val="20"/>
              </w:rPr>
              <w:t>必填项，是</w:t>
            </w:r>
            <w:r>
              <w:rPr>
                <w:szCs w:val="20"/>
              </w:rPr>
              <w:t>-Y</w:t>
            </w:r>
            <w:r>
              <w:rPr>
                <w:rFonts w:hint="eastAsia"/>
                <w:szCs w:val="20"/>
              </w:rPr>
              <w:t>，否</w:t>
            </w:r>
            <w:r>
              <w:rPr>
                <w:szCs w:val="20"/>
              </w:rPr>
              <w:t>-N</w:t>
            </w:r>
            <w:r>
              <w:rPr>
                <w:rFonts w:hint="eastAsia"/>
                <w:szCs w:val="20"/>
              </w:rPr>
              <w:t>，默认为否，填写</w:t>
            </w:r>
            <w:r>
              <w:rPr>
                <w:szCs w:val="20"/>
              </w:rPr>
              <w:t>N</w:t>
            </w:r>
            <w:r>
              <w:rPr>
                <w:rFonts w:hint="eastAsia"/>
                <w:szCs w:val="20"/>
              </w:rPr>
              <w:t>。</w:t>
            </w:r>
          </w:p>
        </w:tc>
      </w:tr>
      <w:tr w:rsidR="00A052DC" w14:paraId="5F455EC3" w14:textId="77777777">
        <w:tc>
          <w:tcPr>
            <w:tcW w:w="1702" w:type="dxa"/>
          </w:tcPr>
          <w:p w14:paraId="4C4D0D6C" w14:textId="77777777" w:rsidR="00A052DC" w:rsidRDefault="009F0A60">
            <w:pPr>
              <w:pStyle w:val="B"/>
              <w:rPr>
                <w:szCs w:val="20"/>
              </w:rPr>
            </w:pPr>
            <w:r>
              <w:rPr>
                <w:szCs w:val="20"/>
              </w:rPr>
              <w:t>ANNINRATE</w:t>
            </w:r>
          </w:p>
        </w:tc>
        <w:tc>
          <w:tcPr>
            <w:tcW w:w="1559" w:type="dxa"/>
          </w:tcPr>
          <w:p w14:paraId="4308BC74" w14:textId="77777777" w:rsidR="00A052DC" w:rsidRDefault="009F0A60">
            <w:pPr>
              <w:pStyle w:val="B"/>
              <w:rPr>
                <w:szCs w:val="20"/>
              </w:rPr>
            </w:pPr>
            <w:r>
              <w:rPr>
                <w:rFonts w:hint="eastAsia"/>
                <w:szCs w:val="20"/>
              </w:rPr>
              <w:t>年化利率值</w:t>
            </w:r>
          </w:p>
        </w:tc>
        <w:tc>
          <w:tcPr>
            <w:tcW w:w="1417" w:type="dxa"/>
          </w:tcPr>
          <w:p w14:paraId="41328E46" w14:textId="77777777" w:rsidR="00A052DC" w:rsidRDefault="009F0A60">
            <w:pPr>
              <w:pStyle w:val="B"/>
              <w:rPr>
                <w:szCs w:val="20"/>
              </w:rPr>
            </w:pPr>
            <w:r>
              <w:rPr>
                <w:rFonts w:hint="eastAsia"/>
                <w:szCs w:val="20"/>
              </w:rPr>
              <w:t>数值型，</w:t>
            </w:r>
            <w:r>
              <w:rPr>
                <w:szCs w:val="20"/>
              </w:rPr>
              <w:t>13.8</w:t>
            </w:r>
          </w:p>
        </w:tc>
        <w:tc>
          <w:tcPr>
            <w:tcW w:w="3969" w:type="dxa"/>
          </w:tcPr>
          <w:p w14:paraId="4B88EEFE" w14:textId="77777777" w:rsidR="00A052DC" w:rsidRDefault="009F0A60" w:rsidP="000E18F5">
            <w:pPr>
              <w:pStyle w:val="B"/>
              <w:rPr>
                <w:szCs w:val="20"/>
              </w:rPr>
            </w:pPr>
            <w:r>
              <w:rPr>
                <w:rFonts w:hint="eastAsia"/>
                <w:szCs w:val="20"/>
              </w:rPr>
              <w:t>必填项，大于等于</w:t>
            </w:r>
            <w:r>
              <w:rPr>
                <w:szCs w:val="20"/>
              </w:rPr>
              <w:t>0</w:t>
            </w:r>
            <w:r>
              <w:rPr>
                <w:rFonts w:hint="eastAsia"/>
                <w:szCs w:val="20"/>
              </w:rPr>
              <w:t>，按小数填写</w:t>
            </w:r>
            <w:r w:rsidR="000E18F5">
              <w:rPr>
                <w:rFonts w:hint="eastAsia"/>
                <w:szCs w:val="20"/>
              </w:rPr>
              <w:t>。</w:t>
            </w:r>
            <w:r>
              <w:rPr>
                <w:rFonts w:hint="eastAsia"/>
                <w:szCs w:val="20"/>
              </w:rPr>
              <w:t>如利率为</w:t>
            </w:r>
            <w:r>
              <w:rPr>
                <w:szCs w:val="20"/>
              </w:rPr>
              <w:t>3.21%</w:t>
            </w:r>
            <w:r>
              <w:rPr>
                <w:rFonts w:hint="eastAsia"/>
                <w:szCs w:val="20"/>
              </w:rPr>
              <w:t>，则填写</w:t>
            </w:r>
            <w:r>
              <w:rPr>
                <w:szCs w:val="20"/>
              </w:rPr>
              <w:t>0.0321</w:t>
            </w:r>
            <w:r>
              <w:rPr>
                <w:rFonts w:hint="eastAsia"/>
                <w:szCs w:val="20"/>
              </w:rPr>
              <w:t>。</w:t>
            </w:r>
          </w:p>
        </w:tc>
      </w:tr>
      <w:tr w:rsidR="00A052DC" w14:paraId="2022FFD6" w14:textId="77777777">
        <w:tc>
          <w:tcPr>
            <w:tcW w:w="1702" w:type="dxa"/>
          </w:tcPr>
          <w:p w14:paraId="03514C8A" w14:textId="77777777" w:rsidR="00A052DC" w:rsidRDefault="009F0A60">
            <w:pPr>
              <w:pStyle w:val="B"/>
              <w:rPr>
                <w:szCs w:val="20"/>
              </w:rPr>
            </w:pPr>
            <w:r>
              <w:rPr>
                <w:szCs w:val="20"/>
              </w:rPr>
              <w:t>CREDITORCODE</w:t>
            </w:r>
          </w:p>
        </w:tc>
        <w:tc>
          <w:tcPr>
            <w:tcW w:w="1559" w:type="dxa"/>
          </w:tcPr>
          <w:p w14:paraId="60F1FA9C" w14:textId="77777777" w:rsidR="00A052DC" w:rsidRDefault="009F0A60">
            <w:pPr>
              <w:pStyle w:val="B"/>
              <w:rPr>
                <w:szCs w:val="20"/>
              </w:rPr>
            </w:pPr>
            <w:r>
              <w:rPr>
                <w:rFonts w:hint="eastAsia"/>
                <w:szCs w:val="20"/>
              </w:rPr>
              <w:t>债权人代码</w:t>
            </w:r>
          </w:p>
        </w:tc>
        <w:tc>
          <w:tcPr>
            <w:tcW w:w="1417" w:type="dxa"/>
          </w:tcPr>
          <w:p w14:paraId="3E282085" w14:textId="77777777" w:rsidR="00A052DC" w:rsidRDefault="009F0A60">
            <w:pPr>
              <w:pStyle w:val="B"/>
              <w:rPr>
                <w:szCs w:val="20"/>
              </w:rPr>
            </w:pPr>
            <w:r>
              <w:rPr>
                <w:rFonts w:hint="eastAsia"/>
                <w:szCs w:val="20"/>
              </w:rPr>
              <w:t>字符型，</w:t>
            </w:r>
            <w:r>
              <w:rPr>
                <w:szCs w:val="20"/>
              </w:rPr>
              <w:t>11</w:t>
            </w:r>
          </w:p>
        </w:tc>
        <w:tc>
          <w:tcPr>
            <w:tcW w:w="3969" w:type="dxa"/>
          </w:tcPr>
          <w:p w14:paraId="247463BD" w14:textId="77777777" w:rsidR="00A052DC" w:rsidRDefault="009F0A60">
            <w:pPr>
              <w:pStyle w:val="B"/>
              <w:rPr>
                <w:szCs w:val="20"/>
              </w:rPr>
            </w:pPr>
            <w:r>
              <w:rPr>
                <w:rFonts w:hint="eastAsia"/>
                <w:szCs w:val="20"/>
              </w:rPr>
              <w:t>非必填项。</w:t>
            </w:r>
          </w:p>
        </w:tc>
      </w:tr>
      <w:tr w:rsidR="00A052DC" w14:paraId="6496F051" w14:textId="77777777">
        <w:tc>
          <w:tcPr>
            <w:tcW w:w="1702" w:type="dxa"/>
          </w:tcPr>
          <w:p w14:paraId="79BD74BA" w14:textId="77777777" w:rsidR="00A052DC" w:rsidRDefault="009F0A60">
            <w:pPr>
              <w:pStyle w:val="B"/>
              <w:rPr>
                <w:szCs w:val="20"/>
              </w:rPr>
            </w:pPr>
            <w:r>
              <w:rPr>
                <w:szCs w:val="20"/>
              </w:rPr>
              <w:t>CREDITORNAME</w:t>
            </w:r>
          </w:p>
        </w:tc>
        <w:tc>
          <w:tcPr>
            <w:tcW w:w="1559" w:type="dxa"/>
          </w:tcPr>
          <w:p w14:paraId="7434086A" w14:textId="77777777" w:rsidR="00A052DC" w:rsidRDefault="009F0A60">
            <w:pPr>
              <w:pStyle w:val="B"/>
              <w:rPr>
                <w:szCs w:val="20"/>
              </w:rPr>
            </w:pPr>
            <w:r>
              <w:rPr>
                <w:rFonts w:hint="eastAsia"/>
                <w:szCs w:val="20"/>
              </w:rPr>
              <w:t>债权人中文名称</w:t>
            </w:r>
          </w:p>
        </w:tc>
        <w:tc>
          <w:tcPr>
            <w:tcW w:w="1417" w:type="dxa"/>
          </w:tcPr>
          <w:p w14:paraId="0B33CCA9" w14:textId="77777777" w:rsidR="00A052DC" w:rsidRDefault="009F0A60">
            <w:pPr>
              <w:pStyle w:val="B"/>
              <w:rPr>
                <w:szCs w:val="20"/>
              </w:rPr>
            </w:pPr>
            <w:r>
              <w:rPr>
                <w:rFonts w:hint="eastAsia"/>
                <w:szCs w:val="20"/>
              </w:rPr>
              <w:t>字符型，</w:t>
            </w:r>
            <w:r>
              <w:rPr>
                <w:szCs w:val="20"/>
              </w:rPr>
              <w:t>128</w:t>
            </w:r>
          </w:p>
        </w:tc>
        <w:tc>
          <w:tcPr>
            <w:tcW w:w="3969" w:type="dxa"/>
          </w:tcPr>
          <w:p w14:paraId="5D3F3680" w14:textId="77777777" w:rsidR="00A052DC" w:rsidRDefault="009F0A60">
            <w:pPr>
              <w:pStyle w:val="B"/>
              <w:rPr>
                <w:szCs w:val="20"/>
              </w:rPr>
            </w:pPr>
            <w:r>
              <w:rPr>
                <w:rFonts w:hint="eastAsia"/>
                <w:szCs w:val="20"/>
              </w:rPr>
              <w:t>非必填项，</w:t>
            </w:r>
          </w:p>
          <w:p w14:paraId="5D1AB4CC" w14:textId="77777777" w:rsidR="00A052DC" w:rsidRDefault="009F0A60">
            <w:pPr>
              <w:pStyle w:val="B"/>
              <w:rPr>
                <w:szCs w:val="20"/>
              </w:rPr>
            </w:pPr>
            <w:r>
              <w:rPr>
                <w:rFonts w:hint="eastAsia"/>
                <w:szCs w:val="20"/>
              </w:rPr>
              <w:t>债权人中文名称和债权人英文名称至少填写一个。</w:t>
            </w:r>
          </w:p>
        </w:tc>
      </w:tr>
      <w:tr w:rsidR="00A052DC" w14:paraId="67C8E992" w14:textId="77777777">
        <w:tc>
          <w:tcPr>
            <w:tcW w:w="1702" w:type="dxa"/>
          </w:tcPr>
          <w:p w14:paraId="0D8E3715" w14:textId="77777777" w:rsidR="00A052DC" w:rsidRDefault="009F0A60">
            <w:pPr>
              <w:pStyle w:val="B"/>
              <w:rPr>
                <w:szCs w:val="20"/>
              </w:rPr>
            </w:pPr>
            <w:r>
              <w:rPr>
                <w:szCs w:val="20"/>
              </w:rPr>
              <w:t>CREDITORNAMEN</w:t>
            </w:r>
          </w:p>
        </w:tc>
        <w:tc>
          <w:tcPr>
            <w:tcW w:w="1559" w:type="dxa"/>
          </w:tcPr>
          <w:p w14:paraId="23E3EA6F" w14:textId="77777777" w:rsidR="00A052DC" w:rsidRDefault="009F0A60">
            <w:pPr>
              <w:pStyle w:val="B"/>
              <w:rPr>
                <w:szCs w:val="20"/>
              </w:rPr>
            </w:pPr>
            <w:r>
              <w:rPr>
                <w:rFonts w:hint="eastAsia"/>
                <w:szCs w:val="20"/>
              </w:rPr>
              <w:t>债权人英文名称</w:t>
            </w:r>
          </w:p>
        </w:tc>
        <w:tc>
          <w:tcPr>
            <w:tcW w:w="1417" w:type="dxa"/>
          </w:tcPr>
          <w:p w14:paraId="79A57AF0" w14:textId="77777777" w:rsidR="00A052DC" w:rsidRDefault="009F0A60">
            <w:pPr>
              <w:pStyle w:val="B"/>
              <w:rPr>
                <w:szCs w:val="20"/>
              </w:rPr>
            </w:pPr>
            <w:r>
              <w:rPr>
                <w:rFonts w:hint="eastAsia"/>
                <w:szCs w:val="20"/>
              </w:rPr>
              <w:t>字符型，</w:t>
            </w:r>
            <w:r>
              <w:rPr>
                <w:szCs w:val="20"/>
              </w:rPr>
              <w:t>128</w:t>
            </w:r>
          </w:p>
        </w:tc>
        <w:tc>
          <w:tcPr>
            <w:tcW w:w="3969" w:type="dxa"/>
          </w:tcPr>
          <w:p w14:paraId="5C6A487D" w14:textId="77777777" w:rsidR="00A052DC" w:rsidRDefault="009F0A60">
            <w:pPr>
              <w:pStyle w:val="B"/>
              <w:rPr>
                <w:szCs w:val="20"/>
              </w:rPr>
            </w:pPr>
            <w:r>
              <w:rPr>
                <w:rFonts w:hint="eastAsia"/>
                <w:szCs w:val="20"/>
              </w:rPr>
              <w:t>非必填项，</w:t>
            </w:r>
          </w:p>
          <w:p w14:paraId="746BD4A0" w14:textId="77777777" w:rsidR="00A052DC" w:rsidRDefault="009F0A60">
            <w:pPr>
              <w:pStyle w:val="B"/>
              <w:rPr>
                <w:szCs w:val="20"/>
              </w:rPr>
            </w:pPr>
            <w:r>
              <w:rPr>
                <w:rFonts w:hint="eastAsia"/>
                <w:szCs w:val="20"/>
              </w:rPr>
              <w:t>债权人中文名称和债权人英文名称至少填写一个。</w:t>
            </w:r>
          </w:p>
        </w:tc>
      </w:tr>
      <w:tr w:rsidR="00A052DC" w14:paraId="74E8626C" w14:textId="77777777">
        <w:tc>
          <w:tcPr>
            <w:tcW w:w="1702" w:type="dxa"/>
          </w:tcPr>
          <w:p w14:paraId="21B5722A" w14:textId="77777777" w:rsidR="00A052DC" w:rsidRDefault="009F0A60">
            <w:pPr>
              <w:pStyle w:val="B"/>
              <w:rPr>
                <w:szCs w:val="20"/>
              </w:rPr>
            </w:pPr>
            <w:r>
              <w:rPr>
                <w:szCs w:val="20"/>
              </w:rPr>
              <w:t>CREDITORTYPE</w:t>
            </w:r>
          </w:p>
        </w:tc>
        <w:tc>
          <w:tcPr>
            <w:tcW w:w="1559" w:type="dxa"/>
          </w:tcPr>
          <w:p w14:paraId="48E96CDB" w14:textId="77777777" w:rsidR="00A052DC" w:rsidRDefault="009F0A60">
            <w:pPr>
              <w:pStyle w:val="B"/>
              <w:rPr>
                <w:szCs w:val="20"/>
              </w:rPr>
            </w:pPr>
            <w:r>
              <w:rPr>
                <w:rFonts w:hint="eastAsia"/>
                <w:szCs w:val="20"/>
              </w:rPr>
              <w:t>债权人类型代码</w:t>
            </w:r>
          </w:p>
        </w:tc>
        <w:tc>
          <w:tcPr>
            <w:tcW w:w="1417" w:type="dxa"/>
          </w:tcPr>
          <w:p w14:paraId="3E01DEDB" w14:textId="77777777" w:rsidR="00A052DC" w:rsidRDefault="009F0A60">
            <w:pPr>
              <w:pStyle w:val="B"/>
              <w:rPr>
                <w:szCs w:val="20"/>
              </w:rPr>
            </w:pPr>
            <w:r>
              <w:rPr>
                <w:rFonts w:hint="eastAsia"/>
                <w:szCs w:val="20"/>
              </w:rPr>
              <w:t>字符型，</w:t>
            </w:r>
            <w:r>
              <w:rPr>
                <w:szCs w:val="20"/>
              </w:rPr>
              <w:t>8</w:t>
            </w:r>
          </w:p>
        </w:tc>
        <w:tc>
          <w:tcPr>
            <w:tcW w:w="3969" w:type="dxa"/>
          </w:tcPr>
          <w:p w14:paraId="68CF5478" w14:textId="77777777" w:rsidR="00A052DC" w:rsidRDefault="009F0A60">
            <w:pPr>
              <w:pStyle w:val="B"/>
              <w:rPr>
                <w:szCs w:val="20"/>
              </w:rPr>
            </w:pPr>
            <w:r>
              <w:rPr>
                <w:rFonts w:hint="eastAsia"/>
                <w:szCs w:val="20"/>
              </w:rPr>
              <w:t>必填项，见境外主体类型代码表。</w:t>
            </w:r>
          </w:p>
        </w:tc>
      </w:tr>
      <w:tr w:rsidR="00A052DC" w14:paraId="291E41F2" w14:textId="77777777">
        <w:tc>
          <w:tcPr>
            <w:tcW w:w="1702" w:type="dxa"/>
          </w:tcPr>
          <w:p w14:paraId="1214B97B" w14:textId="77777777" w:rsidR="00A052DC" w:rsidRDefault="009F0A60">
            <w:pPr>
              <w:pStyle w:val="B"/>
              <w:rPr>
                <w:szCs w:val="20"/>
              </w:rPr>
            </w:pPr>
            <w:r>
              <w:rPr>
                <w:szCs w:val="20"/>
              </w:rPr>
              <w:t>CREHQCODE</w:t>
            </w:r>
          </w:p>
        </w:tc>
        <w:tc>
          <w:tcPr>
            <w:tcW w:w="1559" w:type="dxa"/>
          </w:tcPr>
          <w:p w14:paraId="401C5B0E" w14:textId="77777777" w:rsidR="00A052DC" w:rsidRDefault="009F0A60">
            <w:pPr>
              <w:pStyle w:val="B"/>
              <w:rPr>
                <w:szCs w:val="20"/>
              </w:rPr>
            </w:pPr>
            <w:r>
              <w:rPr>
                <w:rFonts w:hint="eastAsia"/>
                <w:szCs w:val="20"/>
              </w:rPr>
              <w:t>债权人总部所在国家（地区）代码</w:t>
            </w:r>
          </w:p>
        </w:tc>
        <w:tc>
          <w:tcPr>
            <w:tcW w:w="1417" w:type="dxa"/>
          </w:tcPr>
          <w:p w14:paraId="1ADE0AD8" w14:textId="77777777" w:rsidR="00A052DC" w:rsidRDefault="009F0A60">
            <w:pPr>
              <w:pStyle w:val="B"/>
              <w:rPr>
                <w:szCs w:val="20"/>
              </w:rPr>
            </w:pPr>
            <w:r>
              <w:rPr>
                <w:rFonts w:hint="eastAsia"/>
                <w:szCs w:val="20"/>
              </w:rPr>
              <w:t>字符型，</w:t>
            </w:r>
            <w:r>
              <w:rPr>
                <w:szCs w:val="20"/>
              </w:rPr>
              <w:t>3</w:t>
            </w:r>
          </w:p>
        </w:tc>
        <w:tc>
          <w:tcPr>
            <w:tcW w:w="3969" w:type="dxa"/>
          </w:tcPr>
          <w:p w14:paraId="5352C361" w14:textId="77777777" w:rsidR="00A052DC" w:rsidRDefault="009F0A60">
            <w:pPr>
              <w:pStyle w:val="B"/>
              <w:rPr>
                <w:szCs w:val="20"/>
              </w:rPr>
            </w:pPr>
            <w:r>
              <w:rPr>
                <w:rFonts w:hint="eastAsia"/>
                <w:szCs w:val="20"/>
              </w:rPr>
              <w:t>必填项，见国家和地区代码表。</w:t>
            </w:r>
          </w:p>
        </w:tc>
      </w:tr>
      <w:tr w:rsidR="00A052DC" w14:paraId="6087DAB2" w14:textId="77777777">
        <w:tc>
          <w:tcPr>
            <w:tcW w:w="1702" w:type="dxa"/>
          </w:tcPr>
          <w:p w14:paraId="08D4B55D" w14:textId="77777777" w:rsidR="00A052DC" w:rsidRDefault="009F0A60">
            <w:pPr>
              <w:pStyle w:val="B"/>
              <w:rPr>
                <w:szCs w:val="20"/>
              </w:rPr>
            </w:pPr>
            <w:r>
              <w:rPr>
                <w:szCs w:val="20"/>
              </w:rPr>
              <w:t>OPERCODE</w:t>
            </w:r>
          </w:p>
        </w:tc>
        <w:tc>
          <w:tcPr>
            <w:tcW w:w="1559" w:type="dxa"/>
          </w:tcPr>
          <w:p w14:paraId="633E5918" w14:textId="77777777" w:rsidR="00A052DC" w:rsidRDefault="009F0A60">
            <w:pPr>
              <w:pStyle w:val="B"/>
              <w:rPr>
                <w:szCs w:val="20"/>
              </w:rPr>
            </w:pPr>
            <w:r>
              <w:rPr>
                <w:rFonts w:hint="eastAsia"/>
                <w:szCs w:val="20"/>
              </w:rPr>
              <w:t>债权人经营地所在国家（地区）代码</w:t>
            </w:r>
          </w:p>
        </w:tc>
        <w:tc>
          <w:tcPr>
            <w:tcW w:w="1417" w:type="dxa"/>
          </w:tcPr>
          <w:p w14:paraId="69ECE347" w14:textId="77777777" w:rsidR="00A052DC" w:rsidRDefault="009F0A60">
            <w:pPr>
              <w:pStyle w:val="B"/>
              <w:rPr>
                <w:szCs w:val="20"/>
              </w:rPr>
            </w:pPr>
            <w:r>
              <w:rPr>
                <w:rFonts w:hint="eastAsia"/>
                <w:szCs w:val="20"/>
              </w:rPr>
              <w:t>字符型，</w:t>
            </w:r>
            <w:r>
              <w:rPr>
                <w:szCs w:val="20"/>
              </w:rPr>
              <w:t>3</w:t>
            </w:r>
          </w:p>
        </w:tc>
        <w:tc>
          <w:tcPr>
            <w:tcW w:w="3969" w:type="dxa"/>
          </w:tcPr>
          <w:p w14:paraId="3FD81AC5" w14:textId="77777777" w:rsidR="00A052DC" w:rsidRDefault="009F0A60">
            <w:pPr>
              <w:pStyle w:val="B"/>
              <w:rPr>
                <w:szCs w:val="20"/>
              </w:rPr>
            </w:pPr>
            <w:r>
              <w:rPr>
                <w:rFonts w:hint="eastAsia"/>
                <w:szCs w:val="20"/>
              </w:rPr>
              <w:t>必填项，见国家和地区代码表。当债权人类型代码不为“境内银行离岸部（20001403）”时,不能为中国CHN。</w:t>
            </w:r>
          </w:p>
        </w:tc>
      </w:tr>
      <w:tr w:rsidR="00A052DC" w14:paraId="47199AAF" w14:textId="77777777">
        <w:tc>
          <w:tcPr>
            <w:tcW w:w="1702" w:type="dxa"/>
          </w:tcPr>
          <w:p w14:paraId="56DDC46A" w14:textId="77777777" w:rsidR="00A052DC" w:rsidRDefault="009F0A60">
            <w:pPr>
              <w:pStyle w:val="B"/>
              <w:rPr>
                <w:szCs w:val="20"/>
              </w:rPr>
            </w:pPr>
            <w:r>
              <w:rPr>
                <w:szCs w:val="20"/>
              </w:rPr>
              <w:t>INPRTERM</w:t>
            </w:r>
          </w:p>
        </w:tc>
        <w:tc>
          <w:tcPr>
            <w:tcW w:w="1559" w:type="dxa"/>
          </w:tcPr>
          <w:p w14:paraId="14C509FA" w14:textId="77777777" w:rsidR="00A052DC" w:rsidRDefault="009F0A60">
            <w:pPr>
              <w:pStyle w:val="B"/>
              <w:rPr>
                <w:szCs w:val="20"/>
              </w:rPr>
            </w:pPr>
            <w:r>
              <w:rPr>
                <w:rFonts w:hint="eastAsia"/>
                <w:szCs w:val="20"/>
              </w:rPr>
              <w:t>是否有利息本金化条款</w:t>
            </w:r>
          </w:p>
        </w:tc>
        <w:tc>
          <w:tcPr>
            <w:tcW w:w="1417" w:type="dxa"/>
          </w:tcPr>
          <w:p w14:paraId="661C6BC6" w14:textId="77777777" w:rsidR="00A052DC" w:rsidRDefault="009F0A60">
            <w:pPr>
              <w:pStyle w:val="B"/>
              <w:rPr>
                <w:szCs w:val="20"/>
              </w:rPr>
            </w:pPr>
            <w:r>
              <w:rPr>
                <w:rFonts w:hint="eastAsia"/>
                <w:szCs w:val="20"/>
              </w:rPr>
              <w:t>字符型，</w:t>
            </w:r>
            <w:r>
              <w:rPr>
                <w:szCs w:val="20"/>
              </w:rPr>
              <w:t>1</w:t>
            </w:r>
          </w:p>
        </w:tc>
        <w:tc>
          <w:tcPr>
            <w:tcW w:w="3969" w:type="dxa"/>
          </w:tcPr>
          <w:p w14:paraId="6B5F6E5B" w14:textId="77777777" w:rsidR="00A052DC" w:rsidRDefault="009F0A60">
            <w:pPr>
              <w:pStyle w:val="B"/>
              <w:rPr>
                <w:szCs w:val="20"/>
              </w:rPr>
            </w:pPr>
            <w:r>
              <w:rPr>
                <w:rFonts w:hint="eastAsia"/>
                <w:szCs w:val="20"/>
              </w:rPr>
              <w:t>必填项，是</w:t>
            </w:r>
            <w:r>
              <w:rPr>
                <w:szCs w:val="20"/>
              </w:rPr>
              <w:t>-Y</w:t>
            </w:r>
            <w:r>
              <w:rPr>
                <w:rFonts w:hint="eastAsia"/>
                <w:szCs w:val="20"/>
              </w:rPr>
              <w:t>，否</w:t>
            </w:r>
            <w:r>
              <w:rPr>
                <w:szCs w:val="20"/>
              </w:rPr>
              <w:t>-N</w:t>
            </w:r>
            <w:r>
              <w:rPr>
                <w:rFonts w:hint="eastAsia"/>
                <w:szCs w:val="20"/>
              </w:rPr>
              <w:t>，默认为否，填写</w:t>
            </w:r>
            <w:r>
              <w:rPr>
                <w:szCs w:val="20"/>
              </w:rPr>
              <w:t>N</w:t>
            </w:r>
            <w:r>
              <w:rPr>
                <w:rFonts w:hint="eastAsia"/>
                <w:szCs w:val="20"/>
              </w:rPr>
              <w:t>。</w:t>
            </w:r>
          </w:p>
        </w:tc>
      </w:tr>
      <w:tr w:rsidR="00A052DC" w14:paraId="17FEB1FF" w14:textId="77777777">
        <w:tc>
          <w:tcPr>
            <w:tcW w:w="1702" w:type="dxa"/>
          </w:tcPr>
          <w:p w14:paraId="3C500EB4" w14:textId="77777777" w:rsidR="00A052DC" w:rsidRDefault="009F0A60">
            <w:pPr>
              <w:pStyle w:val="B"/>
              <w:rPr>
                <w:szCs w:val="20"/>
              </w:rPr>
            </w:pPr>
            <w:r>
              <w:rPr>
                <w:szCs w:val="20"/>
              </w:rPr>
              <w:t>SPAPFEBOINDEX</w:t>
            </w:r>
          </w:p>
        </w:tc>
        <w:tc>
          <w:tcPr>
            <w:tcW w:w="1559" w:type="dxa"/>
          </w:tcPr>
          <w:p w14:paraId="6650F524" w14:textId="77777777" w:rsidR="00A052DC" w:rsidRDefault="009F0A60">
            <w:pPr>
              <w:pStyle w:val="B"/>
              <w:rPr>
                <w:szCs w:val="20"/>
              </w:rPr>
            </w:pPr>
            <w:r>
              <w:rPr>
                <w:rFonts w:hint="eastAsia"/>
                <w:szCs w:val="20"/>
              </w:rPr>
              <w:t>是否不纳入跨境融资风险加权余额计算</w:t>
            </w:r>
          </w:p>
        </w:tc>
        <w:tc>
          <w:tcPr>
            <w:tcW w:w="1417" w:type="dxa"/>
          </w:tcPr>
          <w:p w14:paraId="4AD9598B" w14:textId="77777777" w:rsidR="00A052DC" w:rsidRDefault="009F0A60">
            <w:pPr>
              <w:pStyle w:val="B"/>
              <w:rPr>
                <w:szCs w:val="20"/>
              </w:rPr>
            </w:pPr>
            <w:r>
              <w:rPr>
                <w:rFonts w:hint="eastAsia"/>
                <w:szCs w:val="20"/>
              </w:rPr>
              <w:t>字符型，</w:t>
            </w:r>
            <w:r>
              <w:rPr>
                <w:szCs w:val="20"/>
              </w:rPr>
              <w:t>1</w:t>
            </w:r>
          </w:p>
        </w:tc>
        <w:tc>
          <w:tcPr>
            <w:tcW w:w="3969" w:type="dxa"/>
          </w:tcPr>
          <w:p w14:paraId="0F4CFFD1" w14:textId="77777777" w:rsidR="00A052DC" w:rsidRDefault="009F0A60">
            <w:pPr>
              <w:pStyle w:val="B"/>
              <w:rPr>
                <w:szCs w:val="20"/>
              </w:rPr>
            </w:pPr>
            <w:r>
              <w:rPr>
                <w:rFonts w:hint="eastAsia"/>
                <w:szCs w:val="20"/>
              </w:rPr>
              <w:t>必填项，是</w:t>
            </w:r>
            <w:r>
              <w:rPr>
                <w:szCs w:val="20"/>
              </w:rPr>
              <w:t>-Y</w:t>
            </w:r>
            <w:r>
              <w:rPr>
                <w:rFonts w:hint="eastAsia"/>
                <w:szCs w:val="20"/>
              </w:rPr>
              <w:t>，否</w:t>
            </w:r>
            <w:r>
              <w:rPr>
                <w:szCs w:val="20"/>
              </w:rPr>
              <w:t>-N</w:t>
            </w:r>
            <w:r>
              <w:rPr>
                <w:rFonts w:hint="eastAsia"/>
                <w:szCs w:val="20"/>
              </w:rPr>
              <w:t>，默认为否，填写</w:t>
            </w:r>
            <w:r>
              <w:rPr>
                <w:szCs w:val="20"/>
              </w:rPr>
              <w:t>N</w:t>
            </w:r>
            <w:r>
              <w:rPr>
                <w:rFonts w:hint="eastAsia"/>
                <w:szCs w:val="20"/>
              </w:rPr>
              <w:t>。</w:t>
            </w:r>
          </w:p>
        </w:tc>
      </w:tr>
      <w:tr w:rsidR="00A052DC" w14:paraId="67ECF462" w14:textId="77777777">
        <w:tc>
          <w:tcPr>
            <w:tcW w:w="1702" w:type="dxa"/>
          </w:tcPr>
          <w:p w14:paraId="20FF388A" w14:textId="77777777" w:rsidR="00A052DC" w:rsidRDefault="009F0A60">
            <w:pPr>
              <w:pStyle w:val="B"/>
              <w:rPr>
                <w:szCs w:val="20"/>
              </w:rPr>
            </w:pPr>
            <w:r>
              <w:rPr>
                <w:szCs w:val="20"/>
              </w:rPr>
              <w:t>PROJECTNAME</w:t>
            </w:r>
          </w:p>
        </w:tc>
        <w:tc>
          <w:tcPr>
            <w:tcW w:w="1559" w:type="dxa"/>
          </w:tcPr>
          <w:p w14:paraId="7A28C2BF" w14:textId="77777777" w:rsidR="00A052DC" w:rsidRDefault="009F0A60">
            <w:pPr>
              <w:pStyle w:val="B"/>
              <w:rPr>
                <w:szCs w:val="20"/>
              </w:rPr>
            </w:pPr>
            <w:r>
              <w:rPr>
                <w:rFonts w:hint="eastAsia"/>
                <w:szCs w:val="20"/>
              </w:rPr>
              <w:t>项目名称</w:t>
            </w:r>
          </w:p>
        </w:tc>
        <w:tc>
          <w:tcPr>
            <w:tcW w:w="1417" w:type="dxa"/>
          </w:tcPr>
          <w:p w14:paraId="08C41792" w14:textId="77777777" w:rsidR="00A052DC" w:rsidRDefault="009F0A60">
            <w:pPr>
              <w:pStyle w:val="B"/>
              <w:rPr>
                <w:szCs w:val="20"/>
              </w:rPr>
            </w:pPr>
            <w:r>
              <w:rPr>
                <w:rFonts w:hint="eastAsia"/>
                <w:szCs w:val="20"/>
              </w:rPr>
              <w:t>字符型，</w:t>
            </w:r>
            <w:r>
              <w:rPr>
                <w:szCs w:val="20"/>
              </w:rPr>
              <w:t>128</w:t>
            </w:r>
          </w:p>
        </w:tc>
        <w:tc>
          <w:tcPr>
            <w:tcW w:w="3969" w:type="dxa"/>
          </w:tcPr>
          <w:p w14:paraId="65C8EB04" w14:textId="77777777" w:rsidR="00A052DC" w:rsidRDefault="009F0A60">
            <w:pPr>
              <w:pStyle w:val="B"/>
              <w:rPr>
                <w:szCs w:val="20"/>
              </w:rPr>
            </w:pPr>
            <w:r>
              <w:rPr>
                <w:rFonts w:hint="eastAsia"/>
                <w:szCs w:val="20"/>
              </w:rPr>
              <w:t>必填项。</w:t>
            </w:r>
          </w:p>
        </w:tc>
      </w:tr>
      <w:tr w:rsidR="00A052DC" w14:paraId="25C4A2DF" w14:textId="77777777">
        <w:tc>
          <w:tcPr>
            <w:tcW w:w="1702" w:type="dxa"/>
          </w:tcPr>
          <w:p w14:paraId="08683E14" w14:textId="77777777" w:rsidR="00A052DC" w:rsidRDefault="009F0A60">
            <w:pPr>
              <w:pStyle w:val="B"/>
              <w:rPr>
                <w:szCs w:val="20"/>
              </w:rPr>
            </w:pPr>
            <w:r>
              <w:rPr>
                <w:szCs w:val="20"/>
              </w:rPr>
              <w:t>RELATION</w:t>
            </w:r>
          </w:p>
        </w:tc>
        <w:tc>
          <w:tcPr>
            <w:tcW w:w="1559" w:type="dxa"/>
          </w:tcPr>
          <w:p w14:paraId="22223D04" w14:textId="77777777" w:rsidR="00A052DC" w:rsidRDefault="009F0A60">
            <w:pPr>
              <w:pStyle w:val="B"/>
              <w:rPr>
                <w:szCs w:val="20"/>
              </w:rPr>
            </w:pPr>
            <w:r>
              <w:rPr>
                <w:rFonts w:hint="eastAsia"/>
                <w:szCs w:val="20"/>
              </w:rPr>
              <w:t>对方与本机构的关系</w:t>
            </w:r>
          </w:p>
        </w:tc>
        <w:tc>
          <w:tcPr>
            <w:tcW w:w="1417" w:type="dxa"/>
          </w:tcPr>
          <w:p w14:paraId="168B7B54" w14:textId="77777777" w:rsidR="00A052DC" w:rsidRDefault="009F0A60">
            <w:pPr>
              <w:pStyle w:val="B"/>
              <w:rPr>
                <w:szCs w:val="20"/>
              </w:rPr>
            </w:pPr>
            <w:r>
              <w:rPr>
                <w:rFonts w:hint="eastAsia"/>
                <w:szCs w:val="20"/>
              </w:rPr>
              <w:t>字符型，</w:t>
            </w:r>
            <w:r>
              <w:rPr>
                <w:szCs w:val="20"/>
              </w:rPr>
              <w:t>2</w:t>
            </w:r>
          </w:p>
        </w:tc>
        <w:tc>
          <w:tcPr>
            <w:tcW w:w="3969" w:type="dxa"/>
          </w:tcPr>
          <w:p w14:paraId="0006F3D3" w14:textId="77777777" w:rsidR="00A052DC" w:rsidRDefault="009F0A60">
            <w:pPr>
              <w:pStyle w:val="B"/>
              <w:rPr>
                <w:szCs w:val="20"/>
              </w:rPr>
            </w:pPr>
            <w:r>
              <w:rPr>
                <w:rFonts w:hint="eastAsia"/>
                <w:szCs w:val="20"/>
              </w:rPr>
              <w:t>必填项，见对方与本机构</w:t>
            </w:r>
            <w:r>
              <w:rPr>
                <w:szCs w:val="20"/>
              </w:rPr>
              <w:t>/</w:t>
            </w:r>
            <w:r>
              <w:rPr>
                <w:rFonts w:hint="eastAsia"/>
                <w:szCs w:val="20"/>
              </w:rPr>
              <w:t>被代理居民机构</w:t>
            </w:r>
            <w:r>
              <w:rPr>
                <w:szCs w:val="20"/>
              </w:rPr>
              <w:t>/</w:t>
            </w:r>
            <w:r>
              <w:rPr>
                <w:rFonts w:hint="eastAsia"/>
                <w:szCs w:val="20"/>
              </w:rPr>
              <w:t>委托人的关系代码表。</w:t>
            </w:r>
          </w:p>
        </w:tc>
      </w:tr>
      <w:tr w:rsidR="00A052DC" w14:paraId="466EF34C" w14:textId="77777777">
        <w:tc>
          <w:tcPr>
            <w:tcW w:w="1702" w:type="dxa"/>
            <w:tcBorders>
              <w:top w:val="single" w:sz="4" w:space="0" w:color="auto"/>
              <w:left w:val="single" w:sz="4" w:space="0" w:color="auto"/>
              <w:bottom w:val="single" w:sz="4" w:space="0" w:color="auto"/>
              <w:right w:val="single" w:sz="4" w:space="0" w:color="auto"/>
            </w:tcBorders>
          </w:tcPr>
          <w:p w14:paraId="03A907DA" w14:textId="77777777" w:rsidR="00A052DC" w:rsidRDefault="009F0A60">
            <w:pPr>
              <w:pStyle w:val="B"/>
              <w:rPr>
                <w:szCs w:val="20"/>
              </w:rPr>
            </w:pPr>
            <w:r>
              <w:rPr>
                <w:szCs w:val="20"/>
              </w:rPr>
              <w:t>REMARK</w:t>
            </w:r>
          </w:p>
        </w:tc>
        <w:tc>
          <w:tcPr>
            <w:tcW w:w="1559" w:type="dxa"/>
            <w:tcBorders>
              <w:top w:val="single" w:sz="4" w:space="0" w:color="auto"/>
              <w:left w:val="single" w:sz="4" w:space="0" w:color="auto"/>
              <w:bottom w:val="single" w:sz="4" w:space="0" w:color="auto"/>
              <w:right w:val="single" w:sz="4" w:space="0" w:color="auto"/>
            </w:tcBorders>
          </w:tcPr>
          <w:p w14:paraId="069EF836" w14:textId="77777777" w:rsidR="00A052DC" w:rsidRDefault="009F0A60">
            <w:pPr>
              <w:pStyle w:val="B"/>
              <w:rPr>
                <w:szCs w:val="20"/>
              </w:rPr>
            </w:pPr>
            <w:r>
              <w:rPr>
                <w:rFonts w:hint="eastAsia"/>
                <w:szCs w:val="20"/>
              </w:rPr>
              <w:t>备注</w:t>
            </w:r>
          </w:p>
        </w:tc>
        <w:tc>
          <w:tcPr>
            <w:tcW w:w="1417" w:type="dxa"/>
            <w:tcBorders>
              <w:top w:val="single" w:sz="4" w:space="0" w:color="auto"/>
              <w:left w:val="single" w:sz="4" w:space="0" w:color="auto"/>
              <w:bottom w:val="single" w:sz="4" w:space="0" w:color="auto"/>
              <w:right w:val="single" w:sz="4" w:space="0" w:color="auto"/>
            </w:tcBorders>
          </w:tcPr>
          <w:p w14:paraId="1BA4E412" w14:textId="77777777" w:rsidR="00A052DC" w:rsidRDefault="009F0A60">
            <w:pPr>
              <w:pStyle w:val="B"/>
              <w:rPr>
                <w:szCs w:val="20"/>
              </w:rPr>
            </w:pPr>
            <w:r>
              <w:rPr>
                <w:rFonts w:hint="eastAsia"/>
                <w:szCs w:val="20"/>
              </w:rPr>
              <w:t>字符型，</w:t>
            </w:r>
            <w:r>
              <w:rPr>
                <w:szCs w:val="20"/>
              </w:rPr>
              <w:t>256</w:t>
            </w:r>
          </w:p>
        </w:tc>
        <w:tc>
          <w:tcPr>
            <w:tcW w:w="3969" w:type="dxa"/>
            <w:tcBorders>
              <w:top w:val="single" w:sz="4" w:space="0" w:color="auto"/>
              <w:left w:val="single" w:sz="4" w:space="0" w:color="auto"/>
              <w:bottom w:val="single" w:sz="4" w:space="0" w:color="auto"/>
              <w:right w:val="single" w:sz="4" w:space="0" w:color="auto"/>
            </w:tcBorders>
          </w:tcPr>
          <w:p w14:paraId="1FCE3FB6" w14:textId="77777777" w:rsidR="00A052DC" w:rsidRDefault="009F0A60">
            <w:pPr>
              <w:pStyle w:val="B"/>
              <w:rPr>
                <w:szCs w:val="20"/>
              </w:rPr>
            </w:pPr>
            <w:r>
              <w:rPr>
                <w:rFonts w:hint="eastAsia"/>
                <w:szCs w:val="20"/>
              </w:rPr>
              <w:t>非必填项。</w:t>
            </w:r>
          </w:p>
        </w:tc>
      </w:tr>
    </w:tbl>
    <w:p w14:paraId="29787DB5" w14:textId="77777777" w:rsidR="00A052DC" w:rsidRDefault="009F0A60">
      <w:pPr>
        <w:pStyle w:val="4"/>
        <w:numPr>
          <w:ilvl w:val="3"/>
          <w:numId w:val="1"/>
        </w:numPr>
        <w:jc w:val="left"/>
      </w:pPr>
      <w:bookmarkStart w:id="1504" w:name="_Toc454386875"/>
      <w:bookmarkStart w:id="1505" w:name="_Toc328635483"/>
      <w:r>
        <w:rPr>
          <w:rFonts w:hint="eastAsia"/>
        </w:rPr>
        <w:t>境外拆借</w:t>
      </w:r>
      <w:bookmarkEnd w:id="1504"/>
      <w:bookmarkEnd w:id="1505"/>
    </w:p>
    <w:p w14:paraId="0E7B4D18" w14:textId="77777777" w:rsidR="00A052DC" w:rsidRDefault="009F0A60" w:rsidP="0020251D">
      <w:pPr>
        <w:pStyle w:val="5"/>
        <w:numPr>
          <w:ilvl w:val="4"/>
          <w:numId w:val="1"/>
        </w:numPr>
        <w:spacing w:before="120" w:after="120" w:line="360" w:lineRule="auto"/>
        <w:jc w:val="left"/>
      </w:pPr>
      <w:bookmarkStart w:id="1506" w:name="_Toc454386876"/>
      <w:r>
        <w:rPr>
          <w:rFonts w:hint="eastAsia"/>
        </w:rPr>
        <w:t>数据术语解释</w:t>
      </w:r>
      <w:bookmarkEnd w:id="1506"/>
    </w:p>
    <w:tbl>
      <w:tblPr>
        <w:tblW w:w="84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668"/>
        <w:gridCol w:w="6804"/>
      </w:tblGrid>
      <w:tr w:rsidR="00A052DC" w14:paraId="3456FE60" w14:textId="77777777">
        <w:tc>
          <w:tcPr>
            <w:tcW w:w="1668" w:type="dxa"/>
          </w:tcPr>
          <w:p w14:paraId="2B493802" w14:textId="77777777" w:rsidR="00A052DC" w:rsidRDefault="009F0A60">
            <w:pPr>
              <w:pStyle w:val="B1"/>
              <w:rPr>
                <w:u w:val="single"/>
              </w:rPr>
            </w:pPr>
            <w:r>
              <w:rPr>
                <w:rFonts w:hint="eastAsia"/>
              </w:rPr>
              <w:t>基础数据项</w:t>
            </w:r>
          </w:p>
        </w:tc>
        <w:tc>
          <w:tcPr>
            <w:tcW w:w="6804" w:type="dxa"/>
          </w:tcPr>
          <w:p w14:paraId="32F67799" w14:textId="77777777" w:rsidR="00A052DC" w:rsidRDefault="009F0A60">
            <w:pPr>
              <w:pStyle w:val="B1"/>
            </w:pPr>
            <w:r>
              <w:rPr>
                <w:rFonts w:hint="eastAsia"/>
              </w:rPr>
              <w:t>定义</w:t>
            </w:r>
          </w:p>
        </w:tc>
      </w:tr>
      <w:tr w:rsidR="00A052DC" w14:paraId="32AFBCC3" w14:textId="77777777">
        <w:trPr>
          <w:cantSplit/>
          <w:trHeight w:val="157"/>
        </w:trPr>
        <w:tc>
          <w:tcPr>
            <w:tcW w:w="1668" w:type="dxa"/>
          </w:tcPr>
          <w:p w14:paraId="086981E5" w14:textId="77777777" w:rsidR="00A052DC" w:rsidRDefault="009F0A60">
            <w:pPr>
              <w:pStyle w:val="B"/>
              <w:rPr>
                <w:szCs w:val="20"/>
              </w:rPr>
            </w:pPr>
            <w:r>
              <w:rPr>
                <w:rFonts w:hint="eastAsia"/>
                <w:szCs w:val="20"/>
              </w:rPr>
              <w:t>外债编号</w:t>
            </w:r>
          </w:p>
        </w:tc>
        <w:tc>
          <w:tcPr>
            <w:tcW w:w="6804" w:type="dxa"/>
          </w:tcPr>
          <w:p w14:paraId="52A8D993" w14:textId="77777777" w:rsidR="00A052DC" w:rsidRDefault="009F0A60">
            <w:pPr>
              <w:pStyle w:val="B"/>
              <w:rPr>
                <w:szCs w:val="20"/>
              </w:rPr>
            </w:pPr>
            <w:r>
              <w:rPr>
                <w:rFonts w:hint="eastAsia"/>
                <w:szCs w:val="20"/>
              </w:rPr>
              <w:t>外汇局制定统一编号规则，银行自行对每一笔外债编号，用于唯一标识该笔外债。银行外债编号共计</w:t>
            </w:r>
            <w:r>
              <w:rPr>
                <w:szCs w:val="20"/>
              </w:rPr>
              <w:t>28</w:t>
            </w:r>
            <w:r>
              <w:rPr>
                <w:rFonts w:hint="eastAsia"/>
                <w:szCs w:val="20"/>
              </w:rPr>
              <w:t>位。第</w:t>
            </w:r>
            <w:r>
              <w:rPr>
                <w:szCs w:val="20"/>
              </w:rPr>
              <w:t>1</w:t>
            </w:r>
            <w:r>
              <w:rPr>
                <w:rFonts w:hint="eastAsia"/>
                <w:szCs w:val="20"/>
              </w:rPr>
              <w:t>至</w:t>
            </w:r>
            <w:r>
              <w:rPr>
                <w:szCs w:val="20"/>
              </w:rPr>
              <w:t>2</w:t>
            </w:r>
            <w:r>
              <w:rPr>
                <w:rFonts w:hint="eastAsia"/>
                <w:szCs w:val="20"/>
              </w:rPr>
              <w:t>位为业务类型标识，第</w:t>
            </w:r>
            <w:r>
              <w:rPr>
                <w:szCs w:val="20"/>
              </w:rPr>
              <w:t>3</w:t>
            </w:r>
            <w:r>
              <w:rPr>
                <w:rFonts w:hint="eastAsia"/>
                <w:szCs w:val="20"/>
              </w:rPr>
              <w:t>位至</w:t>
            </w:r>
            <w:r>
              <w:rPr>
                <w:szCs w:val="20"/>
              </w:rPr>
              <w:t>14</w:t>
            </w:r>
            <w:r>
              <w:rPr>
                <w:rFonts w:hint="eastAsia"/>
                <w:szCs w:val="20"/>
              </w:rPr>
              <w:t>位为银行金融机构标识码</w:t>
            </w:r>
            <w:r>
              <w:rPr>
                <w:szCs w:val="20"/>
              </w:rPr>
              <w:t>;</w:t>
            </w:r>
            <w:r>
              <w:rPr>
                <w:rFonts w:hint="eastAsia"/>
                <w:szCs w:val="20"/>
              </w:rPr>
              <w:t>第</w:t>
            </w:r>
            <w:r>
              <w:rPr>
                <w:szCs w:val="20"/>
              </w:rPr>
              <w:t>15</w:t>
            </w:r>
            <w:r>
              <w:rPr>
                <w:rFonts w:hint="eastAsia"/>
                <w:szCs w:val="20"/>
              </w:rPr>
              <w:t>至</w:t>
            </w:r>
            <w:r>
              <w:rPr>
                <w:szCs w:val="20"/>
              </w:rPr>
              <w:t>22</w:t>
            </w:r>
            <w:r>
              <w:rPr>
                <w:rFonts w:hint="eastAsia"/>
                <w:szCs w:val="20"/>
              </w:rPr>
              <w:t>位为</w:t>
            </w:r>
            <w:r>
              <w:rPr>
                <w:szCs w:val="20"/>
              </w:rPr>
              <w:t>8</w:t>
            </w:r>
            <w:r>
              <w:rPr>
                <w:rFonts w:hint="eastAsia"/>
                <w:szCs w:val="20"/>
              </w:rPr>
              <w:t>位年月日数字（</w:t>
            </w:r>
            <w:r>
              <w:rPr>
                <w:szCs w:val="20"/>
              </w:rPr>
              <w:t>20110701</w:t>
            </w:r>
            <w:r>
              <w:rPr>
                <w:rFonts w:hint="eastAsia"/>
                <w:szCs w:val="20"/>
              </w:rPr>
              <w:t>）</w:t>
            </w:r>
            <w:r>
              <w:rPr>
                <w:szCs w:val="20"/>
              </w:rPr>
              <w:t>;</w:t>
            </w:r>
            <w:r>
              <w:rPr>
                <w:rFonts w:hint="eastAsia"/>
                <w:szCs w:val="20"/>
              </w:rPr>
              <w:t>第</w:t>
            </w:r>
            <w:r>
              <w:rPr>
                <w:szCs w:val="20"/>
              </w:rPr>
              <w:t>23</w:t>
            </w:r>
            <w:r>
              <w:rPr>
                <w:rFonts w:hint="eastAsia"/>
                <w:szCs w:val="20"/>
              </w:rPr>
              <w:t>至</w:t>
            </w:r>
            <w:r>
              <w:rPr>
                <w:szCs w:val="20"/>
              </w:rPr>
              <w:t>28</w:t>
            </w:r>
            <w:r>
              <w:rPr>
                <w:rFonts w:hint="eastAsia"/>
                <w:szCs w:val="20"/>
              </w:rPr>
              <w:t>位为该笔业务的流水号（流水码编制规则：从</w:t>
            </w:r>
            <w:r>
              <w:rPr>
                <w:szCs w:val="20"/>
              </w:rPr>
              <w:t>000001</w:t>
            </w:r>
            <w:r>
              <w:rPr>
                <w:rFonts w:hint="eastAsia"/>
                <w:szCs w:val="20"/>
              </w:rPr>
              <w:t>～</w:t>
            </w:r>
            <w:r>
              <w:rPr>
                <w:szCs w:val="20"/>
              </w:rPr>
              <w:t>999999</w:t>
            </w:r>
            <w:r>
              <w:rPr>
                <w:rFonts w:hint="eastAsia"/>
                <w:szCs w:val="20"/>
              </w:rPr>
              <w:t>）。银行新发生一笔外债业务时，需为该笔外债编制外债编号，同一笔外债发生变更或展期时，不作为一笔新业务进行登记，发生展期时，变更到期日。</w:t>
            </w:r>
          </w:p>
        </w:tc>
      </w:tr>
      <w:tr w:rsidR="00A052DC" w14:paraId="56057C73" w14:textId="77777777">
        <w:trPr>
          <w:cantSplit/>
        </w:trPr>
        <w:tc>
          <w:tcPr>
            <w:tcW w:w="1668" w:type="dxa"/>
          </w:tcPr>
          <w:p w14:paraId="1AE94EF2" w14:textId="77777777" w:rsidR="00A052DC" w:rsidRDefault="009F0A60">
            <w:pPr>
              <w:pStyle w:val="B"/>
              <w:rPr>
                <w:szCs w:val="20"/>
              </w:rPr>
            </w:pPr>
            <w:r>
              <w:rPr>
                <w:rFonts w:hint="eastAsia"/>
                <w:szCs w:val="20"/>
              </w:rPr>
              <w:t>债务人代码</w:t>
            </w:r>
          </w:p>
        </w:tc>
        <w:tc>
          <w:tcPr>
            <w:tcW w:w="6804" w:type="dxa"/>
          </w:tcPr>
          <w:p w14:paraId="0386660C" w14:textId="77777777" w:rsidR="00A052DC" w:rsidRDefault="009F0A60">
            <w:pPr>
              <w:pStyle w:val="B"/>
              <w:rPr>
                <w:szCs w:val="20"/>
              </w:rPr>
            </w:pPr>
            <w:r>
              <w:rPr>
                <w:rFonts w:hint="eastAsia"/>
                <w:szCs w:val="20"/>
              </w:rPr>
              <w:t>国家外汇管理局及其分支局签发给境内债务银行的</w:t>
            </w:r>
            <w:r>
              <w:rPr>
                <w:szCs w:val="20"/>
              </w:rPr>
              <w:t>12</w:t>
            </w:r>
            <w:r>
              <w:rPr>
                <w:rFonts w:hint="eastAsia"/>
                <w:szCs w:val="20"/>
              </w:rPr>
              <w:t>位金融机构标识码编码。</w:t>
            </w:r>
          </w:p>
        </w:tc>
      </w:tr>
      <w:tr w:rsidR="00A052DC" w14:paraId="4D5181BD" w14:textId="77777777">
        <w:trPr>
          <w:cantSplit/>
        </w:trPr>
        <w:tc>
          <w:tcPr>
            <w:tcW w:w="1668" w:type="dxa"/>
          </w:tcPr>
          <w:p w14:paraId="2B843A6B" w14:textId="77777777" w:rsidR="00A052DC" w:rsidRDefault="009F0A60">
            <w:pPr>
              <w:pStyle w:val="B"/>
              <w:rPr>
                <w:szCs w:val="20"/>
              </w:rPr>
            </w:pPr>
            <w:r>
              <w:rPr>
                <w:rFonts w:hint="eastAsia"/>
                <w:szCs w:val="20"/>
              </w:rPr>
              <w:t>债务类型</w:t>
            </w:r>
          </w:p>
        </w:tc>
        <w:tc>
          <w:tcPr>
            <w:tcW w:w="6804" w:type="dxa"/>
          </w:tcPr>
          <w:p w14:paraId="0AC1F144" w14:textId="77777777" w:rsidR="00A052DC" w:rsidRDefault="009F0A60">
            <w:pPr>
              <w:pStyle w:val="B"/>
              <w:rPr>
                <w:szCs w:val="20"/>
              </w:rPr>
            </w:pPr>
            <w:r>
              <w:rPr>
                <w:rFonts w:hint="eastAsia"/>
                <w:szCs w:val="20"/>
              </w:rPr>
              <w:t>外债的债务类型代码，见外债的债务类型表。</w:t>
            </w:r>
          </w:p>
        </w:tc>
      </w:tr>
      <w:tr w:rsidR="00A052DC" w14:paraId="42FB9E4F" w14:textId="77777777">
        <w:trPr>
          <w:cantSplit/>
        </w:trPr>
        <w:tc>
          <w:tcPr>
            <w:tcW w:w="1668" w:type="dxa"/>
          </w:tcPr>
          <w:p w14:paraId="4AEB06CD" w14:textId="77777777" w:rsidR="00A052DC" w:rsidRDefault="009F0A60">
            <w:pPr>
              <w:pStyle w:val="B"/>
              <w:rPr>
                <w:szCs w:val="20"/>
              </w:rPr>
            </w:pPr>
            <w:r>
              <w:rPr>
                <w:rFonts w:hint="eastAsia"/>
                <w:szCs w:val="20"/>
              </w:rPr>
              <w:t>起息日</w:t>
            </w:r>
          </w:p>
        </w:tc>
        <w:tc>
          <w:tcPr>
            <w:tcW w:w="6804" w:type="dxa"/>
          </w:tcPr>
          <w:p w14:paraId="3570C9D4" w14:textId="77777777" w:rsidR="00A052DC" w:rsidRDefault="009F0A60">
            <w:pPr>
              <w:pStyle w:val="B"/>
              <w:rPr>
                <w:szCs w:val="20"/>
              </w:rPr>
            </w:pPr>
            <w:r>
              <w:rPr>
                <w:rFonts w:hint="eastAsia"/>
                <w:szCs w:val="20"/>
              </w:rPr>
              <w:t>债务起始计息日期。</w:t>
            </w:r>
          </w:p>
        </w:tc>
      </w:tr>
      <w:tr w:rsidR="00A052DC" w14:paraId="1A8C57E0" w14:textId="77777777">
        <w:trPr>
          <w:cantSplit/>
        </w:trPr>
        <w:tc>
          <w:tcPr>
            <w:tcW w:w="1668" w:type="dxa"/>
          </w:tcPr>
          <w:p w14:paraId="49F523CD" w14:textId="77777777" w:rsidR="00A052DC" w:rsidRDefault="009F0A60">
            <w:pPr>
              <w:pStyle w:val="B"/>
              <w:rPr>
                <w:szCs w:val="20"/>
              </w:rPr>
            </w:pPr>
            <w:r>
              <w:rPr>
                <w:rFonts w:hint="eastAsia"/>
                <w:szCs w:val="20"/>
              </w:rPr>
              <w:t>签约币种</w:t>
            </w:r>
          </w:p>
        </w:tc>
        <w:tc>
          <w:tcPr>
            <w:tcW w:w="6804" w:type="dxa"/>
          </w:tcPr>
          <w:p w14:paraId="5C6B46EA" w14:textId="77777777" w:rsidR="00A052DC" w:rsidRDefault="009F0A60">
            <w:pPr>
              <w:pStyle w:val="B"/>
              <w:rPr>
                <w:szCs w:val="20"/>
              </w:rPr>
            </w:pPr>
            <w:r>
              <w:rPr>
                <w:rFonts w:hint="eastAsia"/>
                <w:szCs w:val="20"/>
              </w:rPr>
              <w:t>外债合同约定的签约币种。</w:t>
            </w:r>
          </w:p>
        </w:tc>
      </w:tr>
      <w:tr w:rsidR="00A052DC" w14:paraId="3C4F6D34" w14:textId="77777777">
        <w:trPr>
          <w:cantSplit/>
        </w:trPr>
        <w:tc>
          <w:tcPr>
            <w:tcW w:w="1668" w:type="dxa"/>
          </w:tcPr>
          <w:p w14:paraId="1513F030" w14:textId="77777777" w:rsidR="00A052DC" w:rsidRDefault="009F0A60">
            <w:pPr>
              <w:pStyle w:val="B"/>
              <w:rPr>
                <w:szCs w:val="20"/>
              </w:rPr>
            </w:pPr>
            <w:r>
              <w:rPr>
                <w:rFonts w:hint="eastAsia"/>
                <w:szCs w:val="20"/>
              </w:rPr>
              <w:t>签约金额</w:t>
            </w:r>
          </w:p>
        </w:tc>
        <w:tc>
          <w:tcPr>
            <w:tcW w:w="6804" w:type="dxa"/>
          </w:tcPr>
          <w:p w14:paraId="38F223AD" w14:textId="77777777" w:rsidR="00A052DC" w:rsidRDefault="009F0A60">
            <w:pPr>
              <w:pStyle w:val="B"/>
              <w:rPr>
                <w:szCs w:val="20"/>
              </w:rPr>
            </w:pPr>
            <w:r>
              <w:rPr>
                <w:rFonts w:hint="eastAsia"/>
                <w:szCs w:val="20"/>
              </w:rPr>
              <w:t>外债合同约定的签约金额。</w:t>
            </w:r>
          </w:p>
        </w:tc>
      </w:tr>
      <w:tr w:rsidR="00A052DC" w14:paraId="2067436E" w14:textId="77777777">
        <w:trPr>
          <w:cantSplit/>
        </w:trPr>
        <w:tc>
          <w:tcPr>
            <w:tcW w:w="1668" w:type="dxa"/>
          </w:tcPr>
          <w:p w14:paraId="4E1D370F" w14:textId="77777777" w:rsidR="00A052DC" w:rsidRDefault="009F0A60">
            <w:pPr>
              <w:pStyle w:val="B"/>
              <w:rPr>
                <w:szCs w:val="20"/>
              </w:rPr>
            </w:pPr>
            <w:r>
              <w:rPr>
                <w:rFonts w:hint="eastAsia"/>
                <w:szCs w:val="20"/>
              </w:rPr>
              <w:t>到期日</w:t>
            </w:r>
          </w:p>
        </w:tc>
        <w:tc>
          <w:tcPr>
            <w:tcW w:w="6804" w:type="dxa"/>
            <w:vAlign w:val="center"/>
          </w:tcPr>
          <w:p w14:paraId="51D62C1D" w14:textId="77777777" w:rsidR="00A052DC" w:rsidRDefault="009F0A60">
            <w:pPr>
              <w:pStyle w:val="B"/>
              <w:rPr>
                <w:szCs w:val="20"/>
              </w:rPr>
            </w:pPr>
            <w:r>
              <w:rPr>
                <w:rFonts w:hint="eastAsia"/>
                <w:szCs w:val="20"/>
              </w:rPr>
              <w:t>外债的到期日期。</w:t>
            </w:r>
          </w:p>
        </w:tc>
      </w:tr>
      <w:tr w:rsidR="00A052DC" w14:paraId="6C502C73" w14:textId="77777777">
        <w:trPr>
          <w:cantSplit/>
        </w:trPr>
        <w:tc>
          <w:tcPr>
            <w:tcW w:w="1668" w:type="dxa"/>
          </w:tcPr>
          <w:p w14:paraId="3492A635" w14:textId="77777777" w:rsidR="00A052DC" w:rsidRDefault="009F0A60">
            <w:pPr>
              <w:pStyle w:val="B"/>
              <w:rPr>
                <w:szCs w:val="20"/>
              </w:rPr>
            </w:pPr>
            <w:r>
              <w:rPr>
                <w:rFonts w:hint="eastAsia"/>
                <w:szCs w:val="20"/>
              </w:rPr>
              <w:t>是否浮动利率</w:t>
            </w:r>
          </w:p>
        </w:tc>
        <w:tc>
          <w:tcPr>
            <w:tcW w:w="6804" w:type="dxa"/>
          </w:tcPr>
          <w:p w14:paraId="78FF1186" w14:textId="77777777" w:rsidR="00A052DC" w:rsidRDefault="009F0A60">
            <w:pPr>
              <w:pStyle w:val="B"/>
              <w:rPr>
                <w:szCs w:val="20"/>
              </w:rPr>
            </w:pPr>
            <w:r>
              <w:rPr>
                <w:rFonts w:hint="eastAsia"/>
                <w:szCs w:val="20"/>
              </w:rPr>
              <w:t>标识债务利率条件为浮动利率或固定利率，系统默认为否，若为浮动利率，选择是。</w:t>
            </w:r>
          </w:p>
        </w:tc>
      </w:tr>
      <w:tr w:rsidR="00A052DC" w14:paraId="4B84C4C9" w14:textId="77777777">
        <w:trPr>
          <w:cantSplit/>
        </w:trPr>
        <w:tc>
          <w:tcPr>
            <w:tcW w:w="1668" w:type="dxa"/>
          </w:tcPr>
          <w:p w14:paraId="5AC631D6" w14:textId="77777777" w:rsidR="00A052DC" w:rsidRDefault="009F0A60">
            <w:pPr>
              <w:pStyle w:val="B"/>
              <w:rPr>
                <w:szCs w:val="20"/>
              </w:rPr>
            </w:pPr>
            <w:r>
              <w:rPr>
                <w:rFonts w:hint="eastAsia"/>
                <w:szCs w:val="20"/>
              </w:rPr>
              <w:t>年化利率值</w:t>
            </w:r>
          </w:p>
        </w:tc>
        <w:tc>
          <w:tcPr>
            <w:tcW w:w="6804" w:type="dxa"/>
          </w:tcPr>
          <w:p w14:paraId="0072B48A" w14:textId="77777777" w:rsidR="00A052DC" w:rsidRDefault="009F0A60">
            <w:pPr>
              <w:pStyle w:val="B"/>
              <w:rPr>
                <w:szCs w:val="20"/>
              </w:rPr>
            </w:pPr>
            <w:r>
              <w:rPr>
                <w:rFonts w:hint="eastAsia"/>
                <w:szCs w:val="20"/>
              </w:rPr>
              <w:t>外债的年化利率，若为浮动利率，应该按照该笔外债签约日期当天的浮动利率条件计算年化利率值。</w:t>
            </w:r>
          </w:p>
        </w:tc>
      </w:tr>
      <w:tr w:rsidR="00A052DC" w14:paraId="73E76F44" w14:textId="77777777">
        <w:trPr>
          <w:cantSplit/>
        </w:trPr>
        <w:tc>
          <w:tcPr>
            <w:tcW w:w="1668" w:type="dxa"/>
          </w:tcPr>
          <w:p w14:paraId="3F7E24C5" w14:textId="77777777" w:rsidR="00A052DC" w:rsidRDefault="009F0A60">
            <w:pPr>
              <w:pStyle w:val="B"/>
              <w:rPr>
                <w:szCs w:val="20"/>
              </w:rPr>
            </w:pPr>
            <w:r>
              <w:rPr>
                <w:rFonts w:hint="eastAsia"/>
                <w:szCs w:val="20"/>
              </w:rPr>
              <w:t>债权人代码</w:t>
            </w:r>
          </w:p>
        </w:tc>
        <w:tc>
          <w:tcPr>
            <w:tcW w:w="6804" w:type="dxa"/>
            <w:vAlign w:val="center"/>
          </w:tcPr>
          <w:p w14:paraId="65555F06" w14:textId="77777777" w:rsidR="00A052DC" w:rsidRDefault="009F0A60">
            <w:pPr>
              <w:pStyle w:val="B"/>
              <w:rPr>
                <w:szCs w:val="20"/>
              </w:rPr>
            </w:pPr>
            <w:r>
              <w:rPr>
                <w:rFonts w:hint="eastAsia"/>
                <w:szCs w:val="20"/>
              </w:rPr>
              <w:t>如果债权人为银行，应填写</w:t>
            </w:r>
            <w:r>
              <w:rPr>
                <w:szCs w:val="20"/>
              </w:rPr>
              <w:t>8</w:t>
            </w:r>
            <w:r>
              <w:rPr>
                <w:rFonts w:hint="eastAsia"/>
                <w:szCs w:val="20"/>
              </w:rPr>
              <w:t>位或</w:t>
            </w:r>
            <w:r>
              <w:rPr>
                <w:szCs w:val="20"/>
              </w:rPr>
              <w:t>11</w:t>
            </w:r>
            <w:r>
              <w:rPr>
                <w:rFonts w:hint="eastAsia"/>
                <w:szCs w:val="20"/>
              </w:rPr>
              <w:t>位的</w:t>
            </w:r>
            <w:r>
              <w:rPr>
                <w:szCs w:val="20"/>
              </w:rPr>
              <w:t>SWIFT CODE</w:t>
            </w:r>
            <w:r>
              <w:rPr>
                <w:rFonts w:hint="eastAsia"/>
                <w:szCs w:val="20"/>
              </w:rPr>
              <w:t>；如果债权人类型为“政府”、或“中央银行”时，或者当债务类型为“货币市场工具”或“债券和票据”或“非居民个人存款”时，应在外汇局编制的部分债权人代码表中选择债权人代码；否则为空。</w:t>
            </w:r>
          </w:p>
          <w:p w14:paraId="172B51A2" w14:textId="77777777" w:rsidR="00A052DC" w:rsidRDefault="009F0A60">
            <w:pPr>
              <w:pStyle w:val="B"/>
              <w:rPr>
                <w:szCs w:val="20"/>
              </w:rPr>
            </w:pPr>
            <w:r>
              <w:rPr>
                <w:rFonts w:hint="eastAsia"/>
                <w:szCs w:val="20"/>
              </w:rPr>
              <w:t>如果债权人为“非银行金融机构”或“国际金融组织”，应优先填写</w:t>
            </w:r>
            <w:r>
              <w:rPr>
                <w:szCs w:val="20"/>
              </w:rPr>
              <w:t>SWIFT CODE</w:t>
            </w:r>
            <w:r>
              <w:rPr>
                <w:rFonts w:hint="eastAsia"/>
                <w:szCs w:val="20"/>
              </w:rPr>
              <w:t>。</w:t>
            </w:r>
          </w:p>
        </w:tc>
      </w:tr>
      <w:tr w:rsidR="00A052DC" w14:paraId="5A4115BC" w14:textId="77777777">
        <w:trPr>
          <w:cantSplit/>
        </w:trPr>
        <w:tc>
          <w:tcPr>
            <w:tcW w:w="1668" w:type="dxa"/>
          </w:tcPr>
          <w:p w14:paraId="10A4857B" w14:textId="77777777" w:rsidR="00A052DC" w:rsidRDefault="009F0A60">
            <w:pPr>
              <w:pStyle w:val="B"/>
              <w:rPr>
                <w:szCs w:val="20"/>
              </w:rPr>
            </w:pPr>
            <w:r>
              <w:rPr>
                <w:rFonts w:hint="eastAsia"/>
                <w:szCs w:val="20"/>
              </w:rPr>
              <w:t>债权人中文名称</w:t>
            </w:r>
          </w:p>
        </w:tc>
        <w:tc>
          <w:tcPr>
            <w:tcW w:w="6804" w:type="dxa"/>
            <w:vAlign w:val="center"/>
          </w:tcPr>
          <w:p w14:paraId="12A18A3E" w14:textId="77777777" w:rsidR="00A052DC" w:rsidRDefault="009F0A60">
            <w:pPr>
              <w:pStyle w:val="B"/>
              <w:rPr>
                <w:szCs w:val="20"/>
              </w:rPr>
            </w:pPr>
            <w:r>
              <w:rPr>
                <w:rFonts w:hint="eastAsia"/>
                <w:szCs w:val="20"/>
              </w:rPr>
              <w:t>债权人中文名称。</w:t>
            </w:r>
          </w:p>
        </w:tc>
      </w:tr>
      <w:tr w:rsidR="00A052DC" w14:paraId="169BEFD3" w14:textId="77777777">
        <w:trPr>
          <w:cantSplit/>
        </w:trPr>
        <w:tc>
          <w:tcPr>
            <w:tcW w:w="1668" w:type="dxa"/>
          </w:tcPr>
          <w:p w14:paraId="0DEBA365" w14:textId="77777777" w:rsidR="00A052DC" w:rsidRDefault="009F0A60">
            <w:pPr>
              <w:pStyle w:val="B"/>
              <w:rPr>
                <w:szCs w:val="20"/>
              </w:rPr>
            </w:pPr>
            <w:r>
              <w:rPr>
                <w:rFonts w:hint="eastAsia"/>
                <w:szCs w:val="20"/>
              </w:rPr>
              <w:t>债权人英文名称</w:t>
            </w:r>
          </w:p>
        </w:tc>
        <w:tc>
          <w:tcPr>
            <w:tcW w:w="6804" w:type="dxa"/>
            <w:vAlign w:val="center"/>
          </w:tcPr>
          <w:p w14:paraId="23E801DB" w14:textId="77777777" w:rsidR="00A052DC" w:rsidRDefault="009F0A60">
            <w:pPr>
              <w:pStyle w:val="B"/>
              <w:rPr>
                <w:szCs w:val="20"/>
              </w:rPr>
            </w:pPr>
            <w:r>
              <w:rPr>
                <w:rFonts w:hint="eastAsia"/>
                <w:szCs w:val="20"/>
              </w:rPr>
              <w:t>债权人英文名称（中英文名称至少填写一个）。</w:t>
            </w:r>
          </w:p>
        </w:tc>
      </w:tr>
      <w:tr w:rsidR="00A052DC" w14:paraId="28145329" w14:textId="77777777">
        <w:trPr>
          <w:cantSplit/>
        </w:trPr>
        <w:tc>
          <w:tcPr>
            <w:tcW w:w="1668" w:type="dxa"/>
          </w:tcPr>
          <w:p w14:paraId="774C2D24" w14:textId="77777777" w:rsidR="00A052DC" w:rsidRDefault="009F0A60">
            <w:pPr>
              <w:pStyle w:val="B"/>
              <w:rPr>
                <w:szCs w:val="20"/>
              </w:rPr>
            </w:pPr>
            <w:r>
              <w:rPr>
                <w:rFonts w:hint="eastAsia"/>
                <w:szCs w:val="20"/>
              </w:rPr>
              <w:t>债权人类型代码</w:t>
            </w:r>
          </w:p>
        </w:tc>
        <w:tc>
          <w:tcPr>
            <w:tcW w:w="6804" w:type="dxa"/>
          </w:tcPr>
          <w:p w14:paraId="406CC6D3" w14:textId="77777777" w:rsidR="00A052DC" w:rsidRDefault="009F0A60">
            <w:pPr>
              <w:pStyle w:val="B"/>
              <w:rPr>
                <w:szCs w:val="20"/>
              </w:rPr>
            </w:pPr>
            <w:r>
              <w:rPr>
                <w:rFonts w:hint="eastAsia"/>
                <w:szCs w:val="20"/>
              </w:rPr>
              <w:t>债权人类型代码，见境外主体类型代码表。</w:t>
            </w:r>
          </w:p>
        </w:tc>
      </w:tr>
      <w:tr w:rsidR="00A052DC" w14:paraId="1D96D7C0" w14:textId="77777777">
        <w:trPr>
          <w:cantSplit/>
        </w:trPr>
        <w:tc>
          <w:tcPr>
            <w:tcW w:w="1668" w:type="dxa"/>
          </w:tcPr>
          <w:p w14:paraId="2EC722D0" w14:textId="77777777" w:rsidR="00A052DC" w:rsidRDefault="009F0A60">
            <w:pPr>
              <w:pStyle w:val="B"/>
              <w:rPr>
                <w:szCs w:val="20"/>
              </w:rPr>
            </w:pPr>
            <w:r>
              <w:rPr>
                <w:rFonts w:hint="eastAsia"/>
                <w:szCs w:val="20"/>
              </w:rPr>
              <w:t>债权人总部所在国家（地区）代码</w:t>
            </w:r>
          </w:p>
        </w:tc>
        <w:tc>
          <w:tcPr>
            <w:tcW w:w="6804" w:type="dxa"/>
            <w:vAlign w:val="center"/>
          </w:tcPr>
          <w:p w14:paraId="288F5404" w14:textId="77777777" w:rsidR="00A052DC" w:rsidRDefault="009F0A60">
            <w:pPr>
              <w:pStyle w:val="B"/>
              <w:rPr>
                <w:szCs w:val="20"/>
              </w:rPr>
            </w:pPr>
            <w:r>
              <w:rPr>
                <w:rFonts w:hint="eastAsia"/>
                <w:szCs w:val="20"/>
              </w:rPr>
              <w:t>债权人总部所在地代码，见国家和地区代码表。</w:t>
            </w:r>
          </w:p>
        </w:tc>
      </w:tr>
      <w:tr w:rsidR="00A052DC" w14:paraId="45A3C2B3" w14:textId="77777777">
        <w:trPr>
          <w:cantSplit/>
        </w:trPr>
        <w:tc>
          <w:tcPr>
            <w:tcW w:w="1668" w:type="dxa"/>
          </w:tcPr>
          <w:p w14:paraId="3EDFA05D" w14:textId="77777777" w:rsidR="00A052DC" w:rsidRDefault="009F0A60">
            <w:pPr>
              <w:pStyle w:val="B"/>
              <w:rPr>
                <w:szCs w:val="20"/>
              </w:rPr>
            </w:pPr>
            <w:r>
              <w:rPr>
                <w:rFonts w:hint="eastAsia"/>
                <w:szCs w:val="20"/>
              </w:rPr>
              <w:t>债权人经营地所在国家（地区）代码</w:t>
            </w:r>
          </w:p>
        </w:tc>
        <w:tc>
          <w:tcPr>
            <w:tcW w:w="6804" w:type="dxa"/>
            <w:vAlign w:val="center"/>
          </w:tcPr>
          <w:p w14:paraId="2417F1CB" w14:textId="77777777" w:rsidR="00A052DC" w:rsidRDefault="009F0A60">
            <w:pPr>
              <w:pStyle w:val="B"/>
              <w:rPr>
                <w:szCs w:val="20"/>
              </w:rPr>
            </w:pPr>
            <w:r>
              <w:rPr>
                <w:rFonts w:hint="eastAsia"/>
                <w:szCs w:val="20"/>
              </w:rPr>
              <w:t>债权人经营所在地代码，见国家和地区代码表。</w:t>
            </w:r>
          </w:p>
        </w:tc>
      </w:tr>
      <w:tr w:rsidR="00A052DC" w14:paraId="0D551D8C" w14:textId="77777777">
        <w:trPr>
          <w:cantSplit/>
        </w:trPr>
        <w:tc>
          <w:tcPr>
            <w:tcW w:w="1668" w:type="dxa"/>
          </w:tcPr>
          <w:p w14:paraId="36713195" w14:textId="77777777" w:rsidR="00A052DC" w:rsidRDefault="009F0A60">
            <w:pPr>
              <w:pStyle w:val="B"/>
              <w:rPr>
                <w:szCs w:val="20"/>
              </w:rPr>
            </w:pPr>
            <w:r>
              <w:rPr>
                <w:rFonts w:hint="eastAsia"/>
                <w:szCs w:val="20"/>
              </w:rPr>
              <w:t>是否有利息本金化条款</w:t>
            </w:r>
          </w:p>
        </w:tc>
        <w:tc>
          <w:tcPr>
            <w:tcW w:w="6804" w:type="dxa"/>
          </w:tcPr>
          <w:p w14:paraId="2F87F1D4" w14:textId="77777777" w:rsidR="00A052DC" w:rsidRDefault="009F0A60">
            <w:pPr>
              <w:pStyle w:val="B"/>
              <w:rPr>
                <w:szCs w:val="20"/>
              </w:rPr>
            </w:pPr>
            <w:r>
              <w:rPr>
                <w:rFonts w:hint="eastAsia"/>
                <w:szCs w:val="20"/>
              </w:rPr>
              <w:t>标识债务合同中是否包含利息本金化条款，若有，选择是，系统默认为“否”。</w:t>
            </w:r>
          </w:p>
        </w:tc>
      </w:tr>
      <w:tr w:rsidR="00A052DC" w14:paraId="16AB5827" w14:textId="77777777">
        <w:trPr>
          <w:cantSplit/>
        </w:trPr>
        <w:tc>
          <w:tcPr>
            <w:tcW w:w="1668" w:type="dxa"/>
          </w:tcPr>
          <w:p w14:paraId="155B3AEF" w14:textId="77777777" w:rsidR="00A052DC" w:rsidRDefault="009F0A60">
            <w:pPr>
              <w:pStyle w:val="B"/>
              <w:rPr>
                <w:szCs w:val="20"/>
              </w:rPr>
            </w:pPr>
            <w:r>
              <w:rPr>
                <w:rFonts w:hint="eastAsia"/>
                <w:szCs w:val="20"/>
              </w:rPr>
              <w:t>是否不纳入跨境融资风险加权余额计算</w:t>
            </w:r>
          </w:p>
        </w:tc>
        <w:tc>
          <w:tcPr>
            <w:tcW w:w="6804" w:type="dxa"/>
          </w:tcPr>
          <w:p w14:paraId="67F0A9B4" w14:textId="77777777" w:rsidR="00A052DC" w:rsidRDefault="009F0A60">
            <w:pPr>
              <w:pStyle w:val="B"/>
              <w:rPr>
                <w:szCs w:val="20"/>
              </w:rPr>
            </w:pPr>
            <w:r>
              <w:rPr>
                <w:rFonts w:hint="eastAsia"/>
                <w:szCs w:val="20"/>
              </w:rPr>
              <w:t>标识该笔债务是否不纳入跨境融资风险加权余额计算，默认为“否”。</w:t>
            </w:r>
          </w:p>
        </w:tc>
      </w:tr>
      <w:tr w:rsidR="00A052DC" w14:paraId="2511E322" w14:textId="77777777">
        <w:trPr>
          <w:cantSplit/>
        </w:trPr>
        <w:tc>
          <w:tcPr>
            <w:tcW w:w="1668" w:type="dxa"/>
          </w:tcPr>
          <w:p w14:paraId="46618A03" w14:textId="77777777" w:rsidR="00A052DC" w:rsidRDefault="009F0A60">
            <w:pPr>
              <w:pStyle w:val="B"/>
              <w:rPr>
                <w:szCs w:val="20"/>
              </w:rPr>
            </w:pPr>
            <w:r>
              <w:rPr>
                <w:rFonts w:hint="eastAsia"/>
                <w:szCs w:val="20"/>
              </w:rPr>
              <w:t>对方与本机构的关系</w:t>
            </w:r>
          </w:p>
        </w:tc>
        <w:tc>
          <w:tcPr>
            <w:tcW w:w="6804" w:type="dxa"/>
          </w:tcPr>
          <w:p w14:paraId="26F8779F" w14:textId="77777777" w:rsidR="00A052DC" w:rsidRDefault="009F0A60">
            <w:pPr>
              <w:pStyle w:val="B"/>
              <w:rPr>
                <w:szCs w:val="20"/>
              </w:rPr>
            </w:pPr>
            <w:r>
              <w:rPr>
                <w:rFonts w:hint="eastAsia"/>
                <w:szCs w:val="20"/>
              </w:rPr>
              <w:t>债权人与本机构的关系，见对方与本机构</w:t>
            </w:r>
            <w:r>
              <w:rPr>
                <w:szCs w:val="20"/>
              </w:rPr>
              <w:t>/</w:t>
            </w:r>
            <w:r>
              <w:rPr>
                <w:rFonts w:hint="eastAsia"/>
                <w:szCs w:val="20"/>
              </w:rPr>
              <w:t>被代理居民机构</w:t>
            </w:r>
            <w:r>
              <w:rPr>
                <w:szCs w:val="20"/>
              </w:rPr>
              <w:t>/</w:t>
            </w:r>
            <w:r>
              <w:rPr>
                <w:rFonts w:hint="eastAsia"/>
                <w:szCs w:val="20"/>
              </w:rPr>
              <w:t>委托人的关系代码表。</w:t>
            </w:r>
          </w:p>
        </w:tc>
      </w:tr>
      <w:tr w:rsidR="00A052DC" w14:paraId="0B6A37CF" w14:textId="77777777">
        <w:trPr>
          <w:cantSplit/>
        </w:trPr>
        <w:tc>
          <w:tcPr>
            <w:tcW w:w="1668" w:type="dxa"/>
            <w:tcBorders>
              <w:top w:val="single" w:sz="6" w:space="0" w:color="auto"/>
              <w:left w:val="single" w:sz="6" w:space="0" w:color="auto"/>
              <w:bottom w:val="single" w:sz="6" w:space="0" w:color="auto"/>
              <w:right w:val="single" w:sz="6" w:space="0" w:color="auto"/>
            </w:tcBorders>
          </w:tcPr>
          <w:p w14:paraId="3A43570F" w14:textId="77777777" w:rsidR="00A052DC" w:rsidRDefault="009F0A60">
            <w:pPr>
              <w:pStyle w:val="B"/>
              <w:rPr>
                <w:szCs w:val="20"/>
              </w:rPr>
            </w:pPr>
            <w:r>
              <w:rPr>
                <w:rFonts w:hint="eastAsia"/>
                <w:szCs w:val="20"/>
              </w:rPr>
              <w:t>备注</w:t>
            </w:r>
          </w:p>
        </w:tc>
        <w:tc>
          <w:tcPr>
            <w:tcW w:w="6804" w:type="dxa"/>
            <w:tcBorders>
              <w:top w:val="single" w:sz="6" w:space="0" w:color="auto"/>
              <w:left w:val="single" w:sz="6" w:space="0" w:color="auto"/>
              <w:bottom w:val="single" w:sz="6" w:space="0" w:color="auto"/>
              <w:right w:val="single" w:sz="6" w:space="0" w:color="auto"/>
            </w:tcBorders>
          </w:tcPr>
          <w:p w14:paraId="446FADC5" w14:textId="77777777" w:rsidR="00A052DC" w:rsidRDefault="009F0A60">
            <w:pPr>
              <w:pStyle w:val="B"/>
              <w:rPr>
                <w:szCs w:val="20"/>
              </w:rPr>
            </w:pPr>
            <w:r>
              <w:rPr>
                <w:rFonts w:hint="eastAsia"/>
                <w:szCs w:val="20"/>
              </w:rPr>
              <w:t>需要说明的备注事项。</w:t>
            </w:r>
          </w:p>
        </w:tc>
      </w:tr>
    </w:tbl>
    <w:p w14:paraId="04EBC07E" w14:textId="77777777" w:rsidR="00A052DC" w:rsidRDefault="009F0A60">
      <w:pPr>
        <w:pStyle w:val="5"/>
        <w:numPr>
          <w:ilvl w:val="4"/>
          <w:numId w:val="1"/>
        </w:numPr>
        <w:spacing w:before="120" w:after="120" w:line="360" w:lineRule="auto"/>
        <w:jc w:val="left"/>
      </w:pPr>
      <w:bookmarkStart w:id="1507" w:name="_Toc454386877"/>
      <w:bookmarkStart w:id="1508" w:name="_Toc454386878"/>
      <w:bookmarkEnd w:id="1507"/>
      <w:r>
        <w:rPr>
          <w:rFonts w:hint="eastAsia"/>
        </w:rPr>
        <w:t>数据格式</w:t>
      </w:r>
      <w:bookmarkEnd w:id="1508"/>
    </w:p>
    <w:p w14:paraId="63444F67" w14:textId="77777777" w:rsidR="00A052DC" w:rsidRDefault="009F0A60">
      <w:r>
        <w:t>&lt;REC&gt;</w:t>
      </w:r>
    </w:p>
    <w:p w14:paraId="4EA71402" w14:textId="77777777" w:rsidR="00A052DC" w:rsidRDefault="009F0A60">
      <w:r>
        <w:t>&lt;ACTIONTYPE&gt;</w:t>
      </w:r>
      <w:r>
        <w:rPr>
          <w:rFonts w:hint="eastAsia"/>
        </w:rPr>
        <w:t>操作类型</w:t>
      </w:r>
      <w:r>
        <w:t>&lt;/ACTIONTYPE&gt;</w:t>
      </w:r>
    </w:p>
    <w:p w14:paraId="7AB778A6" w14:textId="77777777" w:rsidR="00A052DC" w:rsidRDefault="009F0A60">
      <w:r>
        <w:t>&lt;ACTIONDESC&gt;</w:t>
      </w:r>
      <w:r>
        <w:rPr>
          <w:rFonts w:hint="eastAsia"/>
        </w:rPr>
        <w:t>删除原因</w:t>
      </w:r>
      <w:r>
        <w:t>&lt;/ACTIONDESC&gt;</w:t>
      </w:r>
    </w:p>
    <w:p w14:paraId="6B9C7608" w14:textId="77777777" w:rsidR="00A052DC" w:rsidRDefault="009F0A60">
      <w:r>
        <w:t>&lt;EXDEBTCODE&gt;</w:t>
      </w:r>
      <w:r>
        <w:rPr>
          <w:rFonts w:hint="eastAsia"/>
        </w:rPr>
        <w:t>外债编号</w:t>
      </w:r>
      <w:r>
        <w:t>&lt;/EXDEBTCODE&gt;</w:t>
      </w:r>
    </w:p>
    <w:p w14:paraId="6C690950" w14:textId="77777777" w:rsidR="00A052DC" w:rsidRDefault="009F0A60">
      <w:r>
        <w:t>&lt;DEBTORCODE&gt;</w:t>
      </w:r>
      <w:r>
        <w:rPr>
          <w:rFonts w:hint="eastAsia"/>
        </w:rPr>
        <w:t>债务人代码</w:t>
      </w:r>
      <w:r>
        <w:t>&lt;/DEBTORCODE&gt;</w:t>
      </w:r>
    </w:p>
    <w:p w14:paraId="14973E5F" w14:textId="77777777" w:rsidR="00A052DC" w:rsidRDefault="009F0A60">
      <w:r>
        <w:t>&lt;DEBTYPE&gt;</w:t>
      </w:r>
      <w:r>
        <w:rPr>
          <w:rFonts w:hint="eastAsia"/>
        </w:rPr>
        <w:t>债务类型</w:t>
      </w:r>
      <w:r>
        <w:t>&lt;/DEBTYPE&gt;</w:t>
      </w:r>
    </w:p>
    <w:p w14:paraId="0940832E" w14:textId="77777777" w:rsidR="00A052DC" w:rsidRDefault="009F0A60">
      <w:r>
        <w:t>&lt;VALUEDATE&gt;</w:t>
      </w:r>
      <w:r>
        <w:rPr>
          <w:rFonts w:hint="eastAsia"/>
        </w:rPr>
        <w:t>起息日</w:t>
      </w:r>
      <w:r>
        <w:t>&lt;/VALUEDATE&gt;</w:t>
      </w:r>
    </w:p>
    <w:p w14:paraId="0AF525D3" w14:textId="77777777" w:rsidR="00A052DC" w:rsidRDefault="009F0A60">
      <w:r>
        <w:t>&lt;CONTRACTCURR&gt;</w:t>
      </w:r>
      <w:r>
        <w:rPr>
          <w:rFonts w:hint="eastAsia"/>
        </w:rPr>
        <w:t>签约币种</w:t>
      </w:r>
      <w:r>
        <w:t>&lt;/CONTRACTCURR&gt;</w:t>
      </w:r>
    </w:p>
    <w:p w14:paraId="79B8C646" w14:textId="77777777" w:rsidR="00A052DC" w:rsidRDefault="009F0A60">
      <w:r>
        <w:t>&lt;CONTRACTAMOUNT&gt;</w:t>
      </w:r>
      <w:r>
        <w:rPr>
          <w:rFonts w:hint="eastAsia"/>
        </w:rPr>
        <w:t>签约金额</w:t>
      </w:r>
      <w:r>
        <w:t>&lt;/CONTRACTAMOUNT&gt;</w:t>
      </w:r>
    </w:p>
    <w:p w14:paraId="409B553B" w14:textId="77777777" w:rsidR="00A052DC" w:rsidRDefault="009F0A60">
      <w:r>
        <w:t>&lt;MATURITY&gt;</w:t>
      </w:r>
      <w:r>
        <w:rPr>
          <w:rFonts w:hint="eastAsia"/>
        </w:rPr>
        <w:t>到期日</w:t>
      </w:r>
      <w:r>
        <w:t>&lt;/MATURITY&gt;</w:t>
      </w:r>
    </w:p>
    <w:p w14:paraId="22217E32" w14:textId="77777777" w:rsidR="00A052DC" w:rsidRDefault="009F0A60">
      <w:r>
        <w:t>&lt;FLOATRATE&gt;</w:t>
      </w:r>
      <w:r>
        <w:rPr>
          <w:rFonts w:hint="eastAsia"/>
        </w:rPr>
        <w:t>是否浮动利率</w:t>
      </w:r>
      <w:r>
        <w:t>&lt;/FLOATRATE&gt;</w:t>
      </w:r>
    </w:p>
    <w:p w14:paraId="79F2FBC2" w14:textId="77777777" w:rsidR="00A052DC" w:rsidRDefault="009F0A60">
      <w:r>
        <w:t>&lt;ANNINRATE&gt;</w:t>
      </w:r>
      <w:r>
        <w:rPr>
          <w:rFonts w:hint="eastAsia"/>
        </w:rPr>
        <w:t>年化利率值</w:t>
      </w:r>
      <w:r>
        <w:t>&lt;/ANNINRATE&gt;</w:t>
      </w:r>
    </w:p>
    <w:p w14:paraId="79B13922" w14:textId="77777777" w:rsidR="00A052DC" w:rsidRDefault="009F0A60">
      <w:r>
        <w:t>&lt;CREDITORCODE&gt;</w:t>
      </w:r>
      <w:r>
        <w:rPr>
          <w:rFonts w:hint="eastAsia"/>
        </w:rPr>
        <w:t>债权人代码</w:t>
      </w:r>
      <w:r>
        <w:t>&lt;/CREDITORCODE&gt;</w:t>
      </w:r>
    </w:p>
    <w:p w14:paraId="1EE9D0B4" w14:textId="77777777" w:rsidR="00A052DC" w:rsidRDefault="009F0A60">
      <w:r>
        <w:t>&lt;CREDITORNAME&gt;</w:t>
      </w:r>
      <w:r>
        <w:rPr>
          <w:rFonts w:hint="eastAsia"/>
        </w:rPr>
        <w:t>债权人中文名称</w:t>
      </w:r>
      <w:r>
        <w:t>&lt;/CREDITORNAME&gt;</w:t>
      </w:r>
    </w:p>
    <w:p w14:paraId="0AF84CE8" w14:textId="77777777" w:rsidR="00A052DC" w:rsidRDefault="009F0A60">
      <w:r>
        <w:t>&lt;CREDITORNAMEN&gt;</w:t>
      </w:r>
      <w:r>
        <w:rPr>
          <w:rFonts w:hint="eastAsia"/>
        </w:rPr>
        <w:t>债权人英文名称</w:t>
      </w:r>
      <w:r>
        <w:t>&lt;/CREDITORNAMEN&gt;</w:t>
      </w:r>
    </w:p>
    <w:p w14:paraId="72AB06A4" w14:textId="77777777" w:rsidR="00A052DC" w:rsidRDefault="009F0A60">
      <w:r>
        <w:t>&lt;CREDITORTYPE&gt;</w:t>
      </w:r>
      <w:r>
        <w:rPr>
          <w:rFonts w:hint="eastAsia"/>
        </w:rPr>
        <w:t>债权人类型代码</w:t>
      </w:r>
      <w:r>
        <w:t>&lt;/CREDITORTYPE&gt;</w:t>
      </w:r>
    </w:p>
    <w:p w14:paraId="262AC1C8" w14:textId="77777777" w:rsidR="00A052DC" w:rsidRDefault="009F0A60">
      <w:r>
        <w:t>&lt;CREHQCODE&gt;</w:t>
      </w:r>
      <w:r>
        <w:rPr>
          <w:rFonts w:hint="eastAsia"/>
        </w:rPr>
        <w:t>债权人总部所在国家（地区）代码</w:t>
      </w:r>
      <w:r>
        <w:t>&lt;/CREHQCODE&gt;</w:t>
      </w:r>
    </w:p>
    <w:p w14:paraId="5158E767" w14:textId="77777777" w:rsidR="00A052DC" w:rsidRDefault="009F0A60">
      <w:r>
        <w:t>&lt;OPERCODE&gt;</w:t>
      </w:r>
      <w:r>
        <w:rPr>
          <w:rFonts w:hint="eastAsia"/>
        </w:rPr>
        <w:t>债权人经营地所在国家（地区）代码</w:t>
      </w:r>
      <w:r>
        <w:t>&lt;/OPERCODE&gt;</w:t>
      </w:r>
    </w:p>
    <w:p w14:paraId="5AB23AC6" w14:textId="77777777" w:rsidR="00A052DC" w:rsidRDefault="009F0A60">
      <w:r>
        <w:t>&lt;INPRTERM&gt;</w:t>
      </w:r>
      <w:r>
        <w:rPr>
          <w:rFonts w:hint="eastAsia"/>
        </w:rPr>
        <w:t>是否有利息本金化条款</w:t>
      </w:r>
      <w:r>
        <w:t>&lt;/INPRTERM&gt;</w:t>
      </w:r>
    </w:p>
    <w:p w14:paraId="0285AE67" w14:textId="77777777" w:rsidR="00A052DC" w:rsidRDefault="009F0A60">
      <w:r>
        <w:t>&lt;SPAPFEBOINDEX&gt;</w:t>
      </w:r>
      <w:r>
        <w:rPr>
          <w:rFonts w:hint="eastAsia"/>
        </w:rPr>
        <w:t>是否不纳入跨境融资风险加权余额计算</w:t>
      </w:r>
      <w:r>
        <w:t>&lt;/SPAPFEBOINDEX&gt;</w:t>
      </w:r>
    </w:p>
    <w:p w14:paraId="5D804B2E" w14:textId="77777777" w:rsidR="00A052DC" w:rsidRDefault="009F0A60">
      <w:r>
        <w:t>&lt;RELATION&gt;</w:t>
      </w:r>
      <w:r>
        <w:rPr>
          <w:rFonts w:hint="eastAsia"/>
        </w:rPr>
        <w:t>对方与本机构的关系</w:t>
      </w:r>
      <w:r>
        <w:t>&lt;/RELATION&gt;</w:t>
      </w:r>
    </w:p>
    <w:p w14:paraId="1DD11289" w14:textId="77777777" w:rsidR="00A052DC" w:rsidRDefault="009F0A60">
      <w:r>
        <w:t>&lt;REMARK&gt;</w:t>
      </w:r>
      <w:r>
        <w:rPr>
          <w:rFonts w:hint="eastAsia"/>
        </w:rPr>
        <w:t>备注</w:t>
      </w:r>
      <w:r>
        <w:t>&lt;/REMARK&gt;</w:t>
      </w:r>
    </w:p>
    <w:p w14:paraId="78C0CEAF" w14:textId="77777777" w:rsidR="00A052DC" w:rsidRDefault="009F0A60">
      <w:r>
        <w:t>&lt;/REC&gt;</w:t>
      </w:r>
    </w:p>
    <w:p w14:paraId="17C60344" w14:textId="77777777" w:rsidR="00A052DC" w:rsidRDefault="009F0A60" w:rsidP="0020251D">
      <w:pPr>
        <w:pStyle w:val="5"/>
        <w:numPr>
          <w:ilvl w:val="4"/>
          <w:numId w:val="1"/>
        </w:numPr>
        <w:spacing w:before="120" w:after="120" w:line="360" w:lineRule="auto"/>
        <w:jc w:val="left"/>
      </w:pPr>
      <w:bookmarkStart w:id="1509" w:name="_Toc454386879"/>
      <w:r>
        <w:rPr>
          <w:rFonts w:hint="eastAsia"/>
        </w:rPr>
        <w:t>数据字典</w:t>
      </w:r>
      <w:bookmarkEnd w:id="1509"/>
    </w:p>
    <w:tbl>
      <w:tblPr>
        <w:tblW w:w="86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701"/>
        <w:gridCol w:w="1417"/>
        <w:gridCol w:w="3969"/>
      </w:tblGrid>
      <w:tr w:rsidR="00A052DC" w14:paraId="58DDEEBB" w14:textId="77777777">
        <w:trPr>
          <w:tblHeader/>
        </w:trPr>
        <w:tc>
          <w:tcPr>
            <w:tcW w:w="1560" w:type="dxa"/>
            <w:shd w:val="clear" w:color="auto" w:fill="C0C0C0"/>
          </w:tcPr>
          <w:p w14:paraId="22780C90" w14:textId="77777777" w:rsidR="00A052DC" w:rsidRDefault="009F0A60">
            <w:pPr>
              <w:pStyle w:val="B1"/>
            </w:pPr>
            <w:r>
              <w:rPr>
                <w:rFonts w:hint="eastAsia"/>
              </w:rPr>
              <w:t>字段</w:t>
            </w:r>
          </w:p>
        </w:tc>
        <w:tc>
          <w:tcPr>
            <w:tcW w:w="1701" w:type="dxa"/>
            <w:shd w:val="clear" w:color="auto" w:fill="C0C0C0"/>
          </w:tcPr>
          <w:p w14:paraId="7286C760" w14:textId="77777777" w:rsidR="00A052DC" w:rsidRDefault="009F0A60">
            <w:pPr>
              <w:pStyle w:val="B1"/>
            </w:pPr>
            <w:r>
              <w:rPr>
                <w:rFonts w:hint="eastAsia"/>
              </w:rPr>
              <w:t>内容</w:t>
            </w:r>
          </w:p>
        </w:tc>
        <w:tc>
          <w:tcPr>
            <w:tcW w:w="1417" w:type="dxa"/>
            <w:shd w:val="clear" w:color="auto" w:fill="C0C0C0"/>
          </w:tcPr>
          <w:p w14:paraId="379BB0A0" w14:textId="77777777" w:rsidR="00A052DC" w:rsidRDefault="009F0A60">
            <w:pPr>
              <w:pStyle w:val="B1"/>
            </w:pPr>
            <w:r>
              <w:rPr>
                <w:rFonts w:hint="eastAsia"/>
              </w:rPr>
              <w:t>类型（长度）</w:t>
            </w:r>
          </w:p>
        </w:tc>
        <w:tc>
          <w:tcPr>
            <w:tcW w:w="3969" w:type="dxa"/>
            <w:shd w:val="clear" w:color="auto" w:fill="C0C0C0"/>
          </w:tcPr>
          <w:p w14:paraId="6AD3C29D" w14:textId="77777777" w:rsidR="00A052DC" w:rsidRDefault="009F0A60">
            <w:pPr>
              <w:pStyle w:val="B1"/>
            </w:pPr>
            <w:r>
              <w:rPr>
                <w:rFonts w:hint="eastAsia"/>
              </w:rPr>
              <w:t>校验</w:t>
            </w:r>
          </w:p>
        </w:tc>
      </w:tr>
      <w:tr w:rsidR="00A052DC" w14:paraId="5A8DDE09" w14:textId="77777777">
        <w:tc>
          <w:tcPr>
            <w:tcW w:w="1560" w:type="dxa"/>
          </w:tcPr>
          <w:p w14:paraId="551C52C6" w14:textId="77777777" w:rsidR="00A052DC" w:rsidRDefault="009F0A60">
            <w:pPr>
              <w:pStyle w:val="B"/>
              <w:rPr>
                <w:szCs w:val="20"/>
              </w:rPr>
            </w:pPr>
            <w:r>
              <w:rPr>
                <w:szCs w:val="20"/>
              </w:rPr>
              <w:t>ACTIONTYPE</w:t>
            </w:r>
          </w:p>
        </w:tc>
        <w:tc>
          <w:tcPr>
            <w:tcW w:w="1701" w:type="dxa"/>
          </w:tcPr>
          <w:p w14:paraId="3AA063C6" w14:textId="77777777" w:rsidR="00A052DC" w:rsidRDefault="009F0A60">
            <w:pPr>
              <w:pStyle w:val="B"/>
              <w:rPr>
                <w:szCs w:val="20"/>
              </w:rPr>
            </w:pPr>
            <w:r>
              <w:rPr>
                <w:rFonts w:hint="eastAsia"/>
                <w:szCs w:val="20"/>
              </w:rPr>
              <w:t>操作类型</w:t>
            </w:r>
          </w:p>
        </w:tc>
        <w:tc>
          <w:tcPr>
            <w:tcW w:w="1417" w:type="dxa"/>
          </w:tcPr>
          <w:p w14:paraId="362087B6" w14:textId="77777777" w:rsidR="00A052DC" w:rsidRDefault="009F0A60">
            <w:pPr>
              <w:pStyle w:val="B"/>
              <w:rPr>
                <w:szCs w:val="20"/>
              </w:rPr>
            </w:pPr>
            <w:r>
              <w:rPr>
                <w:rFonts w:hint="eastAsia"/>
                <w:szCs w:val="20"/>
              </w:rPr>
              <w:t>字符型，</w:t>
            </w:r>
            <w:r>
              <w:rPr>
                <w:szCs w:val="20"/>
              </w:rPr>
              <w:t>1</w:t>
            </w:r>
          </w:p>
        </w:tc>
        <w:tc>
          <w:tcPr>
            <w:tcW w:w="3969" w:type="dxa"/>
          </w:tcPr>
          <w:p w14:paraId="1903105C" w14:textId="77777777" w:rsidR="00A052DC" w:rsidRDefault="009F0A60">
            <w:pPr>
              <w:pStyle w:val="B"/>
              <w:rPr>
                <w:szCs w:val="20"/>
              </w:rPr>
            </w:pPr>
            <w:r>
              <w:rPr>
                <w:rFonts w:hint="eastAsia"/>
                <w:szCs w:val="20"/>
              </w:rPr>
              <w:t>必填项</w:t>
            </w:r>
            <w:r w:rsidR="000E18F5">
              <w:rPr>
                <w:rFonts w:hint="eastAsia"/>
                <w:szCs w:val="20"/>
              </w:rPr>
              <w:t>。</w:t>
            </w:r>
          </w:p>
          <w:p w14:paraId="25975897" w14:textId="77777777" w:rsidR="00A052DC" w:rsidRDefault="009F0A60">
            <w:pPr>
              <w:pStyle w:val="B"/>
              <w:rPr>
                <w:szCs w:val="20"/>
              </w:rPr>
            </w:pPr>
            <w:r>
              <w:rPr>
                <w:szCs w:val="20"/>
              </w:rPr>
              <w:t>A</w:t>
            </w:r>
            <w:r w:rsidR="00AE4602">
              <w:rPr>
                <w:rFonts w:hint="eastAsia"/>
                <w:szCs w:val="20"/>
              </w:rPr>
              <w:t>-</w:t>
            </w:r>
            <w:r>
              <w:rPr>
                <w:rFonts w:hint="eastAsia"/>
                <w:szCs w:val="20"/>
              </w:rPr>
              <w:t>新建</w:t>
            </w:r>
          </w:p>
          <w:p w14:paraId="3A2E510D" w14:textId="77777777" w:rsidR="00A052DC" w:rsidRDefault="009F0A60">
            <w:pPr>
              <w:pStyle w:val="B"/>
              <w:rPr>
                <w:szCs w:val="20"/>
              </w:rPr>
            </w:pPr>
            <w:r>
              <w:rPr>
                <w:szCs w:val="20"/>
              </w:rPr>
              <w:t>C</w:t>
            </w:r>
            <w:r w:rsidR="00AE4602">
              <w:rPr>
                <w:rFonts w:hint="eastAsia"/>
                <w:szCs w:val="20"/>
              </w:rPr>
              <w:t>-</w:t>
            </w:r>
            <w:r>
              <w:rPr>
                <w:rFonts w:hint="eastAsia"/>
                <w:szCs w:val="20"/>
              </w:rPr>
              <w:t>修改</w:t>
            </w:r>
          </w:p>
          <w:p w14:paraId="1DE84268" w14:textId="77777777" w:rsidR="000E18F5" w:rsidRDefault="009F0A60" w:rsidP="000E18F5">
            <w:pPr>
              <w:pStyle w:val="B"/>
              <w:rPr>
                <w:szCs w:val="20"/>
              </w:rPr>
            </w:pPr>
            <w:r>
              <w:rPr>
                <w:szCs w:val="20"/>
              </w:rPr>
              <w:t>D</w:t>
            </w:r>
            <w:r w:rsidR="00AE4602">
              <w:rPr>
                <w:rFonts w:hint="eastAsia"/>
                <w:szCs w:val="20"/>
              </w:rPr>
              <w:t>-</w:t>
            </w:r>
            <w:r>
              <w:rPr>
                <w:rFonts w:hint="eastAsia"/>
                <w:szCs w:val="20"/>
              </w:rPr>
              <w:t>删除</w:t>
            </w:r>
          </w:p>
          <w:p w14:paraId="72484BB9" w14:textId="77777777" w:rsidR="00A052DC" w:rsidRDefault="009F0A60" w:rsidP="000E18F5">
            <w:pPr>
              <w:pStyle w:val="B"/>
              <w:rPr>
                <w:szCs w:val="20"/>
              </w:rPr>
            </w:pPr>
            <w:r>
              <w:rPr>
                <w:rFonts w:hint="eastAsia"/>
                <w:szCs w:val="20"/>
              </w:rPr>
              <w:t>一旦银行报送了该外债编号下的变动信息或月末存量信息，就不可以删除了。</w:t>
            </w:r>
          </w:p>
        </w:tc>
      </w:tr>
      <w:tr w:rsidR="00A052DC" w14:paraId="6F9AF984" w14:textId="77777777">
        <w:tc>
          <w:tcPr>
            <w:tcW w:w="1560" w:type="dxa"/>
          </w:tcPr>
          <w:p w14:paraId="0F8BD36B" w14:textId="77777777" w:rsidR="00A052DC" w:rsidRDefault="009F0A60">
            <w:pPr>
              <w:pStyle w:val="B"/>
              <w:rPr>
                <w:szCs w:val="20"/>
              </w:rPr>
            </w:pPr>
            <w:r>
              <w:rPr>
                <w:szCs w:val="20"/>
              </w:rPr>
              <w:t>ACTIONDESC</w:t>
            </w:r>
          </w:p>
        </w:tc>
        <w:tc>
          <w:tcPr>
            <w:tcW w:w="1701" w:type="dxa"/>
          </w:tcPr>
          <w:p w14:paraId="023A62AD" w14:textId="77777777" w:rsidR="00A052DC" w:rsidRDefault="009F0A60">
            <w:pPr>
              <w:pStyle w:val="B"/>
              <w:rPr>
                <w:szCs w:val="20"/>
              </w:rPr>
            </w:pPr>
            <w:r>
              <w:rPr>
                <w:rFonts w:hint="eastAsia"/>
                <w:szCs w:val="20"/>
              </w:rPr>
              <w:t>删除原因</w:t>
            </w:r>
          </w:p>
        </w:tc>
        <w:tc>
          <w:tcPr>
            <w:tcW w:w="1417" w:type="dxa"/>
          </w:tcPr>
          <w:p w14:paraId="14E8402C" w14:textId="77777777" w:rsidR="00A052DC" w:rsidRDefault="009F0A60">
            <w:pPr>
              <w:pStyle w:val="B1"/>
              <w:jc w:val="both"/>
              <w:rPr>
                <w:b w:val="0"/>
              </w:rPr>
            </w:pPr>
            <w:r>
              <w:rPr>
                <w:rFonts w:hint="eastAsia"/>
                <w:b w:val="0"/>
              </w:rPr>
              <w:t>字符型，</w:t>
            </w:r>
            <w:r>
              <w:rPr>
                <w:b w:val="0"/>
              </w:rPr>
              <w:t>128</w:t>
            </w:r>
          </w:p>
        </w:tc>
        <w:tc>
          <w:tcPr>
            <w:tcW w:w="3969" w:type="dxa"/>
          </w:tcPr>
          <w:p w14:paraId="2CF289BE" w14:textId="77777777" w:rsidR="00A052DC" w:rsidRDefault="00DD6AA3" w:rsidP="000E18F5">
            <w:pPr>
              <w:pStyle w:val="B"/>
              <w:rPr>
                <w:szCs w:val="20"/>
              </w:rPr>
            </w:pPr>
            <w:r>
              <w:rPr>
                <w:rFonts w:hint="eastAsia"/>
                <w:szCs w:val="20"/>
              </w:rPr>
              <w:t>非必填项，当操作类型（ACTIONTYPE）为删除时必填。</w:t>
            </w:r>
          </w:p>
        </w:tc>
      </w:tr>
      <w:tr w:rsidR="00A052DC" w14:paraId="6431CFC5" w14:textId="77777777">
        <w:tc>
          <w:tcPr>
            <w:tcW w:w="1560" w:type="dxa"/>
          </w:tcPr>
          <w:p w14:paraId="27631F56" w14:textId="77777777" w:rsidR="00A052DC" w:rsidRDefault="009F0A60">
            <w:pPr>
              <w:pStyle w:val="B"/>
              <w:rPr>
                <w:szCs w:val="20"/>
              </w:rPr>
            </w:pPr>
            <w:r>
              <w:rPr>
                <w:szCs w:val="20"/>
              </w:rPr>
              <w:t>EXDEBTCODE</w:t>
            </w:r>
          </w:p>
        </w:tc>
        <w:tc>
          <w:tcPr>
            <w:tcW w:w="1701" w:type="dxa"/>
          </w:tcPr>
          <w:p w14:paraId="20B5ECC0" w14:textId="77777777" w:rsidR="00A052DC" w:rsidRDefault="009F0A60">
            <w:pPr>
              <w:pStyle w:val="B"/>
              <w:rPr>
                <w:szCs w:val="20"/>
              </w:rPr>
            </w:pPr>
            <w:r>
              <w:rPr>
                <w:rFonts w:hint="eastAsia"/>
                <w:szCs w:val="20"/>
              </w:rPr>
              <w:t>外债编号</w:t>
            </w:r>
          </w:p>
        </w:tc>
        <w:tc>
          <w:tcPr>
            <w:tcW w:w="1417" w:type="dxa"/>
          </w:tcPr>
          <w:p w14:paraId="7E4858AA" w14:textId="77777777" w:rsidR="00A052DC" w:rsidRDefault="009F0A60">
            <w:pPr>
              <w:pStyle w:val="B"/>
              <w:rPr>
                <w:szCs w:val="20"/>
              </w:rPr>
            </w:pPr>
            <w:r>
              <w:rPr>
                <w:rFonts w:hint="eastAsia"/>
                <w:szCs w:val="20"/>
              </w:rPr>
              <w:t>字符型，</w:t>
            </w:r>
            <w:r>
              <w:rPr>
                <w:szCs w:val="20"/>
              </w:rPr>
              <w:t>28</w:t>
            </w:r>
          </w:p>
        </w:tc>
        <w:tc>
          <w:tcPr>
            <w:tcW w:w="3969" w:type="dxa"/>
          </w:tcPr>
          <w:p w14:paraId="387E6692" w14:textId="77777777" w:rsidR="00A052DC" w:rsidRDefault="009F0A60" w:rsidP="000E18F5">
            <w:pPr>
              <w:pStyle w:val="B"/>
              <w:rPr>
                <w:szCs w:val="20"/>
              </w:rPr>
            </w:pPr>
            <w:r>
              <w:rPr>
                <w:rFonts w:hint="eastAsia"/>
                <w:szCs w:val="20"/>
              </w:rPr>
              <w:t>必填项，外债唯一性编码。</w:t>
            </w:r>
          </w:p>
        </w:tc>
      </w:tr>
      <w:tr w:rsidR="00A052DC" w14:paraId="5DA634C5" w14:textId="77777777">
        <w:tc>
          <w:tcPr>
            <w:tcW w:w="1560" w:type="dxa"/>
          </w:tcPr>
          <w:p w14:paraId="65FCA583" w14:textId="77777777" w:rsidR="00A052DC" w:rsidRDefault="009F0A60">
            <w:pPr>
              <w:pStyle w:val="B"/>
              <w:rPr>
                <w:szCs w:val="20"/>
              </w:rPr>
            </w:pPr>
            <w:r>
              <w:rPr>
                <w:szCs w:val="20"/>
              </w:rPr>
              <w:t>DEBTORCODE</w:t>
            </w:r>
          </w:p>
        </w:tc>
        <w:tc>
          <w:tcPr>
            <w:tcW w:w="1701" w:type="dxa"/>
          </w:tcPr>
          <w:p w14:paraId="2866707A" w14:textId="77777777" w:rsidR="00A052DC" w:rsidRDefault="009F0A60">
            <w:pPr>
              <w:pStyle w:val="B"/>
              <w:rPr>
                <w:szCs w:val="20"/>
              </w:rPr>
            </w:pPr>
            <w:r>
              <w:rPr>
                <w:rFonts w:hint="eastAsia"/>
                <w:szCs w:val="20"/>
              </w:rPr>
              <w:t>债务人代码</w:t>
            </w:r>
          </w:p>
        </w:tc>
        <w:tc>
          <w:tcPr>
            <w:tcW w:w="1417" w:type="dxa"/>
          </w:tcPr>
          <w:p w14:paraId="7CF5C2A5" w14:textId="77777777" w:rsidR="00A052DC" w:rsidRDefault="009F0A60">
            <w:pPr>
              <w:pStyle w:val="B"/>
              <w:rPr>
                <w:szCs w:val="20"/>
              </w:rPr>
            </w:pPr>
            <w:r>
              <w:rPr>
                <w:rFonts w:hint="eastAsia"/>
                <w:szCs w:val="20"/>
              </w:rPr>
              <w:t>字符型，</w:t>
            </w:r>
            <w:r>
              <w:rPr>
                <w:szCs w:val="20"/>
              </w:rPr>
              <w:t>12</w:t>
            </w:r>
          </w:p>
        </w:tc>
        <w:tc>
          <w:tcPr>
            <w:tcW w:w="3969" w:type="dxa"/>
          </w:tcPr>
          <w:p w14:paraId="7B393B55" w14:textId="77777777" w:rsidR="00A052DC" w:rsidRDefault="009F0A60" w:rsidP="000E18F5">
            <w:pPr>
              <w:pStyle w:val="B"/>
              <w:rPr>
                <w:szCs w:val="20"/>
              </w:rPr>
            </w:pPr>
            <w:r>
              <w:rPr>
                <w:rFonts w:hint="eastAsia"/>
                <w:szCs w:val="20"/>
              </w:rPr>
              <w:t>必填项，金融机构标识码。</w:t>
            </w:r>
          </w:p>
        </w:tc>
      </w:tr>
      <w:tr w:rsidR="00A052DC" w14:paraId="38CF58F7" w14:textId="77777777">
        <w:tc>
          <w:tcPr>
            <w:tcW w:w="1560" w:type="dxa"/>
          </w:tcPr>
          <w:p w14:paraId="4C436460" w14:textId="77777777" w:rsidR="00A052DC" w:rsidRDefault="009F0A60">
            <w:pPr>
              <w:pStyle w:val="B"/>
              <w:rPr>
                <w:szCs w:val="20"/>
              </w:rPr>
            </w:pPr>
            <w:r>
              <w:rPr>
                <w:szCs w:val="20"/>
              </w:rPr>
              <w:t>DEBTYPE</w:t>
            </w:r>
          </w:p>
        </w:tc>
        <w:tc>
          <w:tcPr>
            <w:tcW w:w="1701" w:type="dxa"/>
          </w:tcPr>
          <w:p w14:paraId="506E858D" w14:textId="77777777" w:rsidR="00A052DC" w:rsidRDefault="009F0A60">
            <w:pPr>
              <w:pStyle w:val="B"/>
              <w:rPr>
                <w:szCs w:val="20"/>
              </w:rPr>
            </w:pPr>
            <w:r>
              <w:rPr>
                <w:rFonts w:hint="eastAsia"/>
                <w:szCs w:val="20"/>
              </w:rPr>
              <w:t>债务类型</w:t>
            </w:r>
          </w:p>
        </w:tc>
        <w:tc>
          <w:tcPr>
            <w:tcW w:w="1417" w:type="dxa"/>
          </w:tcPr>
          <w:p w14:paraId="3B06416C" w14:textId="77777777" w:rsidR="00A052DC" w:rsidRDefault="009F0A60">
            <w:pPr>
              <w:pStyle w:val="B"/>
              <w:rPr>
                <w:szCs w:val="20"/>
              </w:rPr>
            </w:pPr>
            <w:r>
              <w:rPr>
                <w:rFonts w:hint="eastAsia"/>
                <w:szCs w:val="20"/>
              </w:rPr>
              <w:t>字符型</w:t>
            </w:r>
            <w:r>
              <w:rPr>
                <w:rFonts w:cs="宋体" w:hint="eastAsia"/>
                <w:szCs w:val="20"/>
              </w:rPr>
              <w:t>，</w:t>
            </w:r>
            <w:r>
              <w:rPr>
                <w:rFonts w:cs="宋体"/>
                <w:szCs w:val="20"/>
              </w:rPr>
              <w:t>4</w:t>
            </w:r>
          </w:p>
        </w:tc>
        <w:tc>
          <w:tcPr>
            <w:tcW w:w="3969" w:type="dxa"/>
          </w:tcPr>
          <w:p w14:paraId="7A08A5D8" w14:textId="77777777" w:rsidR="00A052DC" w:rsidRDefault="009F0A60">
            <w:pPr>
              <w:pStyle w:val="B"/>
              <w:rPr>
                <w:szCs w:val="20"/>
              </w:rPr>
            </w:pPr>
            <w:r>
              <w:rPr>
                <w:rFonts w:cs="宋体" w:hint="eastAsia"/>
                <w:szCs w:val="20"/>
              </w:rPr>
              <w:t>必填项，</w:t>
            </w:r>
            <w:r>
              <w:rPr>
                <w:rFonts w:hint="eastAsia"/>
                <w:szCs w:val="20"/>
              </w:rPr>
              <w:t>见债务类型代码表。</w:t>
            </w:r>
          </w:p>
        </w:tc>
      </w:tr>
      <w:tr w:rsidR="00A052DC" w14:paraId="1EDC4702" w14:textId="77777777">
        <w:trPr>
          <w:cantSplit/>
          <w:trHeight w:val="64"/>
        </w:trPr>
        <w:tc>
          <w:tcPr>
            <w:tcW w:w="1560" w:type="dxa"/>
          </w:tcPr>
          <w:p w14:paraId="0594BB33" w14:textId="77777777" w:rsidR="00A052DC" w:rsidRDefault="009F0A60">
            <w:pPr>
              <w:pStyle w:val="B"/>
              <w:rPr>
                <w:szCs w:val="20"/>
              </w:rPr>
            </w:pPr>
            <w:r>
              <w:rPr>
                <w:szCs w:val="20"/>
              </w:rPr>
              <w:t>VALUEDATE</w:t>
            </w:r>
          </w:p>
        </w:tc>
        <w:tc>
          <w:tcPr>
            <w:tcW w:w="1701" w:type="dxa"/>
          </w:tcPr>
          <w:p w14:paraId="35DE413C" w14:textId="77777777" w:rsidR="00A052DC" w:rsidRDefault="009F0A60">
            <w:pPr>
              <w:pStyle w:val="B"/>
              <w:rPr>
                <w:szCs w:val="20"/>
              </w:rPr>
            </w:pPr>
            <w:r>
              <w:rPr>
                <w:rFonts w:hint="eastAsia"/>
                <w:szCs w:val="20"/>
              </w:rPr>
              <w:t>起息日</w:t>
            </w:r>
          </w:p>
        </w:tc>
        <w:tc>
          <w:tcPr>
            <w:tcW w:w="1417" w:type="dxa"/>
          </w:tcPr>
          <w:p w14:paraId="2A796CFF" w14:textId="77777777" w:rsidR="00A052DC" w:rsidRDefault="009F0A60">
            <w:pPr>
              <w:pStyle w:val="B"/>
              <w:rPr>
                <w:szCs w:val="20"/>
              </w:rPr>
            </w:pPr>
            <w:r>
              <w:rPr>
                <w:rFonts w:hint="eastAsia"/>
                <w:szCs w:val="20"/>
              </w:rPr>
              <w:t>日期型，</w:t>
            </w:r>
            <w:r>
              <w:rPr>
                <w:szCs w:val="20"/>
              </w:rPr>
              <w:t>8</w:t>
            </w:r>
          </w:p>
        </w:tc>
        <w:tc>
          <w:tcPr>
            <w:tcW w:w="3969" w:type="dxa"/>
          </w:tcPr>
          <w:p w14:paraId="0F573015" w14:textId="77777777" w:rsidR="00A052DC" w:rsidRDefault="009F0A60" w:rsidP="000E18F5">
            <w:pPr>
              <w:pStyle w:val="B"/>
              <w:rPr>
                <w:szCs w:val="20"/>
              </w:rPr>
            </w:pPr>
            <w:r>
              <w:rPr>
                <w:rFonts w:hint="eastAsia"/>
                <w:szCs w:val="20"/>
              </w:rPr>
              <w:t>必填项，格式</w:t>
            </w:r>
            <w:r>
              <w:rPr>
                <w:szCs w:val="20"/>
              </w:rPr>
              <w:t>YYYYMMDD</w:t>
            </w:r>
            <w:r>
              <w:rPr>
                <w:rFonts w:hint="eastAsia"/>
                <w:szCs w:val="20"/>
              </w:rPr>
              <w:t>。</w:t>
            </w:r>
          </w:p>
        </w:tc>
      </w:tr>
      <w:tr w:rsidR="00A052DC" w14:paraId="5526259F" w14:textId="77777777">
        <w:trPr>
          <w:cantSplit/>
          <w:trHeight w:val="64"/>
        </w:trPr>
        <w:tc>
          <w:tcPr>
            <w:tcW w:w="1560" w:type="dxa"/>
          </w:tcPr>
          <w:p w14:paraId="039CE61B" w14:textId="77777777" w:rsidR="00A052DC" w:rsidRDefault="009F0A60">
            <w:pPr>
              <w:pStyle w:val="B"/>
              <w:rPr>
                <w:szCs w:val="20"/>
              </w:rPr>
            </w:pPr>
            <w:r>
              <w:rPr>
                <w:szCs w:val="20"/>
              </w:rPr>
              <w:t>CONTRACTCURR</w:t>
            </w:r>
          </w:p>
        </w:tc>
        <w:tc>
          <w:tcPr>
            <w:tcW w:w="1701" w:type="dxa"/>
          </w:tcPr>
          <w:p w14:paraId="35344D23" w14:textId="77777777" w:rsidR="00A052DC" w:rsidRDefault="009F0A60">
            <w:pPr>
              <w:pStyle w:val="B"/>
              <w:rPr>
                <w:szCs w:val="20"/>
              </w:rPr>
            </w:pPr>
            <w:r>
              <w:rPr>
                <w:rFonts w:hint="eastAsia"/>
                <w:szCs w:val="20"/>
              </w:rPr>
              <w:t>签约币种</w:t>
            </w:r>
          </w:p>
        </w:tc>
        <w:tc>
          <w:tcPr>
            <w:tcW w:w="1417" w:type="dxa"/>
          </w:tcPr>
          <w:p w14:paraId="327FFB74" w14:textId="77777777" w:rsidR="00A052DC" w:rsidRDefault="009F0A60">
            <w:pPr>
              <w:pStyle w:val="B"/>
              <w:rPr>
                <w:szCs w:val="20"/>
              </w:rPr>
            </w:pPr>
            <w:r>
              <w:rPr>
                <w:rFonts w:hint="eastAsia"/>
                <w:szCs w:val="20"/>
              </w:rPr>
              <w:t>字符型，</w:t>
            </w:r>
            <w:r>
              <w:rPr>
                <w:szCs w:val="20"/>
              </w:rPr>
              <w:t>3</w:t>
            </w:r>
          </w:p>
        </w:tc>
        <w:tc>
          <w:tcPr>
            <w:tcW w:w="3969" w:type="dxa"/>
          </w:tcPr>
          <w:p w14:paraId="72DE4C68" w14:textId="77777777" w:rsidR="00A052DC" w:rsidRDefault="009F0A60" w:rsidP="000E18F5">
            <w:pPr>
              <w:pStyle w:val="B"/>
              <w:rPr>
                <w:szCs w:val="20"/>
              </w:rPr>
            </w:pPr>
            <w:r>
              <w:rPr>
                <w:rFonts w:hint="eastAsia"/>
                <w:szCs w:val="20"/>
              </w:rPr>
              <w:t>必填项，见币种代码表。</w:t>
            </w:r>
          </w:p>
        </w:tc>
      </w:tr>
      <w:tr w:rsidR="00A052DC" w14:paraId="170DDA7B" w14:textId="77777777">
        <w:tc>
          <w:tcPr>
            <w:tcW w:w="1560" w:type="dxa"/>
          </w:tcPr>
          <w:p w14:paraId="337E17B5" w14:textId="77777777" w:rsidR="00A052DC" w:rsidRDefault="009F0A60">
            <w:pPr>
              <w:pStyle w:val="B"/>
              <w:rPr>
                <w:szCs w:val="20"/>
              </w:rPr>
            </w:pPr>
            <w:r>
              <w:rPr>
                <w:szCs w:val="20"/>
              </w:rPr>
              <w:t>CONTRACTAMOUNT</w:t>
            </w:r>
          </w:p>
        </w:tc>
        <w:tc>
          <w:tcPr>
            <w:tcW w:w="1701" w:type="dxa"/>
          </w:tcPr>
          <w:p w14:paraId="07605785" w14:textId="77777777" w:rsidR="00A052DC" w:rsidRDefault="009F0A60">
            <w:pPr>
              <w:pStyle w:val="B"/>
              <w:rPr>
                <w:szCs w:val="20"/>
              </w:rPr>
            </w:pPr>
            <w:r>
              <w:rPr>
                <w:rFonts w:hint="eastAsia"/>
                <w:szCs w:val="20"/>
              </w:rPr>
              <w:t>签约金额</w:t>
            </w:r>
          </w:p>
        </w:tc>
        <w:tc>
          <w:tcPr>
            <w:tcW w:w="1417" w:type="dxa"/>
          </w:tcPr>
          <w:p w14:paraId="160A37DA" w14:textId="77777777" w:rsidR="00A052DC" w:rsidRDefault="009F0A60">
            <w:pPr>
              <w:pStyle w:val="B"/>
              <w:rPr>
                <w:szCs w:val="20"/>
              </w:rPr>
            </w:pPr>
            <w:r>
              <w:rPr>
                <w:rFonts w:hint="eastAsia"/>
                <w:szCs w:val="20"/>
              </w:rPr>
              <w:t>数值型，</w:t>
            </w:r>
            <w:r>
              <w:rPr>
                <w:szCs w:val="20"/>
              </w:rPr>
              <w:t>22.2</w:t>
            </w:r>
          </w:p>
        </w:tc>
        <w:tc>
          <w:tcPr>
            <w:tcW w:w="3969" w:type="dxa"/>
          </w:tcPr>
          <w:p w14:paraId="210D51F5" w14:textId="77777777" w:rsidR="00A052DC" w:rsidRDefault="009F0A60">
            <w:pPr>
              <w:pStyle w:val="B"/>
              <w:rPr>
                <w:szCs w:val="20"/>
              </w:rPr>
            </w:pPr>
            <w:r>
              <w:rPr>
                <w:rFonts w:hint="eastAsia"/>
                <w:szCs w:val="20"/>
              </w:rPr>
              <w:t>必填项，大于等于</w:t>
            </w:r>
            <w:r>
              <w:rPr>
                <w:szCs w:val="20"/>
              </w:rPr>
              <w:t>0</w:t>
            </w:r>
            <w:r>
              <w:rPr>
                <w:rFonts w:hint="eastAsia"/>
                <w:szCs w:val="20"/>
              </w:rPr>
              <w:t>。</w:t>
            </w:r>
          </w:p>
        </w:tc>
      </w:tr>
      <w:tr w:rsidR="00A052DC" w14:paraId="5FFF3A35" w14:textId="77777777">
        <w:tc>
          <w:tcPr>
            <w:tcW w:w="1560" w:type="dxa"/>
          </w:tcPr>
          <w:p w14:paraId="09835630" w14:textId="77777777" w:rsidR="00A052DC" w:rsidRDefault="009F0A60">
            <w:pPr>
              <w:pStyle w:val="B"/>
              <w:rPr>
                <w:szCs w:val="20"/>
              </w:rPr>
            </w:pPr>
            <w:r>
              <w:rPr>
                <w:szCs w:val="20"/>
              </w:rPr>
              <w:t>Maturity</w:t>
            </w:r>
          </w:p>
        </w:tc>
        <w:tc>
          <w:tcPr>
            <w:tcW w:w="1701" w:type="dxa"/>
          </w:tcPr>
          <w:p w14:paraId="0E8E1714" w14:textId="77777777" w:rsidR="00A052DC" w:rsidRDefault="009F0A60">
            <w:pPr>
              <w:pStyle w:val="B"/>
              <w:rPr>
                <w:szCs w:val="20"/>
              </w:rPr>
            </w:pPr>
            <w:r>
              <w:rPr>
                <w:rFonts w:hint="eastAsia"/>
                <w:szCs w:val="20"/>
              </w:rPr>
              <w:t>到期日</w:t>
            </w:r>
          </w:p>
        </w:tc>
        <w:tc>
          <w:tcPr>
            <w:tcW w:w="1417" w:type="dxa"/>
          </w:tcPr>
          <w:p w14:paraId="7C18111C" w14:textId="77777777" w:rsidR="00A052DC" w:rsidRDefault="009F0A60">
            <w:pPr>
              <w:pStyle w:val="B"/>
              <w:rPr>
                <w:szCs w:val="20"/>
              </w:rPr>
            </w:pPr>
            <w:r>
              <w:rPr>
                <w:rFonts w:hint="eastAsia"/>
                <w:szCs w:val="20"/>
              </w:rPr>
              <w:t>日期型，</w:t>
            </w:r>
            <w:r>
              <w:rPr>
                <w:szCs w:val="20"/>
              </w:rPr>
              <w:t>8</w:t>
            </w:r>
          </w:p>
        </w:tc>
        <w:tc>
          <w:tcPr>
            <w:tcW w:w="3969" w:type="dxa"/>
          </w:tcPr>
          <w:p w14:paraId="42555DE0" w14:textId="77777777" w:rsidR="00A052DC" w:rsidRDefault="009F0A60" w:rsidP="000E18F5">
            <w:pPr>
              <w:pStyle w:val="B"/>
              <w:rPr>
                <w:szCs w:val="20"/>
              </w:rPr>
            </w:pPr>
            <w:r>
              <w:rPr>
                <w:rFonts w:hint="eastAsia"/>
                <w:szCs w:val="20"/>
              </w:rPr>
              <w:t>必填项，格式</w:t>
            </w:r>
            <w:r>
              <w:rPr>
                <w:szCs w:val="20"/>
              </w:rPr>
              <w:t>YYYYMMDD</w:t>
            </w:r>
            <w:r>
              <w:rPr>
                <w:rFonts w:hint="eastAsia"/>
                <w:szCs w:val="20"/>
              </w:rPr>
              <w:t>，大于等于起息日。</w:t>
            </w:r>
          </w:p>
        </w:tc>
      </w:tr>
      <w:tr w:rsidR="00A052DC" w14:paraId="3B4E9870" w14:textId="77777777">
        <w:tc>
          <w:tcPr>
            <w:tcW w:w="1560" w:type="dxa"/>
          </w:tcPr>
          <w:p w14:paraId="5D68E94E" w14:textId="77777777" w:rsidR="00A052DC" w:rsidRDefault="009F0A60">
            <w:pPr>
              <w:pStyle w:val="B"/>
              <w:rPr>
                <w:szCs w:val="20"/>
              </w:rPr>
            </w:pPr>
            <w:r>
              <w:rPr>
                <w:szCs w:val="20"/>
              </w:rPr>
              <w:t>FLOATRATE</w:t>
            </w:r>
          </w:p>
        </w:tc>
        <w:tc>
          <w:tcPr>
            <w:tcW w:w="1701" w:type="dxa"/>
          </w:tcPr>
          <w:p w14:paraId="1CCB3E50" w14:textId="77777777" w:rsidR="00A052DC" w:rsidRDefault="009F0A60">
            <w:pPr>
              <w:pStyle w:val="B"/>
              <w:rPr>
                <w:szCs w:val="20"/>
              </w:rPr>
            </w:pPr>
            <w:r>
              <w:rPr>
                <w:rFonts w:hint="eastAsia"/>
                <w:szCs w:val="20"/>
              </w:rPr>
              <w:t>是否浮动利率</w:t>
            </w:r>
          </w:p>
        </w:tc>
        <w:tc>
          <w:tcPr>
            <w:tcW w:w="1417" w:type="dxa"/>
          </w:tcPr>
          <w:p w14:paraId="3C2248E5" w14:textId="77777777" w:rsidR="00A052DC" w:rsidRDefault="009F0A60">
            <w:pPr>
              <w:pStyle w:val="B"/>
              <w:rPr>
                <w:szCs w:val="20"/>
              </w:rPr>
            </w:pPr>
            <w:r>
              <w:rPr>
                <w:rFonts w:hint="eastAsia"/>
                <w:szCs w:val="20"/>
              </w:rPr>
              <w:t>字符型，</w:t>
            </w:r>
            <w:r>
              <w:rPr>
                <w:szCs w:val="20"/>
              </w:rPr>
              <w:t>1</w:t>
            </w:r>
          </w:p>
        </w:tc>
        <w:tc>
          <w:tcPr>
            <w:tcW w:w="3969" w:type="dxa"/>
          </w:tcPr>
          <w:p w14:paraId="0A535E20" w14:textId="77777777" w:rsidR="00A052DC" w:rsidRDefault="009F0A60">
            <w:pPr>
              <w:pStyle w:val="B"/>
              <w:rPr>
                <w:szCs w:val="20"/>
              </w:rPr>
            </w:pPr>
            <w:r>
              <w:rPr>
                <w:rFonts w:hint="eastAsia"/>
                <w:szCs w:val="20"/>
              </w:rPr>
              <w:t>必填项，是</w:t>
            </w:r>
            <w:r>
              <w:rPr>
                <w:szCs w:val="20"/>
              </w:rPr>
              <w:t>-Y</w:t>
            </w:r>
            <w:r>
              <w:rPr>
                <w:rFonts w:hint="eastAsia"/>
                <w:szCs w:val="20"/>
              </w:rPr>
              <w:t>，否</w:t>
            </w:r>
            <w:r>
              <w:rPr>
                <w:szCs w:val="20"/>
              </w:rPr>
              <w:t>-N</w:t>
            </w:r>
            <w:r>
              <w:rPr>
                <w:rFonts w:hint="eastAsia"/>
                <w:szCs w:val="20"/>
              </w:rPr>
              <w:t>，默认为否，填写</w:t>
            </w:r>
            <w:r>
              <w:rPr>
                <w:szCs w:val="20"/>
              </w:rPr>
              <w:t>N</w:t>
            </w:r>
            <w:r>
              <w:rPr>
                <w:rFonts w:hint="eastAsia"/>
                <w:szCs w:val="20"/>
              </w:rPr>
              <w:t>。</w:t>
            </w:r>
          </w:p>
        </w:tc>
      </w:tr>
      <w:tr w:rsidR="00A052DC" w14:paraId="0C93BAE4" w14:textId="77777777">
        <w:tc>
          <w:tcPr>
            <w:tcW w:w="1560" w:type="dxa"/>
          </w:tcPr>
          <w:p w14:paraId="513ADDF9" w14:textId="77777777" w:rsidR="00A052DC" w:rsidRDefault="009F0A60">
            <w:pPr>
              <w:pStyle w:val="B"/>
              <w:rPr>
                <w:szCs w:val="20"/>
              </w:rPr>
            </w:pPr>
            <w:r>
              <w:rPr>
                <w:szCs w:val="20"/>
              </w:rPr>
              <w:t>ANNINRATE</w:t>
            </w:r>
          </w:p>
        </w:tc>
        <w:tc>
          <w:tcPr>
            <w:tcW w:w="1701" w:type="dxa"/>
          </w:tcPr>
          <w:p w14:paraId="5A6278C4" w14:textId="77777777" w:rsidR="00A052DC" w:rsidRDefault="009F0A60">
            <w:pPr>
              <w:pStyle w:val="B"/>
              <w:rPr>
                <w:szCs w:val="20"/>
              </w:rPr>
            </w:pPr>
            <w:r>
              <w:rPr>
                <w:rFonts w:hint="eastAsia"/>
                <w:szCs w:val="20"/>
              </w:rPr>
              <w:t>年化利率值</w:t>
            </w:r>
          </w:p>
        </w:tc>
        <w:tc>
          <w:tcPr>
            <w:tcW w:w="1417" w:type="dxa"/>
          </w:tcPr>
          <w:p w14:paraId="0EBFD2D8" w14:textId="77777777" w:rsidR="00A052DC" w:rsidRDefault="009F0A60">
            <w:pPr>
              <w:pStyle w:val="B"/>
              <w:rPr>
                <w:szCs w:val="20"/>
              </w:rPr>
            </w:pPr>
            <w:r>
              <w:rPr>
                <w:rFonts w:hint="eastAsia"/>
                <w:szCs w:val="20"/>
              </w:rPr>
              <w:t>数值型，</w:t>
            </w:r>
            <w:r>
              <w:rPr>
                <w:szCs w:val="20"/>
              </w:rPr>
              <w:t>13.8</w:t>
            </w:r>
          </w:p>
        </w:tc>
        <w:tc>
          <w:tcPr>
            <w:tcW w:w="3969" w:type="dxa"/>
          </w:tcPr>
          <w:p w14:paraId="70086190" w14:textId="77777777" w:rsidR="00A052DC" w:rsidRDefault="009F0A60" w:rsidP="000E18F5">
            <w:pPr>
              <w:pStyle w:val="B"/>
              <w:rPr>
                <w:szCs w:val="20"/>
              </w:rPr>
            </w:pPr>
            <w:r>
              <w:rPr>
                <w:rFonts w:hint="eastAsia"/>
                <w:szCs w:val="20"/>
              </w:rPr>
              <w:t>必填项，大于等于</w:t>
            </w:r>
            <w:r>
              <w:rPr>
                <w:szCs w:val="20"/>
              </w:rPr>
              <w:t>0</w:t>
            </w:r>
            <w:r>
              <w:rPr>
                <w:rFonts w:hint="eastAsia"/>
                <w:szCs w:val="20"/>
              </w:rPr>
              <w:t>，按小数填写</w:t>
            </w:r>
            <w:r w:rsidR="000E18F5">
              <w:rPr>
                <w:rFonts w:hint="eastAsia"/>
                <w:szCs w:val="20"/>
              </w:rPr>
              <w:t>。</w:t>
            </w:r>
            <w:r>
              <w:rPr>
                <w:rFonts w:hint="eastAsia"/>
                <w:szCs w:val="20"/>
              </w:rPr>
              <w:t>如利率为</w:t>
            </w:r>
            <w:r>
              <w:rPr>
                <w:szCs w:val="20"/>
              </w:rPr>
              <w:t>3.21%</w:t>
            </w:r>
            <w:r>
              <w:rPr>
                <w:rFonts w:hint="eastAsia"/>
                <w:szCs w:val="20"/>
              </w:rPr>
              <w:t>，则填写</w:t>
            </w:r>
            <w:r>
              <w:rPr>
                <w:szCs w:val="20"/>
              </w:rPr>
              <w:t>0.0321</w:t>
            </w:r>
            <w:r>
              <w:rPr>
                <w:rFonts w:hint="eastAsia"/>
                <w:szCs w:val="20"/>
              </w:rPr>
              <w:t>。</w:t>
            </w:r>
          </w:p>
        </w:tc>
      </w:tr>
      <w:tr w:rsidR="00A052DC" w14:paraId="19C7C5FC" w14:textId="77777777">
        <w:tc>
          <w:tcPr>
            <w:tcW w:w="1560" w:type="dxa"/>
          </w:tcPr>
          <w:p w14:paraId="1A756DC2" w14:textId="77777777" w:rsidR="00A052DC" w:rsidRDefault="009F0A60">
            <w:pPr>
              <w:pStyle w:val="B"/>
              <w:rPr>
                <w:szCs w:val="20"/>
              </w:rPr>
            </w:pPr>
            <w:r>
              <w:rPr>
                <w:szCs w:val="20"/>
              </w:rPr>
              <w:t>CREDITORCODE</w:t>
            </w:r>
          </w:p>
        </w:tc>
        <w:tc>
          <w:tcPr>
            <w:tcW w:w="1701" w:type="dxa"/>
          </w:tcPr>
          <w:p w14:paraId="26007668" w14:textId="77777777" w:rsidR="00A052DC" w:rsidRDefault="009F0A60">
            <w:pPr>
              <w:pStyle w:val="B"/>
              <w:rPr>
                <w:szCs w:val="20"/>
              </w:rPr>
            </w:pPr>
            <w:r>
              <w:rPr>
                <w:rFonts w:hint="eastAsia"/>
                <w:szCs w:val="20"/>
              </w:rPr>
              <w:t>债权人代码</w:t>
            </w:r>
          </w:p>
        </w:tc>
        <w:tc>
          <w:tcPr>
            <w:tcW w:w="1417" w:type="dxa"/>
          </w:tcPr>
          <w:p w14:paraId="7ACB3FD5" w14:textId="77777777" w:rsidR="00A052DC" w:rsidRDefault="009F0A60">
            <w:pPr>
              <w:pStyle w:val="B"/>
              <w:rPr>
                <w:szCs w:val="20"/>
              </w:rPr>
            </w:pPr>
            <w:r>
              <w:rPr>
                <w:rFonts w:hint="eastAsia"/>
                <w:szCs w:val="20"/>
              </w:rPr>
              <w:t>字符型，</w:t>
            </w:r>
            <w:r>
              <w:rPr>
                <w:szCs w:val="20"/>
              </w:rPr>
              <w:t>11</w:t>
            </w:r>
          </w:p>
        </w:tc>
        <w:tc>
          <w:tcPr>
            <w:tcW w:w="3969" w:type="dxa"/>
          </w:tcPr>
          <w:p w14:paraId="625CB63A" w14:textId="77777777" w:rsidR="00A052DC" w:rsidRDefault="009F0A60">
            <w:pPr>
              <w:pStyle w:val="B"/>
              <w:rPr>
                <w:szCs w:val="20"/>
              </w:rPr>
            </w:pPr>
            <w:r>
              <w:rPr>
                <w:rFonts w:hint="eastAsia"/>
                <w:szCs w:val="20"/>
              </w:rPr>
              <w:t>非必填项。</w:t>
            </w:r>
          </w:p>
        </w:tc>
      </w:tr>
      <w:tr w:rsidR="00A052DC" w14:paraId="6212F2DF" w14:textId="77777777">
        <w:tc>
          <w:tcPr>
            <w:tcW w:w="1560" w:type="dxa"/>
          </w:tcPr>
          <w:p w14:paraId="20031224" w14:textId="77777777" w:rsidR="00A052DC" w:rsidRDefault="009F0A60">
            <w:pPr>
              <w:pStyle w:val="B"/>
              <w:rPr>
                <w:szCs w:val="20"/>
              </w:rPr>
            </w:pPr>
            <w:r>
              <w:rPr>
                <w:szCs w:val="20"/>
              </w:rPr>
              <w:t>CREDITORNAME</w:t>
            </w:r>
          </w:p>
        </w:tc>
        <w:tc>
          <w:tcPr>
            <w:tcW w:w="1701" w:type="dxa"/>
          </w:tcPr>
          <w:p w14:paraId="30DBAE65" w14:textId="77777777" w:rsidR="00A052DC" w:rsidRDefault="009F0A60">
            <w:pPr>
              <w:pStyle w:val="B"/>
              <w:rPr>
                <w:szCs w:val="20"/>
              </w:rPr>
            </w:pPr>
            <w:r>
              <w:rPr>
                <w:rFonts w:hint="eastAsia"/>
                <w:szCs w:val="20"/>
              </w:rPr>
              <w:t>债权人中文名称</w:t>
            </w:r>
          </w:p>
        </w:tc>
        <w:tc>
          <w:tcPr>
            <w:tcW w:w="1417" w:type="dxa"/>
          </w:tcPr>
          <w:p w14:paraId="76BE1ED2" w14:textId="77777777" w:rsidR="00A052DC" w:rsidRDefault="009F0A60">
            <w:pPr>
              <w:pStyle w:val="B"/>
              <w:rPr>
                <w:szCs w:val="20"/>
              </w:rPr>
            </w:pPr>
            <w:r>
              <w:rPr>
                <w:rFonts w:hint="eastAsia"/>
                <w:szCs w:val="20"/>
              </w:rPr>
              <w:t>字符型，</w:t>
            </w:r>
            <w:r>
              <w:rPr>
                <w:szCs w:val="20"/>
              </w:rPr>
              <w:t>128</w:t>
            </w:r>
          </w:p>
        </w:tc>
        <w:tc>
          <w:tcPr>
            <w:tcW w:w="3969" w:type="dxa"/>
          </w:tcPr>
          <w:p w14:paraId="76B15F16" w14:textId="77777777" w:rsidR="00A052DC" w:rsidRDefault="009F0A60">
            <w:pPr>
              <w:pStyle w:val="B"/>
              <w:rPr>
                <w:szCs w:val="20"/>
              </w:rPr>
            </w:pPr>
            <w:r>
              <w:rPr>
                <w:rFonts w:hint="eastAsia"/>
                <w:szCs w:val="20"/>
              </w:rPr>
              <w:t>非必填项，</w:t>
            </w:r>
          </w:p>
          <w:p w14:paraId="0D99D87D" w14:textId="77777777" w:rsidR="00A052DC" w:rsidRDefault="009F0A60">
            <w:pPr>
              <w:pStyle w:val="B"/>
              <w:rPr>
                <w:szCs w:val="20"/>
              </w:rPr>
            </w:pPr>
            <w:r>
              <w:rPr>
                <w:rFonts w:hint="eastAsia"/>
                <w:szCs w:val="20"/>
              </w:rPr>
              <w:t>债权人中文名称和债权人英文名称至少填写一个。</w:t>
            </w:r>
          </w:p>
        </w:tc>
      </w:tr>
      <w:tr w:rsidR="00A052DC" w14:paraId="602B1D20" w14:textId="77777777">
        <w:tc>
          <w:tcPr>
            <w:tcW w:w="1560" w:type="dxa"/>
          </w:tcPr>
          <w:p w14:paraId="0BFC4F73" w14:textId="77777777" w:rsidR="00A052DC" w:rsidRDefault="009F0A60">
            <w:pPr>
              <w:pStyle w:val="B"/>
              <w:rPr>
                <w:szCs w:val="20"/>
              </w:rPr>
            </w:pPr>
            <w:r>
              <w:rPr>
                <w:szCs w:val="20"/>
              </w:rPr>
              <w:t>CREDITORNAMEN</w:t>
            </w:r>
          </w:p>
        </w:tc>
        <w:tc>
          <w:tcPr>
            <w:tcW w:w="1701" w:type="dxa"/>
          </w:tcPr>
          <w:p w14:paraId="69809A9C" w14:textId="77777777" w:rsidR="00A052DC" w:rsidRDefault="009F0A60">
            <w:pPr>
              <w:pStyle w:val="B"/>
              <w:rPr>
                <w:szCs w:val="20"/>
              </w:rPr>
            </w:pPr>
            <w:r>
              <w:rPr>
                <w:rFonts w:hint="eastAsia"/>
                <w:szCs w:val="20"/>
              </w:rPr>
              <w:t>债权人英文名称</w:t>
            </w:r>
          </w:p>
        </w:tc>
        <w:tc>
          <w:tcPr>
            <w:tcW w:w="1417" w:type="dxa"/>
          </w:tcPr>
          <w:p w14:paraId="05B8367B" w14:textId="77777777" w:rsidR="00A052DC" w:rsidRDefault="009F0A60">
            <w:pPr>
              <w:pStyle w:val="B"/>
              <w:rPr>
                <w:szCs w:val="20"/>
              </w:rPr>
            </w:pPr>
            <w:r>
              <w:rPr>
                <w:rFonts w:hint="eastAsia"/>
                <w:szCs w:val="20"/>
              </w:rPr>
              <w:t>字符型，</w:t>
            </w:r>
            <w:r>
              <w:rPr>
                <w:szCs w:val="20"/>
              </w:rPr>
              <w:t>128</w:t>
            </w:r>
          </w:p>
        </w:tc>
        <w:tc>
          <w:tcPr>
            <w:tcW w:w="3969" w:type="dxa"/>
          </w:tcPr>
          <w:p w14:paraId="070EBE11" w14:textId="77777777" w:rsidR="00A052DC" w:rsidRDefault="009F0A60">
            <w:pPr>
              <w:pStyle w:val="B"/>
              <w:rPr>
                <w:szCs w:val="20"/>
              </w:rPr>
            </w:pPr>
            <w:r>
              <w:rPr>
                <w:rFonts w:hint="eastAsia"/>
                <w:szCs w:val="20"/>
              </w:rPr>
              <w:t>非必填项，</w:t>
            </w:r>
          </w:p>
          <w:p w14:paraId="5B9E3A30" w14:textId="77777777" w:rsidR="00A052DC" w:rsidRDefault="009F0A60">
            <w:pPr>
              <w:pStyle w:val="B"/>
              <w:rPr>
                <w:szCs w:val="20"/>
              </w:rPr>
            </w:pPr>
            <w:r>
              <w:rPr>
                <w:rFonts w:hint="eastAsia"/>
                <w:szCs w:val="20"/>
              </w:rPr>
              <w:t>债权人中文名称和债权人英文名称至少填写一个。</w:t>
            </w:r>
          </w:p>
        </w:tc>
      </w:tr>
      <w:tr w:rsidR="00A052DC" w14:paraId="598217D0" w14:textId="77777777">
        <w:tc>
          <w:tcPr>
            <w:tcW w:w="1560" w:type="dxa"/>
          </w:tcPr>
          <w:p w14:paraId="71093EB9" w14:textId="77777777" w:rsidR="00A052DC" w:rsidRDefault="009F0A60">
            <w:pPr>
              <w:pStyle w:val="B"/>
              <w:rPr>
                <w:szCs w:val="20"/>
              </w:rPr>
            </w:pPr>
            <w:r>
              <w:rPr>
                <w:szCs w:val="20"/>
              </w:rPr>
              <w:t>CREDITORTYPE</w:t>
            </w:r>
          </w:p>
        </w:tc>
        <w:tc>
          <w:tcPr>
            <w:tcW w:w="1701" w:type="dxa"/>
          </w:tcPr>
          <w:p w14:paraId="0AB820D8" w14:textId="77777777" w:rsidR="00A052DC" w:rsidRDefault="009F0A60">
            <w:pPr>
              <w:pStyle w:val="B"/>
              <w:rPr>
                <w:szCs w:val="20"/>
              </w:rPr>
            </w:pPr>
            <w:r>
              <w:rPr>
                <w:rFonts w:hint="eastAsia"/>
                <w:szCs w:val="20"/>
              </w:rPr>
              <w:t>债权人类型代码</w:t>
            </w:r>
          </w:p>
        </w:tc>
        <w:tc>
          <w:tcPr>
            <w:tcW w:w="1417" w:type="dxa"/>
          </w:tcPr>
          <w:p w14:paraId="54D0A5A8" w14:textId="77777777" w:rsidR="00A052DC" w:rsidRDefault="009F0A60">
            <w:pPr>
              <w:pStyle w:val="B"/>
              <w:rPr>
                <w:szCs w:val="20"/>
              </w:rPr>
            </w:pPr>
            <w:r>
              <w:rPr>
                <w:rFonts w:hint="eastAsia"/>
                <w:szCs w:val="20"/>
              </w:rPr>
              <w:t>字符型，</w:t>
            </w:r>
            <w:r>
              <w:rPr>
                <w:szCs w:val="20"/>
              </w:rPr>
              <w:t>8</w:t>
            </w:r>
          </w:p>
        </w:tc>
        <w:tc>
          <w:tcPr>
            <w:tcW w:w="3969" w:type="dxa"/>
          </w:tcPr>
          <w:p w14:paraId="636FF7CB" w14:textId="77777777" w:rsidR="00A052DC" w:rsidRDefault="009F0A60">
            <w:pPr>
              <w:pStyle w:val="B"/>
              <w:rPr>
                <w:szCs w:val="20"/>
              </w:rPr>
            </w:pPr>
            <w:r>
              <w:rPr>
                <w:rFonts w:hint="eastAsia"/>
                <w:szCs w:val="20"/>
              </w:rPr>
              <w:t>必填项，见境外主体类型代码表。</w:t>
            </w:r>
          </w:p>
        </w:tc>
      </w:tr>
      <w:tr w:rsidR="00A052DC" w14:paraId="4936F6A1" w14:textId="77777777">
        <w:tc>
          <w:tcPr>
            <w:tcW w:w="1560" w:type="dxa"/>
          </w:tcPr>
          <w:p w14:paraId="6ED86412" w14:textId="77777777" w:rsidR="00A052DC" w:rsidRDefault="009F0A60">
            <w:pPr>
              <w:pStyle w:val="B"/>
              <w:rPr>
                <w:szCs w:val="20"/>
              </w:rPr>
            </w:pPr>
            <w:r>
              <w:rPr>
                <w:szCs w:val="20"/>
              </w:rPr>
              <w:t>CREHQCODE</w:t>
            </w:r>
          </w:p>
        </w:tc>
        <w:tc>
          <w:tcPr>
            <w:tcW w:w="1701" w:type="dxa"/>
          </w:tcPr>
          <w:p w14:paraId="7E83FAC0" w14:textId="77777777" w:rsidR="00A052DC" w:rsidRDefault="009F0A60">
            <w:pPr>
              <w:pStyle w:val="B"/>
              <w:rPr>
                <w:szCs w:val="20"/>
              </w:rPr>
            </w:pPr>
            <w:r>
              <w:rPr>
                <w:rFonts w:hint="eastAsia"/>
                <w:szCs w:val="20"/>
              </w:rPr>
              <w:t>债权人总部所在国家（地区）代码</w:t>
            </w:r>
          </w:p>
        </w:tc>
        <w:tc>
          <w:tcPr>
            <w:tcW w:w="1417" w:type="dxa"/>
          </w:tcPr>
          <w:p w14:paraId="28378D77" w14:textId="77777777" w:rsidR="00A052DC" w:rsidRDefault="009F0A60">
            <w:pPr>
              <w:pStyle w:val="B"/>
              <w:rPr>
                <w:szCs w:val="20"/>
              </w:rPr>
            </w:pPr>
            <w:r>
              <w:rPr>
                <w:rFonts w:hint="eastAsia"/>
                <w:szCs w:val="20"/>
              </w:rPr>
              <w:t>字符型，</w:t>
            </w:r>
            <w:r>
              <w:rPr>
                <w:szCs w:val="20"/>
              </w:rPr>
              <w:t>3</w:t>
            </w:r>
          </w:p>
        </w:tc>
        <w:tc>
          <w:tcPr>
            <w:tcW w:w="3969" w:type="dxa"/>
          </w:tcPr>
          <w:p w14:paraId="763ACF7D" w14:textId="77777777" w:rsidR="00A052DC" w:rsidRDefault="009F0A60">
            <w:pPr>
              <w:pStyle w:val="B"/>
              <w:rPr>
                <w:szCs w:val="20"/>
              </w:rPr>
            </w:pPr>
            <w:r>
              <w:rPr>
                <w:rFonts w:hint="eastAsia"/>
                <w:szCs w:val="20"/>
              </w:rPr>
              <w:t>必填项，见国家和地区代码表。</w:t>
            </w:r>
          </w:p>
        </w:tc>
      </w:tr>
      <w:tr w:rsidR="00A052DC" w14:paraId="5827CE14" w14:textId="77777777">
        <w:tc>
          <w:tcPr>
            <w:tcW w:w="1560" w:type="dxa"/>
          </w:tcPr>
          <w:p w14:paraId="5CA06104" w14:textId="77777777" w:rsidR="00A052DC" w:rsidRDefault="009F0A60">
            <w:pPr>
              <w:pStyle w:val="B"/>
              <w:rPr>
                <w:szCs w:val="20"/>
              </w:rPr>
            </w:pPr>
            <w:r>
              <w:rPr>
                <w:szCs w:val="20"/>
              </w:rPr>
              <w:t>OPERCODE</w:t>
            </w:r>
          </w:p>
        </w:tc>
        <w:tc>
          <w:tcPr>
            <w:tcW w:w="1701" w:type="dxa"/>
          </w:tcPr>
          <w:p w14:paraId="0FB6D130" w14:textId="77777777" w:rsidR="00A052DC" w:rsidRDefault="009F0A60">
            <w:pPr>
              <w:pStyle w:val="B"/>
              <w:rPr>
                <w:szCs w:val="20"/>
              </w:rPr>
            </w:pPr>
            <w:r>
              <w:rPr>
                <w:rFonts w:hint="eastAsia"/>
                <w:szCs w:val="20"/>
              </w:rPr>
              <w:t>债权人经营地所在国家（地区）代码</w:t>
            </w:r>
          </w:p>
        </w:tc>
        <w:tc>
          <w:tcPr>
            <w:tcW w:w="1417" w:type="dxa"/>
          </w:tcPr>
          <w:p w14:paraId="7383E624" w14:textId="77777777" w:rsidR="00A052DC" w:rsidRDefault="009F0A60">
            <w:pPr>
              <w:pStyle w:val="B"/>
              <w:rPr>
                <w:szCs w:val="20"/>
              </w:rPr>
            </w:pPr>
            <w:r>
              <w:rPr>
                <w:rFonts w:hint="eastAsia"/>
                <w:szCs w:val="20"/>
              </w:rPr>
              <w:t>字符型，</w:t>
            </w:r>
            <w:r>
              <w:rPr>
                <w:szCs w:val="20"/>
              </w:rPr>
              <w:t>3</w:t>
            </w:r>
          </w:p>
        </w:tc>
        <w:tc>
          <w:tcPr>
            <w:tcW w:w="3969" w:type="dxa"/>
          </w:tcPr>
          <w:p w14:paraId="2620ECC3" w14:textId="77777777" w:rsidR="00A052DC" w:rsidRDefault="009F0A60">
            <w:pPr>
              <w:pStyle w:val="B"/>
              <w:rPr>
                <w:szCs w:val="20"/>
              </w:rPr>
            </w:pPr>
            <w:r>
              <w:rPr>
                <w:rFonts w:hint="eastAsia"/>
                <w:szCs w:val="20"/>
              </w:rPr>
              <w:t>必填项，见国家和地区代码表。当债权人类型代码不为“境内银行离岸部（20001403）”时,不能为中国CHN。</w:t>
            </w:r>
          </w:p>
        </w:tc>
      </w:tr>
      <w:tr w:rsidR="00A052DC" w14:paraId="1B0FFCD7" w14:textId="77777777">
        <w:tc>
          <w:tcPr>
            <w:tcW w:w="1560" w:type="dxa"/>
          </w:tcPr>
          <w:p w14:paraId="0A19BBEC" w14:textId="77777777" w:rsidR="00A052DC" w:rsidRDefault="009F0A60">
            <w:pPr>
              <w:pStyle w:val="B"/>
              <w:rPr>
                <w:szCs w:val="20"/>
              </w:rPr>
            </w:pPr>
            <w:r>
              <w:rPr>
                <w:szCs w:val="20"/>
              </w:rPr>
              <w:t>INPRTERM</w:t>
            </w:r>
          </w:p>
        </w:tc>
        <w:tc>
          <w:tcPr>
            <w:tcW w:w="1701" w:type="dxa"/>
          </w:tcPr>
          <w:p w14:paraId="184AFA5E" w14:textId="77777777" w:rsidR="00A052DC" w:rsidRDefault="009F0A60">
            <w:pPr>
              <w:pStyle w:val="B"/>
              <w:rPr>
                <w:szCs w:val="20"/>
              </w:rPr>
            </w:pPr>
            <w:r>
              <w:rPr>
                <w:rFonts w:hint="eastAsia"/>
                <w:szCs w:val="20"/>
              </w:rPr>
              <w:t>是否有利息本金化条款</w:t>
            </w:r>
          </w:p>
        </w:tc>
        <w:tc>
          <w:tcPr>
            <w:tcW w:w="1417" w:type="dxa"/>
          </w:tcPr>
          <w:p w14:paraId="0F73B361" w14:textId="77777777" w:rsidR="00A052DC" w:rsidRDefault="009F0A60">
            <w:pPr>
              <w:pStyle w:val="B"/>
              <w:rPr>
                <w:szCs w:val="20"/>
              </w:rPr>
            </w:pPr>
            <w:r>
              <w:rPr>
                <w:rFonts w:hint="eastAsia"/>
                <w:szCs w:val="20"/>
              </w:rPr>
              <w:t>字符型，</w:t>
            </w:r>
            <w:r>
              <w:rPr>
                <w:szCs w:val="20"/>
              </w:rPr>
              <w:t>1</w:t>
            </w:r>
          </w:p>
        </w:tc>
        <w:tc>
          <w:tcPr>
            <w:tcW w:w="3969" w:type="dxa"/>
          </w:tcPr>
          <w:p w14:paraId="64B551CC" w14:textId="77777777" w:rsidR="00A052DC" w:rsidRDefault="009F0A60">
            <w:pPr>
              <w:pStyle w:val="B"/>
              <w:rPr>
                <w:szCs w:val="20"/>
              </w:rPr>
            </w:pPr>
            <w:r>
              <w:rPr>
                <w:rFonts w:hint="eastAsia"/>
                <w:szCs w:val="20"/>
              </w:rPr>
              <w:t>必填项，是</w:t>
            </w:r>
            <w:r>
              <w:rPr>
                <w:szCs w:val="20"/>
              </w:rPr>
              <w:t>-Y</w:t>
            </w:r>
            <w:r>
              <w:rPr>
                <w:rFonts w:hint="eastAsia"/>
                <w:szCs w:val="20"/>
              </w:rPr>
              <w:t>，否</w:t>
            </w:r>
            <w:r>
              <w:rPr>
                <w:szCs w:val="20"/>
              </w:rPr>
              <w:t>-N</w:t>
            </w:r>
            <w:r>
              <w:rPr>
                <w:rFonts w:hint="eastAsia"/>
                <w:szCs w:val="20"/>
              </w:rPr>
              <w:t>，默认为否，填写</w:t>
            </w:r>
            <w:r>
              <w:rPr>
                <w:szCs w:val="20"/>
              </w:rPr>
              <w:t>N</w:t>
            </w:r>
            <w:r>
              <w:rPr>
                <w:rFonts w:hint="eastAsia"/>
                <w:szCs w:val="20"/>
              </w:rPr>
              <w:t>。</w:t>
            </w:r>
          </w:p>
        </w:tc>
      </w:tr>
      <w:tr w:rsidR="00A052DC" w14:paraId="2DDB7228" w14:textId="77777777">
        <w:tc>
          <w:tcPr>
            <w:tcW w:w="1560" w:type="dxa"/>
          </w:tcPr>
          <w:p w14:paraId="4F639600" w14:textId="77777777" w:rsidR="00A052DC" w:rsidRDefault="009F0A60">
            <w:pPr>
              <w:pStyle w:val="B"/>
              <w:rPr>
                <w:szCs w:val="20"/>
              </w:rPr>
            </w:pPr>
            <w:r>
              <w:rPr>
                <w:szCs w:val="20"/>
              </w:rPr>
              <w:t>SPAPFEBOINDEX</w:t>
            </w:r>
          </w:p>
        </w:tc>
        <w:tc>
          <w:tcPr>
            <w:tcW w:w="1701" w:type="dxa"/>
          </w:tcPr>
          <w:p w14:paraId="3A7E6C4C" w14:textId="77777777" w:rsidR="00A052DC" w:rsidRDefault="009F0A60">
            <w:pPr>
              <w:pStyle w:val="B"/>
              <w:rPr>
                <w:szCs w:val="20"/>
              </w:rPr>
            </w:pPr>
            <w:r>
              <w:rPr>
                <w:rFonts w:hint="eastAsia"/>
                <w:szCs w:val="20"/>
              </w:rPr>
              <w:t>是否不纳入跨境融资风险加权余额计算</w:t>
            </w:r>
          </w:p>
        </w:tc>
        <w:tc>
          <w:tcPr>
            <w:tcW w:w="1417" w:type="dxa"/>
          </w:tcPr>
          <w:p w14:paraId="1F0D6179" w14:textId="77777777" w:rsidR="00A052DC" w:rsidRDefault="009F0A60">
            <w:pPr>
              <w:pStyle w:val="B"/>
              <w:rPr>
                <w:szCs w:val="20"/>
              </w:rPr>
            </w:pPr>
            <w:r>
              <w:rPr>
                <w:rFonts w:hint="eastAsia"/>
                <w:szCs w:val="20"/>
              </w:rPr>
              <w:t>字符型，</w:t>
            </w:r>
            <w:r>
              <w:rPr>
                <w:szCs w:val="20"/>
              </w:rPr>
              <w:t>1</w:t>
            </w:r>
          </w:p>
        </w:tc>
        <w:tc>
          <w:tcPr>
            <w:tcW w:w="3969" w:type="dxa"/>
          </w:tcPr>
          <w:p w14:paraId="5F612BD5" w14:textId="77777777" w:rsidR="00A052DC" w:rsidRDefault="009F0A60">
            <w:pPr>
              <w:pStyle w:val="B"/>
              <w:rPr>
                <w:szCs w:val="20"/>
              </w:rPr>
            </w:pPr>
            <w:r>
              <w:rPr>
                <w:rFonts w:hint="eastAsia"/>
                <w:szCs w:val="20"/>
              </w:rPr>
              <w:t>必填项，是</w:t>
            </w:r>
            <w:r>
              <w:rPr>
                <w:szCs w:val="20"/>
              </w:rPr>
              <w:t>-Y</w:t>
            </w:r>
            <w:r>
              <w:rPr>
                <w:rFonts w:hint="eastAsia"/>
                <w:szCs w:val="20"/>
              </w:rPr>
              <w:t>，否</w:t>
            </w:r>
            <w:r>
              <w:rPr>
                <w:szCs w:val="20"/>
              </w:rPr>
              <w:t>-N</w:t>
            </w:r>
            <w:r>
              <w:rPr>
                <w:rFonts w:hint="eastAsia"/>
                <w:szCs w:val="20"/>
              </w:rPr>
              <w:t>，默认为否，填写</w:t>
            </w:r>
            <w:r>
              <w:rPr>
                <w:szCs w:val="20"/>
              </w:rPr>
              <w:t>N</w:t>
            </w:r>
            <w:r>
              <w:rPr>
                <w:rFonts w:hint="eastAsia"/>
                <w:szCs w:val="20"/>
              </w:rPr>
              <w:t>。</w:t>
            </w:r>
          </w:p>
        </w:tc>
      </w:tr>
      <w:tr w:rsidR="00A052DC" w14:paraId="5F6D7972" w14:textId="77777777">
        <w:tc>
          <w:tcPr>
            <w:tcW w:w="1560" w:type="dxa"/>
          </w:tcPr>
          <w:p w14:paraId="56B731F6" w14:textId="77777777" w:rsidR="00A052DC" w:rsidRDefault="009F0A60">
            <w:pPr>
              <w:pStyle w:val="B"/>
              <w:rPr>
                <w:szCs w:val="20"/>
              </w:rPr>
            </w:pPr>
            <w:r>
              <w:rPr>
                <w:szCs w:val="20"/>
              </w:rPr>
              <w:t>RELATION</w:t>
            </w:r>
          </w:p>
        </w:tc>
        <w:tc>
          <w:tcPr>
            <w:tcW w:w="1701" w:type="dxa"/>
          </w:tcPr>
          <w:p w14:paraId="4D048481" w14:textId="77777777" w:rsidR="00A052DC" w:rsidRDefault="009F0A60">
            <w:pPr>
              <w:pStyle w:val="B"/>
              <w:rPr>
                <w:szCs w:val="20"/>
              </w:rPr>
            </w:pPr>
            <w:r>
              <w:rPr>
                <w:rFonts w:hint="eastAsia"/>
                <w:szCs w:val="20"/>
              </w:rPr>
              <w:t>对方与本机构的关系</w:t>
            </w:r>
          </w:p>
        </w:tc>
        <w:tc>
          <w:tcPr>
            <w:tcW w:w="1417" w:type="dxa"/>
          </w:tcPr>
          <w:p w14:paraId="415C3669" w14:textId="77777777" w:rsidR="00A052DC" w:rsidRDefault="009F0A60">
            <w:pPr>
              <w:pStyle w:val="B"/>
              <w:rPr>
                <w:szCs w:val="20"/>
              </w:rPr>
            </w:pPr>
            <w:r>
              <w:rPr>
                <w:rFonts w:hint="eastAsia"/>
                <w:szCs w:val="20"/>
              </w:rPr>
              <w:t>字符型，</w:t>
            </w:r>
            <w:r>
              <w:rPr>
                <w:szCs w:val="20"/>
              </w:rPr>
              <w:t>2</w:t>
            </w:r>
          </w:p>
        </w:tc>
        <w:tc>
          <w:tcPr>
            <w:tcW w:w="3969" w:type="dxa"/>
          </w:tcPr>
          <w:p w14:paraId="09A0230E" w14:textId="77777777" w:rsidR="00A052DC" w:rsidRDefault="009F0A60">
            <w:pPr>
              <w:pStyle w:val="B"/>
              <w:rPr>
                <w:szCs w:val="20"/>
              </w:rPr>
            </w:pPr>
            <w:r>
              <w:rPr>
                <w:rFonts w:hint="eastAsia"/>
                <w:szCs w:val="20"/>
              </w:rPr>
              <w:t>必填项，见对方与本机构</w:t>
            </w:r>
            <w:r>
              <w:rPr>
                <w:szCs w:val="20"/>
              </w:rPr>
              <w:t>/</w:t>
            </w:r>
            <w:r>
              <w:rPr>
                <w:rFonts w:hint="eastAsia"/>
                <w:szCs w:val="20"/>
              </w:rPr>
              <w:t>被代理居民机构</w:t>
            </w:r>
            <w:r>
              <w:rPr>
                <w:szCs w:val="20"/>
              </w:rPr>
              <w:t>/</w:t>
            </w:r>
            <w:r>
              <w:rPr>
                <w:rFonts w:hint="eastAsia"/>
                <w:szCs w:val="20"/>
              </w:rPr>
              <w:t>委托人的关系代码表。</w:t>
            </w:r>
          </w:p>
        </w:tc>
      </w:tr>
      <w:tr w:rsidR="00A052DC" w14:paraId="705218D1" w14:textId="77777777">
        <w:tc>
          <w:tcPr>
            <w:tcW w:w="1560" w:type="dxa"/>
            <w:tcBorders>
              <w:top w:val="single" w:sz="4" w:space="0" w:color="auto"/>
              <w:left w:val="single" w:sz="4" w:space="0" w:color="auto"/>
              <w:bottom w:val="single" w:sz="4" w:space="0" w:color="auto"/>
              <w:right w:val="single" w:sz="4" w:space="0" w:color="auto"/>
            </w:tcBorders>
          </w:tcPr>
          <w:p w14:paraId="05D8EE72" w14:textId="77777777" w:rsidR="00A052DC" w:rsidRDefault="009F0A60">
            <w:pPr>
              <w:pStyle w:val="B"/>
              <w:rPr>
                <w:szCs w:val="20"/>
              </w:rPr>
            </w:pPr>
            <w:r>
              <w:rPr>
                <w:szCs w:val="20"/>
              </w:rPr>
              <w:t>REMARK</w:t>
            </w:r>
          </w:p>
        </w:tc>
        <w:tc>
          <w:tcPr>
            <w:tcW w:w="1701" w:type="dxa"/>
            <w:tcBorders>
              <w:top w:val="single" w:sz="4" w:space="0" w:color="auto"/>
              <w:left w:val="single" w:sz="4" w:space="0" w:color="auto"/>
              <w:bottom w:val="single" w:sz="4" w:space="0" w:color="auto"/>
              <w:right w:val="single" w:sz="4" w:space="0" w:color="auto"/>
            </w:tcBorders>
          </w:tcPr>
          <w:p w14:paraId="6E4051B2" w14:textId="77777777" w:rsidR="00A052DC" w:rsidRDefault="009F0A60">
            <w:pPr>
              <w:pStyle w:val="B"/>
              <w:rPr>
                <w:szCs w:val="20"/>
              </w:rPr>
            </w:pPr>
            <w:r>
              <w:rPr>
                <w:rFonts w:hint="eastAsia"/>
                <w:szCs w:val="20"/>
              </w:rPr>
              <w:t>备注</w:t>
            </w:r>
          </w:p>
        </w:tc>
        <w:tc>
          <w:tcPr>
            <w:tcW w:w="1417" w:type="dxa"/>
            <w:tcBorders>
              <w:top w:val="single" w:sz="4" w:space="0" w:color="auto"/>
              <w:left w:val="single" w:sz="4" w:space="0" w:color="auto"/>
              <w:bottom w:val="single" w:sz="4" w:space="0" w:color="auto"/>
              <w:right w:val="single" w:sz="4" w:space="0" w:color="auto"/>
            </w:tcBorders>
          </w:tcPr>
          <w:p w14:paraId="348B020A" w14:textId="77777777" w:rsidR="00A052DC" w:rsidRDefault="009F0A60">
            <w:pPr>
              <w:pStyle w:val="B"/>
              <w:rPr>
                <w:szCs w:val="20"/>
              </w:rPr>
            </w:pPr>
            <w:r>
              <w:rPr>
                <w:rFonts w:hint="eastAsia"/>
                <w:szCs w:val="20"/>
              </w:rPr>
              <w:t>字符型，</w:t>
            </w:r>
            <w:r>
              <w:rPr>
                <w:szCs w:val="20"/>
              </w:rPr>
              <w:t>256</w:t>
            </w:r>
          </w:p>
        </w:tc>
        <w:tc>
          <w:tcPr>
            <w:tcW w:w="3969" w:type="dxa"/>
            <w:tcBorders>
              <w:top w:val="single" w:sz="4" w:space="0" w:color="auto"/>
              <w:left w:val="single" w:sz="4" w:space="0" w:color="auto"/>
              <w:bottom w:val="single" w:sz="4" w:space="0" w:color="auto"/>
              <w:right w:val="single" w:sz="4" w:space="0" w:color="auto"/>
            </w:tcBorders>
          </w:tcPr>
          <w:p w14:paraId="53DA1485" w14:textId="77777777" w:rsidR="00A052DC" w:rsidRDefault="009F0A60">
            <w:pPr>
              <w:pStyle w:val="B"/>
              <w:rPr>
                <w:szCs w:val="20"/>
              </w:rPr>
            </w:pPr>
            <w:r>
              <w:rPr>
                <w:rFonts w:hint="eastAsia"/>
                <w:szCs w:val="20"/>
              </w:rPr>
              <w:t>非必填项。</w:t>
            </w:r>
          </w:p>
        </w:tc>
      </w:tr>
    </w:tbl>
    <w:p w14:paraId="188EF65A" w14:textId="77777777" w:rsidR="00A052DC" w:rsidRDefault="009F0A60">
      <w:pPr>
        <w:pStyle w:val="4"/>
        <w:numPr>
          <w:ilvl w:val="3"/>
          <w:numId w:val="1"/>
        </w:numPr>
        <w:jc w:val="left"/>
      </w:pPr>
      <w:bookmarkStart w:id="1510" w:name="_Toc454386880"/>
      <w:bookmarkStart w:id="1511" w:name="_Toc328635484"/>
      <w:r>
        <w:rPr>
          <w:rFonts w:hint="eastAsia"/>
        </w:rPr>
        <w:t>海外代付</w:t>
      </w:r>
      <w:bookmarkEnd w:id="1510"/>
      <w:bookmarkEnd w:id="1511"/>
    </w:p>
    <w:p w14:paraId="3F8D87E1" w14:textId="77777777" w:rsidR="00A052DC" w:rsidRDefault="009F0A60" w:rsidP="0020251D">
      <w:pPr>
        <w:pStyle w:val="5"/>
        <w:numPr>
          <w:ilvl w:val="4"/>
          <w:numId w:val="1"/>
        </w:numPr>
        <w:spacing w:before="120" w:after="120" w:line="360" w:lineRule="auto"/>
        <w:jc w:val="left"/>
      </w:pPr>
      <w:bookmarkStart w:id="1512" w:name="_Toc454386881"/>
      <w:r>
        <w:rPr>
          <w:rFonts w:hint="eastAsia"/>
        </w:rPr>
        <w:t>数据术语解释</w:t>
      </w:r>
      <w:bookmarkEnd w:id="1512"/>
    </w:p>
    <w:tbl>
      <w:tblPr>
        <w:tblW w:w="84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668"/>
        <w:gridCol w:w="6804"/>
      </w:tblGrid>
      <w:tr w:rsidR="00A052DC" w14:paraId="543D116D" w14:textId="77777777">
        <w:tc>
          <w:tcPr>
            <w:tcW w:w="1668" w:type="dxa"/>
          </w:tcPr>
          <w:p w14:paraId="33A28A85" w14:textId="77777777" w:rsidR="00A052DC" w:rsidRDefault="009F0A60">
            <w:pPr>
              <w:pStyle w:val="B1"/>
              <w:rPr>
                <w:u w:val="single"/>
              </w:rPr>
            </w:pPr>
            <w:r>
              <w:rPr>
                <w:rFonts w:hint="eastAsia"/>
              </w:rPr>
              <w:t>基础数据项</w:t>
            </w:r>
          </w:p>
        </w:tc>
        <w:tc>
          <w:tcPr>
            <w:tcW w:w="6804" w:type="dxa"/>
          </w:tcPr>
          <w:p w14:paraId="7DA8EA9A" w14:textId="77777777" w:rsidR="00A052DC" w:rsidRDefault="009F0A60">
            <w:pPr>
              <w:pStyle w:val="B1"/>
            </w:pPr>
            <w:r>
              <w:rPr>
                <w:rFonts w:hint="eastAsia"/>
              </w:rPr>
              <w:t>定义</w:t>
            </w:r>
          </w:p>
        </w:tc>
      </w:tr>
      <w:tr w:rsidR="00A052DC" w14:paraId="6E369D91" w14:textId="77777777">
        <w:trPr>
          <w:cantSplit/>
          <w:trHeight w:val="157"/>
        </w:trPr>
        <w:tc>
          <w:tcPr>
            <w:tcW w:w="1668" w:type="dxa"/>
          </w:tcPr>
          <w:p w14:paraId="45D269A0" w14:textId="77777777" w:rsidR="00A052DC" w:rsidRDefault="009F0A60">
            <w:pPr>
              <w:pStyle w:val="B"/>
              <w:rPr>
                <w:szCs w:val="20"/>
              </w:rPr>
            </w:pPr>
            <w:r>
              <w:rPr>
                <w:rFonts w:hint="eastAsia"/>
                <w:szCs w:val="20"/>
              </w:rPr>
              <w:t>外债编号</w:t>
            </w:r>
          </w:p>
        </w:tc>
        <w:tc>
          <w:tcPr>
            <w:tcW w:w="6804" w:type="dxa"/>
          </w:tcPr>
          <w:p w14:paraId="342AEF99" w14:textId="77777777" w:rsidR="00A052DC" w:rsidRDefault="009F0A60">
            <w:pPr>
              <w:pStyle w:val="B"/>
              <w:rPr>
                <w:szCs w:val="20"/>
              </w:rPr>
            </w:pPr>
            <w:r>
              <w:rPr>
                <w:rFonts w:hint="eastAsia"/>
                <w:szCs w:val="20"/>
              </w:rPr>
              <w:t>外汇局制定统一编号规则，银行自行对每一笔外债编号，用于唯一标识该笔外债。银行外债编号共计28位。第1至2位为业务类型标识，第3位至14位为银行金融机构标识码;第15至22位为8位年月日数字（20110701）;第23至28位为该笔业务的流水号（流水码编制规则：从000001～999999）。银行新发生一笔外债业务时，需为该笔外债编制外债编号，同一笔外债发生变更或展期时，不作为一笔新业务进行登记，发生展期时，变更到期日。</w:t>
            </w:r>
          </w:p>
        </w:tc>
      </w:tr>
      <w:tr w:rsidR="00A052DC" w14:paraId="076BC83B" w14:textId="77777777">
        <w:trPr>
          <w:cantSplit/>
        </w:trPr>
        <w:tc>
          <w:tcPr>
            <w:tcW w:w="1668" w:type="dxa"/>
          </w:tcPr>
          <w:p w14:paraId="4047AD7A" w14:textId="77777777" w:rsidR="00A052DC" w:rsidRDefault="009F0A60">
            <w:pPr>
              <w:pStyle w:val="B"/>
              <w:rPr>
                <w:szCs w:val="20"/>
              </w:rPr>
            </w:pPr>
            <w:r>
              <w:rPr>
                <w:rFonts w:hint="eastAsia"/>
                <w:szCs w:val="20"/>
              </w:rPr>
              <w:t>债务人代码</w:t>
            </w:r>
          </w:p>
        </w:tc>
        <w:tc>
          <w:tcPr>
            <w:tcW w:w="6804" w:type="dxa"/>
          </w:tcPr>
          <w:p w14:paraId="18D6E715" w14:textId="77777777" w:rsidR="00A052DC" w:rsidRDefault="009F0A60">
            <w:pPr>
              <w:pStyle w:val="B"/>
              <w:rPr>
                <w:szCs w:val="20"/>
              </w:rPr>
            </w:pPr>
            <w:r>
              <w:rPr>
                <w:rFonts w:hint="eastAsia"/>
                <w:szCs w:val="20"/>
              </w:rPr>
              <w:t>国家外汇管理局及其分支局签发给境内债务银行的12位金融机构标识码编码。</w:t>
            </w:r>
          </w:p>
        </w:tc>
      </w:tr>
      <w:tr w:rsidR="00A052DC" w14:paraId="48236348" w14:textId="77777777">
        <w:trPr>
          <w:cantSplit/>
        </w:trPr>
        <w:tc>
          <w:tcPr>
            <w:tcW w:w="1668" w:type="dxa"/>
          </w:tcPr>
          <w:p w14:paraId="4CED2A5E" w14:textId="77777777" w:rsidR="00A052DC" w:rsidRDefault="009F0A60">
            <w:pPr>
              <w:pStyle w:val="B"/>
              <w:rPr>
                <w:szCs w:val="20"/>
              </w:rPr>
            </w:pPr>
            <w:r>
              <w:rPr>
                <w:rFonts w:hint="eastAsia"/>
                <w:szCs w:val="20"/>
              </w:rPr>
              <w:t>债务类型</w:t>
            </w:r>
          </w:p>
        </w:tc>
        <w:tc>
          <w:tcPr>
            <w:tcW w:w="6804" w:type="dxa"/>
          </w:tcPr>
          <w:p w14:paraId="417F350F" w14:textId="77777777" w:rsidR="00A052DC" w:rsidRDefault="009F0A60">
            <w:pPr>
              <w:pStyle w:val="B"/>
              <w:rPr>
                <w:szCs w:val="20"/>
              </w:rPr>
            </w:pPr>
            <w:r>
              <w:rPr>
                <w:rFonts w:hint="eastAsia"/>
                <w:szCs w:val="20"/>
              </w:rPr>
              <w:t>外债的债务类型代码，见外债的债务类型表。</w:t>
            </w:r>
          </w:p>
        </w:tc>
      </w:tr>
      <w:tr w:rsidR="00A052DC" w14:paraId="4C2B6761" w14:textId="77777777">
        <w:trPr>
          <w:cantSplit/>
        </w:trPr>
        <w:tc>
          <w:tcPr>
            <w:tcW w:w="1668" w:type="dxa"/>
          </w:tcPr>
          <w:p w14:paraId="10A48B0A" w14:textId="77777777" w:rsidR="00A052DC" w:rsidRDefault="009F0A60">
            <w:pPr>
              <w:pStyle w:val="B"/>
              <w:rPr>
                <w:szCs w:val="20"/>
              </w:rPr>
            </w:pPr>
            <w:r>
              <w:rPr>
                <w:rFonts w:hint="eastAsia"/>
                <w:szCs w:val="20"/>
              </w:rPr>
              <w:t>起息日</w:t>
            </w:r>
          </w:p>
        </w:tc>
        <w:tc>
          <w:tcPr>
            <w:tcW w:w="6804" w:type="dxa"/>
          </w:tcPr>
          <w:p w14:paraId="1376B5DC" w14:textId="77777777" w:rsidR="00A052DC" w:rsidRDefault="009F0A60">
            <w:pPr>
              <w:pStyle w:val="B"/>
              <w:rPr>
                <w:szCs w:val="20"/>
              </w:rPr>
            </w:pPr>
            <w:r>
              <w:rPr>
                <w:rFonts w:hint="eastAsia"/>
                <w:szCs w:val="20"/>
              </w:rPr>
              <w:t>海外代付发生的日期。通常是指银行收到境外代付行付款确认电文的日期。</w:t>
            </w:r>
          </w:p>
        </w:tc>
      </w:tr>
      <w:tr w:rsidR="00A052DC" w14:paraId="02CF0C03" w14:textId="77777777">
        <w:trPr>
          <w:cantSplit/>
        </w:trPr>
        <w:tc>
          <w:tcPr>
            <w:tcW w:w="1668" w:type="dxa"/>
          </w:tcPr>
          <w:p w14:paraId="3829BF64" w14:textId="77777777" w:rsidR="00A052DC" w:rsidRDefault="009F0A60">
            <w:pPr>
              <w:pStyle w:val="B"/>
              <w:rPr>
                <w:szCs w:val="20"/>
              </w:rPr>
            </w:pPr>
            <w:r>
              <w:rPr>
                <w:rFonts w:hint="eastAsia"/>
                <w:szCs w:val="20"/>
              </w:rPr>
              <w:t>签约币种</w:t>
            </w:r>
          </w:p>
        </w:tc>
        <w:tc>
          <w:tcPr>
            <w:tcW w:w="6804" w:type="dxa"/>
          </w:tcPr>
          <w:p w14:paraId="34A04049" w14:textId="77777777" w:rsidR="00A052DC" w:rsidRDefault="009F0A60">
            <w:pPr>
              <w:pStyle w:val="B"/>
              <w:rPr>
                <w:szCs w:val="20"/>
              </w:rPr>
            </w:pPr>
            <w:r>
              <w:rPr>
                <w:rFonts w:hint="eastAsia"/>
                <w:szCs w:val="20"/>
              </w:rPr>
              <w:t>海外代付的币种。</w:t>
            </w:r>
          </w:p>
        </w:tc>
      </w:tr>
      <w:tr w:rsidR="00A052DC" w14:paraId="46B34ADC" w14:textId="77777777">
        <w:trPr>
          <w:cantSplit/>
        </w:trPr>
        <w:tc>
          <w:tcPr>
            <w:tcW w:w="1668" w:type="dxa"/>
          </w:tcPr>
          <w:p w14:paraId="5C0C7A3F" w14:textId="77777777" w:rsidR="00A052DC" w:rsidRDefault="009F0A60">
            <w:pPr>
              <w:pStyle w:val="B"/>
              <w:rPr>
                <w:szCs w:val="20"/>
              </w:rPr>
            </w:pPr>
            <w:r>
              <w:rPr>
                <w:rFonts w:hint="eastAsia"/>
                <w:szCs w:val="20"/>
              </w:rPr>
              <w:t>签约金额</w:t>
            </w:r>
          </w:p>
        </w:tc>
        <w:tc>
          <w:tcPr>
            <w:tcW w:w="6804" w:type="dxa"/>
          </w:tcPr>
          <w:p w14:paraId="65BAB4B4" w14:textId="77777777" w:rsidR="00A052DC" w:rsidRDefault="009F0A60">
            <w:pPr>
              <w:pStyle w:val="B"/>
              <w:rPr>
                <w:szCs w:val="20"/>
              </w:rPr>
            </w:pPr>
            <w:r>
              <w:rPr>
                <w:rFonts w:hint="eastAsia"/>
                <w:szCs w:val="20"/>
              </w:rPr>
              <w:t>海外代付的金额。</w:t>
            </w:r>
          </w:p>
        </w:tc>
      </w:tr>
      <w:tr w:rsidR="00A052DC" w14:paraId="648E7CE0" w14:textId="77777777">
        <w:trPr>
          <w:cantSplit/>
        </w:trPr>
        <w:tc>
          <w:tcPr>
            <w:tcW w:w="1668" w:type="dxa"/>
          </w:tcPr>
          <w:p w14:paraId="674BC238" w14:textId="77777777" w:rsidR="00A052DC" w:rsidRDefault="009F0A60">
            <w:pPr>
              <w:pStyle w:val="B"/>
              <w:rPr>
                <w:szCs w:val="20"/>
              </w:rPr>
            </w:pPr>
            <w:r>
              <w:rPr>
                <w:rFonts w:hint="eastAsia"/>
                <w:szCs w:val="20"/>
              </w:rPr>
              <w:t>到期日</w:t>
            </w:r>
          </w:p>
        </w:tc>
        <w:tc>
          <w:tcPr>
            <w:tcW w:w="6804" w:type="dxa"/>
            <w:vAlign w:val="center"/>
          </w:tcPr>
          <w:p w14:paraId="6066D88D" w14:textId="77777777" w:rsidR="00A052DC" w:rsidRDefault="009F0A60">
            <w:pPr>
              <w:pStyle w:val="B"/>
              <w:rPr>
                <w:szCs w:val="20"/>
              </w:rPr>
            </w:pPr>
            <w:r>
              <w:rPr>
                <w:rFonts w:hint="eastAsia"/>
                <w:szCs w:val="20"/>
              </w:rPr>
              <w:t>海外代付的到期日期。</w:t>
            </w:r>
          </w:p>
        </w:tc>
      </w:tr>
      <w:tr w:rsidR="00A052DC" w14:paraId="5D170579" w14:textId="77777777">
        <w:trPr>
          <w:cantSplit/>
        </w:trPr>
        <w:tc>
          <w:tcPr>
            <w:tcW w:w="1668" w:type="dxa"/>
          </w:tcPr>
          <w:p w14:paraId="49598D8B" w14:textId="77777777" w:rsidR="00A052DC" w:rsidRDefault="009F0A60">
            <w:pPr>
              <w:pStyle w:val="B"/>
              <w:rPr>
                <w:szCs w:val="20"/>
              </w:rPr>
            </w:pPr>
            <w:r>
              <w:rPr>
                <w:rFonts w:hint="eastAsia"/>
                <w:szCs w:val="20"/>
              </w:rPr>
              <w:t>是否浮动利率</w:t>
            </w:r>
          </w:p>
        </w:tc>
        <w:tc>
          <w:tcPr>
            <w:tcW w:w="6804" w:type="dxa"/>
          </w:tcPr>
          <w:p w14:paraId="0B97E41E" w14:textId="77777777" w:rsidR="00A052DC" w:rsidRDefault="009F0A60">
            <w:pPr>
              <w:pStyle w:val="B"/>
              <w:rPr>
                <w:szCs w:val="20"/>
              </w:rPr>
            </w:pPr>
            <w:r>
              <w:rPr>
                <w:rFonts w:hint="eastAsia"/>
                <w:szCs w:val="20"/>
              </w:rPr>
              <w:t>标识债务利率条件为浮动利率或固定利率，系统默认为否，若为浮动利率，选择是。</w:t>
            </w:r>
          </w:p>
        </w:tc>
      </w:tr>
      <w:tr w:rsidR="00A052DC" w14:paraId="3E27990B" w14:textId="77777777">
        <w:trPr>
          <w:cantSplit/>
        </w:trPr>
        <w:tc>
          <w:tcPr>
            <w:tcW w:w="1668" w:type="dxa"/>
          </w:tcPr>
          <w:p w14:paraId="5739E419" w14:textId="77777777" w:rsidR="00A052DC" w:rsidRDefault="009F0A60">
            <w:pPr>
              <w:pStyle w:val="B"/>
              <w:rPr>
                <w:szCs w:val="20"/>
              </w:rPr>
            </w:pPr>
            <w:r>
              <w:rPr>
                <w:rFonts w:hint="eastAsia"/>
                <w:szCs w:val="20"/>
              </w:rPr>
              <w:t>年化利率值</w:t>
            </w:r>
          </w:p>
        </w:tc>
        <w:tc>
          <w:tcPr>
            <w:tcW w:w="6804" w:type="dxa"/>
          </w:tcPr>
          <w:p w14:paraId="62F0778F" w14:textId="77777777" w:rsidR="00A052DC" w:rsidRDefault="009F0A60">
            <w:pPr>
              <w:pStyle w:val="B"/>
              <w:rPr>
                <w:szCs w:val="20"/>
              </w:rPr>
            </w:pPr>
            <w:r>
              <w:rPr>
                <w:rFonts w:hint="eastAsia"/>
                <w:szCs w:val="20"/>
              </w:rPr>
              <w:t>外债的年化利率。海外代付的利率若为浮动利率，应该按照该笔海外代付的提款日期当天浮动利率条件计算年化利率值。</w:t>
            </w:r>
          </w:p>
        </w:tc>
      </w:tr>
      <w:tr w:rsidR="00A052DC" w14:paraId="230F3835" w14:textId="77777777">
        <w:trPr>
          <w:cantSplit/>
        </w:trPr>
        <w:tc>
          <w:tcPr>
            <w:tcW w:w="1668" w:type="dxa"/>
          </w:tcPr>
          <w:p w14:paraId="10270AA6" w14:textId="77777777" w:rsidR="00A052DC" w:rsidRDefault="009F0A60">
            <w:pPr>
              <w:pStyle w:val="B"/>
              <w:rPr>
                <w:szCs w:val="20"/>
              </w:rPr>
            </w:pPr>
            <w:r>
              <w:rPr>
                <w:rFonts w:hint="eastAsia"/>
                <w:szCs w:val="20"/>
              </w:rPr>
              <w:t>债权人代码</w:t>
            </w:r>
          </w:p>
        </w:tc>
        <w:tc>
          <w:tcPr>
            <w:tcW w:w="6804" w:type="dxa"/>
            <w:vAlign w:val="center"/>
          </w:tcPr>
          <w:p w14:paraId="44D03901" w14:textId="77777777" w:rsidR="00A052DC" w:rsidRDefault="009F0A60">
            <w:pPr>
              <w:pStyle w:val="B"/>
              <w:rPr>
                <w:szCs w:val="20"/>
              </w:rPr>
            </w:pPr>
            <w:r>
              <w:rPr>
                <w:rFonts w:hint="eastAsia"/>
                <w:szCs w:val="20"/>
              </w:rPr>
              <w:t>如果债权人为银行，应填写8位或11位的SWIFTCODE；如果债权人类型为“政府”、或“中央银行”时，或者当债务类型为“货币市场工具”或“债券和票据”或“非居民个人存款”时，应在外汇局编制的部分债权人代码表中选择债权人代码；否则为空。</w:t>
            </w:r>
          </w:p>
          <w:p w14:paraId="0327A5C5" w14:textId="77777777" w:rsidR="00A052DC" w:rsidRDefault="009F0A60">
            <w:pPr>
              <w:pStyle w:val="B"/>
              <w:rPr>
                <w:szCs w:val="20"/>
              </w:rPr>
            </w:pPr>
            <w:r>
              <w:rPr>
                <w:rFonts w:hint="eastAsia"/>
                <w:szCs w:val="20"/>
              </w:rPr>
              <w:t>如果债权人为“非银行金融机构”或“国际金融组织”，应优先填写SWIFTCODE。</w:t>
            </w:r>
          </w:p>
        </w:tc>
      </w:tr>
      <w:tr w:rsidR="00A052DC" w14:paraId="7C2C546E" w14:textId="77777777">
        <w:trPr>
          <w:cantSplit/>
        </w:trPr>
        <w:tc>
          <w:tcPr>
            <w:tcW w:w="1668" w:type="dxa"/>
          </w:tcPr>
          <w:p w14:paraId="19EC013B" w14:textId="77777777" w:rsidR="00A052DC" w:rsidRDefault="009F0A60">
            <w:pPr>
              <w:pStyle w:val="B"/>
              <w:rPr>
                <w:szCs w:val="20"/>
              </w:rPr>
            </w:pPr>
            <w:r>
              <w:rPr>
                <w:rFonts w:hint="eastAsia"/>
                <w:szCs w:val="20"/>
              </w:rPr>
              <w:t>债权人中文名称</w:t>
            </w:r>
          </w:p>
        </w:tc>
        <w:tc>
          <w:tcPr>
            <w:tcW w:w="6804" w:type="dxa"/>
            <w:vAlign w:val="center"/>
          </w:tcPr>
          <w:p w14:paraId="0DF7F2DA" w14:textId="77777777" w:rsidR="00A052DC" w:rsidRDefault="009F0A60">
            <w:pPr>
              <w:pStyle w:val="B"/>
              <w:rPr>
                <w:szCs w:val="20"/>
              </w:rPr>
            </w:pPr>
            <w:r>
              <w:rPr>
                <w:rFonts w:hint="eastAsia"/>
                <w:szCs w:val="20"/>
              </w:rPr>
              <w:t>债权人中文名称。</w:t>
            </w:r>
          </w:p>
        </w:tc>
      </w:tr>
      <w:tr w:rsidR="00A052DC" w14:paraId="576516AA" w14:textId="77777777">
        <w:trPr>
          <w:cantSplit/>
        </w:trPr>
        <w:tc>
          <w:tcPr>
            <w:tcW w:w="1668" w:type="dxa"/>
          </w:tcPr>
          <w:p w14:paraId="4BB00BDA" w14:textId="77777777" w:rsidR="00A052DC" w:rsidRDefault="009F0A60">
            <w:pPr>
              <w:pStyle w:val="B"/>
              <w:rPr>
                <w:szCs w:val="20"/>
              </w:rPr>
            </w:pPr>
            <w:r>
              <w:rPr>
                <w:rFonts w:hint="eastAsia"/>
                <w:szCs w:val="20"/>
              </w:rPr>
              <w:t>债权人英文名称</w:t>
            </w:r>
          </w:p>
        </w:tc>
        <w:tc>
          <w:tcPr>
            <w:tcW w:w="6804" w:type="dxa"/>
            <w:vAlign w:val="center"/>
          </w:tcPr>
          <w:p w14:paraId="3BC388D5" w14:textId="77777777" w:rsidR="00A052DC" w:rsidRDefault="009F0A60">
            <w:pPr>
              <w:pStyle w:val="B"/>
              <w:rPr>
                <w:szCs w:val="20"/>
              </w:rPr>
            </w:pPr>
            <w:r>
              <w:rPr>
                <w:rFonts w:hint="eastAsia"/>
                <w:szCs w:val="20"/>
              </w:rPr>
              <w:t>债权人英文名称（中英文名称至少填写一个）。</w:t>
            </w:r>
          </w:p>
        </w:tc>
      </w:tr>
      <w:tr w:rsidR="00A052DC" w14:paraId="1AE890AA" w14:textId="77777777">
        <w:trPr>
          <w:cantSplit/>
        </w:trPr>
        <w:tc>
          <w:tcPr>
            <w:tcW w:w="1668" w:type="dxa"/>
          </w:tcPr>
          <w:p w14:paraId="5C2355F1" w14:textId="77777777" w:rsidR="00A052DC" w:rsidRDefault="009F0A60">
            <w:pPr>
              <w:pStyle w:val="B"/>
              <w:rPr>
                <w:szCs w:val="20"/>
              </w:rPr>
            </w:pPr>
            <w:r>
              <w:rPr>
                <w:rFonts w:hint="eastAsia"/>
                <w:szCs w:val="20"/>
              </w:rPr>
              <w:t>债权人类型代码</w:t>
            </w:r>
          </w:p>
        </w:tc>
        <w:tc>
          <w:tcPr>
            <w:tcW w:w="6804" w:type="dxa"/>
          </w:tcPr>
          <w:p w14:paraId="52A4E4C1" w14:textId="77777777" w:rsidR="00A052DC" w:rsidRDefault="009F0A60">
            <w:pPr>
              <w:pStyle w:val="B"/>
              <w:rPr>
                <w:szCs w:val="20"/>
              </w:rPr>
            </w:pPr>
            <w:r>
              <w:rPr>
                <w:rFonts w:hint="eastAsia"/>
                <w:szCs w:val="20"/>
              </w:rPr>
              <w:t>债权人类型代码，见境外主体类型代码表。</w:t>
            </w:r>
          </w:p>
        </w:tc>
      </w:tr>
      <w:tr w:rsidR="00A052DC" w14:paraId="50240439" w14:textId="77777777">
        <w:trPr>
          <w:cantSplit/>
        </w:trPr>
        <w:tc>
          <w:tcPr>
            <w:tcW w:w="1668" w:type="dxa"/>
          </w:tcPr>
          <w:p w14:paraId="67028759" w14:textId="77777777" w:rsidR="00A052DC" w:rsidRDefault="009F0A60">
            <w:pPr>
              <w:pStyle w:val="B"/>
              <w:rPr>
                <w:szCs w:val="20"/>
              </w:rPr>
            </w:pPr>
            <w:r>
              <w:rPr>
                <w:rFonts w:hint="eastAsia"/>
                <w:szCs w:val="20"/>
              </w:rPr>
              <w:t>债权人总部所在国家（地区）代码</w:t>
            </w:r>
          </w:p>
        </w:tc>
        <w:tc>
          <w:tcPr>
            <w:tcW w:w="6804" w:type="dxa"/>
            <w:vAlign w:val="center"/>
          </w:tcPr>
          <w:p w14:paraId="670F4702" w14:textId="77777777" w:rsidR="00A052DC" w:rsidRDefault="009F0A60">
            <w:pPr>
              <w:pStyle w:val="B"/>
              <w:rPr>
                <w:szCs w:val="20"/>
              </w:rPr>
            </w:pPr>
            <w:r>
              <w:rPr>
                <w:rFonts w:hint="eastAsia"/>
                <w:szCs w:val="20"/>
              </w:rPr>
              <w:t>债权人总部所在地代码，见国家和地区代码表。</w:t>
            </w:r>
          </w:p>
        </w:tc>
      </w:tr>
      <w:tr w:rsidR="00A052DC" w14:paraId="17573DEC" w14:textId="77777777">
        <w:trPr>
          <w:cantSplit/>
        </w:trPr>
        <w:tc>
          <w:tcPr>
            <w:tcW w:w="1668" w:type="dxa"/>
          </w:tcPr>
          <w:p w14:paraId="10C2D926" w14:textId="77777777" w:rsidR="00A052DC" w:rsidRDefault="009F0A60">
            <w:pPr>
              <w:pStyle w:val="B"/>
              <w:rPr>
                <w:szCs w:val="20"/>
              </w:rPr>
            </w:pPr>
            <w:r>
              <w:rPr>
                <w:rFonts w:hint="eastAsia"/>
                <w:szCs w:val="20"/>
              </w:rPr>
              <w:t>债权人经营地所在国家（地区）代码</w:t>
            </w:r>
          </w:p>
        </w:tc>
        <w:tc>
          <w:tcPr>
            <w:tcW w:w="6804" w:type="dxa"/>
            <w:vAlign w:val="center"/>
          </w:tcPr>
          <w:p w14:paraId="1E114380" w14:textId="77777777" w:rsidR="00A052DC" w:rsidRDefault="009F0A60">
            <w:pPr>
              <w:pStyle w:val="B"/>
              <w:rPr>
                <w:szCs w:val="20"/>
              </w:rPr>
            </w:pPr>
            <w:r>
              <w:rPr>
                <w:rFonts w:hint="eastAsia"/>
                <w:szCs w:val="20"/>
              </w:rPr>
              <w:t>债权人经营所在地代码，见国家和地区代码表。</w:t>
            </w:r>
          </w:p>
        </w:tc>
      </w:tr>
      <w:tr w:rsidR="00A052DC" w14:paraId="771F55DD" w14:textId="77777777">
        <w:trPr>
          <w:cantSplit/>
        </w:trPr>
        <w:tc>
          <w:tcPr>
            <w:tcW w:w="1668" w:type="dxa"/>
          </w:tcPr>
          <w:p w14:paraId="08EF57F6" w14:textId="77777777" w:rsidR="00A052DC" w:rsidRDefault="009F0A60">
            <w:pPr>
              <w:pStyle w:val="B"/>
              <w:rPr>
                <w:szCs w:val="20"/>
              </w:rPr>
            </w:pPr>
            <w:r>
              <w:rPr>
                <w:rFonts w:hint="eastAsia"/>
                <w:szCs w:val="20"/>
              </w:rPr>
              <w:t>申请人代码</w:t>
            </w:r>
          </w:p>
        </w:tc>
        <w:tc>
          <w:tcPr>
            <w:tcW w:w="6804" w:type="dxa"/>
            <w:vAlign w:val="center"/>
          </w:tcPr>
          <w:p w14:paraId="610E27F2" w14:textId="77777777" w:rsidR="00A052DC" w:rsidRDefault="009F0A60">
            <w:pPr>
              <w:pStyle w:val="B"/>
              <w:rPr>
                <w:szCs w:val="20"/>
              </w:rPr>
            </w:pPr>
            <w:r>
              <w:rPr>
                <w:rFonts w:hint="eastAsia"/>
                <w:szCs w:val="20"/>
              </w:rPr>
              <w:t>如果申请人为境内机构，申请人代码填报统一社会信用代码法定载体（如营业执照）上统一社会信用代码中的第9至17位；如果申请人为境外机构，若该境外机构有国家外汇管理局签发的特殊机构代码赋码，填报该赋码；如果申请人为境内个人，应填写个人身份证件号码。否则为空。</w:t>
            </w:r>
          </w:p>
        </w:tc>
      </w:tr>
      <w:tr w:rsidR="00A052DC" w14:paraId="5EE122B9" w14:textId="77777777">
        <w:trPr>
          <w:cantSplit/>
        </w:trPr>
        <w:tc>
          <w:tcPr>
            <w:tcW w:w="1668" w:type="dxa"/>
          </w:tcPr>
          <w:p w14:paraId="082DEF28" w14:textId="77777777" w:rsidR="00A052DC" w:rsidRDefault="009F0A60">
            <w:pPr>
              <w:pStyle w:val="B"/>
              <w:widowControl w:val="0"/>
              <w:rPr>
                <w:szCs w:val="20"/>
              </w:rPr>
            </w:pPr>
            <w:r>
              <w:rPr>
                <w:rFonts w:hint="eastAsia"/>
                <w:szCs w:val="20"/>
              </w:rPr>
              <w:t>申请人名称</w:t>
            </w:r>
          </w:p>
        </w:tc>
        <w:tc>
          <w:tcPr>
            <w:tcW w:w="6804" w:type="dxa"/>
            <w:vAlign w:val="center"/>
          </w:tcPr>
          <w:p w14:paraId="653C8C59" w14:textId="77777777" w:rsidR="00A052DC" w:rsidRDefault="009F0A60">
            <w:pPr>
              <w:pStyle w:val="B"/>
              <w:widowControl w:val="0"/>
              <w:rPr>
                <w:szCs w:val="20"/>
              </w:rPr>
            </w:pPr>
            <w:r>
              <w:rPr>
                <w:rFonts w:hint="eastAsia"/>
                <w:szCs w:val="20"/>
              </w:rPr>
              <w:t>海外代付的申请人中文或英文名称。如果该海外代付申请人有营业执照或国家外汇管理局及其分支局签发的特殊机构代码赋码通知书，则应填写营业执照或国家外汇管理局及其分支局签发的特殊机构代码赋码通知书上的中文或英文名称；如果该海外代付申请人为境内个人，应填写个人身份证件上的中文名称。</w:t>
            </w:r>
          </w:p>
        </w:tc>
      </w:tr>
      <w:tr w:rsidR="00A052DC" w14:paraId="7B1325A4" w14:textId="77777777">
        <w:trPr>
          <w:cantSplit/>
        </w:trPr>
        <w:tc>
          <w:tcPr>
            <w:tcW w:w="1668" w:type="dxa"/>
          </w:tcPr>
          <w:p w14:paraId="7DFDFEBA" w14:textId="77777777" w:rsidR="00A052DC" w:rsidRDefault="009F0A60">
            <w:pPr>
              <w:pStyle w:val="B"/>
              <w:widowControl w:val="0"/>
              <w:rPr>
                <w:szCs w:val="20"/>
              </w:rPr>
            </w:pPr>
            <w:r>
              <w:rPr>
                <w:rFonts w:hint="eastAsia"/>
                <w:szCs w:val="20"/>
              </w:rPr>
              <w:t>承继的远期信用证承兑银行业务参号</w:t>
            </w:r>
          </w:p>
        </w:tc>
        <w:tc>
          <w:tcPr>
            <w:tcW w:w="6804" w:type="dxa"/>
            <w:vAlign w:val="center"/>
          </w:tcPr>
          <w:p w14:paraId="14221883" w14:textId="77777777" w:rsidR="00A052DC" w:rsidRDefault="009F0A60">
            <w:pPr>
              <w:pStyle w:val="B"/>
              <w:widowControl w:val="0"/>
              <w:rPr>
                <w:szCs w:val="20"/>
              </w:rPr>
            </w:pPr>
            <w:r>
              <w:rPr>
                <w:rFonts w:hint="eastAsia"/>
                <w:szCs w:val="20"/>
              </w:rPr>
              <w:t>如该笔海外代付为叙作的远期信用证，则应填写其承继的远期信用证承兑所对应的银行业务参号。</w:t>
            </w:r>
          </w:p>
        </w:tc>
      </w:tr>
      <w:tr w:rsidR="00A052DC" w14:paraId="6A91472E" w14:textId="77777777">
        <w:trPr>
          <w:cantSplit/>
        </w:trPr>
        <w:tc>
          <w:tcPr>
            <w:tcW w:w="1668" w:type="dxa"/>
          </w:tcPr>
          <w:p w14:paraId="2897EC6E" w14:textId="77777777" w:rsidR="00A052DC" w:rsidRDefault="009F0A60">
            <w:pPr>
              <w:pStyle w:val="B"/>
              <w:widowControl w:val="0"/>
              <w:rPr>
                <w:szCs w:val="20"/>
              </w:rPr>
            </w:pPr>
            <w:r>
              <w:rPr>
                <w:rFonts w:hint="eastAsia"/>
                <w:szCs w:val="20"/>
              </w:rPr>
              <w:t>是否不纳入跨境融资风险加权余额计算</w:t>
            </w:r>
          </w:p>
        </w:tc>
        <w:tc>
          <w:tcPr>
            <w:tcW w:w="6804" w:type="dxa"/>
          </w:tcPr>
          <w:p w14:paraId="67560882" w14:textId="77777777" w:rsidR="00A052DC" w:rsidRDefault="009F0A60">
            <w:pPr>
              <w:pStyle w:val="B"/>
              <w:widowControl w:val="0"/>
              <w:rPr>
                <w:szCs w:val="20"/>
              </w:rPr>
            </w:pPr>
            <w:r>
              <w:rPr>
                <w:rFonts w:hint="eastAsia"/>
                <w:szCs w:val="20"/>
              </w:rPr>
              <w:t>标识该笔债务是否不纳入跨境融资风险加权余额计算，默认为“否”。</w:t>
            </w:r>
          </w:p>
        </w:tc>
      </w:tr>
      <w:tr w:rsidR="00A052DC" w14:paraId="40FA004E" w14:textId="77777777">
        <w:trPr>
          <w:cantSplit/>
        </w:trPr>
        <w:tc>
          <w:tcPr>
            <w:tcW w:w="1668" w:type="dxa"/>
          </w:tcPr>
          <w:p w14:paraId="62649563" w14:textId="77777777" w:rsidR="00A052DC" w:rsidRDefault="009F0A60">
            <w:pPr>
              <w:pStyle w:val="B"/>
              <w:widowControl w:val="0"/>
              <w:rPr>
                <w:szCs w:val="20"/>
              </w:rPr>
            </w:pPr>
            <w:r>
              <w:rPr>
                <w:rFonts w:hint="eastAsia"/>
                <w:szCs w:val="20"/>
              </w:rPr>
              <w:t>对方与本机构的关系</w:t>
            </w:r>
          </w:p>
        </w:tc>
        <w:tc>
          <w:tcPr>
            <w:tcW w:w="6804" w:type="dxa"/>
          </w:tcPr>
          <w:p w14:paraId="47C3E376" w14:textId="77777777" w:rsidR="00A052DC" w:rsidRDefault="009F0A60">
            <w:pPr>
              <w:pStyle w:val="B"/>
              <w:widowControl w:val="0"/>
              <w:rPr>
                <w:szCs w:val="20"/>
              </w:rPr>
            </w:pPr>
            <w:r>
              <w:rPr>
                <w:rFonts w:hint="eastAsia"/>
                <w:szCs w:val="20"/>
              </w:rPr>
              <w:t>债权人与本机构的关系，见对方与本机构/被代理居民机构/委托人的关系代码表。</w:t>
            </w:r>
          </w:p>
        </w:tc>
      </w:tr>
      <w:tr w:rsidR="00A052DC" w14:paraId="436623C2" w14:textId="77777777">
        <w:trPr>
          <w:cantSplit/>
        </w:trPr>
        <w:tc>
          <w:tcPr>
            <w:tcW w:w="1668" w:type="dxa"/>
            <w:tcBorders>
              <w:top w:val="single" w:sz="6" w:space="0" w:color="auto"/>
              <w:left w:val="single" w:sz="6" w:space="0" w:color="auto"/>
              <w:bottom w:val="single" w:sz="6" w:space="0" w:color="auto"/>
              <w:right w:val="single" w:sz="6" w:space="0" w:color="auto"/>
            </w:tcBorders>
          </w:tcPr>
          <w:p w14:paraId="51EA9364" w14:textId="77777777" w:rsidR="00A052DC" w:rsidRDefault="009F0A60">
            <w:pPr>
              <w:pStyle w:val="B"/>
              <w:widowControl w:val="0"/>
              <w:rPr>
                <w:szCs w:val="20"/>
              </w:rPr>
            </w:pPr>
            <w:r>
              <w:rPr>
                <w:rFonts w:hint="eastAsia"/>
                <w:szCs w:val="20"/>
              </w:rPr>
              <w:t>备注</w:t>
            </w:r>
          </w:p>
        </w:tc>
        <w:tc>
          <w:tcPr>
            <w:tcW w:w="6804" w:type="dxa"/>
            <w:tcBorders>
              <w:top w:val="single" w:sz="6" w:space="0" w:color="auto"/>
              <w:left w:val="single" w:sz="6" w:space="0" w:color="auto"/>
              <w:bottom w:val="single" w:sz="6" w:space="0" w:color="auto"/>
              <w:right w:val="single" w:sz="6" w:space="0" w:color="auto"/>
            </w:tcBorders>
          </w:tcPr>
          <w:p w14:paraId="2F25421D" w14:textId="77777777" w:rsidR="00A052DC" w:rsidRDefault="009F0A60">
            <w:pPr>
              <w:pStyle w:val="B"/>
              <w:widowControl w:val="0"/>
              <w:rPr>
                <w:szCs w:val="20"/>
              </w:rPr>
            </w:pPr>
            <w:r>
              <w:rPr>
                <w:rFonts w:hint="eastAsia"/>
                <w:szCs w:val="20"/>
              </w:rPr>
              <w:t>需要说明的备注事项。</w:t>
            </w:r>
          </w:p>
        </w:tc>
      </w:tr>
    </w:tbl>
    <w:p w14:paraId="40769F6B" w14:textId="77777777" w:rsidR="00A052DC" w:rsidRDefault="00A052DC">
      <w:pPr>
        <w:ind w:firstLine="480"/>
      </w:pPr>
    </w:p>
    <w:p w14:paraId="21CEB2D3" w14:textId="77777777" w:rsidR="00A052DC" w:rsidRDefault="009F0A60" w:rsidP="0020251D">
      <w:pPr>
        <w:pStyle w:val="5"/>
        <w:numPr>
          <w:ilvl w:val="4"/>
          <w:numId w:val="1"/>
        </w:numPr>
        <w:spacing w:before="120" w:after="120" w:line="360" w:lineRule="auto"/>
        <w:jc w:val="left"/>
      </w:pPr>
      <w:bookmarkStart w:id="1513" w:name="_Toc454386882"/>
      <w:r>
        <w:rPr>
          <w:rFonts w:hint="eastAsia"/>
        </w:rPr>
        <w:t>数据格式</w:t>
      </w:r>
      <w:bookmarkEnd w:id="1513"/>
    </w:p>
    <w:p w14:paraId="11AF1229" w14:textId="77777777" w:rsidR="00A052DC" w:rsidRDefault="009F0A60">
      <w:r>
        <w:t>&lt;REC&gt;</w:t>
      </w:r>
    </w:p>
    <w:p w14:paraId="045869A4" w14:textId="77777777" w:rsidR="00A052DC" w:rsidRDefault="009F0A60">
      <w:r>
        <w:t>&lt;ACTIONTYPE&gt;</w:t>
      </w:r>
      <w:r>
        <w:rPr>
          <w:rFonts w:hint="eastAsia"/>
        </w:rPr>
        <w:t>操作类型</w:t>
      </w:r>
      <w:r>
        <w:t>&lt;/ACTIONTYPE&gt;</w:t>
      </w:r>
    </w:p>
    <w:p w14:paraId="4ED97BA3" w14:textId="77777777" w:rsidR="00A052DC" w:rsidRDefault="009F0A60">
      <w:r>
        <w:t>&lt;ACTIONDESC&gt;</w:t>
      </w:r>
      <w:r>
        <w:rPr>
          <w:rFonts w:hint="eastAsia"/>
        </w:rPr>
        <w:t>删除原因</w:t>
      </w:r>
      <w:r>
        <w:t>&lt;/ACTIONDESC&gt;</w:t>
      </w:r>
    </w:p>
    <w:p w14:paraId="08690BDD" w14:textId="77777777" w:rsidR="00A052DC" w:rsidRDefault="009F0A60">
      <w:r>
        <w:t>&lt;EXDEBTCODE&gt;</w:t>
      </w:r>
      <w:r>
        <w:rPr>
          <w:rFonts w:hint="eastAsia"/>
        </w:rPr>
        <w:t>外债编号</w:t>
      </w:r>
      <w:r>
        <w:t>&lt;/EXDEBTCODE&gt;</w:t>
      </w:r>
    </w:p>
    <w:p w14:paraId="40F8C320" w14:textId="77777777" w:rsidR="00A052DC" w:rsidRDefault="009F0A60">
      <w:r>
        <w:t>&lt;DEBTORCODE&gt;</w:t>
      </w:r>
      <w:r>
        <w:rPr>
          <w:rFonts w:hint="eastAsia"/>
        </w:rPr>
        <w:t>债务人代码</w:t>
      </w:r>
      <w:r>
        <w:t>&lt;/DEBTORCODE&gt;</w:t>
      </w:r>
    </w:p>
    <w:p w14:paraId="2262720D" w14:textId="77777777" w:rsidR="00A052DC" w:rsidRDefault="009F0A60">
      <w:r>
        <w:t>&lt;DEBTYPE&gt;</w:t>
      </w:r>
      <w:r>
        <w:rPr>
          <w:rFonts w:hint="eastAsia"/>
        </w:rPr>
        <w:t>债务类型</w:t>
      </w:r>
      <w:r>
        <w:t>&lt;/DEBTYPE&gt;</w:t>
      </w:r>
    </w:p>
    <w:p w14:paraId="35BE24E1" w14:textId="77777777" w:rsidR="00A052DC" w:rsidRDefault="009F0A60">
      <w:r>
        <w:t>&lt;VALUEDATE&gt;</w:t>
      </w:r>
      <w:r>
        <w:rPr>
          <w:rFonts w:hint="eastAsia"/>
        </w:rPr>
        <w:t>起息日</w:t>
      </w:r>
      <w:r>
        <w:t>&lt;/VALUEDATE&gt;</w:t>
      </w:r>
    </w:p>
    <w:p w14:paraId="5A99A281" w14:textId="77777777" w:rsidR="00A052DC" w:rsidRDefault="009F0A60">
      <w:r>
        <w:t>&lt;CONTRACTCURR&gt;</w:t>
      </w:r>
      <w:r>
        <w:rPr>
          <w:rFonts w:hint="eastAsia"/>
        </w:rPr>
        <w:t>签约币种</w:t>
      </w:r>
      <w:r>
        <w:t>&lt;/CONTRACTCURR&gt;</w:t>
      </w:r>
    </w:p>
    <w:p w14:paraId="52FC15BD" w14:textId="77777777" w:rsidR="00A052DC" w:rsidRDefault="009F0A60">
      <w:r>
        <w:t>&lt;CONTRACTAMOUNT&gt;</w:t>
      </w:r>
      <w:r>
        <w:rPr>
          <w:rFonts w:hint="eastAsia"/>
        </w:rPr>
        <w:t>签约金额</w:t>
      </w:r>
      <w:r>
        <w:t>&lt;/CONTRACTAMOUNT&gt;</w:t>
      </w:r>
    </w:p>
    <w:p w14:paraId="2BDADC90" w14:textId="77777777" w:rsidR="00A052DC" w:rsidRDefault="009F0A60">
      <w:r>
        <w:t>&lt;MATURITY&gt;</w:t>
      </w:r>
      <w:r>
        <w:rPr>
          <w:rFonts w:hint="eastAsia"/>
        </w:rPr>
        <w:t>到期日</w:t>
      </w:r>
      <w:r>
        <w:t>&lt;/MATURITY&gt;</w:t>
      </w:r>
    </w:p>
    <w:p w14:paraId="064C3F2E" w14:textId="77777777" w:rsidR="00A052DC" w:rsidRDefault="009F0A60">
      <w:r>
        <w:t>&lt;FLOATRATE&gt;</w:t>
      </w:r>
      <w:r>
        <w:rPr>
          <w:rFonts w:hint="eastAsia"/>
        </w:rPr>
        <w:t>是否浮动利率</w:t>
      </w:r>
      <w:r>
        <w:t>&lt;/FLOATRATE&gt;</w:t>
      </w:r>
    </w:p>
    <w:p w14:paraId="36208A66" w14:textId="77777777" w:rsidR="00A052DC" w:rsidRDefault="009F0A60">
      <w:r>
        <w:t>&lt;ANNINRATE&gt;</w:t>
      </w:r>
      <w:r>
        <w:rPr>
          <w:rFonts w:hint="eastAsia"/>
        </w:rPr>
        <w:t>年化利率值</w:t>
      </w:r>
      <w:r>
        <w:t>&lt;/ANNINRATE&gt;</w:t>
      </w:r>
    </w:p>
    <w:p w14:paraId="196A37DC" w14:textId="77777777" w:rsidR="00A052DC" w:rsidRDefault="009F0A60">
      <w:r>
        <w:t>&lt;CREDITORCODE&gt;</w:t>
      </w:r>
      <w:r>
        <w:rPr>
          <w:rFonts w:hint="eastAsia"/>
        </w:rPr>
        <w:t>债权人代码</w:t>
      </w:r>
      <w:r>
        <w:t>&lt;/CREDITORCODE&gt;</w:t>
      </w:r>
    </w:p>
    <w:p w14:paraId="1AEDAD5E" w14:textId="77777777" w:rsidR="00A052DC" w:rsidRDefault="009F0A60">
      <w:r>
        <w:t>&lt;CREDITORNAME&gt;</w:t>
      </w:r>
      <w:r>
        <w:rPr>
          <w:rFonts w:hint="eastAsia"/>
        </w:rPr>
        <w:t>债权人中文名称</w:t>
      </w:r>
      <w:r>
        <w:t>&lt;/CREDITORNAME&gt;</w:t>
      </w:r>
    </w:p>
    <w:p w14:paraId="2B20BCB3" w14:textId="77777777" w:rsidR="00A052DC" w:rsidRDefault="009F0A60">
      <w:r>
        <w:t>&lt;CREDITORNAMEN&gt;</w:t>
      </w:r>
      <w:r>
        <w:rPr>
          <w:rFonts w:hint="eastAsia"/>
        </w:rPr>
        <w:t>债权人英文名称</w:t>
      </w:r>
      <w:r>
        <w:t>&lt;/CREDITORNAMEN&gt;</w:t>
      </w:r>
    </w:p>
    <w:p w14:paraId="21F3F8CB" w14:textId="77777777" w:rsidR="00A052DC" w:rsidRDefault="009F0A60">
      <w:r>
        <w:t>&lt;CREDITORTYPE&gt;</w:t>
      </w:r>
      <w:r>
        <w:rPr>
          <w:rFonts w:hint="eastAsia"/>
        </w:rPr>
        <w:t>债权人类型代码</w:t>
      </w:r>
      <w:r>
        <w:t>&lt;/CREDITORTYPE&gt;</w:t>
      </w:r>
    </w:p>
    <w:p w14:paraId="279C4E74" w14:textId="77777777" w:rsidR="00A052DC" w:rsidRDefault="009F0A60">
      <w:r>
        <w:t>&lt;CREHQCODE&gt;</w:t>
      </w:r>
      <w:r>
        <w:rPr>
          <w:rFonts w:hint="eastAsia"/>
        </w:rPr>
        <w:t>债权人总部所在国家（地区）代码</w:t>
      </w:r>
      <w:r>
        <w:t>&lt;/CREHQCODE&gt;</w:t>
      </w:r>
    </w:p>
    <w:p w14:paraId="327A6F4A" w14:textId="77777777" w:rsidR="00A052DC" w:rsidRDefault="009F0A60">
      <w:r>
        <w:t>&lt;OPERCODE&gt;</w:t>
      </w:r>
      <w:r>
        <w:rPr>
          <w:rFonts w:hint="eastAsia"/>
        </w:rPr>
        <w:t>债权人经营地所在国家（地区）代码</w:t>
      </w:r>
      <w:r>
        <w:t>&lt;/OPERCODE&gt;</w:t>
      </w:r>
    </w:p>
    <w:p w14:paraId="1E0C37BC" w14:textId="77777777" w:rsidR="00A052DC" w:rsidRDefault="009F0A60">
      <w:r>
        <w:t>&lt;APPCODE&gt;</w:t>
      </w:r>
      <w:r>
        <w:rPr>
          <w:rFonts w:hint="eastAsia"/>
        </w:rPr>
        <w:t>申请人代码</w:t>
      </w:r>
      <w:r>
        <w:t>&lt;/APPCODE&gt;</w:t>
      </w:r>
    </w:p>
    <w:p w14:paraId="55C2F692" w14:textId="77777777" w:rsidR="00A052DC" w:rsidRDefault="009F0A60">
      <w:r>
        <w:t>&lt;APPNAME&gt;</w:t>
      </w:r>
      <w:r>
        <w:rPr>
          <w:rFonts w:hint="eastAsia"/>
        </w:rPr>
        <w:t>申请人名称</w:t>
      </w:r>
      <w:r>
        <w:t>&lt;/APPNAME&gt;</w:t>
      </w:r>
    </w:p>
    <w:p w14:paraId="337A1F9F" w14:textId="77777777" w:rsidR="00A052DC" w:rsidRDefault="009F0A60">
      <w:r>
        <w:t>&lt;INLTCABUSCODE&gt;</w:t>
      </w:r>
      <w:r>
        <w:rPr>
          <w:rFonts w:hint="eastAsia"/>
        </w:rPr>
        <w:t>承继的远期信用证承兑银行业务参号</w:t>
      </w:r>
      <w:r>
        <w:t>&lt;/INLTCABUSCODE&gt;</w:t>
      </w:r>
    </w:p>
    <w:p w14:paraId="6F1BF5C5" w14:textId="77777777" w:rsidR="00A052DC" w:rsidRDefault="009F0A60">
      <w:r>
        <w:t>&lt;SPAPFEBOINDEX&gt;</w:t>
      </w:r>
      <w:r>
        <w:rPr>
          <w:rFonts w:hint="eastAsia"/>
        </w:rPr>
        <w:t>是否不纳入跨境融资风险加权余额计算</w:t>
      </w:r>
      <w:r>
        <w:t>&lt;/SPAPFEBOINDEX&gt;</w:t>
      </w:r>
    </w:p>
    <w:p w14:paraId="1EB06CB2" w14:textId="77777777" w:rsidR="00A052DC" w:rsidRDefault="009F0A60">
      <w:r>
        <w:t>&lt;RELATION&gt;</w:t>
      </w:r>
      <w:r>
        <w:rPr>
          <w:rFonts w:hint="eastAsia"/>
        </w:rPr>
        <w:t>对方与本机构的关系</w:t>
      </w:r>
      <w:r>
        <w:t>&lt;/RELATION&gt;</w:t>
      </w:r>
    </w:p>
    <w:p w14:paraId="7146B251" w14:textId="77777777" w:rsidR="00A052DC" w:rsidRDefault="009F0A60">
      <w:r>
        <w:t>&lt;REMARK&gt;</w:t>
      </w:r>
      <w:r>
        <w:rPr>
          <w:rFonts w:hint="eastAsia"/>
        </w:rPr>
        <w:t>备注</w:t>
      </w:r>
      <w:r>
        <w:t>&lt;/REMARK&gt;</w:t>
      </w:r>
    </w:p>
    <w:p w14:paraId="4033BC78" w14:textId="77777777" w:rsidR="00A052DC" w:rsidRDefault="009F0A60">
      <w:r>
        <w:t>&lt;/REC&gt;</w:t>
      </w:r>
    </w:p>
    <w:p w14:paraId="1BD228EE" w14:textId="77777777" w:rsidR="00A052DC" w:rsidRDefault="009F0A60" w:rsidP="0020251D">
      <w:pPr>
        <w:pStyle w:val="5"/>
        <w:numPr>
          <w:ilvl w:val="4"/>
          <w:numId w:val="1"/>
        </w:numPr>
        <w:spacing w:before="120" w:after="120" w:line="360" w:lineRule="auto"/>
        <w:jc w:val="left"/>
      </w:pPr>
      <w:bookmarkStart w:id="1514" w:name="_Toc454386883"/>
      <w:r>
        <w:rPr>
          <w:rFonts w:hint="eastAsia"/>
        </w:rPr>
        <w:t>数据字典</w:t>
      </w:r>
      <w:bookmarkEnd w:id="1514"/>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701"/>
        <w:gridCol w:w="1417"/>
        <w:gridCol w:w="3686"/>
      </w:tblGrid>
      <w:tr w:rsidR="00A052DC" w14:paraId="1FD69AEA" w14:textId="77777777">
        <w:trPr>
          <w:tblHeader/>
        </w:trPr>
        <w:tc>
          <w:tcPr>
            <w:tcW w:w="1702" w:type="dxa"/>
            <w:shd w:val="clear" w:color="auto" w:fill="C0C0C0"/>
          </w:tcPr>
          <w:p w14:paraId="6878E410" w14:textId="77777777" w:rsidR="00A052DC" w:rsidRDefault="009F0A60">
            <w:pPr>
              <w:pStyle w:val="B1"/>
            </w:pPr>
            <w:r>
              <w:rPr>
                <w:rFonts w:hint="eastAsia"/>
              </w:rPr>
              <w:t>字段</w:t>
            </w:r>
          </w:p>
        </w:tc>
        <w:tc>
          <w:tcPr>
            <w:tcW w:w="1701" w:type="dxa"/>
            <w:shd w:val="clear" w:color="auto" w:fill="C0C0C0"/>
          </w:tcPr>
          <w:p w14:paraId="00D21D19" w14:textId="77777777" w:rsidR="00A052DC" w:rsidRDefault="009F0A60">
            <w:pPr>
              <w:pStyle w:val="B1"/>
            </w:pPr>
            <w:r>
              <w:rPr>
                <w:rFonts w:hint="eastAsia"/>
              </w:rPr>
              <w:t>内容</w:t>
            </w:r>
          </w:p>
        </w:tc>
        <w:tc>
          <w:tcPr>
            <w:tcW w:w="1417" w:type="dxa"/>
            <w:shd w:val="clear" w:color="auto" w:fill="C0C0C0"/>
          </w:tcPr>
          <w:p w14:paraId="17B2EF0C" w14:textId="77777777" w:rsidR="00A052DC" w:rsidRDefault="009F0A60">
            <w:pPr>
              <w:pStyle w:val="B1"/>
            </w:pPr>
            <w:r>
              <w:rPr>
                <w:rFonts w:hint="eastAsia"/>
              </w:rPr>
              <w:t>类型（长度）</w:t>
            </w:r>
          </w:p>
        </w:tc>
        <w:tc>
          <w:tcPr>
            <w:tcW w:w="3686" w:type="dxa"/>
            <w:shd w:val="clear" w:color="auto" w:fill="C0C0C0"/>
          </w:tcPr>
          <w:p w14:paraId="46896438" w14:textId="77777777" w:rsidR="00A052DC" w:rsidRDefault="009F0A60">
            <w:pPr>
              <w:pStyle w:val="B1"/>
            </w:pPr>
            <w:r>
              <w:rPr>
                <w:rFonts w:hint="eastAsia"/>
              </w:rPr>
              <w:t>校验</w:t>
            </w:r>
          </w:p>
        </w:tc>
      </w:tr>
      <w:tr w:rsidR="00A052DC" w14:paraId="084CB831" w14:textId="77777777">
        <w:tc>
          <w:tcPr>
            <w:tcW w:w="1702" w:type="dxa"/>
          </w:tcPr>
          <w:p w14:paraId="0701C7A5" w14:textId="77777777" w:rsidR="00A052DC" w:rsidRDefault="009F0A60">
            <w:pPr>
              <w:pStyle w:val="B"/>
              <w:rPr>
                <w:szCs w:val="20"/>
              </w:rPr>
            </w:pPr>
            <w:r>
              <w:rPr>
                <w:szCs w:val="20"/>
              </w:rPr>
              <w:t>ACTIONTYPE</w:t>
            </w:r>
          </w:p>
        </w:tc>
        <w:tc>
          <w:tcPr>
            <w:tcW w:w="1701" w:type="dxa"/>
          </w:tcPr>
          <w:p w14:paraId="6A54C71A" w14:textId="77777777" w:rsidR="00A052DC" w:rsidRDefault="009F0A60">
            <w:pPr>
              <w:pStyle w:val="B"/>
              <w:rPr>
                <w:szCs w:val="20"/>
              </w:rPr>
            </w:pPr>
            <w:r>
              <w:rPr>
                <w:rFonts w:hint="eastAsia"/>
                <w:szCs w:val="20"/>
              </w:rPr>
              <w:t>操作类型</w:t>
            </w:r>
          </w:p>
        </w:tc>
        <w:tc>
          <w:tcPr>
            <w:tcW w:w="1417" w:type="dxa"/>
          </w:tcPr>
          <w:p w14:paraId="51671932" w14:textId="77777777" w:rsidR="00A052DC" w:rsidRDefault="009F0A60">
            <w:pPr>
              <w:pStyle w:val="B"/>
              <w:rPr>
                <w:szCs w:val="20"/>
              </w:rPr>
            </w:pPr>
            <w:r>
              <w:rPr>
                <w:rFonts w:hint="eastAsia"/>
                <w:szCs w:val="20"/>
              </w:rPr>
              <w:t>字符型，</w:t>
            </w:r>
            <w:r>
              <w:rPr>
                <w:szCs w:val="20"/>
              </w:rPr>
              <w:t>1</w:t>
            </w:r>
          </w:p>
        </w:tc>
        <w:tc>
          <w:tcPr>
            <w:tcW w:w="3686" w:type="dxa"/>
          </w:tcPr>
          <w:p w14:paraId="7B3E6A74" w14:textId="77777777" w:rsidR="00A052DC" w:rsidRDefault="009F0A60">
            <w:pPr>
              <w:pStyle w:val="B"/>
              <w:rPr>
                <w:szCs w:val="20"/>
              </w:rPr>
            </w:pPr>
            <w:r>
              <w:rPr>
                <w:rFonts w:hint="eastAsia"/>
                <w:szCs w:val="20"/>
              </w:rPr>
              <w:t>必填项</w:t>
            </w:r>
            <w:r w:rsidR="000E18F5">
              <w:rPr>
                <w:rFonts w:hint="eastAsia"/>
                <w:szCs w:val="20"/>
              </w:rPr>
              <w:t>。</w:t>
            </w:r>
          </w:p>
          <w:p w14:paraId="2486D56F" w14:textId="77777777" w:rsidR="00A052DC" w:rsidRDefault="009F0A60">
            <w:pPr>
              <w:pStyle w:val="B"/>
              <w:rPr>
                <w:szCs w:val="20"/>
              </w:rPr>
            </w:pPr>
            <w:r>
              <w:rPr>
                <w:szCs w:val="20"/>
              </w:rPr>
              <w:t>A</w:t>
            </w:r>
            <w:r w:rsidR="00AE4602">
              <w:rPr>
                <w:rFonts w:hint="eastAsia"/>
                <w:szCs w:val="20"/>
              </w:rPr>
              <w:t>-</w:t>
            </w:r>
            <w:r>
              <w:rPr>
                <w:rFonts w:hint="eastAsia"/>
                <w:szCs w:val="20"/>
              </w:rPr>
              <w:t>新建</w:t>
            </w:r>
          </w:p>
          <w:p w14:paraId="63B6CF60" w14:textId="77777777" w:rsidR="00A052DC" w:rsidRDefault="009F0A60">
            <w:pPr>
              <w:pStyle w:val="B"/>
              <w:rPr>
                <w:szCs w:val="20"/>
              </w:rPr>
            </w:pPr>
            <w:r>
              <w:rPr>
                <w:szCs w:val="20"/>
              </w:rPr>
              <w:t>C</w:t>
            </w:r>
            <w:r w:rsidR="00AE4602">
              <w:rPr>
                <w:rFonts w:hint="eastAsia"/>
                <w:szCs w:val="20"/>
              </w:rPr>
              <w:t>-</w:t>
            </w:r>
            <w:r>
              <w:rPr>
                <w:rFonts w:hint="eastAsia"/>
                <w:szCs w:val="20"/>
              </w:rPr>
              <w:t>修改</w:t>
            </w:r>
          </w:p>
          <w:p w14:paraId="773E7DB9" w14:textId="77777777" w:rsidR="000E18F5" w:rsidRDefault="009F0A60" w:rsidP="000E18F5">
            <w:pPr>
              <w:pStyle w:val="B"/>
              <w:rPr>
                <w:szCs w:val="20"/>
              </w:rPr>
            </w:pPr>
            <w:r>
              <w:rPr>
                <w:szCs w:val="20"/>
              </w:rPr>
              <w:t>D</w:t>
            </w:r>
            <w:r w:rsidR="00AE4602">
              <w:rPr>
                <w:rFonts w:hint="eastAsia"/>
                <w:szCs w:val="20"/>
              </w:rPr>
              <w:t>-</w:t>
            </w:r>
            <w:r>
              <w:rPr>
                <w:rFonts w:hint="eastAsia"/>
                <w:szCs w:val="20"/>
              </w:rPr>
              <w:t>删除</w:t>
            </w:r>
          </w:p>
          <w:p w14:paraId="336A18F8" w14:textId="77777777" w:rsidR="00A052DC" w:rsidRDefault="009F0A60" w:rsidP="000E18F5">
            <w:pPr>
              <w:pStyle w:val="B"/>
              <w:rPr>
                <w:szCs w:val="20"/>
              </w:rPr>
            </w:pPr>
            <w:r>
              <w:rPr>
                <w:rFonts w:hint="eastAsia"/>
                <w:szCs w:val="20"/>
              </w:rPr>
              <w:t>一旦银行报送了该外债编号下的变动信息或月末存量信息，就不可以删除了。</w:t>
            </w:r>
          </w:p>
        </w:tc>
      </w:tr>
      <w:tr w:rsidR="00A052DC" w14:paraId="3154DC3E" w14:textId="77777777">
        <w:tc>
          <w:tcPr>
            <w:tcW w:w="1702" w:type="dxa"/>
          </w:tcPr>
          <w:p w14:paraId="0242D7F7" w14:textId="77777777" w:rsidR="00A052DC" w:rsidRDefault="009F0A60">
            <w:pPr>
              <w:pStyle w:val="B"/>
              <w:rPr>
                <w:szCs w:val="20"/>
              </w:rPr>
            </w:pPr>
            <w:r>
              <w:rPr>
                <w:szCs w:val="20"/>
              </w:rPr>
              <w:t>ACTIONDESC</w:t>
            </w:r>
          </w:p>
        </w:tc>
        <w:tc>
          <w:tcPr>
            <w:tcW w:w="1701" w:type="dxa"/>
          </w:tcPr>
          <w:p w14:paraId="5963DFFE" w14:textId="77777777" w:rsidR="00A052DC" w:rsidRDefault="009F0A60">
            <w:pPr>
              <w:pStyle w:val="B"/>
              <w:rPr>
                <w:szCs w:val="20"/>
              </w:rPr>
            </w:pPr>
            <w:r>
              <w:rPr>
                <w:rFonts w:hint="eastAsia"/>
                <w:szCs w:val="20"/>
              </w:rPr>
              <w:t>删除原因</w:t>
            </w:r>
          </w:p>
        </w:tc>
        <w:tc>
          <w:tcPr>
            <w:tcW w:w="1417" w:type="dxa"/>
          </w:tcPr>
          <w:p w14:paraId="6794F521" w14:textId="77777777" w:rsidR="00A052DC" w:rsidRDefault="009F0A60">
            <w:pPr>
              <w:pStyle w:val="B1"/>
              <w:jc w:val="both"/>
              <w:rPr>
                <w:b w:val="0"/>
              </w:rPr>
            </w:pPr>
            <w:r>
              <w:rPr>
                <w:rFonts w:hint="eastAsia"/>
                <w:b w:val="0"/>
              </w:rPr>
              <w:t>字符型，</w:t>
            </w:r>
            <w:r>
              <w:rPr>
                <w:b w:val="0"/>
              </w:rPr>
              <w:t>128</w:t>
            </w:r>
          </w:p>
        </w:tc>
        <w:tc>
          <w:tcPr>
            <w:tcW w:w="3686" w:type="dxa"/>
          </w:tcPr>
          <w:p w14:paraId="588CEC5F" w14:textId="77777777" w:rsidR="00A052DC" w:rsidRDefault="00DD6AA3" w:rsidP="000E18F5">
            <w:pPr>
              <w:pStyle w:val="B"/>
              <w:rPr>
                <w:szCs w:val="20"/>
              </w:rPr>
            </w:pPr>
            <w:r>
              <w:rPr>
                <w:rFonts w:hint="eastAsia"/>
                <w:szCs w:val="20"/>
              </w:rPr>
              <w:t>非必填项，当操作类型（ACTIONTYPE）为删除时必填。</w:t>
            </w:r>
          </w:p>
        </w:tc>
      </w:tr>
      <w:tr w:rsidR="00A052DC" w14:paraId="7B4349F9" w14:textId="77777777">
        <w:tc>
          <w:tcPr>
            <w:tcW w:w="1702" w:type="dxa"/>
          </w:tcPr>
          <w:p w14:paraId="1F92074C" w14:textId="77777777" w:rsidR="00A052DC" w:rsidRDefault="009F0A60">
            <w:pPr>
              <w:pStyle w:val="B"/>
              <w:rPr>
                <w:szCs w:val="20"/>
              </w:rPr>
            </w:pPr>
            <w:r>
              <w:rPr>
                <w:szCs w:val="20"/>
              </w:rPr>
              <w:t>EXDEBTCODE</w:t>
            </w:r>
          </w:p>
        </w:tc>
        <w:tc>
          <w:tcPr>
            <w:tcW w:w="1701" w:type="dxa"/>
          </w:tcPr>
          <w:p w14:paraId="402EC11B" w14:textId="77777777" w:rsidR="00A052DC" w:rsidRDefault="009F0A60">
            <w:pPr>
              <w:pStyle w:val="B"/>
              <w:rPr>
                <w:szCs w:val="20"/>
              </w:rPr>
            </w:pPr>
            <w:r>
              <w:rPr>
                <w:rFonts w:hint="eastAsia"/>
                <w:szCs w:val="20"/>
              </w:rPr>
              <w:t>外债编号</w:t>
            </w:r>
          </w:p>
        </w:tc>
        <w:tc>
          <w:tcPr>
            <w:tcW w:w="1417" w:type="dxa"/>
          </w:tcPr>
          <w:p w14:paraId="5CB3021F" w14:textId="77777777" w:rsidR="00A052DC" w:rsidRDefault="009F0A60">
            <w:pPr>
              <w:pStyle w:val="B"/>
              <w:rPr>
                <w:szCs w:val="20"/>
              </w:rPr>
            </w:pPr>
            <w:r>
              <w:rPr>
                <w:rFonts w:hint="eastAsia"/>
                <w:szCs w:val="20"/>
              </w:rPr>
              <w:t>字符型，</w:t>
            </w:r>
            <w:r>
              <w:rPr>
                <w:szCs w:val="20"/>
              </w:rPr>
              <w:t>28</w:t>
            </w:r>
          </w:p>
        </w:tc>
        <w:tc>
          <w:tcPr>
            <w:tcW w:w="3686" w:type="dxa"/>
          </w:tcPr>
          <w:p w14:paraId="5A654CE1" w14:textId="77777777" w:rsidR="00A052DC" w:rsidRDefault="009F0A60" w:rsidP="000E18F5">
            <w:pPr>
              <w:pStyle w:val="B"/>
              <w:rPr>
                <w:szCs w:val="20"/>
              </w:rPr>
            </w:pPr>
            <w:r>
              <w:rPr>
                <w:rFonts w:hint="eastAsia"/>
                <w:szCs w:val="20"/>
              </w:rPr>
              <w:t>必填项，外债唯一性编码。</w:t>
            </w:r>
          </w:p>
        </w:tc>
      </w:tr>
      <w:tr w:rsidR="00A052DC" w14:paraId="114F34C4" w14:textId="77777777">
        <w:tc>
          <w:tcPr>
            <w:tcW w:w="1702" w:type="dxa"/>
          </w:tcPr>
          <w:p w14:paraId="5F79C76C" w14:textId="77777777" w:rsidR="00A052DC" w:rsidRDefault="009F0A60">
            <w:pPr>
              <w:pStyle w:val="B"/>
              <w:rPr>
                <w:szCs w:val="20"/>
              </w:rPr>
            </w:pPr>
            <w:r>
              <w:rPr>
                <w:szCs w:val="20"/>
              </w:rPr>
              <w:t>DEBTORCODE</w:t>
            </w:r>
          </w:p>
        </w:tc>
        <w:tc>
          <w:tcPr>
            <w:tcW w:w="1701" w:type="dxa"/>
          </w:tcPr>
          <w:p w14:paraId="5DE45EB6" w14:textId="77777777" w:rsidR="00A052DC" w:rsidRDefault="009F0A60">
            <w:pPr>
              <w:pStyle w:val="B"/>
              <w:rPr>
                <w:szCs w:val="20"/>
              </w:rPr>
            </w:pPr>
            <w:r>
              <w:rPr>
                <w:rFonts w:hint="eastAsia"/>
                <w:szCs w:val="20"/>
              </w:rPr>
              <w:t>债务人代码</w:t>
            </w:r>
          </w:p>
        </w:tc>
        <w:tc>
          <w:tcPr>
            <w:tcW w:w="1417" w:type="dxa"/>
          </w:tcPr>
          <w:p w14:paraId="1D125C36" w14:textId="77777777" w:rsidR="00A052DC" w:rsidRDefault="009F0A60">
            <w:pPr>
              <w:pStyle w:val="B"/>
              <w:rPr>
                <w:szCs w:val="20"/>
              </w:rPr>
            </w:pPr>
            <w:r>
              <w:rPr>
                <w:rFonts w:hint="eastAsia"/>
                <w:szCs w:val="20"/>
              </w:rPr>
              <w:t>字符型，</w:t>
            </w:r>
            <w:r>
              <w:rPr>
                <w:szCs w:val="20"/>
              </w:rPr>
              <w:t>12</w:t>
            </w:r>
          </w:p>
        </w:tc>
        <w:tc>
          <w:tcPr>
            <w:tcW w:w="3686" w:type="dxa"/>
          </w:tcPr>
          <w:p w14:paraId="64685344" w14:textId="77777777" w:rsidR="00A052DC" w:rsidRDefault="009F0A60" w:rsidP="000E18F5">
            <w:pPr>
              <w:pStyle w:val="B"/>
              <w:rPr>
                <w:szCs w:val="20"/>
              </w:rPr>
            </w:pPr>
            <w:r>
              <w:rPr>
                <w:rFonts w:hint="eastAsia"/>
                <w:szCs w:val="20"/>
              </w:rPr>
              <w:t>必填项，金融机构标识码。</w:t>
            </w:r>
          </w:p>
        </w:tc>
      </w:tr>
      <w:tr w:rsidR="00A052DC" w14:paraId="2CB623D1" w14:textId="77777777">
        <w:tc>
          <w:tcPr>
            <w:tcW w:w="1702" w:type="dxa"/>
          </w:tcPr>
          <w:p w14:paraId="26A80D9C" w14:textId="77777777" w:rsidR="00A052DC" w:rsidRDefault="009F0A60">
            <w:pPr>
              <w:pStyle w:val="B"/>
              <w:rPr>
                <w:szCs w:val="20"/>
              </w:rPr>
            </w:pPr>
            <w:r>
              <w:rPr>
                <w:szCs w:val="20"/>
              </w:rPr>
              <w:t>DEBTYPE</w:t>
            </w:r>
          </w:p>
        </w:tc>
        <w:tc>
          <w:tcPr>
            <w:tcW w:w="1701" w:type="dxa"/>
          </w:tcPr>
          <w:p w14:paraId="181EDB50" w14:textId="77777777" w:rsidR="00A052DC" w:rsidRDefault="009F0A60">
            <w:pPr>
              <w:pStyle w:val="B"/>
              <w:rPr>
                <w:szCs w:val="20"/>
              </w:rPr>
            </w:pPr>
            <w:r>
              <w:rPr>
                <w:rFonts w:hint="eastAsia"/>
                <w:szCs w:val="20"/>
              </w:rPr>
              <w:t>债务类型</w:t>
            </w:r>
          </w:p>
        </w:tc>
        <w:tc>
          <w:tcPr>
            <w:tcW w:w="1417" w:type="dxa"/>
          </w:tcPr>
          <w:p w14:paraId="72D04408" w14:textId="77777777" w:rsidR="00A052DC" w:rsidRDefault="009F0A60">
            <w:pPr>
              <w:pStyle w:val="B"/>
              <w:rPr>
                <w:szCs w:val="20"/>
              </w:rPr>
            </w:pPr>
            <w:r>
              <w:rPr>
                <w:rFonts w:hint="eastAsia"/>
                <w:szCs w:val="20"/>
              </w:rPr>
              <w:t>字符型，</w:t>
            </w:r>
            <w:r>
              <w:rPr>
                <w:szCs w:val="20"/>
              </w:rPr>
              <w:t>4</w:t>
            </w:r>
          </w:p>
        </w:tc>
        <w:tc>
          <w:tcPr>
            <w:tcW w:w="3686" w:type="dxa"/>
          </w:tcPr>
          <w:p w14:paraId="3ACEDB0C" w14:textId="77777777" w:rsidR="00A052DC" w:rsidRDefault="009F0A60" w:rsidP="000E18F5">
            <w:pPr>
              <w:pStyle w:val="B"/>
              <w:rPr>
                <w:szCs w:val="20"/>
              </w:rPr>
            </w:pPr>
            <w:r>
              <w:rPr>
                <w:rFonts w:hint="eastAsia"/>
                <w:szCs w:val="20"/>
              </w:rPr>
              <w:t>必填项，见债务类型代码表。</w:t>
            </w:r>
          </w:p>
        </w:tc>
      </w:tr>
      <w:tr w:rsidR="00A052DC" w14:paraId="101A06EE" w14:textId="77777777">
        <w:tc>
          <w:tcPr>
            <w:tcW w:w="1702" w:type="dxa"/>
            <w:tcBorders>
              <w:top w:val="single" w:sz="4" w:space="0" w:color="auto"/>
              <w:left w:val="single" w:sz="4" w:space="0" w:color="auto"/>
              <w:bottom w:val="single" w:sz="4" w:space="0" w:color="auto"/>
              <w:right w:val="single" w:sz="4" w:space="0" w:color="auto"/>
            </w:tcBorders>
          </w:tcPr>
          <w:p w14:paraId="6288D533" w14:textId="77777777" w:rsidR="00A052DC" w:rsidRDefault="009F0A60">
            <w:pPr>
              <w:pStyle w:val="B"/>
              <w:rPr>
                <w:szCs w:val="20"/>
              </w:rPr>
            </w:pPr>
            <w:r>
              <w:rPr>
                <w:szCs w:val="20"/>
              </w:rPr>
              <w:t>VALUEDATE</w:t>
            </w:r>
          </w:p>
        </w:tc>
        <w:tc>
          <w:tcPr>
            <w:tcW w:w="1701" w:type="dxa"/>
            <w:tcBorders>
              <w:top w:val="single" w:sz="4" w:space="0" w:color="auto"/>
              <w:left w:val="single" w:sz="4" w:space="0" w:color="auto"/>
              <w:bottom w:val="single" w:sz="4" w:space="0" w:color="auto"/>
              <w:right w:val="single" w:sz="4" w:space="0" w:color="auto"/>
            </w:tcBorders>
          </w:tcPr>
          <w:p w14:paraId="36680249" w14:textId="77777777" w:rsidR="00A052DC" w:rsidRDefault="009F0A60">
            <w:pPr>
              <w:pStyle w:val="B"/>
              <w:rPr>
                <w:szCs w:val="20"/>
              </w:rPr>
            </w:pPr>
            <w:r>
              <w:rPr>
                <w:rFonts w:hint="eastAsia"/>
                <w:szCs w:val="20"/>
              </w:rPr>
              <w:t>起息日</w:t>
            </w:r>
          </w:p>
        </w:tc>
        <w:tc>
          <w:tcPr>
            <w:tcW w:w="1417" w:type="dxa"/>
            <w:tcBorders>
              <w:top w:val="single" w:sz="4" w:space="0" w:color="auto"/>
              <w:left w:val="single" w:sz="4" w:space="0" w:color="auto"/>
              <w:bottom w:val="single" w:sz="4" w:space="0" w:color="auto"/>
              <w:right w:val="single" w:sz="4" w:space="0" w:color="auto"/>
            </w:tcBorders>
          </w:tcPr>
          <w:p w14:paraId="4F2C6E8E" w14:textId="77777777" w:rsidR="00A052DC" w:rsidRDefault="009F0A60">
            <w:pPr>
              <w:pStyle w:val="B"/>
              <w:rPr>
                <w:szCs w:val="20"/>
              </w:rPr>
            </w:pPr>
            <w:r>
              <w:rPr>
                <w:rFonts w:hint="eastAsia"/>
                <w:szCs w:val="20"/>
              </w:rPr>
              <w:t>日期型，</w:t>
            </w:r>
            <w:r>
              <w:rPr>
                <w:szCs w:val="20"/>
              </w:rPr>
              <w:t>8</w:t>
            </w:r>
          </w:p>
        </w:tc>
        <w:tc>
          <w:tcPr>
            <w:tcW w:w="3686" w:type="dxa"/>
            <w:tcBorders>
              <w:top w:val="single" w:sz="4" w:space="0" w:color="auto"/>
              <w:left w:val="single" w:sz="4" w:space="0" w:color="auto"/>
              <w:bottom w:val="single" w:sz="4" w:space="0" w:color="auto"/>
              <w:right w:val="single" w:sz="4" w:space="0" w:color="auto"/>
            </w:tcBorders>
          </w:tcPr>
          <w:p w14:paraId="769A14B9" w14:textId="77777777" w:rsidR="00A052DC" w:rsidRDefault="009F0A60" w:rsidP="000E18F5">
            <w:pPr>
              <w:pStyle w:val="B"/>
              <w:rPr>
                <w:szCs w:val="20"/>
              </w:rPr>
            </w:pPr>
            <w:r>
              <w:rPr>
                <w:rFonts w:hint="eastAsia"/>
                <w:szCs w:val="20"/>
              </w:rPr>
              <w:t>必填项，格式</w:t>
            </w:r>
            <w:r>
              <w:rPr>
                <w:szCs w:val="20"/>
              </w:rPr>
              <w:t>YYYYMMDD</w:t>
            </w:r>
            <w:r>
              <w:rPr>
                <w:rFonts w:hint="eastAsia"/>
                <w:szCs w:val="20"/>
              </w:rPr>
              <w:t>。</w:t>
            </w:r>
          </w:p>
        </w:tc>
      </w:tr>
      <w:tr w:rsidR="00A052DC" w14:paraId="39E26AF0" w14:textId="77777777">
        <w:trPr>
          <w:cantSplit/>
          <w:trHeight w:val="64"/>
        </w:trPr>
        <w:tc>
          <w:tcPr>
            <w:tcW w:w="1702" w:type="dxa"/>
          </w:tcPr>
          <w:p w14:paraId="5188868B" w14:textId="77777777" w:rsidR="00A052DC" w:rsidRDefault="009F0A60">
            <w:pPr>
              <w:pStyle w:val="B"/>
              <w:rPr>
                <w:szCs w:val="20"/>
              </w:rPr>
            </w:pPr>
            <w:r>
              <w:rPr>
                <w:szCs w:val="20"/>
              </w:rPr>
              <w:t>CONTRACTCURR</w:t>
            </w:r>
          </w:p>
        </w:tc>
        <w:tc>
          <w:tcPr>
            <w:tcW w:w="1701" w:type="dxa"/>
          </w:tcPr>
          <w:p w14:paraId="7D9E512B" w14:textId="77777777" w:rsidR="00A052DC" w:rsidRDefault="009F0A60">
            <w:pPr>
              <w:pStyle w:val="B"/>
              <w:rPr>
                <w:szCs w:val="20"/>
              </w:rPr>
            </w:pPr>
            <w:r>
              <w:rPr>
                <w:rFonts w:hint="eastAsia"/>
                <w:szCs w:val="20"/>
              </w:rPr>
              <w:t>签约币种</w:t>
            </w:r>
          </w:p>
        </w:tc>
        <w:tc>
          <w:tcPr>
            <w:tcW w:w="1417" w:type="dxa"/>
          </w:tcPr>
          <w:p w14:paraId="3D9CD42F" w14:textId="77777777" w:rsidR="00A052DC" w:rsidRDefault="009F0A60">
            <w:pPr>
              <w:pStyle w:val="B"/>
              <w:rPr>
                <w:szCs w:val="20"/>
              </w:rPr>
            </w:pPr>
            <w:r>
              <w:rPr>
                <w:rFonts w:hint="eastAsia"/>
                <w:szCs w:val="20"/>
              </w:rPr>
              <w:t>字符型，</w:t>
            </w:r>
            <w:r>
              <w:rPr>
                <w:szCs w:val="20"/>
              </w:rPr>
              <w:t>3</w:t>
            </w:r>
          </w:p>
        </w:tc>
        <w:tc>
          <w:tcPr>
            <w:tcW w:w="3686" w:type="dxa"/>
          </w:tcPr>
          <w:p w14:paraId="4484E8C3" w14:textId="77777777" w:rsidR="00A052DC" w:rsidRDefault="009F0A60" w:rsidP="000E18F5">
            <w:pPr>
              <w:pStyle w:val="B"/>
              <w:rPr>
                <w:szCs w:val="20"/>
              </w:rPr>
            </w:pPr>
            <w:r>
              <w:rPr>
                <w:rFonts w:hint="eastAsia"/>
                <w:szCs w:val="20"/>
              </w:rPr>
              <w:t>必填项，见币种代码表。</w:t>
            </w:r>
          </w:p>
        </w:tc>
      </w:tr>
      <w:tr w:rsidR="00A052DC" w14:paraId="5D7746BB" w14:textId="77777777">
        <w:tc>
          <w:tcPr>
            <w:tcW w:w="1702" w:type="dxa"/>
          </w:tcPr>
          <w:p w14:paraId="3E2D5AD2" w14:textId="77777777" w:rsidR="00A052DC" w:rsidRDefault="009F0A60">
            <w:pPr>
              <w:pStyle w:val="B"/>
              <w:rPr>
                <w:szCs w:val="20"/>
              </w:rPr>
            </w:pPr>
            <w:r>
              <w:rPr>
                <w:szCs w:val="20"/>
              </w:rPr>
              <w:t>CONTRACTAMOUNT</w:t>
            </w:r>
          </w:p>
        </w:tc>
        <w:tc>
          <w:tcPr>
            <w:tcW w:w="1701" w:type="dxa"/>
          </w:tcPr>
          <w:p w14:paraId="6D01F7C3" w14:textId="77777777" w:rsidR="00A052DC" w:rsidRDefault="009F0A60">
            <w:pPr>
              <w:pStyle w:val="B"/>
              <w:rPr>
                <w:szCs w:val="20"/>
              </w:rPr>
            </w:pPr>
            <w:r>
              <w:rPr>
                <w:rFonts w:hint="eastAsia"/>
                <w:szCs w:val="20"/>
              </w:rPr>
              <w:t>签约金额</w:t>
            </w:r>
          </w:p>
        </w:tc>
        <w:tc>
          <w:tcPr>
            <w:tcW w:w="1417" w:type="dxa"/>
          </w:tcPr>
          <w:p w14:paraId="7F8AECFF" w14:textId="77777777" w:rsidR="00A052DC" w:rsidRDefault="009F0A60">
            <w:pPr>
              <w:pStyle w:val="B"/>
              <w:rPr>
                <w:szCs w:val="20"/>
              </w:rPr>
            </w:pPr>
            <w:r>
              <w:rPr>
                <w:rFonts w:hint="eastAsia"/>
                <w:szCs w:val="20"/>
              </w:rPr>
              <w:t>数值型，</w:t>
            </w:r>
            <w:r>
              <w:rPr>
                <w:szCs w:val="20"/>
              </w:rPr>
              <w:t>22.2</w:t>
            </w:r>
          </w:p>
        </w:tc>
        <w:tc>
          <w:tcPr>
            <w:tcW w:w="3686" w:type="dxa"/>
          </w:tcPr>
          <w:p w14:paraId="0FB2E7E7" w14:textId="77777777" w:rsidR="00A052DC" w:rsidRDefault="009F0A60">
            <w:pPr>
              <w:pStyle w:val="B"/>
              <w:rPr>
                <w:szCs w:val="20"/>
              </w:rPr>
            </w:pPr>
            <w:r>
              <w:rPr>
                <w:rFonts w:hint="eastAsia"/>
                <w:szCs w:val="20"/>
              </w:rPr>
              <w:t>必填项，大于等于</w:t>
            </w:r>
            <w:r>
              <w:rPr>
                <w:szCs w:val="20"/>
              </w:rPr>
              <w:t>0</w:t>
            </w:r>
            <w:r>
              <w:rPr>
                <w:rFonts w:hint="eastAsia"/>
                <w:szCs w:val="20"/>
              </w:rPr>
              <w:t>。</w:t>
            </w:r>
          </w:p>
        </w:tc>
      </w:tr>
      <w:tr w:rsidR="00A052DC" w14:paraId="6332936C" w14:textId="77777777">
        <w:tc>
          <w:tcPr>
            <w:tcW w:w="1702" w:type="dxa"/>
          </w:tcPr>
          <w:p w14:paraId="43E16E84" w14:textId="77777777" w:rsidR="00A052DC" w:rsidRDefault="009F0A60">
            <w:pPr>
              <w:pStyle w:val="B"/>
              <w:rPr>
                <w:szCs w:val="20"/>
              </w:rPr>
            </w:pPr>
            <w:r>
              <w:rPr>
                <w:szCs w:val="20"/>
              </w:rPr>
              <w:t>Maturity</w:t>
            </w:r>
          </w:p>
        </w:tc>
        <w:tc>
          <w:tcPr>
            <w:tcW w:w="1701" w:type="dxa"/>
          </w:tcPr>
          <w:p w14:paraId="3A599E16" w14:textId="77777777" w:rsidR="00A052DC" w:rsidRDefault="009F0A60">
            <w:pPr>
              <w:pStyle w:val="B"/>
              <w:rPr>
                <w:szCs w:val="20"/>
              </w:rPr>
            </w:pPr>
            <w:r>
              <w:rPr>
                <w:rFonts w:hint="eastAsia"/>
                <w:szCs w:val="20"/>
              </w:rPr>
              <w:t>到期日</w:t>
            </w:r>
          </w:p>
        </w:tc>
        <w:tc>
          <w:tcPr>
            <w:tcW w:w="1417" w:type="dxa"/>
          </w:tcPr>
          <w:p w14:paraId="1B128D8F" w14:textId="77777777" w:rsidR="00A052DC" w:rsidRDefault="009F0A60">
            <w:pPr>
              <w:pStyle w:val="B"/>
              <w:rPr>
                <w:szCs w:val="20"/>
              </w:rPr>
            </w:pPr>
            <w:r>
              <w:rPr>
                <w:rFonts w:hint="eastAsia"/>
                <w:szCs w:val="20"/>
              </w:rPr>
              <w:t>日期型，</w:t>
            </w:r>
            <w:r>
              <w:rPr>
                <w:szCs w:val="20"/>
              </w:rPr>
              <w:t>8</w:t>
            </w:r>
          </w:p>
        </w:tc>
        <w:tc>
          <w:tcPr>
            <w:tcW w:w="3686" w:type="dxa"/>
          </w:tcPr>
          <w:p w14:paraId="31CD5914" w14:textId="77777777" w:rsidR="00A052DC" w:rsidRDefault="009F0A60">
            <w:pPr>
              <w:pStyle w:val="B"/>
              <w:rPr>
                <w:szCs w:val="20"/>
              </w:rPr>
            </w:pPr>
            <w:r>
              <w:rPr>
                <w:rFonts w:hint="eastAsia"/>
                <w:szCs w:val="20"/>
              </w:rPr>
              <w:t>必填项，</w:t>
            </w:r>
          </w:p>
          <w:p w14:paraId="2DDF1B99" w14:textId="77777777" w:rsidR="00A052DC" w:rsidRDefault="009F0A60">
            <w:pPr>
              <w:pStyle w:val="B"/>
              <w:rPr>
                <w:szCs w:val="20"/>
              </w:rPr>
            </w:pPr>
            <w:r>
              <w:rPr>
                <w:rFonts w:hint="eastAsia"/>
                <w:szCs w:val="20"/>
              </w:rPr>
              <w:t>格式</w:t>
            </w:r>
            <w:r>
              <w:rPr>
                <w:szCs w:val="20"/>
              </w:rPr>
              <w:t>YYYYMMDD</w:t>
            </w:r>
            <w:r>
              <w:rPr>
                <w:rFonts w:hint="eastAsia"/>
                <w:szCs w:val="20"/>
              </w:rPr>
              <w:t>，大于等于起息日。</w:t>
            </w:r>
          </w:p>
        </w:tc>
      </w:tr>
      <w:tr w:rsidR="00A052DC" w14:paraId="331612BC" w14:textId="77777777">
        <w:tc>
          <w:tcPr>
            <w:tcW w:w="1702" w:type="dxa"/>
          </w:tcPr>
          <w:p w14:paraId="264E8415" w14:textId="77777777" w:rsidR="00A052DC" w:rsidRDefault="009F0A60">
            <w:pPr>
              <w:pStyle w:val="B"/>
              <w:rPr>
                <w:szCs w:val="20"/>
              </w:rPr>
            </w:pPr>
            <w:r>
              <w:rPr>
                <w:szCs w:val="20"/>
              </w:rPr>
              <w:t>FLOATRATE</w:t>
            </w:r>
          </w:p>
        </w:tc>
        <w:tc>
          <w:tcPr>
            <w:tcW w:w="1701" w:type="dxa"/>
          </w:tcPr>
          <w:p w14:paraId="2D2DD80C" w14:textId="77777777" w:rsidR="00A052DC" w:rsidRDefault="009F0A60">
            <w:pPr>
              <w:pStyle w:val="B"/>
              <w:rPr>
                <w:szCs w:val="20"/>
              </w:rPr>
            </w:pPr>
            <w:r>
              <w:rPr>
                <w:rFonts w:hint="eastAsia"/>
                <w:szCs w:val="20"/>
              </w:rPr>
              <w:t>是否浮动利率</w:t>
            </w:r>
          </w:p>
        </w:tc>
        <w:tc>
          <w:tcPr>
            <w:tcW w:w="1417" w:type="dxa"/>
          </w:tcPr>
          <w:p w14:paraId="52C60399" w14:textId="77777777" w:rsidR="00A052DC" w:rsidRDefault="009F0A60">
            <w:pPr>
              <w:pStyle w:val="B"/>
              <w:rPr>
                <w:szCs w:val="20"/>
              </w:rPr>
            </w:pPr>
            <w:r>
              <w:rPr>
                <w:rFonts w:hint="eastAsia"/>
                <w:szCs w:val="20"/>
              </w:rPr>
              <w:t>字符型，</w:t>
            </w:r>
            <w:r>
              <w:rPr>
                <w:szCs w:val="20"/>
              </w:rPr>
              <w:t>1</w:t>
            </w:r>
          </w:p>
        </w:tc>
        <w:tc>
          <w:tcPr>
            <w:tcW w:w="3686" w:type="dxa"/>
          </w:tcPr>
          <w:p w14:paraId="1184EA1D" w14:textId="77777777" w:rsidR="00A052DC" w:rsidRDefault="009F0A60">
            <w:pPr>
              <w:pStyle w:val="B"/>
              <w:rPr>
                <w:szCs w:val="20"/>
              </w:rPr>
            </w:pPr>
            <w:r>
              <w:rPr>
                <w:rFonts w:hint="eastAsia"/>
                <w:szCs w:val="20"/>
              </w:rPr>
              <w:t>必填项，是</w:t>
            </w:r>
            <w:r>
              <w:rPr>
                <w:szCs w:val="20"/>
              </w:rPr>
              <w:t>-Y</w:t>
            </w:r>
            <w:r>
              <w:rPr>
                <w:rFonts w:hint="eastAsia"/>
                <w:szCs w:val="20"/>
              </w:rPr>
              <w:t>，否</w:t>
            </w:r>
            <w:r>
              <w:rPr>
                <w:szCs w:val="20"/>
              </w:rPr>
              <w:t>-N</w:t>
            </w:r>
            <w:r>
              <w:rPr>
                <w:rFonts w:hint="eastAsia"/>
                <w:szCs w:val="20"/>
              </w:rPr>
              <w:t>，默认为否，填写</w:t>
            </w:r>
            <w:r>
              <w:rPr>
                <w:szCs w:val="20"/>
              </w:rPr>
              <w:t>N</w:t>
            </w:r>
            <w:r>
              <w:rPr>
                <w:rFonts w:hint="eastAsia"/>
                <w:szCs w:val="20"/>
              </w:rPr>
              <w:t>。</w:t>
            </w:r>
          </w:p>
        </w:tc>
      </w:tr>
      <w:tr w:rsidR="00A052DC" w14:paraId="754598E3" w14:textId="77777777">
        <w:tc>
          <w:tcPr>
            <w:tcW w:w="1702" w:type="dxa"/>
          </w:tcPr>
          <w:p w14:paraId="70D9729D" w14:textId="77777777" w:rsidR="00A052DC" w:rsidRDefault="009F0A60">
            <w:pPr>
              <w:pStyle w:val="B"/>
              <w:rPr>
                <w:szCs w:val="20"/>
              </w:rPr>
            </w:pPr>
            <w:r>
              <w:rPr>
                <w:szCs w:val="20"/>
              </w:rPr>
              <w:t>ANNINRATE</w:t>
            </w:r>
          </w:p>
        </w:tc>
        <w:tc>
          <w:tcPr>
            <w:tcW w:w="1701" w:type="dxa"/>
          </w:tcPr>
          <w:p w14:paraId="610ED357" w14:textId="77777777" w:rsidR="00A052DC" w:rsidRDefault="009F0A60">
            <w:pPr>
              <w:pStyle w:val="B"/>
              <w:rPr>
                <w:szCs w:val="20"/>
              </w:rPr>
            </w:pPr>
            <w:r>
              <w:rPr>
                <w:rFonts w:hint="eastAsia"/>
                <w:szCs w:val="20"/>
              </w:rPr>
              <w:t>年化利率值</w:t>
            </w:r>
          </w:p>
        </w:tc>
        <w:tc>
          <w:tcPr>
            <w:tcW w:w="1417" w:type="dxa"/>
          </w:tcPr>
          <w:p w14:paraId="10CE9670" w14:textId="77777777" w:rsidR="00A052DC" w:rsidRDefault="009F0A60">
            <w:pPr>
              <w:pStyle w:val="B"/>
              <w:rPr>
                <w:szCs w:val="20"/>
              </w:rPr>
            </w:pPr>
            <w:r>
              <w:rPr>
                <w:rFonts w:hint="eastAsia"/>
                <w:szCs w:val="20"/>
              </w:rPr>
              <w:t>数值型，</w:t>
            </w:r>
            <w:r>
              <w:rPr>
                <w:szCs w:val="20"/>
              </w:rPr>
              <w:t>13.8</w:t>
            </w:r>
          </w:p>
        </w:tc>
        <w:tc>
          <w:tcPr>
            <w:tcW w:w="3686" w:type="dxa"/>
          </w:tcPr>
          <w:p w14:paraId="606DF464" w14:textId="77777777" w:rsidR="00A052DC" w:rsidRDefault="009F0A60" w:rsidP="000E18F5">
            <w:pPr>
              <w:pStyle w:val="B"/>
              <w:rPr>
                <w:szCs w:val="20"/>
              </w:rPr>
            </w:pPr>
            <w:r>
              <w:rPr>
                <w:rFonts w:hint="eastAsia"/>
                <w:szCs w:val="20"/>
              </w:rPr>
              <w:t>必填项，大于等于</w:t>
            </w:r>
            <w:r>
              <w:rPr>
                <w:szCs w:val="20"/>
              </w:rPr>
              <w:t>0</w:t>
            </w:r>
            <w:r>
              <w:rPr>
                <w:rFonts w:hint="eastAsia"/>
                <w:szCs w:val="20"/>
              </w:rPr>
              <w:t>，按小数填写</w:t>
            </w:r>
            <w:r w:rsidR="000E18F5">
              <w:rPr>
                <w:rFonts w:hint="eastAsia"/>
                <w:szCs w:val="20"/>
              </w:rPr>
              <w:t>。</w:t>
            </w:r>
            <w:r>
              <w:rPr>
                <w:rFonts w:hint="eastAsia"/>
                <w:szCs w:val="20"/>
              </w:rPr>
              <w:t>如利率为</w:t>
            </w:r>
            <w:r>
              <w:rPr>
                <w:szCs w:val="20"/>
              </w:rPr>
              <w:t>3.21%</w:t>
            </w:r>
            <w:r>
              <w:rPr>
                <w:rFonts w:hint="eastAsia"/>
                <w:szCs w:val="20"/>
              </w:rPr>
              <w:t>，则填写</w:t>
            </w:r>
            <w:r>
              <w:rPr>
                <w:szCs w:val="20"/>
              </w:rPr>
              <w:t>0.0321</w:t>
            </w:r>
            <w:r>
              <w:rPr>
                <w:rFonts w:hint="eastAsia"/>
                <w:szCs w:val="20"/>
              </w:rPr>
              <w:t>。</w:t>
            </w:r>
          </w:p>
        </w:tc>
      </w:tr>
      <w:tr w:rsidR="00A052DC" w14:paraId="5C66CA74" w14:textId="77777777">
        <w:tc>
          <w:tcPr>
            <w:tcW w:w="1702" w:type="dxa"/>
          </w:tcPr>
          <w:p w14:paraId="0A072046" w14:textId="77777777" w:rsidR="00A052DC" w:rsidRDefault="009F0A60">
            <w:pPr>
              <w:pStyle w:val="B"/>
              <w:rPr>
                <w:szCs w:val="20"/>
              </w:rPr>
            </w:pPr>
            <w:r>
              <w:rPr>
                <w:szCs w:val="20"/>
              </w:rPr>
              <w:t>CREDITORCODE</w:t>
            </w:r>
          </w:p>
        </w:tc>
        <w:tc>
          <w:tcPr>
            <w:tcW w:w="1701" w:type="dxa"/>
          </w:tcPr>
          <w:p w14:paraId="4E6DCECF" w14:textId="77777777" w:rsidR="00A052DC" w:rsidRDefault="009F0A60">
            <w:pPr>
              <w:pStyle w:val="B"/>
              <w:rPr>
                <w:szCs w:val="20"/>
              </w:rPr>
            </w:pPr>
            <w:r>
              <w:rPr>
                <w:rFonts w:hint="eastAsia"/>
                <w:szCs w:val="20"/>
              </w:rPr>
              <w:t>债权人代码</w:t>
            </w:r>
          </w:p>
        </w:tc>
        <w:tc>
          <w:tcPr>
            <w:tcW w:w="1417" w:type="dxa"/>
          </w:tcPr>
          <w:p w14:paraId="65A3A992" w14:textId="77777777" w:rsidR="00A052DC" w:rsidRDefault="009F0A60">
            <w:pPr>
              <w:pStyle w:val="B"/>
              <w:rPr>
                <w:szCs w:val="20"/>
              </w:rPr>
            </w:pPr>
            <w:r>
              <w:rPr>
                <w:rFonts w:hint="eastAsia"/>
                <w:szCs w:val="20"/>
              </w:rPr>
              <w:t>字符型，</w:t>
            </w:r>
            <w:r>
              <w:rPr>
                <w:szCs w:val="20"/>
              </w:rPr>
              <w:t>11</w:t>
            </w:r>
          </w:p>
        </w:tc>
        <w:tc>
          <w:tcPr>
            <w:tcW w:w="3686" w:type="dxa"/>
          </w:tcPr>
          <w:p w14:paraId="52AD4617" w14:textId="77777777" w:rsidR="00A052DC" w:rsidRDefault="009F0A60">
            <w:pPr>
              <w:pStyle w:val="B"/>
              <w:rPr>
                <w:szCs w:val="20"/>
              </w:rPr>
            </w:pPr>
            <w:r>
              <w:rPr>
                <w:rFonts w:hint="eastAsia"/>
                <w:szCs w:val="20"/>
              </w:rPr>
              <w:t>非必填项。</w:t>
            </w:r>
          </w:p>
        </w:tc>
      </w:tr>
      <w:tr w:rsidR="00A052DC" w14:paraId="184D648E" w14:textId="77777777">
        <w:tc>
          <w:tcPr>
            <w:tcW w:w="1702" w:type="dxa"/>
          </w:tcPr>
          <w:p w14:paraId="6E71A5C5" w14:textId="77777777" w:rsidR="00A052DC" w:rsidRDefault="009F0A60">
            <w:pPr>
              <w:pStyle w:val="B"/>
              <w:rPr>
                <w:szCs w:val="20"/>
              </w:rPr>
            </w:pPr>
            <w:r>
              <w:rPr>
                <w:szCs w:val="20"/>
              </w:rPr>
              <w:t>CREDITORNAME</w:t>
            </w:r>
          </w:p>
        </w:tc>
        <w:tc>
          <w:tcPr>
            <w:tcW w:w="1701" w:type="dxa"/>
          </w:tcPr>
          <w:p w14:paraId="18F16A69" w14:textId="77777777" w:rsidR="00A052DC" w:rsidRDefault="009F0A60">
            <w:pPr>
              <w:pStyle w:val="B"/>
              <w:rPr>
                <w:szCs w:val="20"/>
              </w:rPr>
            </w:pPr>
            <w:r>
              <w:rPr>
                <w:rFonts w:hint="eastAsia"/>
                <w:szCs w:val="20"/>
              </w:rPr>
              <w:t>债权人中文名称</w:t>
            </w:r>
          </w:p>
        </w:tc>
        <w:tc>
          <w:tcPr>
            <w:tcW w:w="1417" w:type="dxa"/>
          </w:tcPr>
          <w:p w14:paraId="008BEABB" w14:textId="77777777" w:rsidR="00A052DC" w:rsidRDefault="009F0A60">
            <w:pPr>
              <w:pStyle w:val="B"/>
              <w:rPr>
                <w:szCs w:val="20"/>
              </w:rPr>
            </w:pPr>
            <w:r>
              <w:rPr>
                <w:rFonts w:hint="eastAsia"/>
                <w:szCs w:val="20"/>
              </w:rPr>
              <w:t>字符型，</w:t>
            </w:r>
            <w:r>
              <w:rPr>
                <w:szCs w:val="20"/>
              </w:rPr>
              <w:t>128</w:t>
            </w:r>
          </w:p>
        </w:tc>
        <w:tc>
          <w:tcPr>
            <w:tcW w:w="3686" w:type="dxa"/>
          </w:tcPr>
          <w:p w14:paraId="12B8BE56" w14:textId="77777777" w:rsidR="00A052DC" w:rsidRDefault="009F0A60">
            <w:pPr>
              <w:pStyle w:val="B"/>
              <w:rPr>
                <w:szCs w:val="20"/>
              </w:rPr>
            </w:pPr>
            <w:r>
              <w:rPr>
                <w:rFonts w:hint="eastAsia"/>
                <w:szCs w:val="20"/>
              </w:rPr>
              <w:t>非必填项，</w:t>
            </w:r>
          </w:p>
          <w:p w14:paraId="546A97C6" w14:textId="77777777" w:rsidR="00A052DC" w:rsidRDefault="009F0A60">
            <w:pPr>
              <w:pStyle w:val="B"/>
              <w:rPr>
                <w:szCs w:val="20"/>
              </w:rPr>
            </w:pPr>
            <w:r>
              <w:rPr>
                <w:rFonts w:hint="eastAsia"/>
                <w:szCs w:val="20"/>
              </w:rPr>
              <w:t>债权人中文名称和债权人英文名称至少填写一个。</w:t>
            </w:r>
          </w:p>
        </w:tc>
      </w:tr>
      <w:tr w:rsidR="00A052DC" w14:paraId="530BA208" w14:textId="77777777">
        <w:tc>
          <w:tcPr>
            <w:tcW w:w="1702" w:type="dxa"/>
          </w:tcPr>
          <w:p w14:paraId="6C1760AB" w14:textId="77777777" w:rsidR="00A052DC" w:rsidRDefault="009F0A60">
            <w:pPr>
              <w:pStyle w:val="B"/>
              <w:rPr>
                <w:szCs w:val="20"/>
              </w:rPr>
            </w:pPr>
            <w:r>
              <w:rPr>
                <w:szCs w:val="20"/>
              </w:rPr>
              <w:t>CREDITORNAMEN</w:t>
            </w:r>
          </w:p>
        </w:tc>
        <w:tc>
          <w:tcPr>
            <w:tcW w:w="1701" w:type="dxa"/>
          </w:tcPr>
          <w:p w14:paraId="57E46C17" w14:textId="77777777" w:rsidR="00A052DC" w:rsidRDefault="009F0A60">
            <w:pPr>
              <w:pStyle w:val="B"/>
              <w:rPr>
                <w:szCs w:val="20"/>
              </w:rPr>
            </w:pPr>
            <w:r>
              <w:rPr>
                <w:rFonts w:hint="eastAsia"/>
                <w:szCs w:val="20"/>
              </w:rPr>
              <w:t>债权人英文名称</w:t>
            </w:r>
          </w:p>
        </w:tc>
        <w:tc>
          <w:tcPr>
            <w:tcW w:w="1417" w:type="dxa"/>
          </w:tcPr>
          <w:p w14:paraId="7113A4D0" w14:textId="77777777" w:rsidR="00A052DC" w:rsidRDefault="009F0A60">
            <w:pPr>
              <w:pStyle w:val="B"/>
              <w:rPr>
                <w:szCs w:val="20"/>
              </w:rPr>
            </w:pPr>
            <w:r>
              <w:rPr>
                <w:rFonts w:hint="eastAsia"/>
                <w:szCs w:val="20"/>
              </w:rPr>
              <w:t>字符型，</w:t>
            </w:r>
            <w:r>
              <w:rPr>
                <w:szCs w:val="20"/>
              </w:rPr>
              <w:t>128</w:t>
            </w:r>
          </w:p>
        </w:tc>
        <w:tc>
          <w:tcPr>
            <w:tcW w:w="3686" w:type="dxa"/>
          </w:tcPr>
          <w:p w14:paraId="19A6C670" w14:textId="77777777" w:rsidR="00A052DC" w:rsidRDefault="009F0A60">
            <w:pPr>
              <w:pStyle w:val="B"/>
              <w:rPr>
                <w:szCs w:val="20"/>
              </w:rPr>
            </w:pPr>
            <w:r>
              <w:rPr>
                <w:rFonts w:hint="eastAsia"/>
                <w:szCs w:val="20"/>
              </w:rPr>
              <w:t>非必填项，</w:t>
            </w:r>
          </w:p>
          <w:p w14:paraId="2E17685E" w14:textId="77777777" w:rsidR="00A052DC" w:rsidRDefault="009F0A60">
            <w:pPr>
              <w:pStyle w:val="B"/>
              <w:rPr>
                <w:szCs w:val="20"/>
              </w:rPr>
            </w:pPr>
            <w:r>
              <w:rPr>
                <w:rFonts w:hint="eastAsia"/>
                <w:szCs w:val="20"/>
              </w:rPr>
              <w:t>债权人中文名称和债权人英文名称至少填写一个。</w:t>
            </w:r>
          </w:p>
        </w:tc>
      </w:tr>
      <w:tr w:rsidR="00A052DC" w14:paraId="4A6669CF" w14:textId="77777777">
        <w:tc>
          <w:tcPr>
            <w:tcW w:w="1702" w:type="dxa"/>
          </w:tcPr>
          <w:p w14:paraId="0053FC7B" w14:textId="77777777" w:rsidR="00A052DC" w:rsidRDefault="009F0A60">
            <w:pPr>
              <w:pStyle w:val="B"/>
              <w:rPr>
                <w:szCs w:val="20"/>
              </w:rPr>
            </w:pPr>
            <w:r>
              <w:rPr>
                <w:szCs w:val="20"/>
              </w:rPr>
              <w:t>CREDITORTYPE</w:t>
            </w:r>
          </w:p>
        </w:tc>
        <w:tc>
          <w:tcPr>
            <w:tcW w:w="1701" w:type="dxa"/>
          </w:tcPr>
          <w:p w14:paraId="3109998E" w14:textId="77777777" w:rsidR="00A052DC" w:rsidRDefault="009F0A60">
            <w:pPr>
              <w:pStyle w:val="B"/>
              <w:rPr>
                <w:szCs w:val="20"/>
              </w:rPr>
            </w:pPr>
            <w:r>
              <w:rPr>
                <w:rFonts w:hint="eastAsia"/>
                <w:szCs w:val="20"/>
              </w:rPr>
              <w:t>债权人类型代码</w:t>
            </w:r>
          </w:p>
        </w:tc>
        <w:tc>
          <w:tcPr>
            <w:tcW w:w="1417" w:type="dxa"/>
          </w:tcPr>
          <w:p w14:paraId="5854B022" w14:textId="77777777" w:rsidR="00A052DC" w:rsidRDefault="009F0A60">
            <w:pPr>
              <w:pStyle w:val="B"/>
              <w:rPr>
                <w:szCs w:val="20"/>
              </w:rPr>
            </w:pPr>
            <w:r>
              <w:rPr>
                <w:rFonts w:hint="eastAsia"/>
                <w:szCs w:val="20"/>
              </w:rPr>
              <w:t>字符型，</w:t>
            </w:r>
            <w:r>
              <w:rPr>
                <w:szCs w:val="20"/>
              </w:rPr>
              <w:t>8</w:t>
            </w:r>
          </w:p>
        </w:tc>
        <w:tc>
          <w:tcPr>
            <w:tcW w:w="3686" w:type="dxa"/>
          </w:tcPr>
          <w:p w14:paraId="43F5DE85" w14:textId="77777777" w:rsidR="00A052DC" w:rsidRDefault="009F0A60">
            <w:pPr>
              <w:pStyle w:val="B"/>
              <w:rPr>
                <w:szCs w:val="20"/>
              </w:rPr>
            </w:pPr>
            <w:r>
              <w:rPr>
                <w:rFonts w:hint="eastAsia"/>
                <w:szCs w:val="20"/>
              </w:rPr>
              <w:t>必填项，见境外主体类型代码表。</w:t>
            </w:r>
          </w:p>
        </w:tc>
      </w:tr>
      <w:tr w:rsidR="00A052DC" w14:paraId="171A2777" w14:textId="77777777">
        <w:tc>
          <w:tcPr>
            <w:tcW w:w="1702" w:type="dxa"/>
          </w:tcPr>
          <w:p w14:paraId="55F60DB4" w14:textId="77777777" w:rsidR="00A052DC" w:rsidRDefault="009F0A60">
            <w:pPr>
              <w:pStyle w:val="B"/>
              <w:rPr>
                <w:szCs w:val="20"/>
              </w:rPr>
            </w:pPr>
            <w:r>
              <w:rPr>
                <w:szCs w:val="20"/>
              </w:rPr>
              <w:t>CREHQCODE</w:t>
            </w:r>
          </w:p>
        </w:tc>
        <w:tc>
          <w:tcPr>
            <w:tcW w:w="1701" w:type="dxa"/>
          </w:tcPr>
          <w:p w14:paraId="5B78949F" w14:textId="77777777" w:rsidR="00A052DC" w:rsidRDefault="009F0A60">
            <w:pPr>
              <w:pStyle w:val="B"/>
              <w:rPr>
                <w:szCs w:val="20"/>
              </w:rPr>
            </w:pPr>
            <w:r>
              <w:rPr>
                <w:rFonts w:hint="eastAsia"/>
                <w:szCs w:val="20"/>
              </w:rPr>
              <w:t>债权人总部所在国家（地区）代码</w:t>
            </w:r>
          </w:p>
        </w:tc>
        <w:tc>
          <w:tcPr>
            <w:tcW w:w="1417" w:type="dxa"/>
          </w:tcPr>
          <w:p w14:paraId="3BEA769F" w14:textId="77777777" w:rsidR="00A052DC" w:rsidRDefault="009F0A60">
            <w:pPr>
              <w:pStyle w:val="B"/>
              <w:rPr>
                <w:szCs w:val="20"/>
              </w:rPr>
            </w:pPr>
            <w:r>
              <w:rPr>
                <w:rFonts w:hint="eastAsia"/>
                <w:szCs w:val="20"/>
              </w:rPr>
              <w:t>字符型，</w:t>
            </w:r>
            <w:r>
              <w:rPr>
                <w:szCs w:val="20"/>
              </w:rPr>
              <w:t>3</w:t>
            </w:r>
          </w:p>
        </w:tc>
        <w:tc>
          <w:tcPr>
            <w:tcW w:w="3686" w:type="dxa"/>
          </w:tcPr>
          <w:p w14:paraId="2CD589F4" w14:textId="77777777" w:rsidR="00A052DC" w:rsidRDefault="009F0A60">
            <w:pPr>
              <w:pStyle w:val="B"/>
              <w:rPr>
                <w:szCs w:val="20"/>
              </w:rPr>
            </w:pPr>
            <w:r>
              <w:rPr>
                <w:rFonts w:hint="eastAsia"/>
                <w:szCs w:val="20"/>
              </w:rPr>
              <w:t>必填项，见国家和地区代码表。</w:t>
            </w:r>
          </w:p>
        </w:tc>
      </w:tr>
      <w:tr w:rsidR="00A052DC" w14:paraId="395446E3" w14:textId="77777777">
        <w:tc>
          <w:tcPr>
            <w:tcW w:w="1702" w:type="dxa"/>
          </w:tcPr>
          <w:p w14:paraId="6168C131" w14:textId="77777777" w:rsidR="00A052DC" w:rsidRDefault="009F0A60">
            <w:pPr>
              <w:pStyle w:val="B"/>
              <w:rPr>
                <w:szCs w:val="20"/>
              </w:rPr>
            </w:pPr>
            <w:r>
              <w:rPr>
                <w:szCs w:val="20"/>
              </w:rPr>
              <w:t>OPERCODE</w:t>
            </w:r>
          </w:p>
        </w:tc>
        <w:tc>
          <w:tcPr>
            <w:tcW w:w="1701" w:type="dxa"/>
          </w:tcPr>
          <w:p w14:paraId="0AC86127" w14:textId="77777777" w:rsidR="00A052DC" w:rsidRDefault="009F0A60">
            <w:pPr>
              <w:pStyle w:val="B"/>
              <w:rPr>
                <w:szCs w:val="20"/>
              </w:rPr>
            </w:pPr>
            <w:r>
              <w:rPr>
                <w:rFonts w:hint="eastAsia"/>
                <w:szCs w:val="20"/>
              </w:rPr>
              <w:t>债权人经营地所在国家（地区）代码</w:t>
            </w:r>
          </w:p>
        </w:tc>
        <w:tc>
          <w:tcPr>
            <w:tcW w:w="1417" w:type="dxa"/>
          </w:tcPr>
          <w:p w14:paraId="4443BB4E" w14:textId="77777777" w:rsidR="00A052DC" w:rsidRDefault="009F0A60">
            <w:pPr>
              <w:pStyle w:val="B"/>
              <w:rPr>
                <w:szCs w:val="20"/>
              </w:rPr>
            </w:pPr>
            <w:r>
              <w:rPr>
                <w:rFonts w:hint="eastAsia"/>
                <w:szCs w:val="20"/>
              </w:rPr>
              <w:t>字符型，</w:t>
            </w:r>
            <w:r>
              <w:rPr>
                <w:szCs w:val="20"/>
              </w:rPr>
              <w:t>3</w:t>
            </w:r>
          </w:p>
        </w:tc>
        <w:tc>
          <w:tcPr>
            <w:tcW w:w="3686" w:type="dxa"/>
          </w:tcPr>
          <w:p w14:paraId="75758AA1" w14:textId="77777777" w:rsidR="00A052DC" w:rsidRDefault="009F0A60">
            <w:pPr>
              <w:pStyle w:val="B"/>
              <w:rPr>
                <w:szCs w:val="20"/>
              </w:rPr>
            </w:pPr>
            <w:r>
              <w:rPr>
                <w:rFonts w:hint="eastAsia"/>
                <w:szCs w:val="20"/>
              </w:rPr>
              <w:t>必填项，见国家和地区代码表。当债权人类型代码不为“境内银行离岸部（20001403）”时,不能为中国CHN。</w:t>
            </w:r>
          </w:p>
        </w:tc>
      </w:tr>
      <w:tr w:rsidR="00A052DC" w14:paraId="5031FCC7" w14:textId="77777777">
        <w:tc>
          <w:tcPr>
            <w:tcW w:w="1702" w:type="dxa"/>
          </w:tcPr>
          <w:p w14:paraId="71304ACD" w14:textId="77777777" w:rsidR="00A052DC" w:rsidRDefault="009F0A60">
            <w:pPr>
              <w:pStyle w:val="B"/>
              <w:rPr>
                <w:szCs w:val="20"/>
              </w:rPr>
            </w:pPr>
            <w:r>
              <w:rPr>
                <w:szCs w:val="20"/>
              </w:rPr>
              <w:t>APPCODE</w:t>
            </w:r>
          </w:p>
        </w:tc>
        <w:tc>
          <w:tcPr>
            <w:tcW w:w="1701" w:type="dxa"/>
          </w:tcPr>
          <w:p w14:paraId="64B2A098" w14:textId="77777777" w:rsidR="00A052DC" w:rsidRDefault="009F0A60">
            <w:pPr>
              <w:pStyle w:val="B"/>
              <w:rPr>
                <w:szCs w:val="20"/>
              </w:rPr>
            </w:pPr>
            <w:r>
              <w:rPr>
                <w:rFonts w:hint="eastAsia"/>
                <w:szCs w:val="20"/>
              </w:rPr>
              <w:t>申请人代码</w:t>
            </w:r>
          </w:p>
        </w:tc>
        <w:tc>
          <w:tcPr>
            <w:tcW w:w="1417" w:type="dxa"/>
          </w:tcPr>
          <w:p w14:paraId="33C7C674" w14:textId="77777777" w:rsidR="00A052DC" w:rsidRDefault="009F0A60">
            <w:pPr>
              <w:pStyle w:val="B"/>
              <w:rPr>
                <w:szCs w:val="20"/>
              </w:rPr>
            </w:pPr>
            <w:r>
              <w:rPr>
                <w:rFonts w:hint="eastAsia"/>
                <w:szCs w:val="20"/>
              </w:rPr>
              <w:t>字符型，</w:t>
            </w:r>
            <w:r>
              <w:rPr>
                <w:szCs w:val="20"/>
              </w:rPr>
              <w:t>18</w:t>
            </w:r>
          </w:p>
        </w:tc>
        <w:tc>
          <w:tcPr>
            <w:tcW w:w="3686" w:type="dxa"/>
          </w:tcPr>
          <w:p w14:paraId="121524D0" w14:textId="77777777" w:rsidR="00A052DC" w:rsidRDefault="009F0A60">
            <w:pPr>
              <w:pStyle w:val="B"/>
              <w:rPr>
                <w:szCs w:val="20"/>
              </w:rPr>
            </w:pPr>
            <w:r>
              <w:rPr>
                <w:rFonts w:hint="eastAsia"/>
                <w:szCs w:val="20"/>
              </w:rPr>
              <w:t>非必填项，指统一社会信用代码法定载体（如营业执照）上统一社会信用代码中的第9至17位、国家外汇管理局及其分支局签发的特殊机构代码赋码通知书上的机构代码或个人身份证号码。</w:t>
            </w:r>
          </w:p>
        </w:tc>
      </w:tr>
      <w:tr w:rsidR="00A052DC" w14:paraId="48CF4719" w14:textId="77777777">
        <w:tc>
          <w:tcPr>
            <w:tcW w:w="1702" w:type="dxa"/>
          </w:tcPr>
          <w:p w14:paraId="28BB477E" w14:textId="77777777" w:rsidR="00A052DC" w:rsidRDefault="009F0A60">
            <w:pPr>
              <w:pStyle w:val="B"/>
              <w:rPr>
                <w:szCs w:val="20"/>
              </w:rPr>
            </w:pPr>
            <w:r>
              <w:rPr>
                <w:szCs w:val="20"/>
              </w:rPr>
              <w:t>APPNAME</w:t>
            </w:r>
          </w:p>
        </w:tc>
        <w:tc>
          <w:tcPr>
            <w:tcW w:w="1701" w:type="dxa"/>
          </w:tcPr>
          <w:p w14:paraId="33B28783" w14:textId="77777777" w:rsidR="00A052DC" w:rsidRDefault="009F0A60">
            <w:pPr>
              <w:pStyle w:val="B"/>
              <w:rPr>
                <w:szCs w:val="20"/>
              </w:rPr>
            </w:pPr>
            <w:r>
              <w:rPr>
                <w:rFonts w:hint="eastAsia"/>
                <w:szCs w:val="20"/>
              </w:rPr>
              <w:t>申请人名称</w:t>
            </w:r>
          </w:p>
        </w:tc>
        <w:tc>
          <w:tcPr>
            <w:tcW w:w="1417" w:type="dxa"/>
          </w:tcPr>
          <w:p w14:paraId="63058527" w14:textId="77777777" w:rsidR="00A052DC" w:rsidRDefault="009F0A60">
            <w:pPr>
              <w:pStyle w:val="B"/>
              <w:rPr>
                <w:szCs w:val="20"/>
              </w:rPr>
            </w:pPr>
            <w:r>
              <w:rPr>
                <w:rFonts w:hint="eastAsia"/>
                <w:szCs w:val="20"/>
              </w:rPr>
              <w:t>字符型，</w:t>
            </w:r>
            <w:r>
              <w:rPr>
                <w:szCs w:val="20"/>
              </w:rPr>
              <w:t>128</w:t>
            </w:r>
          </w:p>
        </w:tc>
        <w:tc>
          <w:tcPr>
            <w:tcW w:w="3686" w:type="dxa"/>
          </w:tcPr>
          <w:p w14:paraId="65D21DD4" w14:textId="77777777" w:rsidR="00A052DC" w:rsidRDefault="009F0A60">
            <w:pPr>
              <w:pStyle w:val="B"/>
              <w:rPr>
                <w:szCs w:val="20"/>
              </w:rPr>
            </w:pPr>
            <w:r>
              <w:rPr>
                <w:rFonts w:hint="eastAsia"/>
                <w:szCs w:val="20"/>
              </w:rPr>
              <w:t>必填项，申请人中文或英文名称。</w:t>
            </w:r>
          </w:p>
        </w:tc>
      </w:tr>
      <w:tr w:rsidR="00A052DC" w14:paraId="06D5AABE" w14:textId="77777777">
        <w:tc>
          <w:tcPr>
            <w:tcW w:w="1702" w:type="dxa"/>
          </w:tcPr>
          <w:p w14:paraId="52E7784D" w14:textId="77777777" w:rsidR="00A052DC" w:rsidRDefault="009F0A60">
            <w:pPr>
              <w:pStyle w:val="B"/>
              <w:rPr>
                <w:szCs w:val="20"/>
              </w:rPr>
            </w:pPr>
            <w:r>
              <w:rPr>
                <w:szCs w:val="20"/>
              </w:rPr>
              <w:t>INLTCABUSCODE</w:t>
            </w:r>
          </w:p>
        </w:tc>
        <w:tc>
          <w:tcPr>
            <w:tcW w:w="1701" w:type="dxa"/>
          </w:tcPr>
          <w:p w14:paraId="14FF033C" w14:textId="77777777" w:rsidR="00A052DC" w:rsidRDefault="009F0A60">
            <w:pPr>
              <w:pStyle w:val="B"/>
              <w:rPr>
                <w:szCs w:val="20"/>
              </w:rPr>
            </w:pPr>
            <w:r>
              <w:rPr>
                <w:rFonts w:hint="eastAsia"/>
                <w:szCs w:val="20"/>
              </w:rPr>
              <w:t>承继的远期信用证承兑银行业务参号</w:t>
            </w:r>
          </w:p>
        </w:tc>
        <w:tc>
          <w:tcPr>
            <w:tcW w:w="1417" w:type="dxa"/>
          </w:tcPr>
          <w:p w14:paraId="162BBF6F" w14:textId="77777777" w:rsidR="00A052DC" w:rsidRDefault="009F0A60">
            <w:pPr>
              <w:pStyle w:val="B"/>
              <w:rPr>
                <w:szCs w:val="20"/>
              </w:rPr>
            </w:pPr>
            <w:r>
              <w:rPr>
                <w:rFonts w:hint="eastAsia"/>
                <w:szCs w:val="20"/>
              </w:rPr>
              <w:t>字符型，</w:t>
            </w:r>
            <w:r>
              <w:rPr>
                <w:szCs w:val="20"/>
              </w:rPr>
              <w:t>32</w:t>
            </w:r>
          </w:p>
        </w:tc>
        <w:tc>
          <w:tcPr>
            <w:tcW w:w="3686" w:type="dxa"/>
          </w:tcPr>
          <w:p w14:paraId="275BC65D" w14:textId="77777777" w:rsidR="00A052DC" w:rsidRDefault="009F0A60">
            <w:pPr>
              <w:pStyle w:val="B"/>
              <w:rPr>
                <w:szCs w:val="20"/>
              </w:rPr>
            </w:pPr>
            <w:r>
              <w:rPr>
                <w:rFonts w:hint="eastAsia"/>
                <w:szCs w:val="20"/>
              </w:rPr>
              <w:t>非必填项，标识承继远期信用证的海外代付债务，当海外代付承继远期信用证时，填写被承继远期信用证承兑的银行业务参号。</w:t>
            </w:r>
          </w:p>
        </w:tc>
      </w:tr>
      <w:tr w:rsidR="00A052DC" w14:paraId="6E1B8038" w14:textId="77777777">
        <w:tc>
          <w:tcPr>
            <w:tcW w:w="1702" w:type="dxa"/>
          </w:tcPr>
          <w:p w14:paraId="4E03DD0A" w14:textId="77777777" w:rsidR="00A052DC" w:rsidRDefault="009F0A60">
            <w:pPr>
              <w:pStyle w:val="B"/>
              <w:rPr>
                <w:szCs w:val="20"/>
              </w:rPr>
            </w:pPr>
            <w:r>
              <w:rPr>
                <w:szCs w:val="20"/>
              </w:rPr>
              <w:t>SPAPFEBOINDEX</w:t>
            </w:r>
          </w:p>
        </w:tc>
        <w:tc>
          <w:tcPr>
            <w:tcW w:w="1701" w:type="dxa"/>
          </w:tcPr>
          <w:p w14:paraId="0543B44F" w14:textId="77777777" w:rsidR="00A052DC" w:rsidRDefault="009F0A60">
            <w:pPr>
              <w:pStyle w:val="B"/>
              <w:rPr>
                <w:szCs w:val="20"/>
              </w:rPr>
            </w:pPr>
            <w:r>
              <w:rPr>
                <w:rFonts w:hint="eastAsia"/>
                <w:szCs w:val="20"/>
              </w:rPr>
              <w:t>是否不纳入跨境融资风险加权余额计算</w:t>
            </w:r>
          </w:p>
        </w:tc>
        <w:tc>
          <w:tcPr>
            <w:tcW w:w="1417" w:type="dxa"/>
          </w:tcPr>
          <w:p w14:paraId="1168EEDA" w14:textId="77777777" w:rsidR="00A052DC" w:rsidRDefault="009F0A60">
            <w:pPr>
              <w:pStyle w:val="B"/>
              <w:rPr>
                <w:szCs w:val="20"/>
              </w:rPr>
            </w:pPr>
            <w:r>
              <w:rPr>
                <w:rFonts w:hint="eastAsia"/>
                <w:szCs w:val="20"/>
              </w:rPr>
              <w:t>字符型，</w:t>
            </w:r>
            <w:r>
              <w:rPr>
                <w:szCs w:val="20"/>
              </w:rPr>
              <w:t>1</w:t>
            </w:r>
          </w:p>
        </w:tc>
        <w:tc>
          <w:tcPr>
            <w:tcW w:w="3686" w:type="dxa"/>
          </w:tcPr>
          <w:p w14:paraId="019FE4DC" w14:textId="77777777" w:rsidR="00A052DC" w:rsidRDefault="009F0A60">
            <w:pPr>
              <w:pStyle w:val="B"/>
              <w:rPr>
                <w:szCs w:val="20"/>
              </w:rPr>
            </w:pPr>
            <w:r>
              <w:rPr>
                <w:rFonts w:hint="eastAsia"/>
                <w:szCs w:val="20"/>
              </w:rPr>
              <w:t>必填项，是</w:t>
            </w:r>
            <w:r>
              <w:rPr>
                <w:szCs w:val="20"/>
              </w:rPr>
              <w:t>-Y</w:t>
            </w:r>
            <w:r>
              <w:rPr>
                <w:rFonts w:hint="eastAsia"/>
                <w:szCs w:val="20"/>
              </w:rPr>
              <w:t>，否</w:t>
            </w:r>
            <w:r>
              <w:rPr>
                <w:szCs w:val="20"/>
              </w:rPr>
              <w:t>-N</w:t>
            </w:r>
            <w:r>
              <w:rPr>
                <w:rFonts w:hint="eastAsia"/>
                <w:szCs w:val="20"/>
              </w:rPr>
              <w:t>，默认为否，填写</w:t>
            </w:r>
            <w:r>
              <w:rPr>
                <w:szCs w:val="20"/>
              </w:rPr>
              <w:t>N</w:t>
            </w:r>
            <w:r>
              <w:rPr>
                <w:rFonts w:hint="eastAsia"/>
                <w:szCs w:val="20"/>
              </w:rPr>
              <w:t>。</w:t>
            </w:r>
          </w:p>
        </w:tc>
      </w:tr>
      <w:tr w:rsidR="00A052DC" w14:paraId="174D3DD6" w14:textId="77777777">
        <w:tc>
          <w:tcPr>
            <w:tcW w:w="1702" w:type="dxa"/>
          </w:tcPr>
          <w:p w14:paraId="3012DC4E" w14:textId="77777777" w:rsidR="00A052DC" w:rsidRDefault="009F0A60">
            <w:pPr>
              <w:pStyle w:val="B"/>
              <w:rPr>
                <w:szCs w:val="20"/>
              </w:rPr>
            </w:pPr>
            <w:r>
              <w:rPr>
                <w:szCs w:val="20"/>
              </w:rPr>
              <w:t>RELATION</w:t>
            </w:r>
          </w:p>
        </w:tc>
        <w:tc>
          <w:tcPr>
            <w:tcW w:w="1701" w:type="dxa"/>
          </w:tcPr>
          <w:p w14:paraId="5E9A7A5F" w14:textId="77777777" w:rsidR="00A052DC" w:rsidRDefault="009F0A60">
            <w:pPr>
              <w:pStyle w:val="B"/>
              <w:rPr>
                <w:szCs w:val="20"/>
              </w:rPr>
            </w:pPr>
            <w:r>
              <w:rPr>
                <w:rFonts w:hint="eastAsia"/>
                <w:szCs w:val="20"/>
              </w:rPr>
              <w:t>对方与本机构的关系</w:t>
            </w:r>
          </w:p>
        </w:tc>
        <w:tc>
          <w:tcPr>
            <w:tcW w:w="1417" w:type="dxa"/>
          </w:tcPr>
          <w:p w14:paraId="675566C6" w14:textId="77777777" w:rsidR="00A052DC" w:rsidRDefault="009F0A60">
            <w:pPr>
              <w:pStyle w:val="B"/>
              <w:rPr>
                <w:szCs w:val="20"/>
              </w:rPr>
            </w:pPr>
            <w:r>
              <w:rPr>
                <w:rFonts w:hint="eastAsia"/>
                <w:szCs w:val="20"/>
              </w:rPr>
              <w:t>字符型，</w:t>
            </w:r>
            <w:r>
              <w:rPr>
                <w:szCs w:val="20"/>
              </w:rPr>
              <w:t>2</w:t>
            </w:r>
          </w:p>
        </w:tc>
        <w:tc>
          <w:tcPr>
            <w:tcW w:w="3686" w:type="dxa"/>
          </w:tcPr>
          <w:p w14:paraId="5254B915" w14:textId="77777777" w:rsidR="00A052DC" w:rsidRDefault="009F0A60">
            <w:pPr>
              <w:pStyle w:val="B"/>
              <w:rPr>
                <w:szCs w:val="20"/>
              </w:rPr>
            </w:pPr>
            <w:r>
              <w:rPr>
                <w:rFonts w:hint="eastAsia"/>
                <w:szCs w:val="20"/>
              </w:rPr>
              <w:t>必填项，见对方与本机构</w:t>
            </w:r>
            <w:r>
              <w:rPr>
                <w:szCs w:val="20"/>
              </w:rPr>
              <w:t>/</w:t>
            </w:r>
            <w:r>
              <w:rPr>
                <w:rFonts w:hint="eastAsia"/>
                <w:szCs w:val="20"/>
              </w:rPr>
              <w:t>被代理居民机构</w:t>
            </w:r>
            <w:r>
              <w:rPr>
                <w:szCs w:val="20"/>
              </w:rPr>
              <w:t>/</w:t>
            </w:r>
            <w:r>
              <w:rPr>
                <w:rFonts w:hint="eastAsia"/>
                <w:szCs w:val="20"/>
              </w:rPr>
              <w:t>委托人的关系代码表。</w:t>
            </w:r>
          </w:p>
        </w:tc>
      </w:tr>
      <w:tr w:rsidR="00A052DC" w14:paraId="1DDF3347" w14:textId="77777777">
        <w:tc>
          <w:tcPr>
            <w:tcW w:w="1702" w:type="dxa"/>
            <w:tcBorders>
              <w:top w:val="single" w:sz="4" w:space="0" w:color="auto"/>
              <w:left w:val="single" w:sz="4" w:space="0" w:color="auto"/>
              <w:bottom w:val="single" w:sz="4" w:space="0" w:color="auto"/>
              <w:right w:val="single" w:sz="4" w:space="0" w:color="auto"/>
            </w:tcBorders>
          </w:tcPr>
          <w:p w14:paraId="094A011B" w14:textId="77777777" w:rsidR="00A052DC" w:rsidRDefault="009F0A60">
            <w:pPr>
              <w:pStyle w:val="B"/>
              <w:rPr>
                <w:szCs w:val="20"/>
              </w:rPr>
            </w:pPr>
            <w:r>
              <w:rPr>
                <w:szCs w:val="20"/>
              </w:rPr>
              <w:t>REMARK</w:t>
            </w:r>
          </w:p>
        </w:tc>
        <w:tc>
          <w:tcPr>
            <w:tcW w:w="1701" w:type="dxa"/>
            <w:tcBorders>
              <w:top w:val="single" w:sz="4" w:space="0" w:color="auto"/>
              <w:left w:val="single" w:sz="4" w:space="0" w:color="auto"/>
              <w:bottom w:val="single" w:sz="4" w:space="0" w:color="auto"/>
              <w:right w:val="single" w:sz="4" w:space="0" w:color="auto"/>
            </w:tcBorders>
          </w:tcPr>
          <w:p w14:paraId="77190B6C" w14:textId="77777777" w:rsidR="00A052DC" w:rsidRDefault="009F0A60">
            <w:pPr>
              <w:pStyle w:val="B"/>
              <w:rPr>
                <w:szCs w:val="20"/>
              </w:rPr>
            </w:pPr>
            <w:r>
              <w:rPr>
                <w:rFonts w:hint="eastAsia"/>
                <w:szCs w:val="20"/>
              </w:rPr>
              <w:t>备注</w:t>
            </w:r>
          </w:p>
        </w:tc>
        <w:tc>
          <w:tcPr>
            <w:tcW w:w="1417" w:type="dxa"/>
            <w:tcBorders>
              <w:top w:val="single" w:sz="4" w:space="0" w:color="auto"/>
              <w:left w:val="single" w:sz="4" w:space="0" w:color="auto"/>
              <w:bottom w:val="single" w:sz="4" w:space="0" w:color="auto"/>
              <w:right w:val="single" w:sz="4" w:space="0" w:color="auto"/>
            </w:tcBorders>
          </w:tcPr>
          <w:p w14:paraId="16D82B4B" w14:textId="77777777" w:rsidR="00A052DC" w:rsidRDefault="009F0A60">
            <w:pPr>
              <w:pStyle w:val="B"/>
              <w:rPr>
                <w:szCs w:val="20"/>
              </w:rPr>
            </w:pPr>
            <w:r>
              <w:rPr>
                <w:rFonts w:hint="eastAsia"/>
                <w:szCs w:val="20"/>
              </w:rPr>
              <w:t>字符型，</w:t>
            </w:r>
            <w:r>
              <w:rPr>
                <w:szCs w:val="20"/>
              </w:rPr>
              <w:t>256</w:t>
            </w:r>
          </w:p>
        </w:tc>
        <w:tc>
          <w:tcPr>
            <w:tcW w:w="3686" w:type="dxa"/>
            <w:tcBorders>
              <w:top w:val="single" w:sz="4" w:space="0" w:color="auto"/>
              <w:left w:val="single" w:sz="4" w:space="0" w:color="auto"/>
              <w:bottom w:val="single" w:sz="4" w:space="0" w:color="auto"/>
              <w:right w:val="single" w:sz="4" w:space="0" w:color="auto"/>
            </w:tcBorders>
          </w:tcPr>
          <w:p w14:paraId="7E0195DD" w14:textId="77777777" w:rsidR="00A052DC" w:rsidRDefault="009F0A60">
            <w:pPr>
              <w:pStyle w:val="B"/>
              <w:rPr>
                <w:szCs w:val="20"/>
              </w:rPr>
            </w:pPr>
            <w:r>
              <w:rPr>
                <w:rFonts w:hint="eastAsia"/>
                <w:szCs w:val="20"/>
              </w:rPr>
              <w:t>非必填项。</w:t>
            </w:r>
          </w:p>
        </w:tc>
      </w:tr>
    </w:tbl>
    <w:p w14:paraId="16BEE52A" w14:textId="77777777" w:rsidR="00A052DC" w:rsidRDefault="009F0A60">
      <w:pPr>
        <w:pStyle w:val="4"/>
        <w:numPr>
          <w:ilvl w:val="3"/>
          <w:numId w:val="1"/>
        </w:numPr>
        <w:jc w:val="left"/>
      </w:pPr>
      <w:bookmarkStart w:id="1515" w:name="_Toc454386884"/>
      <w:bookmarkStart w:id="1516" w:name="_Toc328635485"/>
      <w:r>
        <w:rPr>
          <w:rFonts w:hint="eastAsia"/>
        </w:rPr>
        <w:t>卖出回购</w:t>
      </w:r>
      <w:bookmarkEnd w:id="1515"/>
      <w:bookmarkEnd w:id="1516"/>
    </w:p>
    <w:p w14:paraId="346A42D7" w14:textId="77777777" w:rsidR="00A052DC" w:rsidRDefault="009F0A60" w:rsidP="0020251D">
      <w:pPr>
        <w:pStyle w:val="5"/>
        <w:numPr>
          <w:ilvl w:val="4"/>
          <w:numId w:val="1"/>
        </w:numPr>
        <w:spacing w:before="120" w:after="120" w:line="360" w:lineRule="auto"/>
        <w:jc w:val="left"/>
      </w:pPr>
      <w:bookmarkStart w:id="1517" w:name="_Toc454386885"/>
      <w:r>
        <w:rPr>
          <w:rFonts w:hint="eastAsia"/>
        </w:rPr>
        <w:t>数据术语解释</w:t>
      </w:r>
      <w:bookmarkEnd w:id="1517"/>
    </w:p>
    <w:tbl>
      <w:tblPr>
        <w:tblW w:w="84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26"/>
        <w:gridCol w:w="6946"/>
      </w:tblGrid>
      <w:tr w:rsidR="00A052DC" w14:paraId="4282EDFA" w14:textId="77777777">
        <w:tc>
          <w:tcPr>
            <w:tcW w:w="1526" w:type="dxa"/>
          </w:tcPr>
          <w:p w14:paraId="6B930FFD" w14:textId="77777777" w:rsidR="00A052DC" w:rsidRDefault="009F0A60">
            <w:pPr>
              <w:pStyle w:val="B1"/>
              <w:rPr>
                <w:u w:val="single"/>
              </w:rPr>
            </w:pPr>
            <w:r>
              <w:rPr>
                <w:rFonts w:hint="eastAsia"/>
              </w:rPr>
              <w:t>基础数据项</w:t>
            </w:r>
          </w:p>
        </w:tc>
        <w:tc>
          <w:tcPr>
            <w:tcW w:w="6946" w:type="dxa"/>
          </w:tcPr>
          <w:p w14:paraId="03D94D9B" w14:textId="77777777" w:rsidR="00A052DC" w:rsidRDefault="009F0A60">
            <w:pPr>
              <w:pStyle w:val="B1"/>
            </w:pPr>
            <w:r>
              <w:rPr>
                <w:rFonts w:hint="eastAsia"/>
              </w:rPr>
              <w:t>定义</w:t>
            </w:r>
          </w:p>
        </w:tc>
      </w:tr>
      <w:tr w:rsidR="00A052DC" w14:paraId="4751D8FE" w14:textId="77777777">
        <w:trPr>
          <w:cantSplit/>
          <w:trHeight w:val="157"/>
        </w:trPr>
        <w:tc>
          <w:tcPr>
            <w:tcW w:w="1526" w:type="dxa"/>
          </w:tcPr>
          <w:p w14:paraId="33F07247" w14:textId="77777777" w:rsidR="00A052DC" w:rsidRDefault="009F0A60">
            <w:pPr>
              <w:pStyle w:val="B"/>
              <w:rPr>
                <w:szCs w:val="20"/>
              </w:rPr>
            </w:pPr>
            <w:r>
              <w:rPr>
                <w:rFonts w:hint="eastAsia"/>
                <w:szCs w:val="20"/>
              </w:rPr>
              <w:t>外债编号</w:t>
            </w:r>
          </w:p>
        </w:tc>
        <w:tc>
          <w:tcPr>
            <w:tcW w:w="6946" w:type="dxa"/>
          </w:tcPr>
          <w:p w14:paraId="2A5CDB32" w14:textId="77777777" w:rsidR="00A052DC" w:rsidRDefault="009F0A60">
            <w:pPr>
              <w:pStyle w:val="B"/>
              <w:rPr>
                <w:szCs w:val="20"/>
              </w:rPr>
            </w:pPr>
            <w:r>
              <w:rPr>
                <w:rFonts w:hint="eastAsia"/>
                <w:szCs w:val="20"/>
              </w:rPr>
              <w:t>外汇局制定统一编号规则，银行自行对每一笔外债编号，用于唯一标识该笔外债。银行外债编号共计28位。第1至2位为业务类型标识，第3位至14位为银行金融机构标识码;第15至22位为8位年月日数字（20110701）;第23至28位为该笔业务的流水号（流水码编制规则：从000001～999999）。银行新发生一笔外债业务时，需为该笔外债编制外债编号，同一笔外债发生变更或展期时，不作为一笔新业务进行登记，发生展期时，变更到期日。</w:t>
            </w:r>
          </w:p>
        </w:tc>
      </w:tr>
      <w:tr w:rsidR="00A052DC" w14:paraId="4053F0B4" w14:textId="77777777">
        <w:trPr>
          <w:cantSplit/>
        </w:trPr>
        <w:tc>
          <w:tcPr>
            <w:tcW w:w="1526" w:type="dxa"/>
          </w:tcPr>
          <w:p w14:paraId="29FE5B39" w14:textId="77777777" w:rsidR="00A052DC" w:rsidRDefault="009F0A60">
            <w:pPr>
              <w:pStyle w:val="B"/>
              <w:rPr>
                <w:szCs w:val="20"/>
              </w:rPr>
            </w:pPr>
            <w:r>
              <w:rPr>
                <w:rFonts w:hint="eastAsia"/>
                <w:szCs w:val="20"/>
              </w:rPr>
              <w:t>债务人代码</w:t>
            </w:r>
          </w:p>
        </w:tc>
        <w:tc>
          <w:tcPr>
            <w:tcW w:w="6946" w:type="dxa"/>
          </w:tcPr>
          <w:p w14:paraId="1DFE501B" w14:textId="77777777" w:rsidR="00A052DC" w:rsidRDefault="009F0A60">
            <w:pPr>
              <w:pStyle w:val="B"/>
              <w:rPr>
                <w:szCs w:val="20"/>
              </w:rPr>
            </w:pPr>
            <w:r>
              <w:rPr>
                <w:rFonts w:hint="eastAsia"/>
                <w:szCs w:val="20"/>
              </w:rPr>
              <w:t>国家外汇管理局及其分支局签发给境内债务银行的12位金融机构标识码编码。</w:t>
            </w:r>
          </w:p>
        </w:tc>
      </w:tr>
      <w:tr w:rsidR="00A052DC" w14:paraId="15E00A8A" w14:textId="77777777">
        <w:trPr>
          <w:cantSplit/>
        </w:trPr>
        <w:tc>
          <w:tcPr>
            <w:tcW w:w="1526" w:type="dxa"/>
          </w:tcPr>
          <w:p w14:paraId="6F45FB82" w14:textId="77777777" w:rsidR="00A052DC" w:rsidRDefault="009F0A60">
            <w:pPr>
              <w:pStyle w:val="B"/>
              <w:rPr>
                <w:szCs w:val="20"/>
              </w:rPr>
            </w:pPr>
            <w:r>
              <w:rPr>
                <w:rFonts w:hint="eastAsia"/>
                <w:szCs w:val="20"/>
              </w:rPr>
              <w:t>债务类型</w:t>
            </w:r>
          </w:p>
        </w:tc>
        <w:tc>
          <w:tcPr>
            <w:tcW w:w="6946" w:type="dxa"/>
          </w:tcPr>
          <w:p w14:paraId="6ACEAD6C" w14:textId="77777777" w:rsidR="00A052DC" w:rsidRDefault="009F0A60">
            <w:pPr>
              <w:pStyle w:val="B"/>
              <w:rPr>
                <w:szCs w:val="20"/>
              </w:rPr>
            </w:pPr>
            <w:r>
              <w:rPr>
                <w:rFonts w:hint="eastAsia"/>
                <w:szCs w:val="20"/>
              </w:rPr>
              <w:t>外债的债务类型代码，见外债的债务类型表。</w:t>
            </w:r>
          </w:p>
        </w:tc>
      </w:tr>
      <w:tr w:rsidR="00A052DC" w14:paraId="4914155B" w14:textId="77777777">
        <w:trPr>
          <w:cantSplit/>
        </w:trPr>
        <w:tc>
          <w:tcPr>
            <w:tcW w:w="1526" w:type="dxa"/>
          </w:tcPr>
          <w:p w14:paraId="4F00FED0" w14:textId="77777777" w:rsidR="00A052DC" w:rsidRDefault="009F0A60">
            <w:pPr>
              <w:pStyle w:val="B"/>
              <w:rPr>
                <w:szCs w:val="20"/>
              </w:rPr>
            </w:pPr>
            <w:r>
              <w:rPr>
                <w:rFonts w:hint="eastAsia"/>
                <w:szCs w:val="20"/>
              </w:rPr>
              <w:t>起息日</w:t>
            </w:r>
          </w:p>
        </w:tc>
        <w:tc>
          <w:tcPr>
            <w:tcW w:w="6946" w:type="dxa"/>
          </w:tcPr>
          <w:p w14:paraId="743C519E" w14:textId="77777777" w:rsidR="00A052DC" w:rsidRDefault="009F0A60">
            <w:pPr>
              <w:pStyle w:val="B"/>
              <w:rPr>
                <w:szCs w:val="20"/>
              </w:rPr>
            </w:pPr>
            <w:r>
              <w:rPr>
                <w:rFonts w:hint="eastAsia"/>
                <w:szCs w:val="20"/>
              </w:rPr>
              <w:t>由于卖出回购使债务人对债权人产生负债的日期。通常是指卖出回购的起息日。</w:t>
            </w:r>
          </w:p>
        </w:tc>
      </w:tr>
      <w:tr w:rsidR="00A052DC" w14:paraId="24B08C4F" w14:textId="77777777">
        <w:trPr>
          <w:cantSplit/>
        </w:trPr>
        <w:tc>
          <w:tcPr>
            <w:tcW w:w="1526" w:type="dxa"/>
          </w:tcPr>
          <w:p w14:paraId="228420BF" w14:textId="77777777" w:rsidR="00A052DC" w:rsidRDefault="009F0A60">
            <w:pPr>
              <w:pStyle w:val="B"/>
              <w:rPr>
                <w:szCs w:val="20"/>
              </w:rPr>
            </w:pPr>
            <w:r>
              <w:rPr>
                <w:rFonts w:hint="eastAsia"/>
                <w:szCs w:val="20"/>
              </w:rPr>
              <w:t>签约币种</w:t>
            </w:r>
          </w:p>
        </w:tc>
        <w:tc>
          <w:tcPr>
            <w:tcW w:w="6946" w:type="dxa"/>
          </w:tcPr>
          <w:p w14:paraId="41E90D50" w14:textId="77777777" w:rsidR="00A052DC" w:rsidRDefault="009F0A60">
            <w:pPr>
              <w:pStyle w:val="B"/>
              <w:rPr>
                <w:szCs w:val="20"/>
              </w:rPr>
            </w:pPr>
            <w:r>
              <w:rPr>
                <w:rFonts w:hint="eastAsia"/>
                <w:szCs w:val="20"/>
              </w:rPr>
              <w:t>卖出回购的借款币种即签约币种。</w:t>
            </w:r>
          </w:p>
        </w:tc>
      </w:tr>
      <w:tr w:rsidR="00A052DC" w14:paraId="4F227961" w14:textId="77777777">
        <w:trPr>
          <w:cantSplit/>
        </w:trPr>
        <w:tc>
          <w:tcPr>
            <w:tcW w:w="1526" w:type="dxa"/>
          </w:tcPr>
          <w:p w14:paraId="240368CD" w14:textId="77777777" w:rsidR="00A052DC" w:rsidRDefault="009F0A60">
            <w:pPr>
              <w:pStyle w:val="B"/>
              <w:rPr>
                <w:szCs w:val="20"/>
              </w:rPr>
            </w:pPr>
            <w:r>
              <w:rPr>
                <w:rFonts w:hint="eastAsia"/>
                <w:szCs w:val="20"/>
              </w:rPr>
              <w:t>签约金额</w:t>
            </w:r>
          </w:p>
        </w:tc>
        <w:tc>
          <w:tcPr>
            <w:tcW w:w="6946" w:type="dxa"/>
          </w:tcPr>
          <w:p w14:paraId="31D8397F" w14:textId="77777777" w:rsidR="00A052DC" w:rsidRDefault="009F0A60">
            <w:pPr>
              <w:pStyle w:val="B"/>
              <w:rPr>
                <w:szCs w:val="20"/>
              </w:rPr>
            </w:pPr>
            <w:r>
              <w:rPr>
                <w:rFonts w:hint="eastAsia"/>
                <w:szCs w:val="20"/>
              </w:rPr>
              <w:t>卖出回购的借款金额即签约金额。</w:t>
            </w:r>
          </w:p>
        </w:tc>
      </w:tr>
      <w:tr w:rsidR="00A052DC" w14:paraId="791BBE89" w14:textId="77777777">
        <w:trPr>
          <w:cantSplit/>
        </w:trPr>
        <w:tc>
          <w:tcPr>
            <w:tcW w:w="1526" w:type="dxa"/>
          </w:tcPr>
          <w:p w14:paraId="78975993" w14:textId="77777777" w:rsidR="00A052DC" w:rsidRDefault="009F0A60">
            <w:pPr>
              <w:pStyle w:val="B"/>
              <w:rPr>
                <w:szCs w:val="20"/>
              </w:rPr>
            </w:pPr>
            <w:r>
              <w:rPr>
                <w:rFonts w:hint="eastAsia"/>
                <w:szCs w:val="20"/>
              </w:rPr>
              <w:t>到期日</w:t>
            </w:r>
          </w:p>
        </w:tc>
        <w:tc>
          <w:tcPr>
            <w:tcW w:w="6946" w:type="dxa"/>
            <w:vAlign w:val="center"/>
          </w:tcPr>
          <w:p w14:paraId="61544659" w14:textId="77777777" w:rsidR="00A052DC" w:rsidRDefault="009F0A60">
            <w:pPr>
              <w:pStyle w:val="B"/>
              <w:rPr>
                <w:szCs w:val="20"/>
              </w:rPr>
            </w:pPr>
            <w:r>
              <w:rPr>
                <w:rFonts w:hint="eastAsia"/>
                <w:szCs w:val="20"/>
              </w:rPr>
              <w:t>卖出回购的到期日期。</w:t>
            </w:r>
          </w:p>
        </w:tc>
      </w:tr>
      <w:tr w:rsidR="00A052DC" w14:paraId="465AC9CC" w14:textId="77777777">
        <w:trPr>
          <w:cantSplit/>
        </w:trPr>
        <w:tc>
          <w:tcPr>
            <w:tcW w:w="1526" w:type="dxa"/>
          </w:tcPr>
          <w:p w14:paraId="386997CA" w14:textId="77777777" w:rsidR="00A052DC" w:rsidRDefault="009F0A60">
            <w:pPr>
              <w:pStyle w:val="B"/>
              <w:rPr>
                <w:szCs w:val="20"/>
              </w:rPr>
            </w:pPr>
            <w:r>
              <w:rPr>
                <w:rFonts w:hint="eastAsia"/>
                <w:szCs w:val="20"/>
              </w:rPr>
              <w:t>是否浮动利率</w:t>
            </w:r>
          </w:p>
        </w:tc>
        <w:tc>
          <w:tcPr>
            <w:tcW w:w="6946" w:type="dxa"/>
          </w:tcPr>
          <w:p w14:paraId="45F0EA56" w14:textId="77777777" w:rsidR="00A052DC" w:rsidRDefault="009F0A60">
            <w:pPr>
              <w:pStyle w:val="B"/>
              <w:rPr>
                <w:szCs w:val="20"/>
              </w:rPr>
            </w:pPr>
            <w:r>
              <w:rPr>
                <w:rFonts w:hint="eastAsia"/>
                <w:szCs w:val="20"/>
              </w:rPr>
              <w:t>标识债务利率条件为浮动利率或固定利率，系统默认为否，若为浮动利率，选择是。</w:t>
            </w:r>
          </w:p>
        </w:tc>
      </w:tr>
      <w:tr w:rsidR="00A052DC" w14:paraId="6D2B2C01" w14:textId="77777777">
        <w:trPr>
          <w:cantSplit/>
        </w:trPr>
        <w:tc>
          <w:tcPr>
            <w:tcW w:w="1526" w:type="dxa"/>
          </w:tcPr>
          <w:p w14:paraId="23FC67CF" w14:textId="77777777" w:rsidR="00A052DC" w:rsidRDefault="009F0A60">
            <w:pPr>
              <w:pStyle w:val="B"/>
              <w:rPr>
                <w:szCs w:val="20"/>
              </w:rPr>
            </w:pPr>
            <w:r>
              <w:rPr>
                <w:rFonts w:hint="eastAsia"/>
                <w:szCs w:val="20"/>
              </w:rPr>
              <w:t>年化利率值</w:t>
            </w:r>
          </w:p>
        </w:tc>
        <w:tc>
          <w:tcPr>
            <w:tcW w:w="6946" w:type="dxa"/>
          </w:tcPr>
          <w:p w14:paraId="25273BBB" w14:textId="77777777" w:rsidR="00A052DC" w:rsidRDefault="009F0A60">
            <w:pPr>
              <w:pStyle w:val="B"/>
              <w:rPr>
                <w:szCs w:val="20"/>
              </w:rPr>
            </w:pPr>
            <w:r>
              <w:rPr>
                <w:rFonts w:hint="eastAsia"/>
                <w:szCs w:val="20"/>
              </w:rPr>
              <w:t>外债的年化利率，若为浮动利率，应该按照该笔外债签约日期当天的浮动利率条件计算年化利率值。</w:t>
            </w:r>
          </w:p>
        </w:tc>
      </w:tr>
      <w:tr w:rsidR="00A052DC" w14:paraId="0876D721" w14:textId="77777777">
        <w:trPr>
          <w:cantSplit/>
        </w:trPr>
        <w:tc>
          <w:tcPr>
            <w:tcW w:w="1526" w:type="dxa"/>
          </w:tcPr>
          <w:p w14:paraId="2C440F9C" w14:textId="77777777" w:rsidR="00A052DC" w:rsidRDefault="009F0A60">
            <w:pPr>
              <w:pStyle w:val="B"/>
              <w:rPr>
                <w:szCs w:val="20"/>
              </w:rPr>
            </w:pPr>
            <w:r>
              <w:rPr>
                <w:rFonts w:hint="eastAsia"/>
                <w:szCs w:val="20"/>
              </w:rPr>
              <w:t>利息本金化金额</w:t>
            </w:r>
          </w:p>
        </w:tc>
        <w:tc>
          <w:tcPr>
            <w:tcW w:w="6946" w:type="dxa"/>
          </w:tcPr>
          <w:p w14:paraId="4A17A737" w14:textId="77777777" w:rsidR="00A052DC" w:rsidRDefault="009F0A60">
            <w:pPr>
              <w:pStyle w:val="B"/>
              <w:rPr>
                <w:szCs w:val="20"/>
              </w:rPr>
            </w:pPr>
            <w:r>
              <w:rPr>
                <w:rFonts w:hint="eastAsia"/>
                <w:szCs w:val="20"/>
              </w:rPr>
              <w:t>将利息计为本金的金额，非必填。</w:t>
            </w:r>
          </w:p>
        </w:tc>
      </w:tr>
      <w:tr w:rsidR="00A052DC" w14:paraId="492FD724" w14:textId="77777777">
        <w:trPr>
          <w:cantSplit/>
        </w:trPr>
        <w:tc>
          <w:tcPr>
            <w:tcW w:w="1526" w:type="dxa"/>
          </w:tcPr>
          <w:p w14:paraId="5227C0EA" w14:textId="77777777" w:rsidR="00A052DC" w:rsidRDefault="009F0A60">
            <w:pPr>
              <w:pStyle w:val="B"/>
              <w:rPr>
                <w:szCs w:val="20"/>
              </w:rPr>
            </w:pPr>
            <w:r>
              <w:rPr>
                <w:rFonts w:hint="eastAsia"/>
                <w:szCs w:val="20"/>
              </w:rPr>
              <w:t>债权人代码</w:t>
            </w:r>
          </w:p>
        </w:tc>
        <w:tc>
          <w:tcPr>
            <w:tcW w:w="6946" w:type="dxa"/>
            <w:vAlign w:val="center"/>
          </w:tcPr>
          <w:p w14:paraId="5A20A620" w14:textId="77777777" w:rsidR="00A052DC" w:rsidRDefault="009F0A60">
            <w:pPr>
              <w:pStyle w:val="B"/>
              <w:rPr>
                <w:szCs w:val="20"/>
              </w:rPr>
            </w:pPr>
            <w:r>
              <w:rPr>
                <w:rFonts w:hint="eastAsia"/>
                <w:szCs w:val="20"/>
              </w:rPr>
              <w:t>如果债权人为银行，应填写8位或11位的SWIFTCODE；如果债权人类型为“政府”、或“中央银行”时，或者当债务类型为“货币市场工具”或“债券和票据”或“非居民个人存款”时，应在外汇局编制的部分债权人代码表中选择债权人代码；否则为空。</w:t>
            </w:r>
          </w:p>
          <w:p w14:paraId="319200A7" w14:textId="77777777" w:rsidR="00A052DC" w:rsidRDefault="009F0A60">
            <w:pPr>
              <w:pStyle w:val="B"/>
              <w:rPr>
                <w:szCs w:val="20"/>
              </w:rPr>
            </w:pPr>
            <w:r>
              <w:rPr>
                <w:rFonts w:hint="eastAsia"/>
                <w:szCs w:val="20"/>
              </w:rPr>
              <w:t>如果债权人为“非银行金融机构”或“国际金融组织”，应优先填写SWIFTCODE。</w:t>
            </w:r>
          </w:p>
        </w:tc>
      </w:tr>
      <w:tr w:rsidR="00A052DC" w14:paraId="326504CB" w14:textId="77777777">
        <w:trPr>
          <w:cantSplit/>
        </w:trPr>
        <w:tc>
          <w:tcPr>
            <w:tcW w:w="1526" w:type="dxa"/>
          </w:tcPr>
          <w:p w14:paraId="4B5D5D10" w14:textId="77777777" w:rsidR="00A052DC" w:rsidRDefault="009F0A60">
            <w:pPr>
              <w:pStyle w:val="B"/>
              <w:rPr>
                <w:szCs w:val="20"/>
              </w:rPr>
            </w:pPr>
            <w:r>
              <w:rPr>
                <w:rFonts w:hint="eastAsia"/>
                <w:szCs w:val="20"/>
              </w:rPr>
              <w:t>债权人中文名称</w:t>
            </w:r>
          </w:p>
        </w:tc>
        <w:tc>
          <w:tcPr>
            <w:tcW w:w="6946" w:type="dxa"/>
            <w:vAlign w:val="center"/>
          </w:tcPr>
          <w:p w14:paraId="57C8189C" w14:textId="77777777" w:rsidR="00A052DC" w:rsidRDefault="009F0A60">
            <w:pPr>
              <w:pStyle w:val="B"/>
              <w:rPr>
                <w:szCs w:val="20"/>
              </w:rPr>
            </w:pPr>
            <w:r>
              <w:rPr>
                <w:rFonts w:hint="eastAsia"/>
                <w:szCs w:val="20"/>
              </w:rPr>
              <w:t>债权人中文名称。</w:t>
            </w:r>
          </w:p>
        </w:tc>
      </w:tr>
      <w:tr w:rsidR="00A052DC" w14:paraId="5A51C1A2" w14:textId="77777777">
        <w:trPr>
          <w:cantSplit/>
        </w:trPr>
        <w:tc>
          <w:tcPr>
            <w:tcW w:w="1526" w:type="dxa"/>
          </w:tcPr>
          <w:p w14:paraId="6875BDB4" w14:textId="77777777" w:rsidR="00A052DC" w:rsidRDefault="009F0A60">
            <w:pPr>
              <w:pStyle w:val="B"/>
              <w:rPr>
                <w:szCs w:val="20"/>
              </w:rPr>
            </w:pPr>
            <w:r>
              <w:rPr>
                <w:rFonts w:hint="eastAsia"/>
                <w:szCs w:val="20"/>
              </w:rPr>
              <w:t>债权人英文名称</w:t>
            </w:r>
          </w:p>
        </w:tc>
        <w:tc>
          <w:tcPr>
            <w:tcW w:w="6946" w:type="dxa"/>
            <w:vAlign w:val="center"/>
          </w:tcPr>
          <w:p w14:paraId="07FB9A0E" w14:textId="77777777" w:rsidR="00A052DC" w:rsidRDefault="009F0A60">
            <w:pPr>
              <w:pStyle w:val="B"/>
              <w:rPr>
                <w:szCs w:val="20"/>
              </w:rPr>
            </w:pPr>
            <w:r>
              <w:rPr>
                <w:rFonts w:hint="eastAsia"/>
                <w:szCs w:val="20"/>
              </w:rPr>
              <w:t>债权人英文名称（中英文名称至少填写一个）。</w:t>
            </w:r>
          </w:p>
        </w:tc>
      </w:tr>
      <w:tr w:rsidR="00A052DC" w14:paraId="4E8F4CBA" w14:textId="77777777">
        <w:trPr>
          <w:cantSplit/>
        </w:trPr>
        <w:tc>
          <w:tcPr>
            <w:tcW w:w="1526" w:type="dxa"/>
          </w:tcPr>
          <w:p w14:paraId="0D7E46AF" w14:textId="77777777" w:rsidR="00A052DC" w:rsidRDefault="009F0A60">
            <w:pPr>
              <w:pStyle w:val="B"/>
              <w:rPr>
                <w:szCs w:val="20"/>
              </w:rPr>
            </w:pPr>
            <w:r>
              <w:rPr>
                <w:rFonts w:hint="eastAsia"/>
                <w:szCs w:val="20"/>
              </w:rPr>
              <w:t>债权人类型代码</w:t>
            </w:r>
          </w:p>
        </w:tc>
        <w:tc>
          <w:tcPr>
            <w:tcW w:w="6946" w:type="dxa"/>
          </w:tcPr>
          <w:p w14:paraId="406A7174" w14:textId="77777777" w:rsidR="00A052DC" w:rsidRDefault="009F0A60">
            <w:pPr>
              <w:pStyle w:val="B"/>
              <w:rPr>
                <w:szCs w:val="20"/>
              </w:rPr>
            </w:pPr>
            <w:r>
              <w:rPr>
                <w:rFonts w:hint="eastAsia"/>
                <w:szCs w:val="20"/>
              </w:rPr>
              <w:t>债权人类型代码，见境外主体类型代码表。</w:t>
            </w:r>
          </w:p>
        </w:tc>
      </w:tr>
      <w:tr w:rsidR="00A052DC" w14:paraId="5FC66AA4" w14:textId="77777777">
        <w:trPr>
          <w:cantSplit/>
        </w:trPr>
        <w:tc>
          <w:tcPr>
            <w:tcW w:w="1526" w:type="dxa"/>
          </w:tcPr>
          <w:p w14:paraId="6A7F5063" w14:textId="77777777" w:rsidR="00A052DC" w:rsidRDefault="009F0A60">
            <w:pPr>
              <w:pStyle w:val="B"/>
              <w:rPr>
                <w:szCs w:val="20"/>
              </w:rPr>
            </w:pPr>
            <w:r>
              <w:rPr>
                <w:rFonts w:hint="eastAsia"/>
                <w:szCs w:val="20"/>
              </w:rPr>
              <w:t>债权人总部所在国家（地区）代码</w:t>
            </w:r>
          </w:p>
        </w:tc>
        <w:tc>
          <w:tcPr>
            <w:tcW w:w="6946" w:type="dxa"/>
            <w:vAlign w:val="center"/>
          </w:tcPr>
          <w:p w14:paraId="313BD77C" w14:textId="77777777" w:rsidR="00A052DC" w:rsidRDefault="009F0A60">
            <w:pPr>
              <w:pStyle w:val="B"/>
              <w:rPr>
                <w:szCs w:val="20"/>
              </w:rPr>
            </w:pPr>
            <w:r>
              <w:rPr>
                <w:rFonts w:hint="eastAsia"/>
                <w:szCs w:val="20"/>
              </w:rPr>
              <w:t>债权人总部所在地代码，见国家和地区代码表。</w:t>
            </w:r>
          </w:p>
        </w:tc>
      </w:tr>
      <w:tr w:rsidR="00A052DC" w14:paraId="3B91A07B" w14:textId="77777777">
        <w:trPr>
          <w:cantSplit/>
        </w:trPr>
        <w:tc>
          <w:tcPr>
            <w:tcW w:w="1526" w:type="dxa"/>
          </w:tcPr>
          <w:p w14:paraId="59F5F110" w14:textId="77777777" w:rsidR="00A052DC" w:rsidRDefault="009F0A60">
            <w:pPr>
              <w:pStyle w:val="B"/>
              <w:rPr>
                <w:szCs w:val="20"/>
              </w:rPr>
            </w:pPr>
            <w:r>
              <w:rPr>
                <w:rFonts w:hint="eastAsia"/>
                <w:szCs w:val="20"/>
              </w:rPr>
              <w:t>债权人经营地所在国家（地区）代码</w:t>
            </w:r>
          </w:p>
        </w:tc>
        <w:tc>
          <w:tcPr>
            <w:tcW w:w="6946" w:type="dxa"/>
            <w:vAlign w:val="center"/>
          </w:tcPr>
          <w:p w14:paraId="4B2DEAB3" w14:textId="77777777" w:rsidR="00A052DC" w:rsidRDefault="009F0A60">
            <w:pPr>
              <w:pStyle w:val="B"/>
              <w:rPr>
                <w:szCs w:val="20"/>
              </w:rPr>
            </w:pPr>
            <w:r>
              <w:rPr>
                <w:rFonts w:hint="eastAsia"/>
                <w:szCs w:val="20"/>
              </w:rPr>
              <w:t>债权人经营所在地代码，见国家和地区代码表。</w:t>
            </w:r>
          </w:p>
        </w:tc>
      </w:tr>
      <w:tr w:rsidR="00A052DC" w14:paraId="6060EF01" w14:textId="77777777">
        <w:trPr>
          <w:cantSplit/>
        </w:trPr>
        <w:tc>
          <w:tcPr>
            <w:tcW w:w="1526" w:type="dxa"/>
          </w:tcPr>
          <w:p w14:paraId="5CC66526" w14:textId="77777777" w:rsidR="00A052DC" w:rsidRDefault="009F0A60">
            <w:pPr>
              <w:pStyle w:val="B"/>
              <w:widowControl w:val="0"/>
              <w:rPr>
                <w:szCs w:val="20"/>
              </w:rPr>
            </w:pPr>
            <w:r>
              <w:rPr>
                <w:rFonts w:hint="eastAsia"/>
                <w:szCs w:val="20"/>
              </w:rPr>
              <w:t>是否不纳入跨境融资风险加权余额计算</w:t>
            </w:r>
          </w:p>
        </w:tc>
        <w:tc>
          <w:tcPr>
            <w:tcW w:w="6946" w:type="dxa"/>
          </w:tcPr>
          <w:p w14:paraId="4223542C" w14:textId="77777777" w:rsidR="00A052DC" w:rsidRDefault="009F0A60">
            <w:pPr>
              <w:pStyle w:val="B"/>
              <w:widowControl w:val="0"/>
              <w:rPr>
                <w:szCs w:val="20"/>
              </w:rPr>
            </w:pPr>
            <w:r>
              <w:rPr>
                <w:rFonts w:hint="eastAsia"/>
                <w:szCs w:val="20"/>
              </w:rPr>
              <w:t>标识该笔债务是否不纳入跨境融资风险加权余额计算，默认为“否”。</w:t>
            </w:r>
          </w:p>
        </w:tc>
      </w:tr>
      <w:tr w:rsidR="00A052DC" w14:paraId="4CE75E45" w14:textId="77777777">
        <w:trPr>
          <w:cantSplit/>
        </w:trPr>
        <w:tc>
          <w:tcPr>
            <w:tcW w:w="1526" w:type="dxa"/>
          </w:tcPr>
          <w:p w14:paraId="01BDDD19" w14:textId="77777777" w:rsidR="00A052DC" w:rsidRDefault="009F0A60">
            <w:pPr>
              <w:pStyle w:val="B"/>
              <w:widowControl w:val="0"/>
              <w:rPr>
                <w:szCs w:val="20"/>
              </w:rPr>
            </w:pPr>
            <w:r>
              <w:rPr>
                <w:rFonts w:hint="eastAsia"/>
                <w:szCs w:val="20"/>
              </w:rPr>
              <w:t>对方与本机构的关系</w:t>
            </w:r>
          </w:p>
        </w:tc>
        <w:tc>
          <w:tcPr>
            <w:tcW w:w="6946" w:type="dxa"/>
          </w:tcPr>
          <w:p w14:paraId="6BD7B27D" w14:textId="77777777" w:rsidR="00A052DC" w:rsidRDefault="009F0A60">
            <w:pPr>
              <w:pStyle w:val="B"/>
              <w:widowControl w:val="0"/>
              <w:rPr>
                <w:szCs w:val="20"/>
              </w:rPr>
            </w:pPr>
            <w:r>
              <w:rPr>
                <w:rFonts w:hint="eastAsia"/>
                <w:szCs w:val="20"/>
              </w:rPr>
              <w:t>债权人与本机构的关系，见对方与本机构/被代理居民机构/委托人的关系代码表。</w:t>
            </w:r>
          </w:p>
        </w:tc>
      </w:tr>
      <w:tr w:rsidR="00A052DC" w14:paraId="35B6283B" w14:textId="77777777">
        <w:trPr>
          <w:cantSplit/>
        </w:trPr>
        <w:tc>
          <w:tcPr>
            <w:tcW w:w="1526" w:type="dxa"/>
            <w:tcBorders>
              <w:top w:val="single" w:sz="6" w:space="0" w:color="auto"/>
              <w:left w:val="single" w:sz="6" w:space="0" w:color="auto"/>
              <w:bottom w:val="single" w:sz="6" w:space="0" w:color="auto"/>
              <w:right w:val="single" w:sz="6" w:space="0" w:color="auto"/>
            </w:tcBorders>
          </w:tcPr>
          <w:p w14:paraId="63186D62" w14:textId="77777777" w:rsidR="00A052DC" w:rsidRDefault="009F0A60">
            <w:pPr>
              <w:pStyle w:val="B"/>
              <w:widowControl w:val="0"/>
              <w:rPr>
                <w:szCs w:val="20"/>
              </w:rPr>
            </w:pPr>
            <w:r>
              <w:rPr>
                <w:rFonts w:hint="eastAsia"/>
                <w:szCs w:val="20"/>
              </w:rPr>
              <w:t>备注</w:t>
            </w:r>
          </w:p>
        </w:tc>
        <w:tc>
          <w:tcPr>
            <w:tcW w:w="6946" w:type="dxa"/>
            <w:tcBorders>
              <w:top w:val="single" w:sz="6" w:space="0" w:color="auto"/>
              <w:left w:val="single" w:sz="6" w:space="0" w:color="auto"/>
              <w:bottom w:val="single" w:sz="6" w:space="0" w:color="auto"/>
              <w:right w:val="single" w:sz="6" w:space="0" w:color="auto"/>
            </w:tcBorders>
          </w:tcPr>
          <w:p w14:paraId="3B292D28" w14:textId="77777777" w:rsidR="00A052DC" w:rsidRDefault="009F0A60">
            <w:pPr>
              <w:pStyle w:val="B"/>
              <w:widowControl w:val="0"/>
              <w:rPr>
                <w:szCs w:val="20"/>
              </w:rPr>
            </w:pPr>
            <w:r>
              <w:rPr>
                <w:rFonts w:hint="eastAsia"/>
                <w:szCs w:val="20"/>
              </w:rPr>
              <w:t>需要说明的备注事项。</w:t>
            </w:r>
          </w:p>
        </w:tc>
      </w:tr>
    </w:tbl>
    <w:p w14:paraId="28322AF7" w14:textId="77777777" w:rsidR="00A052DC" w:rsidRDefault="00A052DC">
      <w:pPr>
        <w:ind w:firstLine="480"/>
      </w:pPr>
    </w:p>
    <w:p w14:paraId="27A6FCCE" w14:textId="77777777" w:rsidR="00A052DC" w:rsidRDefault="009F0A60" w:rsidP="0020251D">
      <w:pPr>
        <w:pStyle w:val="5"/>
        <w:numPr>
          <w:ilvl w:val="4"/>
          <w:numId w:val="1"/>
        </w:numPr>
        <w:spacing w:before="120" w:after="120" w:line="360" w:lineRule="auto"/>
        <w:jc w:val="left"/>
      </w:pPr>
      <w:bookmarkStart w:id="1518" w:name="_Toc454386886"/>
      <w:r>
        <w:rPr>
          <w:rFonts w:hint="eastAsia"/>
        </w:rPr>
        <w:t>数据格式</w:t>
      </w:r>
      <w:bookmarkEnd w:id="1518"/>
    </w:p>
    <w:p w14:paraId="4C3D31B8" w14:textId="77777777" w:rsidR="00A052DC" w:rsidRDefault="009F0A60">
      <w:r>
        <w:t>&lt;REC&gt;</w:t>
      </w:r>
    </w:p>
    <w:p w14:paraId="62A9333D" w14:textId="77777777" w:rsidR="00A052DC" w:rsidRDefault="009F0A60">
      <w:r>
        <w:t>&lt;ACTIONTYPE&gt;</w:t>
      </w:r>
      <w:r>
        <w:rPr>
          <w:rFonts w:hint="eastAsia"/>
        </w:rPr>
        <w:t>操作类型</w:t>
      </w:r>
      <w:r>
        <w:t>&lt;/ACTIONTYPE&gt;</w:t>
      </w:r>
    </w:p>
    <w:p w14:paraId="101F8B5F" w14:textId="77777777" w:rsidR="00A052DC" w:rsidRDefault="009F0A60">
      <w:r>
        <w:t>&lt;ACTIONDESC&gt;</w:t>
      </w:r>
      <w:r>
        <w:rPr>
          <w:rFonts w:hint="eastAsia"/>
        </w:rPr>
        <w:t>删除原因</w:t>
      </w:r>
      <w:r>
        <w:t>&lt;/ACTIONDESC&gt;</w:t>
      </w:r>
    </w:p>
    <w:p w14:paraId="253277AE" w14:textId="77777777" w:rsidR="00A052DC" w:rsidRDefault="009F0A60">
      <w:r>
        <w:t>&lt;EXDEBTCODE&gt;</w:t>
      </w:r>
      <w:r>
        <w:rPr>
          <w:rFonts w:hint="eastAsia"/>
        </w:rPr>
        <w:t>外债编号</w:t>
      </w:r>
      <w:r>
        <w:t>&lt;/EXDEBTCODE&gt;</w:t>
      </w:r>
    </w:p>
    <w:p w14:paraId="1C262295" w14:textId="77777777" w:rsidR="00A052DC" w:rsidRDefault="009F0A60">
      <w:r>
        <w:t>&lt;DEBTORCODE&gt;</w:t>
      </w:r>
      <w:r>
        <w:rPr>
          <w:rFonts w:hint="eastAsia"/>
        </w:rPr>
        <w:t>债务人代码</w:t>
      </w:r>
      <w:r>
        <w:t>&lt;/DEBTORCODE&gt;</w:t>
      </w:r>
    </w:p>
    <w:p w14:paraId="7E0975D5" w14:textId="77777777" w:rsidR="00A052DC" w:rsidRDefault="009F0A60">
      <w:r>
        <w:t>&lt;DEBTYPE&gt;</w:t>
      </w:r>
      <w:r>
        <w:rPr>
          <w:rFonts w:hint="eastAsia"/>
        </w:rPr>
        <w:t>债务类型</w:t>
      </w:r>
      <w:r>
        <w:t>&lt;/DEBTYPE&gt;</w:t>
      </w:r>
    </w:p>
    <w:p w14:paraId="4BFA6610" w14:textId="77777777" w:rsidR="00A052DC" w:rsidRDefault="009F0A60">
      <w:r>
        <w:t>&lt;VALUEDATE&gt;</w:t>
      </w:r>
      <w:r>
        <w:rPr>
          <w:rFonts w:hint="eastAsia"/>
        </w:rPr>
        <w:t>起息日</w:t>
      </w:r>
      <w:r>
        <w:t>&lt;/VALUEDATE&gt;</w:t>
      </w:r>
    </w:p>
    <w:p w14:paraId="602A4D0D" w14:textId="77777777" w:rsidR="00A052DC" w:rsidRDefault="009F0A60">
      <w:r>
        <w:t>&lt;CONTRACTCURR&gt;</w:t>
      </w:r>
      <w:r>
        <w:rPr>
          <w:rFonts w:hint="eastAsia"/>
        </w:rPr>
        <w:t>签约币种</w:t>
      </w:r>
      <w:r>
        <w:t>&lt;/CONTRACTCURR&gt;</w:t>
      </w:r>
    </w:p>
    <w:p w14:paraId="51DAD260" w14:textId="77777777" w:rsidR="00A052DC" w:rsidRDefault="009F0A60">
      <w:r>
        <w:t>&lt;CONTRACTAMOUNT&gt;</w:t>
      </w:r>
      <w:r>
        <w:rPr>
          <w:rFonts w:hint="eastAsia"/>
        </w:rPr>
        <w:t>签约金额</w:t>
      </w:r>
      <w:r>
        <w:t>&lt;/CONTRACTAMOUNT&gt;</w:t>
      </w:r>
    </w:p>
    <w:p w14:paraId="52C580DE" w14:textId="77777777" w:rsidR="00A052DC" w:rsidRDefault="009F0A60">
      <w:r>
        <w:t>&lt;MATURITY&gt;</w:t>
      </w:r>
      <w:r>
        <w:rPr>
          <w:rFonts w:hint="eastAsia"/>
        </w:rPr>
        <w:t>到期日</w:t>
      </w:r>
      <w:r>
        <w:t>&lt;/MATURITY&gt;</w:t>
      </w:r>
    </w:p>
    <w:p w14:paraId="7DEDB63C" w14:textId="77777777" w:rsidR="00A052DC" w:rsidRDefault="009F0A60">
      <w:r>
        <w:t>&lt;FLOATRATE&gt;</w:t>
      </w:r>
      <w:r>
        <w:rPr>
          <w:rFonts w:hint="eastAsia"/>
        </w:rPr>
        <w:t>是否浮动利率</w:t>
      </w:r>
      <w:r>
        <w:t>&lt;/FLOATRATE&gt;</w:t>
      </w:r>
    </w:p>
    <w:p w14:paraId="23752A16" w14:textId="77777777" w:rsidR="00A052DC" w:rsidRDefault="009F0A60">
      <w:r>
        <w:t>&lt;ANNINRATE&gt;</w:t>
      </w:r>
      <w:r>
        <w:rPr>
          <w:rFonts w:hint="eastAsia"/>
        </w:rPr>
        <w:t>年化利率值</w:t>
      </w:r>
      <w:r>
        <w:t>&lt;/ANNINRATE&gt;</w:t>
      </w:r>
    </w:p>
    <w:p w14:paraId="60DC656F" w14:textId="77777777" w:rsidR="00A052DC" w:rsidRDefault="009F0A60">
      <w:r>
        <w:t>&lt;INPRIAMOUNT&gt;</w:t>
      </w:r>
      <w:r>
        <w:rPr>
          <w:rFonts w:hint="eastAsia"/>
        </w:rPr>
        <w:t>利息本金化金额</w:t>
      </w:r>
      <w:r>
        <w:t>&lt;/INPRIAMOUNT&gt;</w:t>
      </w:r>
    </w:p>
    <w:p w14:paraId="022C2C31" w14:textId="77777777" w:rsidR="00A052DC" w:rsidRDefault="009F0A60">
      <w:r>
        <w:t>&lt;CREDITORCODE&gt;</w:t>
      </w:r>
      <w:r>
        <w:rPr>
          <w:rFonts w:hint="eastAsia"/>
        </w:rPr>
        <w:t>债权人代码</w:t>
      </w:r>
      <w:r>
        <w:t>&lt;/CREDITORCODE&gt;</w:t>
      </w:r>
    </w:p>
    <w:p w14:paraId="73A8179C" w14:textId="77777777" w:rsidR="00A052DC" w:rsidRDefault="009F0A60">
      <w:r>
        <w:t>&lt;CREDITORNAME&gt;</w:t>
      </w:r>
      <w:r>
        <w:rPr>
          <w:rFonts w:hint="eastAsia"/>
        </w:rPr>
        <w:t>债权人中文名称</w:t>
      </w:r>
      <w:r>
        <w:t>&lt;/CREDITORNAME&gt;</w:t>
      </w:r>
    </w:p>
    <w:p w14:paraId="129EA447" w14:textId="77777777" w:rsidR="00A052DC" w:rsidRDefault="009F0A60">
      <w:r>
        <w:t>&lt;CREDITORNAMEN&gt;</w:t>
      </w:r>
      <w:r>
        <w:rPr>
          <w:rFonts w:hint="eastAsia"/>
        </w:rPr>
        <w:t>债权人英文名称</w:t>
      </w:r>
      <w:r>
        <w:t>&lt;/CREDITORNAMEN&gt;</w:t>
      </w:r>
    </w:p>
    <w:p w14:paraId="6B10F1DC" w14:textId="77777777" w:rsidR="00A052DC" w:rsidRDefault="009F0A60">
      <w:r>
        <w:t>&lt;CREDITORTYPE&gt;</w:t>
      </w:r>
      <w:r>
        <w:rPr>
          <w:rFonts w:hint="eastAsia"/>
        </w:rPr>
        <w:t>债权人类型代码</w:t>
      </w:r>
      <w:r>
        <w:t>&lt;/CREDITORTYPE&gt;</w:t>
      </w:r>
    </w:p>
    <w:p w14:paraId="041B7C5D" w14:textId="77777777" w:rsidR="00A052DC" w:rsidRDefault="009F0A60">
      <w:r>
        <w:t>&lt;CREHQCODE&gt;</w:t>
      </w:r>
      <w:r>
        <w:rPr>
          <w:rFonts w:hint="eastAsia"/>
        </w:rPr>
        <w:t>债权人总部所在国家（地区）代码</w:t>
      </w:r>
      <w:r>
        <w:t>&lt;/CREHQCODE&gt;</w:t>
      </w:r>
    </w:p>
    <w:p w14:paraId="2D7E9D94" w14:textId="77777777" w:rsidR="00A052DC" w:rsidRDefault="009F0A60">
      <w:r>
        <w:t>&lt;OPERCODE&gt;</w:t>
      </w:r>
      <w:r>
        <w:rPr>
          <w:rFonts w:hint="eastAsia"/>
        </w:rPr>
        <w:t>债权人经营地所在国家（地区）代码</w:t>
      </w:r>
      <w:r>
        <w:t>&lt;/OPERCODE&gt;</w:t>
      </w:r>
    </w:p>
    <w:p w14:paraId="6D700D88" w14:textId="77777777" w:rsidR="00A052DC" w:rsidRDefault="009F0A60">
      <w:r>
        <w:t>&lt;SPAPFEBOINDEX&gt;</w:t>
      </w:r>
      <w:r>
        <w:rPr>
          <w:rFonts w:hint="eastAsia"/>
        </w:rPr>
        <w:t>是否不纳入跨境融资风险加权余额计算</w:t>
      </w:r>
      <w:r>
        <w:t>&lt;/SPAPFEBOINDEX&gt;</w:t>
      </w:r>
    </w:p>
    <w:p w14:paraId="7EC40147" w14:textId="77777777" w:rsidR="00A052DC" w:rsidRDefault="009F0A60">
      <w:r>
        <w:t>&lt;RELATION&gt;</w:t>
      </w:r>
      <w:r>
        <w:rPr>
          <w:rFonts w:hint="eastAsia"/>
        </w:rPr>
        <w:t>对方与本机构的关系</w:t>
      </w:r>
      <w:r>
        <w:t>&lt;/RELATION&gt;</w:t>
      </w:r>
    </w:p>
    <w:p w14:paraId="40721022" w14:textId="77777777" w:rsidR="00A052DC" w:rsidRDefault="009F0A60">
      <w:r>
        <w:t>&lt;REMARK&gt;</w:t>
      </w:r>
      <w:r>
        <w:rPr>
          <w:rFonts w:hint="eastAsia"/>
        </w:rPr>
        <w:t>备注</w:t>
      </w:r>
      <w:r>
        <w:t>&lt;/REMARK&gt;</w:t>
      </w:r>
    </w:p>
    <w:p w14:paraId="72E1AE42" w14:textId="77777777" w:rsidR="00A052DC" w:rsidRDefault="009F0A60">
      <w:r>
        <w:t>&lt;/REC&gt;</w:t>
      </w:r>
    </w:p>
    <w:p w14:paraId="56E705DF" w14:textId="77777777" w:rsidR="00A052DC" w:rsidRDefault="009F0A60" w:rsidP="0020251D">
      <w:pPr>
        <w:pStyle w:val="5"/>
        <w:numPr>
          <w:ilvl w:val="4"/>
          <w:numId w:val="1"/>
        </w:numPr>
        <w:spacing w:before="120" w:after="120" w:line="360" w:lineRule="auto"/>
        <w:jc w:val="left"/>
      </w:pPr>
      <w:bookmarkStart w:id="1519" w:name="_Toc454386887"/>
      <w:r>
        <w:rPr>
          <w:rFonts w:hint="eastAsia"/>
        </w:rPr>
        <w:t>数据字典</w:t>
      </w:r>
      <w:bookmarkEnd w:id="1519"/>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701"/>
        <w:gridCol w:w="1417"/>
        <w:gridCol w:w="3686"/>
      </w:tblGrid>
      <w:tr w:rsidR="00A052DC" w14:paraId="3A18F9BA" w14:textId="77777777">
        <w:trPr>
          <w:tblHeader/>
        </w:trPr>
        <w:tc>
          <w:tcPr>
            <w:tcW w:w="1702" w:type="dxa"/>
            <w:shd w:val="clear" w:color="auto" w:fill="C0C0C0"/>
          </w:tcPr>
          <w:p w14:paraId="77D92B6D" w14:textId="77777777" w:rsidR="00A052DC" w:rsidRDefault="009F0A60">
            <w:pPr>
              <w:pStyle w:val="B1"/>
            </w:pPr>
            <w:r>
              <w:rPr>
                <w:rFonts w:hint="eastAsia"/>
              </w:rPr>
              <w:t>字段</w:t>
            </w:r>
          </w:p>
        </w:tc>
        <w:tc>
          <w:tcPr>
            <w:tcW w:w="1701" w:type="dxa"/>
            <w:shd w:val="clear" w:color="auto" w:fill="C0C0C0"/>
          </w:tcPr>
          <w:p w14:paraId="6163F89F" w14:textId="77777777" w:rsidR="00A052DC" w:rsidRDefault="009F0A60">
            <w:pPr>
              <w:pStyle w:val="B1"/>
            </w:pPr>
            <w:r>
              <w:rPr>
                <w:rFonts w:hint="eastAsia"/>
              </w:rPr>
              <w:t>内容</w:t>
            </w:r>
          </w:p>
        </w:tc>
        <w:tc>
          <w:tcPr>
            <w:tcW w:w="1417" w:type="dxa"/>
            <w:shd w:val="clear" w:color="auto" w:fill="C0C0C0"/>
          </w:tcPr>
          <w:p w14:paraId="5345C7B3" w14:textId="77777777" w:rsidR="00A052DC" w:rsidRDefault="009F0A60">
            <w:pPr>
              <w:pStyle w:val="B1"/>
            </w:pPr>
            <w:r>
              <w:rPr>
                <w:rFonts w:hint="eastAsia"/>
              </w:rPr>
              <w:t>类型（长度）</w:t>
            </w:r>
          </w:p>
        </w:tc>
        <w:tc>
          <w:tcPr>
            <w:tcW w:w="3686" w:type="dxa"/>
            <w:shd w:val="clear" w:color="auto" w:fill="C0C0C0"/>
          </w:tcPr>
          <w:p w14:paraId="370AF2FF" w14:textId="77777777" w:rsidR="00A052DC" w:rsidRDefault="009F0A60">
            <w:pPr>
              <w:pStyle w:val="B1"/>
            </w:pPr>
            <w:r>
              <w:rPr>
                <w:rFonts w:hint="eastAsia"/>
              </w:rPr>
              <w:t>校验</w:t>
            </w:r>
          </w:p>
        </w:tc>
      </w:tr>
      <w:tr w:rsidR="00A052DC" w14:paraId="3E45D5A6" w14:textId="77777777">
        <w:tc>
          <w:tcPr>
            <w:tcW w:w="1702" w:type="dxa"/>
          </w:tcPr>
          <w:p w14:paraId="6B312D48" w14:textId="77777777" w:rsidR="00A052DC" w:rsidRDefault="009F0A60">
            <w:pPr>
              <w:pStyle w:val="B"/>
              <w:rPr>
                <w:szCs w:val="20"/>
              </w:rPr>
            </w:pPr>
            <w:r>
              <w:rPr>
                <w:szCs w:val="20"/>
              </w:rPr>
              <w:t>ACTIONTYPE</w:t>
            </w:r>
          </w:p>
        </w:tc>
        <w:tc>
          <w:tcPr>
            <w:tcW w:w="1701" w:type="dxa"/>
          </w:tcPr>
          <w:p w14:paraId="58A325C1" w14:textId="77777777" w:rsidR="00A052DC" w:rsidRDefault="009F0A60">
            <w:pPr>
              <w:pStyle w:val="B"/>
              <w:rPr>
                <w:szCs w:val="20"/>
              </w:rPr>
            </w:pPr>
            <w:r>
              <w:rPr>
                <w:rFonts w:hint="eastAsia"/>
                <w:szCs w:val="20"/>
              </w:rPr>
              <w:t>操作类型</w:t>
            </w:r>
          </w:p>
        </w:tc>
        <w:tc>
          <w:tcPr>
            <w:tcW w:w="1417" w:type="dxa"/>
          </w:tcPr>
          <w:p w14:paraId="05EC4E09" w14:textId="77777777" w:rsidR="00A052DC" w:rsidRDefault="009F0A60">
            <w:pPr>
              <w:pStyle w:val="B"/>
              <w:rPr>
                <w:szCs w:val="20"/>
              </w:rPr>
            </w:pPr>
            <w:r>
              <w:rPr>
                <w:rFonts w:hint="eastAsia"/>
                <w:szCs w:val="20"/>
              </w:rPr>
              <w:t>字符型，</w:t>
            </w:r>
            <w:r>
              <w:rPr>
                <w:szCs w:val="20"/>
              </w:rPr>
              <w:t>1</w:t>
            </w:r>
          </w:p>
        </w:tc>
        <w:tc>
          <w:tcPr>
            <w:tcW w:w="3686" w:type="dxa"/>
          </w:tcPr>
          <w:p w14:paraId="557A587B" w14:textId="77777777" w:rsidR="00A052DC" w:rsidRDefault="009F0A60">
            <w:pPr>
              <w:pStyle w:val="B"/>
              <w:rPr>
                <w:szCs w:val="20"/>
              </w:rPr>
            </w:pPr>
            <w:r>
              <w:rPr>
                <w:rFonts w:hint="eastAsia"/>
                <w:szCs w:val="20"/>
              </w:rPr>
              <w:t>必填项</w:t>
            </w:r>
            <w:r w:rsidR="000E18F5">
              <w:rPr>
                <w:rFonts w:hint="eastAsia"/>
                <w:szCs w:val="20"/>
              </w:rPr>
              <w:t>。</w:t>
            </w:r>
          </w:p>
          <w:p w14:paraId="51A13CC7" w14:textId="77777777" w:rsidR="00A052DC" w:rsidRDefault="009F0A60">
            <w:pPr>
              <w:pStyle w:val="B"/>
              <w:rPr>
                <w:szCs w:val="20"/>
              </w:rPr>
            </w:pPr>
            <w:r>
              <w:rPr>
                <w:szCs w:val="20"/>
              </w:rPr>
              <w:t>A</w:t>
            </w:r>
            <w:r w:rsidR="00AE4602">
              <w:rPr>
                <w:rFonts w:hint="eastAsia"/>
                <w:szCs w:val="20"/>
              </w:rPr>
              <w:t>-</w:t>
            </w:r>
            <w:r>
              <w:rPr>
                <w:rFonts w:hint="eastAsia"/>
                <w:szCs w:val="20"/>
              </w:rPr>
              <w:t>新建</w:t>
            </w:r>
          </w:p>
          <w:p w14:paraId="31A56CD2" w14:textId="77777777" w:rsidR="00A052DC" w:rsidRDefault="009F0A60">
            <w:pPr>
              <w:pStyle w:val="B"/>
              <w:rPr>
                <w:szCs w:val="20"/>
              </w:rPr>
            </w:pPr>
            <w:r>
              <w:rPr>
                <w:szCs w:val="20"/>
              </w:rPr>
              <w:t>C</w:t>
            </w:r>
            <w:r w:rsidR="00AE4602">
              <w:rPr>
                <w:rFonts w:hint="eastAsia"/>
                <w:szCs w:val="20"/>
              </w:rPr>
              <w:t>-</w:t>
            </w:r>
            <w:r>
              <w:rPr>
                <w:rFonts w:hint="eastAsia"/>
                <w:szCs w:val="20"/>
              </w:rPr>
              <w:t>修改</w:t>
            </w:r>
          </w:p>
          <w:p w14:paraId="324C758E" w14:textId="77777777" w:rsidR="000E18F5" w:rsidRDefault="009F0A60" w:rsidP="000E18F5">
            <w:pPr>
              <w:pStyle w:val="B"/>
              <w:rPr>
                <w:szCs w:val="20"/>
              </w:rPr>
            </w:pPr>
            <w:r>
              <w:rPr>
                <w:szCs w:val="20"/>
              </w:rPr>
              <w:t>D</w:t>
            </w:r>
            <w:r w:rsidR="00AE4602">
              <w:rPr>
                <w:rFonts w:hint="eastAsia"/>
                <w:szCs w:val="20"/>
              </w:rPr>
              <w:t>-</w:t>
            </w:r>
            <w:r>
              <w:rPr>
                <w:rFonts w:hint="eastAsia"/>
                <w:szCs w:val="20"/>
              </w:rPr>
              <w:t>删除</w:t>
            </w:r>
          </w:p>
          <w:p w14:paraId="3A468414" w14:textId="77777777" w:rsidR="00A052DC" w:rsidRDefault="009F0A60" w:rsidP="000E18F5">
            <w:pPr>
              <w:pStyle w:val="B"/>
              <w:rPr>
                <w:szCs w:val="20"/>
              </w:rPr>
            </w:pPr>
            <w:r>
              <w:rPr>
                <w:rFonts w:hint="eastAsia"/>
                <w:szCs w:val="20"/>
              </w:rPr>
              <w:t>一旦银行报送了该外债编号下的变动信息或月末存量信息，就不可以删除了。</w:t>
            </w:r>
          </w:p>
        </w:tc>
      </w:tr>
      <w:tr w:rsidR="00A052DC" w14:paraId="47843614" w14:textId="77777777">
        <w:tc>
          <w:tcPr>
            <w:tcW w:w="1702" w:type="dxa"/>
          </w:tcPr>
          <w:p w14:paraId="182207BD" w14:textId="77777777" w:rsidR="00A052DC" w:rsidRDefault="009F0A60">
            <w:pPr>
              <w:pStyle w:val="B"/>
              <w:rPr>
                <w:szCs w:val="20"/>
              </w:rPr>
            </w:pPr>
            <w:r>
              <w:rPr>
                <w:szCs w:val="20"/>
              </w:rPr>
              <w:t>ACTIONDESC</w:t>
            </w:r>
          </w:p>
        </w:tc>
        <w:tc>
          <w:tcPr>
            <w:tcW w:w="1701" w:type="dxa"/>
          </w:tcPr>
          <w:p w14:paraId="6C8FAD9B" w14:textId="77777777" w:rsidR="00A052DC" w:rsidRDefault="009F0A60">
            <w:pPr>
              <w:pStyle w:val="B"/>
              <w:rPr>
                <w:szCs w:val="20"/>
              </w:rPr>
            </w:pPr>
            <w:r>
              <w:rPr>
                <w:rFonts w:hint="eastAsia"/>
                <w:szCs w:val="20"/>
              </w:rPr>
              <w:t>删除原因</w:t>
            </w:r>
          </w:p>
        </w:tc>
        <w:tc>
          <w:tcPr>
            <w:tcW w:w="1417" w:type="dxa"/>
          </w:tcPr>
          <w:p w14:paraId="5F040C3E" w14:textId="77777777" w:rsidR="00A052DC" w:rsidRDefault="009F0A60">
            <w:pPr>
              <w:pStyle w:val="B1"/>
              <w:jc w:val="both"/>
              <w:rPr>
                <w:b w:val="0"/>
              </w:rPr>
            </w:pPr>
            <w:r>
              <w:rPr>
                <w:rFonts w:hint="eastAsia"/>
                <w:b w:val="0"/>
              </w:rPr>
              <w:t>字符型，</w:t>
            </w:r>
            <w:r>
              <w:rPr>
                <w:b w:val="0"/>
              </w:rPr>
              <w:t>128</w:t>
            </w:r>
          </w:p>
        </w:tc>
        <w:tc>
          <w:tcPr>
            <w:tcW w:w="3686" w:type="dxa"/>
          </w:tcPr>
          <w:p w14:paraId="395686F5" w14:textId="77777777" w:rsidR="00A052DC" w:rsidRDefault="00DD6AA3" w:rsidP="000E18F5">
            <w:pPr>
              <w:pStyle w:val="B"/>
              <w:rPr>
                <w:szCs w:val="20"/>
              </w:rPr>
            </w:pPr>
            <w:r>
              <w:rPr>
                <w:rFonts w:hint="eastAsia"/>
                <w:szCs w:val="20"/>
              </w:rPr>
              <w:t>非必填项，当操作类型（ACTIONTYPE）为删除时必填。</w:t>
            </w:r>
          </w:p>
        </w:tc>
      </w:tr>
      <w:tr w:rsidR="00A052DC" w14:paraId="29042F12" w14:textId="77777777">
        <w:tc>
          <w:tcPr>
            <w:tcW w:w="1702" w:type="dxa"/>
          </w:tcPr>
          <w:p w14:paraId="361B6546" w14:textId="77777777" w:rsidR="00A052DC" w:rsidRDefault="009F0A60">
            <w:pPr>
              <w:pStyle w:val="B"/>
              <w:rPr>
                <w:szCs w:val="20"/>
              </w:rPr>
            </w:pPr>
            <w:r>
              <w:rPr>
                <w:szCs w:val="20"/>
              </w:rPr>
              <w:t>EXDEBTCODE</w:t>
            </w:r>
          </w:p>
        </w:tc>
        <w:tc>
          <w:tcPr>
            <w:tcW w:w="1701" w:type="dxa"/>
          </w:tcPr>
          <w:p w14:paraId="5408F742" w14:textId="77777777" w:rsidR="00A052DC" w:rsidRDefault="009F0A60">
            <w:pPr>
              <w:pStyle w:val="B"/>
              <w:rPr>
                <w:szCs w:val="20"/>
              </w:rPr>
            </w:pPr>
            <w:r>
              <w:rPr>
                <w:rFonts w:hint="eastAsia"/>
                <w:szCs w:val="20"/>
              </w:rPr>
              <w:t>外债编号</w:t>
            </w:r>
          </w:p>
        </w:tc>
        <w:tc>
          <w:tcPr>
            <w:tcW w:w="1417" w:type="dxa"/>
          </w:tcPr>
          <w:p w14:paraId="77028E18" w14:textId="77777777" w:rsidR="00A052DC" w:rsidRDefault="009F0A60">
            <w:pPr>
              <w:pStyle w:val="B"/>
              <w:rPr>
                <w:szCs w:val="20"/>
              </w:rPr>
            </w:pPr>
            <w:r>
              <w:rPr>
                <w:rFonts w:hint="eastAsia"/>
                <w:szCs w:val="20"/>
              </w:rPr>
              <w:t>字符型，</w:t>
            </w:r>
            <w:r>
              <w:rPr>
                <w:szCs w:val="20"/>
              </w:rPr>
              <w:t>28</w:t>
            </w:r>
          </w:p>
        </w:tc>
        <w:tc>
          <w:tcPr>
            <w:tcW w:w="3686" w:type="dxa"/>
          </w:tcPr>
          <w:p w14:paraId="381216DF" w14:textId="77777777" w:rsidR="00A052DC" w:rsidRDefault="009F0A60" w:rsidP="000E18F5">
            <w:pPr>
              <w:pStyle w:val="B"/>
              <w:rPr>
                <w:szCs w:val="20"/>
              </w:rPr>
            </w:pPr>
            <w:r>
              <w:rPr>
                <w:rFonts w:hint="eastAsia"/>
                <w:szCs w:val="20"/>
              </w:rPr>
              <w:t>必填项，外债唯一性编码。</w:t>
            </w:r>
          </w:p>
        </w:tc>
      </w:tr>
      <w:tr w:rsidR="00A052DC" w14:paraId="181CF187" w14:textId="77777777">
        <w:tc>
          <w:tcPr>
            <w:tcW w:w="1702" w:type="dxa"/>
          </w:tcPr>
          <w:p w14:paraId="208E9903" w14:textId="77777777" w:rsidR="00A052DC" w:rsidRDefault="009F0A60">
            <w:pPr>
              <w:pStyle w:val="B"/>
              <w:rPr>
                <w:szCs w:val="20"/>
              </w:rPr>
            </w:pPr>
            <w:r>
              <w:rPr>
                <w:szCs w:val="20"/>
              </w:rPr>
              <w:t>DEBTORCODE</w:t>
            </w:r>
          </w:p>
        </w:tc>
        <w:tc>
          <w:tcPr>
            <w:tcW w:w="1701" w:type="dxa"/>
          </w:tcPr>
          <w:p w14:paraId="1990C8E8" w14:textId="77777777" w:rsidR="00A052DC" w:rsidRDefault="009F0A60">
            <w:pPr>
              <w:pStyle w:val="B"/>
              <w:rPr>
                <w:szCs w:val="20"/>
              </w:rPr>
            </w:pPr>
            <w:r>
              <w:rPr>
                <w:rFonts w:hint="eastAsia"/>
                <w:szCs w:val="20"/>
              </w:rPr>
              <w:t>债务人代码</w:t>
            </w:r>
          </w:p>
        </w:tc>
        <w:tc>
          <w:tcPr>
            <w:tcW w:w="1417" w:type="dxa"/>
          </w:tcPr>
          <w:p w14:paraId="62782453" w14:textId="77777777" w:rsidR="00A052DC" w:rsidRDefault="009F0A60">
            <w:pPr>
              <w:pStyle w:val="B"/>
              <w:rPr>
                <w:szCs w:val="20"/>
              </w:rPr>
            </w:pPr>
            <w:r>
              <w:rPr>
                <w:rFonts w:hint="eastAsia"/>
                <w:szCs w:val="20"/>
              </w:rPr>
              <w:t>字符型，</w:t>
            </w:r>
            <w:r>
              <w:rPr>
                <w:szCs w:val="20"/>
              </w:rPr>
              <w:t>12</w:t>
            </w:r>
          </w:p>
        </w:tc>
        <w:tc>
          <w:tcPr>
            <w:tcW w:w="3686" w:type="dxa"/>
          </w:tcPr>
          <w:p w14:paraId="36167F43" w14:textId="77777777" w:rsidR="00A052DC" w:rsidRDefault="009F0A60" w:rsidP="000E18F5">
            <w:pPr>
              <w:pStyle w:val="B"/>
              <w:rPr>
                <w:szCs w:val="20"/>
              </w:rPr>
            </w:pPr>
            <w:r>
              <w:rPr>
                <w:rFonts w:hint="eastAsia"/>
                <w:szCs w:val="20"/>
              </w:rPr>
              <w:t>必填项，金融机构标识码。</w:t>
            </w:r>
          </w:p>
        </w:tc>
      </w:tr>
      <w:tr w:rsidR="00A052DC" w14:paraId="5556BA80" w14:textId="77777777">
        <w:tc>
          <w:tcPr>
            <w:tcW w:w="1702" w:type="dxa"/>
          </w:tcPr>
          <w:p w14:paraId="296A86C2" w14:textId="77777777" w:rsidR="00A052DC" w:rsidRDefault="009F0A60">
            <w:pPr>
              <w:pStyle w:val="B"/>
              <w:rPr>
                <w:szCs w:val="20"/>
              </w:rPr>
            </w:pPr>
            <w:r>
              <w:rPr>
                <w:szCs w:val="20"/>
              </w:rPr>
              <w:t>DEBTYPE</w:t>
            </w:r>
          </w:p>
        </w:tc>
        <w:tc>
          <w:tcPr>
            <w:tcW w:w="1701" w:type="dxa"/>
          </w:tcPr>
          <w:p w14:paraId="76C09B96" w14:textId="77777777" w:rsidR="00A052DC" w:rsidRDefault="009F0A60">
            <w:pPr>
              <w:pStyle w:val="B"/>
              <w:rPr>
                <w:szCs w:val="20"/>
              </w:rPr>
            </w:pPr>
            <w:r>
              <w:rPr>
                <w:rFonts w:hint="eastAsia"/>
                <w:szCs w:val="20"/>
              </w:rPr>
              <w:t>债务类型</w:t>
            </w:r>
          </w:p>
        </w:tc>
        <w:tc>
          <w:tcPr>
            <w:tcW w:w="1417" w:type="dxa"/>
          </w:tcPr>
          <w:p w14:paraId="561DC4E6" w14:textId="77777777" w:rsidR="00A052DC" w:rsidRDefault="009F0A60">
            <w:pPr>
              <w:pStyle w:val="B"/>
              <w:rPr>
                <w:szCs w:val="20"/>
              </w:rPr>
            </w:pPr>
            <w:r>
              <w:rPr>
                <w:rFonts w:hint="eastAsia"/>
                <w:szCs w:val="20"/>
              </w:rPr>
              <w:t>字符型</w:t>
            </w:r>
            <w:r>
              <w:rPr>
                <w:rFonts w:cs="宋体" w:hint="eastAsia"/>
                <w:szCs w:val="20"/>
              </w:rPr>
              <w:t>，</w:t>
            </w:r>
            <w:r>
              <w:rPr>
                <w:rFonts w:cs="宋体"/>
                <w:szCs w:val="20"/>
              </w:rPr>
              <w:t>4</w:t>
            </w:r>
          </w:p>
        </w:tc>
        <w:tc>
          <w:tcPr>
            <w:tcW w:w="3686" w:type="dxa"/>
          </w:tcPr>
          <w:p w14:paraId="4F178BB0" w14:textId="77777777" w:rsidR="00A052DC" w:rsidRDefault="009F0A60" w:rsidP="000E18F5">
            <w:pPr>
              <w:pStyle w:val="B"/>
              <w:rPr>
                <w:szCs w:val="20"/>
              </w:rPr>
            </w:pPr>
            <w:r>
              <w:rPr>
                <w:rFonts w:hint="eastAsia"/>
                <w:szCs w:val="20"/>
              </w:rPr>
              <w:t>必填项，见债务类型代码表。</w:t>
            </w:r>
          </w:p>
        </w:tc>
      </w:tr>
      <w:tr w:rsidR="00A052DC" w14:paraId="2DC92C16" w14:textId="77777777">
        <w:tc>
          <w:tcPr>
            <w:tcW w:w="1702" w:type="dxa"/>
            <w:tcBorders>
              <w:top w:val="single" w:sz="4" w:space="0" w:color="auto"/>
              <w:left w:val="single" w:sz="4" w:space="0" w:color="auto"/>
              <w:bottom w:val="single" w:sz="4" w:space="0" w:color="auto"/>
              <w:right w:val="single" w:sz="4" w:space="0" w:color="auto"/>
            </w:tcBorders>
          </w:tcPr>
          <w:p w14:paraId="7B3D98FD" w14:textId="77777777" w:rsidR="00A052DC" w:rsidRDefault="009F0A60">
            <w:pPr>
              <w:pStyle w:val="B"/>
              <w:rPr>
                <w:szCs w:val="20"/>
              </w:rPr>
            </w:pPr>
            <w:r>
              <w:rPr>
                <w:szCs w:val="20"/>
              </w:rPr>
              <w:t>VALUEDATE</w:t>
            </w:r>
          </w:p>
        </w:tc>
        <w:tc>
          <w:tcPr>
            <w:tcW w:w="1701" w:type="dxa"/>
            <w:tcBorders>
              <w:top w:val="single" w:sz="4" w:space="0" w:color="auto"/>
              <w:left w:val="single" w:sz="4" w:space="0" w:color="auto"/>
              <w:bottom w:val="single" w:sz="4" w:space="0" w:color="auto"/>
              <w:right w:val="single" w:sz="4" w:space="0" w:color="auto"/>
            </w:tcBorders>
          </w:tcPr>
          <w:p w14:paraId="05230F9C" w14:textId="77777777" w:rsidR="00A052DC" w:rsidRDefault="009F0A60">
            <w:pPr>
              <w:pStyle w:val="B"/>
              <w:rPr>
                <w:szCs w:val="20"/>
              </w:rPr>
            </w:pPr>
            <w:r>
              <w:rPr>
                <w:rFonts w:hint="eastAsia"/>
                <w:szCs w:val="20"/>
              </w:rPr>
              <w:t>起息日</w:t>
            </w:r>
          </w:p>
        </w:tc>
        <w:tc>
          <w:tcPr>
            <w:tcW w:w="1417" w:type="dxa"/>
            <w:tcBorders>
              <w:top w:val="single" w:sz="4" w:space="0" w:color="auto"/>
              <w:left w:val="single" w:sz="4" w:space="0" w:color="auto"/>
              <w:bottom w:val="single" w:sz="4" w:space="0" w:color="auto"/>
              <w:right w:val="single" w:sz="4" w:space="0" w:color="auto"/>
            </w:tcBorders>
          </w:tcPr>
          <w:p w14:paraId="2D1A8427" w14:textId="77777777" w:rsidR="00A052DC" w:rsidRDefault="009F0A60">
            <w:pPr>
              <w:pStyle w:val="B"/>
              <w:rPr>
                <w:szCs w:val="20"/>
              </w:rPr>
            </w:pPr>
            <w:r>
              <w:rPr>
                <w:rFonts w:hint="eastAsia"/>
                <w:szCs w:val="20"/>
              </w:rPr>
              <w:t>日期型，</w:t>
            </w:r>
            <w:r>
              <w:rPr>
                <w:szCs w:val="20"/>
              </w:rPr>
              <w:t>8</w:t>
            </w:r>
          </w:p>
        </w:tc>
        <w:tc>
          <w:tcPr>
            <w:tcW w:w="3686" w:type="dxa"/>
            <w:tcBorders>
              <w:top w:val="single" w:sz="4" w:space="0" w:color="auto"/>
              <w:left w:val="single" w:sz="4" w:space="0" w:color="auto"/>
              <w:bottom w:val="single" w:sz="4" w:space="0" w:color="auto"/>
              <w:right w:val="single" w:sz="4" w:space="0" w:color="auto"/>
            </w:tcBorders>
          </w:tcPr>
          <w:p w14:paraId="6D4C93A6" w14:textId="77777777" w:rsidR="00A052DC" w:rsidRDefault="009F0A60" w:rsidP="000E18F5">
            <w:pPr>
              <w:pStyle w:val="B"/>
              <w:rPr>
                <w:szCs w:val="20"/>
              </w:rPr>
            </w:pPr>
            <w:r>
              <w:rPr>
                <w:rFonts w:hint="eastAsia"/>
                <w:szCs w:val="20"/>
              </w:rPr>
              <w:t>必填项，格式</w:t>
            </w:r>
            <w:r>
              <w:rPr>
                <w:szCs w:val="20"/>
              </w:rPr>
              <w:t>YYYYMMDD</w:t>
            </w:r>
            <w:r>
              <w:rPr>
                <w:rFonts w:hint="eastAsia"/>
                <w:szCs w:val="20"/>
              </w:rPr>
              <w:t>。</w:t>
            </w:r>
          </w:p>
        </w:tc>
      </w:tr>
      <w:tr w:rsidR="00A052DC" w14:paraId="31FFCFF8" w14:textId="77777777">
        <w:trPr>
          <w:cantSplit/>
          <w:trHeight w:val="64"/>
        </w:trPr>
        <w:tc>
          <w:tcPr>
            <w:tcW w:w="1702" w:type="dxa"/>
          </w:tcPr>
          <w:p w14:paraId="19AD074F" w14:textId="77777777" w:rsidR="00A052DC" w:rsidRDefault="009F0A60">
            <w:pPr>
              <w:pStyle w:val="B"/>
              <w:rPr>
                <w:szCs w:val="20"/>
              </w:rPr>
            </w:pPr>
            <w:r>
              <w:rPr>
                <w:szCs w:val="20"/>
              </w:rPr>
              <w:t>CONTRACTCURR</w:t>
            </w:r>
          </w:p>
        </w:tc>
        <w:tc>
          <w:tcPr>
            <w:tcW w:w="1701" w:type="dxa"/>
          </w:tcPr>
          <w:p w14:paraId="1DFE27D6" w14:textId="77777777" w:rsidR="00A052DC" w:rsidRDefault="009F0A60">
            <w:pPr>
              <w:pStyle w:val="B"/>
              <w:rPr>
                <w:szCs w:val="20"/>
              </w:rPr>
            </w:pPr>
            <w:r>
              <w:rPr>
                <w:rFonts w:hint="eastAsia"/>
                <w:szCs w:val="20"/>
              </w:rPr>
              <w:t>签约币种</w:t>
            </w:r>
          </w:p>
        </w:tc>
        <w:tc>
          <w:tcPr>
            <w:tcW w:w="1417" w:type="dxa"/>
          </w:tcPr>
          <w:p w14:paraId="3A4AF0D1" w14:textId="77777777" w:rsidR="00A052DC" w:rsidRDefault="009F0A60">
            <w:pPr>
              <w:pStyle w:val="B"/>
              <w:rPr>
                <w:szCs w:val="20"/>
              </w:rPr>
            </w:pPr>
            <w:r>
              <w:rPr>
                <w:rFonts w:hint="eastAsia"/>
                <w:szCs w:val="20"/>
              </w:rPr>
              <w:t>字符型，</w:t>
            </w:r>
            <w:r>
              <w:rPr>
                <w:szCs w:val="20"/>
              </w:rPr>
              <w:t>3</w:t>
            </w:r>
          </w:p>
        </w:tc>
        <w:tc>
          <w:tcPr>
            <w:tcW w:w="3686" w:type="dxa"/>
          </w:tcPr>
          <w:p w14:paraId="680564FB" w14:textId="77777777" w:rsidR="00A052DC" w:rsidRDefault="009F0A60" w:rsidP="000E18F5">
            <w:pPr>
              <w:pStyle w:val="B"/>
              <w:rPr>
                <w:szCs w:val="20"/>
              </w:rPr>
            </w:pPr>
            <w:r>
              <w:rPr>
                <w:rFonts w:hint="eastAsia"/>
                <w:szCs w:val="20"/>
              </w:rPr>
              <w:t>必填项，见币种代码表。</w:t>
            </w:r>
          </w:p>
        </w:tc>
      </w:tr>
      <w:tr w:rsidR="00A052DC" w14:paraId="2EBA5121" w14:textId="77777777">
        <w:tc>
          <w:tcPr>
            <w:tcW w:w="1702" w:type="dxa"/>
          </w:tcPr>
          <w:p w14:paraId="3DDA2E51" w14:textId="77777777" w:rsidR="00A052DC" w:rsidRDefault="009F0A60">
            <w:pPr>
              <w:pStyle w:val="B"/>
              <w:rPr>
                <w:szCs w:val="20"/>
              </w:rPr>
            </w:pPr>
            <w:r>
              <w:rPr>
                <w:szCs w:val="20"/>
              </w:rPr>
              <w:t>CONTRACTAMOUNT</w:t>
            </w:r>
          </w:p>
        </w:tc>
        <w:tc>
          <w:tcPr>
            <w:tcW w:w="1701" w:type="dxa"/>
          </w:tcPr>
          <w:p w14:paraId="762FAF5E" w14:textId="77777777" w:rsidR="00A052DC" w:rsidRDefault="009F0A60">
            <w:pPr>
              <w:pStyle w:val="B"/>
              <w:rPr>
                <w:szCs w:val="20"/>
              </w:rPr>
            </w:pPr>
            <w:r>
              <w:rPr>
                <w:rFonts w:hint="eastAsia"/>
                <w:szCs w:val="20"/>
              </w:rPr>
              <w:t>签约金额</w:t>
            </w:r>
          </w:p>
        </w:tc>
        <w:tc>
          <w:tcPr>
            <w:tcW w:w="1417" w:type="dxa"/>
          </w:tcPr>
          <w:p w14:paraId="1E67901A" w14:textId="77777777" w:rsidR="00A052DC" w:rsidRDefault="009F0A60">
            <w:pPr>
              <w:pStyle w:val="B"/>
              <w:rPr>
                <w:szCs w:val="20"/>
              </w:rPr>
            </w:pPr>
            <w:r>
              <w:rPr>
                <w:rFonts w:hint="eastAsia"/>
                <w:szCs w:val="20"/>
              </w:rPr>
              <w:t>数值型，</w:t>
            </w:r>
            <w:r>
              <w:rPr>
                <w:szCs w:val="20"/>
              </w:rPr>
              <w:t>22.2</w:t>
            </w:r>
          </w:p>
        </w:tc>
        <w:tc>
          <w:tcPr>
            <w:tcW w:w="3686" w:type="dxa"/>
          </w:tcPr>
          <w:p w14:paraId="060FFF1B" w14:textId="77777777" w:rsidR="00A052DC" w:rsidRDefault="009F0A60">
            <w:pPr>
              <w:pStyle w:val="B"/>
              <w:rPr>
                <w:szCs w:val="20"/>
              </w:rPr>
            </w:pPr>
            <w:r>
              <w:rPr>
                <w:rFonts w:hint="eastAsia"/>
                <w:szCs w:val="20"/>
              </w:rPr>
              <w:t>必填项，大于等于</w:t>
            </w:r>
            <w:r>
              <w:rPr>
                <w:szCs w:val="20"/>
              </w:rPr>
              <w:t>0</w:t>
            </w:r>
            <w:r>
              <w:rPr>
                <w:rFonts w:hint="eastAsia"/>
                <w:szCs w:val="20"/>
              </w:rPr>
              <w:t>。</w:t>
            </w:r>
          </w:p>
        </w:tc>
      </w:tr>
      <w:tr w:rsidR="00A052DC" w14:paraId="4E3F0E01" w14:textId="77777777">
        <w:tc>
          <w:tcPr>
            <w:tcW w:w="1702" w:type="dxa"/>
          </w:tcPr>
          <w:p w14:paraId="3CC719CF" w14:textId="77777777" w:rsidR="00A052DC" w:rsidRDefault="009F0A60">
            <w:pPr>
              <w:pStyle w:val="B"/>
              <w:rPr>
                <w:szCs w:val="20"/>
              </w:rPr>
            </w:pPr>
            <w:r>
              <w:rPr>
                <w:szCs w:val="20"/>
              </w:rPr>
              <w:t>Maturity</w:t>
            </w:r>
          </w:p>
        </w:tc>
        <w:tc>
          <w:tcPr>
            <w:tcW w:w="1701" w:type="dxa"/>
          </w:tcPr>
          <w:p w14:paraId="3D35E43B" w14:textId="77777777" w:rsidR="00A052DC" w:rsidRDefault="009F0A60">
            <w:pPr>
              <w:pStyle w:val="B"/>
              <w:rPr>
                <w:szCs w:val="20"/>
              </w:rPr>
            </w:pPr>
            <w:r>
              <w:rPr>
                <w:rFonts w:hint="eastAsia"/>
                <w:szCs w:val="20"/>
              </w:rPr>
              <w:t>到期日</w:t>
            </w:r>
          </w:p>
        </w:tc>
        <w:tc>
          <w:tcPr>
            <w:tcW w:w="1417" w:type="dxa"/>
          </w:tcPr>
          <w:p w14:paraId="57817097" w14:textId="77777777" w:rsidR="00A052DC" w:rsidRDefault="009F0A60">
            <w:pPr>
              <w:pStyle w:val="B"/>
              <w:rPr>
                <w:szCs w:val="20"/>
              </w:rPr>
            </w:pPr>
            <w:r>
              <w:rPr>
                <w:rFonts w:hint="eastAsia"/>
                <w:szCs w:val="20"/>
              </w:rPr>
              <w:t>日期型，</w:t>
            </w:r>
            <w:r>
              <w:rPr>
                <w:szCs w:val="20"/>
              </w:rPr>
              <w:t>8</w:t>
            </w:r>
          </w:p>
        </w:tc>
        <w:tc>
          <w:tcPr>
            <w:tcW w:w="3686" w:type="dxa"/>
          </w:tcPr>
          <w:p w14:paraId="1BC943CC" w14:textId="77777777" w:rsidR="00A052DC" w:rsidRDefault="009F0A60">
            <w:pPr>
              <w:pStyle w:val="B"/>
              <w:rPr>
                <w:szCs w:val="20"/>
              </w:rPr>
            </w:pPr>
            <w:r>
              <w:rPr>
                <w:rFonts w:hint="eastAsia"/>
                <w:szCs w:val="20"/>
              </w:rPr>
              <w:t>必填项，</w:t>
            </w:r>
          </w:p>
          <w:p w14:paraId="133AB504" w14:textId="77777777" w:rsidR="00A052DC" w:rsidRDefault="009F0A60">
            <w:pPr>
              <w:pStyle w:val="B"/>
              <w:rPr>
                <w:szCs w:val="20"/>
              </w:rPr>
            </w:pPr>
            <w:r>
              <w:rPr>
                <w:rFonts w:hint="eastAsia"/>
                <w:szCs w:val="20"/>
              </w:rPr>
              <w:t>格式</w:t>
            </w:r>
            <w:r>
              <w:rPr>
                <w:szCs w:val="20"/>
              </w:rPr>
              <w:t>YYYYMMDD</w:t>
            </w:r>
            <w:r>
              <w:rPr>
                <w:rFonts w:hint="eastAsia"/>
                <w:szCs w:val="20"/>
              </w:rPr>
              <w:t>，大于等于起息日。</w:t>
            </w:r>
          </w:p>
        </w:tc>
      </w:tr>
      <w:tr w:rsidR="00A052DC" w14:paraId="4A20E53F" w14:textId="77777777">
        <w:tc>
          <w:tcPr>
            <w:tcW w:w="1702" w:type="dxa"/>
          </w:tcPr>
          <w:p w14:paraId="64091500" w14:textId="77777777" w:rsidR="00A052DC" w:rsidRDefault="009F0A60">
            <w:pPr>
              <w:pStyle w:val="B"/>
              <w:rPr>
                <w:szCs w:val="20"/>
              </w:rPr>
            </w:pPr>
            <w:r>
              <w:rPr>
                <w:szCs w:val="20"/>
              </w:rPr>
              <w:t>FLOATRATE</w:t>
            </w:r>
          </w:p>
        </w:tc>
        <w:tc>
          <w:tcPr>
            <w:tcW w:w="1701" w:type="dxa"/>
          </w:tcPr>
          <w:p w14:paraId="4B779CA2" w14:textId="77777777" w:rsidR="00A052DC" w:rsidRDefault="009F0A60">
            <w:pPr>
              <w:pStyle w:val="B"/>
              <w:rPr>
                <w:szCs w:val="20"/>
              </w:rPr>
            </w:pPr>
            <w:r>
              <w:rPr>
                <w:rFonts w:hint="eastAsia"/>
                <w:szCs w:val="20"/>
              </w:rPr>
              <w:t>是否浮动利率</w:t>
            </w:r>
          </w:p>
        </w:tc>
        <w:tc>
          <w:tcPr>
            <w:tcW w:w="1417" w:type="dxa"/>
          </w:tcPr>
          <w:p w14:paraId="46C0C174" w14:textId="77777777" w:rsidR="00A052DC" w:rsidRDefault="009F0A60">
            <w:pPr>
              <w:pStyle w:val="B"/>
              <w:rPr>
                <w:szCs w:val="20"/>
              </w:rPr>
            </w:pPr>
            <w:r>
              <w:rPr>
                <w:rFonts w:hint="eastAsia"/>
                <w:szCs w:val="20"/>
              </w:rPr>
              <w:t>字符型，</w:t>
            </w:r>
            <w:r>
              <w:rPr>
                <w:szCs w:val="20"/>
              </w:rPr>
              <w:t>1</w:t>
            </w:r>
          </w:p>
        </w:tc>
        <w:tc>
          <w:tcPr>
            <w:tcW w:w="3686" w:type="dxa"/>
          </w:tcPr>
          <w:p w14:paraId="6BCA475F" w14:textId="77777777" w:rsidR="00A052DC" w:rsidRDefault="009F0A60">
            <w:pPr>
              <w:pStyle w:val="B"/>
              <w:rPr>
                <w:szCs w:val="20"/>
              </w:rPr>
            </w:pPr>
            <w:r>
              <w:rPr>
                <w:rFonts w:hint="eastAsia"/>
                <w:szCs w:val="20"/>
              </w:rPr>
              <w:t>必填项，是</w:t>
            </w:r>
            <w:r>
              <w:rPr>
                <w:szCs w:val="20"/>
              </w:rPr>
              <w:t>-Y</w:t>
            </w:r>
            <w:r>
              <w:rPr>
                <w:rFonts w:hint="eastAsia"/>
                <w:szCs w:val="20"/>
              </w:rPr>
              <w:t>，否</w:t>
            </w:r>
            <w:r>
              <w:rPr>
                <w:szCs w:val="20"/>
              </w:rPr>
              <w:t>-N</w:t>
            </w:r>
            <w:r>
              <w:rPr>
                <w:rFonts w:hint="eastAsia"/>
                <w:szCs w:val="20"/>
              </w:rPr>
              <w:t>，默认为否，填写</w:t>
            </w:r>
            <w:r>
              <w:rPr>
                <w:szCs w:val="20"/>
              </w:rPr>
              <w:t>N</w:t>
            </w:r>
            <w:r>
              <w:rPr>
                <w:rFonts w:hint="eastAsia"/>
                <w:szCs w:val="20"/>
              </w:rPr>
              <w:t>。</w:t>
            </w:r>
          </w:p>
        </w:tc>
      </w:tr>
      <w:tr w:rsidR="00A052DC" w14:paraId="4069EF9C" w14:textId="77777777">
        <w:tc>
          <w:tcPr>
            <w:tcW w:w="1702" w:type="dxa"/>
          </w:tcPr>
          <w:p w14:paraId="6B0784B7" w14:textId="77777777" w:rsidR="00A052DC" w:rsidRDefault="009F0A60">
            <w:pPr>
              <w:pStyle w:val="B"/>
              <w:rPr>
                <w:szCs w:val="20"/>
              </w:rPr>
            </w:pPr>
            <w:r>
              <w:rPr>
                <w:szCs w:val="20"/>
              </w:rPr>
              <w:t>ANNINRATE</w:t>
            </w:r>
          </w:p>
        </w:tc>
        <w:tc>
          <w:tcPr>
            <w:tcW w:w="1701" w:type="dxa"/>
          </w:tcPr>
          <w:p w14:paraId="1A7B50BA" w14:textId="77777777" w:rsidR="00A052DC" w:rsidRDefault="009F0A60">
            <w:pPr>
              <w:pStyle w:val="B"/>
              <w:rPr>
                <w:szCs w:val="20"/>
              </w:rPr>
            </w:pPr>
            <w:r>
              <w:rPr>
                <w:rFonts w:hint="eastAsia"/>
                <w:szCs w:val="20"/>
              </w:rPr>
              <w:t>年化利率值</w:t>
            </w:r>
          </w:p>
        </w:tc>
        <w:tc>
          <w:tcPr>
            <w:tcW w:w="1417" w:type="dxa"/>
          </w:tcPr>
          <w:p w14:paraId="07D4A6F2" w14:textId="77777777" w:rsidR="00A052DC" w:rsidRDefault="009F0A60">
            <w:pPr>
              <w:pStyle w:val="B"/>
              <w:rPr>
                <w:szCs w:val="20"/>
              </w:rPr>
            </w:pPr>
            <w:r>
              <w:rPr>
                <w:rFonts w:hint="eastAsia"/>
                <w:szCs w:val="20"/>
              </w:rPr>
              <w:t>数值型，</w:t>
            </w:r>
            <w:r>
              <w:rPr>
                <w:szCs w:val="20"/>
              </w:rPr>
              <w:t>13.8</w:t>
            </w:r>
          </w:p>
        </w:tc>
        <w:tc>
          <w:tcPr>
            <w:tcW w:w="3686" w:type="dxa"/>
          </w:tcPr>
          <w:p w14:paraId="04154E4F" w14:textId="77777777" w:rsidR="00A052DC" w:rsidRDefault="009F0A60" w:rsidP="000E18F5">
            <w:pPr>
              <w:pStyle w:val="B"/>
              <w:rPr>
                <w:szCs w:val="20"/>
              </w:rPr>
            </w:pPr>
            <w:r>
              <w:rPr>
                <w:rFonts w:hint="eastAsia"/>
                <w:szCs w:val="20"/>
              </w:rPr>
              <w:t>必填项，大于等于</w:t>
            </w:r>
            <w:r>
              <w:rPr>
                <w:szCs w:val="20"/>
              </w:rPr>
              <w:t>0</w:t>
            </w:r>
            <w:r>
              <w:rPr>
                <w:rFonts w:hint="eastAsia"/>
                <w:szCs w:val="20"/>
              </w:rPr>
              <w:t>，按小数填写</w:t>
            </w:r>
            <w:r w:rsidR="000E18F5">
              <w:rPr>
                <w:rFonts w:hint="eastAsia"/>
                <w:szCs w:val="20"/>
              </w:rPr>
              <w:t>。</w:t>
            </w:r>
            <w:r>
              <w:rPr>
                <w:rFonts w:hint="eastAsia"/>
                <w:szCs w:val="20"/>
              </w:rPr>
              <w:t>如利率为</w:t>
            </w:r>
            <w:r>
              <w:rPr>
                <w:szCs w:val="20"/>
              </w:rPr>
              <w:t>3.21%</w:t>
            </w:r>
            <w:r>
              <w:rPr>
                <w:rFonts w:hint="eastAsia"/>
                <w:szCs w:val="20"/>
              </w:rPr>
              <w:t>，则填写</w:t>
            </w:r>
            <w:r>
              <w:rPr>
                <w:szCs w:val="20"/>
              </w:rPr>
              <w:t>0.0321</w:t>
            </w:r>
            <w:r>
              <w:rPr>
                <w:rFonts w:hint="eastAsia"/>
                <w:szCs w:val="20"/>
              </w:rPr>
              <w:t>。</w:t>
            </w:r>
          </w:p>
        </w:tc>
      </w:tr>
      <w:tr w:rsidR="00A052DC" w14:paraId="4DE72122" w14:textId="77777777">
        <w:tc>
          <w:tcPr>
            <w:tcW w:w="1702" w:type="dxa"/>
          </w:tcPr>
          <w:p w14:paraId="3B1A1561" w14:textId="77777777" w:rsidR="00A052DC" w:rsidRDefault="009F0A60">
            <w:pPr>
              <w:pStyle w:val="B"/>
              <w:rPr>
                <w:szCs w:val="20"/>
              </w:rPr>
            </w:pPr>
            <w:r>
              <w:rPr>
                <w:szCs w:val="20"/>
              </w:rPr>
              <w:t>INPRIAMOUNT</w:t>
            </w:r>
          </w:p>
        </w:tc>
        <w:tc>
          <w:tcPr>
            <w:tcW w:w="1701" w:type="dxa"/>
          </w:tcPr>
          <w:p w14:paraId="72B2FEAE" w14:textId="77777777" w:rsidR="00A052DC" w:rsidRDefault="009F0A60">
            <w:pPr>
              <w:pStyle w:val="B"/>
              <w:rPr>
                <w:szCs w:val="20"/>
              </w:rPr>
            </w:pPr>
            <w:r>
              <w:rPr>
                <w:rFonts w:hint="eastAsia"/>
                <w:szCs w:val="20"/>
              </w:rPr>
              <w:t>利息本金化金额</w:t>
            </w:r>
          </w:p>
        </w:tc>
        <w:tc>
          <w:tcPr>
            <w:tcW w:w="1417" w:type="dxa"/>
          </w:tcPr>
          <w:p w14:paraId="57E14E3F" w14:textId="77777777" w:rsidR="00A052DC" w:rsidRDefault="009F0A60">
            <w:pPr>
              <w:pStyle w:val="B"/>
              <w:rPr>
                <w:szCs w:val="20"/>
              </w:rPr>
            </w:pPr>
            <w:r>
              <w:rPr>
                <w:rFonts w:hint="eastAsia"/>
                <w:szCs w:val="20"/>
              </w:rPr>
              <w:t>数值型，</w:t>
            </w:r>
            <w:r>
              <w:rPr>
                <w:szCs w:val="20"/>
              </w:rPr>
              <w:t>22.2</w:t>
            </w:r>
          </w:p>
        </w:tc>
        <w:tc>
          <w:tcPr>
            <w:tcW w:w="3686" w:type="dxa"/>
          </w:tcPr>
          <w:p w14:paraId="7983BC99" w14:textId="77777777" w:rsidR="00A052DC" w:rsidRDefault="009F0A60">
            <w:pPr>
              <w:pStyle w:val="B"/>
              <w:rPr>
                <w:szCs w:val="20"/>
              </w:rPr>
            </w:pPr>
            <w:r>
              <w:rPr>
                <w:rFonts w:hint="eastAsia"/>
                <w:szCs w:val="20"/>
              </w:rPr>
              <w:t>非必填项，大于等于</w:t>
            </w:r>
            <w:r>
              <w:rPr>
                <w:szCs w:val="20"/>
              </w:rPr>
              <w:t>0</w:t>
            </w:r>
            <w:r>
              <w:rPr>
                <w:rFonts w:hint="eastAsia"/>
                <w:szCs w:val="20"/>
              </w:rPr>
              <w:t>。</w:t>
            </w:r>
          </w:p>
        </w:tc>
      </w:tr>
      <w:tr w:rsidR="00A052DC" w14:paraId="1C4FC29C" w14:textId="77777777">
        <w:tc>
          <w:tcPr>
            <w:tcW w:w="1702" w:type="dxa"/>
          </w:tcPr>
          <w:p w14:paraId="36EEF064" w14:textId="77777777" w:rsidR="00A052DC" w:rsidRDefault="009F0A60">
            <w:pPr>
              <w:pStyle w:val="B"/>
              <w:rPr>
                <w:szCs w:val="20"/>
              </w:rPr>
            </w:pPr>
            <w:r>
              <w:rPr>
                <w:szCs w:val="20"/>
              </w:rPr>
              <w:t>CREDITORCODE</w:t>
            </w:r>
          </w:p>
        </w:tc>
        <w:tc>
          <w:tcPr>
            <w:tcW w:w="1701" w:type="dxa"/>
          </w:tcPr>
          <w:p w14:paraId="0788FA68" w14:textId="77777777" w:rsidR="00A052DC" w:rsidRDefault="009F0A60">
            <w:pPr>
              <w:pStyle w:val="B"/>
              <w:rPr>
                <w:szCs w:val="20"/>
              </w:rPr>
            </w:pPr>
            <w:r>
              <w:rPr>
                <w:rFonts w:hint="eastAsia"/>
                <w:szCs w:val="20"/>
              </w:rPr>
              <w:t>债权人代码</w:t>
            </w:r>
          </w:p>
        </w:tc>
        <w:tc>
          <w:tcPr>
            <w:tcW w:w="1417" w:type="dxa"/>
          </w:tcPr>
          <w:p w14:paraId="2CFB2599" w14:textId="77777777" w:rsidR="00A052DC" w:rsidRDefault="009F0A60">
            <w:pPr>
              <w:pStyle w:val="B"/>
              <w:rPr>
                <w:szCs w:val="20"/>
              </w:rPr>
            </w:pPr>
            <w:r>
              <w:rPr>
                <w:rFonts w:hint="eastAsia"/>
                <w:szCs w:val="20"/>
              </w:rPr>
              <w:t>字符型，</w:t>
            </w:r>
            <w:r>
              <w:rPr>
                <w:szCs w:val="20"/>
              </w:rPr>
              <w:t>11</w:t>
            </w:r>
          </w:p>
        </w:tc>
        <w:tc>
          <w:tcPr>
            <w:tcW w:w="3686" w:type="dxa"/>
          </w:tcPr>
          <w:p w14:paraId="39DE32CD" w14:textId="77777777" w:rsidR="00A052DC" w:rsidRDefault="009F0A60">
            <w:pPr>
              <w:pStyle w:val="B"/>
              <w:rPr>
                <w:szCs w:val="20"/>
              </w:rPr>
            </w:pPr>
            <w:r>
              <w:rPr>
                <w:rFonts w:hint="eastAsia"/>
                <w:szCs w:val="20"/>
              </w:rPr>
              <w:t>非必填项。</w:t>
            </w:r>
          </w:p>
        </w:tc>
      </w:tr>
      <w:tr w:rsidR="00A052DC" w14:paraId="30FC7909" w14:textId="77777777">
        <w:tc>
          <w:tcPr>
            <w:tcW w:w="1702" w:type="dxa"/>
          </w:tcPr>
          <w:p w14:paraId="3AE98FDF" w14:textId="77777777" w:rsidR="00A052DC" w:rsidRDefault="009F0A60">
            <w:pPr>
              <w:pStyle w:val="B"/>
              <w:rPr>
                <w:szCs w:val="20"/>
              </w:rPr>
            </w:pPr>
            <w:r>
              <w:rPr>
                <w:szCs w:val="20"/>
              </w:rPr>
              <w:t>CREDITORNAME</w:t>
            </w:r>
          </w:p>
        </w:tc>
        <w:tc>
          <w:tcPr>
            <w:tcW w:w="1701" w:type="dxa"/>
          </w:tcPr>
          <w:p w14:paraId="2D413681" w14:textId="77777777" w:rsidR="00A052DC" w:rsidRDefault="009F0A60">
            <w:pPr>
              <w:pStyle w:val="B"/>
              <w:rPr>
                <w:szCs w:val="20"/>
              </w:rPr>
            </w:pPr>
            <w:r>
              <w:rPr>
                <w:rFonts w:hint="eastAsia"/>
                <w:szCs w:val="20"/>
              </w:rPr>
              <w:t>债权人中文名称</w:t>
            </w:r>
          </w:p>
        </w:tc>
        <w:tc>
          <w:tcPr>
            <w:tcW w:w="1417" w:type="dxa"/>
          </w:tcPr>
          <w:p w14:paraId="39D4BA32" w14:textId="77777777" w:rsidR="00A052DC" w:rsidRDefault="009F0A60">
            <w:pPr>
              <w:pStyle w:val="B"/>
              <w:rPr>
                <w:szCs w:val="20"/>
              </w:rPr>
            </w:pPr>
            <w:r>
              <w:rPr>
                <w:rFonts w:hint="eastAsia"/>
                <w:szCs w:val="20"/>
              </w:rPr>
              <w:t>字符型，</w:t>
            </w:r>
            <w:r>
              <w:rPr>
                <w:szCs w:val="20"/>
              </w:rPr>
              <w:t>128</w:t>
            </w:r>
          </w:p>
        </w:tc>
        <w:tc>
          <w:tcPr>
            <w:tcW w:w="3686" w:type="dxa"/>
          </w:tcPr>
          <w:p w14:paraId="30F7E702" w14:textId="77777777" w:rsidR="00A052DC" w:rsidRDefault="009F0A60">
            <w:pPr>
              <w:pStyle w:val="B"/>
              <w:rPr>
                <w:szCs w:val="20"/>
              </w:rPr>
            </w:pPr>
            <w:r>
              <w:rPr>
                <w:rFonts w:hint="eastAsia"/>
                <w:szCs w:val="20"/>
              </w:rPr>
              <w:t>非必填项，</w:t>
            </w:r>
          </w:p>
          <w:p w14:paraId="3165FF36" w14:textId="77777777" w:rsidR="00A052DC" w:rsidRDefault="009F0A60">
            <w:pPr>
              <w:pStyle w:val="B"/>
              <w:rPr>
                <w:szCs w:val="20"/>
              </w:rPr>
            </w:pPr>
            <w:r>
              <w:rPr>
                <w:rFonts w:hint="eastAsia"/>
                <w:szCs w:val="20"/>
              </w:rPr>
              <w:t>债权人中文名称和债权人英文名称至少填写一个。</w:t>
            </w:r>
          </w:p>
        </w:tc>
      </w:tr>
      <w:tr w:rsidR="00A052DC" w14:paraId="123ADF25" w14:textId="77777777">
        <w:tc>
          <w:tcPr>
            <w:tcW w:w="1702" w:type="dxa"/>
          </w:tcPr>
          <w:p w14:paraId="60BC0D82" w14:textId="77777777" w:rsidR="00A052DC" w:rsidRDefault="009F0A60">
            <w:pPr>
              <w:pStyle w:val="B"/>
              <w:rPr>
                <w:szCs w:val="20"/>
              </w:rPr>
            </w:pPr>
            <w:r>
              <w:rPr>
                <w:szCs w:val="20"/>
              </w:rPr>
              <w:t>CREDITORNAMEN</w:t>
            </w:r>
          </w:p>
        </w:tc>
        <w:tc>
          <w:tcPr>
            <w:tcW w:w="1701" w:type="dxa"/>
          </w:tcPr>
          <w:p w14:paraId="295F19C2" w14:textId="77777777" w:rsidR="00A052DC" w:rsidRDefault="009F0A60">
            <w:pPr>
              <w:pStyle w:val="B"/>
              <w:rPr>
                <w:szCs w:val="20"/>
              </w:rPr>
            </w:pPr>
            <w:r>
              <w:rPr>
                <w:rFonts w:hint="eastAsia"/>
                <w:szCs w:val="20"/>
              </w:rPr>
              <w:t>债权人英文名称</w:t>
            </w:r>
          </w:p>
        </w:tc>
        <w:tc>
          <w:tcPr>
            <w:tcW w:w="1417" w:type="dxa"/>
          </w:tcPr>
          <w:p w14:paraId="406BDFAC" w14:textId="77777777" w:rsidR="00A052DC" w:rsidRDefault="009F0A60">
            <w:pPr>
              <w:pStyle w:val="B"/>
              <w:rPr>
                <w:szCs w:val="20"/>
              </w:rPr>
            </w:pPr>
            <w:r>
              <w:rPr>
                <w:rFonts w:hint="eastAsia"/>
                <w:szCs w:val="20"/>
              </w:rPr>
              <w:t>字符型，</w:t>
            </w:r>
            <w:r>
              <w:rPr>
                <w:szCs w:val="20"/>
              </w:rPr>
              <w:t>128</w:t>
            </w:r>
          </w:p>
        </w:tc>
        <w:tc>
          <w:tcPr>
            <w:tcW w:w="3686" w:type="dxa"/>
          </w:tcPr>
          <w:p w14:paraId="0570AC2B" w14:textId="77777777" w:rsidR="00A052DC" w:rsidRDefault="009F0A60">
            <w:pPr>
              <w:pStyle w:val="B"/>
              <w:rPr>
                <w:szCs w:val="20"/>
              </w:rPr>
            </w:pPr>
            <w:r>
              <w:rPr>
                <w:rFonts w:hint="eastAsia"/>
                <w:szCs w:val="20"/>
              </w:rPr>
              <w:t>非必填项，</w:t>
            </w:r>
          </w:p>
          <w:p w14:paraId="4E89A990" w14:textId="77777777" w:rsidR="00A052DC" w:rsidRDefault="009F0A60">
            <w:pPr>
              <w:pStyle w:val="B"/>
              <w:rPr>
                <w:szCs w:val="20"/>
              </w:rPr>
            </w:pPr>
            <w:r>
              <w:rPr>
                <w:rFonts w:hint="eastAsia"/>
                <w:szCs w:val="20"/>
              </w:rPr>
              <w:t>债权人中文名称和债权人英文名称至少填写一个。</w:t>
            </w:r>
          </w:p>
        </w:tc>
      </w:tr>
      <w:tr w:rsidR="00A052DC" w14:paraId="0A944F09" w14:textId="77777777">
        <w:tc>
          <w:tcPr>
            <w:tcW w:w="1702" w:type="dxa"/>
          </w:tcPr>
          <w:p w14:paraId="778F3C25" w14:textId="77777777" w:rsidR="00A052DC" w:rsidRDefault="009F0A60">
            <w:pPr>
              <w:pStyle w:val="B"/>
              <w:rPr>
                <w:szCs w:val="20"/>
              </w:rPr>
            </w:pPr>
            <w:r>
              <w:rPr>
                <w:szCs w:val="20"/>
              </w:rPr>
              <w:t>CREDITORTYPE</w:t>
            </w:r>
          </w:p>
        </w:tc>
        <w:tc>
          <w:tcPr>
            <w:tcW w:w="1701" w:type="dxa"/>
          </w:tcPr>
          <w:p w14:paraId="4D035000" w14:textId="77777777" w:rsidR="00A052DC" w:rsidRDefault="009F0A60">
            <w:pPr>
              <w:pStyle w:val="B"/>
              <w:rPr>
                <w:szCs w:val="20"/>
              </w:rPr>
            </w:pPr>
            <w:r>
              <w:rPr>
                <w:rFonts w:hint="eastAsia"/>
                <w:szCs w:val="20"/>
              </w:rPr>
              <w:t>债权人类型代码</w:t>
            </w:r>
          </w:p>
        </w:tc>
        <w:tc>
          <w:tcPr>
            <w:tcW w:w="1417" w:type="dxa"/>
          </w:tcPr>
          <w:p w14:paraId="1320F3E2" w14:textId="77777777" w:rsidR="00A052DC" w:rsidRDefault="009F0A60">
            <w:pPr>
              <w:pStyle w:val="B"/>
              <w:rPr>
                <w:szCs w:val="20"/>
              </w:rPr>
            </w:pPr>
            <w:r>
              <w:rPr>
                <w:rFonts w:hint="eastAsia"/>
                <w:szCs w:val="20"/>
              </w:rPr>
              <w:t>字符型，</w:t>
            </w:r>
            <w:r>
              <w:rPr>
                <w:szCs w:val="20"/>
              </w:rPr>
              <w:t>8</w:t>
            </w:r>
          </w:p>
        </w:tc>
        <w:tc>
          <w:tcPr>
            <w:tcW w:w="3686" w:type="dxa"/>
          </w:tcPr>
          <w:p w14:paraId="7238DD72" w14:textId="77777777" w:rsidR="00A052DC" w:rsidRDefault="009F0A60">
            <w:pPr>
              <w:pStyle w:val="B"/>
              <w:rPr>
                <w:szCs w:val="20"/>
              </w:rPr>
            </w:pPr>
            <w:r>
              <w:rPr>
                <w:rFonts w:hint="eastAsia"/>
                <w:szCs w:val="20"/>
              </w:rPr>
              <w:t>必填项，见境外主体类型代码表。</w:t>
            </w:r>
          </w:p>
        </w:tc>
      </w:tr>
      <w:tr w:rsidR="00A052DC" w14:paraId="1BAEE3E4" w14:textId="77777777">
        <w:tc>
          <w:tcPr>
            <w:tcW w:w="1702" w:type="dxa"/>
          </w:tcPr>
          <w:p w14:paraId="76A8C00B" w14:textId="77777777" w:rsidR="00A052DC" w:rsidRDefault="009F0A60">
            <w:pPr>
              <w:pStyle w:val="B"/>
              <w:rPr>
                <w:szCs w:val="20"/>
              </w:rPr>
            </w:pPr>
            <w:r>
              <w:rPr>
                <w:szCs w:val="20"/>
              </w:rPr>
              <w:t>CREHQCODE</w:t>
            </w:r>
          </w:p>
        </w:tc>
        <w:tc>
          <w:tcPr>
            <w:tcW w:w="1701" w:type="dxa"/>
          </w:tcPr>
          <w:p w14:paraId="42DC538B" w14:textId="77777777" w:rsidR="00A052DC" w:rsidRDefault="009F0A60">
            <w:pPr>
              <w:pStyle w:val="B"/>
              <w:rPr>
                <w:szCs w:val="20"/>
              </w:rPr>
            </w:pPr>
            <w:r>
              <w:rPr>
                <w:rFonts w:hint="eastAsia"/>
                <w:szCs w:val="20"/>
              </w:rPr>
              <w:t>债权人总部所在国家（地区）代码</w:t>
            </w:r>
          </w:p>
        </w:tc>
        <w:tc>
          <w:tcPr>
            <w:tcW w:w="1417" w:type="dxa"/>
          </w:tcPr>
          <w:p w14:paraId="197DC48E" w14:textId="77777777" w:rsidR="00A052DC" w:rsidRDefault="009F0A60">
            <w:pPr>
              <w:pStyle w:val="B"/>
              <w:rPr>
                <w:szCs w:val="20"/>
              </w:rPr>
            </w:pPr>
            <w:r>
              <w:rPr>
                <w:rFonts w:hint="eastAsia"/>
                <w:szCs w:val="20"/>
              </w:rPr>
              <w:t>字符型，</w:t>
            </w:r>
            <w:r>
              <w:rPr>
                <w:szCs w:val="20"/>
              </w:rPr>
              <w:t>3</w:t>
            </w:r>
          </w:p>
        </w:tc>
        <w:tc>
          <w:tcPr>
            <w:tcW w:w="3686" w:type="dxa"/>
          </w:tcPr>
          <w:p w14:paraId="08EA32E3" w14:textId="77777777" w:rsidR="00A052DC" w:rsidRDefault="009F0A60">
            <w:pPr>
              <w:pStyle w:val="B"/>
              <w:rPr>
                <w:szCs w:val="20"/>
              </w:rPr>
            </w:pPr>
            <w:r>
              <w:rPr>
                <w:rFonts w:hint="eastAsia"/>
                <w:szCs w:val="20"/>
              </w:rPr>
              <w:t>必填项，见国家和地区代码表。</w:t>
            </w:r>
          </w:p>
        </w:tc>
      </w:tr>
      <w:tr w:rsidR="00A052DC" w14:paraId="0960E8B0" w14:textId="77777777">
        <w:tc>
          <w:tcPr>
            <w:tcW w:w="1702" w:type="dxa"/>
          </w:tcPr>
          <w:p w14:paraId="1F6968DD" w14:textId="77777777" w:rsidR="00A052DC" w:rsidRDefault="009F0A60">
            <w:pPr>
              <w:pStyle w:val="B"/>
              <w:rPr>
                <w:szCs w:val="20"/>
              </w:rPr>
            </w:pPr>
            <w:r>
              <w:rPr>
                <w:szCs w:val="20"/>
              </w:rPr>
              <w:t>OPERCODE</w:t>
            </w:r>
          </w:p>
        </w:tc>
        <w:tc>
          <w:tcPr>
            <w:tcW w:w="1701" w:type="dxa"/>
          </w:tcPr>
          <w:p w14:paraId="29E8A141" w14:textId="77777777" w:rsidR="00A052DC" w:rsidRDefault="009F0A60">
            <w:pPr>
              <w:pStyle w:val="B"/>
              <w:rPr>
                <w:szCs w:val="20"/>
              </w:rPr>
            </w:pPr>
            <w:r>
              <w:rPr>
                <w:rFonts w:hint="eastAsia"/>
                <w:szCs w:val="20"/>
              </w:rPr>
              <w:t>债权人经营地所在国家（地区）代码</w:t>
            </w:r>
          </w:p>
        </w:tc>
        <w:tc>
          <w:tcPr>
            <w:tcW w:w="1417" w:type="dxa"/>
          </w:tcPr>
          <w:p w14:paraId="5C7F1294" w14:textId="77777777" w:rsidR="00A052DC" w:rsidRDefault="009F0A60">
            <w:pPr>
              <w:pStyle w:val="B"/>
              <w:rPr>
                <w:szCs w:val="20"/>
              </w:rPr>
            </w:pPr>
            <w:r>
              <w:rPr>
                <w:rFonts w:hint="eastAsia"/>
                <w:szCs w:val="20"/>
              </w:rPr>
              <w:t>字符型，</w:t>
            </w:r>
            <w:r>
              <w:rPr>
                <w:szCs w:val="20"/>
              </w:rPr>
              <w:t>3</w:t>
            </w:r>
          </w:p>
        </w:tc>
        <w:tc>
          <w:tcPr>
            <w:tcW w:w="3686" w:type="dxa"/>
          </w:tcPr>
          <w:p w14:paraId="11F89B0C" w14:textId="77777777" w:rsidR="00A052DC" w:rsidRDefault="009F0A60">
            <w:pPr>
              <w:pStyle w:val="B"/>
              <w:rPr>
                <w:szCs w:val="20"/>
              </w:rPr>
            </w:pPr>
            <w:r>
              <w:rPr>
                <w:rFonts w:hint="eastAsia"/>
                <w:szCs w:val="20"/>
              </w:rPr>
              <w:t>必填项，见国家和地区代码表。当债权人类型代码不为“境内银行离岸部（20001403）”时,不能为中国CHN。</w:t>
            </w:r>
          </w:p>
        </w:tc>
      </w:tr>
      <w:tr w:rsidR="00A052DC" w14:paraId="2124C3D9" w14:textId="77777777">
        <w:tc>
          <w:tcPr>
            <w:tcW w:w="1702" w:type="dxa"/>
          </w:tcPr>
          <w:p w14:paraId="65CB6CCB" w14:textId="77777777" w:rsidR="00A052DC" w:rsidRDefault="009F0A60">
            <w:pPr>
              <w:pStyle w:val="B"/>
              <w:rPr>
                <w:szCs w:val="20"/>
              </w:rPr>
            </w:pPr>
            <w:r>
              <w:rPr>
                <w:szCs w:val="20"/>
              </w:rPr>
              <w:t>SPAPFEBOINDEX</w:t>
            </w:r>
          </w:p>
        </w:tc>
        <w:tc>
          <w:tcPr>
            <w:tcW w:w="1701" w:type="dxa"/>
          </w:tcPr>
          <w:p w14:paraId="4819A52D" w14:textId="77777777" w:rsidR="00A052DC" w:rsidRDefault="009F0A60">
            <w:pPr>
              <w:pStyle w:val="B"/>
              <w:rPr>
                <w:szCs w:val="20"/>
              </w:rPr>
            </w:pPr>
            <w:r>
              <w:rPr>
                <w:rFonts w:hint="eastAsia"/>
                <w:szCs w:val="20"/>
              </w:rPr>
              <w:t>是否不纳入跨境融资风险加权余额计算</w:t>
            </w:r>
          </w:p>
        </w:tc>
        <w:tc>
          <w:tcPr>
            <w:tcW w:w="1417" w:type="dxa"/>
          </w:tcPr>
          <w:p w14:paraId="1AE28BBD" w14:textId="77777777" w:rsidR="00A052DC" w:rsidRDefault="009F0A60">
            <w:pPr>
              <w:pStyle w:val="B"/>
              <w:rPr>
                <w:szCs w:val="20"/>
              </w:rPr>
            </w:pPr>
            <w:r>
              <w:rPr>
                <w:rFonts w:hint="eastAsia"/>
                <w:szCs w:val="20"/>
              </w:rPr>
              <w:t>字符型，</w:t>
            </w:r>
            <w:r>
              <w:rPr>
                <w:szCs w:val="20"/>
              </w:rPr>
              <w:t>1</w:t>
            </w:r>
          </w:p>
        </w:tc>
        <w:tc>
          <w:tcPr>
            <w:tcW w:w="3686" w:type="dxa"/>
          </w:tcPr>
          <w:p w14:paraId="001783B7" w14:textId="77777777" w:rsidR="00A052DC" w:rsidRDefault="009F0A60">
            <w:pPr>
              <w:pStyle w:val="B"/>
              <w:rPr>
                <w:szCs w:val="20"/>
              </w:rPr>
            </w:pPr>
            <w:r>
              <w:rPr>
                <w:rFonts w:hint="eastAsia"/>
                <w:szCs w:val="20"/>
              </w:rPr>
              <w:t>必填项，是</w:t>
            </w:r>
            <w:r>
              <w:rPr>
                <w:szCs w:val="20"/>
              </w:rPr>
              <w:t>-Y</w:t>
            </w:r>
            <w:r>
              <w:rPr>
                <w:rFonts w:hint="eastAsia"/>
                <w:szCs w:val="20"/>
              </w:rPr>
              <w:t>，否</w:t>
            </w:r>
            <w:r>
              <w:rPr>
                <w:szCs w:val="20"/>
              </w:rPr>
              <w:t>-N</w:t>
            </w:r>
            <w:r>
              <w:rPr>
                <w:rFonts w:hint="eastAsia"/>
                <w:szCs w:val="20"/>
              </w:rPr>
              <w:t>，默认为否，填写</w:t>
            </w:r>
            <w:r>
              <w:rPr>
                <w:szCs w:val="20"/>
              </w:rPr>
              <w:t>N</w:t>
            </w:r>
            <w:r>
              <w:rPr>
                <w:rFonts w:hint="eastAsia"/>
                <w:szCs w:val="20"/>
              </w:rPr>
              <w:t>。</w:t>
            </w:r>
          </w:p>
        </w:tc>
      </w:tr>
      <w:tr w:rsidR="00A052DC" w14:paraId="0F313AA3" w14:textId="77777777">
        <w:tc>
          <w:tcPr>
            <w:tcW w:w="1702" w:type="dxa"/>
          </w:tcPr>
          <w:p w14:paraId="1A7A1070" w14:textId="77777777" w:rsidR="00A052DC" w:rsidRDefault="009F0A60">
            <w:pPr>
              <w:pStyle w:val="B"/>
              <w:rPr>
                <w:szCs w:val="20"/>
              </w:rPr>
            </w:pPr>
            <w:r>
              <w:rPr>
                <w:szCs w:val="20"/>
              </w:rPr>
              <w:t>RELATION</w:t>
            </w:r>
          </w:p>
        </w:tc>
        <w:tc>
          <w:tcPr>
            <w:tcW w:w="1701" w:type="dxa"/>
          </w:tcPr>
          <w:p w14:paraId="57D54711" w14:textId="77777777" w:rsidR="00A052DC" w:rsidRDefault="009F0A60">
            <w:pPr>
              <w:pStyle w:val="B"/>
              <w:rPr>
                <w:szCs w:val="20"/>
              </w:rPr>
            </w:pPr>
            <w:r>
              <w:rPr>
                <w:rFonts w:hint="eastAsia"/>
                <w:szCs w:val="20"/>
              </w:rPr>
              <w:t>对方与本机构的关系</w:t>
            </w:r>
          </w:p>
        </w:tc>
        <w:tc>
          <w:tcPr>
            <w:tcW w:w="1417" w:type="dxa"/>
          </w:tcPr>
          <w:p w14:paraId="2C1441BA" w14:textId="77777777" w:rsidR="00A052DC" w:rsidRDefault="009F0A60">
            <w:pPr>
              <w:pStyle w:val="B"/>
              <w:rPr>
                <w:szCs w:val="20"/>
              </w:rPr>
            </w:pPr>
            <w:r>
              <w:rPr>
                <w:rFonts w:hint="eastAsia"/>
                <w:szCs w:val="20"/>
              </w:rPr>
              <w:t>字符型，</w:t>
            </w:r>
            <w:r>
              <w:rPr>
                <w:szCs w:val="20"/>
              </w:rPr>
              <w:t>2</w:t>
            </w:r>
          </w:p>
        </w:tc>
        <w:tc>
          <w:tcPr>
            <w:tcW w:w="3686" w:type="dxa"/>
          </w:tcPr>
          <w:p w14:paraId="202A3B4A" w14:textId="77777777" w:rsidR="00A052DC" w:rsidRDefault="009F0A60">
            <w:pPr>
              <w:pStyle w:val="B"/>
              <w:rPr>
                <w:szCs w:val="20"/>
              </w:rPr>
            </w:pPr>
            <w:r>
              <w:rPr>
                <w:rFonts w:hint="eastAsia"/>
                <w:szCs w:val="20"/>
              </w:rPr>
              <w:t>必填项，见对方与本机构</w:t>
            </w:r>
            <w:r>
              <w:rPr>
                <w:szCs w:val="20"/>
              </w:rPr>
              <w:t>/</w:t>
            </w:r>
            <w:r>
              <w:rPr>
                <w:rFonts w:hint="eastAsia"/>
                <w:szCs w:val="20"/>
              </w:rPr>
              <w:t>被代理居民机构</w:t>
            </w:r>
            <w:r>
              <w:rPr>
                <w:szCs w:val="20"/>
              </w:rPr>
              <w:t>/</w:t>
            </w:r>
            <w:r>
              <w:rPr>
                <w:rFonts w:hint="eastAsia"/>
                <w:szCs w:val="20"/>
              </w:rPr>
              <w:t>委托人的关系代码表。</w:t>
            </w:r>
          </w:p>
        </w:tc>
      </w:tr>
      <w:tr w:rsidR="00A052DC" w14:paraId="17ECE45F" w14:textId="77777777">
        <w:tc>
          <w:tcPr>
            <w:tcW w:w="1702" w:type="dxa"/>
            <w:tcBorders>
              <w:top w:val="single" w:sz="4" w:space="0" w:color="auto"/>
              <w:left w:val="single" w:sz="4" w:space="0" w:color="auto"/>
              <w:bottom w:val="single" w:sz="4" w:space="0" w:color="auto"/>
              <w:right w:val="single" w:sz="4" w:space="0" w:color="auto"/>
            </w:tcBorders>
          </w:tcPr>
          <w:p w14:paraId="6EA32DE5" w14:textId="77777777" w:rsidR="00A052DC" w:rsidRDefault="009F0A60">
            <w:pPr>
              <w:pStyle w:val="B"/>
              <w:rPr>
                <w:szCs w:val="20"/>
              </w:rPr>
            </w:pPr>
            <w:r>
              <w:rPr>
                <w:szCs w:val="20"/>
              </w:rPr>
              <w:t>REMARK</w:t>
            </w:r>
          </w:p>
        </w:tc>
        <w:tc>
          <w:tcPr>
            <w:tcW w:w="1701" w:type="dxa"/>
            <w:tcBorders>
              <w:top w:val="single" w:sz="4" w:space="0" w:color="auto"/>
              <w:left w:val="single" w:sz="4" w:space="0" w:color="auto"/>
              <w:bottom w:val="single" w:sz="4" w:space="0" w:color="auto"/>
              <w:right w:val="single" w:sz="4" w:space="0" w:color="auto"/>
            </w:tcBorders>
          </w:tcPr>
          <w:p w14:paraId="05248A41" w14:textId="77777777" w:rsidR="00A052DC" w:rsidRDefault="009F0A60">
            <w:pPr>
              <w:pStyle w:val="B"/>
              <w:rPr>
                <w:szCs w:val="20"/>
              </w:rPr>
            </w:pPr>
            <w:r>
              <w:rPr>
                <w:rFonts w:hint="eastAsia"/>
                <w:szCs w:val="20"/>
              </w:rPr>
              <w:t>备注</w:t>
            </w:r>
          </w:p>
        </w:tc>
        <w:tc>
          <w:tcPr>
            <w:tcW w:w="1417" w:type="dxa"/>
            <w:tcBorders>
              <w:top w:val="single" w:sz="4" w:space="0" w:color="auto"/>
              <w:left w:val="single" w:sz="4" w:space="0" w:color="auto"/>
              <w:bottom w:val="single" w:sz="4" w:space="0" w:color="auto"/>
              <w:right w:val="single" w:sz="4" w:space="0" w:color="auto"/>
            </w:tcBorders>
          </w:tcPr>
          <w:p w14:paraId="65D88DFE" w14:textId="77777777" w:rsidR="00A052DC" w:rsidRDefault="009F0A60">
            <w:pPr>
              <w:pStyle w:val="B"/>
              <w:rPr>
                <w:szCs w:val="20"/>
              </w:rPr>
            </w:pPr>
            <w:r>
              <w:rPr>
                <w:rFonts w:hint="eastAsia"/>
                <w:szCs w:val="20"/>
              </w:rPr>
              <w:t>字符型，</w:t>
            </w:r>
            <w:r>
              <w:rPr>
                <w:szCs w:val="20"/>
              </w:rPr>
              <w:t>256</w:t>
            </w:r>
          </w:p>
        </w:tc>
        <w:tc>
          <w:tcPr>
            <w:tcW w:w="3686" w:type="dxa"/>
            <w:tcBorders>
              <w:top w:val="single" w:sz="4" w:space="0" w:color="auto"/>
              <w:left w:val="single" w:sz="4" w:space="0" w:color="auto"/>
              <w:bottom w:val="single" w:sz="4" w:space="0" w:color="auto"/>
              <w:right w:val="single" w:sz="4" w:space="0" w:color="auto"/>
            </w:tcBorders>
          </w:tcPr>
          <w:p w14:paraId="3FCC33D2" w14:textId="77777777" w:rsidR="00A052DC" w:rsidRDefault="009F0A60">
            <w:pPr>
              <w:pStyle w:val="B"/>
              <w:rPr>
                <w:szCs w:val="20"/>
              </w:rPr>
            </w:pPr>
            <w:r>
              <w:rPr>
                <w:rFonts w:hint="eastAsia"/>
                <w:szCs w:val="20"/>
              </w:rPr>
              <w:t>非必填项。</w:t>
            </w:r>
          </w:p>
        </w:tc>
      </w:tr>
    </w:tbl>
    <w:p w14:paraId="7601C542" w14:textId="77777777" w:rsidR="00A052DC" w:rsidRDefault="009F0A60">
      <w:pPr>
        <w:pStyle w:val="4"/>
        <w:numPr>
          <w:ilvl w:val="3"/>
          <w:numId w:val="1"/>
        </w:numPr>
        <w:jc w:val="left"/>
      </w:pPr>
      <w:bookmarkStart w:id="1520" w:name="_Toc454386888"/>
      <w:bookmarkStart w:id="1521" w:name="_Toc328635487"/>
      <w:r>
        <w:rPr>
          <w:rFonts w:hint="eastAsia"/>
        </w:rPr>
        <w:t>远期信用证（含即期单证相符）</w:t>
      </w:r>
      <w:bookmarkEnd w:id="1520"/>
    </w:p>
    <w:p w14:paraId="3CF97062" w14:textId="77777777" w:rsidR="00A052DC" w:rsidRDefault="009F0A60" w:rsidP="0020251D">
      <w:pPr>
        <w:pStyle w:val="5"/>
        <w:numPr>
          <w:ilvl w:val="4"/>
          <w:numId w:val="1"/>
        </w:numPr>
        <w:spacing w:before="120" w:after="120" w:line="360" w:lineRule="auto"/>
        <w:jc w:val="left"/>
      </w:pPr>
      <w:bookmarkStart w:id="1522" w:name="_Toc454386889"/>
      <w:r>
        <w:rPr>
          <w:rFonts w:hint="eastAsia"/>
        </w:rPr>
        <w:t>数据术语解释</w:t>
      </w:r>
      <w:bookmarkEnd w:id="1522"/>
    </w:p>
    <w:tbl>
      <w:tblPr>
        <w:tblW w:w="84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26"/>
        <w:gridCol w:w="6946"/>
      </w:tblGrid>
      <w:tr w:rsidR="00A052DC" w14:paraId="42B4D26A" w14:textId="77777777">
        <w:tc>
          <w:tcPr>
            <w:tcW w:w="1526" w:type="dxa"/>
          </w:tcPr>
          <w:p w14:paraId="48593FBC" w14:textId="77777777" w:rsidR="00A052DC" w:rsidRDefault="009F0A60">
            <w:pPr>
              <w:pStyle w:val="B1"/>
              <w:rPr>
                <w:u w:val="single"/>
              </w:rPr>
            </w:pPr>
            <w:r>
              <w:rPr>
                <w:rFonts w:hint="eastAsia"/>
              </w:rPr>
              <w:t>基础数据项</w:t>
            </w:r>
          </w:p>
        </w:tc>
        <w:tc>
          <w:tcPr>
            <w:tcW w:w="6946" w:type="dxa"/>
          </w:tcPr>
          <w:p w14:paraId="22EEEADD" w14:textId="77777777" w:rsidR="00A052DC" w:rsidRDefault="009F0A60">
            <w:pPr>
              <w:pStyle w:val="B1"/>
            </w:pPr>
            <w:r>
              <w:rPr>
                <w:rFonts w:hint="eastAsia"/>
              </w:rPr>
              <w:t>定义</w:t>
            </w:r>
          </w:p>
        </w:tc>
      </w:tr>
      <w:tr w:rsidR="00A052DC" w14:paraId="5B8112C2" w14:textId="77777777">
        <w:trPr>
          <w:cantSplit/>
          <w:trHeight w:val="157"/>
        </w:trPr>
        <w:tc>
          <w:tcPr>
            <w:tcW w:w="1526" w:type="dxa"/>
          </w:tcPr>
          <w:p w14:paraId="2DF8F3D7" w14:textId="77777777" w:rsidR="00A052DC" w:rsidRDefault="009F0A60">
            <w:pPr>
              <w:pStyle w:val="B"/>
              <w:rPr>
                <w:szCs w:val="20"/>
              </w:rPr>
            </w:pPr>
            <w:r>
              <w:rPr>
                <w:rFonts w:hint="eastAsia"/>
                <w:szCs w:val="20"/>
              </w:rPr>
              <w:t>外债编号</w:t>
            </w:r>
          </w:p>
        </w:tc>
        <w:tc>
          <w:tcPr>
            <w:tcW w:w="6946" w:type="dxa"/>
          </w:tcPr>
          <w:p w14:paraId="42AF55F3" w14:textId="77777777" w:rsidR="00A052DC" w:rsidRDefault="009F0A60">
            <w:pPr>
              <w:pStyle w:val="B"/>
              <w:rPr>
                <w:szCs w:val="20"/>
              </w:rPr>
            </w:pPr>
            <w:r>
              <w:rPr>
                <w:rFonts w:hint="eastAsia"/>
                <w:szCs w:val="20"/>
              </w:rPr>
              <w:t>外汇局制定统一编号规则，银行自行对每一笔外债编号，用于唯一标识该笔外债。银行外债编号共计28位。第1至2位为业务类型标识，第3位至14位为银行金融机构标识码;第15至22位为8位年月日数字（20110701）;第23至28位为该笔业务的流水号（流水码编制规则：从000001～999999）。银行新发生一笔外债业务时，需为该笔外债编制外债编号，同一笔外债发生变更或展期时，不作为一笔新业务进行登记，发生展期时，变更到期日。</w:t>
            </w:r>
          </w:p>
        </w:tc>
      </w:tr>
      <w:tr w:rsidR="00A052DC" w14:paraId="5C63A382" w14:textId="77777777">
        <w:trPr>
          <w:cantSplit/>
        </w:trPr>
        <w:tc>
          <w:tcPr>
            <w:tcW w:w="1526" w:type="dxa"/>
          </w:tcPr>
          <w:p w14:paraId="01B98142" w14:textId="77777777" w:rsidR="00A052DC" w:rsidRDefault="009F0A60">
            <w:pPr>
              <w:pStyle w:val="B"/>
              <w:rPr>
                <w:szCs w:val="20"/>
              </w:rPr>
            </w:pPr>
            <w:r>
              <w:rPr>
                <w:rFonts w:hint="eastAsia"/>
                <w:szCs w:val="20"/>
              </w:rPr>
              <w:t>债务人代码</w:t>
            </w:r>
          </w:p>
        </w:tc>
        <w:tc>
          <w:tcPr>
            <w:tcW w:w="6946" w:type="dxa"/>
          </w:tcPr>
          <w:p w14:paraId="44A08037" w14:textId="77777777" w:rsidR="00A052DC" w:rsidRDefault="009F0A60">
            <w:pPr>
              <w:pStyle w:val="B"/>
              <w:rPr>
                <w:szCs w:val="20"/>
              </w:rPr>
            </w:pPr>
            <w:r>
              <w:rPr>
                <w:rFonts w:hint="eastAsia"/>
                <w:szCs w:val="20"/>
              </w:rPr>
              <w:t>国家外汇管理局及其分支局签发给境内债务银行的12位金融机构标识码编码。</w:t>
            </w:r>
          </w:p>
        </w:tc>
      </w:tr>
      <w:tr w:rsidR="00A052DC" w14:paraId="2DC31EC5" w14:textId="77777777">
        <w:trPr>
          <w:cantSplit/>
        </w:trPr>
        <w:tc>
          <w:tcPr>
            <w:tcW w:w="1526" w:type="dxa"/>
          </w:tcPr>
          <w:p w14:paraId="7584A7C9" w14:textId="77777777" w:rsidR="00A052DC" w:rsidRDefault="009F0A60">
            <w:pPr>
              <w:pStyle w:val="B"/>
              <w:rPr>
                <w:szCs w:val="20"/>
              </w:rPr>
            </w:pPr>
            <w:r>
              <w:rPr>
                <w:rFonts w:hint="eastAsia"/>
                <w:szCs w:val="20"/>
              </w:rPr>
              <w:t>债务类型</w:t>
            </w:r>
          </w:p>
        </w:tc>
        <w:tc>
          <w:tcPr>
            <w:tcW w:w="6946" w:type="dxa"/>
          </w:tcPr>
          <w:p w14:paraId="7D25C9FE" w14:textId="77777777" w:rsidR="00A052DC" w:rsidRDefault="009F0A60">
            <w:pPr>
              <w:pStyle w:val="B"/>
              <w:rPr>
                <w:szCs w:val="20"/>
              </w:rPr>
            </w:pPr>
            <w:r>
              <w:rPr>
                <w:rFonts w:hint="eastAsia"/>
                <w:szCs w:val="20"/>
              </w:rPr>
              <w:t>外债的债务类型代码，见外债的债务类型表。</w:t>
            </w:r>
          </w:p>
        </w:tc>
      </w:tr>
      <w:tr w:rsidR="00A052DC" w14:paraId="168F3A05" w14:textId="77777777">
        <w:trPr>
          <w:cantSplit/>
        </w:trPr>
        <w:tc>
          <w:tcPr>
            <w:tcW w:w="1526" w:type="dxa"/>
          </w:tcPr>
          <w:p w14:paraId="31802B08" w14:textId="77777777" w:rsidR="00A052DC" w:rsidRDefault="009F0A60">
            <w:pPr>
              <w:pStyle w:val="B"/>
              <w:rPr>
                <w:szCs w:val="20"/>
              </w:rPr>
            </w:pPr>
            <w:r>
              <w:rPr>
                <w:rFonts w:hint="eastAsia"/>
                <w:szCs w:val="20"/>
              </w:rPr>
              <w:t>起息日</w:t>
            </w:r>
          </w:p>
        </w:tc>
        <w:tc>
          <w:tcPr>
            <w:tcW w:w="6946" w:type="dxa"/>
          </w:tcPr>
          <w:p w14:paraId="1CFFA5FA" w14:textId="77777777" w:rsidR="00A052DC" w:rsidRDefault="009F0A60">
            <w:pPr>
              <w:pStyle w:val="B"/>
              <w:rPr>
                <w:szCs w:val="20"/>
              </w:rPr>
            </w:pPr>
            <w:r>
              <w:rPr>
                <w:rFonts w:hint="eastAsia"/>
                <w:szCs w:val="20"/>
              </w:rPr>
              <w:t>信用证的承兑日期，承担第一性付款责任的即期信用证（一般以单证相符为条件）和延付保函等的付款责任确认的日期。</w:t>
            </w:r>
          </w:p>
        </w:tc>
      </w:tr>
      <w:tr w:rsidR="00A052DC" w14:paraId="6C289737" w14:textId="77777777">
        <w:trPr>
          <w:cantSplit/>
        </w:trPr>
        <w:tc>
          <w:tcPr>
            <w:tcW w:w="1526" w:type="dxa"/>
          </w:tcPr>
          <w:p w14:paraId="0FB18F43" w14:textId="77777777" w:rsidR="00A052DC" w:rsidRDefault="009F0A60">
            <w:pPr>
              <w:pStyle w:val="B"/>
              <w:rPr>
                <w:szCs w:val="20"/>
              </w:rPr>
            </w:pPr>
            <w:r>
              <w:rPr>
                <w:rFonts w:hint="eastAsia"/>
                <w:szCs w:val="20"/>
              </w:rPr>
              <w:t>签约币种</w:t>
            </w:r>
          </w:p>
        </w:tc>
        <w:tc>
          <w:tcPr>
            <w:tcW w:w="6946" w:type="dxa"/>
          </w:tcPr>
          <w:p w14:paraId="29D1AEB8" w14:textId="77777777" w:rsidR="00A052DC" w:rsidRDefault="009F0A60">
            <w:pPr>
              <w:pStyle w:val="B"/>
              <w:rPr>
                <w:szCs w:val="20"/>
              </w:rPr>
            </w:pPr>
            <w:r>
              <w:rPr>
                <w:rFonts w:hint="eastAsia"/>
                <w:szCs w:val="20"/>
              </w:rPr>
              <w:t>外债签约币种即提款的币种。信用证的提款币种通常是指信用证的承兑币种，即期信用证和延付保函等约定的付款币种。</w:t>
            </w:r>
          </w:p>
        </w:tc>
      </w:tr>
      <w:tr w:rsidR="00A052DC" w14:paraId="03B511F2" w14:textId="77777777">
        <w:trPr>
          <w:cantSplit/>
        </w:trPr>
        <w:tc>
          <w:tcPr>
            <w:tcW w:w="1526" w:type="dxa"/>
          </w:tcPr>
          <w:p w14:paraId="6C3E1908" w14:textId="77777777" w:rsidR="00A052DC" w:rsidRDefault="009F0A60">
            <w:pPr>
              <w:pStyle w:val="B"/>
              <w:rPr>
                <w:szCs w:val="20"/>
              </w:rPr>
            </w:pPr>
            <w:r>
              <w:rPr>
                <w:rFonts w:hint="eastAsia"/>
                <w:szCs w:val="20"/>
              </w:rPr>
              <w:t>签约金额</w:t>
            </w:r>
          </w:p>
        </w:tc>
        <w:tc>
          <w:tcPr>
            <w:tcW w:w="6946" w:type="dxa"/>
          </w:tcPr>
          <w:p w14:paraId="25533215" w14:textId="77777777" w:rsidR="00A052DC" w:rsidRDefault="009F0A60">
            <w:pPr>
              <w:pStyle w:val="B"/>
              <w:rPr>
                <w:szCs w:val="20"/>
              </w:rPr>
            </w:pPr>
            <w:r>
              <w:rPr>
                <w:rFonts w:hint="eastAsia"/>
                <w:szCs w:val="20"/>
              </w:rPr>
              <w:t>外债签约金额即提款的金额。对于信用证以及延付保函而言，提款金额通常是指信用证的承兑金额以及即期信用证和延付保函下承担第一性付款责任所需支付的币种。</w:t>
            </w:r>
          </w:p>
        </w:tc>
      </w:tr>
      <w:tr w:rsidR="00A052DC" w14:paraId="336A6B47" w14:textId="77777777">
        <w:trPr>
          <w:cantSplit/>
        </w:trPr>
        <w:tc>
          <w:tcPr>
            <w:tcW w:w="1526" w:type="dxa"/>
          </w:tcPr>
          <w:p w14:paraId="547E1ADF" w14:textId="77777777" w:rsidR="00A052DC" w:rsidRDefault="009F0A60">
            <w:pPr>
              <w:pStyle w:val="B"/>
              <w:rPr>
                <w:szCs w:val="20"/>
              </w:rPr>
            </w:pPr>
            <w:r>
              <w:rPr>
                <w:rFonts w:hint="eastAsia"/>
                <w:szCs w:val="20"/>
              </w:rPr>
              <w:t>到期日</w:t>
            </w:r>
          </w:p>
        </w:tc>
        <w:tc>
          <w:tcPr>
            <w:tcW w:w="6946" w:type="dxa"/>
            <w:vAlign w:val="center"/>
          </w:tcPr>
          <w:p w14:paraId="04D9D26E" w14:textId="77777777" w:rsidR="00A052DC" w:rsidRDefault="009F0A60">
            <w:pPr>
              <w:pStyle w:val="B"/>
              <w:rPr>
                <w:szCs w:val="20"/>
              </w:rPr>
            </w:pPr>
            <w:r>
              <w:rPr>
                <w:rFonts w:hint="eastAsia"/>
                <w:szCs w:val="20"/>
              </w:rPr>
              <w:t>外债的到期日期，即信用证承兑的到期日，以及已确认第一性付款责任的即期信用证和延付保函的最终支付日期。</w:t>
            </w:r>
          </w:p>
        </w:tc>
      </w:tr>
      <w:tr w:rsidR="00A052DC" w14:paraId="6E19E476" w14:textId="77777777">
        <w:trPr>
          <w:cantSplit/>
        </w:trPr>
        <w:tc>
          <w:tcPr>
            <w:tcW w:w="1526" w:type="dxa"/>
          </w:tcPr>
          <w:p w14:paraId="14A247CE" w14:textId="77777777" w:rsidR="00A052DC" w:rsidRDefault="009F0A60">
            <w:pPr>
              <w:pStyle w:val="B"/>
              <w:rPr>
                <w:szCs w:val="20"/>
              </w:rPr>
            </w:pPr>
            <w:r>
              <w:rPr>
                <w:rFonts w:hint="eastAsia"/>
                <w:szCs w:val="20"/>
              </w:rPr>
              <w:t>开证申请人代码</w:t>
            </w:r>
          </w:p>
        </w:tc>
        <w:tc>
          <w:tcPr>
            <w:tcW w:w="6946" w:type="dxa"/>
          </w:tcPr>
          <w:p w14:paraId="30A9687A" w14:textId="77777777" w:rsidR="00A052DC" w:rsidRDefault="009F0A60">
            <w:pPr>
              <w:pStyle w:val="B"/>
              <w:widowControl w:val="0"/>
              <w:rPr>
                <w:szCs w:val="20"/>
              </w:rPr>
            </w:pPr>
            <w:r>
              <w:rPr>
                <w:rFonts w:hint="eastAsia"/>
                <w:szCs w:val="20"/>
              </w:rPr>
              <w:t>必填项，如果开证申请人为境内机构，开证申请人代码填报统一社会信用代码法定载体（如营业执照）上统一社会信用代码中的第9至17位；如果开证申请人为境外机构，若该境外机构有国家外汇管理局签发的特殊机构代码赋码，填报该赋码；如果申请人为境内个人，应填写个人身份证件号码。否则为空。</w:t>
            </w:r>
          </w:p>
        </w:tc>
      </w:tr>
      <w:tr w:rsidR="00A052DC" w14:paraId="2CC7C6CF" w14:textId="77777777">
        <w:trPr>
          <w:cantSplit/>
        </w:trPr>
        <w:tc>
          <w:tcPr>
            <w:tcW w:w="1526" w:type="dxa"/>
          </w:tcPr>
          <w:p w14:paraId="725E8264" w14:textId="77777777" w:rsidR="00A052DC" w:rsidRDefault="009F0A60">
            <w:pPr>
              <w:pStyle w:val="B"/>
              <w:widowControl w:val="0"/>
              <w:rPr>
                <w:szCs w:val="20"/>
              </w:rPr>
            </w:pPr>
            <w:r>
              <w:rPr>
                <w:rFonts w:hint="eastAsia"/>
                <w:szCs w:val="20"/>
              </w:rPr>
              <w:t>开证申请人名称</w:t>
            </w:r>
          </w:p>
        </w:tc>
        <w:tc>
          <w:tcPr>
            <w:tcW w:w="6946" w:type="dxa"/>
          </w:tcPr>
          <w:p w14:paraId="2EBD3C87" w14:textId="77777777" w:rsidR="00A052DC" w:rsidRDefault="009F0A60">
            <w:pPr>
              <w:pStyle w:val="B"/>
              <w:widowControl w:val="0"/>
              <w:rPr>
                <w:szCs w:val="20"/>
              </w:rPr>
            </w:pPr>
            <w:r>
              <w:rPr>
                <w:rFonts w:hint="eastAsia"/>
                <w:szCs w:val="20"/>
              </w:rPr>
              <w:t>信用证开证申请人的中文或英文名称。如果该开证申请人有营业执照或国家外汇管理局及其分支局签发的特殊机构代码赋码通知书，则应填写营业执照或国家外汇管理局及其分支局签发的特殊机构代码赋码通知书上的中文或英文名称。</w:t>
            </w:r>
          </w:p>
        </w:tc>
      </w:tr>
      <w:tr w:rsidR="00A052DC" w14:paraId="559910CB" w14:textId="77777777">
        <w:trPr>
          <w:cantSplit/>
        </w:trPr>
        <w:tc>
          <w:tcPr>
            <w:tcW w:w="1526" w:type="dxa"/>
          </w:tcPr>
          <w:p w14:paraId="0722BCC8" w14:textId="77777777" w:rsidR="00A052DC" w:rsidRDefault="009F0A60">
            <w:pPr>
              <w:pStyle w:val="B"/>
              <w:widowControl w:val="0"/>
              <w:rPr>
                <w:szCs w:val="20"/>
              </w:rPr>
            </w:pPr>
            <w:r>
              <w:rPr>
                <w:rFonts w:hint="eastAsia"/>
                <w:szCs w:val="20"/>
              </w:rPr>
              <w:t>债权人代码</w:t>
            </w:r>
          </w:p>
        </w:tc>
        <w:tc>
          <w:tcPr>
            <w:tcW w:w="6946" w:type="dxa"/>
            <w:vAlign w:val="center"/>
          </w:tcPr>
          <w:p w14:paraId="5AB1065E" w14:textId="77777777" w:rsidR="00A052DC" w:rsidRDefault="009F0A60">
            <w:pPr>
              <w:pStyle w:val="B"/>
              <w:widowControl w:val="0"/>
              <w:rPr>
                <w:szCs w:val="20"/>
              </w:rPr>
            </w:pPr>
            <w:r>
              <w:rPr>
                <w:rFonts w:hint="eastAsia"/>
                <w:szCs w:val="20"/>
              </w:rPr>
              <w:t>如果债权人为银行，应填写8位或11位的SWIFTCODE；如果债权人类型为“政府”、或“中央银行”时，或者当债务类型为“货币市场工具”或“债券和票据”或“非居民个人存款”时，应在外汇局编制的部分债权人代码表中选择债权人代码；否则为空。</w:t>
            </w:r>
          </w:p>
          <w:p w14:paraId="544E2973" w14:textId="77777777" w:rsidR="00A052DC" w:rsidRDefault="009F0A60">
            <w:pPr>
              <w:pStyle w:val="B"/>
              <w:widowControl w:val="0"/>
              <w:rPr>
                <w:szCs w:val="20"/>
              </w:rPr>
            </w:pPr>
            <w:r>
              <w:rPr>
                <w:rFonts w:hint="eastAsia"/>
                <w:szCs w:val="20"/>
              </w:rPr>
              <w:t>如果债权人为“非银行金融机构”或“国际金融组织”，应优先填写SWIFTCODE。</w:t>
            </w:r>
          </w:p>
        </w:tc>
      </w:tr>
      <w:tr w:rsidR="00A052DC" w14:paraId="4E6C4CC8" w14:textId="77777777">
        <w:trPr>
          <w:cantSplit/>
        </w:trPr>
        <w:tc>
          <w:tcPr>
            <w:tcW w:w="1526" w:type="dxa"/>
          </w:tcPr>
          <w:p w14:paraId="6C262ACA" w14:textId="77777777" w:rsidR="00A052DC" w:rsidRDefault="009F0A60">
            <w:pPr>
              <w:pStyle w:val="B"/>
              <w:widowControl w:val="0"/>
              <w:rPr>
                <w:szCs w:val="20"/>
              </w:rPr>
            </w:pPr>
            <w:r>
              <w:rPr>
                <w:rFonts w:hint="eastAsia"/>
                <w:szCs w:val="20"/>
              </w:rPr>
              <w:t>债权人中文名称</w:t>
            </w:r>
          </w:p>
        </w:tc>
        <w:tc>
          <w:tcPr>
            <w:tcW w:w="6946" w:type="dxa"/>
            <w:vAlign w:val="center"/>
          </w:tcPr>
          <w:p w14:paraId="0F446891" w14:textId="77777777" w:rsidR="00A052DC" w:rsidRDefault="009F0A60">
            <w:pPr>
              <w:pStyle w:val="B"/>
              <w:widowControl w:val="0"/>
              <w:rPr>
                <w:szCs w:val="20"/>
              </w:rPr>
            </w:pPr>
            <w:r>
              <w:rPr>
                <w:rFonts w:hint="eastAsia"/>
                <w:szCs w:val="20"/>
              </w:rPr>
              <w:t>债权人中文名称。债权人是指信用证的受益人。</w:t>
            </w:r>
          </w:p>
        </w:tc>
      </w:tr>
      <w:tr w:rsidR="00A052DC" w14:paraId="42C45F99" w14:textId="77777777">
        <w:trPr>
          <w:cantSplit/>
        </w:trPr>
        <w:tc>
          <w:tcPr>
            <w:tcW w:w="1526" w:type="dxa"/>
          </w:tcPr>
          <w:p w14:paraId="2BCA60C9" w14:textId="77777777" w:rsidR="00A052DC" w:rsidRDefault="009F0A60">
            <w:pPr>
              <w:pStyle w:val="B"/>
              <w:widowControl w:val="0"/>
              <w:rPr>
                <w:szCs w:val="20"/>
              </w:rPr>
            </w:pPr>
            <w:r>
              <w:rPr>
                <w:rFonts w:hint="eastAsia"/>
                <w:szCs w:val="20"/>
              </w:rPr>
              <w:t>债权人英文名称</w:t>
            </w:r>
          </w:p>
        </w:tc>
        <w:tc>
          <w:tcPr>
            <w:tcW w:w="6946" w:type="dxa"/>
            <w:vAlign w:val="center"/>
          </w:tcPr>
          <w:p w14:paraId="0DEFC77B" w14:textId="77777777" w:rsidR="00A052DC" w:rsidRDefault="009F0A60">
            <w:pPr>
              <w:pStyle w:val="B"/>
              <w:widowControl w:val="0"/>
              <w:rPr>
                <w:szCs w:val="20"/>
              </w:rPr>
            </w:pPr>
            <w:r>
              <w:rPr>
                <w:rFonts w:hint="eastAsia"/>
                <w:szCs w:val="20"/>
              </w:rPr>
              <w:t>债权人英文名称。中英文名称至少填写一个。</w:t>
            </w:r>
          </w:p>
        </w:tc>
      </w:tr>
      <w:tr w:rsidR="00A052DC" w14:paraId="2921B0B4" w14:textId="77777777">
        <w:trPr>
          <w:cantSplit/>
        </w:trPr>
        <w:tc>
          <w:tcPr>
            <w:tcW w:w="1526" w:type="dxa"/>
          </w:tcPr>
          <w:p w14:paraId="029446FA" w14:textId="77777777" w:rsidR="00A052DC" w:rsidRDefault="009F0A60">
            <w:pPr>
              <w:pStyle w:val="B"/>
              <w:widowControl w:val="0"/>
              <w:rPr>
                <w:szCs w:val="20"/>
              </w:rPr>
            </w:pPr>
            <w:r>
              <w:rPr>
                <w:rFonts w:hint="eastAsia"/>
                <w:szCs w:val="20"/>
              </w:rPr>
              <w:t>债权人类型代码</w:t>
            </w:r>
          </w:p>
        </w:tc>
        <w:tc>
          <w:tcPr>
            <w:tcW w:w="6946" w:type="dxa"/>
          </w:tcPr>
          <w:p w14:paraId="0D73A8DC" w14:textId="77777777" w:rsidR="00A052DC" w:rsidRDefault="009F0A60">
            <w:pPr>
              <w:pStyle w:val="B"/>
              <w:widowControl w:val="0"/>
              <w:rPr>
                <w:szCs w:val="20"/>
              </w:rPr>
            </w:pPr>
            <w:r>
              <w:rPr>
                <w:rFonts w:hint="eastAsia"/>
                <w:szCs w:val="20"/>
              </w:rPr>
              <w:t>债权人类型代码，见境外主体类型代码表。</w:t>
            </w:r>
          </w:p>
        </w:tc>
      </w:tr>
      <w:tr w:rsidR="00A052DC" w14:paraId="64C521B9" w14:textId="77777777">
        <w:trPr>
          <w:cantSplit/>
        </w:trPr>
        <w:tc>
          <w:tcPr>
            <w:tcW w:w="1526" w:type="dxa"/>
          </w:tcPr>
          <w:p w14:paraId="0C84BD64" w14:textId="77777777" w:rsidR="00A052DC" w:rsidRDefault="009F0A60">
            <w:pPr>
              <w:pStyle w:val="B"/>
              <w:widowControl w:val="0"/>
              <w:rPr>
                <w:szCs w:val="20"/>
              </w:rPr>
            </w:pPr>
            <w:r>
              <w:rPr>
                <w:rFonts w:hint="eastAsia"/>
                <w:szCs w:val="20"/>
              </w:rPr>
              <w:t>债权人总部所在国家（地区）代码</w:t>
            </w:r>
          </w:p>
        </w:tc>
        <w:tc>
          <w:tcPr>
            <w:tcW w:w="6946" w:type="dxa"/>
            <w:vAlign w:val="center"/>
          </w:tcPr>
          <w:p w14:paraId="5B624A31" w14:textId="77777777" w:rsidR="00A052DC" w:rsidRDefault="009F0A60">
            <w:pPr>
              <w:pStyle w:val="B"/>
              <w:widowControl w:val="0"/>
              <w:rPr>
                <w:szCs w:val="20"/>
              </w:rPr>
            </w:pPr>
            <w:r>
              <w:rPr>
                <w:rFonts w:hint="eastAsia"/>
                <w:szCs w:val="20"/>
              </w:rPr>
              <w:t>债权人总部所在地代码，见国家和地区代码表。</w:t>
            </w:r>
          </w:p>
        </w:tc>
      </w:tr>
      <w:tr w:rsidR="00A052DC" w14:paraId="1195A400" w14:textId="77777777">
        <w:trPr>
          <w:cantSplit/>
        </w:trPr>
        <w:tc>
          <w:tcPr>
            <w:tcW w:w="1526" w:type="dxa"/>
          </w:tcPr>
          <w:p w14:paraId="79ABB3EF" w14:textId="77777777" w:rsidR="00A052DC" w:rsidRDefault="009F0A60">
            <w:pPr>
              <w:pStyle w:val="B"/>
              <w:widowControl w:val="0"/>
              <w:rPr>
                <w:szCs w:val="20"/>
              </w:rPr>
            </w:pPr>
            <w:r>
              <w:rPr>
                <w:rFonts w:hint="eastAsia"/>
                <w:szCs w:val="20"/>
              </w:rPr>
              <w:t>债权人经营地所在国家（地区）代码</w:t>
            </w:r>
          </w:p>
        </w:tc>
        <w:tc>
          <w:tcPr>
            <w:tcW w:w="6946" w:type="dxa"/>
            <w:vAlign w:val="center"/>
          </w:tcPr>
          <w:p w14:paraId="4B22D015" w14:textId="77777777" w:rsidR="00A052DC" w:rsidRDefault="009F0A60">
            <w:pPr>
              <w:pStyle w:val="B"/>
              <w:widowControl w:val="0"/>
              <w:rPr>
                <w:szCs w:val="20"/>
              </w:rPr>
            </w:pPr>
            <w:r>
              <w:rPr>
                <w:rFonts w:hint="eastAsia"/>
                <w:szCs w:val="20"/>
              </w:rPr>
              <w:t>债权人经营所在地代码，见国家和地区代码表。</w:t>
            </w:r>
          </w:p>
        </w:tc>
      </w:tr>
      <w:tr w:rsidR="00A052DC" w14:paraId="6DC4A080" w14:textId="77777777">
        <w:trPr>
          <w:cantSplit/>
        </w:trPr>
        <w:tc>
          <w:tcPr>
            <w:tcW w:w="1526" w:type="dxa"/>
          </w:tcPr>
          <w:p w14:paraId="34C15CD5" w14:textId="77777777" w:rsidR="00A052DC" w:rsidRDefault="009F0A60">
            <w:pPr>
              <w:pStyle w:val="B"/>
              <w:widowControl w:val="0"/>
              <w:rPr>
                <w:szCs w:val="20"/>
              </w:rPr>
            </w:pPr>
            <w:r>
              <w:rPr>
                <w:rFonts w:hint="eastAsia"/>
                <w:szCs w:val="20"/>
              </w:rPr>
              <w:t>是否不纳入跨境融资风险加权余额计算</w:t>
            </w:r>
          </w:p>
        </w:tc>
        <w:tc>
          <w:tcPr>
            <w:tcW w:w="6946" w:type="dxa"/>
          </w:tcPr>
          <w:p w14:paraId="79132022" w14:textId="77777777" w:rsidR="00A052DC" w:rsidRDefault="009F0A60">
            <w:pPr>
              <w:pStyle w:val="B"/>
              <w:widowControl w:val="0"/>
              <w:rPr>
                <w:szCs w:val="20"/>
              </w:rPr>
            </w:pPr>
            <w:r>
              <w:rPr>
                <w:rFonts w:hint="eastAsia"/>
                <w:szCs w:val="20"/>
              </w:rPr>
              <w:t>标识该笔债务是否不纳入跨境融资风险加权余额计算，默认为“否”。</w:t>
            </w:r>
          </w:p>
        </w:tc>
      </w:tr>
      <w:tr w:rsidR="00A052DC" w14:paraId="2A1CE8F0" w14:textId="77777777">
        <w:trPr>
          <w:cantSplit/>
        </w:trPr>
        <w:tc>
          <w:tcPr>
            <w:tcW w:w="1526" w:type="dxa"/>
          </w:tcPr>
          <w:p w14:paraId="2B4E3AEC" w14:textId="77777777" w:rsidR="00A052DC" w:rsidRDefault="009F0A60">
            <w:pPr>
              <w:pStyle w:val="B"/>
              <w:widowControl w:val="0"/>
              <w:rPr>
                <w:szCs w:val="20"/>
              </w:rPr>
            </w:pPr>
            <w:r>
              <w:rPr>
                <w:rFonts w:hint="eastAsia"/>
                <w:szCs w:val="20"/>
              </w:rPr>
              <w:t>相关业务类型</w:t>
            </w:r>
          </w:p>
        </w:tc>
        <w:tc>
          <w:tcPr>
            <w:tcW w:w="6946" w:type="dxa"/>
          </w:tcPr>
          <w:p w14:paraId="73374347" w14:textId="77777777" w:rsidR="00A052DC" w:rsidRDefault="009F0A60">
            <w:pPr>
              <w:pStyle w:val="B"/>
              <w:widowControl w:val="0"/>
              <w:rPr>
                <w:szCs w:val="20"/>
              </w:rPr>
            </w:pPr>
            <w:r>
              <w:rPr>
                <w:rFonts w:hint="eastAsia"/>
                <w:szCs w:val="20"/>
              </w:rPr>
              <w:t>包括：A信用证、B延付保函、C其他。</w:t>
            </w:r>
          </w:p>
        </w:tc>
      </w:tr>
      <w:tr w:rsidR="00A052DC" w14:paraId="62B7AD7E" w14:textId="77777777">
        <w:trPr>
          <w:cantSplit/>
        </w:trPr>
        <w:tc>
          <w:tcPr>
            <w:tcW w:w="1526" w:type="dxa"/>
          </w:tcPr>
          <w:p w14:paraId="322119A1" w14:textId="77777777" w:rsidR="00A052DC" w:rsidRDefault="009F0A60">
            <w:pPr>
              <w:pStyle w:val="B"/>
              <w:widowControl w:val="0"/>
              <w:rPr>
                <w:szCs w:val="20"/>
              </w:rPr>
            </w:pPr>
            <w:r>
              <w:rPr>
                <w:rFonts w:hint="eastAsia"/>
                <w:szCs w:val="20"/>
              </w:rPr>
              <w:t>是否附有银行承兑汇票</w:t>
            </w:r>
          </w:p>
        </w:tc>
        <w:tc>
          <w:tcPr>
            <w:tcW w:w="6946" w:type="dxa"/>
          </w:tcPr>
          <w:p w14:paraId="3AE0F22E" w14:textId="77777777" w:rsidR="00A052DC" w:rsidRDefault="009F0A60">
            <w:pPr>
              <w:pStyle w:val="B"/>
              <w:widowControl w:val="0"/>
              <w:rPr>
                <w:szCs w:val="20"/>
              </w:rPr>
            </w:pPr>
            <w:r>
              <w:rPr>
                <w:rFonts w:hint="eastAsia"/>
                <w:szCs w:val="20"/>
              </w:rPr>
              <w:t>本业务是否附有银行承兑汇票，选择是或否。</w:t>
            </w:r>
          </w:p>
        </w:tc>
      </w:tr>
      <w:tr w:rsidR="00A052DC" w14:paraId="21555BBD" w14:textId="77777777">
        <w:trPr>
          <w:cantSplit/>
        </w:trPr>
        <w:tc>
          <w:tcPr>
            <w:tcW w:w="1526" w:type="dxa"/>
          </w:tcPr>
          <w:p w14:paraId="3B87B25C" w14:textId="77777777" w:rsidR="00A052DC" w:rsidRDefault="009F0A60">
            <w:pPr>
              <w:pStyle w:val="B"/>
              <w:widowControl w:val="0"/>
              <w:rPr>
                <w:szCs w:val="20"/>
              </w:rPr>
            </w:pPr>
            <w:r>
              <w:rPr>
                <w:rFonts w:hint="eastAsia"/>
                <w:szCs w:val="20"/>
              </w:rPr>
              <w:t>对方与本机构的关系</w:t>
            </w:r>
          </w:p>
        </w:tc>
        <w:tc>
          <w:tcPr>
            <w:tcW w:w="6946" w:type="dxa"/>
          </w:tcPr>
          <w:p w14:paraId="5FD2495D" w14:textId="77777777" w:rsidR="00A052DC" w:rsidRDefault="009F0A60">
            <w:pPr>
              <w:pStyle w:val="B"/>
              <w:widowControl w:val="0"/>
              <w:rPr>
                <w:szCs w:val="20"/>
              </w:rPr>
            </w:pPr>
            <w:r>
              <w:rPr>
                <w:rFonts w:hint="eastAsia"/>
                <w:szCs w:val="20"/>
              </w:rPr>
              <w:t>债权人与本机构的关系，见对方与本机构/被代理居民机构/委托人的关系代码表。</w:t>
            </w:r>
          </w:p>
        </w:tc>
      </w:tr>
      <w:tr w:rsidR="00A052DC" w14:paraId="314F9836" w14:textId="77777777">
        <w:trPr>
          <w:cantSplit/>
        </w:trPr>
        <w:tc>
          <w:tcPr>
            <w:tcW w:w="1526" w:type="dxa"/>
            <w:tcBorders>
              <w:top w:val="single" w:sz="6" w:space="0" w:color="auto"/>
              <w:left w:val="single" w:sz="6" w:space="0" w:color="auto"/>
              <w:bottom w:val="single" w:sz="6" w:space="0" w:color="auto"/>
              <w:right w:val="single" w:sz="6" w:space="0" w:color="auto"/>
            </w:tcBorders>
          </w:tcPr>
          <w:p w14:paraId="62AD2B2A" w14:textId="77777777" w:rsidR="00A052DC" w:rsidRDefault="009F0A60">
            <w:pPr>
              <w:pStyle w:val="B"/>
              <w:widowControl w:val="0"/>
              <w:rPr>
                <w:szCs w:val="20"/>
              </w:rPr>
            </w:pPr>
            <w:r>
              <w:rPr>
                <w:rFonts w:hint="eastAsia"/>
                <w:szCs w:val="20"/>
              </w:rPr>
              <w:t>备注</w:t>
            </w:r>
          </w:p>
        </w:tc>
        <w:tc>
          <w:tcPr>
            <w:tcW w:w="6946" w:type="dxa"/>
            <w:tcBorders>
              <w:top w:val="single" w:sz="6" w:space="0" w:color="auto"/>
              <w:left w:val="single" w:sz="6" w:space="0" w:color="auto"/>
              <w:bottom w:val="single" w:sz="6" w:space="0" w:color="auto"/>
              <w:right w:val="single" w:sz="6" w:space="0" w:color="auto"/>
            </w:tcBorders>
          </w:tcPr>
          <w:p w14:paraId="285DCB5E" w14:textId="77777777" w:rsidR="00A052DC" w:rsidRDefault="009F0A60">
            <w:pPr>
              <w:pStyle w:val="B"/>
              <w:widowControl w:val="0"/>
              <w:rPr>
                <w:szCs w:val="20"/>
              </w:rPr>
            </w:pPr>
            <w:r>
              <w:rPr>
                <w:rFonts w:hint="eastAsia"/>
                <w:szCs w:val="20"/>
              </w:rPr>
              <w:t>需要说明的备注事项。</w:t>
            </w:r>
          </w:p>
        </w:tc>
      </w:tr>
    </w:tbl>
    <w:p w14:paraId="558F18E5" w14:textId="77777777" w:rsidR="00A052DC" w:rsidRDefault="009F0A60">
      <w:pPr>
        <w:pStyle w:val="5"/>
        <w:numPr>
          <w:ilvl w:val="4"/>
          <w:numId w:val="1"/>
        </w:numPr>
        <w:spacing w:before="120" w:after="120" w:line="360" w:lineRule="auto"/>
        <w:jc w:val="left"/>
      </w:pPr>
      <w:bookmarkStart w:id="1523" w:name="_Toc454386890"/>
      <w:bookmarkStart w:id="1524" w:name="_Toc454386891"/>
      <w:bookmarkEnd w:id="1523"/>
      <w:r>
        <w:rPr>
          <w:rFonts w:hint="eastAsia"/>
        </w:rPr>
        <w:t>数据格式</w:t>
      </w:r>
      <w:bookmarkEnd w:id="1524"/>
    </w:p>
    <w:p w14:paraId="6DBAFBC1" w14:textId="77777777" w:rsidR="00A052DC" w:rsidRDefault="009F0A60">
      <w:r>
        <w:t>&lt;REC&gt;</w:t>
      </w:r>
    </w:p>
    <w:p w14:paraId="395910E7" w14:textId="77777777" w:rsidR="00A052DC" w:rsidRDefault="009F0A60">
      <w:r>
        <w:t>&lt;ACTIONTYPE&gt;</w:t>
      </w:r>
      <w:r>
        <w:rPr>
          <w:rFonts w:hint="eastAsia"/>
        </w:rPr>
        <w:t>操作类型</w:t>
      </w:r>
      <w:r>
        <w:t>&lt;/ACTIONTYPE&gt;</w:t>
      </w:r>
    </w:p>
    <w:p w14:paraId="28EA3613" w14:textId="77777777" w:rsidR="00A052DC" w:rsidRDefault="009F0A60">
      <w:r>
        <w:t>&lt;ACTIONDESC&gt;</w:t>
      </w:r>
      <w:r>
        <w:rPr>
          <w:rFonts w:hint="eastAsia"/>
        </w:rPr>
        <w:t>删除原因</w:t>
      </w:r>
      <w:r>
        <w:t>&lt;/ACTIONDESC&gt;</w:t>
      </w:r>
    </w:p>
    <w:p w14:paraId="3C294DAB" w14:textId="77777777" w:rsidR="00A052DC" w:rsidRDefault="009F0A60">
      <w:r>
        <w:t>&lt;EXDEBTCODE&gt;</w:t>
      </w:r>
      <w:r>
        <w:rPr>
          <w:rFonts w:hint="eastAsia"/>
        </w:rPr>
        <w:t>外债编号</w:t>
      </w:r>
      <w:r>
        <w:t>&lt;/EXDEBTCODE&gt;</w:t>
      </w:r>
    </w:p>
    <w:p w14:paraId="17958000" w14:textId="77777777" w:rsidR="00A052DC" w:rsidRDefault="009F0A60">
      <w:r>
        <w:t>&lt;DEBTORCODE&gt;</w:t>
      </w:r>
      <w:r>
        <w:rPr>
          <w:rFonts w:hint="eastAsia"/>
        </w:rPr>
        <w:t>债务人代码</w:t>
      </w:r>
      <w:r>
        <w:t>&lt;/DEBTORCODE&gt;</w:t>
      </w:r>
    </w:p>
    <w:p w14:paraId="5D5C4289" w14:textId="77777777" w:rsidR="00A052DC" w:rsidRDefault="009F0A60">
      <w:r>
        <w:t>&lt;DEBTYPE&gt;</w:t>
      </w:r>
      <w:r>
        <w:rPr>
          <w:rFonts w:hint="eastAsia"/>
        </w:rPr>
        <w:t>债务类型</w:t>
      </w:r>
      <w:r>
        <w:t>&lt;/DEBTYPE&gt;</w:t>
      </w:r>
    </w:p>
    <w:p w14:paraId="37716700" w14:textId="77777777" w:rsidR="00A052DC" w:rsidRDefault="009F0A60">
      <w:r>
        <w:t>&lt;VALUEDATE&gt;</w:t>
      </w:r>
      <w:r>
        <w:rPr>
          <w:rFonts w:hint="eastAsia"/>
        </w:rPr>
        <w:t>起息日</w:t>
      </w:r>
      <w:r>
        <w:t>&lt;/VALUEDATE&gt;</w:t>
      </w:r>
    </w:p>
    <w:p w14:paraId="14892DB0" w14:textId="77777777" w:rsidR="00A052DC" w:rsidRDefault="009F0A60">
      <w:r>
        <w:t>&lt;CONTRACTCURR&gt;</w:t>
      </w:r>
      <w:r>
        <w:rPr>
          <w:rFonts w:hint="eastAsia"/>
        </w:rPr>
        <w:t>签约币种</w:t>
      </w:r>
      <w:r>
        <w:t>&lt;/CONTRACTCURR&gt;</w:t>
      </w:r>
    </w:p>
    <w:p w14:paraId="6DAA85BD" w14:textId="77777777" w:rsidR="00A052DC" w:rsidRDefault="009F0A60">
      <w:r>
        <w:t>&lt;CONTRACTAMOUNT&gt;</w:t>
      </w:r>
      <w:r>
        <w:rPr>
          <w:rFonts w:hint="eastAsia"/>
        </w:rPr>
        <w:t>签约金额</w:t>
      </w:r>
      <w:r>
        <w:t>&lt;/CONTRACTAMOUNT&gt;</w:t>
      </w:r>
    </w:p>
    <w:p w14:paraId="41D98478" w14:textId="77777777" w:rsidR="00A052DC" w:rsidRDefault="009F0A60">
      <w:r>
        <w:t>&lt;MATURITY&gt;</w:t>
      </w:r>
      <w:r>
        <w:rPr>
          <w:rFonts w:hint="eastAsia"/>
        </w:rPr>
        <w:t>到期日</w:t>
      </w:r>
      <w:r>
        <w:t>&lt;/MATURITY&gt;</w:t>
      </w:r>
    </w:p>
    <w:p w14:paraId="50BBBD25" w14:textId="77777777" w:rsidR="00A052DC" w:rsidRDefault="009F0A60">
      <w:r>
        <w:t>&lt;APPCODE&gt;</w:t>
      </w:r>
      <w:r>
        <w:rPr>
          <w:rFonts w:hint="eastAsia"/>
        </w:rPr>
        <w:t>开证申请人代码</w:t>
      </w:r>
      <w:r>
        <w:t>&lt;/APPCODE&gt;</w:t>
      </w:r>
    </w:p>
    <w:p w14:paraId="4D540E34" w14:textId="77777777" w:rsidR="00A052DC" w:rsidRDefault="009F0A60">
      <w:r>
        <w:t>&lt;APPNAME&gt;</w:t>
      </w:r>
      <w:r>
        <w:rPr>
          <w:rFonts w:hint="eastAsia"/>
        </w:rPr>
        <w:t>开证申请人名称</w:t>
      </w:r>
      <w:r>
        <w:t>&lt;/APPNAME&gt;</w:t>
      </w:r>
    </w:p>
    <w:p w14:paraId="2CB1D1F5" w14:textId="77777777" w:rsidR="00A052DC" w:rsidRDefault="009F0A60">
      <w:r>
        <w:t>&lt;CREDITORCODE&gt;</w:t>
      </w:r>
      <w:r>
        <w:rPr>
          <w:rFonts w:hint="eastAsia"/>
        </w:rPr>
        <w:t>债权人代码</w:t>
      </w:r>
      <w:r>
        <w:t>&lt;/CREDITORCODE&gt;</w:t>
      </w:r>
    </w:p>
    <w:p w14:paraId="3CD08184" w14:textId="77777777" w:rsidR="00A052DC" w:rsidRDefault="009F0A60">
      <w:r>
        <w:t>&lt;CREDITORNAME&gt;</w:t>
      </w:r>
      <w:r>
        <w:rPr>
          <w:rFonts w:hint="eastAsia"/>
        </w:rPr>
        <w:t>债权人中文名称</w:t>
      </w:r>
      <w:r>
        <w:t>&lt;/CREDITORNAME&gt;</w:t>
      </w:r>
    </w:p>
    <w:p w14:paraId="260572CE" w14:textId="77777777" w:rsidR="00A052DC" w:rsidRDefault="009F0A60">
      <w:r>
        <w:t>&lt;CREDITORNAMEN&gt;</w:t>
      </w:r>
      <w:r>
        <w:rPr>
          <w:rFonts w:hint="eastAsia"/>
        </w:rPr>
        <w:t>债权人英文名称</w:t>
      </w:r>
      <w:r>
        <w:t>&lt;/CREDITORNAMEN&gt;</w:t>
      </w:r>
    </w:p>
    <w:p w14:paraId="3A12181C" w14:textId="77777777" w:rsidR="00A052DC" w:rsidRDefault="009F0A60">
      <w:r>
        <w:t>&lt;CREDITORTYPE&gt;</w:t>
      </w:r>
      <w:r>
        <w:rPr>
          <w:rFonts w:hint="eastAsia"/>
        </w:rPr>
        <w:t>债权人类型代码</w:t>
      </w:r>
      <w:r>
        <w:t>&lt;/CREDITORTYPE&gt;</w:t>
      </w:r>
    </w:p>
    <w:p w14:paraId="6333CAC1" w14:textId="77777777" w:rsidR="00A052DC" w:rsidRDefault="009F0A60">
      <w:r>
        <w:t>&lt;CREHQCODE&gt;</w:t>
      </w:r>
      <w:r>
        <w:rPr>
          <w:rFonts w:hint="eastAsia"/>
        </w:rPr>
        <w:t>债权人总部所在国家（地区）代码</w:t>
      </w:r>
      <w:r>
        <w:t>&lt;/CREHQCODE&gt;</w:t>
      </w:r>
    </w:p>
    <w:p w14:paraId="54F62D1F" w14:textId="77777777" w:rsidR="00A052DC" w:rsidRDefault="009F0A60">
      <w:r>
        <w:t>&lt;OPERCODE&gt;</w:t>
      </w:r>
      <w:r>
        <w:rPr>
          <w:rFonts w:hint="eastAsia"/>
        </w:rPr>
        <w:t>债权人经营地所在国家（地区）代码</w:t>
      </w:r>
      <w:r>
        <w:t>&lt;/OPERCODE&gt;</w:t>
      </w:r>
    </w:p>
    <w:p w14:paraId="032DE465" w14:textId="77777777" w:rsidR="00A052DC" w:rsidRDefault="009F0A60">
      <w:r>
        <w:t>&lt;SPAPFEBOINDEX&gt;</w:t>
      </w:r>
      <w:r>
        <w:rPr>
          <w:rFonts w:hint="eastAsia"/>
        </w:rPr>
        <w:t>是否不纳入跨境融资风险加权余额计算</w:t>
      </w:r>
      <w:r>
        <w:t>&lt;/SPAPFEBOINDEX&gt;</w:t>
      </w:r>
    </w:p>
    <w:p w14:paraId="129F99E9" w14:textId="77777777" w:rsidR="00A052DC" w:rsidRDefault="009F0A60">
      <w:r>
        <w:t>&lt;CREDITTYPE&gt;</w:t>
      </w:r>
      <w:r>
        <w:rPr>
          <w:rFonts w:hint="eastAsia"/>
        </w:rPr>
        <w:t>相关业务类型</w:t>
      </w:r>
      <w:r>
        <w:t>&lt;/CREDITTYPE&gt;</w:t>
      </w:r>
    </w:p>
    <w:p w14:paraId="0FE0415D" w14:textId="77777777" w:rsidR="00A052DC" w:rsidRDefault="009F0A60">
      <w:r>
        <w:t>&lt;BILLSN&gt;</w:t>
      </w:r>
      <w:r>
        <w:rPr>
          <w:rFonts w:hint="eastAsia"/>
        </w:rPr>
        <w:t>是否附有银行承兑汇票</w:t>
      </w:r>
      <w:r>
        <w:t>&lt;/BILLSN&gt;</w:t>
      </w:r>
    </w:p>
    <w:p w14:paraId="29383C5E" w14:textId="77777777" w:rsidR="00A052DC" w:rsidRDefault="009F0A60">
      <w:r>
        <w:t>&lt;RELATION&gt;</w:t>
      </w:r>
      <w:r>
        <w:rPr>
          <w:rFonts w:hint="eastAsia"/>
        </w:rPr>
        <w:t>对方与本机构的关系</w:t>
      </w:r>
      <w:r>
        <w:t>&lt;/RELATION&gt;</w:t>
      </w:r>
    </w:p>
    <w:p w14:paraId="6D70A2BC" w14:textId="77777777" w:rsidR="00A052DC" w:rsidRDefault="009F0A60">
      <w:r>
        <w:t>&lt;REMARK&gt;</w:t>
      </w:r>
      <w:r>
        <w:rPr>
          <w:rFonts w:hint="eastAsia"/>
        </w:rPr>
        <w:t>备注</w:t>
      </w:r>
      <w:r>
        <w:t>&lt;/REMARK&gt;</w:t>
      </w:r>
    </w:p>
    <w:p w14:paraId="151FF62B" w14:textId="77777777" w:rsidR="00A052DC" w:rsidRDefault="009F0A60">
      <w:r>
        <w:t>&lt;/REC&gt;</w:t>
      </w:r>
    </w:p>
    <w:p w14:paraId="06338A72" w14:textId="77777777" w:rsidR="00A052DC" w:rsidRDefault="009F0A60" w:rsidP="0020251D">
      <w:pPr>
        <w:pStyle w:val="5"/>
        <w:numPr>
          <w:ilvl w:val="4"/>
          <w:numId w:val="1"/>
        </w:numPr>
        <w:spacing w:before="120" w:after="120" w:line="360" w:lineRule="auto"/>
        <w:jc w:val="left"/>
      </w:pPr>
      <w:bookmarkStart w:id="1525" w:name="_Toc454386892"/>
      <w:r>
        <w:rPr>
          <w:rFonts w:hint="eastAsia"/>
        </w:rPr>
        <w:t>数据字典</w:t>
      </w:r>
      <w:bookmarkEnd w:id="1525"/>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701"/>
        <w:gridCol w:w="1417"/>
        <w:gridCol w:w="3686"/>
      </w:tblGrid>
      <w:tr w:rsidR="00A052DC" w14:paraId="1DE8C448" w14:textId="77777777">
        <w:trPr>
          <w:tblHeader/>
        </w:trPr>
        <w:tc>
          <w:tcPr>
            <w:tcW w:w="1702" w:type="dxa"/>
            <w:shd w:val="clear" w:color="auto" w:fill="C0C0C0"/>
          </w:tcPr>
          <w:p w14:paraId="0252DB16" w14:textId="77777777" w:rsidR="00A052DC" w:rsidRDefault="009F0A60">
            <w:pPr>
              <w:pStyle w:val="B1"/>
            </w:pPr>
            <w:r>
              <w:rPr>
                <w:rFonts w:hint="eastAsia"/>
              </w:rPr>
              <w:t>字段</w:t>
            </w:r>
          </w:p>
        </w:tc>
        <w:tc>
          <w:tcPr>
            <w:tcW w:w="1701" w:type="dxa"/>
            <w:shd w:val="clear" w:color="auto" w:fill="C0C0C0"/>
          </w:tcPr>
          <w:p w14:paraId="3FAB79CA" w14:textId="77777777" w:rsidR="00A052DC" w:rsidRDefault="009F0A60">
            <w:pPr>
              <w:pStyle w:val="B1"/>
            </w:pPr>
            <w:r>
              <w:rPr>
                <w:rFonts w:hint="eastAsia"/>
              </w:rPr>
              <w:t>内容</w:t>
            </w:r>
          </w:p>
        </w:tc>
        <w:tc>
          <w:tcPr>
            <w:tcW w:w="1417" w:type="dxa"/>
            <w:shd w:val="clear" w:color="auto" w:fill="C0C0C0"/>
          </w:tcPr>
          <w:p w14:paraId="306C06F7" w14:textId="77777777" w:rsidR="00A052DC" w:rsidRDefault="009F0A60">
            <w:pPr>
              <w:pStyle w:val="B1"/>
            </w:pPr>
            <w:r>
              <w:rPr>
                <w:rFonts w:hint="eastAsia"/>
              </w:rPr>
              <w:t>类型（长度）</w:t>
            </w:r>
          </w:p>
        </w:tc>
        <w:tc>
          <w:tcPr>
            <w:tcW w:w="3686" w:type="dxa"/>
            <w:shd w:val="clear" w:color="auto" w:fill="C0C0C0"/>
          </w:tcPr>
          <w:p w14:paraId="3B53EE46" w14:textId="77777777" w:rsidR="00A052DC" w:rsidRDefault="009F0A60">
            <w:pPr>
              <w:pStyle w:val="B1"/>
            </w:pPr>
            <w:r>
              <w:rPr>
                <w:rFonts w:hint="eastAsia"/>
              </w:rPr>
              <w:t>校验</w:t>
            </w:r>
          </w:p>
        </w:tc>
      </w:tr>
      <w:tr w:rsidR="00A052DC" w14:paraId="565AAE51" w14:textId="77777777">
        <w:tc>
          <w:tcPr>
            <w:tcW w:w="1702" w:type="dxa"/>
          </w:tcPr>
          <w:p w14:paraId="05BEB143" w14:textId="77777777" w:rsidR="00A052DC" w:rsidRDefault="009F0A60">
            <w:pPr>
              <w:pStyle w:val="B"/>
              <w:rPr>
                <w:szCs w:val="20"/>
              </w:rPr>
            </w:pPr>
            <w:r>
              <w:rPr>
                <w:szCs w:val="20"/>
              </w:rPr>
              <w:t>ACTIONTYPE</w:t>
            </w:r>
          </w:p>
        </w:tc>
        <w:tc>
          <w:tcPr>
            <w:tcW w:w="1701" w:type="dxa"/>
          </w:tcPr>
          <w:p w14:paraId="7FA3062B" w14:textId="77777777" w:rsidR="00A052DC" w:rsidRDefault="009F0A60">
            <w:pPr>
              <w:pStyle w:val="B"/>
              <w:rPr>
                <w:szCs w:val="20"/>
              </w:rPr>
            </w:pPr>
            <w:r>
              <w:rPr>
                <w:rFonts w:hint="eastAsia"/>
                <w:szCs w:val="20"/>
              </w:rPr>
              <w:t>操作类型</w:t>
            </w:r>
          </w:p>
        </w:tc>
        <w:tc>
          <w:tcPr>
            <w:tcW w:w="1417" w:type="dxa"/>
          </w:tcPr>
          <w:p w14:paraId="2C308D9E" w14:textId="77777777" w:rsidR="00A052DC" w:rsidRDefault="009F0A60">
            <w:pPr>
              <w:pStyle w:val="B"/>
              <w:rPr>
                <w:szCs w:val="20"/>
              </w:rPr>
            </w:pPr>
            <w:r>
              <w:rPr>
                <w:rFonts w:hint="eastAsia"/>
                <w:szCs w:val="20"/>
              </w:rPr>
              <w:t>字符型，</w:t>
            </w:r>
            <w:r>
              <w:rPr>
                <w:szCs w:val="20"/>
              </w:rPr>
              <w:t>1</w:t>
            </w:r>
          </w:p>
        </w:tc>
        <w:tc>
          <w:tcPr>
            <w:tcW w:w="3686" w:type="dxa"/>
          </w:tcPr>
          <w:p w14:paraId="5DB5B2C0" w14:textId="77777777" w:rsidR="00A052DC" w:rsidRDefault="009F0A60">
            <w:pPr>
              <w:pStyle w:val="B"/>
              <w:rPr>
                <w:szCs w:val="20"/>
              </w:rPr>
            </w:pPr>
            <w:r>
              <w:rPr>
                <w:rFonts w:hint="eastAsia"/>
                <w:szCs w:val="20"/>
              </w:rPr>
              <w:t>必填项</w:t>
            </w:r>
            <w:r w:rsidR="000E18F5">
              <w:rPr>
                <w:rFonts w:hint="eastAsia"/>
                <w:szCs w:val="20"/>
              </w:rPr>
              <w:t>。</w:t>
            </w:r>
          </w:p>
          <w:p w14:paraId="1E974D1D" w14:textId="77777777" w:rsidR="00A052DC" w:rsidRDefault="009F0A60">
            <w:pPr>
              <w:pStyle w:val="B"/>
              <w:rPr>
                <w:szCs w:val="20"/>
              </w:rPr>
            </w:pPr>
            <w:r>
              <w:rPr>
                <w:szCs w:val="20"/>
              </w:rPr>
              <w:t>A</w:t>
            </w:r>
            <w:r w:rsidR="00AE4602">
              <w:rPr>
                <w:rFonts w:hint="eastAsia"/>
                <w:szCs w:val="20"/>
              </w:rPr>
              <w:t>-</w:t>
            </w:r>
            <w:r>
              <w:rPr>
                <w:rFonts w:hint="eastAsia"/>
                <w:szCs w:val="20"/>
              </w:rPr>
              <w:t>新建</w:t>
            </w:r>
          </w:p>
          <w:p w14:paraId="2D761173" w14:textId="77777777" w:rsidR="00A052DC" w:rsidRDefault="009F0A60">
            <w:pPr>
              <w:pStyle w:val="B"/>
              <w:rPr>
                <w:szCs w:val="20"/>
              </w:rPr>
            </w:pPr>
            <w:r>
              <w:rPr>
                <w:szCs w:val="20"/>
              </w:rPr>
              <w:t>C</w:t>
            </w:r>
            <w:r w:rsidR="00AE4602">
              <w:rPr>
                <w:rFonts w:hint="eastAsia"/>
                <w:szCs w:val="20"/>
              </w:rPr>
              <w:t>-</w:t>
            </w:r>
            <w:r>
              <w:rPr>
                <w:rFonts w:hint="eastAsia"/>
                <w:szCs w:val="20"/>
              </w:rPr>
              <w:t>修改</w:t>
            </w:r>
          </w:p>
          <w:p w14:paraId="2588404C" w14:textId="77777777" w:rsidR="000E18F5" w:rsidRDefault="009F0A60" w:rsidP="000E18F5">
            <w:pPr>
              <w:pStyle w:val="B"/>
              <w:rPr>
                <w:szCs w:val="20"/>
              </w:rPr>
            </w:pPr>
            <w:r>
              <w:rPr>
                <w:szCs w:val="20"/>
              </w:rPr>
              <w:t>D</w:t>
            </w:r>
            <w:r w:rsidR="00AE4602">
              <w:rPr>
                <w:rFonts w:hint="eastAsia"/>
                <w:szCs w:val="20"/>
              </w:rPr>
              <w:t>-</w:t>
            </w:r>
            <w:r>
              <w:rPr>
                <w:rFonts w:hint="eastAsia"/>
                <w:szCs w:val="20"/>
              </w:rPr>
              <w:t>删除</w:t>
            </w:r>
          </w:p>
          <w:p w14:paraId="77175D14" w14:textId="77777777" w:rsidR="00A052DC" w:rsidRDefault="009F0A60" w:rsidP="000E18F5">
            <w:pPr>
              <w:pStyle w:val="B"/>
              <w:rPr>
                <w:szCs w:val="20"/>
              </w:rPr>
            </w:pPr>
            <w:r>
              <w:rPr>
                <w:rFonts w:hint="eastAsia"/>
                <w:szCs w:val="20"/>
              </w:rPr>
              <w:t>一旦银行报送了该外债编号下的变动信息，就不可以删除了。</w:t>
            </w:r>
          </w:p>
        </w:tc>
      </w:tr>
      <w:tr w:rsidR="00A052DC" w14:paraId="6A94F845" w14:textId="77777777">
        <w:tc>
          <w:tcPr>
            <w:tcW w:w="1702" w:type="dxa"/>
          </w:tcPr>
          <w:p w14:paraId="6FDE428C" w14:textId="77777777" w:rsidR="00A052DC" w:rsidRDefault="009F0A60">
            <w:pPr>
              <w:pStyle w:val="B"/>
              <w:rPr>
                <w:szCs w:val="20"/>
              </w:rPr>
            </w:pPr>
            <w:r>
              <w:rPr>
                <w:szCs w:val="20"/>
              </w:rPr>
              <w:t>ACTIONDESC</w:t>
            </w:r>
          </w:p>
        </w:tc>
        <w:tc>
          <w:tcPr>
            <w:tcW w:w="1701" w:type="dxa"/>
          </w:tcPr>
          <w:p w14:paraId="3CABEEFE" w14:textId="77777777" w:rsidR="00A052DC" w:rsidRDefault="009F0A60">
            <w:pPr>
              <w:pStyle w:val="B"/>
              <w:rPr>
                <w:szCs w:val="20"/>
              </w:rPr>
            </w:pPr>
            <w:r>
              <w:rPr>
                <w:rFonts w:hint="eastAsia"/>
                <w:szCs w:val="20"/>
              </w:rPr>
              <w:t>删除原因</w:t>
            </w:r>
          </w:p>
        </w:tc>
        <w:tc>
          <w:tcPr>
            <w:tcW w:w="1417" w:type="dxa"/>
          </w:tcPr>
          <w:p w14:paraId="2AFC631C" w14:textId="77777777" w:rsidR="00A052DC" w:rsidRDefault="009F0A60">
            <w:pPr>
              <w:pStyle w:val="B1"/>
              <w:jc w:val="both"/>
              <w:rPr>
                <w:b w:val="0"/>
              </w:rPr>
            </w:pPr>
            <w:r>
              <w:rPr>
                <w:rFonts w:hint="eastAsia"/>
                <w:b w:val="0"/>
              </w:rPr>
              <w:t>字符型，</w:t>
            </w:r>
            <w:r>
              <w:rPr>
                <w:b w:val="0"/>
              </w:rPr>
              <w:t>128</w:t>
            </w:r>
          </w:p>
        </w:tc>
        <w:tc>
          <w:tcPr>
            <w:tcW w:w="3686" w:type="dxa"/>
          </w:tcPr>
          <w:p w14:paraId="2F730509" w14:textId="77777777" w:rsidR="00A052DC" w:rsidRDefault="00DD6AA3" w:rsidP="000E18F5">
            <w:pPr>
              <w:pStyle w:val="B"/>
              <w:rPr>
                <w:szCs w:val="20"/>
              </w:rPr>
            </w:pPr>
            <w:r>
              <w:rPr>
                <w:rFonts w:hint="eastAsia"/>
                <w:szCs w:val="20"/>
              </w:rPr>
              <w:t>非必填项，当操作类型（ACTIONTYPE）为删除时必填。</w:t>
            </w:r>
          </w:p>
        </w:tc>
      </w:tr>
      <w:tr w:rsidR="00A052DC" w14:paraId="1E86719A" w14:textId="77777777">
        <w:tc>
          <w:tcPr>
            <w:tcW w:w="1702" w:type="dxa"/>
          </w:tcPr>
          <w:p w14:paraId="70054C46" w14:textId="77777777" w:rsidR="00A052DC" w:rsidRDefault="009F0A60">
            <w:pPr>
              <w:pStyle w:val="B"/>
              <w:rPr>
                <w:szCs w:val="20"/>
              </w:rPr>
            </w:pPr>
            <w:r>
              <w:rPr>
                <w:szCs w:val="20"/>
              </w:rPr>
              <w:t>EXDEBTCODE</w:t>
            </w:r>
          </w:p>
        </w:tc>
        <w:tc>
          <w:tcPr>
            <w:tcW w:w="1701" w:type="dxa"/>
          </w:tcPr>
          <w:p w14:paraId="164C1823" w14:textId="77777777" w:rsidR="00A052DC" w:rsidRDefault="009F0A60">
            <w:pPr>
              <w:pStyle w:val="B"/>
              <w:rPr>
                <w:szCs w:val="20"/>
              </w:rPr>
            </w:pPr>
            <w:r>
              <w:rPr>
                <w:rFonts w:hint="eastAsia"/>
                <w:szCs w:val="20"/>
              </w:rPr>
              <w:t>外债编号</w:t>
            </w:r>
          </w:p>
        </w:tc>
        <w:tc>
          <w:tcPr>
            <w:tcW w:w="1417" w:type="dxa"/>
          </w:tcPr>
          <w:p w14:paraId="0046B030" w14:textId="77777777" w:rsidR="00A052DC" w:rsidRDefault="009F0A60">
            <w:pPr>
              <w:pStyle w:val="B"/>
              <w:rPr>
                <w:szCs w:val="20"/>
              </w:rPr>
            </w:pPr>
            <w:r>
              <w:rPr>
                <w:rFonts w:hint="eastAsia"/>
                <w:szCs w:val="20"/>
              </w:rPr>
              <w:t>字符型，</w:t>
            </w:r>
            <w:r>
              <w:rPr>
                <w:szCs w:val="20"/>
              </w:rPr>
              <w:t>28</w:t>
            </w:r>
          </w:p>
        </w:tc>
        <w:tc>
          <w:tcPr>
            <w:tcW w:w="3686" w:type="dxa"/>
          </w:tcPr>
          <w:p w14:paraId="32E1E121" w14:textId="77777777" w:rsidR="00A052DC" w:rsidRDefault="009F0A60" w:rsidP="000E18F5">
            <w:pPr>
              <w:pStyle w:val="B"/>
              <w:rPr>
                <w:szCs w:val="20"/>
              </w:rPr>
            </w:pPr>
            <w:r>
              <w:rPr>
                <w:rFonts w:hint="eastAsia"/>
                <w:szCs w:val="20"/>
              </w:rPr>
              <w:t>必填项，外债唯一性编码。</w:t>
            </w:r>
          </w:p>
        </w:tc>
      </w:tr>
      <w:tr w:rsidR="00A052DC" w14:paraId="0D48D333" w14:textId="77777777">
        <w:tc>
          <w:tcPr>
            <w:tcW w:w="1702" w:type="dxa"/>
          </w:tcPr>
          <w:p w14:paraId="26C0F52B" w14:textId="77777777" w:rsidR="00A052DC" w:rsidRDefault="009F0A60">
            <w:pPr>
              <w:pStyle w:val="B"/>
              <w:rPr>
                <w:szCs w:val="20"/>
              </w:rPr>
            </w:pPr>
            <w:r>
              <w:rPr>
                <w:szCs w:val="20"/>
              </w:rPr>
              <w:t>DEBTORCODE</w:t>
            </w:r>
          </w:p>
        </w:tc>
        <w:tc>
          <w:tcPr>
            <w:tcW w:w="1701" w:type="dxa"/>
          </w:tcPr>
          <w:p w14:paraId="538A2C64" w14:textId="77777777" w:rsidR="00A052DC" w:rsidRDefault="009F0A60">
            <w:pPr>
              <w:pStyle w:val="B"/>
              <w:rPr>
                <w:szCs w:val="20"/>
              </w:rPr>
            </w:pPr>
            <w:r>
              <w:rPr>
                <w:rFonts w:hint="eastAsia"/>
                <w:szCs w:val="20"/>
              </w:rPr>
              <w:t>债务人代码</w:t>
            </w:r>
          </w:p>
        </w:tc>
        <w:tc>
          <w:tcPr>
            <w:tcW w:w="1417" w:type="dxa"/>
          </w:tcPr>
          <w:p w14:paraId="76D5D3E3" w14:textId="77777777" w:rsidR="00A052DC" w:rsidRDefault="009F0A60">
            <w:pPr>
              <w:pStyle w:val="B"/>
              <w:rPr>
                <w:szCs w:val="20"/>
              </w:rPr>
            </w:pPr>
            <w:r>
              <w:rPr>
                <w:rFonts w:hint="eastAsia"/>
                <w:szCs w:val="20"/>
              </w:rPr>
              <w:t>字符型，</w:t>
            </w:r>
            <w:r>
              <w:rPr>
                <w:szCs w:val="20"/>
              </w:rPr>
              <w:t>12</w:t>
            </w:r>
          </w:p>
        </w:tc>
        <w:tc>
          <w:tcPr>
            <w:tcW w:w="3686" w:type="dxa"/>
          </w:tcPr>
          <w:p w14:paraId="042EAA53" w14:textId="77777777" w:rsidR="00A052DC" w:rsidRDefault="009F0A60" w:rsidP="000E18F5">
            <w:pPr>
              <w:pStyle w:val="B"/>
              <w:rPr>
                <w:szCs w:val="20"/>
              </w:rPr>
            </w:pPr>
            <w:r>
              <w:rPr>
                <w:rFonts w:hint="eastAsia"/>
                <w:szCs w:val="20"/>
              </w:rPr>
              <w:t>必填项，金融机构标识码。</w:t>
            </w:r>
          </w:p>
        </w:tc>
      </w:tr>
      <w:tr w:rsidR="00A052DC" w14:paraId="14A47C13" w14:textId="77777777">
        <w:tc>
          <w:tcPr>
            <w:tcW w:w="1702" w:type="dxa"/>
          </w:tcPr>
          <w:p w14:paraId="3DDB02FA" w14:textId="77777777" w:rsidR="00A052DC" w:rsidRDefault="009F0A60">
            <w:pPr>
              <w:pStyle w:val="B"/>
              <w:rPr>
                <w:szCs w:val="20"/>
              </w:rPr>
            </w:pPr>
            <w:r>
              <w:rPr>
                <w:szCs w:val="20"/>
              </w:rPr>
              <w:t>DEBTYPE</w:t>
            </w:r>
          </w:p>
        </w:tc>
        <w:tc>
          <w:tcPr>
            <w:tcW w:w="1701" w:type="dxa"/>
          </w:tcPr>
          <w:p w14:paraId="160DF42F" w14:textId="77777777" w:rsidR="00A052DC" w:rsidRDefault="009F0A60">
            <w:pPr>
              <w:pStyle w:val="B"/>
              <w:rPr>
                <w:szCs w:val="20"/>
              </w:rPr>
            </w:pPr>
            <w:r>
              <w:rPr>
                <w:rFonts w:hint="eastAsia"/>
                <w:szCs w:val="20"/>
              </w:rPr>
              <w:t>债务类型</w:t>
            </w:r>
          </w:p>
        </w:tc>
        <w:tc>
          <w:tcPr>
            <w:tcW w:w="1417" w:type="dxa"/>
          </w:tcPr>
          <w:p w14:paraId="305D6DDE" w14:textId="77777777" w:rsidR="00A052DC" w:rsidRDefault="009F0A60">
            <w:pPr>
              <w:pStyle w:val="B"/>
              <w:rPr>
                <w:szCs w:val="20"/>
              </w:rPr>
            </w:pPr>
            <w:r>
              <w:rPr>
                <w:rFonts w:hint="eastAsia"/>
                <w:szCs w:val="20"/>
              </w:rPr>
              <w:t>字符型，</w:t>
            </w:r>
            <w:r>
              <w:rPr>
                <w:szCs w:val="20"/>
              </w:rPr>
              <w:t>4</w:t>
            </w:r>
          </w:p>
        </w:tc>
        <w:tc>
          <w:tcPr>
            <w:tcW w:w="3686" w:type="dxa"/>
          </w:tcPr>
          <w:p w14:paraId="0B4C995F" w14:textId="77777777" w:rsidR="00A052DC" w:rsidRDefault="009F0A60" w:rsidP="000E18F5">
            <w:pPr>
              <w:pStyle w:val="B"/>
              <w:rPr>
                <w:szCs w:val="20"/>
              </w:rPr>
            </w:pPr>
            <w:r>
              <w:rPr>
                <w:rFonts w:hint="eastAsia"/>
                <w:szCs w:val="20"/>
              </w:rPr>
              <w:t>必填项，见债务类型代码表。</w:t>
            </w:r>
          </w:p>
        </w:tc>
      </w:tr>
      <w:tr w:rsidR="00A052DC" w14:paraId="44C1C55C" w14:textId="77777777">
        <w:tc>
          <w:tcPr>
            <w:tcW w:w="1702" w:type="dxa"/>
            <w:tcBorders>
              <w:top w:val="single" w:sz="4" w:space="0" w:color="auto"/>
              <w:left w:val="single" w:sz="4" w:space="0" w:color="auto"/>
              <w:bottom w:val="single" w:sz="4" w:space="0" w:color="auto"/>
              <w:right w:val="single" w:sz="4" w:space="0" w:color="auto"/>
            </w:tcBorders>
          </w:tcPr>
          <w:p w14:paraId="05389EFA" w14:textId="77777777" w:rsidR="00A052DC" w:rsidRDefault="009F0A60">
            <w:pPr>
              <w:pStyle w:val="B"/>
              <w:rPr>
                <w:szCs w:val="20"/>
              </w:rPr>
            </w:pPr>
            <w:r>
              <w:rPr>
                <w:szCs w:val="20"/>
              </w:rPr>
              <w:t>VALUEDATE</w:t>
            </w:r>
          </w:p>
        </w:tc>
        <w:tc>
          <w:tcPr>
            <w:tcW w:w="1701" w:type="dxa"/>
            <w:tcBorders>
              <w:top w:val="single" w:sz="4" w:space="0" w:color="auto"/>
              <w:left w:val="single" w:sz="4" w:space="0" w:color="auto"/>
              <w:bottom w:val="single" w:sz="4" w:space="0" w:color="auto"/>
              <w:right w:val="single" w:sz="4" w:space="0" w:color="auto"/>
            </w:tcBorders>
          </w:tcPr>
          <w:p w14:paraId="68378787" w14:textId="77777777" w:rsidR="00A052DC" w:rsidRDefault="009F0A60">
            <w:pPr>
              <w:pStyle w:val="B"/>
              <w:rPr>
                <w:szCs w:val="20"/>
              </w:rPr>
            </w:pPr>
            <w:r>
              <w:rPr>
                <w:rFonts w:hint="eastAsia"/>
                <w:szCs w:val="20"/>
              </w:rPr>
              <w:t>起息日</w:t>
            </w:r>
          </w:p>
        </w:tc>
        <w:tc>
          <w:tcPr>
            <w:tcW w:w="1417" w:type="dxa"/>
            <w:tcBorders>
              <w:top w:val="single" w:sz="4" w:space="0" w:color="auto"/>
              <w:left w:val="single" w:sz="4" w:space="0" w:color="auto"/>
              <w:bottom w:val="single" w:sz="4" w:space="0" w:color="auto"/>
              <w:right w:val="single" w:sz="4" w:space="0" w:color="auto"/>
            </w:tcBorders>
          </w:tcPr>
          <w:p w14:paraId="3557346A" w14:textId="77777777" w:rsidR="00A052DC" w:rsidRDefault="009F0A60">
            <w:pPr>
              <w:pStyle w:val="B"/>
              <w:rPr>
                <w:szCs w:val="20"/>
              </w:rPr>
            </w:pPr>
            <w:r>
              <w:rPr>
                <w:rFonts w:hint="eastAsia"/>
                <w:szCs w:val="20"/>
              </w:rPr>
              <w:t>日期型，</w:t>
            </w:r>
            <w:r>
              <w:rPr>
                <w:szCs w:val="20"/>
              </w:rPr>
              <w:t>8</w:t>
            </w:r>
          </w:p>
        </w:tc>
        <w:tc>
          <w:tcPr>
            <w:tcW w:w="3686" w:type="dxa"/>
            <w:tcBorders>
              <w:top w:val="single" w:sz="4" w:space="0" w:color="auto"/>
              <w:left w:val="single" w:sz="4" w:space="0" w:color="auto"/>
              <w:bottom w:val="single" w:sz="4" w:space="0" w:color="auto"/>
              <w:right w:val="single" w:sz="4" w:space="0" w:color="auto"/>
            </w:tcBorders>
          </w:tcPr>
          <w:p w14:paraId="6D828F56" w14:textId="77777777" w:rsidR="00A052DC" w:rsidRDefault="009F0A60" w:rsidP="000E18F5">
            <w:pPr>
              <w:pStyle w:val="B"/>
              <w:rPr>
                <w:szCs w:val="20"/>
              </w:rPr>
            </w:pPr>
            <w:r>
              <w:rPr>
                <w:rFonts w:hint="eastAsia"/>
                <w:szCs w:val="20"/>
              </w:rPr>
              <w:t>必填项，格式</w:t>
            </w:r>
            <w:r>
              <w:rPr>
                <w:szCs w:val="20"/>
              </w:rPr>
              <w:t>YYYYMMDD</w:t>
            </w:r>
            <w:r w:rsidR="009708FD">
              <w:rPr>
                <w:rFonts w:hint="eastAsia"/>
                <w:szCs w:val="20"/>
              </w:rPr>
              <w:t>。</w:t>
            </w:r>
          </w:p>
        </w:tc>
      </w:tr>
      <w:tr w:rsidR="00A052DC" w14:paraId="1D57551E" w14:textId="77777777">
        <w:trPr>
          <w:cantSplit/>
          <w:trHeight w:val="64"/>
        </w:trPr>
        <w:tc>
          <w:tcPr>
            <w:tcW w:w="1702" w:type="dxa"/>
          </w:tcPr>
          <w:p w14:paraId="58BD42A5" w14:textId="77777777" w:rsidR="00A052DC" w:rsidRDefault="009F0A60">
            <w:pPr>
              <w:pStyle w:val="B"/>
              <w:rPr>
                <w:szCs w:val="20"/>
              </w:rPr>
            </w:pPr>
            <w:r>
              <w:rPr>
                <w:szCs w:val="20"/>
              </w:rPr>
              <w:t>CONTRACTCURR</w:t>
            </w:r>
          </w:p>
        </w:tc>
        <w:tc>
          <w:tcPr>
            <w:tcW w:w="1701" w:type="dxa"/>
          </w:tcPr>
          <w:p w14:paraId="6FB2A72E" w14:textId="77777777" w:rsidR="00A052DC" w:rsidRDefault="009F0A60">
            <w:pPr>
              <w:pStyle w:val="B"/>
              <w:rPr>
                <w:szCs w:val="20"/>
              </w:rPr>
            </w:pPr>
            <w:r>
              <w:rPr>
                <w:rFonts w:hint="eastAsia"/>
                <w:szCs w:val="20"/>
              </w:rPr>
              <w:t>签约币种</w:t>
            </w:r>
          </w:p>
        </w:tc>
        <w:tc>
          <w:tcPr>
            <w:tcW w:w="1417" w:type="dxa"/>
          </w:tcPr>
          <w:p w14:paraId="33C4777D" w14:textId="77777777" w:rsidR="00A052DC" w:rsidRDefault="009F0A60">
            <w:pPr>
              <w:pStyle w:val="B"/>
              <w:rPr>
                <w:szCs w:val="20"/>
              </w:rPr>
            </w:pPr>
            <w:r>
              <w:rPr>
                <w:rFonts w:hint="eastAsia"/>
                <w:szCs w:val="20"/>
              </w:rPr>
              <w:t>字符型，</w:t>
            </w:r>
            <w:r>
              <w:rPr>
                <w:szCs w:val="20"/>
              </w:rPr>
              <w:t>3</w:t>
            </w:r>
          </w:p>
        </w:tc>
        <w:tc>
          <w:tcPr>
            <w:tcW w:w="3686" w:type="dxa"/>
          </w:tcPr>
          <w:p w14:paraId="1328BFEB" w14:textId="77777777" w:rsidR="00A052DC" w:rsidRDefault="009F0A60" w:rsidP="000E18F5">
            <w:pPr>
              <w:pStyle w:val="B"/>
              <w:rPr>
                <w:szCs w:val="20"/>
              </w:rPr>
            </w:pPr>
            <w:r>
              <w:rPr>
                <w:rFonts w:hint="eastAsia"/>
                <w:szCs w:val="20"/>
              </w:rPr>
              <w:t>必填项，见币种代码表。</w:t>
            </w:r>
          </w:p>
        </w:tc>
      </w:tr>
      <w:tr w:rsidR="00A052DC" w14:paraId="159A9CB3" w14:textId="77777777">
        <w:tc>
          <w:tcPr>
            <w:tcW w:w="1702" w:type="dxa"/>
          </w:tcPr>
          <w:p w14:paraId="3A6922F6" w14:textId="77777777" w:rsidR="00A052DC" w:rsidRDefault="009F0A60">
            <w:pPr>
              <w:pStyle w:val="B"/>
              <w:rPr>
                <w:szCs w:val="20"/>
              </w:rPr>
            </w:pPr>
            <w:r>
              <w:rPr>
                <w:szCs w:val="20"/>
              </w:rPr>
              <w:t>CONTRACTAMOUNT</w:t>
            </w:r>
          </w:p>
        </w:tc>
        <w:tc>
          <w:tcPr>
            <w:tcW w:w="1701" w:type="dxa"/>
          </w:tcPr>
          <w:p w14:paraId="6E6F00A5" w14:textId="77777777" w:rsidR="00A052DC" w:rsidRDefault="009F0A60">
            <w:pPr>
              <w:pStyle w:val="B"/>
              <w:rPr>
                <w:szCs w:val="20"/>
              </w:rPr>
            </w:pPr>
            <w:r>
              <w:rPr>
                <w:rFonts w:hint="eastAsia"/>
                <w:szCs w:val="20"/>
              </w:rPr>
              <w:t>签约金额</w:t>
            </w:r>
          </w:p>
        </w:tc>
        <w:tc>
          <w:tcPr>
            <w:tcW w:w="1417" w:type="dxa"/>
          </w:tcPr>
          <w:p w14:paraId="3378AC82" w14:textId="77777777" w:rsidR="00A052DC" w:rsidRDefault="009F0A60">
            <w:pPr>
              <w:pStyle w:val="B"/>
              <w:rPr>
                <w:szCs w:val="20"/>
              </w:rPr>
            </w:pPr>
            <w:r>
              <w:rPr>
                <w:rFonts w:hint="eastAsia"/>
                <w:szCs w:val="20"/>
              </w:rPr>
              <w:t>数值型，</w:t>
            </w:r>
            <w:r>
              <w:rPr>
                <w:szCs w:val="20"/>
              </w:rPr>
              <w:t>22.2</w:t>
            </w:r>
          </w:p>
        </w:tc>
        <w:tc>
          <w:tcPr>
            <w:tcW w:w="3686" w:type="dxa"/>
          </w:tcPr>
          <w:p w14:paraId="377EC6BA" w14:textId="77777777" w:rsidR="00A052DC" w:rsidRDefault="009F0A60">
            <w:pPr>
              <w:pStyle w:val="B"/>
              <w:rPr>
                <w:szCs w:val="20"/>
              </w:rPr>
            </w:pPr>
            <w:r>
              <w:rPr>
                <w:rFonts w:hint="eastAsia"/>
                <w:szCs w:val="20"/>
              </w:rPr>
              <w:t>必填项，大于等于</w:t>
            </w:r>
            <w:r>
              <w:rPr>
                <w:szCs w:val="20"/>
              </w:rPr>
              <w:t>0</w:t>
            </w:r>
            <w:r>
              <w:rPr>
                <w:rFonts w:hint="eastAsia"/>
                <w:szCs w:val="20"/>
              </w:rPr>
              <w:t>。</w:t>
            </w:r>
          </w:p>
        </w:tc>
      </w:tr>
      <w:tr w:rsidR="00A052DC" w14:paraId="71B8AD97" w14:textId="77777777">
        <w:tc>
          <w:tcPr>
            <w:tcW w:w="1702" w:type="dxa"/>
          </w:tcPr>
          <w:p w14:paraId="677A2B4F" w14:textId="77777777" w:rsidR="00A052DC" w:rsidRDefault="009F0A60">
            <w:pPr>
              <w:pStyle w:val="B"/>
              <w:rPr>
                <w:szCs w:val="20"/>
              </w:rPr>
            </w:pPr>
            <w:r>
              <w:rPr>
                <w:szCs w:val="20"/>
              </w:rPr>
              <w:t>Maturity</w:t>
            </w:r>
          </w:p>
        </w:tc>
        <w:tc>
          <w:tcPr>
            <w:tcW w:w="1701" w:type="dxa"/>
          </w:tcPr>
          <w:p w14:paraId="54DC5CF3" w14:textId="77777777" w:rsidR="00A052DC" w:rsidRDefault="009F0A60">
            <w:pPr>
              <w:pStyle w:val="B"/>
              <w:rPr>
                <w:szCs w:val="20"/>
              </w:rPr>
            </w:pPr>
            <w:r>
              <w:rPr>
                <w:rFonts w:hint="eastAsia"/>
                <w:szCs w:val="20"/>
              </w:rPr>
              <w:t>到期日</w:t>
            </w:r>
          </w:p>
        </w:tc>
        <w:tc>
          <w:tcPr>
            <w:tcW w:w="1417" w:type="dxa"/>
          </w:tcPr>
          <w:p w14:paraId="24E6BBA8" w14:textId="77777777" w:rsidR="00A052DC" w:rsidRDefault="009F0A60">
            <w:pPr>
              <w:pStyle w:val="B"/>
              <w:rPr>
                <w:szCs w:val="20"/>
              </w:rPr>
            </w:pPr>
            <w:r>
              <w:rPr>
                <w:rFonts w:hint="eastAsia"/>
                <w:szCs w:val="20"/>
              </w:rPr>
              <w:t>日期型，</w:t>
            </w:r>
            <w:r>
              <w:rPr>
                <w:szCs w:val="20"/>
              </w:rPr>
              <w:t>8</w:t>
            </w:r>
          </w:p>
        </w:tc>
        <w:tc>
          <w:tcPr>
            <w:tcW w:w="3686" w:type="dxa"/>
          </w:tcPr>
          <w:p w14:paraId="42B9ECA7" w14:textId="77777777" w:rsidR="00A052DC" w:rsidRDefault="009F0A60" w:rsidP="000E18F5">
            <w:pPr>
              <w:pStyle w:val="B"/>
              <w:rPr>
                <w:szCs w:val="20"/>
              </w:rPr>
            </w:pPr>
            <w:r>
              <w:rPr>
                <w:rFonts w:hint="eastAsia"/>
                <w:szCs w:val="20"/>
              </w:rPr>
              <w:t>必填项，格式</w:t>
            </w:r>
            <w:r>
              <w:rPr>
                <w:szCs w:val="20"/>
              </w:rPr>
              <w:t>YYYYMMDD</w:t>
            </w:r>
            <w:r>
              <w:rPr>
                <w:rFonts w:hint="eastAsia"/>
                <w:szCs w:val="20"/>
              </w:rPr>
              <w:t>，大于等于起息日。</w:t>
            </w:r>
          </w:p>
        </w:tc>
      </w:tr>
      <w:tr w:rsidR="00A052DC" w14:paraId="1C42482D" w14:textId="77777777">
        <w:tc>
          <w:tcPr>
            <w:tcW w:w="1702" w:type="dxa"/>
          </w:tcPr>
          <w:p w14:paraId="54E85B69" w14:textId="77777777" w:rsidR="00A052DC" w:rsidRDefault="009F0A60">
            <w:pPr>
              <w:pStyle w:val="B"/>
              <w:rPr>
                <w:szCs w:val="20"/>
              </w:rPr>
            </w:pPr>
            <w:r>
              <w:rPr>
                <w:szCs w:val="20"/>
              </w:rPr>
              <w:t>APPCODE</w:t>
            </w:r>
          </w:p>
        </w:tc>
        <w:tc>
          <w:tcPr>
            <w:tcW w:w="1701" w:type="dxa"/>
          </w:tcPr>
          <w:p w14:paraId="7107B82A" w14:textId="77777777" w:rsidR="00A052DC" w:rsidRDefault="009F0A60">
            <w:pPr>
              <w:pStyle w:val="B"/>
              <w:rPr>
                <w:szCs w:val="20"/>
              </w:rPr>
            </w:pPr>
            <w:r>
              <w:rPr>
                <w:rFonts w:hint="eastAsia"/>
                <w:szCs w:val="20"/>
              </w:rPr>
              <w:t>开证申请人代码</w:t>
            </w:r>
          </w:p>
        </w:tc>
        <w:tc>
          <w:tcPr>
            <w:tcW w:w="1417" w:type="dxa"/>
          </w:tcPr>
          <w:p w14:paraId="5031081C" w14:textId="77777777" w:rsidR="00A052DC" w:rsidRDefault="009F0A60">
            <w:pPr>
              <w:pStyle w:val="B"/>
              <w:rPr>
                <w:szCs w:val="20"/>
              </w:rPr>
            </w:pPr>
            <w:r>
              <w:rPr>
                <w:rFonts w:hint="eastAsia"/>
                <w:szCs w:val="20"/>
              </w:rPr>
              <w:t>字符型，</w:t>
            </w:r>
            <w:r>
              <w:rPr>
                <w:szCs w:val="20"/>
              </w:rPr>
              <w:t>18</w:t>
            </w:r>
          </w:p>
        </w:tc>
        <w:tc>
          <w:tcPr>
            <w:tcW w:w="3686" w:type="dxa"/>
          </w:tcPr>
          <w:p w14:paraId="041106E6" w14:textId="77777777" w:rsidR="00A052DC" w:rsidRDefault="009F0A60">
            <w:pPr>
              <w:pStyle w:val="B"/>
              <w:rPr>
                <w:szCs w:val="20"/>
              </w:rPr>
            </w:pPr>
            <w:r>
              <w:rPr>
                <w:rFonts w:hint="eastAsia"/>
                <w:szCs w:val="20"/>
              </w:rPr>
              <w:t>必填项，指统一社会信用代码法定载体（如营业执照）上统一社会信用代码中的第9至17位、国家外汇管理局及其分支局签发的特殊机构代码赋码通知书上的机构代码或个人身份证号码。</w:t>
            </w:r>
          </w:p>
        </w:tc>
      </w:tr>
      <w:tr w:rsidR="00A052DC" w14:paraId="29B97377" w14:textId="77777777">
        <w:tc>
          <w:tcPr>
            <w:tcW w:w="1702" w:type="dxa"/>
          </w:tcPr>
          <w:p w14:paraId="35D796AD" w14:textId="77777777" w:rsidR="00A052DC" w:rsidRDefault="009F0A60">
            <w:pPr>
              <w:pStyle w:val="B"/>
              <w:rPr>
                <w:szCs w:val="20"/>
              </w:rPr>
            </w:pPr>
            <w:r>
              <w:rPr>
                <w:szCs w:val="20"/>
              </w:rPr>
              <w:t>APPNAME</w:t>
            </w:r>
          </w:p>
        </w:tc>
        <w:tc>
          <w:tcPr>
            <w:tcW w:w="1701" w:type="dxa"/>
          </w:tcPr>
          <w:p w14:paraId="2ABC4AC2" w14:textId="77777777" w:rsidR="00A052DC" w:rsidRDefault="009F0A60">
            <w:pPr>
              <w:pStyle w:val="B"/>
              <w:rPr>
                <w:szCs w:val="20"/>
              </w:rPr>
            </w:pPr>
            <w:r>
              <w:rPr>
                <w:rFonts w:hint="eastAsia"/>
                <w:szCs w:val="20"/>
              </w:rPr>
              <w:t>开证申请人名称</w:t>
            </w:r>
          </w:p>
        </w:tc>
        <w:tc>
          <w:tcPr>
            <w:tcW w:w="1417" w:type="dxa"/>
          </w:tcPr>
          <w:p w14:paraId="148CBB23" w14:textId="77777777" w:rsidR="00A052DC" w:rsidRDefault="009F0A60">
            <w:pPr>
              <w:pStyle w:val="B"/>
              <w:rPr>
                <w:szCs w:val="20"/>
              </w:rPr>
            </w:pPr>
            <w:r>
              <w:rPr>
                <w:rFonts w:hint="eastAsia"/>
                <w:szCs w:val="20"/>
              </w:rPr>
              <w:t>字符型，</w:t>
            </w:r>
            <w:r>
              <w:rPr>
                <w:szCs w:val="20"/>
              </w:rPr>
              <w:t>128</w:t>
            </w:r>
          </w:p>
        </w:tc>
        <w:tc>
          <w:tcPr>
            <w:tcW w:w="3686" w:type="dxa"/>
          </w:tcPr>
          <w:p w14:paraId="75F3EC34" w14:textId="77777777" w:rsidR="00A052DC" w:rsidRDefault="009F0A60">
            <w:pPr>
              <w:pStyle w:val="B"/>
              <w:rPr>
                <w:szCs w:val="20"/>
              </w:rPr>
            </w:pPr>
            <w:r>
              <w:rPr>
                <w:rFonts w:hint="eastAsia"/>
                <w:szCs w:val="20"/>
              </w:rPr>
              <w:t>必填项，申请人中文或英文名称。</w:t>
            </w:r>
          </w:p>
        </w:tc>
      </w:tr>
      <w:tr w:rsidR="00A052DC" w14:paraId="159EE3FA" w14:textId="77777777">
        <w:tc>
          <w:tcPr>
            <w:tcW w:w="1702" w:type="dxa"/>
          </w:tcPr>
          <w:p w14:paraId="4A8F5759" w14:textId="77777777" w:rsidR="00A052DC" w:rsidRDefault="009F0A60">
            <w:pPr>
              <w:pStyle w:val="B"/>
              <w:rPr>
                <w:szCs w:val="20"/>
              </w:rPr>
            </w:pPr>
            <w:r>
              <w:rPr>
                <w:szCs w:val="20"/>
              </w:rPr>
              <w:t>CREDITORCODE</w:t>
            </w:r>
          </w:p>
        </w:tc>
        <w:tc>
          <w:tcPr>
            <w:tcW w:w="1701" w:type="dxa"/>
          </w:tcPr>
          <w:p w14:paraId="7816D73B" w14:textId="77777777" w:rsidR="00A052DC" w:rsidRDefault="009F0A60">
            <w:pPr>
              <w:pStyle w:val="B"/>
              <w:rPr>
                <w:szCs w:val="20"/>
              </w:rPr>
            </w:pPr>
            <w:r>
              <w:rPr>
                <w:rFonts w:hint="eastAsia"/>
                <w:szCs w:val="20"/>
              </w:rPr>
              <w:t>债权人代码</w:t>
            </w:r>
          </w:p>
        </w:tc>
        <w:tc>
          <w:tcPr>
            <w:tcW w:w="1417" w:type="dxa"/>
          </w:tcPr>
          <w:p w14:paraId="1F4BF3D6" w14:textId="77777777" w:rsidR="00A052DC" w:rsidRDefault="009F0A60">
            <w:pPr>
              <w:pStyle w:val="B"/>
              <w:rPr>
                <w:szCs w:val="20"/>
              </w:rPr>
            </w:pPr>
            <w:r>
              <w:rPr>
                <w:rFonts w:hint="eastAsia"/>
                <w:szCs w:val="20"/>
              </w:rPr>
              <w:t>字符型，</w:t>
            </w:r>
            <w:r>
              <w:rPr>
                <w:szCs w:val="20"/>
              </w:rPr>
              <w:t>11</w:t>
            </w:r>
          </w:p>
        </w:tc>
        <w:tc>
          <w:tcPr>
            <w:tcW w:w="3686" w:type="dxa"/>
          </w:tcPr>
          <w:p w14:paraId="3FD626E5" w14:textId="77777777" w:rsidR="00A052DC" w:rsidRDefault="009F0A60">
            <w:pPr>
              <w:pStyle w:val="B"/>
              <w:rPr>
                <w:szCs w:val="20"/>
              </w:rPr>
            </w:pPr>
            <w:r>
              <w:rPr>
                <w:rFonts w:hint="eastAsia"/>
                <w:szCs w:val="20"/>
              </w:rPr>
              <w:t>非必填项。</w:t>
            </w:r>
          </w:p>
        </w:tc>
      </w:tr>
      <w:tr w:rsidR="00A052DC" w14:paraId="1A16AE5E" w14:textId="77777777">
        <w:tc>
          <w:tcPr>
            <w:tcW w:w="1702" w:type="dxa"/>
          </w:tcPr>
          <w:p w14:paraId="0B9CBDEC" w14:textId="77777777" w:rsidR="00A052DC" w:rsidRDefault="009F0A60">
            <w:pPr>
              <w:pStyle w:val="B"/>
              <w:rPr>
                <w:szCs w:val="20"/>
              </w:rPr>
            </w:pPr>
            <w:r>
              <w:rPr>
                <w:szCs w:val="20"/>
              </w:rPr>
              <w:t>CREDITORNAME</w:t>
            </w:r>
          </w:p>
        </w:tc>
        <w:tc>
          <w:tcPr>
            <w:tcW w:w="1701" w:type="dxa"/>
          </w:tcPr>
          <w:p w14:paraId="172EC0E2" w14:textId="77777777" w:rsidR="00A052DC" w:rsidRDefault="009F0A60">
            <w:pPr>
              <w:pStyle w:val="B"/>
              <w:rPr>
                <w:szCs w:val="20"/>
              </w:rPr>
            </w:pPr>
            <w:r>
              <w:rPr>
                <w:rFonts w:hint="eastAsia"/>
                <w:szCs w:val="20"/>
              </w:rPr>
              <w:t>债权人中文名称</w:t>
            </w:r>
          </w:p>
        </w:tc>
        <w:tc>
          <w:tcPr>
            <w:tcW w:w="1417" w:type="dxa"/>
          </w:tcPr>
          <w:p w14:paraId="77AA4FC7" w14:textId="77777777" w:rsidR="00A052DC" w:rsidRDefault="009F0A60">
            <w:pPr>
              <w:pStyle w:val="B"/>
              <w:rPr>
                <w:szCs w:val="20"/>
              </w:rPr>
            </w:pPr>
            <w:r>
              <w:rPr>
                <w:rFonts w:hint="eastAsia"/>
                <w:szCs w:val="20"/>
              </w:rPr>
              <w:t>字符型，</w:t>
            </w:r>
            <w:r>
              <w:rPr>
                <w:szCs w:val="20"/>
              </w:rPr>
              <w:t>128</w:t>
            </w:r>
          </w:p>
        </w:tc>
        <w:tc>
          <w:tcPr>
            <w:tcW w:w="3686" w:type="dxa"/>
          </w:tcPr>
          <w:p w14:paraId="5BC36F8A" w14:textId="77777777" w:rsidR="00A052DC" w:rsidRDefault="009F0A60">
            <w:pPr>
              <w:pStyle w:val="B"/>
              <w:rPr>
                <w:szCs w:val="20"/>
              </w:rPr>
            </w:pPr>
            <w:r>
              <w:rPr>
                <w:rFonts w:hint="eastAsia"/>
                <w:szCs w:val="20"/>
              </w:rPr>
              <w:t>非必填项，</w:t>
            </w:r>
          </w:p>
          <w:p w14:paraId="739AF0D9" w14:textId="77777777" w:rsidR="00A052DC" w:rsidRDefault="009F0A60">
            <w:pPr>
              <w:pStyle w:val="B"/>
              <w:rPr>
                <w:szCs w:val="20"/>
              </w:rPr>
            </w:pPr>
            <w:r>
              <w:rPr>
                <w:rFonts w:hint="eastAsia"/>
                <w:szCs w:val="20"/>
              </w:rPr>
              <w:t>债权人中文名称和债权人英文名称至少填写一个。</w:t>
            </w:r>
          </w:p>
        </w:tc>
      </w:tr>
      <w:tr w:rsidR="00A052DC" w14:paraId="2046A85C" w14:textId="77777777">
        <w:tc>
          <w:tcPr>
            <w:tcW w:w="1702" w:type="dxa"/>
          </w:tcPr>
          <w:p w14:paraId="732C1799" w14:textId="77777777" w:rsidR="00A052DC" w:rsidRDefault="009F0A60">
            <w:pPr>
              <w:pStyle w:val="B"/>
              <w:rPr>
                <w:szCs w:val="20"/>
              </w:rPr>
            </w:pPr>
            <w:r>
              <w:rPr>
                <w:szCs w:val="20"/>
              </w:rPr>
              <w:t>CREDITORNAMEN</w:t>
            </w:r>
          </w:p>
        </w:tc>
        <w:tc>
          <w:tcPr>
            <w:tcW w:w="1701" w:type="dxa"/>
          </w:tcPr>
          <w:p w14:paraId="7D924569" w14:textId="77777777" w:rsidR="00A052DC" w:rsidRDefault="009F0A60">
            <w:pPr>
              <w:pStyle w:val="B"/>
              <w:rPr>
                <w:szCs w:val="20"/>
              </w:rPr>
            </w:pPr>
            <w:r>
              <w:rPr>
                <w:rFonts w:hint="eastAsia"/>
                <w:szCs w:val="20"/>
              </w:rPr>
              <w:t>债权人英文名称</w:t>
            </w:r>
          </w:p>
        </w:tc>
        <w:tc>
          <w:tcPr>
            <w:tcW w:w="1417" w:type="dxa"/>
          </w:tcPr>
          <w:p w14:paraId="6F7DBEA9" w14:textId="77777777" w:rsidR="00A052DC" w:rsidRDefault="009F0A60">
            <w:pPr>
              <w:pStyle w:val="B"/>
              <w:rPr>
                <w:szCs w:val="20"/>
              </w:rPr>
            </w:pPr>
            <w:r>
              <w:rPr>
                <w:rFonts w:hint="eastAsia"/>
                <w:szCs w:val="20"/>
              </w:rPr>
              <w:t>字符型，</w:t>
            </w:r>
            <w:r>
              <w:rPr>
                <w:szCs w:val="20"/>
              </w:rPr>
              <w:t>128</w:t>
            </w:r>
          </w:p>
        </w:tc>
        <w:tc>
          <w:tcPr>
            <w:tcW w:w="3686" w:type="dxa"/>
          </w:tcPr>
          <w:p w14:paraId="46083A6D" w14:textId="77777777" w:rsidR="00A052DC" w:rsidRDefault="009F0A60">
            <w:pPr>
              <w:pStyle w:val="B"/>
              <w:rPr>
                <w:szCs w:val="20"/>
              </w:rPr>
            </w:pPr>
            <w:r>
              <w:rPr>
                <w:rFonts w:hint="eastAsia"/>
                <w:szCs w:val="20"/>
              </w:rPr>
              <w:t>非必填项，</w:t>
            </w:r>
          </w:p>
          <w:p w14:paraId="44B64A21" w14:textId="77777777" w:rsidR="00A052DC" w:rsidRDefault="009F0A60">
            <w:pPr>
              <w:pStyle w:val="B"/>
              <w:rPr>
                <w:szCs w:val="20"/>
              </w:rPr>
            </w:pPr>
            <w:r>
              <w:rPr>
                <w:rFonts w:hint="eastAsia"/>
                <w:szCs w:val="20"/>
              </w:rPr>
              <w:t>债权人中文名称和债权人英文名称至少填写一个。</w:t>
            </w:r>
          </w:p>
        </w:tc>
      </w:tr>
      <w:tr w:rsidR="00A052DC" w14:paraId="7B617E3F" w14:textId="77777777">
        <w:tc>
          <w:tcPr>
            <w:tcW w:w="1702" w:type="dxa"/>
          </w:tcPr>
          <w:p w14:paraId="51B59921" w14:textId="77777777" w:rsidR="00A052DC" w:rsidRDefault="009F0A60">
            <w:pPr>
              <w:pStyle w:val="B"/>
              <w:rPr>
                <w:szCs w:val="20"/>
              </w:rPr>
            </w:pPr>
            <w:r>
              <w:rPr>
                <w:szCs w:val="20"/>
              </w:rPr>
              <w:t>CREDITORTYPE</w:t>
            </w:r>
          </w:p>
        </w:tc>
        <w:tc>
          <w:tcPr>
            <w:tcW w:w="1701" w:type="dxa"/>
          </w:tcPr>
          <w:p w14:paraId="3EC05A4F" w14:textId="77777777" w:rsidR="00A052DC" w:rsidRDefault="009F0A60">
            <w:pPr>
              <w:pStyle w:val="B"/>
              <w:rPr>
                <w:szCs w:val="20"/>
              </w:rPr>
            </w:pPr>
            <w:r>
              <w:rPr>
                <w:rFonts w:hint="eastAsia"/>
                <w:szCs w:val="20"/>
              </w:rPr>
              <w:t>债权人类型代码</w:t>
            </w:r>
          </w:p>
        </w:tc>
        <w:tc>
          <w:tcPr>
            <w:tcW w:w="1417" w:type="dxa"/>
          </w:tcPr>
          <w:p w14:paraId="745561F0" w14:textId="77777777" w:rsidR="00A052DC" w:rsidRDefault="009F0A60">
            <w:pPr>
              <w:pStyle w:val="B"/>
              <w:rPr>
                <w:szCs w:val="20"/>
              </w:rPr>
            </w:pPr>
            <w:r>
              <w:rPr>
                <w:rFonts w:hint="eastAsia"/>
                <w:szCs w:val="20"/>
              </w:rPr>
              <w:t>字符型，</w:t>
            </w:r>
            <w:r>
              <w:rPr>
                <w:szCs w:val="20"/>
              </w:rPr>
              <w:t>8</w:t>
            </w:r>
          </w:p>
        </w:tc>
        <w:tc>
          <w:tcPr>
            <w:tcW w:w="3686" w:type="dxa"/>
          </w:tcPr>
          <w:p w14:paraId="0A9B1AD8" w14:textId="77777777" w:rsidR="00A052DC" w:rsidRDefault="009F0A60">
            <w:pPr>
              <w:pStyle w:val="B"/>
              <w:rPr>
                <w:szCs w:val="20"/>
              </w:rPr>
            </w:pPr>
            <w:r>
              <w:rPr>
                <w:rFonts w:hint="eastAsia"/>
                <w:szCs w:val="20"/>
              </w:rPr>
              <w:t>必填项，见境外主体类型代码表。</w:t>
            </w:r>
          </w:p>
        </w:tc>
      </w:tr>
      <w:tr w:rsidR="00A052DC" w14:paraId="5C41978F" w14:textId="77777777">
        <w:tc>
          <w:tcPr>
            <w:tcW w:w="1702" w:type="dxa"/>
          </w:tcPr>
          <w:p w14:paraId="6635366A" w14:textId="77777777" w:rsidR="00A052DC" w:rsidRDefault="009F0A60">
            <w:pPr>
              <w:pStyle w:val="B"/>
              <w:rPr>
                <w:szCs w:val="20"/>
              </w:rPr>
            </w:pPr>
            <w:r>
              <w:rPr>
                <w:szCs w:val="20"/>
              </w:rPr>
              <w:t>CREHQCODE</w:t>
            </w:r>
          </w:p>
        </w:tc>
        <w:tc>
          <w:tcPr>
            <w:tcW w:w="1701" w:type="dxa"/>
          </w:tcPr>
          <w:p w14:paraId="22756058" w14:textId="77777777" w:rsidR="00A052DC" w:rsidRDefault="009F0A60">
            <w:pPr>
              <w:pStyle w:val="B"/>
              <w:rPr>
                <w:szCs w:val="20"/>
              </w:rPr>
            </w:pPr>
            <w:r>
              <w:rPr>
                <w:rFonts w:hint="eastAsia"/>
                <w:szCs w:val="20"/>
              </w:rPr>
              <w:t>债权人总部所在国家（地区）代码</w:t>
            </w:r>
          </w:p>
        </w:tc>
        <w:tc>
          <w:tcPr>
            <w:tcW w:w="1417" w:type="dxa"/>
          </w:tcPr>
          <w:p w14:paraId="0BFDCFA9" w14:textId="77777777" w:rsidR="00A052DC" w:rsidRDefault="009F0A60">
            <w:pPr>
              <w:pStyle w:val="B"/>
              <w:rPr>
                <w:szCs w:val="20"/>
              </w:rPr>
            </w:pPr>
            <w:r>
              <w:rPr>
                <w:rFonts w:hint="eastAsia"/>
                <w:szCs w:val="20"/>
              </w:rPr>
              <w:t>字符型，</w:t>
            </w:r>
            <w:r>
              <w:rPr>
                <w:szCs w:val="20"/>
              </w:rPr>
              <w:t>3</w:t>
            </w:r>
          </w:p>
        </w:tc>
        <w:tc>
          <w:tcPr>
            <w:tcW w:w="3686" w:type="dxa"/>
          </w:tcPr>
          <w:p w14:paraId="23144902" w14:textId="77777777" w:rsidR="00A052DC" w:rsidRDefault="009F0A60">
            <w:pPr>
              <w:pStyle w:val="B"/>
              <w:rPr>
                <w:szCs w:val="20"/>
              </w:rPr>
            </w:pPr>
            <w:r>
              <w:rPr>
                <w:rFonts w:hint="eastAsia"/>
                <w:szCs w:val="20"/>
              </w:rPr>
              <w:t>必填项，见国家和地区代码表。</w:t>
            </w:r>
          </w:p>
        </w:tc>
      </w:tr>
      <w:tr w:rsidR="00A052DC" w14:paraId="6B0C7E39" w14:textId="77777777">
        <w:tc>
          <w:tcPr>
            <w:tcW w:w="1702" w:type="dxa"/>
          </w:tcPr>
          <w:p w14:paraId="5B602DE0" w14:textId="77777777" w:rsidR="00A052DC" w:rsidRDefault="009F0A60">
            <w:pPr>
              <w:pStyle w:val="B"/>
              <w:rPr>
                <w:szCs w:val="20"/>
              </w:rPr>
            </w:pPr>
            <w:r>
              <w:rPr>
                <w:szCs w:val="20"/>
              </w:rPr>
              <w:t>OPERCODE</w:t>
            </w:r>
          </w:p>
        </w:tc>
        <w:tc>
          <w:tcPr>
            <w:tcW w:w="1701" w:type="dxa"/>
          </w:tcPr>
          <w:p w14:paraId="13CCDDEB" w14:textId="77777777" w:rsidR="00A052DC" w:rsidRDefault="009F0A60">
            <w:pPr>
              <w:pStyle w:val="B"/>
              <w:rPr>
                <w:szCs w:val="20"/>
              </w:rPr>
            </w:pPr>
            <w:r>
              <w:rPr>
                <w:rFonts w:hint="eastAsia"/>
                <w:szCs w:val="20"/>
              </w:rPr>
              <w:t>债权人经营地所在国家（地区）代码</w:t>
            </w:r>
          </w:p>
        </w:tc>
        <w:tc>
          <w:tcPr>
            <w:tcW w:w="1417" w:type="dxa"/>
          </w:tcPr>
          <w:p w14:paraId="356A374B" w14:textId="77777777" w:rsidR="00A052DC" w:rsidRDefault="009F0A60">
            <w:pPr>
              <w:pStyle w:val="B"/>
              <w:rPr>
                <w:szCs w:val="20"/>
              </w:rPr>
            </w:pPr>
            <w:r>
              <w:rPr>
                <w:rFonts w:hint="eastAsia"/>
                <w:szCs w:val="20"/>
              </w:rPr>
              <w:t>字符型，</w:t>
            </w:r>
            <w:r>
              <w:rPr>
                <w:szCs w:val="20"/>
              </w:rPr>
              <w:t>3</w:t>
            </w:r>
          </w:p>
        </w:tc>
        <w:tc>
          <w:tcPr>
            <w:tcW w:w="3686" w:type="dxa"/>
          </w:tcPr>
          <w:p w14:paraId="46D8178E" w14:textId="77777777" w:rsidR="00A052DC" w:rsidRDefault="009F0A60">
            <w:pPr>
              <w:pStyle w:val="B"/>
              <w:rPr>
                <w:szCs w:val="20"/>
              </w:rPr>
            </w:pPr>
            <w:r>
              <w:rPr>
                <w:rFonts w:hint="eastAsia"/>
                <w:szCs w:val="20"/>
              </w:rPr>
              <w:t>必填项，见国家和地区代码表。当债权人类型代码不为“境内银行离岸部（20001403）”时,不能为中国CHN。</w:t>
            </w:r>
          </w:p>
        </w:tc>
      </w:tr>
      <w:tr w:rsidR="00A052DC" w14:paraId="32901813" w14:textId="77777777">
        <w:tc>
          <w:tcPr>
            <w:tcW w:w="1702" w:type="dxa"/>
          </w:tcPr>
          <w:p w14:paraId="5953302A" w14:textId="77777777" w:rsidR="00A052DC" w:rsidRDefault="009F0A60">
            <w:pPr>
              <w:pStyle w:val="B"/>
              <w:rPr>
                <w:szCs w:val="20"/>
              </w:rPr>
            </w:pPr>
            <w:r>
              <w:rPr>
                <w:szCs w:val="20"/>
              </w:rPr>
              <w:t>SPAPFEBOINDEX</w:t>
            </w:r>
          </w:p>
        </w:tc>
        <w:tc>
          <w:tcPr>
            <w:tcW w:w="1701" w:type="dxa"/>
          </w:tcPr>
          <w:p w14:paraId="676BA4FB" w14:textId="77777777" w:rsidR="00A052DC" w:rsidRDefault="009F0A60">
            <w:pPr>
              <w:pStyle w:val="B"/>
              <w:rPr>
                <w:szCs w:val="20"/>
              </w:rPr>
            </w:pPr>
            <w:r>
              <w:rPr>
                <w:rFonts w:hint="eastAsia"/>
                <w:szCs w:val="20"/>
              </w:rPr>
              <w:t>是否不纳入跨境融资风险加权余额计算</w:t>
            </w:r>
          </w:p>
        </w:tc>
        <w:tc>
          <w:tcPr>
            <w:tcW w:w="1417" w:type="dxa"/>
          </w:tcPr>
          <w:p w14:paraId="27A51657" w14:textId="77777777" w:rsidR="00A052DC" w:rsidRDefault="009F0A60">
            <w:pPr>
              <w:pStyle w:val="B"/>
              <w:rPr>
                <w:szCs w:val="20"/>
              </w:rPr>
            </w:pPr>
            <w:r>
              <w:rPr>
                <w:rFonts w:hint="eastAsia"/>
                <w:szCs w:val="20"/>
              </w:rPr>
              <w:t>字符型，</w:t>
            </w:r>
            <w:r>
              <w:rPr>
                <w:szCs w:val="20"/>
              </w:rPr>
              <w:t>1</w:t>
            </w:r>
          </w:p>
        </w:tc>
        <w:tc>
          <w:tcPr>
            <w:tcW w:w="3686" w:type="dxa"/>
          </w:tcPr>
          <w:p w14:paraId="0356C354" w14:textId="77777777" w:rsidR="00A052DC" w:rsidRDefault="009F0A60">
            <w:pPr>
              <w:pStyle w:val="B"/>
              <w:rPr>
                <w:szCs w:val="20"/>
              </w:rPr>
            </w:pPr>
            <w:r>
              <w:rPr>
                <w:rFonts w:hint="eastAsia"/>
                <w:szCs w:val="20"/>
              </w:rPr>
              <w:t>必填项，是</w:t>
            </w:r>
            <w:r>
              <w:rPr>
                <w:szCs w:val="20"/>
              </w:rPr>
              <w:t>-Y</w:t>
            </w:r>
            <w:r>
              <w:rPr>
                <w:rFonts w:hint="eastAsia"/>
                <w:szCs w:val="20"/>
              </w:rPr>
              <w:t>，否</w:t>
            </w:r>
            <w:r>
              <w:rPr>
                <w:szCs w:val="20"/>
              </w:rPr>
              <w:t>-N</w:t>
            </w:r>
            <w:r>
              <w:rPr>
                <w:rFonts w:hint="eastAsia"/>
                <w:szCs w:val="20"/>
              </w:rPr>
              <w:t>，默认为否，填写</w:t>
            </w:r>
            <w:r>
              <w:rPr>
                <w:szCs w:val="20"/>
              </w:rPr>
              <w:t>N</w:t>
            </w:r>
            <w:r>
              <w:rPr>
                <w:rFonts w:hint="eastAsia"/>
                <w:szCs w:val="20"/>
              </w:rPr>
              <w:t>。</w:t>
            </w:r>
          </w:p>
        </w:tc>
      </w:tr>
      <w:tr w:rsidR="00A052DC" w14:paraId="481FEE49" w14:textId="77777777">
        <w:tc>
          <w:tcPr>
            <w:tcW w:w="1702" w:type="dxa"/>
          </w:tcPr>
          <w:p w14:paraId="5CF87155" w14:textId="77777777" w:rsidR="00A052DC" w:rsidRDefault="009F0A60">
            <w:pPr>
              <w:pStyle w:val="B"/>
              <w:rPr>
                <w:szCs w:val="20"/>
              </w:rPr>
            </w:pPr>
            <w:r>
              <w:rPr>
                <w:szCs w:val="20"/>
              </w:rPr>
              <w:t>CREDITTYPE</w:t>
            </w:r>
          </w:p>
        </w:tc>
        <w:tc>
          <w:tcPr>
            <w:tcW w:w="1701" w:type="dxa"/>
          </w:tcPr>
          <w:p w14:paraId="4220C151" w14:textId="77777777" w:rsidR="00A052DC" w:rsidRDefault="009F0A60">
            <w:pPr>
              <w:pStyle w:val="B"/>
              <w:rPr>
                <w:szCs w:val="20"/>
              </w:rPr>
            </w:pPr>
            <w:r>
              <w:rPr>
                <w:rFonts w:hint="eastAsia"/>
                <w:szCs w:val="20"/>
              </w:rPr>
              <w:t>相关业务类型</w:t>
            </w:r>
          </w:p>
        </w:tc>
        <w:tc>
          <w:tcPr>
            <w:tcW w:w="1417" w:type="dxa"/>
          </w:tcPr>
          <w:p w14:paraId="7DA5086E" w14:textId="77777777" w:rsidR="00A052DC" w:rsidRDefault="009F0A60">
            <w:pPr>
              <w:pStyle w:val="B"/>
              <w:rPr>
                <w:szCs w:val="20"/>
              </w:rPr>
            </w:pPr>
            <w:r>
              <w:rPr>
                <w:rFonts w:hint="eastAsia"/>
                <w:szCs w:val="20"/>
              </w:rPr>
              <w:t>字符型，</w:t>
            </w:r>
            <w:r>
              <w:rPr>
                <w:szCs w:val="20"/>
              </w:rPr>
              <w:t>1</w:t>
            </w:r>
          </w:p>
        </w:tc>
        <w:tc>
          <w:tcPr>
            <w:tcW w:w="3686" w:type="dxa"/>
          </w:tcPr>
          <w:p w14:paraId="3F415328" w14:textId="77777777" w:rsidR="00A052DC" w:rsidRDefault="009F0A60">
            <w:pPr>
              <w:pStyle w:val="B"/>
              <w:rPr>
                <w:szCs w:val="20"/>
              </w:rPr>
            </w:pPr>
            <w:r>
              <w:rPr>
                <w:rFonts w:hint="eastAsia"/>
                <w:szCs w:val="20"/>
              </w:rPr>
              <w:t>必填项，包括：信用证</w:t>
            </w:r>
            <w:r>
              <w:rPr>
                <w:szCs w:val="20"/>
              </w:rPr>
              <w:t>-A</w:t>
            </w:r>
            <w:r>
              <w:rPr>
                <w:rFonts w:hint="eastAsia"/>
                <w:szCs w:val="20"/>
              </w:rPr>
              <w:t>、延付保函</w:t>
            </w:r>
            <w:r>
              <w:rPr>
                <w:szCs w:val="20"/>
              </w:rPr>
              <w:t>-B</w:t>
            </w:r>
            <w:r>
              <w:rPr>
                <w:rFonts w:hint="eastAsia"/>
                <w:szCs w:val="20"/>
              </w:rPr>
              <w:t>、其他</w:t>
            </w:r>
            <w:r>
              <w:rPr>
                <w:szCs w:val="20"/>
              </w:rPr>
              <w:t>-C</w:t>
            </w:r>
            <w:r>
              <w:rPr>
                <w:rFonts w:hint="eastAsia"/>
                <w:szCs w:val="20"/>
              </w:rPr>
              <w:t>。</w:t>
            </w:r>
          </w:p>
        </w:tc>
      </w:tr>
      <w:tr w:rsidR="00A052DC" w14:paraId="59038D49" w14:textId="77777777">
        <w:tc>
          <w:tcPr>
            <w:tcW w:w="1702" w:type="dxa"/>
          </w:tcPr>
          <w:p w14:paraId="0C054EAC" w14:textId="77777777" w:rsidR="00A052DC" w:rsidRDefault="009F0A60">
            <w:pPr>
              <w:pStyle w:val="B"/>
              <w:rPr>
                <w:szCs w:val="20"/>
              </w:rPr>
            </w:pPr>
            <w:r>
              <w:rPr>
                <w:szCs w:val="20"/>
              </w:rPr>
              <w:t>BILLSN</w:t>
            </w:r>
          </w:p>
        </w:tc>
        <w:tc>
          <w:tcPr>
            <w:tcW w:w="1701" w:type="dxa"/>
          </w:tcPr>
          <w:p w14:paraId="42A7E265" w14:textId="77777777" w:rsidR="00A052DC" w:rsidRDefault="009F0A60">
            <w:pPr>
              <w:pStyle w:val="B"/>
              <w:rPr>
                <w:szCs w:val="20"/>
              </w:rPr>
            </w:pPr>
            <w:r>
              <w:rPr>
                <w:rFonts w:hint="eastAsia"/>
                <w:szCs w:val="20"/>
              </w:rPr>
              <w:t>是否附有银行承兑汇票</w:t>
            </w:r>
          </w:p>
        </w:tc>
        <w:tc>
          <w:tcPr>
            <w:tcW w:w="1417" w:type="dxa"/>
          </w:tcPr>
          <w:p w14:paraId="3DA5023A" w14:textId="77777777" w:rsidR="00A052DC" w:rsidRDefault="009F0A60">
            <w:pPr>
              <w:pStyle w:val="B"/>
              <w:rPr>
                <w:szCs w:val="20"/>
              </w:rPr>
            </w:pPr>
            <w:r>
              <w:rPr>
                <w:rFonts w:hint="eastAsia"/>
                <w:szCs w:val="20"/>
              </w:rPr>
              <w:t>字符型，</w:t>
            </w:r>
            <w:r>
              <w:rPr>
                <w:szCs w:val="20"/>
              </w:rPr>
              <w:t>1</w:t>
            </w:r>
          </w:p>
        </w:tc>
        <w:tc>
          <w:tcPr>
            <w:tcW w:w="3686" w:type="dxa"/>
          </w:tcPr>
          <w:p w14:paraId="7E53341F" w14:textId="77777777" w:rsidR="00A052DC" w:rsidRDefault="009F0A60">
            <w:pPr>
              <w:pStyle w:val="B"/>
              <w:rPr>
                <w:szCs w:val="20"/>
              </w:rPr>
            </w:pPr>
            <w:r>
              <w:rPr>
                <w:rFonts w:hint="eastAsia"/>
                <w:szCs w:val="20"/>
              </w:rPr>
              <w:t>必填项，是</w:t>
            </w:r>
            <w:r>
              <w:rPr>
                <w:szCs w:val="20"/>
              </w:rPr>
              <w:t>-Y</w:t>
            </w:r>
            <w:r>
              <w:rPr>
                <w:rFonts w:hint="eastAsia"/>
                <w:szCs w:val="20"/>
              </w:rPr>
              <w:t>，否</w:t>
            </w:r>
            <w:r>
              <w:rPr>
                <w:szCs w:val="20"/>
              </w:rPr>
              <w:t>-N</w:t>
            </w:r>
            <w:r>
              <w:rPr>
                <w:rFonts w:hint="eastAsia"/>
                <w:szCs w:val="20"/>
              </w:rPr>
              <w:t>，默认为否，填写</w:t>
            </w:r>
            <w:r>
              <w:rPr>
                <w:szCs w:val="20"/>
              </w:rPr>
              <w:t>N</w:t>
            </w:r>
            <w:r>
              <w:rPr>
                <w:rFonts w:hint="eastAsia"/>
                <w:szCs w:val="20"/>
              </w:rPr>
              <w:t>。</w:t>
            </w:r>
          </w:p>
        </w:tc>
      </w:tr>
      <w:tr w:rsidR="00A052DC" w14:paraId="5AA572EB" w14:textId="77777777">
        <w:tc>
          <w:tcPr>
            <w:tcW w:w="1702" w:type="dxa"/>
          </w:tcPr>
          <w:p w14:paraId="78500574" w14:textId="77777777" w:rsidR="00A052DC" w:rsidRDefault="009F0A60">
            <w:pPr>
              <w:pStyle w:val="B"/>
              <w:rPr>
                <w:szCs w:val="20"/>
              </w:rPr>
            </w:pPr>
            <w:r>
              <w:rPr>
                <w:szCs w:val="20"/>
              </w:rPr>
              <w:t>RELATION</w:t>
            </w:r>
          </w:p>
        </w:tc>
        <w:tc>
          <w:tcPr>
            <w:tcW w:w="1701" w:type="dxa"/>
          </w:tcPr>
          <w:p w14:paraId="30EE2E79" w14:textId="77777777" w:rsidR="00A052DC" w:rsidRDefault="009F0A60">
            <w:pPr>
              <w:pStyle w:val="B"/>
              <w:rPr>
                <w:szCs w:val="20"/>
              </w:rPr>
            </w:pPr>
            <w:r>
              <w:rPr>
                <w:rFonts w:hint="eastAsia"/>
                <w:szCs w:val="20"/>
              </w:rPr>
              <w:t>对方与本机构的关系</w:t>
            </w:r>
          </w:p>
        </w:tc>
        <w:tc>
          <w:tcPr>
            <w:tcW w:w="1417" w:type="dxa"/>
          </w:tcPr>
          <w:p w14:paraId="3C79B132" w14:textId="77777777" w:rsidR="00A052DC" w:rsidRDefault="009F0A60">
            <w:pPr>
              <w:pStyle w:val="B"/>
              <w:rPr>
                <w:szCs w:val="20"/>
              </w:rPr>
            </w:pPr>
            <w:r>
              <w:rPr>
                <w:rFonts w:hint="eastAsia"/>
                <w:szCs w:val="20"/>
              </w:rPr>
              <w:t>字符型，</w:t>
            </w:r>
            <w:r>
              <w:rPr>
                <w:szCs w:val="20"/>
              </w:rPr>
              <w:t>2</w:t>
            </w:r>
          </w:p>
        </w:tc>
        <w:tc>
          <w:tcPr>
            <w:tcW w:w="3686" w:type="dxa"/>
          </w:tcPr>
          <w:p w14:paraId="238FB1D1" w14:textId="77777777" w:rsidR="00A052DC" w:rsidRDefault="009F0A60">
            <w:pPr>
              <w:pStyle w:val="B"/>
              <w:rPr>
                <w:szCs w:val="20"/>
              </w:rPr>
            </w:pPr>
            <w:r>
              <w:rPr>
                <w:rFonts w:hint="eastAsia"/>
                <w:szCs w:val="20"/>
              </w:rPr>
              <w:t>必填项，见对方与本机构</w:t>
            </w:r>
            <w:r>
              <w:rPr>
                <w:szCs w:val="20"/>
              </w:rPr>
              <w:t>/</w:t>
            </w:r>
            <w:r>
              <w:rPr>
                <w:rFonts w:hint="eastAsia"/>
                <w:szCs w:val="20"/>
              </w:rPr>
              <w:t>被代理居民机构</w:t>
            </w:r>
            <w:r>
              <w:rPr>
                <w:szCs w:val="20"/>
              </w:rPr>
              <w:t>/</w:t>
            </w:r>
            <w:r>
              <w:rPr>
                <w:rFonts w:hint="eastAsia"/>
                <w:szCs w:val="20"/>
              </w:rPr>
              <w:t>委托人的关系代码表。</w:t>
            </w:r>
          </w:p>
        </w:tc>
      </w:tr>
      <w:tr w:rsidR="00A052DC" w14:paraId="174C5B42" w14:textId="77777777">
        <w:tc>
          <w:tcPr>
            <w:tcW w:w="1702" w:type="dxa"/>
            <w:tcBorders>
              <w:top w:val="single" w:sz="4" w:space="0" w:color="auto"/>
              <w:left w:val="single" w:sz="4" w:space="0" w:color="auto"/>
              <w:bottom w:val="single" w:sz="4" w:space="0" w:color="auto"/>
              <w:right w:val="single" w:sz="4" w:space="0" w:color="auto"/>
            </w:tcBorders>
          </w:tcPr>
          <w:p w14:paraId="183692F7" w14:textId="77777777" w:rsidR="00A052DC" w:rsidRDefault="009F0A60">
            <w:pPr>
              <w:pStyle w:val="B"/>
              <w:rPr>
                <w:szCs w:val="20"/>
              </w:rPr>
            </w:pPr>
            <w:r>
              <w:rPr>
                <w:szCs w:val="20"/>
              </w:rPr>
              <w:t>REMARK</w:t>
            </w:r>
          </w:p>
        </w:tc>
        <w:tc>
          <w:tcPr>
            <w:tcW w:w="1701" w:type="dxa"/>
            <w:tcBorders>
              <w:top w:val="single" w:sz="4" w:space="0" w:color="auto"/>
              <w:left w:val="single" w:sz="4" w:space="0" w:color="auto"/>
              <w:bottom w:val="single" w:sz="4" w:space="0" w:color="auto"/>
              <w:right w:val="single" w:sz="4" w:space="0" w:color="auto"/>
            </w:tcBorders>
          </w:tcPr>
          <w:p w14:paraId="00B0CF4C" w14:textId="77777777" w:rsidR="00A052DC" w:rsidRDefault="009F0A60">
            <w:pPr>
              <w:pStyle w:val="B"/>
              <w:rPr>
                <w:szCs w:val="20"/>
              </w:rPr>
            </w:pPr>
            <w:r>
              <w:rPr>
                <w:rFonts w:hint="eastAsia"/>
                <w:szCs w:val="20"/>
              </w:rPr>
              <w:t>备注</w:t>
            </w:r>
          </w:p>
        </w:tc>
        <w:tc>
          <w:tcPr>
            <w:tcW w:w="1417" w:type="dxa"/>
            <w:tcBorders>
              <w:top w:val="single" w:sz="4" w:space="0" w:color="auto"/>
              <w:left w:val="single" w:sz="4" w:space="0" w:color="auto"/>
              <w:bottom w:val="single" w:sz="4" w:space="0" w:color="auto"/>
              <w:right w:val="single" w:sz="4" w:space="0" w:color="auto"/>
            </w:tcBorders>
          </w:tcPr>
          <w:p w14:paraId="1A0D479D" w14:textId="77777777" w:rsidR="00A052DC" w:rsidRDefault="009F0A60">
            <w:pPr>
              <w:pStyle w:val="B"/>
              <w:rPr>
                <w:szCs w:val="20"/>
              </w:rPr>
            </w:pPr>
            <w:r>
              <w:rPr>
                <w:rFonts w:hint="eastAsia"/>
                <w:szCs w:val="20"/>
              </w:rPr>
              <w:t>字符型，</w:t>
            </w:r>
            <w:r>
              <w:rPr>
                <w:szCs w:val="20"/>
              </w:rPr>
              <w:t>256</w:t>
            </w:r>
          </w:p>
        </w:tc>
        <w:tc>
          <w:tcPr>
            <w:tcW w:w="3686" w:type="dxa"/>
            <w:tcBorders>
              <w:top w:val="single" w:sz="4" w:space="0" w:color="auto"/>
              <w:left w:val="single" w:sz="4" w:space="0" w:color="auto"/>
              <w:bottom w:val="single" w:sz="4" w:space="0" w:color="auto"/>
              <w:right w:val="single" w:sz="4" w:space="0" w:color="auto"/>
            </w:tcBorders>
          </w:tcPr>
          <w:p w14:paraId="0A8123F0" w14:textId="77777777" w:rsidR="00A052DC" w:rsidRDefault="009F0A60">
            <w:pPr>
              <w:pStyle w:val="B"/>
              <w:rPr>
                <w:szCs w:val="20"/>
              </w:rPr>
            </w:pPr>
            <w:r>
              <w:rPr>
                <w:rFonts w:hint="eastAsia"/>
                <w:szCs w:val="20"/>
              </w:rPr>
              <w:t>非必填项。</w:t>
            </w:r>
          </w:p>
        </w:tc>
      </w:tr>
    </w:tbl>
    <w:p w14:paraId="6755C37C" w14:textId="77777777" w:rsidR="00A052DC" w:rsidRDefault="009F0A60">
      <w:pPr>
        <w:pStyle w:val="4"/>
        <w:numPr>
          <w:ilvl w:val="3"/>
          <w:numId w:val="1"/>
        </w:numPr>
        <w:jc w:val="left"/>
      </w:pPr>
      <w:bookmarkStart w:id="1526" w:name="_Toc454386893"/>
      <w:r>
        <w:rPr>
          <w:rFonts w:hint="eastAsia"/>
        </w:rPr>
        <w:t>银团贷款</w:t>
      </w:r>
      <w:bookmarkEnd w:id="1521"/>
      <w:bookmarkEnd w:id="1526"/>
    </w:p>
    <w:p w14:paraId="60395FB2" w14:textId="77777777" w:rsidR="00A052DC" w:rsidRDefault="009F0A60" w:rsidP="0020251D">
      <w:pPr>
        <w:pStyle w:val="5"/>
        <w:numPr>
          <w:ilvl w:val="4"/>
          <w:numId w:val="1"/>
        </w:numPr>
        <w:spacing w:before="120" w:after="120" w:line="360" w:lineRule="auto"/>
        <w:jc w:val="left"/>
      </w:pPr>
      <w:bookmarkStart w:id="1527" w:name="_Toc454386894"/>
      <w:r>
        <w:rPr>
          <w:rFonts w:hint="eastAsia"/>
        </w:rPr>
        <w:t>数据术语解释</w:t>
      </w:r>
      <w:bookmarkEnd w:id="1527"/>
    </w:p>
    <w:tbl>
      <w:tblPr>
        <w:tblW w:w="84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26"/>
        <w:gridCol w:w="6946"/>
      </w:tblGrid>
      <w:tr w:rsidR="00A052DC" w14:paraId="2D0CA9F1" w14:textId="77777777">
        <w:tc>
          <w:tcPr>
            <w:tcW w:w="1526" w:type="dxa"/>
          </w:tcPr>
          <w:p w14:paraId="14192A8D" w14:textId="77777777" w:rsidR="00A052DC" w:rsidRDefault="009F0A60">
            <w:pPr>
              <w:pStyle w:val="B1"/>
              <w:rPr>
                <w:u w:val="single"/>
              </w:rPr>
            </w:pPr>
            <w:r>
              <w:rPr>
                <w:rFonts w:hint="eastAsia"/>
              </w:rPr>
              <w:t>基础数据项</w:t>
            </w:r>
          </w:p>
        </w:tc>
        <w:tc>
          <w:tcPr>
            <w:tcW w:w="6946" w:type="dxa"/>
          </w:tcPr>
          <w:p w14:paraId="24821281" w14:textId="77777777" w:rsidR="00A052DC" w:rsidRDefault="009F0A60">
            <w:pPr>
              <w:pStyle w:val="B1"/>
            </w:pPr>
            <w:r>
              <w:rPr>
                <w:rFonts w:hint="eastAsia"/>
              </w:rPr>
              <w:t>定义</w:t>
            </w:r>
          </w:p>
        </w:tc>
      </w:tr>
      <w:tr w:rsidR="00A052DC" w14:paraId="4A5BBF2C" w14:textId="77777777">
        <w:trPr>
          <w:cantSplit/>
          <w:trHeight w:val="157"/>
        </w:trPr>
        <w:tc>
          <w:tcPr>
            <w:tcW w:w="1526" w:type="dxa"/>
          </w:tcPr>
          <w:p w14:paraId="59E05C8A" w14:textId="77777777" w:rsidR="00A052DC" w:rsidRDefault="009F0A60">
            <w:pPr>
              <w:pStyle w:val="B"/>
              <w:rPr>
                <w:szCs w:val="20"/>
              </w:rPr>
            </w:pPr>
            <w:r>
              <w:rPr>
                <w:rFonts w:hint="eastAsia"/>
                <w:szCs w:val="20"/>
              </w:rPr>
              <w:t>外债编号</w:t>
            </w:r>
          </w:p>
        </w:tc>
        <w:tc>
          <w:tcPr>
            <w:tcW w:w="6946" w:type="dxa"/>
          </w:tcPr>
          <w:p w14:paraId="0F4AF9BF" w14:textId="77777777" w:rsidR="00A052DC" w:rsidRDefault="009F0A60">
            <w:pPr>
              <w:pStyle w:val="B"/>
              <w:rPr>
                <w:szCs w:val="20"/>
              </w:rPr>
            </w:pPr>
            <w:r>
              <w:rPr>
                <w:rFonts w:hint="eastAsia"/>
                <w:szCs w:val="20"/>
              </w:rPr>
              <w:t>外汇局制定统一编号规则，银行自行对每一笔外债编号，用于唯一标识该笔外债。银行外债编号共计</w:t>
            </w:r>
            <w:r>
              <w:rPr>
                <w:szCs w:val="20"/>
              </w:rPr>
              <w:t>28</w:t>
            </w:r>
            <w:r>
              <w:rPr>
                <w:rFonts w:hint="eastAsia"/>
                <w:szCs w:val="20"/>
              </w:rPr>
              <w:t>位。第</w:t>
            </w:r>
            <w:r>
              <w:rPr>
                <w:szCs w:val="20"/>
              </w:rPr>
              <w:t>1</w:t>
            </w:r>
            <w:r>
              <w:rPr>
                <w:rFonts w:hint="eastAsia"/>
                <w:szCs w:val="20"/>
              </w:rPr>
              <w:t>至</w:t>
            </w:r>
            <w:r>
              <w:rPr>
                <w:szCs w:val="20"/>
              </w:rPr>
              <w:t>2</w:t>
            </w:r>
            <w:r>
              <w:rPr>
                <w:rFonts w:hint="eastAsia"/>
                <w:szCs w:val="20"/>
              </w:rPr>
              <w:t>位为业务类型标识，第</w:t>
            </w:r>
            <w:r>
              <w:rPr>
                <w:szCs w:val="20"/>
              </w:rPr>
              <w:t>3</w:t>
            </w:r>
            <w:r>
              <w:rPr>
                <w:rFonts w:hint="eastAsia"/>
                <w:szCs w:val="20"/>
              </w:rPr>
              <w:t>位至</w:t>
            </w:r>
            <w:r>
              <w:rPr>
                <w:szCs w:val="20"/>
              </w:rPr>
              <w:t>14</w:t>
            </w:r>
            <w:r>
              <w:rPr>
                <w:rFonts w:hint="eastAsia"/>
                <w:szCs w:val="20"/>
              </w:rPr>
              <w:t>位为银行金融机构标识码</w:t>
            </w:r>
            <w:r>
              <w:rPr>
                <w:szCs w:val="20"/>
              </w:rPr>
              <w:t>;</w:t>
            </w:r>
            <w:r>
              <w:rPr>
                <w:rFonts w:hint="eastAsia"/>
                <w:szCs w:val="20"/>
              </w:rPr>
              <w:t>第</w:t>
            </w:r>
            <w:r>
              <w:rPr>
                <w:szCs w:val="20"/>
              </w:rPr>
              <w:t>15</w:t>
            </w:r>
            <w:r>
              <w:rPr>
                <w:rFonts w:hint="eastAsia"/>
                <w:szCs w:val="20"/>
              </w:rPr>
              <w:t>至</w:t>
            </w:r>
            <w:r>
              <w:rPr>
                <w:szCs w:val="20"/>
              </w:rPr>
              <w:t>22</w:t>
            </w:r>
            <w:r>
              <w:rPr>
                <w:rFonts w:hint="eastAsia"/>
                <w:szCs w:val="20"/>
              </w:rPr>
              <w:t>位为</w:t>
            </w:r>
            <w:r>
              <w:rPr>
                <w:szCs w:val="20"/>
              </w:rPr>
              <w:t>8</w:t>
            </w:r>
            <w:r>
              <w:rPr>
                <w:rFonts w:hint="eastAsia"/>
                <w:szCs w:val="20"/>
              </w:rPr>
              <w:t>位年月日数字（</w:t>
            </w:r>
            <w:r>
              <w:rPr>
                <w:szCs w:val="20"/>
              </w:rPr>
              <w:t>20110701</w:t>
            </w:r>
            <w:r>
              <w:rPr>
                <w:rFonts w:hint="eastAsia"/>
                <w:szCs w:val="20"/>
              </w:rPr>
              <w:t>）</w:t>
            </w:r>
            <w:r>
              <w:rPr>
                <w:szCs w:val="20"/>
              </w:rPr>
              <w:t>;</w:t>
            </w:r>
            <w:r>
              <w:rPr>
                <w:rFonts w:hint="eastAsia"/>
                <w:szCs w:val="20"/>
              </w:rPr>
              <w:t>第</w:t>
            </w:r>
            <w:r>
              <w:rPr>
                <w:szCs w:val="20"/>
              </w:rPr>
              <w:t>23</w:t>
            </w:r>
            <w:r>
              <w:rPr>
                <w:rFonts w:hint="eastAsia"/>
                <w:szCs w:val="20"/>
              </w:rPr>
              <w:t>至</w:t>
            </w:r>
            <w:r>
              <w:rPr>
                <w:szCs w:val="20"/>
              </w:rPr>
              <w:t>28</w:t>
            </w:r>
            <w:r>
              <w:rPr>
                <w:rFonts w:hint="eastAsia"/>
                <w:szCs w:val="20"/>
              </w:rPr>
              <w:t>位为该笔业务的流水号（流水码编制规则：从</w:t>
            </w:r>
            <w:r>
              <w:rPr>
                <w:szCs w:val="20"/>
              </w:rPr>
              <w:t>000001</w:t>
            </w:r>
            <w:r>
              <w:rPr>
                <w:rFonts w:hint="eastAsia"/>
                <w:szCs w:val="20"/>
              </w:rPr>
              <w:t>～</w:t>
            </w:r>
            <w:r>
              <w:rPr>
                <w:szCs w:val="20"/>
              </w:rPr>
              <w:t>999999</w:t>
            </w:r>
            <w:r>
              <w:rPr>
                <w:rFonts w:hint="eastAsia"/>
                <w:szCs w:val="20"/>
              </w:rPr>
              <w:t>）。银行新发生一笔外债业务时，需为该笔外债编制外债编号，同一笔外债发生变更或展期时，不作为一笔新业务进行登记，发生展期时，变更到期日。</w:t>
            </w:r>
          </w:p>
        </w:tc>
      </w:tr>
      <w:tr w:rsidR="00A052DC" w14:paraId="16AF7366" w14:textId="77777777">
        <w:trPr>
          <w:cantSplit/>
        </w:trPr>
        <w:tc>
          <w:tcPr>
            <w:tcW w:w="1526" w:type="dxa"/>
          </w:tcPr>
          <w:p w14:paraId="3CC1C9F6" w14:textId="77777777" w:rsidR="00A052DC" w:rsidRDefault="009F0A60">
            <w:pPr>
              <w:pStyle w:val="B"/>
              <w:rPr>
                <w:szCs w:val="20"/>
              </w:rPr>
            </w:pPr>
            <w:r>
              <w:rPr>
                <w:rFonts w:hint="eastAsia"/>
                <w:szCs w:val="20"/>
              </w:rPr>
              <w:t>债务人代码</w:t>
            </w:r>
          </w:p>
        </w:tc>
        <w:tc>
          <w:tcPr>
            <w:tcW w:w="6946" w:type="dxa"/>
          </w:tcPr>
          <w:p w14:paraId="716DA713" w14:textId="77777777" w:rsidR="00A052DC" w:rsidRDefault="009F0A60">
            <w:pPr>
              <w:pStyle w:val="B"/>
              <w:rPr>
                <w:szCs w:val="20"/>
              </w:rPr>
            </w:pPr>
            <w:r>
              <w:rPr>
                <w:rFonts w:hint="eastAsia"/>
                <w:szCs w:val="20"/>
              </w:rPr>
              <w:t>国家外汇管理局及其分支局签发给境内债务银行的</w:t>
            </w:r>
            <w:r>
              <w:rPr>
                <w:szCs w:val="20"/>
              </w:rPr>
              <w:t>12</w:t>
            </w:r>
            <w:r>
              <w:rPr>
                <w:rFonts w:hint="eastAsia"/>
                <w:szCs w:val="20"/>
              </w:rPr>
              <w:t>位金融机构标识码编码。</w:t>
            </w:r>
          </w:p>
        </w:tc>
      </w:tr>
      <w:tr w:rsidR="00A052DC" w14:paraId="2D970AE9" w14:textId="77777777">
        <w:trPr>
          <w:cantSplit/>
        </w:trPr>
        <w:tc>
          <w:tcPr>
            <w:tcW w:w="1526" w:type="dxa"/>
          </w:tcPr>
          <w:p w14:paraId="63EACE51" w14:textId="77777777" w:rsidR="00A052DC" w:rsidRDefault="009F0A60">
            <w:pPr>
              <w:pStyle w:val="B"/>
              <w:rPr>
                <w:szCs w:val="20"/>
              </w:rPr>
            </w:pPr>
            <w:r>
              <w:rPr>
                <w:rFonts w:hint="eastAsia"/>
                <w:szCs w:val="20"/>
              </w:rPr>
              <w:t>债务类型</w:t>
            </w:r>
          </w:p>
        </w:tc>
        <w:tc>
          <w:tcPr>
            <w:tcW w:w="6946" w:type="dxa"/>
          </w:tcPr>
          <w:p w14:paraId="41F9F775" w14:textId="77777777" w:rsidR="00A052DC" w:rsidRDefault="009F0A60">
            <w:pPr>
              <w:pStyle w:val="B"/>
              <w:rPr>
                <w:szCs w:val="20"/>
              </w:rPr>
            </w:pPr>
            <w:r>
              <w:rPr>
                <w:rFonts w:hint="eastAsia"/>
                <w:szCs w:val="20"/>
              </w:rPr>
              <w:t>外债的债务类型代码，见外债的债务类型表。</w:t>
            </w:r>
          </w:p>
        </w:tc>
      </w:tr>
      <w:tr w:rsidR="00A052DC" w14:paraId="6D407C70" w14:textId="77777777">
        <w:trPr>
          <w:cantSplit/>
        </w:trPr>
        <w:tc>
          <w:tcPr>
            <w:tcW w:w="1526" w:type="dxa"/>
          </w:tcPr>
          <w:p w14:paraId="168A6A75" w14:textId="77777777" w:rsidR="00A052DC" w:rsidRDefault="009F0A60">
            <w:pPr>
              <w:pStyle w:val="B"/>
              <w:rPr>
                <w:szCs w:val="20"/>
              </w:rPr>
            </w:pPr>
            <w:r>
              <w:rPr>
                <w:rFonts w:hint="eastAsia"/>
                <w:szCs w:val="20"/>
              </w:rPr>
              <w:t>起息日</w:t>
            </w:r>
          </w:p>
        </w:tc>
        <w:tc>
          <w:tcPr>
            <w:tcW w:w="6946" w:type="dxa"/>
          </w:tcPr>
          <w:p w14:paraId="5722CDDD" w14:textId="77777777" w:rsidR="00A052DC" w:rsidRDefault="009F0A60">
            <w:pPr>
              <w:pStyle w:val="B"/>
              <w:rPr>
                <w:szCs w:val="20"/>
              </w:rPr>
            </w:pPr>
            <w:r>
              <w:rPr>
                <w:rFonts w:hint="eastAsia"/>
                <w:szCs w:val="20"/>
              </w:rPr>
              <w:t>债务起始计息日期。</w:t>
            </w:r>
          </w:p>
        </w:tc>
      </w:tr>
      <w:tr w:rsidR="00A052DC" w14:paraId="00369FB8" w14:textId="77777777">
        <w:trPr>
          <w:cantSplit/>
        </w:trPr>
        <w:tc>
          <w:tcPr>
            <w:tcW w:w="1526" w:type="dxa"/>
          </w:tcPr>
          <w:p w14:paraId="5DF2B6C4" w14:textId="77777777" w:rsidR="00A052DC" w:rsidRDefault="009F0A60">
            <w:pPr>
              <w:pStyle w:val="B"/>
              <w:rPr>
                <w:szCs w:val="20"/>
              </w:rPr>
            </w:pPr>
            <w:r>
              <w:rPr>
                <w:rFonts w:hint="eastAsia"/>
                <w:szCs w:val="20"/>
              </w:rPr>
              <w:t>签约币种</w:t>
            </w:r>
          </w:p>
        </w:tc>
        <w:tc>
          <w:tcPr>
            <w:tcW w:w="6946" w:type="dxa"/>
          </w:tcPr>
          <w:p w14:paraId="435A7490" w14:textId="77777777" w:rsidR="00A052DC" w:rsidRDefault="009F0A60">
            <w:pPr>
              <w:pStyle w:val="B"/>
              <w:rPr>
                <w:szCs w:val="20"/>
              </w:rPr>
            </w:pPr>
            <w:r>
              <w:rPr>
                <w:rFonts w:hint="eastAsia"/>
                <w:szCs w:val="20"/>
              </w:rPr>
              <w:t>银团贷款合同约定的借款币种即签约币种。</w:t>
            </w:r>
          </w:p>
        </w:tc>
      </w:tr>
      <w:tr w:rsidR="00A052DC" w14:paraId="18865174" w14:textId="77777777">
        <w:trPr>
          <w:cantSplit/>
        </w:trPr>
        <w:tc>
          <w:tcPr>
            <w:tcW w:w="1526" w:type="dxa"/>
          </w:tcPr>
          <w:p w14:paraId="4A99FC6E" w14:textId="77777777" w:rsidR="00A052DC" w:rsidRDefault="009F0A60">
            <w:pPr>
              <w:pStyle w:val="B"/>
              <w:rPr>
                <w:szCs w:val="20"/>
              </w:rPr>
            </w:pPr>
            <w:r>
              <w:rPr>
                <w:rFonts w:hint="eastAsia"/>
                <w:szCs w:val="20"/>
              </w:rPr>
              <w:t>签约金额</w:t>
            </w:r>
          </w:p>
        </w:tc>
        <w:tc>
          <w:tcPr>
            <w:tcW w:w="6946" w:type="dxa"/>
          </w:tcPr>
          <w:p w14:paraId="1075F6B6" w14:textId="77777777" w:rsidR="00A052DC" w:rsidRDefault="009F0A60">
            <w:pPr>
              <w:pStyle w:val="B"/>
              <w:rPr>
                <w:szCs w:val="20"/>
              </w:rPr>
            </w:pPr>
            <w:r>
              <w:rPr>
                <w:rFonts w:hint="eastAsia"/>
                <w:szCs w:val="20"/>
              </w:rPr>
              <w:t>银团贷款合同约定的借款金额即签约金额（该笔外债总签约金额）。</w:t>
            </w:r>
          </w:p>
        </w:tc>
      </w:tr>
      <w:tr w:rsidR="00A052DC" w14:paraId="09120105" w14:textId="77777777">
        <w:trPr>
          <w:cantSplit/>
        </w:trPr>
        <w:tc>
          <w:tcPr>
            <w:tcW w:w="1526" w:type="dxa"/>
          </w:tcPr>
          <w:p w14:paraId="73EF7E7E" w14:textId="77777777" w:rsidR="00A052DC" w:rsidRDefault="009F0A60">
            <w:pPr>
              <w:pStyle w:val="B"/>
              <w:rPr>
                <w:szCs w:val="20"/>
              </w:rPr>
            </w:pPr>
            <w:r>
              <w:rPr>
                <w:rFonts w:hint="eastAsia"/>
                <w:szCs w:val="20"/>
              </w:rPr>
              <w:t>到期日</w:t>
            </w:r>
          </w:p>
        </w:tc>
        <w:tc>
          <w:tcPr>
            <w:tcW w:w="6946" w:type="dxa"/>
            <w:vAlign w:val="center"/>
          </w:tcPr>
          <w:p w14:paraId="45D4A02F" w14:textId="77777777" w:rsidR="00A052DC" w:rsidRDefault="009F0A60">
            <w:pPr>
              <w:pStyle w:val="B"/>
              <w:rPr>
                <w:szCs w:val="20"/>
              </w:rPr>
            </w:pPr>
            <w:r>
              <w:rPr>
                <w:rFonts w:hint="eastAsia"/>
                <w:szCs w:val="20"/>
              </w:rPr>
              <w:t>外债的到期日期。</w:t>
            </w:r>
          </w:p>
        </w:tc>
      </w:tr>
      <w:tr w:rsidR="00A052DC" w14:paraId="70BBD9A0" w14:textId="77777777">
        <w:trPr>
          <w:cantSplit/>
        </w:trPr>
        <w:tc>
          <w:tcPr>
            <w:tcW w:w="1526" w:type="dxa"/>
          </w:tcPr>
          <w:p w14:paraId="12BDDD68" w14:textId="77777777" w:rsidR="00A052DC" w:rsidRDefault="009F0A60">
            <w:pPr>
              <w:pStyle w:val="B"/>
              <w:rPr>
                <w:szCs w:val="20"/>
              </w:rPr>
            </w:pPr>
            <w:r>
              <w:rPr>
                <w:rFonts w:hint="eastAsia"/>
                <w:szCs w:val="20"/>
              </w:rPr>
              <w:t>是否浮动利率</w:t>
            </w:r>
          </w:p>
        </w:tc>
        <w:tc>
          <w:tcPr>
            <w:tcW w:w="6946" w:type="dxa"/>
          </w:tcPr>
          <w:p w14:paraId="18E3A84A" w14:textId="77777777" w:rsidR="00A052DC" w:rsidRDefault="009F0A60">
            <w:pPr>
              <w:pStyle w:val="B"/>
              <w:rPr>
                <w:szCs w:val="20"/>
              </w:rPr>
            </w:pPr>
            <w:r>
              <w:rPr>
                <w:rFonts w:hint="eastAsia"/>
                <w:szCs w:val="20"/>
              </w:rPr>
              <w:t>标识债务利率条件为浮动利率或固定利率，系统默认为否，若为浮动利率，选择是。</w:t>
            </w:r>
          </w:p>
        </w:tc>
      </w:tr>
      <w:tr w:rsidR="00A052DC" w14:paraId="37F17B03" w14:textId="77777777">
        <w:trPr>
          <w:cantSplit/>
        </w:trPr>
        <w:tc>
          <w:tcPr>
            <w:tcW w:w="1526" w:type="dxa"/>
          </w:tcPr>
          <w:p w14:paraId="7198B88C" w14:textId="77777777" w:rsidR="00A052DC" w:rsidRDefault="009F0A60">
            <w:pPr>
              <w:pStyle w:val="B"/>
              <w:rPr>
                <w:szCs w:val="20"/>
              </w:rPr>
            </w:pPr>
            <w:r>
              <w:rPr>
                <w:rFonts w:hint="eastAsia"/>
                <w:szCs w:val="20"/>
              </w:rPr>
              <w:t>年化利率值</w:t>
            </w:r>
          </w:p>
        </w:tc>
        <w:tc>
          <w:tcPr>
            <w:tcW w:w="6946" w:type="dxa"/>
          </w:tcPr>
          <w:p w14:paraId="0AECC295" w14:textId="77777777" w:rsidR="00A052DC" w:rsidRDefault="009F0A60">
            <w:pPr>
              <w:pStyle w:val="B"/>
              <w:rPr>
                <w:szCs w:val="20"/>
              </w:rPr>
            </w:pPr>
            <w:r>
              <w:rPr>
                <w:rFonts w:hint="eastAsia"/>
                <w:szCs w:val="20"/>
              </w:rPr>
              <w:t>外债的年化利率。若为浮动利率，应该按照该笔外债签约日期当天的浮动利率条件计算年化利率值。</w:t>
            </w:r>
          </w:p>
        </w:tc>
      </w:tr>
      <w:tr w:rsidR="00A052DC" w14:paraId="393A72C5" w14:textId="77777777">
        <w:trPr>
          <w:cantSplit/>
        </w:trPr>
        <w:tc>
          <w:tcPr>
            <w:tcW w:w="1526" w:type="dxa"/>
          </w:tcPr>
          <w:p w14:paraId="4608F45C" w14:textId="77777777" w:rsidR="00A052DC" w:rsidRDefault="009F0A60">
            <w:pPr>
              <w:pStyle w:val="B"/>
              <w:rPr>
                <w:szCs w:val="20"/>
              </w:rPr>
            </w:pPr>
            <w:r>
              <w:rPr>
                <w:rFonts w:hint="eastAsia"/>
                <w:szCs w:val="20"/>
              </w:rPr>
              <w:t>债权人代码</w:t>
            </w:r>
          </w:p>
        </w:tc>
        <w:tc>
          <w:tcPr>
            <w:tcW w:w="6946" w:type="dxa"/>
            <w:vAlign w:val="center"/>
          </w:tcPr>
          <w:p w14:paraId="60935831" w14:textId="77777777" w:rsidR="00A052DC" w:rsidRDefault="009F0A60">
            <w:pPr>
              <w:pStyle w:val="B"/>
              <w:rPr>
                <w:szCs w:val="20"/>
              </w:rPr>
            </w:pPr>
            <w:r>
              <w:rPr>
                <w:rFonts w:hint="eastAsia"/>
                <w:szCs w:val="20"/>
              </w:rPr>
              <w:t>如果债权人为银行，应填写</w:t>
            </w:r>
            <w:r>
              <w:rPr>
                <w:szCs w:val="20"/>
              </w:rPr>
              <w:t>8</w:t>
            </w:r>
            <w:r>
              <w:rPr>
                <w:rFonts w:hint="eastAsia"/>
                <w:szCs w:val="20"/>
              </w:rPr>
              <w:t>位或</w:t>
            </w:r>
            <w:r>
              <w:rPr>
                <w:szCs w:val="20"/>
              </w:rPr>
              <w:t>11</w:t>
            </w:r>
            <w:r>
              <w:rPr>
                <w:rFonts w:hint="eastAsia"/>
                <w:szCs w:val="20"/>
              </w:rPr>
              <w:t>位的</w:t>
            </w:r>
            <w:r>
              <w:rPr>
                <w:szCs w:val="20"/>
              </w:rPr>
              <w:t>SWIFT CODE</w:t>
            </w:r>
            <w:r>
              <w:rPr>
                <w:rFonts w:hint="eastAsia"/>
                <w:szCs w:val="20"/>
              </w:rPr>
              <w:t>；如果债权人类型为“政府”、或“中央银行”时，或者当债务类型为“货币市场工具”或“债券和票据”或“非居民个人存款”时，应在外汇局编制的部分债权人代码表中选择债权人代码；否则为空。</w:t>
            </w:r>
          </w:p>
          <w:p w14:paraId="0FAB49CA" w14:textId="77777777" w:rsidR="00A052DC" w:rsidRDefault="009F0A60">
            <w:pPr>
              <w:pStyle w:val="B"/>
              <w:rPr>
                <w:szCs w:val="20"/>
              </w:rPr>
            </w:pPr>
            <w:r>
              <w:rPr>
                <w:rFonts w:hint="eastAsia"/>
                <w:szCs w:val="20"/>
              </w:rPr>
              <w:t>如果债权人为“非银行金融机构”或“国际金融组织”，应优先填写</w:t>
            </w:r>
            <w:r>
              <w:rPr>
                <w:szCs w:val="20"/>
              </w:rPr>
              <w:t>SWIFT CODE</w:t>
            </w:r>
            <w:r>
              <w:rPr>
                <w:rFonts w:hint="eastAsia"/>
                <w:szCs w:val="20"/>
              </w:rPr>
              <w:t>。</w:t>
            </w:r>
          </w:p>
        </w:tc>
      </w:tr>
      <w:tr w:rsidR="00A052DC" w14:paraId="4ADB32E3" w14:textId="77777777">
        <w:trPr>
          <w:cantSplit/>
        </w:trPr>
        <w:tc>
          <w:tcPr>
            <w:tcW w:w="1526" w:type="dxa"/>
          </w:tcPr>
          <w:p w14:paraId="1251C5BD" w14:textId="77777777" w:rsidR="00A052DC" w:rsidRDefault="009F0A60">
            <w:pPr>
              <w:pStyle w:val="B"/>
              <w:rPr>
                <w:szCs w:val="20"/>
              </w:rPr>
            </w:pPr>
            <w:r>
              <w:rPr>
                <w:rFonts w:hint="eastAsia"/>
                <w:szCs w:val="20"/>
              </w:rPr>
              <w:t>债权人中文名称</w:t>
            </w:r>
          </w:p>
        </w:tc>
        <w:tc>
          <w:tcPr>
            <w:tcW w:w="6946" w:type="dxa"/>
            <w:vAlign w:val="center"/>
          </w:tcPr>
          <w:p w14:paraId="661B92CA" w14:textId="77777777" w:rsidR="00A052DC" w:rsidRDefault="009F0A60">
            <w:pPr>
              <w:pStyle w:val="B"/>
              <w:rPr>
                <w:szCs w:val="20"/>
              </w:rPr>
            </w:pPr>
            <w:r>
              <w:rPr>
                <w:rFonts w:hint="eastAsia"/>
                <w:szCs w:val="20"/>
              </w:rPr>
              <w:t>债权人中文名称。可填多个债权人，每个债权人签约金额、债权人类型代码、债权人总部所在地代码、债权人经营所在地代码分别填写。</w:t>
            </w:r>
          </w:p>
        </w:tc>
      </w:tr>
      <w:tr w:rsidR="00A052DC" w14:paraId="5418FBDF" w14:textId="77777777">
        <w:trPr>
          <w:cantSplit/>
        </w:trPr>
        <w:tc>
          <w:tcPr>
            <w:tcW w:w="1526" w:type="dxa"/>
          </w:tcPr>
          <w:p w14:paraId="563C10B2" w14:textId="77777777" w:rsidR="00A052DC" w:rsidRDefault="009F0A60">
            <w:pPr>
              <w:pStyle w:val="B"/>
              <w:rPr>
                <w:szCs w:val="20"/>
              </w:rPr>
            </w:pPr>
            <w:r>
              <w:rPr>
                <w:rFonts w:hint="eastAsia"/>
                <w:szCs w:val="20"/>
              </w:rPr>
              <w:t>债权人英文名称</w:t>
            </w:r>
          </w:p>
        </w:tc>
        <w:tc>
          <w:tcPr>
            <w:tcW w:w="6946" w:type="dxa"/>
            <w:vAlign w:val="center"/>
          </w:tcPr>
          <w:p w14:paraId="59595B86" w14:textId="77777777" w:rsidR="00A052DC" w:rsidRDefault="009F0A60">
            <w:pPr>
              <w:pStyle w:val="B"/>
              <w:rPr>
                <w:szCs w:val="20"/>
              </w:rPr>
            </w:pPr>
            <w:r>
              <w:rPr>
                <w:rFonts w:hint="eastAsia"/>
                <w:szCs w:val="20"/>
              </w:rPr>
              <w:t>债权人英文名称（中英文名称至少填写一个）。</w:t>
            </w:r>
          </w:p>
        </w:tc>
      </w:tr>
      <w:tr w:rsidR="00A052DC" w14:paraId="68CA32BC" w14:textId="77777777">
        <w:trPr>
          <w:cantSplit/>
        </w:trPr>
        <w:tc>
          <w:tcPr>
            <w:tcW w:w="1526" w:type="dxa"/>
          </w:tcPr>
          <w:p w14:paraId="5D836BD5" w14:textId="77777777" w:rsidR="00A052DC" w:rsidRDefault="009F0A60">
            <w:pPr>
              <w:pStyle w:val="B"/>
              <w:rPr>
                <w:szCs w:val="20"/>
              </w:rPr>
            </w:pPr>
            <w:r>
              <w:rPr>
                <w:rFonts w:hint="eastAsia"/>
                <w:szCs w:val="20"/>
              </w:rPr>
              <w:t>债权人签约金额</w:t>
            </w:r>
          </w:p>
        </w:tc>
        <w:tc>
          <w:tcPr>
            <w:tcW w:w="6946" w:type="dxa"/>
            <w:vAlign w:val="center"/>
          </w:tcPr>
          <w:p w14:paraId="15CCB1B5" w14:textId="77777777" w:rsidR="00A052DC" w:rsidRDefault="009F0A60">
            <w:pPr>
              <w:pStyle w:val="B"/>
              <w:rPr>
                <w:szCs w:val="20"/>
              </w:rPr>
            </w:pPr>
            <w:r>
              <w:rPr>
                <w:rFonts w:hint="eastAsia"/>
                <w:szCs w:val="20"/>
              </w:rPr>
              <w:t>所有债权人签约金额之和等于该笔外债签约金额。</w:t>
            </w:r>
          </w:p>
        </w:tc>
      </w:tr>
      <w:tr w:rsidR="00A052DC" w14:paraId="4E9056D6" w14:textId="77777777">
        <w:trPr>
          <w:cantSplit/>
        </w:trPr>
        <w:tc>
          <w:tcPr>
            <w:tcW w:w="1526" w:type="dxa"/>
          </w:tcPr>
          <w:p w14:paraId="3009492A" w14:textId="77777777" w:rsidR="00A052DC" w:rsidRDefault="009F0A60">
            <w:pPr>
              <w:pStyle w:val="B"/>
              <w:rPr>
                <w:szCs w:val="20"/>
              </w:rPr>
            </w:pPr>
            <w:r>
              <w:rPr>
                <w:rFonts w:hint="eastAsia"/>
                <w:szCs w:val="20"/>
              </w:rPr>
              <w:t>债权人类型代码</w:t>
            </w:r>
          </w:p>
        </w:tc>
        <w:tc>
          <w:tcPr>
            <w:tcW w:w="6946" w:type="dxa"/>
          </w:tcPr>
          <w:p w14:paraId="6F489530" w14:textId="77777777" w:rsidR="00A052DC" w:rsidRDefault="009F0A60">
            <w:pPr>
              <w:pStyle w:val="B"/>
              <w:rPr>
                <w:szCs w:val="20"/>
              </w:rPr>
            </w:pPr>
            <w:r>
              <w:rPr>
                <w:rFonts w:hint="eastAsia"/>
                <w:szCs w:val="20"/>
              </w:rPr>
              <w:t>债权人的类型代码，见境外主体类型代码表。</w:t>
            </w:r>
          </w:p>
        </w:tc>
      </w:tr>
      <w:tr w:rsidR="00A052DC" w14:paraId="13B2EE0D" w14:textId="77777777">
        <w:trPr>
          <w:cantSplit/>
        </w:trPr>
        <w:tc>
          <w:tcPr>
            <w:tcW w:w="1526" w:type="dxa"/>
          </w:tcPr>
          <w:p w14:paraId="12602816" w14:textId="77777777" w:rsidR="00A052DC" w:rsidRDefault="009F0A60">
            <w:pPr>
              <w:pStyle w:val="B"/>
              <w:rPr>
                <w:szCs w:val="20"/>
              </w:rPr>
            </w:pPr>
            <w:r>
              <w:rPr>
                <w:rFonts w:hint="eastAsia"/>
                <w:szCs w:val="20"/>
              </w:rPr>
              <w:t>债权人总部所在国家（地区）代码</w:t>
            </w:r>
          </w:p>
        </w:tc>
        <w:tc>
          <w:tcPr>
            <w:tcW w:w="6946" w:type="dxa"/>
            <w:vAlign w:val="center"/>
          </w:tcPr>
          <w:p w14:paraId="0DEE8D64" w14:textId="77777777" w:rsidR="00A052DC" w:rsidRDefault="009F0A60">
            <w:pPr>
              <w:pStyle w:val="B"/>
              <w:rPr>
                <w:szCs w:val="20"/>
              </w:rPr>
            </w:pPr>
            <w:r>
              <w:rPr>
                <w:rFonts w:hint="eastAsia"/>
                <w:szCs w:val="20"/>
              </w:rPr>
              <w:t>债权人总部所在地代码，见国家和地区代码表。</w:t>
            </w:r>
          </w:p>
        </w:tc>
      </w:tr>
      <w:tr w:rsidR="00A052DC" w14:paraId="6F34A5D1" w14:textId="77777777">
        <w:trPr>
          <w:cantSplit/>
        </w:trPr>
        <w:tc>
          <w:tcPr>
            <w:tcW w:w="1526" w:type="dxa"/>
          </w:tcPr>
          <w:p w14:paraId="52632F74" w14:textId="77777777" w:rsidR="00A052DC" w:rsidRDefault="009F0A60">
            <w:pPr>
              <w:pStyle w:val="B"/>
              <w:rPr>
                <w:szCs w:val="20"/>
              </w:rPr>
            </w:pPr>
            <w:r>
              <w:rPr>
                <w:rFonts w:hint="eastAsia"/>
                <w:szCs w:val="20"/>
              </w:rPr>
              <w:t>债权人经营地所在国家（地区）代码</w:t>
            </w:r>
          </w:p>
        </w:tc>
        <w:tc>
          <w:tcPr>
            <w:tcW w:w="6946" w:type="dxa"/>
            <w:vAlign w:val="center"/>
          </w:tcPr>
          <w:p w14:paraId="422060F6" w14:textId="77777777" w:rsidR="00A052DC" w:rsidRDefault="009F0A60">
            <w:pPr>
              <w:pStyle w:val="B"/>
              <w:rPr>
                <w:szCs w:val="20"/>
              </w:rPr>
            </w:pPr>
            <w:r>
              <w:rPr>
                <w:rFonts w:hint="eastAsia"/>
                <w:szCs w:val="20"/>
              </w:rPr>
              <w:t>债权人经营所在地代码，见国家和地区代码表。</w:t>
            </w:r>
          </w:p>
        </w:tc>
      </w:tr>
      <w:tr w:rsidR="00A052DC" w14:paraId="38288F0C" w14:textId="77777777">
        <w:trPr>
          <w:cantSplit/>
        </w:trPr>
        <w:tc>
          <w:tcPr>
            <w:tcW w:w="1526" w:type="dxa"/>
          </w:tcPr>
          <w:p w14:paraId="51CA24B5" w14:textId="77777777" w:rsidR="00A052DC" w:rsidRDefault="009F0A60">
            <w:pPr>
              <w:pStyle w:val="B"/>
              <w:rPr>
                <w:szCs w:val="20"/>
              </w:rPr>
            </w:pPr>
            <w:r>
              <w:rPr>
                <w:rFonts w:hint="eastAsia"/>
                <w:szCs w:val="20"/>
              </w:rPr>
              <w:t>是否有利息本金化条款</w:t>
            </w:r>
          </w:p>
        </w:tc>
        <w:tc>
          <w:tcPr>
            <w:tcW w:w="6946" w:type="dxa"/>
          </w:tcPr>
          <w:p w14:paraId="52EF0F3E" w14:textId="77777777" w:rsidR="00A052DC" w:rsidRDefault="009F0A60">
            <w:pPr>
              <w:pStyle w:val="B"/>
              <w:rPr>
                <w:szCs w:val="20"/>
              </w:rPr>
            </w:pPr>
            <w:r>
              <w:rPr>
                <w:rFonts w:hint="eastAsia"/>
                <w:szCs w:val="20"/>
              </w:rPr>
              <w:t>标识债务合同中是否包含利息本金化条款，默认为“否”。</w:t>
            </w:r>
          </w:p>
        </w:tc>
      </w:tr>
      <w:tr w:rsidR="00A052DC" w14:paraId="54C911E9" w14:textId="77777777">
        <w:trPr>
          <w:cantSplit/>
        </w:trPr>
        <w:tc>
          <w:tcPr>
            <w:tcW w:w="1526" w:type="dxa"/>
          </w:tcPr>
          <w:p w14:paraId="07048AD1" w14:textId="77777777" w:rsidR="00A052DC" w:rsidRDefault="009F0A60">
            <w:pPr>
              <w:pStyle w:val="B"/>
              <w:rPr>
                <w:szCs w:val="20"/>
              </w:rPr>
            </w:pPr>
            <w:r>
              <w:rPr>
                <w:rFonts w:hint="eastAsia"/>
                <w:szCs w:val="20"/>
              </w:rPr>
              <w:t>是否不纳入跨境融资风险加权余额计算</w:t>
            </w:r>
          </w:p>
        </w:tc>
        <w:tc>
          <w:tcPr>
            <w:tcW w:w="6946" w:type="dxa"/>
          </w:tcPr>
          <w:p w14:paraId="544E2407" w14:textId="77777777" w:rsidR="00A052DC" w:rsidRDefault="009F0A60">
            <w:pPr>
              <w:pStyle w:val="B"/>
              <w:rPr>
                <w:szCs w:val="20"/>
              </w:rPr>
            </w:pPr>
            <w:r>
              <w:rPr>
                <w:rFonts w:hint="eastAsia"/>
                <w:szCs w:val="20"/>
              </w:rPr>
              <w:t>标识该笔债务是否不纳入跨境融资风险加权余额计算，默认为“否”。</w:t>
            </w:r>
          </w:p>
        </w:tc>
      </w:tr>
      <w:tr w:rsidR="00A052DC" w14:paraId="04170F30" w14:textId="77777777">
        <w:trPr>
          <w:cantSplit/>
        </w:trPr>
        <w:tc>
          <w:tcPr>
            <w:tcW w:w="1526" w:type="dxa"/>
          </w:tcPr>
          <w:p w14:paraId="40C0EAAA" w14:textId="77777777" w:rsidR="00A052DC" w:rsidRDefault="009F0A60">
            <w:pPr>
              <w:pStyle w:val="B"/>
              <w:rPr>
                <w:szCs w:val="20"/>
              </w:rPr>
            </w:pPr>
            <w:r>
              <w:rPr>
                <w:rFonts w:hint="eastAsia"/>
                <w:szCs w:val="20"/>
              </w:rPr>
              <w:t>项目名称</w:t>
            </w:r>
          </w:p>
        </w:tc>
        <w:tc>
          <w:tcPr>
            <w:tcW w:w="6946" w:type="dxa"/>
          </w:tcPr>
          <w:p w14:paraId="43F75F7D" w14:textId="77777777" w:rsidR="00A052DC" w:rsidRDefault="009F0A60">
            <w:pPr>
              <w:pStyle w:val="B"/>
              <w:rPr>
                <w:szCs w:val="20"/>
              </w:rPr>
            </w:pPr>
            <w:r>
              <w:rPr>
                <w:rFonts w:hint="eastAsia"/>
                <w:szCs w:val="20"/>
              </w:rPr>
              <w:t>非必填，若该笔银团贷款有明确项目，需填写项目名称。</w:t>
            </w:r>
          </w:p>
        </w:tc>
      </w:tr>
      <w:tr w:rsidR="00A052DC" w14:paraId="6340CC50" w14:textId="77777777">
        <w:trPr>
          <w:cantSplit/>
        </w:trPr>
        <w:tc>
          <w:tcPr>
            <w:tcW w:w="1526" w:type="dxa"/>
          </w:tcPr>
          <w:p w14:paraId="03AE5093" w14:textId="77777777" w:rsidR="00A052DC" w:rsidRDefault="009F0A60">
            <w:pPr>
              <w:pStyle w:val="B"/>
              <w:rPr>
                <w:szCs w:val="20"/>
              </w:rPr>
            </w:pPr>
            <w:r>
              <w:rPr>
                <w:rFonts w:hint="eastAsia"/>
                <w:szCs w:val="20"/>
              </w:rPr>
              <w:t>对方与本机构的关系</w:t>
            </w:r>
          </w:p>
        </w:tc>
        <w:tc>
          <w:tcPr>
            <w:tcW w:w="6946" w:type="dxa"/>
          </w:tcPr>
          <w:p w14:paraId="5155CA5A" w14:textId="77777777" w:rsidR="00A052DC" w:rsidRDefault="009F0A60">
            <w:pPr>
              <w:pStyle w:val="B"/>
              <w:rPr>
                <w:szCs w:val="20"/>
              </w:rPr>
            </w:pPr>
            <w:r>
              <w:rPr>
                <w:rFonts w:hint="eastAsia"/>
                <w:szCs w:val="20"/>
              </w:rPr>
              <w:t>债权人与本机构的关系，见对方与本机构</w:t>
            </w:r>
            <w:r>
              <w:rPr>
                <w:szCs w:val="20"/>
              </w:rPr>
              <w:t>/</w:t>
            </w:r>
            <w:r>
              <w:rPr>
                <w:rFonts w:hint="eastAsia"/>
                <w:szCs w:val="20"/>
              </w:rPr>
              <w:t>被代理居民机构</w:t>
            </w:r>
            <w:r>
              <w:rPr>
                <w:szCs w:val="20"/>
              </w:rPr>
              <w:t>/</w:t>
            </w:r>
            <w:r>
              <w:rPr>
                <w:rFonts w:hint="eastAsia"/>
                <w:szCs w:val="20"/>
              </w:rPr>
              <w:t>委托人的关系代码表。</w:t>
            </w:r>
          </w:p>
        </w:tc>
      </w:tr>
      <w:tr w:rsidR="00A052DC" w14:paraId="423993CE" w14:textId="77777777">
        <w:trPr>
          <w:cantSplit/>
        </w:trPr>
        <w:tc>
          <w:tcPr>
            <w:tcW w:w="1526" w:type="dxa"/>
            <w:tcBorders>
              <w:top w:val="single" w:sz="6" w:space="0" w:color="auto"/>
              <w:left w:val="single" w:sz="6" w:space="0" w:color="auto"/>
              <w:bottom w:val="single" w:sz="6" w:space="0" w:color="auto"/>
              <w:right w:val="single" w:sz="6" w:space="0" w:color="auto"/>
            </w:tcBorders>
          </w:tcPr>
          <w:p w14:paraId="47EB0F4D" w14:textId="77777777" w:rsidR="00A052DC" w:rsidRDefault="009F0A60">
            <w:pPr>
              <w:pStyle w:val="B"/>
              <w:rPr>
                <w:szCs w:val="20"/>
              </w:rPr>
            </w:pPr>
            <w:r>
              <w:rPr>
                <w:rFonts w:hint="eastAsia"/>
                <w:szCs w:val="20"/>
              </w:rPr>
              <w:t>备注</w:t>
            </w:r>
          </w:p>
        </w:tc>
        <w:tc>
          <w:tcPr>
            <w:tcW w:w="6946" w:type="dxa"/>
            <w:tcBorders>
              <w:top w:val="single" w:sz="6" w:space="0" w:color="auto"/>
              <w:left w:val="single" w:sz="6" w:space="0" w:color="auto"/>
              <w:bottom w:val="single" w:sz="6" w:space="0" w:color="auto"/>
              <w:right w:val="single" w:sz="6" w:space="0" w:color="auto"/>
            </w:tcBorders>
          </w:tcPr>
          <w:p w14:paraId="1FB6C894" w14:textId="77777777" w:rsidR="00A052DC" w:rsidRDefault="009F0A60">
            <w:pPr>
              <w:pStyle w:val="B"/>
              <w:rPr>
                <w:szCs w:val="20"/>
              </w:rPr>
            </w:pPr>
            <w:r>
              <w:rPr>
                <w:rFonts w:hint="eastAsia"/>
                <w:szCs w:val="20"/>
              </w:rPr>
              <w:t>需要说明的备注事项。</w:t>
            </w:r>
          </w:p>
        </w:tc>
      </w:tr>
    </w:tbl>
    <w:p w14:paraId="35E82EF6" w14:textId="77777777" w:rsidR="00A052DC" w:rsidRDefault="00A052DC">
      <w:pPr>
        <w:ind w:firstLine="480"/>
      </w:pPr>
    </w:p>
    <w:p w14:paraId="275E6724" w14:textId="77777777" w:rsidR="00A052DC" w:rsidRDefault="009F0A60" w:rsidP="0020251D">
      <w:pPr>
        <w:pStyle w:val="5"/>
        <w:numPr>
          <w:ilvl w:val="4"/>
          <w:numId w:val="1"/>
        </w:numPr>
        <w:spacing w:before="120" w:after="120" w:line="360" w:lineRule="auto"/>
        <w:jc w:val="left"/>
      </w:pPr>
      <w:bookmarkStart w:id="1528" w:name="_Toc454386895"/>
      <w:r>
        <w:rPr>
          <w:rFonts w:hint="eastAsia"/>
        </w:rPr>
        <w:t>数据格式</w:t>
      </w:r>
      <w:bookmarkEnd w:id="1528"/>
    </w:p>
    <w:p w14:paraId="6BA78666" w14:textId="77777777" w:rsidR="00A052DC" w:rsidRDefault="009F0A60">
      <w:r>
        <w:t>&lt;REC&gt;</w:t>
      </w:r>
    </w:p>
    <w:p w14:paraId="14DBEB59" w14:textId="77777777" w:rsidR="00A052DC" w:rsidRDefault="009F0A60">
      <w:r>
        <w:t>&lt;ACTIONTYPE&gt;</w:t>
      </w:r>
      <w:r>
        <w:rPr>
          <w:rFonts w:hint="eastAsia"/>
        </w:rPr>
        <w:t>操作类型</w:t>
      </w:r>
      <w:r>
        <w:t>&lt;/ACTIONTYPE&gt;</w:t>
      </w:r>
    </w:p>
    <w:p w14:paraId="53E06536" w14:textId="77777777" w:rsidR="00A052DC" w:rsidRDefault="009F0A60">
      <w:r>
        <w:t>&lt;ACTIONDESC&gt;</w:t>
      </w:r>
      <w:r>
        <w:rPr>
          <w:rFonts w:hint="eastAsia"/>
        </w:rPr>
        <w:t>删除原因</w:t>
      </w:r>
      <w:r>
        <w:t>&lt;/ACTIONDESC&gt;</w:t>
      </w:r>
    </w:p>
    <w:p w14:paraId="6297A514" w14:textId="77777777" w:rsidR="00A052DC" w:rsidRDefault="009F0A60">
      <w:r>
        <w:t>&lt;EXDEBTCODE&gt;</w:t>
      </w:r>
      <w:r>
        <w:rPr>
          <w:rFonts w:hint="eastAsia"/>
        </w:rPr>
        <w:t>外债编号</w:t>
      </w:r>
      <w:r>
        <w:t>&lt;/EXDEBTCODE&gt;</w:t>
      </w:r>
    </w:p>
    <w:p w14:paraId="6EA4CFA6" w14:textId="77777777" w:rsidR="00A052DC" w:rsidRDefault="009F0A60">
      <w:r>
        <w:t>&lt;DEBTORCODE&gt;</w:t>
      </w:r>
      <w:r>
        <w:rPr>
          <w:rFonts w:hint="eastAsia"/>
        </w:rPr>
        <w:t>债务人代码</w:t>
      </w:r>
      <w:r>
        <w:t>&lt;/DEBTORCODE&gt;</w:t>
      </w:r>
    </w:p>
    <w:p w14:paraId="43BEF5E9" w14:textId="77777777" w:rsidR="00A052DC" w:rsidRDefault="009F0A60">
      <w:r>
        <w:t>&lt;DEBTYPE&gt;</w:t>
      </w:r>
      <w:r>
        <w:rPr>
          <w:rFonts w:hint="eastAsia"/>
        </w:rPr>
        <w:t>债务类型</w:t>
      </w:r>
      <w:r>
        <w:t>&lt;/DEBTYPE&gt;</w:t>
      </w:r>
    </w:p>
    <w:p w14:paraId="0FECC6FC" w14:textId="77777777" w:rsidR="00A052DC" w:rsidRDefault="009F0A60">
      <w:r>
        <w:t>&lt;VALUEDATE&gt;</w:t>
      </w:r>
      <w:r>
        <w:rPr>
          <w:rFonts w:hint="eastAsia"/>
        </w:rPr>
        <w:t>起息日</w:t>
      </w:r>
      <w:r>
        <w:t>&lt;/VALUEDATE&gt;</w:t>
      </w:r>
    </w:p>
    <w:p w14:paraId="099A7523" w14:textId="77777777" w:rsidR="00A052DC" w:rsidRDefault="009F0A60">
      <w:r>
        <w:t>&lt;CONTRACTCURR&gt;</w:t>
      </w:r>
      <w:r>
        <w:rPr>
          <w:rFonts w:hint="eastAsia"/>
        </w:rPr>
        <w:t>签约币种</w:t>
      </w:r>
      <w:r>
        <w:t>&lt;/CONTRACTCURR&gt;</w:t>
      </w:r>
    </w:p>
    <w:p w14:paraId="058C6D0D" w14:textId="77777777" w:rsidR="00A052DC" w:rsidRDefault="009F0A60">
      <w:r>
        <w:t>&lt;CONTRACTAMOUNT&gt;</w:t>
      </w:r>
      <w:r>
        <w:rPr>
          <w:rFonts w:hint="eastAsia"/>
        </w:rPr>
        <w:t>签约金额</w:t>
      </w:r>
      <w:r>
        <w:t>&lt;/CONTRACTAMOUNT&gt;</w:t>
      </w:r>
    </w:p>
    <w:p w14:paraId="77403B13" w14:textId="77777777" w:rsidR="00A052DC" w:rsidRDefault="009F0A60">
      <w:r>
        <w:t>&lt;MATURITY&gt;</w:t>
      </w:r>
      <w:r>
        <w:rPr>
          <w:rFonts w:hint="eastAsia"/>
        </w:rPr>
        <w:t>到期日</w:t>
      </w:r>
      <w:r>
        <w:t>&lt;/MATURITY&gt;</w:t>
      </w:r>
    </w:p>
    <w:p w14:paraId="7627404F" w14:textId="77777777" w:rsidR="00A052DC" w:rsidRDefault="009F0A60">
      <w:r>
        <w:t>&lt;FLOATRATE&gt;</w:t>
      </w:r>
      <w:r>
        <w:rPr>
          <w:rFonts w:hint="eastAsia"/>
        </w:rPr>
        <w:t>是否浮动利率</w:t>
      </w:r>
      <w:r>
        <w:t>&lt;/FLOATRATE&gt;</w:t>
      </w:r>
    </w:p>
    <w:p w14:paraId="5ADB1301" w14:textId="77777777" w:rsidR="00A052DC" w:rsidRDefault="009F0A60">
      <w:r>
        <w:t>&lt;ANNINRATE&gt;</w:t>
      </w:r>
      <w:r>
        <w:rPr>
          <w:rFonts w:hint="eastAsia"/>
        </w:rPr>
        <w:t>年化利率值</w:t>
      </w:r>
      <w:r>
        <w:t>&lt;/ANNINRATE&gt;</w:t>
      </w:r>
    </w:p>
    <w:p w14:paraId="2174F464" w14:textId="77777777" w:rsidR="00A052DC" w:rsidRDefault="009F0A60">
      <w:r>
        <w:t>&lt;CREDITORS&gt;</w:t>
      </w:r>
    </w:p>
    <w:p w14:paraId="1ED070CE" w14:textId="77777777" w:rsidR="00A052DC" w:rsidRDefault="009F0A60">
      <w:r>
        <w:t>&lt;CREDITOR&gt;</w:t>
      </w:r>
    </w:p>
    <w:p w14:paraId="3D844576" w14:textId="77777777" w:rsidR="00A052DC" w:rsidRDefault="009F0A60">
      <w:r>
        <w:t>&lt;CREDITORCODE&gt;</w:t>
      </w:r>
      <w:r>
        <w:rPr>
          <w:rFonts w:hint="eastAsia"/>
        </w:rPr>
        <w:t>债权人代码</w:t>
      </w:r>
      <w:r>
        <w:t>&lt;/CREDITORCODE&gt;</w:t>
      </w:r>
    </w:p>
    <w:p w14:paraId="1669834E" w14:textId="77777777" w:rsidR="00A052DC" w:rsidRDefault="009F0A60">
      <w:r>
        <w:t>&lt;CREDITORNAME&gt;</w:t>
      </w:r>
      <w:r>
        <w:rPr>
          <w:rFonts w:hint="eastAsia"/>
        </w:rPr>
        <w:t>债权人中文名称</w:t>
      </w:r>
      <w:r>
        <w:t>&lt;/CREDITORNAME&gt;</w:t>
      </w:r>
    </w:p>
    <w:p w14:paraId="68DF0D18" w14:textId="77777777" w:rsidR="00A052DC" w:rsidRDefault="009F0A60">
      <w:r>
        <w:t>&lt;CREDITORNAMEN&gt;</w:t>
      </w:r>
      <w:r>
        <w:rPr>
          <w:rFonts w:hint="eastAsia"/>
        </w:rPr>
        <w:t>债权人英文名称</w:t>
      </w:r>
      <w:r>
        <w:t>&lt;/CREDITORNAMEN&gt;</w:t>
      </w:r>
    </w:p>
    <w:p w14:paraId="50062FAE" w14:textId="77777777" w:rsidR="00A052DC" w:rsidRDefault="009F0A60">
      <w:r>
        <w:t>&lt;CREDITORCA&gt;</w:t>
      </w:r>
      <w:r>
        <w:rPr>
          <w:rFonts w:hint="eastAsia"/>
        </w:rPr>
        <w:t>债权人签约金额</w:t>
      </w:r>
      <w:r>
        <w:t>&lt;/CREDITORCA&gt;</w:t>
      </w:r>
    </w:p>
    <w:p w14:paraId="185FF783" w14:textId="77777777" w:rsidR="00A052DC" w:rsidRDefault="009F0A60">
      <w:r>
        <w:t>&lt;CREDITORTYPE&gt;</w:t>
      </w:r>
      <w:r>
        <w:rPr>
          <w:rFonts w:hint="eastAsia"/>
        </w:rPr>
        <w:t>债权人类型代码</w:t>
      </w:r>
      <w:r>
        <w:t>&lt;/CREDITORTYPE&gt;</w:t>
      </w:r>
    </w:p>
    <w:p w14:paraId="34A71323" w14:textId="77777777" w:rsidR="00A052DC" w:rsidRDefault="009F0A60">
      <w:r>
        <w:t>&lt;CREHQCODE&gt;</w:t>
      </w:r>
      <w:r>
        <w:rPr>
          <w:rFonts w:hint="eastAsia"/>
        </w:rPr>
        <w:t>债权人总部所在国家（地区）代码</w:t>
      </w:r>
      <w:r>
        <w:t>&lt;/CREHQCODE&gt;</w:t>
      </w:r>
    </w:p>
    <w:p w14:paraId="0896088D" w14:textId="77777777" w:rsidR="00A052DC" w:rsidRDefault="009F0A60">
      <w:r>
        <w:t>&lt;OPERCODE&gt;</w:t>
      </w:r>
      <w:r>
        <w:rPr>
          <w:rFonts w:hint="eastAsia"/>
        </w:rPr>
        <w:t>债权人经营地所在国家（地区）代码</w:t>
      </w:r>
      <w:r>
        <w:t>&lt;/OPERCODE&gt;</w:t>
      </w:r>
    </w:p>
    <w:p w14:paraId="7ED2ACBC" w14:textId="77777777" w:rsidR="00A052DC" w:rsidRDefault="009F0A60">
      <w:r>
        <w:t>&lt;/CREDITOR&gt;</w:t>
      </w:r>
    </w:p>
    <w:p w14:paraId="7339AC3E" w14:textId="77777777" w:rsidR="00A052DC" w:rsidRDefault="009F0A60">
      <w:r>
        <w:t>……</w:t>
      </w:r>
    </w:p>
    <w:p w14:paraId="0691C1C9" w14:textId="77777777" w:rsidR="00A052DC" w:rsidRDefault="009F0A60">
      <w:r>
        <w:t>&lt;/CREDITORS&gt;</w:t>
      </w:r>
    </w:p>
    <w:p w14:paraId="20C3E7DB" w14:textId="77777777" w:rsidR="00A052DC" w:rsidRDefault="009F0A60">
      <w:r>
        <w:t>&lt;INPRTERM&gt;</w:t>
      </w:r>
      <w:r>
        <w:rPr>
          <w:rFonts w:hint="eastAsia"/>
        </w:rPr>
        <w:t>是否有利息本金化条款</w:t>
      </w:r>
      <w:r>
        <w:t>&lt;/INPRTERM&gt;</w:t>
      </w:r>
    </w:p>
    <w:p w14:paraId="16A27A01" w14:textId="77777777" w:rsidR="00A052DC" w:rsidRDefault="009F0A60">
      <w:r>
        <w:t>&lt;SPAPFEBOINDEX&gt;</w:t>
      </w:r>
      <w:r>
        <w:rPr>
          <w:rFonts w:hint="eastAsia"/>
        </w:rPr>
        <w:t>是否不纳入跨境融资风险加权余额计算</w:t>
      </w:r>
      <w:r>
        <w:t>&lt;/SPAPFEBOINDEX&gt;</w:t>
      </w:r>
    </w:p>
    <w:p w14:paraId="722F29BD" w14:textId="77777777" w:rsidR="00A052DC" w:rsidRDefault="009F0A60">
      <w:r>
        <w:t>&lt;PROJECTS&gt;</w:t>
      </w:r>
    </w:p>
    <w:p w14:paraId="16612C67" w14:textId="77777777" w:rsidR="00A052DC" w:rsidRDefault="009F0A60">
      <w:r>
        <w:t>&lt;PROJECTNAME&gt;</w:t>
      </w:r>
      <w:r>
        <w:rPr>
          <w:rFonts w:hint="eastAsia"/>
        </w:rPr>
        <w:t>项目名称</w:t>
      </w:r>
      <w:r>
        <w:t>&lt;/PROJECTNAME&gt;</w:t>
      </w:r>
    </w:p>
    <w:p w14:paraId="28F11EE5" w14:textId="77777777" w:rsidR="00A052DC" w:rsidRDefault="009F0A60">
      <w:r>
        <w:t>……</w:t>
      </w:r>
    </w:p>
    <w:p w14:paraId="453B08DD" w14:textId="77777777" w:rsidR="00A052DC" w:rsidRDefault="009F0A60">
      <w:r>
        <w:t>&lt;/PROJECTS&gt;</w:t>
      </w:r>
    </w:p>
    <w:p w14:paraId="04CFDFAE" w14:textId="77777777" w:rsidR="00A052DC" w:rsidRDefault="009F0A60">
      <w:r>
        <w:t>&lt;RELATION&gt;</w:t>
      </w:r>
      <w:r>
        <w:rPr>
          <w:rFonts w:hint="eastAsia"/>
        </w:rPr>
        <w:t>对方与本机构的关系</w:t>
      </w:r>
      <w:r>
        <w:t>&lt;/RELATION&gt;</w:t>
      </w:r>
    </w:p>
    <w:p w14:paraId="35C4BE13" w14:textId="77777777" w:rsidR="00A052DC" w:rsidRDefault="009F0A60">
      <w:r>
        <w:t>&lt;REMARK&gt;</w:t>
      </w:r>
      <w:r>
        <w:rPr>
          <w:rFonts w:hint="eastAsia"/>
        </w:rPr>
        <w:t>备注</w:t>
      </w:r>
      <w:r>
        <w:t>&lt;/REMARK&gt;</w:t>
      </w:r>
    </w:p>
    <w:p w14:paraId="57BCAAA7" w14:textId="77777777" w:rsidR="00A052DC" w:rsidRDefault="009F0A60">
      <w:r>
        <w:t>&lt;/REC&gt;</w:t>
      </w:r>
    </w:p>
    <w:p w14:paraId="7BEBBB01" w14:textId="77777777" w:rsidR="00A052DC" w:rsidRDefault="009F0A60" w:rsidP="0020251D">
      <w:pPr>
        <w:pStyle w:val="5"/>
        <w:numPr>
          <w:ilvl w:val="4"/>
          <w:numId w:val="1"/>
        </w:numPr>
        <w:spacing w:before="120" w:after="120" w:line="360" w:lineRule="auto"/>
        <w:jc w:val="left"/>
      </w:pPr>
      <w:bookmarkStart w:id="1529" w:name="_Toc454386896"/>
      <w:r>
        <w:rPr>
          <w:rFonts w:hint="eastAsia"/>
        </w:rPr>
        <w:t>数据字典</w:t>
      </w:r>
      <w:bookmarkEnd w:id="1529"/>
    </w:p>
    <w:tbl>
      <w:tblPr>
        <w:tblW w:w="86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701"/>
        <w:gridCol w:w="1559"/>
        <w:gridCol w:w="3685"/>
      </w:tblGrid>
      <w:tr w:rsidR="00A052DC" w14:paraId="1620A5F8" w14:textId="77777777">
        <w:trPr>
          <w:tblHeader/>
        </w:trPr>
        <w:tc>
          <w:tcPr>
            <w:tcW w:w="1702" w:type="dxa"/>
            <w:shd w:val="clear" w:color="auto" w:fill="C0C0C0"/>
          </w:tcPr>
          <w:p w14:paraId="1D721C9C" w14:textId="77777777" w:rsidR="00A052DC" w:rsidRDefault="009F0A60">
            <w:pPr>
              <w:pStyle w:val="B1"/>
            </w:pPr>
            <w:r>
              <w:rPr>
                <w:rFonts w:hint="eastAsia"/>
              </w:rPr>
              <w:t>字段</w:t>
            </w:r>
          </w:p>
        </w:tc>
        <w:tc>
          <w:tcPr>
            <w:tcW w:w="1701" w:type="dxa"/>
            <w:shd w:val="clear" w:color="auto" w:fill="C0C0C0"/>
          </w:tcPr>
          <w:p w14:paraId="3DC06144" w14:textId="77777777" w:rsidR="00A052DC" w:rsidRDefault="009F0A60">
            <w:pPr>
              <w:pStyle w:val="B1"/>
            </w:pPr>
            <w:r>
              <w:rPr>
                <w:rFonts w:hint="eastAsia"/>
              </w:rPr>
              <w:t>内容</w:t>
            </w:r>
          </w:p>
        </w:tc>
        <w:tc>
          <w:tcPr>
            <w:tcW w:w="1559" w:type="dxa"/>
            <w:shd w:val="clear" w:color="auto" w:fill="C0C0C0"/>
          </w:tcPr>
          <w:p w14:paraId="18604A51" w14:textId="77777777" w:rsidR="00A052DC" w:rsidRDefault="009F0A60">
            <w:pPr>
              <w:pStyle w:val="B1"/>
            </w:pPr>
            <w:r>
              <w:rPr>
                <w:rFonts w:hint="eastAsia"/>
              </w:rPr>
              <w:t>类型（长度）</w:t>
            </w:r>
          </w:p>
        </w:tc>
        <w:tc>
          <w:tcPr>
            <w:tcW w:w="3685" w:type="dxa"/>
            <w:shd w:val="clear" w:color="auto" w:fill="C0C0C0"/>
          </w:tcPr>
          <w:p w14:paraId="410FCC62" w14:textId="77777777" w:rsidR="00A052DC" w:rsidRDefault="009F0A60">
            <w:pPr>
              <w:pStyle w:val="B1"/>
            </w:pPr>
            <w:r>
              <w:rPr>
                <w:rFonts w:hint="eastAsia"/>
              </w:rPr>
              <w:t>校验</w:t>
            </w:r>
          </w:p>
        </w:tc>
      </w:tr>
      <w:tr w:rsidR="00A052DC" w14:paraId="3FF02C24" w14:textId="77777777">
        <w:tc>
          <w:tcPr>
            <w:tcW w:w="1702" w:type="dxa"/>
          </w:tcPr>
          <w:p w14:paraId="7D8BD0D0" w14:textId="77777777" w:rsidR="00A052DC" w:rsidRDefault="009F0A60">
            <w:pPr>
              <w:pStyle w:val="B"/>
              <w:rPr>
                <w:szCs w:val="20"/>
              </w:rPr>
            </w:pPr>
            <w:r>
              <w:rPr>
                <w:szCs w:val="20"/>
              </w:rPr>
              <w:t>ACTIONTYPE</w:t>
            </w:r>
          </w:p>
        </w:tc>
        <w:tc>
          <w:tcPr>
            <w:tcW w:w="1701" w:type="dxa"/>
          </w:tcPr>
          <w:p w14:paraId="77D6C4D4" w14:textId="77777777" w:rsidR="00A052DC" w:rsidRDefault="009F0A60">
            <w:pPr>
              <w:pStyle w:val="B"/>
              <w:rPr>
                <w:szCs w:val="20"/>
              </w:rPr>
            </w:pPr>
            <w:r>
              <w:rPr>
                <w:rFonts w:hint="eastAsia"/>
                <w:szCs w:val="20"/>
              </w:rPr>
              <w:t>操作类型</w:t>
            </w:r>
          </w:p>
        </w:tc>
        <w:tc>
          <w:tcPr>
            <w:tcW w:w="1559" w:type="dxa"/>
          </w:tcPr>
          <w:p w14:paraId="0549F03B" w14:textId="77777777" w:rsidR="00A052DC" w:rsidRDefault="009F0A60">
            <w:pPr>
              <w:pStyle w:val="B"/>
              <w:rPr>
                <w:szCs w:val="20"/>
              </w:rPr>
            </w:pPr>
            <w:r>
              <w:rPr>
                <w:rFonts w:hint="eastAsia"/>
                <w:szCs w:val="20"/>
              </w:rPr>
              <w:t>字符型，</w:t>
            </w:r>
            <w:r>
              <w:rPr>
                <w:szCs w:val="20"/>
              </w:rPr>
              <w:t>1</w:t>
            </w:r>
          </w:p>
        </w:tc>
        <w:tc>
          <w:tcPr>
            <w:tcW w:w="3685" w:type="dxa"/>
          </w:tcPr>
          <w:p w14:paraId="0091BA9D" w14:textId="77777777" w:rsidR="00A052DC" w:rsidRDefault="009F0A60">
            <w:pPr>
              <w:pStyle w:val="B"/>
              <w:rPr>
                <w:szCs w:val="20"/>
              </w:rPr>
            </w:pPr>
            <w:r>
              <w:rPr>
                <w:rFonts w:hint="eastAsia"/>
                <w:szCs w:val="20"/>
              </w:rPr>
              <w:t>必填项</w:t>
            </w:r>
            <w:r w:rsidR="000E18F5">
              <w:rPr>
                <w:rFonts w:hint="eastAsia"/>
                <w:szCs w:val="20"/>
              </w:rPr>
              <w:t>。</w:t>
            </w:r>
          </w:p>
          <w:p w14:paraId="71B0CED5" w14:textId="77777777" w:rsidR="00A052DC" w:rsidRDefault="009F0A60">
            <w:pPr>
              <w:pStyle w:val="B"/>
              <w:rPr>
                <w:szCs w:val="20"/>
              </w:rPr>
            </w:pPr>
            <w:r>
              <w:rPr>
                <w:szCs w:val="20"/>
              </w:rPr>
              <w:t>A</w:t>
            </w:r>
            <w:r w:rsidR="00AE4602">
              <w:rPr>
                <w:rFonts w:hint="eastAsia"/>
                <w:szCs w:val="20"/>
              </w:rPr>
              <w:t>-</w:t>
            </w:r>
            <w:r>
              <w:rPr>
                <w:rFonts w:hint="eastAsia"/>
                <w:szCs w:val="20"/>
              </w:rPr>
              <w:t>新建</w:t>
            </w:r>
          </w:p>
          <w:p w14:paraId="26FBAB41" w14:textId="77777777" w:rsidR="00A052DC" w:rsidRDefault="009F0A60">
            <w:pPr>
              <w:pStyle w:val="B"/>
              <w:rPr>
                <w:szCs w:val="20"/>
              </w:rPr>
            </w:pPr>
            <w:r>
              <w:rPr>
                <w:szCs w:val="20"/>
              </w:rPr>
              <w:t>C</w:t>
            </w:r>
            <w:r w:rsidR="00AE4602">
              <w:rPr>
                <w:rFonts w:hint="eastAsia"/>
                <w:szCs w:val="20"/>
              </w:rPr>
              <w:t>-</w:t>
            </w:r>
            <w:r>
              <w:rPr>
                <w:rFonts w:hint="eastAsia"/>
                <w:szCs w:val="20"/>
              </w:rPr>
              <w:t>修改</w:t>
            </w:r>
          </w:p>
          <w:p w14:paraId="1FE5B4F5" w14:textId="77777777" w:rsidR="000E18F5" w:rsidRDefault="009F0A60" w:rsidP="000E18F5">
            <w:pPr>
              <w:pStyle w:val="B"/>
              <w:rPr>
                <w:szCs w:val="20"/>
              </w:rPr>
            </w:pPr>
            <w:r>
              <w:rPr>
                <w:szCs w:val="20"/>
              </w:rPr>
              <w:t>D</w:t>
            </w:r>
            <w:r w:rsidR="00AE4602">
              <w:rPr>
                <w:rFonts w:hint="eastAsia"/>
                <w:szCs w:val="20"/>
              </w:rPr>
              <w:t>-</w:t>
            </w:r>
            <w:r>
              <w:rPr>
                <w:rFonts w:hint="eastAsia"/>
                <w:szCs w:val="20"/>
              </w:rPr>
              <w:t>删除</w:t>
            </w:r>
          </w:p>
          <w:p w14:paraId="4A5BD466" w14:textId="77777777" w:rsidR="00A052DC" w:rsidRDefault="009F0A60" w:rsidP="000E18F5">
            <w:pPr>
              <w:pStyle w:val="B"/>
              <w:rPr>
                <w:szCs w:val="20"/>
              </w:rPr>
            </w:pPr>
            <w:r>
              <w:rPr>
                <w:rFonts w:hint="eastAsia"/>
                <w:szCs w:val="20"/>
              </w:rPr>
              <w:t>一旦银行报送了该外债编号下的变动信息或月末存量信息，就不可以删除了。</w:t>
            </w:r>
          </w:p>
        </w:tc>
      </w:tr>
      <w:tr w:rsidR="00A052DC" w14:paraId="3A25B839" w14:textId="77777777">
        <w:tc>
          <w:tcPr>
            <w:tcW w:w="1702" w:type="dxa"/>
          </w:tcPr>
          <w:p w14:paraId="7BDA27CF" w14:textId="77777777" w:rsidR="00A052DC" w:rsidRDefault="009F0A60">
            <w:pPr>
              <w:pStyle w:val="B"/>
              <w:rPr>
                <w:szCs w:val="20"/>
              </w:rPr>
            </w:pPr>
            <w:r>
              <w:rPr>
                <w:szCs w:val="20"/>
              </w:rPr>
              <w:t>ACTIONDESC</w:t>
            </w:r>
          </w:p>
        </w:tc>
        <w:tc>
          <w:tcPr>
            <w:tcW w:w="1701" w:type="dxa"/>
          </w:tcPr>
          <w:p w14:paraId="7B361C05" w14:textId="77777777" w:rsidR="00A052DC" w:rsidRDefault="009F0A60">
            <w:pPr>
              <w:pStyle w:val="B"/>
              <w:rPr>
                <w:szCs w:val="20"/>
              </w:rPr>
            </w:pPr>
            <w:r>
              <w:rPr>
                <w:rFonts w:hint="eastAsia"/>
                <w:szCs w:val="20"/>
              </w:rPr>
              <w:t>删除原因</w:t>
            </w:r>
          </w:p>
        </w:tc>
        <w:tc>
          <w:tcPr>
            <w:tcW w:w="1559" w:type="dxa"/>
          </w:tcPr>
          <w:p w14:paraId="65DDD457" w14:textId="77777777" w:rsidR="00A052DC" w:rsidRDefault="009F0A60">
            <w:pPr>
              <w:pStyle w:val="B1"/>
              <w:jc w:val="both"/>
              <w:rPr>
                <w:b w:val="0"/>
              </w:rPr>
            </w:pPr>
            <w:r>
              <w:rPr>
                <w:rFonts w:hint="eastAsia"/>
                <w:b w:val="0"/>
              </w:rPr>
              <w:t>字符型，</w:t>
            </w:r>
            <w:r>
              <w:rPr>
                <w:b w:val="0"/>
              </w:rPr>
              <w:t>128</w:t>
            </w:r>
          </w:p>
        </w:tc>
        <w:tc>
          <w:tcPr>
            <w:tcW w:w="3685" w:type="dxa"/>
          </w:tcPr>
          <w:p w14:paraId="0A27F66F" w14:textId="77777777" w:rsidR="00A052DC" w:rsidRDefault="00DD6AA3">
            <w:pPr>
              <w:pStyle w:val="B"/>
              <w:rPr>
                <w:szCs w:val="20"/>
              </w:rPr>
            </w:pPr>
            <w:r>
              <w:rPr>
                <w:rFonts w:hint="eastAsia"/>
                <w:szCs w:val="20"/>
              </w:rPr>
              <w:t>非必填项，当操作类型（ACTIONTYPE）为删除时必填。</w:t>
            </w:r>
          </w:p>
        </w:tc>
      </w:tr>
      <w:tr w:rsidR="00A052DC" w14:paraId="5435616B" w14:textId="77777777">
        <w:tc>
          <w:tcPr>
            <w:tcW w:w="1702" w:type="dxa"/>
          </w:tcPr>
          <w:p w14:paraId="54192983" w14:textId="77777777" w:rsidR="00A052DC" w:rsidRDefault="009F0A60">
            <w:pPr>
              <w:pStyle w:val="B"/>
              <w:rPr>
                <w:szCs w:val="20"/>
              </w:rPr>
            </w:pPr>
            <w:r>
              <w:rPr>
                <w:szCs w:val="20"/>
              </w:rPr>
              <w:t>EXDEBTCODE</w:t>
            </w:r>
          </w:p>
        </w:tc>
        <w:tc>
          <w:tcPr>
            <w:tcW w:w="1701" w:type="dxa"/>
          </w:tcPr>
          <w:p w14:paraId="645A7961" w14:textId="77777777" w:rsidR="00A052DC" w:rsidRDefault="009F0A60">
            <w:pPr>
              <w:pStyle w:val="B"/>
              <w:rPr>
                <w:szCs w:val="20"/>
              </w:rPr>
            </w:pPr>
            <w:r>
              <w:rPr>
                <w:rFonts w:hint="eastAsia"/>
                <w:szCs w:val="20"/>
              </w:rPr>
              <w:t>外债编号</w:t>
            </w:r>
          </w:p>
        </w:tc>
        <w:tc>
          <w:tcPr>
            <w:tcW w:w="1559" w:type="dxa"/>
          </w:tcPr>
          <w:p w14:paraId="7DEF6290" w14:textId="77777777" w:rsidR="00A052DC" w:rsidRDefault="009F0A60">
            <w:pPr>
              <w:pStyle w:val="B"/>
              <w:rPr>
                <w:szCs w:val="20"/>
              </w:rPr>
            </w:pPr>
            <w:r>
              <w:rPr>
                <w:rFonts w:hint="eastAsia"/>
                <w:szCs w:val="20"/>
              </w:rPr>
              <w:t>字符型，</w:t>
            </w:r>
            <w:r>
              <w:rPr>
                <w:szCs w:val="20"/>
              </w:rPr>
              <w:t>28</w:t>
            </w:r>
          </w:p>
        </w:tc>
        <w:tc>
          <w:tcPr>
            <w:tcW w:w="3685" w:type="dxa"/>
          </w:tcPr>
          <w:p w14:paraId="63A536D4" w14:textId="77777777" w:rsidR="00A052DC" w:rsidRDefault="009F0A60" w:rsidP="000E18F5">
            <w:pPr>
              <w:pStyle w:val="B"/>
              <w:rPr>
                <w:szCs w:val="20"/>
              </w:rPr>
            </w:pPr>
            <w:r>
              <w:rPr>
                <w:rFonts w:hint="eastAsia"/>
                <w:szCs w:val="20"/>
              </w:rPr>
              <w:t>必填项，外债唯一性编码。</w:t>
            </w:r>
          </w:p>
        </w:tc>
      </w:tr>
      <w:tr w:rsidR="00A052DC" w14:paraId="661FAA18" w14:textId="77777777">
        <w:tc>
          <w:tcPr>
            <w:tcW w:w="1702" w:type="dxa"/>
          </w:tcPr>
          <w:p w14:paraId="1EE7301F" w14:textId="77777777" w:rsidR="00A052DC" w:rsidRDefault="009F0A60">
            <w:pPr>
              <w:pStyle w:val="B"/>
              <w:rPr>
                <w:szCs w:val="20"/>
              </w:rPr>
            </w:pPr>
            <w:r>
              <w:rPr>
                <w:szCs w:val="20"/>
              </w:rPr>
              <w:t>DEBTORCODE</w:t>
            </w:r>
          </w:p>
        </w:tc>
        <w:tc>
          <w:tcPr>
            <w:tcW w:w="1701" w:type="dxa"/>
          </w:tcPr>
          <w:p w14:paraId="262DDE78" w14:textId="77777777" w:rsidR="00A052DC" w:rsidRDefault="009F0A60">
            <w:pPr>
              <w:pStyle w:val="B"/>
              <w:rPr>
                <w:szCs w:val="20"/>
              </w:rPr>
            </w:pPr>
            <w:r>
              <w:rPr>
                <w:rFonts w:hint="eastAsia"/>
                <w:szCs w:val="20"/>
              </w:rPr>
              <w:t>债务人代码</w:t>
            </w:r>
          </w:p>
        </w:tc>
        <w:tc>
          <w:tcPr>
            <w:tcW w:w="1559" w:type="dxa"/>
          </w:tcPr>
          <w:p w14:paraId="48BC66D4" w14:textId="77777777" w:rsidR="00A052DC" w:rsidRDefault="009F0A60">
            <w:pPr>
              <w:pStyle w:val="B"/>
              <w:rPr>
                <w:szCs w:val="20"/>
              </w:rPr>
            </w:pPr>
            <w:r>
              <w:rPr>
                <w:rFonts w:hint="eastAsia"/>
                <w:szCs w:val="20"/>
              </w:rPr>
              <w:t>字符型，</w:t>
            </w:r>
            <w:r>
              <w:rPr>
                <w:szCs w:val="20"/>
              </w:rPr>
              <w:t>12</w:t>
            </w:r>
          </w:p>
        </w:tc>
        <w:tc>
          <w:tcPr>
            <w:tcW w:w="3685" w:type="dxa"/>
          </w:tcPr>
          <w:p w14:paraId="7EC1A68F" w14:textId="77777777" w:rsidR="00A052DC" w:rsidRDefault="009F0A60" w:rsidP="000E18F5">
            <w:pPr>
              <w:pStyle w:val="B"/>
              <w:rPr>
                <w:szCs w:val="20"/>
              </w:rPr>
            </w:pPr>
            <w:r>
              <w:rPr>
                <w:rFonts w:hint="eastAsia"/>
                <w:szCs w:val="20"/>
              </w:rPr>
              <w:t>必填项，金融机构标识码。</w:t>
            </w:r>
          </w:p>
        </w:tc>
      </w:tr>
      <w:tr w:rsidR="00A052DC" w14:paraId="65687B65" w14:textId="77777777">
        <w:tc>
          <w:tcPr>
            <w:tcW w:w="1702" w:type="dxa"/>
          </w:tcPr>
          <w:p w14:paraId="67CD3528" w14:textId="77777777" w:rsidR="00A052DC" w:rsidRDefault="009F0A60">
            <w:pPr>
              <w:pStyle w:val="B"/>
              <w:rPr>
                <w:szCs w:val="20"/>
              </w:rPr>
            </w:pPr>
            <w:r>
              <w:rPr>
                <w:szCs w:val="20"/>
              </w:rPr>
              <w:t>DEBTYPE</w:t>
            </w:r>
          </w:p>
        </w:tc>
        <w:tc>
          <w:tcPr>
            <w:tcW w:w="1701" w:type="dxa"/>
          </w:tcPr>
          <w:p w14:paraId="467D2296" w14:textId="77777777" w:rsidR="00A052DC" w:rsidRDefault="009F0A60">
            <w:pPr>
              <w:pStyle w:val="B"/>
              <w:rPr>
                <w:szCs w:val="20"/>
              </w:rPr>
            </w:pPr>
            <w:r>
              <w:rPr>
                <w:rFonts w:hint="eastAsia"/>
                <w:szCs w:val="20"/>
              </w:rPr>
              <w:t>债务类型</w:t>
            </w:r>
          </w:p>
        </w:tc>
        <w:tc>
          <w:tcPr>
            <w:tcW w:w="1559" w:type="dxa"/>
          </w:tcPr>
          <w:p w14:paraId="49A4B347" w14:textId="77777777" w:rsidR="00A052DC" w:rsidRDefault="009F0A60">
            <w:pPr>
              <w:pStyle w:val="B"/>
              <w:rPr>
                <w:szCs w:val="20"/>
              </w:rPr>
            </w:pPr>
            <w:r>
              <w:rPr>
                <w:rFonts w:hint="eastAsia"/>
                <w:szCs w:val="20"/>
              </w:rPr>
              <w:t>字符型，</w:t>
            </w:r>
            <w:r>
              <w:rPr>
                <w:szCs w:val="20"/>
              </w:rPr>
              <w:t>4</w:t>
            </w:r>
          </w:p>
        </w:tc>
        <w:tc>
          <w:tcPr>
            <w:tcW w:w="3685" w:type="dxa"/>
          </w:tcPr>
          <w:p w14:paraId="4E7E7C04" w14:textId="77777777" w:rsidR="00A052DC" w:rsidRDefault="009F0A60">
            <w:pPr>
              <w:pStyle w:val="B"/>
              <w:rPr>
                <w:szCs w:val="20"/>
              </w:rPr>
            </w:pPr>
            <w:r>
              <w:rPr>
                <w:rFonts w:cs="宋体" w:hint="eastAsia"/>
                <w:szCs w:val="20"/>
              </w:rPr>
              <w:t>必填项，</w:t>
            </w:r>
            <w:r>
              <w:rPr>
                <w:rFonts w:hint="eastAsia"/>
                <w:szCs w:val="20"/>
              </w:rPr>
              <w:t>见债务类型代码表。</w:t>
            </w:r>
          </w:p>
        </w:tc>
      </w:tr>
      <w:tr w:rsidR="00A052DC" w14:paraId="460FB432" w14:textId="77777777">
        <w:trPr>
          <w:cantSplit/>
          <w:trHeight w:val="64"/>
        </w:trPr>
        <w:tc>
          <w:tcPr>
            <w:tcW w:w="1702" w:type="dxa"/>
          </w:tcPr>
          <w:p w14:paraId="7452B8A4" w14:textId="77777777" w:rsidR="00A052DC" w:rsidRDefault="009F0A60">
            <w:pPr>
              <w:pStyle w:val="B"/>
              <w:rPr>
                <w:szCs w:val="20"/>
              </w:rPr>
            </w:pPr>
            <w:r>
              <w:rPr>
                <w:szCs w:val="20"/>
              </w:rPr>
              <w:t>VALUEDATE</w:t>
            </w:r>
          </w:p>
        </w:tc>
        <w:tc>
          <w:tcPr>
            <w:tcW w:w="1701" w:type="dxa"/>
          </w:tcPr>
          <w:p w14:paraId="24825B73" w14:textId="77777777" w:rsidR="00A052DC" w:rsidRDefault="009F0A60">
            <w:pPr>
              <w:pStyle w:val="B"/>
              <w:rPr>
                <w:szCs w:val="20"/>
              </w:rPr>
            </w:pPr>
            <w:r>
              <w:rPr>
                <w:rFonts w:hint="eastAsia"/>
                <w:szCs w:val="20"/>
              </w:rPr>
              <w:t>起息日</w:t>
            </w:r>
          </w:p>
        </w:tc>
        <w:tc>
          <w:tcPr>
            <w:tcW w:w="1559" w:type="dxa"/>
          </w:tcPr>
          <w:p w14:paraId="37FB0599" w14:textId="77777777" w:rsidR="00A052DC" w:rsidRDefault="009F0A60">
            <w:pPr>
              <w:pStyle w:val="B"/>
              <w:rPr>
                <w:szCs w:val="20"/>
              </w:rPr>
            </w:pPr>
            <w:r>
              <w:rPr>
                <w:rFonts w:hint="eastAsia"/>
                <w:szCs w:val="20"/>
              </w:rPr>
              <w:t>日期型，</w:t>
            </w:r>
            <w:r>
              <w:rPr>
                <w:szCs w:val="20"/>
              </w:rPr>
              <w:t>8</w:t>
            </w:r>
          </w:p>
        </w:tc>
        <w:tc>
          <w:tcPr>
            <w:tcW w:w="3685" w:type="dxa"/>
          </w:tcPr>
          <w:p w14:paraId="3412889D" w14:textId="77777777" w:rsidR="00A052DC" w:rsidRDefault="009F0A60" w:rsidP="000E18F5">
            <w:pPr>
              <w:pStyle w:val="B"/>
              <w:rPr>
                <w:szCs w:val="20"/>
              </w:rPr>
            </w:pPr>
            <w:r>
              <w:rPr>
                <w:rFonts w:hint="eastAsia"/>
                <w:szCs w:val="20"/>
              </w:rPr>
              <w:t>必填项，格式</w:t>
            </w:r>
            <w:r>
              <w:rPr>
                <w:szCs w:val="20"/>
              </w:rPr>
              <w:t>YYYYMMDD</w:t>
            </w:r>
            <w:r>
              <w:rPr>
                <w:rFonts w:hint="eastAsia"/>
                <w:szCs w:val="20"/>
              </w:rPr>
              <w:t>。</w:t>
            </w:r>
          </w:p>
        </w:tc>
      </w:tr>
      <w:tr w:rsidR="00A052DC" w14:paraId="2B7D4A34" w14:textId="77777777">
        <w:trPr>
          <w:cantSplit/>
          <w:trHeight w:val="64"/>
        </w:trPr>
        <w:tc>
          <w:tcPr>
            <w:tcW w:w="1702" w:type="dxa"/>
          </w:tcPr>
          <w:p w14:paraId="6380AEBD" w14:textId="77777777" w:rsidR="00A052DC" w:rsidRDefault="009F0A60">
            <w:pPr>
              <w:pStyle w:val="B"/>
              <w:rPr>
                <w:szCs w:val="20"/>
              </w:rPr>
            </w:pPr>
            <w:r>
              <w:rPr>
                <w:szCs w:val="20"/>
              </w:rPr>
              <w:t>CONTRACTCURR</w:t>
            </w:r>
          </w:p>
        </w:tc>
        <w:tc>
          <w:tcPr>
            <w:tcW w:w="1701" w:type="dxa"/>
          </w:tcPr>
          <w:p w14:paraId="5ABC7AED" w14:textId="77777777" w:rsidR="00A052DC" w:rsidRDefault="009F0A60">
            <w:pPr>
              <w:pStyle w:val="B"/>
              <w:rPr>
                <w:szCs w:val="20"/>
              </w:rPr>
            </w:pPr>
            <w:r>
              <w:rPr>
                <w:rFonts w:hint="eastAsia"/>
                <w:szCs w:val="20"/>
              </w:rPr>
              <w:t>签约币种</w:t>
            </w:r>
          </w:p>
        </w:tc>
        <w:tc>
          <w:tcPr>
            <w:tcW w:w="1559" w:type="dxa"/>
          </w:tcPr>
          <w:p w14:paraId="0BC4B004" w14:textId="77777777" w:rsidR="00A052DC" w:rsidRDefault="009F0A60">
            <w:pPr>
              <w:pStyle w:val="B"/>
              <w:rPr>
                <w:szCs w:val="20"/>
              </w:rPr>
            </w:pPr>
            <w:r>
              <w:rPr>
                <w:rFonts w:hint="eastAsia"/>
                <w:szCs w:val="20"/>
              </w:rPr>
              <w:t>字符型，</w:t>
            </w:r>
            <w:r>
              <w:rPr>
                <w:szCs w:val="20"/>
              </w:rPr>
              <w:t>3</w:t>
            </w:r>
          </w:p>
        </w:tc>
        <w:tc>
          <w:tcPr>
            <w:tcW w:w="3685" w:type="dxa"/>
          </w:tcPr>
          <w:p w14:paraId="13A13BBC" w14:textId="77777777" w:rsidR="00A052DC" w:rsidRDefault="009F0A60" w:rsidP="000E18F5">
            <w:pPr>
              <w:pStyle w:val="B"/>
              <w:rPr>
                <w:szCs w:val="20"/>
              </w:rPr>
            </w:pPr>
            <w:r>
              <w:rPr>
                <w:rFonts w:hint="eastAsia"/>
                <w:szCs w:val="20"/>
              </w:rPr>
              <w:t>必填项，见币种代码表。</w:t>
            </w:r>
          </w:p>
        </w:tc>
      </w:tr>
      <w:tr w:rsidR="00A052DC" w14:paraId="3825253B" w14:textId="77777777">
        <w:tc>
          <w:tcPr>
            <w:tcW w:w="1702" w:type="dxa"/>
          </w:tcPr>
          <w:p w14:paraId="00947B7F" w14:textId="77777777" w:rsidR="00A052DC" w:rsidRDefault="009F0A60">
            <w:pPr>
              <w:pStyle w:val="B"/>
              <w:rPr>
                <w:szCs w:val="20"/>
              </w:rPr>
            </w:pPr>
            <w:r>
              <w:rPr>
                <w:szCs w:val="20"/>
              </w:rPr>
              <w:t>CONTRACTAMOUNT</w:t>
            </w:r>
          </w:p>
        </w:tc>
        <w:tc>
          <w:tcPr>
            <w:tcW w:w="1701" w:type="dxa"/>
          </w:tcPr>
          <w:p w14:paraId="5B525901" w14:textId="77777777" w:rsidR="00A052DC" w:rsidRDefault="009F0A60">
            <w:pPr>
              <w:pStyle w:val="B"/>
              <w:rPr>
                <w:szCs w:val="20"/>
              </w:rPr>
            </w:pPr>
            <w:r>
              <w:rPr>
                <w:rFonts w:hint="eastAsia"/>
                <w:szCs w:val="20"/>
              </w:rPr>
              <w:t>签约金额</w:t>
            </w:r>
          </w:p>
        </w:tc>
        <w:tc>
          <w:tcPr>
            <w:tcW w:w="1559" w:type="dxa"/>
          </w:tcPr>
          <w:p w14:paraId="012D591B" w14:textId="77777777" w:rsidR="00A052DC" w:rsidRDefault="009F0A60">
            <w:pPr>
              <w:pStyle w:val="B"/>
              <w:rPr>
                <w:szCs w:val="20"/>
              </w:rPr>
            </w:pPr>
            <w:r>
              <w:rPr>
                <w:rFonts w:hint="eastAsia"/>
                <w:szCs w:val="20"/>
              </w:rPr>
              <w:t>数值型，</w:t>
            </w:r>
            <w:r>
              <w:rPr>
                <w:szCs w:val="20"/>
              </w:rPr>
              <w:t>22.2</w:t>
            </w:r>
          </w:p>
        </w:tc>
        <w:tc>
          <w:tcPr>
            <w:tcW w:w="3685" w:type="dxa"/>
          </w:tcPr>
          <w:p w14:paraId="43C0024D" w14:textId="77777777" w:rsidR="00A052DC" w:rsidRDefault="009F0A60">
            <w:pPr>
              <w:pStyle w:val="B"/>
              <w:rPr>
                <w:szCs w:val="20"/>
              </w:rPr>
            </w:pPr>
            <w:r>
              <w:rPr>
                <w:rFonts w:hint="eastAsia"/>
                <w:szCs w:val="20"/>
              </w:rPr>
              <w:t>必填项，大于等于</w:t>
            </w:r>
            <w:r>
              <w:rPr>
                <w:szCs w:val="20"/>
              </w:rPr>
              <w:t>0</w:t>
            </w:r>
            <w:r>
              <w:rPr>
                <w:rFonts w:hint="eastAsia"/>
                <w:szCs w:val="20"/>
              </w:rPr>
              <w:t>。</w:t>
            </w:r>
          </w:p>
        </w:tc>
      </w:tr>
      <w:tr w:rsidR="00A052DC" w14:paraId="6AE31D67" w14:textId="77777777">
        <w:tc>
          <w:tcPr>
            <w:tcW w:w="1702" w:type="dxa"/>
          </w:tcPr>
          <w:p w14:paraId="041224E6" w14:textId="77777777" w:rsidR="00A052DC" w:rsidRDefault="009F0A60">
            <w:pPr>
              <w:pStyle w:val="B"/>
              <w:rPr>
                <w:szCs w:val="20"/>
              </w:rPr>
            </w:pPr>
            <w:r>
              <w:rPr>
                <w:szCs w:val="20"/>
              </w:rPr>
              <w:t>Maturity</w:t>
            </w:r>
          </w:p>
        </w:tc>
        <w:tc>
          <w:tcPr>
            <w:tcW w:w="1701" w:type="dxa"/>
          </w:tcPr>
          <w:p w14:paraId="471E4493" w14:textId="77777777" w:rsidR="00A052DC" w:rsidRDefault="009F0A60">
            <w:pPr>
              <w:pStyle w:val="B"/>
              <w:rPr>
                <w:szCs w:val="20"/>
              </w:rPr>
            </w:pPr>
            <w:r>
              <w:rPr>
                <w:rFonts w:hint="eastAsia"/>
                <w:szCs w:val="20"/>
              </w:rPr>
              <w:t>到期日</w:t>
            </w:r>
          </w:p>
        </w:tc>
        <w:tc>
          <w:tcPr>
            <w:tcW w:w="1559" w:type="dxa"/>
          </w:tcPr>
          <w:p w14:paraId="6F399E01" w14:textId="77777777" w:rsidR="00A052DC" w:rsidRDefault="009F0A60">
            <w:pPr>
              <w:pStyle w:val="B"/>
              <w:rPr>
                <w:szCs w:val="20"/>
              </w:rPr>
            </w:pPr>
            <w:r>
              <w:rPr>
                <w:rFonts w:hint="eastAsia"/>
                <w:szCs w:val="20"/>
              </w:rPr>
              <w:t>日期型，</w:t>
            </w:r>
            <w:r>
              <w:rPr>
                <w:szCs w:val="20"/>
              </w:rPr>
              <w:t>8</w:t>
            </w:r>
          </w:p>
        </w:tc>
        <w:tc>
          <w:tcPr>
            <w:tcW w:w="3685" w:type="dxa"/>
          </w:tcPr>
          <w:p w14:paraId="106F8E11" w14:textId="77777777" w:rsidR="00A052DC" w:rsidRDefault="009F0A60">
            <w:pPr>
              <w:pStyle w:val="B"/>
              <w:rPr>
                <w:szCs w:val="20"/>
              </w:rPr>
            </w:pPr>
            <w:r>
              <w:rPr>
                <w:rFonts w:hint="eastAsia"/>
                <w:szCs w:val="20"/>
              </w:rPr>
              <w:t>必填项，</w:t>
            </w:r>
          </w:p>
          <w:p w14:paraId="22A9E5D7" w14:textId="77777777" w:rsidR="00A052DC" w:rsidRDefault="009F0A60">
            <w:pPr>
              <w:pStyle w:val="B"/>
              <w:rPr>
                <w:szCs w:val="20"/>
              </w:rPr>
            </w:pPr>
            <w:r>
              <w:rPr>
                <w:rFonts w:hint="eastAsia"/>
                <w:szCs w:val="20"/>
              </w:rPr>
              <w:t>格式</w:t>
            </w:r>
            <w:r>
              <w:rPr>
                <w:szCs w:val="20"/>
              </w:rPr>
              <w:t>YYYYMMDD</w:t>
            </w:r>
            <w:r>
              <w:rPr>
                <w:rFonts w:hint="eastAsia"/>
                <w:szCs w:val="20"/>
              </w:rPr>
              <w:t>，大于等于起息日。</w:t>
            </w:r>
          </w:p>
        </w:tc>
      </w:tr>
      <w:tr w:rsidR="00A052DC" w14:paraId="7C92071E" w14:textId="77777777">
        <w:tc>
          <w:tcPr>
            <w:tcW w:w="1702" w:type="dxa"/>
          </w:tcPr>
          <w:p w14:paraId="25EBF061" w14:textId="77777777" w:rsidR="00A052DC" w:rsidRDefault="009F0A60">
            <w:pPr>
              <w:pStyle w:val="B"/>
              <w:rPr>
                <w:szCs w:val="20"/>
              </w:rPr>
            </w:pPr>
            <w:r>
              <w:rPr>
                <w:szCs w:val="20"/>
              </w:rPr>
              <w:t>FLOATRATE</w:t>
            </w:r>
          </w:p>
        </w:tc>
        <w:tc>
          <w:tcPr>
            <w:tcW w:w="1701" w:type="dxa"/>
          </w:tcPr>
          <w:p w14:paraId="67718BBB" w14:textId="77777777" w:rsidR="00A052DC" w:rsidRDefault="009F0A60">
            <w:pPr>
              <w:pStyle w:val="B"/>
              <w:rPr>
                <w:szCs w:val="20"/>
              </w:rPr>
            </w:pPr>
            <w:r>
              <w:rPr>
                <w:rFonts w:hint="eastAsia"/>
                <w:szCs w:val="20"/>
              </w:rPr>
              <w:t>是否浮动利率</w:t>
            </w:r>
          </w:p>
        </w:tc>
        <w:tc>
          <w:tcPr>
            <w:tcW w:w="1559" w:type="dxa"/>
          </w:tcPr>
          <w:p w14:paraId="0A0A849D" w14:textId="77777777" w:rsidR="00A052DC" w:rsidRDefault="009F0A60">
            <w:pPr>
              <w:pStyle w:val="B"/>
              <w:rPr>
                <w:szCs w:val="20"/>
              </w:rPr>
            </w:pPr>
            <w:r>
              <w:rPr>
                <w:rFonts w:hint="eastAsia"/>
                <w:szCs w:val="20"/>
              </w:rPr>
              <w:t>字符型，</w:t>
            </w:r>
            <w:r>
              <w:rPr>
                <w:szCs w:val="20"/>
              </w:rPr>
              <w:t>1</w:t>
            </w:r>
          </w:p>
        </w:tc>
        <w:tc>
          <w:tcPr>
            <w:tcW w:w="3685" w:type="dxa"/>
          </w:tcPr>
          <w:p w14:paraId="508E424B" w14:textId="77777777" w:rsidR="00A052DC" w:rsidRDefault="009F0A60">
            <w:pPr>
              <w:pStyle w:val="B"/>
              <w:rPr>
                <w:szCs w:val="20"/>
              </w:rPr>
            </w:pPr>
            <w:r>
              <w:rPr>
                <w:rFonts w:hint="eastAsia"/>
                <w:szCs w:val="20"/>
              </w:rPr>
              <w:t>必填项，是</w:t>
            </w:r>
            <w:r>
              <w:rPr>
                <w:szCs w:val="20"/>
              </w:rPr>
              <w:t>-Y</w:t>
            </w:r>
            <w:r>
              <w:rPr>
                <w:rFonts w:hint="eastAsia"/>
                <w:szCs w:val="20"/>
              </w:rPr>
              <w:t>，否</w:t>
            </w:r>
            <w:r>
              <w:rPr>
                <w:szCs w:val="20"/>
              </w:rPr>
              <w:t>-N</w:t>
            </w:r>
            <w:r>
              <w:rPr>
                <w:rFonts w:hint="eastAsia"/>
                <w:szCs w:val="20"/>
              </w:rPr>
              <w:t>，默认为否，填写</w:t>
            </w:r>
            <w:r>
              <w:rPr>
                <w:szCs w:val="20"/>
              </w:rPr>
              <w:t>N</w:t>
            </w:r>
            <w:r>
              <w:rPr>
                <w:rFonts w:hint="eastAsia"/>
                <w:szCs w:val="20"/>
              </w:rPr>
              <w:t>。</w:t>
            </w:r>
          </w:p>
        </w:tc>
      </w:tr>
      <w:tr w:rsidR="00A052DC" w14:paraId="0E417C05" w14:textId="77777777">
        <w:tc>
          <w:tcPr>
            <w:tcW w:w="1702" w:type="dxa"/>
          </w:tcPr>
          <w:p w14:paraId="0927FBDE" w14:textId="77777777" w:rsidR="00A052DC" w:rsidRDefault="009F0A60">
            <w:pPr>
              <w:pStyle w:val="B"/>
              <w:rPr>
                <w:szCs w:val="20"/>
              </w:rPr>
            </w:pPr>
            <w:r>
              <w:rPr>
                <w:szCs w:val="20"/>
              </w:rPr>
              <w:t>ANNINRATE</w:t>
            </w:r>
          </w:p>
        </w:tc>
        <w:tc>
          <w:tcPr>
            <w:tcW w:w="1701" w:type="dxa"/>
          </w:tcPr>
          <w:p w14:paraId="5DF631C3" w14:textId="77777777" w:rsidR="00A052DC" w:rsidRDefault="009F0A60">
            <w:pPr>
              <w:pStyle w:val="B"/>
              <w:rPr>
                <w:szCs w:val="20"/>
              </w:rPr>
            </w:pPr>
            <w:r>
              <w:rPr>
                <w:rFonts w:hint="eastAsia"/>
                <w:szCs w:val="20"/>
              </w:rPr>
              <w:t>年化利率值</w:t>
            </w:r>
          </w:p>
        </w:tc>
        <w:tc>
          <w:tcPr>
            <w:tcW w:w="1559" w:type="dxa"/>
          </w:tcPr>
          <w:p w14:paraId="48DFF5EF" w14:textId="77777777" w:rsidR="00A052DC" w:rsidRDefault="009F0A60">
            <w:pPr>
              <w:pStyle w:val="B"/>
              <w:rPr>
                <w:szCs w:val="20"/>
              </w:rPr>
            </w:pPr>
            <w:r>
              <w:rPr>
                <w:rFonts w:hint="eastAsia"/>
                <w:szCs w:val="20"/>
              </w:rPr>
              <w:t>数值型，</w:t>
            </w:r>
            <w:r>
              <w:rPr>
                <w:szCs w:val="20"/>
              </w:rPr>
              <w:t>13.8</w:t>
            </w:r>
          </w:p>
        </w:tc>
        <w:tc>
          <w:tcPr>
            <w:tcW w:w="3685" w:type="dxa"/>
          </w:tcPr>
          <w:p w14:paraId="52EAA179" w14:textId="77777777" w:rsidR="00A052DC" w:rsidRDefault="009F0A60" w:rsidP="000E18F5">
            <w:pPr>
              <w:pStyle w:val="B"/>
              <w:rPr>
                <w:szCs w:val="20"/>
              </w:rPr>
            </w:pPr>
            <w:r>
              <w:rPr>
                <w:rFonts w:hint="eastAsia"/>
                <w:szCs w:val="20"/>
              </w:rPr>
              <w:t>必填项，大于等于</w:t>
            </w:r>
            <w:r>
              <w:rPr>
                <w:szCs w:val="20"/>
              </w:rPr>
              <w:t>0</w:t>
            </w:r>
            <w:r>
              <w:rPr>
                <w:rFonts w:hint="eastAsia"/>
                <w:szCs w:val="20"/>
              </w:rPr>
              <w:t>，按小数填写</w:t>
            </w:r>
            <w:r w:rsidR="000E18F5">
              <w:rPr>
                <w:rFonts w:hint="eastAsia"/>
                <w:szCs w:val="20"/>
              </w:rPr>
              <w:t>。</w:t>
            </w:r>
            <w:r>
              <w:rPr>
                <w:rFonts w:hint="eastAsia"/>
                <w:szCs w:val="20"/>
              </w:rPr>
              <w:t>如利率为</w:t>
            </w:r>
            <w:r>
              <w:rPr>
                <w:szCs w:val="20"/>
              </w:rPr>
              <w:t>3.21%</w:t>
            </w:r>
            <w:r>
              <w:rPr>
                <w:rFonts w:hint="eastAsia"/>
                <w:szCs w:val="20"/>
              </w:rPr>
              <w:t>，则填写</w:t>
            </w:r>
            <w:r>
              <w:rPr>
                <w:szCs w:val="20"/>
              </w:rPr>
              <w:t>0.0321</w:t>
            </w:r>
            <w:r>
              <w:rPr>
                <w:rFonts w:hint="eastAsia"/>
                <w:szCs w:val="20"/>
              </w:rPr>
              <w:t>。</w:t>
            </w:r>
          </w:p>
        </w:tc>
      </w:tr>
      <w:tr w:rsidR="00A052DC" w14:paraId="364162DF" w14:textId="77777777">
        <w:tc>
          <w:tcPr>
            <w:tcW w:w="1702" w:type="dxa"/>
          </w:tcPr>
          <w:p w14:paraId="013F9639" w14:textId="77777777" w:rsidR="00A052DC" w:rsidRDefault="009F0A60">
            <w:pPr>
              <w:pStyle w:val="B"/>
              <w:rPr>
                <w:szCs w:val="20"/>
              </w:rPr>
            </w:pPr>
            <w:r>
              <w:rPr>
                <w:szCs w:val="20"/>
              </w:rPr>
              <w:t>CREDITORCODE</w:t>
            </w:r>
          </w:p>
        </w:tc>
        <w:tc>
          <w:tcPr>
            <w:tcW w:w="1701" w:type="dxa"/>
          </w:tcPr>
          <w:p w14:paraId="7F72CA57" w14:textId="77777777" w:rsidR="00A052DC" w:rsidRDefault="009F0A60">
            <w:pPr>
              <w:pStyle w:val="B"/>
              <w:rPr>
                <w:szCs w:val="20"/>
              </w:rPr>
            </w:pPr>
            <w:r>
              <w:rPr>
                <w:rFonts w:hint="eastAsia"/>
                <w:szCs w:val="20"/>
              </w:rPr>
              <w:t>债权人代码</w:t>
            </w:r>
          </w:p>
        </w:tc>
        <w:tc>
          <w:tcPr>
            <w:tcW w:w="1559" w:type="dxa"/>
          </w:tcPr>
          <w:p w14:paraId="71C9704D" w14:textId="77777777" w:rsidR="00A052DC" w:rsidRDefault="009F0A60">
            <w:pPr>
              <w:pStyle w:val="B"/>
              <w:rPr>
                <w:szCs w:val="20"/>
              </w:rPr>
            </w:pPr>
            <w:r>
              <w:rPr>
                <w:rFonts w:hint="eastAsia"/>
                <w:szCs w:val="20"/>
              </w:rPr>
              <w:t>字符型，</w:t>
            </w:r>
            <w:r>
              <w:rPr>
                <w:szCs w:val="20"/>
              </w:rPr>
              <w:t>11</w:t>
            </w:r>
          </w:p>
        </w:tc>
        <w:tc>
          <w:tcPr>
            <w:tcW w:w="3685" w:type="dxa"/>
          </w:tcPr>
          <w:p w14:paraId="57E639B9" w14:textId="77777777" w:rsidR="00A052DC" w:rsidRDefault="009F0A60">
            <w:pPr>
              <w:pStyle w:val="B"/>
              <w:rPr>
                <w:szCs w:val="20"/>
              </w:rPr>
            </w:pPr>
            <w:r>
              <w:rPr>
                <w:rFonts w:hint="eastAsia"/>
                <w:szCs w:val="20"/>
              </w:rPr>
              <w:t>非必填项，可填多个债权人。</w:t>
            </w:r>
          </w:p>
        </w:tc>
      </w:tr>
      <w:tr w:rsidR="00A052DC" w14:paraId="20006896" w14:textId="77777777">
        <w:tc>
          <w:tcPr>
            <w:tcW w:w="1702" w:type="dxa"/>
          </w:tcPr>
          <w:p w14:paraId="057AD7BD" w14:textId="77777777" w:rsidR="00A052DC" w:rsidRDefault="009F0A60">
            <w:pPr>
              <w:pStyle w:val="B"/>
              <w:rPr>
                <w:szCs w:val="20"/>
              </w:rPr>
            </w:pPr>
            <w:r>
              <w:rPr>
                <w:szCs w:val="20"/>
              </w:rPr>
              <w:t>CREDITORNAME</w:t>
            </w:r>
          </w:p>
        </w:tc>
        <w:tc>
          <w:tcPr>
            <w:tcW w:w="1701" w:type="dxa"/>
          </w:tcPr>
          <w:p w14:paraId="54B30F27" w14:textId="77777777" w:rsidR="00A052DC" w:rsidRDefault="009F0A60">
            <w:pPr>
              <w:pStyle w:val="B"/>
              <w:rPr>
                <w:szCs w:val="20"/>
              </w:rPr>
            </w:pPr>
            <w:r>
              <w:rPr>
                <w:rFonts w:hint="eastAsia"/>
                <w:szCs w:val="20"/>
              </w:rPr>
              <w:t>债权人中文名称</w:t>
            </w:r>
          </w:p>
        </w:tc>
        <w:tc>
          <w:tcPr>
            <w:tcW w:w="1559" w:type="dxa"/>
          </w:tcPr>
          <w:p w14:paraId="74592C6C" w14:textId="77777777" w:rsidR="00A052DC" w:rsidRDefault="009F0A60">
            <w:pPr>
              <w:pStyle w:val="B"/>
              <w:rPr>
                <w:szCs w:val="20"/>
              </w:rPr>
            </w:pPr>
            <w:r>
              <w:rPr>
                <w:rFonts w:hint="eastAsia"/>
                <w:szCs w:val="20"/>
              </w:rPr>
              <w:t>字符型，</w:t>
            </w:r>
            <w:r>
              <w:rPr>
                <w:szCs w:val="20"/>
              </w:rPr>
              <w:t>128</w:t>
            </w:r>
          </w:p>
        </w:tc>
        <w:tc>
          <w:tcPr>
            <w:tcW w:w="3685" w:type="dxa"/>
          </w:tcPr>
          <w:p w14:paraId="1C0A2299" w14:textId="77777777" w:rsidR="00A052DC" w:rsidRDefault="009F0A60">
            <w:pPr>
              <w:pStyle w:val="B"/>
              <w:rPr>
                <w:szCs w:val="20"/>
              </w:rPr>
            </w:pPr>
            <w:r>
              <w:rPr>
                <w:rFonts w:hint="eastAsia"/>
                <w:szCs w:val="20"/>
              </w:rPr>
              <w:t>非必填项，</w:t>
            </w:r>
          </w:p>
          <w:p w14:paraId="4BDE08B2" w14:textId="77777777" w:rsidR="00A052DC" w:rsidRDefault="009F0A60">
            <w:pPr>
              <w:pStyle w:val="B"/>
              <w:rPr>
                <w:szCs w:val="20"/>
              </w:rPr>
            </w:pPr>
            <w:r>
              <w:rPr>
                <w:rFonts w:hint="eastAsia"/>
                <w:szCs w:val="20"/>
              </w:rPr>
              <w:t>每个债权人代码对应的债权人中文名称和债权人英文名称至少填写一个。</w:t>
            </w:r>
          </w:p>
        </w:tc>
      </w:tr>
      <w:tr w:rsidR="00A052DC" w14:paraId="5F4456A4" w14:textId="77777777">
        <w:tc>
          <w:tcPr>
            <w:tcW w:w="1702" w:type="dxa"/>
          </w:tcPr>
          <w:p w14:paraId="4AB906C0" w14:textId="77777777" w:rsidR="00A052DC" w:rsidRDefault="009F0A60">
            <w:pPr>
              <w:pStyle w:val="B"/>
              <w:rPr>
                <w:szCs w:val="20"/>
              </w:rPr>
            </w:pPr>
            <w:r>
              <w:rPr>
                <w:szCs w:val="20"/>
              </w:rPr>
              <w:t>CREDITORNAMEN</w:t>
            </w:r>
          </w:p>
        </w:tc>
        <w:tc>
          <w:tcPr>
            <w:tcW w:w="1701" w:type="dxa"/>
          </w:tcPr>
          <w:p w14:paraId="3744DFCC" w14:textId="77777777" w:rsidR="00A052DC" w:rsidRDefault="009F0A60">
            <w:pPr>
              <w:pStyle w:val="B"/>
              <w:rPr>
                <w:szCs w:val="20"/>
              </w:rPr>
            </w:pPr>
            <w:r>
              <w:rPr>
                <w:rFonts w:hint="eastAsia"/>
                <w:szCs w:val="20"/>
              </w:rPr>
              <w:t>债权人英文名称</w:t>
            </w:r>
          </w:p>
        </w:tc>
        <w:tc>
          <w:tcPr>
            <w:tcW w:w="1559" w:type="dxa"/>
          </w:tcPr>
          <w:p w14:paraId="684A6C19" w14:textId="77777777" w:rsidR="00A052DC" w:rsidRDefault="009F0A60">
            <w:pPr>
              <w:pStyle w:val="B"/>
              <w:rPr>
                <w:szCs w:val="20"/>
              </w:rPr>
            </w:pPr>
            <w:r>
              <w:rPr>
                <w:rFonts w:hint="eastAsia"/>
                <w:szCs w:val="20"/>
              </w:rPr>
              <w:t>字符型，</w:t>
            </w:r>
            <w:r>
              <w:rPr>
                <w:szCs w:val="20"/>
              </w:rPr>
              <w:t>128</w:t>
            </w:r>
          </w:p>
        </w:tc>
        <w:tc>
          <w:tcPr>
            <w:tcW w:w="3685" w:type="dxa"/>
          </w:tcPr>
          <w:p w14:paraId="0A21F6DE" w14:textId="77777777" w:rsidR="00A052DC" w:rsidRDefault="009F0A60">
            <w:pPr>
              <w:pStyle w:val="B"/>
              <w:rPr>
                <w:szCs w:val="20"/>
              </w:rPr>
            </w:pPr>
            <w:r>
              <w:rPr>
                <w:rFonts w:hint="eastAsia"/>
                <w:szCs w:val="20"/>
              </w:rPr>
              <w:t>非必填项，</w:t>
            </w:r>
          </w:p>
          <w:p w14:paraId="540858D2" w14:textId="77777777" w:rsidR="00A052DC" w:rsidRDefault="009F0A60">
            <w:pPr>
              <w:pStyle w:val="B"/>
              <w:rPr>
                <w:szCs w:val="20"/>
              </w:rPr>
            </w:pPr>
            <w:r>
              <w:rPr>
                <w:rFonts w:hint="eastAsia"/>
                <w:szCs w:val="20"/>
              </w:rPr>
              <w:t>每个债权人代码对应的债权人中文名称和债权人英文名称至少填写一个。</w:t>
            </w:r>
          </w:p>
        </w:tc>
      </w:tr>
      <w:tr w:rsidR="00A052DC" w14:paraId="342B56CE" w14:textId="77777777">
        <w:tc>
          <w:tcPr>
            <w:tcW w:w="1702" w:type="dxa"/>
          </w:tcPr>
          <w:p w14:paraId="5BBCB010" w14:textId="77777777" w:rsidR="00A052DC" w:rsidRDefault="009F0A60">
            <w:pPr>
              <w:pStyle w:val="B"/>
              <w:rPr>
                <w:szCs w:val="20"/>
              </w:rPr>
            </w:pPr>
            <w:r>
              <w:rPr>
                <w:szCs w:val="20"/>
              </w:rPr>
              <w:t>CREDITORCA</w:t>
            </w:r>
          </w:p>
        </w:tc>
        <w:tc>
          <w:tcPr>
            <w:tcW w:w="1701" w:type="dxa"/>
          </w:tcPr>
          <w:p w14:paraId="70BB3186" w14:textId="77777777" w:rsidR="00A052DC" w:rsidRDefault="009F0A60">
            <w:pPr>
              <w:pStyle w:val="B"/>
              <w:rPr>
                <w:szCs w:val="20"/>
              </w:rPr>
            </w:pPr>
            <w:r>
              <w:rPr>
                <w:rFonts w:hint="eastAsia"/>
                <w:szCs w:val="20"/>
              </w:rPr>
              <w:t>债权人签约金额</w:t>
            </w:r>
          </w:p>
        </w:tc>
        <w:tc>
          <w:tcPr>
            <w:tcW w:w="1559" w:type="dxa"/>
          </w:tcPr>
          <w:p w14:paraId="5867C81B" w14:textId="77777777" w:rsidR="00A052DC" w:rsidRDefault="009F0A60">
            <w:pPr>
              <w:pStyle w:val="B"/>
              <w:rPr>
                <w:szCs w:val="20"/>
              </w:rPr>
            </w:pPr>
            <w:r>
              <w:rPr>
                <w:rFonts w:hint="eastAsia"/>
                <w:szCs w:val="20"/>
              </w:rPr>
              <w:t>数值型，</w:t>
            </w:r>
            <w:r>
              <w:rPr>
                <w:szCs w:val="20"/>
              </w:rPr>
              <w:t>22.2</w:t>
            </w:r>
          </w:p>
        </w:tc>
        <w:tc>
          <w:tcPr>
            <w:tcW w:w="3685" w:type="dxa"/>
          </w:tcPr>
          <w:p w14:paraId="20749957" w14:textId="77777777" w:rsidR="00A052DC" w:rsidRDefault="009F0A60">
            <w:pPr>
              <w:pStyle w:val="B"/>
              <w:rPr>
                <w:szCs w:val="20"/>
              </w:rPr>
            </w:pPr>
            <w:r>
              <w:rPr>
                <w:rFonts w:hint="eastAsia"/>
                <w:szCs w:val="20"/>
              </w:rPr>
              <w:t>必填项，大于等于</w:t>
            </w:r>
            <w:r>
              <w:rPr>
                <w:szCs w:val="20"/>
              </w:rPr>
              <w:t>0</w:t>
            </w:r>
            <w:r>
              <w:rPr>
                <w:rFonts w:hint="eastAsia"/>
                <w:szCs w:val="20"/>
              </w:rPr>
              <w:t>，所有债权人签约金额之和等于签约金额。</w:t>
            </w:r>
          </w:p>
        </w:tc>
      </w:tr>
      <w:tr w:rsidR="00A052DC" w14:paraId="6A2ED58D" w14:textId="77777777">
        <w:tc>
          <w:tcPr>
            <w:tcW w:w="1702" w:type="dxa"/>
          </w:tcPr>
          <w:p w14:paraId="7DADD926" w14:textId="77777777" w:rsidR="00A052DC" w:rsidRDefault="009F0A60">
            <w:pPr>
              <w:pStyle w:val="B"/>
              <w:rPr>
                <w:szCs w:val="20"/>
              </w:rPr>
            </w:pPr>
            <w:r>
              <w:rPr>
                <w:szCs w:val="20"/>
              </w:rPr>
              <w:t>CREDITORTYPE</w:t>
            </w:r>
          </w:p>
        </w:tc>
        <w:tc>
          <w:tcPr>
            <w:tcW w:w="1701" w:type="dxa"/>
          </w:tcPr>
          <w:p w14:paraId="11708F7A" w14:textId="77777777" w:rsidR="00A052DC" w:rsidRDefault="009F0A60">
            <w:pPr>
              <w:pStyle w:val="B"/>
              <w:rPr>
                <w:szCs w:val="20"/>
              </w:rPr>
            </w:pPr>
            <w:r>
              <w:rPr>
                <w:rFonts w:hint="eastAsia"/>
                <w:szCs w:val="20"/>
              </w:rPr>
              <w:t>债权人类型代码</w:t>
            </w:r>
          </w:p>
        </w:tc>
        <w:tc>
          <w:tcPr>
            <w:tcW w:w="1559" w:type="dxa"/>
          </w:tcPr>
          <w:p w14:paraId="263CFAC9" w14:textId="77777777" w:rsidR="00A052DC" w:rsidRDefault="009F0A60">
            <w:pPr>
              <w:pStyle w:val="B"/>
              <w:rPr>
                <w:szCs w:val="20"/>
              </w:rPr>
            </w:pPr>
            <w:r>
              <w:rPr>
                <w:rFonts w:hint="eastAsia"/>
                <w:szCs w:val="20"/>
              </w:rPr>
              <w:t>字符型，</w:t>
            </w:r>
            <w:r>
              <w:rPr>
                <w:szCs w:val="20"/>
              </w:rPr>
              <w:t>8</w:t>
            </w:r>
          </w:p>
        </w:tc>
        <w:tc>
          <w:tcPr>
            <w:tcW w:w="3685" w:type="dxa"/>
          </w:tcPr>
          <w:p w14:paraId="0C6DC518" w14:textId="77777777" w:rsidR="00A052DC" w:rsidRDefault="009F0A60">
            <w:pPr>
              <w:pStyle w:val="B"/>
              <w:rPr>
                <w:szCs w:val="20"/>
              </w:rPr>
            </w:pPr>
            <w:r>
              <w:rPr>
                <w:rFonts w:hint="eastAsia"/>
                <w:szCs w:val="20"/>
              </w:rPr>
              <w:t>必填项，见境外主体类型代码表。</w:t>
            </w:r>
          </w:p>
        </w:tc>
      </w:tr>
      <w:tr w:rsidR="00A052DC" w14:paraId="466CCBD6" w14:textId="77777777">
        <w:tc>
          <w:tcPr>
            <w:tcW w:w="1702" w:type="dxa"/>
          </w:tcPr>
          <w:p w14:paraId="21C36608" w14:textId="77777777" w:rsidR="00A052DC" w:rsidRDefault="009F0A60">
            <w:pPr>
              <w:pStyle w:val="B"/>
              <w:rPr>
                <w:szCs w:val="20"/>
              </w:rPr>
            </w:pPr>
            <w:r>
              <w:rPr>
                <w:szCs w:val="20"/>
              </w:rPr>
              <w:t>CREHQCODE</w:t>
            </w:r>
          </w:p>
        </w:tc>
        <w:tc>
          <w:tcPr>
            <w:tcW w:w="1701" w:type="dxa"/>
          </w:tcPr>
          <w:p w14:paraId="602DF248" w14:textId="77777777" w:rsidR="00A052DC" w:rsidRDefault="009F0A60">
            <w:pPr>
              <w:pStyle w:val="B"/>
              <w:rPr>
                <w:szCs w:val="20"/>
              </w:rPr>
            </w:pPr>
            <w:r>
              <w:rPr>
                <w:rFonts w:hint="eastAsia"/>
                <w:szCs w:val="20"/>
              </w:rPr>
              <w:t>债权人总部所在国家（地区）代码</w:t>
            </w:r>
          </w:p>
        </w:tc>
        <w:tc>
          <w:tcPr>
            <w:tcW w:w="1559" w:type="dxa"/>
          </w:tcPr>
          <w:p w14:paraId="5DB4A8E5" w14:textId="77777777" w:rsidR="00A052DC" w:rsidRDefault="009F0A60">
            <w:pPr>
              <w:pStyle w:val="B"/>
              <w:rPr>
                <w:szCs w:val="20"/>
              </w:rPr>
            </w:pPr>
            <w:r>
              <w:rPr>
                <w:rFonts w:hint="eastAsia"/>
                <w:szCs w:val="20"/>
              </w:rPr>
              <w:t>字符型，</w:t>
            </w:r>
            <w:r>
              <w:rPr>
                <w:szCs w:val="20"/>
              </w:rPr>
              <w:t>3</w:t>
            </w:r>
          </w:p>
        </w:tc>
        <w:tc>
          <w:tcPr>
            <w:tcW w:w="3685" w:type="dxa"/>
          </w:tcPr>
          <w:p w14:paraId="76C032E1" w14:textId="77777777" w:rsidR="00A052DC" w:rsidRDefault="009F0A60">
            <w:pPr>
              <w:pStyle w:val="B"/>
              <w:rPr>
                <w:szCs w:val="20"/>
              </w:rPr>
            </w:pPr>
            <w:r>
              <w:rPr>
                <w:rFonts w:hint="eastAsia"/>
                <w:szCs w:val="20"/>
              </w:rPr>
              <w:t>必填项，见国家和地区代码表。</w:t>
            </w:r>
          </w:p>
        </w:tc>
      </w:tr>
      <w:tr w:rsidR="00A052DC" w14:paraId="5B0D03B7" w14:textId="77777777">
        <w:tc>
          <w:tcPr>
            <w:tcW w:w="1702" w:type="dxa"/>
          </w:tcPr>
          <w:p w14:paraId="56D4B25F" w14:textId="77777777" w:rsidR="00A052DC" w:rsidRDefault="009F0A60">
            <w:pPr>
              <w:pStyle w:val="B"/>
              <w:rPr>
                <w:szCs w:val="20"/>
              </w:rPr>
            </w:pPr>
            <w:r>
              <w:rPr>
                <w:szCs w:val="20"/>
              </w:rPr>
              <w:t>OPERCODE</w:t>
            </w:r>
          </w:p>
        </w:tc>
        <w:tc>
          <w:tcPr>
            <w:tcW w:w="1701" w:type="dxa"/>
          </w:tcPr>
          <w:p w14:paraId="38CBDA5A" w14:textId="77777777" w:rsidR="00A052DC" w:rsidRDefault="009F0A60">
            <w:pPr>
              <w:pStyle w:val="B"/>
              <w:rPr>
                <w:szCs w:val="20"/>
              </w:rPr>
            </w:pPr>
            <w:r>
              <w:rPr>
                <w:rFonts w:hint="eastAsia"/>
                <w:szCs w:val="20"/>
              </w:rPr>
              <w:t>债权人经营地所在国家（地区）代码</w:t>
            </w:r>
          </w:p>
        </w:tc>
        <w:tc>
          <w:tcPr>
            <w:tcW w:w="1559" w:type="dxa"/>
          </w:tcPr>
          <w:p w14:paraId="7F84817D" w14:textId="77777777" w:rsidR="00A052DC" w:rsidRDefault="009F0A60">
            <w:pPr>
              <w:pStyle w:val="B"/>
              <w:rPr>
                <w:szCs w:val="20"/>
              </w:rPr>
            </w:pPr>
            <w:r>
              <w:rPr>
                <w:rFonts w:hint="eastAsia"/>
                <w:szCs w:val="20"/>
              </w:rPr>
              <w:t>字符型，</w:t>
            </w:r>
            <w:r>
              <w:rPr>
                <w:szCs w:val="20"/>
              </w:rPr>
              <w:t>3</w:t>
            </w:r>
          </w:p>
        </w:tc>
        <w:tc>
          <w:tcPr>
            <w:tcW w:w="3685" w:type="dxa"/>
          </w:tcPr>
          <w:p w14:paraId="19688D9A" w14:textId="77777777" w:rsidR="00A052DC" w:rsidRDefault="009F0A60">
            <w:pPr>
              <w:pStyle w:val="B"/>
              <w:rPr>
                <w:szCs w:val="20"/>
              </w:rPr>
            </w:pPr>
            <w:r>
              <w:rPr>
                <w:rFonts w:hint="eastAsia"/>
                <w:szCs w:val="20"/>
              </w:rPr>
              <w:t>必填项，见国家和地区代码表。当债权人类型代码不为“境内银行离岸部（20001403）”时,不能为中国CHN。</w:t>
            </w:r>
          </w:p>
        </w:tc>
      </w:tr>
      <w:tr w:rsidR="00A052DC" w14:paraId="5BB028DF" w14:textId="77777777">
        <w:tc>
          <w:tcPr>
            <w:tcW w:w="1702" w:type="dxa"/>
          </w:tcPr>
          <w:p w14:paraId="1D547B38" w14:textId="77777777" w:rsidR="00A052DC" w:rsidRDefault="009F0A60">
            <w:pPr>
              <w:pStyle w:val="B"/>
              <w:rPr>
                <w:szCs w:val="20"/>
              </w:rPr>
            </w:pPr>
            <w:r>
              <w:rPr>
                <w:szCs w:val="20"/>
              </w:rPr>
              <w:t>INPRTERM</w:t>
            </w:r>
          </w:p>
        </w:tc>
        <w:tc>
          <w:tcPr>
            <w:tcW w:w="1701" w:type="dxa"/>
          </w:tcPr>
          <w:p w14:paraId="4D07D0DC" w14:textId="77777777" w:rsidR="00A052DC" w:rsidRDefault="009F0A60">
            <w:pPr>
              <w:pStyle w:val="B"/>
              <w:rPr>
                <w:szCs w:val="20"/>
              </w:rPr>
            </w:pPr>
            <w:r>
              <w:rPr>
                <w:rFonts w:hint="eastAsia"/>
                <w:szCs w:val="20"/>
              </w:rPr>
              <w:t>是否有利息本金化条款</w:t>
            </w:r>
          </w:p>
        </w:tc>
        <w:tc>
          <w:tcPr>
            <w:tcW w:w="1559" w:type="dxa"/>
          </w:tcPr>
          <w:p w14:paraId="3FE466A2" w14:textId="77777777" w:rsidR="00A052DC" w:rsidRDefault="009F0A60">
            <w:pPr>
              <w:pStyle w:val="B"/>
              <w:rPr>
                <w:szCs w:val="20"/>
              </w:rPr>
            </w:pPr>
            <w:r>
              <w:rPr>
                <w:rFonts w:hint="eastAsia"/>
                <w:szCs w:val="20"/>
              </w:rPr>
              <w:t>字符型，</w:t>
            </w:r>
            <w:r>
              <w:rPr>
                <w:szCs w:val="20"/>
              </w:rPr>
              <w:t>1</w:t>
            </w:r>
          </w:p>
        </w:tc>
        <w:tc>
          <w:tcPr>
            <w:tcW w:w="3685" w:type="dxa"/>
          </w:tcPr>
          <w:p w14:paraId="38421F1B" w14:textId="77777777" w:rsidR="00A052DC" w:rsidRDefault="009F0A60">
            <w:pPr>
              <w:pStyle w:val="B"/>
              <w:rPr>
                <w:szCs w:val="20"/>
              </w:rPr>
            </w:pPr>
            <w:r>
              <w:rPr>
                <w:rFonts w:hint="eastAsia"/>
                <w:szCs w:val="20"/>
              </w:rPr>
              <w:t>必填项，是</w:t>
            </w:r>
            <w:r>
              <w:rPr>
                <w:szCs w:val="20"/>
              </w:rPr>
              <w:t>-Y</w:t>
            </w:r>
            <w:r>
              <w:rPr>
                <w:rFonts w:hint="eastAsia"/>
                <w:szCs w:val="20"/>
              </w:rPr>
              <w:t>，否</w:t>
            </w:r>
            <w:r>
              <w:rPr>
                <w:szCs w:val="20"/>
              </w:rPr>
              <w:t>-N</w:t>
            </w:r>
            <w:r>
              <w:rPr>
                <w:rFonts w:hint="eastAsia"/>
                <w:szCs w:val="20"/>
              </w:rPr>
              <w:t>，默认为否，填写</w:t>
            </w:r>
            <w:r>
              <w:rPr>
                <w:szCs w:val="20"/>
              </w:rPr>
              <w:t>N</w:t>
            </w:r>
            <w:r>
              <w:rPr>
                <w:rFonts w:hint="eastAsia"/>
                <w:szCs w:val="20"/>
              </w:rPr>
              <w:t>。</w:t>
            </w:r>
          </w:p>
        </w:tc>
      </w:tr>
      <w:tr w:rsidR="00A052DC" w14:paraId="3D524767" w14:textId="77777777">
        <w:tc>
          <w:tcPr>
            <w:tcW w:w="1702" w:type="dxa"/>
          </w:tcPr>
          <w:p w14:paraId="101CD998" w14:textId="77777777" w:rsidR="00A052DC" w:rsidRDefault="009F0A60">
            <w:pPr>
              <w:pStyle w:val="B"/>
              <w:rPr>
                <w:szCs w:val="20"/>
              </w:rPr>
            </w:pPr>
            <w:r>
              <w:rPr>
                <w:szCs w:val="20"/>
              </w:rPr>
              <w:t>SPAPFEBOINDEX</w:t>
            </w:r>
          </w:p>
        </w:tc>
        <w:tc>
          <w:tcPr>
            <w:tcW w:w="1701" w:type="dxa"/>
          </w:tcPr>
          <w:p w14:paraId="3DD442E2" w14:textId="77777777" w:rsidR="00A052DC" w:rsidRDefault="009F0A60">
            <w:pPr>
              <w:pStyle w:val="B"/>
              <w:rPr>
                <w:szCs w:val="20"/>
              </w:rPr>
            </w:pPr>
            <w:r>
              <w:rPr>
                <w:rFonts w:hint="eastAsia"/>
                <w:szCs w:val="20"/>
              </w:rPr>
              <w:t>是否不纳入跨境融资风险加权余额计算</w:t>
            </w:r>
          </w:p>
        </w:tc>
        <w:tc>
          <w:tcPr>
            <w:tcW w:w="1559" w:type="dxa"/>
          </w:tcPr>
          <w:p w14:paraId="1316A774" w14:textId="77777777" w:rsidR="00A052DC" w:rsidRDefault="009F0A60">
            <w:pPr>
              <w:pStyle w:val="B"/>
              <w:rPr>
                <w:szCs w:val="20"/>
              </w:rPr>
            </w:pPr>
            <w:r>
              <w:rPr>
                <w:rFonts w:hint="eastAsia"/>
                <w:szCs w:val="20"/>
              </w:rPr>
              <w:t>字符型，</w:t>
            </w:r>
            <w:r>
              <w:rPr>
                <w:szCs w:val="20"/>
              </w:rPr>
              <w:t>1</w:t>
            </w:r>
          </w:p>
        </w:tc>
        <w:tc>
          <w:tcPr>
            <w:tcW w:w="3685" w:type="dxa"/>
          </w:tcPr>
          <w:p w14:paraId="6722CE54" w14:textId="77777777" w:rsidR="00A052DC" w:rsidRDefault="009F0A60">
            <w:pPr>
              <w:pStyle w:val="B"/>
              <w:rPr>
                <w:szCs w:val="20"/>
              </w:rPr>
            </w:pPr>
            <w:r>
              <w:rPr>
                <w:rFonts w:hint="eastAsia"/>
                <w:szCs w:val="20"/>
              </w:rPr>
              <w:t>必填项，是</w:t>
            </w:r>
            <w:r>
              <w:rPr>
                <w:szCs w:val="20"/>
              </w:rPr>
              <w:t>-Y</w:t>
            </w:r>
            <w:r>
              <w:rPr>
                <w:rFonts w:hint="eastAsia"/>
                <w:szCs w:val="20"/>
              </w:rPr>
              <w:t>，否</w:t>
            </w:r>
            <w:r>
              <w:rPr>
                <w:szCs w:val="20"/>
              </w:rPr>
              <w:t>-N</w:t>
            </w:r>
            <w:r>
              <w:rPr>
                <w:rFonts w:hint="eastAsia"/>
                <w:szCs w:val="20"/>
              </w:rPr>
              <w:t>，默认为否，填写</w:t>
            </w:r>
            <w:r>
              <w:rPr>
                <w:szCs w:val="20"/>
              </w:rPr>
              <w:t>N</w:t>
            </w:r>
            <w:r>
              <w:rPr>
                <w:rFonts w:hint="eastAsia"/>
                <w:szCs w:val="20"/>
              </w:rPr>
              <w:t>。</w:t>
            </w:r>
          </w:p>
        </w:tc>
      </w:tr>
      <w:tr w:rsidR="00A052DC" w14:paraId="70A393F0" w14:textId="77777777">
        <w:tc>
          <w:tcPr>
            <w:tcW w:w="1702" w:type="dxa"/>
          </w:tcPr>
          <w:p w14:paraId="188A20EC" w14:textId="77777777" w:rsidR="00A052DC" w:rsidRDefault="009F0A60">
            <w:pPr>
              <w:pStyle w:val="B"/>
              <w:rPr>
                <w:szCs w:val="20"/>
              </w:rPr>
            </w:pPr>
            <w:r>
              <w:rPr>
                <w:szCs w:val="20"/>
              </w:rPr>
              <w:t>PROJECTNAME</w:t>
            </w:r>
          </w:p>
        </w:tc>
        <w:tc>
          <w:tcPr>
            <w:tcW w:w="1701" w:type="dxa"/>
          </w:tcPr>
          <w:p w14:paraId="061DC3CC" w14:textId="77777777" w:rsidR="00A052DC" w:rsidRDefault="009F0A60">
            <w:pPr>
              <w:pStyle w:val="B"/>
              <w:rPr>
                <w:szCs w:val="20"/>
              </w:rPr>
            </w:pPr>
            <w:r>
              <w:rPr>
                <w:rFonts w:hint="eastAsia"/>
                <w:szCs w:val="20"/>
              </w:rPr>
              <w:t>项目名称</w:t>
            </w:r>
          </w:p>
        </w:tc>
        <w:tc>
          <w:tcPr>
            <w:tcW w:w="1559" w:type="dxa"/>
          </w:tcPr>
          <w:p w14:paraId="3EED1637" w14:textId="77777777" w:rsidR="00A052DC" w:rsidRDefault="009F0A60">
            <w:pPr>
              <w:pStyle w:val="B"/>
              <w:rPr>
                <w:szCs w:val="20"/>
              </w:rPr>
            </w:pPr>
            <w:r>
              <w:rPr>
                <w:rFonts w:hint="eastAsia"/>
                <w:szCs w:val="20"/>
              </w:rPr>
              <w:t>字符型，</w:t>
            </w:r>
            <w:r>
              <w:rPr>
                <w:szCs w:val="20"/>
              </w:rPr>
              <w:t>128</w:t>
            </w:r>
          </w:p>
        </w:tc>
        <w:tc>
          <w:tcPr>
            <w:tcW w:w="3685" w:type="dxa"/>
          </w:tcPr>
          <w:p w14:paraId="287A2329" w14:textId="77777777" w:rsidR="00A052DC" w:rsidRDefault="009F0A60">
            <w:pPr>
              <w:pStyle w:val="B"/>
              <w:rPr>
                <w:szCs w:val="20"/>
              </w:rPr>
            </w:pPr>
            <w:r>
              <w:rPr>
                <w:rFonts w:hint="eastAsia"/>
                <w:szCs w:val="20"/>
              </w:rPr>
              <w:t>非必填项。</w:t>
            </w:r>
          </w:p>
        </w:tc>
      </w:tr>
      <w:tr w:rsidR="00A052DC" w14:paraId="174DB574" w14:textId="77777777">
        <w:tc>
          <w:tcPr>
            <w:tcW w:w="1702" w:type="dxa"/>
          </w:tcPr>
          <w:p w14:paraId="4E6F594B" w14:textId="77777777" w:rsidR="00A052DC" w:rsidRDefault="009F0A60">
            <w:pPr>
              <w:pStyle w:val="B"/>
              <w:rPr>
                <w:szCs w:val="20"/>
              </w:rPr>
            </w:pPr>
            <w:r>
              <w:rPr>
                <w:szCs w:val="20"/>
              </w:rPr>
              <w:t>RELATION</w:t>
            </w:r>
          </w:p>
        </w:tc>
        <w:tc>
          <w:tcPr>
            <w:tcW w:w="1701" w:type="dxa"/>
          </w:tcPr>
          <w:p w14:paraId="20C17CDF" w14:textId="77777777" w:rsidR="00A052DC" w:rsidRDefault="009F0A60">
            <w:pPr>
              <w:pStyle w:val="B"/>
              <w:rPr>
                <w:szCs w:val="20"/>
              </w:rPr>
            </w:pPr>
            <w:r>
              <w:rPr>
                <w:rFonts w:hint="eastAsia"/>
                <w:szCs w:val="20"/>
              </w:rPr>
              <w:t>对方与本机构的关系</w:t>
            </w:r>
          </w:p>
        </w:tc>
        <w:tc>
          <w:tcPr>
            <w:tcW w:w="1559" w:type="dxa"/>
          </w:tcPr>
          <w:p w14:paraId="39E03CB2" w14:textId="77777777" w:rsidR="00A052DC" w:rsidRDefault="009F0A60">
            <w:pPr>
              <w:pStyle w:val="B"/>
              <w:rPr>
                <w:szCs w:val="20"/>
              </w:rPr>
            </w:pPr>
            <w:r>
              <w:rPr>
                <w:rFonts w:hint="eastAsia"/>
                <w:szCs w:val="20"/>
              </w:rPr>
              <w:t>字符型，</w:t>
            </w:r>
            <w:r>
              <w:rPr>
                <w:szCs w:val="20"/>
              </w:rPr>
              <w:t>2</w:t>
            </w:r>
          </w:p>
        </w:tc>
        <w:tc>
          <w:tcPr>
            <w:tcW w:w="3685" w:type="dxa"/>
          </w:tcPr>
          <w:p w14:paraId="6A854FA7" w14:textId="77777777" w:rsidR="00A052DC" w:rsidRDefault="009F0A60">
            <w:pPr>
              <w:pStyle w:val="B"/>
              <w:rPr>
                <w:szCs w:val="20"/>
              </w:rPr>
            </w:pPr>
            <w:r>
              <w:rPr>
                <w:rFonts w:hint="eastAsia"/>
                <w:szCs w:val="20"/>
              </w:rPr>
              <w:t>必填项，见对方与本机构</w:t>
            </w:r>
            <w:r>
              <w:rPr>
                <w:szCs w:val="20"/>
              </w:rPr>
              <w:t>/</w:t>
            </w:r>
            <w:r>
              <w:rPr>
                <w:rFonts w:hint="eastAsia"/>
                <w:szCs w:val="20"/>
              </w:rPr>
              <w:t>被代理居民机构</w:t>
            </w:r>
            <w:r>
              <w:rPr>
                <w:szCs w:val="20"/>
              </w:rPr>
              <w:t>/</w:t>
            </w:r>
            <w:r>
              <w:rPr>
                <w:rFonts w:hint="eastAsia"/>
                <w:szCs w:val="20"/>
              </w:rPr>
              <w:t>委托人的关系代码表。</w:t>
            </w:r>
          </w:p>
        </w:tc>
      </w:tr>
      <w:tr w:rsidR="00A052DC" w14:paraId="49D160F9" w14:textId="77777777">
        <w:tc>
          <w:tcPr>
            <w:tcW w:w="1702" w:type="dxa"/>
            <w:tcBorders>
              <w:top w:val="single" w:sz="4" w:space="0" w:color="auto"/>
              <w:left w:val="single" w:sz="4" w:space="0" w:color="auto"/>
              <w:bottom w:val="single" w:sz="4" w:space="0" w:color="auto"/>
              <w:right w:val="single" w:sz="4" w:space="0" w:color="auto"/>
            </w:tcBorders>
          </w:tcPr>
          <w:p w14:paraId="1B36D951" w14:textId="77777777" w:rsidR="00A052DC" w:rsidRDefault="009F0A60">
            <w:pPr>
              <w:pStyle w:val="B"/>
              <w:rPr>
                <w:szCs w:val="20"/>
              </w:rPr>
            </w:pPr>
            <w:r>
              <w:rPr>
                <w:szCs w:val="20"/>
              </w:rPr>
              <w:t>REMARK</w:t>
            </w:r>
          </w:p>
        </w:tc>
        <w:tc>
          <w:tcPr>
            <w:tcW w:w="1701" w:type="dxa"/>
            <w:tcBorders>
              <w:top w:val="single" w:sz="4" w:space="0" w:color="auto"/>
              <w:left w:val="single" w:sz="4" w:space="0" w:color="auto"/>
              <w:bottom w:val="single" w:sz="4" w:space="0" w:color="auto"/>
              <w:right w:val="single" w:sz="4" w:space="0" w:color="auto"/>
            </w:tcBorders>
          </w:tcPr>
          <w:p w14:paraId="223BB86B" w14:textId="77777777" w:rsidR="00A052DC" w:rsidRDefault="009F0A60">
            <w:pPr>
              <w:pStyle w:val="B"/>
              <w:rPr>
                <w:szCs w:val="20"/>
              </w:rPr>
            </w:pPr>
            <w:r>
              <w:rPr>
                <w:rFonts w:hint="eastAsia"/>
                <w:szCs w:val="20"/>
              </w:rPr>
              <w:t>备注</w:t>
            </w:r>
          </w:p>
        </w:tc>
        <w:tc>
          <w:tcPr>
            <w:tcW w:w="1559" w:type="dxa"/>
            <w:tcBorders>
              <w:top w:val="single" w:sz="4" w:space="0" w:color="auto"/>
              <w:left w:val="single" w:sz="4" w:space="0" w:color="auto"/>
              <w:bottom w:val="single" w:sz="4" w:space="0" w:color="auto"/>
              <w:right w:val="single" w:sz="4" w:space="0" w:color="auto"/>
            </w:tcBorders>
          </w:tcPr>
          <w:p w14:paraId="681E98FE" w14:textId="77777777" w:rsidR="00A052DC" w:rsidRDefault="009F0A60">
            <w:pPr>
              <w:pStyle w:val="B"/>
              <w:rPr>
                <w:szCs w:val="20"/>
              </w:rPr>
            </w:pPr>
            <w:r>
              <w:rPr>
                <w:rFonts w:hint="eastAsia"/>
                <w:szCs w:val="20"/>
              </w:rPr>
              <w:t>字符型，</w:t>
            </w:r>
            <w:r>
              <w:rPr>
                <w:szCs w:val="20"/>
              </w:rPr>
              <w:t>256</w:t>
            </w:r>
          </w:p>
        </w:tc>
        <w:tc>
          <w:tcPr>
            <w:tcW w:w="3685" w:type="dxa"/>
            <w:tcBorders>
              <w:top w:val="single" w:sz="4" w:space="0" w:color="auto"/>
              <w:left w:val="single" w:sz="4" w:space="0" w:color="auto"/>
              <w:bottom w:val="single" w:sz="4" w:space="0" w:color="auto"/>
              <w:right w:val="single" w:sz="4" w:space="0" w:color="auto"/>
            </w:tcBorders>
          </w:tcPr>
          <w:p w14:paraId="78E023FC" w14:textId="77777777" w:rsidR="00A052DC" w:rsidRDefault="009F0A60">
            <w:pPr>
              <w:pStyle w:val="B"/>
              <w:rPr>
                <w:szCs w:val="20"/>
              </w:rPr>
            </w:pPr>
            <w:r>
              <w:rPr>
                <w:rFonts w:hint="eastAsia"/>
                <w:szCs w:val="20"/>
              </w:rPr>
              <w:t>非必填项。</w:t>
            </w:r>
          </w:p>
        </w:tc>
      </w:tr>
    </w:tbl>
    <w:p w14:paraId="008215FD" w14:textId="77777777" w:rsidR="00A052DC" w:rsidRDefault="009F0A60">
      <w:pPr>
        <w:pStyle w:val="4"/>
        <w:numPr>
          <w:ilvl w:val="3"/>
          <w:numId w:val="1"/>
        </w:numPr>
        <w:jc w:val="left"/>
      </w:pPr>
      <w:bookmarkStart w:id="1530" w:name="_Toc454386897"/>
      <w:bookmarkStart w:id="1531" w:name="_Toc328635488"/>
      <w:r>
        <w:rPr>
          <w:rFonts w:hint="eastAsia"/>
        </w:rPr>
        <w:t>贵金属拆借</w:t>
      </w:r>
      <w:bookmarkEnd w:id="1530"/>
      <w:bookmarkEnd w:id="1531"/>
    </w:p>
    <w:p w14:paraId="1992431C" w14:textId="77777777" w:rsidR="00A052DC" w:rsidRDefault="009F0A60" w:rsidP="0020251D">
      <w:pPr>
        <w:pStyle w:val="5"/>
        <w:numPr>
          <w:ilvl w:val="4"/>
          <w:numId w:val="1"/>
        </w:numPr>
        <w:spacing w:before="120" w:after="120" w:line="360" w:lineRule="auto"/>
        <w:jc w:val="left"/>
      </w:pPr>
      <w:bookmarkStart w:id="1532" w:name="_Toc454386898"/>
      <w:r>
        <w:rPr>
          <w:rFonts w:hint="eastAsia"/>
        </w:rPr>
        <w:t>数据术语解释</w:t>
      </w:r>
      <w:bookmarkEnd w:id="1532"/>
    </w:p>
    <w:tbl>
      <w:tblPr>
        <w:tblW w:w="84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26"/>
        <w:gridCol w:w="6946"/>
      </w:tblGrid>
      <w:tr w:rsidR="00A052DC" w14:paraId="77DFC474" w14:textId="77777777">
        <w:tc>
          <w:tcPr>
            <w:tcW w:w="1526" w:type="dxa"/>
          </w:tcPr>
          <w:p w14:paraId="1B25457E" w14:textId="77777777" w:rsidR="00A052DC" w:rsidRDefault="009F0A60">
            <w:pPr>
              <w:pStyle w:val="B1"/>
              <w:rPr>
                <w:u w:val="single"/>
              </w:rPr>
            </w:pPr>
            <w:r>
              <w:rPr>
                <w:rFonts w:hint="eastAsia"/>
              </w:rPr>
              <w:t>基础数据项</w:t>
            </w:r>
          </w:p>
        </w:tc>
        <w:tc>
          <w:tcPr>
            <w:tcW w:w="6946" w:type="dxa"/>
          </w:tcPr>
          <w:p w14:paraId="7FE7BA37" w14:textId="77777777" w:rsidR="00A052DC" w:rsidRDefault="009F0A60">
            <w:pPr>
              <w:pStyle w:val="B1"/>
            </w:pPr>
            <w:r>
              <w:rPr>
                <w:rFonts w:hint="eastAsia"/>
              </w:rPr>
              <w:t>定义</w:t>
            </w:r>
          </w:p>
        </w:tc>
      </w:tr>
      <w:tr w:rsidR="00A052DC" w14:paraId="34337B7E" w14:textId="77777777">
        <w:trPr>
          <w:cantSplit/>
          <w:trHeight w:val="157"/>
        </w:trPr>
        <w:tc>
          <w:tcPr>
            <w:tcW w:w="1526" w:type="dxa"/>
          </w:tcPr>
          <w:p w14:paraId="5E809119" w14:textId="77777777" w:rsidR="00A052DC" w:rsidRDefault="009F0A60">
            <w:pPr>
              <w:pStyle w:val="B"/>
              <w:rPr>
                <w:szCs w:val="20"/>
              </w:rPr>
            </w:pPr>
            <w:r>
              <w:rPr>
                <w:rFonts w:hint="eastAsia"/>
                <w:szCs w:val="20"/>
              </w:rPr>
              <w:t>外债编号</w:t>
            </w:r>
          </w:p>
        </w:tc>
        <w:tc>
          <w:tcPr>
            <w:tcW w:w="6946" w:type="dxa"/>
          </w:tcPr>
          <w:p w14:paraId="054B48C6" w14:textId="77777777" w:rsidR="00A052DC" w:rsidRDefault="009F0A60">
            <w:pPr>
              <w:pStyle w:val="B"/>
              <w:rPr>
                <w:szCs w:val="20"/>
              </w:rPr>
            </w:pPr>
            <w:r>
              <w:rPr>
                <w:rFonts w:hint="eastAsia"/>
                <w:szCs w:val="20"/>
              </w:rPr>
              <w:t>外汇局制定统一编号规则，银行自行对每一笔外债编号，用于唯一标识该笔外债。银行外债编号共计</w:t>
            </w:r>
            <w:r>
              <w:rPr>
                <w:szCs w:val="20"/>
              </w:rPr>
              <w:t>28</w:t>
            </w:r>
            <w:r>
              <w:rPr>
                <w:rFonts w:hint="eastAsia"/>
                <w:szCs w:val="20"/>
              </w:rPr>
              <w:t>位。第</w:t>
            </w:r>
            <w:r>
              <w:rPr>
                <w:szCs w:val="20"/>
              </w:rPr>
              <w:t>1</w:t>
            </w:r>
            <w:r>
              <w:rPr>
                <w:rFonts w:hint="eastAsia"/>
                <w:szCs w:val="20"/>
              </w:rPr>
              <w:t>至</w:t>
            </w:r>
            <w:r>
              <w:rPr>
                <w:szCs w:val="20"/>
              </w:rPr>
              <w:t>2</w:t>
            </w:r>
            <w:r>
              <w:rPr>
                <w:rFonts w:hint="eastAsia"/>
                <w:szCs w:val="20"/>
              </w:rPr>
              <w:t>位为业务类型标识，第</w:t>
            </w:r>
            <w:r>
              <w:rPr>
                <w:szCs w:val="20"/>
              </w:rPr>
              <w:t>3</w:t>
            </w:r>
            <w:r>
              <w:rPr>
                <w:rFonts w:hint="eastAsia"/>
                <w:szCs w:val="20"/>
              </w:rPr>
              <w:t>位至</w:t>
            </w:r>
            <w:r>
              <w:rPr>
                <w:szCs w:val="20"/>
              </w:rPr>
              <w:t>14</w:t>
            </w:r>
            <w:r>
              <w:rPr>
                <w:rFonts w:hint="eastAsia"/>
                <w:szCs w:val="20"/>
              </w:rPr>
              <w:t>位为银行金融机构标识码</w:t>
            </w:r>
            <w:r>
              <w:rPr>
                <w:szCs w:val="20"/>
              </w:rPr>
              <w:t>;</w:t>
            </w:r>
            <w:r>
              <w:rPr>
                <w:rFonts w:hint="eastAsia"/>
                <w:szCs w:val="20"/>
              </w:rPr>
              <w:t>第</w:t>
            </w:r>
            <w:r>
              <w:rPr>
                <w:szCs w:val="20"/>
              </w:rPr>
              <w:t>15</w:t>
            </w:r>
            <w:r>
              <w:rPr>
                <w:rFonts w:hint="eastAsia"/>
                <w:szCs w:val="20"/>
              </w:rPr>
              <w:t>至</w:t>
            </w:r>
            <w:r>
              <w:rPr>
                <w:szCs w:val="20"/>
              </w:rPr>
              <w:t>22</w:t>
            </w:r>
            <w:r>
              <w:rPr>
                <w:rFonts w:hint="eastAsia"/>
                <w:szCs w:val="20"/>
              </w:rPr>
              <w:t>位为</w:t>
            </w:r>
            <w:r>
              <w:rPr>
                <w:szCs w:val="20"/>
              </w:rPr>
              <w:t>8</w:t>
            </w:r>
            <w:r>
              <w:rPr>
                <w:rFonts w:hint="eastAsia"/>
                <w:szCs w:val="20"/>
              </w:rPr>
              <w:t>位年月日数字（</w:t>
            </w:r>
            <w:r>
              <w:rPr>
                <w:szCs w:val="20"/>
              </w:rPr>
              <w:t>20110701</w:t>
            </w:r>
            <w:r>
              <w:rPr>
                <w:rFonts w:hint="eastAsia"/>
                <w:szCs w:val="20"/>
              </w:rPr>
              <w:t>）</w:t>
            </w:r>
            <w:r>
              <w:rPr>
                <w:szCs w:val="20"/>
              </w:rPr>
              <w:t>;</w:t>
            </w:r>
            <w:r>
              <w:rPr>
                <w:rFonts w:hint="eastAsia"/>
                <w:szCs w:val="20"/>
              </w:rPr>
              <w:t>第</w:t>
            </w:r>
            <w:r>
              <w:rPr>
                <w:szCs w:val="20"/>
              </w:rPr>
              <w:t>23</w:t>
            </w:r>
            <w:r>
              <w:rPr>
                <w:rFonts w:hint="eastAsia"/>
                <w:szCs w:val="20"/>
              </w:rPr>
              <w:t>至</w:t>
            </w:r>
            <w:r>
              <w:rPr>
                <w:szCs w:val="20"/>
              </w:rPr>
              <w:t>28</w:t>
            </w:r>
            <w:r>
              <w:rPr>
                <w:rFonts w:hint="eastAsia"/>
                <w:szCs w:val="20"/>
              </w:rPr>
              <w:t>位为该笔业务的流水号（流水码编制规则：从</w:t>
            </w:r>
            <w:r>
              <w:rPr>
                <w:szCs w:val="20"/>
              </w:rPr>
              <w:t>000001</w:t>
            </w:r>
            <w:r>
              <w:rPr>
                <w:rFonts w:hint="eastAsia"/>
                <w:szCs w:val="20"/>
              </w:rPr>
              <w:t>～</w:t>
            </w:r>
            <w:r>
              <w:rPr>
                <w:szCs w:val="20"/>
              </w:rPr>
              <w:t>999999</w:t>
            </w:r>
            <w:r>
              <w:rPr>
                <w:rFonts w:hint="eastAsia"/>
                <w:szCs w:val="20"/>
              </w:rPr>
              <w:t>）。银行新发生一笔外债业务时，需为该笔外债编制外债编号，同一笔外债发生变更或展期时，不作为一笔新业务进行登记，发生展期时，变更到期日。</w:t>
            </w:r>
          </w:p>
        </w:tc>
      </w:tr>
      <w:tr w:rsidR="00A052DC" w14:paraId="0B4A5065" w14:textId="77777777">
        <w:trPr>
          <w:cantSplit/>
        </w:trPr>
        <w:tc>
          <w:tcPr>
            <w:tcW w:w="1526" w:type="dxa"/>
          </w:tcPr>
          <w:p w14:paraId="36156704" w14:textId="77777777" w:rsidR="00A052DC" w:rsidRDefault="009F0A60">
            <w:pPr>
              <w:pStyle w:val="B"/>
              <w:rPr>
                <w:szCs w:val="20"/>
              </w:rPr>
            </w:pPr>
            <w:r>
              <w:rPr>
                <w:rFonts w:hint="eastAsia"/>
                <w:szCs w:val="20"/>
              </w:rPr>
              <w:t>债务人代码</w:t>
            </w:r>
          </w:p>
        </w:tc>
        <w:tc>
          <w:tcPr>
            <w:tcW w:w="6946" w:type="dxa"/>
          </w:tcPr>
          <w:p w14:paraId="6E1DE0EA" w14:textId="77777777" w:rsidR="00A052DC" w:rsidRDefault="009F0A60">
            <w:pPr>
              <w:pStyle w:val="B"/>
              <w:rPr>
                <w:szCs w:val="20"/>
              </w:rPr>
            </w:pPr>
            <w:r>
              <w:rPr>
                <w:rFonts w:hint="eastAsia"/>
                <w:szCs w:val="20"/>
              </w:rPr>
              <w:t>国家外汇管理局及其分支局签发给境内债务银行的</w:t>
            </w:r>
            <w:r>
              <w:rPr>
                <w:szCs w:val="20"/>
              </w:rPr>
              <w:t>12</w:t>
            </w:r>
            <w:r>
              <w:rPr>
                <w:rFonts w:hint="eastAsia"/>
                <w:szCs w:val="20"/>
              </w:rPr>
              <w:t>位金融机构标识码编码。</w:t>
            </w:r>
          </w:p>
        </w:tc>
      </w:tr>
      <w:tr w:rsidR="00A052DC" w14:paraId="584AD2BC" w14:textId="77777777">
        <w:trPr>
          <w:cantSplit/>
        </w:trPr>
        <w:tc>
          <w:tcPr>
            <w:tcW w:w="1526" w:type="dxa"/>
          </w:tcPr>
          <w:p w14:paraId="3CFAEF02" w14:textId="77777777" w:rsidR="00A052DC" w:rsidRDefault="009F0A60">
            <w:pPr>
              <w:pStyle w:val="B"/>
              <w:rPr>
                <w:szCs w:val="20"/>
              </w:rPr>
            </w:pPr>
            <w:r>
              <w:rPr>
                <w:rFonts w:hint="eastAsia"/>
                <w:szCs w:val="20"/>
              </w:rPr>
              <w:t>债务类型</w:t>
            </w:r>
          </w:p>
        </w:tc>
        <w:tc>
          <w:tcPr>
            <w:tcW w:w="6946" w:type="dxa"/>
          </w:tcPr>
          <w:p w14:paraId="01B00209" w14:textId="77777777" w:rsidR="00A052DC" w:rsidRDefault="009F0A60">
            <w:pPr>
              <w:pStyle w:val="B"/>
              <w:rPr>
                <w:szCs w:val="20"/>
              </w:rPr>
            </w:pPr>
            <w:r>
              <w:rPr>
                <w:rFonts w:hint="eastAsia"/>
                <w:szCs w:val="20"/>
              </w:rPr>
              <w:t>外债的债务类型代码，见外债的债务类型表。</w:t>
            </w:r>
          </w:p>
        </w:tc>
      </w:tr>
      <w:tr w:rsidR="00A052DC" w14:paraId="5179EE12" w14:textId="77777777">
        <w:trPr>
          <w:cantSplit/>
        </w:trPr>
        <w:tc>
          <w:tcPr>
            <w:tcW w:w="1526" w:type="dxa"/>
          </w:tcPr>
          <w:p w14:paraId="49834A5E" w14:textId="77777777" w:rsidR="00A052DC" w:rsidRDefault="009F0A60">
            <w:pPr>
              <w:pStyle w:val="B"/>
              <w:rPr>
                <w:szCs w:val="20"/>
              </w:rPr>
            </w:pPr>
            <w:r>
              <w:rPr>
                <w:rFonts w:hint="eastAsia"/>
                <w:szCs w:val="20"/>
              </w:rPr>
              <w:t>起息日</w:t>
            </w:r>
          </w:p>
        </w:tc>
        <w:tc>
          <w:tcPr>
            <w:tcW w:w="6946" w:type="dxa"/>
          </w:tcPr>
          <w:p w14:paraId="4CC8E159" w14:textId="77777777" w:rsidR="00A052DC" w:rsidRDefault="009F0A60">
            <w:pPr>
              <w:pStyle w:val="B"/>
              <w:rPr>
                <w:szCs w:val="20"/>
              </w:rPr>
            </w:pPr>
            <w:r>
              <w:rPr>
                <w:rFonts w:hint="eastAsia"/>
                <w:szCs w:val="20"/>
              </w:rPr>
              <w:t>债务起始计息日期。</w:t>
            </w:r>
          </w:p>
        </w:tc>
      </w:tr>
      <w:tr w:rsidR="00A052DC" w14:paraId="61B0FFE4" w14:textId="77777777">
        <w:trPr>
          <w:cantSplit/>
        </w:trPr>
        <w:tc>
          <w:tcPr>
            <w:tcW w:w="1526" w:type="dxa"/>
          </w:tcPr>
          <w:p w14:paraId="4DAF011B" w14:textId="77777777" w:rsidR="00A052DC" w:rsidRDefault="009F0A60">
            <w:pPr>
              <w:pStyle w:val="B"/>
              <w:rPr>
                <w:szCs w:val="20"/>
              </w:rPr>
            </w:pPr>
            <w:r>
              <w:rPr>
                <w:rFonts w:hint="eastAsia"/>
                <w:szCs w:val="20"/>
              </w:rPr>
              <w:t>签约币种</w:t>
            </w:r>
          </w:p>
        </w:tc>
        <w:tc>
          <w:tcPr>
            <w:tcW w:w="6946" w:type="dxa"/>
          </w:tcPr>
          <w:p w14:paraId="4DCA371C" w14:textId="77777777" w:rsidR="00A052DC" w:rsidRDefault="009F0A60">
            <w:pPr>
              <w:pStyle w:val="B"/>
              <w:rPr>
                <w:szCs w:val="20"/>
              </w:rPr>
            </w:pPr>
            <w:r>
              <w:rPr>
                <w:rFonts w:hint="eastAsia"/>
                <w:szCs w:val="20"/>
              </w:rPr>
              <w:t>外债合同约定的借款币种即签约币种。</w:t>
            </w:r>
          </w:p>
        </w:tc>
      </w:tr>
      <w:tr w:rsidR="00A052DC" w14:paraId="3E43F365" w14:textId="77777777">
        <w:trPr>
          <w:cantSplit/>
        </w:trPr>
        <w:tc>
          <w:tcPr>
            <w:tcW w:w="1526" w:type="dxa"/>
          </w:tcPr>
          <w:p w14:paraId="5E55BC0C" w14:textId="77777777" w:rsidR="00A052DC" w:rsidRDefault="009F0A60">
            <w:pPr>
              <w:pStyle w:val="B"/>
              <w:rPr>
                <w:szCs w:val="20"/>
              </w:rPr>
            </w:pPr>
            <w:r>
              <w:rPr>
                <w:rFonts w:hint="eastAsia"/>
                <w:szCs w:val="20"/>
              </w:rPr>
              <w:t>签约金额</w:t>
            </w:r>
          </w:p>
        </w:tc>
        <w:tc>
          <w:tcPr>
            <w:tcW w:w="6946" w:type="dxa"/>
          </w:tcPr>
          <w:p w14:paraId="1A1BF99E" w14:textId="77777777" w:rsidR="00A052DC" w:rsidRDefault="009F0A60">
            <w:pPr>
              <w:pStyle w:val="B"/>
              <w:rPr>
                <w:szCs w:val="20"/>
              </w:rPr>
            </w:pPr>
            <w:r>
              <w:rPr>
                <w:rFonts w:hint="eastAsia"/>
                <w:szCs w:val="20"/>
              </w:rPr>
              <w:t>外债合同约定的借款金额即签约金额。</w:t>
            </w:r>
          </w:p>
        </w:tc>
      </w:tr>
      <w:tr w:rsidR="00A052DC" w14:paraId="67AAD8DD" w14:textId="77777777">
        <w:trPr>
          <w:cantSplit/>
        </w:trPr>
        <w:tc>
          <w:tcPr>
            <w:tcW w:w="1526" w:type="dxa"/>
          </w:tcPr>
          <w:p w14:paraId="4FDD5118" w14:textId="77777777" w:rsidR="00A052DC" w:rsidRDefault="009F0A60">
            <w:pPr>
              <w:pStyle w:val="B"/>
              <w:rPr>
                <w:szCs w:val="20"/>
              </w:rPr>
            </w:pPr>
            <w:r>
              <w:rPr>
                <w:rFonts w:hint="eastAsia"/>
                <w:szCs w:val="20"/>
              </w:rPr>
              <w:t>到期日</w:t>
            </w:r>
          </w:p>
        </w:tc>
        <w:tc>
          <w:tcPr>
            <w:tcW w:w="6946" w:type="dxa"/>
            <w:vAlign w:val="center"/>
          </w:tcPr>
          <w:p w14:paraId="787CD2AB" w14:textId="77777777" w:rsidR="00A052DC" w:rsidRDefault="009F0A60">
            <w:pPr>
              <w:pStyle w:val="B"/>
              <w:rPr>
                <w:szCs w:val="20"/>
              </w:rPr>
            </w:pPr>
            <w:r>
              <w:rPr>
                <w:rFonts w:hint="eastAsia"/>
                <w:szCs w:val="20"/>
              </w:rPr>
              <w:t>外债的到期日期。</w:t>
            </w:r>
          </w:p>
        </w:tc>
      </w:tr>
      <w:tr w:rsidR="00A052DC" w14:paraId="46157BC2" w14:textId="77777777">
        <w:trPr>
          <w:cantSplit/>
        </w:trPr>
        <w:tc>
          <w:tcPr>
            <w:tcW w:w="1526" w:type="dxa"/>
          </w:tcPr>
          <w:p w14:paraId="204E821C" w14:textId="77777777" w:rsidR="00A052DC" w:rsidRDefault="009F0A60">
            <w:pPr>
              <w:pStyle w:val="B"/>
              <w:rPr>
                <w:szCs w:val="20"/>
              </w:rPr>
            </w:pPr>
            <w:r>
              <w:rPr>
                <w:rFonts w:hint="eastAsia"/>
                <w:szCs w:val="20"/>
              </w:rPr>
              <w:t>是否浮动利率</w:t>
            </w:r>
          </w:p>
        </w:tc>
        <w:tc>
          <w:tcPr>
            <w:tcW w:w="6946" w:type="dxa"/>
          </w:tcPr>
          <w:p w14:paraId="7EE22E41" w14:textId="77777777" w:rsidR="00A052DC" w:rsidRDefault="009F0A60">
            <w:pPr>
              <w:pStyle w:val="B"/>
              <w:rPr>
                <w:szCs w:val="20"/>
              </w:rPr>
            </w:pPr>
            <w:r>
              <w:rPr>
                <w:rFonts w:hint="eastAsia"/>
                <w:szCs w:val="20"/>
              </w:rPr>
              <w:t>标识债务利率条件为浮动利率或固定利率，系统默认为否，若为浮动利率，选择是。</w:t>
            </w:r>
          </w:p>
        </w:tc>
      </w:tr>
      <w:tr w:rsidR="00A052DC" w14:paraId="04366612" w14:textId="77777777">
        <w:trPr>
          <w:cantSplit/>
        </w:trPr>
        <w:tc>
          <w:tcPr>
            <w:tcW w:w="1526" w:type="dxa"/>
          </w:tcPr>
          <w:p w14:paraId="41399CF7" w14:textId="77777777" w:rsidR="00A052DC" w:rsidRDefault="009F0A60">
            <w:pPr>
              <w:pStyle w:val="B"/>
              <w:rPr>
                <w:szCs w:val="20"/>
              </w:rPr>
            </w:pPr>
            <w:r>
              <w:rPr>
                <w:rFonts w:hint="eastAsia"/>
                <w:szCs w:val="20"/>
              </w:rPr>
              <w:t>年化利率值</w:t>
            </w:r>
          </w:p>
        </w:tc>
        <w:tc>
          <w:tcPr>
            <w:tcW w:w="6946" w:type="dxa"/>
          </w:tcPr>
          <w:p w14:paraId="5A478140" w14:textId="77777777" w:rsidR="00A052DC" w:rsidRDefault="009F0A60">
            <w:pPr>
              <w:pStyle w:val="B"/>
              <w:rPr>
                <w:szCs w:val="20"/>
              </w:rPr>
            </w:pPr>
            <w:r>
              <w:rPr>
                <w:rFonts w:hint="eastAsia"/>
                <w:szCs w:val="20"/>
              </w:rPr>
              <w:t>外债的年化利率，若为浮动利率，应该按照该笔外债签约日期当天的浮动利率条件计算年化利率值。</w:t>
            </w:r>
          </w:p>
        </w:tc>
      </w:tr>
      <w:tr w:rsidR="00A052DC" w14:paraId="2982868E" w14:textId="77777777">
        <w:trPr>
          <w:cantSplit/>
        </w:trPr>
        <w:tc>
          <w:tcPr>
            <w:tcW w:w="1526" w:type="dxa"/>
          </w:tcPr>
          <w:p w14:paraId="35F670A5" w14:textId="77777777" w:rsidR="00A052DC" w:rsidRDefault="009F0A60">
            <w:pPr>
              <w:pStyle w:val="B"/>
              <w:rPr>
                <w:szCs w:val="20"/>
              </w:rPr>
            </w:pPr>
            <w:r>
              <w:rPr>
                <w:rFonts w:hint="eastAsia"/>
                <w:szCs w:val="20"/>
              </w:rPr>
              <w:t>债权人代码</w:t>
            </w:r>
          </w:p>
        </w:tc>
        <w:tc>
          <w:tcPr>
            <w:tcW w:w="6946" w:type="dxa"/>
            <w:vAlign w:val="center"/>
          </w:tcPr>
          <w:p w14:paraId="4A4C34F2" w14:textId="77777777" w:rsidR="00A052DC" w:rsidRDefault="009F0A60">
            <w:pPr>
              <w:pStyle w:val="B"/>
              <w:rPr>
                <w:szCs w:val="20"/>
              </w:rPr>
            </w:pPr>
            <w:r>
              <w:rPr>
                <w:rFonts w:hint="eastAsia"/>
                <w:szCs w:val="20"/>
              </w:rPr>
              <w:t>如果债权人为银行，应填写</w:t>
            </w:r>
            <w:r>
              <w:rPr>
                <w:szCs w:val="20"/>
              </w:rPr>
              <w:t>8</w:t>
            </w:r>
            <w:r>
              <w:rPr>
                <w:rFonts w:hint="eastAsia"/>
                <w:szCs w:val="20"/>
              </w:rPr>
              <w:t>位或</w:t>
            </w:r>
            <w:r>
              <w:rPr>
                <w:szCs w:val="20"/>
              </w:rPr>
              <w:t>11</w:t>
            </w:r>
            <w:r>
              <w:rPr>
                <w:rFonts w:hint="eastAsia"/>
                <w:szCs w:val="20"/>
              </w:rPr>
              <w:t>位的</w:t>
            </w:r>
            <w:r>
              <w:rPr>
                <w:szCs w:val="20"/>
              </w:rPr>
              <w:t>SWIFT CODE</w:t>
            </w:r>
            <w:r>
              <w:rPr>
                <w:rFonts w:hint="eastAsia"/>
                <w:szCs w:val="20"/>
              </w:rPr>
              <w:t>；如果债权人类型为“政府”、或“中央银行”时，或者当债务类型为“货币市场工具”或“债券和票据”或“非居民个人存款”时，应在外汇局编制的部分债权人代码表中选择债权人代码；否则为空。</w:t>
            </w:r>
          </w:p>
          <w:p w14:paraId="6897FAEF" w14:textId="77777777" w:rsidR="00A052DC" w:rsidRDefault="009F0A60">
            <w:pPr>
              <w:pStyle w:val="B"/>
              <w:rPr>
                <w:szCs w:val="20"/>
              </w:rPr>
            </w:pPr>
            <w:r>
              <w:rPr>
                <w:rFonts w:hint="eastAsia"/>
                <w:szCs w:val="20"/>
              </w:rPr>
              <w:t>如果债权人为“非银行金融机构”或“国际金融组织”，应优先填写</w:t>
            </w:r>
            <w:r>
              <w:rPr>
                <w:szCs w:val="20"/>
              </w:rPr>
              <w:t>SWIFT CODE</w:t>
            </w:r>
            <w:r>
              <w:rPr>
                <w:rFonts w:hint="eastAsia"/>
                <w:szCs w:val="20"/>
              </w:rPr>
              <w:t>。</w:t>
            </w:r>
          </w:p>
        </w:tc>
      </w:tr>
      <w:tr w:rsidR="00A052DC" w14:paraId="0295D5B1" w14:textId="77777777">
        <w:trPr>
          <w:cantSplit/>
        </w:trPr>
        <w:tc>
          <w:tcPr>
            <w:tcW w:w="1526" w:type="dxa"/>
          </w:tcPr>
          <w:p w14:paraId="0F70C65D" w14:textId="77777777" w:rsidR="00A052DC" w:rsidRDefault="009F0A60">
            <w:pPr>
              <w:pStyle w:val="B"/>
              <w:rPr>
                <w:szCs w:val="20"/>
              </w:rPr>
            </w:pPr>
            <w:r>
              <w:rPr>
                <w:rFonts w:hint="eastAsia"/>
                <w:szCs w:val="20"/>
              </w:rPr>
              <w:t>债权人中文名称</w:t>
            </w:r>
          </w:p>
        </w:tc>
        <w:tc>
          <w:tcPr>
            <w:tcW w:w="6946" w:type="dxa"/>
            <w:vAlign w:val="center"/>
          </w:tcPr>
          <w:p w14:paraId="747689EA" w14:textId="77777777" w:rsidR="00A052DC" w:rsidRDefault="009F0A60">
            <w:pPr>
              <w:pStyle w:val="B"/>
              <w:rPr>
                <w:szCs w:val="20"/>
              </w:rPr>
            </w:pPr>
            <w:r>
              <w:rPr>
                <w:rFonts w:hint="eastAsia"/>
                <w:szCs w:val="20"/>
              </w:rPr>
              <w:t>债权人中文名称。</w:t>
            </w:r>
          </w:p>
        </w:tc>
      </w:tr>
      <w:tr w:rsidR="00A052DC" w14:paraId="71E0803C" w14:textId="77777777">
        <w:trPr>
          <w:cantSplit/>
        </w:trPr>
        <w:tc>
          <w:tcPr>
            <w:tcW w:w="1526" w:type="dxa"/>
          </w:tcPr>
          <w:p w14:paraId="49338832" w14:textId="77777777" w:rsidR="00A052DC" w:rsidRDefault="009F0A60">
            <w:pPr>
              <w:pStyle w:val="B"/>
              <w:rPr>
                <w:szCs w:val="20"/>
              </w:rPr>
            </w:pPr>
            <w:r>
              <w:rPr>
                <w:rFonts w:hint="eastAsia"/>
                <w:szCs w:val="20"/>
              </w:rPr>
              <w:t>债权人英文名称</w:t>
            </w:r>
          </w:p>
        </w:tc>
        <w:tc>
          <w:tcPr>
            <w:tcW w:w="6946" w:type="dxa"/>
            <w:vAlign w:val="center"/>
          </w:tcPr>
          <w:p w14:paraId="58FCB60A" w14:textId="77777777" w:rsidR="00A052DC" w:rsidRDefault="009F0A60">
            <w:pPr>
              <w:pStyle w:val="B"/>
              <w:rPr>
                <w:szCs w:val="20"/>
              </w:rPr>
            </w:pPr>
            <w:r>
              <w:rPr>
                <w:rFonts w:hint="eastAsia"/>
                <w:szCs w:val="20"/>
              </w:rPr>
              <w:t>债权人英文名称（中英文名称至少填写一个）。</w:t>
            </w:r>
          </w:p>
        </w:tc>
      </w:tr>
      <w:tr w:rsidR="00A052DC" w14:paraId="1384A090" w14:textId="77777777">
        <w:trPr>
          <w:cantSplit/>
        </w:trPr>
        <w:tc>
          <w:tcPr>
            <w:tcW w:w="1526" w:type="dxa"/>
          </w:tcPr>
          <w:p w14:paraId="4CA47F7F" w14:textId="77777777" w:rsidR="00A052DC" w:rsidRDefault="009F0A60">
            <w:pPr>
              <w:pStyle w:val="B"/>
              <w:rPr>
                <w:szCs w:val="20"/>
              </w:rPr>
            </w:pPr>
            <w:r>
              <w:rPr>
                <w:rFonts w:hint="eastAsia"/>
                <w:szCs w:val="20"/>
              </w:rPr>
              <w:t>债权人类型代码</w:t>
            </w:r>
          </w:p>
        </w:tc>
        <w:tc>
          <w:tcPr>
            <w:tcW w:w="6946" w:type="dxa"/>
          </w:tcPr>
          <w:p w14:paraId="5DBC1529" w14:textId="77777777" w:rsidR="00A052DC" w:rsidRDefault="009F0A60">
            <w:pPr>
              <w:pStyle w:val="B"/>
              <w:rPr>
                <w:szCs w:val="20"/>
              </w:rPr>
            </w:pPr>
            <w:r>
              <w:rPr>
                <w:rFonts w:hint="eastAsia"/>
                <w:szCs w:val="20"/>
              </w:rPr>
              <w:t>债权人类型代码，见境外主体类型代码表。</w:t>
            </w:r>
          </w:p>
        </w:tc>
      </w:tr>
      <w:tr w:rsidR="00A052DC" w14:paraId="70CAAC80" w14:textId="77777777">
        <w:trPr>
          <w:cantSplit/>
        </w:trPr>
        <w:tc>
          <w:tcPr>
            <w:tcW w:w="1526" w:type="dxa"/>
          </w:tcPr>
          <w:p w14:paraId="62105F8B" w14:textId="77777777" w:rsidR="00A052DC" w:rsidRDefault="009F0A60">
            <w:pPr>
              <w:pStyle w:val="B"/>
              <w:rPr>
                <w:szCs w:val="20"/>
              </w:rPr>
            </w:pPr>
            <w:r>
              <w:rPr>
                <w:rFonts w:hint="eastAsia"/>
                <w:szCs w:val="20"/>
              </w:rPr>
              <w:t>债权人总部所在国家（地区）代码</w:t>
            </w:r>
          </w:p>
        </w:tc>
        <w:tc>
          <w:tcPr>
            <w:tcW w:w="6946" w:type="dxa"/>
            <w:vAlign w:val="center"/>
          </w:tcPr>
          <w:p w14:paraId="292E5048" w14:textId="77777777" w:rsidR="00A052DC" w:rsidRDefault="009F0A60">
            <w:pPr>
              <w:pStyle w:val="B"/>
              <w:rPr>
                <w:szCs w:val="20"/>
              </w:rPr>
            </w:pPr>
            <w:r>
              <w:rPr>
                <w:rFonts w:hint="eastAsia"/>
                <w:szCs w:val="20"/>
              </w:rPr>
              <w:t>债权人总部所在地代码，见国家和地区代码表。</w:t>
            </w:r>
          </w:p>
        </w:tc>
      </w:tr>
      <w:tr w:rsidR="00A052DC" w14:paraId="6C25630B" w14:textId="77777777">
        <w:trPr>
          <w:cantSplit/>
        </w:trPr>
        <w:tc>
          <w:tcPr>
            <w:tcW w:w="1526" w:type="dxa"/>
          </w:tcPr>
          <w:p w14:paraId="2A489C3E" w14:textId="77777777" w:rsidR="00A052DC" w:rsidRDefault="009F0A60">
            <w:pPr>
              <w:pStyle w:val="B"/>
              <w:rPr>
                <w:szCs w:val="20"/>
              </w:rPr>
            </w:pPr>
            <w:r>
              <w:rPr>
                <w:rFonts w:hint="eastAsia"/>
                <w:szCs w:val="20"/>
              </w:rPr>
              <w:t>债权人经营地所在国家（地区）代码</w:t>
            </w:r>
          </w:p>
        </w:tc>
        <w:tc>
          <w:tcPr>
            <w:tcW w:w="6946" w:type="dxa"/>
            <w:vAlign w:val="center"/>
          </w:tcPr>
          <w:p w14:paraId="3E9EC62C" w14:textId="77777777" w:rsidR="00A052DC" w:rsidRDefault="009F0A60">
            <w:pPr>
              <w:pStyle w:val="B"/>
              <w:rPr>
                <w:szCs w:val="20"/>
              </w:rPr>
            </w:pPr>
            <w:r>
              <w:rPr>
                <w:rFonts w:hint="eastAsia"/>
                <w:szCs w:val="20"/>
              </w:rPr>
              <w:t>债权人经营所在地代码，见国家和地区代码表。</w:t>
            </w:r>
          </w:p>
        </w:tc>
      </w:tr>
      <w:tr w:rsidR="00A052DC" w14:paraId="12824B64" w14:textId="77777777">
        <w:trPr>
          <w:cantSplit/>
        </w:trPr>
        <w:tc>
          <w:tcPr>
            <w:tcW w:w="1526" w:type="dxa"/>
          </w:tcPr>
          <w:p w14:paraId="71558DC3" w14:textId="77777777" w:rsidR="00A052DC" w:rsidRDefault="009F0A60">
            <w:pPr>
              <w:pStyle w:val="B"/>
              <w:rPr>
                <w:szCs w:val="20"/>
              </w:rPr>
            </w:pPr>
            <w:r>
              <w:rPr>
                <w:rFonts w:hint="eastAsia"/>
                <w:szCs w:val="20"/>
              </w:rPr>
              <w:t>是否有利息本金化条款</w:t>
            </w:r>
          </w:p>
        </w:tc>
        <w:tc>
          <w:tcPr>
            <w:tcW w:w="6946" w:type="dxa"/>
          </w:tcPr>
          <w:p w14:paraId="7A2C59E9" w14:textId="77777777" w:rsidR="00A052DC" w:rsidRDefault="009F0A60">
            <w:pPr>
              <w:pStyle w:val="B"/>
              <w:rPr>
                <w:szCs w:val="20"/>
              </w:rPr>
            </w:pPr>
            <w:r>
              <w:rPr>
                <w:rFonts w:hint="eastAsia"/>
                <w:szCs w:val="20"/>
              </w:rPr>
              <w:t>标识债务合同中是否包含利息本金化条款，若有，选择是，系统默认为“否”。</w:t>
            </w:r>
          </w:p>
        </w:tc>
      </w:tr>
      <w:tr w:rsidR="00A052DC" w14:paraId="2AA3ABF5" w14:textId="77777777">
        <w:trPr>
          <w:cantSplit/>
        </w:trPr>
        <w:tc>
          <w:tcPr>
            <w:tcW w:w="1526" w:type="dxa"/>
          </w:tcPr>
          <w:p w14:paraId="2B92E5AA" w14:textId="77777777" w:rsidR="00A052DC" w:rsidRDefault="009F0A60">
            <w:pPr>
              <w:pStyle w:val="B"/>
              <w:rPr>
                <w:szCs w:val="20"/>
              </w:rPr>
            </w:pPr>
            <w:r>
              <w:rPr>
                <w:rFonts w:hint="eastAsia"/>
                <w:szCs w:val="20"/>
              </w:rPr>
              <w:t>是否不纳入跨境融资风险加权余额计算</w:t>
            </w:r>
          </w:p>
        </w:tc>
        <w:tc>
          <w:tcPr>
            <w:tcW w:w="6946" w:type="dxa"/>
          </w:tcPr>
          <w:p w14:paraId="3D817649" w14:textId="77777777" w:rsidR="00A052DC" w:rsidRDefault="009F0A60">
            <w:pPr>
              <w:pStyle w:val="B"/>
              <w:rPr>
                <w:szCs w:val="20"/>
              </w:rPr>
            </w:pPr>
            <w:r>
              <w:rPr>
                <w:rFonts w:hint="eastAsia"/>
                <w:szCs w:val="20"/>
              </w:rPr>
              <w:t>标识该笔债务是否不纳入跨境融资风险加权余额计算，默认为“否”。</w:t>
            </w:r>
          </w:p>
        </w:tc>
      </w:tr>
      <w:tr w:rsidR="00A052DC" w14:paraId="390A6F21" w14:textId="77777777">
        <w:trPr>
          <w:cantSplit/>
        </w:trPr>
        <w:tc>
          <w:tcPr>
            <w:tcW w:w="1526" w:type="dxa"/>
          </w:tcPr>
          <w:p w14:paraId="64089CE2" w14:textId="77777777" w:rsidR="00A052DC" w:rsidRDefault="009F0A60">
            <w:pPr>
              <w:pStyle w:val="B"/>
              <w:rPr>
                <w:szCs w:val="20"/>
              </w:rPr>
            </w:pPr>
            <w:r>
              <w:rPr>
                <w:rFonts w:hint="eastAsia"/>
                <w:szCs w:val="20"/>
              </w:rPr>
              <w:t>对方与本机构的关系</w:t>
            </w:r>
          </w:p>
        </w:tc>
        <w:tc>
          <w:tcPr>
            <w:tcW w:w="6946" w:type="dxa"/>
          </w:tcPr>
          <w:p w14:paraId="397783DC" w14:textId="77777777" w:rsidR="00A052DC" w:rsidRDefault="009F0A60">
            <w:pPr>
              <w:pStyle w:val="B"/>
              <w:rPr>
                <w:szCs w:val="20"/>
              </w:rPr>
            </w:pPr>
            <w:r>
              <w:rPr>
                <w:rFonts w:hint="eastAsia"/>
                <w:szCs w:val="20"/>
              </w:rPr>
              <w:t>债权人与本机构的关系，见对方与本机构</w:t>
            </w:r>
            <w:r>
              <w:rPr>
                <w:szCs w:val="20"/>
              </w:rPr>
              <w:t>/</w:t>
            </w:r>
            <w:r>
              <w:rPr>
                <w:rFonts w:hint="eastAsia"/>
                <w:szCs w:val="20"/>
              </w:rPr>
              <w:t>被代理居民机构</w:t>
            </w:r>
            <w:r>
              <w:rPr>
                <w:szCs w:val="20"/>
              </w:rPr>
              <w:t>/</w:t>
            </w:r>
            <w:r>
              <w:rPr>
                <w:rFonts w:hint="eastAsia"/>
                <w:szCs w:val="20"/>
              </w:rPr>
              <w:t>委托人的关系代码表。</w:t>
            </w:r>
          </w:p>
        </w:tc>
      </w:tr>
      <w:tr w:rsidR="00A052DC" w14:paraId="2A4940A5" w14:textId="77777777">
        <w:trPr>
          <w:cantSplit/>
        </w:trPr>
        <w:tc>
          <w:tcPr>
            <w:tcW w:w="1526" w:type="dxa"/>
            <w:tcBorders>
              <w:top w:val="single" w:sz="6" w:space="0" w:color="auto"/>
              <w:left w:val="single" w:sz="6" w:space="0" w:color="auto"/>
              <w:bottom w:val="single" w:sz="6" w:space="0" w:color="auto"/>
              <w:right w:val="single" w:sz="6" w:space="0" w:color="auto"/>
            </w:tcBorders>
          </w:tcPr>
          <w:p w14:paraId="60562784" w14:textId="77777777" w:rsidR="00A052DC" w:rsidRDefault="009F0A60">
            <w:pPr>
              <w:pStyle w:val="B"/>
              <w:rPr>
                <w:szCs w:val="20"/>
              </w:rPr>
            </w:pPr>
            <w:r>
              <w:rPr>
                <w:rFonts w:hint="eastAsia"/>
                <w:szCs w:val="20"/>
              </w:rPr>
              <w:t>备注</w:t>
            </w:r>
          </w:p>
        </w:tc>
        <w:tc>
          <w:tcPr>
            <w:tcW w:w="6946" w:type="dxa"/>
            <w:tcBorders>
              <w:top w:val="single" w:sz="6" w:space="0" w:color="auto"/>
              <w:left w:val="single" w:sz="6" w:space="0" w:color="auto"/>
              <w:bottom w:val="single" w:sz="6" w:space="0" w:color="auto"/>
              <w:right w:val="single" w:sz="6" w:space="0" w:color="auto"/>
            </w:tcBorders>
          </w:tcPr>
          <w:p w14:paraId="6436EDAF" w14:textId="77777777" w:rsidR="00A052DC" w:rsidRDefault="009F0A60">
            <w:pPr>
              <w:pStyle w:val="B"/>
              <w:rPr>
                <w:szCs w:val="20"/>
              </w:rPr>
            </w:pPr>
            <w:r>
              <w:rPr>
                <w:rFonts w:hint="eastAsia"/>
                <w:szCs w:val="20"/>
              </w:rPr>
              <w:t>需要说明的备注事项。</w:t>
            </w:r>
          </w:p>
        </w:tc>
      </w:tr>
    </w:tbl>
    <w:p w14:paraId="5741CD43" w14:textId="77777777" w:rsidR="00A052DC" w:rsidRDefault="009F0A60">
      <w:pPr>
        <w:pStyle w:val="5"/>
        <w:numPr>
          <w:ilvl w:val="4"/>
          <w:numId w:val="1"/>
        </w:numPr>
        <w:spacing w:before="120" w:after="120" w:line="360" w:lineRule="auto"/>
        <w:jc w:val="left"/>
      </w:pPr>
      <w:bookmarkStart w:id="1533" w:name="_Toc454386899"/>
      <w:bookmarkStart w:id="1534" w:name="_Toc454386900"/>
      <w:bookmarkEnd w:id="1533"/>
      <w:r>
        <w:rPr>
          <w:rFonts w:hint="eastAsia"/>
        </w:rPr>
        <w:t>数据格式</w:t>
      </w:r>
      <w:bookmarkEnd w:id="1534"/>
    </w:p>
    <w:p w14:paraId="126C5C95" w14:textId="77777777" w:rsidR="00A052DC" w:rsidRDefault="009F0A60">
      <w:r>
        <w:t>&lt;REC&gt;</w:t>
      </w:r>
    </w:p>
    <w:p w14:paraId="6228806A" w14:textId="77777777" w:rsidR="00A052DC" w:rsidRDefault="009F0A60">
      <w:r>
        <w:t>&lt;ACTIONTYPE&gt;</w:t>
      </w:r>
      <w:r>
        <w:rPr>
          <w:rFonts w:hint="eastAsia"/>
        </w:rPr>
        <w:t>操作类型</w:t>
      </w:r>
      <w:r>
        <w:t>&lt;/ACTIONTYPE&gt;</w:t>
      </w:r>
    </w:p>
    <w:p w14:paraId="46D35CDE" w14:textId="77777777" w:rsidR="00A052DC" w:rsidRDefault="009F0A60">
      <w:r>
        <w:t>&lt;ACTIONDESC&gt;</w:t>
      </w:r>
      <w:r>
        <w:rPr>
          <w:rFonts w:hint="eastAsia"/>
        </w:rPr>
        <w:t>删除原因</w:t>
      </w:r>
      <w:r>
        <w:t>&lt;/ACTIONDESC&gt;</w:t>
      </w:r>
    </w:p>
    <w:p w14:paraId="359E7BE1" w14:textId="77777777" w:rsidR="00A052DC" w:rsidRDefault="009F0A60">
      <w:r>
        <w:t>&lt;EXDEBTCODE&gt;</w:t>
      </w:r>
      <w:r>
        <w:rPr>
          <w:rFonts w:hint="eastAsia"/>
        </w:rPr>
        <w:t>外债编号</w:t>
      </w:r>
      <w:r>
        <w:t>&lt;/EXDEBTCODE&gt;</w:t>
      </w:r>
    </w:p>
    <w:p w14:paraId="1C03284E" w14:textId="77777777" w:rsidR="00A052DC" w:rsidRDefault="009F0A60">
      <w:r>
        <w:t>&lt;DEBTORCODE&gt;</w:t>
      </w:r>
      <w:r>
        <w:rPr>
          <w:rFonts w:hint="eastAsia"/>
        </w:rPr>
        <w:t>债务人代码</w:t>
      </w:r>
      <w:r>
        <w:t>&lt;/DEBTORCODE&gt;</w:t>
      </w:r>
    </w:p>
    <w:p w14:paraId="402DE957" w14:textId="77777777" w:rsidR="00A052DC" w:rsidRDefault="009F0A60">
      <w:r>
        <w:t>&lt;DEBTYPE&gt;</w:t>
      </w:r>
      <w:r>
        <w:rPr>
          <w:rFonts w:hint="eastAsia"/>
        </w:rPr>
        <w:t>债务类型</w:t>
      </w:r>
      <w:r>
        <w:t>&lt;/DEBTYPE&gt;</w:t>
      </w:r>
    </w:p>
    <w:p w14:paraId="3C5D8081" w14:textId="77777777" w:rsidR="00A052DC" w:rsidRDefault="009F0A60">
      <w:r>
        <w:t>&lt;VALUEDATE&gt;</w:t>
      </w:r>
      <w:r>
        <w:rPr>
          <w:rFonts w:hint="eastAsia"/>
        </w:rPr>
        <w:t>起息日</w:t>
      </w:r>
      <w:r>
        <w:t>&lt;/VALUEDATE&gt;</w:t>
      </w:r>
    </w:p>
    <w:p w14:paraId="6A179CCB" w14:textId="77777777" w:rsidR="00A052DC" w:rsidRDefault="009F0A60">
      <w:r>
        <w:t>&lt;CONTRACTCURR&gt;</w:t>
      </w:r>
      <w:r>
        <w:rPr>
          <w:rFonts w:hint="eastAsia"/>
        </w:rPr>
        <w:t>签约币种</w:t>
      </w:r>
      <w:r>
        <w:t>&lt;/CONTRACTCURR&gt;</w:t>
      </w:r>
    </w:p>
    <w:p w14:paraId="26E6FFF9" w14:textId="77777777" w:rsidR="00A052DC" w:rsidRDefault="009F0A60">
      <w:r>
        <w:t>&lt;CONTRACTAMOUNT&gt;</w:t>
      </w:r>
      <w:r>
        <w:rPr>
          <w:rFonts w:hint="eastAsia"/>
        </w:rPr>
        <w:t>签约金额</w:t>
      </w:r>
      <w:r>
        <w:t>&lt;/CONTRACTAMOUNT&gt;</w:t>
      </w:r>
    </w:p>
    <w:p w14:paraId="06F6C056" w14:textId="77777777" w:rsidR="00A052DC" w:rsidRDefault="009F0A60">
      <w:r>
        <w:t>&lt;MATURITY&gt;</w:t>
      </w:r>
      <w:r>
        <w:rPr>
          <w:rFonts w:hint="eastAsia"/>
        </w:rPr>
        <w:t>到期日</w:t>
      </w:r>
      <w:r>
        <w:t>&lt;/MATURITY&gt;</w:t>
      </w:r>
    </w:p>
    <w:p w14:paraId="433D64A8" w14:textId="77777777" w:rsidR="00A052DC" w:rsidRDefault="009F0A60">
      <w:r>
        <w:t>&lt;FLOATRATE&gt;</w:t>
      </w:r>
      <w:r>
        <w:rPr>
          <w:rFonts w:hint="eastAsia"/>
        </w:rPr>
        <w:t>是否浮动利率</w:t>
      </w:r>
      <w:r>
        <w:t>&lt;/FLOATRATE&gt;</w:t>
      </w:r>
    </w:p>
    <w:p w14:paraId="254B4A77" w14:textId="77777777" w:rsidR="00A052DC" w:rsidRDefault="009F0A60">
      <w:r>
        <w:t>&lt;ANNINRATE&gt;</w:t>
      </w:r>
      <w:r>
        <w:rPr>
          <w:rFonts w:hint="eastAsia"/>
        </w:rPr>
        <w:t>年化利率值</w:t>
      </w:r>
      <w:r>
        <w:t>&lt;/ANNINRATE&gt;</w:t>
      </w:r>
    </w:p>
    <w:p w14:paraId="54746B01" w14:textId="77777777" w:rsidR="00A052DC" w:rsidRDefault="009F0A60">
      <w:r>
        <w:t>&lt;CREDITORCODE&gt;</w:t>
      </w:r>
      <w:r>
        <w:rPr>
          <w:rFonts w:hint="eastAsia"/>
        </w:rPr>
        <w:t>债权人代码</w:t>
      </w:r>
      <w:r>
        <w:t>&lt;/CREDITORCODE&gt;</w:t>
      </w:r>
    </w:p>
    <w:p w14:paraId="1139F2E9" w14:textId="77777777" w:rsidR="00A052DC" w:rsidRDefault="009F0A60">
      <w:r>
        <w:t>&lt;CREDITORNAME&gt;</w:t>
      </w:r>
      <w:r>
        <w:rPr>
          <w:rFonts w:hint="eastAsia"/>
        </w:rPr>
        <w:t>债权人中文名称</w:t>
      </w:r>
      <w:r>
        <w:t>&lt;/CREDITORNAME&gt;</w:t>
      </w:r>
    </w:p>
    <w:p w14:paraId="77289D8C" w14:textId="77777777" w:rsidR="00A052DC" w:rsidRDefault="009F0A60">
      <w:r>
        <w:t>&lt;CREDITORNAMEN&gt;</w:t>
      </w:r>
      <w:r>
        <w:rPr>
          <w:rFonts w:hint="eastAsia"/>
        </w:rPr>
        <w:t>债权人英文名称</w:t>
      </w:r>
      <w:r>
        <w:t>&lt;/CREDITORNAMEN&gt;</w:t>
      </w:r>
    </w:p>
    <w:p w14:paraId="6C30F9F2" w14:textId="77777777" w:rsidR="00A052DC" w:rsidRDefault="009F0A60">
      <w:r>
        <w:t>&lt;CREDITORTYPE&gt;</w:t>
      </w:r>
      <w:r>
        <w:rPr>
          <w:rFonts w:hint="eastAsia"/>
        </w:rPr>
        <w:t>债权人类型代码</w:t>
      </w:r>
      <w:r>
        <w:t>&lt;/CREDITORTYPE&gt;</w:t>
      </w:r>
    </w:p>
    <w:p w14:paraId="2DF19CF2" w14:textId="77777777" w:rsidR="00A052DC" w:rsidRDefault="009F0A60">
      <w:r>
        <w:t>&lt;CREHQCODE&gt;</w:t>
      </w:r>
      <w:r>
        <w:rPr>
          <w:rFonts w:hint="eastAsia"/>
        </w:rPr>
        <w:t>债权人总部所在国家（地区）代码</w:t>
      </w:r>
      <w:r>
        <w:t>&lt;/CREHQCODE&gt;</w:t>
      </w:r>
    </w:p>
    <w:p w14:paraId="291EB646" w14:textId="77777777" w:rsidR="00A052DC" w:rsidRDefault="009F0A60">
      <w:r>
        <w:t>&lt;OPERCODE&gt;</w:t>
      </w:r>
      <w:r>
        <w:rPr>
          <w:rFonts w:hint="eastAsia"/>
        </w:rPr>
        <w:t>债权人经营地所在国家（地区）代码</w:t>
      </w:r>
      <w:r>
        <w:t>&lt;/OPERCODE&gt;</w:t>
      </w:r>
    </w:p>
    <w:p w14:paraId="1A43646A" w14:textId="77777777" w:rsidR="00A052DC" w:rsidRDefault="009F0A60">
      <w:r>
        <w:t>&lt;INPRTERM&gt;</w:t>
      </w:r>
      <w:r>
        <w:rPr>
          <w:rFonts w:hint="eastAsia"/>
        </w:rPr>
        <w:t>是否有利息本金化条款</w:t>
      </w:r>
      <w:r>
        <w:t>&lt;/INPRTERM&gt;</w:t>
      </w:r>
    </w:p>
    <w:p w14:paraId="266FE6D7" w14:textId="77777777" w:rsidR="00A052DC" w:rsidRDefault="009F0A60">
      <w:r>
        <w:t>&lt;SPAPFEBOINDEX&gt;</w:t>
      </w:r>
      <w:r>
        <w:rPr>
          <w:rFonts w:hint="eastAsia"/>
        </w:rPr>
        <w:t>是否不纳入跨境融资风险加权余额计算</w:t>
      </w:r>
      <w:r>
        <w:t>&lt;/SPAPFEBOINDEX&gt;</w:t>
      </w:r>
    </w:p>
    <w:p w14:paraId="2DF77FA7" w14:textId="77777777" w:rsidR="00A052DC" w:rsidRDefault="009F0A60">
      <w:r>
        <w:t>&lt;RELATION&gt;</w:t>
      </w:r>
      <w:r>
        <w:rPr>
          <w:rFonts w:hint="eastAsia"/>
        </w:rPr>
        <w:t>对方与本机构的关系</w:t>
      </w:r>
      <w:r>
        <w:t>&lt;/RELATION&gt;</w:t>
      </w:r>
    </w:p>
    <w:p w14:paraId="0AE8F054" w14:textId="77777777" w:rsidR="00A052DC" w:rsidRDefault="009F0A60">
      <w:r>
        <w:t>&lt;REMARK&gt;</w:t>
      </w:r>
      <w:r>
        <w:rPr>
          <w:rFonts w:hint="eastAsia"/>
        </w:rPr>
        <w:t>备注</w:t>
      </w:r>
      <w:r>
        <w:t>&lt;/REMARK&gt;</w:t>
      </w:r>
    </w:p>
    <w:p w14:paraId="25588502" w14:textId="77777777" w:rsidR="00A052DC" w:rsidRDefault="009F0A60">
      <w:r>
        <w:t>&lt;/REC&gt;</w:t>
      </w:r>
    </w:p>
    <w:p w14:paraId="4FF363EF" w14:textId="77777777" w:rsidR="00A052DC" w:rsidRDefault="009F0A60" w:rsidP="0020251D">
      <w:pPr>
        <w:pStyle w:val="5"/>
        <w:numPr>
          <w:ilvl w:val="4"/>
          <w:numId w:val="1"/>
        </w:numPr>
        <w:spacing w:before="120" w:after="120" w:line="360" w:lineRule="auto"/>
        <w:jc w:val="left"/>
      </w:pPr>
      <w:bookmarkStart w:id="1535" w:name="_Toc454386901"/>
      <w:r>
        <w:rPr>
          <w:rFonts w:hint="eastAsia"/>
        </w:rPr>
        <w:t>数据字典</w:t>
      </w:r>
      <w:bookmarkEnd w:id="1535"/>
    </w:p>
    <w:tbl>
      <w:tblPr>
        <w:tblW w:w="86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701"/>
        <w:gridCol w:w="1276"/>
        <w:gridCol w:w="4252"/>
      </w:tblGrid>
      <w:tr w:rsidR="00A052DC" w14:paraId="2A75A8C2" w14:textId="77777777">
        <w:trPr>
          <w:tblHeader/>
        </w:trPr>
        <w:tc>
          <w:tcPr>
            <w:tcW w:w="1418" w:type="dxa"/>
            <w:shd w:val="clear" w:color="auto" w:fill="C0C0C0"/>
          </w:tcPr>
          <w:p w14:paraId="474DA93B" w14:textId="77777777" w:rsidR="00A052DC" w:rsidRDefault="009F0A60">
            <w:pPr>
              <w:pStyle w:val="B1"/>
            </w:pPr>
            <w:r>
              <w:rPr>
                <w:rFonts w:hint="eastAsia"/>
              </w:rPr>
              <w:t>字段</w:t>
            </w:r>
          </w:p>
        </w:tc>
        <w:tc>
          <w:tcPr>
            <w:tcW w:w="1701" w:type="dxa"/>
            <w:shd w:val="clear" w:color="auto" w:fill="C0C0C0"/>
          </w:tcPr>
          <w:p w14:paraId="09621B5F" w14:textId="77777777" w:rsidR="00A052DC" w:rsidRDefault="009F0A60">
            <w:pPr>
              <w:pStyle w:val="B1"/>
            </w:pPr>
            <w:r>
              <w:rPr>
                <w:rFonts w:hint="eastAsia"/>
              </w:rPr>
              <w:t>内容</w:t>
            </w:r>
          </w:p>
        </w:tc>
        <w:tc>
          <w:tcPr>
            <w:tcW w:w="1276" w:type="dxa"/>
            <w:shd w:val="clear" w:color="auto" w:fill="C0C0C0"/>
          </w:tcPr>
          <w:p w14:paraId="13C0C44F" w14:textId="77777777" w:rsidR="00A052DC" w:rsidRDefault="009F0A60">
            <w:pPr>
              <w:pStyle w:val="B1"/>
            </w:pPr>
            <w:r>
              <w:rPr>
                <w:rFonts w:hint="eastAsia"/>
              </w:rPr>
              <w:t>类型（长度）</w:t>
            </w:r>
          </w:p>
        </w:tc>
        <w:tc>
          <w:tcPr>
            <w:tcW w:w="4252" w:type="dxa"/>
            <w:shd w:val="clear" w:color="auto" w:fill="C0C0C0"/>
          </w:tcPr>
          <w:p w14:paraId="6537D866" w14:textId="77777777" w:rsidR="00A052DC" w:rsidRDefault="009F0A60">
            <w:pPr>
              <w:pStyle w:val="B1"/>
            </w:pPr>
            <w:r>
              <w:rPr>
                <w:rFonts w:hint="eastAsia"/>
              </w:rPr>
              <w:t>校验</w:t>
            </w:r>
          </w:p>
        </w:tc>
      </w:tr>
      <w:tr w:rsidR="00A052DC" w14:paraId="6E1A32C0" w14:textId="77777777">
        <w:tc>
          <w:tcPr>
            <w:tcW w:w="1418" w:type="dxa"/>
          </w:tcPr>
          <w:p w14:paraId="7ED7DCEF" w14:textId="77777777" w:rsidR="00A052DC" w:rsidRDefault="009F0A60">
            <w:pPr>
              <w:pStyle w:val="B"/>
              <w:rPr>
                <w:szCs w:val="20"/>
              </w:rPr>
            </w:pPr>
            <w:r>
              <w:rPr>
                <w:szCs w:val="20"/>
              </w:rPr>
              <w:t>ACTIONTYPE</w:t>
            </w:r>
          </w:p>
        </w:tc>
        <w:tc>
          <w:tcPr>
            <w:tcW w:w="1701" w:type="dxa"/>
          </w:tcPr>
          <w:p w14:paraId="3A43C173" w14:textId="77777777" w:rsidR="00A052DC" w:rsidRDefault="009F0A60">
            <w:pPr>
              <w:pStyle w:val="B"/>
              <w:rPr>
                <w:szCs w:val="20"/>
              </w:rPr>
            </w:pPr>
            <w:r>
              <w:rPr>
                <w:rFonts w:hint="eastAsia"/>
                <w:szCs w:val="20"/>
              </w:rPr>
              <w:t>操作类型</w:t>
            </w:r>
          </w:p>
        </w:tc>
        <w:tc>
          <w:tcPr>
            <w:tcW w:w="1276" w:type="dxa"/>
          </w:tcPr>
          <w:p w14:paraId="54611FBC" w14:textId="77777777" w:rsidR="00A052DC" w:rsidRDefault="009F0A60">
            <w:pPr>
              <w:pStyle w:val="B"/>
              <w:rPr>
                <w:szCs w:val="20"/>
              </w:rPr>
            </w:pPr>
            <w:r>
              <w:rPr>
                <w:rFonts w:hint="eastAsia"/>
                <w:szCs w:val="20"/>
              </w:rPr>
              <w:t>字符型，</w:t>
            </w:r>
            <w:r>
              <w:rPr>
                <w:szCs w:val="20"/>
              </w:rPr>
              <w:t>1</w:t>
            </w:r>
          </w:p>
        </w:tc>
        <w:tc>
          <w:tcPr>
            <w:tcW w:w="4252" w:type="dxa"/>
          </w:tcPr>
          <w:p w14:paraId="2D0B49A9" w14:textId="77777777" w:rsidR="00A052DC" w:rsidRDefault="009F0A60">
            <w:pPr>
              <w:pStyle w:val="B"/>
              <w:rPr>
                <w:szCs w:val="20"/>
              </w:rPr>
            </w:pPr>
            <w:r>
              <w:rPr>
                <w:rFonts w:hint="eastAsia"/>
                <w:szCs w:val="20"/>
              </w:rPr>
              <w:t>必填项</w:t>
            </w:r>
            <w:r w:rsidR="000E18F5">
              <w:rPr>
                <w:rFonts w:hint="eastAsia"/>
                <w:szCs w:val="20"/>
              </w:rPr>
              <w:t>。</w:t>
            </w:r>
          </w:p>
          <w:p w14:paraId="2515B47C" w14:textId="77777777" w:rsidR="00A052DC" w:rsidRDefault="009F0A60">
            <w:pPr>
              <w:pStyle w:val="B"/>
              <w:rPr>
                <w:szCs w:val="20"/>
              </w:rPr>
            </w:pPr>
            <w:r>
              <w:rPr>
                <w:szCs w:val="20"/>
              </w:rPr>
              <w:t>A</w:t>
            </w:r>
            <w:r w:rsidR="00AE4602">
              <w:rPr>
                <w:rFonts w:hint="eastAsia"/>
                <w:szCs w:val="20"/>
              </w:rPr>
              <w:t>-</w:t>
            </w:r>
            <w:r>
              <w:rPr>
                <w:rFonts w:hint="eastAsia"/>
                <w:szCs w:val="20"/>
              </w:rPr>
              <w:t>新建</w:t>
            </w:r>
          </w:p>
          <w:p w14:paraId="4CB9B597" w14:textId="77777777" w:rsidR="00A052DC" w:rsidRDefault="009F0A60">
            <w:pPr>
              <w:pStyle w:val="B"/>
              <w:rPr>
                <w:szCs w:val="20"/>
              </w:rPr>
            </w:pPr>
            <w:r>
              <w:rPr>
                <w:szCs w:val="20"/>
              </w:rPr>
              <w:t>C</w:t>
            </w:r>
            <w:r w:rsidR="00AE4602">
              <w:rPr>
                <w:rFonts w:hint="eastAsia"/>
                <w:szCs w:val="20"/>
              </w:rPr>
              <w:t>-</w:t>
            </w:r>
            <w:r>
              <w:rPr>
                <w:rFonts w:hint="eastAsia"/>
                <w:szCs w:val="20"/>
              </w:rPr>
              <w:t>修改</w:t>
            </w:r>
          </w:p>
          <w:p w14:paraId="0B7832B5" w14:textId="77777777" w:rsidR="000E18F5" w:rsidRDefault="009F0A60" w:rsidP="000E18F5">
            <w:pPr>
              <w:pStyle w:val="B"/>
              <w:rPr>
                <w:szCs w:val="20"/>
              </w:rPr>
            </w:pPr>
            <w:r>
              <w:rPr>
                <w:szCs w:val="20"/>
              </w:rPr>
              <w:t>D</w:t>
            </w:r>
            <w:r w:rsidR="00AE4602">
              <w:rPr>
                <w:rFonts w:hint="eastAsia"/>
                <w:szCs w:val="20"/>
              </w:rPr>
              <w:t>-</w:t>
            </w:r>
            <w:r>
              <w:rPr>
                <w:rFonts w:hint="eastAsia"/>
                <w:szCs w:val="20"/>
              </w:rPr>
              <w:t>删除</w:t>
            </w:r>
          </w:p>
          <w:p w14:paraId="1D3DFCDC" w14:textId="77777777" w:rsidR="00A052DC" w:rsidRDefault="009F0A60" w:rsidP="000E18F5">
            <w:pPr>
              <w:pStyle w:val="B"/>
              <w:rPr>
                <w:szCs w:val="20"/>
              </w:rPr>
            </w:pPr>
            <w:r>
              <w:rPr>
                <w:rFonts w:hint="eastAsia"/>
                <w:szCs w:val="20"/>
              </w:rPr>
              <w:t>一旦银行报送了该外债编号下的变动信息或月末存量信息，就不可以删除了。</w:t>
            </w:r>
          </w:p>
        </w:tc>
      </w:tr>
      <w:tr w:rsidR="00A052DC" w14:paraId="7F265C1F" w14:textId="77777777">
        <w:tc>
          <w:tcPr>
            <w:tcW w:w="1418" w:type="dxa"/>
          </w:tcPr>
          <w:p w14:paraId="7E19DDBE" w14:textId="77777777" w:rsidR="00A052DC" w:rsidRDefault="009F0A60">
            <w:pPr>
              <w:pStyle w:val="B"/>
              <w:rPr>
                <w:szCs w:val="20"/>
              </w:rPr>
            </w:pPr>
            <w:r>
              <w:rPr>
                <w:szCs w:val="20"/>
              </w:rPr>
              <w:t>ACTIONDESC</w:t>
            </w:r>
          </w:p>
        </w:tc>
        <w:tc>
          <w:tcPr>
            <w:tcW w:w="1701" w:type="dxa"/>
          </w:tcPr>
          <w:p w14:paraId="415CB4BD" w14:textId="77777777" w:rsidR="00A052DC" w:rsidRDefault="009F0A60">
            <w:pPr>
              <w:pStyle w:val="B"/>
              <w:rPr>
                <w:szCs w:val="20"/>
              </w:rPr>
            </w:pPr>
            <w:r>
              <w:rPr>
                <w:rFonts w:hint="eastAsia"/>
                <w:szCs w:val="20"/>
              </w:rPr>
              <w:t>删除原因</w:t>
            </w:r>
          </w:p>
        </w:tc>
        <w:tc>
          <w:tcPr>
            <w:tcW w:w="1276" w:type="dxa"/>
          </w:tcPr>
          <w:p w14:paraId="1C8E9419" w14:textId="77777777" w:rsidR="00A052DC" w:rsidRDefault="009F0A60">
            <w:pPr>
              <w:pStyle w:val="B1"/>
              <w:jc w:val="both"/>
              <w:rPr>
                <w:b w:val="0"/>
              </w:rPr>
            </w:pPr>
            <w:r>
              <w:rPr>
                <w:rFonts w:hint="eastAsia"/>
                <w:b w:val="0"/>
              </w:rPr>
              <w:t>字符型，</w:t>
            </w:r>
            <w:r>
              <w:rPr>
                <w:b w:val="0"/>
              </w:rPr>
              <w:t>128</w:t>
            </w:r>
          </w:p>
        </w:tc>
        <w:tc>
          <w:tcPr>
            <w:tcW w:w="4252" w:type="dxa"/>
          </w:tcPr>
          <w:p w14:paraId="24D449F7" w14:textId="77777777" w:rsidR="00A052DC" w:rsidRDefault="00DD6AA3" w:rsidP="000E18F5">
            <w:pPr>
              <w:pStyle w:val="B"/>
              <w:rPr>
                <w:szCs w:val="20"/>
              </w:rPr>
            </w:pPr>
            <w:r>
              <w:rPr>
                <w:rFonts w:hint="eastAsia"/>
                <w:szCs w:val="20"/>
              </w:rPr>
              <w:t>非必填项，当操作类型（ACTIONTYPE）为删除时必填。</w:t>
            </w:r>
          </w:p>
        </w:tc>
      </w:tr>
      <w:tr w:rsidR="00A052DC" w14:paraId="71705E1A" w14:textId="77777777">
        <w:tc>
          <w:tcPr>
            <w:tcW w:w="1418" w:type="dxa"/>
          </w:tcPr>
          <w:p w14:paraId="7DA917D4" w14:textId="77777777" w:rsidR="00A052DC" w:rsidRDefault="009F0A60">
            <w:pPr>
              <w:pStyle w:val="B"/>
              <w:rPr>
                <w:szCs w:val="20"/>
              </w:rPr>
            </w:pPr>
            <w:r>
              <w:rPr>
                <w:szCs w:val="20"/>
              </w:rPr>
              <w:t>EXDEBTCODE</w:t>
            </w:r>
          </w:p>
        </w:tc>
        <w:tc>
          <w:tcPr>
            <w:tcW w:w="1701" w:type="dxa"/>
          </w:tcPr>
          <w:p w14:paraId="5B0428E9" w14:textId="77777777" w:rsidR="00A052DC" w:rsidRDefault="009F0A60">
            <w:pPr>
              <w:pStyle w:val="B"/>
              <w:rPr>
                <w:szCs w:val="20"/>
              </w:rPr>
            </w:pPr>
            <w:r>
              <w:rPr>
                <w:rFonts w:hint="eastAsia"/>
                <w:szCs w:val="20"/>
              </w:rPr>
              <w:t>外债编号</w:t>
            </w:r>
          </w:p>
        </w:tc>
        <w:tc>
          <w:tcPr>
            <w:tcW w:w="1276" w:type="dxa"/>
          </w:tcPr>
          <w:p w14:paraId="49A24717" w14:textId="77777777" w:rsidR="00A052DC" w:rsidRDefault="009F0A60">
            <w:pPr>
              <w:pStyle w:val="B"/>
              <w:rPr>
                <w:szCs w:val="20"/>
              </w:rPr>
            </w:pPr>
            <w:r>
              <w:rPr>
                <w:rFonts w:hint="eastAsia"/>
                <w:szCs w:val="20"/>
              </w:rPr>
              <w:t>字符型，</w:t>
            </w:r>
            <w:r>
              <w:rPr>
                <w:szCs w:val="20"/>
              </w:rPr>
              <w:t>28</w:t>
            </w:r>
          </w:p>
        </w:tc>
        <w:tc>
          <w:tcPr>
            <w:tcW w:w="4252" w:type="dxa"/>
          </w:tcPr>
          <w:p w14:paraId="718E0C07" w14:textId="77777777" w:rsidR="00A052DC" w:rsidRDefault="009F0A60" w:rsidP="000E18F5">
            <w:pPr>
              <w:pStyle w:val="B"/>
              <w:rPr>
                <w:szCs w:val="20"/>
              </w:rPr>
            </w:pPr>
            <w:r>
              <w:rPr>
                <w:rFonts w:hint="eastAsia"/>
                <w:szCs w:val="20"/>
              </w:rPr>
              <w:t>必填项，外债唯一性编码。</w:t>
            </w:r>
          </w:p>
        </w:tc>
      </w:tr>
      <w:tr w:rsidR="00A052DC" w14:paraId="6FA5A693" w14:textId="77777777">
        <w:tc>
          <w:tcPr>
            <w:tcW w:w="1418" w:type="dxa"/>
          </w:tcPr>
          <w:p w14:paraId="7ED70B7F" w14:textId="77777777" w:rsidR="00A052DC" w:rsidRDefault="009F0A60">
            <w:pPr>
              <w:pStyle w:val="B"/>
              <w:rPr>
                <w:szCs w:val="20"/>
              </w:rPr>
            </w:pPr>
            <w:r>
              <w:rPr>
                <w:szCs w:val="20"/>
              </w:rPr>
              <w:t>DEBTORCODE</w:t>
            </w:r>
          </w:p>
        </w:tc>
        <w:tc>
          <w:tcPr>
            <w:tcW w:w="1701" w:type="dxa"/>
          </w:tcPr>
          <w:p w14:paraId="1AE0F150" w14:textId="77777777" w:rsidR="00A052DC" w:rsidRDefault="009F0A60">
            <w:pPr>
              <w:pStyle w:val="B"/>
              <w:rPr>
                <w:szCs w:val="20"/>
              </w:rPr>
            </w:pPr>
            <w:r>
              <w:rPr>
                <w:rFonts w:hint="eastAsia"/>
                <w:szCs w:val="20"/>
              </w:rPr>
              <w:t>债务人代码</w:t>
            </w:r>
          </w:p>
        </w:tc>
        <w:tc>
          <w:tcPr>
            <w:tcW w:w="1276" w:type="dxa"/>
          </w:tcPr>
          <w:p w14:paraId="42964C60" w14:textId="77777777" w:rsidR="00A052DC" w:rsidRDefault="009F0A60">
            <w:pPr>
              <w:pStyle w:val="B"/>
              <w:rPr>
                <w:szCs w:val="20"/>
              </w:rPr>
            </w:pPr>
            <w:r>
              <w:rPr>
                <w:rFonts w:hint="eastAsia"/>
                <w:szCs w:val="20"/>
              </w:rPr>
              <w:t>字符型，</w:t>
            </w:r>
            <w:r>
              <w:rPr>
                <w:szCs w:val="20"/>
              </w:rPr>
              <w:t>12</w:t>
            </w:r>
          </w:p>
        </w:tc>
        <w:tc>
          <w:tcPr>
            <w:tcW w:w="4252" w:type="dxa"/>
          </w:tcPr>
          <w:p w14:paraId="1AFCCF33" w14:textId="77777777" w:rsidR="00A052DC" w:rsidRDefault="009F0A60" w:rsidP="000E18F5">
            <w:pPr>
              <w:pStyle w:val="B"/>
              <w:rPr>
                <w:szCs w:val="20"/>
              </w:rPr>
            </w:pPr>
            <w:r>
              <w:rPr>
                <w:rFonts w:hint="eastAsia"/>
                <w:szCs w:val="20"/>
              </w:rPr>
              <w:t>必填项，金融机构标识码。</w:t>
            </w:r>
          </w:p>
        </w:tc>
      </w:tr>
      <w:tr w:rsidR="00A052DC" w14:paraId="20FEEEA6" w14:textId="77777777">
        <w:tc>
          <w:tcPr>
            <w:tcW w:w="1418" w:type="dxa"/>
          </w:tcPr>
          <w:p w14:paraId="40F44772" w14:textId="77777777" w:rsidR="00A052DC" w:rsidRDefault="009F0A60">
            <w:pPr>
              <w:pStyle w:val="B"/>
              <w:rPr>
                <w:szCs w:val="20"/>
              </w:rPr>
            </w:pPr>
            <w:r>
              <w:rPr>
                <w:szCs w:val="20"/>
              </w:rPr>
              <w:t>DEBTYPE</w:t>
            </w:r>
          </w:p>
        </w:tc>
        <w:tc>
          <w:tcPr>
            <w:tcW w:w="1701" w:type="dxa"/>
          </w:tcPr>
          <w:p w14:paraId="7665A592" w14:textId="77777777" w:rsidR="00A052DC" w:rsidRDefault="009F0A60">
            <w:pPr>
              <w:pStyle w:val="B"/>
              <w:rPr>
                <w:szCs w:val="20"/>
              </w:rPr>
            </w:pPr>
            <w:r>
              <w:rPr>
                <w:rFonts w:hint="eastAsia"/>
                <w:szCs w:val="20"/>
              </w:rPr>
              <w:t>债务类型</w:t>
            </w:r>
          </w:p>
        </w:tc>
        <w:tc>
          <w:tcPr>
            <w:tcW w:w="1276" w:type="dxa"/>
          </w:tcPr>
          <w:p w14:paraId="348DC4FB" w14:textId="77777777" w:rsidR="00A052DC" w:rsidRDefault="009F0A60">
            <w:pPr>
              <w:pStyle w:val="B"/>
              <w:rPr>
                <w:szCs w:val="20"/>
              </w:rPr>
            </w:pPr>
            <w:r>
              <w:rPr>
                <w:rFonts w:hint="eastAsia"/>
                <w:szCs w:val="20"/>
              </w:rPr>
              <w:t>字符型，</w:t>
            </w:r>
            <w:r>
              <w:rPr>
                <w:szCs w:val="20"/>
              </w:rPr>
              <w:t>4</w:t>
            </w:r>
          </w:p>
        </w:tc>
        <w:tc>
          <w:tcPr>
            <w:tcW w:w="4252" w:type="dxa"/>
          </w:tcPr>
          <w:p w14:paraId="3DCA9D3C" w14:textId="77777777" w:rsidR="00A052DC" w:rsidRDefault="009F0A60" w:rsidP="000E18F5">
            <w:pPr>
              <w:pStyle w:val="B"/>
              <w:rPr>
                <w:szCs w:val="20"/>
              </w:rPr>
            </w:pPr>
            <w:r>
              <w:rPr>
                <w:rFonts w:hint="eastAsia"/>
                <w:szCs w:val="20"/>
              </w:rPr>
              <w:t>必填项，见债务类型代码表。</w:t>
            </w:r>
          </w:p>
        </w:tc>
      </w:tr>
      <w:tr w:rsidR="00A052DC" w14:paraId="0AC67F6A" w14:textId="77777777">
        <w:trPr>
          <w:cantSplit/>
          <w:trHeight w:val="64"/>
        </w:trPr>
        <w:tc>
          <w:tcPr>
            <w:tcW w:w="1418" w:type="dxa"/>
          </w:tcPr>
          <w:p w14:paraId="6F1626B3" w14:textId="77777777" w:rsidR="00A052DC" w:rsidRDefault="009F0A60">
            <w:pPr>
              <w:pStyle w:val="B"/>
              <w:rPr>
                <w:szCs w:val="20"/>
              </w:rPr>
            </w:pPr>
            <w:r>
              <w:rPr>
                <w:szCs w:val="20"/>
              </w:rPr>
              <w:t>VALUEDATE</w:t>
            </w:r>
          </w:p>
        </w:tc>
        <w:tc>
          <w:tcPr>
            <w:tcW w:w="1701" w:type="dxa"/>
          </w:tcPr>
          <w:p w14:paraId="3FD79D69" w14:textId="77777777" w:rsidR="00A052DC" w:rsidRDefault="009F0A60">
            <w:pPr>
              <w:pStyle w:val="B"/>
              <w:rPr>
                <w:szCs w:val="20"/>
              </w:rPr>
            </w:pPr>
            <w:r>
              <w:rPr>
                <w:rFonts w:hint="eastAsia"/>
                <w:szCs w:val="20"/>
              </w:rPr>
              <w:t>起息日</w:t>
            </w:r>
          </w:p>
        </w:tc>
        <w:tc>
          <w:tcPr>
            <w:tcW w:w="1276" w:type="dxa"/>
          </w:tcPr>
          <w:p w14:paraId="4DBE8CB3" w14:textId="77777777" w:rsidR="00A052DC" w:rsidRDefault="009F0A60">
            <w:pPr>
              <w:pStyle w:val="B"/>
              <w:rPr>
                <w:szCs w:val="20"/>
              </w:rPr>
            </w:pPr>
            <w:r>
              <w:rPr>
                <w:rFonts w:hint="eastAsia"/>
                <w:szCs w:val="20"/>
              </w:rPr>
              <w:t>日期型，</w:t>
            </w:r>
            <w:r>
              <w:rPr>
                <w:szCs w:val="20"/>
              </w:rPr>
              <w:t>8</w:t>
            </w:r>
          </w:p>
        </w:tc>
        <w:tc>
          <w:tcPr>
            <w:tcW w:w="4252" w:type="dxa"/>
          </w:tcPr>
          <w:p w14:paraId="22289AC7" w14:textId="77777777" w:rsidR="00A052DC" w:rsidRDefault="009F0A60" w:rsidP="000E18F5">
            <w:pPr>
              <w:pStyle w:val="B"/>
              <w:rPr>
                <w:szCs w:val="20"/>
              </w:rPr>
            </w:pPr>
            <w:r>
              <w:rPr>
                <w:rFonts w:hint="eastAsia"/>
                <w:szCs w:val="20"/>
              </w:rPr>
              <w:t>必填项，格式</w:t>
            </w:r>
            <w:r>
              <w:rPr>
                <w:szCs w:val="20"/>
              </w:rPr>
              <w:t>YYYYMMDD</w:t>
            </w:r>
            <w:r>
              <w:rPr>
                <w:rFonts w:hint="eastAsia"/>
                <w:szCs w:val="20"/>
              </w:rPr>
              <w:t>。</w:t>
            </w:r>
          </w:p>
        </w:tc>
      </w:tr>
      <w:tr w:rsidR="00A052DC" w14:paraId="4AFB749A" w14:textId="77777777">
        <w:trPr>
          <w:cantSplit/>
          <w:trHeight w:val="64"/>
        </w:trPr>
        <w:tc>
          <w:tcPr>
            <w:tcW w:w="1418" w:type="dxa"/>
          </w:tcPr>
          <w:p w14:paraId="7C12C50B" w14:textId="77777777" w:rsidR="00A052DC" w:rsidRDefault="009F0A60">
            <w:pPr>
              <w:pStyle w:val="B"/>
              <w:rPr>
                <w:szCs w:val="20"/>
              </w:rPr>
            </w:pPr>
            <w:r>
              <w:rPr>
                <w:szCs w:val="20"/>
              </w:rPr>
              <w:t>CONTRACTCURR</w:t>
            </w:r>
          </w:p>
        </w:tc>
        <w:tc>
          <w:tcPr>
            <w:tcW w:w="1701" w:type="dxa"/>
          </w:tcPr>
          <w:p w14:paraId="771E3865" w14:textId="77777777" w:rsidR="00A052DC" w:rsidRDefault="009F0A60">
            <w:pPr>
              <w:pStyle w:val="B"/>
              <w:rPr>
                <w:szCs w:val="20"/>
              </w:rPr>
            </w:pPr>
            <w:r>
              <w:rPr>
                <w:rFonts w:hint="eastAsia"/>
                <w:szCs w:val="20"/>
              </w:rPr>
              <w:t>签约币种</w:t>
            </w:r>
          </w:p>
        </w:tc>
        <w:tc>
          <w:tcPr>
            <w:tcW w:w="1276" w:type="dxa"/>
          </w:tcPr>
          <w:p w14:paraId="5D666F34" w14:textId="77777777" w:rsidR="00A052DC" w:rsidRDefault="009F0A60">
            <w:pPr>
              <w:pStyle w:val="B"/>
              <w:rPr>
                <w:szCs w:val="20"/>
              </w:rPr>
            </w:pPr>
            <w:r>
              <w:rPr>
                <w:rFonts w:hint="eastAsia"/>
                <w:szCs w:val="20"/>
              </w:rPr>
              <w:t>字符型，</w:t>
            </w:r>
            <w:r>
              <w:rPr>
                <w:szCs w:val="20"/>
              </w:rPr>
              <w:t>3</w:t>
            </w:r>
          </w:p>
        </w:tc>
        <w:tc>
          <w:tcPr>
            <w:tcW w:w="4252" w:type="dxa"/>
          </w:tcPr>
          <w:p w14:paraId="3DC5091D" w14:textId="77777777" w:rsidR="00A052DC" w:rsidRDefault="009F0A60" w:rsidP="000E18F5">
            <w:pPr>
              <w:pStyle w:val="B"/>
              <w:rPr>
                <w:szCs w:val="20"/>
              </w:rPr>
            </w:pPr>
            <w:r>
              <w:rPr>
                <w:rFonts w:hint="eastAsia"/>
                <w:szCs w:val="20"/>
              </w:rPr>
              <w:t>必填项，见币种代码表。</w:t>
            </w:r>
          </w:p>
        </w:tc>
      </w:tr>
      <w:tr w:rsidR="00A052DC" w14:paraId="004C4D58" w14:textId="77777777">
        <w:tc>
          <w:tcPr>
            <w:tcW w:w="1418" w:type="dxa"/>
          </w:tcPr>
          <w:p w14:paraId="2BB51455" w14:textId="77777777" w:rsidR="00A052DC" w:rsidRDefault="009F0A60">
            <w:pPr>
              <w:pStyle w:val="B"/>
              <w:rPr>
                <w:szCs w:val="20"/>
              </w:rPr>
            </w:pPr>
            <w:r>
              <w:rPr>
                <w:szCs w:val="20"/>
              </w:rPr>
              <w:t>CONTRACTAMOUNT</w:t>
            </w:r>
          </w:p>
        </w:tc>
        <w:tc>
          <w:tcPr>
            <w:tcW w:w="1701" w:type="dxa"/>
          </w:tcPr>
          <w:p w14:paraId="5CD9D94B" w14:textId="77777777" w:rsidR="00A052DC" w:rsidRDefault="009F0A60">
            <w:pPr>
              <w:pStyle w:val="B"/>
              <w:rPr>
                <w:szCs w:val="20"/>
              </w:rPr>
            </w:pPr>
            <w:r>
              <w:rPr>
                <w:rFonts w:hint="eastAsia"/>
                <w:szCs w:val="20"/>
              </w:rPr>
              <w:t>签约金额</w:t>
            </w:r>
          </w:p>
        </w:tc>
        <w:tc>
          <w:tcPr>
            <w:tcW w:w="1276" w:type="dxa"/>
          </w:tcPr>
          <w:p w14:paraId="2C71F8F9" w14:textId="77777777" w:rsidR="00A052DC" w:rsidRDefault="009F0A60">
            <w:pPr>
              <w:pStyle w:val="B"/>
              <w:rPr>
                <w:szCs w:val="20"/>
              </w:rPr>
            </w:pPr>
            <w:r>
              <w:rPr>
                <w:rFonts w:hint="eastAsia"/>
                <w:szCs w:val="20"/>
              </w:rPr>
              <w:t>数值型，</w:t>
            </w:r>
            <w:r>
              <w:rPr>
                <w:szCs w:val="20"/>
              </w:rPr>
              <w:t>22.2</w:t>
            </w:r>
          </w:p>
        </w:tc>
        <w:tc>
          <w:tcPr>
            <w:tcW w:w="4252" w:type="dxa"/>
          </w:tcPr>
          <w:p w14:paraId="2B69436C" w14:textId="77777777" w:rsidR="00A052DC" w:rsidRDefault="009F0A60">
            <w:pPr>
              <w:pStyle w:val="B"/>
              <w:rPr>
                <w:szCs w:val="20"/>
              </w:rPr>
            </w:pPr>
            <w:r>
              <w:rPr>
                <w:rFonts w:hint="eastAsia"/>
                <w:szCs w:val="20"/>
              </w:rPr>
              <w:t>必填项，大于等于</w:t>
            </w:r>
            <w:r>
              <w:rPr>
                <w:szCs w:val="20"/>
              </w:rPr>
              <w:t>0</w:t>
            </w:r>
            <w:r>
              <w:rPr>
                <w:rFonts w:hint="eastAsia"/>
                <w:szCs w:val="20"/>
              </w:rPr>
              <w:t>。</w:t>
            </w:r>
          </w:p>
        </w:tc>
      </w:tr>
      <w:tr w:rsidR="00A052DC" w14:paraId="4DB10DCE" w14:textId="77777777">
        <w:tc>
          <w:tcPr>
            <w:tcW w:w="1418" w:type="dxa"/>
          </w:tcPr>
          <w:p w14:paraId="0A3FEAE9" w14:textId="77777777" w:rsidR="00A052DC" w:rsidRDefault="009F0A60">
            <w:pPr>
              <w:pStyle w:val="B"/>
              <w:rPr>
                <w:szCs w:val="20"/>
              </w:rPr>
            </w:pPr>
            <w:r>
              <w:rPr>
                <w:szCs w:val="20"/>
              </w:rPr>
              <w:t>Maturity</w:t>
            </w:r>
          </w:p>
        </w:tc>
        <w:tc>
          <w:tcPr>
            <w:tcW w:w="1701" w:type="dxa"/>
          </w:tcPr>
          <w:p w14:paraId="51239A20" w14:textId="77777777" w:rsidR="00A052DC" w:rsidRDefault="009F0A60">
            <w:pPr>
              <w:pStyle w:val="B"/>
              <w:rPr>
                <w:szCs w:val="20"/>
              </w:rPr>
            </w:pPr>
            <w:r>
              <w:rPr>
                <w:rFonts w:hint="eastAsia"/>
                <w:szCs w:val="20"/>
              </w:rPr>
              <w:t>到期日</w:t>
            </w:r>
          </w:p>
        </w:tc>
        <w:tc>
          <w:tcPr>
            <w:tcW w:w="1276" w:type="dxa"/>
          </w:tcPr>
          <w:p w14:paraId="5DDCAFA8" w14:textId="77777777" w:rsidR="00A052DC" w:rsidRDefault="009F0A60">
            <w:pPr>
              <w:pStyle w:val="B"/>
              <w:rPr>
                <w:szCs w:val="20"/>
              </w:rPr>
            </w:pPr>
            <w:r>
              <w:rPr>
                <w:rFonts w:hint="eastAsia"/>
                <w:szCs w:val="20"/>
              </w:rPr>
              <w:t>日期型，</w:t>
            </w:r>
            <w:r>
              <w:rPr>
                <w:szCs w:val="20"/>
              </w:rPr>
              <w:t>8</w:t>
            </w:r>
          </w:p>
        </w:tc>
        <w:tc>
          <w:tcPr>
            <w:tcW w:w="4252" w:type="dxa"/>
          </w:tcPr>
          <w:p w14:paraId="764B9C1D" w14:textId="77777777" w:rsidR="00A052DC" w:rsidRDefault="009F0A60" w:rsidP="000E18F5">
            <w:pPr>
              <w:pStyle w:val="B"/>
              <w:rPr>
                <w:szCs w:val="20"/>
              </w:rPr>
            </w:pPr>
            <w:r>
              <w:rPr>
                <w:rFonts w:hint="eastAsia"/>
                <w:szCs w:val="20"/>
              </w:rPr>
              <w:t>必填项，格式</w:t>
            </w:r>
            <w:r>
              <w:rPr>
                <w:szCs w:val="20"/>
              </w:rPr>
              <w:t>YYYYMMDD</w:t>
            </w:r>
            <w:r>
              <w:rPr>
                <w:rFonts w:hint="eastAsia"/>
                <w:szCs w:val="20"/>
              </w:rPr>
              <w:t>，大于等于起息日。</w:t>
            </w:r>
          </w:p>
        </w:tc>
      </w:tr>
      <w:tr w:rsidR="00A052DC" w14:paraId="3783C3A8" w14:textId="77777777">
        <w:tc>
          <w:tcPr>
            <w:tcW w:w="1418" w:type="dxa"/>
          </w:tcPr>
          <w:p w14:paraId="1C6B68B0" w14:textId="77777777" w:rsidR="00A052DC" w:rsidRDefault="009F0A60">
            <w:pPr>
              <w:pStyle w:val="B"/>
              <w:rPr>
                <w:szCs w:val="20"/>
              </w:rPr>
            </w:pPr>
            <w:r>
              <w:rPr>
                <w:szCs w:val="20"/>
              </w:rPr>
              <w:t>FLOATRATE</w:t>
            </w:r>
          </w:p>
        </w:tc>
        <w:tc>
          <w:tcPr>
            <w:tcW w:w="1701" w:type="dxa"/>
          </w:tcPr>
          <w:p w14:paraId="5F9BDB09" w14:textId="77777777" w:rsidR="00A052DC" w:rsidRDefault="009F0A60">
            <w:pPr>
              <w:pStyle w:val="B"/>
              <w:rPr>
                <w:szCs w:val="20"/>
              </w:rPr>
            </w:pPr>
            <w:r>
              <w:rPr>
                <w:rFonts w:hint="eastAsia"/>
                <w:szCs w:val="20"/>
              </w:rPr>
              <w:t>是否浮动利率</w:t>
            </w:r>
          </w:p>
        </w:tc>
        <w:tc>
          <w:tcPr>
            <w:tcW w:w="1276" w:type="dxa"/>
          </w:tcPr>
          <w:p w14:paraId="792EE3D3" w14:textId="77777777" w:rsidR="00A052DC" w:rsidRDefault="009F0A60">
            <w:pPr>
              <w:pStyle w:val="B"/>
              <w:rPr>
                <w:szCs w:val="20"/>
              </w:rPr>
            </w:pPr>
            <w:r>
              <w:rPr>
                <w:rFonts w:hint="eastAsia"/>
                <w:szCs w:val="20"/>
              </w:rPr>
              <w:t>字符型，</w:t>
            </w:r>
            <w:r>
              <w:rPr>
                <w:szCs w:val="20"/>
              </w:rPr>
              <w:t>1</w:t>
            </w:r>
          </w:p>
        </w:tc>
        <w:tc>
          <w:tcPr>
            <w:tcW w:w="4252" w:type="dxa"/>
          </w:tcPr>
          <w:p w14:paraId="16E703A6" w14:textId="77777777" w:rsidR="00A052DC" w:rsidRDefault="009F0A60">
            <w:pPr>
              <w:pStyle w:val="B"/>
              <w:rPr>
                <w:szCs w:val="20"/>
              </w:rPr>
            </w:pPr>
            <w:r>
              <w:rPr>
                <w:rFonts w:hint="eastAsia"/>
                <w:szCs w:val="20"/>
              </w:rPr>
              <w:t>必填项，是</w:t>
            </w:r>
            <w:r>
              <w:rPr>
                <w:szCs w:val="20"/>
              </w:rPr>
              <w:t>-Y</w:t>
            </w:r>
            <w:r>
              <w:rPr>
                <w:rFonts w:hint="eastAsia"/>
                <w:szCs w:val="20"/>
              </w:rPr>
              <w:t>，否</w:t>
            </w:r>
            <w:r>
              <w:rPr>
                <w:szCs w:val="20"/>
              </w:rPr>
              <w:t>-N</w:t>
            </w:r>
            <w:r>
              <w:rPr>
                <w:rFonts w:hint="eastAsia"/>
                <w:szCs w:val="20"/>
              </w:rPr>
              <w:t>，默认为否，填写</w:t>
            </w:r>
            <w:r>
              <w:rPr>
                <w:szCs w:val="20"/>
              </w:rPr>
              <w:t>N</w:t>
            </w:r>
            <w:r>
              <w:rPr>
                <w:rFonts w:hint="eastAsia"/>
                <w:szCs w:val="20"/>
              </w:rPr>
              <w:t>。</w:t>
            </w:r>
          </w:p>
        </w:tc>
      </w:tr>
      <w:tr w:rsidR="00A052DC" w14:paraId="343AB51A" w14:textId="77777777">
        <w:tc>
          <w:tcPr>
            <w:tcW w:w="1418" w:type="dxa"/>
          </w:tcPr>
          <w:p w14:paraId="54F5E164" w14:textId="77777777" w:rsidR="00A052DC" w:rsidRDefault="009F0A60">
            <w:pPr>
              <w:pStyle w:val="B"/>
              <w:rPr>
                <w:szCs w:val="20"/>
              </w:rPr>
            </w:pPr>
            <w:r>
              <w:rPr>
                <w:szCs w:val="20"/>
              </w:rPr>
              <w:t>ANNINRATE</w:t>
            </w:r>
          </w:p>
        </w:tc>
        <w:tc>
          <w:tcPr>
            <w:tcW w:w="1701" w:type="dxa"/>
          </w:tcPr>
          <w:p w14:paraId="77D49F9A" w14:textId="77777777" w:rsidR="00A052DC" w:rsidRDefault="009F0A60">
            <w:pPr>
              <w:pStyle w:val="B"/>
              <w:rPr>
                <w:szCs w:val="20"/>
              </w:rPr>
            </w:pPr>
            <w:r>
              <w:rPr>
                <w:rFonts w:hint="eastAsia"/>
                <w:szCs w:val="20"/>
              </w:rPr>
              <w:t>年化利率值</w:t>
            </w:r>
          </w:p>
        </w:tc>
        <w:tc>
          <w:tcPr>
            <w:tcW w:w="1276" w:type="dxa"/>
          </w:tcPr>
          <w:p w14:paraId="32FBD4D3" w14:textId="77777777" w:rsidR="00A052DC" w:rsidRDefault="009F0A60">
            <w:pPr>
              <w:pStyle w:val="B"/>
              <w:rPr>
                <w:szCs w:val="20"/>
              </w:rPr>
            </w:pPr>
            <w:r>
              <w:rPr>
                <w:rFonts w:hint="eastAsia"/>
                <w:szCs w:val="20"/>
              </w:rPr>
              <w:t>数值型，</w:t>
            </w:r>
            <w:r>
              <w:rPr>
                <w:szCs w:val="20"/>
              </w:rPr>
              <w:t>13.8</w:t>
            </w:r>
          </w:p>
        </w:tc>
        <w:tc>
          <w:tcPr>
            <w:tcW w:w="4252" w:type="dxa"/>
          </w:tcPr>
          <w:p w14:paraId="0220827D" w14:textId="77777777" w:rsidR="00A052DC" w:rsidRDefault="009F0A60">
            <w:pPr>
              <w:pStyle w:val="B"/>
              <w:rPr>
                <w:szCs w:val="20"/>
              </w:rPr>
            </w:pPr>
            <w:r>
              <w:rPr>
                <w:rFonts w:hint="eastAsia"/>
                <w:szCs w:val="20"/>
              </w:rPr>
              <w:t>必填项，大于等于</w:t>
            </w:r>
            <w:r>
              <w:rPr>
                <w:szCs w:val="20"/>
              </w:rPr>
              <w:t>0</w:t>
            </w:r>
            <w:r>
              <w:rPr>
                <w:rFonts w:hint="eastAsia"/>
                <w:szCs w:val="20"/>
              </w:rPr>
              <w:t>，按小数填写，如利率为</w:t>
            </w:r>
            <w:r>
              <w:rPr>
                <w:szCs w:val="20"/>
              </w:rPr>
              <w:t>3.21%</w:t>
            </w:r>
            <w:r>
              <w:rPr>
                <w:rFonts w:hint="eastAsia"/>
                <w:szCs w:val="20"/>
              </w:rPr>
              <w:t>，则填写</w:t>
            </w:r>
            <w:r>
              <w:rPr>
                <w:szCs w:val="20"/>
              </w:rPr>
              <w:t>0.0321</w:t>
            </w:r>
            <w:r>
              <w:rPr>
                <w:rFonts w:hint="eastAsia"/>
                <w:szCs w:val="20"/>
              </w:rPr>
              <w:t>。</w:t>
            </w:r>
          </w:p>
        </w:tc>
      </w:tr>
      <w:tr w:rsidR="00A052DC" w14:paraId="469BCB28" w14:textId="77777777">
        <w:tc>
          <w:tcPr>
            <w:tcW w:w="1418" w:type="dxa"/>
          </w:tcPr>
          <w:p w14:paraId="4B42690F" w14:textId="77777777" w:rsidR="00A052DC" w:rsidRDefault="009F0A60">
            <w:pPr>
              <w:pStyle w:val="B"/>
              <w:rPr>
                <w:szCs w:val="20"/>
              </w:rPr>
            </w:pPr>
            <w:r>
              <w:rPr>
                <w:szCs w:val="20"/>
              </w:rPr>
              <w:t>CREDITORCODE</w:t>
            </w:r>
          </w:p>
        </w:tc>
        <w:tc>
          <w:tcPr>
            <w:tcW w:w="1701" w:type="dxa"/>
          </w:tcPr>
          <w:p w14:paraId="4DC54149" w14:textId="77777777" w:rsidR="00A052DC" w:rsidRDefault="009F0A60">
            <w:pPr>
              <w:pStyle w:val="B"/>
              <w:rPr>
                <w:szCs w:val="20"/>
              </w:rPr>
            </w:pPr>
            <w:r>
              <w:rPr>
                <w:rFonts w:hint="eastAsia"/>
                <w:szCs w:val="20"/>
              </w:rPr>
              <w:t>债权人代码</w:t>
            </w:r>
          </w:p>
        </w:tc>
        <w:tc>
          <w:tcPr>
            <w:tcW w:w="1276" w:type="dxa"/>
          </w:tcPr>
          <w:p w14:paraId="23666962" w14:textId="77777777" w:rsidR="00A052DC" w:rsidRDefault="009F0A60">
            <w:pPr>
              <w:pStyle w:val="B"/>
              <w:rPr>
                <w:szCs w:val="20"/>
              </w:rPr>
            </w:pPr>
            <w:r>
              <w:rPr>
                <w:rFonts w:hint="eastAsia"/>
                <w:szCs w:val="20"/>
              </w:rPr>
              <w:t>字符型，</w:t>
            </w:r>
            <w:r>
              <w:rPr>
                <w:szCs w:val="20"/>
              </w:rPr>
              <w:t>11</w:t>
            </w:r>
          </w:p>
        </w:tc>
        <w:tc>
          <w:tcPr>
            <w:tcW w:w="4252" w:type="dxa"/>
          </w:tcPr>
          <w:p w14:paraId="2AE5A29B" w14:textId="77777777" w:rsidR="00A052DC" w:rsidRDefault="009F0A60">
            <w:pPr>
              <w:pStyle w:val="B"/>
              <w:rPr>
                <w:szCs w:val="20"/>
              </w:rPr>
            </w:pPr>
            <w:r>
              <w:rPr>
                <w:rFonts w:hint="eastAsia"/>
                <w:szCs w:val="20"/>
              </w:rPr>
              <w:t>非必填项</w:t>
            </w:r>
          </w:p>
        </w:tc>
      </w:tr>
      <w:tr w:rsidR="00A052DC" w14:paraId="3D6FA1D3" w14:textId="77777777">
        <w:tc>
          <w:tcPr>
            <w:tcW w:w="1418" w:type="dxa"/>
          </w:tcPr>
          <w:p w14:paraId="61CD95DF" w14:textId="77777777" w:rsidR="00A052DC" w:rsidRDefault="009F0A60">
            <w:pPr>
              <w:pStyle w:val="B"/>
              <w:rPr>
                <w:szCs w:val="20"/>
              </w:rPr>
            </w:pPr>
            <w:r>
              <w:rPr>
                <w:szCs w:val="20"/>
              </w:rPr>
              <w:t>CREDITORNAME</w:t>
            </w:r>
          </w:p>
        </w:tc>
        <w:tc>
          <w:tcPr>
            <w:tcW w:w="1701" w:type="dxa"/>
          </w:tcPr>
          <w:p w14:paraId="26FB6BC6" w14:textId="77777777" w:rsidR="00A052DC" w:rsidRDefault="009F0A60">
            <w:pPr>
              <w:pStyle w:val="B"/>
              <w:rPr>
                <w:szCs w:val="20"/>
              </w:rPr>
            </w:pPr>
            <w:r>
              <w:rPr>
                <w:rFonts w:hint="eastAsia"/>
                <w:szCs w:val="20"/>
              </w:rPr>
              <w:t>债权人中文名称</w:t>
            </w:r>
          </w:p>
        </w:tc>
        <w:tc>
          <w:tcPr>
            <w:tcW w:w="1276" w:type="dxa"/>
          </w:tcPr>
          <w:p w14:paraId="166243A7" w14:textId="77777777" w:rsidR="00A052DC" w:rsidRDefault="009F0A60">
            <w:pPr>
              <w:pStyle w:val="B"/>
              <w:rPr>
                <w:szCs w:val="20"/>
              </w:rPr>
            </w:pPr>
            <w:r>
              <w:rPr>
                <w:rFonts w:hint="eastAsia"/>
                <w:szCs w:val="20"/>
              </w:rPr>
              <w:t>字符型，</w:t>
            </w:r>
            <w:r>
              <w:rPr>
                <w:szCs w:val="20"/>
              </w:rPr>
              <w:t>128</w:t>
            </w:r>
          </w:p>
        </w:tc>
        <w:tc>
          <w:tcPr>
            <w:tcW w:w="4252" w:type="dxa"/>
          </w:tcPr>
          <w:p w14:paraId="52CA2466" w14:textId="77777777" w:rsidR="00A052DC" w:rsidRDefault="009F0A60">
            <w:pPr>
              <w:pStyle w:val="B"/>
              <w:rPr>
                <w:szCs w:val="20"/>
              </w:rPr>
            </w:pPr>
            <w:r>
              <w:rPr>
                <w:rFonts w:hint="eastAsia"/>
                <w:szCs w:val="20"/>
              </w:rPr>
              <w:t>非必填项，</w:t>
            </w:r>
          </w:p>
          <w:p w14:paraId="2FE348E1" w14:textId="77777777" w:rsidR="00A052DC" w:rsidRDefault="009F0A60">
            <w:pPr>
              <w:pStyle w:val="B"/>
              <w:rPr>
                <w:szCs w:val="20"/>
              </w:rPr>
            </w:pPr>
            <w:r>
              <w:rPr>
                <w:rFonts w:hint="eastAsia"/>
                <w:szCs w:val="20"/>
              </w:rPr>
              <w:t>债权人中文名称和债权人英文名称至少填写一个。</w:t>
            </w:r>
          </w:p>
        </w:tc>
      </w:tr>
      <w:tr w:rsidR="00A052DC" w14:paraId="63B676BC" w14:textId="77777777">
        <w:tc>
          <w:tcPr>
            <w:tcW w:w="1418" w:type="dxa"/>
          </w:tcPr>
          <w:p w14:paraId="7E9FFD6E" w14:textId="77777777" w:rsidR="00A052DC" w:rsidRDefault="009F0A60">
            <w:pPr>
              <w:pStyle w:val="B"/>
              <w:rPr>
                <w:szCs w:val="20"/>
              </w:rPr>
            </w:pPr>
            <w:r>
              <w:rPr>
                <w:szCs w:val="20"/>
              </w:rPr>
              <w:t>CREDITORNAMEN</w:t>
            </w:r>
          </w:p>
        </w:tc>
        <w:tc>
          <w:tcPr>
            <w:tcW w:w="1701" w:type="dxa"/>
          </w:tcPr>
          <w:p w14:paraId="5ACA66BC" w14:textId="77777777" w:rsidR="00A052DC" w:rsidRDefault="009F0A60">
            <w:pPr>
              <w:pStyle w:val="B"/>
              <w:rPr>
                <w:szCs w:val="20"/>
              </w:rPr>
            </w:pPr>
            <w:r>
              <w:rPr>
                <w:rFonts w:hint="eastAsia"/>
                <w:szCs w:val="20"/>
              </w:rPr>
              <w:t>债权人英文名称</w:t>
            </w:r>
          </w:p>
        </w:tc>
        <w:tc>
          <w:tcPr>
            <w:tcW w:w="1276" w:type="dxa"/>
          </w:tcPr>
          <w:p w14:paraId="21D42B37" w14:textId="77777777" w:rsidR="00A052DC" w:rsidRDefault="009F0A60">
            <w:pPr>
              <w:pStyle w:val="B"/>
              <w:rPr>
                <w:szCs w:val="20"/>
              </w:rPr>
            </w:pPr>
            <w:r>
              <w:rPr>
                <w:rFonts w:hint="eastAsia"/>
                <w:szCs w:val="20"/>
              </w:rPr>
              <w:t>字符型，</w:t>
            </w:r>
            <w:r>
              <w:rPr>
                <w:szCs w:val="20"/>
              </w:rPr>
              <w:t>128</w:t>
            </w:r>
          </w:p>
        </w:tc>
        <w:tc>
          <w:tcPr>
            <w:tcW w:w="4252" w:type="dxa"/>
          </w:tcPr>
          <w:p w14:paraId="638AAC8D" w14:textId="77777777" w:rsidR="00A052DC" w:rsidRDefault="009F0A60">
            <w:pPr>
              <w:pStyle w:val="B"/>
              <w:rPr>
                <w:szCs w:val="20"/>
              </w:rPr>
            </w:pPr>
            <w:r>
              <w:rPr>
                <w:rFonts w:hint="eastAsia"/>
                <w:szCs w:val="20"/>
              </w:rPr>
              <w:t>非必填项，</w:t>
            </w:r>
          </w:p>
          <w:p w14:paraId="5A0A99AD" w14:textId="77777777" w:rsidR="00A052DC" w:rsidRDefault="009F0A60">
            <w:pPr>
              <w:pStyle w:val="B"/>
              <w:rPr>
                <w:szCs w:val="20"/>
              </w:rPr>
            </w:pPr>
            <w:r>
              <w:rPr>
                <w:rFonts w:hint="eastAsia"/>
                <w:szCs w:val="20"/>
              </w:rPr>
              <w:t>债权人中文名称和债权人英文名称至少填写一个。</w:t>
            </w:r>
          </w:p>
        </w:tc>
      </w:tr>
      <w:tr w:rsidR="00A052DC" w14:paraId="3258702B" w14:textId="77777777">
        <w:tc>
          <w:tcPr>
            <w:tcW w:w="1418" w:type="dxa"/>
          </w:tcPr>
          <w:p w14:paraId="69F5F1EC" w14:textId="77777777" w:rsidR="00A052DC" w:rsidRDefault="009F0A60">
            <w:pPr>
              <w:pStyle w:val="B"/>
              <w:rPr>
                <w:szCs w:val="20"/>
              </w:rPr>
            </w:pPr>
            <w:r>
              <w:rPr>
                <w:szCs w:val="20"/>
              </w:rPr>
              <w:t>CREDITORTYPE</w:t>
            </w:r>
          </w:p>
        </w:tc>
        <w:tc>
          <w:tcPr>
            <w:tcW w:w="1701" w:type="dxa"/>
          </w:tcPr>
          <w:p w14:paraId="1B4ECC98" w14:textId="77777777" w:rsidR="00A052DC" w:rsidRDefault="009F0A60">
            <w:pPr>
              <w:pStyle w:val="B"/>
              <w:rPr>
                <w:szCs w:val="20"/>
              </w:rPr>
            </w:pPr>
            <w:r>
              <w:rPr>
                <w:rFonts w:hint="eastAsia"/>
                <w:szCs w:val="20"/>
              </w:rPr>
              <w:t>债权人类型代码</w:t>
            </w:r>
          </w:p>
        </w:tc>
        <w:tc>
          <w:tcPr>
            <w:tcW w:w="1276" w:type="dxa"/>
          </w:tcPr>
          <w:p w14:paraId="390B9F3D" w14:textId="77777777" w:rsidR="00A052DC" w:rsidRDefault="009F0A60">
            <w:pPr>
              <w:pStyle w:val="B"/>
              <w:rPr>
                <w:szCs w:val="20"/>
              </w:rPr>
            </w:pPr>
            <w:r>
              <w:rPr>
                <w:rFonts w:hint="eastAsia"/>
                <w:szCs w:val="20"/>
              </w:rPr>
              <w:t>字符型，</w:t>
            </w:r>
            <w:r>
              <w:rPr>
                <w:szCs w:val="20"/>
              </w:rPr>
              <w:t>8</w:t>
            </w:r>
          </w:p>
        </w:tc>
        <w:tc>
          <w:tcPr>
            <w:tcW w:w="4252" w:type="dxa"/>
          </w:tcPr>
          <w:p w14:paraId="0DE8AD99" w14:textId="77777777" w:rsidR="00A052DC" w:rsidRDefault="009F0A60">
            <w:pPr>
              <w:pStyle w:val="B"/>
              <w:rPr>
                <w:szCs w:val="20"/>
              </w:rPr>
            </w:pPr>
            <w:r>
              <w:rPr>
                <w:rFonts w:hint="eastAsia"/>
                <w:szCs w:val="20"/>
              </w:rPr>
              <w:t>必填项，见境外主体类型代码表。</w:t>
            </w:r>
          </w:p>
        </w:tc>
      </w:tr>
      <w:tr w:rsidR="00A052DC" w14:paraId="635F793D" w14:textId="77777777">
        <w:tc>
          <w:tcPr>
            <w:tcW w:w="1418" w:type="dxa"/>
          </w:tcPr>
          <w:p w14:paraId="05D3F432" w14:textId="77777777" w:rsidR="00A052DC" w:rsidRDefault="009F0A60">
            <w:pPr>
              <w:pStyle w:val="B"/>
              <w:rPr>
                <w:szCs w:val="20"/>
              </w:rPr>
            </w:pPr>
            <w:r>
              <w:rPr>
                <w:szCs w:val="20"/>
              </w:rPr>
              <w:t>CREHQCODE</w:t>
            </w:r>
          </w:p>
        </w:tc>
        <w:tc>
          <w:tcPr>
            <w:tcW w:w="1701" w:type="dxa"/>
          </w:tcPr>
          <w:p w14:paraId="2F4BDC16" w14:textId="77777777" w:rsidR="00A052DC" w:rsidRDefault="009F0A60">
            <w:pPr>
              <w:pStyle w:val="B"/>
              <w:rPr>
                <w:szCs w:val="20"/>
              </w:rPr>
            </w:pPr>
            <w:r>
              <w:rPr>
                <w:rFonts w:hint="eastAsia"/>
                <w:szCs w:val="20"/>
              </w:rPr>
              <w:t>债权人总部所在国家（地区）代码</w:t>
            </w:r>
          </w:p>
        </w:tc>
        <w:tc>
          <w:tcPr>
            <w:tcW w:w="1276" w:type="dxa"/>
          </w:tcPr>
          <w:p w14:paraId="0C46FB22" w14:textId="77777777" w:rsidR="00A052DC" w:rsidRDefault="009F0A60">
            <w:pPr>
              <w:pStyle w:val="B"/>
              <w:rPr>
                <w:szCs w:val="20"/>
              </w:rPr>
            </w:pPr>
            <w:r>
              <w:rPr>
                <w:rFonts w:hint="eastAsia"/>
                <w:szCs w:val="20"/>
              </w:rPr>
              <w:t>字符型，</w:t>
            </w:r>
            <w:r>
              <w:rPr>
                <w:szCs w:val="20"/>
              </w:rPr>
              <w:t>3</w:t>
            </w:r>
          </w:p>
        </w:tc>
        <w:tc>
          <w:tcPr>
            <w:tcW w:w="4252" w:type="dxa"/>
          </w:tcPr>
          <w:p w14:paraId="1A1CF13D" w14:textId="77777777" w:rsidR="00A052DC" w:rsidRDefault="009F0A60">
            <w:pPr>
              <w:pStyle w:val="B"/>
              <w:rPr>
                <w:szCs w:val="20"/>
              </w:rPr>
            </w:pPr>
            <w:r>
              <w:rPr>
                <w:rFonts w:hint="eastAsia"/>
                <w:szCs w:val="20"/>
              </w:rPr>
              <w:t>必填项，见国家和地区代码表。</w:t>
            </w:r>
          </w:p>
        </w:tc>
      </w:tr>
      <w:tr w:rsidR="00A052DC" w14:paraId="7A37CA41" w14:textId="77777777">
        <w:tc>
          <w:tcPr>
            <w:tcW w:w="1418" w:type="dxa"/>
          </w:tcPr>
          <w:p w14:paraId="60BB0F52" w14:textId="77777777" w:rsidR="00A052DC" w:rsidRDefault="009F0A60">
            <w:pPr>
              <w:pStyle w:val="B"/>
              <w:rPr>
                <w:szCs w:val="20"/>
              </w:rPr>
            </w:pPr>
            <w:r>
              <w:rPr>
                <w:szCs w:val="20"/>
              </w:rPr>
              <w:t>OPERCODE</w:t>
            </w:r>
          </w:p>
        </w:tc>
        <w:tc>
          <w:tcPr>
            <w:tcW w:w="1701" w:type="dxa"/>
          </w:tcPr>
          <w:p w14:paraId="0347A7CA" w14:textId="77777777" w:rsidR="00A052DC" w:rsidRDefault="009F0A60">
            <w:pPr>
              <w:pStyle w:val="B"/>
              <w:rPr>
                <w:szCs w:val="20"/>
              </w:rPr>
            </w:pPr>
            <w:r>
              <w:rPr>
                <w:rFonts w:hint="eastAsia"/>
                <w:szCs w:val="20"/>
              </w:rPr>
              <w:t>债权人经营地所在国家（地区）代码</w:t>
            </w:r>
          </w:p>
        </w:tc>
        <w:tc>
          <w:tcPr>
            <w:tcW w:w="1276" w:type="dxa"/>
          </w:tcPr>
          <w:p w14:paraId="6EFCB28B" w14:textId="77777777" w:rsidR="00A052DC" w:rsidRDefault="009F0A60">
            <w:pPr>
              <w:pStyle w:val="B"/>
              <w:rPr>
                <w:szCs w:val="20"/>
              </w:rPr>
            </w:pPr>
            <w:r>
              <w:rPr>
                <w:rFonts w:hint="eastAsia"/>
                <w:szCs w:val="20"/>
              </w:rPr>
              <w:t>字符型，</w:t>
            </w:r>
            <w:r>
              <w:rPr>
                <w:szCs w:val="20"/>
              </w:rPr>
              <w:t>3</w:t>
            </w:r>
          </w:p>
        </w:tc>
        <w:tc>
          <w:tcPr>
            <w:tcW w:w="4252" w:type="dxa"/>
          </w:tcPr>
          <w:p w14:paraId="6F5A673F" w14:textId="77777777" w:rsidR="00A052DC" w:rsidRDefault="009F0A60">
            <w:pPr>
              <w:pStyle w:val="B"/>
              <w:rPr>
                <w:szCs w:val="20"/>
              </w:rPr>
            </w:pPr>
            <w:r>
              <w:rPr>
                <w:rFonts w:hint="eastAsia"/>
                <w:szCs w:val="20"/>
              </w:rPr>
              <w:t>必填项，见国家和地区代码表。当债权人类型代码不为“境内银行离岸部（20001403）”时,不能为中国CHN。</w:t>
            </w:r>
          </w:p>
        </w:tc>
      </w:tr>
      <w:tr w:rsidR="00A052DC" w14:paraId="32308E23" w14:textId="77777777">
        <w:tc>
          <w:tcPr>
            <w:tcW w:w="1418" w:type="dxa"/>
          </w:tcPr>
          <w:p w14:paraId="49570EE2" w14:textId="77777777" w:rsidR="00A052DC" w:rsidRDefault="009F0A60">
            <w:pPr>
              <w:pStyle w:val="B"/>
              <w:rPr>
                <w:szCs w:val="20"/>
              </w:rPr>
            </w:pPr>
            <w:r>
              <w:rPr>
                <w:szCs w:val="20"/>
              </w:rPr>
              <w:t>INPRTERM</w:t>
            </w:r>
          </w:p>
        </w:tc>
        <w:tc>
          <w:tcPr>
            <w:tcW w:w="1701" w:type="dxa"/>
          </w:tcPr>
          <w:p w14:paraId="2BE2C3E7" w14:textId="77777777" w:rsidR="00A052DC" w:rsidRDefault="009F0A60">
            <w:pPr>
              <w:pStyle w:val="B"/>
              <w:rPr>
                <w:szCs w:val="20"/>
              </w:rPr>
            </w:pPr>
            <w:r>
              <w:rPr>
                <w:rFonts w:hint="eastAsia"/>
                <w:szCs w:val="20"/>
              </w:rPr>
              <w:t>是否有利息本金化条款</w:t>
            </w:r>
          </w:p>
        </w:tc>
        <w:tc>
          <w:tcPr>
            <w:tcW w:w="1276" w:type="dxa"/>
          </w:tcPr>
          <w:p w14:paraId="3582398E" w14:textId="77777777" w:rsidR="00A052DC" w:rsidRDefault="009F0A60">
            <w:pPr>
              <w:pStyle w:val="B"/>
              <w:rPr>
                <w:szCs w:val="20"/>
              </w:rPr>
            </w:pPr>
            <w:r>
              <w:rPr>
                <w:rFonts w:hint="eastAsia"/>
                <w:szCs w:val="20"/>
              </w:rPr>
              <w:t>字符型，</w:t>
            </w:r>
            <w:r>
              <w:rPr>
                <w:szCs w:val="20"/>
              </w:rPr>
              <w:t>1</w:t>
            </w:r>
          </w:p>
        </w:tc>
        <w:tc>
          <w:tcPr>
            <w:tcW w:w="4252" w:type="dxa"/>
          </w:tcPr>
          <w:p w14:paraId="5FE6BEBF" w14:textId="77777777" w:rsidR="00A052DC" w:rsidRDefault="009F0A60">
            <w:pPr>
              <w:pStyle w:val="B"/>
              <w:rPr>
                <w:szCs w:val="20"/>
              </w:rPr>
            </w:pPr>
            <w:r>
              <w:rPr>
                <w:rFonts w:hint="eastAsia"/>
                <w:szCs w:val="20"/>
              </w:rPr>
              <w:t>必填项，是</w:t>
            </w:r>
            <w:r>
              <w:rPr>
                <w:szCs w:val="20"/>
              </w:rPr>
              <w:t>-Y</w:t>
            </w:r>
            <w:r>
              <w:rPr>
                <w:rFonts w:hint="eastAsia"/>
                <w:szCs w:val="20"/>
              </w:rPr>
              <w:t>，否</w:t>
            </w:r>
            <w:r>
              <w:rPr>
                <w:szCs w:val="20"/>
              </w:rPr>
              <w:t>-N</w:t>
            </w:r>
            <w:r>
              <w:rPr>
                <w:rFonts w:hint="eastAsia"/>
                <w:szCs w:val="20"/>
              </w:rPr>
              <w:t>，默认为否，填写</w:t>
            </w:r>
            <w:r>
              <w:rPr>
                <w:szCs w:val="20"/>
              </w:rPr>
              <w:t>N</w:t>
            </w:r>
            <w:r>
              <w:rPr>
                <w:rFonts w:hint="eastAsia"/>
                <w:szCs w:val="20"/>
              </w:rPr>
              <w:t>。</w:t>
            </w:r>
          </w:p>
        </w:tc>
      </w:tr>
      <w:tr w:rsidR="00A052DC" w14:paraId="6C9A5814" w14:textId="77777777">
        <w:tc>
          <w:tcPr>
            <w:tcW w:w="1418" w:type="dxa"/>
          </w:tcPr>
          <w:p w14:paraId="0BC9AC03" w14:textId="77777777" w:rsidR="00A052DC" w:rsidRDefault="009F0A60">
            <w:pPr>
              <w:pStyle w:val="B"/>
              <w:rPr>
                <w:szCs w:val="20"/>
              </w:rPr>
            </w:pPr>
            <w:r>
              <w:rPr>
                <w:szCs w:val="20"/>
              </w:rPr>
              <w:t>SPAPFEBOINDEX</w:t>
            </w:r>
          </w:p>
        </w:tc>
        <w:tc>
          <w:tcPr>
            <w:tcW w:w="1701" w:type="dxa"/>
          </w:tcPr>
          <w:p w14:paraId="52D893A7" w14:textId="77777777" w:rsidR="00A052DC" w:rsidRDefault="009F0A60">
            <w:pPr>
              <w:pStyle w:val="B"/>
              <w:rPr>
                <w:szCs w:val="20"/>
              </w:rPr>
            </w:pPr>
            <w:r>
              <w:rPr>
                <w:rFonts w:hint="eastAsia"/>
                <w:szCs w:val="20"/>
              </w:rPr>
              <w:t>是否不纳入跨境融资风险加权余额计算</w:t>
            </w:r>
          </w:p>
        </w:tc>
        <w:tc>
          <w:tcPr>
            <w:tcW w:w="1276" w:type="dxa"/>
          </w:tcPr>
          <w:p w14:paraId="59A56015" w14:textId="77777777" w:rsidR="00A052DC" w:rsidRDefault="009F0A60">
            <w:pPr>
              <w:pStyle w:val="B"/>
              <w:rPr>
                <w:szCs w:val="20"/>
              </w:rPr>
            </w:pPr>
            <w:r>
              <w:rPr>
                <w:rFonts w:hint="eastAsia"/>
                <w:szCs w:val="20"/>
              </w:rPr>
              <w:t>字符型，</w:t>
            </w:r>
            <w:r>
              <w:rPr>
                <w:szCs w:val="20"/>
              </w:rPr>
              <w:t>1</w:t>
            </w:r>
          </w:p>
        </w:tc>
        <w:tc>
          <w:tcPr>
            <w:tcW w:w="4252" w:type="dxa"/>
          </w:tcPr>
          <w:p w14:paraId="3863ED7B" w14:textId="77777777" w:rsidR="00A052DC" w:rsidRDefault="009F0A60">
            <w:pPr>
              <w:pStyle w:val="B"/>
              <w:rPr>
                <w:szCs w:val="20"/>
              </w:rPr>
            </w:pPr>
            <w:r>
              <w:rPr>
                <w:rFonts w:hint="eastAsia"/>
                <w:szCs w:val="20"/>
              </w:rPr>
              <w:t>必填项，是</w:t>
            </w:r>
            <w:r>
              <w:rPr>
                <w:szCs w:val="20"/>
              </w:rPr>
              <w:t>-Y</w:t>
            </w:r>
            <w:r>
              <w:rPr>
                <w:rFonts w:hint="eastAsia"/>
                <w:szCs w:val="20"/>
              </w:rPr>
              <w:t>，否</w:t>
            </w:r>
            <w:r>
              <w:rPr>
                <w:szCs w:val="20"/>
              </w:rPr>
              <w:t>-N</w:t>
            </w:r>
            <w:r>
              <w:rPr>
                <w:rFonts w:hint="eastAsia"/>
                <w:szCs w:val="20"/>
              </w:rPr>
              <w:t>，默认为否，填写</w:t>
            </w:r>
            <w:r>
              <w:rPr>
                <w:szCs w:val="20"/>
              </w:rPr>
              <w:t>N</w:t>
            </w:r>
            <w:r>
              <w:rPr>
                <w:rFonts w:hint="eastAsia"/>
                <w:szCs w:val="20"/>
              </w:rPr>
              <w:t>。</w:t>
            </w:r>
          </w:p>
        </w:tc>
      </w:tr>
      <w:tr w:rsidR="00A052DC" w14:paraId="62EC21BD" w14:textId="77777777">
        <w:tc>
          <w:tcPr>
            <w:tcW w:w="1418" w:type="dxa"/>
          </w:tcPr>
          <w:p w14:paraId="7831F3A5" w14:textId="77777777" w:rsidR="00A052DC" w:rsidRDefault="009F0A60">
            <w:pPr>
              <w:pStyle w:val="B"/>
              <w:rPr>
                <w:szCs w:val="20"/>
              </w:rPr>
            </w:pPr>
            <w:r>
              <w:rPr>
                <w:szCs w:val="20"/>
              </w:rPr>
              <w:t>RELATION</w:t>
            </w:r>
          </w:p>
        </w:tc>
        <w:tc>
          <w:tcPr>
            <w:tcW w:w="1701" w:type="dxa"/>
          </w:tcPr>
          <w:p w14:paraId="2F5CEEDD" w14:textId="77777777" w:rsidR="00A052DC" w:rsidRDefault="009F0A60">
            <w:pPr>
              <w:pStyle w:val="B"/>
              <w:rPr>
                <w:szCs w:val="20"/>
              </w:rPr>
            </w:pPr>
            <w:r>
              <w:rPr>
                <w:rFonts w:hint="eastAsia"/>
                <w:szCs w:val="20"/>
              </w:rPr>
              <w:t>对方与本机构的关系</w:t>
            </w:r>
          </w:p>
        </w:tc>
        <w:tc>
          <w:tcPr>
            <w:tcW w:w="1276" w:type="dxa"/>
          </w:tcPr>
          <w:p w14:paraId="1B4459BF" w14:textId="77777777" w:rsidR="00A052DC" w:rsidRDefault="009F0A60">
            <w:pPr>
              <w:pStyle w:val="B"/>
              <w:rPr>
                <w:szCs w:val="20"/>
              </w:rPr>
            </w:pPr>
            <w:r>
              <w:rPr>
                <w:rFonts w:hint="eastAsia"/>
                <w:szCs w:val="20"/>
              </w:rPr>
              <w:t>字符型，</w:t>
            </w:r>
            <w:r>
              <w:rPr>
                <w:szCs w:val="20"/>
              </w:rPr>
              <w:t>2</w:t>
            </w:r>
          </w:p>
        </w:tc>
        <w:tc>
          <w:tcPr>
            <w:tcW w:w="4252" w:type="dxa"/>
          </w:tcPr>
          <w:p w14:paraId="2833B67A" w14:textId="77777777" w:rsidR="00A052DC" w:rsidRDefault="009F0A60">
            <w:pPr>
              <w:pStyle w:val="B"/>
              <w:rPr>
                <w:szCs w:val="20"/>
              </w:rPr>
            </w:pPr>
            <w:r>
              <w:rPr>
                <w:rFonts w:hint="eastAsia"/>
                <w:szCs w:val="20"/>
              </w:rPr>
              <w:t>必填项，见对方与本机构</w:t>
            </w:r>
            <w:r>
              <w:rPr>
                <w:szCs w:val="20"/>
              </w:rPr>
              <w:t>/</w:t>
            </w:r>
            <w:r>
              <w:rPr>
                <w:rFonts w:hint="eastAsia"/>
                <w:szCs w:val="20"/>
              </w:rPr>
              <w:t>被代理居民机构</w:t>
            </w:r>
            <w:r>
              <w:rPr>
                <w:szCs w:val="20"/>
              </w:rPr>
              <w:t>/</w:t>
            </w:r>
            <w:r>
              <w:rPr>
                <w:rFonts w:hint="eastAsia"/>
                <w:szCs w:val="20"/>
              </w:rPr>
              <w:t>委托人的关系代码表。</w:t>
            </w:r>
          </w:p>
        </w:tc>
      </w:tr>
      <w:tr w:rsidR="00A052DC" w14:paraId="23E15AF3" w14:textId="77777777">
        <w:tc>
          <w:tcPr>
            <w:tcW w:w="1418" w:type="dxa"/>
            <w:tcBorders>
              <w:top w:val="single" w:sz="4" w:space="0" w:color="auto"/>
              <w:left w:val="single" w:sz="4" w:space="0" w:color="auto"/>
              <w:bottom w:val="single" w:sz="4" w:space="0" w:color="auto"/>
              <w:right w:val="single" w:sz="4" w:space="0" w:color="auto"/>
            </w:tcBorders>
          </w:tcPr>
          <w:p w14:paraId="17D72B13" w14:textId="77777777" w:rsidR="00A052DC" w:rsidRDefault="009F0A60">
            <w:pPr>
              <w:pStyle w:val="B"/>
              <w:rPr>
                <w:szCs w:val="20"/>
              </w:rPr>
            </w:pPr>
            <w:r>
              <w:rPr>
                <w:szCs w:val="20"/>
              </w:rPr>
              <w:t>REMARK</w:t>
            </w:r>
          </w:p>
        </w:tc>
        <w:tc>
          <w:tcPr>
            <w:tcW w:w="1701" w:type="dxa"/>
            <w:tcBorders>
              <w:top w:val="single" w:sz="4" w:space="0" w:color="auto"/>
              <w:left w:val="single" w:sz="4" w:space="0" w:color="auto"/>
              <w:bottom w:val="single" w:sz="4" w:space="0" w:color="auto"/>
              <w:right w:val="single" w:sz="4" w:space="0" w:color="auto"/>
            </w:tcBorders>
          </w:tcPr>
          <w:p w14:paraId="349C4275" w14:textId="77777777" w:rsidR="00A052DC" w:rsidRDefault="009F0A60">
            <w:pPr>
              <w:pStyle w:val="B"/>
              <w:rPr>
                <w:szCs w:val="20"/>
              </w:rPr>
            </w:pPr>
            <w:r>
              <w:rPr>
                <w:rFonts w:hint="eastAsia"/>
                <w:szCs w:val="20"/>
              </w:rPr>
              <w:t>备注</w:t>
            </w:r>
          </w:p>
        </w:tc>
        <w:tc>
          <w:tcPr>
            <w:tcW w:w="1276" w:type="dxa"/>
            <w:tcBorders>
              <w:top w:val="single" w:sz="4" w:space="0" w:color="auto"/>
              <w:left w:val="single" w:sz="4" w:space="0" w:color="auto"/>
              <w:bottom w:val="single" w:sz="4" w:space="0" w:color="auto"/>
              <w:right w:val="single" w:sz="4" w:space="0" w:color="auto"/>
            </w:tcBorders>
          </w:tcPr>
          <w:p w14:paraId="69AE5213" w14:textId="77777777" w:rsidR="00A052DC" w:rsidRDefault="009F0A60">
            <w:pPr>
              <w:pStyle w:val="B"/>
              <w:rPr>
                <w:szCs w:val="20"/>
              </w:rPr>
            </w:pPr>
            <w:r>
              <w:rPr>
                <w:rFonts w:hint="eastAsia"/>
                <w:szCs w:val="20"/>
              </w:rPr>
              <w:t>字符型，</w:t>
            </w:r>
            <w:r>
              <w:rPr>
                <w:szCs w:val="20"/>
              </w:rPr>
              <w:t>256</w:t>
            </w:r>
          </w:p>
        </w:tc>
        <w:tc>
          <w:tcPr>
            <w:tcW w:w="4252" w:type="dxa"/>
            <w:tcBorders>
              <w:top w:val="single" w:sz="4" w:space="0" w:color="auto"/>
              <w:left w:val="single" w:sz="4" w:space="0" w:color="auto"/>
              <w:bottom w:val="single" w:sz="4" w:space="0" w:color="auto"/>
              <w:right w:val="single" w:sz="4" w:space="0" w:color="auto"/>
            </w:tcBorders>
          </w:tcPr>
          <w:p w14:paraId="5F8F9F5B" w14:textId="77777777" w:rsidR="00A052DC" w:rsidRDefault="009F0A60">
            <w:pPr>
              <w:pStyle w:val="B"/>
              <w:rPr>
                <w:szCs w:val="20"/>
              </w:rPr>
            </w:pPr>
            <w:r>
              <w:rPr>
                <w:rFonts w:hint="eastAsia"/>
                <w:szCs w:val="20"/>
              </w:rPr>
              <w:t>非必填项。</w:t>
            </w:r>
          </w:p>
        </w:tc>
      </w:tr>
    </w:tbl>
    <w:p w14:paraId="176ADD8B" w14:textId="77777777" w:rsidR="00A052DC" w:rsidRDefault="009F0A60">
      <w:pPr>
        <w:pStyle w:val="4"/>
        <w:numPr>
          <w:ilvl w:val="3"/>
          <w:numId w:val="1"/>
        </w:numPr>
        <w:jc w:val="left"/>
      </w:pPr>
      <w:bookmarkStart w:id="1536" w:name="_Toc454386902"/>
      <w:bookmarkStart w:id="1537" w:name="_Toc328635489"/>
      <w:r>
        <w:rPr>
          <w:rFonts w:hint="eastAsia"/>
        </w:rPr>
        <w:t>其他贷款</w:t>
      </w:r>
      <w:bookmarkEnd w:id="1536"/>
      <w:bookmarkEnd w:id="1537"/>
    </w:p>
    <w:p w14:paraId="79C1D8FC" w14:textId="77777777" w:rsidR="00A052DC" w:rsidRDefault="009F0A60" w:rsidP="0020251D">
      <w:pPr>
        <w:pStyle w:val="5"/>
        <w:numPr>
          <w:ilvl w:val="4"/>
          <w:numId w:val="1"/>
        </w:numPr>
        <w:spacing w:before="120" w:after="120" w:line="360" w:lineRule="auto"/>
        <w:jc w:val="left"/>
      </w:pPr>
      <w:bookmarkStart w:id="1538" w:name="_Toc454386903"/>
      <w:r>
        <w:rPr>
          <w:rFonts w:hint="eastAsia"/>
        </w:rPr>
        <w:t>数据术语解释</w:t>
      </w:r>
      <w:bookmarkEnd w:id="1538"/>
    </w:p>
    <w:tbl>
      <w:tblPr>
        <w:tblW w:w="84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668"/>
        <w:gridCol w:w="6804"/>
      </w:tblGrid>
      <w:tr w:rsidR="00A052DC" w14:paraId="6C5C3E07" w14:textId="77777777">
        <w:tc>
          <w:tcPr>
            <w:tcW w:w="1668" w:type="dxa"/>
          </w:tcPr>
          <w:p w14:paraId="1CAE444B" w14:textId="77777777" w:rsidR="00A052DC" w:rsidRDefault="009F0A60">
            <w:pPr>
              <w:pStyle w:val="B1"/>
              <w:rPr>
                <w:u w:val="single"/>
              </w:rPr>
            </w:pPr>
            <w:r>
              <w:rPr>
                <w:rFonts w:hint="eastAsia"/>
              </w:rPr>
              <w:t>基础数据项</w:t>
            </w:r>
          </w:p>
        </w:tc>
        <w:tc>
          <w:tcPr>
            <w:tcW w:w="6804" w:type="dxa"/>
          </w:tcPr>
          <w:p w14:paraId="647EB7C0" w14:textId="77777777" w:rsidR="00A052DC" w:rsidRDefault="009F0A60">
            <w:pPr>
              <w:pStyle w:val="B1"/>
            </w:pPr>
            <w:r>
              <w:rPr>
                <w:rFonts w:hint="eastAsia"/>
              </w:rPr>
              <w:t>定义</w:t>
            </w:r>
          </w:p>
        </w:tc>
      </w:tr>
      <w:tr w:rsidR="00A052DC" w14:paraId="7F37C853" w14:textId="77777777">
        <w:trPr>
          <w:cantSplit/>
          <w:trHeight w:val="157"/>
        </w:trPr>
        <w:tc>
          <w:tcPr>
            <w:tcW w:w="1668" w:type="dxa"/>
          </w:tcPr>
          <w:p w14:paraId="29C4875C" w14:textId="77777777" w:rsidR="00A052DC" w:rsidRDefault="009F0A60">
            <w:pPr>
              <w:pStyle w:val="B"/>
              <w:rPr>
                <w:szCs w:val="20"/>
              </w:rPr>
            </w:pPr>
            <w:r>
              <w:rPr>
                <w:rFonts w:hint="eastAsia"/>
                <w:szCs w:val="20"/>
              </w:rPr>
              <w:t>外债编号</w:t>
            </w:r>
          </w:p>
        </w:tc>
        <w:tc>
          <w:tcPr>
            <w:tcW w:w="6804" w:type="dxa"/>
          </w:tcPr>
          <w:p w14:paraId="73898ECA" w14:textId="77777777" w:rsidR="00A052DC" w:rsidRDefault="009F0A60">
            <w:pPr>
              <w:pStyle w:val="B"/>
              <w:rPr>
                <w:szCs w:val="20"/>
              </w:rPr>
            </w:pPr>
            <w:r>
              <w:rPr>
                <w:rFonts w:hint="eastAsia"/>
                <w:szCs w:val="20"/>
              </w:rPr>
              <w:t>外汇局制定统一编号规则，银行自行对每一笔外债编号，用于唯一标识该笔外债。银行外债编号共计</w:t>
            </w:r>
            <w:r>
              <w:rPr>
                <w:szCs w:val="20"/>
              </w:rPr>
              <w:t>28</w:t>
            </w:r>
            <w:r>
              <w:rPr>
                <w:rFonts w:hint="eastAsia"/>
                <w:szCs w:val="20"/>
              </w:rPr>
              <w:t>位。第</w:t>
            </w:r>
            <w:r>
              <w:rPr>
                <w:szCs w:val="20"/>
              </w:rPr>
              <w:t>1</w:t>
            </w:r>
            <w:r>
              <w:rPr>
                <w:rFonts w:hint="eastAsia"/>
                <w:szCs w:val="20"/>
              </w:rPr>
              <w:t>至</w:t>
            </w:r>
            <w:r>
              <w:rPr>
                <w:szCs w:val="20"/>
              </w:rPr>
              <w:t>2</w:t>
            </w:r>
            <w:r>
              <w:rPr>
                <w:rFonts w:hint="eastAsia"/>
                <w:szCs w:val="20"/>
              </w:rPr>
              <w:t>位为业务类型标识，第</w:t>
            </w:r>
            <w:r>
              <w:rPr>
                <w:szCs w:val="20"/>
              </w:rPr>
              <w:t>3</w:t>
            </w:r>
            <w:r>
              <w:rPr>
                <w:rFonts w:hint="eastAsia"/>
                <w:szCs w:val="20"/>
              </w:rPr>
              <w:t>位至</w:t>
            </w:r>
            <w:r>
              <w:rPr>
                <w:szCs w:val="20"/>
              </w:rPr>
              <w:t>14</w:t>
            </w:r>
            <w:r>
              <w:rPr>
                <w:rFonts w:hint="eastAsia"/>
                <w:szCs w:val="20"/>
              </w:rPr>
              <w:t>位为银行金融机构标识码</w:t>
            </w:r>
            <w:r>
              <w:rPr>
                <w:szCs w:val="20"/>
              </w:rPr>
              <w:t>;</w:t>
            </w:r>
            <w:r>
              <w:rPr>
                <w:rFonts w:hint="eastAsia"/>
                <w:szCs w:val="20"/>
              </w:rPr>
              <w:t>第</w:t>
            </w:r>
            <w:r>
              <w:rPr>
                <w:szCs w:val="20"/>
              </w:rPr>
              <w:t>15</w:t>
            </w:r>
            <w:r>
              <w:rPr>
                <w:rFonts w:hint="eastAsia"/>
                <w:szCs w:val="20"/>
              </w:rPr>
              <w:t>至</w:t>
            </w:r>
            <w:r>
              <w:rPr>
                <w:szCs w:val="20"/>
              </w:rPr>
              <w:t>22</w:t>
            </w:r>
            <w:r>
              <w:rPr>
                <w:rFonts w:hint="eastAsia"/>
                <w:szCs w:val="20"/>
              </w:rPr>
              <w:t>位为</w:t>
            </w:r>
            <w:r>
              <w:rPr>
                <w:szCs w:val="20"/>
              </w:rPr>
              <w:t>8</w:t>
            </w:r>
            <w:r>
              <w:rPr>
                <w:rFonts w:hint="eastAsia"/>
                <w:szCs w:val="20"/>
              </w:rPr>
              <w:t>位年月日数字（</w:t>
            </w:r>
            <w:r>
              <w:rPr>
                <w:szCs w:val="20"/>
              </w:rPr>
              <w:t>20110701</w:t>
            </w:r>
            <w:r>
              <w:rPr>
                <w:rFonts w:hint="eastAsia"/>
                <w:szCs w:val="20"/>
              </w:rPr>
              <w:t>）</w:t>
            </w:r>
            <w:r>
              <w:rPr>
                <w:szCs w:val="20"/>
              </w:rPr>
              <w:t>;</w:t>
            </w:r>
            <w:r>
              <w:rPr>
                <w:rFonts w:hint="eastAsia"/>
                <w:szCs w:val="20"/>
              </w:rPr>
              <w:t>第</w:t>
            </w:r>
            <w:r>
              <w:rPr>
                <w:szCs w:val="20"/>
              </w:rPr>
              <w:t>23</w:t>
            </w:r>
            <w:r>
              <w:rPr>
                <w:rFonts w:hint="eastAsia"/>
                <w:szCs w:val="20"/>
              </w:rPr>
              <w:t>至</w:t>
            </w:r>
            <w:r>
              <w:rPr>
                <w:szCs w:val="20"/>
              </w:rPr>
              <w:t>28</w:t>
            </w:r>
            <w:r>
              <w:rPr>
                <w:rFonts w:hint="eastAsia"/>
                <w:szCs w:val="20"/>
              </w:rPr>
              <w:t>位为该笔业务的流水号（流水码编制规则：从</w:t>
            </w:r>
            <w:r>
              <w:rPr>
                <w:szCs w:val="20"/>
              </w:rPr>
              <w:t>000001</w:t>
            </w:r>
            <w:r>
              <w:rPr>
                <w:rFonts w:hint="eastAsia"/>
                <w:szCs w:val="20"/>
              </w:rPr>
              <w:t>～</w:t>
            </w:r>
            <w:r>
              <w:rPr>
                <w:szCs w:val="20"/>
              </w:rPr>
              <w:t>999999</w:t>
            </w:r>
            <w:r>
              <w:rPr>
                <w:rFonts w:hint="eastAsia"/>
                <w:szCs w:val="20"/>
              </w:rPr>
              <w:t>）。银行新发生一笔外债业务时，需为该笔外债编制外债编号，同一笔外债发生变更或展期时，不作为一笔新业务进行登记，发生展期时，变更到期日。</w:t>
            </w:r>
          </w:p>
        </w:tc>
      </w:tr>
      <w:tr w:rsidR="00A052DC" w14:paraId="0766E513" w14:textId="77777777">
        <w:trPr>
          <w:cantSplit/>
        </w:trPr>
        <w:tc>
          <w:tcPr>
            <w:tcW w:w="1668" w:type="dxa"/>
          </w:tcPr>
          <w:p w14:paraId="1A0D1C8E" w14:textId="77777777" w:rsidR="00A052DC" w:rsidRDefault="009F0A60">
            <w:pPr>
              <w:pStyle w:val="B"/>
              <w:rPr>
                <w:szCs w:val="20"/>
              </w:rPr>
            </w:pPr>
            <w:r>
              <w:rPr>
                <w:rFonts w:hint="eastAsia"/>
                <w:szCs w:val="20"/>
              </w:rPr>
              <w:t>债务人代码</w:t>
            </w:r>
          </w:p>
        </w:tc>
        <w:tc>
          <w:tcPr>
            <w:tcW w:w="6804" w:type="dxa"/>
          </w:tcPr>
          <w:p w14:paraId="040D2591" w14:textId="77777777" w:rsidR="00A052DC" w:rsidRDefault="009F0A60">
            <w:pPr>
              <w:pStyle w:val="B"/>
              <w:rPr>
                <w:szCs w:val="20"/>
              </w:rPr>
            </w:pPr>
            <w:r>
              <w:rPr>
                <w:rFonts w:hint="eastAsia"/>
                <w:szCs w:val="20"/>
              </w:rPr>
              <w:t>国家外汇管理局及其分支局签发给境内债务银行的</w:t>
            </w:r>
            <w:r>
              <w:rPr>
                <w:szCs w:val="20"/>
              </w:rPr>
              <w:t>12</w:t>
            </w:r>
            <w:r>
              <w:rPr>
                <w:rFonts w:hint="eastAsia"/>
                <w:szCs w:val="20"/>
              </w:rPr>
              <w:t>位金融机构标识码编码。</w:t>
            </w:r>
          </w:p>
        </w:tc>
      </w:tr>
      <w:tr w:rsidR="00A052DC" w14:paraId="1F37CF62" w14:textId="77777777">
        <w:trPr>
          <w:cantSplit/>
        </w:trPr>
        <w:tc>
          <w:tcPr>
            <w:tcW w:w="1668" w:type="dxa"/>
          </w:tcPr>
          <w:p w14:paraId="116EC2A0" w14:textId="77777777" w:rsidR="00A052DC" w:rsidRDefault="009F0A60">
            <w:pPr>
              <w:pStyle w:val="B"/>
              <w:rPr>
                <w:szCs w:val="20"/>
              </w:rPr>
            </w:pPr>
            <w:r>
              <w:rPr>
                <w:rFonts w:hint="eastAsia"/>
                <w:szCs w:val="20"/>
              </w:rPr>
              <w:t>债务类型</w:t>
            </w:r>
          </w:p>
        </w:tc>
        <w:tc>
          <w:tcPr>
            <w:tcW w:w="6804" w:type="dxa"/>
          </w:tcPr>
          <w:p w14:paraId="612D3ADB" w14:textId="77777777" w:rsidR="00A052DC" w:rsidRDefault="009F0A60">
            <w:pPr>
              <w:pStyle w:val="B"/>
              <w:rPr>
                <w:szCs w:val="20"/>
              </w:rPr>
            </w:pPr>
            <w:r>
              <w:rPr>
                <w:rFonts w:hint="eastAsia"/>
                <w:szCs w:val="20"/>
              </w:rPr>
              <w:t>外债的债务类型代码，见外债的债务类型表。</w:t>
            </w:r>
          </w:p>
        </w:tc>
      </w:tr>
      <w:tr w:rsidR="00A052DC" w14:paraId="78D8CF41" w14:textId="77777777">
        <w:trPr>
          <w:cantSplit/>
        </w:trPr>
        <w:tc>
          <w:tcPr>
            <w:tcW w:w="1668" w:type="dxa"/>
          </w:tcPr>
          <w:p w14:paraId="3B1BA4B0" w14:textId="77777777" w:rsidR="00A052DC" w:rsidRDefault="009F0A60">
            <w:pPr>
              <w:pStyle w:val="B"/>
              <w:rPr>
                <w:szCs w:val="20"/>
              </w:rPr>
            </w:pPr>
            <w:r>
              <w:rPr>
                <w:rFonts w:hint="eastAsia"/>
                <w:szCs w:val="20"/>
              </w:rPr>
              <w:t>债务类型备注</w:t>
            </w:r>
          </w:p>
        </w:tc>
        <w:tc>
          <w:tcPr>
            <w:tcW w:w="6804" w:type="dxa"/>
          </w:tcPr>
          <w:p w14:paraId="2E89D5B8" w14:textId="77777777" w:rsidR="00A052DC" w:rsidRDefault="009F0A60">
            <w:pPr>
              <w:pStyle w:val="B"/>
              <w:rPr>
                <w:szCs w:val="20"/>
              </w:rPr>
            </w:pPr>
            <w:r>
              <w:rPr>
                <w:rFonts w:hint="eastAsia"/>
                <w:szCs w:val="20"/>
              </w:rPr>
              <w:t>当债务类型选择“其他“或“其他贷款”时，债务类型备注为必填项，用于具体描述该笔债务的类型。</w:t>
            </w:r>
          </w:p>
        </w:tc>
      </w:tr>
      <w:tr w:rsidR="00A052DC" w14:paraId="139C6C26" w14:textId="77777777">
        <w:trPr>
          <w:cantSplit/>
        </w:trPr>
        <w:tc>
          <w:tcPr>
            <w:tcW w:w="1668" w:type="dxa"/>
          </w:tcPr>
          <w:p w14:paraId="3093E188" w14:textId="77777777" w:rsidR="00A052DC" w:rsidRDefault="009F0A60">
            <w:pPr>
              <w:pStyle w:val="B"/>
              <w:rPr>
                <w:szCs w:val="20"/>
              </w:rPr>
            </w:pPr>
            <w:r>
              <w:rPr>
                <w:rFonts w:hint="eastAsia"/>
                <w:szCs w:val="20"/>
              </w:rPr>
              <w:t>起息日</w:t>
            </w:r>
          </w:p>
        </w:tc>
        <w:tc>
          <w:tcPr>
            <w:tcW w:w="6804" w:type="dxa"/>
          </w:tcPr>
          <w:p w14:paraId="343FEE0E" w14:textId="77777777" w:rsidR="00A052DC" w:rsidRDefault="009F0A60">
            <w:pPr>
              <w:pStyle w:val="B"/>
              <w:rPr>
                <w:szCs w:val="20"/>
              </w:rPr>
            </w:pPr>
            <w:r>
              <w:rPr>
                <w:rFonts w:hint="eastAsia"/>
                <w:szCs w:val="20"/>
              </w:rPr>
              <w:t>债务起始计息日期。</w:t>
            </w:r>
          </w:p>
        </w:tc>
      </w:tr>
      <w:tr w:rsidR="00A052DC" w14:paraId="0F5CE8F4" w14:textId="77777777">
        <w:trPr>
          <w:cantSplit/>
        </w:trPr>
        <w:tc>
          <w:tcPr>
            <w:tcW w:w="1668" w:type="dxa"/>
          </w:tcPr>
          <w:p w14:paraId="72EDB835" w14:textId="77777777" w:rsidR="00A052DC" w:rsidRDefault="009F0A60">
            <w:pPr>
              <w:pStyle w:val="B"/>
              <w:rPr>
                <w:szCs w:val="20"/>
              </w:rPr>
            </w:pPr>
            <w:r>
              <w:rPr>
                <w:rFonts w:hint="eastAsia"/>
                <w:szCs w:val="20"/>
              </w:rPr>
              <w:t>签约币种</w:t>
            </w:r>
          </w:p>
        </w:tc>
        <w:tc>
          <w:tcPr>
            <w:tcW w:w="6804" w:type="dxa"/>
          </w:tcPr>
          <w:p w14:paraId="24C0B142" w14:textId="77777777" w:rsidR="00A052DC" w:rsidRDefault="009F0A60">
            <w:pPr>
              <w:pStyle w:val="B"/>
              <w:rPr>
                <w:szCs w:val="20"/>
              </w:rPr>
            </w:pPr>
            <w:r>
              <w:rPr>
                <w:rFonts w:hint="eastAsia"/>
                <w:szCs w:val="20"/>
              </w:rPr>
              <w:t>外债合同约定的借款币种即签约币种。</w:t>
            </w:r>
          </w:p>
        </w:tc>
      </w:tr>
      <w:tr w:rsidR="00A052DC" w14:paraId="36F71E1C" w14:textId="77777777">
        <w:trPr>
          <w:cantSplit/>
        </w:trPr>
        <w:tc>
          <w:tcPr>
            <w:tcW w:w="1668" w:type="dxa"/>
          </w:tcPr>
          <w:p w14:paraId="7A61800D" w14:textId="77777777" w:rsidR="00A052DC" w:rsidRDefault="009F0A60">
            <w:pPr>
              <w:pStyle w:val="B"/>
              <w:rPr>
                <w:szCs w:val="20"/>
              </w:rPr>
            </w:pPr>
            <w:r>
              <w:rPr>
                <w:rFonts w:hint="eastAsia"/>
                <w:szCs w:val="20"/>
              </w:rPr>
              <w:t>签约金额</w:t>
            </w:r>
          </w:p>
        </w:tc>
        <w:tc>
          <w:tcPr>
            <w:tcW w:w="6804" w:type="dxa"/>
          </w:tcPr>
          <w:p w14:paraId="097A6165" w14:textId="77777777" w:rsidR="00A052DC" w:rsidRDefault="009F0A60">
            <w:pPr>
              <w:pStyle w:val="B"/>
              <w:rPr>
                <w:szCs w:val="20"/>
              </w:rPr>
            </w:pPr>
            <w:r>
              <w:rPr>
                <w:rFonts w:hint="eastAsia"/>
                <w:szCs w:val="20"/>
              </w:rPr>
              <w:t>外债合同约定的借款金额即签约金额。</w:t>
            </w:r>
          </w:p>
        </w:tc>
      </w:tr>
      <w:tr w:rsidR="00A052DC" w14:paraId="21F0F10C" w14:textId="77777777">
        <w:trPr>
          <w:cantSplit/>
        </w:trPr>
        <w:tc>
          <w:tcPr>
            <w:tcW w:w="1668" w:type="dxa"/>
          </w:tcPr>
          <w:p w14:paraId="414AD769" w14:textId="77777777" w:rsidR="00A052DC" w:rsidRDefault="009F0A60">
            <w:pPr>
              <w:pStyle w:val="B"/>
              <w:rPr>
                <w:szCs w:val="20"/>
              </w:rPr>
            </w:pPr>
            <w:r>
              <w:rPr>
                <w:rFonts w:hint="eastAsia"/>
                <w:szCs w:val="20"/>
              </w:rPr>
              <w:t>到期日</w:t>
            </w:r>
          </w:p>
        </w:tc>
        <w:tc>
          <w:tcPr>
            <w:tcW w:w="6804" w:type="dxa"/>
            <w:vAlign w:val="center"/>
          </w:tcPr>
          <w:p w14:paraId="6F36BCAB" w14:textId="77777777" w:rsidR="00A052DC" w:rsidRDefault="009F0A60">
            <w:pPr>
              <w:pStyle w:val="B"/>
              <w:rPr>
                <w:szCs w:val="20"/>
              </w:rPr>
            </w:pPr>
            <w:r>
              <w:rPr>
                <w:rFonts w:hint="eastAsia"/>
                <w:szCs w:val="20"/>
              </w:rPr>
              <w:t>外债的到期日期。</w:t>
            </w:r>
          </w:p>
        </w:tc>
      </w:tr>
      <w:tr w:rsidR="00A052DC" w14:paraId="114041C8" w14:textId="77777777">
        <w:trPr>
          <w:cantSplit/>
        </w:trPr>
        <w:tc>
          <w:tcPr>
            <w:tcW w:w="1668" w:type="dxa"/>
          </w:tcPr>
          <w:p w14:paraId="335C15D4" w14:textId="77777777" w:rsidR="00A052DC" w:rsidRDefault="009F0A60">
            <w:pPr>
              <w:pStyle w:val="B"/>
              <w:rPr>
                <w:szCs w:val="20"/>
              </w:rPr>
            </w:pPr>
            <w:r>
              <w:rPr>
                <w:rFonts w:hint="eastAsia"/>
                <w:szCs w:val="20"/>
              </w:rPr>
              <w:t>是否浮动利率</w:t>
            </w:r>
          </w:p>
        </w:tc>
        <w:tc>
          <w:tcPr>
            <w:tcW w:w="6804" w:type="dxa"/>
          </w:tcPr>
          <w:p w14:paraId="6EBE2FE4" w14:textId="77777777" w:rsidR="00A052DC" w:rsidRDefault="009F0A60">
            <w:pPr>
              <w:pStyle w:val="B"/>
              <w:rPr>
                <w:szCs w:val="20"/>
              </w:rPr>
            </w:pPr>
            <w:r>
              <w:rPr>
                <w:rFonts w:hint="eastAsia"/>
                <w:szCs w:val="20"/>
              </w:rPr>
              <w:t>标识债务利率条件为浮动利率或固定利率，系统默认为否，若为浮动利率，选择是。</w:t>
            </w:r>
          </w:p>
        </w:tc>
      </w:tr>
      <w:tr w:rsidR="00A052DC" w14:paraId="70AAC5C8" w14:textId="77777777">
        <w:trPr>
          <w:cantSplit/>
        </w:trPr>
        <w:tc>
          <w:tcPr>
            <w:tcW w:w="1668" w:type="dxa"/>
          </w:tcPr>
          <w:p w14:paraId="6928442F" w14:textId="77777777" w:rsidR="00A052DC" w:rsidRDefault="009F0A60">
            <w:pPr>
              <w:pStyle w:val="B"/>
              <w:rPr>
                <w:szCs w:val="20"/>
              </w:rPr>
            </w:pPr>
            <w:r>
              <w:rPr>
                <w:rFonts w:hint="eastAsia"/>
                <w:szCs w:val="20"/>
              </w:rPr>
              <w:t>年化利率值</w:t>
            </w:r>
          </w:p>
        </w:tc>
        <w:tc>
          <w:tcPr>
            <w:tcW w:w="6804" w:type="dxa"/>
          </w:tcPr>
          <w:p w14:paraId="48CCB78F" w14:textId="77777777" w:rsidR="00A052DC" w:rsidRDefault="009F0A60">
            <w:pPr>
              <w:pStyle w:val="B"/>
              <w:rPr>
                <w:szCs w:val="20"/>
              </w:rPr>
            </w:pPr>
            <w:r>
              <w:rPr>
                <w:rFonts w:hint="eastAsia"/>
                <w:szCs w:val="20"/>
              </w:rPr>
              <w:t>外债的年化利率。若为浮动利率，应该按照该笔外债签约日期当天的浮动利率条件计算年化利率值。</w:t>
            </w:r>
          </w:p>
        </w:tc>
      </w:tr>
      <w:tr w:rsidR="00A052DC" w14:paraId="640B1627" w14:textId="77777777">
        <w:trPr>
          <w:cantSplit/>
        </w:trPr>
        <w:tc>
          <w:tcPr>
            <w:tcW w:w="1668" w:type="dxa"/>
          </w:tcPr>
          <w:p w14:paraId="62728BE1" w14:textId="77777777" w:rsidR="00A052DC" w:rsidRDefault="009F0A60">
            <w:pPr>
              <w:pStyle w:val="B"/>
              <w:rPr>
                <w:szCs w:val="20"/>
              </w:rPr>
            </w:pPr>
            <w:r>
              <w:rPr>
                <w:rFonts w:hint="eastAsia"/>
                <w:szCs w:val="20"/>
              </w:rPr>
              <w:t>债权人代码</w:t>
            </w:r>
          </w:p>
        </w:tc>
        <w:tc>
          <w:tcPr>
            <w:tcW w:w="6804" w:type="dxa"/>
            <w:vAlign w:val="center"/>
          </w:tcPr>
          <w:p w14:paraId="5F6D2B40" w14:textId="77777777" w:rsidR="00A052DC" w:rsidRDefault="009F0A60">
            <w:pPr>
              <w:pStyle w:val="B"/>
              <w:rPr>
                <w:szCs w:val="20"/>
              </w:rPr>
            </w:pPr>
            <w:r>
              <w:rPr>
                <w:rFonts w:hint="eastAsia"/>
                <w:szCs w:val="20"/>
              </w:rPr>
              <w:t>如果债权人为银行，应填写</w:t>
            </w:r>
            <w:r>
              <w:rPr>
                <w:szCs w:val="20"/>
              </w:rPr>
              <w:t>8</w:t>
            </w:r>
            <w:r>
              <w:rPr>
                <w:rFonts w:hint="eastAsia"/>
                <w:szCs w:val="20"/>
              </w:rPr>
              <w:t>位或</w:t>
            </w:r>
            <w:r>
              <w:rPr>
                <w:szCs w:val="20"/>
              </w:rPr>
              <w:t>11</w:t>
            </w:r>
            <w:r>
              <w:rPr>
                <w:rFonts w:hint="eastAsia"/>
                <w:szCs w:val="20"/>
              </w:rPr>
              <w:t>位的</w:t>
            </w:r>
            <w:r>
              <w:rPr>
                <w:szCs w:val="20"/>
              </w:rPr>
              <w:t>SWIFT CODE</w:t>
            </w:r>
            <w:r>
              <w:rPr>
                <w:rFonts w:hint="eastAsia"/>
                <w:szCs w:val="20"/>
              </w:rPr>
              <w:t>；如果债权人类型为“政府”、或“中央银行”时，或者当债务类型为“货币市场工具”或“债券和票据”或“非居民个人存款”时，应在外汇局编制的部分债权人代码表中选择债权人代码；否则为空。</w:t>
            </w:r>
          </w:p>
          <w:p w14:paraId="7A212165" w14:textId="77777777" w:rsidR="00A052DC" w:rsidRDefault="009F0A60">
            <w:pPr>
              <w:pStyle w:val="B"/>
              <w:rPr>
                <w:szCs w:val="20"/>
              </w:rPr>
            </w:pPr>
            <w:r>
              <w:rPr>
                <w:rFonts w:hint="eastAsia"/>
                <w:szCs w:val="20"/>
              </w:rPr>
              <w:t>如果债权人为“非银行金融机构”或“国际金融组织”，应优先填写</w:t>
            </w:r>
            <w:r>
              <w:rPr>
                <w:szCs w:val="20"/>
              </w:rPr>
              <w:t>SWIFT CODE</w:t>
            </w:r>
            <w:r>
              <w:rPr>
                <w:rFonts w:hint="eastAsia"/>
                <w:szCs w:val="20"/>
              </w:rPr>
              <w:t>。</w:t>
            </w:r>
          </w:p>
        </w:tc>
      </w:tr>
      <w:tr w:rsidR="00A052DC" w14:paraId="4294729B" w14:textId="77777777">
        <w:trPr>
          <w:cantSplit/>
        </w:trPr>
        <w:tc>
          <w:tcPr>
            <w:tcW w:w="1668" w:type="dxa"/>
          </w:tcPr>
          <w:p w14:paraId="185DB6C1" w14:textId="77777777" w:rsidR="00A052DC" w:rsidRDefault="009F0A60">
            <w:pPr>
              <w:pStyle w:val="B"/>
              <w:rPr>
                <w:szCs w:val="20"/>
              </w:rPr>
            </w:pPr>
            <w:r>
              <w:rPr>
                <w:rFonts w:hint="eastAsia"/>
                <w:szCs w:val="20"/>
              </w:rPr>
              <w:t>债权人中文名称</w:t>
            </w:r>
          </w:p>
        </w:tc>
        <w:tc>
          <w:tcPr>
            <w:tcW w:w="6804" w:type="dxa"/>
            <w:vAlign w:val="center"/>
          </w:tcPr>
          <w:p w14:paraId="5E38C2C2" w14:textId="77777777" w:rsidR="00A052DC" w:rsidRDefault="009F0A60">
            <w:pPr>
              <w:pStyle w:val="B"/>
              <w:rPr>
                <w:szCs w:val="20"/>
              </w:rPr>
            </w:pPr>
            <w:r>
              <w:rPr>
                <w:rFonts w:hint="eastAsia"/>
                <w:szCs w:val="20"/>
              </w:rPr>
              <w:t>债权人中文名称。</w:t>
            </w:r>
          </w:p>
        </w:tc>
      </w:tr>
      <w:tr w:rsidR="00A052DC" w14:paraId="50A8E46F" w14:textId="77777777">
        <w:trPr>
          <w:cantSplit/>
        </w:trPr>
        <w:tc>
          <w:tcPr>
            <w:tcW w:w="1668" w:type="dxa"/>
          </w:tcPr>
          <w:p w14:paraId="53FD6DE3" w14:textId="77777777" w:rsidR="00A052DC" w:rsidRDefault="009F0A60">
            <w:pPr>
              <w:pStyle w:val="B"/>
              <w:rPr>
                <w:szCs w:val="20"/>
              </w:rPr>
            </w:pPr>
            <w:r>
              <w:rPr>
                <w:rFonts w:hint="eastAsia"/>
                <w:szCs w:val="20"/>
              </w:rPr>
              <w:t>债权人英文名称</w:t>
            </w:r>
          </w:p>
        </w:tc>
        <w:tc>
          <w:tcPr>
            <w:tcW w:w="6804" w:type="dxa"/>
            <w:vAlign w:val="center"/>
          </w:tcPr>
          <w:p w14:paraId="3C6D858A" w14:textId="77777777" w:rsidR="00A052DC" w:rsidRDefault="009F0A60">
            <w:pPr>
              <w:pStyle w:val="B"/>
              <w:rPr>
                <w:szCs w:val="20"/>
              </w:rPr>
            </w:pPr>
            <w:r>
              <w:rPr>
                <w:rFonts w:hint="eastAsia"/>
                <w:szCs w:val="20"/>
              </w:rPr>
              <w:t>债权人英文名称（中英文名称至少填写一个）。</w:t>
            </w:r>
          </w:p>
        </w:tc>
      </w:tr>
      <w:tr w:rsidR="00A052DC" w14:paraId="4CD2EFA3" w14:textId="77777777">
        <w:trPr>
          <w:cantSplit/>
        </w:trPr>
        <w:tc>
          <w:tcPr>
            <w:tcW w:w="1668" w:type="dxa"/>
          </w:tcPr>
          <w:p w14:paraId="7A506657" w14:textId="77777777" w:rsidR="00A052DC" w:rsidRDefault="009F0A60">
            <w:pPr>
              <w:pStyle w:val="B"/>
              <w:rPr>
                <w:szCs w:val="20"/>
              </w:rPr>
            </w:pPr>
            <w:r>
              <w:rPr>
                <w:rFonts w:hint="eastAsia"/>
                <w:szCs w:val="20"/>
              </w:rPr>
              <w:t>债权人类型代码</w:t>
            </w:r>
          </w:p>
        </w:tc>
        <w:tc>
          <w:tcPr>
            <w:tcW w:w="6804" w:type="dxa"/>
          </w:tcPr>
          <w:p w14:paraId="797306A5" w14:textId="77777777" w:rsidR="00A052DC" w:rsidRDefault="009F0A60">
            <w:pPr>
              <w:pStyle w:val="B"/>
              <w:rPr>
                <w:szCs w:val="20"/>
              </w:rPr>
            </w:pPr>
            <w:r>
              <w:rPr>
                <w:rFonts w:hint="eastAsia"/>
                <w:szCs w:val="20"/>
              </w:rPr>
              <w:t>债权人的类型代码，见境外主体类型代码表。</w:t>
            </w:r>
          </w:p>
        </w:tc>
      </w:tr>
      <w:tr w:rsidR="00A052DC" w14:paraId="663D6A7D" w14:textId="77777777">
        <w:trPr>
          <w:cantSplit/>
        </w:trPr>
        <w:tc>
          <w:tcPr>
            <w:tcW w:w="1668" w:type="dxa"/>
          </w:tcPr>
          <w:p w14:paraId="53401841" w14:textId="77777777" w:rsidR="00A052DC" w:rsidRDefault="009F0A60">
            <w:pPr>
              <w:pStyle w:val="B"/>
              <w:rPr>
                <w:szCs w:val="20"/>
              </w:rPr>
            </w:pPr>
            <w:r>
              <w:rPr>
                <w:rFonts w:hint="eastAsia"/>
                <w:szCs w:val="20"/>
              </w:rPr>
              <w:t>债权人总部所在国家（地区）代码</w:t>
            </w:r>
          </w:p>
        </w:tc>
        <w:tc>
          <w:tcPr>
            <w:tcW w:w="6804" w:type="dxa"/>
            <w:vAlign w:val="center"/>
          </w:tcPr>
          <w:p w14:paraId="5CEF5FDC" w14:textId="77777777" w:rsidR="00A052DC" w:rsidRDefault="009F0A60">
            <w:pPr>
              <w:pStyle w:val="B"/>
              <w:rPr>
                <w:szCs w:val="20"/>
              </w:rPr>
            </w:pPr>
            <w:r>
              <w:rPr>
                <w:rFonts w:hint="eastAsia"/>
                <w:szCs w:val="20"/>
              </w:rPr>
              <w:t>债权人总部所在地代码，见国家和地区代码表。</w:t>
            </w:r>
          </w:p>
        </w:tc>
      </w:tr>
      <w:tr w:rsidR="00A052DC" w14:paraId="7CC41635" w14:textId="77777777">
        <w:trPr>
          <w:cantSplit/>
        </w:trPr>
        <w:tc>
          <w:tcPr>
            <w:tcW w:w="1668" w:type="dxa"/>
          </w:tcPr>
          <w:p w14:paraId="5D2B2901" w14:textId="77777777" w:rsidR="00A052DC" w:rsidRDefault="009F0A60">
            <w:pPr>
              <w:pStyle w:val="B"/>
              <w:rPr>
                <w:szCs w:val="20"/>
              </w:rPr>
            </w:pPr>
            <w:r>
              <w:rPr>
                <w:rFonts w:hint="eastAsia"/>
                <w:szCs w:val="20"/>
              </w:rPr>
              <w:t>债权人经营地所在国家（地区）代码</w:t>
            </w:r>
          </w:p>
        </w:tc>
        <w:tc>
          <w:tcPr>
            <w:tcW w:w="6804" w:type="dxa"/>
            <w:vAlign w:val="center"/>
          </w:tcPr>
          <w:p w14:paraId="5BD10545" w14:textId="77777777" w:rsidR="00A052DC" w:rsidRDefault="009F0A60">
            <w:pPr>
              <w:pStyle w:val="B"/>
              <w:rPr>
                <w:szCs w:val="20"/>
              </w:rPr>
            </w:pPr>
            <w:r>
              <w:rPr>
                <w:rFonts w:hint="eastAsia"/>
                <w:szCs w:val="20"/>
              </w:rPr>
              <w:t>债权人经营所在地代码，见国家和地区代码表。</w:t>
            </w:r>
          </w:p>
        </w:tc>
      </w:tr>
      <w:tr w:rsidR="00A052DC" w14:paraId="57824BF3" w14:textId="77777777">
        <w:trPr>
          <w:cantSplit/>
        </w:trPr>
        <w:tc>
          <w:tcPr>
            <w:tcW w:w="1668" w:type="dxa"/>
          </w:tcPr>
          <w:p w14:paraId="0994EFE9" w14:textId="77777777" w:rsidR="00A052DC" w:rsidRDefault="009F0A60">
            <w:pPr>
              <w:pStyle w:val="B"/>
              <w:rPr>
                <w:szCs w:val="20"/>
              </w:rPr>
            </w:pPr>
            <w:r>
              <w:rPr>
                <w:rFonts w:hint="eastAsia"/>
                <w:szCs w:val="20"/>
              </w:rPr>
              <w:t>是否有利息本金化条款</w:t>
            </w:r>
          </w:p>
        </w:tc>
        <w:tc>
          <w:tcPr>
            <w:tcW w:w="6804" w:type="dxa"/>
          </w:tcPr>
          <w:p w14:paraId="31C46C7A" w14:textId="77777777" w:rsidR="00A052DC" w:rsidRDefault="009F0A60">
            <w:pPr>
              <w:pStyle w:val="B"/>
              <w:rPr>
                <w:szCs w:val="20"/>
              </w:rPr>
            </w:pPr>
            <w:r>
              <w:rPr>
                <w:rFonts w:hint="eastAsia"/>
                <w:szCs w:val="20"/>
              </w:rPr>
              <w:t>标识债务合同中是否包含利息本金化条款，默认为“否”。</w:t>
            </w:r>
          </w:p>
        </w:tc>
      </w:tr>
      <w:tr w:rsidR="00A052DC" w14:paraId="4BA3F921" w14:textId="77777777">
        <w:trPr>
          <w:cantSplit/>
        </w:trPr>
        <w:tc>
          <w:tcPr>
            <w:tcW w:w="1668" w:type="dxa"/>
          </w:tcPr>
          <w:p w14:paraId="3CA89BFE" w14:textId="77777777" w:rsidR="00A052DC" w:rsidRDefault="009F0A60">
            <w:pPr>
              <w:pStyle w:val="B"/>
              <w:rPr>
                <w:szCs w:val="20"/>
              </w:rPr>
            </w:pPr>
            <w:r>
              <w:rPr>
                <w:rFonts w:hint="eastAsia"/>
                <w:szCs w:val="20"/>
              </w:rPr>
              <w:t>是否不纳入跨境融资风险加权余额计算</w:t>
            </w:r>
          </w:p>
        </w:tc>
        <w:tc>
          <w:tcPr>
            <w:tcW w:w="6804" w:type="dxa"/>
          </w:tcPr>
          <w:p w14:paraId="2B753CA3" w14:textId="77777777" w:rsidR="00A052DC" w:rsidRDefault="009F0A60">
            <w:pPr>
              <w:pStyle w:val="B"/>
              <w:rPr>
                <w:szCs w:val="20"/>
              </w:rPr>
            </w:pPr>
            <w:r>
              <w:rPr>
                <w:rFonts w:hint="eastAsia"/>
                <w:szCs w:val="20"/>
              </w:rPr>
              <w:t>标识该笔债务是否不纳入跨境融资风险加权余额计算，默认为“否”。</w:t>
            </w:r>
          </w:p>
        </w:tc>
      </w:tr>
      <w:tr w:rsidR="00A052DC" w14:paraId="66AA24CA" w14:textId="77777777">
        <w:trPr>
          <w:cantSplit/>
        </w:trPr>
        <w:tc>
          <w:tcPr>
            <w:tcW w:w="1668" w:type="dxa"/>
          </w:tcPr>
          <w:p w14:paraId="6C993E81" w14:textId="77777777" w:rsidR="00A052DC" w:rsidRDefault="009F0A60">
            <w:pPr>
              <w:pStyle w:val="B"/>
              <w:rPr>
                <w:szCs w:val="20"/>
              </w:rPr>
            </w:pPr>
            <w:r>
              <w:rPr>
                <w:rFonts w:hint="eastAsia"/>
                <w:szCs w:val="20"/>
              </w:rPr>
              <w:t>项目名称</w:t>
            </w:r>
          </w:p>
        </w:tc>
        <w:tc>
          <w:tcPr>
            <w:tcW w:w="6804" w:type="dxa"/>
          </w:tcPr>
          <w:p w14:paraId="4DFFBAB2" w14:textId="77777777" w:rsidR="00A052DC" w:rsidRDefault="009F0A60">
            <w:pPr>
              <w:pStyle w:val="B"/>
              <w:rPr>
                <w:szCs w:val="20"/>
              </w:rPr>
            </w:pPr>
            <w:r>
              <w:rPr>
                <w:rFonts w:hint="eastAsia"/>
                <w:szCs w:val="20"/>
              </w:rPr>
              <w:t>非必填，若该笔外债资金用于明确项目，需填写项目名称。</w:t>
            </w:r>
          </w:p>
        </w:tc>
      </w:tr>
      <w:tr w:rsidR="00A052DC" w14:paraId="15DADF60" w14:textId="77777777">
        <w:trPr>
          <w:cantSplit/>
        </w:trPr>
        <w:tc>
          <w:tcPr>
            <w:tcW w:w="1668" w:type="dxa"/>
          </w:tcPr>
          <w:p w14:paraId="28524954" w14:textId="77777777" w:rsidR="00A052DC" w:rsidRDefault="009F0A60">
            <w:pPr>
              <w:pStyle w:val="B"/>
              <w:rPr>
                <w:szCs w:val="20"/>
              </w:rPr>
            </w:pPr>
            <w:r>
              <w:rPr>
                <w:rFonts w:hint="eastAsia"/>
                <w:szCs w:val="20"/>
              </w:rPr>
              <w:t>对方与本机构的关系</w:t>
            </w:r>
          </w:p>
        </w:tc>
        <w:tc>
          <w:tcPr>
            <w:tcW w:w="6804" w:type="dxa"/>
          </w:tcPr>
          <w:p w14:paraId="77D3DD3A" w14:textId="77777777" w:rsidR="00A052DC" w:rsidRDefault="009F0A60">
            <w:pPr>
              <w:pStyle w:val="B"/>
              <w:rPr>
                <w:szCs w:val="20"/>
              </w:rPr>
            </w:pPr>
            <w:r>
              <w:rPr>
                <w:rFonts w:hint="eastAsia"/>
                <w:szCs w:val="20"/>
              </w:rPr>
              <w:t>债权人与本机构的关系，见对方与本机构</w:t>
            </w:r>
            <w:r>
              <w:rPr>
                <w:szCs w:val="20"/>
              </w:rPr>
              <w:t>/</w:t>
            </w:r>
            <w:r>
              <w:rPr>
                <w:rFonts w:hint="eastAsia"/>
                <w:szCs w:val="20"/>
              </w:rPr>
              <w:t>被代理居民机构</w:t>
            </w:r>
            <w:r>
              <w:rPr>
                <w:szCs w:val="20"/>
              </w:rPr>
              <w:t>/</w:t>
            </w:r>
            <w:r>
              <w:rPr>
                <w:rFonts w:hint="eastAsia"/>
                <w:szCs w:val="20"/>
              </w:rPr>
              <w:t>委托人的关系代码表。</w:t>
            </w:r>
          </w:p>
        </w:tc>
      </w:tr>
      <w:tr w:rsidR="00A052DC" w14:paraId="46A8562D" w14:textId="77777777">
        <w:trPr>
          <w:cantSplit/>
        </w:trPr>
        <w:tc>
          <w:tcPr>
            <w:tcW w:w="1668" w:type="dxa"/>
            <w:tcBorders>
              <w:top w:val="single" w:sz="6" w:space="0" w:color="auto"/>
              <w:left w:val="single" w:sz="6" w:space="0" w:color="auto"/>
              <w:bottom w:val="single" w:sz="6" w:space="0" w:color="auto"/>
              <w:right w:val="single" w:sz="6" w:space="0" w:color="auto"/>
            </w:tcBorders>
          </w:tcPr>
          <w:p w14:paraId="08B82F89" w14:textId="77777777" w:rsidR="00A052DC" w:rsidRDefault="009F0A60">
            <w:pPr>
              <w:pStyle w:val="B"/>
              <w:rPr>
                <w:szCs w:val="20"/>
              </w:rPr>
            </w:pPr>
            <w:r>
              <w:rPr>
                <w:rFonts w:hint="eastAsia"/>
                <w:szCs w:val="20"/>
              </w:rPr>
              <w:t>备注</w:t>
            </w:r>
          </w:p>
        </w:tc>
        <w:tc>
          <w:tcPr>
            <w:tcW w:w="6804" w:type="dxa"/>
            <w:tcBorders>
              <w:top w:val="single" w:sz="6" w:space="0" w:color="auto"/>
              <w:left w:val="single" w:sz="6" w:space="0" w:color="auto"/>
              <w:bottom w:val="single" w:sz="6" w:space="0" w:color="auto"/>
              <w:right w:val="single" w:sz="6" w:space="0" w:color="auto"/>
            </w:tcBorders>
          </w:tcPr>
          <w:p w14:paraId="1D043D17" w14:textId="77777777" w:rsidR="00A052DC" w:rsidRDefault="009F0A60">
            <w:pPr>
              <w:pStyle w:val="B"/>
              <w:rPr>
                <w:szCs w:val="20"/>
              </w:rPr>
            </w:pPr>
            <w:r>
              <w:rPr>
                <w:rFonts w:hint="eastAsia"/>
                <w:szCs w:val="20"/>
              </w:rPr>
              <w:t>需要说明的备注事项。</w:t>
            </w:r>
          </w:p>
        </w:tc>
      </w:tr>
    </w:tbl>
    <w:p w14:paraId="42FEC661" w14:textId="77777777" w:rsidR="00A052DC" w:rsidRDefault="009F0A60">
      <w:pPr>
        <w:pStyle w:val="5"/>
        <w:numPr>
          <w:ilvl w:val="4"/>
          <w:numId w:val="1"/>
        </w:numPr>
        <w:spacing w:before="120" w:after="120" w:line="360" w:lineRule="auto"/>
        <w:jc w:val="left"/>
      </w:pPr>
      <w:bookmarkStart w:id="1539" w:name="_Toc454386904"/>
      <w:bookmarkStart w:id="1540" w:name="_Toc454386905"/>
      <w:bookmarkEnd w:id="1539"/>
      <w:r>
        <w:rPr>
          <w:rFonts w:hint="eastAsia"/>
        </w:rPr>
        <w:t>数据格式</w:t>
      </w:r>
      <w:bookmarkEnd w:id="1540"/>
    </w:p>
    <w:p w14:paraId="430D3C66" w14:textId="77777777" w:rsidR="00A052DC" w:rsidRDefault="009F0A60">
      <w:r>
        <w:t>&lt;REC&gt;</w:t>
      </w:r>
    </w:p>
    <w:p w14:paraId="6DD2E1A1" w14:textId="77777777" w:rsidR="00A052DC" w:rsidRDefault="009F0A60">
      <w:r>
        <w:t>&lt;ACTIONTYPE&gt;</w:t>
      </w:r>
      <w:r>
        <w:rPr>
          <w:rFonts w:hint="eastAsia"/>
        </w:rPr>
        <w:t>操作类型</w:t>
      </w:r>
      <w:r>
        <w:t>&lt;/ACTIONTYPE&gt;</w:t>
      </w:r>
    </w:p>
    <w:p w14:paraId="4E26CFC1" w14:textId="77777777" w:rsidR="00A052DC" w:rsidRDefault="009F0A60">
      <w:r>
        <w:t>&lt;ACTIONDESC&gt;</w:t>
      </w:r>
      <w:r>
        <w:rPr>
          <w:rFonts w:hint="eastAsia"/>
        </w:rPr>
        <w:t>删除原因</w:t>
      </w:r>
      <w:r>
        <w:t>&lt;/ACTIONDESC&gt;</w:t>
      </w:r>
    </w:p>
    <w:p w14:paraId="41FCF91A" w14:textId="77777777" w:rsidR="00A052DC" w:rsidRDefault="009F0A60">
      <w:r>
        <w:t>&lt;EXDEBTCODE&gt;</w:t>
      </w:r>
      <w:r>
        <w:rPr>
          <w:rFonts w:hint="eastAsia"/>
        </w:rPr>
        <w:t>外债编号</w:t>
      </w:r>
      <w:r>
        <w:t>&lt;/EXDEBTCODE&gt;</w:t>
      </w:r>
    </w:p>
    <w:p w14:paraId="20ED3A0E" w14:textId="77777777" w:rsidR="00A052DC" w:rsidRDefault="009F0A60">
      <w:r>
        <w:t>&lt;DEBTORCODE&gt;</w:t>
      </w:r>
      <w:r>
        <w:rPr>
          <w:rFonts w:hint="eastAsia"/>
        </w:rPr>
        <w:t>债务人代码</w:t>
      </w:r>
      <w:r>
        <w:t>&lt;/DEBTORCODE&gt;</w:t>
      </w:r>
    </w:p>
    <w:p w14:paraId="47D8FC3C" w14:textId="77777777" w:rsidR="00A052DC" w:rsidRDefault="009F0A60">
      <w:r>
        <w:t>&lt;DEBTYPE&gt;</w:t>
      </w:r>
      <w:r>
        <w:rPr>
          <w:rFonts w:hint="eastAsia"/>
        </w:rPr>
        <w:t>债务类型</w:t>
      </w:r>
      <w:r>
        <w:t>&lt;/DEBTYPE&gt;</w:t>
      </w:r>
    </w:p>
    <w:p w14:paraId="6A5158C5" w14:textId="77777777" w:rsidR="00A052DC" w:rsidRDefault="009F0A60">
      <w:r>
        <w:t>&lt;DEBTYPEREMA&gt;</w:t>
      </w:r>
      <w:r>
        <w:rPr>
          <w:rFonts w:hint="eastAsia"/>
        </w:rPr>
        <w:t>债务类型备注</w:t>
      </w:r>
      <w:r>
        <w:t>&lt;/DEBTYPEREMA&gt;</w:t>
      </w:r>
    </w:p>
    <w:p w14:paraId="4DC768A3" w14:textId="77777777" w:rsidR="00A052DC" w:rsidRDefault="009F0A60">
      <w:r>
        <w:t>&lt;VALUEDATE&gt;</w:t>
      </w:r>
      <w:r>
        <w:rPr>
          <w:rFonts w:hint="eastAsia"/>
        </w:rPr>
        <w:t>起息日</w:t>
      </w:r>
      <w:r>
        <w:t>&lt;/VALUEDATE&gt;</w:t>
      </w:r>
    </w:p>
    <w:p w14:paraId="760624B5" w14:textId="77777777" w:rsidR="00A052DC" w:rsidRDefault="009F0A60">
      <w:r>
        <w:t>&lt;CONTRACTCURR&gt;</w:t>
      </w:r>
      <w:r>
        <w:rPr>
          <w:rFonts w:hint="eastAsia"/>
        </w:rPr>
        <w:t>签约币种</w:t>
      </w:r>
      <w:r>
        <w:t>&lt;/CONTRACTCURR&gt;</w:t>
      </w:r>
    </w:p>
    <w:p w14:paraId="64BB1861" w14:textId="77777777" w:rsidR="00A052DC" w:rsidRDefault="009F0A60">
      <w:r>
        <w:t>&lt;CONTRACTAMOUNT&gt;</w:t>
      </w:r>
      <w:r>
        <w:rPr>
          <w:rFonts w:hint="eastAsia"/>
        </w:rPr>
        <w:t>签约金额</w:t>
      </w:r>
      <w:r>
        <w:t>&lt;/CONTRACTAMOUNT&gt;</w:t>
      </w:r>
    </w:p>
    <w:p w14:paraId="78A33F57" w14:textId="77777777" w:rsidR="00A052DC" w:rsidRDefault="009F0A60">
      <w:r>
        <w:t>&lt;MATURITY&gt;</w:t>
      </w:r>
      <w:r>
        <w:rPr>
          <w:rFonts w:hint="eastAsia"/>
        </w:rPr>
        <w:t>到期日</w:t>
      </w:r>
      <w:r>
        <w:t>&lt;/MATURITY&gt;</w:t>
      </w:r>
    </w:p>
    <w:p w14:paraId="29C1E158" w14:textId="77777777" w:rsidR="00A052DC" w:rsidRDefault="009F0A60">
      <w:r>
        <w:t>&lt;FLOATRATE&gt;</w:t>
      </w:r>
      <w:r>
        <w:rPr>
          <w:rFonts w:hint="eastAsia"/>
        </w:rPr>
        <w:t>是否浮动利率</w:t>
      </w:r>
      <w:r>
        <w:t>&lt;/FLOATRATE&gt;</w:t>
      </w:r>
    </w:p>
    <w:p w14:paraId="0DEEC6D0" w14:textId="77777777" w:rsidR="00A052DC" w:rsidRDefault="009F0A60">
      <w:r>
        <w:t>&lt;ANNINRATE&gt;</w:t>
      </w:r>
      <w:r>
        <w:rPr>
          <w:rFonts w:hint="eastAsia"/>
        </w:rPr>
        <w:t>年化利率值</w:t>
      </w:r>
      <w:r>
        <w:t>&lt;/ANNINRATE&gt;</w:t>
      </w:r>
    </w:p>
    <w:p w14:paraId="1C4DC4E0" w14:textId="77777777" w:rsidR="00A052DC" w:rsidRDefault="009F0A60">
      <w:r>
        <w:t>&lt;CREDITORCODE&gt;</w:t>
      </w:r>
      <w:r>
        <w:rPr>
          <w:rFonts w:hint="eastAsia"/>
        </w:rPr>
        <w:t>债权人代码</w:t>
      </w:r>
      <w:r>
        <w:t>&lt;/CREDITORCODE&gt;</w:t>
      </w:r>
    </w:p>
    <w:p w14:paraId="6E867866" w14:textId="77777777" w:rsidR="00A052DC" w:rsidRDefault="009F0A60">
      <w:r>
        <w:t>&lt;CREDITORNAME&gt;</w:t>
      </w:r>
      <w:r>
        <w:rPr>
          <w:rFonts w:hint="eastAsia"/>
        </w:rPr>
        <w:t>债权人中文名称</w:t>
      </w:r>
      <w:r>
        <w:t>&lt;/CREDITORNAME&gt;</w:t>
      </w:r>
    </w:p>
    <w:p w14:paraId="37C5D5A5" w14:textId="77777777" w:rsidR="00A052DC" w:rsidRDefault="009F0A60">
      <w:r>
        <w:t>&lt;CREDITORNAMEN&gt;</w:t>
      </w:r>
      <w:r>
        <w:rPr>
          <w:rFonts w:hint="eastAsia"/>
        </w:rPr>
        <w:t>债权人英文名称</w:t>
      </w:r>
      <w:r>
        <w:t>&lt;/CREDITORNAMEN&gt;</w:t>
      </w:r>
    </w:p>
    <w:p w14:paraId="3BA1E6B2" w14:textId="77777777" w:rsidR="00A052DC" w:rsidRDefault="009F0A60">
      <w:r>
        <w:t>&lt;CREDITORTYPE&gt;</w:t>
      </w:r>
      <w:r>
        <w:rPr>
          <w:rFonts w:hint="eastAsia"/>
        </w:rPr>
        <w:t>债权人类型代码</w:t>
      </w:r>
      <w:r>
        <w:t>&lt;/CREDITORTYPE&gt;</w:t>
      </w:r>
    </w:p>
    <w:p w14:paraId="4D1C06A4" w14:textId="77777777" w:rsidR="00A052DC" w:rsidRDefault="009F0A60">
      <w:r>
        <w:t>&lt;CREHQCODE&gt;</w:t>
      </w:r>
      <w:r>
        <w:rPr>
          <w:rFonts w:hint="eastAsia"/>
        </w:rPr>
        <w:t>债权人总部所在国家（地区）代码</w:t>
      </w:r>
      <w:r>
        <w:t>&lt;/CREHQCODE&gt;</w:t>
      </w:r>
    </w:p>
    <w:p w14:paraId="4737A276" w14:textId="77777777" w:rsidR="00A052DC" w:rsidRDefault="009F0A60">
      <w:r>
        <w:t>&lt;OPERCODE&gt;</w:t>
      </w:r>
      <w:r>
        <w:rPr>
          <w:rFonts w:hint="eastAsia"/>
        </w:rPr>
        <w:t>债权人经营地所在国家（地区）代码</w:t>
      </w:r>
      <w:r>
        <w:t>&lt;/OPERCODE&gt;</w:t>
      </w:r>
    </w:p>
    <w:p w14:paraId="3C605D63" w14:textId="77777777" w:rsidR="00A052DC" w:rsidRDefault="009F0A60">
      <w:r>
        <w:t>&lt;INPRTERM&gt;</w:t>
      </w:r>
      <w:r>
        <w:rPr>
          <w:rFonts w:hint="eastAsia"/>
        </w:rPr>
        <w:t>是否有利息本金化条款</w:t>
      </w:r>
      <w:r>
        <w:t>&lt;/INPRTERM&gt;</w:t>
      </w:r>
    </w:p>
    <w:p w14:paraId="57EB749B" w14:textId="77777777" w:rsidR="00A052DC" w:rsidRDefault="009F0A60">
      <w:r>
        <w:t>&lt;SPAPFEBOINDEX&gt;</w:t>
      </w:r>
      <w:r>
        <w:rPr>
          <w:rFonts w:hint="eastAsia"/>
        </w:rPr>
        <w:t>是否不纳入跨境融资风险加权余额计算</w:t>
      </w:r>
      <w:r>
        <w:t>&lt;/SPAPFEBOINDEX&gt;</w:t>
      </w:r>
    </w:p>
    <w:p w14:paraId="7EE54FBF" w14:textId="77777777" w:rsidR="00A052DC" w:rsidRDefault="009F0A60">
      <w:r>
        <w:t>&lt;PROJECTNAME&gt;</w:t>
      </w:r>
      <w:r>
        <w:rPr>
          <w:rFonts w:hint="eastAsia"/>
        </w:rPr>
        <w:t>项目名称</w:t>
      </w:r>
      <w:r>
        <w:t>&lt;/PROJECTNAME&gt;</w:t>
      </w:r>
    </w:p>
    <w:p w14:paraId="3E3152BD" w14:textId="77777777" w:rsidR="00A052DC" w:rsidRDefault="009F0A60">
      <w:r>
        <w:t>&lt;RELATION&gt;</w:t>
      </w:r>
      <w:r>
        <w:rPr>
          <w:rFonts w:hint="eastAsia"/>
        </w:rPr>
        <w:t>对方与本机构的关系</w:t>
      </w:r>
      <w:r>
        <w:t>&lt;/RELATION&gt;</w:t>
      </w:r>
    </w:p>
    <w:p w14:paraId="053FFC59" w14:textId="77777777" w:rsidR="00A052DC" w:rsidRDefault="009F0A60">
      <w:r>
        <w:t>&lt;REMARK&gt;</w:t>
      </w:r>
      <w:r>
        <w:rPr>
          <w:rFonts w:hint="eastAsia"/>
        </w:rPr>
        <w:t>备注</w:t>
      </w:r>
      <w:r>
        <w:t>&lt;/REMARK&gt;</w:t>
      </w:r>
    </w:p>
    <w:p w14:paraId="02C09417" w14:textId="77777777" w:rsidR="00A052DC" w:rsidRDefault="009F0A60">
      <w:r>
        <w:t>&lt;/REC&gt;</w:t>
      </w:r>
    </w:p>
    <w:p w14:paraId="30FDDAD9" w14:textId="77777777" w:rsidR="00A052DC" w:rsidRDefault="009F0A60" w:rsidP="0020251D">
      <w:pPr>
        <w:pStyle w:val="5"/>
        <w:numPr>
          <w:ilvl w:val="4"/>
          <w:numId w:val="1"/>
        </w:numPr>
        <w:spacing w:before="120" w:after="120" w:line="360" w:lineRule="auto"/>
        <w:jc w:val="left"/>
      </w:pPr>
      <w:bookmarkStart w:id="1541" w:name="_Toc454386906"/>
      <w:r>
        <w:rPr>
          <w:rFonts w:hint="eastAsia"/>
        </w:rPr>
        <w:t>数据字典</w:t>
      </w:r>
      <w:bookmarkEnd w:id="1541"/>
    </w:p>
    <w:tbl>
      <w:tblPr>
        <w:tblW w:w="86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701"/>
        <w:gridCol w:w="1417"/>
        <w:gridCol w:w="3969"/>
      </w:tblGrid>
      <w:tr w:rsidR="00A052DC" w14:paraId="188BC429" w14:textId="77777777">
        <w:trPr>
          <w:tblHeader/>
        </w:trPr>
        <w:tc>
          <w:tcPr>
            <w:tcW w:w="1560" w:type="dxa"/>
            <w:shd w:val="clear" w:color="auto" w:fill="C0C0C0"/>
          </w:tcPr>
          <w:p w14:paraId="15C17BEC" w14:textId="77777777" w:rsidR="00A052DC" w:rsidRDefault="009F0A60">
            <w:pPr>
              <w:jc w:val="center"/>
              <w:rPr>
                <w:rFonts w:ascii="黑体" w:eastAsia="黑体" w:hAnsi="黑体"/>
                <w:b/>
                <w:sz w:val="20"/>
                <w:szCs w:val="20"/>
              </w:rPr>
            </w:pPr>
            <w:r>
              <w:rPr>
                <w:rFonts w:ascii="黑体" w:eastAsia="黑体" w:hAnsi="黑体" w:hint="eastAsia"/>
                <w:b/>
                <w:sz w:val="20"/>
                <w:szCs w:val="20"/>
              </w:rPr>
              <w:t>字段</w:t>
            </w:r>
          </w:p>
        </w:tc>
        <w:tc>
          <w:tcPr>
            <w:tcW w:w="1701" w:type="dxa"/>
            <w:shd w:val="clear" w:color="auto" w:fill="C0C0C0"/>
          </w:tcPr>
          <w:p w14:paraId="3ABBC2FC" w14:textId="77777777" w:rsidR="00A052DC" w:rsidRDefault="009F0A60">
            <w:pPr>
              <w:jc w:val="center"/>
              <w:rPr>
                <w:rFonts w:ascii="黑体" w:eastAsia="黑体" w:hAnsi="黑体"/>
                <w:b/>
                <w:sz w:val="20"/>
                <w:szCs w:val="20"/>
              </w:rPr>
            </w:pPr>
            <w:r>
              <w:rPr>
                <w:rFonts w:ascii="黑体" w:eastAsia="黑体" w:hAnsi="黑体" w:hint="eastAsia"/>
                <w:b/>
                <w:sz w:val="20"/>
                <w:szCs w:val="20"/>
              </w:rPr>
              <w:t>内容</w:t>
            </w:r>
          </w:p>
        </w:tc>
        <w:tc>
          <w:tcPr>
            <w:tcW w:w="1417" w:type="dxa"/>
            <w:shd w:val="clear" w:color="auto" w:fill="C0C0C0"/>
          </w:tcPr>
          <w:p w14:paraId="50340481" w14:textId="77777777" w:rsidR="00A052DC" w:rsidRDefault="009F0A60">
            <w:pPr>
              <w:jc w:val="center"/>
              <w:rPr>
                <w:rFonts w:ascii="黑体" w:eastAsia="黑体" w:hAnsi="黑体"/>
                <w:b/>
                <w:sz w:val="20"/>
                <w:szCs w:val="20"/>
              </w:rPr>
            </w:pPr>
            <w:r>
              <w:rPr>
                <w:rFonts w:ascii="黑体" w:eastAsia="黑体" w:hAnsi="黑体" w:hint="eastAsia"/>
                <w:b/>
                <w:sz w:val="20"/>
                <w:szCs w:val="20"/>
              </w:rPr>
              <w:t>类型（长度）</w:t>
            </w:r>
          </w:p>
        </w:tc>
        <w:tc>
          <w:tcPr>
            <w:tcW w:w="3969" w:type="dxa"/>
            <w:shd w:val="clear" w:color="auto" w:fill="C0C0C0"/>
          </w:tcPr>
          <w:p w14:paraId="769DA339" w14:textId="77777777" w:rsidR="00A052DC" w:rsidRDefault="009F0A60">
            <w:pPr>
              <w:jc w:val="center"/>
              <w:rPr>
                <w:rFonts w:ascii="黑体" w:eastAsia="黑体" w:hAnsi="黑体"/>
                <w:b/>
                <w:sz w:val="20"/>
                <w:szCs w:val="20"/>
              </w:rPr>
            </w:pPr>
            <w:r>
              <w:rPr>
                <w:rFonts w:ascii="黑体" w:eastAsia="黑体" w:hAnsi="黑体" w:hint="eastAsia"/>
                <w:b/>
                <w:sz w:val="20"/>
                <w:szCs w:val="20"/>
              </w:rPr>
              <w:t>校验</w:t>
            </w:r>
          </w:p>
        </w:tc>
      </w:tr>
      <w:tr w:rsidR="00A052DC" w14:paraId="5EC67A69" w14:textId="77777777">
        <w:tc>
          <w:tcPr>
            <w:tcW w:w="1560" w:type="dxa"/>
          </w:tcPr>
          <w:p w14:paraId="44F11583" w14:textId="77777777" w:rsidR="00A052DC" w:rsidRDefault="009F0A60">
            <w:pPr>
              <w:rPr>
                <w:rFonts w:ascii="黑体" w:eastAsia="黑体" w:hAnsi="黑体"/>
                <w:sz w:val="20"/>
                <w:szCs w:val="20"/>
              </w:rPr>
            </w:pPr>
            <w:r>
              <w:rPr>
                <w:rFonts w:ascii="黑体" w:eastAsia="黑体" w:hAnsi="黑体" w:hint="eastAsia"/>
                <w:sz w:val="20"/>
                <w:szCs w:val="20"/>
              </w:rPr>
              <w:t>ACTIONTYPE</w:t>
            </w:r>
          </w:p>
        </w:tc>
        <w:tc>
          <w:tcPr>
            <w:tcW w:w="1701" w:type="dxa"/>
          </w:tcPr>
          <w:p w14:paraId="6FD31A67" w14:textId="77777777" w:rsidR="00A052DC" w:rsidRDefault="009F0A60">
            <w:pPr>
              <w:rPr>
                <w:rFonts w:ascii="黑体" w:eastAsia="黑体" w:hAnsi="黑体"/>
                <w:sz w:val="20"/>
                <w:szCs w:val="20"/>
              </w:rPr>
            </w:pPr>
            <w:r>
              <w:rPr>
                <w:rFonts w:ascii="黑体" w:eastAsia="黑体" w:hAnsi="黑体" w:hint="eastAsia"/>
                <w:sz w:val="20"/>
                <w:szCs w:val="20"/>
              </w:rPr>
              <w:t>操作类型</w:t>
            </w:r>
          </w:p>
        </w:tc>
        <w:tc>
          <w:tcPr>
            <w:tcW w:w="1417" w:type="dxa"/>
          </w:tcPr>
          <w:p w14:paraId="10A8DD21" w14:textId="77777777" w:rsidR="00A052DC" w:rsidRDefault="009F0A60">
            <w:pPr>
              <w:rPr>
                <w:rFonts w:ascii="黑体" w:eastAsia="黑体" w:hAnsi="黑体"/>
                <w:sz w:val="20"/>
                <w:szCs w:val="20"/>
              </w:rPr>
            </w:pPr>
            <w:r>
              <w:rPr>
                <w:rFonts w:ascii="黑体" w:eastAsia="黑体" w:hAnsi="黑体" w:hint="eastAsia"/>
                <w:sz w:val="20"/>
                <w:szCs w:val="20"/>
              </w:rPr>
              <w:t>字符型，1</w:t>
            </w:r>
          </w:p>
        </w:tc>
        <w:tc>
          <w:tcPr>
            <w:tcW w:w="3969" w:type="dxa"/>
          </w:tcPr>
          <w:p w14:paraId="3937EA45" w14:textId="77777777" w:rsidR="00A052DC" w:rsidRDefault="009F0A60">
            <w:pPr>
              <w:rPr>
                <w:rFonts w:ascii="黑体" w:eastAsia="黑体" w:hAnsi="黑体"/>
                <w:sz w:val="20"/>
                <w:szCs w:val="20"/>
              </w:rPr>
            </w:pPr>
            <w:r>
              <w:rPr>
                <w:rFonts w:ascii="黑体" w:eastAsia="黑体" w:hAnsi="黑体" w:hint="eastAsia"/>
                <w:sz w:val="20"/>
                <w:szCs w:val="20"/>
              </w:rPr>
              <w:t>必填项</w:t>
            </w:r>
            <w:r w:rsidR="000E18F5">
              <w:rPr>
                <w:rFonts w:ascii="黑体" w:eastAsia="黑体" w:hAnsi="黑体" w:hint="eastAsia"/>
                <w:sz w:val="20"/>
                <w:szCs w:val="20"/>
              </w:rPr>
              <w:t>。</w:t>
            </w:r>
          </w:p>
          <w:p w14:paraId="31232425" w14:textId="77777777" w:rsidR="00A052DC" w:rsidRDefault="009F0A60">
            <w:pPr>
              <w:rPr>
                <w:rFonts w:ascii="黑体" w:eastAsia="黑体" w:hAnsi="黑体"/>
                <w:sz w:val="20"/>
                <w:szCs w:val="20"/>
              </w:rPr>
            </w:pPr>
            <w:r>
              <w:rPr>
                <w:rFonts w:ascii="黑体" w:eastAsia="黑体" w:hAnsi="黑体" w:hint="eastAsia"/>
                <w:sz w:val="20"/>
                <w:szCs w:val="20"/>
              </w:rPr>
              <w:t>A</w:t>
            </w:r>
            <w:r w:rsidR="00AE4602">
              <w:rPr>
                <w:rFonts w:ascii="黑体" w:eastAsia="黑体" w:hAnsi="黑体" w:hint="eastAsia"/>
                <w:sz w:val="20"/>
                <w:szCs w:val="20"/>
              </w:rPr>
              <w:t>-</w:t>
            </w:r>
            <w:r>
              <w:rPr>
                <w:rFonts w:ascii="黑体" w:eastAsia="黑体" w:hAnsi="黑体" w:hint="eastAsia"/>
                <w:sz w:val="20"/>
                <w:szCs w:val="20"/>
              </w:rPr>
              <w:t>新建</w:t>
            </w:r>
          </w:p>
          <w:p w14:paraId="2C2E796F" w14:textId="77777777" w:rsidR="00A052DC" w:rsidRDefault="009F0A60">
            <w:pPr>
              <w:rPr>
                <w:rFonts w:ascii="黑体" w:eastAsia="黑体" w:hAnsi="黑体"/>
                <w:sz w:val="20"/>
                <w:szCs w:val="20"/>
              </w:rPr>
            </w:pPr>
            <w:r>
              <w:rPr>
                <w:rFonts w:ascii="黑体" w:eastAsia="黑体" w:hAnsi="黑体" w:hint="eastAsia"/>
                <w:sz w:val="20"/>
                <w:szCs w:val="20"/>
              </w:rPr>
              <w:t>C</w:t>
            </w:r>
            <w:r w:rsidR="00AE4602">
              <w:rPr>
                <w:rFonts w:ascii="黑体" w:eastAsia="黑体" w:hAnsi="黑体" w:hint="eastAsia"/>
                <w:sz w:val="20"/>
                <w:szCs w:val="20"/>
              </w:rPr>
              <w:t>-</w:t>
            </w:r>
            <w:r>
              <w:rPr>
                <w:rFonts w:ascii="黑体" w:eastAsia="黑体" w:hAnsi="黑体" w:hint="eastAsia"/>
                <w:sz w:val="20"/>
                <w:szCs w:val="20"/>
              </w:rPr>
              <w:t>修改</w:t>
            </w:r>
          </w:p>
          <w:p w14:paraId="0DF55093" w14:textId="77777777" w:rsidR="000E18F5" w:rsidRDefault="009F0A60" w:rsidP="000E18F5">
            <w:pPr>
              <w:rPr>
                <w:rFonts w:ascii="黑体" w:eastAsia="黑体" w:hAnsi="黑体"/>
                <w:sz w:val="20"/>
                <w:szCs w:val="20"/>
              </w:rPr>
            </w:pPr>
            <w:r>
              <w:rPr>
                <w:rFonts w:ascii="黑体" w:eastAsia="黑体" w:hAnsi="黑体" w:hint="eastAsia"/>
                <w:sz w:val="20"/>
                <w:szCs w:val="20"/>
              </w:rPr>
              <w:t>D</w:t>
            </w:r>
            <w:r w:rsidR="00AE4602">
              <w:rPr>
                <w:rFonts w:ascii="黑体" w:eastAsia="黑体" w:hAnsi="黑体" w:hint="eastAsia"/>
                <w:sz w:val="20"/>
                <w:szCs w:val="20"/>
              </w:rPr>
              <w:t>-</w:t>
            </w:r>
            <w:r>
              <w:rPr>
                <w:rFonts w:ascii="黑体" w:eastAsia="黑体" w:hAnsi="黑体" w:hint="eastAsia"/>
                <w:sz w:val="20"/>
                <w:szCs w:val="20"/>
              </w:rPr>
              <w:t>删除</w:t>
            </w:r>
          </w:p>
          <w:p w14:paraId="1720C230" w14:textId="77777777" w:rsidR="00A052DC" w:rsidRDefault="009F0A60" w:rsidP="000E18F5">
            <w:pPr>
              <w:rPr>
                <w:rFonts w:ascii="黑体" w:eastAsia="黑体" w:hAnsi="黑体"/>
                <w:sz w:val="20"/>
                <w:szCs w:val="20"/>
              </w:rPr>
            </w:pPr>
            <w:r>
              <w:rPr>
                <w:rFonts w:ascii="黑体" w:eastAsia="黑体" w:hAnsi="黑体" w:hint="eastAsia"/>
                <w:sz w:val="20"/>
                <w:szCs w:val="20"/>
              </w:rPr>
              <w:t>一旦银行报送了该外债编号下的变动信息或月末存量信息，就不可以删除了。</w:t>
            </w:r>
          </w:p>
        </w:tc>
      </w:tr>
      <w:tr w:rsidR="00A052DC" w14:paraId="005B964E" w14:textId="77777777">
        <w:tc>
          <w:tcPr>
            <w:tcW w:w="1560" w:type="dxa"/>
          </w:tcPr>
          <w:p w14:paraId="7F52F937" w14:textId="77777777" w:rsidR="00A052DC" w:rsidRDefault="009F0A60">
            <w:pPr>
              <w:rPr>
                <w:rFonts w:ascii="黑体" w:eastAsia="黑体" w:hAnsi="黑体"/>
                <w:sz w:val="20"/>
                <w:szCs w:val="20"/>
              </w:rPr>
            </w:pPr>
            <w:r>
              <w:rPr>
                <w:rFonts w:ascii="黑体" w:eastAsia="黑体" w:hAnsi="黑体" w:hint="eastAsia"/>
                <w:sz w:val="20"/>
                <w:szCs w:val="20"/>
              </w:rPr>
              <w:t>ACTIONDESC</w:t>
            </w:r>
          </w:p>
        </w:tc>
        <w:tc>
          <w:tcPr>
            <w:tcW w:w="1701" w:type="dxa"/>
          </w:tcPr>
          <w:p w14:paraId="2D2FA27A" w14:textId="77777777" w:rsidR="00A052DC" w:rsidRDefault="009F0A60">
            <w:pPr>
              <w:rPr>
                <w:rFonts w:ascii="黑体" w:eastAsia="黑体" w:hAnsi="黑体"/>
                <w:sz w:val="20"/>
                <w:szCs w:val="20"/>
              </w:rPr>
            </w:pPr>
            <w:r>
              <w:rPr>
                <w:rFonts w:ascii="黑体" w:eastAsia="黑体" w:hAnsi="黑体" w:hint="eastAsia"/>
                <w:sz w:val="20"/>
                <w:szCs w:val="20"/>
              </w:rPr>
              <w:t>删除原因</w:t>
            </w:r>
          </w:p>
        </w:tc>
        <w:tc>
          <w:tcPr>
            <w:tcW w:w="1417" w:type="dxa"/>
          </w:tcPr>
          <w:p w14:paraId="1778E097" w14:textId="77777777" w:rsidR="00A052DC" w:rsidRDefault="009F0A60">
            <w:pPr>
              <w:rPr>
                <w:rFonts w:ascii="黑体" w:eastAsia="黑体" w:hAnsi="黑体"/>
                <w:b/>
                <w:sz w:val="20"/>
                <w:szCs w:val="20"/>
              </w:rPr>
            </w:pPr>
            <w:r>
              <w:rPr>
                <w:rFonts w:ascii="黑体" w:eastAsia="黑体" w:hAnsi="黑体" w:hint="eastAsia"/>
                <w:sz w:val="20"/>
                <w:szCs w:val="20"/>
              </w:rPr>
              <w:t>字符型，128</w:t>
            </w:r>
          </w:p>
        </w:tc>
        <w:tc>
          <w:tcPr>
            <w:tcW w:w="3969" w:type="dxa"/>
          </w:tcPr>
          <w:p w14:paraId="134CB229" w14:textId="77777777" w:rsidR="00A052DC" w:rsidRDefault="00DD6AA3" w:rsidP="000E18F5">
            <w:pPr>
              <w:rPr>
                <w:rFonts w:ascii="黑体" w:eastAsia="黑体" w:hAnsi="黑体"/>
                <w:sz w:val="20"/>
                <w:szCs w:val="20"/>
              </w:rPr>
            </w:pPr>
            <w:r>
              <w:rPr>
                <w:rFonts w:ascii="黑体" w:eastAsia="黑体" w:hAnsi="黑体" w:hint="eastAsia"/>
                <w:sz w:val="20"/>
                <w:szCs w:val="20"/>
              </w:rPr>
              <w:t>非必填项，当操作类型（ACTIONTYPE）为删除时必填。</w:t>
            </w:r>
          </w:p>
        </w:tc>
      </w:tr>
      <w:tr w:rsidR="00A052DC" w14:paraId="10745B14" w14:textId="77777777">
        <w:tc>
          <w:tcPr>
            <w:tcW w:w="1560" w:type="dxa"/>
          </w:tcPr>
          <w:p w14:paraId="54A1E5C8" w14:textId="77777777" w:rsidR="00A052DC" w:rsidRDefault="009F0A60">
            <w:pPr>
              <w:rPr>
                <w:rFonts w:ascii="黑体" w:eastAsia="黑体" w:hAnsi="黑体"/>
                <w:sz w:val="20"/>
                <w:szCs w:val="20"/>
              </w:rPr>
            </w:pPr>
            <w:r>
              <w:rPr>
                <w:rFonts w:ascii="黑体" w:eastAsia="黑体" w:hAnsi="黑体" w:hint="eastAsia"/>
                <w:sz w:val="20"/>
                <w:szCs w:val="20"/>
              </w:rPr>
              <w:t>EXDEBTCODE</w:t>
            </w:r>
          </w:p>
        </w:tc>
        <w:tc>
          <w:tcPr>
            <w:tcW w:w="1701" w:type="dxa"/>
          </w:tcPr>
          <w:p w14:paraId="61F91361" w14:textId="77777777" w:rsidR="00A052DC" w:rsidRDefault="009F0A60">
            <w:pPr>
              <w:rPr>
                <w:rFonts w:ascii="黑体" w:eastAsia="黑体" w:hAnsi="黑体"/>
                <w:sz w:val="20"/>
                <w:szCs w:val="20"/>
              </w:rPr>
            </w:pPr>
            <w:r>
              <w:rPr>
                <w:rFonts w:ascii="黑体" w:eastAsia="黑体" w:hAnsi="黑体" w:hint="eastAsia"/>
                <w:sz w:val="20"/>
                <w:szCs w:val="20"/>
              </w:rPr>
              <w:t>外债编号</w:t>
            </w:r>
          </w:p>
        </w:tc>
        <w:tc>
          <w:tcPr>
            <w:tcW w:w="1417" w:type="dxa"/>
          </w:tcPr>
          <w:p w14:paraId="2B6963C7" w14:textId="77777777" w:rsidR="00A052DC" w:rsidRDefault="009F0A60">
            <w:pPr>
              <w:rPr>
                <w:rFonts w:ascii="黑体" w:eastAsia="黑体" w:hAnsi="黑体"/>
                <w:sz w:val="20"/>
                <w:szCs w:val="20"/>
              </w:rPr>
            </w:pPr>
            <w:r>
              <w:rPr>
                <w:rFonts w:ascii="黑体" w:eastAsia="黑体" w:hAnsi="黑体" w:hint="eastAsia"/>
                <w:sz w:val="20"/>
                <w:szCs w:val="20"/>
              </w:rPr>
              <w:t>字符型，28</w:t>
            </w:r>
          </w:p>
        </w:tc>
        <w:tc>
          <w:tcPr>
            <w:tcW w:w="3969" w:type="dxa"/>
          </w:tcPr>
          <w:p w14:paraId="0525A695" w14:textId="77777777" w:rsidR="00A052DC" w:rsidRDefault="009F0A60" w:rsidP="000E18F5">
            <w:pPr>
              <w:rPr>
                <w:rFonts w:ascii="黑体" w:eastAsia="黑体" w:hAnsi="黑体"/>
                <w:sz w:val="20"/>
                <w:szCs w:val="20"/>
              </w:rPr>
            </w:pPr>
            <w:r>
              <w:rPr>
                <w:rFonts w:ascii="黑体" w:eastAsia="黑体" w:hAnsi="黑体" w:hint="eastAsia"/>
                <w:sz w:val="20"/>
                <w:szCs w:val="20"/>
              </w:rPr>
              <w:t>必填项，外债唯一性编码。</w:t>
            </w:r>
          </w:p>
        </w:tc>
      </w:tr>
      <w:tr w:rsidR="00A052DC" w14:paraId="3772FD8B" w14:textId="77777777">
        <w:tc>
          <w:tcPr>
            <w:tcW w:w="1560" w:type="dxa"/>
          </w:tcPr>
          <w:p w14:paraId="5AD6C38A" w14:textId="77777777" w:rsidR="00A052DC" w:rsidRDefault="009F0A60">
            <w:pPr>
              <w:rPr>
                <w:rFonts w:ascii="黑体" w:eastAsia="黑体" w:hAnsi="黑体"/>
                <w:sz w:val="20"/>
                <w:szCs w:val="20"/>
              </w:rPr>
            </w:pPr>
            <w:r>
              <w:rPr>
                <w:rFonts w:ascii="黑体" w:eastAsia="黑体" w:hAnsi="黑体" w:hint="eastAsia"/>
                <w:sz w:val="20"/>
                <w:szCs w:val="20"/>
              </w:rPr>
              <w:t>DEBTORCODE</w:t>
            </w:r>
          </w:p>
        </w:tc>
        <w:tc>
          <w:tcPr>
            <w:tcW w:w="1701" w:type="dxa"/>
          </w:tcPr>
          <w:p w14:paraId="7C186497" w14:textId="77777777" w:rsidR="00A052DC" w:rsidRDefault="009F0A60">
            <w:pPr>
              <w:rPr>
                <w:rFonts w:ascii="黑体" w:eastAsia="黑体" w:hAnsi="黑体"/>
                <w:sz w:val="20"/>
                <w:szCs w:val="20"/>
              </w:rPr>
            </w:pPr>
            <w:r>
              <w:rPr>
                <w:rFonts w:ascii="黑体" w:eastAsia="黑体" w:hAnsi="黑体" w:hint="eastAsia"/>
                <w:sz w:val="20"/>
                <w:szCs w:val="20"/>
              </w:rPr>
              <w:t>债务人代码</w:t>
            </w:r>
          </w:p>
        </w:tc>
        <w:tc>
          <w:tcPr>
            <w:tcW w:w="1417" w:type="dxa"/>
          </w:tcPr>
          <w:p w14:paraId="4ED7DE6E" w14:textId="77777777" w:rsidR="00A052DC" w:rsidRDefault="009F0A60">
            <w:pPr>
              <w:rPr>
                <w:rFonts w:ascii="黑体" w:eastAsia="黑体" w:hAnsi="黑体"/>
                <w:sz w:val="20"/>
                <w:szCs w:val="20"/>
              </w:rPr>
            </w:pPr>
            <w:r>
              <w:rPr>
                <w:rFonts w:ascii="黑体" w:eastAsia="黑体" w:hAnsi="黑体" w:hint="eastAsia"/>
                <w:sz w:val="20"/>
                <w:szCs w:val="20"/>
              </w:rPr>
              <w:t>字符型，12</w:t>
            </w:r>
          </w:p>
        </w:tc>
        <w:tc>
          <w:tcPr>
            <w:tcW w:w="3969" w:type="dxa"/>
          </w:tcPr>
          <w:p w14:paraId="4A7CF941" w14:textId="77777777" w:rsidR="00A052DC" w:rsidRDefault="009F0A60" w:rsidP="000E18F5">
            <w:pPr>
              <w:rPr>
                <w:rFonts w:ascii="黑体" w:eastAsia="黑体" w:hAnsi="黑体"/>
                <w:sz w:val="20"/>
                <w:szCs w:val="20"/>
              </w:rPr>
            </w:pPr>
            <w:r>
              <w:rPr>
                <w:rFonts w:ascii="黑体" w:eastAsia="黑体" w:hAnsi="黑体" w:hint="eastAsia"/>
                <w:sz w:val="20"/>
                <w:szCs w:val="20"/>
              </w:rPr>
              <w:t>必填项，金融机构标识码。</w:t>
            </w:r>
          </w:p>
        </w:tc>
      </w:tr>
      <w:tr w:rsidR="00A052DC" w14:paraId="535DAA03" w14:textId="77777777">
        <w:tc>
          <w:tcPr>
            <w:tcW w:w="1560" w:type="dxa"/>
          </w:tcPr>
          <w:p w14:paraId="5175898C" w14:textId="77777777" w:rsidR="00A052DC" w:rsidRDefault="009F0A60">
            <w:pPr>
              <w:rPr>
                <w:rFonts w:ascii="黑体" w:eastAsia="黑体" w:hAnsi="黑体"/>
                <w:sz w:val="20"/>
                <w:szCs w:val="20"/>
              </w:rPr>
            </w:pPr>
            <w:r>
              <w:rPr>
                <w:rFonts w:ascii="黑体" w:eastAsia="黑体" w:hAnsi="黑体" w:hint="eastAsia"/>
                <w:sz w:val="20"/>
                <w:szCs w:val="20"/>
              </w:rPr>
              <w:t>DEBTYPE</w:t>
            </w:r>
          </w:p>
        </w:tc>
        <w:tc>
          <w:tcPr>
            <w:tcW w:w="1701" w:type="dxa"/>
          </w:tcPr>
          <w:p w14:paraId="252AA7B6" w14:textId="77777777" w:rsidR="00A052DC" w:rsidRDefault="009F0A60">
            <w:pPr>
              <w:rPr>
                <w:rFonts w:ascii="黑体" w:eastAsia="黑体" w:hAnsi="黑体"/>
                <w:sz w:val="20"/>
                <w:szCs w:val="20"/>
              </w:rPr>
            </w:pPr>
            <w:r>
              <w:rPr>
                <w:rFonts w:ascii="黑体" w:eastAsia="黑体" w:hAnsi="黑体" w:hint="eastAsia"/>
                <w:sz w:val="20"/>
                <w:szCs w:val="20"/>
              </w:rPr>
              <w:t>债务类型</w:t>
            </w:r>
          </w:p>
        </w:tc>
        <w:tc>
          <w:tcPr>
            <w:tcW w:w="1417" w:type="dxa"/>
          </w:tcPr>
          <w:p w14:paraId="7070C183" w14:textId="77777777" w:rsidR="00A052DC" w:rsidRDefault="009F0A60">
            <w:pPr>
              <w:rPr>
                <w:rFonts w:ascii="黑体" w:eastAsia="黑体" w:hAnsi="黑体"/>
                <w:sz w:val="20"/>
                <w:szCs w:val="20"/>
              </w:rPr>
            </w:pPr>
            <w:r>
              <w:rPr>
                <w:rFonts w:ascii="黑体" w:eastAsia="黑体" w:hAnsi="黑体" w:hint="eastAsia"/>
                <w:sz w:val="20"/>
                <w:szCs w:val="20"/>
              </w:rPr>
              <w:t>字符型，4</w:t>
            </w:r>
          </w:p>
        </w:tc>
        <w:tc>
          <w:tcPr>
            <w:tcW w:w="3969" w:type="dxa"/>
          </w:tcPr>
          <w:p w14:paraId="30BCBAF9" w14:textId="77777777" w:rsidR="00A052DC" w:rsidRDefault="009F0A60">
            <w:pPr>
              <w:rPr>
                <w:rFonts w:ascii="黑体" w:eastAsia="黑体" w:hAnsi="黑体"/>
                <w:sz w:val="20"/>
                <w:szCs w:val="20"/>
              </w:rPr>
            </w:pPr>
            <w:r>
              <w:rPr>
                <w:rFonts w:ascii="黑体" w:eastAsia="黑体" w:hAnsi="黑体" w:cs="宋体" w:hint="eastAsia"/>
                <w:sz w:val="20"/>
                <w:szCs w:val="20"/>
              </w:rPr>
              <w:t>必填项，</w:t>
            </w:r>
            <w:r>
              <w:rPr>
                <w:rFonts w:ascii="黑体" w:eastAsia="黑体" w:hAnsi="黑体" w:hint="eastAsia"/>
                <w:sz w:val="20"/>
                <w:szCs w:val="20"/>
              </w:rPr>
              <w:t>见债务类型代码表。</w:t>
            </w:r>
          </w:p>
        </w:tc>
      </w:tr>
      <w:tr w:rsidR="00A052DC" w14:paraId="0CAD05FC" w14:textId="77777777">
        <w:tc>
          <w:tcPr>
            <w:tcW w:w="1560" w:type="dxa"/>
          </w:tcPr>
          <w:p w14:paraId="4B5020D6" w14:textId="77777777" w:rsidR="00A052DC" w:rsidRDefault="009F0A60">
            <w:pPr>
              <w:rPr>
                <w:rFonts w:ascii="黑体" w:eastAsia="黑体" w:hAnsi="黑体"/>
                <w:sz w:val="20"/>
                <w:szCs w:val="20"/>
              </w:rPr>
            </w:pPr>
            <w:r>
              <w:rPr>
                <w:rFonts w:ascii="黑体" w:eastAsia="黑体" w:hAnsi="黑体" w:hint="eastAsia"/>
                <w:sz w:val="20"/>
                <w:szCs w:val="20"/>
              </w:rPr>
              <w:t>DEBTYPEREMA</w:t>
            </w:r>
          </w:p>
        </w:tc>
        <w:tc>
          <w:tcPr>
            <w:tcW w:w="1701" w:type="dxa"/>
          </w:tcPr>
          <w:p w14:paraId="5C089339" w14:textId="77777777" w:rsidR="00A052DC" w:rsidRDefault="009F0A60">
            <w:pPr>
              <w:rPr>
                <w:rFonts w:ascii="黑体" w:eastAsia="黑体" w:hAnsi="黑体"/>
                <w:sz w:val="20"/>
                <w:szCs w:val="20"/>
              </w:rPr>
            </w:pPr>
            <w:r>
              <w:rPr>
                <w:rFonts w:ascii="黑体" w:eastAsia="黑体" w:hAnsi="黑体" w:hint="eastAsia"/>
                <w:sz w:val="20"/>
                <w:szCs w:val="20"/>
              </w:rPr>
              <w:t>债务类型备注</w:t>
            </w:r>
          </w:p>
        </w:tc>
        <w:tc>
          <w:tcPr>
            <w:tcW w:w="1417" w:type="dxa"/>
          </w:tcPr>
          <w:p w14:paraId="5004D79C"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3969" w:type="dxa"/>
          </w:tcPr>
          <w:p w14:paraId="64D056B5" w14:textId="77777777" w:rsidR="00A052DC" w:rsidRDefault="009F0A60">
            <w:pPr>
              <w:rPr>
                <w:rFonts w:ascii="黑体" w:eastAsia="黑体" w:hAnsi="黑体"/>
                <w:sz w:val="20"/>
                <w:szCs w:val="20"/>
              </w:rPr>
            </w:pPr>
            <w:r>
              <w:rPr>
                <w:rFonts w:ascii="黑体" w:eastAsia="黑体" w:hAnsi="黑体" w:hint="eastAsia"/>
                <w:sz w:val="20"/>
                <w:szCs w:val="20"/>
              </w:rPr>
              <w:t>必填项。</w:t>
            </w:r>
          </w:p>
          <w:p w14:paraId="279B5232" w14:textId="77777777" w:rsidR="00A052DC" w:rsidRDefault="00A052DC">
            <w:pPr>
              <w:rPr>
                <w:rFonts w:ascii="黑体" w:eastAsia="黑体" w:hAnsi="黑体"/>
                <w:b/>
                <w:bCs/>
                <w:sz w:val="20"/>
                <w:szCs w:val="20"/>
              </w:rPr>
            </w:pPr>
          </w:p>
        </w:tc>
      </w:tr>
      <w:tr w:rsidR="00A052DC" w14:paraId="56E56CEC" w14:textId="77777777">
        <w:trPr>
          <w:cantSplit/>
          <w:trHeight w:val="64"/>
        </w:trPr>
        <w:tc>
          <w:tcPr>
            <w:tcW w:w="1560" w:type="dxa"/>
          </w:tcPr>
          <w:p w14:paraId="64CB4267" w14:textId="77777777" w:rsidR="00A052DC" w:rsidRDefault="009F0A60">
            <w:pPr>
              <w:rPr>
                <w:rFonts w:ascii="黑体" w:eastAsia="黑体" w:hAnsi="黑体"/>
                <w:sz w:val="20"/>
                <w:szCs w:val="20"/>
              </w:rPr>
            </w:pPr>
            <w:r>
              <w:rPr>
                <w:rFonts w:ascii="黑体" w:eastAsia="黑体" w:hAnsi="黑体" w:hint="eastAsia"/>
                <w:sz w:val="20"/>
                <w:szCs w:val="20"/>
              </w:rPr>
              <w:t>VALUEDATE</w:t>
            </w:r>
          </w:p>
        </w:tc>
        <w:tc>
          <w:tcPr>
            <w:tcW w:w="1701" w:type="dxa"/>
          </w:tcPr>
          <w:p w14:paraId="64BF498D" w14:textId="77777777" w:rsidR="00A052DC" w:rsidRDefault="009F0A60">
            <w:pPr>
              <w:rPr>
                <w:rFonts w:ascii="黑体" w:eastAsia="黑体" w:hAnsi="黑体"/>
                <w:sz w:val="20"/>
                <w:szCs w:val="20"/>
              </w:rPr>
            </w:pPr>
            <w:r>
              <w:rPr>
                <w:rFonts w:ascii="黑体" w:eastAsia="黑体" w:hAnsi="黑体" w:hint="eastAsia"/>
                <w:sz w:val="20"/>
                <w:szCs w:val="20"/>
              </w:rPr>
              <w:t>起息日</w:t>
            </w:r>
          </w:p>
        </w:tc>
        <w:tc>
          <w:tcPr>
            <w:tcW w:w="1417" w:type="dxa"/>
          </w:tcPr>
          <w:p w14:paraId="197581CA" w14:textId="77777777" w:rsidR="00A052DC" w:rsidRDefault="009F0A60">
            <w:pPr>
              <w:rPr>
                <w:rFonts w:ascii="黑体" w:eastAsia="黑体" w:hAnsi="黑体"/>
                <w:sz w:val="20"/>
                <w:szCs w:val="20"/>
              </w:rPr>
            </w:pPr>
            <w:r>
              <w:rPr>
                <w:rFonts w:ascii="黑体" w:eastAsia="黑体" w:hAnsi="黑体" w:hint="eastAsia"/>
                <w:sz w:val="20"/>
                <w:szCs w:val="20"/>
              </w:rPr>
              <w:t>日期型，8</w:t>
            </w:r>
          </w:p>
        </w:tc>
        <w:tc>
          <w:tcPr>
            <w:tcW w:w="3969" w:type="dxa"/>
          </w:tcPr>
          <w:p w14:paraId="4C00D482" w14:textId="77777777" w:rsidR="00A052DC" w:rsidRDefault="009F0A60" w:rsidP="000E18F5">
            <w:pPr>
              <w:rPr>
                <w:rFonts w:ascii="黑体" w:eastAsia="黑体" w:hAnsi="黑体"/>
                <w:sz w:val="20"/>
                <w:szCs w:val="20"/>
              </w:rPr>
            </w:pPr>
            <w:r>
              <w:rPr>
                <w:rFonts w:ascii="黑体" w:eastAsia="黑体" w:hAnsi="黑体" w:hint="eastAsia"/>
                <w:sz w:val="20"/>
                <w:szCs w:val="20"/>
              </w:rPr>
              <w:t>必填项，格式YYYYMMDD。</w:t>
            </w:r>
          </w:p>
        </w:tc>
      </w:tr>
      <w:tr w:rsidR="00A052DC" w14:paraId="098127F4" w14:textId="77777777">
        <w:trPr>
          <w:cantSplit/>
          <w:trHeight w:val="64"/>
        </w:trPr>
        <w:tc>
          <w:tcPr>
            <w:tcW w:w="1560" w:type="dxa"/>
          </w:tcPr>
          <w:p w14:paraId="3A907094" w14:textId="77777777" w:rsidR="00A052DC" w:rsidRDefault="009F0A60">
            <w:pPr>
              <w:rPr>
                <w:rFonts w:ascii="黑体" w:eastAsia="黑体" w:hAnsi="黑体"/>
                <w:sz w:val="20"/>
                <w:szCs w:val="20"/>
              </w:rPr>
            </w:pPr>
            <w:r>
              <w:rPr>
                <w:rFonts w:ascii="黑体" w:eastAsia="黑体" w:hAnsi="黑体" w:hint="eastAsia"/>
                <w:sz w:val="20"/>
                <w:szCs w:val="20"/>
              </w:rPr>
              <w:t>CONTRACTCURR</w:t>
            </w:r>
          </w:p>
        </w:tc>
        <w:tc>
          <w:tcPr>
            <w:tcW w:w="1701" w:type="dxa"/>
          </w:tcPr>
          <w:p w14:paraId="523BA53F" w14:textId="77777777" w:rsidR="00A052DC" w:rsidRDefault="009F0A60">
            <w:pPr>
              <w:rPr>
                <w:rFonts w:ascii="黑体" w:eastAsia="黑体" w:hAnsi="黑体"/>
                <w:sz w:val="20"/>
                <w:szCs w:val="20"/>
              </w:rPr>
            </w:pPr>
            <w:r>
              <w:rPr>
                <w:rFonts w:ascii="黑体" w:eastAsia="黑体" w:hAnsi="黑体" w:hint="eastAsia"/>
                <w:sz w:val="20"/>
                <w:szCs w:val="20"/>
              </w:rPr>
              <w:t>签约币种</w:t>
            </w:r>
          </w:p>
        </w:tc>
        <w:tc>
          <w:tcPr>
            <w:tcW w:w="1417" w:type="dxa"/>
          </w:tcPr>
          <w:p w14:paraId="553F46AA" w14:textId="77777777" w:rsidR="00A052DC" w:rsidRDefault="009F0A60">
            <w:pPr>
              <w:rPr>
                <w:rFonts w:ascii="黑体" w:eastAsia="黑体" w:hAnsi="黑体"/>
                <w:sz w:val="20"/>
                <w:szCs w:val="20"/>
              </w:rPr>
            </w:pPr>
            <w:r>
              <w:rPr>
                <w:rFonts w:ascii="黑体" w:eastAsia="黑体" w:hAnsi="黑体" w:hint="eastAsia"/>
                <w:sz w:val="20"/>
                <w:szCs w:val="20"/>
              </w:rPr>
              <w:t>字符型，3</w:t>
            </w:r>
          </w:p>
        </w:tc>
        <w:tc>
          <w:tcPr>
            <w:tcW w:w="3969" w:type="dxa"/>
          </w:tcPr>
          <w:p w14:paraId="7786CD5C" w14:textId="77777777" w:rsidR="00A052DC" w:rsidRDefault="009F0A60" w:rsidP="000E18F5">
            <w:pPr>
              <w:rPr>
                <w:rFonts w:ascii="黑体" w:eastAsia="黑体" w:hAnsi="黑体"/>
                <w:sz w:val="20"/>
                <w:szCs w:val="20"/>
              </w:rPr>
            </w:pPr>
            <w:r>
              <w:rPr>
                <w:rFonts w:ascii="黑体" w:eastAsia="黑体" w:hAnsi="黑体" w:hint="eastAsia"/>
                <w:sz w:val="20"/>
                <w:szCs w:val="20"/>
              </w:rPr>
              <w:t>必填项，见币种代码表。</w:t>
            </w:r>
          </w:p>
        </w:tc>
      </w:tr>
      <w:tr w:rsidR="00A052DC" w14:paraId="581FEFCE" w14:textId="77777777">
        <w:tc>
          <w:tcPr>
            <w:tcW w:w="1560" w:type="dxa"/>
          </w:tcPr>
          <w:p w14:paraId="3AE673EA" w14:textId="77777777" w:rsidR="00A052DC" w:rsidRDefault="009F0A60">
            <w:pPr>
              <w:rPr>
                <w:rFonts w:ascii="黑体" w:eastAsia="黑体" w:hAnsi="黑体"/>
                <w:sz w:val="20"/>
                <w:szCs w:val="20"/>
              </w:rPr>
            </w:pPr>
            <w:r>
              <w:rPr>
                <w:rFonts w:ascii="黑体" w:eastAsia="黑体" w:hAnsi="黑体" w:hint="eastAsia"/>
                <w:sz w:val="20"/>
                <w:szCs w:val="20"/>
              </w:rPr>
              <w:t>CONTRACTAMOUNT</w:t>
            </w:r>
          </w:p>
        </w:tc>
        <w:tc>
          <w:tcPr>
            <w:tcW w:w="1701" w:type="dxa"/>
          </w:tcPr>
          <w:p w14:paraId="35F99B4B" w14:textId="77777777" w:rsidR="00A052DC" w:rsidRDefault="009F0A60">
            <w:pPr>
              <w:rPr>
                <w:rFonts w:ascii="黑体" w:eastAsia="黑体" w:hAnsi="黑体"/>
                <w:sz w:val="20"/>
                <w:szCs w:val="20"/>
              </w:rPr>
            </w:pPr>
            <w:r>
              <w:rPr>
                <w:rFonts w:ascii="黑体" w:eastAsia="黑体" w:hAnsi="黑体" w:hint="eastAsia"/>
                <w:sz w:val="20"/>
                <w:szCs w:val="20"/>
              </w:rPr>
              <w:t>签约金额</w:t>
            </w:r>
          </w:p>
        </w:tc>
        <w:tc>
          <w:tcPr>
            <w:tcW w:w="1417" w:type="dxa"/>
          </w:tcPr>
          <w:p w14:paraId="43C76A6E"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3969" w:type="dxa"/>
          </w:tcPr>
          <w:p w14:paraId="544AE42A" w14:textId="77777777" w:rsidR="00A052DC" w:rsidRDefault="009F0A60">
            <w:pPr>
              <w:rPr>
                <w:rFonts w:ascii="黑体" w:eastAsia="黑体" w:hAnsi="黑体"/>
                <w:sz w:val="20"/>
                <w:szCs w:val="20"/>
              </w:rPr>
            </w:pPr>
            <w:r>
              <w:rPr>
                <w:rFonts w:ascii="黑体" w:eastAsia="黑体" w:hAnsi="黑体" w:hint="eastAsia"/>
                <w:sz w:val="20"/>
                <w:szCs w:val="20"/>
              </w:rPr>
              <w:t>必填项，大于等于0。</w:t>
            </w:r>
          </w:p>
        </w:tc>
      </w:tr>
      <w:tr w:rsidR="00A052DC" w14:paraId="045984D4" w14:textId="77777777">
        <w:tc>
          <w:tcPr>
            <w:tcW w:w="1560" w:type="dxa"/>
          </w:tcPr>
          <w:p w14:paraId="5C3F95CA" w14:textId="77777777" w:rsidR="00A052DC" w:rsidRDefault="009F0A60">
            <w:pPr>
              <w:rPr>
                <w:rFonts w:ascii="黑体" w:eastAsia="黑体" w:hAnsi="黑体"/>
                <w:sz w:val="20"/>
                <w:szCs w:val="20"/>
              </w:rPr>
            </w:pPr>
            <w:r>
              <w:rPr>
                <w:rFonts w:ascii="黑体" w:eastAsia="黑体" w:hAnsi="黑体" w:hint="eastAsia"/>
                <w:sz w:val="20"/>
                <w:szCs w:val="20"/>
              </w:rPr>
              <w:t>Maturity</w:t>
            </w:r>
          </w:p>
        </w:tc>
        <w:tc>
          <w:tcPr>
            <w:tcW w:w="1701" w:type="dxa"/>
          </w:tcPr>
          <w:p w14:paraId="0E624C10" w14:textId="77777777" w:rsidR="00A052DC" w:rsidRDefault="009F0A60">
            <w:pPr>
              <w:rPr>
                <w:rFonts w:ascii="黑体" w:eastAsia="黑体" w:hAnsi="黑体"/>
                <w:sz w:val="20"/>
                <w:szCs w:val="20"/>
              </w:rPr>
            </w:pPr>
            <w:r>
              <w:rPr>
                <w:rFonts w:ascii="黑体" w:eastAsia="黑体" w:hAnsi="黑体" w:hint="eastAsia"/>
                <w:sz w:val="20"/>
                <w:szCs w:val="20"/>
              </w:rPr>
              <w:t>到期日</w:t>
            </w:r>
          </w:p>
        </w:tc>
        <w:tc>
          <w:tcPr>
            <w:tcW w:w="1417" w:type="dxa"/>
          </w:tcPr>
          <w:p w14:paraId="6C0CC7F1" w14:textId="77777777" w:rsidR="00A052DC" w:rsidRDefault="009F0A60">
            <w:pPr>
              <w:rPr>
                <w:rFonts w:ascii="黑体" w:eastAsia="黑体" w:hAnsi="黑体"/>
                <w:sz w:val="20"/>
                <w:szCs w:val="20"/>
              </w:rPr>
            </w:pPr>
            <w:r>
              <w:rPr>
                <w:rFonts w:ascii="黑体" w:eastAsia="黑体" w:hAnsi="黑体" w:hint="eastAsia"/>
                <w:sz w:val="20"/>
                <w:szCs w:val="20"/>
              </w:rPr>
              <w:t>日期型，8</w:t>
            </w:r>
          </w:p>
        </w:tc>
        <w:tc>
          <w:tcPr>
            <w:tcW w:w="3969" w:type="dxa"/>
          </w:tcPr>
          <w:p w14:paraId="415F695A" w14:textId="77777777" w:rsidR="00A052DC" w:rsidRDefault="009F0A60" w:rsidP="000E18F5">
            <w:pPr>
              <w:rPr>
                <w:rFonts w:ascii="黑体" w:eastAsia="黑体" w:hAnsi="黑体"/>
                <w:sz w:val="20"/>
                <w:szCs w:val="20"/>
              </w:rPr>
            </w:pPr>
            <w:r>
              <w:rPr>
                <w:rFonts w:ascii="黑体" w:eastAsia="黑体" w:hAnsi="黑体" w:hint="eastAsia"/>
                <w:sz w:val="20"/>
                <w:szCs w:val="20"/>
              </w:rPr>
              <w:t>必填项，格式YYYYMMDD，大于等于起息日。</w:t>
            </w:r>
          </w:p>
        </w:tc>
      </w:tr>
      <w:tr w:rsidR="00A052DC" w14:paraId="5AD8C120" w14:textId="77777777">
        <w:tc>
          <w:tcPr>
            <w:tcW w:w="1560" w:type="dxa"/>
          </w:tcPr>
          <w:p w14:paraId="79497867" w14:textId="77777777" w:rsidR="00A052DC" w:rsidRDefault="009F0A60">
            <w:pPr>
              <w:rPr>
                <w:rFonts w:ascii="黑体" w:eastAsia="黑体" w:hAnsi="黑体"/>
                <w:sz w:val="20"/>
                <w:szCs w:val="20"/>
              </w:rPr>
            </w:pPr>
            <w:r>
              <w:rPr>
                <w:rFonts w:ascii="黑体" w:eastAsia="黑体" w:hAnsi="黑体" w:hint="eastAsia"/>
                <w:sz w:val="20"/>
                <w:szCs w:val="20"/>
              </w:rPr>
              <w:t>FLOATRATE</w:t>
            </w:r>
          </w:p>
        </w:tc>
        <w:tc>
          <w:tcPr>
            <w:tcW w:w="1701" w:type="dxa"/>
          </w:tcPr>
          <w:p w14:paraId="129CFAE3" w14:textId="77777777" w:rsidR="00A052DC" w:rsidRDefault="009F0A60">
            <w:pPr>
              <w:rPr>
                <w:rFonts w:ascii="黑体" w:eastAsia="黑体" w:hAnsi="黑体"/>
                <w:sz w:val="20"/>
                <w:szCs w:val="20"/>
              </w:rPr>
            </w:pPr>
            <w:r>
              <w:rPr>
                <w:rFonts w:ascii="黑体" w:eastAsia="黑体" w:hAnsi="黑体" w:hint="eastAsia"/>
                <w:sz w:val="20"/>
                <w:szCs w:val="20"/>
              </w:rPr>
              <w:t>是否浮动利率</w:t>
            </w:r>
          </w:p>
        </w:tc>
        <w:tc>
          <w:tcPr>
            <w:tcW w:w="1417" w:type="dxa"/>
          </w:tcPr>
          <w:p w14:paraId="2B51867F" w14:textId="77777777" w:rsidR="00A052DC" w:rsidRDefault="009F0A60">
            <w:pPr>
              <w:rPr>
                <w:rFonts w:ascii="黑体" w:eastAsia="黑体" w:hAnsi="黑体"/>
                <w:sz w:val="20"/>
                <w:szCs w:val="20"/>
              </w:rPr>
            </w:pPr>
            <w:r>
              <w:rPr>
                <w:rFonts w:ascii="黑体" w:eastAsia="黑体" w:hAnsi="黑体" w:hint="eastAsia"/>
                <w:sz w:val="20"/>
                <w:szCs w:val="20"/>
              </w:rPr>
              <w:t>字符型，1</w:t>
            </w:r>
          </w:p>
        </w:tc>
        <w:tc>
          <w:tcPr>
            <w:tcW w:w="3969" w:type="dxa"/>
          </w:tcPr>
          <w:p w14:paraId="71A17A2B" w14:textId="77777777" w:rsidR="00A052DC" w:rsidRDefault="009F0A60">
            <w:pPr>
              <w:rPr>
                <w:rFonts w:ascii="黑体" w:eastAsia="黑体" w:hAnsi="黑体"/>
                <w:sz w:val="20"/>
                <w:szCs w:val="20"/>
              </w:rPr>
            </w:pPr>
            <w:r>
              <w:rPr>
                <w:rFonts w:ascii="黑体" w:eastAsia="黑体" w:hAnsi="黑体" w:hint="eastAsia"/>
                <w:sz w:val="20"/>
                <w:szCs w:val="20"/>
              </w:rPr>
              <w:t>必填项，是-Y，否-N，默认为否，填写N。</w:t>
            </w:r>
          </w:p>
        </w:tc>
      </w:tr>
      <w:tr w:rsidR="00A052DC" w14:paraId="2C81A215" w14:textId="77777777">
        <w:tc>
          <w:tcPr>
            <w:tcW w:w="1560" w:type="dxa"/>
          </w:tcPr>
          <w:p w14:paraId="4875CC0E" w14:textId="77777777" w:rsidR="00A052DC" w:rsidRDefault="009F0A60">
            <w:pPr>
              <w:rPr>
                <w:rFonts w:ascii="黑体" w:eastAsia="黑体" w:hAnsi="黑体"/>
                <w:sz w:val="20"/>
                <w:szCs w:val="20"/>
              </w:rPr>
            </w:pPr>
            <w:r>
              <w:rPr>
                <w:rFonts w:ascii="黑体" w:eastAsia="黑体" w:hAnsi="黑体" w:hint="eastAsia"/>
                <w:sz w:val="20"/>
                <w:szCs w:val="20"/>
              </w:rPr>
              <w:t>ANNINRATE</w:t>
            </w:r>
          </w:p>
        </w:tc>
        <w:tc>
          <w:tcPr>
            <w:tcW w:w="1701" w:type="dxa"/>
          </w:tcPr>
          <w:p w14:paraId="6A221059" w14:textId="77777777" w:rsidR="00A052DC" w:rsidRDefault="009F0A60">
            <w:pPr>
              <w:rPr>
                <w:rFonts w:ascii="黑体" w:eastAsia="黑体" w:hAnsi="黑体"/>
                <w:sz w:val="20"/>
                <w:szCs w:val="20"/>
              </w:rPr>
            </w:pPr>
            <w:r>
              <w:rPr>
                <w:rFonts w:ascii="黑体" w:eastAsia="黑体" w:hAnsi="黑体" w:hint="eastAsia"/>
                <w:sz w:val="20"/>
                <w:szCs w:val="20"/>
              </w:rPr>
              <w:t>年化利率值</w:t>
            </w:r>
          </w:p>
        </w:tc>
        <w:tc>
          <w:tcPr>
            <w:tcW w:w="1417" w:type="dxa"/>
          </w:tcPr>
          <w:p w14:paraId="37DA0950" w14:textId="77777777" w:rsidR="00A052DC" w:rsidRDefault="009F0A60">
            <w:pPr>
              <w:rPr>
                <w:rFonts w:ascii="黑体" w:eastAsia="黑体" w:hAnsi="黑体"/>
                <w:sz w:val="20"/>
                <w:szCs w:val="20"/>
              </w:rPr>
            </w:pPr>
            <w:r>
              <w:rPr>
                <w:rFonts w:ascii="黑体" w:eastAsia="黑体" w:hAnsi="黑体" w:hint="eastAsia"/>
                <w:sz w:val="20"/>
                <w:szCs w:val="20"/>
              </w:rPr>
              <w:t>数值型，13.8</w:t>
            </w:r>
          </w:p>
        </w:tc>
        <w:tc>
          <w:tcPr>
            <w:tcW w:w="3969" w:type="dxa"/>
          </w:tcPr>
          <w:p w14:paraId="42A419E1" w14:textId="77777777" w:rsidR="00A052DC" w:rsidRDefault="009F0A60">
            <w:pPr>
              <w:rPr>
                <w:rFonts w:ascii="黑体" w:eastAsia="黑体" w:hAnsi="黑体"/>
                <w:sz w:val="20"/>
                <w:szCs w:val="20"/>
              </w:rPr>
            </w:pPr>
            <w:r>
              <w:rPr>
                <w:rFonts w:ascii="黑体" w:eastAsia="黑体" w:hAnsi="黑体" w:hint="eastAsia"/>
                <w:sz w:val="20"/>
                <w:szCs w:val="20"/>
              </w:rPr>
              <w:t>必填项，大于等于0，按小数填写，如利率为3.21%，则填写0.0321。</w:t>
            </w:r>
          </w:p>
        </w:tc>
      </w:tr>
      <w:tr w:rsidR="00A052DC" w14:paraId="1C582DB6" w14:textId="77777777">
        <w:tc>
          <w:tcPr>
            <w:tcW w:w="1560" w:type="dxa"/>
          </w:tcPr>
          <w:p w14:paraId="0433D533" w14:textId="77777777" w:rsidR="00A052DC" w:rsidRDefault="009F0A60">
            <w:pPr>
              <w:rPr>
                <w:rFonts w:ascii="黑体" w:eastAsia="黑体" w:hAnsi="黑体"/>
                <w:sz w:val="20"/>
                <w:szCs w:val="20"/>
              </w:rPr>
            </w:pPr>
            <w:r>
              <w:rPr>
                <w:rFonts w:ascii="黑体" w:eastAsia="黑体" w:hAnsi="黑体" w:hint="eastAsia"/>
                <w:sz w:val="20"/>
                <w:szCs w:val="20"/>
              </w:rPr>
              <w:t>CREDITORCODE</w:t>
            </w:r>
          </w:p>
        </w:tc>
        <w:tc>
          <w:tcPr>
            <w:tcW w:w="1701" w:type="dxa"/>
          </w:tcPr>
          <w:p w14:paraId="5386C9A3" w14:textId="77777777" w:rsidR="00A052DC" w:rsidRDefault="009F0A60">
            <w:pPr>
              <w:rPr>
                <w:rFonts w:ascii="黑体" w:eastAsia="黑体" w:hAnsi="黑体"/>
                <w:sz w:val="20"/>
                <w:szCs w:val="20"/>
              </w:rPr>
            </w:pPr>
            <w:r>
              <w:rPr>
                <w:rFonts w:ascii="黑体" w:eastAsia="黑体" w:hAnsi="黑体" w:hint="eastAsia"/>
                <w:sz w:val="20"/>
                <w:szCs w:val="20"/>
              </w:rPr>
              <w:t>债权人代码</w:t>
            </w:r>
          </w:p>
        </w:tc>
        <w:tc>
          <w:tcPr>
            <w:tcW w:w="1417" w:type="dxa"/>
          </w:tcPr>
          <w:p w14:paraId="74F25052" w14:textId="77777777" w:rsidR="00A052DC" w:rsidRDefault="009F0A60">
            <w:pPr>
              <w:rPr>
                <w:rFonts w:ascii="黑体" w:eastAsia="黑体" w:hAnsi="黑体"/>
                <w:sz w:val="20"/>
                <w:szCs w:val="20"/>
              </w:rPr>
            </w:pPr>
            <w:r>
              <w:rPr>
                <w:rFonts w:ascii="黑体" w:eastAsia="黑体" w:hAnsi="黑体" w:hint="eastAsia"/>
                <w:sz w:val="20"/>
                <w:szCs w:val="20"/>
              </w:rPr>
              <w:t>字符型，11</w:t>
            </w:r>
          </w:p>
        </w:tc>
        <w:tc>
          <w:tcPr>
            <w:tcW w:w="3969" w:type="dxa"/>
          </w:tcPr>
          <w:p w14:paraId="0F005F64" w14:textId="77777777" w:rsidR="00A052DC" w:rsidRDefault="009F0A60">
            <w:pPr>
              <w:rPr>
                <w:rFonts w:ascii="黑体" w:eastAsia="黑体" w:hAnsi="黑体"/>
                <w:sz w:val="20"/>
                <w:szCs w:val="20"/>
              </w:rPr>
            </w:pPr>
            <w:r>
              <w:rPr>
                <w:rFonts w:ascii="黑体" w:eastAsia="黑体" w:hAnsi="黑体" w:hint="eastAsia"/>
                <w:sz w:val="20"/>
                <w:szCs w:val="20"/>
              </w:rPr>
              <w:t>非必填项。</w:t>
            </w:r>
          </w:p>
        </w:tc>
      </w:tr>
      <w:tr w:rsidR="00A052DC" w14:paraId="7886A40F" w14:textId="77777777">
        <w:tc>
          <w:tcPr>
            <w:tcW w:w="1560" w:type="dxa"/>
          </w:tcPr>
          <w:p w14:paraId="7DDE634C" w14:textId="77777777" w:rsidR="00A052DC" w:rsidRDefault="009F0A60">
            <w:pPr>
              <w:rPr>
                <w:rFonts w:ascii="黑体" w:eastAsia="黑体" w:hAnsi="黑体"/>
                <w:sz w:val="20"/>
                <w:szCs w:val="20"/>
              </w:rPr>
            </w:pPr>
            <w:r>
              <w:rPr>
                <w:rFonts w:ascii="黑体" w:eastAsia="黑体" w:hAnsi="黑体" w:hint="eastAsia"/>
                <w:sz w:val="20"/>
                <w:szCs w:val="20"/>
              </w:rPr>
              <w:t>CREDITORNAME</w:t>
            </w:r>
          </w:p>
        </w:tc>
        <w:tc>
          <w:tcPr>
            <w:tcW w:w="1701" w:type="dxa"/>
          </w:tcPr>
          <w:p w14:paraId="5794660D" w14:textId="77777777" w:rsidR="00A052DC" w:rsidRDefault="009F0A60">
            <w:pPr>
              <w:rPr>
                <w:rFonts w:ascii="黑体" w:eastAsia="黑体" w:hAnsi="黑体"/>
                <w:sz w:val="20"/>
                <w:szCs w:val="20"/>
              </w:rPr>
            </w:pPr>
            <w:r>
              <w:rPr>
                <w:rFonts w:ascii="黑体" w:eastAsia="黑体" w:hAnsi="黑体" w:hint="eastAsia"/>
                <w:sz w:val="20"/>
                <w:szCs w:val="20"/>
              </w:rPr>
              <w:t>债权人中文名称</w:t>
            </w:r>
          </w:p>
        </w:tc>
        <w:tc>
          <w:tcPr>
            <w:tcW w:w="1417" w:type="dxa"/>
          </w:tcPr>
          <w:p w14:paraId="731BDBE8"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3969" w:type="dxa"/>
          </w:tcPr>
          <w:p w14:paraId="0ED055A9" w14:textId="77777777" w:rsidR="00A052DC" w:rsidRDefault="009F0A60">
            <w:pPr>
              <w:rPr>
                <w:rFonts w:ascii="黑体" w:eastAsia="黑体" w:hAnsi="黑体"/>
                <w:sz w:val="20"/>
                <w:szCs w:val="20"/>
              </w:rPr>
            </w:pPr>
            <w:r>
              <w:rPr>
                <w:rFonts w:ascii="黑体" w:eastAsia="黑体" w:hAnsi="黑体" w:hint="eastAsia"/>
                <w:sz w:val="20"/>
                <w:szCs w:val="20"/>
              </w:rPr>
              <w:t>非必填项，</w:t>
            </w:r>
          </w:p>
          <w:p w14:paraId="6972E9F7" w14:textId="77777777" w:rsidR="00A052DC" w:rsidRDefault="009F0A60">
            <w:pPr>
              <w:rPr>
                <w:rFonts w:ascii="黑体" w:eastAsia="黑体" w:hAnsi="黑体"/>
                <w:sz w:val="20"/>
                <w:szCs w:val="20"/>
              </w:rPr>
            </w:pPr>
            <w:r>
              <w:rPr>
                <w:rFonts w:ascii="黑体" w:eastAsia="黑体" w:hAnsi="黑体" w:hint="eastAsia"/>
                <w:sz w:val="20"/>
                <w:szCs w:val="20"/>
              </w:rPr>
              <w:t>债权人中文名称和债权人英文名称至少填写一个。</w:t>
            </w:r>
          </w:p>
        </w:tc>
      </w:tr>
      <w:tr w:rsidR="00A052DC" w14:paraId="58C5A4DC" w14:textId="77777777">
        <w:tc>
          <w:tcPr>
            <w:tcW w:w="1560" w:type="dxa"/>
          </w:tcPr>
          <w:p w14:paraId="6050D2E7" w14:textId="77777777" w:rsidR="00A052DC" w:rsidRDefault="009F0A60">
            <w:pPr>
              <w:rPr>
                <w:rFonts w:ascii="黑体" w:eastAsia="黑体" w:hAnsi="黑体"/>
                <w:sz w:val="20"/>
                <w:szCs w:val="20"/>
              </w:rPr>
            </w:pPr>
            <w:r>
              <w:rPr>
                <w:rFonts w:ascii="黑体" w:eastAsia="黑体" w:hAnsi="黑体" w:hint="eastAsia"/>
                <w:sz w:val="20"/>
                <w:szCs w:val="20"/>
              </w:rPr>
              <w:t>CREDITORNAMEN</w:t>
            </w:r>
          </w:p>
        </w:tc>
        <w:tc>
          <w:tcPr>
            <w:tcW w:w="1701" w:type="dxa"/>
          </w:tcPr>
          <w:p w14:paraId="17B7C0B6" w14:textId="77777777" w:rsidR="00A052DC" w:rsidRDefault="009F0A60">
            <w:pPr>
              <w:rPr>
                <w:rFonts w:ascii="黑体" w:eastAsia="黑体" w:hAnsi="黑体"/>
                <w:sz w:val="20"/>
                <w:szCs w:val="20"/>
              </w:rPr>
            </w:pPr>
            <w:r>
              <w:rPr>
                <w:rFonts w:ascii="黑体" w:eastAsia="黑体" w:hAnsi="黑体" w:hint="eastAsia"/>
                <w:sz w:val="20"/>
                <w:szCs w:val="20"/>
              </w:rPr>
              <w:t>债权人英文名称</w:t>
            </w:r>
          </w:p>
        </w:tc>
        <w:tc>
          <w:tcPr>
            <w:tcW w:w="1417" w:type="dxa"/>
          </w:tcPr>
          <w:p w14:paraId="7F68C2F5"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3969" w:type="dxa"/>
          </w:tcPr>
          <w:p w14:paraId="710C1DB9" w14:textId="77777777" w:rsidR="00A052DC" w:rsidRDefault="009F0A60">
            <w:pPr>
              <w:rPr>
                <w:rFonts w:ascii="黑体" w:eastAsia="黑体" w:hAnsi="黑体"/>
                <w:sz w:val="20"/>
                <w:szCs w:val="20"/>
              </w:rPr>
            </w:pPr>
            <w:r>
              <w:rPr>
                <w:rFonts w:ascii="黑体" w:eastAsia="黑体" w:hAnsi="黑体" w:hint="eastAsia"/>
                <w:sz w:val="20"/>
                <w:szCs w:val="20"/>
              </w:rPr>
              <w:t>非必填项，</w:t>
            </w:r>
          </w:p>
          <w:p w14:paraId="78DD319F" w14:textId="77777777" w:rsidR="00A052DC" w:rsidRDefault="009F0A60">
            <w:pPr>
              <w:rPr>
                <w:rFonts w:ascii="黑体" w:eastAsia="黑体" w:hAnsi="黑体"/>
                <w:sz w:val="20"/>
                <w:szCs w:val="20"/>
              </w:rPr>
            </w:pPr>
            <w:r>
              <w:rPr>
                <w:rFonts w:ascii="黑体" w:eastAsia="黑体" w:hAnsi="黑体" w:hint="eastAsia"/>
                <w:sz w:val="20"/>
                <w:szCs w:val="20"/>
              </w:rPr>
              <w:t>债权人中文名称和债权人英文名称至少填写一个。</w:t>
            </w:r>
          </w:p>
        </w:tc>
      </w:tr>
      <w:tr w:rsidR="00A052DC" w14:paraId="08CFCC2E" w14:textId="77777777">
        <w:tc>
          <w:tcPr>
            <w:tcW w:w="1560" w:type="dxa"/>
          </w:tcPr>
          <w:p w14:paraId="31526EC1" w14:textId="77777777" w:rsidR="00A052DC" w:rsidRDefault="009F0A60">
            <w:pPr>
              <w:rPr>
                <w:rFonts w:ascii="黑体" w:eastAsia="黑体" w:hAnsi="黑体"/>
                <w:sz w:val="20"/>
                <w:szCs w:val="20"/>
              </w:rPr>
            </w:pPr>
            <w:r>
              <w:rPr>
                <w:rFonts w:ascii="黑体" w:eastAsia="黑体" w:hAnsi="黑体" w:hint="eastAsia"/>
                <w:sz w:val="20"/>
                <w:szCs w:val="20"/>
              </w:rPr>
              <w:t>CREDITORTYPE</w:t>
            </w:r>
          </w:p>
        </w:tc>
        <w:tc>
          <w:tcPr>
            <w:tcW w:w="1701" w:type="dxa"/>
          </w:tcPr>
          <w:p w14:paraId="426FABFE" w14:textId="77777777" w:rsidR="00A052DC" w:rsidRDefault="009F0A60">
            <w:pPr>
              <w:rPr>
                <w:rFonts w:ascii="黑体" w:eastAsia="黑体" w:hAnsi="黑体"/>
                <w:sz w:val="20"/>
                <w:szCs w:val="20"/>
              </w:rPr>
            </w:pPr>
            <w:r>
              <w:rPr>
                <w:rFonts w:ascii="黑体" w:eastAsia="黑体" w:hAnsi="黑体" w:hint="eastAsia"/>
                <w:sz w:val="20"/>
                <w:szCs w:val="20"/>
              </w:rPr>
              <w:t>债权人类型代码</w:t>
            </w:r>
          </w:p>
        </w:tc>
        <w:tc>
          <w:tcPr>
            <w:tcW w:w="1417" w:type="dxa"/>
          </w:tcPr>
          <w:p w14:paraId="51260CDC" w14:textId="77777777" w:rsidR="00A052DC" w:rsidRDefault="009F0A60">
            <w:pPr>
              <w:rPr>
                <w:rFonts w:ascii="黑体" w:eastAsia="黑体" w:hAnsi="黑体"/>
                <w:sz w:val="20"/>
                <w:szCs w:val="20"/>
              </w:rPr>
            </w:pPr>
            <w:r>
              <w:rPr>
                <w:rFonts w:ascii="黑体" w:eastAsia="黑体" w:hAnsi="黑体" w:hint="eastAsia"/>
                <w:sz w:val="20"/>
                <w:szCs w:val="20"/>
              </w:rPr>
              <w:t>字符型，8</w:t>
            </w:r>
          </w:p>
        </w:tc>
        <w:tc>
          <w:tcPr>
            <w:tcW w:w="3969" w:type="dxa"/>
          </w:tcPr>
          <w:p w14:paraId="3BC828BE" w14:textId="77777777" w:rsidR="00A052DC" w:rsidRDefault="009F0A60">
            <w:pPr>
              <w:rPr>
                <w:rFonts w:ascii="黑体" w:eastAsia="黑体" w:hAnsi="黑体"/>
                <w:sz w:val="20"/>
                <w:szCs w:val="20"/>
              </w:rPr>
            </w:pPr>
            <w:r>
              <w:rPr>
                <w:rFonts w:ascii="黑体" w:eastAsia="黑体" w:hAnsi="黑体" w:hint="eastAsia"/>
                <w:sz w:val="20"/>
                <w:szCs w:val="20"/>
              </w:rPr>
              <w:t>必填项，见境外主体类型代码表。</w:t>
            </w:r>
          </w:p>
        </w:tc>
      </w:tr>
      <w:tr w:rsidR="00A052DC" w14:paraId="1B6EA5F1" w14:textId="77777777">
        <w:tc>
          <w:tcPr>
            <w:tcW w:w="1560" w:type="dxa"/>
          </w:tcPr>
          <w:p w14:paraId="26D8BB4F" w14:textId="77777777" w:rsidR="00A052DC" w:rsidRDefault="009F0A60">
            <w:pPr>
              <w:rPr>
                <w:rFonts w:ascii="黑体" w:eastAsia="黑体" w:hAnsi="黑体"/>
                <w:sz w:val="20"/>
                <w:szCs w:val="20"/>
              </w:rPr>
            </w:pPr>
            <w:r>
              <w:rPr>
                <w:rFonts w:ascii="黑体" w:eastAsia="黑体" w:hAnsi="黑体" w:hint="eastAsia"/>
                <w:sz w:val="20"/>
                <w:szCs w:val="20"/>
              </w:rPr>
              <w:t>CREHQCODE</w:t>
            </w:r>
          </w:p>
        </w:tc>
        <w:tc>
          <w:tcPr>
            <w:tcW w:w="1701" w:type="dxa"/>
          </w:tcPr>
          <w:p w14:paraId="63967AD2" w14:textId="77777777" w:rsidR="00A052DC" w:rsidRDefault="009F0A60">
            <w:pPr>
              <w:rPr>
                <w:rFonts w:ascii="黑体" w:eastAsia="黑体" w:hAnsi="黑体"/>
                <w:sz w:val="20"/>
                <w:szCs w:val="20"/>
              </w:rPr>
            </w:pPr>
            <w:r>
              <w:rPr>
                <w:rFonts w:ascii="黑体" w:eastAsia="黑体" w:hAnsi="黑体" w:hint="eastAsia"/>
                <w:sz w:val="20"/>
                <w:szCs w:val="20"/>
              </w:rPr>
              <w:t>债权人总部所在国家（地区）代码</w:t>
            </w:r>
          </w:p>
        </w:tc>
        <w:tc>
          <w:tcPr>
            <w:tcW w:w="1417" w:type="dxa"/>
          </w:tcPr>
          <w:p w14:paraId="1EF2C22D" w14:textId="77777777" w:rsidR="00A052DC" w:rsidRDefault="009F0A60">
            <w:pPr>
              <w:rPr>
                <w:rFonts w:ascii="黑体" w:eastAsia="黑体" w:hAnsi="黑体"/>
                <w:sz w:val="20"/>
                <w:szCs w:val="20"/>
              </w:rPr>
            </w:pPr>
            <w:r>
              <w:rPr>
                <w:rFonts w:ascii="黑体" w:eastAsia="黑体" w:hAnsi="黑体" w:hint="eastAsia"/>
                <w:sz w:val="20"/>
                <w:szCs w:val="20"/>
              </w:rPr>
              <w:t>字符型，3</w:t>
            </w:r>
          </w:p>
        </w:tc>
        <w:tc>
          <w:tcPr>
            <w:tcW w:w="3969" w:type="dxa"/>
          </w:tcPr>
          <w:p w14:paraId="621003CC" w14:textId="77777777" w:rsidR="00A052DC" w:rsidRDefault="009F0A60">
            <w:pPr>
              <w:rPr>
                <w:rFonts w:ascii="黑体" w:eastAsia="黑体" w:hAnsi="黑体"/>
                <w:sz w:val="20"/>
                <w:szCs w:val="20"/>
              </w:rPr>
            </w:pPr>
            <w:r>
              <w:rPr>
                <w:rFonts w:ascii="黑体" w:eastAsia="黑体" w:hAnsi="黑体" w:hint="eastAsia"/>
                <w:sz w:val="20"/>
                <w:szCs w:val="20"/>
              </w:rPr>
              <w:t>必填项，见国家和地区代码表。</w:t>
            </w:r>
          </w:p>
        </w:tc>
      </w:tr>
      <w:tr w:rsidR="00A052DC" w14:paraId="318BB147" w14:textId="77777777">
        <w:tc>
          <w:tcPr>
            <w:tcW w:w="1560" w:type="dxa"/>
          </w:tcPr>
          <w:p w14:paraId="7EE0D98D" w14:textId="77777777" w:rsidR="00A052DC" w:rsidRDefault="009F0A60">
            <w:pPr>
              <w:rPr>
                <w:rFonts w:ascii="黑体" w:eastAsia="黑体" w:hAnsi="黑体"/>
                <w:sz w:val="20"/>
                <w:szCs w:val="20"/>
              </w:rPr>
            </w:pPr>
            <w:r>
              <w:rPr>
                <w:rFonts w:ascii="黑体" w:eastAsia="黑体" w:hAnsi="黑体" w:hint="eastAsia"/>
                <w:sz w:val="20"/>
                <w:szCs w:val="20"/>
              </w:rPr>
              <w:t>OPERCODE</w:t>
            </w:r>
          </w:p>
        </w:tc>
        <w:tc>
          <w:tcPr>
            <w:tcW w:w="1701" w:type="dxa"/>
          </w:tcPr>
          <w:p w14:paraId="1306EF9C" w14:textId="77777777" w:rsidR="00A052DC" w:rsidRDefault="009F0A60">
            <w:pPr>
              <w:rPr>
                <w:rFonts w:ascii="黑体" w:eastAsia="黑体" w:hAnsi="黑体"/>
                <w:sz w:val="20"/>
                <w:szCs w:val="20"/>
              </w:rPr>
            </w:pPr>
            <w:r>
              <w:rPr>
                <w:rFonts w:ascii="黑体" w:eastAsia="黑体" w:hAnsi="黑体" w:hint="eastAsia"/>
                <w:sz w:val="20"/>
                <w:szCs w:val="20"/>
              </w:rPr>
              <w:t>债权人经营地所在国家（地区）代码</w:t>
            </w:r>
          </w:p>
        </w:tc>
        <w:tc>
          <w:tcPr>
            <w:tcW w:w="1417" w:type="dxa"/>
          </w:tcPr>
          <w:p w14:paraId="0C22F10B" w14:textId="77777777" w:rsidR="00A052DC" w:rsidRDefault="009F0A60">
            <w:pPr>
              <w:rPr>
                <w:rFonts w:ascii="黑体" w:eastAsia="黑体" w:hAnsi="黑体"/>
                <w:sz w:val="20"/>
                <w:szCs w:val="20"/>
              </w:rPr>
            </w:pPr>
            <w:r>
              <w:rPr>
                <w:rFonts w:ascii="黑体" w:eastAsia="黑体" w:hAnsi="黑体" w:hint="eastAsia"/>
                <w:sz w:val="20"/>
                <w:szCs w:val="20"/>
              </w:rPr>
              <w:t>字符型，3</w:t>
            </w:r>
          </w:p>
        </w:tc>
        <w:tc>
          <w:tcPr>
            <w:tcW w:w="3969" w:type="dxa"/>
          </w:tcPr>
          <w:p w14:paraId="3385DD68" w14:textId="77777777" w:rsidR="00A052DC" w:rsidRDefault="009F0A60">
            <w:pPr>
              <w:rPr>
                <w:rFonts w:ascii="黑体" w:eastAsia="黑体" w:hAnsi="黑体"/>
                <w:sz w:val="20"/>
                <w:szCs w:val="20"/>
              </w:rPr>
            </w:pPr>
            <w:r>
              <w:rPr>
                <w:rFonts w:ascii="黑体" w:eastAsia="黑体" w:hAnsi="黑体" w:hint="eastAsia"/>
                <w:sz w:val="20"/>
                <w:szCs w:val="20"/>
              </w:rPr>
              <w:t>必填项，见国家和地区代码表。当债权人类型代码不为“境内银行离岸部（20001403）”时,不能为中国CHN。</w:t>
            </w:r>
          </w:p>
        </w:tc>
      </w:tr>
      <w:tr w:rsidR="00A052DC" w14:paraId="7B37075F" w14:textId="77777777">
        <w:tc>
          <w:tcPr>
            <w:tcW w:w="1560" w:type="dxa"/>
          </w:tcPr>
          <w:p w14:paraId="571CCA1B" w14:textId="77777777" w:rsidR="00A052DC" w:rsidRDefault="009F0A60">
            <w:pPr>
              <w:rPr>
                <w:rFonts w:ascii="黑体" w:eastAsia="黑体" w:hAnsi="黑体"/>
                <w:sz w:val="20"/>
                <w:szCs w:val="20"/>
              </w:rPr>
            </w:pPr>
            <w:r>
              <w:rPr>
                <w:rFonts w:ascii="黑体" w:eastAsia="黑体" w:hAnsi="黑体" w:hint="eastAsia"/>
                <w:sz w:val="20"/>
                <w:szCs w:val="20"/>
              </w:rPr>
              <w:t>INPRTERM</w:t>
            </w:r>
          </w:p>
        </w:tc>
        <w:tc>
          <w:tcPr>
            <w:tcW w:w="1701" w:type="dxa"/>
          </w:tcPr>
          <w:p w14:paraId="06825B6F" w14:textId="77777777" w:rsidR="00A052DC" w:rsidRDefault="009F0A60">
            <w:pPr>
              <w:rPr>
                <w:rFonts w:ascii="黑体" w:eastAsia="黑体" w:hAnsi="黑体"/>
                <w:sz w:val="20"/>
                <w:szCs w:val="20"/>
              </w:rPr>
            </w:pPr>
            <w:r>
              <w:rPr>
                <w:rFonts w:ascii="黑体" w:eastAsia="黑体" w:hAnsi="黑体" w:hint="eastAsia"/>
                <w:sz w:val="20"/>
                <w:szCs w:val="20"/>
              </w:rPr>
              <w:t>是否有利息本金化条款</w:t>
            </w:r>
          </w:p>
        </w:tc>
        <w:tc>
          <w:tcPr>
            <w:tcW w:w="1417" w:type="dxa"/>
          </w:tcPr>
          <w:p w14:paraId="51FA5AD5" w14:textId="77777777" w:rsidR="00A052DC" w:rsidRDefault="009F0A60">
            <w:pPr>
              <w:rPr>
                <w:rFonts w:ascii="黑体" w:eastAsia="黑体" w:hAnsi="黑体"/>
                <w:sz w:val="20"/>
                <w:szCs w:val="20"/>
              </w:rPr>
            </w:pPr>
            <w:r>
              <w:rPr>
                <w:rFonts w:ascii="黑体" w:eastAsia="黑体" w:hAnsi="黑体" w:hint="eastAsia"/>
                <w:sz w:val="20"/>
                <w:szCs w:val="20"/>
              </w:rPr>
              <w:t>字符型，1</w:t>
            </w:r>
          </w:p>
        </w:tc>
        <w:tc>
          <w:tcPr>
            <w:tcW w:w="3969" w:type="dxa"/>
          </w:tcPr>
          <w:p w14:paraId="0C7B8F59" w14:textId="77777777" w:rsidR="00A052DC" w:rsidRDefault="009F0A60">
            <w:pPr>
              <w:rPr>
                <w:rFonts w:ascii="黑体" w:eastAsia="黑体" w:hAnsi="黑体"/>
                <w:sz w:val="20"/>
                <w:szCs w:val="20"/>
              </w:rPr>
            </w:pPr>
            <w:r>
              <w:rPr>
                <w:rFonts w:ascii="黑体" w:eastAsia="黑体" w:hAnsi="黑体" w:hint="eastAsia"/>
                <w:sz w:val="20"/>
                <w:szCs w:val="20"/>
              </w:rPr>
              <w:t>必填项，是-Y，否-N，默认为否，填写N。</w:t>
            </w:r>
          </w:p>
        </w:tc>
      </w:tr>
      <w:tr w:rsidR="00A052DC" w14:paraId="183D2EA8" w14:textId="77777777">
        <w:tc>
          <w:tcPr>
            <w:tcW w:w="1560" w:type="dxa"/>
          </w:tcPr>
          <w:p w14:paraId="0922B0A4" w14:textId="77777777" w:rsidR="00A052DC" w:rsidRDefault="009F0A60">
            <w:pPr>
              <w:rPr>
                <w:rFonts w:ascii="黑体" w:eastAsia="黑体" w:hAnsi="黑体"/>
                <w:sz w:val="20"/>
                <w:szCs w:val="20"/>
              </w:rPr>
            </w:pPr>
            <w:r>
              <w:rPr>
                <w:rFonts w:ascii="黑体" w:eastAsia="黑体" w:hAnsi="黑体" w:hint="eastAsia"/>
                <w:sz w:val="20"/>
                <w:szCs w:val="20"/>
              </w:rPr>
              <w:t>SPAPFEBOINDEX</w:t>
            </w:r>
          </w:p>
        </w:tc>
        <w:tc>
          <w:tcPr>
            <w:tcW w:w="1701" w:type="dxa"/>
          </w:tcPr>
          <w:p w14:paraId="12DF3110" w14:textId="77777777" w:rsidR="00A052DC" w:rsidRDefault="009F0A60">
            <w:pPr>
              <w:rPr>
                <w:rFonts w:ascii="黑体" w:eastAsia="黑体" w:hAnsi="黑体"/>
                <w:sz w:val="20"/>
                <w:szCs w:val="20"/>
              </w:rPr>
            </w:pPr>
            <w:r>
              <w:rPr>
                <w:rFonts w:ascii="黑体" w:eastAsia="黑体" w:hAnsi="黑体" w:hint="eastAsia"/>
                <w:sz w:val="20"/>
                <w:szCs w:val="20"/>
              </w:rPr>
              <w:t>是否不纳入跨境融资风险加权余额计算</w:t>
            </w:r>
          </w:p>
        </w:tc>
        <w:tc>
          <w:tcPr>
            <w:tcW w:w="1417" w:type="dxa"/>
          </w:tcPr>
          <w:p w14:paraId="1769F01B" w14:textId="77777777" w:rsidR="00A052DC" w:rsidRDefault="009F0A60">
            <w:pPr>
              <w:rPr>
                <w:rFonts w:ascii="黑体" w:eastAsia="黑体" w:hAnsi="黑体"/>
                <w:sz w:val="20"/>
                <w:szCs w:val="20"/>
              </w:rPr>
            </w:pPr>
            <w:r>
              <w:rPr>
                <w:rFonts w:ascii="黑体" w:eastAsia="黑体" w:hAnsi="黑体" w:hint="eastAsia"/>
                <w:sz w:val="20"/>
                <w:szCs w:val="20"/>
              </w:rPr>
              <w:t>字符型，1</w:t>
            </w:r>
          </w:p>
        </w:tc>
        <w:tc>
          <w:tcPr>
            <w:tcW w:w="3969" w:type="dxa"/>
          </w:tcPr>
          <w:p w14:paraId="562D059D" w14:textId="77777777" w:rsidR="00A052DC" w:rsidRDefault="009F0A60">
            <w:pPr>
              <w:rPr>
                <w:rFonts w:ascii="黑体" w:eastAsia="黑体" w:hAnsi="黑体"/>
                <w:sz w:val="20"/>
                <w:szCs w:val="20"/>
              </w:rPr>
            </w:pPr>
            <w:r>
              <w:rPr>
                <w:rFonts w:ascii="黑体" w:eastAsia="黑体" w:hAnsi="黑体" w:hint="eastAsia"/>
                <w:sz w:val="20"/>
                <w:szCs w:val="20"/>
              </w:rPr>
              <w:t>必填项，是-Y，否-N，默认为否，填写N。</w:t>
            </w:r>
          </w:p>
        </w:tc>
      </w:tr>
      <w:tr w:rsidR="00A052DC" w14:paraId="3843382F" w14:textId="77777777">
        <w:tc>
          <w:tcPr>
            <w:tcW w:w="1560" w:type="dxa"/>
          </w:tcPr>
          <w:p w14:paraId="7E33959B" w14:textId="77777777" w:rsidR="00A052DC" w:rsidRDefault="009F0A60">
            <w:pPr>
              <w:rPr>
                <w:rFonts w:ascii="黑体" w:eastAsia="黑体" w:hAnsi="黑体"/>
                <w:sz w:val="20"/>
                <w:szCs w:val="20"/>
              </w:rPr>
            </w:pPr>
            <w:r>
              <w:rPr>
                <w:rFonts w:ascii="黑体" w:eastAsia="黑体" w:hAnsi="黑体" w:hint="eastAsia"/>
                <w:sz w:val="20"/>
                <w:szCs w:val="20"/>
              </w:rPr>
              <w:t>PROJECTNAME</w:t>
            </w:r>
          </w:p>
        </w:tc>
        <w:tc>
          <w:tcPr>
            <w:tcW w:w="1701" w:type="dxa"/>
          </w:tcPr>
          <w:p w14:paraId="1BFF4C74" w14:textId="77777777" w:rsidR="00A052DC" w:rsidRDefault="009F0A60">
            <w:pPr>
              <w:rPr>
                <w:rFonts w:ascii="黑体" w:eastAsia="黑体" w:hAnsi="黑体"/>
                <w:sz w:val="20"/>
                <w:szCs w:val="20"/>
              </w:rPr>
            </w:pPr>
            <w:r>
              <w:rPr>
                <w:rFonts w:ascii="黑体" w:eastAsia="黑体" w:hAnsi="黑体" w:hint="eastAsia"/>
                <w:sz w:val="20"/>
                <w:szCs w:val="20"/>
              </w:rPr>
              <w:t>项目名称</w:t>
            </w:r>
          </w:p>
        </w:tc>
        <w:tc>
          <w:tcPr>
            <w:tcW w:w="1417" w:type="dxa"/>
          </w:tcPr>
          <w:p w14:paraId="2C24BC68"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3969" w:type="dxa"/>
          </w:tcPr>
          <w:p w14:paraId="185CB973" w14:textId="77777777" w:rsidR="00A052DC" w:rsidRDefault="009F0A60">
            <w:pPr>
              <w:rPr>
                <w:rFonts w:ascii="黑体" w:eastAsia="黑体" w:hAnsi="黑体"/>
                <w:sz w:val="20"/>
                <w:szCs w:val="20"/>
              </w:rPr>
            </w:pPr>
            <w:r>
              <w:rPr>
                <w:rFonts w:ascii="黑体" w:eastAsia="黑体" w:hAnsi="黑体" w:hint="eastAsia"/>
                <w:sz w:val="20"/>
                <w:szCs w:val="20"/>
              </w:rPr>
              <w:t>非必填项。</w:t>
            </w:r>
          </w:p>
        </w:tc>
      </w:tr>
      <w:tr w:rsidR="00A052DC" w14:paraId="2199860A" w14:textId="77777777">
        <w:tc>
          <w:tcPr>
            <w:tcW w:w="1560" w:type="dxa"/>
          </w:tcPr>
          <w:p w14:paraId="05CF40E3" w14:textId="77777777" w:rsidR="00A052DC" w:rsidRDefault="009F0A60">
            <w:pPr>
              <w:rPr>
                <w:rFonts w:ascii="黑体" w:eastAsia="黑体" w:hAnsi="黑体"/>
                <w:sz w:val="20"/>
                <w:szCs w:val="20"/>
              </w:rPr>
            </w:pPr>
            <w:r>
              <w:rPr>
                <w:rFonts w:ascii="黑体" w:eastAsia="黑体" w:hAnsi="黑体" w:hint="eastAsia"/>
                <w:sz w:val="20"/>
                <w:szCs w:val="20"/>
              </w:rPr>
              <w:t>RELATION</w:t>
            </w:r>
          </w:p>
        </w:tc>
        <w:tc>
          <w:tcPr>
            <w:tcW w:w="1701" w:type="dxa"/>
          </w:tcPr>
          <w:p w14:paraId="7AF907D2" w14:textId="77777777" w:rsidR="00A052DC" w:rsidRDefault="009F0A60">
            <w:pPr>
              <w:rPr>
                <w:rFonts w:ascii="黑体" w:eastAsia="黑体" w:hAnsi="黑体"/>
                <w:sz w:val="20"/>
                <w:szCs w:val="20"/>
              </w:rPr>
            </w:pPr>
            <w:r>
              <w:rPr>
                <w:rFonts w:ascii="黑体" w:eastAsia="黑体" w:hAnsi="黑体" w:hint="eastAsia"/>
                <w:sz w:val="20"/>
                <w:szCs w:val="20"/>
              </w:rPr>
              <w:t>对方与本机构的关系</w:t>
            </w:r>
          </w:p>
        </w:tc>
        <w:tc>
          <w:tcPr>
            <w:tcW w:w="1417" w:type="dxa"/>
          </w:tcPr>
          <w:p w14:paraId="3EAE0ECE" w14:textId="77777777" w:rsidR="00A052DC" w:rsidRDefault="009F0A60">
            <w:pPr>
              <w:rPr>
                <w:rFonts w:ascii="黑体" w:eastAsia="黑体" w:hAnsi="黑体"/>
                <w:sz w:val="20"/>
                <w:szCs w:val="20"/>
              </w:rPr>
            </w:pPr>
            <w:r>
              <w:rPr>
                <w:rFonts w:ascii="黑体" w:eastAsia="黑体" w:hAnsi="黑体" w:hint="eastAsia"/>
                <w:sz w:val="20"/>
                <w:szCs w:val="20"/>
              </w:rPr>
              <w:t>字符型，2</w:t>
            </w:r>
          </w:p>
        </w:tc>
        <w:tc>
          <w:tcPr>
            <w:tcW w:w="3969" w:type="dxa"/>
          </w:tcPr>
          <w:p w14:paraId="367AD711" w14:textId="77777777" w:rsidR="00A052DC" w:rsidRDefault="009F0A60">
            <w:pPr>
              <w:rPr>
                <w:rFonts w:ascii="黑体" w:eastAsia="黑体" w:hAnsi="黑体"/>
                <w:sz w:val="20"/>
                <w:szCs w:val="20"/>
              </w:rPr>
            </w:pPr>
            <w:r>
              <w:rPr>
                <w:rFonts w:ascii="黑体" w:eastAsia="黑体" w:hAnsi="黑体" w:hint="eastAsia"/>
                <w:sz w:val="20"/>
                <w:szCs w:val="20"/>
              </w:rPr>
              <w:t>必填项，见对方与本机构/被代理居民机构/委托人的关系代码表。</w:t>
            </w:r>
          </w:p>
        </w:tc>
      </w:tr>
      <w:tr w:rsidR="00A052DC" w14:paraId="5AB2D870" w14:textId="77777777">
        <w:tc>
          <w:tcPr>
            <w:tcW w:w="1560" w:type="dxa"/>
            <w:tcBorders>
              <w:top w:val="single" w:sz="4" w:space="0" w:color="auto"/>
              <w:left w:val="single" w:sz="4" w:space="0" w:color="auto"/>
              <w:bottom w:val="single" w:sz="4" w:space="0" w:color="auto"/>
              <w:right w:val="single" w:sz="4" w:space="0" w:color="auto"/>
            </w:tcBorders>
          </w:tcPr>
          <w:p w14:paraId="19B7DF76" w14:textId="77777777" w:rsidR="00A052DC" w:rsidRDefault="009F0A60">
            <w:pPr>
              <w:rPr>
                <w:rFonts w:ascii="黑体" w:eastAsia="黑体" w:hAnsi="黑体"/>
                <w:sz w:val="20"/>
                <w:szCs w:val="20"/>
              </w:rPr>
            </w:pPr>
            <w:r>
              <w:rPr>
                <w:rFonts w:ascii="黑体" w:eastAsia="黑体" w:hAnsi="黑体" w:hint="eastAsia"/>
                <w:sz w:val="20"/>
                <w:szCs w:val="20"/>
              </w:rPr>
              <w:t>REMARK</w:t>
            </w:r>
          </w:p>
        </w:tc>
        <w:tc>
          <w:tcPr>
            <w:tcW w:w="1701" w:type="dxa"/>
            <w:tcBorders>
              <w:top w:val="single" w:sz="4" w:space="0" w:color="auto"/>
              <w:left w:val="single" w:sz="4" w:space="0" w:color="auto"/>
              <w:bottom w:val="single" w:sz="4" w:space="0" w:color="auto"/>
              <w:right w:val="single" w:sz="4" w:space="0" w:color="auto"/>
            </w:tcBorders>
          </w:tcPr>
          <w:p w14:paraId="3E0483B0" w14:textId="77777777" w:rsidR="00A052DC" w:rsidRDefault="009F0A60">
            <w:pPr>
              <w:rPr>
                <w:rFonts w:ascii="黑体" w:eastAsia="黑体" w:hAnsi="黑体"/>
                <w:sz w:val="20"/>
                <w:szCs w:val="20"/>
              </w:rPr>
            </w:pPr>
            <w:r>
              <w:rPr>
                <w:rFonts w:ascii="黑体" w:eastAsia="黑体" w:hAnsi="黑体" w:hint="eastAsia"/>
                <w:sz w:val="20"/>
                <w:szCs w:val="20"/>
              </w:rPr>
              <w:t>备注</w:t>
            </w:r>
          </w:p>
        </w:tc>
        <w:tc>
          <w:tcPr>
            <w:tcW w:w="1417" w:type="dxa"/>
            <w:tcBorders>
              <w:top w:val="single" w:sz="4" w:space="0" w:color="auto"/>
              <w:left w:val="single" w:sz="4" w:space="0" w:color="auto"/>
              <w:bottom w:val="single" w:sz="4" w:space="0" w:color="auto"/>
              <w:right w:val="single" w:sz="4" w:space="0" w:color="auto"/>
            </w:tcBorders>
          </w:tcPr>
          <w:p w14:paraId="4E3CDE43" w14:textId="77777777" w:rsidR="00A052DC" w:rsidRDefault="009F0A60">
            <w:pPr>
              <w:rPr>
                <w:rFonts w:ascii="黑体" w:eastAsia="黑体" w:hAnsi="黑体"/>
                <w:sz w:val="20"/>
                <w:szCs w:val="20"/>
              </w:rPr>
            </w:pPr>
            <w:r>
              <w:rPr>
                <w:rFonts w:ascii="黑体" w:eastAsia="黑体" w:hAnsi="黑体" w:hint="eastAsia"/>
                <w:sz w:val="20"/>
                <w:szCs w:val="20"/>
              </w:rPr>
              <w:t>字符型，256</w:t>
            </w:r>
          </w:p>
        </w:tc>
        <w:tc>
          <w:tcPr>
            <w:tcW w:w="3969" w:type="dxa"/>
            <w:tcBorders>
              <w:top w:val="single" w:sz="4" w:space="0" w:color="auto"/>
              <w:left w:val="single" w:sz="4" w:space="0" w:color="auto"/>
              <w:bottom w:val="single" w:sz="4" w:space="0" w:color="auto"/>
              <w:right w:val="single" w:sz="4" w:space="0" w:color="auto"/>
            </w:tcBorders>
          </w:tcPr>
          <w:p w14:paraId="10279CB0" w14:textId="77777777" w:rsidR="00A052DC" w:rsidRDefault="009F0A60">
            <w:pPr>
              <w:rPr>
                <w:rFonts w:ascii="黑体" w:eastAsia="黑体" w:hAnsi="黑体"/>
                <w:sz w:val="20"/>
                <w:szCs w:val="20"/>
              </w:rPr>
            </w:pPr>
            <w:r>
              <w:rPr>
                <w:rFonts w:ascii="黑体" w:eastAsia="黑体" w:hAnsi="黑体" w:hint="eastAsia"/>
                <w:sz w:val="20"/>
                <w:szCs w:val="20"/>
              </w:rPr>
              <w:t>非必填项。</w:t>
            </w:r>
          </w:p>
        </w:tc>
      </w:tr>
    </w:tbl>
    <w:p w14:paraId="1A262BFD" w14:textId="77777777" w:rsidR="00A052DC" w:rsidRDefault="009F0A60">
      <w:pPr>
        <w:pStyle w:val="4"/>
        <w:numPr>
          <w:ilvl w:val="3"/>
          <w:numId w:val="1"/>
        </w:numPr>
        <w:jc w:val="left"/>
      </w:pPr>
      <w:bookmarkStart w:id="1542" w:name="_Toc454386907"/>
      <w:bookmarkStart w:id="1543" w:name="_Toc328635490"/>
      <w:r>
        <w:rPr>
          <w:rFonts w:hint="eastAsia"/>
        </w:rPr>
        <w:t>货币市场工具</w:t>
      </w:r>
      <w:bookmarkEnd w:id="1542"/>
      <w:bookmarkEnd w:id="1543"/>
    </w:p>
    <w:p w14:paraId="45724095" w14:textId="77777777" w:rsidR="00A052DC" w:rsidRDefault="009F0A60" w:rsidP="0020251D">
      <w:pPr>
        <w:pStyle w:val="5"/>
        <w:numPr>
          <w:ilvl w:val="4"/>
          <w:numId w:val="1"/>
        </w:numPr>
        <w:spacing w:before="120" w:after="120" w:line="360" w:lineRule="auto"/>
        <w:jc w:val="left"/>
      </w:pPr>
      <w:bookmarkStart w:id="1544" w:name="_Toc454386908"/>
      <w:r>
        <w:rPr>
          <w:rFonts w:hint="eastAsia"/>
        </w:rPr>
        <w:t>数据术语解释</w:t>
      </w:r>
      <w:bookmarkEnd w:id="1544"/>
    </w:p>
    <w:tbl>
      <w:tblPr>
        <w:tblW w:w="84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26"/>
        <w:gridCol w:w="6946"/>
      </w:tblGrid>
      <w:tr w:rsidR="00A052DC" w14:paraId="12E04CE4" w14:textId="77777777">
        <w:tc>
          <w:tcPr>
            <w:tcW w:w="1526" w:type="dxa"/>
          </w:tcPr>
          <w:p w14:paraId="4B246C65" w14:textId="77777777" w:rsidR="00A052DC" w:rsidRDefault="009F0A60">
            <w:pPr>
              <w:pStyle w:val="B1"/>
              <w:rPr>
                <w:u w:val="single"/>
              </w:rPr>
            </w:pPr>
            <w:r>
              <w:rPr>
                <w:rFonts w:hint="eastAsia"/>
              </w:rPr>
              <w:t>基础数据项</w:t>
            </w:r>
          </w:p>
        </w:tc>
        <w:tc>
          <w:tcPr>
            <w:tcW w:w="6946" w:type="dxa"/>
          </w:tcPr>
          <w:p w14:paraId="4F5F377B" w14:textId="77777777" w:rsidR="00A052DC" w:rsidRDefault="009F0A60">
            <w:pPr>
              <w:pStyle w:val="B1"/>
            </w:pPr>
            <w:r>
              <w:rPr>
                <w:rFonts w:hint="eastAsia"/>
              </w:rPr>
              <w:t>定义</w:t>
            </w:r>
          </w:p>
        </w:tc>
      </w:tr>
      <w:tr w:rsidR="00A052DC" w14:paraId="7504668F" w14:textId="77777777">
        <w:trPr>
          <w:cantSplit/>
          <w:trHeight w:val="157"/>
        </w:trPr>
        <w:tc>
          <w:tcPr>
            <w:tcW w:w="1526" w:type="dxa"/>
          </w:tcPr>
          <w:p w14:paraId="41F28D30" w14:textId="77777777" w:rsidR="00A052DC" w:rsidRDefault="009F0A60">
            <w:pPr>
              <w:pStyle w:val="B"/>
              <w:rPr>
                <w:szCs w:val="20"/>
              </w:rPr>
            </w:pPr>
            <w:r>
              <w:rPr>
                <w:rFonts w:hint="eastAsia"/>
                <w:szCs w:val="20"/>
              </w:rPr>
              <w:t>外债编号</w:t>
            </w:r>
          </w:p>
        </w:tc>
        <w:tc>
          <w:tcPr>
            <w:tcW w:w="6946" w:type="dxa"/>
          </w:tcPr>
          <w:p w14:paraId="111F336C" w14:textId="77777777" w:rsidR="00A052DC" w:rsidRDefault="009F0A60">
            <w:pPr>
              <w:pStyle w:val="B"/>
              <w:rPr>
                <w:szCs w:val="20"/>
              </w:rPr>
            </w:pPr>
            <w:r>
              <w:rPr>
                <w:rFonts w:hint="eastAsia"/>
                <w:szCs w:val="20"/>
              </w:rPr>
              <w:t>外汇局制定统一编号规则，银行自行对每一笔外债编号，用于唯一标识该笔外债。银行外债编号共计</w:t>
            </w:r>
            <w:r>
              <w:rPr>
                <w:szCs w:val="20"/>
              </w:rPr>
              <w:t>28</w:t>
            </w:r>
            <w:r>
              <w:rPr>
                <w:rFonts w:hint="eastAsia"/>
                <w:szCs w:val="20"/>
              </w:rPr>
              <w:t>位。第</w:t>
            </w:r>
            <w:r>
              <w:rPr>
                <w:szCs w:val="20"/>
              </w:rPr>
              <w:t>1</w:t>
            </w:r>
            <w:r>
              <w:rPr>
                <w:rFonts w:hint="eastAsia"/>
                <w:szCs w:val="20"/>
              </w:rPr>
              <w:t>至</w:t>
            </w:r>
            <w:r>
              <w:rPr>
                <w:szCs w:val="20"/>
              </w:rPr>
              <w:t>2</w:t>
            </w:r>
            <w:r>
              <w:rPr>
                <w:rFonts w:hint="eastAsia"/>
                <w:szCs w:val="20"/>
              </w:rPr>
              <w:t>位为业务类型标识，第</w:t>
            </w:r>
            <w:r>
              <w:rPr>
                <w:szCs w:val="20"/>
              </w:rPr>
              <w:t>3</w:t>
            </w:r>
            <w:r>
              <w:rPr>
                <w:rFonts w:hint="eastAsia"/>
                <w:szCs w:val="20"/>
              </w:rPr>
              <w:t>位至</w:t>
            </w:r>
            <w:r>
              <w:rPr>
                <w:szCs w:val="20"/>
              </w:rPr>
              <w:t>14</w:t>
            </w:r>
            <w:r>
              <w:rPr>
                <w:rFonts w:hint="eastAsia"/>
                <w:szCs w:val="20"/>
              </w:rPr>
              <w:t>位为银行金融机构标识码</w:t>
            </w:r>
            <w:r>
              <w:rPr>
                <w:szCs w:val="20"/>
              </w:rPr>
              <w:t>;</w:t>
            </w:r>
            <w:r>
              <w:rPr>
                <w:rFonts w:hint="eastAsia"/>
                <w:szCs w:val="20"/>
              </w:rPr>
              <w:t>第</w:t>
            </w:r>
            <w:r>
              <w:rPr>
                <w:szCs w:val="20"/>
              </w:rPr>
              <w:t>15</w:t>
            </w:r>
            <w:r>
              <w:rPr>
                <w:rFonts w:hint="eastAsia"/>
                <w:szCs w:val="20"/>
              </w:rPr>
              <w:t>至</w:t>
            </w:r>
            <w:r>
              <w:rPr>
                <w:szCs w:val="20"/>
              </w:rPr>
              <w:t>22</w:t>
            </w:r>
            <w:r>
              <w:rPr>
                <w:rFonts w:hint="eastAsia"/>
                <w:szCs w:val="20"/>
              </w:rPr>
              <w:t>位为</w:t>
            </w:r>
            <w:r>
              <w:rPr>
                <w:szCs w:val="20"/>
              </w:rPr>
              <w:t>8</w:t>
            </w:r>
            <w:r>
              <w:rPr>
                <w:rFonts w:hint="eastAsia"/>
                <w:szCs w:val="20"/>
              </w:rPr>
              <w:t>位年月日数字（</w:t>
            </w:r>
            <w:r>
              <w:rPr>
                <w:szCs w:val="20"/>
              </w:rPr>
              <w:t>20110701</w:t>
            </w:r>
            <w:r>
              <w:rPr>
                <w:rFonts w:hint="eastAsia"/>
                <w:szCs w:val="20"/>
              </w:rPr>
              <w:t>）</w:t>
            </w:r>
            <w:r>
              <w:rPr>
                <w:szCs w:val="20"/>
              </w:rPr>
              <w:t>;</w:t>
            </w:r>
            <w:r>
              <w:rPr>
                <w:rFonts w:hint="eastAsia"/>
                <w:szCs w:val="20"/>
              </w:rPr>
              <w:t>第</w:t>
            </w:r>
            <w:r>
              <w:rPr>
                <w:szCs w:val="20"/>
              </w:rPr>
              <w:t>23</w:t>
            </w:r>
            <w:r>
              <w:rPr>
                <w:rFonts w:hint="eastAsia"/>
                <w:szCs w:val="20"/>
              </w:rPr>
              <w:t>至</w:t>
            </w:r>
            <w:r>
              <w:rPr>
                <w:szCs w:val="20"/>
              </w:rPr>
              <w:t>28</w:t>
            </w:r>
            <w:r>
              <w:rPr>
                <w:rFonts w:hint="eastAsia"/>
                <w:szCs w:val="20"/>
              </w:rPr>
              <w:t>位为该笔业务的流水号（流水码编制规则：从</w:t>
            </w:r>
            <w:r>
              <w:rPr>
                <w:szCs w:val="20"/>
              </w:rPr>
              <w:t>000001</w:t>
            </w:r>
            <w:r>
              <w:rPr>
                <w:rFonts w:hint="eastAsia"/>
                <w:szCs w:val="20"/>
              </w:rPr>
              <w:t>～</w:t>
            </w:r>
            <w:r>
              <w:rPr>
                <w:szCs w:val="20"/>
              </w:rPr>
              <w:t>999999</w:t>
            </w:r>
            <w:r>
              <w:rPr>
                <w:rFonts w:hint="eastAsia"/>
                <w:szCs w:val="20"/>
              </w:rPr>
              <w:t>）。银行新发生一笔外债业务时，需为该笔外债编制外债编号，同一笔外债发生变更或展期时，不作为一笔新业务进行登记，发生展期时，变更到期日。</w:t>
            </w:r>
          </w:p>
        </w:tc>
      </w:tr>
      <w:tr w:rsidR="00A052DC" w14:paraId="305653A4" w14:textId="77777777">
        <w:trPr>
          <w:cantSplit/>
        </w:trPr>
        <w:tc>
          <w:tcPr>
            <w:tcW w:w="1526" w:type="dxa"/>
          </w:tcPr>
          <w:p w14:paraId="44DF8239" w14:textId="77777777" w:rsidR="00A052DC" w:rsidRDefault="009F0A60">
            <w:pPr>
              <w:pStyle w:val="B"/>
              <w:rPr>
                <w:szCs w:val="20"/>
              </w:rPr>
            </w:pPr>
            <w:r>
              <w:rPr>
                <w:rFonts w:hint="eastAsia"/>
                <w:szCs w:val="20"/>
              </w:rPr>
              <w:t>债务人代码</w:t>
            </w:r>
          </w:p>
        </w:tc>
        <w:tc>
          <w:tcPr>
            <w:tcW w:w="6946" w:type="dxa"/>
          </w:tcPr>
          <w:p w14:paraId="4D938B5D" w14:textId="77777777" w:rsidR="00A052DC" w:rsidRDefault="009F0A60">
            <w:pPr>
              <w:pStyle w:val="B"/>
              <w:rPr>
                <w:szCs w:val="20"/>
              </w:rPr>
            </w:pPr>
            <w:r>
              <w:rPr>
                <w:rFonts w:hint="eastAsia"/>
                <w:szCs w:val="20"/>
              </w:rPr>
              <w:t>国家外汇管理局及其分支局签发给境内债务银行的</w:t>
            </w:r>
            <w:r>
              <w:rPr>
                <w:szCs w:val="20"/>
              </w:rPr>
              <w:t>12</w:t>
            </w:r>
            <w:r>
              <w:rPr>
                <w:rFonts w:hint="eastAsia"/>
                <w:szCs w:val="20"/>
              </w:rPr>
              <w:t>位金融机构标识码编码。</w:t>
            </w:r>
          </w:p>
        </w:tc>
      </w:tr>
      <w:tr w:rsidR="00A052DC" w14:paraId="714BB487" w14:textId="77777777">
        <w:trPr>
          <w:cantSplit/>
        </w:trPr>
        <w:tc>
          <w:tcPr>
            <w:tcW w:w="1526" w:type="dxa"/>
          </w:tcPr>
          <w:p w14:paraId="7AD380C8" w14:textId="77777777" w:rsidR="00A052DC" w:rsidRDefault="009F0A60">
            <w:pPr>
              <w:pStyle w:val="B"/>
              <w:rPr>
                <w:szCs w:val="20"/>
              </w:rPr>
            </w:pPr>
            <w:r>
              <w:rPr>
                <w:rFonts w:hint="eastAsia"/>
                <w:szCs w:val="20"/>
              </w:rPr>
              <w:t>债务类型</w:t>
            </w:r>
          </w:p>
        </w:tc>
        <w:tc>
          <w:tcPr>
            <w:tcW w:w="6946" w:type="dxa"/>
          </w:tcPr>
          <w:p w14:paraId="1F00806E" w14:textId="77777777" w:rsidR="00A052DC" w:rsidRDefault="009F0A60">
            <w:pPr>
              <w:pStyle w:val="B"/>
              <w:rPr>
                <w:szCs w:val="20"/>
              </w:rPr>
            </w:pPr>
            <w:r>
              <w:rPr>
                <w:rFonts w:hint="eastAsia"/>
                <w:szCs w:val="20"/>
              </w:rPr>
              <w:t>外债的债务类型代码，见外债的债务类型表。</w:t>
            </w:r>
          </w:p>
        </w:tc>
      </w:tr>
      <w:tr w:rsidR="00A052DC" w14:paraId="67523651" w14:textId="77777777">
        <w:trPr>
          <w:cantSplit/>
        </w:trPr>
        <w:tc>
          <w:tcPr>
            <w:tcW w:w="1526" w:type="dxa"/>
          </w:tcPr>
          <w:p w14:paraId="0059A492" w14:textId="77777777" w:rsidR="00A052DC" w:rsidRDefault="009F0A60">
            <w:pPr>
              <w:pStyle w:val="B"/>
              <w:rPr>
                <w:szCs w:val="20"/>
              </w:rPr>
            </w:pPr>
            <w:r>
              <w:rPr>
                <w:rFonts w:hint="eastAsia"/>
                <w:szCs w:val="20"/>
              </w:rPr>
              <w:t>起息日</w:t>
            </w:r>
          </w:p>
        </w:tc>
        <w:tc>
          <w:tcPr>
            <w:tcW w:w="6946" w:type="dxa"/>
          </w:tcPr>
          <w:p w14:paraId="0A0B1C88" w14:textId="77777777" w:rsidR="00A052DC" w:rsidRDefault="009F0A60">
            <w:pPr>
              <w:pStyle w:val="B"/>
              <w:rPr>
                <w:szCs w:val="20"/>
              </w:rPr>
            </w:pPr>
            <w:r>
              <w:rPr>
                <w:rFonts w:hint="eastAsia"/>
                <w:szCs w:val="20"/>
              </w:rPr>
              <w:t>债券和票据的发行日期。</w:t>
            </w:r>
          </w:p>
        </w:tc>
      </w:tr>
      <w:tr w:rsidR="00A052DC" w14:paraId="05BC6D3F" w14:textId="77777777">
        <w:trPr>
          <w:cantSplit/>
        </w:trPr>
        <w:tc>
          <w:tcPr>
            <w:tcW w:w="1526" w:type="dxa"/>
          </w:tcPr>
          <w:p w14:paraId="57FAB062" w14:textId="77777777" w:rsidR="00A052DC" w:rsidRDefault="009F0A60">
            <w:pPr>
              <w:pStyle w:val="B"/>
              <w:rPr>
                <w:szCs w:val="20"/>
              </w:rPr>
            </w:pPr>
            <w:r>
              <w:rPr>
                <w:rFonts w:hint="eastAsia"/>
                <w:szCs w:val="20"/>
              </w:rPr>
              <w:t>签约币种</w:t>
            </w:r>
          </w:p>
        </w:tc>
        <w:tc>
          <w:tcPr>
            <w:tcW w:w="6946" w:type="dxa"/>
          </w:tcPr>
          <w:p w14:paraId="474D90E5" w14:textId="77777777" w:rsidR="00A052DC" w:rsidRDefault="009F0A60">
            <w:pPr>
              <w:pStyle w:val="B"/>
              <w:rPr>
                <w:szCs w:val="20"/>
              </w:rPr>
            </w:pPr>
            <w:r>
              <w:rPr>
                <w:rFonts w:hint="eastAsia"/>
                <w:szCs w:val="20"/>
              </w:rPr>
              <w:t>外债签约币种即提款的币种，即债券和票据标价的币种。</w:t>
            </w:r>
          </w:p>
        </w:tc>
      </w:tr>
      <w:tr w:rsidR="00A052DC" w14:paraId="1BB83D73" w14:textId="77777777">
        <w:trPr>
          <w:cantSplit/>
        </w:trPr>
        <w:tc>
          <w:tcPr>
            <w:tcW w:w="1526" w:type="dxa"/>
          </w:tcPr>
          <w:p w14:paraId="28B7CB60" w14:textId="77777777" w:rsidR="00A052DC" w:rsidRDefault="009F0A60">
            <w:pPr>
              <w:pStyle w:val="B"/>
              <w:rPr>
                <w:szCs w:val="20"/>
              </w:rPr>
            </w:pPr>
            <w:r>
              <w:rPr>
                <w:rFonts w:hint="eastAsia"/>
                <w:szCs w:val="20"/>
              </w:rPr>
              <w:t>签约金额</w:t>
            </w:r>
          </w:p>
        </w:tc>
        <w:tc>
          <w:tcPr>
            <w:tcW w:w="6946" w:type="dxa"/>
          </w:tcPr>
          <w:p w14:paraId="2E01F246" w14:textId="77777777" w:rsidR="00A052DC" w:rsidRDefault="009F0A60">
            <w:pPr>
              <w:pStyle w:val="B"/>
              <w:rPr>
                <w:szCs w:val="20"/>
              </w:rPr>
            </w:pPr>
            <w:r>
              <w:rPr>
                <w:rFonts w:hint="eastAsia"/>
                <w:szCs w:val="20"/>
              </w:rPr>
              <w:t>外债签约金额即提款的金额，即债券和票据实际募集资金的金额。</w:t>
            </w:r>
          </w:p>
        </w:tc>
      </w:tr>
      <w:tr w:rsidR="00A052DC" w14:paraId="336F6F9C" w14:textId="77777777">
        <w:trPr>
          <w:cantSplit/>
        </w:trPr>
        <w:tc>
          <w:tcPr>
            <w:tcW w:w="1526" w:type="dxa"/>
          </w:tcPr>
          <w:p w14:paraId="061A2C56" w14:textId="77777777" w:rsidR="00A052DC" w:rsidRDefault="009F0A60">
            <w:pPr>
              <w:pStyle w:val="B"/>
              <w:rPr>
                <w:szCs w:val="20"/>
              </w:rPr>
            </w:pPr>
            <w:r>
              <w:rPr>
                <w:rFonts w:hint="eastAsia"/>
                <w:szCs w:val="20"/>
              </w:rPr>
              <w:t>到期日</w:t>
            </w:r>
          </w:p>
        </w:tc>
        <w:tc>
          <w:tcPr>
            <w:tcW w:w="6946" w:type="dxa"/>
            <w:vAlign w:val="center"/>
          </w:tcPr>
          <w:p w14:paraId="3523A4A0" w14:textId="77777777" w:rsidR="00A052DC" w:rsidRDefault="009F0A60">
            <w:pPr>
              <w:pStyle w:val="B"/>
              <w:rPr>
                <w:szCs w:val="20"/>
              </w:rPr>
            </w:pPr>
            <w:r>
              <w:rPr>
                <w:rFonts w:hint="eastAsia"/>
                <w:szCs w:val="20"/>
              </w:rPr>
              <w:t>外债的到期日期，即货币市场工具的到期日。</w:t>
            </w:r>
          </w:p>
        </w:tc>
      </w:tr>
      <w:tr w:rsidR="00A052DC" w14:paraId="7590301B" w14:textId="77777777">
        <w:trPr>
          <w:cantSplit/>
        </w:trPr>
        <w:tc>
          <w:tcPr>
            <w:tcW w:w="1526" w:type="dxa"/>
          </w:tcPr>
          <w:p w14:paraId="55197336" w14:textId="77777777" w:rsidR="00A052DC" w:rsidRDefault="009F0A60">
            <w:pPr>
              <w:pStyle w:val="B"/>
              <w:rPr>
                <w:szCs w:val="20"/>
              </w:rPr>
            </w:pPr>
            <w:r>
              <w:rPr>
                <w:rFonts w:hint="eastAsia"/>
                <w:szCs w:val="20"/>
              </w:rPr>
              <w:t>是否浮动利率</w:t>
            </w:r>
          </w:p>
        </w:tc>
        <w:tc>
          <w:tcPr>
            <w:tcW w:w="6946" w:type="dxa"/>
          </w:tcPr>
          <w:p w14:paraId="4C65B9A8" w14:textId="77777777" w:rsidR="00A052DC" w:rsidRDefault="009F0A60">
            <w:pPr>
              <w:pStyle w:val="B"/>
              <w:rPr>
                <w:szCs w:val="20"/>
              </w:rPr>
            </w:pPr>
            <w:r>
              <w:rPr>
                <w:rFonts w:hint="eastAsia"/>
                <w:szCs w:val="20"/>
              </w:rPr>
              <w:t>标识债务利率条件为浮动利率或固定利率，系统默认为否，若为浮动利率，选择是。</w:t>
            </w:r>
          </w:p>
        </w:tc>
      </w:tr>
      <w:tr w:rsidR="00A052DC" w14:paraId="17C74EFF" w14:textId="77777777">
        <w:trPr>
          <w:cantSplit/>
        </w:trPr>
        <w:tc>
          <w:tcPr>
            <w:tcW w:w="1526" w:type="dxa"/>
          </w:tcPr>
          <w:p w14:paraId="37925FFD" w14:textId="77777777" w:rsidR="00A052DC" w:rsidRDefault="009F0A60">
            <w:pPr>
              <w:pStyle w:val="B"/>
              <w:rPr>
                <w:szCs w:val="20"/>
              </w:rPr>
            </w:pPr>
            <w:r>
              <w:rPr>
                <w:rFonts w:hint="eastAsia"/>
                <w:szCs w:val="20"/>
              </w:rPr>
              <w:t>年化利率值</w:t>
            </w:r>
          </w:p>
        </w:tc>
        <w:tc>
          <w:tcPr>
            <w:tcW w:w="6946" w:type="dxa"/>
          </w:tcPr>
          <w:p w14:paraId="05794135" w14:textId="77777777" w:rsidR="00A052DC" w:rsidRDefault="009F0A60">
            <w:pPr>
              <w:pStyle w:val="B"/>
              <w:rPr>
                <w:szCs w:val="20"/>
              </w:rPr>
            </w:pPr>
            <w:r>
              <w:rPr>
                <w:rFonts w:hint="eastAsia"/>
                <w:szCs w:val="20"/>
              </w:rPr>
              <w:t>外债的年化利率，若为浮动利率，应该按照该笔货币市场工具发行日期当天的浮动利率条件计算年化利率值。</w:t>
            </w:r>
          </w:p>
        </w:tc>
      </w:tr>
      <w:tr w:rsidR="00A052DC" w14:paraId="67881DAD" w14:textId="77777777">
        <w:trPr>
          <w:cantSplit/>
          <w:trHeight w:val="470"/>
        </w:trPr>
        <w:tc>
          <w:tcPr>
            <w:tcW w:w="1526" w:type="dxa"/>
          </w:tcPr>
          <w:p w14:paraId="542E3DB7" w14:textId="77777777" w:rsidR="00A052DC" w:rsidRDefault="009F0A60">
            <w:pPr>
              <w:pStyle w:val="B"/>
              <w:rPr>
                <w:szCs w:val="20"/>
              </w:rPr>
            </w:pPr>
            <w:r>
              <w:rPr>
                <w:rFonts w:hint="eastAsia"/>
                <w:szCs w:val="20"/>
              </w:rPr>
              <w:t>债权人代码</w:t>
            </w:r>
          </w:p>
        </w:tc>
        <w:tc>
          <w:tcPr>
            <w:tcW w:w="6946" w:type="dxa"/>
            <w:vAlign w:val="center"/>
          </w:tcPr>
          <w:p w14:paraId="0D026E59" w14:textId="77777777" w:rsidR="00A052DC" w:rsidRDefault="009F0A60">
            <w:pPr>
              <w:pStyle w:val="B"/>
              <w:rPr>
                <w:szCs w:val="20"/>
              </w:rPr>
            </w:pPr>
            <w:r>
              <w:rPr>
                <w:rFonts w:hint="eastAsia"/>
                <w:szCs w:val="20"/>
              </w:rPr>
              <w:t>如果债权人为银行，应填写</w:t>
            </w:r>
            <w:r>
              <w:rPr>
                <w:szCs w:val="20"/>
              </w:rPr>
              <w:t>8</w:t>
            </w:r>
            <w:r>
              <w:rPr>
                <w:rFonts w:hint="eastAsia"/>
                <w:szCs w:val="20"/>
              </w:rPr>
              <w:t>位或</w:t>
            </w:r>
            <w:r>
              <w:rPr>
                <w:szCs w:val="20"/>
              </w:rPr>
              <w:t>11</w:t>
            </w:r>
            <w:r>
              <w:rPr>
                <w:rFonts w:hint="eastAsia"/>
                <w:szCs w:val="20"/>
              </w:rPr>
              <w:t>位的</w:t>
            </w:r>
            <w:r>
              <w:rPr>
                <w:szCs w:val="20"/>
              </w:rPr>
              <w:t>SWIFT CODE</w:t>
            </w:r>
            <w:r>
              <w:rPr>
                <w:rFonts w:hint="eastAsia"/>
                <w:szCs w:val="20"/>
              </w:rPr>
              <w:t>；如果债权人类型为“政府”、或“中央银行”时，或者当债务类型为“货币市场工具”或“债券和票据”或“非居民个人存款”时，应在外汇局编制的部分债权人代码表中选择债权人代码；否则为空。</w:t>
            </w:r>
          </w:p>
          <w:p w14:paraId="31501025" w14:textId="77777777" w:rsidR="00A052DC" w:rsidRDefault="009F0A60">
            <w:pPr>
              <w:pStyle w:val="B"/>
              <w:rPr>
                <w:szCs w:val="20"/>
              </w:rPr>
            </w:pPr>
            <w:r>
              <w:rPr>
                <w:rFonts w:hint="eastAsia"/>
                <w:szCs w:val="20"/>
              </w:rPr>
              <w:t>如果债权人为“非银行金融机构”或“国际金融组织”，应优先填写</w:t>
            </w:r>
            <w:r>
              <w:rPr>
                <w:szCs w:val="20"/>
              </w:rPr>
              <w:t>SWIFT CODE</w:t>
            </w:r>
            <w:r>
              <w:rPr>
                <w:rFonts w:hint="eastAsia"/>
                <w:szCs w:val="20"/>
              </w:rPr>
              <w:t>。</w:t>
            </w:r>
          </w:p>
        </w:tc>
      </w:tr>
      <w:tr w:rsidR="00A052DC" w14:paraId="00E7D64A" w14:textId="77777777">
        <w:trPr>
          <w:cantSplit/>
        </w:trPr>
        <w:tc>
          <w:tcPr>
            <w:tcW w:w="1526" w:type="dxa"/>
          </w:tcPr>
          <w:p w14:paraId="6BE76590" w14:textId="77777777" w:rsidR="00A052DC" w:rsidRDefault="009F0A60">
            <w:pPr>
              <w:pStyle w:val="B"/>
              <w:rPr>
                <w:szCs w:val="20"/>
              </w:rPr>
            </w:pPr>
            <w:r>
              <w:rPr>
                <w:rFonts w:hint="eastAsia"/>
                <w:szCs w:val="20"/>
              </w:rPr>
              <w:t>债权人中文名称</w:t>
            </w:r>
          </w:p>
        </w:tc>
        <w:tc>
          <w:tcPr>
            <w:tcW w:w="6946" w:type="dxa"/>
            <w:vAlign w:val="center"/>
          </w:tcPr>
          <w:p w14:paraId="27303ED9" w14:textId="77777777" w:rsidR="00A052DC" w:rsidRDefault="009F0A60">
            <w:pPr>
              <w:pStyle w:val="B"/>
              <w:rPr>
                <w:szCs w:val="20"/>
              </w:rPr>
            </w:pPr>
            <w:r>
              <w:rPr>
                <w:rFonts w:hint="eastAsia"/>
                <w:szCs w:val="20"/>
              </w:rPr>
              <w:t>债权人中文名称。该货币市场工具发行国家（地区）资本市场的中文名称。</w:t>
            </w:r>
          </w:p>
        </w:tc>
      </w:tr>
      <w:tr w:rsidR="00A052DC" w14:paraId="15E2F77F" w14:textId="77777777">
        <w:trPr>
          <w:cantSplit/>
        </w:trPr>
        <w:tc>
          <w:tcPr>
            <w:tcW w:w="1526" w:type="dxa"/>
          </w:tcPr>
          <w:p w14:paraId="591484FC" w14:textId="77777777" w:rsidR="00A052DC" w:rsidRDefault="009F0A60">
            <w:pPr>
              <w:pStyle w:val="B"/>
              <w:rPr>
                <w:szCs w:val="20"/>
              </w:rPr>
            </w:pPr>
            <w:r>
              <w:rPr>
                <w:rFonts w:hint="eastAsia"/>
                <w:szCs w:val="20"/>
              </w:rPr>
              <w:t>债权人英文名称</w:t>
            </w:r>
          </w:p>
        </w:tc>
        <w:tc>
          <w:tcPr>
            <w:tcW w:w="6946" w:type="dxa"/>
            <w:vAlign w:val="center"/>
          </w:tcPr>
          <w:p w14:paraId="033EA8EB" w14:textId="77777777" w:rsidR="00A052DC" w:rsidRDefault="009F0A60">
            <w:pPr>
              <w:pStyle w:val="B"/>
              <w:rPr>
                <w:szCs w:val="20"/>
              </w:rPr>
            </w:pPr>
            <w:r>
              <w:rPr>
                <w:rFonts w:hint="eastAsia"/>
                <w:szCs w:val="20"/>
              </w:rPr>
              <w:t>债权人英文名称。该货币市场工具发行国家（地区）资本市场的英名称。</w:t>
            </w:r>
          </w:p>
        </w:tc>
      </w:tr>
      <w:tr w:rsidR="00A052DC" w14:paraId="361E66B5" w14:textId="77777777">
        <w:trPr>
          <w:cantSplit/>
        </w:trPr>
        <w:tc>
          <w:tcPr>
            <w:tcW w:w="1526" w:type="dxa"/>
          </w:tcPr>
          <w:p w14:paraId="3F3D787D" w14:textId="77777777" w:rsidR="00A052DC" w:rsidRDefault="009F0A60">
            <w:pPr>
              <w:pStyle w:val="B"/>
              <w:rPr>
                <w:szCs w:val="20"/>
              </w:rPr>
            </w:pPr>
            <w:r>
              <w:rPr>
                <w:rFonts w:hint="eastAsia"/>
                <w:szCs w:val="20"/>
              </w:rPr>
              <w:t>债权人类型代码</w:t>
            </w:r>
          </w:p>
        </w:tc>
        <w:tc>
          <w:tcPr>
            <w:tcW w:w="6946" w:type="dxa"/>
          </w:tcPr>
          <w:p w14:paraId="34442A7A" w14:textId="77777777" w:rsidR="00A052DC" w:rsidRDefault="009F0A60">
            <w:pPr>
              <w:pStyle w:val="B"/>
              <w:rPr>
                <w:szCs w:val="20"/>
              </w:rPr>
            </w:pPr>
            <w:r>
              <w:rPr>
                <w:rFonts w:hint="eastAsia"/>
                <w:szCs w:val="20"/>
              </w:rPr>
              <w:t>债权人类型代码，见境外主体类型代码表。“货币市场工具”类外债的债权人类型代码统一填报为“资本市场”。</w:t>
            </w:r>
          </w:p>
        </w:tc>
      </w:tr>
      <w:tr w:rsidR="00A052DC" w14:paraId="0CF2DF4C" w14:textId="77777777">
        <w:trPr>
          <w:cantSplit/>
        </w:trPr>
        <w:tc>
          <w:tcPr>
            <w:tcW w:w="1526" w:type="dxa"/>
          </w:tcPr>
          <w:p w14:paraId="4757062B" w14:textId="77777777" w:rsidR="00A052DC" w:rsidRDefault="009F0A60">
            <w:pPr>
              <w:pStyle w:val="B"/>
              <w:rPr>
                <w:szCs w:val="20"/>
              </w:rPr>
            </w:pPr>
            <w:r>
              <w:rPr>
                <w:rFonts w:hint="eastAsia"/>
                <w:szCs w:val="20"/>
              </w:rPr>
              <w:t>债权人总部所在国家（地区）代码</w:t>
            </w:r>
          </w:p>
        </w:tc>
        <w:tc>
          <w:tcPr>
            <w:tcW w:w="6946" w:type="dxa"/>
            <w:vAlign w:val="center"/>
          </w:tcPr>
          <w:p w14:paraId="70948658" w14:textId="77777777" w:rsidR="00A052DC" w:rsidRDefault="009F0A60">
            <w:pPr>
              <w:pStyle w:val="B"/>
              <w:rPr>
                <w:szCs w:val="20"/>
              </w:rPr>
            </w:pPr>
            <w:r>
              <w:rPr>
                <w:rFonts w:hint="eastAsia"/>
                <w:szCs w:val="20"/>
              </w:rPr>
              <w:t>债权人总部所在地代码，见国别和地区代码表。即货币市场工具发行地的国家（地区）代码。</w:t>
            </w:r>
          </w:p>
        </w:tc>
      </w:tr>
      <w:tr w:rsidR="00A052DC" w14:paraId="10C77949" w14:textId="77777777">
        <w:trPr>
          <w:cantSplit/>
        </w:trPr>
        <w:tc>
          <w:tcPr>
            <w:tcW w:w="1526" w:type="dxa"/>
          </w:tcPr>
          <w:p w14:paraId="5C6D2DDD" w14:textId="77777777" w:rsidR="00A052DC" w:rsidRDefault="009F0A60">
            <w:pPr>
              <w:pStyle w:val="B"/>
              <w:rPr>
                <w:szCs w:val="20"/>
              </w:rPr>
            </w:pPr>
            <w:r>
              <w:rPr>
                <w:rFonts w:hint="eastAsia"/>
                <w:szCs w:val="20"/>
              </w:rPr>
              <w:t>债权人经营地所在国家（地区）代码</w:t>
            </w:r>
          </w:p>
        </w:tc>
        <w:tc>
          <w:tcPr>
            <w:tcW w:w="6946" w:type="dxa"/>
            <w:vAlign w:val="center"/>
          </w:tcPr>
          <w:p w14:paraId="63856D85" w14:textId="77777777" w:rsidR="00A052DC" w:rsidRDefault="009F0A60">
            <w:pPr>
              <w:pStyle w:val="B"/>
              <w:rPr>
                <w:szCs w:val="20"/>
              </w:rPr>
            </w:pPr>
            <w:r>
              <w:rPr>
                <w:rFonts w:hint="eastAsia"/>
                <w:szCs w:val="20"/>
              </w:rPr>
              <w:t>债权人经营所在地代码，见国别和地区代码表。即货币市场工具发行地的国家（地区）代码。</w:t>
            </w:r>
          </w:p>
        </w:tc>
      </w:tr>
      <w:tr w:rsidR="00A052DC" w14:paraId="07EE42AD" w14:textId="77777777">
        <w:trPr>
          <w:cantSplit/>
        </w:trPr>
        <w:tc>
          <w:tcPr>
            <w:tcW w:w="1526" w:type="dxa"/>
          </w:tcPr>
          <w:p w14:paraId="4F84A38F" w14:textId="77777777" w:rsidR="00A052DC" w:rsidRDefault="009F0A60">
            <w:pPr>
              <w:pStyle w:val="B"/>
              <w:rPr>
                <w:szCs w:val="20"/>
              </w:rPr>
            </w:pPr>
            <w:r>
              <w:rPr>
                <w:rFonts w:hint="eastAsia"/>
                <w:szCs w:val="20"/>
              </w:rPr>
              <w:t>是否不纳入跨境融资风险加权余额计算</w:t>
            </w:r>
          </w:p>
        </w:tc>
        <w:tc>
          <w:tcPr>
            <w:tcW w:w="6946" w:type="dxa"/>
          </w:tcPr>
          <w:p w14:paraId="2E838E13" w14:textId="77777777" w:rsidR="00A052DC" w:rsidRDefault="009F0A60">
            <w:pPr>
              <w:pStyle w:val="B"/>
              <w:rPr>
                <w:szCs w:val="20"/>
              </w:rPr>
            </w:pPr>
            <w:r>
              <w:rPr>
                <w:rFonts w:hint="eastAsia"/>
                <w:szCs w:val="20"/>
              </w:rPr>
              <w:t>标识该笔债务是否不纳入跨境融资风险加权余额计算，默认为“否”。</w:t>
            </w:r>
          </w:p>
        </w:tc>
      </w:tr>
      <w:tr w:rsidR="00A052DC" w14:paraId="781DB6E2" w14:textId="77777777">
        <w:trPr>
          <w:cantSplit/>
        </w:trPr>
        <w:tc>
          <w:tcPr>
            <w:tcW w:w="1526" w:type="dxa"/>
          </w:tcPr>
          <w:p w14:paraId="5A809D2B" w14:textId="77777777" w:rsidR="00A052DC" w:rsidRDefault="009F0A60">
            <w:pPr>
              <w:pStyle w:val="B"/>
              <w:rPr>
                <w:szCs w:val="20"/>
              </w:rPr>
            </w:pPr>
            <w:r>
              <w:rPr>
                <w:szCs w:val="20"/>
              </w:rPr>
              <w:t>ISIN CODE</w:t>
            </w:r>
          </w:p>
        </w:tc>
        <w:tc>
          <w:tcPr>
            <w:tcW w:w="6946" w:type="dxa"/>
          </w:tcPr>
          <w:p w14:paraId="131A6EEA" w14:textId="77777777" w:rsidR="00A052DC" w:rsidRDefault="009F0A60">
            <w:pPr>
              <w:pStyle w:val="B"/>
              <w:rPr>
                <w:szCs w:val="20"/>
              </w:rPr>
            </w:pPr>
            <w:r>
              <w:rPr>
                <w:rFonts w:hint="eastAsia"/>
                <w:szCs w:val="20"/>
              </w:rPr>
              <w:t>国际证券识别编码。</w:t>
            </w:r>
          </w:p>
        </w:tc>
      </w:tr>
      <w:tr w:rsidR="00A052DC" w14:paraId="4E5D7608" w14:textId="77777777">
        <w:trPr>
          <w:cantSplit/>
        </w:trPr>
        <w:tc>
          <w:tcPr>
            <w:tcW w:w="1526" w:type="dxa"/>
            <w:tcBorders>
              <w:top w:val="single" w:sz="6" w:space="0" w:color="auto"/>
              <w:left w:val="single" w:sz="6" w:space="0" w:color="auto"/>
              <w:bottom w:val="single" w:sz="6" w:space="0" w:color="auto"/>
              <w:right w:val="single" w:sz="6" w:space="0" w:color="auto"/>
            </w:tcBorders>
          </w:tcPr>
          <w:p w14:paraId="26FDFEEE" w14:textId="77777777" w:rsidR="00A052DC" w:rsidRDefault="009F0A60">
            <w:pPr>
              <w:pStyle w:val="B"/>
              <w:rPr>
                <w:szCs w:val="20"/>
              </w:rPr>
            </w:pPr>
            <w:r>
              <w:rPr>
                <w:rFonts w:hint="eastAsia"/>
                <w:szCs w:val="20"/>
              </w:rPr>
              <w:t>备注</w:t>
            </w:r>
          </w:p>
        </w:tc>
        <w:tc>
          <w:tcPr>
            <w:tcW w:w="6946" w:type="dxa"/>
            <w:tcBorders>
              <w:top w:val="single" w:sz="6" w:space="0" w:color="auto"/>
              <w:left w:val="single" w:sz="6" w:space="0" w:color="auto"/>
              <w:bottom w:val="single" w:sz="6" w:space="0" w:color="auto"/>
              <w:right w:val="single" w:sz="6" w:space="0" w:color="auto"/>
            </w:tcBorders>
          </w:tcPr>
          <w:p w14:paraId="7929A9A1" w14:textId="77777777" w:rsidR="00A052DC" w:rsidRDefault="009F0A60">
            <w:pPr>
              <w:pStyle w:val="B"/>
              <w:rPr>
                <w:szCs w:val="20"/>
              </w:rPr>
            </w:pPr>
            <w:r>
              <w:rPr>
                <w:rFonts w:hint="eastAsia"/>
                <w:szCs w:val="20"/>
              </w:rPr>
              <w:t>需要说明的备注事项。</w:t>
            </w:r>
          </w:p>
        </w:tc>
      </w:tr>
    </w:tbl>
    <w:p w14:paraId="7285E426" w14:textId="77777777" w:rsidR="00A052DC" w:rsidRDefault="009F0A60">
      <w:pPr>
        <w:pStyle w:val="5"/>
        <w:numPr>
          <w:ilvl w:val="4"/>
          <w:numId w:val="1"/>
        </w:numPr>
        <w:spacing w:before="120" w:after="120" w:line="360" w:lineRule="auto"/>
        <w:jc w:val="left"/>
      </w:pPr>
      <w:bookmarkStart w:id="1545" w:name="_Toc454386909"/>
      <w:bookmarkStart w:id="1546" w:name="_Toc454386910"/>
      <w:bookmarkEnd w:id="1545"/>
      <w:r>
        <w:rPr>
          <w:rFonts w:hint="eastAsia"/>
        </w:rPr>
        <w:t>数据格式</w:t>
      </w:r>
      <w:bookmarkEnd w:id="1546"/>
    </w:p>
    <w:p w14:paraId="158E7E71" w14:textId="77777777" w:rsidR="00A052DC" w:rsidRDefault="009F0A60">
      <w:r>
        <w:t>&lt;REC&gt;</w:t>
      </w:r>
    </w:p>
    <w:p w14:paraId="1695799D" w14:textId="77777777" w:rsidR="00A052DC" w:rsidRDefault="009F0A60">
      <w:r>
        <w:t>&lt;ACTIONTYPE&gt;</w:t>
      </w:r>
      <w:r>
        <w:rPr>
          <w:rFonts w:hint="eastAsia"/>
        </w:rPr>
        <w:t>操作类型</w:t>
      </w:r>
      <w:r>
        <w:t>&lt;/ACTIONTYPE&gt;</w:t>
      </w:r>
    </w:p>
    <w:p w14:paraId="7F67373A" w14:textId="77777777" w:rsidR="00A052DC" w:rsidRDefault="009F0A60">
      <w:r>
        <w:t>&lt;ACTIONDESC&gt;</w:t>
      </w:r>
      <w:r>
        <w:rPr>
          <w:rFonts w:hint="eastAsia"/>
        </w:rPr>
        <w:t>删除原因</w:t>
      </w:r>
      <w:r>
        <w:t>&lt;/ACTIONDESC&gt;</w:t>
      </w:r>
    </w:p>
    <w:p w14:paraId="35BE98F1" w14:textId="77777777" w:rsidR="00A052DC" w:rsidRDefault="009F0A60">
      <w:r>
        <w:t>&lt;EXDEBTCODE&gt;</w:t>
      </w:r>
      <w:r>
        <w:rPr>
          <w:rFonts w:hint="eastAsia"/>
        </w:rPr>
        <w:t>外债编号</w:t>
      </w:r>
      <w:r>
        <w:t>&lt;/EXDEBTCODE&gt;</w:t>
      </w:r>
    </w:p>
    <w:p w14:paraId="6BFE2C8A" w14:textId="77777777" w:rsidR="00A052DC" w:rsidRDefault="009F0A60">
      <w:r>
        <w:t>&lt;DEBTORCODE&gt;</w:t>
      </w:r>
      <w:r>
        <w:rPr>
          <w:rFonts w:hint="eastAsia"/>
        </w:rPr>
        <w:t>债务人代码</w:t>
      </w:r>
      <w:r>
        <w:t>&lt;/DEBTORCODE&gt;</w:t>
      </w:r>
    </w:p>
    <w:p w14:paraId="10FFA5EB" w14:textId="77777777" w:rsidR="00A052DC" w:rsidRDefault="009F0A60">
      <w:r>
        <w:t>&lt;DEBTYPE&gt;</w:t>
      </w:r>
      <w:r>
        <w:rPr>
          <w:rFonts w:hint="eastAsia"/>
        </w:rPr>
        <w:t>债务类型</w:t>
      </w:r>
      <w:r>
        <w:t>&lt;/DEBTYPE&gt;</w:t>
      </w:r>
    </w:p>
    <w:p w14:paraId="3A8CDE8B" w14:textId="77777777" w:rsidR="00A052DC" w:rsidRDefault="009F0A60">
      <w:r>
        <w:t>&lt;VALUEDATE&gt;</w:t>
      </w:r>
      <w:r>
        <w:rPr>
          <w:rFonts w:hint="eastAsia"/>
        </w:rPr>
        <w:t>起息日</w:t>
      </w:r>
      <w:r>
        <w:t>&lt;/VALUEDATE&gt;</w:t>
      </w:r>
    </w:p>
    <w:p w14:paraId="494260D9" w14:textId="77777777" w:rsidR="00A052DC" w:rsidRDefault="009F0A60">
      <w:r>
        <w:t>&lt;CONTRACTCURR&gt;</w:t>
      </w:r>
      <w:r>
        <w:rPr>
          <w:rFonts w:hint="eastAsia"/>
        </w:rPr>
        <w:t>签约币种</w:t>
      </w:r>
      <w:r>
        <w:t>&lt;/CONTRACTCURR&gt;</w:t>
      </w:r>
    </w:p>
    <w:p w14:paraId="128A4352" w14:textId="77777777" w:rsidR="00A052DC" w:rsidRDefault="009F0A60">
      <w:r>
        <w:t>&lt;CONTRACTAMOUNT&gt;</w:t>
      </w:r>
      <w:r>
        <w:rPr>
          <w:rFonts w:hint="eastAsia"/>
        </w:rPr>
        <w:t>签约金额</w:t>
      </w:r>
      <w:r>
        <w:t>&lt;/CONTRACTAMOUNT&gt;</w:t>
      </w:r>
    </w:p>
    <w:p w14:paraId="5D455623" w14:textId="77777777" w:rsidR="00A052DC" w:rsidRDefault="009F0A60">
      <w:r>
        <w:t>&lt;MATURITY&gt;</w:t>
      </w:r>
      <w:r>
        <w:rPr>
          <w:rFonts w:hint="eastAsia"/>
        </w:rPr>
        <w:t>到期日</w:t>
      </w:r>
      <w:r>
        <w:t>&lt;/MATURITY&gt;</w:t>
      </w:r>
    </w:p>
    <w:p w14:paraId="48066324" w14:textId="77777777" w:rsidR="00A052DC" w:rsidRDefault="009F0A60">
      <w:r>
        <w:t>&lt;FLOATRATE&gt;</w:t>
      </w:r>
      <w:r>
        <w:rPr>
          <w:rFonts w:hint="eastAsia"/>
        </w:rPr>
        <w:t>是否浮动利率</w:t>
      </w:r>
      <w:r>
        <w:t>&lt;/FLOATRATE&gt;</w:t>
      </w:r>
    </w:p>
    <w:p w14:paraId="38164188" w14:textId="77777777" w:rsidR="00A052DC" w:rsidRDefault="009F0A60">
      <w:r>
        <w:t>&lt;ANNINRATE&gt;</w:t>
      </w:r>
      <w:r>
        <w:rPr>
          <w:rFonts w:hint="eastAsia"/>
        </w:rPr>
        <w:t>年化利率值</w:t>
      </w:r>
      <w:r>
        <w:t>&lt;/ANNINRATE&gt;</w:t>
      </w:r>
    </w:p>
    <w:p w14:paraId="48DCD5FF" w14:textId="77777777" w:rsidR="00A052DC" w:rsidRDefault="009F0A60">
      <w:r>
        <w:t>&lt;CREDITORCODE&gt;</w:t>
      </w:r>
      <w:r>
        <w:rPr>
          <w:rFonts w:hint="eastAsia"/>
        </w:rPr>
        <w:t>债权人代码</w:t>
      </w:r>
      <w:r>
        <w:t>&lt;/CREDITORCODE&gt;</w:t>
      </w:r>
    </w:p>
    <w:p w14:paraId="5B0A7E70" w14:textId="77777777" w:rsidR="00A052DC" w:rsidRDefault="009F0A60">
      <w:r>
        <w:t>&lt;CREDITORNAME&gt;</w:t>
      </w:r>
      <w:r>
        <w:rPr>
          <w:rFonts w:hint="eastAsia"/>
        </w:rPr>
        <w:t>债权人中文名称</w:t>
      </w:r>
      <w:r>
        <w:t>&lt;/CREDITORNAME&gt;</w:t>
      </w:r>
    </w:p>
    <w:p w14:paraId="3CA1709F" w14:textId="77777777" w:rsidR="00A052DC" w:rsidRDefault="009F0A60">
      <w:r>
        <w:t>&lt;CREDITORNAMEN&gt;</w:t>
      </w:r>
      <w:r>
        <w:rPr>
          <w:rFonts w:hint="eastAsia"/>
        </w:rPr>
        <w:t>债权人英文名称</w:t>
      </w:r>
      <w:r>
        <w:t>&lt;/CREDITORNAMEN&gt;</w:t>
      </w:r>
    </w:p>
    <w:p w14:paraId="186A46C0" w14:textId="77777777" w:rsidR="00A052DC" w:rsidRDefault="009F0A60">
      <w:r>
        <w:t>&lt;CREDITORTYPE&gt;</w:t>
      </w:r>
      <w:r>
        <w:rPr>
          <w:rFonts w:hint="eastAsia"/>
        </w:rPr>
        <w:t>债权人类型代码</w:t>
      </w:r>
      <w:r>
        <w:t>&lt;/CREDITORTYPE&gt;</w:t>
      </w:r>
    </w:p>
    <w:p w14:paraId="4028F610" w14:textId="77777777" w:rsidR="00A052DC" w:rsidRDefault="009F0A60">
      <w:r>
        <w:t>&lt;CREHQCODE&gt;</w:t>
      </w:r>
      <w:r>
        <w:rPr>
          <w:rFonts w:hint="eastAsia"/>
        </w:rPr>
        <w:t>债权人总部所在国家（地区）代码</w:t>
      </w:r>
      <w:r>
        <w:t>&lt;/CREHQCODE&gt;</w:t>
      </w:r>
    </w:p>
    <w:p w14:paraId="7E749422" w14:textId="77777777" w:rsidR="00A052DC" w:rsidRDefault="009F0A60">
      <w:r>
        <w:t>&lt;OPERCODE&gt;</w:t>
      </w:r>
      <w:r>
        <w:rPr>
          <w:rFonts w:hint="eastAsia"/>
        </w:rPr>
        <w:t>债权人经营地所在国家（地区）代码</w:t>
      </w:r>
      <w:r>
        <w:t>&lt;/OPERCODE&gt;</w:t>
      </w:r>
    </w:p>
    <w:p w14:paraId="5963D1C3" w14:textId="77777777" w:rsidR="00A052DC" w:rsidRDefault="009F0A60">
      <w:r>
        <w:t>&lt;SPAPFEBOINDEX&gt;</w:t>
      </w:r>
      <w:r>
        <w:rPr>
          <w:rFonts w:hint="eastAsia"/>
        </w:rPr>
        <w:t>是否不纳入跨境融资风险加权余额计算</w:t>
      </w:r>
      <w:r>
        <w:t>&lt;/SPAPFEBOINDEX&gt;</w:t>
      </w:r>
    </w:p>
    <w:p w14:paraId="657317F4" w14:textId="77777777" w:rsidR="00A052DC" w:rsidRDefault="009F0A60">
      <w:r>
        <w:t>&lt;ISINCODE&gt;ISIN CODE&lt;/ISINCODE&gt;</w:t>
      </w:r>
    </w:p>
    <w:p w14:paraId="0B6ADDFC" w14:textId="77777777" w:rsidR="00A052DC" w:rsidRDefault="009F0A60">
      <w:r>
        <w:t>&lt;REMARK&gt;</w:t>
      </w:r>
      <w:r>
        <w:rPr>
          <w:rFonts w:hint="eastAsia"/>
        </w:rPr>
        <w:t>备注</w:t>
      </w:r>
      <w:r>
        <w:t>&lt;/REMARK&gt;</w:t>
      </w:r>
    </w:p>
    <w:p w14:paraId="1DD2C711" w14:textId="77777777" w:rsidR="00A052DC" w:rsidRDefault="009F0A60">
      <w:r>
        <w:t>&lt;/REC&gt;</w:t>
      </w:r>
    </w:p>
    <w:p w14:paraId="3A2BABB2" w14:textId="77777777" w:rsidR="00A052DC" w:rsidRDefault="009F0A60" w:rsidP="0020251D">
      <w:pPr>
        <w:pStyle w:val="5"/>
        <w:numPr>
          <w:ilvl w:val="4"/>
          <w:numId w:val="1"/>
        </w:numPr>
        <w:spacing w:before="120" w:after="120" w:line="360" w:lineRule="auto"/>
        <w:jc w:val="left"/>
      </w:pPr>
      <w:bookmarkStart w:id="1547" w:name="_Toc454386911"/>
      <w:r>
        <w:rPr>
          <w:rFonts w:hint="eastAsia"/>
        </w:rPr>
        <w:t>数据字典</w:t>
      </w:r>
      <w:bookmarkEnd w:id="1547"/>
    </w:p>
    <w:tbl>
      <w:tblPr>
        <w:tblW w:w="86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701"/>
        <w:gridCol w:w="1417"/>
        <w:gridCol w:w="3969"/>
      </w:tblGrid>
      <w:tr w:rsidR="00A052DC" w14:paraId="0E29375B" w14:textId="77777777">
        <w:trPr>
          <w:tblHeader/>
        </w:trPr>
        <w:tc>
          <w:tcPr>
            <w:tcW w:w="1560" w:type="dxa"/>
            <w:shd w:val="clear" w:color="auto" w:fill="C0C0C0"/>
          </w:tcPr>
          <w:p w14:paraId="3866A14F" w14:textId="77777777" w:rsidR="00A052DC" w:rsidRDefault="009F0A60">
            <w:pPr>
              <w:pStyle w:val="B1"/>
            </w:pPr>
            <w:r>
              <w:rPr>
                <w:rFonts w:hint="eastAsia"/>
              </w:rPr>
              <w:t>字段</w:t>
            </w:r>
          </w:p>
        </w:tc>
        <w:tc>
          <w:tcPr>
            <w:tcW w:w="1701" w:type="dxa"/>
            <w:shd w:val="clear" w:color="auto" w:fill="C0C0C0"/>
          </w:tcPr>
          <w:p w14:paraId="54471EC7" w14:textId="77777777" w:rsidR="00A052DC" w:rsidRDefault="009F0A60">
            <w:pPr>
              <w:pStyle w:val="B1"/>
            </w:pPr>
            <w:r>
              <w:rPr>
                <w:rFonts w:hint="eastAsia"/>
              </w:rPr>
              <w:t>内容</w:t>
            </w:r>
          </w:p>
        </w:tc>
        <w:tc>
          <w:tcPr>
            <w:tcW w:w="1417" w:type="dxa"/>
            <w:shd w:val="clear" w:color="auto" w:fill="C0C0C0"/>
          </w:tcPr>
          <w:p w14:paraId="47749248" w14:textId="77777777" w:rsidR="00A052DC" w:rsidRDefault="009F0A60">
            <w:pPr>
              <w:pStyle w:val="B1"/>
            </w:pPr>
            <w:r>
              <w:rPr>
                <w:rFonts w:hint="eastAsia"/>
              </w:rPr>
              <w:t>类型（长度）</w:t>
            </w:r>
          </w:p>
        </w:tc>
        <w:tc>
          <w:tcPr>
            <w:tcW w:w="3969" w:type="dxa"/>
            <w:shd w:val="clear" w:color="auto" w:fill="C0C0C0"/>
          </w:tcPr>
          <w:p w14:paraId="5E1CB3C3" w14:textId="77777777" w:rsidR="00A052DC" w:rsidRDefault="009F0A60">
            <w:pPr>
              <w:pStyle w:val="B1"/>
            </w:pPr>
            <w:r>
              <w:rPr>
                <w:rFonts w:hint="eastAsia"/>
              </w:rPr>
              <w:t>校验</w:t>
            </w:r>
          </w:p>
        </w:tc>
      </w:tr>
      <w:tr w:rsidR="00A052DC" w14:paraId="12697AE7" w14:textId="77777777">
        <w:tc>
          <w:tcPr>
            <w:tcW w:w="1560" w:type="dxa"/>
          </w:tcPr>
          <w:p w14:paraId="5E3D46AB" w14:textId="77777777" w:rsidR="00A052DC" w:rsidRDefault="009F0A60">
            <w:pPr>
              <w:pStyle w:val="B"/>
              <w:rPr>
                <w:szCs w:val="20"/>
              </w:rPr>
            </w:pPr>
            <w:r>
              <w:rPr>
                <w:rFonts w:hint="eastAsia"/>
                <w:szCs w:val="20"/>
              </w:rPr>
              <w:t>ACTIONTYPE</w:t>
            </w:r>
          </w:p>
        </w:tc>
        <w:tc>
          <w:tcPr>
            <w:tcW w:w="1701" w:type="dxa"/>
          </w:tcPr>
          <w:p w14:paraId="6FCCF931" w14:textId="77777777" w:rsidR="00A052DC" w:rsidRDefault="009F0A60">
            <w:pPr>
              <w:pStyle w:val="B"/>
              <w:rPr>
                <w:szCs w:val="20"/>
              </w:rPr>
            </w:pPr>
            <w:r>
              <w:rPr>
                <w:rFonts w:hint="eastAsia"/>
                <w:szCs w:val="20"/>
              </w:rPr>
              <w:t>操作类型</w:t>
            </w:r>
          </w:p>
        </w:tc>
        <w:tc>
          <w:tcPr>
            <w:tcW w:w="1417" w:type="dxa"/>
          </w:tcPr>
          <w:p w14:paraId="2580BC4C" w14:textId="77777777" w:rsidR="00A052DC" w:rsidRDefault="009F0A60">
            <w:pPr>
              <w:pStyle w:val="B"/>
              <w:rPr>
                <w:szCs w:val="20"/>
              </w:rPr>
            </w:pPr>
            <w:r>
              <w:rPr>
                <w:rFonts w:hint="eastAsia"/>
                <w:szCs w:val="20"/>
              </w:rPr>
              <w:t>字符型，1</w:t>
            </w:r>
          </w:p>
        </w:tc>
        <w:tc>
          <w:tcPr>
            <w:tcW w:w="3969" w:type="dxa"/>
          </w:tcPr>
          <w:p w14:paraId="56C46DE0" w14:textId="77777777" w:rsidR="00A052DC" w:rsidRDefault="009F0A60">
            <w:pPr>
              <w:pStyle w:val="B"/>
              <w:rPr>
                <w:szCs w:val="20"/>
              </w:rPr>
            </w:pPr>
            <w:r>
              <w:rPr>
                <w:rFonts w:hint="eastAsia"/>
                <w:szCs w:val="20"/>
              </w:rPr>
              <w:t>必填项</w:t>
            </w:r>
            <w:r w:rsidR="000E18F5">
              <w:rPr>
                <w:rFonts w:hint="eastAsia"/>
                <w:szCs w:val="20"/>
              </w:rPr>
              <w:t>。</w:t>
            </w:r>
          </w:p>
          <w:p w14:paraId="48B8020A" w14:textId="77777777" w:rsidR="00A052DC" w:rsidRDefault="009F0A60">
            <w:pPr>
              <w:pStyle w:val="B"/>
              <w:rPr>
                <w:szCs w:val="20"/>
              </w:rPr>
            </w:pPr>
            <w:r>
              <w:rPr>
                <w:rFonts w:hint="eastAsia"/>
                <w:szCs w:val="20"/>
              </w:rPr>
              <w:t>A</w:t>
            </w:r>
            <w:r w:rsidR="00AE4602">
              <w:rPr>
                <w:rFonts w:hint="eastAsia"/>
                <w:szCs w:val="20"/>
              </w:rPr>
              <w:t>-</w:t>
            </w:r>
            <w:r>
              <w:rPr>
                <w:rFonts w:hint="eastAsia"/>
                <w:szCs w:val="20"/>
              </w:rPr>
              <w:t>新建</w:t>
            </w:r>
          </w:p>
          <w:p w14:paraId="56332767" w14:textId="77777777" w:rsidR="00A052DC" w:rsidRDefault="009F0A60">
            <w:pPr>
              <w:pStyle w:val="B"/>
              <w:rPr>
                <w:szCs w:val="20"/>
              </w:rPr>
            </w:pPr>
            <w:r>
              <w:rPr>
                <w:rFonts w:hint="eastAsia"/>
                <w:szCs w:val="20"/>
              </w:rPr>
              <w:t>C</w:t>
            </w:r>
            <w:r w:rsidR="00AE4602">
              <w:rPr>
                <w:rFonts w:hint="eastAsia"/>
                <w:szCs w:val="20"/>
              </w:rPr>
              <w:t>-</w:t>
            </w:r>
            <w:r>
              <w:rPr>
                <w:rFonts w:hint="eastAsia"/>
                <w:szCs w:val="20"/>
              </w:rPr>
              <w:t>修改</w:t>
            </w:r>
          </w:p>
          <w:p w14:paraId="037B783B" w14:textId="77777777" w:rsidR="000E18F5" w:rsidRDefault="009F0A60" w:rsidP="000E18F5">
            <w:pPr>
              <w:pStyle w:val="B"/>
              <w:rPr>
                <w:szCs w:val="20"/>
              </w:rPr>
            </w:pPr>
            <w:r>
              <w:rPr>
                <w:rFonts w:hint="eastAsia"/>
                <w:szCs w:val="20"/>
              </w:rPr>
              <w:t>D</w:t>
            </w:r>
            <w:r w:rsidR="00AE4602">
              <w:rPr>
                <w:rFonts w:hint="eastAsia"/>
                <w:szCs w:val="20"/>
              </w:rPr>
              <w:t>-</w:t>
            </w:r>
            <w:r>
              <w:rPr>
                <w:rFonts w:hint="eastAsia"/>
                <w:szCs w:val="20"/>
              </w:rPr>
              <w:t>删除</w:t>
            </w:r>
          </w:p>
          <w:p w14:paraId="32C032CC" w14:textId="77777777" w:rsidR="00A052DC" w:rsidRDefault="009F0A60" w:rsidP="000E18F5">
            <w:pPr>
              <w:pStyle w:val="B"/>
              <w:rPr>
                <w:szCs w:val="20"/>
              </w:rPr>
            </w:pPr>
            <w:r>
              <w:rPr>
                <w:rFonts w:hint="eastAsia"/>
                <w:szCs w:val="20"/>
              </w:rPr>
              <w:t>一旦银行报送了该外债编号下的变动信息，就不可以删除了。</w:t>
            </w:r>
          </w:p>
        </w:tc>
      </w:tr>
      <w:tr w:rsidR="00A052DC" w14:paraId="792FE1BE" w14:textId="77777777">
        <w:tc>
          <w:tcPr>
            <w:tcW w:w="1560" w:type="dxa"/>
          </w:tcPr>
          <w:p w14:paraId="739CABA2" w14:textId="77777777" w:rsidR="00A052DC" w:rsidRDefault="009F0A60">
            <w:pPr>
              <w:pStyle w:val="B"/>
              <w:rPr>
                <w:szCs w:val="20"/>
              </w:rPr>
            </w:pPr>
            <w:r>
              <w:rPr>
                <w:rFonts w:hint="eastAsia"/>
                <w:szCs w:val="20"/>
              </w:rPr>
              <w:t>ACTIONDESC</w:t>
            </w:r>
          </w:p>
        </w:tc>
        <w:tc>
          <w:tcPr>
            <w:tcW w:w="1701" w:type="dxa"/>
          </w:tcPr>
          <w:p w14:paraId="5C715D23" w14:textId="77777777" w:rsidR="00A052DC" w:rsidRDefault="009F0A60">
            <w:pPr>
              <w:pStyle w:val="B"/>
              <w:rPr>
                <w:szCs w:val="20"/>
              </w:rPr>
            </w:pPr>
            <w:r>
              <w:rPr>
                <w:rFonts w:hint="eastAsia"/>
                <w:szCs w:val="20"/>
              </w:rPr>
              <w:t>删除原因</w:t>
            </w:r>
          </w:p>
        </w:tc>
        <w:tc>
          <w:tcPr>
            <w:tcW w:w="1417" w:type="dxa"/>
          </w:tcPr>
          <w:p w14:paraId="040EE827" w14:textId="77777777" w:rsidR="00A052DC" w:rsidRDefault="009F0A60">
            <w:pPr>
              <w:pStyle w:val="B1"/>
              <w:jc w:val="both"/>
              <w:rPr>
                <w:b w:val="0"/>
              </w:rPr>
            </w:pPr>
            <w:r>
              <w:rPr>
                <w:rFonts w:hint="eastAsia"/>
                <w:b w:val="0"/>
              </w:rPr>
              <w:t>字符型，128</w:t>
            </w:r>
          </w:p>
        </w:tc>
        <w:tc>
          <w:tcPr>
            <w:tcW w:w="3969" w:type="dxa"/>
          </w:tcPr>
          <w:p w14:paraId="4AECCAE0" w14:textId="77777777" w:rsidR="00A052DC" w:rsidRDefault="00DD6AA3">
            <w:pPr>
              <w:pStyle w:val="B"/>
              <w:rPr>
                <w:szCs w:val="20"/>
              </w:rPr>
            </w:pPr>
            <w:r>
              <w:rPr>
                <w:rFonts w:hint="eastAsia"/>
                <w:szCs w:val="20"/>
              </w:rPr>
              <w:t>非必填项，当操作类型（ACTIONTYPE）为删除时必填。</w:t>
            </w:r>
          </w:p>
        </w:tc>
      </w:tr>
      <w:tr w:rsidR="00A052DC" w14:paraId="192CB108" w14:textId="77777777">
        <w:tc>
          <w:tcPr>
            <w:tcW w:w="1560" w:type="dxa"/>
          </w:tcPr>
          <w:p w14:paraId="3CF42538" w14:textId="77777777" w:rsidR="00A052DC" w:rsidRDefault="009F0A60">
            <w:pPr>
              <w:pStyle w:val="B"/>
              <w:rPr>
                <w:szCs w:val="20"/>
              </w:rPr>
            </w:pPr>
            <w:r>
              <w:rPr>
                <w:rFonts w:hint="eastAsia"/>
                <w:szCs w:val="20"/>
              </w:rPr>
              <w:t>EXDEBTCODE</w:t>
            </w:r>
          </w:p>
        </w:tc>
        <w:tc>
          <w:tcPr>
            <w:tcW w:w="1701" w:type="dxa"/>
          </w:tcPr>
          <w:p w14:paraId="7D449E19" w14:textId="77777777" w:rsidR="00A052DC" w:rsidRDefault="009F0A60">
            <w:pPr>
              <w:pStyle w:val="B"/>
              <w:rPr>
                <w:szCs w:val="20"/>
              </w:rPr>
            </w:pPr>
            <w:r>
              <w:rPr>
                <w:rFonts w:hint="eastAsia"/>
                <w:szCs w:val="20"/>
              </w:rPr>
              <w:t>外债编号</w:t>
            </w:r>
          </w:p>
        </w:tc>
        <w:tc>
          <w:tcPr>
            <w:tcW w:w="1417" w:type="dxa"/>
          </w:tcPr>
          <w:p w14:paraId="4C720D3B" w14:textId="77777777" w:rsidR="00A052DC" w:rsidRDefault="009F0A60">
            <w:pPr>
              <w:pStyle w:val="B"/>
              <w:rPr>
                <w:szCs w:val="20"/>
              </w:rPr>
            </w:pPr>
            <w:r>
              <w:rPr>
                <w:rFonts w:hint="eastAsia"/>
                <w:szCs w:val="20"/>
              </w:rPr>
              <w:t>字符型，28</w:t>
            </w:r>
          </w:p>
        </w:tc>
        <w:tc>
          <w:tcPr>
            <w:tcW w:w="3969" w:type="dxa"/>
          </w:tcPr>
          <w:p w14:paraId="4E727CDB" w14:textId="77777777" w:rsidR="00A052DC" w:rsidRDefault="009F0A60" w:rsidP="000E18F5">
            <w:pPr>
              <w:pStyle w:val="B"/>
              <w:rPr>
                <w:szCs w:val="20"/>
              </w:rPr>
            </w:pPr>
            <w:r>
              <w:rPr>
                <w:rFonts w:hint="eastAsia"/>
                <w:szCs w:val="20"/>
              </w:rPr>
              <w:t>必填项，外债唯一性编码。</w:t>
            </w:r>
          </w:p>
        </w:tc>
      </w:tr>
      <w:tr w:rsidR="00A052DC" w14:paraId="05D06F64" w14:textId="77777777">
        <w:tc>
          <w:tcPr>
            <w:tcW w:w="1560" w:type="dxa"/>
          </w:tcPr>
          <w:p w14:paraId="629040B8" w14:textId="77777777" w:rsidR="00A052DC" w:rsidRDefault="009F0A60">
            <w:pPr>
              <w:pStyle w:val="B"/>
              <w:rPr>
                <w:szCs w:val="20"/>
              </w:rPr>
            </w:pPr>
            <w:r>
              <w:rPr>
                <w:rFonts w:hint="eastAsia"/>
                <w:szCs w:val="20"/>
              </w:rPr>
              <w:t>DEBTORCODE</w:t>
            </w:r>
          </w:p>
        </w:tc>
        <w:tc>
          <w:tcPr>
            <w:tcW w:w="1701" w:type="dxa"/>
          </w:tcPr>
          <w:p w14:paraId="530FB141" w14:textId="77777777" w:rsidR="00A052DC" w:rsidRDefault="009F0A60">
            <w:pPr>
              <w:pStyle w:val="B"/>
              <w:rPr>
                <w:szCs w:val="20"/>
              </w:rPr>
            </w:pPr>
            <w:r>
              <w:rPr>
                <w:rFonts w:hint="eastAsia"/>
                <w:szCs w:val="20"/>
              </w:rPr>
              <w:t>债务人代码</w:t>
            </w:r>
          </w:p>
        </w:tc>
        <w:tc>
          <w:tcPr>
            <w:tcW w:w="1417" w:type="dxa"/>
          </w:tcPr>
          <w:p w14:paraId="1C0FDF5C" w14:textId="77777777" w:rsidR="00A052DC" w:rsidRDefault="009F0A60">
            <w:pPr>
              <w:pStyle w:val="B"/>
              <w:rPr>
                <w:szCs w:val="20"/>
              </w:rPr>
            </w:pPr>
            <w:r>
              <w:rPr>
                <w:rFonts w:hint="eastAsia"/>
                <w:szCs w:val="20"/>
              </w:rPr>
              <w:t>字符型，12</w:t>
            </w:r>
          </w:p>
        </w:tc>
        <w:tc>
          <w:tcPr>
            <w:tcW w:w="3969" w:type="dxa"/>
          </w:tcPr>
          <w:p w14:paraId="27F8909C" w14:textId="77777777" w:rsidR="00A052DC" w:rsidRDefault="009F0A60" w:rsidP="000E18F5">
            <w:pPr>
              <w:pStyle w:val="B"/>
              <w:rPr>
                <w:szCs w:val="20"/>
              </w:rPr>
            </w:pPr>
            <w:r>
              <w:rPr>
                <w:rFonts w:hint="eastAsia"/>
                <w:szCs w:val="20"/>
              </w:rPr>
              <w:t>必填项，金融机构标识码。</w:t>
            </w:r>
          </w:p>
        </w:tc>
      </w:tr>
      <w:tr w:rsidR="00A052DC" w14:paraId="6C93C826" w14:textId="77777777">
        <w:tc>
          <w:tcPr>
            <w:tcW w:w="1560" w:type="dxa"/>
          </w:tcPr>
          <w:p w14:paraId="284E0414" w14:textId="77777777" w:rsidR="00A052DC" w:rsidRDefault="009F0A60">
            <w:pPr>
              <w:pStyle w:val="B"/>
              <w:rPr>
                <w:szCs w:val="20"/>
              </w:rPr>
            </w:pPr>
            <w:r>
              <w:rPr>
                <w:rFonts w:hint="eastAsia"/>
                <w:szCs w:val="20"/>
              </w:rPr>
              <w:t>DEBTYPE</w:t>
            </w:r>
          </w:p>
        </w:tc>
        <w:tc>
          <w:tcPr>
            <w:tcW w:w="1701" w:type="dxa"/>
          </w:tcPr>
          <w:p w14:paraId="53FF484F" w14:textId="77777777" w:rsidR="00A052DC" w:rsidRDefault="009F0A60">
            <w:pPr>
              <w:pStyle w:val="B"/>
              <w:rPr>
                <w:szCs w:val="20"/>
              </w:rPr>
            </w:pPr>
            <w:r>
              <w:rPr>
                <w:rFonts w:hint="eastAsia"/>
                <w:szCs w:val="20"/>
              </w:rPr>
              <w:t>债务类型</w:t>
            </w:r>
          </w:p>
        </w:tc>
        <w:tc>
          <w:tcPr>
            <w:tcW w:w="1417" w:type="dxa"/>
          </w:tcPr>
          <w:p w14:paraId="0385DEC3" w14:textId="77777777" w:rsidR="00A052DC" w:rsidRDefault="009F0A60">
            <w:pPr>
              <w:pStyle w:val="B"/>
              <w:rPr>
                <w:szCs w:val="20"/>
              </w:rPr>
            </w:pPr>
            <w:r>
              <w:rPr>
                <w:rFonts w:hint="eastAsia"/>
                <w:szCs w:val="20"/>
              </w:rPr>
              <w:t>字符型，4</w:t>
            </w:r>
          </w:p>
        </w:tc>
        <w:tc>
          <w:tcPr>
            <w:tcW w:w="3969" w:type="dxa"/>
          </w:tcPr>
          <w:p w14:paraId="41BF8D12" w14:textId="77777777" w:rsidR="00A052DC" w:rsidRDefault="009F0A60" w:rsidP="000E18F5">
            <w:pPr>
              <w:pStyle w:val="B"/>
              <w:rPr>
                <w:szCs w:val="20"/>
              </w:rPr>
            </w:pPr>
            <w:r>
              <w:rPr>
                <w:rFonts w:hint="eastAsia"/>
                <w:szCs w:val="20"/>
              </w:rPr>
              <w:t>必填项，见债务类型代码表。</w:t>
            </w:r>
          </w:p>
        </w:tc>
      </w:tr>
      <w:tr w:rsidR="00A052DC" w14:paraId="18655171" w14:textId="77777777">
        <w:tc>
          <w:tcPr>
            <w:tcW w:w="1560" w:type="dxa"/>
            <w:tcBorders>
              <w:top w:val="single" w:sz="4" w:space="0" w:color="auto"/>
              <w:left w:val="single" w:sz="4" w:space="0" w:color="auto"/>
              <w:bottom w:val="single" w:sz="4" w:space="0" w:color="auto"/>
              <w:right w:val="single" w:sz="4" w:space="0" w:color="auto"/>
            </w:tcBorders>
          </w:tcPr>
          <w:p w14:paraId="7C72471F" w14:textId="77777777" w:rsidR="00A052DC" w:rsidRDefault="009F0A60">
            <w:pPr>
              <w:pStyle w:val="B"/>
              <w:rPr>
                <w:szCs w:val="20"/>
              </w:rPr>
            </w:pPr>
            <w:r>
              <w:rPr>
                <w:rFonts w:hint="eastAsia"/>
                <w:szCs w:val="20"/>
              </w:rPr>
              <w:t>VALUEDATE</w:t>
            </w:r>
          </w:p>
        </w:tc>
        <w:tc>
          <w:tcPr>
            <w:tcW w:w="1701" w:type="dxa"/>
            <w:tcBorders>
              <w:top w:val="single" w:sz="4" w:space="0" w:color="auto"/>
              <w:left w:val="single" w:sz="4" w:space="0" w:color="auto"/>
              <w:bottom w:val="single" w:sz="4" w:space="0" w:color="auto"/>
              <w:right w:val="single" w:sz="4" w:space="0" w:color="auto"/>
            </w:tcBorders>
          </w:tcPr>
          <w:p w14:paraId="471F7110" w14:textId="77777777" w:rsidR="00A052DC" w:rsidRDefault="009F0A60">
            <w:pPr>
              <w:pStyle w:val="B"/>
              <w:rPr>
                <w:szCs w:val="20"/>
              </w:rPr>
            </w:pPr>
            <w:r>
              <w:rPr>
                <w:rFonts w:hint="eastAsia"/>
                <w:szCs w:val="20"/>
              </w:rPr>
              <w:t>起息日</w:t>
            </w:r>
          </w:p>
        </w:tc>
        <w:tc>
          <w:tcPr>
            <w:tcW w:w="1417" w:type="dxa"/>
            <w:tcBorders>
              <w:top w:val="single" w:sz="4" w:space="0" w:color="auto"/>
              <w:left w:val="single" w:sz="4" w:space="0" w:color="auto"/>
              <w:bottom w:val="single" w:sz="4" w:space="0" w:color="auto"/>
              <w:right w:val="single" w:sz="4" w:space="0" w:color="auto"/>
            </w:tcBorders>
          </w:tcPr>
          <w:p w14:paraId="1C4155F2" w14:textId="77777777" w:rsidR="00A052DC" w:rsidRDefault="009F0A60">
            <w:pPr>
              <w:pStyle w:val="B"/>
              <w:rPr>
                <w:szCs w:val="20"/>
              </w:rPr>
            </w:pPr>
            <w:r>
              <w:rPr>
                <w:rFonts w:hint="eastAsia"/>
                <w:szCs w:val="20"/>
              </w:rPr>
              <w:t>日期型，8</w:t>
            </w:r>
          </w:p>
        </w:tc>
        <w:tc>
          <w:tcPr>
            <w:tcW w:w="3969" w:type="dxa"/>
            <w:tcBorders>
              <w:top w:val="single" w:sz="4" w:space="0" w:color="auto"/>
              <w:left w:val="single" w:sz="4" w:space="0" w:color="auto"/>
              <w:bottom w:val="single" w:sz="4" w:space="0" w:color="auto"/>
              <w:right w:val="single" w:sz="4" w:space="0" w:color="auto"/>
            </w:tcBorders>
          </w:tcPr>
          <w:p w14:paraId="118AE44E" w14:textId="77777777" w:rsidR="00A052DC" w:rsidRDefault="009F0A60" w:rsidP="000E18F5">
            <w:pPr>
              <w:pStyle w:val="B"/>
              <w:rPr>
                <w:szCs w:val="20"/>
              </w:rPr>
            </w:pPr>
            <w:r>
              <w:rPr>
                <w:rFonts w:hint="eastAsia"/>
                <w:szCs w:val="20"/>
              </w:rPr>
              <w:t>必填项，格式YYYYMMDD。</w:t>
            </w:r>
          </w:p>
        </w:tc>
      </w:tr>
      <w:tr w:rsidR="00A052DC" w14:paraId="437D3ADE" w14:textId="77777777">
        <w:trPr>
          <w:cantSplit/>
          <w:trHeight w:val="64"/>
        </w:trPr>
        <w:tc>
          <w:tcPr>
            <w:tcW w:w="1560" w:type="dxa"/>
          </w:tcPr>
          <w:p w14:paraId="01F20C02" w14:textId="77777777" w:rsidR="00A052DC" w:rsidRDefault="009F0A60">
            <w:pPr>
              <w:pStyle w:val="B"/>
              <w:rPr>
                <w:szCs w:val="20"/>
              </w:rPr>
            </w:pPr>
            <w:r>
              <w:rPr>
                <w:rFonts w:hint="eastAsia"/>
                <w:szCs w:val="20"/>
              </w:rPr>
              <w:t>CONTRACTCURR</w:t>
            </w:r>
          </w:p>
        </w:tc>
        <w:tc>
          <w:tcPr>
            <w:tcW w:w="1701" w:type="dxa"/>
          </w:tcPr>
          <w:p w14:paraId="3DC365CB" w14:textId="77777777" w:rsidR="00A052DC" w:rsidRDefault="009F0A60">
            <w:pPr>
              <w:pStyle w:val="B"/>
              <w:rPr>
                <w:szCs w:val="20"/>
              </w:rPr>
            </w:pPr>
            <w:r>
              <w:rPr>
                <w:rFonts w:hint="eastAsia"/>
                <w:szCs w:val="20"/>
              </w:rPr>
              <w:t>签约币种</w:t>
            </w:r>
          </w:p>
        </w:tc>
        <w:tc>
          <w:tcPr>
            <w:tcW w:w="1417" w:type="dxa"/>
          </w:tcPr>
          <w:p w14:paraId="0C24F804" w14:textId="77777777" w:rsidR="00A052DC" w:rsidRDefault="009F0A60">
            <w:pPr>
              <w:pStyle w:val="B"/>
              <w:rPr>
                <w:szCs w:val="20"/>
              </w:rPr>
            </w:pPr>
            <w:r>
              <w:rPr>
                <w:rFonts w:hint="eastAsia"/>
                <w:szCs w:val="20"/>
              </w:rPr>
              <w:t>字符型，3</w:t>
            </w:r>
          </w:p>
        </w:tc>
        <w:tc>
          <w:tcPr>
            <w:tcW w:w="3969" w:type="dxa"/>
          </w:tcPr>
          <w:p w14:paraId="014B5EB7" w14:textId="77777777" w:rsidR="00A052DC" w:rsidRDefault="009F0A60" w:rsidP="000E18F5">
            <w:pPr>
              <w:pStyle w:val="B"/>
              <w:rPr>
                <w:szCs w:val="20"/>
              </w:rPr>
            </w:pPr>
            <w:r>
              <w:rPr>
                <w:rFonts w:hint="eastAsia"/>
                <w:szCs w:val="20"/>
              </w:rPr>
              <w:t>必填项，见币种代码表。</w:t>
            </w:r>
          </w:p>
        </w:tc>
      </w:tr>
      <w:tr w:rsidR="00A052DC" w14:paraId="36B8E5B1" w14:textId="77777777">
        <w:tc>
          <w:tcPr>
            <w:tcW w:w="1560" w:type="dxa"/>
          </w:tcPr>
          <w:p w14:paraId="36482CD1" w14:textId="77777777" w:rsidR="00A052DC" w:rsidRDefault="009F0A60">
            <w:pPr>
              <w:pStyle w:val="B"/>
              <w:rPr>
                <w:szCs w:val="20"/>
              </w:rPr>
            </w:pPr>
            <w:r>
              <w:rPr>
                <w:rFonts w:hint="eastAsia"/>
                <w:szCs w:val="20"/>
              </w:rPr>
              <w:t>CONTRACTAMOUNT</w:t>
            </w:r>
          </w:p>
        </w:tc>
        <w:tc>
          <w:tcPr>
            <w:tcW w:w="1701" w:type="dxa"/>
          </w:tcPr>
          <w:p w14:paraId="09EC2EE3" w14:textId="77777777" w:rsidR="00A052DC" w:rsidRDefault="009F0A60">
            <w:pPr>
              <w:pStyle w:val="B"/>
              <w:rPr>
                <w:szCs w:val="20"/>
              </w:rPr>
            </w:pPr>
            <w:r>
              <w:rPr>
                <w:rFonts w:hint="eastAsia"/>
                <w:szCs w:val="20"/>
              </w:rPr>
              <w:t>签约金额</w:t>
            </w:r>
          </w:p>
        </w:tc>
        <w:tc>
          <w:tcPr>
            <w:tcW w:w="1417" w:type="dxa"/>
          </w:tcPr>
          <w:p w14:paraId="44CF6F97" w14:textId="77777777" w:rsidR="00A052DC" w:rsidRDefault="009F0A60">
            <w:pPr>
              <w:pStyle w:val="B"/>
              <w:rPr>
                <w:szCs w:val="20"/>
              </w:rPr>
            </w:pPr>
            <w:r>
              <w:rPr>
                <w:rFonts w:hint="eastAsia"/>
                <w:szCs w:val="20"/>
              </w:rPr>
              <w:t>数值型，22.2</w:t>
            </w:r>
          </w:p>
        </w:tc>
        <w:tc>
          <w:tcPr>
            <w:tcW w:w="3969" w:type="dxa"/>
          </w:tcPr>
          <w:p w14:paraId="64F8C560" w14:textId="77777777" w:rsidR="00A052DC" w:rsidRDefault="009F0A60">
            <w:pPr>
              <w:pStyle w:val="B"/>
              <w:rPr>
                <w:szCs w:val="20"/>
              </w:rPr>
            </w:pPr>
            <w:r>
              <w:rPr>
                <w:rFonts w:hint="eastAsia"/>
                <w:szCs w:val="20"/>
              </w:rPr>
              <w:t>必填项，大于等于0。</w:t>
            </w:r>
          </w:p>
        </w:tc>
      </w:tr>
      <w:tr w:rsidR="00A052DC" w14:paraId="7500D75F" w14:textId="77777777">
        <w:tc>
          <w:tcPr>
            <w:tcW w:w="1560" w:type="dxa"/>
          </w:tcPr>
          <w:p w14:paraId="6E508DC4" w14:textId="77777777" w:rsidR="00A052DC" w:rsidRDefault="009F0A60">
            <w:pPr>
              <w:pStyle w:val="B"/>
              <w:rPr>
                <w:szCs w:val="20"/>
              </w:rPr>
            </w:pPr>
            <w:r>
              <w:rPr>
                <w:rFonts w:hint="eastAsia"/>
                <w:szCs w:val="20"/>
              </w:rPr>
              <w:t>Maturity</w:t>
            </w:r>
          </w:p>
        </w:tc>
        <w:tc>
          <w:tcPr>
            <w:tcW w:w="1701" w:type="dxa"/>
          </w:tcPr>
          <w:p w14:paraId="235B8992" w14:textId="77777777" w:rsidR="00A052DC" w:rsidRDefault="009F0A60">
            <w:pPr>
              <w:pStyle w:val="B"/>
              <w:rPr>
                <w:szCs w:val="20"/>
              </w:rPr>
            </w:pPr>
            <w:r>
              <w:rPr>
                <w:rFonts w:hint="eastAsia"/>
                <w:szCs w:val="20"/>
              </w:rPr>
              <w:t>到期日</w:t>
            </w:r>
          </w:p>
        </w:tc>
        <w:tc>
          <w:tcPr>
            <w:tcW w:w="1417" w:type="dxa"/>
          </w:tcPr>
          <w:p w14:paraId="09B97923" w14:textId="77777777" w:rsidR="00A052DC" w:rsidRDefault="009F0A60">
            <w:pPr>
              <w:pStyle w:val="B"/>
              <w:rPr>
                <w:szCs w:val="20"/>
              </w:rPr>
            </w:pPr>
            <w:r>
              <w:rPr>
                <w:rFonts w:hint="eastAsia"/>
                <w:szCs w:val="20"/>
              </w:rPr>
              <w:t>日期型，8</w:t>
            </w:r>
          </w:p>
        </w:tc>
        <w:tc>
          <w:tcPr>
            <w:tcW w:w="3969" w:type="dxa"/>
          </w:tcPr>
          <w:p w14:paraId="2B68F80D" w14:textId="77777777" w:rsidR="00A052DC" w:rsidRDefault="009F0A60" w:rsidP="000E18F5">
            <w:pPr>
              <w:pStyle w:val="B"/>
              <w:rPr>
                <w:szCs w:val="20"/>
              </w:rPr>
            </w:pPr>
            <w:r>
              <w:rPr>
                <w:rFonts w:hint="eastAsia"/>
                <w:szCs w:val="20"/>
              </w:rPr>
              <w:t>必填项，格式YYYYMMDD，大于等于起息日。</w:t>
            </w:r>
          </w:p>
        </w:tc>
      </w:tr>
      <w:tr w:rsidR="00A052DC" w14:paraId="0133EF31" w14:textId="77777777">
        <w:tc>
          <w:tcPr>
            <w:tcW w:w="1560" w:type="dxa"/>
          </w:tcPr>
          <w:p w14:paraId="3C5350BF" w14:textId="77777777" w:rsidR="00A052DC" w:rsidRDefault="009F0A60">
            <w:pPr>
              <w:pStyle w:val="B"/>
              <w:rPr>
                <w:szCs w:val="20"/>
              </w:rPr>
            </w:pPr>
            <w:r>
              <w:rPr>
                <w:rFonts w:hint="eastAsia"/>
                <w:szCs w:val="20"/>
              </w:rPr>
              <w:t>FLOATRATE</w:t>
            </w:r>
          </w:p>
        </w:tc>
        <w:tc>
          <w:tcPr>
            <w:tcW w:w="1701" w:type="dxa"/>
          </w:tcPr>
          <w:p w14:paraId="634D8554" w14:textId="77777777" w:rsidR="00A052DC" w:rsidRDefault="009F0A60">
            <w:pPr>
              <w:pStyle w:val="B"/>
              <w:rPr>
                <w:szCs w:val="20"/>
              </w:rPr>
            </w:pPr>
            <w:r>
              <w:rPr>
                <w:rFonts w:hint="eastAsia"/>
                <w:szCs w:val="20"/>
              </w:rPr>
              <w:t>是否浮动利率</w:t>
            </w:r>
          </w:p>
        </w:tc>
        <w:tc>
          <w:tcPr>
            <w:tcW w:w="1417" w:type="dxa"/>
          </w:tcPr>
          <w:p w14:paraId="3000CE78" w14:textId="77777777" w:rsidR="00A052DC" w:rsidRDefault="009F0A60">
            <w:pPr>
              <w:pStyle w:val="B"/>
              <w:rPr>
                <w:szCs w:val="20"/>
              </w:rPr>
            </w:pPr>
            <w:r>
              <w:rPr>
                <w:rFonts w:hint="eastAsia"/>
                <w:szCs w:val="20"/>
              </w:rPr>
              <w:t>字符型，1</w:t>
            </w:r>
          </w:p>
        </w:tc>
        <w:tc>
          <w:tcPr>
            <w:tcW w:w="3969" w:type="dxa"/>
          </w:tcPr>
          <w:p w14:paraId="29FD9B1A" w14:textId="77777777" w:rsidR="00A052DC" w:rsidRDefault="009F0A60">
            <w:pPr>
              <w:pStyle w:val="B"/>
              <w:rPr>
                <w:szCs w:val="20"/>
              </w:rPr>
            </w:pPr>
            <w:r>
              <w:rPr>
                <w:rFonts w:hint="eastAsia"/>
                <w:szCs w:val="20"/>
              </w:rPr>
              <w:t>必填项，是-Y，否-N，默认为否，填写N。</w:t>
            </w:r>
          </w:p>
        </w:tc>
      </w:tr>
      <w:tr w:rsidR="00A052DC" w14:paraId="7DF79DAF" w14:textId="77777777">
        <w:tc>
          <w:tcPr>
            <w:tcW w:w="1560" w:type="dxa"/>
          </w:tcPr>
          <w:p w14:paraId="406BEDDD" w14:textId="77777777" w:rsidR="00A052DC" w:rsidRDefault="009F0A60">
            <w:pPr>
              <w:pStyle w:val="B"/>
              <w:rPr>
                <w:szCs w:val="20"/>
              </w:rPr>
            </w:pPr>
            <w:r>
              <w:rPr>
                <w:rFonts w:hint="eastAsia"/>
                <w:szCs w:val="20"/>
              </w:rPr>
              <w:t>ANNINRATE</w:t>
            </w:r>
          </w:p>
        </w:tc>
        <w:tc>
          <w:tcPr>
            <w:tcW w:w="1701" w:type="dxa"/>
          </w:tcPr>
          <w:p w14:paraId="07910092" w14:textId="77777777" w:rsidR="00A052DC" w:rsidRDefault="009F0A60">
            <w:pPr>
              <w:pStyle w:val="B"/>
              <w:rPr>
                <w:szCs w:val="20"/>
              </w:rPr>
            </w:pPr>
            <w:r>
              <w:rPr>
                <w:rFonts w:hint="eastAsia"/>
                <w:szCs w:val="20"/>
              </w:rPr>
              <w:t>年化利率值</w:t>
            </w:r>
          </w:p>
        </w:tc>
        <w:tc>
          <w:tcPr>
            <w:tcW w:w="1417" w:type="dxa"/>
          </w:tcPr>
          <w:p w14:paraId="60CF9257" w14:textId="77777777" w:rsidR="00A052DC" w:rsidRDefault="009F0A60">
            <w:pPr>
              <w:pStyle w:val="B"/>
              <w:rPr>
                <w:szCs w:val="20"/>
              </w:rPr>
            </w:pPr>
            <w:r>
              <w:rPr>
                <w:rFonts w:hint="eastAsia"/>
                <w:szCs w:val="20"/>
              </w:rPr>
              <w:t>数值型，13.8</w:t>
            </w:r>
          </w:p>
        </w:tc>
        <w:tc>
          <w:tcPr>
            <w:tcW w:w="3969" w:type="dxa"/>
          </w:tcPr>
          <w:p w14:paraId="162E0161" w14:textId="77777777" w:rsidR="00A052DC" w:rsidRDefault="009F0A60" w:rsidP="000E18F5">
            <w:pPr>
              <w:pStyle w:val="B"/>
              <w:rPr>
                <w:szCs w:val="20"/>
              </w:rPr>
            </w:pPr>
            <w:r>
              <w:rPr>
                <w:rFonts w:hint="eastAsia"/>
                <w:szCs w:val="20"/>
              </w:rPr>
              <w:t>必填项，大于等于0，按小数填写</w:t>
            </w:r>
            <w:r w:rsidR="000E18F5">
              <w:rPr>
                <w:rFonts w:hint="eastAsia"/>
                <w:szCs w:val="20"/>
              </w:rPr>
              <w:t>。</w:t>
            </w:r>
            <w:r>
              <w:rPr>
                <w:rFonts w:hint="eastAsia"/>
                <w:szCs w:val="20"/>
              </w:rPr>
              <w:t>如利率为3.21%，则填写0.0321。</w:t>
            </w:r>
          </w:p>
        </w:tc>
      </w:tr>
      <w:tr w:rsidR="00A052DC" w14:paraId="4251D1AB" w14:textId="77777777">
        <w:tc>
          <w:tcPr>
            <w:tcW w:w="1560" w:type="dxa"/>
          </w:tcPr>
          <w:p w14:paraId="1F692C4D" w14:textId="77777777" w:rsidR="00A052DC" w:rsidRDefault="009F0A60">
            <w:pPr>
              <w:pStyle w:val="B"/>
              <w:rPr>
                <w:szCs w:val="20"/>
              </w:rPr>
            </w:pPr>
            <w:r>
              <w:rPr>
                <w:rFonts w:hint="eastAsia"/>
                <w:szCs w:val="20"/>
              </w:rPr>
              <w:t>CREDITORCODE</w:t>
            </w:r>
          </w:p>
        </w:tc>
        <w:tc>
          <w:tcPr>
            <w:tcW w:w="1701" w:type="dxa"/>
          </w:tcPr>
          <w:p w14:paraId="20D544D7" w14:textId="77777777" w:rsidR="00A052DC" w:rsidRDefault="009F0A60">
            <w:pPr>
              <w:pStyle w:val="B"/>
              <w:rPr>
                <w:szCs w:val="20"/>
              </w:rPr>
            </w:pPr>
            <w:r>
              <w:rPr>
                <w:rFonts w:hint="eastAsia"/>
                <w:szCs w:val="20"/>
              </w:rPr>
              <w:t>债权人代码</w:t>
            </w:r>
          </w:p>
        </w:tc>
        <w:tc>
          <w:tcPr>
            <w:tcW w:w="1417" w:type="dxa"/>
          </w:tcPr>
          <w:p w14:paraId="30BEAECB" w14:textId="77777777" w:rsidR="00A052DC" w:rsidRDefault="009F0A60">
            <w:pPr>
              <w:pStyle w:val="B"/>
              <w:rPr>
                <w:szCs w:val="20"/>
              </w:rPr>
            </w:pPr>
            <w:r>
              <w:rPr>
                <w:rFonts w:hint="eastAsia"/>
                <w:szCs w:val="20"/>
              </w:rPr>
              <w:t>字符型，11</w:t>
            </w:r>
          </w:p>
        </w:tc>
        <w:tc>
          <w:tcPr>
            <w:tcW w:w="3969" w:type="dxa"/>
          </w:tcPr>
          <w:p w14:paraId="1E446E8D" w14:textId="77777777" w:rsidR="00A052DC" w:rsidRDefault="009F0A60">
            <w:pPr>
              <w:pStyle w:val="B"/>
              <w:rPr>
                <w:szCs w:val="20"/>
              </w:rPr>
            </w:pPr>
            <w:r>
              <w:rPr>
                <w:rFonts w:hint="eastAsia"/>
                <w:szCs w:val="20"/>
              </w:rPr>
              <w:t>必填项。</w:t>
            </w:r>
          </w:p>
        </w:tc>
      </w:tr>
      <w:tr w:rsidR="00A052DC" w14:paraId="440A1217" w14:textId="77777777">
        <w:tc>
          <w:tcPr>
            <w:tcW w:w="1560" w:type="dxa"/>
          </w:tcPr>
          <w:p w14:paraId="57E55AAC" w14:textId="77777777" w:rsidR="00A052DC" w:rsidRDefault="009F0A60">
            <w:pPr>
              <w:pStyle w:val="B"/>
              <w:rPr>
                <w:szCs w:val="20"/>
              </w:rPr>
            </w:pPr>
            <w:r>
              <w:rPr>
                <w:rFonts w:hint="eastAsia"/>
                <w:szCs w:val="20"/>
              </w:rPr>
              <w:t>CREDITORNAME</w:t>
            </w:r>
          </w:p>
        </w:tc>
        <w:tc>
          <w:tcPr>
            <w:tcW w:w="1701" w:type="dxa"/>
          </w:tcPr>
          <w:p w14:paraId="14D45240" w14:textId="77777777" w:rsidR="00A052DC" w:rsidRDefault="009F0A60">
            <w:pPr>
              <w:pStyle w:val="B"/>
              <w:rPr>
                <w:szCs w:val="20"/>
              </w:rPr>
            </w:pPr>
            <w:r>
              <w:rPr>
                <w:rFonts w:hint="eastAsia"/>
                <w:szCs w:val="20"/>
              </w:rPr>
              <w:t>债权人中文名称</w:t>
            </w:r>
          </w:p>
        </w:tc>
        <w:tc>
          <w:tcPr>
            <w:tcW w:w="1417" w:type="dxa"/>
          </w:tcPr>
          <w:p w14:paraId="30642BF4" w14:textId="77777777" w:rsidR="00A052DC" w:rsidRDefault="009F0A60">
            <w:pPr>
              <w:pStyle w:val="B"/>
              <w:rPr>
                <w:szCs w:val="20"/>
              </w:rPr>
            </w:pPr>
            <w:r>
              <w:rPr>
                <w:rFonts w:hint="eastAsia"/>
                <w:szCs w:val="20"/>
              </w:rPr>
              <w:t>字符型，128</w:t>
            </w:r>
          </w:p>
        </w:tc>
        <w:tc>
          <w:tcPr>
            <w:tcW w:w="3969" w:type="dxa"/>
          </w:tcPr>
          <w:p w14:paraId="0DF70D28" w14:textId="77777777" w:rsidR="00A052DC" w:rsidRDefault="009F0A60">
            <w:pPr>
              <w:pStyle w:val="B"/>
              <w:rPr>
                <w:szCs w:val="20"/>
              </w:rPr>
            </w:pPr>
            <w:r>
              <w:rPr>
                <w:rFonts w:hint="eastAsia"/>
                <w:szCs w:val="20"/>
              </w:rPr>
              <w:t>非必填项，</w:t>
            </w:r>
          </w:p>
          <w:p w14:paraId="59C05F04" w14:textId="77777777" w:rsidR="00A052DC" w:rsidRDefault="009F0A60">
            <w:pPr>
              <w:pStyle w:val="B"/>
              <w:rPr>
                <w:szCs w:val="20"/>
              </w:rPr>
            </w:pPr>
            <w:r>
              <w:rPr>
                <w:rFonts w:hint="eastAsia"/>
                <w:szCs w:val="20"/>
              </w:rPr>
              <w:t>债权人中文名称和债权人英文名称至少填写一个。</w:t>
            </w:r>
          </w:p>
        </w:tc>
      </w:tr>
      <w:tr w:rsidR="00A052DC" w14:paraId="00F27EE1" w14:textId="77777777">
        <w:tc>
          <w:tcPr>
            <w:tcW w:w="1560" w:type="dxa"/>
          </w:tcPr>
          <w:p w14:paraId="5164DCF0" w14:textId="77777777" w:rsidR="00A052DC" w:rsidRDefault="009F0A60">
            <w:pPr>
              <w:pStyle w:val="B"/>
              <w:rPr>
                <w:szCs w:val="20"/>
              </w:rPr>
            </w:pPr>
            <w:r>
              <w:rPr>
                <w:rFonts w:hint="eastAsia"/>
                <w:szCs w:val="20"/>
              </w:rPr>
              <w:t>CREDITORNAMEN</w:t>
            </w:r>
          </w:p>
        </w:tc>
        <w:tc>
          <w:tcPr>
            <w:tcW w:w="1701" w:type="dxa"/>
          </w:tcPr>
          <w:p w14:paraId="257CC233" w14:textId="77777777" w:rsidR="00A052DC" w:rsidRDefault="009F0A60">
            <w:pPr>
              <w:pStyle w:val="B"/>
              <w:rPr>
                <w:szCs w:val="20"/>
              </w:rPr>
            </w:pPr>
            <w:r>
              <w:rPr>
                <w:rFonts w:hint="eastAsia"/>
                <w:szCs w:val="20"/>
              </w:rPr>
              <w:t>债权人英文名称</w:t>
            </w:r>
          </w:p>
        </w:tc>
        <w:tc>
          <w:tcPr>
            <w:tcW w:w="1417" w:type="dxa"/>
          </w:tcPr>
          <w:p w14:paraId="3E32DE4B" w14:textId="77777777" w:rsidR="00A052DC" w:rsidRDefault="009F0A60">
            <w:pPr>
              <w:pStyle w:val="B"/>
              <w:rPr>
                <w:szCs w:val="20"/>
              </w:rPr>
            </w:pPr>
            <w:r>
              <w:rPr>
                <w:rFonts w:hint="eastAsia"/>
                <w:szCs w:val="20"/>
              </w:rPr>
              <w:t>字符型，128</w:t>
            </w:r>
          </w:p>
        </w:tc>
        <w:tc>
          <w:tcPr>
            <w:tcW w:w="3969" w:type="dxa"/>
          </w:tcPr>
          <w:p w14:paraId="4086ACD3" w14:textId="77777777" w:rsidR="00A052DC" w:rsidRDefault="009F0A60">
            <w:pPr>
              <w:pStyle w:val="B"/>
              <w:rPr>
                <w:szCs w:val="20"/>
              </w:rPr>
            </w:pPr>
            <w:r>
              <w:rPr>
                <w:rFonts w:hint="eastAsia"/>
                <w:szCs w:val="20"/>
              </w:rPr>
              <w:t>非必填项，</w:t>
            </w:r>
          </w:p>
          <w:p w14:paraId="09A102BB" w14:textId="77777777" w:rsidR="00A052DC" w:rsidRDefault="009F0A60">
            <w:pPr>
              <w:pStyle w:val="B"/>
              <w:rPr>
                <w:szCs w:val="20"/>
              </w:rPr>
            </w:pPr>
            <w:r>
              <w:rPr>
                <w:rFonts w:hint="eastAsia"/>
                <w:szCs w:val="20"/>
              </w:rPr>
              <w:t>债权人中文名称和债权人英文名称至少填写一个。</w:t>
            </w:r>
          </w:p>
        </w:tc>
      </w:tr>
      <w:tr w:rsidR="00A052DC" w14:paraId="00699910" w14:textId="77777777">
        <w:tc>
          <w:tcPr>
            <w:tcW w:w="1560" w:type="dxa"/>
          </w:tcPr>
          <w:p w14:paraId="71FA2107" w14:textId="77777777" w:rsidR="00A052DC" w:rsidRDefault="009F0A60">
            <w:pPr>
              <w:pStyle w:val="B"/>
              <w:rPr>
                <w:szCs w:val="20"/>
              </w:rPr>
            </w:pPr>
            <w:r>
              <w:rPr>
                <w:rFonts w:hint="eastAsia"/>
                <w:szCs w:val="20"/>
              </w:rPr>
              <w:t>CREDITORTYPE</w:t>
            </w:r>
          </w:p>
        </w:tc>
        <w:tc>
          <w:tcPr>
            <w:tcW w:w="1701" w:type="dxa"/>
          </w:tcPr>
          <w:p w14:paraId="23D1F897" w14:textId="77777777" w:rsidR="00A052DC" w:rsidRDefault="009F0A60">
            <w:pPr>
              <w:pStyle w:val="B"/>
              <w:rPr>
                <w:szCs w:val="20"/>
              </w:rPr>
            </w:pPr>
            <w:r>
              <w:rPr>
                <w:rFonts w:hint="eastAsia"/>
                <w:szCs w:val="20"/>
              </w:rPr>
              <w:t>债权人类型代码</w:t>
            </w:r>
          </w:p>
        </w:tc>
        <w:tc>
          <w:tcPr>
            <w:tcW w:w="1417" w:type="dxa"/>
          </w:tcPr>
          <w:p w14:paraId="493A7F37" w14:textId="77777777" w:rsidR="00A052DC" w:rsidRDefault="009F0A60">
            <w:pPr>
              <w:pStyle w:val="B"/>
              <w:rPr>
                <w:szCs w:val="20"/>
              </w:rPr>
            </w:pPr>
            <w:r>
              <w:rPr>
                <w:rFonts w:hint="eastAsia"/>
                <w:szCs w:val="20"/>
              </w:rPr>
              <w:t>字符型，8</w:t>
            </w:r>
          </w:p>
        </w:tc>
        <w:tc>
          <w:tcPr>
            <w:tcW w:w="3969" w:type="dxa"/>
          </w:tcPr>
          <w:p w14:paraId="642F29F5" w14:textId="77777777" w:rsidR="00A052DC" w:rsidRDefault="009F0A60">
            <w:pPr>
              <w:pStyle w:val="B"/>
              <w:rPr>
                <w:szCs w:val="20"/>
              </w:rPr>
            </w:pPr>
            <w:r>
              <w:rPr>
                <w:rFonts w:hint="eastAsia"/>
                <w:szCs w:val="20"/>
              </w:rPr>
              <w:t>必填项，应为资本市场所对应的债权人类型代码。</w:t>
            </w:r>
          </w:p>
        </w:tc>
      </w:tr>
      <w:tr w:rsidR="00A052DC" w14:paraId="312D58E6" w14:textId="77777777">
        <w:tc>
          <w:tcPr>
            <w:tcW w:w="1560" w:type="dxa"/>
          </w:tcPr>
          <w:p w14:paraId="6E21B45B" w14:textId="77777777" w:rsidR="00A052DC" w:rsidRDefault="009F0A60">
            <w:pPr>
              <w:pStyle w:val="B"/>
              <w:rPr>
                <w:szCs w:val="20"/>
              </w:rPr>
            </w:pPr>
            <w:r>
              <w:rPr>
                <w:rFonts w:hint="eastAsia"/>
                <w:szCs w:val="20"/>
              </w:rPr>
              <w:t>CREHQCODE</w:t>
            </w:r>
          </w:p>
        </w:tc>
        <w:tc>
          <w:tcPr>
            <w:tcW w:w="1701" w:type="dxa"/>
          </w:tcPr>
          <w:p w14:paraId="1E10F415" w14:textId="77777777" w:rsidR="00A052DC" w:rsidRDefault="009F0A60">
            <w:pPr>
              <w:pStyle w:val="B"/>
              <w:rPr>
                <w:szCs w:val="20"/>
              </w:rPr>
            </w:pPr>
            <w:r>
              <w:rPr>
                <w:rFonts w:hint="eastAsia"/>
                <w:szCs w:val="20"/>
              </w:rPr>
              <w:t>债权人总部所在国家（地区）代码</w:t>
            </w:r>
          </w:p>
        </w:tc>
        <w:tc>
          <w:tcPr>
            <w:tcW w:w="1417" w:type="dxa"/>
          </w:tcPr>
          <w:p w14:paraId="0B709695" w14:textId="77777777" w:rsidR="00A052DC" w:rsidRDefault="009F0A60">
            <w:pPr>
              <w:pStyle w:val="B"/>
              <w:rPr>
                <w:szCs w:val="20"/>
              </w:rPr>
            </w:pPr>
            <w:r>
              <w:rPr>
                <w:rFonts w:hint="eastAsia"/>
                <w:szCs w:val="20"/>
              </w:rPr>
              <w:t>字符型，3</w:t>
            </w:r>
          </w:p>
        </w:tc>
        <w:tc>
          <w:tcPr>
            <w:tcW w:w="3969" w:type="dxa"/>
          </w:tcPr>
          <w:p w14:paraId="794D9A82" w14:textId="77777777" w:rsidR="00A052DC" w:rsidRDefault="009F0A60">
            <w:pPr>
              <w:pStyle w:val="B"/>
              <w:rPr>
                <w:szCs w:val="20"/>
              </w:rPr>
            </w:pPr>
            <w:r>
              <w:rPr>
                <w:rFonts w:hint="eastAsia"/>
                <w:szCs w:val="20"/>
              </w:rPr>
              <w:t>必填项，见国家和地区代码表。</w:t>
            </w:r>
          </w:p>
        </w:tc>
      </w:tr>
      <w:tr w:rsidR="00A052DC" w14:paraId="18B846D9" w14:textId="77777777">
        <w:tc>
          <w:tcPr>
            <w:tcW w:w="1560" w:type="dxa"/>
          </w:tcPr>
          <w:p w14:paraId="33B84A25" w14:textId="77777777" w:rsidR="00A052DC" w:rsidRDefault="009F0A60">
            <w:pPr>
              <w:pStyle w:val="B"/>
              <w:rPr>
                <w:szCs w:val="20"/>
              </w:rPr>
            </w:pPr>
            <w:r>
              <w:rPr>
                <w:rFonts w:hint="eastAsia"/>
                <w:szCs w:val="20"/>
              </w:rPr>
              <w:t>OPERCODE</w:t>
            </w:r>
          </w:p>
        </w:tc>
        <w:tc>
          <w:tcPr>
            <w:tcW w:w="1701" w:type="dxa"/>
          </w:tcPr>
          <w:p w14:paraId="40013812" w14:textId="77777777" w:rsidR="00A052DC" w:rsidRDefault="009F0A60">
            <w:pPr>
              <w:pStyle w:val="B"/>
              <w:rPr>
                <w:szCs w:val="20"/>
              </w:rPr>
            </w:pPr>
            <w:r>
              <w:rPr>
                <w:rFonts w:hint="eastAsia"/>
                <w:szCs w:val="20"/>
              </w:rPr>
              <w:t>债权人经营地所在国家（地区）代码</w:t>
            </w:r>
          </w:p>
        </w:tc>
        <w:tc>
          <w:tcPr>
            <w:tcW w:w="1417" w:type="dxa"/>
          </w:tcPr>
          <w:p w14:paraId="09D0E116" w14:textId="77777777" w:rsidR="00A052DC" w:rsidRDefault="009F0A60">
            <w:pPr>
              <w:pStyle w:val="B"/>
              <w:rPr>
                <w:szCs w:val="20"/>
              </w:rPr>
            </w:pPr>
            <w:r>
              <w:rPr>
                <w:rFonts w:hint="eastAsia"/>
                <w:szCs w:val="20"/>
              </w:rPr>
              <w:t>字符型，3</w:t>
            </w:r>
          </w:p>
        </w:tc>
        <w:tc>
          <w:tcPr>
            <w:tcW w:w="3969" w:type="dxa"/>
          </w:tcPr>
          <w:p w14:paraId="2D57B49A" w14:textId="77777777" w:rsidR="00A052DC" w:rsidRDefault="009F0A60">
            <w:pPr>
              <w:pStyle w:val="B"/>
              <w:rPr>
                <w:szCs w:val="20"/>
              </w:rPr>
            </w:pPr>
            <w:r>
              <w:rPr>
                <w:rFonts w:hint="eastAsia"/>
                <w:szCs w:val="20"/>
              </w:rPr>
              <w:t>必填项，见国家和地区代码表。当债权人类型代码不为“境内银行离岸部（20001403）”时,不能为中国CHN。</w:t>
            </w:r>
          </w:p>
        </w:tc>
      </w:tr>
      <w:tr w:rsidR="00A052DC" w14:paraId="5FA189A3" w14:textId="77777777">
        <w:tc>
          <w:tcPr>
            <w:tcW w:w="1560" w:type="dxa"/>
          </w:tcPr>
          <w:p w14:paraId="7082B092" w14:textId="77777777" w:rsidR="00A052DC" w:rsidRDefault="009F0A60">
            <w:pPr>
              <w:pStyle w:val="B"/>
              <w:rPr>
                <w:szCs w:val="20"/>
              </w:rPr>
            </w:pPr>
            <w:r>
              <w:rPr>
                <w:rFonts w:hint="eastAsia"/>
                <w:szCs w:val="20"/>
              </w:rPr>
              <w:t>SPAPFEBOINDEX</w:t>
            </w:r>
          </w:p>
        </w:tc>
        <w:tc>
          <w:tcPr>
            <w:tcW w:w="1701" w:type="dxa"/>
          </w:tcPr>
          <w:p w14:paraId="60BCC4A7" w14:textId="77777777" w:rsidR="00A052DC" w:rsidRDefault="009F0A60">
            <w:pPr>
              <w:pStyle w:val="B"/>
              <w:rPr>
                <w:szCs w:val="20"/>
              </w:rPr>
            </w:pPr>
            <w:r>
              <w:rPr>
                <w:rFonts w:hint="eastAsia"/>
                <w:szCs w:val="20"/>
              </w:rPr>
              <w:t>是否不纳入跨境融资风险加权余额计算</w:t>
            </w:r>
          </w:p>
        </w:tc>
        <w:tc>
          <w:tcPr>
            <w:tcW w:w="1417" w:type="dxa"/>
          </w:tcPr>
          <w:p w14:paraId="44D11EFF" w14:textId="77777777" w:rsidR="00A052DC" w:rsidRDefault="009F0A60">
            <w:pPr>
              <w:pStyle w:val="B"/>
              <w:rPr>
                <w:szCs w:val="20"/>
              </w:rPr>
            </w:pPr>
            <w:r>
              <w:rPr>
                <w:rFonts w:hint="eastAsia"/>
                <w:szCs w:val="20"/>
              </w:rPr>
              <w:t>字符型，1</w:t>
            </w:r>
          </w:p>
        </w:tc>
        <w:tc>
          <w:tcPr>
            <w:tcW w:w="3969" w:type="dxa"/>
          </w:tcPr>
          <w:p w14:paraId="259EFECB" w14:textId="77777777" w:rsidR="00A052DC" w:rsidRDefault="009F0A60">
            <w:pPr>
              <w:pStyle w:val="B"/>
              <w:rPr>
                <w:szCs w:val="20"/>
              </w:rPr>
            </w:pPr>
            <w:r>
              <w:rPr>
                <w:rFonts w:hint="eastAsia"/>
                <w:szCs w:val="20"/>
              </w:rPr>
              <w:t>必填项，是-Y，否-N，默认为否，填写N。</w:t>
            </w:r>
          </w:p>
        </w:tc>
      </w:tr>
      <w:tr w:rsidR="00A052DC" w14:paraId="23FD8B4E" w14:textId="77777777">
        <w:tc>
          <w:tcPr>
            <w:tcW w:w="1560" w:type="dxa"/>
          </w:tcPr>
          <w:p w14:paraId="532A0E87" w14:textId="77777777" w:rsidR="00A052DC" w:rsidRDefault="009F0A60">
            <w:pPr>
              <w:pStyle w:val="B"/>
              <w:rPr>
                <w:szCs w:val="20"/>
              </w:rPr>
            </w:pPr>
            <w:r>
              <w:rPr>
                <w:rFonts w:hint="eastAsia"/>
                <w:szCs w:val="20"/>
              </w:rPr>
              <w:t>ISINCODE</w:t>
            </w:r>
          </w:p>
        </w:tc>
        <w:tc>
          <w:tcPr>
            <w:tcW w:w="1701" w:type="dxa"/>
          </w:tcPr>
          <w:p w14:paraId="0F7C227E" w14:textId="77777777" w:rsidR="00A052DC" w:rsidRDefault="009F0A60">
            <w:pPr>
              <w:pStyle w:val="B"/>
              <w:rPr>
                <w:szCs w:val="20"/>
              </w:rPr>
            </w:pPr>
            <w:r>
              <w:rPr>
                <w:rFonts w:hint="eastAsia"/>
                <w:szCs w:val="20"/>
              </w:rPr>
              <w:t>ISIN CODE</w:t>
            </w:r>
          </w:p>
        </w:tc>
        <w:tc>
          <w:tcPr>
            <w:tcW w:w="1417" w:type="dxa"/>
          </w:tcPr>
          <w:p w14:paraId="28440042" w14:textId="77777777" w:rsidR="00A052DC" w:rsidRDefault="009F0A60">
            <w:pPr>
              <w:pStyle w:val="B"/>
              <w:rPr>
                <w:szCs w:val="20"/>
              </w:rPr>
            </w:pPr>
            <w:r>
              <w:rPr>
                <w:rFonts w:hint="eastAsia"/>
                <w:szCs w:val="20"/>
              </w:rPr>
              <w:t>字符型，12</w:t>
            </w:r>
          </w:p>
        </w:tc>
        <w:tc>
          <w:tcPr>
            <w:tcW w:w="3969" w:type="dxa"/>
          </w:tcPr>
          <w:p w14:paraId="53CABE90" w14:textId="77777777" w:rsidR="00A052DC" w:rsidRDefault="009F0A60" w:rsidP="000E18F5">
            <w:pPr>
              <w:pStyle w:val="B"/>
              <w:rPr>
                <w:szCs w:val="20"/>
              </w:rPr>
            </w:pPr>
            <w:r>
              <w:rPr>
                <w:rFonts w:hint="eastAsia"/>
                <w:szCs w:val="20"/>
              </w:rPr>
              <w:t>必填项</w:t>
            </w:r>
            <w:r w:rsidR="000E18F5">
              <w:rPr>
                <w:rFonts w:hint="eastAsia"/>
                <w:szCs w:val="20"/>
              </w:rPr>
              <w:t>。</w:t>
            </w:r>
            <w:r>
              <w:rPr>
                <w:rFonts w:hint="eastAsia"/>
                <w:szCs w:val="20"/>
              </w:rPr>
              <w:t>ISIN CODE</w:t>
            </w:r>
            <w:r w:rsidR="000E18F5">
              <w:rPr>
                <w:rFonts w:hint="eastAsia"/>
                <w:szCs w:val="20"/>
              </w:rPr>
              <w:t>（国际证券识别编码）</w:t>
            </w:r>
            <w:r>
              <w:rPr>
                <w:rFonts w:hint="eastAsia"/>
                <w:szCs w:val="20"/>
              </w:rPr>
              <w:t>的编码规则为：共12位。第1-2位为字母，用于标识国别；第3-11位为数字和字母，为国内证券识别编码；第12位为数字，为校对码。</w:t>
            </w:r>
          </w:p>
        </w:tc>
      </w:tr>
      <w:tr w:rsidR="00A052DC" w14:paraId="0D3DE334" w14:textId="77777777">
        <w:tc>
          <w:tcPr>
            <w:tcW w:w="1560" w:type="dxa"/>
          </w:tcPr>
          <w:p w14:paraId="50D605E1" w14:textId="77777777" w:rsidR="00A052DC" w:rsidRDefault="009F0A60">
            <w:pPr>
              <w:pStyle w:val="B"/>
              <w:rPr>
                <w:szCs w:val="20"/>
              </w:rPr>
            </w:pPr>
            <w:r>
              <w:rPr>
                <w:rFonts w:hint="eastAsia"/>
                <w:szCs w:val="20"/>
              </w:rPr>
              <w:t>REMARK</w:t>
            </w:r>
          </w:p>
        </w:tc>
        <w:tc>
          <w:tcPr>
            <w:tcW w:w="1701" w:type="dxa"/>
          </w:tcPr>
          <w:p w14:paraId="3DAC5AB6" w14:textId="77777777" w:rsidR="00A052DC" w:rsidRDefault="009F0A60">
            <w:pPr>
              <w:pStyle w:val="B"/>
              <w:rPr>
                <w:szCs w:val="20"/>
              </w:rPr>
            </w:pPr>
            <w:r>
              <w:rPr>
                <w:rFonts w:hint="eastAsia"/>
                <w:szCs w:val="20"/>
              </w:rPr>
              <w:t>备注</w:t>
            </w:r>
          </w:p>
        </w:tc>
        <w:tc>
          <w:tcPr>
            <w:tcW w:w="1417" w:type="dxa"/>
          </w:tcPr>
          <w:p w14:paraId="1820C705" w14:textId="77777777" w:rsidR="00A052DC" w:rsidRDefault="009F0A60">
            <w:pPr>
              <w:pStyle w:val="B"/>
              <w:rPr>
                <w:szCs w:val="20"/>
              </w:rPr>
            </w:pPr>
            <w:r>
              <w:rPr>
                <w:rFonts w:hint="eastAsia"/>
                <w:szCs w:val="20"/>
              </w:rPr>
              <w:t>字符型，256</w:t>
            </w:r>
          </w:p>
        </w:tc>
        <w:tc>
          <w:tcPr>
            <w:tcW w:w="3969" w:type="dxa"/>
          </w:tcPr>
          <w:p w14:paraId="3C7FC88F" w14:textId="77777777" w:rsidR="00A052DC" w:rsidRDefault="009F0A60">
            <w:pPr>
              <w:pStyle w:val="B"/>
              <w:rPr>
                <w:szCs w:val="20"/>
              </w:rPr>
            </w:pPr>
            <w:r>
              <w:rPr>
                <w:rFonts w:hint="eastAsia"/>
                <w:szCs w:val="20"/>
              </w:rPr>
              <w:t>非必填项。</w:t>
            </w:r>
          </w:p>
        </w:tc>
      </w:tr>
    </w:tbl>
    <w:p w14:paraId="1A41FFC9" w14:textId="77777777" w:rsidR="00A052DC" w:rsidRDefault="009F0A60">
      <w:pPr>
        <w:pStyle w:val="4"/>
        <w:numPr>
          <w:ilvl w:val="3"/>
          <w:numId w:val="1"/>
        </w:numPr>
        <w:jc w:val="left"/>
      </w:pPr>
      <w:bookmarkStart w:id="1548" w:name="_Toc454386912"/>
      <w:r>
        <w:rPr>
          <w:rFonts w:hint="eastAsia"/>
        </w:rPr>
        <w:t>债券和票据</w:t>
      </w:r>
      <w:bookmarkEnd w:id="1548"/>
    </w:p>
    <w:p w14:paraId="70FE76D7" w14:textId="77777777" w:rsidR="00A052DC" w:rsidRDefault="009F0A60" w:rsidP="0020251D">
      <w:pPr>
        <w:pStyle w:val="5"/>
        <w:numPr>
          <w:ilvl w:val="4"/>
          <w:numId w:val="1"/>
        </w:numPr>
        <w:spacing w:before="120" w:after="120" w:line="360" w:lineRule="auto"/>
        <w:jc w:val="left"/>
      </w:pPr>
      <w:bookmarkStart w:id="1549" w:name="_Toc454386913"/>
      <w:r>
        <w:rPr>
          <w:rFonts w:hint="eastAsia"/>
        </w:rPr>
        <w:t>数据术语解释</w:t>
      </w:r>
      <w:bookmarkEnd w:id="1549"/>
    </w:p>
    <w:tbl>
      <w:tblPr>
        <w:tblW w:w="84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26"/>
        <w:gridCol w:w="6946"/>
      </w:tblGrid>
      <w:tr w:rsidR="00A052DC" w14:paraId="5DFB62CE" w14:textId="77777777">
        <w:tc>
          <w:tcPr>
            <w:tcW w:w="1526" w:type="dxa"/>
          </w:tcPr>
          <w:p w14:paraId="6D22187A" w14:textId="77777777" w:rsidR="00A052DC" w:rsidRDefault="009F0A60">
            <w:pPr>
              <w:pStyle w:val="B1"/>
              <w:rPr>
                <w:u w:val="single"/>
              </w:rPr>
            </w:pPr>
            <w:r>
              <w:rPr>
                <w:rFonts w:hint="eastAsia"/>
              </w:rPr>
              <w:t>基础数据项</w:t>
            </w:r>
          </w:p>
        </w:tc>
        <w:tc>
          <w:tcPr>
            <w:tcW w:w="6946" w:type="dxa"/>
          </w:tcPr>
          <w:p w14:paraId="5012029F" w14:textId="77777777" w:rsidR="00A052DC" w:rsidRDefault="009F0A60">
            <w:pPr>
              <w:pStyle w:val="B1"/>
            </w:pPr>
            <w:r>
              <w:rPr>
                <w:rFonts w:hint="eastAsia"/>
              </w:rPr>
              <w:t>定义</w:t>
            </w:r>
          </w:p>
        </w:tc>
      </w:tr>
      <w:tr w:rsidR="00A052DC" w14:paraId="5DE084A1" w14:textId="77777777">
        <w:trPr>
          <w:cantSplit/>
          <w:trHeight w:val="157"/>
        </w:trPr>
        <w:tc>
          <w:tcPr>
            <w:tcW w:w="1526" w:type="dxa"/>
          </w:tcPr>
          <w:p w14:paraId="100A58E6" w14:textId="77777777" w:rsidR="00A052DC" w:rsidRDefault="009F0A60">
            <w:pPr>
              <w:pStyle w:val="B"/>
            </w:pPr>
            <w:r>
              <w:rPr>
                <w:rFonts w:hint="eastAsia"/>
              </w:rPr>
              <w:t>外债编号</w:t>
            </w:r>
          </w:p>
        </w:tc>
        <w:tc>
          <w:tcPr>
            <w:tcW w:w="6946" w:type="dxa"/>
          </w:tcPr>
          <w:p w14:paraId="78011DC8" w14:textId="77777777" w:rsidR="00A052DC" w:rsidRDefault="009F0A60">
            <w:pPr>
              <w:pStyle w:val="B"/>
            </w:pPr>
            <w:r>
              <w:rPr>
                <w:rFonts w:hint="eastAsia"/>
              </w:rPr>
              <w:t>外汇局制定统一编号规则，银行自行对每一笔外债编号，用于唯一标识该笔外债。银行外债编号共计</w:t>
            </w:r>
            <w:r>
              <w:t>28</w:t>
            </w:r>
            <w:r>
              <w:rPr>
                <w:rFonts w:hint="eastAsia"/>
              </w:rPr>
              <w:t>位。第</w:t>
            </w:r>
            <w:r>
              <w:t>1</w:t>
            </w:r>
            <w:r>
              <w:rPr>
                <w:rFonts w:hint="eastAsia"/>
              </w:rPr>
              <w:t>至</w:t>
            </w:r>
            <w:r>
              <w:t>2</w:t>
            </w:r>
            <w:r>
              <w:rPr>
                <w:rFonts w:hint="eastAsia"/>
              </w:rPr>
              <w:t>位为业务类型标识，第</w:t>
            </w:r>
            <w:r>
              <w:t>3</w:t>
            </w:r>
            <w:r>
              <w:rPr>
                <w:rFonts w:hint="eastAsia"/>
              </w:rPr>
              <w:t>位至</w:t>
            </w:r>
            <w:r>
              <w:t>14</w:t>
            </w:r>
            <w:r>
              <w:rPr>
                <w:rFonts w:hint="eastAsia"/>
              </w:rPr>
              <w:t>位为银行金融机构标识码</w:t>
            </w:r>
            <w:r>
              <w:t>;</w:t>
            </w:r>
            <w:r>
              <w:rPr>
                <w:rFonts w:hint="eastAsia"/>
              </w:rPr>
              <w:t>第</w:t>
            </w:r>
            <w:r>
              <w:t>15</w:t>
            </w:r>
            <w:r>
              <w:rPr>
                <w:rFonts w:hint="eastAsia"/>
              </w:rPr>
              <w:t>至</w:t>
            </w:r>
            <w:r>
              <w:t>22</w:t>
            </w:r>
            <w:r>
              <w:rPr>
                <w:rFonts w:hint="eastAsia"/>
              </w:rPr>
              <w:t>位为</w:t>
            </w:r>
            <w:r>
              <w:t>8</w:t>
            </w:r>
            <w:r>
              <w:rPr>
                <w:rFonts w:hint="eastAsia"/>
              </w:rPr>
              <w:t>位年月日数字（</w:t>
            </w:r>
            <w:r>
              <w:t>20110701</w:t>
            </w:r>
            <w:r>
              <w:rPr>
                <w:rFonts w:hint="eastAsia"/>
              </w:rPr>
              <w:t>）</w:t>
            </w:r>
            <w:r>
              <w:t>;</w:t>
            </w:r>
            <w:r>
              <w:rPr>
                <w:rFonts w:hint="eastAsia"/>
              </w:rPr>
              <w:t>第</w:t>
            </w:r>
            <w:r>
              <w:t>23</w:t>
            </w:r>
            <w:r>
              <w:rPr>
                <w:rFonts w:hint="eastAsia"/>
              </w:rPr>
              <w:t>至</w:t>
            </w:r>
            <w:r>
              <w:t>28</w:t>
            </w:r>
            <w:r>
              <w:rPr>
                <w:rFonts w:hint="eastAsia"/>
              </w:rPr>
              <w:t>位为该笔业务的流水号（流水码编制规则：从</w:t>
            </w:r>
            <w:r>
              <w:t>000001</w:t>
            </w:r>
            <w:r>
              <w:rPr>
                <w:rFonts w:hint="eastAsia"/>
              </w:rPr>
              <w:t>～</w:t>
            </w:r>
            <w:r>
              <w:t>999999</w:t>
            </w:r>
            <w:r>
              <w:rPr>
                <w:rFonts w:hint="eastAsia"/>
              </w:rPr>
              <w:t>）。银行新发生一笔外债业务时，需为该笔外债编制外债编号，同一笔外债发生变更或展期时，不作为一笔新业务进行登记，发生展期时，变更到期日。</w:t>
            </w:r>
          </w:p>
        </w:tc>
      </w:tr>
      <w:tr w:rsidR="00A052DC" w14:paraId="635F3C66" w14:textId="77777777">
        <w:trPr>
          <w:cantSplit/>
        </w:trPr>
        <w:tc>
          <w:tcPr>
            <w:tcW w:w="1526" w:type="dxa"/>
          </w:tcPr>
          <w:p w14:paraId="094D01D0" w14:textId="77777777" w:rsidR="00A052DC" w:rsidRDefault="009F0A60">
            <w:pPr>
              <w:pStyle w:val="B"/>
            </w:pPr>
            <w:r>
              <w:rPr>
                <w:rFonts w:hint="eastAsia"/>
              </w:rPr>
              <w:t>债务人代码</w:t>
            </w:r>
          </w:p>
        </w:tc>
        <w:tc>
          <w:tcPr>
            <w:tcW w:w="6946" w:type="dxa"/>
          </w:tcPr>
          <w:p w14:paraId="6A4B3C8F" w14:textId="77777777" w:rsidR="00A052DC" w:rsidRDefault="009F0A60">
            <w:pPr>
              <w:pStyle w:val="B"/>
            </w:pPr>
            <w:r>
              <w:rPr>
                <w:rFonts w:hint="eastAsia"/>
                <w:szCs w:val="20"/>
              </w:rPr>
              <w:t>国家外汇管理局及其分支局</w:t>
            </w:r>
            <w:r>
              <w:rPr>
                <w:rFonts w:hint="eastAsia"/>
              </w:rPr>
              <w:t>签发给境内债务银行的</w:t>
            </w:r>
            <w:r>
              <w:t>12</w:t>
            </w:r>
            <w:r>
              <w:rPr>
                <w:rFonts w:hint="eastAsia"/>
              </w:rPr>
              <w:t>位金融机构标识码编码。</w:t>
            </w:r>
          </w:p>
        </w:tc>
      </w:tr>
      <w:tr w:rsidR="00A052DC" w14:paraId="518E3C72" w14:textId="77777777">
        <w:trPr>
          <w:cantSplit/>
        </w:trPr>
        <w:tc>
          <w:tcPr>
            <w:tcW w:w="1526" w:type="dxa"/>
          </w:tcPr>
          <w:p w14:paraId="579CF7F5" w14:textId="77777777" w:rsidR="00A052DC" w:rsidRDefault="009F0A60">
            <w:pPr>
              <w:pStyle w:val="B"/>
            </w:pPr>
            <w:r>
              <w:rPr>
                <w:rFonts w:hint="eastAsia"/>
              </w:rPr>
              <w:t>债务类型</w:t>
            </w:r>
          </w:p>
        </w:tc>
        <w:tc>
          <w:tcPr>
            <w:tcW w:w="6946" w:type="dxa"/>
          </w:tcPr>
          <w:p w14:paraId="3BE16937" w14:textId="77777777" w:rsidR="00A052DC" w:rsidRDefault="009F0A60">
            <w:pPr>
              <w:pStyle w:val="B"/>
            </w:pPr>
            <w:r>
              <w:rPr>
                <w:rFonts w:hint="eastAsia"/>
              </w:rPr>
              <w:t>外债的债务类型代码，见外债的债务类型表。</w:t>
            </w:r>
          </w:p>
        </w:tc>
      </w:tr>
      <w:tr w:rsidR="00A052DC" w14:paraId="7610EAAF" w14:textId="77777777">
        <w:trPr>
          <w:cantSplit/>
        </w:trPr>
        <w:tc>
          <w:tcPr>
            <w:tcW w:w="1526" w:type="dxa"/>
          </w:tcPr>
          <w:p w14:paraId="58B1B69B" w14:textId="77777777" w:rsidR="00A052DC" w:rsidRDefault="009F0A60">
            <w:pPr>
              <w:pStyle w:val="B"/>
            </w:pPr>
            <w:r>
              <w:rPr>
                <w:rFonts w:hint="eastAsia"/>
              </w:rPr>
              <w:t>起息日</w:t>
            </w:r>
          </w:p>
        </w:tc>
        <w:tc>
          <w:tcPr>
            <w:tcW w:w="6946" w:type="dxa"/>
          </w:tcPr>
          <w:p w14:paraId="34B7464E" w14:textId="77777777" w:rsidR="00A052DC" w:rsidRDefault="009F0A60">
            <w:pPr>
              <w:pStyle w:val="B"/>
            </w:pPr>
            <w:r>
              <w:rPr>
                <w:rFonts w:hint="eastAsia"/>
              </w:rPr>
              <w:t>债券和票据的发行日期。</w:t>
            </w:r>
          </w:p>
        </w:tc>
      </w:tr>
      <w:tr w:rsidR="00A052DC" w14:paraId="3DD997BA" w14:textId="77777777">
        <w:trPr>
          <w:cantSplit/>
        </w:trPr>
        <w:tc>
          <w:tcPr>
            <w:tcW w:w="1526" w:type="dxa"/>
          </w:tcPr>
          <w:p w14:paraId="02083F4D" w14:textId="77777777" w:rsidR="00A052DC" w:rsidRDefault="009F0A60">
            <w:pPr>
              <w:pStyle w:val="B"/>
            </w:pPr>
            <w:r>
              <w:rPr>
                <w:rFonts w:hint="eastAsia"/>
              </w:rPr>
              <w:t>签约币种</w:t>
            </w:r>
          </w:p>
        </w:tc>
        <w:tc>
          <w:tcPr>
            <w:tcW w:w="6946" w:type="dxa"/>
          </w:tcPr>
          <w:p w14:paraId="11712D0A" w14:textId="77777777" w:rsidR="00A052DC" w:rsidRDefault="009F0A60">
            <w:pPr>
              <w:pStyle w:val="B"/>
            </w:pPr>
            <w:r>
              <w:rPr>
                <w:rFonts w:hint="eastAsia"/>
              </w:rPr>
              <w:t>外债签约币种即提款的币种，即债券和票据标价的币种。</w:t>
            </w:r>
          </w:p>
        </w:tc>
      </w:tr>
      <w:tr w:rsidR="00A052DC" w14:paraId="099C6403" w14:textId="77777777">
        <w:trPr>
          <w:cantSplit/>
        </w:trPr>
        <w:tc>
          <w:tcPr>
            <w:tcW w:w="1526" w:type="dxa"/>
          </w:tcPr>
          <w:p w14:paraId="5F9E82CD" w14:textId="77777777" w:rsidR="00A052DC" w:rsidRDefault="009F0A60">
            <w:pPr>
              <w:pStyle w:val="B"/>
            </w:pPr>
            <w:r>
              <w:rPr>
                <w:rFonts w:hint="eastAsia"/>
              </w:rPr>
              <w:t>签约金额</w:t>
            </w:r>
          </w:p>
        </w:tc>
        <w:tc>
          <w:tcPr>
            <w:tcW w:w="6946" w:type="dxa"/>
          </w:tcPr>
          <w:p w14:paraId="5F0CD035" w14:textId="77777777" w:rsidR="00A052DC" w:rsidRDefault="009F0A60">
            <w:pPr>
              <w:pStyle w:val="B"/>
            </w:pPr>
            <w:r>
              <w:rPr>
                <w:rFonts w:hint="eastAsia"/>
              </w:rPr>
              <w:t>外债签约金额即提款的金额，即债券和票据实际募集资金的金额。</w:t>
            </w:r>
          </w:p>
        </w:tc>
      </w:tr>
      <w:tr w:rsidR="00A052DC" w14:paraId="6AA70B32" w14:textId="77777777">
        <w:trPr>
          <w:cantSplit/>
        </w:trPr>
        <w:tc>
          <w:tcPr>
            <w:tcW w:w="1526" w:type="dxa"/>
          </w:tcPr>
          <w:p w14:paraId="4FB58A00" w14:textId="77777777" w:rsidR="00A052DC" w:rsidRDefault="009F0A60">
            <w:pPr>
              <w:pStyle w:val="B"/>
            </w:pPr>
            <w:r>
              <w:rPr>
                <w:rFonts w:hint="eastAsia"/>
              </w:rPr>
              <w:t>到期日</w:t>
            </w:r>
          </w:p>
        </w:tc>
        <w:tc>
          <w:tcPr>
            <w:tcW w:w="6946" w:type="dxa"/>
            <w:vAlign w:val="center"/>
          </w:tcPr>
          <w:p w14:paraId="027C03B6" w14:textId="77777777" w:rsidR="00A052DC" w:rsidRDefault="009F0A60">
            <w:pPr>
              <w:pStyle w:val="B"/>
            </w:pPr>
            <w:r>
              <w:rPr>
                <w:rFonts w:hint="eastAsia"/>
              </w:rPr>
              <w:t>外债的到期日期，即债券和票据的到期日。</w:t>
            </w:r>
          </w:p>
        </w:tc>
      </w:tr>
      <w:tr w:rsidR="00A052DC" w14:paraId="53AB3844" w14:textId="77777777">
        <w:trPr>
          <w:cantSplit/>
        </w:trPr>
        <w:tc>
          <w:tcPr>
            <w:tcW w:w="1526" w:type="dxa"/>
          </w:tcPr>
          <w:p w14:paraId="25657235" w14:textId="77777777" w:rsidR="00A052DC" w:rsidRDefault="009F0A60">
            <w:pPr>
              <w:pStyle w:val="B"/>
            </w:pPr>
            <w:r>
              <w:rPr>
                <w:rFonts w:hint="eastAsia"/>
              </w:rPr>
              <w:t>是否浮动利率</w:t>
            </w:r>
          </w:p>
        </w:tc>
        <w:tc>
          <w:tcPr>
            <w:tcW w:w="6946" w:type="dxa"/>
          </w:tcPr>
          <w:p w14:paraId="3FDB1B18" w14:textId="77777777" w:rsidR="00A052DC" w:rsidRDefault="009F0A60">
            <w:pPr>
              <w:pStyle w:val="B"/>
            </w:pPr>
            <w:r>
              <w:rPr>
                <w:rFonts w:hint="eastAsia"/>
              </w:rPr>
              <w:t>标识债务利率条件为浮动利率或固定利率，系统默认为否，若为浮动利率，选择是。</w:t>
            </w:r>
          </w:p>
        </w:tc>
      </w:tr>
      <w:tr w:rsidR="00A052DC" w14:paraId="67A3623F" w14:textId="77777777">
        <w:trPr>
          <w:cantSplit/>
        </w:trPr>
        <w:tc>
          <w:tcPr>
            <w:tcW w:w="1526" w:type="dxa"/>
          </w:tcPr>
          <w:p w14:paraId="6A9A6CA8" w14:textId="77777777" w:rsidR="00A052DC" w:rsidRDefault="009F0A60">
            <w:pPr>
              <w:pStyle w:val="B"/>
            </w:pPr>
            <w:r>
              <w:rPr>
                <w:rFonts w:hint="eastAsia"/>
              </w:rPr>
              <w:t>年化利率值</w:t>
            </w:r>
          </w:p>
        </w:tc>
        <w:tc>
          <w:tcPr>
            <w:tcW w:w="6946" w:type="dxa"/>
          </w:tcPr>
          <w:p w14:paraId="41474EB6" w14:textId="77777777" w:rsidR="00A052DC" w:rsidRDefault="009F0A60">
            <w:pPr>
              <w:pStyle w:val="B"/>
            </w:pPr>
            <w:r>
              <w:rPr>
                <w:rFonts w:hint="eastAsia"/>
              </w:rPr>
              <w:t>外债的年化利率，若为浮动利率，应该按照该笔债券和票据发行日期当天的浮动利率条件计算年化利率值。</w:t>
            </w:r>
          </w:p>
        </w:tc>
      </w:tr>
      <w:tr w:rsidR="00A052DC" w14:paraId="632003AC" w14:textId="77777777">
        <w:trPr>
          <w:cantSplit/>
        </w:trPr>
        <w:tc>
          <w:tcPr>
            <w:tcW w:w="1526" w:type="dxa"/>
          </w:tcPr>
          <w:p w14:paraId="01FD0BB1" w14:textId="77777777" w:rsidR="00A052DC" w:rsidRDefault="009F0A60">
            <w:pPr>
              <w:pStyle w:val="B"/>
            </w:pPr>
            <w:r>
              <w:rPr>
                <w:rFonts w:hint="eastAsia"/>
              </w:rPr>
              <w:t>债权人代码</w:t>
            </w:r>
          </w:p>
        </w:tc>
        <w:tc>
          <w:tcPr>
            <w:tcW w:w="6946" w:type="dxa"/>
            <w:vAlign w:val="center"/>
          </w:tcPr>
          <w:p w14:paraId="63B641FE" w14:textId="77777777" w:rsidR="00A052DC" w:rsidRDefault="009F0A60">
            <w:pPr>
              <w:pStyle w:val="B"/>
            </w:pPr>
            <w:r>
              <w:rPr>
                <w:rFonts w:hint="eastAsia"/>
              </w:rPr>
              <w:t>如果债权人为银行，应填写</w:t>
            </w:r>
            <w:r>
              <w:t>8</w:t>
            </w:r>
            <w:r>
              <w:rPr>
                <w:rFonts w:hint="eastAsia"/>
              </w:rPr>
              <w:t>位或</w:t>
            </w:r>
            <w:r>
              <w:t>11</w:t>
            </w:r>
            <w:r>
              <w:rPr>
                <w:rFonts w:hint="eastAsia"/>
              </w:rPr>
              <w:t>位的</w:t>
            </w:r>
            <w:r>
              <w:t>SWIFT CODE</w:t>
            </w:r>
            <w:r>
              <w:rPr>
                <w:rFonts w:hint="eastAsia"/>
              </w:rPr>
              <w:t>；如果债权人类型为“政府”、或“中央银行”时，或者当债务类型为“货币市场工具”或“债券和票据”或“非居民个人存款”时，应在外汇局编制的部分债权人代码表中选择债权人代码；否则为空。</w:t>
            </w:r>
          </w:p>
          <w:p w14:paraId="620E8C0F" w14:textId="77777777" w:rsidR="00A052DC" w:rsidRDefault="009F0A60">
            <w:pPr>
              <w:pStyle w:val="B"/>
            </w:pPr>
            <w:r>
              <w:rPr>
                <w:rFonts w:hint="eastAsia"/>
              </w:rPr>
              <w:t>如果债权人为“非银行金融机构”或“国际金融组织”，应优先填写</w:t>
            </w:r>
            <w:r>
              <w:t>SWIFT CODE</w:t>
            </w:r>
            <w:r>
              <w:rPr>
                <w:rFonts w:hint="eastAsia"/>
              </w:rPr>
              <w:t>。</w:t>
            </w:r>
          </w:p>
        </w:tc>
      </w:tr>
      <w:tr w:rsidR="00A052DC" w14:paraId="5AA8FCFA" w14:textId="77777777">
        <w:trPr>
          <w:cantSplit/>
        </w:trPr>
        <w:tc>
          <w:tcPr>
            <w:tcW w:w="1526" w:type="dxa"/>
          </w:tcPr>
          <w:p w14:paraId="5E39D0B9" w14:textId="77777777" w:rsidR="00A052DC" w:rsidRDefault="009F0A60">
            <w:pPr>
              <w:pStyle w:val="B"/>
            </w:pPr>
            <w:r>
              <w:rPr>
                <w:rFonts w:hint="eastAsia"/>
              </w:rPr>
              <w:t>债权人中文名称</w:t>
            </w:r>
          </w:p>
        </w:tc>
        <w:tc>
          <w:tcPr>
            <w:tcW w:w="6946" w:type="dxa"/>
            <w:vAlign w:val="center"/>
          </w:tcPr>
          <w:p w14:paraId="6B0930FB" w14:textId="77777777" w:rsidR="00A052DC" w:rsidRDefault="009F0A60">
            <w:pPr>
              <w:pStyle w:val="B"/>
            </w:pPr>
            <w:r>
              <w:rPr>
                <w:rFonts w:hint="eastAsia"/>
              </w:rPr>
              <w:t>债权人中文名称。该债券和票据发行国家（地区）资本市场的中文名称。</w:t>
            </w:r>
          </w:p>
        </w:tc>
      </w:tr>
      <w:tr w:rsidR="00A052DC" w14:paraId="08403A22" w14:textId="77777777">
        <w:trPr>
          <w:cantSplit/>
        </w:trPr>
        <w:tc>
          <w:tcPr>
            <w:tcW w:w="1526" w:type="dxa"/>
          </w:tcPr>
          <w:p w14:paraId="1FFDDCF6" w14:textId="77777777" w:rsidR="00A052DC" w:rsidRDefault="009F0A60">
            <w:pPr>
              <w:pStyle w:val="B"/>
            </w:pPr>
            <w:r>
              <w:rPr>
                <w:rFonts w:hint="eastAsia"/>
              </w:rPr>
              <w:t>债权人英文名称</w:t>
            </w:r>
          </w:p>
        </w:tc>
        <w:tc>
          <w:tcPr>
            <w:tcW w:w="6946" w:type="dxa"/>
            <w:vAlign w:val="center"/>
          </w:tcPr>
          <w:p w14:paraId="6912908C" w14:textId="77777777" w:rsidR="00A052DC" w:rsidRDefault="009F0A60">
            <w:pPr>
              <w:pStyle w:val="B"/>
            </w:pPr>
            <w:r>
              <w:rPr>
                <w:rFonts w:hint="eastAsia"/>
              </w:rPr>
              <w:t>债权人英文名称。该债券和票据发行国家（地区）资本市场的英文名称。</w:t>
            </w:r>
          </w:p>
        </w:tc>
      </w:tr>
      <w:tr w:rsidR="00A052DC" w14:paraId="6EE46516" w14:textId="77777777">
        <w:trPr>
          <w:cantSplit/>
        </w:trPr>
        <w:tc>
          <w:tcPr>
            <w:tcW w:w="1526" w:type="dxa"/>
          </w:tcPr>
          <w:p w14:paraId="2302D3B7" w14:textId="77777777" w:rsidR="00A052DC" w:rsidRDefault="009F0A60">
            <w:pPr>
              <w:pStyle w:val="B"/>
            </w:pPr>
            <w:r>
              <w:rPr>
                <w:rFonts w:hint="eastAsia"/>
              </w:rPr>
              <w:t>债权人类型代码</w:t>
            </w:r>
          </w:p>
        </w:tc>
        <w:tc>
          <w:tcPr>
            <w:tcW w:w="6946" w:type="dxa"/>
          </w:tcPr>
          <w:p w14:paraId="3E80D126" w14:textId="77777777" w:rsidR="00A052DC" w:rsidRDefault="009F0A60">
            <w:pPr>
              <w:pStyle w:val="B"/>
            </w:pPr>
            <w:r>
              <w:rPr>
                <w:rFonts w:hint="eastAsia"/>
              </w:rPr>
              <w:t>债权人类型代码，见境外主体类型代码表。“债券和票据”类外债的债权人类型代码统一填报为“资本市场”。</w:t>
            </w:r>
          </w:p>
        </w:tc>
      </w:tr>
      <w:tr w:rsidR="00A052DC" w14:paraId="4E1899C5" w14:textId="77777777">
        <w:trPr>
          <w:cantSplit/>
        </w:trPr>
        <w:tc>
          <w:tcPr>
            <w:tcW w:w="1526" w:type="dxa"/>
          </w:tcPr>
          <w:p w14:paraId="4B06E55E" w14:textId="77777777" w:rsidR="00A052DC" w:rsidRDefault="009F0A60">
            <w:pPr>
              <w:pStyle w:val="B"/>
            </w:pPr>
            <w:r>
              <w:rPr>
                <w:rFonts w:hint="eastAsia"/>
              </w:rPr>
              <w:t>债权人总部所在国家（地区）代码</w:t>
            </w:r>
          </w:p>
        </w:tc>
        <w:tc>
          <w:tcPr>
            <w:tcW w:w="6946" w:type="dxa"/>
            <w:vAlign w:val="center"/>
          </w:tcPr>
          <w:p w14:paraId="629A2209" w14:textId="77777777" w:rsidR="00A052DC" w:rsidRDefault="009F0A60">
            <w:pPr>
              <w:pStyle w:val="B"/>
            </w:pPr>
            <w:r>
              <w:rPr>
                <w:rFonts w:hint="eastAsia"/>
              </w:rPr>
              <w:t>债权人总部所在地代码，见国别和地区代码表。即债券和票据发行地的国家（地区）代码。</w:t>
            </w:r>
          </w:p>
        </w:tc>
      </w:tr>
      <w:tr w:rsidR="00A052DC" w14:paraId="565ACF6A" w14:textId="77777777">
        <w:trPr>
          <w:cantSplit/>
        </w:trPr>
        <w:tc>
          <w:tcPr>
            <w:tcW w:w="1526" w:type="dxa"/>
          </w:tcPr>
          <w:p w14:paraId="20D006FD" w14:textId="77777777" w:rsidR="00A052DC" w:rsidRDefault="009F0A60">
            <w:pPr>
              <w:pStyle w:val="B"/>
            </w:pPr>
            <w:r>
              <w:rPr>
                <w:rFonts w:hint="eastAsia"/>
              </w:rPr>
              <w:t>债权人经营地所在国家（地区）代码</w:t>
            </w:r>
          </w:p>
        </w:tc>
        <w:tc>
          <w:tcPr>
            <w:tcW w:w="6946" w:type="dxa"/>
            <w:vAlign w:val="center"/>
          </w:tcPr>
          <w:p w14:paraId="67A8EB61" w14:textId="77777777" w:rsidR="00A052DC" w:rsidRDefault="009F0A60">
            <w:pPr>
              <w:pStyle w:val="B"/>
            </w:pPr>
            <w:r>
              <w:rPr>
                <w:rFonts w:hint="eastAsia"/>
              </w:rPr>
              <w:t>债权人经营所在地代码，见国别和地区代码表。即债券和票据发行地的国家（地区）代码。</w:t>
            </w:r>
          </w:p>
        </w:tc>
      </w:tr>
      <w:tr w:rsidR="00A052DC" w14:paraId="1F1E6A29" w14:textId="77777777">
        <w:trPr>
          <w:cantSplit/>
        </w:trPr>
        <w:tc>
          <w:tcPr>
            <w:tcW w:w="1526" w:type="dxa"/>
          </w:tcPr>
          <w:p w14:paraId="74D3F3EA" w14:textId="77777777" w:rsidR="00A052DC" w:rsidRDefault="009F0A60">
            <w:pPr>
              <w:pStyle w:val="B"/>
            </w:pPr>
            <w:r>
              <w:rPr>
                <w:rFonts w:hint="eastAsia"/>
              </w:rPr>
              <w:t>是否不纳入跨境融资风险加权余额计算</w:t>
            </w:r>
          </w:p>
        </w:tc>
        <w:tc>
          <w:tcPr>
            <w:tcW w:w="6946" w:type="dxa"/>
          </w:tcPr>
          <w:p w14:paraId="0241531E" w14:textId="77777777" w:rsidR="00A052DC" w:rsidRDefault="009F0A60">
            <w:pPr>
              <w:pStyle w:val="B"/>
            </w:pPr>
            <w:r>
              <w:rPr>
                <w:rFonts w:hint="eastAsia"/>
              </w:rPr>
              <w:t>标识该笔债务是否不纳入跨境融资风险加权余额计算，默认为“否”。</w:t>
            </w:r>
          </w:p>
        </w:tc>
      </w:tr>
      <w:tr w:rsidR="00A052DC" w14:paraId="37F0A031" w14:textId="77777777">
        <w:trPr>
          <w:cantSplit/>
        </w:trPr>
        <w:tc>
          <w:tcPr>
            <w:tcW w:w="1526" w:type="dxa"/>
          </w:tcPr>
          <w:p w14:paraId="6CDB6C94" w14:textId="77777777" w:rsidR="00A052DC" w:rsidRDefault="009F0A60">
            <w:pPr>
              <w:pStyle w:val="B"/>
            </w:pPr>
            <w:r>
              <w:t>ISIN CODE</w:t>
            </w:r>
          </w:p>
        </w:tc>
        <w:tc>
          <w:tcPr>
            <w:tcW w:w="6946" w:type="dxa"/>
          </w:tcPr>
          <w:p w14:paraId="38E157C3" w14:textId="77777777" w:rsidR="00A052DC" w:rsidRDefault="009F0A60">
            <w:pPr>
              <w:pStyle w:val="B"/>
            </w:pPr>
            <w:r>
              <w:rPr>
                <w:rFonts w:hint="eastAsia"/>
              </w:rPr>
              <w:t>国际证券识别编码。</w:t>
            </w:r>
          </w:p>
        </w:tc>
      </w:tr>
      <w:tr w:rsidR="00A052DC" w14:paraId="72522B7F" w14:textId="77777777">
        <w:trPr>
          <w:cantSplit/>
        </w:trPr>
        <w:tc>
          <w:tcPr>
            <w:tcW w:w="1526" w:type="dxa"/>
            <w:tcBorders>
              <w:top w:val="single" w:sz="6" w:space="0" w:color="auto"/>
              <w:left w:val="single" w:sz="6" w:space="0" w:color="auto"/>
              <w:bottom w:val="single" w:sz="6" w:space="0" w:color="auto"/>
              <w:right w:val="single" w:sz="6" w:space="0" w:color="auto"/>
            </w:tcBorders>
          </w:tcPr>
          <w:p w14:paraId="253E552A" w14:textId="77777777" w:rsidR="00A052DC" w:rsidRDefault="009F0A60">
            <w:pPr>
              <w:pStyle w:val="B"/>
            </w:pPr>
            <w:r>
              <w:rPr>
                <w:rFonts w:hint="eastAsia"/>
              </w:rPr>
              <w:t>备注</w:t>
            </w:r>
          </w:p>
        </w:tc>
        <w:tc>
          <w:tcPr>
            <w:tcW w:w="6946" w:type="dxa"/>
            <w:tcBorders>
              <w:top w:val="single" w:sz="6" w:space="0" w:color="auto"/>
              <w:left w:val="single" w:sz="6" w:space="0" w:color="auto"/>
              <w:bottom w:val="single" w:sz="6" w:space="0" w:color="auto"/>
              <w:right w:val="single" w:sz="6" w:space="0" w:color="auto"/>
            </w:tcBorders>
          </w:tcPr>
          <w:p w14:paraId="6355EC2B" w14:textId="77777777" w:rsidR="00A052DC" w:rsidRDefault="009F0A60">
            <w:pPr>
              <w:pStyle w:val="B"/>
            </w:pPr>
            <w:r>
              <w:rPr>
                <w:rFonts w:hint="eastAsia"/>
              </w:rPr>
              <w:t>需要说明的备注事项。</w:t>
            </w:r>
          </w:p>
        </w:tc>
      </w:tr>
    </w:tbl>
    <w:p w14:paraId="555BAD55" w14:textId="77777777" w:rsidR="00A052DC" w:rsidRDefault="00A052DC">
      <w:pPr>
        <w:ind w:firstLine="480"/>
      </w:pPr>
    </w:p>
    <w:p w14:paraId="39157C02" w14:textId="77777777" w:rsidR="00A052DC" w:rsidRDefault="009F0A60" w:rsidP="0020251D">
      <w:pPr>
        <w:pStyle w:val="5"/>
        <w:numPr>
          <w:ilvl w:val="4"/>
          <w:numId w:val="1"/>
        </w:numPr>
        <w:spacing w:before="120" w:after="120" w:line="360" w:lineRule="auto"/>
        <w:jc w:val="left"/>
      </w:pPr>
      <w:bookmarkStart w:id="1550" w:name="_Toc454386914"/>
      <w:r>
        <w:rPr>
          <w:rFonts w:hint="eastAsia"/>
        </w:rPr>
        <w:t>数据格式</w:t>
      </w:r>
      <w:bookmarkEnd w:id="1550"/>
    </w:p>
    <w:p w14:paraId="0843224F" w14:textId="77777777" w:rsidR="00A052DC" w:rsidRDefault="009F0A60">
      <w:r>
        <w:t>&lt;REC&gt;</w:t>
      </w:r>
    </w:p>
    <w:p w14:paraId="1287F26A" w14:textId="77777777" w:rsidR="00A052DC" w:rsidRDefault="009F0A60">
      <w:r>
        <w:t>&lt;ACTIONTYPE&gt;</w:t>
      </w:r>
      <w:r>
        <w:rPr>
          <w:rFonts w:hint="eastAsia"/>
        </w:rPr>
        <w:t>操作类型</w:t>
      </w:r>
      <w:r>
        <w:t>&lt;/ACTIONTYPE&gt;</w:t>
      </w:r>
    </w:p>
    <w:p w14:paraId="046B8B74" w14:textId="77777777" w:rsidR="00A052DC" w:rsidRDefault="009F0A60">
      <w:r>
        <w:t>&lt;ACTIONDESC&gt;</w:t>
      </w:r>
      <w:r>
        <w:rPr>
          <w:rFonts w:hint="eastAsia"/>
        </w:rPr>
        <w:t>删除原因</w:t>
      </w:r>
      <w:r>
        <w:t>&lt;/ACTIONDESC&gt;</w:t>
      </w:r>
    </w:p>
    <w:p w14:paraId="2CD1846F" w14:textId="77777777" w:rsidR="00A052DC" w:rsidRDefault="009F0A60">
      <w:r>
        <w:t>&lt;EXDEBTCODE&gt;</w:t>
      </w:r>
      <w:r>
        <w:rPr>
          <w:rFonts w:hint="eastAsia"/>
        </w:rPr>
        <w:t>外债编号</w:t>
      </w:r>
      <w:r>
        <w:t>&lt;/EXDEBTCODE&gt;</w:t>
      </w:r>
    </w:p>
    <w:p w14:paraId="7CD25F00" w14:textId="77777777" w:rsidR="00A052DC" w:rsidRDefault="009F0A60">
      <w:r>
        <w:t>&lt;DEBTORCODE&gt;</w:t>
      </w:r>
      <w:r>
        <w:rPr>
          <w:rFonts w:hint="eastAsia"/>
        </w:rPr>
        <w:t>债务人代码</w:t>
      </w:r>
      <w:r>
        <w:t>&lt;/DEBTORCODE&gt;</w:t>
      </w:r>
    </w:p>
    <w:p w14:paraId="2D938A8C" w14:textId="77777777" w:rsidR="00A052DC" w:rsidRDefault="009F0A60">
      <w:r>
        <w:t>&lt;DEBTYPE&gt;</w:t>
      </w:r>
      <w:r>
        <w:rPr>
          <w:rFonts w:hint="eastAsia"/>
        </w:rPr>
        <w:t>债务类型</w:t>
      </w:r>
      <w:r>
        <w:t>&lt;/DEBTYPE&gt;</w:t>
      </w:r>
    </w:p>
    <w:p w14:paraId="1036E6F7" w14:textId="77777777" w:rsidR="00A052DC" w:rsidRDefault="009F0A60">
      <w:r>
        <w:t>&lt;VALUEDATE&gt;</w:t>
      </w:r>
      <w:r>
        <w:rPr>
          <w:rFonts w:hint="eastAsia"/>
        </w:rPr>
        <w:t>起息日</w:t>
      </w:r>
      <w:r>
        <w:t>&lt;/VALUEDATE&gt;</w:t>
      </w:r>
    </w:p>
    <w:p w14:paraId="25475DDC" w14:textId="77777777" w:rsidR="00A052DC" w:rsidRDefault="009F0A60">
      <w:r>
        <w:t>&lt;CONTRACTCURR&gt;</w:t>
      </w:r>
      <w:r>
        <w:rPr>
          <w:rFonts w:hint="eastAsia"/>
        </w:rPr>
        <w:t>签约币种</w:t>
      </w:r>
      <w:r>
        <w:t>&lt;/CONTRACTCURR&gt;</w:t>
      </w:r>
    </w:p>
    <w:p w14:paraId="3DE88961" w14:textId="77777777" w:rsidR="00A052DC" w:rsidRDefault="009F0A60">
      <w:r>
        <w:t>&lt;CONTRACTAMOUNT&gt;</w:t>
      </w:r>
      <w:r>
        <w:rPr>
          <w:rFonts w:hint="eastAsia"/>
        </w:rPr>
        <w:t>签约金额</w:t>
      </w:r>
      <w:r>
        <w:t>&lt;/CONTRACTAMOUNT&gt;</w:t>
      </w:r>
    </w:p>
    <w:p w14:paraId="1CEB1A85" w14:textId="77777777" w:rsidR="00A052DC" w:rsidRDefault="009F0A60">
      <w:r>
        <w:t>&lt;MATURITY&gt;</w:t>
      </w:r>
      <w:r>
        <w:rPr>
          <w:rFonts w:hint="eastAsia"/>
        </w:rPr>
        <w:t>到期日</w:t>
      </w:r>
      <w:r>
        <w:t>&lt;/MATURITY&gt;</w:t>
      </w:r>
    </w:p>
    <w:p w14:paraId="02651059" w14:textId="77777777" w:rsidR="00A052DC" w:rsidRDefault="009F0A60">
      <w:r>
        <w:t>&lt;FLOATRATE&gt;</w:t>
      </w:r>
      <w:r>
        <w:rPr>
          <w:rFonts w:hint="eastAsia"/>
        </w:rPr>
        <w:t>是否浮动利率</w:t>
      </w:r>
      <w:r>
        <w:t>&lt;/FLOATRATE&gt;</w:t>
      </w:r>
    </w:p>
    <w:p w14:paraId="7A30EA5D" w14:textId="77777777" w:rsidR="00A052DC" w:rsidRDefault="009F0A60">
      <w:r>
        <w:t>&lt;ANNINRATE&gt;</w:t>
      </w:r>
      <w:r>
        <w:rPr>
          <w:rFonts w:hint="eastAsia"/>
        </w:rPr>
        <w:t>年化利率值</w:t>
      </w:r>
      <w:r>
        <w:t>&lt;/ANNINRATE&gt;</w:t>
      </w:r>
    </w:p>
    <w:p w14:paraId="419BEF4B" w14:textId="77777777" w:rsidR="00A052DC" w:rsidRDefault="009F0A60">
      <w:r>
        <w:t>&lt;CREDITORCODE&gt;</w:t>
      </w:r>
      <w:r>
        <w:rPr>
          <w:rFonts w:hint="eastAsia"/>
        </w:rPr>
        <w:t>债权人代码</w:t>
      </w:r>
      <w:r>
        <w:t>&lt;/CREDITORCODE&gt;</w:t>
      </w:r>
    </w:p>
    <w:p w14:paraId="1637E43E" w14:textId="77777777" w:rsidR="00A052DC" w:rsidRDefault="009F0A60">
      <w:r>
        <w:t>&lt;CREDITORNAME&gt;</w:t>
      </w:r>
      <w:r>
        <w:rPr>
          <w:rFonts w:hint="eastAsia"/>
        </w:rPr>
        <w:t>债权人中文名称</w:t>
      </w:r>
      <w:r>
        <w:t>&lt;/CREDITORNAME&gt;</w:t>
      </w:r>
    </w:p>
    <w:p w14:paraId="793BE9C0" w14:textId="77777777" w:rsidR="00A052DC" w:rsidRDefault="009F0A60">
      <w:r>
        <w:t>&lt;CREDITORNAMEN&gt;</w:t>
      </w:r>
      <w:r>
        <w:rPr>
          <w:rFonts w:hint="eastAsia"/>
        </w:rPr>
        <w:t>债权人英文名称</w:t>
      </w:r>
      <w:r>
        <w:t>&lt;/CREDITORNAMEN&gt;</w:t>
      </w:r>
    </w:p>
    <w:p w14:paraId="0A8352AE" w14:textId="77777777" w:rsidR="00A052DC" w:rsidRDefault="009F0A60">
      <w:r>
        <w:t>&lt;CREDITORTYPE&gt;</w:t>
      </w:r>
      <w:r>
        <w:rPr>
          <w:rFonts w:hint="eastAsia"/>
        </w:rPr>
        <w:t>债权人类型代码</w:t>
      </w:r>
      <w:r>
        <w:t>&lt;/CREDITORTYPE&gt;</w:t>
      </w:r>
    </w:p>
    <w:p w14:paraId="6B078E49" w14:textId="77777777" w:rsidR="00A052DC" w:rsidRDefault="009F0A60">
      <w:r>
        <w:t>&lt;CREHQCODE&gt;</w:t>
      </w:r>
      <w:r>
        <w:rPr>
          <w:rFonts w:hint="eastAsia"/>
        </w:rPr>
        <w:t>债权人总部所在国家（地区）代码</w:t>
      </w:r>
      <w:r>
        <w:t>&lt;/CREHQCODE&gt;</w:t>
      </w:r>
    </w:p>
    <w:p w14:paraId="1BEA85C0" w14:textId="77777777" w:rsidR="00A052DC" w:rsidRDefault="009F0A60">
      <w:r>
        <w:t>&lt;OPERCODE&gt;</w:t>
      </w:r>
      <w:r>
        <w:rPr>
          <w:rFonts w:hint="eastAsia"/>
        </w:rPr>
        <w:t>债权人经营地所在国家（地区）代码</w:t>
      </w:r>
      <w:r>
        <w:t>&lt;/OPERCODE&gt;</w:t>
      </w:r>
    </w:p>
    <w:p w14:paraId="0F19DAB7" w14:textId="77777777" w:rsidR="00A052DC" w:rsidRDefault="009F0A60">
      <w:r>
        <w:t>&lt;SPAPFEBOINDEX&gt;</w:t>
      </w:r>
      <w:r>
        <w:rPr>
          <w:rFonts w:hint="eastAsia"/>
        </w:rPr>
        <w:t>是否不纳入跨境融资风险加权余额计算</w:t>
      </w:r>
      <w:r>
        <w:t>&lt;/SPAPFEBOINDEX&gt;</w:t>
      </w:r>
    </w:p>
    <w:p w14:paraId="6DE8484A" w14:textId="77777777" w:rsidR="00A052DC" w:rsidRDefault="009F0A60">
      <w:r>
        <w:t>&lt;ISINCODE&gt;ISIN CODE&lt;/ISINCODE&gt;</w:t>
      </w:r>
    </w:p>
    <w:p w14:paraId="032A265D" w14:textId="77777777" w:rsidR="00A052DC" w:rsidRDefault="009F0A60">
      <w:r>
        <w:t>&lt;REMARK&gt;</w:t>
      </w:r>
      <w:r>
        <w:rPr>
          <w:rFonts w:hint="eastAsia"/>
        </w:rPr>
        <w:t>备注</w:t>
      </w:r>
      <w:r>
        <w:t>&lt;/REMARK&gt;</w:t>
      </w:r>
    </w:p>
    <w:p w14:paraId="030E6B6C" w14:textId="77777777" w:rsidR="00A052DC" w:rsidRDefault="009F0A60">
      <w:r>
        <w:t>&lt;/REC&gt;</w:t>
      </w:r>
    </w:p>
    <w:p w14:paraId="5B3BB31A" w14:textId="77777777" w:rsidR="00A052DC" w:rsidRDefault="009F0A60" w:rsidP="0020251D">
      <w:pPr>
        <w:pStyle w:val="5"/>
        <w:numPr>
          <w:ilvl w:val="4"/>
          <w:numId w:val="1"/>
        </w:numPr>
        <w:spacing w:before="120" w:after="120" w:line="360" w:lineRule="auto"/>
        <w:jc w:val="left"/>
      </w:pPr>
      <w:bookmarkStart w:id="1551" w:name="_Toc454386915"/>
      <w:r>
        <w:rPr>
          <w:rFonts w:hint="eastAsia"/>
        </w:rPr>
        <w:t>数据字典</w:t>
      </w:r>
      <w:bookmarkEnd w:id="1551"/>
    </w:p>
    <w:tbl>
      <w:tblPr>
        <w:tblW w:w="86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701"/>
        <w:gridCol w:w="1276"/>
        <w:gridCol w:w="4252"/>
      </w:tblGrid>
      <w:tr w:rsidR="00A052DC" w14:paraId="7998E585" w14:textId="77777777">
        <w:trPr>
          <w:tblHeader/>
        </w:trPr>
        <w:tc>
          <w:tcPr>
            <w:tcW w:w="1418" w:type="dxa"/>
            <w:shd w:val="clear" w:color="auto" w:fill="C0C0C0"/>
          </w:tcPr>
          <w:p w14:paraId="1C52C502" w14:textId="77777777" w:rsidR="00A052DC" w:rsidRDefault="009F0A60">
            <w:pPr>
              <w:pStyle w:val="B1"/>
            </w:pPr>
            <w:r>
              <w:rPr>
                <w:rFonts w:hint="eastAsia"/>
              </w:rPr>
              <w:t>字段</w:t>
            </w:r>
          </w:p>
        </w:tc>
        <w:tc>
          <w:tcPr>
            <w:tcW w:w="1701" w:type="dxa"/>
            <w:shd w:val="clear" w:color="auto" w:fill="C0C0C0"/>
          </w:tcPr>
          <w:p w14:paraId="2E5CA463" w14:textId="77777777" w:rsidR="00A052DC" w:rsidRDefault="009F0A60">
            <w:pPr>
              <w:pStyle w:val="B1"/>
            </w:pPr>
            <w:r>
              <w:rPr>
                <w:rFonts w:hint="eastAsia"/>
              </w:rPr>
              <w:t>内容</w:t>
            </w:r>
          </w:p>
        </w:tc>
        <w:tc>
          <w:tcPr>
            <w:tcW w:w="1276" w:type="dxa"/>
            <w:shd w:val="clear" w:color="auto" w:fill="C0C0C0"/>
          </w:tcPr>
          <w:p w14:paraId="331B2875" w14:textId="77777777" w:rsidR="00A052DC" w:rsidRDefault="009F0A60">
            <w:pPr>
              <w:pStyle w:val="B1"/>
            </w:pPr>
            <w:r>
              <w:rPr>
                <w:rFonts w:hint="eastAsia"/>
              </w:rPr>
              <w:t>类型（长度）</w:t>
            </w:r>
          </w:p>
        </w:tc>
        <w:tc>
          <w:tcPr>
            <w:tcW w:w="4252" w:type="dxa"/>
            <w:shd w:val="clear" w:color="auto" w:fill="C0C0C0"/>
          </w:tcPr>
          <w:p w14:paraId="33EBD6B6" w14:textId="77777777" w:rsidR="00A052DC" w:rsidRDefault="009F0A60">
            <w:pPr>
              <w:pStyle w:val="B1"/>
            </w:pPr>
            <w:r>
              <w:rPr>
                <w:rFonts w:hint="eastAsia"/>
              </w:rPr>
              <w:t>校验</w:t>
            </w:r>
          </w:p>
        </w:tc>
      </w:tr>
      <w:tr w:rsidR="00A052DC" w14:paraId="4BAF4666" w14:textId="77777777">
        <w:tc>
          <w:tcPr>
            <w:tcW w:w="1418" w:type="dxa"/>
          </w:tcPr>
          <w:p w14:paraId="79AA249C" w14:textId="77777777" w:rsidR="00A052DC" w:rsidRDefault="009F0A60">
            <w:pPr>
              <w:pStyle w:val="B"/>
              <w:rPr>
                <w:szCs w:val="20"/>
              </w:rPr>
            </w:pPr>
            <w:r>
              <w:rPr>
                <w:szCs w:val="20"/>
              </w:rPr>
              <w:t>ACTIONTYPE</w:t>
            </w:r>
          </w:p>
        </w:tc>
        <w:tc>
          <w:tcPr>
            <w:tcW w:w="1701" w:type="dxa"/>
          </w:tcPr>
          <w:p w14:paraId="0F4B7A46" w14:textId="77777777" w:rsidR="00A052DC" w:rsidRDefault="009F0A60">
            <w:pPr>
              <w:pStyle w:val="B"/>
              <w:rPr>
                <w:szCs w:val="20"/>
              </w:rPr>
            </w:pPr>
            <w:r>
              <w:rPr>
                <w:rFonts w:hint="eastAsia"/>
                <w:szCs w:val="20"/>
              </w:rPr>
              <w:t>操作类型</w:t>
            </w:r>
          </w:p>
        </w:tc>
        <w:tc>
          <w:tcPr>
            <w:tcW w:w="1276" w:type="dxa"/>
          </w:tcPr>
          <w:p w14:paraId="5D9E7DCF" w14:textId="77777777" w:rsidR="00A052DC" w:rsidRDefault="009F0A60">
            <w:pPr>
              <w:pStyle w:val="B"/>
              <w:rPr>
                <w:szCs w:val="20"/>
              </w:rPr>
            </w:pPr>
            <w:r>
              <w:rPr>
                <w:rFonts w:hint="eastAsia"/>
                <w:szCs w:val="20"/>
              </w:rPr>
              <w:t>字符型，</w:t>
            </w:r>
            <w:r>
              <w:rPr>
                <w:szCs w:val="20"/>
              </w:rPr>
              <w:t>1</w:t>
            </w:r>
          </w:p>
        </w:tc>
        <w:tc>
          <w:tcPr>
            <w:tcW w:w="4252" w:type="dxa"/>
          </w:tcPr>
          <w:p w14:paraId="244D58C0" w14:textId="77777777" w:rsidR="00A052DC" w:rsidRDefault="009F0A60">
            <w:pPr>
              <w:pStyle w:val="B"/>
              <w:rPr>
                <w:szCs w:val="20"/>
              </w:rPr>
            </w:pPr>
            <w:r>
              <w:rPr>
                <w:rFonts w:hint="eastAsia"/>
                <w:szCs w:val="20"/>
              </w:rPr>
              <w:t>必填项</w:t>
            </w:r>
            <w:r w:rsidR="005F7609">
              <w:rPr>
                <w:rFonts w:hint="eastAsia"/>
                <w:szCs w:val="20"/>
              </w:rPr>
              <w:t>。</w:t>
            </w:r>
          </w:p>
          <w:p w14:paraId="46527C77" w14:textId="77777777" w:rsidR="00A052DC" w:rsidRDefault="009F0A60">
            <w:pPr>
              <w:pStyle w:val="B"/>
              <w:rPr>
                <w:szCs w:val="20"/>
              </w:rPr>
            </w:pPr>
            <w:r>
              <w:rPr>
                <w:szCs w:val="20"/>
              </w:rPr>
              <w:t>A</w:t>
            </w:r>
            <w:r w:rsidR="00AE4602">
              <w:rPr>
                <w:rFonts w:hint="eastAsia"/>
                <w:szCs w:val="20"/>
              </w:rPr>
              <w:t>-</w:t>
            </w:r>
            <w:r>
              <w:rPr>
                <w:rFonts w:hint="eastAsia"/>
                <w:szCs w:val="20"/>
              </w:rPr>
              <w:t>新建</w:t>
            </w:r>
          </w:p>
          <w:p w14:paraId="657DBC57" w14:textId="77777777" w:rsidR="00A052DC" w:rsidRDefault="009F0A60">
            <w:pPr>
              <w:pStyle w:val="B"/>
              <w:rPr>
                <w:szCs w:val="20"/>
              </w:rPr>
            </w:pPr>
            <w:r>
              <w:rPr>
                <w:szCs w:val="20"/>
              </w:rPr>
              <w:t>C</w:t>
            </w:r>
            <w:r w:rsidR="00AE4602">
              <w:rPr>
                <w:rFonts w:hint="eastAsia"/>
                <w:szCs w:val="20"/>
              </w:rPr>
              <w:t>-</w:t>
            </w:r>
            <w:r>
              <w:rPr>
                <w:rFonts w:hint="eastAsia"/>
                <w:szCs w:val="20"/>
              </w:rPr>
              <w:t>修改</w:t>
            </w:r>
          </w:p>
          <w:p w14:paraId="23AF5104" w14:textId="77777777" w:rsidR="005F7609" w:rsidRDefault="009F0A60" w:rsidP="005F7609">
            <w:pPr>
              <w:pStyle w:val="B"/>
              <w:rPr>
                <w:szCs w:val="20"/>
              </w:rPr>
            </w:pPr>
            <w:r>
              <w:rPr>
                <w:szCs w:val="20"/>
              </w:rPr>
              <w:t>D</w:t>
            </w:r>
            <w:r w:rsidR="00AE4602">
              <w:rPr>
                <w:rFonts w:hint="eastAsia"/>
                <w:szCs w:val="20"/>
              </w:rPr>
              <w:t>-</w:t>
            </w:r>
            <w:r>
              <w:rPr>
                <w:rFonts w:hint="eastAsia"/>
                <w:szCs w:val="20"/>
              </w:rPr>
              <w:t>删除</w:t>
            </w:r>
          </w:p>
          <w:p w14:paraId="17C3C027" w14:textId="77777777" w:rsidR="00A052DC" w:rsidRDefault="009F0A60" w:rsidP="005F7609">
            <w:pPr>
              <w:pStyle w:val="B"/>
              <w:rPr>
                <w:szCs w:val="20"/>
              </w:rPr>
            </w:pPr>
            <w:r>
              <w:rPr>
                <w:rFonts w:hint="eastAsia"/>
                <w:szCs w:val="20"/>
              </w:rPr>
              <w:t>一旦银行报送了该外债编号下的变动信息或月末存量信息，就不可以删除了。</w:t>
            </w:r>
          </w:p>
        </w:tc>
      </w:tr>
      <w:tr w:rsidR="00A052DC" w14:paraId="2D61DD62" w14:textId="77777777">
        <w:tc>
          <w:tcPr>
            <w:tcW w:w="1418" w:type="dxa"/>
          </w:tcPr>
          <w:p w14:paraId="1E2C93AB" w14:textId="77777777" w:rsidR="00A052DC" w:rsidRDefault="009F0A60">
            <w:pPr>
              <w:pStyle w:val="B"/>
              <w:rPr>
                <w:szCs w:val="20"/>
              </w:rPr>
            </w:pPr>
            <w:r>
              <w:rPr>
                <w:szCs w:val="20"/>
              </w:rPr>
              <w:t>ACTIONDESC</w:t>
            </w:r>
          </w:p>
        </w:tc>
        <w:tc>
          <w:tcPr>
            <w:tcW w:w="1701" w:type="dxa"/>
          </w:tcPr>
          <w:p w14:paraId="2F29CE14" w14:textId="77777777" w:rsidR="00A052DC" w:rsidRDefault="009F0A60">
            <w:pPr>
              <w:pStyle w:val="B"/>
              <w:rPr>
                <w:szCs w:val="20"/>
              </w:rPr>
            </w:pPr>
            <w:r>
              <w:rPr>
                <w:rFonts w:hint="eastAsia"/>
                <w:szCs w:val="20"/>
              </w:rPr>
              <w:t>删除原因</w:t>
            </w:r>
          </w:p>
        </w:tc>
        <w:tc>
          <w:tcPr>
            <w:tcW w:w="1276" w:type="dxa"/>
          </w:tcPr>
          <w:p w14:paraId="71D3AFA0" w14:textId="77777777" w:rsidR="00A052DC" w:rsidRDefault="009F0A60">
            <w:pPr>
              <w:pStyle w:val="B1"/>
              <w:jc w:val="both"/>
              <w:rPr>
                <w:b w:val="0"/>
              </w:rPr>
            </w:pPr>
            <w:r>
              <w:rPr>
                <w:rFonts w:hint="eastAsia"/>
                <w:b w:val="0"/>
              </w:rPr>
              <w:t>字符型，</w:t>
            </w:r>
            <w:r>
              <w:rPr>
                <w:b w:val="0"/>
              </w:rPr>
              <w:t>128</w:t>
            </w:r>
          </w:p>
        </w:tc>
        <w:tc>
          <w:tcPr>
            <w:tcW w:w="4252" w:type="dxa"/>
          </w:tcPr>
          <w:p w14:paraId="61058F93" w14:textId="77777777" w:rsidR="00A052DC" w:rsidRDefault="00DD6AA3" w:rsidP="005F7609">
            <w:pPr>
              <w:pStyle w:val="B"/>
              <w:rPr>
                <w:szCs w:val="20"/>
              </w:rPr>
            </w:pPr>
            <w:r>
              <w:rPr>
                <w:rFonts w:hint="eastAsia"/>
                <w:szCs w:val="20"/>
              </w:rPr>
              <w:t>非必填项，当操作类型（ACTIONTYPE）为删除时必填。</w:t>
            </w:r>
          </w:p>
        </w:tc>
      </w:tr>
      <w:tr w:rsidR="00A052DC" w14:paraId="39AADCFD" w14:textId="77777777">
        <w:tc>
          <w:tcPr>
            <w:tcW w:w="1418" w:type="dxa"/>
          </w:tcPr>
          <w:p w14:paraId="1E76D06B" w14:textId="77777777" w:rsidR="00A052DC" w:rsidRDefault="009F0A60">
            <w:pPr>
              <w:pStyle w:val="B"/>
              <w:rPr>
                <w:szCs w:val="20"/>
              </w:rPr>
            </w:pPr>
            <w:r>
              <w:rPr>
                <w:szCs w:val="20"/>
              </w:rPr>
              <w:t>EXDEBTCODE</w:t>
            </w:r>
          </w:p>
        </w:tc>
        <w:tc>
          <w:tcPr>
            <w:tcW w:w="1701" w:type="dxa"/>
          </w:tcPr>
          <w:p w14:paraId="4F266E37" w14:textId="77777777" w:rsidR="00A052DC" w:rsidRDefault="009F0A60">
            <w:pPr>
              <w:pStyle w:val="B"/>
              <w:rPr>
                <w:szCs w:val="20"/>
              </w:rPr>
            </w:pPr>
            <w:r>
              <w:rPr>
                <w:rFonts w:hint="eastAsia"/>
                <w:szCs w:val="20"/>
              </w:rPr>
              <w:t>外债编号</w:t>
            </w:r>
          </w:p>
        </w:tc>
        <w:tc>
          <w:tcPr>
            <w:tcW w:w="1276" w:type="dxa"/>
          </w:tcPr>
          <w:p w14:paraId="105F098D" w14:textId="77777777" w:rsidR="00A052DC" w:rsidRDefault="009F0A60">
            <w:pPr>
              <w:pStyle w:val="B"/>
              <w:rPr>
                <w:szCs w:val="20"/>
              </w:rPr>
            </w:pPr>
            <w:r>
              <w:rPr>
                <w:rFonts w:hint="eastAsia"/>
                <w:szCs w:val="20"/>
              </w:rPr>
              <w:t>字符型，</w:t>
            </w:r>
            <w:r>
              <w:rPr>
                <w:szCs w:val="20"/>
              </w:rPr>
              <w:t>28</w:t>
            </w:r>
          </w:p>
        </w:tc>
        <w:tc>
          <w:tcPr>
            <w:tcW w:w="4252" w:type="dxa"/>
          </w:tcPr>
          <w:p w14:paraId="28FE2A56" w14:textId="77777777" w:rsidR="00A052DC" w:rsidRDefault="009F0A60" w:rsidP="005F7609">
            <w:pPr>
              <w:pStyle w:val="B"/>
              <w:rPr>
                <w:szCs w:val="20"/>
              </w:rPr>
            </w:pPr>
            <w:r>
              <w:rPr>
                <w:rFonts w:hint="eastAsia"/>
                <w:szCs w:val="20"/>
              </w:rPr>
              <w:t>必填项，外债唯一性编码。</w:t>
            </w:r>
          </w:p>
        </w:tc>
      </w:tr>
      <w:tr w:rsidR="00A052DC" w14:paraId="380F70F3" w14:textId="77777777">
        <w:tc>
          <w:tcPr>
            <w:tcW w:w="1418" w:type="dxa"/>
          </w:tcPr>
          <w:p w14:paraId="6AECB524" w14:textId="77777777" w:rsidR="00A052DC" w:rsidRDefault="009F0A60">
            <w:pPr>
              <w:pStyle w:val="B"/>
              <w:rPr>
                <w:szCs w:val="20"/>
              </w:rPr>
            </w:pPr>
            <w:r>
              <w:rPr>
                <w:szCs w:val="20"/>
              </w:rPr>
              <w:t>DEBTORCODE</w:t>
            </w:r>
          </w:p>
        </w:tc>
        <w:tc>
          <w:tcPr>
            <w:tcW w:w="1701" w:type="dxa"/>
          </w:tcPr>
          <w:p w14:paraId="15EE211D" w14:textId="77777777" w:rsidR="00A052DC" w:rsidRDefault="009F0A60">
            <w:pPr>
              <w:pStyle w:val="B"/>
              <w:rPr>
                <w:szCs w:val="20"/>
              </w:rPr>
            </w:pPr>
            <w:r>
              <w:rPr>
                <w:rFonts w:hint="eastAsia"/>
                <w:szCs w:val="20"/>
              </w:rPr>
              <w:t>债务人代码</w:t>
            </w:r>
          </w:p>
        </w:tc>
        <w:tc>
          <w:tcPr>
            <w:tcW w:w="1276" w:type="dxa"/>
          </w:tcPr>
          <w:p w14:paraId="6B7912E6" w14:textId="77777777" w:rsidR="00A052DC" w:rsidRDefault="009F0A60">
            <w:pPr>
              <w:pStyle w:val="B"/>
              <w:rPr>
                <w:szCs w:val="20"/>
              </w:rPr>
            </w:pPr>
            <w:r>
              <w:rPr>
                <w:rFonts w:hint="eastAsia"/>
                <w:szCs w:val="20"/>
              </w:rPr>
              <w:t>字符型，</w:t>
            </w:r>
            <w:r>
              <w:rPr>
                <w:szCs w:val="20"/>
              </w:rPr>
              <w:t>12</w:t>
            </w:r>
          </w:p>
        </w:tc>
        <w:tc>
          <w:tcPr>
            <w:tcW w:w="4252" w:type="dxa"/>
          </w:tcPr>
          <w:p w14:paraId="1ED6F8B1" w14:textId="77777777" w:rsidR="00A052DC" w:rsidRDefault="009F0A60" w:rsidP="005F7609">
            <w:pPr>
              <w:pStyle w:val="B"/>
              <w:rPr>
                <w:szCs w:val="20"/>
              </w:rPr>
            </w:pPr>
            <w:r>
              <w:rPr>
                <w:rFonts w:hint="eastAsia"/>
                <w:szCs w:val="20"/>
              </w:rPr>
              <w:t>必填项，金融机构标识码。</w:t>
            </w:r>
          </w:p>
        </w:tc>
      </w:tr>
      <w:tr w:rsidR="00A052DC" w14:paraId="46078764" w14:textId="77777777">
        <w:tc>
          <w:tcPr>
            <w:tcW w:w="1418" w:type="dxa"/>
          </w:tcPr>
          <w:p w14:paraId="436CDB2A" w14:textId="77777777" w:rsidR="00A052DC" w:rsidRDefault="009F0A60">
            <w:pPr>
              <w:pStyle w:val="B"/>
              <w:rPr>
                <w:szCs w:val="20"/>
              </w:rPr>
            </w:pPr>
            <w:r>
              <w:rPr>
                <w:szCs w:val="20"/>
              </w:rPr>
              <w:t>DEBTYPE</w:t>
            </w:r>
          </w:p>
        </w:tc>
        <w:tc>
          <w:tcPr>
            <w:tcW w:w="1701" w:type="dxa"/>
          </w:tcPr>
          <w:p w14:paraId="4220BFA3" w14:textId="77777777" w:rsidR="00A052DC" w:rsidRDefault="009F0A60">
            <w:pPr>
              <w:pStyle w:val="B"/>
              <w:rPr>
                <w:szCs w:val="20"/>
              </w:rPr>
            </w:pPr>
            <w:r>
              <w:rPr>
                <w:rFonts w:hint="eastAsia"/>
                <w:szCs w:val="20"/>
              </w:rPr>
              <w:t>债务类型</w:t>
            </w:r>
          </w:p>
        </w:tc>
        <w:tc>
          <w:tcPr>
            <w:tcW w:w="1276" w:type="dxa"/>
          </w:tcPr>
          <w:p w14:paraId="7D64A0D6" w14:textId="77777777" w:rsidR="00A052DC" w:rsidRDefault="009F0A60">
            <w:pPr>
              <w:pStyle w:val="B"/>
              <w:rPr>
                <w:szCs w:val="20"/>
              </w:rPr>
            </w:pPr>
            <w:r>
              <w:rPr>
                <w:rFonts w:hint="eastAsia"/>
                <w:szCs w:val="20"/>
              </w:rPr>
              <w:t>字符型，</w:t>
            </w:r>
            <w:r>
              <w:rPr>
                <w:szCs w:val="20"/>
              </w:rPr>
              <w:t>4</w:t>
            </w:r>
          </w:p>
        </w:tc>
        <w:tc>
          <w:tcPr>
            <w:tcW w:w="4252" w:type="dxa"/>
          </w:tcPr>
          <w:p w14:paraId="187B1CAB" w14:textId="77777777" w:rsidR="00A052DC" w:rsidRDefault="009F0A60" w:rsidP="005F7609">
            <w:pPr>
              <w:pStyle w:val="B"/>
              <w:rPr>
                <w:szCs w:val="20"/>
              </w:rPr>
            </w:pPr>
            <w:r>
              <w:rPr>
                <w:rFonts w:hint="eastAsia"/>
                <w:szCs w:val="20"/>
              </w:rPr>
              <w:t>必填项，见债务类型代码表。</w:t>
            </w:r>
          </w:p>
        </w:tc>
      </w:tr>
      <w:tr w:rsidR="00A052DC" w14:paraId="308A9FEC" w14:textId="77777777">
        <w:tc>
          <w:tcPr>
            <w:tcW w:w="1418" w:type="dxa"/>
            <w:tcBorders>
              <w:top w:val="single" w:sz="4" w:space="0" w:color="auto"/>
              <w:left w:val="single" w:sz="4" w:space="0" w:color="auto"/>
              <w:bottom w:val="single" w:sz="4" w:space="0" w:color="auto"/>
              <w:right w:val="single" w:sz="4" w:space="0" w:color="auto"/>
            </w:tcBorders>
          </w:tcPr>
          <w:p w14:paraId="29E1D4CE" w14:textId="77777777" w:rsidR="00A052DC" w:rsidRDefault="009F0A60">
            <w:pPr>
              <w:pStyle w:val="B"/>
              <w:rPr>
                <w:szCs w:val="20"/>
              </w:rPr>
            </w:pPr>
            <w:r>
              <w:rPr>
                <w:szCs w:val="20"/>
              </w:rPr>
              <w:t>VALUEDATE</w:t>
            </w:r>
          </w:p>
        </w:tc>
        <w:tc>
          <w:tcPr>
            <w:tcW w:w="1701" w:type="dxa"/>
            <w:tcBorders>
              <w:top w:val="single" w:sz="4" w:space="0" w:color="auto"/>
              <w:left w:val="single" w:sz="4" w:space="0" w:color="auto"/>
              <w:bottom w:val="single" w:sz="4" w:space="0" w:color="auto"/>
              <w:right w:val="single" w:sz="4" w:space="0" w:color="auto"/>
            </w:tcBorders>
          </w:tcPr>
          <w:p w14:paraId="57ADB5A1" w14:textId="77777777" w:rsidR="00A052DC" w:rsidRDefault="009F0A60">
            <w:pPr>
              <w:pStyle w:val="B"/>
              <w:rPr>
                <w:szCs w:val="20"/>
              </w:rPr>
            </w:pPr>
            <w:r>
              <w:rPr>
                <w:rFonts w:hint="eastAsia"/>
                <w:szCs w:val="20"/>
              </w:rPr>
              <w:t>起息日</w:t>
            </w:r>
          </w:p>
        </w:tc>
        <w:tc>
          <w:tcPr>
            <w:tcW w:w="1276" w:type="dxa"/>
            <w:tcBorders>
              <w:top w:val="single" w:sz="4" w:space="0" w:color="auto"/>
              <w:left w:val="single" w:sz="4" w:space="0" w:color="auto"/>
              <w:bottom w:val="single" w:sz="4" w:space="0" w:color="auto"/>
              <w:right w:val="single" w:sz="4" w:space="0" w:color="auto"/>
            </w:tcBorders>
          </w:tcPr>
          <w:p w14:paraId="3E1DD6AD" w14:textId="77777777" w:rsidR="00A052DC" w:rsidRDefault="009F0A60">
            <w:pPr>
              <w:pStyle w:val="B"/>
              <w:rPr>
                <w:szCs w:val="20"/>
              </w:rPr>
            </w:pPr>
            <w:r>
              <w:rPr>
                <w:rFonts w:hint="eastAsia"/>
                <w:szCs w:val="20"/>
              </w:rPr>
              <w:t>日期型，</w:t>
            </w:r>
            <w:r>
              <w:rPr>
                <w:szCs w:val="20"/>
              </w:rPr>
              <w:t>8</w:t>
            </w:r>
          </w:p>
        </w:tc>
        <w:tc>
          <w:tcPr>
            <w:tcW w:w="4252" w:type="dxa"/>
            <w:tcBorders>
              <w:top w:val="single" w:sz="4" w:space="0" w:color="auto"/>
              <w:left w:val="single" w:sz="4" w:space="0" w:color="auto"/>
              <w:bottom w:val="single" w:sz="4" w:space="0" w:color="auto"/>
              <w:right w:val="single" w:sz="4" w:space="0" w:color="auto"/>
            </w:tcBorders>
          </w:tcPr>
          <w:p w14:paraId="19C187FC" w14:textId="77777777" w:rsidR="00A052DC" w:rsidRDefault="009F0A60" w:rsidP="005F7609">
            <w:pPr>
              <w:pStyle w:val="B"/>
              <w:rPr>
                <w:szCs w:val="20"/>
              </w:rPr>
            </w:pPr>
            <w:r>
              <w:rPr>
                <w:rFonts w:hint="eastAsia"/>
                <w:szCs w:val="20"/>
              </w:rPr>
              <w:t>必填项，格式</w:t>
            </w:r>
            <w:r>
              <w:rPr>
                <w:szCs w:val="20"/>
              </w:rPr>
              <w:t>YYYYMMDD</w:t>
            </w:r>
            <w:r>
              <w:rPr>
                <w:rFonts w:hint="eastAsia"/>
                <w:szCs w:val="20"/>
              </w:rPr>
              <w:t>。</w:t>
            </w:r>
          </w:p>
        </w:tc>
      </w:tr>
      <w:tr w:rsidR="00A052DC" w14:paraId="4289043B" w14:textId="77777777">
        <w:trPr>
          <w:cantSplit/>
          <w:trHeight w:val="64"/>
        </w:trPr>
        <w:tc>
          <w:tcPr>
            <w:tcW w:w="1418" w:type="dxa"/>
          </w:tcPr>
          <w:p w14:paraId="5125DE40" w14:textId="77777777" w:rsidR="00A052DC" w:rsidRDefault="009F0A60">
            <w:pPr>
              <w:pStyle w:val="B"/>
              <w:rPr>
                <w:szCs w:val="20"/>
              </w:rPr>
            </w:pPr>
            <w:r>
              <w:rPr>
                <w:szCs w:val="20"/>
              </w:rPr>
              <w:t>CONTRACTCURR</w:t>
            </w:r>
          </w:p>
        </w:tc>
        <w:tc>
          <w:tcPr>
            <w:tcW w:w="1701" w:type="dxa"/>
          </w:tcPr>
          <w:p w14:paraId="34CC1BF6" w14:textId="77777777" w:rsidR="00A052DC" w:rsidRDefault="009F0A60">
            <w:pPr>
              <w:pStyle w:val="B"/>
              <w:rPr>
                <w:szCs w:val="20"/>
              </w:rPr>
            </w:pPr>
            <w:r>
              <w:rPr>
                <w:rFonts w:hint="eastAsia"/>
                <w:szCs w:val="20"/>
              </w:rPr>
              <w:t>签约币种</w:t>
            </w:r>
          </w:p>
        </w:tc>
        <w:tc>
          <w:tcPr>
            <w:tcW w:w="1276" w:type="dxa"/>
          </w:tcPr>
          <w:p w14:paraId="155976A0" w14:textId="77777777" w:rsidR="00A052DC" w:rsidRDefault="009F0A60">
            <w:pPr>
              <w:pStyle w:val="B"/>
              <w:rPr>
                <w:szCs w:val="20"/>
              </w:rPr>
            </w:pPr>
            <w:r>
              <w:rPr>
                <w:rFonts w:hint="eastAsia"/>
                <w:szCs w:val="20"/>
              </w:rPr>
              <w:t>字符型，</w:t>
            </w:r>
            <w:r>
              <w:rPr>
                <w:szCs w:val="20"/>
              </w:rPr>
              <w:t>3</w:t>
            </w:r>
          </w:p>
        </w:tc>
        <w:tc>
          <w:tcPr>
            <w:tcW w:w="4252" w:type="dxa"/>
          </w:tcPr>
          <w:p w14:paraId="24288BD4" w14:textId="77777777" w:rsidR="00A052DC" w:rsidRDefault="009F0A60" w:rsidP="005F7609">
            <w:pPr>
              <w:pStyle w:val="B"/>
              <w:rPr>
                <w:szCs w:val="20"/>
              </w:rPr>
            </w:pPr>
            <w:r>
              <w:rPr>
                <w:rFonts w:hint="eastAsia"/>
                <w:szCs w:val="20"/>
              </w:rPr>
              <w:t>必填项，见币种代码表。</w:t>
            </w:r>
          </w:p>
        </w:tc>
      </w:tr>
      <w:tr w:rsidR="00A052DC" w14:paraId="55760ABF" w14:textId="77777777">
        <w:tc>
          <w:tcPr>
            <w:tcW w:w="1418" w:type="dxa"/>
          </w:tcPr>
          <w:p w14:paraId="1D741876" w14:textId="77777777" w:rsidR="00A052DC" w:rsidRDefault="009F0A60">
            <w:pPr>
              <w:pStyle w:val="B"/>
              <w:rPr>
                <w:szCs w:val="20"/>
              </w:rPr>
            </w:pPr>
            <w:r>
              <w:rPr>
                <w:szCs w:val="20"/>
              </w:rPr>
              <w:t>CONTRACTAMOUNT</w:t>
            </w:r>
          </w:p>
        </w:tc>
        <w:tc>
          <w:tcPr>
            <w:tcW w:w="1701" w:type="dxa"/>
          </w:tcPr>
          <w:p w14:paraId="09DB3638" w14:textId="77777777" w:rsidR="00A052DC" w:rsidRDefault="009F0A60">
            <w:pPr>
              <w:pStyle w:val="B"/>
              <w:rPr>
                <w:szCs w:val="20"/>
              </w:rPr>
            </w:pPr>
            <w:r>
              <w:rPr>
                <w:rFonts w:hint="eastAsia"/>
                <w:szCs w:val="20"/>
              </w:rPr>
              <w:t>签约金额</w:t>
            </w:r>
          </w:p>
        </w:tc>
        <w:tc>
          <w:tcPr>
            <w:tcW w:w="1276" w:type="dxa"/>
          </w:tcPr>
          <w:p w14:paraId="39BBC388" w14:textId="77777777" w:rsidR="00A052DC" w:rsidRDefault="009F0A60">
            <w:pPr>
              <w:pStyle w:val="B"/>
              <w:rPr>
                <w:szCs w:val="20"/>
              </w:rPr>
            </w:pPr>
            <w:r>
              <w:rPr>
                <w:rFonts w:hint="eastAsia"/>
                <w:szCs w:val="20"/>
              </w:rPr>
              <w:t>数值型，</w:t>
            </w:r>
            <w:r>
              <w:rPr>
                <w:szCs w:val="20"/>
              </w:rPr>
              <w:t>22.2</w:t>
            </w:r>
          </w:p>
        </w:tc>
        <w:tc>
          <w:tcPr>
            <w:tcW w:w="4252" w:type="dxa"/>
          </w:tcPr>
          <w:p w14:paraId="7349134B" w14:textId="77777777" w:rsidR="00A052DC" w:rsidRDefault="009F0A60">
            <w:pPr>
              <w:pStyle w:val="B"/>
              <w:rPr>
                <w:szCs w:val="20"/>
              </w:rPr>
            </w:pPr>
            <w:r>
              <w:rPr>
                <w:rFonts w:hint="eastAsia"/>
                <w:szCs w:val="20"/>
              </w:rPr>
              <w:t>必填项，大于等于</w:t>
            </w:r>
            <w:r>
              <w:rPr>
                <w:szCs w:val="20"/>
              </w:rPr>
              <w:t>0</w:t>
            </w:r>
            <w:r>
              <w:rPr>
                <w:rFonts w:hint="eastAsia"/>
                <w:szCs w:val="20"/>
              </w:rPr>
              <w:t>。</w:t>
            </w:r>
          </w:p>
        </w:tc>
      </w:tr>
      <w:tr w:rsidR="00A052DC" w14:paraId="36A68290" w14:textId="77777777">
        <w:tc>
          <w:tcPr>
            <w:tcW w:w="1418" w:type="dxa"/>
          </w:tcPr>
          <w:p w14:paraId="2C872DCF" w14:textId="77777777" w:rsidR="00A052DC" w:rsidRDefault="009F0A60">
            <w:pPr>
              <w:pStyle w:val="B"/>
              <w:rPr>
                <w:szCs w:val="20"/>
              </w:rPr>
            </w:pPr>
            <w:r>
              <w:rPr>
                <w:szCs w:val="20"/>
              </w:rPr>
              <w:t>Maturity</w:t>
            </w:r>
          </w:p>
        </w:tc>
        <w:tc>
          <w:tcPr>
            <w:tcW w:w="1701" w:type="dxa"/>
          </w:tcPr>
          <w:p w14:paraId="58F531AB" w14:textId="77777777" w:rsidR="00A052DC" w:rsidRDefault="009F0A60">
            <w:pPr>
              <w:pStyle w:val="B"/>
              <w:rPr>
                <w:szCs w:val="20"/>
              </w:rPr>
            </w:pPr>
            <w:r>
              <w:rPr>
                <w:rFonts w:hint="eastAsia"/>
                <w:szCs w:val="20"/>
              </w:rPr>
              <w:t>到期日</w:t>
            </w:r>
          </w:p>
        </w:tc>
        <w:tc>
          <w:tcPr>
            <w:tcW w:w="1276" w:type="dxa"/>
          </w:tcPr>
          <w:p w14:paraId="517F544C" w14:textId="77777777" w:rsidR="00A052DC" w:rsidRDefault="009F0A60">
            <w:pPr>
              <w:pStyle w:val="B"/>
              <w:rPr>
                <w:szCs w:val="20"/>
              </w:rPr>
            </w:pPr>
            <w:r>
              <w:rPr>
                <w:rFonts w:hint="eastAsia"/>
                <w:szCs w:val="20"/>
              </w:rPr>
              <w:t>日期型，</w:t>
            </w:r>
            <w:r>
              <w:rPr>
                <w:szCs w:val="20"/>
              </w:rPr>
              <w:t>8</w:t>
            </w:r>
          </w:p>
        </w:tc>
        <w:tc>
          <w:tcPr>
            <w:tcW w:w="4252" w:type="dxa"/>
          </w:tcPr>
          <w:p w14:paraId="1CD1C606" w14:textId="77777777" w:rsidR="00A052DC" w:rsidRDefault="009F0A60" w:rsidP="005F7609">
            <w:pPr>
              <w:pStyle w:val="B"/>
              <w:rPr>
                <w:szCs w:val="20"/>
              </w:rPr>
            </w:pPr>
            <w:r>
              <w:rPr>
                <w:rFonts w:hint="eastAsia"/>
                <w:szCs w:val="20"/>
              </w:rPr>
              <w:t>必填项，格式</w:t>
            </w:r>
            <w:r>
              <w:rPr>
                <w:szCs w:val="20"/>
              </w:rPr>
              <w:t>YYYYMMDD</w:t>
            </w:r>
            <w:r>
              <w:rPr>
                <w:rFonts w:hint="eastAsia"/>
                <w:szCs w:val="20"/>
              </w:rPr>
              <w:t>，大于等于起息日。</w:t>
            </w:r>
          </w:p>
        </w:tc>
      </w:tr>
      <w:tr w:rsidR="00A052DC" w14:paraId="622D25E5" w14:textId="77777777">
        <w:tc>
          <w:tcPr>
            <w:tcW w:w="1418" w:type="dxa"/>
          </w:tcPr>
          <w:p w14:paraId="2CEB9280" w14:textId="77777777" w:rsidR="00A052DC" w:rsidRDefault="009F0A60">
            <w:pPr>
              <w:pStyle w:val="B"/>
              <w:rPr>
                <w:szCs w:val="20"/>
              </w:rPr>
            </w:pPr>
            <w:r>
              <w:rPr>
                <w:szCs w:val="20"/>
              </w:rPr>
              <w:t>FLOATRATE</w:t>
            </w:r>
          </w:p>
        </w:tc>
        <w:tc>
          <w:tcPr>
            <w:tcW w:w="1701" w:type="dxa"/>
          </w:tcPr>
          <w:p w14:paraId="645FF737" w14:textId="77777777" w:rsidR="00A052DC" w:rsidRDefault="009F0A60">
            <w:pPr>
              <w:pStyle w:val="B"/>
              <w:rPr>
                <w:szCs w:val="20"/>
              </w:rPr>
            </w:pPr>
            <w:r>
              <w:rPr>
                <w:rFonts w:hint="eastAsia"/>
                <w:szCs w:val="20"/>
              </w:rPr>
              <w:t>是否浮动利率</w:t>
            </w:r>
          </w:p>
        </w:tc>
        <w:tc>
          <w:tcPr>
            <w:tcW w:w="1276" w:type="dxa"/>
          </w:tcPr>
          <w:p w14:paraId="509BD418" w14:textId="77777777" w:rsidR="00A052DC" w:rsidRDefault="009F0A60">
            <w:pPr>
              <w:pStyle w:val="B"/>
              <w:rPr>
                <w:szCs w:val="20"/>
              </w:rPr>
            </w:pPr>
            <w:r>
              <w:rPr>
                <w:rFonts w:hint="eastAsia"/>
                <w:szCs w:val="20"/>
              </w:rPr>
              <w:t>字符型，</w:t>
            </w:r>
            <w:r>
              <w:rPr>
                <w:szCs w:val="20"/>
              </w:rPr>
              <w:t>1</w:t>
            </w:r>
          </w:p>
        </w:tc>
        <w:tc>
          <w:tcPr>
            <w:tcW w:w="4252" w:type="dxa"/>
          </w:tcPr>
          <w:p w14:paraId="052471C4" w14:textId="77777777" w:rsidR="00A052DC" w:rsidRDefault="009F0A60">
            <w:pPr>
              <w:pStyle w:val="B"/>
              <w:rPr>
                <w:szCs w:val="20"/>
              </w:rPr>
            </w:pPr>
            <w:r>
              <w:rPr>
                <w:rFonts w:hint="eastAsia"/>
                <w:szCs w:val="20"/>
              </w:rPr>
              <w:t>必填项，是</w:t>
            </w:r>
            <w:r>
              <w:rPr>
                <w:szCs w:val="20"/>
              </w:rPr>
              <w:t>-Y</w:t>
            </w:r>
            <w:r>
              <w:rPr>
                <w:rFonts w:hint="eastAsia"/>
                <w:szCs w:val="20"/>
              </w:rPr>
              <w:t>，否</w:t>
            </w:r>
            <w:r>
              <w:rPr>
                <w:szCs w:val="20"/>
              </w:rPr>
              <w:t>-N</w:t>
            </w:r>
            <w:r>
              <w:rPr>
                <w:rFonts w:hint="eastAsia"/>
                <w:szCs w:val="20"/>
              </w:rPr>
              <w:t>，默认为否，填写</w:t>
            </w:r>
            <w:r>
              <w:rPr>
                <w:szCs w:val="20"/>
              </w:rPr>
              <w:t>N</w:t>
            </w:r>
            <w:r>
              <w:rPr>
                <w:rFonts w:hint="eastAsia"/>
                <w:szCs w:val="20"/>
              </w:rPr>
              <w:t>。</w:t>
            </w:r>
          </w:p>
        </w:tc>
      </w:tr>
      <w:tr w:rsidR="00A052DC" w14:paraId="13D1C254" w14:textId="77777777">
        <w:tc>
          <w:tcPr>
            <w:tcW w:w="1418" w:type="dxa"/>
          </w:tcPr>
          <w:p w14:paraId="7913BD25" w14:textId="77777777" w:rsidR="00A052DC" w:rsidRDefault="009F0A60">
            <w:pPr>
              <w:pStyle w:val="B"/>
              <w:rPr>
                <w:szCs w:val="20"/>
              </w:rPr>
            </w:pPr>
            <w:r>
              <w:rPr>
                <w:szCs w:val="20"/>
              </w:rPr>
              <w:t>ANNINRATE</w:t>
            </w:r>
          </w:p>
        </w:tc>
        <w:tc>
          <w:tcPr>
            <w:tcW w:w="1701" w:type="dxa"/>
          </w:tcPr>
          <w:p w14:paraId="054C376C" w14:textId="77777777" w:rsidR="00A052DC" w:rsidRDefault="009F0A60">
            <w:pPr>
              <w:pStyle w:val="B"/>
              <w:rPr>
                <w:szCs w:val="20"/>
              </w:rPr>
            </w:pPr>
            <w:r>
              <w:rPr>
                <w:rFonts w:hint="eastAsia"/>
                <w:szCs w:val="20"/>
              </w:rPr>
              <w:t>年化利率值</w:t>
            </w:r>
          </w:p>
        </w:tc>
        <w:tc>
          <w:tcPr>
            <w:tcW w:w="1276" w:type="dxa"/>
          </w:tcPr>
          <w:p w14:paraId="57F6CAD4" w14:textId="77777777" w:rsidR="00A052DC" w:rsidRDefault="009F0A60">
            <w:pPr>
              <w:pStyle w:val="B"/>
              <w:rPr>
                <w:szCs w:val="20"/>
              </w:rPr>
            </w:pPr>
            <w:r>
              <w:rPr>
                <w:rFonts w:hint="eastAsia"/>
                <w:szCs w:val="20"/>
              </w:rPr>
              <w:t>数值型，</w:t>
            </w:r>
            <w:r>
              <w:rPr>
                <w:szCs w:val="20"/>
              </w:rPr>
              <w:t>13.8</w:t>
            </w:r>
          </w:p>
        </w:tc>
        <w:tc>
          <w:tcPr>
            <w:tcW w:w="4252" w:type="dxa"/>
          </w:tcPr>
          <w:p w14:paraId="31D00161" w14:textId="77777777" w:rsidR="00A052DC" w:rsidRDefault="009F0A60" w:rsidP="005F7609">
            <w:pPr>
              <w:pStyle w:val="B"/>
              <w:rPr>
                <w:szCs w:val="20"/>
              </w:rPr>
            </w:pPr>
            <w:r>
              <w:rPr>
                <w:rFonts w:hint="eastAsia"/>
                <w:szCs w:val="20"/>
              </w:rPr>
              <w:t>必填项，大于等于</w:t>
            </w:r>
            <w:r>
              <w:rPr>
                <w:szCs w:val="20"/>
              </w:rPr>
              <w:t>0</w:t>
            </w:r>
            <w:r>
              <w:rPr>
                <w:rFonts w:hint="eastAsia"/>
                <w:szCs w:val="20"/>
              </w:rPr>
              <w:t>，按小数填写</w:t>
            </w:r>
            <w:r w:rsidR="005F7609">
              <w:rPr>
                <w:rFonts w:hint="eastAsia"/>
                <w:szCs w:val="20"/>
              </w:rPr>
              <w:t>。</w:t>
            </w:r>
            <w:r>
              <w:rPr>
                <w:rFonts w:hint="eastAsia"/>
                <w:szCs w:val="20"/>
              </w:rPr>
              <w:t>如利率为</w:t>
            </w:r>
            <w:r>
              <w:rPr>
                <w:szCs w:val="20"/>
              </w:rPr>
              <w:t>3.21%</w:t>
            </w:r>
            <w:r>
              <w:rPr>
                <w:rFonts w:hint="eastAsia"/>
                <w:szCs w:val="20"/>
              </w:rPr>
              <w:t>，则填写</w:t>
            </w:r>
            <w:r>
              <w:rPr>
                <w:szCs w:val="20"/>
              </w:rPr>
              <w:t>0.0321</w:t>
            </w:r>
            <w:r>
              <w:rPr>
                <w:rFonts w:hint="eastAsia"/>
                <w:szCs w:val="20"/>
              </w:rPr>
              <w:t>。</w:t>
            </w:r>
          </w:p>
        </w:tc>
      </w:tr>
      <w:tr w:rsidR="00A052DC" w14:paraId="4B73B89B" w14:textId="77777777">
        <w:tc>
          <w:tcPr>
            <w:tcW w:w="1418" w:type="dxa"/>
          </w:tcPr>
          <w:p w14:paraId="7118CD0E" w14:textId="77777777" w:rsidR="00A052DC" w:rsidRDefault="009F0A60">
            <w:pPr>
              <w:pStyle w:val="B"/>
              <w:rPr>
                <w:szCs w:val="20"/>
              </w:rPr>
            </w:pPr>
            <w:r>
              <w:rPr>
                <w:szCs w:val="20"/>
              </w:rPr>
              <w:t>CREDITORCODE</w:t>
            </w:r>
          </w:p>
        </w:tc>
        <w:tc>
          <w:tcPr>
            <w:tcW w:w="1701" w:type="dxa"/>
          </w:tcPr>
          <w:p w14:paraId="5F7F894C" w14:textId="77777777" w:rsidR="00A052DC" w:rsidRDefault="009F0A60">
            <w:pPr>
              <w:pStyle w:val="B"/>
              <w:rPr>
                <w:szCs w:val="20"/>
              </w:rPr>
            </w:pPr>
            <w:r>
              <w:rPr>
                <w:rFonts w:hint="eastAsia"/>
                <w:szCs w:val="20"/>
              </w:rPr>
              <w:t>债权人代码</w:t>
            </w:r>
          </w:p>
        </w:tc>
        <w:tc>
          <w:tcPr>
            <w:tcW w:w="1276" w:type="dxa"/>
          </w:tcPr>
          <w:p w14:paraId="3AC30226" w14:textId="77777777" w:rsidR="00A052DC" w:rsidRDefault="009F0A60">
            <w:pPr>
              <w:pStyle w:val="B"/>
              <w:rPr>
                <w:szCs w:val="20"/>
              </w:rPr>
            </w:pPr>
            <w:r>
              <w:rPr>
                <w:rFonts w:hint="eastAsia"/>
                <w:szCs w:val="20"/>
              </w:rPr>
              <w:t>字符型，</w:t>
            </w:r>
            <w:r>
              <w:rPr>
                <w:szCs w:val="20"/>
              </w:rPr>
              <w:t>11</w:t>
            </w:r>
          </w:p>
        </w:tc>
        <w:tc>
          <w:tcPr>
            <w:tcW w:w="4252" w:type="dxa"/>
          </w:tcPr>
          <w:p w14:paraId="663647F7" w14:textId="77777777" w:rsidR="00A052DC" w:rsidRDefault="009F0A60">
            <w:pPr>
              <w:pStyle w:val="B"/>
              <w:rPr>
                <w:szCs w:val="20"/>
              </w:rPr>
            </w:pPr>
            <w:r>
              <w:rPr>
                <w:rFonts w:hint="eastAsia"/>
                <w:szCs w:val="20"/>
              </w:rPr>
              <w:t>必填项。</w:t>
            </w:r>
          </w:p>
        </w:tc>
      </w:tr>
      <w:tr w:rsidR="00A052DC" w14:paraId="5247BF8E" w14:textId="77777777">
        <w:tc>
          <w:tcPr>
            <w:tcW w:w="1418" w:type="dxa"/>
          </w:tcPr>
          <w:p w14:paraId="317DDF09" w14:textId="77777777" w:rsidR="00A052DC" w:rsidRDefault="009F0A60">
            <w:pPr>
              <w:pStyle w:val="B"/>
              <w:rPr>
                <w:szCs w:val="20"/>
              </w:rPr>
            </w:pPr>
            <w:r>
              <w:rPr>
                <w:szCs w:val="20"/>
              </w:rPr>
              <w:t>CREDITORNAME</w:t>
            </w:r>
          </w:p>
        </w:tc>
        <w:tc>
          <w:tcPr>
            <w:tcW w:w="1701" w:type="dxa"/>
          </w:tcPr>
          <w:p w14:paraId="44E2361C" w14:textId="77777777" w:rsidR="00A052DC" w:rsidRDefault="009F0A60">
            <w:pPr>
              <w:pStyle w:val="B"/>
              <w:rPr>
                <w:szCs w:val="20"/>
              </w:rPr>
            </w:pPr>
            <w:r>
              <w:rPr>
                <w:rFonts w:hint="eastAsia"/>
                <w:szCs w:val="20"/>
              </w:rPr>
              <w:t>债权人中文名称</w:t>
            </w:r>
          </w:p>
        </w:tc>
        <w:tc>
          <w:tcPr>
            <w:tcW w:w="1276" w:type="dxa"/>
          </w:tcPr>
          <w:p w14:paraId="3542A1D8" w14:textId="77777777" w:rsidR="00A052DC" w:rsidRDefault="009F0A60">
            <w:pPr>
              <w:pStyle w:val="B"/>
              <w:rPr>
                <w:szCs w:val="20"/>
              </w:rPr>
            </w:pPr>
            <w:r>
              <w:rPr>
                <w:rFonts w:hint="eastAsia"/>
                <w:szCs w:val="20"/>
              </w:rPr>
              <w:t>字符型，</w:t>
            </w:r>
            <w:r>
              <w:rPr>
                <w:szCs w:val="20"/>
              </w:rPr>
              <w:t>128</w:t>
            </w:r>
          </w:p>
        </w:tc>
        <w:tc>
          <w:tcPr>
            <w:tcW w:w="4252" w:type="dxa"/>
          </w:tcPr>
          <w:p w14:paraId="5847B4DB" w14:textId="77777777" w:rsidR="00A052DC" w:rsidRDefault="009F0A60">
            <w:pPr>
              <w:pStyle w:val="B"/>
              <w:rPr>
                <w:szCs w:val="20"/>
              </w:rPr>
            </w:pPr>
            <w:r>
              <w:rPr>
                <w:rFonts w:hint="eastAsia"/>
                <w:szCs w:val="20"/>
              </w:rPr>
              <w:t>非必填项，</w:t>
            </w:r>
          </w:p>
          <w:p w14:paraId="51F22A25" w14:textId="77777777" w:rsidR="00A052DC" w:rsidRDefault="009F0A60">
            <w:pPr>
              <w:pStyle w:val="B"/>
              <w:rPr>
                <w:szCs w:val="20"/>
              </w:rPr>
            </w:pPr>
            <w:r>
              <w:rPr>
                <w:rFonts w:hint="eastAsia"/>
                <w:szCs w:val="20"/>
              </w:rPr>
              <w:t>债权人中文名称和债权人英文名称至少填写一个。</w:t>
            </w:r>
          </w:p>
        </w:tc>
      </w:tr>
      <w:tr w:rsidR="00A052DC" w14:paraId="7B681051" w14:textId="77777777">
        <w:tc>
          <w:tcPr>
            <w:tcW w:w="1418" w:type="dxa"/>
          </w:tcPr>
          <w:p w14:paraId="258C9CEE" w14:textId="77777777" w:rsidR="00A052DC" w:rsidRDefault="009F0A60">
            <w:pPr>
              <w:pStyle w:val="B"/>
              <w:rPr>
                <w:szCs w:val="20"/>
              </w:rPr>
            </w:pPr>
            <w:r>
              <w:rPr>
                <w:szCs w:val="20"/>
              </w:rPr>
              <w:t>CREDITORNAMEN</w:t>
            </w:r>
          </w:p>
        </w:tc>
        <w:tc>
          <w:tcPr>
            <w:tcW w:w="1701" w:type="dxa"/>
          </w:tcPr>
          <w:p w14:paraId="1E6D10FB" w14:textId="77777777" w:rsidR="00A052DC" w:rsidRDefault="009F0A60">
            <w:pPr>
              <w:pStyle w:val="B"/>
              <w:rPr>
                <w:szCs w:val="20"/>
              </w:rPr>
            </w:pPr>
            <w:r>
              <w:rPr>
                <w:rFonts w:hint="eastAsia"/>
                <w:szCs w:val="20"/>
              </w:rPr>
              <w:t>债权人英文名称</w:t>
            </w:r>
          </w:p>
        </w:tc>
        <w:tc>
          <w:tcPr>
            <w:tcW w:w="1276" w:type="dxa"/>
          </w:tcPr>
          <w:p w14:paraId="593141B4" w14:textId="77777777" w:rsidR="00A052DC" w:rsidRDefault="009F0A60">
            <w:pPr>
              <w:pStyle w:val="B"/>
              <w:rPr>
                <w:szCs w:val="20"/>
              </w:rPr>
            </w:pPr>
            <w:r>
              <w:rPr>
                <w:rFonts w:hint="eastAsia"/>
                <w:szCs w:val="20"/>
              </w:rPr>
              <w:t>字符型，</w:t>
            </w:r>
            <w:r>
              <w:rPr>
                <w:szCs w:val="20"/>
              </w:rPr>
              <w:t>128</w:t>
            </w:r>
          </w:p>
        </w:tc>
        <w:tc>
          <w:tcPr>
            <w:tcW w:w="4252" w:type="dxa"/>
          </w:tcPr>
          <w:p w14:paraId="51B26C08" w14:textId="77777777" w:rsidR="00A052DC" w:rsidRDefault="009F0A60">
            <w:pPr>
              <w:pStyle w:val="B"/>
              <w:rPr>
                <w:szCs w:val="20"/>
              </w:rPr>
            </w:pPr>
            <w:r>
              <w:rPr>
                <w:rFonts w:hint="eastAsia"/>
                <w:szCs w:val="20"/>
              </w:rPr>
              <w:t>非必填项，</w:t>
            </w:r>
          </w:p>
          <w:p w14:paraId="44E76059" w14:textId="77777777" w:rsidR="00A052DC" w:rsidRDefault="009F0A60">
            <w:pPr>
              <w:pStyle w:val="B"/>
              <w:rPr>
                <w:szCs w:val="20"/>
              </w:rPr>
            </w:pPr>
            <w:r>
              <w:rPr>
                <w:rFonts w:hint="eastAsia"/>
                <w:szCs w:val="20"/>
              </w:rPr>
              <w:t>债权人中文名称和债权人英文名称至少填写一个。</w:t>
            </w:r>
          </w:p>
        </w:tc>
      </w:tr>
      <w:tr w:rsidR="00A052DC" w14:paraId="4347C3A0" w14:textId="77777777">
        <w:tc>
          <w:tcPr>
            <w:tcW w:w="1418" w:type="dxa"/>
          </w:tcPr>
          <w:p w14:paraId="6246F965" w14:textId="77777777" w:rsidR="00A052DC" w:rsidRDefault="009F0A60">
            <w:pPr>
              <w:pStyle w:val="B"/>
              <w:rPr>
                <w:szCs w:val="20"/>
              </w:rPr>
            </w:pPr>
            <w:r>
              <w:rPr>
                <w:szCs w:val="20"/>
              </w:rPr>
              <w:t>CREDITORTYPE</w:t>
            </w:r>
          </w:p>
        </w:tc>
        <w:tc>
          <w:tcPr>
            <w:tcW w:w="1701" w:type="dxa"/>
          </w:tcPr>
          <w:p w14:paraId="57DA8F33" w14:textId="77777777" w:rsidR="00A052DC" w:rsidRDefault="009F0A60">
            <w:pPr>
              <w:pStyle w:val="B"/>
              <w:rPr>
                <w:szCs w:val="20"/>
              </w:rPr>
            </w:pPr>
            <w:r>
              <w:rPr>
                <w:rFonts w:hint="eastAsia"/>
                <w:szCs w:val="20"/>
              </w:rPr>
              <w:t>债权人类型代码</w:t>
            </w:r>
          </w:p>
        </w:tc>
        <w:tc>
          <w:tcPr>
            <w:tcW w:w="1276" w:type="dxa"/>
          </w:tcPr>
          <w:p w14:paraId="76B48CDD" w14:textId="77777777" w:rsidR="00A052DC" w:rsidRDefault="009F0A60">
            <w:pPr>
              <w:pStyle w:val="B"/>
              <w:rPr>
                <w:szCs w:val="20"/>
              </w:rPr>
            </w:pPr>
            <w:r>
              <w:rPr>
                <w:rFonts w:hint="eastAsia"/>
                <w:szCs w:val="20"/>
              </w:rPr>
              <w:t>字符型，</w:t>
            </w:r>
            <w:r>
              <w:rPr>
                <w:szCs w:val="20"/>
              </w:rPr>
              <w:t>8</w:t>
            </w:r>
          </w:p>
        </w:tc>
        <w:tc>
          <w:tcPr>
            <w:tcW w:w="4252" w:type="dxa"/>
          </w:tcPr>
          <w:p w14:paraId="078CE55D" w14:textId="77777777" w:rsidR="00A052DC" w:rsidRDefault="009F0A60">
            <w:pPr>
              <w:pStyle w:val="B"/>
              <w:rPr>
                <w:szCs w:val="20"/>
              </w:rPr>
            </w:pPr>
            <w:r>
              <w:rPr>
                <w:rFonts w:hint="eastAsia"/>
                <w:szCs w:val="20"/>
              </w:rPr>
              <w:t>必填项，，应为资本市场所对应的债权人类型代码。</w:t>
            </w:r>
          </w:p>
        </w:tc>
      </w:tr>
      <w:tr w:rsidR="00A052DC" w14:paraId="6698A5E0" w14:textId="77777777">
        <w:tc>
          <w:tcPr>
            <w:tcW w:w="1418" w:type="dxa"/>
          </w:tcPr>
          <w:p w14:paraId="3328BCB9" w14:textId="77777777" w:rsidR="00A052DC" w:rsidRDefault="009F0A60">
            <w:pPr>
              <w:pStyle w:val="B"/>
              <w:rPr>
                <w:szCs w:val="20"/>
              </w:rPr>
            </w:pPr>
            <w:r>
              <w:rPr>
                <w:szCs w:val="20"/>
              </w:rPr>
              <w:t>CREHQCODE</w:t>
            </w:r>
          </w:p>
        </w:tc>
        <w:tc>
          <w:tcPr>
            <w:tcW w:w="1701" w:type="dxa"/>
          </w:tcPr>
          <w:p w14:paraId="3CDCD8C1" w14:textId="77777777" w:rsidR="00A052DC" w:rsidRDefault="009F0A60">
            <w:pPr>
              <w:pStyle w:val="B"/>
              <w:rPr>
                <w:szCs w:val="20"/>
              </w:rPr>
            </w:pPr>
            <w:r>
              <w:rPr>
                <w:rFonts w:hint="eastAsia"/>
                <w:szCs w:val="20"/>
              </w:rPr>
              <w:t>债权人总部所在国家（地区）代码</w:t>
            </w:r>
          </w:p>
        </w:tc>
        <w:tc>
          <w:tcPr>
            <w:tcW w:w="1276" w:type="dxa"/>
          </w:tcPr>
          <w:p w14:paraId="7F742BE4" w14:textId="77777777" w:rsidR="00A052DC" w:rsidRDefault="009F0A60">
            <w:pPr>
              <w:pStyle w:val="B"/>
              <w:rPr>
                <w:szCs w:val="20"/>
              </w:rPr>
            </w:pPr>
            <w:r>
              <w:rPr>
                <w:rFonts w:hint="eastAsia"/>
                <w:szCs w:val="20"/>
              </w:rPr>
              <w:t>字符型，</w:t>
            </w:r>
            <w:r>
              <w:rPr>
                <w:szCs w:val="20"/>
              </w:rPr>
              <w:t>3</w:t>
            </w:r>
          </w:p>
        </w:tc>
        <w:tc>
          <w:tcPr>
            <w:tcW w:w="4252" w:type="dxa"/>
          </w:tcPr>
          <w:p w14:paraId="26C4CA7B" w14:textId="77777777" w:rsidR="00A052DC" w:rsidRDefault="009F0A60">
            <w:pPr>
              <w:pStyle w:val="B"/>
              <w:rPr>
                <w:szCs w:val="20"/>
              </w:rPr>
            </w:pPr>
            <w:r>
              <w:rPr>
                <w:rFonts w:hint="eastAsia"/>
                <w:szCs w:val="20"/>
              </w:rPr>
              <w:t>必填项，见国家和地区代码表。</w:t>
            </w:r>
          </w:p>
        </w:tc>
      </w:tr>
      <w:tr w:rsidR="00A052DC" w14:paraId="5A3C06DC" w14:textId="77777777">
        <w:tc>
          <w:tcPr>
            <w:tcW w:w="1418" w:type="dxa"/>
          </w:tcPr>
          <w:p w14:paraId="09207060" w14:textId="77777777" w:rsidR="00A052DC" w:rsidRDefault="009F0A60">
            <w:pPr>
              <w:pStyle w:val="B"/>
              <w:rPr>
                <w:szCs w:val="20"/>
              </w:rPr>
            </w:pPr>
            <w:r>
              <w:rPr>
                <w:szCs w:val="20"/>
              </w:rPr>
              <w:t>OPERCODE</w:t>
            </w:r>
          </w:p>
        </w:tc>
        <w:tc>
          <w:tcPr>
            <w:tcW w:w="1701" w:type="dxa"/>
          </w:tcPr>
          <w:p w14:paraId="3C83B8DD" w14:textId="77777777" w:rsidR="00A052DC" w:rsidRDefault="009F0A60">
            <w:pPr>
              <w:pStyle w:val="B"/>
              <w:rPr>
                <w:szCs w:val="20"/>
              </w:rPr>
            </w:pPr>
            <w:r>
              <w:rPr>
                <w:rFonts w:hint="eastAsia"/>
                <w:szCs w:val="20"/>
              </w:rPr>
              <w:t>债权人经营地所在国家（地区）代码</w:t>
            </w:r>
          </w:p>
        </w:tc>
        <w:tc>
          <w:tcPr>
            <w:tcW w:w="1276" w:type="dxa"/>
          </w:tcPr>
          <w:p w14:paraId="2457D3A6" w14:textId="77777777" w:rsidR="00A052DC" w:rsidRDefault="009F0A60">
            <w:pPr>
              <w:pStyle w:val="B"/>
              <w:rPr>
                <w:szCs w:val="20"/>
              </w:rPr>
            </w:pPr>
            <w:r>
              <w:rPr>
                <w:rFonts w:hint="eastAsia"/>
                <w:szCs w:val="20"/>
              </w:rPr>
              <w:t>字符型，</w:t>
            </w:r>
            <w:r>
              <w:rPr>
                <w:szCs w:val="20"/>
              </w:rPr>
              <w:t>3</w:t>
            </w:r>
          </w:p>
        </w:tc>
        <w:tc>
          <w:tcPr>
            <w:tcW w:w="4252" w:type="dxa"/>
          </w:tcPr>
          <w:p w14:paraId="585F4738" w14:textId="77777777" w:rsidR="00A052DC" w:rsidRDefault="009F0A60">
            <w:pPr>
              <w:pStyle w:val="B"/>
              <w:rPr>
                <w:szCs w:val="20"/>
              </w:rPr>
            </w:pPr>
            <w:r>
              <w:rPr>
                <w:rFonts w:hint="eastAsia"/>
                <w:szCs w:val="20"/>
              </w:rPr>
              <w:t>必填项，见国家和地区代码表。当债权人类型代码不为“境内银行离岸部（20001403）”时,不能为中国CHN。</w:t>
            </w:r>
          </w:p>
        </w:tc>
      </w:tr>
      <w:tr w:rsidR="00A052DC" w14:paraId="6641BF49" w14:textId="77777777">
        <w:tc>
          <w:tcPr>
            <w:tcW w:w="1418" w:type="dxa"/>
          </w:tcPr>
          <w:p w14:paraId="4BE005C1" w14:textId="77777777" w:rsidR="00A052DC" w:rsidRDefault="009F0A60">
            <w:pPr>
              <w:pStyle w:val="B"/>
              <w:rPr>
                <w:szCs w:val="20"/>
              </w:rPr>
            </w:pPr>
            <w:r>
              <w:rPr>
                <w:szCs w:val="20"/>
              </w:rPr>
              <w:t>SPAPFEBOINDEX</w:t>
            </w:r>
          </w:p>
        </w:tc>
        <w:tc>
          <w:tcPr>
            <w:tcW w:w="1701" w:type="dxa"/>
          </w:tcPr>
          <w:p w14:paraId="6C49A32A" w14:textId="77777777" w:rsidR="00A052DC" w:rsidRDefault="009F0A60">
            <w:pPr>
              <w:pStyle w:val="B"/>
              <w:rPr>
                <w:szCs w:val="20"/>
              </w:rPr>
            </w:pPr>
            <w:r>
              <w:rPr>
                <w:rFonts w:hint="eastAsia"/>
                <w:szCs w:val="20"/>
              </w:rPr>
              <w:t>是否不纳入跨境融资风险加权余额计算</w:t>
            </w:r>
          </w:p>
        </w:tc>
        <w:tc>
          <w:tcPr>
            <w:tcW w:w="1276" w:type="dxa"/>
          </w:tcPr>
          <w:p w14:paraId="60056B3B" w14:textId="77777777" w:rsidR="00A052DC" w:rsidRDefault="009F0A60">
            <w:pPr>
              <w:pStyle w:val="B"/>
              <w:rPr>
                <w:szCs w:val="20"/>
              </w:rPr>
            </w:pPr>
            <w:r>
              <w:rPr>
                <w:rFonts w:hint="eastAsia"/>
                <w:szCs w:val="20"/>
              </w:rPr>
              <w:t>字符型，</w:t>
            </w:r>
            <w:r>
              <w:rPr>
                <w:szCs w:val="20"/>
              </w:rPr>
              <w:t>1</w:t>
            </w:r>
          </w:p>
        </w:tc>
        <w:tc>
          <w:tcPr>
            <w:tcW w:w="4252" w:type="dxa"/>
          </w:tcPr>
          <w:p w14:paraId="4AEFA2B4" w14:textId="77777777" w:rsidR="00A052DC" w:rsidRDefault="009F0A60">
            <w:pPr>
              <w:pStyle w:val="B"/>
              <w:rPr>
                <w:szCs w:val="20"/>
              </w:rPr>
            </w:pPr>
            <w:r>
              <w:rPr>
                <w:rFonts w:hint="eastAsia"/>
                <w:szCs w:val="20"/>
              </w:rPr>
              <w:t>必填项，是</w:t>
            </w:r>
            <w:r>
              <w:rPr>
                <w:szCs w:val="20"/>
              </w:rPr>
              <w:t>-Y</w:t>
            </w:r>
            <w:r>
              <w:rPr>
                <w:rFonts w:hint="eastAsia"/>
                <w:szCs w:val="20"/>
              </w:rPr>
              <w:t>，否</w:t>
            </w:r>
            <w:r>
              <w:rPr>
                <w:szCs w:val="20"/>
              </w:rPr>
              <w:t>-N</w:t>
            </w:r>
            <w:r>
              <w:rPr>
                <w:rFonts w:hint="eastAsia"/>
                <w:szCs w:val="20"/>
              </w:rPr>
              <w:t>，默认为否，填写</w:t>
            </w:r>
            <w:r>
              <w:rPr>
                <w:szCs w:val="20"/>
              </w:rPr>
              <w:t>N</w:t>
            </w:r>
            <w:r>
              <w:rPr>
                <w:rFonts w:hint="eastAsia"/>
                <w:szCs w:val="20"/>
              </w:rPr>
              <w:t>。</w:t>
            </w:r>
          </w:p>
        </w:tc>
      </w:tr>
      <w:tr w:rsidR="00A052DC" w14:paraId="259DC4AB" w14:textId="77777777">
        <w:tc>
          <w:tcPr>
            <w:tcW w:w="1418" w:type="dxa"/>
          </w:tcPr>
          <w:p w14:paraId="035442F1" w14:textId="77777777" w:rsidR="00A052DC" w:rsidRDefault="009F0A60">
            <w:pPr>
              <w:pStyle w:val="B"/>
              <w:rPr>
                <w:szCs w:val="20"/>
              </w:rPr>
            </w:pPr>
            <w:r>
              <w:rPr>
                <w:szCs w:val="20"/>
              </w:rPr>
              <w:t>ISINCODE</w:t>
            </w:r>
          </w:p>
        </w:tc>
        <w:tc>
          <w:tcPr>
            <w:tcW w:w="1701" w:type="dxa"/>
          </w:tcPr>
          <w:p w14:paraId="5298CED9" w14:textId="77777777" w:rsidR="00A052DC" w:rsidRDefault="009F0A60">
            <w:pPr>
              <w:pStyle w:val="B"/>
              <w:rPr>
                <w:szCs w:val="20"/>
              </w:rPr>
            </w:pPr>
            <w:r>
              <w:rPr>
                <w:szCs w:val="20"/>
              </w:rPr>
              <w:t>ISIN CODE</w:t>
            </w:r>
          </w:p>
        </w:tc>
        <w:tc>
          <w:tcPr>
            <w:tcW w:w="1276" w:type="dxa"/>
          </w:tcPr>
          <w:p w14:paraId="4B44369F" w14:textId="77777777" w:rsidR="00A052DC" w:rsidRDefault="009F0A60">
            <w:pPr>
              <w:pStyle w:val="B"/>
              <w:rPr>
                <w:szCs w:val="20"/>
              </w:rPr>
            </w:pPr>
            <w:r>
              <w:rPr>
                <w:rFonts w:hint="eastAsia"/>
                <w:szCs w:val="20"/>
              </w:rPr>
              <w:t>字符型，</w:t>
            </w:r>
            <w:r>
              <w:rPr>
                <w:szCs w:val="20"/>
              </w:rPr>
              <w:t>12</w:t>
            </w:r>
          </w:p>
        </w:tc>
        <w:tc>
          <w:tcPr>
            <w:tcW w:w="4252" w:type="dxa"/>
          </w:tcPr>
          <w:p w14:paraId="12F04FCD" w14:textId="77777777" w:rsidR="005F7609" w:rsidRDefault="009F0A60" w:rsidP="005F7609">
            <w:pPr>
              <w:pStyle w:val="B"/>
              <w:rPr>
                <w:szCs w:val="20"/>
              </w:rPr>
            </w:pPr>
            <w:r>
              <w:rPr>
                <w:rFonts w:hint="eastAsia"/>
                <w:szCs w:val="20"/>
              </w:rPr>
              <w:t>必填项</w:t>
            </w:r>
            <w:r w:rsidR="005F7609">
              <w:rPr>
                <w:rFonts w:hint="eastAsia"/>
                <w:szCs w:val="20"/>
              </w:rPr>
              <w:t>。</w:t>
            </w:r>
            <w:r>
              <w:rPr>
                <w:szCs w:val="20"/>
              </w:rPr>
              <w:t>ISIN CODE</w:t>
            </w:r>
            <w:r w:rsidR="005F7609">
              <w:rPr>
                <w:rFonts w:hint="eastAsia"/>
                <w:szCs w:val="20"/>
              </w:rPr>
              <w:t>（国际证券识别编码</w:t>
            </w:r>
          </w:p>
          <w:p w14:paraId="28321D60" w14:textId="77777777" w:rsidR="00A052DC" w:rsidRDefault="005F7609" w:rsidP="005F7609">
            <w:pPr>
              <w:pStyle w:val="B"/>
              <w:rPr>
                <w:szCs w:val="20"/>
              </w:rPr>
            </w:pPr>
            <w:r>
              <w:rPr>
                <w:rFonts w:hint="eastAsia"/>
                <w:szCs w:val="20"/>
              </w:rPr>
              <w:t>）</w:t>
            </w:r>
            <w:r w:rsidR="009F0A60">
              <w:rPr>
                <w:rFonts w:hint="eastAsia"/>
                <w:szCs w:val="20"/>
              </w:rPr>
              <w:t>的编码规则为：共</w:t>
            </w:r>
            <w:r w:rsidR="009F0A60">
              <w:rPr>
                <w:szCs w:val="20"/>
              </w:rPr>
              <w:t>12</w:t>
            </w:r>
            <w:r w:rsidR="009F0A60">
              <w:rPr>
                <w:rFonts w:hint="eastAsia"/>
                <w:szCs w:val="20"/>
              </w:rPr>
              <w:t>位。第</w:t>
            </w:r>
            <w:r w:rsidR="009F0A60">
              <w:rPr>
                <w:szCs w:val="20"/>
              </w:rPr>
              <w:t>1-2</w:t>
            </w:r>
            <w:r w:rsidR="009F0A60">
              <w:rPr>
                <w:rFonts w:hint="eastAsia"/>
                <w:szCs w:val="20"/>
              </w:rPr>
              <w:t>位为字母，用于标识国别；第</w:t>
            </w:r>
            <w:r w:rsidR="009F0A60">
              <w:rPr>
                <w:szCs w:val="20"/>
              </w:rPr>
              <w:t>3-11</w:t>
            </w:r>
            <w:r w:rsidR="009F0A60">
              <w:rPr>
                <w:rFonts w:hint="eastAsia"/>
                <w:szCs w:val="20"/>
              </w:rPr>
              <w:t>位为数字和字母，为国内证券识别编码；第</w:t>
            </w:r>
            <w:r w:rsidR="009F0A60">
              <w:rPr>
                <w:szCs w:val="20"/>
              </w:rPr>
              <w:t>12</w:t>
            </w:r>
            <w:r w:rsidR="009F0A60">
              <w:rPr>
                <w:rFonts w:hint="eastAsia"/>
                <w:szCs w:val="20"/>
              </w:rPr>
              <w:t>位为数字，为校对码。</w:t>
            </w:r>
          </w:p>
        </w:tc>
      </w:tr>
      <w:tr w:rsidR="00A052DC" w14:paraId="7168BABB" w14:textId="77777777">
        <w:tc>
          <w:tcPr>
            <w:tcW w:w="1418" w:type="dxa"/>
          </w:tcPr>
          <w:p w14:paraId="308E90F7" w14:textId="77777777" w:rsidR="00A052DC" w:rsidRDefault="009F0A60">
            <w:pPr>
              <w:pStyle w:val="B"/>
              <w:rPr>
                <w:szCs w:val="20"/>
              </w:rPr>
            </w:pPr>
            <w:r>
              <w:rPr>
                <w:szCs w:val="20"/>
              </w:rPr>
              <w:t>REMARK</w:t>
            </w:r>
          </w:p>
        </w:tc>
        <w:tc>
          <w:tcPr>
            <w:tcW w:w="1701" w:type="dxa"/>
          </w:tcPr>
          <w:p w14:paraId="685C1A16" w14:textId="77777777" w:rsidR="00A052DC" w:rsidRDefault="009F0A60">
            <w:pPr>
              <w:pStyle w:val="B"/>
              <w:rPr>
                <w:szCs w:val="20"/>
              </w:rPr>
            </w:pPr>
            <w:r>
              <w:rPr>
                <w:rFonts w:hint="eastAsia"/>
                <w:szCs w:val="20"/>
              </w:rPr>
              <w:t>备注</w:t>
            </w:r>
          </w:p>
        </w:tc>
        <w:tc>
          <w:tcPr>
            <w:tcW w:w="1276" w:type="dxa"/>
          </w:tcPr>
          <w:p w14:paraId="3061AD56" w14:textId="77777777" w:rsidR="00A052DC" w:rsidRDefault="009F0A60">
            <w:pPr>
              <w:pStyle w:val="B"/>
              <w:rPr>
                <w:szCs w:val="20"/>
              </w:rPr>
            </w:pPr>
            <w:r>
              <w:rPr>
                <w:rFonts w:hint="eastAsia"/>
                <w:szCs w:val="20"/>
              </w:rPr>
              <w:t>字符型，</w:t>
            </w:r>
            <w:r>
              <w:rPr>
                <w:szCs w:val="20"/>
              </w:rPr>
              <w:t>256</w:t>
            </w:r>
          </w:p>
        </w:tc>
        <w:tc>
          <w:tcPr>
            <w:tcW w:w="4252" w:type="dxa"/>
          </w:tcPr>
          <w:p w14:paraId="2E4392F0" w14:textId="77777777" w:rsidR="00A052DC" w:rsidRDefault="009F0A60">
            <w:pPr>
              <w:pStyle w:val="B"/>
              <w:rPr>
                <w:szCs w:val="20"/>
              </w:rPr>
            </w:pPr>
            <w:r>
              <w:rPr>
                <w:rFonts w:hint="eastAsia"/>
                <w:szCs w:val="20"/>
              </w:rPr>
              <w:t>非必填项。</w:t>
            </w:r>
          </w:p>
        </w:tc>
      </w:tr>
    </w:tbl>
    <w:p w14:paraId="59D084F4" w14:textId="77777777" w:rsidR="00A052DC" w:rsidRDefault="009F0A60">
      <w:pPr>
        <w:pStyle w:val="4"/>
        <w:numPr>
          <w:ilvl w:val="3"/>
          <w:numId w:val="1"/>
        </w:numPr>
        <w:jc w:val="left"/>
      </w:pPr>
      <w:bookmarkStart w:id="1552" w:name="_Toc328635492"/>
      <w:bookmarkStart w:id="1553" w:name="_Toc454386916"/>
      <w:r>
        <w:rPr>
          <w:rFonts w:hint="eastAsia"/>
        </w:rPr>
        <w:t>境外同业存放</w:t>
      </w:r>
      <w:bookmarkEnd w:id="1552"/>
      <w:bookmarkEnd w:id="1553"/>
    </w:p>
    <w:p w14:paraId="2F896992" w14:textId="77777777" w:rsidR="00A052DC" w:rsidRDefault="009F0A60" w:rsidP="0020251D">
      <w:pPr>
        <w:pStyle w:val="5"/>
        <w:numPr>
          <w:ilvl w:val="4"/>
          <w:numId w:val="1"/>
        </w:numPr>
        <w:spacing w:before="120" w:after="120" w:line="360" w:lineRule="auto"/>
        <w:jc w:val="left"/>
      </w:pPr>
      <w:bookmarkStart w:id="1554" w:name="_Toc454386917"/>
      <w:r>
        <w:rPr>
          <w:rFonts w:hint="eastAsia"/>
        </w:rPr>
        <w:t>数据术语解释</w:t>
      </w:r>
      <w:bookmarkEnd w:id="1554"/>
    </w:p>
    <w:tbl>
      <w:tblPr>
        <w:tblW w:w="84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26"/>
        <w:gridCol w:w="6946"/>
      </w:tblGrid>
      <w:tr w:rsidR="00A052DC" w14:paraId="212B8A04" w14:textId="77777777">
        <w:tc>
          <w:tcPr>
            <w:tcW w:w="1526" w:type="dxa"/>
          </w:tcPr>
          <w:p w14:paraId="45A3D337" w14:textId="77777777" w:rsidR="00A052DC" w:rsidRDefault="009F0A60">
            <w:pPr>
              <w:pStyle w:val="B1"/>
              <w:rPr>
                <w:u w:val="single"/>
              </w:rPr>
            </w:pPr>
            <w:r>
              <w:rPr>
                <w:rFonts w:hint="eastAsia"/>
              </w:rPr>
              <w:t>基础数据项</w:t>
            </w:r>
          </w:p>
        </w:tc>
        <w:tc>
          <w:tcPr>
            <w:tcW w:w="6946" w:type="dxa"/>
          </w:tcPr>
          <w:p w14:paraId="38EAC244" w14:textId="77777777" w:rsidR="00A052DC" w:rsidRDefault="009F0A60">
            <w:pPr>
              <w:pStyle w:val="B1"/>
            </w:pPr>
            <w:r>
              <w:rPr>
                <w:rFonts w:hint="eastAsia"/>
              </w:rPr>
              <w:t>定义</w:t>
            </w:r>
          </w:p>
        </w:tc>
      </w:tr>
      <w:tr w:rsidR="00A052DC" w14:paraId="2EE7491E" w14:textId="77777777">
        <w:trPr>
          <w:cantSplit/>
          <w:trHeight w:val="157"/>
        </w:trPr>
        <w:tc>
          <w:tcPr>
            <w:tcW w:w="1526" w:type="dxa"/>
          </w:tcPr>
          <w:p w14:paraId="1E5A70BB" w14:textId="77777777" w:rsidR="00A052DC" w:rsidRDefault="009F0A60">
            <w:pPr>
              <w:pStyle w:val="B"/>
              <w:rPr>
                <w:szCs w:val="20"/>
              </w:rPr>
            </w:pPr>
            <w:r>
              <w:rPr>
                <w:rFonts w:hint="eastAsia"/>
                <w:szCs w:val="20"/>
              </w:rPr>
              <w:t>外债编号</w:t>
            </w:r>
          </w:p>
        </w:tc>
        <w:tc>
          <w:tcPr>
            <w:tcW w:w="6946" w:type="dxa"/>
          </w:tcPr>
          <w:p w14:paraId="0EA36F08" w14:textId="77777777" w:rsidR="00A052DC" w:rsidRDefault="009F0A60">
            <w:pPr>
              <w:pStyle w:val="B"/>
              <w:rPr>
                <w:b/>
                <w:szCs w:val="20"/>
              </w:rPr>
            </w:pPr>
            <w:r>
              <w:rPr>
                <w:rFonts w:hint="eastAsia"/>
                <w:szCs w:val="20"/>
              </w:rPr>
              <w:t>外汇局制定统一编号规则，银行自行对每一笔外债编号，用于唯一标识该笔外债。银行外债编号共计</w:t>
            </w:r>
            <w:r>
              <w:rPr>
                <w:szCs w:val="20"/>
              </w:rPr>
              <w:t>28</w:t>
            </w:r>
            <w:r>
              <w:rPr>
                <w:rFonts w:hint="eastAsia"/>
                <w:szCs w:val="20"/>
              </w:rPr>
              <w:t>位。第</w:t>
            </w:r>
            <w:r>
              <w:rPr>
                <w:szCs w:val="20"/>
              </w:rPr>
              <w:t>1</w:t>
            </w:r>
            <w:r>
              <w:rPr>
                <w:rFonts w:hint="eastAsia"/>
                <w:szCs w:val="20"/>
              </w:rPr>
              <w:t>至</w:t>
            </w:r>
            <w:r>
              <w:rPr>
                <w:szCs w:val="20"/>
              </w:rPr>
              <w:t>2</w:t>
            </w:r>
            <w:r>
              <w:rPr>
                <w:rFonts w:hint="eastAsia"/>
                <w:szCs w:val="20"/>
              </w:rPr>
              <w:t>位为业务类型标识，第</w:t>
            </w:r>
            <w:r>
              <w:rPr>
                <w:szCs w:val="20"/>
              </w:rPr>
              <w:t>3</w:t>
            </w:r>
            <w:r>
              <w:rPr>
                <w:rFonts w:hint="eastAsia"/>
                <w:szCs w:val="20"/>
              </w:rPr>
              <w:t>位至</w:t>
            </w:r>
            <w:r>
              <w:rPr>
                <w:szCs w:val="20"/>
              </w:rPr>
              <w:t>14</w:t>
            </w:r>
            <w:r>
              <w:rPr>
                <w:rFonts w:hint="eastAsia"/>
                <w:szCs w:val="20"/>
              </w:rPr>
              <w:t>位为银行金融机构标识码</w:t>
            </w:r>
            <w:r>
              <w:rPr>
                <w:szCs w:val="20"/>
              </w:rPr>
              <w:t>;</w:t>
            </w:r>
            <w:r>
              <w:rPr>
                <w:rFonts w:hint="eastAsia"/>
                <w:szCs w:val="20"/>
              </w:rPr>
              <w:t>第</w:t>
            </w:r>
            <w:r>
              <w:rPr>
                <w:szCs w:val="20"/>
              </w:rPr>
              <w:t>15</w:t>
            </w:r>
            <w:r>
              <w:rPr>
                <w:rFonts w:hint="eastAsia"/>
                <w:szCs w:val="20"/>
              </w:rPr>
              <w:t>至</w:t>
            </w:r>
            <w:r>
              <w:rPr>
                <w:szCs w:val="20"/>
              </w:rPr>
              <w:t>22</w:t>
            </w:r>
            <w:r>
              <w:rPr>
                <w:rFonts w:hint="eastAsia"/>
                <w:szCs w:val="20"/>
              </w:rPr>
              <w:t>位为</w:t>
            </w:r>
            <w:r>
              <w:rPr>
                <w:szCs w:val="20"/>
              </w:rPr>
              <w:t>8</w:t>
            </w:r>
            <w:r>
              <w:rPr>
                <w:rFonts w:hint="eastAsia"/>
                <w:szCs w:val="20"/>
              </w:rPr>
              <w:t>位年月日数字（</w:t>
            </w:r>
            <w:r>
              <w:rPr>
                <w:szCs w:val="20"/>
              </w:rPr>
              <w:t>20110701</w:t>
            </w:r>
            <w:r>
              <w:rPr>
                <w:rFonts w:hint="eastAsia"/>
                <w:szCs w:val="20"/>
              </w:rPr>
              <w:t>）</w:t>
            </w:r>
            <w:r>
              <w:rPr>
                <w:szCs w:val="20"/>
              </w:rPr>
              <w:t>;</w:t>
            </w:r>
            <w:r>
              <w:rPr>
                <w:rFonts w:hint="eastAsia"/>
                <w:szCs w:val="20"/>
              </w:rPr>
              <w:t>第</w:t>
            </w:r>
            <w:r>
              <w:rPr>
                <w:szCs w:val="20"/>
              </w:rPr>
              <w:t>23</w:t>
            </w:r>
            <w:r>
              <w:rPr>
                <w:rFonts w:hint="eastAsia"/>
                <w:szCs w:val="20"/>
              </w:rPr>
              <w:t>至</w:t>
            </w:r>
            <w:r>
              <w:rPr>
                <w:szCs w:val="20"/>
              </w:rPr>
              <w:t>28</w:t>
            </w:r>
            <w:r>
              <w:rPr>
                <w:rFonts w:hint="eastAsia"/>
                <w:szCs w:val="20"/>
              </w:rPr>
              <w:t>位为该笔业务的流水号（流水码编制规则：从</w:t>
            </w:r>
            <w:r>
              <w:rPr>
                <w:szCs w:val="20"/>
              </w:rPr>
              <w:t>000001</w:t>
            </w:r>
            <w:r>
              <w:rPr>
                <w:rFonts w:hint="eastAsia"/>
                <w:szCs w:val="20"/>
              </w:rPr>
              <w:t>～</w:t>
            </w:r>
            <w:r>
              <w:rPr>
                <w:szCs w:val="20"/>
              </w:rPr>
              <w:t>999999</w:t>
            </w:r>
            <w:r>
              <w:rPr>
                <w:rFonts w:hint="eastAsia"/>
                <w:szCs w:val="20"/>
              </w:rPr>
              <w:t>）。银行新发生一笔外债业务时，需为该笔外债编制外债编号，同一笔外债发生变更或展期时，不作为一笔新业务进行登记，发生展期时，变更到期日。</w:t>
            </w:r>
          </w:p>
        </w:tc>
      </w:tr>
      <w:tr w:rsidR="00A052DC" w14:paraId="7DE5B52B" w14:textId="77777777">
        <w:trPr>
          <w:cantSplit/>
        </w:trPr>
        <w:tc>
          <w:tcPr>
            <w:tcW w:w="1526" w:type="dxa"/>
          </w:tcPr>
          <w:p w14:paraId="79ECDB1D" w14:textId="77777777" w:rsidR="00A052DC" w:rsidRDefault="009F0A60">
            <w:pPr>
              <w:pStyle w:val="B"/>
              <w:rPr>
                <w:szCs w:val="20"/>
              </w:rPr>
            </w:pPr>
            <w:r>
              <w:rPr>
                <w:rFonts w:hint="eastAsia"/>
                <w:szCs w:val="20"/>
              </w:rPr>
              <w:t>债务人代码</w:t>
            </w:r>
          </w:p>
        </w:tc>
        <w:tc>
          <w:tcPr>
            <w:tcW w:w="6946" w:type="dxa"/>
          </w:tcPr>
          <w:p w14:paraId="0E9ED1DD" w14:textId="77777777" w:rsidR="00A052DC" w:rsidRDefault="009F0A60">
            <w:pPr>
              <w:pStyle w:val="B"/>
              <w:rPr>
                <w:szCs w:val="20"/>
              </w:rPr>
            </w:pPr>
            <w:r>
              <w:rPr>
                <w:rFonts w:hint="eastAsia"/>
                <w:szCs w:val="20"/>
              </w:rPr>
              <w:t>国家外汇管理局及其分支局签发给境内债务银行的</w:t>
            </w:r>
            <w:r>
              <w:rPr>
                <w:szCs w:val="20"/>
              </w:rPr>
              <w:t>12</w:t>
            </w:r>
            <w:r>
              <w:rPr>
                <w:rFonts w:hint="eastAsia"/>
                <w:szCs w:val="20"/>
              </w:rPr>
              <w:t>位金融机构标识码编码。</w:t>
            </w:r>
          </w:p>
        </w:tc>
      </w:tr>
      <w:tr w:rsidR="00A052DC" w14:paraId="0148F346" w14:textId="77777777">
        <w:trPr>
          <w:cantSplit/>
        </w:trPr>
        <w:tc>
          <w:tcPr>
            <w:tcW w:w="1526" w:type="dxa"/>
          </w:tcPr>
          <w:p w14:paraId="70642110" w14:textId="77777777" w:rsidR="00A052DC" w:rsidRDefault="009F0A60">
            <w:pPr>
              <w:pStyle w:val="B"/>
              <w:rPr>
                <w:szCs w:val="20"/>
              </w:rPr>
            </w:pPr>
            <w:r>
              <w:rPr>
                <w:rFonts w:hint="eastAsia"/>
                <w:szCs w:val="20"/>
              </w:rPr>
              <w:t>债务类型</w:t>
            </w:r>
          </w:p>
        </w:tc>
        <w:tc>
          <w:tcPr>
            <w:tcW w:w="6946" w:type="dxa"/>
          </w:tcPr>
          <w:p w14:paraId="4C555920" w14:textId="77777777" w:rsidR="00A052DC" w:rsidRDefault="009F0A60">
            <w:pPr>
              <w:pStyle w:val="B"/>
              <w:rPr>
                <w:szCs w:val="20"/>
              </w:rPr>
            </w:pPr>
            <w:r>
              <w:rPr>
                <w:rFonts w:hint="eastAsia"/>
                <w:szCs w:val="20"/>
              </w:rPr>
              <w:t>外债的债务类型代码，见外债的债务类型表。</w:t>
            </w:r>
          </w:p>
        </w:tc>
      </w:tr>
      <w:tr w:rsidR="00A052DC" w14:paraId="27BE0FED" w14:textId="77777777">
        <w:trPr>
          <w:cantSplit/>
        </w:trPr>
        <w:tc>
          <w:tcPr>
            <w:tcW w:w="1526" w:type="dxa"/>
          </w:tcPr>
          <w:p w14:paraId="66A98551" w14:textId="77777777" w:rsidR="00A052DC" w:rsidRDefault="009F0A60">
            <w:pPr>
              <w:pStyle w:val="B"/>
              <w:rPr>
                <w:szCs w:val="20"/>
              </w:rPr>
            </w:pPr>
            <w:r>
              <w:rPr>
                <w:rFonts w:hint="eastAsia"/>
                <w:szCs w:val="20"/>
              </w:rPr>
              <w:t>起息日</w:t>
            </w:r>
          </w:p>
        </w:tc>
        <w:tc>
          <w:tcPr>
            <w:tcW w:w="6946" w:type="dxa"/>
          </w:tcPr>
          <w:p w14:paraId="106C59CF" w14:textId="77777777" w:rsidR="00A052DC" w:rsidRDefault="009F0A60">
            <w:pPr>
              <w:pStyle w:val="B"/>
              <w:rPr>
                <w:szCs w:val="20"/>
              </w:rPr>
            </w:pPr>
            <w:r>
              <w:rPr>
                <w:rFonts w:hint="eastAsia"/>
                <w:szCs w:val="20"/>
              </w:rPr>
              <w:t>账户开户日期。</w:t>
            </w:r>
          </w:p>
        </w:tc>
      </w:tr>
      <w:tr w:rsidR="00A052DC" w14:paraId="5C1B0E10" w14:textId="77777777">
        <w:trPr>
          <w:cantSplit/>
        </w:trPr>
        <w:tc>
          <w:tcPr>
            <w:tcW w:w="1526" w:type="dxa"/>
          </w:tcPr>
          <w:p w14:paraId="4175B3A4" w14:textId="77777777" w:rsidR="00A052DC" w:rsidRDefault="009F0A60">
            <w:pPr>
              <w:pStyle w:val="B"/>
              <w:rPr>
                <w:szCs w:val="20"/>
              </w:rPr>
            </w:pPr>
            <w:r>
              <w:rPr>
                <w:rFonts w:hint="eastAsia"/>
                <w:szCs w:val="20"/>
              </w:rPr>
              <w:t>签约币种</w:t>
            </w:r>
          </w:p>
        </w:tc>
        <w:tc>
          <w:tcPr>
            <w:tcW w:w="6946" w:type="dxa"/>
          </w:tcPr>
          <w:p w14:paraId="5B796B6D" w14:textId="77777777" w:rsidR="00A052DC" w:rsidRDefault="009F0A60">
            <w:pPr>
              <w:pStyle w:val="B"/>
              <w:rPr>
                <w:szCs w:val="20"/>
              </w:rPr>
            </w:pPr>
            <w:r>
              <w:rPr>
                <w:rFonts w:hint="eastAsia"/>
                <w:szCs w:val="20"/>
              </w:rPr>
              <w:t>账户币种。</w:t>
            </w:r>
          </w:p>
        </w:tc>
      </w:tr>
      <w:tr w:rsidR="00A052DC" w14:paraId="5BCE72C6" w14:textId="77777777">
        <w:trPr>
          <w:cantSplit/>
        </w:trPr>
        <w:tc>
          <w:tcPr>
            <w:tcW w:w="1526" w:type="dxa"/>
          </w:tcPr>
          <w:p w14:paraId="14F75102" w14:textId="77777777" w:rsidR="00A052DC" w:rsidRDefault="009F0A60">
            <w:pPr>
              <w:pStyle w:val="B"/>
              <w:rPr>
                <w:szCs w:val="20"/>
              </w:rPr>
            </w:pPr>
            <w:r>
              <w:rPr>
                <w:rFonts w:hint="eastAsia"/>
                <w:szCs w:val="20"/>
              </w:rPr>
              <w:t>是否浮动利率</w:t>
            </w:r>
          </w:p>
        </w:tc>
        <w:tc>
          <w:tcPr>
            <w:tcW w:w="6946" w:type="dxa"/>
          </w:tcPr>
          <w:p w14:paraId="6EEB815B" w14:textId="77777777" w:rsidR="00A052DC" w:rsidRDefault="009F0A60">
            <w:pPr>
              <w:pStyle w:val="B"/>
              <w:rPr>
                <w:szCs w:val="20"/>
              </w:rPr>
            </w:pPr>
            <w:r>
              <w:rPr>
                <w:rFonts w:hint="eastAsia"/>
                <w:szCs w:val="20"/>
              </w:rPr>
              <w:t>标识债务利率条件为浮动利率或固定利率，系统默认为否，若为浮动利率，选择是。</w:t>
            </w:r>
          </w:p>
        </w:tc>
      </w:tr>
      <w:tr w:rsidR="00A052DC" w14:paraId="6D411A4D" w14:textId="77777777">
        <w:trPr>
          <w:cantSplit/>
        </w:trPr>
        <w:tc>
          <w:tcPr>
            <w:tcW w:w="1526" w:type="dxa"/>
          </w:tcPr>
          <w:p w14:paraId="1A15F35E" w14:textId="77777777" w:rsidR="00A052DC" w:rsidRDefault="009F0A60">
            <w:pPr>
              <w:pStyle w:val="B"/>
              <w:rPr>
                <w:szCs w:val="20"/>
              </w:rPr>
            </w:pPr>
            <w:r>
              <w:rPr>
                <w:rFonts w:hint="eastAsia"/>
                <w:szCs w:val="20"/>
              </w:rPr>
              <w:t>年化利率值</w:t>
            </w:r>
          </w:p>
        </w:tc>
        <w:tc>
          <w:tcPr>
            <w:tcW w:w="6946" w:type="dxa"/>
          </w:tcPr>
          <w:p w14:paraId="57262408" w14:textId="77777777" w:rsidR="00A052DC" w:rsidRDefault="009F0A60">
            <w:pPr>
              <w:pStyle w:val="B"/>
              <w:rPr>
                <w:szCs w:val="20"/>
              </w:rPr>
            </w:pPr>
            <w:r>
              <w:rPr>
                <w:rFonts w:hint="eastAsia"/>
                <w:szCs w:val="20"/>
              </w:rPr>
              <w:t>外债的年化利率，若为浮动利率，应该按照该笔外债签约日期当天的浮动利率条件计算年化利率值。</w:t>
            </w:r>
          </w:p>
        </w:tc>
      </w:tr>
      <w:tr w:rsidR="00A052DC" w14:paraId="2C0769C5" w14:textId="77777777">
        <w:trPr>
          <w:cantSplit/>
        </w:trPr>
        <w:tc>
          <w:tcPr>
            <w:tcW w:w="1526" w:type="dxa"/>
          </w:tcPr>
          <w:p w14:paraId="759ADC2D" w14:textId="77777777" w:rsidR="00A052DC" w:rsidRDefault="009F0A60">
            <w:pPr>
              <w:pStyle w:val="B"/>
              <w:rPr>
                <w:szCs w:val="20"/>
              </w:rPr>
            </w:pPr>
            <w:r>
              <w:rPr>
                <w:rFonts w:hint="eastAsia"/>
                <w:szCs w:val="20"/>
              </w:rPr>
              <w:t>债权人代码</w:t>
            </w:r>
          </w:p>
        </w:tc>
        <w:tc>
          <w:tcPr>
            <w:tcW w:w="6946" w:type="dxa"/>
            <w:vAlign w:val="center"/>
          </w:tcPr>
          <w:p w14:paraId="50FDB33E" w14:textId="77777777" w:rsidR="00A052DC" w:rsidRDefault="009F0A60">
            <w:pPr>
              <w:pStyle w:val="B"/>
              <w:rPr>
                <w:szCs w:val="20"/>
              </w:rPr>
            </w:pPr>
            <w:r>
              <w:rPr>
                <w:rFonts w:hint="eastAsia"/>
                <w:szCs w:val="20"/>
              </w:rPr>
              <w:t>如果债权人为银行，应填写</w:t>
            </w:r>
            <w:r>
              <w:rPr>
                <w:szCs w:val="20"/>
              </w:rPr>
              <w:t>8</w:t>
            </w:r>
            <w:r>
              <w:rPr>
                <w:rFonts w:hint="eastAsia"/>
                <w:szCs w:val="20"/>
              </w:rPr>
              <w:t>位或</w:t>
            </w:r>
            <w:r>
              <w:rPr>
                <w:szCs w:val="20"/>
              </w:rPr>
              <w:t>11</w:t>
            </w:r>
            <w:r>
              <w:rPr>
                <w:rFonts w:hint="eastAsia"/>
                <w:szCs w:val="20"/>
              </w:rPr>
              <w:t>位的</w:t>
            </w:r>
            <w:r>
              <w:rPr>
                <w:szCs w:val="20"/>
              </w:rPr>
              <w:t>SWIFT CODE</w:t>
            </w:r>
            <w:r>
              <w:rPr>
                <w:rFonts w:hint="eastAsia"/>
                <w:szCs w:val="20"/>
              </w:rPr>
              <w:t>；如果债权人类型为“政府”、或“中央银行”时，或者当债务类型为“货币市场工具”或“债券和票据”或“非居民个人存款”时，应在外汇局编制的部分债权人代码表中选择债权人代码；否则为空。</w:t>
            </w:r>
          </w:p>
          <w:p w14:paraId="2FD225F8" w14:textId="77777777" w:rsidR="00A052DC" w:rsidRDefault="009F0A60">
            <w:pPr>
              <w:pStyle w:val="B"/>
              <w:rPr>
                <w:szCs w:val="20"/>
              </w:rPr>
            </w:pPr>
            <w:r>
              <w:rPr>
                <w:rFonts w:hint="eastAsia"/>
                <w:szCs w:val="20"/>
              </w:rPr>
              <w:t>如果债权人为“非银行金融机构”或“国际金融组织”，应优先填写</w:t>
            </w:r>
            <w:r>
              <w:rPr>
                <w:szCs w:val="20"/>
              </w:rPr>
              <w:t>SWIFT CODE</w:t>
            </w:r>
            <w:r>
              <w:rPr>
                <w:rFonts w:hint="eastAsia"/>
                <w:szCs w:val="20"/>
              </w:rPr>
              <w:t>。</w:t>
            </w:r>
          </w:p>
        </w:tc>
      </w:tr>
      <w:tr w:rsidR="00A052DC" w14:paraId="2F3F8E0F" w14:textId="77777777">
        <w:trPr>
          <w:cantSplit/>
        </w:trPr>
        <w:tc>
          <w:tcPr>
            <w:tcW w:w="1526" w:type="dxa"/>
          </w:tcPr>
          <w:p w14:paraId="337179C4" w14:textId="77777777" w:rsidR="00A052DC" w:rsidRDefault="009F0A60">
            <w:pPr>
              <w:pStyle w:val="B"/>
              <w:rPr>
                <w:szCs w:val="20"/>
              </w:rPr>
            </w:pPr>
            <w:r>
              <w:rPr>
                <w:rFonts w:hint="eastAsia"/>
                <w:szCs w:val="20"/>
              </w:rPr>
              <w:t>债权人中文名称</w:t>
            </w:r>
          </w:p>
        </w:tc>
        <w:tc>
          <w:tcPr>
            <w:tcW w:w="6946" w:type="dxa"/>
            <w:vAlign w:val="center"/>
          </w:tcPr>
          <w:p w14:paraId="23592DD2" w14:textId="77777777" w:rsidR="00A052DC" w:rsidRDefault="009F0A60">
            <w:pPr>
              <w:pStyle w:val="B"/>
              <w:rPr>
                <w:szCs w:val="20"/>
              </w:rPr>
            </w:pPr>
            <w:r>
              <w:rPr>
                <w:rFonts w:hint="eastAsia"/>
                <w:szCs w:val="20"/>
              </w:rPr>
              <w:t>债权人中文名称。</w:t>
            </w:r>
          </w:p>
        </w:tc>
      </w:tr>
      <w:tr w:rsidR="00A052DC" w14:paraId="18A6CC93" w14:textId="77777777">
        <w:trPr>
          <w:cantSplit/>
        </w:trPr>
        <w:tc>
          <w:tcPr>
            <w:tcW w:w="1526" w:type="dxa"/>
          </w:tcPr>
          <w:p w14:paraId="343994D7" w14:textId="77777777" w:rsidR="00A052DC" w:rsidRDefault="009F0A60">
            <w:pPr>
              <w:pStyle w:val="B"/>
              <w:rPr>
                <w:szCs w:val="20"/>
              </w:rPr>
            </w:pPr>
            <w:r>
              <w:rPr>
                <w:rFonts w:hint="eastAsia"/>
                <w:szCs w:val="20"/>
              </w:rPr>
              <w:t>债权人英文名称</w:t>
            </w:r>
          </w:p>
        </w:tc>
        <w:tc>
          <w:tcPr>
            <w:tcW w:w="6946" w:type="dxa"/>
            <w:vAlign w:val="center"/>
          </w:tcPr>
          <w:p w14:paraId="200FC935" w14:textId="77777777" w:rsidR="00A052DC" w:rsidRDefault="009F0A60">
            <w:pPr>
              <w:pStyle w:val="B"/>
              <w:rPr>
                <w:szCs w:val="20"/>
              </w:rPr>
            </w:pPr>
            <w:r>
              <w:rPr>
                <w:rFonts w:hint="eastAsia"/>
                <w:szCs w:val="20"/>
              </w:rPr>
              <w:t>债权人英文名称（中英文名称至少填写一个）。</w:t>
            </w:r>
          </w:p>
        </w:tc>
      </w:tr>
      <w:tr w:rsidR="00A052DC" w14:paraId="2CC7528A" w14:textId="77777777">
        <w:trPr>
          <w:cantSplit/>
        </w:trPr>
        <w:tc>
          <w:tcPr>
            <w:tcW w:w="1526" w:type="dxa"/>
          </w:tcPr>
          <w:p w14:paraId="5202E078" w14:textId="77777777" w:rsidR="00A052DC" w:rsidRDefault="009F0A60">
            <w:pPr>
              <w:pStyle w:val="B"/>
              <w:rPr>
                <w:szCs w:val="20"/>
              </w:rPr>
            </w:pPr>
            <w:r>
              <w:rPr>
                <w:rFonts w:hint="eastAsia"/>
                <w:szCs w:val="20"/>
              </w:rPr>
              <w:t>债权人类型代码</w:t>
            </w:r>
          </w:p>
        </w:tc>
        <w:tc>
          <w:tcPr>
            <w:tcW w:w="6946" w:type="dxa"/>
          </w:tcPr>
          <w:p w14:paraId="536A36DB" w14:textId="77777777" w:rsidR="00A052DC" w:rsidRDefault="009F0A60">
            <w:pPr>
              <w:pStyle w:val="B"/>
              <w:rPr>
                <w:szCs w:val="20"/>
              </w:rPr>
            </w:pPr>
            <w:r>
              <w:rPr>
                <w:rFonts w:hint="eastAsia"/>
                <w:szCs w:val="20"/>
              </w:rPr>
              <w:t>债权人类型代码，见境外主体类型代码表。</w:t>
            </w:r>
          </w:p>
        </w:tc>
      </w:tr>
      <w:tr w:rsidR="00A052DC" w14:paraId="40D99368" w14:textId="77777777">
        <w:trPr>
          <w:cantSplit/>
        </w:trPr>
        <w:tc>
          <w:tcPr>
            <w:tcW w:w="1526" w:type="dxa"/>
          </w:tcPr>
          <w:p w14:paraId="75B64FF2" w14:textId="77777777" w:rsidR="00A052DC" w:rsidRDefault="009F0A60">
            <w:pPr>
              <w:pStyle w:val="B"/>
              <w:rPr>
                <w:szCs w:val="20"/>
              </w:rPr>
            </w:pPr>
            <w:r>
              <w:rPr>
                <w:rFonts w:hint="eastAsia"/>
                <w:szCs w:val="20"/>
              </w:rPr>
              <w:t>债权人总部所在国家（地区）代码</w:t>
            </w:r>
          </w:p>
        </w:tc>
        <w:tc>
          <w:tcPr>
            <w:tcW w:w="6946" w:type="dxa"/>
            <w:vAlign w:val="center"/>
          </w:tcPr>
          <w:p w14:paraId="6E25F29E" w14:textId="77777777" w:rsidR="00A052DC" w:rsidRDefault="009F0A60">
            <w:pPr>
              <w:pStyle w:val="B"/>
              <w:rPr>
                <w:szCs w:val="20"/>
              </w:rPr>
            </w:pPr>
            <w:r>
              <w:rPr>
                <w:rFonts w:hint="eastAsia"/>
                <w:szCs w:val="20"/>
              </w:rPr>
              <w:t>债权人总部所在地代码，见国家和地区代码表。</w:t>
            </w:r>
          </w:p>
        </w:tc>
      </w:tr>
      <w:tr w:rsidR="00A052DC" w14:paraId="7A60604A" w14:textId="77777777">
        <w:trPr>
          <w:cantSplit/>
        </w:trPr>
        <w:tc>
          <w:tcPr>
            <w:tcW w:w="1526" w:type="dxa"/>
          </w:tcPr>
          <w:p w14:paraId="75F8C7EE" w14:textId="77777777" w:rsidR="00A052DC" w:rsidRDefault="009F0A60">
            <w:pPr>
              <w:pStyle w:val="B"/>
              <w:rPr>
                <w:szCs w:val="20"/>
              </w:rPr>
            </w:pPr>
            <w:r>
              <w:rPr>
                <w:rFonts w:hint="eastAsia"/>
                <w:szCs w:val="20"/>
              </w:rPr>
              <w:t>债权人经营地所在国家（地区）代码</w:t>
            </w:r>
          </w:p>
        </w:tc>
        <w:tc>
          <w:tcPr>
            <w:tcW w:w="6946" w:type="dxa"/>
            <w:vAlign w:val="center"/>
          </w:tcPr>
          <w:p w14:paraId="641AFCC8" w14:textId="77777777" w:rsidR="00A052DC" w:rsidRDefault="009F0A60">
            <w:pPr>
              <w:pStyle w:val="B"/>
              <w:rPr>
                <w:szCs w:val="20"/>
              </w:rPr>
            </w:pPr>
            <w:r>
              <w:rPr>
                <w:rFonts w:hint="eastAsia"/>
                <w:szCs w:val="20"/>
              </w:rPr>
              <w:t>债权人经营所在地代码，见国家和地区代码表。</w:t>
            </w:r>
          </w:p>
        </w:tc>
      </w:tr>
      <w:tr w:rsidR="00A052DC" w14:paraId="29BC90B1" w14:textId="77777777">
        <w:trPr>
          <w:cantSplit/>
        </w:trPr>
        <w:tc>
          <w:tcPr>
            <w:tcW w:w="1526" w:type="dxa"/>
          </w:tcPr>
          <w:p w14:paraId="5E5AFCB4" w14:textId="77777777" w:rsidR="00A052DC" w:rsidRDefault="009F0A60">
            <w:pPr>
              <w:pStyle w:val="B"/>
              <w:rPr>
                <w:szCs w:val="20"/>
              </w:rPr>
            </w:pPr>
            <w:r>
              <w:rPr>
                <w:rFonts w:hint="eastAsia"/>
                <w:szCs w:val="20"/>
              </w:rPr>
              <w:t>是否不纳入跨境融资风险加权余额计算</w:t>
            </w:r>
          </w:p>
        </w:tc>
        <w:tc>
          <w:tcPr>
            <w:tcW w:w="6946" w:type="dxa"/>
          </w:tcPr>
          <w:p w14:paraId="639D6F1D" w14:textId="77777777" w:rsidR="00A052DC" w:rsidRDefault="009F0A60">
            <w:pPr>
              <w:pStyle w:val="B"/>
              <w:rPr>
                <w:szCs w:val="20"/>
              </w:rPr>
            </w:pPr>
            <w:r>
              <w:rPr>
                <w:rFonts w:hint="eastAsia"/>
                <w:szCs w:val="20"/>
              </w:rPr>
              <w:t>标识该笔债务是否不纳入跨境融资风险加权余额计算，默认为“否”。</w:t>
            </w:r>
          </w:p>
        </w:tc>
      </w:tr>
      <w:tr w:rsidR="00A052DC" w14:paraId="4F322518" w14:textId="77777777">
        <w:trPr>
          <w:cantSplit/>
        </w:trPr>
        <w:tc>
          <w:tcPr>
            <w:tcW w:w="1526" w:type="dxa"/>
          </w:tcPr>
          <w:p w14:paraId="42079205" w14:textId="77777777" w:rsidR="00A052DC" w:rsidRDefault="009F0A60">
            <w:pPr>
              <w:pStyle w:val="B"/>
              <w:rPr>
                <w:szCs w:val="20"/>
              </w:rPr>
            </w:pPr>
            <w:r>
              <w:rPr>
                <w:rFonts w:hint="eastAsia"/>
                <w:szCs w:val="20"/>
              </w:rPr>
              <w:t>存款业务类别</w:t>
            </w:r>
          </w:p>
        </w:tc>
        <w:tc>
          <w:tcPr>
            <w:tcW w:w="6946" w:type="dxa"/>
          </w:tcPr>
          <w:p w14:paraId="37799ABD" w14:textId="77777777" w:rsidR="00A052DC" w:rsidRDefault="009F0A60">
            <w:pPr>
              <w:pStyle w:val="B"/>
              <w:rPr>
                <w:szCs w:val="20"/>
              </w:rPr>
            </w:pPr>
            <w:r>
              <w:rPr>
                <w:rFonts w:hint="eastAsia"/>
                <w:szCs w:val="20"/>
              </w:rPr>
              <w:t>包括：</w:t>
            </w:r>
            <w:r>
              <w:rPr>
                <w:szCs w:val="20"/>
              </w:rPr>
              <w:t>1-</w:t>
            </w:r>
            <w:r>
              <w:rPr>
                <w:rFonts w:hint="eastAsia"/>
                <w:szCs w:val="20"/>
              </w:rPr>
              <w:t>存款、</w:t>
            </w:r>
            <w:r>
              <w:rPr>
                <w:szCs w:val="20"/>
              </w:rPr>
              <w:t>2-</w:t>
            </w:r>
            <w:r>
              <w:rPr>
                <w:rFonts w:hint="eastAsia"/>
                <w:szCs w:val="20"/>
              </w:rPr>
              <w:t>账户金。其中，账户金是指非居民在本机构开立的贵金属账户。</w:t>
            </w:r>
          </w:p>
        </w:tc>
      </w:tr>
      <w:tr w:rsidR="00A052DC" w14:paraId="4FB765F1" w14:textId="77777777">
        <w:trPr>
          <w:cantSplit/>
        </w:trPr>
        <w:tc>
          <w:tcPr>
            <w:tcW w:w="1526" w:type="dxa"/>
          </w:tcPr>
          <w:p w14:paraId="51C5DACA" w14:textId="77777777" w:rsidR="00A052DC" w:rsidRDefault="009F0A60">
            <w:pPr>
              <w:pStyle w:val="B"/>
              <w:rPr>
                <w:szCs w:val="20"/>
              </w:rPr>
            </w:pPr>
            <w:r>
              <w:rPr>
                <w:rFonts w:hint="eastAsia"/>
                <w:szCs w:val="20"/>
              </w:rPr>
              <w:t>对方与本机构的关系</w:t>
            </w:r>
          </w:p>
        </w:tc>
        <w:tc>
          <w:tcPr>
            <w:tcW w:w="6946" w:type="dxa"/>
          </w:tcPr>
          <w:p w14:paraId="2E6765C1" w14:textId="77777777" w:rsidR="00A052DC" w:rsidRDefault="009F0A60">
            <w:pPr>
              <w:pStyle w:val="B"/>
              <w:rPr>
                <w:szCs w:val="20"/>
              </w:rPr>
            </w:pPr>
            <w:r>
              <w:rPr>
                <w:rFonts w:hint="eastAsia"/>
                <w:szCs w:val="20"/>
              </w:rPr>
              <w:t>债权人与本机构的关系，见对方与本机构</w:t>
            </w:r>
            <w:r>
              <w:rPr>
                <w:szCs w:val="20"/>
              </w:rPr>
              <w:t>/</w:t>
            </w:r>
            <w:r>
              <w:rPr>
                <w:rFonts w:hint="eastAsia"/>
                <w:szCs w:val="20"/>
              </w:rPr>
              <w:t>被代理居民机构</w:t>
            </w:r>
            <w:r>
              <w:rPr>
                <w:szCs w:val="20"/>
              </w:rPr>
              <w:t>/</w:t>
            </w:r>
            <w:r>
              <w:rPr>
                <w:rFonts w:hint="eastAsia"/>
                <w:szCs w:val="20"/>
              </w:rPr>
              <w:t>委托人的关系代码表。</w:t>
            </w:r>
          </w:p>
        </w:tc>
      </w:tr>
      <w:tr w:rsidR="00A052DC" w14:paraId="48221056" w14:textId="77777777">
        <w:trPr>
          <w:cantSplit/>
        </w:trPr>
        <w:tc>
          <w:tcPr>
            <w:tcW w:w="1526" w:type="dxa"/>
          </w:tcPr>
          <w:p w14:paraId="49CEBDAB" w14:textId="77777777" w:rsidR="00A052DC" w:rsidRDefault="009F0A60">
            <w:pPr>
              <w:pStyle w:val="B"/>
              <w:rPr>
                <w:szCs w:val="20"/>
              </w:rPr>
            </w:pPr>
            <w:r>
              <w:rPr>
                <w:rFonts w:hint="eastAsia"/>
                <w:szCs w:val="20"/>
              </w:rPr>
              <w:t>原始期限</w:t>
            </w:r>
          </w:p>
        </w:tc>
        <w:tc>
          <w:tcPr>
            <w:tcW w:w="6946" w:type="dxa"/>
          </w:tcPr>
          <w:p w14:paraId="1B4F3146" w14:textId="77777777" w:rsidR="00A052DC" w:rsidRDefault="009F0A60">
            <w:pPr>
              <w:pStyle w:val="B"/>
              <w:rPr>
                <w:szCs w:val="20"/>
              </w:rPr>
            </w:pPr>
            <w:r>
              <w:rPr>
                <w:rFonts w:hint="eastAsia"/>
                <w:szCs w:val="20"/>
              </w:rPr>
              <w:t>包括：</w:t>
            </w:r>
            <w:r>
              <w:rPr>
                <w:szCs w:val="20"/>
              </w:rPr>
              <w:t>1-</w:t>
            </w:r>
            <w:r>
              <w:rPr>
                <w:rFonts w:hint="eastAsia"/>
                <w:szCs w:val="20"/>
              </w:rPr>
              <w:t>一年及以下（含活期或不定期）、</w:t>
            </w:r>
            <w:r>
              <w:rPr>
                <w:szCs w:val="20"/>
              </w:rPr>
              <w:t>2-</w:t>
            </w:r>
            <w:r>
              <w:rPr>
                <w:rFonts w:hint="eastAsia"/>
                <w:szCs w:val="20"/>
              </w:rPr>
              <w:t>一年以上。</w:t>
            </w:r>
          </w:p>
        </w:tc>
      </w:tr>
      <w:tr w:rsidR="00A052DC" w14:paraId="1EC18304" w14:textId="77777777">
        <w:trPr>
          <w:cantSplit/>
        </w:trPr>
        <w:tc>
          <w:tcPr>
            <w:tcW w:w="1526" w:type="dxa"/>
            <w:tcBorders>
              <w:top w:val="single" w:sz="6" w:space="0" w:color="auto"/>
              <w:left w:val="single" w:sz="6" w:space="0" w:color="auto"/>
              <w:bottom w:val="single" w:sz="6" w:space="0" w:color="auto"/>
              <w:right w:val="single" w:sz="6" w:space="0" w:color="auto"/>
            </w:tcBorders>
          </w:tcPr>
          <w:p w14:paraId="5DD99F23" w14:textId="77777777" w:rsidR="00A052DC" w:rsidRDefault="009F0A60">
            <w:pPr>
              <w:pStyle w:val="B"/>
              <w:rPr>
                <w:szCs w:val="20"/>
              </w:rPr>
            </w:pPr>
            <w:r>
              <w:rPr>
                <w:rFonts w:hint="eastAsia"/>
                <w:szCs w:val="20"/>
              </w:rPr>
              <w:t>备注</w:t>
            </w:r>
          </w:p>
        </w:tc>
        <w:tc>
          <w:tcPr>
            <w:tcW w:w="6946" w:type="dxa"/>
            <w:tcBorders>
              <w:top w:val="single" w:sz="6" w:space="0" w:color="auto"/>
              <w:left w:val="single" w:sz="6" w:space="0" w:color="auto"/>
              <w:bottom w:val="single" w:sz="6" w:space="0" w:color="auto"/>
              <w:right w:val="single" w:sz="6" w:space="0" w:color="auto"/>
            </w:tcBorders>
            <w:vAlign w:val="center"/>
          </w:tcPr>
          <w:p w14:paraId="00BAF123" w14:textId="77777777" w:rsidR="00A052DC" w:rsidRDefault="009F0A60">
            <w:pPr>
              <w:pStyle w:val="B"/>
              <w:rPr>
                <w:szCs w:val="20"/>
              </w:rPr>
            </w:pPr>
            <w:r>
              <w:rPr>
                <w:rFonts w:hint="eastAsia"/>
                <w:szCs w:val="20"/>
              </w:rPr>
              <w:t>需要说明的备注事项。</w:t>
            </w:r>
          </w:p>
        </w:tc>
      </w:tr>
    </w:tbl>
    <w:p w14:paraId="00CBE5E2" w14:textId="77777777" w:rsidR="00A052DC" w:rsidRDefault="00A052DC">
      <w:pPr>
        <w:ind w:firstLine="480"/>
      </w:pPr>
    </w:p>
    <w:p w14:paraId="293EBB46" w14:textId="77777777" w:rsidR="00A052DC" w:rsidRDefault="009F0A60" w:rsidP="0020251D">
      <w:pPr>
        <w:pStyle w:val="5"/>
        <w:numPr>
          <w:ilvl w:val="4"/>
          <w:numId w:val="1"/>
        </w:numPr>
        <w:spacing w:before="120" w:after="120" w:line="360" w:lineRule="auto"/>
        <w:jc w:val="left"/>
      </w:pPr>
      <w:bookmarkStart w:id="1555" w:name="_Toc454386918"/>
      <w:r>
        <w:rPr>
          <w:rFonts w:hint="eastAsia"/>
        </w:rPr>
        <w:t>数据格式</w:t>
      </w:r>
      <w:bookmarkEnd w:id="1555"/>
    </w:p>
    <w:p w14:paraId="66A3360C" w14:textId="77777777" w:rsidR="00A052DC" w:rsidRDefault="009F0A60">
      <w:r>
        <w:t>&lt;REC&gt;</w:t>
      </w:r>
    </w:p>
    <w:p w14:paraId="1E5D4E3E" w14:textId="77777777" w:rsidR="00A052DC" w:rsidRDefault="009F0A60">
      <w:r>
        <w:t>&lt;ACTIONTYPE&gt;</w:t>
      </w:r>
      <w:r>
        <w:rPr>
          <w:rFonts w:hint="eastAsia"/>
        </w:rPr>
        <w:t>操作类型</w:t>
      </w:r>
      <w:r>
        <w:t>&lt;/ACTIONTYPE&gt;</w:t>
      </w:r>
    </w:p>
    <w:p w14:paraId="7C8F58DE" w14:textId="77777777" w:rsidR="00A052DC" w:rsidRDefault="009F0A60">
      <w:r>
        <w:t>&lt;ACTIONDESC&gt;</w:t>
      </w:r>
      <w:r>
        <w:rPr>
          <w:rFonts w:hint="eastAsia"/>
        </w:rPr>
        <w:t>删除原因</w:t>
      </w:r>
      <w:r>
        <w:t>&lt;/ACTIONDESC&gt;</w:t>
      </w:r>
    </w:p>
    <w:p w14:paraId="22512D45" w14:textId="77777777" w:rsidR="00A052DC" w:rsidRDefault="009F0A60">
      <w:r>
        <w:t>&lt;EXDEBTCODE&gt;</w:t>
      </w:r>
      <w:r>
        <w:rPr>
          <w:rFonts w:hint="eastAsia"/>
        </w:rPr>
        <w:t>外债编号</w:t>
      </w:r>
      <w:r>
        <w:t>&lt;/EXDEBTCODE&gt;</w:t>
      </w:r>
    </w:p>
    <w:p w14:paraId="1F4263D8" w14:textId="77777777" w:rsidR="00A052DC" w:rsidRDefault="009F0A60">
      <w:r>
        <w:t>&lt;DEBTORCODE&gt;</w:t>
      </w:r>
      <w:r>
        <w:rPr>
          <w:rFonts w:hint="eastAsia"/>
        </w:rPr>
        <w:t>债务人代码</w:t>
      </w:r>
      <w:r>
        <w:t>&lt;/DEBTORCODE&gt;</w:t>
      </w:r>
    </w:p>
    <w:p w14:paraId="50FD1CA6" w14:textId="77777777" w:rsidR="00A052DC" w:rsidRDefault="009F0A60">
      <w:r>
        <w:t>&lt;DEBTYPE&gt;</w:t>
      </w:r>
      <w:r>
        <w:rPr>
          <w:rFonts w:hint="eastAsia"/>
        </w:rPr>
        <w:t>债务类型</w:t>
      </w:r>
      <w:r>
        <w:t>&lt;/DEBTYPE&gt;</w:t>
      </w:r>
    </w:p>
    <w:p w14:paraId="1940FB93" w14:textId="77777777" w:rsidR="00A052DC" w:rsidRDefault="009F0A60">
      <w:r>
        <w:t>&lt;VALUEDATE&gt;</w:t>
      </w:r>
      <w:r>
        <w:rPr>
          <w:rFonts w:hint="eastAsia"/>
        </w:rPr>
        <w:t>起息日</w:t>
      </w:r>
      <w:r>
        <w:t>&lt;/VALUEDATE&gt;</w:t>
      </w:r>
    </w:p>
    <w:p w14:paraId="6D000620" w14:textId="77777777" w:rsidR="00A052DC" w:rsidRDefault="009F0A60">
      <w:r>
        <w:t>&lt;CONTRACTCURR&gt;</w:t>
      </w:r>
      <w:r>
        <w:rPr>
          <w:rFonts w:hint="eastAsia"/>
        </w:rPr>
        <w:t>签约币种</w:t>
      </w:r>
      <w:r>
        <w:t>&lt;/CONTRACTCURR&gt;</w:t>
      </w:r>
    </w:p>
    <w:p w14:paraId="34F7DDA8" w14:textId="77777777" w:rsidR="00A052DC" w:rsidRDefault="009F0A60">
      <w:r>
        <w:t>&lt;FLOATRATE&gt;</w:t>
      </w:r>
      <w:r>
        <w:rPr>
          <w:rFonts w:hint="eastAsia"/>
        </w:rPr>
        <w:t>是否浮动利率</w:t>
      </w:r>
      <w:r>
        <w:t>&lt;/FLOATRATE&gt;</w:t>
      </w:r>
    </w:p>
    <w:p w14:paraId="23FF3C64" w14:textId="77777777" w:rsidR="00A052DC" w:rsidRDefault="009F0A60">
      <w:r>
        <w:t>&lt;ANNINRATE&gt;</w:t>
      </w:r>
      <w:r>
        <w:rPr>
          <w:rFonts w:hint="eastAsia"/>
        </w:rPr>
        <w:t>年化利率值</w:t>
      </w:r>
      <w:r>
        <w:t>&lt;/ANNINRATE&gt;</w:t>
      </w:r>
    </w:p>
    <w:p w14:paraId="11BC9150" w14:textId="77777777" w:rsidR="00A052DC" w:rsidRDefault="009F0A60">
      <w:r>
        <w:t>&lt;CREDITORCODE&gt;</w:t>
      </w:r>
      <w:r>
        <w:rPr>
          <w:rFonts w:hint="eastAsia"/>
        </w:rPr>
        <w:t>债权人代码</w:t>
      </w:r>
      <w:r>
        <w:t>&lt;/CREDITORCODE&gt;</w:t>
      </w:r>
    </w:p>
    <w:p w14:paraId="0A1F5A65" w14:textId="77777777" w:rsidR="00A052DC" w:rsidRDefault="009F0A60">
      <w:r>
        <w:t>&lt;CREDITORNAME&gt;</w:t>
      </w:r>
      <w:r>
        <w:rPr>
          <w:rFonts w:hint="eastAsia"/>
        </w:rPr>
        <w:t>债权人中文名称</w:t>
      </w:r>
      <w:r>
        <w:t>&lt;/CREDITORNAME&gt;</w:t>
      </w:r>
    </w:p>
    <w:p w14:paraId="6FDB8E3C" w14:textId="77777777" w:rsidR="00A052DC" w:rsidRDefault="009F0A60">
      <w:r>
        <w:t>&lt;CREDITORNAMEN&gt;</w:t>
      </w:r>
      <w:r>
        <w:rPr>
          <w:rFonts w:hint="eastAsia"/>
        </w:rPr>
        <w:t>债权人英文名称</w:t>
      </w:r>
      <w:r>
        <w:t>&lt;/CREDITORNAMEN&gt;</w:t>
      </w:r>
    </w:p>
    <w:p w14:paraId="54EC80D1" w14:textId="77777777" w:rsidR="00A052DC" w:rsidRDefault="009F0A60">
      <w:r>
        <w:t>&lt;CREDITORTYPE&gt;</w:t>
      </w:r>
      <w:r>
        <w:rPr>
          <w:rFonts w:hint="eastAsia"/>
        </w:rPr>
        <w:t>债权人类型代码</w:t>
      </w:r>
      <w:r>
        <w:t>&lt;/CREDITORTYPE&gt;</w:t>
      </w:r>
    </w:p>
    <w:p w14:paraId="1016B6DC" w14:textId="77777777" w:rsidR="00A052DC" w:rsidRDefault="009F0A60">
      <w:r>
        <w:t>&lt;CREHQCODE&gt;</w:t>
      </w:r>
      <w:r>
        <w:rPr>
          <w:rFonts w:hint="eastAsia"/>
        </w:rPr>
        <w:t>债权人总部所在国家（地区）代码</w:t>
      </w:r>
      <w:r>
        <w:t>&lt;/CREHQCODE&gt;</w:t>
      </w:r>
    </w:p>
    <w:p w14:paraId="5271BCBC" w14:textId="77777777" w:rsidR="00A052DC" w:rsidRDefault="009F0A60">
      <w:r>
        <w:t>&lt;OPERCODE&gt;</w:t>
      </w:r>
      <w:r>
        <w:rPr>
          <w:rFonts w:hint="eastAsia"/>
        </w:rPr>
        <w:t>债权人经营地所在国家（地区）代码</w:t>
      </w:r>
      <w:r>
        <w:t>&lt;/OPERCODE&gt;</w:t>
      </w:r>
    </w:p>
    <w:p w14:paraId="70625594" w14:textId="77777777" w:rsidR="00A052DC" w:rsidRDefault="009F0A60">
      <w:r>
        <w:t>&lt;SPAPFEBOINDEX&gt;</w:t>
      </w:r>
      <w:r>
        <w:rPr>
          <w:rFonts w:hint="eastAsia"/>
        </w:rPr>
        <w:t>是否不纳入跨境融资风险加权余额计算</w:t>
      </w:r>
      <w:r>
        <w:t>&lt;/SPAPFEBOINDEX&gt;</w:t>
      </w:r>
    </w:p>
    <w:p w14:paraId="077A1471" w14:textId="77777777" w:rsidR="00A052DC" w:rsidRDefault="009F0A60">
      <w:r>
        <w:t>&lt;DEPTYPE&gt;</w:t>
      </w:r>
      <w:r>
        <w:rPr>
          <w:rFonts w:hint="eastAsia"/>
        </w:rPr>
        <w:t>存款业务类别</w:t>
      </w:r>
      <w:r>
        <w:t>&lt;/DEPTYPE&gt;</w:t>
      </w:r>
    </w:p>
    <w:p w14:paraId="716EE852" w14:textId="77777777" w:rsidR="00A052DC" w:rsidRDefault="009F0A60">
      <w:r>
        <w:t>&lt;RELATION&gt;</w:t>
      </w:r>
      <w:r>
        <w:rPr>
          <w:rFonts w:hint="eastAsia"/>
        </w:rPr>
        <w:t>对方与本机构的关系</w:t>
      </w:r>
      <w:r>
        <w:t>&lt;/RELATION&gt;</w:t>
      </w:r>
    </w:p>
    <w:p w14:paraId="46D3979C" w14:textId="77777777" w:rsidR="00A052DC" w:rsidRDefault="009F0A60">
      <w:r>
        <w:t>&lt;ORIGINALPERIOD&gt;</w:t>
      </w:r>
      <w:r>
        <w:rPr>
          <w:rFonts w:hint="eastAsia"/>
        </w:rPr>
        <w:t>原始期限</w:t>
      </w:r>
      <w:r>
        <w:t>&lt;/ORIGINALPERIOD&gt;</w:t>
      </w:r>
    </w:p>
    <w:p w14:paraId="3E6C2565" w14:textId="77777777" w:rsidR="00A052DC" w:rsidRDefault="009F0A60">
      <w:r>
        <w:t>&lt;REMARK&gt;</w:t>
      </w:r>
      <w:r>
        <w:rPr>
          <w:rFonts w:hint="eastAsia"/>
        </w:rPr>
        <w:t>备注</w:t>
      </w:r>
      <w:r>
        <w:t>&lt;/REMARK&gt;</w:t>
      </w:r>
    </w:p>
    <w:p w14:paraId="55E378D8" w14:textId="77777777" w:rsidR="00A052DC" w:rsidRDefault="009F0A60">
      <w:r>
        <w:t>&lt;/REC&gt;</w:t>
      </w:r>
    </w:p>
    <w:p w14:paraId="129FD88E" w14:textId="77777777" w:rsidR="00A052DC" w:rsidRDefault="009F0A60" w:rsidP="0020251D">
      <w:pPr>
        <w:pStyle w:val="5"/>
        <w:numPr>
          <w:ilvl w:val="4"/>
          <w:numId w:val="1"/>
        </w:numPr>
        <w:spacing w:before="120" w:after="120" w:line="360" w:lineRule="auto"/>
        <w:jc w:val="left"/>
      </w:pPr>
      <w:bookmarkStart w:id="1556" w:name="_Toc454386919"/>
      <w:r>
        <w:rPr>
          <w:rFonts w:hint="eastAsia"/>
        </w:rPr>
        <w:t>数据字典</w:t>
      </w:r>
      <w:bookmarkEnd w:id="1556"/>
    </w:p>
    <w:tbl>
      <w:tblPr>
        <w:tblW w:w="86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701"/>
        <w:gridCol w:w="1275"/>
        <w:gridCol w:w="3969"/>
      </w:tblGrid>
      <w:tr w:rsidR="00A052DC" w14:paraId="38EC91DA" w14:textId="77777777">
        <w:trPr>
          <w:tblHeader/>
        </w:trPr>
        <w:tc>
          <w:tcPr>
            <w:tcW w:w="1702" w:type="dxa"/>
            <w:shd w:val="clear" w:color="auto" w:fill="C0C0C0"/>
          </w:tcPr>
          <w:p w14:paraId="19436A26" w14:textId="77777777" w:rsidR="00A052DC" w:rsidRDefault="009F0A60">
            <w:pPr>
              <w:pStyle w:val="B1"/>
            </w:pPr>
            <w:r>
              <w:rPr>
                <w:rFonts w:hint="eastAsia"/>
              </w:rPr>
              <w:t>字段</w:t>
            </w:r>
          </w:p>
        </w:tc>
        <w:tc>
          <w:tcPr>
            <w:tcW w:w="1701" w:type="dxa"/>
            <w:shd w:val="clear" w:color="auto" w:fill="C0C0C0"/>
          </w:tcPr>
          <w:p w14:paraId="4A4BEDE0" w14:textId="77777777" w:rsidR="00A052DC" w:rsidRDefault="009F0A60">
            <w:pPr>
              <w:pStyle w:val="B1"/>
            </w:pPr>
            <w:r>
              <w:rPr>
                <w:rFonts w:hint="eastAsia"/>
              </w:rPr>
              <w:t>内容</w:t>
            </w:r>
          </w:p>
        </w:tc>
        <w:tc>
          <w:tcPr>
            <w:tcW w:w="1275" w:type="dxa"/>
            <w:shd w:val="clear" w:color="auto" w:fill="C0C0C0"/>
          </w:tcPr>
          <w:p w14:paraId="5DF17B72" w14:textId="77777777" w:rsidR="00A052DC" w:rsidRDefault="009F0A60">
            <w:pPr>
              <w:pStyle w:val="B1"/>
            </w:pPr>
            <w:r>
              <w:rPr>
                <w:rFonts w:hint="eastAsia"/>
              </w:rPr>
              <w:t>类型（长度）</w:t>
            </w:r>
          </w:p>
        </w:tc>
        <w:tc>
          <w:tcPr>
            <w:tcW w:w="3969" w:type="dxa"/>
            <w:shd w:val="clear" w:color="auto" w:fill="C0C0C0"/>
          </w:tcPr>
          <w:p w14:paraId="1419B2C9" w14:textId="77777777" w:rsidR="00A052DC" w:rsidRDefault="009F0A60">
            <w:pPr>
              <w:pStyle w:val="B1"/>
            </w:pPr>
            <w:r>
              <w:rPr>
                <w:rFonts w:hint="eastAsia"/>
              </w:rPr>
              <w:t>校验</w:t>
            </w:r>
          </w:p>
        </w:tc>
      </w:tr>
      <w:tr w:rsidR="00A052DC" w14:paraId="4EEA2A2E" w14:textId="77777777">
        <w:tc>
          <w:tcPr>
            <w:tcW w:w="1702" w:type="dxa"/>
          </w:tcPr>
          <w:p w14:paraId="66A420F3" w14:textId="77777777" w:rsidR="00A052DC" w:rsidRDefault="009F0A60">
            <w:pPr>
              <w:pStyle w:val="B"/>
              <w:rPr>
                <w:szCs w:val="20"/>
              </w:rPr>
            </w:pPr>
            <w:r>
              <w:rPr>
                <w:szCs w:val="20"/>
              </w:rPr>
              <w:t>ACTIONTYPE</w:t>
            </w:r>
          </w:p>
        </w:tc>
        <w:tc>
          <w:tcPr>
            <w:tcW w:w="1701" w:type="dxa"/>
          </w:tcPr>
          <w:p w14:paraId="4190F26E" w14:textId="77777777" w:rsidR="00A052DC" w:rsidRDefault="009F0A60">
            <w:pPr>
              <w:pStyle w:val="B"/>
              <w:rPr>
                <w:szCs w:val="20"/>
              </w:rPr>
            </w:pPr>
            <w:r>
              <w:rPr>
                <w:rFonts w:hint="eastAsia"/>
                <w:szCs w:val="20"/>
              </w:rPr>
              <w:t>操作类型</w:t>
            </w:r>
          </w:p>
        </w:tc>
        <w:tc>
          <w:tcPr>
            <w:tcW w:w="1275" w:type="dxa"/>
          </w:tcPr>
          <w:p w14:paraId="70B12BDE" w14:textId="77777777" w:rsidR="00A052DC" w:rsidRDefault="009F0A60">
            <w:pPr>
              <w:pStyle w:val="B"/>
              <w:rPr>
                <w:szCs w:val="20"/>
              </w:rPr>
            </w:pPr>
            <w:r>
              <w:rPr>
                <w:rFonts w:hint="eastAsia"/>
                <w:szCs w:val="20"/>
              </w:rPr>
              <w:t>字符型，</w:t>
            </w:r>
            <w:r>
              <w:rPr>
                <w:szCs w:val="20"/>
              </w:rPr>
              <w:t>1</w:t>
            </w:r>
          </w:p>
        </w:tc>
        <w:tc>
          <w:tcPr>
            <w:tcW w:w="3969" w:type="dxa"/>
          </w:tcPr>
          <w:p w14:paraId="57ECCF8B" w14:textId="77777777" w:rsidR="00A052DC" w:rsidRDefault="009F0A60">
            <w:pPr>
              <w:pStyle w:val="B"/>
              <w:rPr>
                <w:szCs w:val="20"/>
              </w:rPr>
            </w:pPr>
            <w:r>
              <w:rPr>
                <w:rFonts w:hint="eastAsia"/>
                <w:szCs w:val="20"/>
              </w:rPr>
              <w:t>必填项</w:t>
            </w:r>
            <w:r w:rsidR="001D10D1">
              <w:rPr>
                <w:rFonts w:hint="eastAsia"/>
                <w:szCs w:val="20"/>
              </w:rPr>
              <w:t>。</w:t>
            </w:r>
          </w:p>
          <w:p w14:paraId="32E2F6EA" w14:textId="77777777" w:rsidR="00A052DC" w:rsidRDefault="009F0A60">
            <w:pPr>
              <w:pStyle w:val="B"/>
              <w:rPr>
                <w:szCs w:val="20"/>
              </w:rPr>
            </w:pPr>
            <w:r>
              <w:rPr>
                <w:szCs w:val="20"/>
              </w:rPr>
              <w:t>A</w:t>
            </w:r>
            <w:r w:rsidR="00AE4602">
              <w:rPr>
                <w:rFonts w:hint="eastAsia"/>
                <w:szCs w:val="20"/>
              </w:rPr>
              <w:t>-</w:t>
            </w:r>
            <w:r>
              <w:rPr>
                <w:rFonts w:hint="eastAsia"/>
                <w:szCs w:val="20"/>
              </w:rPr>
              <w:t>新建</w:t>
            </w:r>
          </w:p>
          <w:p w14:paraId="48274CAB" w14:textId="77777777" w:rsidR="00A052DC" w:rsidRDefault="009F0A60">
            <w:pPr>
              <w:pStyle w:val="B"/>
              <w:rPr>
                <w:szCs w:val="20"/>
              </w:rPr>
            </w:pPr>
            <w:r>
              <w:rPr>
                <w:szCs w:val="20"/>
              </w:rPr>
              <w:t>C</w:t>
            </w:r>
            <w:r w:rsidR="00AE4602">
              <w:rPr>
                <w:rFonts w:hint="eastAsia"/>
                <w:szCs w:val="20"/>
              </w:rPr>
              <w:t>-</w:t>
            </w:r>
            <w:r>
              <w:rPr>
                <w:rFonts w:hint="eastAsia"/>
                <w:szCs w:val="20"/>
              </w:rPr>
              <w:t>修改</w:t>
            </w:r>
          </w:p>
          <w:p w14:paraId="26B517E9" w14:textId="77777777" w:rsidR="001D10D1" w:rsidRDefault="009F0A60" w:rsidP="001D10D1">
            <w:pPr>
              <w:pStyle w:val="B"/>
              <w:rPr>
                <w:szCs w:val="20"/>
              </w:rPr>
            </w:pPr>
            <w:r>
              <w:rPr>
                <w:szCs w:val="20"/>
              </w:rPr>
              <w:t>D</w:t>
            </w:r>
            <w:r w:rsidR="00AE4602">
              <w:rPr>
                <w:rFonts w:hint="eastAsia"/>
                <w:szCs w:val="20"/>
              </w:rPr>
              <w:t>-</w:t>
            </w:r>
            <w:r>
              <w:rPr>
                <w:rFonts w:hint="eastAsia"/>
                <w:szCs w:val="20"/>
              </w:rPr>
              <w:t>删除</w:t>
            </w:r>
          </w:p>
          <w:p w14:paraId="0C630CAE" w14:textId="77777777" w:rsidR="00A052DC" w:rsidRDefault="009F0A60" w:rsidP="001D10D1">
            <w:pPr>
              <w:pStyle w:val="B"/>
              <w:rPr>
                <w:szCs w:val="20"/>
              </w:rPr>
            </w:pPr>
            <w:r>
              <w:rPr>
                <w:rFonts w:hint="eastAsia"/>
                <w:szCs w:val="20"/>
              </w:rPr>
              <w:t>一旦银行报送了该外债编号下的余额信息或月末存量信息，就不可以删除了。</w:t>
            </w:r>
          </w:p>
        </w:tc>
      </w:tr>
      <w:tr w:rsidR="00A052DC" w14:paraId="692974A9" w14:textId="77777777">
        <w:tc>
          <w:tcPr>
            <w:tcW w:w="1702" w:type="dxa"/>
          </w:tcPr>
          <w:p w14:paraId="0860FEAE" w14:textId="77777777" w:rsidR="00A052DC" w:rsidRDefault="009F0A60">
            <w:pPr>
              <w:pStyle w:val="B"/>
              <w:rPr>
                <w:szCs w:val="20"/>
              </w:rPr>
            </w:pPr>
            <w:r>
              <w:rPr>
                <w:szCs w:val="20"/>
              </w:rPr>
              <w:t>ACTIONDESC</w:t>
            </w:r>
          </w:p>
        </w:tc>
        <w:tc>
          <w:tcPr>
            <w:tcW w:w="1701" w:type="dxa"/>
          </w:tcPr>
          <w:p w14:paraId="0C171622" w14:textId="77777777" w:rsidR="00A052DC" w:rsidRDefault="009F0A60">
            <w:pPr>
              <w:pStyle w:val="B"/>
              <w:rPr>
                <w:szCs w:val="20"/>
              </w:rPr>
            </w:pPr>
            <w:r>
              <w:rPr>
                <w:rFonts w:hint="eastAsia"/>
                <w:szCs w:val="20"/>
              </w:rPr>
              <w:t>删除原因</w:t>
            </w:r>
          </w:p>
        </w:tc>
        <w:tc>
          <w:tcPr>
            <w:tcW w:w="1275" w:type="dxa"/>
          </w:tcPr>
          <w:p w14:paraId="6CB8BD50" w14:textId="77777777" w:rsidR="00A052DC" w:rsidRDefault="009F0A60">
            <w:pPr>
              <w:pStyle w:val="B1"/>
              <w:jc w:val="both"/>
              <w:rPr>
                <w:b w:val="0"/>
              </w:rPr>
            </w:pPr>
            <w:r>
              <w:rPr>
                <w:rFonts w:hint="eastAsia"/>
                <w:b w:val="0"/>
              </w:rPr>
              <w:t>字符型，</w:t>
            </w:r>
            <w:r>
              <w:rPr>
                <w:b w:val="0"/>
              </w:rPr>
              <w:t>128</w:t>
            </w:r>
          </w:p>
        </w:tc>
        <w:tc>
          <w:tcPr>
            <w:tcW w:w="3969" w:type="dxa"/>
          </w:tcPr>
          <w:p w14:paraId="0643914A" w14:textId="77777777" w:rsidR="00A052DC" w:rsidRDefault="00DD6AA3" w:rsidP="001D10D1">
            <w:pPr>
              <w:pStyle w:val="B"/>
              <w:rPr>
                <w:szCs w:val="20"/>
              </w:rPr>
            </w:pPr>
            <w:r>
              <w:rPr>
                <w:rFonts w:hint="eastAsia"/>
                <w:szCs w:val="20"/>
              </w:rPr>
              <w:t>非必填项，当操作类型（ACTIONTYPE）为删除时必填。</w:t>
            </w:r>
          </w:p>
        </w:tc>
      </w:tr>
      <w:tr w:rsidR="00A052DC" w14:paraId="68D4066F" w14:textId="77777777">
        <w:tc>
          <w:tcPr>
            <w:tcW w:w="1702" w:type="dxa"/>
          </w:tcPr>
          <w:p w14:paraId="766D5ABF" w14:textId="77777777" w:rsidR="00A052DC" w:rsidRDefault="009F0A60">
            <w:pPr>
              <w:pStyle w:val="B"/>
              <w:rPr>
                <w:szCs w:val="20"/>
              </w:rPr>
            </w:pPr>
            <w:r>
              <w:rPr>
                <w:szCs w:val="20"/>
              </w:rPr>
              <w:t>EXDEBTCODE</w:t>
            </w:r>
          </w:p>
        </w:tc>
        <w:tc>
          <w:tcPr>
            <w:tcW w:w="1701" w:type="dxa"/>
          </w:tcPr>
          <w:p w14:paraId="5C3F4C0B" w14:textId="77777777" w:rsidR="00A052DC" w:rsidRDefault="009F0A60">
            <w:pPr>
              <w:pStyle w:val="B"/>
              <w:rPr>
                <w:szCs w:val="20"/>
              </w:rPr>
            </w:pPr>
            <w:r>
              <w:rPr>
                <w:rFonts w:hint="eastAsia"/>
                <w:szCs w:val="20"/>
              </w:rPr>
              <w:t>外债编号</w:t>
            </w:r>
          </w:p>
        </w:tc>
        <w:tc>
          <w:tcPr>
            <w:tcW w:w="1275" w:type="dxa"/>
          </w:tcPr>
          <w:p w14:paraId="0355292D" w14:textId="77777777" w:rsidR="00A052DC" w:rsidRDefault="009F0A60">
            <w:pPr>
              <w:pStyle w:val="B"/>
              <w:rPr>
                <w:szCs w:val="20"/>
              </w:rPr>
            </w:pPr>
            <w:r>
              <w:rPr>
                <w:rFonts w:hint="eastAsia"/>
                <w:szCs w:val="20"/>
              </w:rPr>
              <w:t>字符型，</w:t>
            </w:r>
            <w:r>
              <w:rPr>
                <w:szCs w:val="20"/>
              </w:rPr>
              <w:t>28</w:t>
            </w:r>
          </w:p>
        </w:tc>
        <w:tc>
          <w:tcPr>
            <w:tcW w:w="3969" w:type="dxa"/>
          </w:tcPr>
          <w:p w14:paraId="75195B64" w14:textId="77777777" w:rsidR="00A052DC" w:rsidRDefault="009F0A60" w:rsidP="001D10D1">
            <w:pPr>
              <w:pStyle w:val="B"/>
              <w:rPr>
                <w:szCs w:val="20"/>
              </w:rPr>
            </w:pPr>
            <w:r>
              <w:rPr>
                <w:rFonts w:hint="eastAsia"/>
                <w:szCs w:val="20"/>
              </w:rPr>
              <w:t>必填项，外债唯一性编码。</w:t>
            </w:r>
          </w:p>
        </w:tc>
      </w:tr>
      <w:tr w:rsidR="00A052DC" w14:paraId="384B028E" w14:textId="77777777">
        <w:tc>
          <w:tcPr>
            <w:tcW w:w="1702" w:type="dxa"/>
          </w:tcPr>
          <w:p w14:paraId="2907D1E1" w14:textId="77777777" w:rsidR="00A052DC" w:rsidRDefault="009F0A60">
            <w:pPr>
              <w:pStyle w:val="B"/>
              <w:rPr>
                <w:szCs w:val="20"/>
              </w:rPr>
            </w:pPr>
            <w:r>
              <w:rPr>
                <w:szCs w:val="20"/>
              </w:rPr>
              <w:t>DEBTORCODE</w:t>
            </w:r>
          </w:p>
        </w:tc>
        <w:tc>
          <w:tcPr>
            <w:tcW w:w="1701" w:type="dxa"/>
          </w:tcPr>
          <w:p w14:paraId="2C0B5A63" w14:textId="77777777" w:rsidR="00A052DC" w:rsidRDefault="009F0A60">
            <w:pPr>
              <w:pStyle w:val="B"/>
              <w:rPr>
                <w:szCs w:val="20"/>
              </w:rPr>
            </w:pPr>
            <w:r>
              <w:rPr>
                <w:rFonts w:hint="eastAsia"/>
                <w:szCs w:val="20"/>
              </w:rPr>
              <w:t>债务人代码</w:t>
            </w:r>
          </w:p>
        </w:tc>
        <w:tc>
          <w:tcPr>
            <w:tcW w:w="1275" w:type="dxa"/>
          </w:tcPr>
          <w:p w14:paraId="4A9763E7" w14:textId="77777777" w:rsidR="00A052DC" w:rsidRDefault="009F0A60">
            <w:pPr>
              <w:pStyle w:val="B"/>
              <w:rPr>
                <w:szCs w:val="20"/>
              </w:rPr>
            </w:pPr>
            <w:r>
              <w:rPr>
                <w:rFonts w:hint="eastAsia"/>
                <w:szCs w:val="20"/>
              </w:rPr>
              <w:t>字符型，</w:t>
            </w:r>
            <w:r>
              <w:rPr>
                <w:szCs w:val="20"/>
              </w:rPr>
              <w:t>12</w:t>
            </w:r>
          </w:p>
        </w:tc>
        <w:tc>
          <w:tcPr>
            <w:tcW w:w="3969" w:type="dxa"/>
          </w:tcPr>
          <w:p w14:paraId="2CE069E3" w14:textId="77777777" w:rsidR="00A052DC" w:rsidRDefault="009F0A60" w:rsidP="001D10D1">
            <w:pPr>
              <w:pStyle w:val="B"/>
              <w:rPr>
                <w:szCs w:val="20"/>
              </w:rPr>
            </w:pPr>
            <w:r>
              <w:rPr>
                <w:rFonts w:hint="eastAsia"/>
                <w:szCs w:val="20"/>
              </w:rPr>
              <w:t>必填项，金融机构标识码。</w:t>
            </w:r>
          </w:p>
        </w:tc>
      </w:tr>
      <w:tr w:rsidR="00A052DC" w14:paraId="4A40AF27" w14:textId="77777777">
        <w:tc>
          <w:tcPr>
            <w:tcW w:w="1702" w:type="dxa"/>
          </w:tcPr>
          <w:p w14:paraId="30ADDA4D" w14:textId="77777777" w:rsidR="00A052DC" w:rsidRDefault="009F0A60">
            <w:pPr>
              <w:pStyle w:val="B"/>
              <w:rPr>
                <w:szCs w:val="20"/>
              </w:rPr>
            </w:pPr>
            <w:r>
              <w:rPr>
                <w:szCs w:val="20"/>
              </w:rPr>
              <w:t>DEBTYPE</w:t>
            </w:r>
          </w:p>
        </w:tc>
        <w:tc>
          <w:tcPr>
            <w:tcW w:w="1701" w:type="dxa"/>
          </w:tcPr>
          <w:p w14:paraId="189C9836" w14:textId="77777777" w:rsidR="00A052DC" w:rsidRDefault="009F0A60">
            <w:pPr>
              <w:pStyle w:val="B"/>
              <w:rPr>
                <w:szCs w:val="20"/>
              </w:rPr>
            </w:pPr>
            <w:r>
              <w:rPr>
                <w:rFonts w:hint="eastAsia"/>
                <w:szCs w:val="20"/>
              </w:rPr>
              <w:t>债务类型</w:t>
            </w:r>
          </w:p>
        </w:tc>
        <w:tc>
          <w:tcPr>
            <w:tcW w:w="1275" w:type="dxa"/>
          </w:tcPr>
          <w:p w14:paraId="4A881A18" w14:textId="77777777" w:rsidR="00A052DC" w:rsidRDefault="009F0A60">
            <w:pPr>
              <w:pStyle w:val="B"/>
              <w:rPr>
                <w:szCs w:val="20"/>
              </w:rPr>
            </w:pPr>
            <w:r>
              <w:rPr>
                <w:rFonts w:hint="eastAsia"/>
                <w:szCs w:val="20"/>
              </w:rPr>
              <w:t>字符型，</w:t>
            </w:r>
            <w:r>
              <w:rPr>
                <w:szCs w:val="20"/>
              </w:rPr>
              <w:t>4</w:t>
            </w:r>
          </w:p>
        </w:tc>
        <w:tc>
          <w:tcPr>
            <w:tcW w:w="3969" w:type="dxa"/>
          </w:tcPr>
          <w:p w14:paraId="625DF9B0" w14:textId="77777777" w:rsidR="00A052DC" w:rsidRDefault="009F0A60" w:rsidP="001D10D1">
            <w:pPr>
              <w:pStyle w:val="B"/>
              <w:rPr>
                <w:szCs w:val="20"/>
              </w:rPr>
            </w:pPr>
            <w:r>
              <w:rPr>
                <w:rFonts w:hint="eastAsia"/>
                <w:szCs w:val="20"/>
              </w:rPr>
              <w:t>必填项，见债务类型代码表。</w:t>
            </w:r>
          </w:p>
        </w:tc>
      </w:tr>
      <w:tr w:rsidR="00A052DC" w14:paraId="57D935C4" w14:textId="77777777">
        <w:trPr>
          <w:cantSplit/>
          <w:trHeight w:val="64"/>
        </w:trPr>
        <w:tc>
          <w:tcPr>
            <w:tcW w:w="1702" w:type="dxa"/>
          </w:tcPr>
          <w:p w14:paraId="2E8C3952" w14:textId="77777777" w:rsidR="00A052DC" w:rsidRDefault="009F0A60">
            <w:pPr>
              <w:pStyle w:val="B"/>
              <w:rPr>
                <w:szCs w:val="20"/>
              </w:rPr>
            </w:pPr>
            <w:r>
              <w:rPr>
                <w:szCs w:val="20"/>
              </w:rPr>
              <w:t>VALUEDATE</w:t>
            </w:r>
          </w:p>
        </w:tc>
        <w:tc>
          <w:tcPr>
            <w:tcW w:w="1701" w:type="dxa"/>
          </w:tcPr>
          <w:p w14:paraId="547FC393" w14:textId="77777777" w:rsidR="00A052DC" w:rsidRDefault="009F0A60">
            <w:pPr>
              <w:pStyle w:val="B"/>
              <w:rPr>
                <w:szCs w:val="20"/>
              </w:rPr>
            </w:pPr>
            <w:r>
              <w:rPr>
                <w:rFonts w:hint="eastAsia"/>
                <w:szCs w:val="20"/>
              </w:rPr>
              <w:t>起息日</w:t>
            </w:r>
          </w:p>
        </w:tc>
        <w:tc>
          <w:tcPr>
            <w:tcW w:w="1275" w:type="dxa"/>
          </w:tcPr>
          <w:p w14:paraId="447EAE80" w14:textId="77777777" w:rsidR="00A052DC" w:rsidRDefault="009F0A60">
            <w:pPr>
              <w:pStyle w:val="B"/>
              <w:rPr>
                <w:szCs w:val="20"/>
              </w:rPr>
            </w:pPr>
            <w:r>
              <w:rPr>
                <w:rFonts w:hint="eastAsia"/>
                <w:szCs w:val="20"/>
              </w:rPr>
              <w:t>日期型，</w:t>
            </w:r>
            <w:r>
              <w:rPr>
                <w:szCs w:val="20"/>
              </w:rPr>
              <w:t>8</w:t>
            </w:r>
          </w:p>
        </w:tc>
        <w:tc>
          <w:tcPr>
            <w:tcW w:w="3969" w:type="dxa"/>
          </w:tcPr>
          <w:p w14:paraId="4AF94502" w14:textId="77777777" w:rsidR="00A052DC" w:rsidRDefault="009F0A60" w:rsidP="001D10D1">
            <w:pPr>
              <w:pStyle w:val="B"/>
              <w:rPr>
                <w:szCs w:val="20"/>
              </w:rPr>
            </w:pPr>
            <w:r>
              <w:rPr>
                <w:rFonts w:hint="eastAsia"/>
                <w:szCs w:val="20"/>
              </w:rPr>
              <w:t>必填项，格式</w:t>
            </w:r>
            <w:r>
              <w:rPr>
                <w:szCs w:val="20"/>
              </w:rPr>
              <w:t>YYYYMMDD</w:t>
            </w:r>
            <w:r>
              <w:rPr>
                <w:rFonts w:hint="eastAsia"/>
                <w:szCs w:val="20"/>
              </w:rPr>
              <w:t>。</w:t>
            </w:r>
          </w:p>
        </w:tc>
      </w:tr>
      <w:tr w:rsidR="00A052DC" w14:paraId="023A9C7E" w14:textId="77777777">
        <w:tc>
          <w:tcPr>
            <w:tcW w:w="1702" w:type="dxa"/>
          </w:tcPr>
          <w:p w14:paraId="42F08A74" w14:textId="77777777" w:rsidR="00A052DC" w:rsidRDefault="009F0A60">
            <w:pPr>
              <w:pStyle w:val="B"/>
              <w:rPr>
                <w:szCs w:val="20"/>
              </w:rPr>
            </w:pPr>
            <w:r>
              <w:rPr>
                <w:szCs w:val="20"/>
              </w:rPr>
              <w:t>CONTRACTCURR</w:t>
            </w:r>
          </w:p>
        </w:tc>
        <w:tc>
          <w:tcPr>
            <w:tcW w:w="1701" w:type="dxa"/>
          </w:tcPr>
          <w:p w14:paraId="20FC4D59" w14:textId="77777777" w:rsidR="00A052DC" w:rsidRDefault="009F0A60">
            <w:pPr>
              <w:pStyle w:val="B"/>
              <w:rPr>
                <w:szCs w:val="20"/>
              </w:rPr>
            </w:pPr>
            <w:r>
              <w:rPr>
                <w:rFonts w:hint="eastAsia"/>
                <w:szCs w:val="20"/>
              </w:rPr>
              <w:t>签约币种</w:t>
            </w:r>
          </w:p>
        </w:tc>
        <w:tc>
          <w:tcPr>
            <w:tcW w:w="1275" w:type="dxa"/>
          </w:tcPr>
          <w:p w14:paraId="0A301492" w14:textId="77777777" w:rsidR="00A052DC" w:rsidRDefault="009F0A60">
            <w:pPr>
              <w:pStyle w:val="B"/>
              <w:rPr>
                <w:szCs w:val="20"/>
              </w:rPr>
            </w:pPr>
            <w:r>
              <w:rPr>
                <w:rFonts w:hint="eastAsia"/>
                <w:szCs w:val="20"/>
              </w:rPr>
              <w:t>字符型，</w:t>
            </w:r>
            <w:r>
              <w:rPr>
                <w:szCs w:val="20"/>
              </w:rPr>
              <w:t>3</w:t>
            </w:r>
          </w:p>
        </w:tc>
        <w:tc>
          <w:tcPr>
            <w:tcW w:w="3969" w:type="dxa"/>
          </w:tcPr>
          <w:p w14:paraId="7191D238" w14:textId="77777777" w:rsidR="00A052DC" w:rsidRDefault="009F0A60" w:rsidP="001D10D1">
            <w:pPr>
              <w:pStyle w:val="B"/>
              <w:rPr>
                <w:szCs w:val="20"/>
              </w:rPr>
            </w:pPr>
            <w:r>
              <w:rPr>
                <w:rFonts w:hint="eastAsia"/>
                <w:szCs w:val="20"/>
              </w:rPr>
              <w:t>必填项，见币种代码表。</w:t>
            </w:r>
          </w:p>
        </w:tc>
      </w:tr>
      <w:tr w:rsidR="00A052DC" w14:paraId="58740B55" w14:textId="77777777">
        <w:tc>
          <w:tcPr>
            <w:tcW w:w="1702" w:type="dxa"/>
          </w:tcPr>
          <w:p w14:paraId="1D9241DA" w14:textId="77777777" w:rsidR="00A052DC" w:rsidRDefault="009F0A60">
            <w:pPr>
              <w:pStyle w:val="B"/>
              <w:rPr>
                <w:szCs w:val="20"/>
              </w:rPr>
            </w:pPr>
            <w:r>
              <w:rPr>
                <w:szCs w:val="20"/>
              </w:rPr>
              <w:t>FLOATRATE</w:t>
            </w:r>
          </w:p>
        </w:tc>
        <w:tc>
          <w:tcPr>
            <w:tcW w:w="1701" w:type="dxa"/>
          </w:tcPr>
          <w:p w14:paraId="0EF504E5" w14:textId="77777777" w:rsidR="00A052DC" w:rsidRDefault="009F0A60">
            <w:pPr>
              <w:pStyle w:val="B"/>
              <w:rPr>
                <w:szCs w:val="20"/>
              </w:rPr>
            </w:pPr>
            <w:r>
              <w:rPr>
                <w:rFonts w:hint="eastAsia"/>
                <w:szCs w:val="20"/>
              </w:rPr>
              <w:t>是否浮动利率</w:t>
            </w:r>
          </w:p>
        </w:tc>
        <w:tc>
          <w:tcPr>
            <w:tcW w:w="1275" w:type="dxa"/>
          </w:tcPr>
          <w:p w14:paraId="68C96E40" w14:textId="77777777" w:rsidR="00A052DC" w:rsidRDefault="009F0A60">
            <w:pPr>
              <w:pStyle w:val="B"/>
              <w:rPr>
                <w:szCs w:val="20"/>
              </w:rPr>
            </w:pPr>
            <w:r>
              <w:rPr>
                <w:rFonts w:hint="eastAsia"/>
                <w:szCs w:val="20"/>
              </w:rPr>
              <w:t>字符型，</w:t>
            </w:r>
            <w:r>
              <w:rPr>
                <w:szCs w:val="20"/>
              </w:rPr>
              <w:t>1</w:t>
            </w:r>
          </w:p>
        </w:tc>
        <w:tc>
          <w:tcPr>
            <w:tcW w:w="3969" w:type="dxa"/>
          </w:tcPr>
          <w:p w14:paraId="12977BC6" w14:textId="77777777" w:rsidR="00A052DC" w:rsidRDefault="009F0A60">
            <w:pPr>
              <w:pStyle w:val="B"/>
              <w:rPr>
                <w:szCs w:val="20"/>
              </w:rPr>
            </w:pPr>
            <w:r>
              <w:rPr>
                <w:rFonts w:hint="eastAsia"/>
                <w:szCs w:val="20"/>
              </w:rPr>
              <w:t>必填项，是</w:t>
            </w:r>
            <w:r>
              <w:rPr>
                <w:szCs w:val="20"/>
              </w:rPr>
              <w:t>-Y</w:t>
            </w:r>
            <w:r>
              <w:rPr>
                <w:rFonts w:hint="eastAsia"/>
                <w:szCs w:val="20"/>
              </w:rPr>
              <w:t>，否</w:t>
            </w:r>
            <w:r>
              <w:rPr>
                <w:szCs w:val="20"/>
              </w:rPr>
              <w:t>-N</w:t>
            </w:r>
            <w:r>
              <w:rPr>
                <w:rFonts w:hint="eastAsia"/>
                <w:szCs w:val="20"/>
              </w:rPr>
              <w:t>，默认为否，填写</w:t>
            </w:r>
            <w:r>
              <w:rPr>
                <w:szCs w:val="20"/>
              </w:rPr>
              <w:t>N</w:t>
            </w:r>
            <w:r>
              <w:rPr>
                <w:rFonts w:hint="eastAsia"/>
                <w:szCs w:val="20"/>
              </w:rPr>
              <w:t>。</w:t>
            </w:r>
          </w:p>
        </w:tc>
      </w:tr>
      <w:tr w:rsidR="00A052DC" w14:paraId="15B0F446" w14:textId="77777777">
        <w:tc>
          <w:tcPr>
            <w:tcW w:w="1702" w:type="dxa"/>
          </w:tcPr>
          <w:p w14:paraId="76E3A2C1" w14:textId="77777777" w:rsidR="00A052DC" w:rsidRDefault="009F0A60">
            <w:pPr>
              <w:pStyle w:val="B"/>
              <w:rPr>
                <w:szCs w:val="20"/>
              </w:rPr>
            </w:pPr>
            <w:r>
              <w:rPr>
                <w:szCs w:val="20"/>
              </w:rPr>
              <w:t>ANNINRATE</w:t>
            </w:r>
          </w:p>
        </w:tc>
        <w:tc>
          <w:tcPr>
            <w:tcW w:w="1701" w:type="dxa"/>
          </w:tcPr>
          <w:p w14:paraId="15E7AF04" w14:textId="77777777" w:rsidR="00A052DC" w:rsidRDefault="009F0A60">
            <w:pPr>
              <w:pStyle w:val="B"/>
              <w:rPr>
                <w:szCs w:val="20"/>
              </w:rPr>
            </w:pPr>
            <w:r>
              <w:rPr>
                <w:rFonts w:hint="eastAsia"/>
                <w:szCs w:val="20"/>
              </w:rPr>
              <w:t>年化利率值</w:t>
            </w:r>
          </w:p>
        </w:tc>
        <w:tc>
          <w:tcPr>
            <w:tcW w:w="1275" w:type="dxa"/>
          </w:tcPr>
          <w:p w14:paraId="7431EB51" w14:textId="77777777" w:rsidR="00A052DC" w:rsidRDefault="009F0A60">
            <w:pPr>
              <w:pStyle w:val="B"/>
              <w:rPr>
                <w:szCs w:val="20"/>
              </w:rPr>
            </w:pPr>
            <w:r>
              <w:rPr>
                <w:rFonts w:hint="eastAsia"/>
                <w:szCs w:val="20"/>
              </w:rPr>
              <w:t>数值型，</w:t>
            </w:r>
            <w:r>
              <w:rPr>
                <w:szCs w:val="20"/>
              </w:rPr>
              <w:t>13.8</w:t>
            </w:r>
          </w:p>
        </w:tc>
        <w:tc>
          <w:tcPr>
            <w:tcW w:w="3969" w:type="dxa"/>
          </w:tcPr>
          <w:p w14:paraId="3A1D6B7A" w14:textId="77777777" w:rsidR="00A052DC" w:rsidRDefault="009F0A60" w:rsidP="001D10D1">
            <w:pPr>
              <w:pStyle w:val="B"/>
              <w:rPr>
                <w:szCs w:val="20"/>
              </w:rPr>
            </w:pPr>
            <w:r>
              <w:rPr>
                <w:rFonts w:hint="eastAsia"/>
                <w:szCs w:val="20"/>
              </w:rPr>
              <w:t>必填项，大于等于</w:t>
            </w:r>
            <w:r>
              <w:rPr>
                <w:szCs w:val="20"/>
              </w:rPr>
              <w:t>0</w:t>
            </w:r>
            <w:r>
              <w:rPr>
                <w:rFonts w:hint="eastAsia"/>
                <w:szCs w:val="20"/>
              </w:rPr>
              <w:t>，按小数填写</w:t>
            </w:r>
            <w:r w:rsidR="001D10D1">
              <w:rPr>
                <w:rFonts w:hint="eastAsia"/>
                <w:szCs w:val="20"/>
              </w:rPr>
              <w:t>。</w:t>
            </w:r>
            <w:r>
              <w:rPr>
                <w:rFonts w:hint="eastAsia"/>
                <w:szCs w:val="20"/>
              </w:rPr>
              <w:t>如利率为</w:t>
            </w:r>
            <w:r>
              <w:rPr>
                <w:szCs w:val="20"/>
              </w:rPr>
              <w:t>3.21%</w:t>
            </w:r>
            <w:r>
              <w:rPr>
                <w:rFonts w:hint="eastAsia"/>
                <w:szCs w:val="20"/>
              </w:rPr>
              <w:t>，则填写</w:t>
            </w:r>
            <w:r>
              <w:rPr>
                <w:szCs w:val="20"/>
              </w:rPr>
              <w:t>0.0321</w:t>
            </w:r>
            <w:r>
              <w:rPr>
                <w:rFonts w:hint="eastAsia"/>
                <w:szCs w:val="20"/>
              </w:rPr>
              <w:t>。</w:t>
            </w:r>
          </w:p>
        </w:tc>
      </w:tr>
      <w:tr w:rsidR="00A052DC" w14:paraId="7D3D300D" w14:textId="77777777">
        <w:tc>
          <w:tcPr>
            <w:tcW w:w="1702" w:type="dxa"/>
          </w:tcPr>
          <w:p w14:paraId="4097E9D0" w14:textId="77777777" w:rsidR="00A052DC" w:rsidRDefault="009F0A60">
            <w:pPr>
              <w:pStyle w:val="B"/>
              <w:rPr>
                <w:szCs w:val="20"/>
              </w:rPr>
            </w:pPr>
            <w:r>
              <w:rPr>
                <w:szCs w:val="20"/>
              </w:rPr>
              <w:t>CREDITORCODE</w:t>
            </w:r>
          </w:p>
        </w:tc>
        <w:tc>
          <w:tcPr>
            <w:tcW w:w="1701" w:type="dxa"/>
          </w:tcPr>
          <w:p w14:paraId="1EF195E0" w14:textId="77777777" w:rsidR="00A052DC" w:rsidRDefault="009F0A60">
            <w:pPr>
              <w:pStyle w:val="B"/>
              <w:rPr>
                <w:szCs w:val="20"/>
              </w:rPr>
            </w:pPr>
            <w:r>
              <w:rPr>
                <w:rFonts w:hint="eastAsia"/>
                <w:szCs w:val="20"/>
              </w:rPr>
              <w:t>债权人代码</w:t>
            </w:r>
          </w:p>
        </w:tc>
        <w:tc>
          <w:tcPr>
            <w:tcW w:w="1275" w:type="dxa"/>
          </w:tcPr>
          <w:p w14:paraId="350F6687" w14:textId="77777777" w:rsidR="00A052DC" w:rsidRDefault="009F0A60">
            <w:pPr>
              <w:pStyle w:val="B"/>
              <w:rPr>
                <w:szCs w:val="20"/>
              </w:rPr>
            </w:pPr>
            <w:r>
              <w:rPr>
                <w:rFonts w:hint="eastAsia"/>
                <w:szCs w:val="20"/>
              </w:rPr>
              <w:t>字符型，</w:t>
            </w:r>
            <w:r>
              <w:rPr>
                <w:szCs w:val="20"/>
              </w:rPr>
              <w:t>11</w:t>
            </w:r>
          </w:p>
        </w:tc>
        <w:tc>
          <w:tcPr>
            <w:tcW w:w="3969" w:type="dxa"/>
          </w:tcPr>
          <w:p w14:paraId="2ADD0CB4" w14:textId="77777777" w:rsidR="00A052DC" w:rsidRDefault="009F0A60">
            <w:pPr>
              <w:pStyle w:val="B"/>
              <w:rPr>
                <w:szCs w:val="20"/>
              </w:rPr>
            </w:pPr>
            <w:r>
              <w:rPr>
                <w:rFonts w:hint="eastAsia"/>
                <w:szCs w:val="20"/>
              </w:rPr>
              <w:t>非必填项。</w:t>
            </w:r>
          </w:p>
        </w:tc>
      </w:tr>
      <w:tr w:rsidR="00A052DC" w14:paraId="7B5B8DF1" w14:textId="77777777">
        <w:tc>
          <w:tcPr>
            <w:tcW w:w="1702" w:type="dxa"/>
          </w:tcPr>
          <w:p w14:paraId="2F695AAF" w14:textId="77777777" w:rsidR="00A052DC" w:rsidRDefault="009F0A60">
            <w:pPr>
              <w:pStyle w:val="B"/>
              <w:rPr>
                <w:szCs w:val="20"/>
              </w:rPr>
            </w:pPr>
            <w:r>
              <w:rPr>
                <w:szCs w:val="20"/>
              </w:rPr>
              <w:t>CREDITORNAME</w:t>
            </w:r>
          </w:p>
        </w:tc>
        <w:tc>
          <w:tcPr>
            <w:tcW w:w="1701" w:type="dxa"/>
          </w:tcPr>
          <w:p w14:paraId="77C8BE11" w14:textId="77777777" w:rsidR="00A052DC" w:rsidRDefault="009F0A60">
            <w:pPr>
              <w:pStyle w:val="B"/>
              <w:rPr>
                <w:szCs w:val="20"/>
              </w:rPr>
            </w:pPr>
            <w:r>
              <w:rPr>
                <w:rFonts w:hint="eastAsia"/>
                <w:szCs w:val="20"/>
              </w:rPr>
              <w:t>债权人中文名称</w:t>
            </w:r>
          </w:p>
        </w:tc>
        <w:tc>
          <w:tcPr>
            <w:tcW w:w="1275" w:type="dxa"/>
          </w:tcPr>
          <w:p w14:paraId="6B3091DA" w14:textId="77777777" w:rsidR="00A052DC" w:rsidRDefault="009F0A60">
            <w:pPr>
              <w:pStyle w:val="B"/>
              <w:rPr>
                <w:szCs w:val="20"/>
              </w:rPr>
            </w:pPr>
            <w:r>
              <w:rPr>
                <w:rFonts w:hint="eastAsia"/>
                <w:szCs w:val="20"/>
              </w:rPr>
              <w:t>字符型，</w:t>
            </w:r>
            <w:r>
              <w:rPr>
                <w:szCs w:val="20"/>
              </w:rPr>
              <w:t>128</w:t>
            </w:r>
          </w:p>
        </w:tc>
        <w:tc>
          <w:tcPr>
            <w:tcW w:w="3969" w:type="dxa"/>
          </w:tcPr>
          <w:p w14:paraId="415845D1" w14:textId="77777777" w:rsidR="00A052DC" w:rsidRDefault="009F0A60">
            <w:pPr>
              <w:pStyle w:val="B"/>
              <w:rPr>
                <w:szCs w:val="20"/>
              </w:rPr>
            </w:pPr>
            <w:r>
              <w:rPr>
                <w:rFonts w:hint="eastAsia"/>
                <w:szCs w:val="20"/>
              </w:rPr>
              <w:t>非必填项，</w:t>
            </w:r>
          </w:p>
          <w:p w14:paraId="727B32DF" w14:textId="77777777" w:rsidR="00A052DC" w:rsidRDefault="009F0A60">
            <w:pPr>
              <w:pStyle w:val="B"/>
              <w:rPr>
                <w:szCs w:val="20"/>
              </w:rPr>
            </w:pPr>
            <w:r>
              <w:rPr>
                <w:rFonts w:hint="eastAsia"/>
                <w:szCs w:val="20"/>
              </w:rPr>
              <w:t>债权人中文名称和债权人英文名称至少填写一个。</w:t>
            </w:r>
          </w:p>
        </w:tc>
      </w:tr>
      <w:tr w:rsidR="00A052DC" w14:paraId="1BDF1F03" w14:textId="77777777">
        <w:tc>
          <w:tcPr>
            <w:tcW w:w="1702" w:type="dxa"/>
          </w:tcPr>
          <w:p w14:paraId="02615D5A" w14:textId="77777777" w:rsidR="00A052DC" w:rsidRDefault="009F0A60">
            <w:pPr>
              <w:pStyle w:val="B"/>
              <w:rPr>
                <w:szCs w:val="20"/>
              </w:rPr>
            </w:pPr>
            <w:r>
              <w:rPr>
                <w:szCs w:val="20"/>
              </w:rPr>
              <w:t>CREDITORNAMEN</w:t>
            </w:r>
          </w:p>
        </w:tc>
        <w:tc>
          <w:tcPr>
            <w:tcW w:w="1701" w:type="dxa"/>
          </w:tcPr>
          <w:p w14:paraId="6C46F07A" w14:textId="77777777" w:rsidR="00A052DC" w:rsidRDefault="009F0A60">
            <w:pPr>
              <w:pStyle w:val="B"/>
              <w:rPr>
                <w:szCs w:val="20"/>
              </w:rPr>
            </w:pPr>
            <w:r>
              <w:rPr>
                <w:rFonts w:hint="eastAsia"/>
                <w:szCs w:val="20"/>
              </w:rPr>
              <w:t>债权人英文名称</w:t>
            </w:r>
          </w:p>
        </w:tc>
        <w:tc>
          <w:tcPr>
            <w:tcW w:w="1275" w:type="dxa"/>
          </w:tcPr>
          <w:p w14:paraId="78846DA8" w14:textId="77777777" w:rsidR="00A052DC" w:rsidRDefault="009F0A60">
            <w:pPr>
              <w:pStyle w:val="B"/>
              <w:rPr>
                <w:szCs w:val="20"/>
              </w:rPr>
            </w:pPr>
            <w:r>
              <w:rPr>
                <w:rFonts w:hint="eastAsia"/>
                <w:szCs w:val="20"/>
              </w:rPr>
              <w:t>字符型，</w:t>
            </w:r>
            <w:r>
              <w:rPr>
                <w:szCs w:val="20"/>
              </w:rPr>
              <w:t>128</w:t>
            </w:r>
          </w:p>
        </w:tc>
        <w:tc>
          <w:tcPr>
            <w:tcW w:w="3969" w:type="dxa"/>
          </w:tcPr>
          <w:p w14:paraId="0B6FC82F" w14:textId="77777777" w:rsidR="00A052DC" w:rsidRDefault="009F0A60">
            <w:pPr>
              <w:pStyle w:val="B"/>
              <w:rPr>
                <w:szCs w:val="20"/>
              </w:rPr>
            </w:pPr>
            <w:r>
              <w:rPr>
                <w:rFonts w:hint="eastAsia"/>
                <w:szCs w:val="20"/>
              </w:rPr>
              <w:t>非必填项，</w:t>
            </w:r>
          </w:p>
          <w:p w14:paraId="5A5F7A2E" w14:textId="77777777" w:rsidR="00A052DC" w:rsidRDefault="009F0A60">
            <w:pPr>
              <w:pStyle w:val="B"/>
              <w:rPr>
                <w:szCs w:val="20"/>
              </w:rPr>
            </w:pPr>
            <w:r>
              <w:rPr>
                <w:rFonts w:hint="eastAsia"/>
                <w:szCs w:val="20"/>
              </w:rPr>
              <w:t>债权人中文名称和债权人英文名称至少填写一个。</w:t>
            </w:r>
          </w:p>
        </w:tc>
      </w:tr>
      <w:tr w:rsidR="00A052DC" w14:paraId="1CF4447C" w14:textId="77777777">
        <w:tc>
          <w:tcPr>
            <w:tcW w:w="1702" w:type="dxa"/>
          </w:tcPr>
          <w:p w14:paraId="59B589EF" w14:textId="77777777" w:rsidR="00A052DC" w:rsidRDefault="009F0A60">
            <w:pPr>
              <w:pStyle w:val="B"/>
              <w:rPr>
                <w:szCs w:val="20"/>
              </w:rPr>
            </w:pPr>
            <w:r>
              <w:rPr>
                <w:szCs w:val="20"/>
              </w:rPr>
              <w:t>CREDITORTYPE</w:t>
            </w:r>
          </w:p>
        </w:tc>
        <w:tc>
          <w:tcPr>
            <w:tcW w:w="1701" w:type="dxa"/>
          </w:tcPr>
          <w:p w14:paraId="2479797B" w14:textId="77777777" w:rsidR="00A052DC" w:rsidRDefault="009F0A60">
            <w:pPr>
              <w:pStyle w:val="B"/>
              <w:rPr>
                <w:szCs w:val="20"/>
              </w:rPr>
            </w:pPr>
            <w:r>
              <w:rPr>
                <w:rFonts w:hint="eastAsia"/>
                <w:szCs w:val="20"/>
              </w:rPr>
              <w:t>债权人类型代码</w:t>
            </w:r>
          </w:p>
        </w:tc>
        <w:tc>
          <w:tcPr>
            <w:tcW w:w="1275" w:type="dxa"/>
          </w:tcPr>
          <w:p w14:paraId="63362D7C" w14:textId="77777777" w:rsidR="00A052DC" w:rsidRDefault="009F0A60">
            <w:pPr>
              <w:pStyle w:val="B"/>
              <w:rPr>
                <w:szCs w:val="20"/>
              </w:rPr>
            </w:pPr>
            <w:r>
              <w:rPr>
                <w:rFonts w:hint="eastAsia"/>
                <w:szCs w:val="20"/>
              </w:rPr>
              <w:t>字符型，</w:t>
            </w:r>
            <w:r>
              <w:rPr>
                <w:szCs w:val="20"/>
              </w:rPr>
              <w:t>8</w:t>
            </w:r>
          </w:p>
        </w:tc>
        <w:tc>
          <w:tcPr>
            <w:tcW w:w="3969" w:type="dxa"/>
          </w:tcPr>
          <w:p w14:paraId="307BEB07" w14:textId="77777777" w:rsidR="00A052DC" w:rsidRDefault="009F0A60">
            <w:pPr>
              <w:pStyle w:val="B"/>
              <w:rPr>
                <w:szCs w:val="20"/>
              </w:rPr>
            </w:pPr>
            <w:r>
              <w:rPr>
                <w:rFonts w:hint="eastAsia"/>
                <w:szCs w:val="20"/>
              </w:rPr>
              <w:t>必填项，见境外主体类型代码表。</w:t>
            </w:r>
          </w:p>
        </w:tc>
      </w:tr>
      <w:tr w:rsidR="00A052DC" w14:paraId="344505DB" w14:textId="77777777">
        <w:tc>
          <w:tcPr>
            <w:tcW w:w="1702" w:type="dxa"/>
          </w:tcPr>
          <w:p w14:paraId="61F413D3" w14:textId="77777777" w:rsidR="00A052DC" w:rsidRDefault="009F0A60">
            <w:pPr>
              <w:pStyle w:val="B"/>
              <w:rPr>
                <w:szCs w:val="20"/>
              </w:rPr>
            </w:pPr>
            <w:r>
              <w:rPr>
                <w:szCs w:val="20"/>
              </w:rPr>
              <w:t>CREHQCODE</w:t>
            </w:r>
          </w:p>
        </w:tc>
        <w:tc>
          <w:tcPr>
            <w:tcW w:w="1701" w:type="dxa"/>
          </w:tcPr>
          <w:p w14:paraId="6BA96A21" w14:textId="77777777" w:rsidR="00A052DC" w:rsidRDefault="009F0A60">
            <w:pPr>
              <w:pStyle w:val="B"/>
              <w:rPr>
                <w:szCs w:val="20"/>
              </w:rPr>
            </w:pPr>
            <w:r>
              <w:rPr>
                <w:rFonts w:hint="eastAsia"/>
                <w:szCs w:val="20"/>
              </w:rPr>
              <w:t>债权人总部所在国家（地区）代码</w:t>
            </w:r>
          </w:p>
        </w:tc>
        <w:tc>
          <w:tcPr>
            <w:tcW w:w="1275" w:type="dxa"/>
          </w:tcPr>
          <w:p w14:paraId="5D596414" w14:textId="77777777" w:rsidR="00A052DC" w:rsidRDefault="009F0A60">
            <w:pPr>
              <w:pStyle w:val="B"/>
              <w:rPr>
                <w:szCs w:val="20"/>
              </w:rPr>
            </w:pPr>
            <w:r>
              <w:rPr>
                <w:rFonts w:hint="eastAsia"/>
                <w:szCs w:val="20"/>
              </w:rPr>
              <w:t>字符型，</w:t>
            </w:r>
            <w:r>
              <w:rPr>
                <w:szCs w:val="20"/>
              </w:rPr>
              <w:t>3</w:t>
            </w:r>
          </w:p>
        </w:tc>
        <w:tc>
          <w:tcPr>
            <w:tcW w:w="3969" w:type="dxa"/>
          </w:tcPr>
          <w:p w14:paraId="49614947" w14:textId="77777777" w:rsidR="00A052DC" w:rsidRDefault="009F0A60">
            <w:pPr>
              <w:pStyle w:val="B"/>
              <w:rPr>
                <w:szCs w:val="20"/>
              </w:rPr>
            </w:pPr>
            <w:r>
              <w:rPr>
                <w:rFonts w:hint="eastAsia"/>
                <w:szCs w:val="20"/>
              </w:rPr>
              <w:t>必填项，见国家和地区代码表。</w:t>
            </w:r>
          </w:p>
        </w:tc>
      </w:tr>
      <w:tr w:rsidR="00A052DC" w14:paraId="047A79D5" w14:textId="77777777">
        <w:tc>
          <w:tcPr>
            <w:tcW w:w="1702" w:type="dxa"/>
          </w:tcPr>
          <w:p w14:paraId="56FE6CF6" w14:textId="77777777" w:rsidR="00A052DC" w:rsidRDefault="009F0A60">
            <w:pPr>
              <w:pStyle w:val="B"/>
              <w:rPr>
                <w:szCs w:val="20"/>
              </w:rPr>
            </w:pPr>
            <w:r>
              <w:rPr>
                <w:szCs w:val="20"/>
              </w:rPr>
              <w:t>OPERCODE</w:t>
            </w:r>
          </w:p>
        </w:tc>
        <w:tc>
          <w:tcPr>
            <w:tcW w:w="1701" w:type="dxa"/>
          </w:tcPr>
          <w:p w14:paraId="79A7015D" w14:textId="77777777" w:rsidR="00A052DC" w:rsidRDefault="009F0A60">
            <w:pPr>
              <w:pStyle w:val="B"/>
              <w:rPr>
                <w:szCs w:val="20"/>
              </w:rPr>
            </w:pPr>
            <w:r>
              <w:rPr>
                <w:rFonts w:hint="eastAsia"/>
                <w:szCs w:val="20"/>
              </w:rPr>
              <w:t>债权人经营地所在国家（地区）代码</w:t>
            </w:r>
          </w:p>
        </w:tc>
        <w:tc>
          <w:tcPr>
            <w:tcW w:w="1275" w:type="dxa"/>
          </w:tcPr>
          <w:p w14:paraId="16EC517C" w14:textId="77777777" w:rsidR="00A052DC" w:rsidRDefault="009F0A60">
            <w:pPr>
              <w:pStyle w:val="B"/>
              <w:rPr>
                <w:szCs w:val="20"/>
              </w:rPr>
            </w:pPr>
            <w:r>
              <w:rPr>
                <w:rFonts w:hint="eastAsia"/>
                <w:szCs w:val="20"/>
              </w:rPr>
              <w:t>字符型，</w:t>
            </w:r>
            <w:r>
              <w:rPr>
                <w:szCs w:val="20"/>
              </w:rPr>
              <w:t>3</w:t>
            </w:r>
          </w:p>
        </w:tc>
        <w:tc>
          <w:tcPr>
            <w:tcW w:w="3969" w:type="dxa"/>
          </w:tcPr>
          <w:p w14:paraId="02FECFE7" w14:textId="77777777" w:rsidR="00A052DC" w:rsidRDefault="009F0A60">
            <w:pPr>
              <w:pStyle w:val="B"/>
              <w:rPr>
                <w:szCs w:val="20"/>
              </w:rPr>
            </w:pPr>
            <w:r>
              <w:rPr>
                <w:rFonts w:hint="eastAsia"/>
                <w:szCs w:val="20"/>
              </w:rPr>
              <w:t>必填项，见国家和地区代码表。当债权人类型代码不为“境内银行离岸部（20001403）”时,不能为中国CHN。</w:t>
            </w:r>
          </w:p>
        </w:tc>
      </w:tr>
      <w:tr w:rsidR="00A052DC" w14:paraId="38161537" w14:textId="77777777">
        <w:tc>
          <w:tcPr>
            <w:tcW w:w="1702" w:type="dxa"/>
          </w:tcPr>
          <w:p w14:paraId="69A09A99" w14:textId="77777777" w:rsidR="00A052DC" w:rsidRDefault="009F0A60">
            <w:pPr>
              <w:pStyle w:val="B"/>
              <w:rPr>
                <w:szCs w:val="20"/>
              </w:rPr>
            </w:pPr>
            <w:r>
              <w:rPr>
                <w:szCs w:val="20"/>
              </w:rPr>
              <w:t>SPAPFEBOINDEX</w:t>
            </w:r>
          </w:p>
        </w:tc>
        <w:tc>
          <w:tcPr>
            <w:tcW w:w="1701" w:type="dxa"/>
          </w:tcPr>
          <w:p w14:paraId="5157D596" w14:textId="77777777" w:rsidR="00A052DC" w:rsidRDefault="009F0A60">
            <w:pPr>
              <w:pStyle w:val="B"/>
              <w:rPr>
                <w:szCs w:val="20"/>
              </w:rPr>
            </w:pPr>
            <w:r>
              <w:rPr>
                <w:rFonts w:hint="eastAsia"/>
                <w:szCs w:val="20"/>
              </w:rPr>
              <w:t>是否不纳入跨境融资风险加权余额计算</w:t>
            </w:r>
          </w:p>
        </w:tc>
        <w:tc>
          <w:tcPr>
            <w:tcW w:w="1275" w:type="dxa"/>
          </w:tcPr>
          <w:p w14:paraId="31A9A945" w14:textId="77777777" w:rsidR="00A052DC" w:rsidRDefault="009F0A60">
            <w:pPr>
              <w:pStyle w:val="B"/>
              <w:rPr>
                <w:szCs w:val="20"/>
              </w:rPr>
            </w:pPr>
            <w:r>
              <w:rPr>
                <w:rFonts w:hint="eastAsia"/>
                <w:szCs w:val="20"/>
              </w:rPr>
              <w:t>字符型，</w:t>
            </w:r>
            <w:r>
              <w:rPr>
                <w:szCs w:val="20"/>
              </w:rPr>
              <w:t>1</w:t>
            </w:r>
          </w:p>
        </w:tc>
        <w:tc>
          <w:tcPr>
            <w:tcW w:w="3969" w:type="dxa"/>
          </w:tcPr>
          <w:p w14:paraId="54CF845F" w14:textId="77777777" w:rsidR="00A052DC" w:rsidRDefault="009F0A60">
            <w:pPr>
              <w:pStyle w:val="B"/>
              <w:rPr>
                <w:szCs w:val="20"/>
              </w:rPr>
            </w:pPr>
            <w:r>
              <w:rPr>
                <w:rFonts w:hint="eastAsia"/>
                <w:szCs w:val="20"/>
              </w:rPr>
              <w:t>必填项，是</w:t>
            </w:r>
            <w:r>
              <w:rPr>
                <w:szCs w:val="20"/>
              </w:rPr>
              <w:t>-Y</w:t>
            </w:r>
            <w:r>
              <w:rPr>
                <w:rFonts w:hint="eastAsia"/>
                <w:szCs w:val="20"/>
              </w:rPr>
              <w:t>，否</w:t>
            </w:r>
            <w:r>
              <w:rPr>
                <w:szCs w:val="20"/>
              </w:rPr>
              <w:t>-N</w:t>
            </w:r>
            <w:r>
              <w:rPr>
                <w:rFonts w:hint="eastAsia"/>
                <w:szCs w:val="20"/>
              </w:rPr>
              <w:t>，默认为否，填写</w:t>
            </w:r>
            <w:r>
              <w:rPr>
                <w:szCs w:val="20"/>
              </w:rPr>
              <w:t>N</w:t>
            </w:r>
            <w:r>
              <w:rPr>
                <w:rFonts w:hint="eastAsia"/>
                <w:szCs w:val="20"/>
              </w:rPr>
              <w:t>。</w:t>
            </w:r>
          </w:p>
        </w:tc>
      </w:tr>
      <w:tr w:rsidR="00A052DC" w14:paraId="5E7587C2" w14:textId="77777777">
        <w:tc>
          <w:tcPr>
            <w:tcW w:w="1702" w:type="dxa"/>
          </w:tcPr>
          <w:p w14:paraId="4238BD9D" w14:textId="77777777" w:rsidR="00A052DC" w:rsidRDefault="009F0A60">
            <w:pPr>
              <w:pStyle w:val="B"/>
              <w:rPr>
                <w:szCs w:val="20"/>
              </w:rPr>
            </w:pPr>
            <w:r>
              <w:rPr>
                <w:szCs w:val="20"/>
              </w:rPr>
              <w:t>DEPTYPE</w:t>
            </w:r>
          </w:p>
        </w:tc>
        <w:tc>
          <w:tcPr>
            <w:tcW w:w="1701" w:type="dxa"/>
          </w:tcPr>
          <w:p w14:paraId="15CF19B0" w14:textId="77777777" w:rsidR="00A052DC" w:rsidRDefault="009F0A60">
            <w:pPr>
              <w:pStyle w:val="B"/>
              <w:rPr>
                <w:szCs w:val="20"/>
              </w:rPr>
            </w:pPr>
            <w:r>
              <w:rPr>
                <w:rFonts w:hint="eastAsia"/>
                <w:szCs w:val="20"/>
              </w:rPr>
              <w:t>存款业务类别</w:t>
            </w:r>
          </w:p>
        </w:tc>
        <w:tc>
          <w:tcPr>
            <w:tcW w:w="1275" w:type="dxa"/>
          </w:tcPr>
          <w:p w14:paraId="45192CC2" w14:textId="77777777" w:rsidR="00A052DC" w:rsidRDefault="009F0A60">
            <w:pPr>
              <w:pStyle w:val="B"/>
              <w:rPr>
                <w:szCs w:val="20"/>
              </w:rPr>
            </w:pPr>
            <w:r>
              <w:rPr>
                <w:rFonts w:hint="eastAsia"/>
                <w:szCs w:val="20"/>
              </w:rPr>
              <w:t>整数型</w:t>
            </w:r>
          </w:p>
        </w:tc>
        <w:tc>
          <w:tcPr>
            <w:tcW w:w="3969" w:type="dxa"/>
          </w:tcPr>
          <w:p w14:paraId="71D6F4AD" w14:textId="77777777" w:rsidR="00A052DC" w:rsidRDefault="009F0A60">
            <w:pPr>
              <w:pStyle w:val="B"/>
              <w:rPr>
                <w:szCs w:val="20"/>
              </w:rPr>
            </w:pPr>
            <w:r>
              <w:rPr>
                <w:rFonts w:hint="eastAsia"/>
                <w:szCs w:val="20"/>
              </w:rPr>
              <w:t>必填项，</w:t>
            </w:r>
            <w:r>
              <w:rPr>
                <w:szCs w:val="20"/>
              </w:rPr>
              <w:t>1-</w:t>
            </w:r>
            <w:r>
              <w:rPr>
                <w:rFonts w:hint="eastAsia"/>
                <w:szCs w:val="20"/>
              </w:rPr>
              <w:t>存款、</w:t>
            </w:r>
            <w:r>
              <w:rPr>
                <w:szCs w:val="20"/>
              </w:rPr>
              <w:t>2-</w:t>
            </w:r>
            <w:r>
              <w:rPr>
                <w:rFonts w:hint="eastAsia"/>
                <w:szCs w:val="20"/>
              </w:rPr>
              <w:t>账户金。</w:t>
            </w:r>
          </w:p>
        </w:tc>
      </w:tr>
      <w:tr w:rsidR="00A052DC" w14:paraId="7FA73902" w14:textId="77777777">
        <w:tc>
          <w:tcPr>
            <w:tcW w:w="1702" w:type="dxa"/>
          </w:tcPr>
          <w:p w14:paraId="5DE60181" w14:textId="77777777" w:rsidR="00A052DC" w:rsidRDefault="009F0A60">
            <w:pPr>
              <w:pStyle w:val="B"/>
              <w:rPr>
                <w:szCs w:val="20"/>
              </w:rPr>
            </w:pPr>
            <w:r>
              <w:rPr>
                <w:szCs w:val="20"/>
              </w:rPr>
              <w:t>RELATION</w:t>
            </w:r>
          </w:p>
        </w:tc>
        <w:tc>
          <w:tcPr>
            <w:tcW w:w="1701" w:type="dxa"/>
          </w:tcPr>
          <w:p w14:paraId="5BD49E82" w14:textId="77777777" w:rsidR="00A052DC" w:rsidRDefault="009F0A60">
            <w:pPr>
              <w:pStyle w:val="B"/>
              <w:rPr>
                <w:szCs w:val="20"/>
              </w:rPr>
            </w:pPr>
            <w:r>
              <w:rPr>
                <w:rFonts w:hint="eastAsia"/>
                <w:szCs w:val="20"/>
              </w:rPr>
              <w:t>对方与本机构的关系</w:t>
            </w:r>
          </w:p>
        </w:tc>
        <w:tc>
          <w:tcPr>
            <w:tcW w:w="1275" w:type="dxa"/>
          </w:tcPr>
          <w:p w14:paraId="06D1C99B" w14:textId="77777777" w:rsidR="00A052DC" w:rsidRDefault="009F0A60">
            <w:pPr>
              <w:pStyle w:val="B"/>
              <w:rPr>
                <w:szCs w:val="20"/>
              </w:rPr>
            </w:pPr>
            <w:r>
              <w:rPr>
                <w:rFonts w:hint="eastAsia"/>
                <w:szCs w:val="20"/>
              </w:rPr>
              <w:t>字符型，</w:t>
            </w:r>
            <w:r>
              <w:rPr>
                <w:szCs w:val="20"/>
              </w:rPr>
              <w:t>2</w:t>
            </w:r>
          </w:p>
        </w:tc>
        <w:tc>
          <w:tcPr>
            <w:tcW w:w="3969" w:type="dxa"/>
          </w:tcPr>
          <w:p w14:paraId="392FF3C2" w14:textId="77777777" w:rsidR="00A052DC" w:rsidRDefault="009F0A60">
            <w:pPr>
              <w:pStyle w:val="B"/>
              <w:rPr>
                <w:szCs w:val="20"/>
              </w:rPr>
            </w:pPr>
            <w:r>
              <w:rPr>
                <w:rFonts w:hint="eastAsia"/>
                <w:szCs w:val="20"/>
              </w:rPr>
              <w:t>必填项，见对方与本机构</w:t>
            </w:r>
            <w:r>
              <w:rPr>
                <w:szCs w:val="20"/>
              </w:rPr>
              <w:t>/</w:t>
            </w:r>
            <w:r>
              <w:rPr>
                <w:rFonts w:hint="eastAsia"/>
                <w:szCs w:val="20"/>
              </w:rPr>
              <w:t>被代理居民机构</w:t>
            </w:r>
            <w:r>
              <w:rPr>
                <w:szCs w:val="20"/>
              </w:rPr>
              <w:t>/</w:t>
            </w:r>
            <w:r>
              <w:rPr>
                <w:rFonts w:hint="eastAsia"/>
                <w:szCs w:val="20"/>
              </w:rPr>
              <w:t>委托人的关系代码表。</w:t>
            </w:r>
          </w:p>
        </w:tc>
      </w:tr>
      <w:tr w:rsidR="00A052DC" w14:paraId="4BD8704A" w14:textId="77777777">
        <w:tc>
          <w:tcPr>
            <w:tcW w:w="1702" w:type="dxa"/>
          </w:tcPr>
          <w:p w14:paraId="4D42F245" w14:textId="77777777" w:rsidR="00A052DC" w:rsidRDefault="009F0A60">
            <w:pPr>
              <w:pStyle w:val="B"/>
              <w:rPr>
                <w:szCs w:val="20"/>
              </w:rPr>
            </w:pPr>
            <w:r>
              <w:rPr>
                <w:szCs w:val="20"/>
              </w:rPr>
              <w:t>ORIGINALPERIOD</w:t>
            </w:r>
          </w:p>
        </w:tc>
        <w:tc>
          <w:tcPr>
            <w:tcW w:w="1701" w:type="dxa"/>
          </w:tcPr>
          <w:p w14:paraId="1C551450" w14:textId="77777777" w:rsidR="00A052DC" w:rsidRDefault="009F0A60">
            <w:pPr>
              <w:pStyle w:val="B"/>
              <w:rPr>
                <w:szCs w:val="20"/>
              </w:rPr>
            </w:pPr>
            <w:r>
              <w:rPr>
                <w:rFonts w:hint="eastAsia"/>
                <w:szCs w:val="20"/>
              </w:rPr>
              <w:t>原始期限</w:t>
            </w:r>
          </w:p>
        </w:tc>
        <w:tc>
          <w:tcPr>
            <w:tcW w:w="1275" w:type="dxa"/>
          </w:tcPr>
          <w:p w14:paraId="06F91356" w14:textId="77777777" w:rsidR="00A052DC" w:rsidRDefault="009F0A60">
            <w:pPr>
              <w:pStyle w:val="B"/>
              <w:rPr>
                <w:szCs w:val="20"/>
              </w:rPr>
            </w:pPr>
            <w:r>
              <w:rPr>
                <w:rFonts w:hint="eastAsia"/>
                <w:szCs w:val="20"/>
              </w:rPr>
              <w:t>整数型</w:t>
            </w:r>
          </w:p>
        </w:tc>
        <w:tc>
          <w:tcPr>
            <w:tcW w:w="3969" w:type="dxa"/>
          </w:tcPr>
          <w:p w14:paraId="1C678EA7" w14:textId="77777777" w:rsidR="00A052DC" w:rsidRDefault="009F0A60">
            <w:pPr>
              <w:pStyle w:val="B"/>
              <w:rPr>
                <w:szCs w:val="20"/>
              </w:rPr>
            </w:pPr>
            <w:r>
              <w:rPr>
                <w:rFonts w:hint="eastAsia"/>
                <w:szCs w:val="20"/>
              </w:rPr>
              <w:t>必填项，包括：</w:t>
            </w:r>
            <w:r>
              <w:rPr>
                <w:szCs w:val="20"/>
              </w:rPr>
              <w:t>1-</w:t>
            </w:r>
            <w:r>
              <w:rPr>
                <w:rFonts w:hint="eastAsia"/>
                <w:szCs w:val="20"/>
              </w:rPr>
              <w:t>一年及以下（含活期或不定期）、</w:t>
            </w:r>
            <w:r>
              <w:rPr>
                <w:szCs w:val="20"/>
              </w:rPr>
              <w:t>2-</w:t>
            </w:r>
            <w:r>
              <w:rPr>
                <w:rFonts w:hint="eastAsia"/>
                <w:szCs w:val="20"/>
              </w:rPr>
              <w:t>一年以上。</w:t>
            </w:r>
          </w:p>
        </w:tc>
      </w:tr>
      <w:tr w:rsidR="00A052DC" w14:paraId="20FD7220" w14:textId="77777777">
        <w:tc>
          <w:tcPr>
            <w:tcW w:w="1702" w:type="dxa"/>
            <w:tcBorders>
              <w:top w:val="single" w:sz="4" w:space="0" w:color="auto"/>
              <w:left w:val="single" w:sz="4" w:space="0" w:color="auto"/>
              <w:bottom w:val="single" w:sz="4" w:space="0" w:color="auto"/>
              <w:right w:val="single" w:sz="4" w:space="0" w:color="auto"/>
            </w:tcBorders>
          </w:tcPr>
          <w:p w14:paraId="495895A2" w14:textId="77777777" w:rsidR="00A052DC" w:rsidRDefault="009F0A60">
            <w:pPr>
              <w:pStyle w:val="B"/>
              <w:rPr>
                <w:szCs w:val="20"/>
              </w:rPr>
            </w:pPr>
            <w:r>
              <w:rPr>
                <w:szCs w:val="20"/>
              </w:rPr>
              <w:t>REMARK</w:t>
            </w:r>
          </w:p>
        </w:tc>
        <w:tc>
          <w:tcPr>
            <w:tcW w:w="1701" w:type="dxa"/>
            <w:tcBorders>
              <w:top w:val="single" w:sz="4" w:space="0" w:color="auto"/>
              <w:left w:val="single" w:sz="4" w:space="0" w:color="auto"/>
              <w:bottom w:val="single" w:sz="4" w:space="0" w:color="auto"/>
              <w:right w:val="single" w:sz="4" w:space="0" w:color="auto"/>
            </w:tcBorders>
          </w:tcPr>
          <w:p w14:paraId="66713E04" w14:textId="77777777" w:rsidR="00A052DC" w:rsidRDefault="009F0A60">
            <w:pPr>
              <w:pStyle w:val="B"/>
              <w:rPr>
                <w:szCs w:val="20"/>
              </w:rPr>
            </w:pPr>
            <w:r>
              <w:rPr>
                <w:rFonts w:hint="eastAsia"/>
                <w:szCs w:val="20"/>
              </w:rPr>
              <w:t>备注</w:t>
            </w:r>
          </w:p>
        </w:tc>
        <w:tc>
          <w:tcPr>
            <w:tcW w:w="1275" w:type="dxa"/>
            <w:tcBorders>
              <w:top w:val="single" w:sz="4" w:space="0" w:color="auto"/>
              <w:left w:val="single" w:sz="4" w:space="0" w:color="auto"/>
              <w:bottom w:val="single" w:sz="4" w:space="0" w:color="auto"/>
              <w:right w:val="single" w:sz="4" w:space="0" w:color="auto"/>
            </w:tcBorders>
          </w:tcPr>
          <w:p w14:paraId="21651B50" w14:textId="77777777" w:rsidR="00A052DC" w:rsidRDefault="009F0A60">
            <w:pPr>
              <w:pStyle w:val="B"/>
              <w:rPr>
                <w:szCs w:val="20"/>
              </w:rPr>
            </w:pPr>
            <w:r>
              <w:rPr>
                <w:rFonts w:hint="eastAsia"/>
                <w:szCs w:val="20"/>
              </w:rPr>
              <w:t>字符型，</w:t>
            </w:r>
            <w:r>
              <w:rPr>
                <w:szCs w:val="20"/>
              </w:rPr>
              <w:t>256</w:t>
            </w:r>
          </w:p>
        </w:tc>
        <w:tc>
          <w:tcPr>
            <w:tcW w:w="3969" w:type="dxa"/>
            <w:tcBorders>
              <w:top w:val="single" w:sz="4" w:space="0" w:color="auto"/>
              <w:left w:val="single" w:sz="4" w:space="0" w:color="auto"/>
              <w:bottom w:val="single" w:sz="4" w:space="0" w:color="auto"/>
              <w:right w:val="single" w:sz="4" w:space="0" w:color="auto"/>
            </w:tcBorders>
          </w:tcPr>
          <w:p w14:paraId="3ED58934" w14:textId="77777777" w:rsidR="00A052DC" w:rsidRDefault="009F0A60">
            <w:pPr>
              <w:pStyle w:val="B"/>
              <w:rPr>
                <w:szCs w:val="20"/>
              </w:rPr>
            </w:pPr>
            <w:r>
              <w:rPr>
                <w:rFonts w:hint="eastAsia"/>
                <w:szCs w:val="20"/>
              </w:rPr>
              <w:t>非必填项。</w:t>
            </w:r>
          </w:p>
        </w:tc>
      </w:tr>
    </w:tbl>
    <w:p w14:paraId="360FEE1F" w14:textId="77777777" w:rsidR="00A052DC" w:rsidRDefault="009F0A60">
      <w:pPr>
        <w:pStyle w:val="4"/>
        <w:numPr>
          <w:ilvl w:val="3"/>
          <w:numId w:val="1"/>
        </w:numPr>
        <w:jc w:val="left"/>
      </w:pPr>
      <w:bookmarkStart w:id="1557" w:name="_Toc328635493"/>
      <w:bookmarkStart w:id="1558" w:name="_Toc454386920"/>
      <w:r>
        <w:rPr>
          <w:rFonts w:hint="eastAsia"/>
        </w:rPr>
        <w:t>境外联行及附属机构往来</w:t>
      </w:r>
      <w:bookmarkEnd w:id="1557"/>
      <w:bookmarkEnd w:id="1558"/>
    </w:p>
    <w:p w14:paraId="1C2EF374" w14:textId="77777777" w:rsidR="00A052DC" w:rsidRDefault="009F0A60" w:rsidP="0020251D">
      <w:pPr>
        <w:pStyle w:val="5"/>
        <w:numPr>
          <w:ilvl w:val="4"/>
          <w:numId w:val="1"/>
        </w:numPr>
        <w:spacing w:before="120" w:after="120" w:line="360" w:lineRule="auto"/>
        <w:jc w:val="left"/>
      </w:pPr>
      <w:bookmarkStart w:id="1559" w:name="_Toc454386921"/>
      <w:r>
        <w:rPr>
          <w:rFonts w:hint="eastAsia"/>
        </w:rPr>
        <w:t>数据术语解释</w:t>
      </w:r>
      <w:bookmarkEnd w:id="1559"/>
    </w:p>
    <w:tbl>
      <w:tblPr>
        <w:tblW w:w="84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26"/>
        <w:gridCol w:w="6946"/>
      </w:tblGrid>
      <w:tr w:rsidR="00A052DC" w14:paraId="067370A7" w14:textId="77777777">
        <w:tc>
          <w:tcPr>
            <w:tcW w:w="1526" w:type="dxa"/>
          </w:tcPr>
          <w:p w14:paraId="503E7AF6" w14:textId="77777777" w:rsidR="00A052DC" w:rsidRDefault="009F0A60">
            <w:pPr>
              <w:pStyle w:val="B1"/>
              <w:rPr>
                <w:u w:val="single"/>
              </w:rPr>
            </w:pPr>
            <w:r>
              <w:rPr>
                <w:rFonts w:hint="eastAsia"/>
              </w:rPr>
              <w:t>基础数据项</w:t>
            </w:r>
          </w:p>
        </w:tc>
        <w:tc>
          <w:tcPr>
            <w:tcW w:w="6946" w:type="dxa"/>
          </w:tcPr>
          <w:p w14:paraId="080016B2" w14:textId="77777777" w:rsidR="00A052DC" w:rsidRDefault="009F0A60">
            <w:pPr>
              <w:pStyle w:val="B1"/>
            </w:pPr>
            <w:r>
              <w:rPr>
                <w:rFonts w:hint="eastAsia"/>
              </w:rPr>
              <w:t>定义</w:t>
            </w:r>
          </w:p>
        </w:tc>
      </w:tr>
      <w:tr w:rsidR="00A052DC" w14:paraId="0E479464" w14:textId="77777777">
        <w:trPr>
          <w:cantSplit/>
          <w:trHeight w:val="157"/>
        </w:trPr>
        <w:tc>
          <w:tcPr>
            <w:tcW w:w="1526" w:type="dxa"/>
          </w:tcPr>
          <w:p w14:paraId="15B55CCF" w14:textId="77777777" w:rsidR="00A052DC" w:rsidRDefault="009F0A60">
            <w:pPr>
              <w:pStyle w:val="B"/>
            </w:pPr>
            <w:r>
              <w:rPr>
                <w:rFonts w:hint="eastAsia"/>
              </w:rPr>
              <w:t>外债编号</w:t>
            </w:r>
          </w:p>
        </w:tc>
        <w:tc>
          <w:tcPr>
            <w:tcW w:w="6946" w:type="dxa"/>
          </w:tcPr>
          <w:p w14:paraId="69B63622" w14:textId="77777777" w:rsidR="00A052DC" w:rsidRDefault="009F0A60">
            <w:pPr>
              <w:pStyle w:val="B"/>
              <w:rPr>
                <w:b/>
              </w:rPr>
            </w:pPr>
            <w:r>
              <w:rPr>
                <w:rFonts w:hint="eastAsia"/>
              </w:rPr>
              <w:t>外汇局制定统一编号规则，银行自行对每一笔外债编号，用于唯一标识该笔外债。银行外债编号共计</w:t>
            </w:r>
            <w:r>
              <w:t>28</w:t>
            </w:r>
            <w:r>
              <w:rPr>
                <w:rFonts w:hint="eastAsia"/>
              </w:rPr>
              <w:t>位。第</w:t>
            </w:r>
            <w:r>
              <w:t>1</w:t>
            </w:r>
            <w:r>
              <w:rPr>
                <w:rFonts w:hint="eastAsia"/>
              </w:rPr>
              <w:t>至</w:t>
            </w:r>
            <w:r>
              <w:t>2</w:t>
            </w:r>
            <w:r>
              <w:rPr>
                <w:rFonts w:hint="eastAsia"/>
              </w:rPr>
              <w:t>位为业务类型标识，第</w:t>
            </w:r>
            <w:r>
              <w:t>3</w:t>
            </w:r>
            <w:r>
              <w:rPr>
                <w:rFonts w:hint="eastAsia"/>
              </w:rPr>
              <w:t>位至</w:t>
            </w:r>
            <w:r>
              <w:t>14</w:t>
            </w:r>
            <w:r>
              <w:rPr>
                <w:rFonts w:hint="eastAsia"/>
              </w:rPr>
              <w:t>位为银行金融机构标识码</w:t>
            </w:r>
            <w:r>
              <w:t>;</w:t>
            </w:r>
            <w:r>
              <w:rPr>
                <w:rFonts w:hint="eastAsia"/>
              </w:rPr>
              <w:t>第</w:t>
            </w:r>
            <w:r>
              <w:t>15</w:t>
            </w:r>
            <w:r>
              <w:rPr>
                <w:rFonts w:hint="eastAsia"/>
              </w:rPr>
              <w:t>至</w:t>
            </w:r>
            <w:r>
              <w:t>22</w:t>
            </w:r>
            <w:r>
              <w:rPr>
                <w:rFonts w:hint="eastAsia"/>
              </w:rPr>
              <w:t>位为</w:t>
            </w:r>
            <w:r>
              <w:t>8</w:t>
            </w:r>
            <w:r>
              <w:rPr>
                <w:rFonts w:hint="eastAsia"/>
              </w:rPr>
              <w:t>位年月日数字（</w:t>
            </w:r>
            <w:r>
              <w:t>20110701</w:t>
            </w:r>
            <w:r>
              <w:rPr>
                <w:rFonts w:hint="eastAsia"/>
              </w:rPr>
              <w:t>）</w:t>
            </w:r>
            <w:r>
              <w:t>;</w:t>
            </w:r>
            <w:r>
              <w:rPr>
                <w:rFonts w:hint="eastAsia"/>
              </w:rPr>
              <w:t>第</w:t>
            </w:r>
            <w:r>
              <w:t>23</w:t>
            </w:r>
            <w:r>
              <w:rPr>
                <w:rFonts w:hint="eastAsia"/>
              </w:rPr>
              <w:t>至</w:t>
            </w:r>
            <w:r>
              <w:t>28</w:t>
            </w:r>
            <w:r>
              <w:rPr>
                <w:rFonts w:hint="eastAsia"/>
              </w:rPr>
              <w:t>位为该笔业务的流水号（流水码编制规则：从</w:t>
            </w:r>
            <w:r>
              <w:t>000001</w:t>
            </w:r>
            <w:r>
              <w:rPr>
                <w:rFonts w:hint="eastAsia"/>
              </w:rPr>
              <w:t>～</w:t>
            </w:r>
            <w:r>
              <w:t>999999</w:t>
            </w:r>
            <w:r>
              <w:rPr>
                <w:rFonts w:hint="eastAsia"/>
              </w:rPr>
              <w:t>）。银行新发生一笔外债业务时，需为该笔外债编制外债编号，同一笔外债发生变更或展期时，不作为一笔新业务进行登记，发生展期时，变更到期日。</w:t>
            </w:r>
          </w:p>
        </w:tc>
      </w:tr>
      <w:tr w:rsidR="00A052DC" w14:paraId="634DDFFC" w14:textId="77777777">
        <w:trPr>
          <w:cantSplit/>
        </w:trPr>
        <w:tc>
          <w:tcPr>
            <w:tcW w:w="1526" w:type="dxa"/>
          </w:tcPr>
          <w:p w14:paraId="6B14723A" w14:textId="77777777" w:rsidR="00A052DC" w:rsidRDefault="009F0A60">
            <w:pPr>
              <w:pStyle w:val="B"/>
            </w:pPr>
            <w:r>
              <w:rPr>
                <w:rFonts w:hint="eastAsia"/>
              </w:rPr>
              <w:t>债务人代码</w:t>
            </w:r>
          </w:p>
        </w:tc>
        <w:tc>
          <w:tcPr>
            <w:tcW w:w="6946" w:type="dxa"/>
          </w:tcPr>
          <w:p w14:paraId="0A6F1A3A" w14:textId="77777777" w:rsidR="00A052DC" w:rsidRDefault="009F0A60">
            <w:pPr>
              <w:pStyle w:val="B"/>
            </w:pPr>
            <w:r>
              <w:rPr>
                <w:rFonts w:hint="eastAsia"/>
                <w:szCs w:val="20"/>
              </w:rPr>
              <w:t>国家外汇管理局及其分支局</w:t>
            </w:r>
            <w:r>
              <w:rPr>
                <w:rFonts w:hint="eastAsia"/>
              </w:rPr>
              <w:t>签发给境内债务银行的</w:t>
            </w:r>
            <w:r>
              <w:t>12</w:t>
            </w:r>
            <w:r>
              <w:rPr>
                <w:rFonts w:hint="eastAsia"/>
              </w:rPr>
              <w:t>位金融机构标识码编码。</w:t>
            </w:r>
          </w:p>
        </w:tc>
      </w:tr>
      <w:tr w:rsidR="00A052DC" w14:paraId="1B4345E3" w14:textId="77777777">
        <w:trPr>
          <w:cantSplit/>
        </w:trPr>
        <w:tc>
          <w:tcPr>
            <w:tcW w:w="1526" w:type="dxa"/>
          </w:tcPr>
          <w:p w14:paraId="3D96BA3D" w14:textId="77777777" w:rsidR="00A052DC" w:rsidRDefault="009F0A60">
            <w:pPr>
              <w:pStyle w:val="B"/>
            </w:pPr>
            <w:r>
              <w:rPr>
                <w:rFonts w:hint="eastAsia"/>
              </w:rPr>
              <w:t>债务类型</w:t>
            </w:r>
          </w:p>
        </w:tc>
        <w:tc>
          <w:tcPr>
            <w:tcW w:w="6946" w:type="dxa"/>
          </w:tcPr>
          <w:p w14:paraId="5A737B05" w14:textId="77777777" w:rsidR="00A052DC" w:rsidRDefault="009F0A60">
            <w:pPr>
              <w:pStyle w:val="B"/>
            </w:pPr>
            <w:r>
              <w:rPr>
                <w:rFonts w:hint="eastAsia"/>
              </w:rPr>
              <w:t>外债的债务类型代码，见外债的债务类型表。</w:t>
            </w:r>
          </w:p>
        </w:tc>
      </w:tr>
      <w:tr w:rsidR="00A052DC" w14:paraId="37B14F61" w14:textId="77777777">
        <w:trPr>
          <w:cantSplit/>
        </w:trPr>
        <w:tc>
          <w:tcPr>
            <w:tcW w:w="1526" w:type="dxa"/>
          </w:tcPr>
          <w:p w14:paraId="7EDCCB7C" w14:textId="77777777" w:rsidR="00A052DC" w:rsidRDefault="009F0A60">
            <w:pPr>
              <w:pStyle w:val="B"/>
            </w:pPr>
            <w:r>
              <w:rPr>
                <w:rFonts w:hint="eastAsia"/>
              </w:rPr>
              <w:t>起息日</w:t>
            </w:r>
          </w:p>
        </w:tc>
        <w:tc>
          <w:tcPr>
            <w:tcW w:w="6946" w:type="dxa"/>
          </w:tcPr>
          <w:p w14:paraId="777752D3" w14:textId="77777777" w:rsidR="00A052DC" w:rsidRDefault="009F0A60">
            <w:pPr>
              <w:pStyle w:val="B"/>
            </w:pPr>
            <w:r>
              <w:rPr>
                <w:rFonts w:hint="eastAsia"/>
              </w:rPr>
              <w:t>账户开户日期。</w:t>
            </w:r>
          </w:p>
        </w:tc>
      </w:tr>
      <w:tr w:rsidR="00A052DC" w14:paraId="43FC44D4" w14:textId="77777777">
        <w:trPr>
          <w:cantSplit/>
        </w:trPr>
        <w:tc>
          <w:tcPr>
            <w:tcW w:w="1526" w:type="dxa"/>
          </w:tcPr>
          <w:p w14:paraId="283F1747" w14:textId="77777777" w:rsidR="00A052DC" w:rsidRDefault="009F0A60">
            <w:pPr>
              <w:pStyle w:val="B"/>
            </w:pPr>
            <w:r>
              <w:rPr>
                <w:rFonts w:hint="eastAsia"/>
              </w:rPr>
              <w:t>签约币种</w:t>
            </w:r>
          </w:p>
        </w:tc>
        <w:tc>
          <w:tcPr>
            <w:tcW w:w="6946" w:type="dxa"/>
          </w:tcPr>
          <w:p w14:paraId="176CCCDF" w14:textId="77777777" w:rsidR="00A052DC" w:rsidRDefault="009F0A60">
            <w:pPr>
              <w:pStyle w:val="B"/>
            </w:pPr>
            <w:r>
              <w:rPr>
                <w:rFonts w:hint="eastAsia"/>
              </w:rPr>
              <w:t>账户币种。</w:t>
            </w:r>
          </w:p>
        </w:tc>
      </w:tr>
      <w:tr w:rsidR="00A052DC" w14:paraId="0FF64407" w14:textId="77777777">
        <w:trPr>
          <w:cantSplit/>
        </w:trPr>
        <w:tc>
          <w:tcPr>
            <w:tcW w:w="1526" w:type="dxa"/>
          </w:tcPr>
          <w:p w14:paraId="3FE94D3C" w14:textId="77777777" w:rsidR="00A052DC" w:rsidRDefault="009F0A60">
            <w:pPr>
              <w:pStyle w:val="B"/>
            </w:pPr>
            <w:r>
              <w:rPr>
                <w:rFonts w:hint="eastAsia"/>
              </w:rPr>
              <w:t>是否浮动利率</w:t>
            </w:r>
          </w:p>
        </w:tc>
        <w:tc>
          <w:tcPr>
            <w:tcW w:w="6946" w:type="dxa"/>
          </w:tcPr>
          <w:p w14:paraId="7444D6ED" w14:textId="77777777" w:rsidR="00A052DC" w:rsidRDefault="009F0A60">
            <w:pPr>
              <w:pStyle w:val="B"/>
            </w:pPr>
            <w:r>
              <w:rPr>
                <w:rFonts w:hint="eastAsia"/>
              </w:rPr>
              <w:t>标识债务利率条件为浮动利率或固定利率，系统默认为否，若为浮动利率，选择是。</w:t>
            </w:r>
          </w:p>
        </w:tc>
      </w:tr>
      <w:tr w:rsidR="00A052DC" w14:paraId="73A7B7B2" w14:textId="77777777">
        <w:trPr>
          <w:cantSplit/>
        </w:trPr>
        <w:tc>
          <w:tcPr>
            <w:tcW w:w="1526" w:type="dxa"/>
          </w:tcPr>
          <w:p w14:paraId="759C72D1" w14:textId="77777777" w:rsidR="00A052DC" w:rsidRDefault="009F0A60">
            <w:pPr>
              <w:pStyle w:val="B"/>
            </w:pPr>
            <w:r>
              <w:rPr>
                <w:rFonts w:hint="eastAsia"/>
              </w:rPr>
              <w:t>年化利率值</w:t>
            </w:r>
          </w:p>
        </w:tc>
        <w:tc>
          <w:tcPr>
            <w:tcW w:w="6946" w:type="dxa"/>
          </w:tcPr>
          <w:p w14:paraId="0DEDB790" w14:textId="77777777" w:rsidR="00A052DC" w:rsidRDefault="009F0A60">
            <w:pPr>
              <w:pStyle w:val="B"/>
            </w:pPr>
            <w:r>
              <w:rPr>
                <w:rFonts w:hint="eastAsia"/>
              </w:rPr>
              <w:t>外债的年化利率，若为浮动利率，应该按照该笔外债签约日期当天的浮动利率条件计算年化利率值。</w:t>
            </w:r>
          </w:p>
        </w:tc>
      </w:tr>
      <w:tr w:rsidR="00A052DC" w14:paraId="4179ECC8" w14:textId="77777777">
        <w:trPr>
          <w:cantSplit/>
        </w:trPr>
        <w:tc>
          <w:tcPr>
            <w:tcW w:w="1526" w:type="dxa"/>
          </w:tcPr>
          <w:p w14:paraId="043F2433" w14:textId="77777777" w:rsidR="00A052DC" w:rsidRDefault="009F0A60">
            <w:pPr>
              <w:pStyle w:val="B"/>
            </w:pPr>
            <w:r>
              <w:rPr>
                <w:rFonts w:hint="eastAsia"/>
              </w:rPr>
              <w:t>债权人代码</w:t>
            </w:r>
          </w:p>
        </w:tc>
        <w:tc>
          <w:tcPr>
            <w:tcW w:w="6946" w:type="dxa"/>
            <w:vAlign w:val="center"/>
          </w:tcPr>
          <w:p w14:paraId="055C67D0" w14:textId="77777777" w:rsidR="00A052DC" w:rsidRDefault="009F0A60">
            <w:pPr>
              <w:pStyle w:val="B"/>
            </w:pPr>
            <w:r>
              <w:rPr>
                <w:rFonts w:hint="eastAsia"/>
              </w:rPr>
              <w:t>如果债权人为银行，应填写</w:t>
            </w:r>
            <w:r>
              <w:t>8</w:t>
            </w:r>
            <w:r>
              <w:rPr>
                <w:rFonts w:hint="eastAsia"/>
              </w:rPr>
              <w:t>位或</w:t>
            </w:r>
            <w:r>
              <w:t>11</w:t>
            </w:r>
            <w:r>
              <w:rPr>
                <w:rFonts w:hint="eastAsia"/>
              </w:rPr>
              <w:t>位的</w:t>
            </w:r>
            <w:r>
              <w:t>SWIFT CODE</w:t>
            </w:r>
            <w:r>
              <w:rPr>
                <w:rFonts w:hint="eastAsia"/>
              </w:rPr>
              <w:t>；如果债权人类型为“政府”、或“中央银行”时，或者当债务类型为“货币市场工具”或“债券和票据”或“非居民个人存款”时，应在外汇局编制的部分债权人代码表中选择债权人代码；否则为空。</w:t>
            </w:r>
          </w:p>
          <w:p w14:paraId="45073B47" w14:textId="77777777" w:rsidR="00A052DC" w:rsidRDefault="009F0A60">
            <w:pPr>
              <w:pStyle w:val="B"/>
            </w:pPr>
            <w:r>
              <w:rPr>
                <w:rFonts w:hint="eastAsia"/>
              </w:rPr>
              <w:t>如果债权人为“非银行金融机构”或“国际金融组织”，应优先填写</w:t>
            </w:r>
            <w:r>
              <w:t>SWIFT CODE</w:t>
            </w:r>
            <w:r>
              <w:rPr>
                <w:rFonts w:hint="eastAsia"/>
              </w:rPr>
              <w:t>。</w:t>
            </w:r>
          </w:p>
        </w:tc>
      </w:tr>
      <w:tr w:rsidR="00A052DC" w14:paraId="068C0B40" w14:textId="77777777">
        <w:trPr>
          <w:cantSplit/>
        </w:trPr>
        <w:tc>
          <w:tcPr>
            <w:tcW w:w="1526" w:type="dxa"/>
          </w:tcPr>
          <w:p w14:paraId="7D7D9443" w14:textId="77777777" w:rsidR="00A052DC" w:rsidRDefault="009F0A60">
            <w:pPr>
              <w:pStyle w:val="B"/>
            </w:pPr>
            <w:r>
              <w:rPr>
                <w:rFonts w:hint="eastAsia"/>
              </w:rPr>
              <w:t>债权人中文名称</w:t>
            </w:r>
          </w:p>
        </w:tc>
        <w:tc>
          <w:tcPr>
            <w:tcW w:w="6946" w:type="dxa"/>
            <w:vAlign w:val="center"/>
          </w:tcPr>
          <w:p w14:paraId="55ADC5D9" w14:textId="77777777" w:rsidR="00A052DC" w:rsidRDefault="009F0A60">
            <w:pPr>
              <w:pStyle w:val="B"/>
            </w:pPr>
            <w:r>
              <w:rPr>
                <w:rFonts w:hint="eastAsia"/>
              </w:rPr>
              <w:t>债权人中文名称。</w:t>
            </w:r>
          </w:p>
        </w:tc>
      </w:tr>
      <w:tr w:rsidR="00A052DC" w14:paraId="229E9494" w14:textId="77777777">
        <w:trPr>
          <w:cantSplit/>
        </w:trPr>
        <w:tc>
          <w:tcPr>
            <w:tcW w:w="1526" w:type="dxa"/>
          </w:tcPr>
          <w:p w14:paraId="45983B90" w14:textId="77777777" w:rsidR="00A052DC" w:rsidRDefault="009F0A60">
            <w:pPr>
              <w:pStyle w:val="B"/>
            </w:pPr>
            <w:r>
              <w:rPr>
                <w:rFonts w:hint="eastAsia"/>
              </w:rPr>
              <w:t>债权人英文名称</w:t>
            </w:r>
          </w:p>
        </w:tc>
        <w:tc>
          <w:tcPr>
            <w:tcW w:w="6946" w:type="dxa"/>
            <w:vAlign w:val="center"/>
          </w:tcPr>
          <w:p w14:paraId="7C31EEAE" w14:textId="77777777" w:rsidR="00A052DC" w:rsidRDefault="009F0A60">
            <w:pPr>
              <w:pStyle w:val="B"/>
            </w:pPr>
            <w:r>
              <w:rPr>
                <w:rFonts w:hint="eastAsia"/>
              </w:rPr>
              <w:t>债权人英文名称（中英文名称至少填写一个）。</w:t>
            </w:r>
          </w:p>
        </w:tc>
      </w:tr>
      <w:tr w:rsidR="00A052DC" w14:paraId="046968E3" w14:textId="77777777">
        <w:trPr>
          <w:cantSplit/>
        </w:trPr>
        <w:tc>
          <w:tcPr>
            <w:tcW w:w="1526" w:type="dxa"/>
          </w:tcPr>
          <w:p w14:paraId="38B6C5E9" w14:textId="77777777" w:rsidR="00A052DC" w:rsidRDefault="009F0A60">
            <w:pPr>
              <w:pStyle w:val="B"/>
            </w:pPr>
            <w:r>
              <w:rPr>
                <w:rFonts w:hint="eastAsia"/>
              </w:rPr>
              <w:t>债权人类型代码</w:t>
            </w:r>
          </w:p>
        </w:tc>
        <w:tc>
          <w:tcPr>
            <w:tcW w:w="6946" w:type="dxa"/>
          </w:tcPr>
          <w:p w14:paraId="56D354CF" w14:textId="77777777" w:rsidR="00A052DC" w:rsidRDefault="009F0A60">
            <w:pPr>
              <w:pStyle w:val="B"/>
            </w:pPr>
            <w:r>
              <w:rPr>
                <w:rFonts w:hint="eastAsia"/>
              </w:rPr>
              <w:t>债权人类型代码，见境外主体类型代码表。</w:t>
            </w:r>
          </w:p>
        </w:tc>
      </w:tr>
      <w:tr w:rsidR="00A052DC" w14:paraId="5C1A6A9C" w14:textId="77777777">
        <w:trPr>
          <w:cantSplit/>
        </w:trPr>
        <w:tc>
          <w:tcPr>
            <w:tcW w:w="1526" w:type="dxa"/>
          </w:tcPr>
          <w:p w14:paraId="5AE97E37" w14:textId="77777777" w:rsidR="00A052DC" w:rsidRDefault="009F0A60">
            <w:pPr>
              <w:pStyle w:val="B"/>
            </w:pPr>
            <w:r>
              <w:rPr>
                <w:rFonts w:hint="eastAsia"/>
              </w:rPr>
              <w:t>债权人总部所在国家（地区）代码</w:t>
            </w:r>
          </w:p>
        </w:tc>
        <w:tc>
          <w:tcPr>
            <w:tcW w:w="6946" w:type="dxa"/>
            <w:vAlign w:val="center"/>
          </w:tcPr>
          <w:p w14:paraId="4A9BF532" w14:textId="77777777" w:rsidR="00A052DC" w:rsidRDefault="009F0A60">
            <w:pPr>
              <w:pStyle w:val="B"/>
            </w:pPr>
            <w:r>
              <w:rPr>
                <w:rFonts w:hint="eastAsia"/>
              </w:rPr>
              <w:t>债权人总部所在地代码，见国家和地区代码表。</w:t>
            </w:r>
          </w:p>
        </w:tc>
      </w:tr>
      <w:tr w:rsidR="00A052DC" w14:paraId="271A6046" w14:textId="77777777">
        <w:trPr>
          <w:cantSplit/>
        </w:trPr>
        <w:tc>
          <w:tcPr>
            <w:tcW w:w="1526" w:type="dxa"/>
          </w:tcPr>
          <w:p w14:paraId="7C78CEA4" w14:textId="77777777" w:rsidR="00A052DC" w:rsidRDefault="009F0A60">
            <w:pPr>
              <w:pStyle w:val="B"/>
            </w:pPr>
            <w:r>
              <w:rPr>
                <w:rFonts w:hint="eastAsia"/>
              </w:rPr>
              <w:t>债权人经营地所在国家（地区）代码</w:t>
            </w:r>
          </w:p>
        </w:tc>
        <w:tc>
          <w:tcPr>
            <w:tcW w:w="6946" w:type="dxa"/>
            <w:vAlign w:val="center"/>
          </w:tcPr>
          <w:p w14:paraId="419C5FF7" w14:textId="77777777" w:rsidR="00A052DC" w:rsidRDefault="009F0A60">
            <w:pPr>
              <w:pStyle w:val="B"/>
            </w:pPr>
            <w:r>
              <w:rPr>
                <w:rFonts w:hint="eastAsia"/>
              </w:rPr>
              <w:t>债权人经营所在地代码，见国家和地区代码表。</w:t>
            </w:r>
          </w:p>
        </w:tc>
      </w:tr>
      <w:tr w:rsidR="00A052DC" w14:paraId="1847EDA5" w14:textId="77777777">
        <w:trPr>
          <w:cantSplit/>
        </w:trPr>
        <w:tc>
          <w:tcPr>
            <w:tcW w:w="1526" w:type="dxa"/>
          </w:tcPr>
          <w:p w14:paraId="39EC133B" w14:textId="77777777" w:rsidR="00A052DC" w:rsidRDefault="009F0A60">
            <w:pPr>
              <w:pStyle w:val="B"/>
            </w:pPr>
            <w:r>
              <w:rPr>
                <w:rFonts w:hint="eastAsia"/>
              </w:rPr>
              <w:t>是否不纳入跨境融资风险加权余额计算</w:t>
            </w:r>
          </w:p>
        </w:tc>
        <w:tc>
          <w:tcPr>
            <w:tcW w:w="6946" w:type="dxa"/>
          </w:tcPr>
          <w:p w14:paraId="30AA81F2" w14:textId="77777777" w:rsidR="00A052DC" w:rsidRDefault="009F0A60">
            <w:pPr>
              <w:pStyle w:val="B"/>
            </w:pPr>
            <w:r>
              <w:rPr>
                <w:rFonts w:hint="eastAsia"/>
              </w:rPr>
              <w:t>标识该笔债务是否不纳入跨境融资风险加权余额计算，默认为“否”。</w:t>
            </w:r>
          </w:p>
        </w:tc>
      </w:tr>
      <w:tr w:rsidR="00A052DC" w14:paraId="036415E4" w14:textId="77777777">
        <w:trPr>
          <w:cantSplit/>
        </w:trPr>
        <w:tc>
          <w:tcPr>
            <w:tcW w:w="1526" w:type="dxa"/>
          </w:tcPr>
          <w:p w14:paraId="1A74866B" w14:textId="77777777" w:rsidR="00A052DC" w:rsidRDefault="009F0A60">
            <w:pPr>
              <w:pStyle w:val="B"/>
            </w:pPr>
            <w:r>
              <w:rPr>
                <w:rFonts w:hint="eastAsia"/>
              </w:rPr>
              <w:t>存款业务类别</w:t>
            </w:r>
          </w:p>
        </w:tc>
        <w:tc>
          <w:tcPr>
            <w:tcW w:w="6946" w:type="dxa"/>
          </w:tcPr>
          <w:p w14:paraId="0355888C" w14:textId="77777777" w:rsidR="00A052DC" w:rsidRDefault="009F0A60">
            <w:pPr>
              <w:pStyle w:val="B"/>
            </w:pPr>
            <w:r>
              <w:rPr>
                <w:rFonts w:hint="eastAsia"/>
              </w:rPr>
              <w:t>包括：</w:t>
            </w:r>
            <w:r>
              <w:t>1-</w:t>
            </w:r>
            <w:r>
              <w:rPr>
                <w:rFonts w:hint="eastAsia"/>
              </w:rPr>
              <w:t>存款、</w:t>
            </w:r>
            <w:r>
              <w:t>2-</w:t>
            </w:r>
            <w:r>
              <w:rPr>
                <w:rFonts w:hint="eastAsia"/>
              </w:rPr>
              <w:t>账户金。其中，账户金是指非居民在本机构开立的贵金属账户。</w:t>
            </w:r>
          </w:p>
        </w:tc>
      </w:tr>
      <w:tr w:rsidR="00A052DC" w14:paraId="75ACFA0F" w14:textId="77777777">
        <w:trPr>
          <w:cantSplit/>
        </w:trPr>
        <w:tc>
          <w:tcPr>
            <w:tcW w:w="1526" w:type="dxa"/>
          </w:tcPr>
          <w:p w14:paraId="31A873B1" w14:textId="77777777" w:rsidR="00A052DC" w:rsidRDefault="009F0A60">
            <w:pPr>
              <w:pStyle w:val="B"/>
            </w:pPr>
            <w:r>
              <w:rPr>
                <w:rFonts w:hint="eastAsia"/>
              </w:rPr>
              <w:t>对方与本机构的关系</w:t>
            </w:r>
          </w:p>
        </w:tc>
        <w:tc>
          <w:tcPr>
            <w:tcW w:w="6946" w:type="dxa"/>
          </w:tcPr>
          <w:p w14:paraId="266B190E" w14:textId="77777777" w:rsidR="00A052DC" w:rsidRDefault="009F0A60">
            <w:pPr>
              <w:pStyle w:val="B"/>
            </w:pPr>
            <w:r>
              <w:rPr>
                <w:rFonts w:hint="eastAsia"/>
              </w:rPr>
              <w:t>债权人与本机构的关系，见对方与本机构</w:t>
            </w:r>
            <w:r>
              <w:t>/</w:t>
            </w:r>
            <w:r>
              <w:rPr>
                <w:rFonts w:hint="eastAsia"/>
              </w:rPr>
              <w:t>被代理居民机构</w:t>
            </w:r>
            <w:r>
              <w:t>/</w:t>
            </w:r>
            <w:r>
              <w:rPr>
                <w:rFonts w:hint="eastAsia"/>
              </w:rPr>
              <w:t>委托人的关系代码表。</w:t>
            </w:r>
          </w:p>
        </w:tc>
      </w:tr>
      <w:tr w:rsidR="00A052DC" w14:paraId="12F37597" w14:textId="77777777">
        <w:trPr>
          <w:cantSplit/>
        </w:trPr>
        <w:tc>
          <w:tcPr>
            <w:tcW w:w="1526" w:type="dxa"/>
          </w:tcPr>
          <w:p w14:paraId="080218B3" w14:textId="77777777" w:rsidR="00A052DC" w:rsidRDefault="009F0A60">
            <w:pPr>
              <w:pStyle w:val="B"/>
            </w:pPr>
            <w:r>
              <w:rPr>
                <w:rFonts w:hint="eastAsia"/>
              </w:rPr>
              <w:t>原始期限</w:t>
            </w:r>
          </w:p>
        </w:tc>
        <w:tc>
          <w:tcPr>
            <w:tcW w:w="6946" w:type="dxa"/>
          </w:tcPr>
          <w:p w14:paraId="537A3942" w14:textId="77777777" w:rsidR="00A052DC" w:rsidRDefault="009F0A60">
            <w:pPr>
              <w:pStyle w:val="B"/>
            </w:pPr>
            <w:r>
              <w:rPr>
                <w:rFonts w:hint="eastAsia"/>
              </w:rPr>
              <w:t>包括：</w:t>
            </w:r>
            <w:r>
              <w:t>1-</w:t>
            </w:r>
            <w:r>
              <w:rPr>
                <w:rFonts w:hint="eastAsia"/>
              </w:rPr>
              <w:t>一年及以下（含活期或不定期）、</w:t>
            </w:r>
            <w:r>
              <w:t>2-</w:t>
            </w:r>
            <w:r>
              <w:rPr>
                <w:rFonts w:hint="eastAsia"/>
              </w:rPr>
              <w:t>一年以上。</w:t>
            </w:r>
          </w:p>
        </w:tc>
      </w:tr>
      <w:tr w:rsidR="00A052DC" w14:paraId="4EEC592F" w14:textId="77777777">
        <w:trPr>
          <w:cantSplit/>
        </w:trPr>
        <w:tc>
          <w:tcPr>
            <w:tcW w:w="1526" w:type="dxa"/>
            <w:tcBorders>
              <w:top w:val="single" w:sz="6" w:space="0" w:color="auto"/>
              <w:left w:val="single" w:sz="6" w:space="0" w:color="auto"/>
              <w:bottom w:val="single" w:sz="6" w:space="0" w:color="auto"/>
              <w:right w:val="single" w:sz="6" w:space="0" w:color="auto"/>
            </w:tcBorders>
          </w:tcPr>
          <w:p w14:paraId="20F2E8D1" w14:textId="77777777" w:rsidR="00A052DC" w:rsidRDefault="009F0A60">
            <w:pPr>
              <w:pStyle w:val="B"/>
            </w:pPr>
            <w:r>
              <w:rPr>
                <w:rFonts w:hint="eastAsia"/>
              </w:rPr>
              <w:t>备注</w:t>
            </w:r>
          </w:p>
        </w:tc>
        <w:tc>
          <w:tcPr>
            <w:tcW w:w="6946" w:type="dxa"/>
            <w:tcBorders>
              <w:top w:val="single" w:sz="6" w:space="0" w:color="auto"/>
              <w:left w:val="single" w:sz="6" w:space="0" w:color="auto"/>
              <w:bottom w:val="single" w:sz="6" w:space="0" w:color="auto"/>
              <w:right w:val="single" w:sz="6" w:space="0" w:color="auto"/>
            </w:tcBorders>
            <w:vAlign w:val="center"/>
          </w:tcPr>
          <w:p w14:paraId="21DA4DEE" w14:textId="77777777" w:rsidR="00A052DC" w:rsidRDefault="009F0A60">
            <w:pPr>
              <w:pStyle w:val="B"/>
            </w:pPr>
            <w:r>
              <w:rPr>
                <w:rFonts w:hint="eastAsia"/>
              </w:rPr>
              <w:t>需要说明的备注事项。</w:t>
            </w:r>
          </w:p>
        </w:tc>
      </w:tr>
    </w:tbl>
    <w:p w14:paraId="5C2642FA" w14:textId="77777777" w:rsidR="00A052DC" w:rsidRDefault="00A052DC">
      <w:pPr>
        <w:ind w:firstLine="480"/>
      </w:pPr>
    </w:p>
    <w:p w14:paraId="42E46808" w14:textId="77777777" w:rsidR="00A052DC" w:rsidRDefault="009F0A60" w:rsidP="0020251D">
      <w:pPr>
        <w:pStyle w:val="5"/>
        <w:numPr>
          <w:ilvl w:val="4"/>
          <w:numId w:val="1"/>
        </w:numPr>
        <w:spacing w:before="120" w:after="120" w:line="360" w:lineRule="auto"/>
        <w:jc w:val="left"/>
      </w:pPr>
      <w:bookmarkStart w:id="1560" w:name="_Toc454386922"/>
      <w:r>
        <w:rPr>
          <w:rFonts w:hint="eastAsia"/>
        </w:rPr>
        <w:t>数据格式</w:t>
      </w:r>
      <w:bookmarkEnd w:id="1560"/>
    </w:p>
    <w:p w14:paraId="4F77D45F" w14:textId="77777777" w:rsidR="00A052DC" w:rsidRDefault="009F0A60">
      <w:r>
        <w:t>&lt;REC&gt;</w:t>
      </w:r>
    </w:p>
    <w:p w14:paraId="431B15B5" w14:textId="77777777" w:rsidR="00A052DC" w:rsidRDefault="009F0A60">
      <w:r>
        <w:t>&lt;ACTIONTYPE&gt;</w:t>
      </w:r>
      <w:r>
        <w:rPr>
          <w:rFonts w:hint="eastAsia"/>
        </w:rPr>
        <w:t>操作类型</w:t>
      </w:r>
      <w:r>
        <w:t>&lt;/ACTIONTYPE&gt;</w:t>
      </w:r>
    </w:p>
    <w:p w14:paraId="011C8864" w14:textId="77777777" w:rsidR="00A052DC" w:rsidRDefault="009F0A60">
      <w:r>
        <w:t>&lt;ACTIONDESC&gt;</w:t>
      </w:r>
      <w:r>
        <w:rPr>
          <w:rFonts w:hint="eastAsia"/>
        </w:rPr>
        <w:t>删除原因</w:t>
      </w:r>
      <w:r>
        <w:t>&lt;/ACTIONDESC&gt;</w:t>
      </w:r>
    </w:p>
    <w:p w14:paraId="3EA90A51" w14:textId="77777777" w:rsidR="00A052DC" w:rsidRDefault="009F0A60">
      <w:r>
        <w:t>&lt;EXDEBTCODE&gt;</w:t>
      </w:r>
      <w:r>
        <w:rPr>
          <w:rFonts w:hint="eastAsia"/>
        </w:rPr>
        <w:t>外债编号</w:t>
      </w:r>
      <w:r>
        <w:t>&lt;/EXDEBTCODE&gt;</w:t>
      </w:r>
    </w:p>
    <w:p w14:paraId="75FDA2C9" w14:textId="77777777" w:rsidR="00A052DC" w:rsidRDefault="009F0A60">
      <w:r>
        <w:t>&lt;DEBTORCODE&gt;</w:t>
      </w:r>
      <w:r>
        <w:rPr>
          <w:rFonts w:hint="eastAsia"/>
        </w:rPr>
        <w:t>债务人代码</w:t>
      </w:r>
      <w:r>
        <w:t>&lt;/DEBTORCODE&gt;</w:t>
      </w:r>
    </w:p>
    <w:p w14:paraId="1E5AEAC3" w14:textId="77777777" w:rsidR="00A052DC" w:rsidRDefault="009F0A60">
      <w:r>
        <w:t>&lt;DEBTYPE&gt;</w:t>
      </w:r>
      <w:r>
        <w:rPr>
          <w:rFonts w:hint="eastAsia"/>
        </w:rPr>
        <w:t>债务类型</w:t>
      </w:r>
      <w:r>
        <w:t>&lt;/DEBTYPE&gt;</w:t>
      </w:r>
    </w:p>
    <w:p w14:paraId="20ED0A7E" w14:textId="77777777" w:rsidR="00A052DC" w:rsidRDefault="009F0A60">
      <w:r>
        <w:t>&lt;VALUEDATE&gt;</w:t>
      </w:r>
      <w:r>
        <w:rPr>
          <w:rFonts w:hint="eastAsia"/>
        </w:rPr>
        <w:t>起息日</w:t>
      </w:r>
      <w:r>
        <w:t>&lt;/VALUEDATE&gt;</w:t>
      </w:r>
    </w:p>
    <w:p w14:paraId="40B83A79" w14:textId="77777777" w:rsidR="00A052DC" w:rsidRDefault="009F0A60">
      <w:r>
        <w:t>&lt;CONTRACTCURR&gt;</w:t>
      </w:r>
      <w:r>
        <w:rPr>
          <w:rFonts w:hint="eastAsia"/>
        </w:rPr>
        <w:t>签约币种</w:t>
      </w:r>
      <w:r>
        <w:t>&lt;/CONTRACTCURR&gt;</w:t>
      </w:r>
    </w:p>
    <w:p w14:paraId="76A7FE5C" w14:textId="77777777" w:rsidR="00A052DC" w:rsidRDefault="009F0A60">
      <w:r>
        <w:t>&lt;FLOATRATE&gt;</w:t>
      </w:r>
      <w:r>
        <w:rPr>
          <w:rFonts w:hint="eastAsia"/>
        </w:rPr>
        <w:t>是否浮动利率</w:t>
      </w:r>
      <w:r>
        <w:t>&lt;/FLOATRATE&gt;</w:t>
      </w:r>
    </w:p>
    <w:p w14:paraId="25D5F76D" w14:textId="77777777" w:rsidR="00A052DC" w:rsidRDefault="009F0A60">
      <w:r>
        <w:t>&lt;ANNINRATE&gt;</w:t>
      </w:r>
      <w:r>
        <w:rPr>
          <w:rFonts w:hint="eastAsia"/>
        </w:rPr>
        <w:t>年化利率值</w:t>
      </w:r>
      <w:r>
        <w:t>&lt;/ANNINRATE&gt;</w:t>
      </w:r>
    </w:p>
    <w:p w14:paraId="1C81C892" w14:textId="77777777" w:rsidR="00A052DC" w:rsidRDefault="009F0A60">
      <w:r>
        <w:t>&lt;CREDITORCODE&gt;</w:t>
      </w:r>
      <w:r>
        <w:rPr>
          <w:rFonts w:hint="eastAsia"/>
        </w:rPr>
        <w:t>债权人代码</w:t>
      </w:r>
      <w:r>
        <w:t>&lt;/CREDITORCODE&gt;</w:t>
      </w:r>
    </w:p>
    <w:p w14:paraId="39F856D1" w14:textId="77777777" w:rsidR="00A052DC" w:rsidRDefault="009F0A60">
      <w:r>
        <w:t>&lt;CREDITORNAME&gt;</w:t>
      </w:r>
      <w:r>
        <w:rPr>
          <w:rFonts w:hint="eastAsia"/>
        </w:rPr>
        <w:t>债权人中文名称</w:t>
      </w:r>
      <w:r>
        <w:t>&lt;/CREDITORNAME&gt;</w:t>
      </w:r>
    </w:p>
    <w:p w14:paraId="0727583C" w14:textId="77777777" w:rsidR="00A052DC" w:rsidRDefault="009F0A60">
      <w:r>
        <w:t>&lt;CREDITORNAMEN&gt;</w:t>
      </w:r>
      <w:r>
        <w:rPr>
          <w:rFonts w:hint="eastAsia"/>
        </w:rPr>
        <w:t>债权人英文名称</w:t>
      </w:r>
      <w:r>
        <w:t>&lt;/CREDITORNAMEN&gt;</w:t>
      </w:r>
    </w:p>
    <w:p w14:paraId="0B70B424" w14:textId="77777777" w:rsidR="00A052DC" w:rsidRDefault="009F0A60">
      <w:r>
        <w:t>&lt;CREDITORTYPE&gt;</w:t>
      </w:r>
      <w:r>
        <w:rPr>
          <w:rFonts w:hint="eastAsia"/>
        </w:rPr>
        <w:t>债权人类型代码</w:t>
      </w:r>
      <w:r>
        <w:t>&lt;/CREDITORTYPE&gt;</w:t>
      </w:r>
    </w:p>
    <w:p w14:paraId="7DBB8159" w14:textId="77777777" w:rsidR="00A052DC" w:rsidRDefault="009F0A60">
      <w:r>
        <w:t>&lt;CREHQCODE&gt;</w:t>
      </w:r>
      <w:r>
        <w:rPr>
          <w:rFonts w:hint="eastAsia"/>
        </w:rPr>
        <w:t>债权人总部所在国家（地区）代码</w:t>
      </w:r>
      <w:r>
        <w:t>&lt;/CREHQCODE&gt;</w:t>
      </w:r>
    </w:p>
    <w:p w14:paraId="1D5E1CFC" w14:textId="77777777" w:rsidR="00A052DC" w:rsidRDefault="009F0A60">
      <w:r>
        <w:t>&lt;OPERCODE&gt;</w:t>
      </w:r>
      <w:r>
        <w:rPr>
          <w:rFonts w:hint="eastAsia"/>
        </w:rPr>
        <w:t>债权人经营地所在国家（地区）代码</w:t>
      </w:r>
      <w:r>
        <w:t>&lt;/OPERCODE&gt;</w:t>
      </w:r>
    </w:p>
    <w:p w14:paraId="3E8AA785" w14:textId="77777777" w:rsidR="00A052DC" w:rsidRDefault="009F0A60">
      <w:r>
        <w:t>&lt;SPAPFEBOINDEX&gt;</w:t>
      </w:r>
      <w:r>
        <w:rPr>
          <w:rFonts w:hint="eastAsia"/>
        </w:rPr>
        <w:t>是否不纳入跨境融资风险加权余额计算</w:t>
      </w:r>
      <w:r>
        <w:t>&lt;/SPAPFEBOINDEX&gt;</w:t>
      </w:r>
    </w:p>
    <w:p w14:paraId="68496717" w14:textId="77777777" w:rsidR="00A052DC" w:rsidRDefault="009F0A60">
      <w:r>
        <w:t>&lt;DEPTYPE&gt;</w:t>
      </w:r>
      <w:r>
        <w:rPr>
          <w:rFonts w:hint="eastAsia"/>
        </w:rPr>
        <w:t>存款业务类别</w:t>
      </w:r>
      <w:r>
        <w:t>&lt;/DEPTYPE&gt;</w:t>
      </w:r>
    </w:p>
    <w:p w14:paraId="6304CC06" w14:textId="77777777" w:rsidR="00A052DC" w:rsidRDefault="009F0A60">
      <w:r>
        <w:t>&lt;RELATION&gt;</w:t>
      </w:r>
      <w:r>
        <w:rPr>
          <w:rFonts w:hint="eastAsia"/>
        </w:rPr>
        <w:t>对方与本机构的关系</w:t>
      </w:r>
      <w:r>
        <w:t>&lt;/RELATION&gt;</w:t>
      </w:r>
    </w:p>
    <w:p w14:paraId="4A13E6E2" w14:textId="77777777" w:rsidR="00A052DC" w:rsidRDefault="009F0A60">
      <w:r>
        <w:t>&lt;ORIGINALPERIOD&gt;</w:t>
      </w:r>
      <w:r>
        <w:rPr>
          <w:rFonts w:hint="eastAsia"/>
        </w:rPr>
        <w:t>原始期限</w:t>
      </w:r>
      <w:r>
        <w:t>&lt;/ORIGINALPERIOD&gt;</w:t>
      </w:r>
    </w:p>
    <w:p w14:paraId="788D4ABC" w14:textId="77777777" w:rsidR="00A052DC" w:rsidRDefault="009F0A60">
      <w:r>
        <w:t>&lt;REMARK&gt;</w:t>
      </w:r>
      <w:r>
        <w:rPr>
          <w:rFonts w:hint="eastAsia"/>
        </w:rPr>
        <w:t>备注</w:t>
      </w:r>
      <w:r>
        <w:t>&lt;/REMARK&gt;</w:t>
      </w:r>
    </w:p>
    <w:p w14:paraId="5F78F7F2" w14:textId="77777777" w:rsidR="00A052DC" w:rsidRDefault="009F0A60">
      <w:r>
        <w:t>&lt;/REC&gt;</w:t>
      </w:r>
    </w:p>
    <w:p w14:paraId="3ECCDD40" w14:textId="77777777" w:rsidR="00A052DC" w:rsidRDefault="009F0A60" w:rsidP="0020251D">
      <w:pPr>
        <w:pStyle w:val="5"/>
        <w:numPr>
          <w:ilvl w:val="4"/>
          <w:numId w:val="1"/>
        </w:numPr>
        <w:spacing w:before="120" w:after="120" w:line="360" w:lineRule="auto"/>
        <w:jc w:val="left"/>
      </w:pPr>
      <w:bookmarkStart w:id="1561" w:name="_Toc454386923"/>
      <w:r>
        <w:rPr>
          <w:rFonts w:hint="eastAsia"/>
        </w:rPr>
        <w:t>数据字典</w:t>
      </w:r>
      <w:bookmarkEnd w:id="1561"/>
    </w:p>
    <w:tbl>
      <w:tblPr>
        <w:tblW w:w="86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701"/>
        <w:gridCol w:w="1417"/>
        <w:gridCol w:w="3827"/>
      </w:tblGrid>
      <w:tr w:rsidR="00A052DC" w14:paraId="3C540A11" w14:textId="77777777">
        <w:trPr>
          <w:tblHeader/>
        </w:trPr>
        <w:tc>
          <w:tcPr>
            <w:tcW w:w="1702" w:type="dxa"/>
            <w:shd w:val="clear" w:color="auto" w:fill="C0C0C0"/>
          </w:tcPr>
          <w:p w14:paraId="5450AE06" w14:textId="77777777" w:rsidR="00A052DC" w:rsidRDefault="009F0A60">
            <w:pPr>
              <w:pStyle w:val="B1"/>
            </w:pPr>
            <w:r>
              <w:rPr>
                <w:rFonts w:hint="eastAsia"/>
              </w:rPr>
              <w:t>字段</w:t>
            </w:r>
          </w:p>
        </w:tc>
        <w:tc>
          <w:tcPr>
            <w:tcW w:w="1701" w:type="dxa"/>
            <w:shd w:val="clear" w:color="auto" w:fill="C0C0C0"/>
          </w:tcPr>
          <w:p w14:paraId="36310ADA" w14:textId="77777777" w:rsidR="00A052DC" w:rsidRDefault="009F0A60">
            <w:pPr>
              <w:pStyle w:val="B1"/>
            </w:pPr>
            <w:r>
              <w:rPr>
                <w:rFonts w:hint="eastAsia"/>
              </w:rPr>
              <w:t>内容</w:t>
            </w:r>
          </w:p>
        </w:tc>
        <w:tc>
          <w:tcPr>
            <w:tcW w:w="1417" w:type="dxa"/>
            <w:shd w:val="clear" w:color="auto" w:fill="C0C0C0"/>
          </w:tcPr>
          <w:p w14:paraId="127A0B8A" w14:textId="77777777" w:rsidR="00A052DC" w:rsidRDefault="009F0A60">
            <w:pPr>
              <w:pStyle w:val="B1"/>
            </w:pPr>
            <w:r>
              <w:rPr>
                <w:rFonts w:hint="eastAsia"/>
              </w:rPr>
              <w:t>类型（长度）</w:t>
            </w:r>
          </w:p>
        </w:tc>
        <w:tc>
          <w:tcPr>
            <w:tcW w:w="3827" w:type="dxa"/>
            <w:shd w:val="clear" w:color="auto" w:fill="C0C0C0"/>
          </w:tcPr>
          <w:p w14:paraId="6F196567" w14:textId="77777777" w:rsidR="00A052DC" w:rsidRDefault="009F0A60">
            <w:pPr>
              <w:pStyle w:val="B1"/>
            </w:pPr>
            <w:r>
              <w:rPr>
                <w:rFonts w:hint="eastAsia"/>
              </w:rPr>
              <w:t>校验</w:t>
            </w:r>
          </w:p>
        </w:tc>
      </w:tr>
      <w:tr w:rsidR="00A052DC" w14:paraId="591C6AFD" w14:textId="77777777">
        <w:tc>
          <w:tcPr>
            <w:tcW w:w="1702" w:type="dxa"/>
          </w:tcPr>
          <w:p w14:paraId="7F130C82" w14:textId="77777777" w:rsidR="00A052DC" w:rsidRDefault="009F0A60">
            <w:pPr>
              <w:pStyle w:val="B"/>
              <w:rPr>
                <w:szCs w:val="20"/>
              </w:rPr>
            </w:pPr>
            <w:r>
              <w:rPr>
                <w:szCs w:val="20"/>
              </w:rPr>
              <w:t>ACTIONTYPE</w:t>
            </w:r>
          </w:p>
        </w:tc>
        <w:tc>
          <w:tcPr>
            <w:tcW w:w="1701" w:type="dxa"/>
          </w:tcPr>
          <w:p w14:paraId="18D3CB5E" w14:textId="77777777" w:rsidR="00A052DC" w:rsidRDefault="009F0A60">
            <w:pPr>
              <w:pStyle w:val="B"/>
              <w:rPr>
                <w:szCs w:val="20"/>
              </w:rPr>
            </w:pPr>
            <w:r>
              <w:rPr>
                <w:rFonts w:hint="eastAsia"/>
                <w:szCs w:val="20"/>
              </w:rPr>
              <w:t>操作类型</w:t>
            </w:r>
          </w:p>
        </w:tc>
        <w:tc>
          <w:tcPr>
            <w:tcW w:w="1417" w:type="dxa"/>
          </w:tcPr>
          <w:p w14:paraId="102D9D9B" w14:textId="77777777" w:rsidR="00A052DC" w:rsidRDefault="009F0A60">
            <w:pPr>
              <w:pStyle w:val="B"/>
              <w:rPr>
                <w:szCs w:val="20"/>
              </w:rPr>
            </w:pPr>
            <w:r>
              <w:rPr>
                <w:rFonts w:hint="eastAsia"/>
                <w:szCs w:val="20"/>
              </w:rPr>
              <w:t>字符型，</w:t>
            </w:r>
            <w:r>
              <w:rPr>
                <w:szCs w:val="20"/>
              </w:rPr>
              <w:t>1</w:t>
            </w:r>
          </w:p>
        </w:tc>
        <w:tc>
          <w:tcPr>
            <w:tcW w:w="3827" w:type="dxa"/>
          </w:tcPr>
          <w:p w14:paraId="41040F96" w14:textId="77777777" w:rsidR="00A052DC" w:rsidRDefault="009F0A60">
            <w:pPr>
              <w:pStyle w:val="B"/>
              <w:rPr>
                <w:szCs w:val="20"/>
              </w:rPr>
            </w:pPr>
            <w:r>
              <w:rPr>
                <w:rFonts w:hint="eastAsia"/>
                <w:szCs w:val="20"/>
              </w:rPr>
              <w:t>必填项</w:t>
            </w:r>
            <w:r w:rsidR="001D10D1">
              <w:rPr>
                <w:rFonts w:hint="eastAsia"/>
                <w:szCs w:val="20"/>
              </w:rPr>
              <w:t>。</w:t>
            </w:r>
          </w:p>
          <w:p w14:paraId="53D6C3E2" w14:textId="77777777" w:rsidR="00A052DC" w:rsidRDefault="009F0A60">
            <w:pPr>
              <w:pStyle w:val="B"/>
              <w:rPr>
                <w:szCs w:val="20"/>
              </w:rPr>
            </w:pPr>
            <w:r>
              <w:rPr>
                <w:szCs w:val="20"/>
              </w:rPr>
              <w:t>A</w:t>
            </w:r>
            <w:r w:rsidR="00AE4602">
              <w:rPr>
                <w:rFonts w:hint="eastAsia"/>
                <w:szCs w:val="20"/>
              </w:rPr>
              <w:t>-</w:t>
            </w:r>
            <w:r>
              <w:rPr>
                <w:rFonts w:hint="eastAsia"/>
                <w:szCs w:val="20"/>
              </w:rPr>
              <w:t>新建</w:t>
            </w:r>
          </w:p>
          <w:p w14:paraId="71259F7F" w14:textId="77777777" w:rsidR="00A052DC" w:rsidRDefault="009F0A60">
            <w:pPr>
              <w:pStyle w:val="B"/>
              <w:rPr>
                <w:szCs w:val="20"/>
              </w:rPr>
            </w:pPr>
            <w:r>
              <w:rPr>
                <w:szCs w:val="20"/>
              </w:rPr>
              <w:t>C</w:t>
            </w:r>
            <w:r w:rsidR="00AE4602">
              <w:rPr>
                <w:rFonts w:hint="eastAsia"/>
                <w:szCs w:val="20"/>
              </w:rPr>
              <w:t>-</w:t>
            </w:r>
            <w:r>
              <w:rPr>
                <w:rFonts w:hint="eastAsia"/>
                <w:szCs w:val="20"/>
              </w:rPr>
              <w:t>修改</w:t>
            </w:r>
          </w:p>
          <w:p w14:paraId="4B64C8A4" w14:textId="77777777" w:rsidR="001D10D1" w:rsidRDefault="009F0A60" w:rsidP="001D10D1">
            <w:pPr>
              <w:pStyle w:val="B"/>
              <w:rPr>
                <w:szCs w:val="20"/>
              </w:rPr>
            </w:pPr>
            <w:r>
              <w:rPr>
                <w:szCs w:val="20"/>
              </w:rPr>
              <w:t>D</w:t>
            </w:r>
            <w:r w:rsidR="00AE4602">
              <w:rPr>
                <w:rFonts w:hint="eastAsia"/>
                <w:szCs w:val="20"/>
              </w:rPr>
              <w:t>-</w:t>
            </w:r>
            <w:r>
              <w:rPr>
                <w:rFonts w:hint="eastAsia"/>
                <w:szCs w:val="20"/>
              </w:rPr>
              <w:t>删除</w:t>
            </w:r>
          </w:p>
          <w:p w14:paraId="74721F01" w14:textId="77777777" w:rsidR="00A052DC" w:rsidRDefault="009F0A60" w:rsidP="001D10D1">
            <w:pPr>
              <w:pStyle w:val="B"/>
              <w:rPr>
                <w:szCs w:val="20"/>
              </w:rPr>
            </w:pPr>
            <w:r>
              <w:rPr>
                <w:rFonts w:hint="eastAsia"/>
                <w:szCs w:val="20"/>
              </w:rPr>
              <w:t>一旦银行报送了该外债编号下的余额信息或月末存量信息，就不可以删除了。</w:t>
            </w:r>
          </w:p>
        </w:tc>
      </w:tr>
      <w:tr w:rsidR="00A052DC" w14:paraId="3896D234" w14:textId="77777777">
        <w:tc>
          <w:tcPr>
            <w:tcW w:w="1702" w:type="dxa"/>
          </w:tcPr>
          <w:p w14:paraId="32414F0B" w14:textId="77777777" w:rsidR="00A052DC" w:rsidRDefault="009F0A60">
            <w:pPr>
              <w:pStyle w:val="B"/>
              <w:rPr>
                <w:szCs w:val="20"/>
              </w:rPr>
            </w:pPr>
            <w:r>
              <w:rPr>
                <w:szCs w:val="20"/>
              </w:rPr>
              <w:t>ACTIONDESC</w:t>
            </w:r>
          </w:p>
        </w:tc>
        <w:tc>
          <w:tcPr>
            <w:tcW w:w="1701" w:type="dxa"/>
          </w:tcPr>
          <w:p w14:paraId="0E821864" w14:textId="77777777" w:rsidR="00A052DC" w:rsidRDefault="009F0A60">
            <w:pPr>
              <w:pStyle w:val="B"/>
              <w:rPr>
                <w:szCs w:val="20"/>
              </w:rPr>
            </w:pPr>
            <w:r>
              <w:rPr>
                <w:rFonts w:hint="eastAsia"/>
                <w:szCs w:val="20"/>
              </w:rPr>
              <w:t>删除原因</w:t>
            </w:r>
          </w:p>
        </w:tc>
        <w:tc>
          <w:tcPr>
            <w:tcW w:w="1417" w:type="dxa"/>
          </w:tcPr>
          <w:p w14:paraId="2FEE5B11" w14:textId="77777777" w:rsidR="00A052DC" w:rsidRDefault="009F0A60">
            <w:pPr>
              <w:pStyle w:val="B1"/>
              <w:jc w:val="both"/>
              <w:rPr>
                <w:b w:val="0"/>
              </w:rPr>
            </w:pPr>
            <w:r>
              <w:rPr>
                <w:rFonts w:hint="eastAsia"/>
                <w:b w:val="0"/>
              </w:rPr>
              <w:t>字符型，</w:t>
            </w:r>
            <w:r>
              <w:rPr>
                <w:b w:val="0"/>
              </w:rPr>
              <w:t>128</w:t>
            </w:r>
          </w:p>
        </w:tc>
        <w:tc>
          <w:tcPr>
            <w:tcW w:w="3827" w:type="dxa"/>
          </w:tcPr>
          <w:p w14:paraId="6628717E" w14:textId="77777777" w:rsidR="00A052DC" w:rsidRDefault="009F0A60" w:rsidP="001D10D1">
            <w:pPr>
              <w:pStyle w:val="B"/>
              <w:rPr>
                <w:szCs w:val="20"/>
              </w:rPr>
            </w:pPr>
            <w:r>
              <w:rPr>
                <w:rFonts w:hint="eastAsia"/>
                <w:szCs w:val="20"/>
              </w:rPr>
              <w:t>如果</w:t>
            </w:r>
            <w:r>
              <w:rPr>
                <w:szCs w:val="20"/>
              </w:rPr>
              <w:t>ACTIONTYPE</w:t>
            </w:r>
            <w:r>
              <w:rPr>
                <w:rFonts w:hint="eastAsia"/>
                <w:szCs w:val="20"/>
              </w:rPr>
              <w:t>字段值为</w:t>
            </w:r>
            <w:r>
              <w:rPr>
                <w:szCs w:val="20"/>
              </w:rPr>
              <w:t>D</w:t>
            </w:r>
            <w:r>
              <w:rPr>
                <w:rFonts w:hint="eastAsia"/>
                <w:szCs w:val="20"/>
              </w:rPr>
              <w:t>，则此字段为必填。</w:t>
            </w:r>
          </w:p>
        </w:tc>
      </w:tr>
      <w:tr w:rsidR="00A052DC" w14:paraId="671E6E60" w14:textId="77777777">
        <w:tc>
          <w:tcPr>
            <w:tcW w:w="1702" w:type="dxa"/>
          </w:tcPr>
          <w:p w14:paraId="0D0AF028" w14:textId="77777777" w:rsidR="00A052DC" w:rsidRDefault="009F0A60">
            <w:pPr>
              <w:pStyle w:val="B"/>
              <w:rPr>
                <w:szCs w:val="20"/>
              </w:rPr>
            </w:pPr>
            <w:r>
              <w:rPr>
                <w:szCs w:val="20"/>
              </w:rPr>
              <w:t>EXDEBTCODE</w:t>
            </w:r>
          </w:p>
        </w:tc>
        <w:tc>
          <w:tcPr>
            <w:tcW w:w="1701" w:type="dxa"/>
          </w:tcPr>
          <w:p w14:paraId="77ABEB25" w14:textId="77777777" w:rsidR="00A052DC" w:rsidRDefault="009F0A60">
            <w:pPr>
              <w:pStyle w:val="B"/>
              <w:rPr>
                <w:szCs w:val="20"/>
              </w:rPr>
            </w:pPr>
            <w:r>
              <w:rPr>
                <w:rFonts w:hint="eastAsia"/>
                <w:szCs w:val="20"/>
              </w:rPr>
              <w:t>外债编号</w:t>
            </w:r>
          </w:p>
        </w:tc>
        <w:tc>
          <w:tcPr>
            <w:tcW w:w="1417" w:type="dxa"/>
          </w:tcPr>
          <w:p w14:paraId="1968E8A0" w14:textId="77777777" w:rsidR="00A052DC" w:rsidRDefault="009F0A60">
            <w:pPr>
              <w:pStyle w:val="B"/>
              <w:rPr>
                <w:szCs w:val="20"/>
              </w:rPr>
            </w:pPr>
            <w:r>
              <w:rPr>
                <w:rFonts w:hint="eastAsia"/>
                <w:szCs w:val="20"/>
              </w:rPr>
              <w:t>字符型，</w:t>
            </w:r>
            <w:r>
              <w:rPr>
                <w:szCs w:val="20"/>
              </w:rPr>
              <w:t>28</w:t>
            </w:r>
          </w:p>
        </w:tc>
        <w:tc>
          <w:tcPr>
            <w:tcW w:w="3827" w:type="dxa"/>
          </w:tcPr>
          <w:p w14:paraId="68B0F11A" w14:textId="77777777" w:rsidR="00A052DC" w:rsidRDefault="009F0A60" w:rsidP="001D10D1">
            <w:pPr>
              <w:pStyle w:val="B"/>
              <w:rPr>
                <w:szCs w:val="20"/>
              </w:rPr>
            </w:pPr>
            <w:r>
              <w:rPr>
                <w:rFonts w:hint="eastAsia"/>
                <w:szCs w:val="20"/>
              </w:rPr>
              <w:t>必填项，外债唯一性编码。</w:t>
            </w:r>
          </w:p>
        </w:tc>
      </w:tr>
      <w:tr w:rsidR="00A052DC" w14:paraId="24CD2685" w14:textId="77777777">
        <w:tc>
          <w:tcPr>
            <w:tcW w:w="1702" w:type="dxa"/>
          </w:tcPr>
          <w:p w14:paraId="157D435A" w14:textId="77777777" w:rsidR="00A052DC" w:rsidRDefault="009F0A60">
            <w:pPr>
              <w:pStyle w:val="B"/>
              <w:rPr>
                <w:szCs w:val="20"/>
              </w:rPr>
            </w:pPr>
            <w:r>
              <w:rPr>
                <w:szCs w:val="20"/>
              </w:rPr>
              <w:t>DEBTORCODE</w:t>
            </w:r>
          </w:p>
        </w:tc>
        <w:tc>
          <w:tcPr>
            <w:tcW w:w="1701" w:type="dxa"/>
          </w:tcPr>
          <w:p w14:paraId="018D8B72" w14:textId="77777777" w:rsidR="00A052DC" w:rsidRDefault="009F0A60">
            <w:pPr>
              <w:pStyle w:val="B"/>
              <w:rPr>
                <w:szCs w:val="20"/>
              </w:rPr>
            </w:pPr>
            <w:r>
              <w:rPr>
                <w:rFonts w:hint="eastAsia"/>
                <w:szCs w:val="20"/>
              </w:rPr>
              <w:t>债务人代码</w:t>
            </w:r>
          </w:p>
        </w:tc>
        <w:tc>
          <w:tcPr>
            <w:tcW w:w="1417" w:type="dxa"/>
          </w:tcPr>
          <w:p w14:paraId="2E2B4D49" w14:textId="77777777" w:rsidR="00A052DC" w:rsidRDefault="009F0A60">
            <w:pPr>
              <w:pStyle w:val="B"/>
              <w:rPr>
                <w:szCs w:val="20"/>
              </w:rPr>
            </w:pPr>
            <w:r>
              <w:rPr>
                <w:rFonts w:hint="eastAsia"/>
                <w:szCs w:val="20"/>
              </w:rPr>
              <w:t>字符型，</w:t>
            </w:r>
            <w:r>
              <w:rPr>
                <w:szCs w:val="20"/>
              </w:rPr>
              <w:t>12</w:t>
            </w:r>
          </w:p>
        </w:tc>
        <w:tc>
          <w:tcPr>
            <w:tcW w:w="3827" w:type="dxa"/>
          </w:tcPr>
          <w:p w14:paraId="4E40BE30" w14:textId="77777777" w:rsidR="00A052DC" w:rsidRDefault="009F0A60" w:rsidP="001D10D1">
            <w:pPr>
              <w:pStyle w:val="B"/>
              <w:rPr>
                <w:szCs w:val="20"/>
              </w:rPr>
            </w:pPr>
            <w:r>
              <w:rPr>
                <w:rFonts w:hint="eastAsia"/>
                <w:szCs w:val="20"/>
              </w:rPr>
              <w:t>必填项，金融机构标识码。</w:t>
            </w:r>
          </w:p>
        </w:tc>
      </w:tr>
      <w:tr w:rsidR="00A052DC" w14:paraId="6BFD056F" w14:textId="77777777">
        <w:tc>
          <w:tcPr>
            <w:tcW w:w="1702" w:type="dxa"/>
          </w:tcPr>
          <w:p w14:paraId="6D4B8DD6" w14:textId="77777777" w:rsidR="00A052DC" w:rsidRDefault="009F0A60">
            <w:pPr>
              <w:pStyle w:val="B"/>
              <w:rPr>
                <w:szCs w:val="20"/>
              </w:rPr>
            </w:pPr>
            <w:r>
              <w:rPr>
                <w:szCs w:val="20"/>
              </w:rPr>
              <w:t>DEBTYPE</w:t>
            </w:r>
          </w:p>
        </w:tc>
        <w:tc>
          <w:tcPr>
            <w:tcW w:w="1701" w:type="dxa"/>
          </w:tcPr>
          <w:p w14:paraId="068D3C90" w14:textId="77777777" w:rsidR="00A052DC" w:rsidRDefault="009F0A60">
            <w:pPr>
              <w:pStyle w:val="B"/>
              <w:rPr>
                <w:szCs w:val="20"/>
              </w:rPr>
            </w:pPr>
            <w:r>
              <w:rPr>
                <w:rFonts w:hint="eastAsia"/>
                <w:szCs w:val="20"/>
              </w:rPr>
              <w:t>债务类型</w:t>
            </w:r>
          </w:p>
        </w:tc>
        <w:tc>
          <w:tcPr>
            <w:tcW w:w="1417" w:type="dxa"/>
          </w:tcPr>
          <w:p w14:paraId="7359107D" w14:textId="77777777" w:rsidR="00A052DC" w:rsidRDefault="009F0A60">
            <w:pPr>
              <w:pStyle w:val="B"/>
              <w:rPr>
                <w:szCs w:val="20"/>
              </w:rPr>
            </w:pPr>
            <w:r>
              <w:rPr>
                <w:rFonts w:hint="eastAsia"/>
                <w:szCs w:val="20"/>
              </w:rPr>
              <w:t>字符型，</w:t>
            </w:r>
            <w:r>
              <w:rPr>
                <w:szCs w:val="20"/>
              </w:rPr>
              <w:t>4</w:t>
            </w:r>
          </w:p>
        </w:tc>
        <w:tc>
          <w:tcPr>
            <w:tcW w:w="3827" w:type="dxa"/>
          </w:tcPr>
          <w:p w14:paraId="3ADA83BF" w14:textId="77777777" w:rsidR="00A052DC" w:rsidRDefault="009F0A60" w:rsidP="001D10D1">
            <w:pPr>
              <w:pStyle w:val="B"/>
              <w:rPr>
                <w:szCs w:val="20"/>
              </w:rPr>
            </w:pPr>
            <w:r>
              <w:rPr>
                <w:rFonts w:hint="eastAsia"/>
                <w:szCs w:val="20"/>
              </w:rPr>
              <w:t>必填项，见债务类型代码表。</w:t>
            </w:r>
          </w:p>
        </w:tc>
      </w:tr>
      <w:tr w:rsidR="00A052DC" w14:paraId="3D0D9094" w14:textId="77777777">
        <w:tc>
          <w:tcPr>
            <w:tcW w:w="1702" w:type="dxa"/>
          </w:tcPr>
          <w:p w14:paraId="64C6655D" w14:textId="77777777" w:rsidR="00A052DC" w:rsidRDefault="009F0A60">
            <w:pPr>
              <w:pStyle w:val="B"/>
              <w:rPr>
                <w:szCs w:val="20"/>
              </w:rPr>
            </w:pPr>
            <w:r>
              <w:rPr>
                <w:szCs w:val="20"/>
              </w:rPr>
              <w:t>VALUEDATE</w:t>
            </w:r>
          </w:p>
        </w:tc>
        <w:tc>
          <w:tcPr>
            <w:tcW w:w="1701" w:type="dxa"/>
          </w:tcPr>
          <w:p w14:paraId="2A2B8C4F" w14:textId="77777777" w:rsidR="00A052DC" w:rsidRDefault="009F0A60">
            <w:pPr>
              <w:pStyle w:val="B"/>
              <w:rPr>
                <w:szCs w:val="20"/>
              </w:rPr>
            </w:pPr>
            <w:r>
              <w:rPr>
                <w:rFonts w:hint="eastAsia"/>
                <w:szCs w:val="20"/>
              </w:rPr>
              <w:t>起息日</w:t>
            </w:r>
          </w:p>
        </w:tc>
        <w:tc>
          <w:tcPr>
            <w:tcW w:w="1417" w:type="dxa"/>
          </w:tcPr>
          <w:p w14:paraId="63B27F46" w14:textId="77777777" w:rsidR="00A052DC" w:rsidRDefault="009F0A60">
            <w:pPr>
              <w:pStyle w:val="B"/>
              <w:rPr>
                <w:szCs w:val="20"/>
              </w:rPr>
            </w:pPr>
            <w:r>
              <w:rPr>
                <w:rFonts w:hint="eastAsia"/>
                <w:szCs w:val="20"/>
              </w:rPr>
              <w:t>日期型，</w:t>
            </w:r>
            <w:r>
              <w:rPr>
                <w:szCs w:val="20"/>
              </w:rPr>
              <w:t>8</w:t>
            </w:r>
          </w:p>
        </w:tc>
        <w:tc>
          <w:tcPr>
            <w:tcW w:w="3827" w:type="dxa"/>
          </w:tcPr>
          <w:p w14:paraId="51C992B2" w14:textId="77777777" w:rsidR="00A052DC" w:rsidRDefault="009F0A60" w:rsidP="001D10D1">
            <w:pPr>
              <w:pStyle w:val="B"/>
              <w:rPr>
                <w:szCs w:val="20"/>
              </w:rPr>
            </w:pPr>
            <w:r>
              <w:rPr>
                <w:rFonts w:hint="eastAsia"/>
                <w:szCs w:val="20"/>
              </w:rPr>
              <w:t>必填项，格式</w:t>
            </w:r>
            <w:r>
              <w:rPr>
                <w:szCs w:val="20"/>
              </w:rPr>
              <w:t>YYYYMMDD</w:t>
            </w:r>
            <w:r>
              <w:rPr>
                <w:rFonts w:hint="eastAsia"/>
                <w:szCs w:val="20"/>
              </w:rPr>
              <w:t>。</w:t>
            </w:r>
          </w:p>
        </w:tc>
      </w:tr>
      <w:tr w:rsidR="00A052DC" w14:paraId="1A1DBB57" w14:textId="77777777">
        <w:trPr>
          <w:cantSplit/>
          <w:trHeight w:val="64"/>
        </w:trPr>
        <w:tc>
          <w:tcPr>
            <w:tcW w:w="1702" w:type="dxa"/>
          </w:tcPr>
          <w:p w14:paraId="4C705668" w14:textId="77777777" w:rsidR="00A052DC" w:rsidRDefault="009F0A60">
            <w:pPr>
              <w:pStyle w:val="B"/>
              <w:rPr>
                <w:szCs w:val="20"/>
              </w:rPr>
            </w:pPr>
            <w:r>
              <w:rPr>
                <w:szCs w:val="20"/>
              </w:rPr>
              <w:t>CONTRACTCURR</w:t>
            </w:r>
          </w:p>
        </w:tc>
        <w:tc>
          <w:tcPr>
            <w:tcW w:w="1701" w:type="dxa"/>
          </w:tcPr>
          <w:p w14:paraId="0CAFA90E" w14:textId="77777777" w:rsidR="00A052DC" w:rsidRDefault="009F0A60">
            <w:pPr>
              <w:pStyle w:val="B"/>
              <w:rPr>
                <w:szCs w:val="20"/>
              </w:rPr>
            </w:pPr>
            <w:r>
              <w:rPr>
                <w:rFonts w:hint="eastAsia"/>
                <w:szCs w:val="20"/>
              </w:rPr>
              <w:t>签约币种</w:t>
            </w:r>
          </w:p>
        </w:tc>
        <w:tc>
          <w:tcPr>
            <w:tcW w:w="1417" w:type="dxa"/>
          </w:tcPr>
          <w:p w14:paraId="49F52652" w14:textId="77777777" w:rsidR="00A052DC" w:rsidRDefault="009F0A60">
            <w:pPr>
              <w:pStyle w:val="B"/>
              <w:rPr>
                <w:szCs w:val="20"/>
              </w:rPr>
            </w:pPr>
            <w:r>
              <w:rPr>
                <w:rFonts w:hint="eastAsia"/>
                <w:szCs w:val="20"/>
              </w:rPr>
              <w:t>字符型，</w:t>
            </w:r>
            <w:r>
              <w:rPr>
                <w:szCs w:val="20"/>
              </w:rPr>
              <w:t>3</w:t>
            </w:r>
          </w:p>
        </w:tc>
        <w:tc>
          <w:tcPr>
            <w:tcW w:w="3827" w:type="dxa"/>
          </w:tcPr>
          <w:p w14:paraId="5CCC0662" w14:textId="77777777" w:rsidR="00A052DC" w:rsidRDefault="009F0A60" w:rsidP="001D10D1">
            <w:pPr>
              <w:pStyle w:val="B"/>
              <w:rPr>
                <w:szCs w:val="20"/>
              </w:rPr>
            </w:pPr>
            <w:r>
              <w:rPr>
                <w:rFonts w:hint="eastAsia"/>
                <w:szCs w:val="20"/>
              </w:rPr>
              <w:t>必填项，见币种代码表。</w:t>
            </w:r>
          </w:p>
        </w:tc>
      </w:tr>
      <w:tr w:rsidR="00A052DC" w14:paraId="73E127F7" w14:textId="77777777">
        <w:trPr>
          <w:cantSplit/>
          <w:trHeight w:val="64"/>
        </w:trPr>
        <w:tc>
          <w:tcPr>
            <w:tcW w:w="1702" w:type="dxa"/>
          </w:tcPr>
          <w:p w14:paraId="01A8B500" w14:textId="77777777" w:rsidR="00A052DC" w:rsidRDefault="009F0A60">
            <w:pPr>
              <w:pStyle w:val="B"/>
              <w:rPr>
                <w:szCs w:val="20"/>
              </w:rPr>
            </w:pPr>
            <w:r>
              <w:rPr>
                <w:szCs w:val="20"/>
              </w:rPr>
              <w:t>FLOATRATE</w:t>
            </w:r>
          </w:p>
        </w:tc>
        <w:tc>
          <w:tcPr>
            <w:tcW w:w="1701" w:type="dxa"/>
          </w:tcPr>
          <w:p w14:paraId="403483E9" w14:textId="77777777" w:rsidR="00A052DC" w:rsidRDefault="009F0A60">
            <w:pPr>
              <w:pStyle w:val="B"/>
              <w:rPr>
                <w:szCs w:val="20"/>
              </w:rPr>
            </w:pPr>
            <w:r>
              <w:rPr>
                <w:rFonts w:hint="eastAsia"/>
                <w:szCs w:val="20"/>
              </w:rPr>
              <w:t>是否浮动利率</w:t>
            </w:r>
          </w:p>
        </w:tc>
        <w:tc>
          <w:tcPr>
            <w:tcW w:w="1417" w:type="dxa"/>
          </w:tcPr>
          <w:p w14:paraId="39B5635A" w14:textId="77777777" w:rsidR="00A052DC" w:rsidRDefault="009F0A60">
            <w:pPr>
              <w:pStyle w:val="B"/>
              <w:rPr>
                <w:szCs w:val="20"/>
              </w:rPr>
            </w:pPr>
            <w:r>
              <w:rPr>
                <w:rFonts w:hint="eastAsia"/>
                <w:szCs w:val="20"/>
              </w:rPr>
              <w:t>字符型，</w:t>
            </w:r>
            <w:r>
              <w:rPr>
                <w:szCs w:val="20"/>
              </w:rPr>
              <w:t>1</w:t>
            </w:r>
          </w:p>
        </w:tc>
        <w:tc>
          <w:tcPr>
            <w:tcW w:w="3827" w:type="dxa"/>
          </w:tcPr>
          <w:p w14:paraId="7EB1539A" w14:textId="77777777" w:rsidR="00A052DC" w:rsidRDefault="009F0A60">
            <w:pPr>
              <w:pStyle w:val="B"/>
              <w:rPr>
                <w:szCs w:val="20"/>
              </w:rPr>
            </w:pPr>
            <w:r>
              <w:rPr>
                <w:rFonts w:hint="eastAsia"/>
                <w:szCs w:val="20"/>
              </w:rPr>
              <w:t>必填项，是</w:t>
            </w:r>
            <w:r>
              <w:rPr>
                <w:szCs w:val="20"/>
              </w:rPr>
              <w:t>-Y</w:t>
            </w:r>
            <w:r>
              <w:rPr>
                <w:rFonts w:hint="eastAsia"/>
                <w:szCs w:val="20"/>
              </w:rPr>
              <w:t>，否</w:t>
            </w:r>
            <w:r>
              <w:rPr>
                <w:szCs w:val="20"/>
              </w:rPr>
              <w:t>-N</w:t>
            </w:r>
            <w:r>
              <w:rPr>
                <w:rFonts w:hint="eastAsia"/>
                <w:szCs w:val="20"/>
              </w:rPr>
              <w:t>，默认为否，填写</w:t>
            </w:r>
            <w:r>
              <w:rPr>
                <w:szCs w:val="20"/>
              </w:rPr>
              <w:t>N</w:t>
            </w:r>
            <w:r>
              <w:rPr>
                <w:rFonts w:hint="eastAsia"/>
                <w:szCs w:val="20"/>
              </w:rPr>
              <w:t>。</w:t>
            </w:r>
          </w:p>
        </w:tc>
      </w:tr>
      <w:tr w:rsidR="00A052DC" w14:paraId="09CDDEB6" w14:textId="77777777">
        <w:trPr>
          <w:cantSplit/>
          <w:trHeight w:val="64"/>
        </w:trPr>
        <w:tc>
          <w:tcPr>
            <w:tcW w:w="1702" w:type="dxa"/>
          </w:tcPr>
          <w:p w14:paraId="1FC713A9" w14:textId="77777777" w:rsidR="00A052DC" w:rsidRDefault="009F0A60">
            <w:pPr>
              <w:pStyle w:val="B"/>
              <w:rPr>
                <w:szCs w:val="20"/>
              </w:rPr>
            </w:pPr>
            <w:r>
              <w:rPr>
                <w:szCs w:val="20"/>
              </w:rPr>
              <w:t>ANNINRATE</w:t>
            </w:r>
          </w:p>
        </w:tc>
        <w:tc>
          <w:tcPr>
            <w:tcW w:w="1701" w:type="dxa"/>
          </w:tcPr>
          <w:p w14:paraId="334A07A6" w14:textId="77777777" w:rsidR="00A052DC" w:rsidRDefault="009F0A60">
            <w:pPr>
              <w:pStyle w:val="B"/>
              <w:rPr>
                <w:szCs w:val="20"/>
              </w:rPr>
            </w:pPr>
            <w:r>
              <w:rPr>
                <w:rFonts w:hint="eastAsia"/>
                <w:szCs w:val="20"/>
              </w:rPr>
              <w:t>年化利率值</w:t>
            </w:r>
          </w:p>
        </w:tc>
        <w:tc>
          <w:tcPr>
            <w:tcW w:w="1417" w:type="dxa"/>
          </w:tcPr>
          <w:p w14:paraId="3A142932" w14:textId="77777777" w:rsidR="00A052DC" w:rsidRDefault="009F0A60">
            <w:pPr>
              <w:pStyle w:val="B"/>
              <w:rPr>
                <w:szCs w:val="20"/>
              </w:rPr>
            </w:pPr>
            <w:r>
              <w:rPr>
                <w:rFonts w:hint="eastAsia"/>
                <w:szCs w:val="20"/>
              </w:rPr>
              <w:t>数值型，</w:t>
            </w:r>
            <w:r>
              <w:rPr>
                <w:szCs w:val="20"/>
              </w:rPr>
              <w:t>13.8</w:t>
            </w:r>
          </w:p>
        </w:tc>
        <w:tc>
          <w:tcPr>
            <w:tcW w:w="3827" w:type="dxa"/>
          </w:tcPr>
          <w:p w14:paraId="327D3E5A" w14:textId="77777777" w:rsidR="00A052DC" w:rsidRDefault="009F0A60" w:rsidP="001D10D1">
            <w:pPr>
              <w:pStyle w:val="B"/>
              <w:rPr>
                <w:szCs w:val="20"/>
              </w:rPr>
            </w:pPr>
            <w:r>
              <w:rPr>
                <w:rFonts w:hint="eastAsia"/>
                <w:szCs w:val="20"/>
              </w:rPr>
              <w:t>必填项，大于等于</w:t>
            </w:r>
            <w:r>
              <w:rPr>
                <w:szCs w:val="20"/>
              </w:rPr>
              <w:t>0</w:t>
            </w:r>
            <w:r>
              <w:rPr>
                <w:rFonts w:hint="eastAsia"/>
                <w:szCs w:val="20"/>
              </w:rPr>
              <w:t>，按小数填写</w:t>
            </w:r>
            <w:r w:rsidR="001D10D1">
              <w:rPr>
                <w:rFonts w:hint="eastAsia"/>
                <w:szCs w:val="20"/>
              </w:rPr>
              <w:t>。</w:t>
            </w:r>
            <w:r>
              <w:rPr>
                <w:rFonts w:hint="eastAsia"/>
                <w:szCs w:val="20"/>
              </w:rPr>
              <w:t>如利率为</w:t>
            </w:r>
            <w:r>
              <w:rPr>
                <w:szCs w:val="20"/>
              </w:rPr>
              <w:t>3.21%</w:t>
            </w:r>
            <w:r>
              <w:rPr>
                <w:rFonts w:hint="eastAsia"/>
                <w:szCs w:val="20"/>
              </w:rPr>
              <w:t>，则填写</w:t>
            </w:r>
            <w:r>
              <w:rPr>
                <w:szCs w:val="20"/>
              </w:rPr>
              <w:t>0.0321</w:t>
            </w:r>
            <w:r>
              <w:rPr>
                <w:rFonts w:hint="eastAsia"/>
                <w:szCs w:val="20"/>
              </w:rPr>
              <w:t>。</w:t>
            </w:r>
          </w:p>
        </w:tc>
      </w:tr>
      <w:tr w:rsidR="00A052DC" w14:paraId="00995021" w14:textId="77777777">
        <w:tc>
          <w:tcPr>
            <w:tcW w:w="1702" w:type="dxa"/>
          </w:tcPr>
          <w:p w14:paraId="39E5A1B1" w14:textId="77777777" w:rsidR="00A052DC" w:rsidRDefault="009F0A60">
            <w:pPr>
              <w:pStyle w:val="B"/>
              <w:rPr>
                <w:szCs w:val="20"/>
              </w:rPr>
            </w:pPr>
            <w:r>
              <w:rPr>
                <w:szCs w:val="20"/>
              </w:rPr>
              <w:t>CREDITORCODE</w:t>
            </w:r>
          </w:p>
        </w:tc>
        <w:tc>
          <w:tcPr>
            <w:tcW w:w="1701" w:type="dxa"/>
          </w:tcPr>
          <w:p w14:paraId="3978D845" w14:textId="77777777" w:rsidR="00A052DC" w:rsidRDefault="009F0A60">
            <w:pPr>
              <w:pStyle w:val="B"/>
              <w:rPr>
                <w:szCs w:val="20"/>
              </w:rPr>
            </w:pPr>
            <w:r>
              <w:rPr>
                <w:rFonts w:hint="eastAsia"/>
                <w:szCs w:val="20"/>
              </w:rPr>
              <w:t>债权人代码</w:t>
            </w:r>
          </w:p>
        </w:tc>
        <w:tc>
          <w:tcPr>
            <w:tcW w:w="1417" w:type="dxa"/>
          </w:tcPr>
          <w:p w14:paraId="6C0DA827" w14:textId="77777777" w:rsidR="00A052DC" w:rsidRDefault="009F0A60">
            <w:pPr>
              <w:pStyle w:val="B"/>
              <w:rPr>
                <w:szCs w:val="20"/>
              </w:rPr>
            </w:pPr>
            <w:r>
              <w:rPr>
                <w:rFonts w:hint="eastAsia"/>
                <w:szCs w:val="20"/>
              </w:rPr>
              <w:t>字符型，</w:t>
            </w:r>
            <w:r>
              <w:rPr>
                <w:szCs w:val="20"/>
              </w:rPr>
              <w:t>11</w:t>
            </w:r>
          </w:p>
        </w:tc>
        <w:tc>
          <w:tcPr>
            <w:tcW w:w="3827" w:type="dxa"/>
          </w:tcPr>
          <w:p w14:paraId="62F8DF3F" w14:textId="77777777" w:rsidR="00A052DC" w:rsidRDefault="009F0A60">
            <w:pPr>
              <w:pStyle w:val="B"/>
              <w:rPr>
                <w:szCs w:val="20"/>
              </w:rPr>
            </w:pPr>
            <w:r>
              <w:rPr>
                <w:rFonts w:hint="eastAsia"/>
                <w:szCs w:val="20"/>
              </w:rPr>
              <w:t>非必填项。</w:t>
            </w:r>
          </w:p>
        </w:tc>
      </w:tr>
      <w:tr w:rsidR="00A052DC" w14:paraId="494BA688" w14:textId="77777777">
        <w:tc>
          <w:tcPr>
            <w:tcW w:w="1702" w:type="dxa"/>
          </w:tcPr>
          <w:p w14:paraId="14A3A61B" w14:textId="77777777" w:rsidR="00A052DC" w:rsidRDefault="009F0A60">
            <w:pPr>
              <w:pStyle w:val="B"/>
              <w:rPr>
                <w:szCs w:val="20"/>
              </w:rPr>
            </w:pPr>
            <w:r>
              <w:rPr>
                <w:szCs w:val="20"/>
              </w:rPr>
              <w:t>CREDITORNAME</w:t>
            </w:r>
          </w:p>
        </w:tc>
        <w:tc>
          <w:tcPr>
            <w:tcW w:w="1701" w:type="dxa"/>
          </w:tcPr>
          <w:p w14:paraId="6528226A" w14:textId="77777777" w:rsidR="00A052DC" w:rsidRDefault="009F0A60">
            <w:pPr>
              <w:pStyle w:val="B"/>
              <w:rPr>
                <w:szCs w:val="20"/>
              </w:rPr>
            </w:pPr>
            <w:r>
              <w:rPr>
                <w:rFonts w:hint="eastAsia"/>
                <w:szCs w:val="20"/>
              </w:rPr>
              <w:t>债权人中文名称</w:t>
            </w:r>
          </w:p>
        </w:tc>
        <w:tc>
          <w:tcPr>
            <w:tcW w:w="1417" w:type="dxa"/>
          </w:tcPr>
          <w:p w14:paraId="4FBD2239" w14:textId="77777777" w:rsidR="00A052DC" w:rsidRDefault="009F0A60">
            <w:pPr>
              <w:pStyle w:val="B"/>
              <w:rPr>
                <w:szCs w:val="20"/>
              </w:rPr>
            </w:pPr>
            <w:r>
              <w:rPr>
                <w:rFonts w:hint="eastAsia"/>
                <w:szCs w:val="20"/>
              </w:rPr>
              <w:t>字符型，</w:t>
            </w:r>
            <w:r>
              <w:rPr>
                <w:szCs w:val="20"/>
              </w:rPr>
              <w:t>128</w:t>
            </w:r>
          </w:p>
        </w:tc>
        <w:tc>
          <w:tcPr>
            <w:tcW w:w="3827" w:type="dxa"/>
          </w:tcPr>
          <w:p w14:paraId="25D6C178" w14:textId="77777777" w:rsidR="00A052DC" w:rsidRDefault="009F0A60">
            <w:pPr>
              <w:pStyle w:val="B"/>
              <w:rPr>
                <w:szCs w:val="20"/>
              </w:rPr>
            </w:pPr>
            <w:r>
              <w:rPr>
                <w:rFonts w:hint="eastAsia"/>
                <w:szCs w:val="20"/>
              </w:rPr>
              <w:t>非必填项，</w:t>
            </w:r>
          </w:p>
          <w:p w14:paraId="3AC8ED7D" w14:textId="77777777" w:rsidR="00A052DC" w:rsidRDefault="009F0A60">
            <w:pPr>
              <w:pStyle w:val="B"/>
              <w:rPr>
                <w:szCs w:val="20"/>
              </w:rPr>
            </w:pPr>
            <w:r>
              <w:rPr>
                <w:rFonts w:hint="eastAsia"/>
                <w:szCs w:val="20"/>
              </w:rPr>
              <w:t>债权人中文名称和债权人英文名称至少填写一个。</w:t>
            </w:r>
          </w:p>
        </w:tc>
      </w:tr>
      <w:tr w:rsidR="00A052DC" w14:paraId="5A4A5CFE" w14:textId="77777777">
        <w:tc>
          <w:tcPr>
            <w:tcW w:w="1702" w:type="dxa"/>
          </w:tcPr>
          <w:p w14:paraId="76408C3D" w14:textId="77777777" w:rsidR="00A052DC" w:rsidRDefault="009F0A60">
            <w:pPr>
              <w:pStyle w:val="B"/>
              <w:rPr>
                <w:szCs w:val="20"/>
              </w:rPr>
            </w:pPr>
            <w:r>
              <w:rPr>
                <w:szCs w:val="20"/>
              </w:rPr>
              <w:t>CREDITORNAMEN</w:t>
            </w:r>
          </w:p>
        </w:tc>
        <w:tc>
          <w:tcPr>
            <w:tcW w:w="1701" w:type="dxa"/>
          </w:tcPr>
          <w:p w14:paraId="25510263" w14:textId="77777777" w:rsidR="00A052DC" w:rsidRDefault="009F0A60">
            <w:pPr>
              <w:pStyle w:val="B"/>
              <w:rPr>
                <w:szCs w:val="20"/>
              </w:rPr>
            </w:pPr>
            <w:r>
              <w:rPr>
                <w:rFonts w:hint="eastAsia"/>
                <w:szCs w:val="20"/>
              </w:rPr>
              <w:t>债权人英文名称</w:t>
            </w:r>
          </w:p>
        </w:tc>
        <w:tc>
          <w:tcPr>
            <w:tcW w:w="1417" w:type="dxa"/>
          </w:tcPr>
          <w:p w14:paraId="2FD55E1E" w14:textId="77777777" w:rsidR="00A052DC" w:rsidRDefault="009F0A60">
            <w:pPr>
              <w:pStyle w:val="B"/>
              <w:rPr>
                <w:szCs w:val="20"/>
              </w:rPr>
            </w:pPr>
            <w:r>
              <w:rPr>
                <w:rFonts w:hint="eastAsia"/>
                <w:szCs w:val="20"/>
              </w:rPr>
              <w:t>字符型，</w:t>
            </w:r>
            <w:r>
              <w:rPr>
                <w:szCs w:val="20"/>
              </w:rPr>
              <w:t>128</w:t>
            </w:r>
          </w:p>
        </w:tc>
        <w:tc>
          <w:tcPr>
            <w:tcW w:w="3827" w:type="dxa"/>
          </w:tcPr>
          <w:p w14:paraId="278869AF" w14:textId="77777777" w:rsidR="00A052DC" w:rsidRDefault="009F0A60">
            <w:pPr>
              <w:pStyle w:val="B"/>
              <w:rPr>
                <w:szCs w:val="20"/>
              </w:rPr>
            </w:pPr>
            <w:r>
              <w:rPr>
                <w:rFonts w:hint="eastAsia"/>
                <w:szCs w:val="20"/>
              </w:rPr>
              <w:t>非必填项，</w:t>
            </w:r>
          </w:p>
          <w:p w14:paraId="374B2EAC" w14:textId="77777777" w:rsidR="00A052DC" w:rsidRDefault="009F0A60">
            <w:pPr>
              <w:pStyle w:val="B"/>
              <w:rPr>
                <w:szCs w:val="20"/>
              </w:rPr>
            </w:pPr>
            <w:r>
              <w:rPr>
                <w:rFonts w:hint="eastAsia"/>
                <w:szCs w:val="20"/>
              </w:rPr>
              <w:t>债权人中文名称和债权人英文名称至少填写一个。</w:t>
            </w:r>
          </w:p>
        </w:tc>
      </w:tr>
      <w:tr w:rsidR="00A052DC" w14:paraId="5319CA2B" w14:textId="77777777">
        <w:tc>
          <w:tcPr>
            <w:tcW w:w="1702" w:type="dxa"/>
          </w:tcPr>
          <w:p w14:paraId="71DE5450" w14:textId="77777777" w:rsidR="00A052DC" w:rsidRDefault="009F0A60">
            <w:pPr>
              <w:pStyle w:val="B"/>
              <w:rPr>
                <w:szCs w:val="20"/>
              </w:rPr>
            </w:pPr>
            <w:r>
              <w:rPr>
                <w:szCs w:val="20"/>
              </w:rPr>
              <w:t>CREDITORTYPE</w:t>
            </w:r>
          </w:p>
        </w:tc>
        <w:tc>
          <w:tcPr>
            <w:tcW w:w="1701" w:type="dxa"/>
          </w:tcPr>
          <w:p w14:paraId="79556B4F" w14:textId="77777777" w:rsidR="00A052DC" w:rsidRDefault="009F0A60">
            <w:pPr>
              <w:pStyle w:val="B"/>
              <w:rPr>
                <w:szCs w:val="20"/>
              </w:rPr>
            </w:pPr>
            <w:r>
              <w:rPr>
                <w:rFonts w:hint="eastAsia"/>
                <w:szCs w:val="20"/>
              </w:rPr>
              <w:t>债权人类型代码</w:t>
            </w:r>
          </w:p>
        </w:tc>
        <w:tc>
          <w:tcPr>
            <w:tcW w:w="1417" w:type="dxa"/>
          </w:tcPr>
          <w:p w14:paraId="5D02A56A" w14:textId="77777777" w:rsidR="00A052DC" w:rsidRDefault="009F0A60">
            <w:pPr>
              <w:pStyle w:val="B"/>
              <w:rPr>
                <w:szCs w:val="20"/>
              </w:rPr>
            </w:pPr>
            <w:r>
              <w:rPr>
                <w:rFonts w:hint="eastAsia"/>
                <w:szCs w:val="20"/>
              </w:rPr>
              <w:t>字符型，</w:t>
            </w:r>
            <w:r>
              <w:rPr>
                <w:szCs w:val="20"/>
              </w:rPr>
              <w:t>8</w:t>
            </w:r>
          </w:p>
        </w:tc>
        <w:tc>
          <w:tcPr>
            <w:tcW w:w="3827" w:type="dxa"/>
          </w:tcPr>
          <w:p w14:paraId="4990CD1E" w14:textId="77777777" w:rsidR="00A052DC" w:rsidRDefault="009F0A60">
            <w:pPr>
              <w:pStyle w:val="B"/>
              <w:rPr>
                <w:szCs w:val="20"/>
              </w:rPr>
            </w:pPr>
            <w:r>
              <w:rPr>
                <w:rFonts w:hint="eastAsia"/>
                <w:szCs w:val="20"/>
              </w:rPr>
              <w:t>必填项，见境外主体类型代码表。</w:t>
            </w:r>
          </w:p>
        </w:tc>
      </w:tr>
      <w:tr w:rsidR="00A052DC" w14:paraId="3D67876D" w14:textId="77777777">
        <w:tc>
          <w:tcPr>
            <w:tcW w:w="1702" w:type="dxa"/>
          </w:tcPr>
          <w:p w14:paraId="1F6DBE65" w14:textId="77777777" w:rsidR="00A052DC" w:rsidRDefault="009F0A60">
            <w:pPr>
              <w:pStyle w:val="B"/>
              <w:rPr>
                <w:szCs w:val="20"/>
              </w:rPr>
            </w:pPr>
            <w:r>
              <w:rPr>
                <w:szCs w:val="20"/>
              </w:rPr>
              <w:t>CREHQCODE</w:t>
            </w:r>
          </w:p>
        </w:tc>
        <w:tc>
          <w:tcPr>
            <w:tcW w:w="1701" w:type="dxa"/>
          </w:tcPr>
          <w:p w14:paraId="502DFC50" w14:textId="77777777" w:rsidR="00A052DC" w:rsidRDefault="009F0A60">
            <w:pPr>
              <w:pStyle w:val="B"/>
              <w:rPr>
                <w:szCs w:val="20"/>
              </w:rPr>
            </w:pPr>
            <w:r>
              <w:rPr>
                <w:rFonts w:hint="eastAsia"/>
                <w:szCs w:val="20"/>
              </w:rPr>
              <w:t>债权人总部所在国家（地区）代码</w:t>
            </w:r>
          </w:p>
        </w:tc>
        <w:tc>
          <w:tcPr>
            <w:tcW w:w="1417" w:type="dxa"/>
          </w:tcPr>
          <w:p w14:paraId="0F3557D1" w14:textId="77777777" w:rsidR="00A052DC" w:rsidRDefault="009F0A60">
            <w:pPr>
              <w:pStyle w:val="B"/>
              <w:rPr>
                <w:szCs w:val="20"/>
              </w:rPr>
            </w:pPr>
            <w:r>
              <w:rPr>
                <w:rFonts w:hint="eastAsia"/>
                <w:szCs w:val="20"/>
              </w:rPr>
              <w:t>字符型，</w:t>
            </w:r>
            <w:r>
              <w:rPr>
                <w:szCs w:val="20"/>
              </w:rPr>
              <w:t>3</w:t>
            </w:r>
          </w:p>
        </w:tc>
        <w:tc>
          <w:tcPr>
            <w:tcW w:w="3827" w:type="dxa"/>
          </w:tcPr>
          <w:p w14:paraId="0C769CBC" w14:textId="77777777" w:rsidR="00A052DC" w:rsidRDefault="009F0A60">
            <w:pPr>
              <w:pStyle w:val="B"/>
              <w:rPr>
                <w:szCs w:val="20"/>
              </w:rPr>
            </w:pPr>
            <w:r>
              <w:rPr>
                <w:rFonts w:hint="eastAsia"/>
                <w:szCs w:val="20"/>
              </w:rPr>
              <w:t>必填项，见国家和地区代码表。</w:t>
            </w:r>
          </w:p>
        </w:tc>
      </w:tr>
      <w:tr w:rsidR="00A052DC" w14:paraId="20469ABD" w14:textId="77777777">
        <w:tc>
          <w:tcPr>
            <w:tcW w:w="1702" w:type="dxa"/>
          </w:tcPr>
          <w:p w14:paraId="47C3441A" w14:textId="77777777" w:rsidR="00A052DC" w:rsidRDefault="009F0A60">
            <w:pPr>
              <w:pStyle w:val="B"/>
              <w:rPr>
                <w:szCs w:val="20"/>
              </w:rPr>
            </w:pPr>
            <w:r>
              <w:rPr>
                <w:szCs w:val="20"/>
              </w:rPr>
              <w:t>OPERCODE</w:t>
            </w:r>
          </w:p>
        </w:tc>
        <w:tc>
          <w:tcPr>
            <w:tcW w:w="1701" w:type="dxa"/>
          </w:tcPr>
          <w:p w14:paraId="29187BAE" w14:textId="77777777" w:rsidR="00A052DC" w:rsidRDefault="009F0A60">
            <w:pPr>
              <w:pStyle w:val="B"/>
              <w:rPr>
                <w:szCs w:val="20"/>
              </w:rPr>
            </w:pPr>
            <w:r>
              <w:rPr>
                <w:rFonts w:hint="eastAsia"/>
                <w:szCs w:val="20"/>
              </w:rPr>
              <w:t>债权人经营地所在国家（地区）代码</w:t>
            </w:r>
          </w:p>
        </w:tc>
        <w:tc>
          <w:tcPr>
            <w:tcW w:w="1417" w:type="dxa"/>
          </w:tcPr>
          <w:p w14:paraId="2B4D7AB5" w14:textId="77777777" w:rsidR="00A052DC" w:rsidRDefault="009F0A60">
            <w:pPr>
              <w:pStyle w:val="B"/>
              <w:rPr>
                <w:szCs w:val="20"/>
              </w:rPr>
            </w:pPr>
            <w:r>
              <w:rPr>
                <w:rFonts w:hint="eastAsia"/>
                <w:szCs w:val="20"/>
              </w:rPr>
              <w:t>字符型，</w:t>
            </w:r>
            <w:r>
              <w:rPr>
                <w:szCs w:val="20"/>
              </w:rPr>
              <w:t>3</w:t>
            </w:r>
          </w:p>
        </w:tc>
        <w:tc>
          <w:tcPr>
            <w:tcW w:w="3827" w:type="dxa"/>
          </w:tcPr>
          <w:p w14:paraId="566949F2" w14:textId="77777777" w:rsidR="00A052DC" w:rsidRDefault="009F0A60">
            <w:pPr>
              <w:pStyle w:val="B"/>
              <w:rPr>
                <w:szCs w:val="20"/>
              </w:rPr>
            </w:pPr>
            <w:r>
              <w:rPr>
                <w:rFonts w:hint="eastAsia"/>
                <w:szCs w:val="20"/>
              </w:rPr>
              <w:t>必填项，见国家和地区代码表。当债权人类型代码不为“境内银行离岸部（20001403）”时,不能为中国CHN。</w:t>
            </w:r>
          </w:p>
        </w:tc>
      </w:tr>
      <w:tr w:rsidR="00A052DC" w14:paraId="7BB946A2" w14:textId="77777777">
        <w:tc>
          <w:tcPr>
            <w:tcW w:w="1702" w:type="dxa"/>
          </w:tcPr>
          <w:p w14:paraId="4FAB059F" w14:textId="77777777" w:rsidR="00A052DC" w:rsidRDefault="009F0A60">
            <w:pPr>
              <w:pStyle w:val="B"/>
              <w:rPr>
                <w:szCs w:val="20"/>
              </w:rPr>
            </w:pPr>
            <w:r>
              <w:rPr>
                <w:szCs w:val="20"/>
              </w:rPr>
              <w:t>SPAPFEBOINDEX</w:t>
            </w:r>
          </w:p>
        </w:tc>
        <w:tc>
          <w:tcPr>
            <w:tcW w:w="1701" w:type="dxa"/>
          </w:tcPr>
          <w:p w14:paraId="6F03911B" w14:textId="77777777" w:rsidR="00A052DC" w:rsidRDefault="009F0A60">
            <w:pPr>
              <w:pStyle w:val="B"/>
              <w:rPr>
                <w:szCs w:val="20"/>
              </w:rPr>
            </w:pPr>
            <w:r>
              <w:rPr>
                <w:rFonts w:hint="eastAsia"/>
                <w:szCs w:val="20"/>
              </w:rPr>
              <w:t>是否不纳入跨境融资风险加权余额计算</w:t>
            </w:r>
          </w:p>
        </w:tc>
        <w:tc>
          <w:tcPr>
            <w:tcW w:w="1417" w:type="dxa"/>
          </w:tcPr>
          <w:p w14:paraId="76E2ABAC" w14:textId="77777777" w:rsidR="00A052DC" w:rsidRDefault="009F0A60">
            <w:pPr>
              <w:pStyle w:val="B"/>
              <w:rPr>
                <w:szCs w:val="20"/>
              </w:rPr>
            </w:pPr>
            <w:r>
              <w:rPr>
                <w:rFonts w:hint="eastAsia"/>
                <w:szCs w:val="20"/>
              </w:rPr>
              <w:t>字符型，</w:t>
            </w:r>
            <w:r>
              <w:rPr>
                <w:szCs w:val="20"/>
              </w:rPr>
              <w:t>1</w:t>
            </w:r>
          </w:p>
        </w:tc>
        <w:tc>
          <w:tcPr>
            <w:tcW w:w="3827" w:type="dxa"/>
          </w:tcPr>
          <w:p w14:paraId="70E0D0DB" w14:textId="77777777" w:rsidR="00A052DC" w:rsidRDefault="009F0A60">
            <w:pPr>
              <w:pStyle w:val="B"/>
              <w:rPr>
                <w:szCs w:val="20"/>
              </w:rPr>
            </w:pPr>
            <w:r>
              <w:rPr>
                <w:rFonts w:hint="eastAsia"/>
                <w:szCs w:val="20"/>
              </w:rPr>
              <w:t>必填项，是</w:t>
            </w:r>
            <w:r>
              <w:rPr>
                <w:szCs w:val="20"/>
              </w:rPr>
              <w:t>-Y</w:t>
            </w:r>
            <w:r>
              <w:rPr>
                <w:rFonts w:hint="eastAsia"/>
                <w:szCs w:val="20"/>
              </w:rPr>
              <w:t>，否</w:t>
            </w:r>
            <w:r>
              <w:rPr>
                <w:szCs w:val="20"/>
              </w:rPr>
              <w:t>-N</w:t>
            </w:r>
            <w:r>
              <w:rPr>
                <w:rFonts w:hint="eastAsia"/>
                <w:szCs w:val="20"/>
              </w:rPr>
              <w:t>，默认为否，填写</w:t>
            </w:r>
            <w:r>
              <w:rPr>
                <w:szCs w:val="20"/>
              </w:rPr>
              <w:t>N</w:t>
            </w:r>
            <w:r>
              <w:rPr>
                <w:rFonts w:hint="eastAsia"/>
                <w:szCs w:val="20"/>
              </w:rPr>
              <w:t>。</w:t>
            </w:r>
          </w:p>
        </w:tc>
      </w:tr>
      <w:tr w:rsidR="00A052DC" w14:paraId="2AA335F9" w14:textId="77777777">
        <w:tc>
          <w:tcPr>
            <w:tcW w:w="1702" w:type="dxa"/>
          </w:tcPr>
          <w:p w14:paraId="0DD7B668" w14:textId="77777777" w:rsidR="00A052DC" w:rsidRDefault="009F0A60">
            <w:pPr>
              <w:pStyle w:val="B"/>
              <w:rPr>
                <w:szCs w:val="20"/>
              </w:rPr>
            </w:pPr>
            <w:r>
              <w:rPr>
                <w:szCs w:val="20"/>
              </w:rPr>
              <w:t>DEPTYPE</w:t>
            </w:r>
          </w:p>
        </w:tc>
        <w:tc>
          <w:tcPr>
            <w:tcW w:w="1701" w:type="dxa"/>
          </w:tcPr>
          <w:p w14:paraId="277D6982" w14:textId="77777777" w:rsidR="00A052DC" w:rsidRDefault="009F0A60">
            <w:pPr>
              <w:pStyle w:val="B"/>
              <w:rPr>
                <w:szCs w:val="20"/>
              </w:rPr>
            </w:pPr>
            <w:r>
              <w:rPr>
                <w:rFonts w:hint="eastAsia"/>
                <w:szCs w:val="20"/>
              </w:rPr>
              <w:t>存款业务类别</w:t>
            </w:r>
          </w:p>
        </w:tc>
        <w:tc>
          <w:tcPr>
            <w:tcW w:w="1417" w:type="dxa"/>
          </w:tcPr>
          <w:p w14:paraId="11455CC6" w14:textId="77777777" w:rsidR="00A052DC" w:rsidRDefault="009F0A60">
            <w:pPr>
              <w:pStyle w:val="B"/>
              <w:rPr>
                <w:szCs w:val="20"/>
              </w:rPr>
            </w:pPr>
            <w:r>
              <w:rPr>
                <w:rFonts w:hint="eastAsia"/>
                <w:szCs w:val="20"/>
              </w:rPr>
              <w:t>整数型</w:t>
            </w:r>
          </w:p>
        </w:tc>
        <w:tc>
          <w:tcPr>
            <w:tcW w:w="3827" w:type="dxa"/>
          </w:tcPr>
          <w:p w14:paraId="2D04C26A" w14:textId="77777777" w:rsidR="00A052DC" w:rsidRDefault="009F0A60">
            <w:pPr>
              <w:pStyle w:val="B"/>
              <w:rPr>
                <w:szCs w:val="20"/>
              </w:rPr>
            </w:pPr>
            <w:r>
              <w:rPr>
                <w:rFonts w:hint="eastAsia"/>
                <w:szCs w:val="20"/>
              </w:rPr>
              <w:t>必填项，</w:t>
            </w:r>
            <w:r>
              <w:rPr>
                <w:szCs w:val="20"/>
              </w:rPr>
              <w:t>1-</w:t>
            </w:r>
            <w:r>
              <w:rPr>
                <w:rFonts w:hint="eastAsia"/>
                <w:szCs w:val="20"/>
              </w:rPr>
              <w:t>存款、</w:t>
            </w:r>
            <w:r>
              <w:rPr>
                <w:szCs w:val="20"/>
              </w:rPr>
              <w:t>2-</w:t>
            </w:r>
            <w:r>
              <w:rPr>
                <w:rFonts w:hint="eastAsia"/>
                <w:szCs w:val="20"/>
              </w:rPr>
              <w:t>账户金。</w:t>
            </w:r>
          </w:p>
        </w:tc>
      </w:tr>
      <w:tr w:rsidR="00A052DC" w14:paraId="51E032BD" w14:textId="77777777">
        <w:tc>
          <w:tcPr>
            <w:tcW w:w="1702" w:type="dxa"/>
          </w:tcPr>
          <w:p w14:paraId="525A66A6" w14:textId="77777777" w:rsidR="00A052DC" w:rsidRDefault="009F0A60">
            <w:pPr>
              <w:pStyle w:val="B"/>
              <w:rPr>
                <w:szCs w:val="20"/>
              </w:rPr>
            </w:pPr>
            <w:r>
              <w:rPr>
                <w:szCs w:val="20"/>
              </w:rPr>
              <w:t>RELATION</w:t>
            </w:r>
          </w:p>
        </w:tc>
        <w:tc>
          <w:tcPr>
            <w:tcW w:w="1701" w:type="dxa"/>
          </w:tcPr>
          <w:p w14:paraId="7120DC4C" w14:textId="77777777" w:rsidR="00A052DC" w:rsidRDefault="009F0A60">
            <w:pPr>
              <w:pStyle w:val="B"/>
              <w:rPr>
                <w:szCs w:val="20"/>
              </w:rPr>
            </w:pPr>
            <w:r>
              <w:rPr>
                <w:rFonts w:hint="eastAsia"/>
                <w:szCs w:val="20"/>
              </w:rPr>
              <w:t>对方与本机构的关系</w:t>
            </w:r>
          </w:p>
        </w:tc>
        <w:tc>
          <w:tcPr>
            <w:tcW w:w="1417" w:type="dxa"/>
          </w:tcPr>
          <w:p w14:paraId="14B04254" w14:textId="77777777" w:rsidR="00A052DC" w:rsidRDefault="009F0A60">
            <w:pPr>
              <w:pStyle w:val="B"/>
              <w:rPr>
                <w:szCs w:val="20"/>
              </w:rPr>
            </w:pPr>
            <w:r>
              <w:rPr>
                <w:rFonts w:hint="eastAsia"/>
                <w:szCs w:val="20"/>
              </w:rPr>
              <w:t>字符型，</w:t>
            </w:r>
            <w:r>
              <w:rPr>
                <w:szCs w:val="20"/>
              </w:rPr>
              <w:t>2</w:t>
            </w:r>
          </w:p>
        </w:tc>
        <w:tc>
          <w:tcPr>
            <w:tcW w:w="3827" w:type="dxa"/>
          </w:tcPr>
          <w:p w14:paraId="48ED4796" w14:textId="77777777" w:rsidR="00A052DC" w:rsidRDefault="009F0A60">
            <w:pPr>
              <w:pStyle w:val="B"/>
              <w:rPr>
                <w:szCs w:val="20"/>
              </w:rPr>
            </w:pPr>
            <w:r>
              <w:rPr>
                <w:rFonts w:hint="eastAsia"/>
                <w:szCs w:val="20"/>
              </w:rPr>
              <w:t>必填项，见对方与本机构</w:t>
            </w:r>
            <w:r>
              <w:rPr>
                <w:szCs w:val="20"/>
              </w:rPr>
              <w:t>/</w:t>
            </w:r>
            <w:r>
              <w:rPr>
                <w:rFonts w:hint="eastAsia"/>
                <w:szCs w:val="20"/>
              </w:rPr>
              <w:t>被代理居民机构</w:t>
            </w:r>
            <w:r>
              <w:rPr>
                <w:szCs w:val="20"/>
              </w:rPr>
              <w:t>/</w:t>
            </w:r>
            <w:r>
              <w:rPr>
                <w:rFonts w:hint="eastAsia"/>
                <w:szCs w:val="20"/>
              </w:rPr>
              <w:t>委托人的关系代码表。</w:t>
            </w:r>
          </w:p>
        </w:tc>
      </w:tr>
      <w:tr w:rsidR="00A052DC" w14:paraId="61171376" w14:textId="77777777">
        <w:tc>
          <w:tcPr>
            <w:tcW w:w="1702" w:type="dxa"/>
          </w:tcPr>
          <w:p w14:paraId="2107500F" w14:textId="77777777" w:rsidR="00A052DC" w:rsidRDefault="009F0A60">
            <w:pPr>
              <w:pStyle w:val="B"/>
              <w:rPr>
                <w:szCs w:val="20"/>
              </w:rPr>
            </w:pPr>
            <w:r>
              <w:rPr>
                <w:szCs w:val="20"/>
              </w:rPr>
              <w:t>ORIGINALPERIOD</w:t>
            </w:r>
          </w:p>
        </w:tc>
        <w:tc>
          <w:tcPr>
            <w:tcW w:w="1701" w:type="dxa"/>
          </w:tcPr>
          <w:p w14:paraId="3097094C" w14:textId="77777777" w:rsidR="00A052DC" w:rsidRDefault="009F0A60">
            <w:pPr>
              <w:pStyle w:val="B"/>
              <w:rPr>
                <w:szCs w:val="20"/>
              </w:rPr>
            </w:pPr>
            <w:r>
              <w:rPr>
                <w:rFonts w:hint="eastAsia"/>
                <w:szCs w:val="20"/>
              </w:rPr>
              <w:t>原始期限</w:t>
            </w:r>
          </w:p>
        </w:tc>
        <w:tc>
          <w:tcPr>
            <w:tcW w:w="1417" w:type="dxa"/>
          </w:tcPr>
          <w:p w14:paraId="2D4C64C7" w14:textId="77777777" w:rsidR="00A052DC" w:rsidRDefault="009F0A60">
            <w:pPr>
              <w:pStyle w:val="B"/>
              <w:rPr>
                <w:szCs w:val="20"/>
              </w:rPr>
            </w:pPr>
            <w:r>
              <w:rPr>
                <w:rFonts w:hint="eastAsia"/>
                <w:szCs w:val="20"/>
              </w:rPr>
              <w:t>整数型</w:t>
            </w:r>
          </w:p>
        </w:tc>
        <w:tc>
          <w:tcPr>
            <w:tcW w:w="3827" w:type="dxa"/>
          </w:tcPr>
          <w:p w14:paraId="66C2FAA9" w14:textId="77777777" w:rsidR="00A052DC" w:rsidRDefault="009F0A60">
            <w:pPr>
              <w:pStyle w:val="B"/>
              <w:rPr>
                <w:szCs w:val="20"/>
              </w:rPr>
            </w:pPr>
            <w:r>
              <w:rPr>
                <w:rFonts w:hint="eastAsia"/>
                <w:szCs w:val="20"/>
              </w:rPr>
              <w:t>必填项，包括：</w:t>
            </w:r>
            <w:r>
              <w:rPr>
                <w:szCs w:val="20"/>
              </w:rPr>
              <w:t>1-</w:t>
            </w:r>
            <w:r>
              <w:rPr>
                <w:rFonts w:hint="eastAsia"/>
                <w:szCs w:val="20"/>
              </w:rPr>
              <w:t>一年及以下（含活期或不定期）、</w:t>
            </w:r>
            <w:r>
              <w:rPr>
                <w:szCs w:val="20"/>
              </w:rPr>
              <w:t>2-</w:t>
            </w:r>
            <w:r>
              <w:rPr>
                <w:rFonts w:hint="eastAsia"/>
                <w:szCs w:val="20"/>
              </w:rPr>
              <w:t>一年以上。</w:t>
            </w:r>
          </w:p>
        </w:tc>
      </w:tr>
      <w:tr w:rsidR="00A052DC" w14:paraId="35BEA008" w14:textId="77777777">
        <w:tc>
          <w:tcPr>
            <w:tcW w:w="1702" w:type="dxa"/>
            <w:tcBorders>
              <w:top w:val="single" w:sz="4" w:space="0" w:color="auto"/>
              <w:left w:val="single" w:sz="4" w:space="0" w:color="auto"/>
              <w:bottom w:val="single" w:sz="4" w:space="0" w:color="auto"/>
              <w:right w:val="single" w:sz="4" w:space="0" w:color="auto"/>
            </w:tcBorders>
          </w:tcPr>
          <w:p w14:paraId="4D528F8D" w14:textId="77777777" w:rsidR="00A052DC" w:rsidRDefault="009F0A60">
            <w:pPr>
              <w:pStyle w:val="B"/>
              <w:rPr>
                <w:szCs w:val="20"/>
              </w:rPr>
            </w:pPr>
            <w:r>
              <w:rPr>
                <w:szCs w:val="20"/>
              </w:rPr>
              <w:t>REMARK</w:t>
            </w:r>
          </w:p>
        </w:tc>
        <w:tc>
          <w:tcPr>
            <w:tcW w:w="1701" w:type="dxa"/>
            <w:tcBorders>
              <w:top w:val="single" w:sz="4" w:space="0" w:color="auto"/>
              <w:left w:val="single" w:sz="4" w:space="0" w:color="auto"/>
              <w:bottom w:val="single" w:sz="4" w:space="0" w:color="auto"/>
              <w:right w:val="single" w:sz="4" w:space="0" w:color="auto"/>
            </w:tcBorders>
          </w:tcPr>
          <w:p w14:paraId="7359ED76" w14:textId="77777777" w:rsidR="00A052DC" w:rsidRDefault="009F0A60">
            <w:pPr>
              <w:pStyle w:val="B"/>
              <w:rPr>
                <w:szCs w:val="20"/>
              </w:rPr>
            </w:pPr>
            <w:r>
              <w:rPr>
                <w:rFonts w:hint="eastAsia"/>
                <w:szCs w:val="20"/>
              </w:rPr>
              <w:t>备注</w:t>
            </w:r>
          </w:p>
        </w:tc>
        <w:tc>
          <w:tcPr>
            <w:tcW w:w="1417" w:type="dxa"/>
            <w:tcBorders>
              <w:top w:val="single" w:sz="4" w:space="0" w:color="auto"/>
              <w:left w:val="single" w:sz="4" w:space="0" w:color="auto"/>
              <w:bottom w:val="single" w:sz="4" w:space="0" w:color="auto"/>
              <w:right w:val="single" w:sz="4" w:space="0" w:color="auto"/>
            </w:tcBorders>
          </w:tcPr>
          <w:p w14:paraId="5BF7AE85" w14:textId="77777777" w:rsidR="00A052DC" w:rsidRDefault="009F0A60">
            <w:pPr>
              <w:pStyle w:val="B"/>
              <w:rPr>
                <w:szCs w:val="20"/>
              </w:rPr>
            </w:pPr>
            <w:r>
              <w:rPr>
                <w:rFonts w:hint="eastAsia"/>
                <w:szCs w:val="20"/>
              </w:rPr>
              <w:t>字符型，</w:t>
            </w:r>
            <w:r>
              <w:rPr>
                <w:szCs w:val="20"/>
              </w:rPr>
              <w:t>256</w:t>
            </w:r>
          </w:p>
        </w:tc>
        <w:tc>
          <w:tcPr>
            <w:tcW w:w="3827" w:type="dxa"/>
            <w:tcBorders>
              <w:top w:val="single" w:sz="4" w:space="0" w:color="auto"/>
              <w:left w:val="single" w:sz="4" w:space="0" w:color="auto"/>
              <w:bottom w:val="single" w:sz="4" w:space="0" w:color="auto"/>
              <w:right w:val="single" w:sz="4" w:space="0" w:color="auto"/>
            </w:tcBorders>
          </w:tcPr>
          <w:p w14:paraId="47EEF876" w14:textId="77777777" w:rsidR="00A052DC" w:rsidRDefault="009F0A60">
            <w:pPr>
              <w:pStyle w:val="B"/>
              <w:rPr>
                <w:szCs w:val="20"/>
              </w:rPr>
            </w:pPr>
            <w:r>
              <w:rPr>
                <w:rFonts w:hint="eastAsia"/>
                <w:szCs w:val="20"/>
              </w:rPr>
              <w:t>非必填项。</w:t>
            </w:r>
          </w:p>
        </w:tc>
      </w:tr>
    </w:tbl>
    <w:p w14:paraId="6D0E3296" w14:textId="77777777" w:rsidR="00A052DC" w:rsidRDefault="009F0A60">
      <w:pPr>
        <w:pStyle w:val="4"/>
        <w:numPr>
          <w:ilvl w:val="3"/>
          <w:numId w:val="1"/>
        </w:numPr>
        <w:jc w:val="left"/>
      </w:pPr>
      <w:bookmarkStart w:id="1562" w:name="_Toc454386924"/>
      <w:bookmarkStart w:id="1563" w:name="_Toc328635494"/>
      <w:r>
        <w:rPr>
          <w:rFonts w:hint="eastAsia"/>
        </w:rPr>
        <w:t>非居民机构存款</w:t>
      </w:r>
      <w:bookmarkEnd w:id="1562"/>
      <w:bookmarkEnd w:id="1563"/>
    </w:p>
    <w:p w14:paraId="54B7A2F8" w14:textId="77777777" w:rsidR="00A052DC" w:rsidRDefault="009F0A60" w:rsidP="0020251D">
      <w:pPr>
        <w:pStyle w:val="5"/>
        <w:numPr>
          <w:ilvl w:val="4"/>
          <w:numId w:val="1"/>
        </w:numPr>
        <w:spacing w:before="120" w:after="120" w:line="360" w:lineRule="auto"/>
        <w:jc w:val="left"/>
      </w:pPr>
      <w:bookmarkStart w:id="1564" w:name="_Toc454386925"/>
      <w:r>
        <w:rPr>
          <w:rFonts w:hint="eastAsia"/>
        </w:rPr>
        <w:t>数据术语解释</w:t>
      </w:r>
      <w:bookmarkEnd w:id="1564"/>
    </w:p>
    <w:tbl>
      <w:tblPr>
        <w:tblW w:w="84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26"/>
        <w:gridCol w:w="6946"/>
      </w:tblGrid>
      <w:tr w:rsidR="00A052DC" w14:paraId="41494E6A" w14:textId="77777777">
        <w:tc>
          <w:tcPr>
            <w:tcW w:w="1526" w:type="dxa"/>
          </w:tcPr>
          <w:p w14:paraId="23F3F550" w14:textId="77777777" w:rsidR="00A052DC" w:rsidRDefault="009F0A60">
            <w:pPr>
              <w:pStyle w:val="B1"/>
              <w:rPr>
                <w:u w:val="single"/>
              </w:rPr>
            </w:pPr>
            <w:r>
              <w:rPr>
                <w:rFonts w:hint="eastAsia"/>
              </w:rPr>
              <w:t>基础数据项</w:t>
            </w:r>
          </w:p>
        </w:tc>
        <w:tc>
          <w:tcPr>
            <w:tcW w:w="6946" w:type="dxa"/>
          </w:tcPr>
          <w:p w14:paraId="6116C325" w14:textId="77777777" w:rsidR="00A052DC" w:rsidRDefault="009F0A60">
            <w:pPr>
              <w:pStyle w:val="B1"/>
            </w:pPr>
            <w:r>
              <w:rPr>
                <w:rFonts w:hint="eastAsia"/>
              </w:rPr>
              <w:t>定义</w:t>
            </w:r>
          </w:p>
        </w:tc>
      </w:tr>
      <w:tr w:rsidR="00A052DC" w14:paraId="012F7A14" w14:textId="77777777">
        <w:trPr>
          <w:cantSplit/>
          <w:trHeight w:val="157"/>
        </w:trPr>
        <w:tc>
          <w:tcPr>
            <w:tcW w:w="1526" w:type="dxa"/>
          </w:tcPr>
          <w:p w14:paraId="34520888" w14:textId="77777777" w:rsidR="00A052DC" w:rsidRDefault="009F0A60">
            <w:pPr>
              <w:pStyle w:val="B"/>
            </w:pPr>
            <w:r>
              <w:rPr>
                <w:rFonts w:hint="eastAsia"/>
              </w:rPr>
              <w:t>外债编号</w:t>
            </w:r>
          </w:p>
        </w:tc>
        <w:tc>
          <w:tcPr>
            <w:tcW w:w="6946" w:type="dxa"/>
          </w:tcPr>
          <w:p w14:paraId="4A1E22F2" w14:textId="77777777" w:rsidR="00A052DC" w:rsidRDefault="009F0A60">
            <w:pPr>
              <w:pStyle w:val="B"/>
            </w:pPr>
            <w:r>
              <w:rPr>
                <w:rFonts w:hint="eastAsia"/>
              </w:rPr>
              <w:t>外汇局制定统一编号规则，银行自行对每一笔外债编号，用于唯一标识该笔外债。银行外债编号共计</w:t>
            </w:r>
            <w:r>
              <w:t>28</w:t>
            </w:r>
            <w:r>
              <w:rPr>
                <w:rFonts w:hint="eastAsia"/>
              </w:rPr>
              <w:t>位。第</w:t>
            </w:r>
            <w:r>
              <w:t>1</w:t>
            </w:r>
            <w:r>
              <w:rPr>
                <w:rFonts w:hint="eastAsia"/>
              </w:rPr>
              <w:t>至</w:t>
            </w:r>
            <w:r>
              <w:t>2</w:t>
            </w:r>
            <w:r>
              <w:rPr>
                <w:rFonts w:hint="eastAsia"/>
              </w:rPr>
              <w:t>位为业务类型标识，第</w:t>
            </w:r>
            <w:r>
              <w:t>3</w:t>
            </w:r>
            <w:r>
              <w:rPr>
                <w:rFonts w:hint="eastAsia"/>
              </w:rPr>
              <w:t>位至</w:t>
            </w:r>
            <w:r>
              <w:t>14</w:t>
            </w:r>
            <w:r>
              <w:rPr>
                <w:rFonts w:hint="eastAsia"/>
              </w:rPr>
              <w:t>位为银行金融机构标识码</w:t>
            </w:r>
            <w:r>
              <w:t>;</w:t>
            </w:r>
            <w:r>
              <w:rPr>
                <w:rFonts w:hint="eastAsia"/>
              </w:rPr>
              <w:t>第</w:t>
            </w:r>
            <w:r>
              <w:t>15</w:t>
            </w:r>
            <w:r>
              <w:rPr>
                <w:rFonts w:hint="eastAsia"/>
              </w:rPr>
              <w:t>至</w:t>
            </w:r>
            <w:r>
              <w:t>22</w:t>
            </w:r>
            <w:r>
              <w:rPr>
                <w:rFonts w:hint="eastAsia"/>
              </w:rPr>
              <w:t>位为</w:t>
            </w:r>
            <w:r>
              <w:t>8</w:t>
            </w:r>
            <w:r>
              <w:rPr>
                <w:rFonts w:hint="eastAsia"/>
              </w:rPr>
              <w:t>位年月日数字（</w:t>
            </w:r>
            <w:r>
              <w:t>20110701</w:t>
            </w:r>
            <w:r>
              <w:rPr>
                <w:rFonts w:hint="eastAsia"/>
              </w:rPr>
              <w:t>）</w:t>
            </w:r>
            <w:r>
              <w:t>;</w:t>
            </w:r>
            <w:r>
              <w:rPr>
                <w:rFonts w:hint="eastAsia"/>
              </w:rPr>
              <w:t>第</w:t>
            </w:r>
            <w:r>
              <w:t>23</w:t>
            </w:r>
            <w:r>
              <w:rPr>
                <w:rFonts w:hint="eastAsia"/>
              </w:rPr>
              <w:t>至</w:t>
            </w:r>
            <w:r>
              <w:t>28</w:t>
            </w:r>
            <w:r>
              <w:rPr>
                <w:rFonts w:hint="eastAsia"/>
              </w:rPr>
              <w:t>位为该笔业务的流水号（流水码编制规则：从</w:t>
            </w:r>
            <w:r>
              <w:t>000001</w:t>
            </w:r>
            <w:r>
              <w:rPr>
                <w:rFonts w:hint="eastAsia"/>
              </w:rPr>
              <w:t>～</w:t>
            </w:r>
            <w:r>
              <w:t>999999</w:t>
            </w:r>
            <w:r>
              <w:rPr>
                <w:rFonts w:hint="eastAsia"/>
              </w:rPr>
              <w:t>）。银行新发生一笔外债业务时，需为该笔外债编制外债编号，同一笔外债发生变更或展期时，不作为一笔新业务进行登记，发生展期时，变更到期日。</w:t>
            </w:r>
          </w:p>
        </w:tc>
      </w:tr>
      <w:tr w:rsidR="00A052DC" w14:paraId="17FA1C29" w14:textId="77777777">
        <w:trPr>
          <w:cantSplit/>
          <w:trHeight w:val="157"/>
        </w:trPr>
        <w:tc>
          <w:tcPr>
            <w:tcW w:w="1526" w:type="dxa"/>
          </w:tcPr>
          <w:p w14:paraId="156B14C7" w14:textId="77777777" w:rsidR="00A052DC" w:rsidRDefault="009F0A60">
            <w:pPr>
              <w:pStyle w:val="B"/>
            </w:pPr>
            <w:r>
              <w:rPr>
                <w:rFonts w:hint="eastAsia"/>
              </w:rPr>
              <w:t>账户类型</w:t>
            </w:r>
          </w:p>
        </w:tc>
        <w:tc>
          <w:tcPr>
            <w:tcW w:w="6946" w:type="dxa"/>
          </w:tcPr>
          <w:p w14:paraId="4808E305" w14:textId="77777777" w:rsidR="00A052DC" w:rsidRDefault="009F0A60">
            <w:pPr>
              <w:pStyle w:val="B"/>
            </w:pPr>
            <w:r>
              <w:rPr>
                <w:rFonts w:hint="eastAsia"/>
              </w:rPr>
              <w:t>包括：</w:t>
            </w:r>
            <w:r>
              <w:t>NRA</w:t>
            </w:r>
            <w:r>
              <w:rPr>
                <w:rFonts w:hint="eastAsia"/>
              </w:rPr>
              <w:t>非居民账户、</w:t>
            </w:r>
            <w:r>
              <w:t>OSA</w:t>
            </w:r>
            <w:r>
              <w:rPr>
                <w:rFonts w:hint="eastAsia"/>
              </w:rPr>
              <w:t>离岸账户、自贸区FT账户。</w:t>
            </w:r>
            <w:r>
              <w:rPr>
                <w:rFonts w:hint="eastAsia"/>
                <w:bCs/>
              </w:rPr>
              <w:t>见非居民机构账户类型代码表。</w:t>
            </w:r>
          </w:p>
        </w:tc>
      </w:tr>
      <w:tr w:rsidR="00A052DC" w14:paraId="36F01B07" w14:textId="77777777">
        <w:trPr>
          <w:cantSplit/>
        </w:trPr>
        <w:tc>
          <w:tcPr>
            <w:tcW w:w="1526" w:type="dxa"/>
          </w:tcPr>
          <w:p w14:paraId="71170AE3" w14:textId="77777777" w:rsidR="00A052DC" w:rsidRDefault="009F0A60">
            <w:pPr>
              <w:pStyle w:val="B"/>
            </w:pPr>
            <w:r>
              <w:rPr>
                <w:rFonts w:hint="eastAsia"/>
              </w:rPr>
              <w:t>债务人代码</w:t>
            </w:r>
          </w:p>
        </w:tc>
        <w:tc>
          <w:tcPr>
            <w:tcW w:w="6946" w:type="dxa"/>
          </w:tcPr>
          <w:p w14:paraId="1C0996EF" w14:textId="77777777" w:rsidR="00A052DC" w:rsidRDefault="009F0A60">
            <w:pPr>
              <w:pStyle w:val="B"/>
            </w:pPr>
            <w:r>
              <w:rPr>
                <w:rFonts w:hint="eastAsia"/>
                <w:szCs w:val="20"/>
              </w:rPr>
              <w:t>国家外汇管理局及其分支局</w:t>
            </w:r>
            <w:r>
              <w:rPr>
                <w:rFonts w:hint="eastAsia"/>
              </w:rPr>
              <w:t>签发给境内债务银行的</w:t>
            </w:r>
            <w:r>
              <w:t>12</w:t>
            </w:r>
            <w:r>
              <w:rPr>
                <w:rFonts w:hint="eastAsia"/>
              </w:rPr>
              <w:t>位金融机构标识码编码。</w:t>
            </w:r>
          </w:p>
        </w:tc>
      </w:tr>
      <w:tr w:rsidR="00A052DC" w14:paraId="2C7FD205" w14:textId="77777777">
        <w:trPr>
          <w:cantSplit/>
        </w:trPr>
        <w:tc>
          <w:tcPr>
            <w:tcW w:w="1526" w:type="dxa"/>
          </w:tcPr>
          <w:p w14:paraId="3449AAF8" w14:textId="77777777" w:rsidR="00A052DC" w:rsidRDefault="009F0A60">
            <w:pPr>
              <w:pStyle w:val="B"/>
            </w:pPr>
            <w:r>
              <w:rPr>
                <w:rFonts w:hint="eastAsia"/>
              </w:rPr>
              <w:t>债务类型</w:t>
            </w:r>
          </w:p>
        </w:tc>
        <w:tc>
          <w:tcPr>
            <w:tcW w:w="6946" w:type="dxa"/>
          </w:tcPr>
          <w:p w14:paraId="0930B441" w14:textId="77777777" w:rsidR="00A052DC" w:rsidRDefault="009F0A60">
            <w:pPr>
              <w:pStyle w:val="B"/>
            </w:pPr>
            <w:r>
              <w:rPr>
                <w:rFonts w:hint="eastAsia"/>
              </w:rPr>
              <w:t>外债的债务类型代码，见外债的债务类型表。</w:t>
            </w:r>
          </w:p>
        </w:tc>
      </w:tr>
      <w:tr w:rsidR="00A052DC" w14:paraId="41E284BC" w14:textId="77777777">
        <w:trPr>
          <w:cantSplit/>
        </w:trPr>
        <w:tc>
          <w:tcPr>
            <w:tcW w:w="1526" w:type="dxa"/>
          </w:tcPr>
          <w:p w14:paraId="3EA8CA54" w14:textId="77777777" w:rsidR="00A052DC" w:rsidRDefault="009F0A60">
            <w:pPr>
              <w:pStyle w:val="B"/>
            </w:pPr>
            <w:r>
              <w:rPr>
                <w:rFonts w:hint="eastAsia"/>
              </w:rPr>
              <w:t>起息日</w:t>
            </w:r>
          </w:p>
        </w:tc>
        <w:tc>
          <w:tcPr>
            <w:tcW w:w="6946" w:type="dxa"/>
          </w:tcPr>
          <w:p w14:paraId="6C66E16A" w14:textId="77777777" w:rsidR="00A052DC" w:rsidRDefault="009F0A60">
            <w:pPr>
              <w:pStyle w:val="B"/>
            </w:pPr>
            <w:r>
              <w:rPr>
                <w:rFonts w:hint="eastAsia"/>
              </w:rPr>
              <w:t>账户开户日期。</w:t>
            </w:r>
          </w:p>
        </w:tc>
      </w:tr>
      <w:tr w:rsidR="00A052DC" w14:paraId="22582B0D" w14:textId="77777777">
        <w:trPr>
          <w:cantSplit/>
        </w:trPr>
        <w:tc>
          <w:tcPr>
            <w:tcW w:w="1526" w:type="dxa"/>
          </w:tcPr>
          <w:p w14:paraId="2A0B096C" w14:textId="77777777" w:rsidR="00A052DC" w:rsidRDefault="009F0A60">
            <w:pPr>
              <w:pStyle w:val="B"/>
            </w:pPr>
            <w:r>
              <w:rPr>
                <w:rFonts w:hint="eastAsia"/>
              </w:rPr>
              <w:t>签约币种</w:t>
            </w:r>
          </w:p>
        </w:tc>
        <w:tc>
          <w:tcPr>
            <w:tcW w:w="6946" w:type="dxa"/>
          </w:tcPr>
          <w:p w14:paraId="04754802" w14:textId="77777777" w:rsidR="00A052DC" w:rsidRDefault="009F0A60">
            <w:pPr>
              <w:pStyle w:val="B"/>
            </w:pPr>
            <w:r>
              <w:rPr>
                <w:rFonts w:hint="eastAsia"/>
              </w:rPr>
              <w:t>账户币种。</w:t>
            </w:r>
          </w:p>
        </w:tc>
      </w:tr>
      <w:tr w:rsidR="00A052DC" w14:paraId="717E8C51" w14:textId="77777777">
        <w:trPr>
          <w:cantSplit/>
        </w:trPr>
        <w:tc>
          <w:tcPr>
            <w:tcW w:w="1526" w:type="dxa"/>
          </w:tcPr>
          <w:p w14:paraId="2B785FA6" w14:textId="77777777" w:rsidR="00A052DC" w:rsidRDefault="009F0A60">
            <w:pPr>
              <w:pStyle w:val="B"/>
            </w:pPr>
            <w:r>
              <w:rPr>
                <w:rFonts w:hint="eastAsia"/>
              </w:rPr>
              <w:t>是否浮动利率</w:t>
            </w:r>
          </w:p>
        </w:tc>
        <w:tc>
          <w:tcPr>
            <w:tcW w:w="6946" w:type="dxa"/>
          </w:tcPr>
          <w:p w14:paraId="43FA398C" w14:textId="77777777" w:rsidR="00A052DC" w:rsidRDefault="009F0A60">
            <w:pPr>
              <w:pStyle w:val="B"/>
            </w:pPr>
            <w:r>
              <w:rPr>
                <w:rFonts w:hint="eastAsia"/>
              </w:rPr>
              <w:t>标识债务利率条件为浮动利率或固定利率，系统默认为否，若为浮动利率，选择是。</w:t>
            </w:r>
          </w:p>
        </w:tc>
      </w:tr>
      <w:tr w:rsidR="00A052DC" w14:paraId="3F349B10" w14:textId="77777777">
        <w:trPr>
          <w:cantSplit/>
        </w:trPr>
        <w:tc>
          <w:tcPr>
            <w:tcW w:w="1526" w:type="dxa"/>
          </w:tcPr>
          <w:p w14:paraId="1EDA052D" w14:textId="77777777" w:rsidR="00A052DC" w:rsidRDefault="009F0A60">
            <w:pPr>
              <w:pStyle w:val="B"/>
            </w:pPr>
            <w:r>
              <w:rPr>
                <w:rFonts w:hint="eastAsia"/>
              </w:rPr>
              <w:t>年化利率值</w:t>
            </w:r>
          </w:p>
        </w:tc>
        <w:tc>
          <w:tcPr>
            <w:tcW w:w="6946" w:type="dxa"/>
          </w:tcPr>
          <w:p w14:paraId="2D054BAB" w14:textId="77777777" w:rsidR="00A052DC" w:rsidRDefault="009F0A60">
            <w:pPr>
              <w:pStyle w:val="B"/>
            </w:pPr>
            <w:r>
              <w:rPr>
                <w:rFonts w:hint="eastAsia"/>
              </w:rPr>
              <w:t>外债的年化利率，若为浮动利率，应该按照该笔外债签约日期当天的浮动利率条件计算年化利率值。</w:t>
            </w:r>
          </w:p>
        </w:tc>
      </w:tr>
      <w:tr w:rsidR="00A052DC" w14:paraId="19860781" w14:textId="77777777">
        <w:trPr>
          <w:cantSplit/>
        </w:trPr>
        <w:tc>
          <w:tcPr>
            <w:tcW w:w="1526" w:type="dxa"/>
          </w:tcPr>
          <w:p w14:paraId="602D9AA3" w14:textId="77777777" w:rsidR="00A052DC" w:rsidRDefault="009F0A60">
            <w:pPr>
              <w:pStyle w:val="B"/>
            </w:pPr>
            <w:r>
              <w:rPr>
                <w:rFonts w:hint="eastAsia"/>
              </w:rPr>
              <w:t>债权人代码</w:t>
            </w:r>
          </w:p>
        </w:tc>
        <w:tc>
          <w:tcPr>
            <w:tcW w:w="6946" w:type="dxa"/>
            <w:vAlign w:val="center"/>
          </w:tcPr>
          <w:p w14:paraId="509259A6" w14:textId="77777777" w:rsidR="00A052DC" w:rsidRDefault="009F0A60">
            <w:pPr>
              <w:pStyle w:val="B"/>
            </w:pPr>
            <w:r>
              <w:rPr>
                <w:rFonts w:hint="eastAsia"/>
              </w:rPr>
              <w:t>该笔外债的债务类型为“非居民机构存款”，应填写国家外汇管理局</w:t>
            </w:r>
            <w:r>
              <w:rPr>
                <w:rFonts w:hint="eastAsia"/>
                <w:szCs w:val="20"/>
              </w:rPr>
              <w:t>及其分支局</w:t>
            </w:r>
            <w:r>
              <w:rPr>
                <w:rFonts w:hint="eastAsia"/>
              </w:rPr>
              <w:t>签发的特殊机构代码赋码通知书上的特殊机构代码。</w:t>
            </w:r>
          </w:p>
        </w:tc>
      </w:tr>
      <w:tr w:rsidR="00A052DC" w14:paraId="78B77AA3" w14:textId="77777777">
        <w:trPr>
          <w:cantSplit/>
        </w:trPr>
        <w:tc>
          <w:tcPr>
            <w:tcW w:w="1526" w:type="dxa"/>
          </w:tcPr>
          <w:p w14:paraId="45DA9D4E" w14:textId="77777777" w:rsidR="00A052DC" w:rsidRDefault="009F0A60">
            <w:pPr>
              <w:pStyle w:val="B"/>
            </w:pPr>
            <w:r>
              <w:rPr>
                <w:rFonts w:hint="eastAsia"/>
              </w:rPr>
              <w:t>债权人中文名称</w:t>
            </w:r>
          </w:p>
        </w:tc>
        <w:tc>
          <w:tcPr>
            <w:tcW w:w="6946" w:type="dxa"/>
            <w:vAlign w:val="center"/>
          </w:tcPr>
          <w:p w14:paraId="6ED19113" w14:textId="77777777" w:rsidR="00A052DC" w:rsidRDefault="009F0A60">
            <w:pPr>
              <w:pStyle w:val="B"/>
            </w:pPr>
            <w:r>
              <w:rPr>
                <w:rFonts w:hint="eastAsia"/>
              </w:rPr>
              <w:t>债权人中文名称，即存款人中文名称。</w:t>
            </w:r>
          </w:p>
        </w:tc>
      </w:tr>
      <w:tr w:rsidR="00A052DC" w14:paraId="42BCB6C2" w14:textId="77777777">
        <w:trPr>
          <w:cantSplit/>
        </w:trPr>
        <w:tc>
          <w:tcPr>
            <w:tcW w:w="1526" w:type="dxa"/>
          </w:tcPr>
          <w:p w14:paraId="31E8BF6B" w14:textId="77777777" w:rsidR="00A052DC" w:rsidRDefault="009F0A60">
            <w:pPr>
              <w:pStyle w:val="B"/>
            </w:pPr>
            <w:r>
              <w:rPr>
                <w:rFonts w:hint="eastAsia"/>
              </w:rPr>
              <w:t>债权人英文名称</w:t>
            </w:r>
          </w:p>
        </w:tc>
        <w:tc>
          <w:tcPr>
            <w:tcW w:w="6946" w:type="dxa"/>
            <w:vAlign w:val="center"/>
          </w:tcPr>
          <w:p w14:paraId="49043D9E" w14:textId="77777777" w:rsidR="00A052DC" w:rsidRDefault="009F0A60">
            <w:pPr>
              <w:pStyle w:val="B"/>
            </w:pPr>
            <w:r>
              <w:rPr>
                <w:rFonts w:hint="eastAsia"/>
              </w:rPr>
              <w:t>债权人英文名称（中英文名称至少填写一个），即存款人英文名称。</w:t>
            </w:r>
          </w:p>
        </w:tc>
      </w:tr>
      <w:tr w:rsidR="00A052DC" w14:paraId="4AC2966F" w14:textId="77777777">
        <w:trPr>
          <w:cantSplit/>
        </w:trPr>
        <w:tc>
          <w:tcPr>
            <w:tcW w:w="1526" w:type="dxa"/>
          </w:tcPr>
          <w:p w14:paraId="5CBBFA94" w14:textId="77777777" w:rsidR="00A052DC" w:rsidRDefault="009F0A60">
            <w:pPr>
              <w:pStyle w:val="B"/>
            </w:pPr>
            <w:r>
              <w:rPr>
                <w:rFonts w:hint="eastAsia"/>
              </w:rPr>
              <w:t>债权人类型代码</w:t>
            </w:r>
          </w:p>
        </w:tc>
        <w:tc>
          <w:tcPr>
            <w:tcW w:w="6946" w:type="dxa"/>
          </w:tcPr>
          <w:p w14:paraId="3288F242" w14:textId="77777777" w:rsidR="00A052DC" w:rsidRDefault="009F0A60">
            <w:pPr>
              <w:pStyle w:val="B"/>
            </w:pPr>
            <w:r>
              <w:rPr>
                <w:rFonts w:hint="eastAsia"/>
              </w:rPr>
              <w:t>债权人类型代码，见境外主体类型代码表。</w:t>
            </w:r>
          </w:p>
        </w:tc>
      </w:tr>
      <w:tr w:rsidR="00A052DC" w14:paraId="7F301BA3" w14:textId="77777777">
        <w:trPr>
          <w:cantSplit/>
        </w:trPr>
        <w:tc>
          <w:tcPr>
            <w:tcW w:w="1526" w:type="dxa"/>
          </w:tcPr>
          <w:p w14:paraId="2611EC9A" w14:textId="77777777" w:rsidR="00A052DC" w:rsidRDefault="009F0A60">
            <w:pPr>
              <w:pStyle w:val="B"/>
            </w:pPr>
            <w:r>
              <w:rPr>
                <w:rFonts w:hint="eastAsia"/>
              </w:rPr>
              <w:t>债权人总部所在国家（地区）代码</w:t>
            </w:r>
          </w:p>
        </w:tc>
        <w:tc>
          <w:tcPr>
            <w:tcW w:w="6946" w:type="dxa"/>
            <w:vAlign w:val="center"/>
          </w:tcPr>
          <w:p w14:paraId="18AEA657" w14:textId="77777777" w:rsidR="00A052DC" w:rsidRDefault="009F0A60">
            <w:pPr>
              <w:pStyle w:val="B"/>
            </w:pPr>
            <w:r>
              <w:rPr>
                <w:rFonts w:hint="eastAsia"/>
              </w:rPr>
              <w:t>债权人总部所在地代码，见国家和地区代码表。</w:t>
            </w:r>
          </w:p>
        </w:tc>
      </w:tr>
      <w:tr w:rsidR="00A052DC" w14:paraId="51F8F7C4" w14:textId="77777777">
        <w:trPr>
          <w:cantSplit/>
        </w:trPr>
        <w:tc>
          <w:tcPr>
            <w:tcW w:w="1526" w:type="dxa"/>
          </w:tcPr>
          <w:p w14:paraId="73A139B8" w14:textId="77777777" w:rsidR="00A052DC" w:rsidRDefault="009F0A60">
            <w:pPr>
              <w:pStyle w:val="B"/>
            </w:pPr>
            <w:r>
              <w:rPr>
                <w:rFonts w:hint="eastAsia"/>
              </w:rPr>
              <w:t>债权人经营地所在国家（地区）代码</w:t>
            </w:r>
          </w:p>
        </w:tc>
        <w:tc>
          <w:tcPr>
            <w:tcW w:w="6946" w:type="dxa"/>
            <w:vAlign w:val="center"/>
          </w:tcPr>
          <w:p w14:paraId="0B302B47" w14:textId="77777777" w:rsidR="00A052DC" w:rsidRDefault="009F0A60">
            <w:pPr>
              <w:pStyle w:val="B"/>
            </w:pPr>
            <w:r>
              <w:rPr>
                <w:rFonts w:hint="eastAsia"/>
              </w:rPr>
              <w:t>债权人经营所在地代码，见国家和地区代码表。</w:t>
            </w:r>
          </w:p>
        </w:tc>
      </w:tr>
      <w:tr w:rsidR="00A052DC" w14:paraId="69453700" w14:textId="77777777">
        <w:trPr>
          <w:cantSplit/>
        </w:trPr>
        <w:tc>
          <w:tcPr>
            <w:tcW w:w="1526" w:type="dxa"/>
          </w:tcPr>
          <w:p w14:paraId="57460427" w14:textId="77777777" w:rsidR="00A052DC" w:rsidRDefault="009F0A60">
            <w:pPr>
              <w:pStyle w:val="B"/>
            </w:pPr>
            <w:r>
              <w:rPr>
                <w:rFonts w:hint="eastAsia"/>
              </w:rPr>
              <w:t>是否不纳入跨境融资风险加权余额计算</w:t>
            </w:r>
          </w:p>
        </w:tc>
        <w:tc>
          <w:tcPr>
            <w:tcW w:w="6946" w:type="dxa"/>
          </w:tcPr>
          <w:p w14:paraId="341A1FDD" w14:textId="77777777" w:rsidR="00A052DC" w:rsidRDefault="009F0A60">
            <w:pPr>
              <w:pStyle w:val="B"/>
            </w:pPr>
            <w:r>
              <w:rPr>
                <w:rFonts w:hint="eastAsia"/>
              </w:rPr>
              <w:t>标识该笔债务是否不纳入跨境融资风险加权余额计算，默认为“否”。</w:t>
            </w:r>
          </w:p>
        </w:tc>
      </w:tr>
      <w:tr w:rsidR="00A052DC" w14:paraId="00B32814" w14:textId="77777777">
        <w:trPr>
          <w:cantSplit/>
        </w:trPr>
        <w:tc>
          <w:tcPr>
            <w:tcW w:w="1526" w:type="dxa"/>
          </w:tcPr>
          <w:p w14:paraId="1F5BF369" w14:textId="77777777" w:rsidR="00A052DC" w:rsidRDefault="009F0A60">
            <w:pPr>
              <w:pStyle w:val="B"/>
            </w:pPr>
            <w:r>
              <w:rPr>
                <w:rFonts w:hint="eastAsia"/>
              </w:rPr>
              <w:t>存款业务类别</w:t>
            </w:r>
          </w:p>
        </w:tc>
        <w:tc>
          <w:tcPr>
            <w:tcW w:w="6946" w:type="dxa"/>
          </w:tcPr>
          <w:p w14:paraId="2595D904" w14:textId="77777777" w:rsidR="00A052DC" w:rsidRDefault="009F0A60">
            <w:pPr>
              <w:pStyle w:val="B"/>
            </w:pPr>
            <w:r>
              <w:rPr>
                <w:rFonts w:hint="eastAsia"/>
              </w:rPr>
              <w:t>包括：</w:t>
            </w:r>
            <w:r>
              <w:t>1-</w:t>
            </w:r>
            <w:r>
              <w:rPr>
                <w:rFonts w:hint="eastAsia"/>
              </w:rPr>
              <w:t>存款、</w:t>
            </w:r>
            <w:r>
              <w:t>2-</w:t>
            </w:r>
            <w:r>
              <w:rPr>
                <w:rFonts w:hint="eastAsia"/>
              </w:rPr>
              <w:t>账户金。其中，账户金是指非居民在本机构开立的贵金属账户。</w:t>
            </w:r>
          </w:p>
        </w:tc>
      </w:tr>
      <w:tr w:rsidR="00A052DC" w14:paraId="79CA917C" w14:textId="77777777">
        <w:trPr>
          <w:cantSplit/>
        </w:trPr>
        <w:tc>
          <w:tcPr>
            <w:tcW w:w="1526" w:type="dxa"/>
          </w:tcPr>
          <w:p w14:paraId="74152E86" w14:textId="77777777" w:rsidR="00A052DC" w:rsidRDefault="009F0A60">
            <w:pPr>
              <w:pStyle w:val="B"/>
            </w:pPr>
            <w:r>
              <w:rPr>
                <w:rFonts w:hint="eastAsia"/>
              </w:rPr>
              <w:t>对方与本机构的关系</w:t>
            </w:r>
          </w:p>
        </w:tc>
        <w:tc>
          <w:tcPr>
            <w:tcW w:w="6946" w:type="dxa"/>
          </w:tcPr>
          <w:p w14:paraId="6BA6D1C6" w14:textId="77777777" w:rsidR="00A052DC" w:rsidRDefault="009F0A60">
            <w:pPr>
              <w:pStyle w:val="B"/>
            </w:pPr>
            <w:r>
              <w:rPr>
                <w:rFonts w:hint="eastAsia"/>
              </w:rPr>
              <w:t>债权人与本机构的关系，见对方与本机构</w:t>
            </w:r>
            <w:r>
              <w:t>/</w:t>
            </w:r>
            <w:r>
              <w:rPr>
                <w:rFonts w:hint="eastAsia"/>
              </w:rPr>
              <w:t>被代理居民机构</w:t>
            </w:r>
            <w:r>
              <w:t>/</w:t>
            </w:r>
            <w:r>
              <w:rPr>
                <w:rFonts w:hint="eastAsia"/>
              </w:rPr>
              <w:t>委托人的关系代码表。</w:t>
            </w:r>
          </w:p>
        </w:tc>
      </w:tr>
      <w:tr w:rsidR="00A052DC" w14:paraId="6BAC1E6A" w14:textId="77777777">
        <w:trPr>
          <w:cantSplit/>
        </w:trPr>
        <w:tc>
          <w:tcPr>
            <w:tcW w:w="1526" w:type="dxa"/>
          </w:tcPr>
          <w:p w14:paraId="6B3C4C4A" w14:textId="77777777" w:rsidR="00A052DC" w:rsidRDefault="009F0A60">
            <w:pPr>
              <w:pStyle w:val="B"/>
            </w:pPr>
            <w:r>
              <w:rPr>
                <w:rFonts w:hint="eastAsia"/>
              </w:rPr>
              <w:t>原始期限</w:t>
            </w:r>
          </w:p>
        </w:tc>
        <w:tc>
          <w:tcPr>
            <w:tcW w:w="6946" w:type="dxa"/>
          </w:tcPr>
          <w:p w14:paraId="034791AC" w14:textId="77777777" w:rsidR="00A052DC" w:rsidRDefault="009F0A60">
            <w:pPr>
              <w:pStyle w:val="B"/>
            </w:pPr>
            <w:r>
              <w:rPr>
                <w:rFonts w:hint="eastAsia"/>
              </w:rPr>
              <w:t>包括：</w:t>
            </w:r>
            <w:r>
              <w:t>1-</w:t>
            </w:r>
            <w:r>
              <w:rPr>
                <w:rFonts w:hint="eastAsia"/>
              </w:rPr>
              <w:t>一年及以下（含活期或不定期）、</w:t>
            </w:r>
            <w:r>
              <w:t>2-</w:t>
            </w:r>
            <w:r>
              <w:rPr>
                <w:rFonts w:hint="eastAsia"/>
              </w:rPr>
              <w:t>一年以上。</w:t>
            </w:r>
          </w:p>
        </w:tc>
      </w:tr>
      <w:tr w:rsidR="00A052DC" w14:paraId="1F35CF76" w14:textId="77777777">
        <w:trPr>
          <w:cantSplit/>
        </w:trPr>
        <w:tc>
          <w:tcPr>
            <w:tcW w:w="1526" w:type="dxa"/>
            <w:tcBorders>
              <w:top w:val="single" w:sz="6" w:space="0" w:color="auto"/>
              <w:left w:val="single" w:sz="6" w:space="0" w:color="auto"/>
              <w:bottom w:val="single" w:sz="6" w:space="0" w:color="auto"/>
              <w:right w:val="single" w:sz="6" w:space="0" w:color="auto"/>
            </w:tcBorders>
          </w:tcPr>
          <w:p w14:paraId="4517CBC9" w14:textId="77777777" w:rsidR="00A052DC" w:rsidRDefault="009F0A60">
            <w:pPr>
              <w:pStyle w:val="B"/>
            </w:pPr>
            <w:r>
              <w:rPr>
                <w:rFonts w:hint="eastAsia"/>
              </w:rPr>
              <w:t>备注</w:t>
            </w:r>
          </w:p>
        </w:tc>
        <w:tc>
          <w:tcPr>
            <w:tcW w:w="6946" w:type="dxa"/>
            <w:tcBorders>
              <w:top w:val="single" w:sz="6" w:space="0" w:color="auto"/>
              <w:left w:val="single" w:sz="6" w:space="0" w:color="auto"/>
              <w:bottom w:val="single" w:sz="6" w:space="0" w:color="auto"/>
              <w:right w:val="single" w:sz="6" w:space="0" w:color="auto"/>
            </w:tcBorders>
            <w:vAlign w:val="center"/>
          </w:tcPr>
          <w:p w14:paraId="3CF1B191" w14:textId="77777777" w:rsidR="00A052DC" w:rsidRDefault="009F0A60">
            <w:pPr>
              <w:pStyle w:val="B"/>
            </w:pPr>
            <w:r>
              <w:rPr>
                <w:rFonts w:hint="eastAsia"/>
              </w:rPr>
              <w:t>需要说明的备注事项。</w:t>
            </w:r>
          </w:p>
        </w:tc>
      </w:tr>
    </w:tbl>
    <w:p w14:paraId="6E6495CA" w14:textId="77777777" w:rsidR="00A052DC" w:rsidRDefault="00A052DC">
      <w:pPr>
        <w:ind w:firstLine="480"/>
      </w:pPr>
    </w:p>
    <w:p w14:paraId="23D361DE" w14:textId="77777777" w:rsidR="00A052DC" w:rsidRDefault="009F0A60" w:rsidP="0020251D">
      <w:pPr>
        <w:pStyle w:val="5"/>
        <w:numPr>
          <w:ilvl w:val="4"/>
          <w:numId w:val="1"/>
        </w:numPr>
        <w:spacing w:before="120" w:after="120" w:line="360" w:lineRule="auto"/>
        <w:jc w:val="left"/>
      </w:pPr>
      <w:bookmarkStart w:id="1565" w:name="_Toc454386926"/>
      <w:r>
        <w:rPr>
          <w:rFonts w:hint="eastAsia"/>
        </w:rPr>
        <w:t>数据格式</w:t>
      </w:r>
      <w:bookmarkEnd w:id="1565"/>
    </w:p>
    <w:p w14:paraId="7F5E424F" w14:textId="77777777" w:rsidR="00A052DC" w:rsidRDefault="009F0A60">
      <w:r>
        <w:t>&lt;REC&gt;</w:t>
      </w:r>
    </w:p>
    <w:p w14:paraId="5E22C789" w14:textId="77777777" w:rsidR="00A052DC" w:rsidRDefault="009F0A60">
      <w:r>
        <w:t>&lt;ACTIONTYPE&gt;</w:t>
      </w:r>
      <w:r>
        <w:rPr>
          <w:rFonts w:hint="eastAsia"/>
        </w:rPr>
        <w:t>操作类型</w:t>
      </w:r>
      <w:r>
        <w:t>&lt;/ACTIONTYPE&gt;</w:t>
      </w:r>
    </w:p>
    <w:p w14:paraId="774DAFE7" w14:textId="77777777" w:rsidR="00A052DC" w:rsidRDefault="009F0A60">
      <w:r>
        <w:t>&lt;ACTIONDESC&gt;</w:t>
      </w:r>
      <w:r>
        <w:rPr>
          <w:rFonts w:hint="eastAsia"/>
        </w:rPr>
        <w:t>删除原因</w:t>
      </w:r>
      <w:r>
        <w:t>&lt;/ACTIONDESC&gt;</w:t>
      </w:r>
    </w:p>
    <w:p w14:paraId="7A6228A6" w14:textId="77777777" w:rsidR="00A052DC" w:rsidRDefault="009F0A60">
      <w:r>
        <w:t>&lt;EXDEBTCODE&gt;</w:t>
      </w:r>
      <w:r>
        <w:rPr>
          <w:rFonts w:hint="eastAsia"/>
        </w:rPr>
        <w:t>外债编号</w:t>
      </w:r>
      <w:r>
        <w:t>&lt;/EXDEBTCODE&gt;</w:t>
      </w:r>
    </w:p>
    <w:p w14:paraId="22BE72B3" w14:textId="77777777" w:rsidR="00A052DC" w:rsidRDefault="009F0A60">
      <w:r>
        <w:t>&lt;Limittype&gt;</w:t>
      </w:r>
      <w:r>
        <w:rPr>
          <w:rFonts w:hint="eastAsia"/>
        </w:rPr>
        <w:t>账户类型</w:t>
      </w:r>
      <w:r>
        <w:t>&lt;/Limittype&gt;</w:t>
      </w:r>
    </w:p>
    <w:p w14:paraId="7F430362" w14:textId="77777777" w:rsidR="00A052DC" w:rsidRDefault="009F0A60">
      <w:r>
        <w:t>&lt;DEBTORCODE&gt;</w:t>
      </w:r>
      <w:r>
        <w:rPr>
          <w:rFonts w:hint="eastAsia"/>
        </w:rPr>
        <w:t>债务人代码</w:t>
      </w:r>
      <w:r>
        <w:t>&lt;/DEBTORCODE&gt;</w:t>
      </w:r>
    </w:p>
    <w:p w14:paraId="48E5B5F2" w14:textId="77777777" w:rsidR="00A052DC" w:rsidRDefault="009F0A60">
      <w:r>
        <w:t>&lt;DEBTYPE&gt;</w:t>
      </w:r>
      <w:r>
        <w:rPr>
          <w:rFonts w:hint="eastAsia"/>
        </w:rPr>
        <w:t>债务类型</w:t>
      </w:r>
      <w:r>
        <w:t>&lt;/DEBTYPE&gt;</w:t>
      </w:r>
    </w:p>
    <w:p w14:paraId="2F81DBC2" w14:textId="77777777" w:rsidR="00A052DC" w:rsidRDefault="009F0A60">
      <w:r>
        <w:t>&lt;VALUEDATE&gt;</w:t>
      </w:r>
      <w:r>
        <w:rPr>
          <w:rFonts w:hint="eastAsia"/>
        </w:rPr>
        <w:t>起息日</w:t>
      </w:r>
      <w:r>
        <w:t>&lt;/VALUEDATE&gt;</w:t>
      </w:r>
    </w:p>
    <w:p w14:paraId="23D868F6" w14:textId="77777777" w:rsidR="00A052DC" w:rsidRDefault="009F0A60">
      <w:r>
        <w:t>&lt;CONTRACTCURR&gt;</w:t>
      </w:r>
      <w:r>
        <w:rPr>
          <w:rFonts w:hint="eastAsia"/>
        </w:rPr>
        <w:t>签约币种</w:t>
      </w:r>
      <w:r>
        <w:t>&lt;/CONTRACTCURR&gt;</w:t>
      </w:r>
    </w:p>
    <w:p w14:paraId="403F63C8" w14:textId="77777777" w:rsidR="00A052DC" w:rsidRDefault="009F0A60">
      <w:r>
        <w:t>&lt;FLOATRATE&gt;</w:t>
      </w:r>
      <w:r>
        <w:rPr>
          <w:rFonts w:hint="eastAsia"/>
        </w:rPr>
        <w:t>是否浮动利率</w:t>
      </w:r>
      <w:r>
        <w:t>&lt;/FLOATRATE&gt;</w:t>
      </w:r>
    </w:p>
    <w:p w14:paraId="5AE3D542" w14:textId="77777777" w:rsidR="00A052DC" w:rsidRDefault="009F0A60">
      <w:r>
        <w:t>&lt;ANNINRATE&gt;</w:t>
      </w:r>
      <w:r>
        <w:rPr>
          <w:rFonts w:hint="eastAsia"/>
        </w:rPr>
        <w:t>年化利率值</w:t>
      </w:r>
      <w:r>
        <w:t>&lt;/ANNINRATE&gt;</w:t>
      </w:r>
    </w:p>
    <w:p w14:paraId="71792A80" w14:textId="77777777" w:rsidR="00A052DC" w:rsidRDefault="009F0A60">
      <w:r>
        <w:t>&lt;CREDITORCODE&gt;</w:t>
      </w:r>
      <w:r>
        <w:rPr>
          <w:rFonts w:hint="eastAsia"/>
        </w:rPr>
        <w:t>债权人代码</w:t>
      </w:r>
      <w:r>
        <w:t>&lt;/CREDITORCODE&gt;</w:t>
      </w:r>
    </w:p>
    <w:p w14:paraId="5060756C" w14:textId="77777777" w:rsidR="00A052DC" w:rsidRDefault="009F0A60">
      <w:r>
        <w:t>&lt;CREDITORNAME&gt;</w:t>
      </w:r>
      <w:r>
        <w:rPr>
          <w:rFonts w:hint="eastAsia"/>
        </w:rPr>
        <w:t>债权人中文名称</w:t>
      </w:r>
      <w:r>
        <w:t>&lt;/CREDITORNAME&gt;</w:t>
      </w:r>
    </w:p>
    <w:p w14:paraId="1F859311" w14:textId="77777777" w:rsidR="00A052DC" w:rsidRDefault="009F0A60">
      <w:r>
        <w:t>&lt;CREDITORNAMEN&gt;</w:t>
      </w:r>
      <w:r>
        <w:rPr>
          <w:rFonts w:hint="eastAsia"/>
        </w:rPr>
        <w:t>债权人英文名称</w:t>
      </w:r>
      <w:r>
        <w:t>&lt;/CREDITORNAMEN&gt;</w:t>
      </w:r>
    </w:p>
    <w:p w14:paraId="6267BD0E" w14:textId="77777777" w:rsidR="00A052DC" w:rsidRDefault="009F0A60">
      <w:r>
        <w:t>&lt;CREDITORTYPE&gt;</w:t>
      </w:r>
      <w:r>
        <w:rPr>
          <w:rFonts w:hint="eastAsia"/>
        </w:rPr>
        <w:t>债权人类型代码</w:t>
      </w:r>
      <w:r>
        <w:t>&lt;/CREDITORTYPE&gt;</w:t>
      </w:r>
    </w:p>
    <w:p w14:paraId="40CC9FAC" w14:textId="77777777" w:rsidR="00A052DC" w:rsidRDefault="009F0A60">
      <w:r>
        <w:t>&lt;CREHQCODE&gt;</w:t>
      </w:r>
      <w:r>
        <w:rPr>
          <w:rFonts w:hint="eastAsia"/>
        </w:rPr>
        <w:t>债权人总部所在国家（地区）代码</w:t>
      </w:r>
      <w:r>
        <w:t>&lt;/CREHQCODE&gt;</w:t>
      </w:r>
    </w:p>
    <w:p w14:paraId="05165E4F" w14:textId="77777777" w:rsidR="00A052DC" w:rsidRDefault="009F0A60">
      <w:r>
        <w:t>&lt;OPERCODE&gt;</w:t>
      </w:r>
      <w:r>
        <w:rPr>
          <w:rFonts w:hint="eastAsia"/>
        </w:rPr>
        <w:t>债权人经营地所在国家（地区）代码</w:t>
      </w:r>
      <w:r>
        <w:t>&lt;/OPERCODE&gt;</w:t>
      </w:r>
    </w:p>
    <w:p w14:paraId="462CA17D" w14:textId="77777777" w:rsidR="00A052DC" w:rsidRDefault="009F0A60">
      <w:r>
        <w:t>&lt;SPAPFEBOINDEX&gt;</w:t>
      </w:r>
      <w:r>
        <w:rPr>
          <w:rFonts w:hint="eastAsia"/>
        </w:rPr>
        <w:t>是否不纳入跨境融资风险加权余额计算</w:t>
      </w:r>
      <w:r>
        <w:t>&lt;/SPAPFEBOINDEX&gt;</w:t>
      </w:r>
    </w:p>
    <w:p w14:paraId="393C195E" w14:textId="77777777" w:rsidR="00A052DC" w:rsidRDefault="009F0A60">
      <w:r>
        <w:t>&lt;DEPTYPE&gt;</w:t>
      </w:r>
      <w:r>
        <w:rPr>
          <w:rFonts w:hint="eastAsia"/>
        </w:rPr>
        <w:t>存款业务类别</w:t>
      </w:r>
      <w:r>
        <w:t>&lt;/DEPTYPE&gt;</w:t>
      </w:r>
    </w:p>
    <w:p w14:paraId="51A606A3" w14:textId="77777777" w:rsidR="00A052DC" w:rsidRDefault="009F0A60">
      <w:r>
        <w:t>&lt;RELATION&gt;</w:t>
      </w:r>
      <w:r>
        <w:rPr>
          <w:rFonts w:hint="eastAsia"/>
        </w:rPr>
        <w:t>对方与本机构的关系</w:t>
      </w:r>
      <w:r>
        <w:t>&lt;/RELATION&gt;</w:t>
      </w:r>
    </w:p>
    <w:p w14:paraId="69596CBC" w14:textId="77777777" w:rsidR="00A052DC" w:rsidRDefault="009F0A60">
      <w:r>
        <w:t>&lt;ORIGINALPERIOD&gt;</w:t>
      </w:r>
      <w:r>
        <w:rPr>
          <w:rFonts w:hint="eastAsia"/>
        </w:rPr>
        <w:t>原始期限</w:t>
      </w:r>
      <w:r>
        <w:t>&lt;/ORIGINALPERIOD&gt;</w:t>
      </w:r>
    </w:p>
    <w:p w14:paraId="26AD5A1D" w14:textId="77777777" w:rsidR="00A052DC" w:rsidRDefault="009F0A60">
      <w:r>
        <w:t>&lt;REMARK&gt;</w:t>
      </w:r>
      <w:r>
        <w:rPr>
          <w:rFonts w:hint="eastAsia"/>
        </w:rPr>
        <w:t>备注</w:t>
      </w:r>
      <w:r>
        <w:t>&lt;/REMARK&gt;</w:t>
      </w:r>
    </w:p>
    <w:p w14:paraId="6366E100" w14:textId="77777777" w:rsidR="00A052DC" w:rsidRDefault="009F0A60">
      <w:r>
        <w:t>&lt;/REC&gt;</w:t>
      </w:r>
    </w:p>
    <w:p w14:paraId="7CD2AE5D" w14:textId="77777777" w:rsidR="00A052DC" w:rsidRDefault="009F0A60" w:rsidP="0020251D">
      <w:pPr>
        <w:pStyle w:val="5"/>
        <w:numPr>
          <w:ilvl w:val="4"/>
          <w:numId w:val="1"/>
        </w:numPr>
        <w:spacing w:before="120" w:after="120" w:line="360" w:lineRule="auto"/>
        <w:jc w:val="left"/>
      </w:pPr>
      <w:bookmarkStart w:id="1566" w:name="_Toc454386927"/>
      <w:r>
        <w:rPr>
          <w:rFonts w:hint="eastAsia"/>
        </w:rPr>
        <w:t>数据字典</w:t>
      </w:r>
      <w:bookmarkEnd w:id="1566"/>
    </w:p>
    <w:tbl>
      <w:tblPr>
        <w:tblW w:w="86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701"/>
        <w:gridCol w:w="1417"/>
        <w:gridCol w:w="3827"/>
      </w:tblGrid>
      <w:tr w:rsidR="00A052DC" w14:paraId="7DA78EAB" w14:textId="77777777">
        <w:trPr>
          <w:tblHeader/>
        </w:trPr>
        <w:tc>
          <w:tcPr>
            <w:tcW w:w="1702" w:type="dxa"/>
            <w:shd w:val="clear" w:color="auto" w:fill="C0C0C0"/>
          </w:tcPr>
          <w:p w14:paraId="39781F2B" w14:textId="77777777" w:rsidR="00A052DC" w:rsidRDefault="009F0A60">
            <w:pPr>
              <w:pStyle w:val="B1"/>
            </w:pPr>
            <w:r>
              <w:rPr>
                <w:rFonts w:hint="eastAsia"/>
              </w:rPr>
              <w:t>字段</w:t>
            </w:r>
          </w:p>
        </w:tc>
        <w:tc>
          <w:tcPr>
            <w:tcW w:w="1701" w:type="dxa"/>
            <w:shd w:val="clear" w:color="auto" w:fill="C0C0C0"/>
          </w:tcPr>
          <w:p w14:paraId="5050985A" w14:textId="77777777" w:rsidR="00A052DC" w:rsidRDefault="009F0A60">
            <w:pPr>
              <w:pStyle w:val="B1"/>
            </w:pPr>
            <w:r>
              <w:rPr>
                <w:rFonts w:hint="eastAsia"/>
              </w:rPr>
              <w:t>内容</w:t>
            </w:r>
          </w:p>
        </w:tc>
        <w:tc>
          <w:tcPr>
            <w:tcW w:w="1417" w:type="dxa"/>
            <w:shd w:val="clear" w:color="auto" w:fill="C0C0C0"/>
          </w:tcPr>
          <w:p w14:paraId="3EF18578" w14:textId="77777777" w:rsidR="00A052DC" w:rsidRDefault="009F0A60">
            <w:pPr>
              <w:pStyle w:val="B1"/>
            </w:pPr>
            <w:r>
              <w:rPr>
                <w:rFonts w:hint="eastAsia"/>
              </w:rPr>
              <w:t>类型（长度）</w:t>
            </w:r>
          </w:p>
        </w:tc>
        <w:tc>
          <w:tcPr>
            <w:tcW w:w="3827" w:type="dxa"/>
            <w:shd w:val="clear" w:color="auto" w:fill="C0C0C0"/>
          </w:tcPr>
          <w:p w14:paraId="529A1F17" w14:textId="77777777" w:rsidR="00A052DC" w:rsidRDefault="009F0A60">
            <w:pPr>
              <w:pStyle w:val="B1"/>
            </w:pPr>
            <w:r>
              <w:rPr>
                <w:rFonts w:hint="eastAsia"/>
              </w:rPr>
              <w:t>校验</w:t>
            </w:r>
          </w:p>
        </w:tc>
      </w:tr>
      <w:tr w:rsidR="00A052DC" w14:paraId="1C1562DF" w14:textId="77777777">
        <w:tc>
          <w:tcPr>
            <w:tcW w:w="1702" w:type="dxa"/>
          </w:tcPr>
          <w:p w14:paraId="201923BE" w14:textId="77777777" w:rsidR="00A052DC" w:rsidRDefault="009F0A60">
            <w:pPr>
              <w:pStyle w:val="B"/>
              <w:rPr>
                <w:szCs w:val="20"/>
              </w:rPr>
            </w:pPr>
            <w:r>
              <w:rPr>
                <w:szCs w:val="20"/>
              </w:rPr>
              <w:t>ACTIONTYPE</w:t>
            </w:r>
          </w:p>
        </w:tc>
        <w:tc>
          <w:tcPr>
            <w:tcW w:w="1701" w:type="dxa"/>
          </w:tcPr>
          <w:p w14:paraId="7F7CFFF8" w14:textId="77777777" w:rsidR="00A052DC" w:rsidRDefault="009F0A60">
            <w:pPr>
              <w:pStyle w:val="B"/>
              <w:rPr>
                <w:szCs w:val="20"/>
              </w:rPr>
            </w:pPr>
            <w:r>
              <w:rPr>
                <w:rFonts w:hint="eastAsia"/>
                <w:szCs w:val="20"/>
              </w:rPr>
              <w:t>操作类型</w:t>
            </w:r>
          </w:p>
        </w:tc>
        <w:tc>
          <w:tcPr>
            <w:tcW w:w="1417" w:type="dxa"/>
          </w:tcPr>
          <w:p w14:paraId="7974C606" w14:textId="77777777" w:rsidR="00A052DC" w:rsidRDefault="009F0A60">
            <w:pPr>
              <w:pStyle w:val="B"/>
              <w:rPr>
                <w:szCs w:val="20"/>
              </w:rPr>
            </w:pPr>
            <w:r>
              <w:rPr>
                <w:rFonts w:hint="eastAsia"/>
                <w:szCs w:val="20"/>
              </w:rPr>
              <w:t>字符型，</w:t>
            </w:r>
            <w:r>
              <w:rPr>
                <w:szCs w:val="20"/>
              </w:rPr>
              <w:t>1</w:t>
            </w:r>
          </w:p>
        </w:tc>
        <w:tc>
          <w:tcPr>
            <w:tcW w:w="3827" w:type="dxa"/>
          </w:tcPr>
          <w:p w14:paraId="0FDDDAFB" w14:textId="77777777" w:rsidR="00A052DC" w:rsidRDefault="009F0A60">
            <w:pPr>
              <w:pStyle w:val="B"/>
              <w:rPr>
                <w:szCs w:val="20"/>
              </w:rPr>
            </w:pPr>
            <w:r>
              <w:rPr>
                <w:rFonts w:hint="eastAsia"/>
                <w:szCs w:val="20"/>
              </w:rPr>
              <w:t>必填项</w:t>
            </w:r>
            <w:r w:rsidR="001D10D1">
              <w:rPr>
                <w:rFonts w:hint="eastAsia"/>
                <w:szCs w:val="20"/>
              </w:rPr>
              <w:t>。</w:t>
            </w:r>
          </w:p>
          <w:p w14:paraId="4D2679F8" w14:textId="77777777" w:rsidR="00A052DC" w:rsidRDefault="009F0A60">
            <w:pPr>
              <w:pStyle w:val="B"/>
              <w:rPr>
                <w:szCs w:val="20"/>
              </w:rPr>
            </w:pPr>
            <w:r>
              <w:rPr>
                <w:szCs w:val="20"/>
              </w:rPr>
              <w:t>A</w:t>
            </w:r>
            <w:r w:rsidR="00AE4602">
              <w:rPr>
                <w:rFonts w:hint="eastAsia"/>
                <w:szCs w:val="20"/>
              </w:rPr>
              <w:t>-</w:t>
            </w:r>
            <w:r>
              <w:rPr>
                <w:rFonts w:hint="eastAsia"/>
                <w:szCs w:val="20"/>
              </w:rPr>
              <w:t>新建</w:t>
            </w:r>
          </w:p>
          <w:p w14:paraId="5821EE11" w14:textId="77777777" w:rsidR="00A052DC" w:rsidRDefault="009F0A60">
            <w:pPr>
              <w:pStyle w:val="B"/>
              <w:rPr>
                <w:szCs w:val="20"/>
              </w:rPr>
            </w:pPr>
            <w:r>
              <w:rPr>
                <w:szCs w:val="20"/>
              </w:rPr>
              <w:t>C</w:t>
            </w:r>
            <w:r w:rsidR="00AE4602">
              <w:rPr>
                <w:rFonts w:hint="eastAsia"/>
                <w:szCs w:val="20"/>
              </w:rPr>
              <w:t>-</w:t>
            </w:r>
            <w:r>
              <w:rPr>
                <w:rFonts w:hint="eastAsia"/>
                <w:szCs w:val="20"/>
              </w:rPr>
              <w:t>修改</w:t>
            </w:r>
          </w:p>
          <w:p w14:paraId="28B6ED40" w14:textId="77777777" w:rsidR="001D10D1" w:rsidRDefault="009F0A60" w:rsidP="001D10D1">
            <w:pPr>
              <w:pStyle w:val="B"/>
              <w:rPr>
                <w:szCs w:val="20"/>
              </w:rPr>
            </w:pPr>
            <w:r>
              <w:rPr>
                <w:szCs w:val="20"/>
              </w:rPr>
              <w:t>D</w:t>
            </w:r>
            <w:r w:rsidR="00AE4602">
              <w:rPr>
                <w:rFonts w:hint="eastAsia"/>
                <w:szCs w:val="20"/>
              </w:rPr>
              <w:t>-</w:t>
            </w:r>
            <w:r>
              <w:rPr>
                <w:rFonts w:hint="eastAsia"/>
                <w:szCs w:val="20"/>
              </w:rPr>
              <w:t>删除</w:t>
            </w:r>
          </w:p>
          <w:p w14:paraId="0CB87962" w14:textId="77777777" w:rsidR="00A052DC" w:rsidRDefault="009F0A60" w:rsidP="001D10D1">
            <w:pPr>
              <w:pStyle w:val="B"/>
              <w:rPr>
                <w:szCs w:val="20"/>
              </w:rPr>
            </w:pPr>
            <w:r>
              <w:rPr>
                <w:rFonts w:hint="eastAsia"/>
                <w:szCs w:val="20"/>
              </w:rPr>
              <w:t>一旦银行报送了该外债编号下的余额信息或月末存量信息，就不可以删除了。</w:t>
            </w:r>
          </w:p>
        </w:tc>
      </w:tr>
      <w:tr w:rsidR="00A052DC" w14:paraId="23313BF1" w14:textId="77777777">
        <w:tc>
          <w:tcPr>
            <w:tcW w:w="1702" w:type="dxa"/>
          </w:tcPr>
          <w:p w14:paraId="7B7EB650" w14:textId="77777777" w:rsidR="00A052DC" w:rsidRDefault="009F0A60">
            <w:pPr>
              <w:pStyle w:val="B"/>
              <w:rPr>
                <w:szCs w:val="20"/>
              </w:rPr>
            </w:pPr>
            <w:r>
              <w:rPr>
                <w:szCs w:val="20"/>
              </w:rPr>
              <w:t>ACTIONDESC</w:t>
            </w:r>
          </w:p>
        </w:tc>
        <w:tc>
          <w:tcPr>
            <w:tcW w:w="1701" w:type="dxa"/>
          </w:tcPr>
          <w:p w14:paraId="472508D5" w14:textId="77777777" w:rsidR="00A052DC" w:rsidRDefault="009F0A60">
            <w:pPr>
              <w:pStyle w:val="B"/>
              <w:rPr>
                <w:szCs w:val="20"/>
              </w:rPr>
            </w:pPr>
            <w:r>
              <w:rPr>
                <w:rFonts w:hint="eastAsia"/>
                <w:szCs w:val="20"/>
              </w:rPr>
              <w:t>删除原因</w:t>
            </w:r>
          </w:p>
        </w:tc>
        <w:tc>
          <w:tcPr>
            <w:tcW w:w="1417" w:type="dxa"/>
          </w:tcPr>
          <w:p w14:paraId="72D0B143" w14:textId="77777777" w:rsidR="00A052DC" w:rsidRDefault="009F0A60">
            <w:pPr>
              <w:pStyle w:val="B1"/>
              <w:jc w:val="both"/>
              <w:rPr>
                <w:b w:val="0"/>
              </w:rPr>
            </w:pPr>
            <w:r>
              <w:rPr>
                <w:rFonts w:hint="eastAsia"/>
                <w:b w:val="0"/>
              </w:rPr>
              <w:t>字符型，</w:t>
            </w:r>
            <w:r>
              <w:rPr>
                <w:b w:val="0"/>
              </w:rPr>
              <w:t>128</w:t>
            </w:r>
          </w:p>
        </w:tc>
        <w:tc>
          <w:tcPr>
            <w:tcW w:w="3827" w:type="dxa"/>
          </w:tcPr>
          <w:p w14:paraId="4B2D4808" w14:textId="77777777" w:rsidR="00A052DC" w:rsidRDefault="00DD6AA3" w:rsidP="001D10D1">
            <w:pPr>
              <w:pStyle w:val="B"/>
              <w:rPr>
                <w:szCs w:val="20"/>
              </w:rPr>
            </w:pPr>
            <w:r>
              <w:rPr>
                <w:rFonts w:hint="eastAsia"/>
                <w:szCs w:val="20"/>
              </w:rPr>
              <w:t>非必填项，当操作类型（ACTIONTYPE）为删除时必填。</w:t>
            </w:r>
          </w:p>
        </w:tc>
      </w:tr>
      <w:tr w:rsidR="00A052DC" w14:paraId="13D124DA" w14:textId="77777777">
        <w:tc>
          <w:tcPr>
            <w:tcW w:w="1702" w:type="dxa"/>
          </w:tcPr>
          <w:p w14:paraId="32D548A5" w14:textId="77777777" w:rsidR="00A052DC" w:rsidRDefault="009F0A60">
            <w:pPr>
              <w:pStyle w:val="B"/>
              <w:rPr>
                <w:szCs w:val="20"/>
              </w:rPr>
            </w:pPr>
            <w:r>
              <w:rPr>
                <w:szCs w:val="20"/>
              </w:rPr>
              <w:t>EXDEBTCODE</w:t>
            </w:r>
          </w:p>
        </w:tc>
        <w:tc>
          <w:tcPr>
            <w:tcW w:w="1701" w:type="dxa"/>
          </w:tcPr>
          <w:p w14:paraId="3B50AF58" w14:textId="77777777" w:rsidR="00A052DC" w:rsidRDefault="009F0A60">
            <w:pPr>
              <w:pStyle w:val="B"/>
              <w:rPr>
                <w:szCs w:val="20"/>
              </w:rPr>
            </w:pPr>
            <w:r>
              <w:rPr>
                <w:rFonts w:hint="eastAsia"/>
                <w:szCs w:val="20"/>
              </w:rPr>
              <w:t>外债编号</w:t>
            </w:r>
          </w:p>
        </w:tc>
        <w:tc>
          <w:tcPr>
            <w:tcW w:w="1417" w:type="dxa"/>
          </w:tcPr>
          <w:p w14:paraId="21638ECC" w14:textId="77777777" w:rsidR="00A052DC" w:rsidRDefault="009F0A60">
            <w:pPr>
              <w:pStyle w:val="B"/>
              <w:rPr>
                <w:szCs w:val="20"/>
              </w:rPr>
            </w:pPr>
            <w:r>
              <w:rPr>
                <w:rFonts w:hint="eastAsia"/>
                <w:szCs w:val="20"/>
              </w:rPr>
              <w:t>字符型，</w:t>
            </w:r>
            <w:r>
              <w:rPr>
                <w:szCs w:val="20"/>
              </w:rPr>
              <w:t>28</w:t>
            </w:r>
          </w:p>
        </w:tc>
        <w:tc>
          <w:tcPr>
            <w:tcW w:w="3827" w:type="dxa"/>
          </w:tcPr>
          <w:p w14:paraId="0369FB0F" w14:textId="77777777" w:rsidR="00A052DC" w:rsidRDefault="009F0A60" w:rsidP="001D10D1">
            <w:pPr>
              <w:pStyle w:val="B"/>
              <w:rPr>
                <w:szCs w:val="20"/>
              </w:rPr>
            </w:pPr>
            <w:r>
              <w:rPr>
                <w:rFonts w:hint="eastAsia"/>
                <w:szCs w:val="20"/>
              </w:rPr>
              <w:t>必填项，外债唯一性编码。</w:t>
            </w:r>
          </w:p>
        </w:tc>
      </w:tr>
      <w:tr w:rsidR="00A052DC" w14:paraId="0E8C9AC5" w14:textId="77777777">
        <w:tc>
          <w:tcPr>
            <w:tcW w:w="1702" w:type="dxa"/>
          </w:tcPr>
          <w:p w14:paraId="597F6DB9" w14:textId="77777777" w:rsidR="00A052DC" w:rsidRDefault="009F0A60">
            <w:pPr>
              <w:pStyle w:val="B"/>
              <w:rPr>
                <w:szCs w:val="20"/>
              </w:rPr>
            </w:pPr>
            <w:r>
              <w:rPr>
                <w:szCs w:val="20"/>
              </w:rPr>
              <w:t>Limittype</w:t>
            </w:r>
          </w:p>
        </w:tc>
        <w:tc>
          <w:tcPr>
            <w:tcW w:w="1701" w:type="dxa"/>
          </w:tcPr>
          <w:p w14:paraId="08A14AB2" w14:textId="77777777" w:rsidR="00A052DC" w:rsidRDefault="009F0A60">
            <w:pPr>
              <w:pStyle w:val="B"/>
              <w:rPr>
                <w:szCs w:val="20"/>
              </w:rPr>
            </w:pPr>
            <w:r>
              <w:rPr>
                <w:rFonts w:hint="eastAsia"/>
                <w:szCs w:val="20"/>
              </w:rPr>
              <w:t>账户类型</w:t>
            </w:r>
          </w:p>
        </w:tc>
        <w:tc>
          <w:tcPr>
            <w:tcW w:w="1417" w:type="dxa"/>
          </w:tcPr>
          <w:p w14:paraId="2EBB4523" w14:textId="77777777" w:rsidR="00A052DC" w:rsidRDefault="009F0A60">
            <w:pPr>
              <w:pStyle w:val="B"/>
              <w:rPr>
                <w:szCs w:val="20"/>
              </w:rPr>
            </w:pPr>
            <w:r>
              <w:rPr>
                <w:rFonts w:hint="eastAsia"/>
                <w:szCs w:val="20"/>
              </w:rPr>
              <w:t>字符型，</w:t>
            </w:r>
            <w:r>
              <w:rPr>
                <w:szCs w:val="20"/>
              </w:rPr>
              <w:t>4</w:t>
            </w:r>
          </w:p>
        </w:tc>
        <w:tc>
          <w:tcPr>
            <w:tcW w:w="3827" w:type="dxa"/>
          </w:tcPr>
          <w:p w14:paraId="61582B93" w14:textId="77777777" w:rsidR="00A052DC" w:rsidRDefault="009F0A60">
            <w:pPr>
              <w:pStyle w:val="B"/>
              <w:rPr>
                <w:szCs w:val="20"/>
              </w:rPr>
            </w:pPr>
            <w:r>
              <w:rPr>
                <w:rFonts w:hint="eastAsia"/>
                <w:szCs w:val="20"/>
              </w:rPr>
              <w:t>必填项，见非居民机构账户类型代码表。</w:t>
            </w:r>
          </w:p>
        </w:tc>
      </w:tr>
      <w:tr w:rsidR="00A052DC" w14:paraId="0928BB49" w14:textId="77777777">
        <w:tc>
          <w:tcPr>
            <w:tcW w:w="1702" w:type="dxa"/>
          </w:tcPr>
          <w:p w14:paraId="431A2E6A" w14:textId="77777777" w:rsidR="00A052DC" w:rsidRDefault="009F0A60">
            <w:pPr>
              <w:pStyle w:val="B"/>
              <w:rPr>
                <w:szCs w:val="20"/>
              </w:rPr>
            </w:pPr>
            <w:r>
              <w:rPr>
                <w:szCs w:val="20"/>
              </w:rPr>
              <w:t>DEBTORCODE</w:t>
            </w:r>
          </w:p>
        </w:tc>
        <w:tc>
          <w:tcPr>
            <w:tcW w:w="1701" w:type="dxa"/>
          </w:tcPr>
          <w:p w14:paraId="5E7370D9" w14:textId="77777777" w:rsidR="00A052DC" w:rsidRDefault="009F0A60">
            <w:pPr>
              <w:pStyle w:val="B"/>
              <w:rPr>
                <w:szCs w:val="20"/>
              </w:rPr>
            </w:pPr>
            <w:r>
              <w:rPr>
                <w:rFonts w:hint="eastAsia"/>
                <w:szCs w:val="20"/>
              </w:rPr>
              <w:t>债务人代码</w:t>
            </w:r>
          </w:p>
        </w:tc>
        <w:tc>
          <w:tcPr>
            <w:tcW w:w="1417" w:type="dxa"/>
          </w:tcPr>
          <w:p w14:paraId="0DBD1498" w14:textId="77777777" w:rsidR="00A052DC" w:rsidRDefault="009F0A60">
            <w:pPr>
              <w:pStyle w:val="B"/>
              <w:rPr>
                <w:szCs w:val="20"/>
              </w:rPr>
            </w:pPr>
            <w:r>
              <w:rPr>
                <w:rFonts w:hint="eastAsia"/>
                <w:szCs w:val="20"/>
              </w:rPr>
              <w:t>字符型，</w:t>
            </w:r>
            <w:r>
              <w:rPr>
                <w:szCs w:val="20"/>
              </w:rPr>
              <w:t>12</w:t>
            </w:r>
          </w:p>
        </w:tc>
        <w:tc>
          <w:tcPr>
            <w:tcW w:w="3827" w:type="dxa"/>
          </w:tcPr>
          <w:p w14:paraId="29CBC3F1" w14:textId="77777777" w:rsidR="00A052DC" w:rsidRDefault="009F0A60" w:rsidP="001D10D1">
            <w:pPr>
              <w:pStyle w:val="B"/>
              <w:rPr>
                <w:szCs w:val="20"/>
              </w:rPr>
            </w:pPr>
            <w:r>
              <w:rPr>
                <w:rFonts w:hint="eastAsia"/>
                <w:szCs w:val="20"/>
              </w:rPr>
              <w:t>必填项，金融机构标识码。</w:t>
            </w:r>
          </w:p>
        </w:tc>
      </w:tr>
      <w:tr w:rsidR="00A052DC" w14:paraId="3A5CA639" w14:textId="77777777">
        <w:tc>
          <w:tcPr>
            <w:tcW w:w="1702" w:type="dxa"/>
          </w:tcPr>
          <w:p w14:paraId="7AA5A4FA" w14:textId="77777777" w:rsidR="00A052DC" w:rsidRDefault="009F0A60">
            <w:pPr>
              <w:pStyle w:val="B"/>
              <w:rPr>
                <w:szCs w:val="20"/>
              </w:rPr>
            </w:pPr>
            <w:r>
              <w:rPr>
                <w:szCs w:val="20"/>
              </w:rPr>
              <w:t>DEBTYPE</w:t>
            </w:r>
          </w:p>
        </w:tc>
        <w:tc>
          <w:tcPr>
            <w:tcW w:w="1701" w:type="dxa"/>
          </w:tcPr>
          <w:p w14:paraId="3FB6F345" w14:textId="77777777" w:rsidR="00A052DC" w:rsidRDefault="009F0A60">
            <w:pPr>
              <w:pStyle w:val="B"/>
              <w:rPr>
                <w:szCs w:val="20"/>
              </w:rPr>
            </w:pPr>
            <w:r>
              <w:rPr>
                <w:rFonts w:hint="eastAsia"/>
                <w:szCs w:val="20"/>
              </w:rPr>
              <w:t>债务类型</w:t>
            </w:r>
          </w:p>
        </w:tc>
        <w:tc>
          <w:tcPr>
            <w:tcW w:w="1417" w:type="dxa"/>
          </w:tcPr>
          <w:p w14:paraId="689F7FFF" w14:textId="77777777" w:rsidR="00A052DC" w:rsidRDefault="009F0A60">
            <w:pPr>
              <w:pStyle w:val="B"/>
              <w:rPr>
                <w:szCs w:val="20"/>
              </w:rPr>
            </w:pPr>
            <w:r>
              <w:rPr>
                <w:rFonts w:hint="eastAsia"/>
                <w:szCs w:val="20"/>
              </w:rPr>
              <w:t>字符型，</w:t>
            </w:r>
            <w:r>
              <w:rPr>
                <w:szCs w:val="20"/>
              </w:rPr>
              <w:t>4</w:t>
            </w:r>
          </w:p>
        </w:tc>
        <w:tc>
          <w:tcPr>
            <w:tcW w:w="3827" w:type="dxa"/>
          </w:tcPr>
          <w:p w14:paraId="49FE42FC" w14:textId="77777777" w:rsidR="00A052DC" w:rsidRDefault="009F0A60" w:rsidP="001D10D1">
            <w:pPr>
              <w:pStyle w:val="B"/>
              <w:rPr>
                <w:szCs w:val="20"/>
              </w:rPr>
            </w:pPr>
            <w:r>
              <w:rPr>
                <w:rFonts w:hint="eastAsia"/>
                <w:szCs w:val="20"/>
              </w:rPr>
              <w:t>必填项，见债务类型代码表。</w:t>
            </w:r>
          </w:p>
        </w:tc>
      </w:tr>
      <w:tr w:rsidR="00A052DC" w14:paraId="6BA28F21" w14:textId="77777777">
        <w:trPr>
          <w:cantSplit/>
          <w:trHeight w:val="64"/>
        </w:trPr>
        <w:tc>
          <w:tcPr>
            <w:tcW w:w="1702" w:type="dxa"/>
          </w:tcPr>
          <w:p w14:paraId="0F61A909" w14:textId="77777777" w:rsidR="00A052DC" w:rsidRDefault="009F0A60">
            <w:pPr>
              <w:pStyle w:val="B"/>
              <w:rPr>
                <w:szCs w:val="20"/>
              </w:rPr>
            </w:pPr>
            <w:r>
              <w:rPr>
                <w:szCs w:val="20"/>
              </w:rPr>
              <w:t>VALUEDATE</w:t>
            </w:r>
          </w:p>
        </w:tc>
        <w:tc>
          <w:tcPr>
            <w:tcW w:w="1701" w:type="dxa"/>
          </w:tcPr>
          <w:p w14:paraId="309E66F5" w14:textId="77777777" w:rsidR="00A052DC" w:rsidRDefault="009F0A60">
            <w:pPr>
              <w:pStyle w:val="B"/>
              <w:rPr>
                <w:szCs w:val="20"/>
              </w:rPr>
            </w:pPr>
            <w:r>
              <w:rPr>
                <w:rFonts w:hint="eastAsia"/>
                <w:szCs w:val="20"/>
              </w:rPr>
              <w:t>起息日</w:t>
            </w:r>
          </w:p>
        </w:tc>
        <w:tc>
          <w:tcPr>
            <w:tcW w:w="1417" w:type="dxa"/>
          </w:tcPr>
          <w:p w14:paraId="47E090AE" w14:textId="77777777" w:rsidR="00A052DC" w:rsidRDefault="009F0A60">
            <w:pPr>
              <w:pStyle w:val="B"/>
              <w:rPr>
                <w:szCs w:val="20"/>
              </w:rPr>
            </w:pPr>
            <w:r>
              <w:rPr>
                <w:rFonts w:hint="eastAsia"/>
                <w:szCs w:val="20"/>
              </w:rPr>
              <w:t>日期型，</w:t>
            </w:r>
            <w:r>
              <w:rPr>
                <w:szCs w:val="20"/>
              </w:rPr>
              <w:t>8</w:t>
            </w:r>
          </w:p>
        </w:tc>
        <w:tc>
          <w:tcPr>
            <w:tcW w:w="3827" w:type="dxa"/>
          </w:tcPr>
          <w:p w14:paraId="0D1B4E96" w14:textId="77777777" w:rsidR="00A052DC" w:rsidRDefault="009F0A60" w:rsidP="001D10D1">
            <w:pPr>
              <w:pStyle w:val="B"/>
              <w:rPr>
                <w:szCs w:val="20"/>
              </w:rPr>
            </w:pPr>
            <w:r>
              <w:rPr>
                <w:rFonts w:hint="eastAsia"/>
                <w:szCs w:val="20"/>
              </w:rPr>
              <w:t>必填项，格式</w:t>
            </w:r>
            <w:r>
              <w:rPr>
                <w:szCs w:val="20"/>
              </w:rPr>
              <w:t>YYYYMMDD</w:t>
            </w:r>
            <w:r>
              <w:rPr>
                <w:rFonts w:hint="eastAsia"/>
                <w:szCs w:val="20"/>
              </w:rPr>
              <w:t>。</w:t>
            </w:r>
          </w:p>
        </w:tc>
      </w:tr>
      <w:tr w:rsidR="00A052DC" w14:paraId="2D1B82DD" w14:textId="77777777">
        <w:trPr>
          <w:cantSplit/>
          <w:trHeight w:val="64"/>
        </w:trPr>
        <w:tc>
          <w:tcPr>
            <w:tcW w:w="1702" w:type="dxa"/>
          </w:tcPr>
          <w:p w14:paraId="5659DF7F" w14:textId="77777777" w:rsidR="00A052DC" w:rsidRDefault="009F0A60">
            <w:pPr>
              <w:pStyle w:val="B"/>
              <w:rPr>
                <w:szCs w:val="20"/>
              </w:rPr>
            </w:pPr>
            <w:r>
              <w:rPr>
                <w:szCs w:val="20"/>
              </w:rPr>
              <w:t>CONTRACTCURR</w:t>
            </w:r>
          </w:p>
        </w:tc>
        <w:tc>
          <w:tcPr>
            <w:tcW w:w="1701" w:type="dxa"/>
          </w:tcPr>
          <w:p w14:paraId="50DFE460" w14:textId="77777777" w:rsidR="00A052DC" w:rsidRDefault="009F0A60">
            <w:pPr>
              <w:pStyle w:val="B"/>
              <w:rPr>
                <w:szCs w:val="20"/>
              </w:rPr>
            </w:pPr>
            <w:r>
              <w:rPr>
                <w:rFonts w:hint="eastAsia"/>
                <w:szCs w:val="20"/>
              </w:rPr>
              <w:t>签约币种</w:t>
            </w:r>
          </w:p>
        </w:tc>
        <w:tc>
          <w:tcPr>
            <w:tcW w:w="1417" w:type="dxa"/>
          </w:tcPr>
          <w:p w14:paraId="38491D87" w14:textId="77777777" w:rsidR="00A052DC" w:rsidRDefault="009F0A60">
            <w:pPr>
              <w:pStyle w:val="B"/>
              <w:rPr>
                <w:szCs w:val="20"/>
              </w:rPr>
            </w:pPr>
            <w:r>
              <w:rPr>
                <w:rFonts w:hint="eastAsia"/>
                <w:szCs w:val="20"/>
              </w:rPr>
              <w:t>字符型，</w:t>
            </w:r>
            <w:r>
              <w:rPr>
                <w:szCs w:val="20"/>
              </w:rPr>
              <w:t>3</w:t>
            </w:r>
          </w:p>
        </w:tc>
        <w:tc>
          <w:tcPr>
            <w:tcW w:w="3827" w:type="dxa"/>
          </w:tcPr>
          <w:p w14:paraId="67FE9809" w14:textId="77777777" w:rsidR="00A052DC" w:rsidRDefault="009F0A60" w:rsidP="001D10D1">
            <w:pPr>
              <w:pStyle w:val="B"/>
              <w:rPr>
                <w:szCs w:val="20"/>
              </w:rPr>
            </w:pPr>
            <w:r>
              <w:rPr>
                <w:rFonts w:hint="eastAsia"/>
                <w:szCs w:val="20"/>
              </w:rPr>
              <w:t>必填项，见币种代码表。</w:t>
            </w:r>
          </w:p>
        </w:tc>
      </w:tr>
      <w:tr w:rsidR="00A052DC" w14:paraId="520F92BB" w14:textId="77777777">
        <w:trPr>
          <w:cantSplit/>
          <w:trHeight w:val="64"/>
        </w:trPr>
        <w:tc>
          <w:tcPr>
            <w:tcW w:w="1702" w:type="dxa"/>
          </w:tcPr>
          <w:p w14:paraId="137819DA" w14:textId="77777777" w:rsidR="00A052DC" w:rsidRDefault="009F0A60">
            <w:pPr>
              <w:pStyle w:val="B"/>
              <w:rPr>
                <w:szCs w:val="20"/>
              </w:rPr>
            </w:pPr>
            <w:r>
              <w:rPr>
                <w:szCs w:val="20"/>
              </w:rPr>
              <w:t>FLOATRATE</w:t>
            </w:r>
          </w:p>
        </w:tc>
        <w:tc>
          <w:tcPr>
            <w:tcW w:w="1701" w:type="dxa"/>
          </w:tcPr>
          <w:p w14:paraId="01847134" w14:textId="77777777" w:rsidR="00A052DC" w:rsidRDefault="009F0A60">
            <w:pPr>
              <w:pStyle w:val="B"/>
              <w:rPr>
                <w:szCs w:val="20"/>
              </w:rPr>
            </w:pPr>
            <w:r>
              <w:rPr>
                <w:rFonts w:hint="eastAsia"/>
                <w:szCs w:val="20"/>
              </w:rPr>
              <w:t>是否浮动利率</w:t>
            </w:r>
          </w:p>
        </w:tc>
        <w:tc>
          <w:tcPr>
            <w:tcW w:w="1417" w:type="dxa"/>
          </w:tcPr>
          <w:p w14:paraId="50F7836C" w14:textId="77777777" w:rsidR="00A052DC" w:rsidRDefault="009F0A60">
            <w:pPr>
              <w:pStyle w:val="B"/>
              <w:rPr>
                <w:szCs w:val="20"/>
              </w:rPr>
            </w:pPr>
            <w:r>
              <w:rPr>
                <w:rFonts w:hint="eastAsia"/>
                <w:szCs w:val="20"/>
              </w:rPr>
              <w:t>字符型，</w:t>
            </w:r>
            <w:r>
              <w:rPr>
                <w:szCs w:val="20"/>
              </w:rPr>
              <w:t>1</w:t>
            </w:r>
          </w:p>
        </w:tc>
        <w:tc>
          <w:tcPr>
            <w:tcW w:w="3827" w:type="dxa"/>
          </w:tcPr>
          <w:p w14:paraId="4279B488" w14:textId="77777777" w:rsidR="00A052DC" w:rsidRDefault="009F0A60">
            <w:pPr>
              <w:pStyle w:val="B"/>
              <w:rPr>
                <w:szCs w:val="20"/>
              </w:rPr>
            </w:pPr>
            <w:r>
              <w:rPr>
                <w:rFonts w:hint="eastAsia"/>
                <w:szCs w:val="20"/>
              </w:rPr>
              <w:t>必填项，是</w:t>
            </w:r>
            <w:r>
              <w:rPr>
                <w:szCs w:val="20"/>
              </w:rPr>
              <w:t>-Y</w:t>
            </w:r>
            <w:r>
              <w:rPr>
                <w:rFonts w:hint="eastAsia"/>
                <w:szCs w:val="20"/>
              </w:rPr>
              <w:t>，否</w:t>
            </w:r>
            <w:r>
              <w:rPr>
                <w:szCs w:val="20"/>
              </w:rPr>
              <w:t>-N</w:t>
            </w:r>
            <w:r>
              <w:rPr>
                <w:rFonts w:hint="eastAsia"/>
                <w:szCs w:val="20"/>
              </w:rPr>
              <w:t>，默认为否，填写</w:t>
            </w:r>
            <w:r>
              <w:rPr>
                <w:szCs w:val="20"/>
              </w:rPr>
              <w:t>N</w:t>
            </w:r>
            <w:r>
              <w:rPr>
                <w:rFonts w:hint="eastAsia"/>
                <w:szCs w:val="20"/>
              </w:rPr>
              <w:t>。</w:t>
            </w:r>
          </w:p>
        </w:tc>
      </w:tr>
      <w:tr w:rsidR="00A052DC" w14:paraId="4FE100F4" w14:textId="77777777">
        <w:trPr>
          <w:cantSplit/>
          <w:trHeight w:val="64"/>
        </w:trPr>
        <w:tc>
          <w:tcPr>
            <w:tcW w:w="1702" w:type="dxa"/>
          </w:tcPr>
          <w:p w14:paraId="3A7CFB28" w14:textId="77777777" w:rsidR="00A052DC" w:rsidRDefault="009F0A60">
            <w:pPr>
              <w:pStyle w:val="B"/>
              <w:rPr>
                <w:szCs w:val="20"/>
              </w:rPr>
            </w:pPr>
            <w:r>
              <w:rPr>
                <w:szCs w:val="20"/>
              </w:rPr>
              <w:t>ANNINRATE</w:t>
            </w:r>
          </w:p>
        </w:tc>
        <w:tc>
          <w:tcPr>
            <w:tcW w:w="1701" w:type="dxa"/>
          </w:tcPr>
          <w:p w14:paraId="67BC0499" w14:textId="77777777" w:rsidR="00A052DC" w:rsidRDefault="009F0A60">
            <w:pPr>
              <w:pStyle w:val="B"/>
              <w:rPr>
                <w:szCs w:val="20"/>
              </w:rPr>
            </w:pPr>
            <w:r>
              <w:rPr>
                <w:rFonts w:hint="eastAsia"/>
                <w:szCs w:val="20"/>
              </w:rPr>
              <w:t>年化利率值</w:t>
            </w:r>
          </w:p>
        </w:tc>
        <w:tc>
          <w:tcPr>
            <w:tcW w:w="1417" w:type="dxa"/>
          </w:tcPr>
          <w:p w14:paraId="33093DF8" w14:textId="77777777" w:rsidR="00A052DC" w:rsidRDefault="009F0A60">
            <w:pPr>
              <w:pStyle w:val="B"/>
              <w:rPr>
                <w:szCs w:val="20"/>
              </w:rPr>
            </w:pPr>
            <w:r>
              <w:rPr>
                <w:rFonts w:hint="eastAsia"/>
                <w:szCs w:val="20"/>
              </w:rPr>
              <w:t>数值型，</w:t>
            </w:r>
            <w:r>
              <w:rPr>
                <w:szCs w:val="20"/>
              </w:rPr>
              <w:t>13.8</w:t>
            </w:r>
          </w:p>
        </w:tc>
        <w:tc>
          <w:tcPr>
            <w:tcW w:w="3827" w:type="dxa"/>
          </w:tcPr>
          <w:p w14:paraId="049B2B83" w14:textId="77777777" w:rsidR="00A052DC" w:rsidRDefault="009F0A60" w:rsidP="001D10D1">
            <w:pPr>
              <w:pStyle w:val="B"/>
              <w:rPr>
                <w:szCs w:val="20"/>
              </w:rPr>
            </w:pPr>
            <w:r>
              <w:rPr>
                <w:rFonts w:hint="eastAsia"/>
                <w:szCs w:val="20"/>
              </w:rPr>
              <w:t>必填项，大于等于</w:t>
            </w:r>
            <w:r>
              <w:rPr>
                <w:szCs w:val="20"/>
              </w:rPr>
              <w:t>0</w:t>
            </w:r>
            <w:r>
              <w:rPr>
                <w:rFonts w:hint="eastAsia"/>
                <w:szCs w:val="20"/>
              </w:rPr>
              <w:t>，按小数填写</w:t>
            </w:r>
            <w:r w:rsidR="001D10D1">
              <w:rPr>
                <w:rFonts w:hint="eastAsia"/>
                <w:szCs w:val="20"/>
              </w:rPr>
              <w:t>。</w:t>
            </w:r>
            <w:r>
              <w:rPr>
                <w:rFonts w:hint="eastAsia"/>
                <w:szCs w:val="20"/>
              </w:rPr>
              <w:t>如利率为</w:t>
            </w:r>
            <w:r>
              <w:rPr>
                <w:szCs w:val="20"/>
              </w:rPr>
              <w:t>3.21%</w:t>
            </w:r>
            <w:r>
              <w:rPr>
                <w:rFonts w:hint="eastAsia"/>
                <w:szCs w:val="20"/>
              </w:rPr>
              <w:t>，则填写</w:t>
            </w:r>
            <w:r>
              <w:rPr>
                <w:szCs w:val="20"/>
              </w:rPr>
              <w:t>0.0321</w:t>
            </w:r>
            <w:r>
              <w:rPr>
                <w:rFonts w:hint="eastAsia"/>
                <w:szCs w:val="20"/>
              </w:rPr>
              <w:t>。</w:t>
            </w:r>
          </w:p>
        </w:tc>
      </w:tr>
      <w:tr w:rsidR="00A052DC" w14:paraId="5D1D58A6" w14:textId="77777777">
        <w:tc>
          <w:tcPr>
            <w:tcW w:w="1702" w:type="dxa"/>
          </w:tcPr>
          <w:p w14:paraId="05EE6B9C" w14:textId="77777777" w:rsidR="00A052DC" w:rsidRDefault="009F0A60">
            <w:pPr>
              <w:pStyle w:val="B"/>
              <w:rPr>
                <w:szCs w:val="20"/>
              </w:rPr>
            </w:pPr>
            <w:r>
              <w:rPr>
                <w:szCs w:val="20"/>
              </w:rPr>
              <w:t>CREDITORCODE</w:t>
            </w:r>
          </w:p>
        </w:tc>
        <w:tc>
          <w:tcPr>
            <w:tcW w:w="1701" w:type="dxa"/>
          </w:tcPr>
          <w:p w14:paraId="26A2E06B" w14:textId="77777777" w:rsidR="00A052DC" w:rsidRDefault="009F0A60">
            <w:pPr>
              <w:pStyle w:val="B"/>
              <w:rPr>
                <w:szCs w:val="20"/>
              </w:rPr>
            </w:pPr>
            <w:r>
              <w:rPr>
                <w:rFonts w:hint="eastAsia"/>
                <w:szCs w:val="20"/>
              </w:rPr>
              <w:t>债权人代码</w:t>
            </w:r>
          </w:p>
        </w:tc>
        <w:tc>
          <w:tcPr>
            <w:tcW w:w="1417" w:type="dxa"/>
          </w:tcPr>
          <w:p w14:paraId="51882ACF" w14:textId="77777777" w:rsidR="00A052DC" w:rsidRDefault="009F0A60">
            <w:pPr>
              <w:pStyle w:val="B"/>
              <w:rPr>
                <w:szCs w:val="20"/>
              </w:rPr>
            </w:pPr>
            <w:r>
              <w:rPr>
                <w:rFonts w:hint="eastAsia"/>
                <w:szCs w:val="20"/>
              </w:rPr>
              <w:t>字符型，</w:t>
            </w:r>
            <w:r>
              <w:rPr>
                <w:szCs w:val="20"/>
              </w:rPr>
              <w:t>11</w:t>
            </w:r>
          </w:p>
        </w:tc>
        <w:tc>
          <w:tcPr>
            <w:tcW w:w="3827" w:type="dxa"/>
          </w:tcPr>
          <w:p w14:paraId="6FDF1B0B" w14:textId="77777777" w:rsidR="00A052DC" w:rsidRDefault="009F0A60">
            <w:pPr>
              <w:pStyle w:val="B"/>
              <w:rPr>
                <w:szCs w:val="20"/>
              </w:rPr>
            </w:pPr>
            <w:r>
              <w:rPr>
                <w:rFonts w:hint="eastAsia"/>
                <w:szCs w:val="20"/>
              </w:rPr>
              <w:t>非必填项。</w:t>
            </w:r>
          </w:p>
        </w:tc>
      </w:tr>
      <w:tr w:rsidR="00A052DC" w14:paraId="20C8ED7D" w14:textId="77777777">
        <w:tc>
          <w:tcPr>
            <w:tcW w:w="1702" w:type="dxa"/>
          </w:tcPr>
          <w:p w14:paraId="49DEC89F" w14:textId="77777777" w:rsidR="00A052DC" w:rsidRDefault="009F0A60">
            <w:pPr>
              <w:pStyle w:val="B"/>
              <w:rPr>
                <w:szCs w:val="20"/>
              </w:rPr>
            </w:pPr>
            <w:r>
              <w:rPr>
                <w:szCs w:val="20"/>
              </w:rPr>
              <w:t>CREDITORNAME</w:t>
            </w:r>
          </w:p>
        </w:tc>
        <w:tc>
          <w:tcPr>
            <w:tcW w:w="1701" w:type="dxa"/>
          </w:tcPr>
          <w:p w14:paraId="02C36052" w14:textId="77777777" w:rsidR="00A052DC" w:rsidRDefault="009F0A60">
            <w:pPr>
              <w:pStyle w:val="B"/>
              <w:rPr>
                <w:szCs w:val="20"/>
              </w:rPr>
            </w:pPr>
            <w:r>
              <w:rPr>
                <w:rFonts w:hint="eastAsia"/>
                <w:szCs w:val="20"/>
              </w:rPr>
              <w:t>债权人中文名称</w:t>
            </w:r>
          </w:p>
        </w:tc>
        <w:tc>
          <w:tcPr>
            <w:tcW w:w="1417" w:type="dxa"/>
          </w:tcPr>
          <w:p w14:paraId="1C52D420" w14:textId="77777777" w:rsidR="00A052DC" w:rsidRDefault="009F0A60">
            <w:pPr>
              <w:pStyle w:val="B"/>
              <w:rPr>
                <w:szCs w:val="20"/>
              </w:rPr>
            </w:pPr>
            <w:r>
              <w:rPr>
                <w:rFonts w:hint="eastAsia"/>
                <w:szCs w:val="20"/>
              </w:rPr>
              <w:t>字符型，</w:t>
            </w:r>
            <w:r>
              <w:rPr>
                <w:szCs w:val="20"/>
              </w:rPr>
              <w:t>128</w:t>
            </w:r>
          </w:p>
        </w:tc>
        <w:tc>
          <w:tcPr>
            <w:tcW w:w="3827" w:type="dxa"/>
          </w:tcPr>
          <w:p w14:paraId="30A09B28" w14:textId="77777777" w:rsidR="00A052DC" w:rsidRDefault="009F0A60">
            <w:pPr>
              <w:pStyle w:val="B"/>
              <w:rPr>
                <w:szCs w:val="20"/>
              </w:rPr>
            </w:pPr>
            <w:r>
              <w:rPr>
                <w:rFonts w:hint="eastAsia"/>
                <w:szCs w:val="20"/>
              </w:rPr>
              <w:t>非必填项，</w:t>
            </w:r>
          </w:p>
          <w:p w14:paraId="1C6D1B9C" w14:textId="77777777" w:rsidR="00A052DC" w:rsidRDefault="009F0A60">
            <w:pPr>
              <w:pStyle w:val="B"/>
              <w:rPr>
                <w:szCs w:val="20"/>
              </w:rPr>
            </w:pPr>
            <w:r>
              <w:rPr>
                <w:rFonts w:hint="eastAsia"/>
                <w:szCs w:val="20"/>
              </w:rPr>
              <w:t>债权人中文名称和债权人英文名称至少填写一个。</w:t>
            </w:r>
          </w:p>
        </w:tc>
      </w:tr>
      <w:tr w:rsidR="00A052DC" w14:paraId="3BEDAC46" w14:textId="77777777">
        <w:tc>
          <w:tcPr>
            <w:tcW w:w="1702" w:type="dxa"/>
          </w:tcPr>
          <w:p w14:paraId="574BA8A1" w14:textId="77777777" w:rsidR="00A052DC" w:rsidRDefault="009F0A60">
            <w:pPr>
              <w:pStyle w:val="B"/>
              <w:rPr>
                <w:szCs w:val="20"/>
              </w:rPr>
            </w:pPr>
            <w:r>
              <w:rPr>
                <w:szCs w:val="20"/>
              </w:rPr>
              <w:t>CREDITORNAMEN</w:t>
            </w:r>
          </w:p>
        </w:tc>
        <w:tc>
          <w:tcPr>
            <w:tcW w:w="1701" w:type="dxa"/>
          </w:tcPr>
          <w:p w14:paraId="0C9108A0" w14:textId="77777777" w:rsidR="00A052DC" w:rsidRDefault="009F0A60">
            <w:pPr>
              <w:pStyle w:val="B"/>
              <w:rPr>
                <w:szCs w:val="20"/>
              </w:rPr>
            </w:pPr>
            <w:r>
              <w:rPr>
                <w:rFonts w:hint="eastAsia"/>
                <w:szCs w:val="20"/>
              </w:rPr>
              <w:t>债权人英文名称</w:t>
            </w:r>
          </w:p>
        </w:tc>
        <w:tc>
          <w:tcPr>
            <w:tcW w:w="1417" w:type="dxa"/>
          </w:tcPr>
          <w:p w14:paraId="33049753" w14:textId="77777777" w:rsidR="00A052DC" w:rsidRDefault="009F0A60">
            <w:pPr>
              <w:pStyle w:val="B"/>
              <w:rPr>
                <w:szCs w:val="20"/>
              </w:rPr>
            </w:pPr>
            <w:r>
              <w:rPr>
                <w:rFonts w:hint="eastAsia"/>
                <w:szCs w:val="20"/>
              </w:rPr>
              <w:t>字符型，</w:t>
            </w:r>
            <w:r>
              <w:rPr>
                <w:szCs w:val="20"/>
              </w:rPr>
              <w:t>128</w:t>
            </w:r>
          </w:p>
        </w:tc>
        <w:tc>
          <w:tcPr>
            <w:tcW w:w="3827" w:type="dxa"/>
          </w:tcPr>
          <w:p w14:paraId="522E23A4" w14:textId="77777777" w:rsidR="00A052DC" w:rsidRDefault="009F0A60">
            <w:pPr>
              <w:pStyle w:val="B"/>
              <w:rPr>
                <w:szCs w:val="20"/>
              </w:rPr>
            </w:pPr>
            <w:r>
              <w:rPr>
                <w:rFonts w:hint="eastAsia"/>
                <w:szCs w:val="20"/>
              </w:rPr>
              <w:t>非必填项，</w:t>
            </w:r>
          </w:p>
          <w:p w14:paraId="4F1A3846" w14:textId="77777777" w:rsidR="00A052DC" w:rsidRDefault="009F0A60">
            <w:pPr>
              <w:pStyle w:val="B"/>
              <w:rPr>
                <w:szCs w:val="20"/>
              </w:rPr>
            </w:pPr>
            <w:r>
              <w:rPr>
                <w:rFonts w:hint="eastAsia"/>
                <w:szCs w:val="20"/>
              </w:rPr>
              <w:t>债权人中文名称和债权人英文名称至少填写一个</w:t>
            </w:r>
            <w:r w:rsidR="009708FD">
              <w:rPr>
                <w:rFonts w:hint="eastAsia"/>
                <w:szCs w:val="20"/>
              </w:rPr>
              <w:t>。</w:t>
            </w:r>
          </w:p>
        </w:tc>
      </w:tr>
      <w:tr w:rsidR="00A052DC" w14:paraId="740C2FCD" w14:textId="77777777">
        <w:tc>
          <w:tcPr>
            <w:tcW w:w="1702" w:type="dxa"/>
          </w:tcPr>
          <w:p w14:paraId="27F6C0EA" w14:textId="77777777" w:rsidR="00A052DC" w:rsidRDefault="009F0A60">
            <w:pPr>
              <w:pStyle w:val="B"/>
              <w:rPr>
                <w:szCs w:val="20"/>
              </w:rPr>
            </w:pPr>
            <w:r>
              <w:rPr>
                <w:szCs w:val="20"/>
              </w:rPr>
              <w:t>CREDITORTYPE</w:t>
            </w:r>
          </w:p>
        </w:tc>
        <w:tc>
          <w:tcPr>
            <w:tcW w:w="1701" w:type="dxa"/>
          </w:tcPr>
          <w:p w14:paraId="40538F6C" w14:textId="77777777" w:rsidR="00A052DC" w:rsidRDefault="009F0A60">
            <w:pPr>
              <w:pStyle w:val="B"/>
              <w:rPr>
                <w:szCs w:val="20"/>
              </w:rPr>
            </w:pPr>
            <w:r>
              <w:rPr>
                <w:rFonts w:hint="eastAsia"/>
                <w:szCs w:val="20"/>
              </w:rPr>
              <w:t>债权人类型代码</w:t>
            </w:r>
          </w:p>
        </w:tc>
        <w:tc>
          <w:tcPr>
            <w:tcW w:w="1417" w:type="dxa"/>
          </w:tcPr>
          <w:p w14:paraId="60B207D6" w14:textId="77777777" w:rsidR="00A052DC" w:rsidRDefault="009F0A60">
            <w:pPr>
              <w:pStyle w:val="B"/>
              <w:rPr>
                <w:szCs w:val="20"/>
              </w:rPr>
            </w:pPr>
            <w:r>
              <w:rPr>
                <w:rFonts w:hint="eastAsia"/>
                <w:szCs w:val="20"/>
              </w:rPr>
              <w:t>字符型，</w:t>
            </w:r>
            <w:r>
              <w:rPr>
                <w:szCs w:val="20"/>
              </w:rPr>
              <w:t>8</w:t>
            </w:r>
          </w:p>
        </w:tc>
        <w:tc>
          <w:tcPr>
            <w:tcW w:w="3827" w:type="dxa"/>
          </w:tcPr>
          <w:p w14:paraId="28E38246" w14:textId="77777777" w:rsidR="00A052DC" w:rsidRDefault="009F0A60">
            <w:pPr>
              <w:pStyle w:val="B"/>
              <w:rPr>
                <w:szCs w:val="20"/>
              </w:rPr>
            </w:pPr>
            <w:r>
              <w:rPr>
                <w:rFonts w:hint="eastAsia"/>
                <w:szCs w:val="20"/>
              </w:rPr>
              <w:t>必填项，见境外主体类型代码表</w:t>
            </w:r>
          </w:p>
          <w:p w14:paraId="3B096FA0" w14:textId="77777777" w:rsidR="00A052DC" w:rsidRDefault="009F0A60">
            <w:pPr>
              <w:pStyle w:val="B"/>
              <w:rPr>
                <w:szCs w:val="20"/>
              </w:rPr>
            </w:pPr>
            <w:r>
              <w:rPr>
                <w:rFonts w:hint="eastAsia"/>
                <w:szCs w:val="20"/>
              </w:rPr>
              <w:t>债权人类型为非居民机构存款</w:t>
            </w:r>
            <w:r>
              <w:rPr>
                <w:szCs w:val="20"/>
              </w:rPr>
              <w:t>1303</w:t>
            </w:r>
            <w:r>
              <w:rPr>
                <w:rFonts w:hint="eastAsia"/>
                <w:szCs w:val="20"/>
              </w:rPr>
              <w:t>。</w:t>
            </w:r>
          </w:p>
        </w:tc>
      </w:tr>
      <w:tr w:rsidR="00A052DC" w14:paraId="4B3E42A2" w14:textId="77777777">
        <w:tc>
          <w:tcPr>
            <w:tcW w:w="1702" w:type="dxa"/>
          </w:tcPr>
          <w:p w14:paraId="1292D425" w14:textId="77777777" w:rsidR="00A052DC" w:rsidRDefault="009F0A60">
            <w:pPr>
              <w:pStyle w:val="B"/>
              <w:rPr>
                <w:szCs w:val="20"/>
              </w:rPr>
            </w:pPr>
            <w:r>
              <w:rPr>
                <w:szCs w:val="20"/>
              </w:rPr>
              <w:t>CREHQCODE</w:t>
            </w:r>
          </w:p>
        </w:tc>
        <w:tc>
          <w:tcPr>
            <w:tcW w:w="1701" w:type="dxa"/>
          </w:tcPr>
          <w:p w14:paraId="25E14EE8" w14:textId="77777777" w:rsidR="00A052DC" w:rsidRDefault="009F0A60">
            <w:pPr>
              <w:pStyle w:val="B"/>
              <w:rPr>
                <w:szCs w:val="20"/>
              </w:rPr>
            </w:pPr>
            <w:r>
              <w:rPr>
                <w:rFonts w:hint="eastAsia"/>
                <w:szCs w:val="20"/>
              </w:rPr>
              <w:t>债权人总部所在国家（地区）代码</w:t>
            </w:r>
          </w:p>
        </w:tc>
        <w:tc>
          <w:tcPr>
            <w:tcW w:w="1417" w:type="dxa"/>
          </w:tcPr>
          <w:p w14:paraId="4F9CEE5A" w14:textId="77777777" w:rsidR="00A052DC" w:rsidRDefault="009F0A60">
            <w:pPr>
              <w:pStyle w:val="B"/>
              <w:rPr>
                <w:szCs w:val="20"/>
              </w:rPr>
            </w:pPr>
            <w:r>
              <w:rPr>
                <w:rFonts w:hint="eastAsia"/>
                <w:szCs w:val="20"/>
              </w:rPr>
              <w:t>字符型，</w:t>
            </w:r>
            <w:r>
              <w:rPr>
                <w:szCs w:val="20"/>
              </w:rPr>
              <w:t>3</w:t>
            </w:r>
          </w:p>
        </w:tc>
        <w:tc>
          <w:tcPr>
            <w:tcW w:w="3827" w:type="dxa"/>
          </w:tcPr>
          <w:p w14:paraId="5270C4E4" w14:textId="77777777" w:rsidR="00A052DC" w:rsidRDefault="009F0A60">
            <w:pPr>
              <w:pStyle w:val="B"/>
              <w:rPr>
                <w:szCs w:val="20"/>
              </w:rPr>
            </w:pPr>
            <w:r>
              <w:rPr>
                <w:rFonts w:hint="eastAsia"/>
                <w:szCs w:val="20"/>
              </w:rPr>
              <w:t>必填项，见国家和地区代码表。</w:t>
            </w:r>
          </w:p>
        </w:tc>
      </w:tr>
      <w:tr w:rsidR="00A052DC" w14:paraId="43EEC1DF" w14:textId="77777777">
        <w:tc>
          <w:tcPr>
            <w:tcW w:w="1702" w:type="dxa"/>
          </w:tcPr>
          <w:p w14:paraId="2E8F1898" w14:textId="77777777" w:rsidR="00A052DC" w:rsidRDefault="009F0A60">
            <w:pPr>
              <w:pStyle w:val="B"/>
              <w:rPr>
                <w:szCs w:val="20"/>
              </w:rPr>
            </w:pPr>
            <w:r>
              <w:rPr>
                <w:szCs w:val="20"/>
              </w:rPr>
              <w:t>OPERCODE</w:t>
            </w:r>
          </w:p>
        </w:tc>
        <w:tc>
          <w:tcPr>
            <w:tcW w:w="1701" w:type="dxa"/>
          </w:tcPr>
          <w:p w14:paraId="42AF4D98" w14:textId="77777777" w:rsidR="00A052DC" w:rsidRDefault="009F0A60">
            <w:pPr>
              <w:pStyle w:val="B"/>
              <w:rPr>
                <w:szCs w:val="20"/>
              </w:rPr>
            </w:pPr>
            <w:r>
              <w:rPr>
                <w:rFonts w:hint="eastAsia"/>
                <w:szCs w:val="20"/>
              </w:rPr>
              <w:t>债权人经营地所在国家（地区）代码</w:t>
            </w:r>
          </w:p>
        </w:tc>
        <w:tc>
          <w:tcPr>
            <w:tcW w:w="1417" w:type="dxa"/>
          </w:tcPr>
          <w:p w14:paraId="5A4099E8" w14:textId="77777777" w:rsidR="00A052DC" w:rsidRDefault="009F0A60">
            <w:pPr>
              <w:pStyle w:val="B"/>
              <w:rPr>
                <w:szCs w:val="20"/>
              </w:rPr>
            </w:pPr>
            <w:r>
              <w:rPr>
                <w:rFonts w:hint="eastAsia"/>
                <w:szCs w:val="20"/>
              </w:rPr>
              <w:t>字符型，</w:t>
            </w:r>
            <w:r>
              <w:rPr>
                <w:szCs w:val="20"/>
              </w:rPr>
              <w:t>3</w:t>
            </w:r>
          </w:p>
        </w:tc>
        <w:tc>
          <w:tcPr>
            <w:tcW w:w="3827" w:type="dxa"/>
          </w:tcPr>
          <w:p w14:paraId="7B5D4360" w14:textId="77777777" w:rsidR="00A052DC" w:rsidRDefault="009F0A60">
            <w:pPr>
              <w:pStyle w:val="B"/>
              <w:rPr>
                <w:szCs w:val="20"/>
              </w:rPr>
            </w:pPr>
            <w:r>
              <w:rPr>
                <w:rFonts w:hint="eastAsia"/>
                <w:szCs w:val="20"/>
              </w:rPr>
              <w:t>必填项，见国家和地区代码表。当债权人类型代码不为“境内银行离岸部（20001403）”时,不能为中国CHN。</w:t>
            </w:r>
          </w:p>
        </w:tc>
      </w:tr>
      <w:tr w:rsidR="00A052DC" w14:paraId="0FCBCF08" w14:textId="77777777">
        <w:tc>
          <w:tcPr>
            <w:tcW w:w="1702" w:type="dxa"/>
          </w:tcPr>
          <w:p w14:paraId="39905590" w14:textId="77777777" w:rsidR="00A052DC" w:rsidRDefault="009F0A60">
            <w:pPr>
              <w:pStyle w:val="B"/>
              <w:rPr>
                <w:szCs w:val="20"/>
              </w:rPr>
            </w:pPr>
            <w:r>
              <w:rPr>
                <w:szCs w:val="20"/>
              </w:rPr>
              <w:t>SPAPFEBOINDEX</w:t>
            </w:r>
          </w:p>
        </w:tc>
        <w:tc>
          <w:tcPr>
            <w:tcW w:w="1701" w:type="dxa"/>
          </w:tcPr>
          <w:p w14:paraId="712F4F13" w14:textId="77777777" w:rsidR="00A052DC" w:rsidRDefault="009F0A60">
            <w:pPr>
              <w:pStyle w:val="B"/>
              <w:rPr>
                <w:szCs w:val="20"/>
              </w:rPr>
            </w:pPr>
            <w:r>
              <w:rPr>
                <w:rFonts w:hint="eastAsia"/>
                <w:szCs w:val="20"/>
              </w:rPr>
              <w:t>是否不纳入跨境融资风险加权余额计算</w:t>
            </w:r>
          </w:p>
        </w:tc>
        <w:tc>
          <w:tcPr>
            <w:tcW w:w="1417" w:type="dxa"/>
          </w:tcPr>
          <w:p w14:paraId="3EF97CF8" w14:textId="77777777" w:rsidR="00A052DC" w:rsidRDefault="009F0A60">
            <w:pPr>
              <w:pStyle w:val="B"/>
              <w:rPr>
                <w:szCs w:val="20"/>
              </w:rPr>
            </w:pPr>
            <w:r>
              <w:rPr>
                <w:rFonts w:hint="eastAsia"/>
                <w:szCs w:val="20"/>
              </w:rPr>
              <w:t>字符型，</w:t>
            </w:r>
            <w:r>
              <w:rPr>
                <w:szCs w:val="20"/>
              </w:rPr>
              <w:t>1</w:t>
            </w:r>
          </w:p>
        </w:tc>
        <w:tc>
          <w:tcPr>
            <w:tcW w:w="3827" w:type="dxa"/>
          </w:tcPr>
          <w:p w14:paraId="043C13AF" w14:textId="77777777" w:rsidR="00A052DC" w:rsidRDefault="009F0A60">
            <w:pPr>
              <w:pStyle w:val="B"/>
              <w:rPr>
                <w:szCs w:val="20"/>
              </w:rPr>
            </w:pPr>
            <w:r>
              <w:rPr>
                <w:rFonts w:hint="eastAsia"/>
                <w:szCs w:val="20"/>
              </w:rPr>
              <w:t>必填项，是</w:t>
            </w:r>
            <w:r>
              <w:rPr>
                <w:szCs w:val="20"/>
              </w:rPr>
              <w:t>-Y</w:t>
            </w:r>
            <w:r>
              <w:rPr>
                <w:rFonts w:hint="eastAsia"/>
                <w:szCs w:val="20"/>
              </w:rPr>
              <w:t>，否</w:t>
            </w:r>
            <w:r>
              <w:rPr>
                <w:szCs w:val="20"/>
              </w:rPr>
              <w:t>-N</w:t>
            </w:r>
            <w:r>
              <w:rPr>
                <w:rFonts w:hint="eastAsia"/>
                <w:szCs w:val="20"/>
              </w:rPr>
              <w:t>，默认为否，填写</w:t>
            </w:r>
            <w:r>
              <w:rPr>
                <w:szCs w:val="20"/>
              </w:rPr>
              <w:t>N</w:t>
            </w:r>
            <w:r>
              <w:rPr>
                <w:rFonts w:hint="eastAsia"/>
                <w:szCs w:val="20"/>
              </w:rPr>
              <w:t>。</w:t>
            </w:r>
          </w:p>
        </w:tc>
      </w:tr>
      <w:tr w:rsidR="00A052DC" w14:paraId="27DB4E4F" w14:textId="77777777">
        <w:tc>
          <w:tcPr>
            <w:tcW w:w="1702" w:type="dxa"/>
          </w:tcPr>
          <w:p w14:paraId="18D23110" w14:textId="77777777" w:rsidR="00A052DC" w:rsidRDefault="009F0A60">
            <w:pPr>
              <w:pStyle w:val="B"/>
              <w:rPr>
                <w:szCs w:val="20"/>
              </w:rPr>
            </w:pPr>
            <w:r>
              <w:rPr>
                <w:szCs w:val="20"/>
              </w:rPr>
              <w:t>DEPTYPE</w:t>
            </w:r>
          </w:p>
        </w:tc>
        <w:tc>
          <w:tcPr>
            <w:tcW w:w="1701" w:type="dxa"/>
          </w:tcPr>
          <w:p w14:paraId="52B0ED68" w14:textId="77777777" w:rsidR="00A052DC" w:rsidRDefault="009F0A60">
            <w:pPr>
              <w:pStyle w:val="B"/>
              <w:rPr>
                <w:szCs w:val="20"/>
              </w:rPr>
            </w:pPr>
            <w:r>
              <w:rPr>
                <w:rFonts w:hint="eastAsia"/>
                <w:szCs w:val="20"/>
              </w:rPr>
              <w:t>存款业务类别</w:t>
            </w:r>
          </w:p>
        </w:tc>
        <w:tc>
          <w:tcPr>
            <w:tcW w:w="1417" w:type="dxa"/>
          </w:tcPr>
          <w:p w14:paraId="68908A44" w14:textId="77777777" w:rsidR="00A052DC" w:rsidRDefault="009F0A60">
            <w:pPr>
              <w:pStyle w:val="B"/>
              <w:rPr>
                <w:szCs w:val="20"/>
              </w:rPr>
            </w:pPr>
            <w:r>
              <w:rPr>
                <w:rFonts w:hint="eastAsia"/>
                <w:szCs w:val="20"/>
              </w:rPr>
              <w:t>整数型</w:t>
            </w:r>
          </w:p>
        </w:tc>
        <w:tc>
          <w:tcPr>
            <w:tcW w:w="3827" w:type="dxa"/>
          </w:tcPr>
          <w:p w14:paraId="0C154A98" w14:textId="77777777" w:rsidR="00A052DC" w:rsidRDefault="009F0A60">
            <w:pPr>
              <w:pStyle w:val="B"/>
              <w:rPr>
                <w:szCs w:val="20"/>
              </w:rPr>
            </w:pPr>
            <w:r>
              <w:rPr>
                <w:rFonts w:hint="eastAsia"/>
                <w:szCs w:val="20"/>
              </w:rPr>
              <w:t>必填项，</w:t>
            </w:r>
            <w:r>
              <w:rPr>
                <w:szCs w:val="20"/>
              </w:rPr>
              <w:t>1-</w:t>
            </w:r>
            <w:r>
              <w:rPr>
                <w:rFonts w:hint="eastAsia"/>
                <w:szCs w:val="20"/>
              </w:rPr>
              <w:t>存款、</w:t>
            </w:r>
            <w:r>
              <w:rPr>
                <w:szCs w:val="20"/>
              </w:rPr>
              <w:t>2-</w:t>
            </w:r>
            <w:r>
              <w:rPr>
                <w:rFonts w:hint="eastAsia"/>
                <w:szCs w:val="20"/>
              </w:rPr>
              <w:t>账户金。</w:t>
            </w:r>
          </w:p>
        </w:tc>
      </w:tr>
      <w:tr w:rsidR="00A052DC" w14:paraId="41CD66C3" w14:textId="77777777">
        <w:tc>
          <w:tcPr>
            <w:tcW w:w="1702" w:type="dxa"/>
          </w:tcPr>
          <w:p w14:paraId="2358032B" w14:textId="77777777" w:rsidR="00A052DC" w:rsidRDefault="009F0A60">
            <w:pPr>
              <w:pStyle w:val="B"/>
              <w:rPr>
                <w:szCs w:val="20"/>
              </w:rPr>
            </w:pPr>
            <w:r>
              <w:rPr>
                <w:szCs w:val="20"/>
              </w:rPr>
              <w:t>RELATION</w:t>
            </w:r>
          </w:p>
        </w:tc>
        <w:tc>
          <w:tcPr>
            <w:tcW w:w="1701" w:type="dxa"/>
          </w:tcPr>
          <w:p w14:paraId="027E53A1" w14:textId="77777777" w:rsidR="00A052DC" w:rsidRDefault="009F0A60">
            <w:pPr>
              <w:pStyle w:val="B"/>
              <w:rPr>
                <w:szCs w:val="20"/>
              </w:rPr>
            </w:pPr>
            <w:r>
              <w:rPr>
                <w:rFonts w:hint="eastAsia"/>
                <w:szCs w:val="20"/>
              </w:rPr>
              <w:t>对方与本机构的关系</w:t>
            </w:r>
          </w:p>
        </w:tc>
        <w:tc>
          <w:tcPr>
            <w:tcW w:w="1417" w:type="dxa"/>
          </w:tcPr>
          <w:p w14:paraId="435AF425" w14:textId="77777777" w:rsidR="00A052DC" w:rsidRDefault="009F0A60">
            <w:pPr>
              <w:pStyle w:val="B"/>
              <w:rPr>
                <w:szCs w:val="20"/>
              </w:rPr>
            </w:pPr>
            <w:r>
              <w:rPr>
                <w:rFonts w:hint="eastAsia"/>
                <w:szCs w:val="20"/>
              </w:rPr>
              <w:t>字符型，</w:t>
            </w:r>
            <w:r>
              <w:rPr>
                <w:szCs w:val="20"/>
              </w:rPr>
              <w:t>2</w:t>
            </w:r>
          </w:p>
        </w:tc>
        <w:tc>
          <w:tcPr>
            <w:tcW w:w="3827" w:type="dxa"/>
          </w:tcPr>
          <w:p w14:paraId="1355132D" w14:textId="77777777" w:rsidR="00A052DC" w:rsidRDefault="009F0A60">
            <w:pPr>
              <w:pStyle w:val="B"/>
              <w:rPr>
                <w:szCs w:val="20"/>
              </w:rPr>
            </w:pPr>
            <w:r>
              <w:rPr>
                <w:rFonts w:hint="eastAsia"/>
                <w:szCs w:val="20"/>
              </w:rPr>
              <w:t>必填项，见对方与本机构</w:t>
            </w:r>
            <w:r>
              <w:rPr>
                <w:szCs w:val="20"/>
              </w:rPr>
              <w:t>/</w:t>
            </w:r>
            <w:r>
              <w:rPr>
                <w:rFonts w:hint="eastAsia"/>
                <w:szCs w:val="20"/>
              </w:rPr>
              <w:t>被代理居民机构</w:t>
            </w:r>
            <w:r>
              <w:rPr>
                <w:szCs w:val="20"/>
              </w:rPr>
              <w:t>/</w:t>
            </w:r>
            <w:r>
              <w:rPr>
                <w:rFonts w:hint="eastAsia"/>
                <w:szCs w:val="20"/>
              </w:rPr>
              <w:t>委托人的关系代码表。</w:t>
            </w:r>
          </w:p>
        </w:tc>
      </w:tr>
      <w:tr w:rsidR="00A052DC" w14:paraId="10AF2AD6" w14:textId="77777777">
        <w:tc>
          <w:tcPr>
            <w:tcW w:w="1702" w:type="dxa"/>
          </w:tcPr>
          <w:p w14:paraId="7FEC1044" w14:textId="77777777" w:rsidR="00A052DC" w:rsidRDefault="009F0A60">
            <w:pPr>
              <w:pStyle w:val="B"/>
              <w:rPr>
                <w:szCs w:val="20"/>
              </w:rPr>
            </w:pPr>
            <w:r>
              <w:rPr>
                <w:szCs w:val="20"/>
              </w:rPr>
              <w:t>ORIGINALPERIOD</w:t>
            </w:r>
          </w:p>
        </w:tc>
        <w:tc>
          <w:tcPr>
            <w:tcW w:w="1701" w:type="dxa"/>
          </w:tcPr>
          <w:p w14:paraId="1E390135" w14:textId="77777777" w:rsidR="00A052DC" w:rsidRDefault="009F0A60">
            <w:pPr>
              <w:pStyle w:val="B"/>
              <w:rPr>
                <w:szCs w:val="20"/>
              </w:rPr>
            </w:pPr>
            <w:r>
              <w:rPr>
                <w:rFonts w:hint="eastAsia"/>
                <w:szCs w:val="20"/>
              </w:rPr>
              <w:t>原始期限</w:t>
            </w:r>
          </w:p>
        </w:tc>
        <w:tc>
          <w:tcPr>
            <w:tcW w:w="1417" w:type="dxa"/>
          </w:tcPr>
          <w:p w14:paraId="0BF01584" w14:textId="77777777" w:rsidR="00A052DC" w:rsidRDefault="009F0A60">
            <w:pPr>
              <w:pStyle w:val="B"/>
              <w:rPr>
                <w:szCs w:val="20"/>
              </w:rPr>
            </w:pPr>
            <w:r>
              <w:rPr>
                <w:rFonts w:hint="eastAsia"/>
                <w:szCs w:val="20"/>
              </w:rPr>
              <w:t>整数型</w:t>
            </w:r>
          </w:p>
        </w:tc>
        <w:tc>
          <w:tcPr>
            <w:tcW w:w="3827" w:type="dxa"/>
          </w:tcPr>
          <w:p w14:paraId="14761277" w14:textId="77777777" w:rsidR="00A052DC" w:rsidRDefault="009F0A60">
            <w:pPr>
              <w:pStyle w:val="B"/>
              <w:rPr>
                <w:szCs w:val="20"/>
              </w:rPr>
            </w:pPr>
            <w:r>
              <w:rPr>
                <w:rFonts w:hint="eastAsia"/>
                <w:szCs w:val="20"/>
              </w:rPr>
              <w:t>必填项，包括：</w:t>
            </w:r>
            <w:r>
              <w:rPr>
                <w:szCs w:val="20"/>
              </w:rPr>
              <w:t>1-</w:t>
            </w:r>
            <w:r>
              <w:rPr>
                <w:rFonts w:hint="eastAsia"/>
                <w:szCs w:val="20"/>
              </w:rPr>
              <w:t>一年及以下（含活期或不定期）、</w:t>
            </w:r>
            <w:r>
              <w:rPr>
                <w:szCs w:val="20"/>
              </w:rPr>
              <w:t>2-</w:t>
            </w:r>
            <w:r>
              <w:rPr>
                <w:rFonts w:hint="eastAsia"/>
                <w:szCs w:val="20"/>
              </w:rPr>
              <w:t>一年以上。</w:t>
            </w:r>
          </w:p>
        </w:tc>
      </w:tr>
      <w:tr w:rsidR="00A052DC" w14:paraId="1DD35A86" w14:textId="77777777">
        <w:tc>
          <w:tcPr>
            <w:tcW w:w="1702" w:type="dxa"/>
            <w:tcBorders>
              <w:top w:val="single" w:sz="4" w:space="0" w:color="auto"/>
              <w:left w:val="single" w:sz="4" w:space="0" w:color="auto"/>
              <w:bottom w:val="single" w:sz="4" w:space="0" w:color="auto"/>
              <w:right w:val="single" w:sz="4" w:space="0" w:color="auto"/>
            </w:tcBorders>
          </w:tcPr>
          <w:p w14:paraId="2B0B11C9" w14:textId="77777777" w:rsidR="00A052DC" w:rsidRDefault="009F0A60">
            <w:pPr>
              <w:pStyle w:val="B"/>
              <w:rPr>
                <w:szCs w:val="20"/>
              </w:rPr>
            </w:pPr>
            <w:r>
              <w:rPr>
                <w:szCs w:val="20"/>
              </w:rPr>
              <w:t>REMARK</w:t>
            </w:r>
          </w:p>
        </w:tc>
        <w:tc>
          <w:tcPr>
            <w:tcW w:w="1701" w:type="dxa"/>
            <w:tcBorders>
              <w:top w:val="single" w:sz="4" w:space="0" w:color="auto"/>
              <w:left w:val="single" w:sz="4" w:space="0" w:color="auto"/>
              <w:bottom w:val="single" w:sz="4" w:space="0" w:color="auto"/>
              <w:right w:val="single" w:sz="4" w:space="0" w:color="auto"/>
            </w:tcBorders>
          </w:tcPr>
          <w:p w14:paraId="62B60EC7" w14:textId="77777777" w:rsidR="00A052DC" w:rsidRDefault="009F0A60">
            <w:pPr>
              <w:pStyle w:val="B"/>
              <w:rPr>
                <w:szCs w:val="20"/>
              </w:rPr>
            </w:pPr>
            <w:r>
              <w:rPr>
                <w:rFonts w:hint="eastAsia"/>
                <w:szCs w:val="20"/>
              </w:rPr>
              <w:t>备注</w:t>
            </w:r>
          </w:p>
        </w:tc>
        <w:tc>
          <w:tcPr>
            <w:tcW w:w="1417" w:type="dxa"/>
            <w:tcBorders>
              <w:top w:val="single" w:sz="4" w:space="0" w:color="auto"/>
              <w:left w:val="single" w:sz="4" w:space="0" w:color="auto"/>
              <w:bottom w:val="single" w:sz="4" w:space="0" w:color="auto"/>
              <w:right w:val="single" w:sz="4" w:space="0" w:color="auto"/>
            </w:tcBorders>
          </w:tcPr>
          <w:p w14:paraId="7D61E26C" w14:textId="77777777" w:rsidR="00A052DC" w:rsidRDefault="009F0A60">
            <w:pPr>
              <w:pStyle w:val="B"/>
              <w:rPr>
                <w:szCs w:val="20"/>
              </w:rPr>
            </w:pPr>
            <w:r>
              <w:rPr>
                <w:rFonts w:hint="eastAsia"/>
                <w:szCs w:val="20"/>
              </w:rPr>
              <w:t>字符型，</w:t>
            </w:r>
            <w:r>
              <w:rPr>
                <w:szCs w:val="20"/>
              </w:rPr>
              <w:t>256</w:t>
            </w:r>
          </w:p>
        </w:tc>
        <w:tc>
          <w:tcPr>
            <w:tcW w:w="3827" w:type="dxa"/>
            <w:tcBorders>
              <w:top w:val="single" w:sz="4" w:space="0" w:color="auto"/>
              <w:left w:val="single" w:sz="4" w:space="0" w:color="auto"/>
              <w:bottom w:val="single" w:sz="4" w:space="0" w:color="auto"/>
              <w:right w:val="single" w:sz="4" w:space="0" w:color="auto"/>
            </w:tcBorders>
          </w:tcPr>
          <w:p w14:paraId="2F384C49" w14:textId="77777777" w:rsidR="00A052DC" w:rsidRDefault="009F0A60">
            <w:pPr>
              <w:pStyle w:val="B"/>
              <w:rPr>
                <w:szCs w:val="20"/>
              </w:rPr>
            </w:pPr>
            <w:r>
              <w:rPr>
                <w:rFonts w:hint="eastAsia"/>
                <w:szCs w:val="20"/>
              </w:rPr>
              <w:t>非必填项。</w:t>
            </w:r>
          </w:p>
        </w:tc>
      </w:tr>
    </w:tbl>
    <w:p w14:paraId="50447D87" w14:textId="77777777" w:rsidR="00A052DC" w:rsidRDefault="009F0A60">
      <w:pPr>
        <w:pStyle w:val="4"/>
        <w:numPr>
          <w:ilvl w:val="3"/>
          <w:numId w:val="1"/>
        </w:numPr>
        <w:jc w:val="left"/>
      </w:pPr>
      <w:bookmarkStart w:id="1567" w:name="_Toc454386928"/>
      <w:bookmarkStart w:id="1568" w:name="_Toc328635495"/>
      <w:r>
        <w:rPr>
          <w:rFonts w:hint="eastAsia"/>
        </w:rPr>
        <w:t>非居民个人存款</w:t>
      </w:r>
      <w:bookmarkEnd w:id="1567"/>
      <w:bookmarkEnd w:id="1568"/>
    </w:p>
    <w:p w14:paraId="6E907C62" w14:textId="77777777" w:rsidR="00A052DC" w:rsidRDefault="009F0A60" w:rsidP="0020251D">
      <w:pPr>
        <w:pStyle w:val="5"/>
        <w:numPr>
          <w:ilvl w:val="4"/>
          <w:numId w:val="1"/>
        </w:numPr>
        <w:spacing w:before="120" w:after="120" w:line="360" w:lineRule="auto"/>
        <w:jc w:val="left"/>
      </w:pPr>
      <w:bookmarkStart w:id="1569" w:name="_Toc454386929"/>
      <w:r>
        <w:rPr>
          <w:rFonts w:hint="eastAsia"/>
        </w:rPr>
        <w:t>数据术语解释</w:t>
      </w:r>
      <w:bookmarkEnd w:id="1569"/>
    </w:p>
    <w:tbl>
      <w:tblPr>
        <w:tblW w:w="84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26"/>
        <w:gridCol w:w="6946"/>
      </w:tblGrid>
      <w:tr w:rsidR="00A052DC" w14:paraId="78ADBCB2" w14:textId="77777777">
        <w:tc>
          <w:tcPr>
            <w:tcW w:w="1526" w:type="dxa"/>
          </w:tcPr>
          <w:p w14:paraId="38009B5C" w14:textId="77777777" w:rsidR="00A052DC" w:rsidRDefault="009F0A60">
            <w:pPr>
              <w:pStyle w:val="B1"/>
              <w:rPr>
                <w:u w:val="single"/>
              </w:rPr>
            </w:pPr>
            <w:r>
              <w:rPr>
                <w:rFonts w:hint="eastAsia"/>
              </w:rPr>
              <w:t>基础数据项</w:t>
            </w:r>
          </w:p>
        </w:tc>
        <w:tc>
          <w:tcPr>
            <w:tcW w:w="6946" w:type="dxa"/>
          </w:tcPr>
          <w:p w14:paraId="0A54F7A9" w14:textId="77777777" w:rsidR="00A052DC" w:rsidRDefault="009F0A60">
            <w:pPr>
              <w:pStyle w:val="B1"/>
            </w:pPr>
            <w:r>
              <w:rPr>
                <w:rFonts w:hint="eastAsia"/>
              </w:rPr>
              <w:t>定义</w:t>
            </w:r>
          </w:p>
        </w:tc>
      </w:tr>
      <w:tr w:rsidR="00A052DC" w14:paraId="4C467ED6" w14:textId="77777777">
        <w:trPr>
          <w:cantSplit/>
          <w:trHeight w:val="157"/>
        </w:trPr>
        <w:tc>
          <w:tcPr>
            <w:tcW w:w="1526" w:type="dxa"/>
          </w:tcPr>
          <w:p w14:paraId="3C2D029C" w14:textId="77777777" w:rsidR="00A052DC" w:rsidRDefault="009F0A60">
            <w:pPr>
              <w:pStyle w:val="B"/>
            </w:pPr>
            <w:r>
              <w:rPr>
                <w:rFonts w:hint="eastAsia"/>
              </w:rPr>
              <w:t>外债编号</w:t>
            </w:r>
          </w:p>
        </w:tc>
        <w:tc>
          <w:tcPr>
            <w:tcW w:w="6946" w:type="dxa"/>
          </w:tcPr>
          <w:p w14:paraId="25C9DD96" w14:textId="77777777" w:rsidR="00A052DC" w:rsidRDefault="009F0A60">
            <w:pPr>
              <w:pStyle w:val="B"/>
            </w:pPr>
            <w:r>
              <w:rPr>
                <w:rFonts w:hint="eastAsia"/>
              </w:rPr>
              <w:t>外汇局制定统一编号规则，银行自行对每一笔外债编号，用于唯一标识该笔外债。银行外债编号共计</w:t>
            </w:r>
            <w:r>
              <w:t>28</w:t>
            </w:r>
            <w:r>
              <w:rPr>
                <w:rFonts w:hint="eastAsia"/>
              </w:rPr>
              <w:t>位。第</w:t>
            </w:r>
            <w:r>
              <w:t>1</w:t>
            </w:r>
            <w:r>
              <w:rPr>
                <w:rFonts w:hint="eastAsia"/>
              </w:rPr>
              <w:t>至</w:t>
            </w:r>
            <w:r>
              <w:t>2</w:t>
            </w:r>
            <w:r>
              <w:rPr>
                <w:rFonts w:hint="eastAsia"/>
              </w:rPr>
              <w:t>位为业务类型标识，第</w:t>
            </w:r>
            <w:r>
              <w:t>3</w:t>
            </w:r>
            <w:r>
              <w:rPr>
                <w:rFonts w:hint="eastAsia"/>
              </w:rPr>
              <w:t>位至</w:t>
            </w:r>
            <w:r>
              <w:t>14</w:t>
            </w:r>
            <w:r>
              <w:rPr>
                <w:rFonts w:hint="eastAsia"/>
              </w:rPr>
              <w:t>位为银行金融机构标识码</w:t>
            </w:r>
            <w:r>
              <w:t>;</w:t>
            </w:r>
            <w:r>
              <w:rPr>
                <w:rFonts w:hint="eastAsia"/>
              </w:rPr>
              <w:t>第</w:t>
            </w:r>
            <w:r>
              <w:t>15</w:t>
            </w:r>
            <w:r>
              <w:rPr>
                <w:rFonts w:hint="eastAsia"/>
              </w:rPr>
              <w:t>至</w:t>
            </w:r>
            <w:r>
              <w:t>22</w:t>
            </w:r>
            <w:r>
              <w:rPr>
                <w:rFonts w:hint="eastAsia"/>
              </w:rPr>
              <w:t>位为</w:t>
            </w:r>
            <w:r>
              <w:t>8</w:t>
            </w:r>
            <w:r>
              <w:rPr>
                <w:rFonts w:hint="eastAsia"/>
              </w:rPr>
              <w:t>位年月日数字（</w:t>
            </w:r>
            <w:r>
              <w:t>20110701</w:t>
            </w:r>
            <w:r>
              <w:rPr>
                <w:rFonts w:hint="eastAsia"/>
              </w:rPr>
              <w:t>）</w:t>
            </w:r>
            <w:r>
              <w:t>;</w:t>
            </w:r>
            <w:r>
              <w:rPr>
                <w:rFonts w:hint="eastAsia"/>
              </w:rPr>
              <w:t>第</w:t>
            </w:r>
            <w:r>
              <w:t>23</w:t>
            </w:r>
            <w:r>
              <w:rPr>
                <w:rFonts w:hint="eastAsia"/>
              </w:rPr>
              <w:t>至</w:t>
            </w:r>
            <w:r>
              <w:t>28</w:t>
            </w:r>
            <w:r>
              <w:rPr>
                <w:rFonts w:hint="eastAsia"/>
              </w:rPr>
              <w:t>位为该笔业务的流水号（流水码编制规则：从</w:t>
            </w:r>
            <w:r>
              <w:t>000001</w:t>
            </w:r>
            <w:r>
              <w:rPr>
                <w:rFonts w:hint="eastAsia"/>
              </w:rPr>
              <w:t>～</w:t>
            </w:r>
            <w:r>
              <w:t>999999</w:t>
            </w:r>
            <w:r>
              <w:rPr>
                <w:rFonts w:hint="eastAsia"/>
              </w:rPr>
              <w:t>）。银行新发生一笔外债业务时，需为该笔外债编制外债编号，同一笔外债发生变更或展期时，不作为一笔新业务进行登记，发生展期时，变更到期日。</w:t>
            </w:r>
          </w:p>
        </w:tc>
      </w:tr>
      <w:tr w:rsidR="00A052DC" w14:paraId="693433BB" w14:textId="77777777">
        <w:trPr>
          <w:cantSplit/>
        </w:trPr>
        <w:tc>
          <w:tcPr>
            <w:tcW w:w="1526" w:type="dxa"/>
          </w:tcPr>
          <w:p w14:paraId="477CAC30" w14:textId="77777777" w:rsidR="00A052DC" w:rsidRDefault="009F0A60">
            <w:pPr>
              <w:pStyle w:val="B"/>
            </w:pPr>
            <w:r>
              <w:rPr>
                <w:rFonts w:hint="eastAsia"/>
              </w:rPr>
              <w:t>债务人代码</w:t>
            </w:r>
          </w:p>
        </w:tc>
        <w:tc>
          <w:tcPr>
            <w:tcW w:w="6946" w:type="dxa"/>
          </w:tcPr>
          <w:p w14:paraId="14E67C1D" w14:textId="77777777" w:rsidR="00A052DC" w:rsidRDefault="009F0A60">
            <w:pPr>
              <w:pStyle w:val="B"/>
            </w:pPr>
            <w:r>
              <w:rPr>
                <w:rFonts w:hint="eastAsia"/>
                <w:szCs w:val="20"/>
              </w:rPr>
              <w:t>国家外汇管理局及其分支局</w:t>
            </w:r>
            <w:r>
              <w:rPr>
                <w:rFonts w:hint="eastAsia"/>
              </w:rPr>
              <w:t>签发给境内债务银行的</w:t>
            </w:r>
            <w:r>
              <w:t>12</w:t>
            </w:r>
            <w:r>
              <w:rPr>
                <w:rFonts w:hint="eastAsia"/>
              </w:rPr>
              <w:t>位金融机构标识码编码。</w:t>
            </w:r>
          </w:p>
        </w:tc>
      </w:tr>
      <w:tr w:rsidR="00A052DC" w14:paraId="49B8F6AF" w14:textId="77777777">
        <w:trPr>
          <w:cantSplit/>
        </w:trPr>
        <w:tc>
          <w:tcPr>
            <w:tcW w:w="1526" w:type="dxa"/>
          </w:tcPr>
          <w:p w14:paraId="12B18CEA" w14:textId="77777777" w:rsidR="00A052DC" w:rsidRDefault="009F0A60">
            <w:pPr>
              <w:pStyle w:val="B"/>
            </w:pPr>
            <w:r>
              <w:rPr>
                <w:rFonts w:hint="eastAsia"/>
              </w:rPr>
              <w:t>债务类型</w:t>
            </w:r>
          </w:p>
        </w:tc>
        <w:tc>
          <w:tcPr>
            <w:tcW w:w="6946" w:type="dxa"/>
          </w:tcPr>
          <w:p w14:paraId="4077A9C6" w14:textId="77777777" w:rsidR="00A052DC" w:rsidRDefault="009F0A60">
            <w:pPr>
              <w:pStyle w:val="B"/>
            </w:pPr>
            <w:r>
              <w:rPr>
                <w:rFonts w:hint="eastAsia"/>
              </w:rPr>
              <w:t>外债的债务类型代码，见外债的债务类型表。</w:t>
            </w:r>
          </w:p>
        </w:tc>
      </w:tr>
      <w:tr w:rsidR="00A052DC" w14:paraId="06F889B1" w14:textId="77777777">
        <w:trPr>
          <w:cantSplit/>
        </w:trPr>
        <w:tc>
          <w:tcPr>
            <w:tcW w:w="1526" w:type="dxa"/>
          </w:tcPr>
          <w:p w14:paraId="57DC64AD" w14:textId="77777777" w:rsidR="00A052DC" w:rsidRDefault="009F0A60">
            <w:pPr>
              <w:pStyle w:val="B"/>
            </w:pPr>
            <w:r>
              <w:rPr>
                <w:rFonts w:hint="eastAsia"/>
              </w:rPr>
              <w:t>签约币种</w:t>
            </w:r>
          </w:p>
        </w:tc>
        <w:tc>
          <w:tcPr>
            <w:tcW w:w="6946" w:type="dxa"/>
          </w:tcPr>
          <w:p w14:paraId="3D0F172A" w14:textId="77777777" w:rsidR="00A052DC" w:rsidRDefault="009F0A60">
            <w:pPr>
              <w:pStyle w:val="B"/>
            </w:pPr>
            <w:r>
              <w:rPr>
                <w:rFonts w:hint="eastAsia"/>
              </w:rPr>
              <w:t>账户币种。</w:t>
            </w:r>
          </w:p>
        </w:tc>
      </w:tr>
      <w:tr w:rsidR="00A052DC" w14:paraId="03DE5E0C" w14:textId="77777777">
        <w:trPr>
          <w:cantSplit/>
        </w:trPr>
        <w:tc>
          <w:tcPr>
            <w:tcW w:w="1526" w:type="dxa"/>
          </w:tcPr>
          <w:p w14:paraId="07C70034" w14:textId="77777777" w:rsidR="00A052DC" w:rsidRDefault="009F0A60">
            <w:pPr>
              <w:pStyle w:val="B"/>
            </w:pPr>
            <w:r>
              <w:rPr>
                <w:rFonts w:hint="eastAsia"/>
              </w:rPr>
              <w:t>是否浮动利率</w:t>
            </w:r>
          </w:p>
        </w:tc>
        <w:tc>
          <w:tcPr>
            <w:tcW w:w="6946" w:type="dxa"/>
          </w:tcPr>
          <w:p w14:paraId="785F8781" w14:textId="77777777" w:rsidR="00A052DC" w:rsidRDefault="009F0A60">
            <w:pPr>
              <w:pStyle w:val="B"/>
            </w:pPr>
            <w:r>
              <w:rPr>
                <w:rFonts w:hint="eastAsia"/>
              </w:rPr>
              <w:t>标识债务利率条件为浮动利率或固定利率，系统默认为否，若为浮动利率，选择是。</w:t>
            </w:r>
          </w:p>
        </w:tc>
      </w:tr>
      <w:tr w:rsidR="00A052DC" w14:paraId="4588EE75" w14:textId="77777777">
        <w:trPr>
          <w:cantSplit/>
        </w:trPr>
        <w:tc>
          <w:tcPr>
            <w:tcW w:w="1526" w:type="dxa"/>
          </w:tcPr>
          <w:p w14:paraId="04CAA158" w14:textId="77777777" w:rsidR="00A052DC" w:rsidRDefault="009F0A60">
            <w:pPr>
              <w:pStyle w:val="B"/>
            </w:pPr>
            <w:r>
              <w:rPr>
                <w:rFonts w:hint="eastAsia"/>
              </w:rPr>
              <w:t>年化利率值</w:t>
            </w:r>
          </w:p>
        </w:tc>
        <w:tc>
          <w:tcPr>
            <w:tcW w:w="6946" w:type="dxa"/>
          </w:tcPr>
          <w:p w14:paraId="6C9C5C2C" w14:textId="77777777" w:rsidR="00A052DC" w:rsidRDefault="009F0A60">
            <w:pPr>
              <w:pStyle w:val="B"/>
            </w:pPr>
            <w:r>
              <w:rPr>
                <w:rFonts w:hint="eastAsia"/>
              </w:rPr>
              <w:t>外债的年化利率，若为浮动利率，应该按照该笔外债签约日期当天的浮动利率条件计算年化利率值。</w:t>
            </w:r>
          </w:p>
        </w:tc>
      </w:tr>
      <w:tr w:rsidR="00A052DC" w14:paraId="22835FA1" w14:textId="77777777">
        <w:trPr>
          <w:cantSplit/>
        </w:trPr>
        <w:tc>
          <w:tcPr>
            <w:tcW w:w="1526" w:type="dxa"/>
          </w:tcPr>
          <w:p w14:paraId="3130DCB1" w14:textId="77777777" w:rsidR="00A052DC" w:rsidRDefault="009F0A60">
            <w:pPr>
              <w:pStyle w:val="B"/>
            </w:pPr>
            <w:r>
              <w:rPr>
                <w:rFonts w:hint="eastAsia"/>
              </w:rPr>
              <w:t>债权人代码</w:t>
            </w:r>
          </w:p>
        </w:tc>
        <w:tc>
          <w:tcPr>
            <w:tcW w:w="6946" w:type="dxa"/>
            <w:vAlign w:val="center"/>
          </w:tcPr>
          <w:p w14:paraId="3A8F3224" w14:textId="77777777" w:rsidR="00A052DC" w:rsidRDefault="009F0A60">
            <w:pPr>
              <w:pStyle w:val="B"/>
            </w:pPr>
            <w:r>
              <w:rPr>
                <w:rFonts w:hint="eastAsia"/>
              </w:rPr>
              <w:t>该笔外债的债务类型为“非居民个人存款”，应在部分债权人代码表中选择该国个人对应的代码。</w:t>
            </w:r>
          </w:p>
        </w:tc>
      </w:tr>
      <w:tr w:rsidR="00A052DC" w14:paraId="1170070D" w14:textId="77777777">
        <w:trPr>
          <w:cantSplit/>
        </w:trPr>
        <w:tc>
          <w:tcPr>
            <w:tcW w:w="1526" w:type="dxa"/>
          </w:tcPr>
          <w:p w14:paraId="24F86115" w14:textId="77777777" w:rsidR="00A052DC" w:rsidRDefault="009F0A60">
            <w:pPr>
              <w:pStyle w:val="B"/>
            </w:pPr>
            <w:r>
              <w:rPr>
                <w:rFonts w:hint="eastAsia"/>
              </w:rPr>
              <w:t>债权人中文名称</w:t>
            </w:r>
          </w:p>
        </w:tc>
        <w:tc>
          <w:tcPr>
            <w:tcW w:w="6946" w:type="dxa"/>
            <w:vAlign w:val="center"/>
          </w:tcPr>
          <w:p w14:paraId="67B121F1" w14:textId="77777777" w:rsidR="00A052DC" w:rsidRDefault="009F0A60">
            <w:pPr>
              <w:pStyle w:val="B"/>
            </w:pPr>
            <w:r>
              <w:rPr>
                <w:rFonts w:hint="eastAsia"/>
              </w:rPr>
              <w:t>应为债权人代码对应的债权人中文名称。见部分债权人代码表。</w:t>
            </w:r>
          </w:p>
        </w:tc>
      </w:tr>
      <w:tr w:rsidR="00A052DC" w14:paraId="77F1240A" w14:textId="77777777">
        <w:trPr>
          <w:cantSplit/>
        </w:trPr>
        <w:tc>
          <w:tcPr>
            <w:tcW w:w="1526" w:type="dxa"/>
          </w:tcPr>
          <w:p w14:paraId="11CB31CD" w14:textId="77777777" w:rsidR="00A052DC" w:rsidRDefault="009F0A60">
            <w:pPr>
              <w:pStyle w:val="B"/>
            </w:pPr>
            <w:r>
              <w:rPr>
                <w:rFonts w:hint="eastAsia"/>
              </w:rPr>
              <w:t>债权人英文名称</w:t>
            </w:r>
          </w:p>
        </w:tc>
        <w:tc>
          <w:tcPr>
            <w:tcW w:w="6946" w:type="dxa"/>
            <w:vAlign w:val="center"/>
          </w:tcPr>
          <w:p w14:paraId="3B42422A" w14:textId="77777777" w:rsidR="00A052DC" w:rsidRDefault="009F0A60">
            <w:pPr>
              <w:pStyle w:val="B"/>
            </w:pPr>
            <w:r>
              <w:rPr>
                <w:rFonts w:hint="eastAsia"/>
              </w:rPr>
              <w:t>应为债权人代码对应的债权人英文名称。见部分债权人代码表。</w:t>
            </w:r>
          </w:p>
        </w:tc>
      </w:tr>
      <w:tr w:rsidR="00A052DC" w14:paraId="35760C8C" w14:textId="77777777">
        <w:trPr>
          <w:cantSplit/>
        </w:trPr>
        <w:tc>
          <w:tcPr>
            <w:tcW w:w="1526" w:type="dxa"/>
          </w:tcPr>
          <w:p w14:paraId="79008B37" w14:textId="77777777" w:rsidR="00A052DC" w:rsidRDefault="009F0A60">
            <w:pPr>
              <w:pStyle w:val="B"/>
            </w:pPr>
            <w:r>
              <w:rPr>
                <w:rFonts w:hint="eastAsia"/>
              </w:rPr>
              <w:t>债权人类型代码</w:t>
            </w:r>
          </w:p>
        </w:tc>
        <w:tc>
          <w:tcPr>
            <w:tcW w:w="6946" w:type="dxa"/>
          </w:tcPr>
          <w:p w14:paraId="24E9B94A" w14:textId="77777777" w:rsidR="00A052DC" w:rsidRDefault="009F0A60">
            <w:pPr>
              <w:pStyle w:val="B"/>
            </w:pPr>
            <w:r>
              <w:rPr>
                <w:rFonts w:hint="eastAsia"/>
              </w:rPr>
              <w:t>债权人类型代码，见境外主体类型代码表。</w:t>
            </w:r>
          </w:p>
        </w:tc>
      </w:tr>
      <w:tr w:rsidR="00A052DC" w14:paraId="1E463C16" w14:textId="77777777">
        <w:trPr>
          <w:cantSplit/>
        </w:trPr>
        <w:tc>
          <w:tcPr>
            <w:tcW w:w="1526" w:type="dxa"/>
          </w:tcPr>
          <w:p w14:paraId="0CCC2756" w14:textId="77777777" w:rsidR="00A052DC" w:rsidRDefault="009F0A60">
            <w:pPr>
              <w:pStyle w:val="B"/>
            </w:pPr>
            <w:r>
              <w:rPr>
                <w:rFonts w:hint="eastAsia"/>
              </w:rPr>
              <w:t>债权人国别（地区）代码</w:t>
            </w:r>
          </w:p>
        </w:tc>
        <w:tc>
          <w:tcPr>
            <w:tcW w:w="6946" w:type="dxa"/>
            <w:vAlign w:val="center"/>
          </w:tcPr>
          <w:p w14:paraId="0F0DC4DE" w14:textId="77777777" w:rsidR="00A052DC" w:rsidRDefault="009F0A60">
            <w:pPr>
              <w:pStyle w:val="B"/>
            </w:pPr>
            <w:r>
              <w:rPr>
                <w:rFonts w:hint="eastAsia"/>
              </w:rPr>
              <w:t>债权人身份证件标识的所在国家或地区代码，见国家和地区代码表。（存款人国别地区代码）。</w:t>
            </w:r>
          </w:p>
        </w:tc>
      </w:tr>
      <w:tr w:rsidR="00A052DC" w14:paraId="5CE3D36A" w14:textId="77777777">
        <w:trPr>
          <w:cantSplit/>
        </w:trPr>
        <w:tc>
          <w:tcPr>
            <w:tcW w:w="1526" w:type="dxa"/>
          </w:tcPr>
          <w:p w14:paraId="077BDDC1" w14:textId="77777777" w:rsidR="00A052DC" w:rsidRDefault="009F0A60">
            <w:pPr>
              <w:pStyle w:val="B"/>
            </w:pPr>
            <w:r>
              <w:rPr>
                <w:rFonts w:hint="eastAsia"/>
              </w:rPr>
              <w:t>是否不纳入跨境融资风险加权余额计算</w:t>
            </w:r>
          </w:p>
        </w:tc>
        <w:tc>
          <w:tcPr>
            <w:tcW w:w="6946" w:type="dxa"/>
          </w:tcPr>
          <w:p w14:paraId="35F6ECB6" w14:textId="77777777" w:rsidR="00A052DC" w:rsidRDefault="009F0A60">
            <w:pPr>
              <w:pStyle w:val="B"/>
            </w:pPr>
            <w:r>
              <w:rPr>
                <w:rFonts w:hint="eastAsia"/>
              </w:rPr>
              <w:t>标识该笔债务是否不纳入跨境融资风险加权余额计算，默认为“否”。</w:t>
            </w:r>
          </w:p>
        </w:tc>
      </w:tr>
      <w:tr w:rsidR="00A052DC" w14:paraId="796B3844" w14:textId="77777777">
        <w:trPr>
          <w:cantSplit/>
        </w:trPr>
        <w:tc>
          <w:tcPr>
            <w:tcW w:w="1526" w:type="dxa"/>
            <w:tcBorders>
              <w:top w:val="single" w:sz="6" w:space="0" w:color="auto"/>
              <w:left w:val="single" w:sz="6" w:space="0" w:color="auto"/>
              <w:bottom w:val="single" w:sz="6" w:space="0" w:color="auto"/>
              <w:right w:val="single" w:sz="6" w:space="0" w:color="auto"/>
            </w:tcBorders>
          </w:tcPr>
          <w:p w14:paraId="2B32666C" w14:textId="77777777" w:rsidR="00A052DC" w:rsidRDefault="009F0A60">
            <w:pPr>
              <w:pStyle w:val="B"/>
            </w:pPr>
            <w:r>
              <w:rPr>
                <w:rFonts w:hint="eastAsia"/>
              </w:rPr>
              <w:t>备注</w:t>
            </w:r>
          </w:p>
        </w:tc>
        <w:tc>
          <w:tcPr>
            <w:tcW w:w="6946" w:type="dxa"/>
            <w:tcBorders>
              <w:top w:val="single" w:sz="6" w:space="0" w:color="auto"/>
              <w:left w:val="single" w:sz="6" w:space="0" w:color="auto"/>
              <w:bottom w:val="single" w:sz="6" w:space="0" w:color="auto"/>
              <w:right w:val="single" w:sz="6" w:space="0" w:color="auto"/>
            </w:tcBorders>
            <w:vAlign w:val="center"/>
          </w:tcPr>
          <w:p w14:paraId="478FF9B4" w14:textId="77777777" w:rsidR="00A052DC" w:rsidRDefault="009F0A60">
            <w:pPr>
              <w:pStyle w:val="B"/>
            </w:pPr>
            <w:r>
              <w:rPr>
                <w:rFonts w:hint="eastAsia"/>
              </w:rPr>
              <w:t>需要说明的备注事项。</w:t>
            </w:r>
          </w:p>
        </w:tc>
      </w:tr>
    </w:tbl>
    <w:p w14:paraId="215A8CA7" w14:textId="77777777" w:rsidR="00A052DC" w:rsidRDefault="00A052DC">
      <w:pPr>
        <w:ind w:firstLine="480"/>
      </w:pPr>
    </w:p>
    <w:p w14:paraId="29D2B790" w14:textId="77777777" w:rsidR="00A052DC" w:rsidRDefault="009F0A60" w:rsidP="0020251D">
      <w:pPr>
        <w:pStyle w:val="5"/>
        <w:numPr>
          <w:ilvl w:val="4"/>
          <w:numId w:val="1"/>
        </w:numPr>
        <w:spacing w:before="120" w:after="120" w:line="360" w:lineRule="auto"/>
        <w:jc w:val="left"/>
      </w:pPr>
      <w:bookmarkStart w:id="1570" w:name="_Toc454386930"/>
      <w:r>
        <w:rPr>
          <w:rFonts w:hint="eastAsia"/>
        </w:rPr>
        <w:t>数据格式</w:t>
      </w:r>
      <w:bookmarkEnd w:id="1570"/>
    </w:p>
    <w:p w14:paraId="13D8E170" w14:textId="77777777" w:rsidR="00A052DC" w:rsidRDefault="009F0A60">
      <w:r>
        <w:t>&lt;REC&gt;</w:t>
      </w:r>
    </w:p>
    <w:p w14:paraId="024D3C2A" w14:textId="77777777" w:rsidR="00A052DC" w:rsidRDefault="009F0A60">
      <w:r>
        <w:t>&lt;ACTIONTYPE&gt;</w:t>
      </w:r>
      <w:r>
        <w:rPr>
          <w:rFonts w:hint="eastAsia"/>
        </w:rPr>
        <w:t>操作类型</w:t>
      </w:r>
      <w:r>
        <w:t>&lt;/ACTIONTYPE&gt;</w:t>
      </w:r>
    </w:p>
    <w:p w14:paraId="6809CCC1" w14:textId="77777777" w:rsidR="00A052DC" w:rsidRDefault="009F0A60">
      <w:r>
        <w:t>&lt;ACTIONDESC&gt;</w:t>
      </w:r>
      <w:r>
        <w:rPr>
          <w:rFonts w:hint="eastAsia"/>
        </w:rPr>
        <w:t>删除原因</w:t>
      </w:r>
      <w:r>
        <w:t>&lt;/ACTIONDESC&gt;</w:t>
      </w:r>
    </w:p>
    <w:p w14:paraId="5B00FC7A" w14:textId="77777777" w:rsidR="00A052DC" w:rsidRDefault="009F0A60">
      <w:r>
        <w:t>&lt;EXDEBTCODE&gt;</w:t>
      </w:r>
      <w:r>
        <w:rPr>
          <w:rFonts w:hint="eastAsia"/>
        </w:rPr>
        <w:t>外债编号</w:t>
      </w:r>
      <w:r>
        <w:t>&lt;/EXDEBTCODE&gt;</w:t>
      </w:r>
    </w:p>
    <w:p w14:paraId="4FE2C889" w14:textId="77777777" w:rsidR="00A052DC" w:rsidRDefault="009F0A60">
      <w:r>
        <w:t>&lt;DEBTORCODE&gt;</w:t>
      </w:r>
      <w:r>
        <w:rPr>
          <w:rFonts w:hint="eastAsia"/>
        </w:rPr>
        <w:t>债务人代码</w:t>
      </w:r>
      <w:r>
        <w:t>&lt;/DEBTORCODE&gt;</w:t>
      </w:r>
    </w:p>
    <w:p w14:paraId="4A33FF0B" w14:textId="77777777" w:rsidR="00A052DC" w:rsidRDefault="009F0A60">
      <w:r>
        <w:t>&lt;DEBTYPE&gt;</w:t>
      </w:r>
      <w:r>
        <w:rPr>
          <w:rFonts w:hint="eastAsia"/>
        </w:rPr>
        <w:t>债务类型</w:t>
      </w:r>
      <w:r>
        <w:t>&lt;/DEBTYPE&gt;</w:t>
      </w:r>
    </w:p>
    <w:p w14:paraId="47CC2994" w14:textId="77777777" w:rsidR="00A052DC" w:rsidRDefault="009F0A60">
      <w:r>
        <w:t>&lt;CONTRACTCURR&gt;</w:t>
      </w:r>
      <w:r>
        <w:rPr>
          <w:rFonts w:hint="eastAsia"/>
        </w:rPr>
        <w:t>签约币种</w:t>
      </w:r>
      <w:r>
        <w:t>&lt;/CONTRACTCURR&gt;</w:t>
      </w:r>
    </w:p>
    <w:p w14:paraId="7E63F1C5" w14:textId="77777777" w:rsidR="00A052DC" w:rsidRDefault="009F0A60">
      <w:r>
        <w:t>&lt;FLOATRATE&gt;</w:t>
      </w:r>
      <w:r>
        <w:rPr>
          <w:rFonts w:hint="eastAsia"/>
        </w:rPr>
        <w:t>是否浮动利率</w:t>
      </w:r>
      <w:r>
        <w:t>&lt;/FLOATRATE&gt;</w:t>
      </w:r>
    </w:p>
    <w:p w14:paraId="5B3F1F0E" w14:textId="77777777" w:rsidR="00A052DC" w:rsidRDefault="009F0A60">
      <w:r>
        <w:t>&lt;ANNINRATE&gt;</w:t>
      </w:r>
      <w:r>
        <w:rPr>
          <w:rFonts w:hint="eastAsia"/>
        </w:rPr>
        <w:t>年化利率值</w:t>
      </w:r>
      <w:r>
        <w:t>&lt;/ANNINRATE&gt;</w:t>
      </w:r>
    </w:p>
    <w:p w14:paraId="1F974C1B" w14:textId="77777777" w:rsidR="00A052DC" w:rsidRDefault="009F0A60">
      <w:r>
        <w:t>&lt;CREDITORCODE&gt;</w:t>
      </w:r>
      <w:r>
        <w:rPr>
          <w:rFonts w:hint="eastAsia"/>
        </w:rPr>
        <w:t>债权人代码</w:t>
      </w:r>
      <w:r>
        <w:t>&lt;/CREDITORCODE&gt;</w:t>
      </w:r>
    </w:p>
    <w:p w14:paraId="0A4F707E" w14:textId="77777777" w:rsidR="00A052DC" w:rsidRDefault="009F0A60">
      <w:r>
        <w:t>&lt;CREDITORNAME&gt;</w:t>
      </w:r>
      <w:r>
        <w:rPr>
          <w:rFonts w:hint="eastAsia"/>
        </w:rPr>
        <w:t>债权人中文名称</w:t>
      </w:r>
      <w:r>
        <w:t>&lt;/CREDITORNAME&gt;</w:t>
      </w:r>
    </w:p>
    <w:p w14:paraId="249B4C98" w14:textId="77777777" w:rsidR="00A052DC" w:rsidRDefault="009F0A60">
      <w:r>
        <w:t>&lt;CREDITORNAMEN&gt;</w:t>
      </w:r>
      <w:r>
        <w:rPr>
          <w:rFonts w:hint="eastAsia"/>
        </w:rPr>
        <w:t>债权人英文名称</w:t>
      </w:r>
      <w:r>
        <w:t>&lt;/CREDITORNAMEN&gt;</w:t>
      </w:r>
    </w:p>
    <w:p w14:paraId="74D62D3F" w14:textId="77777777" w:rsidR="00A052DC" w:rsidRDefault="009F0A60">
      <w:r>
        <w:t>&lt;CREDITORTYPE&gt;</w:t>
      </w:r>
      <w:r>
        <w:rPr>
          <w:rFonts w:hint="eastAsia"/>
        </w:rPr>
        <w:t>债权人类型代码</w:t>
      </w:r>
      <w:r>
        <w:t>&lt;/CREDITORTYPE&gt;</w:t>
      </w:r>
    </w:p>
    <w:p w14:paraId="5792B568" w14:textId="77777777" w:rsidR="00A052DC" w:rsidRDefault="009F0A60">
      <w:r>
        <w:t>&lt;CREHQCODE&gt;</w:t>
      </w:r>
      <w:r>
        <w:rPr>
          <w:rFonts w:hint="eastAsia"/>
        </w:rPr>
        <w:t>债权人国家（地区）代码</w:t>
      </w:r>
      <w:r>
        <w:t>&lt;/CREHQCODE&gt;</w:t>
      </w:r>
    </w:p>
    <w:p w14:paraId="324649CC" w14:textId="77777777" w:rsidR="00A052DC" w:rsidRDefault="009F0A60">
      <w:r>
        <w:t>&lt;SPAPFEBOINDEX&gt;</w:t>
      </w:r>
      <w:r>
        <w:rPr>
          <w:rFonts w:hint="eastAsia"/>
        </w:rPr>
        <w:t>是否不纳入跨境融资风险加权余额计算</w:t>
      </w:r>
      <w:r>
        <w:t>&lt;/SPAPFEBOINDEX&gt;</w:t>
      </w:r>
    </w:p>
    <w:p w14:paraId="4D89E9FB" w14:textId="77777777" w:rsidR="00A052DC" w:rsidRDefault="009F0A60">
      <w:r>
        <w:t>&lt;REMARK&gt;</w:t>
      </w:r>
      <w:r>
        <w:rPr>
          <w:rFonts w:hint="eastAsia"/>
        </w:rPr>
        <w:t>备注</w:t>
      </w:r>
      <w:r>
        <w:t>&lt;/REMARK&gt;</w:t>
      </w:r>
    </w:p>
    <w:p w14:paraId="3EE217FA" w14:textId="77777777" w:rsidR="00A052DC" w:rsidRDefault="009F0A60">
      <w:r>
        <w:t>&lt;/REC&gt;</w:t>
      </w:r>
    </w:p>
    <w:p w14:paraId="02BEAAD7" w14:textId="77777777" w:rsidR="00A052DC" w:rsidRDefault="009F0A60" w:rsidP="0020251D">
      <w:pPr>
        <w:pStyle w:val="5"/>
        <w:numPr>
          <w:ilvl w:val="4"/>
          <w:numId w:val="1"/>
        </w:numPr>
        <w:spacing w:before="120" w:after="120" w:line="360" w:lineRule="auto"/>
        <w:jc w:val="left"/>
      </w:pPr>
      <w:bookmarkStart w:id="1571" w:name="_Toc454386931"/>
      <w:r>
        <w:rPr>
          <w:rFonts w:hint="eastAsia"/>
        </w:rPr>
        <w:t>数据字典</w:t>
      </w:r>
      <w:bookmarkEnd w:id="1571"/>
    </w:p>
    <w:tbl>
      <w:tblPr>
        <w:tblW w:w="86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560"/>
        <w:gridCol w:w="1417"/>
        <w:gridCol w:w="3827"/>
      </w:tblGrid>
      <w:tr w:rsidR="00A052DC" w14:paraId="25DB18ED" w14:textId="77777777">
        <w:trPr>
          <w:tblHeader/>
        </w:trPr>
        <w:tc>
          <w:tcPr>
            <w:tcW w:w="1843" w:type="dxa"/>
            <w:shd w:val="clear" w:color="auto" w:fill="C0C0C0"/>
          </w:tcPr>
          <w:p w14:paraId="67ACA57D" w14:textId="77777777" w:rsidR="00A052DC" w:rsidRDefault="009F0A60">
            <w:pPr>
              <w:jc w:val="center"/>
              <w:rPr>
                <w:rFonts w:ascii="黑体" w:eastAsia="黑体" w:hAnsi="黑体"/>
                <w:b/>
                <w:sz w:val="20"/>
                <w:szCs w:val="20"/>
              </w:rPr>
            </w:pPr>
            <w:r>
              <w:rPr>
                <w:rFonts w:ascii="黑体" w:eastAsia="黑体" w:hAnsi="黑体" w:hint="eastAsia"/>
                <w:b/>
                <w:sz w:val="20"/>
                <w:szCs w:val="20"/>
              </w:rPr>
              <w:t>字段</w:t>
            </w:r>
          </w:p>
        </w:tc>
        <w:tc>
          <w:tcPr>
            <w:tcW w:w="1560" w:type="dxa"/>
            <w:shd w:val="clear" w:color="auto" w:fill="C0C0C0"/>
          </w:tcPr>
          <w:p w14:paraId="65558CC5" w14:textId="77777777" w:rsidR="00A052DC" w:rsidRDefault="009F0A60">
            <w:pPr>
              <w:jc w:val="center"/>
              <w:rPr>
                <w:rFonts w:ascii="黑体" w:eastAsia="黑体" w:hAnsi="黑体"/>
                <w:b/>
                <w:sz w:val="20"/>
                <w:szCs w:val="20"/>
              </w:rPr>
            </w:pPr>
            <w:r>
              <w:rPr>
                <w:rFonts w:ascii="黑体" w:eastAsia="黑体" w:hAnsi="黑体" w:hint="eastAsia"/>
                <w:b/>
                <w:sz w:val="20"/>
                <w:szCs w:val="20"/>
              </w:rPr>
              <w:t>内容</w:t>
            </w:r>
          </w:p>
        </w:tc>
        <w:tc>
          <w:tcPr>
            <w:tcW w:w="1417" w:type="dxa"/>
            <w:shd w:val="clear" w:color="auto" w:fill="C0C0C0"/>
          </w:tcPr>
          <w:p w14:paraId="1E0642AD" w14:textId="77777777" w:rsidR="00A052DC" w:rsidRDefault="009F0A60">
            <w:pPr>
              <w:jc w:val="center"/>
              <w:rPr>
                <w:rFonts w:ascii="黑体" w:eastAsia="黑体" w:hAnsi="黑体"/>
                <w:b/>
                <w:sz w:val="20"/>
                <w:szCs w:val="20"/>
              </w:rPr>
            </w:pPr>
            <w:r>
              <w:rPr>
                <w:rFonts w:ascii="黑体" w:eastAsia="黑体" w:hAnsi="黑体" w:hint="eastAsia"/>
                <w:b/>
                <w:sz w:val="20"/>
                <w:szCs w:val="20"/>
              </w:rPr>
              <w:t>类型（长度）</w:t>
            </w:r>
          </w:p>
        </w:tc>
        <w:tc>
          <w:tcPr>
            <w:tcW w:w="3827" w:type="dxa"/>
            <w:shd w:val="clear" w:color="auto" w:fill="C0C0C0"/>
          </w:tcPr>
          <w:p w14:paraId="7138A9E8" w14:textId="77777777" w:rsidR="00A052DC" w:rsidRDefault="009F0A60">
            <w:pPr>
              <w:jc w:val="center"/>
              <w:rPr>
                <w:rFonts w:ascii="黑体" w:eastAsia="黑体" w:hAnsi="黑体"/>
                <w:b/>
                <w:sz w:val="20"/>
                <w:szCs w:val="20"/>
              </w:rPr>
            </w:pPr>
            <w:r>
              <w:rPr>
                <w:rFonts w:ascii="黑体" w:eastAsia="黑体" w:hAnsi="黑体" w:hint="eastAsia"/>
                <w:b/>
                <w:sz w:val="20"/>
                <w:szCs w:val="20"/>
              </w:rPr>
              <w:t>校验</w:t>
            </w:r>
          </w:p>
        </w:tc>
      </w:tr>
      <w:tr w:rsidR="00A052DC" w14:paraId="08117CC2" w14:textId="77777777">
        <w:tc>
          <w:tcPr>
            <w:tcW w:w="1843" w:type="dxa"/>
          </w:tcPr>
          <w:p w14:paraId="61580873" w14:textId="77777777" w:rsidR="00A052DC" w:rsidRDefault="009F0A60">
            <w:pPr>
              <w:rPr>
                <w:rFonts w:ascii="黑体" w:eastAsia="黑体" w:hAnsi="黑体"/>
                <w:sz w:val="20"/>
                <w:szCs w:val="20"/>
              </w:rPr>
            </w:pPr>
            <w:r>
              <w:rPr>
                <w:rFonts w:ascii="黑体" w:eastAsia="黑体" w:hAnsi="黑体" w:hint="eastAsia"/>
                <w:sz w:val="20"/>
                <w:szCs w:val="20"/>
              </w:rPr>
              <w:t>ACTIONTYPE</w:t>
            </w:r>
          </w:p>
        </w:tc>
        <w:tc>
          <w:tcPr>
            <w:tcW w:w="1560" w:type="dxa"/>
          </w:tcPr>
          <w:p w14:paraId="09490124" w14:textId="77777777" w:rsidR="00A052DC" w:rsidRDefault="009F0A60">
            <w:pPr>
              <w:rPr>
                <w:rFonts w:ascii="黑体" w:eastAsia="黑体" w:hAnsi="黑体"/>
                <w:sz w:val="20"/>
                <w:szCs w:val="20"/>
              </w:rPr>
            </w:pPr>
            <w:r>
              <w:rPr>
                <w:rFonts w:ascii="黑体" w:eastAsia="黑体" w:hAnsi="黑体" w:hint="eastAsia"/>
                <w:sz w:val="20"/>
                <w:szCs w:val="20"/>
              </w:rPr>
              <w:t>操作类型</w:t>
            </w:r>
          </w:p>
        </w:tc>
        <w:tc>
          <w:tcPr>
            <w:tcW w:w="1417" w:type="dxa"/>
          </w:tcPr>
          <w:p w14:paraId="50BD81FE" w14:textId="77777777" w:rsidR="00A052DC" w:rsidRDefault="009F0A60">
            <w:pPr>
              <w:rPr>
                <w:rFonts w:ascii="黑体" w:eastAsia="黑体" w:hAnsi="黑体"/>
                <w:sz w:val="20"/>
                <w:szCs w:val="20"/>
              </w:rPr>
            </w:pPr>
            <w:r>
              <w:rPr>
                <w:rFonts w:ascii="黑体" w:eastAsia="黑体" w:hAnsi="黑体" w:hint="eastAsia"/>
                <w:sz w:val="20"/>
                <w:szCs w:val="20"/>
              </w:rPr>
              <w:t>字符型，1</w:t>
            </w:r>
          </w:p>
        </w:tc>
        <w:tc>
          <w:tcPr>
            <w:tcW w:w="3827" w:type="dxa"/>
          </w:tcPr>
          <w:p w14:paraId="1130C4CB" w14:textId="77777777" w:rsidR="00A052DC" w:rsidRDefault="009F0A60">
            <w:pPr>
              <w:rPr>
                <w:rFonts w:ascii="黑体" w:eastAsia="黑体" w:hAnsi="黑体"/>
                <w:sz w:val="20"/>
                <w:szCs w:val="20"/>
              </w:rPr>
            </w:pPr>
            <w:r>
              <w:rPr>
                <w:rFonts w:ascii="黑体" w:eastAsia="黑体" w:hAnsi="黑体" w:hint="eastAsia"/>
                <w:sz w:val="20"/>
                <w:szCs w:val="20"/>
              </w:rPr>
              <w:t>必填项</w:t>
            </w:r>
            <w:r w:rsidR="001D10D1">
              <w:rPr>
                <w:rFonts w:ascii="黑体" w:eastAsia="黑体" w:hAnsi="黑体" w:hint="eastAsia"/>
                <w:sz w:val="20"/>
                <w:szCs w:val="20"/>
              </w:rPr>
              <w:t>。</w:t>
            </w:r>
          </w:p>
          <w:p w14:paraId="16FA5938" w14:textId="77777777" w:rsidR="00A052DC" w:rsidRDefault="009F0A60">
            <w:pPr>
              <w:rPr>
                <w:rFonts w:ascii="黑体" w:eastAsia="黑体" w:hAnsi="黑体"/>
                <w:sz w:val="20"/>
                <w:szCs w:val="20"/>
              </w:rPr>
            </w:pPr>
            <w:r>
              <w:rPr>
                <w:rFonts w:ascii="黑体" w:eastAsia="黑体" w:hAnsi="黑体" w:hint="eastAsia"/>
                <w:sz w:val="20"/>
                <w:szCs w:val="20"/>
              </w:rPr>
              <w:t>A</w:t>
            </w:r>
            <w:r w:rsidR="00AE4602">
              <w:rPr>
                <w:rFonts w:ascii="黑体" w:eastAsia="黑体" w:hAnsi="黑体" w:hint="eastAsia"/>
                <w:sz w:val="20"/>
                <w:szCs w:val="20"/>
              </w:rPr>
              <w:t>-</w:t>
            </w:r>
            <w:r>
              <w:rPr>
                <w:rFonts w:ascii="黑体" w:eastAsia="黑体" w:hAnsi="黑体" w:hint="eastAsia"/>
                <w:sz w:val="20"/>
                <w:szCs w:val="20"/>
              </w:rPr>
              <w:t>新建</w:t>
            </w:r>
          </w:p>
          <w:p w14:paraId="1D3D7909" w14:textId="77777777" w:rsidR="00A052DC" w:rsidRDefault="009F0A60">
            <w:pPr>
              <w:rPr>
                <w:rFonts w:ascii="黑体" w:eastAsia="黑体" w:hAnsi="黑体"/>
                <w:sz w:val="20"/>
                <w:szCs w:val="20"/>
              </w:rPr>
            </w:pPr>
            <w:r>
              <w:rPr>
                <w:rFonts w:ascii="黑体" w:eastAsia="黑体" w:hAnsi="黑体" w:hint="eastAsia"/>
                <w:sz w:val="20"/>
                <w:szCs w:val="20"/>
              </w:rPr>
              <w:t>C</w:t>
            </w:r>
            <w:r w:rsidR="00AE4602">
              <w:rPr>
                <w:rFonts w:ascii="黑体" w:eastAsia="黑体" w:hAnsi="黑体" w:hint="eastAsia"/>
                <w:sz w:val="20"/>
                <w:szCs w:val="20"/>
              </w:rPr>
              <w:t>-</w:t>
            </w:r>
            <w:r>
              <w:rPr>
                <w:rFonts w:ascii="黑体" w:eastAsia="黑体" w:hAnsi="黑体" w:hint="eastAsia"/>
                <w:sz w:val="20"/>
                <w:szCs w:val="20"/>
              </w:rPr>
              <w:t>修改</w:t>
            </w:r>
          </w:p>
          <w:p w14:paraId="5A5910E1" w14:textId="77777777" w:rsidR="001D10D1" w:rsidRDefault="009F0A60" w:rsidP="001D10D1">
            <w:pPr>
              <w:rPr>
                <w:rFonts w:ascii="黑体" w:eastAsia="黑体" w:hAnsi="黑体"/>
                <w:sz w:val="20"/>
                <w:szCs w:val="20"/>
              </w:rPr>
            </w:pPr>
            <w:r>
              <w:rPr>
                <w:rFonts w:ascii="黑体" w:eastAsia="黑体" w:hAnsi="黑体" w:hint="eastAsia"/>
                <w:sz w:val="20"/>
                <w:szCs w:val="20"/>
              </w:rPr>
              <w:t>D</w:t>
            </w:r>
            <w:r w:rsidR="00AE4602">
              <w:rPr>
                <w:rFonts w:ascii="黑体" w:eastAsia="黑体" w:hAnsi="黑体" w:hint="eastAsia"/>
                <w:sz w:val="20"/>
                <w:szCs w:val="20"/>
              </w:rPr>
              <w:t>-</w:t>
            </w:r>
            <w:r>
              <w:rPr>
                <w:rFonts w:ascii="黑体" w:eastAsia="黑体" w:hAnsi="黑体" w:hint="eastAsia"/>
                <w:sz w:val="20"/>
                <w:szCs w:val="20"/>
              </w:rPr>
              <w:t>删除</w:t>
            </w:r>
          </w:p>
          <w:p w14:paraId="25E973F0" w14:textId="77777777" w:rsidR="00A052DC" w:rsidRDefault="009F0A60" w:rsidP="001D10D1">
            <w:pPr>
              <w:rPr>
                <w:rFonts w:ascii="黑体" w:eastAsia="黑体" w:hAnsi="黑体"/>
                <w:sz w:val="20"/>
                <w:szCs w:val="20"/>
              </w:rPr>
            </w:pPr>
            <w:r>
              <w:rPr>
                <w:rFonts w:ascii="黑体" w:eastAsia="黑体" w:hAnsi="黑体" w:hint="eastAsia"/>
                <w:sz w:val="20"/>
                <w:szCs w:val="20"/>
              </w:rPr>
              <w:t>一旦银行报送了该外债编号下的余额信息，就不可以删除了。</w:t>
            </w:r>
          </w:p>
        </w:tc>
      </w:tr>
      <w:tr w:rsidR="00A052DC" w14:paraId="6BA5B58A" w14:textId="77777777">
        <w:tc>
          <w:tcPr>
            <w:tcW w:w="1843" w:type="dxa"/>
          </w:tcPr>
          <w:p w14:paraId="21EBC54B" w14:textId="77777777" w:rsidR="00A052DC" w:rsidRDefault="009F0A60">
            <w:pPr>
              <w:rPr>
                <w:rFonts w:ascii="黑体" w:eastAsia="黑体" w:hAnsi="黑体"/>
                <w:sz w:val="20"/>
                <w:szCs w:val="20"/>
              </w:rPr>
            </w:pPr>
            <w:r>
              <w:rPr>
                <w:rFonts w:ascii="黑体" w:eastAsia="黑体" w:hAnsi="黑体" w:hint="eastAsia"/>
                <w:sz w:val="20"/>
                <w:szCs w:val="20"/>
              </w:rPr>
              <w:t>ACTIONDESC</w:t>
            </w:r>
          </w:p>
        </w:tc>
        <w:tc>
          <w:tcPr>
            <w:tcW w:w="1560" w:type="dxa"/>
          </w:tcPr>
          <w:p w14:paraId="6CFC852B" w14:textId="77777777" w:rsidR="00A052DC" w:rsidRDefault="009F0A60">
            <w:pPr>
              <w:rPr>
                <w:rFonts w:ascii="黑体" w:eastAsia="黑体" w:hAnsi="黑体"/>
                <w:sz w:val="20"/>
                <w:szCs w:val="20"/>
              </w:rPr>
            </w:pPr>
            <w:r>
              <w:rPr>
                <w:rFonts w:ascii="黑体" w:eastAsia="黑体" w:hAnsi="黑体" w:hint="eastAsia"/>
                <w:sz w:val="20"/>
                <w:szCs w:val="20"/>
              </w:rPr>
              <w:t>删除原因</w:t>
            </w:r>
          </w:p>
        </w:tc>
        <w:tc>
          <w:tcPr>
            <w:tcW w:w="1417" w:type="dxa"/>
          </w:tcPr>
          <w:p w14:paraId="2E8DA1EE" w14:textId="77777777" w:rsidR="00A052DC" w:rsidRDefault="009F0A60">
            <w:pPr>
              <w:rPr>
                <w:rFonts w:ascii="黑体" w:eastAsia="黑体" w:hAnsi="黑体"/>
                <w:b/>
                <w:sz w:val="20"/>
                <w:szCs w:val="20"/>
              </w:rPr>
            </w:pPr>
            <w:r>
              <w:rPr>
                <w:rFonts w:ascii="黑体" w:eastAsia="黑体" w:hAnsi="黑体" w:hint="eastAsia"/>
                <w:sz w:val="20"/>
                <w:szCs w:val="20"/>
              </w:rPr>
              <w:t>字符型，128</w:t>
            </w:r>
          </w:p>
        </w:tc>
        <w:tc>
          <w:tcPr>
            <w:tcW w:w="3827" w:type="dxa"/>
          </w:tcPr>
          <w:p w14:paraId="0A8A031A" w14:textId="77777777" w:rsidR="00A052DC" w:rsidRDefault="00DD6AA3">
            <w:pPr>
              <w:rPr>
                <w:rFonts w:ascii="黑体" w:eastAsia="黑体" w:hAnsi="黑体"/>
                <w:sz w:val="20"/>
                <w:szCs w:val="20"/>
              </w:rPr>
            </w:pPr>
            <w:r>
              <w:rPr>
                <w:rFonts w:ascii="黑体" w:eastAsia="黑体" w:hAnsi="黑体" w:hint="eastAsia"/>
                <w:sz w:val="20"/>
                <w:szCs w:val="20"/>
              </w:rPr>
              <w:t>非必填项，当操作类型（ACTIONTYPE）为删除时必填。</w:t>
            </w:r>
          </w:p>
        </w:tc>
      </w:tr>
      <w:tr w:rsidR="00A052DC" w14:paraId="6A9B0CAC" w14:textId="77777777">
        <w:tc>
          <w:tcPr>
            <w:tcW w:w="1843" w:type="dxa"/>
          </w:tcPr>
          <w:p w14:paraId="4F3258B5" w14:textId="77777777" w:rsidR="00A052DC" w:rsidRDefault="009F0A60">
            <w:pPr>
              <w:rPr>
                <w:rFonts w:ascii="黑体" w:eastAsia="黑体" w:hAnsi="黑体"/>
                <w:sz w:val="20"/>
                <w:szCs w:val="20"/>
              </w:rPr>
            </w:pPr>
            <w:r>
              <w:rPr>
                <w:rFonts w:ascii="黑体" w:eastAsia="黑体" w:hAnsi="黑体" w:hint="eastAsia"/>
                <w:sz w:val="20"/>
                <w:szCs w:val="20"/>
              </w:rPr>
              <w:t>EXDEBTCODE</w:t>
            </w:r>
          </w:p>
        </w:tc>
        <w:tc>
          <w:tcPr>
            <w:tcW w:w="1560" w:type="dxa"/>
          </w:tcPr>
          <w:p w14:paraId="5981EF0B" w14:textId="77777777" w:rsidR="00A052DC" w:rsidRDefault="009F0A60">
            <w:pPr>
              <w:rPr>
                <w:rFonts w:ascii="黑体" w:eastAsia="黑体" w:hAnsi="黑体"/>
                <w:sz w:val="20"/>
                <w:szCs w:val="20"/>
              </w:rPr>
            </w:pPr>
            <w:r>
              <w:rPr>
                <w:rFonts w:ascii="黑体" w:eastAsia="黑体" w:hAnsi="黑体" w:hint="eastAsia"/>
                <w:sz w:val="20"/>
                <w:szCs w:val="20"/>
              </w:rPr>
              <w:t>外债编号</w:t>
            </w:r>
          </w:p>
        </w:tc>
        <w:tc>
          <w:tcPr>
            <w:tcW w:w="1417" w:type="dxa"/>
          </w:tcPr>
          <w:p w14:paraId="68BC6A49" w14:textId="77777777" w:rsidR="00A052DC" w:rsidRDefault="009F0A60">
            <w:pPr>
              <w:rPr>
                <w:rFonts w:ascii="黑体" w:eastAsia="黑体" w:hAnsi="黑体"/>
                <w:sz w:val="20"/>
                <w:szCs w:val="20"/>
              </w:rPr>
            </w:pPr>
            <w:r>
              <w:rPr>
                <w:rFonts w:ascii="黑体" w:eastAsia="黑体" w:hAnsi="黑体" w:hint="eastAsia"/>
                <w:sz w:val="20"/>
                <w:szCs w:val="20"/>
              </w:rPr>
              <w:t>字符型，28</w:t>
            </w:r>
          </w:p>
        </w:tc>
        <w:tc>
          <w:tcPr>
            <w:tcW w:w="3827" w:type="dxa"/>
          </w:tcPr>
          <w:p w14:paraId="1F4664F0" w14:textId="77777777" w:rsidR="00A052DC" w:rsidRDefault="009F0A60" w:rsidP="001D10D1">
            <w:pPr>
              <w:rPr>
                <w:rFonts w:ascii="黑体" w:eastAsia="黑体" w:hAnsi="黑体"/>
                <w:sz w:val="20"/>
                <w:szCs w:val="20"/>
              </w:rPr>
            </w:pPr>
            <w:r>
              <w:rPr>
                <w:rFonts w:ascii="黑体" w:eastAsia="黑体" w:hAnsi="黑体" w:hint="eastAsia"/>
                <w:sz w:val="20"/>
                <w:szCs w:val="20"/>
              </w:rPr>
              <w:t>必填项，外债唯一性编码。</w:t>
            </w:r>
          </w:p>
        </w:tc>
      </w:tr>
      <w:tr w:rsidR="00A052DC" w14:paraId="061D6FE5" w14:textId="77777777">
        <w:tc>
          <w:tcPr>
            <w:tcW w:w="1843" w:type="dxa"/>
          </w:tcPr>
          <w:p w14:paraId="5942193F" w14:textId="77777777" w:rsidR="00A052DC" w:rsidRDefault="009F0A60">
            <w:pPr>
              <w:rPr>
                <w:rFonts w:ascii="黑体" w:eastAsia="黑体" w:hAnsi="黑体"/>
                <w:sz w:val="20"/>
                <w:szCs w:val="20"/>
              </w:rPr>
            </w:pPr>
            <w:r>
              <w:rPr>
                <w:rFonts w:ascii="黑体" w:eastAsia="黑体" w:hAnsi="黑体" w:hint="eastAsia"/>
                <w:sz w:val="20"/>
                <w:szCs w:val="20"/>
              </w:rPr>
              <w:t>DEBTORCODE</w:t>
            </w:r>
          </w:p>
        </w:tc>
        <w:tc>
          <w:tcPr>
            <w:tcW w:w="1560" w:type="dxa"/>
          </w:tcPr>
          <w:p w14:paraId="57CF5BE7" w14:textId="77777777" w:rsidR="00A052DC" w:rsidRDefault="009F0A60">
            <w:pPr>
              <w:rPr>
                <w:rFonts w:ascii="黑体" w:eastAsia="黑体" w:hAnsi="黑体"/>
                <w:sz w:val="20"/>
                <w:szCs w:val="20"/>
              </w:rPr>
            </w:pPr>
            <w:r>
              <w:rPr>
                <w:rFonts w:ascii="黑体" w:eastAsia="黑体" w:hAnsi="黑体" w:hint="eastAsia"/>
                <w:sz w:val="20"/>
                <w:szCs w:val="20"/>
              </w:rPr>
              <w:t>债务人代码</w:t>
            </w:r>
          </w:p>
        </w:tc>
        <w:tc>
          <w:tcPr>
            <w:tcW w:w="1417" w:type="dxa"/>
          </w:tcPr>
          <w:p w14:paraId="49059AD6" w14:textId="77777777" w:rsidR="00A052DC" w:rsidRDefault="009F0A60">
            <w:pPr>
              <w:rPr>
                <w:rFonts w:ascii="黑体" w:eastAsia="黑体" w:hAnsi="黑体"/>
                <w:sz w:val="20"/>
                <w:szCs w:val="20"/>
              </w:rPr>
            </w:pPr>
            <w:r>
              <w:rPr>
                <w:rFonts w:ascii="黑体" w:eastAsia="黑体" w:hAnsi="黑体" w:hint="eastAsia"/>
                <w:sz w:val="20"/>
                <w:szCs w:val="20"/>
              </w:rPr>
              <w:t>字符型，12</w:t>
            </w:r>
          </w:p>
        </w:tc>
        <w:tc>
          <w:tcPr>
            <w:tcW w:w="3827" w:type="dxa"/>
          </w:tcPr>
          <w:p w14:paraId="7711EF7C" w14:textId="77777777" w:rsidR="00A052DC" w:rsidRDefault="009F0A60" w:rsidP="001D10D1">
            <w:pPr>
              <w:rPr>
                <w:rFonts w:ascii="黑体" w:eastAsia="黑体" w:hAnsi="黑体"/>
                <w:sz w:val="20"/>
                <w:szCs w:val="20"/>
              </w:rPr>
            </w:pPr>
            <w:r>
              <w:rPr>
                <w:rFonts w:ascii="黑体" w:eastAsia="黑体" w:hAnsi="黑体" w:hint="eastAsia"/>
                <w:sz w:val="20"/>
                <w:szCs w:val="20"/>
              </w:rPr>
              <w:t>必填项，金融机构标识码。</w:t>
            </w:r>
          </w:p>
        </w:tc>
      </w:tr>
      <w:tr w:rsidR="00A052DC" w14:paraId="1A03F815" w14:textId="77777777">
        <w:tc>
          <w:tcPr>
            <w:tcW w:w="1843" w:type="dxa"/>
          </w:tcPr>
          <w:p w14:paraId="325A63CF" w14:textId="77777777" w:rsidR="00A052DC" w:rsidRDefault="009F0A60">
            <w:pPr>
              <w:rPr>
                <w:rFonts w:ascii="黑体" w:eastAsia="黑体" w:hAnsi="黑体"/>
                <w:sz w:val="20"/>
                <w:szCs w:val="20"/>
              </w:rPr>
            </w:pPr>
            <w:r>
              <w:rPr>
                <w:rFonts w:ascii="黑体" w:eastAsia="黑体" w:hAnsi="黑体" w:hint="eastAsia"/>
                <w:sz w:val="20"/>
                <w:szCs w:val="20"/>
              </w:rPr>
              <w:t>DEBTYPE</w:t>
            </w:r>
          </w:p>
        </w:tc>
        <w:tc>
          <w:tcPr>
            <w:tcW w:w="1560" w:type="dxa"/>
          </w:tcPr>
          <w:p w14:paraId="50B3B7D7" w14:textId="77777777" w:rsidR="00A052DC" w:rsidRDefault="009F0A60">
            <w:pPr>
              <w:rPr>
                <w:rFonts w:ascii="黑体" w:eastAsia="黑体" w:hAnsi="黑体"/>
                <w:sz w:val="20"/>
                <w:szCs w:val="20"/>
              </w:rPr>
            </w:pPr>
            <w:r>
              <w:rPr>
                <w:rFonts w:ascii="黑体" w:eastAsia="黑体" w:hAnsi="黑体" w:hint="eastAsia"/>
                <w:sz w:val="20"/>
                <w:szCs w:val="20"/>
              </w:rPr>
              <w:t>债务类型</w:t>
            </w:r>
          </w:p>
        </w:tc>
        <w:tc>
          <w:tcPr>
            <w:tcW w:w="1417" w:type="dxa"/>
          </w:tcPr>
          <w:p w14:paraId="19A0A36D" w14:textId="77777777" w:rsidR="00A052DC" w:rsidRDefault="009F0A60">
            <w:pPr>
              <w:rPr>
                <w:rFonts w:ascii="黑体" w:eastAsia="黑体" w:hAnsi="黑体"/>
                <w:sz w:val="20"/>
                <w:szCs w:val="20"/>
              </w:rPr>
            </w:pPr>
            <w:r>
              <w:rPr>
                <w:rFonts w:ascii="黑体" w:eastAsia="黑体" w:hAnsi="黑体" w:hint="eastAsia"/>
                <w:sz w:val="20"/>
                <w:szCs w:val="20"/>
              </w:rPr>
              <w:t>字符型，4</w:t>
            </w:r>
          </w:p>
        </w:tc>
        <w:tc>
          <w:tcPr>
            <w:tcW w:w="3827" w:type="dxa"/>
          </w:tcPr>
          <w:p w14:paraId="42AA4ACA" w14:textId="77777777" w:rsidR="00A052DC" w:rsidRDefault="009F0A60" w:rsidP="001D10D1">
            <w:pPr>
              <w:rPr>
                <w:rFonts w:ascii="黑体" w:eastAsia="黑体" w:hAnsi="黑体"/>
                <w:sz w:val="20"/>
                <w:szCs w:val="20"/>
              </w:rPr>
            </w:pPr>
            <w:r>
              <w:rPr>
                <w:rFonts w:ascii="黑体" w:eastAsia="黑体" w:hAnsi="黑体" w:hint="eastAsia"/>
                <w:sz w:val="20"/>
                <w:szCs w:val="20"/>
              </w:rPr>
              <w:t>必填项，见债务类型代码表。</w:t>
            </w:r>
          </w:p>
        </w:tc>
      </w:tr>
      <w:tr w:rsidR="00A052DC" w14:paraId="30F91031" w14:textId="77777777">
        <w:trPr>
          <w:cantSplit/>
          <w:trHeight w:val="64"/>
        </w:trPr>
        <w:tc>
          <w:tcPr>
            <w:tcW w:w="1843" w:type="dxa"/>
          </w:tcPr>
          <w:p w14:paraId="25510929" w14:textId="77777777" w:rsidR="00A052DC" w:rsidRDefault="009F0A60">
            <w:pPr>
              <w:rPr>
                <w:rFonts w:ascii="黑体" w:eastAsia="黑体" w:hAnsi="黑体"/>
                <w:sz w:val="20"/>
                <w:szCs w:val="20"/>
              </w:rPr>
            </w:pPr>
            <w:r>
              <w:rPr>
                <w:rFonts w:ascii="黑体" w:eastAsia="黑体" w:hAnsi="黑体" w:hint="eastAsia"/>
                <w:sz w:val="20"/>
                <w:szCs w:val="20"/>
              </w:rPr>
              <w:t>CONTRACTCURR</w:t>
            </w:r>
          </w:p>
        </w:tc>
        <w:tc>
          <w:tcPr>
            <w:tcW w:w="1560" w:type="dxa"/>
          </w:tcPr>
          <w:p w14:paraId="30D920F8" w14:textId="77777777" w:rsidR="00A052DC" w:rsidRDefault="009F0A60">
            <w:pPr>
              <w:rPr>
                <w:rFonts w:ascii="黑体" w:eastAsia="黑体" w:hAnsi="黑体"/>
                <w:sz w:val="20"/>
                <w:szCs w:val="20"/>
              </w:rPr>
            </w:pPr>
            <w:r>
              <w:rPr>
                <w:rFonts w:ascii="黑体" w:eastAsia="黑体" w:hAnsi="黑体" w:hint="eastAsia"/>
                <w:sz w:val="20"/>
                <w:szCs w:val="20"/>
              </w:rPr>
              <w:t>签约币种</w:t>
            </w:r>
          </w:p>
        </w:tc>
        <w:tc>
          <w:tcPr>
            <w:tcW w:w="1417" w:type="dxa"/>
          </w:tcPr>
          <w:p w14:paraId="14D290FB" w14:textId="77777777" w:rsidR="00A052DC" w:rsidRDefault="009F0A60">
            <w:pPr>
              <w:rPr>
                <w:rFonts w:ascii="黑体" w:eastAsia="黑体" w:hAnsi="黑体"/>
                <w:sz w:val="20"/>
                <w:szCs w:val="20"/>
              </w:rPr>
            </w:pPr>
            <w:r>
              <w:rPr>
                <w:rFonts w:ascii="黑体" w:eastAsia="黑体" w:hAnsi="黑体" w:hint="eastAsia"/>
                <w:sz w:val="20"/>
                <w:szCs w:val="20"/>
              </w:rPr>
              <w:t>字符型，3</w:t>
            </w:r>
          </w:p>
        </w:tc>
        <w:tc>
          <w:tcPr>
            <w:tcW w:w="3827" w:type="dxa"/>
          </w:tcPr>
          <w:p w14:paraId="6D109A37" w14:textId="77777777" w:rsidR="00A052DC" w:rsidRDefault="009F0A60" w:rsidP="001D10D1">
            <w:pPr>
              <w:rPr>
                <w:rFonts w:ascii="黑体" w:eastAsia="黑体" w:hAnsi="黑体"/>
                <w:sz w:val="20"/>
                <w:szCs w:val="20"/>
              </w:rPr>
            </w:pPr>
            <w:r>
              <w:rPr>
                <w:rFonts w:ascii="黑体" w:eastAsia="黑体" w:hAnsi="黑体" w:hint="eastAsia"/>
                <w:sz w:val="20"/>
                <w:szCs w:val="20"/>
              </w:rPr>
              <w:t>必填项，见币种代码表。</w:t>
            </w:r>
          </w:p>
        </w:tc>
      </w:tr>
      <w:tr w:rsidR="00A052DC" w14:paraId="1FD07B78" w14:textId="77777777">
        <w:trPr>
          <w:cantSplit/>
          <w:trHeight w:val="64"/>
        </w:trPr>
        <w:tc>
          <w:tcPr>
            <w:tcW w:w="1843" w:type="dxa"/>
          </w:tcPr>
          <w:p w14:paraId="5DEEE3F7" w14:textId="77777777" w:rsidR="00A052DC" w:rsidRDefault="009F0A60">
            <w:pPr>
              <w:rPr>
                <w:rFonts w:ascii="黑体" w:eastAsia="黑体" w:hAnsi="黑体"/>
                <w:sz w:val="20"/>
                <w:szCs w:val="20"/>
              </w:rPr>
            </w:pPr>
            <w:r>
              <w:rPr>
                <w:rFonts w:ascii="黑体" w:eastAsia="黑体" w:hAnsi="黑体" w:hint="eastAsia"/>
                <w:sz w:val="20"/>
                <w:szCs w:val="20"/>
              </w:rPr>
              <w:t>FLOATRATE</w:t>
            </w:r>
          </w:p>
        </w:tc>
        <w:tc>
          <w:tcPr>
            <w:tcW w:w="1560" w:type="dxa"/>
          </w:tcPr>
          <w:p w14:paraId="30AC7577" w14:textId="77777777" w:rsidR="00A052DC" w:rsidRDefault="009F0A60">
            <w:pPr>
              <w:rPr>
                <w:rFonts w:ascii="黑体" w:eastAsia="黑体" w:hAnsi="黑体"/>
                <w:sz w:val="20"/>
                <w:szCs w:val="20"/>
              </w:rPr>
            </w:pPr>
            <w:r>
              <w:rPr>
                <w:rFonts w:ascii="黑体" w:eastAsia="黑体" w:hAnsi="黑体" w:hint="eastAsia"/>
                <w:sz w:val="20"/>
                <w:szCs w:val="20"/>
              </w:rPr>
              <w:t>是否浮动利率</w:t>
            </w:r>
          </w:p>
        </w:tc>
        <w:tc>
          <w:tcPr>
            <w:tcW w:w="1417" w:type="dxa"/>
          </w:tcPr>
          <w:p w14:paraId="63231DEF" w14:textId="77777777" w:rsidR="00A052DC" w:rsidRDefault="009F0A60">
            <w:pPr>
              <w:rPr>
                <w:rFonts w:ascii="黑体" w:eastAsia="黑体" w:hAnsi="黑体"/>
                <w:sz w:val="20"/>
                <w:szCs w:val="20"/>
              </w:rPr>
            </w:pPr>
            <w:r>
              <w:rPr>
                <w:rFonts w:ascii="黑体" w:eastAsia="黑体" w:hAnsi="黑体" w:hint="eastAsia"/>
                <w:sz w:val="20"/>
                <w:szCs w:val="20"/>
              </w:rPr>
              <w:t>字符型，1</w:t>
            </w:r>
          </w:p>
        </w:tc>
        <w:tc>
          <w:tcPr>
            <w:tcW w:w="3827" w:type="dxa"/>
          </w:tcPr>
          <w:p w14:paraId="55405382" w14:textId="77777777" w:rsidR="00A052DC" w:rsidRDefault="009F0A60">
            <w:pPr>
              <w:rPr>
                <w:rFonts w:ascii="黑体" w:eastAsia="黑体" w:hAnsi="黑体"/>
                <w:sz w:val="20"/>
                <w:szCs w:val="20"/>
              </w:rPr>
            </w:pPr>
            <w:r>
              <w:rPr>
                <w:rFonts w:ascii="黑体" w:eastAsia="黑体" w:hAnsi="黑体" w:hint="eastAsia"/>
                <w:sz w:val="20"/>
                <w:szCs w:val="20"/>
              </w:rPr>
              <w:t>必填项，是-Y，否-N，默认为否，填写N。</w:t>
            </w:r>
          </w:p>
        </w:tc>
      </w:tr>
      <w:tr w:rsidR="00A052DC" w14:paraId="4DD7357E" w14:textId="77777777">
        <w:trPr>
          <w:cantSplit/>
          <w:trHeight w:val="64"/>
        </w:trPr>
        <w:tc>
          <w:tcPr>
            <w:tcW w:w="1843" w:type="dxa"/>
          </w:tcPr>
          <w:p w14:paraId="1C1D6AE2" w14:textId="77777777" w:rsidR="00A052DC" w:rsidRDefault="009F0A60">
            <w:pPr>
              <w:rPr>
                <w:rFonts w:ascii="黑体" w:eastAsia="黑体" w:hAnsi="黑体"/>
                <w:sz w:val="20"/>
                <w:szCs w:val="20"/>
              </w:rPr>
            </w:pPr>
            <w:r>
              <w:rPr>
                <w:rFonts w:ascii="黑体" w:eastAsia="黑体" w:hAnsi="黑体" w:hint="eastAsia"/>
                <w:sz w:val="20"/>
                <w:szCs w:val="20"/>
              </w:rPr>
              <w:t>ANNINRATE</w:t>
            </w:r>
          </w:p>
        </w:tc>
        <w:tc>
          <w:tcPr>
            <w:tcW w:w="1560" w:type="dxa"/>
          </w:tcPr>
          <w:p w14:paraId="2F9A3419" w14:textId="77777777" w:rsidR="00A052DC" w:rsidRDefault="009F0A60">
            <w:pPr>
              <w:rPr>
                <w:rFonts w:ascii="黑体" w:eastAsia="黑体" w:hAnsi="黑体"/>
                <w:sz w:val="20"/>
                <w:szCs w:val="20"/>
              </w:rPr>
            </w:pPr>
            <w:r>
              <w:rPr>
                <w:rFonts w:ascii="黑体" w:eastAsia="黑体" w:hAnsi="黑体" w:hint="eastAsia"/>
                <w:sz w:val="20"/>
                <w:szCs w:val="20"/>
              </w:rPr>
              <w:t>年化利率值</w:t>
            </w:r>
          </w:p>
        </w:tc>
        <w:tc>
          <w:tcPr>
            <w:tcW w:w="1417" w:type="dxa"/>
          </w:tcPr>
          <w:p w14:paraId="49CD6E4F" w14:textId="77777777" w:rsidR="00A052DC" w:rsidRDefault="009F0A60">
            <w:pPr>
              <w:rPr>
                <w:rFonts w:ascii="黑体" w:eastAsia="黑体" w:hAnsi="黑体"/>
                <w:sz w:val="20"/>
                <w:szCs w:val="20"/>
              </w:rPr>
            </w:pPr>
            <w:r>
              <w:rPr>
                <w:rFonts w:ascii="黑体" w:eastAsia="黑体" w:hAnsi="黑体" w:hint="eastAsia"/>
                <w:sz w:val="20"/>
                <w:szCs w:val="20"/>
              </w:rPr>
              <w:t>数值型，13.8</w:t>
            </w:r>
          </w:p>
        </w:tc>
        <w:tc>
          <w:tcPr>
            <w:tcW w:w="3827" w:type="dxa"/>
          </w:tcPr>
          <w:p w14:paraId="690DB49F" w14:textId="77777777" w:rsidR="00A052DC" w:rsidRDefault="009F0A60" w:rsidP="001D10D1">
            <w:pPr>
              <w:rPr>
                <w:rFonts w:ascii="黑体" w:eastAsia="黑体" w:hAnsi="黑体"/>
                <w:sz w:val="20"/>
                <w:szCs w:val="20"/>
              </w:rPr>
            </w:pPr>
            <w:r>
              <w:rPr>
                <w:rFonts w:ascii="黑体" w:eastAsia="黑体" w:hAnsi="黑体" w:hint="eastAsia"/>
                <w:sz w:val="20"/>
                <w:szCs w:val="20"/>
              </w:rPr>
              <w:t>必填项，大于等于0，按小数填写</w:t>
            </w:r>
            <w:r w:rsidR="001D10D1">
              <w:rPr>
                <w:rFonts w:ascii="黑体" w:eastAsia="黑体" w:hAnsi="黑体" w:hint="eastAsia"/>
                <w:sz w:val="20"/>
                <w:szCs w:val="20"/>
              </w:rPr>
              <w:t>。</w:t>
            </w:r>
            <w:r>
              <w:rPr>
                <w:rFonts w:ascii="黑体" w:eastAsia="黑体" w:hAnsi="黑体" w:hint="eastAsia"/>
                <w:sz w:val="20"/>
                <w:szCs w:val="20"/>
              </w:rPr>
              <w:t>如利率为3.21%，则填写0.0321。</w:t>
            </w:r>
          </w:p>
        </w:tc>
      </w:tr>
      <w:tr w:rsidR="00A052DC" w14:paraId="666788C2" w14:textId="77777777">
        <w:tc>
          <w:tcPr>
            <w:tcW w:w="1843" w:type="dxa"/>
          </w:tcPr>
          <w:p w14:paraId="542BF4AB" w14:textId="77777777" w:rsidR="00A052DC" w:rsidRDefault="009F0A60">
            <w:pPr>
              <w:rPr>
                <w:rFonts w:ascii="黑体" w:eastAsia="黑体" w:hAnsi="黑体"/>
                <w:sz w:val="20"/>
                <w:szCs w:val="20"/>
              </w:rPr>
            </w:pPr>
            <w:r>
              <w:rPr>
                <w:rFonts w:ascii="黑体" w:eastAsia="黑体" w:hAnsi="黑体" w:hint="eastAsia"/>
                <w:sz w:val="20"/>
                <w:szCs w:val="20"/>
              </w:rPr>
              <w:t>CREDITORCODE</w:t>
            </w:r>
          </w:p>
        </w:tc>
        <w:tc>
          <w:tcPr>
            <w:tcW w:w="1560" w:type="dxa"/>
          </w:tcPr>
          <w:p w14:paraId="3556326B" w14:textId="77777777" w:rsidR="00A052DC" w:rsidRDefault="009F0A60">
            <w:pPr>
              <w:rPr>
                <w:rFonts w:ascii="黑体" w:eastAsia="黑体" w:hAnsi="黑体"/>
                <w:sz w:val="20"/>
                <w:szCs w:val="20"/>
              </w:rPr>
            </w:pPr>
            <w:r>
              <w:rPr>
                <w:rFonts w:ascii="黑体" w:eastAsia="黑体" w:hAnsi="黑体" w:hint="eastAsia"/>
                <w:sz w:val="20"/>
                <w:szCs w:val="20"/>
              </w:rPr>
              <w:t>债权人代码</w:t>
            </w:r>
          </w:p>
        </w:tc>
        <w:tc>
          <w:tcPr>
            <w:tcW w:w="1417" w:type="dxa"/>
          </w:tcPr>
          <w:p w14:paraId="46D8F4BC" w14:textId="77777777" w:rsidR="00A052DC" w:rsidRDefault="009F0A60">
            <w:pPr>
              <w:rPr>
                <w:rFonts w:ascii="黑体" w:eastAsia="黑体" w:hAnsi="黑体"/>
                <w:sz w:val="20"/>
                <w:szCs w:val="20"/>
              </w:rPr>
            </w:pPr>
            <w:r>
              <w:rPr>
                <w:rFonts w:ascii="黑体" w:eastAsia="黑体" w:hAnsi="黑体" w:hint="eastAsia"/>
                <w:sz w:val="20"/>
                <w:szCs w:val="20"/>
              </w:rPr>
              <w:t>字符型，6</w:t>
            </w:r>
          </w:p>
        </w:tc>
        <w:tc>
          <w:tcPr>
            <w:tcW w:w="3827" w:type="dxa"/>
          </w:tcPr>
          <w:p w14:paraId="0C319D2D"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r w:rsidR="00A052DC" w14:paraId="206C1395" w14:textId="77777777">
        <w:tc>
          <w:tcPr>
            <w:tcW w:w="1843" w:type="dxa"/>
          </w:tcPr>
          <w:p w14:paraId="2CF66A45" w14:textId="77777777" w:rsidR="00A052DC" w:rsidRDefault="009F0A60">
            <w:pPr>
              <w:rPr>
                <w:rFonts w:ascii="黑体" w:eastAsia="黑体" w:hAnsi="黑体"/>
                <w:sz w:val="20"/>
                <w:szCs w:val="20"/>
              </w:rPr>
            </w:pPr>
            <w:r>
              <w:rPr>
                <w:rFonts w:ascii="黑体" w:eastAsia="黑体" w:hAnsi="黑体" w:hint="eastAsia"/>
                <w:sz w:val="20"/>
                <w:szCs w:val="20"/>
              </w:rPr>
              <w:t>CREDITORNAME</w:t>
            </w:r>
          </w:p>
        </w:tc>
        <w:tc>
          <w:tcPr>
            <w:tcW w:w="1560" w:type="dxa"/>
          </w:tcPr>
          <w:p w14:paraId="0457B336" w14:textId="77777777" w:rsidR="00A052DC" w:rsidRDefault="009F0A60">
            <w:pPr>
              <w:rPr>
                <w:rFonts w:ascii="黑体" w:eastAsia="黑体" w:hAnsi="黑体"/>
                <w:sz w:val="20"/>
                <w:szCs w:val="20"/>
              </w:rPr>
            </w:pPr>
            <w:r>
              <w:rPr>
                <w:rFonts w:ascii="黑体" w:eastAsia="黑体" w:hAnsi="黑体" w:hint="eastAsia"/>
                <w:sz w:val="20"/>
                <w:szCs w:val="20"/>
              </w:rPr>
              <w:t>债权人中文名称</w:t>
            </w:r>
          </w:p>
        </w:tc>
        <w:tc>
          <w:tcPr>
            <w:tcW w:w="1417" w:type="dxa"/>
          </w:tcPr>
          <w:p w14:paraId="3382BF70"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3827" w:type="dxa"/>
          </w:tcPr>
          <w:p w14:paraId="39F6F498" w14:textId="77777777" w:rsidR="00A052DC" w:rsidRDefault="009F0A60">
            <w:pPr>
              <w:rPr>
                <w:rFonts w:ascii="黑体" w:eastAsia="黑体" w:hAnsi="黑体"/>
                <w:sz w:val="20"/>
                <w:szCs w:val="20"/>
              </w:rPr>
            </w:pPr>
            <w:r>
              <w:rPr>
                <w:rFonts w:ascii="黑体" w:eastAsia="黑体" w:hAnsi="黑体" w:hint="eastAsia"/>
                <w:sz w:val="20"/>
                <w:szCs w:val="20"/>
              </w:rPr>
              <w:t>非必填项，</w:t>
            </w:r>
          </w:p>
          <w:p w14:paraId="52123AF1" w14:textId="77777777" w:rsidR="00A052DC" w:rsidRDefault="009F0A60">
            <w:pPr>
              <w:rPr>
                <w:rFonts w:ascii="黑体" w:eastAsia="黑体" w:hAnsi="黑体"/>
                <w:sz w:val="20"/>
                <w:szCs w:val="20"/>
              </w:rPr>
            </w:pPr>
            <w:r>
              <w:rPr>
                <w:rFonts w:ascii="黑体" w:eastAsia="黑体" w:hAnsi="黑体" w:hint="eastAsia"/>
                <w:sz w:val="20"/>
                <w:szCs w:val="20"/>
              </w:rPr>
              <w:t>债权人中文名称和债权人英文名称至少填写一个。</w:t>
            </w:r>
          </w:p>
        </w:tc>
      </w:tr>
      <w:tr w:rsidR="00A052DC" w14:paraId="15479839" w14:textId="77777777">
        <w:tc>
          <w:tcPr>
            <w:tcW w:w="1843" w:type="dxa"/>
          </w:tcPr>
          <w:p w14:paraId="6D380169" w14:textId="77777777" w:rsidR="00A052DC" w:rsidRDefault="009F0A60">
            <w:pPr>
              <w:rPr>
                <w:rFonts w:ascii="黑体" w:eastAsia="黑体" w:hAnsi="黑体"/>
                <w:sz w:val="20"/>
                <w:szCs w:val="20"/>
              </w:rPr>
            </w:pPr>
            <w:r>
              <w:rPr>
                <w:rFonts w:ascii="黑体" w:eastAsia="黑体" w:hAnsi="黑体" w:hint="eastAsia"/>
                <w:sz w:val="20"/>
                <w:szCs w:val="20"/>
              </w:rPr>
              <w:t>CREDITORNAMEN</w:t>
            </w:r>
          </w:p>
        </w:tc>
        <w:tc>
          <w:tcPr>
            <w:tcW w:w="1560" w:type="dxa"/>
          </w:tcPr>
          <w:p w14:paraId="189B0186" w14:textId="77777777" w:rsidR="00A052DC" w:rsidRDefault="009F0A60">
            <w:pPr>
              <w:rPr>
                <w:rFonts w:ascii="黑体" w:eastAsia="黑体" w:hAnsi="黑体"/>
                <w:sz w:val="20"/>
                <w:szCs w:val="20"/>
              </w:rPr>
            </w:pPr>
            <w:r>
              <w:rPr>
                <w:rFonts w:ascii="黑体" w:eastAsia="黑体" w:hAnsi="黑体" w:hint="eastAsia"/>
                <w:sz w:val="20"/>
                <w:szCs w:val="20"/>
              </w:rPr>
              <w:t>债权人英文名称</w:t>
            </w:r>
          </w:p>
        </w:tc>
        <w:tc>
          <w:tcPr>
            <w:tcW w:w="1417" w:type="dxa"/>
          </w:tcPr>
          <w:p w14:paraId="0D962635"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3827" w:type="dxa"/>
          </w:tcPr>
          <w:p w14:paraId="54447F64" w14:textId="77777777" w:rsidR="00A052DC" w:rsidRDefault="009F0A60">
            <w:pPr>
              <w:rPr>
                <w:rFonts w:ascii="黑体" w:eastAsia="黑体" w:hAnsi="黑体"/>
                <w:sz w:val="20"/>
                <w:szCs w:val="20"/>
              </w:rPr>
            </w:pPr>
            <w:r>
              <w:rPr>
                <w:rFonts w:ascii="黑体" w:eastAsia="黑体" w:hAnsi="黑体" w:hint="eastAsia"/>
                <w:sz w:val="20"/>
                <w:szCs w:val="20"/>
              </w:rPr>
              <w:t>非必填项，</w:t>
            </w:r>
          </w:p>
          <w:p w14:paraId="62D80BBF" w14:textId="77777777" w:rsidR="00A052DC" w:rsidRDefault="009F0A60">
            <w:pPr>
              <w:rPr>
                <w:rFonts w:ascii="黑体" w:eastAsia="黑体" w:hAnsi="黑体"/>
                <w:sz w:val="20"/>
                <w:szCs w:val="20"/>
              </w:rPr>
            </w:pPr>
            <w:r>
              <w:rPr>
                <w:rFonts w:ascii="黑体" w:eastAsia="黑体" w:hAnsi="黑体" w:hint="eastAsia"/>
                <w:sz w:val="20"/>
                <w:szCs w:val="20"/>
              </w:rPr>
              <w:t>债权人中文名称和债权人英文名称至少填写一个。</w:t>
            </w:r>
          </w:p>
        </w:tc>
      </w:tr>
      <w:tr w:rsidR="00A052DC" w14:paraId="4B3B67DD" w14:textId="77777777">
        <w:tc>
          <w:tcPr>
            <w:tcW w:w="1843" w:type="dxa"/>
          </w:tcPr>
          <w:p w14:paraId="76A78384" w14:textId="77777777" w:rsidR="00A052DC" w:rsidRDefault="009F0A60">
            <w:pPr>
              <w:rPr>
                <w:rFonts w:ascii="黑体" w:eastAsia="黑体" w:hAnsi="黑体"/>
                <w:sz w:val="20"/>
                <w:szCs w:val="20"/>
              </w:rPr>
            </w:pPr>
            <w:r>
              <w:rPr>
                <w:rFonts w:ascii="黑体" w:eastAsia="黑体" w:hAnsi="黑体" w:hint="eastAsia"/>
                <w:sz w:val="20"/>
                <w:szCs w:val="20"/>
              </w:rPr>
              <w:t>CREDITORTYPE</w:t>
            </w:r>
          </w:p>
        </w:tc>
        <w:tc>
          <w:tcPr>
            <w:tcW w:w="1560" w:type="dxa"/>
          </w:tcPr>
          <w:p w14:paraId="136D63BB" w14:textId="77777777" w:rsidR="00A052DC" w:rsidRDefault="009F0A60">
            <w:pPr>
              <w:rPr>
                <w:rFonts w:ascii="黑体" w:eastAsia="黑体" w:hAnsi="黑体"/>
                <w:sz w:val="20"/>
                <w:szCs w:val="20"/>
              </w:rPr>
            </w:pPr>
            <w:r>
              <w:rPr>
                <w:rFonts w:ascii="黑体" w:eastAsia="黑体" w:hAnsi="黑体" w:hint="eastAsia"/>
                <w:sz w:val="20"/>
                <w:szCs w:val="20"/>
              </w:rPr>
              <w:t>债权人类型代码</w:t>
            </w:r>
          </w:p>
        </w:tc>
        <w:tc>
          <w:tcPr>
            <w:tcW w:w="1417" w:type="dxa"/>
          </w:tcPr>
          <w:p w14:paraId="6697AB50" w14:textId="77777777" w:rsidR="00A052DC" w:rsidRDefault="009F0A60">
            <w:pPr>
              <w:rPr>
                <w:rFonts w:ascii="黑体" w:eastAsia="黑体" w:hAnsi="黑体"/>
                <w:sz w:val="20"/>
                <w:szCs w:val="20"/>
              </w:rPr>
            </w:pPr>
            <w:r>
              <w:rPr>
                <w:rFonts w:ascii="黑体" w:eastAsia="黑体" w:hAnsi="黑体" w:hint="eastAsia"/>
                <w:sz w:val="20"/>
                <w:szCs w:val="20"/>
              </w:rPr>
              <w:t>字符型，8</w:t>
            </w:r>
          </w:p>
        </w:tc>
        <w:tc>
          <w:tcPr>
            <w:tcW w:w="3827" w:type="dxa"/>
          </w:tcPr>
          <w:p w14:paraId="6394069C" w14:textId="77777777" w:rsidR="00A052DC" w:rsidRDefault="009F0A60">
            <w:pPr>
              <w:rPr>
                <w:rFonts w:ascii="黑体" w:eastAsia="黑体" w:hAnsi="黑体"/>
                <w:sz w:val="20"/>
                <w:szCs w:val="20"/>
              </w:rPr>
            </w:pPr>
            <w:r>
              <w:rPr>
                <w:rFonts w:ascii="黑体" w:eastAsia="黑体" w:hAnsi="黑体" w:hint="eastAsia"/>
                <w:sz w:val="20"/>
                <w:szCs w:val="20"/>
              </w:rPr>
              <w:t>必填项，见境外主体类型代码表。</w:t>
            </w:r>
          </w:p>
          <w:p w14:paraId="40CE73C0" w14:textId="77777777" w:rsidR="00A052DC" w:rsidRDefault="00A052DC">
            <w:pPr>
              <w:rPr>
                <w:rFonts w:ascii="黑体" w:eastAsia="黑体" w:hAnsi="黑体"/>
                <w:b/>
                <w:bCs/>
                <w:sz w:val="20"/>
                <w:szCs w:val="20"/>
              </w:rPr>
            </w:pPr>
          </w:p>
        </w:tc>
      </w:tr>
      <w:tr w:rsidR="00A052DC" w14:paraId="031D4436" w14:textId="77777777">
        <w:tc>
          <w:tcPr>
            <w:tcW w:w="1843" w:type="dxa"/>
          </w:tcPr>
          <w:p w14:paraId="410C5E54" w14:textId="77777777" w:rsidR="00A052DC" w:rsidRDefault="009F0A60">
            <w:pPr>
              <w:rPr>
                <w:rFonts w:ascii="黑体" w:eastAsia="黑体" w:hAnsi="黑体"/>
                <w:sz w:val="20"/>
                <w:szCs w:val="20"/>
              </w:rPr>
            </w:pPr>
            <w:r>
              <w:rPr>
                <w:rFonts w:ascii="黑体" w:eastAsia="黑体" w:hAnsi="黑体" w:hint="eastAsia"/>
                <w:sz w:val="20"/>
                <w:szCs w:val="20"/>
              </w:rPr>
              <w:t>CREHQCODE</w:t>
            </w:r>
          </w:p>
        </w:tc>
        <w:tc>
          <w:tcPr>
            <w:tcW w:w="1560" w:type="dxa"/>
          </w:tcPr>
          <w:p w14:paraId="128B9C94" w14:textId="77777777" w:rsidR="00A052DC" w:rsidRDefault="009F0A60">
            <w:pPr>
              <w:rPr>
                <w:rFonts w:ascii="黑体" w:eastAsia="黑体" w:hAnsi="黑体"/>
                <w:sz w:val="20"/>
                <w:szCs w:val="20"/>
              </w:rPr>
            </w:pPr>
            <w:r>
              <w:rPr>
                <w:rFonts w:ascii="黑体" w:eastAsia="黑体" w:hAnsi="黑体" w:hint="eastAsia"/>
                <w:sz w:val="20"/>
                <w:szCs w:val="20"/>
              </w:rPr>
              <w:t>债权人国家（地区）代码</w:t>
            </w:r>
          </w:p>
        </w:tc>
        <w:tc>
          <w:tcPr>
            <w:tcW w:w="1417" w:type="dxa"/>
          </w:tcPr>
          <w:p w14:paraId="11028800" w14:textId="77777777" w:rsidR="00A052DC" w:rsidRDefault="009F0A60">
            <w:pPr>
              <w:rPr>
                <w:rFonts w:ascii="黑体" w:eastAsia="黑体" w:hAnsi="黑体"/>
                <w:sz w:val="20"/>
                <w:szCs w:val="20"/>
              </w:rPr>
            </w:pPr>
            <w:r>
              <w:rPr>
                <w:rFonts w:ascii="黑体" w:eastAsia="黑体" w:hAnsi="黑体" w:hint="eastAsia"/>
                <w:sz w:val="20"/>
                <w:szCs w:val="20"/>
              </w:rPr>
              <w:t>字符型，3</w:t>
            </w:r>
          </w:p>
        </w:tc>
        <w:tc>
          <w:tcPr>
            <w:tcW w:w="3827" w:type="dxa"/>
          </w:tcPr>
          <w:p w14:paraId="29281E40" w14:textId="77777777" w:rsidR="00A052DC" w:rsidRDefault="009F0A60">
            <w:pPr>
              <w:rPr>
                <w:rFonts w:ascii="黑体" w:eastAsia="黑体" w:hAnsi="黑体"/>
                <w:sz w:val="20"/>
                <w:szCs w:val="20"/>
              </w:rPr>
            </w:pPr>
            <w:r>
              <w:rPr>
                <w:rFonts w:ascii="黑体" w:eastAsia="黑体" w:hAnsi="黑体" w:hint="eastAsia"/>
                <w:sz w:val="20"/>
                <w:szCs w:val="20"/>
              </w:rPr>
              <w:t>必填项，见国家和地区代码表。不能为中国CHN。</w:t>
            </w:r>
          </w:p>
        </w:tc>
      </w:tr>
      <w:tr w:rsidR="00A052DC" w14:paraId="4DE39975" w14:textId="77777777">
        <w:tc>
          <w:tcPr>
            <w:tcW w:w="1843" w:type="dxa"/>
          </w:tcPr>
          <w:p w14:paraId="14CE7F9F" w14:textId="77777777" w:rsidR="00A052DC" w:rsidRDefault="009F0A60">
            <w:pPr>
              <w:rPr>
                <w:rFonts w:ascii="黑体" w:eastAsia="黑体" w:hAnsi="黑体"/>
                <w:sz w:val="20"/>
                <w:szCs w:val="20"/>
              </w:rPr>
            </w:pPr>
            <w:r>
              <w:rPr>
                <w:rFonts w:ascii="黑体" w:eastAsia="黑体" w:hAnsi="黑体" w:hint="eastAsia"/>
                <w:sz w:val="20"/>
                <w:szCs w:val="20"/>
              </w:rPr>
              <w:t>SPAPFEBOINDEX</w:t>
            </w:r>
          </w:p>
        </w:tc>
        <w:tc>
          <w:tcPr>
            <w:tcW w:w="1560" w:type="dxa"/>
          </w:tcPr>
          <w:p w14:paraId="5102AC7D" w14:textId="77777777" w:rsidR="00A052DC" w:rsidRDefault="009F0A60">
            <w:pPr>
              <w:rPr>
                <w:rFonts w:ascii="黑体" w:eastAsia="黑体" w:hAnsi="黑体"/>
                <w:sz w:val="20"/>
                <w:szCs w:val="20"/>
              </w:rPr>
            </w:pPr>
            <w:r>
              <w:rPr>
                <w:rFonts w:ascii="黑体" w:eastAsia="黑体" w:hAnsi="黑体" w:hint="eastAsia"/>
                <w:sz w:val="20"/>
                <w:szCs w:val="20"/>
              </w:rPr>
              <w:t>是否不纳入跨境融资风险加权余额计算</w:t>
            </w:r>
          </w:p>
        </w:tc>
        <w:tc>
          <w:tcPr>
            <w:tcW w:w="1417" w:type="dxa"/>
          </w:tcPr>
          <w:p w14:paraId="6EA00AF4" w14:textId="77777777" w:rsidR="00A052DC" w:rsidRDefault="009F0A60">
            <w:pPr>
              <w:rPr>
                <w:rFonts w:ascii="黑体" w:eastAsia="黑体" w:hAnsi="黑体"/>
                <w:sz w:val="20"/>
                <w:szCs w:val="20"/>
              </w:rPr>
            </w:pPr>
            <w:r>
              <w:rPr>
                <w:rFonts w:ascii="黑体" w:eastAsia="黑体" w:hAnsi="黑体" w:hint="eastAsia"/>
                <w:sz w:val="20"/>
                <w:szCs w:val="20"/>
              </w:rPr>
              <w:t>字符型，1</w:t>
            </w:r>
          </w:p>
        </w:tc>
        <w:tc>
          <w:tcPr>
            <w:tcW w:w="3827" w:type="dxa"/>
          </w:tcPr>
          <w:p w14:paraId="0CD120CA" w14:textId="77777777" w:rsidR="00A052DC" w:rsidRDefault="009F0A60">
            <w:pPr>
              <w:rPr>
                <w:rFonts w:ascii="黑体" w:eastAsia="黑体" w:hAnsi="黑体"/>
                <w:sz w:val="20"/>
                <w:szCs w:val="20"/>
              </w:rPr>
            </w:pPr>
            <w:r>
              <w:rPr>
                <w:rFonts w:ascii="黑体" w:eastAsia="黑体" w:hAnsi="黑体" w:hint="eastAsia"/>
                <w:sz w:val="20"/>
                <w:szCs w:val="20"/>
              </w:rPr>
              <w:t>必填项，是-Y，否-N，默认为否，填写N。</w:t>
            </w:r>
          </w:p>
        </w:tc>
      </w:tr>
      <w:tr w:rsidR="00A052DC" w14:paraId="220C1FEE" w14:textId="77777777">
        <w:tc>
          <w:tcPr>
            <w:tcW w:w="1843" w:type="dxa"/>
            <w:tcBorders>
              <w:top w:val="single" w:sz="4" w:space="0" w:color="auto"/>
              <w:left w:val="single" w:sz="4" w:space="0" w:color="auto"/>
              <w:bottom w:val="single" w:sz="4" w:space="0" w:color="auto"/>
              <w:right w:val="single" w:sz="4" w:space="0" w:color="auto"/>
            </w:tcBorders>
          </w:tcPr>
          <w:p w14:paraId="2F83008F" w14:textId="77777777" w:rsidR="00A052DC" w:rsidRDefault="009F0A60">
            <w:pPr>
              <w:rPr>
                <w:rFonts w:ascii="黑体" w:eastAsia="黑体" w:hAnsi="黑体"/>
                <w:sz w:val="20"/>
                <w:szCs w:val="20"/>
              </w:rPr>
            </w:pPr>
            <w:r>
              <w:rPr>
                <w:rFonts w:ascii="黑体" w:eastAsia="黑体" w:hAnsi="黑体" w:hint="eastAsia"/>
                <w:sz w:val="20"/>
                <w:szCs w:val="20"/>
              </w:rPr>
              <w:t>REMARK</w:t>
            </w:r>
          </w:p>
        </w:tc>
        <w:tc>
          <w:tcPr>
            <w:tcW w:w="1560" w:type="dxa"/>
            <w:tcBorders>
              <w:top w:val="single" w:sz="4" w:space="0" w:color="auto"/>
              <w:left w:val="single" w:sz="4" w:space="0" w:color="auto"/>
              <w:bottom w:val="single" w:sz="4" w:space="0" w:color="auto"/>
              <w:right w:val="single" w:sz="4" w:space="0" w:color="auto"/>
            </w:tcBorders>
          </w:tcPr>
          <w:p w14:paraId="4FB94CBC" w14:textId="77777777" w:rsidR="00A052DC" w:rsidRDefault="009F0A60">
            <w:pPr>
              <w:rPr>
                <w:rFonts w:ascii="黑体" w:eastAsia="黑体" w:hAnsi="黑体"/>
                <w:sz w:val="20"/>
                <w:szCs w:val="20"/>
              </w:rPr>
            </w:pPr>
            <w:r>
              <w:rPr>
                <w:rFonts w:ascii="黑体" w:eastAsia="黑体" w:hAnsi="黑体" w:hint="eastAsia"/>
                <w:sz w:val="20"/>
                <w:szCs w:val="20"/>
              </w:rPr>
              <w:t>备注</w:t>
            </w:r>
          </w:p>
        </w:tc>
        <w:tc>
          <w:tcPr>
            <w:tcW w:w="1417" w:type="dxa"/>
            <w:tcBorders>
              <w:top w:val="single" w:sz="4" w:space="0" w:color="auto"/>
              <w:left w:val="single" w:sz="4" w:space="0" w:color="auto"/>
              <w:bottom w:val="single" w:sz="4" w:space="0" w:color="auto"/>
              <w:right w:val="single" w:sz="4" w:space="0" w:color="auto"/>
            </w:tcBorders>
          </w:tcPr>
          <w:p w14:paraId="12C19986" w14:textId="77777777" w:rsidR="00A052DC" w:rsidRDefault="009F0A60">
            <w:pPr>
              <w:rPr>
                <w:rFonts w:ascii="黑体" w:eastAsia="黑体" w:hAnsi="黑体"/>
                <w:sz w:val="20"/>
                <w:szCs w:val="20"/>
              </w:rPr>
            </w:pPr>
            <w:r>
              <w:rPr>
                <w:rFonts w:ascii="黑体" w:eastAsia="黑体" w:hAnsi="黑体" w:hint="eastAsia"/>
                <w:sz w:val="20"/>
                <w:szCs w:val="20"/>
              </w:rPr>
              <w:t>字符型，256</w:t>
            </w:r>
          </w:p>
        </w:tc>
        <w:tc>
          <w:tcPr>
            <w:tcW w:w="3827" w:type="dxa"/>
            <w:tcBorders>
              <w:top w:val="single" w:sz="4" w:space="0" w:color="auto"/>
              <w:left w:val="single" w:sz="4" w:space="0" w:color="auto"/>
              <w:bottom w:val="single" w:sz="4" w:space="0" w:color="auto"/>
              <w:right w:val="single" w:sz="4" w:space="0" w:color="auto"/>
            </w:tcBorders>
          </w:tcPr>
          <w:p w14:paraId="282B5943" w14:textId="77777777" w:rsidR="00A052DC" w:rsidRDefault="009F0A60">
            <w:pPr>
              <w:rPr>
                <w:rFonts w:ascii="黑体" w:eastAsia="黑体" w:hAnsi="黑体"/>
                <w:sz w:val="20"/>
                <w:szCs w:val="20"/>
              </w:rPr>
            </w:pPr>
            <w:r>
              <w:rPr>
                <w:rFonts w:ascii="黑体" w:eastAsia="黑体" w:hAnsi="黑体" w:hint="eastAsia"/>
                <w:sz w:val="20"/>
                <w:szCs w:val="20"/>
              </w:rPr>
              <w:t>非必填项。</w:t>
            </w:r>
          </w:p>
        </w:tc>
      </w:tr>
    </w:tbl>
    <w:p w14:paraId="4631B6F7" w14:textId="77777777" w:rsidR="00A052DC" w:rsidRDefault="009F0A60">
      <w:pPr>
        <w:pStyle w:val="4"/>
        <w:numPr>
          <w:ilvl w:val="3"/>
          <w:numId w:val="1"/>
        </w:numPr>
        <w:jc w:val="left"/>
      </w:pPr>
      <w:bookmarkStart w:id="1572" w:name="_Toc454386932"/>
      <w:bookmarkStart w:id="1573" w:name="_Toc328635496"/>
      <w:r>
        <w:rPr>
          <w:rFonts w:hint="eastAsia"/>
        </w:rPr>
        <w:t>其他外债</w:t>
      </w:r>
      <w:bookmarkEnd w:id="1572"/>
      <w:bookmarkEnd w:id="1573"/>
    </w:p>
    <w:p w14:paraId="7C4502D6" w14:textId="77777777" w:rsidR="00A052DC" w:rsidRDefault="009F0A60" w:rsidP="0020251D">
      <w:pPr>
        <w:pStyle w:val="5"/>
        <w:numPr>
          <w:ilvl w:val="4"/>
          <w:numId w:val="1"/>
        </w:numPr>
        <w:spacing w:before="120" w:after="120" w:line="360" w:lineRule="auto"/>
        <w:jc w:val="left"/>
      </w:pPr>
      <w:bookmarkStart w:id="1574" w:name="_Toc454386933"/>
      <w:r>
        <w:rPr>
          <w:rFonts w:hint="eastAsia"/>
        </w:rPr>
        <w:t>数据术语解释</w:t>
      </w:r>
      <w:bookmarkEnd w:id="1574"/>
    </w:p>
    <w:tbl>
      <w:tblPr>
        <w:tblW w:w="84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26"/>
        <w:gridCol w:w="6946"/>
      </w:tblGrid>
      <w:tr w:rsidR="00A052DC" w14:paraId="19537911" w14:textId="77777777">
        <w:tc>
          <w:tcPr>
            <w:tcW w:w="1526" w:type="dxa"/>
          </w:tcPr>
          <w:p w14:paraId="7E8AB52A" w14:textId="77777777" w:rsidR="00A052DC" w:rsidRDefault="009F0A60">
            <w:pPr>
              <w:pStyle w:val="B1"/>
              <w:rPr>
                <w:u w:val="single"/>
              </w:rPr>
            </w:pPr>
            <w:r>
              <w:rPr>
                <w:rFonts w:hint="eastAsia"/>
              </w:rPr>
              <w:t>基础数据项</w:t>
            </w:r>
          </w:p>
        </w:tc>
        <w:tc>
          <w:tcPr>
            <w:tcW w:w="6946" w:type="dxa"/>
          </w:tcPr>
          <w:p w14:paraId="2A54FBFA" w14:textId="77777777" w:rsidR="00A052DC" w:rsidRDefault="009F0A60">
            <w:pPr>
              <w:pStyle w:val="B1"/>
            </w:pPr>
            <w:r>
              <w:rPr>
                <w:rFonts w:hint="eastAsia"/>
              </w:rPr>
              <w:t>定义</w:t>
            </w:r>
          </w:p>
        </w:tc>
      </w:tr>
      <w:tr w:rsidR="00A052DC" w14:paraId="129A3010" w14:textId="77777777">
        <w:trPr>
          <w:cantSplit/>
          <w:trHeight w:val="157"/>
        </w:trPr>
        <w:tc>
          <w:tcPr>
            <w:tcW w:w="1526" w:type="dxa"/>
          </w:tcPr>
          <w:p w14:paraId="32585373" w14:textId="77777777" w:rsidR="00A052DC" w:rsidRDefault="009F0A60">
            <w:pPr>
              <w:pStyle w:val="B"/>
              <w:rPr>
                <w:szCs w:val="20"/>
              </w:rPr>
            </w:pPr>
            <w:r>
              <w:rPr>
                <w:rFonts w:hint="eastAsia"/>
                <w:szCs w:val="20"/>
              </w:rPr>
              <w:t>外债编号</w:t>
            </w:r>
          </w:p>
        </w:tc>
        <w:tc>
          <w:tcPr>
            <w:tcW w:w="6946" w:type="dxa"/>
          </w:tcPr>
          <w:p w14:paraId="01862731" w14:textId="77777777" w:rsidR="00A052DC" w:rsidRDefault="009F0A60">
            <w:pPr>
              <w:pStyle w:val="B"/>
              <w:rPr>
                <w:szCs w:val="20"/>
              </w:rPr>
            </w:pPr>
            <w:r>
              <w:rPr>
                <w:rFonts w:hint="eastAsia"/>
                <w:szCs w:val="20"/>
              </w:rPr>
              <w:t>外汇局制定统一编号规则，银行自行对每一笔外债编号，用于唯一标识该笔外债。银行外债编号共计</w:t>
            </w:r>
            <w:r>
              <w:rPr>
                <w:szCs w:val="20"/>
              </w:rPr>
              <w:t>28</w:t>
            </w:r>
            <w:r>
              <w:rPr>
                <w:rFonts w:hint="eastAsia"/>
                <w:szCs w:val="20"/>
              </w:rPr>
              <w:t>位。第</w:t>
            </w:r>
            <w:r>
              <w:rPr>
                <w:szCs w:val="20"/>
              </w:rPr>
              <w:t>1</w:t>
            </w:r>
            <w:r>
              <w:rPr>
                <w:rFonts w:hint="eastAsia"/>
                <w:szCs w:val="20"/>
              </w:rPr>
              <w:t>至</w:t>
            </w:r>
            <w:r>
              <w:rPr>
                <w:szCs w:val="20"/>
              </w:rPr>
              <w:t>2</w:t>
            </w:r>
            <w:r>
              <w:rPr>
                <w:rFonts w:hint="eastAsia"/>
                <w:szCs w:val="20"/>
              </w:rPr>
              <w:t>位为业务类型标识，第</w:t>
            </w:r>
            <w:r>
              <w:rPr>
                <w:szCs w:val="20"/>
              </w:rPr>
              <w:t>3</w:t>
            </w:r>
            <w:r>
              <w:rPr>
                <w:rFonts w:hint="eastAsia"/>
                <w:szCs w:val="20"/>
              </w:rPr>
              <w:t>位至</w:t>
            </w:r>
            <w:r>
              <w:rPr>
                <w:szCs w:val="20"/>
              </w:rPr>
              <w:t>14</w:t>
            </w:r>
            <w:r>
              <w:rPr>
                <w:rFonts w:hint="eastAsia"/>
                <w:szCs w:val="20"/>
              </w:rPr>
              <w:t>位为银行金融机构标识码</w:t>
            </w:r>
            <w:r>
              <w:rPr>
                <w:szCs w:val="20"/>
              </w:rPr>
              <w:t>;</w:t>
            </w:r>
            <w:r>
              <w:rPr>
                <w:rFonts w:hint="eastAsia"/>
                <w:szCs w:val="20"/>
              </w:rPr>
              <w:t>第</w:t>
            </w:r>
            <w:r>
              <w:rPr>
                <w:szCs w:val="20"/>
              </w:rPr>
              <w:t>15</w:t>
            </w:r>
            <w:r>
              <w:rPr>
                <w:rFonts w:hint="eastAsia"/>
                <w:szCs w:val="20"/>
              </w:rPr>
              <w:t>至</w:t>
            </w:r>
            <w:r>
              <w:rPr>
                <w:szCs w:val="20"/>
              </w:rPr>
              <w:t>22</w:t>
            </w:r>
            <w:r>
              <w:rPr>
                <w:rFonts w:hint="eastAsia"/>
                <w:szCs w:val="20"/>
              </w:rPr>
              <w:t>位为</w:t>
            </w:r>
            <w:r>
              <w:rPr>
                <w:szCs w:val="20"/>
              </w:rPr>
              <w:t>8</w:t>
            </w:r>
            <w:r>
              <w:rPr>
                <w:rFonts w:hint="eastAsia"/>
                <w:szCs w:val="20"/>
              </w:rPr>
              <w:t>位年月日数字（</w:t>
            </w:r>
            <w:r>
              <w:rPr>
                <w:szCs w:val="20"/>
              </w:rPr>
              <w:t>20110701</w:t>
            </w:r>
            <w:r>
              <w:rPr>
                <w:rFonts w:hint="eastAsia"/>
                <w:szCs w:val="20"/>
              </w:rPr>
              <w:t>）</w:t>
            </w:r>
            <w:r>
              <w:rPr>
                <w:szCs w:val="20"/>
              </w:rPr>
              <w:t>;</w:t>
            </w:r>
            <w:r>
              <w:rPr>
                <w:rFonts w:hint="eastAsia"/>
                <w:szCs w:val="20"/>
              </w:rPr>
              <w:t>第</w:t>
            </w:r>
            <w:r>
              <w:rPr>
                <w:szCs w:val="20"/>
              </w:rPr>
              <w:t>23</w:t>
            </w:r>
            <w:r>
              <w:rPr>
                <w:rFonts w:hint="eastAsia"/>
                <w:szCs w:val="20"/>
              </w:rPr>
              <w:t>至</w:t>
            </w:r>
            <w:r>
              <w:rPr>
                <w:szCs w:val="20"/>
              </w:rPr>
              <w:t>28</w:t>
            </w:r>
            <w:r>
              <w:rPr>
                <w:rFonts w:hint="eastAsia"/>
                <w:szCs w:val="20"/>
              </w:rPr>
              <w:t>位为该笔业务的流水号（流水码编制规则：从</w:t>
            </w:r>
            <w:r>
              <w:rPr>
                <w:szCs w:val="20"/>
              </w:rPr>
              <w:t>000001</w:t>
            </w:r>
            <w:r>
              <w:rPr>
                <w:rFonts w:hint="eastAsia"/>
                <w:szCs w:val="20"/>
              </w:rPr>
              <w:t>～</w:t>
            </w:r>
            <w:r>
              <w:rPr>
                <w:szCs w:val="20"/>
              </w:rPr>
              <w:t>999999</w:t>
            </w:r>
            <w:r>
              <w:rPr>
                <w:rFonts w:hint="eastAsia"/>
                <w:szCs w:val="20"/>
              </w:rPr>
              <w:t>）。银行新发生一笔外债业务时，需为该笔外债编制外债编号，同一笔外债发生变更或展期时，不作为一笔新业务进行登记，发生展期时，变更到期日。</w:t>
            </w:r>
          </w:p>
        </w:tc>
      </w:tr>
      <w:tr w:rsidR="00A052DC" w14:paraId="2E17FE45" w14:textId="77777777">
        <w:trPr>
          <w:cantSplit/>
        </w:trPr>
        <w:tc>
          <w:tcPr>
            <w:tcW w:w="1526" w:type="dxa"/>
          </w:tcPr>
          <w:p w14:paraId="40327E33" w14:textId="77777777" w:rsidR="00A052DC" w:rsidRDefault="009F0A60">
            <w:pPr>
              <w:pStyle w:val="B"/>
              <w:rPr>
                <w:szCs w:val="20"/>
              </w:rPr>
            </w:pPr>
            <w:r>
              <w:rPr>
                <w:rFonts w:hint="eastAsia"/>
                <w:szCs w:val="20"/>
              </w:rPr>
              <w:t>债务人代码</w:t>
            </w:r>
          </w:p>
        </w:tc>
        <w:tc>
          <w:tcPr>
            <w:tcW w:w="6946" w:type="dxa"/>
          </w:tcPr>
          <w:p w14:paraId="6C204C32" w14:textId="77777777" w:rsidR="00A052DC" w:rsidRDefault="009F0A60">
            <w:pPr>
              <w:pStyle w:val="B"/>
              <w:rPr>
                <w:szCs w:val="20"/>
              </w:rPr>
            </w:pPr>
            <w:r>
              <w:rPr>
                <w:rFonts w:hint="eastAsia"/>
                <w:szCs w:val="20"/>
              </w:rPr>
              <w:t>国家外汇管理局及其分支局签发给境内债务银行的</w:t>
            </w:r>
            <w:r>
              <w:rPr>
                <w:szCs w:val="20"/>
              </w:rPr>
              <w:t>12</w:t>
            </w:r>
            <w:r>
              <w:rPr>
                <w:rFonts w:hint="eastAsia"/>
                <w:szCs w:val="20"/>
              </w:rPr>
              <w:t>位金融机构标识码编码。</w:t>
            </w:r>
          </w:p>
        </w:tc>
      </w:tr>
      <w:tr w:rsidR="00A052DC" w14:paraId="5FEFB366" w14:textId="77777777">
        <w:trPr>
          <w:cantSplit/>
        </w:trPr>
        <w:tc>
          <w:tcPr>
            <w:tcW w:w="1526" w:type="dxa"/>
          </w:tcPr>
          <w:p w14:paraId="69826A51" w14:textId="77777777" w:rsidR="00A052DC" w:rsidRDefault="009F0A60">
            <w:pPr>
              <w:pStyle w:val="B"/>
              <w:rPr>
                <w:szCs w:val="20"/>
              </w:rPr>
            </w:pPr>
            <w:r>
              <w:rPr>
                <w:rFonts w:hint="eastAsia"/>
                <w:szCs w:val="20"/>
              </w:rPr>
              <w:t>债务类型</w:t>
            </w:r>
          </w:p>
        </w:tc>
        <w:tc>
          <w:tcPr>
            <w:tcW w:w="6946" w:type="dxa"/>
          </w:tcPr>
          <w:p w14:paraId="4B3589AE" w14:textId="77777777" w:rsidR="00A052DC" w:rsidRDefault="009F0A60">
            <w:pPr>
              <w:pStyle w:val="B"/>
              <w:rPr>
                <w:szCs w:val="20"/>
              </w:rPr>
            </w:pPr>
            <w:r>
              <w:rPr>
                <w:rFonts w:hint="eastAsia"/>
                <w:szCs w:val="20"/>
              </w:rPr>
              <w:t>外债的债务类型代码，见外债的债务类型表。</w:t>
            </w:r>
          </w:p>
        </w:tc>
      </w:tr>
      <w:tr w:rsidR="00A052DC" w14:paraId="110A8182" w14:textId="77777777">
        <w:trPr>
          <w:cantSplit/>
        </w:trPr>
        <w:tc>
          <w:tcPr>
            <w:tcW w:w="1526" w:type="dxa"/>
          </w:tcPr>
          <w:p w14:paraId="09C22C12" w14:textId="77777777" w:rsidR="00A052DC" w:rsidRDefault="009F0A60">
            <w:pPr>
              <w:pStyle w:val="B"/>
              <w:rPr>
                <w:szCs w:val="20"/>
              </w:rPr>
            </w:pPr>
            <w:r>
              <w:rPr>
                <w:rFonts w:hint="eastAsia"/>
                <w:szCs w:val="20"/>
              </w:rPr>
              <w:t>债务类型备注</w:t>
            </w:r>
          </w:p>
        </w:tc>
        <w:tc>
          <w:tcPr>
            <w:tcW w:w="6946" w:type="dxa"/>
          </w:tcPr>
          <w:p w14:paraId="7921641C" w14:textId="77777777" w:rsidR="00A052DC" w:rsidRDefault="009F0A60" w:rsidP="00C964D3">
            <w:pPr>
              <w:pStyle w:val="B"/>
              <w:rPr>
                <w:szCs w:val="20"/>
              </w:rPr>
            </w:pPr>
            <w:r>
              <w:rPr>
                <w:rFonts w:hint="eastAsia"/>
                <w:szCs w:val="20"/>
              </w:rPr>
              <w:t>当债务类型选择</w:t>
            </w:r>
            <w:r w:rsidR="00C964D3">
              <w:rPr>
                <w:rFonts w:hint="eastAsia"/>
                <w:szCs w:val="20"/>
              </w:rPr>
              <w:t>“</w:t>
            </w:r>
            <w:r>
              <w:rPr>
                <w:rFonts w:hint="eastAsia"/>
                <w:szCs w:val="20"/>
              </w:rPr>
              <w:t>其他</w:t>
            </w:r>
            <w:r w:rsidR="00C964D3">
              <w:rPr>
                <w:rFonts w:hint="eastAsia"/>
                <w:szCs w:val="20"/>
              </w:rPr>
              <w:t>”</w:t>
            </w:r>
            <w:r>
              <w:rPr>
                <w:rFonts w:hint="eastAsia"/>
                <w:szCs w:val="20"/>
              </w:rPr>
              <w:t>或“其他贷款”时，债务类型备注为必填项，用于具体描述该笔债务。其他外债主要是对非居民的应付款、预收款或先收款等，但不含贷款、债券或存款等债务产生的应付未付利息。</w:t>
            </w:r>
          </w:p>
        </w:tc>
      </w:tr>
      <w:tr w:rsidR="00A052DC" w14:paraId="2BA95214" w14:textId="77777777">
        <w:trPr>
          <w:cantSplit/>
        </w:trPr>
        <w:tc>
          <w:tcPr>
            <w:tcW w:w="1526" w:type="dxa"/>
          </w:tcPr>
          <w:p w14:paraId="5B170B1A" w14:textId="77777777" w:rsidR="00A052DC" w:rsidRDefault="009F0A60">
            <w:pPr>
              <w:pStyle w:val="B"/>
              <w:rPr>
                <w:szCs w:val="20"/>
              </w:rPr>
            </w:pPr>
            <w:r>
              <w:rPr>
                <w:rFonts w:hint="eastAsia"/>
                <w:szCs w:val="20"/>
              </w:rPr>
              <w:t>起息日</w:t>
            </w:r>
          </w:p>
        </w:tc>
        <w:tc>
          <w:tcPr>
            <w:tcW w:w="6946" w:type="dxa"/>
          </w:tcPr>
          <w:p w14:paraId="1E11CB19" w14:textId="77777777" w:rsidR="00A052DC" w:rsidRDefault="009F0A60">
            <w:pPr>
              <w:pStyle w:val="B"/>
              <w:rPr>
                <w:szCs w:val="20"/>
              </w:rPr>
            </w:pPr>
            <w:r>
              <w:rPr>
                <w:rFonts w:hint="eastAsia"/>
                <w:szCs w:val="20"/>
              </w:rPr>
              <w:t>债务起始计息日期。</w:t>
            </w:r>
          </w:p>
        </w:tc>
      </w:tr>
      <w:tr w:rsidR="00A052DC" w14:paraId="036FE366" w14:textId="77777777">
        <w:trPr>
          <w:cantSplit/>
        </w:trPr>
        <w:tc>
          <w:tcPr>
            <w:tcW w:w="1526" w:type="dxa"/>
          </w:tcPr>
          <w:p w14:paraId="19BE947F" w14:textId="77777777" w:rsidR="00A052DC" w:rsidRDefault="009F0A60">
            <w:pPr>
              <w:pStyle w:val="B"/>
              <w:rPr>
                <w:szCs w:val="20"/>
              </w:rPr>
            </w:pPr>
            <w:r>
              <w:rPr>
                <w:rFonts w:hint="eastAsia"/>
                <w:szCs w:val="20"/>
              </w:rPr>
              <w:t>签约币种</w:t>
            </w:r>
          </w:p>
        </w:tc>
        <w:tc>
          <w:tcPr>
            <w:tcW w:w="6946" w:type="dxa"/>
          </w:tcPr>
          <w:p w14:paraId="3F538DB3" w14:textId="77777777" w:rsidR="00A052DC" w:rsidRDefault="009F0A60">
            <w:pPr>
              <w:pStyle w:val="B"/>
              <w:rPr>
                <w:szCs w:val="20"/>
              </w:rPr>
            </w:pPr>
            <w:r>
              <w:rPr>
                <w:rFonts w:hint="eastAsia"/>
                <w:szCs w:val="20"/>
              </w:rPr>
              <w:t>外债合同约定的借款币种。</w:t>
            </w:r>
          </w:p>
        </w:tc>
      </w:tr>
      <w:tr w:rsidR="00A052DC" w14:paraId="4415D23F" w14:textId="77777777">
        <w:trPr>
          <w:cantSplit/>
        </w:trPr>
        <w:tc>
          <w:tcPr>
            <w:tcW w:w="1526" w:type="dxa"/>
          </w:tcPr>
          <w:p w14:paraId="76736B96" w14:textId="77777777" w:rsidR="00A052DC" w:rsidRDefault="009F0A60">
            <w:pPr>
              <w:pStyle w:val="B"/>
              <w:rPr>
                <w:szCs w:val="20"/>
              </w:rPr>
            </w:pPr>
            <w:r>
              <w:rPr>
                <w:rFonts w:hint="eastAsia"/>
                <w:szCs w:val="20"/>
              </w:rPr>
              <w:t>签约金额</w:t>
            </w:r>
          </w:p>
        </w:tc>
        <w:tc>
          <w:tcPr>
            <w:tcW w:w="6946" w:type="dxa"/>
          </w:tcPr>
          <w:p w14:paraId="44F347C9" w14:textId="77777777" w:rsidR="00A052DC" w:rsidRDefault="009F0A60">
            <w:pPr>
              <w:pStyle w:val="B"/>
              <w:rPr>
                <w:szCs w:val="20"/>
              </w:rPr>
            </w:pPr>
            <w:r>
              <w:rPr>
                <w:rFonts w:hint="eastAsia"/>
                <w:szCs w:val="20"/>
              </w:rPr>
              <w:t>外债合同约定的借款金额。</w:t>
            </w:r>
          </w:p>
        </w:tc>
      </w:tr>
      <w:tr w:rsidR="00A052DC" w14:paraId="632E15D4" w14:textId="77777777">
        <w:trPr>
          <w:cantSplit/>
        </w:trPr>
        <w:tc>
          <w:tcPr>
            <w:tcW w:w="1526" w:type="dxa"/>
          </w:tcPr>
          <w:p w14:paraId="142F87C4" w14:textId="77777777" w:rsidR="00A052DC" w:rsidRDefault="009F0A60">
            <w:pPr>
              <w:pStyle w:val="B"/>
              <w:rPr>
                <w:szCs w:val="20"/>
              </w:rPr>
            </w:pPr>
            <w:r>
              <w:rPr>
                <w:rFonts w:hint="eastAsia"/>
                <w:szCs w:val="20"/>
              </w:rPr>
              <w:t>到期日</w:t>
            </w:r>
          </w:p>
        </w:tc>
        <w:tc>
          <w:tcPr>
            <w:tcW w:w="6946" w:type="dxa"/>
            <w:vAlign w:val="center"/>
          </w:tcPr>
          <w:p w14:paraId="7E782B9D" w14:textId="77777777" w:rsidR="00A052DC" w:rsidRDefault="009F0A60">
            <w:pPr>
              <w:pStyle w:val="B"/>
              <w:rPr>
                <w:szCs w:val="20"/>
              </w:rPr>
            </w:pPr>
            <w:r>
              <w:rPr>
                <w:rFonts w:hint="eastAsia"/>
                <w:szCs w:val="20"/>
              </w:rPr>
              <w:t>外债的到期日期。</w:t>
            </w:r>
          </w:p>
        </w:tc>
      </w:tr>
      <w:tr w:rsidR="00A052DC" w14:paraId="61F20689" w14:textId="77777777">
        <w:trPr>
          <w:cantSplit/>
        </w:trPr>
        <w:tc>
          <w:tcPr>
            <w:tcW w:w="1526" w:type="dxa"/>
          </w:tcPr>
          <w:p w14:paraId="7A084027" w14:textId="77777777" w:rsidR="00A052DC" w:rsidRDefault="009F0A60">
            <w:pPr>
              <w:pStyle w:val="B"/>
              <w:rPr>
                <w:szCs w:val="20"/>
              </w:rPr>
            </w:pPr>
            <w:r>
              <w:rPr>
                <w:rFonts w:hint="eastAsia"/>
                <w:szCs w:val="20"/>
              </w:rPr>
              <w:t>是否浮动利率</w:t>
            </w:r>
          </w:p>
        </w:tc>
        <w:tc>
          <w:tcPr>
            <w:tcW w:w="6946" w:type="dxa"/>
          </w:tcPr>
          <w:p w14:paraId="299205B7" w14:textId="77777777" w:rsidR="00A052DC" w:rsidRDefault="009F0A60">
            <w:pPr>
              <w:pStyle w:val="B"/>
              <w:rPr>
                <w:szCs w:val="20"/>
              </w:rPr>
            </w:pPr>
            <w:r>
              <w:rPr>
                <w:rFonts w:hint="eastAsia"/>
                <w:szCs w:val="20"/>
              </w:rPr>
              <w:t>标识债务利率条件为浮动利率或固定利率，系统默认为否，若为浮动利率，选择是。</w:t>
            </w:r>
          </w:p>
        </w:tc>
      </w:tr>
      <w:tr w:rsidR="00A052DC" w14:paraId="0FEF92C9" w14:textId="77777777">
        <w:trPr>
          <w:cantSplit/>
        </w:trPr>
        <w:tc>
          <w:tcPr>
            <w:tcW w:w="1526" w:type="dxa"/>
          </w:tcPr>
          <w:p w14:paraId="1CF1936F" w14:textId="77777777" w:rsidR="00A052DC" w:rsidRDefault="009F0A60">
            <w:pPr>
              <w:pStyle w:val="B"/>
              <w:rPr>
                <w:szCs w:val="20"/>
              </w:rPr>
            </w:pPr>
            <w:r>
              <w:rPr>
                <w:rFonts w:hint="eastAsia"/>
                <w:szCs w:val="20"/>
              </w:rPr>
              <w:t>年化利率值</w:t>
            </w:r>
          </w:p>
        </w:tc>
        <w:tc>
          <w:tcPr>
            <w:tcW w:w="6946" w:type="dxa"/>
          </w:tcPr>
          <w:p w14:paraId="7AB1BEBF" w14:textId="77777777" w:rsidR="00A052DC" w:rsidRDefault="009F0A60">
            <w:pPr>
              <w:pStyle w:val="B"/>
              <w:rPr>
                <w:szCs w:val="20"/>
              </w:rPr>
            </w:pPr>
            <w:r>
              <w:rPr>
                <w:rFonts w:hint="eastAsia"/>
                <w:szCs w:val="20"/>
              </w:rPr>
              <w:t>外债的年化利率，若为浮动利率，应该按照该笔外债签约日期当天的浮动利率条件计算年化利率值。</w:t>
            </w:r>
          </w:p>
        </w:tc>
      </w:tr>
      <w:tr w:rsidR="00A052DC" w14:paraId="354CD619" w14:textId="77777777">
        <w:trPr>
          <w:cantSplit/>
        </w:trPr>
        <w:tc>
          <w:tcPr>
            <w:tcW w:w="1526" w:type="dxa"/>
          </w:tcPr>
          <w:p w14:paraId="74DEE3FC" w14:textId="77777777" w:rsidR="00A052DC" w:rsidRDefault="009F0A60">
            <w:pPr>
              <w:pStyle w:val="B"/>
              <w:rPr>
                <w:szCs w:val="20"/>
              </w:rPr>
            </w:pPr>
            <w:r>
              <w:rPr>
                <w:rFonts w:hint="eastAsia"/>
                <w:szCs w:val="20"/>
              </w:rPr>
              <w:t>债权人代码</w:t>
            </w:r>
          </w:p>
        </w:tc>
        <w:tc>
          <w:tcPr>
            <w:tcW w:w="6946" w:type="dxa"/>
            <w:vAlign w:val="center"/>
          </w:tcPr>
          <w:p w14:paraId="25DD38E1" w14:textId="77777777" w:rsidR="00A052DC" w:rsidRDefault="009F0A60">
            <w:pPr>
              <w:pStyle w:val="B"/>
              <w:rPr>
                <w:szCs w:val="20"/>
              </w:rPr>
            </w:pPr>
            <w:r>
              <w:rPr>
                <w:rFonts w:hint="eastAsia"/>
                <w:szCs w:val="20"/>
              </w:rPr>
              <w:t>如果债权人为银行，应填写</w:t>
            </w:r>
            <w:r>
              <w:rPr>
                <w:szCs w:val="20"/>
              </w:rPr>
              <w:t>8</w:t>
            </w:r>
            <w:r>
              <w:rPr>
                <w:rFonts w:hint="eastAsia"/>
                <w:szCs w:val="20"/>
              </w:rPr>
              <w:t>位或</w:t>
            </w:r>
            <w:r>
              <w:rPr>
                <w:szCs w:val="20"/>
              </w:rPr>
              <w:t>11</w:t>
            </w:r>
            <w:r>
              <w:rPr>
                <w:rFonts w:hint="eastAsia"/>
                <w:szCs w:val="20"/>
              </w:rPr>
              <w:t>位的</w:t>
            </w:r>
            <w:r>
              <w:rPr>
                <w:szCs w:val="20"/>
              </w:rPr>
              <w:t>SWIFT CODE</w:t>
            </w:r>
            <w:r>
              <w:rPr>
                <w:rFonts w:hint="eastAsia"/>
                <w:szCs w:val="20"/>
              </w:rPr>
              <w:t>；如果债权人类型为“政府”、或“中央银行”时，或者当债务类型为“货币市场工具”或“债券和票据”时，应在外汇局编制的部分债权人代码表中选择债权人代码；否则为空。</w:t>
            </w:r>
          </w:p>
          <w:p w14:paraId="32DBCCCE" w14:textId="77777777" w:rsidR="00A052DC" w:rsidRDefault="009F0A60">
            <w:pPr>
              <w:pStyle w:val="B"/>
              <w:rPr>
                <w:szCs w:val="20"/>
              </w:rPr>
            </w:pPr>
            <w:r>
              <w:rPr>
                <w:rFonts w:hint="eastAsia"/>
                <w:szCs w:val="20"/>
              </w:rPr>
              <w:t>如果债权人为“非银行金融机构”或“国际金融组织”，应优先填写</w:t>
            </w:r>
            <w:r>
              <w:rPr>
                <w:szCs w:val="20"/>
              </w:rPr>
              <w:t>SWIFT CODE</w:t>
            </w:r>
            <w:r>
              <w:rPr>
                <w:rFonts w:hint="eastAsia"/>
                <w:szCs w:val="20"/>
              </w:rPr>
              <w:t>。</w:t>
            </w:r>
          </w:p>
        </w:tc>
      </w:tr>
      <w:tr w:rsidR="00A052DC" w14:paraId="0C157ED6" w14:textId="77777777">
        <w:trPr>
          <w:cantSplit/>
        </w:trPr>
        <w:tc>
          <w:tcPr>
            <w:tcW w:w="1526" w:type="dxa"/>
          </w:tcPr>
          <w:p w14:paraId="5FBE6010" w14:textId="77777777" w:rsidR="00A052DC" w:rsidRDefault="009F0A60">
            <w:pPr>
              <w:pStyle w:val="B"/>
              <w:rPr>
                <w:szCs w:val="20"/>
              </w:rPr>
            </w:pPr>
            <w:r>
              <w:rPr>
                <w:rFonts w:hint="eastAsia"/>
                <w:szCs w:val="20"/>
              </w:rPr>
              <w:t>债权人中文名称</w:t>
            </w:r>
          </w:p>
        </w:tc>
        <w:tc>
          <w:tcPr>
            <w:tcW w:w="6946" w:type="dxa"/>
            <w:vAlign w:val="center"/>
          </w:tcPr>
          <w:p w14:paraId="25781DA1" w14:textId="77777777" w:rsidR="00A052DC" w:rsidRDefault="009F0A60">
            <w:pPr>
              <w:pStyle w:val="B"/>
              <w:rPr>
                <w:szCs w:val="20"/>
              </w:rPr>
            </w:pPr>
            <w:r>
              <w:rPr>
                <w:rFonts w:hint="eastAsia"/>
                <w:szCs w:val="20"/>
              </w:rPr>
              <w:t>债权人中文名称。</w:t>
            </w:r>
          </w:p>
        </w:tc>
      </w:tr>
      <w:tr w:rsidR="00A052DC" w14:paraId="498BA013" w14:textId="77777777">
        <w:trPr>
          <w:cantSplit/>
        </w:trPr>
        <w:tc>
          <w:tcPr>
            <w:tcW w:w="1526" w:type="dxa"/>
          </w:tcPr>
          <w:p w14:paraId="2FAF86F3" w14:textId="77777777" w:rsidR="00A052DC" w:rsidRDefault="009F0A60">
            <w:pPr>
              <w:pStyle w:val="B"/>
              <w:rPr>
                <w:szCs w:val="20"/>
              </w:rPr>
            </w:pPr>
            <w:r>
              <w:rPr>
                <w:rFonts w:hint="eastAsia"/>
                <w:szCs w:val="20"/>
              </w:rPr>
              <w:t>债权人英文名称</w:t>
            </w:r>
          </w:p>
        </w:tc>
        <w:tc>
          <w:tcPr>
            <w:tcW w:w="6946" w:type="dxa"/>
            <w:vAlign w:val="center"/>
          </w:tcPr>
          <w:p w14:paraId="7BD8DC62" w14:textId="77777777" w:rsidR="00A052DC" w:rsidRDefault="009F0A60">
            <w:pPr>
              <w:pStyle w:val="B"/>
              <w:rPr>
                <w:szCs w:val="20"/>
              </w:rPr>
            </w:pPr>
            <w:r>
              <w:rPr>
                <w:rFonts w:hint="eastAsia"/>
                <w:szCs w:val="20"/>
              </w:rPr>
              <w:t>债权人英文名称（中英文名称至少填写一个）。</w:t>
            </w:r>
          </w:p>
        </w:tc>
      </w:tr>
      <w:tr w:rsidR="00A052DC" w14:paraId="2668122F" w14:textId="77777777">
        <w:trPr>
          <w:cantSplit/>
        </w:trPr>
        <w:tc>
          <w:tcPr>
            <w:tcW w:w="1526" w:type="dxa"/>
          </w:tcPr>
          <w:p w14:paraId="0C88D824" w14:textId="77777777" w:rsidR="00A052DC" w:rsidRDefault="009F0A60">
            <w:pPr>
              <w:pStyle w:val="B"/>
              <w:rPr>
                <w:szCs w:val="20"/>
              </w:rPr>
            </w:pPr>
            <w:r>
              <w:rPr>
                <w:rFonts w:hint="eastAsia"/>
                <w:szCs w:val="20"/>
              </w:rPr>
              <w:t>债权人类型代码</w:t>
            </w:r>
          </w:p>
        </w:tc>
        <w:tc>
          <w:tcPr>
            <w:tcW w:w="6946" w:type="dxa"/>
          </w:tcPr>
          <w:p w14:paraId="78D88B61" w14:textId="77777777" w:rsidR="00A052DC" w:rsidRDefault="009F0A60">
            <w:pPr>
              <w:pStyle w:val="B"/>
              <w:rPr>
                <w:szCs w:val="20"/>
              </w:rPr>
            </w:pPr>
            <w:r>
              <w:rPr>
                <w:rFonts w:hint="eastAsia"/>
                <w:szCs w:val="20"/>
              </w:rPr>
              <w:t>债权人类型代码，见境外主体类型代码表。</w:t>
            </w:r>
          </w:p>
        </w:tc>
      </w:tr>
      <w:tr w:rsidR="00A052DC" w14:paraId="38F7D20F" w14:textId="77777777">
        <w:trPr>
          <w:cantSplit/>
        </w:trPr>
        <w:tc>
          <w:tcPr>
            <w:tcW w:w="1526" w:type="dxa"/>
          </w:tcPr>
          <w:p w14:paraId="018E57FD" w14:textId="77777777" w:rsidR="00A052DC" w:rsidRDefault="009F0A60">
            <w:pPr>
              <w:pStyle w:val="B"/>
              <w:rPr>
                <w:szCs w:val="20"/>
              </w:rPr>
            </w:pPr>
            <w:r>
              <w:rPr>
                <w:rFonts w:hint="eastAsia"/>
                <w:szCs w:val="20"/>
              </w:rPr>
              <w:t>债权人总部所在国家（地区）代码</w:t>
            </w:r>
          </w:p>
        </w:tc>
        <w:tc>
          <w:tcPr>
            <w:tcW w:w="6946" w:type="dxa"/>
            <w:vAlign w:val="center"/>
          </w:tcPr>
          <w:p w14:paraId="4CD24041" w14:textId="77777777" w:rsidR="00A052DC" w:rsidRDefault="009F0A60">
            <w:pPr>
              <w:pStyle w:val="B"/>
              <w:rPr>
                <w:szCs w:val="20"/>
              </w:rPr>
            </w:pPr>
            <w:r>
              <w:rPr>
                <w:rFonts w:hint="eastAsia"/>
                <w:szCs w:val="20"/>
              </w:rPr>
              <w:t>债权人总部所在地代码，见国家和地区代码表。</w:t>
            </w:r>
          </w:p>
        </w:tc>
      </w:tr>
      <w:tr w:rsidR="00A052DC" w14:paraId="1291CB8B" w14:textId="77777777">
        <w:trPr>
          <w:cantSplit/>
        </w:trPr>
        <w:tc>
          <w:tcPr>
            <w:tcW w:w="1526" w:type="dxa"/>
          </w:tcPr>
          <w:p w14:paraId="16426397" w14:textId="77777777" w:rsidR="00A052DC" w:rsidRDefault="009F0A60">
            <w:pPr>
              <w:pStyle w:val="B"/>
              <w:rPr>
                <w:szCs w:val="20"/>
              </w:rPr>
            </w:pPr>
            <w:r>
              <w:rPr>
                <w:rFonts w:hint="eastAsia"/>
                <w:szCs w:val="20"/>
              </w:rPr>
              <w:t>债权人经营地所在国家（地区）代码</w:t>
            </w:r>
          </w:p>
        </w:tc>
        <w:tc>
          <w:tcPr>
            <w:tcW w:w="6946" w:type="dxa"/>
            <w:vAlign w:val="center"/>
          </w:tcPr>
          <w:p w14:paraId="0BF35F0A" w14:textId="77777777" w:rsidR="00A052DC" w:rsidRDefault="009F0A60">
            <w:pPr>
              <w:pStyle w:val="B"/>
              <w:rPr>
                <w:szCs w:val="20"/>
              </w:rPr>
            </w:pPr>
            <w:r>
              <w:rPr>
                <w:rFonts w:hint="eastAsia"/>
                <w:szCs w:val="20"/>
              </w:rPr>
              <w:t>债权人经营所在地代码，见国家和地区代码表。</w:t>
            </w:r>
          </w:p>
        </w:tc>
      </w:tr>
      <w:tr w:rsidR="00A052DC" w14:paraId="21A14437" w14:textId="77777777">
        <w:trPr>
          <w:cantSplit/>
        </w:trPr>
        <w:tc>
          <w:tcPr>
            <w:tcW w:w="1526" w:type="dxa"/>
          </w:tcPr>
          <w:p w14:paraId="7E3A3CDA" w14:textId="77777777" w:rsidR="00A052DC" w:rsidRDefault="009F0A60">
            <w:pPr>
              <w:pStyle w:val="B"/>
              <w:rPr>
                <w:szCs w:val="20"/>
              </w:rPr>
            </w:pPr>
            <w:r>
              <w:rPr>
                <w:rFonts w:hint="eastAsia"/>
                <w:szCs w:val="20"/>
              </w:rPr>
              <w:t>是否有利息本金化条款</w:t>
            </w:r>
          </w:p>
        </w:tc>
        <w:tc>
          <w:tcPr>
            <w:tcW w:w="6946" w:type="dxa"/>
          </w:tcPr>
          <w:p w14:paraId="1B3D8197" w14:textId="77777777" w:rsidR="00A052DC" w:rsidRDefault="009F0A60">
            <w:pPr>
              <w:pStyle w:val="B"/>
              <w:rPr>
                <w:szCs w:val="20"/>
              </w:rPr>
            </w:pPr>
            <w:r>
              <w:rPr>
                <w:rFonts w:hint="eastAsia"/>
                <w:szCs w:val="20"/>
              </w:rPr>
              <w:t>标识债务合同中是否包含利息本金化条款，若有，选择是，系统默认为“否”。</w:t>
            </w:r>
          </w:p>
        </w:tc>
      </w:tr>
      <w:tr w:rsidR="00A052DC" w14:paraId="510B8D5B" w14:textId="77777777">
        <w:trPr>
          <w:cantSplit/>
        </w:trPr>
        <w:tc>
          <w:tcPr>
            <w:tcW w:w="1526" w:type="dxa"/>
          </w:tcPr>
          <w:p w14:paraId="42C2BAF6" w14:textId="77777777" w:rsidR="00A052DC" w:rsidRDefault="009F0A60">
            <w:pPr>
              <w:pStyle w:val="B"/>
              <w:rPr>
                <w:szCs w:val="20"/>
              </w:rPr>
            </w:pPr>
            <w:r>
              <w:rPr>
                <w:rFonts w:hint="eastAsia"/>
                <w:szCs w:val="20"/>
              </w:rPr>
              <w:t>是否不纳入跨境融资风险加权余额计算</w:t>
            </w:r>
          </w:p>
        </w:tc>
        <w:tc>
          <w:tcPr>
            <w:tcW w:w="6946" w:type="dxa"/>
          </w:tcPr>
          <w:p w14:paraId="438B460F" w14:textId="77777777" w:rsidR="00A052DC" w:rsidRDefault="009F0A60">
            <w:pPr>
              <w:pStyle w:val="B"/>
              <w:rPr>
                <w:szCs w:val="20"/>
              </w:rPr>
            </w:pPr>
            <w:r>
              <w:rPr>
                <w:rFonts w:hint="eastAsia"/>
                <w:szCs w:val="20"/>
              </w:rPr>
              <w:t>标识该笔债务是否不纳入跨境融资风险加权余额计算，默认为“否”。</w:t>
            </w:r>
          </w:p>
        </w:tc>
      </w:tr>
      <w:tr w:rsidR="00A052DC" w14:paraId="723C1077" w14:textId="77777777">
        <w:trPr>
          <w:cantSplit/>
        </w:trPr>
        <w:tc>
          <w:tcPr>
            <w:tcW w:w="1526" w:type="dxa"/>
          </w:tcPr>
          <w:p w14:paraId="433AC914" w14:textId="77777777" w:rsidR="00A052DC" w:rsidRDefault="009F0A60">
            <w:pPr>
              <w:pStyle w:val="B"/>
              <w:rPr>
                <w:szCs w:val="20"/>
              </w:rPr>
            </w:pPr>
            <w:r>
              <w:rPr>
                <w:rFonts w:hint="eastAsia"/>
                <w:szCs w:val="20"/>
              </w:rPr>
              <w:t>对方与本机构的关系</w:t>
            </w:r>
          </w:p>
        </w:tc>
        <w:tc>
          <w:tcPr>
            <w:tcW w:w="6946" w:type="dxa"/>
          </w:tcPr>
          <w:p w14:paraId="4140E91F" w14:textId="77777777" w:rsidR="00A052DC" w:rsidRDefault="009F0A60">
            <w:pPr>
              <w:pStyle w:val="B"/>
              <w:rPr>
                <w:szCs w:val="20"/>
              </w:rPr>
            </w:pPr>
            <w:r>
              <w:rPr>
                <w:rFonts w:hint="eastAsia"/>
                <w:szCs w:val="20"/>
              </w:rPr>
              <w:t>债权人与本机构的关系，见对方与本机构</w:t>
            </w:r>
            <w:r>
              <w:rPr>
                <w:szCs w:val="20"/>
              </w:rPr>
              <w:t>/</w:t>
            </w:r>
            <w:r>
              <w:rPr>
                <w:rFonts w:hint="eastAsia"/>
                <w:szCs w:val="20"/>
              </w:rPr>
              <w:t>被代理居民机构</w:t>
            </w:r>
            <w:r>
              <w:rPr>
                <w:szCs w:val="20"/>
              </w:rPr>
              <w:t>/</w:t>
            </w:r>
            <w:r>
              <w:rPr>
                <w:rFonts w:hint="eastAsia"/>
                <w:szCs w:val="20"/>
              </w:rPr>
              <w:t>委托人的关系代码表。</w:t>
            </w:r>
          </w:p>
        </w:tc>
      </w:tr>
      <w:tr w:rsidR="00A052DC" w14:paraId="26E22AFC" w14:textId="77777777">
        <w:trPr>
          <w:cantSplit/>
        </w:trPr>
        <w:tc>
          <w:tcPr>
            <w:tcW w:w="1526" w:type="dxa"/>
            <w:tcBorders>
              <w:top w:val="single" w:sz="6" w:space="0" w:color="auto"/>
              <w:left w:val="single" w:sz="6" w:space="0" w:color="auto"/>
              <w:bottom w:val="single" w:sz="6" w:space="0" w:color="auto"/>
              <w:right w:val="single" w:sz="6" w:space="0" w:color="auto"/>
            </w:tcBorders>
          </w:tcPr>
          <w:p w14:paraId="0550AD01" w14:textId="77777777" w:rsidR="00A052DC" w:rsidRDefault="009F0A60">
            <w:pPr>
              <w:pStyle w:val="B"/>
              <w:rPr>
                <w:szCs w:val="20"/>
              </w:rPr>
            </w:pPr>
            <w:r>
              <w:rPr>
                <w:rFonts w:hint="eastAsia"/>
                <w:szCs w:val="20"/>
              </w:rPr>
              <w:t>备注</w:t>
            </w:r>
          </w:p>
        </w:tc>
        <w:tc>
          <w:tcPr>
            <w:tcW w:w="6946" w:type="dxa"/>
            <w:tcBorders>
              <w:top w:val="single" w:sz="6" w:space="0" w:color="auto"/>
              <w:left w:val="single" w:sz="6" w:space="0" w:color="auto"/>
              <w:bottom w:val="single" w:sz="6" w:space="0" w:color="auto"/>
              <w:right w:val="single" w:sz="6" w:space="0" w:color="auto"/>
            </w:tcBorders>
          </w:tcPr>
          <w:p w14:paraId="0309B7F0" w14:textId="77777777" w:rsidR="00A052DC" w:rsidRDefault="009F0A60">
            <w:pPr>
              <w:pStyle w:val="B"/>
              <w:rPr>
                <w:szCs w:val="20"/>
              </w:rPr>
            </w:pPr>
            <w:r>
              <w:rPr>
                <w:rFonts w:hint="eastAsia"/>
                <w:szCs w:val="20"/>
              </w:rPr>
              <w:t>需要说明的备注事项。</w:t>
            </w:r>
          </w:p>
        </w:tc>
      </w:tr>
    </w:tbl>
    <w:p w14:paraId="4D97D340" w14:textId="77777777" w:rsidR="00A052DC" w:rsidRDefault="00A052DC">
      <w:pPr>
        <w:ind w:firstLine="480"/>
      </w:pPr>
    </w:p>
    <w:p w14:paraId="54901697" w14:textId="77777777" w:rsidR="00A052DC" w:rsidRDefault="009F0A60" w:rsidP="0020251D">
      <w:pPr>
        <w:pStyle w:val="5"/>
        <w:numPr>
          <w:ilvl w:val="4"/>
          <w:numId w:val="1"/>
        </w:numPr>
        <w:spacing w:before="120" w:after="120" w:line="360" w:lineRule="auto"/>
        <w:jc w:val="left"/>
      </w:pPr>
      <w:bookmarkStart w:id="1575" w:name="_Toc454386934"/>
      <w:r>
        <w:rPr>
          <w:rFonts w:hint="eastAsia"/>
        </w:rPr>
        <w:t>数据格式</w:t>
      </w:r>
      <w:bookmarkEnd w:id="1575"/>
    </w:p>
    <w:p w14:paraId="36BF7E9D" w14:textId="77777777" w:rsidR="00A052DC" w:rsidRDefault="009F0A60">
      <w:r>
        <w:t>&lt;REC&gt;</w:t>
      </w:r>
    </w:p>
    <w:p w14:paraId="6B692C1E" w14:textId="77777777" w:rsidR="00A052DC" w:rsidRDefault="009F0A60">
      <w:r>
        <w:t>&lt;ACTIONTYPE&gt;</w:t>
      </w:r>
      <w:r>
        <w:rPr>
          <w:rFonts w:hint="eastAsia"/>
        </w:rPr>
        <w:t>操作类型</w:t>
      </w:r>
      <w:r>
        <w:t>&lt;/ACTIONTYPE&gt;</w:t>
      </w:r>
    </w:p>
    <w:p w14:paraId="3CCE67FF" w14:textId="77777777" w:rsidR="00A052DC" w:rsidRDefault="009F0A60">
      <w:r>
        <w:t>&lt;ACTIONDESC&gt;</w:t>
      </w:r>
      <w:r>
        <w:rPr>
          <w:rFonts w:hint="eastAsia"/>
        </w:rPr>
        <w:t>删除原因</w:t>
      </w:r>
      <w:r>
        <w:t>&lt;/ACTIONDESC&gt;</w:t>
      </w:r>
    </w:p>
    <w:p w14:paraId="55786718" w14:textId="77777777" w:rsidR="00A052DC" w:rsidRDefault="009F0A60">
      <w:r>
        <w:t>&lt;EXDEBTCODE&gt;</w:t>
      </w:r>
      <w:r>
        <w:rPr>
          <w:rFonts w:hint="eastAsia"/>
        </w:rPr>
        <w:t>外债编号</w:t>
      </w:r>
      <w:r>
        <w:t>&lt;/EXDEBTCODE&gt;</w:t>
      </w:r>
    </w:p>
    <w:p w14:paraId="0717EC2C" w14:textId="77777777" w:rsidR="00A052DC" w:rsidRDefault="009F0A60">
      <w:r>
        <w:t>&lt;DEBTORCODE&gt;</w:t>
      </w:r>
      <w:r>
        <w:rPr>
          <w:rFonts w:hint="eastAsia"/>
        </w:rPr>
        <w:t>债务人代码</w:t>
      </w:r>
      <w:r>
        <w:t>&lt;/DEBTORCODE&gt;</w:t>
      </w:r>
    </w:p>
    <w:p w14:paraId="3BCC0F67" w14:textId="77777777" w:rsidR="00A052DC" w:rsidRDefault="009F0A60">
      <w:r>
        <w:t>&lt;DEBTYPE&gt;</w:t>
      </w:r>
      <w:r>
        <w:rPr>
          <w:rFonts w:hint="eastAsia"/>
        </w:rPr>
        <w:t>债务类型</w:t>
      </w:r>
      <w:r>
        <w:t>&lt;/DEBTYPE&gt;</w:t>
      </w:r>
    </w:p>
    <w:p w14:paraId="1E77BDD5" w14:textId="77777777" w:rsidR="00A052DC" w:rsidRDefault="009F0A60">
      <w:r>
        <w:t>&lt;DEBTYPEREMA&gt;</w:t>
      </w:r>
      <w:r>
        <w:rPr>
          <w:rFonts w:hint="eastAsia"/>
        </w:rPr>
        <w:t>债务类型备注</w:t>
      </w:r>
      <w:r>
        <w:t>&lt;/DEBTYPEREMA&gt;</w:t>
      </w:r>
    </w:p>
    <w:p w14:paraId="72BA5EEE" w14:textId="77777777" w:rsidR="00A052DC" w:rsidRDefault="009F0A60">
      <w:r>
        <w:t>&lt;VALUEDATE&gt;</w:t>
      </w:r>
      <w:r>
        <w:rPr>
          <w:rFonts w:hint="eastAsia"/>
        </w:rPr>
        <w:t>起息日</w:t>
      </w:r>
      <w:r>
        <w:t>&lt;/VALUEDATE&gt;</w:t>
      </w:r>
    </w:p>
    <w:p w14:paraId="72D8C665" w14:textId="77777777" w:rsidR="00A052DC" w:rsidRDefault="009F0A60">
      <w:r>
        <w:t>&lt;CONTRACTCURR&gt;</w:t>
      </w:r>
      <w:r>
        <w:rPr>
          <w:rFonts w:hint="eastAsia"/>
        </w:rPr>
        <w:t>签约币种</w:t>
      </w:r>
      <w:r>
        <w:t>&lt;/CONTRACTCURR&gt;</w:t>
      </w:r>
    </w:p>
    <w:p w14:paraId="01400D4D" w14:textId="77777777" w:rsidR="00A052DC" w:rsidRDefault="009F0A60">
      <w:r>
        <w:t>&lt;CONTRACTAMOUNT&gt;</w:t>
      </w:r>
      <w:r>
        <w:rPr>
          <w:rFonts w:hint="eastAsia"/>
        </w:rPr>
        <w:t>签约金额</w:t>
      </w:r>
      <w:r>
        <w:t>&lt;/CONTRACTAMOUNT&gt;</w:t>
      </w:r>
    </w:p>
    <w:p w14:paraId="114AF926" w14:textId="77777777" w:rsidR="00A052DC" w:rsidRDefault="009F0A60">
      <w:r>
        <w:t>&lt;MATURITY&gt;</w:t>
      </w:r>
      <w:r>
        <w:rPr>
          <w:rFonts w:hint="eastAsia"/>
        </w:rPr>
        <w:t>到期日</w:t>
      </w:r>
      <w:r>
        <w:t>&lt;/MATURITY&gt;</w:t>
      </w:r>
    </w:p>
    <w:p w14:paraId="0444E6CC" w14:textId="77777777" w:rsidR="00A052DC" w:rsidRDefault="009F0A60">
      <w:r>
        <w:t>&lt;FLOATRATE&gt;</w:t>
      </w:r>
      <w:r>
        <w:rPr>
          <w:rFonts w:hint="eastAsia"/>
        </w:rPr>
        <w:t>是否浮动利率</w:t>
      </w:r>
      <w:r>
        <w:t>&lt;/FLOATRATE&gt;</w:t>
      </w:r>
    </w:p>
    <w:p w14:paraId="6256E3BB" w14:textId="77777777" w:rsidR="00A052DC" w:rsidRDefault="009F0A60">
      <w:r>
        <w:t>&lt;ANNINRATE&gt;</w:t>
      </w:r>
      <w:r>
        <w:rPr>
          <w:rFonts w:hint="eastAsia"/>
        </w:rPr>
        <w:t>年化利率值</w:t>
      </w:r>
      <w:r>
        <w:t>&lt;/ANNINRATE&gt;</w:t>
      </w:r>
    </w:p>
    <w:p w14:paraId="3A6B674C" w14:textId="77777777" w:rsidR="00A052DC" w:rsidRDefault="009F0A60">
      <w:r>
        <w:t>&lt;CREDITORCODE&gt;</w:t>
      </w:r>
      <w:r>
        <w:rPr>
          <w:rFonts w:hint="eastAsia"/>
        </w:rPr>
        <w:t>债权人代码</w:t>
      </w:r>
      <w:r>
        <w:t>&lt;/CREDITORCODE&gt;</w:t>
      </w:r>
    </w:p>
    <w:p w14:paraId="45668F0C" w14:textId="77777777" w:rsidR="00A052DC" w:rsidRDefault="009F0A60">
      <w:r>
        <w:t>&lt;CREDITORNAME&gt;</w:t>
      </w:r>
      <w:r>
        <w:rPr>
          <w:rFonts w:hint="eastAsia"/>
        </w:rPr>
        <w:t>债权人中文名称</w:t>
      </w:r>
      <w:r>
        <w:t>&lt;/CREDITORNAME&gt;</w:t>
      </w:r>
    </w:p>
    <w:p w14:paraId="0A8AA14B" w14:textId="77777777" w:rsidR="00A052DC" w:rsidRDefault="009F0A60">
      <w:r>
        <w:t>&lt;CREDITORNAMEN&gt;</w:t>
      </w:r>
      <w:r>
        <w:rPr>
          <w:rFonts w:hint="eastAsia"/>
        </w:rPr>
        <w:t>债权人英文名称</w:t>
      </w:r>
      <w:r>
        <w:t>&lt;/CREDITORNAMEN&gt;</w:t>
      </w:r>
    </w:p>
    <w:p w14:paraId="035A7D3C" w14:textId="77777777" w:rsidR="00A052DC" w:rsidRDefault="009F0A60">
      <w:r>
        <w:t>&lt;CREDITORTYPE&gt;</w:t>
      </w:r>
      <w:r>
        <w:rPr>
          <w:rFonts w:hint="eastAsia"/>
        </w:rPr>
        <w:t>债权人类型代码</w:t>
      </w:r>
      <w:r>
        <w:t>&lt;/CREDITORTYPE&gt;</w:t>
      </w:r>
    </w:p>
    <w:p w14:paraId="4183291C" w14:textId="77777777" w:rsidR="00A052DC" w:rsidRDefault="009F0A60">
      <w:r>
        <w:t>&lt;CREHQCODE&gt;</w:t>
      </w:r>
      <w:r>
        <w:rPr>
          <w:rFonts w:hint="eastAsia"/>
        </w:rPr>
        <w:t>债权人总部所在国家（地区）代码</w:t>
      </w:r>
      <w:r>
        <w:t>&lt;/CREHQCODE&gt;</w:t>
      </w:r>
    </w:p>
    <w:p w14:paraId="5FCCE77E" w14:textId="77777777" w:rsidR="00A052DC" w:rsidRDefault="009F0A60">
      <w:r>
        <w:t>&lt;OPERCODE&gt;</w:t>
      </w:r>
      <w:r>
        <w:rPr>
          <w:rFonts w:hint="eastAsia"/>
        </w:rPr>
        <w:t>债权人经营地所在国家（地区）代码</w:t>
      </w:r>
      <w:r>
        <w:t>&lt;/OPERCODE&gt;</w:t>
      </w:r>
    </w:p>
    <w:p w14:paraId="52D9C22F" w14:textId="77777777" w:rsidR="00A052DC" w:rsidRDefault="009F0A60">
      <w:r>
        <w:t>&lt;INPRTERM&gt;</w:t>
      </w:r>
      <w:r>
        <w:rPr>
          <w:rFonts w:hint="eastAsia"/>
        </w:rPr>
        <w:t>是否有利息本金化条款</w:t>
      </w:r>
      <w:r>
        <w:t>&lt;/INPRTERM&gt;</w:t>
      </w:r>
    </w:p>
    <w:p w14:paraId="06FB771E" w14:textId="77777777" w:rsidR="00A052DC" w:rsidRDefault="009F0A60">
      <w:r>
        <w:t>&lt;SPAPFEBOINDEX&gt;</w:t>
      </w:r>
      <w:r>
        <w:rPr>
          <w:rFonts w:hint="eastAsia"/>
        </w:rPr>
        <w:t>是否不纳入跨境融资风险加权余额计算</w:t>
      </w:r>
      <w:r>
        <w:t>&lt;/SPAPFEBOINDEX&gt;</w:t>
      </w:r>
    </w:p>
    <w:p w14:paraId="78157EE8" w14:textId="77777777" w:rsidR="00A052DC" w:rsidRDefault="009F0A60">
      <w:r>
        <w:t>&lt;RELATION&gt;</w:t>
      </w:r>
      <w:r>
        <w:rPr>
          <w:rFonts w:hint="eastAsia"/>
        </w:rPr>
        <w:t>对方与本机构的关系</w:t>
      </w:r>
      <w:r>
        <w:t>&lt;/RELATION&gt;</w:t>
      </w:r>
    </w:p>
    <w:p w14:paraId="6BB26F48" w14:textId="77777777" w:rsidR="00A052DC" w:rsidRDefault="009F0A60">
      <w:r>
        <w:t>&lt;REMARK&gt;</w:t>
      </w:r>
      <w:r>
        <w:rPr>
          <w:rFonts w:hint="eastAsia"/>
        </w:rPr>
        <w:t>备注</w:t>
      </w:r>
      <w:r>
        <w:t>&lt;/REMARK&gt;</w:t>
      </w:r>
    </w:p>
    <w:p w14:paraId="376417AA" w14:textId="77777777" w:rsidR="00A052DC" w:rsidRDefault="009F0A60">
      <w:r>
        <w:t>&lt;/REC&gt;</w:t>
      </w:r>
    </w:p>
    <w:p w14:paraId="15ECAE00" w14:textId="77777777" w:rsidR="00A052DC" w:rsidRDefault="009F0A60" w:rsidP="0020251D">
      <w:pPr>
        <w:pStyle w:val="5"/>
        <w:numPr>
          <w:ilvl w:val="4"/>
          <w:numId w:val="1"/>
        </w:numPr>
        <w:spacing w:before="120" w:after="120" w:line="360" w:lineRule="auto"/>
        <w:jc w:val="left"/>
      </w:pPr>
      <w:bookmarkStart w:id="1576" w:name="_Toc454386935"/>
      <w:r>
        <w:rPr>
          <w:rFonts w:hint="eastAsia"/>
        </w:rPr>
        <w:t>数据字典</w:t>
      </w:r>
      <w:bookmarkEnd w:id="1576"/>
    </w:p>
    <w:tbl>
      <w:tblPr>
        <w:tblW w:w="86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701"/>
        <w:gridCol w:w="1276"/>
        <w:gridCol w:w="3827"/>
      </w:tblGrid>
      <w:tr w:rsidR="00A052DC" w14:paraId="3B7DDD66" w14:textId="77777777">
        <w:trPr>
          <w:tblHeader/>
        </w:trPr>
        <w:tc>
          <w:tcPr>
            <w:tcW w:w="1843" w:type="dxa"/>
            <w:shd w:val="clear" w:color="auto" w:fill="C0C0C0"/>
          </w:tcPr>
          <w:p w14:paraId="33DBF64A" w14:textId="77777777" w:rsidR="00A052DC" w:rsidRDefault="009F0A60">
            <w:pPr>
              <w:jc w:val="center"/>
              <w:rPr>
                <w:rFonts w:ascii="黑体" w:eastAsia="黑体" w:hAnsi="黑体"/>
                <w:b/>
                <w:sz w:val="20"/>
                <w:szCs w:val="20"/>
              </w:rPr>
            </w:pPr>
            <w:r>
              <w:rPr>
                <w:rFonts w:ascii="黑体" w:eastAsia="黑体" w:hAnsi="黑体" w:hint="eastAsia"/>
                <w:b/>
                <w:sz w:val="20"/>
                <w:szCs w:val="20"/>
              </w:rPr>
              <w:t>字段</w:t>
            </w:r>
          </w:p>
        </w:tc>
        <w:tc>
          <w:tcPr>
            <w:tcW w:w="1701" w:type="dxa"/>
            <w:shd w:val="clear" w:color="auto" w:fill="C0C0C0"/>
          </w:tcPr>
          <w:p w14:paraId="188448E1" w14:textId="77777777" w:rsidR="00A052DC" w:rsidRDefault="009F0A60">
            <w:pPr>
              <w:jc w:val="center"/>
              <w:rPr>
                <w:rFonts w:ascii="黑体" w:eastAsia="黑体" w:hAnsi="黑体"/>
                <w:b/>
                <w:sz w:val="20"/>
                <w:szCs w:val="20"/>
              </w:rPr>
            </w:pPr>
            <w:r>
              <w:rPr>
                <w:rFonts w:ascii="黑体" w:eastAsia="黑体" w:hAnsi="黑体" w:hint="eastAsia"/>
                <w:b/>
                <w:sz w:val="20"/>
                <w:szCs w:val="20"/>
              </w:rPr>
              <w:t>内容</w:t>
            </w:r>
          </w:p>
        </w:tc>
        <w:tc>
          <w:tcPr>
            <w:tcW w:w="1276" w:type="dxa"/>
            <w:shd w:val="clear" w:color="auto" w:fill="C0C0C0"/>
          </w:tcPr>
          <w:p w14:paraId="25ECAAF8" w14:textId="77777777" w:rsidR="00A052DC" w:rsidRDefault="009F0A60">
            <w:pPr>
              <w:jc w:val="center"/>
              <w:rPr>
                <w:rFonts w:ascii="黑体" w:eastAsia="黑体" w:hAnsi="黑体"/>
                <w:b/>
                <w:sz w:val="20"/>
                <w:szCs w:val="20"/>
              </w:rPr>
            </w:pPr>
            <w:r>
              <w:rPr>
                <w:rFonts w:ascii="黑体" w:eastAsia="黑体" w:hAnsi="黑体" w:hint="eastAsia"/>
                <w:b/>
                <w:sz w:val="20"/>
                <w:szCs w:val="20"/>
              </w:rPr>
              <w:t>类型（长度）</w:t>
            </w:r>
          </w:p>
        </w:tc>
        <w:tc>
          <w:tcPr>
            <w:tcW w:w="3827" w:type="dxa"/>
            <w:shd w:val="clear" w:color="auto" w:fill="C0C0C0"/>
          </w:tcPr>
          <w:p w14:paraId="0367ADA9" w14:textId="77777777" w:rsidR="00A052DC" w:rsidRDefault="009F0A60">
            <w:pPr>
              <w:jc w:val="center"/>
              <w:rPr>
                <w:rFonts w:ascii="黑体" w:eastAsia="黑体" w:hAnsi="黑体"/>
                <w:b/>
                <w:sz w:val="20"/>
                <w:szCs w:val="20"/>
              </w:rPr>
            </w:pPr>
            <w:r>
              <w:rPr>
                <w:rFonts w:ascii="黑体" w:eastAsia="黑体" w:hAnsi="黑体" w:hint="eastAsia"/>
                <w:b/>
                <w:sz w:val="20"/>
                <w:szCs w:val="20"/>
              </w:rPr>
              <w:t>校验</w:t>
            </w:r>
          </w:p>
        </w:tc>
      </w:tr>
      <w:tr w:rsidR="00A052DC" w14:paraId="0500B0E1" w14:textId="77777777">
        <w:tc>
          <w:tcPr>
            <w:tcW w:w="1843" w:type="dxa"/>
          </w:tcPr>
          <w:p w14:paraId="66A363F3" w14:textId="77777777" w:rsidR="00A052DC" w:rsidRDefault="009F0A60">
            <w:pPr>
              <w:rPr>
                <w:rFonts w:ascii="黑体" w:eastAsia="黑体" w:hAnsi="黑体"/>
                <w:sz w:val="20"/>
                <w:szCs w:val="20"/>
              </w:rPr>
            </w:pPr>
            <w:r>
              <w:rPr>
                <w:rFonts w:ascii="黑体" w:eastAsia="黑体" w:hAnsi="黑体" w:hint="eastAsia"/>
                <w:sz w:val="20"/>
                <w:szCs w:val="20"/>
              </w:rPr>
              <w:t>ACTIONTYPE</w:t>
            </w:r>
          </w:p>
        </w:tc>
        <w:tc>
          <w:tcPr>
            <w:tcW w:w="1701" w:type="dxa"/>
          </w:tcPr>
          <w:p w14:paraId="253E4F93" w14:textId="77777777" w:rsidR="00A052DC" w:rsidRDefault="009F0A60">
            <w:pPr>
              <w:rPr>
                <w:rFonts w:ascii="黑体" w:eastAsia="黑体" w:hAnsi="黑体"/>
                <w:sz w:val="20"/>
                <w:szCs w:val="20"/>
              </w:rPr>
            </w:pPr>
            <w:r>
              <w:rPr>
                <w:rFonts w:ascii="黑体" w:eastAsia="黑体" w:hAnsi="黑体" w:hint="eastAsia"/>
                <w:sz w:val="20"/>
                <w:szCs w:val="20"/>
              </w:rPr>
              <w:t>操作类型</w:t>
            </w:r>
          </w:p>
        </w:tc>
        <w:tc>
          <w:tcPr>
            <w:tcW w:w="1276" w:type="dxa"/>
          </w:tcPr>
          <w:p w14:paraId="627F7C43" w14:textId="77777777" w:rsidR="00A052DC" w:rsidRDefault="009F0A60">
            <w:pPr>
              <w:rPr>
                <w:rFonts w:ascii="黑体" w:eastAsia="黑体" w:hAnsi="黑体"/>
                <w:sz w:val="20"/>
                <w:szCs w:val="20"/>
              </w:rPr>
            </w:pPr>
            <w:r>
              <w:rPr>
                <w:rFonts w:ascii="黑体" w:eastAsia="黑体" w:hAnsi="黑体" w:hint="eastAsia"/>
                <w:sz w:val="20"/>
                <w:szCs w:val="20"/>
              </w:rPr>
              <w:t>字符型，1</w:t>
            </w:r>
          </w:p>
        </w:tc>
        <w:tc>
          <w:tcPr>
            <w:tcW w:w="3827" w:type="dxa"/>
          </w:tcPr>
          <w:p w14:paraId="4FCF0994" w14:textId="77777777" w:rsidR="00A052DC" w:rsidRDefault="009F0A60">
            <w:pPr>
              <w:rPr>
                <w:rFonts w:ascii="黑体" w:eastAsia="黑体" w:hAnsi="黑体"/>
                <w:sz w:val="20"/>
                <w:szCs w:val="20"/>
              </w:rPr>
            </w:pPr>
            <w:r>
              <w:rPr>
                <w:rFonts w:ascii="黑体" w:eastAsia="黑体" w:hAnsi="黑体" w:hint="eastAsia"/>
                <w:sz w:val="20"/>
                <w:szCs w:val="20"/>
              </w:rPr>
              <w:t>必填项</w:t>
            </w:r>
            <w:r w:rsidR="001D10D1">
              <w:rPr>
                <w:rFonts w:ascii="黑体" w:eastAsia="黑体" w:hAnsi="黑体" w:hint="eastAsia"/>
                <w:sz w:val="20"/>
                <w:szCs w:val="20"/>
              </w:rPr>
              <w:t>。</w:t>
            </w:r>
          </w:p>
          <w:p w14:paraId="54AF5A8A" w14:textId="77777777" w:rsidR="00A052DC" w:rsidRDefault="009F0A60">
            <w:pPr>
              <w:rPr>
                <w:rFonts w:ascii="黑体" w:eastAsia="黑体" w:hAnsi="黑体"/>
                <w:sz w:val="20"/>
                <w:szCs w:val="20"/>
              </w:rPr>
            </w:pPr>
            <w:r>
              <w:rPr>
                <w:rFonts w:ascii="黑体" w:eastAsia="黑体" w:hAnsi="黑体" w:hint="eastAsia"/>
                <w:sz w:val="20"/>
                <w:szCs w:val="20"/>
              </w:rPr>
              <w:t>A</w:t>
            </w:r>
            <w:r w:rsidR="00AE4602">
              <w:rPr>
                <w:rFonts w:ascii="黑体" w:eastAsia="黑体" w:hAnsi="黑体" w:hint="eastAsia"/>
                <w:sz w:val="20"/>
                <w:szCs w:val="20"/>
              </w:rPr>
              <w:t>-</w:t>
            </w:r>
            <w:r>
              <w:rPr>
                <w:rFonts w:ascii="黑体" w:eastAsia="黑体" w:hAnsi="黑体" w:hint="eastAsia"/>
                <w:sz w:val="20"/>
                <w:szCs w:val="20"/>
              </w:rPr>
              <w:t>新建</w:t>
            </w:r>
          </w:p>
          <w:p w14:paraId="66314FEC" w14:textId="77777777" w:rsidR="00A052DC" w:rsidRDefault="009F0A60">
            <w:pPr>
              <w:rPr>
                <w:rFonts w:ascii="黑体" w:eastAsia="黑体" w:hAnsi="黑体"/>
                <w:sz w:val="20"/>
                <w:szCs w:val="20"/>
              </w:rPr>
            </w:pPr>
            <w:r>
              <w:rPr>
                <w:rFonts w:ascii="黑体" w:eastAsia="黑体" w:hAnsi="黑体" w:hint="eastAsia"/>
                <w:sz w:val="20"/>
                <w:szCs w:val="20"/>
              </w:rPr>
              <w:t>C</w:t>
            </w:r>
            <w:r w:rsidR="00AE4602">
              <w:rPr>
                <w:rFonts w:ascii="黑体" w:eastAsia="黑体" w:hAnsi="黑体" w:hint="eastAsia"/>
                <w:sz w:val="20"/>
                <w:szCs w:val="20"/>
              </w:rPr>
              <w:t>-</w:t>
            </w:r>
            <w:r>
              <w:rPr>
                <w:rFonts w:ascii="黑体" w:eastAsia="黑体" w:hAnsi="黑体" w:hint="eastAsia"/>
                <w:sz w:val="20"/>
                <w:szCs w:val="20"/>
              </w:rPr>
              <w:t>修改</w:t>
            </w:r>
          </w:p>
          <w:p w14:paraId="0CD4113D" w14:textId="77777777" w:rsidR="001D10D1" w:rsidRDefault="009F0A60" w:rsidP="001D10D1">
            <w:pPr>
              <w:rPr>
                <w:rFonts w:ascii="黑体" w:eastAsia="黑体" w:hAnsi="黑体"/>
                <w:sz w:val="20"/>
                <w:szCs w:val="20"/>
              </w:rPr>
            </w:pPr>
            <w:r>
              <w:rPr>
                <w:rFonts w:ascii="黑体" w:eastAsia="黑体" w:hAnsi="黑体" w:hint="eastAsia"/>
                <w:sz w:val="20"/>
                <w:szCs w:val="20"/>
              </w:rPr>
              <w:t>D</w:t>
            </w:r>
            <w:r w:rsidR="00AE4602">
              <w:rPr>
                <w:rFonts w:ascii="黑体" w:eastAsia="黑体" w:hAnsi="黑体" w:hint="eastAsia"/>
                <w:sz w:val="20"/>
                <w:szCs w:val="20"/>
              </w:rPr>
              <w:t>-</w:t>
            </w:r>
            <w:r>
              <w:rPr>
                <w:rFonts w:ascii="黑体" w:eastAsia="黑体" w:hAnsi="黑体" w:hint="eastAsia"/>
                <w:sz w:val="20"/>
                <w:szCs w:val="20"/>
              </w:rPr>
              <w:t>删除</w:t>
            </w:r>
          </w:p>
          <w:p w14:paraId="3EA61858" w14:textId="77777777" w:rsidR="00A052DC" w:rsidRDefault="009F0A60" w:rsidP="001D10D1">
            <w:pPr>
              <w:rPr>
                <w:rFonts w:ascii="黑体" w:eastAsia="黑体" w:hAnsi="黑体"/>
                <w:sz w:val="20"/>
                <w:szCs w:val="20"/>
              </w:rPr>
            </w:pPr>
            <w:r>
              <w:rPr>
                <w:rFonts w:ascii="黑体" w:eastAsia="黑体" w:hAnsi="黑体" w:hint="eastAsia"/>
                <w:sz w:val="20"/>
                <w:szCs w:val="20"/>
              </w:rPr>
              <w:t>一旦银行报送了该外债编号下的变动信息，就不可以删除了。</w:t>
            </w:r>
          </w:p>
        </w:tc>
      </w:tr>
      <w:tr w:rsidR="00A052DC" w14:paraId="6CCE54C9" w14:textId="77777777">
        <w:tc>
          <w:tcPr>
            <w:tcW w:w="1843" w:type="dxa"/>
          </w:tcPr>
          <w:p w14:paraId="068E511A" w14:textId="77777777" w:rsidR="00A052DC" w:rsidRDefault="009F0A60">
            <w:pPr>
              <w:rPr>
                <w:rFonts w:ascii="黑体" w:eastAsia="黑体" w:hAnsi="黑体"/>
                <w:sz w:val="20"/>
                <w:szCs w:val="20"/>
              </w:rPr>
            </w:pPr>
            <w:r>
              <w:rPr>
                <w:rFonts w:ascii="黑体" w:eastAsia="黑体" w:hAnsi="黑体" w:hint="eastAsia"/>
                <w:sz w:val="20"/>
                <w:szCs w:val="20"/>
              </w:rPr>
              <w:t>ACTIONDESC</w:t>
            </w:r>
          </w:p>
        </w:tc>
        <w:tc>
          <w:tcPr>
            <w:tcW w:w="1701" w:type="dxa"/>
          </w:tcPr>
          <w:p w14:paraId="1CCA101D" w14:textId="77777777" w:rsidR="00A052DC" w:rsidRDefault="009F0A60">
            <w:pPr>
              <w:rPr>
                <w:rFonts w:ascii="黑体" w:eastAsia="黑体" w:hAnsi="黑体"/>
                <w:sz w:val="20"/>
                <w:szCs w:val="20"/>
              </w:rPr>
            </w:pPr>
            <w:r>
              <w:rPr>
                <w:rFonts w:ascii="黑体" w:eastAsia="黑体" w:hAnsi="黑体" w:hint="eastAsia"/>
                <w:sz w:val="20"/>
                <w:szCs w:val="20"/>
              </w:rPr>
              <w:t>删除原因</w:t>
            </w:r>
          </w:p>
        </w:tc>
        <w:tc>
          <w:tcPr>
            <w:tcW w:w="1276" w:type="dxa"/>
          </w:tcPr>
          <w:p w14:paraId="0ED8EED2" w14:textId="77777777" w:rsidR="00A052DC" w:rsidRDefault="009F0A60">
            <w:pPr>
              <w:rPr>
                <w:rFonts w:ascii="黑体" w:eastAsia="黑体" w:hAnsi="黑体"/>
                <w:b/>
                <w:sz w:val="20"/>
                <w:szCs w:val="20"/>
              </w:rPr>
            </w:pPr>
            <w:r>
              <w:rPr>
                <w:rFonts w:ascii="黑体" w:eastAsia="黑体" w:hAnsi="黑体" w:hint="eastAsia"/>
                <w:sz w:val="20"/>
                <w:szCs w:val="20"/>
              </w:rPr>
              <w:t>字符型，128</w:t>
            </w:r>
          </w:p>
        </w:tc>
        <w:tc>
          <w:tcPr>
            <w:tcW w:w="3827" w:type="dxa"/>
          </w:tcPr>
          <w:p w14:paraId="334EB04D" w14:textId="77777777" w:rsidR="00A052DC" w:rsidRDefault="00DD6AA3">
            <w:pPr>
              <w:rPr>
                <w:rFonts w:ascii="黑体" w:eastAsia="黑体" w:hAnsi="黑体"/>
                <w:sz w:val="20"/>
                <w:szCs w:val="20"/>
              </w:rPr>
            </w:pPr>
            <w:r>
              <w:rPr>
                <w:rFonts w:ascii="黑体" w:eastAsia="黑体" w:hAnsi="黑体" w:hint="eastAsia"/>
                <w:sz w:val="20"/>
                <w:szCs w:val="20"/>
              </w:rPr>
              <w:t>非必填项，当操作类型（ACTIONTYPE）为删除时必填。</w:t>
            </w:r>
          </w:p>
        </w:tc>
      </w:tr>
      <w:tr w:rsidR="00A052DC" w14:paraId="15CA028E" w14:textId="77777777">
        <w:tc>
          <w:tcPr>
            <w:tcW w:w="1843" w:type="dxa"/>
          </w:tcPr>
          <w:p w14:paraId="4297828E" w14:textId="77777777" w:rsidR="00A052DC" w:rsidRDefault="009F0A60">
            <w:pPr>
              <w:rPr>
                <w:rFonts w:ascii="黑体" w:eastAsia="黑体" w:hAnsi="黑体"/>
                <w:sz w:val="20"/>
                <w:szCs w:val="20"/>
              </w:rPr>
            </w:pPr>
            <w:r>
              <w:rPr>
                <w:rFonts w:ascii="黑体" w:eastAsia="黑体" w:hAnsi="黑体" w:hint="eastAsia"/>
                <w:sz w:val="20"/>
                <w:szCs w:val="20"/>
              </w:rPr>
              <w:t>EXDEBTCODE</w:t>
            </w:r>
          </w:p>
        </w:tc>
        <w:tc>
          <w:tcPr>
            <w:tcW w:w="1701" w:type="dxa"/>
          </w:tcPr>
          <w:p w14:paraId="49784BD7" w14:textId="77777777" w:rsidR="00A052DC" w:rsidRDefault="009F0A60">
            <w:pPr>
              <w:rPr>
                <w:rFonts w:ascii="黑体" w:eastAsia="黑体" w:hAnsi="黑体"/>
                <w:sz w:val="20"/>
                <w:szCs w:val="20"/>
              </w:rPr>
            </w:pPr>
            <w:r>
              <w:rPr>
                <w:rFonts w:ascii="黑体" w:eastAsia="黑体" w:hAnsi="黑体" w:hint="eastAsia"/>
                <w:sz w:val="20"/>
                <w:szCs w:val="20"/>
              </w:rPr>
              <w:t>外债编号</w:t>
            </w:r>
          </w:p>
        </w:tc>
        <w:tc>
          <w:tcPr>
            <w:tcW w:w="1276" w:type="dxa"/>
          </w:tcPr>
          <w:p w14:paraId="2702512C" w14:textId="77777777" w:rsidR="00A052DC" w:rsidRDefault="009F0A60">
            <w:pPr>
              <w:rPr>
                <w:rFonts w:ascii="黑体" w:eastAsia="黑体" w:hAnsi="黑体"/>
                <w:sz w:val="20"/>
                <w:szCs w:val="20"/>
              </w:rPr>
            </w:pPr>
            <w:r>
              <w:rPr>
                <w:rFonts w:ascii="黑体" w:eastAsia="黑体" w:hAnsi="黑体" w:hint="eastAsia"/>
                <w:sz w:val="20"/>
                <w:szCs w:val="20"/>
              </w:rPr>
              <w:t>字符型，28</w:t>
            </w:r>
          </w:p>
        </w:tc>
        <w:tc>
          <w:tcPr>
            <w:tcW w:w="3827" w:type="dxa"/>
          </w:tcPr>
          <w:p w14:paraId="1EF0C533" w14:textId="77777777" w:rsidR="00A052DC" w:rsidRDefault="009F0A60" w:rsidP="001D10D1">
            <w:pPr>
              <w:rPr>
                <w:rFonts w:ascii="黑体" w:eastAsia="黑体" w:hAnsi="黑体"/>
                <w:sz w:val="20"/>
                <w:szCs w:val="20"/>
              </w:rPr>
            </w:pPr>
            <w:r>
              <w:rPr>
                <w:rFonts w:ascii="黑体" w:eastAsia="黑体" w:hAnsi="黑体" w:hint="eastAsia"/>
                <w:sz w:val="20"/>
                <w:szCs w:val="20"/>
              </w:rPr>
              <w:t>必填项，外债唯一性编码。</w:t>
            </w:r>
          </w:p>
        </w:tc>
      </w:tr>
      <w:tr w:rsidR="00A052DC" w14:paraId="63BCFE66" w14:textId="77777777">
        <w:tc>
          <w:tcPr>
            <w:tcW w:w="1843" w:type="dxa"/>
          </w:tcPr>
          <w:p w14:paraId="01D0D0F0" w14:textId="77777777" w:rsidR="00A052DC" w:rsidRDefault="009F0A60">
            <w:pPr>
              <w:rPr>
                <w:rFonts w:ascii="黑体" w:eastAsia="黑体" w:hAnsi="黑体"/>
                <w:sz w:val="20"/>
                <w:szCs w:val="20"/>
              </w:rPr>
            </w:pPr>
            <w:r>
              <w:rPr>
                <w:rFonts w:ascii="黑体" w:eastAsia="黑体" w:hAnsi="黑体" w:hint="eastAsia"/>
                <w:sz w:val="20"/>
                <w:szCs w:val="20"/>
              </w:rPr>
              <w:t>DEBTORCODE</w:t>
            </w:r>
          </w:p>
        </w:tc>
        <w:tc>
          <w:tcPr>
            <w:tcW w:w="1701" w:type="dxa"/>
          </w:tcPr>
          <w:p w14:paraId="42EC4860" w14:textId="77777777" w:rsidR="00A052DC" w:rsidRDefault="009F0A60">
            <w:pPr>
              <w:rPr>
                <w:rFonts w:ascii="黑体" w:eastAsia="黑体" w:hAnsi="黑体"/>
                <w:sz w:val="20"/>
                <w:szCs w:val="20"/>
              </w:rPr>
            </w:pPr>
            <w:r>
              <w:rPr>
                <w:rFonts w:ascii="黑体" w:eastAsia="黑体" w:hAnsi="黑体" w:hint="eastAsia"/>
                <w:sz w:val="20"/>
                <w:szCs w:val="20"/>
              </w:rPr>
              <w:t>债务人代码</w:t>
            </w:r>
          </w:p>
        </w:tc>
        <w:tc>
          <w:tcPr>
            <w:tcW w:w="1276" w:type="dxa"/>
          </w:tcPr>
          <w:p w14:paraId="7DA165C3" w14:textId="77777777" w:rsidR="00A052DC" w:rsidRDefault="009F0A60">
            <w:pPr>
              <w:rPr>
                <w:rFonts w:ascii="黑体" w:eastAsia="黑体" w:hAnsi="黑体"/>
                <w:sz w:val="20"/>
                <w:szCs w:val="20"/>
              </w:rPr>
            </w:pPr>
            <w:r>
              <w:rPr>
                <w:rFonts w:ascii="黑体" w:eastAsia="黑体" w:hAnsi="黑体" w:hint="eastAsia"/>
                <w:sz w:val="20"/>
                <w:szCs w:val="20"/>
              </w:rPr>
              <w:t>字符型，12</w:t>
            </w:r>
          </w:p>
        </w:tc>
        <w:tc>
          <w:tcPr>
            <w:tcW w:w="3827" w:type="dxa"/>
          </w:tcPr>
          <w:p w14:paraId="33C9E759" w14:textId="77777777" w:rsidR="00A052DC" w:rsidRDefault="009F0A60" w:rsidP="001D10D1">
            <w:pPr>
              <w:rPr>
                <w:rFonts w:ascii="黑体" w:eastAsia="黑体" w:hAnsi="黑体"/>
                <w:sz w:val="20"/>
                <w:szCs w:val="20"/>
              </w:rPr>
            </w:pPr>
            <w:r>
              <w:rPr>
                <w:rFonts w:ascii="黑体" w:eastAsia="黑体" w:hAnsi="黑体" w:hint="eastAsia"/>
                <w:sz w:val="20"/>
                <w:szCs w:val="20"/>
              </w:rPr>
              <w:t>必填项，金融机构标识码。</w:t>
            </w:r>
          </w:p>
        </w:tc>
      </w:tr>
      <w:tr w:rsidR="00A052DC" w14:paraId="1DE610AB" w14:textId="77777777">
        <w:tc>
          <w:tcPr>
            <w:tcW w:w="1843" w:type="dxa"/>
          </w:tcPr>
          <w:p w14:paraId="64786A51" w14:textId="77777777" w:rsidR="00A052DC" w:rsidRDefault="009F0A60">
            <w:pPr>
              <w:rPr>
                <w:rFonts w:ascii="黑体" w:eastAsia="黑体" w:hAnsi="黑体"/>
                <w:sz w:val="20"/>
                <w:szCs w:val="20"/>
              </w:rPr>
            </w:pPr>
            <w:r>
              <w:rPr>
                <w:rFonts w:ascii="黑体" w:eastAsia="黑体" w:hAnsi="黑体" w:hint="eastAsia"/>
                <w:sz w:val="20"/>
                <w:szCs w:val="20"/>
              </w:rPr>
              <w:t>DEBTYPE</w:t>
            </w:r>
          </w:p>
        </w:tc>
        <w:tc>
          <w:tcPr>
            <w:tcW w:w="1701" w:type="dxa"/>
          </w:tcPr>
          <w:p w14:paraId="7A938867" w14:textId="77777777" w:rsidR="00A052DC" w:rsidRDefault="009F0A60">
            <w:pPr>
              <w:rPr>
                <w:rFonts w:ascii="黑体" w:eastAsia="黑体" w:hAnsi="黑体"/>
                <w:sz w:val="20"/>
                <w:szCs w:val="20"/>
              </w:rPr>
            </w:pPr>
            <w:r>
              <w:rPr>
                <w:rFonts w:ascii="黑体" w:eastAsia="黑体" w:hAnsi="黑体" w:hint="eastAsia"/>
                <w:sz w:val="20"/>
                <w:szCs w:val="20"/>
              </w:rPr>
              <w:t>债务类型</w:t>
            </w:r>
          </w:p>
        </w:tc>
        <w:tc>
          <w:tcPr>
            <w:tcW w:w="1276" w:type="dxa"/>
          </w:tcPr>
          <w:p w14:paraId="08E4D59A" w14:textId="77777777" w:rsidR="00A052DC" w:rsidRDefault="009F0A60">
            <w:pPr>
              <w:rPr>
                <w:rFonts w:ascii="黑体" w:eastAsia="黑体" w:hAnsi="黑体"/>
                <w:sz w:val="20"/>
                <w:szCs w:val="20"/>
              </w:rPr>
            </w:pPr>
            <w:r>
              <w:rPr>
                <w:rFonts w:ascii="黑体" w:eastAsia="黑体" w:hAnsi="黑体" w:hint="eastAsia"/>
                <w:sz w:val="20"/>
                <w:szCs w:val="20"/>
              </w:rPr>
              <w:t>字符型，4</w:t>
            </w:r>
          </w:p>
        </w:tc>
        <w:tc>
          <w:tcPr>
            <w:tcW w:w="3827" w:type="dxa"/>
          </w:tcPr>
          <w:p w14:paraId="4DE323ED" w14:textId="77777777" w:rsidR="00A052DC" w:rsidRDefault="009F0A60" w:rsidP="001D10D1">
            <w:pPr>
              <w:rPr>
                <w:rFonts w:ascii="黑体" w:eastAsia="黑体" w:hAnsi="黑体"/>
                <w:sz w:val="20"/>
                <w:szCs w:val="20"/>
              </w:rPr>
            </w:pPr>
            <w:r>
              <w:rPr>
                <w:rFonts w:ascii="黑体" w:eastAsia="黑体" w:hAnsi="黑体" w:hint="eastAsia"/>
                <w:sz w:val="20"/>
                <w:szCs w:val="20"/>
              </w:rPr>
              <w:t>必填项，见债务类型代码表。</w:t>
            </w:r>
          </w:p>
        </w:tc>
      </w:tr>
      <w:tr w:rsidR="00A052DC" w14:paraId="0F1B9179" w14:textId="77777777">
        <w:tc>
          <w:tcPr>
            <w:tcW w:w="1843" w:type="dxa"/>
          </w:tcPr>
          <w:p w14:paraId="1E1A343C" w14:textId="77777777" w:rsidR="00A052DC" w:rsidRDefault="009F0A60">
            <w:pPr>
              <w:rPr>
                <w:rFonts w:ascii="黑体" w:eastAsia="黑体" w:hAnsi="黑体"/>
                <w:sz w:val="20"/>
                <w:szCs w:val="20"/>
              </w:rPr>
            </w:pPr>
            <w:r>
              <w:rPr>
                <w:rFonts w:ascii="黑体" w:eastAsia="黑体" w:hAnsi="黑体" w:hint="eastAsia"/>
                <w:sz w:val="20"/>
                <w:szCs w:val="20"/>
              </w:rPr>
              <w:t>DEBTYPEREMA</w:t>
            </w:r>
          </w:p>
        </w:tc>
        <w:tc>
          <w:tcPr>
            <w:tcW w:w="1701" w:type="dxa"/>
          </w:tcPr>
          <w:p w14:paraId="6E52998B" w14:textId="77777777" w:rsidR="00A052DC" w:rsidRDefault="009F0A60">
            <w:pPr>
              <w:rPr>
                <w:rFonts w:ascii="黑体" w:eastAsia="黑体" w:hAnsi="黑体"/>
                <w:sz w:val="20"/>
                <w:szCs w:val="20"/>
              </w:rPr>
            </w:pPr>
            <w:r>
              <w:rPr>
                <w:rFonts w:ascii="黑体" w:eastAsia="黑体" w:hAnsi="黑体" w:hint="eastAsia"/>
                <w:sz w:val="20"/>
                <w:szCs w:val="20"/>
              </w:rPr>
              <w:t>债务类型备注</w:t>
            </w:r>
          </w:p>
        </w:tc>
        <w:tc>
          <w:tcPr>
            <w:tcW w:w="1276" w:type="dxa"/>
          </w:tcPr>
          <w:p w14:paraId="71D948BA"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3827" w:type="dxa"/>
          </w:tcPr>
          <w:p w14:paraId="37C802AE" w14:textId="77777777" w:rsidR="00A052DC" w:rsidRDefault="009F0A60">
            <w:pPr>
              <w:rPr>
                <w:rFonts w:ascii="黑体" w:eastAsia="黑体" w:hAnsi="黑体"/>
                <w:b/>
                <w:bCs/>
                <w:sz w:val="20"/>
                <w:szCs w:val="20"/>
              </w:rPr>
            </w:pPr>
            <w:r>
              <w:rPr>
                <w:rFonts w:ascii="黑体" w:eastAsia="黑体" w:hAnsi="黑体" w:hint="eastAsia"/>
                <w:sz w:val="20"/>
                <w:szCs w:val="20"/>
              </w:rPr>
              <w:t>必填项。</w:t>
            </w:r>
          </w:p>
        </w:tc>
      </w:tr>
      <w:tr w:rsidR="00A052DC" w14:paraId="0D6DE2FD" w14:textId="77777777">
        <w:trPr>
          <w:cantSplit/>
          <w:trHeight w:val="64"/>
        </w:trPr>
        <w:tc>
          <w:tcPr>
            <w:tcW w:w="1843" w:type="dxa"/>
          </w:tcPr>
          <w:p w14:paraId="2FA894A4" w14:textId="77777777" w:rsidR="00A052DC" w:rsidRDefault="009F0A60">
            <w:pPr>
              <w:rPr>
                <w:rFonts w:ascii="黑体" w:eastAsia="黑体" w:hAnsi="黑体"/>
                <w:sz w:val="20"/>
                <w:szCs w:val="20"/>
              </w:rPr>
            </w:pPr>
            <w:r>
              <w:rPr>
                <w:rFonts w:ascii="黑体" w:eastAsia="黑体" w:hAnsi="黑体" w:hint="eastAsia"/>
                <w:sz w:val="20"/>
                <w:szCs w:val="20"/>
              </w:rPr>
              <w:t>VALUEDATE</w:t>
            </w:r>
          </w:p>
        </w:tc>
        <w:tc>
          <w:tcPr>
            <w:tcW w:w="1701" w:type="dxa"/>
          </w:tcPr>
          <w:p w14:paraId="715B2E91" w14:textId="77777777" w:rsidR="00A052DC" w:rsidRDefault="009F0A60">
            <w:pPr>
              <w:rPr>
                <w:rFonts w:ascii="黑体" w:eastAsia="黑体" w:hAnsi="黑体"/>
                <w:sz w:val="20"/>
                <w:szCs w:val="20"/>
              </w:rPr>
            </w:pPr>
            <w:r>
              <w:rPr>
                <w:rFonts w:ascii="黑体" w:eastAsia="黑体" w:hAnsi="黑体" w:hint="eastAsia"/>
                <w:sz w:val="20"/>
                <w:szCs w:val="20"/>
              </w:rPr>
              <w:t>起息日</w:t>
            </w:r>
          </w:p>
        </w:tc>
        <w:tc>
          <w:tcPr>
            <w:tcW w:w="1276" w:type="dxa"/>
          </w:tcPr>
          <w:p w14:paraId="52166C75" w14:textId="77777777" w:rsidR="00A052DC" w:rsidRDefault="009F0A60">
            <w:pPr>
              <w:rPr>
                <w:rFonts w:ascii="黑体" w:eastAsia="黑体" w:hAnsi="黑体"/>
                <w:sz w:val="20"/>
                <w:szCs w:val="20"/>
              </w:rPr>
            </w:pPr>
            <w:r>
              <w:rPr>
                <w:rFonts w:ascii="黑体" w:eastAsia="黑体" w:hAnsi="黑体" w:hint="eastAsia"/>
                <w:sz w:val="20"/>
                <w:szCs w:val="20"/>
              </w:rPr>
              <w:t>日期型，8</w:t>
            </w:r>
          </w:p>
        </w:tc>
        <w:tc>
          <w:tcPr>
            <w:tcW w:w="3827" w:type="dxa"/>
          </w:tcPr>
          <w:p w14:paraId="414BA10A" w14:textId="77777777" w:rsidR="00A052DC" w:rsidRDefault="009F0A60" w:rsidP="001D10D1">
            <w:pPr>
              <w:rPr>
                <w:rFonts w:ascii="黑体" w:eastAsia="黑体" w:hAnsi="黑体"/>
                <w:sz w:val="20"/>
                <w:szCs w:val="20"/>
              </w:rPr>
            </w:pPr>
            <w:r>
              <w:rPr>
                <w:rFonts w:ascii="黑体" w:eastAsia="黑体" w:hAnsi="黑体" w:hint="eastAsia"/>
                <w:sz w:val="20"/>
                <w:szCs w:val="20"/>
              </w:rPr>
              <w:t>必填项，格式YYYY年MM月DD日。</w:t>
            </w:r>
          </w:p>
        </w:tc>
      </w:tr>
      <w:tr w:rsidR="00A052DC" w14:paraId="2F800467" w14:textId="77777777">
        <w:trPr>
          <w:cantSplit/>
          <w:trHeight w:val="64"/>
        </w:trPr>
        <w:tc>
          <w:tcPr>
            <w:tcW w:w="1843" w:type="dxa"/>
          </w:tcPr>
          <w:p w14:paraId="4BA9BC08" w14:textId="77777777" w:rsidR="00A052DC" w:rsidRDefault="009F0A60">
            <w:pPr>
              <w:rPr>
                <w:rFonts w:ascii="黑体" w:eastAsia="黑体" w:hAnsi="黑体"/>
                <w:sz w:val="20"/>
                <w:szCs w:val="20"/>
              </w:rPr>
            </w:pPr>
            <w:r>
              <w:rPr>
                <w:rFonts w:ascii="黑体" w:eastAsia="黑体" w:hAnsi="黑体" w:hint="eastAsia"/>
                <w:sz w:val="20"/>
                <w:szCs w:val="20"/>
              </w:rPr>
              <w:t>CONTRACTCURR</w:t>
            </w:r>
          </w:p>
        </w:tc>
        <w:tc>
          <w:tcPr>
            <w:tcW w:w="1701" w:type="dxa"/>
          </w:tcPr>
          <w:p w14:paraId="499F5A9E" w14:textId="77777777" w:rsidR="00A052DC" w:rsidRDefault="009F0A60">
            <w:pPr>
              <w:rPr>
                <w:rFonts w:ascii="黑体" w:eastAsia="黑体" w:hAnsi="黑体"/>
                <w:sz w:val="20"/>
                <w:szCs w:val="20"/>
              </w:rPr>
            </w:pPr>
            <w:r>
              <w:rPr>
                <w:rFonts w:ascii="黑体" w:eastAsia="黑体" w:hAnsi="黑体" w:hint="eastAsia"/>
                <w:sz w:val="20"/>
                <w:szCs w:val="20"/>
              </w:rPr>
              <w:t>签约币种</w:t>
            </w:r>
          </w:p>
        </w:tc>
        <w:tc>
          <w:tcPr>
            <w:tcW w:w="1276" w:type="dxa"/>
          </w:tcPr>
          <w:p w14:paraId="016445D4" w14:textId="77777777" w:rsidR="00A052DC" w:rsidRDefault="009F0A60">
            <w:pPr>
              <w:rPr>
                <w:rFonts w:ascii="黑体" w:eastAsia="黑体" w:hAnsi="黑体"/>
                <w:sz w:val="20"/>
                <w:szCs w:val="20"/>
              </w:rPr>
            </w:pPr>
            <w:r>
              <w:rPr>
                <w:rFonts w:ascii="黑体" w:eastAsia="黑体" w:hAnsi="黑体" w:hint="eastAsia"/>
                <w:sz w:val="20"/>
                <w:szCs w:val="20"/>
              </w:rPr>
              <w:t>字符型，3</w:t>
            </w:r>
          </w:p>
        </w:tc>
        <w:tc>
          <w:tcPr>
            <w:tcW w:w="3827" w:type="dxa"/>
          </w:tcPr>
          <w:p w14:paraId="7ED7951A" w14:textId="77777777" w:rsidR="00A052DC" w:rsidRDefault="009F0A60" w:rsidP="001D10D1">
            <w:pPr>
              <w:rPr>
                <w:rFonts w:ascii="黑体" w:eastAsia="黑体" w:hAnsi="黑体"/>
                <w:sz w:val="20"/>
                <w:szCs w:val="20"/>
              </w:rPr>
            </w:pPr>
            <w:r>
              <w:rPr>
                <w:rFonts w:ascii="黑体" w:eastAsia="黑体" w:hAnsi="黑体" w:hint="eastAsia"/>
                <w:sz w:val="20"/>
                <w:szCs w:val="20"/>
              </w:rPr>
              <w:t>必填项，币种代码表。</w:t>
            </w:r>
          </w:p>
        </w:tc>
      </w:tr>
      <w:tr w:rsidR="00A052DC" w14:paraId="0E0173A2" w14:textId="77777777">
        <w:tc>
          <w:tcPr>
            <w:tcW w:w="1843" w:type="dxa"/>
          </w:tcPr>
          <w:p w14:paraId="5D35AF78" w14:textId="77777777" w:rsidR="00A052DC" w:rsidRDefault="009F0A60">
            <w:pPr>
              <w:rPr>
                <w:rFonts w:ascii="黑体" w:eastAsia="黑体" w:hAnsi="黑体"/>
                <w:sz w:val="20"/>
                <w:szCs w:val="20"/>
              </w:rPr>
            </w:pPr>
            <w:r>
              <w:rPr>
                <w:rFonts w:ascii="黑体" w:eastAsia="黑体" w:hAnsi="黑体" w:hint="eastAsia"/>
                <w:sz w:val="20"/>
                <w:szCs w:val="20"/>
              </w:rPr>
              <w:t>CONTRACTAMOUNT</w:t>
            </w:r>
          </w:p>
        </w:tc>
        <w:tc>
          <w:tcPr>
            <w:tcW w:w="1701" w:type="dxa"/>
          </w:tcPr>
          <w:p w14:paraId="6F997671" w14:textId="77777777" w:rsidR="00A052DC" w:rsidRDefault="009F0A60">
            <w:pPr>
              <w:rPr>
                <w:rFonts w:ascii="黑体" w:eastAsia="黑体" w:hAnsi="黑体"/>
                <w:sz w:val="20"/>
                <w:szCs w:val="20"/>
              </w:rPr>
            </w:pPr>
            <w:r>
              <w:rPr>
                <w:rFonts w:ascii="黑体" w:eastAsia="黑体" w:hAnsi="黑体" w:hint="eastAsia"/>
                <w:sz w:val="20"/>
                <w:szCs w:val="20"/>
              </w:rPr>
              <w:t>签约金额</w:t>
            </w:r>
          </w:p>
        </w:tc>
        <w:tc>
          <w:tcPr>
            <w:tcW w:w="1276" w:type="dxa"/>
          </w:tcPr>
          <w:p w14:paraId="6D61C3CF"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3827" w:type="dxa"/>
          </w:tcPr>
          <w:p w14:paraId="5AA1D8A7" w14:textId="77777777" w:rsidR="00A052DC" w:rsidRDefault="009F0A60">
            <w:pPr>
              <w:rPr>
                <w:rFonts w:ascii="黑体" w:eastAsia="黑体" w:hAnsi="黑体"/>
                <w:sz w:val="20"/>
                <w:szCs w:val="20"/>
              </w:rPr>
            </w:pPr>
            <w:r>
              <w:rPr>
                <w:rFonts w:ascii="黑体" w:eastAsia="黑体" w:hAnsi="黑体" w:hint="eastAsia"/>
                <w:sz w:val="20"/>
                <w:szCs w:val="20"/>
              </w:rPr>
              <w:t>必填项，大于等于0。</w:t>
            </w:r>
          </w:p>
        </w:tc>
      </w:tr>
      <w:tr w:rsidR="00A052DC" w14:paraId="5C90F97C" w14:textId="77777777">
        <w:tc>
          <w:tcPr>
            <w:tcW w:w="1843" w:type="dxa"/>
          </w:tcPr>
          <w:p w14:paraId="68BDD615" w14:textId="77777777" w:rsidR="00A052DC" w:rsidRDefault="009F0A60">
            <w:pPr>
              <w:rPr>
                <w:rFonts w:ascii="黑体" w:eastAsia="黑体" w:hAnsi="黑体"/>
                <w:sz w:val="20"/>
                <w:szCs w:val="20"/>
              </w:rPr>
            </w:pPr>
            <w:r>
              <w:rPr>
                <w:rFonts w:ascii="黑体" w:eastAsia="黑体" w:hAnsi="黑体" w:hint="eastAsia"/>
                <w:sz w:val="20"/>
                <w:szCs w:val="20"/>
              </w:rPr>
              <w:t>Maturity</w:t>
            </w:r>
          </w:p>
        </w:tc>
        <w:tc>
          <w:tcPr>
            <w:tcW w:w="1701" w:type="dxa"/>
          </w:tcPr>
          <w:p w14:paraId="55CAC15D" w14:textId="77777777" w:rsidR="00A052DC" w:rsidRDefault="009F0A60">
            <w:pPr>
              <w:rPr>
                <w:rFonts w:ascii="黑体" w:eastAsia="黑体" w:hAnsi="黑体"/>
                <w:sz w:val="20"/>
                <w:szCs w:val="20"/>
              </w:rPr>
            </w:pPr>
            <w:r>
              <w:rPr>
                <w:rFonts w:ascii="黑体" w:eastAsia="黑体" w:hAnsi="黑体" w:hint="eastAsia"/>
                <w:sz w:val="20"/>
                <w:szCs w:val="20"/>
              </w:rPr>
              <w:t>到期日</w:t>
            </w:r>
          </w:p>
        </w:tc>
        <w:tc>
          <w:tcPr>
            <w:tcW w:w="1276" w:type="dxa"/>
          </w:tcPr>
          <w:p w14:paraId="5E68EF8A" w14:textId="77777777" w:rsidR="00A052DC" w:rsidRDefault="009F0A60">
            <w:pPr>
              <w:rPr>
                <w:rFonts w:ascii="黑体" w:eastAsia="黑体" w:hAnsi="黑体"/>
                <w:sz w:val="20"/>
                <w:szCs w:val="20"/>
              </w:rPr>
            </w:pPr>
            <w:r>
              <w:rPr>
                <w:rFonts w:ascii="黑体" w:eastAsia="黑体" w:hAnsi="黑体" w:hint="eastAsia"/>
                <w:sz w:val="20"/>
                <w:szCs w:val="20"/>
              </w:rPr>
              <w:t>日期型，8</w:t>
            </w:r>
          </w:p>
        </w:tc>
        <w:tc>
          <w:tcPr>
            <w:tcW w:w="3827" w:type="dxa"/>
          </w:tcPr>
          <w:p w14:paraId="7ABA6A67" w14:textId="77777777" w:rsidR="00A052DC" w:rsidRDefault="009F0A60" w:rsidP="001D10D1">
            <w:pPr>
              <w:rPr>
                <w:rFonts w:ascii="黑体" w:eastAsia="黑体" w:hAnsi="黑体"/>
                <w:sz w:val="20"/>
                <w:szCs w:val="20"/>
              </w:rPr>
            </w:pPr>
            <w:r>
              <w:rPr>
                <w:rFonts w:ascii="黑体" w:eastAsia="黑体" w:hAnsi="黑体" w:hint="eastAsia"/>
                <w:sz w:val="20"/>
                <w:szCs w:val="20"/>
              </w:rPr>
              <w:t>必填项，格式YYYYMMDD，大于等于起息日。</w:t>
            </w:r>
          </w:p>
        </w:tc>
      </w:tr>
      <w:tr w:rsidR="00A052DC" w14:paraId="4BFFDA61" w14:textId="77777777">
        <w:tc>
          <w:tcPr>
            <w:tcW w:w="1843" w:type="dxa"/>
          </w:tcPr>
          <w:p w14:paraId="40C004DB" w14:textId="77777777" w:rsidR="00A052DC" w:rsidRDefault="009F0A60">
            <w:pPr>
              <w:rPr>
                <w:rFonts w:ascii="黑体" w:eastAsia="黑体" w:hAnsi="黑体"/>
                <w:sz w:val="20"/>
                <w:szCs w:val="20"/>
              </w:rPr>
            </w:pPr>
            <w:r>
              <w:rPr>
                <w:rFonts w:ascii="黑体" w:eastAsia="黑体" w:hAnsi="黑体" w:hint="eastAsia"/>
                <w:sz w:val="20"/>
                <w:szCs w:val="20"/>
              </w:rPr>
              <w:t>FLOATRATE</w:t>
            </w:r>
          </w:p>
        </w:tc>
        <w:tc>
          <w:tcPr>
            <w:tcW w:w="1701" w:type="dxa"/>
          </w:tcPr>
          <w:p w14:paraId="2187143C" w14:textId="77777777" w:rsidR="00A052DC" w:rsidRDefault="009F0A60">
            <w:pPr>
              <w:rPr>
                <w:rFonts w:ascii="黑体" w:eastAsia="黑体" w:hAnsi="黑体"/>
                <w:sz w:val="20"/>
                <w:szCs w:val="20"/>
              </w:rPr>
            </w:pPr>
            <w:r>
              <w:rPr>
                <w:rFonts w:ascii="黑体" w:eastAsia="黑体" w:hAnsi="黑体" w:hint="eastAsia"/>
                <w:sz w:val="20"/>
                <w:szCs w:val="20"/>
              </w:rPr>
              <w:t>是否浮动利率</w:t>
            </w:r>
          </w:p>
        </w:tc>
        <w:tc>
          <w:tcPr>
            <w:tcW w:w="1276" w:type="dxa"/>
          </w:tcPr>
          <w:p w14:paraId="562010FF" w14:textId="77777777" w:rsidR="00A052DC" w:rsidRDefault="009F0A60">
            <w:pPr>
              <w:rPr>
                <w:rFonts w:ascii="黑体" w:eastAsia="黑体" w:hAnsi="黑体"/>
                <w:sz w:val="20"/>
                <w:szCs w:val="20"/>
              </w:rPr>
            </w:pPr>
            <w:r>
              <w:rPr>
                <w:rFonts w:ascii="黑体" w:eastAsia="黑体" w:hAnsi="黑体" w:hint="eastAsia"/>
                <w:sz w:val="20"/>
                <w:szCs w:val="20"/>
              </w:rPr>
              <w:t>字符型，1</w:t>
            </w:r>
          </w:p>
        </w:tc>
        <w:tc>
          <w:tcPr>
            <w:tcW w:w="3827" w:type="dxa"/>
          </w:tcPr>
          <w:p w14:paraId="2738E041" w14:textId="77777777" w:rsidR="00A052DC" w:rsidRDefault="009F0A60">
            <w:pPr>
              <w:rPr>
                <w:rFonts w:ascii="黑体" w:eastAsia="黑体" w:hAnsi="黑体"/>
                <w:sz w:val="20"/>
                <w:szCs w:val="20"/>
              </w:rPr>
            </w:pPr>
            <w:r>
              <w:rPr>
                <w:rFonts w:ascii="黑体" w:eastAsia="黑体" w:hAnsi="黑体" w:hint="eastAsia"/>
                <w:sz w:val="20"/>
                <w:szCs w:val="20"/>
              </w:rPr>
              <w:t>必填项，是-Y，否-N，默认为否，填写N。</w:t>
            </w:r>
          </w:p>
        </w:tc>
      </w:tr>
      <w:tr w:rsidR="00A052DC" w14:paraId="1CE7D3B3" w14:textId="77777777">
        <w:tc>
          <w:tcPr>
            <w:tcW w:w="1843" w:type="dxa"/>
          </w:tcPr>
          <w:p w14:paraId="3169A0FE" w14:textId="77777777" w:rsidR="00A052DC" w:rsidRDefault="009F0A60">
            <w:pPr>
              <w:rPr>
                <w:rFonts w:ascii="黑体" w:eastAsia="黑体" w:hAnsi="黑体"/>
                <w:sz w:val="20"/>
                <w:szCs w:val="20"/>
              </w:rPr>
            </w:pPr>
            <w:r>
              <w:rPr>
                <w:rFonts w:ascii="黑体" w:eastAsia="黑体" w:hAnsi="黑体" w:hint="eastAsia"/>
                <w:sz w:val="20"/>
                <w:szCs w:val="20"/>
              </w:rPr>
              <w:t>ANNINRATE</w:t>
            </w:r>
          </w:p>
        </w:tc>
        <w:tc>
          <w:tcPr>
            <w:tcW w:w="1701" w:type="dxa"/>
          </w:tcPr>
          <w:p w14:paraId="3C51FD60" w14:textId="77777777" w:rsidR="00A052DC" w:rsidRDefault="009F0A60">
            <w:pPr>
              <w:rPr>
                <w:rFonts w:ascii="黑体" w:eastAsia="黑体" w:hAnsi="黑体"/>
                <w:sz w:val="20"/>
                <w:szCs w:val="20"/>
              </w:rPr>
            </w:pPr>
            <w:r>
              <w:rPr>
                <w:rFonts w:ascii="黑体" w:eastAsia="黑体" w:hAnsi="黑体" w:hint="eastAsia"/>
                <w:sz w:val="20"/>
                <w:szCs w:val="20"/>
              </w:rPr>
              <w:t>年化利率值</w:t>
            </w:r>
          </w:p>
        </w:tc>
        <w:tc>
          <w:tcPr>
            <w:tcW w:w="1276" w:type="dxa"/>
          </w:tcPr>
          <w:p w14:paraId="30722232" w14:textId="77777777" w:rsidR="00A052DC" w:rsidRDefault="009F0A60">
            <w:pPr>
              <w:rPr>
                <w:rFonts w:ascii="黑体" w:eastAsia="黑体" w:hAnsi="黑体"/>
                <w:sz w:val="20"/>
                <w:szCs w:val="20"/>
              </w:rPr>
            </w:pPr>
            <w:r>
              <w:rPr>
                <w:rFonts w:ascii="黑体" w:eastAsia="黑体" w:hAnsi="黑体" w:hint="eastAsia"/>
                <w:sz w:val="20"/>
                <w:szCs w:val="20"/>
              </w:rPr>
              <w:t>数值型，13.8</w:t>
            </w:r>
          </w:p>
        </w:tc>
        <w:tc>
          <w:tcPr>
            <w:tcW w:w="3827" w:type="dxa"/>
          </w:tcPr>
          <w:p w14:paraId="2596953C" w14:textId="77777777" w:rsidR="00A052DC" w:rsidRDefault="009F0A60" w:rsidP="001D10D1">
            <w:pPr>
              <w:rPr>
                <w:rFonts w:ascii="黑体" w:eastAsia="黑体" w:hAnsi="黑体"/>
                <w:sz w:val="20"/>
                <w:szCs w:val="20"/>
              </w:rPr>
            </w:pPr>
            <w:r>
              <w:rPr>
                <w:rFonts w:ascii="黑体" w:eastAsia="黑体" w:hAnsi="黑体" w:hint="eastAsia"/>
                <w:sz w:val="20"/>
                <w:szCs w:val="20"/>
              </w:rPr>
              <w:t>必填项，大于等于0，按小数填写</w:t>
            </w:r>
            <w:r w:rsidR="001D10D1">
              <w:rPr>
                <w:rFonts w:ascii="黑体" w:eastAsia="黑体" w:hAnsi="黑体" w:hint="eastAsia"/>
                <w:sz w:val="20"/>
                <w:szCs w:val="20"/>
              </w:rPr>
              <w:t>。</w:t>
            </w:r>
            <w:r>
              <w:rPr>
                <w:rFonts w:ascii="黑体" w:eastAsia="黑体" w:hAnsi="黑体" w:hint="eastAsia"/>
                <w:sz w:val="20"/>
                <w:szCs w:val="20"/>
              </w:rPr>
              <w:t>如利率为3.21%，则填写0.0321。</w:t>
            </w:r>
          </w:p>
        </w:tc>
      </w:tr>
      <w:tr w:rsidR="00A052DC" w14:paraId="6F8FFF07" w14:textId="77777777">
        <w:tc>
          <w:tcPr>
            <w:tcW w:w="1843" w:type="dxa"/>
          </w:tcPr>
          <w:p w14:paraId="04B136A6" w14:textId="77777777" w:rsidR="00A052DC" w:rsidRDefault="009F0A60">
            <w:pPr>
              <w:rPr>
                <w:rFonts w:ascii="黑体" w:eastAsia="黑体" w:hAnsi="黑体"/>
                <w:sz w:val="20"/>
                <w:szCs w:val="20"/>
              </w:rPr>
            </w:pPr>
            <w:r>
              <w:rPr>
                <w:rFonts w:ascii="黑体" w:eastAsia="黑体" w:hAnsi="黑体" w:hint="eastAsia"/>
                <w:sz w:val="20"/>
                <w:szCs w:val="20"/>
              </w:rPr>
              <w:t>CREDITORCODE</w:t>
            </w:r>
          </w:p>
        </w:tc>
        <w:tc>
          <w:tcPr>
            <w:tcW w:w="1701" w:type="dxa"/>
          </w:tcPr>
          <w:p w14:paraId="1D8A2FC3" w14:textId="77777777" w:rsidR="00A052DC" w:rsidRDefault="009F0A60">
            <w:pPr>
              <w:rPr>
                <w:rFonts w:ascii="黑体" w:eastAsia="黑体" w:hAnsi="黑体"/>
                <w:sz w:val="20"/>
                <w:szCs w:val="20"/>
              </w:rPr>
            </w:pPr>
            <w:r>
              <w:rPr>
                <w:rFonts w:ascii="黑体" w:eastAsia="黑体" w:hAnsi="黑体" w:hint="eastAsia"/>
                <w:sz w:val="20"/>
                <w:szCs w:val="20"/>
              </w:rPr>
              <w:t>债权人代码</w:t>
            </w:r>
          </w:p>
        </w:tc>
        <w:tc>
          <w:tcPr>
            <w:tcW w:w="1276" w:type="dxa"/>
          </w:tcPr>
          <w:p w14:paraId="5956FAD2" w14:textId="77777777" w:rsidR="00A052DC" w:rsidRDefault="009F0A60">
            <w:pPr>
              <w:rPr>
                <w:rFonts w:ascii="黑体" w:eastAsia="黑体" w:hAnsi="黑体"/>
                <w:sz w:val="20"/>
                <w:szCs w:val="20"/>
              </w:rPr>
            </w:pPr>
            <w:r>
              <w:rPr>
                <w:rFonts w:ascii="黑体" w:eastAsia="黑体" w:hAnsi="黑体" w:hint="eastAsia"/>
                <w:sz w:val="20"/>
                <w:szCs w:val="20"/>
              </w:rPr>
              <w:t>字符型，11</w:t>
            </w:r>
          </w:p>
        </w:tc>
        <w:tc>
          <w:tcPr>
            <w:tcW w:w="3827" w:type="dxa"/>
          </w:tcPr>
          <w:p w14:paraId="78E11FDB" w14:textId="77777777" w:rsidR="00A052DC" w:rsidRDefault="009F0A60">
            <w:pPr>
              <w:rPr>
                <w:rFonts w:ascii="黑体" w:eastAsia="黑体" w:hAnsi="黑体"/>
                <w:sz w:val="20"/>
                <w:szCs w:val="20"/>
              </w:rPr>
            </w:pPr>
            <w:r>
              <w:rPr>
                <w:rFonts w:ascii="黑体" w:eastAsia="黑体" w:hAnsi="黑体" w:hint="eastAsia"/>
                <w:sz w:val="20"/>
                <w:szCs w:val="20"/>
              </w:rPr>
              <w:t>非必填项。</w:t>
            </w:r>
          </w:p>
        </w:tc>
      </w:tr>
      <w:tr w:rsidR="00A052DC" w14:paraId="6F08E934" w14:textId="77777777">
        <w:tc>
          <w:tcPr>
            <w:tcW w:w="1843" w:type="dxa"/>
          </w:tcPr>
          <w:p w14:paraId="0237B418" w14:textId="77777777" w:rsidR="00A052DC" w:rsidRDefault="009F0A60">
            <w:pPr>
              <w:rPr>
                <w:rFonts w:ascii="黑体" w:eastAsia="黑体" w:hAnsi="黑体"/>
                <w:sz w:val="20"/>
                <w:szCs w:val="20"/>
              </w:rPr>
            </w:pPr>
            <w:r>
              <w:rPr>
                <w:rFonts w:ascii="黑体" w:eastAsia="黑体" w:hAnsi="黑体" w:hint="eastAsia"/>
                <w:sz w:val="20"/>
                <w:szCs w:val="20"/>
              </w:rPr>
              <w:t>CREDITORNAME</w:t>
            </w:r>
          </w:p>
        </w:tc>
        <w:tc>
          <w:tcPr>
            <w:tcW w:w="1701" w:type="dxa"/>
          </w:tcPr>
          <w:p w14:paraId="2E04BCA2" w14:textId="77777777" w:rsidR="00A052DC" w:rsidRDefault="009F0A60">
            <w:pPr>
              <w:rPr>
                <w:rFonts w:ascii="黑体" w:eastAsia="黑体" w:hAnsi="黑体"/>
                <w:sz w:val="20"/>
                <w:szCs w:val="20"/>
              </w:rPr>
            </w:pPr>
            <w:r>
              <w:rPr>
                <w:rFonts w:ascii="黑体" w:eastAsia="黑体" w:hAnsi="黑体" w:hint="eastAsia"/>
                <w:sz w:val="20"/>
                <w:szCs w:val="20"/>
              </w:rPr>
              <w:t>债权人中文名称</w:t>
            </w:r>
          </w:p>
        </w:tc>
        <w:tc>
          <w:tcPr>
            <w:tcW w:w="1276" w:type="dxa"/>
          </w:tcPr>
          <w:p w14:paraId="06C56A60"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3827" w:type="dxa"/>
          </w:tcPr>
          <w:p w14:paraId="5E8E8EFC" w14:textId="77777777" w:rsidR="00A052DC" w:rsidRDefault="009F0A60">
            <w:pPr>
              <w:rPr>
                <w:rFonts w:ascii="黑体" w:eastAsia="黑体" w:hAnsi="黑体"/>
                <w:sz w:val="20"/>
                <w:szCs w:val="20"/>
              </w:rPr>
            </w:pPr>
            <w:r>
              <w:rPr>
                <w:rFonts w:ascii="黑体" w:eastAsia="黑体" w:hAnsi="黑体" w:hint="eastAsia"/>
                <w:sz w:val="20"/>
                <w:szCs w:val="20"/>
              </w:rPr>
              <w:t>非必填项，</w:t>
            </w:r>
          </w:p>
          <w:p w14:paraId="1E103689" w14:textId="77777777" w:rsidR="00A052DC" w:rsidRDefault="009F0A60">
            <w:pPr>
              <w:rPr>
                <w:rFonts w:ascii="黑体" w:eastAsia="黑体" w:hAnsi="黑体"/>
                <w:sz w:val="20"/>
                <w:szCs w:val="20"/>
              </w:rPr>
            </w:pPr>
            <w:r>
              <w:rPr>
                <w:rFonts w:ascii="黑体" w:eastAsia="黑体" w:hAnsi="黑体" w:hint="eastAsia"/>
                <w:sz w:val="20"/>
                <w:szCs w:val="20"/>
              </w:rPr>
              <w:t>债权人中文名称和债权人英文名称至少填写一个。</w:t>
            </w:r>
          </w:p>
        </w:tc>
      </w:tr>
      <w:tr w:rsidR="00A052DC" w14:paraId="34D327AB" w14:textId="77777777">
        <w:tc>
          <w:tcPr>
            <w:tcW w:w="1843" w:type="dxa"/>
          </w:tcPr>
          <w:p w14:paraId="43E75C03" w14:textId="77777777" w:rsidR="00A052DC" w:rsidRDefault="009F0A60">
            <w:pPr>
              <w:rPr>
                <w:rFonts w:ascii="黑体" w:eastAsia="黑体" w:hAnsi="黑体"/>
                <w:sz w:val="20"/>
                <w:szCs w:val="20"/>
              </w:rPr>
            </w:pPr>
            <w:r>
              <w:rPr>
                <w:rFonts w:ascii="黑体" w:eastAsia="黑体" w:hAnsi="黑体" w:hint="eastAsia"/>
                <w:sz w:val="20"/>
                <w:szCs w:val="20"/>
              </w:rPr>
              <w:t>CREDITORNAMEN</w:t>
            </w:r>
          </w:p>
        </w:tc>
        <w:tc>
          <w:tcPr>
            <w:tcW w:w="1701" w:type="dxa"/>
          </w:tcPr>
          <w:p w14:paraId="1DC1BD21" w14:textId="77777777" w:rsidR="00A052DC" w:rsidRDefault="009F0A60">
            <w:pPr>
              <w:rPr>
                <w:rFonts w:ascii="黑体" w:eastAsia="黑体" w:hAnsi="黑体"/>
                <w:sz w:val="20"/>
                <w:szCs w:val="20"/>
              </w:rPr>
            </w:pPr>
            <w:r>
              <w:rPr>
                <w:rFonts w:ascii="黑体" w:eastAsia="黑体" w:hAnsi="黑体" w:hint="eastAsia"/>
                <w:sz w:val="20"/>
                <w:szCs w:val="20"/>
              </w:rPr>
              <w:t>债权人英文名称</w:t>
            </w:r>
          </w:p>
        </w:tc>
        <w:tc>
          <w:tcPr>
            <w:tcW w:w="1276" w:type="dxa"/>
          </w:tcPr>
          <w:p w14:paraId="2C814CE4"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3827" w:type="dxa"/>
          </w:tcPr>
          <w:p w14:paraId="776F9F9D" w14:textId="77777777" w:rsidR="00A052DC" w:rsidRDefault="009F0A60">
            <w:pPr>
              <w:rPr>
                <w:rFonts w:ascii="黑体" w:eastAsia="黑体" w:hAnsi="黑体"/>
                <w:sz w:val="20"/>
                <w:szCs w:val="20"/>
              </w:rPr>
            </w:pPr>
            <w:r>
              <w:rPr>
                <w:rFonts w:ascii="黑体" w:eastAsia="黑体" w:hAnsi="黑体" w:hint="eastAsia"/>
                <w:sz w:val="20"/>
                <w:szCs w:val="20"/>
              </w:rPr>
              <w:t>非必填项，</w:t>
            </w:r>
          </w:p>
          <w:p w14:paraId="104B539B" w14:textId="77777777" w:rsidR="00A052DC" w:rsidRDefault="009F0A60">
            <w:pPr>
              <w:rPr>
                <w:rFonts w:ascii="黑体" w:eastAsia="黑体" w:hAnsi="黑体"/>
                <w:sz w:val="20"/>
                <w:szCs w:val="20"/>
              </w:rPr>
            </w:pPr>
            <w:r>
              <w:rPr>
                <w:rFonts w:ascii="黑体" w:eastAsia="黑体" w:hAnsi="黑体" w:hint="eastAsia"/>
                <w:sz w:val="20"/>
                <w:szCs w:val="20"/>
              </w:rPr>
              <w:t>债权人中文名称和债权人英文名称至少填写一个。</w:t>
            </w:r>
          </w:p>
        </w:tc>
      </w:tr>
      <w:tr w:rsidR="00A052DC" w14:paraId="3651AB83" w14:textId="77777777">
        <w:tc>
          <w:tcPr>
            <w:tcW w:w="1843" w:type="dxa"/>
          </w:tcPr>
          <w:p w14:paraId="23A5941A" w14:textId="77777777" w:rsidR="00A052DC" w:rsidRDefault="009F0A60">
            <w:pPr>
              <w:rPr>
                <w:rFonts w:ascii="黑体" w:eastAsia="黑体" w:hAnsi="黑体"/>
                <w:sz w:val="20"/>
                <w:szCs w:val="20"/>
              </w:rPr>
            </w:pPr>
            <w:r>
              <w:rPr>
                <w:rFonts w:ascii="黑体" w:eastAsia="黑体" w:hAnsi="黑体" w:hint="eastAsia"/>
                <w:sz w:val="20"/>
                <w:szCs w:val="20"/>
              </w:rPr>
              <w:t>CREDITORTYPE</w:t>
            </w:r>
          </w:p>
        </w:tc>
        <w:tc>
          <w:tcPr>
            <w:tcW w:w="1701" w:type="dxa"/>
          </w:tcPr>
          <w:p w14:paraId="222F8024" w14:textId="77777777" w:rsidR="00A052DC" w:rsidRDefault="009F0A60">
            <w:pPr>
              <w:rPr>
                <w:rFonts w:ascii="黑体" w:eastAsia="黑体" w:hAnsi="黑体"/>
                <w:sz w:val="20"/>
                <w:szCs w:val="20"/>
              </w:rPr>
            </w:pPr>
            <w:r>
              <w:rPr>
                <w:rFonts w:ascii="黑体" w:eastAsia="黑体" w:hAnsi="黑体" w:hint="eastAsia"/>
                <w:sz w:val="20"/>
                <w:szCs w:val="20"/>
              </w:rPr>
              <w:t>债权人类型代码</w:t>
            </w:r>
          </w:p>
        </w:tc>
        <w:tc>
          <w:tcPr>
            <w:tcW w:w="1276" w:type="dxa"/>
          </w:tcPr>
          <w:p w14:paraId="13539EA0" w14:textId="77777777" w:rsidR="00A052DC" w:rsidRDefault="009F0A60">
            <w:pPr>
              <w:rPr>
                <w:rFonts w:ascii="黑体" w:eastAsia="黑体" w:hAnsi="黑体"/>
                <w:sz w:val="20"/>
                <w:szCs w:val="20"/>
              </w:rPr>
            </w:pPr>
            <w:r>
              <w:rPr>
                <w:rFonts w:ascii="黑体" w:eastAsia="黑体" w:hAnsi="黑体" w:hint="eastAsia"/>
                <w:sz w:val="20"/>
                <w:szCs w:val="20"/>
              </w:rPr>
              <w:t>字符型，8</w:t>
            </w:r>
          </w:p>
        </w:tc>
        <w:tc>
          <w:tcPr>
            <w:tcW w:w="3827" w:type="dxa"/>
          </w:tcPr>
          <w:p w14:paraId="09F926C9" w14:textId="77777777" w:rsidR="00A052DC" w:rsidRDefault="009F0A60">
            <w:pPr>
              <w:rPr>
                <w:rFonts w:ascii="黑体" w:eastAsia="黑体" w:hAnsi="黑体"/>
                <w:sz w:val="20"/>
                <w:szCs w:val="20"/>
              </w:rPr>
            </w:pPr>
            <w:r>
              <w:rPr>
                <w:rFonts w:ascii="黑体" w:eastAsia="黑体" w:hAnsi="黑体" w:hint="eastAsia"/>
                <w:sz w:val="20"/>
                <w:szCs w:val="20"/>
              </w:rPr>
              <w:t>必填项，见境外主体类型代码表。</w:t>
            </w:r>
          </w:p>
        </w:tc>
      </w:tr>
      <w:tr w:rsidR="00A052DC" w14:paraId="00D539D4" w14:textId="77777777">
        <w:tc>
          <w:tcPr>
            <w:tcW w:w="1843" w:type="dxa"/>
          </w:tcPr>
          <w:p w14:paraId="762D86CB" w14:textId="77777777" w:rsidR="00A052DC" w:rsidRDefault="009F0A60">
            <w:pPr>
              <w:rPr>
                <w:rFonts w:ascii="黑体" w:eastAsia="黑体" w:hAnsi="黑体"/>
                <w:sz w:val="20"/>
                <w:szCs w:val="20"/>
              </w:rPr>
            </w:pPr>
            <w:r>
              <w:rPr>
                <w:rFonts w:ascii="黑体" w:eastAsia="黑体" w:hAnsi="黑体" w:hint="eastAsia"/>
                <w:sz w:val="20"/>
                <w:szCs w:val="20"/>
              </w:rPr>
              <w:t>CREHQCODE</w:t>
            </w:r>
          </w:p>
        </w:tc>
        <w:tc>
          <w:tcPr>
            <w:tcW w:w="1701" w:type="dxa"/>
          </w:tcPr>
          <w:p w14:paraId="4B992184" w14:textId="77777777" w:rsidR="00A052DC" w:rsidRDefault="009F0A60">
            <w:pPr>
              <w:rPr>
                <w:rFonts w:ascii="黑体" w:eastAsia="黑体" w:hAnsi="黑体"/>
                <w:sz w:val="20"/>
                <w:szCs w:val="20"/>
              </w:rPr>
            </w:pPr>
            <w:r>
              <w:rPr>
                <w:rFonts w:ascii="黑体" w:eastAsia="黑体" w:hAnsi="黑体" w:hint="eastAsia"/>
                <w:sz w:val="20"/>
                <w:szCs w:val="20"/>
              </w:rPr>
              <w:t>债权人总部所在国家（地区）代码</w:t>
            </w:r>
          </w:p>
        </w:tc>
        <w:tc>
          <w:tcPr>
            <w:tcW w:w="1276" w:type="dxa"/>
          </w:tcPr>
          <w:p w14:paraId="4CA7A3E3" w14:textId="77777777" w:rsidR="00A052DC" w:rsidRDefault="009F0A60">
            <w:pPr>
              <w:rPr>
                <w:rFonts w:ascii="黑体" w:eastAsia="黑体" w:hAnsi="黑体"/>
                <w:sz w:val="20"/>
                <w:szCs w:val="20"/>
              </w:rPr>
            </w:pPr>
            <w:r>
              <w:rPr>
                <w:rFonts w:ascii="黑体" w:eastAsia="黑体" w:hAnsi="黑体" w:hint="eastAsia"/>
                <w:sz w:val="20"/>
                <w:szCs w:val="20"/>
              </w:rPr>
              <w:t>字符型，3</w:t>
            </w:r>
          </w:p>
        </w:tc>
        <w:tc>
          <w:tcPr>
            <w:tcW w:w="3827" w:type="dxa"/>
          </w:tcPr>
          <w:p w14:paraId="56471A9F" w14:textId="77777777" w:rsidR="00A052DC" w:rsidRDefault="009F0A60">
            <w:pPr>
              <w:rPr>
                <w:rFonts w:ascii="黑体" w:eastAsia="黑体" w:hAnsi="黑体"/>
                <w:sz w:val="20"/>
                <w:szCs w:val="20"/>
              </w:rPr>
            </w:pPr>
            <w:r>
              <w:rPr>
                <w:rFonts w:ascii="黑体" w:eastAsia="黑体" w:hAnsi="黑体" w:hint="eastAsia"/>
                <w:sz w:val="20"/>
                <w:szCs w:val="20"/>
              </w:rPr>
              <w:t>必填项，见国家和地区代码表。</w:t>
            </w:r>
          </w:p>
        </w:tc>
      </w:tr>
      <w:tr w:rsidR="00A052DC" w14:paraId="5593460C" w14:textId="77777777">
        <w:tc>
          <w:tcPr>
            <w:tcW w:w="1843" w:type="dxa"/>
          </w:tcPr>
          <w:p w14:paraId="0F183B5B" w14:textId="77777777" w:rsidR="00A052DC" w:rsidRDefault="009F0A60">
            <w:pPr>
              <w:rPr>
                <w:rFonts w:ascii="黑体" w:eastAsia="黑体" w:hAnsi="黑体"/>
                <w:sz w:val="20"/>
                <w:szCs w:val="20"/>
              </w:rPr>
            </w:pPr>
            <w:r>
              <w:rPr>
                <w:rFonts w:ascii="黑体" w:eastAsia="黑体" w:hAnsi="黑体" w:hint="eastAsia"/>
                <w:sz w:val="20"/>
                <w:szCs w:val="20"/>
              </w:rPr>
              <w:t>OPERCODE</w:t>
            </w:r>
          </w:p>
        </w:tc>
        <w:tc>
          <w:tcPr>
            <w:tcW w:w="1701" w:type="dxa"/>
          </w:tcPr>
          <w:p w14:paraId="2FA9D486" w14:textId="77777777" w:rsidR="00A052DC" w:rsidRDefault="009F0A60">
            <w:pPr>
              <w:rPr>
                <w:rFonts w:ascii="黑体" w:eastAsia="黑体" w:hAnsi="黑体"/>
                <w:sz w:val="20"/>
                <w:szCs w:val="20"/>
              </w:rPr>
            </w:pPr>
            <w:r>
              <w:rPr>
                <w:rFonts w:ascii="黑体" w:eastAsia="黑体" w:hAnsi="黑体" w:hint="eastAsia"/>
                <w:sz w:val="20"/>
                <w:szCs w:val="20"/>
              </w:rPr>
              <w:t>债权人经营地所在国家（地区）代码</w:t>
            </w:r>
          </w:p>
        </w:tc>
        <w:tc>
          <w:tcPr>
            <w:tcW w:w="1276" w:type="dxa"/>
          </w:tcPr>
          <w:p w14:paraId="214ADC14" w14:textId="77777777" w:rsidR="00A052DC" w:rsidRDefault="009F0A60">
            <w:pPr>
              <w:rPr>
                <w:rFonts w:ascii="黑体" w:eastAsia="黑体" w:hAnsi="黑体"/>
                <w:sz w:val="20"/>
                <w:szCs w:val="20"/>
              </w:rPr>
            </w:pPr>
            <w:r>
              <w:rPr>
                <w:rFonts w:ascii="黑体" w:eastAsia="黑体" w:hAnsi="黑体" w:hint="eastAsia"/>
                <w:sz w:val="20"/>
                <w:szCs w:val="20"/>
              </w:rPr>
              <w:t>字符型，3</w:t>
            </w:r>
          </w:p>
        </w:tc>
        <w:tc>
          <w:tcPr>
            <w:tcW w:w="3827" w:type="dxa"/>
          </w:tcPr>
          <w:p w14:paraId="4FE9C0B8" w14:textId="77777777" w:rsidR="00A052DC" w:rsidRDefault="009F0A60">
            <w:pPr>
              <w:rPr>
                <w:rFonts w:ascii="黑体" w:eastAsia="黑体" w:hAnsi="黑体"/>
                <w:sz w:val="20"/>
                <w:szCs w:val="20"/>
              </w:rPr>
            </w:pPr>
            <w:r>
              <w:rPr>
                <w:rFonts w:ascii="黑体" w:eastAsia="黑体" w:hAnsi="黑体" w:hint="eastAsia"/>
                <w:sz w:val="20"/>
                <w:szCs w:val="20"/>
              </w:rPr>
              <w:t>必填项，见国家和地区代码表。当债权人类型代码不为“境内银行离岸部（20001403）”时,不能为中国CHN。</w:t>
            </w:r>
          </w:p>
        </w:tc>
      </w:tr>
      <w:tr w:rsidR="00A052DC" w14:paraId="3145E32A" w14:textId="77777777">
        <w:tc>
          <w:tcPr>
            <w:tcW w:w="1843" w:type="dxa"/>
          </w:tcPr>
          <w:p w14:paraId="0DF30B6F" w14:textId="77777777" w:rsidR="00A052DC" w:rsidRDefault="009F0A60">
            <w:pPr>
              <w:rPr>
                <w:rFonts w:ascii="黑体" w:eastAsia="黑体" w:hAnsi="黑体"/>
                <w:sz w:val="20"/>
                <w:szCs w:val="20"/>
              </w:rPr>
            </w:pPr>
            <w:r>
              <w:rPr>
                <w:rFonts w:ascii="黑体" w:eastAsia="黑体" w:hAnsi="黑体" w:hint="eastAsia"/>
                <w:sz w:val="20"/>
                <w:szCs w:val="20"/>
              </w:rPr>
              <w:t>INPRTERM</w:t>
            </w:r>
          </w:p>
        </w:tc>
        <w:tc>
          <w:tcPr>
            <w:tcW w:w="1701" w:type="dxa"/>
          </w:tcPr>
          <w:p w14:paraId="400A6955" w14:textId="77777777" w:rsidR="00A052DC" w:rsidRDefault="009F0A60">
            <w:pPr>
              <w:rPr>
                <w:rFonts w:ascii="黑体" w:eastAsia="黑体" w:hAnsi="黑体"/>
                <w:sz w:val="20"/>
                <w:szCs w:val="20"/>
              </w:rPr>
            </w:pPr>
            <w:r>
              <w:rPr>
                <w:rFonts w:ascii="黑体" w:eastAsia="黑体" w:hAnsi="黑体" w:hint="eastAsia"/>
                <w:sz w:val="20"/>
                <w:szCs w:val="20"/>
              </w:rPr>
              <w:t>是否有利息本金化条款</w:t>
            </w:r>
          </w:p>
        </w:tc>
        <w:tc>
          <w:tcPr>
            <w:tcW w:w="1276" w:type="dxa"/>
          </w:tcPr>
          <w:p w14:paraId="6A77AAB5" w14:textId="77777777" w:rsidR="00A052DC" w:rsidRDefault="009F0A60">
            <w:pPr>
              <w:rPr>
                <w:rFonts w:ascii="黑体" w:eastAsia="黑体" w:hAnsi="黑体"/>
                <w:sz w:val="20"/>
                <w:szCs w:val="20"/>
              </w:rPr>
            </w:pPr>
            <w:r>
              <w:rPr>
                <w:rFonts w:ascii="黑体" w:eastAsia="黑体" w:hAnsi="黑体" w:hint="eastAsia"/>
                <w:sz w:val="20"/>
                <w:szCs w:val="20"/>
              </w:rPr>
              <w:t>字符型，1</w:t>
            </w:r>
          </w:p>
        </w:tc>
        <w:tc>
          <w:tcPr>
            <w:tcW w:w="3827" w:type="dxa"/>
          </w:tcPr>
          <w:p w14:paraId="0BDCD0E0" w14:textId="77777777" w:rsidR="00A052DC" w:rsidRDefault="009F0A60">
            <w:pPr>
              <w:rPr>
                <w:rFonts w:ascii="黑体" w:eastAsia="黑体" w:hAnsi="黑体"/>
                <w:sz w:val="20"/>
                <w:szCs w:val="20"/>
              </w:rPr>
            </w:pPr>
            <w:r>
              <w:rPr>
                <w:rFonts w:ascii="黑体" w:eastAsia="黑体" w:hAnsi="黑体" w:hint="eastAsia"/>
                <w:sz w:val="20"/>
                <w:szCs w:val="20"/>
              </w:rPr>
              <w:t>必填项，是-Y，否-N，默认为否，填写N。</w:t>
            </w:r>
          </w:p>
        </w:tc>
      </w:tr>
      <w:tr w:rsidR="00A052DC" w14:paraId="4DCCE5E6" w14:textId="77777777">
        <w:tc>
          <w:tcPr>
            <w:tcW w:w="1843" w:type="dxa"/>
          </w:tcPr>
          <w:p w14:paraId="6128882A" w14:textId="77777777" w:rsidR="00A052DC" w:rsidRDefault="009F0A60">
            <w:pPr>
              <w:rPr>
                <w:rFonts w:ascii="黑体" w:eastAsia="黑体" w:hAnsi="黑体"/>
                <w:sz w:val="20"/>
                <w:szCs w:val="20"/>
              </w:rPr>
            </w:pPr>
            <w:r>
              <w:rPr>
                <w:rFonts w:ascii="黑体" w:eastAsia="黑体" w:hAnsi="黑体" w:hint="eastAsia"/>
                <w:sz w:val="20"/>
                <w:szCs w:val="20"/>
              </w:rPr>
              <w:t>SPAPFEBOINDEX</w:t>
            </w:r>
          </w:p>
        </w:tc>
        <w:tc>
          <w:tcPr>
            <w:tcW w:w="1701" w:type="dxa"/>
          </w:tcPr>
          <w:p w14:paraId="6AFC9F27" w14:textId="77777777" w:rsidR="00A052DC" w:rsidRDefault="009F0A60">
            <w:pPr>
              <w:rPr>
                <w:rFonts w:ascii="黑体" w:eastAsia="黑体" w:hAnsi="黑体"/>
                <w:sz w:val="20"/>
                <w:szCs w:val="20"/>
              </w:rPr>
            </w:pPr>
            <w:r>
              <w:rPr>
                <w:rFonts w:ascii="黑体" w:eastAsia="黑体" w:hAnsi="黑体" w:hint="eastAsia"/>
                <w:sz w:val="20"/>
                <w:szCs w:val="20"/>
              </w:rPr>
              <w:t>是否不纳入跨境融资风险加权余额计算</w:t>
            </w:r>
          </w:p>
        </w:tc>
        <w:tc>
          <w:tcPr>
            <w:tcW w:w="1276" w:type="dxa"/>
          </w:tcPr>
          <w:p w14:paraId="78728A95" w14:textId="77777777" w:rsidR="00A052DC" w:rsidRDefault="009F0A60">
            <w:pPr>
              <w:rPr>
                <w:rFonts w:ascii="黑体" w:eastAsia="黑体" w:hAnsi="黑体"/>
                <w:sz w:val="20"/>
                <w:szCs w:val="20"/>
              </w:rPr>
            </w:pPr>
            <w:r>
              <w:rPr>
                <w:rFonts w:ascii="黑体" w:eastAsia="黑体" w:hAnsi="黑体" w:hint="eastAsia"/>
                <w:sz w:val="20"/>
                <w:szCs w:val="20"/>
              </w:rPr>
              <w:t>字符型，1</w:t>
            </w:r>
          </w:p>
        </w:tc>
        <w:tc>
          <w:tcPr>
            <w:tcW w:w="3827" w:type="dxa"/>
          </w:tcPr>
          <w:p w14:paraId="5D3B7A3A" w14:textId="77777777" w:rsidR="00A052DC" w:rsidRDefault="009F0A60">
            <w:pPr>
              <w:rPr>
                <w:rFonts w:ascii="黑体" w:eastAsia="黑体" w:hAnsi="黑体"/>
                <w:sz w:val="20"/>
                <w:szCs w:val="20"/>
              </w:rPr>
            </w:pPr>
            <w:r>
              <w:rPr>
                <w:rFonts w:ascii="黑体" w:eastAsia="黑体" w:hAnsi="黑体" w:hint="eastAsia"/>
                <w:sz w:val="20"/>
                <w:szCs w:val="20"/>
              </w:rPr>
              <w:t>必填项，是-Y，否-N，默认为否，填写N。</w:t>
            </w:r>
          </w:p>
        </w:tc>
      </w:tr>
      <w:tr w:rsidR="00A052DC" w14:paraId="158CF190" w14:textId="77777777">
        <w:tc>
          <w:tcPr>
            <w:tcW w:w="1843" w:type="dxa"/>
          </w:tcPr>
          <w:p w14:paraId="489C98CC" w14:textId="77777777" w:rsidR="00A052DC" w:rsidRDefault="009F0A60">
            <w:pPr>
              <w:rPr>
                <w:rFonts w:ascii="黑体" w:eastAsia="黑体" w:hAnsi="黑体"/>
                <w:sz w:val="20"/>
                <w:szCs w:val="20"/>
              </w:rPr>
            </w:pPr>
            <w:r>
              <w:rPr>
                <w:rFonts w:ascii="黑体" w:eastAsia="黑体" w:hAnsi="黑体" w:hint="eastAsia"/>
                <w:sz w:val="20"/>
                <w:szCs w:val="20"/>
              </w:rPr>
              <w:t>RELATION</w:t>
            </w:r>
          </w:p>
        </w:tc>
        <w:tc>
          <w:tcPr>
            <w:tcW w:w="1701" w:type="dxa"/>
          </w:tcPr>
          <w:p w14:paraId="3A9EA7B2" w14:textId="77777777" w:rsidR="00A052DC" w:rsidRDefault="009F0A60">
            <w:pPr>
              <w:rPr>
                <w:rFonts w:ascii="黑体" w:eastAsia="黑体" w:hAnsi="黑体"/>
                <w:sz w:val="20"/>
                <w:szCs w:val="20"/>
              </w:rPr>
            </w:pPr>
            <w:r>
              <w:rPr>
                <w:rFonts w:ascii="黑体" w:eastAsia="黑体" w:hAnsi="黑体" w:hint="eastAsia"/>
                <w:sz w:val="20"/>
                <w:szCs w:val="20"/>
              </w:rPr>
              <w:t>对方与本机构的关系</w:t>
            </w:r>
          </w:p>
        </w:tc>
        <w:tc>
          <w:tcPr>
            <w:tcW w:w="1276" w:type="dxa"/>
          </w:tcPr>
          <w:p w14:paraId="73942C7B" w14:textId="77777777" w:rsidR="00A052DC" w:rsidRDefault="009F0A60">
            <w:pPr>
              <w:rPr>
                <w:rFonts w:ascii="黑体" w:eastAsia="黑体" w:hAnsi="黑体"/>
                <w:sz w:val="20"/>
                <w:szCs w:val="20"/>
              </w:rPr>
            </w:pPr>
            <w:r>
              <w:rPr>
                <w:rFonts w:ascii="黑体" w:eastAsia="黑体" w:hAnsi="黑体" w:hint="eastAsia"/>
                <w:sz w:val="20"/>
                <w:szCs w:val="20"/>
              </w:rPr>
              <w:t>字符型，2</w:t>
            </w:r>
          </w:p>
        </w:tc>
        <w:tc>
          <w:tcPr>
            <w:tcW w:w="3827" w:type="dxa"/>
          </w:tcPr>
          <w:p w14:paraId="167B5C34" w14:textId="77777777" w:rsidR="00A052DC" w:rsidRDefault="009F0A60">
            <w:pPr>
              <w:rPr>
                <w:rFonts w:ascii="黑体" w:eastAsia="黑体" w:hAnsi="黑体"/>
                <w:sz w:val="20"/>
                <w:szCs w:val="20"/>
              </w:rPr>
            </w:pPr>
            <w:r>
              <w:rPr>
                <w:rFonts w:ascii="黑体" w:eastAsia="黑体" w:hAnsi="黑体" w:hint="eastAsia"/>
                <w:sz w:val="20"/>
                <w:szCs w:val="20"/>
              </w:rPr>
              <w:t>必填项，见对方与本机构/被代理居民机构/委托人的关系代码表。</w:t>
            </w:r>
          </w:p>
        </w:tc>
      </w:tr>
      <w:tr w:rsidR="00A052DC" w14:paraId="1D2B0D0D" w14:textId="77777777">
        <w:tc>
          <w:tcPr>
            <w:tcW w:w="1843" w:type="dxa"/>
          </w:tcPr>
          <w:p w14:paraId="5B1BDD67" w14:textId="77777777" w:rsidR="00A052DC" w:rsidRDefault="009F0A60">
            <w:pPr>
              <w:rPr>
                <w:rFonts w:ascii="黑体" w:eastAsia="黑体" w:hAnsi="黑体"/>
                <w:sz w:val="20"/>
                <w:szCs w:val="20"/>
              </w:rPr>
            </w:pPr>
            <w:r>
              <w:rPr>
                <w:rFonts w:ascii="黑体" w:eastAsia="黑体" w:hAnsi="黑体" w:hint="eastAsia"/>
                <w:sz w:val="20"/>
                <w:szCs w:val="20"/>
              </w:rPr>
              <w:t>REMARK</w:t>
            </w:r>
          </w:p>
        </w:tc>
        <w:tc>
          <w:tcPr>
            <w:tcW w:w="1701" w:type="dxa"/>
          </w:tcPr>
          <w:p w14:paraId="5709AC2E" w14:textId="77777777" w:rsidR="00A052DC" w:rsidRDefault="009F0A60">
            <w:pPr>
              <w:rPr>
                <w:rFonts w:ascii="黑体" w:eastAsia="黑体" w:hAnsi="黑体"/>
                <w:sz w:val="20"/>
                <w:szCs w:val="20"/>
              </w:rPr>
            </w:pPr>
            <w:r>
              <w:rPr>
                <w:rFonts w:ascii="黑体" w:eastAsia="黑体" w:hAnsi="黑体" w:hint="eastAsia"/>
                <w:sz w:val="20"/>
                <w:szCs w:val="20"/>
              </w:rPr>
              <w:t>备注</w:t>
            </w:r>
          </w:p>
        </w:tc>
        <w:tc>
          <w:tcPr>
            <w:tcW w:w="1276" w:type="dxa"/>
          </w:tcPr>
          <w:p w14:paraId="291F52E7" w14:textId="77777777" w:rsidR="00A052DC" w:rsidRDefault="009F0A60">
            <w:pPr>
              <w:rPr>
                <w:rFonts w:ascii="黑体" w:eastAsia="黑体" w:hAnsi="黑体"/>
                <w:sz w:val="20"/>
                <w:szCs w:val="20"/>
              </w:rPr>
            </w:pPr>
            <w:r>
              <w:rPr>
                <w:rFonts w:ascii="黑体" w:eastAsia="黑体" w:hAnsi="黑体" w:hint="eastAsia"/>
                <w:sz w:val="20"/>
                <w:szCs w:val="20"/>
              </w:rPr>
              <w:t>字符型，256</w:t>
            </w:r>
          </w:p>
        </w:tc>
        <w:tc>
          <w:tcPr>
            <w:tcW w:w="3827" w:type="dxa"/>
          </w:tcPr>
          <w:p w14:paraId="31BC3ADD" w14:textId="77777777" w:rsidR="00A052DC" w:rsidRDefault="009F0A60">
            <w:pPr>
              <w:rPr>
                <w:rFonts w:ascii="黑体" w:eastAsia="黑体" w:hAnsi="黑体"/>
                <w:sz w:val="20"/>
                <w:szCs w:val="20"/>
              </w:rPr>
            </w:pPr>
            <w:r>
              <w:rPr>
                <w:rFonts w:ascii="黑体" w:eastAsia="黑体" w:hAnsi="黑体" w:hint="eastAsia"/>
                <w:sz w:val="20"/>
                <w:szCs w:val="20"/>
              </w:rPr>
              <w:t>非必填项。</w:t>
            </w:r>
          </w:p>
        </w:tc>
      </w:tr>
    </w:tbl>
    <w:p w14:paraId="17A05A42" w14:textId="77777777" w:rsidR="00A052DC" w:rsidRDefault="00A052DC">
      <w:pPr>
        <w:ind w:firstLine="480"/>
      </w:pPr>
    </w:p>
    <w:p w14:paraId="7DB341BB" w14:textId="77777777" w:rsidR="00A052DC" w:rsidRDefault="009F0A60" w:rsidP="0020251D">
      <w:pPr>
        <w:pStyle w:val="3"/>
        <w:ind w:left="0"/>
        <w:rPr>
          <w:rFonts w:ascii="Times New Roman" w:hAnsi="Times New Roman"/>
        </w:rPr>
      </w:pPr>
      <w:bookmarkStart w:id="1577" w:name="_Toc328635497"/>
      <w:bookmarkStart w:id="1578" w:name="_Toc91455290"/>
      <w:bookmarkStart w:id="1579" w:name="_Toc454386936"/>
      <w:bookmarkStart w:id="1580" w:name="_Toc380356261"/>
      <w:bookmarkStart w:id="1581" w:name="_Toc101684463"/>
      <w:r>
        <w:rPr>
          <w:rFonts w:ascii="Times New Roman" w:hAnsi="Times New Roman" w:hint="eastAsia"/>
        </w:rPr>
        <w:t>外债变动信息</w:t>
      </w:r>
      <w:bookmarkEnd w:id="1577"/>
      <w:bookmarkEnd w:id="1578"/>
      <w:bookmarkEnd w:id="1579"/>
      <w:bookmarkEnd w:id="1580"/>
      <w:bookmarkEnd w:id="1581"/>
    </w:p>
    <w:p w14:paraId="60EDA622" w14:textId="77777777" w:rsidR="00A052DC" w:rsidRDefault="009F0A60">
      <w:pPr>
        <w:spacing w:line="360" w:lineRule="auto"/>
        <w:ind w:firstLineChars="200" w:firstLine="480"/>
        <w:rPr>
          <w:rFonts w:ascii="Times New Roman"/>
          <w:kern w:val="0"/>
          <w:sz w:val="24"/>
          <w:szCs w:val="20"/>
        </w:rPr>
      </w:pPr>
      <w:r>
        <w:rPr>
          <w:rFonts w:ascii="Times New Roman" w:hint="eastAsia"/>
          <w:kern w:val="0"/>
          <w:sz w:val="24"/>
          <w:szCs w:val="20"/>
        </w:rPr>
        <w:t>外债的变动是指银行借入外债的提款、还本、付息、付费、付罚金、减免本金、减免利息等。变动信息的存在以签约信息的存在为前提。境外同业存款、境外联行及附属机构往来、非居民机构存款、非居民个人存款等四类外债不报送变动信息。</w:t>
      </w:r>
    </w:p>
    <w:p w14:paraId="180B424B" w14:textId="77777777" w:rsidR="00A052DC" w:rsidRDefault="009F0A60" w:rsidP="0020251D">
      <w:pPr>
        <w:pStyle w:val="4"/>
        <w:numPr>
          <w:ilvl w:val="3"/>
          <w:numId w:val="1"/>
        </w:numPr>
        <w:jc w:val="left"/>
      </w:pPr>
      <w:bookmarkStart w:id="1582" w:name="_Toc454386937"/>
      <w:bookmarkStart w:id="1583" w:name="_Toc328635498"/>
      <w:r>
        <w:rPr>
          <w:rFonts w:hint="eastAsia"/>
        </w:rPr>
        <w:t>数据术语解释</w:t>
      </w:r>
      <w:bookmarkEnd w:id="1582"/>
      <w:bookmarkEnd w:id="1583"/>
    </w:p>
    <w:tbl>
      <w:tblPr>
        <w:tblW w:w="84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26"/>
        <w:gridCol w:w="6946"/>
      </w:tblGrid>
      <w:tr w:rsidR="00A052DC" w14:paraId="29478A3D" w14:textId="77777777">
        <w:tc>
          <w:tcPr>
            <w:tcW w:w="1526" w:type="dxa"/>
          </w:tcPr>
          <w:p w14:paraId="02FAE5DB" w14:textId="77777777" w:rsidR="00A052DC" w:rsidRDefault="009F0A60">
            <w:pPr>
              <w:pStyle w:val="B1"/>
              <w:rPr>
                <w:u w:val="single"/>
              </w:rPr>
            </w:pPr>
            <w:r>
              <w:rPr>
                <w:rFonts w:hint="eastAsia"/>
              </w:rPr>
              <w:t>基础数据项</w:t>
            </w:r>
          </w:p>
        </w:tc>
        <w:tc>
          <w:tcPr>
            <w:tcW w:w="6946" w:type="dxa"/>
          </w:tcPr>
          <w:p w14:paraId="6E50B548" w14:textId="77777777" w:rsidR="00A052DC" w:rsidRDefault="009F0A60">
            <w:pPr>
              <w:pStyle w:val="B1"/>
            </w:pPr>
            <w:r>
              <w:rPr>
                <w:rFonts w:hint="eastAsia"/>
              </w:rPr>
              <w:t>定义</w:t>
            </w:r>
          </w:p>
        </w:tc>
      </w:tr>
      <w:tr w:rsidR="00A052DC" w14:paraId="318587AE" w14:textId="77777777">
        <w:trPr>
          <w:cantSplit/>
        </w:trPr>
        <w:tc>
          <w:tcPr>
            <w:tcW w:w="1526" w:type="dxa"/>
          </w:tcPr>
          <w:p w14:paraId="388F131D" w14:textId="77777777" w:rsidR="00A052DC" w:rsidRDefault="009F0A60">
            <w:pPr>
              <w:pStyle w:val="B"/>
              <w:rPr>
                <w:szCs w:val="20"/>
              </w:rPr>
            </w:pPr>
            <w:r>
              <w:rPr>
                <w:rFonts w:hint="eastAsia"/>
                <w:szCs w:val="20"/>
              </w:rPr>
              <w:t>外债编号</w:t>
            </w:r>
          </w:p>
        </w:tc>
        <w:tc>
          <w:tcPr>
            <w:tcW w:w="6946" w:type="dxa"/>
          </w:tcPr>
          <w:p w14:paraId="63DD07EA" w14:textId="77777777" w:rsidR="00A052DC" w:rsidRDefault="009F0A60">
            <w:pPr>
              <w:pStyle w:val="B"/>
              <w:rPr>
                <w:szCs w:val="20"/>
              </w:rPr>
            </w:pPr>
            <w:r>
              <w:rPr>
                <w:rFonts w:hint="eastAsia"/>
                <w:szCs w:val="20"/>
              </w:rPr>
              <w:t>该笔变动信息对应的外债编号。变动信息不产生新的外债编号，变动信息中的外债编号必须为签约信息中已经报送的外债编号。</w:t>
            </w:r>
          </w:p>
        </w:tc>
      </w:tr>
      <w:tr w:rsidR="00A052DC" w14:paraId="70A7A118" w14:textId="77777777">
        <w:trPr>
          <w:cantSplit/>
        </w:trPr>
        <w:tc>
          <w:tcPr>
            <w:tcW w:w="1526" w:type="dxa"/>
          </w:tcPr>
          <w:p w14:paraId="6AB2F8B9" w14:textId="77777777" w:rsidR="00A052DC" w:rsidRDefault="009F0A60">
            <w:pPr>
              <w:pStyle w:val="B"/>
              <w:rPr>
                <w:szCs w:val="20"/>
              </w:rPr>
            </w:pPr>
            <w:r>
              <w:rPr>
                <w:rFonts w:hint="eastAsia"/>
                <w:szCs w:val="20"/>
              </w:rPr>
              <w:t>银行业务参号</w:t>
            </w:r>
          </w:p>
        </w:tc>
        <w:tc>
          <w:tcPr>
            <w:tcW w:w="6946" w:type="dxa"/>
          </w:tcPr>
          <w:p w14:paraId="6EFCBB3A" w14:textId="77777777" w:rsidR="00A052DC" w:rsidRDefault="009F0A60">
            <w:pPr>
              <w:pStyle w:val="B"/>
              <w:rPr>
                <w:szCs w:val="20"/>
              </w:rPr>
            </w:pPr>
            <w:r>
              <w:rPr>
                <w:rFonts w:hint="eastAsia"/>
                <w:szCs w:val="20"/>
              </w:rPr>
              <w:t>指该笔变动业务在银行的业务参号。</w:t>
            </w:r>
          </w:p>
        </w:tc>
      </w:tr>
      <w:tr w:rsidR="00A052DC" w14:paraId="613332D9" w14:textId="77777777">
        <w:trPr>
          <w:cantSplit/>
        </w:trPr>
        <w:tc>
          <w:tcPr>
            <w:tcW w:w="1526" w:type="dxa"/>
          </w:tcPr>
          <w:p w14:paraId="69DC0DD4" w14:textId="77777777" w:rsidR="00A052DC" w:rsidRDefault="009F0A60">
            <w:pPr>
              <w:pStyle w:val="B"/>
              <w:rPr>
                <w:szCs w:val="20"/>
              </w:rPr>
            </w:pPr>
            <w:r>
              <w:rPr>
                <w:rFonts w:hint="eastAsia"/>
                <w:szCs w:val="20"/>
              </w:rPr>
              <w:t>变动编号</w:t>
            </w:r>
          </w:p>
        </w:tc>
        <w:tc>
          <w:tcPr>
            <w:tcW w:w="6946" w:type="dxa"/>
          </w:tcPr>
          <w:p w14:paraId="3A0B5E73" w14:textId="77777777" w:rsidR="00A052DC" w:rsidRDefault="009F0A60">
            <w:pPr>
              <w:pStyle w:val="B"/>
              <w:rPr>
                <w:szCs w:val="20"/>
              </w:rPr>
            </w:pPr>
            <w:r>
              <w:rPr>
                <w:rFonts w:hint="eastAsia"/>
                <w:szCs w:val="20"/>
              </w:rPr>
              <w:t>外汇局制定编号规则，银行自行对同一笔债务下现汇提款、实物提款、利息本金化、还本、付息、付费、付罚金、减免本金、减免利息等外债变动信息逐笔编号，用于标识同一笔债务不同变动数据。变动编号规则为4位流水号，编号格式如0001。</w:t>
            </w:r>
          </w:p>
        </w:tc>
      </w:tr>
      <w:tr w:rsidR="00A052DC" w14:paraId="4C1A2DF6" w14:textId="77777777">
        <w:trPr>
          <w:cantSplit/>
          <w:trHeight w:val="59"/>
        </w:trPr>
        <w:tc>
          <w:tcPr>
            <w:tcW w:w="1526" w:type="dxa"/>
          </w:tcPr>
          <w:p w14:paraId="04329D35" w14:textId="77777777" w:rsidR="00A052DC" w:rsidRDefault="009F0A60">
            <w:pPr>
              <w:pStyle w:val="B"/>
              <w:rPr>
                <w:szCs w:val="20"/>
              </w:rPr>
            </w:pPr>
            <w:r>
              <w:rPr>
                <w:rFonts w:hint="eastAsia"/>
                <w:szCs w:val="20"/>
              </w:rPr>
              <w:t>变动类型</w:t>
            </w:r>
          </w:p>
        </w:tc>
        <w:tc>
          <w:tcPr>
            <w:tcW w:w="6946" w:type="dxa"/>
          </w:tcPr>
          <w:p w14:paraId="24C59CB9" w14:textId="77777777" w:rsidR="00A052DC" w:rsidRDefault="009F0A60">
            <w:pPr>
              <w:pStyle w:val="B"/>
              <w:rPr>
                <w:szCs w:val="20"/>
              </w:rPr>
            </w:pPr>
            <w:r>
              <w:rPr>
                <w:rFonts w:hint="eastAsia"/>
                <w:szCs w:val="20"/>
              </w:rPr>
              <w:t>包括提款、还本、付息、付费、付罚金等，见外债变动类型代码表。</w:t>
            </w:r>
          </w:p>
        </w:tc>
      </w:tr>
      <w:tr w:rsidR="00A052DC" w14:paraId="6ADE689A" w14:textId="77777777">
        <w:trPr>
          <w:cantSplit/>
          <w:trHeight w:val="59"/>
        </w:trPr>
        <w:tc>
          <w:tcPr>
            <w:tcW w:w="1526" w:type="dxa"/>
          </w:tcPr>
          <w:p w14:paraId="23621E85" w14:textId="77777777" w:rsidR="00A052DC" w:rsidRDefault="009F0A60">
            <w:pPr>
              <w:pStyle w:val="B"/>
              <w:rPr>
                <w:szCs w:val="20"/>
              </w:rPr>
            </w:pPr>
            <w:r>
              <w:rPr>
                <w:rFonts w:hint="eastAsia"/>
                <w:szCs w:val="20"/>
              </w:rPr>
              <w:t>变动日期</w:t>
            </w:r>
          </w:p>
        </w:tc>
        <w:tc>
          <w:tcPr>
            <w:tcW w:w="6946" w:type="dxa"/>
          </w:tcPr>
          <w:p w14:paraId="06399A3A" w14:textId="77777777" w:rsidR="00A052DC" w:rsidRDefault="009F0A60">
            <w:pPr>
              <w:pStyle w:val="B"/>
              <w:rPr>
                <w:szCs w:val="20"/>
              </w:rPr>
            </w:pPr>
            <w:r>
              <w:rPr>
                <w:rFonts w:hint="eastAsia"/>
                <w:szCs w:val="20"/>
              </w:rPr>
              <w:t>发生变动的日期。</w:t>
            </w:r>
          </w:p>
        </w:tc>
      </w:tr>
      <w:tr w:rsidR="00A052DC" w14:paraId="2060AD26" w14:textId="77777777">
        <w:trPr>
          <w:cantSplit/>
          <w:trHeight w:val="59"/>
        </w:trPr>
        <w:tc>
          <w:tcPr>
            <w:tcW w:w="1526" w:type="dxa"/>
          </w:tcPr>
          <w:p w14:paraId="715FCB5C" w14:textId="77777777" w:rsidR="00A052DC" w:rsidRDefault="009F0A60">
            <w:pPr>
              <w:pStyle w:val="B"/>
              <w:rPr>
                <w:szCs w:val="20"/>
              </w:rPr>
            </w:pPr>
            <w:r>
              <w:rPr>
                <w:rFonts w:hint="eastAsia"/>
                <w:szCs w:val="20"/>
              </w:rPr>
              <w:t>变动币种</w:t>
            </w:r>
          </w:p>
        </w:tc>
        <w:tc>
          <w:tcPr>
            <w:tcW w:w="6946" w:type="dxa"/>
            <w:vAlign w:val="center"/>
          </w:tcPr>
          <w:p w14:paraId="03098C86" w14:textId="77777777" w:rsidR="00A052DC" w:rsidRDefault="009F0A60">
            <w:pPr>
              <w:pStyle w:val="B"/>
              <w:rPr>
                <w:szCs w:val="20"/>
              </w:rPr>
            </w:pPr>
            <w:r>
              <w:rPr>
                <w:rFonts w:hint="eastAsia"/>
                <w:szCs w:val="20"/>
              </w:rPr>
              <w:t>业务变动币种。</w:t>
            </w:r>
          </w:p>
        </w:tc>
      </w:tr>
      <w:tr w:rsidR="00A052DC" w14:paraId="347FC103" w14:textId="77777777">
        <w:trPr>
          <w:cantSplit/>
          <w:trHeight w:val="59"/>
        </w:trPr>
        <w:tc>
          <w:tcPr>
            <w:tcW w:w="1526" w:type="dxa"/>
          </w:tcPr>
          <w:p w14:paraId="37DF54B0" w14:textId="77777777" w:rsidR="00A052DC" w:rsidRDefault="009F0A60">
            <w:pPr>
              <w:pStyle w:val="B"/>
              <w:rPr>
                <w:szCs w:val="20"/>
              </w:rPr>
            </w:pPr>
            <w:r>
              <w:rPr>
                <w:rFonts w:hint="eastAsia"/>
                <w:szCs w:val="20"/>
              </w:rPr>
              <w:t>变动金额</w:t>
            </w:r>
          </w:p>
        </w:tc>
        <w:tc>
          <w:tcPr>
            <w:tcW w:w="6946" w:type="dxa"/>
          </w:tcPr>
          <w:p w14:paraId="0DC0B22B" w14:textId="77777777" w:rsidR="00A052DC" w:rsidRDefault="009F0A60">
            <w:pPr>
              <w:pStyle w:val="B"/>
              <w:rPr>
                <w:szCs w:val="20"/>
              </w:rPr>
            </w:pPr>
            <w:r>
              <w:rPr>
                <w:rFonts w:hint="eastAsia"/>
                <w:szCs w:val="20"/>
              </w:rPr>
              <w:t>业务变动金额。</w:t>
            </w:r>
          </w:p>
        </w:tc>
      </w:tr>
      <w:tr w:rsidR="00A052DC" w14:paraId="2807E8F8" w14:textId="77777777">
        <w:trPr>
          <w:cantSplit/>
        </w:trPr>
        <w:tc>
          <w:tcPr>
            <w:tcW w:w="1526" w:type="dxa"/>
          </w:tcPr>
          <w:p w14:paraId="241C5C12" w14:textId="77777777" w:rsidR="00A052DC" w:rsidRDefault="009F0A60">
            <w:pPr>
              <w:pStyle w:val="B"/>
              <w:rPr>
                <w:szCs w:val="20"/>
              </w:rPr>
            </w:pPr>
            <w:r>
              <w:rPr>
                <w:rFonts w:hint="eastAsia"/>
                <w:szCs w:val="20"/>
              </w:rPr>
              <w:t>公允价值</w:t>
            </w:r>
          </w:p>
        </w:tc>
        <w:tc>
          <w:tcPr>
            <w:tcW w:w="6946" w:type="dxa"/>
          </w:tcPr>
          <w:p w14:paraId="6F04D90E" w14:textId="77777777" w:rsidR="00A052DC" w:rsidRDefault="009F0A60">
            <w:pPr>
              <w:pStyle w:val="B"/>
              <w:rPr>
                <w:szCs w:val="20"/>
              </w:rPr>
            </w:pPr>
            <w:r>
              <w:rPr>
                <w:rFonts w:hint="eastAsia"/>
                <w:szCs w:val="20"/>
              </w:rPr>
              <w:t>对于银行发行的债券和票据、货币市场工具，应每月末导入该笔债券和票据、货币市场工具在最后一个工作日的公允价值。</w:t>
            </w:r>
          </w:p>
        </w:tc>
      </w:tr>
      <w:tr w:rsidR="00A052DC" w14:paraId="455274A6" w14:textId="77777777">
        <w:trPr>
          <w:cantSplit/>
          <w:trHeight w:val="59"/>
        </w:trPr>
        <w:tc>
          <w:tcPr>
            <w:tcW w:w="1526" w:type="dxa"/>
            <w:tcBorders>
              <w:top w:val="single" w:sz="6" w:space="0" w:color="auto"/>
              <w:left w:val="single" w:sz="6" w:space="0" w:color="auto"/>
              <w:bottom w:val="single" w:sz="6" w:space="0" w:color="auto"/>
              <w:right w:val="single" w:sz="6" w:space="0" w:color="auto"/>
            </w:tcBorders>
          </w:tcPr>
          <w:p w14:paraId="528147BC" w14:textId="77777777" w:rsidR="00A052DC" w:rsidRDefault="009F0A60">
            <w:pPr>
              <w:pStyle w:val="B"/>
              <w:rPr>
                <w:szCs w:val="20"/>
              </w:rPr>
            </w:pPr>
            <w:r>
              <w:rPr>
                <w:rFonts w:hint="eastAsia"/>
                <w:szCs w:val="20"/>
              </w:rPr>
              <w:t>备注</w:t>
            </w:r>
          </w:p>
        </w:tc>
        <w:tc>
          <w:tcPr>
            <w:tcW w:w="6946" w:type="dxa"/>
            <w:tcBorders>
              <w:top w:val="single" w:sz="6" w:space="0" w:color="auto"/>
              <w:left w:val="single" w:sz="6" w:space="0" w:color="auto"/>
              <w:bottom w:val="single" w:sz="6" w:space="0" w:color="auto"/>
              <w:right w:val="single" w:sz="6" w:space="0" w:color="auto"/>
            </w:tcBorders>
          </w:tcPr>
          <w:p w14:paraId="44A9E8BD" w14:textId="77777777" w:rsidR="00A052DC" w:rsidRDefault="009F0A60">
            <w:pPr>
              <w:pStyle w:val="B"/>
              <w:rPr>
                <w:szCs w:val="20"/>
              </w:rPr>
            </w:pPr>
            <w:r>
              <w:rPr>
                <w:rFonts w:hint="eastAsia"/>
                <w:szCs w:val="20"/>
              </w:rPr>
              <w:t>需要说明的备注事项。</w:t>
            </w:r>
          </w:p>
        </w:tc>
      </w:tr>
    </w:tbl>
    <w:p w14:paraId="0751E3EB" w14:textId="77777777" w:rsidR="00A052DC" w:rsidRDefault="00A052DC">
      <w:pPr>
        <w:ind w:firstLine="480"/>
      </w:pPr>
    </w:p>
    <w:p w14:paraId="6BA15927" w14:textId="77777777" w:rsidR="00A052DC" w:rsidRDefault="009F0A60" w:rsidP="0020251D">
      <w:pPr>
        <w:pStyle w:val="4"/>
        <w:numPr>
          <w:ilvl w:val="3"/>
          <w:numId w:val="1"/>
        </w:numPr>
        <w:jc w:val="left"/>
      </w:pPr>
      <w:bookmarkStart w:id="1584" w:name="_Toc454386938"/>
      <w:bookmarkStart w:id="1585" w:name="_Toc328635499"/>
      <w:r>
        <w:rPr>
          <w:rFonts w:hint="eastAsia"/>
        </w:rPr>
        <w:t>数据格式</w:t>
      </w:r>
      <w:bookmarkEnd w:id="1584"/>
      <w:bookmarkEnd w:id="1585"/>
    </w:p>
    <w:p w14:paraId="27E62282" w14:textId="77777777" w:rsidR="00A052DC" w:rsidRDefault="009F0A60">
      <w:r>
        <w:t>&lt;REC&gt;</w:t>
      </w:r>
    </w:p>
    <w:p w14:paraId="42C69A16" w14:textId="77777777" w:rsidR="00A052DC" w:rsidRDefault="009F0A60">
      <w:r>
        <w:t>&lt;ACTIONTYPE&gt;</w:t>
      </w:r>
      <w:r>
        <w:rPr>
          <w:rFonts w:hint="eastAsia"/>
        </w:rPr>
        <w:t>操作类型</w:t>
      </w:r>
      <w:r>
        <w:t>&lt;/ACTIONTYPE&gt;</w:t>
      </w:r>
    </w:p>
    <w:p w14:paraId="5812150F" w14:textId="77777777" w:rsidR="00A052DC" w:rsidRDefault="009F0A60">
      <w:r>
        <w:t>&lt;ACTIONDESC&gt;</w:t>
      </w:r>
      <w:r>
        <w:rPr>
          <w:rFonts w:hint="eastAsia"/>
        </w:rPr>
        <w:t>删除原因</w:t>
      </w:r>
      <w:r>
        <w:t>&lt;/ACTIONDESC&gt;</w:t>
      </w:r>
    </w:p>
    <w:p w14:paraId="48BEBCD6" w14:textId="77777777" w:rsidR="00A052DC" w:rsidRDefault="009F0A60">
      <w:r>
        <w:t>&lt;EXDEBTCODE&gt;</w:t>
      </w:r>
      <w:r>
        <w:rPr>
          <w:rFonts w:hint="eastAsia"/>
        </w:rPr>
        <w:t>外债编号</w:t>
      </w:r>
      <w:r>
        <w:t>&lt;/EXDEBTCODE&gt;</w:t>
      </w:r>
    </w:p>
    <w:p w14:paraId="585F3628" w14:textId="77777777" w:rsidR="00A052DC" w:rsidRDefault="009F0A60">
      <w:r>
        <w:t>&lt;BUSCODE&gt;</w:t>
      </w:r>
      <w:r>
        <w:rPr>
          <w:rFonts w:hint="eastAsia"/>
        </w:rPr>
        <w:t>银行业务参号</w:t>
      </w:r>
      <w:r>
        <w:t>&lt;/BUSCODE&gt;</w:t>
      </w:r>
    </w:p>
    <w:p w14:paraId="57AD8342" w14:textId="77777777" w:rsidR="00A052DC" w:rsidRDefault="009F0A60">
      <w:r>
        <w:t>&lt;CHANGENO&gt;</w:t>
      </w:r>
      <w:r>
        <w:rPr>
          <w:rFonts w:hint="eastAsia"/>
        </w:rPr>
        <w:t>变动编号</w:t>
      </w:r>
      <w:r>
        <w:t>&lt;/CHANGENO&gt;</w:t>
      </w:r>
    </w:p>
    <w:p w14:paraId="369155F1" w14:textId="77777777" w:rsidR="00A052DC" w:rsidRDefault="009F0A60">
      <w:r>
        <w:t>&lt;CHANGTYPE&gt;</w:t>
      </w:r>
      <w:r>
        <w:rPr>
          <w:rFonts w:hint="eastAsia"/>
        </w:rPr>
        <w:t>变动类型</w:t>
      </w:r>
      <w:r>
        <w:t>&lt;/CHANGTYPE&gt;</w:t>
      </w:r>
    </w:p>
    <w:p w14:paraId="009AC5A9" w14:textId="77777777" w:rsidR="00A052DC" w:rsidRDefault="009F0A60">
      <w:r>
        <w:t>&lt;CHDATE&gt;</w:t>
      </w:r>
      <w:r>
        <w:rPr>
          <w:rFonts w:hint="eastAsia"/>
        </w:rPr>
        <w:t>变动日期</w:t>
      </w:r>
      <w:r>
        <w:t>&lt;/CHDATE&gt;</w:t>
      </w:r>
    </w:p>
    <w:p w14:paraId="4C9DA655" w14:textId="77777777" w:rsidR="00A052DC" w:rsidRDefault="009F0A60">
      <w:r>
        <w:t>&lt;CHCURRENCY&gt;</w:t>
      </w:r>
      <w:r>
        <w:rPr>
          <w:rFonts w:hint="eastAsia"/>
        </w:rPr>
        <w:t>变动币种</w:t>
      </w:r>
      <w:r>
        <w:t>&lt;/CHCURRENCY&gt;</w:t>
      </w:r>
    </w:p>
    <w:p w14:paraId="5702DEB9" w14:textId="77777777" w:rsidR="00A052DC" w:rsidRDefault="009F0A60">
      <w:r>
        <w:t>&lt;CHAMOUNT&gt;</w:t>
      </w:r>
      <w:r>
        <w:rPr>
          <w:rFonts w:hint="eastAsia"/>
        </w:rPr>
        <w:t>变动金额</w:t>
      </w:r>
      <w:r>
        <w:t>&lt;/CHAMOUNT&gt;</w:t>
      </w:r>
    </w:p>
    <w:p w14:paraId="24274E54" w14:textId="77777777" w:rsidR="00A052DC" w:rsidRDefault="009F0A60">
      <w:r>
        <w:t>&lt;Fairvalue&gt;</w:t>
      </w:r>
      <w:r>
        <w:rPr>
          <w:rFonts w:hint="eastAsia"/>
        </w:rPr>
        <w:t>公允价值</w:t>
      </w:r>
      <w:r>
        <w:t>&lt;/Fairvalue&gt;</w:t>
      </w:r>
    </w:p>
    <w:p w14:paraId="12F4AE4E" w14:textId="77777777" w:rsidR="00A052DC" w:rsidRDefault="009F0A60">
      <w:r>
        <w:t>&lt;REMARK&gt;</w:t>
      </w:r>
      <w:r>
        <w:rPr>
          <w:rFonts w:hint="eastAsia"/>
        </w:rPr>
        <w:t>备注</w:t>
      </w:r>
      <w:r>
        <w:t>&lt;/REMARK&gt;</w:t>
      </w:r>
    </w:p>
    <w:p w14:paraId="4FCFAC3E" w14:textId="77777777" w:rsidR="00A052DC" w:rsidRDefault="009F0A60">
      <w:r>
        <w:t>&lt;/REC&gt;</w:t>
      </w:r>
    </w:p>
    <w:p w14:paraId="6D0FB26B" w14:textId="77777777" w:rsidR="00A052DC" w:rsidRDefault="009F0A60" w:rsidP="0020251D">
      <w:pPr>
        <w:pStyle w:val="4"/>
        <w:numPr>
          <w:ilvl w:val="3"/>
          <w:numId w:val="1"/>
        </w:numPr>
        <w:jc w:val="left"/>
      </w:pPr>
      <w:bookmarkStart w:id="1586" w:name="_Toc328635500"/>
      <w:bookmarkStart w:id="1587" w:name="_Toc454386939"/>
      <w:r>
        <w:rPr>
          <w:rFonts w:hint="eastAsia"/>
        </w:rPr>
        <w:t>数据字典</w:t>
      </w:r>
      <w:bookmarkEnd w:id="1586"/>
      <w:bookmarkEnd w:id="158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417"/>
        <w:gridCol w:w="1559"/>
        <w:gridCol w:w="3828"/>
      </w:tblGrid>
      <w:tr w:rsidR="00A052DC" w14:paraId="165F03C3" w14:textId="77777777">
        <w:trPr>
          <w:tblHeader/>
        </w:trPr>
        <w:tc>
          <w:tcPr>
            <w:tcW w:w="1560" w:type="dxa"/>
            <w:shd w:val="clear" w:color="auto" w:fill="C0C0C0"/>
          </w:tcPr>
          <w:p w14:paraId="0E3CA24B" w14:textId="77777777" w:rsidR="00A052DC" w:rsidRDefault="009F0A60">
            <w:pPr>
              <w:pStyle w:val="B1"/>
            </w:pPr>
            <w:r>
              <w:rPr>
                <w:rFonts w:hint="eastAsia"/>
              </w:rPr>
              <w:t>字段</w:t>
            </w:r>
          </w:p>
        </w:tc>
        <w:tc>
          <w:tcPr>
            <w:tcW w:w="1417" w:type="dxa"/>
            <w:shd w:val="clear" w:color="auto" w:fill="C0C0C0"/>
          </w:tcPr>
          <w:p w14:paraId="472ACE9E" w14:textId="77777777" w:rsidR="00A052DC" w:rsidRDefault="009F0A60">
            <w:pPr>
              <w:pStyle w:val="B1"/>
            </w:pPr>
            <w:r>
              <w:rPr>
                <w:rFonts w:hint="eastAsia"/>
              </w:rPr>
              <w:t>内容</w:t>
            </w:r>
          </w:p>
        </w:tc>
        <w:tc>
          <w:tcPr>
            <w:tcW w:w="1559" w:type="dxa"/>
            <w:shd w:val="clear" w:color="auto" w:fill="C0C0C0"/>
          </w:tcPr>
          <w:p w14:paraId="50456627" w14:textId="77777777" w:rsidR="00A052DC" w:rsidRDefault="009F0A60">
            <w:pPr>
              <w:pStyle w:val="B1"/>
            </w:pPr>
            <w:r>
              <w:rPr>
                <w:rFonts w:hint="eastAsia"/>
              </w:rPr>
              <w:t>类型（长度）</w:t>
            </w:r>
          </w:p>
        </w:tc>
        <w:tc>
          <w:tcPr>
            <w:tcW w:w="3828" w:type="dxa"/>
            <w:shd w:val="clear" w:color="auto" w:fill="C0C0C0"/>
          </w:tcPr>
          <w:p w14:paraId="116CCF72" w14:textId="77777777" w:rsidR="00A052DC" w:rsidRDefault="009F0A60">
            <w:pPr>
              <w:pStyle w:val="B1"/>
            </w:pPr>
            <w:r>
              <w:rPr>
                <w:rFonts w:hint="eastAsia"/>
              </w:rPr>
              <w:t>校验</w:t>
            </w:r>
          </w:p>
        </w:tc>
      </w:tr>
      <w:tr w:rsidR="00A052DC" w14:paraId="50ADCF96" w14:textId="77777777">
        <w:tc>
          <w:tcPr>
            <w:tcW w:w="1560" w:type="dxa"/>
            <w:tcBorders>
              <w:top w:val="single" w:sz="4" w:space="0" w:color="auto"/>
              <w:left w:val="single" w:sz="4" w:space="0" w:color="auto"/>
              <w:bottom w:val="single" w:sz="4" w:space="0" w:color="auto"/>
              <w:right w:val="single" w:sz="4" w:space="0" w:color="auto"/>
            </w:tcBorders>
          </w:tcPr>
          <w:p w14:paraId="561FFDEB" w14:textId="77777777" w:rsidR="00A052DC" w:rsidRDefault="009F0A60">
            <w:pPr>
              <w:pStyle w:val="B"/>
              <w:rPr>
                <w:szCs w:val="20"/>
              </w:rPr>
            </w:pPr>
            <w:r>
              <w:rPr>
                <w:szCs w:val="20"/>
              </w:rPr>
              <w:t>ACTIONTYPE</w:t>
            </w:r>
          </w:p>
        </w:tc>
        <w:tc>
          <w:tcPr>
            <w:tcW w:w="1417" w:type="dxa"/>
            <w:tcBorders>
              <w:top w:val="single" w:sz="4" w:space="0" w:color="auto"/>
              <w:left w:val="single" w:sz="4" w:space="0" w:color="auto"/>
              <w:bottom w:val="single" w:sz="4" w:space="0" w:color="auto"/>
              <w:right w:val="single" w:sz="4" w:space="0" w:color="auto"/>
            </w:tcBorders>
          </w:tcPr>
          <w:p w14:paraId="245D1569" w14:textId="77777777" w:rsidR="00A052DC" w:rsidRDefault="009F0A60">
            <w:pPr>
              <w:pStyle w:val="B"/>
              <w:rPr>
                <w:szCs w:val="20"/>
              </w:rPr>
            </w:pPr>
            <w:r>
              <w:rPr>
                <w:rFonts w:hint="eastAsia"/>
                <w:szCs w:val="20"/>
              </w:rPr>
              <w:t>操作类型</w:t>
            </w:r>
          </w:p>
        </w:tc>
        <w:tc>
          <w:tcPr>
            <w:tcW w:w="1559" w:type="dxa"/>
            <w:tcBorders>
              <w:top w:val="single" w:sz="4" w:space="0" w:color="auto"/>
              <w:left w:val="single" w:sz="4" w:space="0" w:color="auto"/>
              <w:bottom w:val="single" w:sz="4" w:space="0" w:color="auto"/>
              <w:right w:val="single" w:sz="4" w:space="0" w:color="auto"/>
            </w:tcBorders>
          </w:tcPr>
          <w:p w14:paraId="220B2C59" w14:textId="77777777" w:rsidR="00A052DC" w:rsidRDefault="009F0A60">
            <w:pPr>
              <w:pStyle w:val="B"/>
              <w:rPr>
                <w:szCs w:val="20"/>
              </w:rPr>
            </w:pPr>
            <w:r>
              <w:rPr>
                <w:rFonts w:hint="eastAsia"/>
                <w:szCs w:val="20"/>
              </w:rPr>
              <w:t>字符型，</w:t>
            </w:r>
            <w:r>
              <w:rPr>
                <w:szCs w:val="20"/>
              </w:rPr>
              <w:t>1</w:t>
            </w:r>
          </w:p>
        </w:tc>
        <w:tc>
          <w:tcPr>
            <w:tcW w:w="3828" w:type="dxa"/>
            <w:tcBorders>
              <w:top w:val="single" w:sz="4" w:space="0" w:color="auto"/>
              <w:left w:val="single" w:sz="4" w:space="0" w:color="auto"/>
              <w:bottom w:val="single" w:sz="4" w:space="0" w:color="auto"/>
              <w:right w:val="single" w:sz="4" w:space="0" w:color="auto"/>
            </w:tcBorders>
          </w:tcPr>
          <w:p w14:paraId="21B10596" w14:textId="77777777" w:rsidR="00A052DC" w:rsidRDefault="009F0A60">
            <w:pPr>
              <w:pStyle w:val="B"/>
              <w:rPr>
                <w:szCs w:val="20"/>
              </w:rPr>
            </w:pPr>
            <w:r>
              <w:rPr>
                <w:rFonts w:hint="eastAsia"/>
                <w:szCs w:val="20"/>
              </w:rPr>
              <w:t>必填项</w:t>
            </w:r>
            <w:r w:rsidR="001D10D1">
              <w:rPr>
                <w:rFonts w:hint="eastAsia"/>
                <w:szCs w:val="20"/>
              </w:rPr>
              <w:t>。</w:t>
            </w:r>
          </w:p>
          <w:p w14:paraId="1F300843" w14:textId="77777777" w:rsidR="00A052DC" w:rsidRDefault="009F0A60">
            <w:pPr>
              <w:pStyle w:val="B"/>
              <w:rPr>
                <w:szCs w:val="20"/>
              </w:rPr>
            </w:pPr>
            <w:r>
              <w:rPr>
                <w:szCs w:val="20"/>
              </w:rPr>
              <w:t>A</w:t>
            </w:r>
            <w:r w:rsidR="00AE4602">
              <w:rPr>
                <w:rFonts w:hint="eastAsia"/>
                <w:szCs w:val="20"/>
              </w:rPr>
              <w:t>-</w:t>
            </w:r>
            <w:r>
              <w:rPr>
                <w:rFonts w:hint="eastAsia"/>
                <w:szCs w:val="20"/>
              </w:rPr>
              <w:t>新建</w:t>
            </w:r>
          </w:p>
          <w:p w14:paraId="10B9B1BB" w14:textId="77777777" w:rsidR="00A052DC" w:rsidRDefault="009F0A60">
            <w:pPr>
              <w:pStyle w:val="B"/>
              <w:rPr>
                <w:szCs w:val="20"/>
              </w:rPr>
            </w:pPr>
            <w:r>
              <w:rPr>
                <w:szCs w:val="20"/>
              </w:rPr>
              <w:t>C</w:t>
            </w:r>
            <w:r w:rsidR="00AE4602">
              <w:rPr>
                <w:rFonts w:hint="eastAsia"/>
                <w:szCs w:val="20"/>
              </w:rPr>
              <w:t>-</w:t>
            </w:r>
            <w:r>
              <w:rPr>
                <w:rFonts w:hint="eastAsia"/>
                <w:szCs w:val="20"/>
              </w:rPr>
              <w:t>修改</w:t>
            </w:r>
          </w:p>
          <w:p w14:paraId="3EE42009" w14:textId="77777777" w:rsidR="00A052DC" w:rsidRDefault="009F0A60">
            <w:pPr>
              <w:pStyle w:val="B"/>
              <w:rPr>
                <w:szCs w:val="20"/>
              </w:rPr>
            </w:pPr>
            <w:r>
              <w:rPr>
                <w:szCs w:val="20"/>
              </w:rPr>
              <w:t>D</w:t>
            </w:r>
            <w:r w:rsidR="00AE4602">
              <w:rPr>
                <w:rFonts w:hint="eastAsia"/>
                <w:szCs w:val="20"/>
              </w:rPr>
              <w:t>-</w:t>
            </w:r>
            <w:r>
              <w:rPr>
                <w:rFonts w:hint="eastAsia"/>
                <w:szCs w:val="20"/>
              </w:rPr>
              <w:t>删除</w:t>
            </w:r>
          </w:p>
        </w:tc>
      </w:tr>
      <w:tr w:rsidR="00A052DC" w14:paraId="0392AD54" w14:textId="77777777">
        <w:tc>
          <w:tcPr>
            <w:tcW w:w="1560" w:type="dxa"/>
            <w:tcBorders>
              <w:top w:val="single" w:sz="4" w:space="0" w:color="auto"/>
              <w:left w:val="single" w:sz="4" w:space="0" w:color="auto"/>
              <w:bottom w:val="single" w:sz="4" w:space="0" w:color="auto"/>
              <w:right w:val="single" w:sz="4" w:space="0" w:color="auto"/>
            </w:tcBorders>
          </w:tcPr>
          <w:p w14:paraId="370190EC" w14:textId="77777777" w:rsidR="00A052DC" w:rsidRDefault="009F0A60">
            <w:pPr>
              <w:pStyle w:val="B"/>
              <w:rPr>
                <w:szCs w:val="20"/>
              </w:rPr>
            </w:pPr>
            <w:r>
              <w:rPr>
                <w:szCs w:val="20"/>
              </w:rPr>
              <w:t>ACTIONDESC</w:t>
            </w:r>
          </w:p>
        </w:tc>
        <w:tc>
          <w:tcPr>
            <w:tcW w:w="1417" w:type="dxa"/>
            <w:tcBorders>
              <w:top w:val="single" w:sz="4" w:space="0" w:color="auto"/>
              <w:left w:val="single" w:sz="4" w:space="0" w:color="auto"/>
              <w:bottom w:val="single" w:sz="4" w:space="0" w:color="auto"/>
              <w:right w:val="single" w:sz="4" w:space="0" w:color="auto"/>
            </w:tcBorders>
          </w:tcPr>
          <w:p w14:paraId="522188FF" w14:textId="77777777" w:rsidR="00A052DC" w:rsidRDefault="009F0A60">
            <w:pPr>
              <w:pStyle w:val="B"/>
              <w:rPr>
                <w:szCs w:val="20"/>
              </w:rPr>
            </w:pPr>
            <w:r>
              <w:rPr>
                <w:rFonts w:hint="eastAsia"/>
                <w:szCs w:val="20"/>
              </w:rPr>
              <w:t>删除原因</w:t>
            </w:r>
          </w:p>
        </w:tc>
        <w:tc>
          <w:tcPr>
            <w:tcW w:w="1559" w:type="dxa"/>
            <w:tcBorders>
              <w:top w:val="single" w:sz="4" w:space="0" w:color="auto"/>
              <w:left w:val="single" w:sz="4" w:space="0" w:color="auto"/>
              <w:bottom w:val="single" w:sz="4" w:space="0" w:color="auto"/>
              <w:right w:val="single" w:sz="4" w:space="0" w:color="auto"/>
            </w:tcBorders>
          </w:tcPr>
          <w:p w14:paraId="6B91819D" w14:textId="77777777" w:rsidR="00A052DC" w:rsidRDefault="009F0A60">
            <w:pPr>
              <w:pStyle w:val="B1"/>
              <w:jc w:val="both"/>
              <w:rPr>
                <w:b w:val="0"/>
              </w:rPr>
            </w:pPr>
            <w:r>
              <w:rPr>
                <w:rFonts w:hint="eastAsia"/>
                <w:b w:val="0"/>
              </w:rPr>
              <w:t>字符型，</w:t>
            </w:r>
            <w:r>
              <w:rPr>
                <w:b w:val="0"/>
              </w:rPr>
              <w:t>128</w:t>
            </w:r>
          </w:p>
        </w:tc>
        <w:tc>
          <w:tcPr>
            <w:tcW w:w="3828" w:type="dxa"/>
            <w:tcBorders>
              <w:top w:val="single" w:sz="4" w:space="0" w:color="auto"/>
              <w:left w:val="single" w:sz="4" w:space="0" w:color="auto"/>
              <w:bottom w:val="single" w:sz="4" w:space="0" w:color="auto"/>
              <w:right w:val="single" w:sz="4" w:space="0" w:color="auto"/>
            </w:tcBorders>
          </w:tcPr>
          <w:p w14:paraId="48266237" w14:textId="77777777" w:rsidR="00A052DC" w:rsidRDefault="00DD6AA3" w:rsidP="005D3821">
            <w:pPr>
              <w:pStyle w:val="B"/>
              <w:rPr>
                <w:szCs w:val="20"/>
              </w:rPr>
            </w:pPr>
            <w:r>
              <w:rPr>
                <w:rFonts w:hint="eastAsia"/>
                <w:szCs w:val="20"/>
              </w:rPr>
              <w:t>非必填项，当操作类型（ACTIONTYPE）为删除时必填。</w:t>
            </w:r>
          </w:p>
        </w:tc>
      </w:tr>
      <w:tr w:rsidR="00A052DC" w14:paraId="1D851E09" w14:textId="77777777">
        <w:tc>
          <w:tcPr>
            <w:tcW w:w="1560" w:type="dxa"/>
            <w:tcBorders>
              <w:top w:val="single" w:sz="4" w:space="0" w:color="auto"/>
              <w:left w:val="single" w:sz="4" w:space="0" w:color="auto"/>
              <w:bottom w:val="single" w:sz="4" w:space="0" w:color="auto"/>
              <w:right w:val="single" w:sz="4" w:space="0" w:color="auto"/>
            </w:tcBorders>
          </w:tcPr>
          <w:p w14:paraId="2D101EB9" w14:textId="77777777" w:rsidR="00A052DC" w:rsidRDefault="009F0A60">
            <w:pPr>
              <w:pStyle w:val="B"/>
              <w:rPr>
                <w:szCs w:val="20"/>
              </w:rPr>
            </w:pPr>
            <w:r>
              <w:rPr>
                <w:szCs w:val="20"/>
              </w:rPr>
              <w:t>EXDEBTCODE</w:t>
            </w:r>
          </w:p>
        </w:tc>
        <w:tc>
          <w:tcPr>
            <w:tcW w:w="1417" w:type="dxa"/>
            <w:tcBorders>
              <w:top w:val="single" w:sz="4" w:space="0" w:color="auto"/>
              <w:left w:val="single" w:sz="4" w:space="0" w:color="auto"/>
              <w:bottom w:val="single" w:sz="4" w:space="0" w:color="auto"/>
              <w:right w:val="single" w:sz="4" w:space="0" w:color="auto"/>
            </w:tcBorders>
          </w:tcPr>
          <w:p w14:paraId="5E776351" w14:textId="77777777" w:rsidR="00A052DC" w:rsidRDefault="009F0A60">
            <w:pPr>
              <w:pStyle w:val="B"/>
              <w:rPr>
                <w:szCs w:val="20"/>
              </w:rPr>
            </w:pPr>
            <w:r>
              <w:rPr>
                <w:rFonts w:hint="eastAsia"/>
                <w:szCs w:val="20"/>
              </w:rPr>
              <w:t>外债编号</w:t>
            </w:r>
          </w:p>
        </w:tc>
        <w:tc>
          <w:tcPr>
            <w:tcW w:w="1559" w:type="dxa"/>
            <w:tcBorders>
              <w:top w:val="single" w:sz="4" w:space="0" w:color="auto"/>
              <w:left w:val="single" w:sz="4" w:space="0" w:color="auto"/>
              <w:bottom w:val="single" w:sz="4" w:space="0" w:color="auto"/>
              <w:right w:val="single" w:sz="4" w:space="0" w:color="auto"/>
            </w:tcBorders>
          </w:tcPr>
          <w:p w14:paraId="2529F88A" w14:textId="77777777" w:rsidR="00A052DC" w:rsidRDefault="009F0A60">
            <w:pPr>
              <w:pStyle w:val="B"/>
              <w:rPr>
                <w:szCs w:val="20"/>
              </w:rPr>
            </w:pPr>
            <w:r>
              <w:rPr>
                <w:rFonts w:hint="eastAsia"/>
                <w:szCs w:val="20"/>
              </w:rPr>
              <w:t>字符型，</w:t>
            </w:r>
            <w:r>
              <w:rPr>
                <w:szCs w:val="20"/>
              </w:rPr>
              <w:t>28</w:t>
            </w:r>
          </w:p>
        </w:tc>
        <w:tc>
          <w:tcPr>
            <w:tcW w:w="3828" w:type="dxa"/>
            <w:tcBorders>
              <w:top w:val="single" w:sz="4" w:space="0" w:color="auto"/>
              <w:left w:val="single" w:sz="4" w:space="0" w:color="auto"/>
              <w:bottom w:val="single" w:sz="4" w:space="0" w:color="auto"/>
              <w:right w:val="single" w:sz="4" w:space="0" w:color="auto"/>
            </w:tcBorders>
          </w:tcPr>
          <w:p w14:paraId="56307F01" w14:textId="77777777" w:rsidR="00A052DC" w:rsidRDefault="009F0A60" w:rsidP="001D10D1">
            <w:pPr>
              <w:pStyle w:val="B"/>
              <w:rPr>
                <w:szCs w:val="20"/>
              </w:rPr>
            </w:pPr>
            <w:r>
              <w:rPr>
                <w:rFonts w:hint="eastAsia"/>
                <w:szCs w:val="20"/>
              </w:rPr>
              <w:t>必填项，外债唯一性编码。</w:t>
            </w:r>
          </w:p>
        </w:tc>
      </w:tr>
      <w:tr w:rsidR="00A052DC" w14:paraId="153FB3C1" w14:textId="77777777">
        <w:tc>
          <w:tcPr>
            <w:tcW w:w="1560" w:type="dxa"/>
            <w:tcBorders>
              <w:top w:val="single" w:sz="4" w:space="0" w:color="auto"/>
              <w:left w:val="single" w:sz="4" w:space="0" w:color="auto"/>
              <w:bottom w:val="single" w:sz="4" w:space="0" w:color="auto"/>
              <w:right w:val="single" w:sz="4" w:space="0" w:color="auto"/>
            </w:tcBorders>
          </w:tcPr>
          <w:p w14:paraId="16DDFC7D" w14:textId="77777777" w:rsidR="00A052DC" w:rsidRDefault="009F0A60">
            <w:pPr>
              <w:pStyle w:val="B"/>
              <w:rPr>
                <w:szCs w:val="20"/>
              </w:rPr>
            </w:pPr>
            <w:r>
              <w:rPr>
                <w:szCs w:val="20"/>
              </w:rPr>
              <w:t>BUSCODE</w:t>
            </w:r>
          </w:p>
        </w:tc>
        <w:tc>
          <w:tcPr>
            <w:tcW w:w="1417" w:type="dxa"/>
            <w:tcBorders>
              <w:top w:val="single" w:sz="4" w:space="0" w:color="auto"/>
              <w:left w:val="single" w:sz="4" w:space="0" w:color="auto"/>
              <w:bottom w:val="single" w:sz="4" w:space="0" w:color="auto"/>
              <w:right w:val="single" w:sz="4" w:space="0" w:color="auto"/>
            </w:tcBorders>
          </w:tcPr>
          <w:p w14:paraId="5D2C0A3F" w14:textId="77777777" w:rsidR="00A052DC" w:rsidRDefault="009F0A60">
            <w:pPr>
              <w:pStyle w:val="B"/>
              <w:rPr>
                <w:szCs w:val="20"/>
              </w:rPr>
            </w:pPr>
            <w:r>
              <w:rPr>
                <w:rFonts w:hint="eastAsia"/>
                <w:szCs w:val="20"/>
              </w:rPr>
              <w:t>银行业务参号</w:t>
            </w:r>
          </w:p>
        </w:tc>
        <w:tc>
          <w:tcPr>
            <w:tcW w:w="1559" w:type="dxa"/>
            <w:tcBorders>
              <w:top w:val="single" w:sz="4" w:space="0" w:color="auto"/>
              <w:left w:val="single" w:sz="4" w:space="0" w:color="auto"/>
              <w:bottom w:val="single" w:sz="4" w:space="0" w:color="auto"/>
              <w:right w:val="single" w:sz="4" w:space="0" w:color="auto"/>
            </w:tcBorders>
          </w:tcPr>
          <w:p w14:paraId="7D91ED9F" w14:textId="77777777" w:rsidR="00A052DC" w:rsidRDefault="009F0A60">
            <w:pPr>
              <w:pStyle w:val="B"/>
              <w:rPr>
                <w:szCs w:val="20"/>
              </w:rPr>
            </w:pPr>
            <w:r>
              <w:rPr>
                <w:rFonts w:hint="eastAsia"/>
                <w:szCs w:val="20"/>
              </w:rPr>
              <w:t>字符型，</w:t>
            </w:r>
            <w:r>
              <w:rPr>
                <w:szCs w:val="20"/>
              </w:rPr>
              <w:t>32</w:t>
            </w:r>
          </w:p>
        </w:tc>
        <w:tc>
          <w:tcPr>
            <w:tcW w:w="3828" w:type="dxa"/>
            <w:tcBorders>
              <w:top w:val="single" w:sz="4" w:space="0" w:color="auto"/>
              <w:left w:val="single" w:sz="4" w:space="0" w:color="auto"/>
              <w:bottom w:val="single" w:sz="4" w:space="0" w:color="auto"/>
              <w:right w:val="single" w:sz="4" w:space="0" w:color="auto"/>
            </w:tcBorders>
          </w:tcPr>
          <w:p w14:paraId="6255EBB0" w14:textId="77777777" w:rsidR="00A052DC" w:rsidRDefault="009F0A60">
            <w:pPr>
              <w:pStyle w:val="B"/>
              <w:rPr>
                <w:szCs w:val="20"/>
              </w:rPr>
            </w:pPr>
            <w:r>
              <w:rPr>
                <w:rFonts w:hint="eastAsia"/>
                <w:szCs w:val="20"/>
              </w:rPr>
              <w:t>必填项，指该笔变动业务在银行的业务参号。</w:t>
            </w:r>
          </w:p>
        </w:tc>
      </w:tr>
      <w:tr w:rsidR="00A052DC" w14:paraId="6B7E9F8D" w14:textId="77777777">
        <w:tc>
          <w:tcPr>
            <w:tcW w:w="1560" w:type="dxa"/>
          </w:tcPr>
          <w:p w14:paraId="47DFAD68" w14:textId="77777777" w:rsidR="00A052DC" w:rsidRDefault="009F0A60">
            <w:pPr>
              <w:pStyle w:val="B"/>
              <w:rPr>
                <w:szCs w:val="20"/>
              </w:rPr>
            </w:pPr>
            <w:r>
              <w:rPr>
                <w:szCs w:val="20"/>
              </w:rPr>
              <w:t>CHANGENO</w:t>
            </w:r>
          </w:p>
        </w:tc>
        <w:tc>
          <w:tcPr>
            <w:tcW w:w="1417" w:type="dxa"/>
          </w:tcPr>
          <w:p w14:paraId="6B0C54C2" w14:textId="77777777" w:rsidR="00A052DC" w:rsidRDefault="009F0A60">
            <w:pPr>
              <w:pStyle w:val="B"/>
              <w:rPr>
                <w:szCs w:val="20"/>
              </w:rPr>
            </w:pPr>
            <w:r>
              <w:rPr>
                <w:rFonts w:hint="eastAsia"/>
                <w:szCs w:val="20"/>
              </w:rPr>
              <w:t>变动编号</w:t>
            </w:r>
          </w:p>
        </w:tc>
        <w:tc>
          <w:tcPr>
            <w:tcW w:w="1559" w:type="dxa"/>
          </w:tcPr>
          <w:p w14:paraId="531C787B" w14:textId="77777777" w:rsidR="00A052DC" w:rsidRDefault="009F0A60">
            <w:pPr>
              <w:pStyle w:val="B"/>
              <w:rPr>
                <w:szCs w:val="20"/>
              </w:rPr>
            </w:pPr>
            <w:r>
              <w:rPr>
                <w:rFonts w:hint="eastAsia"/>
                <w:szCs w:val="20"/>
              </w:rPr>
              <w:t>字符型，</w:t>
            </w:r>
            <w:r>
              <w:rPr>
                <w:szCs w:val="20"/>
              </w:rPr>
              <w:t>4</w:t>
            </w:r>
          </w:p>
        </w:tc>
        <w:tc>
          <w:tcPr>
            <w:tcW w:w="3828" w:type="dxa"/>
          </w:tcPr>
          <w:p w14:paraId="0646F701" w14:textId="77777777" w:rsidR="00A052DC" w:rsidRDefault="009F0A60">
            <w:pPr>
              <w:pStyle w:val="B"/>
              <w:rPr>
                <w:szCs w:val="20"/>
              </w:rPr>
            </w:pPr>
            <w:r>
              <w:rPr>
                <w:rFonts w:hint="eastAsia"/>
                <w:szCs w:val="20"/>
              </w:rPr>
              <w:t>必填项。</w:t>
            </w:r>
          </w:p>
        </w:tc>
      </w:tr>
      <w:tr w:rsidR="00A052DC" w14:paraId="7AADBDC2" w14:textId="77777777">
        <w:tc>
          <w:tcPr>
            <w:tcW w:w="1560" w:type="dxa"/>
          </w:tcPr>
          <w:p w14:paraId="73BBDB48" w14:textId="77777777" w:rsidR="00A052DC" w:rsidRDefault="009F0A60">
            <w:pPr>
              <w:pStyle w:val="B"/>
              <w:rPr>
                <w:szCs w:val="20"/>
              </w:rPr>
            </w:pPr>
            <w:r>
              <w:rPr>
                <w:szCs w:val="20"/>
              </w:rPr>
              <w:t>CHANGTYPE</w:t>
            </w:r>
          </w:p>
        </w:tc>
        <w:tc>
          <w:tcPr>
            <w:tcW w:w="1417" w:type="dxa"/>
          </w:tcPr>
          <w:p w14:paraId="08D84B20" w14:textId="77777777" w:rsidR="00A052DC" w:rsidRDefault="009F0A60">
            <w:pPr>
              <w:pStyle w:val="B"/>
              <w:rPr>
                <w:szCs w:val="20"/>
              </w:rPr>
            </w:pPr>
            <w:r>
              <w:rPr>
                <w:rFonts w:hint="eastAsia"/>
                <w:szCs w:val="20"/>
              </w:rPr>
              <w:t>变动类型</w:t>
            </w:r>
          </w:p>
        </w:tc>
        <w:tc>
          <w:tcPr>
            <w:tcW w:w="1559" w:type="dxa"/>
          </w:tcPr>
          <w:p w14:paraId="6CC6C8BD" w14:textId="77777777" w:rsidR="00A052DC" w:rsidRDefault="009F0A60">
            <w:pPr>
              <w:pStyle w:val="B"/>
              <w:rPr>
                <w:szCs w:val="20"/>
              </w:rPr>
            </w:pPr>
            <w:r>
              <w:rPr>
                <w:rFonts w:hint="eastAsia"/>
                <w:szCs w:val="20"/>
              </w:rPr>
              <w:t>字符型，</w:t>
            </w:r>
            <w:r>
              <w:rPr>
                <w:szCs w:val="20"/>
              </w:rPr>
              <w:t>4</w:t>
            </w:r>
          </w:p>
        </w:tc>
        <w:tc>
          <w:tcPr>
            <w:tcW w:w="3828" w:type="dxa"/>
          </w:tcPr>
          <w:p w14:paraId="210FEAC1" w14:textId="77777777" w:rsidR="00A052DC" w:rsidRDefault="009F0A60">
            <w:pPr>
              <w:pStyle w:val="B"/>
              <w:rPr>
                <w:szCs w:val="20"/>
              </w:rPr>
            </w:pPr>
            <w:r>
              <w:rPr>
                <w:rFonts w:hint="eastAsia"/>
                <w:szCs w:val="20"/>
              </w:rPr>
              <w:t>必填项，见外债变动类型代码表。</w:t>
            </w:r>
          </w:p>
        </w:tc>
      </w:tr>
      <w:tr w:rsidR="00A052DC" w14:paraId="6978C110" w14:textId="77777777">
        <w:tc>
          <w:tcPr>
            <w:tcW w:w="1560" w:type="dxa"/>
          </w:tcPr>
          <w:p w14:paraId="7655BEE6" w14:textId="77777777" w:rsidR="00A052DC" w:rsidRDefault="009F0A60">
            <w:pPr>
              <w:pStyle w:val="B"/>
              <w:rPr>
                <w:szCs w:val="20"/>
              </w:rPr>
            </w:pPr>
            <w:r>
              <w:rPr>
                <w:szCs w:val="20"/>
              </w:rPr>
              <w:t>CHDATE</w:t>
            </w:r>
          </w:p>
        </w:tc>
        <w:tc>
          <w:tcPr>
            <w:tcW w:w="1417" w:type="dxa"/>
          </w:tcPr>
          <w:p w14:paraId="52896E79" w14:textId="77777777" w:rsidR="00A052DC" w:rsidRDefault="009F0A60">
            <w:pPr>
              <w:pStyle w:val="B"/>
              <w:rPr>
                <w:szCs w:val="20"/>
              </w:rPr>
            </w:pPr>
            <w:r>
              <w:rPr>
                <w:rFonts w:hint="eastAsia"/>
                <w:szCs w:val="20"/>
              </w:rPr>
              <w:t>变动日期</w:t>
            </w:r>
          </w:p>
        </w:tc>
        <w:tc>
          <w:tcPr>
            <w:tcW w:w="1559" w:type="dxa"/>
          </w:tcPr>
          <w:p w14:paraId="7D5FE79A" w14:textId="77777777" w:rsidR="00A052DC" w:rsidRDefault="009F0A60">
            <w:pPr>
              <w:pStyle w:val="B"/>
              <w:rPr>
                <w:szCs w:val="20"/>
              </w:rPr>
            </w:pPr>
            <w:r>
              <w:rPr>
                <w:rFonts w:hint="eastAsia"/>
                <w:szCs w:val="20"/>
              </w:rPr>
              <w:t>日期型，</w:t>
            </w:r>
            <w:r>
              <w:rPr>
                <w:szCs w:val="20"/>
              </w:rPr>
              <w:t>8</w:t>
            </w:r>
          </w:p>
        </w:tc>
        <w:tc>
          <w:tcPr>
            <w:tcW w:w="3828" w:type="dxa"/>
          </w:tcPr>
          <w:p w14:paraId="6345025E" w14:textId="77777777" w:rsidR="00A052DC" w:rsidRDefault="009F0A60">
            <w:pPr>
              <w:pStyle w:val="B"/>
              <w:rPr>
                <w:szCs w:val="20"/>
              </w:rPr>
            </w:pPr>
            <w:r>
              <w:rPr>
                <w:rFonts w:hint="eastAsia"/>
                <w:szCs w:val="20"/>
              </w:rPr>
              <w:t>必填项，格式</w:t>
            </w:r>
            <w:r>
              <w:rPr>
                <w:szCs w:val="20"/>
              </w:rPr>
              <w:t>YYYYMMDD</w:t>
            </w:r>
            <w:r>
              <w:rPr>
                <w:rFonts w:hint="eastAsia"/>
                <w:szCs w:val="20"/>
              </w:rPr>
              <w:t>。</w:t>
            </w:r>
          </w:p>
        </w:tc>
      </w:tr>
      <w:tr w:rsidR="00A052DC" w14:paraId="00E59F6A" w14:textId="77777777">
        <w:tc>
          <w:tcPr>
            <w:tcW w:w="1560" w:type="dxa"/>
          </w:tcPr>
          <w:p w14:paraId="589378C0" w14:textId="77777777" w:rsidR="00A052DC" w:rsidRDefault="009F0A60">
            <w:pPr>
              <w:pStyle w:val="B"/>
              <w:rPr>
                <w:szCs w:val="20"/>
              </w:rPr>
            </w:pPr>
            <w:r>
              <w:rPr>
                <w:szCs w:val="20"/>
              </w:rPr>
              <w:t>CHcurrency</w:t>
            </w:r>
          </w:p>
        </w:tc>
        <w:tc>
          <w:tcPr>
            <w:tcW w:w="1417" w:type="dxa"/>
          </w:tcPr>
          <w:p w14:paraId="2C8C33D8" w14:textId="77777777" w:rsidR="00A052DC" w:rsidRDefault="009F0A60">
            <w:pPr>
              <w:pStyle w:val="B"/>
              <w:rPr>
                <w:szCs w:val="20"/>
              </w:rPr>
            </w:pPr>
            <w:r>
              <w:rPr>
                <w:rFonts w:hint="eastAsia"/>
                <w:szCs w:val="20"/>
              </w:rPr>
              <w:t>变动币种</w:t>
            </w:r>
          </w:p>
        </w:tc>
        <w:tc>
          <w:tcPr>
            <w:tcW w:w="1559" w:type="dxa"/>
          </w:tcPr>
          <w:p w14:paraId="19ADB3FF" w14:textId="77777777" w:rsidR="00A052DC" w:rsidRDefault="009F0A60">
            <w:pPr>
              <w:pStyle w:val="B"/>
              <w:rPr>
                <w:szCs w:val="20"/>
              </w:rPr>
            </w:pPr>
            <w:r>
              <w:rPr>
                <w:rFonts w:hint="eastAsia"/>
                <w:szCs w:val="20"/>
              </w:rPr>
              <w:t>字符型，</w:t>
            </w:r>
            <w:r>
              <w:rPr>
                <w:szCs w:val="20"/>
              </w:rPr>
              <w:t>3</w:t>
            </w:r>
          </w:p>
        </w:tc>
        <w:tc>
          <w:tcPr>
            <w:tcW w:w="3828" w:type="dxa"/>
          </w:tcPr>
          <w:p w14:paraId="37DEFEE6" w14:textId="77777777" w:rsidR="00A052DC" w:rsidRDefault="009F0A60">
            <w:pPr>
              <w:pStyle w:val="B"/>
              <w:rPr>
                <w:szCs w:val="20"/>
              </w:rPr>
            </w:pPr>
            <w:r>
              <w:rPr>
                <w:rFonts w:hint="eastAsia"/>
                <w:szCs w:val="20"/>
              </w:rPr>
              <w:t>必填项，见币种代码表。</w:t>
            </w:r>
          </w:p>
        </w:tc>
      </w:tr>
      <w:tr w:rsidR="00A052DC" w14:paraId="33CF861C" w14:textId="77777777">
        <w:tc>
          <w:tcPr>
            <w:tcW w:w="1560" w:type="dxa"/>
          </w:tcPr>
          <w:p w14:paraId="04216188" w14:textId="77777777" w:rsidR="00A052DC" w:rsidRDefault="009F0A60">
            <w:pPr>
              <w:pStyle w:val="B"/>
              <w:rPr>
                <w:szCs w:val="20"/>
              </w:rPr>
            </w:pPr>
            <w:r>
              <w:rPr>
                <w:szCs w:val="20"/>
              </w:rPr>
              <w:t>CHAMOUNT</w:t>
            </w:r>
          </w:p>
        </w:tc>
        <w:tc>
          <w:tcPr>
            <w:tcW w:w="1417" w:type="dxa"/>
          </w:tcPr>
          <w:p w14:paraId="0FA73E7B" w14:textId="77777777" w:rsidR="00A052DC" w:rsidRDefault="009F0A60">
            <w:pPr>
              <w:pStyle w:val="B"/>
              <w:rPr>
                <w:szCs w:val="20"/>
              </w:rPr>
            </w:pPr>
            <w:r>
              <w:rPr>
                <w:rFonts w:hint="eastAsia"/>
                <w:szCs w:val="20"/>
              </w:rPr>
              <w:t>变动金额</w:t>
            </w:r>
          </w:p>
        </w:tc>
        <w:tc>
          <w:tcPr>
            <w:tcW w:w="1559" w:type="dxa"/>
          </w:tcPr>
          <w:p w14:paraId="1E14A9C5" w14:textId="77777777" w:rsidR="00A052DC" w:rsidRDefault="009F0A60">
            <w:pPr>
              <w:pStyle w:val="B"/>
              <w:rPr>
                <w:szCs w:val="20"/>
              </w:rPr>
            </w:pPr>
            <w:r>
              <w:rPr>
                <w:rFonts w:hint="eastAsia"/>
                <w:szCs w:val="20"/>
              </w:rPr>
              <w:t>数值型，</w:t>
            </w:r>
            <w:r>
              <w:rPr>
                <w:szCs w:val="20"/>
              </w:rPr>
              <w:t>22.2</w:t>
            </w:r>
          </w:p>
        </w:tc>
        <w:tc>
          <w:tcPr>
            <w:tcW w:w="3828" w:type="dxa"/>
          </w:tcPr>
          <w:p w14:paraId="19C19DCD" w14:textId="77777777" w:rsidR="00A052DC" w:rsidRDefault="009F0A60">
            <w:pPr>
              <w:pStyle w:val="B"/>
              <w:rPr>
                <w:szCs w:val="20"/>
              </w:rPr>
            </w:pPr>
            <w:r>
              <w:rPr>
                <w:rFonts w:hint="eastAsia"/>
                <w:szCs w:val="20"/>
              </w:rPr>
              <w:t>必填项，大于等于</w:t>
            </w:r>
            <w:r>
              <w:rPr>
                <w:szCs w:val="20"/>
              </w:rPr>
              <w:t>0</w:t>
            </w:r>
            <w:r>
              <w:rPr>
                <w:rFonts w:hint="eastAsia"/>
                <w:szCs w:val="20"/>
              </w:rPr>
              <w:t>。</w:t>
            </w:r>
          </w:p>
        </w:tc>
      </w:tr>
      <w:tr w:rsidR="00A052DC" w14:paraId="21F1878C" w14:textId="77777777">
        <w:tc>
          <w:tcPr>
            <w:tcW w:w="1560" w:type="dxa"/>
          </w:tcPr>
          <w:p w14:paraId="3B58A256" w14:textId="77777777" w:rsidR="00A052DC" w:rsidRDefault="009F0A60">
            <w:pPr>
              <w:pStyle w:val="B"/>
              <w:rPr>
                <w:caps/>
                <w:szCs w:val="20"/>
              </w:rPr>
            </w:pPr>
            <w:r>
              <w:rPr>
                <w:szCs w:val="20"/>
              </w:rPr>
              <w:t>FAIRVALUE</w:t>
            </w:r>
          </w:p>
        </w:tc>
        <w:tc>
          <w:tcPr>
            <w:tcW w:w="1417" w:type="dxa"/>
          </w:tcPr>
          <w:p w14:paraId="52587FA1" w14:textId="77777777" w:rsidR="00A052DC" w:rsidRDefault="009F0A60">
            <w:pPr>
              <w:pStyle w:val="B"/>
              <w:rPr>
                <w:szCs w:val="20"/>
              </w:rPr>
            </w:pPr>
            <w:r>
              <w:rPr>
                <w:rFonts w:hint="eastAsia"/>
                <w:szCs w:val="20"/>
              </w:rPr>
              <w:t>公允价值</w:t>
            </w:r>
          </w:p>
        </w:tc>
        <w:tc>
          <w:tcPr>
            <w:tcW w:w="1559" w:type="dxa"/>
          </w:tcPr>
          <w:p w14:paraId="28251AC8" w14:textId="77777777" w:rsidR="00A052DC" w:rsidRDefault="009F0A60">
            <w:pPr>
              <w:pStyle w:val="B"/>
              <w:rPr>
                <w:szCs w:val="20"/>
              </w:rPr>
            </w:pPr>
            <w:r>
              <w:rPr>
                <w:rFonts w:hint="eastAsia"/>
                <w:szCs w:val="20"/>
              </w:rPr>
              <w:t>数值型，</w:t>
            </w:r>
            <w:r>
              <w:rPr>
                <w:szCs w:val="20"/>
              </w:rPr>
              <w:t>22.2</w:t>
            </w:r>
          </w:p>
        </w:tc>
        <w:tc>
          <w:tcPr>
            <w:tcW w:w="3828" w:type="dxa"/>
          </w:tcPr>
          <w:p w14:paraId="32813596" w14:textId="77777777" w:rsidR="00A052DC" w:rsidRDefault="00DD6AA3">
            <w:pPr>
              <w:pStyle w:val="B"/>
              <w:rPr>
                <w:szCs w:val="20"/>
              </w:rPr>
            </w:pPr>
            <w:r>
              <w:rPr>
                <w:rFonts w:hint="eastAsia"/>
                <w:szCs w:val="20"/>
              </w:rPr>
              <w:t>非必填项</w:t>
            </w:r>
            <w:r w:rsidR="009F0A60">
              <w:rPr>
                <w:rFonts w:hint="eastAsia"/>
                <w:szCs w:val="20"/>
              </w:rPr>
              <w:t>。对于银行发行的货币市场工具，应每月末报送该笔债券和票据、货币市场工具的最后一个交易日公允价值市值，月末报送。</w:t>
            </w:r>
          </w:p>
        </w:tc>
      </w:tr>
      <w:tr w:rsidR="00A052DC" w14:paraId="3EF389FC" w14:textId="77777777">
        <w:tc>
          <w:tcPr>
            <w:tcW w:w="1560" w:type="dxa"/>
            <w:tcBorders>
              <w:top w:val="single" w:sz="4" w:space="0" w:color="auto"/>
              <w:left w:val="single" w:sz="4" w:space="0" w:color="auto"/>
              <w:bottom w:val="single" w:sz="4" w:space="0" w:color="auto"/>
              <w:right w:val="single" w:sz="4" w:space="0" w:color="auto"/>
            </w:tcBorders>
          </w:tcPr>
          <w:p w14:paraId="49E9C759" w14:textId="77777777" w:rsidR="00A052DC" w:rsidRDefault="009F0A60">
            <w:pPr>
              <w:pStyle w:val="B"/>
              <w:rPr>
                <w:szCs w:val="20"/>
              </w:rPr>
            </w:pPr>
            <w:r>
              <w:rPr>
                <w:szCs w:val="20"/>
              </w:rPr>
              <w:t>REMARK</w:t>
            </w:r>
          </w:p>
        </w:tc>
        <w:tc>
          <w:tcPr>
            <w:tcW w:w="1417" w:type="dxa"/>
            <w:tcBorders>
              <w:top w:val="single" w:sz="4" w:space="0" w:color="auto"/>
              <w:left w:val="single" w:sz="4" w:space="0" w:color="auto"/>
              <w:bottom w:val="single" w:sz="4" w:space="0" w:color="auto"/>
              <w:right w:val="single" w:sz="4" w:space="0" w:color="auto"/>
            </w:tcBorders>
          </w:tcPr>
          <w:p w14:paraId="289171BB" w14:textId="77777777" w:rsidR="00A052DC" w:rsidRDefault="009F0A60">
            <w:pPr>
              <w:pStyle w:val="B"/>
              <w:rPr>
                <w:szCs w:val="20"/>
              </w:rPr>
            </w:pPr>
            <w:r>
              <w:rPr>
                <w:rFonts w:hint="eastAsia"/>
                <w:szCs w:val="20"/>
              </w:rPr>
              <w:t>备注</w:t>
            </w:r>
          </w:p>
        </w:tc>
        <w:tc>
          <w:tcPr>
            <w:tcW w:w="1559" w:type="dxa"/>
            <w:tcBorders>
              <w:top w:val="single" w:sz="4" w:space="0" w:color="auto"/>
              <w:left w:val="single" w:sz="4" w:space="0" w:color="auto"/>
              <w:bottom w:val="single" w:sz="4" w:space="0" w:color="auto"/>
              <w:right w:val="single" w:sz="4" w:space="0" w:color="auto"/>
            </w:tcBorders>
          </w:tcPr>
          <w:p w14:paraId="6EC4E8F3" w14:textId="77777777" w:rsidR="00A052DC" w:rsidRDefault="009F0A60">
            <w:pPr>
              <w:pStyle w:val="B"/>
              <w:rPr>
                <w:szCs w:val="20"/>
              </w:rPr>
            </w:pPr>
            <w:r>
              <w:rPr>
                <w:rFonts w:hint="eastAsia"/>
                <w:szCs w:val="20"/>
              </w:rPr>
              <w:t>字符型，</w:t>
            </w:r>
            <w:r>
              <w:rPr>
                <w:szCs w:val="20"/>
              </w:rPr>
              <w:t>256</w:t>
            </w:r>
          </w:p>
        </w:tc>
        <w:tc>
          <w:tcPr>
            <w:tcW w:w="3828" w:type="dxa"/>
            <w:tcBorders>
              <w:top w:val="single" w:sz="4" w:space="0" w:color="auto"/>
              <w:left w:val="single" w:sz="4" w:space="0" w:color="auto"/>
              <w:bottom w:val="single" w:sz="4" w:space="0" w:color="auto"/>
              <w:right w:val="single" w:sz="4" w:space="0" w:color="auto"/>
            </w:tcBorders>
          </w:tcPr>
          <w:p w14:paraId="1329A033" w14:textId="77777777" w:rsidR="00A052DC" w:rsidRDefault="009F0A60">
            <w:pPr>
              <w:pStyle w:val="B"/>
              <w:rPr>
                <w:szCs w:val="20"/>
              </w:rPr>
            </w:pPr>
            <w:r>
              <w:rPr>
                <w:rFonts w:hint="eastAsia"/>
                <w:szCs w:val="20"/>
              </w:rPr>
              <w:t>非必填项。</w:t>
            </w:r>
          </w:p>
        </w:tc>
      </w:tr>
    </w:tbl>
    <w:p w14:paraId="20017100" w14:textId="77777777" w:rsidR="00A052DC" w:rsidRDefault="00A052DC">
      <w:pPr>
        <w:ind w:firstLine="480"/>
      </w:pPr>
    </w:p>
    <w:p w14:paraId="7258C86A" w14:textId="77777777" w:rsidR="00A052DC" w:rsidRDefault="009F0A60" w:rsidP="0020251D">
      <w:pPr>
        <w:pStyle w:val="3"/>
        <w:ind w:left="0"/>
        <w:rPr>
          <w:rFonts w:ascii="Times New Roman" w:hAnsi="Times New Roman"/>
        </w:rPr>
      </w:pPr>
      <w:bookmarkStart w:id="1588" w:name="_Toc454386940"/>
      <w:bookmarkStart w:id="1589" w:name="_Toc328635501"/>
      <w:bookmarkStart w:id="1590" w:name="_Toc91455291"/>
      <w:bookmarkStart w:id="1591" w:name="_Toc380356262"/>
      <w:bookmarkStart w:id="1592" w:name="_Toc101684464"/>
      <w:r>
        <w:rPr>
          <w:rFonts w:ascii="Times New Roman" w:hAnsi="Times New Roman" w:hint="eastAsia"/>
        </w:rPr>
        <w:t>外债余额信息</w:t>
      </w:r>
      <w:bookmarkEnd w:id="1588"/>
      <w:bookmarkEnd w:id="1589"/>
      <w:bookmarkEnd w:id="1590"/>
      <w:bookmarkEnd w:id="1591"/>
      <w:bookmarkEnd w:id="1592"/>
    </w:p>
    <w:p w14:paraId="530D8C48" w14:textId="77777777" w:rsidR="00A052DC" w:rsidRDefault="009F0A60">
      <w:pPr>
        <w:spacing w:line="360" w:lineRule="auto"/>
        <w:ind w:firstLineChars="200" w:firstLine="480"/>
        <w:rPr>
          <w:rFonts w:ascii="Times New Roman"/>
          <w:kern w:val="0"/>
          <w:sz w:val="24"/>
          <w:szCs w:val="20"/>
        </w:rPr>
      </w:pPr>
      <w:r>
        <w:rPr>
          <w:rFonts w:ascii="Times New Roman" w:hint="eastAsia"/>
          <w:kern w:val="0"/>
          <w:sz w:val="24"/>
          <w:szCs w:val="20"/>
        </w:rPr>
        <w:t>境外同业存款、境外联行及附属机构往来、非居民机构存款、非居民个人存款等四类外债需要报送余额信息。其他类型外债不报送余额信息。</w:t>
      </w:r>
    </w:p>
    <w:p w14:paraId="49CB9713" w14:textId="77777777" w:rsidR="00A052DC" w:rsidRDefault="009F0A60" w:rsidP="0020251D">
      <w:pPr>
        <w:pStyle w:val="4"/>
        <w:numPr>
          <w:ilvl w:val="3"/>
          <w:numId w:val="1"/>
        </w:numPr>
        <w:jc w:val="left"/>
      </w:pPr>
      <w:bookmarkStart w:id="1593" w:name="_Toc328635502"/>
      <w:bookmarkStart w:id="1594" w:name="_Toc454386941"/>
      <w:r>
        <w:rPr>
          <w:rFonts w:hint="eastAsia"/>
        </w:rPr>
        <w:t>数据术语解释</w:t>
      </w:r>
      <w:bookmarkEnd w:id="1593"/>
      <w:bookmarkEnd w:id="1594"/>
    </w:p>
    <w:tbl>
      <w:tblPr>
        <w:tblW w:w="84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26"/>
        <w:gridCol w:w="6946"/>
      </w:tblGrid>
      <w:tr w:rsidR="00A052DC" w14:paraId="2E237209" w14:textId="77777777">
        <w:tc>
          <w:tcPr>
            <w:tcW w:w="1526" w:type="dxa"/>
          </w:tcPr>
          <w:p w14:paraId="226F837A" w14:textId="77777777" w:rsidR="00A052DC" w:rsidRDefault="009F0A60">
            <w:pPr>
              <w:pStyle w:val="B1"/>
              <w:rPr>
                <w:u w:val="single"/>
              </w:rPr>
            </w:pPr>
            <w:r>
              <w:rPr>
                <w:rFonts w:hint="eastAsia"/>
              </w:rPr>
              <w:t>基础数据项</w:t>
            </w:r>
          </w:p>
        </w:tc>
        <w:tc>
          <w:tcPr>
            <w:tcW w:w="6946" w:type="dxa"/>
          </w:tcPr>
          <w:p w14:paraId="2B13B56A" w14:textId="77777777" w:rsidR="00A052DC" w:rsidRDefault="009F0A60">
            <w:pPr>
              <w:pStyle w:val="B1"/>
            </w:pPr>
            <w:r>
              <w:rPr>
                <w:rFonts w:hint="eastAsia"/>
              </w:rPr>
              <w:t>定义</w:t>
            </w:r>
          </w:p>
        </w:tc>
      </w:tr>
      <w:tr w:rsidR="00A052DC" w14:paraId="0123E7BA" w14:textId="77777777">
        <w:trPr>
          <w:cantSplit/>
          <w:trHeight w:val="157"/>
        </w:trPr>
        <w:tc>
          <w:tcPr>
            <w:tcW w:w="1526" w:type="dxa"/>
          </w:tcPr>
          <w:p w14:paraId="20DA8489" w14:textId="77777777" w:rsidR="00A052DC" w:rsidRDefault="009F0A60">
            <w:pPr>
              <w:pStyle w:val="B"/>
              <w:rPr>
                <w:szCs w:val="20"/>
              </w:rPr>
            </w:pPr>
            <w:r>
              <w:rPr>
                <w:rFonts w:hint="eastAsia"/>
                <w:szCs w:val="20"/>
              </w:rPr>
              <w:t>外债编号</w:t>
            </w:r>
          </w:p>
        </w:tc>
        <w:tc>
          <w:tcPr>
            <w:tcW w:w="6946" w:type="dxa"/>
          </w:tcPr>
          <w:p w14:paraId="7A1B3742" w14:textId="77777777" w:rsidR="00A052DC" w:rsidRDefault="009F0A60">
            <w:pPr>
              <w:pStyle w:val="B"/>
              <w:rPr>
                <w:szCs w:val="20"/>
              </w:rPr>
            </w:pPr>
            <w:r>
              <w:rPr>
                <w:rFonts w:hint="eastAsia"/>
                <w:szCs w:val="20"/>
              </w:rPr>
              <w:t>该笔余额信息对应的外债编号。余额信息不产生新的外债编号，余额信息中的外债编号必须为签约信息中已经报送的外债编号。</w:t>
            </w:r>
          </w:p>
        </w:tc>
      </w:tr>
      <w:tr w:rsidR="00A052DC" w14:paraId="6368B3F8" w14:textId="77777777">
        <w:trPr>
          <w:cantSplit/>
        </w:trPr>
        <w:tc>
          <w:tcPr>
            <w:tcW w:w="1526" w:type="dxa"/>
          </w:tcPr>
          <w:p w14:paraId="597D6AB7" w14:textId="77777777" w:rsidR="00A052DC" w:rsidRDefault="009F0A60">
            <w:pPr>
              <w:pStyle w:val="B"/>
              <w:rPr>
                <w:szCs w:val="20"/>
              </w:rPr>
            </w:pPr>
            <w:r>
              <w:rPr>
                <w:rFonts w:hint="eastAsia"/>
                <w:szCs w:val="20"/>
              </w:rPr>
              <w:t>变动编号</w:t>
            </w:r>
          </w:p>
        </w:tc>
        <w:tc>
          <w:tcPr>
            <w:tcW w:w="6946" w:type="dxa"/>
          </w:tcPr>
          <w:p w14:paraId="3B73C566" w14:textId="77777777" w:rsidR="00A052DC" w:rsidRDefault="009F0A60">
            <w:pPr>
              <w:pStyle w:val="B"/>
              <w:rPr>
                <w:szCs w:val="20"/>
              </w:rPr>
            </w:pPr>
            <w:r>
              <w:rPr>
                <w:rFonts w:hint="eastAsia"/>
                <w:szCs w:val="20"/>
              </w:rPr>
              <w:t>外汇局制定编号规则，银行自行对同一笔债务下余额信息逐笔编号，用于标识同一笔债务不同变动数据。变动编号规则为</w:t>
            </w:r>
            <w:r>
              <w:rPr>
                <w:szCs w:val="20"/>
              </w:rPr>
              <w:t>4</w:t>
            </w:r>
            <w:r>
              <w:rPr>
                <w:rFonts w:hint="eastAsia"/>
                <w:szCs w:val="20"/>
              </w:rPr>
              <w:t>位流水号。</w:t>
            </w:r>
          </w:p>
        </w:tc>
      </w:tr>
      <w:tr w:rsidR="00A052DC" w14:paraId="18CEF747" w14:textId="77777777">
        <w:trPr>
          <w:cantSplit/>
          <w:trHeight w:val="157"/>
        </w:trPr>
        <w:tc>
          <w:tcPr>
            <w:tcW w:w="1526" w:type="dxa"/>
          </w:tcPr>
          <w:p w14:paraId="42CD09BC" w14:textId="77777777" w:rsidR="00A052DC" w:rsidRDefault="009F0A60">
            <w:pPr>
              <w:pStyle w:val="B"/>
              <w:rPr>
                <w:szCs w:val="20"/>
              </w:rPr>
            </w:pPr>
            <w:r>
              <w:rPr>
                <w:rFonts w:hint="eastAsia"/>
                <w:szCs w:val="20"/>
              </w:rPr>
              <w:t>银行账号</w:t>
            </w:r>
          </w:p>
        </w:tc>
        <w:tc>
          <w:tcPr>
            <w:tcW w:w="6946" w:type="dxa"/>
          </w:tcPr>
          <w:p w14:paraId="4EFB4691" w14:textId="77777777" w:rsidR="00A052DC" w:rsidRDefault="009F0A60">
            <w:pPr>
              <w:pStyle w:val="B"/>
              <w:rPr>
                <w:szCs w:val="20"/>
              </w:rPr>
            </w:pPr>
            <w:r>
              <w:rPr>
                <w:rFonts w:hint="eastAsia"/>
                <w:szCs w:val="20"/>
              </w:rPr>
              <w:t>当债务类型为“境外同业存放”、“境外联行及附属机构往来”、“非居民机构存款”和“非居民个人存款”时，输入银行账号。当债务类型为“非居民个人存款”时，因非居民个人存款为分币种分国别汇总报送，该字段填写“N/A”。</w:t>
            </w:r>
          </w:p>
        </w:tc>
      </w:tr>
      <w:tr w:rsidR="00A052DC" w14:paraId="604469C3" w14:textId="77777777">
        <w:trPr>
          <w:cantSplit/>
        </w:trPr>
        <w:tc>
          <w:tcPr>
            <w:tcW w:w="1526" w:type="dxa"/>
          </w:tcPr>
          <w:p w14:paraId="56F12706" w14:textId="77777777" w:rsidR="00A052DC" w:rsidRDefault="009F0A60">
            <w:pPr>
              <w:pStyle w:val="B"/>
              <w:rPr>
                <w:szCs w:val="20"/>
              </w:rPr>
            </w:pPr>
            <w:r>
              <w:rPr>
                <w:rFonts w:hint="eastAsia"/>
                <w:szCs w:val="20"/>
              </w:rPr>
              <w:t>外债余额</w:t>
            </w:r>
          </w:p>
        </w:tc>
        <w:tc>
          <w:tcPr>
            <w:tcW w:w="6946" w:type="dxa"/>
          </w:tcPr>
          <w:p w14:paraId="7C72EEE9" w14:textId="77777777" w:rsidR="00A052DC" w:rsidRDefault="009F0A60">
            <w:pPr>
              <w:pStyle w:val="B"/>
              <w:rPr>
                <w:szCs w:val="20"/>
              </w:rPr>
            </w:pPr>
            <w:r>
              <w:rPr>
                <w:rFonts w:hint="eastAsia"/>
                <w:szCs w:val="20"/>
              </w:rPr>
              <w:t>即账户余额。</w:t>
            </w:r>
          </w:p>
        </w:tc>
      </w:tr>
      <w:tr w:rsidR="00A052DC" w14:paraId="070DC3C1" w14:textId="77777777">
        <w:trPr>
          <w:cantSplit/>
        </w:trPr>
        <w:tc>
          <w:tcPr>
            <w:tcW w:w="1526" w:type="dxa"/>
          </w:tcPr>
          <w:p w14:paraId="3B9A4744" w14:textId="77777777" w:rsidR="00A052DC" w:rsidRDefault="009F0A60">
            <w:pPr>
              <w:pStyle w:val="B"/>
              <w:rPr>
                <w:szCs w:val="20"/>
              </w:rPr>
            </w:pPr>
            <w:r>
              <w:rPr>
                <w:rFonts w:hint="eastAsia"/>
                <w:szCs w:val="20"/>
              </w:rPr>
              <w:t>变动日期</w:t>
            </w:r>
          </w:p>
        </w:tc>
        <w:tc>
          <w:tcPr>
            <w:tcW w:w="6946" w:type="dxa"/>
          </w:tcPr>
          <w:p w14:paraId="28ACC4FC" w14:textId="77777777" w:rsidR="00A052DC" w:rsidRDefault="009F0A60">
            <w:pPr>
              <w:pStyle w:val="B"/>
              <w:rPr>
                <w:szCs w:val="20"/>
              </w:rPr>
            </w:pPr>
            <w:r>
              <w:rPr>
                <w:rFonts w:hint="eastAsia"/>
                <w:szCs w:val="20"/>
              </w:rPr>
              <w:t>账户信息变动日期。</w:t>
            </w:r>
          </w:p>
        </w:tc>
      </w:tr>
      <w:tr w:rsidR="00A052DC" w14:paraId="255FA5A2" w14:textId="77777777">
        <w:trPr>
          <w:cantSplit/>
        </w:trPr>
        <w:tc>
          <w:tcPr>
            <w:tcW w:w="1526" w:type="dxa"/>
            <w:tcBorders>
              <w:top w:val="single" w:sz="6" w:space="0" w:color="auto"/>
              <w:left w:val="single" w:sz="6" w:space="0" w:color="auto"/>
              <w:bottom w:val="single" w:sz="6" w:space="0" w:color="auto"/>
              <w:right w:val="single" w:sz="6" w:space="0" w:color="auto"/>
            </w:tcBorders>
          </w:tcPr>
          <w:p w14:paraId="361B6C2D" w14:textId="77777777" w:rsidR="00A052DC" w:rsidRDefault="009F0A60">
            <w:pPr>
              <w:pStyle w:val="B"/>
              <w:rPr>
                <w:szCs w:val="20"/>
              </w:rPr>
            </w:pPr>
            <w:r>
              <w:rPr>
                <w:rFonts w:hint="eastAsia"/>
                <w:szCs w:val="20"/>
              </w:rPr>
              <w:t>备注</w:t>
            </w:r>
          </w:p>
        </w:tc>
        <w:tc>
          <w:tcPr>
            <w:tcW w:w="6946" w:type="dxa"/>
            <w:tcBorders>
              <w:top w:val="single" w:sz="6" w:space="0" w:color="auto"/>
              <w:left w:val="single" w:sz="6" w:space="0" w:color="auto"/>
              <w:bottom w:val="single" w:sz="6" w:space="0" w:color="auto"/>
              <w:right w:val="single" w:sz="6" w:space="0" w:color="auto"/>
            </w:tcBorders>
          </w:tcPr>
          <w:p w14:paraId="5511C281" w14:textId="77777777" w:rsidR="00A052DC" w:rsidRDefault="009F0A60">
            <w:pPr>
              <w:pStyle w:val="B"/>
              <w:rPr>
                <w:szCs w:val="20"/>
              </w:rPr>
            </w:pPr>
            <w:r>
              <w:rPr>
                <w:rFonts w:hint="eastAsia"/>
                <w:szCs w:val="20"/>
              </w:rPr>
              <w:t>需要说明的备注事项。</w:t>
            </w:r>
          </w:p>
        </w:tc>
      </w:tr>
    </w:tbl>
    <w:p w14:paraId="6161F85D" w14:textId="77777777" w:rsidR="00A052DC" w:rsidRDefault="00A052DC">
      <w:pPr>
        <w:ind w:firstLine="480"/>
      </w:pPr>
    </w:p>
    <w:p w14:paraId="0681F0B0" w14:textId="77777777" w:rsidR="00A052DC" w:rsidRDefault="009F0A60" w:rsidP="0020251D">
      <w:pPr>
        <w:pStyle w:val="4"/>
        <w:numPr>
          <w:ilvl w:val="3"/>
          <w:numId w:val="1"/>
        </w:numPr>
        <w:jc w:val="left"/>
      </w:pPr>
      <w:bookmarkStart w:id="1595" w:name="_Toc328635503"/>
      <w:bookmarkStart w:id="1596" w:name="_Toc454386942"/>
      <w:r>
        <w:rPr>
          <w:rFonts w:hint="eastAsia"/>
        </w:rPr>
        <w:t>数据格式</w:t>
      </w:r>
      <w:bookmarkEnd w:id="1595"/>
      <w:bookmarkEnd w:id="1596"/>
    </w:p>
    <w:p w14:paraId="41FB4ECD" w14:textId="77777777" w:rsidR="00A052DC" w:rsidRDefault="009F0A60">
      <w:r>
        <w:t>&lt;REC&gt;</w:t>
      </w:r>
    </w:p>
    <w:p w14:paraId="610AF785" w14:textId="77777777" w:rsidR="00A052DC" w:rsidRDefault="009F0A60">
      <w:r>
        <w:t>&lt;ACTIONTYPE&gt;</w:t>
      </w:r>
      <w:r>
        <w:rPr>
          <w:rFonts w:hint="eastAsia"/>
        </w:rPr>
        <w:t>操作类型</w:t>
      </w:r>
      <w:r>
        <w:t>&lt;/ACTIONTYPE&gt;</w:t>
      </w:r>
    </w:p>
    <w:p w14:paraId="7CC69C7A" w14:textId="77777777" w:rsidR="00A052DC" w:rsidRDefault="009F0A60">
      <w:r>
        <w:t>&lt;ACTIONDESC&gt;</w:t>
      </w:r>
      <w:r>
        <w:rPr>
          <w:rFonts w:hint="eastAsia"/>
        </w:rPr>
        <w:t>删除原因</w:t>
      </w:r>
      <w:r>
        <w:t>&lt;/ACTIONDESC&gt;</w:t>
      </w:r>
    </w:p>
    <w:p w14:paraId="6A6DFB7D" w14:textId="77777777" w:rsidR="00A052DC" w:rsidRDefault="009F0A60">
      <w:r>
        <w:t>&lt;EXDEBTCODE&gt;</w:t>
      </w:r>
      <w:r>
        <w:rPr>
          <w:rFonts w:hint="eastAsia"/>
        </w:rPr>
        <w:t>外债编号</w:t>
      </w:r>
      <w:r>
        <w:t>&lt;/EXDEBTCODE&gt;</w:t>
      </w:r>
    </w:p>
    <w:p w14:paraId="1855DE54" w14:textId="77777777" w:rsidR="00A052DC" w:rsidRDefault="009F0A60">
      <w:r>
        <w:t>&lt;CHANGENO&gt;</w:t>
      </w:r>
      <w:r>
        <w:rPr>
          <w:rFonts w:hint="eastAsia"/>
        </w:rPr>
        <w:t>变动编号</w:t>
      </w:r>
      <w:r>
        <w:t>&lt;/CHANGENO&gt;</w:t>
      </w:r>
    </w:p>
    <w:p w14:paraId="313EEFEB" w14:textId="77777777" w:rsidR="00A052DC" w:rsidRDefault="009F0A60">
      <w:r>
        <w:t>&lt;BUSCODE&gt;</w:t>
      </w:r>
      <w:r>
        <w:rPr>
          <w:rFonts w:hint="eastAsia"/>
        </w:rPr>
        <w:t>银行账号</w:t>
      </w:r>
      <w:r>
        <w:t>&lt;/BUSCODE&gt;</w:t>
      </w:r>
    </w:p>
    <w:p w14:paraId="5686D513" w14:textId="77777777" w:rsidR="00A052DC" w:rsidRDefault="009F0A60">
      <w:r>
        <w:t>&lt;ACCOAMOUNT&gt;</w:t>
      </w:r>
      <w:r>
        <w:rPr>
          <w:rFonts w:hint="eastAsia"/>
        </w:rPr>
        <w:t>外债余额</w:t>
      </w:r>
      <w:r>
        <w:t>&lt;/ACCOAMOUNT&gt;</w:t>
      </w:r>
    </w:p>
    <w:p w14:paraId="0DA9176B" w14:textId="77777777" w:rsidR="00A052DC" w:rsidRDefault="009F0A60">
      <w:r>
        <w:t>&lt;CHDATE&gt;</w:t>
      </w:r>
      <w:r>
        <w:rPr>
          <w:rFonts w:hint="eastAsia"/>
        </w:rPr>
        <w:t>变动日期</w:t>
      </w:r>
      <w:r>
        <w:t>&lt;/CHDATE&gt;</w:t>
      </w:r>
    </w:p>
    <w:p w14:paraId="2AF40B5C" w14:textId="77777777" w:rsidR="00A052DC" w:rsidRDefault="009F0A60">
      <w:r>
        <w:t>&lt;REMARK&gt;</w:t>
      </w:r>
      <w:r>
        <w:rPr>
          <w:rFonts w:hint="eastAsia"/>
        </w:rPr>
        <w:t>备注</w:t>
      </w:r>
      <w:r>
        <w:t>&lt;/REMARK&gt;</w:t>
      </w:r>
    </w:p>
    <w:p w14:paraId="6F6497B2" w14:textId="77777777" w:rsidR="00A052DC" w:rsidRDefault="009F0A60">
      <w:r>
        <w:t>&lt;/REC&gt;</w:t>
      </w:r>
    </w:p>
    <w:p w14:paraId="011C6840" w14:textId="77777777" w:rsidR="00A052DC" w:rsidRDefault="009F0A60" w:rsidP="0020251D">
      <w:pPr>
        <w:pStyle w:val="4"/>
        <w:numPr>
          <w:ilvl w:val="3"/>
          <w:numId w:val="1"/>
        </w:numPr>
        <w:jc w:val="left"/>
      </w:pPr>
      <w:bookmarkStart w:id="1597" w:name="_Toc454386943"/>
      <w:bookmarkStart w:id="1598" w:name="_Toc328635504"/>
      <w:r>
        <w:rPr>
          <w:rFonts w:hint="eastAsia"/>
        </w:rPr>
        <w:t>数据字典</w:t>
      </w:r>
      <w:bookmarkEnd w:id="1597"/>
      <w:bookmarkEnd w:id="1598"/>
    </w:p>
    <w:tbl>
      <w:tblPr>
        <w:tblW w:w="86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417"/>
        <w:gridCol w:w="1560"/>
        <w:gridCol w:w="4110"/>
      </w:tblGrid>
      <w:tr w:rsidR="00A052DC" w14:paraId="25949BA7" w14:textId="77777777">
        <w:trPr>
          <w:tblHeader/>
        </w:trPr>
        <w:tc>
          <w:tcPr>
            <w:tcW w:w="1560" w:type="dxa"/>
            <w:shd w:val="clear" w:color="auto" w:fill="C0C0C0"/>
          </w:tcPr>
          <w:p w14:paraId="39D817F9" w14:textId="77777777" w:rsidR="00A052DC" w:rsidRDefault="009F0A60">
            <w:pPr>
              <w:pStyle w:val="B1"/>
            </w:pPr>
            <w:r>
              <w:rPr>
                <w:rFonts w:hint="eastAsia"/>
              </w:rPr>
              <w:t>字段</w:t>
            </w:r>
          </w:p>
        </w:tc>
        <w:tc>
          <w:tcPr>
            <w:tcW w:w="1417" w:type="dxa"/>
            <w:shd w:val="clear" w:color="auto" w:fill="C0C0C0"/>
          </w:tcPr>
          <w:p w14:paraId="321C7231" w14:textId="77777777" w:rsidR="00A052DC" w:rsidRDefault="009F0A60">
            <w:pPr>
              <w:pStyle w:val="B1"/>
            </w:pPr>
            <w:r>
              <w:rPr>
                <w:rFonts w:hint="eastAsia"/>
              </w:rPr>
              <w:t>内容</w:t>
            </w:r>
          </w:p>
        </w:tc>
        <w:tc>
          <w:tcPr>
            <w:tcW w:w="1560" w:type="dxa"/>
            <w:shd w:val="clear" w:color="auto" w:fill="C0C0C0"/>
          </w:tcPr>
          <w:p w14:paraId="085592BA" w14:textId="77777777" w:rsidR="00A052DC" w:rsidRDefault="009F0A60">
            <w:pPr>
              <w:pStyle w:val="B1"/>
            </w:pPr>
            <w:r>
              <w:rPr>
                <w:rFonts w:hint="eastAsia"/>
              </w:rPr>
              <w:t>类型（长度）</w:t>
            </w:r>
          </w:p>
        </w:tc>
        <w:tc>
          <w:tcPr>
            <w:tcW w:w="4110" w:type="dxa"/>
            <w:shd w:val="clear" w:color="auto" w:fill="C0C0C0"/>
          </w:tcPr>
          <w:p w14:paraId="55EAA3A4" w14:textId="77777777" w:rsidR="00A052DC" w:rsidRDefault="009F0A60">
            <w:pPr>
              <w:pStyle w:val="B1"/>
            </w:pPr>
            <w:r>
              <w:rPr>
                <w:rFonts w:hint="eastAsia"/>
              </w:rPr>
              <w:t>校验</w:t>
            </w:r>
          </w:p>
        </w:tc>
      </w:tr>
      <w:tr w:rsidR="00A052DC" w14:paraId="7D9F44BD" w14:textId="77777777">
        <w:tc>
          <w:tcPr>
            <w:tcW w:w="1560" w:type="dxa"/>
          </w:tcPr>
          <w:p w14:paraId="51241DAC" w14:textId="77777777" w:rsidR="00A052DC" w:rsidRDefault="009F0A60">
            <w:pPr>
              <w:pStyle w:val="B"/>
              <w:rPr>
                <w:szCs w:val="20"/>
              </w:rPr>
            </w:pPr>
            <w:r>
              <w:rPr>
                <w:szCs w:val="20"/>
              </w:rPr>
              <w:t>ACTIONTYPE</w:t>
            </w:r>
          </w:p>
        </w:tc>
        <w:tc>
          <w:tcPr>
            <w:tcW w:w="1417" w:type="dxa"/>
          </w:tcPr>
          <w:p w14:paraId="71933EAD" w14:textId="77777777" w:rsidR="00A052DC" w:rsidRDefault="009F0A60">
            <w:pPr>
              <w:pStyle w:val="B"/>
              <w:rPr>
                <w:szCs w:val="20"/>
              </w:rPr>
            </w:pPr>
            <w:r>
              <w:rPr>
                <w:rFonts w:hint="eastAsia"/>
                <w:szCs w:val="20"/>
              </w:rPr>
              <w:t>操作类型</w:t>
            </w:r>
          </w:p>
        </w:tc>
        <w:tc>
          <w:tcPr>
            <w:tcW w:w="1560" w:type="dxa"/>
          </w:tcPr>
          <w:p w14:paraId="38D861F8" w14:textId="77777777" w:rsidR="00A052DC" w:rsidRDefault="009F0A60">
            <w:pPr>
              <w:pStyle w:val="B"/>
              <w:rPr>
                <w:szCs w:val="20"/>
              </w:rPr>
            </w:pPr>
            <w:r>
              <w:rPr>
                <w:rFonts w:hint="eastAsia"/>
                <w:szCs w:val="20"/>
              </w:rPr>
              <w:t>字符型，1</w:t>
            </w:r>
          </w:p>
        </w:tc>
        <w:tc>
          <w:tcPr>
            <w:tcW w:w="4110" w:type="dxa"/>
          </w:tcPr>
          <w:p w14:paraId="603328F4" w14:textId="77777777" w:rsidR="00A052DC" w:rsidRDefault="009F0A60">
            <w:pPr>
              <w:pStyle w:val="B"/>
              <w:rPr>
                <w:szCs w:val="20"/>
              </w:rPr>
            </w:pPr>
            <w:r>
              <w:rPr>
                <w:rFonts w:hint="eastAsia"/>
                <w:szCs w:val="20"/>
              </w:rPr>
              <w:t>必填项</w:t>
            </w:r>
            <w:r w:rsidR="005D3821">
              <w:rPr>
                <w:rFonts w:hint="eastAsia"/>
                <w:szCs w:val="20"/>
              </w:rPr>
              <w:t>。</w:t>
            </w:r>
          </w:p>
          <w:p w14:paraId="25B70BE2" w14:textId="77777777" w:rsidR="00A052DC" w:rsidRDefault="009F0A60">
            <w:pPr>
              <w:pStyle w:val="B"/>
              <w:rPr>
                <w:szCs w:val="20"/>
              </w:rPr>
            </w:pPr>
            <w:r>
              <w:rPr>
                <w:rFonts w:hint="eastAsia"/>
                <w:szCs w:val="20"/>
              </w:rPr>
              <w:t>A</w:t>
            </w:r>
            <w:r w:rsidR="00AE4602">
              <w:rPr>
                <w:rFonts w:hint="eastAsia"/>
                <w:szCs w:val="20"/>
              </w:rPr>
              <w:t>-</w:t>
            </w:r>
            <w:r>
              <w:rPr>
                <w:rFonts w:hint="eastAsia"/>
                <w:szCs w:val="20"/>
              </w:rPr>
              <w:t>新建</w:t>
            </w:r>
          </w:p>
          <w:p w14:paraId="7A4F9E83" w14:textId="77777777" w:rsidR="00A052DC" w:rsidRDefault="009F0A60">
            <w:pPr>
              <w:pStyle w:val="B"/>
              <w:rPr>
                <w:szCs w:val="20"/>
              </w:rPr>
            </w:pPr>
            <w:r>
              <w:rPr>
                <w:rFonts w:hint="eastAsia"/>
                <w:szCs w:val="20"/>
              </w:rPr>
              <w:t>C</w:t>
            </w:r>
            <w:r w:rsidR="00AE4602">
              <w:rPr>
                <w:rFonts w:hint="eastAsia"/>
                <w:szCs w:val="20"/>
              </w:rPr>
              <w:t>-</w:t>
            </w:r>
            <w:r>
              <w:rPr>
                <w:rFonts w:hint="eastAsia"/>
                <w:szCs w:val="20"/>
              </w:rPr>
              <w:t>修改</w:t>
            </w:r>
          </w:p>
          <w:p w14:paraId="5B80F762" w14:textId="77777777" w:rsidR="00A052DC" w:rsidRDefault="009F0A60">
            <w:pPr>
              <w:pStyle w:val="B"/>
              <w:rPr>
                <w:szCs w:val="20"/>
              </w:rPr>
            </w:pPr>
            <w:r>
              <w:rPr>
                <w:rFonts w:hint="eastAsia"/>
                <w:szCs w:val="20"/>
              </w:rPr>
              <w:t>D</w:t>
            </w:r>
            <w:r w:rsidR="00AE4602">
              <w:rPr>
                <w:rFonts w:hint="eastAsia"/>
                <w:szCs w:val="20"/>
              </w:rPr>
              <w:t>-</w:t>
            </w:r>
            <w:r>
              <w:rPr>
                <w:rFonts w:hint="eastAsia"/>
                <w:szCs w:val="20"/>
              </w:rPr>
              <w:t>删除</w:t>
            </w:r>
          </w:p>
        </w:tc>
      </w:tr>
      <w:tr w:rsidR="00A052DC" w14:paraId="7E10F9B8" w14:textId="77777777">
        <w:tc>
          <w:tcPr>
            <w:tcW w:w="1560" w:type="dxa"/>
          </w:tcPr>
          <w:p w14:paraId="621CF434" w14:textId="77777777" w:rsidR="00A052DC" w:rsidRDefault="009F0A60">
            <w:pPr>
              <w:pStyle w:val="B"/>
              <w:rPr>
                <w:szCs w:val="20"/>
              </w:rPr>
            </w:pPr>
            <w:r>
              <w:rPr>
                <w:szCs w:val="20"/>
              </w:rPr>
              <w:t>ACTIONDESC</w:t>
            </w:r>
          </w:p>
        </w:tc>
        <w:tc>
          <w:tcPr>
            <w:tcW w:w="1417" w:type="dxa"/>
          </w:tcPr>
          <w:p w14:paraId="0BD15E50" w14:textId="77777777" w:rsidR="00A052DC" w:rsidRDefault="009F0A60">
            <w:pPr>
              <w:pStyle w:val="B"/>
              <w:rPr>
                <w:szCs w:val="20"/>
              </w:rPr>
            </w:pPr>
            <w:r>
              <w:rPr>
                <w:rFonts w:hint="eastAsia"/>
                <w:szCs w:val="20"/>
              </w:rPr>
              <w:t>删除原因</w:t>
            </w:r>
          </w:p>
        </w:tc>
        <w:tc>
          <w:tcPr>
            <w:tcW w:w="1560" w:type="dxa"/>
          </w:tcPr>
          <w:p w14:paraId="7A1BDA5B" w14:textId="77777777" w:rsidR="00A052DC" w:rsidRDefault="009F0A60">
            <w:pPr>
              <w:pStyle w:val="B1"/>
              <w:jc w:val="both"/>
              <w:rPr>
                <w:b w:val="0"/>
              </w:rPr>
            </w:pPr>
            <w:r>
              <w:rPr>
                <w:rFonts w:hint="eastAsia"/>
                <w:b w:val="0"/>
              </w:rPr>
              <w:t>字符型，128</w:t>
            </w:r>
          </w:p>
        </w:tc>
        <w:tc>
          <w:tcPr>
            <w:tcW w:w="4110" w:type="dxa"/>
          </w:tcPr>
          <w:p w14:paraId="1994D736" w14:textId="77777777" w:rsidR="00A052DC" w:rsidRDefault="00DD6AA3">
            <w:pPr>
              <w:pStyle w:val="B"/>
              <w:rPr>
                <w:szCs w:val="20"/>
              </w:rPr>
            </w:pPr>
            <w:r>
              <w:rPr>
                <w:rFonts w:hint="eastAsia"/>
                <w:szCs w:val="20"/>
              </w:rPr>
              <w:t>非必填项，当操作类型（ACTIONTYPE）为删除时必填。</w:t>
            </w:r>
          </w:p>
        </w:tc>
      </w:tr>
      <w:tr w:rsidR="00A052DC" w14:paraId="5B6DF942" w14:textId="77777777">
        <w:tc>
          <w:tcPr>
            <w:tcW w:w="1560" w:type="dxa"/>
          </w:tcPr>
          <w:p w14:paraId="6C491681" w14:textId="77777777" w:rsidR="00A052DC" w:rsidRDefault="009F0A60">
            <w:pPr>
              <w:pStyle w:val="B"/>
              <w:rPr>
                <w:szCs w:val="20"/>
              </w:rPr>
            </w:pPr>
            <w:r>
              <w:rPr>
                <w:szCs w:val="20"/>
              </w:rPr>
              <w:t>EXDEBTCODE</w:t>
            </w:r>
          </w:p>
        </w:tc>
        <w:tc>
          <w:tcPr>
            <w:tcW w:w="1417" w:type="dxa"/>
          </w:tcPr>
          <w:p w14:paraId="4AF14D12" w14:textId="77777777" w:rsidR="00A052DC" w:rsidRDefault="009F0A60">
            <w:pPr>
              <w:pStyle w:val="B"/>
              <w:rPr>
                <w:szCs w:val="20"/>
              </w:rPr>
            </w:pPr>
            <w:r>
              <w:rPr>
                <w:rFonts w:hint="eastAsia"/>
                <w:szCs w:val="20"/>
              </w:rPr>
              <w:t>外债编号</w:t>
            </w:r>
          </w:p>
        </w:tc>
        <w:tc>
          <w:tcPr>
            <w:tcW w:w="1560" w:type="dxa"/>
          </w:tcPr>
          <w:p w14:paraId="26268F45" w14:textId="77777777" w:rsidR="00A052DC" w:rsidRDefault="009F0A60">
            <w:pPr>
              <w:pStyle w:val="B"/>
              <w:rPr>
                <w:szCs w:val="20"/>
              </w:rPr>
            </w:pPr>
            <w:r>
              <w:rPr>
                <w:rFonts w:hint="eastAsia"/>
                <w:szCs w:val="20"/>
              </w:rPr>
              <w:t>字符型，28</w:t>
            </w:r>
          </w:p>
        </w:tc>
        <w:tc>
          <w:tcPr>
            <w:tcW w:w="4110" w:type="dxa"/>
          </w:tcPr>
          <w:p w14:paraId="30531AD7" w14:textId="77777777" w:rsidR="00A052DC" w:rsidRDefault="009F0A60">
            <w:pPr>
              <w:pStyle w:val="B"/>
              <w:rPr>
                <w:szCs w:val="20"/>
              </w:rPr>
            </w:pPr>
            <w:r>
              <w:rPr>
                <w:rFonts w:hint="eastAsia"/>
                <w:szCs w:val="20"/>
              </w:rPr>
              <w:t>必填项，</w:t>
            </w:r>
          </w:p>
          <w:p w14:paraId="7F397C99" w14:textId="77777777" w:rsidR="00A052DC" w:rsidRDefault="009F0A60">
            <w:pPr>
              <w:pStyle w:val="B"/>
              <w:rPr>
                <w:szCs w:val="20"/>
              </w:rPr>
            </w:pPr>
            <w:r>
              <w:rPr>
                <w:rFonts w:hint="eastAsia"/>
                <w:szCs w:val="20"/>
              </w:rPr>
              <w:t>外债唯一性编码。</w:t>
            </w:r>
          </w:p>
        </w:tc>
      </w:tr>
      <w:tr w:rsidR="00A052DC" w14:paraId="1A6DFBBF" w14:textId="77777777">
        <w:tc>
          <w:tcPr>
            <w:tcW w:w="1560" w:type="dxa"/>
          </w:tcPr>
          <w:p w14:paraId="25004699" w14:textId="77777777" w:rsidR="00A052DC" w:rsidRDefault="009F0A60">
            <w:pPr>
              <w:pStyle w:val="B"/>
              <w:rPr>
                <w:szCs w:val="20"/>
              </w:rPr>
            </w:pPr>
            <w:r>
              <w:rPr>
                <w:szCs w:val="20"/>
              </w:rPr>
              <w:t>CHANGENO</w:t>
            </w:r>
          </w:p>
        </w:tc>
        <w:tc>
          <w:tcPr>
            <w:tcW w:w="1417" w:type="dxa"/>
          </w:tcPr>
          <w:p w14:paraId="16A12B75" w14:textId="77777777" w:rsidR="00A052DC" w:rsidRDefault="009F0A60">
            <w:pPr>
              <w:pStyle w:val="B"/>
              <w:rPr>
                <w:szCs w:val="20"/>
              </w:rPr>
            </w:pPr>
            <w:r>
              <w:rPr>
                <w:rFonts w:hint="eastAsia"/>
                <w:szCs w:val="20"/>
              </w:rPr>
              <w:t>变动编号</w:t>
            </w:r>
          </w:p>
        </w:tc>
        <w:tc>
          <w:tcPr>
            <w:tcW w:w="1560" w:type="dxa"/>
          </w:tcPr>
          <w:p w14:paraId="400CF31B" w14:textId="77777777" w:rsidR="00A052DC" w:rsidRDefault="009F0A60">
            <w:pPr>
              <w:pStyle w:val="B"/>
              <w:rPr>
                <w:szCs w:val="20"/>
              </w:rPr>
            </w:pPr>
            <w:r>
              <w:rPr>
                <w:rFonts w:hint="eastAsia"/>
                <w:szCs w:val="20"/>
              </w:rPr>
              <w:t>字符型，4</w:t>
            </w:r>
          </w:p>
        </w:tc>
        <w:tc>
          <w:tcPr>
            <w:tcW w:w="4110" w:type="dxa"/>
          </w:tcPr>
          <w:p w14:paraId="4BD73736" w14:textId="77777777" w:rsidR="00A052DC" w:rsidRDefault="009F0A60">
            <w:pPr>
              <w:pStyle w:val="B"/>
              <w:rPr>
                <w:szCs w:val="20"/>
              </w:rPr>
            </w:pPr>
            <w:r>
              <w:rPr>
                <w:rFonts w:hint="eastAsia"/>
                <w:szCs w:val="20"/>
              </w:rPr>
              <w:t>必填项。</w:t>
            </w:r>
          </w:p>
        </w:tc>
      </w:tr>
      <w:tr w:rsidR="00A052DC" w14:paraId="2CC91A3D" w14:textId="77777777">
        <w:tc>
          <w:tcPr>
            <w:tcW w:w="1560" w:type="dxa"/>
          </w:tcPr>
          <w:p w14:paraId="085F7BCC" w14:textId="77777777" w:rsidR="00A052DC" w:rsidRDefault="009F0A60">
            <w:pPr>
              <w:pStyle w:val="B"/>
              <w:rPr>
                <w:szCs w:val="20"/>
              </w:rPr>
            </w:pPr>
            <w:r>
              <w:rPr>
                <w:szCs w:val="20"/>
              </w:rPr>
              <w:t>BUSCODE</w:t>
            </w:r>
          </w:p>
        </w:tc>
        <w:tc>
          <w:tcPr>
            <w:tcW w:w="1417" w:type="dxa"/>
          </w:tcPr>
          <w:p w14:paraId="521CF76E" w14:textId="77777777" w:rsidR="00A052DC" w:rsidRDefault="009F0A60">
            <w:pPr>
              <w:pStyle w:val="B"/>
              <w:rPr>
                <w:szCs w:val="20"/>
              </w:rPr>
            </w:pPr>
            <w:r>
              <w:rPr>
                <w:rFonts w:hint="eastAsia"/>
                <w:szCs w:val="20"/>
              </w:rPr>
              <w:t>银行账号</w:t>
            </w:r>
          </w:p>
        </w:tc>
        <w:tc>
          <w:tcPr>
            <w:tcW w:w="1560" w:type="dxa"/>
          </w:tcPr>
          <w:p w14:paraId="3C4D2B40" w14:textId="77777777" w:rsidR="00A052DC" w:rsidRDefault="009F0A60">
            <w:pPr>
              <w:pStyle w:val="B"/>
              <w:rPr>
                <w:szCs w:val="20"/>
              </w:rPr>
            </w:pPr>
            <w:r>
              <w:rPr>
                <w:rFonts w:hint="eastAsia"/>
                <w:szCs w:val="20"/>
              </w:rPr>
              <w:t>字符型，32</w:t>
            </w:r>
          </w:p>
        </w:tc>
        <w:tc>
          <w:tcPr>
            <w:tcW w:w="4110" w:type="dxa"/>
          </w:tcPr>
          <w:p w14:paraId="77810C7D" w14:textId="77777777" w:rsidR="00A052DC" w:rsidRDefault="009F0A60">
            <w:pPr>
              <w:pStyle w:val="B"/>
              <w:rPr>
                <w:szCs w:val="20"/>
              </w:rPr>
            </w:pPr>
            <w:r>
              <w:rPr>
                <w:rFonts w:hint="eastAsia"/>
                <w:szCs w:val="20"/>
              </w:rPr>
              <w:t>必填项，指该笔业务在银行的账号。</w:t>
            </w:r>
          </w:p>
        </w:tc>
      </w:tr>
      <w:tr w:rsidR="00A052DC" w14:paraId="5DD0F1D0" w14:textId="77777777">
        <w:trPr>
          <w:cantSplit/>
          <w:trHeight w:val="64"/>
        </w:trPr>
        <w:tc>
          <w:tcPr>
            <w:tcW w:w="1560" w:type="dxa"/>
          </w:tcPr>
          <w:p w14:paraId="3A004F55" w14:textId="77777777" w:rsidR="00A052DC" w:rsidRDefault="009F0A60">
            <w:pPr>
              <w:pStyle w:val="B"/>
              <w:rPr>
                <w:szCs w:val="20"/>
              </w:rPr>
            </w:pPr>
            <w:r>
              <w:rPr>
                <w:szCs w:val="20"/>
              </w:rPr>
              <w:t>ACCOAMOUNT</w:t>
            </w:r>
          </w:p>
        </w:tc>
        <w:tc>
          <w:tcPr>
            <w:tcW w:w="1417" w:type="dxa"/>
          </w:tcPr>
          <w:p w14:paraId="38F03A0F" w14:textId="77777777" w:rsidR="00A052DC" w:rsidRDefault="009F0A60">
            <w:pPr>
              <w:pStyle w:val="B"/>
              <w:rPr>
                <w:szCs w:val="20"/>
              </w:rPr>
            </w:pPr>
            <w:r>
              <w:rPr>
                <w:rFonts w:hint="eastAsia"/>
                <w:szCs w:val="20"/>
              </w:rPr>
              <w:t>外债余额</w:t>
            </w:r>
          </w:p>
        </w:tc>
        <w:tc>
          <w:tcPr>
            <w:tcW w:w="1560" w:type="dxa"/>
          </w:tcPr>
          <w:p w14:paraId="72F0248B" w14:textId="77777777" w:rsidR="00A052DC" w:rsidRDefault="009F0A60">
            <w:pPr>
              <w:pStyle w:val="B"/>
              <w:rPr>
                <w:szCs w:val="20"/>
              </w:rPr>
            </w:pPr>
            <w:r>
              <w:rPr>
                <w:rFonts w:hint="eastAsia"/>
                <w:szCs w:val="20"/>
              </w:rPr>
              <w:t>数值型，22.2</w:t>
            </w:r>
          </w:p>
        </w:tc>
        <w:tc>
          <w:tcPr>
            <w:tcW w:w="4110" w:type="dxa"/>
          </w:tcPr>
          <w:p w14:paraId="01B6D333" w14:textId="77777777" w:rsidR="00A052DC" w:rsidRDefault="009F0A60">
            <w:pPr>
              <w:pStyle w:val="B"/>
              <w:rPr>
                <w:szCs w:val="20"/>
              </w:rPr>
            </w:pPr>
            <w:r>
              <w:rPr>
                <w:rFonts w:hint="eastAsia"/>
                <w:szCs w:val="20"/>
              </w:rPr>
              <w:t>必填项，大于等于0。</w:t>
            </w:r>
          </w:p>
        </w:tc>
      </w:tr>
      <w:tr w:rsidR="00A052DC" w14:paraId="7500F3CB" w14:textId="77777777">
        <w:tc>
          <w:tcPr>
            <w:tcW w:w="1560" w:type="dxa"/>
          </w:tcPr>
          <w:p w14:paraId="33D9B1CD" w14:textId="77777777" w:rsidR="00A052DC" w:rsidRDefault="009F0A60">
            <w:pPr>
              <w:pStyle w:val="B"/>
              <w:rPr>
                <w:szCs w:val="20"/>
              </w:rPr>
            </w:pPr>
            <w:r>
              <w:rPr>
                <w:szCs w:val="20"/>
              </w:rPr>
              <w:t>CHDATE</w:t>
            </w:r>
          </w:p>
        </w:tc>
        <w:tc>
          <w:tcPr>
            <w:tcW w:w="1417" w:type="dxa"/>
          </w:tcPr>
          <w:p w14:paraId="4186CBE8" w14:textId="77777777" w:rsidR="00A052DC" w:rsidRDefault="009F0A60">
            <w:pPr>
              <w:pStyle w:val="B"/>
              <w:rPr>
                <w:szCs w:val="20"/>
              </w:rPr>
            </w:pPr>
            <w:r>
              <w:rPr>
                <w:rFonts w:hint="eastAsia"/>
                <w:szCs w:val="20"/>
              </w:rPr>
              <w:t>变动日期</w:t>
            </w:r>
          </w:p>
        </w:tc>
        <w:tc>
          <w:tcPr>
            <w:tcW w:w="1560" w:type="dxa"/>
          </w:tcPr>
          <w:p w14:paraId="6B49533A" w14:textId="77777777" w:rsidR="00A052DC" w:rsidRDefault="009F0A60">
            <w:pPr>
              <w:pStyle w:val="B"/>
              <w:rPr>
                <w:szCs w:val="20"/>
              </w:rPr>
            </w:pPr>
            <w:r>
              <w:rPr>
                <w:rFonts w:hint="eastAsia"/>
                <w:szCs w:val="20"/>
              </w:rPr>
              <w:t>日期型，8</w:t>
            </w:r>
          </w:p>
        </w:tc>
        <w:tc>
          <w:tcPr>
            <w:tcW w:w="4110" w:type="dxa"/>
          </w:tcPr>
          <w:p w14:paraId="770AD100" w14:textId="77777777" w:rsidR="00A052DC" w:rsidRDefault="009F0A60">
            <w:pPr>
              <w:pStyle w:val="B"/>
              <w:rPr>
                <w:szCs w:val="20"/>
              </w:rPr>
            </w:pPr>
            <w:r>
              <w:rPr>
                <w:rFonts w:hint="eastAsia"/>
                <w:szCs w:val="20"/>
              </w:rPr>
              <w:t>必填项，格式YYYYMMDD。</w:t>
            </w:r>
          </w:p>
        </w:tc>
      </w:tr>
      <w:tr w:rsidR="00A052DC" w14:paraId="37D5E57C" w14:textId="77777777">
        <w:tc>
          <w:tcPr>
            <w:tcW w:w="1560" w:type="dxa"/>
            <w:tcBorders>
              <w:top w:val="single" w:sz="4" w:space="0" w:color="auto"/>
              <w:left w:val="single" w:sz="4" w:space="0" w:color="auto"/>
              <w:bottom w:val="single" w:sz="4" w:space="0" w:color="auto"/>
              <w:right w:val="single" w:sz="4" w:space="0" w:color="auto"/>
            </w:tcBorders>
          </w:tcPr>
          <w:p w14:paraId="4095AA42" w14:textId="77777777" w:rsidR="00A052DC" w:rsidRDefault="009F0A60">
            <w:pPr>
              <w:pStyle w:val="B"/>
              <w:rPr>
                <w:szCs w:val="20"/>
              </w:rPr>
            </w:pPr>
            <w:r>
              <w:rPr>
                <w:szCs w:val="20"/>
              </w:rPr>
              <w:t>REMARK</w:t>
            </w:r>
          </w:p>
        </w:tc>
        <w:tc>
          <w:tcPr>
            <w:tcW w:w="1417" w:type="dxa"/>
            <w:tcBorders>
              <w:top w:val="single" w:sz="4" w:space="0" w:color="auto"/>
              <w:left w:val="single" w:sz="4" w:space="0" w:color="auto"/>
              <w:bottom w:val="single" w:sz="4" w:space="0" w:color="auto"/>
              <w:right w:val="single" w:sz="4" w:space="0" w:color="auto"/>
            </w:tcBorders>
          </w:tcPr>
          <w:p w14:paraId="48B17507" w14:textId="77777777" w:rsidR="00A052DC" w:rsidRDefault="009F0A60">
            <w:pPr>
              <w:pStyle w:val="B"/>
              <w:rPr>
                <w:szCs w:val="20"/>
              </w:rPr>
            </w:pPr>
            <w:r>
              <w:rPr>
                <w:rFonts w:hint="eastAsia"/>
                <w:szCs w:val="20"/>
              </w:rPr>
              <w:t>备注</w:t>
            </w:r>
          </w:p>
        </w:tc>
        <w:tc>
          <w:tcPr>
            <w:tcW w:w="1560" w:type="dxa"/>
            <w:tcBorders>
              <w:top w:val="single" w:sz="4" w:space="0" w:color="auto"/>
              <w:left w:val="single" w:sz="4" w:space="0" w:color="auto"/>
              <w:bottom w:val="single" w:sz="4" w:space="0" w:color="auto"/>
              <w:right w:val="single" w:sz="4" w:space="0" w:color="auto"/>
            </w:tcBorders>
          </w:tcPr>
          <w:p w14:paraId="5AE35938" w14:textId="77777777" w:rsidR="00A052DC" w:rsidRDefault="009F0A60">
            <w:pPr>
              <w:pStyle w:val="B"/>
              <w:rPr>
                <w:szCs w:val="20"/>
              </w:rPr>
            </w:pPr>
            <w:r>
              <w:rPr>
                <w:rFonts w:hint="eastAsia"/>
                <w:szCs w:val="20"/>
              </w:rPr>
              <w:t>字符型，256</w:t>
            </w:r>
          </w:p>
        </w:tc>
        <w:tc>
          <w:tcPr>
            <w:tcW w:w="4110" w:type="dxa"/>
            <w:tcBorders>
              <w:top w:val="single" w:sz="4" w:space="0" w:color="auto"/>
              <w:left w:val="single" w:sz="4" w:space="0" w:color="auto"/>
              <w:bottom w:val="single" w:sz="4" w:space="0" w:color="auto"/>
              <w:right w:val="single" w:sz="4" w:space="0" w:color="auto"/>
            </w:tcBorders>
          </w:tcPr>
          <w:p w14:paraId="5EE2A4B7" w14:textId="77777777" w:rsidR="00A052DC" w:rsidRDefault="009F0A60">
            <w:pPr>
              <w:pStyle w:val="B"/>
              <w:rPr>
                <w:szCs w:val="20"/>
              </w:rPr>
            </w:pPr>
            <w:r>
              <w:rPr>
                <w:rFonts w:hint="eastAsia"/>
                <w:szCs w:val="20"/>
              </w:rPr>
              <w:t>非必填项。</w:t>
            </w:r>
          </w:p>
        </w:tc>
      </w:tr>
    </w:tbl>
    <w:p w14:paraId="23D19A32" w14:textId="77777777" w:rsidR="00A052DC" w:rsidRDefault="009F0A60">
      <w:pPr>
        <w:pStyle w:val="2"/>
        <w:rPr>
          <w:rFonts w:ascii="Times New Roman" w:hAnsi="Times New Roman"/>
        </w:rPr>
      </w:pPr>
      <w:bookmarkStart w:id="1599" w:name="_Toc91455292"/>
      <w:bookmarkStart w:id="1600" w:name="_Toc454386944"/>
      <w:bookmarkStart w:id="1601" w:name="_Toc101684465"/>
      <w:r>
        <w:rPr>
          <w:rFonts w:ascii="Times New Roman" w:hAnsi="Times New Roman" w:hint="eastAsia"/>
        </w:rPr>
        <w:t>银行自身资本项目业务</w:t>
      </w:r>
      <w:bookmarkEnd w:id="1482"/>
      <w:r>
        <w:rPr>
          <w:rFonts w:ascii="Times New Roman" w:hAnsi="Times New Roman" w:hint="eastAsia"/>
        </w:rPr>
        <w:t>（不包括外债）</w:t>
      </w:r>
      <w:bookmarkEnd w:id="1599"/>
      <w:bookmarkEnd w:id="1600"/>
      <w:bookmarkEnd w:id="1601"/>
    </w:p>
    <w:p w14:paraId="3B1522F7" w14:textId="77777777" w:rsidR="00A052DC" w:rsidRDefault="009F0A60" w:rsidP="0020251D">
      <w:pPr>
        <w:pStyle w:val="3"/>
        <w:ind w:left="0"/>
        <w:rPr>
          <w:rFonts w:ascii="Times New Roman" w:hAnsi="Times New Roman"/>
        </w:rPr>
      </w:pPr>
      <w:bookmarkStart w:id="1602" w:name="_Toc380356263"/>
      <w:bookmarkStart w:id="1603" w:name="_Toc328635505"/>
      <w:bookmarkStart w:id="1604" w:name="_Toc454386945"/>
      <w:bookmarkStart w:id="1605" w:name="_Toc91455293"/>
      <w:bookmarkStart w:id="1606" w:name="_Toc101684466"/>
      <w:bookmarkEnd w:id="1483"/>
      <w:bookmarkEnd w:id="1484"/>
      <w:r>
        <w:rPr>
          <w:rFonts w:ascii="Times New Roman" w:hAnsi="Times New Roman" w:hint="eastAsia"/>
        </w:rPr>
        <w:t>对外担保</w:t>
      </w:r>
      <w:bookmarkStart w:id="1607" w:name="_Toc328635506"/>
      <w:bookmarkEnd w:id="1602"/>
      <w:bookmarkEnd w:id="1603"/>
      <w:bookmarkEnd w:id="1604"/>
      <w:bookmarkEnd w:id="1605"/>
      <w:bookmarkEnd w:id="1606"/>
    </w:p>
    <w:p w14:paraId="34EB3D6A" w14:textId="77777777" w:rsidR="00A052DC" w:rsidRDefault="009F0A60" w:rsidP="0020251D">
      <w:pPr>
        <w:pStyle w:val="4"/>
        <w:numPr>
          <w:ilvl w:val="3"/>
          <w:numId w:val="1"/>
        </w:numPr>
        <w:jc w:val="left"/>
      </w:pPr>
      <w:bookmarkStart w:id="1608" w:name="_Toc454386946"/>
      <w:r>
        <w:rPr>
          <w:rFonts w:hint="eastAsia"/>
        </w:rPr>
        <w:t>签约信息</w:t>
      </w:r>
      <w:bookmarkEnd w:id="1607"/>
      <w:bookmarkEnd w:id="1608"/>
    </w:p>
    <w:p w14:paraId="3F9FE3A0" w14:textId="77777777" w:rsidR="00A052DC" w:rsidRDefault="009F0A60" w:rsidP="0020251D">
      <w:pPr>
        <w:pStyle w:val="5"/>
        <w:numPr>
          <w:ilvl w:val="4"/>
          <w:numId w:val="1"/>
        </w:numPr>
        <w:spacing w:before="120" w:after="120" w:line="360" w:lineRule="auto"/>
        <w:jc w:val="left"/>
      </w:pPr>
      <w:bookmarkStart w:id="1609" w:name="_Toc328635507"/>
      <w:bookmarkStart w:id="1610" w:name="_Toc454386947"/>
      <w:r>
        <w:rPr>
          <w:rFonts w:hint="eastAsia"/>
        </w:rPr>
        <w:t>数据术语解释</w:t>
      </w:r>
      <w:bookmarkEnd w:id="1609"/>
      <w:bookmarkEnd w:id="1610"/>
    </w:p>
    <w:tbl>
      <w:tblPr>
        <w:tblW w:w="84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26"/>
        <w:gridCol w:w="6946"/>
      </w:tblGrid>
      <w:tr w:rsidR="00A052DC" w14:paraId="67FA09D3" w14:textId="77777777">
        <w:tc>
          <w:tcPr>
            <w:tcW w:w="1526" w:type="dxa"/>
          </w:tcPr>
          <w:p w14:paraId="73EC3BFA" w14:textId="77777777" w:rsidR="00A052DC" w:rsidRDefault="009F0A60">
            <w:pPr>
              <w:jc w:val="center"/>
              <w:rPr>
                <w:rFonts w:ascii="黑体" w:eastAsia="黑体" w:hAnsi="黑体"/>
                <w:b/>
                <w:sz w:val="20"/>
                <w:szCs w:val="20"/>
              </w:rPr>
            </w:pPr>
            <w:r>
              <w:rPr>
                <w:rFonts w:ascii="黑体" w:eastAsia="黑体" w:hAnsi="黑体" w:hint="eastAsia"/>
                <w:b/>
                <w:sz w:val="20"/>
                <w:szCs w:val="20"/>
              </w:rPr>
              <w:t>基础数据项</w:t>
            </w:r>
          </w:p>
        </w:tc>
        <w:tc>
          <w:tcPr>
            <w:tcW w:w="6946" w:type="dxa"/>
          </w:tcPr>
          <w:p w14:paraId="48C5D144" w14:textId="77777777" w:rsidR="00A052DC" w:rsidRDefault="009F0A60">
            <w:pPr>
              <w:jc w:val="center"/>
              <w:rPr>
                <w:rFonts w:ascii="黑体" w:eastAsia="黑体" w:hAnsi="黑体"/>
                <w:b/>
                <w:sz w:val="20"/>
                <w:szCs w:val="20"/>
              </w:rPr>
            </w:pPr>
            <w:r>
              <w:rPr>
                <w:rFonts w:ascii="黑体" w:eastAsia="黑体" w:hAnsi="黑体" w:hint="eastAsia"/>
                <w:b/>
                <w:sz w:val="20"/>
                <w:szCs w:val="20"/>
              </w:rPr>
              <w:t>定义</w:t>
            </w:r>
          </w:p>
        </w:tc>
      </w:tr>
      <w:tr w:rsidR="00A052DC" w14:paraId="57C11ADD" w14:textId="77777777">
        <w:trPr>
          <w:cantSplit/>
          <w:trHeight w:val="299"/>
        </w:trPr>
        <w:tc>
          <w:tcPr>
            <w:tcW w:w="1526" w:type="dxa"/>
          </w:tcPr>
          <w:p w14:paraId="7E57C19C" w14:textId="77777777" w:rsidR="00A052DC" w:rsidRDefault="009F0A60">
            <w:pPr>
              <w:rPr>
                <w:rFonts w:ascii="黑体" w:eastAsia="黑体" w:hAnsi="黑体"/>
                <w:color w:val="000000"/>
                <w:sz w:val="20"/>
                <w:szCs w:val="20"/>
              </w:rPr>
            </w:pPr>
            <w:r>
              <w:rPr>
                <w:rFonts w:ascii="黑体" w:eastAsia="黑体" w:hAnsi="黑体" w:hint="eastAsia"/>
                <w:color w:val="000000"/>
                <w:sz w:val="20"/>
                <w:szCs w:val="20"/>
              </w:rPr>
              <w:t>对外担保编号</w:t>
            </w:r>
          </w:p>
        </w:tc>
        <w:tc>
          <w:tcPr>
            <w:tcW w:w="6946" w:type="dxa"/>
          </w:tcPr>
          <w:p w14:paraId="07AB7556" w14:textId="77777777" w:rsidR="00A052DC" w:rsidRDefault="009F0A60">
            <w:pPr>
              <w:rPr>
                <w:rFonts w:ascii="黑体" w:eastAsia="黑体" w:hAnsi="黑体"/>
                <w:color w:val="000000"/>
                <w:sz w:val="20"/>
                <w:szCs w:val="20"/>
              </w:rPr>
            </w:pPr>
            <w:r>
              <w:rPr>
                <w:rFonts w:ascii="黑体" w:eastAsia="黑体" w:hAnsi="黑体" w:hint="eastAsia"/>
                <w:color w:val="000000"/>
                <w:sz w:val="20"/>
                <w:szCs w:val="20"/>
              </w:rPr>
              <w:t>外汇局制定统一编号规则，银行自行对每一笔对外担保编号，用于唯一标识该笔对外担保。银行的担保编号共计28位。第1至2位为业务类型标识，第3位至14位为银行金融机构标识码；第15至22位为8位年月日数字（20110701）;第23至28位为该笔业务的流水号（流水码编制规则：从000001～999999）。银行新发生一笔对外担保业务时，需为该笔担保编制对外担保编号，同一笔担保发生变更或展期时，不作为一笔新业务进行登记，发生展期时，变更到期日。</w:t>
            </w:r>
          </w:p>
        </w:tc>
      </w:tr>
      <w:tr w:rsidR="00A052DC" w14:paraId="1EA79AB6" w14:textId="77777777">
        <w:trPr>
          <w:cantSplit/>
        </w:trPr>
        <w:tc>
          <w:tcPr>
            <w:tcW w:w="1526" w:type="dxa"/>
          </w:tcPr>
          <w:p w14:paraId="26307A16" w14:textId="77777777" w:rsidR="00A052DC" w:rsidRDefault="009F0A60">
            <w:pPr>
              <w:rPr>
                <w:rFonts w:ascii="黑体" w:eastAsia="黑体" w:hAnsi="黑体"/>
                <w:sz w:val="20"/>
                <w:szCs w:val="20"/>
              </w:rPr>
            </w:pPr>
            <w:r>
              <w:rPr>
                <w:rFonts w:ascii="黑体" w:eastAsia="黑体" w:hAnsi="黑体" w:hint="eastAsia"/>
                <w:sz w:val="20"/>
                <w:szCs w:val="20"/>
              </w:rPr>
              <w:t>担保人代码</w:t>
            </w:r>
          </w:p>
        </w:tc>
        <w:tc>
          <w:tcPr>
            <w:tcW w:w="6946" w:type="dxa"/>
          </w:tcPr>
          <w:p w14:paraId="2CC863C0" w14:textId="77777777" w:rsidR="00A052DC" w:rsidRDefault="009F0A60">
            <w:pPr>
              <w:rPr>
                <w:rFonts w:ascii="黑体" w:eastAsia="黑体" w:hAnsi="黑体"/>
                <w:sz w:val="20"/>
                <w:szCs w:val="20"/>
              </w:rPr>
            </w:pPr>
            <w:r>
              <w:rPr>
                <w:rFonts w:ascii="黑体" w:eastAsia="黑体" w:hAnsi="黑体" w:hint="eastAsia"/>
                <w:sz w:val="20"/>
                <w:szCs w:val="20"/>
              </w:rPr>
              <w:t>国家外汇管理局及其分支局签发的12位金融机构标识码编码。</w:t>
            </w:r>
          </w:p>
        </w:tc>
      </w:tr>
      <w:tr w:rsidR="00A052DC" w14:paraId="44F35FB4" w14:textId="77777777">
        <w:trPr>
          <w:cantSplit/>
        </w:trPr>
        <w:tc>
          <w:tcPr>
            <w:tcW w:w="1526" w:type="dxa"/>
          </w:tcPr>
          <w:p w14:paraId="1EE7096B" w14:textId="77777777" w:rsidR="00A052DC" w:rsidRDefault="009F0A60">
            <w:pPr>
              <w:rPr>
                <w:rFonts w:ascii="黑体" w:eastAsia="黑体" w:hAnsi="黑体"/>
                <w:sz w:val="20"/>
                <w:szCs w:val="20"/>
              </w:rPr>
            </w:pPr>
            <w:r>
              <w:rPr>
                <w:rFonts w:ascii="黑体" w:eastAsia="黑体" w:hAnsi="黑体" w:hint="eastAsia"/>
                <w:sz w:val="20"/>
                <w:szCs w:val="20"/>
              </w:rPr>
              <w:t>签约日期</w:t>
            </w:r>
          </w:p>
        </w:tc>
        <w:tc>
          <w:tcPr>
            <w:tcW w:w="6946" w:type="dxa"/>
          </w:tcPr>
          <w:p w14:paraId="2061046C" w14:textId="77777777" w:rsidR="00A052DC" w:rsidRDefault="009F0A60">
            <w:pPr>
              <w:rPr>
                <w:rFonts w:ascii="黑体" w:eastAsia="黑体" w:hAnsi="黑体"/>
                <w:sz w:val="20"/>
                <w:szCs w:val="20"/>
              </w:rPr>
            </w:pPr>
            <w:r>
              <w:rPr>
                <w:rFonts w:ascii="黑体" w:eastAsia="黑体" w:hAnsi="黑体" w:hint="eastAsia"/>
                <w:sz w:val="20"/>
                <w:szCs w:val="20"/>
              </w:rPr>
              <w:t>指保函开立日期。</w:t>
            </w:r>
          </w:p>
        </w:tc>
      </w:tr>
      <w:tr w:rsidR="00A052DC" w14:paraId="5673B57C" w14:textId="77777777">
        <w:trPr>
          <w:cantSplit/>
        </w:trPr>
        <w:tc>
          <w:tcPr>
            <w:tcW w:w="1526" w:type="dxa"/>
          </w:tcPr>
          <w:p w14:paraId="47AB4645" w14:textId="77777777" w:rsidR="00A052DC" w:rsidRDefault="009F0A60">
            <w:pPr>
              <w:rPr>
                <w:rFonts w:ascii="黑体" w:eastAsia="黑体" w:hAnsi="黑体"/>
                <w:sz w:val="20"/>
                <w:szCs w:val="20"/>
              </w:rPr>
            </w:pPr>
            <w:r>
              <w:rPr>
                <w:rFonts w:ascii="黑体" w:eastAsia="黑体" w:hAnsi="黑体" w:hint="eastAsia"/>
                <w:sz w:val="20"/>
                <w:szCs w:val="20"/>
              </w:rPr>
              <w:t>保函金额</w:t>
            </w:r>
          </w:p>
        </w:tc>
        <w:tc>
          <w:tcPr>
            <w:tcW w:w="6946" w:type="dxa"/>
            <w:vAlign w:val="center"/>
          </w:tcPr>
          <w:p w14:paraId="10B3A2A8" w14:textId="77777777" w:rsidR="00A052DC" w:rsidRDefault="009F0A60">
            <w:pPr>
              <w:rPr>
                <w:rFonts w:ascii="黑体" w:eastAsia="黑体" w:hAnsi="黑体"/>
                <w:sz w:val="20"/>
                <w:szCs w:val="20"/>
              </w:rPr>
            </w:pPr>
            <w:r>
              <w:rPr>
                <w:rFonts w:ascii="黑体" w:eastAsia="黑体" w:hAnsi="黑体" w:hint="eastAsia"/>
                <w:sz w:val="20"/>
                <w:szCs w:val="20"/>
              </w:rPr>
              <w:t>在担保合同中所约定的担保人需要履行的担保责任金额。</w:t>
            </w:r>
          </w:p>
        </w:tc>
      </w:tr>
      <w:tr w:rsidR="00A052DC" w14:paraId="6452728D" w14:textId="77777777">
        <w:trPr>
          <w:cantSplit/>
        </w:trPr>
        <w:tc>
          <w:tcPr>
            <w:tcW w:w="1526" w:type="dxa"/>
          </w:tcPr>
          <w:p w14:paraId="30064791" w14:textId="77777777" w:rsidR="00A052DC" w:rsidRDefault="009F0A60">
            <w:pPr>
              <w:rPr>
                <w:rFonts w:ascii="黑体" w:eastAsia="黑体" w:hAnsi="黑体"/>
                <w:sz w:val="20"/>
                <w:szCs w:val="20"/>
              </w:rPr>
            </w:pPr>
            <w:r>
              <w:rPr>
                <w:rFonts w:ascii="黑体" w:eastAsia="黑体" w:hAnsi="黑体" w:hint="eastAsia"/>
                <w:sz w:val="20"/>
                <w:szCs w:val="20"/>
              </w:rPr>
              <w:t>保函币种</w:t>
            </w:r>
          </w:p>
        </w:tc>
        <w:tc>
          <w:tcPr>
            <w:tcW w:w="6946" w:type="dxa"/>
            <w:vAlign w:val="center"/>
          </w:tcPr>
          <w:p w14:paraId="7BF44044" w14:textId="77777777" w:rsidR="00A052DC" w:rsidRDefault="009F0A60">
            <w:pPr>
              <w:rPr>
                <w:rFonts w:ascii="黑体" w:eastAsia="黑体" w:hAnsi="黑体"/>
                <w:sz w:val="20"/>
                <w:szCs w:val="20"/>
              </w:rPr>
            </w:pPr>
            <w:r>
              <w:rPr>
                <w:rFonts w:ascii="黑体" w:eastAsia="黑体" w:hAnsi="黑体" w:hint="eastAsia"/>
                <w:sz w:val="20"/>
                <w:szCs w:val="20"/>
              </w:rPr>
              <w:t>保函金额的计价币种。</w:t>
            </w:r>
          </w:p>
        </w:tc>
      </w:tr>
      <w:tr w:rsidR="00A052DC" w14:paraId="192EA66D" w14:textId="77777777">
        <w:trPr>
          <w:cantSplit/>
        </w:trPr>
        <w:tc>
          <w:tcPr>
            <w:tcW w:w="1526" w:type="dxa"/>
          </w:tcPr>
          <w:p w14:paraId="4A01832F" w14:textId="77777777" w:rsidR="00A052DC" w:rsidRDefault="009F0A60">
            <w:pPr>
              <w:rPr>
                <w:rFonts w:ascii="黑体" w:eastAsia="黑体" w:hAnsi="黑体"/>
                <w:sz w:val="20"/>
                <w:szCs w:val="20"/>
              </w:rPr>
            </w:pPr>
            <w:r>
              <w:rPr>
                <w:rFonts w:ascii="黑体" w:eastAsia="黑体" w:hAnsi="黑体" w:hint="eastAsia"/>
                <w:sz w:val="20"/>
                <w:szCs w:val="20"/>
              </w:rPr>
              <w:t>到期日</w:t>
            </w:r>
          </w:p>
        </w:tc>
        <w:tc>
          <w:tcPr>
            <w:tcW w:w="6946" w:type="dxa"/>
          </w:tcPr>
          <w:p w14:paraId="3712747F" w14:textId="77777777" w:rsidR="00A052DC" w:rsidRDefault="009F0A60">
            <w:pPr>
              <w:rPr>
                <w:rFonts w:ascii="黑体" w:eastAsia="黑体" w:hAnsi="黑体"/>
                <w:sz w:val="20"/>
                <w:szCs w:val="20"/>
              </w:rPr>
            </w:pPr>
            <w:r>
              <w:rPr>
                <w:rFonts w:ascii="黑体" w:eastAsia="黑体" w:hAnsi="黑体" w:hint="eastAsia"/>
                <w:sz w:val="20"/>
                <w:szCs w:val="20"/>
              </w:rPr>
              <w:t>1.融资性保函的到期日是指担保项下主债务合同到期日（担保到期日）</w:t>
            </w:r>
          </w:p>
          <w:p w14:paraId="5A0BFE7B" w14:textId="77777777" w:rsidR="00A052DC" w:rsidRDefault="009F0A60">
            <w:pPr>
              <w:rPr>
                <w:rFonts w:ascii="黑体" w:eastAsia="黑体" w:hAnsi="黑体"/>
                <w:sz w:val="20"/>
                <w:szCs w:val="20"/>
              </w:rPr>
            </w:pPr>
            <w:r>
              <w:rPr>
                <w:rFonts w:ascii="黑体" w:eastAsia="黑体" w:hAnsi="黑体" w:hint="eastAsia"/>
                <w:sz w:val="20"/>
                <w:szCs w:val="20"/>
              </w:rPr>
              <w:t>2.非融资性保函的到期日是指保函约定的担保责任解除日期。</w:t>
            </w:r>
          </w:p>
        </w:tc>
      </w:tr>
      <w:tr w:rsidR="00A052DC" w14:paraId="0FF8A4E7" w14:textId="77777777">
        <w:trPr>
          <w:cantSplit/>
        </w:trPr>
        <w:tc>
          <w:tcPr>
            <w:tcW w:w="1526" w:type="dxa"/>
          </w:tcPr>
          <w:p w14:paraId="2DB37319" w14:textId="77777777" w:rsidR="00A052DC" w:rsidRDefault="009F0A60">
            <w:pPr>
              <w:rPr>
                <w:rFonts w:ascii="黑体" w:eastAsia="黑体" w:hAnsi="黑体"/>
                <w:sz w:val="20"/>
                <w:szCs w:val="20"/>
              </w:rPr>
            </w:pPr>
            <w:r>
              <w:rPr>
                <w:rFonts w:ascii="黑体" w:eastAsia="黑体" w:hAnsi="黑体" w:hint="eastAsia"/>
                <w:sz w:val="20"/>
                <w:szCs w:val="20"/>
              </w:rPr>
              <w:t>担保类型</w:t>
            </w:r>
          </w:p>
        </w:tc>
        <w:tc>
          <w:tcPr>
            <w:tcW w:w="6946" w:type="dxa"/>
          </w:tcPr>
          <w:p w14:paraId="58535535" w14:textId="77777777" w:rsidR="00A052DC" w:rsidRDefault="009F0A60">
            <w:pPr>
              <w:rPr>
                <w:rFonts w:ascii="黑体" w:eastAsia="黑体" w:hAnsi="黑体"/>
                <w:sz w:val="20"/>
                <w:szCs w:val="20"/>
              </w:rPr>
            </w:pPr>
            <w:r>
              <w:rPr>
                <w:rFonts w:ascii="黑体" w:eastAsia="黑体" w:hAnsi="黑体" w:hint="eastAsia"/>
                <w:sz w:val="20"/>
                <w:szCs w:val="20"/>
              </w:rPr>
              <w:t>见担保类型代码表。</w:t>
            </w:r>
          </w:p>
        </w:tc>
      </w:tr>
      <w:tr w:rsidR="00A052DC" w14:paraId="27A5449B" w14:textId="77777777">
        <w:trPr>
          <w:cantSplit/>
        </w:trPr>
        <w:tc>
          <w:tcPr>
            <w:tcW w:w="1526" w:type="dxa"/>
          </w:tcPr>
          <w:p w14:paraId="50DAF2CE" w14:textId="77777777" w:rsidR="00A052DC" w:rsidRDefault="009F0A60">
            <w:pPr>
              <w:rPr>
                <w:rFonts w:ascii="黑体" w:eastAsia="黑体" w:hAnsi="黑体"/>
                <w:sz w:val="20"/>
                <w:szCs w:val="20"/>
              </w:rPr>
            </w:pPr>
            <w:r>
              <w:rPr>
                <w:rFonts w:ascii="黑体" w:eastAsia="黑体" w:hAnsi="黑体" w:hint="eastAsia"/>
                <w:sz w:val="20"/>
                <w:szCs w:val="20"/>
              </w:rPr>
              <w:t>主债务签约日期</w:t>
            </w:r>
          </w:p>
        </w:tc>
        <w:tc>
          <w:tcPr>
            <w:tcW w:w="6946" w:type="dxa"/>
          </w:tcPr>
          <w:p w14:paraId="7AA1AE36" w14:textId="77777777" w:rsidR="00A052DC" w:rsidRDefault="009F0A60">
            <w:pPr>
              <w:rPr>
                <w:rFonts w:ascii="黑体" w:eastAsia="黑体" w:hAnsi="黑体"/>
                <w:sz w:val="20"/>
                <w:szCs w:val="20"/>
              </w:rPr>
            </w:pPr>
            <w:r>
              <w:rPr>
                <w:rFonts w:ascii="黑体" w:eastAsia="黑体" w:hAnsi="黑体" w:hint="eastAsia"/>
                <w:sz w:val="20"/>
                <w:szCs w:val="20"/>
              </w:rPr>
              <w:t>担保项下主债务合同的签约日期。</w:t>
            </w:r>
          </w:p>
        </w:tc>
      </w:tr>
      <w:tr w:rsidR="00A052DC" w14:paraId="279F47C3" w14:textId="77777777">
        <w:trPr>
          <w:cantSplit/>
        </w:trPr>
        <w:tc>
          <w:tcPr>
            <w:tcW w:w="1526" w:type="dxa"/>
          </w:tcPr>
          <w:p w14:paraId="0A45B2DF" w14:textId="77777777" w:rsidR="00A052DC" w:rsidRDefault="009F0A60">
            <w:pPr>
              <w:rPr>
                <w:rFonts w:ascii="黑体" w:eastAsia="黑体" w:hAnsi="黑体"/>
                <w:sz w:val="20"/>
                <w:szCs w:val="20"/>
              </w:rPr>
            </w:pPr>
            <w:r>
              <w:rPr>
                <w:rFonts w:ascii="黑体" w:eastAsia="黑体" w:hAnsi="黑体" w:hint="eastAsia"/>
                <w:sz w:val="20"/>
                <w:szCs w:val="20"/>
              </w:rPr>
              <w:t>主债务到期日</w:t>
            </w:r>
          </w:p>
        </w:tc>
        <w:tc>
          <w:tcPr>
            <w:tcW w:w="6946" w:type="dxa"/>
          </w:tcPr>
          <w:p w14:paraId="2EEBD035" w14:textId="77777777" w:rsidR="00A052DC" w:rsidRDefault="009F0A60">
            <w:pPr>
              <w:rPr>
                <w:rFonts w:ascii="黑体" w:eastAsia="黑体" w:hAnsi="黑体"/>
                <w:sz w:val="20"/>
                <w:szCs w:val="20"/>
              </w:rPr>
            </w:pPr>
            <w:r>
              <w:rPr>
                <w:rFonts w:ascii="黑体" w:eastAsia="黑体" w:hAnsi="黑体" w:hint="eastAsia"/>
                <w:sz w:val="20"/>
                <w:szCs w:val="20"/>
              </w:rPr>
              <w:t>担保项下主债务合同的到期日。</w:t>
            </w:r>
          </w:p>
        </w:tc>
      </w:tr>
      <w:tr w:rsidR="00A052DC" w14:paraId="7D53EEC0" w14:textId="77777777">
        <w:trPr>
          <w:cantSplit/>
        </w:trPr>
        <w:tc>
          <w:tcPr>
            <w:tcW w:w="1526" w:type="dxa"/>
          </w:tcPr>
          <w:p w14:paraId="2490DAC2" w14:textId="77777777" w:rsidR="00A052DC" w:rsidRDefault="009F0A60">
            <w:pPr>
              <w:rPr>
                <w:rFonts w:ascii="黑体" w:eastAsia="黑体" w:hAnsi="黑体"/>
                <w:sz w:val="20"/>
                <w:szCs w:val="20"/>
              </w:rPr>
            </w:pPr>
            <w:r>
              <w:rPr>
                <w:rFonts w:ascii="黑体" w:eastAsia="黑体" w:hAnsi="黑体" w:hint="eastAsia"/>
                <w:sz w:val="20"/>
                <w:szCs w:val="20"/>
              </w:rPr>
              <w:t>主债务期限</w:t>
            </w:r>
          </w:p>
        </w:tc>
        <w:tc>
          <w:tcPr>
            <w:tcW w:w="6946" w:type="dxa"/>
          </w:tcPr>
          <w:p w14:paraId="642512ED" w14:textId="77777777" w:rsidR="00A052DC" w:rsidRDefault="009F0A60">
            <w:pPr>
              <w:rPr>
                <w:rFonts w:ascii="黑体" w:eastAsia="黑体" w:hAnsi="黑体"/>
                <w:sz w:val="20"/>
                <w:szCs w:val="20"/>
              </w:rPr>
            </w:pPr>
            <w:r>
              <w:rPr>
                <w:rFonts w:ascii="黑体" w:eastAsia="黑体" w:hAnsi="黑体" w:hint="eastAsia"/>
                <w:sz w:val="20"/>
                <w:szCs w:val="20"/>
              </w:rPr>
              <w:t>担保项下主债务期限。</w:t>
            </w:r>
          </w:p>
        </w:tc>
      </w:tr>
      <w:tr w:rsidR="00A052DC" w14:paraId="6CF7A59C" w14:textId="77777777">
        <w:trPr>
          <w:cantSplit/>
        </w:trPr>
        <w:tc>
          <w:tcPr>
            <w:tcW w:w="1526" w:type="dxa"/>
          </w:tcPr>
          <w:p w14:paraId="17FB4818" w14:textId="77777777" w:rsidR="00A052DC" w:rsidRDefault="009F0A60">
            <w:pPr>
              <w:rPr>
                <w:rFonts w:ascii="黑体" w:eastAsia="黑体" w:hAnsi="黑体"/>
                <w:sz w:val="20"/>
                <w:szCs w:val="20"/>
              </w:rPr>
            </w:pPr>
            <w:r>
              <w:rPr>
                <w:rFonts w:ascii="黑体" w:eastAsia="黑体" w:hAnsi="黑体" w:hint="eastAsia"/>
                <w:sz w:val="20"/>
                <w:szCs w:val="20"/>
              </w:rPr>
              <w:t>借款利率（%）</w:t>
            </w:r>
          </w:p>
        </w:tc>
        <w:tc>
          <w:tcPr>
            <w:tcW w:w="6946" w:type="dxa"/>
          </w:tcPr>
          <w:p w14:paraId="1E097C70" w14:textId="77777777" w:rsidR="00A052DC" w:rsidRDefault="009F0A60">
            <w:pPr>
              <w:rPr>
                <w:rFonts w:ascii="黑体" w:eastAsia="黑体" w:hAnsi="黑体"/>
                <w:sz w:val="20"/>
                <w:szCs w:val="20"/>
              </w:rPr>
            </w:pPr>
            <w:r>
              <w:rPr>
                <w:rFonts w:ascii="黑体" w:eastAsia="黑体" w:hAnsi="黑体" w:hint="eastAsia"/>
                <w:sz w:val="20"/>
                <w:szCs w:val="20"/>
              </w:rPr>
              <w:t>借款利率。</w:t>
            </w:r>
          </w:p>
        </w:tc>
      </w:tr>
      <w:tr w:rsidR="00A052DC" w14:paraId="1C2BB40E" w14:textId="77777777">
        <w:trPr>
          <w:cantSplit/>
        </w:trPr>
        <w:tc>
          <w:tcPr>
            <w:tcW w:w="1526" w:type="dxa"/>
          </w:tcPr>
          <w:p w14:paraId="7399321A" w14:textId="77777777" w:rsidR="00A052DC" w:rsidRDefault="009F0A60">
            <w:pPr>
              <w:rPr>
                <w:rFonts w:ascii="黑体" w:eastAsia="黑体" w:hAnsi="黑体"/>
                <w:sz w:val="20"/>
                <w:szCs w:val="20"/>
              </w:rPr>
            </w:pPr>
            <w:r>
              <w:rPr>
                <w:rFonts w:ascii="黑体" w:eastAsia="黑体" w:hAnsi="黑体" w:hint="eastAsia"/>
                <w:sz w:val="20"/>
                <w:szCs w:val="20"/>
              </w:rPr>
              <w:t>发行/上市方式</w:t>
            </w:r>
          </w:p>
        </w:tc>
        <w:tc>
          <w:tcPr>
            <w:tcW w:w="6946" w:type="dxa"/>
          </w:tcPr>
          <w:p w14:paraId="572406F4" w14:textId="77777777" w:rsidR="00A052DC" w:rsidRDefault="009F0A60">
            <w:pPr>
              <w:rPr>
                <w:rFonts w:ascii="黑体" w:eastAsia="黑体" w:hAnsi="黑体"/>
                <w:sz w:val="20"/>
                <w:szCs w:val="20"/>
              </w:rPr>
            </w:pPr>
            <w:r>
              <w:rPr>
                <w:rFonts w:ascii="黑体" w:eastAsia="黑体" w:hAnsi="黑体" w:hint="eastAsia"/>
                <w:sz w:val="20"/>
                <w:szCs w:val="20"/>
              </w:rPr>
              <w:t>债券发行/上市方式，见境外发债方式代码表。</w:t>
            </w:r>
          </w:p>
        </w:tc>
      </w:tr>
      <w:tr w:rsidR="00A052DC" w14:paraId="213B989F" w14:textId="77777777">
        <w:trPr>
          <w:cantSplit/>
        </w:trPr>
        <w:tc>
          <w:tcPr>
            <w:tcW w:w="1526" w:type="dxa"/>
          </w:tcPr>
          <w:p w14:paraId="53A748C3" w14:textId="77777777" w:rsidR="00A052DC" w:rsidRDefault="009F0A60">
            <w:pPr>
              <w:rPr>
                <w:rFonts w:ascii="黑体" w:eastAsia="黑体" w:hAnsi="黑体"/>
                <w:sz w:val="20"/>
                <w:szCs w:val="20"/>
              </w:rPr>
            </w:pPr>
            <w:r>
              <w:rPr>
                <w:rFonts w:ascii="黑体" w:eastAsia="黑体" w:hAnsi="黑体" w:hint="eastAsia"/>
                <w:sz w:val="20"/>
                <w:szCs w:val="20"/>
              </w:rPr>
              <w:t>主债务合同资金用途</w:t>
            </w:r>
          </w:p>
        </w:tc>
        <w:tc>
          <w:tcPr>
            <w:tcW w:w="6946" w:type="dxa"/>
          </w:tcPr>
          <w:p w14:paraId="539F4C36" w14:textId="77777777" w:rsidR="00A052DC" w:rsidRDefault="009F0A60">
            <w:pPr>
              <w:rPr>
                <w:rFonts w:ascii="黑体" w:eastAsia="黑体" w:hAnsi="黑体"/>
                <w:sz w:val="20"/>
                <w:szCs w:val="20"/>
              </w:rPr>
            </w:pPr>
            <w:r>
              <w:rPr>
                <w:rFonts w:ascii="黑体" w:eastAsia="黑体" w:hAnsi="黑体" w:hint="eastAsia"/>
                <w:sz w:val="20"/>
                <w:szCs w:val="20"/>
              </w:rPr>
              <w:t>境外主债务资金用途，见担保项下境外贷款资金用途代码表。</w:t>
            </w:r>
          </w:p>
        </w:tc>
      </w:tr>
      <w:tr w:rsidR="00A052DC" w14:paraId="01B4151A" w14:textId="77777777">
        <w:trPr>
          <w:cantSplit/>
        </w:trPr>
        <w:tc>
          <w:tcPr>
            <w:tcW w:w="1526" w:type="dxa"/>
          </w:tcPr>
          <w:p w14:paraId="065ADFE9" w14:textId="77777777" w:rsidR="00A052DC" w:rsidRDefault="009F0A60">
            <w:pPr>
              <w:rPr>
                <w:rFonts w:ascii="黑体" w:eastAsia="黑体" w:hAnsi="黑体"/>
                <w:sz w:val="20"/>
                <w:szCs w:val="20"/>
              </w:rPr>
            </w:pPr>
            <w:r>
              <w:rPr>
                <w:rFonts w:ascii="黑体" w:eastAsia="黑体" w:hAnsi="黑体" w:hint="eastAsia"/>
                <w:sz w:val="20"/>
                <w:szCs w:val="20"/>
              </w:rPr>
              <w:t>主债务金额</w:t>
            </w:r>
          </w:p>
        </w:tc>
        <w:tc>
          <w:tcPr>
            <w:tcW w:w="6946" w:type="dxa"/>
            <w:vAlign w:val="center"/>
          </w:tcPr>
          <w:p w14:paraId="674CA072" w14:textId="77777777" w:rsidR="00A052DC" w:rsidRDefault="009F0A60">
            <w:pPr>
              <w:rPr>
                <w:rFonts w:ascii="黑体" w:eastAsia="黑体" w:hAnsi="黑体"/>
                <w:sz w:val="20"/>
                <w:szCs w:val="20"/>
              </w:rPr>
            </w:pPr>
            <w:r>
              <w:rPr>
                <w:rFonts w:ascii="黑体" w:eastAsia="黑体" w:hAnsi="黑体" w:hint="eastAsia"/>
                <w:sz w:val="20"/>
                <w:szCs w:val="20"/>
              </w:rPr>
              <w:t>担保项下主债务合同的金额。</w:t>
            </w:r>
          </w:p>
        </w:tc>
      </w:tr>
      <w:tr w:rsidR="00A052DC" w14:paraId="2A6FD6B1" w14:textId="77777777">
        <w:trPr>
          <w:cantSplit/>
        </w:trPr>
        <w:tc>
          <w:tcPr>
            <w:tcW w:w="1526" w:type="dxa"/>
          </w:tcPr>
          <w:p w14:paraId="749A3832" w14:textId="77777777" w:rsidR="00A052DC" w:rsidRDefault="009F0A60">
            <w:pPr>
              <w:rPr>
                <w:rFonts w:ascii="黑体" w:eastAsia="黑体" w:hAnsi="黑体"/>
                <w:sz w:val="20"/>
                <w:szCs w:val="20"/>
              </w:rPr>
            </w:pPr>
            <w:r>
              <w:rPr>
                <w:rFonts w:ascii="黑体" w:eastAsia="黑体" w:hAnsi="黑体" w:hint="eastAsia"/>
                <w:sz w:val="20"/>
                <w:szCs w:val="20"/>
              </w:rPr>
              <w:t>主债务币种</w:t>
            </w:r>
          </w:p>
        </w:tc>
        <w:tc>
          <w:tcPr>
            <w:tcW w:w="6946" w:type="dxa"/>
            <w:vAlign w:val="center"/>
          </w:tcPr>
          <w:p w14:paraId="5B6AC762" w14:textId="77777777" w:rsidR="00A052DC" w:rsidRDefault="009F0A60">
            <w:pPr>
              <w:rPr>
                <w:rFonts w:ascii="黑体" w:eastAsia="黑体" w:hAnsi="黑体"/>
                <w:sz w:val="20"/>
                <w:szCs w:val="20"/>
              </w:rPr>
            </w:pPr>
            <w:r>
              <w:rPr>
                <w:rFonts w:ascii="黑体" w:eastAsia="黑体" w:hAnsi="黑体" w:hint="eastAsia"/>
                <w:sz w:val="20"/>
                <w:szCs w:val="20"/>
              </w:rPr>
              <w:t>担保项下主债务合同的计价币种。</w:t>
            </w:r>
          </w:p>
        </w:tc>
      </w:tr>
      <w:tr w:rsidR="00A052DC" w14:paraId="50690FE4" w14:textId="77777777">
        <w:trPr>
          <w:cantSplit/>
        </w:trPr>
        <w:tc>
          <w:tcPr>
            <w:tcW w:w="1526" w:type="dxa"/>
          </w:tcPr>
          <w:p w14:paraId="1F8C00D8" w14:textId="77777777" w:rsidR="00A052DC" w:rsidRDefault="009F0A60">
            <w:pPr>
              <w:rPr>
                <w:rFonts w:ascii="黑体" w:eastAsia="黑体" w:hAnsi="黑体"/>
                <w:sz w:val="20"/>
                <w:szCs w:val="20"/>
              </w:rPr>
            </w:pPr>
            <w:r>
              <w:rPr>
                <w:rFonts w:ascii="黑体" w:eastAsia="黑体" w:hAnsi="黑体" w:hint="eastAsia"/>
                <w:sz w:val="20"/>
                <w:szCs w:val="20"/>
              </w:rPr>
              <w:t>受益人代码</w:t>
            </w:r>
          </w:p>
        </w:tc>
        <w:tc>
          <w:tcPr>
            <w:tcW w:w="6946" w:type="dxa"/>
          </w:tcPr>
          <w:p w14:paraId="59092F51" w14:textId="77777777" w:rsidR="00A052DC" w:rsidRDefault="009F0A60">
            <w:pPr>
              <w:rPr>
                <w:rFonts w:ascii="黑体" w:eastAsia="黑体" w:hAnsi="黑体"/>
                <w:sz w:val="20"/>
                <w:szCs w:val="20"/>
              </w:rPr>
            </w:pPr>
            <w:r>
              <w:rPr>
                <w:rFonts w:ascii="黑体" w:eastAsia="黑体" w:hAnsi="黑体" w:hint="eastAsia"/>
                <w:sz w:val="20"/>
                <w:szCs w:val="20"/>
              </w:rPr>
              <w:t>如果受益人为境外金融机构，应填写8位或11位的SWIFTCODE；如果受益人为境内机构，应填写统一社会信用代码法定载体（如营业执照）上统一社会信用代码中的第9至17位或国家外汇管理局及其分支局签发的特殊机构代码赋码通知书上的机构代码；如果受益人为境内个人，应填写受益人个人身份证件号码。如果上述条件均不符合，则可为空。如果受益人为境内银行离岸部，应填写12位金融机构标识码。当担保类型为“为境外发债担保”且发行方式为“公开发行”时，应按照境外主体类型代码表中“资本市场”代码填写。</w:t>
            </w:r>
          </w:p>
        </w:tc>
      </w:tr>
      <w:tr w:rsidR="00A052DC" w14:paraId="047E1BEB" w14:textId="77777777">
        <w:trPr>
          <w:cantSplit/>
        </w:trPr>
        <w:tc>
          <w:tcPr>
            <w:tcW w:w="1526" w:type="dxa"/>
          </w:tcPr>
          <w:p w14:paraId="69937305" w14:textId="77777777" w:rsidR="00A052DC" w:rsidRDefault="009F0A60">
            <w:pPr>
              <w:rPr>
                <w:rFonts w:ascii="黑体" w:eastAsia="黑体" w:hAnsi="黑体"/>
                <w:sz w:val="20"/>
                <w:szCs w:val="20"/>
              </w:rPr>
            </w:pPr>
            <w:r>
              <w:rPr>
                <w:rFonts w:ascii="黑体" w:eastAsia="黑体" w:hAnsi="黑体" w:hint="eastAsia"/>
                <w:sz w:val="20"/>
                <w:szCs w:val="20"/>
              </w:rPr>
              <w:t>受益人中文名称</w:t>
            </w:r>
          </w:p>
        </w:tc>
        <w:tc>
          <w:tcPr>
            <w:tcW w:w="6946" w:type="dxa"/>
          </w:tcPr>
          <w:p w14:paraId="58B074CF" w14:textId="77777777" w:rsidR="00A052DC" w:rsidRDefault="009F0A60">
            <w:pPr>
              <w:rPr>
                <w:rFonts w:ascii="黑体" w:eastAsia="黑体" w:hAnsi="黑体"/>
                <w:sz w:val="20"/>
                <w:szCs w:val="20"/>
              </w:rPr>
            </w:pPr>
            <w:r>
              <w:rPr>
                <w:rFonts w:ascii="黑体" w:eastAsia="黑体" w:hAnsi="黑体" w:hint="eastAsia"/>
                <w:sz w:val="20"/>
                <w:szCs w:val="20"/>
              </w:rPr>
              <w:t>受益人中文名称。</w:t>
            </w:r>
          </w:p>
        </w:tc>
      </w:tr>
      <w:tr w:rsidR="00A052DC" w14:paraId="1F391E31" w14:textId="77777777">
        <w:trPr>
          <w:cantSplit/>
        </w:trPr>
        <w:tc>
          <w:tcPr>
            <w:tcW w:w="1526" w:type="dxa"/>
          </w:tcPr>
          <w:p w14:paraId="7501BD5E" w14:textId="77777777" w:rsidR="00A052DC" w:rsidRDefault="009F0A60">
            <w:pPr>
              <w:rPr>
                <w:rFonts w:ascii="黑体" w:eastAsia="黑体" w:hAnsi="黑体"/>
                <w:sz w:val="20"/>
                <w:szCs w:val="20"/>
              </w:rPr>
            </w:pPr>
            <w:r>
              <w:rPr>
                <w:rFonts w:ascii="黑体" w:eastAsia="黑体" w:hAnsi="黑体" w:hint="eastAsia"/>
                <w:sz w:val="20"/>
                <w:szCs w:val="20"/>
              </w:rPr>
              <w:t>受益人英文名称</w:t>
            </w:r>
          </w:p>
        </w:tc>
        <w:tc>
          <w:tcPr>
            <w:tcW w:w="6946" w:type="dxa"/>
          </w:tcPr>
          <w:p w14:paraId="5ECAA56D" w14:textId="77777777" w:rsidR="00A052DC" w:rsidRDefault="009F0A60">
            <w:pPr>
              <w:rPr>
                <w:rFonts w:ascii="黑体" w:eastAsia="黑体" w:hAnsi="黑体"/>
                <w:sz w:val="20"/>
                <w:szCs w:val="20"/>
              </w:rPr>
            </w:pPr>
            <w:r>
              <w:rPr>
                <w:rFonts w:ascii="黑体" w:eastAsia="黑体" w:hAnsi="黑体" w:hint="eastAsia"/>
                <w:sz w:val="20"/>
                <w:szCs w:val="20"/>
              </w:rPr>
              <w:t>受益人英文名称。</w:t>
            </w:r>
          </w:p>
        </w:tc>
      </w:tr>
      <w:tr w:rsidR="00A052DC" w14:paraId="2D00F7C8" w14:textId="77777777">
        <w:trPr>
          <w:cantSplit/>
        </w:trPr>
        <w:tc>
          <w:tcPr>
            <w:tcW w:w="1526" w:type="dxa"/>
          </w:tcPr>
          <w:p w14:paraId="6D47FE3D" w14:textId="77777777" w:rsidR="00A052DC" w:rsidRDefault="009F0A60">
            <w:pPr>
              <w:rPr>
                <w:rFonts w:ascii="黑体" w:eastAsia="黑体" w:hAnsi="黑体"/>
                <w:sz w:val="20"/>
                <w:szCs w:val="20"/>
              </w:rPr>
            </w:pPr>
            <w:r>
              <w:rPr>
                <w:rFonts w:ascii="黑体" w:eastAsia="黑体" w:hAnsi="黑体" w:hint="eastAsia"/>
                <w:sz w:val="20"/>
                <w:szCs w:val="20"/>
              </w:rPr>
              <w:t>受益人类型</w:t>
            </w:r>
          </w:p>
        </w:tc>
        <w:tc>
          <w:tcPr>
            <w:tcW w:w="6946" w:type="dxa"/>
          </w:tcPr>
          <w:p w14:paraId="7DF14C17" w14:textId="77777777" w:rsidR="00A052DC" w:rsidRDefault="009F0A60">
            <w:pPr>
              <w:rPr>
                <w:rFonts w:ascii="黑体" w:eastAsia="黑体" w:hAnsi="黑体"/>
                <w:sz w:val="20"/>
                <w:szCs w:val="20"/>
              </w:rPr>
            </w:pPr>
            <w:r>
              <w:rPr>
                <w:rFonts w:ascii="黑体" w:eastAsia="黑体" w:hAnsi="黑体" w:hint="eastAsia"/>
                <w:sz w:val="20"/>
                <w:szCs w:val="20"/>
              </w:rPr>
              <w:t>受益人类型代码，根据受益人国别/地区代码选择在境内主体类型代码表/境外主体类型代码表中选择。如果受益人为境内银行离岸部，应填写境外主体类型代码表中境内银行离岸部。当担保类型为“境外发债担保”且发行方式为“公开发行”时，受益人类型代码统一填报为“资本市场”。</w:t>
            </w:r>
          </w:p>
        </w:tc>
      </w:tr>
      <w:tr w:rsidR="00A052DC" w14:paraId="421668A5" w14:textId="77777777">
        <w:trPr>
          <w:cantSplit/>
        </w:trPr>
        <w:tc>
          <w:tcPr>
            <w:tcW w:w="1526" w:type="dxa"/>
          </w:tcPr>
          <w:p w14:paraId="192E7D04" w14:textId="77777777" w:rsidR="00A052DC" w:rsidRDefault="009F0A60">
            <w:pPr>
              <w:rPr>
                <w:rFonts w:ascii="黑体" w:eastAsia="黑体" w:hAnsi="黑体"/>
                <w:sz w:val="20"/>
                <w:szCs w:val="20"/>
              </w:rPr>
            </w:pPr>
            <w:r>
              <w:rPr>
                <w:rFonts w:ascii="黑体" w:eastAsia="黑体" w:hAnsi="黑体" w:hint="eastAsia"/>
                <w:sz w:val="20"/>
                <w:szCs w:val="20"/>
              </w:rPr>
              <w:t>受益人国别/地区代码</w:t>
            </w:r>
          </w:p>
        </w:tc>
        <w:tc>
          <w:tcPr>
            <w:tcW w:w="6946" w:type="dxa"/>
          </w:tcPr>
          <w:p w14:paraId="277EAF43" w14:textId="77777777" w:rsidR="00A052DC" w:rsidRDefault="009F0A60">
            <w:pPr>
              <w:rPr>
                <w:rFonts w:ascii="黑体" w:eastAsia="黑体" w:hAnsi="黑体"/>
                <w:sz w:val="20"/>
                <w:szCs w:val="20"/>
              </w:rPr>
            </w:pPr>
            <w:r>
              <w:rPr>
                <w:rFonts w:ascii="黑体" w:eastAsia="黑体" w:hAnsi="黑体" w:hint="eastAsia"/>
                <w:sz w:val="20"/>
                <w:szCs w:val="20"/>
              </w:rPr>
              <w:t>受益人注册地国家/地区代码，见国别和地区代码表。</w:t>
            </w:r>
          </w:p>
        </w:tc>
      </w:tr>
      <w:tr w:rsidR="00A052DC" w14:paraId="10CEB83D" w14:textId="77777777">
        <w:trPr>
          <w:cantSplit/>
        </w:trPr>
        <w:tc>
          <w:tcPr>
            <w:tcW w:w="1526" w:type="dxa"/>
          </w:tcPr>
          <w:p w14:paraId="70B94A78" w14:textId="77777777" w:rsidR="00A052DC" w:rsidRDefault="009F0A60">
            <w:pPr>
              <w:rPr>
                <w:rFonts w:ascii="黑体" w:eastAsia="黑体" w:hAnsi="黑体"/>
                <w:sz w:val="20"/>
                <w:szCs w:val="20"/>
              </w:rPr>
            </w:pPr>
            <w:r>
              <w:rPr>
                <w:rFonts w:ascii="黑体" w:eastAsia="黑体" w:hAnsi="黑体" w:hint="eastAsia"/>
                <w:sz w:val="20"/>
                <w:szCs w:val="20"/>
              </w:rPr>
              <w:t>被担保人代码</w:t>
            </w:r>
          </w:p>
        </w:tc>
        <w:tc>
          <w:tcPr>
            <w:tcW w:w="6946" w:type="dxa"/>
          </w:tcPr>
          <w:p w14:paraId="0F6AD735" w14:textId="77777777" w:rsidR="00A052DC" w:rsidRDefault="009F0A60">
            <w:pPr>
              <w:rPr>
                <w:rFonts w:ascii="黑体" w:eastAsia="黑体" w:hAnsi="黑体"/>
                <w:sz w:val="20"/>
                <w:szCs w:val="20"/>
              </w:rPr>
            </w:pPr>
            <w:r>
              <w:rPr>
                <w:rFonts w:ascii="黑体" w:eastAsia="黑体" w:hAnsi="黑体" w:hint="eastAsia"/>
                <w:sz w:val="20"/>
                <w:szCs w:val="20"/>
              </w:rPr>
              <w:t>如果被担保人为境外金融机构，应填写8位或11位的SWIFTCODE；如果被担保人为境内机构，</w:t>
            </w:r>
            <w:r w:rsidR="009D0FD2">
              <w:rPr>
                <w:rFonts w:ascii="黑体" w:eastAsia="黑体" w:hAnsi="黑体" w:hint="eastAsia"/>
                <w:sz w:val="20"/>
                <w:szCs w:val="20"/>
              </w:rPr>
              <w:t>应填写</w:t>
            </w:r>
            <w:r>
              <w:rPr>
                <w:rFonts w:ascii="黑体" w:eastAsia="黑体" w:hAnsi="黑体" w:hint="eastAsia"/>
                <w:sz w:val="20"/>
                <w:szCs w:val="20"/>
              </w:rPr>
              <w:t>统一社会信用代码法定载体（如营业执照）上统一社会信用代码中的第9至17位或国家外汇管理局及其分支局签发的特殊机构代码赋码通知书上的机构代码；如果被担保人为境内个人，应填写被担保人个人身份证件号码。如果上述条件均不符合，则可为空。</w:t>
            </w:r>
          </w:p>
        </w:tc>
      </w:tr>
      <w:tr w:rsidR="00A052DC" w14:paraId="3152BDFA" w14:textId="77777777">
        <w:trPr>
          <w:cantSplit/>
        </w:trPr>
        <w:tc>
          <w:tcPr>
            <w:tcW w:w="1526" w:type="dxa"/>
          </w:tcPr>
          <w:p w14:paraId="657EC789" w14:textId="77777777" w:rsidR="00A052DC" w:rsidRDefault="009F0A60">
            <w:pPr>
              <w:rPr>
                <w:rFonts w:ascii="黑体" w:eastAsia="黑体" w:hAnsi="黑体"/>
                <w:sz w:val="20"/>
                <w:szCs w:val="20"/>
              </w:rPr>
            </w:pPr>
            <w:r>
              <w:rPr>
                <w:rFonts w:ascii="黑体" w:eastAsia="黑体" w:hAnsi="黑体" w:hint="eastAsia"/>
                <w:sz w:val="20"/>
                <w:szCs w:val="20"/>
              </w:rPr>
              <w:t>被担保人中文名称</w:t>
            </w:r>
          </w:p>
        </w:tc>
        <w:tc>
          <w:tcPr>
            <w:tcW w:w="6946" w:type="dxa"/>
          </w:tcPr>
          <w:p w14:paraId="4BB9C8A2" w14:textId="77777777" w:rsidR="00A052DC" w:rsidRDefault="009F0A60">
            <w:pPr>
              <w:rPr>
                <w:rFonts w:ascii="黑体" w:eastAsia="黑体" w:hAnsi="黑体"/>
                <w:sz w:val="20"/>
                <w:szCs w:val="20"/>
              </w:rPr>
            </w:pPr>
            <w:r>
              <w:rPr>
                <w:rFonts w:ascii="黑体" w:eastAsia="黑体" w:hAnsi="黑体" w:hint="eastAsia"/>
                <w:sz w:val="20"/>
                <w:szCs w:val="20"/>
              </w:rPr>
              <w:t>被担保人中文名称。</w:t>
            </w:r>
          </w:p>
        </w:tc>
      </w:tr>
      <w:tr w:rsidR="00A052DC" w14:paraId="57D7A20F" w14:textId="77777777">
        <w:trPr>
          <w:cantSplit/>
        </w:trPr>
        <w:tc>
          <w:tcPr>
            <w:tcW w:w="1526" w:type="dxa"/>
          </w:tcPr>
          <w:p w14:paraId="4E4EF277" w14:textId="77777777" w:rsidR="00A052DC" w:rsidRDefault="009F0A60">
            <w:pPr>
              <w:rPr>
                <w:rFonts w:ascii="黑体" w:eastAsia="黑体" w:hAnsi="黑体"/>
                <w:sz w:val="20"/>
                <w:szCs w:val="20"/>
              </w:rPr>
            </w:pPr>
            <w:r>
              <w:rPr>
                <w:rFonts w:ascii="黑体" w:eastAsia="黑体" w:hAnsi="黑体" w:hint="eastAsia"/>
                <w:sz w:val="20"/>
                <w:szCs w:val="20"/>
              </w:rPr>
              <w:t>被担保人英文名称</w:t>
            </w:r>
          </w:p>
        </w:tc>
        <w:tc>
          <w:tcPr>
            <w:tcW w:w="6946" w:type="dxa"/>
          </w:tcPr>
          <w:p w14:paraId="45B8A67B" w14:textId="77777777" w:rsidR="00A052DC" w:rsidRDefault="009F0A60">
            <w:pPr>
              <w:rPr>
                <w:rFonts w:ascii="黑体" w:eastAsia="黑体" w:hAnsi="黑体"/>
                <w:sz w:val="20"/>
                <w:szCs w:val="20"/>
              </w:rPr>
            </w:pPr>
            <w:r>
              <w:rPr>
                <w:rFonts w:ascii="黑体" w:eastAsia="黑体" w:hAnsi="黑体" w:hint="eastAsia"/>
                <w:sz w:val="20"/>
                <w:szCs w:val="20"/>
              </w:rPr>
              <w:t>被担保人英文名称。</w:t>
            </w:r>
          </w:p>
        </w:tc>
      </w:tr>
      <w:tr w:rsidR="00A052DC" w14:paraId="4F561B71" w14:textId="77777777">
        <w:trPr>
          <w:cantSplit/>
        </w:trPr>
        <w:tc>
          <w:tcPr>
            <w:tcW w:w="1526" w:type="dxa"/>
          </w:tcPr>
          <w:p w14:paraId="06711070" w14:textId="77777777" w:rsidR="00A052DC" w:rsidRDefault="009F0A60">
            <w:pPr>
              <w:rPr>
                <w:rFonts w:ascii="黑体" w:eastAsia="黑体" w:hAnsi="黑体"/>
                <w:sz w:val="20"/>
                <w:szCs w:val="20"/>
              </w:rPr>
            </w:pPr>
            <w:r>
              <w:rPr>
                <w:rFonts w:ascii="黑体" w:eastAsia="黑体" w:hAnsi="黑体" w:hint="eastAsia"/>
                <w:sz w:val="20"/>
                <w:szCs w:val="20"/>
              </w:rPr>
              <w:t>被担保人类型</w:t>
            </w:r>
          </w:p>
        </w:tc>
        <w:tc>
          <w:tcPr>
            <w:tcW w:w="6946" w:type="dxa"/>
          </w:tcPr>
          <w:p w14:paraId="3A905D3F" w14:textId="77777777" w:rsidR="00A052DC" w:rsidRDefault="009F0A60">
            <w:pPr>
              <w:rPr>
                <w:rFonts w:ascii="黑体" w:eastAsia="黑体" w:hAnsi="黑体"/>
                <w:sz w:val="20"/>
                <w:szCs w:val="20"/>
              </w:rPr>
            </w:pPr>
            <w:r>
              <w:rPr>
                <w:rFonts w:ascii="黑体" w:eastAsia="黑体" w:hAnsi="黑体" w:hint="eastAsia"/>
                <w:sz w:val="20"/>
                <w:szCs w:val="20"/>
              </w:rPr>
              <w:t>被担保人类型代码，根据被担保人国别/地区代码中境内主体类型代码表/境外主体类型代码表中选择。</w:t>
            </w:r>
          </w:p>
        </w:tc>
      </w:tr>
      <w:tr w:rsidR="00A052DC" w14:paraId="7047331E" w14:textId="77777777">
        <w:trPr>
          <w:cantSplit/>
        </w:trPr>
        <w:tc>
          <w:tcPr>
            <w:tcW w:w="1526" w:type="dxa"/>
          </w:tcPr>
          <w:p w14:paraId="3567AAEC" w14:textId="77777777" w:rsidR="00A052DC" w:rsidRDefault="009F0A60">
            <w:pPr>
              <w:rPr>
                <w:rFonts w:ascii="黑体" w:eastAsia="黑体" w:hAnsi="黑体"/>
                <w:sz w:val="20"/>
                <w:szCs w:val="20"/>
              </w:rPr>
            </w:pPr>
            <w:r>
              <w:rPr>
                <w:rFonts w:ascii="黑体" w:eastAsia="黑体" w:hAnsi="黑体" w:hint="eastAsia"/>
                <w:sz w:val="20"/>
                <w:szCs w:val="20"/>
              </w:rPr>
              <w:t>被担保人国别/地区代码</w:t>
            </w:r>
          </w:p>
        </w:tc>
        <w:tc>
          <w:tcPr>
            <w:tcW w:w="6946" w:type="dxa"/>
          </w:tcPr>
          <w:p w14:paraId="6514F6A6" w14:textId="77777777" w:rsidR="00A052DC" w:rsidRDefault="009F0A60">
            <w:pPr>
              <w:rPr>
                <w:rFonts w:ascii="黑体" w:eastAsia="黑体" w:hAnsi="黑体"/>
                <w:sz w:val="20"/>
                <w:szCs w:val="20"/>
              </w:rPr>
            </w:pPr>
            <w:r>
              <w:rPr>
                <w:rFonts w:ascii="黑体" w:eastAsia="黑体" w:hAnsi="黑体" w:hint="eastAsia"/>
                <w:sz w:val="20"/>
                <w:szCs w:val="20"/>
              </w:rPr>
              <w:t>被担保人注册地国家/地区代码，见国别和地区代码表。</w:t>
            </w:r>
          </w:p>
        </w:tc>
      </w:tr>
      <w:tr w:rsidR="00A052DC" w14:paraId="58432522" w14:textId="77777777">
        <w:trPr>
          <w:cantSplit/>
        </w:trPr>
        <w:tc>
          <w:tcPr>
            <w:tcW w:w="1526" w:type="dxa"/>
          </w:tcPr>
          <w:p w14:paraId="7680E68E" w14:textId="77777777" w:rsidR="00A052DC" w:rsidRDefault="009F0A60">
            <w:pPr>
              <w:rPr>
                <w:rFonts w:ascii="黑体" w:eastAsia="黑体" w:hAnsi="黑体"/>
                <w:sz w:val="20"/>
                <w:szCs w:val="20"/>
              </w:rPr>
            </w:pPr>
            <w:r>
              <w:rPr>
                <w:rFonts w:ascii="黑体" w:eastAsia="黑体" w:hAnsi="黑体" w:hint="eastAsia"/>
                <w:sz w:val="20"/>
                <w:szCs w:val="20"/>
              </w:rPr>
              <w:t>被担保人所属行业</w:t>
            </w:r>
          </w:p>
        </w:tc>
        <w:tc>
          <w:tcPr>
            <w:tcW w:w="6946" w:type="dxa"/>
          </w:tcPr>
          <w:p w14:paraId="4A19BBB7" w14:textId="77777777" w:rsidR="00A052DC" w:rsidRDefault="009F0A60">
            <w:pPr>
              <w:rPr>
                <w:rFonts w:ascii="黑体" w:eastAsia="黑体" w:hAnsi="黑体"/>
                <w:sz w:val="20"/>
                <w:szCs w:val="20"/>
              </w:rPr>
            </w:pPr>
            <w:r>
              <w:rPr>
                <w:rFonts w:ascii="黑体" w:eastAsia="黑体" w:hAnsi="黑体" w:hint="eastAsia"/>
                <w:sz w:val="20"/>
                <w:szCs w:val="20"/>
              </w:rPr>
              <w:t>境外发行人/担保人所属行业，填写行业代码。</w:t>
            </w:r>
          </w:p>
        </w:tc>
      </w:tr>
      <w:tr w:rsidR="00A052DC" w14:paraId="1357AA68" w14:textId="77777777">
        <w:trPr>
          <w:cantSplit/>
        </w:trPr>
        <w:tc>
          <w:tcPr>
            <w:tcW w:w="1526" w:type="dxa"/>
          </w:tcPr>
          <w:p w14:paraId="22F47866" w14:textId="77777777" w:rsidR="00A052DC" w:rsidRDefault="009F0A60">
            <w:pPr>
              <w:rPr>
                <w:rFonts w:ascii="黑体" w:eastAsia="黑体" w:hAnsi="黑体"/>
                <w:sz w:val="20"/>
                <w:szCs w:val="20"/>
              </w:rPr>
            </w:pPr>
            <w:r>
              <w:rPr>
                <w:rFonts w:ascii="黑体" w:eastAsia="黑体" w:hAnsi="黑体" w:hint="eastAsia"/>
                <w:sz w:val="20"/>
                <w:szCs w:val="20"/>
              </w:rPr>
              <w:t>被担保人境内母公司中文名称</w:t>
            </w:r>
          </w:p>
        </w:tc>
        <w:tc>
          <w:tcPr>
            <w:tcW w:w="6946" w:type="dxa"/>
          </w:tcPr>
          <w:p w14:paraId="17BB9BE0" w14:textId="77777777" w:rsidR="00A052DC" w:rsidRDefault="009F0A60">
            <w:pPr>
              <w:rPr>
                <w:rFonts w:ascii="黑体" w:eastAsia="黑体" w:hAnsi="黑体"/>
                <w:sz w:val="20"/>
                <w:szCs w:val="20"/>
              </w:rPr>
            </w:pPr>
            <w:r>
              <w:rPr>
                <w:rFonts w:ascii="黑体" w:eastAsia="黑体" w:hAnsi="黑体" w:hint="eastAsia"/>
                <w:sz w:val="20"/>
                <w:szCs w:val="20"/>
              </w:rPr>
              <w:t>被担保人境内母公司中文名称。</w:t>
            </w:r>
          </w:p>
        </w:tc>
      </w:tr>
      <w:tr w:rsidR="00A052DC" w14:paraId="17CDBBE5" w14:textId="77777777">
        <w:trPr>
          <w:cantSplit/>
        </w:trPr>
        <w:tc>
          <w:tcPr>
            <w:tcW w:w="1526" w:type="dxa"/>
          </w:tcPr>
          <w:p w14:paraId="25311CF1" w14:textId="77777777" w:rsidR="00A052DC" w:rsidRDefault="009F0A60">
            <w:pPr>
              <w:rPr>
                <w:rFonts w:ascii="黑体" w:eastAsia="黑体" w:hAnsi="黑体"/>
                <w:sz w:val="20"/>
                <w:szCs w:val="20"/>
              </w:rPr>
            </w:pPr>
            <w:r>
              <w:rPr>
                <w:rFonts w:ascii="黑体" w:eastAsia="黑体" w:hAnsi="黑体" w:hint="eastAsia"/>
                <w:sz w:val="20"/>
                <w:szCs w:val="20"/>
              </w:rPr>
              <w:t>被担保人境内母公司英文名称</w:t>
            </w:r>
          </w:p>
        </w:tc>
        <w:tc>
          <w:tcPr>
            <w:tcW w:w="6946" w:type="dxa"/>
          </w:tcPr>
          <w:p w14:paraId="68301620" w14:textId="77777777" w:rsidR="00A052DC" w:rsidRDefault="009F0A60">
            <w:pPr>
              <w:rPr>
                <w:rFonts w:ascii="黑体" w:eastAsia="黑体" w:hAnsi="黑体"/>
                <w:sz w:val="20"/>
                <w:szCs w:val="20"/>
              </w:rPr>
            </w:pPr>
            <w:r>
              <w:rPr>
                <w:rFonts w:ascii="黑体" w:eastAsia="黑体" w:hAnsi="黑体" w:hint="eastAsia"/>
                <w:sz w:val="20"/>
                <w:szCs w:val="20"/>
              </w:rPr>
              <w:t>被担保人境内母公司英文名称。</w:t>
            </w:r>
          </w:p>
        </w:tc>
      </w:tr>
      <w:tr w:rsidR="00A052DC" w14:paraId="77298706" w14:textId="77777777">
        <w:trPr>
          <w:cantSplit/>
        </w:trPr>
        <w:tc>
          <w:tcPr>
            <w:tcW w:w="1526" w:type="dxa"/>
          </w:tcPr>
          <w:p w14:paraId="4AADF3BE" w14:textId="77777777" w:rsidR="00A052DC" w:rsidRDefault="009F0A60">
            <w:pPr>
              <w:rPr>
                <w:rFonts w:ascii="黑体" w:eastAsia="黑体" w:hAnsi="黑体"/>
                <w:sz w:val="20"/>
                <w:szCs w:val="20"/>
              </w:rPr>
            </w:pPr>
            <w:r>
              <w:rPr>
                <w:rFonts w:ascii="黑体" w:eastAsia="黑体" w:hAnsi="黑体" w:hint="eastAsia"/>
                <w:sz w:val="20"/>
                <w:szCs w:val="20"/>
              </w:rPr>
              <w:t>被担保人境内母公司代码</w:t>
            </w:r>
          </w:p>
        </w:tc>
        <w:tc>
          <w:tcPr>
            <w:tcW w:w="6946" w:type="dxa"/>
          </w:tcPr>
          <w:p w14:paraId="0E6C98AB" w14:textId="77777777" w:rsidR="00A052DC" w:rsidRDefault="009F0A60">
            <w:pPr>
              <w:rPr>
                <w:rFonts w:ascii="黑体" w:eastAsia="黑体" w:hAnsi="黑体"/>
                <w:sz w:val="20"/>
                <w:szCs w:val="20"/>
              </w:rPr>
            </w:pPr>
            <w:r>
              <w:rPr>
                <w:rFonts w:ascii="黑体" w:eastAsia="黑体" w:hAnsi="黑体" w:hint="eastAsia"/>
                <w:sz w:val="20"/>
                <w:szCs w:val="20"/>
              </w:rPr>
              <w:t>金融机构标识码及主体标识码（组织机构代码）。</w:t>
            </w:r>
          </w:p>
        </w:tc>
      </w:tr>
      <w:tr w:rsidR="00A052DC" w14:paraId="10FB4118" w14:textId="77777777">
        <w:trPr>
          <w:cantSplit/>
        </w:trPr>
        <w:tc>
          <w:tcPr>
            <w:tcW w:w="1526" w:type="dxa"/>
          </w:tcPr>
          <w:p w14:paraId="0F2DE625" w14:textId="77777777" w:rsidR="00A052DC" w:rsidRDefault="009F0A60">
            <w:pPr>
              <w:rPr>
                <w:rFonts w:ascii="黑体" w:eastAsia="黑体" w:hAnsi="黑体"/>
                <w:sz w:val="20"/>
                <w:szCs w:val="20"/>
              </w:rPr>
            </w:pPr>
            <w:r>
              <w:rPr>
                <w:rFonts w:ascii="黑体" w:eastAsia="黑体" w:hAnsi="黑体" w:hint="eastAsia"/>
                <w:color w:val="000000"/>
                <w:sz w:val="20"/>
                <w:szCs w:val="20"/>
              </w:rPr>
              <w:t>发行/上市国家与地区</w:t>
            </w:r>
          </w:p>
        </w:tc>
        <w:tc>
          <w:tcPr>
            <w:tcW w:w="6946" w:type="dxa"/>
          </w:tcPr>
          <w:p w14:paraId="6EE2E1BF" w14:textId="77777777" w:rsidR="00A052DC" w:rsidRDefault="009F0A60">
            <w:pPr>
              <w:rPr>
                <w:rFonts w:ascii="黑体" w:eastAsia="黑体" w:hAnsi="黑体"/>
                <w:sz w:val="20"/>
                <w:szCs w:val="20"/>
              </w:rPr>
            </w:pPr>
            <w:r>
              <w:rPr>
                <w:rFonts w:ascii="黑体" w:eastAsia="黑体" w:hAnsi="黑体" w:hint="eastAsia"/>
                <w:color w:val="000000"/>
                <w:sz w:val="20"/>
                <w:szCs w:val="20"/>
              </w:rPr>
              <w:t>发行/上市国家与地区，见国别和地区代码表</w:t>
            </w:r>
            <w:r w:rsidR="00C964D3">
              <w:rPr>
                <w:rFonts w:ascii="黑体" w:eastAsia="黑体" w:hAnsi="黑体" w:hint="eastAsia"/>
                <w:color w:val="000000"/>
                <w:sz w:val="20"/>
                <w:szCs w:val="20"/>
              </w:rPr>
              <w:t>。</w:t>
            </w:r>
          </w:p>
        </w:tc>
      </w:tr>
      <w:tr w:rsidR="00A052DC" w14:paraId="357A0823" w14:textId="77777777">
        <w:trPr>
          <w:cantSplit/>
        </w:trPr>
        <w:tc>
          <w:tcPr>
            <w:tcW w:w="1526" w:type="dxa"/>
          </w:tcPr>
          <w:p w14:paraId="11FCEDFE" w14:textId="77777777" w:rsidR="00A052DC" w:rsidRDefault="009F0A60">
            <w:pPr>
              <w:rPr>
                <w:rFonts w:ascii="黑体" w:eastAsia="黑体" w:hAnsi="黑体"/>
                <w:sz w:val="20"/>
                <w:szCs w:val="20"/>
              </w:rPr>
            </w:pPr>
            <w:r>
              <w:rPr>
                <w:rFonts w:ascii="黑体" w:eastAsia="黑体" w:hAnsi="黑体" w:hint="eastAsia"/>
                <w:sz w:val="20"/>
                <w:szCs w:val="20"/>
              </w:rPr>
              <w:t>担保申请人代码</w:t>
            </w:r>
          </w:p>
        </w:tc>
        <w:tc>
          <w:tcPr>
            <w:tcW w:w="6946" w:type="dxa"/>
          </w:tcPr>
          <w:p w14:paraId="2F42EC8F" w14:textId="77777777" w:rsidR="00A052DC" w:rsidRDefault="009F0A60">
            <w:pPr>
              <w:rPr>
                <w:rFonts w:ascii="黑体" w:eastAsia="黑体" w:hAnsi="黑体"/>
                <w:sz w:val="20"/>
                <w:szCs w:val="20"/>
              </w:rPr>
            </w:pPr>
            <w:r>
              <w:rPr>
                <w:rFonts w:ascii="黑体" w:eastAsia="黑体" w:hAnsi="黑体" w:hint="eastAsia"/>
                <w:sz w:val="20"/>
                <w:szCs w:val="20"/>
              </w:rPr>
              <w:t>如果担保申请人为境外金融机构，应填写8位或11位的SWIFTCODE；如果担保申请人为境内机构，</w:t>
            </w:r>
            <w:r w:rsidR="009D0FD2">
              <w:rPr>
                <w:rFonts w:ascii="黑体" w:eastAsia="黑体" w:hAnsi="黑体" w:hint="eastAsia"/>
                <w:sz w:val="20"/>
                <w:szCs w:val="20"/>
              </w:rPr>
              <w:t>应填写</w:t>
            </w:r>
            <w:r>
              <w:rPr>
                <w:rFonts w:ascii="黑体" w:eastAsia="黑体" w:hAnsi="黑体" w:hint="eastAsia"/>
                <w:sz w:val="20"/>
                <w:szCs w:val="20"/>
              </w:rPr>
              <w:t>统一社会信用代码法定载体（如营业执照）上统一社会信用代码中的第9至17位；如果担保申请人为境内个人，应填写担保申请人个人身份证件号码。如果上述条件均不符合，则可为空。</w:t>
            </w:r>
          </w:p>
        </w:tc>
      </w:tr>
      <w:tr w:rsidR="00A052DC" w14:paraId="0B4D4A4F" w14:textId="77777777">
        <w:trPr>
          <w:cantSplit/>
        </w:trPr>
        <w:tc>
          <w:tcPr>
            <w:tcW w:w="1526" w:type="dxa"/>
          </w:tcPr>
          <w:p w14:paraId="2596E68E" w14:textId="77777777" w:rsidR="00A052DC" w:rsidRDefault="009F0A60">
            <w:pPr>
              <w:rPr>
                <w:rFonts w:ascii="黑体" w:eastAsia="黑体" w:hAnsi="黑体"/>
                <w:sz w:val="20"/>
                <w:szCs w:val="20"/>
              </w:rPr>
            </w:pPr>
            <w:r>
              <w:rPr>
                <w:rFonts w:ascii="黑体" w:eastAsia="黑体" w:hAnsi="黑体" w:hint="eastAsia"/>
                <w:sz w:val="20"/>
                <w:szCs w:val="20"/>
              </w:rPr>
              <w:t>担保申请人中文名称</w:t>
            </w:r>
          </w:p>
        </w:tc>
        <w:tc>
          <w:tcPr>
            <w:tcW w:w="6946" w:type="dxa"/>
          </w:tcPr>
          <w:p w14:paraId="2917A623" w14:textId="77777777" w:rsidR="00A052DC" w:rsidRDefault="009F0A60">
            <w:pPr>
              <w:rPr>
                <w:rFonts w:ascii="黑体" w:eastAsia="黑体" w:hAnsi="黑体"/>
                <w:sz w:val="20"/>
                <w:szCs w:val="20"/>
              </w:rPr>
            </w:pPr>
            <w:r>
              <w:rPr>
                <w:rFonts w:ascii="黑体" w:eastAsia="黑体" w:hAnsi="黑体" w:hint="eastAsia"/>
                <w:sz w:val="20"/>
                <w:szCs w:val="20"/>
              </w:rPr>
              <w:t>担保申请人中文名称。</w:t>
            </w:r>
          </w:p>
        </w:tc>
      </w:tr>
      <w:tr w:rsidR="00A052DC" w14:paraId="5A770FEE" w14:textId="77777777">
        <w:trPr>
          <w:cantSplit/>
        </w:trPr>
        <w:tc>
          <w:tcPr>
            <w:tcW w:w="1526" w:type="dxa"/>
          </w:tcPr>
          <w:p w14:paraId="2F287804" w14:textId="77777777" w:rsidR="00A052DC" w:rsidRDefault="009F0A60">
            <w:pPr>
              <w:rPr>
                <w:rFonts w:ascii="黑体" w:eastAsia="黑体" w:hAnsi="黑体"/>
                <w:sz w:val="20"/>
                <w:szCs w:val="20"/>
              </w:rPr>
            </w:pPr>
            <w:r>
              <w:rPr>
                <w:rFonts w:ascii="黑体" w:eastAsia="黑体" w:hAnsi="黑体" w:hint="eastAsia"/>
                <w:sz w:val="20"/>
                <w:szCs w:val="20"/>
              </w:rPr>
              <w:t>担保申请人英文名称</w:t>
            </w:r>
          </w:p>
        </w:tc>
        <w:tc>
          <w:tcPr>
            <w:tcW w:w="6946" w:type="dxa"/>
          </w:tcPr>
          <w:p w14:paraId="3E90F796" w14:textId="77777777" w:rsidR="00A052DC" w:rsidRDefault="009F0A60">
            <w:pPr>
              <w:rPr>
                <w:rFonts w:ascii="黑体" w:eastAsia="黑体" w:hAnsi="黑体"/>
                <w:sz w:val="20"/>
                <w:szCs w:val="20"/>
              </w:rPr>
            </w:pPr>
            <w:r>
              <w:rPr>
                <w:rFonts w:ascii="黑体" w:eastAsia="黑体" w:hAnsi="黑体" w:hint="eastAsia"/>
                <w:sz w:val="20"/>
                <w:szCs w:val="20"/>
              </w:rPr>
              <w:t>担保申请人英文名称。</w:t>
            </w:r>
          </w:p>
        </w:tc>
      </w:tr>
      <w:tr w:rsidR="00A052DC" w14:paraId="57EC71E2" w14:textId="77777777">
        <w:trPr>
          <w:cantSplit/>
        </w:trPr>
        <w:tc>
          <w:tcPr>
            <w:tcW w:w="1526" w:type="dxa"/>
          </w:tcPr>
          <w:p w14:paraId="24AB0085" w14:textId="77777777" w:rsidR="00A052DC" w:rsidRDefault="009F0A60">
            <w:pPr>
              <w:rPr>
                <w:rFonts w:ascii="黑体" w:eastAsia="黑体" w:hAnsi="黑体"/>
                <w:sz w:val="20"/>
                <w:szCs w:val="20"/>
              </w:rPr>
            </w:pPr>
            <w:r>
              <w:rPr>
                <w:rFonts w:ascii="黑体" w:eastAsia="黑体" w:hAnsi="黑体" w:hint="eastAsia"/>
                <w:color w:val="000000"/>
                <w:sz w:val="20"/>
                <w:szCs w:val="20"/>
              </w:rPr>
              <w:t>是否有反担保人</w:t>
            </w:r>
          </w:p>
        </w:tc>
        <w:tc>
          <w:tcPr>
            <w:tcW w:w="6946" w:type="dxa"/>
          </w:tcPr>
          <w:p w14:paraId="4F3FA6BD" w14:textId="77777777" w:rsidR="00A052DC" w:rsidRDefault="009F0A60">
            <w:pPr>
              <w:rPr>
                <w:rFonts w:ascii="黑体" w:eastAsia="黑体" w:hAnsi="黑体"/>
                <w:sz w:val="20"/>
                <w:szCs w:val="20"/>
              </w:rPr>
            </w:pPr>
            <w:r>
              <w:rPr>
                <w:rFonts w:ascii="黑体" w:eastAsia="黑体" w:hAnsi="黑体" w:hint="eastAsia"/>
                <w:color w:val="000000"/>
                <w:sz w:val="20"/>
                <w:szCs w:val="20"/>
              </w:rPr>
              <w:t>选择是，存在反担保人，选择否，不存在反担保人。</w:t>
            </w:r>
          </w:p>
        </w:tc>
      </w:tr>
      <w:tr w:rsidR="00A052DC" w14:paraId="49B798C8" w14:textId="77777777">
        <w:trPr>
          <w:cantSplit/>
        </w:trPr>
        <w:tc>
          <w:tcPr>
            <w:tcW w:w="1526" w:type="dxa"/>
          </w:tcPr>
          <w:p w14:paraId="24D9C10C" w14:textId="77777777" w:rsidR="00A052DC" w:rsidRDefault="009F0A60">
            <w:pPr>
              <w:rPr>
                <w:rFonts w:ascii="黑体" w:eastAsia="黑体" w:hAnsi="黑体"/>
                <w:sz w:val="20"/>
                <w:szCs w:val="20"/>
              </w:rPr>
            </w:pPr>
            <w:r>
              <w:rPr>
                <w:rFonts w:ascii="黑体" w:eastAsia="黑体" w:hAnsi="黑体" w:hint="eastAsia"/>
                <w:color w:val="000000"/>
                <w:sz w:val="20"/>
                <w:szCs w:val="20"/>
              </w:rPr>
              <w:t>反担保人代码</w:t>
            </w:r>
          </w:p>
        </w:tc>
        <w:tc>
          <w:tcPr>
            <w:tcW w:w="6946" w:type="dxa"/>
          </w:tcPr>
          <w:p w14:paraId="50CFA9F2" w14:textId="77777777" w:rsidR="00A052DC" w:rsidRDefault="009F0A60">
            <w:pPr>
              <w:rPr>
                <w:rFonts w:ascii="黑体" w:eastAsia="黑体" w:hAnsi="黑体"/>
                <w:sz w:val="20"/>
                <w:szCs w:val="20"/>
              </w:rPr>
            </w:pPr>
            <w:r>
              <w:rPr>
                <w:rFonts w:ascii="黑体" w:eastAsia="黑体" w:hAnsi="黑体" w:hint="eastAsia"/>
                <w:color w:val="000000"/>
                <w:sz w:val="20"/>
                <w:szCs w:val="20"/>
              </w:rPr>
              <w:t>如果反担保人为境内机构，应填写统一社会信用代码法定载体（如营业执照）上统一社会信用代码中的第9至17位；如果反担保人为境内个人，应填写被担保人个人身份证件号码，如果反担保人为境内银行或国家外汇管理局</w:t>
            </w:r>
            <w:r>
              <w:rPr>
                <w:rFonts w:ascii="黑体" w:eastAsia="黑体" w:hAnsi="黑体" w:hint="eastAsia"/>
                <w:sz w:val="20"/>
                <w:szCs w:val="20"/>
              </w:rPr>
              <w:t>及其分支局</w:t>
            </w:r>
            <w:r>
              <w:rPr>
                <w:rFonts w:ascii="黑体" w:eastAsia="黑体" w:hAnsi="黑体" w:hint="eastAsia"/>
                <w:color w:val="000000"/>
                <w:sz w:val="20"/>
                <w:szCs w:val="20"/>
              </w:rPr>
              <w:t>签发的特殊机构代码赋码通知书上的机构代码，应填写</w:t>
            </w:r>
            <w:r>
              <w:rPr>
                <w:rFonts w:ascii="黑体" w:eastAsia="黑体" w:hAnsi="黑体" w:hint="eastAsia"/>
                <w:sz w:val="20"/>
                <w:szCs w:val="20"/>
              </w:rPr>
              <w:t>国家外汇管理局及其分支局</w:t>
            </w:r>
            <w:r>
              <w:rPr>
                <w:rFonts w:ascii="黑体" w:eastAsia="黑体" w:hAnsi="黑体" w:hint="eastAsia"/>
                <w:color w:val="000000"/>
                <w:sz w:val="20"/>
                <w:szCs w:val="20"/>
              </w:rPr>
              <w:t>签发的12位金融机构标识码。如果反担保人为境外机构，则无需填写。</w:t>
            </w:r>
          </w:p>
        </w:tc>
      </w:tr>
      <w:tr w:rsidR="00A052DC" w14:paraId="3FA0ACFC" w14:textId="77777777">
        <w:trPr>
          <w:cantSplit/>
        </w:trPr>
        <w:tc>
          <w:tcPr>
            <w:tcW w:w="1526" w:type="dxa"/>
          </w:tcPr>
          <w:p w14:paraId="236D11C4" w14:textId="77777777" w:rsidR="00A052DC" w:rsidRDefault="009F0A60">
            <w:pPr>
              <w:rPr>
                <w:rFonts w:ascii="黑体" w:eastAsia="黑体" w:hAnsi="黑体"/>
                <w:sz w:val="20"/>
                <w:szCs w:val="20"/>
              </w:rPr>
            </w:pPr>
            <w:r>
              <w:rPr>
                <w:rFonts w:ascii="黑体" w:eastAsia="黑体" w:hAnsi="黑体" w:hint="eastAsia"/>
                <w:color w:val="000000"/>
                <w:sz w:val="20"/>
                <w:szCs w:val="20"/>
              </w:rPr>
              <w:t>反担保人中文名称</w:t>
            </w:r>
          </w:p>
        </w:tc>
        <w:tc>
          <w:tcPr>
            <w:tcW w:w="6946" w:type="dxa"/>
          </w:tcPr>
          <w:p w14:paraId="2A4F4F44" w14:textId="77777777" w:rsidR="00A052DC" w:rsidRDefault="009F0A60">
            <w:pPr>
              <w:rPr>
                <w:rFonts w:ascii="黑体" w:eastAsia="黑体" w:hAnsi="黑体"/>
                <w:sz w:val="20"/>
                <w:szCs w:val="20"/>
              </w:rPr>
            </w:pPr>
            <w:r>
              <w:rPr>
                <w:rFonts w:ascii="黑体" w:eastAsia="黑体" w:hAnsi="黑体" w:hint="eastAsia"/>
                <w:color w:val="000000"/>
                <w:sz w:val="20"/>
                <w:szCs w:val="20"/>
              </w:rPr>
              <w:t>反担保人中文名称。</w:t>
            </w:r>
          </w:p>
        </w:tc>
      </w:tr>
      <w:tr w:rsidR="00A052DC" w14:paraId="0D154A82" w14:textId="77777777">
        <w:trPr>
          <w:cantSplit/>
        </w:trPr>
        <w:tc>
          <w:tcPr>
            <w:tcW w:w="1526" w:type="dxa"/>
          </w:tcPr>
          <w:p w14:paraId="12190BC1" w14:textId="77777777" w:rsidR="00A052DC" w:rsidRDefault="009F0A60">
            <w:pPr>
              <w:rPr>
                <w:rFonts w:ascii="黑体" w:eastAsia="黑体" w:hAnsi="黑体"/>
                <w:sz w:val="20"/>
                <w:szCs w:val="20"/>
              </w:rPr>
            </w:pPr>
            <w:r>
              <w:rPr>
                <w:rFonts w:ascii="黑体" w:eastAsia="黑体" w:hAnsi="黑体" w:hint="eastAsia"/>
                <w:color w:val="000000"/>
                <w:sz w:val="20"/>
                <w:szCs w:val="20"/>
              </w:rPr>
              <w:t>反担保人英文名称</w:t>
            </w:r>
          </w:p>
        </w:tc>
        <w:tc>
          <w:tcPr>
            <w:tcW w:w="6946" w:type="dxa"/>
          </w:tcPr>
          <w:p w14:paraId="65E4942C" w14:textId="77777777" w:rsidR="00A052DC" w:rsidRDefault="009F0A60">
            <w:pPr>
              <w:rPr>
                <w:rFonts w:ascii="黑体" w:eastAsia="黑体" w:hAnsi="黑体"/>
                <w:sz w:val="20"/>
                <w:szCs w:val="20"/>
              </w:rPr>
            </w:pPr>
            <w:r>
              <w:rPr>
                <w:rFonts w:ascii="黑体" w:eastAsia="黑体" w:hAnsi="黑体" w:hint="eastAsia"/>
                <w:color w:val="000000"/>
                <w:sz w:val="20"/>
                <w:szCs w:val="20"/>
              </w:rPr>
              <w:t>反担保人英文名称。</w:t>
            </w:r>
          </w:p>
        </w:tc>
      </w:tr>
      <w:tr w:rsidR="00A052DC" w14:paraId="78D398AE" w14:textId="77777777">
        <w:trPr>
          <w:cantSplit/>
        </w:trPr>
        <w:tc>
          <w:tcPr>
            <w:tcW w:w="1526" w:type="dxa"/>
          </w:tcPr>
          <w:p w14:paraId="04D80DA2" w14:textId="77777777" w:rsidR="00A052DC" w:rsidRDefault="009F0A60">
            <w:pPr>
              <w:rPr>
                <w:rFonts w:ascii="黑体" w:eastAsia="黑体" w:hAnsi="黑体"/>
                <w:sz w:val="20"/>
                <w:szCs w:val="20"/>
              </w:rPr>
            </w:pPr>
            <w:r>
              <w:rPr>
                <w:rFonts w:ascii="黑体" w:eastAsia="黑体" w:hAnsi="黑体" w:hint="eastAsia"/>
                <w:color w:val="000000"/>
                <w:sz w:val="20"/>
                <w:szCs w:val="20"/>
              </w:rPr>
              <w:t>反担保人国别/地区代码</w:t>
            </w:r>
          </w:p>
        </w:tc>
        <w:tc>
          <w:tcPr>
            <w:tcW w:w="6946" w:type="dxa"/>
          </w:tcPr>
          <w:p w14:paraId="6F8FC05D" w14:textId="77777777" w:rsidR="00A052DC" w:rsidRDefault="009F0A60">
            <w:pPr>
              <w:rPr>
                <w:rFonts w:ascii="黑体" w:eastAsia="黑体" w:hAnsi="黑体"/>
                <w:sz w:val="20"/>
                <w:szCs w:val="20"/>
              </w:rPr>
            </w:pPr>
            <w:r>
              <w:rPr>
                <w:rFonts w:ascii="黑体" w:eastAsia="黑体" w:hAnsi="黑体" w:hint="eastAsia"/>
                <w:color w:val="000000"/>
                <w:sz w:val="20"/>
                <w:szCs w:val="20"/>
              </w:rPr>
              <w:t>反担保人注册地国家/地区代码，见国别和地区代码表。</w:t>
            </w:r>
          </w:p>
        </w:tc>
      </w:tr>
      <w:tr w:rsidR="00A052DC" w14:paraId="7BA1C459" w14:textId="77777777">
        <w:trPr>
          <w:cantSplit/>
        </w:trPr>
        <w:tc>
          <w:tcPr>
            <w:tcW w:w="1526" w:type="dxa"/>
          </w:tcPr>
          <w:p w14:paraId="689556CD" w14:textId="77777777" w:rsidR="00A052DC" w:rsidRDefault="009F0A60">
            <w:pPr>
              <w:rPr>
                <w:rFonts w:ascii="黑体" w:eastAsia="黑体" w:hAnsi="黑体"/>
                <w:sz w:val="20"/>
                <w:szCs w:val="20"/>
              </w:rPr>
            </w:pPr>
            <w:r>
              <w:rPr>
                <w:rFonts w:ascii="黑体" w:eastAsia="黑体" w:hAnsi="黑体" w:hint="eastAsia"/>
                <w:color w:val="000000"/>
                <w:sz w:val="20"/>
                <w:szCs w:val="20"/>
              </w:rPr>
              <w:t>是否调回境内</w:t>
            </w:r>
          </w:p>
        </w:tc>
        <w:tc>
          <w:tcPr>
            <w:tcW w:w="6946" w:type="dxa"/>
          </w:tcPr>
          <w:p w14:paraId="442FDF99" w14:textId="77777777" w:rsidR="00A052DC" w:rsidRDefault="009F0A60">
            <w:pPr>
              <w:rPr>
                <w:rFonts w:ascii="黑体" w:eastAsia="黑体" w:hAnsi="黑体"/>
                <w:sz w:val="20"/>
                <w:szCs w:val="20"/>
              </w:rPr>
            </w:pPr>
            <w:r>
              <w:rPr>
                <w:rFonts w:ascii="黑体" w:eastAsia="黑体" w:hAnsi="黑体" w:hint="eastAsia"/>
                <w:color w:val="000000"/>
                <w:sz w:val="20"/>
                <w:szCs w:val="20"/>
              </w:rPr>
              <w:t>选择是，担保主债务资金调回境内，选择否，担保主债务资金不调回境内。</w:t>
            </w:r>
          </w:p>
        </w:tc>
      </w:tr>
      <w:tr w:rsidR="00A052DC" w14:paraId="025C0F29" w14:textId="77777777">
        <w:trPr>
          <w:cantSplit/>
        </w:trPr>
        <w:tc>
          <w:tcPr>
            <w:tcW w:w="1526" w:type="dxa"/>
          </w:tcPr>
          <w:p w14:paraId="07F68D63" w14:textId="77777777" w:rsidR="00A052DC" w:rsidRDefault="009F0A60">
            <w:pPr>
              <w:rPr>
                <w:rFonts w:ascii="黑体" w:eastAsia="黑体" w:hAnsi="黑体"/>
                <w:sz w:val="20"/>
                <w:szCs w:val="20"/>
              </w:rPr>
            </w:pPr>
            <w:r>
              <w:rPr>
                <w:rFonts w:ascii="黑体" w:eastAsia="黑体" w:hAnsi="黑体" w:hint="eastAsia"/>
                <w:color w:val="000000"/>
                <w:sz w:val="20"/>
                <w:szCs w:val="20"/>
              </w:rPr>
              <w:t>资金调回金额</w:t>
            </w:r>
          </w:p>
        </w:tc>
        <w:tc>
          <w:tcPr>
            <w:tcW w:w="6946" w:type="dxa"/>
          </w:tcPr>
          <w:p w14:paraId="189AB69B" w14:textId="77777777" w:rsidR="00A052DC" w:rsidRDefault="009F0A60">
            <w:pPr>
              <w:rPr>
                <w:rFonts w:ascii="黑体" w:eastAsia="黑体" w:hAnsi="黑体"/>
                <w:sz w:val="20"/>
                <w:szCs w:val="20"/>
              </w:rPr>
            </w:pPr>
            <w:r>
              <w:rPr>
                <w:rFonts w:ascii="黑体" w:eastAsia="黑体" w:hAnsi="黑体" w:hint="eastAsia"/>
                <w:color w:val="000000"/>
                <w:sz w:val="20"/>
                <w:szCs w:val="20"/>
              </w:rPr>
              <w:t>担保资金拟调回境内的金额，金额对应的币种应为主债务币种。</w:t>
            </w:r>
          </w:p>
        </w:tc>
      </w:tr>
      <w:tr w:rsidR="00A052DC" w14:paraId="0243AEA8" w14:textId="77777777">
        <w:trPr>
          <w:cantSplit/>
        </w:trPr>
        <w:tc>
          <w:tcPr>
            <w:tcW w:w="1526" w:type="dxa"/>
          </w:tcPr>
          <w:p w14:paraId="20BE49E0" w14:textId="77777777" w:rsidR="00A052DC" w:rsidRDefault="009F0A60">
            <w:pPr>
              <w:rPr>
                <w:rFonts w:ascii="黑体" w:eastAsia="黑体" w:hAnsi="黑体"/>
                <w:sz w:val="20"/>
                <w:szCs w:val="20"/>
              </w:rPr>
            </w:pPr>
            <w:r>
              <w:rPr>
                <w:rFonts w:ascii="黑体" w:eastAsia="黑体" w:hAnsi="黑体" w:hint="eastAsia"/>
                <w:color w:val="000000"/>
                <w:sz w:val="20"/>
                <w:szCs w:val="20"/>
              </w:rPr>
              <w:t>是否与境外投资相关</w:t>
            </w:r>
          </w:p>
        </w:tc>
        <w:tc>
          <w:tcPr>
            <w:tcW w:w="6946" w:type="dxa"/>
          </w:tcPr>
          <w:p w14:paraId="3F24CFC6" w14:textId="77777777" w:rsidR="00A052DC" w:rsidRDefault="009F0A60">
            <w:pPr>
              <w:rPr>
                <w:rFonts w:ascii="黑体" w:eastAsia="黑体" w:hAnsi="黑体"/>
                <w:sz w:val="20"/>
                <w:szCs w:val="20"/>
              </w:rPr>
            </w:pPr>
            <w:r>
              <w:rPr>
                <w:rFonts w:ascii="黑体" w:eastAsia="黑体" w:hAnsi="黑体" w:hint="eastAsia"/>
                <w:color w:val="000000"/>
                <w:sz w:val="20"/>
                <w:szCs w:val="20"/>
              </w:rPr>
              <w:t>选择是，该笔担保主债务资金涉及境外投资，选择否，该笔担保主债务资金不涉及境外投资。</w:t>
            </w:r>
          </w:p>
        </w:tc>
      </w:tr>
      <w:tr w:rsidR="00A052DC" w14:paraId="12FA8B28" w14:textId="77777777">
        <w:trPr>
          <w:cantSplit/>
        </w:trPr>
        <w:tc>
          <w:tcPr>
            <w:tcW w:w="1526" w:type="dxa"/>
            <w:tcBorders>
              <w:top w:val="single" w:sz="6" w:space="0" w:color="auto"/>
              <w:left w:val="single" w:sz="6" w:space="0" w:color="auto"/>
              <w:bottom w:val="single" w:sz="6" w:space="0" w:color="auto"/>
              <w:right w:val="single" w:sz="6" w:space="0" w:color="auto"/>
            </w:tcBorders>
          </w:tcPr>
          <w:p w14:paraId="799020B2" w14:textId="77777777" w:rsidR="00A052DC" w:rsidRDefault="009F0A60">
            <w:pPr>
              <w:rPr>
                <w:rFonts w:ascii="黑体" w:eastAsia="黑体" w:hAnsi="黑体"/>
                <w:sz w:val="20"/>
                <w:szCs w:val="20"/>
              </w:rPr>
            </w:pPr>
            <w:r>
              <w:rPr>
                <w:rFonts w:ascii="黑体" w:eastAsia="黑体" w:hAnsi="黑体" w:hint="eastAsia"/>
                <w:sz w:val="20"/>
                <w:szCs w:val="20"/>
              </w:rPr>
              <w:t>备注</w:t>
            </w:r>
          </w:p>
        </w:tc>
        <w:tc>
          <w:tcPr>
            <w:tcW w:w="6946" w:type="dxa"/>
            <w:tcBorders>
              <w:top w:val="single" w:sz="6" w:space="0" w:color="auto"/>
              <w:left w:val="single" w:sz="6" w:space="0" w:color="auto"/>
              <w:bottom w:val="single" w:sz="6" w:space="0" w:color="auto"/>
              <w:right w:val="single" w:sz="6" w:space="0" w:color="auto"/>
            </w:tcBorders>
          </w:tcPr>
          <w:p w14:paraId="29433950" w14:textId="77777777" w:rsidR="00A052DC" w:rsidRDefault="009F0A60">
            <w:pPr>
              <w:rPr>
                <w:rFonts w:ascii="黑体" w:eastAsia="黑体" w:hAnsi="黑体"/>
                <w:sz w:val="20"/>
                <w:szCs w:val="20"/>
              </w:rPr>
            </w:pPr>
            <w:r>
              <w:rPr>
                <w:rFonts w:ascii="黑体" w:eastAsia="黑体" w:hAnsi="黑体" w:hint="eastAsia"/>
                <w:sz w:val="20"/>
                <w:szCs w:val="20"/>
              </w:rPr>
              <w:t>需要说明的备注事项。</w:t>
            </w:r>
          </w:p>
        </w:tc>
      </w:tr>
    </w:tbl>
    <w:p w14:paraId="30B92FE2" w14:textId="77777777" w:rsidR="00A052DC" w:rsidRDefault="00A052DC"/>
    <w:p w14:paraId="4B6ECD57" w14:textId="77777777" w:rsidR="00A052DC" w:rsidRDefault="009F0A60" w:rsidP="0020251D">
      <w:pPr>
        <w:pStyle w:val="5"/>
        <w:numPr>
          <w:ilvl w:val="4"/>
          <w:numId w:val="1"/>
        </w:numPr>
        <w:spacing w:before="120" w:after="120" w:line="360" w:lineRule="auto"/>
        <w:jc w:val="left"/>
      </w:pPr>
      <w:bookmarkStart w:id="1611" w:name="_Toc454386948"/>
      <w:bookmarkStart w:id="1612" w:name="_Toc328635508"/>
      <w:r>
        <w:rPr>
          <w:rFonts w:hint="eastAsia"/>
        </w:rPr>
        <w:t>数据格式</w:t>
      </w:r>
      <w:bookmarkEnd w:id="1611"/>
      <w:bookmarkEnd w:id="1612"/>
    </w:p>
    <w:p w14:paraId="74C84D15" w14:textId="77777777" w:rsidR="00A052DC" w:rsidRDefault="009F0A60">
      <w:r>
        <w:t>&lt;REC&gt;</w:t>
      </w:r>
    </w:p>
    <w:p w14:paraId="43420D99" w14:textId="77777777" w:rsidR="00A052DC" w:rsidRDefault="009F0A60">
      <w:r>
        <w:t>&lt;ACTIONTYPE&gt;</w:t>
      </w:r>
      <w:r>
        <w:rPr>
          <w:rFonts w:hint="eastAsia"/>
        </w:rPr>
        <w:t>操作类型</w:t>
      </w:r>
      <w:r>
        <w:t>&lt;/ACTIONTYPE&gt;</w:t>
      </w:r>
    </w:p>
    <w:p w14:paraId="581080DF" w14:textId="77777777" w:rsidR="00A052DC" w:rsidRDefault="009F0A60">
      <w:r>
        <w:t>&lt;ACTIONDESC&gt;</w:t>
      </w:r>
      <w:r>
        <w:rPr>
          <w:rFonts w:hint="eastAsia"/>
        </w:rPr>
        <w:t>删除原因</w:t>
      </w:r>
      <w:r>
        <w:t>&lt;/ACTIONDESC&gt;</w:t>
      </w:r>
    </w:p>
    <w:p w14:paraId="0C2CC022" w14:textId="77777777" w:rsidR="00A052DC" w:rsidRDefault="009F0A60">
      <w:r>
        <w:t>&lt;EXGUARANCODE&gt;</w:t>
      </w:r>
      <w:r>
        <w:rPr>
          <w:rFonts w:hint="eastAsia"/>
        </w:rPr>
        <w:t>对外担保编号</w:t>
      </w:r>
      <w:r>
        <w:t>&lt;/EXGUARANCODE&gt;</w:t>
      </w:r>
    </w:p>
    <w:p w14:paraId="2BD39904" w14:textId="77777777" w:rsidR="00A052DC" w:rsidRDefault="009F0A60">
      <w:r>
        <w:t>&lt;GUARANTORCODE&gt;</w:t>
      </w:r>
      <w:r>
        <w:rPr>
          <w:rFonts w:hint="eastAsia"/>
        </w:rPr>
        <w:t>担保人代码</w:t>
      </w:r>
      <w:r>
        <w:t>&lt;/GUARANTORCODE&gt;</w:t>
      </w:r>
    </w:p>
    <w:p w14:paraId="6FA1FEEC" w14:textId="77777777" w:rsidR="00A052DC" w:rsidRDefault="009F0A60">
      <w:r>
        <w:t>&lt;CONTRACTDATE&gt;</w:t>
      </w:r>
      <w:r>
        <w:rPr>
          <w:rFonts w:hint="eastAsia"/>
        </w:rPr>
        <w:t>签约日期</w:t>
      </w:r>
      <w:r>
        <w:t>&lt;/CONTRACTDATE&gt;</w:t>
      </w:r>
    </w:p>
    <w:p w14:paraId="34BDA716" w14:textId="77777777" w:rsidR="00A052DC" w:rsidRDefault="009F0A60">
      <w:r>
        <w:t>&lt;GUARANAMOUNT&gt;</w:t>
      </w:r>
      <w:r>
        <w:rPr>
          <w:rFonts w:hint="eastAsia"/>
        </w:rPr>
        <w:t>保函金额</w:t>
      </w:r>
      <w:r>
        <w:t>&lt;/GUARANAMOUNT&gt;</w:t>
      </w:r>
    </w:p>
    <w:p w14:paraId="6ABFBA80" w14:textId="77777777" w:rsidR="00A052DC" w:rsidRDefault="009F0A60">
      <w:r>
        <w:t>&lt;GUARANCURR&gt;</w:t>
      </w:r>
      <w:r>
        <w:rPr>
          <w:rFonts w:hint="eastAsia"/>
        </w:rPr>
        <w:t>保函币种</w:t>
      </w:r>
      <w:r>
        <w:t>&lt;/GUARANCURR&gt;</w:t>
      </w:r>
    </w:p>
    <w:p w14:paraId="5862B397" w14:textId="77777777" w:rsidR="00A052DC" w:rsidRDefault="009F0A60">
      <w:r>
        <w:t>&lt;MATURITY&gt;</w:t>
      </w:r>
      <w:r>
        <w:rPr>
          <w:rFonts w:hint="eastAsia"/>
        </w:rPr>
        <w:t>到期日</w:t>
      </w:r>
      <w:r>
        <w:t>&lt;/MATURITY&gt;</w:t>
      </w:r>
    </w:p>
    <w:p w14:paraId="5D9081B1" w14:textId="77777777" w:rsidR="00A052DC" w:rsidRDefault="009F0A60">
      <w:r>
        <w:t>&lt;GUARANTYPE&gt;</w:t>
      </w:r>
      <w:r>
        <w:rPr>
          <w:rFonts w:hint="eastAsia"/>
        </w:rPr>
        <w:t>担保类型</w:t>
      </w:r>
      <w:r>
        <w:t>&lt;/GUARANTYPE&gt;</w:t>
      </w:r>
    </w:p>
    <w:p w14:paraId="0BCC5B57" w14:textId="77777777" w:rsidR="00A052DC" w:rsidRDefault="009F0A60">
      <w:r>
        <w:t>&lt;MAINDEBTCURR&gt;</w:t>
      </w:r>
      <w:r>
        <w:rPr>
          <w:rFonts w:hint="eastAsia"/>
        </w:rPr>
        <w:t>主债务币种</w:t>
      </w:r>
      <w:r>
        <w:t>&lt;/MAINDEBTCURR&gt;</w:t>
      </w:r>
    </w:p>
    <w:p w14:paraId="39D8CBA2" w14:textId="77777777" w:rsidR="00A052DC" w:rsidRDefault="009F0A60">
      <w:r>
        <w:t>&lt;MAINDEBTAMOUNT&gt;</w:t>
      </w:r>
      <w:r>
        <w:rPr>
          <w:rFonts w:hint="eastAsia"/>
        </w:rPr>
        <w:t>主债务金额</w:t>
      </w:r>
      <w:r>
        <w:t>&lt;/MAINDEBTAMOUNT&gt;</w:t>
      </w:r>
    </w:p>
    <w:p w14:paraId="4D08D414" w14:textId="77777777" w:rsidR="00A052DC" w:rsidRDefault="009F0A60">
      <w:r>
        <w:t>&lt;</w:t>
      </w:r>
      <w:r>
        <w:rPr>
          <w:rFonts w:hint="eastAsia"/>
        </w:rPr>
        <w:t>MAINDEBTCONDATE</w:t>
      </w:r>
      <w:r>
        <w:t>&gt;</w:t>
      </w:r>
      <w:r>
        <w:rPr>
          <w:rFonts w:hint="eastAsia"/>
        </w:rPr>
        <w:t>主债务签约日期</w:t>
      </w:r>
      <w:r>
        <w:t xml:space="preserve">&lt;/ </w:t>
      </w:r>
      <w:r>
        <w:rPr>
          <w:rFonts w:hint="eastAsia"/>
        </w:rPr>
        <w:t>MAINDEBTCONDATE</w:t>
      </w:r>
      <w:r>
        <w:t>&gt;</w:t>
      </w:r>
    </w:p>
    <w:p w14:paraId="66BCCF04" w14:textId="77777777" w:rsidR="00A052DC" w:rsidRDefault="009F0A60">
      <w:r>
        <w:t>&lt;</w:t>
      </w:r>
      <w:r>
        <w:rPr>
          <w:rFonts w:hint="eastAsia"/>
        </w:rPr>
        <w:t>MAINDEBTMATURITY</w:t>
      </w:r>
      <w:r>
        <w:t>&gt;</w:t>
      </w:r>
      <w:r>
        <w:rPr>
          <w:rFonts w:hint="eastAsia"/>
        </w:rPr>
        <w:t>主债务到期日</w:t>
      </w:r>
      <w:r>
        <w:t xml:space="preserve">&lt;/ </w:t>
      </w:r>
      <w:r>
        <w:rPr>
          <w:rFonts w:hint="eastAsia"/>
        </w:rPr>
        <w:t>MAINDEBTMATURITY</w:t>
      </w:r>
      <w:r>
        <w:t>&gt;</w:t>
      </w:r>
    </w:p>
    <w:p w14:paraId="745EBECA" w14:textId="77777777" w:rsidR="00A052DC" w:rsidRDefault="009F0A60">
      <w:r>
        <w:t>&lt;</w:t>
      </w:r>
      <w:r>
        <w:rPr>
          <w:rFonts w:hint="eastAsia"/>
        </w:rPr>
        <w:t>MAINDEBTDATE</w:t>
      </w:r>
      <w:r>
        <w:t>&gt;</w:t>
      </w:r>
      <w:r>
        <w:rPr>
          <w:rFonts w:hint="eastAsia"/>
        </w:rPr>
        <w:t>主债务期限（日）</w:t>
      </w:r>
      <w:r>
        <w:t xml:space="preserve">&lt;/ </w:t>
      </w:r>
      <w:r>
        <w:rPr>
          <w:rFonts w:hint="eastAsia"/>
        </w:rPr>
        <w:t>MAINDEBTDATE</w:t>
      </w:r>
      <w:r>
        <w:t>&gt;</w:t>
      </w:r>
    </w:p>
    <w:p w14:paraId="71CA52A0" w14:textId="77777777" w:rsidR="00A052DC" w:rsidRDefault="009F0A60">
      <w:r>
        <w:t>&lt;</w:t>
      </w:r>
      <w:r>
        <w:rPr>
          <w:rFonts w:hint="eastAsia"/>
        </w:rPr>
        <w:t>INTRAT</w:t>
      </w:r>
      <w:r>
        <w:t>&gt;</w:t>
      </w:r>
      <w:r>
        <w:rPr>
          <w:rFonts w:hint="eastAsia"/>
        </w:rPr>
        <w:t>借款利率（</w:t>
      </w:r>
      <w:r>
        <w:rPr>
          <w:rFonts w:hint="eastAsia"/>
        </w:rPr>
        <w:t>%</w:t>
      </w:r>
      <w:r>
        <w:rPr>
          <w:rFonts w:hint="eastAsia"/>
        </w:rPr>
        <w:t>）</w:t>
      </w:r>
      <w:r>
        <w:t xml:space="preserve">&lt;/ </w:t>
      </w:r>
      <w:r>
        <w:rPr>
          <w:rFonts w:hint="eastAsia"/>
        </w:rPr>
        <w:t>INTRAT</w:t>
      </w:r>
      <w:r>
        <w:t>&gt;</w:t>
      </w:r>
    </w:p>
    <w:p w14:paraId="79D0BF14" w14:textId="77777777" w:rsidR="00A052DC" w:rsidRDefault="009F0A60">
      <w:r>
        <w:t>&lt;</w:t>
      </w:r>
      <w:r>
        <w:rPr>
          <w:rFonts w:hint="eastAsia"/>
        </w:rPr>
        <w:t>MAINDEBTMANNER</w:t>
      </w:r>
      <w:r>
        <w:t>&gt;</w:t>
      </w:r>
      <w:r>
        <w:rPr>
          <w:rFonts w:hint="eastAsia"/>
        </w:rPr>
        <w:t>发行</w:t>
      </w:r>
      <w:r>
        <w:rPr>
          <w:rFonts w:hint="eastAsia"/>
        </w:rPr>
        <w:t>/</w:t>
      </w:r>
      <w:r>
        <w:rPr>
          <w:rFonts w:hint="eastAsia"/>
        </w:rPr>
        <w:t>上市方式</w:t>
      </w:r>
      <w:r>
        <w:t>&lt;/</w:t>
      </w:r>
      <w:r>
        <w:rPr>
          <w:rFonts w:hint="eastAsia"/>
        </w:rPr>
        <w:t xml:space="preserve"> MAINDEBTMANNER</w:t>
      </w:r>
      <w:r>
        <w:t>&gt;</w:t>
      </w:r>
    </w:p>
    <w:p w14:paraId="583F6550" w14:textId="77777777" w:rsidR="00A052DC" w:rsidRDefault="009F0A60">
      <w:r>
        <w:t>&lt;</w:t>
      </w:r>
      <w:r>
        <w:rPr>
          <w:rFonts w:hint="eastAsia"/>
        </w:rPr>
        <w:t xml:space="preserve"> RETURNTYPE_FUNDS</w:t>
      </w:r>
      <w:r>
        <w:t>&gt;</w:t>
      </w:r>
      <w:r>
        <w:rPr>
          <w:rFonts w:hint="eastAsia"/>
        </w:rPr>
        <w:t>主债务合同资金用途</w:t>
      </w:r>
      <w:r>
        <w:t>&lt;/</w:t>
      </w:r>
      <w:r>
        <w:rPr>
          <w:rFonts w:hint="eastAsia"/>
        </w:rPr>
        <w:t xml:space="preserve"> RETURNTYPE_FUNDS</w:t>
      </w:r>
      <w:r>
        <w:t>&gt;</w:t>
      </w:r>
    </w:p>
    <w:p w14:paraId="131EA26E" w14:textId="77777777" w:rsidR="00A052DC" w:rsidRDefault="009F0A60">
      <w:r>
        <w:t>&lt;BeneficiaryS&gt;</w:t>
      </w:r>
    </w:p>
    <w:p w14:paraId="194A0CD0" w14:textId="77777777" w:rsidR="00A052DC" w:rsidRDefault="009F0A60">
      <w:r>
        <w:t>&lt;Beneficiary&gt;</w:t>
      </w:r>
    </w:p>
    <w:p w14:paraId="48DA398A" w14:textId="77777777" w:rsidR="00A052DC" w:rsidRDefault="009F0A60">
      <w:r>
        <w:t>&lt;BENCODE&gt;</w:t>
      </w:r>
      <w:r>
        <w:rPr>
          <w:rFonts w:hint="eastAsia"/>
        </w:rPr>
        <w:t>受益人代码</w:t>
      </w:r>
      <w:r>
        <w:t>&lt;/BENCODE&gt;</w:t>
      </w:r>
    </w:p>
    <w:p w14:paraId="76DE42E3" w14:textId="77777777" w:rsidR="00A052DC" w:rsidRDefault="009F0A60">
      <w:r>
        <w:t>&lt;BENAME&gt;</w:t>
      </w:r>
      <w:r>
        <w:rPr>
          <w:rFonts w:hint="eastAsia"/>
        </w:rPr>
        <w:t>受益人中文名称</w:t>
      </w:r>
      <w:r>
        <w:t>&lt;/BENAME&gt;</w:t>
      </w:r>
    </w:p>
    <w:p w14:paraId="47B903E9" w14:textId="77777777" w:rsidR="00A052DC" w:rsidRDefault="009F0A60">
      <w:r>
        <w:t>&lt;BENAMEN&gt;</w:t>
      </w:r>
      <w:r>
        <w:rPr>
          <w:rFonts w:hint="eastAsia"/>
        </w:rPr>
        <w:t>受益人英文名称</w:t>
      </w:r>
      <w:r>
        <w:t>&lt;/BENAMEN&gt;</w:t>
      </w:r>
    </w:p>
    <w:p w14:paraId="1FD7EED1" w14:textId="77777777" w:rsidR="00A052DC" w:rsidRDefault="009F0A60">
      <w:r>
        <w:t>&lt;BENTYPE&gt;</w:t>
      </w:r>
      <w:r>
        <w:rPr>
          <w:rFonts w:hint="eastAsia"/>
        </w:rPr>
        <w:t>受益人类型</w:t>
      </w:r>
      <w:r>
        <w:t>&lt;/BENTYPE&gt;</w:t>
      </w:r>
    </w:p>
    <w:p w14:paraId="39F1945A" w14:textId="77777777" w:rsidR="00A052DC" w:rsidRDefault="009F0A60">
      <w:r>
        <w:t>&lt;BENCOUNTRYCODE&gt;</w:t>
      </w:r>
      <w:r>
        <w:rPr>
          <w:rFonts w:hint="eastAsia"/>
        </w:rPr>
        <w:t>受益人国别</w:t>
      </w:r>
      <w:r>
        <w:t>/</w:t>
      </w:r>
      <w:r>
        <w:rPr>
          <w:rFonts w:hint="eastAsia"/>
        </w:rPr>
        <w:t>地区</w:t>
      </w:r>
      <w:r>
        <w:t>&lt;/BENCOUNTRYCODE&gt;</w:t>
      </w:r>
    </w:p>
    <w:p w14:paraId="03D52507" w14:textId="77777777" w:rsidR="00A052DC" w:rsidRDefault="009F0A60">
      <w:r>
        <w:t>&lt;/Beneficiary&gt;</w:t>
      </w:r>
    </w:p>
    <w:p w14:paraId="22FA3956" w14:textId="77777777" w:rsidR="00A052DC" w:rsidRDefault="009F0A60">
      <w:r>
        <w:t>……</w:t>
      </w:r>
    </w:p>
    <w:p w14:paraId="74767021" w14:textId="77777777" w:rsidR="00A052DC" w:rsidRDefault="009F0A60">
      <w:r>
        <w:t>&lt;/&lt;BeneficiaryS&gt;</w:t>
      </w:r>
    </w:p>
    <w:p w14:paraId="7EB8A4A9" w14:textId="77777777" w:rsidR="00A052DC" w:rsidRDefault="009F0A60">
      <w:r>
        <w:t>&lt;GUARANTORES&gt;</w:t>
      </w:r>
    </w:p>
    <w:p w14:paraId="0C91DF35" w14:textId="77777777" w:rsidR="00A052DC" w:rsidRDefault="009F0A60">
      <w:r>
        <w:t>&lt;GUARANTOR&gt;</w:t>
      </w:r>
    </w:p>
    <w:p w14:paraId="532CB8D0" w14:textId="77777777" w:rsidR="00A052DC" w:rsidRDefault="009F0A60">
      <w:r>
        <w:t>&lt;GUEDCODE&gt;</w:t>
      </w:r>
      <w:r>
        <w:rPr>
          <w:rFonts w:hint="eastAsia"/>
        </w:rPr>
        <w:t>被担保人代码</w:t>
      </w:r>
      <w:r>
        <w:t>&lt;/GUEDCODE&gt;</w:t>
      </w:r>
    </w:p>
    <w:p w14:paraId="75BAE51E" w14:textId="77777777" w:rsidR="00A052DC" w:rsidRDefault="009F0A60">
      <w:r>
        <w:t>&lt;GUEDNAME&gt;</w:t>
      </w:r>
      <w:r>
        <w:rPr>
          <w:rFonts w:hint="eastAsia"/>
        </w:rPr>
        <w:t>被担保人中文名称</w:t>
      </w:r>
      <w:r>
        <w:t>&lt;/GUEDNAME&gt;</w:t>
      </w:r>
    </w:p>
    <w:p w14:paraId="1DF49CC6" w14:textId="77777777" w:rsidR="00A052DC" w:rsidRDefault="009F0A60">
      <w:r>
        <w:t>&lt;GUEDNAMEN&gt;</w:t>
      </w:r>
      <w:r>
        <w:rPr>
          <w:rFonts w:hint="eastAsia"/>
        </w:rPr>
        <w:t>被担保人英文名称</w:t>
      </w:r>
      <w:r>
        <w:t>&lt;/GUEDNAMEN&gt;</w:t>
      </w:r>
    </w:p>
    <w:p w14:paraId="4C2F088F" w14:textId="77777777" w:rsidR="00A052DC" w:rsidRDefault="009F0A60">
      <w:r>
        <w:t>&lt;GUEDTYPE&gt;</w:t>
      </w:r>
      <w:r>
        <w:rPr>
          <w:rFonts w:hint="eastAsia"/>
        </w:rPr>
        <w:t>被担保人类型</w:t>
      </w:r>
      <w:r>
        <w:t>&lt;/GUEDTYPE&gt;</w:t>
      </w:r>
    </w:p>
    <w:p w14:paraId="43682B5E" w14:textId="77777777" w:rsidR="00A052DC" w:rsidRDefault="009F0A60">
      <w:r>
        <w:t>&lt;GUEDCOUNCODE&gt;</w:t>
      </w:r>
      <w:r>
        <w:rPr>
          <w:rFonts w:hint="eastAsia"/>
        </w:rPr>
        <w:t>被担保人国别</w:t>
      </w:r>
      <w:r>
        <w:t>/</w:t>
      </w:r>
      <w:r>
        <w:rPr>
          <w:rFonts w:hint="eastAsia"/>
        </w:rPr>
        <w:t>地区代码</w:t>
      </w:r>
      <w:r>
        <w:t>&lt;/GUEDCOUNCODE&gt;</w:t>
      </w:r>
    </w:p>
    <w:p w14:paraId="0E5491B0" w14:textId="77777777" w:rsidR="00A052DC" w:rsidRDefault="009F0A60">
      <w:r>
        <w:t>&lt;</w:t>
      </w:r>
      <w:r>
        <w:rPr>
          <w:rFonts w:hint="eastAsia"/>
        </w:rPr>
        <w:t>GUEDINDUSTRYCODE</w:t>
      </w:r>
      <w:r>
        <w:t>&gt;</w:t>
      </w:r>
      <w:r>
        <w:rPr>
          <w:rFonts w:hint="eastAsia"/>
        </w:rPr>
        <w:t>被担保人所属行业</w:t>
      </w:r>
      <w:r>
        <w:t xml:space="preserve">&lt;/ </w:t>
      </w:r>
      <w:r>
        <w:rPr>
          <w:rFonts w:hint="eastAsia"/>
        </w:rPr>
        <w:t>GUEDINDUSTRYCODE</w:t>
      </w:r>
      <w:r>
        <w:t>&gt;</w:t>
      </w:r>
    </w:p>
    <w:p w14:paraId="5D65CCED" w14:textId="77777777" w:rsidR="00A052DC" w:rsidRDefault="009F0A60">
      <w:r>
        <w:t>&lt;</w:t>
      </w:r>
      <w:r>
        <w:rPr>
          <w:rFonts w:hint="eastAsia"/>
        </w:rPr>
        <w:t xml:space="preserve"> GUEDPARECOMPNAME</w:t>
      </w:r>
      <w:r>
        <w:t>&gt;</w:t>
      </w:r>
      <w:r>
        <w:rPr>
          <w:rFonts w:hint="eastAsia"/>
        </w:rPr>
        <w:t>被担保人境内母公司中文名称</w:t>
      </w:r>
      <w:r>
        <w:t xml:space="preserve">&lt;/ </w:t>
      </w:r>
      <w:r>
        <w:rPr>
          <w:rFonts w:hint="eastAsia"/>
        </w:rPr>
        <w:t>GUEDPARECOMPNAME</w:t>
      </w:r>
      <w:r>
        <w:t>&gt;</w:t>
      </w:r>
    </w:p>
    <w:p w14:paraId="25737E96" w14:textId="77777777" w:rsidR="00A052DC" w:rsidRDefault="009F0A60">
      <w:r>
        <w:t>&lt;</w:t>
      </w:r>
      <w:r>
        <w:rPr>
          <w:rFonts w:hint="eastAsia"/>
        </w:rPr>
        <w:t>GUEDPARECOMPNAMEN</w:t>
      </w:r>
      <w:r>
        <w:t>&gt;</w:t>
      </w:r>
      <w:r>
        <w:rPr>
          <w:rFonts w:hint="eastAsia"/>
        </w:rPr>
        <w:t>被担保人境内母公司英文名称</w:t>
      </w:r>
      <w:r>
        <w:t xml:space="preserve">&lt;/ </w:t>
      </w:r>
      <w:r>
        <w:rPr>
          <w:rFonts w:hint="eastAsia"/>
        </w:rPr>
        <w:t>GUEDPARECOMPNAMEN</w:t>
      </w:r>
      <w:r>
        <w:t>&gt;</w:t>
      </w:r>
    </w:p>
    <w:p w14:paraId="5ACBF5D7" w14:textId="77777777" w:rsidR="00A052DC" w:rsidRDefault="009F0A60">
      <w:r>
        <w:t>&lt; GUEDPARECOMPCODE&gt;</w:t>
      </w:r>
      <w:r>
        <w:rPr>
          <w:rFonts w:hint="eastAsia"/>
        </w:rPr>
        <w:t>被担保人境内母公司代码</w:t>
      </w:r>
      <w:r>
        <w:t>&lt;/ GUEDPARECOMPCODE&gt;</w:t>
      </w:r>
    </w:p>
    <w:p w14:paraId="5DA31F88" w14:textId="77777777" w:rsidR="00A052DC" w:rsidRDefault="009F0A60">
      <w:r>
        <w:t>&lt;ISSUECOUNTRYCODE&gt;</w:t>
      </w:r>
      <w:r>
        <w:rPr>
          <w:rFonts w:hint="eastAsia"/>
        </w:rPr>
        <w:t>发行</w:t>
      </w:r>
      <w:r>
        <w:rPr>
          <w:rFonts w:hint="eastAsia"/>
        </w:rPr>
        <w:t>/</w:t>
      </w:r>
      <w:r>
        <w:rPr>
          <w:rFonts w:hint="eastAsia"/>
        </w:rPr>
        <w:t>上市国家与地区</w:t>
      </w:r>
      <w:r>
        <w:t>&lt;/ ISSUECOUNTRYCODE&gt;</w:t>
      </w:r>
    </w:p>
    <w:p w14:paraId="55FD89DC" w14:textId="77777777" w:rsidR="00A052DC" w:rsidRDefault="009F0A60">
      <w:r>
        <w:t>&lt;/GUARANTOR&gt;</w:t>
      </w:r>
    </w:p>
    <w:p w14:paraId="7A9E9483" w14:textId="77777777" w:rsidR="00A052DC" w:rsidRDefault="009F0A60">
      <w:r>
        <w:rPr>
          <w:rFonts w:hint="eastAsia"/>
        </w:rPr>
        <w:t>......</w:t>
      </w:r>
    </w:p>
    <w:p w14:paraId="30B44C65" w14:textId="77777777" w:rsidR="00A052DC" w:rsidRDefault="009F0A60">
      <w:r>
        <w:t>&lt;/GUARANTORES&gt;</w:t>
      </w:r>
    </w:p>
    <w:p w14:paraId="0FE37A43" w14:textId="77777777" w:rsidR="00A052DC" w:rsidRDefault="009F0A60">
      <w:r>
        <w:t>&lt;GUAPPCODE&gt;</w:t>
      </w:r>
      <w:r>
        <w:rPr>
          <w:rFonts w:hint="eastAsia"/>
        </w:rPr>
        <w:t>担保申请人代码</w:t>
      </w:r>
      <w:r>
        <w:t>&lt;/GUAPPCODE&gt;</w:t>
      </w:r>
    </w:p>
    <w:p w14:paraId="24D61F54" w14:textId="77777777" w:rsidR="00A052DC" w:rsidRDefault="009F0A60">
      <w:r>
        <w:t>&lt;GUAPPNAME&gt;</w:t>
      </w:r>
      <w:r>
        <w:rPr>
          <w:rFonts w:hint="eastAsia"/>
        </w:rPr>
        <w:t>担保申请人中文名称</w:t>
      </w:r>
      <w:r>
        <w:t>&lt;/GUAPPNAME&gt;</w:t>
      </w:r>
    </w:p>
    <w:p w14:paraId="457C9BD4" w14:textId="77777777" w:rsidR="00A052DC" w:rsidRDefault="009F0A60">
      <w:r>
        <w:t>&lt;GUAPPNAMEN&gt;</w:t>
      </w:r>
      <w:r>
        <w:rPr>
          <w:rFonts w:hint="eastAsia"/>
        </w:rPr>
        <w:t>担保申请人英文名称</w:t>
      </w:r>
      <w:r>
        <w:t>&lt;/GUAPPNAMEN&gt;</w:t>
      </w:r>
    </w:p>
    <w:p w14:paraId="5872E456" w14:textId="77777777" w:rsidR="00A052DC" w:rsidRDefault="009F0A60">
      <w:r>
        <w:t>&lt;CGYN&gt;</w:t>
      </w:r>
      <w:r>
        <w:t>是否有反担保人</w:t>
      </w:r>
      <w:r>
        <w:t>&lt;/CGYN&gt;</w:t>
      </w:r>
    </w:p>
    <w:p w14:paraId="4AAEACA8" w14:textId="77777777" w:rsidR="00A052DC" w:rsidRDefault="009F0A60">
      <w:r>
        <w:t>&lt;C</w:t>
      </w:r>
      <w:r>
        <w:rPr>
          <w:rFonts w:hint="eastAsia"/>
        </w:rPr>
        <w:t>OUN</w:t>
      </w:r>
      <w:r>
        <w:t>G</w:t>
      </w:r>
      <w:r>
        <w:rPr>
          <w:rFonts w:hint="eastAsia"/>
        </w:rPr>
        <w:t>UARS</w:t>
      </w:r>
      <w:r>
        <w:t>&gt;</w:t>
      </w:r>
    </w:p>
    <w:p w14:paraId="2A2274B6" w14:textId="77777777" w:rsidR="00A052DC" w:rsidRDefault="009F0A60">
      <w:r>
        <w:t>&lt;C</w:t>
      </w:r>
      <w:r>
        <w:rPr>
          <w:rFonts w:hint="eastAsia"/>
        </w:rPr>
        <w:t>OUN</w:t>
      </w:r>
      <w:r>
        <w:t>G</w:t>
      </w:r>
      <w:r>
        <w:rPr>
          <w:rFonts w:hint="eastAsia"/>
        </w:rPr>
        <w:t>UAR</w:t>
      </w:r>
      <w:r>
        <w:t>&gt;</w:t>
      </w:r>
    </w:p>
    <w:p w14:paraId="06E42F21" w14:textId="77777777" w:rsidR="00A052DC" w:rsidRDefault="009F0A60">
      <w:r>
        <w:t>&lt;CGCODE&gt;</w:t>
      </w:r>
      <w:r>
        <w:t>反担保人代码</w:t>
      </w:r>
      <w:r>
        <w:t>&lt;/CGCODE&gt;</w:t>
      </w:r>
    </w:p>
    <w:p w14:paraId="7AF0C3A0" w14:textId="77777777" w:rsidR="00A052DC" w:rsidRDefault="009F0A60">
      <w:r>
        <w:t>&lt;CGNAME&gt;</w:t>
      </w:r>
      <w:r>
        <w:t>反担保人中文名称</w:t>
      </w:r>
      <w:r>
        <w:t>&lt;/CGNAME&gt;</w:t>
      </w:r>
    </w:p>
    <w:p w14:paraId="018DCBA3" w14:textId="77777777" w:rsidR="00A052DC" w:rsidRDefault="009F0A60">
      <w:r>
        <w:t>&lt;CGNAMEN&gt;</w:t>
      </w:r>
      <w:r>
        <w:t>反担保人英文名称</w:t>
      </w:r>
      <w:r>
        <w:t>&lt;/CGNAMEN&gt;</w:t>
      </w:r>
    </w:p>
    <w:p w14:paraId="37C9DF18" w14:textId="77777777" w:rsidR="00A052DC" w:rsidRDefault="009F0A60">
      <w:r>
        <w:t>&lt;</w:t>
      </w:r>
      <w:r>
        <w:rPr>
          <w:rFonts w:hint="eastAsia"/>
        </w:rPr>
        <w:t>CG</w:t>
      </w:r>
      <w:r>
        <w:t>COUNCODE&gt;</w:t>
      </w:r>
      <w:r>
        <w:rPr>
          <w:rFonts w:hint="eastAsia"/>
        </w:rPr>
        <w:t>反</w:t>
      </w:r>
      <w:r>
        <w:t>担保人国别</w:t>
      </w:r>
      <w:r>
        <w:t>/</w:t>
      </w:r>
      <w:r>
        <w:t>地区代码</w:t>
      </w:r>
      <w:r>
        <w:t>&lt;/</w:t>
      </w:r>
      <w:r>
        <w:rPr>
          <w:rFonts w:hint="eastAsia"/>
        </w:rPr>
        <w:t>CG</w:t>
      </w:r>
      <w:r>
        <w:t>COUNCODE&gt;</w:t>
      </w:r>
    </w:p>
    <w:p w14:paraId="56805C02" w14:textId="77777777" w:rsidR="00A052DC" w:rsidRDefault="009F0A60">
      <w:r>
        <w:t>&lt;</w:t>
      </w:r>
      <w:r>
        <w:rPr>
          <w:rFonts w:hint="eastAsia"/>
        </w:rPr>
        <w:t>/</w:t>
      </w:r>
      <w:r>
        <w:t>C</w:t>
      </w:r>
      <w:r>
        <w:rPr>
          <w:rFonts w:hint="eastAsia"/>
        </w:rPr>
        <w:t>OUN</w:t>
      </w:r>
      <w:r>
        <w:t>G</w:t>
      </w:r>
      <w:r>
        <w:rPr>
          <w:rFonts w:hint="eastAsia"/>
        </w:rPr>
        <w:t>UAR</w:t>
      </w:r>
      <w:r>
        <w:t>&gt;</w:t>
      </w:r>
    </w:p>
    <w:p w14:paraId="15569830" w14:textId="77777777" w:rsidR="00A052DC" w:rsidRDefault="009F0A60">
      <w:r>
        <w:rPr>
          <w:rFonts w:hint="eastAsia"/>
        </w:rPr>
        <w:t>......</w:t>
      </w:r>
    </w:p>
    <w:p w14:paraId="36192CA6" w14:textId="77777777" w:rsidR="00A052DC" w:rsidRDefault="009F0A60">
      <w:r>
        <w:t>&lt;</w:t>
      </w:r>
      <w:r>
        <w:rPr>
          <w:rFonts w:hint="eastAsia"/>
        </w:rPr>
        <w:t>/</w:t>
      </w:r>
      <w:r>
        <w:t>C</w:t>
      </w:r>
      <w:r>
        <w:rPr>
          <w:rFonts w:hint="eastAsia"/>
        </w:rPr>
        <w:t>OUN</w:t>
      </w:r>
      <w:r>
        <w:t>G</w:t>
      </w:r>
      <w:r>
        <w:rPr>
          <w:rFonts w:hint="eastAsia"/>
        </w:rPr>
        <w:t>UARS</w:t>
      </w:r>
      <w:r>
        <w:t>&gt;</w:t>
      </w:r>
    </w:p>
    <w:p w14:paraId="7ED2B385" w14:textId="77777777" w:rsidR="00A052DC" w:rsidRDefault="009F0A60">
      <w:r>
        <w:t>&lt;THYN&gt;</w:t>
      </w:r>
      <w:r>
        <w:t>是否调回境内</w:t>
      </w:r>
      <w:r>
        <w:t>&lt;/THTN&gt;</w:t>
      </w:r>
    </w:p>
    <w:p w14:paraId="743DDFA3" w14:textId="77777777" w:rsidR="00A052DC" w:rsidRDefault="009F0A60">
      <w:r>
        <w:t>&lt;THJE&gt;</w:t>
      </w:r>
      <w:r>
        <w:t>资金调回金额</w:t>
      </w:r>
      <w:r>
        <w:t>&lt;/THJE&gt;</w:t>
      </w:r>
    </w:p>
    <w:p w14:paraId="04B966D5" w14:textId="77777777" w:rsidR="00A052DC" w:rsidRDefault="009F0A60">
      <w:r>
        <w:t>&lt;JWYN&gt;</w:t>
      </w:r>
      <w:r>
        <w:t>是否与境外投资相关</w:t>
      </w:r>
      <w:r>
        <w:t>&lt;/JWYN&gt;</w:t>
      </w:r>
    </w:p>
    <w:p w14:paraId="57AA9B2C" w14:textId="77777777" w:rsidR="00A052DC" w:rsidRDefault="009F0A60">
      <w:r>
        <w:t>&lt;REMARK&gt;</w:t>
      </w:r>
      <w:r>
        <w:rPr>
          <w:rFonts w:hint="eastAsia"/>
        </w:rPr>
        <w:t>备注</w:t>
      </w:r>
      <w:r>
        <w:t>&lt;/REMARK&gt;</w:t>
      </w:r>
    </w:p>
    <w:p w14:paraId="470FBDC0" w14:textId="77777777" w:rsidR="00A052DC" w:rsidRDefault="009F0A60">
      <w:r>
        <w:t>&lt;/REC&gt;</w:t>
      </w:r>
    </w:p>
    <w:p w14:paraId="41EF55A0" w14:textId="77777777" w:rsidR="00A052DC" w:rsidRDefault="009F0A60" w:rsidP="0020251D">
      <w:pPr>
        <w:pStyle w:val="5"/>
        <w:numPr>
          <w:ilvl w:val="4"/>
          <w:numId w:val="1"/>
        </w:numPr>
        <w:spacing w:before="120" w:after="120" w:line="360" w:lineRule="auto"/>
        <w:jc w:val="left"/>
      </w:pPr>
      <w:bookmarkStart w:id="1613" w:name="_Toc328635509"/>
      <w:bookmarkStart w:id="1614" w:name="_Toc454386949"/>
      <w:r>
        <w:rPr>
          <w:rFonts w:hint="eastAsia"/>
        </w:rPr>
        <w:t>数据字典</w:t>
      </w:r>
      <w:bookmarkEnd w:id="1613"/>
      <w:bookmarkEnd w:id="1614"/>
    </w:p>
    <w:tbl>
      <w:tblPr>
        <w:tblW w:w="86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701"/>
        <w:gridCol w:w="1559"/>
        <w:gridCol w:w="3685"/>
      </w:tblGrid>
      <w:tr w:rsidR="00A052DC" w14:paraId="04548686" w14:textId="77777777">
        <w:trPr>
          <w:tblHeader/>
        </w:trPr>
        <w:tc>
          <w:tcPr>
            <w:tcW w:w="1702" w:type="dxa"/>
            <w:shd w:val="clear" w:color="auto" w:fill="C0C0C0"/>
          </w:tcPr>
          <w:p w14:paraId="15B4C407" w14:textId="77777777" w:rsidR="00A052DC" w:rsidRDefault="009F0A60">
            <w:pPr>
              <w:jc w:val="center"/>
              <w:rPr>
                <w:rFonts w:ascii="黑体" w:eastAsia="黑体" w:hAnsi="黑体"/>
                <w:b/>
                <w:sz w:val="20"/>
                <w:szCs w:val="20"/>
              </w:rPr>
            </w:pPr>
            <w:r>
              <w:rPr>
                <w:rFonts w:ascii="黑体" w:eastAsia="黑体" w:hAnsi="黑体" w:hint="eastAsia"/>
                <w:b/>
                <w:sz w:val="20"/>
                <w:szCs w:val="20"/>
              </w:rPr>
              <w:t>字段</w:t>
            </w:r>
          </w:p>
        </w:tc>
        <w:tc>
          <w:tcPr>
            <w:tcW w:w="1701" w:type="dxa"/>
            <w:shd w:val="clear" w:color="auto" w:fill="C0C0C0"/>
          </w:tcPr>
          <w:p w14:paraId="52D0FF68" w14:textId="77777777" w:rsidR="00A052DC" w:rsidRDefault="009F0A60">
            <w:pPr>
              <w:jc w:val="center"/>
              <w:rPr>
                <w:rFonts w:ascii="黑体" w:eastAsia="黑体" w:hAnsi="黑体"/>
                <w:b/>
                <w:sz w:val="20"/>
                <w:szCs w:val="20"/>
              </w:rPr>
            </w:pPr>
            <w:r>
              <w:rPr>
                <w:rFonts w:ascii="黑体" w:eastAsia="黑体" w:hAnsi="黑体" w:hint="eastAsia"/>
                <w:b/>
                <w:sz w:val="20"/>
                <w:szCs w:val="20"/>
              </w:rPr>
              <w:t>内容</w:t>
            </w:r>
          </w:p>
        </w:tc>
        <w:tc>
          <w:tcPr>
            <w:tcW w:w="1559" w:type="dxa"/>
            <w:shd w:val="clear" w:color="auto" w:fill="C0C0C0"/>
          </w:tcPr>
          <w:p w14:paraId="36E321D5" w14:textId="77777777" w:rsidR="00A052DC" w:rsidRDefault="009F0A60">
            <w:pPr>
              <w:jc w:val="center"/>
              <w:rPr>
                <w:rFonts w:ascii="黑体" w:eastAsia="黑体" w:hAnsi="黑体"/>
                <w:b/>
                <w:sz w:val="20"/>
                <w:szCs w:val="20"/>
              </w:rPr>
            </w:pPr>
            <w:r>
              <w:rPr>
                <w:rFonts w:ascii="黑体" w:eastAsia="黑体" w:hAnsi="黑体" w:hint="eastAsia"/>
                <w:b/>
                <w:sz w:val="20"/>
                <w:szCs w:val="20"/>
              </w:rPr>
              <w:t>类型（长度）</w:t>
            </w:r>
          </w:p>
        </w:tc>
        <w:tc>
          <w:tcPr>
            <w:tcW w:w="3685" w:type="dxa"/>
            <w:shd w:val="clear" w:color="auto" w:fill="C0C0C0"/>
          </w:tcPr>
          <w:p w14:paraId="4295B52E" w14:textId="77777777" w:rsidR="00A052DC" w:rsidRDefault="009F0A60">
            <w:pPr>
              <w:jc w:val="center"/>
              <w:rPr>
                <w:rFonts w:ascii="黑体" w:eastAsia="黑体" w:hAnsi="黑体"/>
                <w:b/>
                <w:sz w:val="20"/>
                <w:szCs w:val="20"/>
              </w:rPr>
            </w:pPr>
            <w:r>
              <w:rPr>
                <w:rFonts w:ascii="黑体" w:eastAsia="黑体" w:hAnsi="黑体" w:hint="eastAsia"/>
                <w:b/>
                <w:sz w:val="20"/>
                <w:szCs w:val="20"/>
              </w:rPr>
              <w:t>校验</w:t>
            </w:r>
          </w:p>
        </w:tc>
      </w:tr>
      <w:tr w:rsidR="00A052DC" w14:paraId="6FD9E601" w14:textId="77777777">
        <w:tc>
          <w:tcPr>
            <w:tcW w:w="1702" w:type="dxa"/>
          </w:tcPr>
          <w:p w14:paraId="39B969DE" w14:textId="77777777" w:rsidR="00A052DC" w:rsidRDefault="009F0A60">
            <w:pPr>
              <w:rPr>
                <w:rFonts w:ascii="黑体" w:eastAsia="黑体" w:hAnsi="黑体"/>
                <w:sz w:val="20"/>
                <w:szCs w:val="20"/>
              </w:rPr>
            </w:pPr>
            <w:r>
              <w:rPr>
                <w:rFonts w:ascii="黑体" w:eastAsia="黑体" w:hAnsi="黑体"/>
                <w:sz w:val="20"/>
                <w:szCs w:val="20"/>
              </w:rPr>
              <w:t>ACTIONTYPE</w:t>
            </w:r>
          </w:p>
        </w:tc>
        <w:tc>
          <w:tcPr>
            <w:tcW w:w="1701" w:type="dxa"/>
          </w:tcPr>
          <w:p w14:paraId="191F436A" w14:textId="77777777" w:rsidR="00A052DC" w:rsidRDefault="009F0A60">
            <w:pPr>
              <w:rPr>
                <w:rFonts w:ascii="黑体" w:eastAsia="黑体" w:hAnsi="黑体"/>
                <w:sz w:val="20"/>
                <w:szCs w:val="20"/>
              </w:rPr>
            </w:pPr>
            <w:r>
              <w:rPr>
                <w:rFonts w:ascii="黑体" w:eastAsia="黑体" w:hAnsi="黑体" w:hint="eastAsia"/>
                <w:sz w:val="20"/>
                <w:szCs w:val="20"/>
              </w:rPr>
              <w:t>操作类型</w:t>
            </w:r>
          </w:p>
        </w:tc>
        <w:tc>
          <w:tcPr>
            <w:tcW w:w="1559" w:type="dxa"/>
          </w:tcPr>
          <w:p w14:paraId="5F6A0436" w14:textId="77777777" w:rsidR="00A052DC" w:rsidRDefault="009F0A60">
            <w:pPr>
              <w:rPr>
                <w:rFonts w:ascii="黑体" w:eastAsia="黑体" w:hAnsi="黑体"/>
                <w:sz w:val="20"/>
                <w:szCs w:val="20"/>
              </w:rPr>
            </w:pPr>
            <w:r>
              <w:rPr>
                <w:rFonts w:ascii="黑体" w:eastAsia="黑体" w:hAnsi="黑体" w:hint="eastAsia"/>
                <w:sz w:val="20"/>
                <w:szCs w:val="20"/>
              </w:rPr>
              <w:t>字符型，1</w:t>
            </w:r>
          </w:p>
        </w:tc>
        <w:tc>
          <w:tcPr>
            <w:tcW w:w="3685" w:type="dxa"/>
          </w:tcPr>
          <w:p w14:paraId="01306922" w14:textId="77777777" w:rsidR="00A052DC" w:rsidRDefault="009F0A60">
            <w:pPr>
              <w:rPr>
                <w:rFonts w:ascii="黑体" w:eastAsia="黑体" w:hAnsi="黑体"/>
                <w:sz w:val="20"/>
                <w:szCs w:val="20"/>
              </w:rPr>
            </w:pPr>
            <w:r>
              <w:rPr>
                <w:rFonts w:ascii="黑体" w:eastAsia="黑体" w:hAnsi="黑体" w:hint="eastAsia"/>
                <w:sz w:val="20"/>
                <w:szCs w:val="20"/>
              </w:rPr>
              <w:t>必填项</w:t>
            </w:r>
            <w:r w:rsidR="005D3821">
              <w:rPr>
                <w:rFonts w:ascii="黑体" w:eastAsia="黑体" w:hAnsi="黑体" w:hint="eastAsia"/>
                <w:sz w:val="20"/>
                <w:szCs w:val="20"/>
              </w:rPr>
              <w:t>。</w:t>
            </w:r>
          </w:p>
          <w:p w14:paraId="393DE4D7" w14:textId="77777777" w:rsidR="00A052DC" w:rsidRDefault="009F0A60">
            <w:pPr>
              <w:rPr>
                <w:rFonts w:ascii="黑体" w:eastAsia="黑体" w:hAnsi="黑体"/>
                <w:sz w:val="20"/>
                <w:szCs w:val="20"/>
              </w:rPr>
            </w:pPr>
            <w:r>
              <w:rPr>
                <w:rFonts w:ascii="黑体" w:eastAsia="黑体" w:hAnsi="黑体" w:hint="eastAsia"/>
                <w:sz w:val="20"/>
                <w:szCs w:val="20"/>
              </w:rPr>
              <w:t>A</w:t>
            </w:r>
            <w:r w:rsidR="00AE4602">
              <w:rPr>
                <w:rFonts w:ascii="黑体" w:eastAsia="黑体" w:hAnsi="黑体" w:hint="eastAsia"/>
                <w:sz w:val="20"/>
                <w:szCs w:val="20"/>
              </w:rPr>
              <w:t>-</w:t>
            </w:r>
            <w:r>
              <w:rPr>
                <w:rFonts w:ascii="黑体" w:eastAsia="黑体" w:hAnsi="黑体" w:hint="eastAsia"/>
                <w:sz w:val="20"/>
                <w:szCs w:val="20"/>
              </w:rPr>
              <w:t>新建</w:t>
            </w:r>
          </w:p>
          <w:p w14:paraId="1680DB62" w14:textId="77777777" w:rsidR="00A052DC" w:rsidRDefault="009F0A60">
            <w:pPr>
              <w:rPr>
                <w:rFonts w:ascii="黑体" w:eastAsia="黑体" w:hAnsi="黑体"/>
                <w:sz w:val="20"/>
                <w:szCs w:val="20"/>
              </w:rPr>
            </w:pPr>
            <w:r>
              <w:rPr>
                <w:rFonts w:ascii="黑体" w:eastAsia="黑体" w:hAnsi="黑体" w:hint="eastAsia"/>
                <w:sz w:val="20"/>
                <w:szCs w:val="20"/>
              </w:rPr>
              <w:t>C</w:t>
            </w:r>
            <w:r w:rsidR="00AE4602">
              <w:rPr>
                <w:rFonts w:ascii="黑体" w:eastAsia="黑体" w:hAnsi="黑体" w:hint="eastAsia"/>
                <w:sz w:val="20"/>
                <w:szCs w:val="20"/>
              </w:rPr>
              <w:t>-</w:t>
            </w:r>
            <w:r>
              <w:rPr>
                <w:rFonts w:ascii="黑体" w:eastAsia="黑体" w:hAnsi="黑体" w:hint="eastAsia"/>
                <w:sz w:val="20"/>
                <w:szCs w:val="20"/>
              </w:rPr>
              <w:t>修改</w:t>
            </w:r>
          </w:p>
          <w:p w14:paraId="686D0448" w14:textId="77777777" w:rsidR="005D3821" w:rsidRDefault="009F0A60" w:rsidP="005D3821">
            <w:pPr>
              <w:rPr>
                <w:rFonts w:ascii="黑体" w:eastAsia="黑体" w:hAnsi="黑体"/>
                <w:sz w:val="20"/>
                <w:szCs w:val="20"/>
              </w:rPr>
            </w:pPr>
            <w:r>
              <w:rPr>
                <w:rFonts w:ascii="黑体" w:eastAsia="黑体" w:hAnsi="黑体" w:hint="eastAsia"/>
                <w:sz w:val="20"/>
                <w:szCs w:val="20"/>
              </w:rPr>
              <w:t>D</w:t>
            </w:r>
            <w:r w:rsidR="00AE4602">
              <w:rPr>
                <w:rFonts w:ascii="黑体" w:eastAsia="黑体" w:hAnsi="黑体" w:hint="eastAsia"/>
                <w:sz w:val="20"/>
                <w:szCs w:val="20"/>
              </w:rPr>
              <w:t>-</w:t>
            </w:r>
            <w:r>
              <w:rPr>
                <w:rFonts w:ascii="黑体" w:eastAsia="黑体" w:hAnsi="黑体" w:hint="eastAsia"/>
                <w:sz w:val="20"/>
                <w:szCs w:val="20"/>
              </w:rPr>
              <w:t>删除</w:t>
            </w:r>
          </w:p>
          <w:p w14:paraId="394A3B83" w14:textId="77777777" w:rsidR="00A052DC" w:rsidRDefault="009F0A60" w:rsidP="005D3821">
            <w:pPr>
              <w:rPr>
                <w:rFonts w:ascii="黑体" w:eastAsia="黑体" w:hAnsi="黑体"/>
                <w:sz w:val="20"/>
                <w:szCs w:val="20"/>
              </w:rPr>
            </w:pPr>
            <w:r>
              <w:rPr>
                <w:rFonts w:ascii="黑体" w:eastAsia="黑体" w:hAnsi="黑体" w:hint="eastAsia"/>
                <w:sz w:val="20"/>
                <w:szCs w:val="20"/>
              </w:rPr>
              <w:t>一旦银行报送了该对外担保编号下的责任余额信息或履约信息，就不可以删除了。</w:t>
            </w:r>
          </w:p>
        </w:tc>
      </w:tr>
      <w:tr w:rsidR="00A052DC" w14:paraId="0AC1A991" w14:textId="77777777">
        <w:tc>
          <w:tcPr>
            <w:tcW w:w="1702" w:type="dxa"/>
          </w:tcPr>
          <w:p w14:paraId="1559B744" w14:textId="77777777" w:rsidR="00A052DC" w:rsidRDefault="009F0A60">
            <w:pPr>
              <w:rPr>
                <w:rFonts w:ascii="黑体" w:eastAsia="黑体" w:hAnsi="黑体"/>
                <w:sz w:val="20"/>
                <w:szCs w:val="20"/>
              </w:rPr>
            </w:pPr>
            <w:r>
              <w:rPr>
                <w:rFonts w:ascii="黑体" w:eastAsia="黑体" w:hAnsi="黑体"/>
                <w:sz w:val="20"/>
                <w:szCs w:val="20"/>
              </w:rPr>
              <w:t>ACTIONDESC</w:t>
            </w:r>
          </w:p>
        </w:tc>
        <w:tc>
          <w:tcPr>
            <w:tcW w:w="1701" w:type="dxa"/>
          </w:tcPr>
          <w:p w14:paraId="2DD86BC5" w14:textId="77777777" w:rsidR="00A052DC" w:rsidRDefault="009F0A60">
            <w:pPr>
              <w:rPr>
                <w:rFonts w:ascii="黑体" w:eastAsia="黑体" w:hAnsi="黑体"/>
                <w:sz w:val="20"/>
                <w:szCs w:val="20"/>
              </w:rPr>
            </w:pPr>
            <w:r>
              <w:rPr>
                <w:rFonts w:ascii="黑体" w:eastAsia="黑体" w:hAnsi="黑体" w:hint="eastAsia"/>
                <w:sz w:val="20"/>
                <w:szCs w:val="20"/>
              </w:rPr>
              <w:t>删除原因</w:t>
            </w:r>
          </w:p>
        </w:tc>
        <w:tc>
          <w:tcPr>
            <w:tcW w:w="1559" w:type="dxa"/>
          </w:tcPr>
          <w:p w14:paraId="62AB23A7"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3685" w:type="dxa"/>
          </w:tcPr>
          <w:p w14:paraId="5A83BB9F" w14:textId="77777777" w:rsidR="00A052DC" w:rsidRDefault="00DD6AA3">
            <w:pPr>
              <w:rPr>
                <w:rFonts w:ascii="黑体" w:eastAsia="黑体" w:hAnsi="黑体"/>
                <w:sz w:val="20"/>
                <w:szCs w:val="20"/>
              </w:rPr>
            </w:pPr>
            <w:r>
              <w:rPr>
                <w:rFonts w:ascii="黑体" w:eastAsia="黑体" w:hAnsi="黑体" w:hint="eastAsia"/>
                <w:sz w:val="20"/>
                <w:szCs w:val="20"/>
              </w:rPr>
              <w:t>非必填项，当操作类型（ACTIONTYPE）为删除时必填。</w:t>
            </w:r>
          </w:p>
        </w:tc>
      </w:tr>
      <w:tr w:rsidR="00A052DC" w14:paraId="79623E63" w14:textId="77777777">
        <w:tc>
          <w:tcPr>
            <w:tcW w:w="1702" w:type="dxa"/>
          </w:tcPr>
          <w:p w14:paraId="4292DB3E" w14:textId="77777777" w:rsidR="00A052DC" w:rsidRDefault="009F0A60">
            <w:pPr>
              <w:rPr>
                <w:rFonts w:ascii="黑体" w:eastAsia="黑体" w:hAnsi="黑体"/>
                <w:sz w:val="20"/>
                <w:szCs w:val="20"/>
              </w:rPr>
            </w:pPr>
            <w:r>
              <w:rPr>
                <w:rFonts w:ascii="黑体" w:eastAsia="黑体" w:hAnsi="黑体"/>
                <w:sz w:val="20"/>
                <w:szCs w:val="20"/>
              </w:rPr>
              <w:t>ExguaranCODE</w:t>
            </w:r>
          </w:p>
        </w:tc>
        <w:tc>
          <w:tcPr>
            <w:tcW w:w="1701" w:type="dxa"/>
          </w:tcPr>
          <w:p w14:paraId="16F1C2E0" w14:textId="77777777" w:rsidR="00A052DC" w:rsidRDefault="009F0A60">
            <w:pPr>
              <w:rPr>
                <w:rFonts w:ascii="黑体" w:eastAsia="黑体" w:hAnsi="黑体"/>
                <w:sz w:val="20"/>
                <w:szCs w:val="20"/>
              </w:rPr>
            </w:pPr>
            <w:r>
              <w:rPr>
                <w:rFonts w:ascii="黑体" w:eastAsia="黑体" w:hAnsi="黑体" w:hint="eastAsia"/>
                <w:sz w:val="20"/>
                <w:szCs w:val="20"/>
              </w:rPr>
              <w:t>对外担保编号</w:t>
            </w:r>
          </w:p>
        </w:tc>
        <w:tc>
          <w:tcPr>
            <w:tcW w:w="1559" w:type="dxa"/>
          </w:tcPr>
          <w:p w14:paraId="53CDCDB0" w14:textId="77777777" w:rsidR="00A052DC" w:rsidRDefault="009F0A60">
            <w:pPr>
              <w:rPr>
                <w:rFonts w:ascii="黑体" w:eastAsia="黑体" w:hAnsi="黑体"/>
                <w:sz w:val="20"/>
                <w:szCs w:val="20"/>
              </w:rPr>
            </w:pPr>
            <w:r>
              <w:rPr>
                <w:rFonts w:ascii="黑体" w:eastAsia="黑体" w:hAnsi="黑体" w:hint="eastAsia"/>
                <w:sz w:val="20"/>
                <w:szCs w:val="20"/>
              </w:rPr>
              <w:t>字符型，28</w:t>
            </w:r>
          </w:p>
        </w:tc>
        <w:tc>
          <w:tcPr>
            <w:tcW w:w="3685" w:type="dxa"/>
          </w:tcPr>
          <w:p w14:paraId="1958A943"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r w:rsidR="00A052DC" w14:paraId="236E7A79" w14:textId="77777777">
        <w:tc>
          <w:tcPr>
            <w:tcW w:w="1702" w:type="dxa"/>
          </w:tcPr>
          <w:p w14:paraId="49004E01" w14:textId="77777777" w:rsidR="00A052DC" w:rsidRDefault="009F0A60">
            <w:pPr>
              <w:rPr>
                <w:rFonts w:ascii="黑体" w:eastAsia="黑体" w:hAnsi="黑体"/>
                <w:sz w:val="20"/>
                <w:szCs w:val="20"/>
              </w:rPr>
            </w:pPr>
            <w:r>
              <w:rPr>
                <w:rFonts w:ascii="黑体" w:eastAsia="黑体" w:hAnsi="黑体"/>
                <w:sz w:val="20"/>
                <w:szCs w:val="20"/>
              </w:rPr>
              <w:t>GuarantorCODE</w:t>
            </w:r>
          </w:p>
        </w:tc>
        <w:tc>
          <w:tcPr>
            <w:tcW w:w="1701" w:type="dxa"/>
          </w:tcPr>
          <w:p w14:paraId="2BBD67E3" w14:textId="77777777" w:rsidR="00A052DC" w:rsidRDefault="009F0A60">
            <w:pPr>
              <w:rPr>
                <w:rFonts w:ascii="黑体" w:eastAsia="黑体" w:hAnsi="黑体"/>
                <w:sz w:val="20"/>
                <w:szCs w:val="20"/>
              </w:rPr>
            </w:pPr>
            <w:r>
              <w:rPr>
                <w:rFonts w:ascii="黑体" w:eastAsia="黑体" w:hAnsi="黑体" w:hint="eastAsia"/>
                <w:sz w:val="20"/>
                <w:szCs w:val="20"/>
              </w:rPr>
              <w:t>担保人代码</w:t>
            </w:r>
          </w:p>
        </w:tc>
        <w:tc>
          <w:tcPr>
            <w:tcW w:w="1559" w:type="dxa"/>
          </w:tcPr>
          <w:p w14:paraId="1C473C0B" w14:textId="77777777" w:rsidR="00A052DC" w:rsidRDefault="009F0A60">
            <w:pPr>
              <w:rPr>
                <w:rFonts w:ascii="黑体" w:eastAsia="黑体" w:hAnsi="黑体"/>
                <w:sz w:val="20"/>
                <w:szCs w:val="20"/>
              </w:rPr>
            </w:pPr>
            <w:r>
              <w:rPr>
                <w:rFonts w:ascii="黑体" w:eastAsia="黑体" w:hAnsi="黑体" w:hint="eastAsia"/>
                <w:sz w:val="20"/>
                <w:szCs w:val="20"/>
              </w:rPr>
              <w:t>字符型，12</w:t>
            </w:r>
          </w:p>
        </w:tc>
        <w:tc>
          <w:tcPr>
            <w:tcW w:w="3685" w:type="dxa"/>
          </w:tcPr>
          <w:p w14:paraId="73D73DE5" w14:textId="77777777" w:rsidR="00A052DC" w:rsidRDefault="009F0A60">
            <w:pPr>
              <w:rPr>
                <w:rFonts w:ascii="黑体" w:eastAsia="黑体" w:hAnsi="黑体"/>
                <w:sz w:val="20"/>
                <w:szCs w:val="20"/>
              </w:rPr>
            </w:pPr>
            <w:r>
              <w:rPr>
                <w:rFonts w:ascii="黑体" w:eastAsia="黑体" w:hAnsi="黑体" w:hint="eastAsia"/>
                <w:sz w:val="20"/>
                <w:szCs w:val="20"/>
              </w:rPr>
              <w:t>必填项，金融机构标识码。</w:t>
            </w:r>
          </w:p>
        </w:tc>
      </w:tr>
      <w:tr w:rsidR="00A052DC" w14:paraId="6A94935C" w14:textId="77777777">
        <w:tc>
          <w:tcPr>
            <w:tcW w:w="1702" w:type="dxa"/>
          </w:tcPr>
          <w:p w14:paraId="605D263B" w14:textId="77777777" w:rsidR="00A052DC" w:rsidRDefault="009F0A60">
            <w:pPr>
              <w:rPr>
                <w:rFonts w:ascii="黑体" w:eastAsia="黑体" w:hAnsi="黑体"/>
                <w:sz w:val="20"/>
                <w:szCs w:val="20"/>
              </w:rPr>
            </w:pPr>
            <w:r>
              <w:rPr>
                <w:rFonts w:ascii="黑体" w:eastAsia="黑体" w:hAnsi="黑体"/>
                <w:sz w:val="20"/>
                <w:szCs w:val="20"/>
              </w:rPr>
              <w:t>CONTRACTDATE</w:t>
            </w:r>
          </w:p>
        </w:tc>
        <w:tc>
          <w:tcPr>
            <w:tcW w:w="1701" w:type="dxa"/>
          </w:tcPr>
          <w:p w14:paraId="7090A110" w14:textId="77777777" w:rsidR="00A052DC" w:rsidRDefault="009F0A60">
            <w:pPr>
              <w:rPr>
                <w:rFonts w:ascii="黑体" w:eastAsia="黑体" w:hAnsi="黑体"/>
                <w:sz w:val="20"/>
                <w:szCs w:val="20"/>
              </w:rPr>
            </w:pPr>
            <w:r>
              <w:rPr>
                <w:rFonts w:ascii="黑体" w:eastAsia="黑体" w:hAnsi="黑体" w:hint="eastAsia"/>
                <w:sz w:val="20"/>
                <w:szCs w:val="20"/>
              </w:rPr>
              <w:t>签约日期</w:t>
            </w:r>
          </w:p>
        </w:tc>
        <w:tc>
          <w:tcPr>
            <w:tcW w:w="1559" w:type="dxa"/>
          </w:tcPr>
          <w:p w14:paraId="777FD7C6" w14:textId="77777777" w:rsidR="00A052DC" w:rsidRDefault="009F0A60">
            <w:pPr>
              <w:rPr>
                <w:rFonts w:ascii="黑体" w:eastAsia="黑体" w:hAnsi="黑体"/>
                <w:sz w:val="20"/>
                <w:szCs w:val="20"/>
              </w:rPr>
            </w:pPr>
            <w:r>
              <w:rPr>
                <w:rFonts w:ascii="黑体" w:eastAsia="黑体" w:hAnsi="黑体" w:hint="eastAsia"/>
                <w:sz w:val="20"/>
                <w:szCs w:val="20"/>
              </w:rPr>
              <w:t>日期型，8</w:t>
            </w:r>
          </w:p>
        </w:tc>
        <w:tc>
          <w:tcPr>
            <w:tcW w:w="3685" w:type="dxa"/>
          </w:tcPr>
          <w:p w14:paraId="7E85B598" w14:textId="77777777" w:rsidR="00A052DC" w:rsidRDefault="009F0A60" w:rsidP="005D3821">
            <w:pPr>
              <w:rPr>
                <w:rFonts w:ascii="黑体" w:eastAsia="黑体" w:hAnsi="黑体"/>
                <w:sz w:val="20"/>
                <w:szCs w:val="20"/>
              </w:rPr>
            </w:pPr>
            <w:r>
              <w:rPr>
                <w:rFonts w:ascii="黑体" w:eastAsia="黑体" w:hAnsi="黑体" w:hint="eastAsia"/>
                <w:sz w:val="20"/>
                <w:szCs w:val="20"/>
              </w:rPr>
              <w:t>必填项，格式YYYYMMDD。</w:t>
            </w:r>
          </w:p>
        </w:tc>
      </w:tr>
      <w:tr w:rsidR="00A052DC" w14:paraId="136B7092" w14:textId="77777777">
        <w:tc>
          <w:tcPr>
            <w:tcW w:w="1702" w:type="dxa"/>
            <w:tcBorders>
              <w:top w:val="single" w:sz="4" w:space="0" w:color="auto"/>
              <w:left w:val="single" w:sz="4" w:space="0" w:color="auto"/>
              <w:bottom w:val="single" w:sz="4" w:space="0" w:color="auto"/>
              <w:right w:val="single" w:sz="4" w:space="0" w:color="auto"/>
            </w:tcBorders>
          </w:tcPr>
          <w:p w14:paraId="60E61619" w14:textId="77777777" w:rsidR="00A052DC" w:rsidRDefault="009F0A60">
            <w:pPr>
              <w:rPr>
                <w:rFonts w:ascii="黑体" w:eastAsia="黑体" w:hAnsi="黑体"/>
                <w:sz w:val="20"/>
                <w:szCs w:val="20"/>
              </w:rPr>
            </w:pPr>
            <w:r>
              <w:rPr>
                <w:rFonts w:ascii="黑体" w:eastAsia="黑体" w:hAnsi="黑体"/>
                <w:sz w:val="20"/>
                <w:szCs w:val="20"/>
              </w:rPr>
              <w:t>GuaranAMOUNT</w:t>
            </w:r>
          </w:p>
        </w:tc>
        <w:tc>
          <w:tcPr>
            <w:tcW w:w="1701" w:type="dxa"/>
            <w:tcBorders>
              <w:top w:val="single" w:sz="4" w:space="0" w:color="auto"/>
              <w:left w:val="single" w:sz="4" w:space="0" w:color="auto"/>
              <w:bottom w:val="single" w:sz="4" w:space="0" w:color="auto"/>
              <w:right w:val="single" w:sz="4" w:space="0" w:color="auto"/>
            </w:tcBorders>
          </w:tcPr>
          <w:p w14:paraId="75EAA993" w14:textId="77777777" w:rsidR="00A052DC" w:rsidRDefault="009F0A60">
            <w:pPr>
              <w:rPr>
                <w:rFonts w:ascii="黑体" w:eastAsia="黑体" w:hAnsi="黑体"/>
                <w:sz w:val="20"/>
                <w:szCs w:val="20"/>
              </w:rPr>
            </w:pPr>
            <w:r>
              <w:rPr>
                <w:rFonts w:ascii="黑体" w:eastAsia="黑体" w:hAnsi="黑体" w:hint="eastAsia"/>
                <w:sz w:val="20"/>
                <w:szCs w:val="20"/>
              </w:rPr>
              <w:t>保函金额</w:t>
            </w:r>
          </w:p>
        </w:tc>
        <w:tc>
          <w:tcPr>
            <w:tcW w:w="1559" w:type="dxa"/>
            <w:tcBorders>
              <w:top w:val="single" w:sz="4" w:space="0" w:color="auto"/>
              <w:left w:val="single" w:sz="4" w:space="0" w:color="auto"/>
              <w:bottom w:val="single" w:sz="4" w:space="0" w:color="auto"/>
              <w:right w:val="single" w:sz="4" w:space="0" w:color="auto"/>
            </w:tcBorders>
          </w:tcPr>
          <w:p w14:paraId="46786D34"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3685" w:type="dxa"/>
            <w:tcBorders>
              <w:top w:val="single" w:sz="4" w:space="0" w:color="auto"/>
              <w:left w:val="single" w:sz="4" w:space="0" w:color="auto"/>
              <w:bottom w:val="single" w:sz="4" w:space="0" w:color="auto"/>
              <w:right w:val="single" w:sz="4" w:space="0" w:color="auto"/>
            </w:tcBorders>
          </w:tcPr>
          <w:p w14:paraId="15024706" w14:textId="77777777" w:rsidR="00A052DC" w:rsidRDefault="009F0A60">
            <w:pPr>
              <w:rPr>
                <w:rFonts w:ascii="黑体" w:eastAsia="黑体" w:hAnsi="黑体"/>
                <w:sz w:val="20"/>
                <w:szCs w:val="20"/>
              </w:rPr>
            </w:pPr>
            <w:r>
              <w:rPr>
                <w:rFonts w:ascii="黑体" w:eastAsia="黑体" w:hAnsi="黑体" w:hint="eastAsia"/>
                <w:sz w:val="20"/>
                <w:szCs w:val="20"/>
              </w:rPr>
              <w:t>必填项，大于等于0。</w:t>
            </w:r>
          </w:p>
        </w:tc>
      </w:tr>
      <w:tr w:rsidR="00A052DC" w14:paraId="3F6712A9" w14:textId="77777777">
        <w:trPr>
          <w:cantSplit/>
          <w:trHeight w:val="64"/>
        </w:trPr>
        <w:tc>
          <w:tcPr>
            <w:tcW w:w="1702" w:type="dxa"/>
          </w:tcPr>
          <w:p w14:paraId="1BCA5E25" w14:textId="77777777" w:rsidR="00A052DC" w:rsidRDefault="009F0A60">
            <w:pPr>
              <w:rPr>
                <w:rFonts w:ascii="黑体" w:eastAsia="黑体" w:hAnsi="黑体"/>
                <w:sz w:val="20"/>
                <w:szCs w:val="20"/>
              </w:rPr>
            </w:pPr>
            <w:r>
              <w:rPr>
                <w:rFonts w:ascii="黑体" w:eastAsia="黑体" w:hAnsi="黑体"/>
                <w:sz w:val="20"/>
                <w:szCs w:val="20"/>
              </w:rPr>
              <w:t>GuaranCURR</w:t>
            </w:r>
          </w:p>
        </w:tc>
        <w:tc>
          <w:tcPr>
            <w:tcW w:w="1701" w:type="dxa"/>
          </w:tcPr>
          <w:p w14:paraId="3D8A6165" w14:textId="77777777" w:rsidR="00A052DC" w:rsidRDefault="009F0A60">
            <w:pPr>
              <w:rPr>
                <w:rFonts w:ascii="黑体" w:eastAsia="黑体" w:hAnsi="黑体"/>
                <w:sz w:val="20"/>
                <w:szCs w:val="20"/>
              </w:rPr>
            </w:pPr>
            <w:r>
              <w:rPr>
                <w:rFonts w:ascii="黑体" w:eastAsia="黑体" w:hAnsi="黑体" w:hint="eastAsia"/>
                <w:sz w:val="20"/>
                <w:szCs w:val="20"/>
              </w:rPr>
              <w:t>保函币种</w:t>
            </w:r>
          </w:p>
        </w:tc>
        <w:tc>
          <w:tcPr>
            <w:tcW w:w="1559" w:type="dxa"/>
          </w:tcPr>
          <w:p w14:paraId="00C74320" w14:textId="77777777" w:rsidR="00A052DC" w:rsidRDefault="009F0A60">
            <w:pPr>
              <w:rPr>
                <w:rFonts w:ascii="黑体" w:eastAsia="黑体" w:hAnsi="黑体"/>
                <w:sz w:val="20"/>
                <w:szCs w:val="20"/>
              </w:rPr>
            </w:pPr>
            <w:r>
              <w:rPr>
                <w:rFonts w:ascii="黑体" w:eastAsia="黑体" w:hAnsi="黑体" w:hint="eastAsia"/>
                <w:sz w:val="20"/>
                <w:szCs w:val="20"/>
              </w:rPr>
              <w:t>字符型，3</w:t>
            </w:r>
          </w:p>
        </w:tc>
        <w:tc>
          <w:tcPr>
            <w:tcW w:w="3685" w:type="dxa"/>
          </w:tcPr>
          <w:p w14:paraId="7766D785" w14:textId="77777777" w:rsidR="00A052DC" w:rsidRDefault="009F0A60" w:rsidP="005D3821">
            <w:pPr>
              <w:rPr>
                <w:rFonts w:ascii="黑体" w:eastAsia="黑体" w:hAnsi="黑体"/>
                <w:sz w:val="20"/>
                <w:szCs w:val="20"/>
              </w:rPr>
            </w:pPr>
            <w:r>
              <w:rPr>
                <w:rFonts w:ascii="黑体" w:eastAsia="黑体" w:hAnsi="黑体" w:hint="eastAsia"/>
                <w:sz w:val="20"/>
                <w:szCs w:val="20"/>
              </w:rPr>
              <w:t>必填项，见币种代码表。</w:t>
            </w:r>
          </w:p>
        </w:tc>
      </w:tr>
      <w:tr w:rsidR="00A052DC" w14:paraId="58D16DA4" w14:textId="77777777">
        <w:trPr>
          <w:cantSplit/>
          <w:trHeight w:val="64"/>
        </w:trPr>
        <w:tc>
          <w:tcPr>
            <w:tcW w:w="1702" w:type="dxa"/>
          </w:tcPr>
          <w:p w14:paraId="7043C0D2" w14:textId="77777777" w:rsidR="00A052DC" w:rsidRDefault="009F0A60">
            <w:pPr>
              <w:rPr>
                <w:rFonts w:ascii="黑体" w:eastAsia="黑体" w:hAnsi="黑体"/>
                <w:sz w:val="20"/>
                <w:szCs w:val="20"/>
              </w:rPr>
            </w:pPr>
            <w:r>
              <w:rPr>
                <w:rFonts w:ascii="黑体" w:eastAsia="黑体" w:hAnsi="黑体"/>
                <w:sz w:val="20"/>
                <w:szCs w:val="20"/>
              </w:rPr>
              <w:t>Maturity</w:t>
            </w:r>
          </w:p>
        </w:tc>
        <w:tc>
          <w:tcPr>
            <w:tcW w:w="1701" w:type="dxa"/>
          </w:tcPr>
          <w:p w14:paraId="724939EA" w14:textId="77777777" w:rsidR="00A052DC" w:rsidRDefault="009F0A60">
            <w:pPr>
              <w:rPr>
                <w:rFonts w:ascii="黑体" w:eastAsia="黑体" w:hAnsi="黑体"/>
                <w:sz w:val="20"/>
                <w:szCs w:val="20"/>
              </w:rPr>
            </w:pPr>
            <w:r>
              <w:rPr>
                <w:rFonts w:ascii="黑体" w:eastAsia="黑体" w:hAnsi="黑体" w:hint="eastAsia"/>
                <w:sz w:val="20"/>
                <w:szCs w:val="20"/>
              </w:rPr>
              <w:t>到期日</w:t>
            </w:r>
          </w:p>
        </w:tc>
        <w:tc>
          <w:tcPr>
            <w:tcW w:w="1559" w:type="dxa"/>
          </w:tcPr>
          <w:p w14:paraId="7E3FA922" w14:textId="77777777" w:rsidR="00A052DC" w:rsidRDefault="009F0A60">
            <w:pPr>
              <w:rPr>
                <w:rFonts w:ascii="黑体" w:eastAsia="黑体" w:hAnsi="黑体"/>
                <w:sz w:val="20"/>
                <w:szCs w:val="20"/>
              </w:rPr>
            </w:pPr>
            <w:r>
              <w:rPr>
                <w:rFonts w:ascii="黑体" w:eastAsia="黑体" w:hAnsi="黑体" w:hint="eastAsia"/>
                <w:sz w:val="20"/>
                <w:szCs w:val="20"/>
              </w:rPr>
              <w:t>日期型,8</w:t>
            </w:r>
          </w:p>
        </w:tc>
        <w:tc>
          <w:tcPr>
            <w:tcW w:w="3685" w:type="dxa"/>
          </w:tcPr>
          <w:p w14:paraId="6B48898A" w14:textId="77777777" w:rsidR="00A052DC" w:rsidRDefault="009F0A60" w:rsidP="005D3821">
            <w:pPr>
              <w:rPr>
                <w:rFonts w:ascii="黑体" w:eastAsia="黑体" w:hAnsi="黑体"/>
                <w:sz w:val="20"/>
                <w:szCs w:val="20"/>
              </w:rPr>
            </w:pPr>
            <w:r>
              <w:rPr>
                <w:rFonts w:ascii="黑体" w:eastAsia="黑体" w:hAnsi="黑体" w:hint="eastAsia"/>
                <w:sz w:val="20"/>
                <w:szCs w:val="20"/>
              </w:rPr>
              <w:t>必填项，格式YYYYMMDD。</w:t>
            </w:r>
          </w:p>
        </w:tc>
      </w:tr>
      <w:tr w:rsidR="00A052DC" w14:paraId="073CB1E3" w14:textId="77777777">
        <w:tc>
          <w:tcPr>
            <w:tcW w:w="1702" w:type="dxa"/>
          </w:tcPr>
          <w:p w14:paraId="756805D1" w14:textId="77777777" w:rsidR="00A052DC" w:rsidRDefault="009F0A60">
            <w:pPr>
              <w:rPr>
                <w:rFonts w:ascii="黑体" w:eastAsia="黑体" w:hAnsi="黑体"/>
                <w:sz w:val="20"/>
                <w:szCs w:val="20"/>
              </w:rPr>
            </w:pPr>
            <w:r>
              <w:rPr>
                <w:rFonts w:ascii="黑体" w:eastAsia="黑体" w:hAnsi="黑体"/>
                <w:sz w:val="20"/>
                <w:szCs w:val="20"/>
              </w:rPr>
              <w:t>GUARANTYPE</w:t>
            </w:r>
          </w:p>
        </w:tc>
        <w:tc>
          <w:tcPr>
            <w:tcW w:w="1701" w:type="dxa"/>
          </w:tcPr>
          <w:p w14:paraId="32B40994" w14:textId="77777777" w:rsidR="00A052DC" w:rsidRDefault="009F0A60">
            <w:pPr>
              <w:rPr>
                <w:rFonts w:ascii="黑体" w:eastAsia="黑体" w:hAnsi="黑体"/>
                <w:sz w:val="20"/>
                <w:szCs w:val="20"/>
              </w:rPr>
            </w:pPr>
            <w:r>
              <w:rPr>
                <w:rFonts w:ascii="黑体" w:eastAsia="黑体" w:hAnsi="黑体" w:hint="eastAsia"/>
                <w:sz w:val="20"/>
                <w:szCs w:val="20"/>
              </w:rPr>
              <w:t>担保类型</w:t>
            </w:r>
          </w:p>
        </w:tc>
        <w:tc>
          <w:tcPr>
            <w:tcW w:w="1559" w:type="dxa"/>
          </w:tcPr>
          <w:p w14:paraId="3FE046E9" w14:textId="77777777" w:rsidR="00A052DC" w:rsidRDefault="009F0A60">
            <w:pPr>
              <w:rPr>
                <w:rFonts w:ascii="黑体" w:eastAsia="黑体" w:hAnsi="黑体"/>
                <w:sz w:val="20"/>
                <w:szCs w:val="20"/>
              </w:rPr>
            </w:pPr>
            <w:r>
              <w:rPr>
                <w:rFonts w:ascii="黑体" w:eastAsia="黑体" w:hAnsi="黑体" w:hint="eastAsia"/>
                <w:sz w:val="20"/>
                <w:szCs w:val="20"/>
              </w:rPr>
              <w:t>字符型，4</w:t>
            </w:r>
          </w:p>
        </w:tc>
        <w:tc>
          <w:tcPr>
            <w:tcW w:w="3685" w:type="dxa"/>
          </w:tcPr>
          <w:p w14:paraId="1A0D31D0" w14:textId="77777777" w:rsidR="00A052DC" w:rsidRDefault="009F0A60">
            <w:pPr>
              <w:rPr>
                <w:rFonts w:ascii="黑体" w:eastAsia="黑体" w:hAnsi="黑体"/>
                <w:sz w:val="20"/>
                <w:szCs w:val="20"/>
              </w:rPr>
            </w:pPr>
            <w:r>
              <w:rPr>
                <w:rFonts w:ascii="黑体" w:eastAsia="黑体" w:hAnsi="黑体" w:hint="eastAsia"/>
                <w:sz w:val="20"/>
                <w:szCs w:val="20"/>
              </w:rPr>
              <w:t>必填项，见担保类型代码表。</w:t>
            </w:r>
          </w:p>
        </w:tc>
      </w:tr>
      <w:tr w:rsidR="00A052DC" w14:paraId="26D8B4B5" w14:textId="77777777">
        <w:tc>
          <w:tcPr>
            <w:tcW w:w="1702" w:type="dxa"/>
          </w:tcPr>
          <w:p w14:paraId="3E810338" w14:textId="77777777" w:rsidR="00A052DC" w:rsidRDefault="009F0A60">
            <w:pPr>
              <w:rPr>
                <w:rFonts w:ascii="黑体" w:eastAsia="黑体" w:hAnsi="黑体"/>
                <w:sz w:val="20"/>
                <w:szCs w:val="20"/>
              </w:rPr>
            </w:pPr>
            <w:r>
              <w:rPr>
                <w:rFonts w:ascii="黑体" w:eastAsia="黑体" w:hAnsi="黑体"/>
                <w:sz w:val="20"/>
                <w:szCs w:val="20"/>
              </w:rPr>
              <w:t>MAINDEBTCURR</w:t>
            </w:r>
          </w:p>
        </w:tc>
        <w:tc>
          <w:tcPr>
            <w:tcW w:w="1701" w:type="dxa"/>
          </w:tcPr>
          <w:p w14:paraId="76654632" w14:textId="77777777" w:rsidR="00A052DC" w:rsidRDefault="009F0A60">
            <w:pPr>
              <w:rPr>
                <w:rFonts w:ascii="黑体" w:eastAsia="黑体" w:hAnsi="黑体"/>
                <w:sz w:val="20"/>
                <w:szCs w:val="20"/>
              </w:rPr>
            </w:pPr>
            <w:r>
              <w:rPr>
                <w:rFonts w:ascii="黑体" w:eastAsia="黑体" w:hAnsi="黑体" w:hint="eastAsia"/>
                <w:sz w:val="20"/>
                <w:szCs w:val="20"/>
              </w:rPr>
              <w:t>主债务币种</w:t>
            </w:r>
          </w:p>
        </w:tc>
        <w:tc>
          <w:tcPr>
            <w:tcW w:w="1559" w:type="dxa"/>
          </w:tcPr>
          <w:p w14:paraId="2642D79D" w14:textId="77777777" w:rsidR="00A052DC" w:rsidRDefault="009F0A60">
            <w:pPr>
              <w:rPr>
                <w:rFonts w:ascii="黑体" w:eastAsia="黑体" w:hAnsi="黑体"/>
                <w:sz w:val="20"/>
                <w:szCs w:val="20"/>
              </w:rPr>
            </w:pPr>
            <w:r>
              <w:rPr>
                <w:rFonts w:ascii="黑体" w:eastAsia="黑体" w:hAnsi="黑体" w:hint="eastAsia"/>
                <w:sz w:val="20"/>
                <w:szCs w:val="20"/>
              </w:rPr>
              <w:t>字符型，3</w:t>
            </w:r>
          </w:p>
        </w:tc>
        <w:tc>
          <w:tcPr>
            <w:tcW w:w="3685" w:type="dxa"/>
          </w:tcPr>
          <w:p w14:paraId="6D5667CA" w14:textId="77777777" w:rsidR="00A052DC" w:rsidRDefault="009F0A60" w:rsidP="005D3821">
            <w:pPr>
              <w:rPr>
                <w:rFonts w:ascii="黑体" w:eastAsia="黑体" w:hAnsi="黑体"/>
                <w:sz w:val="20"/>
                <w:szCs w:val="20"/>
              </w:rPr>
            </w:pPr>
            <w:r>
              <w:rPr>
                <w:rFonts w:ascii="黑体" w:eastAsia="黑体" w:hAnsi="黑体" w:hint="eastAsia"/>
                <w:sz w:val="20"/>
                <w:szCs w:val="20"/>
              </w:rPr>
              <w:t>当担保类型选择为“为境外发债担保”时，为必填项，见币种代码表。</w:t>
            </w:r>
          </w:p>
        </w:tc>
      </w:tr>
      <w:tr w:rsidR="00A052DC" w14:paraId="2CD3A677" w14:textId="77777777">
        <w:tc>
          <w:tcPr>
            <w:tcW w:w="1702" w:type="dxa"/>
          </w:tcPr>
          <w:p w14:paraId="62995533" w14:textId="77777777" w:rsidR="00A052DC" w:rsidRDefault="009F0A60">
            <w:pPr>
              <w:rPr>
                <w:rFonts w:ascii="黑体" w:eastAsia="黑体" w:hAnsi="黑体"/>
                <w:sz w:val="20"/>
                <w:szCs w:val="20"/>
              </w:rPr>
            </w:pPr>
            <w:r>
              <w:rPr>
                <w:rFonts w:ascii="黑体" w:eastAsia="黑体" w:hAnsi="黑体"/>
                <w:sz w:val="20"/>
                <w:szCs w:val="20"/>
              </w:rPr>
              <w:t>MAINDEBTAMOUNT</w:t>
            </w:r>
          </w:p>
        </w:tc>
        <w:tc>
          <w:tcPr>
            <w:tcW w:w="1701" w:type="dxa"/>
          </w:tcPr>
          <w:p w14:paraId="2F667060" w14:textId="77777777" w:rsidR="00A052DC" w:rsidRDefault="009F0A60">
            <w:pPr>
              <w:rPr>
                <w:rFonts w:ascii="黑体" w:eastAsia="黑体" w:hAnsi="黑体"/>
                <w:sz w:val="20"/>
                <w:szCs w:val="20"/>
              </w:rPr>
            </w:pPr>
            <w:r>
              <w:rPr>
                <w:rFonts w:ascii="黑体" w:eastAsia="黑体" w:hAnsi="黑体" w:hint="eastAsia"/>
                <w:sz w:val="20"/>
                <w:szCs w:val="20"/>
              </w:rPr>
              <w:t>主债务金额</w:t>
            </w:r>
          </w:p>
        </w:tc>
        <w:tc>
          <w:tcPr>
            <w:tcW w:w="1559" w:type="dxa"/>
          </w:tcPr>
          <w:p w14:paraId="07F1ED78"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3685" w:type="dxa"/>
          </w:tcPr>
          <w:p w14:paraId="672FB8DB" w14:textId="77777777" w:rsidR="00A052DC" w:rsidRDefault="009F0A60">
            <w:pPr>
              <w:rPr>
                <w:rFonts w:ascii="黑体" w:eastAsia="黑体" w:hAnsi="黑体"/>
                <w:sz w:val="20"/>
                <w:szCs w:val="20"/>
              </w:rPr>
            </w:pPr>
            <w:r>
              <w:rPr>
                <w:rFonts w:ascii="黑体" w:eastAsia="黑体" w:hAnsi="黑体" w:hint="eastAsia"/>
                <w:sz w:val="20"/>
                <w:szCs w:val="20"/>
              </w:rPr>
              <w:t>当担保类型选择为“为境外发债担保”时，为必填项，大于等于0。</w:t>
            </w:r>
          </w:p>
        </w:tc>
      </w:tr>
      <w:tr w:rsidR="00A052DC" w14:paraId="41F1D2A6" w14:textId="77777777">
        <w:tc>
          <w:tcPr>
            <w:tcW w:w="1702" w:type="dxa"/>
          </w:tcPr>
          <w:p w14:paraId="4EA5F534" w14:textId="77777777" w:rsidR="00A052DC" w:rsidRDefault="009F0A60">
            <w:pPr>
              <w:rPr>
                <w:rFonts w:ascii="黑体" w:eastAsia="黑体" w:hAnsi="黑体"/>
                <w:sz w:val="20"/>
                <w:szCs w:val="20"/>
              </w:rPr>
            </w:pPr>
            <w:r>
              <w:rPr>
                <w:rFonts w:ascii="黑体" w:eastAsia="黑体" w:hAnsi="黑体" w:hint="eastAsia"/>
                <w:sz w:val="20"/>
                <w:szCs w:val="20"/>
              </w:rPr>
              <w:t>MAINDEBTCONDATE</w:t>
            </w:r>
          </w:p>
        </w:tc>
        <w:tc>
          <w:tcPr>
            <w:tcW w:w="1701" w:type="dxa"/>
          </w:tcPr>
          <w:p w14:paraId="4FBC9ACA" w14:textId="77777777" w:rsidR="00A052DC" w:rsidRDefault="009F0A60">
            <w:pPr>
              <w:rPr>
                <w:rFonts w:ascii="黑体" w:eastAsia="黑体" w:hAnsi="黑体"/>
                <w:sz w:val="20"/>
                <w:szCs w:val="20"/>
              </w:rPr>
            </w:pPr>
            <w:r>
              <w:rPr>
                <w:rFonts w:ascii="黑体" w:eastAsia="黑体" w:hAnsi="黑体" w:hint="eastAsia"/>
                <w:sz w:val="20"/>
                <w:szCs w:val="20"/>
              </w:rPr>
              <w:t>主债务签约日期</w:t>
            </w:r>
          </w:p>
        </w:tc>
        <w:tc>
          <w:tcPr>
            <w:tcW w:w="1559" w:type="dxa"/>
          </w:tcPr>
          <w:p w14:paraId="118B1B7D" w14:textId="77777777" w:rsidR="00A052DC" w:rsidRDefault="009F0A60">
            <w:pPr>
              <w:rPr>
                <w:rFonts w:ascii="黑体" w:eastAsia="黑体" w:hAnsi="黑体"/>
                <w:sz w:val="20"/>
                <w:szCs w:val="20"/>
              </w:rPr>
            </w:pPr>
            <w:r>
              <w:rPr>
                <w:rFonts w:ascii="黑体" w:eastAsia="黑体" w:hAnsi="黑体" w:hint="eastAsia"/>
                <w:sz w:val="20"/>
                <w:szCs w:val="20"/>
              </w:rPr>
              <w:t>日期型，8</w:t>
            </w:r>
          </w:p>
        </w:tc>
        <w:tc>
          <w:tcPr>
            <w:tcW w:w="3685" w:type="dxa"/>
          </w:tcPr>
          <w:p w14:paraId="20AA57AA" w14:textId="77777777" w:rsidR="00A052DC" w:rsidRDefault="009F0A60" w:rsidP="005D3821">
            <w:pPr>
              <w:rPr>
                <w:rFonts w:ascii="黑体" w:eastAsia="黑体" w:hAnsi="黑体"/>
                <w:sz w:val="20"/>
                <w:szCs w:val="20"/>
              </w:rPr>
            </w:pPr>
            <w:r>
              <w:rPr>
                <w:rFonts w:ascii="黑体" w:eastAsia="黑体" w:hAnsi="黑体" w:hint="eastAsia"/>
                <w:sz w:val="20"/>
                <w:szCs w:val="20"/>
              </w:rPr>
              <w:t>当担保类型选择为“为境外发债担保”时，为必填项，格式YYYYMMDD。</w:t>
            </w:r>
          </w:p>
        </w:tc>
      </w:tr>
      <w:tr w:rsidR="00A052DC" w14:paraId="1D8CB88D" w14:textId="77777777">
        <w:tc>
          <w:tcPr>
            <w:tcW w:w="1702" w:type="dxa"/>
          </w:tcPr>
          <w:p w14:paraId="752B057D" w14:textId="77777777" w:rsidR="00A052DC" w:rsidRDefault="009F0A60">
            <w:pPr>
              <w:rPr>
                <w:rFonts w:ascii="黑体" w:eastAsia="黑体" w:hAnsi="黑体"/>
                <w:sz w:val="20"/>
                <w:szCs w:val="20"/>
              </w:rPr>
            </w:pPr>
            <w:r>
              <w:rPr>
                <w:rFonts w:ascii="黑体" w:eastAsia="黑体" w:hAnsi="黑体" w:hint="eastAsia"/>
                <w:sz w:val="20"/>
                <w:szCs w:val="20"/>
              </w:rPr>
              <w:t>MAINDEBTMATURITY</w:t>
            </w:r>
          </w:p>
        </w:tc>
        <w:tc>
          <w:tcPr>
            <w:tcW w:w="1701" w:type="dxa"/>
          </w:tcPr>
          <w:p w14:paraId="0E7E8ECA" w14:textId="77777777" w:rsidR="00A052DC" w:rsidRDefault="009F0A60">
            <w:pPr>
              <w:rPr>
                <w:rFonts w:ascii="黑体" w:eastAsia="黑体" w:hAnsi="黑体"/>
                <w:sz w:val="20"/>
                <w:szCs w:val="20"/>
              </w:rPr>
            </w:pPr>
            <w:r>
              <w:rPr>
                <w:rFonts w:ascii="黑体" w:eastAsia="黑体" w:hAnsi="黑体" w:hint="eastAsia"/>
                <w:sz w:val="20"/>
                <w:szCs w:val="20"/>
              </w:rPr>
              <w:t>主债务到期日</w:t>
            </w:r>
          </w:p>
        </w:tc>
        <w:tc>
          <w:tcPr>
            <w:tcW w:w="1559" w:type="dxa"/>
          </w:tcPr>
          <w:p w14:paraId="283890F5" w14:textId="77777777" w:rsidR="00A052DC" w:rsidRDefault="009F0A60">
            <w:pPr>
              <w:rPr>
                <w:rFonts w:ascii="黑体" w:eastAsia="黑体" w:hAnsi="黑体"/>
                <w:sz w:val="20"/>
                <w:szCs w:val="20"/>
              </w:rPr>
            </w:pPr>
            <w:r>
              <w:rPr>
                <w:rFonts w:ascii="黑体" w:eastAsia="黑体" w:hAnsi="黑体" w:hint="eastAsia"/>
                <w:sz w:val="20"/>
                <w:szCs w:val="20"/>
              </w:rPr>
              <w:t>日期型，8</w:t>
            </w:r>
          </w:p>
        </w:tc>
        <w:tc>
          <w:tcPr>
            <w:tcW w:w="3685" w:type="dxa"/>
          </w:tcPr>
          <w:p w14:paraId="1D1DDBFA" w14:textId="77777777" w:rsidR="00A052DC" w:rsidRDefault="009F0A60" w:rsidP="005D3821">
            <w:pPr>
              <w:rPr>
                <w:rFonts w:ascii="黑体" w:eastAsia="黑体" w:hAnsi="黑体"/>
                <w:sz w:val="20"/>
                <w:szCs w:val="20"/>
              </w:rPr>
            </w:pPr>
            <w:r>
              <w:rPr>
                <w:rFonts w:ascii="黑体" w:eastAsia="黑体" w:hAnsi="黑体" w:hint="eastAsia"/>
                <w:sz w:val="20"/>
                <w:szCs w:val="20"/>
              </w:rPr>
              <w:t>当担保类型选择为“为境外发债担保”时，为必填项，格式YYYYMMDD。</w:t>
            </w:r>
          </w:p>
        </w:tc>
      </w:tr>
      <w:tr w:rsidR="00A052DC" w14:paraId="7A60B34C" w14:textId="77777777">
        <w:tc>
          <w:tcPr>
            <w:tcW w:w="1702" w:type="dxa"/>
          </w:tcPr>
          <w:p w14:paraId="3A90AB93" w14:textId="77777777" w:rsidR="00A052DC" w:rsidRDefault="009F0A60">
            <w:pPr>
              <w:rPr>
                <w:rFonts w:ascii="黑体" w:eastAsia="黑体" w:hAnsi="黑体"/>
                <w:sz w:val="20"/>
                <w:szCs w:val="20"/>
              </w:rPr>
            </w:pPr>
            <w:r>
              <w:rPr>
                <w:rFonts w:ascii="黑体" w:eastAsia="黑体" w:hAnsi="黑体" w:hint="eastAsia"/>
                <w:sz w:val="20"/>
                <w:szCs w:val="20"/>
              </w:rPr>
              <w:t>MAINDEBTDATE</w:t>
            </w:r>
          </w:p>
        </w:tc>
        <w:tc>
          <w:tcPr>
            <w:tcW w:w="1701" w:type="dxa"/>
          </w:tcPr>
          <w:p w14:paraId="5B1302A3" w14:textId="77777777" w:rsidR="00A052DC" w:rsidRDefault="009F0A60">
            <w:pPr>
              <w:rPr>
                <w:rFonts w:ascii="黑体" w:eastAsia="黑体" w:hAnsi="黑体"/>
                <w:sz w:val="20"/>
                <w:szCs w:val="20"/>
              </w:rPr>
            </w:pPr>
            <w:r>
              <w:rPr>
                <w:rFonts w:ascii="黑体" w:eastAsia="黑体" w:hAnsi="黑体" w:hint="eastAsia"/>
                <w:sz w:val="20"/>
                <w:szCs w:val="20"/>
              </w:rPr>
              <w:t>主债务期限（日）</w:t>
            </w:r>
          </w:p>
        </w:tc>
        <w:tc>
          <w:tcPr>
            <w:tcW w:w="1559" w:type="dxa"/>
          </w:tcPr>
          <w:p w14:paraId="03591810" w14:textId="77777777" w:rsidR="00A052DC" w:rsidRDefault="009F0A60">
            <w:pPr>
              <w:rPr>
                <w:rFonts w:ascii="黑体" w:eastAsia="黑体" w:hAnsi="黑体"/>
                <w:sz w:val="20"/>
                <w:szCs w:val="20"/>
              </w:rPr>
            </w:pPr>
            <w:r>
              <w:rPr>
                <w:rFonts w:ascii="黑体" w:eastAsia="黑体" w:hAnsi="黑体" w:hint="eastAsia"/>
                <w:sz w:val="20"/>
                <w:szCs w:val="20"/>
              </w:rPr>
              <w:t>数值型，5</w:t>
            </w:r>
          </w:p>
        </w:tc>
        <w:tc>
          <w:tcPr>
            <w:tcW w:w="3685" w:type="dxa"/>
          </w:tcPr>
          <w:p w14:paraId="0BFCC00F" w14:textId="77777777" w:rsidR="00A052DC" w:rsidRDefault="009F0A60">
            <w:pPr>
              <w:rPr>
                <w:rFonts w:ascii="黑体" w:eastAsia="黑体" w:hAnsi="黑体"/>
                <w:sz w:val="20"/>
                <w:szCs w:val="20"/>
              </w:rPr>
            </w:pPr>
            <w:r>
              <w:rPr>
                <w:rFonts w:ascii="黑体" w:eastAsia="黑体" w:hAnsi="黑体" w:hint="eastAsia"/>
                <w:sz w:val="20"/>
                <w:szCs w:val="20"/>
              </w:rPr>
              <w:t>当担保类型选择为“为境外发债担保”时，为必填项，系统根据主债务签约日期与到期日自动计算，单位为日。</w:t>
            </w:r>
          </w:p>
        </w:tc>
      </w:tr>
      <w:tr w:rsidR="00A052DC" w14:paraId="51EFAF31" w14:textId="77777777">
        <w:tc>
          <w:tcPr>
            <w:tcW w:w="1702" w:type="dxa"/>
          </w:tcPr>
          <w:p w14:paraId="6ACB5F1F" w14:textId="77777777" w:rsidR="00A052DC" w:rsidRDefault="009F0A60">
            <w:pPr>
              <w:rPr>
                <w:rFonts w:ascii="黑体" w:eastAsia="黑体" w:hAnsi="黑体"/>
                <w:sz w:val="20"/>
                <w:szCs w:val="20"/>
              </w:rPr>
            </w:pPr>
            <w:r>
              <w:rPr>
                <w:rFonts w:ascii="黑体" w:eastAsia="黑体" w:hAnsi="黑体" w:hint="eastAsia"/>
                <w:sz w:val="20"/>
                <w:szCs w:val="20"/>
              </w:rPr>
              <w:t>INTRAT</w:t>
            </w:r>
          </w:p>
        </w:tc>
        <w:tc>
          <w:tcPr>
            <w:tcW w:w="1701" w:type="dxa"/>
          </w:tcPr>
          <w:p w14:paraId="170D137D" w14:textId="77777777" w:rsidR="00A052DC" w:rsidRDefault="009F0A60">
            <w:pPr>
              <w:rPr>
                <w:rFonts w:ascii="黑体" w:eastAsia="黑体" w:hAnsi="黑体"/>
                <w:sz w:val="20"/>
                <w:szCs w:val="20"/>
              </w:rPr>
            </w:pPr>
            <w:r>
              <w:rPr>
                <w:rFonts w:ascii="黑体" w:eastAsia="黑体" w:hAnsi="黑体" w:hint="eastAsia"/>
                <w:sz w:val="20"/>
                <w:szCs w:val="20"/>
              </w:rPr>
              <w:t>借款利率（%）</w:t>
            </w:r>
          </w:p>
        </w:tc>
        <w:tc>
          <w:tcPr>
            <w:tcW w:w="1559" w:type="dxa"/>
          </w:tcPr>
          <w:p w14:paraId="6BB15330" w14:textId="77777777" w:rsidR="00A052DC" w:rsidRDefault="009F0A60">
            <w:pPr>
              <w:rPr>
                <w:rFonts w:ascii="黑体" w:eastAsia="黑体" w:hAnsi="黑体"/>
                <w:sz w:val="20"/>
                <w:szCs w:val="20"/>
              </w:rPr>
            </w:pPr>
            <w:r>
              <w:rPr>
                <w:rFonts w:ascii="黑体" w:eastAsia="黑体" w:hAnsi="黑体" w:hint="eastAsia"/>
                <w:sz w:val="20"/>
                <w:szCs w:val="20"/>
              </w:rPr>
              <w:t>数值型，15.7</w:t>
            </w:r>
          </w:p>
        </w:tc>
        <w:tc>
          <w:tcPr>
            <w:tcW w:w="3685" w:type="dxa"/>
          </w:tcPr>
          <w:p w14:paraId="0CD13BCC" w14:textId="77777777" w:rsidR="00A052DC" w:rsidRDefault="009F0A60">
            <w:pPr>
              <w:rPr>
                <w:rFonts w:ascii="黑体" w:eastAsia="黑体" w:hAnsi="黑体"/>
                <w:sz w:val="20"/>
                <w:szCs w:val="20"/>
              </w:rPr>
            </w:pPr>
            <w:r>
              <w:rPr>
                <w:rFonts w:ascii="黑体" w:eastAsia="黑体" w:hAnsi="黑体" w:hint="eastAsia"/>
                <w:sz w:val="20"/>
                <w:szCs w:val="20"/>
              </w:rPr>
              <w:t>当担保类型选择为“为境外发债担保”时，为必填项。</w:t>
            </w:r>
          </w:p>
        </w:tc>
      </w:tr>
      <w:tr w:rsidR="00A052DC" w14:paraId="265BE480" w14:textId="77777777">
        <w:tc>
          <w:tcPr>
            <w:tcW w:w="1702" w:type="dxa"/>
          </w:tcPr>
          <w:p w14:paraId="7320B979" w14:textId="77777777" w:rsidR="00A052DC" w:rsidRDefault="009F0A60">
            <w:pPr>
              <w:rPr>
                <w:rFonts w:ascii="黑体" w:eastAsia="黑体" w:hAnsi="黑体"/>
                <w:sz w:val="20"/>
                <w:szCs w:val="20"/>
              </w:rPr>
            </w:pPr>
            <w:r>
              <w:rPr>
                <w:rFonts w:ascii="黑体" w:eastAsia="黑体" w:hAnsi="黑体" w:hint="eastAsia"/>
                <w:sz w:val="20"/>
                <w:szCs w:val="20"/>
              </w:rPr>
              <w:t>MAINDEBTMANNER</w:t>
            </w:r>
          </w:p>
        </w:tc>
        <w:tc>
          <w:tcPr>
            <w:tcW w:w="1701" w:type="dxa"/>
          </w:tcPr>
          <w:p w14:paraId="49784C85" w14:textId="77777777" w:rsidR="00A052DC" w:rsidRDefault="009F0A60">
            <w:pPr>
              <w:rPr>
                <w:rFonts w:ascii="黑体" w:eastAsia="黑体" w:hAnsi="黑体"/>
                <w:sz w:val="20"/>
                <w:szCs w:val="20"/>
              </w:rPr>
            </w:pPr>
            <w:r>
              <w:rPr>
                <w:rFonts w:ascii="黑体" w:eastAsia="黑体" w:hAnsi="黑体" w:hint="eastAsia"/>
                <w:sz w:val="20"/>
                <w:szCs w:val="20"/>
              </w:rPr>
              <w:t>发行/上市方式</w:t>
            </w:r>
          </w:p>
        </w:tc>
        <w:tc>
          <w:tcPr>
            <w:tcW w:w="1559" w:type="dxa"/>
          </w:tcPr>
          <w:p w14:paraId="271C6402" w14:textId="77777777" w:rsidR="00A052DC" w:rsidRDefault="009F0A60">
            <w:pPr>
              <w:rPr>
                <w:rFonts w:ascii="黑体" w:eastAsia="黑体" w:hAnsi="黑体"/>
                <w:sz w:val="20"/>
                <w:szCs w:val="20"/>
              </w:rPr>
            </w:pPr>
            <w:r>
              <w:rPr>
                <w:rFonts w:ascii="黑体" w:eastAsia="黑体" w:hAnsi="黑体" w:hint="eastAsia"/>
                <w:sz w:val="20"/>
                <w:szCs w:val="20"/>
              </w:rPr>
              <w:t>字符型，12</w:t>
            </w:r>
          </w:p>
        </w:tc>
        <w:tc>
          <w:tcPr>
            <w:tcW w:w="3685" w:type="dxa"/>
          </w:tcPr>
          <w:p w14:paraId="07356477" w14:textId="77777777" w:rsidR="00A052DC" w:rsidRDefault="009F0A60">
            <w:pPr>
              <w:rPr>
                <w:rFonts w:ascii="黑体" w:eastAsia="黑体" w:hAnsi="黑体"/>
                <w:sz w:val="20"/>
                <w:szCs w:val="20"/>
              </w:rPr>
            </w:pPr>
            <w:r>
              <w:rPr>
                <w:rFonts w:ascii="黑体" w:eastAsia="黑体" w:hAnsi="黑体" w:hint="eastAsia"/>
                <w:sz w:val="20"/>
                <w:szCs w:val="20"/>
              </w:rPr>
              <w:t>当担保类型选择为“为境外发债担保”时，为必填项，见境外发债方式代码表。</w:t>
            </w:r>
          </w:p>
        </w:tc>
      </w:tr>
      <w:tr w:rsidR="00A052DC" w14:paraId="380D62D7" w14:textId="77777777">
        <w:tc>
          <w:tcPr>
            <w:tcW w:w="1702" w:type="dxa"/>
          </w:tcPr>
          <w:p w14:paraId="2E59CFFA" w14:textId="77777777" w:rsidR="00A052DC" w:rsidRDefault="009F0A60">
            <w:pPr>
              <w:rPr>
                <w:rFonts w:ascii="黑体" w:eastAsia="黑体" w:hAnsi="黑体"/>
                <w:sz w:val="20"/>
                <w:szCs w:val="20"/>
              </w:rPr>
            </w:pPr>
            <w:r>
              <w:rPr>
                <w:rFonts w:ascii="黑体" w:eastAsia="黑体" w:hAnsi="黑体" w:hint="eastAsia"/>
                <w:sz w:val="20"/>
                <w:szCs w:val="20"/>
              </w:rPr>
              <w:t>RETURNTYPE_FUNDS</w:t>
            </w:r>
          </w:p>
        </w:tc>
        <w:tc>
          <w:tcPr>
            <w:tcW w:w="1701" w:type="dxa"/>
          </w:tcPr>
          <w:p w14:paraId="468C7C9E" w14:textId="77777777" w:rsidR="00A052DC" w:rsidRDefault="009F0A60">
            <w:pPr>
              <w:rPr>
                <w:rFonts w:ascii="黑体" w:eastAsia="黑体" w:hAnsi="黑体"/>
                <w:sz w:val="20"/>
                <w:szCs w:val="20"/>
              </w:rPr>
            </w:pPr>
            <w:r>
              <w:rPr>
                <w:rFonts w:ascii="黑体" w:eastAsia="黑体" w:hAnsi="黑体" w:hint="eastAsia"/>
                <w:sz w:val="20"/>
                <w:szCs w:val="20"/>
              </w:rPr>
              <w:t>主债务合同资金用途</w:t>
            </w:r>
          </w:p>
        </w:tc>
        <w:tc>
          <w:tcPr>
            <w:tcW w:w="1559" w:type="dxa"/>
          </w:tcPr>
          <w:p w14:paraId="1695883A" w14:textId="77777777" w:rsidR="00A052DC" w:rsidRDefault="009F0A60">
            <w:pPr>
              <w:rPr>
                <w:rFonts w:ascii="黑体" w:eastAsia="黑体" w:hAnsi="黑体"/>
                <w:sz w:val="20"/>
                <w:szCs w:val="20"/>
              </w:rPr>
            </w:pPr>
            <w:r>
              <w:rPr>
                <w:rFonts w:ascii="黑体" w:eastAsia="黑体" w:hAnsi="黑体" w:hint="eastAsia"/>
                <w:sz w:val="20"/>
                <w:szCs w:val="20"/>
              </w:rPr>
              <w:t>字符型，20</w:t>
            </w:r>
          </w:p>
        </w:tc>
        <w:tc>
          <w:tcPr>
            <w:tcW w:w="3685" w:type="dxa"/>
          </w:tcPr>
          <w:p w14:paraId="0197CFD9" w14:textId="77777777" w:rsidR="00A052DC" w:rsidRDefault="009F0A60">
            <w:pPr>
              <w:rPr>
                <w:rFonts w:ascii="黑体" w:eastAsia="黑体" w:hAnsi="黑体"/>
                <w:sz w:val="20"/>
                <w:szCs w:val="20"/>
              </w:rPr>
            </w:pPr>
            <w:r>
              <w:rPr>
                <w:rFonts w:ascii="黑体" w:eastAsia="黑体" w:hAnsi="黑体" w:hint="eastAsia"/>
                <w:sz w:val="20"/>
                <w:szCs w:val="20"/>
              </w:rPr>
              <w:t>当担保类型选择为“为境外发债担保”时，为必填项。多选，以英文半角逗号分隔。见担保项下境外贷款资金用途代码表。</w:t>
            </w:r>
          </w:p>
        </w:tc>
      </w:tr>
      <w:tr w:rsidR="00A052DC" w14:paraId="0D0721A2" w14:textId="77777777">
        <w:tc>
          <w:tcPr>
            <w:tcW w:w="1702" w:type="dxa"/>
          </w:tcPr>
          <w:p w14:paraId="7495B5FC" w14:textId="77777777" w:rsidR="00A052DC" w:rsidRDefault="009F0A60">
            <w:pPr>
              <w:rPr>
                <w:rFonts w:ascii="黑体" w:eastAsia="黑体" w:hAnsi="黑体"/>
                <w:sz w:val="20"/>
                <w:szCs w:val="20"/>
              </w:rPr>
            </w:pPr>
            <w:r>
              <w:rPr>
                <w:rFonts w:ascii="黑体" w:eastAsia="黑体" w:hAnsi="黑体"/>
                <w:sz w:val="20"/>
                <w:szCs w:val="20"/>
              </w:rPr>
              <w:t>BENCODE</w:t>
            </w:r>
          </w:p>
        </w:tc>
        <w:tc>
          <w:tcPr>
            <w:tcW w:w="1701" w:type="dxa"/>
          </w:tcPr>
          <w:p w14:paraId="2E736EB9" w14:textId="77777777" w:rsidR="00A052DC" w:rsidRDefault="009F0A60">
            <w:pPr>
              <w:rPr>
                <w:rFonts w:ascii="黑体" w:eastAsia="黑体" w:hAnsi="黑体"/>
                <w:sz w:val="20"/>
                <w:szCs w:val="20"/>
              </w:rPr>
            </w:pPr>
            <w:r>
              <w:rPr>
                <w:rFonts w:ascii="黑体" w:eastAsia="黑体" w:hAnsi="黑体" w:hint="eastAsia"/>
                <w:sz w:val="20"/>
                <w:szCs w:val="20"/>
              </w:rPr>
              <w:t>受益人代码</w:t>
            </w:r>
          </w:p>
        </w:tc>
        <w:tc>
          <w:tcPr>
            <w:tcW w:w="1559" w:type="dxa"/>
          </w:tcPr>
          <w:p w14:paraId="1D6B7185" w14:textId="77777777" w:rsidR="00A052DC" w:rsidRDefault="009F0A60">
            <w:pPr>
              <w:rPr>
                <w:rFonts w:ascii="黑体" w:eastAsia="黑体" w:hAnsi="黑体"/>
                <w:sz w:val="20"/>
                <w:szCs w:val="20"/>
              </w:rPr>
            </w:pPr>
            <w:r>
              <w:rPr>
                <w:rFonts w:ascii="黑体" w:eastAsia="黑体" w:hAnsi="黑体" w:hint="eastAsia"/>
                <w:sz w:val="20"/>
                <w:szCs w:val="20"/>
              </w:rPr>
              <w:t>字符型，32</w:t>
            </w:r>
          </w:p>
        </w:tc>
        <w:tc>
          <w:tcPr>
            <w:tcW w:w="3685" w:type="dxa"/>
          </w:tcPr>
          <w:p w14:paraId="3DEECBA4" w14:textId="77777777" w:rsidR="00A052DC" w:rsidRDefault="009F0A60">
            <w:pPr>
              <w:rPr>
                <w:rFonts w:ascii="黑体" w:eastAsia="黑体" w:hAnsi="黑体"/>
                <w:sz w:val="20"/>
                <w:szCs w:val="20"/>
              </w:rPr>
            </w:pPr>
            <w:r>
              <w:rPr>
                <w:rFonts w:ascii="黑体" w:eastAsia="黑体" w:hAnsi="黑体" w:hint="eastAsia"/>
                <w:sz w:val="20"/>
                <w:szCs w:val="20"/>
              </w:rPr>
              <w:t>非必填项，如果受益人为境外金融机构，应填写8位或11位的SWIFTCODE；如果受益人为境内机构，</w:t>
            </w:r>
            <w:r w:rsidR="009D0FD2">
              <w:rPr>
                <w:rFonts w:ascii="黑体" w:eastAsia="黑体" w:hAnsi="黑体" w:hint="eastAsia"/>
                <w:sz w:val="20"/>
                <w:szCs w:val="20"/>
              </w:rPr>
              <w:t>应填写</w:t>
            </w:r>
            <w:r>
              <w:rPr>
                <w:rFonts w:ascii="黑体" w:eastAsia="黑体" w:hAnsi="黑体" w:hint="eastAsia"/>
                <w:sz w:val="20"/>
                <w:szCs w:val="20"/>
              </w:rPr>
              <w:t>统一社会信用代码法定载体（如营业执照）上统一社会信用代码中的第9至17位或国家外汇管理局及其分支局签发的特殊机构代码赋码通知书上的机构代码；如果受益人为境内个人，应填写受益人个人身份证件号码。如果上述条件均不符合，则可为空；当担保类型为“为境外发债担保”且发行方式为“公开发行”时，应按照境外主体类型代码表中“资本市场”的20001800代码填写。</w:t>
            </w:r>
          </w:p>
        </w:tc>
      </w:tr>
      <w:tr w:rsidR="00A052DC" w14:paraId="618B1852" w14:textId="77777777">
        <w:tc>
          <w:tcPr>
            <w:tcW w:w="1702" w:type="dxa"/>
          </w:tcPr>
          <w:p w14:paraId="65A1E92A" w14:textId="77777777" w:rsidR="00A052DC" w:rsidRDefault="009F0A60">
            <w:pPr>
              <w:rPr>
                <w:rFonts w:ascii="黑体" w:eastAsia="黑体" w:hAnsi="黑体"/>
                <w:sz w:val="20"/>
                <w:szCs w:val="20"/>
              </w:rPr>
            </w:pPr>
            <w:r>
              <w:rPr>
                <w:rFonts w:ascii="黑体" w:eastAsia="黑体" w:hAnsi="黑体"/>
                <w:sz w:val="20"/>
                <w:szCs w:val="20"/>
              </w:rPr>
              <w:t>BENAME</w:t>
            </w:r>
          </w:p>
        </w:tc>
        <w:tc>
          <w:tcPr>
            <w:tcW w:w="1701" w:type="dxa"/>
          </w:tcPr>
          <w:p w14:paraId="0F7ADBA2" w14:textId="77777777" w:rsidR="00A052DC" w:rsidRDefault="009F0A60">
            <w:pPr>
              <w:rPr>
                <w:rFonts w:ascii="黑体" w:eastAsia="黑体" w:hAnsi="黑体"/>
                <w:sz w:val="20"/>
                <w:szCs w:val="20"/>
              </w:rPr>
            </w:pPr>
            <w:r>
              <w:rPr>
                <w:rFonts w:ascii="黑体" w:eastAsia="黑体" w:hAnsi="黑体" w:hint="eastAsia"/>
                <w:sz w:val="20"/>
                <w:szCs w:val="20"/>
              </w:rPr>
              <w:t>受益人中文名称</w:t>
            </w:r>
          </w:p>
        </w:tc>
        <w:tc>
          <w:tcPr>
            <w:tcW w:w="1559" w:type="dxa"/>
          </w:tcPr>
          <w:p w14:paraId="7748947D"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3685" w:type="dxa"/>
          </w:tcPr>
          <w:p w14:paraId="367579EB" w14:textId="77777777" w:rsidR="00A052DC" w:rsidRDefault="009F0A60">
            <w:pPr>
              <w:rPr>
                <w:rFonts w:ascii="黑体" w:eastAsia="黑体" w:hAnsi="黑体"/>
                <w:sz w:val="20"/>
                <w:szCs w:val="20"/>
              </w:rPr>
            </w:pPr>
            <w:r>
              <w:rPr>
                <w:rFonts w:ascii="黑体" w:eastAsia="黑体" w:hAnsi="黑体" w:hint="eastAsia"/>
                <w:sz w:val="20"/>
                <w:szCs w:val="20"/>
              </w:rPr>
              <w:t>非必填项</w:t>
            </w:r>
            <w:r w:rsidR="00860413">
              <w:rPr>
                <w:rFonts w:ascii="黑体" w:eastAsia="黑体" w:hAnsi="黑体" w:hint="eastAsia"/>
                <w:sz w:val="20"/>
                <w:szCs w:val="20"/>
              </w:rPr>
              <w:t>。</w:t>
            </w:r>
          </w:p>
          <w:p w14:paraId="53D3059C" w14:textId="77777777" w:rsidR="00A052DC" w:rsidRDefault="009F0A60">
            <w:pPr>
              <w:rPr>
                <w:rFonts w:ascii="黑体" w:eastAsia="黑体" w:hAnsi="黑体"/>
                <w:sz w:val="20"/>
                <w:szCs w:val="20"/>
              </w:rPr>
            </w:pPr>
            <w:r>
              <w:rPr>
                <w:rFonts w:ascii="黑体" w:eastAsia="黑体" w:hAnsi="黑体" w:hint="eastAsia"/>
                <w:sz w:val="20"/>
                <w:szCs w:val="20"/>
              </w:rPr>
              <w:t>中文和英文至少填写一个，一般填中文名称。当担保类型为“为境外发债担保”且发行方式为“公开发行”时，填报为“资本市场”。</w:t>
            </w:r>
          </w:p>
        </w:tc>
      </w:tr>
      <w:tr w:rsidR="00A052DC" w14:paraId="41ACF273" w14:textId="77777777">
        <w:tc>
          <w:tcPr>
            <w:tcW w:w="1702" w:type="dxa"/>
          </w:tcPr>
          <w:p w14:paraId="3030FC26" w14:textId="77777777" w:rsidR="00A052DC" w:rsidRDefault="009F0A60">
            <w:pPr>
              <w:rPr>
                <w:rFonts w:ascii="黑体" w:eastAsia="黑体" w:hAnsi="黑体"/>
                <w:sz w:val="20"/>
                <w:szCs w:val="20"/>
              </w:rPr>
            </w:pPr>
            <w:r>
              <w:rPr>
                <w:rFonts w:ascii="黑体" w:eastAsia="黑体" w:hAnsi="黑体"/>
                <w:sz w:val="20"/>
                <w:szCs w:val="20"/>
              </w:rPr>
              <w:t>BENAMEN</w:t>
            </w:r>
          </w:p>
        </w:tc>
        <w:tc>
          <w:tcPr>
            <w:tcW w:w="1701" w:type="dxa"/>
          </w:tcPr>
          <w:p w14:paraId="62460908" w14:textId="77777777" w:rsidR="00A052DC" w:rsidRDefault="009F0A60">
            <w:pPr>
              <w:rPr>
                <w:rFonts w:ascii="黑体" w:eastAsia="黑体" w:hAnsi="黑体"/>
                <w:sz w:val="20"/>
                <w:szCs w:val="20"/>
              </w:rPr>
            </w:pPr>
            <w:r>
              <w:rPr>
                <w:rFonts w:ascii="黑体" w:eastAsia="黑体" w:hAnsi="黑体" w:hint="eastAsia"/>
                <w:sz w:val="20"/>
                <w:szCs w:val="20"/>
              </w:rPr>
              <w:t>受益人英文名称</w:t>
            </w:r>
          </w:p>
        </w:tc>
        <w:tc>
          <w:tcPr>
            <w:tcW w:w="1559" w:type="dxa"/>
          </w:tcPr>
          <w:p w14:paraId="33D55FD5"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3685" w:type="dxa"/>
          </w:tcPr>
          <w:p w14:paraId="1BCA45BF" w14:textId="77777777" w:rsidR="005D3821" w:rsidRDefault="009F0A60">
            <w:pPr>
              <w:rPr>
                <w:rFonts w:ascii="黑体" w:eastAsia="黑体" w:hAnsi="黑体"/>
                <w:sz w:val="20"/>
                <w:szCs w:val="20"/>
              </w:rPr>
            </w:pPr>
            <w:r>
              <w:rPr>
                <w:rFonts w:ascii="黑体" w:eastAsia="黑体" w:hAnsi="黑体" w:hint="eastAsia"/>
                <w:sz w:val="20"/>
                <w:szCs w:val="20"/>
              </w:rPr>
              <w:t>非必填项。</w:t>
            </w:r>
          </w:p>
          <w:p w14:paraId="39E28249" w14:textId="77777777" w:rsidR="00A052DC" w:rsidRDefault="009F0A60">
            <w:pPr>
              <w:rPr>
                <w:rFonts w:ascii="黑体" w:eastAsia="黑体" w:hAnsi="黑体"/>
                <w:sz w:val="20"/>
                <w:szCs w:val="20"/>
              </w:rPr>
            </w:pPr>
            <w:r>
              <w:rPr>
                <w:rFonts w:ascii="黑体" w:eastAsia="黑体" w:hAnsi="黑体" w:hint="eastAsia"/>
                <w:sz w:val="20"/>
                <w:szCs w:val="20"/>
              </w:rPr>
              <w:t>当担保类型为“为境外发债担保”且发行方式为“公开发行”时，可不填写。</w:t>
            </w:r>
          </w:p>
        </w:tc>
      </w:tr>
      <w:tr w:rsidR="00A052DC" w14:paraId="54AFD050" w14:textId="77777777">
        <w:tc>
          <w:tcPr>
            <w:tcW w:w="1702" w:type="dxa"/>
          </w:tcPr>
          <w:p w14:paraId="22DE0E01" w14:textId="77777777" w:rsidR="00A052DC" w:rsidRDefault="009F0A60">
            <w:pPr>
              <w:rPr>
                <w:rFonts w:ascii="黑体" w:eastAsia="黑体" w:hAnsi="黑体"/>
                <w:sz w:val="20"/>
                <w:szCs w:val="20"/>
              </w:rPr>
            </w:pPr>
            <w:r>
              <w:rPr>
                <w:rFonts w:ascii="黑体" w:eastAsia="黑体" w:hAnsi="黑体"/>
                <w:sz w:val="20"/>
                <w:szCs w:val="20"/>
              </w:rPr>
              <w:t>BENTYPE</w:t>
            </w:r>
          </w:p>
        </w:tc>
        <w:tc>
          <w:tcPr>
            <w:tcW w:w="1701" w:type="dxa"/>
          </w:tcPr>
          <w:p w14:paraId="3BCC093E" w14:textId="77777777" w:rsidR="00A052DC" w:rsidRDefault="009F0A60">
            <w:pPr>
              <w:rPr>
                <w:rFonts w:ascii="黑体" w:eastAsia="黑体" w:hAnsi="黑体"/>
                <w:sz w:val="20"/>
                <w:szCs w:val="20"/>
              </w:rPr>
            </w:pPr>
            <w:r>
              <w:rPr>
                <w:rFonts w:ascii="黑体" w:eastAsia="黑体" w:hAnsi="黑体" w:hint="eastAsia"/>
                <w:sz w:val="20"/>
                <w:szCs w:val="20"/>
              </w:rPr>
              <w:t>受益人类型</w:t>
            </w:r>
          </w:p>
        </w:tc>
        <w:tc>
          <w:tcPr>
            <w:tcW w:w="1559" w:type="dxa"/>
          </w:tcPr>
          <w:p w14:paraId="1D8B50F0" w14:textId="77777777" w:rsidR="00A052DC" w:rsidRDefault="009F0A60">
            <w:pPr>
              <w:rPr>
                <w:rFonts w:ascii="黑体" w:eastAsia="黑体" w:hAnsi="黑体"/>
                <w:sz w:val="20"/>
                <w:szCs w:val="20"/>
              </w:rPr>
            </w:pPr>
            <w:r>
              <w:rPr>
                <w:rFonts w:ascii="黑体" w:eastAsia="黑体" w:hAnsi="黑体" w:hint="eastAsia"/>
                <w:sz w:val="20"/>
                <w:szCs w:val="20"/>
              </w:rPr>
              <w:t>字符型，8</w:t>
            </w:r>
          </w:p>
        </w:tc>
        <w:tc>
          <w:tcPr>
            <w:tcW w:w="3685" w:type="dxa"/>
          </w:tcPr>
          <w:p w14:paraId="04ACD09F" w14:textId="77777777" w:rsidR="00A052DC" w:rsidRDefault="009F0A60">
            <w:pPr>
              <w:rPr>
                <w:rFonts w:ascii="黑体" w:eastAsia="黑体" w:hAnsi="黑体"/>
                <w:sz w:val="20"/>
                <w:szCs w:val="20"/>
              </w:rPr>
            </w:pPr>
            <w:r>
              <w:rPr>
                <w:rFonts w:ascii="黑体" w:eastAsia="黑体" w:hAnsi="黑体" w:hint="eastAsia"/>
                <w:sz w:val="20"/>
                <w:szCs w:val="20"/>
              </w:rPr>
              <w:t>必填项，</w:t>
            </w:r>
          </w:p>
          <w:p w14:paraId="74CC1789" w14:textId="77777777" w:rsidR="00A052DC" w:rsidRDefault="009F0A60">
            <w:pPr>
              <w:rPr>
                <w:rFonts w:ascii="黑体" w:eastAsia="黑体" w:hAnsi="黑体"/>
                <w:sz w:val="20"/>
                <w:szCs w:val="20"/>
              </w:rPr>
            </w:pPr>
            <w:r>
              <w:rPr>
                <w:rFonts w:ascii="黑体" w:eastAsia="黑体" w:hAnsi="黑体" w:hint="eastAsia"/>
                <w:sz w:val="20"/>
                <w:szCs w:val="20"/>
              </w:rPr>
              <w:t>见境内主体类型代码表/境外主体类型代码表。</w:t>
            </w:r>
          </w:p>
        </w:tc>
      </w:tr>
      <w:tr w:rsidR="00A052DC" w14:paraId="6B756056" w14:textId="77777777">
        <w:tc>
          <w:tcPr>
            <w:tcW w:w="1702" w:type="dxa"/>
          </w:tcPr>
          <w:p w14:paraId="77D77C7A" w14:textId="77777777" w:rsidR="00A052DC" w:rsidRDefault="009F0A60">
            <w:pPr>
              <w:rPr>
                <w:rFonts w:ascii="黑体" w:eastAsia="黑体" w:hAnsi="黑体"/>
                <w:sz w:val="20"/>
                <w:szCs w:val="20"/>
              </w:rPr>
            </w:pPr>
            <w:r>
              <w:rPr>
                <w:rFonts w:ascii="黑体" w:eastAsia="黑体" w:hAnsi="黑体"/>
                <w:sz w:val="20"/>
                <w:szCs w:val="20"/>
              </w:rPr>
              <w:t>BENCOUNTRYCODE</w:t>
            </w:r>
          </w:p>
        </w:tc>
        <w:tc>
          <w:tcPr>
            <w:tcW w:w="1701" w:type="dxa"/>
          </w:tcPr>
          <w:p w14:paraId="20CF5859" w14:textId="77777777" w:rsidR="00A052DC" w:rsidRDefault="009F0A60">
            <w:pPr>
              <w:rPr>
                <w:rFonts w:ascii="黑体" w:eastAsia="黑体" w:hAnsi="黑体"/>
                <w:sz w:val="20"/>
                <w:szCs w:val="20"/>
              </w:rPr>
            </w:pPr>
            <w:r>
              <w:rPr>
                <w:rFonts w:ascii="黑体" w:eastAsia="黑体" w:hAnsi="黑体" w:hint="eastAsia"/>
                <w:sz w:val="20"/>
                <w:szCs w:val="20"/>
              </w:rPr>
              <w:t>受益人国别/地区</w:t>
            </w:r>
          </w:p>
        </w:tc>
        <w:tc>
          <w:tcPr>
            <w:tcW w:w="1559" w:type="dxa"/>
          </w:tcPr>
          <w:p w14:paraId="4D7D03E8" w14:textId="77777777" w:rsidR="00A052DC" w:rsidRDefault="009F0A60">
            <w:pPr>
              <w:rPr>
                <w:rFonts w:ascii="黑体" w:eastAsia="黑体" w:hAnsi="黑体"/>
                <w:sz w:val="20"/>
                <w:szCs w:val="20"/>
              </w:rPr>
            </w:pPr>
            <w:r>
              <w:rPr>
                <w:rFonts w:ascii="黑体" w:eastAsia="黑体" w:hAnsi="黑体" w:hint="eastAsia"/>
                <w:sz w:val="20"/>
                <w:szCs w:val="20"/>
              </w:rPr>
              <w:t>字符型，3</w:t>
            </w:r>
          </w:p>
        </w:tc>
        <w:tc>
          <w:tcPr>
            <w:tcW w:w="3685" w:type="dxa"/>
          </w:tcPr>
          <w:p w14:paraId="500BB040" w14:textId="77777777" w:rsidR="00A052DC" w:rsidRDefault="009F0A60">
            <w:pPr>
              <w:rPr>
                <w:rFonts w:ascii="黑体" w:eastAsia="黑体" w:hAnsi="黑体"/>
                <w:sz w:val="20"/>
                <w:szCs w:val="20"/>
              </w:rPr>
            </w:pPr>
            <w:r>
              <w:rPr>
                <w:rFonts w:ascii="黑体" w:eastAsia="黑体" w:hAnsi="黑体" w:hint="eastAsia"/>
                <w:sz w:val="20"/>
                <w:szCs w:val="20"/>
              </w:rPr>
              <w:t>必填项，见国家和地区代码表。</w:t>
            </w:r>
          </w:p>
        </w:tc>
      </w:tr>
      <w:tr w:rsidR="00A052DC" w14:paraId="0CFCDDFA" w14:textId="77777777">
        <w:tc>
          <w:tcPr>
            <w:tcW w:w="1702" w:type="dxa"/>
          </w:tcPr>
          <w:p w14:paraId="10FDC253" w14:textId="77777777" w:rsidR="00A052DC" w:rsidRDefault="009F0A60">
            <w:pPr>
              <w:rPr>
                <w:rFonts w:ascii="黑体" w:eastAsia="黑体" w:hAnsi="黑体"/>
                <w:sz w:val="20"/>
                <w:szCs w:val="20"/>
              </w:rPr>
            </w:pPr>
            <w:r>
              <w:rPr>
                <w:rFonts w:ascii="黑体" w:eastAsia="黑体" w:hAnsi="黑体"/>
                <w:sz w:val="20"/>
                <w:szCs w:val="20"/>
              </w:rPr>
              <w:t>GuEDCODE</w:t>
            </w:r>
          </w:p>
        </w:tc>
        <w:tc>
          <w:tcPr>
            <w:tcW w:w="1701" w:type="dxa"/>
          </w:tcPr>
          <w:p w14:paraId="7214A006" w14:textId="77777777" w:rsidR="00A052DC" w:rsidRDefault="009F0A60">
            <w:pPr>
              <w:rPr>
                <w:rFonts w:ascii="黑体" w:eastAsia="黑体" w:hAnsi="黑体"/>
                <w:sz w:val="20"/>
                <w:szCs w:val="20"/>
              </w:rPr>
            </w:pPr>
            <w:r>
              <w:rPr>
                <w:rFonts w:ascii="黑体" w:eastAsia="黑体" w:hAnsi="黑体" w:hint="eastAsia"/>
                <w:sz w:val="20"/>
                <w:szCs w:val="20"/>
              </w:rPr>
              <w:t>被担保人代码</w:t>
            </w:r>
          </w:p>
        </w:tc>
        <w:tc>
          <w:tcPr>
            <w:tcW w:w="1559" w:type="dxa"/>
          </w:tcPr>
          <w:p w14:paraId="1C4BF706" w14:textId="77777777" w:rsidR="00A052DC" w:rsidRDefault="009F0A60">
            <w:pPr>
              <w:rPr>
                <w:rFonts w:ascii="黑体" w:eastAsia="黑体" w:hAnsi="黑体"/>
                <w:sz w:val="20"/>
                <w:szCs w:val="20"/>
              </w:rPr>
            </w:pPr>
            <w:r>
              <w:rPr>
                <w:rFonts w:ascii="黑体" w:eastAsia="黑体" w:hAnsi="黑体" w:hint="eastAsia"/>
                <w:sz w:val="20"/>
                <w:szCs w:val="20"/>
              </w:rPr>
              <w:t>字符型，32</w:t>
            </w:r>
          </w:p>
        </w:tc>
        <w:tc>
          <w:tcPr>
            <w:tcW w:w="3685" w:type="dxa"/>
          </w:tcPr>
          <w:p w14:paraId="295069F0" w14:textId="77777777" w:rsidR="00A052DC" w:rsidRDefault="009F0A60">
            <w:pPr>
              <w:rPr>
                <w:rFonts w:ascii="黑体" w:eastAsia="黑体" w:hAnsi="黑体"/>
                <w:sz w:val="20"/>
                <w:szCs w:val="20"/>
              </w:rPr>
            </w:pPr>
            <w:r>
              <w:rPr>
                <w:rFonts w:ascii="黑体" w:eastAsia="黑体" w:hAnsi="黑体" w:hint="eastAsia"/>
                <w:sz w:val="20"/>
                <w:szCs w:val="20"/>
              </w:rPr>
              <w:t>非必填项，如果被担保人为境外金融机构，应填写8位或11位的SWIFTCODE；如果被担保人为境内机构，</w:t>
            </w:r>
            <w:r w:rsidR="009D0FD2">
              <w:rPr>
                <w:rFonts w:ascii="黑体" w:eastAsia="黑体" w:hAnsi="黑体" w:hint="eastAsia"/>
                <w:sz w:val="20"/>
                <w:szCs w:val="20"/>
              </w:rPr>
              <w:t>应填写</w:t>
            </w:r>
            <w:r>
              <w:rPr>
                <w:rFonts w:ascii="黑体" w:eastAsia="黑体" w:hAnsi="黑体" w:hint="eastAsia"/>
                <w:sz w:val="20"/>
                <w:szCs w:val="20"/>
              </w:rPr>
              <w:t>统一社会信用代码法定载体（如营业执照）上统一社会信用代码中的第9至17位或国家外汇管理局及其分支局签发的特殊机构代码赋码通知书上的机构代码；如果被担保人为境内个人，应填写被担保人个人身份证件号码。如果上述条件均不符合，则可为空。</w:t>
            </w:r>
          </w:p>
        </w:tc>
      </w:tr>
      <w:tr w:rsidR="00A052DC" w14:paraId="090ACD5A" w14:textId="77777777">
        <w:tc>
          <w:tcPr>
            <w:tcW w:w="1702" w:type="dxa"/>
          </w:tcPr>
          <w:p w14:paraId="5BDC85BA" w14:textId="77777777" w:rsidR="00A052DC" w:rsidRDefault="009F0A60">
            <w:pPr>
              <w:rPr>
                <w:rFonts w:ascii="黑体" w:eastAsia="黑体" w:hAnsi="黑体"/>
                <w:sz w:val="20"/>
                <w:szCs w:val="20"/>
              </w:rPr>
            </w:pPr>
            <w:r>
              <w:rPr>
                <w:rFonts w:ascii="黑体" w:eastAsia="黑体" w:hAnsi="黑体"/>
                <w:sz w:val="20"/>
                <w:szCs w:val="20"/>
              </w:rPr>
              <w:t>GuEDNAME</w:t>
            </w:r>
          </w:p>
        </w:tc>
        <w:tc>
          <w:tcPr>
            <w:tcW w:w="1701" w:type="dxa"/>
          </w:tcPr>
          <w:p w14:paraId="36031C78" w14:textId="77777777" w:rsidR="00A052DC" w:rsidRDefault="009F0A60">
            <w:pPr>
              <w:rPr>
                <w:rFonts w:ascii="黑体" w:eastAsia="黑体" w:hAnsi="黑体"/>
                <w:sz w:val="20"/>
                <w:szCs w:val="20"/>
              </w:rPr>
            </w:pPr>
            <w:r>
              <w:rPr>
                <w:rFonts w:ascii="黑体" w:eastAsia="黑体" w:hAnsi="黑体" w:hint="eastAsia"/>
                <w:sz w:val="20"/>
                <w:szCs w:val="20"/>
              </w:rPr>
              <w:t>被担保人中文名称</w:t>
            </w:r>
          </w:p>
        </w:tc>
        <w:tc>
          <w:tcPr>
            <w:tcW w:w="1559" w:type="dxa"/>
          </w:tcPr>
          <w:p w14:paraId="3067F0A6"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3685" w:type="dxa"/>
          </w:tcPr>
          <w:p w14:paraId="1E87EDF8" w14:textId="77777777" w:rsidR="00A052DC" w:rsidRDefault="009F0A60">
            <w:pPr>
              <w:rPr>
                <w:rFonts w:ascii="黑体" w:eastAsia="黑体" w:hAnsi="黑体"/>
                <w:sz w:val="20"/>
                <w:szCs w:val="20"/>
              </w:rPr>
            </w:pPr>
            <w:r>
              <w:rPr>
                <w:rFonts w:ascii="黑体" w:eastAsia="黑体" w:hAnsi="黑体" w:hint="eastAsia"/>
                <w:sz w:val="20"/>
                <w:szCs w:val="20"/>
              </w:rPr>
              <w:t>非必填项，</w:t>
            </w:r>
          </w:p>
          <w:p w14:paraId="5FC0F884" w14:textId="77777777" w:rsidR="00A052DC" w:rsidRDefault="009F0A60">
            <w:pPr>
              <w:rPr>
                <w:rFonts w:ascii="黑体" w:eastAsia="黑体" w:hAnsi="黑体"/>
                <w:sz w:val="20"/>
                <w:szCs w:val="20"/>
              </w:rPr>
            </w:pPr>
            <w:r>
              <w:rPr>
                <w:rFonts w:ascii="黑体" w:eastAsia="黑体" w:hAnsi="黑体" w:hint="eastAsia"/>
                <w:sz w:val="20"/>
                <w:szCs w:val="20"/>
              </w:rPr>
              <w:t>同受益人名称填写方式，中英文名称至少填写一个。</w:t>
            </w:r>
          </w:p>
        </w:tc>
      </w:tr>
      <w:tr w:rsidR="00A052DC" w14:paraId="1C84144E" w14:textId="77777777">
        <w:tc>
          <w:tcPr>
            <w:tcW w:w="1702" w:type="dxa"/>
          </w:tcPr>
          <w:p w14:paraId="7E74B0A9" w14:textId="77777777" w:rsidR="00A052DC" w:rsidRDefault="009F0A60">
            <w:pPr>
              <w:rPr>
                <w:rFonts w:ascii="黑体" w:eastAsia="黑体" w:hAnsi="黑体"/>
                <w:sz w:val="20"/>
                <w:szCs w:val="20"/>
              </w:rPr>
            </w:pPr>
            <w:r>
              <w:rPr>
                <w:rFonts w:ascii="黑体" w:eastAsia="黑体" w:hAnsi="黑体"/>
                <w:sz w:val="20"/>
                <w:szCs w:val="20"/>
              </w:rPr>
              <w:t>GuEDNAMEN</w:t>
            </w:r>
          </w:p>
        </w:tc>
        <w:tc>
          <w:tcPr>
            <w:tcW w:w="1701" w:type="dxa"/>
          </w:tcPr>
          <w:p w14:paraId="5DAA41B9" w14:textId="77777777" w:rsidR="00A052DC" w:rsidRDefault="009F0A60">
            <w:pPr>
              <w:rPr>
                <w:rFonts w:ascii="黑体" w:eastAsia="黑体" w:hAnsi="黑体"/>
                <w:sz w:val="20"/>
                <w:szCs w:val="20"/>
              </w:rPr>
            </w:pPr>
            <w:r>
              <w:rPr>
                <w:rFonts w:ascii="黑体" w:eastAsia="黑体" w:hAnsi="黑体" w:hint="eastAsia"/>
                <w:sz w:val="20"/>
                <w:szCs w:val="20"/>
              </w:rPr>
              <w:t>被担保人英文名称</w:t>
            </w:r>
          </w:p>
        </w:tc>
        <w:tc>
          <w:tcPr>
            <w:tcW w:w="1559" w:type="dxa"/>
          </w:tcPr>
          <w:p w14:paraId="67A839A3"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3685" w:type="dxa"/>
          </w:tcPr>
          <w:p w14:paraId="3BB7FD7A" w14:textId="77777777" w:rsidR="00A052DC" w:rsidRDefault="009F0A60">
            <w:pPr>
              <w:rPr>
                <w:rFonts w:ascii="黑体" w:eastAsia="黑体" w:hAnsi="黑体"/>
                <w:sz w:val="20"/>
                <w:szCs w:val="20"/>
              </w:rPr>
            </w:pPr>
            <w:r>
              <w:rPr>
                <w:rFonts w:ascii="黑体" w:eastAsia="黑体" w:hAnsi="黑体" w:hint="eastAsia"/>
                <w:sz w:val="20"/>
                <w:szCs w:val="20"/>
              </w:rPr>
              <w:t>非必填项。</w:t>
            </w:r>
          </w:p>
        </w:tc>
      </w:tr>
      <w:tr w:rsidR="00A052DC" w14:paraId="3B66488C" w14:textId="77777777">
        <w:tc>
          <w:tcPr>
            <w:tcW w:w="1702" w:type="dxa"/>
          </w:tcPr>
          <w:p w14:paraId="120BA5CB" w14:textId="77777777" w:rsidR="00A052DC" w:rsidRDefault="009F0A60">
            <w:pPr>
              <w:rPr>
                <w:rFonts w:ascii="黑体" w:eastAsia="黑体" w:hAnsi="黑体"/>
                <w:sz w:val="20"/>
                <w:szCs w:val="20"/>
              </w:rPr>
            </w:pPr>
            <w:r>
              <w:rPr>
                <w:rFonts w:ascii="黑体" w:eastAsia="黑体" w:hAnsi="黑体"/>
                <w:sz w:val="20"/>
                <w:szCs w:val="20"/>
              </w:rPr>
              <w:t>GuEDTYPE</w:t>
            </w:r>
          </w:p>
        </w:tc>
        <w:tc>
          <w:tcPr>
            <w:tcW w:w="1701" w:type="dxa"/>
          </w:tcPr>
          <w:p w14:paraId="63E40BB9" w14:textId="77777777" w:rsidR="00A052DC" w:rsidRDefault="009F0A60">
            <w:pPr>
              <w:rPr>
                <w:rFonts w:ascii="黑体" w:eastAsia="黑体" w:hAnsi="黑体"/>
                <w:sz w:val="20"/>
                <w:szCs w:val="20"/>
              </w:rPr>
            </w:pPr>
            <w:r>
              <w:rPr>
                <w:rFonts w:ascii="黑体" w:eastAsia="黑体" w:hAnsi="黑体" w:hint="eastAsia"/>
                <w:sz w:val="20"/>
                <w:szCs w:val="20"/>
              </w:rPr>
              <w:t>被担保人类型</w:t>
            </w:r>
          </w:p>
        </w:tc>
        <w:tc>
          <w:tcPr>
            <w:tcW w:w="1559" w:type="dxa"/>
          </w:tcPr>
          <w:p w14:paraId="3EA2B424" w14:textId="77777777" w:rsidR="00A052DC" w:rsidRDefault="009F0A60">
            <w:pPr>
              <w:rPr>
                <w:rFonts w:ascii="黑体" w:eastAsia="黑体" w:hAnsi="黑体"/>
                <w:sz w:val="20"/>
                <w:szCs w:val="20"/>
              </w:rPr>
            </w:pPr>
            <w:r>
              <w:rPr>
                <w:rFonts w:ascii="黑体" w:eastAsia="黑体" w:hAnsi="黑体" w:hint="eastAsia"/>
                <w:sz w:val="20"/>
                <w:szCs w:val="20"/>
              </w:rPr>
              <w:t>字符型，8</w:t>
            </w:r>
          </w:p>
        </w:tc>
        <w:tc>
          <w:tcPr>
            <w:tcW w:w="3685" w:type="dxa"/>
          </w:tcPr>
          <w:p w14:paraId="02E58D31" w14:textId="77777777" w:rsidR="00A052DC" w:rsidRDefault="009F0A60">
            <w:pPr>
              <w:rPr>
                <w:rFonts w:ascii="黑体" w:eastAsia="黑体" w:hAnsi="黑体"/>
                <w:sz w:val="20"/>
                <w:szCs w:val="20"/>
              </w:rPr>
            </w:pPr>
            <w:r>
              <w:rPr>
                <w:rFonts w:ascii="黑体" w:eastAsia="黑体" w:hAnsi="黑体" w:hint="eastAsia"/>
                <w:sz w:val="20"/>
                <w:szCs w:val="20"/>
              </w:rPr>
              <w:t>必填项，见境内主体类型代码表/境外主体类型代码表。</w:t>
            </w:r>
          </w:p>
        </w:tc>
      </w:tr>
      <w:tr w:rsidR="00A052DC" w14:paraId="77B862A6" w14:textId="77777777">
        <w:tc>
          <w:tcPr>
            <w:tcW w:w="1702" w:type="dxa"/>
          </w:tcPr>
          <w:p w14:paraId="5DFA0218" w14:textId="77777777" w:rsidR="00A052DC" w:rsidRDefault="009F0A60">
            <w:pPr>
              <w:rPr>
                <w:rFonts w:ascii="黑体" w:eastAsia="黑体" w:hAnsi="黑体"/>
                <w:sz w:val="20"/>
                <w:szCs w:val="20"/>
              </w:rPr>
            </w:pPr>
            <w:r>
              <w:rPr>
                <w:rFonts w:ascii="黑体" w:eastAsia="黑体" w:hAnsi="黑体"/>
                <w:sz w:val="20"/>
                <w:szCs w:val="20"/>
              </w:rPr>
              <w:t>GuEDCOUNCODE</w:t>
            </w:r>
          </w:p>
        </w:tc>
        <w:tc>
          <w:tcPr>
            <w:tcW w:w="1701" w:type="dxa"/>
          </w:tcPr>
          <w:p w14:paraId="5B2F3E64" w14:textId="77777777" w:rsidR="00A052DC" w:rsidRDefault="009F0A60">
            <w:pPr>
              <w:rPr>
                <w:rFonts w:ascii="黑体" w:eastAsia="黑体" w:hAnsi="黑体"/>
                <w:sz w:val="20"/>
                <w:szCs w:val="20"/>
              </w:rPr>
            </w:pPr>
            <w:r>
              <w:rPr>
                <w:rFonts w:ascii="黑体" w:eastAsia="黑体" w:hAnsi="黑体" w:hint="eastAsia"/>
                <w:sz w:val="20"/>
                <w:szCs w:val="20"/>
              </w:rPr>
              <w:t>被担保人国别/地区代码</w:t>
            </w:r>
          </w:p>
        </w:tc>
        <w:tc>
          <w:tcPr>
            <w:tcW w:w="1559" w:type="dxa"/>
          </w:tcPr>
          <w:p w14:paraId="3E795CD8" w14:textId="77777777" w:rsidR="00A052DC" w:rsidRDefault="009F0A60">
            <w:pPr>
              <w:rPr>
                <w:rFonts w:ascii="黑体" w:eastAsia="黑体" w:hAnsi="黑体"/>
                <w:sz w:val="20"/>
                <w:szCs w:val="20"/>
              </w:rPr>
            </w:pPr>
            <w:r>
              <w:rPr>
                <w:rFonts w:ascii="黑体" w:eastAsia="黑体" w:hAnsi="黑体" w:hint="eastAsia"/>
                <w:sz w:val="20"/>
                <w:szCs w:val="20"/>
              </w:rPr>
              <w:t>字符型，3</w:t>
            </w:r>
          </w:p>
        </w:tc>
        <w:tc>
          <w:tcPr>
            <w:tcW w:w="3685" w:type="dxa"/>
          </w:tcPr>
          <w:p w14:paraId="50EB8E21" w14:textId="77777777" w:rsidR="00A052DC" w:rsidRDefault="009F0A60">
            <w:pPr>
              <w:rPr>
                <w:rFonts w:ascii="黑体" w:eastAsia="黑体" w:hAnsi="黑体"/>
                <w:sz w:val="20"/>
                <w:szCs w:val="20"/>
              </w:rPr>
            </w:pPr>
            <w:r>
              <w:rPr>
                <w:rFonts w:ascii="黑体" w:eastAsia="黑体" w:hAnsi="黑体" w:hint="eastAsia"/>
                <w:sz w:val="20"/>
                <w:szCs w:val="20"/>
              </w:rPr>
              <w:t>必填项，见国家和地区代码表。</w:t>
            </w:r>
          </w:p>
        </w:tc>
      </w:tr>
      <w:tr w:rsidR="00A052DC" w14:paraId="7AF5D055" w14:textId="77777777">
        <w:tc>
          <w:tcPr>
            <w:tcW w:w="1702" w:type="dxa"/>
          </w:tcPr>
          <w:p w14:paraId="77AD7243" w14:textId="77777777" w:rsidR="00A052DC" w:rsidRDefault="009F0A60">
            <w:pPr>
              <w:rPr>
                <w:rFonts w:ascii="黑体" w:eastAsia="黑体" w:hAnsi="黑体"/>
                <w:sz w:val="20"/>
                <w:szCs w:val="20"/>
              </w:rPr>
            </w:pPr>
            <w:r>
              <w:rPr>
                <w:rFonts w:ascii="黑体" w:eastAsia="黑体" w:hAnsi="黑体" w:hint="eastAsia"/>
                <w:sz w:val="20"/>
                <w:szCs w:val="20"/>
              </w:rPr>
              <w:t>GUEDINDUSTRYCODE</w:t>
            </w:r>
          </w:p>
        </w:tc>
        <w:tc>
          <w:tcPr>
            <w:tcW w:w="1701" w:type="dxa"/>
          </w:tcPr>
          <w:p w14:paraId="54056D33" w14:textId="77777777" w:rsidR="00A052DC" w:rsidRDefault="009F0A60">
            <w:pPr>
              <w:rPr>
                <w:rFonts w:ascii="黑体" w:eastAsia="黑体" w:hAnsi="黑体"/>
                <w:sz w:val="20"/>
                <w:szCs w:val="20"/>
              </w:rPr>
            </w:pPr>
            <w:r>
              <w:rPr>
                <w:rFonts w:ascii="黑体" w:eastAsia="黑体" w:hAnsi="黑体" w:hint="eastAsia"/>
                <w:sz w:val="20"/>
                <w:szCs w:val="20"/>
              </w:rPr>
              <w:t>被担保人所属行业</w:t>
            </w:r>
          </w:p>
        </w:tc>
        <w:tc>
          <w:tcPr>
            <w:tcW w:w="1559" w:type="dxa"/>
          </w:tcPr>
          <w:p w14:paraId="6F3B16EA" w14:textId="77777777" w:rsidR="00A052DC" w:rsidRDefault="009F0A60">
            <w:pPr>
              <w:rPr>
                <w:rFonts w:ascii="黑体" w:eastAsia="黑体" w:hAnsi="黑体"/>
                <w:sz w:val="20"/>
                <w:szCs w:val="20"/>
              </w:rPr>
            </w:pPr>
            <w:r>
              <w:rPr>
                <w:rFonts w:ascii="黑体" w:eastAsia="黑体" w:hAnsi="黑体" w:hint="eastAsia"/>
                <w:sz w:val="20"/>
                <w:szCs w:val="20"/>
              </w:rPr>
              <w:t>字符型，4</w:t>
            </w:r>
          </w:p>
        </w:tc>
        <w:tc>
          <w:tcPr>
            <w:tcW w:w="3685" w:type="dxa"/>
          </w:tcPr>
          <w:p w14:paraId="48EB0399" w14:textId="77777777" w:rsidR="00563761" w:rsidRDefault="009F0A60">
            <w:pPr>
              <w:rPr>
                <w:rFonts w:ascii="黑体" w:eastAsia="黑体" w:hAnsi="黑体"/>
                <w:sz w:val="20"/>
                <w:szCs w:val="20"/>
              </w:rPr>
            </w:pPr>
            <w:r>
              <w:rPr>
                <w:rFonts w:ascii="黑体" w:eastAsia="黑体" w:hAnsi="黑体" w:hint="eastAsia"/>
                <w:sz w:val="20"/>
                <w:szCs w:val="20"/>
              </w:rPr>
              <w:t>必填项</w:t>
            </w:r>
            <w:r w:rsidR="00860413">
              <w:rPr>
                <w:rFonts w:ascii="黑体" w:eastAsia="黑体" w:hAnsi="黑体" w:hint="eastAsia"/>
                <w:sz w:val="20"/>
                <w:szCs w:val="20"/>
              </w:rPr>
              <w:t>，</w:t>
            </w:r>
            <w:r>
              <w:rPr>
                <w:rFonts w:ascii="黑体" w:eastAsia="黑体" w:hAnsi="黑体" w:hint="eastAsia"/>
                <w:sz w:val="20"/>
                <w:szCs w:val="20"/>
              </w:rPr>
              <w:t>见行业属性代码表。</w:t>
            </w:r>
          </w:p>
        </w:tc>
      </w:tr>
      <w:tr w:rsidR="00A052DC" w14:paraId="373F6CBA" w14:textId="77777777">
        <w:tc>
          <w:tcPr>
            <w:tcW w:w="1702" w:type="dxa"/>
          </w:tcPr>
          <w:p w14:paraId="43463F38" w14:textId="77777777" w:rsidR="00A052DC" w:rsidRDefault="009F0A60">
            <w:pPr>
              <w:rPr>
                <w:rFonts w:ascii="黑体" w:eastAsia="黑体" w:hAnsi="黑体"/>
                <w:sz w:val="20"/>
                <w:szCs w:val="20"/>
              </w:rPr>
            </w:pPr>
            <w:r>
              <w:rPr>
                <w:rFonts w:ascii="黑体" w:eastAsia="黑体" w:hAnsi="黑体" w:hint="eastAsia"/>
                <w:sz w:val="20"/>
                <w:szCs w:val="20"/>
              </w:rPr>
              <w:t>GUEDPARECOMPNAME</w:t>
            </w:r>
          </w:p>
        </w:tc>
        <w:tc>
          <w:tcPr>
            <w:tcW w:w="1701" w:type="dxa"/>
          </w:tcPr>
          <w:p w14:paraId="78F4285F" w14:textId="77777777" w:rsidR="00A052DC" w:rsidRDefault="009F0A60">
            <w:pPr>
              <w:rPr>
                <w:rFonts w:ascii="黑体" w:eastAsia="黑体" w:hAnsi="黑体"/>
                <w:sz w:val="20"/>
                <w:szCs w:val="20"/>
              </w:rPr>
            </w:pPr>
            <w:r>
              <w:rPr>
                <w:rFonts w:ascii="黑体" w:eastAsia="黑体" w:hAnsi="黑体" w:hint="eastAsia"/>
                <w:color w:val="000000"/>
                <w:sz w:val="20"/>
                <w:szCs w:val="20"/>
              </w:rPr>
              <w:t>被担保人境内母公司中文名称</w:t>
            </w:r>
          </w:p>
        </w:tc>
        <w:tc>
          <w:tcPr>
            <w:tcW w:w="1559" w:type="dxa"/>
          </w:tcPr>
          <w:p w14:paraId="49BDCD55" w14:textId="77777777" w:rsidR="00A052DC" w:rsidRDefault="009F0A60">
            <w:pPr>
              <w:rPr>
                <w:rFonts w:ascii="黑体" w:eastAsia="黑体" w:hAnsi="黑体"/>
                <w:sz w:val="20"/>
                <w:szCs w:val="20"/>
              </w:rPr>
            </w:pPr>
            <w:r>
              <w:rPr>
                <w:rFonts w:ascii="黑体" w:eastAsia="黑体" w:hAnsi="黑体" w:hint="eastAsia"/>
                <w:sz w:val="20"/>
                <w:szCs w:val="20"/>
              </w:rPr>
              <w:t>字符型，120</w:t>
            </w:r>
          </w:p>
        </w:tc>
        <w:tc>
          <w:tcPr>
            <w:tcW w:w="3685" w:type="dxa"/>
          </w:tcPr>
          <w:p w14:paraId="117B036F" w14:textId="77777777" w:rsidR="00A052DC" w:rsidRDefault="009F0A60">
            <w:pPr>
              <w:rPr>
                <w:rFonts w:ascii="黑体" w:eastAsia="黑体" w:hAnsi="黑体"/>
                <w:sz w:val="20"/>
                <w:szCs w:val="20"/>
              </w:rPr>
            </w:pPr>
            <w:r>
              <w:rPr>
                <w:rFonts w:ascii="黑体" w:eastAsia="黑体" w:hAnsi="黑体" w:hint="eastAsia"/>
                <w:color w:val="000000"/>
                <w:sz w:val="20"/>
                <w:szCs w:val="20"/>
              </w:rPr>
              <w:t>当担保类型选择为“为境外发债担保”时，为必填项。中文和英文至少填写一个，一般填中文名称。</w:t>
            </w:r>
          </w:p>
        </w:tc>
      </w:tr>
      <w:tr w:rsidR="00A052DC" w14:paraId="4EE9F7E2" w14:textId="77777777">
        <w:tc>
          <w:tcPr>
            <w:tcW w:w="1702" w:type="dxa"/>
          </w:tcPr>
          <w:p w14:paraId="173AE647" w14:textId="77777777" w:rsidR="00A052DC" w:rsidRDefault="009F0A60">
            <w:pPr>
              <w:rPr>
                <w:rFonts w:ascii="黑体" w:eastAsia="黑体" w:hAnsi="黑体"/>
                <w:sz w:val="20"/>
                <w:szCs w:val="20"/>
              </w:rPr>
            </w:pPr>
            <w:r>
              <w:rPr>
                <w:rFonts w:ascii="黑体" w:eastAsia="黑体" w:hAnsi="黑体" w:hint="eastAsia"/>
                <w:sz w:val="20"/>
                <w:szCs w:val="20"/>
              </w:rPr>
              <w:t>GUEDPARECOMPNAMEN</w:t>
            </w:r>
          </w:p>
        </w:tc>
        <w:tc>
          <w:tcPr>
            <w:tcW w:w="1701" w:type="dxa"/>
          </w:tcPr>
          <w:p w14:paraId="49A0E8F1" w14:textId="77777777" w:rsidR="00A052DC" w:rsidRDefault="009F0A60">
            <w:pPr>
              <w:rPr>
                <w:rFonts w:ascii="黑体" w:eastAsia="黑体" w:hAnsi="黑体"/>
                <w:sz w:val="20"/>
                <w:szCs w:val="20"/>
              </w:rPr>
            </w:pPr>
            <w:r>
              <w:rPr>
                <w:rFonts w:ascii="黑体" w:eastAsia="黑体" w:hAnsi="黑体" w:hint="eastAsia"/>
                <w:sz w:val="20"/>
                <w:szCs w:val="20"/>
              </w:rPr>
              <w:t>被担保人境内母公司英文名称</w:t>
            </w:r>
          </w:p>
        </w:tc>
        <w:tc>
          <w:tcPr>
            <w:tcW w:w="1559" w:type="dxa"/>
          </w:tcPr>
          <w:p w14:paraId="3D153367" w14:textId="77777777" w:rsidR="00A052DC" w:rsidRDefault="009F0A60">
            <w:pPr>
              <w:rPr>
                <w:rFonts w:ascii="黑体" w:eastAsia="黑体" w:hAnsi="黑体"/>
                <w:sz w:val="20"/>
                <w:szCs w:val="20"/>
              </w:rPr>
            </w:pPr>
            <w:r>
              <w:rPr>
                <w:rFonts w:ascii="黑体" w:eastAsia="黑体" w:hAnsi="黑体" w:hint="eastAsia"/>
                <w:sz w:val="20"/>
                <w:szCs w:val="20"/>
              </w:rPr>
              <w:t>字符型</w:t>
            </w:r>
            <w:r>
              <w:rPr>
                <w:rFonts w:ascii="黑体" w:eastAsia="黑体" w:hAnsi="黑体"/>
                <w:sz w:val="20"/>
                <w:szCs w:val="20"/>
              </w:rPr>
              <w:t>,120</w:t>
            </w:r>
          </w:p>
        </w:tc>
        <w:tc>
          <w:tcPr>
            <w:tcW w:w="3685" w:type="dxa"/>
          </w:tcPr>
          <w:p w14:paraId="7161C5B0" w14:textId="77777777" w:rsidR="00A052DC" w:rsidRDefault="009F0A60">
            <w:pPr>
              <w:rPr>
                <w:rFonts w:ascii="黑体" w:eastAsia="黑体" w:hAnsi="黑体"/>
                <w:sz w:val="20"/>
                <w:szCs w:val="20"/>
              </w:rPr>
            </w:pPr>
            <w:r>
              <w:rPr>
                <w:rFonts w:ascii="黑体" w:eastAsia="黑体" w:hAnsi="黑体" w:hint="eastAsia"/>
                <w:sz w:val="20"/>
                <w:szCs w:val="20"/>
              </w:rPr>
              <w:t>非必填项，当担保类型选择为“为境外发债担保”时，中文和英文至少填写一个，一般填中文名称。</w:t>
            </w:r>
          </w:p>
        </w:tc>
      </w:tr>
      <w:tr w:rsidR="00A052DC" w14:paraId="3FCACC7F" w14:textId="77777777">
        <w:tc>
          <w:tcPr>
            <w:tcW w:w="1702" w:type="dxa"/>
          </w:tcPr>
          <w:p w14:paraId="00D77831" w14:textId="77777777" w:rsidR="00A052DC" w:rsidRDefault="009F0A60">
            <w:pPr>
              <w:rPr>
                <w:rFonts w:ascii="黑体" w:eastAsia="黑体" w:hAnsi="黑体"/>
                <w:sz w:val="20"/>
                <w:szCs w:val="20"/>
              </w:rPr>
            </w:pPr>
            <w:r>
              <w:rPr>
                <w:rFonts w:ascii="黑体" w:eastAsia="黑体" w:hAnsi="黑体"/>
                <w:sz w:val="20"/>
                <w:szCs w:val="20"/>
              </w:rPr>
              <w:t>GUEDPARECOMPCODE</w:t>
            </w:r>
          </w:p>
        </w:tc>
        <w:tc>
          <w:tcPr>
            <w:tcW w:w="1701" w:type="dxa"/>
          </w:tcPr>
          <w:p w14:paraId="652A902B" w14:textId="77777777" w:rsidR="00A052DC" w:rsidRDefault="009F0A60">
            <w:pPr>
              <w:rPr>
                <w:rFonts w:ascii="黑体" w:eastAsia="黑体" w:hAnsi="黑体"/>
                <w:sz w:val="20"/>
                <w:szCs w:val="20"/>
              </w:rPr>
            </w:pPr>
            <w:r>
              <w:rPr>
                <w:rFonts w:ascii="黑体" w:eastAsia="黑体" w:hAnsi="黑体" w:hint="eastAsia"/>
                <w:color w:val="000000"/>
                <w:sz w:val="20"/>
                <w:szCs w:val="20"/>
              </w:rPr>
              <w:t>被担保人境内母公司代码</w:t>
            </w:r>
          </w:p>
        </w:tc>
        <w:tc>
          <w:tcPr>
            <w:tcW w:w="1559" w:type="dxa"/>
          </w:tcPr>
          <w:p w14:paraId="2CE9AD72" w14:textId="77777777" w:rsidR="00A052DC" w:rsidRDefault="009F0A60">
            <w:pPr>
              <w:rPr>
                <w:rFonts w:ascii="黑体" w:eastAsia="黑体" w:hAnsi="黑体"/>
                <w:sz w:val="20"/>
                <w:szCs w:val="20"/>
              </w:rPr>
            </w:pPr>
            <w:r>
              <w:rPr>
                <w:rFonts w:ascii="黑体" w:eastAsia="黑体" w:hAnsi="黑体" w:hint="eastAsia"/>
                <w:sz w:val="20"/>
                <w:szCs w:val="20"/>
              </w:rPr>
              <w:t>字符型，18</w:t>
            </w:r>
          </w:p>
        </w:tc>
        <w:tc>
          <w:tcPr>
            <w:tcW w:w="3685" w:type="dxa"/>
          </w:tcPr>
          <w:p w14:paraId="1BAFBBF8" w14:textId="77777777" w:rsidR="00A052DC" w:rsidRDefault="009F0A60">
            <w:pPr>
              <w:rPr>
                <w:rFonts w:ascii="黑体" w:eastAsia="黑体" w:hAnsi="黑体"/>
                <w:sz w:val="20"/>
                <w:szCs w:val="20"/>
              </w:rPr>
            </w:pPr>
            <w:r>
              <w:rPr>
                <w:rFonts w:ascii="黑体" w:eastAsia="黑体" w:hAnsi="黑体" w:hint="eastAsia"/>
                <w:color w:val="000000"/>
                <w:sz w:val="20"/>
                <w:szCs w:val="20"/>
              </w:rPr>
              <w:t>当担保类型选择为“为境外发债担保”时，为必填项，金融机构标识码及组织机构代码。</w:t>
            </w:r>
          </w:p>
        </w:tc>
      </w:tr>
      <w:tr w:rsidR="00A052DC" w14:paraId="2F2C4D6A" w14:textId="77777777">
        <w:tc>
          <w:tcPr>
            <w:tcW w:w="1702" w:type="dxa"/>
          </w:tcPr>
          <w:p w14:paraId="6213EED7" w14:textId="77777777" w:rsidR="00A052DC" w:rsidRDefault="009F0A60">
            <w:pPr>
              <w:rPr>
                <w:rFonts w:ascii="黑体" w:eastAsia="黑体" w:hAnsi="黑体"/>
                <w:sz w:val="20"/>
                <w:szCs w:val="20"/>
              </w:rPr>
            </w:pPr>
            <w:r>
              <w:rPr>
                <w:rFonts w:ascii="黑体" w:eastAsia="黑体" w:hAnsi="黑体"/>
                <w:sz w:val="20"/>
                <w:szCs w:val="20"/>
              </w:rPr>
              <w:t>ISSUECOUNTRYCODE</w:t>
            </w:r>
          </w:p>
        </w:tc>
        <w:tc>
          <w:tcPr>
            <w:tcW w:w="1701" w:type="dxa"/>
          </w:tcPr>
          <w:p w14:paraId="31BE8B9E" w14:textId="77777777" w:rsidR="00A052DC" w:rsidRDefault="009F0A60">
            <w:pPr>
              <w:rPr>
                <w:rFonts w:ascii="黑体" w:eastAsia="黑体" w:hAnsi="黑体"/>
                <w:sz w:val="20"/>
                <w:szCs w:val="20"/>
              </w:rPr>
            </w:pPr>
            <w:r>
              <w:rPr>
                <w:rFonts w:ascii="黑体" w:eastAsia="黑体" w:hAnsi="黑体" w:hint="eastAsia"/>
                <w:color w:val="000000"/>
                <w:sz w:val="20"/>
                <w:szCs w:val="20"/>
              </w:rPr>
              <w:t>发行/上市国家与地区</w:t>
            </w:r>
          </w:p>
        </w:tc>
        <w:tc>
          <w:tcPr>
            <w:tcW w:w="1559" w:type="dxa"/>
          </w:tcPr>
          <w:p w14:paraId="75FEFA3F" w14:textId="77777777" w:rsidR="00A052DC" w:rsidRDefault="009F0A60">
            <w:pPr>
              <w:rPr>
                <w:rFonts w:ascii="黑体" w:eastAsia="黑体" w:hAnsi="黑体"/>
                <w:sz w:val="20"/>
                <w:szCs w:val="20"/>
              </w:rPr>
            </w:pPr>
            <w:r>
              <w:rPr>
                <w:rFonts w:ascii="黑体" w:eastAsia="黑体" w:hAnsi="黑体" w:hint="eastAsia"/>
                <w:sz w:val="20"/>
                <w:szCs w:val="20"/>
              </w:rPr>
              <w:t>字符型，3</w:t>
            </w:r>
          </w:p>
        </w:tc>
        <w:tc>
          <w:tcPr>
            <w:tcW w:w="3685" w:type="dxa"/>
          </w:tcPr>
          <w:p w14:paraId="51D33886" w14:textId="77777777" w:rsidR="00A052DC" w:rsidRDefault="009F0A60">
            <w:pPr>
              <w:rPr>
                <w:rFonts w:ascii="黑体" w:eastAsia="黑体" w:hAnsi="黑体"/>
                <w:sz w:val="20"/>
                <w:szCs w:val="20"/>
              </w:rPr>
            </w:pPr>
            <w:r>
              <w:rPr>
                <w:rFonts w:ascii="黑体" w:eastAsia="黑体" w:hAnsi="黑体" w:hint="eastAsia"/>
                <w:color w:val="000000"/>
                <w:sz w:val="20"/>
                <w:szCs w:val="20"/>
              </w:rPr>
              <w:t>当担保类型选择为“为境外发债担保”时，为必填项，见国别和地区代码表</w:t>
            </w:r>
            <w:r w:rsidR="00C964D3">
              <w:rPr>
                <w:rFonts w:ascii="黑体" w:eastAsia="黑体" w:hAnsi="黑体" w:hint="eastAsia"/>
                <w:color w:val="000000"/>
                <w:sz w:val="20"/>
                <w:szCs w:val="20"/>
              </w:rPr>
              <w:t>。</w:t>
            </w:r>
          </w:p>
        </w:tc>
      </w:tr>
      <w:tr w:rsidR="00A052DC" w14:paraId="4548F587" w14:textId="77777777">
        <w:tc>
          <w:tcPr>
            <w:tcW w:w="1702" w:type="dxa"/>
          </w:tcPr>
          <w:p w14:paraId="51A2A217" w14:textId="77777777" w:rsidR="00A052DC" w:rsidRDefault="009F0A60">
            <w:pPr>
              <w:rPr>
                <w:rFonts w:ascii="黑体" w:eastAsia="黑体" w:hAnsi="黑体"/>
                <w:sz w:val="20"/>
                <w:szCs w:val="20"/>
              </w:rPr>
            </w:pPr>
            <w:r>
              <w:rPr>
                <w:rFonts w:ascii="黑体" w:eastAsia="黑体" w:hAnsi="黑体"/>
                <w:sz w:val="20"/>
                <w:szCs w:val="20"/>
              </w:rPr>
              <w:t>GUAPPCODE</w:t>
            </w:r>
          </w:p>
        </w:tc>
        <w:tc>
          <w:tcPr>
            <w:tcW w:w="1701" w:type="dxa"/>
          </w:tcPr>
          <w:p w14:paraId="67312A3D" w14:textId="77777777" w:rsidR="00A052DC" w:rsidRDefault="009F0A60">
            <w:pPr>
              <w:rPr>
                <w:rFonts w:ascii="黑体" w:eastAsia="黑体" w:hAnsi="黑体"/>
                <w:sz w:val="20"/>
                <w:szCs w:val="20"/>
              </w:rPr>
            </w:pPr>
            <w:r>
              <w:rPr>
                <w:rFonts w:ascii="黑体" w:eastAsia="黑体" w:hAnsi="黑体" w:hint="eastAsia"/>
                <w:sz w:val="20"/>
                <w:szCs w:val="20"/>
              </w:rPr>
              <w:t>担保申请人代码</w:t>
            </w:r>
          </w:p>
        </w:tc>
        <w:tc>
          <w:tcPr>
            <w:tcW w:w="1559" w:type="dxa"/>
          </w:tcPr>
          <w:p w14:paraId="642E56DA" w14:textId="77777777" w:rsidR="00A052DC" w:rsidRDefault="009F0A60">
            <w:pPr>
              <w:rPr>
                <w:rFonts w:ascii="黑体" w:eastAsia="黑体" w:hAnsi="黑体"/>
                <w:sz w:val="20"/>
                <w:szCs w:val="20"/>
              </w:rPr>
            </w:pPr>
            <w:r>
              <w:rPr>
                <w:rFonts w:ascii="黑体" w:eastAsia="黑体" w:hAnsi="黑体" w:hint="eastAsia"/>
                <w:sz w:val="20"/>
                <w:szCs w:val="20"/>
              </w:rPr>
              <w:t>字符型，32</w:t>
            </w:r>
          </w:p>
        </w:tc>
        <w:tc>
          <w:tcPr>
            <w:tcW w:w="3685" w:type="dxa"/>
          </w:tcPr>
          <w:p w14:paraId="60C6CA3A" w14:textId="77777777" w:rsidR="00A052DC" w:rsidRDefault="009F0A60">
            <w:pPr>
              <w:rPr>
                <w:rFonts w:ascii="黑体" w:eastAsia="黑体" w:hAnsi="黑体"/>
                <w:sz w:val="20"/>
                <w:szCs w:val="20"/>
              </w:rPr>
            </w:pPr>
            <w:r>
              <w:rPr>
                <w:rFonts w:ascii="黑体" w:eastAsia="黑体" w:hAnsi="黑体" w:hint="eastAsia"/>
                <w:sz w:val="20"/>
                <w:szCs w:val="20"/>
              </w:rPr>
              <w:t>非必填项，如果担保申请人为境外金融机构，应填写8位或11位的SWIFTCODE；如果担保申请人为境内机构，</w:t>
            </w:r>
            <w:r w:rsidR="009D0FD2">
              <w:rPr>
                <w:rFonts w:ascii="黑体" w:eastAsia="黑体" w:hAnsi="黑体" w:hint="eastAsia"/>
                <w:sz w:val="20"/>
                <w:szCs w:val="20"/>
              </w:rPr>
              <w:t>应填写</w:t>
            </w:r>
            <w:r>
              <w:rPr>
                <w:rFonts w:ascii="黑体" w:eastAsia="黑体" w:hAnsi="黑体" w:hint="eastAsia"/>
                <w:sz w:val="20"/>
                <w:szCs w:val="20"/>
              </w:rPr>
              <w:t>统一社会信用代码法定载体（如营业执照）上统一社会信用代码中的第9至17位或国家外汇管理局及其分支局签发的特殊机构代码赋码通知书上的机构代码；如果担保申请人为境内个人，应填写担保申请人个人身份证件号码。如果上述条件均不符合，则可为空。</w:t>
            </w:r>
          </w:p>
        </w:tc>
      </w:tr>
      <w:tr w:rsidR="00A052DC" w14:paraId="452B52D3" w14:textId="77777777">
        <w:tc>
          <w:tcPr>
            <w:tcW w:w="1702" w:type="dxa"/>
          </w:tcPr>
          <w:p w14:paraId="1B000972" w14:textId="77777777" w:rsidR="00A052DC" w:rsidRDefault="009F0A60">
            <w:pPr>
              <w:rPr>
                <w:rFonts w:ascii="黑体" w:eastAsia="黑体" w:hAnsi="黑体"/>
                <w:sz w:val="20"/>
                <w:szCs w:val="20"/>
              </w:rPr>
            </w:pPr>
            <w:r>
              <w:rPr>
                <w:rFonts w:ascii="黑体" w:eastAsia="黑体" w:hAnsi="黑体"/>
                <w:sz w:val="20"/>
                <w:szCs w:val="20"/>
              </w:rPr>
              <w:t>GUAPPNAME</w:t>
            </w:r>
          </w:p>
        </w:tc>
        <w:tc>
          <w:tcPr>
            <w:tcW w:w="1701" w:type="dxa"/>
          </w:tcPr>
          <w:p w14:paraId="6B77263D" w14:textId="77777777" w:rsidR="00A052DC" w:rsidRDefault="009F0A60">
            <w:pPr>
              <w:rPr>
                <w:rFonts w:ascii="黑体" w:eastAsia="黑体" w:hAnsi="黑体"/>
                <w:sz w:val="20"/>
                <w:szCs w:val="20"/>
              </w:rPr>
            </w:pPr>
            <w:r>
              <w:rPr>
                <w:rFonts w:ascii="黑体" w:eastAsia="黑体" w:hAnsi="黑体" w:hint="eastAsia"/>
                <w:sz w:val="20"/>
                <w:szCs w:val="20"/>
              </w:rPr>
              <w:t>担保申请人中文名称</w:t>
            </w:r>
          </w:p>
        </w:tc>
        <w:tc>
          <w:tcPr>
            <w:tcW w:w="1559" w:type="dxa"/>
          </w:tcPr>
          <w:p w14:paraId="5502EB78"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3685" w:type="dxa"/>
          </w:tcPr>
          <w:p w14:paraId="6C10376D" w14:textId="77777777" w:rsidR="00A052DC" w:rsidRDefault="009F0A60">
            <w:pPr>
              <w:rPr>
                <w:rFonts w:ascii="黑体" w:eastAsia="黑体" w:hAnsi="黑体"/>
                <w:sz w:val="20"/>
                <w:szCs w:val="20"/>
              </w:rPr>
            </w:pPr>
            <w:r>
              <w:rPr>
                <w:rFonts w:ascii="黑体" w:eastAsia="黑体" w:hAnsi="黑体" w:hint="eastAsia"/>
                <w:sz w:val="20"/>
                <w:szCs w:val="20"/>
              </w:rPr>
              <w:t>非必填项，同受益人名称填写方式，中英文名称至少填写一个。</w:t>
            </w:r>
          </w:p>
        </w:tc>
      </w:tr>
      <w:tr w:rsidR="00A052DC" w14:paraId="5E2D0C00" w14:textId="77777777">
        <w:tc>
          <w:tcPr>
            <w:tcW w:w="1702" w:type="dxa"/>
          </w:tcPr>
          <w:p w14:paraId="2A1536CE" w14:textId="77777777" w:rsidR="00A052DC" w:rsidRDefault="009F0A60">
            <w:pPr>
              <w:rPr>
                <w:rFonts w:ascii="黑体" w:eastAsia="黑体" w:hAnsi="黑体"/>
                <w:sz w:val="20"/>
                <w:szCs w:val="20"/>
              </w:rPr>
            </w:pPr>
            <w:r>
              <w:rPr>
                <w:rFonts w:ascii="黑体" w:eastAsia="黑体" w:hAnsi="黑体"/>
                <w:sz w:val="20"/>
                <w:szCs w:val="20"/>
              </w:rPr>
              <w:t>GUAPPNAMEN</w:t>
            </w:r>
          </w:p>
        </w:tc>
        <w:tc>
          <w:tcPr>
            <w:tcW w:w="1701" w:type="dxa"/>
          </w:tcPr>
          <w:p w14:paraId="0AE441A0" w14:textId="77777777" w:rsidR="00A052DC" w:rsidRDefault="009F0A60">
            <w:pPr>
              <w:rPr>
                <w:rFonts w:ascii="黑体" w:eastAsia="黑体" w:hAnsi="黑体"/>
                <w:sz w:val="20"/>
                <w:szCs w:val="20"/>
              </w:rPr>
            </w:pPr>
            <w:r>
              <w:rPr>
                <w:rFonts w:ascii="黑体" w:eastAsia="黑体" w:hAnsi="黑体" w:hint="eastAsia"/>
                <w:sz w:val="20"/>
                <w:szCs w:val="20"/>
              </w:rPr>
              <w:t>担保申请人英文名称</w:t>
            </w:r>
          </w:p>
        </w:tc>
        <w:tc>
          <w:tcPr>
            <w:tcW w:w="1559" w:type="dxa"/>
          </w:tcPr>
          <w:p w14:paraId="71B640DB"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3685" w:type="dxa"/>
          </w:tcPr>
          <w:p w14:paraId="77E3186D" w14:textId="77777777" w:rsidR="00A052DC" w:rsidRDefault="009F0A60">
            <w:pPr>
              <w:rPr>
                <w:rFonts w:ascii="黑体" w:eastAsia="黑体" w:hAnsi="黑体"/>
                <w:sz w:val="20"/>
                <w:szCs w:val="20"/>
              </w:rPr>
            </w:pPr>
            <w:r>
              <w:rPr>
                <w:rFonts w:ascii="黑体" w:eastAsia="黑体" w:hAnsi="黑体" w:hint="eastAsia"/>
                <w:sz w:val="20"/>
                <w:szCs w:val="20"/>
              </w:rPr>
              <w:t>非必填项。</w:t>
            </w:r>
          </w:p>
        </w:tc>
      </w:tr>
      <w:tr w:rsidR="00A052DC" w14:paraId="504DFEA9" w14:textId="77777777">
        <w:tc>
          <w:tcPr>
            <w:tcW w:w="1702" w:type="dxa"/>
          </w:tcPr>
          <w:p w14:paraId="01324654" w14:textId="77777777" w:rsidR="00A052DC" w:rsidRDefault="009F0A60">
            <w:pPr>
              <w:rPr>
                <w:rFonts w:ascii="黑体" w:eastAsia="黑体" w:hAnsi="黑体"/>
                <w:sz w:val="20"/>
                <w:szCs w:val="20"/>
              </w:rPr>
            </w:pPr>
            <w:r>
              <w:rPr>
                <w:rFonts w:ascii="黑体" w:eastAsia="黑体" w:hAnsi="黑体" w:hint="eastAsia"/>
                <w:color w:val="000000"/>
                <w:sz w:val="20"/>
                <w:szCs w:val="20"/>
              </w:rPr>
              <w:t>CGYN</w:t>
            </w:r>
          </w:p>
        </w:tc>
        <w:tc>
          <w:tcPr>
            <w:tcW w:w="1701" w:type="dxa"/>
          </w:tcPr>
          <w:p w14:paraId="00C0AE54" w14:textId="77777777" w:rsidR="00A052DC" w:rsidRDefault="009F0A60">
            <w:pPr>
              <w:rPr>
                <w:rFonts w:ascii="黑体" w:eastAsia="黑体" w:hAnsi="黑体"/>
                <w:sz w:val="20"/>
                <w:szCs w:val="20"/>
              </w:rPr>
            </w:pPr>
            <w:r>
              <w:rPr>
                <w:rFonts w:ascii="黑体" w:eastAsia="黑体" w:hAnsi="黑体" w:hint="eastAsia"/>
                <w:color w:val="000000"/>
                <w:sz w:val="20"/>
                <w:szCs w:val="20"/>
              </w:rPr>
              <w:t>是否有反担保人</w:t>
            </w:r>
          </w:p>
        </w:tc>
        <w:tc>
          <w:tcPr>
            <w:tcW w:w="1559" w:type="dxa"/>
          </w:tcPr>
          <w:p w14:paraId="7AEC8DA0" w14:textId="77777777" w:rsidR="00A052DC" w:rsidRDefault="009F0A60">
            <w:pPr>
              <w:rPr>
                <w:rFonts w:ascii="黑体" w:eastAsia="黑体" w:hAnsi="黑体"/>
                <w:sz w:val="20"/>
                <w:szCs w:val="20"/>
              </w:rPr>
            </w:pPr>
            <w:r>
              <w:rPr>
                <w:rFonts w:ascii="黑体" w:eastAsia="黑体" w:hAnsi="黑体" w:hint="eastAsia"/>
                <w:color w:val="000000"/>
                <w:sz w:val="20"/>
                <w:szCs w:val="20"/>
              </w:rPr>
              <w:t>数值型</w:t>
            </w:r>
          </w:p>
        </w:tc>
        <w:tc>
          <w:tcPr>
            <w:tcW w:w="3685" w:type="dxa"/>
          </w:tcPr>
          <w:p w14:paraId="600238E8" w14:textId="77777777" w:rsidR="00A052DC" w:rsidRDefault="009F0A60">
            <w:pPr>
              <w:rPr>
                <w:rFonts w:ascii="黑体" w:eastAsia="黑体" w:hAnsi="黑体"/>
                <w:sz w:val="20"/>
                <w:szCs w:val="20"/>
              </w:rPr>
            </w:pPr>
            <w:r>
              <w:rPr>
                <w:rFonts w:ascii="黑体" w:eastAsia="黑体" w:hAnsi="黑体" w:hint="eastAsia"/>
                <w:color w:val="000000"/>
                <w:sz w:val="20"/>
                <w:szCs w:val="20"/>
              </w:rPr>
              <w:t>必填项，1-是，0-否。</w:t>
            </w:r>
          </w:p>
        </w:tc>
      </w:tr>
      <w:tr w:rsidR="00A052DC" w14:paraId="5BE35F09" w14:textId="77777777">
        <w:tc>
          <w:tcPr>
            <w:tcW w:w="1702" w:type="dxa"/>
          </w:tcPr>
          <w:p w14:paraId="5B2F8630" w14:textId="77777777" w:rsidR="00A052DC" w:rsidRDefault="009F0A60">
            <w:pPr>
              <w:rPr>
                <w:rFonts w:ascii="黑体" w:eastAsia="黑体" w:hAnsi="黑体"/>
                <w:sz w:val="20"/>
                <w:szCs w:val="20"/>
              </w:rPr>
            </w:pPr>
            <w:r>
              <w:rPr>
                <w:rFonts w:ascii="黑体" w:eastAsia="黑体" w:hAnsi="黑体" w:hint="eastAsia"/>
                <w:color w:val="000000"/>
                <w:sz w:val="20"/>
                <w:szCs w:val="20"/>
              </w:rPr>
              <w:t>CGCODE</w:t>
            </w:r>
          </w:p>
        </w:tc>
        <w:tc>
          <w:tcPr>
            <w:tcW w:w="1701" w:type="dxa"/>
          </w:tcPr>
          <w:p w14:paraId="493BD5C0" w14:textId="77777777" w:rsidR="00A052DC" w:rsidRDefault="009F0A60">
            <w:pPr>
              <w:rPr>
                <w:rFonts w:ascii="黑体" w:eastAsia="黑体" w:hAnsi="黑体"/>
                <w:sz w:val="20"/>
                <w:szCs w:val="20"/>
              </w:rPr>
            </w:pPr>
            <w:r>
              <w:rPr>
                <w:rFonts w:ascii="黑体" w:eastAsia="黑体" w:hAnsi="黑体" w:hint="eastAsia"/>
                <w:color w:val="000000"/>
                <w:sz w:val="20"/>
                <w:szCs w:val="20"/>
              </w:rPr>
              <w:t>反担保人代码</w:t>
            </w:r>
          </w:p>
        </w:tc>
        <w:tc>
          <w:tcPr>
            <w:tcW w:w="1559" w:type="dxa"/>
          </w:tcPr>
          <w:p w14:paraId="1783F953" w14:textId="77777777" w:rsidR="00A052DC" w:rsidRDefault="009F0A60">
            <w:pPr>
              <w:rPr>
                <w:rFonts w:ascii="黑体" w:eastAsia="黑体" w:hAnsi="黑体"/>
                <w:sz w:val="20"/>
                <w:szCs w:val="20"/>
              </w:rPr>
            </w:pPr>
            <w:r>
              <w:rPr>
                <w:rFonts w:ascii="黑体" w:eastAsia="黑体" w:hAnsi="黑体" w:hint="eastAsia"/>
                <w:color w:val="000000"/>
                <w:sz w:val="20"/>
                <w:szCs w:val="20"/>
              </w:rPr>
              <w:t>字符型，32</w:t>
            </w:r>
          </w:p>
        </w:tc>
        <w:tc>
          <w:tcPr>
            <w:tcW w:w="3685" w:type="dxa"/>
          </w:tcPr>
          <w:p w14:paraId="3D009F13" w14:textId="77777777" w:rsidR="00A052DC" w:rsidRDefault="009F0A60">
            <w:pPr>
              <w:rPr>
                <w:rFonts w:ascii="黑体" w:eastAsia="黑体" w:hAnsi="黑体"/>
                <w:sz w:val="20"/>
                <w:szCs w:val="20"/>
              </w:rPr>
            </w:pPr>
            <w:r>
              <w:rPr>
                <w:rFonts w:ascii="黑体" w:eastAsia="黑体" w:hAnsi="黑体" w:hint="eastAsia"/>
                <w:color w:val="000000"/>
                <w:sz w:val="20"/>
                <w:szCs w:val="20"/>
              </w:rPr>
              <w:t>如果“是否有反担保人”为“是”，必填项。如果反担保人为境内机构，应填写统一社会信用代码法定载体（如营业执照）上统一社会信用代码中的第9至17位或国家外汇管理局</w:t>
            </w:r>
            <w:r>
              <w:rPr>
                <w:rFonts w:ascii="黑体" w:eastAsia="黑体" w:hAnsi="黑体" w:hint="eastAsia"/>
                <w:sz w:val="20"/>
                <w:szCs w:val="20"/>
              </w:rPr>
              <w:t>及其分支局</w:t>
            </w:r>
            <w:r>
              <w:rPr>
                <w:rFonts w:ascii="黑体" w:eastAsia="黑体" w:hAnsi="黑体" w:hint="eastAsia"/>
                <w:color w:val="000000"/>
                <w:sz w:val="20"/>
                <w:szCs w:val="20"/>
              </w:rPr>
              <w:t>签发的特殊机构代码赋码通知书上的机构代码；如果反担保人为境内个人，应填写被担保人个人身份证件号码；如果反担保人为境内银行，应填写</w:t>
            </w:r>
            <w:r>
              <w:rPr>
                <w:rFonts w:ascii="黑体" w:eastAsia="黑体" w:hAnsi="黑体" w:hint="eastAsia"/>
                <w:sz w:val="20"/>
                <w:szCs w:val="20"/>
              </w:rPr>
              <w:t>国家外汇管理局及其分支局</w:t>
            </w:r>
            <w:r>
              <w:rPr>
                <w:rFonts w:ascii="黑体" w:eastAsia="黑体" w:hAnsi="黑体" w:hint="eastAsia"/>
                <w:color w:val="000000"/>
                <w:sz w:val="20"/>
                <w:szCs w:val="20"/>
              </w:rPr>
              <w:t>签发的12位金融机构标识码；如果反担保人为境外金融机构，应填写8位或11位的SWIFTCODE；如果反担保人是境外非居民机构，应填写国家外汇管理局</w:t>
            </w:r>
            <w:r>
              <w:rPr>
                <w:rFonts w:ascii="黑体" w:eastAsia="黑体" w:hAnsi="黑体" w:hint="eastAsia"/>
                <w:sz w:val="20"/>
                <w:szCs w:val="20"/>
              </w:rPr>
              <w:t>及其分支局</w:t>
            </w:r>
            <w:r>
              <w:rPr>
                <w:rFonts w:ascii="黑体" w:eastAsia="黑体" w:hAnsi="黑体" w:hint="eastAsia"/>
                <w:color w:val="000000"/>
                <w:sz w:val="20"/>
                <w:szCs w:val="20"/>
              </w:rPr>
              <w:t>签发的特殊机构代码赋码通知书上的机构代码；如果反担保人为非居民个人，应填写非居民个人身份证号码。如果上述条件均不符合，填N/A。可填写多个。</w:t>
            </w:r>
          </w:p>
        </w:tc>
      </w:tr>
      <w:tr w:rsidR="00A052DC" w14:paraId="0D852D20" w14:textId="77777777">
        <w:tc>
          <w:tcPr>
            <w:tcW w:w="1702" w:type="dxa"/>
          </w:tcPr>
          <w:p w14:paraId="3CC1D2E2" w14:textId="77777777" w:rsidR="00A052DC" w:rsidRDefault="009F0A60">
            <w:pPr>
              <w:rPr>
                <w:rFonts w:ascii="黑体" w:eastAsia="黑体" w:hAnsi="黑体"/>
                <w:sz w:val="20"/>
                <w:szCs w:val="20"/>
              </w:rPr>
            </w:pPr>
            <w:r>
              <w:rPr>
                <w:rFonts w:ascii="黑体" w:eastAsia="黑体" w:hAnsi="黑体" w:hint="eastAsia"/>
                <w:color w:val="000000"/>
                <w:sz w:val="20"/>
                <w:szCs w:val="20"/>
              </w:rPr>
              <w:t>CGNAME</w:t>
            </w:r>
          </w:p>
        </w:tc>
        <w:tc>
          <w:tcPr>
            <w:tcW w:w="1701" w:type="dxa"/>
          </w:tcPr>
          <w:p w14:paraId="72C3F02E" w14:textId="77777777" w:rsidR="00A052DC" w:rsidRDefault="009F0A60">
            <w:pPr>
              <w:rPr>
                <w:rFonts w:ascii="黑体" w:eastAsia="黑体" w:hAnsi="黑体"/>
                <w:sz w:val="20"/>
                <w:szCs w:val="20"/>
              </w:rPr>
            </w:pPr>
            <w:r>
              <w:rPr>
                <w:rFonts w:ascii="黑体" w:eastAsia="黑体" w:hAnsi="黑体" w:hint="eastAsia"/>
                <w:color w:val="000000"/>
                <w:sz w:val="20"/>
                <w:szCs w:val="20"/>
              </w:rPr>
              <w:t>反担保人中文名称</w:t>
            </w:r>
          </w:p>
        </w:tc>
        <w:tc>
          <w:tcPr>
            <w:tcW w:w="1559" w:type="dxa"/>
          </w:tcPr>
          <w:p w14:paraId="61E20ADF" w14:textId="77777777" w:rsidR="00A052DC" w:rsidRDefault="009F0A60">
            <w:pPr>
              <w:rPr>
                <w:rFonts w:ascii="黑体" w:eastAsia="黑体" w:hAnsi="黑体"/>
                <w:sz w:val="20"/>
                <w:szCs w:val="20"/>
              </w:rPr>
            </w:pPr>
            <w:r>
              <w:rPr>
                <w:rFonts w:ascii="黑体" w:eastAsia="黑体" w:hAnsi="黑体" w:hint="eastAsia"/>
                <w:color w:val="000000"/>
                <w:sz w:val="20"/>
                <w:szCs w:val="20"/>
              </w:rPr>
              <w:t>字符型，128</w:t>
            </w:r>
          </w:p>
        </w:tc>
        <w:tc>
          <w:tcPr>
            <w:tcW w:w="3685" w:type="dxa"/>
          </w:tcPr>
          <w:p w14:paraId="37C7F816" w14:textId="77777777" w:rsidR="00A052DC" w:rsidRDefault="009F0A60">
            <w:pPr>
              <w:rPr>
                <w:rFonts w:ascii="黑体" w:eastAsia="黑体" w:hAnsi="黑体"/>
                <w:color w:val="000000"/>
                <w:sz w:val="20"/>
                <w:szCs w:val="20"/>
              </w:rPr>
            </w:pPr>
            <w:r>
              <w:rPr>
                <w:rFonts w:ascii="黑体" w:eastAsia="黑体" w:hAnsi="黑体" w:hint="eastAsia"/>
                <w:color w:val="000000"/>
                <w:sz w:val="20"/>
                <w:szCs w:val="20"/>
              </w:rPr>
              <w:t>非必填项。</w:t>
            </w:r>
            <w:r>
              <w:rPr>
                <w:rFonts w:ascii="黑体" w:eastAsia="黑体" w:hAnsi="黑体" w:hint="eastAsia"/>
                <w:sz w:val="20"/>
                <w:szCs w:val="20"/>
              </w:rPr>
              <w:t>如果“是否有反担保人”为“是”，</w:t>
            </w:r>
            <w:r>
              <w:rPr>
                <w:rFonts w:ascii="黑体" w:eastAsia="黑体" w:hAnsi="黑体" w:hint="eastAsia"/>
                <w:color w:val="000000"/>
                <w:sz w:val="20"/>
                <w:szCs w:val="20"/>
              </w:rPr>
              <w:t>中文和英文至少填写一个，一般填中文名称。可填写多个，若多个名称，必须与反担保人代码填写顺序一致。</w:t>
            </w:r>
          </w:p>
        </w:tc>
      </w:tr>
      <w:tr w:rsidR="00A052DC" w14:paraId="45D0570F" w14:textId="77777777">
        <w:tc>
          <w:tcPr>
            <w:tcW w:w="1702" w:type="dxa"/>
          </w:tcPr>
          <w:p w14:paraId="4920E2E4" w14:textId="77777777" w:rsidR="00A052DC" w:rsidRDefault="009F0A60">
            <w:pPr>
              <w:rPr>
                <w:rFonts w:ascii="黑体" w:eastAsia="黑体" w:hAnsi="黑体"/>
                <w:sz w:val="20"/>
                <w:szCs w:val="20"/>
              </w:rPr>
            </w:pPr>
            <w:r>
              <w:rPr>
                <w:rFonts w:ascii="黑体" w:eastAsia="黑体" w:hAnsi="黑体" w:hint="eastAsia"/>
                <w:color w:val="000000"/>
                <w:sz w:val="20"/>
                <w:szCs w:val="20"/>
              </w:rPr>
              <w:t>CGNAMEN</w:t>
            </w:r>
          </w:p>
        </w:tc>
        <w:tc>
          <w:tcPr>
            <w:tcW w:w="1701" w:type="dxa"/>
          </w:tcPr>
          <w:p w14:paraId="0DAD1C7F" w14:textId="77777777" w:rsidR="00A052DC" w:rsidRDefault="009F0A60">
            <w:pPr>
              <w:rPr>
                <w:rFonts w:ascii="黑体" w:eastAsia="黑体" w:hAnsi="黑体"/>
                <w:sz w:val="20"/>
                <w:szCs w:val="20"/>
              </w:rPr>
            </w:pPr>
            <w:r>
              <w:rPr>
                <w:rFonts w:ascii="黑体" w:eastAsia="黑体" w:hAnsi="黑体" w:hint="eastAsia"/>
                <w:color w:val="000000"/>
                <w:sz w:val="20"/>
                <w:szCs w:val="20"/>
              </w:rPr>
              <w:t>反担保人英文名称</w:t>
            </w:r>
          </w:p>
        </w:tc>
        <w:tc>
          <w:tcPr>
            <w:tcW w:w="1559" w:type="dxa"/>
          </w:tcPr>
          <w:p w14:paraId="452AFB8B" w14:textId="77777777" w:rsidR="00A052DC" w:rsidRDefault="009F0A60">
            <w:pPr>
              <w:rPr>
                <w:rFonts w:ascii="黑体" w:eastAsia="黑体" w:hAnsi="黑体"/>
                <w:sz w:val="20"/>
                <w:szCs w:val="20"/>
              </w:rPr>
            </w:pPr>
            <w:r>
              <w:rPr>
                <w:rFonts w:ascii="黑体" w:eastAsia="黑体" w:hAnsi="黑体" w:hint="eastAsia"/>
                <w:color w:val="000000"/>
                <w:sz w:val="20"/>
                <w:szCs w:val="20"/>
              </w:rPr>
              <w:t>字符型，128</w:t>
            </w:r>
          </w:p>
        </w:tc>
        <w:tc>
          <w:tcPr>
            <w:tcW w:w="3685" w:type="dxa"/>
          </w:tcPr>
          <w:p w14:paraId="1D00E14F" w14:textId="77777777" w:rsidR="00A052DC" w:rsidRDefault="009F0A60">
            <w:pPr>
              <w:rPr>
                <w:rFonts w:ascii="黑体" w:eastAsia="黑体" w:hAnsi="黑体"/>
                <w:sz w:val="20"/>
                <w:szCs w:val="20"/>
              </w:rPr>
            </w:pPr>
            <w:r>
              <w:rPr>
                <w:rFonts w:ascii="黑体" w:eastAsia="黑体" w:hAnsi="黑体" w:hint="eastAsia"/>
                <w:color w:val="000000"/>
                <w:sz w:val="20"/>
                <w:szCs w:val="20"/>
              </w:rPr>
              <w:t>非必填项。</w:t>
            </w:r>
            <w:r>
              <w:rPr>
                <w:rFonts w:ascii="黑体" w:eastAsia="黑体" w:hAnsi="黑体" w:hint="eastAsia"/>
                <w:sz w:val="20"/>
                <w:szCs w:val="20"/>
              </w:rPr>
              <w:t>如果“是否有反担保人”为“是”，</w:t>
            </w:r>
            <w:r>
              <w:rPr>
                <w:rFonts w:ascii="黑体" w:eastAsia="黑体" w:hAnsi="黑体" w:hint="eastAsia"/>
                <w:color w:val="000000"/>
                <w:sz w:val="20"/>
                <w:szCs w:val="20"/>
              </w:rPr>
              <w:t>中文和英文至少填写一个，一般填写中文名称。可填写多个，若多个名称，必须与反担保人代码填写顺序一致。</w:t>
            </w:r>
          </w:p>
        </w:tc>
      </w:tr>
      <w:tr w:rsidR="00A052DC" w14:paraId="35B84DE8" w14:textId="77777777">
        <w:tc>
          <w:tcPr>
            <w:tcW w:w="1702" w:type="dxa"/>
          </w:tcPr>
          <w:p w14:paraId="64A8BF9A" w14:textId="77777777" w:rsidR="00A052DC" w:rsidRDefault="009F0A60">
            <w:pPr>
              <w:rPr>
                <w:rFonts w:ascii="黑体" w:eastAsia="黑体" w:hAnsi="黑体"/>
                <w:sz w:val="20"/>
                <w:szCs w:val="20"/>
              </w:rPr>
            </w:pPr>
            <w:r>
              <w:rPr>
                <w:rFonts w:ascii="黑体" w:eastAsia="黑体" w:hAnsi="黑体"/>
                <w:color w:val="000000"/>
                <w:sz w:val="20"/>
                <w:szCs w:val="20"/>
              </w:rPr>
              <w:t>CGCOUNCODE</w:t>
            </w:r>
          </w:p>
        </w:tc>
        <w:tc>
          <w:tcPr>
            <w:tcW w:w="1701" w:type="dxa"/>
          </w:tcPr>
          <w:p w14:paraId="38CB5907" w14:textId="77777777" w:rsidR="00A052DC" w:rsidRDefault="009F0A60">
            <w:pPr>
              <w:rPr>
                <w:rFonts w:ascii="黑体" w:eastAsia="黑体" w:hAnsi="黑体"/>
                <w:sz w:val="20"/>
                <w:szCs w:val="20"/>
              </w:rPr>
            </w:pPr>
            <w:r>
              <w:rPr>
                <w:rFonts w:ascii="黑体" w:eastAsia="黑体" w:hAnsi="黑体" w:hint="eastAsia"/>
                <w:color w:val="000000"/>
                <w:sz w:val="20"/>
                <w:szCs w:val="20"/>
              </w:rPr>
              <w:t>反担保人国别/地区</w:t>
            </w:r>
          </w:p>
        </w:tc>
        <w:tc>
          <w:tcPr>
            <w:tcW w:w="1559" w:type="dxa"/>
          </w:tcPr>
          <w:p w14:paraId="6C233277" w14:textId="77777777" w:rsidR="00A052DC" w:rsidRDefault="009F0A60">
            <w:pPr>
              <w:rPr>
                <w:rFonts w:ascii="黑体" w:eastAsia="黑体" w:hAnsi="黑体"/>
                <w:sz w:val="20"/>
                <w:szCs w:val="20"/>
              </w:rPr>
            </w:pPr>
            <w:r>
              <w:rPr>
                <w:rFonts w:ascii="黑体" w:eastAsia="黑体" w:hAnsi="黑体" w:hint="eastAsia"/>
                <w:color w:val="000000"/>
                <w:sz w:val="20"/>
                <w:szCs w:val="20"/>
              </w:rPr>
              <w:t>字符型，3</w:t>
            </w:r>
          </w:p>
        </w:tc>
        <w:tc>
          <w:tcPr>
            <w:tcW w:w="3685" w:type="dxa"/>
          </w:tcPr>
          <w:p w14:paraId="1D53DFAA" w14:textId="77777777" w:rsidR="00A052DC" w:rsidRDefault="009F0A60">
            <w:pPr>
              <w:rPr>
                <w:rFonts w:ascii="黑体" w:eastAsia="黑体" w:hAnsi="黑体"/>
                <w:sz w:val="20"/>
                <w:szCs w:val="20"/>
              </w:rPr>
            </w:pPr>
            <w:r>
              <w:rPr>
                <w:rFonts w:ascii="黑体" w:eastAsia="黑体" w:hAnsi="黑体" w:hint="eastAsia"/>
                <w:color w:val="000000"/>
                <w:sz w:val="20"/>
                <w:szCs w:val="20"/>
              </w:rPr>
              <w:t>必填项，见国家和地区代码表。</w:t>
            </w:r>
          </w:p>
        </w:tc>
      </w:tr>
      <w:tr w:rsidR="00A052DC" w14:paraId="4D8A9564" w14:textId="77777777">
        <w:tc>
          <w:tcPr>
            <w:tcW w:w="1702" w:type="dxa"/>
          </w:tcPr>
          <w:p w14:paraId="7A918C41" w14:textId="77777777" w:rsidR="00A052DC" w:rsidRDefault="009F0A60">
            <w:pPr>
              <w:rPr>
                <w:rFonts w:ascii="黑体" w:eastAsia="黑体" w:hAnsi="黑体"/>
                <w:sz w:val="20"/>
                <w:szCs w:val="20"/>
              </w:rPr>
            </w:pPr>
            <w:r>
              <w:rPr>
                <w:rFonts w:ascii="黑体" w:eastAsia="黑体" w:hAnsi="黑体" w:hint="eastAsia"/>
                <w:color w:val="000000"/>
                <w:sz w:val="20"/>
                <w:szCs w:val="20"/>
              </w:rPr>
              <w:t>THYN</w:t>
            </w:r>
          </w:p>
        </w:tc>
        <w:tc>
          <w:tcPr>
            <w:tcW w:w="1701" w:type="dxa"/>
          </w:tcPr>
          <w:p w14:paraId="3CBE84B0" w14:textId="77777777" w:rsidR="00A052DC" w:rsidRDefault="009F0A60">
            <w:pPr>
              <w:rPr>
                <w:rFonts w:ascii="黑体" w:eastAsia="黑体" w:hAnsi="黑体"/>
                <w:sz w:val="20"/>
                <w:szCs w:val="20"/>
              </w:rPr>
            </w:pPr>
            <w:r>
              <w:rPr>
                <w:rFonts w:ascii="黑体" w:eastAsia="黑体" w:hAnsi="黑体" w:hint="eastAsia"/>
                <w:color w:val="000000"/>
                <w:sz w:val="20"/>
                <w:szCs w:val="20"/>
              </w:rPr>
              <w:t>是否调回境内</w:t>
            </w:r>
          </w:p>
        </w:tc>
        <w:tc>
          <w:tcPr>
            <w:tcW w:w="1559" w:type="dxa"/>
          </w:tcPr>
          <w:p w14:paraId="73F51D24" w14:textId="77777777" w:rsidR="00A052DC" w:rsidRDefault="009F0A60">
            <w:pPr>
              <w:rPr>
                <w:rFonts w:ascii="黑体" w:eastAsia="黑体" w:hAnsi="黑体"/>
                <w:sz w:val="20"/>
                <w:szCs w:val="20"/>
              </w:rPr>
            </w:pPr>
            <w:r>
              <w:rPr>
                <w:rFonts w:ascii="黑体" w:eastAsia="黑体" w:hAnsi="黑体" w:hint="eastAsia"/>
                <w:color w:val="000000"/>
                <w:sz w:val="20"/>
                <w:szCs w:val="20"/>
              </w:rPr>
              <w:t>数值型</w:t>
            </w:r>
          </w:p>
        </w:tc>
        <w:tc>
          <w:tcPr>
            <w:tcW w:w="3685" w:type="dxa"/>
          </w:tcPr>
          <w:p w14:paraId="1D6BD9AD" w14:textId="77777777" w:rsidR="00A052DC" w:rsidRDefault="009F0A60">
            <w:pPr>
              <w:rPr>
                <w:rFonts w:ascii="黑体" w:eastAsia="黑体" w:hAnsi="黑体"/>
                <w:sz w:val="20"/>
                <w:szCs w:val="20"/>
              </w:rPr>
            </w:pPr>
            <w:r>
              <w:rPr>
                <w:rFonts w:ascii="黑体" w:eastAsia="黑体" w:hAnsi="黑体" w:hint="eastAsia"/>
                <w:color w:val="000000"/>
                <w:sz w:val="20"/>
                <w:szCs w:val="20"/>
              </w:rPr>
              <w:t>必填项，1-是，0-否。</w:t>
            </w:r>
          </w:p>
        </w:tc>
      </w:tr>
      <w:tr w:rsidR="00A052DC" w14:paraId="311562CD" w14:textId="77777777">
        <w:tc>
          <w:tcPr>
            <w:tcW w:w="1702" w:type="dxa"/>
          </w:tcPr>
          <w:p w14:paraId="58920B79" w14:textId="77777777" w:rsidR="00A052DC" w:rsidRDefault="009F0A60">
            <w:pPr>
              <w:rPr>
                <w:rFonts w:ascii="黑体" w:eastAsia="黑体" w:hAnsi="黑体"/>
                <w:sz w:val="20"/>
                <w:szCs w:val="20"/>
              </w:rPr>
            </w:pPr>
            <w:r>
              <w:rPr>
                <w:rFonts w:ascii="黑体" w:eastAsia="黑体" w:hAnsi="黑体" w:hint="eastAsia"/>
                <w:color w:val="000000"/>
                <w:sz w:val="20"/>
                <w:szCs w:val="20"/>
              </w:rPr>
              <w:t>THJE</w:t>
            </w:r>
          </w:p>
        </w:tc>
        <w:tc>
          <w:tcPr>
            <w:tcW w:w="1701" w:type="dxa"/>
          </w:tcPr>
          <w:p w14:paraId="75CEFB3E" w14:textId="77777777" w:rsidR="00A052DC" w:rsidRDefault="009F0A60">
            <w:pPr>
              <w:rPr>
                <w:rFonts w:ascii="黑体" w:eastAsia="黑体" w:hAnsi="黑体"/>
                <w:sz w:val="20"/>
                <w:szCs w:val="20"/>
              </w:rPr>
            </w:pPr>
            <w:r>
              <w:rPr>
                <w:rFonts w:ascii="黑体" w:eastAsia="黑体" w:hAnsi="黑体" w:hint="eastAsia"/>
                <w:color w:val="000000"/>
                <w:sz w:val="20"/>
                <w:szCs w:val="20"/>
              </w:rPr>
              <w:t>资金调回金额</w:t>
            </w:r>
          </w:p>
        </w:tc>
        <w:tc>
          <w:tcPr>
            <w:tcW w:w="1559" w:type="dxa"/>
          </w:tcPr>
          <w:p w14:paraId="20897502" w14:textId="77777777" w:rsidR="00A052DC" w:rsidRDefault="009F0A60">
            <w:pPr>
              <w:rPr>
                <w:rFonts w:ascii="黑体" w:eastAsia="黑体" w:hAnsi="黑体"/>
                <w:sz w:val="20"/>
                <w:szCs w:val="20"/>
              </w:rPr>
            </w:pPr>
            <w:r>
              <w:rPr>
                <w:rFonts w:ascii="黑体" w:eastAsia="黑体" w:hAnsi="黑体" w:hint="eastAsia"/>
                <w:color w:val="000000"/>
                <w:sz w:val="20"/>
                <w:szCs w:val="20"/>
              </w:rPr>
              <w:t>数值型，22.2</w:t>
            </w:r>
          </w:p>
        </w:tc>
        <w:tc>
          <w:tcPr>
            <w:tcW w:w="3685" w:type="dxa"/>
          </w:tcPr>
          <w:p w14:paraId="545A8E64" w14:textId="77777777" w:rsidR="00563761" w:rsidRDefault="009F0A60">
            <w:pPr>
              <w:rPr>
                <w:rFonts w:ascii="黑体" w:eastAsia="黑体" w:hAnsi="黑体"/>
                <w:sz w:val="20"/>
                <w:szCs w:val="20"/>
              </w:rPr>
            </w:pPr>
            <w:r>
              <w:rPr>
                <w:rFonts w:ascii="黑体" w:eastAsia="黑体" w:hAnsi="黑体" w:hint="eastAsia"/>
                <w:color w:val="000000"/>
                <w:sz w:val="20"/>
                <w:szCs w:val="20"/>
              </w:rPr>
              <w:t>当是否调回境内选择“是”时</w:t>
            </w:r>
            <w:r w:rsidR="00860413">
              <w:rPr>
                <w:rFonts w:ascii="黑体" w:eastAsia="黑体" w:hAnsi="黑体" w:hint="eastAsia"/>
                <w:color w:val="000000"/>
                <w:sz w:val="20"/>
                <w:szCs w:val="20"/>
              </w:rPr>
              <w:t>为</w:t>
            </w:r>
            <w:r>
              <w:rPr>
                <w:rFonts w:ascii="黑体" w:eastAsia="黑体" w:hAnsi="黑体" w:hint="eastAsia"/>
                <w:color w:val="000000"/>
                <w:sz w:val="20"/>
                <w:szCs w:val="20"/>
              </w:rPr>
              <w:t>必填项，大于等于0。</w:t>
            </w:r>
          </w:p>
        </w:tc>
      </w:tr>
      <w:tr w:rsidR="00A052DC" w14:paraId="1FEC0183" w14:textId="77777777">
        <w:tc>
          <w:tcPr>
            <w:tcW w:w="1702" w:type="dxa"/>
          </w:tcPr>
          <w:p w14:paraId="1C7C2F76" w14:textId="77777777" w:rsidR="00A052DC" w:rsidRDefault="009F0A60">
            <w:pPr>
              <w:rPr>
                <w:rFonts w:ascii="黑体" w:eastAsia="黑体" w:hAnsi="黑体"/>
                <w:sz w:val="20"/>
                <w:szCs w:val="20"/>
              </w:rPr>
            </w:pPr>
            <w:r>
              <w:rPr>
                <w:rFonts w:ascii="黑体" w:eastAsia="黑体" w:hAnsi="黑体" w:hint="eastAsia"/>
                <w:color w:val="000000"/>
                <w:sz w:val="20"/>
                <w:szCs w:val="20"/>
              </w:rPr>
              <w:t>JWYN</w:t>
            </w:r>
          </w:p>
        </w:tc>
        <w:tc>
          <w:tcPr>
            <w:tcW w:w="1701" w:type="dxa"/>
          </w:tcPr>
          <w:p w14:paraId="6335854D" w14:textId="77777777" w:rsidR="00A052DC" w:rsidRDefault="009F0A60">
            <w:pPr>
              <w:rPr>
                <w:rFonts w:ascii="黑体" w:eastAsia="黑体" w:hAnsi="黑体"/>
                <w:sz w:val="20"/>
                <w:szCs w:val="20"/>
              </w:rPr>
            </w:pPr>
            <w:r>
              <w:rPr>
                <w:rFonts w:ascii="黑体" w:eastAsia="黑体" w:hAnsi="黑体" w:hint="eastAsia"/>
                <w:color w:val="000000"/>
                <w:sz w:val="20"/>
                <w:szCs w:val="20"/>
              </w:rPr>
              <w:t>是否与境外投资相关</w:t>
            </w:r>
          </w:p>
        </w:tc>
        <w:tc>
          <w:tcPr>
            <w:tcW w:w="1559" w:type="dxa"/>
          </w:tcPr>
          <w:p w14:paraId="1747C719" w14:textId="77777777" w:rsidR="00A052DC" w:rsidRDefault="009F0A60">
            <w:pPr>
              <w:rPr>
                <w:rFonts w:ascii="黑体" w:eastAsia="黑体" w:hAnsi="黑体"/>
                <w:sz w:val="20"/>
                <w:szCs w:val="20"/>
              </w:rPr>
            </w:pPr>
            <w:r>
              <w:rPr>
                <w:rFonts w:ascii="黑体" w:eastAsia="黑体" w:hAnsi="黑体" w:hint="eastAsia"/>
                <w:color w:val="000000"/>
                <w:sz w:val="20"/>
                <w:szCs w:val="20"/>
              </w:rPr>
              <w:t>数值型</w:t>
            </w:r>
          </w:p>
        </w:tc>
        <w:tc>
          <w:tcPr>
            <w:tcW w:w="3685" w:type="dxa"/>
          </w:tcPr>
          <w:p w14:paraId="37ADC1AE" w14:textId="77777777" w:rsidR="00A052DC" w:rsidRDefault="009F0A60">
            <w:pPr>
              <w:rPr>
                <w:rFonts w:ascii="黑体" w:eastAsia="黑体" w:hAnsi="黑体"/>
                <w:sz w:val="20"/>
                <w:szCs w:val="20"/>
              </w:rPr>
            </w:pPr>
            <w:r>
              <w:rPr>
                <w:rFonts w:ascii="黑体" w:eastAsia="黑体" w:hAnsi="黑体" w:hint="eastAsia"/>
                <w:color w:val="000000"/>
                <w:sz w:val="20"/>
                <w:szCs w:val="20"/>
              </w:rPr>
              <w:t>必填项，1-是，0-否。</w:t>
            </w:r>
          </w:p>
        </w:tc>
      </w:tr>
      <w:tr w:rsidR="00A052DC" w14:paraId="268F03B5" w14:textId="77777777">
        <w:tc>
          <w:tcPr>
            <w:tcW w:w="1702" w:type="dxa"/>
            <w:tcBorders>
              <w:top w:val="single" w:sz="4" w:space="0" w:color="auto"/>
              <w:left w:val="single" w:sz="4" w:space="0" w:color="auto"/>
              <w:bottom w:val="single" w:sz="4" w:space="0" w:color="auto"/>
              <w:right w:val="single" w:sz="4" w:space="0" w:color="auto"/>
            </w:tcBorders>
          </w:tcPr>
          <w:p w14:paraId="3C02B523" w14:textId="77777777" w:rsidR="00A052DC" w:rsidRDefault="009F0A60">
            <w:pPr>
              <w:rPr>
                <w:rFonts w:ascii="黑体" w:eastAsia="黑体" w:hAnsi="黑体"/>
                <w:sz w:val="20"/>
                <w:szCs w:val="20"/>
              </w:rPr>
            </w:pPr>
            <w:r>
              <w:rPr>
                <w:rFonts w:ascii="黑体" w:eastAsia="黑体" w:hAnsi="黑体"/>
                <w:sz w:val="20"/>
                <w:szCs w:val="20"/>
              </w:rPr>
              <w:t>REMARK</w:t>
            </w:r>
          </w:p>
        </w:tc>
        <w:tc>
          <w:tcPr>
            <w:tcW w:w="1701" w:type="dxa"/>
            <w:tcBorders>
              <w:top w:val="single" w:sz="4" w:space="0" w:color="auto"/>
              <w:left w:val="single" w:sz="4" w:space="0" w:color="auto"/>
              <w:bottom w:val="single" w:sz="4" w:space="0" w:color="auto"/>
              <w:right w:val="single" w:sz="4" w:space="0" w:color="auto"/>
            </w:tcBorders>
          </w:tcPr>
          <w:p w14:paraId="4EEBE28B" w14:textId="77777777" w:rsidR="00A052DC" w:rsidRDefault="009F0A60">
            <w:pPr>
              <w:rPr>
                <w:rFonts w:ascii="黑体" w:eastAsia="黑体" w:hAnsi="黑体"/>
                <w:sz w:val="20"/>
                <w:szCs w:val="20"/>
              </w:rPr>
            </w:pPr>
            <w:r>
              <w:rPr>
                <w:rFonts w:ascii="黑体" w:eastAsia="黑体" w:hAnsi="黑体" w:hint="eastAsia"/>
                <w:sz w:val="20"/>
                <w:szCs w:val="20"/>
              </w:rPr>
              <w:t>备注</w:t>
            </w:r>
          </w:p>
        </w:tc>
        <w:tc>
          <w:tcPr>
            <w:tcW w:w="1559" w:type="dxa"/>
            <w:tcBorders>
              <w:top w:val="single" w:sz="4" w:space="0" w:color="auto"/>
              <w:left w:val="single" w:sz="4" w:space="0" w:color="auto"/>
              <w:bottom w:val="single" w:sz="4" w:space="0" w:color="auto"/>
              <w:right w:val="single" w:sz="4" w:space="0" w:color="auto"/>
            </w:tcBorders>
          </w:tcPr>
          <w:p w14:paraId="4A5EDEBD" w14:textId="77777777" w:rsidR="00A052DC" w:rsidRDefault="009F0A60">
            <w:pPr>
              <w:rPr>
                <w:rFonts w:ascii="黑体" w:eastAsia="黑体" w:hAnsi="黑体"/>
                <w:sz w:val="20"/>
                <w:szCs w:val="20"/>
              </w:rPr>
            </w:pPr>
            <w:r>
              <w:rPr>
                <w:rFonts w:ascii="黑体" w:eastAsia="黑体" w:hAnsi="黑体" w:hint="eastAsia"/>
                <w:sz w:val="20"/>
                <w:szCs w:val="20"/>
              </w:rPr>
              <w:t>字符型，256</w:t>
            </w:r>
          </w:p>
        </w:tc>
        <w:tc>
          <w:tcPr>
            <w:tcW w:w="3685" w:type="dxa"/>
            <w:tcBorders>
              <w:top w:val="single" w:sz="4" w:space="0" w:color="auto"/>
              <w:left w:val="single" w:sz="4" w:space="0" w:color="auto"/>
              <w:bottom w:val="single" w:sz="4" w:space="0" w:color="auto"/>
              <w:right w:val="single" w:sz="4" w:space="0" w:color="auto"/>
            </w:tcBorders>
          </w:tcPr>
          <w:p w14:paraId="3493D63F" w14:textId="77777777" w:rsidR="00A052DC" w:rsidRDefault="009F0A60">
            <w:pPr>
              <w:rPr>
                <w:rFonts w:ascii="黑体" w:eastAsia="黑体" w:hAnsi="黑体"/>
                <w:sz w:val="20"/>
                <w:szCs w:val="20"/>
              </w:rPr>
            </w:pPr>
            <w:r>
              <w:rPr>
                <w:rFonts w:ascii="黑体" w:eastAsia="黑体" w:hAnsi="黑体" w:hint="eastAsia"/>
                <w:sz w:val="20"/>
                <w:szCs w:val="20"/>
              </w:rPr>
              <w:t>非必填项。</w:t>
            </w:r>
          </w:p>
        </w:tc>
      </w:tr>
    </w:tbl>
    <w:p w14:paraId="578E01E8" w14:textId="77777777" w:rsidR="00A052DC" w:rsidRDefault="00A052DC"/>
    <w:p w14:paraId="7DEC023C" w14:textId="77777777" w:rsidR="00A052DC" w:rsidRDefault="009F0A60" w:rsidP="0020251D">
      <w:pPr>
        <w:pStyle w:val="4"/>
        <w:numPr>
          <w:ilvl w:val="3"/>
          <w:numId w:val="1"/>
        </w:numPr>
        <w:jc w:val="left"/>
      </w:pPr>
      <w:bookmarkStart w:id="1615" w:name="_Toc328635510"/>
      <w:bookmarkStart w:id="1616" w:name="_Toc454386950"/>
      <w:r>
        <w:rPr>
          <w:rFonts w:hint="eastAsia"/>
        </w:rPr>
        <w:t>责任余额信息</w:t>
      </w:r>
      <w:bookmarkEnd w:id="1615"/>
      <w:bookmarkEnd w:id="1616"/>
    </w:p>
    <w:p w14:paraId="621EB9A5" w14:textId="77777777" w:rsidR="00A052DC" w:rsidRDefault="009F0A60" w:rsidP="0020251D">
      <w:pPr>
        <w:pStyle w:val="5"/>
        <w:numPr>
          <w:ilvl w:val="4"/>
          <w:numId w:val="1"/>
        </w:numPr>
        <w:spacing w:before="120" w:after="120" w:line="360" w:lineRule="auto"/>
        <w:jc w:val="left"/>
      </w:pPr>
      <w:bookmarkStart w:id="1617" w:name="_Toc454386951"/>
      <w:bookmarkStart w:id="1618" w:name="_Toc328635511"/>
      <w:r>
        <w:rPr>
          <w:rFonts w:hint="eastAsia"/>
        </w:rPr>
        <w:t>数据术语解释</w:t>
      </w:r>
      <w:bookmarkEnd w:id="1617"/>
      <w:bookmarkEnd w:id="1618"/>
    </w:p>
    <w:tbl>
      <w:tblPr>
        <w:tblW w:w="84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26"/>
        <w:gridCol w:w="6946"/>
      </w:tblGrid>
      <w:tr w:rsidR="00A052DC" w14:paraId="1F5C21F4" w14:textId="77777777">
        <w:tc>
          <w:tcPr>
            <w:tcW w:w="1526" w:type="dxa"/>
          </w:tcPr>
          <w:p w14:paraId="4FC4E6E7" w14:textId="77777777" w:rsidR="00A052DC" w:rsidRDefault="009F0A60">
            <w:pPr>
              <w:jc w:val="center"/>
              <w:rPr>
                <w:rFonts w:ascii="黑体" w:eastAsia="黑体" w:hAnsi="黑体"/>
                <w:b/>
                <w:sz w:val="20"/>
                <w:szCs w:val="20"/>
              </w:rPr>
            </w:pPr>
            <w:r>
              <w:rPr>
                <w:rFonts w:ascii="黑体" w:eastAsia="黑体" w:hAnsi="黑体" w:hint="eastAsia"/>
                <w:b/>
                <w:sz w:val="20"/>
                <w:szCs w:val="20"/>
              </w:rPr>
              <w:t>基础数据项</w:t>
            </w:r>
          </w:p>
        </w:tc>
        <w:tc>
          <w:tcPr>
            <w:tcW w:w="6946" w:type="dxa"/>
          </w:tcPr>
          <w:p w14:paraId="4FDAFE57" w14:textId="77777777" w:rsidR="00A052DC" w:rsidRDefault="009F0A60">
            <w:pPr>
              <w:jc w:val="center"/>
              <w:rPr>
                <w:rFonts w:ascii="黑体" w:eastAsia="黑体" w:hAnsi="黑体"/>
                <w:b/>
                <w:sz w:val="20"/>
                <w:szCs w:val="20"/>
              </w:rPr>
            </w:pPr>
            <w:r>
              <w:rPr>
                <w:rFonts w:ascii="黑体" w:eastAsia="黑体" w:hAnsi="黑体" w:hint="eastAsia"/>
                <w:b/>
                <w:sz w:val="20"/>
                <w:szCs w:val="20"/>
              </w:rPr>
              <w:t>定义</w:t>
            </w:r>
          </w:p>
        </w:tc>
      </w:tr>
      <w:tr w:rsidR="00A052DC" w14:paraId="2A81C68D" w14:textId="77777777">
        <w:trPr>
          <w:cantSplit/>
          <w:trHeight w:val="299"/>
        </w:trPr>
        <w:tc>
          <w:tcPr>
            <w:tcW w:w="1526" w:type="dxa"/>
          </w:tcPr>
          <w:p w14:paraId="2C8F5905" w14:textId="77777777" w:rsidR="00A052DC" w:rsidRDefault="009F0A60">
            <w:pPr>
              <w:rPr>
                <w:rFonts w:ascii="黑体" w:eastAsia="黑体" w:hAnsi="黑体"/>
                <w:sz w:val="20"/>
                <w:szCs w:val="20"/>
              </w:rPr>
            </w:pPr>
            <w:r>
              <w:rPr>
                <w:rFonts w:ascii="黑体" w:eastAsia="黑体" w:hAnsi="黑体" w:hint="eastAsia"/>
                <w:sz w:val="20"/>
                <w:szCs w:val="20"/>
              </w:rPr>
              <w:t>对外担保编号</w:t>
            </w:r>
          </w:p>
        </w:tc>
        <w:tc>
          <w:tcPr>
            <w:tcW w:w="6946" w:type="dxa"/>
          </w:tcPr>
          <w:p w14:paraId="1256E452" w14:textId="77777777" w:rsidR="00A052DC" w:rsidRDefault="009F0A60">
            <w:pPr>
              <w:rPr>
                <w:rFonts w:ascii="黑体" w:eastAsia="黑体" w:hAnsi="黑体"/>
                <w:sz w:val="20"/>
                <w:szCs w:val="20"/>
              </w:rPr>
            </w:pPr>
            <w:r>
              <w:rPr>
                <w:rFonts w:ascii="黑体" w:eastAsia="黑体" w:hAnsi="黑体" w:hint="eastAsia"/>
                <w:sz w:val="20"/>
                <w:szCs w:val="20"/>
              </w:rPr>
              <w:t>该笔责任余额信息对应的对外担保编号。责任余额信息不产生新的对外担保编号，责任余额信息中的对外担保编号必须为签约信息中已经报送的对外担保编号。</w:t>
            </w:r>
          </w:p>
        </w:tc>
      </w:tr>
      <w:tr w:rsidR="00A052DC" w14:paraId="699EA4EE" w14:textId="77777777">
        <w:trPr>
          <w:cantSplit/>
        </w:trPr>
        <w:tc>
          <w:tcPr>
            <w:tcW w:w="1526" w:type="dxa"/>
          </w:tcPr>
          <w:p w14:paraId="4FAAE1DE" w14:textId="77777777" w:rsidR="00A052DC" w:rsidRDefault="009F0A60">
            <w:pPr>
              <w:rPr>
                <w:rFonts w:ascii="黑体" w:eastAsia="黑体" w:hAnsi="黑体"/>
                <w:sz w:val="20"/>
                <w:szCs w:val="20"/>
              </w:rPr>
            </w:pPr>
            <w:r>
              <w:rPr>
                <w:rFonts w:ascii="黑体" w:eastAsia="黑体" w:hAnsi="黑体" w:hint="eastAsia"/>
                <w:sz w:val="20"/>
                <w:szCs w:val="20"/>
              </w:rPr>
              <w:t>担保责任余额变动日期</w:t>
            </w:r>
          </w:p>
        </w:tc>
        <w:tc>
          <w:tcPr>
            <w:tcW w:w="6946" w:type="dxa"/>
          </w:tcPr>
          <w:p w14:paraId="69A7E8E6" w14:textId="77777777" w:rsidR="00A052DC" w:rsidRDefault="009F0A60">
            <w:pPr>
              <w:rPr>
                <w:rFonts w:ascii="黑体" w:eastAsia="黑体" w:hAnsi="黑体"/>
                <w:sz w:val="20"/>
                <w:szCs w:val="20"/>
              </w:rPr>
            </w:pPr>
            <w:r>
              <w:rPr>
                <w:rFonts w:ascii="黑体" w:eastAsia="黑体" w:hAnsi="黑体" w:hint="eastAsia"/>
                <w:sz w:val="20"/>
                <w:szCs w:val="20"/>
              </w:rPr>
              <w:t>担保责任余额实际变动日期。</w:t>
            </w:r>
          </w:p>
        </w:tc>
      </w:tr>
      <w:tr w:rsidR="00A052DC" w14:paraId="744461CC" w14:textId="77777777">
        <w:trPr>
          <w:cantSplit/>
        </w:trPr>
        <w:tc>
          <w:tcPr>
            <w:tcW w:w="1526" w:type="dxa"/>
          </w:tcPr>
          <w:p w14:paraId="062A3573" w14:textId="77777777" w:rsidR="00A052DC" w:rsidRDefault="009F0A60">
            <w:pPr>
              <w:rPr>
                <w:rFonts w:ascii="黑体" w:eastAsia="黑体" w:hAnsi="黑体"/>
                <w:sz w:val="20"/>
                <w:szCs w:val="20"/>
              </w:rPr>
            </w:pPr>
            <w:r>
              <w:rPr>
                <w:rFonts w:ascii="黑体" w:eastAsia="黑体" w:hAnsi="黑体" w:hint="eastAsia"/>
                <w:sz w:val="20"/>
                <w:szCs w:val="20"/>
              </w:rPr>
              <w:t>担保责任余额</w:t>
            </w:r>
          </w:p>
        </w:tc>
        <w:tc>
          <w:tcPr>
            <w:tcW w:w="6946" w:type="dxa"/>
          </w:tcPr>
          <w:p w14:paraId="1C514157" w14:textId="77777777" w:rsidR="00A052DC" w:rsidRDefault="009F0A60">
            <w:pPr>
              <w:rPr>
                <w:rFonts w:ascii="黑体" w:eastAsia="黑体" w:hAnsi="黑体"/>
                <w:sz w:val="20"/>
                <w:szCs w:val="20"/>
              </w:rPr>
            </w:pPr>
            <w:r>
              <w:rPr>
                <w:rFonts w:ascii="黑体" w:eastAsia="黑体" w:hAnsi="黑体" w:hint="eastAsia"/>
                <w:sz w:val="20"/>
                <w:szCs w:val="20"/>
              </w:rPr>
              <w:t>因主债务金额变动、担保终止、本金履约等原因，导致担保责任金额变动后的担保责任余额。</w:t>
            </w:r>
          </w:p>
        </w:tc>
      </w:tr>
      <w:tr w:rsidR="00A052DC" w14:paraId="10E98AD8" w14:textId="77777777">
        <w:trPr>
          <w:cantSplit/>
        </w:trPr>
        <w:tc>
          <w:tcPr>
            <w:tcW w:w="1526" w:type="dxa"/>
            <w:tcBorders>
              <w:top w:val="single" w:sz="6" w:space="0" w:color="auto"/>
              <w:left w:val="single" w:sz="6" w:space="0" w:color="auto"/>
              <w:bottom w:val="single" w:sz="6" w:space="0" w:color="auto"/>
              <w:right w:val="single" w:sz="6" w:space="0" w:color="auto"/>
            </w:tcBorders>
          </w:tcPr>
          <w:p w14:paraId="7E68BBFA" w14:textId="77777777" w:rsidR="00A052DC" w:rsidRDefault="009F0A60">
            <w:pPr>
              <w:rPr>
                <w:rFonts w:ascii="黑体" w:eastAsia="黑体" w:hAnsi="黑体"/>
                <w:sz w:val="20"/>
                <w:szCs w:val="20"/>
              </w:rPr>
            </w:pPr>
            <w:r>
              <w:rPr>
                <w:rFonts w:ascii="黑体" w:eastAsia="黑体" w:hAnsi="黑体" w:hint="eastAsia"/>
                <w:sz w:val="20"/>
                <w:szCs w:val="20"/>
              </w:rPr>
              <w:t>备注</w:t>
            </w:r>
          </w:p>
        </w:tc>
        <w:tc>
          <w:tcPr>
            <w:tcW w:w="6946" w:type="dxa"/>
            <w:tcBorders>
              <w:top w:val="single" w:sz="6" w:space="0" w:color="auto"/>
              <w:left w:val="single" w:sz="6" w:space="0" w:color="auto"/>
              <w:bottom w:val="single" w:sz="6" w:space="0" w:color="auto"/>
              <w:right w:val="single" w:sz="6" w:space="0" w:color="auto"/>
            </w:tcBorders>
          </w:tcPr>
          <w:p w14:paraId="1300632E" w14:textId="77777777" w:rsidR="00A052DC" w:rsidRDefault="009F0A60">
            <w:pPr>
              <w:rPr>
                <w:rFonts w:ascii="黑体" w:eastAsia="黑体" w:hAnsi="黑体"/>
                <w:sz w:val="20"/>
                <w:szCs w:val="20"/>
              </w:rPr>
            </w:pPr>
            <w:r>
              <w:rPr>
                <w:rFonts w:ascii="黑体" w:eastAsia="黑体" w:hAnsi="黑体" w:hint="eastAsia"/>
                <w:sz w:val="20"/>
                <w:szCs w:val="20"/>
              </w:rPr>
              <w:t>需要说明的备注事项。</w:t>
            </w:r>
          </w:p>
        </w:tc>
      </w:tr>
    </w:tbl>
    <w:p w14:paraId="6A803D9C" w14:textId="77777777" w:rsidR="00A052DC" w:rsidRDefault="009F0A60">
      <w:pPr>
        <w:pStyle w:val="5"/>
        <w:numPr>
          <w:ilvl w:val="4"/>
          <w:numId w:val="1"/>
        </w:numPr>
        <w:spacing w:before="120" w:after="120" w:line="360" w:lineRule="auto"/>
        <w:jc w:val="left"/>
      </w:pPr>
      <w:bookmarkStart w:id="1619" w:name="_Toc454386952"/>
      <w:bookmarkStart w:id="1620" w:name="_Toc328635512"/>
      <w:r>
        <w:rPr>
          <w:rFonts w:hint="eastAsia"/>
        </w:rPr>
        <w:t>数据格式</w:t>
      </w:r>
      <w:bookmarkEnd w:id="1619"/>
      <w:bookmarkEnd w:id="1620"/>
    </w:p>
    <w:p w14:paraId="54C86BE7" w14:textId="77777777" w:rsidR="00A052DC" w:rsidRDefault="009F0A60">
      <w:r>
        <w:t>&lt;REC&gt;</w:t>
      </w:r>
    </w:p>
    <w:p w14:paraId="27E05BC7" w14:textId="77777777" w:rsidR="00A052DC" w:rsidRDefault="009F0A60">
      <w:r>
        <w:t>&lt;ACTIONTYPE&gt;</w:t>
      </w:r>
      <w:r>
        <w:rPr>
          <w:rFonts w:hint="eastAsia"/>
        </w:rPr>
        <w:t>操作类型</w:t>
      </w:r>
      <w:r>
        <w:t>&lt;/ACTIONTYPE&gt;</w:t>
      </w:r>
    </w:p>
    <w:p w14:paraId="652DB97B" w14:textId="77777777" w:rsidR="00A052DC" w:rsidRDefault="009F0A60">
      <w:r>
        <w:t>&lt;ACTIONDESC&gt;</w:t>
      </w:r>
      <w:r>
        <w:rPr>
          <w:rFonts w:hint="eastAsia"/>
        </w:rPr>
        <w:t>删除原因</w:t>
      </w:r>
      <w:r>
        <w:t>&lt;/ACTIONDESC&gt;</w:t>
      </w:r>
    </w:p>
    <w:p w14:paraId="26319BDF" w14:textId="77777777" w:rsidR="00A052DC" w:rsidRDefault="009F0A60">
      <w:r>
        <w:t>&lt;EXGUARANCODE&gt;</w:t>
      </w:r>
      <w:r>
        <w:rPr>
          <w:rFonts w:hint="eastAsia"/>
        </w:rPr>
        <w:t>对外担保编号</w:t>
      </w:r>
      <w:r>
        <w:t>&lt;/EXGUARANCODE&gt;</w:t>
      </w:r>
    </w:p>
    <w:p w14:paraId="58357AF9" w14:textId="77777777" w:rsidR="00A052DC" w:rsidRDefault="009F0A60">
      <w:r>
        <w:t>&lt;WABACHANDATE&gt;</w:t>
      </w:r>
      <w:r>
        <w:rPr>
          <w:rFonts w:hint="eastAsia"/>
        </w:rPr>
        <w:t>担保责任余额变动日期</w:t>
      </w:r>
      <w:r>
        <w:t>&lt;/WABACHANDATE&gt;</w:t>
      </w:r>
    </w:p>
    <w:p w14:paraId="16BB8ECE" w14:textId="77777777" w:rsidR="00A052DC" w:rsidRDefault="009F0A60">
      <w:r>
        <w:t>&lt;BASERE&gt;</w:t>
      </w:r>
      <w:r>
        <w:rPr>
          <w:rFonts w:hint="eastAsia"/>
        </w:rPr>
        <w:t>担保责任余额</w:t>
      </w:r>
      <w:r>
        <w:t>&lt;/BASERE&gt;</w:t>
      </w:r>
    </w:p>
    <w:p w14:paraId="34624157" w14:textId="77777777" w:rsidR="00A052DC" w:rsidRDefault="009F0A60">
      <w:r>
        <w:t>&lt;REMARK&gt;</w:t>
      </w:r>
      <w:r>
        <w:rPr>
          <w:rFonts w:hint="eastAsia"/>
        </w:rPr>
        <w:t>备注</w:t>
      </w:r>
      <w:r>
        <w:t>&lt;/REMARK&gt;</w:t>
      </w:r>
    </w:p>
    <w:p w14:paraId="38716B8A" w14:textId="77777777" w:rsidR="00A052DC" w:rsidRDefault="009F0A60">
      <w:r>
        <w:t>&lt;/REC&gt;</w:t>
      </w:r>
    </w:p>
    <w:p w14:paraId="72376B2A" w14:textId="77777777" w:rsidR="00A052DC" w:rsidRDefault="009F0A60" w:rsidP="0020251D">
      <w:pPr>
        <w:pStyle w:val="5"/>
        <w:numPr>
          <w:ilvl w:val="4"/>
          <w:numId w:val="1"/>
        </w:numPr>
        <w:spacing w:before="120" w:after="120" w:line="360" w:lineRule="auto"/>
        <w:jc w:val="left"/>
      </w:pPr>
      <w:bookmarkStart w:id="1621" w:name="_Toc328635513"/>
      <w:bookmarkStart w:id="1622" w:name="_Toc454386953"/>
      <w:r>
        <w:rPr>
          <w:rFonts w:hint="eastAsia"/>
        </w:rPr>
        <w:t>数据字典</w:t>
      </w:r>
      <w:bookmarkEnd w:id="1621"/>
      <w:bookmarkEnd w:id="1622"/>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559"/>
        <w:gridCol w:w="1559"/>
        <w:gridCol w:w="3686"/>
      </w:tblGrid>
      <w:tr w:rsidR="00A052DC" w14:paraId="5D7A68B0" w14:textId="77777777">
        <w:trPr>
          <w:tblHeader/>
        </w:trPr>
        <w:tc>
          <w:tcPr>
            <w:tcW w:w="1702" w:type="dxa"/>
            <w:shd w:val="clear" w:color="auto" w:fill="C0C0C0"/>
          </w:tcPr>
          <w:p w14:paraId="531728E3" w14:textId="77777777" w:rsidR="00A052DC" w:rsidRDefault="009F0A60">
            <w:pPr>
              <w:jc w:val="center"/>
              <w:rPr>
                <w:rFonts w:ascii="黑体" w:eastAsia="黑体" w:hAnsi="黑体"/>
                <w:b/>
                <w:sz w:val="20"/>
                <w:szCs w:val="20"/>
              </w:rPr>
            </w:pPr>
            <w:r>
              <w:rPr>
                <w:rFonts w:ascii="黑体" w:eastAsia="黑体" w:hAnsi="黑体" w:hint="eastAsia"/>
                <w:b/>
                <w:sz w:val="20"/>
                <w:szCs w:val="20"/>
              </w:rPr>
              <w:t>字段</w:t>
            </w:r>
          </w:p>
        </w:tc>
        <w:tc>
          <w:tcPr>
            <w:tcW w:w="1559" w:type="dxa"/>
            <w:shd w:val="clear" w:color="auto" w:fill="C0C0C0"/>
          </w:tcPr>
          <w:p w14:paraId="3A886568" w14:textId="77777777" w:rsidR="00A052DC" w:rsidRDefault="009F0A60">
            <w:pPr>
              <w:jc w:val="center"/>
              <w:rPr>
                <w:rFonts w:ascii="黑体" w:eastAsia="黑体" w:hAnsi="黑体"/>
                <w:b/>
                <w:sz w:val="20"/>
                <w:szCs w:val="20"/>
              </w:rPr>
            </w:pPr>
            <w:r>
              <w:rPr>
                <w:rFonts w:ascii="黑体" w:eastAsia="黑体" w:hAnsi="黑体" w:hint="eastAsia"/>
                <w:b/>
                <w:sz w:val="20"/>
                <w:szCs w:val="20"/>
              </w:rPr>
              <w:t>内容</w:t>
            </w:r>
          </w:p>
        </w:tc>
        <w:tc>
          <w:tcPr>
            <w:tcW w:w="1559" w:type="dxa"/>
            <w:shd w:val="clear" w:color="auto" w:fill="C0C0C0"/>
          </w:tcPr>
          <w:p w14:paraId="1DA71190" w14:textId="77777777" w:rsidR="00A052DC" w:rsidRDefault="009F0A60">
            <w:pPr>
              <w:jc w:val="center"/>
              <w:rPr>
                <w:rFonts w:ascii="黑体" w:eastAsia="黑体" w:hAnsi="黑体"/>
                <w:b/>
                <w:sz w:val="20"/>
                <w:szCs w:val="20"/>
              </w:rPr>
            </w:pPr>
            <w:r>
              <w:rPr>
                <w:rFonts w:ascii="黑体" w:eastAsia="黑体" w:hAnsi="黑体" w:hint="eastAsia"/>
                <w:b/>
                <w:sz w:val="20"/>
                <w:szCs w:val="20"/>
              </w:rPr>
              <w:t>类型（长度）</w:t>
            </w:r>
          </w:p>
        </w:tc>
        <w:tc>
          <w:tcPr>
            <w:tcW w:w="3686" w:type="dxa"/>
            <w:shd w:val="clear" w:color="auto" w:fill="C0C0C0"/>
          </w:tcPr>
          <w:p w14:paraId="2D597F6E" w14:textId="77777777" w:rsidR="00A052DC" w:rsidRDefault="009F0A60">
            <w:pPr>
              <w:jc w:val="center"/>
              <w:rPr>
                <w:rFonts w:ascii="黑体" w:eastAsia="黑体" w:hAnsi="黑体"/>
                <w:b/>
                <w:sz w:val="20"/>
                <w:szCs w:val="20"/>
              </w:rPr>
            </w:pPr>
            <w:r>
              <w:rPr>
                <w:rFonts w:ascii="黑体" w:eastAsia="黑体" w:hAnsi="黑体" w:hint="eastAsia"/>
                <w:b/>
                <w:sz w:val="20"/>
                <w:szCs w:val="20"/>
              </w:rPr>
              <w:t>校验</w:t>
            </w:r>
          </w:p>
        </w:tc>
      </w:tr>
      <w:tr w:rsidR="00A052DC" w14:paraId="6A3DB6D1" w14:textId="77777777">
        <w:tc>
          <w:tcPr>
            <w:tcW w:w="1702" w:type="dxa"/>
          </w:tcPr>
          <w:p w14:paraId="3C0F1DF3" w14:textId="77777777" w:rsidR="00A052DC" w:rsidRDefault="009F0A60">
            <w:pPr>
              <w:rPr>
                <w:rFonts w:ascii="黑体" w:eastAsia="黑体" w:hAnsi="黑体"/>
                <w:sz w:val="20"/>
                <w:szCs w:val="20"/>
              </w:rPr>
            </w:pPr>
            <w:r>
              <w:rPr>
                <w:rFonts w:ascii="黑体" w:eastAsia="黑体" w:hAnsi="黑体"/>
                <w:sz w:val="20"/>
                <w:szCs w:val="20"/>
              </w:rPr>
              <w:t>ACTIONTYPE</w:t>
            </w:r>
          </w:p>
        </w:tc>
        <w:tc>
          <w:tcPr>
            <w:tcW w:w="1559" w:type="dxa"/>
          </w:tcPr>
          <w:p w14:paraId="2AFCD057" w14:textId="77777777" w:rsidR="00A052DC" w:rsidRDefault="009F0A60">
            <w:pPr>
              <w:rPr>
                <w:rFonts w:ascii="黑体" w:eastAsia="黑体" w:hAnsi="黑体"/>
                <w:sz w:val="20"/>
                <w:szCs w:val="20"/>
              </w:rPr>
            </w:pPr>
            <w:r>
              <w:rPr>
                <w:rFonts w:ascii="黑体" w:eastAsia="黑体" w:hAnsi="黑体" w:hint="eastAsia"/>
                <w:sz w:val="20"/>
                <w:szCs w:val="20"/>
              </w:rPr>
              <w:t>操作类型</w:t>
            </w:r>
          </w:p>
        </w:tc>
        <w:tc>
          <w:tcPr>
            <w:tcW w:w="1559" w:type="dxa"/>
          </w:tcPr>
          <w:p w14:paraId="3FD16402" w14:textId="77777777" w:rsidR="00A052DC" w:rsidRDefault="009F0A60">
            <w:pPr>
              <w:rPr>
                <w:rFonts w:ascii="黑体" w:eastAsia="黑体" w:hAnsi="黑体"/>
                <w:sz w:val="20"/>
                <w:szCs w:val="20"/>
              </w:rPr>
            </w:pPr>
            <w:r>
              <w:rPr>
                <w:rFonts w:ascii="黑体" w:eastAsia="黑体" w:hAnsi="黑体" w:hint="eastAsia"/>
                <w:sz w:val="20"/>
                <w:szCs w:val="20"/>
              </w:rPr>
              <w:t>字符型，1</w:t>
            </w:r>
          </w:p>
        </w:tc>
        <w:tc>
          <w:tcPr>
            <w:tcW w:w="3686" w:type="dxa"/>
          </w:tcPr>
          <w:p w14:paraId="5EF688BA" w14:textId="77777777" w:rsidR="00A052DC" w:rsidRDefault="009F0A60">
            <w:pPr>
              <w:rPr>
                <w:rFonts w:ascii="黑体" w:eastAsia="黑体" w:hAnsi="黑体"/>
                <w:sz w:val="20"/>
                <w:szCs w:val="20"/>
              </w:rPr>
            </w:pPr>
            <w:r>
              <w:rPr>
                <w:rFonts w:ascii="黑体" w:eastAsia="黑体" w:hAnsi="黑体" w:hint="eastAsia"/>
                <w:sz w:val="20"/>
                <w:szCs w:val="20"/>
              </w:rPr>
              <w:t>必填项</w:t>
            </w:r>
            <w:r w:rsidR="005D3821">
              <w:rPr>
                <w:rFonts w:ascii="黑体" w:eastAsia="黑体" w:hAnsi="黑体" w:hint="eastAsia"/>
                <w:sz w:val="20"/>
                <w:szCs w:val="20"/>
              </w:rPr>
              <w:t>。</w:t>
            </w:r>
          </w:p>
          <w:p w14:paraId="32E825E8" w14:textId="77777777" w:rsidR="00A052DC" w:rsidRDefault="009F0A60">
            <w:pPr>
              <w:rPr>
                <w:rFonts w:ascii="黑体" w:eastAsia="黑体" w:hAnsi="黑体"/>
                <w:sz w:val="20"/>
                <w:szCs w:val="20"/>
              </w:rPr>
            </w:pPr>
            <w:r>
              <w:rPr>
                <w:rFonts w:ascii="黑体" w:eastAsia="黑体" w:hAnsi="黑体" w:hint="eastAsia"/>
                <w:sz w:val="20"/>
                <w:szCs w:val="20"/>
              </w:rPr>
              <w:t>A</w:t>
            </w:r>
            <w:r w:rsidR="00AE4602">
              <w:rPr>
                <w:rFonts w:ascii="黑体" w:eastAsia="黑体" w:hAnsi="黑体" w:hint="eastAsia"/>
                <w:sz w:val="20"/>
                <w:szCs w:val="20"/>
              </w:rPr>
              <w:t>-</w:t>
            </w:r>
            <w:r>
              <w:rPr>
                <w:rFonts w:ascii="黑体" w:eastAsia="黑体" w:hAnsi="黑体" w:hint="eastAsia"/>
                <w:sz w:val="20"/>
                <w:szCs w:val="20"/>
              </w:rPr>
              <w:t>新建</w:t>
            </w:r>
          </w:p>
          <w:p w14:paraId="0F03030F" w14:textId="77777777" w:rsidR="00A052DC" w:rsidRDefault="009F0A60">
            <w:pPr>
              <w:rPr>
                <w:rFonts w:ascii="黑体" w:eastAsia="黑体" w:hAnsi="黑体"/>
                <w:sz w:val="20"/>
                <w:szCs w:val="20"/>
              </w:rPr>
            </w:pPr>
            <w:r>
              <w:rPr>
                <w:rFonts w:ascii="黑体" w:eastAsia="黑体" w:hAnsi="黑体" w:hint="eastAsia"/>
                <w:sz w:val="20"/>
                <w:szCs w:val="20"/>
              </w:rPr>
              <w:t>C</w:t>
            </w:r>
            <w:r w:rsidR="00AE4602">
              <w:rPr>
                <w:rFonts w:ascii="黑体" w:eastAsia="黑体" w:hAnsi="黑体" w:hint="eastAsia"/>
                <w:sz w:val="20"/>
                <w:szCs w:val="20"/>
              </w:rPr>
              <w:t>-</w:t>
            </w:r>
            <w:r>
              <w:rPr>
                <w:rFonts w:ascii="黑体" w:eastAsia="黑体" w:hAnsi="黑体" w:hint="eastAsia"/>
                <w:sz w:val="20"/>
                <w:szCs w:val="20"/>
              </w:rPr>
              <w:t>修改</w:t>
            </w:r>
          </w:p>
          <w:p w14:paraId="01991EC2" w14:textId="77777777" w:rsidR="00A052DC" w:rsidRDefault="009F0A60">
            <w:pPr>
              <w:rPr>
                <w:rFonts w:ascii="黑体" w:eastAsia="黑体" w:hAnsi="黑体"/>
                <w:sz w:val="20"/>
                <w:szCs w:val="20"/>
              </w:rPr>
            </w:pPr>
            <w:r>
              <w:rPr>
                <w:rFonts w:ascii="黑体" w:eastAsia="黑体" w:hAnsi="黑体" w:hint="eastAsia"/>
                <w:sz w:val="20"/>
                <w:szCs w:val="20"/>
              </w:rPr>
              <w:t>D</w:t>
            </w:r>
            <w:r w:rsidR="00AE4602">
              <w:rPr>
                <w:rFonts w:ascii="黑体" w:eastAsia="黑体" w:hAnsi="黑体" w:hint="eastAsia"/>
                <w:sz w:val="20"/>
                <w:szCs w:val="20"/>
              </w:rPr>
              <w:t>-</w:t>
            </w:r>
            <w:r>
              <w:rPr>
                <w:rFonts w:ascii="黑体" w:eastAsia="黑体" w:hAnsi="黑体" w:hint="eastAsia"/>
                <w:sz w:val="20"/>
                <w:szCs w:val="20"/>
              </w:rPr>
              <w:t>删除</w:t>
            </w:r>
          </w:p>
        </w:tc>
      </w:tr>
      <w:tr w:rsidR="00A052DC" w14:paraId="511B2A5A" w14:textId="77777777">
        <w:tc>
          <w:tcPr>
            <w:tcW w:w="1702" w:type="dxa"/>
          </w:tcPr>
          <w:p w14:paraId="5C9B4E8F" w14:textId="77777777" w:rsidR="00A052DC" w:rsidRDefault="009F0A60">
            <w:pPr>
              <w:rPr>
                <w:rFonts w:ascii="黑体" w:eastAsia="黑体" w:hAnsi="黑体"/>
                <w:sz w:val="20"/>
                <w:szCs w:val="20"/>
              </w:rPr>
            </w:pPr>
            <w:r>
              <w:rPr>
                <w:rFonts w:ascii="黑体" w:eastAsia="黑体" w:hAnsi="黑体"/>
                <w:sz w:val="20"/>
                <w:szCs w:val="20"/>
              </w:rPr>
              <w:t>ACTIONDESC</w:t>
            </w:r>
          </w:p>
        </w:tc>
        <w:tc>
          <w:tcPr>
            <w:tcW w:w="1559" w:type="dxa"/>
          </w:tcPr>
          <w:p w14:paraId="4D21B910" w14:textId="77777777" w:rsidR="00A052DC" w:rsidRDefault="009F0A60">
            <w:pPr>
              <w:rPr>
                <w:rFonts w:ascii="黑体" w:eastAsia="黑体" w:hAnsi="黑体"/>
                <w:sz w:val="20"/>
                <w:szCs w:val="20"/>
              </w:rPr>
            </w:pPr>
            <w:r>
              <w:rPr>
                <w:rFonts w:ascii="黑体" w:eastAsia="黑体" w:hAnsi="黑体" w:hint="eastAsia"/>
                <w:sz w:val="20"/>
                <w:szCs w:val="20"/>
              </w:rPr>
              <w:t>删除原因</w:t>
            </w:r>
          </w:p>
        </w:tc>
        <w:tc>
          <w:tcPr>
            <w:tcW w:w="1559" w:type="dxa"/>
          </w:tcPr>
          <w:p w14:paraId="21C570FB"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3686" w:type="dxa"/>
          </w:tcPr>
          <w:p w14:paraId="2E8C22AE" w14:textId="77777777" w:rsidR="00A052DC" w:rsidRDefault="00DD6AA3">
            <w:pPr>
              <w:rPr>
                <w:rFonts w:ascii="黑体" w:eastAsia="黑体" w:hAnsi="黑体"/>
                <w:sz w:val="20"/>
                <w:szCs w:val="20"/>
              </w:rPr>
            </w:pPr>
            <w:r>
              <w:rPr>
                <w:rFonts w:ascii="黑体" w:eastAsia="黑体" w:hAnsi="黑体" w:hint="eastAsia"/>
                <w:sz w:val="20"/>
                <w:szCs w:val="20"/>
              </w:rPr>
              <w:t>非必填项，当操作类型（ACTIONTYPE）为删除时必填。</w:t>
            </w:r>
          </w:p>
        </w:tc>
      </w:tr>
      <w:tr w:rsidR="00A052DC" w14:paraId="42A50ED2" w14:textId="77777777">
        <w:tc>
          <w:tcPr>
            <w:tcW w:w="1702" w:type="dxa"/>
          </w:tcPr>
          <w:p w14:paraId="1A34A0EE" w14:textId="77777777" w:rsidR="00A052DC" w:rsidRDefault="009F0A60">
            <w:pPr>
              <w:rPr>
                <w:rFonts w:ascii="黑体" w:eastAsia="黑体" w:hAnsi="黑体"/>
                <w:sz w:val="20"/>
                <w:szCs w:val="20"/>
              </w:rPr>
            </w:pPr>
            <w:r>
              <w:rPr>
                <w:rFonts w:ascii="黑体" w:eastAsia="黑体" w:hAnsi="黑体"/>
                <w:sz w:val="20"/>
                <w:szCs w:val="20"/>
              </w:rPr>
              <w:t>ExguaranCODE</w:t>
            </w:r>
          </w:p>
        </w:tc>
        <w:tc>
          <w:tcPr>
            <w:tcW w:w="1559" w:type="dxa"/>
          </w:tcPr>
          <w:p w14:paraId="700E82F4" w14:textId="77777777" w:rsidR="00A052DC" w:rsidRDefault="009F0A60">
            <w:pPr>
              <w:rPr>
                <w:rFonts w:ascii="黑体" w:eastAsia="黑体" w:hAnsi="黑体"/>
                <w:sz w:val="20"/>
                <w:szCs w:val="20"/>
              </w:rPr>
            </w:pPr>
            <w:r>
              <w:rPr>
                <w:rFonts w:ascii="黑体" w:eastAsia="黑体" w:hAnsi="黑体" w:hint="eastAsia"/>
                <w:sz w:val="20"/>
                <w:szCs w:val="20"/>
              </w:rPr>
              <w:t>对外担保编号</w:t>
            </w:r>
          </w:p>
        </w:tc>
        <w:tc>
          <w:tcPr>
            <w:tcW w:w="1559" w:type="dxa"/>
          </w:tcPr>
          <w:p w14:paraId="77C2C931" w14:textId="77777777" w:rsidR="00A052DC" w:rsidRDefault="009F0A60">
            <w:pPr>
              <w:rPr>
                <w:rFonts w:ascii="黑体" w:eastAsia="黑体" w:hAnsi="黑体"/>
                <w:sz w:val="20"/>
                <w:szCs w:val="20"/>
              </w:rPr>
            </w:pPr>
            <w:r>
              <w:rPr>
                <w:rFonts w:ascii="黑体" w:eastAsia="黑体" w:hAnsi="黑体" w:hint="eastAsia"/>
                <w:sz w:val="20"/>
                <w:szCs w:val="20"/>
              </w:rPr>
              <w:t>字符型，28</w:t>
            </w:r>
          </w:p>
        </w:tc>
        <w:tc>
          <w:tcPr>
            <w:tcW w:w="3686" w:type="dxa"/>
          </w:tcPr>
          <w:p w14:paraId="06AD5511"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r w:rsidR="00A052DC" w14:paraId="75F343CA" w14:textId="77777777">
        <w:tc>
          <w:tcPr>
            <w:tcW w:w="1702" w:type="dxa"/>
          </w:tcPr>
          <w:p w14:paraId="5136571E" w14:textId="77777777" w:rsidR="00A052DC" w:rsidRDefault="009F0A60">
            <w:pPr>
              <w:rPr>
                <w:rFonts w:ascii="黑体" w:eastAsia="黑体" w:hAnsi="黑体"/>
                <w:sz w:val="20"/>
                <w:szCs w:val="20"/>
              </w:rPr>
            </w:pPr>
            <w:r>
              <w:rPr>
                <w:rFonts w:ascii="黑体" w:eastAsia="黑体" w:hAnsi="黑体"/>
                <w:sz w:val="20"/>
                <w:szCs w:val="20"/>
              </w:rPr>
              <w:t>WABACHANDATE</w:t>
            </w:r>
          </w:p>
        </w:tc>
        <w:tc>
          <w:tcPr>
            <w:tcW w:w="1559" w:type="dxa"/>
          </w:tcPr>
          <w:p w14:paraId="2CB90905" w14:textId="77777777" w:rsidR="00A052DC" w:rsidRDefault="009F0A60">
            <w:pPr>
              <w:rPr>
                <w:rFonts w:ascii="黑体" w:eastAsia="黑体" w:hAnsi="黑体"/>
                <w:sz w:val="20"/>
                <w:szCs w:val="20"/>
              </w:rPr>
            </w:pPr>
            <w:r>
              <w:rPr>
                <w:rFonts w:ascii="黑体" w:eastAsia="黑体" w:hAnsi="黑体" w:hint="eastAsia"/>
                <w:sz w:val="20"/>
                <w:szCs w:val="20"/>
              </w:rPr>
              <w:t>担保责任余额变动日期</w:t>
            </w:r>
          </w:p>
        </w:tc>
        <w:tc>
          <w:tcPr>
            <w:tcW w:w="1559" w:type="dxa"/>
          </w:tcPr>
          <w:p w14:paraId="519BC69A" w14:textId="77777777" w:rsidR="00A052DC" w:rsidRDefault="009F0A60">
            <w:pPr>
              <w:rPr>
                <w:rFonts w:ascii="黑体" w:eastAsia="黑体" w:hAnsi="黑体"/>
                <w:sz w:val="20"/>
                <w:szCs w:val="20"/>
              </w:rPr>
            </w:pPr>
            <w:r>
              <w:rPr>
                <w:rFonts w:ascii="黑体" w:eastAsia="黑体" w:hAnsi="黑体" w:hint="eastAsia"/>
                <w:sz w:val="20"/>
                <w:szCs w:val="20"/>
              </w:rPr>
              <w:t>日期型，8</w:t>
            </w:r>
          </w:p>
        </w:tc>
        <w:tc>
          <w:tcPr>
            <w:tcW w:w="3686" w:type="dxa"/>
          </w:tcPr>
          <w:p w14:paraId="601EEE37" w14:textId="77777777" w:rsidR="00A052DC" w:rsidRDefault="009F0A60">
            <w:pPr>
              <w:rPr>
                <w:rFonts w:ascii="黑体" w:eastAsia="黑体" w:hAnsi="黑体"/>
                <w:sz w:val="20"/>
                <w:szCs w:val="20"/>
              </w:rPr>
            </w:pPr>
            <w:r>
              <w:rPr>
                <w:rFonts w:ascii="黑体" w:eastAsia="黑体" w:hAnsi="黑体" w:hint="eastAsia"/>
                <w:sz w:val="20"/>
                <w:szCs w:val="20"/>
              </w:rPr>
              <w:t>必填项，</w:t>
            </w:r>
          </w:p>
          <w:p w14:paraId="1DA59FE1" w14:textId="77777777" w:rsidR="00A052DC" w:rsidRDefault="009F0A60">
            <w:pPr>
              <w:rPr>
                <w:rFonts w:ascii="黑体" w:eastAsia="黑体" w:hAnsi="黑体"/>
                <w:sz w:val="20"/>
                <w:szCs w:val="20"/>
              </w:rPr>
            </w:pPr>
            <w:r>
              <w:rPr>
                <w:rFonts w:ascii="黑体" w:eastAsia="黑体" w:hAnsi="黑体" w:hint="eastAsia"/>
                <w:sz w:val="20"/>
                <w:szCs w:val="20"/>
              </w:rPr>
              <w:t>格式YYYYMMDD，大于等于签约日期。</w:t>
            </w:r>
          </w:p>
        </w:tc>
      </w:tr>
      <w:tr w:rsidR="00A052DC" w14:paraId="7F740761" w14:textId="77777777">
        <w:tc>
          <w:tcPr>
            <w:tcW w:w="1702" w:type="dxa"/>
          </w:tcPr>
          <w:p w14:paraId="107CA069" w14:textId="77777777" w:rsidR="00A052DC" w:rsidRDefault="009F0A60">
            <w:pPr>
              <w:rPr>
                <w:rFonts w:ascii="黑体" w:eastAsia="黑体" w:hAnsi="黑体"/>
                <w:sz w:val="20"/>
                <w:szCs w:val="20"/>
              </w:rPr>
            </w:pPr>
            <w:r>
              <w:rPr>
                <w:rFonts w:ascii="黑体" w:eastAsia="黑体" w:hAnsi="黑体"/>
                <w:sz w:val="20"/>
                <w:szCs w:val="20"/>
              </w:rPr>
              <w:t>BASERE</w:t>
            </w:r>
          </w:p>
        </w:tc>
        <w:tc>
          <w:tcPr>
            <w:tcW w:w="1559" w:type="dxa"/>
          </w:tcPr>
          <w:p w14:paraId="182291B9" w14:textId="77777777" w:rsidR="00A052DC" w:rsidRDefault="009F0A60">
            <w:pPr>
              <w:rPr>
                <w:rFonts w:ascii="黑体" w:eastAsia="黑体" w:hAnsi="黑体"/>
                <w:sz w:val="20"/>
                <w:szCs w:val="20"/>
              </w:rPr>
            </w:pPr>
            <w:r>
              <w:rPr>
                <w:rFonts w:ascii="黑体" w:eastAsia="黑体" w:hAnsi="黑体" w:hint="eastAsia"/>
                <w:sz w:val="20"/>
                <w:szCs w:val="20"/>
              </w:rPr>
              <w:t>担保责任余额</w:t>
            </w:r>
          </w:p>
        </w:tc>
        <w:tc>
          <w:tcPr>
            <w:tcW w:w="1559" w:type="dxa"/>
          </w:tcPr>
          <w:p w14:paraId="013D14D1"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3686" w:type="dxa"/>
          </w:tcPr>
          <w:p w14:paraId="1F5448A8" w14:textId="77777777" w:rsidR="00A052DC" w:rsidRDefault="009F0A60" w:rsidP="005D3821">
            <w:pPr>
              <w:rPr>
                <w:rFonts w:ascii="黑体" w:eastAsia="黑体" w:hAnsi="黑体"/>
                <w:sz w:val="20"/>
                <w:szCs w:val="20"/>
              </w:rPr>
            </w:pPr>
            <w:r>
              <w:rPr>
                <w:rFonts w:ascii="黑体" w:eastAsia="黑体" w:hAnsi="黑体" w:hint="eastAsia"/>
                <w:sz w:val="20"/>
                <w:szCs w:val="20"/>
              </w:rPr>
              <w:t>必填项，</w:t>
            </w:r>
            <w:r>
              <w:rPr>
                <w:rFonts w:ascii="黑体" w:eastAsia="黑体" w:hAnsi="黑体"/>
                <w:sz w:val="20"/>
                <w:szCs w:val="20"/>
              </w:rPr>
              <w:t>0&lt;</w:t>
            </w:r>
            <w:r>
              <w:rPr>
                <w:rFonts w:ascii="黑体" w:eastAsia="黑体" w:hAnsi="黑体" w:hint="eastAsia"/>
                <w:sz w:val="20"/>
                <w:szCs w:val="20"/>
              </w:rPr>
              <w:t>=担保责任余额</w:t>
            </w:r>
            <w:r>
              <w:rPr>
                <w:rFonts w:ascii="黑体" w:eastAsia="黑体" w:hAnsi="黑体"/>
                <w:sz w:val="20"/>
                <w:szCs w:val="20"/>
              </w:rPr>
              <w:t>&lt;</w:t>
            </w:r>
            <w:r>
              <w:rPr>
                <w:rFonts w:ascii="黑体" w:eastAsia="黑体" w:hAnsi="黑体" w:hint="eastAsia"/>
                <w:sz w:val="20"/>
                <w:szCs w:val="20"/>
              </w:rPr>
              <w:t>=保函金额。</w:t>
            </w:r>
          </w:p>
        </w:tc>
      </w:tr>
      <w:tr w:rsidR="00A052DC" w14:paraId="5CC908B4" w14:textId="77777777">
        <w:tc>
          <w:tcPr>
            <w:tcW w:w="1702" w:type="dxa"/>
            <w:tcBorders>
              <w:top w:val="single" w:sz="4" w:space="0" w:color="auto"/>
              <w:left w:val="single" w:sz="4" w:space="0" w:color="auto"/>
              <w:bottom w:val="single" w:sz="4" w:space="0" w:color="auto"/>
              <w:right w:val="single" w:sz="4" w:space="0" w:color="auto"/>
            </w:tcBorders>
          </w:tcPr>
          <w:p w14:paraId="214C2258" w14:textId="77777777" w:rsidR="00A052DC" w:rsidRDefault="009F0A60">
            <w:pPr>
              <w:rPr>
                <w:rFonts w:ascii="黑体" w:eastAsia="黑体" w:hAnsi="黑体"/>
                <w:sz w:val="20"/>
                <w:szCs w:val="20"/>
              </w:rPr>
            </w:pPr>
            <w:r>
              <w:rPr>
                <w:rFonts w:ascii="黑体" w:eastAsia="黑体" w:hAnsi="黑体"/>
                <w:sz w:val="20"/>
                <w:szCs w:val="20"/>
              </w:rPr>
              <w:t>REMARK</w:t>
            </w:r>
          </w:p>
        </w:tc>
        <w:tc>
          <w:tcPr>
            <w:tcW w:w="1559" w:type="dxa"/>
            <w:tcBorders>
              <w:top w:val="single" w:sz="4" w:space="0" w:color="auto"/>
              <w:left w:val="single" w:sz="4" w:space="0" w:color="auto"/>
              <w:bottom w:val="single" w:sz="4" w:space="0" w:color="auto"/>
              <w:right w:val="single" w:sz="4" w:space="0" w:color="auto"/>
            </w:tcBorders>
          </w:tcPr>
          <w:p w14:paraId="00CE3CD9" w14:textId="77777777" w:rsidR="00A052DC" w:rsidRDefault="009F0A60">
            <w:pPr>
              <w:rPr>
                <w:rFonts w:ascii="黑体" w:eastAsia="黑体" w:hAnsi="黑体"/>
                <w:sz w:val="20"/>
                <w:szCs w:val="20"/>
              </w:rPr>
            </w:pPr>
            <w:r>
              <w:rPr>
                <w:rFonts w:ascii="黑体" w:eastAsia="黑体" w:hAnsi="黑体" w:hint="eastAsia"/>
                <w:sz w:val="20"/>
                <w:szCs w:val="20"/>
              </w:rPr>
              <w:t>备注</w:t>
            </w:r>
          </w:p>
        </w:tc>
        <w:tc>
          <w:tcPr>
            <w:tcW w:w="1559" w:type="dxa"/>
            <w:tcBorders>
              <w:top w:val="single" w:sz="4" w:space="0" w:color="auto"/>
              <w:left w:val="single" w:sz="4" w:space="0" w:color="auto"/>
              <w:bottom w:val="single" w:sz="4" w:space="0" w:color="auto"/>
              <w:right w:val="single" w:sz="4" w:space="0" w:color="auto"/>
            </w:tcBorders>
          </w:tcPr>
          <w:p w14:paraId="03011120" w14:textId="77777777" w:rsidR="00A052DC" w:rsidRDefault="009F0A60">
            <w:pPr>
              <w:rPr>
                <w:rFonts w:ascii="黑体" w:eastAsia="黑体" w:hAnsi="黑体"/>
                <w:sz w:val="20"/>
                <w:szCs w:val="20"/>
              </w:rPr>
            </w:pPr>
            <w:r>
              <w:rPr>
                <w:rFonts w:ascii="黑体" w:eastAsia="黑体" w:hAnsi="黑体" w:hint="eastAsia"/>
                <w:sz w:val="20"/>
                <w:szCs w:val="20"/>
              </w:rPr>
              <w:t>字符型，256</w:t>
            </w:r>
          </w:p>
        </w:tc>
        <w:tc>
          <w:tcPr>
            <w:tcW w:w="3686" w:type="dxa"/>
            <w:tcBorders>
              <w:top w:val="single" w:sz="4" w:space="0" w:color="auto"/>
              <w:left w:val="single" w:sz="4" w:space="0" w:color="auto"/>
              <w:bottom w:val="single" w:sz="4" w:space="0" w:color="auto"/>
              <w:right w:val="single" w:sz="4" w:space="0" w:color="auto"/>
            </w:tcBorders>
          </w:tcPr>
          <w:p w14:paraId="5AFAA642" w14:textId="77777777" w:rsidR="00A052DC" w:rsidRDefault="009F0A60">
            <w:pPr>
              <w:rPr>
                <w:rFonts w:ascii="黑体" w:eastAsia="黑体" w:hAnsi="黑体"/>
                <w:sz w:val="20"/>
                <w:szCs w:val="20"/>
              </w:rPr>
            </w:pPr>
            <w:r>
              <w:rPr>
                <w:rFonts w:ascii="黑体" w:eastAsia="黑体" w:hAnsi="黑体" w:hint="eastAsia"/>
                <w:sz w:val="20"/>
                <w:szCs w:val="20"/>
              </w:rPr>
              <w:t>非必填项。</w:t>
            </w:r>
          </w:p>
        </w:tc>
      </w:tr>
    </w:tbl>
    <w:p w14:paraId="275FC100" w14:textId="77777777" w:rsidR="00A052DC" w:rsidRDefault="00A052DC"/>
    <w:p w14:paraId="1F7BEE26" w14:textId="77777777" w:rsidR="00A052DC" w:rsidRDefault="009F0A60" w:rsidP="0020251D">
      <w:pPr>
        <w:pStyle w:val="4"/>
        <w:numPr>
          <w:ilvl w:val="3"/>
          <w:numId w:val="1"/>
        </w:numPr>
        <w:jc w:val="left"/>
      </w:pPr>
      <w:bookmarkStart w:id="1623" w:name="_Toc454386954"/>
      <w:bookmarkStart w:id="1624" w:name="_Toc328635514"/>
      <w:bookmarkStart w:id="1625" w:name="_Toc454386955"/>
      <w:bookmarkEnd w:id="1623"/>
      <w:r>
        <w:rPr>
          <w:rFonts w:hint="eastAsia"/>
        </w:rPr>
        <w:t>履约信息</w:t>
      </w:r>
      <w:bookmarkEnd w:id="1624"/>
      <w:bookmarkEnd w:id="1625"/>
    </w:p>
    <w:p w14:paraId="706BF6C7" w14:textId="77777777" w:rsidR="00A052DC" w:rsidRDefault="009F0A60" w:rsidP="0020251D">
      <w:pPr>
        <w:pStyle w:val="5"/>
        <w:numPr>
          <w:ilvl w:val="4"/>
          <w:numId w:val="1"/>
        </w:numPr>
        <w:spacing w:before="120" w:after="120" w:line="360" w:lineRule="auto"/>
        <w:jc w:val="left"/>
      </w:pPr>
      <w:bookmarkStart w:id="1626" w:name="_Toc454386956"/>
      <w:bookmarkStart w:id="1627" w:name="_Toc328635515"/>
      <w:r>
        <w:rPr>
          <w:rFonts w:hint="eastAsia"/>
        </w:rPr>
        <w:t>数据术语解释</w:t>
      </w:r>
      <w:bookmarkEnd w:id="1626"/>
      <w:bookmarkEnd w:id="1627"/>
    </w:p>
    <w:tbl>
      <w:tblPr>
        <w:tblW w:w="84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809"/>
        <w:gridCol w:w="6663"/>
      </w:tblGrid>
      <w:tr w:rsidR="00A052DC" w14:paraId="225A9E5F" w14:textId="77777777">
        <w:tc>
          <w:tcPr>
            <w:tcW w:w="1809" w:type="dxa"/>
          </w:tcPr>
          <w:p w14:paraId="78E71B5D" w14:textId="77777777" w:rsidR="00A052DC" w:rsidRDefault="009F0A60">
            <w:pPr>
              <w:jc w:val="center"/>
              <w:rPr>
                <w:rFonts w:ascii="黑体" w:eastAsia="黑体" w:hAnsi="黑体"/>
                <w:b/>
                <w:sz w:val="20"/>
                <w:szCs w:val="20"/>
              </w:rPr>
            </w:pPr>
            <w:r>
              <w:rPr>
                <w:rFonts w:ascii="黑体" w:eastAsia="黑体" w:hAnsi="黑体" w:hint="eastAsia"/>
                <w:b/>
                <w:sz w:val="20"/>
                <w:szCs w:val="20"/>
              </w:rPr>
              <w:t>基础数据项</w:t>
            </w:r>
          </w:p>
        </w:tc>
        <w:tc>
          <w:tcPr>
            <w:tcW w:w="6663" w:type="dxa"/>
          </w:tcPr>
          <w:p w14:paraId="5511AE5A" w14:textId="77777777" w:rsidR="00A052DC" w:rsidRDefault="009F0A60">
            <w:pPr>
              <w:jc w:val="center"/>
              <w:rPr>
                <w:rFonts w:ascii="黑体" w:eastAsia="黑体" w:hAnsi="黑体"/>
                <w:b/>
                <w:sz w:val="20"/>
                <w:szCs w:val="20"/>
              </w:rPr>
            </w:pPr>
            <w:r>
              <w:rPr>
                <w:rFonts w:ascii="黑体" w:eastAsia="黑体" w:hAnsi="黑体" w:hint="eastAsia"/>
                <w:b/>
                <w:sz w:val="20"/>
                <w:szCs w:val="20"/>
              </w:rPr>
              <w:t>定义</w:t>
            </w:r>
          </w:p>
        </w:tc>
      </w:tr>
      <w:tr w:rsidR="00A052DC" w14:paraId="119A928A" w14:textId="77777777">
        <w:trPr>
          <w:cantSplit/>
          <w:trHeight w:val="59"/>
        </w:trPr>
        <w:tc>
          <w:tcPr>
            <w:tcW w:w="1809" w:type="dxa"/>
          </w:tcPr>
          <w:p w14:paraId="097A56AA" w14:textId="77777777" w:rsidR="00A052DC" w:rsidRDefault="009F0A60">
            <w:pPr>
              <w:rPr>
                <w:rFonts w:ascii="黑体" w:eastAsia="黑体" w:hAnsi="黑体"/>
                <w:sz w:val="20"/>
                <w:szCs w:val="20"/>
              </w:rPr>
            </w:pPr>
            <w:r>
              <w:rPr>
                <w:rFonts w:ascii="黑体" w:eastAsia="黑体" w:hAnsi="黑体" w:hint="eastAsia"/>
                <w:sz w:val="20"/>
                <w:szCs w:val="20"/>
              </w:rPr>
              <w:t>对外担保编号</w:t>
            </w:r>
          </w:p>
        </w:tc>
        <w:tc>
          <w:tcPr>
            <w:tcW w:w="6663" w:type="dxa"/>
          </w:tcPr>
          <w:p w14:paraId="355B7B6B" w14:textId="77777777" w:rsidR="00A052DC" w:rsidRDefault="009F0A60">
            <w:pPr>
              <w:rPr>
                <w:rFonts w:ascii="黑体" w:eastAsia="黑体" w:hAnsi="黑体"/>
                <w:sz w:val="20"/>
                <w:szCs w:val="20"/>
              </w:rPr>
            </w:pPr>
            <w:r>
              <w:rPr>
                <w:rFonts w:ascii="黑体" w:eastAsia="黑体" w:hAnsi="黑体" w:hint="eastAsia"/>
                <w:sz w:val="20"/>
                <w:szCs w:val="20"/>
              </w:rPr>
              <w:t>该笔履约信息对应的对外担保编号。履约信息不产生新的对外担保编号，履约信息中的对外担保编号必须为签约信息中已经报送的对外担保编号。</w:t>
            </w:r>
          </w:p>
        </w:tc>
      </w:tr>
      <w:tr w:rsidR="00A052DC" w14:paraId="3551B663" w14:textId="77777777">
        <w:trPr>
          <w:cantSplit/>
        </w:trPr>
        <w:tc>
          <w:tcPr>
            <w:tcW w:w="1809" w:type="dxa"/>
          </w:tcPr>
          <w:p w14:paraId="71F4635D" w14:textId="77777777" w:rsidR="00A052DC" w:rsidRDefault="009F0A60">
            <w:pPr>
              <w:rPr>
                <w:rFonts w:ascii="黑体" w:eastAsia="黑体" w:hAnsi="黑体"/>
                <w:sz w:val="20"/>
                <w:szCs w:val="20"/>
              </w:rPr>
            </w:pPr>
            <w:r>
              <w:rPr>
                <w:rFonts w:ascii="黑体" w:eastAsia="黑体" w:hAnsi="黑体" w:hint="eastAsia"/>
                <w:sz w:val="20"/>
                <w:szCs w:val="20"/>
              </w:rPr>
              <w:t>履约编号</w:t>
            </w:r>
          </w:p>
        </w:tc>
        <w:tc>
          <w:tcPr>
            <w:tcW w:w="6663" w:type="dxa"/>
          </w:tcPr>
          <w:p w14:paraId="4794DF92" w14:textId="77777777" w:rsidR="00A052DC" w:rsidRDefault="009F0A60">
            <w:pPr>
              <w:rPr>
                <w:rFonts w:ascii="黑体" w:eastAsia="黑体" w:hAnsi="黑体"/>
                <w:sz w:val="20"/>
                <w:szCs w:val="20"/>
              </w:rPr>
            </w:pPr>
            <w:r>
              <w:rPr>
                <w:rFonts w:ascii="黑体" w:eastAsia="黑体" w:hAnsi="黑体" w:hint="eastAsia"/>
                <w:sz w:val="20"/>
                <w:szCs w:val="20"/>
              </w:rPr>
              <w:t>外汇局制定编号规则，银行自行对同一笔对外担保业务下同一受益人分次履约进行编号。履约编号的规则为4位流水号，编号格式如0001。</w:t>
            </w:r>
          </w:p>
        </w:tc>
      </w:tr>
      <w:tr w:rsidR="00A052DC" w14:paraId="7FC164B7" w14:textId="77777777">
        <w:trPr>
          <w:cantSplit/>
        </w:trPr>
        <w:tc>
          <w:tcPr>
            <w:tcW w:w="1809" w:type="dxa"/>
          </w:tcPr>
          <w:p w14:paraId="1ACEBF58" w14:textId="77777777" w:rsidR="00A052DC" w:rsidRDefault="009F0A60">
            <w:pPr>
              <w:rPr>
                <w:rFonts w:ascii="黑体" w:eastAsia="黑体" w:hAnsi="黑体"/>
                <w:sz w:val="20"/>
                <w:szCs w:val="20"/>
              </w:rPr>
            </w:pPr>
            <w:r>
              <w:rPr>
                <w:rFonts w:ascii="黑体" w:eastAsia="黑体" w:hAnsi="黑体" w:hint="eastAsia"/>
                <w:sz w:val="20"/>
                <w:szCs w:val="20"/>
              </w:rPr>
              <w:t>担保人代码</w:t>
            </w:r>
          </w:p>
        </w:tc>
        <w:tc>
          <w:tcPr>
            <w:tcW w:w="6663" w:type="dxa"/>
          </w:tcPr>
          <w:p w14:paraId="088F6279" w14:textId="77777777" w:rsidR="00A052DC" w:rsidRDefault="009F0A60">
            <w:pPr>
              <w:rPr>
                <w:rFonts w:ascii="黑体" w:eastAsia="黑体" w:hAnsi="黑体"/>
                <w:sz w:val="20"/>
                <w:szCs w:val="20"/>
              </w:rPr>
            </w:pPr>
            <w:r>
              <w:rPr>
                <w:rFonts w:ascii="黑体" w:eastAsia="黑体" w:hAnsi="黑体" w:hint="eastAsia"/>
                <w:sz w:val="20"/>
                <w:szCs w:val="20"/>
              </w:rPr>
              <w:t>国家外汇管理局及其分支局签发的12位金融机构标识码编码。</w:t>
            </w:r>
          </w:p>
        </w:tc>
      </w:tr>
      <w:tr w:rsidR="00A052DC" w14:paraId="28E233A5" w14:textId="77777777">
        <w:trPr>
          <w:cantSplit/>
        </w:trPr>
        <w:tc>
          <w:tcPr>
            <w:tcW w:w="1809" w:type="dxa"/>
          </w:tcPr>
          <w:p w14:paraId="3941B97E" w14:textId="77777777" w:rsidR="00A052DC" w:rsidRDefault="009F0A60">
            <w:pPr>
              <w:rPr>
                <w:rFonts w:ascii="黑体" w:eastAsia="黑体" w:hAnsi="黑体"/>
                <w:sz w:val="20"/>
                <w:szCs w:val="20"/>
              </w:rPr>
            </w:pPr>
            <w:r>
              <w:rPr>
                <w:rFonts w:ascii="黑体" w:eastAsia="黑体" w:hAnsi="黑体" w:hint="eastAsia"/>
                <w:sz w:val="20"/>
                <w:szCs w:val="20"/>
              </w:rPr>
              <w:t>银行业务参号</w:t>
            </w:r>
          </w:p>
        </w:tc>
        <w:tc>
          <w:tcPr>
            <w:tcW w:w="6663" w:type="dxa"/>
          </w:tcPr>
          <w:p w14:paraId="2975D7BD" w14:textId="77777777" w:rsidR="00A052DC" w:rsidRDefault="009F0A60">
            <w:pPr>
              <w:rPr>
                <w:rFonts w:ascii="黑体" w:eastAsia="黑体" w:hAnsi="黑体"/>
                <w:sz w:val="20"/>
                <w:szCs w:val="20"/>
              </w:rPr>
            </w:pPr>
            <w:r>
              <w:rPr>
                <w:rFonts w:ascii="黑体" w:eastAsia="黑体" w:hAnsi="黑体" w:hint="eastAsia"/>
                <w:sz w:val="20"/>
                <w:szCs w:val="20"/>
              </w:rPr>
              <w:t>指该笔履约业务在银行的业务参号。</w:t>
            </w:r>
          </w:p>
        </w:tc>
      </w:tr>
      <w:tr w:rsidR="00A052DC" w14:paraId="6EF59B5D" w14:textId="77777777">
        <w:trPr>
          <w:cantSplit/>
        </w:trPr>
        <w:tc>
          <w:tcPr>
            <w:tcW w:w="1809" w:type="dxa"/>
          </w:tcPr>
          <w:p w14:paraId="08E40D72" w14:textId="77777777" w:rsidR="00A052DC" w:rsidRDefault="009F0A60">
            <w:pPr>
              <w:rPr>
                <w:rFonts w:ascii="黑体" w:eastAsia="黑体" w:hAnsi="黑体"/>
                <w:sz w:val="20"/>
                <w:szCs w:val="20"/>
              </w:rPr>
            </w:pPr>
            <w:r>
              <w:rPr>
                <w:rFonts w:ascii="黑体" w:eastAsia="黑体" w:hAnsi="黑体" w:hint="eastAsia"/>
                <w:sz w:val="20"/>
                <w:szCs w:val="20"/>
              </w:rPr>
              <w:t>受益人代码</w:t>
            </w:r>
          </w:p>
        </w:tc>
        <w:tc>
          <w:tcPr>
            <w:tcW w:w="6663" w:type="dxa"/>
          </w:tcPr>
          <w:p w14:paraId="2FE49359" w14:textId="77777777" w:rsidR="00A052DC" w:rsidRDefault="009F0A60">
            <w:pPr>
              <w:rPr>
                <w:rFonts w:ascii="黑体" w:eastAsia="黑体" w:hAnsi="黑体"/>
                <w:sz w:val="20"/>
                <w:szCs w:val="20"/>
              </w:rPr>
            </w:pPr>
            <w:r>
              <w:rPr>
                <w:rFonts w:ascii="黑体" w:eastAsia="黑体" w:hAnsi="黑体" w:hint="eastAsia"/>
                <w:sz w:val="20"/>
                <w:szCs w:val="20"/>
              </w:rPr>
              <w:t>如果受益人为境外金融机构，应填写8位或11位的SWIFTCODE；如果受益人为境内机构，</w:t>
            </w:r>
            <w:r w:rsidR="009D0FD2">
              <w:rPr>
                <w:rFonts w:ascii="黑体" w:eastAsia="黑体" w:hAnsi="黑体" w:hint="eastAsia"/>
                <w:sz w:val="20"/>
                <w:szCs w:val="20"/>
              </w:rPr>
              <w:t>应填写</w:t>
            </w:r>
            <w:r>
              <w:rPr>
                <w:rFonts w:ascii="黑体" w:eastAsia="黑体" w:hAnsi="黑体" w:hint="eastAsia"/>
                <w:sz w:val="20"/>
                <w:szCs w:val="20"/>
              </w:rPr>
              <w:t>统一社会信用代码法定载体（如营业执照）上统一社会信用代码中的第9至17位或国家外汇管理局及其分支局签发的特殊机构代码赋码通知书上的机构代码；如果受益人为境内个人，应填写受益人个人身份证件号码。如果上述条件均不符合，则可为空。</w:t>
            </w:r>
          </w:p>
        </w:tc>
      </w:tr>
      <w:tr w:rsidR="00A052DC" w14:paraId="410EDA8E" w14:textId="77777777">
        <w:trPr>
          <w:cantSplit/>
        </w:trPr>
        <w:tc>
          <w:tcPr>
            <w:tcW w:w="1809" w:type="dxa"/>
          </w:tcPr>
          <w:p w14:paraId="5F563D6A" w14:textId="77777777" w:rsidR="00A052DC" w:rsidRDefault="009F0A60">
            <w:pPr>
              <w:rPr>
                <w:rFonts w:ascii="黑体" w:eastAsia="黑体" w:hAnsi="黑体"/>
                <w:sz w:val="20"/>
                <w:szCs w:val="20"/>
              </w:rPr>
            </w:pPr>
            <w:r>
              <w:rPr>
                <w:rFonts w:ascii="黑体" w:eastAsia="黑体" w:hAnsi="黑体" w:hint="eastAsia"/>
                <w:sz w:val="20"/>
                <w:szCs w:val="20"/>
              </w:rPr>
              <w:t>受益人中文名称</w:t>
            </w:r>
          </w:p>
        </w:tc>
        <w:tc>
          <w:tcPr>
            <w:tcW w:w="6663" w:type="dxa"/>
          </w:tcPr>
          <w:p w14:paraId="0A7EE474" w14:textId="77777777" w:rsidR="00A052DC" w:rsidRDefault="009F0A60">
            <w:pPr>
              <w:rPr>
                <w:rFonts w:ascii="黑体" w:eastAsia="黑体" w:hAnsi="黑体"/>
                <w:sz w:val="20"/>
                <w:szCs w:val="20"/>
              </w:rPr>
            </w:pPr>
            <w:r>
              <w:rPr>
                <w:rFonts w:ascii="黑体" w:eastAsia="黑体" w:hAnsi="黑体" w:hint="eastAsia"/>
                <w:sz w:val="20"/>
                <w:szCs w:val="20"/>
              </w:rPr>
              <w:t>受益人中文名称。</w:t>
            </w:r>
          </w:p>
        </w:tc>
      </w:tr>
      <w:tr w:rsidR="00A052DC" w14:paraId="204A42EF" w14:textId="77777777">
        <w:trPr>
          <w:cantSplit/>
        </w:trPr>
        <w:tc>
          <w:tcPr>
            <w:tcW w:w="1809" w:type="dxa"/>
          </w:tcPr>
          <w:p w14:paraId="71E35E10" w14:textId="77777777" w:rsidR="00A052DC" w:rsidRDefault="009F0A60">
            <w:pPr>
              <w:rPr>
                <w:rFonts w:ascii="黑体" w:eastAsia="黑体" w:hAnsi="黑体"/>
                <w:sz w:val="20"/>
                <w:szCs w:val="20"/>
              </w:rPr>
            </w:pPr>
            <w:r>
              <w:rPr>
                <w:rFonts w:ascii="黑体" w:eastAsia="黑体" w:hAnsi="黑体" w:hint="eastAsia"/>
                <w:sz w:val="20"/>
                <w:szCs w:val="20"/>
              </w:rPr>
              <w:t>受益人英文名称</w:t>
            </w:r>
          </w:p>
        </w:tc>
        <w:tc>
          <w:tcPr>
            <w:tcW w:w="6663" w:type="dxa"/>
          </w:tcPr>
          <w:p w14:paraId="3A9C7BE8" w14:textId="77777777" w:rsidR="00A052DC" w:rsidRDefault="009F0A60">
            <w:pPr>
              <w:rPr>
                <w:rFonts w:ascii="黑体" w:eastAsia="黑体" w:hAnsi="黑体"/>
                <w:sz w:val="20"/>
                <w:szCs w:val="20"/>
              </w:rPr>
            </w:pPr>
            <w:r>
              <w:rPr>
                <w:rFonts w:ascii="黑体" w:eastAsia="黑体" w:hAnsi="黑体" w:hint="eastAsia"/>
                <w:sz w:val="20"/>
                <w:szCs w:val="20"/>
              </w:rPr>
              <w:t>受益人英文名称。</w:t>
            </w:r>
          </w:p>
        </w:tc>
      </w:tr>
      <w:tr w:rsidR="00A052DC" w14:paraId="47E359A1" w14:textId="77777777">
        <w:trPr>
          <w:cantSplit/>
        </w:trPr>
        <w:tc>
          <w:tcPr>
            <w:tcW w:w="1809" w:type="dxa"/>
          </w:tcPr>
          <w:p w14:paraId="5BF68185" w14:textId="77777777" w:rsidR="00A052DC" w:rsidRDefault="009F0A60">
            <w:pPr>
              <w:rPr>
                <w:rFonts w:ascii="黑体" w:eastAsia="黑体" w:hAnsi="黑体"/>
                <w:sz w:val="20"/>
                <w:szCs w:val="20"/>
              </w:rPr>
            </w:pPr>
            <w:r>
              <w:rPr>
                <w:rFonts w:ascii="黑体" w:eastAsia="黑体" w:hAnsi="黑体" w:hint="eastAsia"/>
                <w:sz w:val="20"/>
                <w:szCs w:val="20"/>
              </w:rPr>
              <w:t>履约日期</w:t>
            </w:r>
          </w:p>
        </w:tc>
        <w:tc>
          <w:tcPr>
            <w:tcW w:w="6663" w:type="dxa"/>
            <w:vAlign w:val="center"/>
          </w:tcPr>
          <w:p w14:paraId="1AD3BC16" w14:textId="77777777" w:rsidR="00A052DC" w:rsidRDefault="009F0A60">
            <w:pPr>
              <w:rPr>
                <w:rFonts w:ascii="黑体" w:eastAsia="黑体" w:hAnsi="黑体"/>
                <w:sz w:val="20"/>
                <w:szCs w:val="20"/>
              </w:rPr>
            </w:pPr>
            <w:r>
              <w:rPr>
                <w:rFonts w:ascii="黑体" w:eastAsia="黑体" w:hAnsi="黑体" w:hint="eastAsia"/>
                <w:sz w:val="20"/>
                <w:szCs w:val="20"/>
              </w:rPr>
              <w:t>担保履约日期。</w:t>
            </w:r>
          </w:p>
        </w:tc>
      </w:tr>
      <w:tr w:rsidR="00A052DC" w14:paraId="13D2AB6B" w14:textId="77777777">
        <w:trPr>
          <w:cantSplit/>
        </w:trPr>
        <w:tc>
          <w:tcPr>
            <w:tcW w:w="1809" w:type="dxa"/>
          </w:tcPr>
          <w:p w14:paraId="77F253D2" w14:textId="77777777" w:rsidR="00A052DC" w:rsidRDefault="009F0A60">
            <w:pPr>
              <w:rPr>
                <w:rFonts w:ascii="黑体" w:eastAsia="黑体" w:hAnsi="黑体"/>
                <w:sz w:val="20"/>
                <w:szCs w:val="20"/>
              </w:rPr>
            </w:pPr>
            <w:r>
              <w:rPr>
                <w:rFonts w:ascii="黑体" w:eastAsia="黑体" w:hAnsi="黑体" w:hint="eastAsia"/>
                <w:sz w:val="20"/>
                <w:szCs w:val="20"/>
              </w:rPr>
              <w:t>履约币种</w:t>
            </w:r>
          </w:p>
        </w:tc>
        <w:tc>
          <w:tcPr>
            <w:tcW w:w="6663" w:type="dxa"/>
            <w:vAlign w:val="center"/>
          </w:tcPr>
          <w:p w14:paraId="2686936E" w14:textId="77777777" w:rsidR="00A052DC" w:rsidRDefault="009F0A60">
            <w:pPr>
              <w:rPr>
                <w:rFonts w:ascii="黑体" w:eastAsia="黑体" w:hAnsi="黑体"/>
                <w:sz w:val="20"/>
                <w:szCs w:val="20"/>
              </w:rPr>
            </w:pPr>
            <w:r>
              <w:rPr>
                <w:rFonts w:ascii="黑体" w:eastAsia="黑体" w:hAnsi="黑体" w:hint="eastAsia"/>
                <w:sz w:val="20"/>
                <w:szCs w:val="20"/>
              </w:rPr>
              <w:t>支付履约款币种。</w:t>
            </w:r>
          </w:p>
        </w:tc>
      </w:tr>
      <w:tr w:rsidR="00A052DC" w14:paraId="18996491" w14:textId="77777777">
        <w:trPr>
          <w:cantSplit/>
        </w:trPr>
        <w:tc>
          <w:tcPr>
            <w:tcW w:w="1809" w:type="dxa"/>
          </w:tcPr>
          <w:p w14:paraId="1406F427" w14:textId="77777777" w:rsidR="00A052DC" w:rsidRDefault="009F0A60">
            <w:pPr>
              <w:rPr>
                <w:rFonts w:ascii="黑体" w:eastAsia="黑体" w:hAnsi="黑体"/>
                <w:sz w:val="20"/>
                <w:szCs w:val="20"/>
              </w:rPr>
            </w:pPr>
            <w:r>
              <w:rPr>
                <w:rFonts w:ascii="黑体" w:eastAsia="黑体" w:hAnsi="黑体" w:hint="eastAsia"/>
                <w:sz w:val="20"/>
                <w:szCs w:val="20"/>
              </w:rPr>
              <w:t>履约金额</w:t>
            </w:r>
          </w:p>
        </w:tc>
        <w:tc>
          <w:tcPr>
            <w:tcW w:w="6663" w:type="dxa"/>
            <w:vAlign w:val="center"/>
          </w:tcPr>
          <w:p w14:paraId="69D12C32" w14:textId="77777777" w:rsidR="00A052DC" w:rsidRDefault="009F0A60">
            <w:pPr>
              <w:rPr>
                <w:rFonts w:ascii="黑体" w:eastAsia="黑体" w:hAnsi="黑体"/>
                <w:sz w:val="20"/>
                <w:szCs w:val="20"/>
              </w:rPr>
            </w:pPr>
            <w:r>
              <w:rPr>
                <w:rFonts w:ascii="黑体" w:eastAsia="黑体" w:hAnsi="黑体" w:hint="eastAsia"/>
                <w:sz w:val="20"/>
                <w:szCs w:val="20"/>
              </w:rPr>
              <w:t>支付（当期）履约款金额。</w:t>
            </w:r>
          </w:p>
        </w:tc>
      </w:tr>
      <w:tr w:rsidR="00A052DC" w14:paraId="3C80E46E" w14:textId="77777777">
        <w:trPr>
          <w:cantSplit/>
        </w:trPr>
        <w:tc>
          <w:tcPr>
            <w:tcW w:w="1809" w:type="dxa"/>
          </w:tcPr>
          <w:p w14:paraId="4FB3BF74" w14:textId="77777777" w:rsidR="00A052DC" w:rsidRDefault="009F0A60">
            <w:pPr>
              <w:rPr>
                <w:rFonts w:ascii="黑体" w:eastAsia="黑体" w:hAnsi="黑体"/>
                <w:sz w:val="20"/>
                <w:szCs w:val="20"/>
              </w:rPr>
            </w:pPr>
            <w:r>
              <w:rPr>
                <w:rFonts w:ascii="黑体" w:eastAsia="黑体" w:hAnsi="黑体" w:hint="eastAsia"/>
                <w:sz w:val="20"/>
                <w:szCs w:val="20"/>
              </w:rPr>
              <w:t>购汇履约金额</w:t>
            </w:r>
          </w:p>
        </w:tc>
        <w:tc>
          <w:tcPr>
            <w:tcW w:w="6663" w:type="dxa"/>
            <w:vAlign w:val="center"/>
          </w:tcPr>
          <w:p w14:paraId="3DC4A87F" w14:textId="77777777" w:rsidR="00A052DC" w:rsidRDefault="009F0A60">
            <w:pPr>
              <w:rPr>
                <w:rFonts w:ascii="黑体" w:eastAsia="黑体" w:hAnsi="黑体"/>
                <w:sz w:val="20"/>
                <w:szCs w:val="20"/>
              </w:rPr>
            </w:pPr>
            <w:r>
              <w:rPr>
                <w:rFonts w:ascii="黑体" w:eastAsia="黑体" w:hAnsi="黑体" w:hint="eastAsia"/>
                <w:sz w:val="20"/>
                <w:szCs w:val="20"/>
              </w:rPr>
              <w:t>购汇支付履约款金额。</w:t>
            </w:r>
          </w:p>
        </w:tc>
      </w:tr>
      <w:tr w:rsidR="00A052DC" w14:paraId="587BEE7A" w14:textId="77777777">
        <w:trPr>
          <w:cantSplit/>
        </w:trPr>
        <w:tc>
          <w:tcPr>
            <w:tcW w:w="1809" w:type="dxa"/>
            <w:tcBorders>
              <w:top w:val="single" w:sz="6" w:space="0" w:color="auto"/>
              <w:left w:val="single" w:sz="6" w:space="0" w:color="auto"/>
              <w:bottom w:val="single" w:sz="6" w:space="0" w:color="auto"/>
              <w:right w:val="single" w:sz="6" w:space="0" w:color="auto"/>
            </w:tcBorders>
          </w:tcPr>
          <w:p w14:paraId="37C83710" w14:textId="77777777" w:rsidR="00A052DC" w:rsidRDefault="009F0A60">
            <w:pPr>
              <w:rPr>
                <w:rFonts w:ascii="黑体" w:eastAsia="黑体" w:hAnsi="黑体"/>
                <w:sz w:val="20"/>
                <w:szCs w:val="20"/>
              </w:rPr>
            </w:pPr>
            <w:r>
              <w:rPr>
                <w:rFonts w:ascii="黑体" w:eastAsia="黑体" w:hAnsi="黑体" w:hint="eastAsia"/>
                <w:sz w:val="20"/>
                <w:szCs w:val="20"/>
              </w:rPr>
              <w:t>备注</w:t>
            </w:r>
          </w:p>
        </w:tc>
        <w:tc>
          <w:tcPr>
            <w:tcW w:w="6663" w:type="dxa"/>
            <w:tcBorders>
              <w:top w:val="single" w:sz="6" w:space="0" w:color="auto"/>
              <w:left w:val="single" w:sz="6" w:space="0" w:color="auto"/>
              <w:bottom w:val="single" w:sz="6" w:space="0" w:color="auto"/>
              <w:right w:val="single" w:sz="6" w:space="0" w:color="auto"/>
            </w:tcBorders>
            <w:vAlign w:val="center"/>
          </w:tcPr>
          <w:p w14:paraId="16F53842" w14:textId="77777777" w:rsidR="00A052DC" w:rsidRDefault="009F0A60">
            <w:pPr>
              <w:rPr>
                <w:rFonts w:ascii="黑体" w:eastAsia="黑体" w:hAnsi="黑体"/>
                <w:sz w:val="20"/>
                <w:szCs w:val="20"/>
              </w:rPr>
            </w:pPr>
            <w:r>
              <w:rPr>
                <w:rFonts w:ascii="黑体" w:eastAsia="黑体" w:hAnsi="黑体" w:hint="eastAsia"/>
                <w:sz w:val="20"/>
                <w:szCs w:val="20"/>
              </w:rPr>
              <w:t>需要说明的备注事项。</w:t>
            </w:r>
          </w:p>
        </w:tc>
      </w:tr>
    </w:tbl>
    <w:p w14:paraId="2578A87F" w14:textId="77777777" w:rsidR="00A052DC" w:rsidRDefault="009F0A60">
      <w:pPr>
        <w:pStyle w:val="5"/>
        <w:numPr>
          <w:ilvl w:val="4"/>
          <w:numId w:val="1"/>
        </w:numPr>
        <w:spacing w:before="120" w:after="120" w:line="360" w:lineRule="auto"/>
        <w:jc w:val="left"/>
      </w:pPr>
      <w:bookmarkStart w:id="1628" w:name="_Toc454386957"/>
      <w:bookmarkStart w:id="1629" w:name="_Toc454386958"/>
      <w:bookmarkStart w:id="1630" w:name="_Toc328635516"/>
      <w:bookmarkEnd w:id="1628"/>
      <w:r>
        <w:rPr>
          <w:rFonts w:hint="eastAsia"/>
        </w:rPr>
        <w:t>数据格式</w:t>
      </w:r>
      <w:bookmarkEnd w:id="1629"/>
      <w:bookmarkEnd w:id="1630"/>
    </w:p>
    <w:p w14:paraId="20E4D260" w14:textId="77777777" w:rsidR="00A052DC" w:rsidRDefault="009F0A60">
      <w:r>
        <w:t>&lt;REC&gt;</w:t>
      </w:r>
    </w:p>
    <w:p w14:paraId="0567763C" w14:textId="77777777" w:rsidR="00A052DC" w:rsidRDefault="009F0A60">
      <w:r>
        <w:t>&lt;ACTIONTYPE&gt;</w:t>
      </w:r>
      <w:r>
        <w:rPr>
          <w:rFonts w:hint="eastAsia"/>
        </w:rPr>
        <w:t>操作类型</w:t>
      </w:r>
      <w:r>
        <w:t>&lt;/ACTIONTYPE&gt;</w:t>
      </w:r>
    </w:p>
    <w:p w14:paraId="6D2F889A" w14:textId="77777777" w:rsidR="00A052DC" w:rsidRDefault="009F0A60">
      <w:r>
        <w:t>&lt;ACTIONDESC&gt;</w:t>
      </w:r>
      <w:r>
        <w:rPr>
          <w:rFonts w:hint="eastAsia"/>
        </w:rPr>
        <w:t>删除原因</w:t>
      </w:r>
      <w:r>
        <w:t>&lt;/ACTIONDESC&gt;</w:t>
      </w:r>
    </w:p>
    <w:p w14:paraId="53986D9C" w14:textId="77777777" w:rsidR="00A052DC" w:rsidRDefault="009F0A60">
      <w:r>
        <w:t>&lt;EXGUARANCODE&gt;</w:t>
      </w:r>
      <w:r>
        <w:rPr>
          <w:rFonts w:hint="eastAsia"/>
        </w:rPr>
        <w:t>对外担保编号</w:t>
      </w:r>
      <w:r>
        <w:t>&lt;/EXGUARANCODE&gt;</w:t>
      </w:r>
    </w:p>
    <w:p w14:paraId="19B1E8A5" w14:textId="77777777" w:rsidR="00A052DC" w:rsidRDefault="009F0A60">
      <w:r>
        <w:t>&lt;COMPLIANCENO&gt;</w:t>
      </w:r>
      <w:r>
        <w:rPr>
          <w:rFonts w:hint="eastAsia"/>
        </w:rPr>
        <w:t>履约编号</w:t>
      </w:r>
      <w:r>
        <w:t>&lt;/COMPLIANCENO&gt;</w:t>
      </w:r>
    </w:p>
    <w:p w14:paraId="5936B5CA" w14:textId="77777777" w:rsidR="00A052DC" w:rsidRDefault="009F0A60">
      <w:r>
        <w:t>&lt;GUARANTORCODE&gt;</w:t>
      </w:r>
      <w:r>
        <w:rPr>
          <w:rFonts w:hint="eastAsia"/>
        </w:rPr>
        <w:t>担保人代码</w:t>
      </w:r>
      <w:r>
        <w:t>&lt;/GUARANTORCODE&gt;</w:t>
      </w:r>
    </w:p>
    <w:p w14:paraId="22E8FAE6" w14:textId="77777777" w:rsidR="00A052DC" w:rsidRDefault="009F0A60">
      <w:r>
        <w:t>&lt;BUSCODE&gt;</w:t>
      </w:r>
      <w:r>
        <w:rPr>
          <w:rFonts w:hint="eastAsia"/>
        </w:rPr>
        <w:t>银行业务参号</w:t>
      </w:r>
      <w:r>
        <w:t>&lt;/BUSCODE&gt;</w:t>
      </w:r>
    </w:p>
    <w:p w14:paraId="5EEE0E56" w14:textId="77777777" w:rsidR="00A052DC" w:rsidRDefault="009F0A60">
      <w:r>
        <w:t>&lt;BENCODE&gt;</w:t>
      </w:r>
      <w:r>
        <w:rPr>
          <w:rFonts w:hint="eastAsia"/>
        </w:rPr>
        <w:t>受益人代码</w:t>
      </w:r>
      <w:r>
        <w:t>&lt;/BENCODE&gt;</w:t>
      </w:r>
    </w:p>
    <w:p w14:paraId="6DA8EFB4" w14:textId="77777777" w:rsidR="00A052DC" w:rsidRDefault="009F0A60">
      <w:r>
        <w:t>&lt;BENAME&gt;</w:t>
      </w:r>
      <w:r>
        <w:rPr>
          <w:rFonts w:hint="eastAsia"/>
        </w:rPr>
        <w:t>受益人中文名称</w:t>
      </w:r>
      <w:r>
        <w:t>&lt;/BENAME&gt;</w:t>
      </w:r>
    </w:p>
    <w:p w14:paraId="0500ACE7" w14:textId="77777777" w:rsidR="00A052DC" w:rsidRDefault="009F0A60">
      <w:r>
        <w:t>&lt;BENAMEN&gt;</w:t>
      </w:r>
      <w:r>
        <w:rPr>
          <w:rFonts w:hint="eastAsia"/>
        </w:rPr>
        <w:t>受益人英文名称</w:t>
      </w:r>
      <w:r>
        <w:t>&lt;/BENAMEN&gt;</w:t>
      </w:r>
    </w:p>
    <w:p w14:paraId="05F5CB99" w14:textId="77777777" w:rsidR="00A052DC" w:rsidRDefault="009F0A60">
      <w:r>
        <w:t>&lt;GUPERDATE&gt;</w:t>
      </w:r>
      <w:r>
        <w:rPr>
          <w:rFonts w:hint="eastAsia"/>
        </w:rPr>
        <w:t>履约日期</w:t>
      </w:r>
      <w:r>
        <w:t>&lt;/GUPERDATE&gt;</w:t>
      </w:r>
    </w:p>
    <w:p w14:paraId="41907078" w14:textId="77777777" w:rsidR="00A052DC" w:rsidRDefault="009F0A60">
      <w:r>
        <w:t>&lt;GUPERCURR&gt;</w:t>
      </w:r>
      <w:r>
        <w:rPr>
          <w:rFonts w:hint="eastAsia"/>
        </w:rPr>
        <w:t>履约币种</w:t>
      </w:r>
      <w:r>
        <w:t>&lt;/GUPERCURR&gt;</w:t>
      </w:r>
    </w:p>
    <w:p w14:paraId="5D3774CC" w14:textId="77777777" w:rsidR="00A052DC" w:rsidRDefault="009F0A60">
      <w:r>
        <w:t>&lt;GUPERAMOUNT&gt;</w:t>
      </w:r>
      <w:r>
        <w:rPr>
          <w:rFonts w:hint="eastAsia"/>
        </w:rPr>
        <w:t>履约金额</w:t>
      </w:r>
      <w:r>
        <w:t>&lt;/GUPERAMOUNT&gt;</w:t>
      </w:r>
    </w:p>
    <w:p w14:paraId="3388A1B5" w14:textId="77777777" w:rsidR="00A052DC" w:rsidRDefault="009F0A60">
      <w:r>
        <w:t>&lt;PGUPERAMOUNT&gt;</w:t>
      </w:r>
      <w:r>
        <w:rPr>
          <w:rFonts w:hint="eastAsia"/>
        </w:rPr>
        <w:t>购汇履约金额</w:t>
      </w:r>
      <w:r>
        <w:t>&lt;/PGUPERAMOUNT&gt;</w:t>
      </w:r>
    </w:p>
    <w:p w14:paraId="1BB0704D" w14:textId="77777777" w:rsidR="00A052DC" w:rsidRDefault="009F0A60">
      <w:r>
        <w:t>&lt;REMARK&gt;</w:t>
      </w:r>
      <w:r>
        <w:rPr>
          <w:rFonts w:hint="eastAsia"/>
        </w:rPr>
        <w:t>备注</w:t>
      </w:r>
      <w:r>
        <w:t>&lt;/REMARK&gt;</w:t>
      </w:r>
    </w:p>
    <w:p w14:paraId="5AD101C1" w14:textId="77777777" w:rsidR="00A052DC" w:rsidRDefault="009F0A60">
      <w:r>
        <w:t>&lt;/REC&gt;</w:t>
      </w:r>
    </w:p>
    <w:p w14:paraId="1F3D2367" w14:textId="77777777" w:rsidR="00A052DC" w:rsidRDefault="009F0A60" w:rsidP="0020251D">
      <w:pPr>
        <w:pStyle w:val="5"/>
        <w:numPr>
          <w:ilvl w:val="4"/>
          <w:numId w:val="1"/>
        </w:numPr>
        <w:spacing w:before="120" w:after="120" w:line="360" w:lineRule="auto"/>
        <w:jc w:val="left"/>
      </w:pPr>
      <w:bookmarkStart w:id="1631" w:name="_Toc328635517"/>
      <w:bookmarkStart w:id="1632" w:name="_Toc454386959"/>
      <w:r>
        <w:rPr>
          <w:rFonts w:hint="eastAsia"/>
        </w:rPr>
        <w:t>数据字典</w:t>
      </w:r>
      <w:bookmarkEnd w:id="1631"/>
      <w:bookmarkEnd w:id="1632"/>
    </w:p>
    <w:tbl>
      <w:tblPr>
        <w:tblW w:w="86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701"/>
        <w:gridCol w:w="1559"/>
        <w:gridCol w:w="3685"/>
      </w:tblGrid>
      <w:tr w:rsidR="00A052DC" w14:paraId="16E3D214" w14:textId="77777777">
        <w:trPr>
          <w:tblHeader/>
        </w:trPr>
        <w:tc>
          <w:tcPr>
            <w:tcW w:w="1702" w:type="dxa"/>
            <w:shd w:val="clear" w:color="auto" w:fill="C0C0C0"/>
          </w:tcPr>
          <w:p w14:paraId="0783FB8A" w14:textId="77777777" w:rsidR="00A052DC" w:rsidRDefault="009F0A60">
            <w:pPr>
              <w:jc w:val="center"/>
              <w:rPr>
                <w:rFonts w:ascii="黑体" w:eastAsia="黑体" w:hAnsi="黑体"/>
                <w:b/>
                <w:sz w:val="20"/>
                <w:szCs w:val="20"/>
              </w:rPr>
            </w:pPr>
            <w:r>
              <w:rPr>
                <w:rFonts w:ascii="黑体" w:eastAsia="黑体" w:hAnsi="黑体" w:hint="eastAsia"/>
                <w:b/>
                <w:sz w:val="20"/>
                <w:szCs w:val="20"/>
              </w:rPr>
              <w:t>字段</w:t>
            </w:r>
          </w:p>
        </w:tc>
        <w:tc>
          <w:tcPr>
            <w:tcW w:w="1701" w:type="dxa"/>
            <w:shd w:val="clear" w:color="auto" w:fill="C0C0C0"/>
          </w:tcPr>
          <w:p w14:paraId="6D559DCB" w14:textId="77777777" w:rsidR="00A052DC" w:rsidRDefault="009F0A60">
            <w:pPr>
              <w:jc w:val="center"/>
              <w:rPr>
                <w:rFonts w:ascii="黑体" w:eastAsia="黑体" w:hAnsi="黑体"/>
                <w:b/>
                <w:sz w:val="20"/>
                <w:szCs w:val="20"/>
              </w:rPr>
            </w:pPr>
            <w:r>
              <w:rPr>
                <w:rFonts w:ascii="黑体" w:eastAsia="黑体" w:hAnsi="黑体" w:hint="eastAsia"/>
                <w:b/>
                <w:sz w:val="20"/>
                <w:szCs w:val="20"/>
              </w:rPr>
              <w:t>内容</w:t>
            </w:r>
          </w:p>
        </w:tc>
        <w:tc>
          <w:tcPr>
            <w:tcW w:w="1559" w:type="dxa"/>
            <w:shd w:val="clear" w:color="auto" w:fill="C0C0C0"/>
          </w:tcPr>
          <w:p w14:paraId="08936B96" w14:textId="77777777" w:rsidR="00A052DC" w:rsidRDefault="009F0A60">
            <w:pPr>
              <w:jc w:val="center"/>
              <w:rPr>
                <w:rFonts w:ascii="黑体" w:eastAsia="黑体" w:hAnsi="黑体"/>
                <w:b/>
                <w:sz w:val="20"/>
                <w:szCs w:val="20"/>
              </w:rPr>
            </w:pPr>
            <w:r>
              <w:rPr>
                <w:rFonts w:ascii="黑体" w:eastAsia="黑体" w:hAnsi="黑体" w:hint="eastAsia"/>
                <w:b/>
                <w:sz w:val="20"/>
                <w:szCs w:val="20"/>
              </w:rPr>
              <w:t>类型（长度）</w:t>
            </w:r>
          </w:p>
        </w:tc>
        <w:tc>
          <w:tcPr>
            <w:tcW w:w="3685" w:type="dxa"/>
            <w:shd w:val="clear" w:color="auto" w:fill="C0C0C0"/>
          </w:tcPr>
          <w:p w14:paraId="1A931044" w14:textId="77777777" w:rsidR="00A052DC" w:rsidRDefault="009F0A60">
            <w:pPr>
              <w:jc w:val="center"/>
              <w:rPr>
                <w:rFonts w:ascii="黑体" w:eastAsia="黑体" w:hAnsi="黑体"/>
                <w:b/>
                <w:sz w:val="20"/>
                <w:szCs w:val="20"/>
              </w:rPr>
            </w:pPr>
            <w:r>
              <w:rPr>
                <w:rFonts w:ascii="黑体" w:eastAsia="黑体" w:hAnsi="黑体" w:hint="eastAsia"/>
                <w:b/>
                <w:sz w:val="20"/>
                <w:szCs w:val="20"/>
              </w:rPr>
              <w:t>校验</w:t>
            </w:r>
          </w:p>
        </w:tc>
      </w:tr>
      <w:tr w:rsidR="00A052DC" w14:paraId="28A6AF18" w14:textId="77777777">
        <w:tc>
          <w:tcPr>
            <w:tcW w:w="1702" w:type="dxa"/>
          </w:tcPr>
          <w:p w14:paraId="3CFF06C8" w14:textId="77777777" w:rsidR="00A052DC" w:rsidRDefault="009F0A60">
            <w:pPr>
              <w:rPr>
                <w:rFonts w:ascii="黑体" w:eastAsia="黑体" w:hAnsi="黑体"/>
                <w:sz w:val="20"/>
                <w:szCs w:val="20"/>
              </w:rPr>
            </w:pPr>
            <w:r>
              <w:rPr>
                <w:rFonts w:ascii="黑体" w:eastAsia="黑体" w:hAnsi="黑体"/>
                <w:sz w:val="20"/>
                <w:szCs w:val="20"/>
              </w:rPr>
              <w:t>ACTIONTYPE</w:t>
            </w:r>
          </w:p>
        </w:tc>
        <w:tc>
          <w:tcPr>
            <w:tcW w:w="1701" w:type="dxa"/>
          </w:tcPr>
          <w:p w14:paraId="1EB4055E" w14:textId="77777777" w:rsidR="00A052DC" w:rsidRDefault="009F0A60">
            <w:pPr>
              <w:rPr>
                <w:rFonts w:ascii="黑体" w:eastAsia="黑体" w:hAnsi="黑体"/>
                <w:sz w:val="20"/>
                <w:szCs w:val="20"/>
              </w:rPr>
            </w:pPr>
            <w:r>
              <w:rPr>
                <w:rFonts w:ascii="黑体" w:eastAsia="黑体" w:hAnsi="黑体" w:hint="eastAsia"/>
                <w:sz w:val="20"/>
                <w:szCs w:val="20"/>
              </w:rPr>
              <w:t>操作类型</w:t>
            </w:r>
          </w:p>
        </w:tc>
        <w:tc>
          <w:tcPr>
            <w:tcW w:w="1559" w:type="dxa"/>
          </w:tcPr>
          <w:p w14:paraId="7B3EB166" w14:textId="77777777" w:rsidR="00A052DC" w:rsidRDefault="009F0A60">
            <w:pPr>
              <w:rPr>
                <w:rFonts w:ascii="黑体" w:eastAsia="黑体" w:hAnsi="黑体"/>
                <w:sz w:val="20"/>
                <w:szCs w:val="20"/>
              </w:rPr>
            </w:pPr>
            <w:r>
              <w:rPr>
                <w:rFonts w:ascii="黑体" w:eastAsia="黑体" w:hAnsi="黑体" w:hint="eastAsia"/>
                <w:sz w:val="20"/>
                <w:szCs w:val="20"/>
              </w:rPr>
              <w:t>字符型，1</w:t>
            </w:r>
          </w:p>
        </w:tc>
        <w:tc>
          <w:tcPr>
            <w:tcW w:w="3685" w:type="dxa"/>
          </w:tcPr>
          <w:p w14:paraId="2F28967C" w14:textId="77777777" w:rsidR="00A052DC" w:rsidRDefault="009F0A60">
            <w:pPr>
              <w:rPr>
                <w:rFonts w:ascii="黑体" w:eastAsia="黑体" w:hAnsi="黑体"/>
                <w:sz w:val="20"/>
                <w:szCs w:val="20"/>
              </w:rPr>
            </w:pPr>
            <w:r>
              <w:rPr>
                <w:rFonts w:ascii="黑体" w:eastAsia="黑体" w:hAnsi="黑体" w:hint="eastAsia"/>
                <w:sz w:val="20"/>
                <w:szCs w:val="20"/>
              </w:rPr>
              <w:t>必填项</w:t>
            </w:r>
            <w:r w:rsidR="005D3821">
              <w:rPr>
                <w:rFonts w:ascii="黑体" w:eastAsia="黑体" w:hAnsi="黑体" w:hint="eastAsia"/>
                <w:sz w:val="20"/>
                <w:szCs w:val="20"/>
              </w:rPr>
              <w:t>。</w:t>
            </w:r>
          </w:p>
          <w:p w14:paraId="4321D369" w14:textId="77777777" w:rsidR="00A052DC" w:rsidRDefault="009F0A60">
            <w:pPr>
              <w:rPr>
                <w:rFonts w:ascii="黑体" w:eastAsia="黑体" w:hAnsi="黑体"/>
                <w:sz w:val="20"/>
                <w:szCs w:val="20"/>
              </w:rPr>
            </w:pPr>
            <w:r>
              <w:rPr>
                <w:rFonts w:ascii="黑体" w:eastAsia="黑体" w:hAnsi="黑体" w:hint="eastAsia"/>
                <w:sz w:val="20"/>
                <w:szCs w:val="20"/>
              </w:rPr>
              <w:t>A</w:t>
            </w:r>
            <w:r w:rsidR="00AE4602">
              <w:rPr>
                <w:rFonts w:ascii="黑体" w:eastAsia="黑体" w:hAnsi="黑体" w:hint="eastAsia"/>
                <w:sz w:val="20"/>
                <w:szCs w:val="20"/>
              </w:rPr>
              <w:t>-</w:t>
            </w:r>
            <w:r>
              <w:rPr>
                <w:rFonts w:ascii="黑体" w:eastAsia="黑体" w:hAnsi="黑体" w:hint="eastAsia"/>
                <w:sz w:val="20"/>
                <w:szCs w:val="20"/>
              </w:rPr>
              <w:t>新建</w:t>
            </w:r>
          </w:p>
          <w:p w14:paraId="03B83E1D" w14:textId="77777777" w:rsidR="00A052DC" w:rsidRDefault="009F0A60">
            <w:pPr>
              <w:rPr>
                <w:rFonts w:ascii="黑体" w:eastAsia="黑体" w:hAnsi="黑体"/>
                <w:sz w:val="20"/>
                <w:szCs w:val="20"/>
              </w:rPr>
            </w:pPr>
            <w:r>
              <w:rPr>
                <w:rFonts w:ascii="黑体" w:eastAsia="黑体" w:hAnsi="黑体" w:hint="eastAsia"/>
                <w:sz w:val="20"/>
                <w:szCs w:val="20"/>
              </w:rPr>
              <w:t>C</w:t>
            </w:r>
            <w:r w:rsidR="00AE4602">
              <w:rPr>
                <w:rFonts w:ascii="黑体" w:eastAsia="黑体" w:hAnsi="黑体" w:hint="eastAsia"/>
                <w:sz w:val="20"/>
                <w:szCs w:val="20"/>
              </w:rPr>
              <w:t>-</w:t>
            </w:r>
            <w:r>
              <w:rPr>
                <w:rFonts w:ascii="黑体" w:eastAsia="黑体" w:hAnsi="黑体" w:hint="eastAsia"/>
                <w:sz w:val="20"/>
                <w:szCs w:val="20"/>
              </w:rPr>
              <w:t>修改</w:t>
            </w:r>
          </w:p>
          <w:p w14:paraId="4E337F47" w14:textId="77777777" w:rsidR="00A052DC" w:rsidRDefault="009F0A60">
            <w:pPr>
              <w:rPr>
                <w:rFonts w:ascii="黑体" w:eastAsia="黑体" w:hAnsi="黑体"/>
                <w:sz w:val="20"/>
                <w:szCs w:val="20"/>
              </w:rPr>
            </w:pPr>
            <w:r>
              <w:rPr>
                <w:rFonts w:ascii="黑体" w:eastAsia="黑体" w:hAnsi="黑体" w:hint="eastAsia"/>
                <w:sz w:val="20"/>
                <w:szCs w:val="20"/>
              </w:rPr>
              <w:t>D</w:t>
            </w:r>
            <w:r w:rsidR="00AE4602">
              <w:rPr>
                <w:rFonts w:ascii="黑体" w:eastAsia="黑体" w:hAnsi="黑体" w:hint="eastAsia"/>
                <w:sz w:val="20"/>
                <w:szCs w:val="20"/>
              </w:rPr>
              <w:t>-</w:t>
            </w:r>
            <w:r>
              <w:rPr>
                <w:rFonts w:ascii="黑体" w:eastAsia="黑体" w:hAnsi="黑体" w:hint="eastAsia"/>
                <w:sz w:val="20"/>
                <w:szCs w:val="20"/>
              </w:rPr>
              <w:t>删除</w:t>
            </w:r>
          </w:p>
        </w:tc>
      </w:tr>
      <w:tr w:rsidR="00A052DC" w14:paraId="42CCF3CC" w14:textId="77777777">
        <w:tc>
          <w:tcPr>
            <w:tcW w:w="1702" w:type="dxa"/>
          </w:tcPr>
          <w:p w14:paraId="1D97FF91" w14:textId="77777777" w:rsidR="00A052DC" w:rsidRDefault="009F0A60">
            <w:pPr>
              <w:rPr>
                <w:rFonts w:ascii="黑体" w:eastAsia="黑体" w:hAnsi="黑体"/>
                <w:sz w:val="20"/>
                <w:szCs w:val="20"/>
              </w:rPr>
            </w:pPr>
            <w:r>
              <w:rPr>
                <w:rFonts w:ascii="黑体" w:eastAsia="黑体" w:hAnsi="黑体"/>
                <w:sz w:val="20"/>
                <w:szCs w:val="20"/>
              </w:rPr>
              <w:t>ACTIONDESC</w:t>
            </w:r>
          </w:p>
        </w:tc>
        <w:tc>
          <w:tcPr>
            <w:tcW w:w="1701" w:type="dxa"/>
          </w:tcPr>
          <w:p w14:paraId="6B341AF7" w14:textId="77777777" w:rsidR="00A052DC" w:rsidRDefault="009F0A60">
            <w:pPr>
              <w:rPr>
                <w:rFonts w:ascii="黑体" w:eastAsia="黑体" w:hAnsi="黑体"/>
                <w:sz w:val="20"/>
                <w:szCs w:val="20"/>
              </w:rPr>
            </w:pPr>
            <w:r>
              <w:rPr>
                <w:rFonts w:ascii="黑体" w:eastAsia="黑体" w:hAnsi="黑体" w:hint="eastAsia"/>
                <w:sz w:val="20"/>
                <w:szCs w:val="20"/>
              </w:rPr>
              <w:t>删除原因</w:t>
            </w:r>
          </w:p>
        </w:tc>
        <w:tc>
          <w:tcPr>
            <w:tcW w:w="1559" w:type="dxa"/>
          </w:tcPr>
          <w:p w14:paraId="48FB65E6"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3685" w:type="dxa"/>
          </w:tcPr>
          <w:p w14:paraId="6F80FF3F" w14:textId="77777777" w:rsidR="00A052DC" w:rsidRDefault="00DD6AA3">
            <w:pPr>
              <w:rPr>
                <w:rFonts w:ascii="黑体" w:eastAsia="黑体" w:hAnsi="黑体"/>
                <w:sz w:val="20"/>
                <w:szCs w:val="20"/>
              </w:rPr>
            </w:pPr>
            <w:r>
              <w:rPr>
                <w:rFonts w:ascii="黑体" w:eastAsia="黑体" w:hAnsi="黑体" w:hint="eastAsia"/>
                <w:sz w:val="20"/>
                <w:szCs w:val="20"/>
              </w:rPr>
              <w:t>非必填项，当操作类型（ACTIONTYPE）为删除时必填。</w:t>
            </w:r>
          </w:p>
        </w:tc>
      </w:tr>
      <w:tr w:rsidR="00A052DC" w14:paraId="6A72AD91" w14:textId="77777777">
        <w:tc>
          <w:tcPr>
            <w:tcW w:w="1702" w:type="dxa"/>
          </w:tcPr>
          <w:p w14:paraId="4BB19FC4" w14:textId="77777777" w:rsidR="00A052DC" w:rsidRDefault="009F0A60">
            <w:pPr>
              <w:rPr>
                <w:rFonts w:ascii="黑体" w:eastAsia="黑体" w:hAnsi="黑体"/>
                <w:sz w:val="20"/>
                <w:szCs w:val="20"/>
              </w:rPr>
            </w:pPr>
            <w:r>
              <w:rPr>
                <w:rFonts w:ascii="黑体" w:eastAsia="黑体" w:hAnsi="黑体"/>
                <w:sz w:val="20"/>
                <w:szCs w:val="20"/>
              </w:rPr>
              <w:t>ExguaranCODE</w:t>
            </w:r>
          </w:p>
        </w:tc>
        <w:tc>
          <w:tcPr>
            <w:tcW w:w="1701" w:type="dxa"/>
          </w:tcPr>
          <w:p w14:paraId="784B070E" w14:textId="77777777" w:rsidR="00A052DC" w:rsidRDefault="009F0A60">
            <w:pPr>
              <w:rPr>
                <w:rFonts w:ascii="黑体" w:eastAsia="黑体" w:hAnsi="黑体"/>
                <w:sz w:val="20"/>
                <w:szCs w:val="20"/>
              </w:rPr>
            </w:pPr>
            <w:r>
              <w:rPr>
                <w:rFonts w:ascii="黑体" w:eastAsia="黑体" w:hAnsi="黑体" w:hint="eastAsia"/>
                <w:sz w:val="20"/>
                <w:szCs w:val="20"/>
              </w:rPr>
              <w:t>对外担保编号</w:t>
            </w:r>
          </w:p>
        </w:tc>
        <w:tc>
          <w:tcPr>
            <w:tcW w:w="1559" w:type="dxa"/>
          </w:tcPr>
          <w:p w14:paraId="715A90A8" w14:textId="77777777" w:rsidR="00A052DC" w:rsidRDefault="009F0A60">
            <w:pPr>
              <w:rPr>
                <w:rFonts w:ascii="黑体" w:eastAsia="黑体" w:hAnsi="黑体"/>
                <w:sz w:val="20"/>
                <w:szCs w:val="20"/>
              </w:rPr>
            </w:pPr>
            <w:r>
              <w:rPr>
                <w:rFonts w:ascii="黑体" w:eastAsia="黑体" w:hAnsi="黑体" w:hint="eastAsia"/>
                <w:sz w:val="20"/>
                <w:szCs w:val="20"/>
              </w:rPr>
              <w:t>字符型，28</w:t>
            </w:r>
          </w:p>
        </w:tc>
        <w:tc>
          <w:tcPr>
            <w:tcW w:w="3685" w:type="dxa"/>
          </w:tcPr>
          <w:p w14:paraId="3A6C5E83" w14:textId="77777777" w:rsidR="00A052DC" w:rsidRDefault="009F0A60" w:rsidP="005D3821">
            <w:pPr>
              <w:rPr>
                <w:rFonts w:ascii="黑体" w:eastAsia="黑体" w:hAnsi="黑体"/>
                <w:sz w:val="20"/>
                <w:szCs w:val="20"/>
              </w:rPr>
            </w:pPr>
            <w:r>
              <w:rPr>
                <w:rFonts w:ascii="黑体" w:eastAsia="黑体" w:hAnsi="黑体" w:hint="eastAsia"/>
                <w:sz w:val="20"/>
                <w:szCs w:val="20"/>
              </w:rPr>
              <w:t>必填项，对外担保唯一性编码。</w:t>
            </w:r>
          </w:p>
        </w:tc>
      </w:tr>
      <w:tr w:rsidR="00A052DC" w14:paraId="0F8286B0" w14:textId="77777777">
        <w:tc>
          <w:tcPr>
            <w:tcW w:w="1702" w:type="dxa"/>
          </w:tcPr>
          <w:p w14:paraId="4C7975AE" w14:textId="77777777" w:rsidR="00A052DC" w:rsidRDefault="009F0A60">
            <w:pPr>
              <w:rPr>
                <w:rFonts w:ascii="黑体" w:eastAsia="黑体" w:hAnsi="黑体"/>
                <w:sz w:val="20"/>
                <w:szCs w:val="20"/>
              </w:rPr>
            </w:pPr>
            <w:r>
              <w:rPr>
                <w:rFonts w:ascii="黑体" w:eastAsia="黑体" w:hAnsi="黑体"/>
                <w:sz w:val="20"/>
                <w:szCs w:val="20"/>
              </w:rPr>
              <w:t>ComplianceNO</w:t>
            </w:r>
          </w:p>
        </w:tc>
        <w:tc>
          <w:tcPr>
            <w:tcW w:w="1701" w:type="dxa"/>
          </w:tcPr>
          <w:p w14:paraId="6AA48487" w14:textId="77777777" w:rsidR="00A052DC" w:rsidRDefault="009F0A60">
            <w:pPr>
              <w:rPr>
                <w:rFonts w:ascii="黑体" w:eastAsia="黑体" w:hAnsi="黑体"/>
                <w:sz w:val="20"/>
                <w:szCs w:val="20"/>
              </w:rPr>
            </w:pPr>
            <w:r>
              <w:rPr>
                <w:rFonts w:ascii="黑体" w:eastAsia="黑体" w:hAnsi="黑体" w:hint="eastAsia"/>
                <w:sz w:val="20"/>
                <w:szCs w:val="20"/>
              </w:rPr>
              <w:t>履约编号</w:t>
            </w:r>
          </w:p>
        </w:tc>
        <w:tc>
          <w:tcPr>
            <w:tcW w:w="1559" w:type="dxa"/>
          </w:tcPr>
          <w:p w14:paraId="447D1399" w14:textId="77777777" w:rsidR="00A052DC" w:rsidRDefault="009F0A60">
            <w:pPr>
              <w:rPr>
                <w:rFonts w:ascii="黑体" w:eastAsia="黑体" w:hAnsi="黑体"/>
                <w:sz w:val="20"/>
                <w:szCs w:val="20"/>
              </w:rPr>
            </w:pPr>
            <w:r>
              <w:rPr>
                <w:rFonts w:ascii="黑体" w:eastAsia="黑体" w:hAnsi="黑体" w:hint="eastAsia"/>
                <w:sz w:val="20"/>
                <w:szCs w:val="20"/>
              </w:rPr>
              <w:t>字符型，4</w:t>
            </w:r>
          </w:p>
        </w:tc>
        <w:tc>
          <w:tcPr>
            <w:tcW w:w="3685" w:type="dxa"/>
          </w:tcPr>
          <w:p w14:paraId="0D65A549"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r w:rsidR="00A052DC" w14:paraId="1EB13DF3" w14:textId="77777777">
        <w:tc>
          <w:tcPr>
            <w:tcW w:w="1702" w:type="dxa"/>
          </w:tcPr>
          <w:p w14:paraId="1D75C503" w14:textId="77777777" w:rsidR="00A052DC" w:rsidRDefault="009F0A60">
            <w:pPr>
              <w:rPr>
                <w:rFonts w:ascii="黑体" w:eastAsia="黑体" w:hAnsi="黑体"/>
                <w:sz w:val="20"/>
                <w:szCs w:val="20"/>
              </w:rPr>
            </w:pPr>
            <w:r>
              <w:rPr>
                <w:rFonts w:ascii="黑体" w:eastAsia="黑体" w:hAnsi="黑体"/>
                <w:sz w:val="20"/>
                <w:szCs w:val="20"/>
              </w:rPr>
              <w:t>GuarantorCODE</w:t>
            </w:r>
          </w:p>
        </w:tc>
        <w:tc>
          <w:tcPr>
            <w:tcW w:w="1701" w:type="dxa"/>
          </w:tcPr>
          <w:p w14:paraId="4A13CAF9" w14:textId="77777777" w:rsidR="00A052DC" w:rsidRDefault="009F0A60">
            <w:pPr>
              <w:rPr>
                <w:rFonts w:ascii="黑体" w:eastAsia="黑体" w:hAnsi="黑体"/>
                <w:sz w:val="20"/>
                <w:szCs w:val="20"/>
              </w:rPr>
            </w:pPr>
            <w:r>
              <w:rPr>
                <w:rFonts w:ascii="黑体" w:eastAsia="黑体" w:hAnsi="黑体" w:hint="eastAsia"/>
                <w:sz w:val="20"/>
                <w:szCs w:val="20"/>
              </w:rPr>
              <w:t>担保人代码</w:t>
            </w:r>
          </w:p>
        </w:tc>
        <w:tc>
          <w:tcPr>
            <w:tcW w:w="1559" w:type="dxa"/>
          </w:tcPr>
          <w:p w14:paraId="745E85D9" w14:textId="77777777" w:rsidR="00A052DC" w:rsidRDefault="009F0A60">
            <w:pPr>
              <w:rPr>
                <w:rFonts w:ascii="黑体" w:eastAsia="黑体" w:hAnsi="黑体"/>
                <w:sz w:val="20"/>
                <w:szCs w:val="20"/>
              </w:rPr>
            </w:pPr>
            <w:r>
              <w:rPr>
                <w:rFonts w:ascii="黑体" w:eastAsia="黑体" w:hAnsi="黑体" w:hint="eastAsia"/>
                <w:sz w:val="20"/>
                <w:szCs w:val="20"/>
              </w:rPr>
              <w:t>定长数字型，12</w:t>
            </w:r>
          </w:p>
        </w:tc>
        <w:tc>
          <w:tcPr>
            <w:tcW w:w="3685" w:type="dxa"/>
          </w:tcPr>
          <w:p w14:paraId="6941DC67" w14:textId="77777777" w:rsidR="00A052DC" w:rsidRDefault="009F0A60" w:rsidP="005D3821">
            <w:pPr>
              <w:rPr>
                <w:rFonts w:ascii="黑体" w:eastAsia="黑体" w:hAnsi="黑体"/>
                <w:sz w:val="20"/>
                <w:szCs w:val="20"/>
              </w:rPr>
            </w:pPr>
            <w:r>
              <w:rPr>
                <w:rFonts w:ascii="黑体" w:eastAsia="黑体" w:hAnsi="黑体" w:hint="eastAsia"/>
                <w:sz w:val="20"/>
                <w:szCs w:val="20"/>
              </w:rPr>
              <w:t>必填项，金融机构标识码。</w:t>
            </w:r>
          </w:p>
        </w:tc>
      </w:tr>
      <w:tr w:rsidR="00A052DC" w14:paraId="2DB90C41" w14:textId="77777777">
        <w:tc>
          <w:tcPr>
            <w:tcW w:w="1702" w:type="dxa"/>
          </w:tcPr>
          <w:p w14:paraId="10A267A6" w14:textId="77777777" w:rsidR="00A052DC" w:rsidRDefault="009F0A60">
            <w:pPr>
              <w:rPr>
                <w:rFonts w:ascii="黑体" w:eastAsia="黑体" w:hAnsi="黑体"/>
                <w:sz w:val="20"/>
                <w:szCs w:val="20"/>
              </w:rPr>
            </w:pPr>
            <w:r>
              <w:rPr>
                <w:rFonts w:ascii="黑体" w:eastAsia="黑体" w:hAnsi="黑体"/>
                <w:sz w:val="20"/>
                <w:szCs w:val="20"/>
              </w:rPr>
              <w:t>BUSCODE</w:t>
            </w:r>
          </w:p>
        </w:tc>
        <w:tc>
          <w:tcPr>
            <w:tcW w:w="1701" w:type="dxa"/>
          </w:tcPr>
          <w:p w14:paraId="416F1303" w14:textId="77777777" w:rsidR="00A052DC" w:rsidRDefault="009F0A60">
            <w:pPr>
              <w:rPr>
                <w:rFonts w:ascii="黑体" w:eastAsia="黑体" w:hAnsi="黑体"/>
                <w:sz w:val="20"/>
                <w:szCs w:val="20"/>
              </w:rPr>
            </w:pPr>
            <w:r>
              <w:rPr>
                <w:rFonts w:ascii="黑体" w:eastAsia="黑体" w:hAnsi="黑体" w:hint="eastAsia"/>
                <w:sz w:val="20"/>
                <w:szCs w:val="20"/>
              </w:rPr>
              <w:t>银行业务参号</w:t>
            </w:r>
          </w:p>
        </w:tc>
        <w:tc>
          <w:tcPr>
            <w:tcW w:w="1559" w:type="dxa"/>
          </w:tcPr>
          <w:p w14:paraId="5D392D69" w14:textId="77777777" w:rsidR="00A052DC" w:rsidRDefault="009F0A60">
            <w:pPr>
              <w:rPr>
                <w:rFonts w:ascii="黑体" w:eastAsia="黑体" w:hAnsi="黑体"/>
                <w:sz w:val="20"/>
                <w:szCs w:val="20"/>
              </w:rPr>
            </w:pPr>
            <w:r>
              <w:rPr>
                <w:rFonts w:ascii="黑体" w:eastAsia="黑体" w:hAnsi="黑体" w:hint="eastAsia"/>
                <w:sz w:val="20"/>
                <w:szCs w:val="20"/>
              </w:rPr>
              <w:t>字符型，32</w:t>
            </w:r>
          </w:p>
        </w:tc>
        <w:tc>
          <w:tcPr>
            <w:tcW w:w="3685" w:type="dxa"/>
          </w:tcPr>
          <w:p w14:paraId="758FEE62" w14:textId="77777777" w:rsidR="00A052DC" w:rsidRDefault="009F0A60" w:rsidP="005D3821">
            <w:pPr>
              <w:rPr>
                <w:rFonts w:ascii="黑体" w:eastAsia="黑体" w:hAnsi="黑体"/>
                <w:sz w:val="20"/>
                <w:szCs w:val="20"/>
              </w:rPr>
            </w:pPr>
            <w:r>
              <w:rPr>
                <w:rFonts w:ascii="黑体" w:eastAsia="黑体" w:hAnsi="黑体" w:hint="eastAsia"/>
                <w:sz w:val="20"/>
                <w:szCs w:val="20"/>
              </w:rPr>
              <w:t>必填项，银行业务唯一性编号。</w:t>
            </w:r>
          </w:p>
        </w:tc>
      </w:tr>
      <w:tr w:rsidR="00A052DC" w14:paraId="7BCDAA81" w14:textId="77777777">
        <w:tc>
          <w:tcPr>
            <w:tcW w:w="1702" w:type="dxa"/>
          </w:tcPr>
          <w:p w14:paraId="2F17EDC2" w14:textId="77777777" w:rsidR="00A052DC" w:rsidRDefault="009F0A60">
            <w:pPr>
              <w:rPr>
                <w:rFonts w:ascii="黑体" w:eastAsia="黑体" w:hAnsi="黑体"/>
                <w:sz w:val="20"/>
                <w:szCs w:val="20"/>
              </w:rPr>
            </w:pPr>
            <w:r>
              <w:rPr>
                <w:rFonts w:ascii="黑体" w:eastAsia="黑体" w:hAnsi="黑体"/>
                <w:sz w:val="20"/>
                <w:szCs w:val="20"/>
              </w:rPr>
              <w:t>BENCODE</w:t>
            </w:r>
          </w:p>
        </w:tc>
        <w:tc>
          <w:tcPr>
            <w:tcW w:w="1701" w:type="dxa"/>
          </w:tcPr>
          <w:p w14:paraId="440904A4" w14:textId="77777777" w:rsidR="00A052DC" w:rsidRDefault="009F0A60">
            <w:pPr>
              <w:rPr>
                <w:rFonts w:ascii="黑体" w:eastAsia="黑体" w:hAnsi="黑体"/>
                <w:sz w:val="20"/>
                <w:szCs w:val="20"/>
              </w:rPr>
            </w:pPr>
            <w:r>
              <w:rPr>
                <w:rFonts w:ascii="黑体" w:eastAsia="黑体" w:hAnsi="黑体" w:hint="eastAsia"/>
                <w:sz w:val="20"/>
                <w:szCs w:val="20"/>
              </w:rPr>
              <w:t>受益人代码</w:t>
            </w:r>
          </w:p>
        </w:tc>
        <w:tc>
          <w:tcPr>
            <w:tcW w:w="1559" w:type="dxa"/>
          </w:tcPr>
          <w:p w14:paraId="2903E743" w14:textId="77777777" w:rsidR="00A052DC" w:rsidRDefault="009F0A60">
            <w:pPr>
              <w:rPr>
                <w:rFonts w:ascii="黑体" w:eastAsia="黑体" w:hAnsi="黑体"/>
                <w:sz w:val="20"/>
                <w:szCs w:val="20"/>
              </w:rPr>
            </w:pPr>
            <w:r>
              <w:rPr>
                <w:rFonts w:ascii="黑体" w:eastAsia="黑体" w:hAnsi="黑体" w:hint="eastAsia"/>
                <w:sz w:val="20"/>
                <w:szCs w:val="20"/>
              </w:rPr>
              <w:t>字符型，32</w:t>
            </w:r>
          </w:p>
        </w:tc>
        <w:tc>
          <w:tcPr>
            <w:tcW w:w="3685" w:type="dxa"/>
          </w:tcPr>
          <w:p w14:paraId="15CBCD75" w14:textId="77777777" w:rsidR="00A052DC" w:rsidRDefault="009F0A60">
            <w:pPr>
              <w:rPr>
                <w:rFonts w:ascii="黑体" w:eastAsia="黑体" w:hAnsi="黑体"/>
                <w:sz w:val="20"/>
                <w:szCs w:val="20"/>
              </w:rPr>
            </w:pPr>
            <w:r>
              <w:rPr>
                <w:rFonts w:ascii="黑体" w:eastAsia="黑体" w:hAnsi="黑体" w:hint="eastAsia"/>
                <w:sz w:val="20"/>
                <w:szCs w:val="20"/>
              </w:rPr>
              <w:t>非必填项，</w:t>
            </w:r>
          </w:p>
          <w:p w14:paraId="4695CC5B" w14:textId="77777777" w:rsidR="00A052DC" w:rsidRDefault="009F0A60">
            <w:pPr>
              <w:rPr>
                <w:rFonts w:ascii="黑体" w:eastAsia="黑体" w:hAnsi="黑体"/>
                <w:sz w:val="20"/>
                <w:szCs w:val="20"/>
              </w:rPr>
            </w:pPr>
            <w:r>
              <w:rPr>
                <w:rFonts w:ascii="黑体" w:eastAsia="黑体" w:hAnsi="黑体" w:hint="eastAsia"/>
                <w:sz w:val="20"/>
                <w:szCs w:val="20"/>
              </w:rPr>
              <w:t>如果受益人为境外金融机构，应填写8位或11位的SWIFTCODE；如果受益人为境内机构，应填写统一社会信用代码法定载体（如营业执照）上统一社会信用代码中的第9至17位或国家外汇管理局及其分支局签发的特殊机构代码赋码通知书上的机构代码；如果受益人为境内个人，应填写受益人个人身份证件号码。如果上述条件均不符合，则可为空。</w:t>
            </w:r>
          </w:p>
        </w:tc>
      </w:tr>
      <w:tr w:rsidR="00A052DC" w14:paraId="427B2527" w14:textId="77777777">
        <w:tc>
          <w:tcPr>
            <w:tcW w:w="1702" w:type="dxa"/>
          </w:tcPr>
          <w:p w14:paraId="1C1302D6" w14:textId="77777777" w:rsidR="00A052DC" w:rsidRDefault="009F0A60">
            <w:pPr>
              <w:rPr>
                <w:rFonts w:ascii="黑体" w:eastAsia="黑体" w:hAnsi="黑体"/>
                <w:sz w:val="20"/>
                <w:szCs w:val="20"/>
              </w:rPr>
            </w:pPr>
            <w:r>
              <w:rPr>
                <w:rFonts w:ascii="黑体" w:eastAsia="黑体" w:hAnsi="黑体"/>
                <w:sz w:val="20"/>
                <w:szCs w:val="20"/>
              </w:rPr>
              <w:t>BENAME</w:t>
            </w:r>
          </w:p>
        </w:tc>
        <w:tc>
          <w:tcPr>
            <w:tcW w:w="1701" w:type="dxa"/>
          </w:tcPr>
          <w:p w14:paraId="20609BD8" w14:textId="77777777" w:rsidR="00A052DC" w:rsidRDefault="009F0A60">
            <w:pPr>
              <w:rPr>
                <w:rFonts w:ascii="黑体" w:eastAsia="黑体" w:hAnsi="黑体"/>
                <w:sz w:val="20"/>
                <w:szCs w:val="20"/>
              </w:rPr>
            </w:pPr>
            <w:r>
              <w:rPr>
                <w:rFonts w:ascii="黑体" w:eastAsia="黑体" w:hAnsi="黑体" w:hint="eastAsia"/>
                <w:sz w:val="20"/>
                <w:szCs w:val="20"/>
              </w:rPr>
              <w:t>受益人中文名称</w:t>
            </w:r>
          </w:p>
        </w:tc>
        <w:tc>
          <w:tcPr>
            <w:tcW w:w="1559" w:type="dxa"/>
          </w:tcPr>
          <w:p w14:paraId="3547679D"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3685" w:type="dxa"/>
          </w:tcPr>
          <w:p w14:paraId="0F5ECA14" w14:textId="77777777" w:rsidR="00A052DC" w:rsidRDefault="009F0A60">
            <w:pPr>
              <w:rPr>
                <w:rFonts w:ascii="黑体" w:eastAsia="黑体" w:hAnsi="黑体"/>
                <w:sz w:val="20"/>
                <w:szCs w:val="20"/>
              </w:rPr>
            </w:pPr>
            <w:r>
              <w:rPr>
                <w:rFonts w:ascii="黑体" w:eastAsia="黑体" w:hAnsi="黑体" w:hint="eastAsia"/>
                <w:sz w:val="20"/>
                <w:szCs w:val="20"/>
              </w:rPr>
              <w:t>非必填项，中英文名称至少填写一个。</w:t>
            </w:r>
          </w:p>
        </w:tc>
      </w:tr>
      <w:tr w:rsidR="00A052DC" w14:paraId="132BCD4A" w14:textId="77777777">
        <w:tc>
          <w:tcPr>
            <w:tcW w:w="1702" w:type="dxa"/>
          </w:tcPr>
          <w:p w14:paraId="094D1260" w14:textId="77777777" w:rsidR="00A052DC" w:rsidRDefault="009F0A60">
            <w:pPr>
              <w:rPr>
                <w:rFonts w:ascii="黑体" w:eastAsia="黑体" w:hAnsi="黑体"/>
                <w:sz w:val="20"/>
                <w:szCs w:val="20"/>
              </w:rPr>
            </w:pPr>
            <w:r>
              <w:rPr>
                <w:rFonts w:ascii="黑体" w:eastAsia="黑体" w:hAnsi="黑体"/>
                <w:sz w:val="20"/>
                <w:szCs w:val="20"/>
              </w:rPr>
              <w:t>BENAMEN</w:t>
            </w:r>
          </w:p>
        </w:tc>
        <w:tc>
          <w:tcPr>
            <w:tcW w:w="1701" w:type="dxa"/>
          </w:tcPr>
          <w:p w14:paraId="6CC6B21B" w14:textId="77777777" w:rsidR="00A052DC" w:rsidRDefault="009F0A60">
            <w:pPr>
              <w:rPr>
                <w:rFonts w:ascii="黑体" w:eastAsia="黑体" w:hAnsi="黑体"/>
                <w:sz w:val="20"/>
                <w:szCs w:val="20"/>
              </w:rPr>
            </w:pPr>
            <w:r>
              <w:rPr>
                <w:rFonts w:ascii="黑体" w:eastAsia="黑体" w:hAnsi="黑体" w:hint="eastAsia"/>
                <w:sz w:val="20"/>
                <w:szCs w:val="20"/>
              </w:rPr>
              <w:t>受益人英文名称</w:t>
            </w:r>
          </w:p>
        </w:tc>
        <w:tc>
          <w:tcPr>
            <w:tcW w:w="1559" w:type="dxa"/>
          </w:tcPr>
          <w:p w14:paraId="1DABAFB8"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3685" w:type="dxa"/>
          </w:tcPr>
          <w:p w14:paraId="5E80EDB3" w14:textId="77777777" w:rsidR="00A052DC" w:rsidRDefault="009F0A60">
            <w:pPr>
              <w:rPr>
                <w:rFonts w:ascii="黑体" w:eastAsia="黑体" w:hAnsi="黑体"/>
                <w:sz w:val="20"/>
                <w:szCs w:val="20"/>
              </w:rPr>
            </w:pPr>
            <w:r>
              <w:rPr>
                <w:rFonts w:ascii="黑体" w:eastAsia="黑体" w:hAnsi="黑体" w:hint="eastAsia"/>
                <w:sz w:val="20"/>
                <w:szCs w:val="20"/>
              </w:rPr>
              <w:t>非必填项。</w:t>
            </w:r>
          </w:p>
        </w:tc>
      </w:tr>
      <w:tr w:rsidR="00A052DC" w14:paraId="693A0A4A" w14:textId="77777777">
        <w:tc>
          <w:tcPr>
            <w:tcW w:w="1702" w:type="dxa"/>
          </w:tcPr>
          <w:p w14:paraId="126F3A85" w14:textId="77777777" w:rsidR="00A052DC" w:rsidRDefault="009F0A60">
            <w:pPr>
              <w:rPr>
                <w:rFonts w:ascii="黑体" w:eastAsia="黑体" w:hAnsi="黑体"/>
                <w:sz w:val="20"/>
                <w:szCs w:val="20"/>
              </w:rPr>
            </w:pPr>
            <w:r>
              <w:rPr>
                <w:rFonts w:ascii="黑体" w:eastAsia="黑体" w:hAnsi="黑体"/>
                <w:sz w:val="20"/>
                <w:szCs w:val="20"/>
              </w:rPr>
              <w:t>Guperdate</w:t>
            </w:r>
          </w:p>
        </w:tc>
        <w:tc>
          <w:tcPr>
            <w:tcW w:w="1701" w:type="dxa"/>
          </w:tcPr>
          <w:p w14:paraId="5024C15A" w14:textId="77777777" w:rsidR="00A052DC" w:rsidRDefault="009F0A60">
            <w:pPr>
              <w:rPr>
                <w:rFonts w:ascii="黑体" w:eastAsia="黑体" w:hAnsi="黑体"/>
                <w:sz w:val="20"/>
                <w:szCs w:val="20"/>
              </w:rPr>
            </w:pPr>
            <w:r>
              <w:rPr>
                <w:rFonts w:ascii="黑体" w:eastAsia="黑体" w:hAnsi="黑体" w:hint="eastAsia"/>
                <w:sz w:val="20"/>
                <w:szCs w:val="20"/>
              </w:rPr>
              <w:t>履约日期</w:t>
            </w:r>
          </w:p>
        </w:tc>
        <w:tc>
          <w:tcPr>
            <w:tcW w:w="1559" w:type="dxa"/>
          </w:tcPr>
          <w:p w14:paraId="2D1A8D03" w14:textId="77777777" w:rsidR="00A052DC" w:rsidRDefault="009F0A60">
            <w:pPr>
              <w:rPr>
                <w:rFonts w:ascii="黑体" w:eastAsia="黑体" w:hAnsi="黑体"/>
                <w:sz w:val="20"/>
                <w:szCs w:val="20"/>
              </w:rPr>
            </w:pPr>
            <w:r>
              <w:rPr>
                <w:rFonts w:ascii="黑体" w:eastAsia="黑体" w:hAnsi="黑体" w:hint="eastAsia"/>
                <w:sz w:val="20"/>
                <w:szCs w:val="20"/>
              </w:rPr>
              <w:t>日期型，8</w:t>
            </w:r>
          </w:p>
        </w:tc>
        <w:tc>
          <w:tcPr>
            <w:tcW w:w="3685" w:type="dxa"/>
          </w:tcPr>
          <w:p w14:paraId="6EA07478" w14:textId="77777777" w:rsidR="00A052DC" w:rsidRDefault="009F0A60">
            <w:pPr>
              <w:rPr>
                <w:rFonts w:ascii="黑体" w:eastAsia="黑体" w:hAnsi="黑体"/>
                <w:sz w:val="20"/>
                <w:szCs w:val="20"/>
              </w:rPr>
            </w:pPr>
            <w:r>
              <w:rPr>
                <w:rFonts w:ascii="黑体" w:eastAsia="黑体" w:hAnsi="黑体" w:hint="eastAsia"/>
                <w:sz w:val="20"/>
                <w:szCs w:val="20"/>
              </w:rPr>
              <w:t>必填项，</w:t>
            </w:r>
          </w:p>
          <w:p w14:paraId="1CA10B45" w14:textId="77777777" w:rsidR="00A052DC" w:rsidRDefault="009F0A60">
            <w:pPr>
              <w:rPr>
                <w:rFonts w:ascii="黑体" w:eastAsia="黑体" w:hAnsi="黑体"/>
                <w:sz w:val="20"/>
                <w:szCs w:val="20"/>
              </w:rPr>
            </w:pPr>
            <w:r>
              <w:rPr>
                <w:rFonts w:ascii="黑体" w:eastAsia="黑体" w:hAnsi="黑体" w:hint="eastAsia"/>
                <w:sz w:val="20"/>
                <w:szCs w:val="20"/>
              </w:rPr>
              <w:t>每笔履约日期，格式YYYYMMDD，大于等于签约日期。</w:t>
            </w:r>
          </w:p>
        </w:tc>
      </w:tr>
      <w:tr w:rsidR="00A052DC" w14:paraId="70DAC583" w14:textId="77777777">
        <w:tc>
          <w:tcPr>
            <w:tcW w:w="1702" w:type="dxa"/>
          </w:tcPr>
          <w:p w14:paraId="72A9A9DF" w14:textId="77777777" w:rsidR="00A052DC" w:rsidRDefault="009F0A60">
            <w:pPr>
              <w:rPr>
                <w:rFonts w:ascii="黑体" w:eastAsia="黑体" w:hAnsi="黑体"/>
                <w:sz w:val="20"/>
                <w:szCs w:val="20"/>
              </w:rPr>
            </w:pPr>
            <w:r>
              <w:rPr>
                <w:rFonts w:ascii="黑体" w:eastAsia="黑体" w:hAnsi="黑体"/>
                <w:sz w:val="20"/>
                <w:szCs w:val="20"/>
              </w:rPr>
              <w:t>GuperCURR</w:t>
            </w:r>
          </w:p>
        </w:tc>
        <w:tc>
          <w:tcPr>
            <w:tcW w:w="1701" w:type="dxa"/>
          </w:tcPr>
          <w:p w14:paraId="71E6CCEA" w14:textId="77777777" w:rsidR="00A052DC" w:rsidRDefault="009F0A60">
            <w:pPr>
              <w:rPr>
                <w:rFonts w:ascii="黑体" w:eastAsia="黑体" w:hAnsi="黑体"/>
                <w:sz w:val="20"/>
                <w:szCs w:val="20"/>
              </w:rPr>
            </w:pPr>
            <w:r>
              <w:rPr>
                <w:rFonts w:ascii="黑体" w:eastAsia="黑体" w:hAnsi="黑体" w:hint="eastAsia"/>
                <w:sz w:val="20"/>
                <w:szCs w:val="20"/>
              </w:rPr>
              <w:t>履约币种</w:t>
            </w:r>
          </w:p>
        </w:tc>
        <w:tc>
          <w:tcPr>
            <w:tcW w:w="1559" w:type="dxa"/>
          </w:tcPr>
          <w:p w14:paraId="3E50256B" w14:textId="77777777" w:rsidR="00A052DC" w:rsidRDefault="009F0A60">
            <w:pPr>
              <w:rPr>
                <w:rFonts w:ascii="黑体" w:eastAsia="黑体" w:hAnsi="黑体"/>
                <w:sz w:val="20"/>
                <w:szCs w:val="20"/>
              </w:rPr>
            </w:pPr>
            <w:r>
              <w:rPr>
                <w:rFonts w:ascii="黑体" w:eastAsia="黑体" w:hAnsi="黑体" w:hint="eastAsia"/>
                <w:sz w:val="20"/>
                <w:szCs w:val="20"/>
              </w:rPr>
              <w:t>字符型，3</w:t>
            </w:r>
          </w:p>
        </w:tc>
        <w:tc>
          <w:tcPr>
            <w:tcW w:w="3685" w:type="dxa"/>
          </w:tcPr>
          <w:p w14:paraId="23B84FD1" w14:textId="77777777" w:rsidR="00A052DC" w:rsidRDefault="009F0A60">
            <w:pPr>
              <w:rPr>
                <w:rFonts w:ascii="黑体" w:eastAsia="黑体" w:hAnsi="黑体"/>
                <w:sz w:val="20"/>
                <w:szCs w:val="20"/>
              </w:rPr>
            </w:pPr>
            <w:r>
              <w:rPr>
                <w:rFonts w:ascii="黑体" w:eastAsia="黑体" w:hAnsi="黑体" w:hint="eastAsia"/>
                <w:sz w:val="20"/>
                <w:szCs w:val="20"/>
              </w:rPr>
              <w:t>必填项，见币种代码表。</w:t>
            </w:r>
          </w:p>
        </w:tc>
      </w:tr>
      <w:tr w:rsidR="00A052DC" w14:paraId="757A5D43" w14:textId="77777777">
        <w:tc>
          <w:tcPr>
            <w:tcW w:w="1702" w:type="dxa"/>
          </w:tcPr>
          <w:p w14:paraId="13D82276" w14:textId="77777777" w:rsidR="00A052DC" w:rsidRDefault="009F0A60">
            <w:pPr>
              <w:rPr>
                <w:rFonts w:ascii="黑体" w:eastAsia="黑体" w:hAnsi="黑体"/>
                <w:sz w:val="20"/>
                <w:szCs w:val="20"/>
              </w:rPr>
            </w:pPr>
            <w:r>
              <w:rPr>
                <w:rFonts w:ascii="黑体" w:eastAsia="黑体" w:hAnsi="黑体"/>
                <w:sz w:val="20"/>
                <w:szCs w:val="20"/>
              </w:rPr>
              <w:t>GuperAMOUNT</w:t>
            </w:r>
          </w:p>
        </w:tc>
        <w:tc>
          <w:tcPr>
            <w:tcW w:w="1701" w:type="dxa"/>
          </w:tcPr>
          <w:p w14:paraId="65AEC3AF" w14:textId="77777777" w:rsidR="00A052DC" w:rsidRDefault="009F0A60">
            <w:pPr>
              <w:rPr>
                <w:rFonts w:ascii="黑体" w:eastAsia="黑体" w:hAnsi="黑体"/>
                <w:sz w:val="20"/>
                <w:szCs w:val="20"/>
              </w:rPr>
            </w:pPr>
            <w:r>
              <w:rPr>
                <w:rFonts w:ascii="黑体" w:eastAsia="黑体" w:hAnsi="黑体" w:hint="eastAsia"/>
                <w:sz w:val="20"/>
                <w:szCs w:val="20"/>
              </w:rPr>
              <w:t>履约金额</w:t>
            </w:r>
          </w:p>
        </w:tc>
        <w:tc>
          <w:tcPr>
            <w:tcW w:w="1559" w:type="dxa"/>
          </w:tcPr>
          <w:p w14:paraId="7C9600F7"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3685" w:type="dxa"/>
          </w:tcPr>
          <w:p w14:paraId="21AFEF41" w14:textId="77777777" w:rsidR="00A052DC" w:rsidRDefault="009F0A60">
            <w:pPr>
              <w:rPr>
                <w:rFonts w:ascii="黑体" w:eastAsia="黑体" w:hAnsi="黑体"/>
                <w:sz w:val="20"/>
                <w:szCs w:val="20"/>
              </w:rPr>
            </w:pPr>
            <w:r>
              <w:rPr>
                <w:rFonts w:ascii="黑体" w:eastAsia="黑体" w:hAnsi="黑体" w:hint="eastAsia"/>
                <w:sz w:val="20"/>
                <w:szCs w:val="20"/>
              </w:rPr>
              <w:t>必填项，大于等于0，小于等于保函金额。</w:t>
            </w:r>
          </w:p>
        </w:tc>
      </w:tr>
      <w:tr w:rsidR="00A052DC" w14:paraId="0346BD29" w14:textId="77777777">
        <w:tc>
          <w:tcPr>
            <w:tcW w:w="1702" w:type="dxa"/>
          </w:tcPr>
          <w:p w14:paraId="7258CC92" w14:textId="77777777" w:rsidR="00A052DC" w:rsidRDefault="009F0A60">
            <w:pPr>
              <w:rPr>
                <w:rFonts w:ascii="黑体" w:eastAsia="黑体" w:hAnsi="黑体"/>
                <w:sz w:val="20"/>
                <w:szCs w:val="20"/>
              </w:rPr>
            </w:pPr>
            <w:r>
              <w:rPr>
                <w:rFonts w:ascii="黑体" w:eastAsia="黑体" w:hAnsi="黑体"/>
                <w:sz w:val="20"/>
                <w:szCs w:val="20"/>
              </w:rPr>
              <w:t>PGuperAMOUNT</w:t>
            </w:r>
          </w:p>
        </w:tc>
        <w:tc>
          <w:tcPr>
            <w:tcW w:w="1701" w:type="dxa"/>
          </w:tcPr>
          <w:p w14:paraId="53ACF958" w14:textId="77777777" w:rsidR="00A052DC" w:rsidRDefault="009F0A60">
            <w:pPr>
              <w:rPr>
                <w:rFonts w:ascii="黑体" w:eastAsia="黑体" w:hAnsi="黑体"/>
                <w:sz w:val="20"/>
                <w:szCs w:val="20"/>
              </w:rPr>
            </w:pPr>
            <w:r>
              <w:rPr>
                <w:rFonts w:ascii="黑体" w:eastAsia="黑体" w:hAnsi="黑体" w:hint="eastAsia"/>
                <w:sz w:val="20"/>
                <w:szCs w:val="20"/>
              </w:rPr>
              <w:t>购汇履约金额</w:t>
            </w:r>
          </w:p>
        </w:tc>
        <w:tc>
          <w:tcPr>
            <w:tcW w:w="1559" w:type="dxa"/>
          </w:tcPr>
          <w:p w14:paraId="2DE68BFF"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3685" w:type="dxa"/>
          </w:tcPr>
          <w:p w14:paraId="0095861D" w14:textId="77777777" w:rsidR="00A052DC" w:rsidRDefault="009F0A60">
            <w:pPr>
              <w:rPr>
                <w:rFonts w:ascii="黑体" w:eastAsia="黑体" w:hAnsi="黑体"/>
                <w:sz w:val="20"/>
                <w:szCs w:val="20"/>
              </w:rPr>
            </w:pPr>
            <w:r>
              <w:rPr>
                <w:rFonts w:ascii="黑体" w:eastAsia="黑体" w:hAnsi="黑体" w:hint="eastAsia"/>
                <w:sz w:val="20"/>
                <w:szCs w:val="20"/>
              </w:rPr>
              <w:t>必填项，大于等于0，小于等于履约金额。</w:t>
            </w:r>
          </w:p>
        </w:tc>
      </w:tr>
      <w:tr w:rsidR="00A052DC" w14:paraId="1B35A77E" w14:textId="77777777">
        <w:tc>
          <w:tcPr>
            <w:tcW w:w="1702" w:type="dxa"/>
            <w:tcBorders>
              <w:top w:val="single" w:sz="4" w:space="0" w:color="auto"/>
              <w:left w:val="single" w:sz="4" w:space="0" w:color="auto"/>
              <w:bottom w:val="single" w:sz="4" w:space="0" w:color="auto"/>
              <w:right w:val="single" w:sz="4" w:space="0" w:color="auto"/>
            </w:tcBorders>
          </w:tcPr>
          <w:p w14:paraId="4BD39155" w14:textId="77777777" w:rsidR="00A052DC" w:rsidRDefault="009F0A60">
            <w:pPr>
              <w:rPr>
                <w:rFonts w:ascii="黑体" w:eastAsia="黑体" w:hAnsi="黑体"/>
                <w:sz w:val="20"/>
                <w:szCs w:val="20"/>
              </w:rPr>
            </w:pPr>
            <w:r>
              <w:rPr>
                <w:rFonts w:ascii="黑体" w:eastAsia="黑体" w:hAnsi="黑体"/>
                <w:sz w:val="20"/>
                <w:szCs w:val="20"/>
              </w:rPr>
              <w:t>REMARK</w:t>
            </w:r>
          </w:p>
        </w:tc>
        <w:tc>
          <w:tcPr>
            <w:tcW w:w="1701" w:type="dxa"/>
            <w:tcBorders>
              <w:top w:val="single" w:sz="4" w:space="0" w:color="auto"/>
              <w:left w:val="single" w:sz="4" w:space="0" w:color="auto"/>
              <w:bottom w:val="single" w:sz="4" w:space="0" w:color="auto"/>
              <w:right w:val="single" w:sz="4" w:space="0" w:color="auto"/>
            </w:tcBorders>
          </w:tcPr>
          <w:p w14:paraId="0E7B3B24" w14:textId="77777777" w:rsidR="00A052DC" w:rsidRDefault="009F0A60">
            <w:pPr>
              <w:rPr>
                <w:rFonts w:ascii="黑体" w:eastAsia="黑体" w:hAnsi="黑体"/>
                <w:sz w:val="20"/>
                <w:szCs w:val="20"/>
              </w:rPr>
            </w:pPr>
            <w:r>
              <w:rPr>
                <w:rFonts w:ascii="黑体" w:eastAsia="黑体" w:hAnsi="黑体" w:hint="eastAsia"/>
                <w:sz w:val="20"/>
                <w:szCs w:val="20"/>
              </w:rPr>
              <w:t>备注</w:t>
            </w:r>
          </w:p>
        </w:tc>
        <w:tc>
          <w:tcPr>
            <w:tcW w:w="1559" w:type="dxa"/>
            <w:tcBorders>
              <w:top w:val="single" w:sz="4" w:space="0" w:color="auto"/>
              <w:left w:val="single" w:sz="4" w:space="0" w:color="auto"/>
              <w:bottom w:val="single" w:sz="4" w:space="0" w:color="auto"/>
              <w:right w:val="single" w:sz="4" w:space="0" w:color="auto"/>
            </w:tcBorders>
          </w:tcPr>
          <w:p w14:paraId="2898835C" w14:textId="77777777" w:rsidR="00A052DC" w:rsidRDefault="009F0A60">
            <w:pPr>
              <w:rPr>
                <w:rFonts w:ascii="黑体" w:eastAsia="黑体" w:hAnsi="黑体"/>
                <w:sz w:val="20"/>
                <w:szCs w:val="20"/>
              </w:rPr>
            </w:pPr>
            <w:r>
              <w:rPr>
                <w:rFonts w:ascii="黑体" w:eastAsia="黑体" w:hAnsi="黑体" w:hint="eastAsia"/>
                <w:sz w:val="20"/>
                <w:szCs w:val="20"/>
              </w:rPr>
              <w:t>字符型，256</w:t>
            </w:r>
          </w:p>
        </w:tc>
        <w:tc>
          <w:tcPr>
            <w:tcW w:w="3685" w:type="dxa"/>
            <w:tcBorders>
              <w:top w:val="single" w:sz="4" w:space="0" w:color="auto"/>
              <w:left w:val="single" w:sz="4" w:space="0" w:color="auto"/>
              <w:bottom w:val="single" w:sz="4" w:space="0" w:color="auto"/>
              <w:right w:val="single" w:sz="4" w:space="0" w:color="auto"/>
            </w:tcBorders>
          </w:tcPr>
          <w:p w14:paraId="7DF42B7F" w14:textId="77777777" w:rsidR="00A052DC" w:rsidRDefault="009F0A60">
            <w:pPr>
              <w:rPr>
                <w:rFonts w:ascii="黑体" w:eastAsia="黑体" w:hAnsi="黑体"/>
                <w:sz w:val="20"/>
                <w:szCs w:val="20"/>
              </w:rPr>
            </w:pPr>
            <w:r>
              <w:rPr>
                <w:rFonts w:ascii="黑体" w:eastAsia="黑体" w:hAnsi="黑体" w:hint="eastAsia"/>
                <w:sz w:val="20"/>
                <w:szCs w:val="20"/>
              </w:rPr>
              <w:t>非必填项。</w:t>
            </w:r>
          </w:p>
        </w:tc>
      </w:tr>
    </w:tbl>
    <w:p w14:paraId="74674617" w14:textId="77777777" w:rsidR="00A052DC" w:rsidRDefault="00A052DC"/>
    <w:p w14:paraId="38F8DED6" w14:textId="77777777" w:rsidR="00A052DC" w:rsidRDefault="009F0A60" w:rsidP="0020251D">
      <w:pPr>
        <w:pStyle w:val="3"/>
        <w:ind w:left="0"/>
        <w:rPr>
          <w:rFonts w:ascii="Times New Roman" w:hAnsi="Times New Roman"/>
        </w:rPr>
      </w:pPr>
      <w:bookmarkStart w:id="1633" w:name="_Toc91455294"/>
      <w:bookmarkStart w:id="1634" w:name="_Toc454386960"/>
      <w:bookmarkStart w:id="1635" w:name="_Toc380356264"/>
      <w:bookmarkStart w:id="1636" w:name="_Toc328635518"/>
      <w:bookmarkStart w:id="1637" w:name="_Toc101684467"/>
      <w:r>
        <w:rPr>
          <w:rFonts w:ascii="Times New Roman" w:hAnsi="Times New Roman" w:hint="eastAsia"/>
        </w:rPr>
        <w:t>国内外汇贷款（含外债转贷款）</w:t>
      </w:r>
      <w:bookmarkEnd w:id="1633"/>
      <w:bookmarkEnd w:id="1634"/>
      <w:bookmarkEnd w:id="1635"/>
      <w:bookmarkEnd w:id="1636"/>
      <w:bookmarkEnd w:id="1637"/>
    </w:p>
    <w:p w14:paraId="3E898299" w14:textId="77777777" w:rsidR="00A052DC" w:rsidRDefault="009F0A60" w:rsidP="0020251D">
      <w:pPr>
        <w:pStyle w:val="4"/>
        <w:numPr>
          <w:ilvl w:val="3"/>
          <w:numId w:val="1"/>
        </w:numPr>
        <w:jc w:val="left"/>
      </w:pPr>
      <w:bookmarkStart w:id="1638" w:name="_Toc454386961"/>
      <w:bookmarkStart w:id="1639" w:name="_Toc328635519"/>
      <w:r>
        <w:rPr>
          <w:rFonts w:hint="eastAsia"/>
        </w:rPr>
        <w:t>签约信息</w:t>
      </w:r>
      <w:bookmarkEnd w:id="1638"/>
      <w:bookmarkEnd w:id="1639"/>
    </w:p>
    <w:p w14:paraId="3C63ECAB" w14:textId="77777777" w:rsidR="00A052DC" w:rsidRDefault="009F0A60" w:rsidP="0020251D">
      <w:pPr>
        <w:pStyle w:val="5"/>
        <w:numPr>
          <w:ilvl w:val="4"/>
          <w:numId w:val="1"/>
        </w:numPr>
        <w:spacing w:before="120" w:after="120" w:line="360" w:lineRule="auto"/>
        <w:jc w:val="left"/>
      </w:pPr>
      <w:bookmarkStart w:id="1640" w:name="_Toc328635520"/>
      <w:bookmarkStart w:id="1641" w:name="_Toc454386962"/>
      <w:r>
        <w:rPr>
          <w:rFonts w:hint="eastAsia"/>
        </w:rPr>
        <w:t>数据术语解释</w:t>
      </w:r>
      <w:bookmarkEnd w:id="1640"/>
      <w:bookmarkEnd w:id="1641"/>
    </w:p>
    <w:tbl>
      <w:tblPr>
        <w:tblW w:w="84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26"/>
        <w:gridCol w:w="6946"/>
      </w:tblGrid>
      <w:tr w:rsidR="00A052DC" w14:paraId="4FAEDA8B" w14:textId="77777777">
        <w:tc>
          <w:tcPr>
            <w:tcW w:w="1526" w:type="dxa"/>
          </w:tcPr>
          <w:p w14:paraId="607B21BA" w14:textId="77777777" w:rsidR="00A052DC" w:rsidRDefault="009F0A60">
            <w:pPr>
              <w:jc w:val="center"/>
              <w:rPr>
                <w:rFonts w:ascii="黑体" w:eastAsia="黑体" w:hAnsi="黑体"/>
                <w:b/>
                <w:sz w:val="20"/>
                <w:szCs w:val="20"/>
              </w:rPr>
            </w:pPr>
            <w:r>
              <w:rPr>
                <w:rFonts w:ascii="黑体" w:eastAsia="黑体" w:hAnsi="黑体" w:hint="eastAsia"/>
                <w:b/>
                <w:sz w:val="20"/>
                <w:szCs w:val="20"/>
              </w:rPr>
              <w:t>基础数据项</w:t>
            </w:r>
          </w:p>
        </w:tc>
        <w:tc>
          <w:tcPr>
            <w:tcW w:w="6946" w:type="dxa"/>
          </w:tcPr>
          <w:p w14:paraId="6EC9D2F4" w14:textId="77777777" w:rsidR="00A052DC" w:rsidRDefault="009F0A60">
            <w:pPr>
              <w:jc w:val="center"/>
              <w:rPr>
                <w:rFonts w:ascii="黑体" w:eastAsia="黑体" w:hAnsi="黑体"/>
                <w:b/>
                <w:sz w:val="20"/>
                <w:szCs w:val="20"/>
              </w:rPr>
            </w:pPr>
            <w:r>
              <w:rPr>
                <w:rFonts w:ascii="黑体" w:eastAsia="黑体" w:hAnsi="黑体" w:hint="eastAsia"/>
                <w:b/>
                <w:sz w:val="20"/>
                <w:szCs w:val="20"/>
              </w:rPr>
              <w:t>定义</w:t>
            </w:r>
          </w:p>
        </w:tc>
      </w:tr>
      <w:tr w:rsidR="00A052DC" w14:paraId="60AD6AE6" w14:textId="77777777">
        <w:trPr>
          <w:cantSplit/>
          <w:trHeight w:val="218"/>
        </w:trPr>
        <w:tc>
          <w:tcPr>
            <w:tcW w:w="1526" w:type="dxa"/>
          </w:tcPr>
          <w:p w14:paraId="0202E2BD" w14:textId="77777777" w:rsidR="00A052DC" w:rsidRDefault="009F0A60">
            <w:pPr>
              <w:rPr>
                <w:rFonts w:ascii="黑体" w:eastAsia="黑体" w:hAnsi="黑体"/>
                <w:sz w:val="20"/>
                <w:szCs w:val="20"/>
              </w:rPr>
            </w:pPr>
            <w:r>
              <w:rPr>
                <w:rFonts w:ascii="黑体" w:eastAsia="黑体" w:hAnsi="黑体" w:hint="eastAsia"/>
                <w:sz w:val="20"/>
                <w:szCs w:val="20"/>
              </w:rPr>
              <w:t>国内外汇贷款编号</w:t>
            </w:r>
          </w:p>
        </w:tc>
        <w:tc>
          <w:tcPr>
            <w:tcW w:w="6946" w:type="dxa"/>
          </w:tcPr>
          <w:p w14:paraId="43C110C7" w14:textId="77777777" w:rsidR="00A052DC" w:rsidRDefault="009F0A60">
            <w:pPr>
              <w:rPr>
                <w:rFonts w:ascii="黑体" w:eastAsia="黑体" w:hAnsi="黑体"/>
                <w:sz w:val="20"/>
                <w:szCs w:val="20"/>
              </w:rPr>
            </w:pPr>
            <w:r>
              <w:rPr>
                <w:rFonts w:ascii="黑体" w:eastAsia="黑体" w:hAnsi="黑体" w:hint="eastAsia"/>
                <w:sz w:val="20"/>
                <w:szCs w:val="20"/>
              </w:rPr>
              <w:t>外汇局制定统一编号规则，银行自行对每一笔国内外汇贷款编号，用于唯一标识该笔国内外汇贷款。银行外汇贷款编号共计28位。第1至2位为业务类型标识，第3位至14位为银行金融机构标识码;第15至22位为8位年月日数字（20110701）;第23至28位为该笔业务的流水号（流水码编制规则：从000001～999999）。银行向境内机构新发放一笔国内外汇贷款时，需为该笔外汇贷款编制国内外汇贷款编号，同一笔外汇贷款发生变更或展期时，不作为一笔新贷款进行登记，发生展期时，变更到期日。</w:t>
            </w:r>
          </w:p>
        </w:tc>
      </w:tr>
      <w:tr w:rsidR="00A052DC" w14:paraId="72722635" w14:textId="77777777">
        <w:trPr>
          <w:cantSplit/>
        </w:trPr>
        <w:tc>
          <w:tcPr>
            <w:tcW w:w="1526" w:type="dxa"/>
          </w:tcPr>
          <w:p w14:paraId="77EAEAC5" w14:textId="77777777" w:rsidR="00A052DC" w:rsidRDefault="009F0A60">
            <w:pPr>
              <w:rPr>
                <w:rFonts w:ascii="黑体" w:eastAsia="黑体" w:hAnsi="黑体"/>
                <w:sz w:val="20"/>
                <w:szCs w:val="20"/>
              </w:rPr>
            </w:pPr>
            <w:r>
              <w:rPr>
                <w:rFonts w:ascii="黑体" w:eastAsia="黑体" w:hAnsi="黑体" w:hint="eastAsia"/>
                <w:sz w:val="20"/>
                <w:szCs w:val="20"/>
              </w:rPr>
              <w:t>债权人代码</w:t>
            </w:r>
          </w:p>
        </w:tc>
        <w:tc>
          <w:tcPr>
            <w:tcW w:w="6946" w:type="dxa"/>
          </w:tcPr>
          <w:p w14:paraId="0A3D7304" w14:textId="77777777" w:rsidR="00A052DC" w:rsidRDefault="009F0A60">
            <w:pPr>
              <w:rPr>
                <w:rFonts w:ascii="黑体" w:eastAsia="黑体" w:hAnsi="黑体"/>
                <w:sz w:val="20"/>
                <w:szCs w:val="20"/>
              </w:rPr>
            </w:pPr>
            <w:r>
              <w:rPr>
                <w:rFonts w:ascii="黑体" w:eastAsia="黑体" w:hAnsi="黑体" w:hint="eastAsia"/>
                <w:sz w:val="20"/>
                <w:szCs w:val="20"/>
              </w:rPr>
              <w:t>国家外汇管理局及其分支局签发给债权银行的12位金融机构标识码编码。</w:t>
            </w:r>
          </w:p>
        </w:tc>
      </w:tr>
      <w:tr w:rsidR="00A052DC" w14:paraId="6BE5C076" w14:textId="77777777">
        <w:trPr>
          <w:cantSplit/>
        </w:trPr>
        <w:tc>
          <w:tcPr>
            <w:tcW w:w="1526" w:type="dxa"/>
          </w:tcPr>
          <w:p w14:paraId="2030C394" w14:textId="77777777" w:rsidR="00A052DC" w:rsidRDefault="009F0A60">
            <w:pPr>
              <w:rPr>
                <w:rFonts w:ascii="黑体" w:eastAsia="黑体" w:hAnsi="黑体"/>
                <w:sz w:val="20"/>
                <w:szCs w:val="20"/>
              </w:rPr>
            </w:pPr>
            <w:r>
              <w:rPr>
                <w:rFonts w:ascii="黑体" w:eastAsia="黑体" w:hAnsi="黑体" w:hint="eastAsia"/>
                <w:sz w:val="20"/>
                <w:szCs w:val="20"/>
              </w:rPr>
              <w:t>债务人代码</w:t>
            </w:r>
          </w:p>
        </w:tc>
        <w:tc>
          <w:tcPr>
            <w:tcW w:w="6946" w:type="dxa"/>
          </w:tcPr>
          <w:p w14:paraId="09CBD637" w14:textId="77777777" w:rsidR="00A052DC" w:rsidRDefault="009F0A60">
            <w:pPr>
              <w:rPr>
                <w:rFonts w:ascii="黑体" w:eastAsia="黑体" w:hAnsi="黑体"/>
                <w:sz w:val="20"/>
                <w:szCs w:val="20"/>
              </w:rPr>
            </w:pPr>
            <w:r>
              <w:rPr>
                <w:rFonts w:ascii="黑体" w:eastAsia="黑体" w:hAnsi="黑体" w:hint="eastAsia"/>
                <w:sz w:val="20"/>
                <w:szCs w:val="20"/>
              </w:rPr>
              <w:t>指统一社会信用代码法定载体（如营业执照）上统一社会信用代码中的第9至17位或国家外汇管理局及其分支局签发的特殊机构代码赋码通知书上的机构代码。</w:t>
            </w:r>
          </w:p>
        </w:tc>
      </w:tr>
      <w:tr w:rsidR="00A052DC" w14:paraId="68DA0EC8" w14:textId="77777777">
        <w:trPr>
          <w:cantSplit/>
        </w:trPr>
        <w:tc>
          <w:tcPr>
            <w:tcW w:w="1526" w:type="dxa"/>
          </w:tcPr>
          <w:p w14:paraId="68156FD1" w14:textId="77777777" w:rsidR="00A052DC" w:rsidRDefault="009F0A60">
            <w:pPr>
              <w:rPr>
                <w:rFonts w:ascii="黑体" w:eastAsia="黑体" w:hAnsi="黑体"/>
                <w:sz w:val="20"/>
                <w:szCs w:val="20"/>
              </w:rPr>
            </w:pPr>
            <w:r>
              <w:rPr>
                <w:rFonts w:ascii="黑体" w:eastAsia="黑体" w:hAnsi="黑体" w:hint="eastAsia"/>
                <w:sz w:val="20"/>
                <w:szCs w:val="20"/>
              </w:rPr>
              <w:t>债务人中文名称</w:t>
            </w:r>
          </w:p>
        </w:tc>
        <w:tc>
          <w:tcPr>
            <w:tcW w:w="6946" w:type="dxa"/>
          </w:tcPr>
          <w:p w14:paraId="196F95FF" w14:textId="77777777" w:rsidR="00A052DC" w:rsidRDefault="009F0A60">
            <w:pPr>
              <w:rPr>
                <w:rFonts w:ascii="黑体" w:eastAsia="黑体" w:hAnsi="黑体"/>
                <w:sz w:val="20"/>
                <w:szCs w:val="20"/>
              </w:rPr>
            </w:pPr>
            <w:r>
              <w:rPr>
                <w:rFonts w:ascii="黑体" w:eastAsia="黑体" w:hAnsi="黑体" w:hint="eastAsia"/>
                <w:sz w:val="20"/>
                <w:szCs w:val="20"/>
              </w:rPr>
              <w:t>营业执照上的债务人的中文名称。</w:t>
            </w:r>
          </w:p>
        </w:tc>
      </w:tr>
      <w:tr w:rsidR="00A052DC" w14:paraId="61A0751A" w14:textId="77777777">
        <w:trPr>
          <w:cantSplit/>
        </w:trPr>
        <w:tc>
          <w:tcPr>
            <w:tcW w:w="1526" w:type="dxa"/>
          </w:tcPr>
          <w:p w14:paraId="107602E0" w14:textId="77777777" w:rsidR="00A052DC" w:rsidRDefault="009F0A60">
            <w:pPr>
              <w:rPr>
                <w:rFonts w:ascii="黑体" w:eastAsia="黑体" w:hAnsi="黑体"/>
                <w:sz w:val="20"/>
                <w:szCs w:val="20"/>
              </w:rPr>
            </w:pPr>
            <w:r>
              <w:rPr>
                <w:rFonts w:ascii="黑体" w:eastAsia="黑体" w:hAnsi="黑体" w:hint="eastAsia"/>
                <w:sz w:val="20"/>
                <w:szCs w:val="20"/>
              </w:rPr>
              <w:t>国内外汇贷款类型</w:t>
            </w:r>
          </w:p>
        </w:tc>
        <w:tc>
          <w:tcPr>
            <w:tcW w:w="6946" w:type="dxa"/>
          </w:tcPr>
          <w:p w14:paraId="1A58F44A" w14:textId="77777777" w:rsidR="00A052DC" w:rsidRDefault="009F0A60">
            <w:pPr>
              <w:rPr>
                <w:rFonts w:ascii="黑体" w:eastAsia="黑体" w:hAnsi="黑体"/>
                <w:sz w:val="20"/>
                <w:szCs w:val="20"/>
              </w:rPr>
            </w:pPr>
            <w:r>
              <w:rPr>
                <w:rFonts w:ascii="黑体" w:eastAsia="黑体" w:hAnsi="黑体" w:hint="eastAsia"/>
                <w:sz w:val="20"/>
                <w:szCs w:val="20"/>
              </w:rPr>
              <w:t>国内外汇贷款类型，见国内外汇贷款类型代码表。</w:t>
            </w:r>
          </w:p>
        </w:tc>
      </w:tr>
      <w:tr w:rsidR="00A052DC" w14:paraId="032F75A6" w14:textId="77777777">
        <w:trPr>
          <w:cantSplit/>
        </w:trPr>
        <w:tc>
          <w:tcPr>
            <w:tcW w:w="1526" w:type="dxa"/>
          </w:tcPr>
          <w:p w14:paraId="63B94574" w14:textId="77777777" w:rsidR="00A052DC" w:rsidRDefault="009F0A60">
            <w:pPr>
              <w:rPr>
                <w:rFonts w:ascii="黑体" w:eastAsia="黑体" w:hAnsi="黑体"/>
                <w:sz w:val="20"/>
                <w:szCs w:val="20"/>
              </w:rPr>
            </w:pPr>
            <w:r>
              <w:rPr>
                <w:rFonts w:ascii="黑体" w:eastAsia="黑体" w:hAnsi="黑体" w:hint="eastAsia"/>
                <w:sz w:val="20"/>
                <w:szCs w:val="20"/>
              </w:rPr>
              <w:t>转贷项目名称</w:t>
            </w:r>
          </w:p>
        </w:tc>
        <w:tc>
          <w:tcPr>
            <w:tcW w:w="6946" w:type="dxa"/>
          </w:tcPr>
          <w:p w14:paraId="55AA5944" w14:textId="77777777" w:rsidR="00A052DC" w:rsidRDefault="009F0A60">
            <w:pPr>
              <w:rPr>
                <w:rFonts w:ascii="黑体" w:eastAsia="黑体" w:hAnsi="黑体"/>
                <w:sz w:val="20"/>
                <w:szCs w:val="20"/>
              </w:rPr>
            </w:pPr>
            <w:r>
              <w:rPr>
                <w:rFonts w:ascii="黑体" w:eastAsia="黑体" w:hAnsi="黑体" w:hint="eastAsia"/>
                <w:sz w:val="20"/>
                <w:szCs w:val="20"/>
              </w:rPr>
              <w:t>当国内外汇贷款类型为外债转贷款时，须填写转贷项目名称。</w:t>
            </w:r>
          </w:p>
        </w:tc>
      </w:tr>
      <w:tr w:rsidR="00A052DC" w14:paraId="79403422" w14:textId="77777777">
        <w:trPr>
          <w:cantSplit/>
        </w:trPr>
        <w:tc>
          <w:tcPr>
            <w:tcW w:w="1526" w:type="dxa"/>
          </w:tcPr>
          <w:p w14:paraId="4EC12304" w14:textId="77777777" w:rsidR="00A052DC" w:rsidRDefault="009F0A60">
            <w:pPr>
              <w:rPr>
                <w:rFonts w:ascii="黑体" w:eastAsia="黑体" w:hAnsi="黑体"/>
                <w:sz w:val="20"/>
                <w:szCs w:val="20"/>
              </w:rPr>
            </w:pPr>
            <w:r>
              <w:rPr>
                <w:rFonts w:ascii="黑体" w:eastAsia="黑体" w:hAnsi="黑体" w:hint="eastAsia"/>
                <w:sz w:val="20"/>
                <w:szCs w:val="20"/>
              </w:rPr>
              <w:t>转贷协议号</w:t>
            </w:r>
          </w:p>
        </w:tc>
        <w:tc>
          <w:tcPr>
            <w:tcW w:w="6946" w:type="dxa"/>
          </w:tcPr>
          <w:p w14:paraId="626935C2" w14:textId="77777777" w:rsidR="00A052DC" w:rsidRDefault="009F0A60">
            <w:pPr>
              <w:rPr>
                <w:rFonts w:ascii="黑体" w:eastAsia="黑体" w:hAnsi="黑体"/>
                <w:sz w:val="20"/>
                <w:szCs w:val="20"/>
              </w:rPr>
            </w:pPr>
            <w:r>
              <w:rPr>
                <w:rFonts w:ascii="黑体" w:eastAsia="黑体" w:hAnsi="黑体" w:hint="eastAsia"/>
                <w:sz w:val="20"/>
                <w:szCs w:val="20"/>
              </w:rPr>
              <w:t>当国内外汇贷款类型为外债转贷款时，须填写转贷款协议号。</w:t>
            </w:r>
          </w:p>
        </w:tc>
      </w:tr>
      <w:tr w:rsidR="00A052DC" w14:paraId="29BBC882" w14:textId="77777777">
        <w:trPr>
          <w:cantSplit/>
        </w:trPr>
        <w:tc>
          <w:tcPr>
            <w:tcW w:w="1526" w:type="dxa"/>
          </w:tcPr>
          <w:p w14:paraId="2F1CE255" w14:textId="77777777" w:rsidR="00A052DC" w:rsidRDefault="009F0A60">
            <w:pPr>
              <w:rPr>
                <w:rFonts w:ascii="黑体" w:eastAsia="黑体" w:hAnsi="黑体"/>
                <w:sz w:val="20"/>
                <w:szCs w:val="20"/>
              </w:rPr>
            </w:pPr>
            <w:r>
              <w:rPr>
                <w:rFonts w:ascii="黑体" w:eastAsia="黑体" w:hAnsi="黑体" w:hint="eastAsia"/>
                <w:sz w:val="20"/>
                <w:szCs w:val="20"/>
              </w:rPr>
              <w:t>起息日</w:t>
            </w:r>
          </w:p>
        </w:tc>
        <w:tc>
          <w:tcPr>
            <w:tcW w:w="6946" w:type="dxa"/>
          </w:tcPr>
          <w:p w14:paraId="0223929A" w14:textId="77777777" w:rsidR="00A052DC" w:rsidRDefault="009F0A60">
            <w:pPr>
              <w:rPr>
                <w:rFonts w:ascii="黑体" w:eastAsia="黑体" w:hAnsi="黑体"/>
                <w:sz w:val="20"/>
                <w:szCs w:val="20"/>
              </w:rPr>
            </w:pPr>
            <w:r>
              <w:rPr>
                <w:rFonts w:ascii="黑体" w:eastAsia="黑体" w:hAnsi="黑体" w:hint="eastAsia"/>
                <w:sz w:val="20"/>
                <w:szCs w:val="20"/>
              </w:rPr>
              <w:t>国内外汇贷款起始计息日期。</w:t>
            </w:r>
          </w:p>
        </w:tc>
      </w:tr>
      <w:tr w:rsidR="00A052DC" w14:paraId="0971E2E2" w14:textId="77777777">
        <w:trPr>
          <w:cantSplit/>
        </w:trPr>
        <w:tc>
          <w:tcPr>
            <w:tcW w:w="1526" w:type="dxa"/>
          </w:tcPr>
          <w:p w14:paraId="2407DD4D" w14:textId="77777777" w:rsidR="00A052DC" w:rsidRDefault="009F0A60">
            <w:pPr>
              <w:rPr>
                <w:rFonts w:ascii="黑体" w:eastAsia="黑体" w:hAnsi="黑体"/>
                <w:sz w:val="20"/>
                <w:szCs w:val="20"/>
              </w:rPr>
            </w:pPr>
            <w:r>
              <w:rPr>
                <w:rFonts w:ascii="黑体" w:eastAsia="黑体" w:hAnsi="黑体" w:hint="eastAsia"/>
                <w:sz w:val="20"/>
                <w:szCs w:val="20"/>
              </w:rPr>
              <w:t>到期日</w:t>
            </w:r>
          </w:p>
        </w:tc>
        <w:tc>
          <w:tcPr>
            <w:tcW w:w="6946" w:type="dxa"/>
            <w:vAlign w:val="center"/>
          </w:tcPr>
          <w:p w14:paraId="5CC194AF" w14:textId="77777777" w:rsidR="00A052DC" w:rsidRDefault="009F0A60">
            <w:pPr>
              <w:rPr>
                <w:rFonts w:ascii="黑体" w:eastAsia="黑体" w:hAnsi="黑体"/>
                <w:sz w:val="20"/>
                <w:szCs w:val="20"/>
              </w:rPr>
            </w:pPr>
            <w:r>
              <w:rPr>
                <w:rFonts w:ascii="黑体" w:eastAsia="黑体" w:hAnsi="黑体" w:hint="eastAsia"/>
                <w:sz w:val="20"/>
                <w:szCs w:val="20"/>
              </w:rPr>
              <w:t>国内外汇贷款到期日期。</w:t>
            </w:r>
          </w:p>
        </w:tc>
      </w:tr>
      <w:tr w:rsidR="00A052DC" w14:paraId="72AB2FD7" w14:textId="77777777">
        <w:trPr>
          <w:cantSplit/>
        </w:trPr>
        <w:tc>
          <w:tcPr>
            <w:tcW w:w="1526" w:type="dxa"/>
          </w:tcPr>
          <w:p w14:paraId="71199B64" w14:textId="77777777" w:rsidR="00A052DC" w:rsidRDefault="009F0A60">
            <w:pPr>
              <w:rPr>
                <w:rFonts w:ascii="黑体" w:eastAsia="黑体" w:hAnsi="黑体"/>
                <w:sz w:val="20"/>
                <w:szCs w:val="20"/>
              </w:rPr>
            </w:pPr>
            <w:r>
              <w:rPr>
                <w:rFonts w:ascii="黑体" w:eastAsia="黑体" w:hAnsi="黑体" w:hint="eastAsia"/>
                <w:sz w:val="20"/>
                <w:szCs w:val="20"/>
              </w:rPr>
              <w:t>贷款币种</w:t>
            </w:r>
          </w:p>
        </w:tc>
        <w:tc>
          <w:tcPr>
            <w:tcW w:w="6946" w:type="dxa"/>
            <w:vAlign w:val="center"/>
          </w:tcPr>
          <w:p w14:paraId="7E6B3A5E" w14:textId="77777777" w:rsidR="00A052DC" w:rsidRDefault="009F0A60">
            <w:pPr>
              <w:rPr>
                <w:rFonts w:ascii="黑体" w:eastAsia="黑体" w:hAnsi="黑体"/>
                <w:sz w:val="20"/>
                <w:szCs w:val="20"/>
              </w:rPr>
            </w:pPr>
            <w:r>
              <w:rPr>
                <w:rFonts w:ascii="黑体" w:eastAsia="黑体" w:hAnsi="黑体" w:hint="eastAsia"/>
                <w:sz w:val="20"/>
                <w:szCs w:val="20"/>
              </w:rPr>
              <w:t>国内外汇贷款币种。</w:t>
            </w:r>
          </w:p>
        </w:tc>
      </w:tr>
      <w:tr w:rsidR="00A052DC" w14:paraId="7D51F364" w14:textId="77777777">
        <w:trPr>
          <w:cantSplit/>
        </w:trPr>
        <w:tc>
          <w:tcPr>
            <w:tcW w:w="1526" w:type="dxa"/>
          </w:tcPr>
          <w:p w14:paraId="2C574983" w14:textId="77777777" w:rsidR="00A052DC" w:rsidRDefault="009F0A60">
            <w:pPr>
              <w:rPr>
                <w:rFonts w:ascii="黑体" w:eastAsia="黑体" w:hAnsi="黑体"/>
                <w:sz w:val="20"/>
                <w:szCs w:val="20"/>
              </w:rPr>
            </w:pPr>
            <w:r>
              <w:rPr>
                <w:rFonts w:ascii="黑体" w:eastAsia="黑体" w:hAnsi="黑体" w:hint="eastAsia"/>
                <w:sz w:val="20"/>
                <w:szCs w:val="20"/>
              </w:rPr>
              <w:t>签约金额</w:t>
            </w:r>
          </w:p>
        </w:tc>
        <w:tc>
          <w:tcPr>
            <w:tcW w:w="6946" w:type="dxa"/>
            <w:vAlign w:val="center"/>
          </w:tcPr>
          <w:p w14:paraId="2BABEA8D" w14:textId="77777777" w:rsidR="00A052DC" w:rsidRDefault="009F0A60">
            <w:pPr>
              <w:rPr>
                <w:rFonts w:ascii="黑体" w:eastAsia="黑体" w:hAnsi="黑体"/>
                <w:sz w:val="20"/>
                <w:szCs w:val="20"/>
              </w:rPr>
            </w:pPr>
            <w:r>
              <w:rPr>
                <w:rFonts w:ascii="黑体" w:eastAsia="黑体" w:hAnsi="黑体" w:hint="eastAsia"/>
                <w:sz w:val="20"/>
                <w:szCs w:val="20"/>
              </w:rPr>
              <w:t>国内外汇贷款签约金额。</w:t>
            </w:r>
          </w:p>
        </w:tc>
      </w:tr>
      <w:tr w:rsidR="00A052DC" w14:paraId="013A22A1" w14:textId="77777777">
        <w:trPr>
          <w:cantSplit/>
        </w:trPr>
        <w:tc>
          <w:tcPr>
            <w:tcW w:w="1526" w:type="dxa"/>
          </w:tcPr>
          <w:p w14:paraId="4BF3512B" w14:textId="77777777" w:rsidR="00A052DC" w:rsidRDefault="009F0A60">
            <w:pPr>
              <w:rPr>
                <w:rFonts w:ascii="黑体" w:eastAsia="黑体" w:hAnsi="黑体"/>
                <w:sz w:val="20"/>
                <w:szCs w:val="20"/>
              </w:rPr>
            </w:pPr>
            <w:r>
              <w:rPr>
                <w:rFonts w:ascii="黑体" w:eastAsia="黑体" w:hAnsi="黑体" w:hint="eastAsia"/>
                <w:sz w:val="20"/>
                <w:szCs w:val="20"/>
              </w:rPr>
              <w:t>年化利率值</w:t>
            </w:r>
          </w:p>
        </w:tc>
        <w:tc>
          <w:tcPr>
            <w:tcW w:w="6946" w:type="dxa"/>
          </w:tcPr>
          <w:p w14:paraId="507DB29D" w14:textId="77777777" w:rsidR="00A052DC" w:rsidRDefault="009F0A60">
            <w:pPr>
              <w:rPr>
                <w:rFonts w:ascii="黑体" w:eastAsia="黑体" w:hAnsi="黑体"/>
                <w:sz w:val="20"/>
                <w:szCs w:val="20"/>
              </w:rPr>
            </w:pPr>
            <w:r>
              <w:rPr>
                <w:rFonts w:ascii="黑体" w:eastAsia="黑体" w:hAnsi="黑体" w:hint="eastAsia"/>
                <w:sz w:val="20"/>
                <w:szCs w:val="20"/>
              </w:rPr>
              <w:t>国内外汇贷款实际利率，若为浮动利率，则按照起息日的浮动利率条件折算利率值。</w:t>
            </w:r>
          </w:p>
        </w:tc>
      </w:tr>
      <w:tr w:rsidR="00A052DC" w14:paraId="40EDCDC1" w14:textId="77777777">
        <w:trPr>
          <w:cantSplit/>
        </w:trPr>
        <w:tc>
          <w:tcPr>
            <w:tcW w:w="1526" w:type="dxa"/>
            <w:tcBorders>
              <w:top w:val="single" w:sz="6" w:space="0" w:color="auto"/>
              <w:left w:val="single" w:sz="6" w:space="0" w:color="auto"/>
              <w:bottom w:val="single" w:sz="6" w:space="0" w:color="auto"/>
              <w:right w:val="single" w:sz="6" w:space="0" w:color="auto"/>
            </w:tcBorders>
          </w:tcPr>
          <w:p w14:paraId="2E4F3C0D" w14:textId="77777777" w:rsidR="00A052DC" w:rsidRDefault="009F0A60">
            <w:pPr>
              <w:rPr>
                <w:rFonts w:ascii="黑体" w:eastAsia="黑体" w:hAnsi="黑体"/>
                <w:sz w:val="20"/>
                <w:szCs w:val="20"/>
              </w:rPr>
            </w:pPr>
            <w:r>
              <w:rPr>
                <w:rFonts w:ascii="黑体" w:eastAsia="黑体" w:hAnsi="黑体" w:hint="eastAsia"/>
                <w:sz w:val="20"/>
                <w:szCs w:val="20"/>
              </w:rPr>
              <w:t>备注</w:t>
            </w:r>
          </w:p>
        </w:tc>
        <w:tc>
          <w:tcPr>
            <w:tcW w:w="6946" w:type="dxa"/>
            <w:tcBorders>
              <w:top w:val="single" w:sz="6" w:space="0" w:color="auto"/>
              <w:left w:val="single" w:sz="6" w:space="0" w:color="auto"/>
              <w:bottom w:val="single" w:sz="6" w:space="0" w:color="auto"/>
              <w:right w:val="single" w:sz="6" w:space="0" w:color="auto"/>
            </w:tcBorders>
          </w:tcPr>
          <w:p w14:paraId="30BF9617" w14:textId="77777777" w:rsidR="00A052DC" w:rsidRDefault="009F0A60">
            <w:pPr>
              <w:rPr>
                <w:rFonts w:ascii="黑体" w:eastAsia="黑体" w:hAnsi="黑体"/>
                <w:sz w:val="20"/>
                <w:szCs w:val="20"/>
              </w:rPr>
            </w:pPr>
            <w:r>
              <w:rPr>
                <w:rFonts w:ascii="黑体" w:eastAsia="黑体" w:hAnsi="黑体" w:hint="eastAsia"/>
                <w:sz w:val="20"/>
                <w:szCs w:val="20"/>
              </w:rPr>
              <w:t>需要说明的备注事项。</w:t>
            </w:r>
          </w:p>
        </w:tc>
      </w:tr>
    </w:tbl>
    <w:p w14:paraId="7DFB3BB1" w14:textId="77777777" w:rsidR="00A052DC" w:rsidRDefault="00A052DC"/>
    <w:p w14:paraId="2A2DDDE7" w14:textId="77777777" w:rsidR="00A052DC" w:rsidRDefault="009F0A60" w:rsidP="0020251D">
      <w:pPr>
        <w:pStyle w:val="5"/>
        <w:numPr>
          <w:ilvl w:val="4"/>
          <w:numId w:val="1"/>
        </w:numPr>
        <w:spacing w:before="120" w:after="120" w:line="360" w:lineRule="auto"/>
        <w:jc w:val="left"/>
      </w:pPr>
      <w:bookmarkStart w:id="1642" w:name="_Toc454386963"/>
      <w:bookmarkStart w:id="1643" w:name="_Toc328635521"/>
      <w:r>
        <w:rPr>
          <w:rFonts w:hint="eastAsia"/>
        </w:rPr>
        <w:t>数据格式</w:t>
      </w:r>
      <w:bookmarkEnd w:id="1642"/>
      <w:bookmarkEnd w:id="1643"/>
    </w:p>
    <w:p w14:paraId="3CA6B046" w14:textId="77777777" w:rsidR="00A052DC" w:rsidRDefault="009F0A60">
      <w:r>
        <w:t>&lt;REC&gt;</w:t>
      </w:r>
    </w:p>
    <w:p w14:paraId="61C54099" w14:textId="77777777" w:rsidR="00A052DC" w:rsidRDefault="009F0A60">
      <w:r>
        <w:t>&lt;ACTIONTYPE&gt;</w:t>
      </w:r>
      <w:r>
        <w:rPr>
          <w:rFonts w:hint="eastAsia"/>
        </w:rPr>
        <w:t>操作类型</w:t>
      </w:r>
      <w:r>
        <w:t>&lt;/ACTIONTYPE&gt;</w:t>
      </w:r>
    </w:p>
    <w:p w14:paraId="674C1F3F" w14:textId="77777777" w:rsidR="00A052DC" w:rsidRDefault="009F0A60">
      <w:r>
        <w:t>&lt;ACTIONDESC&gt;</w:t>
      </w:r>
      <w:r>
        <w:rPr>
          <w:rFonts w:hint="eastAsia"/>
        </w:rPr>
        <w:t>删除原因</w:t>
      </w:r>
      <w:r>
        <w:t>&lt;/ACTIONDESC&gt;</w:t>
      </w:r>
    </w:p>
    <w:p w14:paraId="6E57A2C7" w14:textId="77777777" w:rsidR="00A052DC" w:rsidRDefault="009F0A60">
      <w:r>
        <w:t>&lt;DOFOEXLOCODE&gt;</w:t>
      </w:r>
      <w:r>
        <w:rPr>
          <w:rFonts w:hint="eastAsia"/>
        </w:rPr>
        <w:t>国内外汇贷款编号</w:t>
      </w:r>
      <w:r>
        <w:t>&lt;/DOFOEXLOCODE&gt;</w:t>
      </w:r>
    </w:p>
    <w:p w14:paraId="330CA5E7" w14:textId="77777777" w:rsidR="00A052DC" w:rsidRDefault="009F0A60">
      <w:r>
        <w:t>&lt;CREDITORCODE&gt;</w:t>
      </w:r>
      <w:r>
        <w:rPr>
          <w:rFonts w:hint="eastAsia"/>
        </w:rPr>
        <w:t>债权人代码</w:t>
      </w:r>
      <w:r>
        <w:t>&lt;/CREDITORCODE&gt;</w:t>
      </w:r>
    </w:p>
    <w:p w14:paraId="07456145" w14:textId="77777777" w:rsidR="00A052DC" w:rsidRDefault="009F0A60">
      <w:r>
        <w:t>&lt;DEBTORCODE&gt;</w:t>
      </w:r>
      <w:r>
        <w:rPr>
          <w:rFonts w:hint="eastAsia"/>
        </w:rPr>
        <w:t>债务人代码</w:t>
      </w:r>
      <w:r>
        <w:t>&lt;/DEBTORCODE&gt;</w:t>
      </w:r>
    </w:p>
    <w:p w14:paraId="0BB13916" w14:textId="77777777" w:rsidR="00A052DC" w:rsidRDefault="009F0A60">
      <w:r>
        <w:t>&lt;DEBTORNAME&gt;</w:t>
      </w:r>
      <w:r>
        <w:rPr>
          <w:rFonts w:hint="eastAsia"/>
        </w:rPr>
        <w:t>债务人中文名称</w:t>
      </w:r>
      <w:r>
        <w:t>&lt;/DEBTORNAME&gt;</w:t>
      </w:r>
    </w:p>
    <w:p w14:paraId="28E7AA21" w14:textId="77777777" w:rsidR="00A052DC" w:rsidRDefault="009F0A60">
      <w:r>
        <w:t>&lt;DOFOEXLOTYPE&gt;</w:t>
      </w:r>
      <w:r>
        <w:rPr>
          <w:rFonts w:hint="eastAsia"/>
        </w:rPr>
        <w:t>国内外汇贷款类型</w:t>
      </w:r>
      <w:r>
        <w:t>&lt;/DOFOEXLOTYPE&gt;</w:t>
      </w:r>
    </w:p>
    <w:p w14:paraId="5A76831C" w14:textId="77777777" w:rsidR="00A052DC" w:rsidRDefault="009F0A60">
      <w:r>
        <w:t>&lt;LENPRONAME&gt;</w:t>
      </w:r>
      <w:r>
        <w:rPr>
          <w:rFonts w:hint="eastAsia"/>
        </w:rPr>
        <w:t>转贷项目名称</w:t>
      </w:r>
      <w:r>
        <w:t>&lt;/LENPRONAME&gt;</w:t>
      </w:r>
    </w:p>
    <w:p w14:paraId="0F90C22F" w14:textId="77777777" w:rsidR="00A052DC" w:rsidRDefault="009F0A60">
      <w:r>
        <w:t>&lt;LENAGREE&gt;</w:t>
      </w:r>
      <w:r>
        <w:rPr>
          <w:rFonts w:hint="eastAsia"/>
        </w:rPr>
        <w:t>转贷协议号</w:t>
      </w:r>
      <w:r>
        <w:t>&lt;/LENAGREE&gt;</w:t>
      </w:r>
    </w:p>
    <w:p w14:paraId="3F7645F6" w14:textId="77777777" w:rsidR="00A052DC" w:rsidRDefault="009F0A60">
      <w:r>
        <w:t>&lt;VALUEDATE&gt;</w:t>
      </w:r>
      <w:r>
        <w:rPr>
          <w:rFonts w:hint="eastAsia"/>
        </w:rPr>
        <w:t>起息日</w:t>
      </w:r>
      <w:r>
        <w:t>&lt;/VALUEDATE&gt;</w:t>
      </w:r>
    </w:p>
    <w:p w14:paraId="3766D3BF" w14:textId="77777777" w:rsidR="00A052DC" w:rsidRDefault="009F0A60">
      <w:r>
        <w:t>&lt;MATURITY&gt;</w:t>
      </w:r>
      <w:r>
        <w:rPr>
          <w:rFonts w:hint="eastAsia"/>
        </w:rPr>
        <w:t>到期日</w:t>
      </w:r>
      <w:r>
        <w:t>&lt;/MATURITY&gt;</w:t>
      </w:r>
    </w:p>
    <w:p w14:paraId="7ED61702" w14:textId="77777777" w:rsidR="00A052DC" w:rsidRDefault="009F0A60">
      <w:r>
        <w:t>&lt;CURRENCE&gt;</w:t>
      </w:r>
      <w:r>
        <w:rPr>
          <w:rFonts w:hint="eastAsia"/>
        </w:rPr>
        <w:t>贷款币种</w:t>
      </w:r>
      <w:r>
        <w:t>&lt;/CURRENCE&gt;</w:t>
      </w:r>
    </w:p>
    <w:p w14:paraId="763D92A5" w14:textId="77777777" w:rsidR="00A052DC" w:rsidRDefault="009F0A60">
      <w:r>
        <w:t>&lt;CONTRACTAMOUNT&gt;</w:t>
      </w:r>
      <w:r>
        <w:rPr>
          <w:rFonts w:hint="eastAsia"/>
        </w:rPr>
        <w:t>签约金额</w:t>
      </w:r>
      <w:r>
        <w:t>&lt;/CONTRACTAMOUNT&gt;</w:t>
      </w:r>
    </w:p>
    <w:p w14:paraId="332FCBF0" w14:textId="77777777" w:rsidR="00A052DC" w:rsidRDefault="009F0A60">
      <w:r>
        <w:t>&lt;ANNINRATE&gt;</w:t>
      </w:r>
      <w:r>
        <w:rPr>
          <w:rFonts w:hint="eastAsia"/>
        </w:rPr>
        <w:t>年化利率值</w:t>
      </w:r>
      <w:r>
        <w:t>&lt;/ANNINRATE&gt;</w:t>
      </w:r>
    </w:p>
    <w:p w14:paraId="4BAF83BD" w14:textId="77777777" w:rsidR="00A052DC" w:rsidRDefault="009F0A60">
      <w:r>
        <w:t>&lt;REMARK&gt;</w:t>
      </w:r>
      <w:r>
        <w:rPr>
          <w:rFonts w:hint="eastAsia"/>
        </w:rPr>
        <w:t>备注</w:t>
      </w:r>
      <w:r>
        <w:t>&lt;/REMARK&gt;</w:t>
      </w:r>
    </w:p>
    <w:p w14:paraId="275DC36D" w14:textId="77777777" w:rsidR="00A052DC" w:rsidRDefault="009F0A60">
      <w:r>
        <w:t>&lt;/REC&gt;</w:t>
      </w:r>
    </w:p>
    <w:p w14:paraId="531EF74D" w14:textId="77777777" w:rsidR="00A052DC" w:rsidRDefault="009F0A60" w:rsidP="0020251D">
      <w:pPr>
        <w:pStyle w:val="5"/>
        <w:numPr>
          <w:ilvl w:val="4"/>
          <w:numId w:val="1"/>
        </w:numPr>
        <w:spacing w:before="120" w:after="120" w:line="360" w:lineRule="auto"/>
        <w:jc w:val="left"/>
      </w:pPr>
      <w:bookmarkStart w:id="1644" w:name="_Toc454386964"/>
      <w:bookmarkStart w:id="1645" w:name="_Toc328635522"/>
      <w:r>
        <w:rPr>
          <w:rFonts w:hint="eastAsia"/>
        </w:rPr>
        <w:t>数据字典</w:t>
      </w:r>
      <w:bookmarkEnd w:id="1644"/>
      <w:bookmarkEnd w:id="1645"/>
    </w:p>
    <w:tbl>
      <w:tblPr>
        <w:tblW w:w="86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701"/>
        <w:gridCol w:w="1417"/>
        <w:gridCol w:w="3969"/>
      </w:tblGrid>
      <w:tr w:rsidR="00A052DC" w14:paraId="49441F55" w14:textId="77777777">
        <w:trPr>
          <w:tblHeader/>
        </w:trPr>
        <w:tc>
          <w:tcPr>
            <w:tcW w:w="1560" w:type="dxa"/>
            <w:shd w:val="clear" w:color="auto" w:fill="C0C0C0"/>
          </w:tcPr>
          <w:p w14:paraId="6602227B" w14:textId="77777777" w:rsidR="00A052DC" w:rsidRDefault="009F0A60">
            <w:pPr>
              <w:tabs>
                <w:tab w:val="left" w:pos="885"/>
              </w:tabs>
              <w:jc w:val="center"/>
              <w:rPr>
                <w:rFonts w:ascii="黑体" w:eastAsia="黑体" w:hAnsi="黑体"/>
                <w:b/>
                <w:sz w:val="20"/>
                <w:szCs w:val="20"/>
              </w:rPr>
            </w:pPr>
            <w:r>
              <w:rPr>
                <w:rFonts w:ascii="黑体" w:eastAsia="黑体" w:hAnsi="黑体" w:hint="eastAsia"/>
                <w:b/>
                <w:sz w:val="20"/>
                <w:szCs w:val="20"/>
              </w:rPr>
              <w:t>字段</w:t>
            </w:r>
          </w:p>
        </w:tc>
        <w:tc>
          <w:tcPr>
            <w:tcW w:w="1701" w:type="dxa"/>
            <w:shd w:val="clear" w:color="auto" w:fill="C0C0C0"/>
          </w:tcPr>
          <w:p w14:paraId="7AF1BCE5" w14:textId="77777777" w:rsidR="00A052DC" w:rsidRDefault="009F0A60">
            <w:pPr>
              <w:jc w:val="center"/>
              <w:rPr>
                <w:rFonts w:ascii="黑体" w:eastAsia="黑体" w:hAnsi="黑体"/>
                <w:b/>
                <w:sz w:val="20"/>
                <w:szCs w:val="20"/>
              </w:rPr>
            </w:pPr>
            <w:r>
              <w:rPr>
                <w:rFonts w:ascii="黑体" w:eastAsia="黑体" w:hAnsi="黑体" w:hint="eastAsia"/>
                <w:b/>
                <w:sz w:val="20"/>
                <w:szCs w:val="20"/>
              </w:rPr>
              <w:t>内容</w:t>
            </w:r>
          </w:p>
        </w:tc>
        <w:tc>
          <w:tcPr>
            <w:tcW w:w="1417" w:type="dxa"/>
            <w:shd w:val="clear" w:color="auto" w:fill="C0C0C0"/>
          </w:tcPr>
          <w:p w14:paraId="26E892D5" w14:textId="77777777" w:rsidR="00A052DC" w:rsidRDefault="009F0A60">
            <w:pPr>
              <w:jc w:val="center"/>
              <w:rPr>
                <w:rFonts w:ascii="黑体" w:eastAsia="黑体" w:hAnsi="黑体"/>
                <w:b/>
                <w:sz w:val="20"/>
                <w:szCs w:val="20"/>
              </w:rPr>
            </w:pPr>
            <w:r>
              <w:rPr>
                <w:rFonts w:ascii="黑体" w:eastAsia="黑体" w:hAnsi="黑体" w:hint="eastAsia"/>
                <w:b/>
                <w:sz w:val="20"/>
                <w:szCs w:val="20"/>
              </w:rPr>
              <w:t>类型（长度）</w:t>
            </w:r>
          </w:p>
        </w:tc>
        <w:tc>
          <w:tcPr>
            <w:tcW w:w="3969" w:type="dxa"/>
            <w:shd w:val="clear" w:color="auto" w:fill="C0C0C0"/>
          </w:tcPr>
          <w:p w14:paraId="4355AFC0" w14:textId="77777777" w:rsidR="00A052DC" w:rsidRDefault="009F0A60">
            <w:pPr>
              <w:jc w:val="center"/>
              <w:rPr>
                <w:rFonts w:ascii="黑体" w:eastAsia="黑体" w:hAnsi="黑体"/>
                <w:b/>
                <w:sz w:val="20"/>
                <w:szCs w:val="20"/>
              </w:rPr>
            </w:pPr>
            <w:r>
              <w:rPr>
                <w:rFonts w:ascii="黑体" w:eastAsia="黑体" w:hAnsi="黑体" w:hint="eastAsia"/>
                <w:b/>
                <w:sz w:val="20"/>
                <w:szCs w:val="20"/>
              </w:rPr>
              <w:t>校验</w:t>
            </w:r>
          </w:p>
        </w:tc>
      </w:tr>
      <w:tr w:rsidR="00A052DC" w14:paraId="1D8A0E2F" w14:textId="77777777">
        <w:tc>
          <w:tcPr>
            <w:tcW w:w="1560" w:type="dxa"/>
          </w:tcPr>
          <w:p w14:paraId="5572DDC3" w14:textId="77777777" w:rsidR="00A052DC" w:rsidRDefault="009F0A60">
            <w:pPr>
              <w:rPr>
                <w:rFonts w:ascii="黑体" w:eastAsia="黑体" w:hAnsi="黑体"/>
                <w:sz w:val="20"/>
                <w:szCs w:val="20"/>
              </w:rPr>
            </w:pPr>
            <w:r>
              <w:rPr>
                <w:rFonts w:ascii="黑体" w:eastAsia="黑体" w:hAnsi="黑体"/>
                <w:sz w:val="20"/>
                <w:szCs w:val="20"/>
              </w:rPr>
              <w:t>ACTIONTYPE</w:t>
            </w:r>
          </w:p>
        </w:tc>
        <w:tc>
          <w:tcPr>
            <w:tcW w:w="1701" w:type="dxa"/>
          </w:tcPr>
          <w:p w14:paraId="32B27288" w14:textId="77777777" w:rsidR="00A052DC" w:rsidRDefault="009F0A60">
            <w:pPr>
              <w:rPr>
                <w:rFonts w:ascii="黑体" w:eastAsia="黑体" w:hAnsi="黑体"/>
                <w:sz w:val="20"/>
                <w:szCs w:val="20"/>
              </w:rPr>
            </w:pPr>
            <w:r>
              <w:rPr>
                <w:rFonts w:ascii="黑体" w:eastAsia="黑体" w:hAnsi="黑体" w:hint="eastAsia"/>
                <w:sz w:val="20"/>
                <w:szCs w:val="20"/>
              </w:rPr>
              <w:t>操作类型</w:t>
            </w:r>
          </w:p>
        </w:tc>
        <w:tc>
          <w:tcPr>
            <w:tcW w:w="1417" w:type="dxa"/>
          </w:tcPr>
          <w:p w14:paraId="02E0AC71" w14:textId="77777777" w:rsidR="00A052DC" w:rsidRDefault="009F0A60">
            <w:pPr>
              <w:rPr>
                <w:rFonts w:ascii="黑体" w:eastAsia="黑体" w:hAnsi="黑体"/>
                <w:sz w:val="20"/>
                <w:szCs w:val="20"/>
              </w:rPr>
            </w:pPr>
            <w:r>
              <w:rPr>
                <w:rFonts w:ascii="黑体" w:eastAsia="黑体" w:hAnsi="黑体" w:hint="eastAsia"/>
                <w:sz w:val="20"/>
                <w:szCs w:val="20"/>
              </w:rPr>
              <w:t>字符型，1</w:t>
            </w:r>
          </w:p>
        </w:tc>
        <w:tc>
          <w:tcPr>
            <w:tcW w:w="3969" w:type="dxa"/>
          </w:tcPr>
          <w:p w14:paraId="00442726" w14:textId="77777777" w:rsidR="00A052DC" w:rsidRDefault="009F0A60">
            <w:pPr>
              <w:rPr>
                <w:rFonts w:ascii="黑体" w:eastAsia="黑体" w:hAnsi="黑体"/>
                <w:sz w:val="20"/>
                <w:szCs w:val="20"/>
              </w:rPr>
            </w:pPr>
            <w:r>
              <w:rPr>
                <w:rFonts w:ascii="黑体" w:eastAsia="黑体" w:hAnsi="黑体" w:hint="eastAsia"/>
                <w:sz w:val="20"/>
                <w:szCs w:val="20"/>
              </w:rPr>
              <w:t>必填项，</w:t>
            </w:r>
          </w:p>
          <w:p w14:paraId="519E83D8" w14:textId="77777777" w:rsidR="00A052DC" w:rsidRDefault="009F0A60">
            <w:pPr>
              <w:rPr>
                <w:rFonts w:ascii="黑体" w:eastAsia="黑体" w:hAnsi="黑体"/>
                <w:sz w:val="20"/>
                <w:szCs w:val="20"/>
              </w:rPr>
            </w:pPr>
            <w:r>
              <w:rPr>
                <w:rFonts w:ascii="黑体" w:eastAsia="黑体" w:hAnsi="黑体" w:hint="eastAsia"/>
                <w:sz w:val="20"/>
                <w:szCs w:val="20"/>
              </w:rPr>
              <w:t>A</w:t>
            </w:r>
            <w:r w:rsidR="00AE4602">
              <w:rPr>
                <w:rFonts w:ascii="黑体" w:eastAsia="黑体" w:hAnsi="黑体" w:hint="eastAsia"/>
                <w:sz w:val="20"/>
                <w:szCs w:val="20"/>
              </w:rPr>
              <w:t>-</w:t>
            </w:r>
            <w:r>
              <w:rPr>
                <w:rFonts w:ascii="黑体" w:eastAsia="黑体" w:hAnsi="黑体" w:hint="eastAsia"/>
                <w:sz w:val="20"/>
                <w:szCs w:val="20"/>
              </w:rPr>
              <w:t>新建</w:t>
            </w:r>
          </w:p>
          <w:p w14:paraId="4934D84B" w14:textId="77777777" w:rsidR="00A052DC" w:rsidRDefault="009F0A60">
            <w:pPr>
              <w:rPr>
                <w:rFonts w:ascii="黑体" w:eastAsia="黑体" w:hAnsi="黑体"/>
                <w:sz w:val="20"/>
                <w:szCs w:val="20"/>
              </w:rPr>
            </w:pPr>
            <w:r>
              <w:rPr>
                <w:rFonts w:ascii="黑体" w:eastAsia="黑体" w:hAnsi="黑体" w:hint="eastAsia"/>
                <w:sz w:val="20"/>
                <w:szCs w:val="20"/>
              </w:rPr>
              <w:t>C</w:t>
            </w:r>
            <w:r w:rsidR="00AE4602">
              <w:rPr>
                <w:rFonts w:ascii="黑体" w:eastAsia="黑体" w:hAnsi="黑体" w:hint="eastAsia"/>
                <w:sz w:val="20"/>
                <w:szCs w:val="20"/>
              </w:rPr>
              <w:t>-</w:t>
            </w:r>
            <w:r>
              <w:rPr>
                <w:rFonts w:ascii="黑体" w:eastAsia="黑体" w:hAnsi="黑体" w:hint="eastAsia"/>
                <w:sz w:val="20"/>
                <w:szCs w:val="20"/>
              </w:rPr>
              <w:t>修改</w:t>
            </w:r>
          </w:p>
          <w:p w14:paraId="0B5A953C" w14:textId="77777777" w:rsidR="005D3821" w:rsidRDefault="009F0A60" w:rsidP="005D3821">
            <w:pPr>
              <w:rPr>
                <w:rFonts w:ascii="黑体" w:eastAsia="黑体" w:hAnsi="黑体"/>
                <w:sz w:val="20"/>
                <w:szCs w:val="20"/>
              </w:rPr>
            </w:pPr>
            <w:r>
              <w:rPr>
                <w:rFonts w:ascii="黑体" w:eastAsia="黑体" w:hAnsi="黑体" w:hint="eastAsia"/>
                <w:sz w:val="20"/>
                <w:szCs w:val="20"/>
              </w:rPr>
              <w:t>D</w:t>
            </w:r>
            <w:r w:rsidR="00AE4602">
              <w:rPr>
                <w:rFonts w:ascii="黑体" w:eastAsia="黑体" w:hAnsi="黑体" w:hint="eastAsia"/>
                <w:sz w:val="20"/>
                <w:szCs w:val="20"/>
              </w:rPr>
              <w:t>-</w:t>
            </w:r>
            <w:r>
              <w:rPr>
                <w:rFonts w:ascii="黑体" w:eastAsia="黑体" w:hAnsi="黑体" w:hint="eastAsia"/>
                <w:sz w:val="20"/>
                <w:szCs w:val="20"/>
              </w:rPr>
              <w:t>删除</w:t>
            </w:r>
          </w:p>
          <w:p w14:paraId="2D1BC610" w14:textId="77777777" w:rsidR="00A052DC" w:rsidRDefault="009F0A60" w:rsidP="005D3821">
            <w:pPr>
              <w:rPr>
                <w:rFonts w:ascii="黑体" w:eastAsia="黑体" w:hAnsi="黑体"/>
                <w:sz w:val="20"/>
                <w:szCs w:val="20"/>
              </w:rPr>
            </w:pPr>
            <w:r>
              <w:rPr>
                <w:rFonts w:ascii="黑体" w:eastAsia="黑体" w:hAnsi="黑体" w:hint="eastAsia"/>
                <w:sz w:val="20"/>
                <w:szCs w:val="20"/>
              </w:rPr>
              <w:t>一旦银行报送了该国内外汇贷款编号下的变动信息，就不可以删除了。</w:t>
            </w:r>
          </w:p>
        </w:tc>
      </w:tr>
      <w:tr w:rsidR="00A052DC" w14:paraId="568B17E7" w14:textId="77777777">
        <w:tc>
          <w:tcPr>
            <w:tcW w:w="1560" w:type="dxa"/>
          </w:tcPr>
          <w:p w14:paraId="544EE7A8" w14:textId="77777777" w:rsidR="00A052DC" w:rsidRDefault="009F0A60">
            <w:pPr>
              <w:rPr>
                <w:rFonts w:ascii="黑体" w:eastAsia="黑体" w:hAnsi="黑体"/>
                <w:sz w:val="20"/>
                <w:szCs w:val="20"/>
              </w:rPr>
            </w:pPr>
            <w:r>
              <w:rPr>
                <w:rFonts w:ascii="黑体" w:eastAsia="黑体" w:hAnsi="黑体"/>
                <w:sz w:val="20"/>
                <w:szCs w:val="20"/>
              </w:rPr>
              <w:t>ACTIONDESC</w:t>
            </w:r>
          </w:p>
        </w:tc>
        <w:tc>
          <w:tcPr>
            <w:tcW w:w="1701" w:type="dxa"/>
          </w:tcPr>
          <w:p w14:paraId="7219F5EA" w14:textId="77777777" w:rsidR="00A052DC" w:rsidRDefault="009F0A60">
            <w:pPr>
              <w:rPr>
                <w:rFonts w:ascii="黑体" w:eastAsia="黑体" w:hAnsi="黑体"/>
                <w:sz w:val="20"/>
                <w:szCs w:val="20"/>
              </w:rPr>
            </w:pPr>
            <w:r>
              <w:rPr>
                <w:rFonts w:ascii="黑体" w:eastAsia="黑体" w:hAnsi="黑体" w:hint="eastAsia"/>
                <w:sz w:val="20"/>
                <w:szCs w:val="20"/>
              </w:rPr>
              <w:t>删除原因</w:t>
            </w:r>
          </w:p>
        </w:tc>
        <w:tc>
          <w:tcPr>
            <w:tcW w:w="1417" w:type="dxa"/>
          </w:tcPr>
          <w:p w14:paraId="68FC02B3"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3969" w:type="dxa"/>
          </w:tcPr>
          <w:p w14:paraId="27006E10" w14:textId="77777777" w:rsidR="00A052DC" w:rsidRDefault="00DD6AA3">
            <w:pPr>
              <w:rPr>
                <w:rFonts w:ascii="黑体" w:eastAsia="黑体" w:hAnsi="黑体"/>
                <w:sz w:val="20"/>
                <w:szCs w:val="20"/>
              </w:rPr>
            </w:pPr>
            <w:r>
              <w:rPr>
                <w:rFonts w:ascii="黑体" w:eastAsia="黑体" w:hAnsi="黑体" w:hint="eastAsia"/>
                <w:sz w:val="20"/>
                <w:szCs w:val="20"/>
              </w:rPr>
              <w:t>非必填项，当操作类型（ACTIONTYPE）为删除时必填。</w:t>
            </w:r>
          </w:p>
        </w:tc>
      </w:tr>
      <w:tr w:rsidR="00A052DC" w14:paraId="4F8F82C1" w14:textId="77777777">
        <w:tc>
          <w:tcPr>
            <w:tcW w:w="1560" w:type="dxa"/>
          </w:tcPr>
          <w:p w14:paraId="3120ECAF" w14:textId="77777777" w:rsidR="00A052DC" w:rsidRDefault="009F0A60">
            <w:pPr>
              <w:rPr>
                <w:rFonts w:ascii="黑体" w:eastAsia="黑体" w:hAnsi="黑体"/>
                <w:sz w:val="20"/>
                <w:szCs w:val="20"/>
              </w:rPr>
            </w:pPr>
            <w:r>
              <w:rPr>
                <w:rFonts w:ascii="黑体" w:eastAsia="黑体" w:hAnsi="黑体"/>
                <w:sz w:val="20"/>
                <w:szCs w:val="20"/>
              </w:rPr>
              <w:t>DOFOEXLOCODE</w:t>
            </w:r>
          </w:p>
        </w:tc>
        <w:tc>
          <w:tcPr>
            <w:tcW w:w="1701" w:type="dxa"/>
          </w:tcPr>
          <w:p w14:paraId="5724C167" w14:textId="77777777" w:rsidR="00A052DC" w:rsidRDefault="009F0A60">
            <w:pPr>
              <w:rPr>
                <w:rFonts w:ascii="黑体" w:eastAsia="黑体" w:hAnsi="黑体"/>
                <w:sz w:val="20"/>
                <w:szCs w:val="20"/>
              </w:rPr>
            </w:pPr>
            <w:r>
              <w:rPr>
                <w:rFonts w:ascii="黑体" w:eastAsia="黑体" w:hAnsi="黑体" w:hint="eastAsia"/>
                <w:sz w:val="20"/>
                <w:szCs w:val="20"/>
              </w:rPr>
              <w:t>国内外汇贷款编号</w:t>
            </w:r>
          </w:p>
        </w:tc>
        <w:tc>
          <w:tcPr>
            <w:tcW w:w="1417" w:type="dxa"/>
          </w:tcPr>
          <w:p w14:paraId="381C5F5D" w14:textId="77777777" w:rsidR="00A052DC" w:rsidRDefault="009F0A60">
            <w:pPr>
              <w:rPr>
                <w:rFonts w:ascii="黑体" w:eastAsia="黑体" w:hAnsi="黑体"/>
                <w:sz w:val="20"/>
                <w:szCs w:val="20"/>
              </w:rPr>
            </w:pPr>
            <w:r>
              <w:rPr>
                <w:rFonts w:ascii="黑体" w:eastAsia="黑体" w:hAnsi="黑体" w:hint="eastAsia"/>
                <w:sz w:val="20"/>
                <w:szCs w:val="20"/>
              </w:rPr>
              <w:t>字符型，28</w:t>
            </w:r>
          </w:p>
        </w:tc>
        <w:tc>
          <w:tcPr>
            <w:tcW w:w="3969" w:type="dxa"/>
          </w:tcPr>
          <w:p w14:paraId="33834F8C" w14:textId="77777777" w:rsidR="00A052DC" w:rsidRDefault="009F0A60" w:rsidP="005D3821">
            <w:pPr>
              <w:rPr>
                <w:rFonts w:ascii="黑体" w:eastAsia="黑体" w:hAnsi="黑体"/>
                <w:sz w:val="20"/>
                <w:szCs w:val="20"/>
              </w:rPr>
            </w:pPr>
            <w:r>
              <w:rPr>
                <w:rFonts w:ascii="黑体" w:eastAsia="黑体" w:hAnsi="黑体" w:hint="eastAsia"/>
                <w:sz w:val="20"/>
                <w:szCs w:val="20"/>
              </w:rPr>
              <w:t>必填项，国内外汇贷款唯一性编码。</w:t>
            </w:r>
          </w:p>
        </w:tc>
      </w:tr>
      <w:tr w:rsidR="00A052DC" w14:paraId="7130C9E4" w14:textId="77777777">
        <w:tc>
          <w:tcPr>
            <w:tcW w:w="1560" w:type="dxa"/>
          </w:tcPr>
          <w:p w14:paraId="4F97F83C" w14:textId="77777777" w:rsidR="00A052DC" w:rsidRDefault="009F0A60">
            <w:pPr>
              <w:rPr>
                <w:rFonts w:ascii="黑体" w:eastAsia="黑体" w:hAnsi="黑体"/>
                <w:sz w:val="20"/>
                <w:szCs w:val="20"/>
              </w:rPr>
            </w:pPr>
            <w:r>
              <w:rPr>
                <w:rFonts w:ascii="黑体" w:eastAsia="黑体" w:hAnsi="黑体"/>
                <w:sz w:val="20"/>
                <w:szCs w:val="20"/>
              </w:rPr>
              <w:t>CREDITORCODE</w:t>
            </w:r>
          </w:p>
        </w:tc>
        <w:tc>
          <w:tcPr>
            <w:tcW w:w="1701" w:type="dxa"/>
          </w:tcPr>
          <w:p w14:paraId="141AF2A3" w14:textId="77777777" w:rsidR="00A052DC" w:rsidRDefault="009F0A60">
            <w:pPr>
              <w:rPr>
                <w:rFonts w:ascii="黑体" w:eastAsia="黑体" w:hAnsi="黑体"/>
                <w:sz w:val="20"/>
                <w:szCs w:val="20"/>
              </w:rPr>
            </w:pPr>
            <w:r>
              <w:rPr>
                <w:rFonts w:ascii="黑体" w:eastAsia="黑体" w:hAnsi="黑体" w:hint="eastAsia"/>
                <w:sz w:val="20"/>
                <w:szCs w:val="20"/>
              </w:rPr>
              <w:t>债权人代码</w:t>
            </w:r>
          </w:p>
        </w:tc>
        <w:tc>
          <w:tcPr>
            <w:tcW w:w="1417" w:type="dxa"/>
          </w:tcPr>
          <w:p w14:paraId="68DB0CB6" w14:textId="77777777" w:rsidR="00A052DC" w:rsidRDefault="009F0A60">
            <w:pPr>
              <w:rPr>
                <w:rFonts w:ascii="黑体" w:eastAsia="黑体" w:hAnsi="黑体"/>
                <w:sz w:val="20"/>
                <w:szCs w:val="20"/>
              </w:rPr>
            </w:pPr>
            <w:r>
              <w:rPr>
                <w:rFonts w:ascii="黑体" w:eastAsia="黑体" w:hAnsi="黑体" w:hint="eastAsia"/>
                <w:sz w:val="20"/>
                <w:szCs w:val="20"/>
              </w:rPr>
              <w:t>字符型，12</w:t>
            </w:r>
          </w:p>
        </w:tc>
        <w:tc>
          <w:tcPr>
            <w:tcW w:w="3969" w:type="dxa"/>
          </w:tcPr>
          <w:p w14:paraId="3683967B" w14:textId="77777777" w:rsidR="00A052DC" w:rsidRDefault="009F0A60" w:rsidP="005D3821">
            <w:pPr>
              <w:rPr>
                <w:rFonts w:ascii="黑体" w:eastAsia="黑体" w:hAnsi="黑体"/>
                <w:sz w:val="20"/>
                <w:szCs w:val="20"/>
              </w:rPr>
            </w:pPr>
            <w:r>
              <w:rPr>
                <w:rFonts w:ascii="黑体" w:eastAsia="黑体" w:hAnsi="黑体" w:hint="eastAsia"/>
                <w:sz w:val="20"/>
                <w:szCs w:val="20"/>
              </w:rPr>
              <w:t>必填项，金融机构标识码。</w:t>
            </w:r>
          </w:p>
        </w:tc>
      </w:tr>
      <w:tr w:rsidR="00A052DC" w14:paraId="731439DA" w14:textId="77777777">
        <w:tc>
          <w:tcPr>
            <w:tcW w:w="1560" w:type="dxa"/>
          </w:tcPr>
          <w:p w14:paraId="77BE2E87" w14:textId="77777777" w:rsidR="00A052DC" w:rsidRDefault="009F0A60">
            <w:pPr>
              <w:rPr>
                <w:rFonts w:ascii="黑体" w:eastAsia="黑体" w:hAnsi="黑体"/>
                <w:sz w:val="20"/>
                <w:szCs w:val="20"/>
              </w:rPr>
            </w:pPr>
            <w:r>
              <w:rPr>
                <w:rFonts w:ascii="黑体" w:eastAsia="黑体" w:hAnsi="黑体"/>
                <w:sz w:val="20"/>
                <w:szCs w:val="20"/>
              </w:rPr>
              <w:t>DEBTORCODE</w:t>
            </w:r>
          </w:p>
        </w:tc>
        <w:tc>
          <w:tcPr>
            <w:tcW w:w="1701" w:type="dxa"/>
          </w:tcPr>
          <w:p w14:paraId="560BF73D" w14:textId="77777777" w:rsidR="00A052DC" w:rsidRDefault="009F0A60">
            <w:pPr>
              <w:rPr>
                <w:rFonts w:ascii="黑体" w:eastAsia="黑体" w:hAnsi="黑体"/>
                <w:sz w:val="20"/>
                <w:szCs w:val="20"/>
              </w:rPr>
            </w:pPr>
            <w:r>
              <w:rPr>
                <w:rFonts w:ascii="黑体" w:eastAsia="黑体" w:hAnsi="黑体" w:hint="eastAsia"/>
                <w:sz w:val="20"/>
                <w:szCs w:val="20"/>
              </w:rPr>
              <w:t>债务人代码</w:t>
            </w:r>
          </w:p>
        </w:tc>
        <w:tc>
          <w:tcPr>
            <w:tcW w:w="1417" w:type="dxa"/>
          </w:tcPr>
          <w:p w14:paraId="2418C54A" w14:textId="77777777" w:rsidR="00A052DC" w:rsidRDefault="009F0A60">
            <w:pPr>
              <w:rPr>
                <w:rFonts w:ascii="黑体" w:eastAsia="黑体" w:hAnsi="黑体"/>
                <w:sz w:val="20"/>
                <w:szCs w:val="20"/>
              </w:rPr>
            </w:pPr>
            <w:r>
              <w:rPr>
                <w:rFonts w:ascii="黑体" w:eastAsia="黑体" w:hAnsi="黑体" w:hint="eastAsia"/>
                <w:sz w:val="20"/>
                <w:szCs w:val="20"/>
              </w:rPr>
              <w:t>字符型，18</w:t>
            </w:r>
          </w:p>
        </w:tc>
        <w:tc>
          <w:tcPr>
            <w:tcW w:w="3969" w:type="dxa"/>
          </w:tcPr>
          <w:p w14:paraId="65557176" w14:textId="77777777" w:rsidR="005D3821" w:rsidRDefault="009F0A60">
            <w:pPr>
              <w:rPr>
                <w:rFonts w:ascii="黑体" w:eastAsia="黑体" w:hAnsi="黑体"/>
                <w:sz w:val="20"/>
                <w:szCs w:val="20"/>
              </w:rPr>
            </w:pPr>
            <w:r>
              <w:rPr>
                <w:rFonts w:ascii="黑体" w:eastAsia="黑体" w:hAnsi="黑体" w:hint="eastAsia"/>
                <w:sz w:val="20"/>
                <w:szCs w:val="20"/>
              </w:rPr>
              <w:t>必填项，</w:t>
            </w:r>
          </w:p>
          <w:p w14:paraId="19EEA3F2" w14:textId="77777777" w:rsidR="00A052DC" w:rsidRDefault="009F0A60">
            <w:pPr>
              <w:rPr>
                <w:rFonts w:ascii="黑体" w:eastAsia="黑体" w:hAnsi="黑体"/>
                <w:sz w:val="20"/>
                <w:szCs w:val="20"/>
              </w:rPr>
            </w:pPr>
            <w:r>
              <w:rPr>
                <w:rFonts w:ascii="黑体" w:eastAsia="黑体" w:hAnsi="黑体" w:hint="eastAsia"/>
                <w:sz w:val="20"/>
                <w:szCs w:val="20"/>
              </w:rPr>
              <w:t>组织机构代码或统一社会信用代码。</w:t>
            </w:r>
          </w:p>
        </w:tc>
      </w:tr>
      <w:tr w:rsidR="00A052DC" w14:paraId="6D7EA478" w14:textId="77777777">
        <w:tc>
          <w:tcPr>
            <w:tcW w:w="1560" w:type="dxa"/>
          </w:tcPr>
          <w:p w14:paraId="69FC5036" w14:textId="77777777" w:rsidR="00A052DC" w:rsidRDefault="009F0A60">
            <w:pPr>
              <w:rPr>
                <w:rFonts w:ascii="黑体" w:eastAsia="黑体" w:hAnsi="黑体"/>
                <w:sz w:val="20"/>
                <w:szCs w:val="20"/>
              </w:rPr>
            </w:pPr>
            <w:r>
              <w:rPr>
                <w:rFonts w:ascii="黑体" w:eastAsia="黑体" w:hAnsi="黑体"/>
                <w:sz w:val="20"/>
                <w:szCs w:val="20"/>
              </w:rPr>
              <w:t>DEBTORNAME</w:t>
            </w:r>
          </w:p>
        </w:tc>
        <w:tc>
          <w:tcPr>
            <w:tcW w:w="1701" w:type="dxa"/>
          </w:tcPr>
          <w:p w14:paraId="0F9E16BD" w14:textId="77777777" w:rsidR="00A052DC" w:rsidRDefault="009F0A60">
            <w:pPr>
              <w:rPr>
                <w:rFonts w:ascii="黑体" w:eastAsia="黑体" w:hAnsi="黑体"/>
                <w:sz w:val="20"/>
                <w:szCs w:val="20"/>
              </w:rPr>
            </w:pPr>
            <w:r>
              <w:rPr>
                <w:rFonts w:ascii="黑体" w:eastAsia="黑体" w:hAnsi="黑体" w:hint="eastAsia"/>
                <w:sz w:val="20"/>
                <w:szCs w:val="20"/>
              </w:rPr>
              <w:t>债务人中文名称</w:t>
            </w:r>
          </w:p>
        </w:tc>
        <w:tc>
          <w:tcPr>
            <w:tcW w:w="1417" w:type="dxa"/>
          </w:tcPr>
          <w:p w14:paraId="3EDB1273"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3969" w:type="dxa"/>
          </w:tcPr>
          <w:p w14:paraId="755F8BAF" w14:textId="77777777" w:rsidR="00A052DC" w:rsidRDefault="009F0A60" w:rsidP="005D3821">
            <w:pPr>
              <w:rPr>
                <w:rFonts w:ascii="黑体" w:eastAsia="黑体" w:hAnsi="黑体"/>
                <w:sz w:val="20"/>
                <w:szCs w:val="20"/>
              </w:rPr>
            </w:pPr>
            <w:r>
              <w:rPr>
                <w:rFonts w:ascii="黑体" w:eastAsia="黑体" w:hAnsi="黑体" w:hint="eastAsia"/>
                <w:sz w:val="20"/>
                <w:szCs w:val="20"/>
              </w:rPr>
              <w:t>必填项，中文名称必须填写。</w:t>
            </w:r>
          </w:p>
        </w:tc>
      </w:tr>
      <w:tr w:rsidR="00A052DC" w14:paraId="48ACA5CB" w14:textId="77777777">
        <w:trPr>
          <w:cantSplit/>
          <w:trHeight w:val="623"/>
        </w:trPr>
        <w:tc>
          <w:tcPr>
            <w:tcW w:w="1560" w:type="dxa"/>
          </w:tcPr>
          <w:p w14:paraId="2E787F03" w14:textId="77777777" w:rsidR="00A052DC" w:rsidRDefault="009F0A60">
            <w:pPr>
              <w:rPr>
                <w:rFonts w:ascii="黑体" w:eastAsia="黑体" w:hAnsi="黑体"/>
                <w:sz w:val="20"/>
                <w:szCs w:val="20"/>
              </w:rPr>
            </w:pPr>
            <w:r>
              <w:rPr>
                <w:rFonts w:ascii="黑体" w:eastAsia="黑体" w:hAnsi="黑体"/>
                <w:sz w:val="20"/>
                <w:szCs w:val="20"/>
              </w:rPr>
              <w:t>DOFOEXLOTYPE</w:t>
            </w:r>
          </w:p>
        </w:tc>
        <w:tc>
          <w:tcPr>
            <w:tcW w:w="1701" w:type="dxa"/>
          </w:tcPr>
          <w:p w14:paraId="5FAD73D3" w14:textId="77777777" w:rsidR="00A052DC" w:rsidRDefault="009F0A60">
            <w:pPr>
              <w:rPr>
                <w:rFonts w:ascii="黑体" w:eastAsia="黑体" w:hAnsi="黑体"/>
                <w:sz w:val="20"/>
                <w:szCs w:val="20"/>
              </w:rPr>
            </w:pPr>
            <w:r>
              <w:rPr>
                <w:rFonts w:ascii="黑体" w:eastAsia="黑体" w:hAnsi="黑体" w:hint="eastAsia"/>
                <w:sz w:val="20"/>
                <w:szCs w:val="20"/>
              </w:rPr>
              <w:t>国内外汇贷款类型</w:t>
            </w:r>
          </w:p>
        </w:tc>
        <w:tc>
          <w:tcPr>
            <w:tcW w:w="1417" w:type="dxa"/>
          </w:tcPr>
          <w:p w14:paraId="1C414869" w14:textId="77777777" w:rsidR="00A052DC" w:rsidRDefault="009F0A60">
            <w:pPr>
              <w:rPr>
                <w:rFonts w:ascii="黑体" w:eastAsia="黑体" w:hAnsi="黑体"/>
                <w:sz w:val="20"/>
                <w:szCs w:val="20"/>
              </w:rPr>
            </w:pPr>
            <w:r>
              <w:rPr>
                <w:rFonts w:ascii="黑体" w:eastAsia="黑体" w:hAnsi="黑体" w:hint="eastAsia"/>
                <w:sz w:val="20"/>
                <w:szCs w:val="20"/>
              </w:rPr>
              <w:t>字符型，4</w:t>
            </w:r>
          </w:p>
        </w:tc>
        <w:tc>
          <w:tcPr>
            <w:tcW w:w="3969" w:type="dxa"/>
          </w:tcPr>
          <w:p w14:paraId="0F83A70F" w14:textId="77777777" w:rsidR="00A052DC" w:rsidRDefault="009F0A60">
            <w:pPr>
              <w:rPr>
                <w:rFonts w:ascii="黑体" w:eastAsia="黑体" w:hAnsi="黑体"/>
                <w:sz w:val="20"/>
                <w:szCs w:val="20"/>
              </w:rPr>
            </w:pPr>
            <w:r>
              <w:rPr>
                <w:rFonts w:ascii="黑体" w:eastAsia="黑体" w:hAnsi="黑体" w:hint="eastAsia"/>
                <w:sz w:val="20"/>
                <w:szCs w:val="20"/>
              </w:rPr>
              <w:t>必填项，见国内外汇贷款类型代码表。</w:t>
            </w:r>
          </w:p>
        </w:tc>
      </w:tr>
      <w:tr w:rsidR="00A052DC" w14:paraId="1F2BA698" w14:textId="77777777">
        <w:tc>
          <w:tcPr>
            <w:tcW w:w="1560" w:type="dxa"/>
          </w:tcPr>
          <w:p w14:paraId="22613131" w14:textId="77777777" w:rsidR="00A052DC" w:rsidRDefault="009F0A60">
            <w:pPr>
              <w:rPr>
                <w:rFonts w:ascii="黑体" w:eastAsia="黑体" w:hAnsi="黑体"/>
                <w:sz w:val="20"/>
                <w:szCs w:val="20"/>
              </w:rPr>
            </w:pPr>
            <w:r>
              <w:rPr>
                <w:rFonts w:ascii="黑体" w:eastAsia="黑体" w:hAnsi="黑体"/>
                <w:sz w:val="20"/>
                <w:szCs w:val="20"/>
              </w:rPr>
              <w:t>LENPRONAME</w:t>
            </w:r>
          </w:p>
        </w:tc>
        <w:tc>
          <w:tcPr>
            <w:tcW w:w="1701" w:type="dxa"/>
          </w:tcPr>
          <w:p w14:paraId="05A8F37B" w14:textId="77777777" w:rsidR="00A052DC" w:rsidRDefault="009F0A60">
            <w:pPr>
              <w:rPr>
                <w:rFonts w:ascii="黑体" w:eastAsia="黑体" w:hAnsi="黑体"/>
                <w:sz w:val="20"/>
                <w:szCs w:val="20"/>
              </w:rPr>
            </w:pPr>
            <w:r>
              <w:rPr>
                <w:rFonts w:ascii="黑体" w:eastAsia="黑体" w:hAnsi="黑体" w:hint="eastAsia"/>
                <w:sz w:val="20"/>
                <w:szCs w:val="20"/>
              </w:rPr>
              <w:t>转贷项目名称</w:t>
            </w:r>
          </w:p>
        </w:tc>
        <w:tc>
          <w:tcPr>
            <w:tcW w:w="1417" w:type="dxa"/>
          </w:tcPr>
          <w:p w14:paraId="3D915E85"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3969" w:type="dxa"/>
          </w:tcPr>
          <w:p w14:paraId="0CE3EDEF" w14:textId="77777777" w:rsidR="00A052DC" w:rsidRDefault="009F0A60">
            <w:pPr>
              <w:rPr>
                <w:rFonts w:ascii="黑体" w:eastAsia="黑体" w:hAnsi="黑体"/>
                <w:sz w:val="20"/>
                <w:szCs w:val="20"/>
              </w:rPr>
            </w:pPr>
            <w:r>
              <w:rPr>
                <w:rFonts w:ascii="黑体" w:eastAsia="黑体" w:hAnsi="黑体" w:hint="eastAsia"/>
                <w:sz w:val="20"/>
                <w:szCs w:val="20"/>
              </w:rPr>
              <w:t>非必填项，当国内外汇贷款类型为“外债转贷款”时为必填。</w:t>
            </w:r>
          </w:p>
        </w:tc>
      </w:tr>
      <w:tr w:rsidR="00A052DC" w14:paraId="491F89B0" w14:textId="77777777">
        <w:tc>
          <w:tcPr>
            <w:tcW w:w="1560" w:type="dxa"/>
          </w:tcPr>
          <w:p w14:paraId="68A2D49B" w14:textId="77777777" w:rsidR="00A052DC" w:rsidRDefault="009F0A60">
            <w:pPr>
              <w:rPr>
                <w:rFonts w:ascii="黑体" w:eastAsia="黑体" w:hAnsi="黑体"/>
                <w:sz w:val="20"/>
                <w:szCs w:val="20"/>
              </w:rPr>
            </w:pPr>
            <w:r>
              <w:rPr>
                <w:rFonts w:ascii="黑体" w:eastAsia="黑体" w:hAnsi="黑体"/>
                <w:sz w:val="20"/>
                <w:szCs w:val="20"/>
              </w:rPr>
              <w:t>LENAGREE</w:t>
            </w:r>
          </w:p>
        </w:tc>
        <w:tc>
          <w:tcPr>
            <w:tcW w:w="1701" w:type="dxa"/>
          </w:tcPr>
          <w:p w14:paraId="49C331C6" w14:textId="77777777" w:rsidR="00A052DC" w:rsidRDefault="009F0A60">
            <w:pPr>
              <w:rPr>
                <w:rFonts w:ascii="黑体" w:eastAsia="黑体" w:hAnsi="黑体"/>
                <w:sz w:val="20"/>
                <w:szCs w:val="20"/>
              </w:rPr>
            </w:pPr>
            <w:r>
              <w:rPr>
                <w:rFonts w:ascii="黑体" w:eastAsia="黑体" w:hAnsi="黑体" w:hint="eastAsia"/>
                <w:sz w:val="20"/>
                <w:szCs w:val="20"/>
              </w:rPr>
              <w:t>转贷协议号</w:t>
            </w:r>
          </w:p>
        </w:tc>
        <w:tc>
          <w:tcPr>
            <w:tcW w:w="1417" w:type="dxa"/>
          </w:tcPr>
          <w:p w14:paraId="60594F3F"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3969" w:type="dxa"/>
          </w:tcPr>
          <w:p w14:paraId="5D420751" w14:textId="77777777" w:rsidR="00A052DC" w:rsidRDefault="009F0A60">
            <w:pPr>
              <w:rPr>
                <w:rFonts w:ascii="黑体" w:eastAsia="黑体" w:hAnsi="黑体"/>
                <w:sz w:val="20"/>
                <w:szCs w:val="20"/>
              </w:rPr>
            </w:pPr>
            <w:r>
              <w:rPr>
                <w:rFonts w:ascii="黑体" w:eastAsia="黑体" w:hAnsi="黑体" w:hint="eastAsia"/>
                <w:sz w:val="20"/>
                <w:szCs w:val="20"/>
              </w:rPr>
              <w:t>非必填项，当国内外汇贷款类型为“外债转贷款”时为必填。</w:t>
            </w:r>
          </w:p>
        </w:tc>
      </w:tr>
      <w:tr w:rsidR="00A052DC" w14:paraId="796E032D" w14:textId="77777777">
        <w:tc>
          <w:tcPr>
            <w:tcW w:w="1560" w:type="dxa"/>
          </w:tcPr>
          <w:p w14:paraId="59F207EB" w14:textId="77777777" w:rsidR="00A052DC" w:rsidRDefault="009F0A60">
            <w:pPr>
              <w:rPr>
                <w:rFonts w:ascii="黑体" w:eastAsia="黑体" w:hAnsi="黑体"/>
                <w:sz w:val="20"/>
                <w:szCs w:val="20"/>
              </w:rPr>
            </w:pPr>
            <w:r>
              <w:rPr>
                <w:rFonts w:ascii="黑体" w:eastAsia="黑体" w:hAnsi="黑体"/>
                <w:sz w:val="20"/>
                <w:szCs w:val="20"/>
              </w:rPr>
              <w:t>VALUEDATE</w:t>
            </w:r>
          </w:p>
        </w:tc>
        <w:tc>
          <w:tcPr>
            <w:tcW w:w="1701" w:type="dxa"/>
          </w:tcPr>
          <w:p w14:paraId="35269A30" w14:textId="77777777" w:rsidR="00A052DC" w:rsidRDefault="009F0A60">
            <w:pPr>
              <w:rPr>
                <w:rFonts w:ascii="黑体" w:eastAsia="黑体" w:hAnsi="黑体"/>
                <w:sz w:val="20"/>
                <w:szCs w:val="20"/>
              </w:rPr>
            </w:pPr>
            <w:r>
              <w:rPr>
                <w:rFonts w:ascii="黑体" w:eastAsia="黑体" w:hAnsi="黑体" w:hint="eastAsia"/>
                <w:sz w:val="20"/>
                <w:szCs w:val="20"/>
              </w:rPr>
              <w:t>起息日</w:t>
            </w:r>
          </w:p>
        </w:tc>
        <w:tc>
          <w:tcPr>
            <w:tcW w:w="1417" w:type="dxa"/>
          </w:tcPr>
          <w:p w14:paraId="24F5F8C8" w14:textId="77777777" w:rsidR="00A052DC" w:rsidRDefault="009F0A60">
            <w:pPr>
              <w:rPr>
                <w:rFonts w:ascii="黑体" w:eastAsia="黑体" w:hAnsi="黑体"/>
                <w:sz w:val="20"/>
                <w:szCs w:val="20"/>
              </w:rPr>
            </w:pPr>
            <w:r>
              <w:rPr>
                <w:rFonts w:ascii="黑体" w:eastAsia="黑体" w:hAnsi="黑体" w:hint="eastAsia"/>
                <w:sz w:val="20"/>
                <w:szCs w:val="20"/>
              </w:rPr>
              <w:t>日期型，8</w:t>
            </w:r>
          </w:p>
        </w:tc>
        <w:tc>
          <w:tcPr>
            <w:tcW w:w="3969" w:type="dxa"/>
          </w:tcPr>
          <w:p w14:paraId="0B55E63A" w14:textId="77777777" w:rsidR="00A052DC" w:rsidRDefault="009F0A60" w:rsidP="005D3821">
            <w:pPr>
              <w:rPr>
                <w:rFonts w:ascii="黑体" w:eastAsia="黑体" w:hAnsi="黑体"/>
                <w:sz w:val="20"/>
                <w:szCs w:val="20"/>
              </w:rPr>
            </w:pPr>
            <w:r>
              <w:rPr>
                <w:rFonts w:ascii="黑体" w:eastAsia="黑体" w:hAnsi="黑体" w:hint="eastAsia"/>
                <w:sz w:val="20"/>
                <w:szCs w:val="20"/>
              </w:rPr>
              <w:t>必填项，格式YYYYMMDD。</w:t>
            </w:r>
          </w:p>
        </w:tc>
      </w:tr>
      <w:tr w:rsidR="00A052DC" w14:paraId="361A55EB" w14:textId="77777777">
        <w:tc>
          <w:tcPr>
            <w:tcW w:w="1560" w:type="dxa"/>
          </w:tcPr>
          <w:p w14:paraId="0C7CD9D3" w14:textId="77777777" w:rsidR="00A052DC" w:rsidRDefault="009F0A60">
            <w:pPr>
              <w:rPr>
                <w:rFonts w:ascii="黑体" w:eastAsia="黑体" w:hAnsi="黑体"/>
                <w:sz w:val="20"/>
                <w:szCs w:val="20"/>
              </w:rPr>
            </w:pPr>
            <w:r>
              <w:rPr>
                <w:rFonts w:ascii="黑体" w:eastAsia="黑体" w:hAnsi="黑体"/>
                <w:sz w:val="20"/>
                <w:szCs w:val="20"/>
              </w:rPr>
              <w:t>Maturity</w:t>
            </w:r>
          </w:p>
        </w:tc>
        <w:tc>
          <w:tcPr>
            <w:tcW w:w="1701" w:type="dxa"/>
          </w:tcPr>
          <w:p w14:paraId="2CBD2C86" w14:textId="77777777" w:rsidR="00A052DC" w:rsidRDefault="009F0A60">
            <w:pPr>
              <w:rPr>
                <w:rFonts w:ascii="黑体" w:eastAsia="黑体" w:hAnsi="黑体"/>
                <w:sz w:val="20"/>
                <w:szCs w:val="20"/>
              </w:rPr>
            </w:pPr>
            <w:r>
              <w:rPr>
                <w:rFonts w:ascii="黑体" w:eastAsia="黑体" w:hAnsi="黑体" w:hint="eastAsia"/>
                <w:sz w:val="20"/>
                <w:szCs w:val="20"/>
              </w:rPr>
              <w:t>到期日</w:t>
            </w:r>
          </w:p>
        </w:tc>
        <w:tc>
          <w:tcPr>
            <w:tcW w:w="1417" w:type="dxa"/>
          </w:tcPr>
          <w:p w14:paraId="7061E559" w14:textId="77777777" w:rsidR="00A052DC" w:rsidRDefault="009F0A60">
            <w:pPr>
              <w:rPr>
                <w:rFonts w:ascii="黑体" w:eastAsia="黑体" w:hAnsi="黑体"/>
                <w:sz w:val="20"/>
                <w:szCs w:val="20"/>
              </w:rPr>
            </w:pPr>
            <w:r>
              <w:rPr>
                <w:rFonts w:ascii="黑体" w:eastAsia="黑体" w:hAnsi="黑体" w:hint="eastAsia"/>
                <w:sz w:val="20"/>
                <w:szCs w:val="20"/>
              </w:rPr>
              <w:t>日期型,8</w:t>
            </w:r>
          </w:p>
        </w:tc>
        <w:tc>
          <w:tcPr>
            <w:tcW w:w="3969" w:type="dxa"/>
          </w:tcPr>
          <w:p w14:paraId="76A86AE9" w14:textId="77777777" w:rsidR="00A052DC" w:rsidRDefault="009F0A60" w:rsidP="005D3821">
            <w:pPr>
              <w:rPr>
                <w:rFonts w:ascii="黑体" w:eastAsia="黑体" w:hAnsi="黑体"/>
                <w:sz w:val="20"/>
                <w:szCs w:val="20"/>
              </w:rPr>
            </w:pPr>
            <w:r>
              <w:rPr>
                <w:rFonts w:ascii="黑体" w:eastAsia="黑体" w:hAnsi="黑体" w:hint="eastAsia"/>
                <w:sz w:val="20"/>
                <w:szCs w:val="20"/>
              </w:rPr>
              <w:t>必填项，格式YYYYMMDD，大于等于起息日。</w:t>
            </w:r>
          </w:p>
        </w:tc>
      </w:tr>
      <w:tr w:rsidR="00A052DC" w14:paraId="6CA7D3C4" w14:textId="77777777">
        <w:tc>
          <w:tcPr>
            <w:tcW w:w="1560" w:type="dxa"/>
          </w:tcPr>
          <w:p w14:paraId="2B5EFA27" w14:textId="77777777" w:rsidR="00A052DC" w:rsidRDefault="009F0A60">
            <w:pPr>
              <w:rPr>
                <w:rFonts w:ascii="黑体" w:eastAsia="黑体" w:hAnsi="黑体"/>
                <w:sz w:val="20"/>
                <w:szCs w:val="20"/>
              </w:rPr>
            </w:pPr>
            <w:r>
              <w:rPr>
                <w:rFonts w:ascii="黑体" w:eastAsia="黑体" w:hAnsi="黑体"/>
                <w:sz w:val="20"/>
                <w:szCs w:val="20"/>
              </w:rPr>
              <w:t>currence</w:t>
            </w:r>
          </w:p>
        </w:tc>
        <w:tc>
          <w:tcPr>
            <w:tcW w:w="1701" w:type="dxa"/>
          </w:tcPr>
          <w:p w14:paraId="75AF8594" w14:textId="77777777" w:rsidR="00A052DC" w:rsidRDefault="009F0A60">
            <w:pPr>
              <w:rPr>
                <w:rFonts w:ascii="黑体" w:eastAsia="黑体" w:hAnsi="黑体"/>
                <w:sz w:val="20"/>
                <w:szCs w:val="20"/>
              </w:rPr>
            </w:pPr>
            <w:r>
              <w:rPr>
                <w:rFonts w:ascii="黑体" w:eastAsia="黑体" w:hAnsi="黑体" w:hint="eastAsia"/>
                <w:sz w:val="20"/>
                <w:szCs w:val="20"/>
              </w:rPr>
              <w:t>贷款币种</w:t>
            </w:r>
          </w:p>
        </w:tc>
        <w:tc>
          <w:tcPr>
            <w:tcW w:w="1417" w:type="dxa"/>
          </w:tcPr>
          <w:p w14:paraId="69A46FAE" w14:textId="77777777" w:rsidR="00A052DC" w:rsidRDefault="009F0A60">
            <w:pPr>
              <w:rPr>
                <w:rFonts w:ascii="黑体" w:eastAsia="黑体" w:hAnsi="黑体"/>
                <w:sz w:val="20"/>
                <w:szCs w:val="20"/>
              </w:rPr>
            </w:pPr>
            <w:r>
              <w:rPr>
                <w:rFonts w:ascii="黑体" w:eastAsia="黑体" w:hAnsi="黑体" w:hint="eastAsia"/>
                <w:sz w:val="20"/>
                <w:szCs w:val="20"/>
              </w:rPr>
              <w:t>字符型，3</w:t>
            </w:r>
          </w:p>
        </w:tc>
        <w:tc>
          <w:tcPr>
            <w:tcW w:w="3969" w:type="dxa"/>
          </w:tcPr>
          <w:p w14:paraId="645D5C39" w14:textId="77777777" w:rsidR="00A052DC" w:rsidRDefault="009F0A60" w:rsidP="005D3821">
            <w:pPr>
              <w:rPr>
                <w:rFonts w:ascii="黑体" w:eastAsia="黑体" w:hAnsi="黑体"/>
                <w:sz w:val="20"/>
                <w:szCs w:val="20"/>
              </w:rPr>
            </w:pPr>
            <w:r>
              <w:rPr>
                <w:rFonts w:ascii="黑体" w:eastAsia="黑体" w:hAnsi="黑体" w:hint="eastAsia"/>
                <w:sz w:val="20"/>
                <w:szCs w:val="20"/>
              </w:rPr>
              <w:t>必填项，见币种代码表。</w:t>
            </w:r>
          </w:p>
        </w:tc>
      </w:tr>
      <w:tr w:rsidR="00A052DC" w14:paraId="17C6CDB0" w14:textId="77777777">
        <w:tc>
          <w:tcPr>
            <w:tcW w:w="1560" w:type="dxa"/>
          </w:tcPr>
          <w:p w14:paraId="7D73F6F7" w14:textId="77777777" w:rsidR="00A052DC" w:rsidRDefault="009F0A60">
            <w:pPr>
              <w:rPr>
                <w:rFonts w:ascii="黑体" w:eastAsia="黑体" w:hAnsi="黑体"/>
                <w:sz w:val="20"/>
                <w:szCs w:val="20"/>
              </w:rPr>
            </w:pPr>
            <w:r>
              <w:rPr>
                <w:rFonts w:ascii="黑体" w:eastAsia="黑体" w:hAnsi="黑体"/>
                <w:sz w:val="20"/>
                <w:szCs w:val="20"/>
              </w:rPr>
              <w:t>CONTRACTAMOUNT</w:t>
            </w:r>
          </w:p>
        </w:tc>
        <w:tc>
          <w:tcPr>
            <w:tcW w:w="1701" w:type="dxa"/>
          </w:tcPr>
          <w:p w14:paraId="64D6702B" w14:textId="77777777" w:rsidR="00A052DC" w:rsidRDefault="009F0A60">
            <w:pPr>
              <w:rPr>
                <w:rFonts w:ascii="黑体" w:eastAsia="黑体" w:hAnsi="黑体"/>
                <w:sz w:val="20"/>
                <w:szCs w:val="20"/>
              </w:rPr>
            </w:pPr>
            <w:r>
              <w:rPr>
                <w:rFonts w:ascii="黑体" w:eastAsia="黑体" w:hAnsi="黑体" w:hint="eastAsia"/>
                <w:sz w:val="20"/>
                <w:szCs w:val="20"/>
              </w:rPr>
              <w:t>签约金额</w:t>
            </w:r>
          </w:p>
        </w:tc>
        <w:tc>
          <w:tcPr>
            <w:tcW w:w="1417" w:type="dxa"/>
          </w:tcPr>
          <w:p w14:paraId="119A0701"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3969" w:type="dxa"/>
          </w:tcPr>
          <w:p w14:paraId="5D0B5B9F" w14:textId="77777777" w:rsidR="00A052DC" w:rsidRDefault="009F0A60">
            <w:pPr>
              <w:rPr>
                <w:rFonts w:ascii="黑体" w:eastAsia="黑体" w:hAnsi="黑体"/>
                <w:sz w:val="20"/>
                <w:szCs w:val="20"/>
              </w:rPr>
            </w:pPr>
            <w:r>
              <w:rPr>
                <w:rFonts w:ascii="黑体" w:eastAsia="黑体" w:hAnsi="黑体" w:hint="eastAsia"/>
                <w:sz w:val="20"/>
                <w:szCs w:val="20"/>
              </w:rPr>
              <w:t>必填项，大于等于0。</w:t>
            </w:r>
          </w:p>
        </w:tc>
      </w:tr>
      <w:tr w:rsidR="00A052DC" w14:paraId="18993E3F" w14:textId="77777777">
        <w:tc>
          <w:tcPr>
            <w:tcW w:w="1560" w:type="dxa"/>
          </w:tcPr>
          <w:p w14:paraId="40CD9422" w14:textId="77777777" w:rsidR="00A052DC" w:rsidRDefault="009F0A60">
            <w:pPr>
              <w:rPr>
                <w:rFonts w:ascii="黑体" w:eastAsia="黑体" w:hAnsi="黑体"/>
                <w:sz w:val="20"/>
                <w:szCs w:val="20"/>
              </w:rPr>
            </w:pPr>
            <w:r>
              <w:rPr>
                <w:rFonts w:ascii="黑体" w:eastAsia="黑体" w:hAnsi="黑体"/>
                <w:sz w:val="20"/>
                <w:szCs w:val="20"/>
              </w:rPr>
              <w:t>ANNINRATE</w:t>
            </w:r>
          </w:p>
        </w:tc>
        <w:tc>
          <w:tcPr>
            <w:tcW w:w="1701" w:type="dxa"/>
          </w:tcPr>
          <w:p w14:paraId="29B8A2DC" w14:textId="77777777" w:rsidR="00A052DC" w:rsidRDefault="009F0A60">
            <w:pPr>
              <w:rPr>
                <w:rFonts w:ascii="黑体" w:eastAsia="黑体" w:hAnsi="黑体"/>
                <w:sz w:val="20"/>
                <w:szCs w:val="20"/>
              </w:rPr>
            </w:pPr>
            <w:r>
              <w:rPr>
                <w:rFonts w:ascii="黑体" w:eastAsia="黑体" w:hAnsi="黑体" w:hint="eastAsia"/>
                <w:sz w:val="20"/>
                <w:szCs w:val="20"/>
              </w:rPr>
              <w:t>年化利率值</w:t>
            </w:r>
          </w:p>
        </w:tc>
        <w:tc>
          <w:tcPr>
            <w:tcW w:w="1417" w:type="dxa"/>
          </w:tcPr>
          <w:p w14:paraId="2B4CA8D7" w14:textId="77777777" w:rsidR="00A052DC" w:rsidRDefault="009F0A60">
            <w:pPr>
              <w:rPr>
                <w:rFonts w:ascii="黑体" w:eastAsia="黑体" w:hAnsi="黑体"/>
                <w:sz w:val="20"/>
                <w:szCs w:val="20"/>
              </w:rPr>
            </w:pPr>
            <w:r>
              <w:rPr>
                <w:rFonts w:ascii="黑体" w:eastAsia="黑体" w:hAnsi="黑体" w:hint="eastAsia"/>
                <w:sz w:val="20"/>
                <w:szCs w:val="20"/>
              </w:rPr>
              <w:t>数值型，13.8</w:t>
            </w:r>
          </w:p>
        </w:tc>
        <w:tc>
          <w:tcPr>
            <w:tcW w:w="3969" w:type="dxa"/>
          </w:tcPr>
          <w:p w14:paraId="36F60E8E" w14:textId="77777777" w:rsidR="00A052DC" w:rsidRDefault="009F0A60" w:rsidP="005D3821">
            <w:pPr>
              <w:rPr>
                <w:rFonts w:ascii="黑体" w:eastAsia="黑体" w:hAnsi="黑体"/>
                <w:sz w:val="20"/>
                <w:szCs w:val="20"/>
              </w:rPr>
            </w:pPr>
            <w:r>
              <w:rPr>
                <w:rFonts w:ascii="黑体" w:eastAsia="黑体" w:hAnsi="黑体" w:hint="eastAsia"/>
                <w:sz w:val="20"/>
                <w:szCs w:val="20"/>
              </w:rPr>
              <w:t>必填项，大于等于0，按小数填写</w:t>
            </w:r>
            <w:r w:rsidR="005D3821">
              <w:rPr>
                <w:rFonts w:ascii="黑体" w:eastAsia="黑体" w:hAnsi="黑体" w:hint="eastAsia"/>
                <w:sz w:val="20"/>
                <w:szCs w:val="20"/>
              </w:rPr>
              <w:t>。</w:t>
            </w:r>
            <w:r>
              <w:rPr>
                <w:rFonts w:ascii="黑体" w:eastAsia="黑体" w:hAnsi="黑体" w:hint="eastAsia"/>
                <w:sz w:val="20"/>
                <w:szCs w:val="20"/>
              </w:rPr>
              <w:t>如利率为3.21%，则填写0.0321。</w:t>
            </w:r>
          </w:p>
        </w:tc>
      </w:tr>
      <w:tr w:rsidR="00A052DC" w14:paraId="3D5AF959" w14:textId="77777777">
        <w:tc>
          <w:tcPr>
            <w:tcW w:w="1560" w:type="dxa"/>
            <w:tcBorders>
              <w:top w:val="single" w:sz="4" w:space="0" w:color="auto"/>
              <w:left w:val="single" w:sz="4" w:space="0" w:color="auto"/>
              <w:bottom w:val="single" w:sz="4" w:space="0" w:color="auto"/>
              <w:right w:val="single" w:sz="4" w:space="0" w:color="auto"/>
            </w:tcBorders>
          </w:tcPr>
          <w:p w14:paraId="49F5B680" w14:textId="77777777" w:rsidR="00A052DC" w:rsidRDefault="009F0A60">
            <w:pPr>
              <w:rPr>
                <w:rFonts w:ascii="黑体" w:eastAsia="黑体" w:hAnsi="黑体"/>
                <w:sz w:val="20"/>
                <w:szCs w:val="20"/>
              </w:rPr>
            </w:pPr>
            <w:r>
              <w:rPr>
                <w:rFonts w:ascii="黑体" w:eastAsia="黑体" w:hAnsi="黑体"/>
                <w:sz w:val="20"/>
                <w:szCs w:val="20"/>
              </w:rPr>
              <w:t>REMARK</w:t>
            </w:r>
          </w:p>
        </w:tc>
        <w:tc>
          <w:tcPr>
            <w:tcW w:w="1701" w:type="dxa"/>
            <w:tcBorders>
              <w:top w:val="single" w:sz="4" w:space="0" w:color="auto"/>
              <w:left w:val="single" w:sz="4" w:space="0" w:color="auto"/>
              <w:bottom w:val="single" w:sz="4" w:space="0" w:color="auto"/>
              <w:right w:val="single" w:sz="4" w:space="0" w:color="auto"/>
            </w:tcBorders>
          </w:tcPr>
          <w:p w14:paraId="72672E81" w14:textId="77777777" w:rsidR="00A052DC" w:rsidRDefault="009F0A60">
            <w:pPr>
              <w:rPr>
                <w:rFonts w:ascii="黑体" w:eastAsia="黑体" w:hAnsi="黑体"/>
                <w:sz w:val="20"/>
                <w:szCs w:val="20"/>
              </w:rPr>
            </w:pPr>
            <w:r>
              <w:rPr>
                <w:rFonts w:ascii="黑体" w:eastAsia="黑体" w:hAnsi="黑体" w:hint="eastAsia"/>
                <w:sz w:val="20"/>
                <w:szCs w:val="20"/>
              </w:rPr>
              <w:t>备注</w:t>
            </w:r>
          </w:p>
        </w:tc>
        <w:tc>
          <w:tcPr>
            <w:tcW w:w="1417" w:type="dxa"/>
            <w:tcBorders>
              <w:top w:val="single" w:sz="4" w:space="0" w:color="auto"/>
              <w:left w:val="single" w:sz="4" w:space="0" w:color="auto"/>
              <w:bottom w:val="single" w:sz="4" w:space="0" w:color="auto"/>
              <w:right w:val="single" w:sz="4" w:space="0" w:color="auto"/>
            </w:tcBorders>
          </w:tcPr>
          <w:p w14:paraId="7B6FFB2D" w14:textId="77777777" w:rsidR="00A052DC" w:rsidRDefault="009F0A60">
            <w:pPr>
              <w:rPr>
                <w:rFonts w:ascii="黑体" w:eastAsia="黑体" w:hAnsi="黑体"/>
                <w:sz w:val="20"/>
                <w:szCs w:val="20"/>
              </w:rPr>
            </w:pPr>
            <w:r>
              <w:rPr>
                <w:rFonts w:ascii="黑体" w:eastAsia="黑体" w:hAnsi="黑体" w:hint="eastAsia"/>
                <w:sz w:val="20"/>
                <w:szCs w:val="20"/>
              </w:rPr>
              <w:t>字符型，256</w:t>
            </w:r>
          </w:p>
        </w:tc>
        <w:tc>
          <w:tcPr>
            <w:tcW w:w="3969" w:type="dxa"/>
            <w:tcBorders>
              <w:top w:val="single" w:sz="4" w:space="0" w:color="auto"/>
              <w:left w:val="single" w:sz="4" w:space="0" w:color="auto"/>
              <w:bottom w:val="single" w:sz="4" w:space="0" w:color="auto"/>
              <w:right w:val="single" w:sz="4" w:space="0" w:color="auto"/>
            </w:tcBorders>
          </w:tcPr>
          <w:p w14:paraId="1203F858" w14:textId="77777777" w:rsidR="00A052DC" w:rsidRDefault="009F0A60">
            <w:pPr>
              <w:rPr>
                <w:rFonts w:ascii="黑体" w:eastAsia="黑体" w:hAnsi="黑体"/>
                <w:sz w:val="20"/>
                <w:szCs w:val="20"/>
              </w:rPr>
            </w:pPr>
            <w:r>
              <w:rPr>
                <w:rFonts w:ascii="黑体" w:eastAsia="黑体" w:hAnsi="黑体" w:hint="eastAsia"/>
                <w:sz w:val="20"/>
                <w:szCs w:val="20"/>
              </w:rPr>
              <w:t>非必填项。</w:t>
            </w:r>
          </w:p>
        </w:tc>
      </w:tr>
    </w:tbl>
    <w:p w14:paraId="661C99B4" w14:textId="77777777" w:rsidR="00A052DC" w:rsidRDefault="00A052DC"/>
    <w:p w14:paraId="72418E71" w14:textId="77777777" w:rsidR="00A052DC" w:rsidRDefault="009F0A60" w:rsidP="0020251D">
      <w:pPr>
        <w:pStyle w:val="4"/>
        <w:numPr>
          <w:ilvl w:val="3"/>
          <w:numId w:val="1"/>
        </w:numPr>
        <w:jc w:val="left"/>
      </w:pPr>
      <w:bookmarkStart w:id="1646" w:name="_Toc320362259"/>
      <w:bookmarkStart w:id="1647" w:name="_Toc320362258"/>
      <w:bookmarkStart w:id="1648" w:name="_Toc320362283"/>
      <w:bookmarkStart w:id="1649" w:name="_Toc320362282"/>
      <w:bookmarkStart w:id="1650" w:name="_Toc320362284"/>
      <w:bookmarkStart w:id="1651" w:name="_Toc320362290"/>
      <w:bookmarkStart w:id="1652" w:name="_Toc320362288"/>
      <w:bookmarkStart w:id="1653" w:name="_Toc320362281"/>
      <w:bookmarkStart w:id="1654" w:name="_Toc320362286"/>
      <w:bookmarkStart w:id="1655" w:name="_Toc320362347"/>
      <w:bookmarkStart w:id="1656" w:name="_Toc320362287"/>
      <w:bookmarkStart w:id="1657" w:name="_Toc320362285"/>
      <w:bookmarkStart w:id="1658" w:name="_Toc320362289"/>
      <w:bookmarkStart w:id="1659" w:name="_Toc320362291"/>
      <w:bookmarkStart w:id="1660" w:name="_Toc320362294"/>
      <w:bookmarkStart w:id="1661" w:name="_Toc320362293"/>
      <w:bookmarkStart w:id="1662" w:name="_Toc328635523"/>
      <w:bookmarkStart w:id="1663" w:name="_Toc45438696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r>
        <w:rPr>
          <w:rFonts w:hint="eastAsia"/>
        </w:rPr>
        <w:t>变动信息</w:t>
      </w:r>
      <w:bookmarkEnd w:id="1662"/>
      <w:bookmarkEnd w:id="1663"/>
    </w:p>
    <w:p w14:paraId="58026F26" w14:textId="77777777" w:rsidR="00A052DC" w:rsidRDefault="009F0A60" w:rsidP="0020251D">
      <w:pPr>
        <w:pStyle w:val="5"/>
        <w:numPr>
          <w:ilvl w:val="4"/>
          <w:numId w:val="1"/>
        </w:numPr>
        <w:spacing w:before="120" w:after="120" w:line="360" w:lineRule="auto"/>
        <w:jc w:val="left"/>
      </w:pPr>
      <w:bookmarkStart w:id="1664" w:name="_Toc454386966"/>
      <w:bookmarkStart w:id="1665" w:name="_Toc328635524"/>
      <w:r>
        <w:rPr>
          <w:rFonts w:hint="eastAsia"/>
        </w:rPr>
        <w:t>数据术语解释</w:t>
      </w:r>
      <w:bookmarkEnd w:id="1664"/>
      <w:bookmarkEnd w:id="1665"/>
    </w:p>
    <w:tbl>
      <w:tblPr>
        <w:tblW w:w="84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26"/>
        <w:gridCol w:w="6946"/>
      </w:tblGrid>
      <w:tr w:rsidR="00A052DC" w14:paraId="19F73235" w14:textId="77777777">
        <w:tc>
          <w:tcPr>
            <w:tcW w:w="1526" w:type="dxa"/>
          </w:tcPr>
          <w:p w14:paraId="706EE66F" w14:textId="77777777" w:rsidR="00A052DC" w:rsidRDefault="009F0A60">
            <w:pPr>
              <w:jc w:val="center"/>
              <w:rPr>
                <w:rFonts w:ascii="黑体" w:eastAsia="黑体" w:hAnsi="黑体"/>
                <w:b/>
                <w:sz w:val="20"/>
                <w:szCs w:val="20"/>
              </w:rPr>
            </w:pPr>
            <w:r>
              <w:rPr>
                <w:rFonts w:ascii="黑体" w:eastAsia="黑体" w:hAnsi="黑体" w:hint="eastAsia"/>
                <w:b/>
                <w:sz w:val="20"/>
                <w:szCs w:val="20"/>
              </w:rPr>
              <w:t>基础数据项</w:t>
            </w:r>
          </w:p>
        </w:tc>
        <w:tc>
          <w:tcPr>
            <w:tcW w:w="6946" w:type="dxa"/>
          </w:tcPr>
          <w:p w14:paraId="698B2429" w14:textId="77777777" w:rsidR="00A052DC" w:rsidRDefault="009F0A60">
            <w:pPr>
              <w:jc w:val="center"/>
              <w:rPr>
                <w:rFonts w:ascii="黑体" w:eastAsia="黑体" w:hAnsi="黑体"/>
                <w:b/>
                <w:sz w:val="20"/>
                <w:szCs w:val="20"/>
              </w:rPr>
            </w:pPr>
            <w:r>
              <w:rPr>
                <w:rFonts w:ascii="黑体" w:eastAsia="黑体" w:hAnsi="黑体" w:hint="eastAsia"/>
                <w:b/>
                <w:sz w:val="20"/>
                <w:szCs w:val="20"/>
              </w:rPr>
              <w:t>定义</w:t>
            </w:r>
          </w:p>
        </w:tc>
      </w:tr>
      <w:tr w:rsidR="00A052DC" w14:paraId="08CB0E70" w14:textId="77777777">
        <w:trPr>
          <w:cantSplit/>
          <w:trHeight w:val="218"/>
        </w:trPr>
        <w:tc>
          <w:tcPr>
            <w:tcW w:w="1526" w:type="dxa"/>
          </w:tcPr>
          <w:p w14:paraId="3B4DD1A7" w14:textId="77777777" w:rsidR="00A052DC" w:rsidRDefault="009F0A60">
            <w:pPr>
              <w:rPr>
                <w:rFonts w:ascii="黑体" w:eastAsia="黑体" w:hAnsi="黑体"/>
                <w:sz w:val="20"/>
                <w:szCs w:val="20"/>
              </w:rPr>
            </w:pPr>
            <w:r>
              <w:rPr>
                <w:rFonts w:ascii="黑体" w:eastAsia="黑体" w:hAnsi="黑体" w:hint="eastAsia"/>
                <w:sz w:val="20"/>
                <w:szCs w:val="20"/>
              </w:rPr>
              <w:t>国内外汇贷款编号</w:t>
            </w:r>
          </w:p>
        </w:tc>
        <w:tc>
          <w:tcPr>
            <w:tcW w:w="6946" w:type="dxa"/>
          </w:tcPr>
          <w:p w14:paraId="3370C890" w14:textId="77777777" w:rsidR="00A052DC" w:rsidRDefault="009F0A60">
            <w:pPr>
              <w:rPr>
                <w:rFonts w:ascii="黑体" w:eastAsia="黑体" w:hAnsi="黑体"/>
                <w:sz w:val="20"/>
                <w:szCs w:val="20"/>
              </w:rPr>
            </w:pPr>
            <w:r>
              <w:rPr>
                <w:rFonts w:ascii="黑体" w:eastAsia="黑体" w:hAnsi="黑体" w:hint="eastAsia"/>
                <w:sz w:val="20"/>
                <w:szCs w:val="20"/>
              </w:rPr>
              <w:t>该笔变动信息对应的国内外汇贷款编号。变动信息不产生新的国内外汇贷款编号，变动信息中的国内外汇贷款编号必须为签约信息中已经报送的国内外汇贷款编号。</w:t>
            </w:r>
          </w:p>
        </w:tc>
      </w:tr>
      <w:tr w:rsidR="00A052DC" w14:paraId="6DE3DDA0" w14:textId="77777777">
        <w:trPr>
          <w:cantSplit/>
          <w:trHeight w:val="218"/>
        </w:trPr>
        <w:tc>
          <w:tcPr>
            <w:tcW w:w="1526" w:type="dxa"/>
          </w:tcPr>
          <w:p w14:paraId="70F59528" w14:textId="77777777" w:rsidR="00A052DC" w:rsidRDefault="009F0A60">
            <w:pPr>
              <w:rPr>
                <w:rFonts w:ascii="黑体" w:eastAsia="黑体" w:hAnsi="黑体"/>
                <w:sz w:val="20"/>
                <w:szCs w:val="20"/>
              </w:rPr>
            </w:pPr>
            <w:r>
              <w:rPr>
                <w:rFonts w:ascii="黑体" w:eastAsia="黑体" w:hAnsi="黑体" w:hint="eastAsia"/>
                <w:sz w:val="20"/>
                <w:szCs w:val="20"/>
              </w:rPr>
              <w:t>银行业务参号</w:t>
            </w:r>
          </w:p>
        </w:tc>
        <w:tc>
          <w:tcPr>
            <w:tcW w:w="6946" w:type="dxa"/>
          </w:tcPr>
          <w:p w14:paraId="186821C2" w14:textId="77777777" w:rsidR="00A052DC" w:rsidRDefault="009F0A60">
            <w:pPr>
              <w:rPr>
                <w:rFonts w:ascii="黑体" w:eastAsia="黑体" w:hAnsi="黑体"/>
                <w:sz w:val="20"/>
                <w:szCs w:val="20"/>
              </w:rPr>
            </w:pPr>
            <w:r>
              <w:rPr>
                <w:rFonts w:ascii="黑体" w:eastAsia="黑体" w:hAnsi="黑体" w:hint="eastAsia"/>
                <w:sz w:val="20"/>
                <w:szCs w:val="20"/>
              </w:rPr>
              <w:t>该笔变动业务在银行的业务参号。</w:t>
            </w:r>
          </w:p>
        </w:tc>
      </w:tr>
      <w:tr w:rsidR="00A052DC" w14:paraId="212FF24B" w14:textId="77777777">
        <w:trPr>
          <w:cantSplit/>
        </w:trPr>
        <w:tc>
          <w:tcPr>
            <w:tcW w:w="1526" w:type="dxa"/>
          </w:tcPr>
          <w:p w14:paraId="59BA2E45" w14:textId="77777777" w:rsidR="00A052DC" w:rsidRDefault="009F0A60">
            <w:pPr>
              <w:rPr>
                <w:rFonts w:ascii="黑体" w:eastAsia="黑体" w:hAnsi="黑体"/>
                <w:sz w:val="20"/>
                <w:szCs w:val="20"/>
              </w:rPr>
            </w:pPr>
            <w:r>
              <w:rPr>
                <w:rFonts w:ascii="黑体" w:eastAsia="黑体" w:hAnsi="黑体" w:hint="eastAsia"/>
                <w:sz w:val="20"/>
                <w:szCs w:val="20"/>
              </w:rPr>
              <w:t>变动编号</w:t>
            </w:r>
          </w:p>
        </w:tc>
        <w:tc>
          <w:tcPr>
            <w:tcW w:w="6946" w:type="dxa"/>
          </w:tcPr>
          <w:p w14:paraId="568E03AD" w14:textId="77777777" w:rsidR="00A052DC" w:rsidRDefault="009F0A60">
            <w:pPr>
              <w:rPr>
                <w:rFonts w:ascii="黑体" w:eastAsia="黑体" w:hAnsi="黑体"/>
                <w:sz w:val="20"/>
                <w:szCs w:val="20"/>
              </w:rPr>
            </w:pPr>
            <w:r>
              <w:rPr>
                <w:rFonts w:ascii="黑体" w:eastAsia="黑体" w:hAnsi="黑体" w:hint="eastAsia"/>
                <w:sz w:val="20"/>
                <w:szCs w:val="20"/>
              </w:rPr>
              <w:t>外汇局制定编号规则，银行自行对同一笔国内外汇贷款贷款的提款、结汇、还本、购汇还本、付息、购汇付息等变动信息逐笔编号，用于识别同一外汇贷款编号下变动数据的新增或修改。变动编号规则为</w:t>
            </w:r>
            <w:r>
              <w:rPr>
                <w:rFonts w:ascii="黑体" w:eastAsia="黑体" w:hAnsi="黑体"/>
                <w:sz w:val="20"/>
                <w:szCs w:val="20"/>
              </w:rPr>
              <w:t>4</w:t>
            </w:r>
            <w:r>
              <w:rPr>
                <w:rFonts w:ascii="黑体" w:eastAsia="黑体" w:hAnsi="黑体" w:hint="eastAsia"/>
                <w:sz w:val="20"/>
                <w:szCs w:val="20"/>
              </w:rPr>
              <w:t>位流水号，编号格式如</w:t>
            </w:r>
            <w:r>
              <w:rPr>
                <w:rFonts w:ascii="黑体" w:eastAsia="黑体" w:hAnsi="黑体"/>
                <w:sz w:val="20"/>
                <w:szCs w:val="20"/>
              </w:rPr>
              <w:t>0001</w:t>
            </w:r>
            <w:r>
              <w:rPr>
                <w:rFonts w:ascii="黑体" w:eastAsia="黑体" w:hAnsi="黑体" w:hint="eastAsia"/>
                <w:sz w:val="20"/>
                <w:szCs w:val="20"/>
              </w:rPr>
              <w:t>。</w:t>
            </w:r>
          </w:p>
        </w:tc>
      </w:tr>
      <w:tr w:rsidR="00A052DC" w14:paraId="645837CC" w14:textId="77777777">
        <w:trPr>
          <w:cantSplit/>
        </w:trPr>
        <w:tc>
          <w:tcPr>
            <w:tcW w:w="1526" w:type="dxa"/>
          </w:tcPr>
          <w:p w14:paraId="476EF70B" w14:textId="77777777" w:rsidR="00A052DC" w:rsidRDefault="009F0A60">
            <w:pPr>
              <w:rPr>
                <w:rFonts w:ascii="黑体" w:eastAsia="黑体" w:hAnsi="黑体"/>
                <w:sz w:val="20"/>
                <w:szCs w:val="20"/>
              </w:rPr>
            </w:pPr>
            <w:r>
              <w:rPr>
                <w:rFonts w:ascii="黑体" w:eastAsia="黑体" w:hAnsi="黑体" w:hint="eastAsia"/>
                <w:sz w:val="20"/>
                <w:szCs w:val="20"/>
              </w:rPr>
              <w:t>期初余额</w:t>
            </w:r>
          </w:p>
        </w:tc>
        <w:tc>
          <w:tcPr>
            <w:tcW w:w="6946" w:type="dxa"/>
          </w:tcPr>
          <w:p w14:paraId="07084BFF" w14:textId="77777777" w:rsidR="00A052DC" w:rsidRDefault="009F0A60">
            <w:pPr>
              <w:rPr>
                <w:rFonts w:ascii="黑体" w:eastAsia="黑体" w:hAnsi="黑体"/>
                <w:sz w:val="20"/>
                <w:szCs w:val="20"/>
              </w:rPr>
            </w:pPr>
            <w:r>
              <w:rPr>
                <w:rFonts w:ascii="黑体" w:eastAsia="黑体" w:hAnsi="黑体" w:hint="eastAsia"/>
                <w:sz w:val="20"/>
                <w:szCs w:val="20"/>
              </w:rPr>
              <w:t>国内外汇贷款期初余额。按照签约币种对应的金额填报。</w:t>
            </w:r>
          </w:p>
        </w:tc>
      </w:tr>
      <w:tr w:rsidR="00A052DC" w14:paraId="715918E8" w14:textId="77777777">
        <w:trPr>
          <w:cantSplit/>
        </w:trPr>
        <w:tc>
          <w:tcPr>
            <w:tcW w:w="1526" w:type="dxa"/>
          </w:tcPr>
          <w:p w14:paraId="276175DC" w14:textId="77777777" w:rsidR="00A052DC" w:rsidRDefault="009F0A60">
            <w:pPr>
              <w:rPr>
                <w:rFonts w:ascii="黑体" w:eastAsia="黑体" w:hAnsi="黑体"/>
                <w:sz w:val="20"/>
                <w:szCs w:val="20"/>
              </w:rPr>
            </w:pPr>
            <w:r>
              <w:rPr>
                <w:rFonts w:ascii="黑体" w:eastAsia="黑体" w:hAnsi="黑体" w:hint="eastAsia"/>
                <w:sz w:val="20"/>
                <w:szCs w:val="20"/>
              </w:rPr>
              <w:t>变动日期</w:t>
            </w:r>
          </w:p>
        </w:tc>
        <w:tc>
          <w:tcPr>
            <w:tcW w:w="6946" w:type="dxa"/>
          </w:tcPr>
          <w:p w14:paraId="60F35036" w14:textId="77777777" w:rsidR="00A052DC" w:rsidRDefault="009F0A60">
            <w:pPr>
              <w:rPr>
                <w:rFonts w:ascii="黑体" w:eastAsia="黑体" w:hAnsi="黑体"/>
                <w:sz w:val="20"/>
                <w:szCs w:val="20"/>
              </w:rPr>
            </w:pPr>
            <w:r>
              <w:rPr>
                <w:rFonts w:ascii="黑体" w:eastAsia="黑体" w:hAnsi="黑体" w:hint="eastAsia"/>
                <w:sz w:val="20"/>
                <w:szCs w:val="20"/>
              </w:rPr>
              <w:t>国内外汇贷款实际提款、结汇、还本、付息、购汇的日期。</w:t>
            </w:r>
          </w:p>
        </w:tc>
      </w:tr>
      <w:tr w:rsidR="00A052DC" w14:paraId="4DCD9A39" w14:textId="77777777">
        <w:trPr>
          <w:cantSplit/>
        </w:trPr>
        <w:tc>
          <w:tcPr>
            <w:tcW w:w="1526" w:type="dxa"/>
          </w:tcPr>
          <w:p w14:paraId="021D6EB3" w14:textId="77777777" w:rsidR="00A052DC" w:rsidRDefault="009F0A60">
            <w:pPr>
              <w:rPr>
                <w:rFonts w:ascii="黑体" w:eastAsia="黑体" w:hAnsi="黑体"/>
                <w:sz w:val="20"/>
                <w:szCs w:val="20"/>
              </w:rPr>
            </w:pPr>
            <w:r>
              <w:rPr>
                <w:rFonts w:ascii="黑体" w:eastAsia="黑体" w:hAnsi="黑体" w:hint="eastAsia"/>
                <w:sz w:val="20"/>
                <w:szCs w:val="20"/>
              </w:rPr>
              <w:t>提款币种</w:t>
            </w:r>
          </w:p>
        </w:tc>
        <w:tc>
          <w:tcPr>
            <w:tcW w:w="6946" w:type="dxa"/>
          </w:tcPr>
          <w:p w14:paraId="3E2C8A97" w14:textId="77777777" w:rsidR="00A052DC" w:rsidRDefault="009F0A60">
            <w:pPr>
              <w:rPr>
                <w:rFonts w:ascii="黑体" w:eastAsia="黑体" w:hAnsi="黑体"/>
                <w:sz w:val="20"/>
                <w:szCs w:val="20"/>
              </w:rPr>
            </w:pPr>
            <w:r>
              <w:rPr>
                <w:rFonts w:ascii="黑体" w:eastAsia="黑体" w:hAnsi="黑体" w:hint="eastAsia"/>
                <w:sz w:val="20"/>
                <w:szCs w:val="20"/>
              </w:rPr>
              <w:t>国内外汇贷款实际提款币种。</w:t>
            </w:r>
          </w:p>
        </w:tc>
      </w:tr>
      <w:tr w:rsidR="00A052DC" w14:paraId="4DED00D2" w14:textId="77777777">
        <w:trPr>
          <w:cantSplit/>
        </w:trPr>
        <w:tc>
          <w:tcPr>
            <w:tcW w:w="1526" w:type="dxa"/>
          </w:tcPr>
          <w:p w14:paraId="63A2659B" w14:textId="77777777" w:rsidR="00A052DC" w:rsidRDefault="009F0A60">
            <w:pPr>
              <w:rPr>
                <w:rFonts w:ascii="黑体" w:eastAsia="黑体" w:hAnsi="黑体"/>
                <w:sz w:val="20"/>
                <w:szCs w:val="20"/>
              </w:rPr>
            </w:pPr>
            <w:r>
              <w:rPr>
                <w:rFonts w:ascii="黑体" w:eastAsia="黑体" w:hAnsi="黑体" w:hint="eastAsia"/>
                <w:sz w:val="20"/>
                <w:szCs w:val="20"/>
              </w:rPr>
              <w:t>提款金额</w:t>
            </w:r>
          </w:p>
        </w:tc>
        <w:tc>
          <w:tcPr>
            <w:tcW w:w="6946" w:type="dxa"/>
            <w:vAlign w:val="center"/>
          </w:tcPr>
          <w:p w14:paraId="6820D089" w14:textId="77777777" w:rsidR="00A052DC" w:rsidRDefault="009F0A60">
            <w:pPr>
              <w:rPr>
                <w:rFonts w:ascii="黑体" w:eastAsia="黑体" w:hAnsi="黑体"/>
                <w:sz w:val="20"/>
                <w:szCs w:val="20"/>
              </w:rPr>
            </w:pPr>
            <w:r>
              <w:rPr>
                <w:rFonts w:ascii="黑体" w:eastAsia="黑体" w:hAnsi="黑体" w:hint="eastAsia"/>
                <w:sz w:val="20"/>
                <w:szCs w:val="20"/>
              </w:rPr>
              <w:t>国内外汇贷款提款金额。按照提款币种对应的金额填报。</w:t>
            </w:r>
          </w:p>
        </w:tc>
      </w:tr>
      <w:tr w:rsidR="00A052DC" w14:paraId="09A76CD0" w14:textId="77777777">
        <w:trPr>
          <w:cantSplit/>
        </w:trPr>
        <w:tc>
          <w:tcPr>
            <w:tcW w:w="1526" w:type="dxa"/>
          </w:tcPr>
          <w:p w14:paraId="18454518" w14:textId="77777777" w:rsidR="00A052DC" w:rsidRDefault="009F0A60">
            <w:pPr>
              <w:rPr>
                <w:rFonts w:ascii="黑体" w:eastAsia="黑体" w:hAnsi="黑体"/>
                <w:sz w:val="20"/>
                <w:szCs w:val="20"/>
              </w:rPr>
            </w:pPr>
            <w:r>
              <w:rPr>
                <w:rFonts w:ascii="黑体" w:eastAsia="黑体" w:hAnsi="黑体" w:hint="eastAsia"/>
                <w:sz w:val="20"/>
                <w:szCs w:val="20"/>
              </w:rPr>
              <w:t>结汇金额</w:t>
            </w:r>
          </w:p>
        </w:tc>
        <w:tc>
          <w:tcPr>
            <w:tcW w:w="6946" w:type="dxa"/>
            <w:vAlign w:val="center"/>
          </w:tcPr>
          <w:p w14:paraId="3478642A" w14:textId="77777777" w:rsidR="00A052DC" w:rsidRDefault="009F0A60">
            <w:pPr>
              <w:rPr>
                <w:rFonts w:ascii="黑体" w:eastAsia="黑体" w:hAnsi="黑体"/>
                <w:sz w:val="20"/>
                <w:szCs w:val="20"/>
              </w:rPr>
            </w:pPr>
            <w:r>
              <w:rPr>
                <w:rFonts w:ascii="黑体" w:eastAsia="黑体" w:hAnsi="黑体" w:hint="eastAsia"/>
                <w:sz w:val="20"/>
                <w:szCs w:val="20"/>
              </w:rPr>
              <w:t>国内外汇贷款结汇金额。按照提款币种对应的金额填报。</w:t>
            </w:r>
          </w:p>
        </w:tc>
      </w:tr>
      <w:tr w:rsidR="00A052DC" w14:paraId="3BC5BFE9" w14:textId="77777777">
        <w:trPr>
          <w:cantSplit/>
        </w:trPr>
        <w:tc>
          <w:tcPr>
            <w:tcW w:w="1526" w:type="dxa"/>
          </w:tcPr>
          <w:p w14:paraId="77061AF6" w14:textId="77777777" w:rsidR="00A052DC" w:rsidRDefault="009F0A60">
            <w:pPr>
              <w:rPr>
                <w:rFonts w:ascii="黑体" w:eastAsia="黑体" w:hAnsi="黑体"/>
                <w:sz w:val="20"/>
                <w:szCs w:val="20"/>
              </w:rPr>
            </w:pPr>
            <w:r>
              <w:rPr>
                <w:rFonts w:ascii="黑体" w:eastAsia="黑体" w:hAnsi="黑体" w:hint="eastAsia"/>
                <w:sz w:val="20"/>
                <w:szCs w:val="20"/>
              </w:rPr>
              <w:t>资金用途</w:t>
            </w:r>
          </w:p>
        </w:tc>
        <w:tc>
          <w:tcPr>
            <w:tcW w:w="6946" w:type="dxa"/>
          </w:tcPr>
          <w:p w14:paraId="4045406F" w14:textId="77777777" w:rsidR="00A052DC" w:rsidRDefault="009F0A60">
            <w:pPr>
              <w:rPr>
                <w:rFonts w:ascii="黑体" w:eastAsia="黑体" w:hAnsi="黑体"/>
                <w:sz w:val="20"/>
                <w:szCs w:val="20"/>
              </w:rPr>
            </w:pPr>
            <w:r>
              <w:rPr>
                <w:rFonts w:ascii="黑体" w:eastAsia="黑体" w:hAnsi="黑体" w:hint="eastAsia"/>
                <w:sz w:val="20"/>
                <w:szCs w:val="20"/>
              </w:rPr>
              <w:t>国内外汇贷款资金用途，见国内外汇贷款资金用途代码。</w:t>
            </w:r>
          </w:p>
        </w:tc>
      </w:tr>
      <w:tr w:rsidR="00A052DC" w14:paraId="2F90628F" w14:textId="77777777">
        <w:trPr>
          <w:cantSplit/>
        </w:trPr>
        <w:tc>
          <w:tcPr>
            <w:tcW w:w="1526" w:type="dxa"/>
          </w:tcPr>
          <w:p w14:paraId="2C602277" w14:textId="77777777" w:rsidR="00A052DC" w:rsidRDefault="009F0A60">
            <w:pPr>
              <w:rPr>
                <w:rFonts w:ascii="黑体" w:eastAsia="黑体" w:hAnsi="黑体"/>
                <w:sz w:val="20"/>
                <w:szCs w:val="20"/>
              </w:rPr>
            </w:pPr>
            <w:r>
              <w:rPr>
                <w:rFonts w:ascii="黑体" w:eastAsia="黑体" w:hAnsi="黑体" w:hint="eastAsia"/>
                <w:sz w:val="20"/>
                <w:szCs w:val="20"/>
              </w:rPr>
              <w:t>还本币种</w:t>
            </w:r>
          </w:p>
        </w:tc>
        <w:tc>
          <w:tcPr>
            <w:tcW w:w="6946" w:type="dxa"/>
          </w:tcPr>
          <w:p w14:paraId="7F16FA61" w14:textId="77777777" w:rsidR="00A052DC" w:rsidRDefault="009F0A60">
            <w:pPr>
              <w:rPr>
                <w:rFonts w:ascii="黑体" w:eastAsia="黑体" w:hAnsi="黑体"/>
                <w:sz w:val="20"/>
                <w:szCs w:val="20"/>
              </w:rPr>
            </w:pPr>
            <w:r>
              <w:rPr>
                <w:rFonts w:ascii="黑体" w:eastAsia="黑体" w:hAnsi="黑体" w:hint="eastAsia"/>
                <w:sz w:val="20"/>
                <w:szCs w:val="20"/>
              </w:rPr>
              <w:t>偿还国内外汇贷款本金币种。</w:t>
            </w:r>
          </w:p>
        </w:tc>
      </w:tr>
      <w:tr w:rsidR="00A052DC" w14:paraId="4B70E3DA" w14:textId="77777777">
        <w:trPr>
          <w:cantSplit/>
        </w:trPr>
        <w:tc>
          <w:tcPr>
            <w:tcW w:w="1526" w:type="dxa"/>
          </w:tcPr>
          <w:p w14:paraId="5121E396" w14:textId="77777777" w:rsidR="00A052DC" w:rsidRDefault="009F0A60">
            <w:pPr>
              <w:rPr>
                <w:rFonts w:ascii="黑体" w:eastAsia="黑体" w:hAnsi="黑体"/>
                <w:sz w:val="20"/>
                <w:szCs w:val="20"/>
              </w:rPr>
            </w:pPr>
            <w:r>
              <w:rPr>
                <w:rFonts w:ascii="黑体" w:eastAsia="黑体" w:hAnsi="黑体" w:hint="eastAsia"/>
                <w:sz w:val="20"/>
                <w:szCs w:val="20"/>
              </w:rPr>
              <w:t>还本金额</w:t>
            </w:r>
          </w:p>
        </w:tc>
        <w:tc>
          <w:tcPr>
            <w:tcW w:w="6946" w:type="dxa"/>
            <w:vAlign w:val="center"/>
          </w:tcPr>
          <w:p w14:paraId="1C24D0F4" w14:textId="77777777" w:rsidR="00A052DC" w:rsidRDefault="009F0A60">
            <w:pPr>
              <w:rPr>
                <w:rFonts w:ascii="黑体" w:eastAsia="黑体" w:hAnsi="黑体"/>
                <w:sz w:val="20"/>
                <w:szCs w:val="20"/>
              </w:rPr>
            </w:pPr>
            <w:r>
              <w:rPr>
                <w:rFonts w:ascii="黑体" w:eastAsia="黑体" w:hAnsi="黑体" w:hint="eastAsia"/>
                <w:sz w:val="20"/>
                <w:szCs w:val="20"/>
              </w:rPr>
              <w:t>偿还国内外汇贷款本金金额。按照还本币种对应的金额填报。</w:t>
            </w:r>
          </w:p>
        </w:tc>
      </w:tr>
      <w:tr w:rsidR="00A052DC" w14:paraId="666C9AC4" w14:textId="77777777">
        <w:trPr>
          <w:cantSplit/>
        </w:trPr>
        <w:tc>
          <w:tcPr>
            <w:tcW w:w="1526" w:type="dxa"/>
          </w:tcPr>
          <w:p w14:paraId="44E1F969" w14:textId="77777777" w:rsidR="00A052DC" w:rsidRDefault="009F0A60">
            <w:pPr>
              <w:rPr>
                <w:rFonts w:ascii="黑体" w:eastAsia="黑体" w:hAnsi="黑体"/>
                <w:sz w:val="20"/>
                <w:szCs w:val="20"/>
              </w:rPr>
            </w:pPr>
            <w:r>
              <w:rPr>
                <w:rFonts w:ascii="黑体" w:eastAsia="黑体" w:hAnsi="黑体" w:hint="eastAsia"/>
                <w:sz w:val="20"/>
                <w:szCs w:val="20"/>
              </w:rPr>
              <w:t>购汇还本金额</w:t>
            </w:r>
          </w:p>
        </w:tc>
        <w:tc>
          <w:tcPr>
            <w:tcW w:w="6946" w:type="dxa"/>
            <w:vAlign w:val="center"/>
          </w:tcPr>
          <w:p w14:paraId="2C2A1B78" w14:textId="77777777" w:rsidR="00A052DC" w:rsidRDefault="009F0A60">
            <w:pPr>
              <w:rPr>
                <w:rFonts w:ascii="黑体" w:eastAsia="黑体" w:hAnsi="黑体"/>
                <w:sz w:val="20"/>
                <w:szCs w:val="20"/>
              </w:rPr>
            </w:pPr>
            <w:r>
              <w:rPr>
                <w:rFonts w:ascii="黑体" w:eastAsia="黑体" w:hAnsi="黑体" w:hint="eastAsia"/>
                <w:sz w:val="20"/>
                <w:szCs w:val="20"/>
              </w:rPr>
              <w:t>购汇偿还外汇贷款本金金额。按照还本币种对应的金额填报。</w:t>
            </w:r>
          </w:p>
        </w:tc>
      </w:tr>
      <w:tr w:rsidR="00A052DC" w14:paraId="48CBBF9C" w14:textId="77777777">
        <w:trPr>
          <w:cantSplit/>
        </w:trPr>
        <w:tc>
          <w:tcPr>
            <w:tcW w:w="1526" w:type="dxa"/>
          </w:tcPr>
          <w:p w14:paraId="6F7A38AD" w14:textId="77777777" w:rsidR="00A052DC" w:rsidRDefault="009F0A60">
            <w:pPr>
              <w:rPr>
                <w:rFonts w:ascii="黑体" w:eastAsia="黑体" w:hAnsi="黑体"/>
                <w:sz w:val="20"/>
                <w:szCs w:val="20"/>
              </w:rPr>
            </w:pPr>
            <w:r>
              <w:rPr>
                <w:rFonts w:ascii="黑体" w:eastAsia="黑体" w:hAnsi="黑体" w:hint="eastAsia"/>
                <w:sz w:val="20"/>
                <w:szCs w:val="20"/>
              </w:rPr>
              <w:t>付息币种</w:t>
            </w:r>
          </w:p>
        </w:tc>
        <w:tc>
          <w:tcPr>
            <w:tcW w:w="6946" w:type="dxa"/>
            <w:vAlign w:val="center"/>
          </w:tcPr>
          <w:p w14:paraId="3EDD3F22" w14:textId="77777777" w:rsidR="00A052DC" w:rsidRDefault="009F0A60">
            <w:pPr>
              <w:rPr>
                <w:rFonts w:ascii="黑体" w:eastAsia="黑体" w:hAnsi="黑体"/>
                <w:sz w:val="20"/>
                <w:szCs w:val="20"/>
              </w:rPr>
            </w:pPr>
            <w:r>
              <w:rPr>
                <w:rFonts w:ascii="黑体" w:eastAsia="黑体" w:hAnsi="黑体" w:hint="eastAsia"/>
                <w:sz w:val="20"/>
                <w:szCs w:val="20"/>
              </w:rPr>
              <w:t>偿还国内外汇贷款利息币种。</w:t>
            </w:r>
          </w:p>
        </w:tc>
      </w:tr>
      <w:tr w:rsidR="00A052DC" w14:paraId="4E3F7329" w14:textId="77777777">
        <w:trPr>
          <w:cantSplit/>
        </w:trPr>
        <w:tc>
          <w:tcPr>
            <w:tcW w:w="1526" w:type="dxa"/>
          </w:tcPr>
          <w:p w14:paraId="4B82AFB8" w14:textId="77777777" w:rsidR="00A052DC" w:rsidRDefault="009F0A60">
            <w:pPr>
              <w:rPr>
                <w:rFonts w:ascii="黑体" w:eastAsia="黑体" w:hAnsi="黑体"/>
                <w:sz w:val="20"/>
                <w:szCs w:val="20"/>
              </w:rPr>
            </w:pPr>
            <w:r>
              <w:rPr>
                <w:rFonts w:ascii="黑体" w:eastAsia="黑体" w:hAnsi="黑体" w:hint="eastAsia"/>
                <w:sz w:val="20"/>
                <w:szCs w:val="20"/>
              </w:rPr>
              <w:t>付息金额</w:t>
            </w:r>
          </w:p>
        </w:tc>
        <w:tc>
          <w:tcPr>
            <w:tcW w:w="6946" w:type="dxa"/>
          </w:tcPr>
          <w:p w14:paraId="6F9BFCD5" w14:textId="77777777" w:rsidR="00A052DC" w:rsidRDefault="009F0A60">
            <w:pPr>
              <w:rPr>
                <w:rFonts w:ascii="黑体" w:eastAsia="黑体" w:hAnsi="黑体"/>
                <w:sz w:val="20"/>
                <w:szCs w:val="20"/>
              </w:rPr>
            </w:pPr>
            <w:r>
              <w:rPr>
                <w:rFonts w:ascii="黑体" w:eastAsia="黑体" w:hAnsi="黑体" w:hint="eastAsia"/>
                <w:sz w:val="20"/>
                <w:szCs w:val="20"/>
              </w:rPr>
              <w:t>偿还国内外汇贷款利息金额。按照付息币种对应的金额填报。</w:t>
            </w:r>
          </w:p>
        </w:tc>
      </w:tr>
      <w:tr w:rsidR="00A052DC" w14:paraId="3C0F7DB3" w14:textId="77777777">
        <w:trPr>
          <w:cantSplit/>
        </w:trPr>
        <w:tc>
          <w:tcPr>
            <w:tcW w:w="1526" w:type="dxa"/>
          </w:tcPr>
          <w:p w14:paraId="7331C86E" w14:textId="77777777" w:rsidR="00A052DC" w:rsidRDefault="009F0A60">
            <w:pPr>
              <w:rPr>
                <w:rFonts w:ascii="黑体" w:eastAsia="黑体" w:hAnsi="黑体"/>
                <w:sz w:val="20"/>
                <w:szCs w:val="20"/>
              </w:rPr>
            </w:pPr>
            <w:r>
              <w:rPr>
                <w:rFonts w:ascii="黑体" w:eastAsia="黑体" w:hAnsi="黑体" w:hint="eastAsia"/>
                <w:sz w:val="20"/>
                <w:szCs w:val="20"/>
              </w:rPr>
              <w:t>购汇付息金额</w:t>
            </w:r>
          </w:p>
        </w:tc>
        <w:tc>
          <w:tcPr>
            <w:tcW w:w="6946" w:type="dxa"/>
          </w:tcPr>
          <w:p w14:paraId="57E30A50" w14:textId="77777777" w:rsidR="00A052DC" w:rsidRDefault="009F0A60">
            <w:pPr>
              <w:rPr>
                <w:rFonts w:ascii="黑体" w:eastAsia="黑体" w:hAnsi="黑体"/>
                <w:sz w:val="20"/>
                <w:szCs w:val="20"/>
              </w:rPr>
            </w:pPr>
            <w:r>
              <w:rPr>
                <w:rFonts w:ascii="黑体" w:eastAsia="黑体" w:hAnsi="黑体" w:hint="eastAsia"/>
                <w:sz w:val="20"/>
                <w:szCs w:val="20"/>
              </w:rPr>
              <w:t>购汇偿还外汇贷款利息金额。按照付息币种对应的金额填报。</w:t>
            </w:r>
          </w:p>
        </w:tc>
      </w:tr>
      <w:tr w:rsidR="00A052DC" w14:paraId="66681D16" w14:textId="77777777">
        <w:trPr>
          <w:cantSplit/>
        </w:trPr>
        <w:tc>
          <w:tcPr>
            <w:tcW w:w="1526" w:type="dxa"/>
          </w:tcPr>
          <w:p w14:paraId="3955FF50" w14:textId="77777777" w:rsidR="00A052DC" w:rsidRDefault="009F0A60">
            <w:pPr>
              <w:rPr>
                <w:rFonts w:ascii="黑体" w:eastAsia="黑体" w:hAnsi="黑体"/>
                <w:sz w:val="20"/>
                <w:szCs w:val="20"/>
              </w:rPr>
            </w:pPr>
            <w:r>
              <w:rPr>
                <w:rFonts w:ascii="黑体" w:eastAsia="黑体" w:hAnsi="黑体" w:hint="eastAsia"/>
                <w:sz w:val="20"/>
                <w:szCs w:val="20"/>
              </w:rPr>
              <w:t>期末余额</w:t>
            </w:r>
          </w:p>
        </w:tc>
        <w:tc>
          <w:tcPr>
            <w:tcW w:w="6946" w:type="dxa"/>
          </w:tcPr>
          <w:p w14:paraId="33307E40" w14:textId="77777777" w:rsidR="00A052DC" w:rsidRDefault="009F0A60">
            <w:pPr>
              <w:rPr>
                <w:rFonts w:ascii="黑体" w:eastAsia="黑体" w:hAnsi="黑体"/>
                <w:sz w:val="20"/>
                <w:szCs w:val="20"/>
              </w:rPr>
            </w:pPr>
            <w:r>
              <w:rPr>
                <w:rFonts w:ascii="黑体" w:eastAsia="黑体" w:hAnsi="黑体" w:hint="eastAsia"/>
                <w:sz w:val="20"/>
                <w:szCs w:val="20"/>
              </w:rPr>
              <w:t>国内外汇贷款期末余额。按照签约币种对应的金额填报。</w:t>
            </w:r>
          </w:p>
        </w:tc>
      </w:tr>
      <w:tr w:rsidR="00A052DC" w14:paraId="44C490B0" w14:textId="77777777">
        <w:trPr>
          <w:cantSplit/>
        </w:trPr>
        <w:tc>
          <w:tcPr>
            <w:tcW w:w="1526" w:type="dxa"/>
            <w:tcBorders>
              <w:top w:val="single" w:sz="6" w:space="0" w:color="auto"/>
              <w:left w:val="single" w:sz="6" w:space="0" w:color="auto"/>
              <w:bottom w:val="single" w:sz="6" w:space="0" w:color="auto"/>
              <w:right w:val="single" w:sz="6" w:space="0" w:color="auto"/>
            </w:tcBorders>
          </w:tcPr>
          <w:p w14:paraId="4330CBE7" w14:textId="77777777" w:rsidR="00A052DC" w:rsidRDefault="009F0A60">
            <w:pPr>
              <w:rPr>
                <w:rFonts w:ascii="黑体" w:eastAsia="黑体" w:hAnsi="黑体"/>
                <w:sz w:val="20"/>
                <w:szCs w:val="20"/>
              </w:rPr>
            </w:pPr>
            <w:r>
              <w:rPr>
                <w:rFonts w:ascii="黑体" w:eastAsia="黑体" w:hAnsi="黑体" w:hint="eastAsia"/>
                <w:sz w:val="20"/>
                <w:szCs w:val="20"/>
              </w:rPr>
              <w:t>备注</w:t>
            </w:r>
          </w:p>
        </w:tc>
        <w:tc>
          <w:tcPr>
            <w:tcW w:w="6946" w:type="dxa"/>
            <w:tcBorders>
              <w:top w:val="single" w:sz="6" w:space="0" w:color="auto"/>
              <w:left w:val="single" w:sz="6" w:space="0" w:color="auto"/>
              <w:bottom w:val="single" w:sz="6" w:space="0" w:color="auto"/>
              <w:right w:val="single" w:sz="6" w:space="0" w:color="auto"/>
            </w:tcBorders>
          </w:tcPr>
          <w:p w14:paraId="420B40DF" w14:textId="77777777" w:rsidR="00A052DC" w:rsidRDefault="009F0A60">
            <w:pPr>
              <w:rPr>
                <w:rFonts w:ascii="黑体" w:eastAsia="黑体" w:hAnsi="黑体"/>
                <w:sz w:val="20"/>
                <w:szCs w:val="20"/>
              </w:rPr>
            </w:pPr>
            <w:r>
              <w:rPr>
                <w:rFonts w:ascii="黑体" w:eastAsia="黑体" w:hAnsi="黑体" w:hint="eastAsia"/>
                <w:sz w:val="20"/>
                <w:szCs w:val="20"/>
              </w:rPr>
              <w:t>需要说明的备注事项</w:t>
            </w:r>
          </w:p>
        </w:tc>
      </w:tr>
    </w:tbl>
    <w:p w14:paraId="43EF9C6F" w14:textId="77777777" w:rsidR="00A052DC" w:rsidRDefault="00A052DC"/>
    <w:p w14:paraId="5A5128C3" w14:textId="77777777" w:rsidR="00A052DC" w:rsidRDefault="009F0A60" w:rsidP="0020251D">
      <w:pPr>
        <w:pStyle w:val="5"/>
        <w:numPr>
          <w:ilvl w:val="4"/>
          <w:numId w:val="1"/>
        </w:numPr>
        <w:spacing w:before="120" w:after="120" w:line="360" w:lineRule="auto"/>
        <w:jc w:val="left"/>
      </w:pPr>
      <w:bookmarkStart w:id="1666" w:name="_Toc328635525"/>
      <w:bookmarkStart w:id="1667" w:name="_Toc454386967"/>
      <w:r>
        <w:rPr>
          <w:rFonts w:hint="eastAsia"/>
        </w:rPr>
        <w:t>数据格式</w:t>
      </w:r>
      <w:bookmarkEnd w:id="1666"/>
      <w:bookmarkEnd w:id="1667"/>
    </w:p>
    <w:p w14:paraId="7695A3E4" w14:textId="77777777" w:rsidR="00A052DC" w:rsidRDefault="009F0A60">
      <w:r>
        <w:t>&lt;REC&gt;</w:t>
      </w:r>
    </w:p>
    <w:p w14:paraId="65BD66F9" w14:textId="77777777" w:rsidR="00A052DC" w:rsidRDefault="009F0A60">
      <w:r>
        <w:t>&lt;ACTIONTYPE&gt;</w:t>
      </w:r>
      <w:r>
        <w:rPr>
          <w:rFonts w:hint="eastAsia"/>
        </w:rPr>
        <w:t>操作类型</w:t>
      </w:r>
      <w:r>
        <w:t>&lt;/ACTIONTYPE&gt;</w:t>
      </w:r>
    </w:p>
    <w:p w14:paraId="2E24561E" w14:textId="77777777" w:rsidR="00A052DC" w:rsidRDefault="009F0A60">
      <w:r>
        <w:t>&lt;ACTIONDESC&gt;</w:t>
      </w:r>
      <w:r>
        <w:rPr>
          <w:rFonts w:hint="eastAsia"/>
        </w:rPr>
        <w:t>删除原因</w:t>
      </w:r>
      <w:r>
        <w:t>&lt;/ACTIONDESC&gt;</w:t>
      </w:r>
    </w:p>
    <w:p w14:paraId="430899CF" w14:textId="77777777" w:rsidR="00A052DC" w:rsidRDefault="009F0A60">
      <w:r>
        <w:t>&lt;DOFOEXLOCODE&gt;</w:t>
      </w:r>
      <w:r>
        <w:rPr>
          <w:rFonts w:hint="eastAsia"/>
        </w:rPr>
        <w:t>国内外汇贷款编号</w:t>
      </w:r>
      <w:r>
        <w:t>&lt;/DOFOEXLOCODE&gt;</w:t>
      </w:r>
    </w:p>
    <w:p w14:paraId="3C017D08" w14:textId="77777777" w:rsidR="00A052DC" w:rsidRDefault="009F0A60">
      <w:r>
        <w:t>&lt;BUSCODE&gt;</w:t>
      </w:r>
      <w:r>
        <w:rPr>
          <w:rFonts w:hint="eastAsia"/>
        </w:rPr>
        <w:t>银行业务参号</w:t>
      </w:r>
      <w:r>
        <w:t>&lt;/BUSCODE&gt;</w:t>
      </w:r>
    </w:p>
    <w:p w14:paraId="202665CA" w14:textId="77777777" w:rsidR="00A052DC" w:rsidRDefault="009F0A60">
      <w:r>
        <w:t>&lt;CHANGENO&gt;</w:t>
      </w:r>
      <w:r>
        <w:rPr>
          <w:rFonts w:hint="eastAsia"/>
        </w:rPr>
        <w:t>变动编号</w:t>
      </w:r>
      <w:r>
        <w:t>&lt;/CHANGENO&gt;</w:t>
      </w:r>
    </w:p>
    <w:p w14:paraId="7C1BAD9A" w14:textId="77777777" w:rsidR="00A052DC" w:rsidRDefault="009F0A60">
      <w:r>
        <w:t>&lt;LOANOPENBALAN&gt;</w:t>
      </w:r>
      <w:r>
        <w:rPr>
          <w:rFonts w:hint="eastAsia"/>
        </w:rPr>
        <w:t>期初余额</w:t>
      </w:r>
      <w:r>
        <w:t>&lt;/LOANOPENBALAN&gt;</w:t>
      </w:r>
    </w:p>
    <w:p w14:paraId="4CDFE821" w14:textId="77777777" w:rsidR="00A052DC" w:rsidRDefault="009F0A60">
      <w:r>
        <w:t>&lt;CHANGEDATE&gt;</w:t>
      </w:r>
      <w:r>
        <w:rPr>
          <w:rFonts w:hint="eastAsia"/>
        </w:rPr>
        <w:t>变动日期</w:t>
      </w:r>
      <w:r>
        <w:t>&lt;/CHANGEDATE&gt;</w:t>
      </w:r>
    </w:p>
    <w:p w14:paraId="44D90524" w14:textId="77777777" w:rsidR="00A052DC" w:rsidRDefault="009F0A60">
      <w:r>
        <w:t>&lt;WITHCURRENCE&gt;</w:t>
      </w:r>
      <w:r>
        <w:rPr>
          <w:rFonts w:hint="eastAsia"/>
        </w:rPr>
        <w:t>提款币种</w:t>
      </w:r>
      <w:r>
        <w:t>&lt;/WITHCURRENCE&gt;</w:t>
      </w:r>
    </w:p>
    <w:p w14:paraId="54A71709" w14:textId="77777777" w:rsidR="00A052DC" w:rsidRDefault="009F0A60">
      <w:r>
        <w:t>&lt;WITHAMOUNT&gt;</w:t>
      </w:r>
      <w:r>
        <w:rPr>
          <w:rFonts w:hint="eastAsia"/>
        </w:rPr>
        <w:t>提款金额</w:t>
      </w:r>
      <w:r>
        <w:t>&lt;/WITHAMOUNT&gt;</w:t>
      </w:r>
    </w:p>
    <w:p w14:paraId="292B8FC2" w14:textId="77777777" w:rsidR="00A052DC" w:rsidRDefault="009F0A60">
      <w:r>
        <w:t>&lt;SETTAMOUNT&gt;</w:t>
      </w:r>
      <w:r>
        <w:rPr>
          <w:rFonts w:hint="eastAsia"/>
        </w:rPr>
        <w:t>结汇金额</w:t>
      </w:r>
      <w:r>
        <w:t>&lt;/SETTAMOUNT&gt;</w:t>
      </w:r>
    </w:p>
    <w:p w14:paraId="0736D701" w14:textId="77777777" w:rsidR="00A052DC" w:rsidRDefault="009F0A60">
      <w:r>
        <w:t>&lt;USEOFUNDS&gt;</w:t>
      </w:r>
      <w:r>
        <w:rPr>
          <w:rFonts w:hint="eastAsia"/>
        </w:rPr>
        <w:t>资金用途</w:t>
      </w:r>
      <w:r>
        <w:t>&lt;/USEOFUNDS&gt;</w:t>
      </w:r>
    </w:p>
    <w:p w14:paraId="5DE2E674" w14:textId="77777777" w:rsidR="00A052DC" w:rsidRDefault="009F0A60">
      <w:r>
        <w:t>&lt;PRINCURR&gt;</w:t>
      </w:r>
      <w:r>
        <w:rPr>
          <w:rFonts w:hint="eastAsia"/>
        </w:rPr>
        <w:t>还本币种</w:t>
      </w:r>
      <w:r>
        <w:t>&lt;/PRINCURR&gt;</w:t>
      </w:r>
    </w:p>
    <w:p w14:paraId="64AFC69B" w14:textId="77777777" w:rsidR="00A052DC" w:rsidRDefault="009F0A60">
      <w:r>
        <w:t>&lt;REPAYAMOUNT&gt;</w:t>
      </w:r>
      <w:r>
        <w:rPr>
          <w:rFonts w:hint="eastAsia"/>
        </w:rPr>
        <w:t>还本金额</w:t>
      </w:r>
      <w:r>
        <w:t>&lt;/REPAYAMOUNT&gt;</w:t>
      </w:r>
    </w:p>
    <w:p w14:paraId="466319AD" w14:textId="77777777" w:rsidR="00A052DC" w:rsidRDefault="009F0A60">
      <w:r>
        <w:t>&lt;PREPAYAMOUNT&gt;</w:t>
      </w:r>
      <w:r>
        <w:rPr>
          <w:rFonts w:hint="eastAsia"/>
        </w:rPr>
        <w:t>购汇还本金额</w:t>
      </w:r>
      <w:r>
        <w:t>&lt;/PREPAYAMOUNT&gt;</w:t>
      </w:r>
    </w:p>
    <w:p w14:paraId="62DCD4DE" w14:textId="77777777" w:rsidR="00A052DC" w:rsidRDefault="009F0A60">
      <w:r>
        <w:t>&lt;INPAYCURR&gt;</w:t>
      </w:r>
      <w:r>
        <w:rPr>
          <w:rFonts w:hint="eastAsia"/>
        </w:rPr>
        <w:t>付息币种</w:t>
      </w:r>
      <w:r>
        <w:t>&lt;/INPAYCURR&gt;</w:t>
      </w:r>
    </w:p>
    <w:p w14:paraId="4CDF2C61" w14:textId="77777777" w:rsidR="00A052DC" w:rsidRDefault="009F0A60">
      <w:r>
        <w:t>&lt;INPAYAMOUNT&gt;</w:t>
      </w:r>
      <w:r>
        <w:rPr>
          <w:rFonts w:hint="eastAsia"/>
        </w:rPr>
        <w:t>付息金额</w:t>
      </w:r>
      <w:r>
        <w:t>&lt;/INPAYAMOUNT&gt;</w:t>
      </w:r>
    </w:p>
    <w:p w14:paraId="28B65603" w14:textId="77777777" w:rsidR="00A052DC" w:rsidRDefault="009F0A60">
      <w:r>
        <w:t>&lt;PINPAYAMOUNT&gt;</w:t>
      </w:r>
      <w:r>
        <w:rPr>
          <w:rFonts w:hint="eastAsia"/>
        </w:rPr>
        <w:t>购汇付息金额</w:t>
      </w:r>
      <w:r>
        <w:t>&lt;/PINPAYAMOUNT&gt;</w:t>
      </w:r>
    </w:p>
    <w:p w14:paraId="760E8395" w14:textId="77777777" w:rsidR="00A052DC" w:rsidRDefault="009F0A60">
      <w:r>
        <w:t>&lt;ENDBALAN&gt;</w:t>
      </w:r>
      <w:r>
        <w:rPr>
          <w:rFonts w:hint="eastAsia"/>
        </w:rPr>
        <w:t>期末余额</w:t>
      </w:r>
      <w:r>
        <w:t>&lt;/ENDBALAN&gt;</w:t>
      </w:r>
    </w:p>
    <w:p w14:paraId="25DAEACF" w14:textId="77777777" w:rsidR="00A052DC" w:rsidRDefault="009F0A60">
      <w:r>
        <w:t>&lt;REMARK&gt;</w:t>
      </w:r>
      <w:r>
        <w:rPr>
          <w:rFonts w:hint="eastAsia"/>
        </w:rPr>
        <w:t>备注</w:t>
      </w:r>
      <w:r>
        <w:t>&lt;/REMARK&gt;</w:t>
      </w:r>
    </w:p>
    <w:p w14:paraId="5A6ECE74" w14:textId="77777777" w:rsidR="00A052DC" w:rsidRDefault="009F0A60">
      <w:r>
        <w:t>&lt;/REC&gt;</w:t>
      </w:r>
    </w:p>
    <w:p w14:paraId="67F32E60" w14:textId="77777777" w:rsidR="00A052DC" w:rsidRDefault="009F0A60" w:rsidP="0020251D">
      <w:pPr>
        <w:pStyle w:val="5"/>
        <w:numPr>
          <w:ilvl w:val="4"/>
          <w:numId w:val="1"/>
        </w:numPr>
        <w:spacing w:before="120" w:after="120" w:line="360" w:lineRule="auto"/>
        <w:jc w:val="left"/>
      </w:pPr>
      <w:bookmarkStart w:id="1668" w:name="_Toc454386968"/>
      <w:bookmarkStart w:id="1669" w:name="_Toc328635526"/>
      <w:r>
        <w:rPr>
          <w:rFonts w:hint="eastAsia"/>
        </w:rPr>
        <w:t>数据字典</w:t>
      </w:r>
      <w:bookmarkEnd w:id="1668"/>
      <w:bookmarkEnd w:id="1669"/>
    </w:p>
    <w:tbl>
      <w:tblPr>
        <w:tblW w:w="86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842"/>
        <w:gridCol w:w="1418"/>
        <w:gridCol w:w="3685"/>
      </w:tblGrid>
      <w:tr w:rsidR="00A052DC" w14:paraId="3D99DBCA" w14:textId="77777777">
        <w:trPr>
          <w:tblHeader/>
        </w:trPr>
        <w:tc>
          <w:tcPr>
            <w:tcW w:w="1702" w:type="dxa"/>
            <w:shd w:val="clear" w:color="auto" w:fill="C0C0C0"/>
          </w:tcPr>
          <w:p w14:paraId="77470AD6" w14:textId="77777777" w:rsidR="00A052DC" w:rsidRDefault="009F0A60">
            <w:pPr>
              <w:jc w:val="center"/>
              <w:rPr>
                <w:rFonts w:ascii="黑体" w:eastAsia="黑体" w:hAnsi="黑体"/>
                <w:b/>
                <w:sz w:val="20"/>
                <w:szCs w:val="20"/>
              </w:rPr>
            </w:pPr>
            <w:r>
              <w:rPr>
                <w:rFonts w:ascii="黑体" w:eastAsia="黑体" w:hAnsi="黑体" w:hint="eastAsia"/>
                <w:b/>
                <w:sz w:val="20"/>
                <w:szCs w:val="20"/>
              </w:rPr>
              <w:t>字段</w:t>
            </w:r>
          </w:p>
        </w:tc>
        <w:tc>
          <w:tcPr>
            <w:tcW w:w="1842" w:type="dxa"/>
            <w:shd w:val="clear" w:color="auto" w:fill="C0C0C0"/>
          </w:tcPr>
          <w:p w14:paraId="7B77BE82" w14:textId="77777777" w:rsidR="00A052DC" w:rsidRDefault="009F0A60">
            <w:pPr>
              <w:jc w:val="center"/>
              <w:rPr>
                <w:rFonts w:ascii="黑体" w:eastAsia="黑体" w:hAnsi="黑体"/>
                <w:b/>
                <w:sz w:val="20"/>
                <w:szCs w:val="20"/>
              </w:rPr>
            </w:pPr>
            <w:r>
              <w:rPr>
                <w:rFonts w:ascii="黑体" w:eastAsia="黑体" w:hAnsi="黑体" w:hint="eastAsia"/>
                <w:b/>
                <w:sz w:val="20"/>
                <w:szCs w:val="20"/>
              </w:rPr>
              <w:t>内容</w:t>
            </w:r>
          </w:p>
        </w:tc>
        <w:tc>
          <w:tcPr>
            <w:tcW w:w="1418" w:type="dxa"/>
            <w:shd w:val="clear" w:color="auto" w:fill="C0C0C0"/>
          </w:tcPr>
          <w:p w14:paraId="3BD46A5A" w14:textId="77777777" w:rsidR="00A052DC" w:rsidRDefault="009F0A60">
            <w:pPr>
              <w:jc w:val="center"/>
              <w:rPr>
                <w:rFonts w:ascii="黑体" w:eastAsia="黑体" w:hAnsi="黑体"/>
                <w:b/>
                <w:sz w:val="20"/>
                <w:szCs w:val="20"/>
              </w:rPr>
            </w:pPr>
            <w:r>
              <w:rPr>
                <w:rFonts w:ascii="黑体" w:eastAsia="黑体" w:hAnsi="黑体" w:hint="eastAsia"/>
                <w:b/>
                <w:sz w:val="20"/>
                <w:szCs w:val="20"/>
              </w:rPr>
              <w:t>类型（长度）</w:t>
            </w:r>
          </w:p>
        </w:tc>
        <w:tc>
          <w:tcPr>
            <w:tcW w:w="3685" w:type="dxa"/>
            <w:shd w:val="clear" w:color="auto" w:fill="C0C0C0"/>
          </w:tcPr>
          <w:p w14:paraId="5F00D28A" w14:textId="77777777" w:rsidR="00A052DC" w:rsidRDefault="009F0A60">
            <w:pPr>
              <w:jc w:val="center"/>
              <w:rPr>
                <w:rFonts w:ascii="黑体" w:eastAsia="黑体" w:hAnsi="黑体"/>
                <w:b/>
                <w:sz w:val="20"/>
                <w:szCs w:val="20"/>
              </w:rPr>
            </w:pPr>
            <w:r>
              <w:rPr>
                <w:rFonts w:ascii="黑体" w:eastAsia="黑体" w:hAnsi="黑体" w:hint="eastAsia"/>
                <w:b/>
                <w:sz w:val="20"/>
                <w:szCs w:val="20"/>
              </w:rPr>
              <w:t>校验</w:t>
            </w:r>
          </w:p>
        </w:tc>
      </w:tr>
      <w:tr w:rsidR="00A052DC" w14:paraId="130C818A" w14:textId="77777777">
        <w:tc>
          <w:tcPr>
            <w:tcW w:w="1702" w:type="dxa"/>
          </w:tcPr>
          <w:p w14:paraId="52919E30" w14:textId="77777777" w:rsidR="00A052DC" w:rsidRDefault="009F0A60">
            <w:pPr>
              <w:rPr>
                <w:rFonts w:ascii="黑体" w:eastAsia="黑体" w:hAnsi="黑体"/>
                <w:sz w:val="20"/>
                <w:szCs w:val="20"/>
              </w:rPr>
            </w:pPr>
            <w:r>
              <w:rPr>
                <w:rFonts w:ascii="黑体" w:eastAsia="黑体" w:hAnsi="黑体"/>
                <w:sz w:val="20"/>
                <w:szCs w:val="20"/>
              </w:rPr>
              <w:t>ACTIONTYPE</w:t>
            </w:r>
          </w:p>
        </w:tc>
        <w:tc>
          <w:tcPr>
            <w:tcW w:w="1842" w:type="dxa"/>
          </w:tcPr>
          <w:p w14:paraId="376E6E0E" w14:textId="77777777" w:rsidR="00A052DC" w:rsidRDefault="009F0A60">
            <w:pPr>
              <w:rPr>
                <w:rFonts w:ascii="黑体" w:eastAsia="黑体" w:hAnsi="黑体"/>
                <w:sz w:val="20"/>
                <w:szCs w:val="20"/>
              </w:rPr>
            </w:pPr>
            <w:r>
              <w:rPr>
                <w:rFonts w:ascii="黑体" w:eastAsia="黑体" w:hAnsi="黑体" w:hint="eastAsia"/>
                <w:sz w:val="20"/>
                <w:szCs w:val="20"/>
              </w:rPr>
              <w:t>操作类型</w:t>
            </w:r>
          </w:p>
        </w:tc>
        <w:tc>
          <w:tcPr>
            <w:tcW w:w="1418" w:type="dxa"/>
          </w:tcPr>
          <w:p w14:paraId="2280E807" w14:textId="77777777" w:rsidR="00A052DC" w:rsidRDefault="009F0A60">
            <w:pPr>
              <w:rPr>
                <w:rFonts w:ascii="黑体" w:eastAsia="黑体" w:hAnsi="黑体"/>
                <w:sz w:val="20"/>
                <w:szCs w:val="20"/>
              </w:rPr>
            </w:pPr>
            <w:r>
              <w:rPr>
                <w:rFonts w:ascii="黑体" w:eastAsia="黑体" w:hAnsi="黑体" w:hint="eastAsia"/>
                <w:sz w:val="20"/>
                <w:szCs w:val="20"/>
              </w:rPr>
              <w:t>字符型，1</w:t>
            </w:r>
          </w:p>
        </w:tc>
        <w:tc>
          <w:tcPr>
            <w:tcW w:w="3685" w:type="dxa"/>
          </w:tcPr>
          <w:p w14:paraId="46521F52" w14:textId="77777777" w:rsidR="00A052DC" w:rsidRDefault="009F0A60">
            <w:pPr>
              <w:rPr>
                <w:rFonts w:ascii="黑体" w:eastAsia="黑体" w:hAnsi="黑体"/>
                <w:sz w:val="20"/>
                <w:szCs w:val="20"/>
              </w:rPr>
            </w:pPr>
            <w:r>
              <w:rPr>
                <w:rFonts w:ascii="黑体" w:eastAsia="黑体" w:hAnsi="黑体" w:hint="eastAsia"/>
                <w:sz w:val="20"/>
                <w:szCs w:val="20"/>
              </w:rPr>
              <w:t>必填项</w:t>
            </w:r>
            <w:r w:rsidR="005D3821">
              <w:rPr>
                <w:rFonts w:ascii="黑体" w:eastAsia="黑体" w:hAnsi="黑体" w:hint="eastAsia"/>
                <w:sz w:val="20"/>
                <w:szCs w:val="20"/>
              </w:rPr>
              <w:t>。</w:t>
            </w:r>
          </w:p>
          <w:p w14:paraId="57887144" w14:textId="77777777" w:rsidR="00A052DC" w:rsidRDefault="009F0A60">
            <w:pPr>
              <w:rPr>
                <w:rFonts w:ascii="黑体" w:eastAsia="黑体" w:hAnsi="黑体"/>
                <w:sz w:val="20"/>
                <w:szCs w:val="20"/>
              </w:rPr>
            </w:pPr>
            <w:r>
              <w:rPr>
                <w:rFonts w:ascii="黑体" w:eastAsia="黑体" w:hAnsi="黑体" w:hint="eastAsia"/>
                <w:sz w:val="20"/>
                <w:szCs w:val="20"/>
              </w:rPr>
              <w:t>A</w:t>
            </w:r>
            <w:r w:rsidR="00AE4602">
              <w:rPr>
                <w:rFonts w:ascii="黑体" w:eastAsia="黑体" w:hAnsi="黑体" w:hint="eastAsia"/>
                <w:sz w:val="20"/>
                <w:szCs w:val="20"/>
              </w:rPr>
              <w:t>-</w:t>
            </w:r>
            <w:r>
              <w:rPr>
                <w:rFonts w:ascii="黑体" w:eastAsia="黑体" w:hAnsi="黑体" w:hint="eastAsia"/>
                <w:sz w:val="20"/>
                <w:szCs w:val="20"/>
              </w:rPr>
              <w:t>新建</w:t>
            </w:r>
          </w:p>
          <w:p w14:paraId="286E2DCC" w14:textId="77777777" w:rsidR="00A052DC" w:rsidRDefault="009F0A60">
            <w:pPr>
              <w:rPr>
                <w:rFonts w:ascii="黑体" w:eastAsia="黑体" w:hAnsi="黑体"/>
                <w:sz w:val="20"/>
                <w:szCs w:val="20"/>
              </w:rPr>
            </w:pPr>
            <w:r>
              <w:rPr>
                <w:rFonts w:ascii="黑体" w:eastAsia="黑体" w:hAnsi="黑体" w:hint="eastAsia"/>
                <w:sz w:val="20"/>
                <w:szCs w:val="20"/>
              </w:rPr>
              <w:t>C</w:t>
            </w:r>
            <w:r w:rsidR="00AE4602">
              <w:rPr>
                <w:rFonts w:ascii="黑体" w:eastAsia="黑体" w:hAnsi="黑体" w:hint="eastAsia"/>
                <w:sz w:val="20"/>
                <w:szCs w:val="20"/>
              </w:rPr>
              <w:t>-</w:t>
            </w:r>
            <w:r>
              <w:rPr>
                <w:rFonts w:ascii="黑体" w:eastAsia="黑体" w:hAnsi="黑体" w:hint="eastAsia"/>
                <w:sz w:val="20"/>
                <w:szCs w:val="20"/>
              </w:rPr>
              <w:t>修改</w:t>
            </w:r>
          </w:p>
          <w:p w14:paraId="25DFBAC3" w14:textId="77777777" w:rsidR="00A052DC" w:rsidRDefault="009F0A60">
            <w:pPr>
              <w:rPr>
                <w:rFonts w:ascii="黑体" w:eastAsia="黑体" w:hAnsi="黑体"/>
                <w:sz w:val="20"/>
                <w:szCs w:val="20"/>
              </w:rPr>
            </w:pPr>
            <w:r>
              <w:rPr>
                <w:rFonts w:ascii="黑体" w:eastAsia="黑体" w:hAnsi="黑体" w:hint="eastAsia"/>
                <w:sz w:val="20"/>
                <w:szCs w:val="20"/>
              </w:rPr>
              <w:t>D</w:t>
            </w:r>
            <w:r w:rsidR="00AE4602">
              <w:rPr>
                <w:rFonts w:ascii="黑体" w:eastAsia="黑体" w:hAnsi="黑体" w:hint="eastAsia"/>
                <w:sz w:val="20"/>
                <w:szCs w:val="20"/>
              </w:rPr>
              <w:t>-</w:t>
            </w:r>
            <w:r>
              <w:rPr>
                <w:rFonts w:ascii="黑体" w:eastAsia="黑体" w:hAnsi="黑体" w:hint="eastAsia"/>
                <w:sz w:val="20"/>
                <w:szCs w:val="20"/>
              </w:rPr>
              <w:t>删除</w:t>
            </w:r>
          </w:p>
        </w:tc>
      </w:tr>
      <w:tr w:rsidR="00A052DC" w14:paraId="41EB9F1F" w14:textId="77777777">
        <w:tc>
          <w:tcPr>
            <w:tcW w:w="1702" w:type="dxa"/>
          </w:tcPr>
          <w:p w14:paraId="61D25589" w14:textId="77777777" w:rsidR="00A052DC" w:rsidRDefault="009F0A60">
            <w:pPr>
              <w:rPr>
                <w:rFonts w:ascii="黑体" w:eastAsia="黑体" w:hAnsi="黑体"/>
                <w:sz w:val="20"/>
                <w:szCs w:val="20"/>
              </w:rPr>
            </w:pPr>
            <w:r>
              <w:rPr>
                <w:rFonts w:ascii="黑体" w:eastAsia="黑体" w:hAnsi="黑体"/>
                <w:sz w:val="20"/>
                <w:szCs w:val="20"/>
              </w:rPr>
              <w:t>ACTIONDESC</w:t>
            </w:r>
          </w:p>
        </w:tc>
        <w:tc>
          <w:tcPr>
            <w:tcW w:w="1842" w:type="dxa"/>
          </w:tcPr>
          <w:p w14:paraId="5D2850C5" w14:textId="77777777" w:rsidR="00A052DC" w:rsidRDefault="009F0A60">
            <w:pPr>
              <w:rPr>
                <w:rFonts w:ascii="黑体" w:eastAsia="黑体" w:hAnsi="黑体"/>
                <w:sz w:val="20"/>
                <w:szCs w:val="20"/>
              </w:rPr>
            </w:pPr>
            <w:r>
              <w:rPr>
                <w:rFonts w:ascii="黑体" w:eastAsia="黑体" w:hAnsi="黑体" w:hint="eastAsia"/>
                <w:sz w:val="20"/>
                <w:szCs w:val="20"/>
              </w:rPr>
              <w:t>删除原因</w:t>
            </w:r>
          </w:p>
        </w:tc>
        <w:tc>
          <w:tcPr>
            <w:tcW w:w="1418" w:type="dxa"/>
          </w:tcPr>
          <w:p w14:paraId="6EAF73E6"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3685" w:type="dxa"/>
          </w:tcPr>
          <w:p w14:paraId="5BFE32B1" w14:textId="77777777" w:rsidR="00A052DC" w:rsidRDefault="00DD6AA3">
            <w:pPr>
              <w:rPr>
                <w:rFonts w:ascii="黑体" w:eastAsia="黑体" w:hAnsi="黑体"/>
                <w:sz w:val="20"/>
                <w:szCs w:val="20"/>
              </w:rPr>
            </w:pPr>
            <w:r>
              <w:rPr>
                <w:rFonts w:ascii="黑体" w:eastAsia="黑体" w:hAnsi="黑体" w:hint="eastAsia"/>
                <w:sz w:val="20"/>
                <w:szCs w:val="20"/>
              </w:rPr>
              <w:t>非必填项，当操作类型（ACTIONTYPE）为删除时必填。</w:t>
            </w:r>
          </w:p>
        </w:tc>
      </w:tr>
      <w:tr w:rsidR="00A052DC" w14:paraId="162E7624" w14:textId="77777777">
        <w:tc>
          <w:tcPr>
            <w:tcW w:w="1702" w:type="dxa"/>
          </w:tcPr>
          <w:p w14:paraId="0744348B" w14:textId="77777777" w:rsidR="00A052DC" w:rsidRDefault="009F0A60">
            <w:pPr>
              <w:rPr>
                <w:rFonts w:ascii="黑体" w:eastAsia="黑体" w:hAnsi="黑体"/>
                <w:sz w:val="20"/>
                <w:szCs w:val="20"/>
              </w:rPr>
            </w:pPr>
            <w:r>
              <w:rPr>
                <w:rFonts w:ascii="黑体" w:eastAsia="黑体" w:hAnsi="黑体"/>
                <w:sz w:val="20"/>
                <w:szCs w:val="20"/>
              </w:rPr>
              <w:t>DOFOEXLOCODE</w:t>
            </w:r>
          </w:p>
        </w:tc>
        <w:tc>
          <w:tcPr>
            <w:tcW w:w="1842" w:type="dxa"/>
          </w:tcPr>
          <w:p w14:paraId="5EA06886" w14:textId="77777777" w:rsidR="00A052DC" w:rsidRDefault="009F0A60">
            <w:pPr>
              <w:rPr>
                <w:rFonts w:ascii="黑体" w:eastAsia="黑体" w:hAnsi="黑体"/>
                <w:sz w:val="20"/>
                <w:szCs w:val="20"/>
              </w:rPr>
            </w:pPr>
            <w:r>
              <w:rPr>
                <w:rFonts w:ascii="黑体" w:eastAsia="黑体" w:hAnsi="黑体" w:hint="eastAsia"/>
                <w:sz w:val="20"/>
                <w:szCs w:val="20"/>
              </w:rPr>
              <w:t>国内外汇贷款编号</w:t>
            </w:r>
          </w:p>
        </w:tc>
        <w:tc>
          <w:tcPr>
            <w:tcW w:w="1418" w:type="dxa"/>
          </w:tcPr>
          <w:p w14:paraId="4AD6C714" w14:textId="77777777" w:rsidR="00A052DC" w:rsidRDefault="009F0A60">
            <w:pPr>
              <w:rPr>
                <w:rFonts w:ascii="黑体" w:eastAsia="黑体" w:hAnsi="黑体"/>
                <w:sz w:val="20"/>
                <w:szCs w:val="20"/>
              </w:rPr>
            </w:pPr>
            <w:r>
              <w:rPr>
                <w:rFonts w:ascii="黑体" w:eastAsia="黑体" w:hAnsi="黑体" w:hint="eastAsia"/>
                <w:sz w:val="20"/>
                <w:szCs w:val="20"/>
              </w:rPr>
              <w:t>字符型，28</w:t>
            </w:r>
          </w:p>
        </w:tc>
        <w:tc>
          <w:tcPr>
            <w:tcW w:w="3685" w:type="dxa"/>
          </w:tcPr>
          <w:p w14:paraId="2CA02169" w14:textId="77777777" w:rsidR="00A052DC" w:rsidRDefault="009F0A60">
            <w:pPr>
              <w:rPr>
                <w:rFonts w:ascii="黑体" w:eastAsia="黑体" w:hAnsi="黑体"/>
                <w:sz w:val="20"/>
                <w:szCs w:val="20"/>
              </w:rPr>
            </w:pPr>
            <w:r>
              <w:rPr>
                <w:rFonts w:ascii="黑体" w:eastAsia="黑体" w:hAnsi="黑体" w:hint="eastAsia"/>
                <w:sz w:val="20"/>
                <w:szCs w:val="20"/>
              </w:rPr>
              <w:t>必填项，国内外汇贷款唯一标识。</w:t>
            </w:r>
          </w:p>
        </w:tc>
      </w:tr>
      <w:tr w:rsidR="00A052DC" w14:paraId="1BE87953" w14:textId="77777777">
        <w:tc>
          <w:tcPr>
            <w:tcW w:w="1702" w:type="dxa"/>
          </w:tcPr>
          <w:p w14:paraId="0F76F103" w14:textId="77777777" w:rsidR="00A052DC" w:rsidRDefault="009F0A60">
            <w:pPr>
              <w:rPr>
                <w:rFonts w:ascii="黑体" w:eastAsia="黑体" w:hAnsi="黑体"/>
                <w:sz w:val="20"/>
                <w:szCs w:val="20"/>
              </w:rPr>
            </w:pPr>
            <w:r>
              <w:rPr>
                <w:rFonts w:ascii="黑体" w:eastAsia="黑体" w:hAnsi="黑体"/>
                <w:sz w:val="20"/>
                <w:szCs w:val="20"/>
              </w:rPr>
              <w:t>BUSCODE</w:t>
            </w:r>
          </w:p>
        </w:tc>
        <w:tc>
          <w:tcPr>
            <w:tcW w:w="1842" w:type="dxa"/>
          </w:tcPr>
          <w:p w14:paraId="6108C0D4" w14:textId="77777777" w:rsidR="00A052DC" w:rsidRDefault="009F0A60">
            <w:pPr>
              <w:rPr>
                <w:rFonts w:ascii="黑体" w:eastAsia="黑体" w:hAnsi="黑体"/>
                <w:sz w:val="20"/>
                <w:szCs w:val="20"/>
              </w:rPr>
            </w:pPr>
            <w:r>
              <w:rPr>
                <w:rFonts w:ascii="黑体" w:eastAsia="黑体" w:hAnsi="黑体" w:hint="eastAsia"/>
                <w:sz w:val="20"/>
                <w:szCs w:val="20"/>
              </w:rPr>
              <w:t>银行业务参号</w:t>
            </w:r>
          </w:p>
        </w:tc>
        <w:tc>
          <w:tcPr>
            <w:tcW w:w="1418" w:type="dxa"/>
          </w:tcPr>
          <w:p w14:paraId="27DA5C75" w14:textId="77777777" w:rsidR="00A052DC" w:rsidRDefault="009F0A60">
            <w:pPr>
              <w:rPr>
                <w:rFonts w:ascii="黑体" w:eastAsia="黑体" w:hAnsi="黑体"/>
                <w:sz w:val="20"/>
                <w:szCs w:val="20"/>
              </w:rPr>
            </w:pPr>
            <w:r>
              <w:rPr>
                <w:rFonts w:ascii="黑体" w:eastAsia="黑体" w:hAnsi="黑体" w:hint="eastAsia"/>
                <w:sz w:val="20"/>
                <w:szCs w:val="20"/>
              </w:rPr>
              <w:t>字符型，32</w:t>
            </w:r>
          </w:p>
        </w:tc>
        <w:tc>
          <w:tcPr>
            <w:tcW w:w="3685" w:type="dxa"/>
          </w:tcPr>
          <w:p w14:paraId="7F19CD5E"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r w:rsidR="00A052DC" w14:paraId="274ADB35" w14:textId="77777777">
        <w:tc>
          <w:tcPr>
            <w:tcW w:w="1702" w:type="dxa"/>
          </w:tcPr>
          <w:p w14:paraId="40832777" w14:textId="77777777" w:rsidR="00A052DC" w:rsidRDefault="009F0A60">
            <w:pPr>
              <w:rPr>
                <w:rFonts w:ascii="黑体" w:eastAsia="黑体" w:hAnsi="黑体"/>
                <w:sz w:val="20"/>
                <w:szCs w:val="20"/>
              </w:rPr>
            </w:pPr>
            <w:r>
              <w:rPr>
                <w:rFonts w:ascii="黑体" w:eastAsia="黑体" w:hAnsi="黑体"/>
                <w:sz w:val="20"/>
                <w:szCs w:val="20"/>
              </w:rPr>
              <w:t>CHANGENO</w:t>
            </w:r>
          </w:p>
        </w:tc>
        <w:tc>
          <w:tcPr>
            <w:tcW w:w="1842" w:type="dxa"/>
          </w:tcPr>
          <w:p w14:paraId="028DD08F" w14:textId="77777777" w:rsidR="00A052DC" w:rsidRDefault="009F0A60">
            <w:pPr>
              <w:rPr>
                <w:rFonts w:ascii="黑体" w:eastAsia="黑体" w:hAnsi="黑体"/>
                <w:sz w:val="20"/>
                <w:szCs w:val="20"/>
              </w:rPr>
            </w:pPr>
            <w:r>
              <w:rPr>
                <w:rFonts w:ascii="黑体" w:eastAsia="黑体" w:hAnsi="黑体" w:hint="eastAsia"/>
                <w:sz w:val="20"/>
                <w:szCs w:val="20"/>
              </w:rPr>
              <w:t>变动编号</w:t>
            </w:r>
          </w:p>
        </w:tc>
        <w:tc>
          <w:tcPr>
            <w:tcW w:w="1418" w:type="dxa"/>
          </w:tcPr>
          <w:p w14:paraId="1586A6A3" w14:textId="77777777" w:rsidR="00A052DC" w:rsidRDefault="009F0A60">
            <w:pPr>
              <w:rPr>
                <w:rFonts w:ascii="黑体" w:eastAsia="黑体" w:hAnsi="黑体"/>
                <w:sz w:val="20"/>
                <w:szCs w:val="20"/>
              </w:rPr>
            </w:pPr>
            <w:r>
              <w:rPr>
                <w:rFonts w:ascii="黑体" w:eastAsia="黑体" w:hAnsi="黑体" w:hint="eastAsia"/>
                <w:sz w:val="20"/>
                <w:szCs w:val="20"/>
              </w:rPr>
              <w:t>字符型，4</w:t>
            </w:r>
          </w:p>
        </w:tc>
        <w:tc>
          <w:tcPr>
            <w:tcW w:w="3685" w:type="dxa"/>
          </w:tcPr>
          <w:p w14:paraId="69B386E4"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r w:rsidR="00A052DC" w14:paraId="509B297A" w14:textId="77777777">
        <w:tc>
          <w:tcPr>
            <w:tcW w:w="1702" w:type="dxa"/>
          </w:tcPr>
          <w:p w14:paraId="7DC835D3" w14:textId="77777777" w:rsidR="00A052DC" w:rsidRDefault="009F0A60">
            <w:pPr>
              <w:rPr>
                <w:rFonts w:ascii="黑体" w:eastAsia="黑体" w:hAnsi="黑体"/>
                <w:sz w:val="20"/>
                <w:szCs w:val="20"/>
              </w:rPr>
            </w:pPr>
            <w:r>
              <w:rPr>
                <w:rFonts w:ascii="黑体" w:eastAsia="黑体" w:hAnsi="黑体"/>
                <w:sz w:val="20"/>
                <w:szCs w:val="20"/>
              </w:rPr>
              <w:t>LOANOPENBALAN</w:t>
            </w:r>
          </w:p>
        </w:tc>
        <w:tc>
          <w:tcPr>
            <w:tcW w:w="1842" w:type="dxa"/>
          </w:tcPr>
          <w:p w14:paraId="04C5DAFD" w14:textId="77777777" w:rsidR="00A052DC" w:rsidRDefault="009F0A60">
            <w:pPr>
              <w:rPr>
                <w:rFonts w:ascii="黑体" w:eastAsia="黑体" w:hAnsi="黑体"/>
                <w:sz w:val="20"/>
                <w:szCs w:val="20"/>
              </w:rPr>
            </w:pPr>
            <w:r>
              <w:rPr>
                <w:rFonts w:ascii="黑体" w:eastAsia="黑体" w:hAnsi="黑体" w:hint="eastAsia"/>
                <w:sz w:val="20"/>
                <w:szCs w:val="20"/>
              </w:rPr>
              <w:t>期初余额</w:t>
            </w:r>
          </w:p>
        </w:tc>
        <w:tc>
          <w:tcPr>
            <w:tcW w:w="1418" w:type="dxa"/>
          </w:tcPr>
          <w:p w14:paraId="356ECECA"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3685" w:type="dxa"/>
          </w:tcPr>
          <w:p w14:paraId="76FFDBAB" w14:textId="77777777" w:rsidR="00A052DC" w:rsidRDefault="009F0A60">
            <w:pPr>
              <w:rPr>
                <w:rFonts w:ascii="黑体" w:eastAsia="黑体" w:hAnsi="黑体"/>
                <w:sz w:val="20"/>
                <w:szCs w:val="20"/>
              </w:rPr>
            </w:pPr>
            <w:r>
              <w:rPr>
                <w:rFonts w:ascii="黑体" w:eastAsia="黑体" w:hAnsi="黑体" w:hint="eastAsia"/>
                <w:sz w:val="20"/>
                <w:szCs w:val="20"/>
              </w:rPr>
              <w:t>必填项，期初余额=上期末余额。</w:t>
            </w:r>
          </w:p>
        </w:tc>
      </w:tr>
      <w:tr w:rsidR="00A052DC" w14:paraId="28AA2DAA" w14:textId="77777777">
        <w:tc>
          <w:tcPr>
            <w:tcW w:w="1702" w:type="dxa"/>
          </w:tcPr>
          <w:p w14:paraId="6B931EFC" w14:textId="77777777" w:rsidR="00A052DC" w:rsidRDefault="009F0A60">
            <w:pPr>
              <w:rPr>
                <w:rFonts w:ascii="黑体" w:eastAsia="黑体" w:hAnsi="黑体"/>
                <w:sz w:val="20"/>
                <w:szCs w:val="20"/>
              </w:rPr>
            </w:pPr>
            <w:r>
              <w:rPr>
                <w:rFonts w:ascii="黑体" w:eastAsia="黑体" w:hAnsi="黑体"/>
                <w:sz w:val="20"/>
                <w:szCs w:val="20"/>
              </w:rPr>
              <w:t>CHANGEDATE</w:t>
            </w:r>
          </w:p>
        </w:tc>
        <w:tc>
          <w:tcPr>
            <w:tcW w:w="1842" w:type="dxa"/>
          </w:tcPr>
          <w:p w14:paraId="06189872" w14:textId="77777777" w:rsidR="00A052DC" w:rsidRDefault="009F0A60">
            <w:pPr>
              <w:rPr>
                <w:rFonts w:ascii="黑体" w:eastAsia="黑体" w:hAnsi="黑体"/>
                <w:sz w:val="20"/>
                <w:szCs w:val="20"/>
              </w:rPr>
            </w:pPr>
            <w:r>
              <w:rPr>
                <w:rFonts w:ascii="黑体" w:eastAsia="黑体" w:hAnsi="黑体" w:hint="eastAsia"/>
                <w:sz w:val="20"/>
                <w:szCs w:val="20"/>
              </w:rPr>
              <w:t>变动日期</w:t>
            </w:r>
          </w:p>
        </w:tc>
        <w:tc>
          <w:tcPr>
            <w:tcW w:w="1418" w:type="dxa"/>
          </w:tcPr>
          <w:p w14:paraId="789CFA4B" w14:textId="77777777" w:rsidR="00A052DC" w:rsidRDefault="009F0A60">
            <w:pPr>
              <w:rPr>
                <w:rFonts w:ascii="黑体" w:eastAsia="黑体" w:hAnsi="黑体"/>
                <w:sz w:val="20"/>
                <w:szCs w:val="20"/>
              </w:rPr>
            </w:pPr>
            <w:r>
              <w:rPr>
                <w:rFonts w:ascii="黑体" w:eastAsia="黑体" w:hAnsi="黑体" w:hint="eastAsia"/>
                <w:sz w:val="20"/>
                <w:szCs w:val="20"/>
              </w:rPr>
              <w:t>日期型，8</w:t>
            </w:r>
          </w:p>
        </w:tc>
        <w:tc>
          <w:tcPr>
            <w:tcW w:w="3685" w:type="dxa"/>
          </w:tcPr>
          <w:p w14:paraId="393B07E2" w14:textId="77777777" w:rsidR="00A052DC" w:rsidRDefault="009F0A60">
            <w:pPr>
              <w:rPr>
                <w:rFonts w:ascii="黑体" w:eastAsia="黑体" w:hAnsi="黑体"/>
                <w:sz w:val="20"/>
                <w:szCs w:val="20"/>
              </w:rPr>
            </w:pPr>
            <w:r>
              <w:rPr>
                <w:rFonts w:ascii="黑体" w:eastAsia="黑体" w:hAnsi="黑体" w:hint="eastAsia"/>
                <w:sz w:val="20"/>
                <w:szCs w:val="20"/>
              </w:rPr>
              <w:t>必填项，格式YYYYMMDD，大于等于起息日。</w:t>
            </w:r>
          </w:p>
        </w:tc>
      </w:tr>
      <w:tr w:rsidR="00A052DC" w14:paraId="6B80B0C3" w14:textId="77777777">
        <w:tc>
          <w:tcPr>
            <w:tcW w:w="1702" w:type="dxa"/>
          </w:tcPr>
          <w:p w14:paraId="23A68DF4" w14:textId="77777777" w:rsidR="00A052DC" w:rsidRDefault="009F0A60">
            <w:pPr>
              <w:rPr>
                <w:rFonts w:ascii="黑体" w:eastAsia="黑体" w:hAnsi="黑体"/>
                <w:sz w:val="20"/>
                <w:szCs w:val="20"/>
              </w:rPr>
            </w:pPr>
            <w:r>
              <w:rPr>
                <w:rFonts w:ascii="黑体" w:eastAsia="黑体" w:hAnsi="黑体"/>
                <w:sz w:val="20"/>
                <w:szCs w:val="20"/>
              </w:rPr>
              <w:t>WITHcurrence</w:t>
            </w:r>
          </w:p>
        </w:tc>
        <w:tc>
          <w:tcPr>
            <w:tcW w:w="1842" w:type="dxa"/>
          </w:tcPr>
          <w:p w14:paraId="47A09026" w14:textId="77777777" w:rsidR="00A052DC" w:rsidRDefault="009F0A60">
            <w:pPr>
              <w:rPr>
                <w:rFonts w:ascii="黑体" w:eastAsia="黑体" w:hAnsi="黑体"/>
                <w:sz w:val="20"/>
                <w:szCs w:val="20"/>
              </w:rPr>
            </w:pPr>
            <w:r>
              <w:rPr>
                <w:rFonts w:ascii="黑体" w:eastAsia="黑体" w:hAnsi="黑体" w:hint="eastAsia"/>
                <w:sz w:val="20"/>
                <w:szCs w:val="20"/>
              </w:rPr>
              <w:t>提款币种</w:t>
            </w:r>
          </w:p>
        </w:tc>
        <w:tc>
          <w:tcPr>
            <w:tcW w:w="1418" w:type="dxa"/>
          </w:tcPr>
          <w:p w14:paraId="75C6D8B8" w14:textId="77777777" w:rsidR="00A052DC" w:rsidRDefault="009F0A60">
            <w:pPr>
              <w:rPr>
                <w:rFonts w:ascii="黑体" w:eastAsia="黑体" w:hAnsi="黑体"/>
                <w:sz w:val="20"/>
                <w:szCs w:val="20"/>
              </w:rPr>
            </w:pPr>
            <w:r>
              <w:rPr>
                <w:rFonts w:ascii="黑体" w:eastAsia="黑体" w:hAnsi="黑体" w:hint="eastAsia"/>
                <w:sz w:val="20"/>
                <w:szCs w:val="20"/>
              </w:rPr>
              <w:t>字符型，3</w:t>
            </w:r>
          </w:p>
        </w:tc>
        <w:tc>
          <w:tcPr>
            <w:tcW w:w="3685" w:type="dxa"/>
          </w:tcPr>
          <w:p w14:paraId="6874FFA8" w14:textId="77777777" w:rsidR="00A052DC" w:rsidRDefault="009F0A60">
            <w:pPr>
              <w:rPr>
                <w:rFonts w:ascii="黑体" w:eastAsia="黑体" w:hAnsi="黑体"/>
                <w:sz w:val="20"/>
                <w:szCs w:val="20"/>
              </w:rPr>
            </w:pPr>
            <w:r>
              <w:rPr>
                <w:rFonts w:ascii="黑体" w:eastAsia="黑体" w:hAnsi="黑体" w:hint="eastAsia"/>
                <w:sz w:val="20"/>
                <w:szCs w:val="20"/>
              </w:rPr>
              <w:t>非必填项，见币种代码表。如果“提款金额”</w:t>
            </w:r>
            <w:r>
              <w:rPr>
                <w:rFonts w:ascii="黑体" w:eastAsia="黑体" w:hAnsi="黑体"/>
                <w:sz w:val="20"/>
                <w:szCs w:val="20"/>
              </w:rPr>
              <w:t>&gt;</w:t>
            </w:r>
            <w:r>
              <w:rPr>
                <w:rFonts w:ascii="黑体" w:eastAsia="黑体" w:hAnsi="黑体" w:hint="eastAsia"/>
                <w:sz w:val="20"/>
                <w:szCs w:val="20"/>
              </w:rPr>
              <w:t>0，则必填。</w:t>
            </w:r>
          </w:p>
        </w:tc>
      </w:tr>
      <w:tr w:rsidR="00A052DC" w14:paraId="002967FF" w14:textId="77777777">
        <w:tc>
          <w:tcPr>
            <w:tcW w:w="1702" w:type="dxa"/>
          </w:tcPr>
          <w:p w14:paraId="430A15C9" w14:textId="77777777" w:rsidR="00A052DC" w:rsidRDefault="009F0A60">
            <w:pPr>
              <w:rPr>
                <w:rFonts w:ascii="黑体" w:eastAsia="黑体" w:hAnsi="黑体"/>
                <w:sz w:val="20"/>
                <w:szCs w:val="20"/>
              </w:rPr>
            </w:pPr>
            <w:r>
              <w:rPr>
                <w:rFonts w:ascii="黑体" w:eastAsia="黑体" w:hAnsi="黑体"/>
                <w:sz w:val="20"/>
                <w:szCs w:val="20"/>
              </w:rPr>
              <w:t>WithAMOUNT</w:t>
            </w:r>
          </w:p>
        </w:tc>
        <w:tc>
          <w:tcPr>
            <w:tcW w:w="1842" w:type="dxa"/>
          </w:tcPr>
          <w:p w14:paraId="74F29E0D" w14:textId="77777777" w:rsidR="00A052DC" w:rsidRDefault="009F0A60">
            <w:pPr>
              <w:rPr>
                <w:rFonts w:ascii="黑体" w:eastAsia="黑体" w:hAnsi="黑体"/>
                <w:sz w:val="20"/>
                <w:szCs w:val="20"/>
              </w:rPr>
            </w:pPr>
            <w:r>
              <w:rPr>
                <w:rFonts w:ascii="黑体" w:eastAsia="黑体" w:hAnsi="黑体" w:hint="eastAsia"/>
                <w:sz w:val="20"/>
                <w:szCs w:val="20"/>
              </w:rPr>
              <w:t>提款金额</w:t>
            </w:r>
          </w:p>
        </w:tc>
        <w:tc>
          <w:tcPr>
            <w:tcW w:w="1418" w:type="dxa"/>
          </w:tcPr>
          <w:p w14:paraId="1AA6575B"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3685" w:type="dxa"/>
          </w:tcPr>
          <w:p w14:paraId="7A71F0A2" w14:textId="77777777" w:rsidR="00A052DC" w:rsidRDefault="009F0A60">
            <w:pPr>
              <w:rPr>
                <w:rFonts w:ascii="黑体" w:eastAsia="黑体" w:hAnsi="黑体"/>
                <w:sz w:val="20"/>
                <w:szCs w:val="20"/>
              </w:rPr>
            </w:pPr>
            <w:r>
              <w:rPr>
                <w:rFonts w:ascii="黑体" w:eastAsia="黑体" w:hAnsi="黑体" w:hint="eastAsia"/>
                <w:sz w:val="20"/>
                <w:szCs w:val="20"/>
              </w:rPr>
              <w:t>非必填项，大于等于0。</w:t>
            </w:r>
          </w:p>
        </w:tc>
      </w:tr>
      <w:tr w:rsidR="00A052DC" w14:paraId="5A780684" w14:textId="77777777">
        <w:tc>
          <w:tcPr>
            <w:tcW w:w="1702" w:type="dxa"/>
          </w:tcPr>
          <w:p w14:paraId="4F875FE7" w14:textId="77777777" w:rsidR="00A052DC" w:rsidRDefault="009F0A60">
            <w:pPr>
              <w:rPr>
                <w:rFonts w:ascii="黑体" w:eastAsia="黑体" w:hAnsi="黑体"/>
                <w:sz w:val="20"/>
                <w:szCs w:val="20"/>
              </w:rPr>
            </w:pPr>
            <w:r>
              <w:rPr>
                <w:rFonts w:ascii="黑体" w:eastAsia="黑体" w:hAnsi="黑体"/>
                <w:sz w:val="20"/>
                <w:szCs w:val="20"/>
              </w:rPr>
              <w:t>SETTAMOUNT</w:t>
            </w:r>
          </w:p>
        </w:tc>
        <w:tc>
          <w:tcPr>
            <w:tcW w:w="1842" w:type="dxa"/>
          </w:tcPr>
          <w:p w14:paraId="1776F897" w14:textId="77777777" w:rsidR="00A052DC" w:rsidRDefault="009F0A60">
            <w:pPr>
              <w:rPr>
                <w:rFonts w:ascii="黑体" w:eastAsia="黑体" w:hAnsi="黑体"/>
                <w:sz w:val="20"/>
                <w:szCs w:val="20"/>
              </w:rPr>
            </w:pPr>
            <w:r>
              <w:rPr>
                <w:rFonts w:ascii="黑体" w:eastAsia="黑体" w:hAnsi="黑体" w:hint="eastAsia"/>
                <w:sz w:val="20"/>
                <w:szCs w:val="20"/>
              </w:rPr>
              <w:t>结汇金额</w:t>
            </w:r>
          </w:p>
        </w:tc>
        <w:tc>
          <w:tcPr>
            <w:tcW w:w="1418" w:type="dxa"/>
          </w:tcPr>
          <w:p w14:paraId="4A2B6849"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3685" w:type="dxa"/>
          </w:tcPr>
          <w:p w14:paraId="7E4C9188" w14:textId="77777777" w:rsidR="00A052DC" w:rsidRDefault="009F0A60">
            <w:pPr>
              <w:rPr>
                <w:rFonts w:ascii="黑体" w:eastAsia="黑体" w:hAnsi="黑体"/>
                <w:sz w:val="20"/>
                <w:szCs w:val="20"/>
              </w:rPr>
            </w:pPr>
            <w:r>
              <w:rPr>
                <w:rFonts w:ascii="黑体" w:eastAsia="黑体" w:hAnsi="黑体" w:hint="eastAsia"/>
                <w:sz w:val="20"/>
                <w:szCs w:val="20"/>
              </w:rPr>
              <w:t>非必填项，大于等于0。</w:t>
            </w:r>
          </w:p>
        </w:tc>
      </w:tr>
      <w:tr w:rsidR="00A052DC" w14:paraId="4EC388C5" w14:textId="77777777">
        <w:tc>
          <w:tcPr>
            <w:tcW w:w="1702" w:type="dxa"/>
          </w:tcPr>
          <w:p w14:paraId="499ED663" w14:textId="77777777" w:rsidR="00A052DC" w:rsidRDefault="009F0A60">
            <w:pPr>
              <w:rPr>
                <w:rFonts w:ascii="黑体" w:eastAsia="黑体" w:hAnsi="黑体"/>
                <w:sz w:val="20"/>
                <w:szCs w:val="20"/>
              </w:rPr>
            </w:pPr>
            <w:r>
              <w:rPr>
                <w:rFonts w:ascii="黑体" w:eastAsia="黑体" w:hAnsi="黑体"/>
                <w:sz w:val="20"/>
                <w:szCs w:val="20"/>
              </w:rPr>
              <w:t>USEOFUNDS</w:t>
            </w:r>
          </w:p>
        </w:tc>
        <w:tc>
          <w:tcPr>
            <w:tcW w:w="1842" w:type="dxa"/>
          </w:tcPr>
          <w:p w14:paraId="6D936509" w14:textId="77777777" w:rsidR="00A052DC" w:rsidRDefault="009F0A60">
            <w:pPr>
              <w:rPr>
                <w:rFonts w:ascii="黑体" w:eastAsia="黑体" w:hAnsi="黑体"/>
                <w:sz w:val="20"/>
                <w:szCs w:val="20"/>
              </w:rPr>
            </w:pPr>
            <w:r>
              <w:rPr>
                <w:rFonts w:ascii="黑体" w:eastAsia="黑体" w:hAnsi="黑体" w:hint="eastAsia"/>
                <w:sz w:val="20"/>
                <w:szCs w:val="20"/>
              </w:rPr>
              <w:t>资金用途</w:t>
            </w:r>
          </w:p>
        </w:tc>
        <w:tc>
          <w:tcPr>
            <w:tcW w:w="1418" w:type="dxa"/>
          </w:tcPr>
          <w:p w14:paraId="4A97F8A3" w14:textId="77777777" w:rsidR="00A052DC" w:rsidRDefault="009F0A60">
            <w:pPr>
              <w:rPr>
                <w:rFonts w:ascii="黑体" w:eastAsia="黑体" w:hAnsi="黑体"/>
                <w:sz w:val="20"/>
                <w:szCs w:val="20"/>
              </w:rPr>
            </w:pPr>
            <w:r>
              <w:rPr>
                <w:rFonts w:ascii="黑体" w:eastAsia="黑体" w:hAnsi="黑体" w:hint="eastAsia"/>
                <w:sz w:val="20"/>
                <w:szCs w:val="20"/>
              </w:rPr>
              <w:t>字符型，2</w:t>
            </w:r>
          </w:p>
        </w:tc>
        <w:tc>
          <w:tcPr>
            <w:tcW w:w="3685" w:type="dxa"/>
          </w:tcPr>
          <w:p w14:paraId="432A747C" w14:textId="77777777" w:rsidR="00A052DC" w:rsidRDefault="009F0A60" w:rsidP="005D3821">
            <w:pPr>
              <w:rPr>
                <w:rFonts w:ascii="黑体" w:eastAsia="黑体" w:hAnsi="黑体"/>
                <w:sz w:val="20"/>
                <w:szCs w:val="20"/>
              </w:rPr>
            </w:pPr>
            <w:r>
              <w:rPr>
                <w:rFonts w:ascii="黑体" w:eastAsia="黑体" w:hAnsi="黑体" w:hint="eastAsia"/>
                <w:sz w:val="20"/>
                <w:szCs w:val="20"/>
              </w:rPr>
              <w:t>非必填项，见国内外汇贷款资金用途代码表。如果“提款金额”或“结汇金额”</w:t>
            </w:r>
            <w:r>
              <w:rPr>
                <w:rFonts w:ascii="黑体" w:eastAsia="黑体" w:hAnsi="黑体"/>
                <w:sz w:val="20"/>
                <w:szCs w:val="20"/>
              </w:rPr>
              <w:t>&gt;</w:t>
            </w:r>
            <w:r>
              <w:rPr>
                <w:rFonts w:ascii="黑体" w:eastAsia="黑体" w:hAnsi="黑体" w:hint="eastAsia"/>
                <w:sz w:val="20"/>
                <w:szCs w:val="20"/>
              </w:rPr>
              <w:t>0，则必填。</w:t>
            </w:r>
          </w:p>
        </w:tc>
      </w:tr>
      <w:tr w:rsidR="00A052DC" w14:paraId="33A93CA9" w14:textId="77777777">
        <w:tc>
          <w:tcPr>
            <w:tcW w:w="1702" w:type="dxa"/>
          </w:tcPr>
          <w:p w14:paraId="3E62D199" w14:textId="77777777" w:rsidR="00A052DC" w:rsidRDefault="009F0A60">
            <w:pPr>
              <w:rPr>
                <w:rFonts w:ascii="黑体" w:eastAsia="黑体" w:hAnsi="黑体"/>
                <w:sz w:val="20"/>
                <w:szCs w:val="20"/>
              </w:rPr>
            </w:pPr>
            <w:r>
              <w:rPr>
                <w:rFonts w:ascii="黑体" w:eastAsia="黑体" w:hAnsi="黑体"/>
                <w:sz w:val="20"/>
                <w:szCs w:val="20"/>
              </w:rPr>
              <w:t>PRINCURR</w:t>
            </w:r>
          </w:p>
        </w:tc>
        <w:tc>
          <w:tcPr>
            <w:tcW w:w="1842" w:type="dxa"/>
          </w:tcPr>
          <w:p w14:paraId="700FA0DD" w14:textId="77777777" w:rsidR="00A052DC" w:rsidRDefault="009F0A60">
            <w:pPr>
              <w:rPr>
                <w:rFonts w:ascii="黑体" w:eastAsia="黑体" w:hAnsi="黑体"/>
                <w:sz w:val="20"/>
                <w:szCs w:val="20"/>
              </w:rPr>
            </w:pPr>
            <w:r>
              <w:rPr>
                <w:rFonts w:ascii="黑体" w:eastAsia="黑体" w:hAnsi="黑体" w:hint="eastAsia"/>
                <w:sz w:val="20"/>
                <w:szCs w:val="20"/>
              </w:rPr>
              <w:t>还本币种</w:t>
            </w:r>
          </w:p>
        </w:tc>
        <w:tc>
          <w:tcPr>
            <w:tcW w:w="1418" w:type="dxa"/>
          </w:tcPr>
          <w:p w14:paraId="229B26AA" w14:textId="77777777" w:rsidR="00A052DC" w:rsidRDefault="009F0A60">
            <w:pPr>
              <w:rPr>
                <w:rFonts w:ascii="黑体" w:eastAsia="黑体" w:hAnsi="黑体"/>
                <w:sz w:val="20"/>
                <w:szCs w:val="20"/>
              </w:rPr>
            </w:pPr>
            <w:r>
              <w:rPr>
                <w:rFonts w:ascii="黑体" w:eastAsia="黑体" w:hAnsi="黑体" w:hint="eastAsia"/>
                <w:sz w:val="20"/>
                <w:szCs w:val="20"/>
              </w:rPr>
              <w:t>字符型，3</w:t>
            </w:r>
          </w:p>
        </w:tc>
        <w:tc>
          <w:tcPr>
            <w:tcW w:w="3685" w:type="dxa"/>
          </w:tcPr>
          <w:p w14:paraId="3526FC49" w14:textId="77777777" w:rsidR="00A052DC" w:rsidRDefault="009F0A60">
            <w:pPr>
              <w:rPr>
                <w:rFonts w:ascii="黑体" w:eastAsia="黑体" w:hAnsi="黑体"/>
                <w:sz w:val="20"/>
                <w:szCs w:val="20"/>
              </w:rPr>
            </w:pPr>
            <w:r>
              <w:rPr>
                <w:rFonts w:ascii="黑体" w:eastAsia="黑体" w:hAnsi="黑体" w:hint="eastAsia"/>
                <w:sz w:val="20"/>
                <w:szCs w:val="20"/>
              </w:rPr>
              <w:t>非必填项，见币种代码表。如果“还本金额”</w:t>
            </w:r>
            <w:r>
              <w:rPr>
                <w:rFonts w:ascii="黑体" w:eastAsia="黑体" w:hAnsi="黑体"/>
                <w:sz w:val="20"/>
                <w:szCs w:val="20"/>
              </w:rPr>
              <w:t>&gt;</w:t>
            </w:r>
            <w:r>
              <w:rPr>
                <w:rFonts w:ascii="黑体" w:eastAsia="黑体" w:hAnsi="黑体" w:hint="eastAsia"/>
                <w:sz w:val="20"/>
                <w:szCs w:val="20"/>
              </w:rPr>
              <w:t>0，则必填。</w:t>
            </w:r>
          </w:p>
        </w:tc>
      </w:tr>
      <w:tr w:rsidR="00A052DC" w14:paraId="769DA70C" w14:textId="77777777">
        <w:tc>
          <w:tcPr>
            <w:tcW w:w="1702" w:type="dxa"/>
          </w:tcPr>
          <w:p w14:paraId="7E88E573" w14:textId="77777777" w:rsidR="00A052DC" w:rsidRDefault="009F0A60">
            <w:pPr>
              <w:rPr>
                <w:rFonts w:ascii="黑体" w:eastAsia="黑体" w:hAnsi="黑体"/>
                <w:sz w:val="20"/>
                <w:szCs w:val="20"/>
              </w:rPr>
            </w:pPr>
            <w:r>
              <w:rPr>
                <w:rFonts w:ascii="黑体" w:eastAsia="黑体" w:hAnsi="黑体"/>
                <w:sz w:val="20"/>
                <w:szCs w:val="20"/>
              </w:rPr>
              <w:t>REPAYAMOUNT</w:t>
            </w:r>
          </w:p>
        </w:tc>
        <w:tc>
          <w:tcPr>
            <w:tcW w:w="1842" w:type="dxa"/>
          </w:tcPr>
          <w:p w14:paraId="64D7669C" w14:textId="77777777" w:rsidR="00A052DC" w:rsidRDefault="009F0A60">
            <w:pPr>
              <w:rPr>
                <w:rFonts w:ascii="黑体" w:eastAsia="黑体" w:hAnsi="黑体"/>
                <w:sz w:val="20"/>
                <w:szCs w:val="20"/>
              </w:rPr>
            </w:pPr>
            <w:r>
              <w:rPr>
                <w:rFonts w:ascii="黑体" w:eastAsia="黑体" w:hAnsi="黑体" w:hint="eastAsia"/>
                <w:sz w:val="20"/>
                <w:szCs w:val="20"/>
              </w:rPr>
              <w:t>还本金额</w:t>
            </w:r>
          </w:p>
        </w:tc>
        <w:tc>
          <w:tcPr>
            <w:tcW w:w="1418" w:type="dxa"/>
          </w:tcPr>
          <w:p w14:paraId="36885600"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3685" w:type="dxa"/>
          </w:tcPr>
          <w:p w14:paraId="275803FC" w14:textId="77777777" w:rsidR="00A052DC" w:rsidRDefault="009F0A60">
            <w:pPr>
              <w:rPr>
                <w:rFonts w:ascii="黑体" w:eastAsia="黑体" w:hAnsi="黑体"/>
                <w:sz w:val="20"/>
                <w:szCs w:val="20"/>
              </w:rPr>
            </w:pPr>
            <w:r>
              <w:rPr>
                <w:rFonts w:ascii="黑体" w:eastAsia="黑体" w:hAnsi="黑体" w:hint="eastAsia"/>
                <w:sz w:val="20"/>
                <w:szCs w:val="20"/>
              </w:rPr>
              <w:t>非必填项，大于等于0。</w:t>
            </w:r>
          </w:p>
        </w:tc>
      </w:tr>
      <w:tr w:rsidR="00A052DC" w14:paraId="6504234F" w14:textId="77777777">
        <w:tc>
          <w:tcPr>
            <w:tcW w:w="1702" w:type="dxa"/>
          </w:tcPr>
          <w:p w14:paraId="191E62A9" w14:textId="77777777" w:rsidR="00A052DC" w:rsidRDefault="009F0A60">
            <w:pPr>
              <w:rPr>
                <w:rFonts w:ascii="黑体" w:eastAsia="黑体" w:hAnsi="黑体"/>
                <w:sz w:val="20"/>
                <w:szCs w:val="20"/>
              </w:rPr>
            </w:pPr>
            <w:r>
              <w:rPr>
                <w:rFonts w:ascii="黑体" w:eastAsia="黑体" w:hAnsi="黑体"/>
                <w:sz w:val="20"/>
                <w:szCs w:val="20"/>
              </w:rPr>
              <w:t>PREPAYAMOUNT</w:t>
            </w:r>
          </w:p>
        </w:tc>
        <w:tc>
          <w:tcPr>
            <w:tcW w:w="1842" w:type="dxa"/>
          </w:tcPr>
          <w:p w14:paraId="3DBBA511" w14:textId="77777777" w:rsidR="00A052DC" w:rsidRDefault="009F0A60">
            <w:pPr>
              <w:rPr>
                <w:rFonts w:ascii="黑体" w:eastAsia="黑体" w:hAnsi="黑体"/>
                <w:sz w:val="20"/>
                <w:szCs w:val="20"/>
              </w:rPr>
            </w:pPr>
            <w:r>
              <w:rPr>
                <w:rFonts w:ascii="黑体" w:eastAsia="黑体" w:hAnsi="黑体" w:hint="eastAsia"/>
                <w:sz w:val="20"/>
                <w:szCs w:val="20"/>
              </w:rPr>
              <w:t>购汇还本金额</w:t>
            </w:r>
          </w:p>
        </w:tc>
        <w:tc>
          <w:tcPr>
            <w:tcW w:w="1418" w:type="dxa"/>
          </w:tcPr>
          <w:p w14:paraId="62B85571"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3685" w:type="dxa"/>
          </w:tcPr>
          <w:p w14:paraId="54B2A8D7" w14:textId="77777777" w:rsidR="00A052DC" w:rsidRDefault="009F0A60">
            <w:pPr>
              <w:rPr>
                <w:rFonts w:ascii="黑体" w:eastAsia="黑体" w:hAnsi="黑体"/>
                <w:sz w:val="20"/>
                <w:szCs w:val="20"/>
              </w:rPr>
            </w:pPr>
            <w:r>
              <w:rPr>
                <w:rFonts w:ascii="黑体" w:eastAsia="黑体" w:hAnsi="黑体" w:hint="eastAsia"/>
                <w:sz w:val="20"/>
                <w:szCs w:val="20"/>
              </w:rPr>
              <w:t>非必填项，大于等于0。购汇还本金额</w:t>
            </w:r>
            <w:r>
              <w:rPr>
                <w:rFonts w:ascii="黑体" w:eastAsia="黑体" w:hAnsi="黑体"/>
                <w:sz w:val="20"/>
                <w:szCs w:val="20"/>
              </w:rPr>
              <w:t>&lt;</w:t>
            </w:r>
            <w:r>
              <w:rPr>
                <w:rFonts w:ascii="黑体" w:eastAsia="黑体" w:hAnsi="黑体" w:hint="eastAsia"/>
                <w:sz w:val="20"/>
                <w:szCs w:val="20"/>
              </w:rPr>
              <w:t>=还本金额。</w:t>
            </w:r>
          </w:p>
        </w:tc>
      </w:tr>
      <w:tr w:rsidR="00A052DC" w14:paraId="302D3122" w14:textId="77777777">
        <w:tc>
          <w:tcPr>
            <w:tcW w:w="1702" w:type="dxa"/>
          </w:tcPr>
          <w:p w14:paraId="6ACB7A6B" w14:textId="77777777" w:rsidR="00A052DC" w:rsidRDefault="009F0A60">
            <w:pPr>
              <w:rPr>
                <w:rFonts w:ascii="黑体" w:eastAsia="黑体" w:hAnsi="黑体"/>
                <w:sz w:val="20"/>
                <w:szCs w:val="20"/>
              </w:rPr>
            </w:pPr>
            <w:r>
              <w:rPr>
                <w:rFonts w:ascii="黑体" w:eastAsia="黑体" w:hAnsi="黑体"/>
                <w:sz w:val="20"/>
                <w:szCs w:val="20"/>
              </w:rPr>
              <w:t>INPAYCURR</w:t>
            </w:r>
          </w:p>
        </w:tc>
        <w:tc>
          <w:tcPr>
            <w:tcW w:w="1842" w:type="dxa"/>
          </w:tcPr>
          <w:p w14:paraId="1B244A38" w14:textId="77777777" w:rsidR="00A052DC" w:rsidRDefault="009F0A60">
            <w:pPr>
              <w:rPr>
                <w:rFonts w:ascii="黑体" w:eastAsia="黑体" w:hAnsi="黑体"/>
                <w:sz w:val="20"/>
                <w:szCs w:val="20"/>
              </w:rPr>
            </w:pPr>
            <w:r>
              <w:rPr>
                <w:rFonts w:ascii="黑体" w:eastAsia="黑体" w:hAnsi="黑体" w:hint="eastAsia"/>
                <w:sz w:val="20"/>
                <w:szCs w:val="20"/>
              </w:rPr>
              <w:t>付息币种</w:t>
            </w:r>
          </w:p>
        </w:tc>
        <w:tc>
          <w:tcPr>
            <w:tcW w:w="1418" w:type="dxa"/>
          </w:tcPr>
          <w:p w14:paraId="5A3FF6D2" w14:textId="77777777" w:rsidR="00A052DC" w:rsidRDefault="009F0A60">
            <w:pPr>
              <w:rPr>
                <w:rFonts w:ascii="黑体" w:eastAsia="黑体" w:hAnsi="黑体"/>
                <w:sz w:val="20"/>
                <w:szCs w:val="20"/>
              </w:rPr>
            </w:pPr>
            <w:r>
              <w:rPr>
                <w:rFonts w:ascii="黑体" w:eastAsia="黑体" w:hAnsi="黑体" w:hint="eastAsia"/>
                <w:sz w:val="20"/>
                <w:szCs w:val="20"/>
              </w:rPr>
              <w:t>字符型，3</w:t>
            </w:r>
          </w:p>
        </w:tc>
        <w:tc>
          <w:tcPr>
            <w:tcW w:w="3685" w:type="dxa"/>
          </w:tcPr>
          <w:p w14:paraId="62ECC422" w14:textId="77777777" w:rsidR="00A052DC" w:rsidRDefault="009F0A60">
            <w:pPr>
              <w:rPr>
                <w:rFonts w:ascii="黑体" w:eastAsia="黑体" w:hAnsi="黑体"/>
                <w:sz w:val="20"/>
                <w:szCs w:val="20"/>
              </w:rPr>
            </w:pPr>
            <w:r>
              <w:rPr>
                <w:rFonts w:ascii="黑体" w:eastAsia="黑体" w:hAnsi="黑体" w:hint="eastAsia"/>
                <w:sz w:val="20"/>
                <w:szCs w:val="20"/>
              </w:rPr>
              <w:t>非必填项，见币种代码表。如果“付息金额”或“购汇付息金额”</w:t>
            </w:r>
            <w:r>
              <w:rPr>
                <w:rFonts w:ascii="黑体" w:eastAsia="黑体" w:hAnsi="黑体"/>
                <w:sz w:val="20"/>
                <w:szCs w:val="20"/>
              </w:rPr>
              <w:t>&gt;</w:t>
            </w:r>
            <w:r>
              <w:rPr>
                <w:rFonts w:ascii="黑体" w:eastAsia="黑体" w:hAnsi="黑体" w:hint="eastAsia"/>
                <w:sz w:val="20"/>
                <w:szCs w:val="20"/>
              </w:rPr>
              <w:t>0，则必填。</w:t>
            </w:r>
          </w:p>
        </w:tc>
      </w:tr>
      <w:tr w:rsidR="00A052DC" w14:paraId="4FD474B5" w14:textId="77777777">
        <w:tc>
          <w:tcPr>
            <w:tcW w:w="1702" w:type="dxa"/>
          </w:tcPr>
          <w:p w14:paraId="50C2A497" w14:textId="77777777" w:rsidR="00A052DC" w:rsidRDefault="009F0A60">
            <w:pPr>
              <w:rPr>
                <w:rFonts w:ascii="黑体" w:eastAsia="黑体" w:hAnsi="黑体"/>
                <w:sz w:val="20"/>
                <w:szCs w:val="20"/>
              </w:rPr>
            </w:pPr>
            <w:r>
              <w:rPr>
                <w:rFonts w:ascii="黑体" w:eastAsia="黑体" w:hAnsi="黑体"/>
                <w:sz w:val="20"/>
                <w:szCs w:val="20"/>
              </w:rPr>
              <w:t>INPAYAMOUNT</w:t>
            </w:r>
          </w:p>
        </w:tc>
        <w:tc>
          <w:tcPr>
            <w:tcW w:w="1842" w:type="dxa"/>
          </w:tcPr>
          <w:p w14:paraId="56311A62" w14:textId="77777777" w:rsidR="00A052DC" w:rsidRDefault="009F0A60">
            <w:pPr>
              <w:rPr>
                <w:rFonts w:ascii="黑体" w:eastAsia="黑体" w:hAnsi="黑体"/>
                <w:sz w:val="20"/>
                <w:szCs w:val="20"/>
              </w:rPr>
            </w:pPr>
            <w:r>
              <w:rPr>
                <w:rFonts w:ascii="黑体" w:eastAsia="黑体" w:hAnsi="黑体" w:hint="eastAsia"/>
                <w:sz w:val="20"/>
                <w:szCs w:val="20"/>
              </w:rPr>
              <w:t>付息金额</w:t>
            </w:r>
          </w:p>
        </w:tc>
        <w:tc>
          <w:tcPr>
            <w:tcW w:w="1418" w:type="dxa"/>
          </w:tcPr>
          <w:p w14:paraId="34CE0029"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3685" w:type="dxa"/>
          </w:tcPr>
          <w:p w14:paraId="5DE90793" w14:textId="77777777" w:rsidR="00A052DC" w:rsidRDefault="009F0A60">
            <w:pPr>
              <w:rPr>
                <w:rFonts w:ascii="黑体" w:eastAsia="黑体" w:hAnsi="黑体"/>
                <w:sz w:val="20"/>
                <w:szCs w:val="20"/>
              </w:rPr>
            </w:pPr>
            <w:r>
              <w:rPr>
                <w:rFonts w:ascii="黑体" w:eastAsia="黑体" w:hAnsi="黑体" w:hint="eastAsia"/>
                <w:sz w:val="20"/>
                <w:szCs w:val="20"/>
              </w:rPr>
              <w:t>非必填项，大于等于0。</w:t>
            </w:r>
          </w:p>
        </w:tc>
      </w:tr>
      <w:tr w:rsidR="00A052DC" w14:paraId="09CC1AC8" w14:textId="77777777">
        <w:tc>
          <w:tcPr>
            <w:tcW w:w="1702" w:type="dxa"/>
          </w:tcPr>
          <w:p w14:paraId="248E2995" w14:textId="77777777" w:rsidR="00A052DC" w:rsidRDefault="009F0A60">
            <w:pPr>
              <w:rPr>
                <w:rFonts w:ascii="黑体" w:eastAsia="黑体" w:hAnsi="黑体"/>
                <w:sz w:val="20"/>
                <w:szCs w:val="20"/>
              </w:rPr>
            </w:pPr>
            <w:r>
              <w:rPr>
                <w:rFonts w:ascii="黑体" w:eastAsia="黑体" w:hAnsi="黑体"/>
                <w:sz w:val="20"/>
                <w:szCs w:val="20"/>
              </w:rPr>
              <w:t>PINPAYAMOUNT</w:t>
            </w:r>
          </w:p>
        </w:tc>
        <w:tc>
          <w:tcPr>
            <w:tcW w:w="1842" w:type="dxa"/>
          </w:tcPr>
          <w:p w14:paraId="7CDE0D32" w14:textId="77777777" w:rsidR="00A052DC" w:rsidRDefault="009F0A60">
            <w:pPr>
              <w:rPr>
                <w:rFonts w:ascii="黑体" w:eastAsia="黑体" w:hAnsi="黑体"/>
                <w:sz w:val="20"/>
                <w:szCs w:val="20"/>
              </w:rPr>
            </w:pPr>
            <w:r>
              <w:rPr>
                <w:rFonts w:ascii="黑体" w:eastAsia="黑体" w:hAnsi="黑体" w:hint="eastAsia"/>
                <w:sz w:val="20"/>
                <w:szCs w:val="20"/>
              </w:rPr>
              <w:t>购汇付息金额</w:t>
            </w:r>
          </w:p>
        </w:tc>
        <w:tc>
          <w:tcPr>
            <w:tcW w:w="1418" w:type="dxa"/>
          </w:tcPr>
          <w:p w14:paraId="6DAD2FB9"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3685" w:type="dxa"/>
          </w:tcPr>
          <w:p w14:paraId="280CB017" w14:textId="77777777" w:rsidR="00A052DC" w:rsidRDefault="009F0A60">
            <w:pPr>
              <w:rPr>
                <w:rFonts w:ascii="黑体" w:eastAsia="黑体" w:hAnsi="黑体"/>
                <w:sz w:val="20"/>
                <w:szCs w:val="20"/>
              </w:rPr>
            </w:pPr>
            <w:r>
              <w:rPr>
                <w:rFonts w:ascii="黑体" w:eastAsia="黑体" w:hAnsi="黑体" w:hint="eastAsia"/>
                <w:sz w:val="20"/>
                <w:szCs w:val="20"/>
              </w:rPr>
              <w:t>非必填项，大于等于0。购汇付息金额</w:t>
            </w:r>
            <w:r>
              <w:rPr>
                <w:rFonts w:ascii="黑体" w:eastAsia="黑体" w:hAnsi="黑体"/>
                <w:sz w:val="20"/>
                <w:szCs w:val="20"/>
              </w:rPr>
              <w:t>&lt;</w:t>
            </w:r>
            <w:r>
              <w:rPr>
                <w:rFonts w:ascii="黑体" w:eastAsia="黑体" w:hAnsi="黑体" w:hint="eastAsia"/>
                <w:sz w:val="20"/>
                <w:szCs w:val="20"/>
              </w:rPr>
              <w:t>=付息金额。</w:t>
            </w:r>
          </w:p>
        </w:tc>
      </w:tr>
      <w:tr w:rsidR="00A052DC" w14:paraId="53BE40E9" w14:textId="77777777">
        <w:tc>
          <w:tcPr>
            <w:tcW w:w="1702" w:type="dxa"/>
          </w:tcPr>
          <w:p w14:paraId="762C1583" w14:textId="77777777" w:rsidR="00A052DC" w:rsidRDefault="009F0A60">
            <w:pPr>
              <w:rPr>
                <w:rFonts w:ascii="黑体" w:eastAsia="黑体" w:hAnsi="黑体"/>
                <w:sz w:val="20"/>
                <w:szCs w:val="20"/>
              </w:rPr>
            </w:pPr>
            <w:r>
              <w:rPr>
                <w:rFonts w:ascii="黑体" w:eastAsia="黑体" w:hAnsi="黑体"/>
                <w:sz w:val="20"/>
                <w:szCs w:val="20"/>
              </w:rPr>
              <w:t>ENDBALAN</w:t>
            </w:r>
          </w:p>
        </w:tc>
        <w:tc>
          <w:tcPr>
            <w:tcW w:w="1842" w:type="dxa"/>
          </w:tcPr>
          <w:p w14:paraId="14423EE6" w14:textId="77777777" w:rsidR="00A052DC" w:rsidRDefault="009F0A60">
            <w:pPr>
              <w:rPr>
                <w:rFonts w:ascii="黑体" w:eastAsia="黑体" w:hAnsi="黑体"/>
                <w:sz w:val="20"/>
                <w:szCs w:val="20"/>
              </w:rPr>
            </w:pPr>
            <w:r>
              <w:rPr>
                <w:rFonts w:ascii="黑体" w:eastAsia="黑体" w:hAnsi="黑体" w:hint="eastAsia"/>
                <w:sz w:val="20"/>
                <w:szCs w:val="20"/>
              </w:rPr>
              <w:t>期末余额</w:t>
            </w:r>
          </w:p>
        </w:tc>
        <w:tc>
          <w:tcPr>
            <w:tcW w:w="1418" w:type="dxa"/>
          </w:tcPr>
          <w:p w14:paraId="4C73BE38"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3685" w:type="dxa"/>
          </w:tcPr>
          <w:p w14:paraId="0F553AD2"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r w:rsidR="00A052DC" w14:paraId="39D60D87" w14:textId="77777777">
        <w:tc>
          <w:tcPr>
            <w:tcW w:w="1702" w:type="dxa"/>
            <w:tcBorders>
              <w:top w:val="single" w:sz="4" w:space="0" w:color="auto"/>
              <w:left w:val="single" w:sz="4" w:space="0" w:color="auto"/>
              <w:bottom w:val="single" w:sz="4" w:space="0" w:color="auto"/>
              <w:right w:val="single" w:sz="4" w:space="0" w:color="auto"/>
            </w:tcBorders>
          </w:tcPr>
          <w:p w14:paraId="44CD1471" w14:textId="77777777" w:rsidR="00A052DC" w:rsidRDefault="009F0A60">
            <w:pPr>
              <w:rPr>
                <w:rFonts w:ascii="黑体" w:eastAsia="黑体" w:hAnsi="黑体"/>
                <w:sz w:val="20"/>
                <w:szCs w:val="20"/>
              </w:rPr>
            </w:pPr>
            <w:r>
              <w:rPr>
                <w:rFonts w:ascii="黑体" w:eastAsia="黑体" w:hAnsi="黑体"/>
                <w:sz w:val="20"/>
                <w:szCs w:val="20"/>
              </w:rPr>
              <w:t>REMARK</w:t>
            </w:r>
          </w:p>
        </w:tc>
        <w:tc>
          <w:tcPr>
            <w:tcW w:w="1842" w:type="dxa"/>
            <w:tcBorders>
              <w:top w:val="single" w:sz="4" w:space="0" w:color="auto"/>
              <w:left w:val="single" w:sz="4" w:space="0" w:color="auto"/>
              <w:bottom w:val="single" w:sz="4" w:space="0" w:color="auto"/>
              <w:right w:val="single" w:sz="4" w:space="0" w:color="auto"/>
            </w:tcBorders>
          </w:tcPr>
          <w:p w14:paraId="0A961F2D" w14:textId="77777777" w:rsidR="00A052DC" w:rsidRDefault="009F0A60">
            <w:pPr>
              <w:rPr>
                <w:rFonts w:ascii="黑体" w:eastAsia="黑体" w:hAnsi="黑体"/>
                <w:sz w:val="20"/>
                <w:szCs w:val="20"/>
              </w:rPr>
            </w:pPr>
            <w:r>
              <w:rPr>
                <w:rFonts w:ascii="黑体" w:eastAsia="黑体" w:hAnsi="黑体" w:hint="eastAsia"/>
                <w:sz w:val="20"/>
                <w:szCs w:val="20"/>
              </w:rPr>
              <w:t>备注</w:t>
            </w:r>
          </w:p>
        </w:tc>
        <w:tc>
          <w:tcPr>
            <w:tcW w:w="1418" w:type="dxa"/>
            <w:tcBorders>
              <w:top w:val="single" w:sz="4" w:space="0" w:color="auto"/>
              <w:left w:val="single" w:sz="4" w:space="0" w:color="auto"/>
              <w:bottom w:val="single" w:sz="4" w:space="0" w:color="auto"/>
              <w:right w:val="single" w:sz="4" w:space="0" w:color="auto"/>
            </w:tcBorders>
          </w:tcPr>
          <w:p w14:paraId="3C36B8F2" w14:textId="77777777" w:rsidR="00A052DC" w:rsidRDefault="009F0A60">
            <w:pPr>
              <w:rPr>
                <w:rFonts w:ascii="黑体" w:eastAsia="黑体" w:hAnsi="黑体"/>
                <w:sz w:val="20"/>
                <w:szCs w:val="20"/>
              </w:rPr>
            </w:pPr>
            <w:r>
              <w:rPr>
                <w:rFonts w:ascii="黑体" w:eastAsia="黑体" w:hAnsi="黑体" w:hint="eastAsia"/>
                <w:sz w:val="20"/>
                <w:szCs w:val="20"/>
              </w:rPr>
              <w:t>字符型，256</w:t>
            </w:r>
          </w:p>
        </w:tc>
        <w:tc>
          <w:tcPr>
            <w:tcW w:w="3685" w:type="dxa"/>
            <w:tcBorders>
              <w:top w:val="single" w:sz="4" w:space="0" w:color="auto"/>
              <w:left w:val="single" w:sz="4" w:space="0" w:color="auto"/>
              <w:bottom w:val="single" w:sz="4" w:space="0" w:color="auto"/>
              <w:right w:val="single" w:sz="4" w:space="0" w:color="auto"/>
            </w:tcBorders>
          </w:tcPr>
          <w:p w14:paraId="1A61ED37" w14:textId="77777777" w:rsidR="00A052DC" w:rsidRDefault="009F0A60">
            <w:pPr>
              <w:rPr>
                <w:rFonts w:ascii="黑体" w:eastAsia="黑体" w:hAnsi="黑体"/>
                <w:sz w:val="20"/>
                <w:szCs w:val="20"/>
              </w:rPr>
            </w:pPr>
            <w:r>
              <w:rPr>
                <w:rFonts w:ascii="黑体" w:eastAsia="黑体" w:hAnsi="黑体" w:hint="eastAsia"/>
                <w:sz w:val="20"/>
                <w:szCs w:val="20"/>
              </w:rPr>
              <w:t>非必填项。</w:t>
            </w:r>
          </w:p>
        </w:tc>
      </w:tr>
    </w:tbl>
    <w:p w14:paraId="63D1D6DF" w14:textId="77777777" w:rsidR="00A052DC" w:rsidRDefault="00A052DC"/>
    <w:p w14:paraId="042D1942" w14:textId="77777777" w:rsidR="00A052DC" w:rsidRDefault="009F0A60" w:rsidP="0020251D">
      <w:pPr>
        <w:pStyle w:val="3"/>
        <w:ind w:left="0"/>
        <w:rPr>
          <w:rFonts w:ascii="Times New Roman" w:hAnsi="Times New Roman"/>
        </w:rPr>
      </w:pPr>
      <w:bookmarkStart w:id="1670" w:name="_Toc91455295"/>
      <w:bookmarkStart w:id="1671" w:name="_Toc101684468"/>
      <w:r>
        <w:rPr>
          <w:rFonts w:ascii="Times New Roman" w:hAnsi="Times New Roman" w:hint="eastAsia"/>
        </w:rPr>
        <w:t>外保内贷</w:t>
      </w:r>
      <w:bookmarkEnd w:id="1670"/>
      <w:bookmarkEnd w:id="1671"/>
    </w:p>
    <w:p w14:paraId="512EB033" w14:textId="77777777" w:rsidR="00A052DC" w:rsidRDefault="009F0A60" w:rsidP="0020251D">
      <w:pPr>
        <w:pStyle w:val="4"/>
        <w:numPr>
          <w:ilvl w:val="3"/>
          <w:numId w:val="1"/>
        </w:numPr>
        <w:jc w:val="left"/>
      </w:pPr>
      <w:bookmarkStart w:id="1672" w:name="_Toc328635528"/>
      <w:bookmarkStart w:id="1673" w:name="_Toc454386970"/>
      <w:r>
        <w:rPr>
          <w:rFonts w:hint="eastAsia"/>
        </w:rPr>
        <w:t>签约信息</w:t>
      </w:r>
      <w:bookmarkEnd w:id="1672"/>
      <w:bookmarkEnd w:id="1673"/>
    </w:p>
    <w:p w14:paraId="072A695A" w14:textId="77777777" w:rsidR="00A052DC" w:rsidRDefault="009F0A60" w:rsidP="0020251D">
      <w:pPr>
        <w:pStyle w:val="5"/>
        <w:numPr>
          <w:ilvl w:val="4"/>
          <w:numId w:val="1"/>
        </w:numPr>
        <w:spacing w:before="120" w:after="120" w:line="360" w:lineRule="auto"/>
        <w:jc w:val="left"/>
      </w:pPr>
      <w:bookmarkStart w:id="1674" w:name="_Toc328635529"/>
      <w:bookmarkStart w:id="1675" w:name="_Toc454386971"/>
      <w:r>
        <w:rPr>
          <w:rFonts w:hint="eastAsia"/>
        </w:rPr>
        <w:t>数据术语解释</w:t>
      </w:r>
      <w:bookmarkEnd w:id="1674"/>
      <w:bookmarkEnd w:id="1675"/>
    </w:p>
    <w:tbl>
      <w:tblPr>
        <w:tblW w:w="84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26"/>
        <w:gridCol w:w="6946"/>
      </w:tblGrid>
      <w:tr w:rsidR="00A052DC" w14:paraId="22BBD5DB" w14:textId="77777777">
        <w:tc>
          <w:tcPr>
            <w:tcW w:w="1526" w:type="dxa"/>
          </w:tcPr>
          <w:p w14:paraId="0118467D" w14:textId="77777777" w:rsidR="00A052DC" w:rsidRDefault="009F0A60">
            <w:pPr>
              <w:jc w:val="center"/>
              <w:rPr>
                <w:rFonts w:ascii="黑体" w:eastAsia="黑体" w:hAnsi="黑体"/>
                <w:b/>
                <w:sz w:val="20"/>
                <w:szCs w:val="20"/>
              </w:rPr>
            </w:pPr>
            <w:r>
              <w:rPr>
                <w:rFonts w:ascii="黑体" w:eastAsia="黑体" w:hAnsi="黑体" w:hint="eastAsia"/>
                <w:b/>
                <w:sz w:val="20"/>
                <w:szCs w:val="20"/>
              </w:rPr>
              <w:t>基础数据项</w:t>
            </w:r>
          </w:p>
        </w:tc>
        <w:tc>
          <w:tcPr>
            <w:tcW w:w="6946" w:type="dxa"/>
          </w:tcPr>
          <w:p w14:paraId="1B54E402" w14:textId="77777777" w:rsidR="00A052DC" w:rsidRDefault="009F0A60">
            <w:pPr>
              <w:jc w:val="center"/>
              <w:rPr>
                <w:rFonts w:ascii="黑体" w:eastAsia="黑体" w:hAnsi="黑体"/>
                <w:b/>
                <w:sz w:val="20"/>
                <w:szCs w:val="20"/>
              </w:rPr>
            </w:pPr>
            <w:r>
              <w:rPr>
                <w:rFonts w:ascii="黑体" w:eastAsia="黑体" w:hAnsi="黑体" w:hint="eastAsia"/>
                <w:b/>
                <w:sz w:val="20"/>
                <w:szCs w:val="20"/>
              </w:rPr>
              <w:t>定义</w:t>
            </w:r>
          </w:p>
        </w:tc>
      </w:tr>
      <w:tr w:rsidR="00A052DC" w14:paraId="0044634C" w14:textId="77777777">
        <w:trPr>
          <w:cantSplit/>
          <w:trHeight w:val="218"/>
        </w:trPr>
        <w:tc>
          <w:tcPr>
            <w:tcW w:w="1526" w:type="dxa"/>
          </w:tcPr>
          <w:p w14:paraId="1B07E939" w14:textId="77777777" w:rsidR="00A052DC" w:rsidRDefault="009F0A60">
            <w:pPr>
              <w:rPr>
                <w:rFonts w:ascii="黑体" w:eastAsia="黑体" w:hAnsi="黑体"/>
                <w:sz w:val="20"/>
                <w:szCs w:val="20"/>
              </w:rPr>
            </w:pPr>
            <w:r>
              <w:rPr>
                <w:rFonts w:ascii="黑体" w:eastAsia="黑体" w:hAnsi="黑体" w:hint="eastAsia"/>
                <w:sz w:val="20"/>
                <w:szCs w:val="20"/>
              </w:rPr>
              <w:t>外保内贷编号</w:t>
            </w:r>
          </w:p>
        </w:tc>
        <w:tc>
          <w:tcPr>
            <w:tcW w:w="6946" w:type="dxa"/>
          </w:tcPr>
          <w:p w14:paraId="198AE373" w14:textId="77777777" w:rsidR="00A052DC" w:rsidRDefault="009F0A60">
            <w:pPr>
              <w:rPr>
                <w:rFonts w:ascii="黑体" w:eastAsia="黑体" w:hAnsi="黑体"/>
                <w:sz w:val="20"/>
                <w:szCs w:val="20"/>
              </w:rPr>
            </w:pPr>
            <w:r>
              <w:rPr>
                <w:rFonts w:ascii="黑体" w:eastAsia="黑体" w:hAnsi="黑体" w:hint="eastAsia"/>
                <w:sz w:val="20"/>
                <w:szCs w:val="20"/>
              </w:rPr>
              <w:t>外汇局制定统一编号规则，银行自行对每一笔外保内贷进行编号，用于唯一标识该笔外保内贷。银行外保内贷编号共计28位。第1至2位为业务类型标识，第3位至14位为银行金融机构标识码;第15至22位为8位年月日数字（20110701）;第23至28位为该笔业务的流水号（流水码编制规则：从000001～999999）。银行向境内机构新发放一笔外保内贷时，需为该笔外保内贷编制外保内贷编号，同一笔外汇贷款发生变更或展期时，不作为一笔新贷款进行登记，发生展期时，变更到期日。</w:t>
            </w:r>
          </w:p>
        </w:tc>
      </w:tr>
      <w:tr w:rsidR="00A052DC" w14:paraId="58B2B135" w14:textId="77777777">
        <w:trPr>
          <w:cantSplit/>
        </w:trPr>
        <w:tc>
          <w:tcPr>
            <w:tcW w:w="1526" w:type="dxa"/>
          </w:tcPr>
          <w:p w14:paraId="5AA21264" w14:textId="77777777" w:rsidR="00A052DC" w:rsidRDefault="009F0A60">
            <w:pPr>
              <w:rPr>
                <w:rFonts w:ascii="黑体" w:eastAsia="黑体" w:hAnsi="黑体"/>
                <w:sz w:val="20"/>
                <w:szCs w:val="20"/>
              </w:rPr>
            </w:pPr>
            <w:r>
              <w:rPr>
                <w:rFonts w:ascii="黑体" w:eastAsia="黑体" w:hAnsi="黑体" w:hint="eastAsia"/>
                <w:sz w:val="20"/>
                <w:szCs w:val="20"/>
              </w:rPr>
              <w:t>债权人代码</w:t>
            </w:r>
          </w:p>
        </w:tc>
        <w:tc>
          <w:tcPr>
            <w:tcW w:w="6946" w:type="dxa"/>
          </w:tcPr>
          <w:p w14:paraId="16A87C3B" w14:textId="77777777" w:rsidR="00A052DC" w:rsidRDefault="009F0A60">
            <w:pPr>
              <w:rPr>
                <w:rFonts w:ascii="黑体" w:eastAsia="黑体" w:hAnsi="黑体"/>
                <w:sz w:val="20"/>
                <w:szCs w:val="20"/>
              </w:rPr>
            </w:pPr>
            <w:r>
              <w:rPr>
                <w:rFonts w:ascii="黑体" w:eastAsia="黑体" w:hAnsi="黑体" w:hint="eastAsia"/>
                <w:sz w:val="20"/>
                <w:szCs w:val="20"/>
              </w:rPr>
              <w:t>国家外汇管理局及其分支局签发给债权银行的12位金融机构标识码编码。</w:t>
            </w:r>
          </w:p>
        </w:tc>
      </w:tr>
      <w:tr w:rsidR="00A052DC" w14:paraId="6B3D2D52" w14:textId="77777777">
        <w:trPr>
          <w:cantSplit/>
        </w:trPr>
        <w:tc>
          <w:tcPr>
            <w:tcW w:w="1526" w:type="dxa"/>
          </w:tcPr>
          <w:p w14:paraId="5A452CEC" w14:textId="77777777" w:rsidR="00A052DC" w:rsidRDefault="009F0A60">
            <w:pPr>
              <w:rPr>
                <w:rFonts w:ascii="黑体" w:eastAsia="黑体" w:hAnsi="黑体"/>
                <w:sz w:val="20"/>
                <w:szCs w:val="20"/>
              </w:rPr>
            </w:pPr>
            <w:r>
              <w:rPr>
                <w:rFonts w:ascii="黑体" w:eastAsia="黑体" w:hAnsi="黑体" w:hint="eastAsia"/>
                <w:sz w:val="20"/>
                <w:szCs w:val="20"/>
              </w:rPr>
              <w:t>债务人代码</w:t>
            </w:r>
          </w:p>
        </w:tc>
        <w:tc>
          <w:tcPr>
            <w:tcW w:w="6946" w:type="dxa"/>
          </w:tcPr>
          <w:p w14:paraId="2AD93E71" w14:textId="77777777" w:rsidR="00A052DC" w:rsidRDefault="009F0A60">
            <w:pPr>
              <w:rPr>
                <w:rFonts w:ascii="黑体" w:eastAsia="黑体" w:hAnsi="黑体"/>
                <w:sz w:val="20"/>
                <w:szCs w:val="20"/>
              </w:rPr>
            </w:pPr>
            <w:r>
              <w:rPr>
                <w:rFonts w:ascii="黑体" w:eastAsia="黑体" w:hAnsi="黑体" w:hint="eastAsia"/>
                <w:sz w:val="20"/>
                <w:szCs w:val="20"/>
              </w:rPr>
              <w:t>指统一社会信用代码法定载体（如营业执照）上统一社会信用代码中的第9至17位或国家外汇管理局及其分支局签发的特殊机构代码赋码通知书上的机构代码。</w:t>
            </w:r>
          </w:p>
        </w:tc>
      </w:tr>
      <w:tr w:rsidR="00A052DC" w14:paraId="44674AF5" w14:textId="77777777">
        <w:trPr>
          <w:cantSplit/>
        </w:trPr>
        <w:tc>
          <w:tcPr>
            <w:tcW w:w="1526" w:type="dxa"/>
          </w:tcPr>
          <w:p w14:paraId="25008C71" w14:textId="77777777" w:rsidR="00A052DC" w:rsidRDefault="009F0A60">
            <w:pPr>
              <w:rPr>
                <w:rFonts w:ascii="黑体" w:eastAsia="黑体" w:hAnsi="黑体"/>
                <w:sz w:val="20"/>
                <w:szCs w:val="20"/>
              </w:rPr>
            </w:pPr>
            <w:r>
              <w:rPr>
                <w:rFonts w:ascii="黑体" w:eastAsia="黑体" w:hAnsi="黑体" w:hint="eastAsia"/>
                <w:sz w:val="20"/>
                <w:szCs w:val="20"/>
              </w:rPr>
              <w:t>债务人中文名称</w:t>
            </w:r>
          </w:p>
        </w:tc>
        <w:tc>
          <w:tcPr>
            <w:tcW w:w="6946" w:type="dxa"/>
          </w:tcPr>
          <w:p w14:paraId="21188306" w14:textId="77777777" w:rsidR="00A052DC" w:rsidRDefault="009F0A60">
            <w:pPr>
              <w:rPr>
                <w:rFonts w:ascii="黑体" w:eastAsia="黑体" w:hAnsi="黑体"/>
                <w:sz w:val="20"/>
                <w:szCs w:val="20"/>
              </w:rPr>
            </w:pPr>
            <w:r>
              <w:rPr>
                <w:rFonts w:ascii="黑体" w:eastAsia="黑体" w:hAnsi="黑体" w:hint="eastAsia"/>
                <w:sz w:val="20"/>
                <w:szCs w:val="20"/>
              </w:rPr>
              <w:t>营业执照上的债务人中文名称。</w:t>
            </w:r>
          </w:p>
        </w:tc>
      </w:tr>
      <w:tr w:rsidR="00A052DC" w14:paraId="4A4E660D" w14:textId="77777777">
        <w:trPr>
          <w:cantSplit/>
        </w:trPr>
        <w:tc>
          <w:tcPr>
            <w:tcW w:w="1526" w:type="dxa"/>
          </w:tcPr>
          <w:p w14:paraId="49B3614F" w14:textId="77777777" w:rsidR="00A052DC" w:rsidRDefault="009F0A60">
            <w:pPr>
              <w:rPr>
                <w:rFonts w:ascii="黑体" w:eastAsia="黑体" w:hAnsi="黑体"/>
                <w:sz w:val="20"/>
                <w:szCs w:val="20"/>
              </w:rPr>
            </w:pPr>
            <w:r>
              <w:rPr>
                <w:rFonts w:ascii="黑体" w:eastAsia="黑体" w:hAnsi="黑体" w:hint="eastAsia"/>
                <w:sz w:val="20"/>
                <w:szCs w:val="20"/>
              </w:rPr>
              <w:t>债务人类型</w:t>
            </w:r>
          </w:p>
        </w:tc>
        <w:tc>
          <w:tcPr>
            <w:tcW w:w="6946" w:type="dxa"/>
          </w:tcPr>
          <w:p w14:paraId="01A8F868" w14:textId="77777777" w:rsidR="00A052DC" w:rsidRDefault="009F0A60">
            <w:pPr>
              <w:rPr>
                <w:rFonts w:ascii="黑体" w:eastAsia="黑体" w:hAnsi="黑体"/>
                <w:sz w:val="20"/>
                <w:szCs w:val="20"/>
              </w:rPr>
            </w:pPr>
            <w:r>
              <w:rPr>
                <w:rFonts w:ascii="黑体" w:eastAsia="黑体" w:hAnsi="黑体" w:hint="eastAsia"/>
                <w:sz w:val="20"/>
                <w:szCs w:val="20"/>
              </w:rPr>
              <w:t>债务人的主体类型，见境内主体类型代码表。</w:t>
            </w:r>
          </w:p>
        </w:tc>
      </w:tr>
      <w:tr w:rsidR="00A052DC" w14:paraId="1BE28B15" w14:textId="77777777">
        <w:trPr>
          <w:cantSplit/>
        </w:trPr>
        <w:tc>
          <w:tcPr>
            <w:tcW w:w="1526" w:type="dxa"/>
          </w:tcPr>
          <w:p w14:paraId="3CADEA60" w14:textId="77777777" w:rsidR="00A052DC" w:rsidRDefault="009F0A60">
            <w:pPr>
              <w:rPr>
                <w:rFonts w:ascii="黑体" w:eastAsia="黑体" w:hAnsi="黑体"/>
                <w:sz w:val="20"/>
                <w:szCs w:val="20"/>
              </w:rPr>
            </w:pPr>
            <w:r>
              <w:rPr>
                <w:rFonts w:ascii="黑体" w:eastAsia="黑体" w:hAnsi="黑体" w:hint="eastAsia"/>
                <w:sz w:val="20"/>
                <w:szCs w:val="20"/>
              </w:rPr>
              <w:t>贷款币种</w:t>
            </w:r>
          </w:p>
        </w:tc>
        <w:tc>
          <w:tcPr>
            <w:tcW w:w="6946" w:type="dxa"/>
          </w:tcPr>
          <w:p w14:paraId="77052828" w14:textId="77777777" w:rsidR="00A052DC" w:rsidRDefault="009F0A60">
            <w:pPr>
              <w:rPr>
                <w:rFonts w:ascii="黑体" w:eastAsia="黑体" w:hAnsi="黑体"/>
                <w:sz w:val="20"/>
                <w:szCs w:val="20"/>
              </w:rPr>
            </w:pPr>
            <w:r>
              <w:rPr>
                <w:rFonts w:ascii="黑体" w:eastAsia="黑体" w:hAnsi="黑体" w:hint="eastAsia"/>
                <w:sz w:val="20"/>
                <w:szCs w:val="20"/>
              </w:rPr>
              <w:t>外保内贷的签约币种。</w:t>
            </w:r>
          </w:p>
        </w:tc>
      </w:tr>
      <w:tr w:rsidR="00A052DC" w14:paraId="656152EC" w14:textId="77777777">
        <w:trPr>
          <w:cantSplit/>
        </w:trPr>
        <w:tc>
          <w:tcPr>
            <w:tcW w:w="1526" w:type="dxa"/>
          </w:tcPr>
          <w:p w14:paraId="5CFE648B" w14:textId="77777777" w:rsidR="00A052DC" w:rsidRDefault="009F0A60">
            <w:pPr>
              <w:rPr>
                <w:rFonts w:ascii="黑体" w:eastAsia="黑体" w:hAnsi="黑体"/>
                <w:sz w:val="20"/>
                <w:szCs w:val="20"/>
              </w:rPr>
            </w:pPr>
            <w:r>
              <w:rPr>
                <w:rFonts w:ascii="黑体" w:eastAsia="黑体" w:hAnsi="黑体" w:hint="eastAsia"/>
                <w:sz w:val="20"/>
                <w:szCs w:val="20"/>
              </w:rPr>
              <w:t>贷款签约金额</w:t>
            </w:r>
          </w:p>
        </w:tc>
        <w:tc>
          <w:tcPr>
            <w:tcW w:w="6946" w:type="dxa"/>
          </w:tcPr>
          <w:p w14:paraId="26640004" w14:textId="77777777" w:rsidR="00A052DC" w:rsidRDefault="009F0A60">
            <w:pPr>
              <w:rPr>
                <w:rFonts w:ascii="黑体" w:eastAsia="黑体" w:hAnsi="黑体"/>
                <w:sz w:val="20"/>
                <w:szCs w:val="20"/>
              </w:rPr>
            </w:pPr>
            <w:r>
              <w:rPr>
                <w:rFonts w:ascii="黑体" w:eastAsia="黑体" w:hAnsi="黑体" w:hint="eastAsia"/>
                <w:sz w:val="20"/>
                <w:szCs w:val="20"/>
              </w:rPr>
              <w:t>外保内贷的签约金额。</w:t>
            </w:r>
          </w:p>
        </w:tc>
      </w:tr>
      <w:tr w:rsidR="00A052DC" w14:paraId="6D30BC78" w14:textId="77777777">
        <w:trPr>
          <w:cantSplit/>
        </w:trPr>
        <w:tc>
          <w:tcPr>
            <w:tcW w:w="1526" w:type="dxa"/>
          </w:tcPr>
          <w:p w14:paraId="61B70DC9" w14:textId="77777777" w:rsidR="00A052DC" w:rsidRDefault="009F0A60">
            <w:pPr>
              <w:rPr>
                <w:rFonts w:ascii="黑体" w:eastAsia="黑体" w:hAnsi="黑体"/>
                <w:sz w:val="20"/>
                <w:szCs w:val="20"/>
              </w:rPr>
            </w:pPr>
            <w:r>
              <w:rPr>
                <w:rFonts w:ascii="黑体" w:eastAsia="黑体" w:hAnsi="黑体" w:hint="eastAsia"/>
                <w:sz w:val="20"/>
                <w:szCs w:val="20"/>
              </w:rPr>
              <w:t>起息日</w:t>
            </w:r>
          </w:p>
        </w:tc>
        <w:tc>
          <w:tcPr>
            <w:tcW w:w="6946" w:type="dxa"/>
          </w:tcPr>
          <w:p w14:paraId="4698C0FE" w14:textId="77777777" w:rsidR="00A052DC" w:rsidRDefault="009F0A60">
            <w:pPr>
              <w:rPr>
                <w:rFonts w:ascii="黑体" w:eastAsia="黑体" w:hAnsi="黑体"/>
                <w:sz w:val="20"/>
                <w:szCs w:val="20"/>
              </w:rPr>
            </w:pPr>
            <w:r>
              <w:rPr>
                <w:rFonts w:ascii="黑体" w:eastAsia="黑体" w:hAnsi="黑体" w:hint="eastAsia"/>
                <w:sz w:val="20"/>
                <w:szCs w:val="20"/>
              </w:rPr>
              <w:t>外保内贷的起息日。</w:t>
            </w:r>
          </w:p>
        </w:tc>
      </w:tr>
      <w:tr w:rsidR="00A052DC" w14:paraId="36F9D7B8" w14:textId="77777777">
        <w:trPr>
          <w:cantSplit/>
        </w:trPr>
        <w:tc>
          <w:tcPr>
            <w:tcW w:w="1526" w:type="dxa"/>
          </w:tcPr>
          <w:p w14:paraId="01BB2C87" w14:textId="77777777" w:rsidR="00A052DC" w:rsidRDefault="009F0A60">
            <w:pPr>
              <w:rPr>
                <w:rFonts w:ascii="黑体" w:eastAsia="黑体" w:hAnsi="黑体"/>
                <w:sz w:val="20"/>
                <w:szCs w:val="20"/>
              </w:rPr>
            </w:pPr>
            <w:r>
              <w:rPr>
                <w:rFonts w:ascii="黑体" w:eastAsia="黑体" w:hAnsi="黑体" w:hint="eastAsia"/>
                <w:sz w:val="20"/>
                <w:szCs w:val="20"/>
              </w:rPr>
              <w:t>到期日</w:t>
            </w:r>
          </w:p>
        </w:tc>
        <w:tc>
          <w:tcPr>
            <w:tcW w:w="6946" w:type="dxa"/>
            <w:vAlign w:val="center"/>
          </w:tcPr>
          <w:p w14:paraId="04A7DDEF" w14:textId="77777777" w:rsidR="00A052DC" w:rsidRDefault="009F0A60">
            <w:pPr>
              <w:rPr>
                <w:rFonts w:ascii="黑体" w:eastAsia="黑体" w:hAnsi="黑体"/>
                <w:sz w:val="20"/>
                <w:szCs w:val="20"/>
              </w:rPr>
            </w:pPr>
            <w:r>
              <w:rPr>
                <w:rFonts w:ascii="黑体" w:eastAsia="黑体" w:hAnsi="黑体" w:hint="eastAsia"/>
                <w:sz w:val="20"/>
                <w:szCs w:val="20"/>
              </w:rPr>
              <w:t>外保内贷到期日期。</w:t>
            </w:r>
          </w:p>
        </w:tc>
      </w:tr>
      <w:tr w:rsidR="00A052DC" w14:paraId="5F000D88" w14:textId="77777777">
        <w:trPr>
          <w:cantSplit/>
        </w:trPr>
        <w:tc>
          <w:tcPr>
            <w:tcW w:w="1526" w:type="dxa"/>
          </w:tcPr>
          <w:p w14:paraId="29D579AA" w14:textId="77777777" w:rsidR="00A052DC" w:rsidRDefault="009F0A60">
            <w:pPr>
              <w:rPr>
                <w:rFonts w:ascii="黑体" w:eastAsia="黑体" w:hAnsi="黑体"/>
                <w:sz w:val="20"/>
                <w:szCs w:val="20"/>
              </w:rPr>
            </w:pPr>
            <w:r>
              <w:rPr>
                <w:rFonts w:ascii="黑体" w:eastAsia="黑体" w:hAnsi="黑体" w:hint="eastAsia"/>
                <w:sz w:val="20"/>
                <w:szCs w:val="20"/>
              </w:rPr>
              <w:t>国内外汇贷款编号</w:t>
            </w:r>
          </w:p>
        </w:tc>
        <w:tc>
          <w:tcPr>
            <w:tcW w:w="6946" w:type="dxa"/>
          </w:tcPr>
          <w:p w14:paraId="7DA9326A" w14:textId="77777777" w:rsidR="00A052DC" w:rsidRDefault="009F0A60">
            <w:pPr>
              <w:rPr>
                <w:rFonts w:ascii="黑体" w:eastAsia="黑体" w:hAnsi="黑体"/>
                <w:sz w:val="20"/>
                <w:szCs w:val="20"/>
              </w:rPr>
            </w:pPr>
            <w:r>
              <w:rPr>
                <w:rFonts w:ascii="黑体" w:eastAsia="黑体" w:hAnsi="黑体" w:hint="eastAsia"/>
                <w:sz w:val="20"/>
                <w:szCs w:val="20"/>
              </w:rPr>
              <w:t>外保内贷项下贷款币种不是人民币时，须填写该笔外汇贷款对应的国内外汇贷款编号。</w:t>
            </w:r>
          </w:p>
        </w:tc>
      </w:tr>
      <w:tr w:rsidR="00A052DC" w14:paraId="3DF1F12B" w14:textId="77777777">
        <w:trPr>
          <w:cantSplit/>
        </w:trPr>
        <w:tc>
          <w:tcPr>
            <w:tcW w:w="1526" w:type="dxa"/>
          </w:tcPr>
          <w:p w14:paraId="20141285" w14:textId="77777777" w:rsidR="00A052DC" w:rsidRDefault="009F0A60">
            <w:pPr>
              <w:rPr>
                <w:rFonts w:ascii="黑体" w:eastAsia="黑体" w:hAnsi="黑体"/>
                <w:sz w:val="20"/>
                <w:szCs w:val="20"/>
              </w:rPr>
            </w:pPr>
            <w:r>
              <w:rPr>
                <w:rFonts w:ascii="黑体" w:eastAsia="黑体" w:hAnsi="黑体" w:hint="eastAsia"/>
                <w:sz w:val="20"/>
                <w:szCs w:val="20"/>
              </w:rPr>
              <w:t>境外担保人代码</w:t>
            </w:r>
          </w:p>
        </w:tc>
        <w:tc>
          <w:tcPr>
            <w:tcW w:w="6946" w:type="dxa"/>
          </w:tcPr>
          <w:p w14:paraId="3D173250" w14:textId="77777777" w:rsidR="00A052DC" w:rsidRDefault="009F0A60">
            <w:pPr>
              <w:rPr>
                <w:rFonts w:ascii="黑体" w:eastAsia="黑体" w:hAnsi="黑体"/>
                <w:sz w:val="20"/>
                <w:szCs w:val="20"/>
              </w:rPr>
            </w:pPr>
            <w:r>
              <w:rPr>
                <w:rFonts w:ascii="黑体" w:eastAsia="黑体" w:hAnsi="黑体" w:hint="eastAsia"/>
                <w:sz w:val="20"/>
                <w:szCs w:val="20"/>
              </w:rPr>
              <w:t>如果境外担保人为境外金融机构，应填写8位或11位的SWIFTCODE；如果境外担保人为领取了国家外汇管理局及其分支局签发的特殊机构代码赋码通知书的其他非居民机构，应填写该通知书上的特殊机构代码；如果境外担保人为非居民个人，应填写非居民个人身份证件号码。如果上述条件均不符合，则可为空。</w:t>
            </w:r>
          </w:p>
        </w:tc>
      </w:tr>
      <w:tr w:rsidR="00A052DC" w14:paraId="7A66ED87" w14:textId="77777777">
        <w:trPr>
          <w:cantSplit/>
        </w:trPr>
        <w:tc>
          <w:tcPr>
            <w:tcW w:w="1526" w:type="dxa"/>
          </w:tcPr>
          <w:p w14:paraId="05BDCAC1" w14:textId="77777777" w:rsidR="00A052DC" w:rsidRDefault="009F0A60">
            <w:pPr>
              <w:rPr>
                <w:rFonts w:ascii="黑体" w:eastAsia="黑体" w:hAnsi="黑体"/>
                <w:sz w:val="20"/>
                <w:szCs w:val="20"/>
              </w:rPr>
            </w:pPr>
            <w:r>
              <w:rPr>
                <w:rFonts w:ascii="黑体" w:eastAsia="黑体" w:hAnsi="黑体" w:hint="eastAsia"/>
                <w:sz w:val="20"/>
                <w:szCs w:val="20"/>
              </w:rPr>
              <w:t>境外担保人中文名称</w:t>
            </w:r>
          </w:p>
        </w:tc>
        <w:tc>
          <w:tcPr>
            <w:tcW w:w="6946" w:type="dxa"/>
          </w:tcPr>
          <w:p w14:paraId="5D17F034" w14:textId="77777777" w:rsidR="00A052DC" w:rsidRDefault="009F0A60">
            <w:pPr>
              <w:rPr>
                <w:rFonts w:ascii="黑体" w:eastAsia="黑体" w:hAnsi="黑体"/>
                <w:sz w:val="20"/>
                <w:szCs w:val="20"/>
              </w:rPr>
            </w:pPr>
            <w:r>
              <w:rPr>
                <w:rFonts w:ascii="黑体" w:eastAsia="黑体" w:hAnsi="黑体" w:hint="eastAsia"/>
                <w:sz w:val="20"/>
                <w:szCs w:val="20"/>
              </w:rPr>
              <w:t>境外担保人中文名称。</w:t>
            </w:r>
          </w:p>
        </w:tc>
      </w:tr>
      <w:tr w:rsidR="00A052DC" w14:paraId="6E310E3D" w14:textId="77777777">
        <w:trPr>
          <w:cantSplit/>
        </w:trPr>
        <w:tc>
          <w:tcPr>
            <w:tcW w:w="1526" w:type="dxa"/>
          </w:tcPr>
          <w:p w14:paraId="59B350CC" w14:textId="77777777" w:rsidR="00A052DC" w:rsidRDefault="009F0A60">
            <w:pPr>
              <w:rPr>
                <w:rFonts w:ascii="黑体" w:eastAsia="黑体" w:hAnsi="黑体"/>
                <w:sz w:val="20"/>
                <w:szCs w:val="20"/>
              </w:rPr>
            </w:pPr>
            <w:r>
              <w:rPr>
                <w:rFonts w:ascii="黑体" w:eastAsia="黑体" w:hAnsi="黑体" w:hint="eastAsia"/>
                <w:sz w:val="20"/>
                <w:szCs w:val="20"/>
              </w:rPr>
              <w:t>境外担保人英文名称</w:t>
            </w:r>
          </w:p>
        </w:tc>
        <w:tc>
          <w:tcPr>
            <w:tcW w:w="6946" w:type="dxa"/>
          </w:tcPr>
          <w:p w14:paraId="4F2F8C95" w14:textId="77777777" w:rsidR="00A052DC" w:rsidRDefault="009F0A60">
            <w:pPr>
              <w:rPr>
                <w:rFonts w:ascii="黑体" w:eastAsia="黑体" w:hAnsi="黑体"/>
                <w:sz w:val="20"/>
                <w:szCs w:val="20"/>
              </w:rPr>
            </w:pPr>
            <w:r>
              <w:rPr>
                <w:rFonts w:ascii="黑体" w:eastAsia="黑体" w:hAnsi="黑体" w:hint="eastAsia"/>
                <w:sz w:val="20"/>
                <w:szCs w:val="20"/>
              </w:rPr>
              <w:t>境外担保人英文名称（中英文名称至少填写一个）。</w:t>
            </w:r>
          </w:p>
        </w:tc>
      </w:tr>
      <w:tr w:rsidR="00A052DC" w14:paraId="6054E8F2" w14:textId="77777777">
        <w:trPr>
          <w:cantSplit/>
        </w:trPr>
        <w:tc>
          <w:tcPr>
            <w:tcW w:w="1526" w:type="dxa"/>
          </w:tcPr>
          <w:p w14:paraId="6AFC1964" w14:textId="77777777" w:rsidR="00A052DC" w:rsidRDefault="009F0A60">
            <w:pPr>
              <w:rPr>
                <w:rFonts w:ascii="黑体" w:eastAsia="黑体" w:hAnsi="黑体"/>
                <w:sz w:val="20"/>
                <w:szCs w:val="20"/>
              </w:rPr>
            </w:pPr>
            <w:r>
              <w:rPr>
                <w:rFonts w:ascii="黑体" w:eastAsia="黑体" w:hAnsi="黑体" w:hint="eastAsia"/>
                <w:sz w:val="20"/>
                <w:szCs w:val="20"/>
              </w:rPr>
              <w:t>境外担保人注册地国家/地区代码</w:t>
            </w:r>
          </w:p>
        </w:tc>
        <w:tc>
          <w:tcPr>
            <w:tcW w:w="6946" w:type="dxa"/>
          </w:tcPr>
          <w:p w14:paraId="64670C6F" w14:textId="77777777" w:rsidR="00A052DC" w:rsidRDefault="009F0A60">
            <w:pPr>
              <w:rPr>
                <w:rFonts w:ascii="黑体" w:eastAsia="黑体" w:hAnsi="黑体"/>
                <w:sz w:val="20"/>
                <w:szCs w:val="20"/>
              </w:rPr>
            </w:pPr>
            <w:r>
              <w:rPr>
                <w:rFonts w:ascii="黑体" w:eastAsia="黑体" w:hAnsi="黑体" w:hint="eastAsia"/>
                <w:sz w:val="20"/>
                <w:szCs w:val="20"/>
              </w:rPr>
              <w:t>境外担保人注册地国家/地区代码，见国别和地区代码表。</w:t>
            </w:r>
          </w:p>
        </w:tc>
      </w:tr>
      <w:tr w:rsidR="00A052DC" w14:paraId="061A71D8" w14:textId="77777777">
        <w:trPr>
          <w:cantSplit/>
        </w:trPr>
        <w:tc>
          <w:tcPr>
            <w:tcW w:w="1526" w:type="dxa"/>
          </w:tcPr>
          <w:p w14:paraId="347977F6" w14:textId="77777777" w:rsidR="00A052DC" w:rsidRDefault="009F0A60">
            <w:pPr>
              <w:rPr>
                <w:rFonts w:ascii="黑体" w:eastAsia="黑体" w:hAnsi="黑体"/>
                <w:sz w:val="20"/>
                <w:szCs w:val="20"/>
              </w:rPr>
            </w:pPr>
            <w:r>
              <w:rPr>
                <w:rFonts w:ascii="黑体" w:eastAsia="黑体" w:hAnsi="黑体" w:hint="eastAsia"/>
                <w:sz w:val="20"/>
                <w:szCs w:val="20"/>
              </w:rPr>
              <w:t>担保标的</w:t>
            </w:r>
          </w:p>
        </w:tc>
        <w:tc>
          <w:tcPr>
            <w:tcW w:w="6946" w:type="dxa"/>
          </w:tcPr>
          <w:p w14:paraId="32FBEF5C" w14:textId="77777777" w:rsidR="00A052DC" w:rsidRDefault="009F0A60">
            <w:pPr>
              <w:rPr>
                <w:rFonts w:ascii="黑体" w:eastAsia="黑体" w:hAnsi="黑体"/>
                <w:sz w:val="20"/>
                <w:szCs w:val="20"/>
              </w:rPr>
            </w:pPr>
            <w:r>
              <w:rPr>
                <w:rFonts w:ascii="黑体" w:eastAsia="黑体" w:hAnsi="黑体" w:hint="eastAsia"/>
                <w:sz w:val="20"/>
                <w:szCs w:val="20"/>
              </w:rPr>
              <w:t>见担保标的代码表。</w:t>
            </w:r>
          </w:p>
        </w:tc>
      </w:tr>
      <w:tr w:rsidR="00A052DC" w14:paraId="7BB866F1" w14:textId="77777777">
        <w:trPr>
          <w:cantSplit/>
        </w:trPr>
        <w:tc>
          <w:tcPr>
            <w:tcW w:w="1526" w:type="dxa"/>
          </w:tcPr>
          <w:p w14:paraId="3F8E21A4" w14:textId="77777777" w:rsidR="00A052DC" w:rsidRDefault="009F0A60">
            <w:pPr>
              <w:rPr>
                <w:rFonts w:ascii="黑体" w:eastAsia="黑体" w:hAnsi="黑体"/>
                <w:sz w:val="20"/>
                <w:szCs w:val="20"/>
              </w:rPr>
            </w:pPr>
            <w:r>
              <w:rPr>
                <w:rFonts w:ascii="黑体" w:eastAsia="黑体" w:hAnsi="黑体" w:hint="eastAsia"/>
                <w:sz w:val="20"/>
                <w:szCs w:val="20"/>
              </w:rPr>
              <w:t>担保方式</w:t>
            </w:r>
          </w:p>
        </w:tc>
        <w:tc>
          <w:tcPr>
            <w:tcW w:w="6946" w:type="dxa"/>
          </w:tcPr>
          <w:p w14:paraId="4AAD76EE" w14:textId="77777777" w:rsidR="00A052DC" w:rsidRDefault="009F0A60">
            <w:pPr>
              <w:rPr>
                <w:rFonts w:ascii="黑体" w:eastAsia="黑体" w:hAnsi="黑体"/>
                <w:sz w:val="20"/>
                <w:szCs w:val="20"/>
              </w:rPr>
            </w:pPr>
            <w:r>
              <w:rPr>
                <w:rFonts w:ascii="黑体" w:eastAsia="黑体" w:hAnsi="黑体" w:hint="eastAsia"/>
                <w:sz w:val="20"/>
                <w:szCs w:val="20"/>
              </w:rPr>
              <w:t>见担保方式代码表。</w:t>
            </w:r>
          </w:p>
        </w:tc>
      </w:tr>
      <w:tr w:rsidR="00A052DC" w14:paraId="3B85BBC0" w14:textId="77777777">
        <w:trPr>
          <w:cantSplit/>
        </w:trPr>
        <w:tc>
          <w:tcPr>
            <w:tcW w:w="1526" w:type="dxa"/>
            <w:tcBorders>
              <w:top w:val="single" w:sz="6" w:space="0" w:color="auto"/>
              <w:left w:val="single" w:sz="6" w:space="0" w:color="auto"/>
              <w:bottom w:val="single" w:sz="6" w:space="0" w:color="auto"/>
              <w:right w:val="single" w:sz="6" w:space="0" w:color="auto"/>
            </w:tcBorders>
          </w:tcPr>
          <w:p w14:paraId="6C522DA0" w14:textId="77777777" w:rsidR="00A052DC" w:rsidRDefault="009F0A60">
            <w:pPr>
              <w:rPr>
                <w:rFonts w:ascii="黑体" w:eastAsia="黑体" w:hAnsi="黑体"/>
                <w:sz w:val="20"/>
                <w:szCs w:val="20"/>
              </w:rPr>
            </w:pPr>
            <w:r>
              <w:rPr>
                <w:rFonts w:ascii="黑体" w:eastAsia="黑体" w:hAnsi="黑体" w:hint="eastAsia"/>
                <w:sz w:val="20"/>
                <w:szCs w:val="20"/>
              </w:rPr>
              <w:t>备注</w:t>
            </w:r>
          </w:p>
        </w:tc>
        <w:tc>
          <w:tcPr>
            <w:tcW w:w="6946" w:type="dxa"/>
            <w:tcBorders>
              <w:top w:val="single" w:sz="6" w:space="0" w:color="auto"/>
              <w:left w:val="single" w:sz="6" w:space="0" w:color="auto"/>
              <w:bottom w:val="single" w:sz="6" w:space="0" w:color="auto"/>
              <w:right w:val="single" w:sz="6" w:space="0" w:color="auto"/>
            </w:tcBorders>
          </w:tcPr>
          <w:p w14:paraId="27AD398E" w14:textId="77777777" w:rsidR="00A052DC" w:rsidRDefault="009F0A60">
            <w:pPr>
              <w:rPr>
                <w:rFonts w:ascii="黑体" w:eastAsia="黑体" w:hAnsi="黑体"/>
                <w:sz w:val="20"/>
                <w:szCs w:val="20"/>
              </w:rPr>
            </w:pPr>
            <w:r>
              <w:rPr>
                <w:rFonts w:ascii="黑体" w:eastAsia="黑体" w:hAnsi="黑体" w:hint="eastAsia"/>
                <w:sz w:val="20"/>
                <w:szCs w:val="20"/>
              </w:rPr>
              <w:t>需要说明的备注事项。</w:t>
            </w:r>
          </w:p>
        </w:tc>
      </w:tr>
    </w:tbl>
    <w:p w14:paraId="14809350" w14:textId="77777777" w:rsidR="00A052DC" w:rsidRDefault="00A052DC"/>
    <w:p w14:paraId="23A02062" w14:textId="77777777" w:rsidR="00A052DC" w:rsidRDefault="009F0A60" w:rsidP="0020251D">
      <w:pPr>
        <w:pStyle w:val="5"/>
        <w:numPr>
          <w:ilvl w:val="4"/>
          <w:numId w:val="1"/>
        </w:numPr>
        <w:spacing w:before="120" w:after="120" w:line="360" w:lineRule="auto"/>
        <w:jc w:val="left"/>
      </w:pPr>
      <w:bookmarkStart w:id="1676" w:name="_Toc454386972"/>
      <w:bookmarkStart w:id="1677" w:name="_Toc328635530"/>
      <w:r>
        <w:rPr>
          <w:rFonts w:hint="eastAsia"/>
        </w:rPr>
        <w:t>数据格式</w:t>
      </w:r>
      <w:bookmarkEnd w:id="1676"/>
      <w:bookmarkEnd w:id="1677"/>
    </w:p>
    <w:p w14:paraId="51070B8B" w14:textId="77777777" w:rsidR="00A052DC" w:rsidRDefault="009F0A60">
      <w:r>
        <w:t>&lt;REC&gt;</w:t>
      </w:r>
    </w:p>
    <w:p w14:paraId="1652B954" w14:textId="77777777" w:rsidR="00A052DC" w:rsidRDefault="009F0A60">
      <w:r>
        <w:t>&lt;ACTIONTYPE&gt;</w:t>
      </w:r>
      <w:r>
        <w:rPr>
          <w:rFonts w:hint="eastAsia"/>
        </w:rPr>
        <w:t>操作类型</w:t>
      </w:r>
      <w:r>
        <w:t>&lt;/ACTIONTYPE&gt;</w:t>
      </w:r>
    </w:p>
    <w:p w14:paraId="7E9C7938" w14:textId="77777777" w:rsidR="00A052DC" w:rsidRDefault="009F0A60">
      <w:r>
        <w:t>&lt;ACTIONDESC&gt;</w:t>
      </w:r>
      <w:r>
        <w:rPr>
          <w:rFonts w:hint="eastAsia"/>
        </w:rPr>
        <w:t>删除原因</w:t>
      </w:r>
      <w:r>
        <w:t>&lt;/ACTIONDESC&gt;</w:t>
      </w:r>
    </w:p>
    <w:p w14:paraId="53E351E7" w14:textId="77777777" w:rsidR="00A052DC" w:rsidRDefault="009F0A60">
      <w:r>
        <w:t>&lt;LOUNEXGUCODE&gt;</w:t>
      </w:r>
      <w:r>
        <w:rPr>
          <w:rFonts w:hint="eastAsia"/>
        </w:rPr>
        <w:t>外保内贷编号</w:t>
      </w:r>
      <w:r>
        <w:t>&lt;/LOUNEXGUCODE&gt;</w:t>
      </w:r>
    </w:p>
    <w:p w14:paraId="52C9EECC" w14:textId="77777777" w:rsidR="00A052DC" w:rsidRDefault="009F0A60">
      <w:r>
        <w:t>&lt;CREDITORCODE&gt;</w:t>
      </w:r>
      <w:r>
        <w:rPr>
          <w:rFonts w:hint="eastAsia"/>
        </w:rPr>
        <w:t>债权人代码</w:t>
      </w:r>
      <w:r>
        <w:t>&lt;/CREDITORCODE&gt;</w:t>
      </w:r>
    </w:p>
    <w:p w14:paraId="27DAE6D2" w14:textId="77777777" w:rsidR="00A052DC" w:rsidRDefault="009F0A60">
      <w:r>
        <w:t>&lt;DEBTORCODE&gt;</w:t>
      </w:r>
      <w:r>
        <w:rPr>
          <w:rFonts w:hint="eastAsia"/>
        </w:rPr>
        <w:t>债务人代码</w:t>
      </w:r>
      <w:r>
        <w:t>&lt;/DEBTORCODE&gt;</w:t>
      </w:r>
    </w:p>
    <w:p w14:paraId="13D5D08C" w14:textId="77777777" w:rsidR="00A052DC" w:rsidRDefault="009F0A60">
      <w:r>
        <w:t>&lt;DEBTORNAME&gt;</w:t>
      </w:r>
      <w:r>
        <w:rPr>
          <w:rFonts w:hint="eastAsia"/>
        </w:rPr>
        <w:t>债务人中文名称</w:t>
      </w:r>
      <w:r>
        <w:t>&lt;/DEBTORNAME&gt;</w:t>
      </w:r>
    </w:p>
    <w:p w14:paraId="0CAE3E90" w14:textId="77777777" w:rsidR="00A052DC" w:rsidRDefault="009F0A60">
      <w:r>
        <w:t>&lt;DEBTORTYPE&gt;</w:t>
      </w:r>
      <w:r>
        <w:rPr>
          <w:rFonts w:hint="eastAsia"/>
        </w:rPr>
        <w:t>债务人类型</w:t>
      </w:r>
      <w:r>
        <w:t>&lt;/DEBTORTYPE&gt;</w:t>
      </w:r>
    </w:p>
    <w:p w14:paraId="13A2DA87" w14:textId="77777777" w:rsidR="00A052DC" w:rsidRDefault="009F0A60">
      <w:r>
        <w:t>&lt;CREDCURRCODE&gt;</w:t>
      </w:r>
      <w:r>
        <w:rPr>
          <w:rFonts w:hint="eastAsia"/>
        </w:rPr>
        <w:t>贷款币种</w:t>
      </w:r>
      <w:r>
        <w:t>&lt;/CREDCURRCODE&gt;</w:t>
      </w:r>
    </w:p>
    <w:p w14:paraId="69A63A11" w14:textId="77777777" w:rsidR="00A052DC" w:rsidRDefault="009F0A60">
      <w:r>
        <w:t>&lt;CREDCONAMOUNT&gt;</w:t>
      </w:r>
      <w:r>
        <w:rPr>
          <w:rFonts w:hint="eastAsia"/>
        </w:rPr>
        <w:t>贷款签约金额</w:t>
      </w:r>
      <w:r>
        <w:t>&lt;/CREDCONAMOUNT&gt;</w:t>
      </w:r>
    </w:p>
    <w:p w14:paraId="290E93E4" w14:textId="77777777" w:rsidR="00A052DC" w:rsidRDefault="009F0A60">
      <w:r>
        <w:t>&lt;VALUEDATE&gt;</w:t>
      </w:r>
      <w:r>
        <w:rPr>
          <w:rFonts w:hint="eastAsia"/>
        </w:rPr>
        <w:t>起息日</w:t>
      </w:r>
      <w:r>
        <w:t>&lt;/VALUEDATE&gt;</w:t>
      </w:r>
    </w:p>
    <w:p w14:paraId="2F4C5304" w14:textId="77777777" w:rsidR="00A052DC" w:rsidRDefault="009F0A60">
      <w:r>
        <w:t>&lt;MATURITY&gt;</w:t>
      </w:r>
      <w:r>
        <w:rPr>
          <w:rFonts w:hint="eastAsia"/>
        </w:rPr>
        <w:t>到期日</w:t>
      </w:r>
      <w:r>
        <w:t>&lt;/MATURITY&gt;</w:t>
      </w:r>
    </w:p>
    <w:p w14:paraId="1E199B58" w14:textId="77777777" w:rsidR="00A052DC" w:rsidRDefault="009F0A60">
      <w:r>
        <w:t>&lt;DOFOEXLOCODE&gt;</w:t>
      </w:r>
      <w:r>
        <w:rPr>
          <w:rFonts w:hint="eastAsia"/>
        </w:rPr>
        <w:t>国内外汇贷款编号</w:t>
      </w:r>
      <w:r>
        <w:t>&lt;/DOFOEXLOCODE&gt;</w:t>
      </w:r>
    </w:p>
    <w:p w14:paraId="57693F1B" w14:textId="77777777" w:rsidR="00A052DC" w:rsidRDefault="009F0A60">
      <w:r>
        <w:t>&lt;FOGUCODEINFOS&gt;</w:t>
      </w:r>
    </w:p>
    <w:p w14:paraId="7BA6DB3A" w14:textId="77777777" w:rsidR="00A052DC" w:rsidRDefault="009F0A60">
      <w:r>
        <w:t>&lt;FOGUCODEINFO&gt;</w:t>
      </w:r>
    </w:p>
    <w:p w14:paraId="4B3539E7" w14:textId="77777777" w:rsidR="00A052DC" w:rsidRDefault="009F0A60">
      <w:r>
        <w:t>&lt;FOGUCODE&gt;</w:t>
      </w:r>
      <w:r>
        <w:rPr>
          <w:rFonts w:hint="eastAsia"/>
        </w:rPr>
        <w:t>境外担保人代码</w:t>
      </w:r>
      <w:r>
        <w:t>&lt;/FOGUCODE&gt;</w:t>
      </w:r>
    </w:p>
    <w:p w14:paraId="53FB3A3E" w14:textId="77777777" w:rsidR="00A052DC" w:rsidRDefault="009F0A60">
      <w:r>
        <w:t>&lt;FOGUNAME&gt;</w:t>
      </w:r>
      <w:r>
        <w:rPr>
          <w:rFonts w:hint="eastAsia"/>
        </w:rPr>
        <w:t>境外担保人中文名称</w:t>
      </w:r>
      <w:r>
        <w:t>&lt;/FOGUNAME&gt;</w:t>
      </w:r>
    </w:p>
    <w:p w14:paraId="67F648DE" w14:textId="77777777" w:rsidR="00A052DC" w:rsidRDefault="009F0A60">
      <w:r>
        <w:t>&lt;FOGUNAMEN&gt;</w:t>
      </w:r>
      <w:r>
        <w:rPr>
          <w:rFonts w:hint="eastAsia"/>
        </w:rPr>
        <w:t>境外担保人英文名称</w:t>
      </w:r>
      <w:r>
        <w:t>&lt;/FOGUNAMEN&gt;</w:t>
      </w:r>
    </w:p>
    <w:p w14:paraId="6E565F83" w14:textId="77777777" w:rsidR="00A052DC" w:rsidRDefault="009F0A60">
      <w:r>
        <w:t>&lt;FOGURECODE&gt;</w:t>
      </w:r>
      <w:r>
        <w:rPr>
          <w:rFonts w:hint="eastAsia"/>
        </w:rPr>
        <w:t>境外担保人注册地国家</w:t>
      </w:r>
      <w:r>
        <w:t>/</w:t>
      </w:r>
      <w:r>
        <w:rPr>
          <w:rFonts w:hint="eastAsia"/>
        </w:rPr>
        <w:t>地区代码</w:t>
      </w:r>
      <w:r>
        <w:t>&lt;/FOGURECODE&gt;</w:t>
      </w:r>
    </w:p>
    <w:p w14:paraId="029B0FE4" w14:textId="77777777" w:rsidR="00A052DC" w:rsidRDefault="009F0A60">
      <w:r>
        <w:t>&lt;GUARANTEETYPE&gt;</w:t>
      </w:r>
      <w:r>
        <w:rPr>
          <w:rFonts w:hint="eastAsia"/>
        </w:rPr>
        <w:t>担保方式</w:t>
      </w:r>
      <w:r>
        <w:t>&lt;/GUARANTEETYPE&gt;</w:t>
      </w:r>
    </w:p>
    <w:p w14:paraId="11BD5581" w14:textId="77777777" w:rsidR="00A052DC" w:rsidRDefault="009F0A60">
      <w:r>
        <w:rPr>
          <w:rFonts w:hint="eastAsia"/>
        </w:rPr>
        <w:t>&lt;</w:t>
      </w:r>
      <w:r>
        <w:t>GUARANTEE</w:t>
      </w:r>
      <w:r>
        <w:rPr>
          <w:rFonts w:hint="eastAsia"/>
        </w:rPr>
        <w:t>OBJECT&gt;</w:t>
      </w:r>
      <w:r>
        <w:rPr>
          <w:rFonts w:hint="eastAsia"/>
        </w:rPr>
        <w:t>担保标的</w:t>
      </w:r>
      <w:r>
        <w:rPr>
          <w:rFonts w:hint="eastAsia"/>
        </w:rPr>
        <w:t>&lt;/</w:t>
      </w:r>
      <w:r>
        <w:t>GUARANTEE</w:t>
      </w:r>
      <w:r>
        <w:rPr>
          <w:rFonts w:hint="eastAsia"/>
        </w:rPr>
        <w:t>OBJECT&gt;</w:t>
      </w:r>
    </w:p>
    <w:p w14:paraId="2785E7C5" w14:textId="77777777" w:rsidR="00A052DC" w:rsidRDefault="009F0A60">
      <w:r>
        <w:t>&lt;/FOGUCODEINFO&gt;</w:t>
      </w:r>
    </w:p>
    <w:p w14:paraId="571939FF" w14:textId="77777777" w:rsidR="00A052DC" w:rsidRDefault="009F0A60">
      <w:r>
        <w:t>………</w:t>
      </w:r>
    </w:p>
    <w:p w14:paraId="7DD2C5C6" w14:textId="77777777" w:rsidR="00A052DC" w:rsidRDefault="009F0A60">
      <w:r>
        <w:t>&lt;/FOGUCODEINFOS&gt;</w:t>
      </w:r>
    </w:p>
    <w:p w14:paraId="19FA2A7A" w14:textId="77777777" w:rsidR="00A052DC" w:rsidRDefault="009F0A60">
      <w:r>
        <w:t>&lt;REMARK&gt;</w:t>
      </w:r>
      <w:r>
        <w:rPr>
          <w:rFonts w:hint="eastAsia"/>
        </w:rPr>
        <w:t>备注</w:t>
      </w:r>
      <w:r>
        <w:t>&lt;/REMARK&gt;</w:t>
      </w:r>
    </w:p>
    <w:p w14:paraId="2D3C5360" w14:textId="77777777" w:rsidR="00A052DC" w:rsidRDefault="009F0A60">
      <w:r>
        <w:t>&lt;/REC&gt;</w:t>
      </w:r>
    </w:p>
    <w:p w14:paraId="7E576788" w14:textId="77777777" w:rsidR="00A052DC" w:rsidRDefault="00A052DC"/>
    <w:p w14:paraId="7A2BCE8E" w14:textId="77777777" w:rsidR="00A052DC" w:rsidRDefault="009F0A60" w:rsidP="0020251D">
      <w:pPr>
        <w:pStyle w:val="5"/>
        <w:numPr>
          <w:ilvl w:val="4"/>
          <w:numId w:val="1"/>
        </w:numPr>
        <w:spacing w:before="120" w:after="120" w:line="360" w:lineRule="auto"/>
        <w:jc w:val="left"/>
      </w:pPr>
      <w:bookmarkStart w:id="1678" w:name="_Toc454386973"/>
      <w:bookmarkStart w:id="1679" w:name="_Toc328635531"/>
      <w:r>
        <w:rPr>
          <w:rFonts w:hint="eastAsia"/>
        </w:rPr>
        <w:t>数据字典</w:t>
      </w:r>
      <w:bookmarkEnd w:id="1678"/>
      <w:bookmarkEnd w:id="1679"/>
    </w:p>
    <w:tbl>
      <w:tblPr>
        <w:tblW w:w="86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843"/>
        <w:gridCol w:w="1417"/>
        <w:gridCol w:w="3827"/>
      </w:tblGrid>
      <w:tr w:rsidR="00A052DC" w14:paraId="22CC2E54" w14:textId="77777777">
        <w:trPr>
          <w:tblHeader/>
        </w:trPr>
        <w:tc>
          <w:tcPr>
            <w:tcW w:w="1560" w:type="dxa"/>
            <w:shd w:val="clear" w:color="auto" w:fill="C0C0C0"/>
          </w:tcPr>
          <w:p w14:paraId="7DA00B0E" w14:textId="77777777" w:rsidR="00A052DC" w:rsidRDefault="009F0A60">
            <w:pPr>
              <w:jc w:val="center"/>
              <w:rPr>
                <w:rFonts w:ascii="黑体" w:eastAsia="黑体" w:hAnsi="黑体"/>
                <w:b/>
                <w:sz w:val="20"/>
                <w:szCs w:val="20"/>
              </w:rPr>
            </w:pPr>
            <w:r>
              <w:rPr>
                <w:rFonts w:ascii="黑体" w:eastAsia="黑体" w:hAnsi="黑体" w:hint="eastAsia"/>
                <w:b/>
                <w:sz w:val="20"/>
                <w:szCs w:val="20"/>
              </w:rPr>
              <w:t>字段</w:t>
            </w:r>
          </w:p>
        </w:tc>
        <w:tc>
          <w:tcPr>
            <w:tcW w:w="1843" w:type="dxa"/>
            <w:shd w:val="clear" w:color="auto" w:fill="C0C0C0"/>
          </w:tcPr>
          <w:p w14:paraId="7FD50075" w14:textId="77777777" w:rsidR="00A052DC" w:rsidRDefault="009F0A60">
            <w:pPr>
              <w:jc w:val="center"/>
              <w:rPr>
                <w:rFonts w:ascii="黑体" w:eastAsia="黑体" w:hAnsi="黑体"/>
                <w:b/>
                <w:sz w:val="20"/>
                <w:szCs w:val="20"/>
              </w:rPr>
            </w:pPr>
            <w:r>
              <w:rPr>
                <w:rFonts w:ascii="黑体" w:eastAsia="黑体" w:hAnsi="黑体" w:hint="eastAsia"/>
                <w:b/>
                <w:sz w:val="20"/>
                <w:szCs w:val="20"/>
              </w:rPr>
              <w:t>内容</w:t>
            </w:r>
          </w:p>
        </w:tc>
        <w:tc>
          <w:tcPr>
            <w:tcW w:w="1417" w:type="dxa"/>
            <w:shd w:val="clear" w:color="auto" w:fill="C0C0C0"/>
          </w:tcPr>
          <w:p w14:paraId="297F89C2" w14:textId="77777777" w:rsidR="00A052DC" w:rsidRDefault="009F0A60">
            <w:pPr>
              <w:jc w:val="center"/>
              <w:rPr>
                <w:rFonts w:ascii="黑体" w:eastAsia="黑体" w:hAnsi="黑体"/>
                <w:b/>
                <w:sz w:val="20"/>
                <w:szCs w:val="20"/>
              </w:rPr>
            </w:pPr>
            <w:r>
              <w:rPr>
                <w:rFonts w:ascii="黑体" w:eastAsia="黑体" w:hAnsi="黑体" w:hint="eastAsia"/>
                <w:b/>
                <w:sz w:val="20"/>
                <w:szCs w:val="20"/>
              </w:rPr>
              <w:t>类型（长度）</w:t>
            </w:r>
          </w:p>
        </w:tc>
        <w:tc>
          <w:tcPr>
            <w:tcW w:w="3827" w:type="dxa"/>
            <w:shd w:val="clear" w:color="auto" w:fill="C0C0C0"/>
          </w:tcPr>
          <w:p w14:paraId="1CD497B1" w14:textId="77777777" w:rsidR="00A052DC" w:rsidRDefault="009F0A60">
            <w:pPr>
              <w:jc w:val="center"/>
              <w:rPr>
                <w:rFonts w:ascii="黑体" w:eastAsia="黑体" w:hAnsi="黑体"/>
                <w:b/>
                <w:sz w:val="20"/>
                <w:szCs w:val="20"/>
              </w:rPr>
            </w:pPr>
            <w:r>
              <w:rPr>
                <w:rFonts w:ascii="黑体" w:eastAsia="黑体" w:hAnsi="黑体" w:hint="eastAsia"/>
                <w:b/>
                <w:sz w:val="20"/>
                <w:szCs w:val="20"/>
              </w:rPr>
              <w:t>校验</w:t>
            </w:r>
          </w:p>
        </w:tc>
      </w:tr>
      <w:tr w:rsidR="00A052DC" w14:paraId="64AEFFF5" w14:textId="77777777">
        <w:tc>
          <w:tcPr>
            <w:tcW w:w="1560" w:type="dxa"/>
          </w:tcPr>
          <w:p w14:paraId="0E1A1BDE" w14:textId="77777777" w:rsidR="00A052DC" w:rsidRDefault="009F0A60">
            <w:pPr>
              <w:rPr>
                <w:rFonts w:ascii="黑体" w:eastAsia="黑体" w:hAnsi="黑体"/>
                <w:sz w:val="20"/>
                <w:szCs w:val="20"/>
              </w:rPr>
            </w:pPr>
            <w:r>
              <w:rPr>
                <w:rFonts w:ascii="黑体" w:eastAsia="黑体" w:hAnsi="黑体" w:hint="eastAsia"/>
                <w:sz w:val="20"/>
                <w:szCs w:val="20"/>
              </w:rPr>
              <w:t>ACTIONTYPE</w:t>
            </w:r>
          </w:p>
        </w:tc>
        <w:tc>
          <w:tcPr>
            <w:tcW w:w="1843" w:type="dxa"/>
          </w:tcPr>
          <w:p w14:paraId="1AABD4D7" w14:textId="77777777" w:rsidR="00A052DC" w:rsidRDefault="009F0A60">
            <w:pPr>
              <w:rPr>
                <w:rFonts w:ascii="黑体" w:eastAsia="黑体" w:hAnsi="黑体"/>
                <w:sz w:val="20"/>
                <w:szCs w:val="20"/>
              </w:rPr>
            </w:pPr>
            <w:r>
              <w:rPr>
                <w:rFonts w:ascii="黑体" w:eastAsia="黑体" w:hAnsi="黑体" w:hint="eastAsia"/>
                <w:sz w:val="20"/>
                <w:szCs w:val="20"/>
              </w:rPr>
              <w:t>操作类型</w:t>
            </w:r>
          </w:p>
        </w:tc>
        <w:tc>
          <w:tcPr>
            <w:tcW w:w="1417" w:type="dxa"/>
          </w:tcPr>
          <w:p w14:paraId="4D10F0A1" w14:textId="77777777" w:rsidR="00A052DC" w:rsidRDefault="009F0A60">
            <w:pPr>
              <w:rPr>
                <w:rFonts w:ascii="黑体" w:eastAsia="黑体" w:hAnsi="黑体"/>
                <w:sz w:val="20"/>
                <w:szCs w:val="20"/>
              </w:rPr>
            </w:pPr>
            <w:r>
              <w:rPr>
                <w:rFonts w:ascii="黑体" w:eastAsia="黑体" w:hAnsi="黑体" w:hint="eastAsia"/>
                <w:sz w:val="20"/>
                <w:szCs w:val="20"/>
              </w:rPr>
              <w:t>字符型，1</w:t>
            </w:r>
          </w:p>
        </w:tc>
        <w:tc>
          <w:tcPr>
            <w:tcW w:w="3827" w:type="dxa"/>
          </w:tcPr>
          <w:p w14:paraId="1DEC36FE" w14:textId="77777777" w:rsidR="00A052DC" w:rsidRDefault="009F0A60">
            <w:pPr>
              <w:rPr>
                <w:rFonts w:ascii="黑体" w:eastAsia="黑体" w:hAnsi="黑体"/>
                <w:sz w:val="20"/>
                <w:szCs w:val="20"/>
              </w:rPr>
            </w:pPr>
            <w:r>
              <w:rPr>
                <w:rFonts w:ascii="黑体" w:eastAsia="黑体" w:hAnsi="黑体" w:hint="eastAsia"/>
                <w:sz w:val="20"/>
                <w:szCs w:val="20"/>
              </w:rPr>
              <w:t>必填项</w:t>
            </w:r>
            <w:r w:rsidR="005D3821">
              <w:rPr>
                <w:rFonts w:ascii="黑体" w:eastAsia="黑体" w:hAnsi="黑体" w:hint="eastAsia"/>
                <w:sz w:val="20"/>
                <w:szCs w:val="20"/>
              </w:rPr>
              <w:t>，</w:t>
            </w:r>
          </w:p>
          <w:p w14:paraId="0A067456" w14:textId="77777777" w:rsidR="00A052DC" w:rsidRDefault="009F0A60">
            <w:pPr>
              <w:rPr>
                <w:rFonts w:ascii="黑体" w:eastAsia="黑体" w:hAnsi="黑体"/>
                <w:sz w:val="20"/>
                <w:szCs w:val="20"/>
              </w:rPr>
            </w:pPr>
            <w:r>
              <w:rPr>
                <w:rFonts w:ascii="黑体" w:eastAsia="黑体" w:hAnsi="黑体" w:hint="eastAsia"/>
                <w:sz w:val="20"/>
                <w:szCs w:val="20"/>
              </w:rPr>
              <w:t>A</w:t>
            </w:r>
            <w:r w:rsidR="00AE4602">
              <w:rPr>
                <w:rFonts w:ascii="黑体" w:eastAsia="黑体" w:hAnsi="黑体" w:hint="eastAsia"/>
                <w:sz w:val="20"/>
                <w:szCs w:val="20"/>
              </w:rPr>
              <w:t>-</w:t>
            </w:r>
            <w:r>
              <w:rPr>
                <w:rFonts w:ascii="黑体" w:eastAsia="黑体" w:hAnsi="黑体" w:hint="eastAsia"/>
                <w:sz w:val="20"/>
                <w:szCs w:val="20"/>
              </w:rPr>
              <w:t>新建</w:t>
            </w:r>
          </w:p>
          <w:p w14:paraId="34A9B45A" w14:textId="77777777" w:rsidR="00A052DC" w:rsidRDefault="009F0A60">
            <w:pPr>
              <w:rPr>
                <w:rFonts w:ascii="黑体" w:eastAsia="黑体" w:hAnsi="黑体"/>
                <w:sz w:val="20"/>
                <w:szCs w:val="20"/>
              </w:rPr>
            </w:pPr>
            <w:r>
              <w:rPr>
                <w:rFonts w:ascii="黑体" w:eastAsia="黑体" w:hAnsi="黑体" w:hint="eastAsia"/>
                <w:sz w:val="20"/>
                <w:szCs w:val="20"/>
              </w:rPr>
              <w:t>C</w:t>
            </w:r>
            <w:r w:rsidR="00AE4602">
              <w:rPr>
                <w:rFonts w:ascii="黑体" w:eastAsia="黑体" w:hAnsi="黑体" w:hint="eastAsia"/>
                <w:sz w:val="20"/>
                <w:szCs w:val="20"/>
              </w:rPr>
              <w:t>-</w:t>
            </w:r>
            <w:r>
              <w:rPr>
                <w:rFonts w:ascii="黑体" w:eastAsia="黑体" w:hAnsi="黑体" w:hint="eastAsia"/>
                <w:sz w:val="20"/>
                <w:szCs w:val="20"/>
              </w:rPr>
              <w:t>修改</w:t>
            </w:r>
          </w:p>
          <w:p w14:paraId="6D78A181" w14:textId="77777777" w:rsidR="005D3821" w:rsidRDefault="009F0A60" w:rsidP="005D3821">
            <w:pPr>
              <w:rPr>
                <w:rFonts w:ascii="黑体" w:eastAsia="黑体" w:hAnsi="黑体"/>
                <w:sz w:val="20"/>
                <w:szCs w:val="20"/>
              </w:rPr>
            </w:pPr>
            <w:r>
              <w:rPr>
                <w:rFonts w:ascii="黑体" w:eastAsia="黑体" w:hAnsi="黑体" w:hint="eastAsia"/>
                <w:sz w:val="20"/>
                <w:szCs w:val="20"/>
              </w:rPr>
              <w:t>D</w:t>
            </w:r>
            <w:r w:rsidR="00AE4602">
              <w:rPr>
                <w:rFonts w:ascii="黑体" w:eastAsia="黑体" w:hAnsi="黑体" w:hint="eastAsia"/>
                <w:sz w:val="20"/>
                <w:szCs w:val="20"/>
              </w:rPr>
              <w:t>-</w:t>
            </w:r>
            <w:r>
              <w:rPr>
                <w:rFonts w:ascii="黑体" w:eastAsia="黑体" w:hAnsi="黑体" w:hint="eastAsia"/>
                <w:sz w:val="20"/>
                <w:szCs w:val="20"/>
              </w:rPr>
              <w:t>删除</w:t>
            </w:r>
          </w:p>
          <w:p w14:paraId="47D8D6A3" w14:textId="77777777" w:rsidR="00A052DC" w:rsidRDefault="009F0A60" w:rsidP="005D3821">
            <w:pPr>
              <w:rPr>
                <w:rFonts w:ascii="黑体" w:eastAsia="黑体" w:hAnsi="黑体"/>
                <w:sz w:val="20"/>
                <w:szCs w:val="20"/>
              </w:rPr>
            </w:pPr>
            <w:r>
              <w:rPr>
                <w:rFonts w:ascii="黑体" w:eastAsia="黑体" w:hAnsi="黑体" w:hint="eastAsia"/>
                <w:sz w:val="20"/>
                <w:szCs w:val="20"/>
              </w:rPr>
              <w:t>一旦银行报送了该外保内贷编号下的变动及履约信息，就不可以删除了。</w:t>
            </w:r>
          </w:p>
        </w:tc>
      </w:tr>
      <w:tr w:rsidR="00A052DC" w14:paraId="5D742567" w14:textId="77777777">
        <w:tc>
          <w:tcPr>
            <w:tcW w:w="1560" w:type="dxa"/>
          </w:tcPr>
          <w:p w14:paraId="289E448E" w14:textId="77777777" w:rsidR="00A052DC" w:rsidRDefault="009F0A60">
            <w:pPr>
              <w:rPr>
                <w:rFonts w:ascii="黑体" w:eastAsia="黑体" w:hAnsi="黑体"/>
                <w:sz w:val="20"/>
                <w:szCs w:val="20"/>
              </w:rPr>
            </w:pPr>
            <w:r>
              <w:rPr>
                <w:rFonts w:ascii="黑体" w:eastAsia="黑体" w:hAnsi="黑体" w:hint="eastAsia"/>
                <w:sz w:val="20"/>
                <w:szCs w:val="20"/>
              </w:rPr>
              <w:t>ACTIONDESC</w:t>
            </w:r>
          </w:p>
        </w:tc>
        <w:tc>
          <w:tcPr>
            <w:tcW w:w="1843" w:type="dxa"/>
          </w:tcPr>
          <w:p w14:paraId="5AB8BA4D" w14:textId="77777777" w:rsidR="00A052DC" w:rsidRDefault="009F0A60">
            <w:pPr>
              <w:rPr>
                <w:rFonts w:ascii="黑体" w:eastAsia="黑体" w:hAnsi="黑体"/>
                <w:sz w:val="20"/>
                <w:szCs w:val="20"/>
              </w:rPr>
            </w:pPr>
            <w:r>
              <w:rPr>
                <w:rFonts w:ascii="黑体" w:eastAsia="黑体" w:hAnsi="黑体" w:hint="eastAsia"/>
                <w:sz w:val="20"/>
                <w:szCs w:val="20"/>
              </w:rPr>
              <w:t>删除原因</w:t>
            </w:r>
          </w:p>
        </w:tc>
        <w:tc>
          <w:tcPr>
            <w:tcW w:w="1417" w:type="dxa"/>
          </w:tcPr>
          <w:p w14:paraId="7BCFF715"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3827" w:type="dxa"/>
          </w:tcPr>
          <w:p w14:paraId="7446DC08" w14:textId="77777777" w:rsidR="00A052DC" w:rsidRDefault="00DD6AA3">
            <w:pPr>
              <w:rPr>
                <w:rFonts w:ascii="黑体" w:eastAsia="黑体" w:hAnsi="黑体"/>
                <w:sz w:val="20"/>
                <w:szCs w:val="20"/>
              </w:rPr>
            </w:pPr>
            <w:r>
              <w:rPr>
                <w:rFonts w:ascii="黑体" w:eastAsia="黑体" w:hAnsi="黑体" w:hint="eastAsia"/>
                <w:sz w:val="20"/>
                <w:szCs w:val="20"/>
              </w:rPr>
              <w:t>非必填项，当操作类型（ACTIONTYPE）为删除时必填。</w:t>
            </w:r>
          </w:p>
        </w:tc>
      </w:tr>
      <w:tr w:rsidR="00A052DC" w14:paraId="31EC1D70" w14:textId="77777777">
        <w:tc>
          <w:tcPr>
            <w:tcW w:w="1560" w:type="dxa"/>
          </w:tcPr>
          <w:p w14:paraId="4BCBBC0E" w14:textId="77777777" w:rsidR="00A052DC" w:rsidRDefault="009F0A60">
            <w:pPr>
              <w:rPr>
                <w:rFonts w:ascii="黑体" w:eastAsia="黑体" w:hAnsi="黑体"/>
                <w:sz w:val="20"/>
                <w:szCs w:val="20"/>
              </w:rPr>
            </w:pPr>
            <w:r>
              <w:rPr>
                <w:rFonts w:ascii="黑体" w:eastAsia="黑体" w:hAnsi="黑体" w:hint="eastAsia"/>
                <w:sz w:val="20"/>
                <w:szCs w:val="20"/>
              </w:rPr>
              <w:t>LOUNEXGUCODE</w:t>
            </w:r>
          </w:p>
        </w:tc>
        <w:tc>
          <w:tcPr>
            <w:tcW w:w="1843" w:type="dxa"/>
          </w:tcPr>
          <w:p w14:paraId="61FA448B" w14:textId="77777777" w:rsidR="00A052DC" w:rsidRDefault="009F0A60">
            <w:pPr>
              <w:rPr>
                <w:rFonts w:ascii="黑体" w:eastAsia="黑体" w:hAnsi="黑体"/>
                <w:sz w:val="20"/>
                <w:szCs w:val="20"/>
              </w:rPr>
            </w:pPr>
            <w:r>
              <w:rPr>
                <w:rFonts w:ascii="黑体" w:eastAsia="黑体" w:hAnsi="黑体" w:hint="eastAsia"/>
                <w:sz w:val="20"/>
                <w:szCs w:val="20"/>
              </w:rPr>
              <w:t>外保内贷编号</w:t>
            </w:r>
          </w:p>
        </w:tc>
        <w:tc>
          <w:tcPr>
            <w:tcW w:w="1417" w:type="dxa"/>
          </w:tcPr>
          <w:p w14:paraId="59247212" w14:textId="77777777" w:rsidR="00A052DC" w:rsidRDefault="009F0A60">
            <w:pPr>
              <w:rPr>
                <w:rFonts w:ascii="黑体" w:eastAsia="黑体" w:hAnsi="黑体"/>
                <w:sz w:val="20"/>
                <w:szCs w:val="20"/>
              </w:rPr>
            </w:pPr>
            <w:r>
              <w:rPr>
                <w:rFonts w:ascii="黑体" w:eastAsia="黑体" w:hAnsi="黑体" w:hint="eastAsia"/>
                <w:sz w:val="20"/>
                <w:szCs w:val="20"/>
              </w:rPr>
              <w:t>字符型，28</w:t>
            </w:r>
          </w:p>
        </w:tc>
        <w:tc>
          <w:tcPr>
            <w:tcW w:w="3827" w:type="dxa"/>
          </w:tcPr>
          <w:p w14:paraId="6638F3C1" w14:textId="77777777" w:rsidR="00A052DC" w:rsidRDefault="009F0A60" w:rsidP="005D3821">
            <w:pPr>
              <w:rPr>
                <w:rFonts w:ascii="黑体" w:eastAsia="黑体" w:hAnsi="黑体"/>
                <w:sz w:val="20"/>
                <w:szCs w:val="20"/>
              </w:rPr>
            </w:pPr>
            <w:r>
              <w:rPr>
                <w:rFonts w:ascii="黑体" w:eastAsia="黑体" w:hAnsi="黑体" w:hint="eastAsia"/>
                <w:sz w:val="20"/>
                <w:szCs w:val="20"/>
              </w:rPr>
              <w:t>必填项，外保内贷唯一性编码。</w:t>
            </w:r>
          </w:p>
        </w:tc>
      </w:tr>
      <w:tr w:rsidR="00A052DC" w14:paraId="6820B0B2" w14:textId="77777777">
        <w:tc>
          <w:tcPr>
            <w:tcW w:w="1560" w:type="dxa"/>
          </w:tcPr>
          <w:p w14:paraId="4A3221DC" w14:textId="77777777" w:rsidR="00A052DC" w:rsidRDefault="009F0A60">
            <w:pPr>
              <w:rPr>
                <w:rFonts w:ascii="黑体" w:eastAsia="黑体" w:hAnsi="黑体"/>
                <w:sz w:val="20"/>
                <w:szCs w:val="20"/>
              </w:rPr>
            </w:pPr>
            <w:r>
              <w:rPr>
                <w:rFonts w:ascii="黑体" w:eastAsia="黑体" w:hAnsi="黑体" w:hint="eastAsia"/>
                <w:sz w:val="20"/>
                <w:szCs w:val="20"/>
              </w:rPr>
              <w:t>CREDITORCODE</w:t>
            </w:r>
          </w:p>
        </w:tc>
        <w:tc>
          <w:tcPr>
            <w:tcW w:w="1843" w:type="dxa"/>
          </w:tcPr>
          <w:p w14:paraId="0049DC67" w14:textId="77777777" w:rsidR="00A052DC" w:rsidRDefault="009F0A60">
            <w:pPr>
              <w:rPr>
                <w:rFonts w:ascii="黑体" w:eastAsia="黑体" w:hAnsi="黑体"/>
                <w:sz w:val="20"/>
                <w:szCs w:val="20"/>
              </w:rPr>
            </w:pPr>
            <w:r>
              <w:rPr>
                <w:rFonts w:ascii="黑体" w:eastAsia="黑体" w:hAnsi="黑体" w:hint="eastAsia"/>
                <w:sz w:val="20"/>
                <w:szCs w:val="20"/>
              </w:rPr>
              <w:t>债权人代码</w:t>
            </w:r>
          </w:p>
        </w:tc>
        <w:tc>
          <w:tcPr>
            <w:tcW w:w="1417" w:type="dxa"/>
          </w:tcPr>
          <w:p w14:paraId="2C9908FA" w14:textId="77777777" w:rsidR="00A052DC" w:rsidRDefault="009F0A60">
            <w:pPr>
              <w:rPr>
                <w:rFonts w:ascii="黑体" w:eastAsia="黑体" w:hAnsi="黑体"/>
                <w:sz w:val="20"/>
                <w:szCs w:val="20"/>
              </w:rPr>
            </w:pPr>
            <w:r>
              <w:rPr>
                <w:rFonts w:ascii="黑体" w:eastAsia="黑体" w:hAnsi="黑体" w:hint="eastAsia"/>
                <w:sz w:val="20"/>
                <w:szCs w:val="20"/>
              </w:rPr>
              <w:t>字符型，12</w:t>
            </w:r>
          </w:p>
        </w:tc>
        <w:tc>
          <w:tcPr>
            <w:tcW w:w="3827" w:type="dxa"/>
          </w:tcPr>
          <w:p w14:paraId="05FA2316" w14:textId="77777777" w:rsidR="00A052DC" w:rsidRDefault="009F0A60">
            <w:pPr>
              <w:rPr>
                <w:rFonts w:ascii="黑体" w:eastAsia="黑体" w:hAnsi="黑体"/>
                <w:sz w:val="20"/>
                <w:szCs w:val="20"/>
              </w:rPr>
            </w:pPr>
            <w:r>
              <w:rPr>
                <w:rFonts w:ascii="黑体" w:eastAsia="黑体" w:hAnsi="黑体" w:hint="eastAsia"/>
                <w:sz w:val="20"/>
                <w:szCs w:val="20"/>
              </w:rPr>
              <w:t>必填项，金融机构标识码。</w:t>
            </w:r>
          </w:p>
        </w:tc>
      </w:tr>
      <w:tr w:rsidR="00A052DC" w14:paraId="52664DD0" w14:textId="77777777">
        <w:tc>
          <w:tcPr>
            <w:tcW w:w="1560" w:type="dxa"/>
          </w:tcPr>
          <w:p w14:paraId="49279539" w14:textId="77777777" w:rsidR="00A052DC" w:rsidRDefault="009F0A60">
            <w:pPr>
              <w:rPr>
                <w:rFonts w:ascii="黑体" w:eastAsia="黑体" w:hAnsi="黑体"/>
                <w:sz w:val="20"/>
                <w:szCs w:val="20"/>
              </w:rPr>
            </w:pPr>
            <w:r>
              <w:rPr>
                <w:rFonts w:ascii="黑体" w:eastAsia="黑体" w:hAnsi="黑体" w:hint="eastAsia"/>
                <w:sz w:val="20"/>
                <w:szCs w:val="20"/>
              </w:rPr>
              <w:t>DEBTORCODE</w:t>
            </w:r>
          </w:p>
        </w:tc>
        <w:tc>
          <w:tcPr>
            <w:tcW w:w="1843" w:type="dxa"/>
          </w:tcPr>
          <w:p w14:paraId="0E948F84" w14:textId="77777777" w:rsidR="00A052DC" w:rsidRDefault="009F0A60">
            <w:pPr>
              <w:rPr>
                <w:rFonts w:ascii="黑体" w:eastAsia="黑体" w:hAnsi="黑体"/>
                <w:sz w:val="20"/>
                <w:szCs w:val="20"/>
              </w:rPr>
            </w:pPr>
            <w:r>
              <w:rPr>
                <w:rFonts w:ascii="黑体" w:eastAsia="黑体" w:hAnsi="黑体" w:hint="eastAsia"/>
                <w:sz w:val="20"/>
                <w:szCs w:val="20"/>
              </w:rPr>
              <w:t>债务人代码</w:t>
            </w:r>
          </w:p>
        </w:tc>
        <w:tc>
          <w:tcPr>
            <w:tcW w:w="1417" w:type="dxa"/>
          </w:tcPr>
          <w:p w14:paraId="74526C54" w14:textId="77777777" w:rsidR="00A052DC" w:rsidRDefault="009F0A60">
            <w:pPr>
              <w:rPr>
                <w:rFonts w:ascii="黑体" w:eastAsia="黑体" w:hAnsi="黑体"/>
                <w:sz w:val="20"/>
                <w:szCs w:val="20"/>
              </w:rPr>
            </w:pPr>
            <w:r>
              <w:rPr>
                <w:rFonts w:ascii="黑体" w:eastAsia="黑体" w:hAnsi="黑体" w:hint="eastAsia"/>
                <w:sz w:val="20"/>
                <w:szCs w:val="20"/>
              </w:rPr>
              <w:t>字符型，18</w:t>
            </w:r>
          </w:p>
        </w:tc>
        <w:tc>
          <w:tcPr>
            <w:tcW w:w="3827" w:type="dxa"/>
          </w:tcPr>
          <w:p w14:paraId="1912C742" w14:textId="77777777" w:rsidR="00A052DC" w:rsidRDefault="009F0A60">
            <w:pPr>
              <w:rPr>
                <w:rFonts w:ascii="黑体" w:eastAsia="黑体" w:hAnsi="黑体"/>
                <w:sz w:val="20"/>
                <w:szCs w:val="20"/>
              </w:rPr>
            </w:pPr>
            <w:r>
              <w:rPr>
                <w:rFonts w:ascii="黑体" w:eastAsia="黑体" w:hAnsi="黑体" w:hint="eastAsia"/>
                <w:sz w:val="20"/>
                <w:szCs w:val="20"/>
              </w:rPr>
              <w:t>必填项，指统一社会信用代码法定载体（如营业执照）上统一社会信用代码中的第9至17位或国家外汇管理局及其分支局签发的特殊机构代码赋码通知书上的机构代码。</w:t>
            </w:r>
          </w:p>
          <w:p w14:paraId="0072E275" w14:textId="77777777" w:rsidR="00A052DC" w:rsidRDefault="009F0A60">
            <w:pPr>
              <w:rPr>
                <w:rFonts w:ascii="黑体" w:eastAsia="黑体" w:hAnsi="黑体"/>
                <w:sz w:val="20"/>
                <w:szCs w:val="20"/>
              </w:rPr>
            </w:pPr>
            <w:r>
              <w:rPr>
                <w:rFonts w:ascii="黑体" w:eastAsia="黑体" w:hAnsi="黑体" w:hint="eastAsia"/>
                <w:sz w:val="20"/>
                <w:szCs w:val="20"/>
              </w:rPr>
              <w:t>按统一社会信用代码中的9位主体标识码（组织机构代码）或特殊机构赋码编制规则进行校验，字段长度仍预留18位。</w:t>
            </w:r>
          </w:p>
        </w:tc>
      </w:tr>
      <w:tr w:rsidR="00A052DC" w14:paraId="1DE95499" w14:textId="77777777">
        <w:tc>
          <w:tcPr>
            <w:tcW w:w="1560" w:type="dxa"/>
          </w:tcPr>
          <w:p w14:paraId="39C3FDF4" w14:textId="77777777" w:rsidR="00A052DC" w:rsidRDefault="009F0A60">
            <w:pPr>
              <w:rPr>
                <w:rFonts w:ascii="黑体" w:eastAsia="黑体" w:hAnsi="黑体"/>
                <w:sz w:val="20"/>
                <w:szCs w:val="20"/>
              </w:rPr>
            </w:pPr>
            <w:r>
              <w:rPr>
                <w:rFonts w:ascii="黑体" w:eastAsia="黑体" w:hAnsi="黑体" w:hint="eastAsia"/>
                <w:sz w:val="20"/>
                <w:szCs w:val="20"/>
              </w:rPr>
              <w:t>DEBTORNAME</w:t>
            </w:r>
          </w:p>
        </w:tc>
        <w:tc>
          <w:tcPr>
            <w:tcW w:w="1843" w:type="dxa"/>
          </w:tcPr>
          <w:p w14:paraId="2EF25355" w14:textId="77777777" w:rsidR="00A052DC" w:rsidRDefault="009F0A60">
            <w:pPr>
              <w:rPr>
                <w:rFonts w:ascii="黑体" w:eastAsia="黑体" w:hAnsi="黑体"/>
                <w:sz w:val="20"/>
                <w:szCs w:val="20"/>
              </w:rPr>
            </w:pPr>
            <w:r>
              <w:rPr>
                <w:rFonts w:ascii="黑体" w:eastAsia="黑体" w:hAnsi="黑体" w:hint="eastAsia"/>
                <w:sz w:val="20"/>
                <w:szCs w:val="20"/>
              </w:rPr>
              <w:t>债务人中文名称</w:t>
            </w:r>
          </w:p>
        </w:tc>
        <w:tc>
          <w:tcPr>
            <w:tcW w:w="1417" w:type="dxa"/>
          </w:tcPr>
          <w:p w14:paraId="2173A79E"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3827" w:type="dxa"/>
          </w:tcPr>
          <w:p w14:paraId="6CF213AA"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r w:rsidR="00A052DC" w14:paraId="322BEFEC" w14:textId="77777777">
        <w:tc>
          <w:tcPr>
            <w:tcW w:w="1560" w:type="dxa"/>
          </w:tcPr>
          <w:p w14:paraId="1B5F4488" w14:textId="77777777" w:rsidR="00A052DC" w:rsidRDefault="009F0A60">
            <w:pPr>
              <w:rPr>
                <w:rFonts w:ascii="黑体" w:eastAsia="黑体" w:hAnsi="黑体"/>
                <w:sz w:val="20"/>
                <w:szCs w:val="20"/>
              </w:rPr>
            </w:pPr>
            <w:r>
              <w:rPr>
                <w:rFonts w:ascii="黑体" w:eastAsia="黑体" w:hAnsi="黑体" w:hint="eastAsia"/>
                <w:sz w:val="20"/>
                <w:szCs w:val="20"/>
              </w:rPr>
              <w:t>DEBTORTYPE</w:t>
            </w:r>
          </w:p>
        </w:tc>
        <w:tc>
          <w:tcPr>
            <w:tcW w:w="1843" w:type="dxa"/>
          </w:tcPr>
          <w:p w14:paraId="30D4CBCE" w14:textId="77777777" w:rsidR="00A052DC" w:rsidRDefault="009F0A60">
            <w:pPr>
              <w:rPr>
                <w:rFonts w:ascii="黑体" w:eastAsia="黑体" w:hAnsi="黑体"/>
                <w:sz w:val="20"/>
                <w:szCs w:val="20"/>
              </w:rPr>
            </w:pPr>
            <w:r>
              <w:rPr>
                <w:rFonts w:ascii="黑体" w:eastAsia="黑体" w:hAnsi="黑体" w:hint="eastAsia"/>
                <w:sz w:val="20"/>
                <w:szCs w:val="20"/>
              </w:rPr>
              <w:t>债务人类型</w:t>
            </w:r>
          </w:p>
        </w:tc>
        <w:tc>
          <w:tcPr>
            <w:tcW w:w="1417" w:type="dxa"/>
          </w:tcPr>
          <w:p w14:paraId="6E9B72BA" w14:textId="77777777" w:rsidR="00A052DC" w:rsidRDefault="009F0A60">
            <w:pPr>
              <w:rPr>
                <w:rFonts w:ascii="黑体" w:eastAsia="黑体" w:hAnsi="黑体"/>
                <w:sz w:val="20"/>
                <w:szCs w:val="20"/>
              </w:rPr>
            </w:pPr>
            <w:r>
              <w:rPr>
                <w:rFonts w:ascii="黑体" w:eastAsia="黑体" w:hAnsi="黑体" w:hint="eastAsia"/>
                <w:sz w:val="20"/>
                <w:szCs w:val="20"/>
              </w:rPr>
              <w:t>字符型，8</w:t>
            </w:r>
          </w:p>
        </w:tc>
        <w:tc>
          <w:tcPr>
            <w:tcW w:w="3827" w:type="dxa"/>
          </w:tcPr>
          <w:p w14:paraId="5C8D420E" w14:textId="77777777" w:rsidR="00A052DC" w:rsidRDefault="009F0A60">
            <w:pPr>
              <w:rPr>
                <w:rFonts w:ascii="黑体" w:eastAsia="黑体" w:hAnsi="黑体"/>
                <w:sz w:val="20"/>
                <w:szCs w:val="20"/>
              </w:rPr>
            </w:pPr>
            <w:r>
              <w:rPr>
                <w:rFonts w:ascii="黑体" w:eastAsia="黑体" w:hAnsi="黑体" w:hint="eastAsia"/>
                <w:sz w:val="20"/>
                <w:szCs w:val="20"/>
              </w:rPr>
              <w:t>必填项，见境内主体类型代码表。</w:t>
            </w:r>
          </w:p>
        </w:tc>
      </w:tr>
      <w:tr w:rsidR="00A052DC" w14:paraId="1814CCAD" w14:textId="77777777">
        <w:tc>
          <w:tcPr>
            <w:tcW w:w="1560" w:type="dxa"/>
          </w:tcPr>
          <w:p w14:paraId="5AA00C98" w14:textId="77777777" w:rsidR="00A052DC" w:rsidRDefault="009F0A60">
            <w:pPr>
              <w:rPr>
                <w:rFonts w:ascii="黑体" w:eastAsia="黑体" w:hAnsi="黑体"/>
                <w:sz w:val="20"/>
                <w:szCs w:val="20"/>
              </w:rPr>
            </w:pPr>
            <w:r>
              <w:rPr>
                <w:rFonts w:ascii="黑体" w:eastAsia="黑体" w:hAnsi="黑体" w:hint="eastAsia"/>
                <w:sz w:val="20"/>
                <w:szCs w:val="20"/>
              </w:rPr>
              <w:t>CREDcurrcode</w:t>
            </w:r>
          </w:p>
        </w:tc>
        <w:tc>
          <w:tcPr>
            <w:tcW w:w="1843" w:type="dxa"/>
          </w:tcPr>
          <w:p w14:paraId="49101795" w14:textId="77777777" w:rsidR="00A052DC" w:rsidRDefault="009F0A60">
            <w:pPr>
              <w:rPr>
                <w:rFonts w:ascii="黑体" w:eastAsia="黑体" w:hAnsi="黑体"/>
                <w:sz w:val="20"/>
                <w:szCs w:val="20"/>
              </w:rPr>
            </w:pPr>
            <w:r>
              <w:rPr>
                <w:rFonts w:ascii="黑体" w:eastAsia="黑体" w:hAnsi="黑体" w:hint="eastAsia"/>
                <w:sz w:val="20"/>
                <w:szCs w:val="20"/>
              </w:rPr>
              <w:t>贷款币种</w:t>
            </w:r>
          </w:p>
        </w:tc>
        <w:tc>
          <w:tcPr>
            <w:tcW w:w="1417" w:type="dxa"/>
          </w:tcPr>
          <w:p w14:paraId="09658C58" w14:textId="77777777" w:rsidR="00A052DC" w:rsidRDefault="009F0A60">
            <w:pPr>
              <w:rPr>
                <w:rFonts w:ascii="黑体" w:eastAsia="黑体" w:hAnsi="黑体"/>
                <w:sz w:val="20"/>
                <w:szCs w:val="20"/>
              </w:rPr>
            </w:pPr>
            <w:r>
              <w:rPr>
                <w:rFonts w:ascii="黑体" w:eastAsia="黑体" w:hAnsi="黑体" w:hint="eastAsia"/>
                <w:sz w:val="20"/>
                <w:szCs w:val="20"/>
              </w:rPr>
              <w:t>字符型，3</w:t>
            </w:r>
          </w:p>
        </w:tc>
        <w:tc>
          <w:tcPr>
            <w:tcW w:w="3827" w:type="dxa"/>
          </w:tcPr>
          <w:p w14:paraId="17C5BDF3" w14:textId="77777777" w:rsidR="00A052DC" w:rsidRDefault="009F0A60">
            <w:pPr>
              <w:rPr>
                <w:rFonts w:ascii="黑体" w:eastAsia="黑体" w:hAnsi="黑体"/>
                <w:sz w:val="20"/>
                <w:szCs w:val="20"/>
              </w:rPr>
            </w:pPr>
            <w:r>
              <w:rPr>
                <w:rFonts w:ascii="黑体" w:eastAsia="黑体" w:hAnsi="黑体" w:hint="eastAsia"/>
                <w:sz w:val="20"/>
                <w:szCs w:val="20"/>
              </w:rPr>
              <w:t>必填项，见币种代码表。</w:t>
            </w:r>
          </w:p>
        </w:tc>
      </w:tr>
      <w:tr w:rsidR="00A052DC" w14:paraId="5A4A5770" w14:textId="77777777">
        <w:tc>
          <w:tcPr>
            <w:tcW w:w="1560" w:type="dxa"/>
          </w:tcPr>
          <w:p w14:paraId="70FCC191" w14:textId="77777777" w:rsidR="00A052DC" w:rsidRDefault="009F0A60">
            <w:pPr>
              <w:rPr>
                <w:rFonts w:ascii="黑体" w:eastAsia="黑体" w:hAnsi="黑体"/>
                <w:sz w:val="20"/>
                <w:szCs w:val="20"/>
              </w:rPr>
            </w:pPr>
            <w:r>
              <w:rPr>
                <w:rFonts w:ascii="黑体" w:eastAsia="黑体" w:hAnsi="黑体" w:hint="eastAsia"/>
                <w:sz w:val="20"/>
                <w:szCs w:val="20"/>
              </w:rPr>
              <w:t>CREDCONAMOUNT</w:t>
            </w:r>
          </w:p>
        </w:tc>
        <w:tc>
          <w:tcPr>
            <w:tcW w:w="1843" w:type="dxa"/>
          </w:tcPr>
          <w:p w14:paraId="2B9AC4C6" w14:textId="77777777" w:rsidR="00A052DC" w:rsidRDefault="009F0A60">
            <w:pPr>
              <w:rPr>
                <w:rFonts w:ascii="黑体" w:eastAsia="黑体" w:hAnsi="黑体"/>
                <w:sz w:val="20"/>
                <w:szCs w:val="20"/>
              </w:rPr>
            </w:pPr>
            <w:r>
              <w:rPr>
                <w:rFonts w:ascii="黑体" w:eastAsia="黑体" w:hAnsi="黑体" w:hint="eastAsia"/>
                <w:sz w:val="20"/>
                <w:szCs w:val="20"/>
              </w:rPr>
              <w:t>贷款签约金额</w:t>
            </w:r>
          </w:p>
        </w:tc>
        <w:tc>
          <w:tcPr>
            <w:tcW w:w="1417" w:type="dxa"/>
          </w:tcPr>
          <w:p w14:paraId="6B7BA563"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3827" w:type="dxa"/>
          </w:tcPr>
          <w:p w14:paraId="0184AF6B" w14:textId="77777777" w:rsidR="00A052DC" w:rsidRDefault="009F0A60">
            <w:pPr>
              <w:rPr>
                <w:rFonts w:ascii="黑体" w:eastAsia="黑体" w:hAnsi="黑体"/>
                <w:sz w:val="20"/>
                <w:szCs w:val="20"/>
              </w:rPr>
            </w:pPr>
            <w:r>
              <w:rPr>
                <w:rFonts w:ascii="黑体" w:eastAsia="黑体" w:hAnsi="黑体" w:hint="eastAsia"/>
                <w:sz w:val="20"/>
                <w:szCs w:val="20"/>
              </w:rPr>
              <w:t>必填项，大于等于0。</w:t>
            </w:r>
          </w:p>
        </w:tc>
      </w:tr>
      <w:tr w:rsidR="00A052DC" w14:paraId="6E37C319" w14:textId="77777777">
        <w:tc>
          <w:tcPr>
            <w:tcW w:w="1560" w:type="dxa"/>
          </w:tcPr>
          <w:p w14:paraId="71094D09" w14:textId="77777777" w:rsidR="00A052DC" w:rsidRDefault="009F0A60">
            <w:pPr>
              <w:rPr>
                <w:rFonts w:ascii="黑体" w:eastAsia="黑体" w:hAnsi="黑体"/>
                <w:sz w:val="20"/>
                <w:szCs w:val="20"/>
              </w:rPr>
            </w:pPr>
            <w:r>
              <w:rPr>
                <w:rFonts w:ascii="黑体" w:eastAsia="黑体" w:hAnsi="黑体" w:hint="eastAsia"/>
                <w:sz w:val="20"/>
                <w:szCs w:val="20"/>
              </w:rPr>
              <w:t>VALUEDATE</w:t>
            </w:r>
          </w:p>
        </w:tc>
        <w:tc>
          <w:tcPr>
            <w:tcW w:w="1843" w:type="dxa"/>
          </w:tcPr>
          <w:p w14:paraId="0CDD4669" w14:textId="77777777" w:rsidR="00A052DC" w:rsidRDefault="009F0A60">
            <w:pPr>
              <w:rPr>
                <w:rFonts w:ascii="黑体" w:eastAsia="黑体" w:hAnsi="黑体"/>
                <w:sz w:val="20"/>
                <w:szCs w:val="20"/>
              </w:rPr>
            </w:pPr>
            <w:r>
              <w:rPr>
                <w:rFonts w:ascii="黑体" w:eastAsia="黑体" w:hAnsi="黑体" w:hint="eastAsia"/>
                <w:sz w:val="20"/>
                <w:szCs w:val="20"/>
              </w:rPr>
              <w:t>起息日</w:t>
            </w:r>
          </w:p>
        </w:tc>
        <w:tc>
          <w:tcPr>
            <w:tcW w:w="1417" w:type="dxa"/>
          </w:tcPr>
          <w:p w14:paraId="1FE2F29A" w14:textId="77777777" w:rsidR="00A052DC" w:rsidRDefault="009F0A60">
            <w:pPr>
              <w:rPr>
                <w:rFonts w:ascii="黑体" w:eastAsia="黑体" w:hAnsi="黑体"/>
                <w:sz w:val="20"/>
                <w:szCs w:val="20"/>
              </w:rPr>
            </w:pPr>
            <w:r>
              <w:rPr>
                <w:rFonts w:ascii="黑体" w:eastAsia="黑体" w:hAnsi="黑体" w:hint="eastAsia"/>
                <w:sz w:val="20"/>
                <w:szCs w:val="20"/>
              </w:rPr>
              <w:t>日期型，8</w:t>
            </w:r>
          </w:p>
        </w:tc>
        <w:tc>
          <w:tcPr>
            <w:tcW w:w="3827" w:type="dxa"/>
          </w:tcPr>
          <w:p w14:paraId="6081CA38" w14:textId="77777777" w:rsidR="00A052DC" w:rsidRDefault="009F0A60">
            <w:pPr>
              <w:rPr>
                <w:rFonts w:ascii="黑体" w:eastAsia="黑体" w:hAnsi="黑体"/>
                <w:sz w:val="20"/>
                <w:szCs w:val="20"/>
              </w:rPr>
            </w:pPr>
            <w:r>
              <w:rPr>
                <w:rFonts w:ascii="黑体" w:eastAsia="黑体" w:hAnsi="黑体" w:hint="eastAsia"/>
                <w:sz w:val="20"/>
                <w:szCs w:val="20"/>
              </w:rPr>
              <w:t>必填项，格式YYYYMMDD。</w:t>
            </w:r>
          </w:p>
        </w:tc>
      </w:tr>
      <w:tr w:rsidR="00A052DC" w14:paraId="47DBF8CF" w14:textId="77777777">
        <w:tc>
          <w:tcPr>
            <w:tcW w:w="1560" w:type="dxa"/>
          </w:tcPr>
          <w:p w14:paraId="6C44807A" w14:textId="77777777" w:rsidR="00A052DC" w:rsidRDefault="009F0A60">
            <w:pPr>
              <w:rPr>
                <w:rFonts w:ascii="黑体" w:eastAsia="黑体" w:hAnsi="黑体"/>
                <w:sz w:val="20"/>
                <w:szCs w:val="20"/>
              </w:rPr>
            </w:pPr>
            <w:r>
              <w:rPr>
                <w:rFonts w:ascii="黑体" w:eastAsia="黑体" w:hAnsi="黑体" w:hint="eastAsia"/>
                <w:sz w:val="20"/>
                <w:szCs w:val="20"/>
              </w:rPr>
              <w:t>Maturity</w:t>
            </w:r>
          </w:p>
        </w:tc>
        <w:tc>
          <w:tcPr>
            <w:tcW w:w="1843" w:type="dxa"/>
          </w:tcPr>
          <w:p w14:paraId="1B01C5D4" w14:textId="77777777" w:rsidR="00A052DC" w:rsidRDefault="009F0A60">
            <w:pPr>
              <w:rPr>
                <w:rFonts w:ascii="黑体" w:eastAsia="黑体" w:hAnsi="黑体"/>
                <w:sz w:val="20"/>
                <w:szCs w:val="20"/>
              </w:rPr>
            </w:pPr>
            <w:r>
              <w:rPr>
                <w:rFonts w:ascii="黑体" w:eastAsia="黑体" w:hAnsi="黑体" w:hint="eastAsia"/>
                <w:sz w:val="20"/>
                <w:szCs w:val="20"/>
              </w:rPr>
              <w:t>到期日</w:t>
            </w:r>
          </w:p>
        </w:tc>
        <w:tc>
          <w:tcPr>
            <w:tcW w:w="1417" w:type="dxa"/>
          </w:tcPr>
          <w:p w14:paraId="2E0F1315" w14:textId="77777777" w:rsidR="00A052DC" w:rsidRDefault="009F0A60">
            <w:pPr>
              <w:rPr>
                <w:rFonts w:ascii="黑体" w:eastAsia="黑体" w:hAnsi="黑体"/>
                <w:sz w:val="20"/>
                <w:szCs w:val="20"/>
              </w:rPr>
            </w:pPr>
            <w:r>
              <w:rPr>
                <w:rFonts w:ascii="黑体" w:eastAsia="黑体" w:hAnsi="黑体" w:hint="eastAsia"/>
                <w:sz w:val="20"/>
                <w:szCs w:val="20"/>
              </w:rPr>
              <w:t>日期型,8</w:t>
            </w:r>
          </w:p>
        </w:tc>
        <w:tc>
          <w:tcPr>
            <w:tcW w:w="3827" w:type="dxa"/>
          </w:tcPr>
          <w:p w14:paraId="135BE7E5" w14:textId="77777777" w:rsidR="00A052DC" w:rsidRDefault="009F0A60" w:rsidP="005D3821">
            <w:pPr>
              <w:rPr>
                <w:rFonts w:ascii="黑体" w:eastAsia="黑体" w:hAnsi="黑体"/>
                <w:sz w:val="20"/>
                <w:szCs w:val="20"/>
              </w:rPr>
            </w:pPr>
            <w:r>
              <w:rPr>
                <w:rFonts w:ascii="黑体" w:eastAsia="黑体" w:hAnsi="黑体" w:hint="eastAsia"/>
                <w:sz w:val="20"/>
                <w:szCs w:val="20"/>
              </w:rPr>
              <w:t>必填项，格式YYYYMMDD，大于等于起息日。</w:t>
            </w:r>
          </w:p>
        </w:tc>
      </w:tr>
      <w:tr w:rsidR="00A052DC" w14:paraId="39F04CE6" w14:textId="77777777">
        <w:tc>
          <w:tcPr>
            <w:tcW w:w="1560" w:type="dxa"/>
          </w:tcPr>
          <w:p w14:paraId="5CE4F504" w14:textId="77777777" w:rsidR="00A052DC" w:rsidRDefault="009F0A60">
            <w:pPr>
              <w:rPr>
                <w:rFonts w:ascii="黑体" w:eastAsia="黑体" w:hAnsi="黑体"/>
                <w:sz w:val="20"/>
                <w:szCs w:val="20"/>
              </w:rPr>
            </w:pPr>
            <w:r>
              <w:rPr>
                <w:rFonts w:ascii="黑体" w:eastAsia="黑体" w:hAnsi="黑体" w:hint="eastAsia"/>
                <w:sz w:val="20"/>
                <w:szCs w:val="20"/>
              </w:rPr>
              <w:t>DOFOEXLOCODE</w:t>
            </w:r>
          </w:p>
        </w:tc>
        <w:tc>
          <w:tcPr>
            <w:tcW w:w="1843" w:type="dxa"/>
          </w:tcPr>
          <w:p w14:paraId="56986FCC" w14:textId="77777777" w:rsidR="00A052DC" w:rsidRDefault="009F0A60">
            <w:pPr>
              <w:rPr>
                <w:rFonts w:ascii="黑体" w:eastAsia="黑体" w:hAnsi="黑体"/>
                <w:sz w:val="20"/>
                <w:szCs w:val="20"/>
              </w:rPr>
            </w:pPr>
            <w:r>
              <w:rPr>
                <w:rFonts w:ascii="黑体" w:eastAsia="黑体" w:hAnsi="黑体" w:hint="eastAsia"/>
                <w:sz w:val="20"/>
                <w:szCs w:val="20"/>
              </w:rPr>
              <w:t>国内外汇贷款编号</w:t>
            </w:r>
          </w:p>
        </w:tc>
        <w:tc>
          <w:tcPr>
            <w:tcW w:w="1417" w:type="dxa"/>
          </w:tcPr>
          <w:p w14:paraId="3105BAAE" w14:textId="77777777" w:rsidR="00A052DC" w:rsidRDefault="009F0A60">
            <w:pPr>
              <w:rPr>
                <w:rFonts w:ascii="黑体" w:eastAsia="黑体" w:hAnsi="黑体"/>
                <w:sz w:val="20"/>
                <w:szCs w:val="20"/>
              </w:rPr>
            </w:pPr>
            <w:r>
              <w:rPr>
                <w:rFonts w:ascii="黑体" w:eastAsia="黑体" w:hAnsi="黑体" w:hint="eastAsia"/>
                <w:sz w:val="20"/>
                <w:szCs w:val="20"/>
              </w:rPr>
              <w:t>字符型，32</w:t>
            </w:r>
          </w:p>
        </w:tc>
        <w:tc>
          <w:tcPr>
            <w:tcW w:w="3827" w:type="dxa"/>
          </w:tcPr>
          <w:p w14:paraId="43D76952" w14:textId="77777777" w:rsidR="00A052DC" w:rsidRDefault="009F0A60">
            <w:pPr>
              <w:rPr>
                <w:rFonts w:ascii="黑体" w:eastAsia="黑体" w:hAnsi="黑体"/>
                <w:sz w:val="20"/>
                <w:szCs w:val="20"/>
              </w:rPr>
            </w:pPr>
            <w:r>
              <w:rPr>
                <w:rFonts w:ascii="黑体" w:eastAsia="黑体" w:hAnsi="黑体" w:hint="eastAsia"/>
                <w:sz w:val="20"/>
                <w:szCs w:val="20"/>
              </w:rPr>
              <w:t>非必填项，贷款币种不是“CNY”时，必填。</w:t>
            </w:r>
          </w:p>
        </w:tc>
      </w:tr>
      <w:tr w:rsidR="00A052DC" w14:paraId="535853B9" w14:textId="77777777">
        <w:tc>
          <w:tcPr>
            <w:tcW w:w="1560" w:type="dxa"/>
          </w:tcPr>
          <w:p w14:paraId="52C2F2CA" w14:textId="77777777" w:rsidR="00A052DC" w:rsidRDefault="009F0A60">
            <w:pPr>
              <w:rPr>
                <w:rFonts w:ascii="黑体" w:eastAsia="黑体" w:hAnsi="黑体"/>
                <w:sz w:val="20"/>
                <w:szCs w:val="20"/>
              </w:rPr>
            </w:pPr>
            <w:r>
              <w:rPr>
                <w:rFonts w:ascii="黑体" w:eastAsia="黑体" w:hAnsi="黑体" w:hint="eastAsia"/>
                <w:sz w:val="20"/>
                <w:szCs w:val="20"/>
              </w:rPr>
              <w:t>FOGUCODE</w:t>
            </w:r>
          </w:p>
        </w:tc>
        <w:tc>
          <w:tcPr>
            <w:tcW w:w="1843" w:type="dxa"/>
          </w:tcPr>
          <w:p w14:paraId="1BE9040E" w14:textId="77777777" w:rsidR="00A052DC" w:rsidRDefault="009F0A60">
            <w:pPr>
              <w:rPr>
                <w:rFonts w:ascii="黑体" w:eastAsia="黑体" w:hAnsi="黑体"/>
                <w:sz w:val="20"/>
                <w:szCs w:val="20"/>
              </w:rPr>
            </w:pPr>
            <w:r>
              <w:rPr>
                <w:rFonts w:ascii="黑体" w:eastAsia="黑体" w:hAnsi="黑体" w:hint="eastAsia"/>
                <w:sz w:val="20"/>
                <w:szCs w:val="20"/>
              </w:rPr>
              <w:t>境外担保人代码</w:t>
            </w:r>
          </w:p>
        </w:tc>
        <w:tc>
          <w:tcPr>
            <w:tcW w:w="1417" w:type="dxa"/>
          </w:tcPr>
          <w:p w14:paraId="554D4A4D" w14:textId="77777777" w:rsidR="00A052DC" w:rsidRDefault="009F0A60">
            <w:pPr>
              <w:rPr>
                <w:rFonts w:ascii="黑体" w:eastAsia="黑体" w:hAnsi="黑体"/>
                <w:sz w:val="20"/>
                <w:szCs w:val="20"/>
              </w:rPr>
            </w:pPr>
            <w:r>
              <w:rPr>
                <w:rFonts w:ascii="黑体" w:eastAsia="黑体" w:hAnsi="黑体" w:hint="eastAsia"/>
                <w:sz w:val="20"/>
                <w:szCs w:val="20"/>
              </w:rPr>
              <w:t>字符型，32</w:t>
            </w:r>
          </w:p>
        </w:tc>
        <w:tc>
          <w:tcPr>
            <w:tcW w:w="3827" w:type="dxa"/>
          </w:tcPr>
          <w:p w14:paraId="1128552D" w14:textId="77777777" w:rsidR="00A052DC" w:rsidRDefault="009F0A60">
            <w:pPr>
              <w:rPr>
                <w:rFonts w:ascii="黑体" w:eastAsia="黑体" w:hAnsi="黑体"/>
                <w:sz w:val="20"/>
                <w:szCs w:val="20"/>
              </w:rPr>
            </w:pPr>
            <w:r>
              <w:rPr>
                <w:rFonts w:ascii="黑体" w:eastAsia="黑体" w:hAnsi="黑体" w:hint="eastAsia"/>
                <w:sz w:val="20"/>
                <w:szCs w:val="20"/>
              </w:rPr>
              <w:t>非必填项，如果境外担保人为银行或非银行金融机构，应填写8位或11位的SWIFTCODE；如果境外担保人为领取了国家外汇管理局及其分支局签发的特殊机构代码赋码通知书的其他非居民机构，</w:t>
            </w:r>
            <w:r>
              <w:rPr>
                <w:rFonts w:ascii="黑体" w:eastAsia="黑体" w:hAnsi="黑体"/>
                <w:sz w:val="20"/>
                <w:szCs w:val="20"/>
              </w:rPr>
              <w:t>应</w:t>
            </w:r>
            <w:r>
              <w:rPr>
                <w:rFonts w:ascii="黑体" w:eastAsia="黑体" w:hAnsi="黑体" w:hint="eastAsia"/>
                <w:sz w:val="20"/>
                <w:szCs w:val="20"/>
              </w:rPr>
              <w:t>填写</w:t>
            </w:r>
            <w:r>
              <w:rPr>
                <w:rFonts w:ascii="黑体" w:eastAsia="黑体" w:hAnsi="黑体"/>
                <w:sz w:val="20"/>
                <w:szCs w:val="20"/>
              </w:rPr>
              <w:t>该</w:t>
            </w:r>
            <w:r>
              <w:rPr>
                <w:rFonts w:ascii="黑体" w:eastAsia="黑体" w:hAnsi="黑体" w:hint="eastAsia"/>
                <w:sz w:val="20"/>
                <w:szCs w:val="20"/>
              </w:rPr>
              <w:t>通知书上的特殊机构代码；如果境外担保人为非居民个人，应填写非居民个人身份证件号码。如果上述条件均不符合，则可为空。可填写多个。</w:t>
            </w:r>
          </w:p>
        </w:tc>
      </w:tr>
      <w:tr w:rsidR="00A052DC" w14:paraId="146F231E" w14:textId="77777777">
        <w:tc>
          <w:tcPr>
            <w:tcW w:w="1560" w:type="dxa"/>
          </w:tcPr>
          <w:p w14:paraId="7E90B8C5" w14:textId="77777777" w:rsidR="00A052DC" w:rsidRDefault="009F0A60">
            <w:pPr>
              <w:rPr>
                <w:rFonts w:ascii="黑体" w:eastAsia="黑体" w:hAnsi="黑体"/>
                <w:sz w:val="20"/>
                <w:szCs w:val="20"/>
              </w:rPr>
            </w:pPr>
            <w:r>
              <w:rPr>
                <w:rFonts w:ascii="黑体" w:eastAsia="黑体" w:hAnsi="黑体" w:hint="eastAsia"/>
                <w:sz w:val="20"/>
                <w:szCs w:val="20"/>
              </w:rPr>
              <w:t>FOGUNAME</w:t>
            </w:r>
          </w:p>
        </w:tc>
        <w:tc>
          <w:tcPr>
            <w:tcW w:w="1843" w:type="dxa"/>
          </w:tcPr>
          <w:p w14:paraId="110D523C" w14:textId="77777777" w:rsidR="00A052DC" w:rsidRDefault="009F0A60">
            <w:pPr>
              <w:rPr>
                <w:rFonts w:ascii="黑体" w:eastAsia="黑体" w:hAnsi="黑体"/>
                <w:sz w:val="20"/>
                <w:szCs w:val="20"/>
              </w:rPr>
            </w:pPr>
            <w:r>
              <w:rPr>
                <w:rFonts w:ascii="黑体" w:eastAsia="黑体" w:hAnsi="黑体" w:hint="eastAsia"/>
                <w:sz w:val="20"/>
                <w:szCs w:val="20"/>
              </w:rPr>
              <w:t>境外担保人中文名称</w:t>
            </w:r>
          </w:p>
        </w:tc>
        <w:tc>
          <w:tcPr>
            <w:tcW w:w="1417" w:type="dxa"/>
          </w:tcPr>
          <w:p w14:paraId="4718743B"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3827" w:type="dxa"/>
          </w:tcPr>
          <w:p w14:paraId="102FCA43" w14:textId="77777777" w:rsidR="00A052DC" w:rsidRDefault="009F0A60">
            <w:pPr>
              <w:rPr>
                <w:rFonts w:ascii="黑体" w:eastAsia="黑体" w:hAnsi="黑体"/>
                <w:sz w:val="20"/>
                <w:szCs w:val="20"/>
              </w:rPr>
            </w:pPr>
            <w:r>
              <w:rPr>
                <w:rFonts w:ascii="黑体" w:eastAsia="黑体" w:hAnsi="黑体" w:hint="eastAsia"/>
                <w:sz w:val="20"/>
                <w:szCs w:val="20"/>
              </w:rPr>
              <w:t>非必填项，境外担保人中英文名称至少填写一个。</w:t>
            </w:r>
            <w:r>
              <w:rPr>
                <w:rFonts w:ascii="黑体" w:eastAsia="黑体" w:hAnsi="黑体" w:hint="eastAsia"/>
                <w:color w:val="000000"/>
                <w:sz w:val="20"/>
                <w:szCs w:val="20"/>
              </w:rPr>
              <w:t>可填写多个，若多个名称，必须与</w:t>
            </w:r>
            <w:r>
              <w:rPr>
                <w:rFonts w:ascii="黑体" w:eastAsia="黑体" w:hAnsi="黑体" w:hint="eastAsia"/>
                <w:sz w:val="20"/>
                <w:szCs w:val="20"/>
              </w:rPr>
              <w:t>境外担保人代码</w:t>
            </w:r>
            <w:r>
              <w:rPr>
                <w:rFonts w:ascii="黑体" w:eastAsia="黑体" w:hAnsi="黑体" w:hint="eastAsia"/>
                <w:color w:val="000000"/>
                <w:sz w:val="20"/>
                <w:szCs w:val="20"/>
              </w:rPr>
              <w:t>填写顺序一致。</w:t>
            </w:r>
          </w:p>
        </w:tc>
      </w:tr>
      <w:tr w:rsidR="00A052DC" w14:paraId="063B6561" w14:textId="77777777">
        <w:tc>
          <w:tcPr>
            <w:tcW w:w="1560" w:type="dxa"/>
          </w:tcPr>
          <w:p w14:paraId="06A2E0E9" w14:textId="77777777" w:rsidR="00A052DC" w:rsidRDefault="009F0A60">
            <w:pPr>
              <w:rPr>
                <w:rFonts w:ascii="黑体" w:eastAsia="黑体" w:hAnsi="黑体"/>
                <w:sz w:val="20"/>
                <w:szCs w:val="20"/>
              </w:rPr>
            </w:pPr>
            <w:r>
              <w:rPr>
                <w:rFonts w:ascii="黑体" w:eastAsia="黑体" w:hAnsi="黑体" w:hint="eastAsia"/>
                <w:sz w:val="20"/>
                <w:szCs w:val="20"/>
              </w:rPr>
              <w:t>FOGUNAMEN</w:t>
            </w:r>
          </w:p>
        </w:tc>
        <w:tc>
          <w:tcPr>
            <w:tcW w:w="1843" w:type="dxa"/>
          </w:tcPr>
          <w:p w14:paraId="319B0829" w14:textId="77777777" w:rsidR="00A052DC" w:rsidRDefault="009F0A60">
            <w:pPr>
              <w:rPr>
                <w:rFonts w:ascii="黑体" w:eastAsia="黑体" w:hAnsi="黑体"/>
                <w:sz w:val="20"/>
                <w:szCs w:val="20"/>
              </w:rPr>
            </w:pPr>
            <w:r>
              <w:rPr>
                <w:rFonts w:ascii="黑体" w:eastAsia="黑体" w:hAnsi="黑体" w:hint="eastAsia"/>
                <w:sz w:val="20"/>
                <w:szCs w:val="20"/>
              </w:rPr>
              <w:t>境外担保人英文名称</w:t>
            </w:r>
          </w:p>
        </w:tc>
        <w:tc>
          <w:tcPr>
            <w:tcW w:w="1417" w:type="dxa"/>
          </w:tcPr>
          <w:p w14:paraId="2394EB9B"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3827" w:type="dxa"/>
          </w:tcPr>
          <w:p w14:paraId="231F6391" w14:textId="77777777" w:rsidR="00A052DC" w:rsidRDefault="009F0A60">
            <w:pPr>
              <w:rPr>
                <w:rFonts w:ascii="黑体" w:eastAsia="黑体" w:hAnsi="黑体"/>
                <w:sz w:val="20"/>
                <w:szCs w:val="20"/>
              </w:rPr>
            </w:pPr>
            <w:r>
              <w:rPr>
                <w:rFonts w:ascii="黑体" w:eastAsia="黑体" w:hAnsi="黑体" w:hint="eastAsia"/>
                <w:sz w:val="20"/>
                <w:szCs w:val="20"/>
              </w:rPr>
              <w:t>非必填项。境外担保人中英文名称至少填写一个。</w:t>
            </w:r>
            <w:r>
              <w:rPr>
                <w:rFonts w:ascii="黑体" w:eastAsia="黑体" w:hAnsi="黑体" w:hint="eastAsia"/>
                <w:color w:val="000000"/>
                <w:sz w:val="20"/>
                <w:szCs w:val="20"/>
              </w:rPr>
              <w:t>可填写多个，若多个名称，必须与</w:t>
            </w:r>
            <w:r>
              <w:rPr>
                <w:rFonts w:ascii="黑体" w:eastAsia="黑体" w:hAnsi="黑体" w:hint="eastAsia"/>
                <w:sz w:val="20"/>
                <w:szCs w:val="20"/>
              </w:rPr>
              <w:t>境外担保人代码</w:t>
            </w:r>
            <w:r>
              <w:rPr>
                <w:rFonts w:ascii="黑体" w:eastAsia="黑体" w:hAnsi="黑体" w:hint="eastAsia"/>
                <w:color w:val="000000"/>
                <w:sz w:val="20"/>
                <w:szCs w:val="20"/>
              </w:rPr>
              <w:t>填写顺序一致。</w:t>
            </w:r>
          </w:p>
        </w:tc>
      </w:tr>
      <w:tr w:rsidR="00A052DC" w14:paraId="415606D4" w14:textId="77777777">
        <w:tc>
          <w:tcPr>
            <w:tcW w:w="1560" w:type="dxa"/>
          </w:tcPr>
          <w:p w14:paraId="2FACFA74" w14:textId="77777777" w:rsidR="00A052DC" w:rsidRDefault="009F0A60">
            <w:pPr>
              <w:rPr>
                <w:rFonts w:ascii="黑体" w:eastAsia="黑体" w:hAnsi="黑体"/>
                <w:sz w:val="20"/>
                <w:szCs w:val="20"/>
              </w:rPr>
            </w:pPr>
            <w:r>
              <w:rPr>
                <w:rFonts w:ascii="黑体" w:eastAsia="黑体" w:hAnsi="黑体" w:hint="eastAsia"/>
                <w:sz w:val="20"/>
                <w:szCs w:val="20"/>
              </w:rPr>
              <w:t>FOGURECODE</w:t>
            </w:r>
          </w:p>
        </w:tc>
        <w:tc>
          <w:tcPr>
            <w:tcW w:w="1843" w:type="dxa"/>
          </w:tcPr>
          <w:p w14:paraId="1A11012B" w14:textId="77777777" w:rsidR="00A052DC" w:rsidRDefault="009F0A60">
            <w:pPr>
              <w:rPr>
                <w:rFonts w:ascii="黑体" w:eastAsia="黑体" w:hAnsi="黑体"/>
                <w:sz w:val="20"/>
                <w:szCs w:val="20"/>
              </w:rPr>
            </w:pPr>
            <w:r>
              <w:rPr>
                <w:rFonts w:ascii="黑体" w:eastAsia="黑体" w:hAnsi="黑体" w:hint="eastAsia"/>
                <w:sz w:val="20"/>
                <w:szCs w:val="20"/>
              </w:rPr>
              <w:t>境外担保人注册地国家/地区代码</w:t>
            </w:r>
          </w:p>
        </w:tc>
        <w:tc>
          <w:tcPr>
            <w:tcW w:w="1417" w:type="dxa"/>
          </w:tcPr>
          <w:p w14:paraId="19669DF9" w14:textId="77777777" w:rsidR="00A052DC" w:rsidRDefault="009F0A60">
            <w:pPr>
              <w:rPr>
                <w:rFonts w:ascii="黑体" w:eastAsia="黑体" w:hAnsi="黑体"/>
                <w:sz w:val="20"/>
                <w:szCs w:val="20"/>
              </w:rPr>
            </w:pPr>
            <w:r>
              <w:rPr>
                <w:rFonts w:ascii="黑体" w:eastAsia="黑体" w:hAnsi="黑体" w:hint="eastAsia"/>
                <w:sz w:val="20"/>
                <w:szCs w:val="20"/>
              </w:rPr>
              <w:t>字符型，3</w:t>
            </w:r>
          </w:p>
        </w:tc>
        <w:tc>
          <w:tcPr>
            <w:tcW w:w="3827" w:type="dxa"/>
          </w:tcPr>
          <w:p w14:paraId="10C71AA6" w14:textId="77777777" w:rsidR="00A052DC" w:rsidRDefault="009F0A60">
            <w:pPr>
              <w:rPr>
                <w:rFonts w:ascii="黑体" w:eastAsia="黑体" w:hAnsi="黑体"/>
                <w:sz w:val="20"/>
                <w:szCs w:val="20"/>
              </w:rPr>
            </w:pPr>
            <w:r>
              <w:rPr>
                <w:rFonts w:ascii="黑体" w:eastAsia="黑体" w:hAnsi="黑体" w:hint="eastAsia"/>
                <w:sz w:val="20"/>
                <w:szCs w:val="20"/>
              </w:rPr>
              <w:t>必填项，见国家和地区代码表。</w:t>
            </w:r>
            <w:r>
              <w:rPr>
                <w:rFonts w:ascii="黑体" w:eastAsia="黑体" w:hAnsi="黑体" w:hint="eastAsia"/>
                <w:color w:val="000000"/>
                <w:sz w:val="20"/>
                <w:szCs w:val="20"/>
              </w:rPr>
              <w:t>可填写多个，若多个地址，必须与</w:t>
            </w:r>
            <w:r>
              <w:rPr>
                <w:rFonts w:ascii="黑体" w:eastAsia="黑体" w:hAnsi="黑体" w:hint="eastAsia"/>
                <w:sz w:val="20"/>
                <w:szCs w:val="20"/>
              </w:rPr>
              <w:t>境外担保人代码</w:t>
            </w:r>
            <w:r>
              <w:rPr>
                <w:rFonts w:ascii="黑体" w:eastAsia="黑体" w:hAnsi="黑体" w:hint="eastAsia"/>
                <w:color w:val="000000"/>
                <w:sz w:val="20"/>
                <w:szCs w:val="20"/>
              </w:rPr>
              <w:t>填写顺序一致。</w:t>
            </w:r>
          </w:p>
        </w:tc>
      </w:tr>
      <w:tr w:rsidR="00A052DC" w14:paraId="31C5D7DA" w14:textId="77777777">
        <w:tc>
          <w:tcPr>
            <w:tcW w:w="1560" w:type="dxa"/>
          </w:tcPr>
          <w:p w14:paraId="1C50D985" w14:textId="77777777" w:rsidR="00A052DC" w:rsidRDefault="009F0A60">
            <w:pPr>
              <w:rPr>
                <w:rFonts w:ascii="黑体" w:eastAsia="黑体" w:hAnsi="黑体"/>
                <w:sz w:val="20"/>
                <w:szCs w:val="20"/>
              </w:rPr>
            </w:pPr>
            <w:r>
              <w:rPr>
                <w:rFonts w:ascii="黑体" w:eastAsia="黑体" w:hAnsi="黑体" w:hint="eastAsia"/>
                <w:sz w:val="20"/>
                <w:szCs w:val="20"/>
              </w:rPr>
              <w:t>GuaranteeTYPE</w:t>
            </w:r>
          </w:p>
        </w:tc>
        <w:tc>
          <w:tcPr>
            <w:tcW w:w="1843" w:type="dxa"/>
          </w:tcPr>
          <w:p w14:paraId="64B5895F" w14:textId="77777777" w:rsidR="00A052DC" w:rsidRDefault="009F0A60">
            <w:pPr>
              <w:rPr>
                <w:rFonts w:ascii="黑体" w:eastAsia="黑体" w:hAnsi="黑体"/>
                <w:sz w:val="20"/>
                <w:szCs w:val="20"/>
              </w:rPr>
            </w:pPr>
            <w:r>
              <w:rPr>
                <w:rFonts w:ascii="黑体" w:eastAsia="黑体" w:hAnsi="黑体" w:hint="eastAsia"/>
                <w:sz w:val="20"/>
                <w:szCs w:val="20"/>
              </w:rPr>
              <w:t>担保方式</w:t>
            </w:r>
          </w:p>
        </w:tc>
        <w:tc>
          <w:tcPr>
            <w:tcW w:w="1417" w:type="dxa"/>
          </w:tcPr>
          <w:p w14:paraId="2363FB59" w14:textId="77777777" w:rsidR="00A052DC" w:rsidRDefault="009F0A60">
            <w:pPr>
              <w:rPr>
                <w:rFonts w:ascii="黑体" w:eastAsia="黑体" w:hAnsi="黑体"/>
                <w:sz w:val="20"/>
                <w:szCs w:val="20"/>
              </w:rPr>
            </w:pPr>
            <w:r>
              <w:rPr>
                <w:rFonts w:ascii="黑体" w:eastAsia="黑体" w:hAnsi="黑体" w:hint="eastAsia"/>
                <w:sz w:val="20"/>
                <w:szCs w:val="20"/>
              </w:rPr>
              <w:t>字符型，2</w:t>
            </w:r>
          </w:p>
        </w:tc>
        <w:tc>
          <w:tcPr>
            <w:tcW w:w="3827" w:type="dxa"/>
          </w:tcPr>
          <w:p w14:paraId="4DAE4625" w14:textId="77777777" w:rsidR="00A052DC" w:rsidRDefault="009F0A60">
            <w:pPr>
              <w:rPr>
                <w:rFonts w:ascii="黑体" w:eastAsia="黑体" w:hAnsi="黑体"/>
                <w:sz w:val="20"/>
                <w:szCs w:val="20"/>
              </w:rPr>
            </w:pPr>
            <w:r>
              <w:rPr>
                <w:rFonts w:ascii="黑体" w:eastAsia="黑体" w:hAnsi="黑体" w:hint="eastAsia"/>
                <w:sz w:val="20"/>
                <w:szCs w:val="20"/>
              </w:rPr>
              <w:t>必填项，见担保方式代码表。</w:t>
            </w:r>
          </w:p>
        </w:tc>
      </w:tr>
      <w:tr w:rsidR="00A052DC" w14:paraId="5BF75FF4" w14:textId="77777777">
        <w:tc>
          <w:tcPr>
            <w:tcW w:w="1560" w:type="dxa"/>
          </w:tcPr>
          <w:p w14:paraId="0DF69AF1" w14:textId="77777777" w:rsidR="00A052DC" w:rsidRDefault="009F0A60">
            <w:pPr>
              <w:rPr>
                <w:rFonts w:ascii="黑体" w:eastAsia="黑体" w:hAnsi="黑体"/>
                <w:sz w:val="20"/>
                <w:szCs w:val="20"/>
              </w:rPr>
            </w:pPr>
            <w:r>
              <w:rPr>
                <w:rFonts w:ascii="黑体" w:eastAsia="黑体" w:hAnsi="黑体" w:hint="eastAsia"/>
                <w:color w:val="000000"/>
                <w:sz w:val="20"/>
                <w:szCs w:val="20"/>
              </w:rPr>
              <w:t>GUARANTEEOBJECT</w:t>
            </w:r>
          </w:p>
        </w:tc>
        <w:tc>
          <w:tcPr>
            <w:tcW w:w="1843" w:type="dxa"/>
          </w:tcPr>
          <w:p w14:paraId="48A2D3BC" w14:textId="77777777" w:rsidR="00A052DC" w:rsidRDefault="009F0A60">
            <w:pPr>
              <w:rPr>
                <w:rFonts w:ascii="黑体" w:eastAsia="黑体" w:hAnsi="黑体"/>
                <w:sz w:val="20"/>
                <w:szCs w:val="20"/>
              </w:rPr>
            </w:pPr>
            <w:r>
              <w:rPr>
                <w:rFonts w:ascii="黑体" w:eastAsia="黑体" w:hAnsi="黑体" w:hint="eastAsia"/>
                <w:color w:val="000000"/>
                <w:sz w:val="20"/>
                <w:szCs w:val="20"/>
              </w:rPr>
              <w:t>担保标的</w:t>
            </w:r>
          </w:p>
        </w:tc>
        <w:tc>
          <w:tcPr>
            <w:tcW w:w="1417" w:type="dxa"/>
          </w:tcPr>
          <w:p w14:paraId="29A1B860" w14:textId="77777777" w:rsidR="00A052DC" w:rsidRDefault="009F0A60">
            <w:pPr>
              <w:rPr>
                <w:rFonts w:ascii="黑体" w:eastAsia="黑体" w:hAnsi="黑体"/>
                <w:sz w:val="20"/>
                <w:szCs w:val="20"/>
              </w:rPr>
            </w:pPr>
            <w:r>
              <w:rPr>
                <w:rFonts w:ascii="黑体" w:eastAsia="黑体" w:hAnsi="黑体" w:hint="eastAsia"/>
                <w:color w:val="000000"/>
                <w:sz w:val="20"/>
                <w:szCs w:val="20"/>
              </w:rPr>
              <w:t>字符型，4</w:t>
            </w:r>
          </w:p>
        </w:tc>
        <w:tc>
          <w:tcPr>
            <w:tcW w:w="3827" w:type="dxa"/>
          </w:tcPr>
          <w:p w14:paraId="3C2B15FD" w14:textId="77777777" w:rsidR="00A052DC" w:rsidRDefault="009F0A60">
            <w:pPr>
              <w:rPr>
                <w:rFonts w:ascii="黑体" w:eastAsia="黑体" w:hAnsi="黑体"/>
                <w:sz w:val="20"/>
                <w:szCs w:val="20"/>
              </w:rPr>
            </w:pPr>
            <w:r>
              <w:rPr>
                <w:rFonts w:ascii="黑体" w:eastAsia="黑体" w:hAnsi="黑体" w:hint="eastAsia"/>
                <w:color w:val="000000"/>
                <w:sz w:val="20"/>
                <w:szCs w:val="20"/>
              </w:rPr>
              <w:t>必填项，见担保标的代码表。</w:t>
            </w:r>
          </w:p>
        </w:tc>
      </w:tr>
      <w:tr w:rsidR="00A052DC" w14:paraId="505080BE" w14:textId="77777777">
        <w:tc>
          <w:tcPr>
            <w:tcW w:w="1560" w:type="dxa"/>
            <w:tcBorders>
              <w:top w:val="single" w:sz="4" w:space="0" w:color="auto"/>
              <w:left w:val="single" w:sz="4" w:space="0" w:color="auto"/>
              <w:bottom w:val="single" w:sz="4" w:space="0" w:color="auto"/>
              <w:right w:val="single" w:sz="4" w:space="0" w:color="auto"/>
            </w:tcBorders>
          </w:tcPr>
          <w:p w14:paraId="3C28F3B3" w14:textId="77777777" w:rsidR="00A052DC" w:rsidRDefault="009F0A60">
            <w:pPr>
              <w:rPr>
                <w:rFonts w:ascii="黑体" w:eastAsia="黑体" w:hAnsi="黑体"/>
                <w:sz w:val="20"/>
                <w:szCs w:val="20"/>
              </w:rPr>
            </w:pPr>
            <w:r>
              <w:rPr>
                <w:rFonts w:ascii="黑体" w:eastAsia="黑体" w:hAnsi="黑体" w:hint="eastAsia"/>
                <w:sz w:val="20"/>
                <w:szCs w:val="20"/>
              </w:rPr>
              <w:t>REMARK</w:t>
            </w:r>
          </w:p>
        </w:tc>
        <w:tc>
          <w:tcPr>
            <w:tcW w:w="1843" w:type="dxa"/>
            <w:tcBorders>
              <w:top w:val="single" w:sz="4" w:space="0" w:color="auto"/>
              <w:left w:val="single" w:sz="4" w:space="0" w:color="auto"/>
              <w:bottom w:val="single" w:sz="4" w:space="0" w:color="auto"/>
              <w:right w:val="single" w:sz="4" w:space="0" w:color="auto"/>
            </w:tcBorders>
          </w:tcPr>
          <w:p w14:paraId="0A19EEA0" w14:textId="77777777" w:rsidR="00A052DC" w:rsidRDefault="009F0A60">
            <w:pPr>
              <w:rPr>
                <w:rFonts w:ascii="黑体" w:eastAsia="黑体" w:hAnsi="黑体"/>
                <w:sz w:val="20"/>
                <w:szCs w:val="20"/>
              </w:rPr>
            </w:pPr>
            <w:r>
              <w:rPr>
                <w:rFonts w:ascii="黑体" w:eastAsia="黑体" w:hAnsi="黑体" w:hint="eastAsia"/>
                <w:sz w:val="20"/>
                <w:szCs w:val="20"/>
              </w:rPr>
              <w:t>备注</w:t>
            </w:r>
          </w:p>
        </w:tc>
        <w:tc>
          <w:tcPr>
            <w:tcW w:w="1417" w:type="dxa"/>
            <w:tcBorders>
              <w:top w:val="single" w:sz="4" w:space="0" w:color="auto"/>
              <w:left w:val="single" w:sz="4" w:space="0" w:color="auto"/>
              <w:bottom w:val="single" w:sz="4" w:space="0" w:color="auto"/>
              <w:right w:val="single" w:sz="4" w:space="0" w:color="auto"/>
            </w:tcBorders>
          </w:tcPr>
          <w:p w14:paraId="1FE42660" w14:textId="77777777" w:rsidR="00A052DC" w:rsidRDefault="009F0A60">
            <w:pPr>
              <w:rPr>
                <w:rFonts w:ascii="黑体" w:eastAsia="黑体" w:hAnsi="黑体"/>
                <w:sz w:val="20"/>
                <w:szCs w:val="20"/>
              </w:rPr>
            </w:pPr>
            <w:r>
              <w:rPr>
                <w:rFonts w:ascii="黑体" w:eastAsia="黑体" w:hAnsi="黑体" w:hint="eastAsia"/>
                <w:sz w:val="20"/>
                <w:szCs w:val="20"/>
              </w:rPr>
              <w:t>字符型，256</w:t>
            </w:r>
          </w:p>
        </w:tc>
        <w:tc>
          <w:tcPr>
            <w:tcW w:w="3827" w:type="dxa"/>
            <w:tcBorders>
              <w:top w:val="single" w:sz="4" w:space="0" w:color="auto"/>
              <w:left w:val="single" w:sz="4" w:space="0" w:color="auto"/>
              <w:bottom w:val="single" w:sz="4" w:space="0" w:color="auto"/>
              <w:right w:val="single" w:sz="4" w:space="0" w:color="auto"/>
            </w:tcBorders>
          </w:tcPr>
          <w:p w14:paraId="0EA0F7D6" w14:textId="77777777" w:rsidR="00A052DC" w:rsidRDefault="009F0A60">
            <w:pPr>
              <w:rPr>
                <w:rFonts w:ascii="黑体" w:eastAsia="黑体" w:hAnsi="黑体"/>
                <w:sz w:val="20"/>
                <w:szCs w:val="20"/>
              </w:rPr>
            </w:pPr>
            <w:r>
              <w:rPr>
                <w:rFonts w:ascii="黑体" w:eastAsia="黑体" w:hAnsi="黑体" w:hint="eastAsia"/>
                <w:sz w:val="20"/>
                <w:szCs w:val="20"/>
              </w:rPr>
              <w:t>非必填项。</w:t>
            </w:r>
          </w:p>
        </w:tc>
      </w:tr>
    </w:tbl>
    <w:p w14:paraId="3B67D51C" w14:textId="77777777" w:rsidR="00A052DC" w:rsidRDefault="00A052DC"/>
    <w:p w14:paraId="19677614" w14:textId="77777777" w:rsidR="00A052DC" w:rsidRDefault="009F0A60" w:rsidP="0020251D">
      <w:pPr>
        <w:pStyle w:val="4"/>
        <w:numPr>
          <w:ilvl w:val="3"/>
          <w:numId w:val="1"/>
        </w:numPr>
        <w:jc w:val="left"/>
      </w:pPr>
      <w:bookmarkStart w:id="1680" w:name="_Toc328635532"/>
      <w:bookmarkStart w:id="1681" w:name="_Toc454386974"/>
      <w:r>
        <w:rPr>
          <w:rFonts w:hint="eastAsia"/>
        </w:rPr>
        <w:t>变动及履约信息</w:t>
      </w:r>
      <w:bookmarkEnd w:id="1680"/>
      <w:bookmarkEnd w:id="1681"/>
    </w:p>
    <w:p w14:paraId="3129AE1D" w14:textId="77777777" w:rsidR="00A052DC" w:rsidRDefault="009F0A60" w:rsidP="0020251D">
      <w:pPr>
        <w:pStyle w:val="5"/>
        <w:numPr>
          <w:ilvl w:val="4"/>
          <w:numId w:val="1"/>
        </w:numPr>
        <w:spacing w:before="120" w:after="120" w:line="360" w:lineRule="auto"/>
        <w:jc w:val="left"/>
      </w:pPr>
      <w:bookmarkStart w:id="1682" w:name="_Toc454386975"/>
      <w:bookmarkStart w:id="1683" w:name="_Toc328635533"/>
      <w:r>
        <w:rPr>
          <w:rFonts w:hint="eastAsia"/>
        </w:rPr>
        <w:t>数据术语解释</w:t>
      </w:r>
      <w:bookmarkEnd w:id="1682"/>
      <w:bookmarkEnd w:id="1683"/>
    </w:p>
    <w:tbl>
      <w:tblPr>
        <w:tblW w:w="84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26"/>
        <w:gridCol w:w="6946"/>
      </w:tblGrid>
      <w:tr w:rsidR="00A052DC" w14:paraId="06864ECD" w14:textId="77777777">
        <w:tc>
          <w:tcPr>
            <w:tcW w:w="1526" w:type="dxa"/>
          </w:tcPr>
          <w:p w14:paraId="27096800" w14:textId="77777777" w:rsidR="00A052DC" w:rsidRDefault="009F0A60">
            <w:pPr>
              <w:jc w:val="center"/>
              <w:rPr>
                <w:rFonts w:ascii="黑体" w:eastAsia="黑体" w:hAnsi="黑体"/>
                <w:b/>
                <w:sz w:val="20"/>
                <w:szCs w:val="20"/>
              </w:rPr>
            </w:pPr>
            <w:r>
              <w:rPr>
                <w:rFonts w:ascii="黑体" w:eastAsia="黑体" w:hAnsi="黑体" w:hint="eastAsia"/>
                <w:b/>
                <w:sz w:val="20"/>
                <w:szCs w:val="20"/>
              </w:rPr>
              <w:t>基础数据项</w:t>
            </w:r>
          </w:p>
        </w:tc>
        <w:tc>
          <w:tcPr>
            <w:tcW w:w="6946" w:type="dxa"/>
          </w:tcPr>
          <w:p w14:paraId="2EE79D32" w14:textId="77777777" w:rsidR="00A052DC" w:rsidRDefault="009F0A60">
            <w:pPr>
              <w:jc w:val="center"/>
              <w:rPr>
                <w:rFonts w:ascii="黑体" w:eastAsia="黑体" w:hAnsi="黑体"/>
                <w:b/>
                <w:sz w:val="20"/>
                <w:szCs w:val="20"/>
              </w:rPr>
            </w:pPr>
            <w:r>
              <w:rPr>
                <w:rFonts w:ascii="黑体" w:eastAsia="黑体" w:hAnsi="黑体" w:hint="eastAsia"/>
                <w:b/>
                <w:sz w:val="20"/>
                <w:szCs w:val="20"/>
              </w:rPr>
              <w:t>定义</w:t>
            </w:r>
          </w:p>
        </w:tc>
      </w:tr>
      <w:tr w:rsidR="00A052DC" w14:paraId="50F8C759" w14:textId="77777777">
        <w:trPr>
          <w:cantSplit/>
          <w:trHeight w:val="218"/>
        </w:trPr>
        <w:tc>
          <w:tcPr>
            <w:tcW w:w="1526" w:type="dxa"/>
          </w:tcPr>
          <w:p w14:paraId="6989B476" w14:textId="77777777" w:rsidR="00A052DC" w:rsidRDefault="009F0A60">
            <w:pPr>
              <w:rPr>
                <w:rFonts w:ascii="黑体" w:eastAsia="黑体" w:hAnsi="黑体"/>
                <w:sz w:val="20"/>
                <w:szCs w:val="20"/>
              </w:rPr>
            </w:pPr>
            <w:r>
              <w:rPr>
                <w:rFonts w:ascii="黑体" w:eastAsia="黑体" w:hAnsi="黑体" w:hint="eastAsia"/>
                <w:sz w:val="20"/>
                <w:szCs w:val="20"/>
              </w:rPr>
              <w:t>外保内贷编号</w:t>
            </w:r>
          </w:p>
        </w:tc>
        <w:tc>
          <w:tcPr>
            <w:tcW w:w="6946" w:type="dxa"/>
          </w:tcPr>
          <w:p w14:paraId="62DCF03A" w14:textId="77777777" w:rsidR="00A052DC" w:rsidRDefault="009F0A60">
            <w:pPr>
              <w:rPr>
                <w:rFonts w:ascii="黑体" w:eastAsia="黑体" w:hAnsi="黑体"/>
                <w:sz w:val="20"/>
                <w:szCs w:val="20"/>
              </w:rPr>
            </w:pPr>
            <w:r>
              <w:rPr>
                <w:rFonts w:ascii="黑体" w:eastAsia="黑体" w:hAnsi="黑体" w:hint="eastAsia"/>
                <w:sz w:val="20"/>
                <w:szCs w:val="20"/>
              </w:rPr>
              <w:t>该笔变动信息对应的外保内贷编号。变动及履约信息不产生新的外保内贷编号，变动信息中的外保内贷编号必须为签约信息中已经报送的外保内贷编号。</w:t>
            </w:r>
          </w:p>
        </w:tc>
      </w:tr>
      <w:tr w:rsidR="00A052DC" w14:paraId="5A95EBE2" w14:textId="77777777">
        <w:trPr>
          <w:cantSplit/>
          <w:trHeight w:val="218"/>
        </w:trPr>
        <w:tc>
          <w:tcPr>
            <w:tcW w:w="1526" w:type="dxa"/>
          </w:tcPr>
          <w:p w14:paraId="730478D8" w14:textId="77777777" w:rsidR="00A052DC" w:rsidRDefault="009F0A60">
            <w:pPr>
              <w:rPr>
                <w:rFonts w:ascii="黑体" w:eastAsia="黑体" w:hAnsi="黑体"/>
                <w:sz w:val="20"/>
                <w:szCs w:val="20"/>
              </w:rPr>
            </w:pPr>
            <w:r>
              <w:rPr>
                <w:rFonts w:ascii="黑体" w:eastAsia="黑体" w:hAnsi="黑体" w:hint="eastAsia"/>
                <w:sz w:val="20"/>
                <w:szCs w:val="20"/>
              </w:rPr>
              <w:t>银行业务参号</w:t>
            </w:r>
          </w:p>
        </w:tc>
        <w:tc>
          <w:tcPr>
            <w:tcW w:w="6946" w:type="dxa"/>
          </w:tcPr>
          <w:p w14:paraId="0D9CFCAB" w14:textId="77777777" w:rsidR="00A052DC" w:rsidRDefault="009F0A60">
            <w:pPr>
              <w:rPr>
                <w:rFonts w:ascii="黑体" w:eastAsia="黑体" w:hAnsi="黑体"/>
                <w:sz w:val="20"/>
                <w:szCs w:val="20"/>
              </w:rPr>
            </w:pPr>
            <w:r>
              <w:rPr>
                <w:rFonts w:ascii="黑体" w:eastAsia="黑体" w:hAnsi="黑体" w:hint="eastAsia"/>
                <w:sz w:val="20"/>
                <w:szCs w:val="20"/>
              </w:rPr>
              <w:t>指该笔贷款业务在境内银行的业务参号。</w:t>
            </w:r>
          </w:p>
        </w:tc>
      </w:tr>
      <w:tr w:rsidR="00A052DC" w14:paraId="45C882D8" w14:textId="77777777">
        <w:trPr>
          <w:cantSplit/>
        </w:trPr>
        <w:tc>
          <w:tcPr>
            <w:tcW w:w="1526" w:type="dxa"/>
          </w:tcPr>
          <w:p w14:paraId="44872D0B" w14:textId="77777777" w:rsidR="00A052DC" w:rsidRDefault="009F0A60">
            <w:pPr>
              <w:rPr>
                <w:rFonts w:ascii="黑体" w:eastAsia="黑体" w:hAnsi="黑体"/>
                <w:sz w:val="20"/>
                <w:szCs w:val="20"/>
              </w:rPr>
            </w:pPr>
            <w:r>
              <w:rPr>
                <w:rFonts w:ascii="黑体" w:eastAsia="黑体" w:hAnsi="黑体" w:hint="eastAsia"/>
                <w:sz w:val="20"/>
                <w:szCs w:val="20"/>
              </w:rPr>
              <w:t>变动编号</w:t>
            </w:r>
          </w:p>
        </w:tc>
        <w:tc>
          <w:tcPr>
            <w:tcW w:w="6946" w:type="dxa"/>
          </w:tcPr>
          <w:p w14:paraId="10D7E713" w14:textId="77777777" w:rsidR="00A052DC" w:rsidRDefault="009F0A60">
            <w:pPr>
              <w:rPr>
                <w:rFonts w:ascii="黑体" w:eastAsia="黑体" w:hAnsi="黑体"/>
                <w:sz w:val="20"/>
                <w:szCs w:val="20"/>
              </w:rPr>
            </w:pPr>
            <w:r>
              <w:rPr>
                <w:rFonts w:ascii="黑体" w:eastAsia="黑体" w:hAnsi="黑体" w:hint="eastAsia"/>
                <w:sz w:val="20"/>
                <w:szCs w:val="20"/>
              </w:rPr>
              <w:t>外汇局制定编号规则，银行自行对同一笔外保内贷提款、还本、付息费、贷款余额、担保责任余额、担保履约金额等变动信息逐笔编号，用于识别同一外保内贷编号下变动数据的新增或修改。变动编号规则为</w:t>
            </w:r>
            <w:r>
              <w:rPr>
                <w:rFonts w:ascii="黑体" w:eastAsia="黑体" w:hAnsi="黑体"/>
                <w:sz w:val="20"/>
                <w:szCs w:val="20"/>
              </w:rPr>
              <w:t>4</w:t>
            </w:r>
            <w:r>
              <w:rPr>
                <w:rFonts w:ascii="黑体" w:eastAsia="黑体" w:hAnsi="黑体" w:hint="eastAsia"/>
                <w:sz w:val="20"/>
                <w:szCs w:val="20"/>
              </w:rPr>
              <w:t>位流水号，编号格式如</w:t>
            </w:r>
            <w:r>
              <w:rPr>
                <w:rFonts w:ascii="黑体" w:eastAsia="黑体" w:hAnsi="黑体"/>
                <w:sz w:val="20"/>
                <w:szCs w:val="20"/>
              </w:rPr>
              <w:t>0001</w:t>
            </w:r>
            <w:r>
              <w:rPr>
                <w:rFonts w:ascii="黑体" w:eastAsia="黑体" w:hAnsi="黑体" w:hint="eastAsia"/>
                <w:sz w:val="20"/>
                <w:szCs w:val="20"/>
              </w:rPr>
              <w:t>。</w:t>
            </w:r>
          </w:p>
        </w:tc>
      </w:tr>
      <w:tr w:rsidR="00A052DC" w14:paraId="39EA4785" w14:textId="77777777">
        <w:trPr>
          <w:cantSplit/>
        </w:trPr>
        <w:tc>
          <w:tcPr>
            <w:tcW w:w="1526" w:type="dxa"/>
          </w:tcPr>
          <w:p w14:paraId="38506220" w14:textId="77777777" w:rsidR="00A052DC" w:rsidRDefault="009F0A60">
            <w:pPr>
              <w:rPr>
                <w:rFonts w:ascii="黑体" w:eastAsia="黑体" w:hAnsi="黑体"/>
                <w:sz w:val="20"/>
                <w:szCs w:val="20"/>
              </w:rPr>
            </w:pPr>
            <w:r>
              <w:rPr>
                <w:rFonts w:ascii="黑体" w:eastAsia="黑体" w:hAnsi="黑体" w:hint="eastAsia"/>
                <w:sz w:val="20"/>
                <w:szCs w:val="20"/>
              </w:rPr>
              <w:t>变动日期</w:t>
            </w:r>
          </w:p>
        </w:tc>
        <w:tc>
          <w:tcPr>
            <w:tcW w:w="6946" w:type="dxa"/>
          </w:tcPr>
          <w:p w14:paraId="7ED12E4D" w14:textId="77777777" w:rsidR="00A052DC" w:rsidRDefault="009F0A60">
            <w:pPr>
              <w:rPr>
                <w:rFonts w:ascii="黑体" w:eastAsia="黑体" w:hAnsi="黑体"/>
                <w:sz w:val="20"/>
                <w:szCs w:val="20"/>
              </w:rPr>
            </w:pPr>
            <w:r>
              <w:rPr>
                <w:rFonts w:ascii="黑体" w:eastAsia="黑体" w:hAnsi="黑体" w:hint="eastAsia"/>
                <w:sz w:val="20"/>
                <w:szCs w:val="20"/>
              </w:rPr>
              <w:t>外保内贷实际提款、还本、付息费、履约日期。</w:t>
            </w:r>
          </w:p>
        </w:tc>
      </w:tr>
      <w:tr w:rsidR="00A052DC" w14:paraId="2C77C23E" w14:textId="77777777">
        <w:trPr>
          <w:cantSplit/>
        </w:trPr>
        <w:tc>
          <w:tcPr>
            <w:tcW w:w="1526" w:type="dxa"/>
          </w:tcPr>
          <w:p w14:paraId="6BC6836B" w14:textId="77777777" w:rsidR="00A052DC" w:rsidRDefault="009F0A60">
            <w:pPr>
              <w:rPr>
                <w:rFonts w:ascii="黑体" w:eastAsia="黑体" w:hAnsi="黑体"/>
                <w:sz w:val="20"/>
                <w:szCs w:val="20"/>
              </w:rPr>
            </w:pPr>
            <w:r>
              <w:rPr>
                <w:rFonts w:ascii="黑体" w:eastAsia="黑体" w:hAnsi="黑体" w:hint="eastAsia"/>
                <w:sz w:val="20"/>
                <w:szCs w:val="20"/>
              </w:rPr>
              <w:t>变动币种</w:t>
            </w:r>
          </w:p>
        </w:tc>
        <w:tc>
          <w:tcPr>
            <w:tcW w:w="6946" w:type="dxa"/>
          </w:tcPr>
          <w:p w14:paraId="39AC925D" w14:textId="77777777" w:rsidR="00A052DC" w:rsidRDefault="009F0A60">
            <w:pPr>
              <w:rPr>
                <w:rFonts w:ascii="黑体" w:eastAsia="黑体" w:hAnsi="黑体"/>
                <w:sz w:val="20"/>
                <w:szCs w:val="20"/>
              </w:rPr>
            </w:pPr>
            <w:r>
              <w:rPr>
                <w:rFonts w:ascii="黑体" w:eastAsia="黑体" w:hAnsi="黑体" w:hint="eastAsia"/>
                <w:sz w:val="20"/>
                <w:szCs w:val="20"/>
              </w:rPr>
              <w:t>外保内贷实际变动的币种。</w:t>
            </w:r>
          </w:p>
        </w:tc>
      </w:tr>
      <w:tr w:rsidR="00A052DC" w14:paraId="4190AEAF" w14:textId="77777777">
        <w:trPr>
          <w:cantSplit/>
        </w:trPr>
        <w:tc>
          <w:tcPr>
            <w:tcW w:w="1526" w:type="dxa"/>
          </w:tcPr>
          <w:p w14:paraId="096390CE" w14:textId="77777777" w:rsidR="00A052DC" w:rsidRDefault="009F0A60">
            <w:pPr>
              <w:rPr>
                <w:rFonts w:ascii="黑体" w:eastAsia="黑体" w:hAnsi="黑体"/>
                <w:sz w:val="20"/>
                <w:szCs w:val="20"/>
              </w:rPr>
            </w:pPr>
            <w:r>
              <w:rPr>
                <w:rFonts w:ascii="黑体" w:eastAsia="黑体" w:hAnsi="黑体" w:hint="eastAsia"/>
                <w:sz w:val="20"/>
                <w:szCs w:val="20"/>
              </w:rPr>
              <w:t>提款金额</w:t>
            </w:r>
          </w:p>
        </w:tc>
        <w:tc>
          <w:tcPr>
            <w:tcW w:w="6946" w:type="dxa"/>
          </w:tcPr>
          <w:p w14:paraId="4BB6DEDD" w14:textId="77777777" w:rsidR="00A052DC" w:rsidRDefault="009F0A60">
            <w:pPr>
              <w:rPr>
                <w:rFonts w:ascii="黑体" w:eastAsia="黑体" w:hAnsi="黑体"/>
                <w:sz w:val="20"/>
                <w:szCs w:val="20"/>
              </w:rPr>
            </w:pPr>
            <w:r>
              <w:rPr>
                <w:rFonts w:ascii="黑体" w:eastAsia="黑体" w:hAnsi="黑体" w:hint="eastAsia"/>
                <w:sz w:val="20"/>
                <w:szCs w:val="20"/>
              </w:rPr>
              <w:t>外保内贷提款金额。</w:t>
            </w:r>
          </w:p>
        </w:tc>
      </w:tr>
      <w:tr w:rsidR="00A052DC" w14:paraId="46CA8F09" w14:textId="77777777">
        <w:trPr>
          <w:cantSplit/>
        </w:trPr>
        <w:tc>
          <w:tcPr>
            <w:tcW w:w="1526" w:type="dxa"/>
          </w:tcPr>
          <w:p w14:paraId="668A46B7" w14:textId="77777777" w:rsidR="00A052DC" w:rsidRDefault="009F0A60">
            <w:pPr>
              <w:rPr>
                <w:rFonts w:ascii="黑体" w:eastAsia="黑体" w:hAnsi="黑体"/>
                <w:sz w:val="20"/>
                <w:szCs w:val="20"/>
              </w:rPr>
            </w:pPr>
            <w:r>
              <w:rPr>
                <w:rFonts w:ascii="黑体" w:eastAsia="黑体" w:hAnsi="黑体" w:hint="eastAsia"/>
                <w:sz w:val="20"/>
                <w:szCs w:val="20"/>
              </w:rPr>
              <w:t>还本金额</w:t>
            </w:r>
          </w:p>
        </w:tc>
        <w:tc>
          <w:tcPr>
            <w:tcW w:w="6946" w:type="dxa"/>
          </w:tcPr>
          <w:p w14:paraId="61C7BDD5" w14:textId="77777777" w:rsidR="00A052DC" w:rsidRDefault="009F0A60">
            <w:pPr>
              <w:rPr>
                <w:rFonts w:ascii="黑体" w:eastAsia="黑体" w:hAnsi="黑体"/>
                <w:sz w:val="20"/>
                <w:szCs w:val="20"/>
              </w:rPr>
            </w:pPr>
            <w:r>
              <w:rPr>
                <w:rFonts w:ascii="黑体" w:eastAsia="黑体" w:hAnsi="黑体" w:hint="eastAsia"/>
                <w:sz w:val="20"/>
                <w:szCs w:val="20"/>
              </w:rPr>
              <w:t>外保内贷还本金额。</w:t>
            </w:r>
          </w:p>
        </w:tc>
      </w:tr>
      <w:tr w:rsidR="00A052DC" w14:paraId="7AF65B81" w14:textId="77777777">
        <w:trPr>
          <w:cantSplit/>
        </w:trPr>
        <w:tc>
          <w:tcPr>
            <w:tcW w:w="1526" w:type="dxa"/>
          </w:tcPr>
          <w:p w14:paraId="63DE335E" w14:textId="77777777" w:rsidR="00A052DC" w:rsidRDefault="009F0A60">
            <w:pPr>
              <w:rPr>
                <w:rFonts w:ascii="黑体" w:eastAsia="黑体" w:hAnsi="黑体"/>
                <w:sz w:val="20"/>
                <w:szCs w:val="20"/>
              </w:rPr>
            </w:pPr>
            <w:r>
              <w:rPr>
                <w:rFonts w:ascii="黑体" w:eastAsia="黑体" w:hAnsi="黑体" w:hint="eastAsia"/>
                <w:sz w:val="20"/>
                <w:szCs w:val="20"/>
              </w:rPr>
              <w:t>付息费金额</w:t>
            </w:r>
          </w:p>
        </w:tc>
        <w:tc>
          <w:tcPr>
            <w:tcW w:w="6946" w:type="dxa"/>
          </w:tcPr>
          <w:p w14:paraId="5E659AF4" w14:textId="77777777" w:rsidR="00A052DC" w:rsidRDefault="009F0A60">
            <w:pPr>
              <w:rPr>
                <w:rFonts w:ascii="黑体" w:eastAsia="黑体" w:hAnsi="黑体"/>
                <w:sz w:val="20"/>
                <w:szCs w:val="20"/>
              </w:rPr>
            </w:pPr>
            <w:r>
              <w:rPr>
                <w:rFonts w:ascii="黑体" w:eastAsia="黑体" w:hAnsi="黑体" w:hint="eastAsia"/>
                <w:sz w:val="20"/>
                <w:szCs w:val="20"/>
              </w:rPr>
              <w:t>外保内贷付息费金额。</w:t>
            </w:r>
          </w:p>
        </w:tc>
      </w:tr>
      <w:tr w:rsidR="00A052DC" w14:paraId="07C0EF3E" w14:textId="77777777">
        <w:trPr>
          <w:cantSplit/>
        </w:trPr>
        <w:tc>
          <w:tcPr>
            <w:tcW w:w="1526" w:type="dxa"/>
          </w:tcPr>
          <w:p w14:paraId="58214E09" w14:textId="77777777" w:rsidR="00A052DC" w:rsidRDefault="009F0A60">
            <w:pPr>
              <w:rPr>
                <w:rFonts w:ascii="黑体" w:eastAsia="黑体" w:hAnsi="黑体"/>
                <w:sz w:val="20"/>
                <w:szCs w:val="20"/>
              </w:rPr>
            </w:pPr>
            <w:r>
              <w:rPr>
                <w:rFonts w:ascii="黑体" w:eastAsia="黑体" w:hAnsi="黑体" w:hint="eastAsia"/>
                <w:sz w:val="20"/>
                <w:szCs w:val="20"/>
              </w:rPr>
              <w:t>贷款余额</w:t>
            </w:r>
          </w:p>
        </w:tc>
        <w:tc>
          <w:tcPr>
            <w:tcW w:w="6946" w:type="dxa"/>
          </w:tcPr>
          <w:p w14:paraId="10BB97F3" w14:textId="77777777" w:rsidR="00A052DC" w:rsidRDefault="009F0A60">
            <w:pPr>
              <w:rPr>
                <w:rFonts w:ascii="黑体" w:eastAsia="黑体" w:hAnsi="黑体"/>
                <w:sz w:val="20"/>
                <w:szCs w:val="20"/>
              </w:rPr>
            </w:pPr>
            <w:r>
              <w:rPr>
                <w:rFonts w:ascii="黑体" w:eastAsia="黑体" w:hAnsi="黑体" w:hint="eastAsia"/>
                <w:sz w:val="20"/>
                <w:szCs w:val="20"/>
              </w:rPr>
              <w:t>外保内贷余额，等于累计提款金额</w:t>
            </w:r>
            <w:r>
              <w:rPr>
                <w:rFonts w:ascii="黑体" w:eastAsia="黑体" w:hAnsi="黑体"/>
                <w:sz w:val="20"/>
                <w:szCs w:val="20"/>
              </w:rPr>
              <w:t>-</w:t>
            </w:r>
            <w:r>
              <w:rPr>
                <w:rFonts w:ascii="黑体" w:eastAsia="黑体" w:hAnsi="黑体" w:hint="eastAsia"/>
                <w:sz w:val="20"/>
                <w:szCs w:val="20"/>
              </w:rPr>
              <w:t>累计还本金额。</w:t>
            </w:r>
          </w:p>
        </w:tc>
      </w:tr>
      <w:tr w:rsidR="00A052DC" w14:paraId="2F80159F" w14:textId="77777777">
        <w:trPr>
          <w:cantSplit/>
        </w:trPr>
        <w:tc>
          <w:tcPr>
            <w:tcW w:w="1526" w:type="dxa"/>
          </w:tcPr>
          <w:p w14:paraId="0FA6C636" w14:textId="77777777" w:rsidR="00A052DC" w:rsidRDefault="009F0A60">
            <w:pPr>
              <w:rPr>
                <w:rFonts w:ascii="黑体" w:eastAsia="黑体" w:hAnsi="黑体"/>
                <w:color w:val="000000" w:themeColor="text1"/>
                <w:sz w:val="20"/>
                <w:szCs w:val="20"/>
              </w:rPr>
            </w:pPr>
            <w:r>
              <w:rPr>
                <w:rFonts w:ascii="黑体" w:eastAsia="黑体" w:hAnsi="黑体" w:hint="eastAsia"/>
                <w:color w:val="000000" w:themeColor="text1"/>
                <w:sz w:val="20"/>
                <w:szCs w:val="20"/>
              </w:rPr>
              <w:t>贷款余额币种</w:t>
            </w:r>
          </w:p>
        </w:tc>
        <w:tc>
          <w:tcPr>
            <w:tcW w:w="6946" w:type="dxa"/>
          </w:tcPr>
          <w:p w14:paraId="0C0ED14C" w14:textId="77777777" w:rsidR="00A052DC" w:rsidRDefault="009F0A60">
            <w:pPr>
              <w:rPr>
                <w:rFonts w:ascii="黑体" w:eastAsia="黑体" w:hAnsi="黑体"/>
                <w:color w:val="000000" w:themeColor="text1"/>
                <w:sz w:val="20"/>
                <w:szCs w:val="20"/>
              </w:rPr>
            </w:pPr>
            <w:r>
              <w:rPr>
                <w:rFonts w:ascii="黑体" w:eastAsia="黑体" w:hAnsi="黑体" w:hint="eastAsia"/>
                <w:color w:val="000000" w:themeColor="text1"/>
                <w:sz w:val="20"/>
                <w:szCs w:val="20"/>
              </w:rPr>
              <w:t>外保内贷余额的币种。</w:t>
            </w:r>
          </w:p>
        </w:tc>
      </w:tr>
      <w:tr w:rsidR="00A052DC" w14:paraId="30C1CF7A" w14:textId="77777777">
        <w:trPr>
          <w:cantSplit/>
        </w:trPr>
        <w:tc>
          <w:tcPr>
            <w:tcW w:w="1526" w:type="dxa"/>
          </w:tcPr>
          <w:p w14:paraId="5FCA3366" w14:textId="77777777" w:rsidR="00A052DC" w:rsidRDefault="009F0A60">
            <w:pPr>
              <w:rPr>
                <w:rFonts w:ascii="黑体" w:eastAsia="黑体" w:hAnsi="黑体"/>
                <w:color w:val="000000" w:themeColor="text1"/>
                <w:sz w:val="20"/>
                <w:szCs w:val="20"/>
              </w:rPr>
            </w:pPr>
            <w:r>
              <w:rPr>
                <w:rFonts w:ascii="黑体" w:eastAsia="黑体" w:hAnsi="黑体" w:hint="eastAsia"/>
                <w:color w:val="000000" w:themeColor="text1"/>
                <w:sz w:val="20"/>
                <w:szCs w:val="20"/>
              </w:rPr>
              <w:t>担保责任余额</w:t>
            </w:r>
          </w:p>
        </w:tc>
        <w:tc>
          <w:tcPr>
            <w:tcW w:w="6946" w:type="dxa"/>
          </w:tcPr>
          <w:p w14:paraId="6B22CA8F" w14:textId="77777777" w:rsidR="00A052DC" w:rsidRDefault="009F0A60">
            <w:pPr>
              <w:rPr>
                <w:rFonts w:ascii="黑体" w:eastAsia="黑体" w:hAnsi="黑体"/>
                <w:color w:val="000000" w:themeColor="text1"/>
                <w:sz w:val="20"/>
                <w:szCs w:val="20"/>
              </w:rPr>
            </w:pPr>
            <w:r>
              <w:rPr>
                <w:rFonts w:ascii="黑体" w:eastAsia="黑体" w:hAnsi="黑体" w:hint="eastAsia"/>
                <w:color w:val="000000" w:themeColor="text1"/>
                <w:sz w:val="20"/>
                <w:szCs w:val="20"/>
              </w:rPr>
              <w:t>因担保项下主债务金额发生变化，担保责任余额发生变化。境外担保责任余额</w:t>
            </w:r>
            <w:r>
              <w:rPr>
                <w:rFonts w:ascii="黑体" w:eastAsia="黑体" w:hAnsi="黑体"/>
                <w:color w:val="000000" w:themeColor="text1"/>
                <w:sz w:val="20"/>
                <w:szCs w:val="20"/>
              </w:rPr>
              <w:t>=</w:t>
            </w:r>
            <w:r>
              <w:rPr>
                <w:rFonts w:ascii="黑体" w:eastAsia="黑体" w:hAnsi="黑体" w:hint="eastAsia"/>
                <w:color w:val="000000" w:themeColor="text1"/>
                <w:sz w:val="20"/>
                <w:szCs w:val="20"/>
              </w:rPr>
              <w:t>（贷款本金余额</w:t>
            </w:r>
            <w:r>
              <w:rPr>
                <w:rFonts w:ascii="黑体" w:eastAsia="黑体" w:hAnsi="黑体"/>
                <w:color w:val="000000" w:themeColor="text1"/>
                <w:sz w:val="20"/>
                <w:szCs w:val="20"/>
              </w:rPr>
              <w:t>+</w:t>
            </w:r>
            <w:r>
              <w:rPr>
                <w:rFonts w:ascii="黑体" w:eastAsia="黑体" w:hAnsi="黑体" w:hint="eastAsia"/>
                <w:color w:val="000000" w:themeColor="text1"/>
                <w:sz w:val="20"/>
                <w:szCs w:val="20"/>
              </w:rPr>
              <w:t>应付利息及费用）×担保比例。</w:t>
            </w:r>
          </w:p>
        </w:tc>
      </w:tr>
      <w:tr w:rsidR="00A052DC" w14:paraId="5797C651" w14:textId="77777777">
        <w:trPr>
          <w:cantSplit/>
        </w:trPr>
        <w:tc>
          <w:tcPr>
            <w:tcW w:w="1526" w:type="dxa"/>
          </w:tcPr>
          <w:p w14:paraId="16415B28" w14:textId="77777777" w:rsidR="00A052DC" w:rsidRDefault="009F0A60">
            <w:pPr>
              <w:rPr>
                <w:rFonts w:ascii="黑体" w:eastAsia="黑体" w:hAnsi="黑体"/>
                <w:color w:val="000000" w:themeColor="text1"/>
                <w:sz w:val="20"/>
                <w:szCs w:val="20"/>
              </w:rPr>
            </w:pPr>
            <w:r>
              <w:rPr>
                <w:rFonts w:ascii="黑体" w:eastAsia="黑体" w:hAnsi="黑体" w:hint="eastAsia"/>
                <w:color w:val="000000" w:themeColor="text1"/>
                <w:sz w:val="20"/>
                <w:szCs w:val="20"/>
              </w:rPr>
              <w:t>担保责任余额币种</w:t>
            </w:r>
          </w:p>
        </w:tc>
        <w:tc>
          <w:tcPr>
            <w:tcW w:w="6946" w:type="dxa"/>
          </w:tcPr>
          <w:p w14:paraId="6452CD38" w14:textId="77777777" w:rsidR="00A052DC" w:rsidRDefault="009F0A60">
            <w:pPr>
              <w:rPr>
                <w:rFonts w:ascii="黑体" w:eastAsia="黑体" w:hAnsi="黑体"/>
                <w:color w:val="000000" w:themeColor="text1"/>
                <w:sz w:val="20"/>
                <w:szCs w:val="20"/>
              </w:rPr>
            </w:pPr>
            <w:r>
              <w:rPr>
                <w:rFonts w:ascii="黑体" w:eastAsia="黑体" w:hAnsi="黑体" w:hint="eastAsia"/>
                <w:color w:val="000000" w:themeColor="text1"/>
                <w:sz w:val="20"/>
                <w:szCs w:val="20"/>
              </w:rPr>
              <w:t>担保责任余额的币种。</w:t>
            </w:r>
          </w:p>
        </w:tc>
      </w:tr>
      <w:tr w:rsidR="00A052DC" w14:paraId="5D34D08D" w14:textId="77777777">
        <w:trPr>
          <w:cantSplit/>
        </w:trPr>
        <w:tc>
          <w:tcPr>
            <w:tcW w:w="1526" w:type="dxa"/>
          </w:tcPr>
          <w:p w14:paraId="749FFD9F" w14:textId="77777777" w:rsidR="00A052DC" w:rsidRDefault="009F0A60">
            <w:pPr>
              <w:rPr>
                <w:rFonts w:ascii="黑体" w:eastAsia="黑体" w:hAnsi="黑体"/>
                <w:sz w:val="20"/>
                <w:szCs w:val="20"/>
              </w:rPr>
            </w:pPr>
            <w:r>
              <w:rPr>
                <w:rFonts w:ascii="黑体" w:eastAsia="黑体" w:hAnsi="黑体" w:hint="eastAsia"/>
                <w:sz w:val="20"/>
                <w:szCs w:val="20"/>
              </w:rPr>
              <w:t>担保履约金额</w:t>
            </w:r>
          </w:p>
        </w:tc>
        <w:tc>
          <w:tcPr>
            <w:tcW w:w="6946" w:type="dxa"/>
            <w:vAlign w:val="center"/>
          </w:tcPr>
          <w:p w14:paraId="38D1A1B1" w14:textId="77777777" w:rsidR="00A052DC" w:rsidRDefault="009F0A60">
            <w:pPr>
              <w:rPr>
                <w:rFonts w:ascii="黑体" w:eastAsia="黑体" w:hAnsi="黑体"/>
                <w:sz w:val="20"/>
                <w:szCs w:val="20"/>
              </w:rPr>
            </w:pPr>
            <w:r>
              <w:rPr>
                <w:rFonts w:ascii="黑体" w:eastAsia="黑体" w:hAnsi="黑体" w:hint="eastAsia"/>
                <w:sz w:val="20"/>
                <w:szCs w:val="20"/>
              </w:rPr>
              <w:t>当期外保内贷履约金额，非累计。</w:t>
            </w:r>
          </w:p>
        </w:tc>
      </w:tr>
      <w:tr w:rsidR="00A052DC" w14:paraId="3F910B3D" w14:textId="77777777">
        <w:trPr>
          <w:cantSplit/>
        </w:trPr>
        <w:tc>
          <w:tcPr>
            <w:tcW w:w="1526" w:type="dxa"/>
            <w:tcBorders>
              <w:top w:val="single" w:sz="6" w:space="0" w:color="auto"/>
              <w:left w:val="single" w:sz="6" w:space="0" w:color="auto"/>
              <w:bottom w:val="single" w:sz="6" w:space="0" w:color="auto"/>
              <w:right w:val="single" w:sz="6" w:space="0" w:color="auto"/>
            </w:tcBorders>
          </w:tcPr>
          <w:p w14:paraId="4E31957A" w14:textId="77777777" w:rsidR="00A052DC" w:rsidRDefault="009F0A60">
            <w:pPr>
              <w:rPr>
                <w:rFonts w:ascii="黑体" w:eastAsia="黑体" w:hAnsi="黑体"/>
                <w:sz w:val="20"/>
                <w:szCs w:val="20"/>
              </w:rPr>
            </w:pPr>
            <w:r>
              <w:rPr>
                <w:rFonts w:ascii="黑体" w:eastAsia="黑体" w:hAnsi="黑体" w:hint="eastAsia"/>
                <w:sz w:val="20"/>
                <w:szCs w:val="20"/>
              </w:rPr>
              <w:t>备注</w:t>
            </w:r>
          </w:p>
        </w:tc>
        <w:tc>
          <w:tcPr>
            <w:tcW w:w="6946" w:type="dxa"/>
            <w:tcBorders>
              <w:top w:val="single" w:sz="6" w:space="0" w:color="auto"/>
              <w:left w:val="single" w:sz="6" w:space="0" w:color="auto"/>
              <w:bottom w:val="single" w:sz="6" w:space="0" w:color="auto"/>
              <w:right w:val="single" w:sz="6" w:space="0" w:color="auto"/>
            </w:tcBorders>
            <w:vAlign w:val="center"/>
          </w:tcPr>
          <w:p w14:paraId="5F404482" w14:textId="77777777" w:rsidR="00A052DC" w:rsidRDefault="009F0A60">
            <w:pPr>
              <w:rPr>
                <w:rFonts w:ascii="黑体" w:eastAsia="黑体" w:hAnsi="黑体"/>
                <w:sz w:val="20"/>
                <w:szCs w:val="20"/>
              </w:rPr>
            </w:pPr>
            <w:r>
              <w:rPr>
                <w:rFonts w:ascii="黑体" w:eastAsia="黑体" w:hAnsi="黑体" w:hint="eastAsia"/>
                <w:sz w:val="20"/>
                <w:szCs w:val="20"/>
              </w:rPr>
              <w:t>需要说明的备注事项。</w:t>
            </w:r>
          </w:p>
        </w:tc>
      </w:tr>
    </w:tbl>
    <w:p w14:paraId="3A68FF19" w14:textId="77777777" w:rsidR="00A052DC" w:rsidRDefault="00A052DC"/>
    <w:p w14:paraId="690F370C" w14:textId="77777777" w:rsidR="00A052DC" w:rsidRDefault="009F0A60" w:rsidP="0020251D">
      <w:pPr>
        <w:pStyle w:val="5"/>
        <w:numPr>
          <w:ilvl w:val="4"/>
          <w:numId w:val="1"/>
        </w:numPr>
        <w:spacing w:before="120" w:after="120" w:line="360" w:lineRule="auto"/>
        <w:jc w:val="left"/>
      </w:pPr>
      <w:bookmarkStart w:id="1684" w:name="_Toc328635534"/>
      <w:bookmarkStart w:id="1685" w:name="_Toc454386976"/>
      <w:r>
        <w:rPr>
          <w:rFonts w:hint="eastAsia"/>
        </w:rPr>
        <w:t>数据格式</w:t>
      </w:r>
      <w:bookmarkEnd w:id="1684"/>
      <w:bookmarkEnd w:id="1685"/>
    </w:p>
    <w:p w14:paraId="07BFC6D1" w14:textId="77777777" w:rsidR="00A052DC" w:rsidRDefault="009F0A60">
      <w:r>
        <w:t>&lt;REC&gt;</w:t>
      </w:r>
    </w:p>
    <w:p w14:paraId="633AF247" w14:textId="77777777" w:rsidR="00A052DC" w:rsidRDefault="009F0A60">
      <w:r>
        <w:t>&lt;ACTIONTYPE&gt;</w:t>
      </w:r>
      <w:r>
        <w:rPr>
          <w:rFonts w:hint="eastAsia"/>
        </w:rPr>
        <w:t>操作类型</w:t>
      </w:r>
      <w:r>
        <w:t>&lt;/ACTIONTYPE&gt;</w:t>
      </w:r>
    </w:p>
    <w:p w14:paraId="676D6A07" w14:textId="77777777" w:rsidR="00A052DC" w:rsidRDefault="009F0A60">
      <w:r>
        <w:t>&lt;ACTIONDESC&gt;</w:t>
      </w:r>
      <w:r>
        <w:rPr>
          <w:rFonts w:hint="eastAsia"/>
        </w:rPr>
        <w:t>删除原因</w:t>
      </w:r>
      <w:r>
        <w:t>&lt;/ACTIONDESC&gt;</w:t>
      </w:r>
    </w:p>
    <w:p w14:paraId="6B897F62" w14:textId="77777777" w:rsidR="00A052DC" w:rsidRDefault="009F0A60">
      <w:r>
        <w:t>&lt;LOUNEXGUCODE&gt;</w:t>
      </w:r>
      <w:r>
        <w:rPr>
          <w:rFonts w:hint="eastAsia"/>
        </w:rPr>
        <w:t>外保内贷编号</w:t>
      </w:r>
      <w:r>
        <w:t>&lt;/LOUNEXGUCODE&gt;</w:t>
      </w:r>
    </w:p>
    <w:p w14:paraId="14E8C193" w14:textId="77777777" w:rsidR="00A052DC" w:rsidRDefault="009F0A60">
      <w:r>
        <w:t>&lt;BUSCODE&gt;</w:t>
      </w:r>
      <w:r>
        <w:rPr>
          <w:rFonts w:hint="eastAsia"/>
        </w:rPr>
        <w:t>银行业务参号</w:t>
      </w:r>
      <w:r>
        <w:t>&lt;/BUSCODE&gt;</w:t>
      </w:r>
    </w:p>
    <w:p w14:paraId="4056D854" w14:textId="77777777" w:rsidR="00A052DC" w:rsidRDefault="009F0A60">
      <w:r>
        <w:t>&lt;CHANGENO&gt;</w:t>
      </w:r>
      <w:r>
        <w:rPr>
          <w:rFonts w:hint="eastAsia"/>
        </w:rPr>
        <w:t>变动编号</w:t>
      </w:r>
      <w:r>
        <w:t>&lt;/CHANGENO&gt;</w:t>
      </w:r>
    </w:p>
    <w:p w14:paraId="5EB5E3A2" w14:textId="77777777" w:rsidR="00A052DC" w:rsidRDefault="009F0A60">
      <w:r>
        <w:t>&lt;CHANGEDATE&gt;</w:t>
      </w:r>
      <w:r>
        <w:rPr>
          <w:rFonts w:hint="eastAsia"/>
        </w:rPr>
        <w:t>变动日期</w:t>
      </w:r>
      <w:r>
        <w:t>&lt;/CHANGEDATE&gt;</w:t>
      </w:r>
    </w:p>
    <w:p w14:paraId="02EAA4E2" w14:textId="77777777" w:rsidR="00A052DC" w:rsidRDefault="009F0A60">
      <w:r>
        <w:t>&lt;CREDCURRCODE&gt;</w:t>
      </w:r>
      <w:r>
        <w:rPr>
          <w:rFonts w:hint="eastAsia"/>
        </w:rPr>
        <w:t>变动币种</w:t>
      </w:r>
      <w:r>
        <w:t>&lt;/CREDCURRCODE&gt;</w:t>
      </w:r>
    </w:p>
    <w:p w14:paraId="7EC41C35" w14:textId="77777777" w:rsidR="00A052DC" w:rsidRDefault="009F0A60">
      <w:r>
        <w:t>&lt;CREDWITHAMOUNT&gt;</w:t>
      </w:r>
      <w:r>
        <w:rPr>
          <w:rFonts w:hint="eastAsia"/>
        </w:rPr>
        <w:t>提款金额</w:t>
      </w:r>
      <w:r>
        <w:t>&lt;/CREDWITHAMOUNT&gt;</w:t>
      </w:r>
    </w:p>
    <w:p w14:paraId="447B209B" w14:textId="77777777" w:rsidR="00A052DC" w:rsidRDefault="009F0A60">
      <w:r>
        <w:t>&lt;CREDREPAYAMOUNT&gt;</w:t>
      </w:r>
      <w:r>
        <w:rPr>
          <w:rFonts w:hint="eastAsia"/>
        </w:rPr>
        <w:t>还本金额</w:t>
      </w:r>
      <w:r>
        <w:t>&lt;/CREDREPAYAMOUNT&gt;</w:t>
      </w:r>
    </w:p>
    <w:p w14:paraId="429EB4BF" w14:textId="77777777" w:rsidR="00A052DC" w:rsidRDefault="009F0A60">
      <w:r>
        <w:t>&lt;PICAMOUNT&gt;</w:t>
      </w:r>
      <w:r>
        <w:rPr>
          <w:rFonts w:hint="eastAsia"/>
        </w:rPr>
        <w:t>付息费金额</w:t>
      </w:r>
      <w:r>
        <w:t>&lt;/PICAMOUNT&gt;</w:t>
      </w:r>
    </w:p>
    <w:p w14:paraId="5D88E671" w14:textId="77777777" w:rsidR="00A052DC" w:rsidRDefault="009F0A60">
      <w:r>
        <w:t>&lt;CREDPRINBALA&gt;</w:t>
      </w:r>
      <w:r>
        <w:rPr>
          <w:rFonts w:hint="eastAsia"/>
        </w:rPr>
        <w:t>贷款余额</w:t>
      </w:r>
      <w:r>
        <w:t>&lt;/CREDPRINBALA&gt;</w:t>
      </w:r>
    </w:p>
    <w:p w14:paraId="67FD5BD5" w14:textId="77777777" w:rsidR="00A052DC" w:rsidRDefault="009F0A60">
      <w:r>
        <w:t>&lt;CREDPRINBALACURR&gt;</w:t>
      </w:r>
      <w:r>
        <w:rPr>
          <w:rFonts w:hint="eastAsia"/>
        </w:rPr>
        <w:t>贷款余额币种</w:t>
      </w:r>
      <w:r>
        <w:t>&lt;/ CREDPRINBALACURR&gt;</w:t>
      </w:r>
    </w:p>
    <w:p w14:paraId="7DB8F1F6" w14:textId="77777777" w:rsidR="00A052DC" w:rsidRDefault="009F0A60">
      <w:r>
        <w:t>&lt;GUARANTLIBALA&gt;</w:t>
      </w:r>
      <w:r>
        <w:rPr>
          <w:rFonts w:hint="eastAsia"/>
        </w:rPr>
        <w:t>担保责任余额</w:t>
      </w:r>
      <w:r>
        <w:t>&lt;/GUARANTLIBALA&gt;</w:t>
      </w:r>
    </w:p>
    <w:p w14:paraId="3B2766AD" w14:textId="77777777" w:rsidR="00A052DC" w:rsidRDefault="009F0A60">
      <w:r>
        <w:t>&lt; GUARANTLIBALACURR &gt;</w:t>
      </w:r>
      <w:r>
        <w:rPr>
          <w:rFonts w:hint="eastAsia"/>
        </w:rPr>
        <w:t>担保责任余额币种</w:t>
      </w:r>
      <w:r>
        <w:t>&lt;/ GUARANTLIBALACURR &gt;</w:t>
      </w:r>
    </w:p>
    <w:p w14:paraId="719ABB82" w14:textId="77777777" w:rsidR="00A052DC" w:rsidRDefault="009F0A60">
      <w:r>
        <w:t>&lt;GUPERAMOUNT&gt;</w:t>
      </w:r>
      <w:r>
        <w:rPr>
          <w:rFonts w:hint="eastAsia"/>
        </w:rPr>
        <w:t>担保履约金额</w:t>
      </w:r>
      <w:r>
        <w:t>&lt;/GUPERAMOUNT&gt;</w:t>
      </w:r>
    </w:p>
    <w:p w14:paraId="58186110" w14:textId="77777777" w:rsidR="00A052DC" w:rsidRDefault="009F0A60">
      <w:r>
        <w:t>&lt;REMARK&gt;</w:t>
      </w:r>
      <w:r>
        <w:rPr>
          <w:rFonts w:hint="eastAsia"/>
        </w:rPr>
        <w:t>备注</w:t>
      </w:r>
      <w:r>
        <w:t>&lt;/REMARK&gt;</w:t>
      </w:r>
    </w:p>
    <w:p w14:paraId="3A507FF3" w14:textId="77777777" w:rsidR="00A052DC" w:rsidRDefault="009F0A60">
      <w:r>
        <w:t>&lt;/REC&gt;</w:t>
      </w:r>
    </w:p>
    <w:p w14:paraId="3D495EA6" w14:textId="77777777" w:rsidR="00A052DC" w:rsidRDefault="009F0A60" w:rsidP="0020251D">
      <w:pPr>
        <w:pStyle w:val="5"/>
        <w:numPr>
          <w:ilvl w:val="4"/>
          <w:numId w:val="1"/>
        </w:numPr>
        <w:spacing w:before="120" w:after="120" w:line="360" w:lineRule="auto"/>
        <w:jc w:val="left"/>
      </w:pPr>
      <w:bookmarkStart w:id="1686" w:name="_Toc454386977"/>
      <w:bookmarkStart w:id="1687" w:name="_Toc328635535"/>
      <w:r>
        <w:rPr>
          <w:rFonts w:hint="eastAsia"/>
        </w:rPr>
        <w:t>数据字典</w:t>
      </w:r>
      <w:bookmarkEnd w:id="1686"/>
      <w:bookmarkEnd w:id="1687"/>
    </w:p>
    <w:tbl>
      <w:tblPr>
        <w:tblW w:w="86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560"/>
        <w:gridCol w:w="1417"/>
        <w:gridCol w:w="3827"/>
      </w:tblGrid>
      <w:tr w:rsidR="00A052DC" w14:paraId="414DCB39" w14:textId="77777777">
        <w:trPr>
          <w:tblHeader/>
        </w:trPr>
        <w:tc>
          <w:tcPr>
            <w:tcW w:w="1843" w:type="dxa"/>
            <w:shd w:val="clear" w:color="auto" w:fill="C0C0C0"/>
          </w:tcPr>
          <w:p w14:paraId="42C0EA2F" w14:textId="77777777" w:rsidR="00A052DC" w:rsidRDefault="009F0A60">
            <w:pPr>
              <w:jc w:val="center"/>
              <w:rPr>
                <w:rFonts w:ascii="黑体" w:eastAsia="黑体" w:hAnsi="黑体"/>
                <w:b/>
                <w:sz w:val="20"/>
                <w:szCs w:val="20"/>
              </w:rPr>
            </w:pPr>
            <w:r>
              <w:rPr>
                <w:rFonts w:ascii="黑体" w:eastAsia="黑体" w:hAnsi="黑体" w:hint="eastAsia"/>
                <w:b/>
                <w:sz w:val="20"/>
                <w:szCs w:val="20"/>
              </w:rPr>
              <w:t>字段</w:t>
            </w:r>
          </w:p>
        </w:tc>
        <w:tc>
          <w:tcPr>
            <w:tcW w:w="1560" w:type="dxa"/>
            <w:shd w:val="clear" w:color="auto" w:fill="C0C0C0"/>
          </w:tcPr>
          <w:p w14:paraId="7DE4EBC8" w14:textId="77777777" w:rsidR="00A052DC" w:rsidRDefault="009F0A60">
            <w:pPr>
              <w:jc w:val="center"/>
              <w:rPr>
                <w:rFonts w:ascii="黑体" w:eastAsia="黑体" w:hAnsi="黑体"/>
                <w:b/>
                <w:sz w:val="20"/>
                <w:szCs w:val="20"/>
              </w:rPr>
            </w:pPr>
            <w:r>
              <w:rPr>
                <w:rFonts w:ascii="黑体" w:eastAsia="黑体" w:hAnsi="黑体" w:hint="eastAsia"/>
                <w:b/>
                <w:sz w:val="20"/>
                <w:szCs w:val="20"/>
              </w:rPr>
              <w:t>内容</w:t>
            </w:r>
          </w:p>
        </w:tc>
        <w:tc>
          <w:tcPr>
            <w:tcW w:w="1417" w:type="dxa"/>
            <w:shd w:val="clear" w:color="auto" w:fill="C0C0C0"/>
          </w:tcPr>
          <w:p w14:paraId="52364846" w14:textId="77777777" w:rsidR="00A052DC" w:rsidRDefault="009F0A60">
            <w:pPr>
              <w:jc w:val="center"/>
              <w:rPr>
                <w:rFonts w:ascii="黑体" w:eastAsia="黑体" w:hAnsi="黑体"/>
                <w:b/>
                <w:sz w:val="20"/>
                <w:szCs w:val="20"/>
              </w:rPr>
            </w:pPr>
            <w:r>
              <w:rPr>
                <w:rFonts w:ascii="黑体" w:eastAsia="黑体" w:hAnsi="黑体" w:hint="eastAsia"/>
                <w:b/>
                <w:sz w:val="20"/>
                <w:szCs w:val="20"/>
              </w:rPr>
              <w:t>类型（长度）</w:t>
            </w:r>
          </w:p>
        </w:tc>
        <w:tc>
          <w:tcPr>
            <w:tcW w:w="3827" w:type="dxa"/>
            <w:shd w:val="clear" w:color="auto" w:fill="C0C0C0"/>
          </w:tcPr>
          <w:p w14:paraId="077F7F92" w14:textId="77777777" w:rsidR="00A052DC" w:rsidRDefault="009F0A60">
            <w:pPr>
              <w:jc w:val="center"/>
              <w:rPr>
                <w:rFonts w:ascii="黑体" w:eastAsia="黑体" w:hAnsi="黑体"/>
                <w:b/>
                <w:sz w:val="20"/>
                <w:szCs w:val="20"/>
              </w:rPr>
            </w:pPr>
            <w:r>
              <w:rPr>
                <w:rFonts w:ascii="黑体" w:eastAsia="黑体" w:hAnsi="黑体" w:hint="eastAsia"/>
                <w:b/>
                <w:sz w:val="20"/>
                <w:szCs w:val="20"/>
              </w:rPr>
              <w:t>校验</w:t>
            </w:r>
          </w:p>
        </w:tc>
      </w:tr>
      <w:tr w:rsidR="00A052DC" w14:paraId="6316A344" w14:textId="77777777">
        <w:tc>
          <w:tcPr>
            <w:tcW w:w="1843" w:type="dxa"/>
          </w:tcPr>
          <w:p w14:paraId="607A129C" w14:textId="77777777" w:rsidR="00A052DC" w:rsidRDefault="009F0A60">
            <w:pPr>
              <w:rPr>
                <w:rFonts w:ascii="黑体" w:eastAsia="黑体" w:hAnsi="黑体"/>
                <w:sz w:val="20"/>
                <w:szCs w:val="20"/>
              </w:rPr>
            </w:pPr>
            <w:r>
              <w:rPr>
                <w:rFonts w:ascii="黑体" w:eastAsia="黑体" w:hAnsi="黑体"/>
                <w:sz w:val="20"/>
                <w:szCs w:val="20"/>
              </w:rPr>
              <w:t>ACTIONTYPE</w:t>
            </w:r>
          </w:p>
        </w:tc>
        <w:tc>
          <w:tcPr>
            <w:tcW w:w="1560" w:type="dxa"/>
          </w:tcPr>
          <w:p w14:paraId="4628E0C2" w14:textId="77777777" w:rsidR="00A052DC" w:rsidRDefault="009F0A60">
            <w:pPr>
              <w:rPr>
                <w:rFonts w:ascii="黑体" w:eastAsia="黑体" w:hAnsi="黑体"/>
                <w:sz w:val="20"/>
                <w:szCs w:val="20"/>
              </w:rPr>
            </w:pPr>
            <w:r>
              <w:rPr>
                <w:rFonts w:ascii="黑体" w:eastAsia="黑体" w:hAnsi="黑体" w:hint="eastAsia"/>
                <w:sz w:val="20"/>
                <w:szCs w:val="20"/>
              </w:rPr>
              <w:t>操作类型</w:t>
            </w:r>
          </w:p>
        </w:tc>
        <w:tc>
          <w:tcPr>
            <w:tcW w:w="1417" w:type="dxa"/>
          </w:tcPr>
          <w:p w14:paraId="29435682" w14:textId="77777777" w:rsidR="00A052DC" w:rsidRDefault="009F0A60">
            <w:pPr>
              <w:rPr>
                <w:rFonts w:ascii="黑体" w:eastAsia="黑体" w:hAnsi="黑体"/>
                <w:sz w:val="20"/>
                <w:szCs w:val="20"/>
              </w:rPr>
            </w:pPr>
            <w:r>
              <w:rPr>
                <w:rFonts w:ascii="黑体" w:eastAsia="黑体" w:hAnsi="黑体" w:hint="eastAsia"/>
                <w:sz w:val="20"/>
                <w:szCs w:val="20"/>
              </w:rPr>
              <w:t>字符型，1</w:t>
            </w:r>
          </w:p>
        </w:tc>
        <w:tc>
          <w:tcPr>
            <w:tcW w:w="3827" w:type="dxa"/>
          </w:tcPr>
          <w:p w14:paraId="175A7F83" w14:textId="77777777" w:rsidR="00A052DC" w:rsidRDefault="009F0A60">
            <w:pPr>
              <w:rPr>
                <w:rFonts w:ascii="黑体" w:eastAsia="黑体" w:hAnsi="黑体"/>
                <w:sz w:val="20"/>
                <w:szCs w:val="20"/>
              </w:rPr>
            </w:pPr>
            <w:r>
              <w:rPr>
                <w:rFonts w:ascii="黑体" w:eastAsia="黑体" w:hAnsi="黑体" w:hint="eastAsia"/>
                <w:sz w:val="20"/>
                <w:szCs w:val="20"/>
              </w:rPr>
              <w:t>必填项</w:t>
            </w:r>
            <w:r w:rsidR="005D3821">
              <w:rPr>
                <w:rFonts w:ascii="黑体" w:eastAsia="黑体" w:hAnsi="黑体" w:hint="eastAsia"/>
                <w:sz w:val="20"/>
                <w:szCs w:val="20"/>
              </w:rPr>
              <w:t>。</w:t>
            </w:r>
          </w:p>
          <w:p w14:paraId="05DA869B" w14:textId="77777777" w:rsidR="00A052DC" w:rsidRDefault="009F0A60">
            <w:pPr>
              <w:rPr>
                <w:rFonts w:ascii="黑体" w:eastAsia="黑体" w:hAnsi="黑体"/>
                <w:sz w:val="20"/>
                <w:szCs w:val="20"/>
              </w:rPr>
            </w:pPr>
            <w:r>
              <w:rPr>
                <w:rFonts w:ascii="黑体" w:eastAsia="黑体" w:hAnsi="黑体" w:hint="eastAsia"/>
                <w:sz w:val="20"/>
                <w:szCs w:val="20"/>
              </w:rPr>
              <w:t>A</w:t>
            </w:r>
            <w:r w:rsidR="00AE4602">
              <w:rPr>
                <w:rFonts w:ascii="黑体" w:eastAsia="黑体" w:hAnsi="黑体" w:hint="eastAsia"/>
                <w:sz w:val="20"/>
                <w:szCs w:val="20"/>
              </w:rPr>
              <w:t>-</w:t>
            </w:r>
            <w:r>
              <w:rPr>
                <w:rFonts w:ascii="黑体" w:eastAsia="黑体" w:hAnsi="黑体" w:hint="eastAsia"/>
                <w:sz w:val="20"/>
                <w:szCs w:val="20"/>
              </w:rPr>
              <w:t>新建</w:t>
            </w:r>
          </w:p>
          <w:p w14:paraId="2B6A9CC3" w14:textId="77777777" w:rsidR="00A052DC" w:rsidRDefault="009F0A60">
            <w:pPr>
              <w:rPr>
                <w:rFonts w:ascii="黑体" w:eastAsia="黑体" w:hAnsi="黑体"/>
                <w:sz w:val="20"/>
                <w:szCs w:val="20"/>
              </w:rPr>
            </w:pPr>
            <w:r>
              <w:rPr>
                <w:rFonts w:ascii="黑体" w:eastAsia="黑体" w:hAnsi="黑体" w:hint="eastAsia"/>
                <w:sz w:val="20"/>
                <w:szCs w:val="20"/>
              </w:rPr>
              <w:t>C</w:t>
            </w:r>
            <w:r w:rsidR="00AE4602">
              <w:rPr>
                <w:rFonts w:ascii="黑体" w:eastAsia="黑体" w:hAnsi="黑体" w:hint="eastAsia"/>
                <w:sz w:val="20"/>
                <w:szCs w:val="20"/>
              </w:rPr>
              <w:t>-</w:t>
            </w:r>
            <w:r>
              <w:rPr>
                <w:rFonts w:ascii="黑体" w:eastAsia="黑体" w:hAnsi="黑体" w:hint="eastAsia"/>
                <w:sz w:val="20"/>
                <w:szCs w:val="20"/>
              </w:rPr>
              <w:t>修改</w:t>
            </w:r>
          </w:p>
          <w:p w14:paraId="340C9E03" w14:textId="77777777" w:rsidR="00A052DC" w:rsidRDefault="009F0A60">
            <w:pPr>
              <w:rPr>
                <w:rFonts w:ascii="黑体" w:eastAsia="黑体" w:hAnsi="黑体"/>
                <w:sz w:val="20"/>
                <w:szCs w:val="20"/>
              </w:rPr>
            </w:pPr>
            <w:r>
              <w:rPr>
                <w:rFonts w:ascii="黑体" w:eastAsia="黑体" w:hAnsi="黑体" w:hint="eastAsia"/>
                <w:sz w:val="20"/>
                <w:szCs w:val="20"/>
              </w:rPr>
              <w:t>D</w:t>
            </w:r>
            <w:r w:rsidR="00AE4602">
              <w:rPr>
                <w:rFonts w:ascii="黑体" w:eastAsia="黑体" w:hAnsi="黑体" w:hint="eastAsia"/>
                <w:sz w:val="20"/>
                <w:szCs w:val="20"/>
              </w:rPr>
              <w:t>-</w:t>
            </w:r>
            <w:r>
              <w:rPr>
                <w:rFonts w:ascii="黑体" w:eastAsia="黑体" w:hAnsi="黑体" w:hint="eastAsia"/>
                <w:sz w:val="20"/>
                <w:szCs w:val="20"/>
              </w:rPr>
              <w:t>删除</w:t>
            </w:r>
          </w:p>
        </w:tc>
      </w:tr>
      <w:tr w:rsidR="00A052DC" w14:paraId="350DDAF9" w14:textId="77777777">
        <w:tc>
          <w:tcPr>
            <w:tcW w:w="1843" w:type="dxa"/>
          </w:tcPr>
          <w:p w14:paraId="76826129" w14:textId="77777777" w:rsidR="00A052DC" w:rsidRDefault="009F0A60">
            <w:pPr>
              <w:rPr>
                <w:rFonts w:ascii="黑体" w:eastAsia="黑体" w:hAnsi="黑体"/>
                <w:sz w:val="20"/>
                <w:szCs w:val="20"/>
              </w:rPr>
            </w:pPr>
            <w:r>
              <w:rPr>
                <w:rFonts w:ascii="黑体" w:eastAsia="黑体" w:hAnsi="黑体"/>
                <w:sz w:val="20"/>
                <w:szCs w:val="20"/>
              </w:rPr>
              <w:t>ACTIONDESC</w:t>
            </w:r>
          </w:p>
        </w:tc>
        <w:tc>
          <w:tcPr>
            <w:tcW w:w="1560" w:type="dxa"/>
          </w:tcPr>
          <w:p w14:paraId="02D64C99" w14:textId="77777777" w:rsidR="00A052DC" w:rsidRDefault="009F0A60">
            <w:pPr>
              <w:rPr>
                <w:rFonts w:ascii="黑体" w:eastAsia="黑体" w:hAnsi="黑体"/>
                <w:sz w:val="20"/>
                <w:szCs w:val="20"/>
              </w:rPr>
            </w:pPr>
            <w:r>
              <w:rPr>
                <w:rFonts w:ascii="黑体" w:eastAsia="黑体" w:hAnsi="黑体" w:hint="eastAsia"/>
                <w:sz w:val="20"/>
                <w:szCs w:val="20"/>
              </w:rPr>
              <w:t>删除原因</w:t>
            </w:r>
          </w:p>
        </w:tc>
        <w:tc>
          <w:tcPr>
            <w:tcW w:w="1417" w:type="dxa"/>
          </w:tcPr>
          <w:p w14:paraId="72452FDE"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3827" w:type="dxa"/>
          </w:tcPr>
          <w:p w14:paraId="634A50E2" w14:textId="77777777" w:rsidR="00A052DC" w:rsidRDefault="00DD6AA3">
            <w:pPr>
              <w:rPr>
                <w:rFonts w:ascii="黑体" w:eastAsia="黑体" w:hAnsi="黑体"/>
                <w:sz w:val="20"/>
                <w:szCs w:val="20"/>
              </w:rPr>
            </w:pPr>
            <w:r>
              <w:rPr>
                <w:rFonts w:ascii="黑体" w:eastAsia="黑体" w:hAnsi="黑体" w:hint="eastAsia"/>
                <w:sz w:val="20"/>
                <w:szCs w:val="20"/>
              </w:rPr>
              <w:t>非必填项，当操作类型（ACTIONTYPE）为删除时必填。</w:t>
            </w:r>
          </w:p>
        </w:tc>
      </w:tr>
      <w:tr w:rsidR="00A052DC" w14:paraId="7480B71D" w14:textId="77777777">
        <w:tc>
          <w:tcPr>
            <w:tcW w:w="1843" w:type="dxa"/>
          </w:tcPr>
          <w:p w14:paraId="6F96595F" w14:textId="77777777" w:rsidR="00A052DC" w:rsidRDefault="009F0A60">
            <w:pPr>
              <w:rPr>
                <w:rFonts w:ascii="黑体" w:eastAsia="黑体" w:hAnsi="黑体"/>
                <w:sz w:val="20"/>
                <w:szCs w:val="20"/>
              </w:rPr>
            </w:pPr>
            <w:r>
              <w:rPr>
                <w:rFonts w:ascii="黑体" w:eastAsia="黑体" w:hAnsi="黑体"/>
                <w:sz w:val="20"/>
                <w:szCs w:val="20"/>
              </w:rPr>
              <w:t>LOUNEXGUCODE</w:t>
            </w:r>
          </w:p>
        </w:tc>
        <w:tc>
          <w:tcPr>
            <w:tcW w:w="1560" w:type="dxa"/>
          </w:tcPr>
          <w:p w14:paraId="75EF8652" w14:textId="77777777" w:rsidR="00A052DC" w:rsidRDefault="009F0A60">
            <w:pPr>
              <w:rPr>
                <w:rFonts w:ascii="黑体" w:eastAsia="黑体" w:hAnsi="黑体"/>
                <w:sz w:val="20"/>
                <w:szCs w:val="20"/>
              </w:rPr>
            </w:pPr>
            <w:r>
              <w:rPr>
                <w:rFonts w:ascii="黑体" w:eastAsia="黑体" w:hAnsi="黑体" w:hint="eastAsia"/>
                <w:sz w:val="20"/>
                <w:szCs w:val="20"/>
              </w:rPr>
              <w:t>外保内贷编号</w:t>
            </w:r>
          </w:p>
        </w:tc>
        <w:tc>
          <w:tcPr>
            <w:tcW w:w="1417" w:type="dxa"/>
          </w:tcPr>
          <w:p w14:paraId="0100FEE4" w14:textId="77777777" w:rsidR="00A052DC" w:rsidRDefault="009F0A60">
            <w:pPr>
              <w:rPr>
                <w:rFonts w:ascii="黑体" w:eastAsia="黑体" w:hAnsi="黑体"/>
                <w:sz w:val="20"/>
                <w:szCs w:val="20"/>
              </w:rPr>
            </w:pPr>
            <w:r>
              <w:rPr>
                <w:rFonts w:ascii="黑体" w:eastAsia="黑体" w:hAnsi="黑体" w:hint="eastAsia"/>
                <w:sz w:val="20"/>
                <w:szCs w:val="20"/>
              </w:rPr>
              <w:t>字符型，28</w:t>
            </w:r>
          </w:p>
        </w:tc>
        <w:tc>
          <w:tcPr>
            <w:tcW w:w="3827" w:type="dxa"/>
          </w:tcPr>
          <w:p w14:paraId="1E3F1120" w14:textId="77777777" w:rsidR="00A052DC" w:rsidRDefault="009F0A60" w:rsidP="005D3821">
            <w:pPr>
              <w:rPr>
                <w:rFonts w:ascii="黑体" w:eastAsia="黑体" w:hAnsi="黑体"/>
                <w:sz w:val="20"/>
                <w:szCs w:val="20"/>
              </w:rPr>
            </w:pPr>
            <w:r>
              <w:rPr>
                <w:rFonts w:ascii="黑体" w:eastAsia="黑体" w:hAnsi="黑体" w:hint="eastAsia"/>
                <w:sz w:val="20"/>
                <w:szCs w:val="20"/>
              </w:rPr>
              <w:t>必填项，唯一性编号。</w:t>
            </w:r>
          </w:p>
        </w:tc>
      </w:tr>
      <w:tr w:rsidR="00A052DC" w14:paraId="1BA667C5" w14:textId="77777777">
        <w:tc>
          <w:tcPr>
            <w:tcW w:w="1843" w:type="dxa"/>
          </w:tcPr>
          <w:p w14:paraId="08FDCB9D" w14:textId="77777777" w:rsidR="00A052DC" w:rsidRDefault="009F0A60">
            <w:pPr>
              <w:rPr>
                <w:rFonts w:ascii="黑体" w:eastAsia="黑体" w:hAnsi="黑体"/>
                <w:sz w:val="20"/>
                <w:szCs w:val="20"/>
              </w:rPr>
            </w:pPr>
            <w:r>
              <w:rPr>
                <w:rFonts w:ascii="黑体" w:eastAsia="黑体" w:hAnsi="黑体"/>
                <w:sz w:val="20"/>
                <w:szCs w:val="20"/>
              </w:rPr>
              <w:t>BUSCODE</w:t>
            </w:r>
          </w:p>
        </w:tc>
        <w:tc>
          <w:tcPr>
            <w:tcW w:w="1560" w:type="dxa"/>
          </w:tcPr>
          <w:p w14:paraId="0B78E97B" w14:textId="77777777" w:rsidR="00A052DC" w:rsidRDefault="009F0A60">
            <w:pPr>
              <w:rPr>
                <w:rFonts w:ascii="黑体" w:eastAsia="黑体" w:hAnsi="黑体"/>
                <w:sz w:val="20"/>
                <w:szCs w:val="20"/>
              </w:rPr>
            </w:pPr>
            <w:r>
              <w:rPr>
                <w:rFonts w:ascii="黑体" w:eastAsia="黑体" w:hAnsi="黑体" w:hint="eastAsia"/>
                <w:sz w:val="20"/>
                <w:szCs w:val="20"/>
              </w:rPr>
              <w:t>银行业务参号</w:t>
            </w:r>
          </w:p>
        </w:tc>
        <w:tc>
          <w:tcPr>
            <w:tcW w:w="1417" w:type="dxa"/>
          </w:tcPr>
          <w:p w14:paraId="38A1C3F0" w14:textId="77777777" w:rsidR="00A052DC" w:rsidRDefault="009F0A60">
            <w:pPr>
              <w:rPr>
                <w:rFonts w:ascii="黑体" w:eastAsia="黑体" w:hAnsi="黑体"/>
                <w:sz w:val="20"/>
                <w:szCs w:val="20"/>
              </w:rPr>
            </w:pPr>
            <w:r>
              <w:rPr>
                <w:rFonts w:ascii="黑体" w:eastAsia="黑体" w:hAnsi="黑体" w:hint="eastAsia"/>
                <w:sz w:val="20"/>
                <w:szCs w:val="20"/>
              </w:rPr>
              <w:t>字符型，32</w:t>
            </w:r>
          </w:p>
        </w:tc>
        <w:tc>
          <w:tcPr>
            <w:tcW w:w="3827" w:type="dxa"/>
          </w:tcPr>
          <w:p w14:paraId="30E6A721"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r w:rsidR="00A052DC" w14:paraId="75891F13" w14:textId="77777777">
        <w:tc>
          <w:tcPr>
            <w:tcW w:w="1843" w:type="dxa"/>
          </w:tcPr>
          <w:p w14:paraId="59E7AEAE" w14:textId="77777777" w:rsidR="00A052DC" w:rsidRDefault="009F0A60">
            <w:pPr>
              <w:rPr>
                <w:rFonts w:ascii="黑体" w:eastAsia="黑体" w:hAnsi="黑体"/>
                <w:sz w:val="20"/>
                <w:szCs w:val="20"/>
              </w:rPr>
            </w:pPr>
            <w:r>
              <w:rPr>
                <w:rFonts w:ascii="黑体" w:eastAsia="黑体" w:hAnsi="黑体"/>
                <w:sz w:val="20"/>
                <w:szCs w:val="20"/>
              </w:rPr>
              <w:t>CHANGENO</w:t>
            </w:r>
          </w:p>
        </w:tc>
        <w:tc>
          <w:tcPr>
            <w:tcW w:w="1560" w:type="dxa"/>
          </w:tcPr>
          <w:p w14:paraId="2825394E" w14:textId="77777777" w:rsidR="00A052DC" w:rsidRDefault="009F0A60">
            <w:pPr>
              <w:rPr>
                <w:rFonts w:ascii="黑体" w:eastAsia="黑体" w:hAnsi="黑体"/>
                <w:sz w:val="20"/>
                <w:szCs w:val="20"/>
              </w:rPr>
            </w:pPr>
            <w:r>
              <w:rPr>
                <w:rFonts w:ascii="黑体" w:eastAsia="黑体" w:hAnsi="黑体" w:hint="eastAsia"/>
                <w:sz w:val="20"/>
                <w:szCs w:val="20"/>
              </w:rPr>
              <w:t>变动编号</w:t>
            </w:r>
          </w:p>
        </w:tc>
        <w:tc>
          <w:tcPr>
            <w:tcW w:w="1417" w:type="dxa"/>
          </w:tcPr>
          <w:p w14:paraId="371434FC" w14:textId="77777777" w:rsidR="00A052DC" w:rsidRDefault="009F0A60">
            <w:pPr>
              <w:rPr>
                <w:rFonts w:ascii="黑体" w:eastAsia="黑体" w:hAnsi="黑体"/>
                <w:sz w:val="20"/>
                <w:szCs w:val="20"/>
              </w:rPr>
            </w:pPr>
            <w:r>
              <w:rPr>
                <w:rFonts w:ascii="黑体" w:eastAsia="黑体" w:hAnsi="黑体" w:hint="eastAsia"/>
                <w:sz w:val="20"/>
                <w:szCs w:val="20"/>
              </w:rPr>
              <w:t>字符型，4</w:t>
            </w:r>
          </w:p>
        </w:tc>
        <w:tc>
          <w:tcPr>
            <w:tcW w:w="3827" w:type="dxa"/>
          </w:tcPr>
          <w:p w14:paraId="1D41849C" w14:textId="77777777" w:rsidR="00A052DC" w:rsidRDefault="009F0A60">
            <w:pPr>
              <w:rPr>
                <w:rFonts w:ascii="黑体" w:eastAsia="黑体" w:hAnsi="黑体"/>
                <w:sz w:val="20"/>
                <w:szCs w:val="20"/>
              </w:rPr>
            </w:pPr>
            <w:r>
              <w:rPr>
                <w:rFonts w:ascii="黑体" w:eastAsia="黑体" w:hAnsi="黑体" w:hint="eastAsia"/>
                <w:sz w:val="20"/>
                <w:szCs w:val="20"/>
              </w:rPr>
              <w:t>必填项，记录变动情况编号。</w:t>
            </w:r>
          </w:p>
        </w:tc>
      </w:tr>
      <w:tr w:rsidR="00A052DC" w14:paraId="094A214D" w14:textId="77777777">
        <w:tc>
          <w:tcPr>
            <w:tcW w:w="1843" w:type="dxa"/>
          </w:tcPr>
          <w:p w14:paraId="287A03E8" w14:textId="77777777" w:rsidR="00A052DC" w:rsidRDefault="009F0A60">
            <w:pPr>
              <w:rPr>
                <w:rFonts w:ascii="黑体" w:eastAsia="黑体" w:hAnsi="黑体"/>
                <w:sz w:val="20"/>
                <w:szCs w:val="20"/>
              </w:rPr>
            </w:pPr>
            <w:r>
              <w:rPr>
                <w:rFonts w:ascii="黑体" w:eastAsia="黑体" w:hAnsi="黑体"/>
                <w:sz w:val="20"/>
                <w:szCs w:val="20"/>
              </w:rPr>
              <w:t>CHANGEDATE</w:t>
            </w:r>
          </w:p>
        </w:tc>
        <w:tc>
          <w:tcPr>
            <w:tcW w:w="1560" w:type="dxa"/>
          </w:tcPr>
          <w:p w14:paraId="6BF49340" w14:textId="77777777" w:rsidR="00A052DC" w:rsidRDefault="009F0A60">
            <w:pPr>
              <w:rPr>
                <w:rFonts w:ascii="黑体" w:eastAsia="黑体" w:hAnsi="黑体"/>
                <w:sz w:val="20"/>
                <w:szCs w:val="20"/>
              </w:rPr>
            </w:pPr>
            <w:r>
              <w:rPr>
                <w:rFonts w:ascii="黑体" w:eastAsia="黑体" w:hAnsi="黑体" w:hint="eastAsia"/>
                <w:sz w:val="20"/>
                <w:szCs w:val="20"/>
              </w:rPr>
              <w:t>变动日期</w:t>
            </w:r>
          </w:p>
        </w:tc>
        <w:tc>
          <w:tcPr>
            <w:tcW w:w="1417" w:type="dxa"/>
          </w:tcPr>
          <w:p w14:paraId="20C1F264" w14:textId="77777777" w:rsidR="00A052DC" w:rsidRDefault="009F0A60">
            <w:pPr>
              <w:rPr>
                <w:rFonts w:ascii="黑体" w:eastAsia="黑体" w:hAnsi="黑体"/>
                <w:sz w:val="20"/>
                <w:szCs w:val="20"/>
              </w:rPr>
            </w:pPr>
            <w:r>
              <w:rPr>
                <w:rFonts w:ascii="黑体" w:eastAsia="黑体" w:hAnsi="黑体" w:hint="eastAsia"/>
                <w:sz w:val="20"/>
                <w:szCs w:val="20"/>
              </w:rPr>
              <w:t>日期型，8</w:t>
            </w:r>
          </w:p>
        </w:tc>
        <w:tc>
          <w:tcPr>
            <w:tcW w:w="3827" w:type="dxa"/>
          </w:tcPr>
          <w:p w14:paraId="4B7CAEC9" w14:textId="77777777" w:rsidR="00A052DC" w:rsidRDefault="009F0A60">
            <w:pPr>
              <w:rPr>
                <w:rFonts w:ascii="黑体" w:eastAsia="黑体" w:hAnsi="黑体"/>
                <w:sz w:val="20"/>
                <w:szCs w:val="20"/>
              </w:rPr>
            </w:pPr>
            <w:r>
              <w:rPr>
                <w:rFonts w:ascii="黑体" w:eastAsia="黑体" w:hAnsi="黑体" w:hint="eastAsia"/>
                <w:sz w:val="20"/>
                <w:szCs w:val="20"/>
              </w:rPr>
              <w:t>必填项，格式YYYYMMDD。</w:t>
            </w:r>
          </w:p>
        </w:tc>
      </w:tr>
      <w:tr w:rsidR="00A052DC" w14:paraId="76AD989C" w14:textId="77777777">
        <w:tc>
          <w:tcPr>
            <w:tcW w:w="1843" w:type="dxa"/>
          </w:tcPr>
          <w:p w14:paraId="7BEC3700" w14:textId="77777777" w:rsidR="00A052DC" w:rsidRDefault="009F0A60">
            <w:pPr>
              <w:rPr>
                <w:rFonts w:ascii="黑体" w:eastAsia="黑体" w:hAnsi="黑体"/>
                <w:sz w:val="20"/>
                <w:szCs w:val="20"/>
              </w:rPr>
            </w:pPr>
            <w:r>
              <w:rPr>
                <w:rFonts w:ascii="黑体" w:eastAsia="黑体" w:hAnsi="黑体"/>
                <w:sz w:val="20"/>
                <w:szCs w:val="20"/>
              </w:rPr>
              <w:t>CREDcurrcode</w:t>
            </w:r>
          </w:p>
        </w:tc>
        <w:tc>
          <w:tcPr>
            <w:tcW w:w="1560" w:type="dxa"/>
          </w:tcPr>
          <w:p w14:paraId="3006E566" w14:textId="77777777" w:rsidR="00A052DC" w:rsidRDefault="009F0A60">
            <w:pPr>
              <w:rPr>
                <w:rFonts w:ascii="黑体" w:eastAsia="黑体" w:hAnsi="黑体"/>
                <w:sz w:val="20"/>
                <w:szCs w:val="20"/>
              </w:rPr>
            </w:pPr>
            <w:r>
              <w:rPr>
                <w:rFonts w:ascii="黑体" w:eastAsia="黑体" w:hAnsi="黑体" w:hint="eastAsia"/>
                <w:sz w:val="20"/>
                <w:szCs w:val="20"/>
              </w:rPr>
              <w:t>变动币种</w:t>
            </w:r>
          </w:p>
        </w:tc>
        <w:tc>
          <w:tcPr>
            <w:tcW w:w="1417" w:type="dxa"/>
          </w:tcPr>
          <w:p w14:paraId="139B5133" w14:textId="77777777" w:rsidR="00A052DC" w:rsidRDefault="009F0A60">
            <w:pPr>
              <w:rPr>
                <w:rFonts w:ascii="黑体" w:eastAsia="黑体" w:hAnsi="黑体"/>
                <w:sz w:val="20"/>
                <w:szCs w:val="20"/>
              </w:rPr>
            </w:pPr>
            <w:r>
              <w:rPr>
                <w:rFonts w:ascii="黑体" w:eastAsia="黑体" w:hAnsi="黑体" w:hint="eastAsia"/>
                <w:sz w:val="20"/>
                <w:szCs w:val="20"/>
              </w:rPr>
              <w:t>字符型，3</w:t>
            </w:r>
          </w:p>
        </w:tc>
        <w:tc>
          <w:tcPr>
            <w:tcW w:w="3827" w:type="dxa"/>
          </w:tcPr>
          <w:p w14:paraId="4886CE85" w14:textId="77777777" w:rsidR="00A052DC" w:rsidRDefault="009F0A60">
            <w:pPr>
              <w:rPr>
                <w:rFonts w:ascii="黑体" w:eastAsia="黑体" w:hAnsi="黑体"/>
                <w:sz w:val="20"/>
                <w:szCs w:val="20"/>
              </w:rPr>
            </w:pPr>
            <w:r>
              <w:rPr>
                <w:rFonts w:ascii="黑体" w:eastAsia="黑体" w:hAnsi="黑体" w:hint="eastAsia"/>
                <w:sz w:val="20"/>
                <w:szCs w:val="20"/>
              </w:rPr>
              <w:t>必填项，见币种代码表。</w:t>
            </w:r>
          </w:p>
        </w:tc>
      </w:tr>
      <w:tr w:rsidR="00A052DC" w14:paraId="6423D2D9" w14:textId="77777777">
        <w:tc>
          <w:tcPr>
            <w:tcW w:w="1843" w:type="dxa"/>
          </w:tcPr>
          <w:p w14:paraId="7CC47FC5" w14:textId="77777777" w:rsidR="00A052DC" w:rsidRDefault="009F0A60">
            <w:pPr>
              <w:rPr>
                <w:rFonts w:ascii="黑体" w:eastAsia="黑体" w:hAnsi="黑体"/>
                <w:sz w:val="20"/>
                <w:szCs w:val="20"/>
              </w:rPr>
            </w:pPr>
            <w:r>
              <w:rPr>
                <w:rFonts w:ascii="黑体" w:eastAsia="黑体" w:hAnsi="黑体"/>
                <w:sz w:val="20"/>
                <w:szCs w:val="20"/>
              </w:rPr>
              <w:t>CREDWithAMOUNT</w:t>
            </w:r>
          </w:p>
        </w:tc>
        <w:tc>
          <w:tcPr>
            <w:tcW w:w="1560" w:type="dxa"/>
          </w:tcPr>
          <w:p w14:paraId="1966A660" w14:textId="77777777" w:rsidR="00A052DC" w:rsidRDefault="009F0A60">
            <w:pPr>
              <w:rPr>
                <w:rFonts w:ascii="黑体" w:eastAsia="黑体" w:hAnsi="黑体"/>
                <w:sz w:val="20"/>
                <w:szCs w:val="20"/>
              </w:rPr>
            </w:pPr>
            <w:r>
              <w:rPr>
                <w:rFonts w:ascii="黑体" w:eastAsia="黑体" w:hAnsi="黑体" w:hint="eastAsia"/>
                <w:sz w:val="20"/>
                <w:szCs w:val="20"/>
              </w:rPr>
              <w:t>提款金额</w:t>
            </w:r>
          </w:p>
        </w:tc>
        <w:tc>
          <w:tcPr>
            <w:tcW w:w="1417" w:type="dxa"/>
          </w:tcPr>
          <w:p w14:paraId="12096374"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3827" w:type="dxa"/>
          </w:tcPr>
          <w:p w14:paraId="0D3923EC" w14:textId="77777777" w:rsidR="00A052DC" w:rsidRDefault="009F0A60">
            <w:pPr>
              <w:rPr>
                <w:rFonts w:ascii="黑体" w:eastAsia="黑体" w:hAnsi="黑体"/>
                <w:sz w:val="20"/>
                <w:szCs w:val="20"/>
              </w:rPr>
            </w:pPr>
            <w:r>
              <w:rPr>
                <w:rFonts w:ascii="黑体" w:eastAsia="黑体" w:hAnsi="黑体" w:hint="eastAsia"/>
                <w:sz w:val="20"/>
                <w:szCs w:val="20"/>
              </w:rPr>
              <w:t>非必填项，大于等于0。提款金额、还本金额、付息费金额、担保履约金额中至少有一个不为空。</w:t>
            </w:r>
          </w:p>
        </w:tc>
      </w:tr>
      <w:tr w:rsidR="00A052DC" w14:paraId="4CF6D374" w14:textId="77777777">
        <w:tc>
          <w:tcPr>
            <w:tcW w:w="1843" w:type="dxa"/>
          </w:tcPr>
          <w:p w14:paraId="4D5CBEED" w14:textId="77777777" w:rsidR="00A052DC" w:rsidRDefault="009F0A60">
            <w:pPr>
              <w:rPr>
                <w:rFonts w:ascii="黑体" w:eastAsia="黑体" w:hAnsi="黑体"/>
                <w:sz w:val="20"/>
                <w:szCs w:val="20"/>
              </w:rPr>
            </w:pPr>
            <w:r>
              <w:rPr>
                <w:rFonts w:ascii="黑体" w:eastAsia="黑体" w:hAnsi="黑体"/>
                <w:sz w:val="20"/>
                <w:szCs w:val="20"/>
              </w:rPr>
              <w:t>CREDREPAYAMOUNT</w:t>
            </w:r>
          </w:p>
        </w:tc>
        <w:tc>
          <w:tcPr>
            <w:tcW w:w="1560" w:type="dxa"/>
          </w:tcPr>
          <w:p w14:paraId="7A1559BE" w14:textId="77777777" w:rsidR="00A052DC" w:rsidRDefault="009F0A60">
            <w:pPr>
              <w:rPr>
                <w:rFonts w:ascii="黑体" w:eastAsia="黑体" w:hAnsi="黑体"/>
                <w:sz w:val="20"/>
                <w:szCs w:val="20"/>
              </w:rPr>
            </w:pPr>
            <w:r>
              <w:rPr>
                <w:rFonts w:ascii="黑体" w:eastAsia="黑体" w:hAnsi="黑体" w:hint="eastAsia"/>
                <w:sz w:val="20"/>
                <w:szCs w:val="20"/>
              </w:rPr>
              <w:t>还本金额</w:t>
            </w:r>
          </w:p>
        </w:tc>
        <w:tc>
          <w:tcPr>
            <w:tcW w:w="1417" w:type="dxa"/>
          </w:tcPr>
          <w:p w14:paraId="2020D173"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3827" w:type="dxa"/>
          </w:tcPr>
          <w:p w14:paraId="260FF355" w14:textId="77777777" w:rsidR="00A052DC" w:rsidRDefault="009F0A60">
            <w:pPr>
              <w:rPr>
                <w:rFonts w:ascii="黑体" w:eastAsia="黑体" w:hAnsi="黑体"/>
                <w:sz w:val="20"/>
                <w:szCs w:val="20"/>
              </w:rPr>
            </w:pPr>
            <w:r>
              <w:rPr>
                <w:rFonts w:ascii="黑体" w:eastAsia="黑体" w:hAnsi="黑体" w:hint="eastAsia"/>
                <w:sz w:val="20"/>
                <w:szCs w:val="20"/>
              </w:rPr>
              <w:t>非必填项，大于等于0。提款金额、还本金额、付息费金额、担保履约金额中至少有一个不为空。</w:t>
            </w:r>
          </w:p>
        </w:tc>
      </w:tr>
      <w:tr w:rsidR="00A052DC" w14:paraId="15108A2B" w14:textId="77777777">
        <w:tc>
          <w:tcPr>
            <w:tcW w:w="1843" w:type="dxa"/>
          </w:tcPr>
          <w:p w14:paraId="341ADF3C" w14:textId="77777777" w:rsidR="00A052DC" w:rsidRDefault="009F0A60">
            <w:pPr>
              <w:rPr>
                <w:rFonts w:ascii="黑体" w:eastAsia="黑体" w:hAnsi="黑体"/>
                <w:sz w:val="20"/>
                <w:szCs w:val="20"/>
              </w:rPr>
            </w:pPr>
            <w:r>
              <w:rPr>
                <w:rFonts w:ascii="黑体" w:eastAsia="黑体" w:hAnsi="黑体"/>
                <w:sz w:val="20"/>
                <w:szCs w:val="20"/>
              </w:rPr>
              <w:t>PICAMOUNT</w:t>
            </w:r>
          </w:p>
        </w:tc>
        <w:tc>
          <w:tcPr>
            <w:tcW w:w="1560" w:type="dxa"/>
          </w:tcPr>
          <w:p w14:paraId="05F2CF53" w14:textId="77777777" w:rsidR="00A052DC" w:rsidRDefault="009F0A60">
            <w:pPr>
              <w:rPr>
                <w:rFonts w:ascii="黑体" w:eastAsia="黑体" w:hAnsi="黑体"/>
                <w:sz w:val="20"/>
                <w:szCs w:val="20"/>
              </w:rPr>
            </w:pPr>
            <w:r>
              <w:rPr>
                <w:rFonts w:ascii="黑体" w:eastAsia="黑体" w:hAnsi="黑体" w:hint="eastAsia"/>
                <w:sz w:val="20"/>
                <w:szCs w:val="20"/>
              </w:rPr>
              <w:t>付息费金额</w:t>
            </w:r>
          </w:p>
        </w:tc>
        <w:tc>
          <w:tcPr>
            <w:tcW w:w="1417" w:type="dxa"/>
          </w:tcPr>
          <w:p w14:paraId="4F08646A"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3827" w:type="dxa"/>
          </w:tcPr>
          <w:p w14:paraId="1001185E" w14:textId="77777777" w:rsidR="00A052DC" w:rsidRDefault="009F0A60">
            <w:pPr>
              <w:rPr>
                <w:rFonts w:ascii="黑体" w:eastAsia="黑体" w:hAnsi="黑体"/>
                <w:sz w:val="20"/>
                <w:szCs w:val="20"/>
              </w:rPr>
            </w:pPr>
            <w:r>
              <w:rPr>
                <w:rFonts w:ascii="黑体" w:eastAsia="黑体" w:hAnsi="黑体" w:hint="eastAsia"/>
                <w:sz w:val="20"/>
                <w:szCs w:val="20"/>
              </w:rPr>
              <w:t>非必填项，大于等于0。提款金额、还本金额、付息费金额、担保履约金额中至少有一个不为空。</w:t>
            </w:r>
          </w:p>
        </w:tc>
      </w:tr>
      <w:tr w:rsidR="00A052DC" w14:paraId="751F4D13" w14:textId="77777777">
        <w:tc>
          <w:tcPr>
            <w:tcW w:w="1843" w:type="dxa"/>
          </w:tcPr>
          <w:p w14:paraId="36915A0E" w14:textId="77777777" w:rsidR="00A052DC" w:rsidRDefault="009F0A60">
            <w:pPr>
              <w:rPr>
                <w:rFonts w:ascii="黑体" w:eastAsia="黑体" w:hAnsi="黑体"/>
                <w:sz w:val="20"/>
                <w:szCs w:val="20"/>
              </w:rPr>
            </w:pPr>
            <w:r>
              <w:rPr>
                <w:rFonts w:ascii="黑体" w:eastAsia="黑体" w:hAnsi="黑体"/>
                <w:sz w:val="20"/>
                <w:szCs w:val="20"/>
              </w:rPr>
              <w:t>CREDPRINBALA</w:t>
            </w:r>
          </w:p>
        </w:tc>
        <w:tc>
          <w:tcPr>
            <w:tcW w:w="1560" w:type="dxa"/>
          </w:tcPr>
          <w:p w14:paraId="01389B0A" w14:textId="77777777" w:rsidR="00A052DC" w:rsidRDefault="009F0A60">
            <w:pPr>
              <w:rPr>
                <w:rFonts w:ascii="黑体" w:eastAsia="黑体" w:hAnsi="黑体"/>
                <w:sz w:val="20"/>
                <w:szCs w:val="20"/>
              </w:rPr>
            </w:pPr>
            <w:r>
              <w:rPr>
                <w:rFonts w:ascii="黑体" w:eastAsia="黑体" w:hAnsi="黑体" w:hint="eastAsia"/>
                <w:sz w:val="20"/>
                <w:szCs w:val="20"/>
              </w:rPr>
              <w:t>贷款余额</w:t>
            </w:r>
          </w:p>
        </w:tc>
        <w:tc>
          <w:tcPr>
            <w:tcW w:w="1417" w:type="dxa"/>
          </w:tcPr>
          <w:p w14:paraId="73A07AD6"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3827" w:type="dxa"/>
          </w:tcPr>
          <w:p w14:paraId="6E956A63" w14:textId="77777777" w:rsidR="00A052DC" w:rsidRDefault="009F0A60">
            <w:pPr>
              <w:rPr>
                <w:rFonts w:ascii="黑体" w:eastAsia="黑体" w:hAnsi="黑体"/>
                <w:sz w:val="20"/>
                <w:szCs w:val="20"/>
              </w:rPr>
            </w:pPr>
            <w:r>
              <w:rPr>
                <w:rFonts w:ascii="黑体" w:eastAsia="黑体" w:hAnsi="黑体" w:hint="eastAsia"/>
                <w:sz w:val="20"/>
                <w:szCs w:val="20"/>
              </w:rPr>
              <w:t>必填项，大于等于0。</w:t>
            </w:r>
          </w:p>
        </w:tc>
      </w:tr>
      <w:tr w:rsidR="00A052DC" w14:paraId="5728A23B" w14:textId="77777777">
        <w:tc>
          <w:tcPr>
            <w:tcW w:w="1843" w:type="dxa"/>
          </w:tcPr>
          <w:p w14:paraId="4CDCCE82" w14:textId="77777777" w:rsidR="00A052DC" w:rsidRDefault="009F0A60">
            <w:pPr>
              <w:rPr>
                <w:rFonts w:ascii="黑体" w:eastAsia="黑体" w:hAnsi="黑体"/>
                <w:sz w:val="20"/>
                <w:szCs w:val="20"/>
              </w:rPr>
            </w:pPr>
            <w:r>
              <w:rPr>
                <w:rFonts w:ascii="黑体" w:eastAsia="黑体" w:hAnsi="黑体"/>
                <w:sz w:val="20"/>
                <w:szCs w:val="20"/>
              </w:rPr>
              <w:t>CREDPRINBALACURR</w:t>
            </w:r>
          </w:p>
        </w:tc>
        <w:tc>
          <w:tcPr>
            <w:tcW w:w="1560" w:type="dxa"/>
          </w:tcPr>
          <w:p w14:paraId="4DEB2DC3" w14:textId="77777777" w:rsidR="00A052DC" w:rsidRDefault="009F0A60">
            <w:pPr>
              <w:rPr>
                <w:rFonts w:ascii="黑体" w:eastAsia="黑体" w:hAnsi="黑体"/>
                <w:color w:val="000000" w:themeColor="text1"/>
                <w:sz w:val="20"/>
                <w:szCs w:val="20"/>
              </w:rPr>
            </w:pPr>
            <w:r>
              <w:rPr>
                <w:rFonts w:ascii="黑体" w:eastAsia="黑体" w:hAnsi="黑体" w:hint="eastAsia"/>
                <w:color w:val="000000" w:themeColor="text1"/>
                <w:sz w:val="20"/>
                <w:szCs w:val="20"/>
              </w:rPr>
              <w:t>贷款余额币种</w:t>
            </w:r>
          </w:p>
        </w:tc>
        <w:tc>
          <w:tcPr>
            <w:tcW w:w="1417" w:type="dxa"/>
          </w:tcPr>
          <w:p w14:paraId="52477831" w14:textId="77777777" w:rsidR="00A052DC" w:rsidRDefault="009F0A60">
            <w:pPr>
              <w:rPr>
                <w:rFonts w:ascii="黑体" w:eastAsia="黑体" w:hAnsi="黑体"/>
                <w:color w:val="000000" w:themeColor="text1"/>
                <w:sz w:val="20"/>
                <w:szCs w:val="20"/>
              </w:rPr>
            </w:pPr>
            <w:r>
              <w:rPr>
                <w:rFonts w:ascii="黑体" w:eastAsia="黑体" w:hAnsi="黑体" w:hint="eastAsia"/>
                <w:color w:val="000000" w:themeColor="text1"/>
                <w:sz w:val="20"/>
                <w:szCs w:val="20"/>
              </w:rPr>
              <w:t>字符型，3</w:t>
            </w:r>
          </w:p>
        </w:tc>
        <w:tc>
          <w:tcPr>
            <w:tcW w:w="3827" w:type="dxa"/>
          </w:tcPr>
          <w:p w14:paraId="1ADACE4A" w14:textId="77777777" w:rsidR="00A052DC" w:rsidRDefault="009F0A60">
            <w:pPr>
              <w:rPr>
                <w:rFonts w:ascii="黑体" w:eastAsia="黑体" w:hAnsi="黑体"/>
                <w:color w:val="000000" w:themeColor="text1"/>
                <w:sz w:val="20"/>
                <w:szCs w:val="20"/>
              </w:rPr>
            </w:pPr>
            <w:r>
              <w:rPr>
                <w:rFonts w:ascii="黑体" w:eastAsia="黑体" w:hAnsi="黑体" w:hint="eastAsia"/>
                <w:color w:val="000000" w:themeColor="text1"/>
                <w:sz w:val="20"/>
                <w:szCs w:val="20"/>
              </w:rPr>
              <w:t>必填项，见币种代码表。</w:t>
            </w:r>
          </w:p>
        </w:tc>
      </w:tr>
      <w:tr w:rsidR="00A052DC" w14:paraId="504362B5" w14:textId="77777777">
        <w:tc>
          <w:tcPr>
            <w:tcW w:w="1843" w:type="dxa"/>
          </w:tcPr>
          <w:p w14:paraId="4CE497DC" w14:textId="77777777" w:rsidR="00A052DC" w:rsidRDefault="009F0A60">
            <w:pPr>
              <w:rPr>
                <w:rFonts w:ascii="黑体" w:eastAsia="黑体" w:hAnsi="黑体"/>
                <w:sz w:val="20"/>
                <w:szCs w:val="20"/>
              </w:rPr>
            </w:pPr>
            <w:r>
              <w:rPr>
                <w:rFonts w:ascii="黑体" w:eastAsia="黑体" w:hAnsi="黑体"/>
                <w:sz w:val="20"/>
                <w:szCs w:val="20"/>
              </w:rPr>
              <w:t>GuarantLIBALA</w:t>
            </w:r>
          </w:p>
        </w:tc>
        <w:tc>
          <w:tcPr>
            <w:tcW w:w="1560" w:type="dxa"/>
          </w:tcPr>
          <w:p w14:paraId="78A2B85F" w14:textId="77777777" w:rsidR="00A052DC" w:rsidRDefault="009F0A60">
            <w:pPr>
              <w:rPr>
                <w:rFonts w:ascii="黑体" w:eastAsia="黑体" w:hAnsi="黑体"/>
                <w:color w:val="000000" w:themeColor="text1"/>
                <w:sz w:val="20"/>
                <w:szCs w:val="20"/>
              </w:rPr>
            </w:pPr>
            <w:r>
              <w:rPr>
                <w:rFonts w:ascii="黑体" w:eastAsia="黑体" w:hAnsi="黑体" w:hint="eastAsia"/>
                <w:color w:val="000000" w:themeColor="text1"/>
                <w:sz w:val="20"/>
                <w:szCs w:val="20"/>
              </w:rPr>
              <w:t>担保责任余额</w:t>
            </w:r>
          </w:p>
        </w:tc>
        <w:tc>
          <w:tcPr>
            <w:tcW w:w="1417" w:type="dxa"/>
          </w:tcPr>
          <w:p w14:paraId="15881278" w14:textId="77777777" w:rsidR="00A052DC" w:rsidRDefault="009F0A60">
            <w:pPr>
              <w:rPr>
                <w:rFonts w:ascii="黑体" w:eastAsia="黑体" w:hAnsi="黑体"/>
                <w:color w:val="000000" w:themeColor="text1"/>
                <w:sz w:val="20"/>
                <w:szCs w:val="20"/>
              </w:rPr>
            </w:pPr>
            <w:r>
              <w:rPr>
                <w:rFonts w:ascii="黑体" w:eastAsia="黑体" w:hAnsi="黑体" w:hint="eastAsia"/>
                <w:color w:val="000000" w:themeColor="text1"/>
                <w:sz w:val="20"/>
                <w:szCs w:val="20"/>
              </w:rPr>
              <w:t>数值型，22.2</w:t>
            </w:r>
          </w:p>
        </w:tc>
        <w:tc>
          <w:tcPr>
            <w:tcW w:w="3827" w:type="dxa"/>
          </w:tcPr>
          <w:p w14:paraId="2039461C" w14:textId="77777777" w:rsidR="00A052DC" w:rsidRDefault="009F0A60">
            <w:pPr>
              <w:rPr>
                <w:rFonts w:ascii="黑体" w:eastAsia="黑体" w:hAnsi="黑体"/>
                <w:color w:val="000000" w:themeColor="text1"/>
                <w:sz w:val="20"/>
                <w:szCs w:val="20"/>
              </w:rPr>
            </w:pPr>
            <w:r>
              <w:rPr>
                <w:rFonts w:ascii="黑体" w:eastAsia="黑体" w:hAnsi="黑体" w:hint="eastAsia"/>
                <w:color w:val="000000" w:themeColor="text1"/>
                <w:sz w:val="20"/>
                <w:szCs w:val="20"/>
              </w:rPr>
              <w:t>必填项。</w:t>
            </w:r>
          </w:p>
        </w:tc>
      </w:tr>
      <w:tr w:rsidR="00A052DC" w14:paraId="763CD5E0" w14:textId="77777777">
        <w:tc>
          <w:tcPr>
            <w:tcW w:w="1843" w:type="dxa"/>
          </w:tcPr>
          <w:p w14:paraId="442E9EFB" w14:textId="77777777" w:rsidR="00A052DC" w:rsidRDefault="009F0A60">
            <w:pPr>
              <w:rPr>
                <w:rFonts w:ascii="黑体" w:eastAsia="黑体" w:hAnsi="黑体"/>
                <w:sz w:val="20"/>
                <w:szCs w:val="20"/>
              </w:rPr>
            </w:pPr>
            <w:r>
              <w:rPr>
                <w:rFonts w:ascii="黑体" w:eastAsia="黑体" w:hAnsi="黑体"/>
                <w:sz w:val="20"/>
                <w:szCs w:val="20"/>
              </w:rPr>
              <w:t>GUARANTLIBALACURR</w:t>
            </w:r>
          </w:p>
        </w:tc>
        <w:tc>
          <w:tcPr>
            <w:tcW w:w="1560" w:type="dxa"/>
          </w:tcPr>
          <w:p w14:paraId="4B95EC3C" w14:textId="77777777" w:rsidR="00A052DC" w:rsidRDefault="009F0A60">
            <w:pPr>
              <w:rPr>
                <w:rFonts w:ascii="黑体" w:eastAsia="黑体" w:hAnsi="黑体"/>
                <w:color w:val="000000" w:themeColor="text1"/>
                <w:sz w:val="20"/>
                <w:szCs w:val="20"/>
              </w:rPr>
            </w:pPr>
            <w:r>
              <w:rPr>
                <w:rFonts w:ascii="黑体" w:eastAsia="黑体" w:hAnsi="黑体" w:hint="eastAsia"/>
                <w:color w:val="000000" w:themeColor="text1"/>
                <w:sz w:val="20"/>
                <w:szCs w:val="20"/>
              </w:rPr>
              <w:t>担保责任余额币种</w:t>
            </w:r>
          </w:p>
        </w:tc>
        <w:tc>
          <w:tcPr>
            <w:tcW w:w="1417" w:type="dxa"/>
          </w:tcPr>
          <w:p w14:paraId="51948699" w14:textId="77777777" w:rsidR="00A052DC" w:rsidRDefault="009F0A60">
            <w:pPr>
              <w:rPr>
                <w:rFonts w:ascii="黑体" w:eastAsia="黑体" w:hAnsi="黑体"/>
                <w:color w:val="000000" w:themeColor="text1"/>
                <w:sz w:val="20"/>
                <w:szCs w:val="20"/>
              </w:rPr>
            </w:pPr>
            <w:r>
              <w:rPr>
                <w:rFonts w:ascii="黑体" w:eastAsia="黑体" w:hAnsi="黑体" w:hint="eastAsia"/>
                <w:color w:val="000000" w:themeColor="text1"/>
                <w:sz w:val="20"/>
                <w:szCs w:val="20"/>
              </w:rPr>
              <w:t>字符型，3</w:t>
            </w:r>
          </w:p>
        </w:tc>
        <w:tc>
          <w:tcPr>
            <w:tcW w:w="3827" w:type="dxa"/>
          </w:tcPr>
          <w:p w14:paraId="49FC7C64" w14:textId="77777777" w:rsidR="00A052DC" w:rsidRDefault="009F0A60">
            <w:pPr>
              <w:rPr>
                <w:rFonts w:ascii="黑体" w:eastAsia="黑体" w:hAnsi="黑体"/>
                <w:color w:val="000000" w:themeColor="text1"/>
                <w:sz w:val="20"/>
                <w:szCs w:val="20"/>
              </w:rPr>
            </w:pPr>
            <w:r>
              <w:rPr>
                <w:rFonts w:ascii="黑体" w:eastAsia="黑体" w:hAnsi="黑体" w:hint="eastAsia"/>
                <w:color w:val="000000" w:themeColor="text1"/>
                <w:sz w:val="20"/>
                <w:szCs w:val="20"/>
              </w:rPr>
              <w:t>必填项，见币种代码表。</w:t>
            </w:r>
          </w:p>
        </w:tc>
      </w:tr>
      <w:tr w:rsidR="00A052DC" w14:paraId="5320AE90" w14:textId="77777777">
        <w:tc>
          <w:tcPr>
            <w:tcW w:w="1843" w:type="dxa"/>
          </w:tcPr>
          <w:p w14:paraId="16E5F281" w14:textId="77777777" w:rsidR="00A052DC" w:rsidRDefault="009F0A60">
            <w:pPr>
              <w:rPr>
                <w:rFonts w:ascii="黑体" w:eastAsia="黑体" w:hAnsi="黑体"/>
                <w:sz w:val="20"/>
                <w:szCs w:val="20"/>
              </w:rPr>
            </w:pPr>
            <w:r>
              <w:rPr>
                <w:rFonts w:ascii="黑体" w:eastAsia="黑体" w:hAnsi="黑体"/>
                <w:sz w:val="20"/>
                <w:szCs w:val="20"/>
              </w:rPr>
              <w:t>GuperAMOUNT</w:t>
            </w:r>
          </w:p>
        </w:tc>
        <w:tc>
          <w:tcPr>
            <w:tcW w:w="1560" w:type="dxa"/>
          </w:tcPr>
          <w:p w14:paraId="0E9509B8" w14:textId="77777777" w:rsidR="00A052DC" w:rsidRDefault="009F0A60">
            <w:pPr>
              <w:rPr>
                <w:rFonts w:ascii="黑体" w:eastAsia="黑体" w:hAnsi="黑体"/>
                <w:sz w:val="20"/>
                <w:szCs w:val="20"/>
              </w:rPr>
            </w:pPr>
            <w:r>
              <w:rPr>
                <w:rFonts w:ascii="黑体" w:eastAsia="黑体" w:hAnsi="黑体" w:hint="eastAsia"/>
                <w:sz w:val="20"/>
                <w:szCs w:val="20"/>
              </w:rPr>
              <w:t>担保履约金额</w:t>
            </w:r>
          </w:p>
        </w:tc>
        <w:tc>
          <w:tcPr>
            <w:tcW w:w="1417" w:type="dxa"/>
          </w:tcPr>
          <w:p w14:paraId="06A29CEE"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3827" w:type="dxa"/>
          </w:tcPr>
          <w:p w14:paraId="276B1C12" w14:textId="77777777" w:rsidR="00A052DC" w:rsidRDefault="009F0A60">
            <w:pPr>
              <w:rPr>
                <w:rFonts w:ascii="黑体" w:eastAsia="黑体" w:hAnsi="黑体"/>
                <w:sz w:val="20"/>
                <w:szCs w:val="20"/>
              </w:rPr>
            </w:pPr>
            <w:r>
              <w:rPr>
                <w:rFonts w:ascii="黑体" w:eastAsia="黑体" w:hAnsi="黑体" w:hint="eastAsia"/>
                <w:sz w:val="20"/>
                <w:szCs w:val="20"/>
              </w:rPr>
              <w:t>非必填项，大于等于0。提款金额、还本金额、付息费金额、担保履约金额中至少有一个不为空。</w:t>
            </w:r>
          </w:p>
        </w:tc>
      </w:tr>
      <w:tr w:rsidR="00A052DC" w14:paraId="40A7A610" w14:textId="77777777">
        <w:tc>
          <w:tcPr>
            <w:tcW w:w="1843" w:type="dxa"/>
            <w:tcBorders>
              <w:top w:val="single" w:sz="4" w:space="0" w:color="auto"/>
              <w:left w:val="single" w:sz="4" w:space="0" w:color="auto"/>
              <w:bottom w:val="single" w:sz="4" w:space="0" w:color="auto"/>
              <w:right w:val="single" w:sz="4" w:space="0" w:color="auto"/>
            </w:tcBorders>
          </w:tcPr>
          <w:p w14:paraId="27D5A3DB" w14:textId="77777777" w:rsidR="00A052DC" w:rsidRDefault="009F0A60">
            <w:pPr>
              <w:rPr>
                <w:rFonts w:ascii="黑体" w:eastAsia="黑体" w:hAnsi="黑体"/>
                <w:sz w:val="20"/>
                <w:szCs w:val="20"/>
              </w:rPr>
            </w:pPr>
            <w:r>
              <w:rPr>
                <w:rFonts w:ascii="黑体" w:eastAsia="黑体" w:hAnsi="黑体"/>
                <w:sz w:val="20"/>
                <w:szCs w:val="20"/>
              </w:rPr>
              <w:t>REMARK</w:t>
            </w:r>
          </w:p>
        </w:tc>
        <w:tc>
          <w:tcPr>
            <w:tcW w:w="1560" w:type="dxa"/>
            <w:tcBorders>
              <w:top w:val="single" w:sz="4" w:space="0" w:color="auto"/>
              <w:left w:val="single" w:sz="4" w:space="0" w:color="auto"/>
              <w:bottom w:val="single" w:sz="4" w:space="0" w:color="auto"/>
              <w:right w:val="single" w:sz="4" w:space="0" w:color="auto"/>
            </w:tcBorders>
          </w:tcPr>
          <w:p w14:paraId="49FBBE5B" w14:textId="77777777" w:rsidR="00A052DC" w:rsidRDefault="009F0A60">
            <w:pPr>
              <w:rPr>
                <w:rFonts w:ascii="黑体" w:eastAsia="黑体" w:hAnsi="黑体"/>
                <w:sz w:val="20"/>
                <w:szCs w:val="20"/>
              </w:rPr>
            </w:pPr>
            <w:r>
              <w:rPr>
                <w:rFonts w:ascii="黑体" w:eastAsia="黑体" w:hAnsi="黑体" w:hint="eastAsia"/>
                <w:sz w:val="20"/>
                <w:szCs w:val="20"/>
              </w:rPr>
              <w:t>备注</w:t>
            </w:r>
          </w:p>
        </w:tc>
        <w:tc>
          <w:tcPr>
            <w:tcW w:w="1417" w:type="dxa"/>
            <w:tcBorders>
              <w:top w:val="single" w:sz="4" w:space="0" w:color="auto"/>
              <w:left w:val="single" w:sz="4" w:space="0" w:color="auto"/>
              <w:bottom w:val="single" w:sz="4" w:space="0" w:color="auto"/>
              <w:right w:val="single" w:sz="4" w:space="0" w:color="auto"/>
            </w:tcBorders>
          </w:tcPr>
          <w:p w14:paraId="59C292EE" w14:textId="77777777" w:rsidR="00A052DC" w:rsidRDefault="009F0A60">
            <w:pPr>
              <w:rPr>
                <w:rFonts w:ascii="黑体" w:eastAsia="黑体" w:hAnsi="黑体"/>
                <w:sz w:val="20"/>
                <w:szCs w:val="20"/>
              </w:rPr>
            </w:pPr>
            <w:r>
              <w:rPr>
                <w:rFonts w:ascii="黑体" w:eastAsia="黑体" w:hAnsi="黑体" w:hint="eastAsia"/>
                <w:sz w:val="20"/>
                <w:szCs w:val="20"/>
              </w:rPr>
              <w:t>字符型，256</w:t>
            </w:r>
          </w:p>
        </w:tc>
        <w:tc>
          <w:tcPr>
            <w:tcW w:w="3827" w:type="dxa"/>
            <w:tcBorders>
              <w:top w:val="single" w:sz="4" w:space="0" w:color="auto"/>
              <w:left w:val="single" w:sz="4" w:space="0" w:color="auto"/>
              <w:bottom w:val="single" w:sz="4" w:space="0" w:color="auto"/>
              <w:right w:val="single" w:sz="4" w:space="0" w:color="auto"/>
            </w:tcBorders>
          </w:tcPr>
          <w:p w14:paraId="188BA78E" w14:textId="77777777" w:rsidR="00A052DC" w:rsidRDefault="009F0A60">
            <w:pPr>
              <w:rPr>
                <w:rFonts w:ascii="黑体" w:eastAsia="黑体" w:hAnsi="黑体"/>
                <w:sz w:val="20"/>
                <w:szCs w:val="20"/>
              </w:rPr>
            </w:pPr>
            <w:r>
              <w:rPr>
                <w:rFonts w:ascii="黑体" w:eastAsia="黑体" w:hAnsi="黑体" w:hint="eastAsia"/>
                <w:sz w:val="20"/>
                <w:szCs w:val="20"/>
              </w:rPr>
              <w:t>非必填项。</w:t>
            </w:r>
          </w:p>
        </w:tc>
      </w:tr>
    </w:tbl>
    <w:p w14:paraId="7A9A857B" w14:textId="77777777" w:rsidR="00A052DC" w:rsidRDefault="00A052DC"/>
    <w:p w14:paraId="14FFBF70" w14:textId="77777777" w:rsidR="00A052DC" w:rsidRDefault="009F0A60" w:rsidP="0020251D">
      <w:pPr>
        <w:pStyle w:val="3"/>
        <w:ind w:left="0"/>
        <w:rPr>
          <w:rFonts w:ascii="Times New Roman" w:hAnsi="Times New Roman"/>
        </w:rPr>
      </w:pPr>
      <w:bookmarkStart w:id="1688" w:name="_Toc380356266"/>
      <w:bookmarkStart w:id="1689" w:name="_Toc91455296"/>
      <w:bookmarkStart w:id="1690" w:name="_Toc454386978"/>
      <w:bookmarkStart w:id="1691" w:name="_Toc328635536"/>
      <w:bookmarkStart w:id="1692" w:name="_Toc101684469"/>
      <w:r>
        <w:rPr>
          <w:rFonts w:ascii="Times New Roman" w:hAnsi="Times New Roman" w:hint="eastAsia"/>
        </w:rPr>
        <w:t>外汇质押人民币贷款</w:t>
      </w:r>
      <w:bookmarkEnd w:id="1688"/>
      <w:bookmarkEnd w:id="1689"/>
      <w:bookmarkEnd w:id="1690"/>
      <w:bookmarkEnd w:id="1691"/>
      <w:bookmarkEnd w:id="1692"/>
    </w:p>
    <w:p w14:paraId="325FF9FD" w14:textId="77777777" w:rsidR="00A052DC" w:rsidRDefault="009F0A60" w:rsidP="0020251D">
      <w:pPr>
        <w:pStyle w:val="4"/>
        <w:numPr>
          <w:ilvl w:val="3"/>
          <w:numId w:val="1"/>
        </w:numPr>
        <w:jc w:val="left"/>
      </w:pPr>
      <w:bookmarkStart w:id="1693" w:name="_Toc454386979"/>
      <w:bookmarkStart w:id="1694" w:name="_Toc328635537"/>
      <w:r>
        <w:rPr>
          <w:rFonts w:hint="eastAsia"/>
        </w:rPr>
        <w:t>签约信息</w:t>
      </w:r>
      <w:bookmarkEnd w:id="1693"/>
      <w:bookmarkEnd w:id="1694"/>
    </w:p>
    <w:p w14:paraId="270631A2" w14:textId="77777777" w:rsidR="00A052DC" w:rsidRDefault="009F0A60" w:rsidP="0020251D">
      <w:pPr>
        <w:pStyle w:val="5"/>
        <w:numPr>
          <w:ilvl w:val="4"/>
          <w:numId w:val="1"/>
        </w:numPr>
        <w:spacing w:before="120" w:after="120" w:line="360" w:lineRule="auto"/>
        <w:jc w:val="left"/>
      </w:pPr>
      <w:bookmarkStart w:id="1695" w:name="_Toc454386980"/>
      <w:bookmarkStart w:id="1696" w:name="_Toc328635538"/>
      <w:r>
        <w:rPr>
          <w:rFonts w:hint="eastAsia"/>
        </w:rPr>
        <w:t>数据术语解释</w:t>
      </w:r>
      <w:bookmarkEnd w:id="1695"/>
      <w:bookmarkEnd w:id="1696"/>
    </w:p>
    <w:tbl>
      <w:tblPr>
        <w:tblW w:w="84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26"/>
        <w:gridCol w:w="6946"/>
      </w:tblGrid>
      <w:tr w:rsidR="00A052DC" w14:paraId="02909417" w14:textId="77777777">
        <w:tc>
          <w:tcPr>
            <w:tcW w:w="1526" w:type="dxa"/>
          </w:tcPr>
          <w:p w14:paraId="33AADBB5" w14:textId="77777777" w:rsidR="00A052DC" w:rsidRDefault="009F0A60">
            <w:pPr>
              <w:jc w:val="center"/>
              <w:rPr>
                <w:rFonts w:ascii="黑体" w:eastAsia="黑体" w:hAnsi="黑体"/>
                <w:b/>
                <w:sz w:val="20"/>
                <w:szCs w:val="20"/>
              </w:rPr>
            </w:pPr>
            <w:r>
              <w:rPr>
                <w:rFonts w:ascii="黑体" w:eastAsia="黑体" w:hAnsi="黑体" w:hint="eastAsia"/>
                <w:b/>
                <w:sz w:val="20"/>
                <w:szCs w:val="20"/>
              </w:rPr>
              <w:t>基础数据项</w:t>
            </w:r>
          </w:p>
        </w:tc>
        <w:tc>
          <w:tcPr>
            <w:tcW w:w="6946" w:type="dxa"/>
          </w:tcPr>
          <w:p w14:paraId="3CBB9003" w14:textId="77777777" w:rsidR="00A052DC" w:rsidRDefault="009F0A60">
            <w:pPr>
              <w:jc w:val="center"/>
              <w:rPr>
                <w:rFonts w:ascii="黑体" w:eastAsia="黑体" w:hAnsi="黑体"/>
                <w:b/>
                <w:sz w:val="20"/>
                <w:szCs w:val="20"/>
              </w:rPr>
            </w:pPr>
            <w:r>
              <w:rPr>
                <w:rFonts w:ascii="黑体" w:eastAsia="黑体" w:hAnsi="黑体" w:hint="eastAsia"/>
                <w:b/>
                <w:sz w:val="20"/>
                <w:szCs w:val="20"/>
              </w:rPr>
              <w:t>定义</w:t>
            </w:r>
          </w:p>
        </w:tc>
      </w:tr>
      <w:tr w:rsidR="00A052DC" w14:paraId="58975B53" w14:textId="77777777">
        <w:trPr>
          <w:cantSplit/>
          <w:trHeight w:val="218"/>
        </w:trPr>
        <w:tc>
          <w:tcPr>
            <w:tcW w:w="1526" w:type="dxa"/>
          </w:tcPr>
          <w:p w14:paraId="7F8DF764" w14:textId="77777777" w:rsidR="00A052DC" w:rsidRDefault="009F0A60">
            <w:pPr>
              <w:rPr>
                <w:rFonts w:ascii="黑体" w:eastAsia="黑体" w:hAnsi="黑体"/>
                <w:sz w:val="20"/>
                <w:szCs w:val="20"/>
              </w:rPr>
            </w:pPr>
            <w:r>
              <w:rPr>
                <w:rFonts w:ascii="黑体" w:eastAsia="黑体" w:hAnsi="黑体" w:hint="eastAsia"/>
                <w:sz w:val="20"/>
                <w:szCs w:val="20"/>
              </w:rPr>
              <w:t>外汇质押人民币贷款编号</w:t>
            </w:r>
          </w:p>
        </w:tc>
        <w:tc>
          <w:tcPr>
            <w:tcW w:w="6946" w:type="dxa"/>
          </w:tcPr>
          <w:p w14:paraId="0458AAA6" w14:textId="77777777" w:rsidR="00A052DC" w:rsidRDefault="009F0A60">
            <w:pPr>
              <w:rPr>
                <w:rFonts w:ascii="黑体" w:eastAsia="黑体" w:hAnsi="黑体"/>
                <w:sz w:val="20"/>
                <w:szCs w:val="20"/>
              </w:rPr>
            </w:pPr>
            <w:r>
              <w:rPr>
                <w:rFonts w:ascii="黑体" w:eastAsia="黑体" w:hAnsi="黑体" w:hint="eastAsia"/>
                <w:sz w:val="20"/>
                <w:szCs w:val="20"/>
              </w:rPr>
              <w:t>外汇局制定统一编号规则，银行自行对每一笔外汇质押人民币贷款进行编号，用于唯一标识该笔外汇质押人民币贷款。外汇质押人民币贷款编号共计28位。第1至2位为业务类型标识，第3位至14位为银行金融机构标识码;第15至22位为8位年月日数字（20110701）;第23至28位为该笔业务的流水号（流水码编制规则：从000001～999999）。银行向境内机构新发放一笔外汇质押人民币贷款时，需为该笔贷款编制外汇质押人民币贷款编号，同一笔贷款发生变更或展期时，不作为一笔新贷款进行登记，发生展期时，变更到期日。</w:t>
            </w:r>
          </w:p>
        </w:tc>
      </w:tr>
      <w:tr w:rsidR="00A052DC" w14:paraId="540D5783" w14:textId="77777777">
        <w:trPr>
          <w:cantSplit/>
        </w:trPr>
        <w:tc>
          <w:tcPr>
            <w:tcW w:w="1526" w:type="dxa"/>
          </w:tcPr>
          <w:p w14:paraId="419761C2" w14:textId="77777777" w:rsidR="00A052DC" w:rsidRDefault="009F0A60">
            <w:pPr>
              <w:rPr>
                <w:rFonts w:ascii="黑体" w:eastAsia="黑体" w:hAnsi="黑体"/>
                <w:sz w:val="20"/>
                <w:szCs w:val="20"/>
              </w:rPr>
            </w:pPr>
            <w:r>
              <w:rPr>
                <w:rFonts w:ascii="黑体" w:eastAsia="黑体" w:hAnsi="黑体" w:hint="eastAsia"/>
                <w:sz w:val="20"/>
                <w:szCs w:val="20"/>
              </w:rPr>
              <w:t>债权人代码</w:t>
            </w:r>
          </w:p>
        </w:tc>
        <w:tc>
          <w:tcPr>
            <w:tcW w:w="6946" w:type="dxa"/>
          </w:tcPr>
          <w:p w14:paraId="678E2AD0" w14:textId="77777777" w:rsidR="00A052DC" w:rsidRDefault="009F0A60">
            <w:pPr>
              <w:rPr>
                <w:rFonts w:ascii="黑体" w:eastAsia="黑体" w:hAnsi="黑体"/>
                <w:sz w:val="20"/>
                <w:szCs w:val="20"/>
              </w:rPr>
            </w:pPr>
            <w:r>
              <w:rPr>
                <w:rFonts w:ascii="黑体" w:eastAsia="黑体" w:hAnsi="黑体" w:hint="eastAsia"/>
                <w:sz w:val="20"/>
                <w:szCs w:val="20"/>
              </w:rPr>
              <w:t>国家外汇管理局及其分支局签发给债权银行的12位金融机构标识码编码。</w:t>
            </w:r>
          </w:p>
        </w:tc>
      </w:tr>
      <w:tr w:rsidR="00A052DC" w14:paraId="4D347435" w14:textId="77777777">
        <w:trPr>
          <w:cantSplit/>
        </w:trPr>
        <w:tc>
          <w:tcPr>
            <w:tcW w:w="1526" w:type="dxa"/>
          </w:tcPr>
          <w:p w14:paraId="1EE31049" w14:textId="77777777" w:rsidR="00A052DC" w:rsidRDefault="009F0A60">
            <w:pPr>
              <w:rPr>
                <w:rFonts w:ascii="黑体" w:eastAsia="黑体" w:hAnsi="黑体"/>
                <w:sz w:val="20"/>
                <w:szCs w:val="20"/>
              </w:rPr>
            </w:pPr>
            <w:r>
              <w:rPr>
                <w:rFonts w:ascii="黑体" w:eastAsia="黑体" w:hAnsi="黑体" w:hint="eastAsia"/>
                <w:sz w:val="20"/>
                <w:szCs w:val="20"/>
              </w:rPr>
              <w:t>债务人代码</w:t>
            </w:r>
          </w:p>
        </w:tc>
        <w:tc>
          <w:tcPr>
            <w:tcW w:w="6946" w:type="dxa"/>
          </w:tcPr>
          <w:p w14:paraId="07F4963E" w14:textId="77777777" w:rsidR="00A052DC" w:rsidRDefault="009F0A60">
            <w:pPr>
              <w:jc w:val="left"/>
              <w:rPr>
                <w:rFonts w:ascii="黑体" w:eastAsia="黑体" w:hAnsi="黑体"/>
                <w:sz w:val="20"/>
                <w:szCs w:val="20"/>
              </w:rPr>
            </w:pPr>
            <w:r>
              <w:rPr>
                <w:rFonts w:ascii="黑体" w:eastAsia="黑体" w:hAnsi="黑体" w:hint="eastAsia"/>
                <w:sz w:val="20"/>
                <w:szCs w:val="20"/>
              </w:rPr>
              <w:t>指统一社会信用代码法定载体（如营业执照）上统一社会信用代码中的第9至17位或国家外汇管理局及其分支局签发的特殊机构代码赋码通知书上的机构代码。</w:t>
            </w:r>
          </w:p>
        </w:tc>
      </w:tr>
      <w:tr w:rsidR="00A052DC" w14:paraId="36131297" w14:textId="77777777">
        <w:trPr>
          <w:cantSplit/>
        </w:trPr>
        <w:tc>
          <w:tcPr>
            <w:tcW w:w="1526" w:type="dxa"/>
          </w:tcPr>
          <w:p w14:paraId="705AEB1E" w14:textId="77777777" w:rsidR="00A052DC" w:rsidRDefault="009F0A60">
            <w:pPr>
              <w:rPr>
                <w:rFonts w:ascii="黑体" w:eastAsia="黑体" w:hAnsi="黑体"/>
                <w:sz w:val="20"/>
                <w:szCs w:val="20"/>
              </w:rPr>
            </w:pPr>
            <w:r>
              <w:rPr>
                <w:rFonts w:ascii="黑体" w:eastAsia="黑体" w:hAnsi="黑体" w:hint="eastAsia"/>
                <w:sz w:val="20"/>
                <w:szCs w:val="20"/>
              </w:rPr>
              <w:t>债务人中文名称</w:t>
            </w:r>
          </w:p>
        </w:tc>
        <w:tc>
          <w:tcPr>
            <w:tcW w:w="6946" w:type="dxa"/>
          </w:tcPr>
          <w:p w14:paraId="6AFAE43E" w14:textId="77777777" w:rsidR="00A052DC" w:rsidRDefault="009F0A60">
            <w:pPr>
              <w:rPr>
                <w:rFonts w:ascii="黑体" w:eastAsia="黑体" w:hAnsi="黑体"/>
                <w:sz w:val="20"/>
                <w:szCs w:val="20"/>
              </w:rPr>
            </w:pPr>
            <w:r>
              <w:rPr>
                <w:rFonts w:ascii="黑体" w:eastAsia="黑体" w:hAnsi="黑体" w:hint="eastAsia"/>
                <w:sz w:val="20"/>
                <w:szCs w:val="20"/>
              </w:rPr>
              <w:t>营业执照上的债务人中文名称。</w:t>
            </w:r>
          </w:p>
        </w:tc>
      </w:tr>
      <w:tr w:rsidR="00A052DC" w14:paraId="37D7CE47" w14:textId="77777777">
        <w:trPr>
          <w:cantSplit/>
        </w:trPr>
        <w:tc>
          <w:tcPr>
            <w:tcW w:w="1526" w:type="dxa"/>
          </w:tcPr>
          <w:p w14:paraId="14BCEC45" w14:textId="77777777" w:rsidR="00A052DC" w:rsidRDefault="009F0A60">
            <w:pPr>
              <w:rPr>
                <w:rFonts w:ascii="黑体" w:eastAsia="黑体" w:hAnsi="黑体"/>
                <w:sz w:val="20"/>
                <w:szCs w:val="20"/>
              </w:rPr>
            </w:pPr>
            <w:r>
              <w:rPr>
                <w:rFonts w:ascii="黑体" w:eastAsia="黑体" w:hAnsi="黑体" w:hint="eastAsia"/>
                <w:sz w:val="20"/>
                <w:szCs w:val="20"/>
              </w:rPr>
              <w:t>贷款起息日</w:t>
            </w:r>
          </w:p>
        </w:tc>
        <w:tc>
          <w:tcPr>
            <w:tcW w:w="6946" w:type="dxa"/>
          </w:tcPr>
          <w:p w14:paraId="2EC0DC7F" w14:textId="77777777" w:rsidR="00A052DC" w:rsidRDefault="009F0A60">
            <w:pPr>
              <w:rPr>
                <w:rFonts w:ascii="黑体" w:eastAsia="黑体" w:hAnsi="黑体"/>
                <w:sz w:val="20"/>
                <w:szCs w:val="20"/>
              </w:rPr>
            </w:pPr>
            <w:r>
              <w:rPr>
                <w:rFonts w:ascii="黑体" w:eastAsia="黑体" w:hAnsi="黑体" w:hint="eastAsia"/>
                <w:sz w:val="20"/>
                <w:szCs w:val="20"/>
              </w:rPr>
              <w:t>外汇质押人民币贷款的起息日。</w:t>
            </w:r>
          </w:p>
        </w:tc>
      </w:tr>
      <w:tr w:rsidR="00A052DC" w14:paraId="108ED25F" w14:textId="77777777">
        <w:trPr>
          <w:cantSplit/>
        </w:trPr>
        <w:tc>
          <w:tcPr>
            <w:tcW w:w="1526" w:type="dxa"/>
          </w:tcPr>
          <w:p w14:paraId="6D1140F9" w14:textId="77777777" w:rsidR="00A052DC" w:rsidRDefault="009F0A60">
            <w:pPr>
              <w:rPr>
                <w:rFonts w:ascii="黑体" w:eastAsia="黑体" w:hAnsi="黑体"/>
                <w:sz w:val="20"/>
                <w:szCs w:val="20"/>
              </w:rPr>
            </w:pPr>
            <w:r>
              <w:rPr>
                <w:rFonts w:ascii="黑体" w:eastAsia="黑体" w:hAnsi="黑体" w:hint="eastAsia"/>
                <w:sz w:val="20"/>
                <w:szCs w:val="20"/>
              </w:rPr>
              <w:t>贷款签约币种</w:t>
            </w:r>
          </w:p>
        </w:tc>
        <w:tc>
          <w:tcPr>
            <w:tcW w:w="6946" w:type="dxa"/>
          </w:tcPr>
          <w:p w14:paraId="49F67FBA" w14:textId="77777777" w:rsidR="00A052DC" w:rsidRDefault="009F0A60">
            <w:pPr>
              <w:rPr>
                <w:rFonts w:ascii="黑体" w:eastAsia="黑体" w:hAnsi="黑体"/>
                <w:sz w:val="20"/>
                <w:szCs w:val="20"/>
              </w:rPr>
            </w:pPr>
            <w:r>
              <w:rPr>
                <w:rFonts w:ascii="黑体" w:eastAsia="黑体" w:hAnsi="黑体" w:hint="eastAsia"/>
                <w:sz w:val="20"/>
                <w:szCs w:val="20"/>
              </w:rPr>
              <w:t>外汇质押人民币贷款的签约币种，默认为CNY（人民币）。</w:t>
            </w:r>
          </w:p>
        </w:tc>
      </w:tr>
      <w:tr w:rsidR="00A052DC" w14:paraId="21C2967B" w14:textId="77777777">
        <w:trPr>
          <w:cantSplit/>
        </w:trPr>
        <w:tc>
          <w:tcPr>
            <w:tcW w:w="1526" w:type="dxa"/>
          </w:tcPr>
          <w:p w14:paraId="52294B25" w14:textId="77777777" w:rsidR="00A052DC" w:rsidRDefault="009F0A60">
            <w:pPr>
              <w:rPr>
                <w:rFonts w:ascii="黑体" w:eastAsia="黑体" w:hAnsi="黑体"/>
                <w:sz w:val="20"/>
                <w:szCs w:val="20"/>
              </w:rPr>
            </w:pPr>
            <w:r>
              <w:rPr>
                <w:rFonts w:ascii="黑体" w:eastAsia="黑体" w:hAnsi="黑体" w:hint="eastAsia"/>
                <w:sz w:val="20"/>
                <w:szCs w:val="20"/>
              </w:rPr>
              <w:t>贷款签约金额</w:t>
            </w:r>
          </w:p>
        </w:tc>
        <w:tc>
          <w:tcPr>
            <w:tcW w:w="6946" w:type="dxa"/>
          </w:tcPr>
          <w:p w14:paraId="1534B2F8" w14:textId="77777777" w:rsidR="00A052DC" w:rsidRDefault="009F0A60">
            <w:pPr>
              <w:rPr>
                <w:rFonts w:ascii="黑体" w:eastAsia="黑体" w:hAnsi="黑体"/>
                <w:sz w:val="20"/>
                <w:szCs w:val="20"/>
              </w:rPr>
            </w:pPr>
            <w:r>
              <w:rPr>
                <w:rFonts w:ascii="黑体" w:eastAsia="黑体" w:hAnsi="黑体" w:hint="eastAsia"/>
                <w:sz w:val="20"/>
                <w:szCs w:val="20"/>
              </w:rPr>
              <w:t>外汇质押人民币贷款的签约金额。</w:t>
            </w:r>
          </w:p>
        </w:tc>
      </w:tr>
      <w:tr w:rsidR="00A052DC" w14:paraId="1E8C49CE" w14:textId="77777777">
        <w:trPr>
          <w:cantSplit/>
        </w:trPr>
        <w:tc>
          <w:tcPr>
            <w:tcW w:w="1526" w:type="dxa"/>
          </w:tcPr>
          <w:p w14:paraId="4113C3FA" w14:textId="77777777" w:rsidR="00A052DC" w:rsidRDefault="009F0A60">
            <w:pPr>
              <w:rPr>
                <w:rFonts w:ascii="黑体" w:eastAsia="黑体" w:hAnsi="黑体"/>
                <w:sz w:val="20"/>
                <w:szCs w:val="20"/>
              </w:rPr>
            </w:pPr>
            <w:r>
              <w:rPr>
                <w:rFonts w:ascii="黑体" w:eastAsia="黑体" w:hAnsi="黑体" w:hint="eastAsia"/>
                <w:sz w:val="20"/>
                <w:szCs w:val="20"/>
              </w:rPr>
              <w:t>贷款到期日</w:t>
            </w:r>
          </w:p>
        </w:tc>
        <w:tc>
          <w:tcPr>
            <w:tcW w:w="6946" w:type="dxa"/>
          </w:tcPr>
          <w:p w14:paraId="2E5218C0" w14:textId="77777777" w:rsidR="00A052DC" w:rsidRDefault="009F0A60">
            <w:pPr>
              <w:rPr>
                <w:rFonts w:ascii="黑体" w:eastAsia="黑体" w:hAnsi="黑体"/>
                <w:sz w:val="20"/>
                <w:szCs w:val="20"/>
              </w:rPr>
            </w:pPr>
            <w:r>
              <w:rPr>
                <w:rFonts w:ascii="黑体" w:eastAsia="黑体" w:hAnsi="黑体" w:hint="eastAsia"/>
                <w:sz w:val="20"/>
                <w:szCs w:val="20"/>
              </w:rPr>
              <w:t>外汇质押人民币贷款的到期日。</w:t>
            </w:r>
          </w:p>
        </w:tc>
      </w:tr>
      <w:tr w:rsidR="00A052DC" w14:paraId="79F4443D" w14:textId="77777777">
        <w:trPr>
          <w:cantSplit/>
        </w:trPr>
        <w:tc>
          <w:tcPr>
            <w:tcW w:w="1526" w:type="dxa"/>
          </w:tcPr>
          <w:p w14:paraId="06F82554" w14:textId="77777777" w:rsidR="00A052DC" w:rsidRDefault="009F0A60">
            <w:pPr>
              <w:rPr>
                <w:rFonts w:ascii="黑体" w:eastAsia="黑体" w:hAnsi="黑体"/>
                <w:sz w:val="20"/>
                <w:szCs w:val="20"/>
              </w:rPr>
            </w:pPr>
            <w:r>
              <w:rPr>
                <w:rFonts w:ascii="黑体" w:eastAsia="黑体" w:hAnsi="黑体" w:hint="eastAsia"/>
                <w:sz w:val="20"/>
                <w:szCs w:val="20"/>
              </w:rPr>
              <w:t>质押外汇币种</w:t>
            </w:r>
          </w:p>
        </w:tc>
        <w:tc>
          <w:tcPr>
            <w:tcW w:w="6946" w:type="dxa"/>
          </w:tcPr>
          <w:p w14:paraId="78BCB18C" w14:textId="77777777" w:rsidR="00A052DC" w:rsidRDefault="009F0A60">
            <w:pPr>
              <w:rPr>
                <w:rFonts w:ascii="黑体" w:eastAsia="黑体" w:hAnsi="黑体"/>
                <w:sz w:val="20"/>
                <w:szCs w:val="20"/>
              </w:rPr>
            </w:pPr>
            <w:r>
              <w:rPr>
                <w:rFonts w:ascii="黑体" w:eastAsia="黑体" w:hAnsi="黑体" w:hint="eastAsia"/>
                <w:sz w:val="20"/>
                <w:szCs w:val="20"/>
              </w:rPr>
              <w:t>质押外汇币种。</w:t>
            </w:r>
          </w:p>
        </w:tc>
      </w:tr>
      <w:tr w:rsidR="00A052DC" w14:paraId="0D3E0972" w14:textId="77777777">
        <w:trPr>
          <w:cantSplit/>
        </w:trPr>
        <w:tc>
          <w:tcPr>
            <w:tcW w:w="1526" w:type="dxa"/>
          </w:tcPr>
          <w:p w14:paraId="2AEAC615" w14:textId="77777777" w:rsidR="00A052DC" w:rsidRDefault="009F0A60">
            <w:pPr>
              <w:rPr>
                <w:rFonts w:ascii="黑体" w:eastAsia="黑体" w:hAnsi="黑体"/>
                <w:sz w:val="20"/>
                <w:szCs w:val="20"/>
              </w:rPr>
            </w:pPr>
            <w:r>
              <w:rPr>
                <w:rFonts w:ascii="黑体" w:eastAsia="黑体" w:hAnsi="黑体" w:hint="eastAsia"/>
                <w:sz w:val="20"/>
                <w:szCs w:val="20"/>
              </w:rPr>
              <w:t>质押外汇金额</w:t>
            </w:r>
          </w:p>
        </w:tc>
        <w:tc>
          <w:tcPr>
            <w:tcW w:w="6946" w:type="dxa"/>
          </w:tcPr>
          <w:p w14:paraId="0BBDD917" w14:textId="77777777" w:rsidR="00A052DC" w:rsidRDefault="009F0A60">
            <w:pPr>
              <w:rPr>
                <w:rFonts w:ascii="黑体" w:eastAsia="黑体" w:hAnsi="黑体"/>
                <w:sz w:val="20"/>
                <w:szCs w:val="20"/>
              </w:rPr>
            </w:pPr>
            <w:r>
              <w:rPr>
                <w:rFonts w:ascii="黑体" w:eastAsia="黑体" w:hAnsi="黑体" w:hint="eastAsia"/>
                <w:sz w:val="20"/>
                <w:szCs w:val="20"/>
              </w:rPr>
              <w:t>外汇质押金额。</w:t>
            </w:r>
          </w:p>
        </w:tc>
      </w:tr>
      <w:tr w:rsidR="00A052DC" w14:paraId="4109A14D" w14:textId="77777777">
        <w:trPr>
          <w:cantSplit/>
        </w:trPr>
        <w:tc>
          <w:tcPr>
            <w:tcW w:w="1526" w:type="dxa"/>
            <w:tcBorders>
              <w:top w:val="single" w:sz="6" w:space="0" w:color="auto"/>
              <w:left w:val="single" w:sz="6" w:space="0" w:color="auto"/>
              <w:bottom w:val="single" w:sz="6" w:space="0" w:color="auto"/>
              <w:right w:val="single" w:sz="6" w:space="0" w:color="auto"/>
            </w:tcBorders>
          </w:tcPr>
          <w:p w14:paraId="1FFD15D6" w14:textId="77777777" w:rsidR="00A052DC" w:rsidRDefault="009F0A60">
            <w:pPr>
              <w:rPr>
                <w:rFonts w:ascii="黑体" w:eastAsia="黑体" w:hAnsi="黑体"/>
                <w:sz w:val="20"/>
                <w:szCs w:val="20"/>
              </w:rPr>
            </w:pPr>
            <w:r>
              <w:rPr>
                <w:rFonts w:ascii="黑体" w:eastAsia="黑体" w:hAnsi="黑体" w:hint="eastAsia"/>
                <w:sz w:val="20"/>
                <w:szCs w:val="20"/>
              </w:rPr>
              <w:t>备注</w:t>
            </w:r>
          </w:p>
        </w:tc>
        <w:tc>
          <w:tcPr>
            <w:tcW w:w="6946" w:type="dxa"/>
            <w:tcBorders>
              <w:top w:val="single" w:sz="6" w:space="0" w:color="auto"/>
              <w:left w:val="single" w:sz="6" w:space="0" w:color="auto"/>
              <w:bottom w:val="single" w:sz="6" w:space="0" w:color="auto"/>
              <w:right w:val="single" w:sz="6" w:space="0" w:color="auto"/>
            </w:tcBorders>
          </w:tcPr>
          <w:p w14:paraId="4B3B67CB" w14:textId="77777777" w:rsidR="00A052DC" w:rsidRDefault="009F0A60">
            <w:pPr>
              <w:rPr>
                <w:rFonts w:ascii="黑体" w:eastAsia="黑体" w:hAnsi="黑体"/>
                <w:sz w:val="20"/>
                <w:szCs w:val="20"/>
              </w:rPr>
            </w:pPr>
            <w:r>
              <w:rPr>
                <w:rFonts w:ascii="黑体" w:eastAsia="黑体" w:hAnsi="黑体" w:hint="eastAsia"/>
                <w:sz w:val="20"/>
                <w:szCs w:val="20"/>
              </w:rPr>
              <w:t>需要说明的备注事项。</w:t>
            </w:r>
          </w:p>
        </w:tc>
      </w:tr>
    </w:tbl>
    <w:p w14:paraId="297DD68C" w14:textId="77777777" w:rsidR="00A052DC" w:rsidRDefault="00A052DC"/>
    <w:p w14:paraId="5B9C8EF3" w14:textId="77777777" w:rsidR="00A052DC" w:rsidRDefault="009F0A60" w:rsidP="0020251D">
      <w:pPr>
        <w:pStyle w:val="5"/>
        <w:numPr>
          <w:ilvl w:val="4"/>
          <w:numId w:val="1"/>
        </w:numPr>
        <w:spacing w:before="120" w:after="120" w:line="360" w:lineRule="auto"/>
        <w:jc w:val="left"/>
      </w:pPr>
      <w:bookmarkStart w:id="1697" w:name="_Toc454386981"/>
      <w:bookmarkStart w:id="1698" w:name="_Toc328635539"/>
      <w:r>
        <w:rPr>
          <w:rFonts w:hint="eastAsia"/>
        </w:rPr>
        <w:t>数据格式</w:t>
      </w:r>
      <w:bookmarkEnd w:id="1697"/>
      <w:bookmarkEnd w:id="1698"/>
    </w:p>
    <w:p w14:paraId="2024F52B" w14:textId="77777777" w:rsidR="00A052DC" w:rsidRDefault="00A052DC"/>
    <w:p w14:paraId="44DE33E2" w14:textId="77777777" w:rsidR="00A052DC" w:rsidRDefault="009F0A60">
      <w:r>
        <w:t>&lt;REC&gt;</w:t>
      </w:r>
    </w:p>
    <w:p w14:paraId="1B7946F6" w14:textId="77777777" w:rsidR="00A052DC" w:rsidRDefault="009F0A60">
      <w:r>
        <w:t>&lt;ACTIONTYPE&gt;</w:t>
      </w:r>
      <w:r>
        <w:rPr>
          <w:rFonts w:hint="eastAsia"/>
        </w:rPr>
        <w:t>操作类型</w:t>
      </w:r>
      <w:r>
        <w:t>&lt;/ACTIONTYPE&gt;</w:t>
      </w:r>
    </w:p>
    <w:p w14:paraId="16A40763" w14:textId="77777777" w:rsidR="00A052DC" w:rsidRDefault="009F0A60">
      <w:r>
        <w:t>&lt;ACTIONDESC&gt;</w:t>
      </w:r>
      <w:r>
        <w:rPr>
          <w:rFonts w:hint="eastAsia"/>
        </w:rPr>
        <w:t>删除原因</w:t>
      </w:r>
      <w:r>
        <w:t>&lt;/ACTIONDESC&gt;</w:t>
      </w:r>
    </w:p>
    <w:p w14:paraId="2DBC2766" w14:textId="77777777" w:rsidR="00A052DC" w:rsidRDefault="009F0A60">
      <w:r>
        <w:t>&lt;EXPLRMBLONO&gt;</w:t>
      </w:r>
      <w:r>
        <w:rPr>
          <w:rFonts w:hint="eastAsia"/>
        </w:rPr>
        <w:t>外汇质押人民币贷款编号</w:t>
      </w:r>
      <w:r>
        <w:t>&lt;/EXPLRMBLONO&gt;</w:t>
      </w:r>
    </w:p>
    <w:p w14:paraId="26404401" w14:textId="77777777" w:rsidR="00A052DC" w:rsidRDefault="009F0A60">
      <w:r>
        <w:t>&lt;CREDITORCODE&gt;</w:t>
      </w:r>
      <w:r>
        <w:rPr>
          <w:rFonts w:hint="eastAsia"/>
        </w:rPr>
        <w:t>债权人代码</w:t>
      </w:r>
      <w:r>
        <w:t>&lt;/CREDITORCODE&gt;</w:t>
      </w:r>
    </w:p>
    <w:p w14:paraId="0A7DACF0" w14:textId="77777777" w:rsidR="00A052DC" w:rsidRDefault="009F0A60">
      <w:r>
        <w:t>&lt;DEBTORCODE&gt;</w:t>
      </w:r>
      <w:r>
        <w:rPr>
          <w:rFonts w:hint="eastAsia"/>
        </w:rPr>
        <w:t>债务人代码</w:t>
      </w:r>
      <w:r>
        <w:t>&lt;/DEBTORCODE&gt;</w:t>
      </w:r>
    </w:p>
    <w:p w14:paraId="12602D1C" w14:textId="77777777" w:rsidR="00A052DC" w:rsidRDefault="009F0A60">
      <w:r>
        <w:t>&lt;DEBTORNAME&gt;</w:t>
      </w:r>
      <w:r>
        <w:rPr>
          <w:rFonts w:hint="eastAsia"/>
        </w:rPr>
        <w:t>债务人中文名称</w:t>
      </w:r>
      <w:r>
        <w:t>&lt;/DEBTORNAME&gt;</w:t>
      </w:r>
    </w:p>
    <w:p w14:paraId="0EAF4E50" w14:textId="77777777" w:rsidR="00A052DC" w:rsidRDefault="009F0A60">
      <w:r>
        <w:t>&lt;VALUEDATE&gt;</w:t>
      </w:r>
      <w:r>
        <w:rPr>
          <w:rFonts w:hint="eastAsia"/>
        </w:rPr>
        <w:t>贷款起息日</w:t>
      </w:r>
      <w:r>
        <w:t>&lt;/VALUEDATE&gt;</w:t>
      </w:r>
    </w:p>
    <w:p w14:paraId="765BFCF2" w14:textId="77777777" w:rsidR="00A052DC" w:rsidRDefault="009F0A60">
      <w:r>
        <w:t>&lt;CREDCONCURR&gt;</w:t>
      </w:r>
      <w:r>
        <w:rPr>
          <w:rFonts w:hint="eastAsia"/>
        </w:rPr>
        <w:t>贷款签约币种</w:t>
      </w:r>
      <w:r>
        <w:t>&lt;/CREDCONCURR&gt;</w:t>
      </w:r>
    </w:p>
    <w:p w14:paraId="4203BE5C" w14:textId="77777777" w:rsidR="00A052DC" w:rsidRDefault="009F0A60">
      <w:r>
        <w:t>&lt;CREDCONAMOUNT&gt;</w:t>
      </w:r>
      <w:r>
        <w:rPr>
          <w:rFonts w:hint="eastAsia"/>
        </w:rPr>
        <w:t>贷款签约金额</w:t>
      </w:r>
      <w:r>
        <w:t>&lt;/CREDCONAMOUNT&gt;</w:t>
      </w:r>
    </w:p>
    <w:p w14:paraId="24AA9F5F" w14:textId="77777777" w:rsidR="00A052DC" w:rsidRDefault="009F0A60">
      <w:r>
        <w:t>&lt;MATURITY&gt;</w:t>
      </w:r>
      <w:r>
        <w:rPr>
          <w:rFonts w:hint="eastAsia"/>
        </w:rPr>
        <w:t>贷款到期日</w:t>
      </w:r>
      <w:r>
        <w:t>&lt;/MATURITY&gt;</w:t>
      </w:r>
    </w:p>
    <w:p w14:paraId="40B0D215" w14:textId="77777777" w:rsidR="00A052DC" w:rsidRDefault="009F0A60">
      <w:r>
        <w:t>&lt;EXPLCURRINFOS&gt;</w:t>
      </w:r>
    </w:p>
    <w:p w14:paraId="5A784FE9" w14:textId="77777777" w:rsidR="00A052DC" w:rsidRDefault="009F0A60">
      <w:r>
        <w:t>&lt;EXPLCURRINFO&gt;</w:t>
      </w:r>
    </w:p>
    <w:p w14:paraId="549E8725" w14:textId="77777777" w:rsidR="00A052DC" w:rsidRDefault="009F0A60">
      <w:r>
        <w:t>&lt;EXPLCURR&gt;</w:t>
      </w:r>
      <w:r>
        <w:rPr>
          <w:rFonts w:hint="eastAsia"/>
        </w:rPr>
        <w:t>质押外汇币种</w:t>
      </w:r>
      <w:r>
        <w:t>&lt;/EXPLCURR&gt;</w:t>
      </w:r>
    </w:p>
    <w:p w14:paraId="60B366B0" w14:textId="77777777" w:rsidR="00A052DC" w:rsidRDefault="009F0A60">
      <w:r>
        <w:t>&lt;EXPLAMOUNT&gt;</w:t>
      </w:r>
      <w:r>
        <w:rPr>
          <w:rFonts w:hint="eastAsia"/>
        </w:rPr>
        <w:t>质押外汇金额</w:t>
      </w:r>
      <w:r>
        <w:t>&lt;/EXPLAMOUNT&gt;</w:t>
      </w:r>
    </w:p>
    <w:p w14:paraId="5D775C61" w14:textId="77777777" w:rsidR="00A052DC" w:rsidRDefault="009F0A60">
      <w:r>
        <w:t>&lt;/EXPLCURRINFO&gt;</w:t>
      </w:r>
    </w:p>
    <w:p w14:paraId="471FEB66" w14:textId="77777777" w:rsidR="00A052DC" w:rsidRDefault="009F0A60">
      <w:r>
        <w:t>……</w:t>
      </w:r>
    </w:p>
    <w:p w14:paraId="2E96930E" w14:textId="77777777" w:rsidR="00A052DC" w:rsidRDefault="009F0A60">
      <w:r>
        <w:t>&lt;/EXPLCURRINFOS&gt;</w:t>
      </w:r>
    </w:p>
    <w:p w14:paraId="6194423F" w14:textId="77777777" w:rsidR="00A052DC" w:rsidRDefault="009F0A60">
      <w:r>
        <w:t>&lt;REMARK&gt;</w:t>
      </w:r>
      <w:r>
        <w:rPr>
          <w:rFonts w:hint="eastAsia"/>
        </w:rPr>
        <w:t>备注</w:t>
      </w:r>
      <w:r>
        <w:t>&lt;/REMARK&gt;</w:t>
      </w:r>
    </w:p>
    <w:p w14:paraId="0FBE53A4" w14:textId="77777777" w:rsidR="00A052DC" w:rsidRDefault="009F0A60">
      <w:r>
        <w:t>&lt;/REC&gt;</w:t>
      </w:r>
    </w:p>
    <w:p w14:paraId="139B6B82" w14:textId="77777777" w:rsidR="00A052DC" w:rsidRDefault="009F0A60" w:rsidP="0020251D">
      <w:pPr>
        <w:pStyle w:val="5"/>
        <w:numPr>
          <w:ilvl w:val="4"/>
          <w:numId w:val="1"/>
        </w:numPr>
        <w:spacing w:before="120" w:after="120" w:line="360" w:lineRule="auto"/>
        <w:jc w:val="left"/>
      </w:pPr>
      <w:bookmarkStart w:id="1699" w:name="_Toc454386982"/>
      <w:bookmarkStart w:id="1700" w:name="_Toc328635540"/>
      <w:r>
        <w:rPr>
          <w:rFonts w:hint="eastAsia"/>
        </w:rPr>
        <w:t>数据字典</w:t>
      </w:r>
      <w:bookmarkEnd w:id="1699"/>
      <w:bookmarkEnd w:id="1700"/>
    </w:p>
    <w:tbl>
      <w:tblPr>
        <w:tblW w:w="86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701"/>
        <w:gridCol w:w="1418"/>
        <w:gridCol w:w="4110"/>
      </w:tblGrid>
      <w:tr w:rsidR="00A052DC" w14:paraId="67023D25" w14:textId="77777777">
        <w:trPr>
          <w:tblHeader/>
        </w:trPr>
        <w:tc>
          <w:tcPr>
            <w:tcW w:w="1418" w:type="dxa"/>
            <w:shd w:val="clear" w:color="auto" w:fill="C0C0C0"/>
          </w:tcPr>
          <w:p w14:paraId="4C782528" w14:textId="77777777" w:rsidR="00A052DC" w:rsidRDefault="009F0A60">
            <w:pPr>
              <w:jc w:val="center"/>
              <w:rPr>
                <w:rFonts w:ascii="黑体" w:eastAsia="黑体" w:hAnsi="黑体"/>
                <w:b/>
                <w:sz w:val="20"/>
                <w:szCs w:val="20"/>
              </w:rPr>
            </w:pPr>
            <w:r>
              <w:rPr>
                <w:rFonts w:ascii="黑体" w:eastAsia="黑体" w:hAnsi="黑体" w:hint="eastAsia"/>
                <w:b/>
                <w:sz w:val="20"/>
                <w:szCs w:val="20"/>
              </w:rPr>
              <w:t>字段</w:t>
            </w:r>
          </w:p>
        </w:tc>
        <w:tc>
          <w:tcPr>
            <w:tcW w:w="1701" w:type="dxa"/>
            <w:shd w:val="clear" w:color="auto" w:fill="C0C0C0"/>
          </w:tcPr>
          <w:p w14:paraId="38363B96" w14:textId="77777777" w:rsidR="00A052DC" w:rsidRDefault="009F0A60">
            <w:pPr>
              <w:jc w:val="center"/>
              <w:rPr>
                <w:rFonts w:ascii="黑体" w:eastAsia="黑体" w:hAnsi="黑体"/>
                <w:b/>
                <w:sz w:val="20"/>
                <w:szCs w:val="20"/>
              </w:rPr>
            </w:pPr>
            <w:r>
              <w:rPr>
                <w:rFonts w:ascii="黑体" w:eastAsia="黑体" w:hAnsi="黑体" w:hint="eastAsia"/>
                <w:b/>
                <w:sz w:val="20"/>
                <w:szCs w:val="20"/>
              </w:rPr>
              <w:t>内容</w:t>
            </w:r>
          </w:p>
        </w:tc>
        <w:tc>
          <w:tcPr>
            <w:tcW w:w="1418" w:type="dxa"/>
            <w:shd w:val="clear" w:color="auto" w:fill="C0C0C0"/>
          </w:tcPr>
          <w:p w14:paraId="1398AAFC" w14:textId="77777777" w:rsidR="00A052DC" w:rsidRDefault="009F0A60">
            <w:pPr>
              <w:jc w:val="center"/>
              <w:rPr>
                <w:rFonts w:ascii="黑体" w:eastAsia="黑体" w:hAnsi="黑体"/>
                <w:b/>
                <w:sz w:val="20"/>
                <w:szCs w:val="20"/>
              </w:rPr>
            </w:pPr>
            <w:r>
              <w:rPr>
                <w:rFonts w:ascii="黑体" w:eastAsia="黑体" w:hAnsi="黑体" w:hint="eastAsia"/>
                <w:b/>
                <w:sz w:val="20"/>
                <w:szCs w:val="20"/>
              </w:rPr>
              <w:t>类型（长度）</w:t>
            </w:r>
          </w:p>
        </w:tc>
        <w:tc>
          <w:tcPr>
            <w:tcW w:w="4110" w:type="dxa"/>
            <w:shd w:val="clear" w:color="auto" w:fill="C0C0C0"/>
          </w:tcPr>
          <w:p w14:paraId="62E42F94" w14:textId="77777777" w:rsidR="00A052DC" w:rsidRDefault="009F0A60">
            <w:pPr>
              <w:jc w:val="center"/>
              <w:rPr>
                <w:rFonts w:ascii="黑体" w:eastAsia="黑体" w:hAnsi="黑体"/>
                <w:b/>
                <w:sz w:val="20"/>
                <w:szCs w:val="20"/>
              </w:rPr>
            </w:pPr>
            <w:r>
              <w:rPr>
                <w:rFonts w:ascii="黑体" w:eastAsia="黑体" w:hAnsi="黑体" w:hint="eastAsia"/>
                <w:b/>
                <w:sz w:val="20"/>
                <w:szCs w:val="20"/>
              </w:rPr>
              <w:t>校验</w:t>
            </w:r>
          </w:p>
        </w:tc>
      </w:tr>
      <w:tr w:rsidR="00A052DC" w14:paraId="68AC7164" w14:textId="77777777">
        <w:tc>
          <w:tcPr>
            <w:tcW w:w="1418" w:type="dxa"/>
          </w:tcPr>
          <w:p w14:paraId="5BF0A25C" w14:textId="77777777" w:rsidR="00A052DC" w:rsidRDefault="009F0A60">
            <w:pPr>
              <w:rPr>
                <w:rFonts w:ascii="黑体" w:eastAsia="黑体" w:hAnsi="黑体"/>
                <w:sz w:val="20"/>
                <w:szCs w:val="20"/>
              </w:rPr>
            </w:pPr>
            <w:r>
              <w:rPr>
                <w:rFonts w:ascii="黑体" w:eastAsia="黑体" w:hAnsi="黑体"/>
                <w:sz w:val="20"/>
                <w:szCs w:val="20"/>
              </w:rPr>
              <w:t>ACTIONTYPE</w:t>
            </w:r>
          </w:p>
        </w:tc>
        <w:tc>
          <w:tcPr>
            <w:tcW w:w="1701" w:type="dxa"/>
          </w:tcPr>
          <w:p w14:paraId="39918F2B" w14:textId="77777777" w:rsidR="00A052DC" w:rsidRDefault="009F0A60">
            <w:pPr>
              <w:rPr>
                <w:rFonts w:ascii="黑体" w:eastAsia="黑体" w:hAnsi="黑体"/>
                <w:sz w:val="20"/>
                <w:szCs w:val="20"/>
              </w:rPr>
            </w:pPr>
            <w:r>
              <w:rPr>
                <w:rFonts w:ascii="黑体" w:eastAsia="黑体" w:hAnsi="黑体" w:hint="eastAsia"/>
                <w:sz w:val="20"/>
                <w:szCs w:val="20"/>
              </w:rPr>
              <w:t>操作类型</w:t>
            </w:r>
          </w:p>
        </w:tc>
        <w:tc>
          <w:tcPr>
            <w:tcW w:w="1418" w:type="dxa"/>
          </w:tcPr>
          <w:p w14:paraId="202E461B" w14:textId="77777777" w:rsidR="00A052DC" w:rsidRDefault="009F0A60">
            <w:pPr>
              <w:rPr>
                <w:rFonts w:ascii="黑体" w:eastAsia="黑体" w:hAnsi="黑体"/>
                <w:sz w:val="20"/>
                <w:szCs w:val="20"/>
              </w:rPr>
            </w:pPr>
            <w:r>
              <w:rPr>
                <w:rFonts w:ascii="黑体" w:eastAsia="黑体" w:hAnsi="黑体" w:hint="eastAsia"/>
                <w:sz w:val="20"/>
                <w:szCs w:val="20"/>
              </w:rPr>
              <w:t>字符型，1</w:t>
            </w:r>
          </w:p>
        </w:tc>
        <w:tc>
          <w:tcPr>
            <w:tcW w:w="4110" w:type="dxa"/>
          </w:tcPr>
          <w:p w14:paraId="2A443959" w14:textId="77777777" w:rsidR="00A052DC" w:rsidRDefault="009F0A60">
            <w:pPr>
              <w:rPr>
                <w:rFonts w:ascii="黑体" w:eastAsia="黑体" w:hAnsi="黑体"/>
                <w:sz w:val="20"/>
                <w:szCs w:val="20"/>
              </w:rPr>
            </w:pPr>
            <w:r>
              <w:rPr>
                <w:rFonts w:ascii="黑体" w:eastAsia="黑体" w:hAnsi="黑体" w:hint="eastAsia"/>
                <w:sz w:val="20"/>
                <w:szCs w:val="20"/>
              </w:rPr>
              <w:t>必填项，</w:t>
            </w:r>
          </w:p>
          <w:p w14:paraId="1658E65F" w14:textId="77777777" w:rsidR="00A052DC" w:rsidRDefault="009F0A60">
            <w:pPr>
              <w:rPr>
                <w:rFonts w:ascii="黑体" w:eastAsia="黑体" w:hAnsi="黑体"/>
                <w:sz w:val="20"/>
                <w:szCs w:val="20"/>
              </w:rPr>
            </w:pPr>
            <w:r>
              <w:rPr>
                <w:rFonts w:ascii="黑体" w:eastAsia="黑体" w:hAnsi="黑体" w:hint="eastAsia"/>
                <w:sz w:val="20"/>
                <w:szCs w:val="20"/>
              </w:rPr>
              <w:t>A</w:t>
            </w:r>
            <w:r w:rsidR="00AE4602">
              <w:rPr>
                <w:rFonts w:ascii="黑体" w:eastAsia="黑体" w:hAnsi="黑体" w:hint="eastAsia"/>
                <w:sz w:val="20"/>
                <w:szCs w:val="20"/>
              </w:rPr>
              <w:t>-</w:t>
            </w:r>
            <w:r>
              <w:rPr>
                <w:rFonts w:ascii="黑体" w:eastAsia="黑体" w:hAnsi="黑体" w:hint="eastAsia"/>
                <w:sz w:val="20"/>
                <w:szCs w:val="20"/>
              </w:rPr>
              <w:t>新建</w:t>
            </w:r>
          </w:p>
          <w:p w14:paraId="6B8A9896" w14:textId="77777777" w:rsidR="00A052DC" w:rsidRDefault="009F0A60">
            <w:pPr>
              <w:rPr>
                <w:rFonts w:ascii="黑体" w:eastAsia="黑体" w:hAnsi="黑体"/>
                <w:sz w:val="20"/>
                <w:szCs w:val="20"/>
              </w:rPr>
            </w:pPr>
            <w:r>
              <w:rPr>
                <w:rFonts w:ascii="黑体" w:eastAsia="黑体" w:hAnsi="黑体" w:hint="eastAsia"/>
                <w:sz w:val="20"/>
                <w:szCs w:val="20"/>
              </w:rPr>
              <w:t>C</w:t>
            </w:r>
            <w:r w:rsidR="00AE4602">
              <w:rPr>
                <w:rFonts w:ascii="黑体" w:eastAsia="黑体" w:hAnsi="黑体" w:hint="eastAsia"/>
                <w:sz w:val="20"/>
                <w:szCs w:val="20"/>
              </w:rPr>
              <w:t>-</w:t>
            </w:r>
            <w:r>
              <w:rPr>
                <w:rFonts w:ascii="黑体" w:eastAsia="黑体" w:hAnsi="黑体" w:hint="eastAsia"/>
                <w:sz w:val="20"/>
                <w:szCs w:val="20"/>
              </w:rPr>
              <w:t>修改</w:t>
            </w:r>
          </w:p>
          <w:p w14:paraId="3F0C96AC" w14:textId="77777777" w:rsidR="005D3821" w:rsidRDefault="009F0A60" w:rsidP="005D3821">
            <w:pPr>
              <w:rPr>
                <w:rFonts w:ascii="黑体" w:eastAsia="黑体" w:hAnsi="黑体"/>
                <w:sz w:val="20"/>
                <w:szCs w:val="20"/>
              </w:rPr>
            </w:pPr>
            <w:r>
              <w:rPr>
                <w:rFonts w:ascii="黑体" w:eastAsia="黑体" w:hAnsi="黑体" w:hint="eastAsia"/>
                <w:sz w:val="20"/>
                <w:szCs w:val="20"/>
              </w:rPr>
              <w:t>D</w:t>
            </w:r>
            <w:r w:rsidR="00AE4602">
              <w:rPr>
                <w:rFonts w:ascii="黑体" w:eastAsia="黑体" w:hAnsi="黑体" w:hint="eastAsia"/>
                <w:sz w:val="20"/>
                <w:szCs w:val="20"/>
              </w:rPr>
              <w:t>-</w:t>
            </w:r>
            <w:r>
              <w:rPr>
                <w:rFonts w:ascii="黑体" w:eastAsia="黑体" w:hAnsi="黑体" w:hint="eastAsia"/>
                <w:sz w:val="20"/>
                <w:szCs w:val="20"/>
              </w:rPr>
              <w:t>删除</w:t>
            </w:r>
          </w:p>
          <w:p w14:paraId="60FD18C7" w14:textId="77777777" w:rsidR="00A052DC" w:rsidRDefault="009F0A60" w:rsidP="005D3821">
            <w:pPr>
              <w:rPr>
                <w:rFonts w:ascii="黑体" w:eastAsia="黑体" w:hAnsi="黑体"/>
                <w:sz w:val="20"/>
                <w:szCs w:val="20"/>
              </w:rPr>
            </w:pPr>
            <w:r>
              <w:rPr>
                <w:rFonts w:ascii="黑体" w:eastAsia="黑体" w:hAnsi="黑体" w:hint="eastAsia"/>
                <w:sz w:val="20"/>
                <w:szCs w:val="20"/>
              </w:rPr>
              <w:t>一旦银行报送了该外汇质押人民币贷款编号下的变动信息，就不可以删除了。</w:t>
            </w:r>
          </w:p>
        </w:tc>
      </w:tr>
      <w:tr w:rsidR="00A052DC" w14:paraId="1E4DE2EC" w14:textId="77777777">
        <w:tc>
          <w:tcPr>
            <w:tcW w:w="1418" w:type="dxa"/>
          </w:tcPr>
          <w:p w14:paraId="3A870722" w14:textId="77777777" w:rsidR="00A052DC" w:rsidRDefault="009F0A60">
            <w:pPr>
              <w:rPr>
                <w:rFonts w:ascii="黑体" w:eastAsia="黑体" w:hAnsi="黑体"/>
                <w:sz w:val="20"/>
                <w:szCs w:val="20"/>
              </w:rPr>
            </w:pPr>
            <w:r>
              <w:rPr>
                <w:rFonts w:ascii="黑体" w:eastAsia="黑体" w:hAnsi="黑体"/>
                <w:sz w:val="20"/>
                <w:szCs w:val="20"/>
              </w:rPr>
              <w:t>ACTIONDESC</w:t>
            </w:r>
          </w:p>
        </w:tc>
        <w:tc>
          <w:tcPr>
            <w:tcW w:w="1701" w:type="dxa"/>
          </w:tcPr>
          <w:p w14:paraId="69297C37" w14:textId="77777777" w:rsidR="00A052DC" w:rsidRDefault="009F0A60">
            <w:pPr>
              <w:rPr>
                <w:rFonts w:ascii="黑体" w:eastAsia="黑体" w:hAnsi="黑体"/>
                <w:sz w:val="20"/>
                <w:szCs w:val="20"/>
              </w:rPr>
            </w:pPr>
            <w:r>
              <w:rPr>
                <w:rFonts w:ascii="黑体" w:eastAsia="黑体" w:hAnsi="黑体" w:hint="eastAsia"/>
                <w:sz w:val="20"/>
                <w:szCs w:val="20"/>
              </w:rPr>
              <w:t>删除原因</w:t>
            </w:r>
          </w:p>
        </w:tc>
        <w:tc>
          <w:tcPr>
            <w:tcW w:w="1418" w:type="dxa"/>
          </w:tcPr>
          <w:p w14:paraId="778F3427"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4110" w:type="dxa"/>
          </w:tcPr>
          <w:p w14:paraId="4BD0A4C4" w14:textId="77777777" w:rsidR="00A052DC" w:rsidRDefault="00DD6AA3">
            <w:pPr>
              <w:rPr>
                <w:rFonts w:ascii="黑体" w:eastAsia="黑体" w:hAnsi="黑体"/>
                <w:sz w:val="20"/>
                <w:szCs w:val="20"/>
              </w:rPr>
            </w:pPr>
            <w:r>
              <w:rPr>
                <w:rFonts w:ascii="黑体" w:eastAsia="黑体" w:hAnsi="黑体" w:hint="eastAsia"/>
                <w:sz w:val="20"/>
                <w:szCs w:val="20"/>
              </w:rPr>
              <w:t>非必填项，当操作类型（ACTIONTYPE）为删除时必填。</w:t>
            </w:r>
          </w:p>
        </w:tc>
      </w:tr>
      <w:tr w:rsidR="00A052DC" w14:paraId="066A0B4C" w14:textId="77777777">
        <w:tc>
          <w:tcPr>
            <w:tcW w:w="1418" w:type="dxa"/>
          </w:tcPr>
          <w:p w14:paraId="2D074AE8" w14:textId="77777777" w:rsidR="00A052DC" w:rsidRDefault="009F0A60">
            <w:pPr>
              <w:rPr>
                <w:rFonts w:ascii="黑体" w:eastAsia="黑体" w:hAnsi="黑体"/>
                <w:sz w:val="20"/>
                <w:szCs w:val="20"/>
              </w:rPr>
            </w:pPr>
            <w:r>
              <w:rPr>
                <w:rFonts w:ascii="黑体" w:eastAsia="黑体" w:hAnsi="黑体"/>
                <w:sz w:val="20"/>
                <w:szCs w:val="20"/>
              </w:rPr>
              <w:t>EXPLRMBLONO</w:t>
            </w:r>
          </w:p>
        </w:tc>
        <w:tc>
          <w:tcPr>
            <w:tcW w:w="1701" w:type="dxa"/>
          </w:tcPr>
          <w:p w14:paraId="0BD17196" w14:textId="77777777" w:rsidR="00A052DC" w:rsidRDefault="009F0A60">
            <w:pPr>
              <w:rPr>
                <w:rFonts w:ascii="黑体" w:eastAsia="黑体" w:hAnsi="黑体"/>
                <w:sz w:val="20"/>
                <w:szCs w:val="20"/>
              </w:rPr>
            </w:pPr>
            <w:r>
              <w:rPr>
                <w:rFonts w:ascii="黑体" w:eastAsia="黑体" w:hAnsi="黑体" w:hint="eastAsia"/>
                <w:sz w:val="20"/>
                <w:szCs w:val="20"/>
              </w:rPr>
              <w:t>外汇质押人民币贷款编号</w:t>
            </w:r>
          </w:p>
        </w:tc>
        <w:tc>
          <w:tcPr>
            <w:tcW w:w="1418" w:type="dxa"/>
          </w:tcPr>
          <w:p w14:paraId="7CFF5005" w14:textId="77777777" w:rsidR="00A052DC" w:rsidRDefault="009F0A60">
            <w:pPr>
              <w:rPr>
                <w:rFonts w:ascii="黑体" w:eastAsia="黑体" w:hAnsi="黑体"/>
                <w:sz w:val="20"/>
                <w:szCs w:val="20"/>
              </w:rPr>
            </w:pPr>
            <w:r>
              <w:rPr>
                <w:rFonts w:ascii="黑体" w:eastAsia="黑体" w:hAnsi="黑体" w:hint="eastAsia"/>
                <w:sz w:val="20"/>
                <w:szCs w:val="20"/>
              </w:rPr>
              <w:t>字符型，28</w:t>
            </w:r>
          </w:p>
        </w:tc>
        <w:tc>
          <w:tcPr>
            <w:tcW w:w="4110" w:type="dxa"/>
          </w:tcPr>
          <w:p w14:paraId="69ADC96C" w14:textId="77777777" w:rsidR="00A052DC" w:rsidRDefault="009F0A60">
            <w:pPr>
              <w:rPr>
                <w:rFonts w:ascii="黑体" w:eastAsia="黑体" w:hAnsi="黑体"/>
                <w:sz w:val="20"/>
                <w:szCs w:val="20"/>
              </w:rPr>
            </w:pPr>
            <w:r>
              <w:rPr>
                <w:rFonts w:ascii="黑体" w:eastAsia="黑体" w:hAnsi="黑体" w:hint="eastAsia"/>
                <w:sz w:val="20"/>
                <w:szCs w:val="20"/>
              </w:rPr>
              <w:t>必填项，</w:t>
            </w:r>
          </w:p>
          <w:p w14:paraId="4B152CF2" w14:textId="77777777" w:rsidR="00A052DC" w:rsidRDefault="009F0A60">
            <w:pPr>
              <w:rPr>
                <w:rFonts w:ascii="黑体" w:eastAsia="黑体" w:hAnsi="黑体"/>
                <w:sz w:val="20"/>
                <w:szCs w:val="20"/>
              </w:rPr>
            </w:pPr>
            <w:r>
              <w:rPr>
                <w:rFonts w:ascii="黑体" w:eastAsia="黑体" w:hAnsi="黑体" w:hint="eastAsia"/>
                <w:sz w:val="20"/>
                <w:szCs w:val="20"/>
              </w:rPr>
              <w:t>外汇质押人民币贷款唯一性编号。</w:t>
            </w:r>
          </w:p>
        </w:tc>
      </w:tr>
      <w:tr w:rsidR="00A052DC" w14:paraId="259517BD" w14:textId="77777777">
        <w:tc>
          <w:tcPr>
            <w:tcW w:w="1418" w:type="dxa"/>
          </w:tcPr>
          <w:p w14:paraId="2D400BBF" w14:textId="77777777" w:rsidR="00A052DC" w:rsidRDefault="009F0A60">
            <w:pPr>
              <w:rPr>
                <w:rFonts w:ascii="黑体" w:eastAsia="黑体" w:hAnsi="黑体"/>
                <w:sz w:val="20"/>
                <w:szCs w:val="20"/>
              </w:rPr>
            </w:pPr>
            <w:r>
              <w:rPr>
                <w:rFonts w:ascii="黑体" w:eastAsia="黑体" w:hAnsi="黑体"/>
                <w:sz w:val="20"/>
                <w:szCs w:val="20"/>
              </w:rPr>
              <w:t>CREDITORCODE</w:t>
            </w:r>
          </w:p>
        </w:tc>
        <w:tc>
          <w:tcPr>
            <w:tcW w:w="1701" w:type="dxa"/>
          </w:tcPr>
          <w:p w14:paraId="0D0F6D84" w14:textId="77777777" w:rsidR="00A052DC" w:rsidRDefault="009F0A60">
            <w:pPr>
              <w:rPr>
                <w:rFonts w:ascii="黑体" w:eastAsia="黑体" w:hAnsi="黑体"/>
                <w:sz w:val="20"/>
                <w:szCs w:val="20"/>
              </w:rPr>
            </w:pPr>
            <w:r>
              <w:rPr>
                <w:rFonts w:ascii="黑体" w:eastAsia="黑体" w:hAnsi="黑体" w:hint="eastAsia"/>
                <w:sz w:val="20"/>
                <w:szCs w:val="20"/>
              </w:rPr>
              <w:t>债权人代码</w:t>
            </w:r>
          </w:p>
        </w:tc>
        <w:tc>
          <w:tcPr>
            <w:tcW w:w="1418" w:type="dxa"/>
          </w:tcPr>
          <w:p w14:paraId="23E90D3D" w14:textId="77777777" w:rsidR="00A052DC" w:rsidRDefault="009F0A60">
            <w:pPr>
              <w:rPr>
                <w:rFonts w:ascii="黑体" w:eastAsia="黑体" w:hAnsi="黑体"/>
                <w:sz w:val="20"/>
                <w:szCs w:val="20"/>
              </w:rPr>
            </w:pPr>
            <w:r>
              <w:rPr>
                <w:rFonts w:ascii="黑体" w:eastAsia="黑体" w:hAnsi="黑体" w:hint="eastAsia"/>
                <w:sz w:val="20"/>
                <w:szCs w:val="20"/>
              </w:rPr>
              <w:t>字符型，12</w:t>
            </w:r>
          </w:p>
        </w:tc>
        <w:tc>
          <w:tcPr>
            <w:tcW w:w="4110" w:type="dxa"/>
          </w:tcPr>
          <w:p w14:paraId="3EAD9E0C" w14:textId="77777777" w:rsidR="00A052DC" w:rsidRDefault="009F0A60">
            <w:pPr>
              <w:rPr>
                <w:rFonts w:ascii="黑体" w:eastAsia="黑体" w:hAnsi="黑体"/>
                <w:sz w:val="20"/>
                <w:szCs w:val="20"/>
              </w:rPr>
            </w:pPr>
            <w:r>
              <w:rPr>
                <w:rFonts w:ascii="黑体" w:eastAsia="黑体" w:hAnsi="黑体" w:hint="eastAsia"/>
                <w:sz w:val="20"/>
                <w:szCs w:val="20"/>
              </w:rPr>
              <w:t>必填项，金融机构标识码。</w:t>
            </w:r>
          </w:p>
        </w:tc>
      </w:tr>
      <w:tr w:rsidR="00A052DC" w14:paraId="687BF3E2" w14:textId="77777777">
        <w:tc>
          <w:tcPr>
            <w:tcW w:w="1418" w:type="dxa"/>
          </w:tcPr>
          <w:p w14:paraId="63BC7E48" w14:textId="77777777" w:rsidR="00A052DC" w:rsidRDefault="009F0A60">
            <w:pPr>
              <w:rPr>
                <w:rFonts w:ascii="黑体" w:eastAsia="黑体" w:hAnsi="黑体"/>
                <w:sz w:val="20"/>
                <w:szCs w:val="20"/>
              </w:rPr>
            </w:pPr>
            <w:r>
              <w:rPr>
                <w:rFonts w:ascii="黑体" w:eastAsia="黑体" w:hAnsi="黑体"/>
                <w:sz w:val="20"/>
                <w:szCs w:val="20"/>
              </w:rPr>
              <w:t>DEBTORCODE</w:t>
            </w:r>
          </w:p>
        </w:tc>
        <w:tc>
          <w:tcPr>
            <w:tcW w:w="1701" w:type="dxa"/>
          </w:tcPr>
          <w:p w14:paraId="51457B14" w14:textId="77777777" w:rsidR="00A052DC" w:rsidRDefault="009F0A60">
            <w:pPr>
              <w:rPr>
                <w:rFonts w:ascii="黑体" w:eastAsia="黑体" w:hAnsi="黑体"/>
                <w:sz w:val="20"/>
                <w:szCs w:val="20"/>
              </w:rPr>
            </w:pPr>
            <w:r>
              <w:rPr>
                <w:rFonts w:ascii="黑体" w:eastAsia="黑体" w:hAnsi="黑体" w:hint="eastAsia"/>
                <w:sz w:val="20"/>
                <w:szCs w:val="20"/>
              </w:rPr>
              <w:t>债务人代码</w:t>
            </w:r>
          </w:p>
        </w:tc>
        <w:tc>
          <w:tcPr>
            <w:tcW w:w="1418" w:type="dxa"/>
          </w:tcPr>
          <w:p w14:paraId="718F8FD2" w14:textId="77777777" w:rsidR="00A052DC" w:rsidRDefault="009F0A60">
            <w:pPr>
              <w:rPr>
                <w:rFonts w:ascii="黑体" w:eastAsia="黑体" w:hAnsi="黑体"/>
                <w:sz w:val="20"/>
                <w:szCs w:val="20"/>
              </w:rPr>
            </w:pPr>
            <w:r>
              <w:rPr>
                <w:rFonts w:ascii="黑体" w:eastAsia="黑体" w:hAnsi="黑体" w:hint="eastAsia"/>
                <w:sz w:val="20"/>
                <w:szCs w:val="20"/>
              </w:rPr>
              <w:t>字符型，18</w:t>
            </w:r>
          </w:p>
        </w:tc>
        <w:tc>
          <w:tcPr>
            <w:tcW w:w="4110" w:type="dxa"/>
          </w:tcPr>
          <w:p w14:paraId="2B8D5829" w14:textId="77777777" w:rsidR="00A052DC" w:rsidRDefault="009F0A60">
            <w:pPr>
              <w:rPr>
                <w:rFonts w:ascii="黑体" w:eastAsia="黑体" w:hAnsi="黑体"/>
                <w:sz w:val="20"/>
                <w:szCs w:val="20"/>
              </w:rPr>
            </w:pPr>
            <w:r>
              <w:rPr>
                <w:rFonts w:ascii="黑体" w:eastAsia="黑体" w:hAnsi="黑体" w:hint="eastAsia"/>
                <w:sz w:val="20"/>
                <w:szCs w:val="20"/>
              </w:rPr>
              <w:t>必填项，组织机构代码或统一社会信用代码。</w:t>
            </w:r>
          </w:p>
        </w:tc>
      </w:tr>
      <w:tr w:rsidR="00A052DC" w14:paraId="4031EC7F" w14:textId="77777777">
        <w:tc>
          <w:tcPr>
            <w:tcW w:w="1418" w:type="dxa"/>
          </w:tcPr>
          <w:p w14:paraId="764820E1" w14:textId="77777777" w:rsidR="00A052DC" w:rsidRDefault="009F0A60">
            <w:pPr>
              <w:rPr>
                <w:rFonts w:ascii="黑体" w:eastAsia="黑体" w:hAnsi="黑体"/>
                <w:sz w:val="20"/>
                <w:szCs w:val="20"/>
              </w:rPr>
            </w:pPr>
            <w:r>
              <w:rPr>
                <w:rFonts w:ascii="黑体" w:eastAsia="黑体" w:hAnsi="黑体"/>
                <w:sz w:val="20"/>
                <w:szCs w:val="20"/>
              </w:rPr>
              <w:t>DEBTORNAME</w:t>
            </w:r>
          </w:p>
        </w:tc>
        <w:tc>
          <w:tcPr>
            <w:tcW w:w="1701" w:type="dxa"/>
          </w:tcPr>
          <w:p w14:paraId="48225AA3" w14:textId="77777777" w:rsidR="00A052DC" w:rsidRDefault="009F0A60">
            <w:pPr>
              <w:rPr>
                <w:rFonts w:ascii="黑体" w:eastAsia="黑体" w:hAnsi="黑体"/>
                <w:sz w:val="20"/>
                <w:szCs w:val="20"/>
              </w:rPr>
            </w:pPr>
            <w:r>
              <w:rPr>
                <w:rFonts w:ascii="黑体" w:eastAsia="黑体" w:hAnsi="黑体" w:hint="eastAsia"/>
                <w:sz w:val="20"/>
                <w:szCs w:val="20"/>
              </w:rPr>
              <w:t>债务人中文名称</w:t>
            </w:r>
          </w:p>
        </w:tc>
        <w:tc>
          <w:tcPr>
            <w:tcW w:w="1418" w:type="dxa"/>
          </w:tcPr>
          <w:p w14:paraId="68FC05A4"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4110" w:type="dxa"/>
          </w:tcPr>
          <w:p w14:paraId="27714A08"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r w:rsidR="00A052DC" w14:paraId="3FC068B6" w14:textId="77777777">
        <w:tc>
          <w:tcPr>
            <w:tcW w:w="1418" w:type="dxa"/>
          </w:tcPr>
          <w:p w14:paraId="564AAAF0" w14:textId="77777777" w:rsidR="00A052DC" w:rsidRDefault="009F0A60">
            <w:pPr>
              <w:rPr>
                <w:rFonts w:ascii="黑体" w:eastAsia="黑体" w:hAnsi="黑体"/>
                <w:sz w:val="20"/>
                <w:szCs w:val="20"/>
              </w:rPr>
            </w:pPr>
            <w:r>
              <w:rPr>
                <w:rFonts w:ascii="黑体" w:eastAsia="黑体" w:hAnsi="黑体"/>
                <w:sz w:val="20"/>
                <w:szCs w:val="20"/>
              </w:rPr>
              <w:t>VALUEDATE</w:t>
            </w:r>
          </w:p>
        </w:tc>
        <w:tc>
          <w:tcPr>
            <w:tcW w:w="1701" w:type="dxa"/>
          </w:tcPr>
          <w:p w14:paraId="098C9B1F" w14:textId="77777777" w:rsidR="00A052DC" w:rsidRDefault="009F0A60">
            <w:pPr>
              <w:rPr>
                <w:rFonts w:ascii="黑体" w:eastAsia="黑体" w:hAnsi="黑体"/>
                <w:sz w:val="20"/>
                <w:szCs w:val="20"/>
              </w:rPr>
            </w:pPr>
            <w:r>
              <w:rPr>
                <w:rFonts w:ascii="黑体" w:eastAsia="黑体" w:hAnsi="黑体" w:hint="eastAsia"/>
                <w:sz w:val="20"/>
                <w:szCs w:val="20"/>
              </w:rPr>
              <w:t>贷款起息日</w:t>
            </w:r>
          </w:p>
        </w:tc>
        <w:tc>
          <w:tcPr>
            <w:tcW w:w="1418" w:type="dxa"/>
          </w:tcPr>
          <w:p w14:paraId="7227B73F" w14:textId="77777777" w:rsidR="00A052DC" w:rsidRDefault="009F0A60">
            <w:pPr>
              <w:rPr>
                <w:rFonts w:ascii="黑体" w:eastAsia="黑体" w:hAnsi="黑体"/>
                <w:sz w:val="20"/>
                <w:szCs w:val="20"/>
              </w:rPr>
            </w:pPr>
            <w:r>
              <w:rPr>
                <w:rFonts w:ascii="黑体" w:eastAsia="黑体" w:hAnsi="黑体" w:hint="eastAsia"/>
                <w:sz w:val="20"/>
                <w:szCs w:val="20"/>
              </w:rPr>
              <w:t>日期型，8</w:t>
            </w:r>
          </w:p>
        </w:tc>
        <w:tc>
          <w:tcPr>
            <w:tcW w:w="4110" w:type="dxa"/>
          </w:tcPr>
          <w:p w14:paraId="78ADD48F" w14:textId="77777777" w:rsidR="00A052DC" w:rsidRDefault="009F0A60">
            <w:pPr>
              <w:rPr>
                <w:rFonts w:ascii="黑体" w:eastAsia="黑体" w:hAnsi="黑体"/>
                <w:sz w:val="20"/>
                <w:szCs w:val="20"/>
              </w:rPr>
            </w:pPr>
            <w:r>
              <w:rPr>
                <w:rFonts w:ascii="黑体" w:eastAsia="黑体" w:hAnsi="黑体" w:hint="eastAsia"/>
                <w:sz w:val="20"/>
                <w:szCs w:val="20"/>
              </w:rPr>
              <w:t>必填项，格式YYYYMMDD。</w:t>
            </w:r>
          </w:p>
        </w:tc>
      </w:tr>
      <w:tr w:rsidR="00A052DC" w14:paraId="18283045" w14:textId="77777777">
        <w:tc>
          <w:tcPr>
            <w:tcW w:w="1418" w:type="dxa"/>
          </w:tcPr>
          <w:p w14:paraId="537DE435" w14:textId="77777777" w:rsidR="00A052DC" w:rsidRDefault="009F0A60">
            <w:pPr>
              <w:rPr>
                <w:rFonts w:ascii="黑体" w:eastAsia="黑体" w:hAnsi="黑体"/>
                <w:sz w:val="20"/>
                <w:szCs w:val="20"/>
              </w:rPr>
            </w:pPr>
            <w:r>
              <w:rPr>
                <w:rFonts w:ascii="黑体" w:eastAsia="黑体" w:hAnsi="黑体"/>
                <w:sz w:val="20"/>
                <w:szCs w:val="20"/>
              </w:rPr>
              <w:t>CREDCONCURR</w:t>
            </w:r>
          </w:p>
        </w:tc>
        <w:tc>
          <w:tcPr>
            <w:tcW w:w="1701" w:type="dxa"/>
          </w:tcPr>
          <w:p w14:paraId="1FA8BA25" w14:textId="77777777" w:rsidR="00A052DC" w:rsidRDefault="009F0A60">
            <w:pPr>
              <w:rPr>
                <w:rFonts w:ascii="黑体" w:eastAsia="黑体" w:hAnsi="黑体"/>
                <w:sz w:val="20"/>
                <w:szCs w:val="20"/>
              </w:rPr>
            </w:pPr>
            <w:r>
              <w:rPr>
                <w:rFonts w:ascii="黑体" w:eastAsia="黑体" w:hAnsi="黑体" w:hint="eastAsia"/>
                <w:sz w:val="20"/>
                <w:szCs w:val="20"/>
              </w:rPr>
              <w:t>贷款签约币种</w:t>
            </w:r>
          </w:p>
        </w:tc>
        <w:tc>
          <w:tcPr>
            <w:tcW w:w="1418" w:type="dxa"/>
          </w:tcPr>
          <w:p w14:paraId="26F9DEB5" w14:textId="77777777" w:rsidR="00A052DC" w:rsidRDefault="009F0A60">
            <w:pPr>
              <w:rPr>
                <w:rFonts w:ascii="黑体" w:eastAsia="黑体" w:hAnsi="黑体"/>
                <w:sz w:val="20"/>
                <w:szCs w:val="20"/>
              </w:rPr>
            </w:pPr>
            <w:r>
              <w:rPr>
                <w:rFonts w:ascii="黑体" w:eastAsia="黑体" w:hAnsi="黑体" w:hint="eastAsia"/>
                <w:sz w:val="20"/>
                <w:szCs w:val="20"/>
              </w:rPr>
              <w:t>字符型，3</w:t>
            </w:r>
          </w:p>
        </w:tc>
        <w:tc>
          <w:tcPr>
            <w:tcW w:w="4110" w:type="dxa"/>
          </w:tcPr>
          <w:p w14:paraId="5AE1813F" w14:textId="77777777" w:rsidR="00A052DC" w:rsidRDefault="009F0A60">
            <w:pPr>
              <w:rPr>
                <w:rFonts w:ascii="黑体" w:eastAsia="黑体" w:hAnsi="黑体"/>
                <w:sz w:val="20"/>
                <w:szCs w:val="20"/>
              </w:rPr>
            </w:pPr>
            <w:r>
              <w:rPr>
                <w:rFonts w:ascii="黑体" w:eastAsia="黑体" w:hAnsi="黑体" w:hint="eastAsia"/>
                <w:sz w:val="20"/>
                <w:szCs w:val="20"/>
              </w:rPr>
              <w:t>必填项，默认为人民币。</w:t>
            </w:r>
          </w:p>
        </w:tc>
      </w:tr>
      <w:tr w:rsidR="00A052DC" w14:paraId="2FAB1F89" w14:textId="77777777">
        <w:tc>
          <w:tcPr>
            <w:tcW w:w="1418" w:type="dxa"/>
          </w:tcPr>
          <w:p w14:paraId="58D08D7F" w14:textId="77777777" w:rsidR="00A052DC" w:rsidRDefault="009F0A60">
            <w:pPr>
              <w:rPr>
                <w:rFonts w:ascii="黑体" w:eastAsia="黑体" w:hAnsi="黑体"/>
                <w:sz w:val="20"/>
                <w:szCs w:val="20"/>
              </w:rPr>
            </w:pPr>
            <w:r>
              <w:rPr>
                <w:rFonts w:ascii="黑体" w:eastAsia="黑体" w:hAnsi="黑体"/>
                <w:sz w:val="20"/>
                <w:szCs w:val="20"/>
              </w:rPr>
              <w:t>CREDCONAMOUNT</w:t>
            </w:r>
          </w:p>
        </w:tc>
        <w:tc>
          <w:tcPr>
            <w:tcW w:w="1701" w:type="dxa"/>
          </w:tcPr>
          <w:p w14:paraId="53D13773" w14:textId="77777777" w:rsidR="00A052DC" w:rsidRDefault="009F0A60">
            <w:pPr>
              <w:rPr>
                <w:rFonts w:ascii="黑体" w:eastAsia="黑体" w:hAnsi="黑体"/>
                <w:sz w:val="20"/>
                <w:szCs w:val="20"/>
              </w:rPr>
            </w:pPr>
            <w:r>
              <w:rPr>
                <w:rFonts w:ascii="黑体" w:eastAsia="黑体" w:hAnsi="黑体" w:hint="eastAsia"/>
                <w:sz w:val="20"/>
                <w:szCs w:val="20"/>
              </w:rPr>
              <w:t>贷款签约金额</w:t>
            </w:r>
          </w:p>
        </w:tc>
        <w:tc>
          <w:tcPr>
            <w:tcW w:w="1418" w:type="dxa"/>
          </w:tcPr>
          <w:p w14:paraId="1C49095A"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4110" w:type="dxa"/>
          </w:tcPr>
          <w:p w14:paraId="38F87B9E" w14:textId="77777777" w:rsidR="00A052DC" w:rsidRDefault="009F0A60">
            <w:pPr>
              <w:rPr>
                <w:rFonts w:ascii="黑体" w:eastAsia="黑体" w:hAnsi="黑体"/>
                <w:sz w:val="20"/>
                <w:szCs w:val="20"/>
              </w:rPr>
            </w:pPr>
            <w:r>
              <w:rPr>
                <w:rFonts w:ascii="黑体" w:eastAsia="黑体" w:hAnsi="黑体" w:hint="eastAsia"/>
                <w:sz w:val="20"/>
                <w:szCs w:val="20"/>
              </w:rPr>
              <w:t>必填项，大于等于0。</w:t>
            </w:r>
          </w:p>
        </w:tc>
      </w:tr>
      <w:tr w:rsidR="00A052DC" w14:paraId="641EC6D3" w14:textId="77777777">
        <w:tc>
          <w:tcPr>
            <w:tcW w:w="1418" w:type="dxa"/>
          </w:tcPr>
          <w:p w14:paraId="52E59B04" w14:textId="77777777" w:rsidR="00A052DC" w:rsidRDefault="009F0A60">
            <w:pPr>
              <w:rPr>
                <w:rFonts w:ascii="黑体" w:eastAsia="黑体" w:hAnsi="黑体"/>
                <w:sz w:val="20"/>
                <w:szCs w:val="20"/>
              </w:rPr>
            </w:pPr>
            <w:r>
              <w:rPr>
                <w:rFonts w:ascii="黑体" w:eastAsia="黑体" w:hAnsi="黑体"/>
                <w:sz w:val="20"/>
                <w:szCs w:val="20"/>
              </w:rPr>
              <w:t>MATURITY</w:t>
            </w:r>
          </w:p>
        </w:tc>
        <w:tc>
          <w:tcPr>
            <w:tcW w:w="1701" w:type="dxa"/>
          </w:tcPr>
          <w:p w14:paraId="4D78D6E6" w14:textId="77777777" w:rsidR="00A052DC" w:rsidRDefault="009F0A60">
            <w:pPr>
              <w:rPr>
                <w:rFonts w:ascii="黑体" w:eastAsia="黑体" w:hAnsi="黑体"/>
                <w:sz w:val="20"/>
                <w:szCs w:val="20"/>
              </w:rPr>
            </w:pPr>
            <w:r>
              <w:rPr>
                <w:rFonts w:ascii="黑体" w:eastAsia="黑体" w:hAnsi="黑体" w:hint="eastAsia"/>
                <w:sz w:val="20"/>
                <w:szCs w:val="20"/>
              </w:rPr>
              <w:t>贷款到期日</w:t>
            </w:r>
          </w:p>
        </w:tc>
        <w:tc>
          <w:tcPr>
            <w:tcW w:w="1418" w:type="dxa"/>
          </w:tcPr>
          <w:p w14:paraId="2FD9055B" w14:textId="77777777" w:rsidR="00A052DC" w:rsidRDefault="009F0A60">
            <w:pPr>
              <w:rPr>
                <w:rFonts w:ascii="黑体" w:eastAsia="黑体" w:hAnsi="黑体"/>
                <w:sz w:val="20"/>
                <w:szCs w:val="20"/>
              </w:rPr>
            </w:pPr>
            <w:r>
              <w:rPr>
                <w:rFonts w:ascii="黑体" w:eastAsia="黑体" w:hAnsi="黑体" w:hint="eastAsia"/>
                <w:sz w:val="20"/>
                <w:szCs w:val="20"/>
              </w:rPr>
              <w:t>日期型,8</w:t>
            </w:r>
          </w:p>
        </w:tc>
        <w:tc>
          <w:tcPr>
            <w:tcW w:w="4110" w:type="dxa"/>
          </w:tcPr>
          <w:p w14:paraId="33AF38B2" w14:textId="77777777" w:rsidR="00A052DC" w:rsidRDefault="009F0A60" w:rsidP="005D3821">
            <w:pPr>
              <w:rPr>
                <w:rFonts w:ascii="黑体" w:eastAsia="黑体" w:hAnsi="黑体"/>
                <w:sz w:val="20"/>
                <w:szCs w:val="20"/>
              </w:rPr>
            </w:pPr>
            <w:r>
              <w:rPr>
                <w:rFonts w:ascii="黑体" w:eastAsia="黑体" w:hAnsi="黑体" w:hint="eastAsia"/>
                <w:sz w:val="20"/>
                <w:szCs w:val="20"/>
              </w:rPr>
              <w:t>必填项，格式YYYYMMDD，大于等于起息日。</w:t>
            </w:r>
          </w:p>
        </w:tc>
      </w:tr>
      <w:tr w:rsidR="00A052DC" w14:paraId="57CA17FE" w14:textId="77777777">
        <w:tc>
          <w:tcPr>
            <w:tcW w:w="1418" w:type="dxa"/>
          </w:tcPr>
          <w:p w14:paraId="0BBE7568" w14:textId="77777777" w:rsidR="00A052DC" w:rsidRDefault="009F0A60">
            <w:pPr>
              <w:rPr>
                <w:rFonts w:ascii="黑体" w:eastAsia="黑体" w:hAnsi="黑体"/>
                <w:sz w:val="20"/>
                <w:szCs w:val="20"/>
              </w:rPr>
            </w:pPr>
            <w:r>
              <w:rPr>
                <w:rFonts w:ascii="黑体" w:eastAsia="黑体" w:hAnsi="黑体"/>
                <w:sz w:val="20"/>
                <w:szCs w:val="20"/>
              </w:rPr>
              <w:t>EXPLCURR</w:t>
            </w:r>
          </w:p>
        </w:tc>
        <w:tc>
          <w:tcPr>
            <w:tcW w:w="1701" w:type="dxa"/>
          </w:tcPr>
          <w:p w14:paraId="24AAC7B6" w14:textId="77777777" w:rsidR="00A052DC" w:rsidRDefault="009F0A60">
            <w:pPr>
              <w:rPr>
                <w:rFonts w:ascii="黑体" w:eastAsia="黑体" w:hAnsi="黑体"/>
                <w:sz w:val="20"/>
                <w:szCs w:val="20"/>
              </w:rPr>
            </w:pPr>
            <w:r>
              <w:rPr>
                <w:rFonts w:ascii="黑体" w:eastAsia="黑体" w:hAnsi="黑体" w:hint="eastAsia"/>
                <w:sz w:val="20"/>
                <w:szCs w:val="20"/>
              </w:rPr>
              <w:t>质押外汇币种</w:t>
            </w:r>
          </w:p>
        </w:tc>
        <w:tc>
          <w:tcPr>
            <w:tcW w:w="1418" w:type="dxa"/>
          </w:tcPr>
          <w:p w14:paraId="46BC5C0C" w14:textId="77777777" w:rsidR="00A052DC" w:rsidRDefault="009F0A60">
            <w:pPr>
              <w:rPr>
                <w:rFonts w:ascii="黑体" w:eastAsia="黑体" w:hAnsi="黑体"/>
                <w:sz w:val="20"/>
                <w:szCs w:val="20"/>
              </w:rPr>
            </w:pPr>
            <w:r>
              <w:rPr>
                <w:rFonts w:ascii="黑体" w:eastAsia="黑体" w:hAnsi="黑体" w:hint="eastAsia"/>
                <w:sz w:val="20"/>
                <w:szCs w:val="20"/>
              </w:rPr>
              <w:t>字符型，3</w:t>
            </w:r>
          </w:p>
        </w:tc>
        <w:tc>
          <w:tcPr>
            <w:tcW w:w="4110" w:type="dxa"/>
          </w:tcPr>
          <w:p w14:paraId="43240469" w14:textId="77777777" w:rsidR="00A052DC" w:rsidRDefault="009F0A60">
            <w:pPr>
              <w:rPr>
                <w:rFonts w:ascii="黑体" w:eastAsia="黑体" w:hAnsi="黑体"/>
                <w:sz w:val="20"/>
                <w:szCs w:val="20"/>
              </w:rPr>
            </w:pPr>
            <w:r>
              <w:rPr>
                <w:rFonts w:ascii="黑体" w:eastAsia="黑体" w:hAnsi="黑体" w:hint="eastAsia"/>
                <w:sz w:val="20"/>
                <w:szCs w:val="20"/>
              </w:rPr>
              <w:t>必填项，见币种代码表。</w:t>
            </w:r>
          </w:p>
        </w:tc>
      </w:tr>
      <w:tr w:rsidR="00A052DC" w14:paraId="2AB722CF" w14:textId="77777777">
        <w:tc>
          <w:tcPr>
            <w:tcW w:w="1418" w:type="dxa"/>
          </w:tcPr>
          <w:p w14:paraId="7F076208" w14:textId="77777777" w:rsidR="00A052DC" w:rsidRDefault="009F0A60">
            <w:pPr>
              <w:rPr>
                <w:rFonts w:ascii="黑体" w:eastAsia="黑体" w:hAnsi="黑体"/>
                <w:sz w:val="20"/>
                <w:szCs w:val="20"/>
              </w:rPr>
            </w:pPr>
            <w:r>
              <w:rPr>
                <w:rFonts w:ascii="黑体" w:eastAsia="黑体" w:hAnsi="黑体"/>
                <w:sz w:val="20"/>
                <w:szCs w:val="20"/>
              </w:rPr>
              <w:t>EXPLAMOUNT</w:t>
            </w:r>
          </w:p>
        </w:tc>
        <w:tc>
          <w:tcPr>
            <w:tcW w:w="1701" w:type="dxa"/>
          </w:tcPr>
          <w:p w14:paraId="5948C949" w14:textId="77777777" w:rsidR="00A052DC" w:rsidRDefault="009F0A60">
            <w:pPr>
              <w:rPr>
                <w:rFonts w:ascii="黑体" w:eastAsia="黑体" w:hAnsi="黑体"/>
                <w:sz w:val="20"/>
                <w:szCs w:val="20"/>
              </w:rPr>
            </w:pPr>
            <w:r>
              <w:rPr>
                <w:rFonts w:ascii="黑体" w:eastAsia="黑体" w:hAnsi="黑体" w:hint="eastAsia"/>
                <w:sz w:val="20"/>
                <w:szCs w:val="20"/>
              </w:rPr>
              <w:t>质押外汇金额</w:t>
            </w:r>
          </w:p>
        </w:tc>
        <w:tc>
          <w:tcPr>
            <w:tcW w:w="1418" w:type="dxa"/>
          </w:tcPr>
          <w:p w14:paraId="585EE370"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4110" w:type="dxa"/>
          </w:tcPr>
          <w:p w14:paraId="4B482B6F" w14:textId="77777777" w:rsidR="00A052DC" w:rsidRDefault="009F0A60">
            <w:pPr>
              <w:rPr>
                <w:rFonts w:ascii="黑体" w:eastAsia="黑体" w:hAnsi="黑体"/>
                <w:sz w:val="20"/>
                <w:szCs w:val="20"/>
              </w:rPr>
            </w:pPr>
            <w:r>
              <w:rPr>
                <w:rFonts w:ascii="黑体" w:eastAsia="黑体" w:hAnsi="黑体" w:hint="eastAsia"/>
                <w:sz w:val="20"/>
                <w:szCs w:val="20"/>
              </w:rPr>
              <w:t>必填项，大于等于0。</w:t>
            </w:r>
          </w:p>
        </w:tc>
      </w:tr>
      <w:tr w:rsidR="00A052DC" w14:paraId="5A1D9B58" w14:textId="77777777">
        <w:tc>
          <w:tcPr>
            <w:tcW w:w="1418" w:type="dxa"/>
            <w:tcBorders>
              <w:top w:val="single" w:sz="4" w:space="0" w:color="auto"/>
              <w:left w:val="single" w:sz="4" w:space="0" w:color="auto"/>
              <w:bottom w:val="single" w:sz="4" w:space="0" w:color="auto"/>
              <w:right w:val="single" w:sz="4" w:space="0" w:color="auto"/>
            </w:tcBorders>
          </w:tcPr>
          <w:p w14:paraId="4EBF1EBD" w14:textId="77777777" w:rsidR="00A052DC" w:rsidRDefault="009F0A60">
            <w:pPr>
              <w:rPr>
                <w:rFonts w:ascii="黑体" w:eastAsia="黑体" w:hAnsi="黑体"/>
                <w:sz w:val="20"/>
                <w:szCs w:val="20"/>
              </w:rPr>
            </w:pPr>
            <w:r>
              <w:rPr>
                <w:rFonts w:ascii="黑体" w:eastAsia="黑体" w:hAnsi="黑体"/>
                <w:sz w:val="20"/>
                <w:szCs w:val="20"/>
              </w:rPr>
              <w:t>REMARK</w:t>
            </w:r>
          </w:p>
        </w:tc>
        <w:tc>
          <w:tcPr>
            <w:tcW w:w="1701" w:type="dxa"/>
            <w:tcBorders>
              <w:top w:val="single" w:sz="4" w:space="0" w:color="auto"/>
              <w:left w:val="single" w:sz="4" w:space="0" w:color="auto"/>
              <w:bottom w:val="single" w:sz="4" w:space="0" w:color="auto"/>
              <w:right w:val="single" w:sz="4" w:space="0" w:color="auto"/>
            </w:tcBorders>
          </w:tcPr>
          <w:p w14:paraId="150B13B3" w14:textId="77777777" w:rsidR="00A052DC" w:rsidRDefault="009F0A60">
            <w:pPr>
              <w:rPr>
                <w:rFonts w:ascii="黑体" w:eastAsia="黑体" w:hAnsi="黑体"/>
                <w:sz w:val="20"/>
                <w:szCs w:val="20"/>
              </w:rPr>
            </w:pPr>
            <w:r>
              <w:rPr>
                <w:rFonts w:ascii="黑体" w:eastAsia="黑体" w:hAnsi="黑体" w:hint="eastAsia"/>
                <w:sz w:val="20"/>
                <w:szCs w:val="20"/>
              </w:rPr>
              <w:t>备注</w:t>
            </w:r>
          </w:p>
        </w:tc>
        <w:tc>
          <w:tcPr>
            <w:tcW w:w="1418" w:type="dxa"/>
            <w:tcBorders>
              <w:top w:val="single" w:sz="4" w:space="0" w:color="auto"/>
              <w:left w:val="single" w:sz="4" w:space="0" w:color="auto"/>
              <w:bottom w:val="single" w:sz="4" w:space="0" w:color="auto"/>
              <w:right w:val="single" w:sz="4" w:space="0" w:color="auto"/>
            </w:tcBorders>
          </w:tcPr>
          <w:p w14:paraId="64FF881A" w14:textId="77777777" w:rsidR="00A052DC" w:rsidRDefault="009F0A60">
            <w:pPr>
              <w:rPr>
                <w:rFonts w:ascii="黑体" w:eastAsia="黑体" w:hAnsi="黑体"/>
                <w:sz w:val="20"/>
                <w:szCs w:val="20"/>
              </w:rPr>
            </w:pPr>
            <w:r>
              <w:rPr>
                <w:rFonts w:ascii="黑体" w:eastAsia="黑体" w:hAnsi="黑体" w:hint="eastAsia"/>
                <w:sz w:val="20"/>
                <w:szCs w:val="20"/>
              </w:rPr>
              <w:t>字符型，256</w:t>
            </w:r>
          </w:p>
        </w:tc>
        <w:tc>
          <w:tcPr>
            <w:tcW w:w="4110" w:type="dxa"/>
            <w:tcBorders>
              <w:top w:val="single" w:sz="4" w:space="0" w:color="auto"/>
              <w:left w:val="single" w:sz="4" w:space="0" w:color="auto"/>
              <w:bottom w:val="single" w:sz="4" w:space="0" w:color="auto"/>
              <w:right w:val="single" w:sz="4" w:space="0" w:color="auto"/>
            </w:tcBorders>
          </w:tcPr>
          <w:p w14:paraId="3A1531A0" w14:textId="77777777" w:rsidR="00A052DC" w:rsidRDefault="009F0A60">
            <w:pPr>
              <w:rPr>
                <w:rFonts w:ascii="黑体" w:eastAsia="黑体" w:hAnsi="黑体"/>
                <w:sz w:val="20"/>
                <w:szCs w:val="20"/>
              </w:rPr>
            </w:pPr>
            <w:r>
              <w:rPr>
                <w:rFonts w:ascii="黑体" w:eastAsia="黑体" w:hAnsi="黑体" w:hint="eastAsia"/>
                <w:sz w:val="20"/>
                <w:szCs w:val="20"/>
              </w:rPr>
              <w:t>非必填项。</w:t>
            </w:r>
          </w:p>
        </w:tc>
      </w:tr>
    </w:tbl>
    <w:p w14:paraId="3CDD5F1A" w14:textId="77777777" w:rsidR="00A052DC" w:rsidRDefault="00A052DC"/>
    <w:p w14:paraId="13964403" w14:textId="77777777" w:rsidR="00A052DC" w:rsidRDefault="009F0A60" w:rsidP="0020251D">
      <w:pPr>
        <w:pStyle w:val="4"/>
        <w:numPr>
          <w:ilvl w:val="3"/>
          <w:numId w:val="1"/>
        </w:numPr>
        <w:jc w:val="left"/>
      </w:pPr>
      <w:bookmarkStart w:id="1701" w:name="_Toc454386983"/>
      <w:bookmarkStart w:id="1702" w:name="_Toc328635541"/>
      <w:r>
        <w:rPr>
          <w:rFonts w:hint="eastAsia"/>
        </w:rPr>
        <w:t>变动信息</w:t>
      </w:r>
      <w:bookmarkEnd w:id="1701"/>
      <w:bookmarkEnd w:id="1702"/>
    </w:p>
    <w:p w14:paraId="06BBD938" w14:textId="77777777" w:rsidR="00A052DC" w:rsidRDefault="009F0A60" w:rsidP="0020251D">
      <w:pPr>
        <w:pStyle w:val="5"/>
        <w:numPr>
          <w:ilvl w:val="4"/>
          <w:numId w:val="1"/>
        </w:numPr>
        <w:spacing w:before="120" w:after="120" w:line="360" w:lineRule="auto"/>
        <w:jc w:val="left"/>
      </w:pPr>
      <w:bookmarkStart w:id="1703" w:name="_Toc454386984"/>
      <w:bookmarkStart w:id="1704" w:name="_Toc328635542"/>
      <w:r>
        <w:rPr>
          <w:rFonts w:hint="eastAsia"/>
        </w:rPr>
        <w:t>数据术语解释</w:t>
      </w:r>
      <w:bookmarkEnd w:id="1703"/>
      <w:bookmarkEnd w:id="1704"/>
    </w:p>
    <w:tbl>
      <w:tblPr>
        <w:tblW w:w="84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26"/>
        <w:gridCol w:w="6946"/>
      </w:tblGrid>
      <w:tr w:rsidR="00A052DC" w14:paraId="70BF24DB" w14:textId="77777777">
        <w:tc>
          <w:tcPr>
            <w:tcW w:w="1526" w:type="dxa"/>
          </w:tcPr>
          <w:p w14:paraId="6F8900AC" w14:textId="77777777" w:rsidR="00A052DC" w:rsidRDefault="009F0A60">
            <w:pPr>
              <w:jc w:val="center"/>
              <w:rPr>
                <w:rFonts w:ascii="黑体" w:eastAsia="黑体" w:hAnsi="黑体"/>
                <w:b/>
                <w:sz w:val="20"/>
                <w:szCs w:val="20"/>
              </w:rPr>
            </w:pPr>
            <w:r>
              <w:rPr>
                <w:rFonts w:ascii="黑体" w:eastAsia="黑体" w:hAnsi="黑体" w:hint="eastAsia"/>
                <w:b/>
                <w:sz w:val="20"/>
                <w:szCs w:val="20"/>
              </w:rPr>
              <w:t>基础数据项</w:t>
            </w:r>
          </w:p>
        </w:tc>
        <w:tc>
          <w:tcPr>
            <w:tcW w:w="6946" w:type="dxa"/>
          </w:tcPr>
          <w:p w14:paraId="75EBC3B0" w14:textId="77777777" w:rsidR="00A052DC" w:rsidRDefault="009F0A60">
            <w:pPr>
              <w:jc w:val="center"/>
              <w:rPr>
                <w:rFonts w:ascii="黑体" w:eastAsia="黑体" w:hAnsi="黑体"/>
                <w:b/>
                <w:sz w:val="20"/>
                <w:szCs w:val="20"/>
              </w:rPr>
            </w:pPr>
            <w:r>
              <w:rPr>
                <w:rFonts w:ascii="黑体" w:eastAsia="黑体" w:hAnsi="黑体" w:hint="eastAsia"/>
                <w:b/>
                <w:sz w:val="20"/>
                <w:szCs w:val="20"/>
              </w:rPr>
              <w:t>定义</w:t>
            </w:r>
          </w:p>
        </w:tc>
      </w:tr>
      <w:tr w:rsidR="00A052DC" w14:paraId="593647AA" w14:textId="77777777">
        <w:trPr>
          <w:cantSplit/>
          <w:trHeight w:val="218"/>
        </w:trPr>
        <w:tc>
          <w:tcPr>
            <w:tcW w:w="1526" w:type="dxa"/>
          </w:tcPr>
          <w:p w14:paraId="6FF5D161" w14:textId="77777777" w:rsidR="00A052DC" w:rsidRDefault="009F0A60">
            <w:pPr>
              <w:rPr>
                <w:rFonts w:ascii="黑体" w:eastAsia="黑体" w:hAnsi="黑体"/>
                <w:sz w:val="20"/>
                <w:szCs w:val="20"/>
              </w:rPr>
            </w:pPr>
            <w:r>
              <w:rPr>
                <w:rFonts w:ascii="黑体" w:eastAsia="黑体" w:hAnsi="黑体" w:hint="eastAsia"/>
                <w:sz w:val="20"/>
                <w:szCs w:val="20"/>
              </w:rPr>
              <w:t>外汇质押人民币贷款编号</w:t>
            </w:r>
          </w:p>
        </w:tc>
        <w:tc>
          <w:tcPr>
            <w:tcW w:w="6946" w:type="dxa"/>
          </w:tcPr>
          <w:p w14:paraId="446E5EC3" w14:textId="77777777" w:rsidR="00A052DC" w:rsidRDefault="009F0A60">
            <w:pPr>
              <w:rPr>
                <w:rFonts w:ascii="黑体" w:eastAsia="黑体" w:hAnsi="黑体"/>
                <w:sz w:val="20"/>
                <w:szCs w:val="20"/>
              </w:rPr>
            </w:pPr>
            <w:r>
              <w:rPr>
                <w:rFonts w:ascii="黑体" w:eastAsia="黑体" w:hAnsi="黑体" w:hint="eastAsia"/>
                <w:sz w:val="20"/>
                <w:szCs w:val="20"/>
              </w:rPr>
              <w:t>该笔变动信息对应的外汇质押人民币贷款编号。变动信息不产生新的外汇质押人民币贷款编号，变动信息中的外汇质押人民币贷款编号必须为签约信息中已经报送的外汇质押人民币贷款编号。</w:t>
            </w:r>
          </w:p>
        </w:tc>
      </w:tr>
      <w:tr w:rsidR="00A052DC" w14:paraId="638CEF8D" w14:textId="77777777">
        <w:trPr>
          <w:cantSplit/>
          <w:trHeight w:val="218"/>
        </w:trPr>
        <w:tc>
          <w:tcPr>
            <w:tcW w:w="1526" w:type="dxa"/>
          </w:tcPr>
          <w:p w14:paraId="12682305" w14:textId="77777777" w:rsidR="00A052DC" w:rsidRDefault="009F0A60">
            <w:pPr>
              <w:rPr>
                <w:rFonts w:ascii="黑体" w:eastAsia="黑体" w:hAnsi="黑体"/>
                <w:sz w:val="20"/>
                <w:szCs w:val="20"/>
              </w:rPr>
            </w:pPr>
            <w:r>
              <w:rPr>
                <w:rFonts w:ascii="黑体" w:eastAsia="黑体" w:hAnsi="黑体" w:hint="eastAsia"/>
                <w:sz w:val="20"/>
                <w:szCs w:val="20"/>
              </w:rPr>
              <w:t>报告期</w:t>
            </w:r>
          </w:p>
        </w:tc>
        <w:tc>
          <w:tcPr>
            <w:tcW w:w="6946" w:type="dxa"/>
          </w:tcPr>
          <w:p w14:paraId="40143DA0" w14:textId="77777777" w:rsidR="00A052DC" w:rsidRDefault="009F0A60">
            <w:pPr>
              <w:rPr>
                <w:rFonts w:ascii="黑体" w:eastAsia="黑体" w:hAnsi="黑体"/>
                <w:sz w:val="20"/>
                <w:szCs w:val="20"/>
              </w:rPr>
            </w:pPr>
            <w:r>
              <w:rPr>
                <w:rFonts w:ascii="黑体" w:eastAsia="黑体" w:hAnsi="黑体" w:hint="eastAsia"/>
                <w:sz w:val="20"/>
                <w:szCs w:val="20"/>
              </w:rPr>
              <w:t>外汇质押人民币贷款变动发生的月份，格式为</w:t>
            </w:r>
            <w:r>
              <w:rPr>
                <w:rFonts w:ascii="黑体" w:eastAsia="黑体" w:hAnsi="黑体"/>
                <w:sz w:val="20"/>
                <w:szCs w:val="20"/>
              </w:rPr>
              <w:t>YYYYMM</w:t>
            </w:r>
            <w:r>
              <w:rPr>
                <w:rFonts w:ascii="黑体" w:eastAsia="黑体" w:hAnsi="黑体" w:hint="eastAsia"/>
                <w:sz w:val="20"/>
                <w:szCs w:val="20"/>
              </w:rPr>
              <w:t>。</w:t>
            </w:r>
          </w:p>
        </w:tc>
      </w:tr>
      <w:tr w:rsidR="00A052DC" w14:paraId="32C81021" w14:textId="77777777">
        <w:trPr>
          <w:cantSplit/>
          <w:trHeight w:val="218"/>
        </w:trPr>
        <w:tc>
          <w:tcPr>
            <w:tcW w:w="1526" w:type="dxa"/>
          </w:tcPr>
          <w:p w14:paraId="30CED88E" w14:textId="77777777" w:rsidR="00A052DC" w:rsidRDefault="009F0A60">
            <w:pPr>
              <w:rPr>
                <w:rFonts w:ascii="黑体" w:eastAsia="黑体" w:hAnsi="黑体"/>
                <w:sz w:val="20"/>
                <w:szCs w:val="20"/>
              </w:rPr>
            </w:pPr>
            <w:r>
              <w:rPr>
                <w:rFonts w:ascii="黑体" w:eastAsia="黑体" w:hAnsi="黑体" w:hint="eastAsia"/>
                <w:sz w:val="20"/>
                <w:szCs w:val="20"/>
              </w:rPr>
              <w:t>变动编号</w:t>
            </w:r>
          </w:p>
        </w:tc>
        <w:tc>
          <w:tcPr>
            <w:tcW w:w="6946" w:type="dxa"/>
          </w:tcPr>
          <w:p w14:paraId="0A567B62" w14:textId="77777777" w:rsidR="00A052DC" w:rsidRDefault="009F0A60">
            <w:pPr>
              <w:rPr>
                <w:rFonts w:ascii="黑体" w:eastAsia="黑体" w:hAnsi="黑体"/>
                <w:sz w:val="20"/>
                <w:szCs w:val="20"/>
              </w:rPr>
            </w:pPr>
            <w:r>
              <w:rPr>
                <w:rFonts w:ascii="黑体" w:eastAsia="黑体" w:hAnsi="黑体" w:hint="eastAsia"/>
                <w:sz w:val="20"/>
                <w:szCs w:val="20"/>
              </w:rPr>
              <w:t>外汇局制定编号规则，银行自行对同一笔外汇质押人民币贷款月初贷款余额、提款、还款、月末贷款余额、质押外汇变动金额、质押外汇余额、质押外汇履约金额、质押履约结汇金额等变动信息逐笔编号，用于识别同一外汇质押人民币贷款编号下变动数据的新增或修改。变动编号规则为</w:t>
            </w:r>
            <w:r>
              <w:rPr>
                <w:rFonts w:ascii="黑体" w:eastAsia="黑体" w:hAnsi="黑体"/>
                <w:sz w:val="20"/>
                <w:szCs w:val="20"/>
              </w:rPr>
              <w:t>4</w:t>
            </w:r>
            <w:r>
              <w:rPr>
                <w:rFonts w:ascii="黑体" w:eastAsia="黑体" w:hAnsi="黑体" w:hint="eastAsia"/>
                <w:sz w:val="20"/>
                <w:szCs w:val="20"/>
              </w:rPr>
              <w:t>位流水号，编号格式如</w:t>
            </w:r>
            <w:r>
              <w:rPr>
                <w:rFonts w:ascii="黑体" w:eastAsia="黑体" w:hAnsi="黑体"/>
                <w:sz w:val="20"/>
                <w:szCs w:val="20"/>
              </w:rPr>
              <w:t>0001</w:t>
            </w:r>
            <w:r>
              <w:rPr>
                <w:rFonts w:ascii="黑体" w:eastAsia="黑体" w:hAnsi="黑体" w:hint="eastAsia"/>
                <w:sz w:val="20"/>
                <w:szCs w:val="20"/>
              </w:rPr>
              <w:t>。</w:t>
            </w:r>
          </w:p>
        </w:tc>
      </w:tr>
      <w:tr w:rsidR="00A052DC" w14:paraId="22F110B9" w14:textId="77777777">
        <w:trPr>
          <w:cantSplit/>
          <w:trHeight w:val="218"/>
        </w:trPr>
        <w:tc>
          <w:tcPr>
            <w:tcW w:w="1526" w:type="dxa"/>
          </w:tcPr>
          <w:p w14:paraId="401F9E4D" w14:textId="77777777" w:rsidR="00A052DC" w:rsidRDefault="009F0A60">
            <w:pPr>
              <w:rPr>
                <w:rFonts w:ascii="黑体" w:eastAsia="黑体" w:hAnsi="黑体"/>
                <w:sz w:val="20"/>
                <w:szCs w:val="20"/>
              </w:rPr>
            </w:pPr>
            <w:r>
              <w:rPr>
                <w:rFonts w:ascii="黑体" w:eastAsia="黑体" w:hAnsi="黑体" w:hint="eastAsia"/>
                <w:sz w:val="20"/>
                <w:szCs w:val="20"/>
              </w:rPr>
              <w:t>月初贷款余额</w:t>
            </w:r>
          </w:p>
        </w:tc>
        <w:tc>
          <w:tcPr>
            <w:tcW w:w="6946" w:type="dxa"/>
          </w:tcPr>
          <w:p w14:paraId="1808C16C" w14:textId="77777777" w:rsidR="00A052DC" w:rsidRDefault="009F0A60">
            <w:pPr>
              <w:rPr>
                <w:rFonts w:ascii="黑体" w:eastAsia="黑体" w:hAnsi="黑体"/>
                <w:sz w:val="20"/>
                <w:szCs w:val="20"/>
              </w:rPr>
            </w:pPr>
            <w:r>
              <w:rPr>
                <w:rFonts w:ascii="黑体" w:eastAsia="黑体" w:hAnsi="黑体" w:hint="eastAsia"/>
                <w:sz w:val="20"/>
                <w:szCs w:val="20"/>
              </w:rPr>
              <w:t>本月初外汇质押人民币贷款余额。</w:t>
            </w:r>
          </w:p>
        </w:tc>
      </w:tr>
      <w:tr w:rsidR="00A052DC" w14:paraId="04558830" w14:textId="77777777">
        <w:trPr>
          <w:cantSplit/>
        </w:trPr>
        <w:tc>
          <w:tcPr>
            <w:tcW w:w="1526" w:type="dxa"/>
          </w:tcPr>
          <w:p w14:paraId="151B3D6F" w14:textId="77777777" w:rsidR="00A052DC" w:rsidRDefault="009F0A60">
            <w:pPr>
              <w:rPr>
                <w:rFonts w:ascii="黑体" w:eastAsia="黑体" w:hAnsi="黑体"/>
                <w:sz w:val="20"/>
                <w:szCs w:val="20"/>
              </w:rPr>
            </w:pPr>
            <w:r>
              <w:rPr>
                <w:rFonts w:ascii="黑体" w:eastAsia="黑体" w:hAnsi="黑体" w:hint="eastAsia"/>
                <w:sz w:val="20"/>
                <w:szCs w:val="20"/>
              </w:rPr>
              <w:t>本月提款金额</w:t>
            </w:r>
          </w:p>
        </w:tc>
        <w:tc>
          <w:tcPr>
            <w:tcW w:w="6946" w:type="dxa"/>
          </w:tcPr>
          <w:p w14:paraId="511095F4" w14:textId="77777777" w:rsidR="00A052DC" w:rsidRDefault="009F0A60">
            <w:pPr>
              <w:rPr>
                <w:rFonts w:ascii="黑体" w:eastAsia="黑体" w:hAnsi="黑体"/>
                <w:sz w:val="20"/>
                <w:szCs w:val="20"/>
              </w:rPr>
            </w:pPr>
            <w:r>
              <w:rPr>
                <w:rFonts w:ascii="黑体" w:eastAsia="黑体" w:hAnsi="黑体" w:hint="eastAsia"/>
                <w:sz w:val="20"/>
                <w:szCs w:val="20"/>
              </w:rPr>
              <w:t>本月发生的外汇质押人民币贷款提款金额。</w:t>
            </w:r>
          </w:p>
        </w:tc>
      </w:tr>
      <w:tr w:rsidR="00A052DC" w14:paraId="6A144414" w14:textId="77777777">
        <w:trPr>
          <w:cantSplit/>
        </w:trPr>
        <w:tc>
          <w:tcPr>
            <w:tcW w:w="1526" w:type="dxa"/>
          </w:tcPr>
          <w:p w14:paraId="6056450B" w14:textId="77777777" w:rsidR="00A052DC" w:rsidRDefault="009F0A60">
            <w:pPr>
              <w:rPr>
                <w:rFonts w:ascii="黑体" w:eastAsia="黑体" w:hAnsi="黑体"/>
                <w:sz w:val="20"/>
                <w:szCs w:val="20"/>
              </w:rPr>
            </w:pPr>
            <w:r>
              <w:rPr>
                <w:rFonts w:ascii="黑体" w:eastAsia="黑体" w:hAnsi="黑体" w:hint="eastAsia"/>
                <w:sz w:val="20"/>
                <w:szCs w:val="20"/>
              </w:rPr>
              <w:t>本月还本金额</w:t>
            </w:r>
          </w:p>
        </w:tc>
        <w:tc>
          <w:tcPr>
            <w:tcW w:w="6946" w:type="dxa"/>
          </w:tcPr>
          <w:p w14:paraId="68A3AC42" w14:textId="77777777" w:rsidR="00A052DC" w:rsidRDefault="009F0A60">
            <w:pPr>
              <w:rPr>
                <w:rFonts w:ascii="黑体" w:eastAsia="黑体" w:hAnsi="黑体"/>
                <w:sz w:val="20"/>
                <w:szCs w:val="20"/>
              </w:rPr>
            </w:pPr>
            <w:r>
              <w:rPr>
                <w:rFonts w:ascii="黑体" w:eastAsia="黑体" w:hAnsi="黑体" w:hint="eastAsia"/>
                <w:sz w:val="20"/>
                <w:szCs w:val="20"/>
              </w:rPr>
              <w:t>本月发生的偿还外汇质押人民币贷款本金的金额。</w:t>
            </w:r>
          </w:p>
        </w:tc>
      </w:tr>
      <w:tr w:rsidR="00A052DC" w14:paraId="6CD79075" w14:textId="77777777">
        <w:trPr>
          <w:cantSplit/>
        </w:trPr>
        <w:tc>
          <w:tcPr>
            <w:tcW w:w="1526" w:type="dxa"/>
          </w:tcPr>
          <w:p w14:paraId="2684A6E2" w14:textId="77777777" w:rsidR="00A052DC" w:rsidRDefault="009F0A60">
            <w:pPr>
              <w:rPr>
                <w:rFonts w:ascii="黑体" w:eastAsia="黑体" w:hAnsi="黑体"/>
                <w:sz w:val="20"/>
                <w:szCs w:val="20"/>
              </w:rPr>
            </w:pPr>
            <w:r>
              <w:rPr>
                <w:rFonts w:ascii="黑体" w:eastAsia="黑体" w:hAnsi="黑体" w:hint="eastAsia"/>
                <w:sz w:val="20"/>
                <w:szCs w:val="20"/>
              </w:rPr>
              <w:t>本月付息费金额</w:t>
            </w:r>
          </w:p>
        </w:tc>
        <w:tc>
          <w:tcPr>
            <w:tcW w:w="6946" w:type="dxa"/>
          </w:tcPr>
          <w:p w14:paraId="4A02E9FE" w14:textId="77777777" w:rsidR="00A052DC" w:rsidRDefault="009F0A60">
            <w:pPr>
              <w:rPr>
                <w:rFonts w:ascii="黑体" w:eastAsia="黑体" w:hAnsi="黑体"/>
                <w:sz w:val="20"/>
                <w:szCs w:val="20"/>
              </w:rPr>
            </w:pPr>
            <w:r>
              <w:rPr>
                <w:rFonts w:ascii="黑体" w:eastAsia="黑体" w:hAnsi="黑体" w:hint="eastAsia"/>
                <w:sz w:val="20"/>
                <w:szCs w:val="20"/>
              </w:rPr>
              <w:t>本月发生的偿还外汇质押人民币贷款利息和费用的金额。</w:t>
            </w:r>
          </w:p>
        </w:tc>
      </w:tr>
      <w:tr w:rsidR="00A052DC" w14:paraId="6A7652D0" w14:textId="77777777">
        <w:trPr>
          <w:cantSplit/>
        </w:trPr>
        <w:tc>
          <w:tcPr>
            <w:tcW w:w="1526" w:type="dxa"/>
          </w:tcPr>
          <w:p w14:paraId="24CDDAE2" w14:textId="77777777" w:rsidR="00A052DC" w:rsidRDefault="009F0A60">
            <w:pPr>
              <w:rPr>
                <w:rFonts w:ascii="黑体" w:eastAsia="黑体" w:hAnsi="黑体"/>
                <w:sz w:val="20"/>
                <w:szCs w:val="20"/>
              </w:rPr>
            </w:pPr>
            <w:r>
              <w:rPr>
                <w:rFonts w:ascii="黑体" w:eastAsia="黑体" w:hAnsi="黑体" w:hint="eastAsia"/>
                <w:sz w:val="20"/>
                <w:szCs w:val="20"/>
              </w:rPr>
              <w:t>月末贷款余额</w:t>
            </w:r>
          </w:p>
        </w:tc>
        <w:tc>
          <w:tcPr>
            <w:tcW w:w="6946" w:type="dxa"/>
          </w:tcPr>
          <w:p w14:paraId="0852C5AE" w14:textId="77777777" w:rsidR="00A052DC" w:rsidRDefault="009F0A60">
            <w:pPr>
              <w:rPr>
                <w:rFonts w:ascii="黑体" w:eastAsia="黑体" w:hAnsi="黑体"/>
                <w:sz w:val="20"/>
                <w:szCs w:val="20"/>
              </w:rPr>
            </w:pPr>
            <w:r>
              <w:rPr>
                <w:rFonts w:ascii="黑体" w:eastAsia="黑体" w:hAnsi="黑体" w:hint="eastAsia"/>
                <w:sz w:val="20"/>
                <w:szCs w:val="20"/>
              </w:rPr>
              <w:t>本月末外汇质押人民币贷款余额。</w:t>
            </w:r>
          </w:p>
        </w:tc>
      </w:tr>
      <w:tr w:rsidR="00A052DC" w14:paraId="0EAE14DC" w14:textId="77777777">
        <w:trPr>
          <w:cantSplit/>
        </w:trPr>
        <w:tc>
          <w:tcPr>
            <w:tcW w:w="1526" w:type="dxa"/>
          </w:tcPr>
          <w:p w14:paraId="5853F504" w14:textId="77777777" w:rsidR="00A052DC" w:rsidRDefault="009F0A60">
            <w:pPr>
              <w:rPr>
                <w:rFonts w:ascii="黑体" w:eastAsia="黑体" w:hAnsi="黑体"/>
                <w:sz w:val="20"/>
                <w:szCs w:val="20"/>
              </w:rPr>
            </w:pPr>
            <w:r>
              <w:rPr>
                <w:rFonts w:ascii="黑体" w:eastAsia="黑体" w:hAnsi="黑体" w:hint="eastAsia"/>
                <w:sz w:val="20"/>
                <w:szCs w:val="20"/>
              </w:rPr>
              <w:t>质押外汇币种</w:t>
            </w:r>
          </w:p>
        </w:tc>
        <w:tc>
          <w:tcPr>
            <w:tcW w:w="6946" w:type="dxa"/>
          </w:tcPr>
          <w:p w14:paraId="27EB732C" w14:textId="77777777" w:rsidR="00A052DC" w:rsidRDefault="009F0A60">
            <w:pPr>
              <w:rPr>
                <w:rFonts w:ascii="黑体" w:eastAsia="黑体" w:hAnsi="黑体"/>
                <w:sz w:val="20"/>
                <w:szCs w:val="20"/>
              </w:rPr>
            </w:pPr>
            <w:r>
              <w:rPr>
                <w:rFonts w:ascii="黑体" w:eastAsia="黑体" w:hAnsi="黑体" w:hint="eastAsia"/>
                <w:sz w:val="20"/>
                <w:szCs w:val="20"/>
              </w:rPr>
              <w:t>质押外汇币种</w:t>
            </w:r>
            <w:r w:rsidR="00A91079">
              <w:rPr>
                <w:rFonts w:ascii="黑体" w:eastAsia="黑体" w:hAnsi="黑体" w:hint="eastAsia"/>
                <w:sz w:val="20"/>
                <w:szCs w:val="20"/>
              </w:rPr>
              <w:t>。</w:t>
            </w:r>
          </w:p>
        </w:tc>
      </w:tr>
      <w:tr w:rsidR="00A052DC" w14:paraId="46CBCE65" w14:textId="77777777">
        <w:trPr>
          <w:cantSplit/>
        </w:trPr>
        <w:tc>
          <w:tcPr>
            <w:tcW w:w="1526" w:type="dxa"/>
          </w:tcPr>
          <w:p w14:paraId="47630667" w14:textId="77777777" w:rsidR="00A052DC" w:rsidRDefault="009F0A60">
            <w:pPr>
              <w:rPr>
                <w:rFonts w:ascii="黑体" w:eastAsia="黑体" w:hAnsi="黑体"/>
                <w:sz w:val="20"/>
                <w:szCs w:val="20"/>
              </w:rPr>
            </w:pPr>
            <w:r>
              <w:rPr>
                <w:rFonts w:ascii="黑体" w:eastAsia="黑体" w:hAnsi="黑体" w:hint="eastAsia"/>
                <w:sz w:val="20"/>
                <w:szCs w:val="20"/>
              </w:rPr>
              <w:t>质押外汇余额</w:t>
            </w:r>
          </w:p>
        </w:tc>
        <w:tc>
          <w:tcPr>
            <w:tcW w:w="6946" w:type="dxa"/>
          </w:tcPr>
          <w:p w14:paraId="3CF96606" w14:textId="77777777" w:rsidR="00A052DC" w:rsidRDefault="009F0A60">
            <w:pPr>
              <w:rPr>
                <w:rFonts w:ascii="黑体" w:eastAsia="黑体" w:hAnsi="黑体"/>
                <w:sz w:val="20"/>
                <w:szCs w:val="20"/>
              </w:rPr>
            </w:pPr>
            <w:r>
              <w:rPr>
                <w:rFonts w:ascii="黑体" w:eastAsia="黑体" w:hAnsi="黑体" w:hint="eastAsia"/>
                <w:sz w:val="20"/>
                <w:szCs w:val="20"/>
              </w:rPr>
              <w:t>月末质押外汇余额。</w:t>
            </w:r>
          </w:p>
        </w:tc>
      </w:tr>
      <w:tr w:rsidR="00A052DC" w14:paraId="0BB8BAB7" w14:textId="77777777">
        <w:trPr>
          <w:cantSplit/>
        </w:trPr>
        <w:tc>
          <w:tcPr>
            <w:tcW w:w="1526" w:type="dxa"/>
          </w:tcPr>
          <w:p w14:paraId="13B9C6D8" w14:textId="77777777" w:rsidR="00A052DC" w:rsidRDefault="009F0A60">
            <w:pPr>
              <w:rPr>
                <w:rFonts w:ascii="黑体" w:eastAsia="黑体" w:hAnsi="黑体"/>
                <w:sz w:val="20"/>
                <w:szCs w:val="20"/>
              </w:rPr>
            </w:pPr>
            <w:r>
              <w:rPr>
                <w:rFonts w:ascii="黑体" w:eastAsia="黑体" w:hAnsi="黑体" w:hint="eastAsia"/>
                <w:sz w:val="20"/>
                <w:szCs w:val="20"/>
              </w:rPr>
              <w:t>质押外汇履约金额</w:t>
            </w:r>
          </w:p>
        </w:tc>
        <w:tc>
          <w:tcPr>
            <w:tcW w:w="6946" w:type="dxa"/>
          </w:tcPr>
          <w:p w14:paraId="590E1140" w14:textId="77777777" w:rsidR="00A052DC" w:rsidRDefault="009F0A60">
            <w:pPr>
              <w:rPr>
                <w:rFonts w:ascii="黑体" w:eastAsia="黑体" w:hAnsi="黑体"/>
                <w:sz w:val="20"/>
                <w:szCs w:val="20"/>
              </w:rPr>
            </w:pPr>
            <w:r>
              <w:rPr>
                <w:rFonts w:ascii="黑体" w:eastAsia="黑体" w:hAnsi="黑体" w:hint="eastAsia"/>
                <w:sz w:val="20"/>
                <w:szCs w:val="20"/>
              </w:rPr>
              <w:t>本月发生的质押外汇履约金额。</w:t>
            </w:r>
          </w:p>
        </w:tc>
      </w:tr>
      <w:tr w:rsidR="00A052DC" w14:paraId="191EF782" w14:textId="77777777">
        <w:trPr>
          <w:cantSplit/>
        </w:trPr>
        <w:tc>
          <w:tcPr>
            <w:tcW w:w="1526" w:type="dxa"/>
          </w:tcPr>
          <w:p w14:paraId="48DFB8A0" w14:textId="77777777" w:rsidR="00A052DC" w:rsidRDefault="009F0A60">
            <w:pPr>
              <w:rPr>
                <w:rFonts w:ascii="黑体" w:eastAsia="黑体" w:hAnsi="黑体"/>
                <w:sz w:val="20"/>
                <w:szCs w:val="20"/>
              </w:rPr>
            </w:pPr>
            <w:r>
              <w:rPr>
                <w:rFonts w:ascii="黑体" w:eastAsia="黑体" w:hAnsi="黑体" w:hint="eastAsia"/>
                <w:sz w:val="20"/>
                <w:szCs w:val="20"/>
              </w:rPr>
              <w:t>质押履约结汇金额</w:t>
            </w:r>
          </w:p>
        </w:tc>
        <w:tc>
          <w:tcPr>
            <w:tcW w:w="6946" w:type="dxa"/>
          </w:tcPr>
          <w:p w14:paraId="49BAAA2A" w14:textId="77777777" w:rsidR="00A052DC" w:rsidRDefault="009F0A60">
            <w:pPr>
              <w:rPr>
                <w:rFonts w:ascii="黑体" w:eastAsia="黑体" w:hAnsi="黑体"/>
                <w:sz w:val="20"/>
                <w:szCs w:val="20"/>
              </w:rPr>
            </w:pPr>
            <w:r>
              <w:rPr>
                <w:rFonts w:ascii="黑体" w:eastAsia="黑体" w:hAnsi="黑体" w:hint="eastAsia"/>
                <w:sz w:val="20"/>
                <w:szCs w:val="20"/>
              </w:rPr>
              <w:t>本月发生的质押外汇履约后结汇金额。</w:t>
            </w:r>
          </w:p>
        </w:tc>
      </w:tr>
      <w:tr w:rsidR="00A052DC" w14:paraId="7036E37E" w14:textId="77777777">
        <w:trPr>
          <w:cantSplit/>
        </w:trPr>
        <w:tc>
          <w:tcPr>
            <w:tcW w:w="1526" w:type="dxa"/>
            <w:tcBorders>
              <w:top w:val="single" w:sz="6" w:space="0" w:color="auto"/>
              <w:left w:val="single" w:sz="6" w:space="0" w:color="auto"/>
              <w:bottom w:val="single" w:sz="6" w:space="0" w:color="auto"/>
              <w:right w:val="single" w:sz="6" w:space="0" w:color="auto"/>
            </w:tcBorders>
          </w:tcPr>
          <w:p w14:paraId="5409FF6E" w14:textId="77777777" w:rsidR="00A052DC" w:rsidRDefault="009F0A60">
            <w:pPr>
              <w:rPr>
                <w:rFonts w:ascii="黑体" w:eastAsia="黑体" w:hAnsi="黑体"/>
                <w:sz w:val="20"/>
                <w:szCs w:val="20"/>
              </w:rPr>
            </w:pPr>
            <w:r>
              <w:rPr>
                <w:rFonts w:ascii="黑体" w:eastAsia="黑体" w:hAnsi="黑体" w:hint="eastAsia"/>
                <w:sz w:val="20"/>
                <w:szCs w:val="20"/>
              </w:rPr>
              <w:t>备注</w:t>
            </w:r>
          </w:p>
        </w:tc>
        <w:tc>
          <w:tcPr>
            <w:tcW w:w="6946" w:type="dxa"/>
            <w:tcBorders>
              <w:top w:val="single" w:sz="6" w:space="0" w:color="auto"/>
              <w:left w:val="single" w:sz="6" w:space="0" w:color="auto"/>
              <w:bottom w:val="single" w:sz="6" w:space="0" w:color="auto"/>
              <w:right w:val="single" w:sz="6" w:space="0" w:color="auto"/>
            </w:tcBorders>
          </w:tcPr>
          <w:p w14:paraId="1E990A8F" w14:textId="77777777" w:rsidR="00A052DC" w:rsidRDefault="009F0A60">
            <w:pPr>
              <w:rPr>
                <w:rFonts w:ascii="黑体" w:eastAsia="黑体" w:hAnsi="黑体"/>
                <w:sz w:val="20"/>
                <w:szCs w:val="20"/>
              </w:rPr>
            </w:pPr>
            <w:r>
              <w:rPr>
                <w:rFonts w:ascii="黑体" w:eastAsia="黑体" w:hAnsi="黑体" w:hint="eastAsia"/>
                <w:sz w:val="20"/>
                <w:szCs w:val="20"/>
              </w:rPr>
              <w:t>需要说明的备注事项。</w:t>
            </w:r>
          </w:p>
        </w:tc>
      </w:tr>
    </w:tbl>
    <w:p w14:paraId="04C246EC" w14:textId="77777777" w:rsidR="00A052DC" w:rsidRDefault="00A052DC"/>
    <w:p w14:paraId="2C277FD0" w14:textId="77777777" w:rsidR="00A052DC" w:rsidRDefault="009F0A60" w:rsidP="0020251D">
      <w:pPr>
        <w:pStyle w:val="5"/>
        <w:numPr>
          <w:ilvl w:val="4"/>
          <w:numId w:val="1"/>
        </w:numPr>
        <w:spacing w:before="120" w:after="120" w:line="360" w:lineRule="auto"/>
        <w:jc w:val="left"/>
      </w:pPr>
      <w:bookmarkStart w:id="1705" w:name="_Toc328635543"/>
      <w:bookmarkStart w:id="1706" w:name="_Toc454386985"/>
      <w:r>
        <w:rPr>
          <w:rFonts w:hint="eastAsia"/>
        </w:rPr>
        <w:t>数据格式</w:t>
      </w:r>
      <w:bookmarkEnd w:id="1705"/>
      <w:bookmarkEnd w:id="1706"/>
    </w:p>
    <w:p w14:paraId="025F0B42" w14:textId="77777777" w:rsidR="00A052DC" w:rsidRDefault="009F0A60">
      <w:r>
        <w:t>&lt;REC&gt;</w:t>
      </w:r>
    </w:p>
    <w:p w14:paraId="133F9B67" w14:textId="77777777" w:rsidR="00A052DC" w:rsidRDefault="009F0A60">
      <w:r>
        <w:t>&lt;ACTIONTYPE&gt;</w:t>
      </w:r>
      <w:r>
        <w:rPr>
          <w:rFonts w:hint="eastAsia"/>
        </w:rPr>
        <w:t>操作类型</w:t>
      </w:r>
      <w:r>
        <w:t>&lt;/ACTIONTYPE&gt;</w:t>
      </w:r>
    </w:p>
    <w:p w14:paraId="0A396948" w14:textId="77777777" w:rsidR="00A052DC" w:rsidRDefault="009F0A60">
      <w:r>
        <w:t>&lt;ACTIONDESC&gt;</w:t>
      </w:r>
      <w:r>
        <w:rPr>
          <w:rFonts w:hint="eastAsia"/>
        </w:rPr>
        <w:t>删除原因</w:t>
      </w:r>
      <w:r>
        <w:t>&lt;/ACTIONDESC&gt;</w:t>
      </w:r>
    </w:p>
    <w:p w14:paraId="5788B5BD" w14:textId="77777777" w:rsidR="00A052DC" w:rsidRDefault="009F0A60">
      <w:r>
        <w:t>&lt;EXPLRMBLONO&gt;</w:t>
      </w:r>
      <w:r>
        <w:rPr>
          <w:rFonts w:hint="eastAsia"/>
        </w:rPr>
        <w:t>外汇质押人民币贷款编号</w:t>
      </w:r>
      <w:r>
        <w:t>&lt;/EXPLRMBLONO&gt;</w:t>
      </w:r>
    </w:p>
    <w:p w14:paraId="32B0F18C" w14:textId="77777777" w:rsidR="00A052DC" w:rsidRDefault="009F0A60">
      <w:r>
        <w:t>&lt;BUOCMONTH&gt;</w:t>
      </w:r>
      <w:r>
        <w:rPr>
          <w:rFonts w:hint="eastAsia"/>
        </w:rPr>
        <w:t>报告期</w:t>
      </w:r>
      <w:r>
        <w:t>&lt;/BUOCMONTH&gt;</w:t>
      </w:r>
    </w:p>
    <w:p w14:paraId="492F5230" w14:textId="77777777" w:rsidR="00A052DC" w:rsidRDefault="009F0A60">
      <w:r>
        <w:t>&lt;CHANGENO&gt;</w:t>
      </w:r>
      <w:r>
        <w:rPr>
          <w:rFonts w:hint="eastAsia"/>
        </w:rPr>
        <w:t>变动编号</w:t>
      </w:r>
      <w:r>
        <w:t>&lt;/CHANGENO&gt;</w:t>
      </w:r>
    </w:p>
    <w:p w14:paraId="3770DC78" w14:textId="77777777" w:rsidR="00A052DC" w:rsidRDefault="009F0A60">
      <w:r>
        <w:t>&lt;</w:t>
      </w:r>
      <w:bookmarkStart w:id="1707" w:name="OLE_LINK5"/>
      <w:bookmarkStart w:id="1708" w:name="OLE_LINK6"/>
      <w:r>
        <w:t>MONBELOADBAL</w:t>
      </w:r>
      <w:bookmarkEnd w:id="1707"/>
      <w:bookmarkEnd w:id="1708"/>
      <w:r>
        <w:t>&gt;</w:t>
      </w:r>
      <w:bookmarkStart w:id="1709" w:name="OLE_LINK7"/>
      <w:r>
        <w:rPr>
          <w:rFonts w:hint="eastAsia"/>
        </w:rPr>
        <w:t>月初贷款余额</w:t>
      </w:r>
      <w:bookmarkEnd w:id="1709"/>
      <w:r>
        <w:t>&lt;/MONBELOADBAL&gt;</w:t>
      </w:r>
    </w:p>
    <w:p w14:paraId="7FC6CA0C" w14:textId="77777777" w:rsidR="00A052DC" w:rsidRDefault="009F0A60">
      <w:r>
        <w:t>&lt;CREDWITHAMOUNT&gt;</w:t>
      </w:r>
      <w:r>
        <w:rPr>
          <w:rFonts w:hint="eastAsia"/>
        </w:rPr>
        <w:t>本月提款金额</w:t>
      </w:r>
      <w:r>
        <w:t>&lt;/CREDWITHAMOUNT&gt;</w:t>
      </w:r>
    </w:p>
    <w:p w14:paraId="08422221" w14:textId="77777777" w:rsidR="00A052DC" w:rsidRDefault="009F0A60">
      <w:r>
        <w:t>&lt;CREDREPAYAMOUNT&gt;</w:t>
      </w:r>
      <w:r>
        <w:rPr>
          <w:rFonts w:hint="eastAsia"/>
        </w:rPr>
        <w:t>本月还本金额</w:t>
      </w:r>
      <w:r>
        <w:t>&lt;/CREDREPAYAMOUNT&gt;</w:t>
      </w:r>
    </w:p>
    <w:p w14:paraId="6C23F186" w14:textId="77777777" w:rsidR="00A052DC" w:rsidRDefault="009F0A60">
      <w:r>
        <w:t>&lt;PICAMOUNT&gt;</w:t>
      </w:r>
      <w:r>
        <w:rPr>
          <w:rFonts w:hint="eastAsia"/>
        </w:rPr>
        <w:t>本月付息费金额</w:t>
      </w:r>
      <w:r>
        <w:t>&lt;/PICAMOUNT&gt;</w:t>
      </w:r>
    </w:p>
    <w:p w14:paraId="39F5A1F5" w14:textId="77777777" w:rsidR="00A052DC" w:rsidRDefault="009F0A60">
      <w:r>
        <w:t>&lt;</w:t>
      </w:r>
      <w:bookmarkStart w:id="1710" w:name="OLE_LINK14"/>
      <w:bookmarkStart w:id="1711" w:name="OLE_LINK15"/>
      <w:r>
        <w:t>MONENLOADBAL</w:t>
      </w:r>
      <w:bookmarkEnd w:id="1710"/>
      <w:bookmarkEnd w:id="1711"/>
      <w:r>
        <w:t>&gt;</w:t>
      </w:r>
      <w:bookmarkStart w:id="1712" w:name="OLE_LINK17"/>
      <w:bookmarkStart w:id="1713" w:name="OLE_LINK16"/>
      <w:r>
        <w:rPr>
          <w:rFonts w:hint="eastAsia"/>
        </w:rPr>
        <w:t>月末贷款余额</w:t>
      </w:r>
      <w:bookmarkEnd w:id="1712"/>
      <w:bookmarkEnd w:id="1713"/>
      <w:r>
        <w:t>&lt;/MONENLOADBAL&gt;</w:t>
      </w:r>
    </w:p>
    <w:p w14:paraId="1F530CA5" w14:textId="77777777" w:rsidR="00A052DC" w:rsidRDefault="009F0A60">
      <w:r>
        <w:t>&lt;EXPLBALAINFOS&gt;</w:t>
      </w:r>
    </w:p>
    <w:p w14:paraId="5018EB36" w14:textId="77777777" w:rsidR="00A052DC" w:rsidRDefault="009F0A60">
      <w:r>
        <w:t>&lt;EXPLBALAINFO&gt;</w:t>
      </w:r>
    </w:p>
    <w:p w14:paraId="67044537" w14:textId="77777777" w:rsidR="00A052DC" w:rsidRDefault="009F0A60">
      <w:r>
        <w:t>&lt;EXPLCURR&gt;</w:t>
      </w:r>
      <w:r>
        <w:rPr>
          <w:rFonts w:hint="eastAsia"/>
        </w:rPr>
        <w:t>质押外汇币种</w:t>
      </w:r>
      <w:r>
        <w:t>&lt;/EXPLCURR&gt;</w:t>
      </w:r>
    </w:p>
    <w:p w14:paraId="29E03D94" w14:textId="77777777" w:rsidR="00A052DC" w:rsidRDefault="009F0A60">
      <w:r>
        <w:t>&lt;EXPLBALA&gt;</w:t>
      </w:r>
      <w:r>
        <w:rPr>
          <w:rFonts w:hint="eastAsia"/>
        </w:rPr>
        <w:t>质押外汇余额</w:t>
      </w:r>
      <w:r>
        <w:t>&lt;/EXPLBALA&gt;</w:t>
      </w:r>
    </w:p>
    <w:p w14:paraId="1AA70E24" w14:textId="77777777" w:rsidR="00A052DC" w:rsidRDefault="009F0A60">
      <w:r>
        <w:t>&lt;EXPLPERAMOUNT&gt;</w:t>
      </w:r>
      <w:r>
        <w:rPr>
          <w:rFonts w:hint="eastAsia"/>
        </w:rPr>
        <w:t>质押外汇履约金额</w:t>
      </w:r>
      <w:r>
        <w:t>&lt;/EXPLPERAMOUNT&gt;</w:t>
      </w:r>
    </w:p>
    <w:p w14:paraId="15D63779" w14:textId="77777777" w:rsidR="00A052DC" w:rsidRDefault="009F0A60">
      <w:r>
        <w:t>&lt;PLCOSEAMOUNT&gt;</w:t>
      </w:r>
      <w:r>
        <w:rPr>
          <w:rFonts w:hint="eastAsia"/>
        </w:rPr>
        <w:t>质押履约结汇金额</w:t>
      </w:r>
      <w:r>
        <w:t>&lt;/PLCOSEAMOUNT&gt;</w:t>
      </w:r>
    </w:p>
    <w:p w14:paraId="561ADFDE" w14:textId="77777777" w:rsidR="00A052DC" w:rsidRDefault="009F0A60">
      <w:r>
        <w:t>&lt;/EXPLBALAINFO&gt;</w:t>
      </w:r>
    </w:p>
    <w:p w14:paraId="600B295A" w14:textId="77777777" w:rsidR="00A052DC" w:rsidRDefault="009F0A60">
      <w:r>
        <w:t>……</w:t>
      </w:r>
    </w:p>
    <w:p w14:paraId="273E5C81" w14:textId="77777777" w:rsidR="00A052DC" w:rsidRDefault="009F0A60">
      <w:r>
        <w:t>&lt;/EXPLBALAINFOS&gt;</w:t>
      </w:r>
    </w:p>
    <w:p w14:paraId="1E6F8F8A" w14:textId="77777777" w:rsidR="00A052DC" w:rsidRDefault="009F0A60">
      <w:r>
        <w:t>&lt;REMARK&gt;</w:t>
      </w:r>
      <w:r>
        <w:rPr>
          <w:rFonts w:hint="eastAsia"/>
        </w:rPr>
        <w:t>备注</w:t>
      </w:r>
      <w:r>
        <w:t>&lt;/REMARK&gt;</w:t>
      </w:r>
    </w:p>
    <w:p w14:paraId="38E27055" w14:textId="77777777" w:rsidR="00A052DC" w:rsidRDefault="009F0A60">
      <w:r>
        <w:t>&lt;/REC&gt;</w:t>
      </w:r>
    </w:p>
    <w:p w14:paraId="61FC467E" w14:textId="77777777" w:rsidR="00A052DC" w:rsidRDefault="00A052DC"/>
    <w:p w14:paraId="262932E8" w14:textId="77777777" w:rsidR="00A052DC" w:rsidRDefault="009F0A60" w:rsidP="0020251D">
      <w:pPr>
        <w:pStyle w:val="5"/>
        <w:numPr>
          <w:ilvl w:val="4"/>
          <w:numId w:val="1"/>
        </w:numPr>
        <w:spacing w:before="120" w:after="120" w:line="360" w:lineRule="auto"/>
        <w:jc w:val="left"/>
      </w:pPr>
      <w:bookmarkStart w:id="1714" w:name="_Toc454386986"/>
      <w:bookmarkStart w:id="1715" w:name="_Toc328635544"/>
      <w:r>
        <w:rPr>
          <w:rFonts w:hint="eastAsia"/>
        </w:rPr>
        <w:t>数据字典</w:t>
      </w:r>
      <w:bookmarkEnd w:id="1714"/>
      <w:bookmarkEnd w:id="1715"/>
    </w:p>
    <w:tbl>
      <w:tblPr>
        <w:tblW w:w="86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701"/>
        <w:gridCol w:w="1418"/>
        <w:gridCol w:w="3685"/>
      </w:tblGrid>
      <w:tr w:rsidR="00A052DC" w14:paraId="23452FD4" w14:textId="77777777">
        <w:trPr>
          <w:tblHeader/>
        </w:trPr>
        <w:tc>
          <w:tcPr>
            <w:tcW w:w="1843" w:type="dxa"/>
            <w:shd w:val="clear" w:color="auto" w:fill="C0C0C0"/>
          </w:tcPr>
          <w:p w14:paraId="1592ADAC" w14:textId="77777777" w:rsidR="00A052DC" w:rsidRDefault="009F0A60">
            <w:pPr>
              <w:jc w:val="center"/>
              <w:rPr>
                <w:rFonts w:ascii="黑体" w:eastAsia="黑体" w:hAnsi="黑体"/>
                <w:b/>
                <w:sz w:val="20"/>
                <w:szCs w:val="20"/>
              </w:rPr>
            </w:pPr>
            <w:r>
              <w:rPr>
                <w:rFonts w:ascii="黑体" w:eastAsia="黑体" w:hAnsi="黑体" w:hint="eastAsia"/>
                <w:b/>
                <w:sz w:val="20"/>
                <w:szCs w:val="20"/>
              </w:rPr>
              <w:t>字段</w:t>
            </w:r>
          </w:p>
        </w:tc>
        <w:tc>
          <w:tcPr>
            <w:tcW w:w="1701" w:type="dxa"/>
            <w:shd w:val="clear" w:color="auto" w:fill="C0C0C0"/>
          </w:tcPr>
          <w:p w14:paraId="371D6C96" w14:textId="77777777" w:rsidR="00A052DC" w:rsidRDefault="009F0A60">
            <w:pPr>
              <w:jc w:val="center"/>
              <w:rPr>
                <w:rFonts w:ascii="黑体" w:eastAsia="黑体" w:hAnsi="黑体"/>
                <w:b/>
                <w:sz w:val="20"/>
                <w:szCs w:val="20"/>
              </w:rPr>
            </w:pPr>
            <w:r>
              <w:rPr>
                <w:rFonts w:ascii="黑体" w:eastAsia="黑体" w:hAnsi="黑体" w:hint="eastAsia"/>
                <w:b/>
                <w:sz w:val="20"/>
                <w:szCs w:val="20"/>
              </w:rPr>
              <w:t>内容</w:t>
            </w:r>
          </w:p>
        </w:tc>
        <w:tc>
          <w:tcPr>
            <w:tcW w:w="1418" w:type="dxa"/>
            <w:shd w:val="clear" w:color="auto" w:fill="C0C0C0"/>
          </w:tcPr>
          <w:p w14:paraId="7EDB8CCE" w14:textId="77777777" w:rsidR="00A052DC" w:rsidRDefault="009F0A60">
            <w:pPr>
              <w:jc w:val="center"/>
              <w:rPr>
                <w:rFonts w:ascii="黑体" w:eastAsia="黑体" w:hAnsi="黑体"/>
                <w:b/>
                <w:sz w:val="20"/>
                <w:szCs w:val="20"/>
              </w:rPr>
            </w:pPr>
            <w:r>
              <w:rPr>
                <w:rFonts w:ascii="黑体" w:eastAsia="黑体" w:hAnsi="黑体" w:hint="eastAsia"/>
                <w:b/>
                <w:sz w:val="20"/>
                <w:szCs w:val="20"/>
              </w:rPr>
              <w:t>类型（长度）</w:t>
            </w:r>
          </w:p>
        </w:tc>
        <w:tc>
          <w:tcPr>
            <w:tcW w:w="3685" w:type="dxa"/>
            <w:shd w:val="clear" w:color="auto" w:fill="C0C0C0"/>
          </w:tcPr>
          <w:p w14:paraId="47B5C4A1" w14:textId="77777777" w:rsidR="00A052DC" w:rsidRDefault="009F0A60">
            <w:pPr>
              <w:jc w:val="center"/>
              <w:rPr>
                <w:rFonts w:ascii="黑体" w:eastAsia="黑体" w:hAnsi="黑体"/>
                <w:b/>
                <w:sz w:val="20"/>
                <w:szCs w:val="20"/>
              </w:rPr>
            </w:pPr>
            <w:r>
              <w:rPr>
                <w:rFonts w:ascii="黑体" w:eastAsia="黑体" w:hAnsi="黑体" w:hint="eastAsia"/>
                <w:b/>
                <w:sz w:val="20"/>
                <w:szCs w:val="20"/>
              </w:rPr>
              <w:t>校验</w:t>
            </w:r>
          </w:p>
        </w:tc>
      </w:tr>
      <w:tr w:rsidR="00A052DC" w14:paraId="2D660B7D" w14:textId="77777777">
        <w:tc>
          <w:tcPr>
            <w:tcW w:w="1843" w:type="dxa"/>
          </w:tcPr>
          <w:p w14:paraId="30489B9A" w14:textId="77777777" w:rsidR="00A052DC" w:rsidRDefault="009F0A60">
            <w:pPr>
              <w:rPr>
                <w:rFonts w:ascii="黑体" w:eastAsia="黑体" w:hAnsi="黑体"/>
                <w:sz w:val="20"/>
                <w:szCs w:val="20"/>
              </w:rPr>
            </w:pPr>
            <w:r>
              <w:rPr>
                <w:rFonts w:ascii="黑体" w:eastAsia="黑体" w:hAnsi="黑体"/>
                <w:sz w:val="20"/>
                <w:szCs w:val="20"/>
              </w:rPr>
              <w:t>ACTIONTYPE</w:t>
            </w:r>
          </w:p>
        </w:tc>
        <w:tc>
          <w:tcPr>
            <w:tcW w:w="1701" w:type="dxa"/>
          </w:tcPr>
          <w:p w14:paraId="6C8636A3" w14:textId="77777777" w:rsidR="00A052DC" w:rsidRDefault="009F0A60">
            <w:pPr>
              <w:rPr>
                <w:rFonts w:ascii="黑体" w:eastAsia="黑体" w:hAnsi="黑体"/>
                <w:sz w:val="20"/>
                <w:szCs w:val="20"/>
              </w:rPr>
            </w:pPr>
            <w:r>
              <w:rPr>
                <w:rFonts w:ascii="黑体" w:eastAsia="黑体" w:hAnsi="黑体" w:hint="eastAsia"/>
                <w:sz w:val="20"/>
                <w:szCs w:val="20"/>
              </w:rPr>
              <w:t>操作类型</w:t>
            </w:r>
          </w:p>
        </w:tc>
        <w:tc>
          <w:tcPr>
            <w:tcW w:w="1418" w:type="dxa"/>
          </w:tcPr>
          <w:p w14:paraId="73EB074B" w14:textId="77777777" w:rsidR="00A052DC" w:rsidRDefault="009F0A60">
            <w:pPr>
              <w:rPr>
                <w:rFonts w:ascii="黑体" w:eastAsia="黑体" w:hAnsi="黑体"/>
                <w:sz w:val="20"/>
                <w:szCs w:val="20"/>
              </w:rPr>
            </w:pPr>
            <w:r>
              <w:rPr>
                <w:rFonts w:ascii="黑体" w:eastAsia="黑体" w:hAnsi="黑体" w:hint="eastAsia"/>
                <w:sz w:val="20"/>
                <w:szCs w:val="20"/>
              </w:rPr>
              <w:t>字符型，1</w:t>
            </w:r>
          </w:p>
        </w:tc>
        <w:tc>
          <w:tcPr>
            <w:tcW w:w="3685" w:type="dxa"/>
          </w:tcPr>
          <w:p w14:paraId="1A83C0A9" w14:textId="77777777" w:rsidR="00A052DC" w:rsidRDefault="009F0A60">
            <w:pPr>
              <w:rPr>
                <w:rFonts w:ascii="黑体" w:eastAsia="黑体" w:hAnsi="黑体"/>
                <w:sz w:val="20"/>
                <w:szCs w:val="20"/>
              </w:rPr>
            </w:pPr>
            <w:r>
              <w:rPr>
                <w:rFonts w:ascii="黑体" w:eastAsia="黑体" w:hAnsi="黑体" w:hint="eastAsia"/>
                <w:sz w:val="20"/>
                <w:szCs w:val="20"/>
              </w:rPr>
              <w:t>必填项</w:t>
            </w:r>
            <w:r w:rsidR="005D3821">
              <w:rPr>
                <w:rFonts w:ascii="黑体" w:eastAsia="黑体" w:hAnsi="黑体" w:hint="eastAsia"/>
                <w:sz w:val="20"/>
                <w:szCs w:val="20"/>
              </w:rPr>
              <w:t>。</w:t>
            </w:r>
          </w:p>
          <w:p w14:paraId="4B82C2F9" w14:textId="77777777" w:rsidR="00A052DC" w:rsidRDefault="009F0A60">
            <w:pPr>
              <w:rPr>
                <w:rFonts w:ascii="黑体" w:eastAsia="黑体" w:hAnsi="黑体"/>
                <w:sz w:val="20"/>
                <w:szCs w:val="20"/>
              </w:rPr>
            </w:pPr>
            <w:r>
              <w:rPr>
                <w:rFonts w:ascii="黑体" w:eastAsia="黑体" w:hAnsi="黑体" w:hint="eastAsia"/>
                <w:sz w:val="20"/>
                <w:szCs w:val="20"/>
              </w:rPr>
              <w:t>A</w:t>
            </w:r>
            <w:r w:rsidR="00AE4602">
              <w:rPr>
                <w:rFonts w:ascii="黑体" w:eastAsia="黑体" w:hAnsi="黑体" w:hint="eastAsia"/>
                <w:sz w:val="20"/>
                <w:szCs w:val="20"/>
              </w:rPr>
              <w:t>-</w:t>
            </w:r>
            <w:r>
              <w:rPr>
                <w:rFonts w:ascii="黑体" w:eastAsia="黑体" w:hAnsi="黑体" w:hint="eastAsia"/>
                <w:sz w:val="20"/>
                <w:szCs w:val="20"/>
              </w:rPr>
              <w:t>新建</w:t>
            </w:r>
          </w:p>
          <w:p w14:paraId="727EB168" w14:textId="77777777" w:rsidR="00A052DC" w:rsidRDefault="009F0A60">
            <w:pPr>
              <w:rPr>
                <w:rFonts w:ascii="黑体" w:eastAsia="黑体" w:hAnsi="黑体"/>
                <w:sz w:val="20"/>
                <w:szCs w:val="20"/>
              </w:rPr>
            </w:pPr>
            <w:r>
              <w:rPr>
                <w:rFonts w:ascii="黑体" w:eastAsia="黑体" w:hAnsi="黑体" w:hint="eastAsia"/>
                <w:sz w:val="20"/>
                <w:szCs w:val="20"/>
              </w:rPr>
              <w:t>C</w:t>
            </w:r>
            <w:r w:rsidR="00AE4602">
              <w:rPr>
                <w:rFonts w:ascii="黑体" w:eastAsia="黑体" w:hAnsi="黑体" w:hint="eastAsia"/>
                <w:sz w:val="20"/>
                <w:szCs w:val="20"/>
              </w:rPr>
              <w:t>-</w:t>
            </w:r>
            <w:r>
              <w:rPr>
                <w:rFonts w:ascii="黑体" w:eastAsia="黑体" w:hAnsi="黑体" w:hint="eastAsia"/>
                <w:sz w:val="20"/>
                <w:szCs w:val="20"/>
              </w:rPr>
              <w:t>修改</w:t>
            </w:r>
          </w:p>
          <w:p w14:paraId="0168D2A7" w14:textId="77777777" w:rsidR="00A052DC" w:rsidRDefault="009F0A60">
            <w:pPr>
              <w:rPr>
                <w:rFonts w:ascii="黑体" w:eastAsia="黑体" w:hAnsi="黑体"/>
                <w:sz w:val="20"/>
                <w:szCs w:val="20"/>
              </w:rPr>
            </w:pPr>
            <w:r>
              <w:rPr>
                <w:rFonts w:ascii="黑体" w:eastAsia="黑体" w:hAnsi="黑体" w:hint="eastAsia"/>
                <w:sz w:val="20"/>
                <w:szCs w:val="20"/>
              </w:rPr>
              <w:t>D</w:t>
            </w:r>
            <w:r w:rsidR="00AE4602">
              <w:rPr>
                <w:rFonts w:ascii="黑体" w:eastAsia="黑体" w:hAnsi="黑体" w:hint="eastAsia"/>
                <w:sz w:val="20"/>
                <w:szCs w:val="20"/>
              </w:rPr>
              <w:t>-</w:t>
            </w:r>
            <w:r>
              <w:rPr>
                <w:rFonts w:ascii="黑体" w:eastAsia="黑体" w:hAnsi="黑体" w:hint="eastAsia"/>
                <w:sz w:val="20"/>
                <w:szCs w:val="20"/>
              </w:rPr>
              <w:t>删除</w:t>
            </w:r>
          </w:p>
        </w:tc>
      </w:tr>
      <w:tr w:rsidR="00A052DC" w14:paraId="2E89E029" w14:textId="77777777">
        <w:tc>
          <w:tcPr>
            <w:tcW w:w="1843" w:type="dxa"/>
          </w:tcPr>
          <w:p w14:paraId="3ED38471" w14:textId="77777777" w:rsidR="00A052DC" w:rsidRDefault="009F0A60">
            <w:pPr>
              <w:rPr>
                <w:rFonts w:ascii="黑体" w:eastAsia="黑体" w:hAnsi="黑体"/>
                <w:sz w:val="20"/>
                <w:szCs w:val="20"/>
              </w:rPr>
            </w:pPr>
            <w:r>
              <w:rPr>
                <w:rFonts w:ascii="黑体" w:eastAsia="黑体" w:hAnsi="黑体"/>
                <w:sz w:val="20"/>
                <w:szCs w:val="20"/>
              </w:rPr>
              <w:t>ACTIONDESC</w:t>
            </w:r>
          </w:p>
        </w:tc>
        <w:tc>
          <w:tcPr>
            <w:tcW w:w="1701" w:type="dxa"/>
          </w:tcPr>
          <w:p w14:paraId="538CB3B6" w14:textId="77777777" w:rsidR="00A052DC" w:rsidRDefault="009F0A60">
            <w:pPr>
              <w:rPr>
                <w:rFonts w:ascii="黑体" w:eastAsia="黑体" w:hAnsi="黑体"/>
                <w:sz w:val="20"/>
                <w:szCs w:val="20"/>
              </w:rPr>
            </w:pPr>
            <w:r>
              <w:rPr>
                <w:rFonts w:ascii="黑体" w:eastAsia="黑体" w:hAnsi="黑体" w:hint="eastAsia"/>
                <w:sz w:val="20"/>
                <w:szCs w:val="20"/>
              </w:rPr>
              <w:t>删除原因</w:t>
            </w:r>
          </w:p>
        </w:tc>
        <w:tc>
          <w:tcPr>
            <w:tcW w:w="1418" w:type="dxa"/>
          </w:tcPr>
          <w:p w14:paraId="57D72861"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3685" w:type="dxa"/>
          </w:tcPr>
          <w:p w14:paraId="7434F437" w14:textId="77777777" w:rsidR="00A052DC" w:rsidRDefault="00DD6AA3">
            <w:pPr>
              <w:rPr>
                <w:rFonts w:ascii="黑体" w:eastAsia="黑体" w:hAnsi="黑体"/>
                <w:sz w:val="20"/>
                <w:szCs w:val="20"/>
              </w:rPr>
            </w:pPr>
            <w:r>
              <w:rPr>
                <w:rFonts w:ascii="黑体" w:eastAsia="黑体" w:hAnsi="黑体" w:hint="eastAsia"/>
                <w:sz w:val="20"/>
                <w:szCs w:val="20"/>
              </w:rPr>
              <w:t>非必填项，当操作类型（ACTIONTYPE）为删除时必填。</w:t>
            </w:r>
          </w:p>
        </w:tc>
      </w:tr>
      <w:tr w:rsidR="00A052DC" w14:paraId="19D2A3D4" w14:textId="77777777">
        <w:tc>
          <w:tcPr>
            <w:tcW w:w="1843" w:type="dxa"/>
          </w:tcPr>
          <w:p w14:paraId="7A695A3C" w14:textId="77777777" w:rsidR="00A052DC" w:rsidRDefault="009F0A60">
            <w:pPr>
              <w:rPr>
                <w:rFonts w:ascii="黑体" w:eastAsia="黑体" w:hAnsi="黑体"/>
                <w:sz w:val="20"/>
                <w:szCs w:val="20"/>
              </w:rPr>
            </w:pPr>
            <w:r>
              <w:rPr>
                <w:rFonts w:ascii="黑体" w:eastAsia="黑体" w:hAnsi="黑体"/>
                <w:sz w:val="20"/>
                <w:szCs w:val="20"/>
              </w:rPr>
              <w:t>EXPLRMBLONO</w:t>
            </w:r>
          </w:p>
        </w:tc>
        <w:tc>
          <w:tcPr>
            <w:tcW w:w="1701" w:type="dxa"/>
          </w:tcPr>
          <w:p w14:paraId="36B7ABBB" w14:textId="77777777" w:rsidR="00A052DC" w:rsidRDefault="009F0A60">
            <w:pPr>
              <w:rPr>
                <w:rFonts w:ascii="黑体" w:eastAsia="黑体" w:hAnsi="黑体"/>
                <w:sz w:val="20"/>
                <w:szCs w:val="20"/>
              </w:rPr>
            </w:pPr>
            <w:r>
              <w:rPr>
                <w:rFonts w:ascii="黑体" w:eastAsia="黑体" w:hAnsi="黑体" w:hint="eastAsia"/>
                <w:sz w:val="20"/>
                <w:szCs w:val="20"/>
              </w:rPr>
              <w:t>外汇质押人民币贷款编号</w:t>
            </w:r>
          </w:p>
        </w:tc>
        <w:tc>
          <w:tcPr>
            <w:tcW w:w="1418" w:type="dxa"/>
          </w:tcPr>
          <w:p w14:paraId="3F43E932" w14:textId="77777777" w:rsidR="00A052DC" w:rsidRDefault="009F0A60">
            <w:pPr>
              <w:rPr>
                <w:rFonts w:ascii="黑体" w:eastAsia="黑体" w:hAnsi="黑体"/>
                <w:sz w:val="20"/>
                <w:szCs w:val="20"/>
              </w:rPr>
            </w:pPr>
            <w:r>
              <w:rPr>
                <w:rFonts w:ascii="黑体" w:eastAsia="黑体" w:hAnsi="黑体" w:hint="eastAsia"/>
                <w:sz w:val="20"/>
                <w:szCs w:val="20"/>
              </w:rPr>
              <w:t>字符型，28</w:t>
            </w:r>
          </w:p>
        </w:tc>
        <w:tc>
          <w:tcPr>
            <w:tcW w:w="3685" w:type="dxa"/>
          </w:tcPr>
          <w:p w14:paraId="2B55E8D9" w14:textId="77777777" w:rsidR="00A052DC" w:rsidRDefault="009F0A60">
            <w:pPr>
              <w:rPr>
                <w:rFonts w:ascii="黑体" w:eastAsia="黑体" w:hAnsi="黑体"/>
                <w:sz w:val="20"/>
                <w:szCs w:val="20"/>
              </w:rPr>
            </w:pPr>
            <w:r>
              <w:rPr>
                <w:rFonts w:ascii="黑体" w:eastAsia="黑体" w:hAnsi="黑体" w:hint="eastAsia"/>
                <w:sz w:val="20"/>
                <w:szCs w:val="20"/>
              </w:rPr>
              <w:t>必填项，唯一性编码。</w:t>
            </w:r>
          </w:p>
        </w:tc>
      </w:tr>
      <w:tr w:rsidR="00A052DC" w14:paraId="2D866389" w14:textId="77777777">
        <w:tc>
          <w:tcPr>
            <w:tcW w:w="1843" w:type="dxa"/>
          </w:tcPr>
          <w:p w14:paraId="40E3AB12" w14:textId="77777777" w:rsidR="00A052DC" w:rsidRDefault="009F0A60">
            <w:pPr>
              <w:rPr>
                <w:rFonts w:ascii="黑体" w:eastAsia="黑体" w:hAnsi="黑体"/>
                <w:sz w:val="20"/>
                <w:szCs w:val="20"/>
              </w:rPr>
            </w:pPr>
            <w:r>
              <w:rPr>
                <w:rFonts w:ascii="黑体" w:eastAsia="黑体" w:hAnsi="黑体"/>
                <w:sz w:val="20"/>
                <w:szCs w:val="20"/>
              </w:rPr>
              <w:t>BUOCMONTH</w:t>
            </w:r>
          </w:p>
        </w:tc>
        <w:tc>
          <w:tcPr>
            <w:tcW w:w="1701" w:type="dxa"/>
          </w:tcPr>
          <w:p w14:paraId="7926AE13" w14:textId="77777777" w:rsidR="00A052DC" w:rsidRDefault="009F0A60">
            <w:pPr>
              <w:rPr>
                <w:rFonts w:ascii="黑体" w:eastAsia="黑体" w:hAnsi="黑体"/>
                <w:sz w:val="20"/>
                <w:szCs w:val="20"/>
              </w:rPr>
            </w:pPr>
            <w:r>
              <w:rPr>
                <w:rFonts w:ascii="黑体" w:eastAsia="黑体" w:hAnsi="黑体" w:hint="eastAsia"/>
                <w:sz w:val="20"/>
                <w:szCs w:val="20"/>
              </w:rPr>
              <w:t>报告期</w:t>
            </w:r>
          </w:p>
        </w:tc>
        <w:tc>
          <w:tcPr>
            <w:tcW w:w="1418" w:type="dxa"/>
          </w:tcPr>
          <w:p w14:paraId="5BF0F541" w14:textId="77777777" w:rsidR="00A052DC" w:rsidRDefault="009F0A60">
            <w:pPr>
              <w:rPr>
                <w:rFonts w:ascii="黑体" w:eastAsia="黑体" w:hAnsi="黑体"/>
                <w:sz w:val="20"/>
                <w:szCs w:val="20"/>
              </w:rPr>
            </w:pPr>
            <w:r>
              <w:rPr>
                <w:rFonts w:ascii="黑体" w:eastAsia="黑体" w:hAnsi="黑体" w:hint="eastAsia"/>
                <w:sz w:val="20"/>
                <w:szCs w:val="20"/>
              </w:rPr>
              <w:t>数值型，6</w:t>
            </w:r>
          </w:p>
        </w:tc>
        <w:tc>
          <w:tcPr>
            <w:tcW w:w="3685" w:type="dxa"/>
          </w:tcPr>
          <w:p w14:paraId="45FD9D3F" w14:textId="77777777" w:rsidR="00A052DC" w:rsidRDefault="009F0A60">
            <w:pPr>
              <w:rPr>
                <w:rFonts w:ascii="黑体" w:eastAsia="黑体" w:hAnsi="黑体"/>
                <w:sz w:val="20"/>
                <w:szCs w:val="20"/>
              </w:rPr>
            </w:pPr>
            <w:r>
              <w:rPr>
                <w:rFonts w:ascii="黑体" w:eastAsia="黑体" w:hAnsi="黑体" w:hint="eastAsia"/>
                <w:sz w:val="20"/>
                <w:szCs w:val="20"/>
              </w:rPr>
              <w:t>必填项，格式为YYYYMM。</w:t>
            </w:r>
          </w:p>
        </w:tc>
      </w:tr>
      <w:tr w:rsidR="00A052DC" w14:paraId="76E93575" w14:textId="77777777">
        <w:tc>
          <w:tcPr>
            <w:tcW w:w="1843" w:type="dxa"/>
          </w:tcPr>
          <w:p w14:paraId="17A55CF5" w14:textId="77777777" w:rsidR="00A052DC" w:rsidRDefault="009F0A60">
            <w:pPr>
              <w:rPr>
                <w:rFonts w:ascii="黑体" w:eastAsia="黑体" w:hAnsi="黑体"/>
                <w:sz w:val="20"/>
                <w:szCs w:val="20"/>
              </w:rPr>
            </w:pPr>
            <w:r>
              <w:rPr>
                <w:rFonts w:ascii="黑体" w:eastAsia="黑体" w:hAnsi="黑体"/>
                <w:sz w:val="20"/>
                <w:szCs w:val="20"/>
              </w:rPr>
              <w:t>CHANGENO</w:t>
            </w:r>
          </w:p>
        </w:tc>
        <w:tc>
          <w:tcPr>
            <w:tcW w:w="1701" w:type="dxa"/>
          </w:tcPr>
          <w:p w14:paraId="3DEBE2D8" w14:textId="77777777" w:rsidR="00A052DC" w:rsidRDefault="009F0A60">
            <w:pPr>
              <w:rPr>
                <w:rFonts w:ascii="黑体" w:eastAsia="黑体" w:hAnsi="黑体"/>
                <w:sz w:val="20"/>
                <w:szCs w:val="20"/>
              </w:rPr>
            </w:pPr>
            <w:r>
              <w:rPr>
                <w:rFonts w:ascii="黑体" w:eastAsia="黑体" w:hAnsi="黑体" w:hint="eastAsia"/>
                <w:sz w:val="20"/>
                <w:szCs w:val="20"/>
              </w:rPr>
              <w:t>变动编号</w:t>
            </w:r>
          </w:p>
        </w:tc>
        <w:tc>
          <w:tcPr>
            <w:tcW w:w="1418" w:type="dxa"/>
          </w:tcPr>
          <w:p w14:paraId="1D6A4905" w14:textId="77777777" w:rsidR="00A052DC" w:rsidRDefault="009F0A60">
            <w:pPr>
              <w:rPr>
                <w:rFonts w:ascii="黑体" w:eastAsia="黑体" w:hAnsi="黑体"/>
                <w:sz w:val="20"/>
                <w:szCs w:val="20"/>
              </w:rPr>
            </w:pPr>
            <w:r>
              <w:rPr>
                <w:rFonts w:ascii="黑体" w:eastAsia="黑体" w:hAnsi="黑体" w:hint="eastAsia"/>
                <w:sz w:val="20"/>
                <w:szCs w:val="20"/>
              </w:rPr>
              <w:t>字符型，4</w:t>
            </w:r>
          </w:p>
        </w:tc>
        <w:tc>
          <w:tcPr>
            <w:tcW w:w="3685" w:type="dxa"/>
          </w:tcPr>
          <w:p w14:paraId="11800269" w14:textId="77777777" w:rsidR="00A052DC" w:rsidRDefault="009F0A60">
            <w:pPr>
              <w:rPr>
                <w:rFonts w:ascii="黑体" w:eastAsia="黑体" w:hAnsi="黑体"/>
                <w:sz w:val="20"/>
                <w:szCs w:val="20"/>
              </w:rPr>
            </w:pPr>
            <w:r>
              <w:rPr>
                <w:rFonts w:ascii="黑体" w:eastAsia="黑体" w:hAnsi="黑体" w:hint="eastAsia"/>
                <w:sz w:val="20"/>
                <w:szCs w:val="20"/>
              </w:rPr>
              <w:t>必填项，记录变动情况编号。</w:t>
            </w:r>
          </w:p>
        </w:tc>
      </w:tr>
      <w:tr w:rsidR="00A052DC" w14:paraId="743DF64F" w14:textId="77777777">
        <w:tc>
          <w:tcPr>
            <w:tcW w:w="1843" w:type="dxa"/>
          </w:tcPr>
          <w:p w14:paraId="6BB4B5FF" w14:textId="77777777" w:rsidR="00A052DC" w:rsidRDefault="009F0A60">
            <w:pPr>
              <w:rPr>
                <w:rFonts w:ascii="黑体" w:eastAsia="黑体" w:hAnsi="黑体"/>
                <w:sz w:val="20"/>
                <w:szCs w:val="20"/>
              </w:rPr>
            </w:pPr>
            <w:r>
              <w:rPr>
                <w:rFonts w:ascii="黑体" w:eastAsia="黑体" w:hAnsi="黑体"/>
                <w:sz w:val="20"/>
                <w:szCs w:val="20"/>
              </w:rPr>
              <w:t>MONBELOADBAL</w:t>
            </w:r>
          </w:p>
        </w:tc>
        <w:tc>
          <w:tcPr>
            <w:tcW w:w="1701" w:type="dxa"/>
          </w:tcPr>
          <w:p w14:paraId="0EB6F871" w14:textId="77777777" w:rsidR="00A052DC" w:rsidRDefault="009F0A60">
            <w:pPr>
              <w:rPr>
                <w:rFonts w:ascii="黑体" w:eastAsia="黑体" w:hAnsi="黑体"/>
                <w:sz w:val="20"/>
                <w:szCs w:val="20"/>
              </w:rPr>
            </w:pPr>
            <w:r>
              <w:rPr>
                <w:rFonts w:ascii="黑体" w:eastAsia="黑体" w:hAnsi="黑体" w:hint="eastAsia"/>
                <w:sz w:val="20"/>
                <w:szCs w:val="20"/>
              </w:rPr>
              <w:t>月初贷款余额</w:t>
            </w:r>
          </w:p>
        </w:tc>
        <w:tc>
          <w:tcPr>
            <w:tcW w:w="1418" w:type="dxa"/>
          </w:tcPr>
          <w:p w14:paraId="1C65C3D2" w14:textId="77777777" w:rsidR="00A052DC" w:rsidRDefault="009F0A60">
            <w:pPr>
              <w:rPr>
                <w:rFonts w:ascii="黑体" w:eastAsia="黑体" w:hAnsi="黑体"/>
                <w:sz w:val="20"/>
                <w:szCs w:val="20"/>
              </w:rPr>
            </w:pPr>
            <w:bookmarkStart w:id="1716" w:name="OLE_LINK18"/>
            <w:bookmarkStart w:id="1717" w:name="OLE_LINK19"/>
            <w:r>
              <w:rPr>
                <w:rFonts w:ascii="黑体" w:eastAsia="黑体" w:hAnsi="黑体" w:hint="eastAsia"/>
                <w:sz w:val="20"/>
                <w:szCs w:val="20"/>
              </w:rPr>
              <w:t>数值型，</w:t>
            </w:r>
            <w:bookmarkEnd w:id="1716"/>
            <w:bookmarkEnd w:id="1717"/>
            <w:r>
              <w:rPr>
                <w:rFonts w:ascii="黑体" w:eastAsia="黑体" w:hAnsi="黑体"/>
                <w:sz w:val="20"/>
                <w:szCs w:val="20"/>
              </w:rPr>
              <w:t>22.2</w:t>
            </w:r>
          </w:p>
        </w:tc>
        <w:tc>
          <w:tcPr>
            <w:tcW w:w="3685" w:type="dxa"/>
          </w:tcPr>
          <w:p w14:paraId="07160EAF" w14:textId="77777777" w:rsidR="00A052DC" w:rsidRDefault="009F0A60">
            <w:pPr>
              <w:rPr>
                <w:rFonts w:ascii="黑体" w:eastAsia="黑体" w:hAnsi="黑体"/>
                <w:sz w:val="20"/>
                <w:szCs w:val="20"/>
              </w:rPr>
            </w:pPr>
            <w:r>
              <w:rPr>
                <w:rFonts w:ascii="黑体" w:eastAsia="黑体" w:hAnsi="黑体" w:hint="eastAsia"/>
                <w:sz w:val="20"/>
                <w:szCs w:val="20"/>
              </w:rPr>
              <w:t>必填项，大于等于0。</w:t>
            </w:r>
          </w:p>
        </w:tc>
      </w:tr>
      <w:tr w:rsidR="00A052DC" w14:paraId="50EFE605" w14:textId="77777777">
        <w:tc>
          <w:tcPr>
            <w:tcW w:w="1843" w:type="dxa"/>
          </w:tcPr>
          <w:p w14:paraId="081F3162" w14:textId="77777777" w:rsidR="00A052DC" w:rsidRDefault="009F0A60">
            <w:pPr>
              <w:rPr>
                <w:rFonts w:ascii="黑体" w:eastAsia="黑体" w:hAnsi="黑体"/>
                <w:sz w:val="20"/>
                <w:szCs w:val="20"/>
              </w:rPr>
            </w:pPr>
            <w:r>
              <w:rPr>
                <w:rFonts w:ascii="黑体" w:eastAsia="黑体" w:hAnsi="黑体"/>
                <w:sz w:val="20"/>
                <w:szCs w:val="20"/>
              </w:rPr>
              <w:t>CREDWithAMOUNT</w:t>
            </w:r>
          </w:p>
        </w:tc>
        <w:tc>
          <w:tcPr>
            <w:tcW w:w="1701" w:type="dxa"/>
          </w:tcPr>
          <w:p w14:paraId="2FB639AB" w14:textId="77777777" w:rsidR="00A052DC" w:rsidRDefault="009F0A60">
            <w:pPr>
              <w:rPr>
                <w:rFonts w:ascii="黑体" w:eastAsia="黑体" w:hAnsi="黑体"/>
                <w:sz w:val="20"/>
                <w:szCs w:val="20"/>
              </w:rPr>
            </w:pPr>
            <w:r>
              <w:rPr>
                <w:rFonts w:ascii="黑体" w:eastAsia="黑体" w:hAnsi="黑体" w:hint="eastAsia"/>
                <w:sz w:val="20"/>
                <w:szCs w:val="20"/>
              </w:rPr>
              <w:t>本月提款金额</w:t>
            </w:r>
          </w:p>
        </w:tc>
        <w:tc>
          <w:tcPr>
            <w:tcW w:w="1418" w:type="dxa"/>
          </w:tcPr>
          <w:p w14:paraId="7CCF3061"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3685" w:type="dxa"/>
          </w:tcPr>
          <w:p w14:paraId="33800295" w14:textId="77777777" w:rsidR="00A052DC" w:rsidRDefault="009F0A60">
            <w:pPr>
              <w:rPr>
                <w:rFonts w:ascii="黑体" w:eastAsia="黑体" w:hAnsi="黑体"/>
                <w:sz w:val="20"/>
                <w:szCs w:val="20"/>
              </w:rPr>
            </w:pPr>
            <w:r>
              <w:rPr>
                <w:rFonts w:ascii="黑体" w:eastAsia="黑体" w:hAnsi="黑体" w:hint="eastAsia"/>
                <w:sz w:val="20"/>
                <w:szCs w:val="20"/>
              </w:rPr>
              <w:t>非必填项，</w:t>
            </w:r>
            <w:bookmarkStart w:id="1718" w:name="OLE_LINK12"/>
            <w:bookmarkStart w:id="1719" w:name="OLE_LINK13"/>
            <w:r>
              <w:rPr>
                <w:rFonts w:ascii="黑体" w:eastAsia="黑体" w:hAnsi="黑体" w:hint="eastAsia"/>
                <w:sz w:val="20"/>
                <w:szCs w:val="20"/>
              </w:rPr>
              <w:t>大于等于0。</w:t>
            </w:r>
            <w:bookmarkEnd w:id="1718"/>
            <w:bookmarkEnd w:id="1719"/>
          </w:p>
        </w:tc>
      </w:tr>
      <w:tr w:rsidR="00A052DC" w14:paraId="41FD0A08" w14:textId="77777777">
        <w:tc>
          <w:tcPr>
            <w:tcW w:w="1843" w:type="dxa"/>
          </w:tcPr>
          <w:p w14:paraId="1E582A21" w14:textId="77777777" w:rsidR="00A052DC" w:rsidRDefault="009F0A60">
            <w:pPr>
              <w:rPr>
                <w:rFonts w:ascii="黑体" w:eastAsia="黑体" w:hAnsi="黑体"/>
                <w:sz w:val="20"/>
                <w:szCs w:val="20"/>
              </w:rPr>
            </w:pPr>
            <w:r>
              <w:rPr>
                <w:rFonts w:ascii="黑体" w:eastAsia="黑体" w:hAnsi="黑体"/>
                <w:sz w:val="20"/>
                <w:szCs w:val="20"/>
              </w:rPr>
              <w:t>CREDREPAYAMOUNT</w:t>
            </w:r>
          </w:p>
        </w:tc>
        <w:tc>
          <w:tcPr>
            <w:tcW w:w="1701" w:type="dxa"/>
          </w:tcPr>
          <w:p w14:paraId="37550570" w14:textId="77777777" w:rsidR="00A052DC" w:rsidRDefault="009F0A60">
            <w:pPr>
              <w:rPr>
                <w:rFonts w:ascii="黑体" w:eastAsia="黑体" w:hAnsi="黑体"/>
                <w:sz w:val="20"/>
                <w:szCs w:val="20"/>
              </w:rPr>
            </w:pPr>
            <w:r>
              <w:rPr>
                <w:rFonts w:ascii="黑体" w:eastAsia="黑体" w:hAnsi="黑体" w:hint="eastAsia"/>
                <w:sz w:val="20"/>
                <w:szCs w:val="20"/>
              </w:rPr>
              <w:t>本月还本金额</w:t>
            </w:r>
          </w:p>
        </w:tc>
        <w:tc>
          <w:tcPr>
            <w:tcW w:w="1418" w:type="dxa"/>
          </w:tcPr>
          <w:p w14:paraId="53BE5E2C"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3685" w:type="dxa"/>
          </w:tcPr>
          <w:p w14:paraId="492F9893" w14:textId="77777777" w:rsidR="00A052DC" w:rsidRDefault="009F0A60">
            <w:pPr>
              <w:rPr>
                <w:rFonts w:ascii="黑体" w:eastAsia="黑体" w:hAnsi="黑体"/>
                <w:sz w:val="20"/>
                <w:szCs w:val="20"/>
              </w:rPr>
            </w:pPr>
            <w:r>
              <w:rPr>
                <w:rFonts w:ascii="黑体" w:eastAsia="黑体" w:hAnsi="黑体" w:hint="eastAsia"/>
                <w:sz w:val="20"/>
                <w:szCs w:val="20"/>
              </w:rPr>
              <w:t>非必填项，大于等于0。</w:t>
            </w:r>
          </w:p>
        </w:tc>
      </w:tr>
      <w:tr w:rsidR="00A052DC" w14:paraId="5042CD65" w14:textId="77777777">
        <w:tc>
          <w:tcPr>
            <w:tcW w:w="1843" w:type="dxa"/>
          </w:tcPr>
          <w:p w14:paraId="2376AB73" w14:textId="77777777" w:rsidR="00A052DC" w:rsidRDefault="009F0A60">
            <w:pPr>
              <w:rPr>
                <w:rFonts w:ascii="黑体" w:eastAsia="黑体" w:hAnsi="黑体"/>
                <w:sz w:val="20"/>
                <w:szCs w:val="20"/>
              </w:rPr>
            </w:pPr>
            <w:r>
              <w:rPr>
                <w:rFonts w:ascii="黑体" w:eastAsia="黑体" w:hAnsi="黑体"/>
                <w:sz w:val="20"/>
                <w:szCs w:val="20"/>
              </w:rPr>
              <w:t>PICAMOUNT</w:t>
            </w:r>
          </w:p>
        </w:tc>
        <w:tc>
          <w:tcPr>
            <w:tcW w:w="1701" w:type="dxa"/>
          </w:tcPr>
          <w:p w14:paraId="1A9C2CC0" w14:textId="77777777" w:rsidR="00A052DC" w:rsidRDefault="009F0A60">
            <w:pPr>
              <w:rPr>
                <w:rFonts w:ascii="黑体" w:eastAsia="黑体" w:hAnsi="黑体"/>
                <w:sz w:val="20"/>
                <w:szCs w:val="20"/>
              </w:rPr>
            </w:pPr>
            <w:r>
              <w:rPr>
                <w:rFonts w:ascii="黑体" w:eastAsia="黑体" w:hAnsi="黑体" w:hint="eastAsia"/>
                <w:sz w:val="20"/>
                <w:szCs w:val="20"/>
              </w:rPr>
              <w:t>本月付息费金额</w:t>
            </w:r>
          </w:p>
        </w:tc>
        <w:tc>
          <w:tcPr>
            <w:tcW w:w="1418" w:type="dxa"/>
          </w:tcPr>
          <w:p w14:paraId="746D90A6"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3685" w:type="dxa"/>
          </w:tcPr>
          <w:p w14:paraId="2A531469" w14:textId="77777777" w:rsidR="00A052DC" w:rsidRDefault="009F0A60">
            <w:pPr>
              <w:rPr>
                <w:rFonts w:ascii="黑体" w:eastAsia="黑体" w:hAnsi="黑体"/>
                <w:sz w:val="20"/>
                <w:szCs w:val="20"/>
              </w:rPr>
            </w:pPr>
            <w:r>
              <w:rPr>
                <w:rFonts w:ascii="黑体" w:eastAsia="黑体" w:hAnsi="黑体" w:hint="eastAsia"/>
                <w:sz w:val="20"/>
                <w:szCs w:val="20"/>
              </w:rPr>
              <w:t>非必填项，大于等于0。</w:t>
            </w:r>
          </w:p>
        </w:tc>
      </w:tr>
      <w:tr w:rsidR="00A052DC" w14:paraId="6580EB18" w14:textId="77777777">
        <w:tc>
          <w:tcPr>
            <w:tcW w:w="1843" w:type="dxa"/>
          </w:tcPr>
          <w:p w14:paraId="2DCE7FF2" w14:textId="77777777" w:rsidR="00A052DC" w:rsidRDefault="009F0A60">
            <w:pPr>
              <w:rPr>
                <w:rFonts w:ascii="黑体" w:eastAsia="黑体" w:hAnsi="黑体"/>
                <w:sz w:val="20"/>
                <w:szCs w:val="20"/>
              </w:rPr>
            </w:pPr>
            <w:r>
              <w:rPr>
                <w:rFonts w:ascii="黑体" w:eastAsia="黑体" w:hAnsi="黑体"/>
                <w:sz w:val="20"/>
                <w:szCs w:val="20"/>
              </w:rPr>
              <w:t>MONENLOADBAL</w:t>
            </w:r>
          </w:p>
        </w:tc>
        <w:tc>
          <w:tcPr>
            <w:tcW w:w="1701" w:type="dxa"/>
          </w:tcPr>
          <w:p w14:paraId="660F421A" w14:textId="77777777" w:rsidR="00A052DC" w:rsidRDefault="009F0A60">
            <w:pPr>
              <w:rPr>
                <w:rFonts w:ascii="黑体" w:eastAsia="黑体" w:hAnsi="黑体"/>
                <w:sz w:val="20"/>
                <w:szCs w:val="20"/>
              </w:rPr>
            </w:pPr>
            <w:r>
              <w:rPr>
                <w:rFonts w:ascii="黑体" w:eastAsia="黑体" w:hAnsi="黑体" w:hint="eastAsia"/>
                <w:sz w:val="20"/>
                <w:szCs w:val="20"/>
              </w:rPr>
              <w:t>月末贷款余额</w:t>
            </w:r>
          </w:p>
        </w:tc>
        <w:tc>
          <w:tcPr>
            <w:tcW w:w="1418" w:type="dxa"/>
          </w:tcPr>
          <w:p w14:paraId="7267BB74"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3685" w:type="dxa"/>
          </w:tcPr>
          <w:p w14:paraId="108F5372" w14:textId="77777777" w:rsidR="00A052DC" w:rsidRDefault="009F0A60">
            <w:pPr>
              <w:rPr>
                <w:rFonts w:ascii="黑体" w:eastAsia="黑体" w:hAnsi="黑体"/>
                <w:sz w:val="20"/>
                <w:szCs w:val="20"/>
              </w:rPr>
            </w:pPr>
            <w:r>
              <w:rPr>
                <w:rFonts w:ascii="黑体" w:eastAsia="黑体" w:hAnsi="黑体" w:hint="eastAsia"/>
                <w:sz w:val="20"/>
                <w:szCs w:val="20"/>
              </w:rPr>
              <w:t>必填项，大于等于0。</w:t>
            </w:r>
          </w:p>
        </w:tc>
      </w:tr>
      <w:tr w:rsidR="00A052DC" w14:paraId="5D4CC112" w14:textId="77777777">
        <w:tc>
          <w:tcPr>
            <w:tcW w:w="1843" w:type="dxa"/>
          </w:tcPr>
          <w:p w14:paraId="1DC7D7C7" w14:textId="77777777" w:rsidR="00A052DC" w:rsidRDefault="009F0A60">
            <w:pPr>
              <w:rPr>
                <w:rFonts w:ascii="黑体" w:eastAsia="黑体" w:hAnsi="黑体"/>
                <w:sz w:val="20"/>
                <w:szCs w:val="20"/>
              </w:rPr>
            </w:pPr>
            <w:r>
              <w:rPr>
                <w:rFonts w:ascii="黑体" w:eastAsia="黑体" w:hAnsi="黑体"/>
                <w:sz w:val="20"/>
                <w:szCs w:val="20"/>
              </w:rPr>
              <w:t>EXPLCURR</w:t>
            </w:r>
          </w:p>
        </w:tc>
        <w:tc>
          <w:tcPr>
            <w:tcW w:w="1701" w:type="dxa"/>
          </w:tcPr>
          <w:p w14:paraId="16ADC1E4" w14:textId="77777777" w:rsidR="00A052DC" w:rsidRDefault="009F0A60">
            <w:pPr>
              <w:rPr>
                <w:rFonts w:ascii="黑体" w:eastAsia="黑体" w:hAnsi="黑体"/>
                <w:sz w:val="20"/>
                <w:szCs w:val="20"/>
              </w:rPr>
            </w:pPr>
            <w:r>
              <w:rPr>
                <w:rFonts w:ascii="黑体" w:eastAsia="黑体" w:hAnsi="黑体" w:hint="eastAsia"/>
                <w:sz w:val="20"/>
                <w:szCs w:val="20"/>
              </w:rPr>
              <w:t>质押外汇币种</w:t>
            </w:r>
          </w:p>
        </w:tc>
        <w:tc>
          <w:tcPr>
            <w:tcW w:w="1418" w:type="dxa"/>
          </w:tcPr>
          <w:p w14:paraId="22F3FE14" w14:textId="77777777" w:rsidR="00A052DC" w:rsidRDefault="009F0A60">
            <w:pPr>
              <w:rPr>
                <w:rFonts w:ascii="黑体" w:eastAsia="黑体" w:hAnsi="黑体"/>
                <w:sz w:val="20"/>
                <w:szCs w:val="20"/>
              </w:rPr>
            </w:pPr>
            <w:r>
              <w:rPr>
                <w:rFonts w:ascii="黑体" w:eastAsia="黑体" w:hAnsi="黑体" w:hint="eastAsia"/>
                <w:sz w:val="20"/>
                <w:szCs w:val="20"/>
              </w:rPr>
              <w:t>字符型，3</w:t>
            </w:r>
          </w:p>
        </w:tc>
        <w:tc>
          <w:tcPr>
            <w:tcW w:w="3685" w:type="dxa"/>
          </w:tcPr>
          <w:p w14:paraId="05670C3A" w14:textId="77777777" w:rsidR="00A052DC" w:rsidRDefault="009F0A60">
            <w:pPr>
              <w:rPr>
                <w:rFonts w:ascii="黑体" w:eastAsia="黑体" w:hAnsi="黑体"/>
                <w:sz w:val="20"/>
                <w:szCs w:val="20"/>
              </w:rPr>
            </w:pPr>
            <w:r>
              <w:rPr>
                <w:rFonts w:ascii="黑体" w:eastAsia="黑体" w:hAnsi="黑体" w:hint="eastAsia"/>
                <w:sz w:val="20"/>
                <w:szCs w:val="20"/>
              </w:rPr>
              <w:t>必填项，见币种代码表。</w:t>
            </w:r>
          </w:p>
        </w:tc>
      </w:tr>
      <w:tr w:rsidR="00A052DC" w14:paraId="00C4DB1D" w14:textId="77777777">
        <w:tc>
          <w:tcPr>
            <w:tcW w:w="1843" w:type="dxa"/>
          </w:tcPr>
          <w:p w14:paraId="6497ABA0" w14:textId="77777777" w:rsidR="00A052DC" w:rsidRDefault="009F0A60">
            <w:pPr>
              <w:rPr>
                <w:rFonts w:ascii="黑体" w:eastAsia="黑体" w:hAnsi="黑体"/>
                <w:sz w:val="20"/>
                <w:szCs w:val="20"/>
              </w:rPr>
            </w:pPr>
            <w:r>
              <w:rPr>
                <w:rFonts w:ascii="黑体" w:eastAsia="黑体" w:hAnsi="黑体"/>
                <w:sz w:val="20"/>
                <w:szCs w:val="20"/>
              </w:rPr>
              <w:t>EXPLBALA</w:t>
            </w:r>
          </w:p>
        </w:tc>
        <w:tc>
          <w:tcPr>
            <w:tcW w:w="1701" w:type="dxa"/>
          </w:tcPr>
          <w:p w14:paraId="299FFC08" w14:textId="77777777" w:rsidR="00A052DC" w:rsidRDefault="009F0A60">
            <w:pPr>
              <w:rPr>
                <w:rFonts w:ascii="黑体" w:eastAsia="黑体" w:hAnsi="黑体"/>
                <w:sz w:val="20"/>
                <w:szCs w:val="20"/>
              </w:rPr>
            </w:pPr>
            <w:r>
              <w:rPr>
                <w:rFonts w:ascii="黑体" w:eastAsia="黑体" w:hAnsi="黑体" w:hint="eastAsia"/>
                <w:sz w:val="20"/>
                <w:szCs w:val="20"/>
              </w:rPr>
              <w:t>质押外汇余额</w:t>
            </w:r>
          </w:p>
        </w:tc>
        <w:tc>
          <w:tcPr>
            <w:tcW w:w="1418" w:type="dxa"/>
          </w:tcPr>
          <w:p w14:paraId="79948FC0" w14:textId="77777777" w:rsidR="00A052DC" w:rsidRDefault="009F0A60">
            <w:pPr>
              <w:rPr>
                <w:rFonts w:ascii="黑体" w:eastAsia="黑体" w:hAnsi="黑体"/>
                <w:sz w:val="20"/>
                <w:szCs w:val="20"/>
              </w:rPr>
            </w:pPr>
            <w:bookmarkStart w:id="1720" w:name="OLE_LINK8"/>
            <w:bookmarkStart w:id="1721" w:name="OLE_LINK9"/>
            <w:r>
              <w:rPr>
                <w:rFonts w:ascii="黑体" w:eastAsia="黑体" w:hAnsi="黑体" w:hint="eastAsia"/>
                <w:sz w:val="20"/>
                <w:szCs w:val="20"/>
              </w:rPr>
              <w:t>数值型，</w:t>
            </w:r>
            <w:bookmarkEnd w:id="1720"/>
            <w:bookmarkEnd w:id="1721"/>
            <w:r>
              <w:rPr>
                <w:rFonts w:ascii="黑体" w:eastAsia="黑体" w:hAnsi="黑体"/>
                <w:sz w:val="20"/>
                <w:szCs w:val="20"/>
              </w:rPr>
              <w:t>22.2</w:t>
            </w:r>
          </w:p>
        </w:tc>
        <w:tc>
          <w:tcPr>
            <w:tcW w:w="3685" w:type="dxa"/>
          </w:tcPr>
          <w:p w14:paraId="535BB894" w14:textId="77777777" w:rsidR="00A052DC" w:rsidRDefault="009F0A60">
            <w:pPr>
              <w:rPr>
                <w:rFonts w:ascii="黑体" w:eastAsia="黑体" w:hAnsi="黑体"/>
                <w:sz w:val="20"/>
                <w:szCs w:val="20"/>
              </w:rPr>
            </w:pPr>
            <w:r>
              <w:rPr>
                <w:rFonts w:ascii="黑体" w:eastAsia="黑体" w:hAnsi="黑体" w:hint="eastAsia"/>
                <w:sz w:val="20"/>
                <w:szCs w:val="20"/>
              </w:rPr>
              <w:t>必填项，大于等于0。</w:t>
            </w:r>
          </w:p>
        </w:tc>
      </w:tr>
      <w:tr w:rsidR="00A052DC" w14:paraId="256E2B8C" w14:textId="77777777">
        <w:tc>
          <w:tcPr>
            <w:tcW w:w="1843" w:type="dxa"/>
          </w:tcPr>
          <w:p w14:paraId="1B1696BE" w14:textId="77777777" w:rsidR="00A052DC" w:rsidRDefault="009F0A60">
            <w:pPr>
              <w:rPr>
                <w:rFonts w:ascii="黑体" w:eastAsia="黑体" w:hAnsi="黑体"/>
                <w:sz w:val="20"/>
                <w:szCs w:val="20"/>
              </w:rPr>
            </w:pPr>
            <w:r>
              <w:rPr>
                <w:rFonts w:ascii="黑体" w:eastAsia="黑体" w:hAnsi="黑体"/>
                <w:sz w:val="20"/>
                <w:szCs w:val="20"/>
              </w:rPr>
              <w:t>EXPLPERAMOUNT</w:t>
            </w:r>
          </w:p>
        </w:tc>
        <w:tc>
          <w:tcPr>
            <w:tcW w:w="1701" w:type="dxa"/>
          </w:tcPr>
          <w:p w14:paraId="4CA1BB22" w14:textId="77777777" w:rsidR="00A052DC" w:rsidRDefault="009F0A60">
            <w:pPr>
              <w:rPr>
                <w:rFonts w:ascii="黑体" w:eastAsia="黑体" w:hAnsi="黑体"/>
                <w:sz w:val="20"/>
                <w:szCs w:val="20"/>
              </w:rPr>
            </w:pPr>
            <w:r>
              <w:rPr>
                <w:rFonts w:ascii="黑体" w:eastAsia="黑体" w:hAnsi="黑体" w:hint="eastAsia"/>
                <w:sz w:val="20"/>
                <w:szCs w:val="20"/>
              </w:rPr>
              <w:t>质押外汇履约金额</w:t>
            </w:r>
          </w:p>
        </w:tc>
        <w:tc>
          <w:tcPr>
            <w:tcW w:w="1418" w:type="dxa"/>
          </w:tcPr>
          <w:p w14:paraId="7394F0F6"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3685" w:type="dxa"/>
          </w:tcPr>
          <w:p w14:paraId="33ECFB37" w14:textId="77777777" w:rsidR="00A052DC" w:rsidRDefault="009F0A60">
            <w:pPr>
              <w:rPr>
                <w:rFonts w:ascii="黑体" w:eastAsia="黑体" w:hAnsi="黑体"/>
                <w:sz w:val="20"/>
                <w:szCs w:val="20"/>
              </w:rPr>
            </w:pPr>
            <w:r>
              <w:rPr>
                <w:rFonts w:ascii="黑体" w:eastAsia="黑体" w:hAnsi="黑体" w:hint="eastAsia"/>
                <w:sz w:val="20"/>
                <w:szCs w:val="20"/>
              </w:rPr>
              <w:t>非必填项，大于等于0。</w:t>
            </w:r>
          </w:p>
        </w:tc>
      </w:tr>
      <w:tr w:rsidR="00A052DC" w14:paraId="03CA9B7A" w14:textId="77777777">
        <w:tc>
          <w:tcPr>
            <w:tcW w:w="1843" w:type="dxa"/>
          </w:tcPr>
          <w:p w14:paraId="0E89670A" w14:textId="77777777" w:rsidR="00A052DC" w:rsidRDefault="009F0A60">
            <w:pPr>
              <w:rPr>
                <w:rFonts w:ascii="黑体" w:eastAsia="黑体" w:hAnsi="黑体"/>
                <w:sz w:val="20"/>
                <w:szCs w:val="20"/>
              </w:rPr>
            </w:pPr>
            <w:r>
              <w:rPr>
                <w:rFonts w:ascii="黑体" w:eastAsia="黑体" w:hAnsi="黑体"/>
                <w:sz w:val="20"/>
                <w:szCs w:val="20"/>
              </w:rPr>
              <w:t>PLCOSEAMOUNT</w:t>
            </w:r>
          </w:p>
        </w:tc>
        <w:tc>
          <w:tcPr>
            <w:tcW w:w="1701" w:type="dxa"/>
          </w:tcPr>
          <w:p w14:paraId="4842A18E" w14:textId="77777777" w:rsidR="00A052DC" w:rsidRDefault="009F0A60">
            <w:pPr>
              <w:rPr>
                <w:rFonts w:ascii="黑体" w:eastAsia="黑体" w:hAnsi="黑体"/>
                <w:sz w:val="20"/>
                <w:szCs w:val="20"/>
              </w:rPr>
            </w:pPr>
            <w:r>
              <w:rPr>
                <w:rFonts w:ascii="黑体" w:eastAsia="黑体" w:hAnsi="黑体" w:hint="eastAsia"/>
                <w:sz w:val="20"/>
                <w:szCs w:val="20"/>
              </w:rPr>
              <w:t>质押履约结汇金额</w:t>
            </w:r>
          </w:p>
        </w:tc>
        <w:tc>
          <w:tcPr>
            <w:tcW w:w="1418" w:type="dxa"/>
          </w:tcPr>
          <w:p w14:paraId="3F3CA3E5"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3685" w:type="dxa"/>
          </w:tcPr>
          <w:p w14:paraId="146863D5" w14:textId="77777777" w:rsidR="00A052DC" w:rsidRDefault="009F0A60">
            <w:pPr>
              <w:rPr>
                <w:rFonts w:ascii="黑体" w:eastAsia="黑体" w:hAnsi="黑体"/>
                <w:sz w:val="20"/>
                <w:szCs w:val="20"/>
              </w:rPr>
            </w:pPr>
            <w:r>
              <w:rPr>
                <w:rFonts w:ascii="黑体" w:eastAsia="黑体" w:hAnsi="黑体" w:hint="eastAsia"/>
                <w:sz w:val="20"/>
                <w:szCs w:val="20"/>
              </w:rPr>
              <w:t>非必填项，大于等于0。</w:t>
            </w:r>
          </w:p>
        </w:tc>
      </w:tr>
      <w:tr w:rsidR="00A052DC" w14:paraId="51C51EE2" w14:textId="77777777">
        <w:tc>
          <w:tcPr>
            <w:tcW w:w="1843" w:type="dxa"/>
            <w:tcBorders>
              <w:top w:val="single" w:sz="4" w:space="0" w:color="auto"/>
              <w:left w:val="single" w:sz="4" w:space="0" w:color="auto"/>
              <w:bottom w:val="single" w:sz="4" w:space="0" w:color="auto"/>
              <w:right w:val="single" w:sz="4" w:space="0" w:color="auto"/>
            </w:tcBorders>
          </w:tcPr>
          <w:p w14:paraId="0EBB5A89" w14:textId="77777777" w:rsidR="00A052DC" w:rsidRDefault="009F0A60">
            <w:pPr>
              <w:rPr>
                <w:rFonts w:ascii="黑体" w:eastAsia="黑体" w:hAnsi="黑体"/>
                <w:sz w:val="20"/>
                <w:szCs w:val="20"/>
              </w:rPr>
            </w:pPr>
            <w:r>
              <w:rPr>
                <w:rFonts w:ascii="黑体" w:eastAsia="黑体" w:hAnsi="黑体"/>
                <w:sz w:val="20"/>
                <w:szCs w:val="20"/>
              </w:rPr>
              <w:t>REMARK</w:t>
            </w:r>
          </w:p>
        </w:tc>
        <w:tc>
          <w:tcPr>
            <w:tcW w:w="1701" w:type="dxa"/>
            <w:tcBorders>
              <w:top w:val="single" w:sz="4" w:space="0" w:color="auto"/>
              <w:left w:val="single" w:sz="4" w:space="0" w:color="auto"/>
              <w:bottom w:val="single" w:sz="4" w:space="0" w:color="auto"/>
              <w:right w:val="single" w:sz="4" w:space="0" w:color="auto"/>
            </w:tcBorders>
          </w:tcPr>
          <w:p w14:paraId="448CEA9F" w14:textId="77777777" w:rsidR="00A052DC" w:rsidRDefault="009F0A60">
            <w:pPr>
              <w:rPr>
                <w:rFonts w:ascii="黑体" w:eastAsia="黑体" w:hAnsi="黑体"/>
                <w:sz w:val="20"/>
                <w:szCs w:val="20"/>
              </w:rPr>
            </w:pPr>
            <w:r>
              <w:rPr>
                <w:rFonts w:ascii="黑体" w:eastAsia="黑体" w:hAnsi="黑体" w:hint="eastAsia"/>
                <w:sz w:val="20"/>
                <w:szCs w:val="20"/>
              </w:rPr>
              <w:t>备注</w:t>
            </w:r>
          </w:p>
        </w:tc>
        <w:tc>
          <w:tcPr>
            <w:tcW w:w="1418" w:type="dxa"/>
            <w:tcBorders>
              <w:top w:val="single" w:sz="4" w:space="0" w:color="auto"/>
              <w:left w:val="single" w:sz="4" w:space="0" w:color="auto"/>
              <w:bottom w:val="single" w:sz="4" w:space="0" w:color="auto"/>
              <w:right w:val="single" w:sz="4" w:space="0" w:color="auto"/>
            </w:tcBorders>
          </w:tcPr>
          <w:p w14:paraId="6D11C015" w14:textId="77777777" w:rsidR="00A052DC" w:rsidRDefault="009F0A60">
            <w:pPr>
              <w:rPr>
                <w:rFonts w:ascii="黑体" w:eastAsia="黑体" w:hAnsi="黑体"/>
                <w:sz w:val="20"/>
                <w:szCs w:val="20"/>
              </w:rPr>
            </w:pPr>
            <w:r>
              <w:rPr>
                <w:rFonts w:ascii="黑体" w:eastAsia="黑体" w:hAnsi="黑体" w:hint="eastAsia"/>
                <w:sz w:val="20"/>
                <w:szCs w:val="20"/>
              </w:rPr>
              <w:t>字符型，256</w:t>
            </w:r>
          </w:p>
        </w:tc>
        <w:tc>
          <w:tcPr>
            <w:tcW w:w="3685" w:type="dxa"/>
            <w:tcBorders>
              <w:top w:val="single" w:sz="4" w:space="0" w:color="auto"/>
              <w:left w:val="single" w:sz="4" w:space="0" w:color="auto"/>
              <w:bottom w:val="single" w:sz="4" w:space="0" w:color="auto"/>
              <w:right w:val="single" w:sz="4" w:space="0" w:color="auto"/>
            </w:tcBorders>
          </w:tcPr>
          <w:p w14:paraId="5D02DC2A" w14:textId="77777777" w:rsidR="00A052DC" w:rsidRDefault="009F0A60">
            <w:pPr>
              <w:rPr>
                <w:rFonts w:ascii="黑体" w:eastAsia="黑体" w:hAnsi="黑体"/>
                <w:sz w:val="20"/>
                <w:szCs w:val="20"/>
              </w:rPr>
            </w:pPr>
            <w:r>
              <w:rPr>
                <w:rFonts w:ascii="黑体" w:eastAsia="黑体" w:hAnsi="黑体" w:hint="eastAsia"/>
                <w:sz w:val="20"/>
                <w:szCs w:val="20"/>
              </w:rPr>
              <w:t>非必填项。</w:t>
            </w:r>
          </w:p>
        </w:tc>
      </w:tr>
    </w:tbl>
    <w:p w14:paraId="123EA5F6" w14:textId="77777777" w:rsidR="00A052DC" w:rsidRDefault="00A052DC"/>
    <w:p w14:paraId="08718A63" w14:textId="77777777" w:rsidR="00A052DC" w:rsidRDefault="009F0A60" w:rsidP="0020251D">
      <w:pPr>
        <w:pStyle w:val="3"/>
        <w:ind w:left="0"/>
        <w:rPr>
          <w:rFonts w:ascii="Times New Roman" w:hAnsi="Times New Roman"/>
        </w:rPr>
      </w:pPr>
      <w:bookmarkStart w:id="1722" w:name="_Toc91455297"/>
      <w:bookmarkStart w:id="1723" w:name="_Toc454386987"/>
      <w:bookmarkStart w:id="1724" w:name="_Toc380356267"/>
      <w:bookmarkStart w:id="1725" w:name="_Toc328635545"/>
      <w:bookmarkStart w:id="1726" w:name="_Toc101684470"/>
      <w:bookmarkStart w:id="1727" w:name="_Toc317756141"/>
      <w:r>
        <w:rPr>
          <w:rFonts w:ascii="Times New Roman" w:hAnsi="Times New Roman" w:hint="eastAsia"/>
        </w:rPr>
        <w:t>商业银行人民币结构性存款业务</w:t>
      </w:r>
      <w:bookmarkEnd w:id="1722"/>
      <w:bookmarkEnd w:id="1723"/>
      <w:bookmarkEnd w:id="1724"/>
      <w:bookmarkEnd w:id="1725"/>
      <w:bookmarkEnd w:id="1726"/>
    </w:p>
    <w:p w14:paraId="06D6BE67" w14:textId="77777777" w:rsidR="00A052DC" w:rsidRDefault="009F0A60" w:rsidP="0020251D">
      <w:pPr>
        <w:pStyle w:val="4"/>
        <w:numPr>
          <w:ilvl w:val="3"/>
          <w:numId w:val="1"/>
        </w:numPr>
        <w:jc w:val="left"/>
      </w:pPr>
      <w:bookmarkStart w:id="1728" w:name="_Toc454386988"/>
      <w:bookmarkStart w:id="1729" w:name="_Toc328635546"/>
      <w:r>
        <w:rPr>
          <w:rFonts w:hint="eastAsia"/>
        </w:rPr>
        <w:t>签约信息</w:t>
      </w:r>
      <w:bookmarkEnd w:id="1728"/>
      <w:bookmarkEnd w:id="1729"/>
    </w:p>
    <w:p w14:paraId="77531F00" w14:textId="77777777" w:rsidR="00A052DC" w:rsidRDefault="009F0A60" w:rsidP="0020251D">
      <w:pPr>
        <w:pStyle w:val="5"/>
        <w:numPr>
          <w:ilvl w:val="4"/>
          <w:numId w:val="1"/>
        </w:numPr>
        <w:spacing w:before="120" w:after="120" w:line="360" w:lineRule="auto"/>
        <w:jc w:val="left"/>
      </w:pPr>
      <w:bookmarkStart w:id="1730" w:name="_Toc454386989"/>
      <w:bookmarkStart w:id="1731" w:name="_Toc328635547"/>
      <w:r>
        <w:rPr>
          <w:rFonts w:hint="eastAsia"/>
        </w:rPr>
        <w:t>数据术语解释</w:t>
      </w:r>
      <w:bookmarkEnd w:id="1730"/>
      <w:bookmarkEnd w:id="1731"/>
    </w:p>
    <w:tbl>
      <w:tblPr>
        <w:tblW w:w="84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26"/>
        <w:gridCol w:w="6946"/>
      </w:tblGrid>
      <w:tr w:rsidR="00A052DC" w14:paraId="602B550C" w14:textId="77777777">
        <w:tc>
          <w:tcPr>
            <w:tcW w:w="1526" w:type="dxa"/>
          </w:tcPr>
          <w:p w14:paraId="4AD93BEF" w14:textId="77777777" w:rsidR="00A052DC" w:rsidRDefault="009F0A60">
            <w:pPr>
              <w:jc w:val="center"/>
              <w:rPr>
                <w:rFonts w:ascii="黑体" w:eastAsia="黑体" w:hAnsi="黑体"/>
                <w:b/>
                <w:sz w:val="20"/>
                <w:szCs w:val="20"/>
              </w:rPr>
            </w:pPr>
            <w:r>
              <w:rPr>
                <w:rFonts w:ascii="黑体" w:eastAsia="黑体" w:hAnsi="黑体" w:hint="eastAsia"/>
                <w:b/>
                <w:sz w:val="20"/>
                <w:szCs w:val="20"/>
              </w:rPr>
              <w:t>基础数据项</w:t>
            </w:r>
          </w:p>
        </w:tc>
        <w:tc>
          <w:tcPr>
            <w:tcW w:w="6946" w:type="dxa"/>
          </w:tcPr>
          <w:p w14:paraId="0ADD2043" w14:textId="77777777" w:rsidR="00A052DC" w:rsidRDefault="009F0A60">
            <w:pPr>
              <w:jc w:val="center"/>
              <w:rPr>
                <w:rFonts w:ascii="黑体" w:eastAsia="黑体" w:hAnsi="黑体"/>
                <w:b/>
                <w:sz w:val="20"/>
                <w:szCs w:val="20"/>
              </w:rPr>
            </w:pPr>
            <w:r>
              <w:rPr>
                <w:rFonts w:ascii="黑体" w:eastAsia="黑体" w:hAnsi="黑体" w:hint="eastAsia"/>
                <w:b/>
                <w:sz w:val="20"/>
                <w:szCs w:val="20"/>
              </w:rPr>
              <w:t>定义</w:t>
            </w:r>
          </w:p>
        </w:tc>
      </w:tr>
      <w:tr w:rsidR="00A052DC" w14:paraId="35B3B0F6" w14:textId="77777777">
        <w:trPr>
          <w:cantSplit/>
          <w:trHeight w:val="218"/>
        </w:trPr>
        <w:tc>
          <w:tcPr>
            <w:tcW w:w="1526" w:type="dxa"/>
          </w:tcPr>
          <w:p w14:paraId="796A9BBA" w14:textId="77777777" w:rsidR="00A052DC" w:rsidRDefault="009F0A60">
            <w:pPr>
              <w:rPr>
                <w:rFonts w:ascii="黑体" w:eastAsia="黑体" w:hAnsi="黑体"/>
                <w:sz w:val="20"/>
                <w:szCs w:val="20"/>
              </w:rPr>
            </w:pPr>
            <w:r>
              <w:rPr>
                <w:rFonts w:ascii="黑体" w:eastAsia="黑体" w:hAnsi="黑体" w:hint="eastAsia"/>
                <w:sz w:val="20"/>
                <w:szCs w:val="20"/>
              </w:rPr>
              <w:t>人民币结构性存款编号</w:t>
            </w:r>
          </w:p>
        </w:tc>
        <w:tc>
          <w:tcPr>
            <w:tcW w:w="6946" w:type="dxa"/>
          </w:tcPr>
          <w:p w14:paraId="09E51DC4" w14:textId="77777777" w:rsidR="00A052DC" w:rsidRDefault="009F0A60">
            <w:pPr>
              <w:rPr>
                <w:rFonts w:ascii="黑体" w:eastAsia="黑体" w:hAnsi="黑体"/>
                <w:sz w:val="20"/>
                <w:szCs w:val="20"/>
              </w:rPr>
            </w:pPr>
            <w:r>
              <w:rPr>
                <w:rFonts w:ascii="黑体" w:eastAsia="黑体" w:hAnsi="黑体" w:hint="eastAsia"/>
                <w:sz w:val="20"/>
                <w:szCs w:val="20"/>
              </w:rPr>
              <w:t>外汇局制定统一编号规则，银行自行对每一笔人民币结构性存款业务进行编号，用于唯一标识该笔人民币结构性存款。人民币结构性存款编号共计</w:t>
            </w:r>
            <w:r>
              <w:rPr>
                <w:rFonts w:ascii="黑体" w:eastAsia="黑体" w:hAnsi="黑体"/>
                <w:sz w:val="20"/>
                <w:szCs w:val="20"/>
              </w:rPr>
              <w:t>28</w:t>
            </w:r>
            <w:r>
              <w:rPr>
                <w:rFonts w:ascii="黑体" w:eastAsia="黑体" w:hAnsi="黑体" w:hint="eastAsia"/>
                <w:sz w:val="20"/>
                <w:szCs w:val="20"/>
              </w:rPr>
              <w:t>位。第</w:t>
            </w:r>
            <w:r>
              <w:rPr>
                <w:rFonts w:ascii="黑体" w:eastAsia="黑体" w:hAnsi="黑体"/>
                <w:sz w:val="20"/>
                <w:szCs w:val="20"/>
              </w:rPr>
              <w:t>1</w:t>
            </w:r>
            <w:r>
              <w:rPr>
                <w:rFonts w:ascii="黑体" w:eastAsia="黑体" w:hAnsi="黑体" w:hint="eastAsia"/>
                <w:sz w:val="20"/>
                <w:szCs w:val="20"/>
              </w:rPr>
              <w:t>至</w:t>
            </w:r>
            <w:r>
              <w:rPr>
                <w:rFonts w:ascii="黑体" w:eastAsia="黑体" w:hAnsi="黑体"/>
                <w:sz w:val="20"/>
                <w:szCs w:val="20"/>
              </w:rPr>
              <w:t>2</w:t>
            </w:r>
            <w:r>
              <w:rPr>
                <w:rFonts w:ascii="黑体" w:eastAsia="黑体" w:hAnsi="黑体" w:hint="eastAsia"/>
                <w:sz w:val="20"/>
                <w:szCs w:val="20"/>
              </w:rPr>
              <w:t>位为业务类型标识，第</w:t>
            </w:r>
            <w:r>
              <w:rPr>
                <w:rFonts w:ascii="黑体" w:eastAsia="黑体" w:hAnsi="黑体"/>
                <w:sz w:val="20"/>
                <w:szCs w:val="20"/>
              </w:rPr>
              <w:t>3</w:t>
            </w:r>
            <w:r>
              <w:rPr>
                <w:rFonts w:ascii="黑体" w:eastAsia="黑体" w:hAnsi="黑体" w:hint="eastAsia"/>
                <w:sz w:val="20"/>
                <w:szCs w:val="20"/>
              </w:rPr>
              <w:t>位至</w:t>
            </w:r>
            <w:r>
              <w:rPr>
                <w:rFonts w:ascii="黑体" w:eastAsia="黑体" w:hAnsi="黑体"/>
                <w:sz w:val="20"/>
                <w:szCs w:val="20"/>
              </w:rPr>
              <w:t>14</w:t>
            </w:r>
            <w:r>
              <w:rPr>
                <w:rFonts w:ascii="黑体" w:eastAsia="黑体" w:hAnsi="黑体" w:hint="eastAsia"/>
                <w:sz w:val="20"/>
                <w:szCs w:val="20"/>
              </w:rPr>
              <w:t>位为银行金融机构标识码</w:t>
            </w:r>
            <w:r>
              <w:rPr>
                <w:rFonts w:ascii="黑体" w:eastAsia="黑体" w:hAnsi="黑体"/>
                <w:sz w:val="20"/>
                <w:szCs w:val="20"/>
              </w:rPr>
              <w:t>;</w:t>
            </w:r>
            <w:r>
              <w:rPr>
                <w:rFonts w:ascii="黑体" w:eastAsia="黑体" w:hAnsi="黑体" w:hint="eastAsia"/>
                <w:sz w:val="20"/>
                <w:szCs w:val="20"/>
              </w:rPr>
              <w:t>第</w:t>
            </w:r>
            <w:r>
              <w:rPr>
                <w:rFonts w:ascii="黑体" w:eastAsia="黑体" w:hAnsi="黑体"/>
                <w:sz w:val="20"/>
                <w:szCs w:val="20"/>
              </w:rPr>
              <w:t>15</w:t>
            </w:r>
            <w:r>
              <w:rPr>
                <w:rFonts w:ascii="黑体" w:eastAsia="黑体" w:hAnsi="黑体" w:hint="eastAsia"/>
                <w:sz w:val="20"/>
                <w:szCs w:val="20"/>
              </w:rPr>
              <w:t>至</w:t>
            </w:r>
            <w:r>
              <w:rPr>
                <w:rFonts w:ascii="黑体" w:eastAsia="黑体" w:hAnsi="黑体"/>
                <w:sz w:val="20"/>
                <w:szCs w:val="20"/>
              </w:rPr>
              <w:t>22</w:t>
            </w:r>
            <w:r>
              <w:rPr>
                <w:rFonts w:ascii="黑体" w:eastAsia="黑体" w:hAnsi="黑体" w:hint="eastAsia"/>
                <w:sz w:val="20"/>
                <w:szCs w:val="20"/>
              </w:rPr>
              <w:t>位为</w:t>
            </w:r>
            <w:r>
              <w:rPr>
                <w:rFonts w:ascii="黑体" w:eastAsia="黑体" w:hAnsi="黑体"/>
                <w:sz w:val="20"/>
                <w:szCs w:val="20"/>
              </w:rPr>
              <w:t>8</w:t>
            </w:r>
            <w:r>
              <w:rPr>
                <w:rFonts w:ascii="黑体" w:eastAsia="黑体" w:hAnsi="黑体" w:hint="eastAsia"/>
                <w:sz w:val="20"/>
                <w:szCs w:val="20"/>
              </w:rPr>
              <w:t>位年月日数字（</w:t>
            </w:r>
            <w:r>
              <w:rPr>
                <w:rFonts w:ascii="黑体" w:eastAsia="黑体" w:hAnsi="黑体"/>
                <w:sz w:val="20"/>
                <w:szCs w:val="20"/>
              </w:rPr>
              <w:t>20110701</w:t>
            </w:r>
            <w:r>
              <w:rPr>
                <w:rFonts w:ascii="黑体" w:eastAsia="黑体" w:hAnsi="黑体" w:hint="eastAsia"/>
                <w:sz w:val="20"/>
                <w:szCs w:val="20"/>
              </w:rPr>
              <w:t>）</w:t>
            </w:r>
            <w:r>
              <w:rPr>
                <w:rFonts w:ascii="黑体" w:eastAsia="黑体" w:hAnsi="黑体"/>
                <w:sz w:val="20"/>
                <w:szCs w:val="20"/>
              </w:rPr>
              <w:t>;</w:t>
            </w:r>
            <w:r>
              <w:rPr>
                <w:rFonts w:ascii="黑体" w:eastAsia="黑体" w:hAnsi="黑体" w:hint="eastAsia"/>
                <w:sz w:val="20"/>
                <w:szCs w:val="20"/>
              </w:rPr>
              <w:t>第</w:t>
            </w:r>
            <w:r>
              <w:rPr>
                <w:rFonts w:ascii="黑体" w:eastAsia="黑体" w:hAnsi="黑体"/>
                <w:sz w:val="20"/>
                <w:szCs w:val="20"/>
              </w:rPr>
              <w:t>23</w:t>
            </w:r>
            <w:r>
              <w:rPr>
                <w:rFonts w:ascii="黑体" w:eastAsia="黑体" w:hAnsi="黑体" w:hint="eastAsia"/>
                <w:sz w:val="20"/>
                <w:szCs w:val="20"/>
              </w:rPr>
              <w:t>至</w:t>
            </w:r>
            <w:r>
              <w:rPr>
                <w:rFonts w:ascii="黑体" w:eastAsia="黑体" w:hAnsi="黑体"/>
                <w:sz w:val="20"/>
                <w:szCs w:val="20"/>
              </w:rPr>
              <w:t>28</w:t>
            </w:r>
            <w:r>
              <w:rPr>
                <w:rFonts w:ascii="黑体" w:eastAsia="黑体" w:hAnsi="黑体" w:hint="eastAsia"/>
                <w:sz w:val="20"/>
                <w:szCs w:val="20"/>
              </w:rPr>
              <w:t>位为该笔业务的流水号（流水码编制规则：从</w:t>
            </w:r>
            <w:r>
              <w:rPr>
                <w:rFonts w:ascii="黑体" w:eastAsia="黑体" w:hAnsi="黑体"/>
                <w:sz w:val="20"/>
                <w:szCs w:val="20"/>
              </w:rPr>
              <w:t>000001</w:t>
            </w:r>
            <w:r>
              <w:rPr>
                <w:rFonts w:ascii="黑体" w:eastAsia="黑体" w:hAnsi="黑体" w:hint="eastAsia"/>
                <w:sz w:val="20"/>
                <w:szCs w:val="20"/>
              </w:rPr>
              <w:t>～</w:t>
            </w:r>
            <w:r>
              <w:rPr>
                <w:rFonts w:ascii="黑体" w:eastAsia="黑体" w:hAnsi="黑体"/>
                <w:sz w:val="20"/>
                <w:szCs w:val="20"/>
              </w:rPr>
              <w:t>999999</w:t>
            </w:r>
            <w:r>
              <w:rPr>
                <w:rFonts w:ascii="黑体" w:eastAsia="黑体" w:hAnsi="黑体" w:hint="eastAsia"/>
                <w:sz w:val="20"/>
                <w:szCs w:val="20"/>
              </w:rPr>
              <w:t>）。</w:t>
            </w:r>
          </w:p>
        </w:tc>
      </w:tr>
      <w:tr w:rsidR="00A052DC" w14:paraId="55622F95" w14:textId="77777777">
        <w:trPr>
          <w:cantSplit/>
        </w:trPr>
        <w:tc>
          <w:tcPr>
            <w:tcW w:w="1526" w:type="dxa"/>
          </w:tcPr>
          <w:p w14:paraId="49988F27" w14:textId="77777777" w:rsidR="00A052DC" w:rsidRDefault="009F0A60">
            <w:pPr>
              <w:rPr>
                <w:rFonts w:ascii="黑体" w:eastAsia="黑体" w:hAnsi="黑体"/>
                <w:sz w:val="20"/>
                <w:szCs w:val="20"/>
              </w:rPr>
            </w:pPr>
            <w:r>
              <w:rPr>
                <w:rFonts w:ascii="黑体" w:eastAsia="黑体" w:hAnsi="黑体" w:hint="eastAsia"/>
                <w:sz w:val="20"/>
                <w:szCs w:val="20"/>
              </w:rPr>
              <w:t>金融机构标识码</w:t>
            </w:r>
          </w:p>
        </w:tc>
        <w:tc>
          <w:tcPr>
            <w:tcW w:w="6946" w:type="dxa"/>
          </w:tcPr>
          <w:p w14:paraId="7CB8B770" w14:textId="77777777" w:rsidR="00A052DC" w:rsidRDefault="009F0A60">
            <w:pPr>
              <w:rPr>
                <w:rFonts w:ascii="黑体" w:eastAsia="黑体" w:hAnsi="黑体"/>
                <w:sz w:val="20"/>
                <w:szCs w:val="20"/>
              </w:rPr>
            </w:pPr>
            <w:r>
              <w:rPr>
                <w:rFonts w:ascii="黑体" w:eastAsia="黑体" w:hAnsi="黑体" w:hint="eastAsia"/>
                <w:sz w:val="20"/>
                <w:szCs w:val="20"/>
              </w:rPr>
              <w:t>国家外汇管理局及其分支局签发托管银行</w:t>
            </w:r>
            <w:r>
              <w:rPr>
                <w:rFonts w:ascii="黑体" w:eastAsia="黑体" w:hAnsi="黑体"/>
                <w:sz w:val="20"/>
                <w:szCs w:val="20"/>
              </w:rPr>
              <w:t>12</w:t>
            </w:r>
            <w:r>
              <w:rPr>
                <w:rFonts w:ascii="黑体" w:eastAsia="黑体" w:hAnsi="黑体" w:hint="eastAsia"/>
                <w:sz w:val="20"/>
                <w:szCs w:val="20"/>
              </w:rPr>
              <w:t>位金融机构标识码。</w:t>
            </w:r>
          </w:p>
        </w:tc>
      </w:tr>
      <w:tr w:rsidR="00A052DC" w14:paraId="6D45C81A" w14:textId="77777777">
        <w:trPr>
          <w:cantSplit/>
        </w:trPr>
        <w:tc>
          <w:tcPr>
            <w:tcW w:w="1526" w:type="dxa"/>
          </w:tcPr>
          <w:p w14:paraId="32C8568C" w14:textId="77777777" w:rsidR="00A052DC" w:rsidRDefault="009F0A60">
            <w:pPr>
              <w:rPr>
                <w:rFonts w:ascii="黑体" w:eastAsia="黑体" w:hAnsi="黑体"/>
                <w:sz w:val="20"/>
                <w:szCs w:val="20"/>
              </w:rPr>
            </w:pPr>
            <w:r>
              <w:rPr>
                <w:rFonts w:ascii="黑体" w:eastAsia="黑体" w:hAnsi="黑体" w:hint="eastAsia"/>
                <w:sz w:val="20"/>
                <w:szCs w:val="20"/>
              </w:rPr>
              <w:t>客户代码</w:t>
            </w:r>
          </w:p>
        </w:tc>
        <w:tc>
          <w:tcPr>
            <w:tcW w:w="6946" w:type="dxa"/>
          </w:tcPr>
          <w:p w14:paraId="4AAD1685" w14:textId="77777777" w:rsidR="00A052DC" w:rsidRDefault="009F0A60">
            <w:pPr>
              <w:rPr>
                <w:rFonts w:ascii="黑体" w:eastAsia="黑体" w:hAnsi="黑体"/>
                <w:sz w:val="20"/>
                <w:szCs w:val="20"/>
              </w:rPr>
            </w:pPr>
            <w:r>
              <w:rPr>
                <w:rFonts w:ascii="黑体" w:eastAsia="黑体" w:hAnsi="黑体" w:hint="eastAsia"/>
                <w:sz w:val="20"/>
                <w:szCs w:val="20"/>
              </w:rPr>
              <w:t>如果为公司客户，客户代码为统一社会信用代码法定载体（如营业执照）上统一社会信用代码中的第9至17位或国家外汇管理局及其分支局签发的特殊机构代码赋码通知书上的机构代码。；如果是个人客户，汇总填报，代码填</w:t>
            </w:r>
            <w:r>
              <w:rPr>
                <w:rFonts w:ascii="黑体" w:eastAsia="黑体" w:hAnsi="黑体"/>
                <w:sz w:val="20"/>
                <w:szCs w:val="20"/>
              </w:rPr>
              <w:t>999999999</w:t>
            </w:r>
            <w:r>
              <w:rPr>
                <w:rFonts w:ascii="黑体" w:eastAsia="黑体" w:hAnsi="黑体" w:hint="eastAsia"/>
                <w:sz w:val="20"/>
                <w:szCs w:val="20"/>
              </w:rPr>
              <w:t>。</w:t>
            </w:r>
          </w:p>
        </w:tc>
      </w:tr>
      <w:tr w:rsidR="00A052DC" w14:paraId="04117FA8" w14:textId="77777777">
        <w:trPr>
          <w:cantSplit/>
        </w:trPr>
        <w:tc>
          <w:tcPr>
            <w:tcW w:w="1526" w:type="dxa"/>
          </w:tcPr>
          <w:p w14:paraId="291A7AD8" w14:textId="77777777" w:rsidR="00A052DC" w:rsidRDefault="009F0A60">
            <w:pPr>
              <w:rPr>
                <w:rFonts w:ascii="黑体" w:eastAsia="黑体" w:hAnsi="黑体"/>
                <w:sz w:val="20"/>
                <w:szCs w:val="20"/>
              </w:rPr>
            </w:pPr>
            <w:r>
              <w:rPr>
                <w:rFonts w:ascii="黑体" w:eastAsia="黑体" w:hAnsi="黑体" w:hint="eastAsia"/>
                <w:sz w:val="20"/>
                <w:szCs w:val="20"/>
              </w:rPr>
              <w:t>客户名称</w:t>
            </w:r>
          </w:p>
        </w:tc>
        <w:tc>
          <w:tcPr>
            <w:tcW w:w="6946" w:type="dxa"/>
          </w:tcPr>
          <w:p w14:paraId="77E76B6F" w14:textId="77777777" w:rsidR="00A052DC" w:rsidRDefault="009F0A60">
            <w:pPr>
              <w:rPr>
                <w:rFonts w:ascii="黑体" w:eastAsia="黑体" w:hAnsi="黑体"/>
                <w:sz w:val="20"/>
                <w:szCs w:val="20"/>
              </w:rPr>
            </w:pPr>
            <w:r>
              <w:rPr>
                <w:rFonts w:ascii="黑体" w:eastAsia="黑体" w:hAnsi="黑体" w:hint="eastAsia"/>
                <w:sz w:val="20"/>
                <w:szCs w:val="20"/>
              </w:rPr>
              <w:t>如果为公司客户，客户名称填报营业执照或国家外汇管理局及其分支局签发的特殊机构代码赋码通知书上的中文名称；如果是个人客户，汇总填报，客户名称填“个人”。</w:t>
            </w:r>
          </w:p>
        </w:tc>
      </w:tr>
      <w:tr w:rsidR="00A052DC" w14:paraId="381439F3" w14:textId="77777777">
        <w:trPr>
          <w:cantSplit/>
        </w:trPr>
        <w:tc>
          <w:tcPr>
            <w:tcW w:w="1526" w:type="dxa"/>
          </w:tcPr>
          <w:p w14:paraId="2E5B0D19" w14:textId="77777777" w:rsidR="00A052DC" w:rsidRDefault="009F0A60">
            <w:pPr>
              <w:rPr>
                <w:rFonts w:ascii="黑体" w:eastAsia="黑体" w:hAnsi="黑体"/>
                <w:sz w:val="20"/>
                <w:szCs w:val="20"/>
              </w:rPr>
            </w:pPr>
            <w:r>
              <w:rPr>
                <w:rFonts w:ascii="黑体" w:eastAsia="黑体" w:hAnsi="黑体" w:hint="eastAsia"/>
                <w:sz w:val="20"/>
                <w:szCs w:val="20"/>
              </w:rPr>
              <w:t>签约日期</w:t>
            </w:r>
          </w:p>
        </w:tc>
        <w:tc>
          <w:tcPr>
            <w:tcW w:w="6946" w:type="dxa"/>
          </w:tcPr>
          <w:p w14:paraId="76125357" w14:textId="77777777" w:rsidR="00A052DC" w:rsidRDefault="009F0A60">
            <w:pPr>
              <w:rPr>
                <w:rFonts w:ascii="黑体" w:eastAsia="黑体" w:hAnsi="黑体"/>
                <w:sz w:val="20"/>
                <w:szCs w:val="20"/>
              </w:rPr>
            </w:pPr>
            <w:r>
              <w:rPr>
                <w:rFonts w:ascii="黑体" w:eastAsia="黑体" w:hAnsi="黑体" w:hint="eastAsia"/>
                <w:sz w:val="20"/>
                <w:szCs w:val="20"/>
              </w:rPr>
              <w:t>银行与客户签订人民币结构性存款合同日期。</w:t>
            </w:r>
          </w:p>
        </w:tc>
      </w:tr>
      <w:tr w:rsidR="00A052DC" w14:paraId="23F58A46" w14:textId="77777777">
        <w:trPr>
          <w:cantSplit/>
        </w:trPr>
        <w:tc>
          <w:tcPr>
            <w:tcW w:w="1526" w:type="dxa"/>
          </w:tcPr>
          <w:p w14:paraId="7AFFF72A" w14:textId="77777777" w:rsidR="00A052DC" w:rsidRDefault="009F0A60">
            <w:pPr>
              <w:rPr>
                <w:rFonts w:ascii="黑体" w:eastAsia="黑体" w:hAnsi="黑体"/>
                <w:sz w:val="20"/>
                <w:szCs w:val="20"/>
              </w:rPr>
            </w:pPr>
            <w:r>
              <w:rPr>
                <w:rFonts w:ascii="黑体" w:eastAsia="黑体" w:hAnsi="黑体" w:hint="eastAsia"/>
                <w:sz w:val="20"/>
                <w:szCs w:val="20"/>
              </w:rPr>
              <w:t>合同号</w:t>
            </w:r>
          </w:p>
        </w:tc>
        <w:tc>
          <w:tcPr>
            <w:tcW w:w="6946" w:type="dxa"/>
          </w:tcPr>
          <w:p w14:paraId="48BA08EF" w14:textId="77777777" w:rsidR="00A052DC" w:rsidRDefault="009F0A60">
            <w:pPr>
              <w:rPr>
                <w:rFonts w:ascii="黑体" w:eastAsia="黑体" w:hAnsi="黑体"/>
                <w:sz w:val="20"/>
                <w:szCs w:val="20"/>
              </w:rPr>
            </w:pPr>
            <w:r>
              <w:rPr>
                <w:rFonts w:ascii="黑体" w:eastAsia="黑体" w:hAnsi="黑体" w:hint="eastAsia"/>
                <w:sz w:val="20"/>
                <w:szCs w:val="20"/>
              </w:rPr>
              <w:t>银行与客户签订人民币结构性存款合同号。</w:t>
            </w:r>
          </w:p>
        </w:tc>
      </w:tr>
      <w:tr w:rsidR="00A052DC" w14:paraId="4D48D236" w14:textId="77777777">
        <w:trPr>
          <w:cantSplit/>
        </w:trPr>
        <w:tc>
          <w:tcPr>
            <w:tcW w:w="1526" w:type="dxa"/>
          </w:tcPr>
          <w:p w14:paraId="1DC663EB" w14:textId="77777777" w:rsidR="00A052DC" w:rsidRDefault="009F0A60">
            <w:pPr>
              <w:rPr>
                <w:rFonts w:ascii="黑体" w:eastAsia="黑体" w:hAnsi="黑体"/>
                <w:sz w:val="20"/>
                <w:szCs w:val="20"/>
              </w:rPr>
            </w:pPr>
            <w:r>
              <w:rPr>
                <w:rFonts w:ascii="黑体" w:eastAsia="黑体" w:hAnsi="黑体" w:hint="eastAsia"/>
                <w:sz w:val="20"/>
                <w:szCs w:val="20"/>
              </w:rPr>
              <w:t>签约金额</w:t>
            </w:r>
          </w:p>
        </w:tc>
        <w:tc>
          <w:tcPr>
            <w:tcW w:w="6946" w:type="dxa"/>
          </w:tcPr>
          <w:p w14:paraId="5EF3E298" w14:textId="77777777" w:rsidR="00A052DC" w:rsidRDefault="009F0A60">
            <w:pPr>
              <w:rPr>
                <w:rFonts w:ascii="黑体" w:eastAsia="黑体" w:hAnsi="黑体"/>
                <w:sz w:val="20"/>
                <w:szCs w:val="20"/>
              </w:rPr>
            </w:pPr>
            <w:r>
              <w:rPr>
                <w:rFonts w:ascii="黑体" w:eastAsia="黑体" w:hAnsi="黑体" w:hint="eastAsia"/>
                <w:sz w:val="20"/>
                <w:szCs w:val="20"/>
              </w:rPr>
              <w:t>以人民币计价的银行与客户签订人民币结构性存款合同金额。</w:t>
            </w:r>
          </w:p>
        </w:tc>
      </w:tr>
      <w:tr w:rsidR="00A052DC" w14:paraId="073669B4" w14:textId="77777777">
        <w:trPr>
          <w:cantSplit/>
        </w:trPr>
        <w:tc>
          <w:tcPr>
            <w:tcW w:w="1526" w:type="dxa"/>
          </w:tcPr>
          <w:p w14:paraId="7DB53828" w14:textId="77777777" w:rsidR="00A052DC" w:rsidRDefault="009F0A60">
            <w:pPr>
              <w:rPr>
                <w:rFonts w:ascii="黑体" w:eastAsia="黑体" w:hAnsi="黑体"/>
                <w:sz w:val="20"/>
                <w:szCs w:val="20"/>
              </w:rPr>
            </w:pPr>
            <w:r>
              <w:rPr>
                <w:rFonts w:ascii="黑体" w:eastAsia="黑体" w:hAnsi="黑体" w:hint="eastAsia"/>
                <w:sz w:val="20"/>
                <w:szCs w:val="20"/>
              </w:rPr>
              <w:t>到期日</w:t>
            </w:r>
          </w:p>
        </w:tc>
        <w:tc>
          <w:tcPr>
            <w:tcW w:w="6946" w:type="dxa"/>
          </w:tcPr>
          <w:p w14:paraId="2C384EDE" w14:textId="77777777" w:rsidR="00A052DC" w:rsidRDefault="009F0A60">
            <w:pPr>
              <w:rPr>
                <w:rFonts w:ascii="黑体" w:eastAsia="黑体" w:hAnsi="黑体"/>
                <w:sz w:val="20"/>
                <w:szCs w:val="20"/>
              </w:rPr>
            </w:pPr>
            <w:r>
              <w:rPr>
                <w:rFonts w:ascii="黑体" w:eastAsia="黑体" w:hAnsi="黑体" w:hint="eastAsia"/>
                <w:sz w:val="20"/>
                <w:szCs w:val="20"/>
              </w:rPr>
              <w:t>人民币结构性存款合同到期日期。</w:t>
            </w:r>
          </w:p>
        </w:tc>
      </w:tr>
      <w:tr w:rsidR="00A052DC" w14:paraId="09590CD9" w14:textId="77777777">
        <w:trPr>
          <w:cantSplit/>
        </w:trPr>
        <w:tc>
          <w:tcPr>
            <w:tcW w:w="1526" w:type="dxa"/>
          </w:tcPr>
          <w:p w14:paraId="4D81C3B4" w14:textId="77777777" w:rsidR="00A052DC" w:rsidRDefault="009F0A60">
            <w:pPr>
              <w:rPr>
                <w:rFonts w:ascii="黑体" w:eastAsia="黑体" w:hAnsi="黑体"/>
                <w:sz w:val="20"/>
                <w:szCs w:val="20"/>
              </w:rPr>
            </w:pPr>
            <w:r>
              <w:rPr>
                <w:rFonts w:ascii="黑体" w:eastAsia="黑体" w:hAnsi="黑体" w:hint="eastAsia"/>
                <w:sz w:val="20"/>
                <w:szCs w:val="20"/>
              </w:rPr>
              <w:t>挂钩指标</w:t>
            </w:r>
          </w:p>
        </w:tc>
        <w:tc>
          <w:tcPr>
            <w:tcW w:w="6946" w:type="dxa"/>
          </w:tcPr>
          <w:p w14:paraId="063DBBC4" w14:textId="77777777" w:rsidR="00A052DC" w:rsidRDefault="009F0A60">
            <w:pPr>
              <w:rPr>
                <w:rFonts w:ascii="黑体" w:eastAsia="黑体" w:hAnsi="黑体"/>
                <w:sz w:val="20"/>
                <w:szCs w:val="20"/>
              </w:rPr>
            </w:pPr>
            <w:r>
              <w:rPr>
                <w:rFonts w:ascii="黑体" w:eastAsia="黑体" w:hAnsi="黑体" w:hint="eastAsia"/>
                <w:sz w:val="20"/>
                <w:szCs w:val="20"/>
              </w:rPr>
              <w:t>人民币结构性存款衍生品交易部分挂钩指标。</w:t>
            </w:r>
          </w:p>
        </w:tc>
      </w:tr>
      <w:tr w:rsidR="00A052DC" w14:paraId="040EE237" w14:textId="77777777">
        <w:trPr>
          <w:cantSplit/>
        </w:trPr>
        <w:tc>
          <w:tcPr>
            <w:tcW w:w="1526" w:type="dxa"/>
          </w:tcPr>
          <w:p w14:paraId="384E8E9D" w14:textId="77777777" w:rsidR="00A052DC" w:rsidRDefault="009F0A60">
            <w:pPr>
              <w:rPr>
                <w:rFonts w:ascii="黑体" w:eastAsia="黑体" w:hAnsi="黑体"/>
                <w:sz w:val="20"/>
                <w:szCs w:val="20"/>
              </w:rPr>
            </w:pPr>
            <w:r>
              <w:rPr>
                <w:rFonts w:ascii="黑体" w:eastAsia="黑体" w:hAnsi="黑体" w:hint="eastAsia"/>
                <w:sz w:val="20"/>
                <w:szCs w:val="20"/>
              </w:rPr>
              <w:t>挂钩指标计算方法</w:t>
            </w:r>
          </w:p>
        </w:tc>
        <w:tc>
          <w:tcPr>
            <w:tcW w:w="6946" w:type="dxa"/>
          </w:tcPr>
          <w:p w14:paraId="38C1F633" w14:textId="77777777" w:rsidR="00A052DC" w:rsidRDefault="009F0A60">
            <w:pPr>
              <w:rPr>
                <w:rFonts w:ascii="黑体" w:eastAsia="黑体" w:hAnsi="黑体"/>
                <w:sz w:val="20"/>
                <w:szCs w:val="20"/>
              </w:rPr>
            </w:pPr>
            <w:r>
              <w:rPr>
                <w:rFonts w:ascii="黑体" w:eastAsia="黑体" w:hAnsi="黑体" w:hint="eastAsia"/>
                <w:sz w:val="20"/>
                <w:szCs w:val="20"/>
              </w:rPr>
              <w:t>人民币结构性存款衍生品交易部分挂钩指标计算方法。</w:t>
            </w:r>
          </w:p>
        </w:tc>
      </w:tr>
      <w:tr w:rsidR="00A052DC" w14:paraId="115B6941" w14:textId="77777777">
        <w:trPr>
          <w:cantSplit/>
        </w:trPr>
        <w:tc>
          <w:tcPr>
            <w:tcW w:w="1526" w:type="dxa"/>
          </w:tcPr>
          <w:p w14:paraId="4A0909BC" w14:textId="77777777" w:rsidR="00A052DC" w:rsidRDefault="009F0A60">
            <w:pPr>
              <w:rPr>
                <w:rFonts w:ascii="黑体" w:eastAsia="黑体" w:hAnsi="黑体"/>
                <w:sz w:val="20"/>
                <w:szCs w:val="20"/>
              </w:rPr>
            </w:pPr>
            <w:r>
              <w:rPr>
                <w:rFonts w:ascii="黑体" w:eastAsia="黑体" w:hAnsi="黑体" w:hint="eastAsia"/>
                <w:sz w:val="20"/>
                <w:szCs w:val="20"/>
              </w:rPr>
              <w:t>约定的利率上限</w:t>
            </w:r>
          </w:p>
        </w:tc>
        <w:tc>
          <w:tcPr>
            <w:tcW w:w="6946" w:type="dxa"/>
          </w:tcPr>
          <w:p w14:paraId="57C73C26" w14:textId="77777777" w:rsidR="00A052DC" w:rsidRDefault="009F0A60">
            <w:pPr>
              <w:rPr>
                <w:rFonts w:ascii="黑体" w:eastAsia="黑体" w:hAnsi="黑体"/>
                <w:sz w:val="20"/>
                <w:szCs w:val="20"/>
              </w:rPr>
            </w:pPr>
            <w:r>
              <w:rPr>
                <w:rFonts w:ascii="黑体" w:eastAsia="黑体" w:hAnsi="黑体" w:hint="eastAsia"/>
                <w:sz w:val="20"/>
                <w:szCs w:val="20"/>
              </w:rPr>
              <w:t>人民币结构性存款约定利率上限。</w:t>
            </w:r>
          </w:p>
        </w:tc>
      </w:tr>
      <w:tr w:rsidR="00A052DC" w14:paraId="097B797A" w14:textId="77777777">
        <w:trPr>
          <w:cantSplit/>
        </w:trPr>
        <w:tc>
          <w:tcPr>
            <w:tcW w:w="1526" w:type="dxa"/>
          </w:tcPr>
          <w:p w14:paraId="7AE1A838" w14:textId="77777777" w:rsidR="00A052DC" w:rsidRDefault="009F0A60">
            <w:pPr>
              <w:rPr>
                <w:rFonts w:ascii="黑体" w:eastAsia="黑体" w:hAnsi="黑体"/>
                <w:sz w:val="20"/>
                <w:szCs w:val="20"/>
              </w:rPr>
            </w:pPr>
            <w:r>
              <w:rPr>
                <w:rFonts w:ascii="黑体" w:eastAsia="黑体" w:hAnsi="黑体" w:hint="eastAsia"/>
                <w:sz w:val="20"/>
                <w:szCs w:val="20"/>
              </w:rPr>
              <w:t>约定的利率下限</w:t>
            </w:r>
          </w:p>
        </w:tc>
        <w:tc>
          <w:tcPr>
            <w:tcW w:w="6946" w:type="dxa"/>
          </w:tcPr>
          <w:p w14:paraId="3DFF62BB" w14:textId="77777777" w:rsidR="00A052DC" w:rsidRDefault="009F0A60">
            <w:pPr>
              <w:rPr>
                <w:rFonts w:ascii="黑体" w:eastAsia="黑体" w:hAnsi="黑体"/>
                <w:sz w:val="20"/>
                <w:szCs w:val="20"/>
              </w:rPr>
            </w:pPr>
            <w:r>
              <w:rPr>
                <w:rFonts w:ascii="黑体" w:eastAsia="黑体" w:hAnsi="黑体" w:hint="eastAsia"/>
                <w:sz w:val="20"/>
                <w:szCs w:val="20"/>
              </w:rPr>
              <w:t>人民币结构性存款约定利率下限。</w:t>
            </w:r>
          </w:p>
        </w:tc>
      </w:tr>
      <w:tr w:rsidR="00A052DC" w14:paraId="15BA0BA9" w14:textId="77777777">
        <w:trPr>
          <w:cantSplit/>
        </w:trPr>
        <w:tc>
          <w:tcPr>
            <w:tcW w:w="1526" w:type="dxa"/>
          </w:tcPr>
          <w:p w14:paraId="60EFF31E" w14:textId="77777777" w:rsidR="00A052DC" w:rsidRDefault="009F0A60">
            <w:pPr>
              <w:rPr>
                <w:rFonts w:ascii="黑体" w:eastAsia="黑体" w:hAnsi="黑体"/>
                <w:sz w:val="20"/>
                <w:szCs w:val="20"/>
              </w:rPr>
            </w:pPr>
            <w:r>
              <w:rPr>
                <w:rFonts w:ascii="黑体" w:eastAsia="黑体" w:hAnsi="黑体" w:hint="eastAsia"/>
                <w:sz w:val="20"/>
                <w:szCs w:val="20"/>
              </w:rPr>
              <w:t>利息给付方式</w:t>
            </w:r>
          </w:p>
        </w:tc>
        <w:tc>
          <w:tcPr>
            <w:tcW w:w="6946" w:type="dxa"/>
          </w:tcPr>
          <w:p w14:paraId="704EAFC5" w14:textId="77777777" w:rsidR="00A052DC" w:rsidRDefault="009F0A60">
            <w:pPr>
              <w:rPr>
                <w:rFonts w:ascii="黑体" w:eastAsia="黑体" w:hAnsi="黑体"/>
                <w:sz w:val="20"/>
                <w:szCs w:val="20"/>
              </w:rPr>
            </w:pPr>
            <w:r>
              <w:rPr>
                <w:rFonts w:ascii="黑体" w:eastAsia="黑体" w:hAnsi="黑体" w:hint="eastAsia"/>
                <w:sz w:val="20"/>
                <w:szCs w:val="20"/>
              </w:rPr>
              <w:t>人民币结构性存款约定利率的利息给付方式。</w:t>
            </w:r>
          </w:p>
        </w:tc>
      </w:tr>
      <w:tr w:rsidR="00A052DC" w14:paraId="0B5DCBF8" w14:textId="77777777">
        <w:trPr>
          <w:cantSplit/>
        </w:trPr>
        <w:tc>
          <w:tcPr>
            <w:tcW w:w="1526" w:type="dxa"/>
            <w:tcBorders>
              <w:top w:val="single" w:sz="6" w:space="0" w:color="auto"/>
              <w:left w:val="single" w:sz="6" w:space="0" w:color="auto"/>
              <w:bottom w:val="single" w:sz="6" w:space="0" w:color="auto"/>
              <w:right w:val="single" w:sz="6" w:space="0" w:color="auto"/>
            </w:tcBorders>
          </w:tcPr>
          <w:p w14:paraId="1D5E05DF" w14:textId="77777777" w:rsidR="00A052DC" w:rsidRDefault="009F0A60">
            <w:pPr>
              <w:rPr>
                <w:rFonts w:ascii="黑体" w:eastAsia="黑体" w:hAnsi="黑体"/>
                <w:sz w:val="20"/>
                <w:szCs w:val="20"/>
              </w:rPr>
            </w:pPr>
            <w:r>
              <w:rPr>
                <w:rFonts w:ascii="黑体" w:eastAsia="黑体" w:hAnsi="黑体" w:hint="eastAsia"/>
                <w:sz w:val="20"/>
                <w:szCs w:val="20"/>
              </w:rPr>
              <w:t>备注</w:t>
            </w:r>
          </w:p>
        </w:tc>
        <w:tc>
          <w:tcPr>
            <w:tcW w:w="6946" w:type="dxa"/>
            <w:tcBorders>
              <w:top w:val="single" w:sz="6" w:space="0" w:color="auto"/>
              <w:left w:val="single" w:sz="6" w:space="0" w:color="auto"/>
              <w:bottom w:val="single" w:sz="6" w:space="0" w:color="auto"/>
              <w:right w:val="single" w:sz="6" w:space="0" w:color="auto"/>
            </w:tcBorders>
          </w:tcPr>
          <w:p w14:paraId="3B140DAF" w14:textId="77777777" w:rsidR="00A052DC" w:rsidRDefault="009F0A60">
            <w:pPr>
              <w:rPr>
                <w:rFonts w:ascii="黑体" w:eastAsia="黑体" w:hAnsi="黑体"/>
                <w:sz w:val="20"/>
                <w:szCs w:val="20"/>
              </w:rPr>
            </w:pPr>
            <w:r>
              <w:rPr>
                <w:rFonts w:ascii="黑体" w:eastAsia="黑体" w:hAnsi="黑体" w:hint="eastAsia"/>
                <w:sz w:val="20"/>
                <w:szCs w:val="20"/>
              </w:rPr>
              <w:t>需要说明的备注事项。</w:t>
            </w:r>
          </w:p>
        </w:tc>
      </w:tr>
    </w:tbl>
    <w:p w14:paraId="286690F5" w14:textId="77777777" w:rsidR="00A052DC" w:rsidRDefault="00A052DC"/>
    <w:p w14:paraId="01D3D2C3" w14:textId="77777777" w:rsidR="00A052DC" w:rsidRDefault="009F0A60" w:rsidP="0020251D">
      <w:pPr>
        <w:pStyle w:val="5"/>
        <w:numPr>
          <w:ilvl w:val="4"/>
          <w:numId w:val="1"/>
        </w:numPr>
        <w:spacing w:before="120" w:after="120" w:line="360" w:lineRule="auto"/>
        <w:jc w:val="left"/>
      </w:pPr>
      <w:bookmarkStart w:id="1732" w:name="_Toc328635548"/>
      <w:bookmarkStart w:id="1733" w:name="_Toc454386990"/>
      <w:r>
        <w:rPr>
          <w:rFonts w:hint="eastAsia"/>
        </w:rPr>
        <w:t>数据格式</w:t>
      </w:r>
      <w:bookmarkEnd w:id="1732"/>
      <w:bookmarkEnd w:id="1733"/>
    </w:p>
    <w:p w14:paraId="36492874" w14:textId="77777777" w:rsidR="00A052DC" w:rsidRDefault="009F0A60">
      <w:r>
        <w:t>&lt;REC&gt;</w:t>
      </w:r>
    </w:p>
    <w:p w14:paraId="2FA1CB07" w14:textId="77777777" w:rsidR="00A052DC" w:rsidRDefault="009F0A60">
      <w:r>
        <w:t>&lt;ACTIONTYPE&gt;</w:t>
      </w:r>
      <w:r>
        <w:rPr>
          <w:rFonts w:hint="eastAsia"/>
        </w:rPr>
        <w:t>操作类型</w:t>
      </w:r>
      <w:r>
        <w:t>&lt;/ACTIONTYPE&gt;</w:t>
      </w:r>
    </w:p>
    <w:p w14:paraId="6CF690B3" w14:textId="77777777" w:rsidR="00A052DC" w:rsidRDefault="009F0A60">
      <w:r>
        <w:t>&lt;ACTIONDESC&gt;</w:t>
      </w:r>
      <w:r>
        <w:rPr>
          <w:rFonts w:hint="eastAsia"/>
        </w:rPr>
        <w:t>删除原因</w:t>
      </w:r>
      <w:r>
        <w:t>&lt;/ACTIONDESC&gt;</w:t>
      </w:r>
    </w:p>
    <w:p w14:paraId="4A1A15F8" w14:textId="77777777" w:rsidR="00A052DC" w:rsidRDefault="009F0A60">
      <w:r>
        <w:t>&lt;STRDECODE&gt;</w:t>
      </w:r>
      <w:r>
        <w:rPr>
          <w:rFonts w:hint="eastAsia"/>
        </w:rPr>
        <w:t>人民币结构性存款编号</w:t>
      </w:r>
      <w:r>
        <w:t>&lt;/STRDECODE&gt;</w:t>
      </w:r>
    </w:p>
    <w:p w14:paraId="65C99725" w14:textId="77777777" w:rsidR="00A052DC" w:rsidRDefault="009F0A60">
      <w:r>
        <w:t>&lt;BRANCHCODE&gt;</w:t>
      </w:r>
      <w:r>
        <w:rPr>
          <w:rFonts w:hint="eastAsia"/>
        </w:rPr>
        <w:t>金融机构标识码</w:t>
      </w:r>
      <w:r>
        <w:t>&lt;/BRANCHCODE&gt;</w:t>
      </w:r>
    </w:p>
    <w:p w14:paraId="01B84E4C" w14:textId="77777777" w:rsidR="00A052DC" w:rsidRDefault="009F0A60">
      <w:r>
        <w:t>&lt;CLIENTCODE&gt;</w:t>
      </w:r>
      <w:r>
        <w:rPr>
          <w:rFonts w:hint="eastAsia"/>
        </w:rPr>
        <w:t>客户代码</w:t>
      </w:r>
      <w:r>
        <w:t>&lt;/CLIENTCODE&gt;</w:t>
      </w:r>
    </w:p>
    <w:p w14:paraId="16A063A6" w14:textId="77777777" w:rsidR="00A052DC" w:rsidRDefault="009F0A60">
      <w:r>
        <w:t>&lt;CLIENTNAME&gt;</w:t>
      </w:r>
      <w:r>
        <w:rPr>
          <w:rFonts w:hint="eastAsia"/>
        </w:rPr>
        <w:t>客户名称</w:t>
      </w:r>
      <w:r>
        <w:t>&lt;/CLIENTNAME&gt;</w:t>
      </w:r>
    </w:p>
    <w:p w14:paraId="221B86F7" w14:textId="77777777" w:rsidR="00A052DC" w:rsidRDefault="009F0A60">
      <w:r>
        <w:t>&lt;CONTRACTDATE&gt;</w:t>
      </w:r>
      <w:r>
        <w:rPr>
          <w:rFonts w:hint="eastAsia"/>
        </w:rPr>
        <w:t>签约日期</w:t>
      </w:r>
      <w:r>
        <w:t>&lt;/CONTRACTDATE&gt;</w:t>
      </w:r>
    </w:p>
    <w:p w14:paraId="151569EE" w14:textId="77777777" w:rsidR="00A052DC" w:rsidRDefault="009F0A60">
      <w:r>
        <w:t>&lt;CONTRACT&gt;</w:t>
      </w:r>
      <w:r>
        <w:rPr>
          <w:rFonts w:hint="eastAsia"/>
        </w:rPr>
        <w:t>合同号</w:t>
      </w:r>
      <w:r>
        <w:t>&lt;/CONTRACT&gt;</w:t>
      </w:r>
    </w:p>
    <w:p w14:paraId="718D8BC7" w14:textId="77777777" w:rsidR="00A052DC" w:rsidRDefault="009F0A60">
      <w:r>
        <w:t>&lt;CONTRACTAMOUNT&gt;</w:t>
      </w:r>
      <w:r>
        <w:rPr>
          <w:rFonts w:hint="eastAsia"/>
        </w:rPr>
        <w:t>签约金额</w:t>
      </w:r>
      <w:r>
        <w:t>&lt;/CONTRACTAMOUNT&gt;</w:t>
      </w:r>
    </w:p>
    <w:p w14:paraId="5E383399" w14:textId="77777777" w:rsidR="00A052DC" w:rsidRDefault="009F0A60">
      <w:r>
        <w:t>&lt;MATURITY&gt;</w:t>
      </w:r>
      <w:r>
        <w:rPr>
          <w:rFonts w:hint="eastAsia"/>
        </w:rPr>
        <w:t>到期日</w:t>
      </w:r>
      <w:r>
        <w:t>&lt;/MATURITY&gt;</w:t>
      </w:r>
    </w:p>
    <w:p w14:paraId="2D205A69" w14:textId="77777777" w:rsidR="00A052DC" w:rsidRDefault="009F0A60">
      <w:r>
        <w:t>&lt;LINCAME&gt;</w:t>
      </w:r>
      <w:r>
        <w:rPr>
          <w:rFonts w:hint="eastAsia"/>
        </w:rPr>
        <w:t>挂钩指标</w:t>
      </w:r>
      <w:r>
        <w:t>&lt;/LINCAME&gt;</w:t>
      </w:r>
    </w:p>
    <w:p w14:paraId="4D394237" w14:textId="77777777" w:rsidR="00A052DC" w:rsidRDefault="009F0A60">
      <w:r>
        <w:t>&lt;LINCAMETHOD&gt;</w:t>
      </w:r>
      <w:r>
        <w:rPr>
          <w:rFonts w:hint="eastAsia"/>
        </w:rPr>
        <w:t>挂钩指标计算方法</w:t>
      </w:r>
      <w:r>
        <w:t>&lt;/LINCAMETHOD&gt;</w:t>
      </w:r>
    </w:p>
    <w:p w14:paraId="28AE0A2E" w14:textId="77777777" w:rsidR="00A052DC" w:rsidRDefault="009F0A60">
      <w:r>
        <w:t>&lt;AGINRAUP&gt;</w:t>
      </w:r>
      <w:r>
        <w:rPr>
          <w:rFonts w:hint="eastAsia"/>
        </w:rPr>
        <w:t>约定的利率下限</w:t>
      </w:r>
      <w:r>
        <w:t>&lt;/AGINRAUP&gt;</w:t>
      </w:r>
    </w:p>
    <w:p w14:paraId="37C94427" w14:textId="77777777" w:rsidR="00A052DC" w:rsidRDefault="009F0A60">
      <w:r>
        <w:t>&lt;AGINRALO&gt;</w:t>
      </w:r>
      <w:r>
        <w:rPr>
          <w:rFonts w:hint="eastAsia"/>
        </w:rPr>
        <w:t>约定的利率上限</w:t>
      </w:r>
      <w:r>
        <w:t>&lt;/AGINRALO&gt;</w:t>
      </w:r>
    </w:p>
    <w:p w14:paraId="3F4863E9" w14:textId="77777777" w:rsidR="00A052DC" w:rsidRDefault="009F0A60">
      <w:r>
        <w:t>&lt;AGINRALOINPAY&gt;</w:t>
      </w:r>
      <w:r>
        <w:rPr>
          <w:rFonts w:hint="eastAsia"/>
        </w:rPr>
        <w:t>利息给付方式</w:t>
      </w:r>
      <w:r>
        <w:t>&lt;/AGINRALOINPAY&gt;&lt;REMARK&gt;</w:t>
      </w:r>
      <w:r>
        <w:rPr>
          <w:rFonts w:hint="eastAsia"/>
        </w:rPr>
        <w:t>备注</w:t>
      </w:r>
      <w:r>
        <w:t>&lt;/REMARK&gt;</w:t>
      </w:r>
    </w:p>
    <w:p w14:paraId="572DB005" w14:textId="77777777" w:rsidR="00A052DC" w:rsidRDefault="009F0A60">
      <w:r>
        <w:t>&lt;/REC&gt;</w:t>
      </w:r>
    </w:p>
    <w:p w14:paraId="0EC68982" w14:textId="77777777" w:rsidR="00A052DC" w:rsidRDefault="009F0A60" w:rsidP="0020251D">
      <w:pPr>
        <w:pStyle w:val="5"/>
        <w:numPr>
          <w:ilvl w:val="4"/>
          <w:numId w:val="1"/>
        </w:numPr>
        <w:spacing w:before="120" w:after="120" w:line="360" w:lineRule="auto"/>
        <w:jc w:val="left"/>
      </w:pPr>
      <w:bookmarkStart w:id="1734" w:name="_Toc328635549"/>
      <w:bookmarkStart w:id="1735" w:name="_Toc454386991"/>
      <w:r>
        <w:rPr>
          <w:rFonts w:hint="eastAsia"/>
        </w:rPr>
        <w:t>数据字典</w:t>
      </w:r>
      <w:bookmarkEnd w:id="1734"/>
      <w:bookmarkEnd w:id="1735"/>
    </w:p>
    <w:tbl>
      <w:tblPr>
        <w:tblW w:w="86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842"/>
        <w:gridCol w:w="1418"/>
        <w:gridCol w:w="3685"/>
      </w:tblGrid>
      <w:tr w:rsidR="00A052DC" w14:paraId="6DEAA99C" w14:textId="77777777">
        <w:trPr>
          <w:tblHeader/>
        </w:trPr>
        <w:tc>
          <w:tcPr>
            <w:tcW w:w="1702" w:type="dxa"/>
            <w:shd w:val="clear" w:color="auto" w:fill="C0C0C0"/>
          </w:tcPr>
          <w:p w14:paraId="719603F6" w14:textId="77777777" w:rsidR="00A052DC" w:rsidRDefault="009F0A60">
            <w:pPr>
              <w:jc w:val="center"/>
              <w:rPr>
                <w:rFonts w:ascii="黑体" w:eastAsia="黑体" w:hAnsi="黑体"/>
                <w:b/>
                <w:sz w:val="20"/>
                <w:szCs w:val="20"/>
              </w:rPr>
            </w:pPr>
            <w:r>
              <w:rPr>
                <w:rFonts w:ascii="黑体" w:eastAsia="黑体" w:hAnsi="黑体" w:hint="eastAsia"/>
                <w:b/>
                <w:sz w:val="20"/>
                <w:szCs w:val="20"/>
              </w:rPr>
              <w:t>字段</w:t>
            </w:r>
          </w:p>
        </w:tc>
        <w:tc>
          <w:tcPr>
            <w:tcW w:w="1842" w:type="dxa"/>
            <w:shd w:val="clear" w:color="auto" w:fill="C0C0C0"/>
          </w:tcPr>
          <w:p w14:paraId="2322D600" w14:textId="77777777" w:rsidR="00A052DC" w:rsidRDefault="009F0A60">
            <w:pPr>
              <w:jc w:val="center"/>
              <w:rPr>
                <w:rFonts w:ascii="黑体" w:eastAsia="黑体" w:hAnsi="黑体"/>
                <w:b/>
                <w:sz w:val="20"/>
                <w:szCs w:val="20"/>
              </w:rPr>
            </w:pPr>
            <w:r>
              <w:rPr>
                <w:rFonts w:ascii="黑体" w:eastAsia="黑体" w:hAnsi="黑体" w:hint="eastAsia"/>
                <w:b/>
                <w:sz w:val="20"/>
                <w:szCs w:val="20"/>
              </w:rPr>
              <w:t>内容</w:t>
            </w:r>
          </w:p>
        </w:tc>
        <w:tc>
          <w:tcPr>
            <w:tcW w:w="1418" w:type="dxa"/>
            <w:shd w:val="clear" w:color="auto" w:fill="C0C0C0"/>
          </w:tcPr>
          <w:p w14:paraId="0A788B8E" w14:textId="77777777" w:rsidR="00A052DC" w:rsidRDefault="009F0A60">
            <w:pPr>
              <w:jc w:val="center"/>
              <w:rPr>
                <w:rFonts w:ascii="黑体" w:eastAsia="黑体" w:hAnsi="黑体"/>
                <w:b/>
                <w:sz w:val="20"/>
                <w:szCs w:val="20"/>
              </w:rPr>
            </w:pPr>
            <w:r>
              <w:rPr>
                <w:rFonts w:ascii="黑体" w:eastAsia="黑体" w:hAnsi="黑体" w:hint="eastAsia"/>
                <w:b/>
                <w:sz w:val="20"/>
                <w:szCs w:val="20"/>
              </w:rPr>
              <w:t>类型（长度）</w:t>
            </w:r>
          </w:p>
        </w:tc>
        <w:tc>
          <w:tcPr>
            <w:tcW w:w="3685" w:type="dxa"/>
            <w:shd w:val="clear" w:color="auto" w:fill="C0C0C0"/>
          </w:tcPr>
          <w:p w14:paraId="4D8E79FC" w14:textId="77777777" w:rsidR="00A052DC" w:rsidRDefault="009F0A60">
            <w:pPr>
              <w:jc w:val="center"/>
              <w:rPr>
                <w:rFonts w:ascii="黑体" w:eastAsia="黑体" w:hAnsi="黑体"/>
                <w:b/>
                <w:sz w:val="20"/>
                <w:szCs w:val="20"/>
              </w:rPr>
            </w:pPr>
            <w:r>
              <w:rPr>
                <w:rFonts w:ascii="黑体" w:eastAsia="黑体" w:hAnsi="黑体" w:hint="eastAsia"/>
                <w:b/>
                <w:sz w:val="20"/>
                <w:szCs w:val="20"/>
              </w:rPr>
              <w:t>校验</w:t>
            </w:r>
          </w:p>
        </w:tc>
      </w:tr>
      <w:tr w:rsidR="00A052DC" w14:paraId="25AFC579" w14:textId="77777777">
        <w:tc>
          <w:tcPr>
            <w:tcW w:w="1702" w:type="dxa"/>
          </w:tcPr>
          <w:p w14:paraId="5E79C98B" w14:textId="77777777" w:rsidR="00A052DC" w:rsidRDefault="009F0A60">
            <w:pPr>
              <w:rPr>
                <w:rFonts w:ascii="黑体" w:eastAsia="黑体" w:hAnsi="黑体"/>
                <w:sz w:val="20"/>
                <w:szCs w:val="20"/>
              </w:rPr>
            </w:pPr>
            <w:r>
              <w:rPr>
                <w:rFonts w:ascii="黑体" w:eastAsia="黑体" w:hAnsi="黑体"/>
                <w:sz w:val="20"/>
                <w:szCs w:val="20"/>
              </w:rPr>
              <w:t>ACTIONTYPE</w:t>
            </w:r>
          </w:p>
        </w:tc>
        <w:tc>
          <w:tcPr>
            <w:tcW w:w="1842" w:type="dxa"/>
          </w:tcPr>
          <w:p w14:paraId="0135CDB7" w14:textId="77777777" w:rsidR="00A052DC" w:rsidRDefault="009F0A60">
            <w:pPr>
              <w:rPr>
                <w:rFonts w:ascii="黑体" w:eastAsia="黑体" w:hAnsi="黑体"/>
                <w:sz w:val="20"/>
                <w:szCs w:val="20"/>
              </w:rPr>
            </w:pPr>
            <w:r>
              <w:rPr>
                <w:rFonts w:ascii="黑体" w:eastAsia="黑体" w:hAnsi="黑体" w:hint="eastAsia"/>
                <w:sz w:val="20"/>
                <w:szCs w:val="20"/>
              </w:rPr>
              <w:t>操作类型</w:t>
            </w:r>
          </w:p>
        </w:tc>
        <w:tc>
          <w:tcPr>
            <w:tcW w:w="1418" w:type="dxa"/>
          </w:tcPr>
          <w:p w14:paraId="08218E65" w14:textId="77777777" w:rsidR="00A052DC" w:rsidRDefault="009F0A60">
            <w:pPr>
              <w:rPr>
                <w:rFonts w:ascii="黑体" w:eastAsia="黑体" w:hAnsi="黑体"/>
                <w:sz w:val="20"/>
                <w:szCs w:val="20"/>
              </w:rPr>
            </w:pPr>
            <w:r>
              <w:rPr>
                <w:rFonts w:ascii="黑体" w:eastAsia="黑体" w:hAnsi="黑体" w:hint="eastAsia"/>
                <w:sz w:val="20"/>
                <w:szCs w:val="20"/>
              </w:rPr>
              <w:t>字符型，1</w:t>
            </w:r>
          </w:p>
        </w:tc>
        <w:tc>
          <w:tcPr>
            <w:tcW w:w="3685" w:type="dxa"/>
          </w:tcPr>
          <w:p w14:paraId="0A6072EA" w14:textId="77777777" w:rsidR="00A052DC" w:rsidRDefault="009F0A60">
            <w:pPr>
              <w:rPr>
                <w:rFonts w:ascii="黑体" w:eastAsia="黑体" w:hAnsi="黑体"/>
                <w:sz w:val="20"/>
                <w:szCs w:val="20"/>
              </w:rPr>
            </w:pPr>
            <w:r>
              <w:rPr>
                <w:rFonts w:ascii="黑体" w:eastAsia="黑体" w:hAnsi="黑体" w:hint="eastAsia"/>
                <w:sz w:val="20"/>
                <w:szCs w:val="20"/>
              </w:rPr>
              <w:t>必填项，</w:t>
            </w:r>
          </w:p>
          <w:p w14:paraId="31253F28" w14:textId="77777777" w:rsidR="00A052DC" w:rsidRDefault="009F0A60">
            <w:pPr>
              <w:rPr>
                <w:rFonts w:ascii="黑体" w:eastAsia="黑体" w:hAnsi="黑体"/>
                <w:sz w:val="20"/>
                <w:szCs w:val="20"/>
              </w:rPr>
            </w:pPr>
            <w:r>
              <w:rPr>
                <w:rFonts w:ascii="黑体" w:eastAsia="黑体" w:hAnsi="黑体" w:hint="eastAsia"/>
                <w:sz w:val="20"/>
                <w:szCs w:val="20"/>
              </w:rPr>
              <w:t>A</w:t>
            </w:r>
            <w:r w:rsidR="00AE4602">
              <w:rPr>
                <w:rFonts w:ascii="黑体" w:eastAsia="黑体" w:hAnsi="黑体" w:hint="eastAsia"/>
                <w:sz w:val="20"/>
                <w:szCs w:val="20"/>
              </w:rPr>
              <w:t>-</w:t>
            </w:r>
            <w:r>
              <w:rPr>
                <w:rFonts w:ascii="黑体" w:eastAsia="黑体" w:hAnsi="黑体" w:hint="eastAsia"/>
                <w:sz w:val="20"/>
                <w:szCs w:val="20"/>
              </w:rPr>
              <w:t>新建</w:t>
            </w:r>
          </w:p>
          <w:p w14:paraId="7CF4AFF1" w14:textId="77777777" w:rsidR="00A052DC" w:rsidRDefault="009F0A60">
            <w:pPr>
              <w:rPr>
                <w:rFonts w:ascii="黑体" w:eastAsia="黑体" w:hAnsi="黑体"/>
                <w:sz w:val="20"/>
                <w:szCs w:val="20"/>
              </w:rPr>
            </w:pPr>
            <w:r>
              <w:rPr>
                <w:rFonts w:ascii="黑体" w:eastAsia="黑体" w:hAnsi="黑体" w:hint="eastAsia"/>
                <w:sz w:val="20"/>
                <w:szCs w:val="20"/>
              </w:rPr>
              <w:t>C</w:t>
            </w:r>
            <w:r w:rsidR="00AE4602">
              <w:rPr>
                <w:rFonts w:ascii="黑体" w:eastAsia="黑体" w:hAnsi="黑体" w:hint="eastAsia"/>
                <w:sz w:val="20"/>
                <w:szCs w:val="20"/>
              </w:rPr>
              <w:t>-</w:t>
            </w:r>
            <w:r>
              <w:rPr>
                <w:rFonts w:ascii="黑体" w:eastAsia="黑体" w:hAnsi="黑体" w:hint="eastAsia"/>
                <w:sz w:val="20"/>
                <w:szCs w:val="20"/>
              </w:rPr>
              <w:t>修改</w:t>
            </w:r>
          </w:p>
          <w:p w14:paraId="520EA0E8" w14:textId="77777777" w:rsidR="005D3821" w:rsidRDefault="009F0A60">
            <w:pPr>
              <w:rPr>
                <w:rFonts w:ascii="黑体" w:eastAsia="黑体" w:hAnsi="黑体"/>
                <w:sz w:val="20"/>
                <w:szCs w:val="20"/>
              </w:rPr>
            </w:pPr>
            <w:r>
              <w:rPr>
                <w:rFonts w:ascii="黑体" w:eastAsia="黑体" w:hAnsi="黑体" w:hint="eastAsia"/>
                <w:sz w:val="20"/>
                <w:szCs w:val="20"/>
              </w:rPr>
              <w:t>D</w:t>
            </w:r>
            <w:r w:rsidR="00AE4602">
              <w:rPr>
                <w:rFonts w:ascii="黑体" w:eastAsia="黑体" w:hAnsi="黑体" w:hint="eastAsia"/>
                <w:sz w:val="20"/>
                <w:szCs w:val="20"/>
              </w:rPr>
              <w:t>-</w:t>
            </w:r>
            <w:r>
              <w:rPr>
                <w:rFonts w:ascii="黑体" w:eastAsia="黑体" w:hAnsi="黑体" w:hint="eastAsia"/>
                <w:sz w:val="20"/>
                <w:szCs w:val="20"/>
              </w:rPr>
              <w:t>删除</w:t>
            </w:r>
          </w:p>
          <w:p w14:paraId="163FB92E" w14:textId="77777777" w:rsidR="00A052DC" w:rsidRDefault="009F0A60">
            <w:pPr>
              <w:rPr>
                <w:rFonts w:ascii="黑体" w:eastAsia="黑体" w:hAnsi="黑体"/>
                <w:sz w:val="20"/>
                <w:szCs w:val="20"/>
              </w:rPr>
            </w:pPr>
            <w:r>
              <w:rPr>
                <w:rFonts w:ascii="黑体" w:eastAsia="黑体" w:hAnsi="黑体" w:hint="eastAsia"/>
                <w:sz w:val="20"/>
                <w:szCs w:val="20"/>
              </w:rPr>
              <w:t>一旦银行报送了该人民币结构性存款编号下的终止信息或利息给付信息或资金流出入和结购汇信息，就不可以删除了。</w:t>
            </w:r>
          </w:p>
        </w:tc>
      </w:tr>
      <w:tr w:rsidR="00A052DC" w14:paraId="61473F14" w14:textId="77777777">
        <w:tc>
          <w:tcPr>
            <w:tcW w:w="1702" w:type="dxa"/>
          </w:tcPr>
          <w:p w14:paraId="6337696E" w14:textId="77777777" w:rsidR="00A052DC" w:rsidRDefault="009F0A60">
            <w:pPr>
              <w:rPr>
                <w:rFonts w:ascii="黑体" w:eastAsia="黑体" w:hAnsi="黑体"/>
                <w:sz w:val="20"/>
                <w:szCs w:val="20"/>
              </w:rPr>
            </w:pPr>
            <w:r>
              <w:rPr>
                <w:rFonts w:ascii="黑体" w:eastAsia="黑体" w:hAnsi="黑体"/>
                <w:sz w:val="20"/>
                <w:szCs w:val="20"/>
              </w:rPr>
              <w:t>ACTIONDESC</w:t>
            </w:r>
          </w:p>
        </w:tc>
        <w:tc>
          <w:tcPr>
            <w:tcW w:w="1842" w:type="dxa"/>
          </w:tcPr>
          <w:p w14:paraId="5FD47CD2" w14:textId="77777777" w:rsidR="00A052DC" w:rsidRDefault="009F0A60">
            <w:pPr>
              <w:rPr>
                <w:rFonts w:ascii="黑体" w:eastAsia="黑体" w:hAnsi="黑体"/>
                <w:sz w:val="20"/>
                <w:szCs w:val="20"/>
              </w:rPr>
            </w:pPr>
            <w:r>
              <w:rPr>
                <w:rFonts w:ascii="黑体" w:eastAsia="黑体" w:hAnsi="黑体" w:hint="eastAsia"/>
                <w:sz w:val="20"/>
                <w:szCs w:val="20"/>
              </w:rPr>
              <w:t>删除原因</w:t>
            </w:r>
          </w:p>
        </w:tc>
        <w:tc>
          <w:tcPr>
            <w:tcW w:w="1418" w:type="dxa"/>
          </w:tcPr>
          <w:p w14:paraId="75C578A6"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3685" w:type="dxa"/>
          </w:tcPr>
          <w:p w14:paraId="33B27BE1" w14:textId="77777777" w:rsidR="00A052DC" w:rsidRDefault="00DD6AA3">
            <w:pPr>
              <w:rPr>
                <w:rFonts w:ascii="黑体" w:eastAsia="黑体" w:hAnsi="黑体"/>
                <w:sz w:val="20"/>
                <w:szCs w:val="20"/>
              </w:rPr>
            </w:pPr>
            <w:r>
              <w:rPr>
                <w:rFonts w:ascii="黑体" w:eastAsia="黑体" w:hAnsi="黑体" w:hint="eastAsia"/>
                <w:sz w:val="20"/>
                <w:szCs w:val="20"/>
              </w:rPr>
              <w:t>非必填项，当操作类型（ACTIONTYPE）为删除时必填。</w:t>
            </w:r>
          </w:p>
        </w:tc>
      </w:tr>
      <w:tr w:rsidR="00A052DC" w14:paraId="105A33E5" w14:textId="77777777">
        <w:tc>
          <w:tcPr>
            <w:tcW w:w="1702" w:type="dxa"/>
          </w:tcPr>
          <w:p w14:paraId="054BC207" w14:textId="77777777" w:rsidR="00A052DC" w:rsidRDefault="009F0A60">
            <w:pPr>
              <w:rPr>
                <w:rFonts w:ascii="黑体" w:eastAsia="黑体" w:hAnsi="黑体"/>
                <w:sz w:val="20"/>
                <w:szCs w:val="20"/>
              </w:rPr>
            </w:pPr>
            <w:r>
              <w:rPr>
                <w:rFonts w:ascii="黑体" w:eastAsia="黑体" w:hAnsi="黑体"/>
                <w:sz w:val="20"/>
                <w:szCs w:val="20"/>
              </w:rPr>
              <w:t>STRDECODE</w:t>
            </w:r>
          </w:p>
        </w:tc>
        <w:tc>
          <w:tcPr>
            <w:tcW w:w="1842" w:type="dxa"/>
          </w:tcPr>
          <w:p w14:paraId="465F3F43" w14:textId="77777777" w:rsidR="00A052DC" w:rsidRDefault="009F0A60">
            <w:pPr>
              <w:rPr>
                <w:rFonts w:ascii="黑体" w:eastAsia="黑体" w:hAnsi="黑体"/>
                <w:sz w:val="20"/>
                <w:szCs w:val="20"/>
              </w:rPr>
            </w:pPr>
            <w:r>
              <w:rPr>
                <w:rFonts w:ascii="黑体" w:eastAsia="黑体" w:hAnsi="黑体" w:hint="eastAsia"/>
                <w:sz w:val="20"/>
                <w:szCs w:val="20"/>
              </w:rPr>
              <w:t>人民币结构性存款编号</w:t>
            </w:r>
          </w:p>
        </w:tc>
        <w:tc>
          <w:tcPr>
            <w:tcW w:w="1418" w:type="dxa"/>
          </w:tcPr>
          <w:p w14:paraId="4F0ADA6F" w14:textId="77777777" w:rsidR="00A052DC" w:rsidRDefault="009F0A60">
            <w:pPr>
              <w:rPr>
                <w:rFonts w:ascii="黑体" w:eastAsia="黑体" w:hAnsi="黑体"/>
                <w:sz w:val="20"/>
                <w:szCs w:val="20"/>
              </w:rPr>
            </w:pPr>
            <w:r>
              <w:rPr>
                <w:rFonts w:ascii="黑体" w:eastAsia="黑体" w:hAnsi="黑体" w:hint="eastAsia"/>
                <w:sz w:val="20"/>
                <w:szCs w:val="20"/>
              </w:rPr>
              <w:t>字符型，28</w:t>
            </w:r>
          </w:p>
        </w:tc>
        <w:tc>
          <w:tcPr>
            <w:tcW w:w="3685" w:type="dxa"/>
          </w:tcPr>
          <w:p w14:paraId="6E6AC025" w14:textId="77777777" w:rsidR="00A052DC" w:rsidRDefault="009F0A60">
            <w:pPr>
              <w:rPr>
                <w:rFonts w:ascii="黑体" w:eastAsia="黑体" w:hAnsi="黑体"/>
                <w:sz w:val="20"/>
                <w:szCs w:val="20"/>
              </w:rPr>
            </w:pPr>
            <w:r>
              <w:rPr>
                <w:rFonts w:ascii="黑体" w:eastAsia="黑体" w:hAnsi="黑体" w:hint="eastAsia"/>
                <w:sz w:val="20"/>
                <w:szCs w:val="20"/>
              </w:rPr>
              <w:t>必填项，人民币结构性存款唯一性编码。</w:t>
            </w:r>
          </w:p>
        </w:tc>
      </w:tr>
      <w:tr w:rsidR="00A052DC" w14:paraId="62D7B1CE" w14:textId="77777777">
        <w:tc>
          <w:tcPr>
            <w:tcW w:w="1702" w:type="dxa"/>
          </w:tcPr>
          <w:p w14:paraId="6F8593C2" w14:textId="77777777" w:rsidR="00A052DC" w:rsidRDefault="009F0A60">
            <w:pPr>
              <w:rPr>
                <w:rFonts w:ascii="黑体" w:eastAsia="黑体" w:hAnsi="黑体"/>
                <w:sz w:val="20"/>
                <w:szCs w:val="20"/>
              </w:rPr>
            </w:pPr>
            <w:r>
              <w:rPr>
                <w:rFonts w:ascii="黑体" w:eastAsia="黑体" w:hAnsi="黑体"/>
                <w:sz w:val="20"/>
                <w:szCs w:val="20"/>
              </w:rPr>
              <w:t>BRANCHCODE</w:t>
            </w:r>
          </w:p>
        </w:tc>
        <w:tc>
          <w:tcPr>
            <w:tcW w:w="1842" w:type="dxa"/>
          </w:tcPr>
          <w:p w14:paraId="728262D3" w14:textId="77777777" w:rsidR="00A052DC" w:rsidRDefault="009F0A60">
            <w:pPr>
              <w:rPr>
                <w:rFonts w:ascii="黑体" w:eastAsia="黑体" w:hAnsi="黑体"/>
                <w:sz w:val="20"/>
                <w:szCs w:val="20"/>
              </w:rPr>
            </w:pPr>
            <w:r>
              <w:rPr>
                <w:rFonts w:ascii="黑体" w:eastAsia="黑体" w:hAnsi="黑体" w:hint="eastAsia"/>
                <w:sz w:val="20"/>
                <w:szCs w:val="20"/>
              </w:rPr>
              <w:t>金融机构标识码</w:t>
            </w:r>
          </w:p>
        </w:tc>
        <w:tc>
          <w:tcPr>
            <w:tcW w:w="1418" w:type="dxa"/>
          </w:tcPr>
          <w:p w14:paraId="0F16217B" w14:textId="77777777" w:rsidR="00A052DC" w:rsidRDefault="009F0A60">
            <w:pPr>
              <w:rPr>
                <w:rFonts w:ascii="黑体" w:eastAsia="黑体" w:hAnsi="黑体"/>
                <w:sz w:val="20"/>
                <w:szCs w:val="20"/>
              </w:rPr>
            </w:pPr>
            <w:r>
              <w:rPr>
                <w:rFonts w:ascii="黑体" w:eastAsia="黑体" w:hAnsi="黑体" w:hint="eastAsia"/>
                <w:sz w:val="20"/>
                <w:szCs w:val="20"/>
              </w:rPr>
              <w:t>字符型，12</w:t>
            </w:r>
          </w:p>
        </w:tc>
        <w:tc>
          <w:tcPr>
            <w:tcW w:w="3685" w:type="dxa"/>
          </w:tcPr>
          <w:p w14:paraId="5F0F23A7" w14:textId="77777777" w:rsidR="00A052DC" w:rsidRDefault="009F0A60">
            <w:pPr>
              <w:rPr>
                <w:rFonts w:ascii="黑体" w:eastAsia="黑体" w:hAnsi="黑体"/>
                <w:sz w:val="20"/>
                <w:szCs w:val="20"/>
              </w:rPr>
            </w:pPr>
            <w:r>
              <w:rPr>
                <w:rFonts w:ascii="黑体" w:eastAsia="黑体" w:hAnsi="黑体" w:hint="eastAsia"/>
                <w:sz w:val="20"/>
                <w:szCs w:val="20"/>
              </w:rPr>
              <w:t>必填项，商业银行金融机构标识码。</w:t>
            </w:r>
          </w:p>
        </w:tc>
      </w:tr>
      <w:tr w:rsidR="00A052DC" w14:paraId="72C86C84" w14:textId="77777777">
        <w:tc>
          <w:tcPr>
            <w:tcW w:w="1702" w:type="dxa"/>
          </w:tcPr>
          <w:p w14:paraId="07CD1A82" w14:textId="77777777" w:rsidR="00A052DC" w:rsidRDefault="009F0A60">
            <w:pPr>
              <w:rPr>
                <w:rFonts w:ascii="黑体" w:eastAsia="黑体" w:hAnsi="黑体"/>
                <w:sz w:val="20"/>
                <w:szCs w:val="20"/>
              </w:rPr>
            </w:pPr>
            <w:r>
              <w:rPr>
                <w:rFonts w:ascii="黑体" w:eastAsia="黑体" w:hAnsi="黑体"/>
                <w:sz w:val="20"/>
                <w:szCs w:val="20"/>
              </w:rPr>
              <w:t>CLIENTCODE</w:t>
            </w:r>
          </w:p>
        </w:tc>
        <w:tc>
          <w:tcPr>
            <w:tcW w:w="1842" w:type="dxa"/>
          </w:tcPr>
          <w:p w14:paraId="627EAB91" w14:textId="77777777" w:rsidR="00A052DC" w:rsidRDefault="009F0A60">
            <w:pPr>
              <w:rPr>
                <w:rFonts w:ascii="黑体" w:eastAsia="黑体" w:hAnsi="黑体"/>
                <w:sz w:val="20"/>
                <w:szCs w:val="20"/>
              </w:rPr>
            </w:pPr>
            <w:r>
              <w:rPr>
                <w:rFonts w:ascii="黑体" w:eastAsia="黑体" w:hAnsi="黑体" w:hint="eastAsia"/>
                <w:sz w:val="20"/>
                <w:szCs w:val="20"/>
              </w:rPr>
              <w:t>客户代码</w:t>
            </w:r>
          </w:p>
        </w:tc>
        <w:tc>
          <w:tcPr>
            <w:tcW w:w="1418" w:type="dxa"/>
          </w:tcPr>
          <w:p w14:paraId="3088B850" w14:textId="77777777" w:rsidR="00A052DC" w:rsidRDefault="009F0A60">
            <w:pPr>
              <w:rPr>
                <w:rFonts w:ascii="黑体" w:eastAsia="黑体" w:hAnsi="黑体"/>
                <w:sz w:val="20"/>
                <w:szCs w:val="20"/>
              </w:rPr>
            </w:pPr>
            <w:r>
              <w:rPr>
                <w:rFonts w:ascii="黑体" w:eastAsia="黑体" w:hAnsi="黑体" w:hint="eastAsia"/>
                <w:sz w:val="20"/>
                <w:szCs w:val="20"/>
              </w:rPr>
              <w:t>字符型，18</w:t>
            </w:r>
          </w:p>
        </w:tc>
        <w:tc>
          <w:tcPr>
            <w:tcW w:w="3685" w:type="dxa"/>
          </w:tcPr>
          <w:p w14:paraId="0813985A" w14:textId="77777777" w:rsidR="00A052DC" w:rsidRDefault="009F0A60">
            <w:pPr>
              <w:rPr>
                <w:rFonts w:ascii="黑体" w:eastAsia="黑体" w:hAnsi="黑体"/>
                <w:sz w:val="20"/>
                <w:szCs w:val="20"/>
              </w:rPr>
            </w:pPr>
            <w:r>
              <w:rPr>
                <w:rFonts w:ascii="黑体" w:eastAsia="黑体" w:hAnsi="黑体" w:hint="eastAsia"/>
                <w:sz w:val="20"/>
                <w:szCs w:val="20"/>
              </w:rPr>
              <w:t>必填项。如果是公司客户，按统一社会信用代码中的9位主体标识码（组织机构代码）或特殊机构赋码编制规则进行校验，字段长度仍预留18位；如果为个人客户，代码填999999999</w:t>
            </w:r>
            <w:r w:rsidR="00A91079">
              <w:rPr>
                <w:rFonts w:ascii="黑体" w:eastAsia="黑体" w:hAnsi="黑体" w:hint="eastAsia"/>
                <w:sz w:val="20"/>
                <w:szCs w:val="20"/>
              </w:rPr>
              <w:t>。</w:t>
            </w:r>
          </w:p>
        </w:tc>
      </w:tr>
      <w:tr w:rsidR="00A052DC" w14:paraId="2E7D9E0E" w14:textId="77777777">
        <w:tc>
          <w:tcPr>
            <w:tcW w:w="1702" w:type="dxa"/>
          </w:tcPr>
          <w:p w14:paraId="0DF7EA29" w14:textId="77777777" w:rsidR="00A052DC" w:rsidRDefault="009F0A60">
            <w:pPr>
              <w:rPr>
                <w:rFonts w:ascii="黑体" w:eastAsia="黑体" w:hAnsi="黑体"/>
                <w:sz w:val="20"/>
                <w:szCs w:val="20"/>
              </w:rPr>
            </w:pPr>
            <w:r>
              <w:rPr>
                <w:rFonts w:ascii="黑体" w:eastAsia="黑体" w:hAnsi="黑体"/>
                <w:sz w:val="20"/>
                <w:szCs w:val="20"/>
              </w:rPr>
              <w:t>CLIENTNAME</w:t>
            </w:r>
          </w:p>
        </w:tc>
        <w:tc>
          <w:tcPr>
            <w:tcW w:w="1842" w:type="dxa"/>
          </w:tcPr>
          <w:p w14:paraId="7ADED113" w14:textId="77777777" w:rsidR="00A052DC" w:rsidRDefault="009F0A60">
            <w:pPr>
              <w:rPr>
                <w:rFonts w:ascii="黑体" w:eastAsia="黑体" w:hAnsi="黑体"/>
                <w:sz w:val="20"/>
                <w:szCs w:val="20"/>
              </w:rPr>
            </w:pPr>
            <w:r>
              <w:rPr>
                <w:rFonts w:ascii="黑体" w:eastAsia="黑体" w:hAnsi="黑体" w:hint="eastAsia"/>
                <w:sz w:val="20"/>
                <w:szCs w:val="20"/>
              </w:rPr>
              <w:t>客户名称</w:t>
            </w:r>
          </w:p>
        </w:tc>
        <w:tc>
          <w:tcPr>
            <w:tcW w:w="1418" w:type="dxa"/>
          </w:tcPr>
          <w:p w14:paraId="5107D038"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3685" w:type="dxa"/>
          </w:tcPr>
          <w:p w14:paraId="33CBDA2C" w14:textId="77777777" w:rsidR="00A052DC" w:rsidRDefault="009F0A60">
            <w:pPr>
              <w:rPr>
                <w:rFonts w:ascii="黑体" w:eastAsia="黑体" w:hAnsi="黑体"/>
                <w:sz w:val="20"/>
                <w:szCs w:val="20"/>
              </w:rPr>
            </w:pPr>
            <w:r>
              <w:rPr>
                <w:rFonts w:ascii="黑体" w:eastAsia="黑体" w:hAnsi="黑体" w:hint="eastAsia"/>
                <w:sz w:val="20"/>
                <w:szCs w:val="20"/>
              </w:rPr>
              <w:t>必填项，由组织机构代码映射带出，若为外汇局规定的统一编码999999999，则映射显示为“个人”</w:t>
            </w:r>
            <w:r w:rsidR="00A91079">
              <w:rPr>
                <w:rFonts w:ascii="黑体" w:eastAsia="黑体" w:hAnsi="黑体" w:hint="eastAsia"/>
                <w:sz w:val="20"/>
                <w:szCs w:val="20"/>
              </w:rPr>
              <w:t>。</w:t>
            </w:r>
          </w:p>
        </w:tc>
      </w:tr>
      <w:tr w:rsidR="00A052DC" w14:paraId="0694ABF6" w14:textId="77777777">
        <w:tc>
          <w:tcPr>
            <w:tcW w:w="1702" w:type="dxa"/>
          </w:tcPr>
          <w:p w14:paraId="24255149" w14:textId="77777777" w:rsidR="00A052DC" w:rsidRDefault="009F0A60">
            <w:pPr>
              <w:rPr>
                <w:rFonts w:ascii="黑体" w:eastAsia="黑体" w:hAnsi="黑体"/>
                <w:sz w:val="20"/>
                <w:szCs w:val="20"/>
              </w:rPr>
            </w:pPr>
            <w:r>
              <w:rPr>
                <w:rFonts w:ascii="黑体" w:eastAsia="黑体" w:hAnsi="黑体"/>
                <w:sz w:val="20"/>
                <w:szCs w:val="20"/>
              </w:rPr>
              <w:t>CONTRACTDATE</w:t>
            </w:r>
          </w:p>
        </w:tc>
        <w:tc>
          <w:tcPr>
            <w:tcW w:w="1842" w:type="dxa"/>
          </w:tcPr>
          <w:p w14:paraId="46AC1AF6" w14:textId="77777777" w:rsidR="00A052DC" w:rsidRDefault="009F0A60">
            <w:pPr>
              <w:rPr>
                <w:rFonts w:ascii="黑体" w:eastAsia="黑体" w:hAnsi="黑体"/>
                <w:sz w:val="20"/>
                <w:szCs w:val="20"/>
              </w:rPr>
            </w:pPr>
            <w:r>
              <w:rPr>
                <w:rFonts w:ascii="黑体" w:eastAsia="黑体" w:hAnsi="黑体" w:hint="eastAsia"/>
                <w:sz w:val="20"/>
                <w:szCs w:val="20"/>
              </w:rPr>
              <w:t>签约日期</w:t>
            </w:r>
          </w:p>
        </w:tc>
        <w:tc>
          <w:tcPr>
            <w:tcW w:w="1418" w:type="dxa"/>
          </w:tcPr>
          <w:p w14:paraId="5393271B" w14:textId="77777777" w:rsidR="00A052DC" w:rsidRDefault="009F0A60">
            <w:pPr>
              <w:rPr>
                <w:rFonts w:ascii="黑体" w:eastAsia="黑体" w:hAnsi="黑体"/>
                <w:sz w:val="20"/>
                <w:szCs w:val="20"/>
              </w:rPr>
            </w:pPr>
            <w:r>
              <w:rPr>
                <w:rFonts w:ascii="黑体" w:eastAsia="黑体" w:hAnsi="黑体" w:hint="eastAsia"/>
                <w:sz w:val="20"/>
                <w:szCs w:val="20"/>
              </w:rPr>
              <w:t>日期型，8</w:t>
            </w:r>
          </w:p>
        </w:tc>
        <w:tc>
          <w:tcPr>
            <w:tcW w:w="3685" w:type="dxa"/>
          </w:tcPr>
          <w:p w14:paraId="4F502B8C" w14:textId="77777777" w:rsidR="005D3821" w:rsidRDefault="009F0A60">
            <w:pPr>
              <w:rPr>
                <w:rFonts w:ascii="黑体" w:eastAsia="黑体" w:hAnsi="黑体"/>
                <w:sz w:val="20"/>
                <w:szCs w:val="20"/>
              </w:rPr>
            </w:pPr>
            <w:r>
              <w:rPr>
                <w:rFonts w:ascii="黑体" w:eastAsia="黑体" w:hAnsi="黑体" w:hint="eastAsia"/>
                <w:sz w:val="20"/>
                <w:szCs w:val="20"/>
              </w:rPr>
              <w:t>必填项，</w:t>
            </w:r>
          </w:p>
          <w:p w14:paraId="51A3738C" w14:textId="77777777" w:rsidR="00A052DC" w:rsidRDefault="009F0A60">
            <w:pPr>
              <w:rPr>
                <w:rFonts w:ascii="黑体" w:eastAsia="黑体" w:hAnsi="黑体"/>
                <w:sz w:val="20"/>
                <w:szCs w:val="20"/>
              </w:rPr>
            </w:pPr>
            <w:r>
              <w:rPr>
                <w:rFonts w:ascii="黑体" w:eastAsia="黑体" w:hAnsi="黑体" w:hint="eastAsia"/>
                <w:sz w:val="20"/>
                <w:szCs w:val="20"/>
              </w:rPr>
              <w:t>格式YYYYMMDD，小于等于当前日期。</w:t>
            </w:r>
          </w:p>
        </w:tc>
      </w:tr>
      <w:tr w:rsidR="00A052DC" w14:paraId="3CA0446B" w14:textId="77777777">
        <w:tc>
          <w:tcPr>
            <w:tcW w:w="1702" w:type="dxa"/>
          </w:tcPr>
          <w:p w14:paraId="1095B7A4" w14:textId="77777777" w:rsidR="00A052DC" w:rsidRDefault="009F0A60">
            <w:pPr>
              <w:rPr>
                <w:rFonts w:ascii="黑体" w:eastAsia="黑体" w:hAnsi="黑体"/>
                <w:sz w:val="20"/>
                <w:szCs w:val="20"/>
              </w:rPr>
            </w:pPr>
            <w:r>
              <w:rPr>
                <w:rFonts w:ascii="黑体" w:eastAsia="黑体" w:hAnsi="黑体"/>
                <w:sz w:val="20"/>
                <w:szCs w:val="20"/>
              </w:rPr>
              <w:t>CONTRACT</w:t>
            </w:r>
          </w:p>
        </w:tc>
        <w:tc>
          <w:tcPr>
            <w:tcW w:w="1842" w:type="dxa"/>
          </w:tcPr>
          <w:p w14:paraId="5AB2B5B0" w14:textId="77777777" w:rsidR="00A052DC" w:rsidRDefault="009F0A60">
            <w:pPr>
              <w:rPr>
                <w:rFonts w:ascii="黑体" w:eastAsia="黑体" w:hAnsi="黑体"/>
                <w:sz w:val="20"/>
                <w:szCs w:val="20"/>
              </w:rPr>
            </w:pPr>
            <w:r>
              <w:rPr>
                <w:rFonts w:ascii="黑体" w:eastAsia="黑体" w:hAnsi="黑体" w:hint="eastAsia"/>
                <w:sz w:val="20"/>
                <w:szCs w:val="20"/>
              </w:rPr>
              <w:t>合同号</w:t>
            </w:r>
          </w:p>
        </w:tc>
        <w:tc>
          <w:tcPr>
            <w:tcW w:w="1418" w:type="dxa"/>
          </w:tcPr>
          <w:p w14:paraId="14F11A19" w14:textId="77777777" w:rsidR="00A052DC" w:rsidRDefault="009F0A60">
            <w:pPr>
              <w:rPr>
                <w:rFonts w:ascii="黑体" w:eastAsia="黑体" w:hAnsi="黑体"/>
                <w:sz w:val="20"/>
                <w:szCs w:val="20"/>
              </w:rPr>
            </w:pPr>
            <w:r>
              <w:rPr>
                <w:rFonts w:ascii="黑体" w:eastAsia="黑体" w:hAnsi="黑体" w:hint="eastAsia"/>
                <w:sz w:val="20"/>
                <w:szCs w:val="20"/>
              </w:rPr>
              <w:t>字符型，32</w:t>
            </w:r>
          </w:p>
        </w:tc>
        <w:tc>
          <w:tcPr>
            <w:tcW w:w="3685" w:type="dxa"/>
          </w:tcPr>
          <w:p w14:paraId="0082FFE9"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r w:rsidR="00A052DC" w14:paraId="1659458B" w14:textId="77777777">
        <w:tc>
          <w:tcPr>
            <w:tcW w:w="1702" w:type="dxa"/>
          </w:tcPr>
          <w:p w14:paraId="6B6D8E3E" w14:textId="77777777" w:rsidR="00A052DC" w:rsidRDefault="009F0A60">
            <w:pPr>
              <w:rPr>
                <w:rFonts w:ascii="黑体" w:eastAsia="黑体" w:hAnsi="黑体"/>
                <w:sz w:val="20"/>
                <w:szCs w:val="20"/>
              </w:rPr>
            </w:pPr>
            <w:r>
              <w:rPr>
                <w:rFonts w:ascii="黑体" w:eastAsia="黑体" w:hAnsi="黑体"/>
                <w:sz w:val="20"/>
                <w:szCs w:val="20"/>
              </w:rPr>
              <w:t>CONTRACTAMOUNT</w:t>
            </w:r>
          </w:p>
        </w:tc>
        <w:tc>
          <w:tcPr>
            <w:tcW w:w="1842" w:type="dxa"/>
          </w:tcPr>
          <w:p w14:paraId="64F6CFDD" w14:textId="77777777" w:rsidR="00A052DC" w:rsidRDefault="009F0A60">
            <w:pPr>
              <w:rPr>
                <w:rFonts w:ascii="黑体" w:eastAsia="黑体" w:hAnsi="黑体"/>
                <w:sz w:val="20"/>
                <w:szCs w:val="20"/>
              </w:rPr>
            </w:pPr>
            <w:r>
              <w:rPr>
                <w:rFonts w:ascii="黑体" w:eastAsia="黑体" w:hAnsi="黑体" w:hint="eastAsia"/>
                <w:sz w:val="20"/>
                <w:szCs w:val="20"/>
              </w:rPr>
              <w:t>签约金额</w:t>
            </w:r>
          </w:p>
        </w:tc>
        <w:tc>
          <w:tcPr>
            <w:tcW w:w="1418" w:type="dxa"/>
          </w:tcPr>
          <w:p w14:paraId="6B914E7D"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3685" w:type="dxa"/>
          </w:tcPr>
          <w:p w14:paraId="407CFF41" w14:textId="77777777" w:rsidR="00A052DC" w:rsidRDefault="009F0A60">
            <w:pPr>
              <w:rPr>
                <w:rFonts w:ascii="黑体" w:eastAsia="黑体" w:hAnsi="黑体"/>
                <w:sz w:val="20"/>
                <w:szCs w:val="20"/>
              </w:rPr>
            </w:pPr>
            <w:r>
              <w:rPr>
                <w:rFonts w:ascii="黑体" w:eastAsia="黑体" w:hAnsi="黑体" w:hint="eastAsia"/>
                <w:sz w:val="20"/>
                <w:szCs w:val="20"/>
              </w:rPr>
              <w:t>必填项，大于等于0。</w:t>
            </w:r>
          </w:p>
        </w:tc>
      </w:tr>
      <w:tr w:rsidR="00A052DC" w14:paraId="53977022" w14:textId="77777777">
        <w:tc>
          <w:tcPr>
            <w:tcW w:w="1702" w:type="dxa"/>
          </w:tcPr>
          <w:p w14:paraId="79CDB2AB" w14:textId="77777777" w:rsidR="00A052DC" w:rsidRDefault="009F0A60">
            <w:pPr>
              <w:rPr>
                <w:rFonts w:ascii="黑体" w:eastAsia="黑体" w:hAnsi="黑体"/>
                <w:sz w:val="20"/>
                <w:szCs w:val="20"/>
              </w:rPr>
            </w:pPr>
            <w:r>
              <w:rPr>
                <w:rFonts w:ascii="黑体" w:eastAsia="黑体" w:hAnsi="黑体"/>
                <w:sz w:val="20"/>
                <w:szCs w:val="20"/>
              </w:rPr>
              <w:t>Maturity</w:t>
            </w:r>
          </w:p>
        </w:tc>
        <w:tc>
          <w:tcPr>
            <w:tcW w:w="1842" w:type="dxa"/>
          </w:tcPr>
          <w:p w14:paraId="634C4DC5" w14:textId="77777777" w:rsidR="00A052DC" w:rsidRDefault="009F0A60">
            <w:pPr>
              <w:rPr>
                <w:rFonts w:ascii="黑体" w:eastAsia="黑体" w:hAnsi="黑体"/>
                <w:sz w:val="20"/>
                <w:szCs w:val="20"/>
              </w:rPr>
            </w:pPr>
            <w:r>
              <w:rPr>
                <w:rFonts w:ascii="黑体" w:eastAsia="黑体" w:hAnsi="黑体" w:hint="eastAsia"/>
                <w:sz w:val="20"/>
                <w:szCs w:val="20"/>
              </w:rPr>
              <w:t>到期日</w:t>
            </w:r>
          </w:p>
        </w:tc>
        <w:tc>
          <w:tcPr>
            <w:tcW w:w="1418" w:type="dxa"/>
          </w:tcPr>
          <w:p w14:paraId="01505DF4" w14:textId="77777777" w:rsidR="00A052DC" w:rsidRDefault="009F0A60">
            <w:pPr>
              <w:rPr>
                <w:rFonts w:ascii="黑体" w:eastAsia="黑体" w:hAnsi="黑体"/>
                <w:sz w:val="20"/>
                <w:szCs w:val="20"/>
              </w:rPr>
            </w:pPr>
            <w:r>
              <w:rPr>
                <w:rFonts w:ascii="黑体" w:eastAsia="黑体" w:hAnsi="黑体" w:hint="eastAsia"/>
                <w:sz w:val="20"/>
                <w:szCs w:val="20"/>
              </w:rPr>
              <w:t>日期型,8</w:t>
            </w:r>
          </w:p>
        </w:tc>
        <w:tc>
          <w:tcPr>
            <w:tcW w:w="3685" w:type="dxa"/>
          </w:tcPr>
          <w:p w14:paraId="033115E3" w14:textId="77777777" w:rsidR="005D3821" w:rsidRDefault="009F0A60">
            <w:pPr>
              <w:rPr>
                <w:rFonts w:ascii="黑体" w:eastAsia="黑体" w:hAnsi="黑体"/>
                <w:sz w:val="20"/>
                <w:szCs w:val="20"/>
              </w:rPr>
            </w:pPr>
            <w:r>
              <w:rPr>
                <w:rFonts w:ascii="黑体" w:eastAsia="黑体" w:hAnsi="黑体" w:hint="eastAsia"/>
                <w:sz w:val="20"/>
                <w:szCs w:val="20"/>
              </w:rPr>
              <w:t>必填项，</w:t>
            </w:r>
          </w:p>
          <w:p w14:paraId="0D215A72" w14:textId="77777777" w:rsidR="00A052DC" w:rsidRDefault="009F0A60">
            <w:pPr>
              <w:rPr>
                <w:rFonts w:ascii="黑体" w:eastAsia="黑体" w:hAnsi="黑体"/>
                <w:sz w:val="20"/>
                <w:szCs w:val="20"/>
              </w:rPr>
            </w:pPr>
            <w:r>
              <w:rPr>
                <w:rFonts w:ascii="黑体" w:eastAsia="黑体" w:hAnsi="黑体" w:hint="eastAsia"/>
                <w:sz w:val="20"/>
                <w:szCs w:val="20"/>
              </w:rPr>
              <w:t>格式YYYYMMDD，大于等于签约日期。</w:t>
            </w:r>
          </w:p>
        </w:tc>
      </w:tr>
      <w:tr w:rsidR="00A052DC" w14:paraId="4E92C768" w14:textId="77777777">
        <w:tc>
          <w:tcPr>
            <w:tcW w:w="1702" w:type="dxa"/>
          </w:tcPr>
          <w:p w14:paraId="73B5BA10" w14:textId="77777777" w:rsidR="00A052DC" w:rsidRDefault="009F0A60">
            <w:pPr>
              <w:rPr>
                <w:rFonts w:ascii="黑体" w:eastAsia="黑体" w:hAnsi="黑体"/>
                <w:sz w:val="20"/>
                <w:szCs w:val="20"/>
              </w:rPr>
            </w:pPr>
            <w:r>
              <w:rPr>
                <w:rFonts w:ascii="黑体" w:eastAsia="黑体" w:hAnsi="黑体"/>
                <w:sz w:val="20"/>
                <w:szCs w:val="20"/>
              </w:rPr>
              <w:t>LINCAME</w:t>
            </w:r>
          </w:p>
        </w:tc>
        <w:tc>
          <w:tcPr>
            <w:tcW w:w="1842" w:type="dxa"/>
          </w:tcPr>
          <w:p w14:paraId="1DAFE642" w14:textId="77777777" w:rsidR="00A052DC" w:rsidRDefault="009F0A60">
            <w:pPr>
              <w:rPr>
                <w:rFonts w:ascii="黑体" w:eastAsia="黑体" w:hAnsi="黑体"/>
                <w:sz w:val="20"/>
                <w:szCs w:val="20"/>
              </w:rPr>
            </w:pPr>
            <w:r>
              <w:rPr>
                <w:rFonts w:ascii="黑体" w:eastAsia="黑体" w:hAnsi="黑体" w:hint="eastAsia"/>
                <w:sz w:val="20"/>
                <w:szCs w:val="20"/>
              </w:rPr>
              <w:t>挂钩指标</w:t>
            </w:r>
          </w:p>
        </w:tc>
        <w:tc>
          <w:tcPr>
            <w:tcW w:w="1418" w:type="dxa"/>
          </w:tcPr>
          <w:p w14:paraId="002141EE" w14:textId="77777777" w:rsidR="00A052DC" w:rsidRDefault="009F0A60">
            <w:pPr>
              <w:rPr>
                <w:rFonts w:ascii="黑体" w:eastAsia="黑体" w:hAnsi="黑体"/>
                <w:sz w:val="20"/>
                <w:szCs w:val="20"/>
              </w:rPr>
            </w:pPr>
            <w:r>
              <w:rPr>
                <w:rFonts w:ascii="黑体" w:eastAsia="黑体" w:hAnsi="黑体" w:hint="eastAsia"/>
                <w:sz w:val="20"/>
                <w:szCs w:val="20"/>
              </w:rPr>
              <w:t>字符型，256</w:t>
            </w:r>
          </w:p>
        </w:tc>
        <w:tc>
          <w:tcPr>
            <w:tcW w:w="3685" w:type="dxa"/>
          </w:tcPr>
          <w:p w14:paraId="16EAF3AC"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r w:rsidR="00A052DC" w14:paraId="28481FC2" w14:textId="77777777">
        <w:tc>
          <w:tcPr>
            <w:tcW w:w="1702" w:type="dxa"/>
          </w:tcPr>
          <w:p w14:paraId="6FF8B248" w14:textId="77777777" w:rsidR="00A052DC" w:rsidRDefault="009F0A60">
            <w:pPr>
              <w:rPr>
                <w:rFonts w:ascii="黑体" w:eastAsia="黑体" w:hAnsi="黑体"/>
                <w:sz w:val="20"/>
                <w:szCs w:val="20"/>
              </w:rPr>
            </w:pPr>
            <w:r>
              <w:rPr>
                <w:rFonts w:ascii="黑体" w:eastAsia="黑体" w:hAnsi="黑体"/>
                <w:sz w:val="20"/>
                <w:szCs w:val="20"/>
              </w:rPr>
              <w:t>LINCAMETHOD</w:t>
            </w:r>
          </w:p>
        </w:tc>
        <w:tc>
          <w:tcPr>
            <w:tcW w:w="1842" w:type="dxa"/>
          </w:tcPr>
          <w:p w14:paraId="32DC6DD7" w14:textId="77777777" w:rsidR="00A052DC" w:rsidRDefault="009F0A60">
            <w:pPr>
              <w:rPr>
                <w:rFonts w:ascii="黑体" w:eastAsia="黑体" w:hAnsi="黑体"/>
                <w:sz w:val="20"/>
                <w:szCs w:val="20"/>
              </w:rPr>
            </w:pPr>
            <w:r>
              <w:rPr>
                <w:rFonts w:ascii="黑体" w:eastAsia="黑体" w:hAnsi="黑体" w:hint="eastAsia"/>
                <w:sz w:val="20"/>
                <w:szCs w:val="20"/>
              </w:rPr>
              <w:t>挂钩指标计算方法</w:t>
            </w:r>
          </w:p>
        </w:tc>
        <w:tc>
          <w:tcPr>
            <w:tcW w:w="1418" w:type="dxa"/>
          </w:tcPr>
          <w:p w14:paraId="4D6EAA58" w14:textId="77777777" w:rsidR="00A052DC" w:rsidRDefault="009F0A60">
            <w:pPr>
              <w:rPr>
                <w:rFonts w:ascii="黑体" w:eastAsia="黑体" w:hAnsi="黑体"/>
                <w:sz w:val="20"/>
                <w:szCs w:val="20"/>
              </w:rPr>
            </w:pPr>
            <w:r>
              <w:rPr>
                <w:rFonts w:ascii="黑体" w:eastAsia="黑体" w:hAnsi="黑体" w:hint="eastAsia"/>
                <w:sz w:val="20"/>
                <w:szCs w:val="20"/>
              </w:rPr>
              <w:t>字符型，256</w:t>
            </w:r>
          </w:p>
        </w:tc>
        <w:tc>
          <w:tcPr>
            <w:tcW w:w="3685" w:type="dxa"/>
          </w:tcPr>
          <w:p w14:paraId="2989D89F"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r w:rsidR="00A052DC" w14:paraId="2B8DE3C4" w14:textId="77777777">
        <w:tc>
          <w:tcPr>
            <w:tcW w:w="1702" w:type="dxa"/>
          </w:tcPr>
          <w:p w14:paraId="71F720B4" w14:textId="77777777" w:rsidR="00A052DC" w:rsidRDefault="009F0A60">
            <w:pPr>
              <w:rPr>
                <w:rFonts w:ascii="黑体" w:eastAsia="黑体" w:hAnsi="黑体"/>
                <w:sz w:val="20"/>
                <w:szCs w:val="20"/>
              </w:rPr>
            </w:pPr>
            <w:r>
              <w:rPr>
                <w:rFonts w:ascii="黑体" w:eastAsia="黑体" w:hAnsi="黑体"/>
                <w:sz w:val="20"/>
                <w:szCs w:val="20"/>
              </w:rPr>
              <w:t>AGINRAUP</w:t>
            </w:r>
          </w:p>
        </w:tc>
        <w:tc>
          <w:tcPr>
            <w:tcW w:w="1842" w:type="dxa"/>
          </w:tcPr>
          <w:p w14:paraId="30AE8151" w14:textId="77777777" w:rsidR="00A052DC" w:rsidRDefault="009F0A60">
            <w:pPr>
              <w:rPr>
                <w:rFonts w:ascii="黑体" w:eastAsia="黑体" w:hAnsi="黑体"/>
                <w:sz w:val="20"/>
                <w:szCs w:val="20"/>
              </w:rPr>
            </w:pPr>
            <w:r>
              <w:rPr>
                <w:rFonts w:ascii="黑体" w:eastAsia="黑体" w:hAnsi="黑体" w:hint="eastAsia"/>
                <w:sz w:val="20"/>
                <w:szCs w:val="20"/>
              </w:rPr>
              <w:t>约定的利率上限</w:t>
            </w:r>
          </w:p>
        </w:tc>
        <w:tc>
          <w:tcPr>
            <w:tcW w:w="1418" w:type="dxa"/>
          </w:tcPr>
          <w:p w14:paraId="31A3D7DE" w14:textId="77777777" w:rsidR="00A052DC" w:rsidRDefault="009F0A60">
            <w:pPr>
              <w:rPr>
                <w:rFonts w:ascii="黑体" w:eastAsia="黑体" w:hAnsi="黑体"/>
                <w:sz w:val="20"/>
                <w:szCs w:val="20"/>
              </w:rPr>
            </w:pPr>
            <w:r>
              <w:rPr>
                <w:rFonts w:ascii="黑体" w:eastAsia="黑体" w:hAnsi="黑体" w:hint="eastAsia"/>
                <w:sz w:val="20"/>
                <w:szCs w:val="20"/>
              </w:rPr>
              <w:t>数值型，13.8</w:t>
            </w:r>
          </w:p>
        </w:tc>
        <w:tc>
          <w:tcPr>
            <w:tcW w:w="3685" w:type="dxa"/>
          </w:tcPr>
          <w:p w14:paraId="759D3883" w14:textId="77777777" w:rsidR="00A052DC" w:rsidRDefault="009F0A60">
            <w:pPr>
              <w:rPr>
                <w:rFonts w:ascii="黑体" w:eastAsia="黑体" w:hAnsi="黑体"/>
                <w:sz w:val="20"/>
                <w:szCs w:val="20"/>
              </w:rPr>
            </w:pPr>
            <w:r>
              <w:rPr>
                <w:rFonts w:ascii="黑体" w:eastAsia="黑体" w:hAnsi="黑体" w:hint="eastAsia"/>
                <w:sz w:val="20"/>
                <w:szCs w:val="20"/>
              </w:rPr>
              <w:t>必填项，按小数填写，如利率为3.21%，则填写0.0321。可能小于0</w:t>
            </w:r>
          </w:p>
        </w:tc>
      </w:tr>
      <w:tr w:rsidR="00A052DC" w14:paraId="27674AD1" w14:textId="77777777">
        <w:tc>
          <w:tcPr>
            <w:tcW w:w="1702" w:type="dxa"/>
          </w:tcPr>
          <w:p w14:paraId="7D679883" w14:textId="77777777" w:rsidR="00A052DC" w:rsidRDefault="009F0A60">
            <w:pPr>
              <w:rPr>
                <w:rFonts w:ascii="黑体" w:eastAsia="黑体" w:hAnsi="黑体"/>
                <w:sz w:val="20"/>
                <w:szCs w:val="20"/>
              </w:rPr>
            </w:pPr>
            <w:r>
              <w:rPr>
                <w:rFonts w:ascii="黑体" w:eastAsia="黑体" w:hAnsi="黑体"/>
                <w:sz w:val="20"/>
                <w:szCs w:val="20"/>
              </w:rPr>
              <w:t>AGINRALO</w:t>
            </w:r>
          </w:p>
        </w:tc>
        <w:tc>
          <w:tcPr>
            <w:tcW w:w="1842" w:type="dxa"/>
          </w:tcPr>
          <w:p w14:paraId="0A52D048" w14:textId="77777777" w:rsidR="00A052DC" w:rsidRDefault="009F0A60">
            <w:pPr>
              <w:rPr>
                <w:rFonts w:ascii="黑体" w:eastAsia="黑体" w:hAnsi="黑体"/>
                <w:sz w:val="20"/>
                <w:szCs w:val="20"/>
              </w:rPr>
            </w:pPr>
            <w:r>
              <w:rPr>
                <w:rFonts w:ascii="黑体" w:eastAsia="黑体" w:hAnsi="黑体" w:hint="eastAsia"/>
                <w:sz w:val="20"/>
                <w:szCs w:val="20"/>
              </w:rPr>
              <w:t>约定的利率下限</w:t>
            </w:r>
          </w:p>
        </w:tc>
        <w:tc>
          <w:tcPr>
            <w:tcW w:w="1418" w:type="dxa"/>
          </w:tcPr>
          <w:p w14:paraId="260D02D8" w14:textId="77777777" w:rsidR="00A052DC" w:rsidRDefault="009F0A60">
            <w:pPr>
              <w:rPr>
                <w:rFonts w:ascii="黑体" w:eastAsia="黑体" w:hAnsi="黑体"/>
                <w:sz w:val="20"/>
                <w:szCs w:val="20"/>
              </w:rPr>
            </w:pPr>
            <w:r>
              <w:rPr>
                <w:rFonts w:ascii="黑体" w:eastAsia="黑体" w:hAnsi="黑体" w:hint="eastAsia"/>
                <w:sz w:val="20"/>
                <w:szCs w:val="20"/>
              </w:rPr>
              <w:t>数值型，13.8</w:t>
            </w:r>
          </w:p>
        </w:tc>
        <w:tc>
          <w:tcPr>
            <w:tcW w:w="3685" w:type="dxa"/>
          </w:tcPr>
          <w:p w14:paraId="5C32E425" w14:textId="77777777" w:rsidR="00A052DC" w:rsidRDefault="009F0A60">
            <w:pPr>
              <w:rPr>
                <w:rFonts w:ascii="黑体" w:eastAsia="黑体" w:hAnsi="黑体"/>
                <w:sz w:val="20"/>
                <w:szCs w:val="20"/>
              </w:rPr>
            </w:pPr>
            <w:r>
              <w:rPr>
                <w:rFonts w:ascii="黑体" w:eastAsia="黑体" w:hAnsi="黑体" w:hint="eastAsia"/>
                <w:sz w:val="20"/>
                <w:szCs w:val="20"/>
              </w:rPr>
              <w:t>必填项，按小数填写，如利率为3.21%，则填写0.0321。可能小于0</w:t>
            </w:r>
          </w:p>
        </w:tc>
      </w:tr>
      <w:tr w:rsidR="00A052DC" w14:paraId="0A6BC483" w14:textId="77777777">
        <w:tc>
          <w:tcPr>
            <w:tcW w:w="1702" w:type="dxa"/>
          </w:tcPr>
          <w:p w14:paraId="40ADF291" w14:textId="77777777" w:rsidR="00A052DC" w:rsidRDefault="009F0A60">
            <w:pPr>
              <w:rPr>
                <w:rFonts w:ascii="黑体" w:eastAsia="黑体" w:hAnsi="黑体"/>
                <w:sz w:val="20"/>
                <w:szCs w:val="20"/>
              </w:rPr>
            </w:pPr>
            <w:r>
              <w:rPr>
                <w:rFonts w:ascii="黑体" w:eastAsia="黑体" w:hAnsi="黑体"/>
                <w:sz w:val="20"/>
                <w:szCs w:val="20"/>
              </w:rPr>
              <w:t>AGINRALOINPAY</w:t>
            </w:r>
          </w:p>
        </w:tc>
        <w:tc>
          <w:tcPr>
            <w:tcW w:w="1842" w:type="dxa"/>
          </w:tcPr>
          <w:p w14:paraId="6C3F78D1" w14:textId="77777777" w:rsidR="00A052DC" w:rsidRDefault="009F0A60">
            <w:pPr>
              <w:rPr>
                <w:rFonts w:ascii="黑体" w:eastAsia="黑体" w:hAnsi="黑体"/>
                <w:sz w:val="20"/>
                <w:szCs w:val="20"/>
              </w:rPr>
            </w:pPr>
            <w:r>
              <w:rPr>
                <w:rFonts w:ascii="黑体" w:eastAsia="黑体" w:hAnsi="黑体" w:hint="eastAsia"/>
                <w:sz w:val="20"/>
                <w:szCs w:val="20"/>
              </w:rPr>
              <w:t>利息给付方式</w:t>
            </w:r>
          </w:p>
        </w:tc>
        <w:tc>
          <w:tcPr>
            <w:tcW w:w="1418" w:type="dxa"/>
          </w:tcPr>
          <w:p w14:paraId="5A0AE974" w14:textId="77777777" w:rsidR="00A052DC" w:rsidRDefault="009F0A60">
            <w:pPr>
              <w:rPr>
                <w:rFonts w:ascii="黑体" w:eastAsia="黑体" w:hAnsi="黑体"/>
                <w:sz w:val="20"/>
                <w:szCs w:val="20"/>
              </w:rPr>
            </w:pPr>
            <w:r>
              <w:rPr>
                <w:rFonts w:ascii="黑体" w:eastAsia="黑体" w:hAnsi="黑体" w:hint="eastAsia"/>
                <w:sz w:val="20"/>
                <w:szCs w:val="20"/>
              </w:rPr>
              <w:t>字符型，256</w:t>
            </w:r>
          </w:p>
        </w:tc>
        <w:tc>
          <w:tcPr>
            <w:tcW w:w="3685" w:type="dxa"/>
          </w:tcPr>
          <w:p w14:paraId="6FAAE6F9"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r w:rsidR="00A052DC" w14:paraId="5473ABDA" w14:textId="77777777">
        <w:tc>
          <w:tcPr>
            <w:tcW w:w="1702" w:type="dxa"/>
            <w:tcBorders>
              <w:top w:val="single" w:sz="4" w:space="0" w:color="auto"/>
              <w:left w:val="single" w:sz="4" w:space="0" w:color="auto"/>
              <w:bottom w:val="single" w:sz="4" w:space="0" w:color="auto"/>
              <w:right w:val="single" w:sz="4" w:space="0" w:color="auto"/>
            </w:tcBorders>
          </w:tcPr>
          <w:p w14:paraId="635E9859" w14:textId="77777777" w:rsidR="00A052DC" w:rsidRDefault="009F0A60">
            <w:pPr>
              <w:rPr>
                <w:rFonts w:ascii="黑体" w:eastAsia="黑体" w:hAnsi="黑体"/>
                <w:sz w:val="20"/>
                <w:szCs w:val="20"/>
              </w:rPr>
            </w:pPr>
            <w:r>
              <w:rPr>
                <w:rFonts w:ascii="黑体" w:eastAsia="黑体" w:hAnsi="黑体"/>
                <w:sz w:val="20"/>
                <w:szCs w:val="20"/>
              </w:rPr>
              <w:t>REMARK</w:t>
            </w:r>
          </w:p>
        </w:tc>
        <w:tc>
          <w:tcPr>
            <w:tcW w:w="1842" w:type="dxa"/>
            <w:tcBorders>
              <w:top w:val="single" w:sz="4" w:space="0" w:color="auto"/>
              <w:left w:val="single" w:sz="4" w:space="0" w:color="auto"/>
              <w:bottom w:val="single" w:sz="4" w:space="0" w:color="auto"/>
              <w:right w:val="single" w:sz="4" w:space="0" w:color="auto"/>
            </w:tcBorders>
          </w:tcPr>
          <w:p w14:paraId="3F078877" w14:textId="77777777" w:rsidR="00A052DC" w:rsidRDefault="009F0A60">
            <w:pPr>
              <w:rPr>
                <w:rFonts w:ascii="黑体" w:eastAsia="黑体" w:hAnsi="黑体"/>
                <w:sz w:val="20"/>
                <w:szCs w:val="20"/>
              </w:rPr>
            </w:pPr>
            <w:r>
              <w:rPr>
                <w:rFonts w:ascii="黑体" w:eastAsia="黑体" w:hAnsi="黑体" w:hint="eastAsia"/>
                <w:sz w:val="20"/>
                <w:szCs w:val="20"/>
              </w:rPr>
              <w:t>备注</w:t>
            </w:r>
          </w:p>
        </w:tc>
        <w:tc>
          <w:tcPr>
            <w:tcW w:w="1418" w:type="dxa"/>
            <w:tcBorders>
              <w:top w:val="single" w:sz="4" w:space="0" w:color="auto"/>
              <w:left w:val="single" w:sz="4" w:space="0" w:color="auto"/>
              <w:bottom w:val="single" w:sz="4" w:space="0" w:color="auto"/>
              <w:right w:val="single" w:sz="4" w:space="0" w:color="auto"/>
            </w:tcBorders>
          </w:tcPr>
          <w:p w14:paraId="1F0B19EB" w14:textId="77777777" w:rsidR="00A052DC" w:rsidRDefault="009F0A60">
            <w:pPr>
              <w:rPr>
                <w:rFonts w:ascii="黑体" w:eastAsia="黑体" w:hAnsi="黑体"/>
                <w:sz w:val="20"/>
                <w:szCs w:val="20"/>
              </w:rPr>
            </w:pPr>
            <w:r>
              <w:rPr>
                <w:rFonts w:ascii="黑体" w:eastAsia="黑体" w:hAnsi="黑体" w:hint="eastAsia"/>
                <w:sz w:val="20"/>
                <w:szCs w:val="20"/>
              </w:rPr>
              <w:t>字符型，256</w:t>
            </w:r>
          </w:p>
        </w:tc>
        <w:tc>
          <w:tcPr>
            <w:tcW w:w="3685" w:type="dxa"/>
            <w:tcBorders>
              <w:top w:val="single" w:sz="4" w:space="0" w:color="auto"/>
              <w:left w:val="single" w:sz="4" w:space="0" w:color="auto"/>
              <w:bottom w:val="single" w:sz="4" w:space="0" w:color="auto"/>
              <w:right w:val="single" w:sz="4" w:space="0" w:color="auto"/>
            </w:tcBorders>
          </w:tcPr>
          <w:p w14:paraId="07EE1A4D" w14:textId="77777777" w:rsidR="00A052DC" w:rsidRDefault="009F0A60">
            <w:pPr>
              <w:rPr>
                <w:rFonts w:ascii="黑体" w:eastAsia="黑体" w:hAnsi="黑体"/>
                <w:sz w:val="20"/>
                <w:szCs w:val="20"/>
              </w:rPr>
            </w:pPr>
            <w:r>
              <w:rPr>
                <w:rFonts w:ascii="黑体" w:eastAsia="黑体" w:hAnsi="黑体" w:hint="eastAsia"/>
                <w:sz w:val="20"/>
                <w:szCs w:val="20"/>
              </w:rPr>
              <w:t>非必填项。</w:t>
            </w:r>
          </w:p>
        </w:tc>
      </w:tr>
    </w:tbl>
    <w:p w14:paraId="7494A6A7" w14:textId="77777777" w:rsidR="00A052DC" w:rsidRDefault="00A052DC"/>
    <w:p w14:paraId="05CA5A6B" w14:textId="77777777" w:rsidR="00A052DC" w:rsidRDefault="009F0A60" w:rsidP="0020251D">
      <w:pPr>
        <w:pStyle w:val="4"/>
        <w:numPr>
          <w:ilvl w:val="3"/>
          <w:numId w:val="1"/>
        </w:numPr>
        <w:jc w:val="left"/>
      </w:pPr>
      <w:bookmarkStart w:id="1736" w:name="_Toc454386992"/>
      <w:bookmarkStart w:id="1737" w:name="_Toc328635550"/>
      <w:r>
        <w:rPr>
          <w:rFonts w:hint="eastAsia"/>
        </w:rPr>
        <w:t>终止信息</w:t>
      </w:r>
      <w:bookmarkEnd w:id="1736"/>
      <w:bookmarkEnd w:id="1737"/>
    </w:p>
    <w:p w14:paraId="3EFB7730" w14:textId="77777777" w:rsidR="00A052DC" w:rsidRDefault="009F0A60" w:rsidP="0020251D">
      <w:pPr>
        <w:pStyle w:val="5"/>
        <w:numPr>
          <w:ilvl w:val="4"/>
          <w:numId w:val="1"/>
        </w:numPr>
        <w:spacing w:before="120" w:after="120" w:line="360" w:lineRule="auto"/>
        <w:jc w:val="left"/>
      </w:pPr>
      <w:bookmarkStart w:id="1738" w:name="_Toc454386993"/>
      <w:bookmarkStart w:id="1739" w:name="_Toc328635551"/>
      <w:r>
        <w:rPr>
          <w:rFonts w:hint="eastAsia"/>
        </w:rPr>
        <w:t>数据术语解释</w:t>
      </w:r>
      <w:bookmarkEnd w:id="1738"/>
      <w:bookmarkEnd w:id="1739"/>
    </w:p>
    <w:tbl>
      <w:tblPr>
        <w:tblW w:w="84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26"/>
        <w:gridCol w:w="6946"/>
      </w:tblGrid>
      <w:tr w:rsidR="00A052DC" w14:paraId="23D3E344" w14:textId="77777777">
        <w:tc>
          <w:tcPr>
            <w:tcW w:w="1526" w:type="dxa"/>
          </w:tcPr>
          <w:p w14:paraId="50184EBE" w14:textId="77777777" w:rsidR="00A052DC" w:rsidRDefault="009F0A60">
            <w:pPr>
              <w:jc w:val="center"/>
              <w:rPr>
                <w:rFonts w:ascii="黑体" w:eastAsia="黑体" w:hAnsi="黑体"/>
                <w:b/>
                <w:sz w:val="20"/>
                <w:szCs w:val="20"/>
              </w:rPr>
            </w:pPr>
            <w:r>
              <w:rPr>
                <w:rFonts w:ascii="黑体" w:eastAsia="黑体" w:hAnsi="黑体" w:hint="eastAsia"/>
                <w:b/>
                <w:sz w:val="20"/>
                <w:szCs w:val="20"/>
              </w:rPr>
              <w:t>基础数据项</w:t>
            </w:r>
          </w:p>
        </w:tc>
        <w:tc>
          <w:tcPr>
            <w:tcW w:w="6946" w:type="dxa"/>
          </w:tcPr>
          <w:p w14:paraId="4F91B4DA" w14:textId="77777777" w:rsidR="00A052DC" w:rsidRDefault="009F0A60">
            <w:pPr>
              <w:jc w:val="center"/>
              <w:rPr>
                <w:rFonts w:ascii="黑体" w:eastAsia="黑体" w:hAnsi="黑体"/>
                <w:b/>
                <w:sz w:val="20"/>
                <w:szCs w:val="20"/>
              </w:rPr>
            </w:pPr>
            <w:r>
              <w:rPr>
                <w:rFonts w:ascii="黑体" w:eastAsia="黑体" w:hAnsi="黑体" w:hint="eastAsia"/>
                <w:b/>
                <w:sz w:val="20"/>
                <w:szCs w:val="20"/>
              </w:rPr>
              <w:t>定义</w:t>
            </w:r>
          </w:p>
        </w:tc>
      </w:tr>
      <w:tr w:rsidR="00A052DC" w14:paraId="17D6B12A" w14:textId="77777777">
        <w:trPr>
          <w:cantSplit/>
          <w:trHeight w:val="218"/>
        </w:trPr>
        <w:tc>
          <w:tcPr>
            <w:tcW w:w="1526" w:type="dxa"/>
          </w:tcPr>
          <w:p w14:paraId="12C279E7" w14:textId="77777777" w:rsidR="00A052DC" w:rsidRDefault="009F0A60">
            <w:pPr>
              <w:rPr>
                <w:rFonts w:ascii="黑体" w:eastAsia="黑体" w:hAnsi="黑体"/>
                <w:sz w:val="20"/>
                <w:szCs w:val="20"/>
              </w:rPr>
            </w:pPr>
            <w:r>
              <w:rPr>
                <w:rFonts w:ascii="黑体" w:eastAsia="黑体" w:hAnsi="黑体" w:hint="eastAsia"/>
                <w:sz w:val="20"/>
                <w:szCs w:val="20"/>
              </w:rPr>
              <w:t>人民币结构性存款编号</w:t>
            </w:r>
          </w:p>
        </w:tc>
        <w:tc>
          <w:tcPr>
            <w:tcW w:w="6946" w:type="dxa"/>
          </w:tcPr>
          <w:p w14:paraId="49CB505C" w14:textId="77777777" w:rsidR="00A052DC" w:rsidRDefault="009F0A60">
            <w:pPr>
              <w:rPr>
                <w:rFonts w:ascii="黑体" w:eastAsia="黑体" w:hAnsi="黑体"/>
                <w:sz w:val="20"/>
                <w:szCs w:val="20"/>
              </w:rPr>
            </w:pPr>
            <w:r>
              <w:rPr>
                <w:rFonts w:ascii="黑体" w:eastAsia="黑体" w:hAnsi="黑体" w:hint="eastAsia"/>
                <w:sz w:val="20"/>
                <w:szCs w:val="20"/>
              </w:rPr>
              <w:t>该笔终止情况对应的人民币结构性存款编号。终止信息不产生新的人民币结构性存款编号，终止信息中的人民币结构性存款编号必须为签约信息中已经报送的人民币结构性存款编号。</w:t>
            </w:r>
          </w:p>
        </w:tc>
      </w:tr>
      <w:tr w:rsidR="00A052DC" w14:paraId="114B4E3C" w14:textId="77777777">
        <w:trPr>
          <w:cantSplit/>
        </w:trPr>
        <w:tc>
          <w:tcPr>
            <w:tcW w:w="1526" w:type="dxa"/>
          </w:tcPr>
          <w:p w14:paraId="225766A3" w14:textId="77777777" w:rsidR="00A052DC" w:rsidRDefault="009F0A60">
            <w:pPr>
              <w:rPr>
                <w:rFonts w:ascii="黑体" w:eastAsia="黑体" w:hAnsi="黑体"/>
                <w:sz w:val="20"/>
                <w:szCs w:val="20"/>
              </w:rPr>
            </w:pPr>
            <w:r>
              <w:rPr>
                <w:rFonts w:ascii="黑体" w:eastAsia="黑体" w:hAnsi="黑体" w:hint="eastAsia"/>
                <w:sz w:val="20"/>
                <w:szCs w:val="20"/>
              </w:rPr>
              <w:t>金融机构标识码</w:t>
            </w:r>
          </w:p>
        </w:tc>
        <w:tc>
          <w:tcPr>
            <w:tcW w:w="6946" w:type="dxa"/>
          </w:tcPr>
          <w:p w14:paraId="0E092E8B" w14:textId="77777777" w:rsidR="00A052DC" w:rsidRDefault="009F0A60">
            <w:pPr>
              <w:rPr>
                <w:rFonts w:ascii="黑体" w:eastAsia="黑体" w:hAnsi="黑体"/>
                <w:sz w:val="20"/>
                <w:szCs w:val="20"/>
              </w:rPr>
            </w:pPr>
            <w:r>
              <w:rPr>
                <w:rFonts w:ascii="黑体" w:eastAsia="黑体" w:hAnsi="黑体" w:hint="eastAsia"/>
                <w:sz w:val="20"/>
                <w:szCs w:val="20"/>
              </w:rPr>
              <w:t>国家外汇管理局及其分支局签发托管银行</w:t>
            </w:r>
            <w:r>
              <w:rPr>
                <w:rFonts w:ascii="黑体" w:eastAsia="黑体" w:hAnsi="黑体"/>
                <w:sz w:val="20"/>
                <w:szCs w:val="20"/>
              </w:rPr>
              <w:t>12</w:t>
            </w:r>
            <w:r>
              <w:rPr>
                <w:rFonts w:ascii="黑体" w:eastAsia="黑体" w:hAnsi="黑体" w:hint="eastAsia"/>
                <w:sz w:val="20"/>
                <w:szCs w:val="20"/>
              </w:rPr>
              <w:t>位金融机构标识码。</w:t>
            </w:r>
          </w:p>
        </w:tc>
      </w:tr>
      <w:tr w:rsidR="00A052DC" w14:paraId="00FAF578" w14:textId="77777777">
        <w:trPr>
          <w:cantSplit/>
        </w:trPr>
        <w:tc>
          <w:tcPr>
            <w:tcW w:w="1526" w:type="dxa"/>
          </w:tcPr>
          <w:p w14:paraId="11050F11" w14:textId="77777777" w:rsidR="00A052DC" w:rsidRDefault="009F0A60">
            <w:pPr>
              <w:rPr>
                <w:rFonts w:ascii="黑体" w:eastAsia="黑体" w:hAnsi="黑体"/>
                <w:sz w:val="20"/>
                <w:szCs w:val="20"/>
              </w:rPr>
            </w:pPr>
            <w:r>
              <w:rPr>
                <w:rFonts w:ascii="黑体" w:eastAsia="黑体" w:hAnsi="黑体" w:hint="eastAsia"/>
                <w:sz w:val="20"/>
                <w:szCs w:val="20"/>
              </w:rPr>
              <w:t>终止类型</w:t>
            </w:r>
          </w:p>
        </w:tc>
        <w:tc>
          <w:tcPr>
            <w:tcW w:w="6946" w:type="dxa"/>
          </w:tcPr>
          <w:p w14:paraId="0A1FCCA8" w14:textId="77777777" w:rsidR="00A052DC" w:rsidRDefault="009F0A60">
            <w:pPr>
              <w:rPr>
                <w:rFonts w:ascii="黑体" w:eastAsia="黑体" w:hAnsi="黑体"/>
                <w:sz w:val="20"/>
                <w:szCs w:val="20"/>
              </w:rPr>
            </w:pPr>
            <w:r>
              <w:rPr>
                <w:rFonts w:ascii="黑体" w:eastAsia="黑体" w:hAnsi="黑体" w:hint="eastAsia"/>
                <w:sz w:val="20"/>
                <w:szCs w:val="20"/>
              </w:rPr>
              <w:t>参见终止类型代码表。</w:t>
            </w:r>
          </w:p>
        </w:tc>
      </w:tr>
      <w:tr w:rsidR="00A052DC" w14:paraId="717A528A" w14:textId="77777777">
        <w:trPr>
          <w:cantSplit/>
        </w:trPr>
        <w:tc>
          <w:tcPr>
            <w:tcW w:w="1526" w:type="dxa"/>
          </w:tcPr>
          <w:p w14:paraId="36A7A50E" w14:textId="77777777" w:rsidR="00A052DC" w:rsidRDefault="009F0A60">
            <w:pPr>
              <w:rPr>
                <w:rFonts w:ascii="黑体" w:eastAsia="黑体" w:hAnsi="黑体"/>
                <w:sz w:val="20"/>
                <w:szCs w:val="20"/>
              </w:rPr>
            </w:pPr>
            <w:r>
              <w:rPr>
                <w:rFonts w:ascii="黑体" w:eastAsia="黑体" w:hAnsi="黑体" w:hint="eastAsia"/>
                <w:sz w:val="20"/>
                <w:szCs w:val="20"/>
              </w:rPr>
              <w:t>终止支付编号</w:t>
            </w:r>
          </w:p>
        </w:tc>
        <w:tc>
          <w:tcPr>
            <w:tcW w:w="6946" w:type="dxa"/>
          </w:tcPr>
          <w:p w14:paraId="5873E739" w14:textId="77777777" w:rsidR="00A052DC" w:rsidRDefault="009F0A60">
            <w:pPr>
              <w:rPr>
                <w:rFonts w:ascii="黑体" w:eastAsia="黑体" w:hAnsi="黑体"/>
                <w:sz w:val="20"/>
                <w:szCs w:val="20"/>
              </w:rPr>
            </w:pPr>
            <w:r>
              <w:rPr>
                <w:rFonts w:ascii="黑体" w:eastAsia="黑体" w:hAnsi="黑体" w:hint="eastAsia"/>
                <w:sz w:val="20"/>
                <w:szCs w:val="20"/>
              </w:rPr>
              <w:t>对于同一编号下分次终止支付的人民币结构性存款，银行自行为每次终止支付逐一编号，编号规则为</w:t>
            </w:r>
            <w:r>
              <w:rPr>
                <w:rFonts w:ascii="黑体" w:eastAsia="黑体" w:hAnsi="黑体"/>
                <w:sz w:val="20"/>
                <w:szCs w:val="20"/>
              </w:rPr>
              <w:t>4</w:t>
            </w:r>
            <w:r>
              <w:rPr>
                <w:rFonts w:ascii="黑体" w:eastAsia="黑体" w:hAnsi="黑体" w:hint="eastAsia"/>
                <w:sz w:val="20"/>
                <w:szCs w:val="20"/>
              </w:rPr>
              <w:t>位流水号，编号格式如</w:t>
            </w:r>
            <w:r>
              <w:rPr>
                <w:rFonts w:ascii="黑体" w:eastAsia="黑体" w:hAnsi="黑体"/>
                <w:sz w:val="20"/>
                <w:szCs w:val="20"/>
              </w:rPr>
              <w:t>0001</w:t>
            </w:r>
            <w:r>
              <w:rPr>
                <w:rFonts w:ascii="黑体" w:eastAsia="黑体" w:hAnsi="黑体" w:hint="eastAsia"/>
                <w:sz w:val="20"/>
                <w:szCs w:val="20"/>
              </w:rPr>
              <w:t>。</w:t>
            </w:r>
          </w:p>
        </w:tc>
      </w:tr>
      <w:tr w:rsidR="00A052DC" w14:paraId="400C7143" w14:textId="77777777">
        <w:trPr>
          <w:cantSplit/>
        </w:trPr>
        <w:tc>
          <w:tcPr>
            <w:tcW w:w="1526" w:type="dxa"/>
          </w:tcPr>
          <w:p w14:paraId="7CBD7A5B" w14:textId="77777777" w:rsidR="00A052DC" w:rsidRDefault="009F0A60">
            <w:pPr>
              <w:rPr>
                <w:rFonts w:ascii="黑体" w:eastAsia="黑体" w:hAnsi="黑体"/>
                <w:sz w:val="20"/>
                <w:szCs w:val="20"/>
              </w:rPr>
            </w:pPr>
            <w:r>
              <w:rPr>
                <w:rFonts w:ascii="黑体" w:eastAsia="黑体" w:hAnsi="黑体" w:hint="eastAsia"/>
                <w:sz w:val="20"/>
                <w:szCs w:val="20"/>
              </w:rPr>
              <w:t>合同号</w:t>
            </w:r>
          </w:p>
        </w:tc>
        <w:tc>
          <w:tcPr>
            <w:tcW w:w="6946" w:type="dxa"/>
          </w:tcPr>
          <w:p w14:paraId="0C0BE993" w14:textId="77777777" w:rsidR="00A052DC" w:rsidRDefault="009F0A60">
            <w:pPr>
              <w:rPr>
                <w:rFonts w:ascii="黑体" w:eastAsia="黑体" w:hAnsi="黑体"/>
                <w:sz w:val="20"/>
                <w:szCs w:val="20"/>
              </w:rPr>
            </w:pPr>
            <w:r>
              <w:rPr>
                <w:rFonts w:ascii="黑体" w:eastAsia="黑体" w:hAnsi="黑体" w:hint="eastAsia"/>
                <w:sz w:val="20"/>
                <w:szCs w:val="20"/>
              </w:rPr>
              <w:t>银行与客户签订人民币结构性存款合同号。</w:t>
            </w:r>
          </w:p>
        </w:tc>
      </w:tr>
      <w:tr w:rsidR="00A052DC" w14:paraId="50EE9209" w14:textId="77777777">
        <w:trPr>
          <w:cantSplit/>
        </w:trPr>
        <w:tc>
          <w:tcPr>
            <w:tcW w:w="1526" w:type="dxa"/>
          </w:tcPr>
          <w:p w14:paraId="3861EE68" w14:textId="77777777" w:rsidR="00A052DC" w:rsidRDefault="009F0A60">
            <w:pPr>
              <w:rPr>
                <w:rFonts w:ascii="黑体" w:eastAsia="黑体" w:hAnsi="黑体"/>
                <w:sz w:val="20"/>
                <w:szCs w:val="20"/>
              </w:rPr>
            </w:pPr>
            <w:r>
              <w:rPr>
                <w:rFonts w:ascii="黑体" w:eastAsia="黑体" w:hAnsi="黑体" w:hint="eastAsia"/>
                <w:sz w:val="20"/>
                <w:szCs w:val="20"/>
              </w:rPr>
              <w:t>终止日期</w:t>
            </w:r>
          </w:p>
        </w:tc>
        <w:tc>
          <w:tcPr>
            <w:tcW w:w="6946" w:type="dxa"/>
          </w:tcPr>
          <w:p w14:paraId="2003E82C" w14:textId="77777777" w:rsidR="00A052DC" w:rsidRDefault="009F0A60">
            <w:pPr>
              <w:rPr>
                <w:rFonts w:ascii="黑体" w:eastAsia="黑体" w:hAnsi="黑体"/>
                <w:sz w:val="20"/>
                <w:szCs w:val="20"/>
              </w:rPr>
            </w:pPr>
            <w:r>
              <w:rPr>
                <w:rFonts w:ascii="黑体" w:eastAsia="黑体" w:hAnsi="黑体" w:hint="eastAsia"/>
                <w:sz w:val="20"/>
                <w:szCs w:val="20"/>
              </w:rPr>
              <w:t>人民币结构性存款合同终止日期。</w:t>
            </w:r>
          </w:p>
        </w:tc>
      </w:tr>
      <w:tr w:rsidR="00A052DC" w14:paraId="21A25934" w14:textId="77777777">
        <w:trPr>
          <w:cantSplit/>
        </w:trPr>
        <w:tc>
          <w:tcPr>
            <w:tcW w:w="1526" w:type="dxa"/>
          </w:tcPr>
          <w:p w14:paraId="6B6549FE" w14:textId="77777777" w:rsidR="00A052DC" w:rsidRDefault="009F0A60">
            <w:pPr>
              <w:rPr>
                <w:rFonts w:ascii="黑体" w:eastAsia="黑体" w:hAnsi="黑体"/>
                <w:sz w:val="20"/>
                <w:szCs w:val="20"/>
              </w:rPr>
            </w:pPr>
            <w:r>
              <w:rPr>
                <w:rFonts w:ascii="黑体" w:eastAsia="黑体" w:hAnsi="黑体" w:hint="eastAsia"/>
                <w:sz w:val="20"/>
                <w:szCs w:val="20"/>
              </w:rPr>
              <w:t>终止支付金额合计折人民币</w:t>
            </w:r>
          </w:p>
        </w:tc>
        <w:tc>
          <w:tcPr>
            <w:tcW w:w="6946" w:type="dxa"/>
          </w:tcPr>
          <w:p w14:paraId="27D4969A" w14:textId="77777777" w:rsidR="00A052DC" w:rsidRDefault="009F0A60">
            <w:pPr>
              <w:rPr>
                <w:rFonts w:ascii="黑体" w:eastAsia="黑体" w:hAnsi="黑体"/>
                <w:sz w:val="20"/>
                <w:szCs w:val="20"/>
              </w:rPr>
            </w:pPr>
            <w:r>
              <w:rPr>
                <w:rFonts w:ascii="黑体" w:eastAsia="黑体" w:hAnsi="黑体" w:hint="eastAsia"/>
                <w:sz w:val="20"/>
                <w:szCs w:val="20"/>
              </w:rPr>
              <w:t>人民币结构性存款合同终止后，支付金额合计折人民币值，等于终止人民币支付金额</w:t>
            </w:r>
            <w:r>
              <w:rPr>
                <w:rFonts w:ascii="黑体" w:eastAsia="黑体" w:hAnsi="黑体"/>
                <w:sz w:val="20"/>
                <w:szCs w:val="20"/>
              </w:rPr>
              <w:t>+</w:t>
            </w:r>
            <w:r>
              <w:rPr>
                <w:rFonts w:ascii="黑体" w:eastAsia="黑体" w:hAnsi="黑体" w:hint="eastAsia"/>
                <w:sz w:val="20"/>
                <w:szCs w:val="20"/>
              </w:rPr>
              <w:t>终止外币支付金额折人民币。</w:t>
            </w:r>
          </w:p>
        </w:tc>
      </w:tr>
      <w:tr w:rsidR="00A052DC" w14:paraId="734BAC50" w14:textId="77777777">
        <w:trPr>
          <w:cantSplit/>
        </w:trPr>
        <w:tc>
          <w:tcPr>
            <w:tcW w:w="1526" w:type="dxa"/>
          </w:tcPr>
          <w:p w14:paraId="6C44EFC3" w14:textId="77777777" w:rsidR="00A052DC" w:rsidRDefault="009F0A60">
            <w:pPr>
              <w:rPr>
                <w:rFonts w:ascii="黑体" w:eastAsia="黑体" w:hAnsi="黑体"/>
                <w:sz w:val="20"/>
                <w:szCs w:val="20"/>
              </w:rPr>
            </w:pPr>
            <w:r>
              <w:rPr>
                <w:rFonts w:ascii="黑体" w:eastAsia="黑体" w:hAnsi="黑体" w:hint="eastAsia"/>
                <w:sz w:val="20"/>
                <w:szCs w:val="20"/>
              </w:rPr>
              <w:t>终止人民币支付金额</w:t>
            </w:r>
          </w:p>
        </w:tc>
        <w:tc>
          <w:tcPr>
            <w:tcW w:w="6946" w:type="dxa"/>
          </w:tcPr>
          <w:p w14:paraId="2BAEFDCF" w14:textId="77777777" w:rsidR="00A052DC" w:rsidRDefault="009F0A60">
            <w:pPr>
              <w:rPr>
                <w:rFonts w:ascii="黑体" w:eastAsia="黑体" w:hAnsi="黑体"/>
                <w:sz w:val="20"/>
                <w:szCs w:val="20"/>
              </w:rPr>
            </w:pPr>
            <w:r>
              <w:rPr>
                <w:rFonts w:ascii="黑体" w:eastAsia="黑体" w:hAnsi="黑体" w:hint="eastAsia"/>
                <w:sz w:val="20"/>
                <w:szCs w:val="20"/>
              </w:rPr>
              <w:t>人民币结构性存款合同终止后，若存在以人民币形式支付的，填报支付人民币金额。</w:t>
            </w:r>
          </w:p>
        </w:tc>
      </w:tr>
      <w:tr w:rsidR="00A052DC" w14:paraId="5EE208C5" w14:textId="77777777">
        <w:trPr>
          <w:cantSplit/>
        </w:trPr>
        <w:tc>
          <w:tcPr>
            <w:tcW w:w="1526" w:type="dxa"/>
          </w:tcPr>
          <w:p w14:paraId="391E6928" w14:textId="77777777" w:rsidR="00A052DC" w:rsidRDefault="009F0A60">
            <w:pPr>
              <w:rPr>
                <w:rFonts w:ascii="黑体" w:eastAsia="黑体" w:hAnsi="黑体"/>
                <w:sz w:val="20"/>
                <w:szCs w:val="20"/>
              </w:rPr>
            </w:pPr>
            <w:r>
              <w:rPr>
                <w:rFonts w:ascii="黑体" w:eastAsia="黑体" w:hAnsi="黑体" w:hint="eastAsia"/>
                <w:sz w:val="20"/>
                <w:szCs w:val="20"/>
              </w:rPr>
              <w:t>终止外币支付币种</w:t>
            </w:r>
          </w:p>
        </w:tc>
        <w:tc>
          <w:tcPr>
            <w:tcW w:w="6946" w:type="dxa"/>
          </w:tcPr>
          <w:p w14:paraId="5EB4F32E" w14:textId="77777777" w:rsidR="00A052DC" w:rsidRDefault="009F0A60">
            <w:pPr>
              <w:rPr>
                <w:rFonts w:ascii="黑体" w:eastAsia="黑体" w:hAnsi="黑体"/>
                <w:sz w:val="20"/>
                <w:szCs w:val="20"/>
              </w:rPr>
            </w:pPr>
            <w:r>
              <w:rPr>
                <w:rFonts w:ascii="黑体" w:eastAsia="黑体" w:hAnsi="黑体" w:hint="eastAsia"/>
                <w:sz w:val="20"/>
                <w:szCs w:val="20"/>
              </w:rPr>
              <w:t>人民币结构性存款合同终止后，若存在以外币形式支付的，填报支付外币币种。</w:t>
            </w:r>
          </w:p>
        </w:tc>
      </w:tr>
      <w:tr w:rsidR="00A052DC" w14:paraId="01F5F814" w14:textId="77777777">
        <w:trPr>
          <w:cantSplit/>
        </w:trPr>
        <w:tc>
          <w:tcPr>
            <w:tcW w:w="1526" w:type="dxa"/>
          </w:tcPr>
          <w:p w14:paraId="20775E56" w14:textId="77777777" w:rsidR="00A052DC" w:rsidRDefault="009F0A60">
            <w:pPr>
              <w:rPr>
                <w:rFonts w:ascii="黑体" w:eastAsia="黑体" w:hAnsi="黑体"/>
                <w:sz w:val="20"/>
                <w:szCs w:val="20"/>
              </w:rPr>
            </w:pPr>
            <w:r>
              <w:rPr>
                <w:rFonts w:ascii="黑体" w:eastAsia="黑体" w:hAnsi="黑体" w:hint="eastAsia"/>
                <w:sz w:val="20"/>
                <w:szCs w:val="20"/>
              </w:rPr>
              <w:t>终止外币支付金额</w:t>
            </w:r>
          </w:p>
        </w:tc>
        <w:tc>
          <w:tcPr>
            <w:tcW w:w="6946" w:type="dxa"/>
          </w:tcPr>
          <w:p w14:paraId="1E6ACAE2" w14:textId="77777777" w:rsidR="00A052DC" w:rsidRDefault="009F0A60">
            <w:pPr>
              <w:rPr>
                <w:rFonts w:ascii="黑体" w:eastAsia="黑体" w:hAnsi="黑体"/>
                <w:sz w:val="20"/>
                <w:szCs w:val="20"/>
              </w:rPr>
            </w:pPr>
            <w:r>
              <w:rPr>
                <w:rFonts w:ascii="黑体" w:eastAsia="黑体" w:hAnsi="黑体" w:hint="eastAsia"/>
                <w:sz w:val="20"/>
                <w:szCs w:val="20"/>
              </w:rPr>
              <w:t>人民币结构性存款合同终止后，若存在以外币形式支付的，填报支付外币金额。</w:t>
            </w:r>
          </w:p>
        </w:tc>
      </w:tr>
      <w:tr w:rsidR="00A052DC" w14:paraId="7F2580A8" w14:textId="77777777">
        <w:trPr>
          <w:cantSplit/>
        </w:trPr>
        <w:tc>
          <w:tcPr>
            <w:tcW w:w="1526" w:type="dxa"/>
            <w:tcBorders>
              <w:top w:val="single" w:sz="6" w:space="0" w:color="auto"/>
              <w:left w:val="single" w:sz="6" w:space="0" w:color="auto"/>
              <w:bottom w:val="single" w:sz="6" w:space="0" w:color="auto"/>
              <w:right w:val="single" w:sz="6" w:space="0" w:color="auto"/>
            </w:tcBorders>
          </w:tcPr>
          <w:p w14:paraId="543ABEAD" w14:textId="77777777" w:rsidR="00A052DC" w:rsidRDefault="009F0A60">
            <w:pPr>
              <w:rPr>
                <w:rFonts w:ascii="黑体" w:eastAsia="黑体" w:hAnsi="黑体"/>
                <w:sz w:val="20"/>
                <w:szCs w:val="20"/>
              </w:rPr>
            </w:pPr>
            <w:r>
              <w:rPr>
                <w:rFonts w:ascii="黑体" w:eastAsia="黑体" w:hAnsi="黑体" w:hint="eastAsia"/>
                <w:sz w:val="20"/>
                <w:szCs w:val="20"/>
              </w:rPr>
              <w:t>备注</w:t>
            </w:r>
          </w:p>
        </w:tc>
        <w:tc>
          <w:tcPr>
            <w:tcW w:w="6946" w:type="dxa"/>
            <w:tcBorders>
              <w:top w:val="single" w:sz="6" w:space="0" w:color="auto"/>
              <w:left w:val="single" w:sz="6" w:space="0" w:color="auto"/>
              <w:bottom w:val="single" w:sz="6" w:space="0" w:color="auto"/>
              <w:right w:val="single" w:sz="6" w:space="0" w:color="auto"/>
            </w:tcBorders>
          </w:tcPr>
          <w:p w14:paraId="6CB1E184" w14:textId="77777777" w:rsidR="00A052DC" w:rsidRDefault="009F0A60">
            <w:pPr>
              <w:rPr>
                <w:rFonts w:ascii="黑体" w:eastAsia="黑体" w:hAnsi="黑体"/>
                <w:sz w:val="20"/>
                <w:szCs w:val="20"/>
              </w:rPr>
            </w:pPr>
            <w:r>
              <w:rPr>
                <w:rFonts w:ascii="黑体" w:eastAsia="黑体" w:hAnsi="黑体" w:hint="eastAsia"/>
                <w:sz w:val="20"/>
                <w:szCs w:val="20"/>
              </w:rPr>
              <w:t>需要说明的备注事项。</w:t>
            </w:r>
          </w:p>
        </w:tc>
      </w:tr>
    </w:tbl>
    <w:p w14:paraId="5CC5A909" w14:textId="77777777" w:rsidR="00A052DC" w:rsidRDefault="00A052DC"/>
    <w:p w14:paraId="25F2AFCA" w14:textId="77777777" w:rsidR="00A052DC" w:rsidRDefault="009F0A60" w:rsidP="0020251D">
      <w:pPr>
        <w:pStyle w:val="5"/>
        <w:numPr>
          <w:ilvl w:val="4"/>
          <w:numId w:val="1"/>
        </w:numPr>
        <w:spacing w:before="120" w:after="120" w:line="360" w:lineRule="auto"/>
        <w:jc w:val="left"/>
      </w:pPr>
      <w:bookmarkStart w:id="1740" w:name="_Toc454386994"/>
      <w:bookmarkStart w:id="1741" w:name="_Toc328635552"/>
      <w:r>
        <w:rPr>
          <w:rFonts w:hint="eastAsia"/>
        </w:rPr>
        <w:t>数据格式</w:t>
      </w:r>
      <w:bookmarkEnd w:id="1740"/>
      <w:bookmarkEnd w:id="1741"/>
    </w:p>
    <w:p w14:paraId="6A4E92F9" w14:textId="77777777" w:rsidR="00A052DC" w:rsidRDefault="009F0A60">
      <w:r>
        <w:t>&lt;REC&gt;</w:t>
      </w:r>
    </w:p>
    <w:p w14:paraId="63695C4E" w14:textId="77777777" w:rsidR="00A052DC" w:rsidRDefault="009F0A60">
      <w:r>
        <w:t>&lt;ACTIONTYPE&gt;</w:t>
      </w:r>
      <w:r>
        <w:rPr>
          <w:rFonts w:hint="eastAsia"/>
        </w:rPr>
        <w:t>操作类型</w:t>
      </w:r>
      <w:r>
        <w:t>&lt;/ACTIONTYPE&gt;</w:t>
      </w:r>
    </w:p>
    <w:p w14:paraId="5C071438" w14:textId="77777777" w:rsidR="00A052DC" w:rsidRDefault="009F0A60">
      <w:r>
        <w:t>&lt;ACTIONDESC&gt;</w:t>
      </w:r>
      <w:r>
        <w:rPr>
          <w:rFonts w:hint="eastAsia"/>
        </w:rPr>
        <w:t>删除原因</w:t>
      </w:r>
      <w:r>
        <w:t>&lt;/ACTIONDESC&gt;</w:t>
      </w:r>
    </w:p>
    <w:p w14:paraId="169F9A2A" w14:textId="77777777" w:rsidR="00A052DC" w:rsidRDefault="009F0A60">
      <w:r>
        <w:t>&lt;STRDECODE&gt;</w:t>
      </w:r>
      <w:r>
        <w:rPr>
          <w:rFonts w:hint="eastAsia"/>
        </w:rPr>
        <w:t>人民币结构性存款编号</w:t>
      </w:r>
      <w:r>
        <w:t>&lt;/STRDECODE&gt;</w:t>
      </w:r>
    </w:p>
    <w:p w14:paraId="03E9ED5E" w14:textId="77777777" w:rsidR="00A052DC" w:rsidRDefault="009F0A60">
      <w:r>
        <w:t>&lt;BRANCHCODE&gt;</w:t>
      </w:r>
      <w:r>
        <w:rPr>
          <w:rFonts w:hint="eastAsia"/>
        </w:rPr>
        <w:t>金融机构标识码</w:t>
      </w:r>
      <w:r>
        <w:t>&lt;/BRANCHCODE&gt;</w:t>
      </w:r>
    </w:p>
    <w:p w14:paraId="4043D3CA" w14:textId="77777777" w:rsidR="00A052DC" w:rsidRDefault="009F0A60">
      <w:r>
        <w:t>&lt;TERTYPE&gt;</w:t>
      </w:r>
      <w:r>
        <w:rPr>
          <w:rFonts w:hint="eastAsia"/>
        </w:rPr>
        <w:t>终止类型</w:t>
      </w:r>
      <w:r>
        <w:t>&lt;/TERTYPE&gt;</w:t>
      </w:r>
    </w:p>
    <w:p w14:paraId="0520BF68" w14:textId="77777777" w:rsidR="00A052DC" w:rsidRDefault="009F0A60">
      <w:r>
        <w:t>&lt;TERPAYCODE&gt;</w:t>
      </w:r>
      <w:r>
        <w:rPr>
          <w:rFonts w:hint="eastAsia"/>
        </w:rPr>
        <w:t>终止支付编号</w:t>
      </w:r>
      <w:r>
        <w:t>&lt;/TERPAYCODE&gt;</w:t>
      </w:r>
    </w:p>
    <w:p w14:paraId="545BB626" w14:textId="77777777" w:rsidR="00A052DC" w:rsidRDefault="009F0A60">
      <w:r>
        <w:t>&lt;CONTRACT&gt;</w:t>
      </w:r>
      <w:r>
        <w:rPr>
          <w:rFonts w:hint="eastAsia"/>
        </w:rPr>
        <w:t>合同号</w:t>
      </w:r>
      <w:r>
        <w:t>&lt;/CONTRACT&gt;</w:t>
      </w:r>
    </w:p>
    <w:p w14:paraId="5D67A093" w14:textId="77777777" w:rsidR="00A052DC" w:rsidRDefault="009F0A60">
      <w:r>
        <w:t>&lt;TERDATE&gt;</w:t>
      </w:r>
      <w:r>
        <w:rPr>
          <w:rFonts w:hint="eastAsia"/>
        </w:rPr>
        <w:t>终止日期</w:t>
      </w:r>
      <w:r>
        <w:t>&lt;/TERDATE&gt;</w:t>
      </w:r>
    </w:p>
    <w:p w14:paraId="6B882042" w14:textId="77777777" w:rsidR="00A052DC" w:rsidRDefault="009F0A60">
      <w:r>
        <w:t>&lt;TERPAYAMTORMB&gt;</w:t>
      </w:r>
      <w:r>
        <w:rPr>
          <w:rFonts w:hint="eastAsia"/>
        </w:rPr>
        <w:t>终止支付金额合计折人民币</w:t>
      </w:r>
      <w:r>
        <w:t>&lt;/TERPAYAMTORMB&gt;</w:t>
      </w:r>
    </w:p>
    <w:p w14:paraId="604A83A7" w14:textId="77777777" w:rsidR="00A052DC" w:rsidRDefault="009F0A60">
      <w:r>
        <w:t>&lt;TERRMBPAYAM&gt;</w:t>
      </w:r>
      <w:r>
        <w:rPr>
          <w:rFonts w:hint="eastAsia"/>
        </w:rPr>
        <w:t>终止人民币支付金额</w:t>
      </w:r>
      <w:r>
        <w:t>&lt;/TERRMBPAYAM&gt;</w:t>
      </w:r>
    </w:p>
    <w:p w14:paraId="25A98B4A" w14:textId="77777777" w:rsidR="00A052DC" w:rsidRDefault="009F0A60">
      <w:r>
        <w:t>&lt;TERPAYCURR&gt;</w:t>
      </w:r>
      <w:r>
        <w:rPr>
          <w:rFonts w:hint="eastAsia"/>
        </w:rPr>
        <w:t>终止外币支付币种</w:t>
      </w:r>
      <w:r>
        <w:t>&lt;/TERPAYCURR&gt;</w:t>
      </w:r>
    </w:p>
    <w:p w14:paraId="745165C1" w14:textId="77777777" w:rsidR="00A052DC" w:rsidRDefault="009F0A60">
      <w:r>
        <w:t>&lt;TERPAYCURRAM&gt;</w:t>
      </w:r>
      <w:r>
        <w:rPr>
          <w:rFonts w:hint="eastAsia"/>
        </w:rPr>
        <w:t>终止外币支付金额</w:t>
      </w:r>
      <w:r>
        <w:t>&lt;/TERPAYCURRAM&gt;</w:t>
      </w:r>
    </w:p>
    <w:p w14:paraId="71B98F14" w14:textId="77777777" w:rsidR="00A052DC" w:rsidRDefault="009F0A60">
      <w:r>
        <w:t>&lt;REMARK&gt;</w:t>
      </w:r>
      <w:r>
        <w:rPr>
          <w:rFonts w:hint="eastAsia"/>
        </w:rPr>
        <w:t>备注</w:t>
      </w:r>
      <w:r>
        <w:t>&lt;/REMARK&gt;</w:t>
      </w:r>
    </w:p>
    <w:p w14:paraId="76B2D6BE" w14:textId="77777777" w:rsidR="00A052DC" w:rsidRDefault="009F0A60">
      <w:r>
        <w:t>&lt;/REC&gt;</w:t>
      </w:r>
    </w:p>
    <w:p w14:paraId="45E52731" w14:textId="77777777" w:rsidR="00A052DC" w:rsidRDefault="009F0A60" w:rsidP="0020251D">
      <w:pPr>
        <w:pStyle w:val="5"/>
        <w:numPr>
          <w:ilvl w:val="4"/>
          <w:numId w:val="1"/>
        </w:numPr>
        <w:spacing w:before="120" w:after="120" w:line="360" w:lineRule="auto"/>
        <w:jc w:val="left"/>
      </w:pPr>
      <w:bookmarkStart w:id="1742" w:name="_Toc328635553"/>
      <w:bookmarkStart w:id="1743" w:name="_Toc454386995"/>
      <w:r>
        <w:rPr>
          <w:rFonts w:hint="eastAsia"/>
        </w:rPr>
        <w:t>数据字典</w:t>
      </w:r>
      <w:bookmarkEnd w:id="1742"/>
      <w:bookmarkEnd w:id="1743"/>
    </w:p>
    <w:tbl>
      <w:tblPr>
        <w:tblW w:w="86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842"/>
        <w:gridCol w:w="1418"/>
        <w:gridCol w:w="3685"/>
      </w:tblGrid>
      <w:tr w:rsidR="00A052DC" w14:paraId="2F220F64" w14:textId="77777777">
        <w:trPr>
          <w:tblHeader/>
        </w:trPr>
        <w:tc>
          <w:tcPr>
            <w:tcW w:w="1702" w:type="dxa"/>
            <w:shd w:val="clear" w:color="auto" w:fill="C0C0C0"/>
          </w:tcPr>
          <w:p w14:paraId="031D597F" w14:textId="77777777" w:rsidR="00A052DC" w:rsidRDefault="009F0A60">
            <w:pPr>
              <w:jc w:val="center"/>
              <w:rPr>
                <w:rFonts w:ascii="黑体" w:eastAsia="黑体" w:hAnsi="黑体"/>
                <w:b/>
                <w:sz w:val="20"/>
                <w:szCs w:val="20"/>
              </w:rPr>
            </w:pPr>
            <w:r>
              <w:rPr>
                <w:rFonts w:ascii="黑体" w:eastAsia="黑体" w:hAnsi="黑体" w:hint="eastAsia"/>
                <w:b/>
                <w:sz w:val="20"/>
                <w:szCs w:val="20"/>
              </w:rPr>
              <w:t>字段</w:t>
            </w:r>
          </w:p>
        </w:tc>
        <w:tc>
          <w:tcPr>
            <w:tcW w:w="1842" w:type="dxa"/>
            <w:shd w:val="clear" w:color="auto" w:fill="C0C0C0"/>
          </w:tcPr>
          <w:p w14:paraId="17FF16AF" w14:textId="77777777" w:rsidR="00A052DC" w:rsidRDefault="009F0A60">
            <w:pPr>
              <w:jc w:val="center"/>
              <w:rPr>
                <w:rFonts w:ascii="黑体" w:eastAsia="黑体" w:hAnsi="黑体"/>
                <w:b/>
                <w:sz w:val="20"/>
                <w:szCs w:val="20"/>
              </w:rPr>
            </w:pPr>
            <w:r>
              <w:rPr>
                <w:rFonts w:ascii="黑体" w:eastAsia="黑体" w:hAnsi="黑体" w:hint="eastAsia"/>
                <w:b/>
                <w:sz w:val="20"/>
                <w:szCs w:val="20"/>
              </w:rPr>
              <w:t>内容</w:t>
            </w:r>
          </w:p>
        </w:tc>
        <w:tc>
          <w:tcPr>
            <w:tcW w:w="1418" w:type="dxa"/>
            <w:shd w:val="clear" w:color="auto" w:fill="C0C0C0"/>
          </w:tcPr>
          <w:p w14:paraId="3015FE3C" w14:textId="77777777" w:rsidR="00A052DC" w:rsidRDefault="009F0A60">
            <w:pPr>
              <w:jc w:val="center"/>
              <w:rPr>
                <w:rFonts w:ascii="黑体" w:eastAsia="黑体" w:hAnsi="黑体"/>
                <w:b/>
                <w:sz w:val="20"/>
                <w:szCs w:val="20"/>
              </w:rPr>
            </w:pPr>
            <w:r>
              <w:rPr>
                <w:rFonts w:ascii="黑体" w:eastAsia="黑体" w:hAnsi="黑体" w:hint="eastAsia"/>
                <w:b/>
                <w:sz w:val="20"/>
                <w:szCs w:val="20"/>
              </w:rPr>
              <w:t>类型（长度）</w:t>
            </w:r>
          </w:p>
        </w:tc>
        <w:tc>
          <w:tcPr>
            <w:tcW w:w="3685" w:type="dxa"/>
            <w:shd w:val="clear" w:color="auto" w:fill="C0C0C0"/>
          </w:tcPr>
          <w:p w14:paraId="56C7194A" w14:textId="77777777" w:rsidR="00A052DC" w:rsidRDefault="009F0A60">
            <w:pPr>
              <w:jc w:val="center"/>
              <w:rPr>
                <w:rFonts w:ascii="黑体" w:eastAsia="黑体" w:hAnsi="黑体"/>
                <w:b/>
                <w:sz w:val="20"/>
                <w:szCs w:val="20"/>
              </w:rPr>
            </w:pPr>
            <w:r>
              <w:rPr>
                <w:rFonts w:ascii="黑体" w:eastAsia="黑体" w:hAnsi="黑体" w:hint="eastAsia"/>
                <w:b/>
                <w:sz w:val="20"/>
                <w:szCs w:val="20"/>
              </w:rPr>
              <w:t>校验</w:t>
            </w:r>
          </w:p>
        </w:tc>
      </w:tr>
      <w:tr w:rsidR="00A052DC" w14:paraId="726541B0" w14:textId="77777777">
        <w:tc>
          <w:tcPr>
            <w:tcW w:w="1702" w:type="dxa"/>
          </w:tcPr>
          <w:p w14:paraId="48B52B32" w14:textId="77777777" w:rsidR="00A052DC" w:rsidRDefault="009F0A60">
            <w:pPr>
              <w:rPr>
                <w:rFonts w:ascii="黑体" w:eastAsia="黑体" w:hAnsi="黑体"/>
                <w:sz w:val="20"/>
                <w:szCs w:val="20"/>
              </w:rPr>
            </w:pPr>
            <w:r>
              <w:rPr>
                <w:rFonts w:ascii="黑体" w:eastAsia="黑体" w:hAnsi="黑体"/>
                <w:sz w:val="20"/>
                <w:szCs w:val="20"/>
              </w:rPr>
              <w:t>ACTIONTYPE</w:t>
            </w:r>
          </w:p>
        </w:tc>
        <w:tc>
          <w:tcPr>
            <w:tcW w:w="1842" w:type="dxa"/>
          </w:tcPr>
          <w:p w14:paraId="6946FC05" w14:textId="77777777" w:rsidR="00A052DC" w:rsidRDefault="009F0A60">
            <w:pPr>
              <w:rPr>
                <w:rFonts w:ascii="黑体" w:eastAsia="黑体" w:hAnsi="黑体"/>
                <w:sz w:val="20"/>
                <w:szCs w:val="20"/>
              </w:rPr>
            </w:pPr>
            <w:r>
              <w:rPr>
                <w:rFonts w:ascii="黑体" w:eastAsia="黑体" w:hAnsi="黑体" w:hint="eastAsia"/>
                <w:sz w:val="20"/>
                <w:szCs w:val="20"/>
              </w:rPr>
              <w:t>操作类型</w:t>
            </w:r>
          </w:p>
        </w:tc>
        <w:tc>
          <w:tcPr>
            <w:tcW w:w="1418" w:type="dxa"/>
          </w:tcPr>
          <w:p w14:paraId="633F4A5E" w14:textId="77777777" w:rsidR="00A052DC" w:rsidRDefault="009F0A60">
            <w:pPr>
              <w:rPr>
                <w:rFonts w:ascii="黑体" w:eastAsia="黑体" w:hAnsi="黑体"/>
                <w:sz w:val="20"/>
                <w:szCs w:val="20"/>
              </w:rPr>
            </w:pPr>
            <w:r>
              <w:rPr>
                <w:rFonts w:ascii="黑体" w:eastAsia="黑体" w:hAnsi="黑体" w:hint="eastAsia"/>
                <w:sz w:val="20"/>
                <w:szCs w:val="20"/>
              </w:rPr>
              <w:t>字符型，1</w:t>
            </w:r>
          </w:p>
        </w:tc>
        <w:tc>
          <w:tcPr>
            <w:tcW w:w="3685" w:type="dxa"/>
          </w:tcPr>
          <w:p w14:paraId="0E14F056" w14:textId="77777777" w:rsidR="00A052DC" w:rsidRDefault="009F0A60">
            <w:pPr>
              <w:rPr>
                <w:rFonts w:ascii="黑体" w:eastAsia="黑体" w:hAnsi="黑体"/>
                <w:sz w:val="20"/>
                <w:szCs w:val="20"/>
              </w:rPr>
            </w:pPr>
            <w:r>
              <w:rPr>
                <w:rFonts w:ascii="黑体" w:eastAsia="黑体" w:hAnsi="黑体" w:hint="eastAsia"/>
                <w:sz w:val="20"/>
                <w:szCs w:val="20"/>
              </w:rPr>
              <w:t>必填项</w:t>
            </w:r>
            <w:r w:rsidR="007D1430">
              <w:rPr>
                <w:rFonts w:ascii="黑体" w:eastAsia="黑体" w:hAnsi="黑体" w:hint="eastAsia"/>
                <w:sz w:val="20"/>
                <w:szCs w:val="20"/>
              </w:rPr>
              <w:t>。</w:t>
            </w:r>
          </w:p>
          <w:p w14:paraId="5454D434" w14:textId="77777777" w:rsidR="00A052DC" w:rsidRDefault="009F0A60">
            <w:pPr>
              <w:rPr>
                <w:rFonts w:ascii="黑体" w:eastAsia="黑体" w:hAnsi="黑体"/>
                <w:sz w:val="20"/>
                <w:szCs w:val="20"/>
              </w:rPr>
            </w:pPr>
            <w:r>
              <w:rPr>
                <w:rFonts w:ascii="黑体" w:eastAsia="黑体" w:hAnsi="黑体" w:hint="eastAsia"/>
                <w:sz w:val="20"/>
                <w:szCs w:val="20"/>
              </w:rPr>
              <w:t>A</w:t>
            </w:r>
            <w:r w:rsidR="00AE4602">
              <w:rPr>
                <w:rFonts w:ascii="黑体" w:eastAsia="黑体" w:hAnsi="黑体" w:hint="eastAsia"/>
                <w:sz w:val="20"/>
                <w:szCs w:val="20"/>
              </w:rPr>
              <w:t>-</w:t>
            </w:r>
            <w:r>
              <w:rPr>
                <w:rFonts w:ascii="黑体" w:eastAsia="黑体" w:hAnsi="黑体" w:hint="eastAsia"/>
                <w:sz w:val="20"/>
                <w:szCs w:val="20"/>
              </w:rPr>
              <w:t>新建</w:t>
            </w:r>
          </w:p>
          <w:p w14:paraId="555DBB3C" w14:textId="77777777" w:rsidR="00A052DC" w:rsidRDefault="009F0A60">
            <w:pPr>
              <w:rPr>
                <w:rFonts w:ascii="黑体" w:eastAsia="黑体" w:hAnsi="黑体"/>
                <w:sz w:val="20"/>
                <w:szCs w:val="20"/>
              </w:rPr>
            </w:pPr>
            <w:r>
              <w:rPr>
                <w:rFonts w:ascii="黑体" w:eastAsia="黑体" w:hAnsi="黑体" w:hint="eastAsia"/>
                <w:sz w:val="20"/>
                <w:szCs w:val="20"/>
              </w:rPr>
              <w:t>C</w:t>
            </w:r>
            <w:r w:rsidR="00AE4602">
              <w:rPr>
                <w:rFonts w:ascii="黑体" w:eastAsia="黑体" w:hAnsi="黑体" w:hint="eastAsia"/>
                <w:sz w:val="20"/>
                <w:szCs w:val="20"/>
              </w:rPr>
              <w:t>-</w:t>
            </w:r>
            <w:r>
              <w:rPr>
                <w:rFonts w:ascii="黑体" w:eastAsia="黑体" w:hAnsi="黑体" w:hint="eastAsia"/>
                <w:sz w:val="20"/>
                <w:szCs w:val="20"/>
              </w:rPr>
              <w:t>修改</w:t>
            </w:r>
          </w:p>
          <w:p w14:paraId="07E4DFAA" w14:textId="77777777" w:rsidR="00A052DC" w:rsidRDefault="009F0A60">
            <w:pPr>
              <w:rPr>
                <w:rFonts w:ascii="黑体" w:eastAsia="黑体" w:hAnsi="黑体"/>
                <w:sz w:val="20"/>
                <w:szCs w:val="20"/>
              </w:rPr>
            </w:pPr>
            <w:r>
              <w:rPr>
                <w:rFonts w:ascii="黑体" w:eastAsia="黑体" w:hAnsi="黑体" w:hint="eastAsia"/>
                <w:sz w:val="20"/>
                <w:szCs w:val="20"/>
              </w:rPr>
              <w:t>D</w:t>
            </w:r>
            <w:r w:rsidR="00AE4602">
              <w:rPr>
                <w:rFonts w:ascii="黑体" w:eastAsia="黑体" w:hAnsi="黑体" w:hint="eastAsia"/>
                <w:sz w:val="20"/>
                <w:szCs w:val="20"/>
              </w:rPr>
              <w:t>-</w:t>
            </w:r>
            <w:r>
              <w:rPr>
                <w:rFonts w:ascii="黑体" w:eastAsia="黑体" w:hAnsi="黑体" w:hint="eastAsia"/>
                <w:sz w:val="20"/>
                <w:szCs w:val="20"/>
              </w:rPr>
              <w:t>删除</w:t>
            </w:r>
          </w:p>
        </w:tc>
      </w:tr>
      <w:tr w:rsidR="00A052DC" w14:paraId="019CE1F6" w14:textId="77777777">
        <w:tc>
          <w:tcPr>
            <w:tcW w:w="1702" w:type="dxa"/>
          </w:tcPr>
          <w:p w14:paraId="31960156" w14:textId="77777777" w:rsidR="00A052DC" w:rsidRDefault="009F0A60">
            <w:pPr>
              <w:rPr>
                <w:rFonts w:ascii="黑体" w:eastAsia="黑体" w:hAnsi="黑体"/>
                <w:sz w:val="20"/>
                <w:szCs w:val="20"/>
              </w:rPr>
            </w:pPr>
            <w:r>
              <w:rPr>
                <w:rFonts w:ascii="黑体" w:eastAsia="黑体" w:hAnsi="黑体"/>
                <w:sz w:val="20"/>
                <w:szCs w:val="20"/>
              </w:rPr>
              <w:t>ACTIONDESC</w:t>
            </w:r>
          </w:p>
        </w:tc>
        <w:tc>
          <w:tcPr>
            <w:tcW w:w="1842" w:type="dxa"/>
          </w:tcPr>
          <w:p w14:paraId="62BE1895" w14:textId="77777777" w:rsidR="00A052DC" w:rsidRDefault="009F0A60">
            <w:pPr>
              <w:rPr>
                <w:rFonts w:ascii="黑体" w:eastAsia="黑体" w:hAnsi="黑体"/>
                <w:sz w:val="20"/>
                <w:szCs w:val="20"/>
              </w:rPr>
            </w:pPr>
            <w:r>
              <w:rPr>
                <w:rFonts w:ascii="黑体" w:eastAsia="黑体" w:hAnsi="黑体" w:hint="eastAsia"/>
                <w:sz w:val="20"/>
                <w:szCs w:val="20"/>
              </w:rPr>
              <w:t>删除原因</w:t>
            </w:r>
          </w:p>
        </w:tc>
        <w:tc>
          <w:tcPr>
            <w:tcW w:w="1418" w:type="dxa"/>
          </w:tcPr>
          <w:p w14:paraId="31C1EBE3"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3685" w:type="dxa"/>
          </w:tcPr>
          <w:p w14:paraId="7783428C" w14:textId="77777777" w:rsidR="00A052DC" w:rsidRDefault="00DD6AA3">
            <w:pPr>
              <w:rPr>
                <w:rFonts w:ascii="黑体" w:eastAsia="黑体" w:hAnsi="黑体"/>
                <w:sz w:val="20"/>
                <w:szCs w:val="20"/>
              </w:rPr>
            </w:pPr>
            <w:r>
              <w:rPr>
                <w:rFonts w:ascii="黑体" w:eastAsia="黑体" w:hAnsi="黑体" w:hint="eastAsia"/>
                <w:sz w:val="20"/>
                <w:szCs w:val="20"/>
              </w:rPr>
              <w:t>非必填项，当操作类型（ACTIONTYPE）为删除时必填。</w:t>
            </w:r>
          </w:p>
        </w:tc>
      </w:tr>
      <w:tr w:rsidR="00A052DC" w14:paraId="7901A2FC" w14:textId="77777777">
        <w:tc>
          <w:tcPr>
            <w:tcW w:w="1702" w:type="dxa"/>
          </w:tcPr>
          <w:p w14:paraId="7A953976" w14:textId="77777777" w:rsidR="00A052DC" w:rsidRDefault="009F0A60">
            <w:pPr>
              <w:rPr>
                <w:rFonts w:ascii="黑体" w:eastAsia="黑体" w:hAnsi="黑体"/>
                <w:sz w:val="20"/>
                <w:szCs w:val="20"/>
              </w:rPr>
            </w:pPr>
            <w:r>
              <w:rPr>
                <w:rFonts w:ascii="黑体" w:eastAsia="黑体" w:hAnsi="黑体"/>
                <w:sz w:val="20"/>
                <w:szCs w:val="20"/>
              </w:rPr>
              <w:t>STRDECODE</w:t>
            </w:r>
          </w:p>
        </w:tc>
        <w:tc>
          <w:tcPr>
            <w:tcW w:w="1842" w:type="dxa"/>
          </w:tcPr>
          <w:p w14:paraId="49CA4C51" w14:textId="77777777" w:rsidR="00A052DC" w:rsidRDefault="009F0A60">
            <w:pPr>
              <w:rPr>
                <w:rFonts w:ascii="黑体" w:eastAsia="黑体" w:hAnsi="黑体"/>
                <w:sz w:val="20"/>
                <w:szCs w:val="20"/>
              </w:rPr>
            </w:pPr>
            <w:r>
              <w:rPr>
                <w:rFonts w:ascii="黑体" w:eastAsia="黑体" w:hAnsi="黑体" w:hint="eastAsia"/>
                <w:sz w:val="20"/>
                <w:szCs w:val="20"/>
              </w:rPr>
              <w:t>人民币结构性存款编号</w:t>
            </w:r>
          </w:p>
        </w:tc>
        <w:tc>
          <w:tcPr>
            <w:tcW w:w="1418" w:type="dxa"/>
          </w:tcPr>
          <w:p w14:paraId="70DEACBE" w14:textId="77777777" w:rsidR="00A052DC" w:rsidRDefault="009F0A60">
            <w:pPr>
              <w:rPr>
                <w:rFonts w:ascii="黑体" w:eastAsia="黑体" w:hAnsi="黑体"/>
                <w:sz w:val="20"/>
                <w:szCs w:val="20"/>
              </w:rPr>
            </w:pPr>
            <w:r>
              <w:rPr>
                <w:rFonts w:ascii="黑体" w:eastAsia="黑体" w:hAnsi="黑体" w:hint="eastAsia"/>
                <w:sz w:val="20"/>
                <w:szCs w:val="20"/>
              </w:rPr>
              <w:t>字符型，28</w:t>
            </w:r>
          </w:p>
        </w:tc>
        <w:tc>
          <w:tcPr>
            <w:tcW w:w="3685" w:type="dxa"/>
          </w:tcPr>
          <w:p w14:paraId="2995F5C0" w14:textId="77777777" w:rsidR="00A052DC" w:rsidRDefault="009F0A60">
            <w:pPr>
              <w:rPr>
                <w:rFonts w:ascii="黑体" w:eastAsia="黑体" w:hAnsi="黑体"/>
                <w:sz w:val="20"/>
                <w:szCs w:val="20"/>
              </w:rPr>
            </w:pPr>
            <w:r>
              <w:rPr>
                <w:rFonts w:ascii="黑体" w:eastAsia="黑体" w:hAnsi="黑体" w:hint="eastAsia"/>
                <w:sz w:val="20"/>
                <w:szCs w:val="20"/>
              </w:rPr>
              <w:t>必填项，唯一性编码。</w:t>
            </w:r>
          </w:p>
        </w:tc>
      </w:tr>
      <w:tr w:rsidR="00A052DC" w14:paraId="26CF8236" w14:textId="77777777">
        <w:tc>
          <w:tcPr>
            <w:tcW w:w="1702" w:type="dxa"/>
          </w:tcPr>
          <w:p w14:paraId="4ED68E63" w14:textId="77777777" w:rsidR="00A052DC" w:rsidRDefault="009F0A60">
            <w:pPr>
              <w:rPr>
                <w:rFonts w:ascii="黑体" w:eastAsia="黑体" w:hAnsi="黑体"/>
                <w:sz w:val="20"/>
                <w:szCs w:val="20"/>
              </w:rPr>
            </w:pPr>
            <w:r>
              <w:rPr>
                <w:rFonts w:ascii="黑体" w:eastAsia="黑体" w:hAnsi="黑体"/>
                <w:sz w:val="20"/>
                <w:szCs w:val="20"/>
              </w:rPr>
              <w:t>BRANCHCODE</w:t>
            </w:r>
          </w:p>
        </w:tc>
        <w:tc>
          <w:tcPr>
            <w:tcW w:w="1842" w:type="dxa"/>
          </w:tcPr>
          <w:p w14:paraId="18215B16" w14:textId="77777777" w:rsidR="00A052DC" w:rsidRDefault="009F0A60">
            <w:pPr>
              <w:rPr>
                <w:rFonts w:ascii="黑体" w:eastAsia="黑体" w:hAnsi="黑体"/>
                <w:sz w:val="20"/>
                <w:szCs w:val="20"/>
              </w:rPr>
            </w:pPr>
            <w:r>
              <w:rPr>
                <w:rFonts w:ascii="黑体" w:eastAsia="黑体" w:hAnsi="黑体" w:hint="eastAsia"/>
                <w:sz w:val="20"/>
                <w:szCs w:val="20"/>
              </w:rPr>
              <w:t>金融机构标识码</w:t>
            </w:r>
          </w:p>
        </w:tc>
        <w:tc>
          <w:tcPr>
            <w:tcW w:w="1418" w:type="dxa"/>
          </w:tcPr>
          <w:p w14:paraId="52B01CC7" w14:textId="77777777" w:rsidR="00A052DC" w:rsidRDefault="009F0A60">
            <w:pPr>
              <w:rPr>
                <w:rFonts w:ascii="黑体" w:eastAsia="黑体" w:hAnsi="黑体"/>
                <w:sz w:val="20"/>
                <w:szCs w:val="20"/>
              </w:rPr>
            </w:pPr>
            <w:r>
              <w:rPr>
                <w:rFonts w:ascii="黑体" w:eastAsia="黑体" w:hAnsi="黑体" w:hint="eastAsia"/>
                <w:sz w:val="20"/>
                <w:szCs w:val="20"/>
              </w:rPr>
              <w:t>字符型，12</w:t>
            </w:r>
          </w:p>
        </w:tc>
        <w:tc>
          <w:tcPr>
            <w:tcW w:w="3685" w:type="dxa"/>
          </w:tcPr>
          <w:p w14:paraId="494CEA90" w14:textId="77777777" w:rsidR="00A052DC" w:rsidRDefault="009F0A60">
            <w:pPr>
              <w:rPr>
                <w:rFonts w:ascii="黑体" w:eastAsia="黑体" w:hAnsi="黑体"/>
                <w:sz w:val="20"/>
                <w:szCs w:val="20"/>
              </w:rPr>
            </w:pPr>
            <w:r>
              <w:rPr>
                <w:rFonts w:ascii="黑体" w:eastAsia="黑体" w:hAnsi="黑体" w:hint="eastAsia"/>
                <w:sz w:val="20"/>
                <w:szCs w:val="20"/>
              </w:rPr>
              <w:t>必填项，金融机构标识码。</w:t>
            </w:r>
          </w:p>
        </w:tc>
      </w:tr>
      <w:tr w:rsidR="00A052DC" w14:paraId="7D566265" w14:textId="77777777">
        <w:tc>
          <w:tcPr>
            <w:tcW w:w="1702" w:type="dxa"/>
          </w:tcPr>
          <w:p w14:paraId="01C31AAD" w14:textId="77777777" w:rsidR="00A052DC" w:rsidRDefault="009F0A60">
            <w:pPr>
              <w:rPr>
                <w:rFonts w:ascii="黑体" w:eastAsia="黑体" w:hAnsi="黑体"/>
                <w:sz w:val="20"/>
                <w:szCs w:val="20"/>
              </w:rPr>
            </w:pPr>
            <w:r>
              <w:rPr>
                <w:rFonts w:ascii="黑体" w:eastAsia="黑体" w:hAnsi="黑体"/>
                <w:sz w:val="20"/>
                <w:szCs w:val="20"/>
              </w:rPr>
              <w:t>TERTYPE</w:t>
            </w:r>
          </w:p>
        </w:tc>
        <w:tc>
          <w:tcPr>
            <w:tcW w:w="1842" w:type="dxa"/>
          </w:tcPr>
          <w:p w14:paraId="34E31625" w14:textId="77777777" w:rsidR="00A052DC" w:rsidRDefault="009F0A60">
            <w:pPr>
              <w:rPr>
                <w:rFonts w:ascii="黑体" w:eastAsia="黑体" w:hAnsi="黑体"/>
                <w:sz w:val="20"/>
                <w:szCs w:val="20"/>
              </w:rPr>
            </w:pPr>
            <w:r>
              <w:rPr>
                <w:rFonts w:ascii="黑体" w:eastAsia="黑体" w:hAnsi="黑体" w:hint="eastAsia"/>
                <w:sz w:val="20"/>
                <w:szCs w:val="20"/>
              </w:rPr>
              <w:t>终止类型</w:t>
            </w:r>
          </w:p>
        </w:tc>
        <w:tc>
          <w:tcPr>
            <w:tcW w:w="1418" w:type="dxa"/>
          </w:tcPr>
          <w:p w14:paraId="06D5653C" w14:textId="77777777" w:rsidR="00A052DC" w:rsidRDefault="009F0A60">
            <w:pPr>
              <w:rPr>
                <w:rFonts w:ascii="黑体" w:eastAsia="黑体" w:hAnsi="黑体"/>
                <w:sz w:val="20"/>
                <w:szCs w:val="20"/>
              </w:rPr>
            </w:pPr>
            <w:r>
              <w:rPr>
                <w:rFonts w:ascii="黑体" w:eastAsia="黑体" w:hAnsi="黑体" w:hint="eastAsia"/>
                <w:sz w:val="20"/>
                <w:szCs w:val="20"/>
              </w:rPr>
              <w:t>字符型，2</w:t>
            </w:r>
          </w:p>
        </w:tc>
        <w:tc>
          <w:tcPr>
            <w:tcW w:w="3685" w:type="dxa"/>
          </w:tcPr>
          <w:p w14:paraId="43996678" w14:textId="77777777" w:rsidR="00A052DC" w:rsidRDefault="009F0A60">
            <w:pPr>
              <w:rPr>
                <w:rFonts w:ascii="黑体" w:eastAsia="黑体" w:hAnsi="黑体"/>
                <w:sz w:val="20"/>
                <w:szCs w:val="20"/>
              </w:rPr>
            </w:pPr>
            <w:r>
              <w:rPr>
                <w:rFonts w:ascii="黑体" w:eastAsia="黑体" w:hAnsi="黑体" w:hint="eastAsia"/>
                <w:sz w:val="20"/>
                <w:szCs w:val="20"/>
              </w:rPr>
              <w:t>必填项</w:t>
            </w:r>
            <w:r w:rsidR="007D1430">
              <w:rPr>
                <w:rFonts w:ascii="黑体" w:eastAsia="黑体" w:hAnsi="黑体" w:hint="eastAsia"/>
                <w:sz w:val="20"/>
                <w:szCs w:val="20"/>
              </w:rPr>
              <w:t>：</w:t>
            </w:r>
          </w:p>
          <w:p w14:paraId="6EFCE1DB" w14:textId="77777777" w:rsidR="00A052DC" w:rsidRDefault="009F0A60">
            <w:pPr>
              <w:rPr>
                <w:rFonts w:ascii="黑体" w:eastAsia="黑体" w:hAnsi="黑体"/>
                <w:sz w:val="20"/>
                <w:szCs w:val="20"/>
              </w:rPr>
            </w:pPr>
            <w:r>
              <w:rPr>
                <w:rFonts w:ascii="黑体" w:eastAsia="黑体" w:hAnsi="黑体" w:hint="eastAsia"/>
                <w:sz w:val="20"/>
                <w:szCs w:val="20"/>
              </w:rPr>
              <w:t>11</w:t>
            </w:r>
            <w:r w:rsidR="007D1430">
              <w:rPr>
                <w:rFonts w:ascii="黑体" w:eastAsia="黑体" w:hAnsi="黑体" w:hint="eastAsia"/>
                <w:sz w:val="20"/>
                <w:szCs w:val="20"/>
              </w:rPr>
              <w:t>-</w:t>
            </w:r>
            <w:r>
              <w:rPr>
                <w:rFonts w:ascii="黑体" w:eastAsia="黑体" w:hAnsi="黑体" w:hint="eastAsia"/>
                <w:sz w:val="20"/>
                <w:szCs w:val="20"/>
              </w:rPr>
              <w:t>期满终止</w:t>
            </w:r>
            <w:r w:rsidR="007D1430">
              <w:rPr>
                <w:rFonts w:ascii="黑体" w:eastAsia="黑体" w:hAnsi="黑体" w:hint="eastAsia"/>
                <w:sz w:val="20"/>
                <w:szCs w:val="20"/>
              </w:rPr>
              <w:t>；</w:t>
            </w:r>
          </w:p>
          <w:p w14:paraId="76718DB5" w14:textId="77777777" w:rsidR="00A052DC" w:rsidRDefault="009F0A60" w:rsidP="007D1430">
            <w:pPr>
              <w:rPr>
                <w:rFonts w:ascii="黑体" w:eastAsia="黑体" w:hAnsi="黑体"/>
                <w:sz w:val="20"/>
                <w:szCs w:val="20"/>
              </w:rPr>
            </w:pPr>
            <w:r>
              <w:rPr>
                <w:rFonts w:ascii="黑体" w:eastAsia="黑体" w:hAnsi="黑体" w:hint="eastAsia"/>
                <w:sz w:val="20"/>
                <w:szCs w:val="20"/>
              </w:rPr>
              <w:t>12</w:t>
            </w:r>
            <w:r w:rsidR="007D1430">
              <w:rPr>
                <w:rFonts w:ascii="黑体" w:eastAsia="黑体" w:hAnsi="黑体" w:hint="eastAsia"/>
                <w:sz w:val="20"/>
                <w:szCs w:val="20"/>
              </w:rPr>
              <w:t>-</w:t>
            </w:r>
            <w:r>
              <w:rPr>
                <w:rFonts w:ascii="黑体" w:eastAsia="黑体" w:hAnsi="黑体" w:hint="eastAsia"/>
                <w:sz w:val="20"/>
                <w:szCs w:val="20"/>
              </w:rPr>
              <w:t>提前终止。</w:t>
            </w:r>
          </w:p>
        </w:tc>
      </w:tr>
      <w:tr w:rsidR="00A052DC" w14:paraId="15B19B5E" w14:textId="77777777">
        <w:tc>
          <w:tcPr>
            <w:tcW w:w="1702" w:type="dxa"/>
          </w:tcPr>
          <w:p w14:paraId="7609B074" w14:textId="77777777" w:rsidR="00A052DC" w:rsidRDefault="009F0A60">
            <w:pPr>
              <w:rPr>
                <w:rFonts w:ascii="黑体" w:eastAsia="黑体" w:hAnsi="黑体"/>
                <w:sz w:val="20"/>
                <w:szCs w:val="20"/>
              </w:rPr>
            </w:pPr>
            <w:r>
              <w:rPr>
                <w:rFonts w:ascii="黑体" w:eastAsia="黑体" w:hAnsi="黑体"/>
                <w:sz w:val="20"/>
                <w:szCs w:val="20"/>
              </w:rPr>
              <w:t>TERPAYCODE</w:t>
            </w:r>
          </w:p>
        </w:tc>
        <w:tc>
          <w:tcPr>
            <w:tcW w:w="1842" w:type="dxa"/>
          </w:tcPr>
          <w:p w14:paraId="6CC34467" w14:textId="77777777" w:rsidR="00A052DC" w:rsidRDefault="009F0A60">
            <w:pPr>
              <w:rPr>
                <w:rFonts w:ascii="黑体" w:eastAsia="黑体" w:hAnsi="黑体"/>
                <w:sz w:val="20"/>
                <w:szCs w:val="20"/>
              </w:rPr>
            </w:pPr>
            <w:r>
              <w:rPr>
                <w:rFonts w:ascii="黑体" w:eastAsia="黑体" w:hAnsi="黑体" w:hint="eastAsia"/>
                <w:sz w:val="20"/>
                <w:szCs w:val="20"/>
              </w:rPr>
              <w:t>终止支付编号</w:t>
            </w:r>
          </w:p>
        </w:tc>
        <w:tc>
          <w:tcPr>
            <w:tcW w:w="1418" w:type="dxa"/>
          </w:tcPr>
          <w:p w14:paraId="1A2423C6" w14:textId="77777777" w:rsidR="00A052DC" w:rsidRDefault="009F0A60">
            <w:pPr>
              <w:rPr>
                <w:rFonts w:ascii="黑体" w:eastAsia="黑体" w:hAnsi="黑体"/>
                <w:sz w:val="20"/>
                <w:szCs w:val="20"/>
              </w:rPr>
            </w:pPr>
            <w:r>
              <w:rPr>
                <w:rFonts w:ascii="黑体" w:eastAsia="黑体" w:hAnsi="黑体" w:hint="eastAsia"/>
                <w:sz w:val="20"/>
                <w:szCs w:val="20"/>
              </w:rPr>
              <w:t>字符型，4</w:t>
            </w:r>
          </w:p>
        </w:tc>
        <w:tc>
          <w:tcPr>
            <w:tcW w:w="3685" w:type="dxa"/>
          </w:tcPr>
          <w:p w14:paraId="777D1C3F" w14:textId="77777777" w:rsidR="00A052DC" w:rsidRDefault="009F0A60">
            <w:pPr>
              <w:rPr>
                <w:rFonts w:ascii="黑体" w:eastAsia="黑体" w:hAnsi="黑体"/>
                <w:sz w:val="20"/>
                <w:szCs w:val="20"/>
              </w:rPr>
            </w:pPr>
            <w:r>
              <w:rPr>
                <w:rFonts w:ascii="黑体" w:eastAsia="黑体" w:hAnsi="黑体" w:hint="eastAsia"/>
                <w:sz w:val="20"/>
                <w:szCs w:val="20"/>
              </w:rPr>
              <w:t>必填项，记录终止情况编号。</w:t>
            </w:r>
          </w:p>
        </w:tc>
      </w:tr>
      <w:tr w:rsidR="00A052DC" w14:paraId="7D994472" w14:textId="77777777">
        <w:tc>
          <w:tcPr>
            <w:tcW w:w="1702" w:type="dxa"/>
          </w:tcPr>
          <w:p w14:paraId="59A23000" w14:textId="77777777" w:rsidR="00A052DC" w:rsidRDefault="009F0A60">
            <w:pPr>
              <w:rPr>
                <w:rFonts w:ascii="黑体" w:eastAsia="黑体" w:hAnsi="黑体"/>
                <w:sz w:val="20"/>
                <w:szCs w:val="20"/>
              </w:rPr>
            </w:pPr>
            <w:r>
              <w:rPr>
                <w:rFonts w:ascii="黑体" w:eastAsia="黑体" w:hAnsi="黑体"/>
                <w:sz w:val="20"/>
                <w:szCs w:val="20"/>
              </w:rPr>
              <w:t>CONTRACT</w:t>
            </w:r>
          </w:p>
        </w:tc>
        <w:tc>
          <w:tcPr>
            <w:tcW w:w="1842" w:type="dxa"/>
          </w:tcPr>
          <w:p w14:paraId="3E185B73" w14:textId="77777777" w:rsidR="00A052DC" w:rsidRDefault="009F0A60">
            <w:pPr>
              <w:rPr>
                <w:rFonts w:ascii="黑体" w:eastAsia="黑体" w:hAnsi="黑体"/>
                <w:sz w:val="20"/>
                <w:szCs w:val="20"/>
              </w:rPr>
            </w:pPr>
            <w:r>
              <w:rPr>
                <w:rFonts w:ascii="黑体" w:eastAsia="黑体" w:hAnsi="黑体" w:hint="eastAsia"/>
                <w:sz w:val="20"/>
                <w:szCs w:val="20"/>
              </w:rPr>
              <w:t>合同号</w:t>
            </w:r>
          </w:p>
        </w:tc>
        <w:tc>
          <w:tcPr>
            <w:tcW w:w="1418" w:type="dxa"/>
          </w:tcPr>
          <w:p w14:paraId="47791063" w14:textId="77777777" w:rsidR="00A052DC" w:rsidRDefault="009F0A60">
            <w:pPr>
              <w:rPr>
                <w:rFonts w:ascii="黑体" w:eastAsia="黑体" w:hAnsi="黑体"/>
                <w:sz w:val="20"/>
                <w:szCs w:val="20"/>
              </w:rPr>
            </w:pPr>
            <w:r>
              <w:rPr>
                <w:rFonts w:ascii="黑体" w:eastAsia="黑体" w:hAnsi="黑体" w:hint="eastAsia"/>
                <w:sz w:val="20"/>
                <w:szCs w:val="20"/>
              </w:rPr>
              <w:t>字符型，32</w:t>
            </w:r>
          </w:p>
        </w:tc>
        <w:tc>
          <w:tcPr>
            <w:tcW w:w="3685" w:type="dxa"/>
          </w:tcPr>
          <w:p w14:paraId="0A7675FE"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r w:rsidR="00A052DC" w14:paraId="0086794D" w14:textId="77777777">
        <w:tc>
          <w:tcPr>
            <w:tcW w:w="1702" w:type="dxa"/>
          </w:tcPr>
          <w:p w14:paraId="7BE3CBF0" w14:textId="77777777" w:rsidR="00A052DC" w:rsidRDefault="009F0A60">
            <w:pPr>
              <w:rPr>
                <w:rFonts w:ascii="黑体" w:eastAsia="黑体" w:hAnsi="黑体"/>
                <w:sz w:val="20"/>
                <w:szCs w:val="20"/>
              </w:rPr>
            </w:pPr>
            <w:r>
              <w:rPr>
                <w:rFonts w:ascii="黑体" w:eastAsia="黑体" w:hAnsi="黑体"/>
                <w:sz w:val="20"/>
                <w:szCs w:val="20"/>
              </w:rPr>
              <w:t>TERDATE</w:t>
            </w:r>
          </w:p>
        </w:tc>
        <w:tc>
          <w:tcPr>
            <w:tcW w:w="1842" w:type="dxa"/>
          </w:tcPr>
          <w:p w14:paraId="6D13A035" w14:textId="77777777" w:rsidR="00A052DC" w:rsidRDefault="009F0A60">
            <w:pPr>
              <w:rPr>
                <w:rFonts w:ascii="黑体" w:eastAsia="黑体" w:hAnsi="黑体"/>
                <w:sz w:val="20"/>
                <w:szCs w:val="20"/>
              </w:rPr>
            </w:pPr>
            <w:r>
              <w:rPr>
                <w:rFonts w:ascii="黑体" w:eastAsia="黑体" w:hAnsi="黑体" w:hint="eastAsia"/>
                <w:sz w:val="20"/>
                <w:szCs w:val="20"/>
              </w:rPr>
              <w:t>终止日期</w:t>
            </w:r>
          </w:p>
        </w:tc>
        <w:tc>
          <w:tcPr>
            <w:tcW w:w="1418" w:type="dxa"/>
          </w:tcPr>
          <w:p w14:paraId="24F6125B" w14:textId="77777777" w:rsidR="00A052DC" w:rsidRDefault="009F0A60">
            <w:pPr>
              <w:rPr>
                <w:rFonts w:ascii="黑体" w:eastAsia="黑体" w:hAnsi="黑体"/>
                <w:sz w:val="20"/>
                <w:szCs w:val="20"/>
              </w:rPr>
            </w:pPr>
            <w:r>
              <w:rPr>
                <w:rFonts w:ascii="黑体" w:eastAsia="黑体" w:hAnsi="黑体" w:hint="eastAsia"/>
                <w:sz w:val="20"/>
                <w:szCs w:val="20"/>
              </w:rPr>
              <w:t>日期型，8</w:t>
            </w:r>
          </w:p>
        </w:tc>
        <w:tc>
          <w:tcPr>
            <w:tcW w:w="3685" w:type="dxa"/>
          </w:tcPr>
          <w:p w14:paraId="0F2B05B4" w14:textId="77777777" w:rsidR="00A052DC" w:rsidRDefault="009F0A60">
            <w:pPr>
              <w:rPr>
                <w:rFonts w:ascii="黑体" w:eastAsia="黑体" w:hAnsi="黑体"/>
                <w:sz w:val="20"/>
                <w:szCs w:val="20"/>
              </w:rPr>
            </w:pPr>
            <w:r>
              <w:rPr>
                <w:rFonts w:ascii="黑体" w:eastAsia="黑体" w:hAnsi="黑体" w:hint="eastAsia"/>
                <w:sz w:val="20"/>
                <w:szCs w:val="20"/>
              </w:rPr>
              <w:t>必填项，格式YYYYMMDD。</w:t>
            </w:r>
          </w:p>
        </w:tc>
      </w:tr>
      <w:tr w:rsidR="00A052DC" w14:paraId="30E8F283" w14:textId="77777777">
        <w:tc>
          <w:tcPr>
            <w:tcW w:w="1702" w:type="dxa"/>
          </w:tcPr>
          <w:p w14:paraId="41E82736" w14:textId="77777777" w:rsidR="00A052DC" w:rsidRDefault="009F0A60">
            <w:pPr>
              <w:rPr>
                <w:rFonts w:ascii="黑体" w:eastAsia="黑体" w:hAnsi="黑体"/>
                <w:sz w:val="20"/>
                <w:szCs w:val="20"/>
              </w:rPr>
            </w:pPr>
            <w:r>
              <w:rPr>
                <w:rFonts w:ascii="黑体" w:eastAsia="黑体" w:hAnsi="黑体"/>
                <w:sz w:val="20"/>
                <w:szCs w:val="20"/>
              </w:rPr>
              <w:t>TERPAYAMTORMB</w:t>
            </w:r>
          </w:p>
        </w:tc>
        <w:tc>
          <w:tcPr>
            <w:tcW w:w="1842" w:type="dxa"/>
          </w:tcPr>
          <w:p w14:paraId="02350ADA" w14:textId="77777777" w:rsidR="00A052DC" w:rsidRDefault="009F0A60">
            <w:pPr>
              <w:rPr>
                <w:rFonts w:ascii="黑体" w:eastAsia="黑体" w:hAnsi="黑体"/>
                <w:sz w:val="20"/>
                <w:szCs w:val="20"/>
              </w:rPr>
            </w:pPr>
            <w:r>
              <w:rPr>
                <w:rFonts w:ascii="黑体" w:eastAsia="黑体" w:hAnsi="黑体" w:hint="eastAsia"/>
                <w:sz w:val="20"/>
                <w:szCs w:val="20"/>
              </w:rPr>
              <w:t>终止支付金额合计折人民币</w:t>
            </w:r>
          </w:p>
        </w:tc>
        <w:tc>
          <w:tcPr>
            <w:tcW w:w="1418" w:type="dxa"/>
          </w:tcPr>
          <w:p w14:paraId="47EE1008"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3685" w:type="dxa"/>
          </w:tcPr>
          <w:p w14:paraId="12E9DDA6" w14:textId="77777777" w:rsidR="00A052DC" w:rsidRDefault="009F0A60">
            <w:pPr>
              <w:rPr>
                <w:rFonts w:ascii="黑体" w:eastAsia="黑体" w:hAnsi="黑体"/>
                <w:sz w:val="20"/>
                <w:szCs w:val="20"/>
              </w:rPr>
            </w:pPr>
            <w:r>
              <w:rPr>
                <w:rFonts w:ascii="黑体" w:eastAsia="黑体" w:hAnsi="黑体" w:hint="eastAsia"/>
                <w:sz w:val="20"/>
                <w:szCs w:val="20"/>
              </w:rPr>
              <w:t>必填项，大于等于0。</w:t>
            </w:r>
          </w:p>
        </w:tc>
      </w:tr>
      <w:tr w:rsidR="00A052DC" w14:paraId="71216EEB" w14:textId="77777777">
        <w:tc>
          <w:tcPr>
            <w:tcW w:w="1702" w:type="dxa"/>
          </w:tcPr>
          <w:p w14:paraId="73AC50D2" w14:textId="77777777" w:rsidR="00A052DC" w:rsidRDefault="009F0A60">
            <w:pPr>
              <w:rPr>
                <w:rFonts w:ascii="黑体" w:eastAsia="黑体" w:hAnsi="黑体"/>
                <w:sz w:val="20"/>
                <w:szCs w:val="20"/>
              </w:rPr>
            </w:pPr>
            <w:r>
              <w:rPr>
                <w:rFonts w:ascii="黑体" w:eastAsia="黑体" w:hAnsi="黑体"/>
                <w:sz w:val="20"/>
                <w:szCs w:val="20"/>
              </w:rPr>
              <w:t>TERRMBPAYAM</w:t>
            </w:r>
          </w:p>
        </w:tc>
        <w:tc>
          <w:tcPr>
            <w:tcW w:w="1842" w:type="dxa"/>
          </w:tcPr>
          <w:p w14:paraId="34A58233" w14:textId="77777777" w:rsidR="00A052DC" w:rsidRDefault="009F0A60">
            <w:pPr>
              <w:rPr>
                <w:rFonts w:ascii="黑体" w:eastAsia="黑体" w:hAnsi="黑体"/>
                <w:sz w:val="20"/>
                <w:szCs w:val="20"/>
              </w:rPr>
            </w:pPr>
            <w:r>
              <w:rPr>
                <w:rFonts w:ascii="黑体" w:eastAsia="黑体" w:hAnsi="黑体" w:hint="eastAsia"/>
                <w:sz w:val="20"/>
                <w:szCs w:val="20"/>
              </w:rPr>
              <w:t>终止人民币支付金额</w:t>
            </w:r>
          </w:p>
        </w:tc>
        <w:tc>
          <w:tcPr>
            <w:tcW w:w="1418" w:type="dxa"/>
          </w:tcPr>
          <w:p w14:paraId="4C80A662"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3685" w:type="dxa"/>
          </w:tcPr>
          <w:p w14:paraId="7E7BDEDB" w14:textId="77777777" w:rsidR="00A052DC" w:rsidRDefault="009F0A60">
            <w:pPr>
              <w:rPr>
                <w:rFonts w:ascii="黑体" w:eastAsia="黑体" w:hAnsi="黑体"/>
                <w:sz w:val="20"/>
                <w:szCs w:val="20"/>
              </w:rPr>
            </w:pPr>
            <w:r>
              <w:rPr>
                <w:rFonts w:ascii="黑体" w:eastAsia="黑体" w:hAnsi="黑体" w:hint="eastAsia"/>
                <w:sz w:val="20"/>
                <w:szCs w:val="20"/>
              </w:rPr>
              <w:t>非必填项，大于等于0，终止人民币支付金额与终止外币支付金额至少填一个。</w:t>
            </w:r>
          </w:p>
        </w:tc>
      </w:tr>
      <w:tr w:rsidR="00A052DC" w14:paraId="419F5938" w14:textId="77777777">
        <w:tc>
          <w:tcPr>
            <w:tcW w:w="1702" w:type="dxa"/>
          </w:tcPr>
          <w:p w14:paraId="2AA914D9" w14:textId="77777777" w:rsidR="00A052DC" w:rsidRDefault="009F0A60">
            <w:pPr>
              <w:rPr>
                <w:rFonts w:ascii="黑体" w:eastAsia="黑体" w:hAnsi="黑体"/>
                <w:sz w:val="20"/>
                <w:szCs w:val="20"/>
              </w:rPr>
            </w:pPr>
            <w:r>
              <w:rPr>
                <w:rFonts w:ascii="黑体" w:eastAsia="黑体" w:hAnsi="黑体"/>
                <w:sz w:val="20"/>
                <w:szCs w:val="20"/>
              </w:rPr>
              <w:t>TERPAYCURR</w:t>
            </w:r>
          </w:p>
        </w:tc>
        <w:tc>
          <w:tcPr>
            <w:tcW w:w="1842" w:type="dxa"/>
          </w:tcPr>
          <w:p w14:paraId="33919CD4" w14:textId="77777777" w:rsidR="00A052DC" w:rsidRDefault="009F0A60">
            <w:pPr>
              <w:rPr>
                <w:rFonts w:ascii="黑体" w:eastAsia="黑体" w:hAnsi="黑体"/>
                <w:sz w:val="20"/>
                <w:szCs w:val="20"/>
              </w:rPr>
            </w:pPr>
            <w:r>
              <w:rPr>
                <w:rFonts w:ascii="黑体" w:eastAsia="黑体" w:hAnsi="黑体" w:hint="eastAsia"/>
                <w:sz w:val="20"/>
                <w:szCs w:val="20"/>
              </w:rPr>
              <w:t>终止外币支付币种</w:t>
            </w:r>
          </w:p>
        </w:tc>
        <w:tc>
          <w:tcPr>
            <w:tcW w:w="1418" w:type="dxa"/>
          </w:tcPr>
          <w:p w14:paraId="743A3C3E" w14:textId="77777777" w:rsidR="00A052DC" w:rsidRDefault="009F0A60">
            <w:pPr>
              <w:rPr>
                <w:rFonts w:ascii="黑体" w:eastAsia="黑体" w:hAnsi="黑体"/>
                <w:sz w:val="20"/>
                <w:szCs w:val="20"/>
              </w:rPr>
            </w:pPr>
            <w:r>
              <w:rPr>
                <w:rFonts w:ascii="黑体" w:eastAsia="黑体" w:hAnsi="黑体" w:hint="eastAsia"/>
                <w:sz w:val="20"/>
                <w:szCs w:val="20"/>
              </w:rPr>
              <w:t>字符型，3</w:t>
            </w:r>
          </w:p>
        </w:tc>
        <w:tc>
          <w:tcPr>
            <w:tcW w:w="3685" w:type="dxa"/>
          </w:tcPr>
          <w:p w14:paraId="7925FE72" w14:textId="77777777" w:rsidR="00A052DC" w:rsidRDefault="009F0A60">
            <w:pPr>
              <w:rPr>
                <w:rFonts w:ascii="黑体" w:eastAsia="黑体" w:hAnsi="黑体"/>
                <w:sz w:val="20"/>
                <w:szCs w:val="20"/>
              </w:rPr>
            </w:pPr>
            <w:r>
              <w:rPr>
                <w:rFonts w:ascii="黑体" w:eastAsia="黑体" w:hAnsi="黑体" w:hint="eastAsia"/>
                <w:sz w:val="20"/>
                <w:szCs w:val="20"/>
              </w:rPr>
              <w:t>非必填项，见币种代码表。终止外币支付币种和终止外币支付金额为一组数据，两者同时为空或者不为空。</w:t>
            </w:r>
          </w:p>
        </w:tc>
      </w:tr>
      <w:tr w:rsidR="00A052DC" w14:paraId="026848A5" w14:textId="77777777">
        <w:tc>
          <w:tcPr>
            <w:tcW w:w="1702" w:type="dxa"/>
          </w:tcPr>
          <w:p w14:paraId="192E9249" w14:textId="77777777" w:rsidR="00A052DC" w:rsidRDefault="009F0A60">
            <w:pPr>
              <w:rPr>
                <w:rFonts w:ascii="黑体" w:eastAsia="黑体" w:hAnsi="黑体"/>
                <w:sz w:val="20"/>
                <w:szCs w:val="20"/>
              </w:rPr>
            </w:pPr>
            <w:r>
              <w:rPr>
                <w:rFonts w:ascii="黑体" w:eastAsia="黑体" w:hAnsi="黑体"/>
                <w:sz w:val="20"/>
                <w:szCs w:val="20"/>
              </w:rPr>
              <w:t>TERPAYCURRAM</w:t>
            </w:r>
          </w:p>
        </w:tc>
        <w:tc>
          <w:tcPr>
            <w:tcW w:w="1842" w:type="dxa"/>
          </w:tcPr>
          <w:p w14:paraId="2AAEC54D" w14:textId="77777777" w:rsidR="00A052DC" w:rsidRDefault="009F0A60">
            <w:pPr>
              <w:rPr>
                <w:rFonts w:ascii="黑体" w:eastAsia="黑体" w:hAnsi="黑体"/>
                <w:sz w:val="20"/>
                <w:szCs w:val="20"/>
              </w:rPr>
            </w:pPr>
            <w:r>
              <w:rPr>
                <w:rFonts w:ascii="黑体" w:eastAsia="黑体" w:hAnsi="黑体" w:hint="eastAsia"/>
                <w:sz w:val="20"/>
                <w:szCs w:val="20"/>
              </w:rPr>
              <w:t>终止外币支付金额</w:t>
            </w:r>
          </w:p>
        </w:tc>
        <w:tc>
          <w:tcPr>
            <w:tcW w:w="1418" w:type="dxa"/>
          </w:tcPr>
          <w:p w14:paraId="0DD3D917"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3685" w:type="dxa"/>
          </w:tcPr>
          <w:p w14:paraId="133C1117" w14:textId="77777777" w:rsidR="00A052DC" w:rsidRDefault="009F0A60">
            <w:pPr>
              <w:rPr>
                <w:rFonts w:ascii="黑体" w:eastAsia="黑体" w:hAnsi="黑体"/>
                <w:sz w:val="20"/>
                <w:szCs w:val="20"/>
              </w:rPr>
            </w:pPr>
            <w:r>
              <w:rPr>
                <w:rFonts w:ascii="黑体" w:eastAsia="黑体" w:hAnsi="黑体" w:hint="eastAsia"/>
                <w:sz w:val="20"/>
                <w:szCs w:val="20"/>
              </w:rPr>
              <w:t>非必填项，大于等于0。</w:t>
            </w:r>
          </w:p>
        </w:tc>
      </w:tr>
      <w:tr w:rsidR="00A052DC" w14:paraId="5EA8815A" w14:textId="77777777">
        <w:tc>
          <w:tcPr>
            <w:tcW w:w="1702" w:type="dxa"/>
            <w:tcBorders>
              <w:top w:val="single" w:sz="4" w:space="0" w:color="auto"/>
              <w:left w:val="single" w:sz="4" w:space="0" w:color="auto"/>
              <w:bottom w:val="single" w:sz="4" w:space="0" w:color="auto"/>
              <w:right w:val="single" w:sz="4" w:space="0" w:color="auto"/>
            </w:tcBorders>
          </w:tcPr>
          <w:p w14:paraId="75B798A3" w14:textId="77777777" w:rsidR="00A052DC" w:rsidRDefault="009F0A60">
            <w:pPr>
              <w:rPr>
                <w:rFonts w:ascii="黑体" w:eastAsia="黑体" w:hAnsi="黑体"/>
                <w:sz w:val="20"/>
                <w:szCs w:val="20"/>
              </w:rPr>
            </w:pPr>
            <w:r>
              <w:rPr>
                <w:rFonts w:ascii="黑体" w:eastAsia="黑体" w:hAnsi="黑体"/>
                <w:sz w:val="20"/>
                <w:szCs w:val="20"/>
              </w:rPr>
              <w:t>REMARK</w:t>
            </w:r>
          </w:p>
        </w:tc>
        <w:tc>
          <w:tcPr>
            <w:tcW w:w="1842" w:type="dxa"/>
            <w:tcBorders>
              <w:top w:val="single" w:sz="4" w:space="0" w:color="auto"/>
              <w:left w:val="single" w:sz="4" w:space="0" w:color="auto"/>
              <w:bottom w:val="single" w:sz="4" w:space="0" w:color="auto"/>
              <w:right w:val="single" w:sz="4" w:space="0" w:color="auto"/>
            </w:tcBorders>
          </w:tcPr>
          <w:p w14:paraId="1F6795FD" w14:textId="77777777" w:rsidR="00A052DC" w:rsidRDefault="009F0A60">
            <w:pPr>
              <w:rPr>
                <w:rFonts w:ascii="黑体" w:eastAsia="黑体" w:hAnsi="黑体"/>
                <w:sz w:val="20"/>
                <w:szCs w:val="20"/>
              </w:rPr>
            </w:pPr>
            <w:r>
              <w:rPr>
                <w:rFonts w:ascii="黑体" w:eastAsia="黑体" w:hAnsi="黑体" w:hint="eastAsia"/>
                <w:sz w:val="20"/>
                <w:szCs w:val="20"/>
              </w:rPr>
              <w:t>备注</w:t>
            </w:r>
          </w:p>
        </w:tc>
        <w:tc>
          <w:tcPr>
            <w:tcW w:w="1418" w:type="dxa"/>
            <w:tcBorders>
              <w:top w:val="single" w:sz="4" w:space="0" w:color="auto"/>
              <w:left w:val="single" w:sz="4" w:space="0" w:color="auto"/>
              <w:bottom w:val="single" w:sz="4" w:space="0" w:color="auto"/>
              <w:right w:val="single" w:sz="4" w:space="0" w:color="auto"/>
            </w:tcBorders>
          </w:tcPr>
          <w:p w14:paraId="63F1BD2F" w14:textId="77777777" w:rsidR="00A052DC" w:rsidRDefault="009F0A60">
            <w:pPr>
              <w:rPr>
                <w:rFonts w:ascii="黑体" w:eastAsia="黑体" w:hAnsi="黑体"/>
                <w:sz w:val="20"/>
                <w:szCs w:val="20"/>
              </w:rPr>
            </w:pPr>
            <w:r>
              <w:rPr>
                <w:rFonts w:ascii="黑体" w:eastAsia="黑体" w:hAnsi="黑体" w:hint="eastAsia"/>
                <w:sz w:val="20"/>
                <w:szCs w:val="20"/>
              </w:rPr>
              <w:t>字符型，256</w:t>
            </w:r>
          </w:p>
        </w:tc>
        <w:tc>
          <w:tcPr>
            <w:tcW w:w="3685" w:type="dxa"/>
            <w:tcBorders>
              <w:top w:val="single" w:sz="4" w:space="0" w:color="auto"/>
              <w:left w:val="single" w:sz="4" w:space="0" w:color="auto"/>
              <w:bottom w:val="single" w:sz="4" w:space="0" w:color="auto"/>
              <w:right w:val="single" w:sz="4" w:space="0" w:color="auto"/>
            </w:tcBorders>
          </w:tcPr>
          <w:p w14:paraId="4BF3AFB5" w14:textId="77777777" w:rsidR="00A052DC" w:rsidRDefault="009F0A60">
            <w:pPr>
              <w:rPr>
                <w:rFonts w:ascii="黑体" w:eastAsia="黑体" w:hAnsi="黑体"/>
                <w:sz w:val="20"/>
                <w:szCs w:val="20"/>
              </w:rPr>
            </w:pPr>
            <w:r>
              <w:rPr>
                <w:rFonts w:ascii="黑体" w:eastAsia="黑体" w:hAnsi="黑体" w:hint="eastAsia"/>
                <w:sz w:val="20"/>
                <w:szCs w:val="20"/>
              </w:rPr>
              <w:t>非必填项。</w:t>
            </w:r>
          </w:p>
        </w:tc>
      </w:tr>
    </w:tbl>
    <w:p w14:paraId="0177484B" w14:textId="77777777" w:rsidR="00A052DC" w:rsidRDefault="00A052DC"/>
    <w:p w14:paraId="581D1C9E" w14:textId="77777777" w:rsidR="00A052DC" w:rsidRDefault="009F0A60" w:rsidP="0020251D">
      <w:pPr>
        <w:pStyle w:val="4"/>
        <w:numPr>
          <w:ilvl w:val="3"/>
          <w:numId w:val="1"/>
        </w:numPr>
        <w:jc w:val="left"/>
      </w:pPr>
      <w:bookmarkStart w:id="1744" w:name="_Toc328635554"/>
      <w:bookmarkStart w:id="1745" w:name="_Toc454386996"/>
      <w:r>
        <w:rPr>
          <w:rFonts w:hint="eastAsia"/>
        </w:rPr>
        <w:t>利息给付信息</w:t>
      </w:r>
      <w:bookmarkEnd w:id="1744"/>
      <w:bookmarkEnd w:id="1745"/>
    </w:p>
    <w:p w14:paraId="6FDFBC27" w14:textId="77777777" w:rsidR="00A052DC" w:rsidRDefault="009F0A60" w:rsidP="0020251D">
      <w:pPr>
        <w:pStyle w:val="5"/>
        <w:numPr>
          <w:ilvl w:val="4"/>
          <w:numId w:val="1"/>
        </w:numPr>
        <w:spacing w:before="120" w:after="120" w:line="360" w:lineRule="auto"/>
        <w:jc w:val="left"/>
      </w:pPr>
      <w:bookmarkStart w:id="1746" w:name="_Toc454386997"/>
      <w:bookmarkStart w:id="1747" w:name="_Toc328635555"/>
      <w:r>
        <w:rPr>
          <w:rFonts w:hint="eastAsia"/>
        </w:rPr>
        <w:t>数据术语解释</w:t>
      </w:r>
      <w:bookmarkEnd w:id="1746"/>
      <w:bookmarkEnd w:id="1747"/>
    </w:p>
    <w:tbl>
      <w:tblPr>
        <w:tblW w:w="84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26"/>
        <w:gridCol w:w="6946"/>
      </w:tblGrid>
      <w:tr w:rsidR="00A052DC" w14:paraId="516EB502" w14:textId="77777777">
        <w:tc>
          <w:tcPr>
            <w:tcW w:w="1526" w:type="dxa"/>
          </w:tcPr>
          <w:p w14:paraId="754218E7" w14:textId="77777777" w:rsidR="00A052DC" w:rsidRDefault="009F0A60">
            <w:pPr>
              <w:jc w:val="center"/>
              <w:rPr>
                <w:rFonts w:ascii="黑体" w:eastAsia="黑体" w:hAnsi="黑体"/>
                <w:b/>
                <w:sz w:val="20"/>
                <w:szCs w:val="20"/>
              </w:rPr>
            </w:pPr>
            <w:r>
              <w:rPr>
                <w:rFonts w:ascii="黑体" w:eastAsia="黑体" w:hAnsi="黑体" w:hint="eastAsia"/>
                <w:b/>
                <w:sz w:val="20"/>
                <w:szCs w:val="20"/>
              </w:rPr>
              <w:t>基础数据项</w:t>
            </w:r>
          </w:p>
        </w:tc>
        <w:tc>
          <w:tcPr>
            <w:tcW w:w="6946" w:type="dxa"/>
          </w:tcPr>
          <w:p w14:paraId="03C25620" w14:textId="77777777" w:rsidR="00A052DC" w:rsidRDefault="009F0A60">
            <w:pPr>
              <w:jc w:val="center"/>
              <w:rPr>
                <w:rFonts w:ascii="黑体" w:eastAsia="黑体" w:hAnsi="黑体"/>
                <w:b/>
                <w:sz w:val="20"/>
                <w:szCs w:val="20"/>
              </w:rPr>
            </w:pPr>
            <w:r>
              <w:rPr>
                <w:rFonts w:ascii="黑体" w:eastAsia="黑体" w:hAnsi="黑体" w:hint="eastAsia"/>
                <w:b/>
                <w:sz w:val="20"/>
                <w:szCs w:val="20"/>
              </w:rPr>
              <w:t>定义</w:t>
            </w:r>
          </w:p>
        </w:tc>
      </w:tr>
      <w:tr w:rsidR="00A052DC" w14:paraId="214F6736" w14:textId="77777777">
        <w:trPr>
          <w:cantSplit/>
          <w:trHeight w:val="218"/>
        </w:trPr>
        <w:tc>
          <w:tcPr>
            <w:tcW w:w="1526" w:type="dxa"/>
          </w:tcPr>
          <w:p w14:paraId="1F22EE16" w14:textId="77777777" w:rsidR="00A052DC" w:rsidRDefault="009F0A60">
            <w:pPr>
              <w:rPr>
                <w:rFonts w:ascii="黑体" w:eastAsia="黑体" w:hAnsi="黑体"/>
                <w:sz w:val="20"/>
                <w:szCs w:val="20"/>
              </w:rPr>
            </w:pPr>
            <w:r>
              <w:rPr>
                <w:rFonts w:ascii="黑体" w:eastAsia="黑体" w:hAnsi="黑体" w:hint="eastAsia"/>
                <w:sz w:val="20"/>
                <w:szCs w:val="20"/>
              </w:rPr>
              <w:t>人民币结构性存款编号</w:t>
            </w:r>
          </w:p>
        </w:tc>
        <w:tc>
          <w:tcPr>
            <w:tcW w:w="6946" w:type="dxa"/>
          </w:tcPr>
          <w:p w14:paraId="1A148C19" w14:textId="77777777" w:rsidR="00A052DC" w:rsidRDefault="009F0A60">
            <w:pPr>
              <w:rPr>
                <w:rFonts w:ascii="黑体" w:eastAsia="黑体" w:hAnsi="黑体"/>
                <w:sz w:val="20"/>
                <w:szCs w:val="20"/>
              </w:rPr>
            </w:pPr>
            <w:r>
              <w:rPr>
                <w:rFonts w:ascii="黑体" w:eastAsia="黑体" w:hAnsi="黑体" w:hint="eastAsia"/>
                <w:sz w:val="20"/>
                <w:szCs w:val="20"/>
              </w:rPr>
              <w:t>该笔利息给付情况对应的人民币结构性存款编号。利息给付信息不产生新的人民币结构性存款编号，利息给付信息中的人民币结构性存款编号必须为签约信息中已经报送的人民币结构性存款编号。</w:t>
            </w:r>
          </w:p>
        </w:tc>
      </w:tr>
      <w:tr w:rsidR="00A052DC" w14:paraId="23098F41" w14:textId="77777777">
        <w:trPr>
          <w:cantSplit/>
        </w:trPr>
        <w:tc>
          <w:tcPr>
            <w:tcW w:w="1526" w:type="dxa"/>
          </w:tcPr>
          <w:p w14:paraId="7E374B12" w14:textId="77777777" w:rsidR="00A052DC" w:rsidRDefault="009F0A60">
            <w:pPr>
              <w:rPr>
                <w:rFonts w:ascii="黑体" w:eastAsia="黑体" w:hAnsi="黑体"/>
                <w:sz w:val="20"/>
                <w:szCs w:val="20"/>
              </w:rPr>
            </w:pPr>
            <w:r>
              <w:rPr>
                <w:rFonts w:ascii="黑体" w:eastAsia="黑体" w:hAnsi="黑体" w:hint="eastAsia"/>
                <w:sz w:val="20"/>
                <w:szCs w:val="20"/>
              </w:rPr>
              <w:t>金融机构标识码</w:t>
            </w:r>
          </w:p>
        </w:tc>
        <w:tc>
          <w:tcPr>
            <w:tcW w:w="6946" w:type="dxa"/>
          </w:tcPr>
          <w:p w14:paraId="2A47E42E" w14:textId="77777777" w:rsidR="00A052DC" w:rsidRDefault="009F0A60">
            <w:pPr>
              <w:rPr>
                <w:rFonts w:ascii="黑体" w:eastAsia="黑体" w:hAnsi="黑体"/>
                <w:sz w:val="20"/>
                <w:szCs w:val="20"/>
              </w:rPr>
            </w:pPr>
            <w:r>
              <w:rPr>
                <w:rFonts w:ascii="黑体" w:eastAsia="黑体" w:hAnsi="黑体" w:hint="eastAsia"/>
                <w:sz w:val="20"/>
                <w:szCs w:val="20"/>
              </w:rPr>
              <w:t>国家外汇管理局及其分支局签发托管银行</w:t>
            </w:r>
            <w:r>
              <w:rPr>
                <w:rFonts w:ascii="黑体" w:eastAsia="黑体" w:hAnsi="黑体"/>
                <w:sz w:val="20"/>
                <w:szCs w:val="20"/>
              </w:rPr>
              <w:t>12</w:t>
            </w:r>
            <w:r>
              <w:rPr>
                <w:rFonts w:ascii="黑体" w:eastAsia="黑体" w:hAnsi="黑体" w:hint="eastAsia"/>
                <w:sz w:val="20"/>
                <w:szCs w:val="20"/>
              </w:rPr>
              <w:t>位金融机构标识码。</w:t>
            </w:r>
          </w:p>
        </w:tc>
      </w:tr>
      <w:tr w:rsidR="00A052DC" w14:paraId="54F4776E" w14:textId="77777777">
        <w:trPr>
          <w:cantSplit/>
        </w:trPr>
        <w:tc>
          <w:tcPr>
            <w:tcW w:w="1526" w:type="dxa"/>
          </w:tcPr>
          <w:p w14:paraId="40C98296" w14:textId="77777777" w:rsidR="00A052DC" w:rsidRDefault="009F0A60">
            <w:pPr>
              <w:rPr>
                <w:rFonts w:ascii="黑体" w:eastAsia="黑体" w:hAnsi="黑体"/>
                <w:sz w:val="20"/>
                <w:szCs w:val="20"/>
              </w:rPr>
            </w:pPr>
            <w:r>
              <w:rPr>
                <w:rFonts w:ascii="黑体" w:eastAsia="黑体" w:hAnsi="黑体" w:hint="eastAsia"/>
                <w:sz w:val="20"/>
                <w:szCs w:val="20"/>
              </w:rPr>
              <w:t>合同号</w:t>
            </w:r>
          </w:p>
        </w:tc>
        <w:tc>
          <w:tcPr>
            <w:tcW w:w="6946" w:type="dxa"/>
          </w:tcPr>
          <w:p w14:paraId="0DA38365" w14:textId="77777777" w:rsidR="00A052DC" w:rsidRDefault="009F0A60">
            <w:pPr>
              <w:rPr>
                <w:rFonts w:ascii="黑体" w:eastAsia="黑体" w:hAnsi="黑体"/>
                <w:sz w:val="20"/>
                <w:szCs w:val="20"/>
              </w:rPr>
            </w:pPr>
            <w:r>
              <w:rPr>
                <w:rFonts w:ascii="黑体" w:eastAsia="黑体" w:hAnsi="黑体" w:hint="eastAsia"/>
                <w:sz w:val="20"/>
                <w:szCs w:val="20"/>
              </w:rPr>
              <w:t>银行与客户签订人民币结构性存款合同号。</w:t>
            </w:r>
          </w:p>
        </w:tc>
      </w:tr>
      <w:tr w:rsidR="00A052DC" w14:paraId="3684E138" w14:textId="77777777">
        <w:trPr>
          <w:cantSplit/>
        </w:trPr>
        <w:tc>
          <w:tcPr>
            <w:tcW w:w="1526" w:type="dxa"/>
          </w:tcPr>
          <w:p w14:paraId="4196AA93" w14:textId="77777777" w:rsidR="00A052DC" w:rsidRDefault="009F0A60">
            <w:pPr>
              <w:rPr>
                <w:rFonts w:ascii="黑体" w:eastAsia="黑体" w:hAnsi="黑体"/>
                <w:sz w:val="20"/>
                <w:szCs w:val="20"/>
              </w:rPr>
            </w:pPr>
            <w:r>
              <w:rPr>
                <w:rFonts w:ascii="黑体" w:eastAsia="黑体" w:hAnsi="黑体" w:hint="eastAsia"/>
                <w:sz w:val="20"/>
                <w:szCs w:val="20"/>
              </w:rPr>
              <w:t>付息年月</w:t>
            </w:r>
          </w:p>
        </w:tc>
        <w:tc>
          <w:tcPr>
            <w:tcW w:w="6946" w:type="dxa"/>
          </w:tcPr>
          <w:p w14:paraId="4C1AADA8" w14:textId="77777777" w:rsidR="00A052DC" w:rsidRDefault="009F0A60">
            <w:pPr>
              <w:rPr>
                <w:rFonts w:ascii="黑体" w:eastAsia="黑体" w:hAnsi="黑体"/>
                <w:sz w:val="20"/>
                <w:szCs w:val="20"/>
              </w:rPr>
            </w:pPr>
            <w:r>
              <w:rPr>
                <w:rFonts w:ascii="黑体" w:eastAsia="黑体" w:hAnsi="黑体" w:hint="eastAsia"/>
                <w:sz w:val="20"/>
                <w:szCs w:val="20"/>
              </w:rPr>
              <w:t>人民币结构性存款利息支付年月，格式为</w:t>
            </w:r>
            <w:r>
              <w:rPr>
                <w:rFonts w:ascii="黑体" w:eastAsia="黑体" w:hAnsi="黑体"/>
                <w:sz w:val="20"/>
                <w:szCs w:val="20"/>
              </w:rPr>
              <w:t>YYYYMM</w:t>
            </w:r>
            <w:r>
              <w:rPr>
                <w:rFonts w:ascii="黑体" w:eastAsia="黑体" w:hAnsi="黑体" w:hint="eastAsia"/>
                <w:sz w:val="20"/>
                <w:szCs w:val="20"/>
              </w:rPr>
              <w:t>。</w:t>
            </w:r>
          </w:p>
        </w:tc>
      </w:tr>
      <w:tr w:rsidR="00A052DC" w14:paraId="69D6769A" w14:textId="77777777">
        <w:trPr>
          <w:cantSplit/>
        </w:trPr>
        <w:tc>
          <w:tcPr>
            <w:tcW w:w="1526" w:type="dxa"/>
          </w:tcPr>
          <w:p w14:paraId="22C0FD5C" w14:textId="77777777" w:rsidR="00A052DC" w:rsidRDefault="009F0A60">
            <w:pPr>
              <w:rPr>
                <w:rFonts w:ascii="黑体" w:eastAsia="黑体" w:hAnsi="黑体"/>
                <w:sz w:val="20"/>
                <w:szCs w:val="20"/>
              </w:rPr>
            </w:pPr>
            <w:r>
              <w:rPr>
                <w:rFonts w:ascii="黑体" w:eastAsia="黑体" w:hAnsi="黑体" w:hint="eastAsia"/>
                <w:sz w:val="20"/>
                <w:szCs w:val="20"/>
              </w:rPr>
              <w:t>付息编号</w:t>
            </w:r>
          </w:p>
        </w:tc>
        <w:tc>
          <w:tcPr>
            <w:tcW w:w="6946" w:type="dxa"/>
          </w:tcPr>
          <w:p w14:paraId="60C467FE" w14:textId="77777777" w:rsidR="00A052DC" w:rsidRDefault="009F0A60">
            <w:pPr>
              <w:rPr>
                <w:rFonts w:ascii="黑体" w:eastAsia="黑体" w:hAnsi="黑体"/>
                <w:sz w:val="20"/>
                <w:szCs w:val="20"/>
              </w:rPr>
            </w:pPr>
            <w:r>
              <w:rPr>
                <w:rFonts w:ascii="黑体" w:eastAsia="黑体" w:hAnsi="黑体" w:hint="eastAsia"/>
                <w:sz w:val="20"/>
                <w:szCs w:val="20"/>
              </w:rPr>
              <w:t>对于同一人民币结构性存款编号下分次付息的人民币结构性存款，银行自行为每次付息逐一编号，编号规则为</w:t>
            </w:r>
            <w:r>
              <w:rPr>
                <w:rFonts w:ascii="黑体" w:eastAsia="黑体" w:hAnsi="黑体"/>
                <w:sz w:val="20"/>
                <w:szCs w:val="20"/>
              </w:rPr>
              <w:t>4</w:t>
            </w:r>
            <w:r>
              <w:rPr>
                <w:rFonts w:ascii="黑体" w:eastAsia="黑体" w:hAnsi="黑体" w:hint="eastAsia"/>
                <w:sz w:val="20"/>
                <w:szCs w:val="20"/>
              </w:rPr>
              <w:t>位流水号，编号格式如</w:t>
            </w:r>
            <w:r>
              <w:rPr>
                <w:rFonts w:ascii="黑体" w:eastAsia="黑体" w:hAnsi="黑体"/>
                <w:sz w:val="20"/>
                <w:szCs w:val="20"/>
              </w:rPr>
              <w:t>0001</w:t>
            </w:r>
            <w:r>
              <w:rPr>
                <w:rFonts w:ascii="黑体" w:eastAsia="黑体" w:hAnsi="黑体" w:hint="eastAsia"/>
                <w:sz w:val="20"/>
                <w:szCs w:val="20"/>
              </w:rPr>
              <w:t>。</w:t>
            </w:r>
          </w:p>
        </w:tc>
      </w:tr>
      <w:tr w:rsidR="00A052DC" w14:paraId="1F0297CE" w14:textId="77777777">
        <w:trPr>
          <w:cantSplit/>
        </w:trPr>
        <w:tc>
          <w:tcPr>
            <w:tcW w:w="1526" w:type="dxa"/>
          </w:tcPr>
          <w:p w14:paraId="6390F166" w14:textId="77777777" w:rsidR="00A052DC" w:rsidRDefault="009F0A60">
            <w:pPr>
              <w:rPr>
                <w:rFonts w:ascii="黑体" w:eastAsia="黑体" w:hAnsi="黑体"/>
                <w:sz w:val="20"/>
                <w:szCs w:val="20"/>
              </w:rPr>
            </w:pPr>
            <w:r>
              <w:rPr>
                <w:rFonts w:ascii="黑体" w:eastAsia="黑体" w:hAnsi="黑体" w:hint="eastAsia"/>
                <w:sz w:val="20"/>
                <w:szCs w:val="20"/>
              </w:rPr>
              <w:t>付息人民币支付金额</w:t>
            </w:r>
          </w:p>
        </w:tc>
        <w:tc>
          <w:tcPr>
            <w:tcW w:w="6946" w:type="dxa"/>
          </w:tcPr>
          <w:p w14:paraId="4A89AEC5" w14:textId="77777777" w:rsidR="00A052DC" w:rsidRDefault="009F0A60">
            <w:pPr>
              <w:rPr>
                <w:rFonts w:ascii="黑体" w:eastAsia="黑体" w:hAnsi="黑体"/>
                <w:sz w:val="20"/>
                <w:szCs w:val="20"/>
              </w:rPr>
            </w:pPr>
            <w:r>
              <w:rPr>
                <w:rFonts w:ascii="黑体" w:eastAsia="黑体" w:hAnsi="黑体" w:hint="eastAsia"/>
                <w:sz w:val="20"/>
                <w:szCs w:val="20"/>
              </w:rPr>
              <w:t>以人民币形式支付人民币结构性存款利息金额，系统默认币种为人民币。</w:t>
            </w:r>
          </w:p>
        </w:tc>
      </w:tr>
      <w:tr w:rsidR="00A052DC" w14:paraId="64356D1E" w14:textId="77777777">
        <w:trPr>
          <w:cantSplit/>
        </w:trPr>
        <w:tc>
          <w:tcPr>
            <w:tcW w:w="1526" w:type="dxa"/>
          </w:tcPr>
          <w:p w14:paraId="41868451" w14:textId="77777777" w:rsidR="00A052DC" w:rsidRDefault="009F0A60">
            <w:pPr>
              <w:rPr>
                <w:rFonts w:ascii="黑体" w:eastAsia="黑体" w:hAnsi="黑体"/>
                <w:sz w:val="20"/>
                <w:szCs w:val="20"/>
              </w:rPr>
            </w:pPr>
            <w:r>
              <w:rPr>
                <w:rFonts w:ascii="黑体" w:eastAsia="黑体" w:hAnsi="黑体" w:hint="eastAsia"/>
                <w:sz w:val="20"/>
                <w:szCs w:val="20"/>
              </w:rPr>
              <w:t>付息外币支付币种</w:t>
            </w:r>
          </w:p>
        </w:tc>
        <w:tc>
          <w:tcPr>
            <w:tcW w:w="6946" w:type="dxa"/>
          </w:tcPr>
          <w:p w14:paraId="608EE008" w14:textId="77777777" w:rsidR="00A052DC" w:rsidRDefault="009F0A60">
            <w:pPr>
              <w:rPr>
                <w:rFonts w:ascii="黑体" w:eastAsia="黑体" w:hAnsi="黑体"/>
                <w:sz w:val="20"/>
                <w:szCs w:val="20"/>
              </w:rPr>
            </w:pPr>
            <w:r>
              <w:rPr>
                <w:rFonts w:ascii="黑体" w:eastAsia="黑体" w:hAnsi="黑体" w:hint="eastAsia"/>
                <w:sz w:val="20"/>
                <w:szCs w:val="20"/>
              </w:rPr>
              <w:t>以外币形式支付人民币结构性存款利息币种。</w:t>
            </w:r>
          </w:p>
        </w:tc>
      </w:tr>
      <w:tr w:rsidR="00A052DC" w14:paraId="2E18247F" w14:textId="77777777">
        <w:trPr>
          <w:cantSplit/>
        </w:trPr>
        <w:tc>
          <w:tcPr>
            <w:tcW w:w="1526" w:type="dxa"/>
          </w:tcPr>
          <w:p w14:paraId="70A80C69" w14:textId="77777777" w:rsidR="00A052DC" w:rsidRDefault="009F0A60">
            <w:pPr>
              <w:rPr>
                <w:rFonts w:ascii="黑体" w:eastAsia="黑体" w:hAnsi="黑体"/>
                <w:sz w:val="20"/>
                <w:szCs w:val="20"/>
              </w:rPr>
            </w:pPr>
            <w:r>
              <w:rPr>
                <w:rFonts w:ascii="黑体" w:eastAsia="黑体" w:hAnsi="黑体" w:hint="eastAsia"/>
                <w:sz w:val="20"/>
                <w:szCs w:val="20"/>
              </w:rPr>
              <w:t>付息外币支付金额</w:t>
            </w:r>
          </w:p>
        </w:tc>
        <w:tc>
          <w:tcPr>
            <w:tcW w:w="6946" w:type="dxa"/>
          </w:tcPr>
          <w:p w14:paraId="79F1034A" w14:textId="77777777" w:rsidR="00A052DC" w:rsidRDefault="009F0A60">
            <w:pPr>
              <w:rPr>
                <w:rFonts w:ascii="黑体" w:eastAsia="黑体" w:hAnsi="黑体"/>
                <w:sz w:val="20"/>
                <w:szCs w:val="20"/>
              </w:rPr>
            </w:pPr>
            <w:r>
              <w:rPr>
                <w:rFonts w:ascii="黑体" w:eastAsia="黑体" w:hAnsi="黑体" w:hint="eastAsia"/>
                <w:sz w:val="20"/>
                <w:szCs w:val="20"/>
              </w:rPr>
              <w:t>以外币形式支付人民币结构性存款利息金额。</w:t>
            </w:r>
          </w:p>
        </w:tc>
      </w:tr>
      <w:tr w:rsidR="00A052DC" w14:paraId="6CE7A21D" w14:textId="77777777">
        <w:trPr>
          <w:cantSplit/>
        </w:trPr>
        <w:tc>
          <w:tcPr>
            <w:tcW w:w="1526" w:type="dxa"/>
            <w:tcBorders>
              <w:top w:val="single" w:sz="6" w:space="0" w:color="auto"/>
              <w:left w:val="single" w:sz="6" w:space="0" w:color="auto"/>
              <w:bottom w:val="single" w:sz="6" w:space="0" w:color="auto"/>
              <w:right w:val="single" w:sz="6" w:space="0" w:color="auto"/>
            </w:tcBorders>
          </w:tcPr>
          <w:p w14:paraId="6F3CE44A" w14:textId="77777777" w:rsidR="00A052DC" w:rsidRDefault="009F0A60">
            <w:pPr>
              <w:rPr>
                <w:rFonts w:ascii="黑体" w:eastAsia="黑体" w:hAnsi="黑体"/>
                <w:sz w:val="20"/>
                <w:szCs w:val="20"/>
              </w:rPr>
            </w:pPr>
            <w:r>
              <w:rPr>
                <w:rFonts w:ascii="黑体" w:eastAsia="黑体" w:hAnsi="黑体" w:hint="eastAsia"/>
                <w:sz w:val="20"/>
                <w:szCs w:val="20"/>
              </w:rPr>
              <w:t>备注</w:t>
            </w:r>
          </w:p>
        </w:tc>
        <w:tc>
          <w:tcPr>
            <w:tcW w:w="6946" w:type="dxa"/>
            <w:tcBorders>
              <w:top w:val="single" w:sz="6" w:space="0" w:color="auto"/>
              <w:left w:val="single" w:sz="6" w:space="0" w:color="auto"/>
              <w:bottom w:val="single" w:sz="6" w:space="0" w:color="auto"/>
              <w:right w:val="single" w:sz="6" w:space="0" w:color="auto"/>
            </w:tcBorders>
          </w:tcPr>
          <w:p w14:paraId="0E0EE804" w14:textId="77777777" w:rsidR="00A052DC" w:rsidRDefault="009F0A60">
            <w:pPr>
              <w:rPr>
                <w:rFonts w:ascii="黑体" w:eastAsia="黑体" w:hAnsi="黑体"/>
                <w:sz w:val="20"/>
                <w:szCs w:val="20"/>
              </w:rPr>
            </w:pPr>
            <w:r>
              <w:rPr>
                <w:rFonts w:ascii="黑体" w:eastAsia="黑体" w:hAnsi="黑体" w:hint="eastAsia"/>
                <w:sz w:val="20"/>
                <w:szCs w:val="20"/>
              </w:rPr>
              <w:t>需要说明的备注事项。</w:t>
            </w:r>
          </w:p>
        </w:tc>
      </w:tr>
    </w:tbl>
    <w:p w14:paraId="0D432960" w14:textId="77777777" w:rsidR="00A052DC" w:rsidRDefault="00A052DC"/>
    <w:p w14:paraId="6496FEA5" w14:textId="77777777" w:rsidR="00A052DC" w:rsidRDefault="009F0A60" w:rsidP="0020251D">
      <w:pPr>
        <w:pStyle w:val="5"/>
        <w:numPr>
          <w:ilvl w:val="4"/>
          <w:numId w:val="1"/>
        </w:numPr>
        <w:spacing w:before="120" w:after="120" w:line="360" w:lineRule="auto"/>
        <w:jc w:val="left"/>
      </w:pPr>
      <w:bookmarkStart w:id="1748" w:name="_Toc454386998"/>
      <w:bookmarkStart w:id="1749" w:name="_Toc328635556"/>
      <w:r>
        <w:rPr>
          <w:rFonts w:hint="eastAsia"/>
        </w:rPr>
        <w:t>数据格式</w:t>
      </w:r>
      <w:bookmarkEnd w:id="1748"/>
      <w:bookmarkEnd w:id="1749"/>
    </w:p>
    <w:p w14:paraId="0FB3F7AE" w14:textId="77777777" w:rsidR="00A052DC" w:rsidRDefault="009F0A60">
      <w:r>
        <w:t>&lt;REC&gt;</w:t>
      </w:r>
    </w:p>
    <w:p w14:paraId="06318BBB" w14:textId="77777777" w:rsidR="00A052DC" w:rsidRDefault="009F0A60">
      <w:r>
        <w:t>&lt;ACTIONTYPE&gt;</w:t>
      </w:r>
      <w:r>
        <w:rPr>
          <w:rFonts w:hint="eastAsia"/>
        </w:rPr>
        <w:t>操作类型</w:t>
      </w:r>
      <w:r>
        <w:t>&lt;/ACTIONTYPE&gt;</w:t>
      </w:r>
    </w:p>
    <w:p w14:paraId="35CA3D48" w14:textId="77777777" w:rsidR="00A052DC" w:rsidRDefault="009F0A60">
      <w:r>
        <w:t>&lt;ACTIONDESC&gt;</w:t>
      </w:r>
      <w:r>
        <w:rPr>
          <w:rFonts w:hint="eastAsia"/>
        </w:rPr>
        <w:t>删除原因</w:t>
      </w:r>
      <w:r>
        <w:t>&lt;/ACTIONDESC&gt;</w:t>
      </w:r>
    </w:p>
    <w:p w14:paraId="2A9DBD69" w14:textId="77777777" w:rsidR="00A052DC" w:rsidRDefault="009F0A60">
      <w:r>
        <w:t>&lt;STRDECODE&gt;</w:t>
      </w:r>
      <w:r>
        <w:rPr>
          <w:rFonts w:hint="eastAsia"/>
        </w:rPr>
        <w:t>人民币结构性存款编号</w:t>
      </w:r>
      <w:r>
        <w:t>&lt;/STRDECODE&gt;</w:t>
      </w:r>
    </w:p>
    <w:p w14:paraId="00783F36" w14:textId="77777777" w:rsidR="00A052DC" w:rsidRDefault="009F0A60">
      <w:r>
        <w:t>&lt;BRANCHCODE&gt;</w:t>
      </w:r>
      <w:r>
        <w:rPr>
          <w:rFonts w:hint="eastAsia"/>
        </w:rPr>
        <w:t>金融机构标识码</w:t>
      </w:r>
      <w:r>
        <w:t>&lt;/BRANCHCODE&gt;</w:t>
      </w:r>
    </w:p>
    <w:p w14:paraId="201DBAD5" w14:textId="77777777" w:rsidR="00A052DC" w:rsidRDefault="009F0A60">
      <w:r>
        <w:t>&lt;CONTRACT&gt;</w:t>
      </w:r>
      <w:r>
        <w:rPr>
          <w:rFonts w:hint="eastAsia"/>
        </w:rPr>
        <w:t>合同号</w:t>
      </w:r>
      <w:r>
        <w:t>&lt;/CONTRACT&gt;</w:t>
      </w:r>
    </w:p>
    <w:p w14:paraId="2F954A68" w14:textId="77777777" w:rsidR="00A052DC" w:rsidRDefault="009F0A60">
      <w:r>
        <w:t>&lt;INPAYCODE&gt;</w:t>
      </w:r>
      <w:r>
        <w:rPr>
          <w:rFonts w:hint="eastAsia"/>
        </w:rPr>
        <w:t>付息编号</w:t>
      </w:r>
      <w:r>
        <w:t>&lt;/INPAYCODE&gt;</w:t>
      </w:r>
    </w:p>
    <w:p w14:paraId="0D5452A3" w14:textId="77777777" w:rsidR="00A052DC" w:rsidRDefault="009F0A60">
      <w:r>
        <w:t>&lt;INPAYMONTH&gt;</w:t>
      </w:r>
      <w:r>
        <w:rPr>
          <w:rFonts w:hint="eastAsia"/>
        </w:rPr>
        <w:t>付息年月</w:t>
      </w:r>
      <w:r>
        <w:t>&lt;/INPAYMONTH&gt;</w:t>
      </w:r>
    </w:p>
    <w:p w14:paraId="76F2E0AF" w14:textId="77777777" w:rsidR="00A052DC" w:rsidRDefault="009F0A60">
      <w:r>
        <w:t>&lt;INPAYRMBAM&gt;</w:t>
      </w:r>
      <w:r>
        <w:rPr>
          <w:rFonts w:hint="eastAsia"/>
        </w:rPr>
        <w:t>付息人民币支付金额</w:t>
      </w:r>
      <w:r>
        <w:t>&lt;/INPAYRMBAM&gt;</w:t>
      </w:r>
    </w:p>
    <w:p w14:paraId="5EA29B3C" w14:textId="77777777" w:rsidR="00A052DC" w:rsidRDefault="009F0A60">
      <w:r>
        <w:t>&lt;INPAYCURR&gt;</w:t>
      </w:r>
      <w:r>
        <w:rPr>
          <w:rFonts w:hint="eastAsia"/>
        </w:rPr>
        <w:t>付息外币支付币种</w:t>
      </w:r>
      <w:r>
        <w:t>&lt;/INPAYCURR&gt;</w:t>
      </w:r>
    </w:p>
    <w:p w14:paraId="1F2A468F" w14:textId="77777777" w:rsidR="00A052DC" w:rsidRDefault="009F0A60">
      <w:r>
        <w:t>&lt;INPAYCURRAM&gt;</w:t>
      </w:r>
      <w:r>
        <w:rPr>
          <w:rFonts w:hint="eastAsia"/>
        </w:rPr>
        <w:t>付息外币支付金额</w:t>
      </w:r>
      <w:r>
        <w:t>&lt;/INPAYCURRAM&gt;</w:t>
      </w:r>
    </w:p>
    <w:p w14:paraId="33E195CC" w14:textId="77777777" w:rsidR="00A052DC" w:rsidRDefault="009F0A60">
      <w:r>
        <w:t>&lt;REMARK&gt;</w:t>
      </w:r>
      <w:r>
        <w:rPr>
          <w:rFonts w:hint="eastAsia"/>
        </w:rPr>
        <w:t>备注</w:t>
      </w:r>
      <w:r>
        <w:t>&lt;/REMARK&gt;</w:t>
      </w:r>
    </w:p>
    <w:p w14:paraId="703C6F46" w14:textId="77777777" w:rsidR="00A052DC" w:rsidRDefault="009F0A60">
      <w:r>
        <w:t>&lt;/REC&gt;</w:t>
      </w:r>
    </w:p>
    <w:p w14:paraId="5985CB29" w14:textId="77777777" w:rsidR="00A052DC" w:rsidRDefault="009F0A60" w:rsidP="0020251D">
      <w:pPr>
        <w:pStyle w:val="5"/>
        <w:numPr>
          <w:ilvl w:val="4"/>
          <w:numId w:val="1"/>
        </w:numPr>
        <w:spacing w:before="120" w:after="120" w:line="360" w:lineRule="auto"/>
        <w:jc w:val="left"/>
      </w:pPr>
      <w:bookmarkStart w:id="1750" w:name="_Toc454386999"/>
      <w:bookmarkStart w:id="1751" w:name="_Toc328635557"/>
      <w:r>
        <w:rPr>
          <w:rFonts w:hint="eastAsia"/>
        </w:rPr>
        <w:t>数据字典</w:t>
      </w:r>
      <w:bookmarkEnd w:id="1750"/>
      <w:bookmarkEnd w:id="1751"/>
    </w:p>
    <w:tbl>
      <w:tblPr>
        <w:tblW w:w="86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701"/>
        <w:gridCol w:w="1417"/>
        <w:gridCol w:w="3969"/>
      </w:tblGrid>
      <w:tr w:rsidR="00A052DC" w14:paraId="38368155" w14:textId="77777777">
        <w:trPr>
          <w:tblHeader/>
        </w:trPr>
        <w:tc>
          <w:tcPr>
            <w:tcW w:w="1560" w:type="dxa"/>
            <w:shd w:val="clear" w:color="auto" w:fill="C0C0C0"/>
          </w:tcPr>
          <w:p w14:paraId="7CCFD21C" w14:textId="77777777" w:rsidR="00A052DC" w:rsidRDefault="009F0A60">
            <w:pPr>
              <w:jc w:val="center"/>
              <w:rPr>
                <w:rFonts w:ascii="黑体" w:eastAsia="黑体" w:hAnsi="黑体"/>
                <w:b/>
                <w:sz w:val="20"/>
                <w:szCs w:val="20"/>
              </w:rPr>
            </w:pPr>
            <w:r>
              <w:rPr>
                <w:rFonts w:ascii="黑体" w:eastAsia="黑体" w:hAnsi="黑体" w:hint="eastAsia"/>
                <w:b/>
                <w:sz w:val="20"/>
                <w:szCs w:val="20"/>
              </w:rPr>
              <w:t>字段</w:t>
            </w:r>
          </w:p>
        </w:tc>
        <w:tc>
          <w:tcPr>
            <w:tcW w:w="1701" w:type="dxa"/>
            <w:shd w:val="clear" w:color="auto" w:fill="C0C0C0"/>
          </w:tcPr>
          <w:p w14:paraId="4BBC83CB" w14:textId="77777777" w:rsidR="00A052DC" w:rsidRDefault="009F0A60">
            <w:pPr>
              <w:jc w:val="center"/>
              <w:rPr>
                <w:rFonts w:ascii="黑体" w:eastAsia="黑体" w:hAnsi="黑体"/>
                <w:b/>
                <w:sz w:val="20"/>
                <w:szCs w:val="20"/>
              </w:rPr>
            </w:pPr>
            <w:r>
              <w:rPr>
                <w:rFonts w:ascii="黑体" w:eastAsia="黑体" w:hAnsi="黑体" w:hint="eastAsia"/>
                <w:b/>
                <w:sz w:val="20"/>
                <w:szCs w:val="20"/>
              </w:rPr>
              <w:t>内容</w:t>
            </w:r>
          </w:p>
        </w:tc>
        <w:tc>
          <w:tcPr>
            <w:tcW w:w="1417" w:type="dxa"/>
            <w:shd w:val="clear" w:color="auto" w:fill="C0C0C0"/>
          </w:tcPr>
          <w:p w14:paraId="1A18D3E5" w14:textId="77777777" w:rsidR="00A052DC" w:rsidRDefault="009F0A60">
            <w:pPr>
              <w:jc w:val="center"/>
              <w:rPr>
                <w:rFonts w:ascii="黑体" w:eastAsia="黑体" w:hAnsi="黑体"/>
                <w:b/>
                <w:sz w:val="20"/>
                <w:szCs w:val="20"/>
              </w:rPr>
            </w:pPr>
            <w:r>
              <w:rPr>
                <w:rFonts w:ascii="黑体" w:eastAsia="黑体" w:hAnsi="黑体" w:hint="eastAsia"/>
                <w:b/>
                <w:sz w:val="20"/>
                <w:szCs w:val="20"/>
              </w:rPr>
              <w:t>类型（长度）</w:t>
            </w:r>
          </w:p>
        </w:tc>
        <w:tc>
          <w:tcPr>
            <w:tcW w:w="3969" w:type="dxa"/>
            <w:shd w:val="clear" w:color="auto" w:fill="C0C0C0"/>
          </w:tcPr>
          <w:p w14:paraId="4585C72A" w14:textId="77777777" w:rsidR="00A052DC" w:rsidRDefault="009F0A60">
            <w:pPr>
              <w:jc w:val="center"/>
              <w:rPr>
                <w:rFonts w:ascii="黑体" w:eastAsia="黑体" w:hAnsi="黑体"/>
                <w:b/>
                <w:sz w:val="20"/>
                <w:szCs w:val="20"/>
              </w:rPr>
            </w:pPr>
            <w:r>
              <w:rPr>
                <w:rFonts w:ascii="黑体" w:eastAsia="黑体" w:hAnsi="黑体" w:hint="eastAsia"/>
                <w:b/>
                <w:sz w:val="20"/>
                <w:szCs w:val="20"/>
              </w:rPr>
              <w:t>校验</w:t>
            </w:r>
          </w:p>
        </w:tc>
      </w:tr>
      <w:tr w:rsidR="00A052DC" w14:paraId="1D5021DA" w14:textId="77777777">
        <w:tc>
          <w:tcPr>
            <w:tcW w:w="1560" w:type="dxa"/>
          </w:tcPr>
          <w:p w14:paraId="1E0C6303" w14:textId="77777777" w:rsidR="00A052DC" w:rsidRDefault="009F0A60">
            <w:pPr>
              <w:rPr>
                <w:rFonts w:ascii="黑体" w:eastAsia="黑体" w:hAnsi="黑体"/>
                <w:sz w:val="20"/>
                <w:szCs w:val="20"/>
              </w:rPr>
            </w:pPr>
            <w:r>
              <w:rPr>
                <w:rFonts w:ascii="黑体" w:eastAsia="黑体" w:hAnsi="黑体"/>
                <w:sz w:val="20"/>
                <w:szCs w:val="20"/>
              </w:rPr>
              <w:t>ACTIONTYPE</w:t>
            </w:r>
          </w:p>
        </w:tc>
        <w:tc>
          <w:tcPr>
            <w:tcW w:w="1701" w:type="dxa"/>
          </w:tcPr>
          <w:p w14:paraId="5C3F285B" w14:textId="77777777" w:rsidR="00A052DC" w:rsidRDefault="009F0A60">
            <w:pPr>
              <w:rPr>
                <w:rFonts w:ascii="黑体" w:eastAsia="黑体" w:hAnsi="黑体"/>
                <w:sz w:val="20"/>
                <w:szCs w:val="20"/>
              </w:rPr>
            </w:pPr>
            <w:r>
              <w:rPr>
                <w:rFonts w:ascii="黑体" w:eastAsia="黑体" w:hAnsi="黑体" w:hint="eastAsia"/>
                <w:sz w:val="20"/>
                <w:szCs w:val="20"/>
              </w:rPr>
              <w:t>操作类型</w:t>
            </w:r>
          </w:p>
        </w:tc>
        <w:tc>
          <w:tcPr>
            <w:tcW w:w="1417" w:type="dxa"/>
          </w:tcPr>
          <w:p w14:paraId="7DFC02B9" w14:textId="77777777" w:rsidR="00A052DC" w:rsidRDefault="009F0A60">
            <w:pPr>
              <w:rPr>
                <w:rFonts w:ascii="黑体" w:eastAsia="黑体" w:hAnsi="黑体"/>
                <w:sz w:val="20"/>
                <w:szCs w:val="20"/>
              </w:rPr>
            </w:pPr>
            <w:r>
              <w:rPr>
                <w:rFonts w:ascii="黑体" w:eastAsia="黑体" w:hAnsi="黑体" w:hint="eastAsia"/>
                <w:sz w:val="20"/>
                <w:szCs w:val="20"/>
              </w:rPr>
              <w:t>字符型，1</w:t>
            </w:r>
          </w:p>
        </w:tc>
        <w:tc>
          <w:tcPr>
            <w:tcW w:w="3969" w:type="dxa"/>
          </w:tcPr>
          <w:p w14:paraId="480160FA" w14:textId="77777777" w:rsidR="00A052DC" w:rsidRDefault="009F0A60">
            <w:pPr>
              <w:rPr>
                <w:rFonts w:ascii="黑体" w:eastAsia="黑体" w:hAnsi="黑体"/>
                <w:sz w:val="20"/>
                <w:szCs w:val="20"/>
              </w:rPr>
            </w:pPr>
            <w:r>
              <w:rPr>
                <w:rFonts w:ascii="黑体" w:eastAsia="黑体" w:hAnsi="黑体" w:hint="eastAsia"/>
                <w:sz w:val="20"/>
                <w:szCs w:val="20"/>
              </w:rPr>
              <w:t>必填项</w:t>
            </w:r>
            <w:r w:rsidR="007D1430">
              <w:rPr>
                <w:rFonts w:ascii="黑体" w:eastAsia="黑体" w:hAnsi="黑体" w:hint="eastAsia"/>
                <w:sz w:val="20"/>
                <w:szCs w:val="20"/>
              </w:rPr>
              <w:t>。</w:t>
            </w:r>
          </w:p>
          <w:p w14:paraId="77F234B4" w14:textId="77777777" w:rsidR="00A052DC" w:rsidRDefault="009F0A60">
            <w:pPr>
              <w:rPr>
                <w:rFonts w:ascii="黑体" w:eastAsia="黑体" w:hAnsi="黑体"/>
                <w:sz w:val="20"/>
                <w:szCs w:val="20"/>
              </w:rPr>
            </w:pPr>
            <w:r>
              <w:rPr>
                <w:rFonts w:ascii="黑体" w:eastAsia="黑体" w:hAnsi="黑体" w:hint="eastAsia"/>
                <w:sz w:val="20"/>
                <w:szCs w:val="20"/>
              </w:rPr>
              <w:t>A</w:t>
            </w:r>
            <w:r w:rsidR="00AE4602">
              <w:rPr>
                <w:rFonts w:ascii="黑体" w:eastAsia="黑体" w:hAnsi="黑体" w:hint="eastAsia"/>
                <w:sz w:val="20"/>
                <w:szCs w:val="20"/>
              </w:rPr>
              <w:t>-</w:t>
            </w:r>
            <w:r>
              <w:rPr>
                <w:rFonts w:ascii="黑体" w:eastAsia="黑体" w:hAnsi="黑体" w:hint="eastAsia"/>
                <w:sz w:val="20"/>
                <w:szCs w:val="20"/>
              </w:rPr>
              <w:t>新建</w:t>
            </w:r>
          </w:p>
          <w:p w14:paraId="21DCCE16" w14:textId="77777777" w:rsidR="00A052DC" w:rsidRDefault="009F0A60">
            <w:pPr>
              <w:rPr>
                <w:rFonts w:ascii="黑体" w:eastAsia="黑体" w:hAnsi="黑体"/>
                <w:sz w:val="20"/>
                <w:szCs w:val="20"/>
              </w:rPr>
            </w:pPr>
            <w:r>
              <w:rPr>
                <w:rFonts w:ascii="黑体" w:eastAsia="黑体" w:hAnsi="黑体" w:hint="eastAsia"/>
                <w:sz w:val="20"/>
                <w:szCs w:val="20"/>
              </w:rPr>
              <w:t>C</w:t>
            </w:r>
            <w:r w:rsidR="00AE4602">
              <w:rPr>
                <w:rFonts w:ascii="黑体" w:eastAsia="黑体" w:hAnsi="黑体" w:hint="eastAsia"/>
                <w:sz w:val="20"/>
                <w:szCs w:val="20"/>
              </w:rPr>
              <w:t>-</w:t>
            </w:r>
            <w:r>
              <w:rPr>
                <w:rFonts w:ascii="黑体" w:eastAsia="黑体" w:hAnsi="黑体" w:hint="eastAsia"/>
                <w:sz w:val="20"/>
                <w:szCs w:val="20"/>
              </w:rPr>
              <w:t>修改</w:t>
            </w:r>
          </w:p>
          <w:p w14:paraId="2EDADCAA" w14:textId="77777777" w:rsidR="00A052DC" w:rsidRDefault="009F0A60">
            <w:pPr>
              <w:rPr>
                <w:rFonts w:ascii="黑体" w:eastAsia="黑体" w:hAnsi="黑体"/>
                <w:sz w:val="20"/>
                <w:szCs w:val="20"/>
              </w:rPr>
            </w:pPr>
            <w:r>
              <w:rPr>
                <w:rFonts w:ascii="黑体" w:eastAsia="黑体" w:hAnsi="黑体" w:hint="eastAsia"/>
                <w:sz w:val="20"/>
                <w:szCs w:val="20"/>
              </w:rPr>
              <w:t>D</w:t>
            </w:r>
            <w:r w:rsidR="00AE4602">
              <w:rPr>
                <w:rFonts w:ascii="黑体" w:eastAsia="黑体" w:hAnsi="黑体" w:hint="eastAsia"/>
                <w:sz w:val="20"/>
                <w:szCs w:val="20"/>
              </w:rPr>
              <w:t>-</w:t>
            </w:r>
            <w:r>
              <w:rPr>
                <w:rFonts w:ascii="黑体" w:eastAsia="黑体" w:hAnsi="黑体" w:hint="eastAsia"/>
                <w:sz w:val="20"/>
                <w:szCs w:val="20"/>
              </w:rPr>
              <w:t>删除</w:t>
            </w:r>
          </w:p>
        </w:tc>
      </w:tr>
      <w:tr w:rsidR="00A052DC" w14:paraId="3BC36FCB" w14:textId="77777777">
        <w:tc>
          <w:tcPr>
            <w:tcW w:w="1560" w:type="dxa"/>
          </w:tcPr>
          <w:p w14:paraId="262F7599" w14:textId="77777777" w:rsidR="00A052DC" w:rsidRDefault="009F0A60">
            <w:pPr>
              <w:rPr>
                <w:rFonts w:ascii="黑体" w:eastAsia="黑体" w:hAnsi="黑体"/>
                <w:sz w:val="20"/>
                <w:szCs w:val="20"/>
              </w:rPr>
            </w:pPr>
            <w:r>
              <w:rPr>
                <w:rFonts w:ascii="黑体" w:eastAsia="黑体" w:hAnsi="黑体"/>
                <w:sz w:val="20"/>
                <w:szCs w:val="20"/>
              </w:rPr>
              <w:t>ACTIONDESC</w:t>
            </w:r>
          </w:p>
        </w:tc>
        <w:tc>
          <w:tcPr>
            <w:tcW w:w="1701" w:type="dxa"/>
          </w:tcPr>
          <w:p w14:paraId="05BF3A6A" w14:textId="77777777" w:rsidR="00A052DC" w:rsidRDefault="009F0A60">
            <w:pPr>
              <w:rPr>
                <w:rFonts w:ascii="黑体" w:eastAsia="黑体" w:hAnsi="黑体"/>
                <w:sz w:val="20"/>
                <w:szCs w:val="20"/>
              </w:rPr>
            </w:pPr>
            <w:r>
              <w:rPr>
                <w:rFonts w:ascii="黑体" w:eastAsia="黑体" w:hAnsi="黑体" w:hint="eastAsia"/>
                <w:sz w:val="20"/>
                <w:szCs w:val="20"/>
              </w:rPr>
              <w:t>删除原因</w:t>
            </w:r>
          </w:p>
        </w:tc>
        <w:tc>
          <w:tcPr>
            <w:tcW w:w="1417" w:type="dxa"/>
          </w:tcPr>
          <w:p w14:paraId="1430A118"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3969" w:type="dxa"/>
          </w:tcPr>
          <w:p w14:paraId="28A0CC1E" w14:textId="77777777" w:rsidR="00A052DC" w:rsidRDefault="00DD6AA3">
            <w:pPr>
              <w:rPr>
                <w:rFonts w:ascii="黑体" w:eastAsia="黑体" w:hAnsi="黑体"/>
                <w:sz w:val="20"/>
                <w:szCs w:val="20"/>
              </w:rPr>
            </w:pPr>
            <w:r>
              <w:rPr>
                <w:rFonts w:ascii="黑体" w:eastAsia="黑体" w:hAnsi="黑体" w:hint="eastAsia"/>
                <w:sz w:val="20"/>
                <w:szCs w:val="20"/>
              </w:rPr>
              <w:t>非必填项，当操作类型（ACTIONTYPE）为删除时必填。</w:t>
            </w:r>
          </w:p>
        </w:tc>
      </w:tr>
      <w:tr w:rsidR="00A052DC" w14:paraId="662853F7" w14:textId="77777777">
        <w:tc>
          <w:tcPr>
            <w:tcW w:w="1560" w:type="dxa"/>
          </w:tcPr>
          <w:p w14:paraId="53A490DE" w14:textId="77777777" w:rsidR="00A052DC" w:rsidRDefault="009F0A60">
            <w:pPr>
              <w:rPr>
                <w:rFonts w:ascii="黑体" w:eastAsia="黑体" w:hAnsi="黑体"/>
                <w:sz w:val="20"/>
                <w:szCs w:val="20"/>
              </w:rPr>
            </w:pPr>
            <w:r>
              <w:rPr>
                <w:rFonts w:ascii="黑体" w:eastAsia="黑体" w:hAnsi="黑体"/>
                <w:sz w:val="20"/>
                <w:szCs w:val="20"/>
              </w:rPr>
              <w:t>STRDECODE</w:t>
            </w:r>
          </w:p>
        </w:tc>
        <w:tc>
          <w:tcPr>
            <w:tcW w:w="1701" w:type="dxa"/>
          </w:tcPr>
          <w:p w14:paraId="6B56717B" w14:textId="77777777" w:rsidR="00A052DC" w:rsidRDefault="009F0A60">
            <w:pPr>
              <w:rPr>
                <w:rFonts w:ascii="黑体" w:eastAsia="黑体" w:hAnsi="黑体"/>
                <w:sz w:val="20"/>
                <w:szCs w:val="20"/>
              </w:rPr>
            </w:pPr>
            <w:r>
              <w:rPr>
                <w:rFonts w:ascii="黑体" w:eastAsia="黑体" w:hAnsi="黑体" w:hint="eastAsia"/>
                <w:sz w:val="20"/>
                <w:szCs w:val="20"/>
              </w:rPr>
              <w:t>人民币结构性存款编号</w:t>
            </w:r>
          </w:p>
        </w:tc>
        <w:tc>
          <w:tcPr>
            <w:tcW w:w="1417" w:type="dxa"/>
          </w:tcPr>
          <w:p w14:paraId="6E4C7DE8" w14:textId="77777777" w:rsidR="00A052DC" w:rsidRDefault="009F0A60">
            <w:pPr>
              <w:rPr>
                <w:rFonts w:ascii="黑体" w:eastAsia="黑体" w:hAnsi="黑体"/>
                <w:sz w:val="20"/>
                <w:szCs w:val="20"/>
              </w:rPr>
            </w:pPr>
            <w:r>
              <w:rPr>
                <w:rFonts w:ascii="黑体" w:eastAsia="黑体" w:hAnsi="黑体" w:hint="eastAsia"/>
                <w:sz w:val="20"/>
                <w:szCs w:val="20"/>
              </w:rPr>
              <w:t>字符型，28</w:t>
            </w:r>
          </w:p>
        </w:tc>
        <w:tc>
          <w:tcPr>
            <w:tcW w:w="3969" w:type="dxa"/>
          </w:tcPr>
          <w:p w14:paraId="078721CC" w14:textId="77777777" w:rsidR="00A052DC" w:rsidRDefault="009F0A60">
            <w:pPr>
              <w:rPr>
                <w:rFonts w:ascii="黑体" w:eastAsia="黑体" w:hAnsi="黑体"/>
                <w:sz w:val="20"/>
                <w:szCs w:val="20"/>
              </w:rPr>
            </w:pPr>
            <w:r>
              <w:rPr>
                <w:rFonts w:ascii="黑体" w:eastAsia="黑体" w:hAnsi="黑体" w:hint="eastAsia"/>
                <w:sz w:val="20"/>
                <w:szCs w:val="20"/>
              </w:rPr>
              <w:t>必填项，唯一性编码。</w:t>
            </w:r>
          </w:p>
        </w:tc>
      </w:tr>
      <w:tr w:rsidR="00A052DC" w14:paraId="7628642A" w14:textId="77777777">
        <w:tc>
          <w:tcPr>
            <w:tcW w:w="1560" w:type="dxa"/>
          </w:tcPr>
          <w:p w14:paraId="342A2829" w14:textId="77777777" w:rsidR="00A052DC" w:rsidRDefault="009F0A60">
            <w:pPr>
              <w:rPr>
                <w:rFonts w:ascii="黑体" w:eastAsia="黑体" w:hAnsi="黑体"/>
                <w:sz w:val="20"/>
                <w:szCs w:val="20"/>
              </w:rPr>
            </w:pPr>
            <w:r>
              <w:rPr>
                <w:rFonts w:ascii="黑体" w:eastAsia="黑体" w:hAnsi="黑体"/>
                <w:sz w:val="20"/>
                <w:szCs w:val="20"/>
              </w:rPr>
              <w:t>BRANCHCODE</w:t>
            </w:r>
          </w:p>
        </w:tc>
        <w:tc>
          <w:tcPr>
            <w:tcW w:w="1701" w:type="dxa"/>
          </w:tcPr>
          <w:p w14:paraId="50538948" w14:textId="77777777" w:rsidR="00A052DC" w:rsidRDefault="009F0A60">
            <w:pPr>
              <w:rPr>
                <w:rFonts w:ascii="黑体" w:eastAsia="黑体" w:hAnsi="黑体"/>
                <w:sz w:val="20"/>
                <w:szCs w:val="20"/>
              </w:rPr>
            </w:pPr>
            <w:r>
              <w:rPr>
                <w:rFonts w:ascii="黑体" w:eastAsia="黑体" w:hAnsi="黑体" w:hint="eastAsia"/>
                <w:sz w:val="20"/>
                <w:szCs w:val="20"/>
              </w:rPr>
              <w:t>金融机构标识码</w:t>
            </w:r>
          </w:p>
        </w:tc>
        <w:tc>
          <w:tcPr>
            <w:tcW w:w="1417" w:type="dxa"/>
          </w:tcPr>
          <w:p w14:paraId="2FC66793" w14:textId="77777777" w:rsidR="00A052DC" w:rsidRDefault="009F0A60">
            <w:pPr>
              <w:rPr>
                <w:rFonts w:ascii="黑体" w:eastAsia="黑体" w:hAnsi="黑体"/>
                <w:sz w:val="20"/>
                <w:szCs w:val="20"/>
              </w:rPr>
            </w:pPr>
            <w:r>
              <w:rPr>
                <w:rFonts w:ascii="黑体" w:eastAsia="黑体" w:hAnsi="黑体" w:hint="eastAsia"/>
                <w:sz w:val="20"/>
                <w:szCs w:val="20"/>
              </w:rPr>
              <w:t>字符型，12</w:t>
            </w:r>
          </w:p>
        </w:tc>
        <w:tc>
          <w:tcPr>
            <w:tcW w:w="3969" w:type="dxa"/>
          </w:tcPr>
          <w:p w14:paraId="698032C3" w14:textId="77777777" w:rsidR="00A052DC" w:rsidRDefault="009F0A60">
            <w:pPr>
              <w:rPr>
                <w:rFonts w:ascii="黑体" w:eastAsia="黑体" w:hAnsi="黑体"/>
                <w:sz w:val="20"/>
                <w:szCs w:val="20"/>
              </w:rPr>
            </w:pPr>
            <w:r>
              <w:rPr>
                <w:rFonts w:ascii="黑体" w:eastAsia="黑体" w:hAnsi="黑体" w:hint="eastAsia"/>
                <w:sz w:val="20"/>
                <w:szCs w:val="20"/>
              </w:rPr>
              <w:t>必填项，金融机构标识码。</w:t>
            </w:r>
          </w:p>
        </w:tc>
      </w:tr>
      <w:tr w:rsidR="00A052DC" w14:paraId="473FF5FD" w14:textId="77777777">
        <w:tc>
          <w:tcPr>
            <w:tcW w:w="1560" w:type="dxa"/>
          </w:tcPr>
          <w:p w14:paraId="06978CBB" w14:textId="77777777" w:rsidR="00A052DC" w:rsidRDefault="009F0A60">
            <w:pPr>
              <w:rPr>
                <w:rFonts w:ascii="黑体" w:eastAsia="黑体" w:hAnsi="黑体"/>
                <w:sz w:val="20"/>
                <w:szCs w:val="20"/>
              </w:rPr>
            </w:pPr>
            <w:r>
              <w:rPr>
                <w:rFonts w:ascii="黑体" w:eastAsia="黑体" w:hAnsi="黑体"/>
                <w:sz w:val="20"/>
                <w:szCs w:val="20"/>
              </w:rPr>
              <w:t>CONTRACT</w:t>
            </w:r>
          </w:p>
        </w:tc>
        <w:tc>
          <w:tcPr>
            <w:tcW w:w="1701" w:type="dxa"/>
          </w:tcPr>
          <w:p w14:paraId="7EFEA3F1" w14:textId="77777777" w:rsidR="00A052DC" w:rsidRDefault="009F0A60">
            <w:pPr>
              <w:rPr>
                <w:rFonts w:ascii="黑体" w:eastAsia="黑体" w:hAnsi="黑体"/>
                <w:sz w:val="20"/>
                <w:szCs w:val="20"/>
              </w:rPr>
            </w:pPr>
            <w:r>
              <w:rPr>
                <w:rFonts w:ascii="黑体" w:eastAsia="黑体" w:hAnsi="黑体" w:hint="eastAsia"/>
                <w:sz w:val="20"/>
                <w:szCs w:val="20"/>
              </w:rPr>
              <w:t>合同号</w:t>
            </w:r>
          </w:p>
        </w:tc>
        <w:tc>
          <w:tcPr>
            <w:tcW w:w="1417" w:type="dxa"/>
          </w:tcPr>
          <w:p w14:paraId="09E455BB" w14:textId="77777777" w:rsidR="00A052DC" w:rsidRDefault="009F0A60">
            <w:pPr>
              <w:rPr>
                <w:rFonts w:ascii="黑体" w:eastAsia="黑体" w:hAnsi="黑体"/>
                <w:sz w:val="20"/>
                <w:szCs w:val="20"/>
              </w:rPr>
            </w:pPr>
            <w:r>
              <w:rPr>
                <w:rFonts w:ascii="黑体" w:eastAsia="黑体" w:hAnsi="黑体" w:hint="eastAsia"/>
                <w:sz w:val="20"/>
                <w:szCs w:val="20"/>
              </w:rPr>
              <w:t>字符型，32</w:t>
            </w:r>
          </w:p>
        </w:tc>
        <w:tc>
          <w:tcPr>
            <w:tcW w:w="3969" w:type="dxa"/>
          </w:tcPr>
          <w:p w14:paraId="17B9A01B"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r w:rsidR="00A052DC" w14:paraId="3921582F" w14:textId="77777777">
        <w:tc>
          <w:tcPr>
            <w:tcW w:w="1560" w:type="dxa"/>
          </w:tcPr>
          <w:p w14:paraId="7BCCBE01" w14:textId="77777777" w:rsidR="00A052DC" w:rsidRDefault="009F0A60">
            <w:pPr>
              <w:rPr>
                <w:rFonts w:ascii="黑体" w:eastAsia="黑体" w:hAnsi="黑体"/>
                <w:sz w:val="20"/>
                <w:szCs w:val="20"/>
              </w:rPr>
            </w:pPr>
            <w:r>
              <w:rPr>
                <w:rFonts w:ascii="黑体" w:eastAsia="黑体" w:hAnsi="黑体"/>
                <w:sz w:val="20"/>
                <w:szCs w:val="20"/>
              </w:rPr>
              <w:t>INPAYCODE</w:t>
            </w:r>
          </w:p>
        </w:tc>
        <w:tc>
          <w:tcPr>
            <w:tcW w:w="1701" w:type="dxa"/>
          </w:tcPr>
          <w:p w14:paraId="78A2170F" w14:textId="77777777" w:rsidR="00A052DC" w:rsidRDefault="009F0A60">
            <w:pPr>
              <w:rPr>
                <w:rFonts w:ascii="黑体" w:eastAsia="黑体" w:hAnsi="黑体"/>
                <w:sz w:val="20"/>
                <w:szCs w:val="20"/>
              </w:rPr>
            </w:pPr>
            <w:r>
              <w:rPr>
                <w:rFonts w:ascii="黑体" w:eastAsia="黑体" w:hAnsi="黑体" w:hint="eastAsia"/>
                <w:sz w:val="20"/>
                <w:szCs w:val="20"/>
              </w:rPr>
              <w:t>付息编号</w:t>
            </w:r>
          </w:p>
        </w:tc>
        <w:tc>
          <w:tcPr>
            <w:tcW w:w="1417" w:type="dxa"/>
          </w:tcPr>
          <w:p w14:paraId="7D5B8D76" w14:textId="77777777" w:rsidR="00A052DC" w:rsidRDefault="009F0A60">
            <w:pPr>
              <w:rPr>
                <w:rFonts w:ascii="黑体" w:eastAsia="黑体" w:hAnsi="黑体"/>
                <w:sz w:val="20"/>
                <w:szCs w:val="20"/>
              </w:rPr>
            </w:pPr>
            <w:r>
              <w:rPr>
                <w:rFonts w:ascii="黑体" w:eastAsia="黑体" w:hAnsi="黑体" w:hint="eastAsia"/>
                <w:sz w:val="20"/>
                <w:szCs w:val="20"/>
              </w:rPr>
              <w:t>字符型，4</w:t>
            </w:r>
          </w:p>
        </w:tc>
        <w:tc>
          <w:tcPr>
            <w:tcW w:w="3969" w:type="dxa"/>
          </w:tcPr>
          <w:p w14:paraId="3C4EE12D" w14:textId="77777777" w:rsidR="00A052DC" w:rsidRDefault="009F0A60">
            <w:pPr>
              <w:rPr>
                <w:rFonts w:ascii="黑体" w:eastAsia="黑体" w:hAnsi="黑体"/>
                <w:sz w:val="20"/>
                <w:szCs w:val="20"/>
              </w:rPr>
            </w:pPr>
            <w:r>
              <w:rPr>
                <w:rFonts w:ascii="黑体" w:eastAsia="黑体" w:hAnsi="黑体" w:hint="eastAsia"/>
                <w:sz w:val="20"/>
                <w:szCs w:val="20"/>
              </w:rPr>
              <w:t>必填项，记录付息情况编号。</w:t>
            </w:r>
          </w:p>
        </w:tc>
      </w:tr>
      <w:tr w:rsidR="00A052DC" w14:paraId="226186C7" w14:textId="77777777">
        <w:tc>
          <w:tcPr>
            <w:tcW w:w="1560" w:type="dxa"/>
          </w:tcPr>
          <w:p w14:paraId="4F40DEF0" w14:textId="77777777" w:rsidR="00A052DC" w:rsidRDefault="009F0A60">
            <w:pPr>
              <w:rPr>
                <w:rFonts w:ascii="黑体" w:eastAsia="黑体" w:hAnsi="黑体"/>
                <w:sz w:val="20"/>
                <w:szCs w:val="20"/>
              </w:rPr>
            </w:pPr>
            <w:r>
              <w:rPr>
                <w:rFonts w:ascii="黑体" w:eastAsia="黑体" w:hAnsi="黑体"/>
                <w:sz w:val="20"/>
                <w:szCs w:val="20"/>
              </w:rPr>
              <w:t>INPAYMONTH</w:t>
            </w:r>
          </w:p>
        </w:tc>
        <w:tc>
          <w:tcPr>
            <w:tcW w:w="1701" w:type="dxa"/>
          </w:tcPr>
          <w:p w14:paraId="06B56B31" w14:textId="77777777" w:rsidR="00A052DC" w:rsidRDefault="009F0A60">
            <w:pPr>
              <w:rPr>
                <w:rFonts w:ascii="黑体" w:eastAsia="黑体" w:hAnsi="黑体"/>
                <w:sz w:val="20"/>
                <w:szCs w:val="20"/>
              </w:rPr>
            </w:pPr>
            <w:r>
              <w:rPr>
                <w:rFonts w:ascii="黑体" w:eastAsia="黑体" w:hAnsi="黑体" w:hint="eastAsia"/>
                <w:sz w:val="20"/>
                <w:szCs w:val="20"/>
              </w:rPr>
              <w:t>付息年月</w:t>
            </w:r>
          </w:p>
        </w:tc>
        <w:tc>
          <w:tcPr>
            <w:tcW w:w="1417" w:type="dxa"/>
          </w:tcPr>
          <w:p w14:paraId="78DDEDA5" w14:textId="77777777" w:rsidR="00A052DC" w:rsidRDefault="009F0A60">
            <w:pPr>
              <w:rPr>
                <w:rFonts w:ascii="黑体" w:eastAsia="黑体" w:hAnsi="黑体"/>
                <w:sz w:val="20"/>
                <w:szCs w:val="20"/>
              </w:rPr>
            </w:pPr>
            <w:r>
              <w:rPr>
                <w:rFonts w:ascii="黑体" w:eastAsia="黑体" w:hAnsi="黑体" w:hint="eastAsia"/>
                <w:sz w:val="20"/>
                <w:szCs w:val="20"/>
              </w:rPr>
              <w:t>数值型，6</w:t>
            </w:r>
          </w:p>
        </w:tc>
        <w:tc>
          <w:tcPr>
            <w:tcW w:w="3969" w:type="dxa"/>
          </w:tcPr>
          <w:p w14:paraId="74F2D1A4" w14:textId="77777777" w:rsidR="00A052DC" w:rsidRDefault="009F0A60">
            <w:pPr>
              <w:rPr>
                <w:rFonts w:ascii="黑体" w:eastAsia="黑体" w:hAnsi="黑体"/>
                <w:sz w:val="20"/>
                <w:szCs w:val="20"/>
              </w:rPr>
            </w:pPr>
            <w:r>
              <w:rPr>
                <w:rFonts w:ascii="黑体" w:eastAsia="黑体" w:hAnsi="黑体" w:hint="eastAsia"/>
                <w:sz w:val="20"/>
                <w:szCs w:val="20"/>
              </w:rPr>
              <w:t>必填项，格式为YYYYMM。</w:t>
            </w:r>
          </w:p>
        </w:tc>
      </w:tr>
      <w:tr w:rsidR="00A052DC" w14:paraId="42B8CE0C" w14:textId="77777777">
        <w:tc>
          <w:tcPr>
            <w:tcW w:w="1560" w:type="dxa"/>
          </w:tcPr>
          <w:p w14:paraId="127C400F" w14:textId="77777777" w:rsidR="00A052DC" w:rsidRDefault="009F0A60">
            <w:pPr>
              <w:rPr>
                <w:rFonts w:ascii="黑体" w:eastAsia="黑体" w:hAnsi="黑体"/>
                <w:sz w:val="20"/>
                <w:szCs w:val="20"/>
              </w:rPr>
            </w:pPr>
            <w:r>
              <w:rPr>
                <w:rFonts w:ascii="黑体" w:eastAsia="黑体" w:hAnsi="黑体"/>
                <w:sz w:val="20"/>
                <w:szCs w:val="20"/>
              </w:rPr>
              <w:t>INPAYRMBAM</w:t>
            </w:r>
          </w:p>
        </w:tc>
        <w:tc>
          <w:tcPr>
            <w:tcW w:w="1701" w:type="dxa"/>
          </w:tcPr>
          <w:p w14:paraId="43B24907" w14:textId="77777777" w:rsidR="00A052DC" w:rsidRDefault="009F0A60">
            <w:pPr>
              <w:rPr>
                <w:rFonts w:ascii="黑体" w:eastAsia="黑体" w:hAnsi="黑体"/>
                <w:sz w:val="20"/>
                <w:szCs w:val="20"/>
              </w:rPr>
            </w:pPr>
            <w:r>
              <w:rPr>
                <w:rFonts w:ascii="黑体" w:eastAsia="黑体" w:hAnsi="黑体" w:hint="eastAsia"/>
                <w:sz w:val="20"/>
                <w:szCs w:val="20"/>
              </w:rPr>
              <w:t>付息人民币支付金额</w:t>
            </w:r>
          </w:p>
        </w:tc>
        <w:tc>
          <w:tcPr>
            <w:tcW w:w="1417" w:type="dxa"/>
          </w:tcPr>
          <w:p w14:paraId="29A8799F"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3969" w:type="dxa"/>
          </w:tcPr>
          <w:p w14:paraId="3F4E87B4" w14:textId="77777777" w:rsidR="00A052DC" w:rsidRDefault="009F0A60">
            <w:pPr>
              <w:rPr>
                <w:rFonts w:ascii="黑体" w:eastAsia="黑体" w:hAnsi="黑体"/>
                <w:sz w:val="20"/>
                <w:szCs w:val="20"/>
              </w:rPr>
            </w:pPr>
            <w:r>
              <w:rPr>
                <w:rFonts w:ascii="黑体" w:eastAsia="黑体" w:hAnsi="黑体" w:hint="eastAsia"/>
                <w:sz w:val="20"/>
                <w:szCs w:val="20"/>
              </w:rPr>
              <w:t>非必填项，大于等于0。付息人民币支付金额与付息外币支付金额至少填一个。</w:t>
            </w:r>
          </w:p>
        </w:tc>
      </w:tr>
      <w:tr w:rsidR="00A052DC" w14:paraId="568691D5" w14:textId="77777777">
        <w:tc>
          <w:tcPr>
            <w:tcW w:w="1560" w:type="dxa"/>
          </w:tcPr>
          <w:p w14:paraId="46C56B0A" w14:textId="77777777" w:rsidR="00A052DC" w:rsidRDefault="009F0A60">
            <w:pPr>
              <w:rPr>
                <w:rFonts w:ascii="黑体" w:eastAsia="黑体" w:hAnsi="黑体"/>
                <w:sz w:val="20"/>
                <w:szCs w:val="20"/>
              </w:rPr>
            </w:pPr>
            <w:r>
              <w:rPr>
                <w:rFonts w:ascii="黑体" w:eastAsia="黑体" w:hAnsi="黑体"/>
                <w:sz w:val="20"/>
                <w:szCs w:val="20"/>
              </w:rPr>
              <w:t>INPAYCURR</w:t>
            </w:r>
          </w:p>
        </w:tc>
        <w:tc>
          <w:tcPr>
            <w:tcW w:w="1701" w:type="dxa"/>
          </w:tcPr>
          <w:p w14:paraId="1EA83FD1" w14:textId="77777777" w:rsidR="00A052DC" w:rsidRDefault="009F0A60">
            <w:pPr>
              <w:rPr>
                <w:rFonts w:ascii="黑体" w:eastAsia="黑体" w:hAnsi="黑体"/>
                <w:sz w:val="20"/>
                <w:szCs w:val="20"/>
              </w:rPr>
            </w:pPr>
            <w:r>
              <w:rPr>
                <w:rFonts w:ascii="黑体" w:eastAsia="黑体" w:hAnsi="黑体" w:hint="eastAsia"/>
                <w:sz w:val="20"/>
                <w:szCs w:val="20"/>
              </w:rPr>
              <w:t>付息外币支付币种</w:t>
            </w:r>
          </w:p>
        </w:tc>
        <w:tc>
          <w:tcPr>
            <w:tcW w:w="1417" w:type="dxa"/>
          </w:tcPr>
          <w:p w14:paraId="37A4FEF5" w14:textId="77777777" w:rsidR="00A052DC" w:rsidRDefault="009F0A60">
            <w:pPr>
              <w:rPr>
                <w:rFonts w:ascii="黑体" w:eastAsia="黑体" w:hAnsi="黑体"/>
                <w:sz w:val="20"/>
                <w:szCs w:val="20"/>
              </w:rPr>
            </w:pPr>
            <w:r>
              <w:rPr>
                <w:rFonts w:ascii="黑体" w:eastAsia="黑体" w:hAnsi="黑体" w:hint="eastAsia"/>
                <w:sz w:val="20"/>
                <w:szCs w:val="20"/>
              </w:rPr>
              <w:t>字符型，3</w:t>
            </w:r>
          </w:p>
        </w:tc>
        <w:tc>
          <w:tcPr>
            <w:tcW w:w="3969" w:type="dxa"/>
          </w:tcPr>
          <w:p w14:paraId="4FD5C229" w14:textId="77777777" w:rsidR="00A052DC" w:rsidRDefault="009F0A60">
            <w:pPr>
              <w:rPr>
                <w:rFonts w:ascii="黑体" w:eastAsia="黑体" w:hAnsi="黑体"/>
                <w:sz w:val="20"/>
                <w:szCs w:val="20"/>
              </w:rPr>
            </w:pPr>
            <w:r>
              <w:rPr>
                <w:rFonts w:ascii="黑体" w:eastAsia="黑体" w:hAnsi="黑体" w:hint="eastAsia"/>
                <w:sz w:val="20"/>
                <w:szCs w:val="20"/>
              </w:rPr>
              <w:t>非必填项。付息外币支付币种和付息外币支付金额为一组数据，两者同时为空或者不为空。</w:t>
            </w:r>
          </w:p>
        </w:tc>
      </w:tr>
      <w:tr w:rsidR="00A052DC" w14:paraId="421D58B6" w14:textId="77777777">
        <w:tc>
          <w:tcPr>
            <w:tcW w:w="1560" w:type="dxa"/>
          </w:tcPr>
          <w:p w14:paraId="03958AA6" w14:textId="77777777" w:rsidR="00A052DC" w:rsidRDefault="009F0A60">
            <w:pPr>
              <w:rPr>
                <w:rFonts w:ascii="黑体" w:eastAsia="黑体" w:hAnsi="黑体"/>
                <w:sz w:val="20"/>
                <w:szCs w:val="20"/>
              </w:rPr>
            </w:pPr>
            <w:r>
              <w:rPr>
                <w:rFonts w:ascii="黑体" w:eastAsia="黑体" w:hAnsi="黑体"/>
                <w:sz w:val="20"/>
                <w:szCs w:val="20"/>
              </w:rPr>
              <w:t>INPAYCURRAM</w:t>
            </w:r>
          </w:p>
        </w:tc>
        <w:tc>
          <w:tcPr>
            <w:tcW w:w="1701" w:type="dxa"/>
          </w:tcPr>
          <w:p w14:paraId="1AF4B5DC" w14:textId="77777777" w:rsidR="00A052DC" w:rsidRDefault="009F0A60">
            <w:pPr>
              <w:rPr>
                <w:rFonts w:ascii="黑体" w:eastAsia="黑体" w:hAnsi="黑体"/>
                <w:sz w:val="20"/>
                <w:szCs w:val="20"/>
              </w:rPr>
            </w:pPr>
            <w:r>
              <w:rPr>
                <w:rFonts w:ascii="黑体" w:eastAsia="黑体" w:hAnsi="黑体" w:hint="eastAsia"/>
                <w:sz w:val="20"/>
                <w:szCs w:val="20"/>
              </w:rPr>
              <w:t>付息外币支付金额</w:t>
            </w:r>
          </w:p>
        </w:tc>
        <w:tc>
          <w:tcPr>
            <w:tcW w:w="1417" w:type="dxa"/>
          </w:tcPr>
          <w:p w14:paraId="38F16B33"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3969" w:type="dxa"/>
          </w:tcPr>
          <w:p w14:paraId="20AA58CC" w14:textId="77777777" w:rsidR="00A052DC" w:rsidRDefault="009F0A60">
            <w:pPr>
              <w:rPr>
                <w:rFonts w:ascii="黑体" w:eastAsia="黑体" w:hAnsi="黑体"/>
                <w:sz w:val="20"/>
                <w:szCs w:val="20"/>
              </w:rPr>
            </w:pPr>
            <w:r>
              <w:rPr>
                <w:rFonts w:ascii="黑体" w:eastAsia="黑体" w:hAnsi="黑体" w:hint="eastAsia"/>
                <w:sz w:val="20"/>
                <w:szCs w:val="20"/>
              </w:rPr>
              <w:t>非必填项，大于等于0。</w:t>
            </w:r>
          </w:p>
        </w:tc>
      </w:tr>
      <w:tr w:rsidR="00A052DC" w14:paraId="4C7D270B" w14:textId="77777777">
        <w:tc>
          <w:tcPr>
            <w:tcW w:w="1560" w:type="dxa"/>
            <w:tcBorders>
              <w:top w:val="single" w:sz="4" w:space="0" w:color="auto"/>
              <w:left w:val="single" w:sz="4" w:space="0" w:color="auto"/>
              <w:bottom w:val="single" w:sz="4" w:space="0" w:color="auto"/>
              <w:right w:val="single" w:sz="4" w:space="0" w:color="auto"/>
            </w:tcBorders>
          </w:tcPr>
          <w:p w14:paraId="7AE10658" w14:textId="77777777" w:rsidR="00A052DC" w:rsidRDefault="009F0A60">
            <w:pPr>
              <w:rPr>
                <w:rFonts w:ascii="黑体" w:eastAsia="黑体" w:hAnsi="黑体"/>
                <w:sz w:val="20"/>
                <w:szCs w:val="20"/>
              </w:rPr>
            </w:pPr>
            <w:r>
              <w:rPr>
                <w:rFonts w:ascii="黑体" w:eastAsia="黑体" w:hAnsi="黑体"/>
                <w:sz w:val="20"/>
                <w:szCs w:val="20"/>
              </w:rPr>
              <w:t>REMARK</w:t>
            </w:r>
          </w:p>
        </w:tc>
        <w:tc>
          <w:tcPr>
            <w:tcW w:w="1701" w:type="dxa"/>
            <w:tcBorders>
              <w:top w:val="single" w:sz="4" w:space="0" w:color="auto"/>
              <w:left w:val="single" w:sz="4" w:space="0" w:color="auto"/>
              <w:bottom w:val="single" w:sz="4" w:space="0" w:color="auto"/>
              <w:right w:val="single" w:sz="4" w:space="0" w:color="auto"/>
            </w:tcBorders>
          </w:tcPr>
          <w:p w14:paraId="25BD6212" w14:textId="77777777" w:rsidR="00A052DC" w:rsidRDefault="009F0A60">
            <w:pPr>
              <w:rPr>
                <w:rFonts w:ascii="黑体" w:eastAsia="黑体" w:hAnsi="黑体"/>
                <w:sz w:val="20"/>
                <w:szCs w:val="20"/>
              </w:rPr>
            </w:pPr>
            <w:r>
              <w:rPr>
                <w:rFonts w:ascii="黑体" w:eastAsia="黑体" w:hAnsi="黑体" w:hint="eastAsia"/>
                <w:sz w:val="20"/>
                <w:szCs w:val="20"/>
              </w:rPr>
              <w:t>备注</w:t>
            </w:r>
          </w:p>
        </w:tc>
        <w:tc>
          <w:tcPr>
            <w:tcW w:w="1417" w:type="dxa"/>
            <w:tcBorders>
              <w:top w:val="single" w:sz="4" w:space="0" w:color="auto"/>
              <w:left w:val="single" w:sz="4" w:space="0" w:color="auto"/>
              <w:bottom w:val="single" w:sz="4" w:space="0" w:color="auto"/>
              <w:right w:val="single" w:sz="4" w:space="0" w:color="auto"/>
            </w:tcBorders>
          </w:tcPr>
          <w:p w14:paraId="6D680901" w14:textId="77777777" w:rsidR="00A052DC" w:rsidRDefault="009F0A60">
            <w:pPr>
              <w:rPr>
                <w:rFonts w:ascii="黑体" w:eastAsia="黑体" w:hAnsi="黑体"/>
                <w:sz w:val="20"/>
                <w:szCs w:val="20"/>
              </w:rPr>
            </w:pPr>
            <w:r>
              <w:rPr>
                <w:rFonts w:ascii="黑体" w:eastAsia="黑体" w:hAnsi="黑体" w:hint="eastAsia"/>
                <w:sz w:val="20"/>
                <w:szCs w:val="20"/>
              </w:rPr>
              <w:t>字符型，256</w:t>
            </w:r>
          </w:p>
        </w:tc>
        <w:tc>
          <w:tcPr>
            <w:tcW w:w="3969" w:type="dxa"/>
            <w:tcBorders>
              <w:top w:val="single" w:sz="4" w:space="0" w:color="auto"/>
              <w:left w:val="single" w:sz="4" w:space="0" w:color="auto"/>
              <w:bottom w:val="single" w:sz="4" w:space="0" w:color="auto"/>
              <w:right w:val="single" w:sz="4" w:space="0" w:color="auto"/>
            </w:tcBorders>
          </w:tcPr>
          <w:p w14:paraId="4B2E5B9B" w14:textId="77777777" w:rsidR="00A052DC" w:rsidRDefault="009F0A60">
            <w:pPr>
              <w:rPr>
                <w:rFonts w:ascii="黑体" w:eastAsia="黑体" w:hAnsi="黑体"/>
                <w:sz w:val="20"/>
                <w:szCs w:val="20"/>
              </w:rPr>
            </w:pPr>
            <w:r>
              <w:rPr>
                <w:rFonts w:ascii="黑体" w:eastAsia="黑体" w:hAnsi="黑体" w:hint="eastAsia"/>
                <w:sz w:val="20"/>
                <w:szCs w:val="20"/>
              </w:rPr>
              <w:t>非必填项。</w:t>
            </w:r>
          </w:p>
        </w:tc>
      </w:tr>
    </w:tbl>
    <w:p w14:paraId="784FB3C0" w14:textId="77777777" w:rsidR="00A052DC" w:rsidRDefault="00A052DC"/>
    <w:p w14:paraId="24AFB607" w14:textId="77777777" w:rsidR="00A052DC" w:rsidRDefault="009F0A60" w:rsidP="0020251D">
      <w:pPr>
        <w:pStyle w:val="4"/>
        <w:numPr>
          <w:ilvl w:val="3"/>
          <w:numId w:val="1"/>
        </w:numPr>
        <w:jc w:val="left"/>
      </w:pPr>
      <w:bookmarkStart w:id="1752" w:name="_Toc328635558"/>
      <w:bookmarkStart w:id="1753" w:name="_Toc454387000"/>
      <w:r>
        <w:rPr>
          <w:rFonts w:hint="eastAsia"/>
        </w:rPr>
        <w:t>资金流出入和结购汇信息</w:t>
      </w:r>
      <w:bookmarkEnd w:id="1752"/>
      <w:bookmarkEnd w:id="1753"/>
    </w:p>
    <w:p w14:paraId="03E6E5F7" w14:textId="77777777" w:rsidR="00A052DC" w:rsidRDefault="009F0A60" w:rsidP="0020251D">
      <w:pPr>
        <w:pStyle w:val="5"/>
        <w:numPr>
          <w:ilvl w:val="4"/>
          <w:numId w:val="1"/>
        </w:numPr>
        <w:spacing w:before="120" w:after="120" w:line="360" w:lineRule="auto"/>
        <w:jc w:val="left"/>
      </w:pPr>
      <w:bookmarkStart w:id="1754" w:name="_Toc328635559"/>
      <w:bookmarkStart w:id="1755" w:name="_Toc454387001"/>
      <w:r>
        <w:rPr>
          <w:rFonts w:hint="eastAsia"/>
        </w:rPr>
        <w:t>数据术语解释</w:t>
      </w:r>
      <w:bookmarkEnd w:id="1754"/>
      <w:bookmarkEnd w:id="1755"/>
    </w:p>
    <w:tbl>
      <w:tblPr>
        <w:tblW w:w="84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26"/>
        <w:gridCol w:w="6946"/>
      </w:tblGrid>
      <w:tr w:rsidR="00A052DC" w14:paraId="5EDBAF31" w14:textId="77777777">
        <w:tc>
          <w:tcPr>
            <w:tcW w:w="1526" w:type="dxa"/>
          </w:tcPr>
          <w:p w14:paraId="4C10E9C7" w14:textId="77777777" w:rsidR="00A052DC" w:rsidRDefault="009F0A60">
            <w:pPr>
              <w:jc w:val="center"/>
              <w:rPr>
                <w:rFonts w:ascii="黑体" w:eastAsia="黑体" w:hAnsi="黑体"/>
                <w:b/>
                <w:sz w:val="20"/>
                <w:szCs w:val="20"/>
              </w:rPr>
            </w:pPr>
            <w:r>
              <w:rPr>
                <w:rFonts w:ascii="黑体" w:eastAsia="黑体" w:hAnsi="黑体" w:hint="eastAsia"/>
                <w:b/>
                <w:sz w:val="20"/>
                <w:szCs w:val="20"/>
              </w:rPr>
              <w:t>基础数据项</w:t>
            </w:r>
          </w:p>
        </w:tc>
        <w:tc>
          <w:tcPr>
            <w:tcW w:w="6946" w:type="dxa"/>
          </w:tcPr>
          <w:p w14:paraId="3FE56836" w14:textId="77777777" w:rsidR="00A052DC" w:rsidRDefault="009F0A60">
            <w:pPr>
              <w:jc w:val="center"/>
              <w:rPr>
                <w:rFonts w:ascii="黑体" w:eastAsia="黑体" w:hAnsi="黑体"/>
                <w:b/>
                <w:sz w:val="20"/>
                <w:szCs w:val="20"/>
              </w:rPr>
            </w:pPr>
            <w:r>
              <w:rPr>
                <w:rFonts w:ascii="黑体" w:eastAsia="黑体" w:hAnsi="黑体" w:hint="eastAsia"/>
                <w:b/>
                <w:sz w:val="20"/>
                <w:szCs w:val="20"/>
              </w:rPr>
              <w:t>定义</w:t>
            </w:r>
          </w:p>
        </w:tc>
      </w:tr>
      <w:tr w:rsidR="00A052DC" w14:paraId="6CF3571B" w14:textId="77777777">
        <w:trPr>
          <w:cantSplit/>
        </w:trPr>
        <w:tc>
          <w:tcPr>
            <w:tcW w:w="1526" w:type="dxa"/>
          </w:tcPr>
          <w:p w14:paraId="2CDCC0E5" w14:textId="77777777" w:rsidR="00A052DC" w:rsidRDefault="009F0A60">
            <w:pPr>
              <w:rPr>
                <w:rFonts w:ascii="黑体" w:eastAsia="黑体" w:hAnsi="黑体"/>
                <w:sz w:val="20"/>
                <w:szCs w:val="20"/>
              </w:rPr>
            </w:pPr>
            <w:r>
              <w:rPr>
                <w:rFonts w:ascii="黑体" w:eastAsia="黑体" w:hAnsi="黑体" w:hint="eastAsia"/>
                <w:sz w:val="20"/>
                <w:szCs w:val="20"/>
              </w:rPr>
              <w:t>金融机构标识码</w:t>
            </w:r>
          </w:p>
        </w:tc>
        <w:tc>
          <w:tcPr>
            <w:tcW w:w="6946" w:type="dxa"/>
          </w:tcPr>
          <w:p w14:paraId="2BE0DFB8" w14:textId="77777777" w:rsidR="00A052DC" w:rsidRDefault="009F0A60">
            <w:pPr>
              <w:rPr>
                <w:rFonts w:ascii="黑体" w:eastAsia="黑体" w:hAnsi="黑体"/>
                <w:sz w:val="20"/>
                <w:szCs w:val="20"/>
              </w:rPr>
            </w:pPr>
            <w:r>
              <w:rPr>
                <w:rFonts w:ascii="黑体" w:eastAsia="黑体" w:hAnsi="黑体" w:hint="eastAsia"/>
                <w:sz w:val="20"/>
                <w:szCs w:val="20"/>
              </w:rPr>
              <w:t>国家外汇管理局及其分支局签发托管银行</w:t>
            </w:r>
            <w:r>
              <w:rPr>
                <w:rFonts w:ascii="黑体" w:eastAsia="黑体" w:hAnsi="黑体"/>
                <w:sz w:val="20"/>
                <w:szCs w:val="20"/>
              </w:rPr>
              <w:t>12</w:t>
            </w:r>
            <w:r>
              <w:rPr>
                <w:rFonts w:ascii="黑体" w:eastAsia="黑体" w:hAnsi="黑体" w:hint="eastAsia"/>
                <w:sz w:val="20"/>
                <w:szCs w:val="20"/>
              </w:rPr>
              <w:t>位金融机构标识码。</w:t>
            </w:r>
          </w:p>
        </w:tc>
      </w:tr>
      <w:tr w:rsidR="00A052DC" w14:paraId="2DAB1F41" w14:textId="77777777">
        <w:trPr>
          <w:cantSplit/>
        </w:trPr>
        <w:tc>
          <w:tcPr>
            <w:tcW w:w="1526" w:type="dxa"/>
          </w:tcPr>
          <w:p w14:paraId="4E6188AA" w14:textId="77777777" w:rsidR="00A052DC" w:rsidRDefault="009F0A60">
            <w:pPr>
              <w:rPr>
                <w:rFonts w:ascii="黑体" w:eastAsia="黑体" w:hAnsi="黑体"/>
                <w:sz w:val="20"/>
                <w:szCs w:val="20"/>
              </w:rPr>
            </w:pPr>
            <w:r>
              <w:rPr>
                <w:rFonts w:ascii="黑体" w:eastAsia="黑体" w:hAnsi="黑体" w:hint="eastAsia"/>
                <w:sz w:val="20"/>
                <w:szCs w:val="20"/>
              </w:rPr>
              <w:t>报告期</w:t>
            </w:r>
          </w:p>
        </w:tc>
        <w:tc>
          <w:tcPr>
            <w:tcW w:w="6946" w:type="dxa"/>
          </w:tcPr>
          <w:p w14:paraId="0EC4C44B" w14:textId="77777777" w:rsidR="00A052DC" w:rsidRDefault="009F0A60">
            <w:pPr>
              <w:rPr>
                <w:rFonts w:ascii="黑体" w:eastAsia="黑体" w:hAnsi="黑体"/>
                <w:sz w:val="20"/>
                <w:szCs w:val="20"/>
              </w:rPr>
            </w:pPr>
            <w:r>
              <w:rPr>
                <w:rFonts w:ascii="黑体" w:eastAsia="黑体" w:hAnsi="黑体" w:hint="eastAsia"/>
                <w:sz w:val="20"/>
                <w:szCs w:val="20"/>
              </w:rPr>
              <w:t>人民币结构性存款资金跨境流出入或购付汇月份，格式为</w:t>
            </w:r>
            <w:r>
              <w:rPr>
                <w:rFonts w:ascii="黑体" w:eastAsia="黑体" w:hAnsi="黑体"/>
                <w:sz w:val="20"/>
                <w:szCs w:val="20"/>
              </w:rPr>
              <w:t>YYYYMM</w:t>
            </w:r>
            <w:r>
              <w:rPr>
                <w:rFonts w:ascii="黑体" w:eastAsia="黑体" w:hAnsi="黑体" w:hint="eastAsia"/>
                <w:sz w:val="20"/>
                <w:szCs w:val="20"/>
              </w:rPr>
              <w:t>。</w:t>
            </w:r>
          </w:p>
        </w:tc>
      </w:tr>
      <w:tr w:rsidR="00A052DC" w14:paraId="6EED9C69" w14:textId="77777777">
        <w:trPr>
          <w:cantSplit/>
        </w:trPr>
        <w:tc>
          <w:tcPr>
            <w:tcW w:w="1526" w:type="dxa"/>
          </w:tcPr>
          <w:p w14:paraId="18DAC853" w14:textId="77777777" w:rsidR="00A052DC" w:rsidRDefault="009F0A60">
            <w:pPr>
              <w:rPr>
                <w:rFonts w:ascii="黑体" w:eastAsia="黑体" w:hAnsi="黑体"/>
                <w:sz w:val="20"/>
                <w:szCs w:val="20"/>
              </w:rPr>
            </w:pPr>
            <w:r>
              <w:rPr>
                <w:rFonts w:ascii="黑体" w:eastAsia="黑体" w:hAnsi="黑体" w:hint="eastAsia"/>
                <w:sz w:val="20"/>
                <w:szCs w:val="20"/>
              </w:rPr>
              <w:t>币种</w:t>
            </w:r>
          </w:p>
        </w:tc>
        <w:tc>
          <w:tcPr>
            <w:tcW w:w="6946" w:type="dxa"/>
          </w:tcPr>
          <w:p w14:paraId="1C43C51D" w14:textId="77777777" w:rsidR="00A052DC" w:rsidRDefault="009F0A60">
            <w:pPr>
              <w:rPr>
                <w:rFonts w:ascii="黑体" w:eastAsia="黑体" w:hAnsi="黑体"/>
                <w:sz w:val="20"/>
                <w:szCs w:val="20"/>
              </w:rPr>
            </w:pPr>
            <w:r>
              <w:rPr>
                <w:rFonts w:ascii="黑体" w:eastAsia="黑体" w:hAnsi="黑体" w:hint="eastAsia"/>
                <w:sz w:val="20"/>
                <w:szCs w:val="20"/>
              </w:rPr>
              <w:t>报表金额币种，默认美元。</w:t>
            </w:r>
          </w:p>
        </w:tc>
      </w:tr>
      <w:tr w:rsidR="00A052DC" w14:paraId="1697E2C8" w14:textId="77777777">
        <w:trPr>
          <w:cantSplit/>
        </w:trPr>
        <w:tc>
          <w:tcPr>
            <w:tcW w:w="1526" w:type="dxa"/>
          </w:tcPr>
          <w:p w14:paraId="2C964ECC" w14:textId="77777777" w:rsidR="00A052DC" w:rsidRDefault="009F0A60">
            <w:pPr>
              <w:rPr>
                <w:rFonts w:ascii="黑体" w:eastAsia="黑体" w:hAnsi="黑体"/>
                <w:sz w:val="20"/>
                <w:szCs w:val="20"/>
              </w:rPr>
            </w:pPr>
            <w:r>
              <w:rPr>
                <w:rFonts w:ascii="黑体" w:eastAsia="黑体" w:hAnsi="黑体" w:hint="eastAsia"/>
                <w:sz w:val="20"/>
                <w:szCs w:val="20"/>
              </w:rPr>
              <w:t>本月汇出金额折美元</w:t>
            </w:r>
          </w:p>
        </w:tc>
        <w:tc>
          <w:tcPr>
            <w:tcW w:w="6946" w:type="dxa"/>
          </w:tcPr>
          <w:p w14:paraId="1D59BC42" w14:textId="77777777" w:rsidR="00A052DC" w:rsidRDefault="009F0A60">
            <w:pPr>
              <w:rPr>
                <w:rFonts w:ascii="黑体" w:eastAsia="黑体" w:hAnsi="黑体"/>
                <w:sz w:val="20"/>
                <w:szCs w:val="20"/>
              </w:rPr>
            </w:pPr>
            <w:r>
              <w:rPr>
                <w:rFonts w:ascii="黑体" w:eastAsia="黑体" w:hAnsi="黑体" w:hint="eastAsia"/>
                <w:sz w:val="20"/>
                <w:szCs w:val="20"/>
              </w:rPr>
              <w:t>报告期当月人民币结构性存款相关资金汇出金额合计折美元。</w:t>
            </w:r>
          </w:p>
        </w:tc>
      </w:tr>
      <w:tr w:rsidR="00A052DC" w14:paraId="3BC47B0B" w14:textId="77777777">
        <w:trPr>
          <w:cantSplit/>
        </w:trPr>
        <w:tc>
          <w:tcPr>
            <w:tcW w:w="1526" w:type="dxa"/>
          </w:tcPr>
          <w:p w14:paraId="5BE3CBFA" w14:textId="77777777" w:rsidR="00A052DC" w:rsidRDefault="009F0A60">
            <w:pPr>
              <w:rPr>
                <w:rFonts w:ascii="黑体" w:eastAsia="黑体" w:hAnsi="黑体"/>
                <w:sz w:val="20"/>
                <w:szCs w:val="20"/>
              </w:rPr>
            </w:pPr>
            <w:r>
              <w:rPr>
                <w:rFonts w:ascii="黑体" w:eastAsia="黑体" w:hAnsi="黑体" w:hint="eastAsia"/>
                <w:sz w:val="20"/>
                <w:szCs w:val="20"/>
              </w:rPr>
              <w:t>本月汇入金额折美元</w:t>
            </w:r>
          </w:p>
        </w:tc>
        <w:tc>
          <w:tcPr>
            <w:tcW w:w="6946" w:type="dxa"/>
          </w:tcPr>
          <w:p w14:paraId="4D150DEF" w14:textId="77777777" w:rsidR="00A052DC" w:rsidRDefault="009F0A60">
            <w:pPr>
              <w:rPr>
                <w:rFonts w:ascii="黑体" w:eastAsia="黑体" w:hAnsi="黑体"/>
                <w:sz w:val="20"/>
                <w:szCs w:val="20"/>
              </w:rPr>
            </w:pPr>
            <w:r>
              <w:rPr>
                <w:rFonts w:ascii="黑体" w:eastAsia="黑体" w:hAnsi="黑体" w:hint="eastAsia"/>
                <w:sz w:val="20"/>
                <w:szCs w:val="20"/>
              </w:rPr>
              <w:t>报告期当月人民币结构性存款相关资金汇入金额合计折美元。</w:t>
            </w:r>
          </w:p>
        </w:tc>
      </w:tr>
      <w:tr w:rsidR="00A052DC" w14:paraId="10FFBD43" w14:textId="77777777">
        <w:trPr>
          <w:cantSplit/>
        </w:trPr>
        <w:tc>
          <w:tcPr>
            <w:tcW w:w="1526" w:type="dxa"/>
          </w:tcPr>
          <w:p w14:paraId="7BB11A14" w14:textId="77777777" w:rsidR="00A052DC" w:rsidRDefault="009F0A60">
            <w:pPr>
              <w:rPr>
                <w:rFonts w:ascii="黑体" w:eastAsia="黑体" w:hAnsi="黑体"/>
                <w:sz w:val="20"/>
                <w:szCs w:val="20"/>
              </w:rPr>
            </w:pPr>
            <w:r>
              <w:rPr>
                <w:rFonts w:ascii="黑体" w:eastAsia="黑体" w:hAnsi="黑体" w:hint="eastAsia"/>
                <w:sz w:val="20"/>
                <w:szCs w:val="20"/>
              </w:rPr>
              <w:t>本月购汇金额折美元</w:t>
            </w:r>
          </w:p>
        </w:tc>
        <w:tc>
          <w:tcPr>
            <w:tcW w:w="6946" w:type="dxa"/>
          </w:tcPr>
          <w:p w14:paraId="54425D3D" w14:textId="77777777" w:rsidR="00A052DC" w:rsidRDefault="009F0A60">
            <w:pPr>
              <w:rPr>
                <w:rFonts w:ascii="黑体" w:eastAsia="黑体" w:hAnsi="黑体"/>
                <w:sz w:val="20"/>
                <w:szCs w:val="20"/>
              </w:rPr>
            </w:pPr>
            <w:r>
              <w:rPr>
                <w:rFonts w:ascii="黑体" w:eastAsia="黑体" w:hAnsi="黑体" w:hint="eastAsia"/>
                <w:sz w:val="20"/>
                <w:szCs w:val="20"/>
              </w:rPr>
              <w:t>报告期当月人民币结构性存款相关资金购汇金额合计折美元。</w:t>
            </w:r>
          </w:p>
        </w:tc>
      </w:tr>
      <w:tr w:rsidR="00A052DC" w14:paraId="56E3643D" w14:textId="77777777">
        <w:trPr>
          <w:cantSplit/>
        </w:trPr>
        <w:tc>
          <w:tcPr>
            <w:tcW w:w="1526" w:type="dxa"/>
          </w:tcPr>
          <w:p w14:paraId="3E0C6D7C" w14:textId="77777777" w:rsidR="00A052DC" w:rsidRDefault="009F0A60">
            <w:pPr>
              <w:rPr>
                <w:rFonts w:ascii="黑体" w:eastAsia="黑体" w:hAnsi="黑体"/>
                <w:sz w:val="20"/>
                <w:szCs w:val="20"/>
              </w:rPr>
            </w:pPr>
            <w:r>
              <w:rPr>
                <w:rFonts w:ascii="黑体" w:eastAsia="黑体" w:hAnsi="黑体" w:hint="eastAsia"/>
                <w:sz w:val="20"/>
                <w:szCs w:val="20"/>
              </w:rPr>
              <w:t>本月结汇金额折美元</w:t>
            </w:r>
          </w:p>
        </w:tc>
        <w:tc>
          <w:tcPr>
            <w:tcW w:w="6946" w:type="dxa"/>
          </w:tcPr>
          <w:p w14:paraId="7DD10616" w14:textId="77777777" w:rsidR="00A052DC" w:rsidRDefault="009F0A60">
            <w:pPr>
              <w:rPr>
                <w:rFonts w:ascii="黑体" w:eastAsia="黑体" w:hAnsi="黑体"/>
                <w:sz w:val="20"/>
                <w:szCs w:val="20"/>
              </w:rPr>
            </w:pPr>
            <w:r>
              <w:rPr>
                <w:rFonts w:ascii="黑体" w:eastAsia="黑体" w:hAnsi="黑体" w:hint="eastAsia"/>
                <w:sz w:val="20"/>
                <w:szCs w:val="20"/>
              </w:rPr>
              <w:t>报告期当月人民币结构性存款资金结汇金额合计折美元。</w:t>
            </w:r>
          </w:p>
        </w:tc>
      </w:tr>
      <w:tr w:rsidR="00A052DC" w14:paraId="6580B718" w14:textId="77777777">
        <w:trPr>
          <w:cantSplit/>
        </w:trPr>
        <w:tc>
          <w:tcPr>
            <w:tcW w:w="1526" w:type="dxa"/>
            <w:tcBorders>
              <w:top w:val="single" w:sz="6" w:space="0" w:color="auto"/>
              <w:left w:val="single" w:sz="6" w:space="0" w:color="auto"/>
              <w:bottom w:val="single" w:sz="6" w:space="0" w:color="auto"/>
              <w:right w:val="single" w:sz="6" w:space="0" w:color="auto"/>
            </w:tcBorders>
          </w:tcPr>
          <w:p w14:paraId="6C8967E0" w14:textId="77777777" w:rsidR="00A052DC" w:rsidRDefault="009F0A60">
            <w:pPr>
              <w:rPr>
                <w:rFonts w:ascii="黑体" w:eastAsia="黑体" w:hAnsi="黑体"/>
                <w:sz w:val="20"/>
                <w:szCs w:val="20"/>
              </w:rPr>
            </w:pPr>
            <w:r>
              <w:rPr>
                <w:rFonts w:ascii="黑体" w:eastAsia="黑体" w:hAnsi="黑体" w:hint="eastAsia"/>
                <w:sz w:val="20"/>
                <w:szCs w:val="20"/>
              </w:rPr>
              <w:t>备注</w:t>
            </w:r>
          </w:p>
        </w:tc>
        <w:tc>
          <w:tcPr>
            <w:tcW w:w="6946" w:type="dxa"/>
            <w:tcBorders>
              <w:top w:val="single" w:sz="6" w:space="0" w:color="auto"/>
              <w:left w:val="single" w:sz="6" w:space="0" w:color="auto"/>
              <w:bottom w:val="single" w:sz="6" w:space="0" w:color="auto"/>
              <w:right w:val="single" w:sz="6" w:space="0" w:color="auto"/>
            </w:tcBorders>
          </w:tcPr>
          <w:p w14:paraId="6E62F5E8" w14:textId="77777777" w:rsidR="00A052DC" w:rsidRDefault="009F0A60">
            <w:pPr>
              <w:rPr>
                <w:rFonts w:ascii="黑体" w:eastAsia="黑体" w:hAnsi="黑体"/>
                <w:sz w:val="20"/>
                <w:szCs w:val="20"/>
              </w:rPr>
            </w:pPr>
            <w:r>
              <w:rPr>
                <w:rFonts w:ascii="黑体" w:eastAsia="黑体" w:hAnsi="黑体" w:hint="eastAsia"/>
                <w:sz w:val="20"/>
                <w:szCs w:val="20"/>
              </w:rPr>
              <w:t>需要说明的备注事项。</w:t>
            </w:r>
          </w:p>
        </w:tc>
      </w:tr>
    </w:tbl>
    <w:p w14:paraId="15FD10A1" w14:textId="77777777" w:rsidR="00A052DC" w:rsidRDefault="00A052DC"/>
    <w:p w14:paraId="28739C19" w14:textId="77777777" w:rsidR="00A052DC" w:rsidRDefault="009F0A60" w:rsidP="0020251D">
      <w:pPr>
        <w:pStyle w:val="5"/>
        <w:numPr>
          <w:ilvl w:val="4"/>
          <w:numId w:val="1"/>
        </w:numPr>
        <w:spacing w:before="120" w:after="120" w:line="360" w:lineRule="auto"/>
        <w:jc w:val="left"/>
      </w:pPr>
      <w:bookmarkStart w:id="1756" w:name="_Toc454387002"/>
      <w:bookmarkStart w:id="1757" w:name="_Toc328635560"/>
      <w:r>
        <w:rPr>
          <w:rFonts w:hint="eastAsia"/>
        </w:rPr>
        <w:t>数据格式</w:t>
      </w:r>
      <w:bookmarkEnd w:id="1756"/>
      <w:bookmarkEnd w:id="1757"/>
    </w:p>
    <w:p w14:paraId="763839FB" w14:textId="77777777" w:rsidR="00A052DC" w:rsidRDefault="009F0A60">
      <w:r>
        <w:t>&lt;REC&gt;</w:t>
      </w:r>
    </w:p>
    <w:p w14:paraId="66153649" w14:textId="77777777" w:rsidR="00A052DC" w:rsidRDefault="009F0A60">
      <w:r>
        <w:t>&lt;ACTIONTYPE&gt;</w:t>
      </w:r>
      <w:r>
        <w:rPr>
          <w:rFonts w:hint="eastAsia"/>
        </w:rPr>
        <w:t>操作类型</w:t>
      </w:r>
      <w:r>
        <w:t>&lt;/ACTIONTYPE&gt;</w:t>
      </w:r>
    </w:p>
    <w:p w14:paraId="56D08222" w14:textId="77777777" w:rsidR="00A052DC" w:rsidRDefault="009F0A60">
      <w:r>
        <w:t>&lt;ACTIONDESC&gt;</w:t>
      </w:r>
      <w:r>
        <w:rPr>
          <w:rFonts w:hint="eastAsia"/>
        </w:rPr>
        <w:t>删除原因</w:t>
      </w:r>
      <w:r>
        <w:t>&lt;/ACTIONDESC&gt;</w:t>
      </w:r>
    </w:p>
    <w:p w14:paraId="181D369C" w14:textId="77777777" w:rsidR="00A052DC" w:rsidRDefault="009F0A60">
      <w:r>
        <w:t>&lt;BRANCHCODE&gt;</w:t>
      </w:r>
      <w:r>
        <w:rPr>
          <w:rFonts w:hint="eastAsia"/>
        </w:rPr>
        <w:t>金融机构标识码</w:t>
      </w:r>
      <w:r>
        <w:t>&lt;/BRANCHCODE&gt;</w:t>
      </w:r>
    </w:p>
    <w:p w14:paraId="33C4B37F" w14:textId="77777777" w:rsidR="00A052DC" w:rsidRDefault="009F0A60">
      <w:r>
        <w:t>&lt;BUOCMONTH&gt;</w:t>
      </w:r>
      <w:r>
        <w:rPr>
          <w:rFonts w:hint="eastAsia"/>
        </w:rPr>
        <w:t>报告期</w:t>
      </w:r>
      <w:r>
        <w:t>&lt;/BUOCMONTH&gt;</w:t>
      </w:r>
    </w:p>
    <w:p w14:paraId="1C26EB27" w14:textId="77777777" w:rsidR="00A052DC" w:rsidRDefault="009F0A60">
      <w:r>
        <w:t>&lt;CURRENCY&gt;</w:t>
      </w:r>
      <w:r>
        <w:rPr>
          <w:rFonts w:hint="eastAsia"/>
        </w:rPr>
        <w:t>币种</w:t>
      </w:r>
      <w:r>
        <w:t>&lt;/CURRENCY&gt;</w:t>
      </w:r>
    </w:p>
    <w:p w14:paraId="1C17ECBF" w14:textId="77777777" w:rsidR="00A052DC" w:rsidRDefault="009F0A60">
      <w:r>
        <w:t>&lt;MOEXAMUSD&gt;</w:t>
      </w:r>
      <w:r>
        <w:rPr>
          <w:rFonts w:hint="eastAsia"/>
        </w:rPr>
        <w:t>本月汇出金额折美元</w:t>
      </w:r>
      <w:r>
        <w:t>&lt;/MOEXAMUSD&gt;</w:t>
      </w:r>
    </w:p>
    <w:p w14:paraId="5CE209FE" w14:textId="77777777" w:rsidR="00A052DC" w:rsidRDefault="009F0A60">
      <w:r>
        <w:t>&lt;MOAMREUSD&gt;</w:t>
      </w:r>
      <w:r>
        <w:rPr>
          <w:rFonts w:hint="eastAsia"/>
        </w:rPr>
        <w:t>本月汇入金额折美元</w:t>
      </w:r>
      <w:r>
        <w:t>&lt;/MOAMREUSD&gt;</w:t>
      </w:r>
    </w:p>
    <w:p w14:paraId="66A62E5C" w14:textId="77777777" w:rsidR="00A052DC" w:rsidRDefault="009F0A60">
      <w:r>
        <w:t>&lt;MOPFEXAMUSD&gt;</w:t>
      </w:r>
      <w:r>
        <w:rPr>
          <w:rFonts w:hint="eastAsia"/>
        </w:rPr>
        <w:t>本月购汇金额折美元</w:t>
      </w:r>
      <w:r>
        <w:t>&lt;/MOPFEXAMUSD&gt;</w:t>
      </w:r>
    </w:p>
    <w:p w14:paraId="104D7E81" w14:textId="77777777" w:rsidR="00A052DC" w:rsidRDefault="009F0A60">
      <w:r>
        <w:t>&lt;MOSETTAMUSD&gt;</w:t>
      </w:r>
      <w:r>
        <w:rPr>
          <w:rFonts w:hint="eastAsia"/>
        </w:rPr>
        <w:t>本月结汇金额折美元</w:t>
      </w:r>
      <w:r>
        <w:t>&lt;/MOSETTAMUSD&gt;</w:t>
      </w:r>
    </w:p>
    <w:p w14:paraId="07FAD0BE" w14:textId="77777777" w:rsidR="00A052DC" w:rsidRDefault="009F0A60">
      <w:r>
        <w:t>&lt;REMARK&gt;</w:t>
      </w:r>
      <w:r>
        <w:rPr>
          <w:rFonts w:hint="eastAsia"/>
        </w:rPr>
        <w:t>备注</w:t>
      </w:r>
      <w:r>
        <w:t>&lt;/REMARK&gt;</w:t>
      </w:r>
    </w:p>
    <w:p w14:paraId="3C26AD24" w14:textId="77777777" w:rsidR="00A052DC" w:rsidRDefault="009F0A60">
      <w:r>
        <w:t>&lt;/REC&gt;</w:t>
      </w:r>
    </w:p>
    <w:p w14:paraId="32CD06AF" w14:textId="77777777" w:rsidR="00A052DC" w:rsidRDefault="009F0A60" w:rsidP="0020251D">
      <w:pPr>
        <w:pStyle w:val="5"/>
        <w:numPr>
          <w:ilvl w:val="4"/>
          <w:numId w:val="1"/>
        </w:numPr>
        <w:spacing w:before="120" w:after="120" w:line="360" w:lineRule="auto"/>
        <w:jc w:val="left"/>
      </w:pPr>
      <w:bookmarkStart w:id="1758" w:name="_Toc454387003"/>
      <w:bookmarkStart w:id="1759" w:name="_Toc328635561"/>
      <w:r>
        <w:rPr>
          <w:rFonts w:hint="eastAsia"/>
        </w:rPr>
        <w:t>数据字典</w:t>
      </w:r>
      <w:bookmarkEnd w:id="1758"/>
      <w:bookmarkEnd w:id="1759"/>
    </w:p>
    <w:tbl>
      <w:tblPr>
        <w:tblW w:w="86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126"/>
        <w:gridCol w:w="1559"/>
        <w:gridCol w:w="3402"/>
      </w:tblGrid>
      <w:tr w:rsidR="00A052DC" w14:paraId="51EEDAD8" w14:textId="77777777">
        <w:trPr>
          <w:tblHeader/>
        </w:trPr>
        <w:tc>
          <w:tcPr>
            <w:tcW w:w="1560" w:type="dxa"/>
            <w:shd w:val="clear" w:color="auto" w:fill="C0C0C0"/>
          </w:tcPr>
          <w:p w14:paraId="7E8641C9" w14:textId="77777777" w:rsidR="00881462" w:rsidRDefault="009F0A60">
            <w:pPr>
              <w:pStyle w:val="B1"/>
            </w:pPr>
            <w:r>
              <w:rPr>
                <w:rFonts w:hint="eastAsia"/>
              </w:rPr>
              <w:t>字段</w:t>
            </w:r>
          </w:p>
        </w:tc>
        <w:tc>
          <w:tcPr>
            <w:tcW w:w="2126" w:type="dxa"/>
            <w:shd w:val="clear" w:color="auto" w:fill="C0C0C0"/>
          </w:tcPr>
          <w:p w14:paraId="7F96B088" w14:textId="77777777" w:rsidR="00881462" w:rsidRDefault="009F0A60">
            <w:pPr>
              <w:pStyle w:val="B1"/>
            </w:pPr>
            <w:r>
              <w:rPr>
                <w:rFonts w:hint="eastAsia"/>
              </w:rPr>
              <w:t>内容</w:t>
            </w:r>
          </w:p>
        </w:tc>
        <w:tc>
          <w:tcPr>
            <w:tcW w:w="1559" w:type="dxa"/>
            <w:shd w:val="clear" w:color="auto" w:fill="C0C0C0"/>
          </w:tcPr>
          <w:p w14:paraId="52FF3CA1" w14:textId="77777777" w:rsidR="00881462" w:rsidRDefault="009F0A60">
            <w:pPr>
              <w:pStyle w:val="B1"/>
            </w:pPr>
            <w:r>
              <w:rPr>
                <w:rFonts w:hint="eastAsia"/>
              </w:rPr>
              <w:t>类型（长度）</w:t>
            </w:r>
          </w:p>
        </w:tc>
        <w:tc>
          <w:tcPr>
            <w:tcW w:w="3402" w:type="dxa"/>
            <w:shd w:val="clear" w:color="auto" w:fill="C0C0C0"/>
          </w:tcPr>
          <w:p w14:paraId="24C5C3A2" w14:textId="77777777" w:rsidR="00881462" w:rsidRDefault="009F0A60">
            <w:pPr>
              <w:pStyle w:val="B1"/>
            </w:pPr>
            <w:r>
              <w:rPr>
                <w:rFonts w:hint="eastAsia"/>
              </w:rPr>
              <w:t>校验</w:t>
            </w:r>
          </w:p>
        </w:tc>
      </w:tr>
      <w:tr w:rsidR="00A052DC" w14:paraId="386761D1" w14:textId="77777777">
        <w:tc>
          <w:tcPr>
            <w:tcW w:w="1560" w:type="dxa"/>
          </w:tcPr>
          <w:p w14:paraId="534E64C3" w14:textId="77777777" w:rsidR="00A052DC" w:rsidRDefault="009F0A60">
            <w:pPr>
              <w:rPr>
                <w:rFonts w:ascii="黑体" w:eastAsia="黑体" w:hAnsi="黑体"/>
                <w:sz w:val="20"/>
                <w:szCs w:val="20"/>
              </w:rPr>
            </w:pPr>
            <w:r>
              <w:rPr>
                <w:rFonts w:ascii="黑体" w:eastAsia="黑体" w:hAnsi="黑体"/>
                <w:sz w:val="20"/>
                <w:szCs w:val="20"/>
              </w:rPr>
              <w:t>ACTIONTYPE</w:t>
            </w:r>
          </w:p>
        </w:tc>
        <w:tc>
          <w:tcPr>
            <w:tcW w:w="2126" w:type="dxa"/>
          </w:tcPr>
          <w:p w14:paraId="017C73F2" w14:textId="77777777" w:rsidR="00A052DC" w:rsidRDefault="009F0A60">
            <w:pPr>
              <w:rPr>
                <w:rFonts w:ascii="黑体" w:eastAsia="黑体" w:hAnsi="黑体"/>
                <w:sz w:val="20"/>
                <w:szCs w:val="20"/>
              </w:rPr>
            </w:pPr>
            <w:r>
              <w:rPr>
                <w:rFonts w:ascii="黑体" w:eastAsia="黑体" w:hAnsi="黑体" w:hint="eastAsia"/>
                <w:sz w:val="20"/>
                <w:szCs w:val="20"/>
              </w:rPr>
              <w:t>操作类型</w:t>
            </w:r>
          </w:p>
        </w:tc>
        <w:tc>
          <w:tcPr>
            <w:tcW w:w="1559" w:type="dxa"/>
          </w:tcPr>
          <w:p w14:paraId="1E78BBFF" w14:textId="77777777" w:rsidR="00A052DC" w:rsidRDefault="009F0A60">
            <w:pPr>
              <w:rPr>
                <w:rFonts w:ascii="黑体" w:eastAsia="黑体" w:hAnsi="黑体"/>
                <w:sz w:val="20"/>
                <w:szCs w:val="20"/>
              </w:rPr>
            </w:pPr>
            <w:r>
              <w:rPr>
                <w:rFonts w:ascii="黑体" w:eastAsia="黑体" w:hAnsi="黑体" w:hint="eastAsia"/>
                <w:sz w:val="20"/>
                <w:szCs w:val="20"/>
              </w:rPr>
              <w:t>字符型，1</w:t>
            </w:r>
          </w:p>
        </w:tc>
        <w:tc>
          <w:tcPr>
            <w:tcW w:w="3402" w:type="dxa"/>
          </w:tcPr>
          <w:p w14:paraId="18D0D824" w14:textId="77777777" w:rsidR="00A052DC" w:rsidRDefault="009F0A60">
            <w:pPr>
              <w:rPr>
                <w:rFonts w:ascii="黑体" w:eastAsia="黑体" w:hAnsi="黑体"/>
                <w:sz w:val="20"/>
                <w:szCs w:val="20"/>
              </w:rPr>
            </w:pPr>
            <w:r>
              <w:rPr>
                <w:rFonts w:ascii="黑体" w:eastAsia="黑体" w:hAnsi="黑体" w:hint="eastAsia"/>
                <w:sz w:val="20"/>
                <w:szCs w:val="20"/>
              </w:rPr>
              <w:t>必填项</w:t>
            </w:r>
            <w:r w:rsidR="007D1430">
              <w:rPr>
                <w:rFonts w:ascii="黑体" w:eastAsia="黑体" w:hAnsi="黑体" w:hint="eastAsia"/>
                <w:sz w:val="20"/>
                <w:szCs w:val="20"/>
              </w:rPr>
              <w:t>。</w:t>
            </w:r>
          </w:p>
          <w:p w14:paraId="1F00AC64" w14:textId="77777777" w:rsidR="00A052DC" w:rsidRDefault="009F0A60">
            <w:pPr>
              <w:rPr>
                <w:rFonts w:ascii="黑体" w:eastAsia="黑体" w:hAnsi="黑体"/>
                <w:sz w:val="20"/>
                <w:szCs w:val="20"/>
              </w:rPr>
            </w:pPr>
            <w:r>
              <w:rPr>
                <w:rFonts w:ascii="黑体" w:eastAsia="黑体" w:hAnsi="黑体" w:hint="eastAsia"/>
                <w:sz w:val="20"/>
                <w:szCs w:val="20"/>
              </w:rPr>
              <w:t>A</w:t>
            </w:r>
            <w:r w:rsidR="00AE4602">
              <w:rPr>
                <w:rFonts w:ascii="黑体" w:eastAsia="黑体" w:hAnsi="黑体" w:hint="eastAsia"/>
                <w:sz w:val="20"/>
                <w:szCs w:val="20"/>
              </w:rPr>
              <w:t>-</w:t>
            </w:r>
            <w:r>
              <w:rPr>
                <w:rFonts w:ascii="黑体" w:eastAsia="黑体" w:hAnsi="黑体" w:hint="eastAsia"/>
                <w:sz w:val="20"/>
                <w:szCs w:val="20"/>
              </w:rPr>
              <w:t>新建</w:t>
            </w:r>
          </w:p>
          <w:p w14:paraId="77E24936" w14:textId="77777777" w:rsidR="00A052DC" w:rsidRDefault="009F0A60">
            <w:pPr>
              <w:rPr>
                <w:rFonts w:ascii="黑体" w:eastAsia="黑体" w:hAnsi="黑体"/>
                <w:sz w:val="20"/>
                <w:szCs w:val="20"/>
              </w:rPr>
            </w:pPr>
            <w:r>
              <w:rPr>
                <w:rFonts w:ascii="黑体" w:eastAsia="黑体" w:hAnsi="黑体" w:hint="eastAsia"/>
                <w:sz w:val="20"/>
                <w:szCs w:val="20"/>
              </w:rPr>
              <w:t>C</w:t>
            </w:r>
            <w:r w:rsidR="00AE4602">
              <w:rPr>
                <w:rFonts w:ascii="黑体" w:eastAsia="黑体" w:hAnsi="黑体" w:hint="eastAsia"/>
                <w:sz w:val="20"/>
                <w:szCs w:val="20"/>
              </w:rPr>
              <w:t>-</w:t>
            </w:r>
            <w:r>
              <w:rPr>
                <w:rFonts w:ascii="黑体" w:eastAsia="黑体" w:hAnsi="黑体" w:hint="eastAsia"/>
                <w:sz w:val="20"/>
                <w:szCs w:val="20"/>
              </w:rPr>
              <w:t>修改</w:t>
            </w:r>
          </w:p>
          <w:p w14:paraId="3F1F8CBF" w14:textId="77777777" w:rsidR="00A052DC" w:rsidRDefault="009F0A60">
            <w:pPr>
              <w:rPr>
                <w:rFonts w:ascii="黑体" w:eastAsia="黑体" w:hAnsi="黑体"/>
                <w:sz w:val="20"/>
                <w:szCs w:val="20"/>
              </w:rPr>
            </w:pPr>
            <w:r>
              <w:rPr>
                <w:rFonts w:ascii="黑体" w:eastAsia="黑体" w:hAnsi="黑体" w:hint="eastAsia"/>
                <w:sz w:val="20"/>
                <w:szCs w:val="20"/>
              </w:rPr>
              <w:t>D</w:t>
            </w:r>
            <w:r w:rsidR="00AE4602">
              <w:rPr>
                <w:rFonts w:ascii="黑体" w:eastAsia="黑体" w:hAnsi="黑体" w:hint="eastAsia"/>
                <w:sz w:val="20"/>
                <w:szCs w:val="20"/>
              </w:rPr>
              <w:t>-</w:t>
            </w:r>
            <w:r>
              <w:rPr>
                <w:rFonts w:ascii="黑体" w:eastAsia="黑体" w:hAnsi="黑体" w:hint="eastAsia"/>
                <w:sz w:val="20"/>
                <w:szCs w:val="20"/>
              </w:rPr>
              <w:t>删除</w:t>
            </w:r>
          </w:p>
        </w:tc>
      </w:tr>
      <w:tr w:rsidR="00A052DC" w14:paraId="106DA5BF" w14:textId="77777777">
        <w:tc>
          <w:tcPr>
            <w:tcW w:w="1560" w:type="dxa"/>
          </w:tcPr>
          <w:p w14:paraId="71204E03" w14:textId="77777777" w:rsidR="00A052DC" w:rsidRDefault="009F0A60">
            <w:pPr>
              <w:rPr>
                <w:rFonts w:ascii="黑体" w:eastAsia="黑体" w:hAnsi="黑体"/>
                <w:sz w:val="20"/>
                <w:szCs w:val="20"/>
              </w:rPr>
            </w:pPr>
            <w:r>
              <w:rPr>
                <w:rFonts w:ascii="黑体" w:eastAsia="黑体" w:hAnsi="黑体"/>
                <w:sz w:val="20"/>
                <w:szCs w:val="20"/>
              </w:rPr>
              <w:t>ACTIONDESC</w:t>
            </w:r>
          </w:p>
        </w:tc>
        <w:tc>
          <w:tcPr>
            <w:tcW w:w="2126" w:type="dxa"/>
          </w:tcPr>
          <w:p w14:paraId="7F5DC70A" w14:textId="77777777" w:rsidR="00A052DC" w:rsidRDefault="009F0A60">
            <w:pPr>
              <w:rPr>
                <w:rFonts w:ascii="黑体" w:eastAsia="黑体" w:hAnsi="黑体"/>
                <w:sz w:val="20"/>
                <w:szCs w:val="20"/>
              </w:rPr>
            </w:pPr>
            <w:r>
              <w:rPr>
                <w:rFonts w:ascii="黑体" w:eastAsia="黑体" w:hAnsi="黑体" w:hint="eastAsia"/>
                <w:sz w:val="20"/>
                <w:szCs w:val="20"/>
              </w:rPr>
              <w:t>删除原因</w:t>
            </w:r>
          </w:p>
        </w:tc>
        <w:tc>
          <w:tcPr>
            <w:tcW w:w="1559" w:type="dxa"/>
          </w:tcPr>
          <w:p w14:paraId="4BA9D7DF"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3402" w:type="dxa"/>
          </w:tcPr>
          <w:p w14:paraId="4DCB6EFC" w14:textId="77777777" w:rsidR="00A052DC" w:rsidRDefault="00DD6AA3">
            <w:pPr>
              <w:rPr>
                <w:rFonts w:ascii="黑体" w:eastAsia="黑体" w:hAnsi="黑体"/>
                <w:sz w:val="20"/>
                <w:szCs w:val="20"/>
              </w:rPr>
            </w:pPr>
            <w:r>
              <w:rPr>
                <w:rFonts w:ascii="黑体" w:eastAsia="黑体" w:hAnsi="黑体" w:hint="eastAsia"/>
                <w:sz w:val="20"/>
                <w:szCs w:val="20"/>
              </w:rPr>
              <w:t>非必填项，当操作类型（ACTIONTYPE）为删除时必填。</w:t>
            </w:r>
          </w:p>
        </w:tc>
      </w:tr>
      <w:tr w:rsidR="00A052DC" w14:paraId="253223BD" w14:textId="77777777">
        <w:tc>
          <w:tcPr>
            <w:tcW w:w="1560" w:type="dxa"/>
          </w:tcPr>
          <w:p w14:paraId="597C4EF3" w14:textId="77777777" w:rsidR="00A052DC" w:rsidRDefault="009F0A60">
            <w:pPr>
              <w:rPr>
                <w:rFonts w:ascii="黑体" w:eastAsia="黑体" w:hAnsi="黑体"/>
                <w:sz w:val="20"/>
                <w:szCs w:val="20"/>
              </w:rPr>
            </w:pPr>
            <w:r>
              <w:rPr>
                <w:rFonts w:ascii="黑体" w:eastAsia="黑体" w:hAnsi="黑体"/>
                <w:sz w:val="20"/>
                <w:szCs w:val="20"/>
              </w:rPr>
              <w:t>BRANCHCODE</w:t>
            </w:r>
          </w:p>
        </w:tc>
        <w:tc>
          <w:tcPr>
            <w:tcW w:w="2126" w:type="dxa"/>
          </w:tcPr>
          <w:p w14:paraId="10EDB3D2" w14:textId="77777777" w:rsidR="00A052DC" w:rsidRDefault="009F0A60">
            <w:pPr>
              <w:rPr>
                <w:rFonts w:ascii="黑体" w:eastAsia="黑体" w:hAnsi="黑体"/>
                <w:sz w:val="20"/>
                <w:szCs w:val="20"/>
              </w:rPr>
            </w:pPr>
            <w:r>
              <w:rPr>
                <w:rFonts w:ascii="黑体" w:eastAsia="黑体" w:hAnsi="黑体" w:hint="eastAsia"/>
                <w:sz w:val="20"/>
                <w:szCs w:val="20"/>
              </w:rPr>
              <w:t>金融机构标识码</w:t>
            </w:r>
          </w:p>
        </w:tc>
        <w:tc>
          <w:tcPr>
            <w:tcW w:w="1559" w:type="dxa"/>
          </w:tcPr>
          <w:p w14:paraId="0A183637" w14:textId="77777777" w:rsidR="00A052DC" w:rsidRDefault="009F0A60">
            <w:pPr>
              <w:rPr>
                <w:rFonts w:ascii="黑体" w:eastAsia="黑体" w:hAnsi="黑体"/>
                <w:sz w:val="20"/>
                <w:szCs w:val="20"/>
              </w:rPr>
            </w:pPr>
            <w:r>
              <w:rPr>
                <w:rFonts w:ascii="黑体" w:eastAsia="黑体" w:hAnsi="黑体" w:hint="eastAsia"/>
                <w:sz w:val="20"/>
                <w:szCs w:val="20"/>
              </w:rPr>
              <w:t>字符型，12</w:t>
            </w:r>
          </w:p>
        </w:tc>
        <w:tc>
          <w:tcPr>
            <w:tcW w:w="3402" w:type="dxa"/>
          </w:tcPr>
          <w:p w14:paraId="5DE494ED" w14:textId="77777777" w:rsidR="00A052DC" w:rsidRDefault="009F0A60">
            <w:pPr>
              <w:rPr>
                <w:rFonts w:ascii="黑体" w:eastAsia="黑体" w:hAnsi="黑体"/>
                <w:sz w:val="20"/>
                <w:szCs w:val="20"/>
              </w:rPr>
            </w:pPr>
            <w:r>
              <w:rPr>
                <w:rFonts w:ascii="黑体" w:eastAsia="黑体" w:hAnsi="黑体" w:hint="eastAsia"/>
                <w:sz w:val="20"/>
                <w:szCs w:val="20"/>
              </w:rPr>
              <w:t>必填项，金融机构标识码。</w:t>
            </w:r>
          </w:p>
        </w:tc>
      </w:tr>
      <w:tr w:rsidR="00A052DC" w14:paraId="6867E5F2" w14:textId="77777777">
        <w:tc>
          <w:tcPr>
            <w:tcW w:w="1560" w:type="dxa"/>
          </w:tcPr>
          <w:p w14:paraId="0F91C2C2" w14:textId="77777777" w:rsidR="00A052DC" w:rsidRDefault="009F0A60">
            <w:pPr>
              <w:rPr>
                <w:rFonts w:ascii="黑体" w:eastAsia="黑体" w:hAnsi="黑体"/>
                <w:sz w:val="20"/>
                <w:szCs w:val="20"/>
              </w:rPr>
            </w:pPr>
            <w:r>
              <w:rPr>
                <w:rFonts w:ascii="黑体" w:eastAsia="黑体" w:hAnsi="黑体"/>
                <w:sz w:val="20"/>
                <w:szCs w:val="20"/>
              </w:rPr>
              <w:t>BUOCMONTH</w:t>
            </w:r>
          </w:p>
        </w:tc>
        <w:tc>
          <w:tcPr>
            <w:tcW w:w="2126" w:type="dxa"/>
          </w:tcPr>
          <w:p w14:paraId="65E94FAF" w14:textId="77777777" w:rsidR="00A052DC" w:rsidRDefault="009F0A60">
            <w:pPr>
              <w:rPr>
                <w:rFonts w:ascii="黑体" w:eastAsia="黑体" w:hAnsi="黑体"/>
                <w:sz w:val="20"/>
                <w:szCs w:val="20"/>
              </w:rPr>
            </w:pPr>
            <w:r>
              <w:rPr>
                <w:rFonts w:ascii="黑体" w:eastAsia="黑体" w:hAnsi="黑体" w:hint="eastAsia"/>
                <w:sz w:val="20"/>
                <w:szCs w:val="20"/>
              </w:rPr>
              <w:t>报告期</w:t>
            </w:r>
          </w:p>
        </w:tc>
        <w:tc>
          <w:tcPr>
            <w:tcW w:w="1559" w:type="dxa"/>
          </w:tcPr>
          <w:p w14:paraId="42A2EA27" w14:textId="77777777" w:rsidR="00A052DC" w:rsidRDefault="009F0A60">
            <w:pPr>
              <w:rPr>
                <w:rFonts w:ascii="黑体" w:eastAsia="黑体" w:hAnsi="黑体"/>
                <w:sz w:val="20"/>
                <w:szCs w:val="20"/>
              </w:rPr>
            </w:pPr>
            <w:r>
              <w:rPr>
                <w:rFonts w:ascii="黑体" w:eastAsia="黑体" w:hAnsi="黑体" w:hint="eastAsia"/>
                <w:sz w:val="20"/>
                <w:szCs w:val="20"/>
              </w:rPr>
              <w:t>数值型，6</w:t>
            </w:r>
          </w:p>
        </w:tc>
        <w:tc>
          <w:tcPr>
            <w:tcW w:w="3402" w:type="dxa"/>
          </w:tcPr>
          <w:p w14:paraId="7EFDC47D" w14:textId="77777777" w:rsidR="00A052DC" w:rsidRDefault="009F0A60">
            <w:pPr>
              <w:rPr>
                <w:rFonts w:ascii="黑体" w:eastAsia="黑体" w:hAnsi="黑体"/>
                <w:sz w:val="20"/>
                <w:szCs w:val="20"/>
              </w:rPr>
            </w:pPr>
            <w:r>
              <w:rPr>
                <w:rFonts w:ascii="黑体" w:eastAsia="黑体" w:hAnsi="黑体" w:hint="eastAsia"/>
                <w:sz w:val="20"/>
                <w:szCs w:val="20"/>
              </w:rPr>
              <w:t>必填项，格式为YYYYMM。</w:t>
            </w:r>
          </w:p>
        </w:tc>
      </w:tr>
      <w:tr w:rsidR="00A052DC" w14:paraId="0188E0F2" w14:textId="77777777">
        <w:tc>
          <w:tcPr>
            <w:tcW w:w="1560" w:type="dxa"/>
          </w:tcPr>
          <w:p w14:paraId="74ED5C89" w14:textId="77777777" w:rsidR="00A052DC" w:rsidRDefault="009F0A60">
            <w:pPr>
              <w:rPr>
                <w:rFonts w:ascii="黑体" w:eastAsia="黑体" w:hAnsi="黑体"/>
                <w:sz w:val="20"/>
                <w:szCs w:val="20"/>
              </w:rPr>
            </w:pPr>
            <w:r>
              <w:rPr>
                <w:rFonts w:ascii="黑体" w:eastAsia="黑体" w:hAnsi="黑体"/>
                <w:sz w:val="20"/>
                <w:szCs w:val="20"/>
              </w:rPr>
              <w:t>CURRENCY</w:t>
            </w:r>
          </w:p>
        </w:tc>
        <w:tc>
          <w:tcPr>
            <w:tcW w:w="2126" w:type="dxa"/>
          </w:tcPr>
          <w:p w14:paraId="5103FBFD" w14:textId="77777777" w:rsidR="00A052DC" w:rsidRDefault="009F0A60">
            <w:pPr>
              <w:rPr>
                <w:rFonts w:ascii="黑体" w:eastAsia="黑体" w:hAnsi="黑体"/>
                <w:sz w:val="20"/>
                <w:szCs w:val="20"/>
              </w:rPr>
            </w:pPr>
            <w:r>
              <w:rPr>
                <w:rFonts w:ascii="黑体" w:eastAsia="黑体" w:hAnsi="黑体" w:hint="eastAsia"/>
                <w:sz w:val="20"/>
                <w:szCs w:val="20"/>
              </w:rPr>
              <w:t>币种</w:t>
            </w:r>
          </w:p>
        </w:tc>
        <w:tc>
          <w:tcPr>
            <w:tcW w:w="1559" w:type="dxa"/>
          </w:tcPr>
          <w:p w14:paraId="20E6FB71" w14:textId="77777777" w:rsidR="00A052DC" w:rsidRDefault="009F0A60">
            <w:pPr>
              <w:rPr>
                <w:rFonts w:ascii="黑体" w:eastAsia="黑体" w:hAnsi="黑体"/>
                <w:sz w:val="20"/>
                <w:szCs w:val="20"/>
              </w:rPr>
            </w:pPr>
            <w:r>
              <w:rPr>
                <w:rFonts w:ascii="黑体" w:eastAsia="黑体" w:hAnsi="黑体" w:hint="eastAsia"/>
                <w:sz w:val="20"/>
                <w:szCs w:val="20"/>
              </w:rPr>
              <w:t>字符型，3</w:t>
            </w:r>
          </w:p>
        </w:tc>
        <w:tc>
          <w:tcPr>
            <w:tcW w:w="3402" w:type="dxa"/>
          </w:tcPr>
          <w:p w14:paraId="5848F26B" w14:textId="77777777" w:rsidR="00A052DC" w:rsidRDefault="009F0A60">
            <w:pPr>
              <w:rPr>
                <w:rFonts w:ascii="黑体" w:eastAsia="黑体" w:hAnsi="黑体"/>
                <w:sz w:val="20"/>
                <w:szCs w:val="20"/>
              </w:rPr>
            </w:pPr>
            <w:r>
              <w:rPr>
                <w:rFonts w:ascii="黑体" w:eastAsia="黑体" w:hAnsi="黑体" w:hint="eastAsia"/>
                <w:sz w:val="20"/>
                <w:szCs w:val="20"/>
              </w:rPr>
              <w:t>必填项，默认美元。</w:t>
            </w:r>
          </w:p>
        </w:tc>
      </w:tr>
      <w:tr w:rsidR="00A052DC" w14:paraId="3987CF4A" w14:textId="77777777">
        <w:tc>
          <w:tcPr>
            <w:tcW w:w="1560" w:type="dxa"/>
          </w:tcPr>
          <w:p w14:paraId="7B2A50DE" w14:textId="77777777" w:rsidR="00A052DC" w:rsidRDefault="009F0A60">
            <w:pPr>
              <w:rPr>
                <w:rFonts w:ascii="黑体" w:eastAsia="黑体" w:hAnsi="黑体"/>
                <w:sz w:val="20"/>
                <w:szCs w:val="20"/>
              </w:rPr>
            </w:pPr>
            <w:r>
              <w:rPr>
                <w:rFonts w:ascii="黑体" w:eastAsia="黑体" w:hAnsi="黑体"/>
                <w:sz w:val="20"/>
                <w:szCs w:val="20"/>
              </w:rPr>
              <w:t>MOEXAMUSD</w:t>
            </w:r>
          </w:p>
        </w:tc>
        <w:tc>
          <w:tcPr>
            <w:tcW w:w="2126" w:type="dxa"/>
          </w:tcPr>
          <w:p w14:paraId="216D5441" w14:textId="77777777" w:rsidR="00A052DC" w:rsidRDefault="009F0A60">
            <w:pPr>
              <w:rPr>
                <w:rFonts w:ascii="黑体" w:eastAsia="黑体" w:hAnsi="黑体"/>
                <w:sz w:val="20"/>
                <w:szCs w:val="20"/>
              </w:rPr>
            </w:pPr>
            <w:r>
              <w:rPr>
                <w:rFonts w:ascii="黑体" w:eastAsia="黑体" w:hAnsi="黑体" w:hint="eastAsia"/>
                <w:sz w:val="20"/>
                <w:szCs w:val="20"/>
              </w:rPr>
              <w:t>本月汇出金额折美元</w:t>
            </w:r>
          </w:p>
        </w:tc>
        <w:tc>
          <w:tcPr>
            <w:tcW w:w="1559" w:type="dxa"/>
          </w:tcPr>
          <w:p w14:paraId="7A460D83"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3402" w:type="dxa"/>
          </w:tcPr>
          <w:p w14:paraId="6C815ADD" w14:textId="77777777" w:rsidR="00A052DC" w:rsidRDefault="009F0A60">
            <w:pPr>
              <w:rPr>
                <w:rFonts w:ascii="黑体" w:eastAsia="黑体" w:hAnsi="黑体"/>
                <w:sz w:val="20"/>
                <w:szCs w:val="20"/>
              </w:rPr>
            </w:pPr>
            <w:r>
              <w:rPr>
                <w:rFonts w:ascii="黑体" w:eastAsia="黑体" w:hAnsi="黑体" w:hint="eastAsia"/>
                <w:sz w:val="20"/>
                <w:szCs w:val="20"/>
              </w:rPr>
              <w:t>非必填项，大于等于0。汇出、汇入、购汇、结汇金额折美元至少填一个。</w:t>
            </w:r>
          </w:p>
        </w:tc>
      </w:tr>
      <w:tr w:rsidR="00A052DC" w14:paraId="4F666D98" w14:textId="77777777">
        <w:tc>
          <w:tcPr>
            <w:tcW w:w="1560" w:type="dxa"/>
          </w:tcPr>
          <w:p w14:paraId="2A281F3A" w14:textId="77777777" w:rsidR="00A052DC" w:rsidRDefault="009F0A60">
            <w:pPr>
              <w:rPr>
                <w:rFonts w:ascii="黑体" w:eastAsia="黑体" w:hAnsi="黑体"/>
                <w:sz w:val="20"/>
                <w:szCs w:val="20"/>
              </w:rPr>
            </w:pPr>
            <w:r>
              <w:rPr>
                <w:rFonts w:ascii="黑体" w:eastAsia="黑体" w:hAnsi="黑体"/>
                <w:sz w:val="20"/>
                <w:szCs w:val="20"/>
              </w:rPr>
              <w:t>MOAMREUSD</w:t>
            </w:r>
          </w:p>
        </w:tc>
        <w:tc>
          <w:tcPr>
            <w:tcW w:w="2126" w:type="dxa"/>
          </w:tcPr>
          <w:p w14:paraId="6042C9A3" w14:textId="77777777" w:rsidR="00A052DC" w:rsidRDefault="009F0A60">
            <w:pPr>
              <w:rPr>
                <w:rFonts w:ascii="黑体" w:eastAsia="黑体" w:hAnsi="黑体"/>
                <w:sz w:val="20"/>
                <w:szCs w:val="20"/>
              </w:rPr>
            </w:pPr>
            <w:r>
              <w:rPr>
                <w:rFonts w:ascii="黑体" w:eastAsia="黑体" w:hAnsi="黑体" w:hint="eastAsia"/>
                <w:sz w:val="20"/>
                <w:szCs w:val="20"/>
              </w:rPr>
              <w:t>本月汇入金额折美元</w:t>
            </w:r>
          </w:p>
        </w:tc>
        <w:tc>
          <w:tcPr>
            <w:tcW w:w="1559" w:type="dxa"/>
          </w:tcPr>
          <w:p w14:paraId="7D3E5CAF"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3402" w:type="dxa"/>
          </w:tcPr>
          <w:p w14:paraId="5C76AA0C" w14:textId="77777777" w:rsidR="00A052DC" w:rsidRDefault="009F0A60">
            <w:pPr>
              <w:rPr>
                <w:rFonts w:ascii="黑体" w:eastAsia="黑体" w:hAnsi="黑体"/>
                <w:sz w:val="20"/>
                <w:szCs w:val="20"/>
              </w:rPr>
            </w:pPr>
            <w:r>
              <w:rPr>
                <w:rFonts w:ascii="黑体" w:eastAsia="黑体" w:hAnsi="黑体" w:hint="eastAsia"/>
                <w:sz w:val="20"/>
                <w:szCs w:val="20"/>
              </w:rPr>
              <w:t>非必填项，大于等于0。</w:t>
            </w:r>
          </w:p>
        </w:tc>
      </w:tr>
      <w:tr w:rsidR="00A052DC" w14:paraId="361CB17C" w14:textId="77777777">
        <w:tc>
          <w:tcPr>
            <w:tcW w:w="1560" w:type="dxa"/>
          </w:tcPr>
          <w:p w14:paraId="278734E4" w14:textId="77777777" w:rsidR="00A052DC" w:rsidRDefault="009F0A60">
            <w:pPr>
              <w:rPr>
                <w:rFonts w:ascii="黑体" w:eastAsia="黑体" w:hAnsi="黑体"/>
                <w:sz w:val="20"/>
                <w:szCs w:val="20"/>
              </w:rPr>
            </w:pPr>
            <w:r>
              <w:rPr>
                <w:rFonts w:ascii="黑体" w:eastAsia="黑体" w:hAnsi="黑体"/>
                <w:sz w:val="20"/>
                <w:szCs w:val="20"/>
              </w:rPr>
              <w:t>MOPFEXAMUSD</w:t>
            </w:r>
          </w:p>
        </w:tc>
        <w:tc>
          <w:tcPr>
            <w:tcW w:w="2126" w:type="dxa"/>
          </w:tcPr>
          <w:p w14:paraId="0904CC0C" w14:textId="77777777" w:rsidR="00A052DC" w:rsidRDefault="009F0A60">
            <w:pPr>
              <w:rPr>
                <w:rFonts w:ascii="黑体" w:eastAsia="黑体" w:hAnsi="黑体"/>
                <w:sz w:val="20"/>
                <w:szCs w:val="20"/>
              </w:rPr>
            </w:pPr>
            <w:r>
              <w:rPr>
                <w:rFonts w:ascii="黑体" w:eastAsia="黑体" w:hAnsi="黑体" w:hint="eastAsia"/>
                <w:sz w:val="20"/>
                <w:szCs w:val="20"/>
              </w:rPr>
              <w:t>本月购汇金额折美元</w:t>
            </w:r>
          </w:p>
        </w:tc>
        <w:tc>
          <w:tcPr>
            <w:tcW w:w="1559" w:type="dxa"/>
          </w:tcPr>
          <w:p w14:paraId="1814AB33"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3402" w:type="dxa"/>
          </w:tcPr>
          <w:p w14:paraId="6BF877E6" w14:textId="77777777" w:rsidR="00A052DC" w:rsidRDefault="009F0A60">
            <w:pPr>
              <w:rPr>
                <w:rFonts w:ascii="黑体" w:eastAsia="黑体" w:hAnsi="黑体"/>
                <w:sz w:val="20"/>
                <w:szCs w:val="20"/>
              </w:rPr>
            </w:pPr>
            <w:r>
              <w:rPr>
                <w:rFonts w:ascii="黑体" w:eastAsia="黑体" w:hAnsi="黑体" w:hint="eastAsia"/>
                <w:sz w:val="20"/>
                <w:szCs w:val="20"/>
              </w:rPr>
              <w:t>非必填项，大于等于0。</w:t>
            </w:r>
          </w:p>
        </w:tc>
      </w:tr>
      <w:tr w:rsidR="00A052DC" w14:paraId="098727F0" w14:textId="77777777">
        <w:tc>
          <w:tcPr>
            <w:tcW w:w="1560" w:type="dxa"/>
          </w:tcPr>
          <w:p w14:paraId="05D1B080" w14:textId="77777777" w:rsidR="00A052DC" w:rsidRDefault="009F0A60">
            <w:pPr>
              <w:rPr>
                <w:rFonts w:ascii="黑体" w:eastAsia="黑体" w:hAnsi="黑体"/>
                <w:sz w:val="20"/>
                <w:szCs w:val="20"/>
              </w:rPr>
            </w:pPr>
            <w:r>
              <w:rPr>
                <w:rFonts w:ascii="黑体" w:eastAsia="黑体" w:hAnsi="黑体"/>
                <w:sz w:val="20"/>
                <w:szCs w:val="20"/>
              </w:rPr>
              <w:t>MOSETTAMUSD</w:t>
            </w:r>
          </w:p>
        </w:tc>
        <w:tc>
          <w:tcPr>
            <w:tcW w:w="2126" w:type="dxa"/>
          </w:tcPr>
          <w:p w14:paraId="586CD8CB" w14:textId="77777777" w:rsidR="00A052DC" w:rsidRDefault="009F0A60">
            <w:pPr>
              <w:rPr>
                <w:rFonts w:ascii="黑体" w:eastAsia="黑体" w:hAnsi="黑体"/>
                <w:sz w:val="20"/>
                <w:szCs w:val="20"/>
              </w:rPr>
            </w:pPr>
            <w:r>
              <w:rPr>
                <w:rFonts w:ascii="黑体" w:eastAsia="黑体" w:hAnsi="黑体" w:hint="eastAsia"/>
                <w:sz w:val="20"/>
                <w:szCs w:val="20"/>
              </w:rPr>
              <w:t>本月结汇金额折美元</w:t>
            </w:r>
          </w:p>
        </w:tc>
        <w:tc>
          <w:tcPr>
            <w:tcW w:w="1559" w:type="dxa"/>
          </w:tcPr>
          <w:p w14:paraId="62C5C9B9"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3402" w:type="dxa"/>
          </w:tcPr>
          <w:p w14:paraId="58D8A036" w14:textId="77777777" w:rsidR="00A052DC" w:rsidRDefault="009F0A60">
            <w:pPr>
              <w:rPr>
                <w:rFonts w:ascii="黑体" w:eastAsia="黑体" w:hAnsi="黑体"/>
                <w:sz w:val="20"/>
                <w:szCs w:val="20"/>
              </w:rPr>
            </w:pPr>
            <w:r>
              <w:rPr>
                <w:rFonts w:ascii="黑体" w:eastAsia="黑体" w:hAnsi="黑体" w:hint="eastAsia"/>
                <w:sz w:val="20"/>
                <w:szCs w:val="20"/>
              </w:rPr>
              <w:t>非必填项，大于等于0。</w:t>
            </w:r>
          </w:p>
        </w:tc>
      </w:tr>
      <w:tr w:rsidR="00A052DC" w14:paraId="4A957241" w14:textId="77777777">
        <w:tc>
          <w:tcPr>
            <w:tcW w:w="1560" w:type="dxa"/>
            <w:tcBorders>
              <w:top w:val="single" w:sz="4" w:space="0" w:color="auto"/>
              <w:left w:val="single" w:sz="4" w:space="0" w:color="auto"/>
              <w:bottom w:val="single" w:sz="4" w:space="0" w:color="auto"/>
              <w:right w:val="single" w:sz="4" w:space="0" w:color="auto"/>
            </w:tcBorders>
          </w:tcPr>
          <w:p w14:paraId="2113E061" w14:textId="77777777" w:rsidR="00A052DC" w:rsidRDefault="009F0A60">
            <w:pPr>
              <w:rPr>
                <w:rFonts w:ascii="黑体" w:eastAsia="黑体" w:hAnsi="黑体"/>
                <w:sz w:val="20"/>
                <w:szCs w:val="20"/>
              </w:rPr>
            </w:pPr>
            <w:r>
              <w:rPr>
                <w:rFonts w:ascii="黑体" w:eastAsia="黑体" w:hAnsi="黑体"/>
                <w:sz w:val="20"/>
                <w:szCs w:val="20"/>
              </w:rPr>
              <w:t>REMARK</w:t>
            </w:r>
          </w:p>
        </w:tc>
        <w:tc>
          <w:tcPr>
            <w:tcW w:w="2126" w:type="dxa"/>
            <w:tcBorders>
              <w:top w:val="single" w:sz="4" w:space="0" w:color="auto"/>
              <w:left w:val="single" w:sz="4" w:space="0" w:color="auto"/>
              <w:bottom w:val="single" w:sz="4" w:space="0" w:color="auto"/>
              <w:right w:val="single" w:sz="4" w:space="0" w:color="auto"/>
            </w:tcBorders>
          </w:tcPr>
          <w:p w14:paraId="1293B9F0" w14:textId="77777777" w:rsidR="00A052DC" w:rsidRDefault="009F0A60">
            <w:pPr>
              <w:rPr>
                <w:rFonts w:ascii="黑体" w:eastAsia="黑体" w:hAnsi="黑体"/>
                <w:sz w:val="20"/>
                <w:szCs w:val="20"/>
              </w:rPr>
            </w:pPr>
            <w:r>
              <w:rPr>
                <w:rFonts w:ascii="黑体" w:eastAsia="黑体" w:hAnsi="黑体" w:hint="eastAsia"/>
                <w:sz w:val="20"/>
                <w:szCs w:val="20"/>
              </w:rPr>
              <w:t>备注</w:t>
            </w:r>
          </w:p>
        </w:tc>
        <w:tc>
          <w:tcPr>
            <w:tcW w:w="1559" w:type="dxa"/>
            <w:tcBorders>
              <w:top w:val="single" w:sz="4" w:space="0" w:color="auto"/>
              <w:left w:val="single" w:sz="4" w:space="0" w:color="auto"/>
              <w:bottom w:val="single" w:sz="4" w:space="0" w:color="auto"/>
              <w:right w:val="single" w:sz="4" w:space="0" w:color="auto"/>
            </w:tcBorders>
          </w:tcPr>
          <w:p w14:paraId="4850F7B7" w14:textId="77777777" w:rsidR="00A052DC" w:rsidRDefault="009F0A60">
            <w:pPr>
              <w:rPr>
                <w:rFonts w:ascii="黑体" w:eastAsia="黑体" w:hAnsi="黑体"/>
                <w:sz w:val="20"/>
                <w:szCs w:val="20"/>
              </w:rPr>
            </w:pPr>
            <w:r>
              <w:rPr>
                <w:rFonts w:ascii="黑体" w:eastAsia="黑体" w:hAnsi="黑体" w:hint="eastAsia"/>
                <w:sz w:val="20"/>
                <w:szCs w:val="20"/>
              </w:rPr>
              <w:t>字符型，256</w:t>
            </w:r>
          </w:p>
        </w:tc>
        <w:tc>
          <w:tcPr>
            <w:tcW w:w="3402" w:type="dxa"/>
            <w:tcBorders>
              <w:top w:val="single" w:sz="4" w:space="0" w:color="auto"/>
              <w:left w:val="single" w:sz="4" w:space="0" w:color="auto"/>
              <w:bottom w:val="single" w:sz="4" w:space="0" w:color="auto"/>
              <w:right w:val="single" w:sz="4" w:space="0" w:color="auto"/>
            </w:tcBorders>
          </w:tcPr>
          <w:p w14:paraId="653C04EA" w14:textId="77777777" w:rsidR="00A052DC" w:rsidRDefault="009F0A60">
            <w:pPr>
              <w:rPr>
                <w:rFonts w:ascii="黑体" w:eastAsia="黑体" w:hAnsi="黑体"/>
                <w:sz w:val="20"/>
                <w:szCs w:val="20"/>
              </w:rPr>
            </w:pPr>
            <w:r>
              <w:rPr>
                <w:rFonts w:ascii="黑体" w:eastAsia="黑体" w:hAnsi="黑体" w:hint="eastAsia"/>
                <w:sz w:val="20"/>
                <w:szCs w:val="20"/>
              </w:rPr>
              <w:t>非必填项。</w:t>
            </w:r>
          </w:p>
        </w:tc>
      </w:tr>
    </w:tbl>
    <w:p w14:paraId="624CFB02" w14:textId="77777777" w:rsidR="00A052DC" w:rsidRDefault="00A052DC"/>
    <w:p w14:paraId="3E465BEF" w14:textId="77777777" w:rsidR="00A052DC" w:rsidRDefault="00A052DC"/>
    <w:p w14:paraId="2C41C25B" w14:textId="77777777" w:rsidR="00A052DC" w:rsidRDefault="009F0A60" w:rsidP="0020251D">
      <w:pPr>
        <w:pStyle w:val="2"/>
        <w:rPr>
          <w:rFonts w:ascii="Times New Roman" w:hAnsi="Times New Roman"/>
        </w:rPr>
      </w:pPr>
      <w:bookmarkStart w:id="1760" w:name="_Toc91455298"/>
      <w:bookmarkStart w:id="1761" w:name="_Toc101684471"/>
      <w:bookmarkStart w:id="1762" w:name="_Toc380356268"/>
      <w:bookmarkStart w:id="1763" w:name="_Toc328635563"/>
      <w:bookmarkStart w:id="1764" w:name="_Toc454387004"/>
      <w:r>
        <w:rPr>
          <w:rFonts w:ascii="Times New Roman" w:hAnsi="Times New Roman" w:hint="eastAsia"/>
        </w:rPr>
        <w:t>银行代客业务</w:t>
      </w:r>
      <w:bookmarkEnd w:id="1760"/>
      <w:bookmarkEnd w:id="1761"/>
    </w:p>
    <w:p w14:paraId="71C9F16D" w14:textId="77777777" w:rsidR="00A052DC" w:rsidRDefault="009F0A60" w:rsidP="0020251D">
      <w:pPr>
        <w:pStyle w:val="3"/>
        <w:ind w:left="0"/>
        <w:rPr>
          <w:rFonts w:ascii="Times New Roman" w:hAnsi="Times New Roman"/>
        </w:rPr>
      </w:pPr>
      <w:bookmarkStart w:id="1765" w:name="_Toc91455299"/>
      <w:bookmarkStart w:id="1766" w:name="_Toc101684472"/>
      <w:r>
        <w:rPr>
          <w:rFonts w:ascii="Times New Roman" w:hAnsi="Times New Roman" w:hint="eastAsia"/>
        </w:rPr>
        <w:t>境内个人参与境外上市公司股权激励计划业务信息数据格式</w:t>
      </w:r>
      <w:bookmarkEnd w:id="1765"/>
      <w:bookmarkEnd w:id="1766"/>
    </w:p>
    <w:p w14:paraId="6B3FD0AA" w14:textId="77777777" w:rsidR="00A052DC" w:rsidRDefault="009F0A60" w:rsidP="0020251D">
      <w:pPr>
        <w:pStyle w:val="4"/>
        <w:numPr>
          <w:ilvl w:val="3"/>
          <w:numId w:val="1"/>
        </w:numPr>
        <w:jc w:val="left"/>
      </w:pPr>
      <w:r>
        <w:rPr>
          <w:rFonts w:hint="eastAsia"/>
        </w:rPr>
        <w:t>境内专用外汇账户关户资金处置信息</w:t>
      </w:r>
    </w:p>
    <w:p w14:paraId="0A350385" w14:textId="77777777" w:rsidR="00A052DC" w:rsidRDefault="009F0A60" w:rsidP="0020251D">
      <w:pPr>
        <w:pStyle w:val="5"/>
        <w:numPr>
          <w:ilvl w:val="4"/>
          <w:numId w:val="1"/>
        </w:numPr>
        <w:spacing w:before="120" w:after="120" w:line="360" w:lineRule="auto"/>
        <w:jc w:val="left"/>
      </w:pPr>
      <w:r>
        <w:rPr>
          <w:rFonts w:hint="eastAsia"/>
        </w:rPr>
        <w:t>数据术语解释</w:t>
      </w:r>
    </w:p>
    <w:p w14:paraId="2ED4BF3D" w14:textId="77777777" w:rsidR="00A052DC" w:rsidRDefault="00A052DC">
      <w:bookmarkStart w:id="1767" w:name="_Toc454457717"/>
      <w:bookmarkStart w:id="1768" w:name="_Toc449107670"/>
      <w:bookmarkStart w:id="1769" w:name="_Toc452555992"/>
      <w:bookmarkStart w:id="1770" w:name="_Toc452560674"/>
      <w:bookmarkStart w:id="1771" w:name="_Toc454274615"/>
      <w:bookmarkStart w:id="1772" w:name="_Toc454284261"/>
      <w:bookmarkStart w:id="1773" w:name="_Toc454381171"/>
      <w:bookmarkStart w:id="1774" w:name="_Toc454389998"/>
      <w:bookmarkStart w:id="1775" w:name="_Toc454398090"/>
      <w:bookmarkStart w:id="1776" w:name="_Toc454457866"/>
      <w:bookmarkStart w:id="1777" w:name="_Toc449107671"/>
      <w:bookmarkStart w:id="1778" w:name="_Toc452555993"/>
      <w:bookmarkStart w:id="1779" w:name="_Toc452560675"/>
      <w:bookmarkStart w:id="1780" w:name="_Toc454274616"/>
      <w:bookmarkStart w:id="1781" w:name="_Toc454284262"/>
      <w:bookmarkStart w:id="1782" w:name="_Toc454381172"/>
      <w:bookmarkStart w:id="1783" w:name="_Toc454389999"/>
      <w:bookmarkStart w:id="1784" w:name="_Toc454398091"/>
      <w:bookmarkStart w:id="1785" w:name="_Toc454457867"/>
      <w:bookmarkStart w:id="1786" w:name="_Toc449107672"/>
      <w:bookmarkStart w:id="1787" w:name="_Toc452555994"/>
      <w:bookmarkStart w:id="1788" w:name="_Toc452560676"/>
      <w:bookmarkStart w:id="1789" w:name="_Toc454274617"/>
      <w:bookmarkStart w:id="1790" w:name="_Toc454284263"/>
      <w:bookmarkStart w:id="1791" w:name="_Toc454381173"/>
      <w:bookmarkStart w:id="1792" w:name="_Toc454390000"/>
      <w:bookmarkStart w:id="1793" w:name="_Toc454398092"/>
      <w:bookmarkStart w:id="1794" w:name="_Toc454457868"/>
      <w:bookmarkStart w:id="1795" w:name="_Toc449107745"/>
      <w:bookmarkStart w:id="1796" w:name="_Toc452556067"/>
      <w:bookmarkStart w:id="1797" w:name="_Toc452560749"/>
      <w:bookmarkStart w:id="1798" w:name="_Toc454274690"/>
      <w:bookmarkStart w:id="1799" w:name="_Toc454284336"/>
      <w:bookmarkStart w:id="1800" w:name="_Toc454381246"/>
      <w:bookmarkStart w:id="1801" w:name="_Toc454390073"/>
      <w:bookmarkStart w:id="1802" w:name="_Toc454398165"/>
      <w:bookmarkStart w:id="1803" w:name="_Toc454457941"/>
      <w:bookmarkStart w:id="1804" w:name="_Toc449107746"/>
      <w:bookmarkStart w:id="1805" w:name="_Toc452556068"/>
      <w:bookmarkStart w:id="1806" w:name="_Toc452560750"/>
      <w:bookmarkStart w:id="1807" w:name="_Toc454274691"/>
      <w:bookmarkStart w:id="1808" w:name="_Toc454284337"/>
      <w:bookmarkStart w:id="1809" w:name="_Toc454381247"/>
      <w:bookmarkStart w:id="1810" w:name="_Toc454390074"/>
      <w:bookmarkStart w:id="1811" w:name="_Toc454398166"/>
      <w:bookmarkStart w:id="1812" w:name="_Toc454457942"/>
      <w:bookmarkStart w:id="1813" w:name="_Toc449107747"/>
      <w:bookmarkStart w:id="1814" w:name="_Toc452556069"/>
      <w:bookmarkStart w:id="1815" w:name="_Toc452560751"/>
      <w:bookmarkStart w:id="1816" w:name="_Toc454274692"/>
      <w:bookmarkStart w:id="1817" w:name="_Toc454284338"/>
      <w:bookmarkStart w:id="1818" w:name="_Toc454381248"/>
      <w:bookmarkStart w:id="1819" w:name="_Toc454390075"/>
      <w:bookmarkStart w:id="1820" w:name="_Toc454398167"/>
      <w:bookmarkStart w:id="1821" w:name="_Toc454457943"/>
      <w:bookmarkStart w:id="1822" w:name="_Toc449107748"/>
      <w:bookmarkStart w:id="1823" w:name="_Toc452556070"/>
      <w:bookmarkStart w:id="1824" w:name="_Toc452560752"/>
      <w:bookmarkStart w:id="1825" w:name="_Toc454274693"/>
      <w:bookmarkStart w:id="1826" w:name="_Toc454284339"/>
      <w:bookmarkStart w:id="1827" w:name="_Toc454381249"/>
      <w:bookmarkStart w:id="1828" w:name="_Toc454390076"/>
      <w:bookmarkStart w:id="1829" w:name="_Toc454398168"/>
      <w:bookmarkStart w:id="1830" w:name="_Toc454457944"/>
      <w:bookmarkStart w:id="1831" w:name="_Toc449107845"/>
      <w:bookmarkStart w:id="1832" w:name="_Toc452556167"/>
      <w:bookmarkStart w:id="1833" w:name="_Toc452560849"/>
      <w:bookmarkStart w:id="1834" w:name="_Toc454274790"/>
      <w:bookmarkStart w:id="1835" w:name="_Toc454284436"/>
      <w:bookmarkStart w:id="1836" w:name="_Toc454381346"/>
      <w:bookmarkStart w:id="1837" w:name="_Toc454390173"/>
      <w:bookmarkStart w:id="1838" w:name="_Toc454398265"/>
      <w:bookmarkStart w:id="1839" w:name="_Toc454458041"/>
      <w:bookmarkStart w:id="1840" w:name="_Toc449107846"/>
      <w:bookmarkStart w:id="1841" w:name="_Toc452556168"/>
      <w:bookmarkStart w:id="1842" w:name="_Toc452560850"/>
      <w:bookmarkStart w:id="1843" w:name="_Toc454274791"/>
      <w:bookmarkStart w:id="1844" w:name="_Toc454284437"/>
      <w:bookmarkStart w:id="1845" w:name="_Toc454381347"/>
      <w:bookmarkStart w:id="1846" w:name="_Toc454390174"/>
      <w:bookmarkStart w:id="1847" w:name="_Toc454398266"/>
      <w:bookmarkStart w:id="1848" w:name="_Toc454458042"/>
      <w:bookmarkStart w:id="1849" w:name="_Toc449107847"/>
      <w:bookmarkStart w:id="1850" w:name="_Toc452556169"/>
      <w:bookmarkStart w:id="1851" w:name="_Toc452560851"/>
      <w:bookmarkStart w:id="1852" w:name="_Toc454274792"/>
      <w:bookmarkStart w:id="1853" w:name="_Toc454284438"/>
      <w:bookmarkStart w:id="1854" w:name="_Toc454381348"/>
      <w:bookmarkStart w:id="1855" w:name="_Toc454390175"/>
      <w:bookmarkStart w:id="1856" w:name="_Toc454398267"/>
      <w:bookmarkStart w:id="1857" w:name="_Toc454458043"/>
      <w:bookmarkStart w:id="1858" w:name="_Toc449107848"/>
      <w:bookmarkStart w:id="1859" w:name="_Toc452556170"/>
      <w:bookmarkStart w:id="1860" w:name="_Toc452560852"/>
      <w:bookmarkStart w:id="1861" w:name="_Toc454274793"/>
      <w:bookmarkStart w:id="1862" w:name="_Toc454284439"/>
      <w:bookmarkStart w:id="1863" w:name="_Toc454381349"/>
      <w:bookmarkStart w:id="1864" w:name="_Toc454390176"/>
      <w:bookmarkStart w:id="1865" w:name="_Toc454398268"/>
      <w:bookmarkStart w:id="1866" w:name="_Toc454458044"/>
      <w:bookmarkStart w:id="1867" w:name="_Toc449107849"/>
      <w:bookmarkStart w:id="1868" w:name="_Toc452556171"/>
      <w:bookmarkStart w:id="1869" w:name="_Toc452560853"/>
      <w:bookmarkStart w:id="1870" w:name="_Toc454274794"/>
      <w:bookmarkStart w:id="1871" w:name="_Toc454284440"/>
      <w:bookmarkStart w:id="1872" w:name="_Toc454381350"/>
      <w:bookmarkStart w:id="1873" w:name="_Toc454390177"/>
      <w:bookmarkStart w:id="1874" w:name="_Toc454398269"/>
      <w:bookmarkStart w:id="1875" w:name="_Toc454458045"/>
      <w:bookmarkStart w:id="1876" w:name="_Toc449107892"/>
      <w:bookmarkStart w:id="1877" w:name="_Toc452556214"/>
      <w:bookmarkStart w:id="1878" w:name="_Toc452560896"/>
      <w:bookmarkStart w:id="1879" w:name="_Toc454274837"/>
      <w:bookmarkStart w:id="1880" w:name="_Toc454284483"/>
      <w:bookmarkStart w:id="1881" w:name="_Toc454381393"/>
      <w:bookmarkStart w:id="1882" w:name="_Toc454390220"/>
      <w:bookmarkStart w:id="1883" w:name="_Toc454398312"/>
      <w:bookmarkStart w:id="1884" w:name="_Toc454458088"/>
      <w:bookmarkStart w:id="1885" w:name="_Toc449107893"/>
      <w:bookmarkStart w:id="1886" w:name="_Toc452556215"/>
      <w:bookmarkStart w:id="1887" w:name="_Toc452560897"/>
      <w:bookmarkStart w:id="1888" w:name="_Toc454274838"/>
      <w:bookmarkStart w:id="1889" w:name="_Toc454284484"/>
      <w:bookmarkStart w:id="1890" w:name="_Toc454381394"/>
      <w:bookmarkStart w:id="1891" w:name="_Toc454390221"/>
      <w:bookmarkStart w:id="1892" w:name="_Toc454398313"/>
      <w:bookmarkStart w:id="1893" w:name="_Toc454458089"/>
      <w:bookmarkStart w:id="1894" w:name="_Toc449107894"/>
      <w:bookmarkStart w:id="1895" w:name="_Toc452556216"/>
      <w:bookmarkStart w:id="1896" w:name="_Toc452560898"/>
      <w:bookmarkStart w:id="1897" w:name="_Toc454274839"/>
      <w:bookmarkStart w:id="1898" w:name="_Toc454284485"/>
      <w:bookmarkStart w:id="1899" w:name="_Toc454381395"/>
      <w:bookmarkStart w:id="1900" w:name="_Toc454390222"/>
      <w:bookmarkStart w:id="1901" w:name="_Toc454398314"/>
      <w:bookmarkStart w:id="1902" w:name="_Toc454458090"/>
      <w:bookmarkStart w:id="1903" w:name="_Toc449107895"/>
      <w:bookmarkStart w:id="1904" w:name="_Toc452556217"/>
      <w:bookmarkStart w:id="1905" w:name="_Toc452560899"/>
      <w:bookmarkStart w:id="1906" w:name="_Toc454274840"/>
      <w:bookmarkStart w:id="1907" w:name="_Toc454284486"/>
      <w:bookmarkStart w:id="1908" w:name="_Toc454381396"/>
      <w:bookmarkStart w:id="1909" w:name="_Toc454390223"/>
      <w:bookmarkStart w:id="1910" w:name="_Toc454398315"/>
      <w:bookmarkStart w:id="1911" w:name="_Toc454458091"/>
      <w:bookmarkStart w:id="1912" w:name="_Toc449107952"/>
      <w:bookmarkStart w:id="1913" w:name="_Toc452556274"/>
      <w:bookmarkStart w:id="1914" w:name="_Toc452560956"/>
      <w:bookmarkStart w:id="1915" w:name="_Toc454274897"/>
      <w:bookmarkStart w:id="1916" w:name="_Toc454284543"/>
      <w:bookmarkStart w:id="1917" w:name="_Toc454381453"/>
      <w:bookmarkStart w:id="1918" w:name="_Toc454390280"/>
      <w:bookmarkStart w:id="1919" w:name="_Toc454398372"/>
      <w:bookmarkStart w:id="1920" w:name="_Toc454458148"/>
      <w:bookmarkStart w:id="1921" w:name="_Toc449107953"/>
      <w:bookmarkStart w:id="1922" w:name="_Toc452556275"/>
      <w:bookmarkStart w:id="1923" w:name="_Toc452560957"/>
      <w:bookmarkStart w:id="1924" w:name="_Toc454274898"/>
      <w:bookmarkStart w:id="1925" w:name="_Toc454284544"/>
      <w:bookmarkStart w:id="1926" w:name="_Toc454381454"/>
      <w:bookmarkStart w:id="1927" w:name="_Toc454390281"/>
      <w:bookmarkStart w:id="1928" w:name="_Toc454398373"/>
      <w:bookmarkStart w:id="1929" w:name="_Toc454458149"/>
      <w:bookmarkStart w:id="1930" w:name="_Toc449107954"/>
      <w:bookmarkStart w:id="1931" w:name="_Toc452556276"/>
      <w:bookmarkStart w:id="1932" w:name="_Toc452560958"/>
      <w:bookmarkStart w:id="1933" w:name="_Toc454274899"/>
      <w:bookmarkStart w:id="1934" w:name="_Toc454284545"/>
      <w:bookmarkStart w:id="1935" w:name="_Toc454381455"/>
      <w:bookmarkStart w:id="1936" w:name="_Toc454390282"/>
      <w:bookmarkStart w:id="1937" w:name="_Toc454398374"/>
      <w:bookmarkStart w:id="1938" w:name="_Toc454458150"/>
      <w:bookmarkStart w:id="1939" w:name="_Toc449108015"/>
      <w:bookmarkStart w:id="1940" w:name="_Toc452556337"/>
      <w:bookmarkStart w:id="1941" w:name="_Toc452561019"/>
      <w:bookmarkStart w:id="1942" w:name="_Toc454274960"/>
      <w:bookmarkStart w:id="1943" w:name="_Toc454284606"/>
      <w:bookmarkStart w:id="1944" w:name="_Toc454381516"/>
      <w:bookmarkStart w:id="1945" w:name="_Toc454390343"/>
      <w:bookmarkStart w:id="1946" w:name="_Toc454398435"/>
      <w:bookmarkStart w:id="1947" w:name="_Toc454458211"/>
      <w:bookmarkStart w:id="1948" w:name="_Toc449108016"/>
      <w:bookmarkStart w:id="1949" w:name="_Toc452556338"/>
      <w:bookmarkStart w:id="1950" w:name="_Toc452561020"/>
      <w:bookmarkStart w:id="1951" w:name="_Toc454274961"/>
      <w:bookmarkStart w:id="1952" w:name="_Toc454284607"/>
      <w:bookmarkStart w:id="1953" w:name="_Toc454381517"/>
      <w:bookmarkStart w:id="1954" w:name="_Toc454390344"/>
      <w:bookmarkStart w:id="1955" w:name="_Toc454398436"/>
      <w:bookmarkStart w:id="1956" w:name="_Toc454458212"/>
      <w:bookmarkStart w:id="1957" w:name="_Toc449108017"/>
      <w:bookmarkStart w:id="1958" w:name="_Toc452556339"/>
      <w:bookmarkStart w:id="1959" w:name="_Toc452561021"/>
      <w:bookmarkStart w:id="1960" w:name="_Toc454274962"/>
      <w:bookmarkStart w:id="1961" w:name="_Toc454284608"/>
      <w:bookmarkStart w:id="1962" w:name="_Toc454381518"/>
      <w:bookmarkStart w:id="1963" w:name="_Toc454390345"/>
      <w:bookmarkStart w:id="1964" w:name="_Toc454398437"/>
      <w:bookmarkStart w:id="1965" w:name="_Toc454458213"/>
      <w:bookmarkStart w:id="1966" w:name="_Toc449108099"/>
      <w:bookmarkStart w:id="1967" w:name="_Toc452556421"/>
      <w:bookmarkStart w:id="1968" w:name="_Toc452561103"/>
      <w:bookmarkStart w:id="1969" w:name="_Toc454275044"/>
      <w:bookmarkStart w:id="1970" w:name="_Toc454284690"/>
      <w:bookmarkStart w:id="1971" w:name="_Toc454381600"/>
      <w:bookmarkStart w:id="1972" w:name="_Toc454390427"/>
      <w:bookmarkStart w:id="1973" w:name="_Toc454398519"/>
      <w:bookmarkStart w:id="1974" w:name="_Toc454458295"/>
      <w:bookmarkStart w:id="1975" w:name="_Toc449108100"/>
      <w:bookmarkStart w:id="1976" w:name="_Toc452556422"/>
      <w:bookmarkStart w:id="1977" w:name="_Toc452561104"/>
      <w:bookmarkStart w:id="1978" w:name="_Toc454275045"/>
      <w:bookmarkStart w:id="1979" w:name="_Toc454284691"/>
      <w:bookmarkStart w:id="1980" w:name="_Toc454381601"/>
      <w:bookmarkStart w:id="1981" w:name="_Toc454390428"/>
      <w:bookmarkStart w:id="1982" w:name="_Toc454398520"/>
      <w:bookmarkStart w:id="1983" w:name="_Toc454458296"/>
      <w:bookmarkStart w:id="1984" w:name="_Toc449108101"/>
      <w:bookmarkStart w:id="1985" w:name="_Toc452556423"/>
      <w:bookmarkStart w:id="1986" w:name="_Toc452561105"/>
      <w:bookmarkStart w:id="1987" w:name="_Toc454275046"/>
      <w:bookmarkStart w:id="1988" w:name="_Toc454284692"/>
      <w:bookmarkStart w:id="1989" w:name="_Toc454381602"/>
      <w:bookmarkStart w:id="1990" w:name="_Toc454390429"/>
      <w:bookmarkStart w:id="1991" w:name="_Toc454398521"/>
      <w:bookmarkStart w:id="1992" w:name="_Toc454458297"/>
      <w:bookmarkStart w:id="1993" w:name="_Toc449108102"/>
      <w:bookmarkStart w:id="1994" w:name="_Toc452556424"/>
      <w:bookmarkStart w:id="1995" w:name="_Toc452561106"/>
      <w:bookmarkStart w:id="1996" w:name="_Toc454275047"/>
      <w:bookmarkStart w:id="1997" w:name="_Toc454284693"/>
      <w:bookmarkStart w:id="1998" w:name="_Toc454381603"/>
      <w:bookmarkStart w:id="1999" w:name="_Toc454390430"/>
      <w:bookmarkStart w:id="2000" w:name="_Toc454398522"/>
      <w:bookmarkStart w:id="2001" w:name="_Toc454458298"/>
      <w:bookmarkStart w:id="2002" w:name="_Toc449108316"/>
      <w:bookmarkStart w:id="2003" w:name="_Toc452556638"/>
      <w:bookmarkStart w:id="2004" w:name="_Toc452561320"/>
      <w:bookmarkStart w:id="2005" w:name="_Toc454275261"/>
      <w:bookmarkStart w:id="2006" w:name="_Toc454284907"/>
      <w:bookmarkStart w:id="2007" w:name="_Toc454381817"/>
      <w:bookmarkStart w:id="2008" w:name="_Toc454390644"/>
      <w:bookmarkStart w:id="2009" w:name="_Toc454398736"/>
      <w:bookmarkStart w:id="2010" w:name="_Toc454458512"/>
      <w:bookmarkStart w:id="2011" w:name="_Toc449108317"/>
      <w:bookmarkStart w:id="2012" w:name="_Toc452556639"/>
      <w:bookmarkStart w:id="2013" w:name="_Toc452561321"/>
      <w:bookmarkStart w:id="2014" w:name="_Toc454275262"/>
      <w:bookmarkStart w:id="2015" w:name="_Toc454284908"/>
      <w:bookmarkStart w:id="2016" w:name="_Toc454381818"/>
      <w:bookmarkStart w:id="2017" w:name="_Toc454390645"/>
      <w:bookmarkStart w:id="2018" w:name="_Toc454398737"/>
      <w:bookmarkStart w:id="2019" w:name="_Toc454458513"/>
      <w:bookmarkStart w:id="2020" w:name="_Toc449108318"/>
      <w:bookmarkStart w:id="2021" w:name="_Toc452556640"/>
      <w:bookmarkStart w:id="2022" w:name="_Toc452561322"/>
      <w:bookmarkStart w:id="2023" w:name="_Toc454275263"/>
      <w:bookmarkStart w:id="2024" w:name="_Toc454284909"/>
      <w:bookmarkStart w:id="2025" w:name="_Toc454381819"/>
      <w:bookmarkStart w:id="2026" w:name="_Toc454390646"/>
      <w:bookmarkStart w:id="2027" w:name="_Toc454398738"/>
      <w:bookmarkStart w:id="2028" w:name="_Toc454458514"/>
      <w:bookmarkStart w:id="2029" w:name="_Toc449108319"/>
      <w:bookmarkStart w:id="2030" w:name="_Toc452556641"/>
      <w:bookmarkStart w:id="2031" w:name="_Toc452561323"/>
      <w:bookmarkStart w:id="2032" w:name="_Toc454275264"/>
      <w:bookmarkStart w:id="2033" w:name="_Toc454284910"/>
      <w:bookmarkStart w:id="2034" w:name="_Toc454381820"/>
      <w:bookmarkStart w:id="2035" w:name="_Toc454390647"/>
      <w:bookmarkStart w:id="2036" w:name="_Toc454398739"/>
      <w:bookmarkStart w:id="2037" w:name="_Toc454458515"/>
      <w:bookmarkStart w:id="2038" w:name="_Toc449108604"/>
      <w:bookmarkStart w:id="2039" w:name="_Toc452556926"/>
      <w:bookmarkStart w:id="2040" w:name="_Toc452561608"/>
      <w:bookmarkStart w:id="2041" w:name="_Toc454275549"/>
      <w:bookmarkStart w:id="2042" w:name="_Toc454285195"/>
      <w:bookmarkStart w:id="2043" w:name="_Toc454382105"/>
      <w:bookmarkStart w:id="2044" w:name="_Toc454390932"/>
      <w:bookmarkStart w:id="2045" w:name="_Toc454399024"/>
      <w:bookmarkStart w:id="2046" w:name="_Toc454458800"/>
      <w:bookmarkStart w:id="2047" w:name="_Toc449108605"/>
      <w:bookmarkStart w:id="2048" w:name="_Toc452556927"/>
      <w:bookmarkStart w:id="2049" w:name="_Toc452561609"/>
      <w:bookmarkStart w:id="2050" w:name="_Toc454275550"/>
      <w:bookmarkStart w:id="2051" w:name="_Toc454285196"/>
      <w:bookmarkStart w:id="2052" w:name="_Toc454382106"/>
      <w:bookmarkStart w:id="2053" w:name="_Toc454390933"/>
      <w:bookmarkStart w:id="2054" w:name="_Toc454399025"/>
      <w:bookmarkStart w:id="2055" w:name="_Toc454458801"/>
      <w:bookmarkStart w:id="2056" w:name="_Toc449108606"/>
      <w:bookmarkStart w:id="2057" w:name="_Toc452556928"/>
      <w:bookmarkStart w:id="2058" w:name="_Toc452561610"/>
      <w:bookmarkStart w:id="2059" w:name="_Toc454275551"/>
      <w:bookmarkStart w:id="2060" w:name="_Toc454285197"/>
      <w:bookmarkStart w:id="2061" w:name="_Toc454382107"/>
      <w:bookmarkStart w:id="2062" w:name="_Toc454390934"/>
      <w:bookmarkStart w:id="2063" w:name="_Toc454399026"/>
      <w:bookmarkStart w:id="2064" w:name="_Toc454458802"/>
      <w:bookmarkStart w:id="2065" w:name="_Toc449108718"/>
      <w:bookmarkStart w:id="2066" w:name="_Toc452557040"/>
      <w:bookmarkStart w:id="2067" w:name="_Toc452561722"/>
      <w:bookmarkStart w:id="2068" w:name="_Toc454275663"/>
      <w:bookmarkStart w:id="2069" w:name="_Toc454285309"/>
      <w:bookmarkStart w:id="2070" w:name="_Toc454382219"/>
      <w:bookmarkStart w:id="2071" w:name="_Toc454391046"/>
      <w:bookmarkStart w:id="2072" w:name="_Toc454399138"/>
      <w:bookmarkStart w:id="2073" w:name="_Toc454458914"/>
      <w:bookmarkStart w:id="2074" w:name="_Toc449108719"/>
      <w:bookmarkStart w:id="2075" w:name="_Toc452557041"/>
      <w:bookmarkStart w:id="2076" w:name="_Toc452561723"/>
      <w:bookmarkStart w:id="2077" w:name="_Toc454275664"/>
      <w:bookmarkStart w:id="2078" w:name="_Toc454285310"/>
      <w:bookmarkStart w:id="2079" w:name="_Toc454382220"/>
      <w:bookmarkStart w:id="2080" w:name="_Toc454391047"/>
      <w:bookmarkStart w:id="2081" w:name="_Toc454399139"/>
      <w:bookmarkStart w:id="2082" w:name="_Toc454458915"/>
      <w:bookmarkStart w:id="2083" w:name="_Toc449108720"/>
      <w:bookmarkStart w:id="2084" w:name="_Toc452557042"/>
      <w:bookmarkStart w:id="2085" w:name="_Toc452561724"/>
      <w:bookmarkStart w:id="2086" w:name="_Toc454275665"/>
      <w:bookmarkStart w:id="2087" w:name="_Toc454285311"/>
      <w:bookmarkStart w:id="2088" w:name="_Toc454382221"/>
      <w:bookmarkStart w:id="2089" w:name="_Toc454391048"/>
      <w:bookmarkStart w:id="2090" w:name="_Toc454399140"/>
      <w:bookmarkStart w:id="2091" w:name="_Toc454458916"/>
      <w:bookmarkStart w:id="2092" w:name="_Toc449108721"/>
      <w:bookmarkStart w:id="2093" w:name="_Toc452557043"/>
      <w:bookmarkStart w:id="2094" w:name="_Toc452561725"/>
      <w:bookmarkStart w:id="2095" w:name="_Toc454275666"/>
      <w:bookmarkStart w:id="2096" w:name="_Toc454285312"/>
      <w:bookmarkStart w:id="2097" w:name="_Toc454382222"/>
      <w:bookmarkStart w:id="2098" w:name="_Toc454391049"/>
      <w:bookmarkStart w:id="2099" w:name="_Toc454399141"/>
      <w:bookmarkStart w:id="2100" w:name="_Toc454458917"/>
      <w:bookmarkStart w:id="2101" w:name="_Toc449108870"/>
      <w:bookmarkStart w:id="2102" w:name="_Toc452557192"/>
      <w:bookmarkStart w:id="2103" w:name="_Toc452561874"/>
      <w:bookmarkStart w:id="2104" w:name="_Toc454275815"/>
      <w:bookmarkStart w:id="2105" w:name="_Toc454285461"/>
      <w:bookmarkStart w:id="2106" w:name="_Toc454382371"/>
      <w:bookmarkStart w:id="2107" w:name="_Toc454391198"/>
      <w:bookmarkStart w:id="2108" w:name="_Toc454399290"/>
      <w:bookmarkStart w:id="2109" w:name="_Toc454459066"/>
      <w:bookmarkStart w:id="2110" w:name="_Toc449104677"/>
      <w:bookmarkStart w:id="2111" w:name="_Toc452552999"/>
      <w:bookmarkStart w:id="2112" w:name="_Toc452557681"/>
      <w:bookmarkStart w:id="2113" w:name="_Toc454271622"/>
      <w:bookmarkStart w:id="2114" w:name="_Toc454281268"/>
      <w:bookmarkStart w:id="2115" w:name="_Toc454378178"/>
      <w:bookmarkStart w:id="2116" w:name="_Toc454387005"/>
      <w:bookmarkStart w:id="2117" w:name="_Toc454395097"/>
      <w:bookmarkStart w:id="2118" w:name="_Toc454454873"/>
      <w:bookmarkStart w:id="2119" w:name="_Toc449104678"/>
      <w:bookmarkStart w:id="2120" w:name="_Toc452553000"/>
      <w:bookmarkStart w:id="2121" w:name="_Toc452557682"/>
      <w:bookmarkStart w:id="2122" w:name="_Toc454271623"/>
      <w:bookmarkStart w:id="2123" w:name="_Toc454281269"/>
      <w:bookmarkStart w:id="2124" w:name="_Toc454378179"/>
      <w:bookmarkStart w:id="2125" w:name="_Toc454387006"/>
      <w:bookmarkStart w:id="2126" w:name="_Toc454395098"/>
      <w:bookmarkStart w:id="2127" w:name="_Toc454454874"/>
      <w:bookmarkStart w:id="2128" w:name="_Toc449104679"/>
      <w:bookmarkStart w:id="2129" w:name="_Toc452553001"/>
      <w:bookmarkStart w:id="2130" w:name="_Toc452557683"/>
      <w:bookmarkStart w:id="2131" w:name="_Toc454271624"/>
      <w:bookmarkStart w:id="2132" w:name="_Toc454281270"/>
      <w:bookmarkStart w:id="2133" w:name="_Toc454378180"/>
      <w:bookmarkStart w:id="2134" w:name="_Toc454387007"/>
      <w:bookmarkStart w:id="2135" w:name="_Toc454395099"/>
      <w:bookmarkStart w:id="2136" w:name="_Toc454454875"/>
      <w:bookmarkStart w:id="2137" w:name="_Toc449104680"/>
      <w:bookmarkStart w:id="2138" w:name="_Toc452553002"/>
      <w:bookmarkStart w:id="2139" w:name="_Toc452557684"/>
      <w:bookmarkStart w:id="2140" w:name="_Toc454271625"/>
      <w:bookmarkStart w:id="2141" w:name="_Toc454281271"/>
      <w:bookmarkStart w:id="2142" w:name="_Toc454378181"/>
      <w:bookmarkStart w:id="2143" w:name="_Toc454387008"/>
      <w:bookmarkStart w:id="2144" w:name="_Toc454395100"/>
      <w:bookmarkStart w:id="2145" w:name="_Toc454454876"/>
      <w:bookmarkStart w:id="2146" w:name="_Toc449104729"/>
      <w:bookmarkStart w:id="2147" w:name="_Toc452553051"/>
      <w:bookmarkStart w:id="2148" w:name="_Toc452557733"/>
      <w:bookmarkStart w:id="2149" w:name="_Toc454271674"/>
      <w:bookmarkStart w:id="2150" w:name="_Toc454281320"/>
      <w:bookmarkStart w:id="2151" w:name="_Toc454378230"/>
      <w:bookmarkStart w:id="2152" w:name="_Toc454387057"/>
      <w:bookmarkStart w:id="2153" w:name="_Toc454395149"/>
      <w:bookmarkStart w:id="2154" w:name="_Toc454454925"/>
      <w:bookmarkStart w:id="2155" w:name="_Toc449104730"/>
      <w:bookmarkStart w:id="2156" w:name="_Toc452553052"/>
      <w:bookmarkStart w:id="2157" w:name="_Toc452557734"/>
      <w:bookmarkStart w:id="2158" w:name="_Toc454271675"/>
      <w:bookmarkStart w:id="2159" w:name="_Toc454281321"/>
      <w:bookmarkStart w:id="2160" w:name="_Toc454378231"/>
      <w:bookmarkStart w:id="2161" w:name="_Toc454387058"/>
      <w:bookmarkStart w:id="2162" w:name="_Toc454395150"/>
      <w:bookmarkStart w:id="2163" w:name="_Toc454454926"/>
      <w:bookmarkStart w:id="2164" w:name="_Toc449104731"/>
      <w:bookmarkStart w:id="2165" w:name="_Toc452553053"/>
      <w:bookmarkStart w:id="2166" w:name="_Toc452557735"/>
      <w:bookmarkStart w:id="2167" w:name="_Toc454271676"/>
      <w:bookmarkStart w:id="2168" w:name="_Toc454281322"/>
      <w:bookmarkStart w:id="2169" w:name="_Toc454378232"/>
      <w:bookmarkStart w:id="2170" w:name="_Toc454387059"/>
      <w:bookmarkStart w:id="2171" w:name="_Toc454395151"/>
      <w:bookmarkStart w:id="2172" w:name="_Toc454454927"/>
      <w:bookmarkStart w:id="2173" w:name="_Toc449104732"/>
      <w:bookmarkStart w:id="2174" w:name="_Toc452553054"/>
      <w:bookmarkStart w:id="2175" w:name="_Toc452557736"/>
      <w:bookmarkStart w:id="2176" w:name="_Toc454271677"/>
      <w:bookmarkStart w:id="2177" w:name="_Toc454281323"/>
      <w:bookmarkStart w:id="2178" w:name="_Toc454378233"/>
      <w:bookmarkStart w:id="2179" w:name="_Toc454387060"/>
      <w:bookmarkStart w:id="2180" w:name="_Toc454395152"/>
      <w:bookmarkStart w:id="2181" w:name="_Toc454454928"/>
      <w:bookmarkStart w:id="2182" w:name="_Toc449104797"/>
      <w:bookmarkStart w:id="2183" w:name="_Toc452553119"/>
      <w:bookmarkStart w:id="2184" w:name="_Toc452557801"/>
      <w:bookmarkStart w:id="2185" w:name="_Toc454271742"/>
      <w:bookmarkStart w:id="2186" w:name="_Toc454281388"/>
      <w:bookmarkStart w:id="2187" w:name="_Toc454378298"/>
      <w:bookmarkStart w:id="2188" w:name="_Toc454387125"/>
      <w:bookmarkStart w:id="2189" w:name="_Toc454395217"/>
      <w:bookmarkStart w:id="2190" w:name="_Toc454454993"/>
      <w:bookmarkStart w:id="2191" w:name="_Toc449104798"/>
      <w:bookmarkStart w:id="2192" w:name="_Toc452553120"/>
      <w:bookmarkStart w:id="2193" w:name="_Toc452557802"/>
      <w:bookmarkStart w:id="2194" w:name="_Toc454271743"/>
      <w:bookmarkStart w:id="2195" w:name="_Toc454281389"/>
      <w:bookmarkStart w:id="2196" w:name="_Toc454378299"/>
      <w:bookmarkStart w:id="2197" w:name="_Toc454387126"/>
      <w:bookmarkStart w:id="2198" w:name="_Toc454395218"/>
      <w:bookmarkStart w:id="2199" w:name="_Toc454454994"/>
      <w:bookmarkStart w:id="2200" w:name="_Toc449104883"/>
      <w:bookmarkStart w:id="2201" w:name="_Toc452553205"/>
      <w:bookmarkStart w:id="2202" w:name="_Toc452557887"/>
      <w:bookmarkStart w:id="2203" w:name="_Toc454271828"/>
      <w:bookmarkStart w:id="2204" w:name="_Toc454281474"/>
      <w:bookmarkStart w:id="2205" w:name="_Toc454378384"/>
      <w:bookmarkStart w:id="2206" w:name="_Toc454387211"/>
      <w:bookmarkStart w:id="2207" w:name="_Toc454395303"/>
      <w:bookmarkStart w:id="2208" w:name="_Toc454455079"/>
      <w:bookmarkStart w:id="2209" w:name="_Toc449104884"/>
      <w:bookmarkStart w:id="2210" w:name="_Toc452553206"/>
      <w:bookmarkStart w:id="2211" w:name="_Toc452557888"/>
      <w:bookmarkStart w:id="2212" w:name="_Toc454271829"/>
      <w:bookmarkStart w:id="2213" w:name="_Toc454281475"/>
      <w:bookmarkStart w:id="2214" w:name="_Toc454378385"/>
      <w:bookmarkStart w:id="2215" w:name="_Toc454387212"/>
      <w:bookmarkStart w:id="2216" w:name="_Toc454395304"/>
      <w:bookmarkStart w:id="2217" w:name="_Toc454455080"/>
      <w:bookmarkStart w:id="2218" w:name="_Toc449104885"/>
      <w:bookmarkStart w:id="2219" w:name="_Toc452553207"/>
      <w:bookmarkStart w:id="2220" w:name="_Toc452557889"/>
      <w:bookmarkStart w:id="2221" w:name="_Toc454271830"/>
      <w:bookmarkStart w:id="2222" w:name="_Toc454281476"/>
      <w:bookmarkStart w:id="2223" w:name="_Toc454378386"/>
      <w:bookmarkStart w:id="2224" w:name="_Toc454387213"/>
      <w:bookmarkStart w:id="2225" w:name="_Toc454395305"/>
      <w:bookmarkStart w:id="2226" w:name="_Toc454455081"/>
      <w:bookmarkStart w:id="2227" w:name="_Toc449104886"/>
      <w:bookmarkStart w:id="2228" w:name="_Toc452553208"/>
      <w:bookmarkStart w:id="2229" w:name="_Toc452557890"/>
      <w:bookmarkStart w:id="2230" w:name="_Toc454271831"/>
      <w:bookmarkStart w:id="2231" w:name="_Toc454281477"/>
      <w:bookmarkStart w:id="2232" w:name="_Toc454378387"/>
      <w:bookmarkStart w:id="2233" w:name="_Toc454387214"/>
      <w:bookmarkStart w:id="2234" w:name="_Toc454395306"/>
      <w:bookmarkStart w:id="2235" w:name="_Toc454455082"/>
      <w:bookmarkStart w:id="2236" w:name="_Toc449104999"/>
      <w:bookmarkStart w:id="2237" w:name="_Toc452553321"/>
      <w:bookmarkStart w:id="2238" w:name="_Toc452558003"/>
      <w:bookmarkStart w:id="2239" w:name="_Toc454271944"/>
      <w:bookmarkStart w:id="2240" w:name="_Toc454281590"/>
      <w:bookmarkStart w:id="2241" w:name="_Toc454378500"/>
      <w:bookmarkStart w:id="2242" w:name="_Toc454387327"/>
      <w:bookmarkStart w:id="2243" w:name="_Toc454395419"/>
      <w:bookmarkStart w:id="2244" w:name="_Toc454455195"/>
      <w:bookmarkStart w:id="2245" w:name="_Toc449105000"/>
      <w:bookmarkStart w:id="2246" w:name="_Toc452553322"/>
      <w:bookmarkStart w:id="2247" w:name="_Toc452558004"/>
      <w:bookmarkStart w:id="2248" w:name="_Toc454271945"/>
      <w:bookmarkStart w:id="2249" w:name="_Toc454281591"/>
      <w:bookmarkStart w:id="2250" w:name="_Toc454378501"/>
      <w:bookmarkStart w:id="2251" w:name="_Toc454387328"/>
      <w:bookmarkStart w:id="2252" w:name="_Toc454395420"/>
      <w:bookmarkStart w:id="2253" w:name="_Toc454455196"/>
      <w:bookmarkStart w:id="2254" w:name="_Toc449105001"/>
      <w:bookmarkStart w:id="2255" w:name="_Toc452553323"/>
      <w:bookmarkStart w:id="2256" w:name="_Toc452558005"/>
      <w:bookmarkStart w:id="2257" w:name="_Toc454271946"/>
      <w:bookmarkStart w:id="2258" w:name="_Toc454281592"/>
      <w:bookmarkStart w:id="2259" w:name="_Toc454378502"/>
      <w:bookmarkStart w:id="2260" w:name="_Toc454387329"/>
      <w:bookmarkStart w:id="2261" w:name="_Toc454395421"/>
      <w:bookmarkStart w:id="2262" w:name="_Toc454455197"/>
      <w:bookmarkStart w:id="2263" w:name="_Toc449105002"/>
      <w:bookmarkStart w:id="2264" w:name="_Toc452553324"/>
      <w:bookmarkStart w:id="2265" w:name="_Toc452558006"/>
      <w:bookmarkStart w:id="2266" w:name="_Toc454271947"/>
      <w:bookmarkStart w:id="2267" w:name="_Toc454281593"/>
      <w:bookmarkStart w:id="2268" w:name="_Toc454378503"/>
      <w:bookmarkStart w:id="2269" w:name="_Toc454387330"/>
      <w:bookmarkStart w:id="2270" w:name="_Toc454395422"/>
      <w:bookmarkStart w:id="2271" w:name="_Toc454455198"/>
      <w:bookmarkStart w:id="2272" w:name="_Toc449105108"/>
      <w:bookmarkStart w:id="2273" w:name="_Toc452553430"/>
      <w:bookmarkStart w:id="2274" w:name="_Toc452558112"/>
      <w:bookmarkStart w:id="2275" w:name="_Toc454272053"/>
      <w:bookmarkStart w:id="2276" w:name="_Toc454281699"/>
      <w:bookmarkStart w:id="2277" w:name="_Toc454378609"/>
      <w:bookmarkStart w:id="2278" w:name="_Toc454387436"/>
      <w:bookmarkStart w:id="2279" w:name="_Toc454395528"/>
      <w:bookmarkStart w:id="2280" w:name="_Toc454455304"/>
      <w:bookmarkStart w:id="2281" w:name="_Toc449105109"/>
      <w:bookmarkStart w:id="2282" w:name="_Toc452553431"/>
      <w:bookmarkStart w:id="2283" w:name="_Toc452558113"/>
      <w:bookmarkStart w:id="2284" w:name="_Toc454272054"/>
      <w:bookmarkStart w:id="2285" w:name="_Toc454281700"/>
      <w:bookmarkStart w:id="2286" w:name="_Toc454378610"/>
      <w:bookmarkStart w:id="2287" w:name="_Toc454387437"/>
      <w:bookmarkStart w:id="2288" w:name="_Toc454395529"/>
      <w:bookmarkStart w:id="2289" w:name="_Toc454455305"/>
      <w:bookmarkStart w:id="2290" w:name="_Toc449105110"/>
      <w:bookmarkStart w:id="2291" w:name="_Toc452553432"/>
      <w:bookmarkStart w:id="2292" w:name="_Toc452558114"/>
      <w:bookmarkStart w:id="2293" w:name="_Toc454272055"/>
      <w:bookmarkStart w:id="2294" w:name="_Toc454281701"/>
      <w:bookmarkStart w:id="2295" w:name="_Toc454378611"/>
      <w:bookmarkStart w:id="2296" w:name="_Toc454387438"/>
      <w:bookmarkStart w:id="2297" w:name="_Toc454395530"/>
      <w:bookmarkStart w:id="2298" w:name="_Toc454455306"/>
      <w:bookmarkStart w:id="2299" w:name="_Toc449105111"/>
      <w:bookmarkStart w:id="2300" w:name="_Toc452553433"/>
      <w:bookmarkStart w:id="2301" w:name="_Toc452558115"/>
      <w:bookmarkStart w:id="2302" w:name="_Toc454272056"/>
      <w:bookmarkStart w:id="2303" w:name="_Toc454281702"/>
      <w:bookmarkStart w:id="2304" w:name="_Toc454378612"/>
      <w:bookmarkStart w:id="2305" w:name="_Toc454387439"/>
      <w:bookmarkStart w:id="2306" w:name="_Toc454395531"/>
      <w:bookmarkStart w:id="2307" w:name="_Toc454455307"/>
      <w:bookmarkStart w:id="2308" w:name="_Toc449105252"/>
      <w:bookmarkStart w:id="2309" w:name="_Toc452553574"/>
      <w:bookmarkStart w:id="2310" w:name="_Toc452558256"/>
      <w:bookmarkStart w:id="2311" w:name="_Toc454272197"/>
      <w:bookmarkStart w:id="2312" w:name="_Toc454281843"/>
      <w:bookmarkStart w:id="2313" w:name="_Toc454378753"/>
      <w:bookmarkStart w:id="2314" w:name="_Toc454387580"/>
      <w:bookmarkStart w:id="2315" w:name="_Toc454395672"/>
      <w:bookmarkStart w:id="2316" w:name="_Toc454455448"/>
      <w:bookmarkStart w:id="2317" w:name="_Toc449105253"/>
      <w:bookmarkStart w:id="2318" w:name="_Toc452553575"/>
      <w:bookmarkStart w:id="2319" w:name="_Toc452558257"/>
      <w:bookmarkStart w:id="2320" w:name="_Toc454272198"/>
      <w:bookmarkStart w:id="2321" w:name="_Toc454281844"/>
      <w:bookmarkStart w:id="2322" w:name="_Toc454378754"/>
      <w:bookmarkStart w:id="2323" w:name="_Toc454387581"/>
      <w:bookmarkStart w:id="2324" w:name="_Toc454395673"/>
      <w:bookmarkStart w:id="2325" w:name="_Toc454455449"/>
      <w:bookmarkStart w:id="2326" w:name="_Toc449105254"/>
      <w:bookmarkStart w:id="2327" w:name="_Toc452553576"/>
      <w:bookmarkStart w:id="2328" w:name="_Toc452558258"/>
      <w:bookmarkStart w:id="2329" w:name="_Toc454272199"/>
      <w:bookmarkStart w:id="2330" w:name="_Toc454281845"/>
      <w:bookmarkStart w:id="2331" w:name="_Toc454378755"/>
      <w:bookmarkStart w:id="2332" w:name="_Toc454387582"/>
      <w:bookmarkStart w:id="2333" w:name="_Toc454395674"/>
      <w:bookmarkStart w:id="2334" w:name="_Toc454455450"/>
      <w:bookmarkStart w:id="2335" w:name="_Toc449105408"/>
      <w:bookmarkStart w:id="2336" w:name="_Toc452553730"/>
      <w:bookmarkStart w:id="2337" w:name="_Toc452558412"/>
      <w:bookmarkStart w:id="2338" w:name="_Toc454272353"/>
      <w:bookmarkStart w:id="2339" w:name="_Toc454281999"/>
      <w:bookmarkStart w:id="2340" w:name="_Toc454378909"/>
      <w:bookmarkStart w:id="2341" w:name="_Toc454387736"/>
      <w:bookmarkStart w:id="2342" w:name="_Toc454395828"/>
      <w:bookmarkStart w:id="2343" w:name="_Toc454455604"/>
      <w:bookmarkStart w:id="2344" w:name="_Toc449105409"/>
      <w:bookmarkStart w:id="2345" w:name="_Toc452553731"/>
      <w:bookmarkStart w:id="2346" w:name="_Toc452558413"/>
      <w:bookmarkStart w:id="2347" w:name="_Toc454272354"/>
      <w:bookmarkStart w:id="2348" w:name="_Toc454282000"/>
      <w:bookmarkStart w:id="2349" w:name="_Toc454378910"/>
      <w:bookmarkStart w:id="2350" w:name="_Toc454387737"/>
      <w:bookmarkStart w:id="2351" w:name="_Toc454395829"/>
      <w:bookmarkStart w:id="2352" w:name="_Toc454455605"/>
      <w:bookmarkStart w:id="2353" w:name="_Toc449105410"/>
      <w:bookmarkStart w:id="2354" w:name="_Toc452553732"/>
      <w:bookmarkStart w:id="2355" w:name="_Toc452558414"/>
      <w:bookmarkStart w:id="2356" w:name="_Toc454272355"/>
      <w:bookmarkStart w:id="2357" w:name="_Toc454282001"/>
      <w:bookmarkStart w:id="2358" w:name="_Toc454378911"/>
      <w:bookmarkStart w:id="2359" w:name="_Toc454387738"/>
      <w:bookmarkStart w:id="2360" w:name="_Toc454395830"/>
      <w:bookmarkStart w:id="2361" w:name="_Toc454455606"/>
      <w:bookmarkStart w:id="2362" w:name="_Toc449105411"/>
      <w:bookmarkStart w:id="2363" w:name="_Toc452553733"/>
      <w:bookmarkStart w:id="2364" w:name="_Toc452558415"/>
      <w:bookmarkStart w:id="2365" w:name="_Toc454272356"/>
      <w:bookmarkStart w:id="2366" w:name="_Toc454282002"/>
      <w:bookmarkStart w:id="2367" w:name="_Toc454378912"/>
      <w:bookmarkStart w:id="2368" w:name="_Toc454387739"/>
      <w:bookmarkStart w:id="2369" w:name="_Toc454395831"/>
      <w:bookmarkStart w:id="2370" w:name="_Toc454455607"/>
      <w:bookmarkStart w:id="2371" w:name="_Toc449105600"/>
      <w:bookmarkStart w:id="2372" w:name="_Toc452553922"/>
      <w:bookmarkStart w:id="2373" w:name="_Toc452558604"/>
      <w:bookmarkStart w:id="2374" w:name="_Toc454272545"/>
      <w:bookmarkStart w:id="2375" w:name="_Toc454282191"/>
      <w:bookmarkStart w:id="2376" w:name="_Toc454379101"/>
      <w:bookmarkStart w:id="2377" w:name="_Toc454387928"/>
      <w:bookmarkStart w:id="2378" w:name="_Toc454396020"/>
      <w:bookmarkStart w:id="2379" w:name="_Toc454455796"/>
      <w:bookmarkStart w:id="2380" w:name="_Toc449105601"/>
      <w:bookmarkStart w:id="2381" w:name="_Toc452553923"/>
      <w:bookmarkStart w:id="2382" w:name="_Toc452558605"/>
      <w:bookmarkStart w:id="2383" w:name="_Toc454272546"/>
      <w:bookmarkStart w:id="2384" w:name="_Toc454282192"/>
      <w:bookmarkStart w:id="2385" w:name="_Toc454379102"/>
      <w:bookmarkStart w:id="2386" w:name="_Toc454387929"/>
      <w:bookmarkStart w:id="2387" w:name="_Toc454396021"/>
      <w:bookmarkStart w:id="2388" w:name="_Toc454455797"/>
      <w:bookmarkStart w:id="2389" w:name="_Toc449105602"/>
      <w:bookmarkStart w:id="2390" w:name="_Toc452553924"/>
      <w:bookmarkStart w:id="2391" w:name="_Toc452558606"/>
      <w:bookmarkStart w:id="2392" w:name="_Toc454272547"/>
      <w:bookmarkStart w:id="2393" w:name="_Toc454282193"/>
      <w:bookmarkStart w:id="2394" w:name="_Toc454379103"/>
      <w:bookmarkStart w:id="2395" w:name="_Toc454387930"/>
      <w:bookmarkStart w:id="2396" w:name="_Toc454396022"/>
      <w:bookmarkStart w:id="2397" w:name="_Toc454455798"/>
      <w:bookmarkStart w:id="2398" w:name="_Toc449105741"/>
      <w:bookmarkStart w:id="2399" w:name="_Toc452554063"/>
      <w:bookmarkStart w:id="2400" w:name="_Toc452558745"/>
      <w:bookmarkStart w:id="2401" w:name="_Toc454272686"/>
      <w:bookmarkStart w:id="2402" w:name="_Toc454282332"/>
      <w:bookmarkStart w:id="2403" w:name="_Toc454379242"/>
      <w:bookmarkStart w:id="2404" w:name="_Toc454388069"/>
      <w:bookmarkStart w:id="2405" w:name="_Toc454396161"/>
      <w:bookmarkStart w:id="2406" w:name="_Toc454455937"/>
      <w:bookmarkStart w:id="2407" w:name="_Toc449105742"/>
      <w:bookmarkStart w:id="2408" w:name="_Toc452554064"/>
      <w:bookmarkStart w:id="2409" w:name="_Toc452558746"/>
      <w:bookmarkStart w:id="2410" w:name="_Toc454272687"/>
      <w:bookmarkStart w:id="2411" w:name="_Toc454282333"/>
      <w:bookmarkStart w:id="2412" w:name="_Toc454379243"/>
      <w:bookmarkStart w:id="2413" w:name="_Toc454388070"/>
      <w:bookmarkStart w:id="2414" w:name="_Toc454396162"/>
      <w:bookmarkStart w:id="2415" w:name="_Toc454455938"/>
      <w:bookmarkStart w:id="2416" w:name="_Toc449105743"/>
      <w:bookmarkStart w:id="2417" w:name="_Toc452554065"/>
      <w:bookmarkStart w:id="2418" w:name="_Toc452558747"/>
      <w:bookmarkStart w:id="2419" w:name="_Toc454272688"/>
      <w:bookmarkStart w:id="2420" w:name="_Toc454282334"/>
      <w:bookmarkStart w:id="2421" w:name="_Toc454379244"/>
      <w:bookmarkStart w:id="2422" w:name="_Toc454388071"/>
      <w:bookmarkStart w:id="2423" w:name="_Toc454396163"/>
      <w:bookmarkStart w:id="2424" w:name="_Toc454455939"/>
      <w:bookmarkStart w:id="2425" w:name="_Toc449105744"/>
      <w:bookmarkStart w:id="2426" w:name="_Toc452554066"/>
      <w:bookmarkStart w:id="2427" w:name="_Toc452558748"/>
      <w:bookmarkStart w:id="2428" w:name="_Toc454272689"/>
      <w:bookmarkStart w:id="2429" w:name="_Toc454282335"/>
      <w:bookmarkStart w:id="2430" w:name="_Toc454379245"/>
      <w:bookmarkStart w:id="2431" w:name="_Toc454388072"/>
      <w:bookmarkStart w:id="2432" w:name="_Toc454396164"/>
      <w:bookmarkStart w:id="2433" w:name="_Toc454455940"/>
      <w:bookmarkStart w:id="2434" w:name="_Toc449105929"/>
      <w:bookmarkStart w:id="2435" w:name="_Toc452554251"/>
      <w:bookmarkStart w:id="2436" w:name="_Toc452558933"/>
      <w:bookmarkStart w:id="2437" w:name="_Toc454272874"/>
      <w:bookmarkStart w:id="2438" w:name="_Toc454282520"/>
      <w:bookmarkStart w:id="2439" w:name="_Toc454379430"/>
      <w:bookmarkStart w:id="2440" w:name="_Toc454388257"/>
      <w:bookmarkStart w:id="2441" w:name="_Toc454396349"/>
      <w:bookmarkStart w:id="2442" w:name="_Toc454456125"/>
      <w:bookmarkStart w:id="2443" w:name="_Toc449105930"/>
      <w:bookmarkStart w:id="2444" w:name="_Toc452554252"/>
      <w:bookmarkStart w:id="2445" w:name="_Toc452558934"/>
      <w:bookmarkStart w:id="2446" w:name="_Toc454272875"/>
      <w:bookmarkStart w:id="2447" w:name="_Toc454282521"/>
      <w:bookmarkStart w:id="2448" w:name="_Toc454379431"/>
      <w:bookmarkStart w:id="2449" w:name="_Toc454388258"/>
      <w:bookmarkStart w:id="2450" w:name="_Toc454396350"/>
      <w:bookmarkStart w:id="2451" w:name="_Toc454456126"/>
      <w:bookmarkStart w:id="2452" w:name="_Toc449105931"/>
      <w:bookmarkStart w:id="2453" w:name="_Toc452554253"/>
      <w:bookmarkStart w:id="2454" w:name="_Toc452558935"/>
      <w:bookmarkStart w:id="2455" w:name="_Toc454272876"/>
      <w:bookmarkStart w:id="2456" w:name="_Toc454282522"/>
      <w:bookmarkStart w:id="2457" w:name="_Toc454379432"/>
      <w:bookmarkStart w:id="2458" w:name="_Toc454388259"/>
      <w:bookmarkStart w:id="2459" w:name="_Toc454396351"/>
      <w:bookmarkStart w:id="2460" w:name="_Toc454456127"/>
      <w:bookmarkStart w:id="2461" w:name="_Toc449105932"/>
      <w:bookmarkStart w:id="2462" w:name="_Toc452554254"/>
      <w:bookmarkStart w:id="2463" w:name="_Toc452558936"/>
      <w:bookmarkStart w:id="2464" w:name="_Toc454272877"/>
      <w:bookmarkStart w:id="2465" w:name="_Toc454282523"/>
      <w:bookmarkStart w:id="2466" w:name="_Toc454379433"/>
      <w:bookmarkStart w:id="2467" w:name="_Toc454388260"/>
      <w:bookmarkStart w:id="2468" w:name="_Toc454396352"/>
      <w:bookmarkStart w:id="2469" w:name="_Toc454456128"/>
      <w:bookmarkStart w:id="2470" w:name="_Toc449106020"/>
      <w:bookmarkStart w:id="2471" w:name="_Toc452554342"/>
      <w:bookmarkStart w:id="2472" w:name="_Toc452559024"/>
      <w:bookmarkStart w:id="2473" w:name="_Toc454272965"/>
      <w:bookmarkStart w:id="2474" w:name="_Toc454282611"/>
      <w:bookmarkStart w:id="2475" w:name="_Toc454379521"/>
      <w:bookmarkStart w:id="2476" w:name="_Toc454388348"/>
      <w:bookmarkStart w:id="2477" w:name="_Toc454396440"/>
      <w:bookmarkStart w:id="2478" w:name="_Toc454456216"/>
      <w:bookmarkStart w:id="2479" w:name="_Toc449106021"/>
      <w:bookmarkStart w:id="2480" w:name="_Toc452554343"/>
      <w:bookmarkStart w:id="2481" w:name="_Toc452559025"/>
      <w:bookmarkStart w:id="2482" w:name="_Toc454272966"/>
      <w:bookmarkStart w:id="2483" w:name="_Toc454282612"/>
      <w:bookmarkStart w:id="2484" w:name="_Toc454379522"/>
      <w:bookmarkStart w:id="2485" w:name="_Toc454388349"/>
      <w:bookmarkStart w:id="2486" w:name="_Toc454396441"/>
      <w:bookmarkStart w:id="2487" w:name="_Toc454456217"/>
      <w:bookmarkStart w:id="2488" w:name="_Toc449106022"/>
      <w:bookmarkStart w:id="2489" w:name="_Toc452554344"/>
      <w:bookmarkStart w:id="2490" w:name="_Toc452559026"/>
      <w:bookmarkStart w:id="2491" w:name="_Toc454272967"/>
      <w:bookmarkStart w:id="2492" w:name="_Toc454282613"/>
      <w:bookmarkStart w:id="2493" w:name="_Toc454379523"/>
      <w:bookmarkStart w:id="2494" w:name="_Toc454388350"/>
      <w:bookmarkStart w:id="2495" w:name="_Toc454396442"/>
      <w:bookmarkStart w:id="2496" w:name="_Toc454456218"/>
      <w:bookmarkStart w:id="2497" w:name="_Toc449106023"/>
      <w:bookmarkStart w:id="2498" w:name="_Toc452554345"/>
      <w:bookmarkStart w:id="2499" w:name="_Toc452559027"/>
      <w:bookmarkStart w:id="2500" w:name="_Toc454272968"/>
      <w:bookmarkStart w:id="2501" w:name="_Toc454282614"/>
      <w:bookmarkStart w:id="2502" w:name="_Toc454379524"/>
      <w:bookmarkStart w:id="2503" w:name="_Toc454388351"/>
      <w:bookmarkStart w:id="2504" w:name="_Toc454396443"/>
      <w:bookmarkStart w:id="2505" w:name="_Toc454456219"/>
      <w:bookmarkStart w:id="2506" w:name="_Toc449106140"/>
      <w:bookmarkStart w:id="2507" w:name="_Toc452554462"/>
      <w:bookmarkStart w:id="2508" w:name="_Toc452559144"/>
      <w:bookmarkStart w:id="2509" w:name="_Toc454273085"/>
      <w:bookmarkStart w:id="2510" w:name="_Toc454282731"/>
      <w:bookmarkStart w:id="2511" w:name="_Toc454379641"/>
      <w:bookmarkStart w:id="2512" w:name="_Toc454388468"/>
      <w:bookmarkStart w:id="2513" w:name="_Toc454396560"/>
      <w:bookmarkStart w:id="2514" w:name="_Toc454456336"/>
      <w:bookmarkStart w:id="2515" w:name="_Toc449106141"/>
      <w:bookmarkStart w:id="2516" w:name="_Toc452554463"/>
      <w:bookmarkStart w:id="2517" w:name="_Toc452559145"/>
      <w:bookmarkStart w:id="2518" w:name="_Toc454273086"/>
      <w:bookmarkStart w:id="2519" w:name="_Toc454282732"/>
      <w:bookmarkStart w:id="2520" w:name="_Toc454379642"/>
      <w:bookmarkStart w:id="2521" w:name="_Toc454388469"/>
      <w:bookmarkStart w:id="2522" w:name="_Toc454396561"/>
      <w:bookmarkStart w:id="2523" w:name="_Toc454456337"/>
      <w:bookmarkStart w:id="2524" w:name="_Toc449106142"/>
      <w:bookmarkStart w:id="2525" w:name="_Toc452554464"/>
      <w:bookmarkStart w:id="2526" w:name="_Toc452559146"/>
      <w:bookmarkStart w:id="2527" w:name="_Toc454273087"/>
      <w:bookmarkStart w:id="2528" w:name="_Toc454282733"/>
      <w:bookmarkStart w:id="2529" w:name="_Toc454379643"/>
      <w:bookmarkStart w:id="2530" w:name="_Toc454388470"/>
      <w:bookmarkStart w:id="2531" w:name="_Toc454396562"/>
      <w:bookmarkStart w:id="2532" w:name="_Toc454456338"/>
      <w:bookmarkStart w:id="2533" w:name="_Toc449106215"/>
      <w:bookmarkStart w:id="2534" w:name="_Toc452554537"/>
      <w:bookmarkStart w:id="2535" w:name="_Toc452559219"/>
      <w:bookmarkStart w:id="2536" w:name="_Toc454273160"/>
      <w:bookmarkStart w:id="2537" w:name="_Toc454282806"/>
      <w:bookmarkStart w:id="2538" w:name="_Toc454379716"/>
      <w:bookmarkStart w:id="2539" w:name="_Toc454388543"/>
      <w:bookmarkStart w:id="2540" w:name="_Toc454396635"/>
      <w:bookmarkStart w:id="2541" w:name="_Toc454456411"/>
      <w:bookmarkStart w:id="2542" w:name="_Toc449106216"/>
      <w:bookmarkStart w:id="2543" w:name="_Toc452554538"/>
      <w:bookmarkStart w:id="2544" w:name="_Toc452559220"/>
      <w:bookmarkStart w:id="2545" w:name="_Toc454273161"/>
      <w:bookmarkStart w:id="2546" w:name="_Toc454282807"/>
      <w:bookmarkStart w:id="2547" w:name="_Toc454379717"/>
      <w:bookmarkStart w:id="2548" w:name="_Toc454388544"/>
      <w:bookmarkStart w:id="2549" w:name="_Toc454396636"/>
      <w:bookmarkStart w:id="2550" w:name="_Toc454456412"/>
      <w:bookmarkStart w:id="2551" w:name="_Toc449106217"/>
      <w:bookmarkStart w:id="2552" w:name="_Toc452554539"/>
      <w:bookmarkStart w:id="2553" w:name="_Toc452559221"/>
      <w:bookmarkStart w:id="2554" w:name="_Toc454273162"/>
      <w:bookmarkStart w:id="2555" w:name="_Toc454282808"/>
      <w:bookmarkStart w:id="2556" w:name="_Toc454379718"/>
      <w:bookmarkStart w:id="2557" w:name="_Toc454388545"/>
      <w:bookmarkStart w:id="2558" w:name="_Toc454396637"/>
      <w:bookmarkStart w:id="2559" w:name="_Toc454456413"/>
      <w:bookmarkStart w:id="2560" w:name="_Toc449106218"/>
      <w:bookmarkStart w:id="2561" w:name="_Toc452554540"/>
      <w:bookmarkStart w:id="2562" w:name="_Toc452559222"/>
      <w:bookmarkStart w:id="2563" w:name="_Toc454273163"/>
      <w:bookmarkStart w:id="2564" w:name="_Toc454282809"/>
      <w:bookmarkStart w:id="2565" w:name="_Toc454379719"/>
      <w:bookmarkStart w:id="2566" w:name="_Toc454388546"/>
      <w:bookmarkStart w:id="2567" w:name="_Toc454396638"/>
      <w:bookmarkStart w:id="2568" w:name="_Toc454456414"/>
      <w:bookmarkStart w:id="2569" w:name="_Toc449106315"/>
      <w:bookmarkStart w:id="2570" w:name="_Toc452554637"/>
      <w:bookmarkStart w:id="2571" w:name="_Toc452559319"/>
      <w:bookmarkStart w:id="2572" w:name="_Toc454273260"/>
      <w:bookmarkStart w:id="2573" w:name="_Toc454282906"/>
      <w:bookmarkStart w:id="2574" w:name="_Toc454379816"/>
      <w:bookmarkStart w:id="2575" w:name="_Toc454388643"/>
      <w:bookmarkStart w:id="2576" w:name="_Toc454396735"/>
      <w:bookmarkStart w:id="2577" w:name="_Toc454456511"/>
      <w:bookmarkStart w:id="2578" w:name="_Toc449106316"/>
      <w:bookmarkStart w:id="2579" w:name="_Toc452554638"/>
      <w:bookmarkStart w:id="2580" w:name="_Toc452559320"/>
      <w:bookmarkStart w:id="2581" w:name="_Toc454273261"/>
      <w:bookmarkStart w:id="2582" w:name="_Toc454282907"/>
      <w:bookmarkStart w:id="2583" w:name="_Toc454379817"/>
      <w:bookmarkStart w:id="2584" w:name="_Toc454388644"/>
      <w:bookmarkStart w:id="2585" w:name="_Toc454396736"/>
      <w:bookmarkStart w:id="2586" w:name="_Toc454456512"/>
      <w:bookmarkStart w:id="2587" w:name="_Toc449106317"/>
      <w:bookmarkStart w:id="2588" w:name="_Toc452554639"/>
      <w:bookmarkStart w:id="2589" w:name="_Toc452559321"/>
      <w:bookmarkStart w:id="2590" w:name="_Toc454273262"/>
      <w:bookmarkStart w:id="2591" w:name="_Toc454282908"/>
      <w:bookmarkStart w:id="2592" w:name="_Toc454379818"/>
      <w:bookmarkStart w:id="2593" w:name="_Toc454388645"/>
      <w:bookmarkStart w:id="2594" w:name="_Toc454396737"/>
      <w:bookmarkStart w:id="2595" w:name="_Toc454456513"/>
      <w:bookmarkStart w:id="2596" w:name="_Toc449106318"/>
      <w:bookmarkStart w:id="2597" w:name="_Toc452554640"/>
      <w:bookmarkStart w:id="2598" w:name="_Toc452559322"/>
      <w:bookmarkStart w:id="2599" w:name="_Toc454273263"/>
      <w:bookmarkStart w:id="2600" w:name="_Toc454282909"/>
      <w:bookmarkStart w:id="2601" w:name="_Toc454379819"/>
      <w:bookmarkStart w:id="2602" w:name="_Toc454388646"/>
      <w:bookmarkStart w:id="2603" w:name="_Toc454396738"/>
      <w:bookmarkStart w:id="2604" w:name="_Toc454456514"/>
      <w:bookmarkStart w:id="2605" w:name="_Toc449106373"/>
      <w:bookmarkStart w:id="2606" w:name="_Toc452554695"/>
      <w:bookmarkStart w:id="2607" w:name="_Toc452559377"/>
      <w:bookmarkStart w:id="2608" w:name="_Toc454273318"/>
      <w:bookmarkStart w:id="2609" w:name="_Toc454282964"/>
      <w:bookmarkStart w:id="2610" w:name="_Toc454379874"/>
      <w:bookmarkStart w:id="2611" w:name="_Toc454388701"/>
      <w:bookmarkStart w:id="2612" w:name="_Toc454396793"/>
      <w:bookmarkStart w:id="2613" w:name="_Toc454456569"/>
      <w:bookmarkStart w:id="2614" w:name="_Toc449106374"/>
      <w:bookmarkStart w:id="2615" w:name="_Toc452554696"/>
      <w:bookmarkStart w:id="2616" w:name="_Toc452559378"/>
      <w:bookmarkStart w:id="2617" w:name="_Toc454273319"/>
      <w:bookmarkStart w:id="2618" w:name="_Toc454282965"/>
      <w:bookmarkStart w:id="2619" w:name="_Toc454379875"/>
      <w:bookmarkStart w:id="2620" w:name="_Toc454388702"/>
      <w:bookmarkStart w:id="2621" w:name="_Toc454396794"/>
      <w:bookmarkStart w:id="2622" w:name="_Toc454456570"/>
      <w:bookmarkStart w:id="2623" w:name="_Toc449106375"/>
      <w:bookmarkStart w:id="2624" w:name="_Toc452554697"/>
      <w:bookmarkStart w:id="2625" w:name="_Toc452559379"/>
      <w:bookmarkStart w:id="2626" w:name="_Toc454273320"/>
      <w:bookmarkStart w:id="2627" w:name="_Toc454282966"/>
      <w:bookmarkStart w:id="2628" w:name="_Toc454379876"/>
      <w:bookmarkStart w:id="2629" w:name="_Toc454388703"/>
      <w:bookmarkStart w:id="2630" w:name="_Toc454396795"/>
      <w:bookmarkStart w:id="2631" w:name="_Toc454456571"/>
      <w:bookmarkStart w:id="2632" w:name="_Toc449106376"/>
      <w:bookmarkStart w:id="2633" w:name="_Toc452554698"/>
      <w:bookmarkStart w:id="2634" w:name="_Toc452559380"/>
      <w:bookmarkStart w:id="2635" w:name="_Toc454273321"/>
      <w:bookmarkStart w:id="2636" w:name="_Toc454282967"/>
      <w:bookmarkStart w:id="2637" w:name="_Toc454379877"/>
      <w:bookmarkStart w:id="2638" w:name="_Toc454388704"/>
      <w:bookmarkStart w:id="2639" w:name="_Toc454396796"/>
      <w:bookmarkStart w:id="2640" w:name="_Toc454456572"/>
      <w:bookmarkStart w:id="2641" w:name="_Toc449106449"/>
      <w:bookmarkStart w:id="2642" w:name="_Toc452554771"/>
      <w:bookmarkStart w:id="2643" w:name="_Toc452559453"/>
      <w:bookmarkStart w:id="2644" w:name="_Toc454273394"/>
      <w:bookmarkStart w:id="2645" w:name="_Toc454283040"/>
      <w:bookmarkStart w:id="2646" w:name="_Toc454379950"/>
      <w:bookmarkStart w:id="2647" w:name="_Toc454388777"/>
      <w:bookmarkStart w:id="2648" w:name="_Toc454396869"/>
      <w:bookmarkStart w:id="2649" w:name="_Toc454456645"/>
      <w:bookmarkStart w:id="2650" w:name="_Toc449106450"/>
      <w:bookmarkStart w:id="2651" w:name="_Toc452554772"/>
      <w:bookmarkStart w:id="2652" w:name="_Toc452559454"/>
      <w:bookmarkStart w:id="2653" w:name="_Toc454273395"/>
      <w:bookmarkStart w:id="2654" w:name="_Toc454283041"/>
      <w:bookmarkStart w:id="2655" w:name="_Toc454379951"/>
      <w:bookmarkStart w:id="2656" w:name="_Toc454388778"/>
      <w:bookmarkStart w:id="2657" w:name="_Toc454396870"/>
      <w:bookmarkStart w:id="2658" w:name="_Toc454456646"/>
      <w:bookmarkStart w:id="2659" w:name="_Toc449106451"/>
      <w:bookmarkStart w:id="2660" w:name="_Toc452554773"/>
      <w:bookmarkStart w:id="2661" w:name="_Toc452559455"/>
      <w:bookmarkStart w:id="2662" w:name="_Toc454273396"/>
      <w:bookmarkStart w:id="2663" w:name="_Toc454283042"/>
      <w:bookmarkStart w:id="2664" w:name="_Toc454379952"/>
      <w:bookmarkStart w:id="2665" w:name="_Toc454388779"/>
      <w:bookmarkStart w:id="2666" w:name="_Toc454396871"/>
      <w:bookmarkStart w:id="2667" w:name="_Toc454456647"/>
      <w:bookmarkStart w:id="2668" w:name="_Toc449106452"/>
      <w:bookmarkStart w:id="2669" w:name="_Toc452554774"/>
      <w:bookmarkStart w:id="2670" w:name="_Toc452559456"/>
      <w:bookmarkStart w:id="2671" w:name="_Toc454273397"/>
      <w:bookmarkStart w:id="2672" w:name="_Toc454283043"/>
      <w:bookmarkStart w:id="2673" w:name="_Toc454379953"/>
      <w:bookmarkStart w:id="2674" w:name="_Toc454388780"/>
      <w:bookmarkStart w:id="2675" w:name="_Toc454396872"/>
      <w:bookmarkStart w:id="2676" w:name="_Toc454456648"/>
      <w:bookmarkStart w:id="2677" w:name="_Toc449106522"/>
      <w:bookmarkStart w:id="2678" w:name="_Toc452554844"/>
      <w:bookmarkStart w:id="2679" w:name="_Toc452559526"/>
      <w:bookmarkStart w:id="2680" w:name="_Toc454273467"/>
      <w:bookmarkStart w:id="2681" w:name="_Toc454283113"/>
      <w:bookmarkStart w:id="2682" w:name="_Toc454380023"/>
      <w:bookmarkStart w:id="2683" w:name="_Toc454388850"/>
      <w:bookmarkStart w:id="2684" w:name="_Toc454396942"/>
      <w:bookmarkStart w:id="2685" w:name="_Toc454456718"/>
      <w:bookmarkStart w:id="2686" w:name="_Toc449106523"/>
      <w:bookmarkStart w:id="2687" w:name="_Toc452554845"/>
      <w:bookmarkStart w:id="2688" w:name="_Toc452559527"/>
      <w:bookmarkStart w:id="2689" w:name="_Toc454273468"/>
      <w:bookmarkStart w:id="2690" w:name="_Toc454283114"/>
      <w:bookmarkStart w:id="2691" w:name="_Toc454380024"/>
      <w:bookmarkStart w:id="2692" w:name="_Toc454388851"/>
      <w:bookmarkStart w:id="2693" w:name="_Toc454396943"/>
      <w:bookmarkStart w:id="2694" w:name="_Toc454456719"/>
      <w:bookmarkStart w:id="2695" w:name="_Toc449106524"/>
      <w:bookmarkStart w:id="2696" w:name="_Toc452554846"/>
      <w:bookmarkStart w:id="2697" w:name="_Toc452559528"/>
      <w:bookmarkStart w:id="2698" w:name="_Toc454273469"/>
      <w:bookmarkStart w:id="2699" w:name="_Toc454283115"/>
      <w:bookmarkStart w:id="2700" w:name="_Toc454380025"/>
      <w:bookmarkStart w:id="2701" w:name="_Toc454388852"/>
      <w:bookmarkStart w:id="2702" w:name="_Toc454396944"/>
      <w:bookmarkStart w:id="2703" w:name="_Toc454456720"/>
      <w:bookmarkStart w:id="2704" w:name="_Toc449106525"/>
      <w:bookmarkStart w:id="2705" w:name="_Toc452554847"/>
      <w:bookmarkStart w:id="2706" w:name="_Toc452559529"/>
      <w:bookmarkStart w:id="2707" w:name="_Toc454273470"/>
      <w:bookmarkStart w:id="2708" w:name="_Toc454283116"/>
      <w:bookmarkStart w:id="2709" w:name="_Toc454380026"/>
      <w:bookmarkStart w:id="2710" w:name="_Toc454388853"/>
      <w:bookmarkStart w:id="2711" w:name="_Toc454396945"/>
      <w:bookmarkStart w:id="2712" w:name="_Toc454456721"/>
      <w:bookmarkStart w:id="2713" w:name="_Toc449106618"/>
      <w:bookmarkStart w:id="2714" w:name="_Toc452554940"/>
      <w:bookmarkStart w:id="2715" w:name="_Toc452559622"/>
      <w:bookmarkStart w:id="2716" w:name="_Toc454273563"/>
      <w:bookmarkStart w:id="2717" w:name="_Toc454283209"/>
      <w:bookmarkStart w:id="2718" w:name="_Toc454380119"/>
      <w:bookmarkStart w:id="2719" w:name="_Toc454388946"/>
      <w:bookmarkStart w:id="2720" w:name="_Toc454397038"/>
      <w:bookmarkStart w:id="2721" w:name="_Toc454456814"/>
      <w:bookmarkStart w:id="2722" w:name="_Toc449106619"/>
      <w:bookmarkStart w:id="2723" w:name="_Toc452554941"/>
      <w:bookmarkStart w:id="2724" w:name="_Toc452559623"/>
      <w:bookmarkStart w:id="2725" w:name="_Toc454273564"/>
      <w:bookmarkStart w:id="2726" w:name="_Toc454283210"/>
      <w:bookmarkStart w:id="2727" w:name="_Toc454380120"/>
      <w:bookmarkStart w:id="2728" w:name="_Toc454388947"/>
      <w:bookmarkStart w:id="2729" w:name="_Toc454397039"/>
      <w:bookmarkStart w:id="2730" w:name="_Toc454456815"/>
      <w:bookmarkStart w:id="2731" w:name="_Toc449106620"/>
      <w:bookmarkStart w:id="2732" w:name="_Toc452554942"/>
      <w:bookmarkStart w:id="2733" w:name="_Toc452559624"/>
      <w:bookmarkStart w:id="2734" w:name="_Toc454273565"/>
      <w:bookmarkStart w:id="2735" w:name="_Toc454283211"/>
      <w:bookmarkStart w:id="2736" w:name="_Toc454380121"/>
      <w:bookmarkStart w:id="2737" w:name="_Toc454388948"/>
      <w:bookmarkStart w:id="2738" w:name="_Toc454397040"/>
      <w:bookmarkStart w:id="2739" w:name="_Toc454456816"/>
      <w:bookmarkStart w:id="2740" w:name="_Toc449106753"/>
      <w:bookmarkStart w:id="2741" w:name="_Toc452555075"/>
      <w:bookmarkStart w:id="2742" w:name="_Toc452559757"/>
      <w:bookmarkStart w:id="2743" w:name="_Toc454273698"/>
      <w:bookmarkStart w:id="2744" w:name="_Toc454283344"/>
      <w:bookmarkStart w:id="2745" w:name="_Toc454380254"/>
      <w:bookmarkStart w:id="2746" w:name="_Toc454389081"/>
      <w:bookmarkStart w:id="2747" w:name="_Toc454397173"/>
      <w:bookmarkStart w:id="2748" w:name="_Toc454456949"/>
      <w:bookmarkStart w:id="2749" w:name="_Toc449106754"/>
      <w:bookmarkStart w:id="2750" w:name="_Toc452555076"/>
      <w:bookmarkStart w:id="2751" w:name="_Toc452559758"/>
      <w:bookmarkStart w:id="2752" w:name="_Toc454273699"/>
      <w:bookmarkStart w:id="2753" w:name="_Toc454283345"/>
      <w:bookmarkStart w:id="2754" w:name="_Toc454380255"/>
      <w:bookmarkStart w:id="2755" w:name="_Toc454389082"/>
      <w:bookmarkStart w:id="2756" w:name="_Toc454397174"/>
      <w:bookmarkStart w:id="2757" w:name="_Toc454456950"/>
      <w:bookmarkStart w:id="2758" w:name="_Toc449106755"/>
      <w:bookmarkStart w:id="2759" w:name="_Toc452555077"/>
      <w:bookmarkStart w:id="2760" w:name="_Toc452559759"/>
      <w:bookmarkStart w:id="2761" w:name="_Toc454273700"/>
      <w:bookmarkStart w:id="2762" w:name="_Toc454283346"/>
      <w:bookmarkStart w:id="2763" w:name="_Toc454380256"/>
      <w:bookmarkStart w:id="2764" w:name="_Toc454389083"/>
      <w:bookmarkStart w:id="2765" w:name="_Toc454397175"/>
      <w:bookmarkStart w:id="2766" w:name="_Toc454456951"/>
      <w:bookmarkStart w:id="2767" w:name="_Toc449106756"/>
      <w:bookmarkStart w:id="2768" w:name="_Toc452555078"/>
      <w:bookmarkStart w:id="2769" w:name="_Toc452559760"/>
      <w:bookmarkStart w:id="2770" w:name="_Toc454273701"/>
      <w:bookmarkStart w:id="2771" w:name="_Toc454283347"/>
      <w:bookmarkStart w:id="2772" w:name="_Toc454380257"/>
      <w:bookmarkStart w:id="2773" w:name="_Toc454389084"/>
      <w:bookmarkStart w:id="2774" w:name="_Toc454397176"/>
      <w:bookmarkStart w:id="2775" w:name="_Toc454456952"/>
      <w:bookmarkStart w:id="2776" w:name="_Toc449106933"/>
      <w:bookmarkStart w:id="2777" w:name="_Toc452555255"/>
      <w:bookmarkStart w:id="2778" w:name="_Toc452559937"/>
      <w:bookmarkStart w:id="2779" w:name="_Toc454273878"/>
      <w:bookmarkStart w:id="2780" w:name="_Toc454283524"/>
      <w:bookmarkStart w:id="2781" w:name="_Toc454380434"/>
      <w:bookmarkStart w:id="2782" w:name="_Toc454389261"/>
      <w:bookmarkStart w:id="2783" w:name="_Toc454397353"/>
      <w:bookmarkStart w:id="2784" w:name="_Toc454457129"/>
      <w:bookmarkStart w:id="2785" w:name="_Toc449106934"/>
      <w:bookmarkStart w:id="2786" w:name="_Toc452555256"/>
      <w:bookmarkStart w:id="2787" w:name="_Toc452559938"/>
      <w:bookmarkStart w:id="2788" w:name="_Toc454273879"/>
      <w:bookmarkStart w:id="2789" w:name="_Toc454283525"/>
      <w:bookmarkStart w:id="2790" w:name="_Toc454380435"/>
      <w:bookmarkStart w:id="2791" w:name="_Toc454389262"/>
      <w:bookmarkStart w:id="2792" w:name="_Toc454397354"/>
      <w:bookmarkStart w:id="2793" w:name="_Toc454457130"/>
      <w:bookmarkStart w:id="2794" w:name="_Toc449106935"/>
      <w:bookmarkStart w:id="2795" w:name="_Toc452555257"/>
      <w:bookmarkStart w:id="2796" w:name="_Toc452559939"/>
      <w:bookmarkStart w:id="2797" w:name="_Toc454273880"/>
      <w:bookmarkStart w:id="2798" w:name="_Toc454283526"/>
      <w:bookmarkStart w:id="2799" w:name="_Toc454380436"/>
      <w:bookmarkStart w:id="2800" w:name="_Toc454389263"/>
      <w:bookmarkStart w:id="2801" w:name="_Toc454397355"/>
      <w:bookmarkStart w:id="2802" w:name="_Toc454457131"/>
      <w:bookmarkStart w:id="2803" w:name="_Toc449107134"/>
      <w:bookmarkStart w:id="2804" w:name="_Toc452555456"/>
      <w:bookmarkStart w:id="2805" w:name="_Toc452560138"/>
      <w:bookmarkStart w:id="2806" w:name="_Toc454274079"/>
      <w:bookmarkStart w:id="2807" w:name="_Toc454283725"/>
      <w:bookmarkStart w:id="2808" w:name="_Toc454380635"/>
      <w:bookmarkStart w:id="2809" w:name="_Toc454389462"/>
      <w:bookmarkStart w:id="2810" w:name="_Toc454397554"/>
      <w:bookmarkStart w:id="2811" w:name="_Toc454457330"/>
      <w:bookmarkStart w:id="2812" w:name="_Toc449107135"/>
      <w:bookmarkStart w:id="2813" w:name="_Toc452555457"/>
      <w:bookmarkStart w:id="2814" w:name="_Toc452560139"/>
      <w:bookmarkStart w:id="2815" w:name="_Toc454274080"/>
      <w:bookmarkStart w:id="2816" w:name="_Toc454283726"/>
      <w:bookmarkStart w:id="2817" w:name="_Toc454380636"/>
      <w:bookmarkStart w:id="2818" w:name="_Toc454389463"/>
      <w:bookmarkStart w:id="2819" w:name="_Toc454397555"/>
      <w:bookmarkStart w:id="2820" w:name="_Toc454457331"/>
      <w:bookmarkStart w:id="2821" w:name="_Toc449107136"/>
      <w:bookmarkStart w:id="2822" w:name="_Toc452555458"/>
      <w:bookmarkStart w:id="2823" w:name="_Toc452560140"/>
      <w:bookmarkStart w:id="2824" w:name="_Toc454274081"/>
      <w:bookmarkStart w:id="2825" w:name="_Toc454283727"/>
      <w:bookmarkStart w:id="2826" w:name="_Toc454380637"/>
      <w:bookmarkStart w:id="2827" w:name="_Toc454389464"/>
      <w:bookmarkStart w:id="2828" w:name="_Toc454397556"/>
      <w:bookmarkStart w:id="2829" w:name="_Toc454457332"/>
      <w:bookmarkStart w:id="2830" w:name="_Toc449107137"/>
      <w:bookmarkStart w:id="2831" w:name="_Toc452555459"/>
      <w:bookmarkStart w:id="2832" w:name="_Toc452560141"/>
      <w:bookmarkStart w:id="2833" w:name="_Toc454274082"/>
      <w:bookmarkStart w:id="2834" w:name="_Toc454283728"/>
      <w:bookmarkStart w:id="2835" w:name="_Toc454380638"/>
      <w:bookmarkStart w:id="2836" w:name="_Toc454389465"/>
      <w:bookmarkStart w:id="2837" w:name="_Toc454397557"/>
      <w:bookmarkStart w:id="2838" w:name="_Toc454457333"/>
      <w:bookmarkStart w:id="2839" w:name="_Toc449107402"/>
      <w:bookmarkStart w:id="2840" w:name="_Toc452555724"/>
      <w:bookmarkStart w:id="2841" w:name="_Toc452560406"/>
      <w:bookmarkStart w:id="2842" w:name="_Toc454274347"/>
      <w:bookmarkStart w:id="2843" w:name="_Toc454283993"/>
      <w:bookmarkStart w:id="2844" w:name="_Toc454380903"/>
      <w:bookmarkStart w:id="2845" w:name="_Toc454389730"/>
      <w:bookmarkStart w:id="2846" w:name="_Toc454397822"/>
      <w:bookmarkStart w:id="2847" w:name="_Toc454457598"/>
      <w:bookmarkStart w:id="2848" w:name="_Toc449107403"/>
      <w:bookmarkStart w:id="2849" w:name="_Toc452555725"/>
      <w:bookmarkStart w:id="2850" w:name="_Toc452560407"/>
      <w:bookmarkStart w:id="2851" w:name="_Toc454274348"/>
      <w:bookmarkStart w:id="2852" w:name="_Toc454283994"/>
      <w:bookmarkStart w:id="2853" w:name="_Toc454380904"/>
      <w:bookmarkStart w:id="2854" w:name="_Toc454389731"/>
      <w:bookmarkStart w:id="2855" w:name="_Toc454397823"/>
      <w:bookmarkStart w:id="2856" w:name="_Toc454457599"/>
      <w:bookmarkStart w:id="2857" w:name="_Toc449107404"/>
      <w:bookmarkStart w:id="2858" w:name="_Toc452555726"/>
      <w:bookmarkStart w:id="2859" w:name="_Toc452560408"/>
      <w:bookmarkStart w:id="2860" w:name="_Toc454274349"/>
      <w:bookmarkStart w:id="2861" w:name="_Toc454283995"/>
      <w:bookmarkStart w:id="2862" w:name="_Toc454380905"/>
      <w:bookmarkStart w:id="2863" w:name="_Toc454389732"/>
      <w:bookmarkStart w:id="2864" w:name="_Toc454397824"/>
      <w:bookmarkStart w:id="2865" w:name="_Toc454457600"/>
      <w:bookmarkStart w:id="2866" w:name="_Toc449107405"/>
      <w:bookmarkStart w:id="2867" w:name="_Toc452555727"/>
      <w:bookmarkStart w:id="2868" w:name="_Toc452560409"/>
      <w:bookmarkStart w:id="2869" w:name="_Toc454274350"/>
      <w:bookmarkStart w:id="2870" w:name="_Toc454283996"/>
      <w:bookmarkStart w:id="2871" w:name="_Toc454380906"/>
      <w:bookmarkStart w:id="2872" w:name="_Toc454389733"/>
      <w:bookmarkStart w:id="2873" w:name="_Toc454397825"/>
      <w:bookmarkStart w:id="2874" w:name="_Toc454457601"/>
      <w:bookmarkStart w:id="2875" w:name="_Toc449107406"/>
      <w:bookmarkStart w:id="2876" w:name="_Toc452555728"/>
      <w:bookmarkStart w:id="2877" w:name="_Toc452560410"/>
      <w:bookmarkStart w:id="2878" w:name="_Toc454274351"/>
      <w:bookmarkStart w:id="2879" w:name="_Toc454283997"/>
      <w:bookmarkStart w:id="2880" w:name="_Toc454380907"/>
      <w:bookmarkStart w:id="2881" w:name="_Toc454389734"/>
      <w:bookmarkStart w:id="2882" w:name="_Toc454397826"/>
      <w:bookmarkStart w:id="2883" w:name="_Toc454457602"/>
      <w:bookmarkStart w:id="2884" w:name="_Toc449107518"/>
      <w:bookmarkStart w:id="2885" w:name="_Toc452555840"/>
      <w:bookmarkStart w:id="2886" w:name="_Toc452560522"/>
      <w:bookmarkStart w:id="2887" w:name="_Toc454274463"/>
      <w:bookmarkStart w:id="2888" w:name="_Toc454284109"/>
      <w:bookmarkStart w:id="2889" w:name="_Toc454381019"/>
      <w:bookmarkStart w:id="2890" w:name="_Toc454389846"/>
      <w:bookmarkStart w:id="2891" w:name="_Toc454397938"/>
      <w:bookmarkStart w:id="2892" w:name="_Toc454457714"/>
      <w:bookmarkStart w:id="2893" w:name="_Toc449107519"/>
      <w:bookmarkStart w:id="2894" w:name="_Toc452555841"/>
      <w:bookmarkStart w:id="2895" w:name="_Toc452560523"/>
      <w:bookmarkStart w:id="2896" w:name="_Toc454274464"/>
      <w:bookmarkStart w:id="2897" w:name="_Toc454284110"/>
      <w:bookmarkStart w:id="2898" w:name="_Toc454381020"/>
      <w:bookmarkStart w:id="2899" w:name="_Toc454389847"/>
      <w:bookmarkStart w:id="2900" w:name="_Toc454397939"/>
      <w:bookmarkStart w:id="2901" w:name="_Toc454457715"/>
      <w:bookmarkStart w:id="2902" w:name="_Toc449107520"/>
      <w:bookmarkStart w:id="2903" w:name="_Toc452555842"/>
      <w:bookmarkStart w:id="2904" w:name="_Toc452560524"/>
      <w:bookmarkStart w:id="2905" w:name="_Toc454274465"/>
      <w:bookmarkStart w:id="2906" w:name="_Toc454284111"/>
      <w:bookmarkStart w:id="2907" w:name="_Toc454381021"/>
      <w:bookmarkStart w:id="2908" w:name="_Toc454389848"/>
      <w:bookmarkStart w:id="2909" w:name="_Toc454397940"/>
      <w:bookmarkStart w:id="2910" w:name="_Toc454457716"/>
      <w:bookmarkStart w:id="2911" w:name="_Toc449107521"/>
      <w:bookmarkStart w:id="2912" w:name="_Toc452555843"/>
      <w:bookmarkStart w:id="2913" w:name="_Toc452560525"/>
      <w:bookmarkStart w:id="2914" w:name="_Toc454274466"/>
      <w:bookmarkStart w:id="2915" w:name="_Toc454284112"/>
      <w:bookmarkStart w:id="2916" w:name="_Toc454381022"/>
      <w:bookmarkStart w:id="2917" w:name="_Toc454389849"/>
      <w:bookmarkStart w:id="2918" w:name="_Toc454397941"/>
      <w:bookmarkEnd w:id="1727"/>
      <w:bookmarkEnd w:id="1762"/>
      <w:bookmarkEnd w:id="1763"/>
      <w:bookmarkEnd w:id="1764"/>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36"/>
        <w:gridCol w:w="6986"/>
      </w:tblGrid>
      <w:tr w:rsidR="00A052DC" w14:paraId="5FA76100" w14:textId="77777777">
        <w:tc>
          <w:tcPr>
            <w:tcW w:w="901" w:type="pct"/>
          </w:tcPr>
          <w:p w14:paraId="32B94A4C" w14:textId="77777777" w:rsidR="00A052DC" w:rsidRDefault="009F0A60">
            <w:pPr>
              <w:jc w:val="center"/>
              <w:rPr>
                <w:rFonts w:ascii="黑体" w:eastAsia="黑体" w:hAnsi="黑体"/>
                <w:b/>
                <w:sz w:val="20"/>
                <w:szCs w:val="20"/>
              </w:rPr>
            </w:pPr>
            <w:r>
              <w:rPr>
                <w:rFonts w:ascii="黑体" w:eastAsia="黑体" w:hAnsi="黑体" w:hint="eastAsia"/>
                <w:b/>
                <w:sz w:val="20"/>
                <w:szCs w:val="20"/>
              </w:rPr>
              <w:t>基础数据项</w:t>
            </w:r>
          </w:p>
        </w:tc>
        <w:tc>
          <w:tcPr>
            <w:tcW w:w="4099" w:type="pct"/>
          </w:tcPr>
          <w:p w14:paraId="096415DC" w14:textId="77777777" w:rsidR="00A052DC" w:rsidRDefault="009F0A60">
            <w:pPr>
              <w:jc w:val="center"/>
              <w:rPr>
                <w:rFonts w:ascii="黑体" w:eastAsia="黑体" w:hAnsi="黑体"/>
                <w:b/>
                <w:sz w:val="20"/>
                <w:szCs w:val="20"/>
              </w:rPr>
            </w:pPr>
            <w:r>
              <w:rPr>
                <w:rFonts w:ascii="黑体" w:eastAsia="黑体" w:hAnsi="黑体" w:hint="eastAsia"/>
                <w:b/>
                <w:sz w:val="20"/>
                <w:szCs w:val="20"/>
              </w:rPr>
              <w:t>定义</w:t>
            </w:r>
          </w:p>
        </w:tc>
      </w:tr>
      <w:tr w:rsidR="00A052DC" w14:paraId="332D915B" w14:textId="77777777">
        <w:tc>
          <w:tcPr>
            <w:tcW w:w="901" w:type="pct"/>
          </w:tcPr>
          <w:p w14:paraId="3341332A" w14:textId="77777777" w:rsidR="00A052DC" w:rsidRDefault="009F0A60">
            <w:pPr>
              <w:rPr>
                <w:rFonts w:ascii="黑体" w:eastAsia="黑体" w:hAnsi="黑体"/>
                <w:sz w:val="20"/>
                <w:szCs w:val="20"/>
              </w:rPr>
            </w:pPr>
            <w:r>
              <w:rPr>
                <w:rFonts w:ascii="黑体" w:eastAsia="黑体" w:hAnsi="黑体" w:hint="eastAsia"/>
                <w:sz w:val="20"/>
                <w:szCs w:val="20"/>
              </w:rPr>
              <w:t>业务编号</w:t>
            </w:r>
          </w:p>
        </w:tc>
        <w:tc>
          <w:tcPr>
            <w:tcW w:w="4099" w:type="pct"/>
          </w:tcPr>
          <w:p w14:paraId="675496E4" w14:textId="77777777" w:rsidR="00A052DC" w:rsidRDefault="009F0A60">
            <w:pPr>
              <w:rPr>
                <w:rFonts w:ascii="黑体" w:eastAsia="黑体" w:hAnsi="黑体"/>
                <w:sz w:val="20"/>
                <w:szCs w:val="20"/>
              </w:rPr>
            </w:pPr>
            <w:r>
              <w:rPr>
                <w:rFonts w:ascii="黑体" w:eastAsia="黑体" w:hAnsi="黑体" w:hint="eastAsia"/>
                <w:sz w:val="20"/>
                <w:szCs w:val="20"/>
              </w:rPr>
              <w:t>外汇局签发的境内个人参与境外上市股权激励计划业务编号。</w:t>
            </w:r>
          </w:p>
        </w:tc>
      </w:tr>
      <w:tr w:rsidR="00A052DC" w14:paraId="2184C8C2" w14:textId="77777777">
        <w:tc>
          <w:tcPr>
            <w:tcW w:w="901" w:type="pct"/>
          </w:tcPr>
          <w:p w14:paraId="762E1271" w14:textId="77777777" w:rsidR="00A052DC" w:rsidRDefault="009F0A60">
            <w:pPr>
              <w:rPr>
                <w:rFonts w:ascii="黑体" w:eastAsia="黑体" w:hAnsi="黑体"/>
                <w:sz w:val="20"/>
                <w:szCs w:val="20"/>
              </w:rPr>
            </w:pPr>
            <w:r>
              <w:rPr>
                <w:rFonts w:ascii="黑体" w:eastAsia="黑体" w:hAnsi="黑体" w:hint="eastAsia"/>
                <w:sz w:val="20"/>
                <w:szCs w:val="20"/>
              </w:rPr>
              <w:t>开户银行代码</w:t>
            </w:r>
          </w:p>
        </w:tc>
        <w:tc>
          <w:tcPr>
            <w:tcW w:w="4099" w:type="pct"/>
          </w:tcPr>
          <w:p w14:paraId="608676B4" w14:textId="77777777" w:rsidR="00A052DC" w:rsidRDefault="009F0A60">
            <w:pPr>
              <w:rPr>
                <w:rFonts w:ascii="黑体" w:eastAsia="黑体" w:hAnsi="黑体"/>
                <w:sz w:val="20"/>
                <w:szCs w:val="20"/>
              </w:rPr>
            </w:pPr>
            <w:r>
              <w:rPr>
                <w:rFonts w:ascii="黑体" w:eastAsia="黑体" w:hAnsi="黑体" w:hint="eastAsia"/>
                <w:sz w:val="20"/>
                <w:szCs w:val="20"/>
              </w:rPr>
              <w:t>国家外汇管理局及其分支局签发给境内开户银行的</w:t>
            </w:r>
            <w:r>
              <w:rPr>
                <w:rFonts w:ascii="黑体" w:eastAsia="黑体" w:hAnsi="黑体"/>
                <w:sz w:val="20"/>
                <w:szCs w:val="20"/>
              </w:rPr>
              <w:t>12</w:t>
            </w:r>
            <w:r>
              <w:rPr>
                <w:rFonts w:ascii="黑体" w:eastAsia="黑体" w:hAnsi="黑体" w:hint="eastAsia"/>
                <w:sz w:val="20"/>
                <w:szCs w:val="20"/>
              </w:rPr>
              <w:t>位金融机构标识码。</w:t>
            </w:r>
          </w:p>
        </w:tc>
      </w:tr>
      <w:tr w:rsidR="00A052DC" w14:paraId="0B762980" w14:textId="77777777">
        <w:tc>
          <w:tcPr>
            <w:tcW w:w="901" w:type="pct"/>
          </w:tcPr>
          <w:p w14:paraId="7E168D7E" w14:textId="77777777" w:rsidR="00A052DC" w:rsidRDefault="009F0A60">
            <w:pPr>
              <w:rPr>
                <w:rFonts w:ascii="黑体" w:eastAsia="黑体" w:hAnsi="黑体"/>
                <w:sz w:val="20"/>
                <w:szCs w:val="20"/>
              </w:rPr>
            </w:pPr>
            <w:r>
              <w:rPr>
                <w:rFonts w:ascii="黑体" w:eastAsia="黑体" w:hAnsi="黑体" w:hint="eastAsia"/>
                <w:sz w:val="20"/>
                <w:szCs w:val="20"/>
              </w:rPr>
              <w:t>开户境内代理机构代码</w:t>
            </w:r>
          </w:p>
        </w:tc>
        <w:tc>
          <w:tcPr>
            <w:tcW w:w="4099" w:type="pct"/>
          </w:tcPr>
          <w:p w14:paraId="423F24DE" w14:textId="77777777" w:rsidR="00A052DC" w:rsidRDefault="009F0A60">
            <w:pPr>
              <w:rPr>
                <w:rFonts w:ascii="黑体" w:eastAsia="黑体" w:hAnsi="黑体"/>
                <w:sz w:val="20"/>
                <w:szCs w:val="20"/>
              </w:rPr>
            </w:pPr>
            <w:r>
              <w:rPr>
                <w:rFonts w:ascii="黑体" w:eastAsia="黑体" w:hAnsi="黑体" w:hint="eastAsia"/>
                <w:sz w:val="20"/>
                <w:szCs w:val="20"/>
              </w:rPr>
              <w:t>指国家工商行政管理总局颁发的统一社会信用代码的第9至17位（原组织机构代码）。</w:t>
            </w:r>
          </w:p>
        </w:tc>
      </w:tr>
      <w:tr w:rsidR="00A052DC" w14:paraId="542F47B5" w14:textId="77777777">
        <w:trPr>
          <w:cantSplit/>
        </w:trPr>
        <w:tc>
          <w:tcPr>
            <w:tcW w:w="901" w:type="pct"/>
          </w:tcPr>
          <w:p w14:paraId="4F22C69A" w14:textId="77777777" w:rsidR="00A052DC" w:rsidRDefault="009F0A60">
            <w:pPr>
              <w:rPr>
                <w:rFonts w:ascii="黑体" w:eastAsia="黑体" w:hAnsi="黑体"/>
                <w:sz w:val="20"/>
                <w:szCs w:val="20"/>
              </w:rPr>
            </w:pPr>
            <w:r>
              <w:rPr>
                <w:rFonts w:ascii="黑体" w:eastAsia="黑体" w:hAnsi="黑体" w:hint="eastAsia"/>
                <w:sz w:val="20"/>
                <w:szCs w:val="20"/>
              </w:rPr>
              <w:t>境内专用外汇账户账号</w:t>
            </w:r>
          </w:p>
        </w:tc>
        <w:tc>
          <w:tcPr>
            <w:tcW w:w="4099" w:type="pct"/>
          </w:tcPr>
          <w:p w14:paraId="0429D725" w14:textId="77777777" w:rsidR="00A052DC" w:rsidRDefault="009F0A60">
            <w:pPr>
              <w:rPr>
                <w:rFonts w:ascii="黑体" w:eastAsia="黑体" w:hAnsi="黑体"/>
                <w:sz w:val="20"/>
                <w:szCs w:val="20"/>
              </w:rPr>
            </w:pPr>
            <w:r>
              <w:rPr>
                <w:rFonts w:ascii="黑体" w:eastAsia="黑体" w:hAnsi="黑体" w:hint="eastAsia"/>
                <w:sz w:val="20"/>
                <w:szCs w:val="20"/>
              </w:rPr>
              <w:t>境内个人参与境外上市公司股权激励计划境内专用外汇账户银行账号。</w:t>
            </w:r>
          </w:p>
        </w:tc>
      </w:tr>
      <w:tr w:rsidR="00A052DC" w14:paraId="789A73EA" w14:textId="77777777">
        <w:trPr>
          <w:cantSplit/>
        </w:trPr>
        <w:tc>
          <w:tcPr>
            <w:tcW w:w="901" w:type="pct"/>
          </w:tcPr>
          <w:p w14:paraId="34DEDD78" w14:textId="77777777" w:rsidR="00A052DC" w:rsidRDefault="009F0A60">
            <w:pPr>
              <w:rPr>
                <w:rFonts w:ascii="黑体" w:eastAsia="黑体" w:hAnsi="黑体"/>
                <w:sz w:val="20"/>
                <w:szCs w:val="20"/>
              </w:rPr>
            </w:pPr>
            <w:r>
              <w:rPr>
                <w:rFonts w:ascii="黑体" w:eastAsia="黑体" w:hAnsi="黑体" w:hint="eastAsia"/>
                <w:sz w:val="20"/>
                <w:szCs w:val="20"/>
              </w:rPr>
              <w:t>关户日期</w:t>
            </w:r>
          </w:p>
        </w:tc>
        <w:tc>
          <w:tcPr>
            <w:tcW w:w="4099" w:type="pct"/>
          </w:tcPr>
          <w:p w14:paraId="64E321F4" w14:textId="77777777" w:rsidR="00A052DC" w:rsidRDefault="009F0A60">
            <w:pPr>
              <w:rPr>
                <w:rFonts w:ascii="黑体" w:eastAsia="黑体" w:hAnsi="黑体"/>
                <w:sz w:val="20"/>
                <w:szCs w:val="20"/>
              </w:rPr>
            </w:pPr>
            <w:r>
              <w:rPr>
                <w:rFonts w:ascii="黑体" w:eastAsia="黑体" w:hAnsi="黑体" w:hint="eastAsia"/>
                <w:sz w:val="20"/>
                <w:szCs w:val="20"/>
              </w:rPr>
              <w:t>境内个人参与境外上市公司股权激励计划境内专用外汇账户关户日期。</w:t>
            </w:r>
          </w:p>
        </w:tc>
      </w:tr>
      <w:tr w:rsidR="00A052DC" w14:paraId="03E65AAA" w14:textId="77777777">
        <w:trPr>
          <w:cantSplit/>
        </w:trPr>
        <w:tc>
          <w:tcPr>
            <w:tcW w:w="901" w:type="pct"/>
          </w:tcPr>
          <w:p w14:paraId="585DD5E3" w14:textId="77777777" w:rsidR="00A052DC" w:rsidRDefault="009F0A60">
            <w:pPr>
              <w:rPr>
                <w:rFonts w:ascii="黑体" w:eastAsia="黑体" w:hAnsi="黑体"/>
                <w:sz w:val="20"/>
                <w:szCs w:val="20"/>
              </w:rPr>
            </w:pPr>
            <w:r>
              <w:rPr>
                <w:rFonts w:ascii="黑体" w:eastAsia="黑体" w:hAnsi="黑体" w:hint="eastAsia"/>
                <w:sz w:val="20"/>
                <w:szCs w:val="20"/>
              </w:rPr>
              <w:t>关户原因</w:t>
            </w:r>
          </w:p>
        </w:tc>
        <w:tc>
          <w:tcPr>
            <w:tcW w:w="4099" w:type="pct"/>
          </w:tcPr>
          <w:p w14:paraId="22E3454D" w14:textId="77777777" w:rsidR="00A052DC" w:rsidRDefault="009F0A60">
            <w:pPr>
              <w:rPr>
                <w:rFonts w:ascii="黑体" w:eastAsia="黑体" w:hAnsi="黑体"/>
                <w:sz w:val="20"/>
                <w:szCs w:val="20"/>
              </w:rPr>
            </w:pPr>
            <w:r>
              <w:rPr>
                <w:rFonts w:ascii="黑体" w:eastAsia="黑体" w:hAnsi="黑体" w:hint="eastAsia"/>
                <w:sz w:val="20"/>
                <w:szCs w:val="20"/>
              </w:rPr>
              <w:t>境内个人参与境外上市公司股权激励计划境内专用外汇账户关户原因，提供关户原因类型代码，银行填报代码。</w:t>
            </w:r>
          </w:p>
        </w:tc>
      </w:tr>
      <w:tr w:rsidR="00A052DC" w14:paraId="7D56ACE5" w14:textId="77777777">
        <w:trPr>
          <w:cantSplit/>
        </w:trPr>
        <w:tc>
          <w:tcPr>
            <w:tcW w:w="901" w:type="pct"/>
          </w:tcPr>
          <w:p w14:paraId="3730EE5F" w14:textId="77777777" w:rsidR="00A052DC" w:rsidRDefault="009F0A60">
            <w:pPr>
              <w:rPr>
                <w:rFonts w:ascii="黑体" w:eastAsia="黑体" w:hAnsi="黑体"/>
                <w:sz w:val="20"/>
                <w:szCs w:val="20"/>
              </w:rPr>
            </w:pPr>
            <w:r>
              <w:rPr>
                <w:rFonts w:ascii="黑体" w:eastAsia="黑体" w:hAnsi="黑体" w:hint="eastAsia"/>
                <w:sz w:val="20"/>
                <w:szCs w:val="20"/>
              </w:rPr>
              <w:t>关户后资金处置类型</w:t>
            </w:r>
          </w:p>
        </w:tc>
        <w:tc>
          <w:tcPr>
            <w:tcW w:w="4099" w:type="pct"/>
          </w:tcPr>
          <w:p w14:paraId="6B357858" w14:textId="77777777" w:rsidR="00A052DC" w:rsidRDefault="009F0A60">
            <w:pPr>
              <w:rPr>
                <w:rFonts w:ascii="黑体" w:eastAsia="黑体" w:hAnsi="黑体"/>
                <w:sz w:val="20"/>
                <w:szCs w:val="20"/>
              </w:rPr>
            </w:pPr>
            <w:r>
              <w:rPr>
                <w:rFonts w:ascii="黑体" w:eastAsia="黑体" w:hAnsi="黑体" w:hint="eastAsia"/>
                <w:sz w:val="20"/>
                <w:szCs w:val="20"/>
              </w:rPr>
              <w:t>境内个人参与境外上市公司股权激励计划境内专用外汇账户关户后，账户内剩余资金处置类型代码，见关户后资金处置类型代码。</w:t>
            </w:r>
          </w:p>
        </w:tc>
      </w:tr>
      <w:tr w:rsidR="00A052DC" w14:paraId="5F4CC46A" w14:textId="77777777">
        <w:trPr>
          <w:cantSplit/>
        </w:trPr>
        <w:tc>
          <w:tcPr>
            <w:tcW w:w="901" w:type="pct"/>
          </w:tcPr>
          <w:p w14:paraId="0133C0CF" w14:textId="77777777" w:rsidR="00A052DC" w:rsidRDefault="009F0A60">
            <w:pPr>
              <w:rPr>
                <w:rFonts w:ascii="黑体" w:eastAsia="黑体" w:hAnsi="黑体"/>
                <w:sz w:val="20"/>
                <w:szCs w:val="20"/>
              </w:rPr>
            </w:pPr>
            <w:r>
              <w:rPr>
                <w:rFonts w:ascii="黑体" w:eastAsia="黑体" w:hAnsi="黑体" w:hint="eastAsia"/>
                <w:sz w:val="20"/>
                <w:szCs w:val="20"/>
              </w:rPr>
              <w:t>结汇所得人民币资金划往的账户开户行代码</w:t>
            </w:r>
          </w:p>
        </w:tc>
        <w:tc>
          <w:tcPr>
            <w:tcW w:w="4099" w:type="pct"/>
          </w:tcPr>
          <w:p w14:paraId="3978832A" w14:textId="77777777" w:rsidR="00A052DC" w:rsidRDefault="009F0A60">
            <w:pPr>
              <w:rPr>
                <w:rFonts w:ascii="黑体" w:eastAsia="黑体" w:hAnsi="黑体"/>
                <w:sz w:val="20"/>
                <w:szCs w:val="20"/>
              </w:rPr>
            </w:pPr>
            <w:r>
              <w:rPr>
                <w:rFonts w:ascii="黑体" w:eastAsia="黑体" w:hAnsi="黑体" w:hint="eastAsia"/>
                <w:sz w:val="20"/>
                <w:szCs w:val="20"/>
              </w:rPr>
              <w:t>境内个人参与境外上市公司股权激励计划境内专用外汇账户关户后，账户内剩余资金结汇后划往境内账户的开户行代码，即国家外汇管理局及其分支局签发给给该收款银行的</w:t>
            </w:r>
            <w:r>
              <w:rPr>
                <w:rFonts w:ascii="黑体" w:eastAsia="黑体" w:hAnsi="黑体"/>
                <w:sz w:val="20"/>
                <w:szCs w:val="20"/>
              </w:rPr>
              <w:t>12</w:t>
            </w:r>
            <w:r>
              <w:rPr>
                <w:rFonts w:ascii="黑体" w:eastAsia="黑体" w:hAnsi="黑体" w:hint="eastAsia"/>
                <w:sz w:val="20"/>
                <w:szCs w:val="20"/>
              </w:rPr>
              <w:t>位金融机构标识码。</w:t>
            </w:r>
          </w:p>
        </w:tc>
      </w:tr>
      <w:tr w:rsidR="00A052DC" w14:paraId="30677FDE" w14:textId="77777777">
        <w:trPr>
          <w:cantSplit/>
        </w:trPr>
        <w:tc>
          <w:tcPr>
            <w:tcW w:w="901" w:type="pct"/>
          </w:tcPr>
          <w:p w14:paraId="1F17F9DD" w14:textId="77777777" w:rsidR="00A052DC" w:rsidRDefault="009F0A60">
            <w:pPr>
              <w:rPr>
                <w:rFonts w:ascii="黑体" w:eastAsia="黑体" w:hAnsi="黑体"/>
                <w:sz w:val="20"/>
                <w:szCs w:val="20"/>
              </w:rPr>
            </w:pPr>
            <w:r>
              <w:rPr>
                <w:rFonts w:ascii="黑体" w:eastAsia="黑体" w:hAnsi="黑体" w:hint="eastAsia"/>
                <w:sz w:val="20"/>
                <w:szCs w:val="20"/>
              </w:rPr>
              <w:t>结汇所得人民币资金划往的账户户名</w:t>
            </w:r>
          </w:p>
        </w:tc>
        <w:tc>
          <w:tcPr>
            <w:tcW w:w="4099" w:type="pct"/>
          </w:tcPr>
          <w:p w14:paraId="75D96794" w14:textId="77777777" w:rsidR="00A052DC" w:rsidRDefault="009F0A60">
            <w:pPr>
              <w:rPr>
                <w:rFonts w:ascii="黑体" w:eastAsia="黑体" w:hAnsi="黑体"/>
                <w:sz w:val="20"/>
                <w:szCs w:val="20"/>
              </w:rPr>
            </w:pPr>
            <w:r>
              <w:rPr>
                <w:rFonts w:ascii="黑体" w:eastAsia="黑体" w:hAnsi="黑体" w:hint="eastAsia"/>
                <w:sz w:val="20"/>
                <w:szCs w:val="20"/>
              </w:rPr>
              <w:t>境内个人参与境外上市公司股权激励计划境内专用外汇账户关户后，账户内剩余资金结汇后划往境内账户的账户名。</w:t>
            </w:r>
          </w:p>
        </w:tc>
      </w:tr>
      <w:tr w:rsidR="00A052DC" w14:paraId="1B400485" w14:textId="77777777">
        <w:trPr>
          <w:cantSplit/>
        </w:trPr>
        <w:tc>
          <w:tcPr>
            <w:tcW w:w="901" w:type="pct"/>
          </w:tcPr>
          <w:p w14:paraId="0DA13F18" w14:textId="77777777" w:rsidR="00A052DC" w:rsidRDefault="009F0A60">
            <w:pPr>
              <w:rPr>
                <w:rFonts w:ascii="黑体" w:eastAsia="黑体" w:hAnsi="黑体"/>
                <w:sz w:val="20"/>
                <w:szCs w:val="20"/>
              </w:rPr>
            </w:pPr>
            <w:r>
              <w:rPr>
                <w:rFonts w:ascii="黑体" w:eastAsia="黑体" w:hAnsi="黑体" w:hint="eastAsia"/>
                <w:sz w:val="20"/>
                <w:szCs w:val="20"/>
              </w:rPr>
              <w:t>结汇所得人民币资金划往的账户账号</w:t>
            </w:r>
          </w:p>
        </w:tc>
        <w:tc>
          <w:tcPr>
            <w:tcW w:w="4099" w:type="pct"/>
          </w:tcPr>
          <w:p w14:paraId="7DFE2E38" w14:textId="77777777" w:rsidR="00A052DC" w:rsidRDefault="009F0A60">
            <w:pPr>
              <w:rPr>
                <w:rFonts w:ascii="黑体" w:eastAsia="黑体" w:hAnsi="黑体"/>
                <w:sz w:val="20"/>
                <w:szCs w:val="20"/>
              </w:rPr>
            </w:pPr>
            <w:r>
              <w:rPr>
                <w:rFonts w:ascii="黑体" w:eastAsia="黑体" w:hAnsi="黑体" w:hint="eastAsia"/>
                <w:sz w:val="20"/>
                <w:szCs w:val="20"/>
              </w:rPr>
              <w:t>境内个人参与境外上市公司股权激励计划境内专用外汇账户关户后，账户内剩余资金结汇后划往境内账户的账户账号。</w:t>
            </w:r>
          </w:p>
        </w:tc>
      </w:tr>
      <w:tr w:rsidR="00A052DC" w14:paraId="09316E9E" w14:textId="77777777">
        <w:trPr>
          <w:cantSplit/>
        </w:trPr>
        <w:tc>
          <w:tcPr>
            <w:tcW w:w="901" w:type="pct"/>
          </w:tcPr>
          <w:p w14:paraId="01FA24A2" w14:textId="77777777" w:rsidR="00A052DC" w:rsidRDefault="009F0A60">
            <w:pPr>
              <w:rPr>
                <w:rFonts w:ascii="黑体" w:eastAsia="黑体" w:hAnsi="黑体"/>
                <w:sz w:val="20"/>
                <w:szCs w:val="20"/>
              </w:rPr>
            </w:pPr>
            <w:r>
              <w:rPr>
                <w:rFonts w:ascii="黑体" w:eastAsia="黑体" w:hAnsi="黑体" w:hint="eastAsia"/>
                <w:sz w:val="20"/>
                <w:szCs w:val="20"/>
              </w:rPr>
              <w:t>划往境内外汇账户开户行代码</w:t>
            </w:r>
          </w:p>
        </w:tc>
        <w:tc>
          <w:tcPr>
            <w:tcW w:w="4099" w:type="pct"/>
          </w:tcPr>
          <w:p w14:paraId="745C04CF" w14:textId="77777777" w:rsidR="00A052DC" w:rsidRDefault="009F0A60">
            <w:pPr>
              <w:rPr>
                <w:rFonts w:ascii="黑体" w:eastAsia="黑体" w:hAnsi="黑体"/>
                <w:sz w:val="20"/>
                <w:szCs w:val="20"/>
              </w:rPr>
            </w:pPr>
            <w:r>
              <w:rPr>
                <w:rFonts w:ascii="黑体" w:eastAsia="黑体" w:hAnsi="黑体" w:hint="eastAsia"/>
                <w:sz w:val="20"/>
                <w:szCs w:val="20"/>
              </w:rPr>
              <w:t>境内个人参与境外上市公司股权激励计划境内专用外汇账户关户后，账户内剩余资金划往境内外汇账户的开户行代码，即国家外汇管理局及其分支局签发给给该收款银行的</w:t>
            </w:r>
            <w:r>
              <w:rPr>
                <w:rFonts w:ascii="黑体" w:eastAsia="黑体" w:hAnsi="黑体"/>
                <w:sz w:val="20"/>
                <w:szCs w:val="20"/>
              </w:rPr>
              <w:t>12</w:t>
            </w:r>
            <w:r>
              <w:rPr>
                <w:rFonts w:ascii="黑体" w:eastAsia="黑体" w:hAnsi="黑体" w:hint="eastAsia"/>
                <w:sz w:val="20"/>
                <w:szCs w:val="20"/>
              </w:rPr>
              <w:t>位金融机构标识码。</w:t>
            </w:r>
          </w:p>
        </w:tc>
      </w:tr>
      <w:tr w:rsidR="00A052DC" w14:paraId="7265F1D8" w14:textId="77777777">
        <w:trPr>
          <w:cantSplit/>
        </w:trPr>
        <w:tc>
          <w:tcPr>
            <w:tcW w:w="901" w:type="pct"/>
          </w:tcPr>
          <w:p w14:paraId="486D5FB7" w14:textId="77777777" w:rsidR="00A052DC" w:rsidRDefault="009F0A60">
            <w:pPr>
              <w:rPr>
                <w:rFonts w:ascii="黑体" w:eastAsia="黑体" w:hAnsi="黑体"/>
                <w:sz w:val="20"/>
                <w:szCs w:val="20"/>
              </w:rPr>
            </w:pPr>
            <w:r>
              <w:rPr>
                <w:rFonts w:ascii="黑体" w:eastAsia="黑体" w:hAnsi="黑体" w:hint="eastAsia"/>
                <w:sz w:val="20"/>
                <w:szCs w:val="20"/>
              </w:rPr>
              <w:t>划往境内外汇账户户名</w:t>
            </w:r>
          </w:p>
        </w:tc>
        <w:tc>
          <w:tcPr>
            <w:tcW w:w="4099" w:type="pct"/>
          </w:tcPr>
          <w:p w14:paraId="26FDD1CA" w14:textId="77777777" w:rsidR="00A052DC" w:rsidRDefault="009F0A60">
            <w:pPr>
              <w:rPr>
                <w:rFonts w:ascii="黑体" w:eastAsia="黑体" w:hAnsi="黑体"/>
                <w:sz w:val="20"/>
                <w:szCs w:val="20"/>
              </w:rPr>
            </w:pPr>
            <w:r>
              <w:rPr>
                <w:rFonts w:ascii="黑体" w:eastAsia="黑体" w:hAnsi="黑体" w:hint="eastAsia"/>
                <w:sz w:val="20"/>
                <w:szCs w:val="20"/>
              </w:rPr>
              <w:t>境内个人参与境外上市公司股权激励计划境内专用外汇账户关户后，账户内剩余资金划往境内外汇账户的账户户名。</w:t>
            </w:r>
          </w:p>
        </w:tc>
      </w:tr>
      <w:tr w:rsidR="00A052DC" w14:paraId="01CA7916" w14:textId="77777777">
        <w:trPr>
          <w:cantSplit/>
        </w:trPr>
        <w:tc>
          <w:tcPr>
            <w:tcW w:w="901" w:type="pct"/>
          </w:tcPr>
          <w:p w14:paraId="4BFBE5E7" w14:textId="77777777" w:rsidR="00A052DC" w:rsidRDefault="009F0A60">
            <w:pPr>
              <w:rPr>
                <w:rFonts w:ascii="黑体" w:eastAsia="黑体" w:hAnsi="黑体"/>
                <w:sz w:val="20"/>
                <w:szCs w:val="20"/>
              </w:rPr>
            </w:pPr>
            <w:r>
              <w:rPr>
                <w:rFonts w:ascii="黑体" w:eastAsia="黑体" w:hAnsi="黑体" w:hint="eastAsia"/>
                <w:sz w:val="20"/>
                <w:szCs w:val="20"/>
              </w:rPr>
              <w:t>划往境内外汇账户账号</w:t>
            </w:r>
          </w:p>
        </w:tc>
        <w:tc>
          <w:tcPr>
            <w:tcW w:w="4099" w:type="pct"/>
          </w:tcPr>
          <w:p w14:paraId="19AFA144" w14:textId="77777777" w:rsidR="00A052DC" w:rsidRDefault="009F0A60">
            <w:pPr>
              <w:rPr>
                <w:rFonts w:ascii="黑体" w:eastAsia="黑体" w:hAnsi="黑体"/>
                <w:sz w:val="20"/>
                <w:szCs w:val="20"/>
              </w:rPr>
            </w:pPr>
            <w:r>
              <w:rPr>
                <w:rFonts w:ascii="黑体" w:eastAsia="黑体" w:hAnsi="黑体" w:hint="eastAsia"/>
                <w:sz w:val="20"/>
                <w:szCs w:val="20"/>
              </w:rPr>
              <w:t>境内个人参与境外上市公司股权激励计划境内专用外汇账户关户后，账户内剩余资金划往境内外汇账户的账户账号。</w:t>
            </w:r>
          </w:p>
        </w:tc>
      </w:tr>
      <w:tr w:rsidR="00A052DC" w14:paraId="580F192F" w14:textId="77777777">
        <w:trPr>
          <w:cantSplit/>
        </w:trPr>
        <w:tc>
          <w:tcPr>
            <w:tcW w:w="901" w:type="pct"/>
          </w:tcPr>
          <w:p w14:paraId="4F93EA21" w14:textId="77777777" w:rsidR="00A052DC" w:rsidRDefault="009F0A60">
            <w:pPr>
              <w:rPr>
                <w:rFonts w:ascii="黑体" w:eastAsia="黑体" w:hAnsi="黑体"/>
                <w:sz w:val="20"/>
                <w:szCs w:val="20"/>
              </w:rPr>
            </w:pPr>
            <w:r>
              <w:rPr>
                <w:rFonts w:ascii="黑体" w:eastAsia="黑体" w:hAnsi="黑体" w:hint="eastAsia"/>
                <w:sz w:val="20"/>
                <w:szCs w:val="20"/>
              </w:rPr>
              <w:t>汇出境外收款账户开户行代码</w:t>
            </w:r>
          </w:p>
        </w:tc>
        <w:tc>
          <w:tcPr>
            <w:tcW w:w="4099" w:type="pct"/>
          </w:tcPr>
          <w:p w14:paraId="7889C31D" w14:textId="77777777" w:rsidR="00A052DC" w:rsidRDefault="009F0A60">
            <w:pPr>
              <w:rPr>
                <w:rFonts w:ascii="黑体" w:eastAsia="黑体" w:hAnsi="黑体"/>
                <w:sz w:val="20"/>
                <w:szCs w:val="20"/>
              </w:rPr>
            </w:pPr>
            <w:r>
              <w:rPr>
                <w:rFonts w:ascii="黑体" w:eastAsia="黑体" w:hAnsi="黑体" w:hint="eastAsia"/>
                <w:sz w:val="20"/>
                <w:szCs w:val="20"/>
              </w:rPr>
              <w:t>境内个人参与境外上市公司股权激励计划境内专用外汇账户关户后，账户内剩余资金汇出境外收款银行代码，即该银行</w:t>
            </w:r>
            <w:r>
              <w:rPr>
                <w:rFonts w:ascii="黑体" w:eastAsia="黑体" w:hAnsi="黑体"/>
                <w:sz w:val="20"/>
                <w:szCs w:val="20"/>
              </w:rPr>
              <w:t>8</w:t>
            </w:r>
            <w:r>
              <w:rPr>
                <w:rFonts w:ascii="黑体" w:eastAsia="黑体" w:hAnsi="黑体" w:hint="eastAsia"/>
                <w:sz w:val="20"/>
                <w:szCs w:val="20"/>
              </w:rPr>
              <w:t>位或</w:t>
            </w:r>
            <w:r>
              <w:rPr>
                <w:rFonts w:ascii="黑体" w:eastAsia="黑体" w:hAnsi="黑体"/>
                <w:sz w:val="20"/>
                <w:szCs w:val="20"/>
              </w:rPr>
              <w:t>11</w:t>
            </w:r>
            <w:r>
              <w:rPr>
                <w:rFonts w:ascii="黑体" w:eastAsia="黑体" w:hAnsi="黑体" w:hint="eastAsia"/>
                <w:sz w:val="20"/>
                <w:szCs w:val="20"/>
              </w:rPr>
              <w:t>位的</w:t>
            </w:r>
            <w:r>
              <w:rPr>
                <w:rFonts w:ascii="黑体" w:eastAsia="黑体" w:hAnsi="黑体"/>
                <w:sz w:val="20"/>
                <w:szCs w:val="20"/>
              </w:rPr>
              <w:t>SWIFT CODE</w:t>
            </w:r>
            <w:r>
              <w:rPr>
                <w:rFonts w:ascii="黑体" w:eastAsia="黑体" w:hAnsi="黑体" w:hint="eastAsia"/>
                <w:sz w:val="20"/>
                <w:szCs w:val="20"/>
              </w:rPr>
              <w:t>。</w:t>
            </w:r>
          </w:p>
        </w:tc>
      </w:tr>
      <w:tr w:rsidR="00A052DC" w14:paraId="1C5E590B" w14:textId="77777777">
        <w:trPr>
          <w:cantSplit/>
        </w:trPr>
        <w:tc>
          <w:tcPr>
            <w:tcW w:w="901" w:type="pct"/>
          </w:tcPr>
          <w:p w14:paraId="5645FE68" w14:textId="77777777" w:rsidR="00A052DC" w:rsidRDefault="009F0A60">
            <w:pPr>
              <w:rPr>
                <w:rFonts w:ascii="黑体" w:eastAsia="黑体" w:hAnsi="黑体"/>
                <w:sz w:val="20"/>
                <w:szCs w:val="20"/>
              </w:rPr>
            </w:pPr>
            <w:r>
              <w:rPr>
                <w:rFonts w:ascii="黑体" w:eastAsia="黑体" w:hAnsi="黑体" w:hint="eastAsia"/>
                <w:sz w:val="20"/>
                <w:szCs w:val="20"/>
              </w:rPr>
              <w:t>汇出境外收款账户户名</w:t>
            </w:r>
          </w:p>
        </w:tc>
        <w:tc>
          <w:tcPr>
            <w:tcW w:w="4099" w:type="pct"/>
          </w:tcPr>
          <w:p w14:paraId="563DCFEB" w14:textId="77777777" w:rsidR="00A052DC" w:rsidRDefault="009F0A60">
            <w:pPr>
              <w:rPr>
                <w:rFonts w:ascii="黑体" w:eastAsia="黑体" w:hAnsi="黑体"/>
                <w:sz w:val="20"/>
                <w:szCs w:val="20"/>
              </w:rPr>
            </w:pPr>
            <w:r>
              <w:rPr>
                <w:rFonts w:ascii="黑体" w:eastAsia="黑体" w:hAnsi="黑体" w:hint="eastAsia"/>
                <w:sz w:val="20"/>
                <w:szCs w:val="20"/>
              </w:rPr>
              <w:t>境内个人参与境外上市公司股权激励计划境内专用外汇账户关户后，账户内剩余资金汇出境外收款账户的户名。</w:t>
            </w:r>
          </w:p>
        </w:tc>
      </w:tr>
      <w:tr w:rsidR="00A052DC" w14:paraId="5EAFD906" w14:textId="77777777">
        <w:trPr>
          <w:cantSplit/>
        </w:trPr>
        <w:tc>
          <w:tcPr>
            <w:tcW w:w="901" w:type="pct"/>
          </w:tcPr>
          <w:p w14:paraId="6A8AB956" w14:textId="77777777" w:rsidR="00A052DC" w:rsidRDefault="009F0A60">
            <w:pPr>
              <w:rPr>
                <w:rFonts w:ascii="黑体" w:eastAsia="黑体" w:hAnsi="黑体"/>
                <w:sz w:val="20"/>
                <w:szCs w:val="20"/>
              </w:rPr>
            </w:pPr>
            <w:r>
              <w:rPr>
                <w:rFonts w:ascii="黑体" w:eastAsia="黑体" w:hAnsi="黑体" w:hint="eastAsia"/>
                <w:sz w:val="20"/>
                <w:szCs w:val="20"/>
              </w:rPr>
              <w:t>汇出境外收款账户账号</w:t>
            </w:r>
          </w:p>
        </w:tc>
        <w:tc>
          <w:tcPr>
            <w:tcW w:w="4099" w:type="pct"/>
          </w:tcPr>
          <w:p w14:paraId="66F4F6E0" w14:textId="77777777" w:rsidR="00A052DC" w:rsidRDefault="009F0A60">
            <w:pPr>
              <w:rPr>
                <w:rFonts w:ascii="黑体" w:eastAsia="黑体" w:hAnsi="黑体"/>
                <w:sz w:val="20"/>
                <w:szCs w:val="20"/>
              </w:rPr>
            </w:pPr>
            <w:r>
              <w:rPr>
                <w:rFonts w:ascii="黑体" w:eastAsia="黑体" w:hAnsi="黑体" w:hint="eastAsia"/>
                <w:sz w:val="20"/>
                <w:szCs w:val="20"/>
              </w:rPr>
              <w:t>境内个人参与境外上市公司股权激励计划境内专用外汇账户关户后，账户内剩余资金汇出境外收款账户的账号。</w:t>
            </w:r>
          </w:p>
        </w:tc>
      </w:tr>
      <w:tr w:rsidR="00A052DC" w14:paraId="290A3C76" w14:textId="77777777">
        <w:trPr>
          <w:cantSplit/>
        </w:trPr>
        <w:tc>
          <w:tcPr>
            <w:tcW w:w="901" w:type="pct"/>
            <w:tcBorders>
              <w:top w:val="single" w:sz="6" w:space="0" w:color="auto"/>
              <w:left w:val="single" w:sz="6" w:space="0" w:color="auto"/>
              <w:bottom w:val="single" w:sz="6" w:space="0" w:color="auto"/>
              <w:right w:val="single" w:sz="6" w:space="0" w:color="auto"/>
            </w:tcBorders>
          </w:tcPr>
          <w:p w14:paraId="1B25995E" w14:textId="77777777" w:rsidR="00A052DC" w:rsidRDefault="009F0A60">
            <w:pPr>
              <w:rPr>
                <w:rFonts w:ascii="黑体" w:eastAsia="黑体" w:hAnsi="黑体"/>
                <w:sz w:val="20"/>
                <w:szCs w:val="20"/>
              </w:rPr>
            </w:pPr>
            <w:r>
              <w:rPr>
                <w:rFonts w:ascii="黑体" w:eastAsia="黑体" w:hAnsi="黑体" w:hint="eastAsia"/>
                <w:sz w:val="20"/>
                <w:szCs w:val="20"/>
              </w:rPr>
              <w:t>备注</w:t>
            </w:r>
          </w:p>
        </w:tc>
        <w:tc>
          <w:tcPr>
            <w:tcW w:w="4099" w:type="pct"/>
            <w:tcBorders>
              <w:top w:val="single" w:sz="6" w:space="0" w:color="auto"/>
              <w:left w:val="single" w:sz="6" w:space="0" w:color="auto"/>
              <w:bottom w:val="single" w:sz="6" w:space="0" w:color="auto"/>
              <w:right w:val="single" w:sz="6" w:space="0" w:color="auto"/>
            </w:tcBorders>
          </w:tcPr>
          <w:p w14:paraId="0C796AFE" w14:textId="77777777" w:rsidR="00A052DC" w:rsidRDefault="009F0A60">
            <w:pPr>
              <w:rPr>
                <w:rFonts w:ascii="黑体" w:eastAsia="黑体" w:hAnsi="黑体"/>
                <w:sz w:val="20"/>
                <w:szCs w:val="20"/>
              </w:rPr>
            </w:pPr>
            <w:r>
              <w:rPr>
                <w:rFonts w:ascii="黑体" w:eastAsia="黑体" w:hAnsi="黑体" w:hint="eastAsia"/>
                <w:sz w:val="20"/>
                <w:szCs w:val="20"/>
              </w:rPr>
              <w:t>需要说明的备注事项。</w:t>
            </w:r>
          </w:p>
        </w:tc>
      </w:tr>
    </w:tbl>
    <w:p w14:paraId="08BE3876" w14:textId="77777777" w:rsidR="00A052DC" w:rsidRDefault="00A052DC"/>
    <w:p w14:paraId="0488C630" w14:textId="77777777" w:rsidR="00A052DC" w:rsidRDefault="009F0A60" w:rsidP="0020251D">
      <w:pPr>
        <w:pStyle w:val="5"/>
        <w:numPr>
          <w:ilvl w:val="4"/>
          <w:numId w:val="1"/>
        </w:numPr>
        <w:spacing w:before="120" w:after="120" w:line="360" w:lineRule="auto"/>
        <w:jc w:val="left"/>
      </w:pPr>
      <w:bookmarkStart w:id="2919" w:name="_Toc328635596"/>
      <w:bookmarkStart w:id="2920" w:name="_Toc454391202"/>
      <w:r>
        <w:rPr>
          <w:rFonts w:hint="eastAsia"/>
        </w:rPr>
        <w:t>数据格式</w:t>
      </w:r>
      <w:bookmarkEnd w:id="2919"/>
      <w:bookmarkEnd w:id="2920"/>
    </w:p>
    <w:p w14:paraId="0E27BF36" w14:textId="77777777" w:rsidR="00A052DC" w:rsidRDefault="009F0A60">
      <w:pPr>
        <w:rPr>
          <w:rFonts w:ascii="Times New Roman"/>
          <w:kern w:val="0"/>
          <w:sz w:val="24"/>
          <w:szCs w:val="20"/>
        </w:rPr>
      </w:pPr>
      <w:r>
        <w:rPr>
          <w:rFonts w:ascii="Times New Roman" w:hint="eastAsia"/>
          <w:kern w:val="0"/>
          <w:sz w:val="24"/>
          <w:szCs w:val="20"/>
        </w:rPr>
        <w:t>见资本项目信息系统。</w:t>
      </w:r>
    </w:p>
    <w:p w14:paraId="25DF2EB2" w14:textId="77777777" w:rsidR="00A052DC" w:rsidRDefault="009F0A60" w:rsidP="0020251D">
      <w:pPr>
        <w:pStyle w:val="5"/>
        <w:numPr>
          <w:ilvl w:val="4"/>
          <w:numId w:val="1"/>
        </w:numPr>
        <w:spacing w:before="120" w:after="120" w:line="360" w:lineRule="auto"/>
        <w:jc w:val="left"/>
      </w:pPr>
      <w:bookmarkStart w:id="2921" w:name="_Toc328635597"/>
      <w:bookmarkStart w:id="2922" w:name="_Toc454391203"/>
      <w:r>
        <w:rPr>
          <w:rFonts w:hint="eastAsia"/>
        </w:rPr>
        <w:t>数据字典</w:t>
      </w:r>
      <w:bookmarkEnd w:id="2921"/>
      <w:bookmarkEnd w:id="2922"/>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1417"/>
        <w:gridCol w:w="4820"/>
      </w:tblGrid>
      <w:tr w:rsidR="00A052DC" w14:paraId="1B1E331E" w14:textId="77777777">
        <w:trPr>
          <w:tblHeader/>
        </w:trPr>
        <w:tc>
          <w:tcPr>
            <w:tcW w:w="2269" w:type="dxa"/>
            <w:shd w:val="clear" w:color="auto" w:fill="C0C0C0"/>
          </w:tcPr>
          <w:p w14:paraId="7E0F1F5A" w14:textId="77777777" w:rsidR="00A052DC" w:rsidRDefault="009F0A60">
            <w:pPr>
              <w:jc w:val="center"/>
              <w:rPr>
                <w:rFonts w:ascii="黑体" w:eastAsia="黑体" w:hAnsi="黑体"/>
                <w:b/>
                <w:sz w:val="20"/>
                <w:szCs w:val="20"/>
              </w:rPr>
            </w:pPr>
            <w:r>
              <w:rPr>
                <w:rFonts w:ascii="黑体" w:eastAsia="黑体" w:hAnsi="黑体" w:hint="eastAsia"/>
                <w:b/>
                <w:sz w:val="20"/>
                <w:szCs w:val="20"/>
              </w:rPr>
              <w:t>内容</w:t>
            </w:r>
          </w:p>
        </w:tc>
        <w:tc>
          <w:tcPr>
            <w:tcW w:w="1417" w:type="dxa"/>
            <w:shd w:val="clear" w:color="auto" w:fill="C0C0C0"/>
          </w:tcPr>
          <w:p w14:paraId="2532C4D8" w14:textId="77777777" w:rsidR="00A052DC" w:rsidRDefault="009F0A60">
            <w:pPr>
              <w:jc w:val="center"/>
              <w:rPr>
                <w:rFonts w:ascii="黑体" w:eastAsia="黑体" w:hAnsi="黑体"/>
                <w:b/>
                <w:sz w:val="20"/>
                <w:szCs w:val="20"/>
              </w:rPr>
            </w:pPr>
            <w:r>
              <w:rPr>
                <w:rFonts w:ascii="黑体" w:eastAsia="黑体" w:hAnsi="黑体" w:hint="eastAsia"/>
                <w:b/>
                <w:sz w:val="20"/>
                <w:szCs w:val="20"/>
              </w:rPr>
              <w:t>类型（长度）</w:t>
            </w:r>
          </w:p>
        </w:tc>
        <w:tc>
          <w:tcPr>
            <w:tcW w:w="4820" w:type="dxa"/>
            <w:shd w:val="clear" w:color="auto" w:fill="C0C0C0"/>
          </w:tcPr>
          <w:p w14:paraId="27B663C5" w14:textId="77777777" w:rsidR="00A052DC" w:rsidRDefault="009F0A60">
            <w:pPr>
              <w:jc w:val="center"/>
              <w:rPr>
                <w:rFonts w:ascii="黑体" w:eastAsia="黑体" w:hAnsi="黑体"/>
                <w:b/>
                <w:sz w:val="20"/>
                <w:szCs w:val="20"/>
              </w:rPr>
            </w:pPr>
            <w:r>
              <w:rPr>
                <w:rFonts w:ascii="黑体" w:eastAsia="黑体" w:hAnsi="黑体" w:hint="eastAsia"/>
                <w:b/>
                <w:sz w:val="20"/>
                <w:szCs w:val="20"/>
              </w:rPr>
              <w:t>校验</w:t>
            </w:r>
          </w:p>
        </w:tc>
      </w:tr>
      <w:tr w:rsidR="00A052DC" w14:paraId="07F6328D" w14:textId="77777777">
        <w:tc>
          <w:tcPr>
            <w:tcW w:w="2269" w:type="dxa"/>
          </w:tcPr>
          <w:p w14:paraId="709BC25D" w14:textId="77777777" w:rsidR="00A052DC" w:rsidRDefault="009F0A60">
            <w:pPr>
              <w:rPr>
                <w:rFonts w:ascii="黑体" w:eastAsia="黑体" w:hAnsi="黑体"/>
                <w:sz w:val="20"/>
                <w:szCs w:val="20"/>
              </w:rPr>
            </w:pPr>
            <w:r>
              <w:rPr>
                <w:rFonts w:ascii="黑体" w:eastAsia="黑体" w:hAnsi="黑体" w:hint="eastAsia"/>
                <w:sz w:val="20"/>
                <w:szCs w:val="20"/>
              </w:rPr>
              <w:t>业务编号</w:t>
            </w:r>
          </w:p>
        </w:tc>
        <w:tc>
          <w:tcPr>
            <w:tcW w:w="1417" w:type="dxa"/>
          </w:tcPr>
          <w:p w14:paraId="227C5A08" w14:textId="77777777" w:rsidR="00A052DC" w:rsidRDefault="009F0A60">
            <w:pPr>
              <w:rPr>
                <w:rFonts w:ascii="黑体" w:eastAsia="黑体" w:hAnsi="黑体"/>
                <w:sz w:val="20"/>
                <w:szCs w:val="20"/>
              </w:rPr>
            </w:pPr>
            <w:r>
              <w:rPr>
                <w:rFonts w:ascii="黑体" w:eastAsia="黑体" w:hAnsi="黑体" w:hint="eastAsia"/>
                <w:sz w:val="20"/>
                <w:szCs w:val="20"/>
              </w:rPr>
              <w:t>字符型，20</w:t>
            </w:r>
          </w:p>
        </w:tc>
        <w:tc>
          <w:tcPr>
            <w:tcW w:w="4820" w:type="dxa"/>
          </w:tcPr>
          <w:p w14:paraId="17969C48" w14:textId="77777777" w:rsidR="00A052DC" w:rsidRDefault="009F0A60">
            <w:pPr>
              <w:rPr>
                <w:rFonts w:ascii="黑体" w:eastAsia="黑体" w:hAnsi="黑体"/>
                <w:sz w:val="20"/>
                <w:szCs w:val="20"/>
              </w:rPr>
            </w:pPr>
            <w:r>
              <w:rPr>
                <w:rFonts w:ascii="黑体" w:eastAsia="黑体" w:hAnsi="黑体" w:hint="eastAsia"/>
                <w:sz w:val="20"/>
                <w:szCs w:val="20"/>
              </w:rPr>
              <w:t>必填项，境内个人参与境外上市公司股权激励计划业务编号。</w:t>
            </w:r>
          </w:p>
        </w:tc>
      </w:tr>
      <w:tr w:rsidR="00A052DC" w14:paraId="751096DD" w14:textId="77777777">
        <w:tc>
          <w:tcPr>
            <w:tcW w:w="2269" w:type="dxa"/>
          </w:tcPr>
          <w:p w14:paraId="0AFE0E23" w14:textId="77777777" w:rsidR="00A052DC" w:rsidRDefault="009F0A60">
            <w:pPr>
              <w:rPr>
                <w:rFonts w:ascii="黑体" w:eastAsia="黑体" w:hAnsi="黑体"/>
                <w:sz w:val="20"/>
                <w:szCs w:val="20"/>
              </w:rPr>
            </w:pPr>
            <w:r>
              <w:rPr>
                <w:rFonts w:ascii="黑体" w:eastAsia="黑体" w:hAnsi="黑体" w:hint="eastAsia"/>
                <w:sz w:val="20"/>
                <w:szCs w:val="20"/>
              </w:rPr>
              <w:t>开户银行代码</w:t>
            </w:r>
          </w:p>
        </w:tc>
        <w:tc>
          <w:tcPr>
            <w:tcW w:w="1417" w:type="dxa"/>
          </w:tcPr>
          <w:p w14:paraId="4F71100F" w14:textId="77777777" w:rsidR="00A052DC" w:rsidRDefault="009F0A60">
            <w:pPr>
              <w:rPr>
                <w:rFonts w:ascii="黑体" w:eastAsia="黑体" w:hAnsi="黑体"/>
                <w:sz w:val="20"/>
                <w:szCs w:val="20"/>
              </w:rPr>
            </w:pPr>
            <w:r>
              <w:rPr>
                <w:rFonts w:ascii="黑体" w:eastAsia="黑体" w:hAnsi="黑体" w:hint="eastAsia"/>
                <w:sz w:val="20"/>
                <w:szCs w:val="20"/>
              </w:rPr>
              <w:t>字符型，12</w:t>
            </w:r>
          </w:p>
        </w:tc>
        <w:tc>
          <w:tcPr>
            <w:tcW w:w="4820" w:type="dxa"/>
          </w:tcPr>
          <w:p w14:paraId="3F81E3E5" w14:textId="77777777" w:rsidR="00A052DC" w:rsidRDefault="009F0A60">
            <w:pPr>
              <w:rPr>
                <w:rFonts w:ascii="黑体" w:eastAsia="黑体" w:hAnsi="黑体"/>
                <w:sz w:val="20"/>
                <w:szCs w:val="20"/>
              </w:rPr>
            </w:pPr>
            <w:r>
              <w:rPr>
                <w:rFonts w:ascii="黑体" w:eastAsia="黑体" w:hAnsi="黑体" w:hint="eastAsia"/>
                <w:sz w:val="20"/>
                <w:szCs w:val="20"/>
              </w:rPr>
              <w:t>必填项，金融机构标识码。</w:t>
            </w:r>
          </w:p>
        </w:tc>
      </w:tr>
      <w:tr w:rsidR="00A052DC" w14:paraId="7BC2DF23" w14:textId="77777777">
        <w:tc>
          <w:tcPr>
            <w:tcW w:w="2269" w:type="dxa"/>
          </w:tcPr>
          <w:p w14:paraId="187891DA" w14:textId="77777777" w:rsidR="00A052DC" w:rsidRDefault="009F0A60">
            <w:pPr>
              <w:rPr>
                <w:rFonts w:ascii="黑体" w:eastAsia="黑体" w:hAnsi="黑体"/>
                <w:sz w:val="20"/>
                <w:szCs w:val="20"/>
              </w:rPr>
            </w:pPr>
            <w:r>
              <w:rPr>
                <w:rFonts w:ascii="黑体" w:eastAsia="黑体" w:hAnsi="黑体" w:hint="eastAsia"/>
                <w:sz w:val="20"/>
                <w:szCs w:val="20"/>
              </w:rPr>
              <w:t>开户境内代理机构代码</w:t>
            </w:r>
          </w:p>
        </w:tc>
        <w:tc>
          <w:tcPr>
            <w:tcW w:w="1417" w:type="dxa"/>
          </w:tcPr>
          <w:p w14:paraId="64800B85" w14:textId="77777777" w:rsidR="00A052DC" w:rsidRDefault="009F0A60">
            <w:pPr>
              <w:rPr>
                <w:rFonts w:ascii="黑体" w:eastAsia="黑体" w:hAnsi="黑体"/>
                <w:sz w:val="20"/>
                <w:szCs w:val="20"/>
              </w:rPr>
            </w:pPr>
            <w:r>
              <w:rPr>
                <w:rFonts w:ascii="黑体" w:eastAsia="黑体" w:hAnsi="黑体" w:hint="eastAsia"/>
                <w:sz w:val="20"/>
                <w:szCs w:val="20"/>
              </w:rPr>
              <w:t>字符型，18</w:t>
            </w:r>
          </w:p>
        </w:tc>
        <w:tc>
          <w:tcPr>
            <w:tcW w:w="4820" w:type="dxa"/>
          </w:tcPr>
          <w:p w14:paraId="1F46D76B" w14:textId="77777777" w:rsidR="00A052DC" w:rsidRDefault="009F0A60">
            <w:pPr>
              <w:rPr>
                <w:rFonts w:ascii="黑体" w:eastAsia="黑体" w:hAnsi="黑体"/>
                <w:sz w:val="20"/>
                <w:szCs w:val="20"/>
              </w:rPr>
            </w:pPr>
            <w:r>
              <w:rPr>
                <w:rFonts w:ascii="黑体" w:eastAsia="黑体" w:hAnsi="黑体" w:hint="eastAsia"/>
                <w:sz w:val="20"/>
                <w:szCs w:val="20"/>
              </w:rPr>
              <w:t>必填项，境内代理机构统一社会信用代码中的第9至17位。</w:t>
            </w:r>
          </w:p>
        </w:tc>
      </w:tr>
      <w:tr w:rsidR="00A052DC" w14:paraId="0C921F64" w14:textId="77777777">
        <w:tc>
          <w:tcPr>
            <w:tcW w:w="2269" w:type="dxa"/>
          </w:tcPr>
          <w:p w14:paraId="7DF7358D" w14:textId="77777777" w:rsidR="00A052DC" w:rsidRDefault="009F0A60">
            <w:pPr>
              <w:rPr>
                <w:rFonts w:ascii="黑体" w:eastAsia="黑体" w:hAnsi="黑体"/>
                <w:sz w:val="20"/>
                <w:szCs w:val="20"/>
              </w:rPr>
            </w:pPr>
            <w:r>
              <w:rPr>
                <w:rFonts w:ascii="黑体" w:eastAsia="黑体" w:hAnsi="黑体" w:hint="eastAsia"/>
                <w:sz w:val="20"/>
                <w:szCs w:val="20"/>
              </w:rPr>
              <w:t>境内专用外汇账户账号</w:t>
            </w:r>
          </w:p>
        </w:tc>
        <w:tc>
          <w:tcPr>
            <w:tcW w:w="1417" w:type="dxa"/>
          </w:tcPr>
          <w:p w14:paraId="0FCE5B89" w14:textId="77777777" w:rsidR="00A052DC" w:rsidRDefault="009F0A60">
            <w:pPr>
              <w:rPr>
                <w:rFonts w:ascii="黑体" w:eastAsia="黑体" w:hAnsi="黑体"/>
                <w:sz w:val="20"/>
                <w:szCs w:val="20"/>
              </w:rPr>
            </w:pPr>
            <w:r>
              <w:rPr>
                <w:rFonts w:ascii="黑体" w:eastAsia="黑体" w:hAnsi="黑体" w:hint="eastAsia"/>
                <w:sz w:val="20"/>
                <w:szCs w:val="20"/>
              </w:rPr>
              <w:t>字符型，32</w:t>
            </w:r>
          </w:p>
        </w:tc>
        <w:tc>
          <w:tcPr>
            <w:tcW w:w="4820" w:type="dxa"/>
          </w:tcPr>
          <w:p w14:paraId="7A9A4D3D"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r w:rsidR="00A052DC" w14:paraId="791E0A10" w14:textId="77777777">
        <w:tc>
          <w:tcPr>
            <w:tcW w:w="2269" w:type="dxa"/>
          </w:tcPr>
          <w:p w14:paraId="5CCAE71D" w14:textId="77777777" w:rsidR="00A052DC" w:rsidRDefault="009F0A60">
            <w:pPr>
              <w:rPr>
                <w:rFonts w:ascii="黑体" w:eastAsia="黑体" w:hAnsi="黑体"/>
                <w:sz w:val="20"/>
                <w:szCs w:val="20"/>
              </w:rPr>
            </w:pPr>
            <w:r>
              <w:rPr>
                <w:rFonts w:ascii="黑体" w:eastAsia="黑体" w:hAnsi="黑体" w:hint="eastAsia"/>
                <w:sz w:val="20"/>
                <w:szCs w:val="20"/>
              </w:rPr>
              <w:t>关户日期</w:t>
            </w:r>
          </w:p>
        </w:tc>
        <w:tc>
          <w:tcPr>
            <w:tcW w:w="1417" w:type="dxa"/>
          </w:tcPr>
          <w:p w14:paraId="6F112EAE" w14:textId="77777777" w:rsidR="00A052DC" w:rsidRDefault="009F0A60">
            <w:pPr>
              <w:rPr>
                <w:rFonts w:ascii="黑体" w:eastAsia="黑体" w:hAnsi="黑体"/>
                <w:sz w:val="20"/>
                <w:szCs w:val="20"/>
              </w:rPr>
            </w:pPr>
            <w:r>
              <w:rPr>
                <w:rFonts w:ascii="黑体" w:eastAsia="黑体" w:hAnsi="黑体" w:hint="eastAsia"/>
                <w:sz w:val="20"/>
                <w:szCs w:val="20"/>
              </w:rPr>
              <w:t>日期型,8</w:t>
            </w:r>
          </w:p>
        </w:tc>
        <w:tc>
          <w:tcPr>
            <w:tcW w:w="4820" w:type="dxa"/>
          </w:tcPr>
          <w:p w14:paraId="0138BFAD" w14:textId="77777777" w:rsidR="00A052DC" w:rsidRDefault="009F0A60">
            <w:pPr>
              <w:rPr>
                <w:rFonts w:ascii="黑体" w:eastAsia="黑体" w:hAnsi="黑体"/>
                <w:sz w:val="20"/>
                <w:szCs w:val="20"/>
              </w:rPr>
            </w:pPr>
            <w:r>
              <w:rPr>
                <w:rFonts w:ascii="黑体" w:eastAsia="黑体" w:hAnsi="黑体" w:hint="eastAsia"/>
                <w:sz w:val="20"/>
                <w:szCs w:val="20"/>
              </w:rPr>
              <w:t>必填项，格式YYYYMMDD。</w:t>
            </w:r>
          </w:p>
        </w:tc>
      </w:tr>
      <w:tr w:rsidR="00A052DC" w14:paraId="1BF2D4D5" w14:textId="77777777">
        <w:tc>
          <w:tcPr>
            <w:tcW w:w="2269" w:type="dxa"/>
          </w:tcPr>
          <w:p w14:paraId="10750D30" w14:textId="77777777" w:rsidR="00A052DC" w:rsidRDefault="009F0A60">
            <w:pPr>
              <w:rPr>
                <w:rFonts w:ascii="黑体" w:eastAsia="黑体" w:hAnsi="黑体"/>
                <w:sz w:val="20"/>
                <w:szCs w:val="20"/>
              </w:rPr>
            </w:pPr>
            <w:r>
              <w:rPr>
                <w:rFonts w:ascii="黑体" w:eastAsia="黑体" w:hAnsi="黑体" w:hint="eastAsia"/>
                <w:sz w:val="20"/>
                <w:szCs w:val="20"/>
              </w:rPr>
              <w:t>关户原因</w:t>
            </w:r>
          </w:p>
        </w:tc>
        <w:tc>
          <w:tcPr>
            <w:tcW w:w="1417" w:type="dxa"/>
          </w:tcPr>
          <w:p w14:paraId="7587B5BD"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4820" w:type="dxa"/>
          </w:tcPr>
          <w:p w14:paraId="7254028D" w14:textId="77777777" w:rsidR="00A052DC" w:rsidRDefault="009F0A60">
            <w:pPr>
              <w:rPr>
                <w:rFonts w:ascii="黑体" w:eastAsia="黑体" w:hAnsi="黑体"/>
                <w:sz w:val="20"/>
                <w:szCs w:val="20"/>
              </w:rPr>
            </w:pPr>
            <w:r>
              <w:rPr>
                <w:rFonts w:ascii="黑体" w:eastAsia="黑体" w:hAnsi="黑体" w:hint="eastAsia"/>
                <w:sz w:val="20"/>
                <w:szCs w:val="20"/>
              </w:rPr>
              <w:t>必填项，关户时必须填写。见关户原因代码表。</w:t>
            </w:r>
          </w:p>
        </w:tc>
      </w:tr>
      <w:tr w:rsidR="00A052DC" w14:paraId="4004956B" w14:textId="77777777">
        <w:tc>
          <w:tcPr>
            <w:tcW w:w="2269" w:type="dxa"/>
          </w:tcPr>
          <w:p w14:paraId="4DDBC1B9" w14:textId="77777777" w:rsidR="00A052DC" w:rsidRDefault="009F0A60">
            <w:pPr>
              <w:rPr>
                <w:rFonts w:ascii="黑体" w:eastAsia="黑体" w:hAnsi="黑体"/>
                <w:sz w:val="20"/>
                <w:szCs w:val="20"/>
              </w:rPr>
            </w:pPr>
            <w:r>
              <w:rPr>
                <w:rFonts w:ascii="黑体" w:eastAsia="黑体" w:hAnsi="黑体" w:hint="eastAsia"/>
                <w:sz w:val="20"/>
                <w:szCs w:val="20"/>
              </w:rPr>
              <w:t>关户后资金处置类型</w:t>
            </w:r>
          </w:p>
        </w:tc>
        <w:tc>
          <w:tcPr>
            <w:tcW w:w="1417" w:type="dxa"/>
          </w:tcPr>
          <w:p w14:paraId="02A3C7F4" w14:textId="77777777" w:rsidR="00A052DC" w:rsidRDefault="009F0A60">
            <w:pPr>
              <w:rPr>
                <w:rFonts w:ascii="黑体" w:eastAsia="黑体" w:hAnsi="黑体"/>
                <w:sz w:val="20"/>
                <w:szCs w:val="20"/>
              </w:rPr>
            </w:pPr>
            <w:r>
              <w:rPr>
                <w:rFonts w:ascii="黑体" w:eastAsia="黑体" w:hAnsi="黑体" w:hint="eastAsia"/>
                <w:sz w:val="20"/>
                <w:szCs w:val="20"/>
              </w:rPr>
              <w:t>字符型，4</w:t>
            </w:r>
          </w:p>
        </w:tc>
        <w:tc>
          <w:tcPr>
            <w:tcW w:w="4820" w:type="dxa"/>
          </w:tcPr>
          <w:p w14:paraId="603A84C6" w14:textId="77777777" w:rsidR="00A052DC" w:rsidRDefault="009F0A60">
            <w:pPr>
              <w:rPr>
                <w:rFonts w:ascii="黑体" w:eastAsia="黑体" w:hAnsi="黑体"/>
                <w:sz w:val="20"/>
                <w:szCs w:val="20"/>
              </w:rPr>
            </w:pPr>
            <w:r>
              <w:rPr>
                <w:rFonts w:ascii="黑体" w:eastAsia="黑体" w:hAnsi="黑体" w:hint="eastAsia"/>
                <w:sz w:val="20"/>
                <w:szCs w:val="20"/>
              </w:rPr>
              <w:t>必填项。见关户后资金处置类型代码表。</w:t>
            </w:r>
          </w:p>
        </w:tc>
      </w:tr>
      <w:tr w:rsidR="00A052DC" w14:paraId="467498F0" w14:textId="77777777">
        <w:tc>
          <w:tcPr>
            <w:tcW w:w="2269" w:type="dxa"/>
          </w:tcPr>
          <w:p w14:paraId="0AE51386" w14:textId="77777777" w:rsidR="00A052DC" w:rsidRDefault="009F0A60">
            <w:pPr>
              <w:rPr>
                <w:rFonts w:ascii="黑体" w:eastAsia="黑体" w:hAnsi="黑体"/>
                <w:sz w:val="20"/>
                <w:szCs w:val="20"/>
              </w:rPr>
            </w:pPr>
            <w:r>
              <w:rPr>
                <w:rFonts w:ascii="黑体" w:eastAsia="黑体" w:hAnsi="黑体" w:hint="eastAsia"/>
                <w:sz w:val="20"/>
                <w:szCs w:val="20"/>
              </w:rPr>
              <w:t>结汇所得人民币资金划往的账户开户行代码</w:t>
            </w:r>
          </w:p>
        </w:tc>
        <w:tc>
          <w:tcPr>
            <w:tcW w:w="1417" w:type="dxa"/>
          </w:tcPr>
          <w:p w14:paraId="112AB381" w14:textId="77777777" w:rsidR="00A052DC" w:rsidRDefault="009F0A60">
            <w:pPr>
              <w:rPr>
                <w:rFonts w:ascii="黑体" w:eastAsia="黑体" w:hAnsi="黑体"/>
                <w:sz w:val="20"/>
                <w:szCs w:val="20"/>
              </w:rPr>
            </w:pPr>
            <w:r>
              <w:rPr>
                <w:rFonts w:ascii="黑体" w:eastAsia="黑体" w:hAnsi="黑体" w:hint="eastAsia"/>
                <w:sz w:val="20"/>
                <w:szCs w:val="20"/>
              </w:rPr>
              <w:t>字符型，12</w:t>
            </w:r>
          </w:p>
        </w:tc>
        <w:tc>
          <w:tcPr>
            <w:tcW w:w="4820" w:type="dxa"/>
          </w:tcPr>
          <w:p w14:paraId="2E351BB4" w14:textId="77777777" w:rsidR="00A052DC" w:rsidRDefault="009F0A60">
            <w:pPr>
              <w:rPr>
                <w:rFonts w:ascii="黑体" w:eastAsia="黑体" w:hAnsi="黑体"/>
                <w:sz w:val="20"/>
                <w:szCs w:val="20"/>
              </w:rPr>
            </w:pPr>
            <w:r>
              <w:rPr>
                <w:rFonts w:ascii="黑体" w:eastAsia="黑体" w:hAnsi="黑体" w:hint="eastAsia"/>
                <w:sz w:val="20"/>
                <w:szCs w:val="20"/>
              </w:rPr>
              <w:t>非必填项，金融机构标识码，当关户资金处置类型为结汇时，该字段为必填项。</w:t>
            </w:r>
          </w:p>
        </w:tc>
      </w:tr>
      <w:tr w:rsidR="00A052DC" w14:paraId="49CA431B" w14:textId="77777777">
        <w:tc>
          <w:tcPr>
            <w:tcW w:w="2269" w:type="dxa"/>
          </w:tcPr>
          <w:p w14:paraId="021C1325" w14:textId="77777777" w:rsidR="00A052DC" w:rsidRDefault="009F0A60">
            <w:pPr>
              <w:rPr>
                <w:rFonts w:ascii="黑体" w:eastAsia="黑体" w:hAnsi="黑体"/>
                <w:sz w:val="20"/>
                <w:szCs w:val="20"/>
              </w:rPr>
            </w:pPr>
            <w:r>
              <w:rPr>
                <w:rFonts w:ascii="黑体" w:eastAsia="黑体" w:hAnsi="黑体" w:hint="eastAsia"/>
                <w:sz w:val="20"/>
                <w:szCs w:val="20"/>
              </w:rPr>
              <w:t>结汇所得人民币资金划往的账户户名</w:t>
            </w:r>
          </w:p>
        </w:tc>
        <w:tc>
          <w:tcPr>
            <w:tcW w:w="1417" w:type="dxa"/>
          </w:tcPr>
          <w:p w14:paraId="0A1731C2"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4820" w:type="dxa"/>
          </w:tcPr>
          <w:p w14:paraId="36DCA59D" w14:textId="77777777" w:rsidR="00A052DC" w:rsidRDefault="009F0A60">
            <w:pPr>
              <w:rPr>
                <w:rFonts w:ascii="黑体" w:eastAsia="黑体" w:hAnsi="黑体"/>
                <w:sz w:val="20"/>
                <w:szCs w:val="20"/>
              </w:rPr>
            </w:pPr>
            <w:r>
              <w:rPr>
                <w:rFonts w:ascii="黑体" w:eastAsia="黑体" w:hAnsi="黑体" w:hint="eastAsia"/>
                <w:sz w:val="20"/>
                <w:szCs w:val="20"/>
              </w:rPr>
              <w:t>非必填项，当关户资金处置类型为结汇时，该字段为必填项。</w:t>
            </w:r>
          </w:p>
        </w:tc>
      </w:tr>
      <w:tr w:rsidR="00A052DC" w14:paraId="059BD1E3" w14:textId="77777777">
        <w:tc>
          <w:tcPr>
            <w:tcW w:w="2269" w:type="dxa"/>
          </w:tcPr>
          <w:p w14:paraId="6F7D2D82" w14:textId="77777777" w:rsidR="00A052DC" w:rsidRDefault="009F0A60">
            <w:pPr>
              <w:rPr>
                <w:rFonts w:ascii="黑体" w:eastAsia="黑体" w:hAnsi="黑体"/>
                <w:sz w:val="20"/>
                <w:szCs w:val="20"/>
              </w:rPr>
            </w:pPr>
            <w:r>
              <w:rPr>
                <w:rFonts w:ascii="黑体" w:eastAsia="黑体" w:hAnsi="黑体" w:hint="eastAsia"/>
                <w:sz w:val="20"/>
                <w:szCs w:val="20"/>
              </w:rPr>
              <w:t>结汇所得人民币资金划往的账户账号</w:t>
            </w:r>
          </w:p>
        </w:tc>
        <w:tc>
          <w:tcPr>
            <w:tcW w:w="1417" w:type="dxa"/>
          </w:tcPr>
          <w:p w14:paraId="3047D81A" w14:textId="77777777" w:rsidR="00A052DC" w:rsidRDefault="009F0A60">
            <w:pPr>
              <w:rPr>
                <w:rFonts w:ascii="黑体" w:eastAsia="黑体" w:hAnsi="黑体"/>
                <w:sz w:val="20"/>
                <w:szCs w:val="20"/>
              </w:rPr>
            </w:pPr>
            <w:r>
              <w:rPr>
                <w:rFonts w:ascii="黑体" w:eastAsia="黑体" w:hAnsi="黑体" w:hint="eastAsia"/>
                <w:sz w:val="20"/>
                <w:szCs w:val="20"/>
              </w:rPr>
              <w:t>字符型，64</w:t>
            </w:r>
          </w:p>
        </w:tc>
        <w:tc>
          <w:tcPr>
            <w:tcW w:w="4820" w:type="dxa"/>
          </w:tcPr>
          <w:p w14:paraId="4F3A2B4C" w14:textId="77777777" w:rsidR="00A052DC" w:rsidRDefault="009F0A60">
            <w:pPr>
              <w:rPr>
                <w:rFonts w:ascii="黑体" w:eastAsia="黑体" w:hAnsi="黑体"/>
                <w:sz w:val="20"/>
                <w:szCs w:val="20"/>
              </w:rPr>
            </w:pPr>
            <w:r>
              <w:rPr>
                <w:rFonts w:ascii="黑体" w:eastAsia="黑体" w:hAnsi="黑体" w:hint="eastAsia"/>
                <w:sz w:val="20"/>
                <w:szCs w:val="20"/>
              </w:rPr>
              <w:t>非必填项，当关户资金处置类型为结汇时，该字段为必填项。</w:t>
            </w:r>
          </w:p>
        </w:tc>
      </w:tr>
      <w:tr w:rsidR="00A052DC" w14:paraId="538EEE8E" w14:textId="77777777">
        <w:tc>
          <w:tcPr>
            <w:tcW w:w="2269" w:type="dxa"/>
          </w:tcPr>
          <w:p w14:paraId="45CFABAF" w14:textId="77777777" w:rsidR="00A052DC" w:rsidRDefault="009F0A60">
            <w:pPr>
              <w:rPr>
                <w:rFonts w:ascii="黑体" w:eastAsia="黑体" w:hAnsi="黑体"/>
                <w:sz w:val="20"/>
                <w:szCs w:val="20"/>
              </w:rPr>
            </w:pPr>
            <w:r>
              <w:rPr>
                <w:rFonts w:ascii="黑体" w:eastAsia="黑体" w:hAnsi="黑体" w:hint="eastAsia"/>
                <w:sz w:val="20"/>
                <w:szCs w:val="20"/>
              </w:rPr>
              <w:t>划往境内外汇账户开户行代码</w:t>
            </w:r>
          </w:p>
        </w:tc>
        <w:tc>
          <w:tcPr>
            <w:tcW w:w="1417" w:type="dxa"/>
          </w:tcPr>
          <w:p w14:paraId="4AFA3795" w14:textId="77777777" w:rsidR="00A052DC" w:rsidRDefault="009F0A60">
            <w:pPr>
              <w:rPr>
                <w:rFonts w:ascii="黑体" w:eastAsia="黑体" w:hAnsi="黑体"/>
                <w:sz w:val="20"/>
                <w:szCs w:val="20"/>
              </w:rPr>
            </w:pPr>
            <w:r>
              <w:rPr>
                <w:rFonts w:ascii="黑体" w:eastAsia="黑体" w:hAnsi="黑体" w:hint="eastAsia"/>
                <w:sz w:val="20"/>
                <w:szCs w:val="20"/>
              </w:rPr>
              <w:t>字符型，12</w:t>
            </w:r>
          </w:p>
        </w:tc>
        <w:tc>
          <w:tcPr>
            <w:tcW w:w="4820" w:type="dxa"/>
          </w:tcPr>
          <w:p w14:paraId="7C333541" w14:textId="77777777" w:rsidR="00A052DC" w:rsidRDefault="009F0A60">
            <w:pPr>
              <w:rPr>
                <w:rFonts w:ascii="黑体" w:eastAsia="黑体" w:hAnsi="黑体"/>
                <w:sz w:val="20"/>
                <w:szCs w:val="20"/>
              </w:rPr>
            </w:pPr>
            <w:r>
              <w:rPr>
                <w:rFonts w:ascii="黑体" w:eastAsia="黑体" w:hAnsi="黑体" w:hint="eastAsia"/>
                <w:sz w:val="20"/>
                <w:szCs w:val="20"/>
              </w:rPr>
              <w:t>非必填项，当关户资金处置类型为境内划转时，该字段为必填项，金融机构标识码。</w:t>
            </w:r>
          </w:p>
        </w:tc>
      </w:tr>
      <w:tr w:rsidR="00A052DC" w14:paraId="237A7FAA" w14:textId="77777777">
        <w:tc>
          <w:tcPr>
            <w:tcW w:w="2269" w:type="dxa"/>
          </w:tcPr>
          <w:p w14:paraId="2D62A5D0" w14:textId="77777777" w:rsidR="00A052DC" w:rsidRDefault="009F0A60">
            <w:pPr>
              <w:rPr>
                <w:rFonts w:ascii="黑体" w:eastAsia="黑体" w:hAnsi="黑体"/>
                <w:sz w:val="20"/>
                <w:szCs w:val="20"/>
              </w:rPr>
            </w:pPr>
            <w:r>
              <w:rPr>
                <w:rFonts w:ascii="黑体" w:eastAsia="黑体" w:hAnsi="黑体" w:hint="eastAsia"/>
                <w:sz w:val="20"/>
                <w:szCs w:val="20"/>
              </w:rPr>
              <w:t>划往境内外汇账户户名</w:t>
            </w:r>
          </w:p>
        </w:tc>
        <w:tc>
          <w:tcPr>
            <w:tcW w:w="1417" w:type="dxa"/>
          </w:tcPr>
          <w:p w14:paraId="3C7FE971"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4820" w:type="dxa"/>
          </w:tcPr>
          <w:p w14:paraId="122B5577" w14:textId="77777777" w:rsidR="00A052DC" w:rsidRDefault="009F0A60">
            <w:pPr>
              <w:rPr>
                <w:rFonts w:ascii="黑体" w:eastAsia="黑体" w:hAnsi="黑体"/>
                <w:sz w:val="20"/>
                <w:szCs w:val="20"/>
              </w:rPr>
            </w:pPr>
            <w:r>
              <w:rPr>
                <w:rFonts w:ascii="黑体" w:eastAsia="黑体" w:hAnsi="黑体" w:hint="eastAsia"/>
                <w:sz w:val="20"/>
                <w:szCs w:val="20"/>
              </w:rPr>
              <w:t>非必填项，当关户资金处置类型为境内划转时，该字段为必填项。</w:t>
            </w:r>
          </w:p>
        </w:tc>
      </w:tr>
      <w:tr w:rsidR="00A052DC" w14:paraId="7702ED94" w14:textId="77777777">
        <w:tc>
          <w:tcPr>
            <w:tcW w:w="2269" w:type="dxa"/>
          </w:tcPr>
          <w:p w14:paraId="2D805089" w14:textId="77777777" w:rsidR="00A052DC" w:rsidRDefault="009F0A60">
            <w:pPr>
              <w:rPr>
                <w:rFonts w:ascii="黑体" w:eastAsia="黑体" w:hAnsi="黑体"/>
                <w:sz w:val="20"/>
                <w:szCs w:val="20"/>
              </w:rPr>
            </w:pPr>
            <w:r>
              <w:rPr>
                <w:rFonts w:ascii="黑体" w:eastAsia="黑体" w:hAnsi="黑体" w:hint="eastAsia"/>
                <w:sz w:val="20"/>
                <w:szCs w:val="20"/>
              </w:rPr>
              <w:t>划往境内外汇账户账号</w:t>
            </w:r>
          </w:p>
        </w:tc>
        <w:tc>
          <w:tcPr>
            <w:tcW w:w="1417" w:type="dxa"/>
          </w:tcPr>
          <w:p w14:paraId="2E9E5EF4" w14:textId="77777777" w:rsidR="00A052DC" w:rsidRDefault="009F0A60">
            <w:pPr>
              <w:rPr>
                <w:rFonts w:ascii="黑体" w:eastAsia="黑体" w:hAnsi="黑体"/>
                <w:sz w:val="20"/>
                <w:szCs w:val="20"/>
              </w:rPr>
            </w:pPr>
            <w:r>
              <w:rPr>
                <w:rFonts w:ascii="黑体" w:eastAsia="黑体" w:hAnsi="黑体" w:hint="eastAsia"/>
                <w:sz w:val="20"/>
                <w:szCs w:val="20"/>
              </w:rPr>
              <w:t>字符型，64</w:t>
            </w:r>
          </w:p>
        </w:tc>
        <w:tc>
          <w:tcPr>
            <w:tcW w:w="4820" w:type="dxa"/>
          </w:tcPr>
          <w:p w14:paraId="0CAD7F8D" w14:textId="77777777" w:rsidR="00A052DC" w:rsidRDefault="009F0A60">
            <w:pPr>
              <w:rPr>
                <w:rFonts w:ascii="黑体" w:eastAsia="黑体" w:hAnsi="黑体"/>
                <w:sz w:val="20"/>
                <w:szCs w:val="20"/>
              </w:rPr>
            </w:pPr>
            <w:r>
              <w:rPr>
                <w:rFonts w:ascii="黑体" w:eastAsia="黑体" w:hAnsi="黑体" w:hint="eastAsia"/>
                <w:sz w:val="20"/>
                <w:szCs w:val="20"/>
              </w:rPr>
              <w:t>非必填项，当关户资金处置类型为境内划转时，该字段为必填项。</w:t>
            </w:r>
          </w:p>
        </w:tc>
      </w:tr>
      <w:tr w:rsidR="00A052DC" w14:paraId="02BE63EA" w14:textId="77777777">
        <w:tc>
          <w:tcPr>
            <w:tcW w:w="2269" w:type="dxa"/>
          </w:tcPr>
          <w:p w14:paraId="46615128" w14:textId="77777777" w:rsidR="00A052DC" w:rsidRDefault="009F0A60">
            <w:pPr>
              <w:rPr>
                <w:rFonts w:ascii="黑体" w:eastAsia="黑体" w:hAnsi="黑体"/>
                <w:sz w:val="20"/>
                <w:szCs w:val="20"/>
              </w:rPr>
            </w:pPr>
            <w:r>
              <w:rPr>
                <w:rFonts w:ascii="黑体" w:eastAsia="黑体" w:hAnsi="黑体" w:hint="eastAsia"/>
                <w:sz w:val="20"/>
                <w:szCs w:val="20"/>
              </w:rPr>
              <w:t>汇出境外收款账户开户行代码</w:t>
            </w:r>
          </w:p>
        </w:tc>
        <w:tc>
          <w:tcPr>
            <w:tcW w:w="1417" w:type="dxa"/>
          </w:tcPr>
          <w:p w14:paraId="1E735841" w14:textId="77777777" w:rsidR="00A052DC" w:rsidRDefault="009F0A60">
            <w:pPr>
              <w:rPr>
                <w:rFonts w:ascii="黑体" w:eastAsia="黑体" w:hAnsi="黑体"/>
                <w:sz w:val="20"/>
                <w:szCs w:val="20"/>
              </w:rPr>
            </w:pPr>
            <w:r>
              <w:rPr>
                <w:rFonts w:ascii="黑体" w:eastAsia="黑体" w:hAnsi="黑体" w:hint="eastAsia"/>
                <w:sz w:val="20"/>
                <w:szCs w:val="20"/>
              </w:rPr>
              <w:t>字符型，32</w:t>
            </w:r>
          </w:p>
        </w:tc>
        <w:tc>
          <w:tcPr>
            <w:tcW w:w="4820" w:type="dxa"/>
          </w:tcPr>
          <w:p w14:paraId="4A0D7E98" w14:textId="77777777" w:rsidR="00A052DC" w:rsidRDefault="009F0A60">
            <w:pPr>
              <w:rPr>
                <w:rFonts w:ascii="黑体" w:eastAsia="黑体" w:hAnsi="黑体"/>
                <w:sz w:val="20"/>
                <w:szCs w:val="20"/>
              </w:rPr>
            </w:pPr>
            <w:r>
              <w:rPr>
                <w:rFonts w:ascii="黑体" w:eastAsia="黑体" w:hAnsi="黑体" w:hint="eastAsia"/>
                <w:sz w:val="20"/>
                <w:szCs w:val="20"/>
              </w:rPr>
              <w:t>非必填项，当关户资金处置类型为汇出境外时，该字段为必填项。</w:t>
            </w:r>
          </w:p>
        </w:tc>
      </w:tr>
      <w:tr w:rsidR="00A052DC" w14:paraId="37AC9DBE" w14:textId="77777777">
        <w:tc>
          <w:tcPr>
            <w:tcW w:w="2269" w:type="dxa"/>
          </w:tcPr>
          <w:p w14:paraId="5D0BC18D" w14:textId="77777777" w:rsidR="00A052DC" w:rsidRDefault="009F0A60">
            <w:pPr>
              <w:rPr>
                <w:rFonts w:ascii="黑体" w:eastAsia="黑体" w:hAnsi="黑体"/>
                <w:sz w:val="20"/>
                <w:szCs w:val="20"/>
              </w:rPr>
            </w:pPr>
            <w:r>
              <w:rPr>
                <w:rFonts w:ascii="黑体" w:eastAsia="黑体" w:hAnsi="黑体" w:hint="eastAsia"/>
                <w:sz w:val="20"/>
                <w:szCs w:val="20"/>
              </w:rPr>
              <w:t>汇出境外收款账户户名</w:t>
            </w:r>
          </w:p>
        </w:tc>
        <w:tc>
          <w:tcPr>
            <w:tcW w:w="1417" w:type="dxa"/>
          </w:tcPr>
          <w:p w14:paraId="270D2B3F"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4820" w:type="dxa"/>
          </w:tcPr>
          <w:p w14:paraId="3F40E561" w14:textId="77777777" w:rsidR="00A052DC" w:rsidRDefault="009F0A60">
            <w:pPr>
              <w:rPr>
                <w:rFonts w:ascii="黑体" w:eastAsia="黑体" w:hAnsi="黑体"/>
                <w:sz w:val="20"/>
                <w:szCs w:val="20"/>
              </w:rPr>
            </w:pPr>
            <w:r>
              <w:rPr>
                <w:rFonts w:ascii="黑体" w:eastAsia="黑体" w:hAnsi="黑体" w:hint="eastAsia"/>
                <w:sz w:val="20"/>
                <w:szCs w:val="20"/>
              </w:rPr>
              <w:t>非必填项，当关户资金处置类型为汇出境外时，该字段为必填项。</w:t>
            </w:r>
          </w:p>
        </w:tc>
      </w:tr>
      <w:tr w:rsidR="00A052DC" w14:paraId="475F855E" w14:textId="77777777">
        <w:tc>
          <w:tcPr>
            <w:tcW w:w="2269" w:type="dxa"/>
          </w:tcPr>
          <w:p w14:paraId="742C6440" w14:textId="77777777" w:rsidR="00A052DC" w:rsidRDefault="009F0A60">
            <w:pPr>
              <w:rPr>
                <w:rFonts w:ascii="黑体" w:eastAsia="黑体" w:hAnsi="黑体"/>
                <w:sz w:val="20"/>
                <w:szCs w:val="20"/>
              </w:rPr>
            </w:pPr>
            <w:r>
              <w:rPr>
                <w:rFonts w:ascii="黑体" w:eastAsia="黑体" w:hAnsi="黑体" w:hint="eastAsia"/>
                <w:sz w:val="20"/>
                <w:szCs w:val="20"/>
              </w:rPr>
              <w:t>汇出境外收款账户账号</w:t>
            </w:r>
          </w:p>
        </w:tc>
        <w:tc>
          <w:tcPr>
            <w:tcW w:w="1417" w:type="dxa"/>
          </w:tcPr>
          <w:p w14:paraId="660EF078" w14:textId="77777777" w:rsidR="00A052DC" w:rsidRDefault="009F0A60">
            <w:pPr>
              <w:rPr>
                <w:rFonts w:ascii="黑体" w:eastAsia="黑体" w:hAnsi="黑体"/>
                <w:sz w:val="20"/>
                <w:szCs w:val="20"/>
              </w:rPr>
            </w:pPr>
            <w:r>
              <w:rPr>
                <w:rFonts w:ascii="黑体" w:eastAsia="黑体" w:hAnsi="黑体" w:hint="eastAsia"/>
                <w:sz w:val="20"/>
                <w:szCs w:val="20"/>
              </w:rPr>
              <w:t>字符型，64</w:t>
            </w:r>
          </w:p>
        </w:tc>
        <w:tc>
          <w:tcPr>
            <w:tcW w:w="4820" w:type="dxa"/>
          </w:tcPr>
          <w:p w14:paraId="662C2A4C" w14:textId="77777777" w:rsidR="00A052DC" w:rsidRDefault="009F0A60">
            <w:pPr>
              <w:rPr>
                <w:rFonts w:ascii="黑体" w:eastAsia="黑体" w:hAnsi="黑体"/>
                <w:sz w:val="20"/>
                <w:szCs w:val="20"/>
              </w:rPr>
            </w:pPr>
            <w:r>
              <w:rPr>
                <w:rFonts w:ascii="黑体" w:eastAsia="黑体" w:hAnsi="黑体" w:hint="eastAsia"/>
                <w:sz w:val="20"/>
                <w:szCs w:val="20"/>
              </w:rPr>
              <w:t>非必填项，当关户资金处置类型为汇出境外时，该字段为必填项。</w:t>
            </w:r>
          </w:p>
        </w:tc>
      </w:tr>
      <w:tr w:rsidR="00A052DC" w14:paraId="4D1516BC" w14:textId="77777777">
        <w:tc>
          <w:tcPr>
            <w:tcW w:w="2269" w:type="dxa"/>
            <w:tcBorders>
              <w:top w:val="single" w:sz="4" w:space="0" w:color="auto"/>
              <w:left w:val="single" w:sz="4" w:space="0" w:color="auto"/>
              <w:bottom w:val="single" w:sz="4" w:space="0" w:color="auto"/>
              <w:right w:val="single" w:sz="4" w:space="0" w:color="auto"/>
            </w:tcBorders>
          </w:tcPr>
          <w:p w14:paraId="368C463C" w14:textId="77777777" w:rsidR="00A052DC" w:rsidRDefault="009F0A60">
            <w:pPr>
              <w:rPr>
                <w:rFonts w:ascii="黑体" w:eastAsia="黑体" w:hAnsi="黑体"/>
                <w:sz w:val="20"/>
                <w:szCs w:val="20"/>
              </w:rPr>
            </w:pPr>
            <w:r>
              <w:rPr>
                <w:rFonts w:ascii="黑体" w:eastAsia="黑体" w:hAnsi="黑体" w:hint="eastAsia"/>
                <w:sz w:val="20"/>
                <w:szCs w:val="20"/>
              </w:rPr>
              <w:t>备注</w:t>
            </w:r>
          </w:p>
        </w:tc>
        <w:tc>
          <w:tcPr>
            <w:tcW w:w="1417" w:type="dxa"/>
            <w:tcBorders>
              <w:top w:val="single" w:sz="4" w:space="0" w:color="auto"/>
              <w:left w:val="single" w:sz="4" w:space="0" w:color="auto"/>
              <w:bottom w:val="single" w:sz="4" w:space="0" w:color="auto"/>
              <w:right w:val="single" w:sz="4" w:space="0" w:color="auto"/>
            </w:tcBorders>
          </w:tcPr>
          <w:p w14:paraId="3E6F3288" w14:textId="77777777" w:rsidR="00A052DC" w:rsidRDefault="009F0A60">
            <w:pPr>
              <w:rPr>
                <w:rFonts w:ascii="黑体" w:eastAsia="黑体" w:hAnsi="黑体"/>
                <w:sz w:val="20"/>
                <w:szCs w:val="20"/>
              </w:rPr>
            </w:pPr>
            <w:r>
              <w:rPr>
                <w:rFonts w:ascii="黑体" w:eastAsia="黑体" w:hAnsi="黑体" w:hint="eastAsia"/>
                <w:sz w:val="20"/>
                <w:szCs w:val="20"/>
              </w:rPr>
              <w:t>字符型，256</w:t>
            </w:r>
          </w:p>
        </w:tc>
        <w:tc>
          <w:tcPr>
            <w:tcW w:w="4820" w:type="dxa"/>
            <w:tcBorders>
              <w:top w:val="single" w:sz="4" w:space="0" w:color="auto"/>
              <w:left w:val="single" w:sz="4" w:space="0" w:color="auto"/>
              <w:bottom w:val="single" w:sz="4" w:space="0" w:color="auto"/>
              <w:right w:val="single" w:sz="4" w:space="0" w:color="auto"/>
            </w:tcBorders>
          </w:tcPr>
          <w:p w14:paraId="4AF250DD" w14:textId="77777777" w:rsidR="00A052DC" w:rsidRDefault="009F0A60">
            <w:pPr>
              <w:rPr>
                <w:rFonts w:ascii="黑体" w:eastAsia="黑体" w:hAnsi="黑体"/>
                <w:sz w:val="20"/>
                <w:szCs w:val="20"/>
              </w:rPr>
            </w:pPr>
            <w:r>
              <w:rPr>
                <w:rFonts w:ascii="黑体" w:eastAsia="黑体" w:hAnsi="黑体" w:hint="eastAsia"/>
                <w:sz w:val="20"/>
                <w:szCs w:val="20"/>
              </w:rPr>
              <w:t>非必填项。</w:t>
            </w:r>
          </w:p>
        </w:tc>
      </w:tr>
    </w:tbl>
    <w:p w14:paraId="3D160C14" w14:textId="77777777" w:rsidR="00A052DC" w:rsidRDefault="00A052DC"/>
    <w:p w14:paraId="11DA36AE" w14:textId="77777777" w:rsidR="00A052DC" w:rsidRDefault="009F0A60" w:rsidP="0020251D">
      <w:pPr>
        <w:pStyle w:val="4"/>
        <w:numPr>
          <w:ilvl w:val="3"/>
          <w:numId w:val="1"/>
        </w:numPr>
        <w:jc w:val="left"/>
      </w:pPr>
      <w:bookmarkStart w:id="2923" w:name="_Toc454391204"/>
      <w:bookmarkStart w:id="2924" w:name="_Toc328635598"/>
      <w:r>
        <w:rPr>
          <w:rFonts w:hint="eastAsia"/>
        </w:rPr>
        <w:t>境内专用外汇账户收支信息</w:t>
      </w:r>
      <w:bookmarkEnd w:id="2923"/>
      <w:bookmarkEnd w:id="2924"/>
    </w:p>
    <w:p w14:paraId="7B707BC3" w14:textId="77777777" w:rsidR="00A052DC" w:rsidRDefault="009F0A60" w:rsidP="0020251D">
      <w:pPr>
        <w:pStyle w:val="5"/>
        <w:numPr>
          <w:ilvl w:val="4"/>
          <w:numId w:val="1"/>
        </w:numPr>
        <w:spacing w:before="120" w:after="120" w:line="360" w:lineRule="auto"/>
        <w:jc w:val="left"/>
      </w:pPr>
      <w:bookmarkStart w:id="2925" w:name="_Toc328635599"/>
      <w:bookmarkStart w:id="2926" w:name="_Toc454391205"/>
      <w:r>
        <w:rPr>
          <w:rFonts w:hint="eastAsia"/>
        </w:rPr>
        <w:t>数据术语解释</w:t>
      </w:r>
      <w:bookmarkEnd w:id="2925"/>
      <w:bookmarkEnd w:id="2926"/>
    </w:p>
    <w:tbl>
      <w:tblPr>
        <w:tblW w:w="84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26"/>
        <w:gridCol w:w="6946"/>
      </w:tblGrid>
      <w:tr w:rsidR="00A052DC" w14:paraId="42EEF13B" w14:textId="77777777">
        <w:tc>
          <w:tcPr>
            <w:tcW w:w="1526" w:type="dxa"/>
          </w:tcPr>
          <w:p w14:paraId="2548DDC7" w14:textId="77777777" w:rsidR="00A052DC" w:rsidRDefault="009F0A60">
            <w:pPr>
              <w:jc w:val="center"/>
              <w:rPr>
                <w:rFonts w:ascii="黑体" w:eastAsia="黑体" w:hAnsi="黑体"/>
                <w:b/>
                <w:sz w:val="20"/>
                <w:szCs w:val="20"/>
              </w:rPr>
            </w:pPr>
            <w:r>
              <w:rPr>
                <w:rFonts w:ascii="黑体" w:eastAsia="黑体" w:hAnsi="黑体" w:hint="eastAsia"/>
                <w:b/>
                <w:sz w:val="20"/>
                <w:szCs w:val="20"/>
              </w:rPr>
              <w:t>基础数据项</w:t>
            </w:r>
          </w:p>
        </w:tc>
        <w:tc>
          <w:tcPr>
            <w:tcW w:w="6946" w:type="dxa"/>
          </w:tcPr>
          <w:p w14:paraId="7770F188" w14:textId="77777777" w:rsidR="00A052DC" w:rsidRDefault="009F0A60">
            <w:pPr>
              <w:jc w:val="center"/>
              <w:rPr>
                <w:rFonts w:ascii="黑体" w:eastAsia="黑体" w:hAnsi="黑体"/>
                <w:b/>
                <w:sz w:val="20"/>
                <w:szCs w:val="20"/>
              </w:rPr>
            </w:pPr>
            <w:r>
              <w:rPr>
                <w:rFonts w:ascii="黑体" w:eastAsia="黑体" w:hAnsi="黑体" w:hint="eastAsia"/>
                <w:b/>
                <w:sz w:val="20"/>
                <w:szCs w:val="20"/>
              </w:rPr>
              <w:t>定义</w:t>
            </w:r>
          </w:p>
        </w:tc>
      </w:tr>
      <w:tr w:rsidR="00A052DC" w14:paraId="19D18F87" w14:textId="77777777">
        <w:tc>
          <w:tcPr>
            <w:tcW w:w="1526" w:type="dxa"/>
          </w:tcPr>
          <w:p w14:paraId="63A943F7" w14:textId="77777777" w:rsidR="00A052DC" w:rsidRDefault="009F0A60">
            <w:pPr>
              <w:rPr>
                <w:rFonts w:ascii="黑体" w:eastAsia="黑体" w:hAnsi="黑体"/>
                <w:sz w:val="20"/>
                <w:szCs w:val="20"/>
              </w:rPr>
            </w:pPr>
            <w:r>
              <w:rPr>
                <w:rFonts w:ascii="黑体" w:eastAsia="黑体" w:hAnsi="黑体" w:hint="eastAsia"/>
                <w:sz w:val="20"/>
                <w:szCs w:val="20"/>
              </w:rPr>
              <w:t>业务编号</w:t>
            </w:r>
          </w:p>
        </w:tc>
        <w:tc>
          <w:tcPr>
            <w:tcW w:w="6946" w:type="dxa"/>
          </w:tcPr>
          <w:p w14:paraId="6FA14B45" w14:textId="77777777" w:rsidR="00A052DC" w:rsidRDefault="009F0A60">
            <w:pPr>
              <w:rPr>
                <w:rFonts w:ascii="黑体" w:eastAsia="黑体" w:hAnsi="黑体"/>
                <w:sz w:val="20"/>
                <w:szCs w:val="20"/>
              </w:rPr>
            </w:pPr>
            <w:r>
              <w:rPr>
                <w:rFonts w:ascii="黑体" w:eastAsia="黑体" w:hAnsi="黑体" w:hint="eastAsia"/>
                <w:sz w:val="20"/>
                <w:szCs w:val="20"/>
              </w:rPr>
              <w:t>外汇局签发的境内个人参与境外上市股权激励计划业务编号。</w:t>
            </w:r>
          </w:p>
        </w:tc>
      </w:tr>
      <w:tr w:rsidR="00A052DC" w14:paraId="70FC4A96" w14:textId="77777777">
        <w:tc>
          <w:tcPr>
            <w:tcW w:w="1526" w:type="dxa"/>
          </w:tcPr>
          <w:p w14:paraId="177BF275" w14:textId="77777777" w:rsidR="00A052DC" w:rsidRDefault="009F0A60">
            <w:pPr>
              <w:rPr>
                <w:rFonts w:ascii="黑体" w:eastAsia="黑体" w:hAnsi="黑体"/>
                <w:sz w:val="20"/>
                <w:szCs w:val="20"/>
              </w:rPr>
            </w:pPr>
            <w:r>
              <w:rPr>
                <w:rFonts w:ascii="黑体" w:eastAsia="黑体" w:hAnsi="黑体" w:hint="eastAsia"/>
                <w:sz w:val="20"/>
                <w:szCs w:val="20"/>
              </w:rPr>
              <w:t>开户银行代码</w:t>
            </w:r>
          </w:p>
        </w:tc>
        <w:tc>
          <w:tcPr>
            <w:tcW w:w="6946" w:type="dxa"/>
          </w:tcPr>
          <w:p w14:paraId="09111FC4" w14:textId="77777777" w:rsidR="00A052DC" w:rsidRDefault="009F0A60">
            <w:pPr>
              <w:rPr>
                <w:rFonts w:ascii="黑体" w:eastAsia="黑体" w:hAnsi="黑体"/>
                <w:sz w:val="20"/>
                <w:szCs w:val="20"/>
              </w:rPr>
            </w:pPr>
            <w:r>
              <w:rPr>
                <w:rFonts w:ascii="黑体" w:eastAsia="黑体" w:hAnsi="黑体" w:hint="eastAsia"/>
                <w:sz w:val="20"/>
                <w:szCs w:val="20"/>
              </w:rPr>
              <w:t>国家外汇管理局及其分支局签发给境内开户银行的</w:t>
            </w:r>
            <w:r>
              <w:rPr>
                <w:rFonts w:ascii="黑体" w:eastAsia="黑体" w:hAnsi="黑体"/>
                <w:sz w:val="20"/>
                <w:szCs w:val="20"/>
              </w:rPr>
              <w:t>12</w:t>
            </w:r>
            <w:r>
              <w:rPr>
                <w:rFonts w:ascii="黑体" w:eastAsia="黑体" w:hAnsi="黑体" w:hint="eastAsia"/>
                <w:sz w:val="20"/>
                <w:szCs w:val="20"/>
              </w:rPr>
              <w:t>位金融机构标识码编码。</w:t>
            </w:r>
          </w:p>
        </w:tc>
      </w:tr>
      <w:tr w:rsidR="00A052DC" w14:paraId="0C5C39BC" w14:textId="77777777">
        <w:tc>
          <w:tcPr>
            <w:tcW w:w="1526" w:type="dxa"/>
          </w:tcPr>
          <w:p w14:paraId="19C65907" w14:textId="77777777" w:rsidR="00A052DC" w:rsidRDefault="009F0A60">
            <w:pPr>
              <w:rPr>
                <w:rFonts w:ascii="黑体" w:eastAsia="黑体" w:hAnsi="黑体"/>
                <w:sz w:val="20"/>
                <w:szCs w:val="20"/>
              </w:rPr>
            </w:pPr>
            <w:r>
              <w:rPr>
                <w:rFonts w:ascii="黑体" w:eastAsia="黑体" w:hAnsi="黑体" w:hint="eastAsia"/>
                <w:sz w:val="20"/>
                <w:szCs w:val="20"/>
              </w:rPr>
              <w:t>开户境内代理机构代码</w:t>
            </w:r>
          </w:p>
        </w:tc>
        <w:tc>
          <w:tcPr>
            <w:tcW w:w="6946" w:type="dxa"/>
          </w:tcPr>
          <w:p w14:paraId="695210D2" w14:textId="77777777" w:rsidR="00A052DC" w:rsidRDefault="009F0A60">
            <w:pPr>
              <w:rPr>
                <w:rFonts w:ascii="黑体" w:eastAsia="黑体" w:hAnsi="黑体"/>
                <w:sz w:val="20"/>
                <w:szCs w:val="20"/>
              </w:rPr>
            </w:pPr>
            <w:r>
              <w:rPr>
                <w:rFonts w:ascii="黑体" w:eastAsia="黑体" w:hAnsi="黑体" w:hint="eastAsia"/>
                <w:sz w:val="20"/>
                <w:szCs w:val="20"/>
              </w:rPr>
              <w:t>境内个人参与境外上市公司股权激励计划境内代理机构的统一社会信用代码中的第9至17位。</w:t>
            </w:r>
          </w:p>
        </w:tc>
      </w:tr>
      <w:tr w:rsidR="00A052DC" w14:paraId="4ABD5E1E" w14:textId="77777777">
        <w:tc>
          <w:tcPr>
            <w:tcW w:w="1526" w:type="dxa"/>
          </w:tcPr>
          <w:p w14:paraId="491F94EC" w14:textId="77777777" w:rsidR="00A052DC" w:rsidRDefault="009F0A60">
            <w:pPr>
              <w:rPr>
                <w:rFonts w:ascii="黑体" w:eastAsia="黑体" w:hAnsi="黑体"/>
                <w:sz w:val="20"/>
                <w:szCs w:val="20"/>
              </w:rPr>
            </w:pPr>
            <w:r>
              <w:rPr>
                <w:rFonts w:ascii="黑体" w:eastAsia="黑体" w:hAnsi="黑体" w:hint="eastAsia"/>
                <w:sz w:val="20"/>
                <w:szCs w:val="20"/>
              </w:rPr>
              <w:t>开户境内代理机构名称</w:t>
            </w:r>
          </w:p>
        </w:tc>
        <w:tc>
          <w:tcPr>
            <w:tcW w:w="6946" w:type="dxa"/>
          </w:tcPr>
          <w:p w14:paraId="5BA10157" w14:textId="77777777" w:rsidR="00A052DC" w:rsidRDefault="009F0A60">
            <w:pPr>
              <w:rPr>
                <w:rFonts w:ascii="黑体" w:eastAsia="黑体" w:hAnsi="黑体"/>
                <w:sz w:val="20"/>
                <w:szCs w:val="20"/>
              </w:rPr>
            </w:pPr>
            <w:r>
              <w:rPr>
                <w:rFonts w:ascii="黑体" w:eastAsia="黑体" w:hAnsi="黑体" w:hint="eastAsia"/>
                <w:sz w:val="20"/>
                <w:szCs w:val="20"/>
              </w:rPr>
              <w:t>境内个人参与境外上市公司股权激励计划境内代理机构名称。</w:t>
            </w:r>
          </w:p>
        </w:tc>
      </w:tr>
      <w:tr w:rsidR="00A052DC" w14:paraId="363A9E20" w14:textId="77777777">
        <w:trPr>
          <w:cantSplit/>
        </w:trPr>
        <w:tc>
          <w:tcPr>
            <w:tcW w:w="1526" w:type="dxa"/>
          </w:tcPr>
          <w:p w14:paraId="5DD073DF" w14:textId="77777777" w:rsidR="00A052DC" w:rsidRDefault="009F0A60">
            <w:pPr>
              <w:rPr>
                <w:rFonts w:ascii="黑体" w:eastAsia="黑体" w:hAnsi="黑体"/>
                <w:sz w:val="20"/>
                <w:szCs w:val="20"/>
              </w:rPr>
            </w:pPr>
            <w:r>
              <w:rPr>
                <w:rFonts w:ascii="黑体" w:eastAsia="黑体" w:hAnsi="黑体" w:hint="eastAsia"/>
                <w:sz w:val="20"/>
                <w:szCs w:val="20"/>
              </w:rPr>
              <w:t>境内专用外汇账户账号</w:t>
            </w:r>
          </w:p>
        </w:tc>
        <w:tc>
          <w:tcPr>
            <w:tcW w:w="6946" w:type="dxa"/>
          </w:tcPr>
          <w:p w14:paraId="20FA1D16" w14:textId="77777777" w:rsidR="00A052DC" w:rsidRDefault="009F0A60">
            <w:pPr>
              <w:rPr>
                <w:rFonts w:ascii="黑体" w:eastAsia="黑体" w:hAnsi="黑体"/>
                <w:sz w:val="20"/>
                <w:szCs w:val="20"/>
              </w:rPr>
            </w:pPr>
            <w:r>
              <w:rPr>
                <w:rFonts w:ascii="黑体" w:eastAsia="黑体" w:hAnsi="黑体" w:hint="eastAsia"/>
                <w:sz w:val="20"/>
                <w:szCs w:val="20"/>
              </w:rPr>
              <w:t>境内个人参与境外上市公司股权激励计划境内专用外汇账户银行账号。</w:t>
            </w:r>
          </w:p>
        </w:tc>
      </w:tr>
      <w:tr w:rsidR="00A052DC" w14:paraId="73FE308B" w14:textId="77777777">
        <w:trPr>
          <w:cantSplit/>
        </w:trPr>
        <w:tc>
          <w:tcPr>
            <w:tcW w:w="1526" w:type="dxa"/>
          </w:tcPr>
          <w:p w14:paraId="01D0EFE5" w14:textId="77777777" w:rsidR="00A052DC" w:rsidRDefault="009F0A60">
            <w:pPr>
              <w:rPr>
                <w:rFonts w:ascii="黑体" w:eastAsia="黑体" w:hAnsi="黑体"/>
                <w:sz w:val="20"/>
                <w:szCs w:val="20"/>
              </w:rPr>
            </w:pPr>
            <w:r>
              <w:rPr>
                <w:rFonts w:ascii="黑体" w:eastAsia="黑体" w:hAnsi="黑体" w:hint="eastAsia"/>
                <w:sz w:val="20"/>
                <w:szCs w:val="20"/>
              </w:rPr>
              <w:t>报告期</w:t>
            </w:r>
          </w:p>
        </w:tc>
        <w:tc>
          <w:tcPr>
            <w:tcW w:w="6946" w:type="dxa"/>
          </w:tcPr>
          <w:p w14:paraId="478FD57E" w14:textId="77777777" w:rsidR="00A052DC" w:rsidRDefault="009F0A60">
            <w:pPr>
              <w:rPr>
                <w:rFonts w:ascii="黑体" w:eastAsia="黑体" w:hAnsi="黑体"/>
                <w:sz w:val="20"/>
                <w:szCs w:val="20"/>
              </w:rPr>
            </w:pPr>
            <w:r>
              <w:rPr>
                <w:rFonts w:ascii="黑体" w:eastAsia="黑体" w:hAnsi="黑体" w:hint="eastAsia"/>
                <w:sz w:val="20"/>
                <w:szCs w:val="20"/>
              </w:rPr>
              <w:t>业务发生月份，格式为</w:t>
            </w:r>
            <w:r>
              <w:rPr>
                <w:rFonts w:ascii="黑体" w:eastAsia="黑体" w:hAnsi="黑体"/>
                <w:sz w:val="20"/>
                <w:szCs w:val="20"/>
              </w:rPr>
              <w:t>YYYYMM</w:t>
            </w:r>
            <w:r>
              <w:rPr>
                <w:rFonts w:ascii="黑体" w:eastAsia="黑体" w:hAnsi="黑体" w:hint="eastAsia"/>
                <w:sz w:val="20"/>
                <w:szCs w:val="20"/>
              </w:rPr>
              <w:t>。</w:t>
            </w:r>
          </w:p>
        </w:tc>
      </w:tr>
      <w:tr w:rsidR="00A052DC" w14:paraId="3DA4A4FB" w14:textId="77777777">
        <w:trPr>
          <w:cantSplit/>
        </w:trPr>
        <w:tc>
          <w:tcPr>
            <w:tcW w:w="1526" w:type="dxa"/>
          </w:tcPr>
          <w:p w14:paraId="7999394E" w14:textId="77777777" w:rsidR="00A052DC" w:rsidRDefault="009F0A60">
            <w:pPr>
              <w:rPr>
                <w:rFonts w:ascii="黑体" w:eastAsia="黑体" w:hAnsi="黑体"/>
                <w:sz w:val="20"/>
                <w:szCs w:val="20"/>
              </w:rPr>
            </w:pPr>
            <w:r>
              <w:rPr>
                <w:rFonts w:ascii="黑体" w:eastAsia="黑体" w:hAnsi="黑体" w:hint="eastAsia"/>
                <w:sz w:val="20"/>
                <w:szCs w:val="20"/>
              </w:rPr>
              <w:t>币种</w:t>
            </w:r>
          </w:p>
        </w:tc>
        <w:tc>
          <w:tcPr>
            <w:tcW w:w="6946" w:type="dxa"/>
          </w:tcPr>
          <w:p w14:paraId="06386C6F" w14:textId="77777777" w:rsidR="00A052DC" w:rsidRDefault="009F0A60">
            <w:pPr>
              <w:rPr>
                <w:rFonts w:ascii="黑体" w:eastAsia="黑体" w:hAnsi="黑体"/>
                <w:sz w:val="20"/>
                <w:szCs w:val="20"/>
              </w:rPr>
            </w:pPr>
            <w:r>
              <w:rPr>
                <w:rFonts w:ascii="黑体" w:eastAsia="黑体" w:hAnsi="黑体" w:hint="eastAsia"/>
                <w:sz w:val="20"/>
                <w:szCs w:val="20"/>
              </w:rPr>
              <w:t>报表金额币种，默认美元。</w:t>
            </w:r>
          </w:p>
        </w:tc>
      </w:tr>
      <w:tr w:rsidR="00A052DC" w14:paraId="30937097" w14:textId="77777777">
        <w:trPr>
          <w:cantSplit/>
        </w:trPr>
        <w:tc>
          <w:tcPr>
            <w:tcW w:w="1526" w:type="dxa"/>
          </w:tcPr>
          <w:p w14:paraId="705A1609" w14:textId="77777777" w:rsidR="00A052DC" w:rsidRDefault="009F0A60">
            <w:pPr>
              <w:rPr>
                <w:rFonts w:ascii="黑体" w:eastAsia="黑体" w:hAnsi="黑体"/>
                <w:sz w:val="20"/>
                <w:szCs w:val="20"/>
              </w:rPr>
            </w:pPr>
            <w:r>
              <w:rPr>
                <w:rFonts w:ascii="黑体" w:eastAsia="黑体" w:hAnsi="黑体" w:hint="eastAsia"/>
                <w:sz w:val="20"/>
                <w:szCs w:val="20"/>
              </w:rPr>
              <w:t>月初余额</w:t>
            </w:r>
          </w:p>
        </w:tc>
        <w:tc>
          <w:tcPr>
            <w:tcW w:w="6946" w:type="dxa"/>
          </w:tcPr>
          <w:p w14:paraId="4B0C43D7" w14:textId="77777777" w:rsidR="00A052DC" w:rsidRDefault="009F0A60">
            <w:pPr>
              <w:rPr>
                <w:rFonts w:ascii="黑体" w:eastAsia="黑体" w:hAnsi="黑体"/>
                <w:sz w:val="20"/>
                <w:szCs w:val="20"/>
              </w:rPr>
            </w:pPr>
            <w:r>
              <w:rPr>
                <w:rFonts w:ascii="黑体" w:eastAsia="黑体" w:hAnsi="黑体" w:hint="eastAsia"/>
                <w:sz w:val="20"/>
                <w:szCs w:val="20"/>
              </w:rPr>
              <w:t>境内个人参与境外上市公司股权激励计划境内专用外汇账户月初余额折美元。</w:t>
            </w:r>
          </w:p>
        </w:tc>
      </w:tr>
      <w:tr w:rsidR="00A052DC" w14:paraId="1AE94D03" w14:textId="77777777">
        <w:trPr>
          <w:cantSplit/>
        </w:trPr>
        <w:tc>
          <w:tcPr>
            <w:tcW w:w="1526" w:type="dxa"/>
          </w:tcPr>
          <w:p w14:paraId="23531066" w14:textId="77777777" w:rsidR="00A052DC" w:rsidRDefault="009F0A60">
            <w:pPr>
              <w:rPr>
                <w:rFonts w:ascii="黑体" w:eastAsia="黑体" w:hAnsi="黑体"/>
                <w:sz w:val="20"/>
                <w:szCs w:val="20"/>
              </w:rPr>
            </w:pPr>
            <w:r>
              <w:rPr>
                <w:rFonts w:ascii="黑体" w:eastAsia="黑体" w:hAnsi="黑体" w:hint="eastAsia"/>
                <w:sz w:val="20"/>
                <w:szCs w:val="20"/>
              </w:rPr>
              <w:t>汇入金额</w:t>
            </w:r>
          </w:p>
        </w:tc>
        <w:tc>
          <w:tcPr>
            <w:tcW w:w="6946" w:type="dxa"/>
          </w:tcPr>
          <w:p w14:paraId="44A8CDBB" w14:textId="77777777" w:rsidR="00A052DC" w:rsidRDefault="009F0A60">
            <w:pPr>
              <w:rPr>
                <w:rFonts w:ascii="黑体" w:eastAsia="黑体" w:hAnsi="黑体"/>
                <w:sz w:val="20"/>
                <w:szCs w:val="20"/>
              </w:rPr>
            </w:pPr>
            <w:r>
              <w:rPr>
                <w:rFonts w:ascii="黑体" w:eastAsia="黑体" w:hAnsi="黑体" w:hint="eastAsia"/>
                <w:sz w:val="20"/>
                <w:szCs w:val="20"/>
              </w:rPr>
              <w:t>报告期当月该专用外汇账户汇入金额折美元。汇入金额</w:t>
            </w:r>
            <w:r>
              <w:rPr>
                <w:rFonts w:ascii="黑体" w:eastAsia="黑体" w:hAnsi="黑体"/>
                <w:sz w:val="20"/>
                <w:szCs w:val="20"/>
              </w:rPr>
              <w:t>=</w:t>
            </w:r>
            <w:r>
              <w:rPr>
                <w:rFonts w:ascii="黑体" w:eastAsia="黑体" w:hAnsi="黑体" w:hint="eastAsia"/>
                <w:sz w:val="20"/>
                <w:szCs w:val="20"/>
              </w:rPr>
              <w:t>购汇汇入金额</w:t>
            </w:r>
            <w:r>
              <w:rPr>
                <w:rFonts w:ascii="黑体" w:eastAsia="黑体" w:hAnsi="黑体"/>
                <w:sz w:val="20"/>
                <w:szCs w:val="20"/>
              </w:rPr>
              <w:t>+</w:t>
            </w:r>
            <w:r>
              <w:rPr>
                <w:rFonts w:ascii="黑体" w:eastAsia="黑体" w:hAnsi="黑体" w:hint="eastAsia"/>
                <w:sz w:val="20"/>
                <w:szCs w:val="20"/>
              </w:rPr>
              <w:t>个人外汇储蓄账户划入金额</w:t>
            </w:r>
            <w:r>
              <w:rPr>
                <w:rFonts w:ascii="黑体" w:eastAsia="黑体" w:hAnsi="黑体"/>
                <w:sz w:val="20"/>
                <w:szCs w:val="20"/>
              </w:rPr>
              <w:t>+</w:t>
            </w:r>
            <w:r>
              <w:rPr>
                <w:rFonts w:ascii="黑体" w:eastAsia="黑体" w:hAnsi="黑体" w:hint="eastAsia"/>
                <w:sz w:val="20"/>
                <w:szCs w:val="20"/>
              </w:rPr>
              <w:t>境外投资本金及收益汇回金额。</w:t>
            </w:r>
          </w:p>
        </w:tc>
      </w:tr>
      <w:tr w:rsidR="00A052DC" w14:paraId="177B77A3" w14:textId="77777777">
        <w:trPr>
          <w:cantSplit/>
        </w:trPr>
        <w:tc>
          <w:tcPr>
            <w:tcW w:w="1526" w:type="dxa"/>
          </w:tcPr>
          <w:p w14:paraId="033C29E9" w14:textId="77777777" w:rsidR="00A052DC" w:rsidRDefault="009F0A60">
            <w:pPr>
              <w:rPr>
                <w:rFonts w:ascii="黑体" w:eastAsia="黑体" w:hAnsi="黑体"/>
                <w:sz w:val="20"/>
                <w:szCs w:val="20"/>
              </w:rPr>
            </w:pPr>
            <w:r>
              <w:rPr>
                <w:rFonts w:ascii="黑体" w:eastAsia="黑体" w:hAnsi="黑体" w:hint="eastAsia"/>
                <w:sz w:val="20"/>
                <w:szCs w:val="20"/>
              </w:rPr>
              <w:t>购汇汇入金额</w:t>
            </w:r>
          </w:p>
        </w:tc>
        <w:tc>
          <w:tcPr>
            <w:tcW w:w="6946" w:type="dxa"/>
          </w:tcPr>
          <w:p w14:paraId="36207D80" w14:textId="77777777" w:rsidR="00A052DC" w:rsidRDefault="009F0A60">
            <w:pPr>
              <w:rPr>
                <w:rFonts w:ascii="黑体" w:eastAsia="黑体" w:hAnsi="黑体"/>
                <w:sz w:val="20"/>
                <w:szCs w:val="20"/>
              </w:rPr>
            </w:pPr>
            <w:r>
              <w:rPr>
                <w:rFonts w:ascii="黑体" w:eastAsia="黑体" w:hAnsi="黑体" w:hint="eastAsia"/>
                <w:sz w:val="20"/>
                <w:szCs w:val="20"/>
              </w:rPr>
              <w:t>报告期当月购汇汇入该外汇账户金额折美元。</w:t>
            </w:r>
          </w:p>
        </w:tc>
      </w:tr>
      <w:tr w:rsidR="00A052DC" w14:paraId="0E52B7C5" w14:textId="77777777">
        <w:trPr>
          <w:cantSplit/>
        </w:trPr>
        <w:tc>
          <w:tcPr>
            <w:tcW w:w="1526" w:type="dxa"/>
          </w:tcPr>
          <w:p w14:paraId="76A9746A" w14:textId="77777777" w:rsidR="00A052DC" w:rsidRDefault="009F0A60">
            <w:pPr>
              <w:rPr>
                <w:rFonts w:ascii="黑体" w:eastAsia="黑体" w:hAnsi="黑体"/>
                <w:sz w:val="20"/>
                <w:szCs w:val="20"/>
              </w:rPr>
            </w:pPr>
            <w:r>
              <w:rPr>
                <w:rFonts w:ascii="黑体" w:eastAsia="黑体" w:hAnsi="黑体" w:hint="eastAsia"/>
                <w:sz w:val="20"/>
                <w:szCs w:val="20"/>
              </w:rPr>
              <w:t>个人外汇储蓄账户划入金额</w:t>
            </w:r>
          </w:p>
        </w:tc>
        <w:tc>
          <w:tcPr>
            <w:tcW w:w="6946" w:type="dxa"/>
          </w:tcPr>
          <w:p w14:paraId="5DE3FC4B" w14:textId="77777777" w:rsidR="00A052DC" w:rsidRDefault="009F0A60">
            <w:pPr>
              <w:rPr>
                <w:rFonts w:ascii="黑体" w:eastAsia="黑体" w:hAnsi="黑体"/>
                <w:sz w:val="20"/>
                <w:szCs w:val="20"/>
              </w:rPr>
            </w:pPr>
            <w:r>
              <w:rPr>
                <w:rFonts w:ascii="黑体" w:eastAsia="黑体" w:hAnsi="黑体" w:hint="eastAsia"/>
                <w:sz w:val="20"/>
                <w:szCs w:val="20"/>
              </w:rPr>
              <w:t>报告期当月个人外汇储蓄账户划入该外汇账户金额折美元。</w:t>
            </w:r>
          </w:p>
        </w:tc>
      </w:tr>
      <w:tr w:rsidR="00A052DC" w14:paraId="2E9C12FF" w14:textId="77777777">
        <w:trPr>
          <w:cantSplit/>
        </w:trPr>
        <w:tc>
          <w:tcPr>
            <w:tcW w:w="1526" w:type="dxa"/>
          </w:tcPr>
          <w:p w14:paraId="1660B0F9" w14:textId="77777777" w:rsidR="00A052DC" w:rsidRDefault="009F0A60">
            <w:pPr>
              <w:rPr>
                <w:rFonts w:ascii="黑体" w:eastAsia="黑体" w:hAnsi="黑体"/>
                <w:sz w:val="20"/>
                <w:szCs w:val="20"/>
              </w:rPr>
            </w:pPr>
            <w:r>
              <w:rPr>
                <w:rFonts w:ascii="黑体" w:eastAsia="黑体" w:hAnsi="黑体" w:hint="eastAsia"/>
                <w:sz w:val="20"/>
                <w:szCs w:val="20"/>
              </w:rPr>
              <w:t>境外投资本金及收益汇回金额</w:t>
            </w:r>
          </w:p>
        </w:tc>
        <w:tc>
          <w:tcPr>
            <w:tcW w:w="6946" w:type="dxa"/>
          </w:tcPr>
          <w:p w14:paraId="167200F9" w14:textId="77777777" w:rsidR="00A052DC" w:rsidRDefault="009F0A60">
            <w:pPr>
              <w:rPr>
                <w:rFonts w:ascii="黑体" w:eastAsia="黑体" w:hAnsi="黑体"/>
                <w:sz w:val="20"/>
                <w:szCs w:val="20"/>
              </w:rPr>
            </w:pPr>
            <w:r>
              <w:rPr>
                <w:rFonts w:ascii="黑体" w:eastAsia="黑体" w:hAnsi="黑体" w:hint="eastAsia"/>
                <w:sz w:val="20"/>
                <w:szCs w:val="20"/>
              </w:rPr>
              <w:t>报告期当月境外投资本金及收益汇回后划入该外汇账户金额折美元。</w:t>
            </w:r>
          </w:p>
        </w:tc>
      </w:tr>
      <w:tr w:rsidR="00A052DC" w14:paraId="2B340007" w14:textId="77777777">
        <w:trPr>
          <w:cantSplit/>
        </w:trPr>
        <w:tc>
          <w:tcPr>
            <w:tcW w:w="1526" w:type="dxa"/>
          </w:tcPr>
          <w:p w14:paraId="34917F81" w14:textId="77777777" w:rsidR="00A052DC" w:rsidRDefault="009F0A60">
            <w:pPr>
              <w:rPr>
                <w:rFonts w:ascii="黑体" w:eastAsia="黑体" w:hAnsi="黑体"/>
                <w:sz w:val="20"/>
                <w:szCs w:val="20"/>
              </w:rPr>
            </w:pPr>
            <w:r>
              <w:rPr>
                <w:rFonts w:ascii="黑体" w:eastAsia="黑体" w:hAnsi="黑体" w:hint="eastAsia"/>
                <w:sz w:val="20"/>
                <w:szCs w:val="20"/>
              </w:rPr>
              <w:t>汇出金额</w:t>
            </w:r>
          </w:p>
        </w:tc>
        <w:tc>
          <w:tcPr>
            <w:tcW w:w="6946" w:type="dxa"/>
          </w:tcPr>
          <w:p w14:paraId="4CD53A8D" w14:textId="77777777" w:rsidR="00A052DC" w:rsidRDefault="009F0A60">
            <w:pPr>
              <w:rPr>
                <w:rFonts w:ascii="黑体" w:eastAsia="黑体" w:hAnsi="黑体"/>
                <w:sz w:val="20"/>
                <w:szCs w:val="20"/>
              </w:rPr>
            </w:pPr>
            <w:r>
              <w:rPr>
                <w:rFonts w:ascii="黑体" w:eastAsia="黑体" w:hAnsi="黑体" w:hint="eastAsia"/>
                <w:sz w:val="20"/>
                <w:szCs w:val="20"/>
              </w:rPr>
              <w:t>报告期当月该专用外汇账户汇出金额折美元。汇出金额</w:t>
            </w:r>
            <w:r>
              <w:rPr>
                <w:rFonts w:ascii="黑体" w:eastAsia="黑体" w:hAnsi="黑体"/>
                <w:sz w:val="20"/>
                <w:szCs w:val="20"/>
              </w:rPr>
              <w:t>=</w:t>
            </w:r>
            <w:r>
              <w:rPr>
                <w:rFonts w:ascii="黑体" w:eastAsia="黑体" w:hAnsi="黑体" w:hint="eastAsia"/>
                <w:sz w:val="20"/>
                <w:szCs w:val="20"/>
              </w:rPr>
              <w:t>汇往境外金额</w:t>
            </w:r>
            <w:r>
              <w:rPr>
                <w:rFonts w:ascii="黑体" w:eastAsia="黑体" w:hAnsi="黑体"/>
                <w:sz w:val="20"/>
                <w:szCs w:val="20"/>
              </w:rPr>
              <w:t>+</w:t>
            </w:r>
            <w:r>
              <w:rPr>
                <w:rFonts w:ascii="黑体" w:eastAsia="黑体" w:hAnsi="黑体" w:hint="eastAsia"/>
                <w:sz w:val="20"/>
                <w:szCs w:val="20"/>
              </w:rPr>
              <w:t>结汇金额</w:t>
            </w:r>
            <w:r>
              <w:rPr>
                <w:rFonts w:ascii="黑体" w:eastAsia="黑体" w:hAnsi="黑体"/>
                <w:sz w:val="20"/>
                <w:szCs w:val="20"/>
              </w:rPr>
              <w:t>+</w:t>
            </w:r>
            <w:r>
              <w:rPr>
                <w:rFonts w:ascii="黑体" w:eastAsia="黑体" w:hAnsi="黑体" w:hint="eastAsia"/>
                <w:sz w:val="20"/>
                <w:szCs w:val="20"/>
              </w:rPr>
              <w:t>划入个人外汇储蓄账户金额。</w:t>
            </w:r>
          </w:p>
        </w:tc>
      </w:tr>
      <w:tr w:rsidR="00A052DC" w14:paraId="1EB779A2" w14:textId="77777777">
        <w:trPr>
          <w:cantSplit/>
        </w:trPr>
        <w:tc>
          <w:tcPr>
            <w:tcW w:w="1526" w:type="dxa"/>
          </w:tcPr>
          <w:p w14:paraId="04F1C6FE" w14:textId="77777777" w:rsidR="00A052DC" w:rsidRDefault="009F0A60">
            <w:pPr>
              <w:rPr>
                <w:rFonts w:ascii="黑体" w:eastAsia="黑体" w:hAnsi="黑体"/>
                <w:sz w:val="20"/>
                <w:szCs w:val="20"/>
              </w:rPr>
            </w:pPr>
            <w:r>
              <w:rPr>
                <w:rFonts w:ascii="黑体" w:eastAsia="黑体" w:hAnsi="黑体" w:hint="eastAsia"/>
                <w:sz w:val="20"/>
                <w:szCs w:val="20"/>
              </w:rPr>
              <w:t>汇往境外金额</w:t>
            </w:r>
          </w:p>
        </w:tc>
        <w:tc>
          <w:tcPr>
            <w:tcW w:w="6946" w:type="dxa"/>
          </w:tcPr>
          <w:p w14:paraId="4A6BA576" w14:textId="77777777" w:rsidR="00A052DC" w:rsidRDefault="009F0A60">
            <w:pPr>
              <w:rPr>
                <w:rFonts w:ascii="黑体" w:eastAsia="黑体" w:hAnsi="黑体"/>
                <w:sz w:val="20"/>
                <w:szCs w:val="20"/>
              </w:rPr>
            </w:pPr>
            <w:r>
              <w:rPr>
                <w:rFonts w:ascii="黑体" w:eastAsia="黑体" w:hAnsi="黑体" w:hint="eastAsia"/>
                <w:sz w:val="20"/>
                <w:szCs w:val="20"/>
              </w:rPr>
              <w:t>报告期当月该专用外汇账户汇往境外金额折美元。</w:t>
            </w:r>
          </w:p>
        </w:tc>
      </w:tr>
      <w:tr w:rsidR="00A052DC" w14:paraId="0FBAB3F0" w14:textId="77777777">
        <w:trPr>
          <w:cantSplit/>
        </w:trPr>
        <w:tc>
          <w:tcPr>
            <w:tcW w:w="1526" w:type="dxa"/>
          </w:tcPr>
          <w:p w14:paraId="7FC2068D" w14:textId="77777777" w:rsidR="00A052DC" w:rsidRDefault="009F0A60">
            <w:pPr>
              <w:rPr>
                <w:rFonts w:ascii="黑体" w:eastAsia="黑体" w:hAnsi="黑体"/>
                <w:sz w:val="20"/>
                <w:szCs w:val="20"/>
              </w:rPr>
            </w:pPr>
            <w:r>
              <w:rPr>
                <w:rFonts w:ascii="黑体" w:eastAsia="黑体" w:hAnsi="黑体" w:hint="eastAsia"/>
                <w:sz w:val="20"/>
                <w:szCs w:val="20"/>
              </w:rPr>
              <w:t>结汇金额</w:t>
            </w:r>
          </w:p>
        </w:tc>
        <w:tc>
          <w:tcPr>
            <w:tcW w:w="6946" w:type="dxa"/>
          </w:tcPr>
          <w:p w14:paraId="51825318" w14:textId="77777777" w:rsidR="00A052DC" w:rsidRDefault="009F0A60">
            <w:pPr>
              <w:rPr>
                <w:rFonts w:ascii="黑体" w:eastAsia="黑体" w:hAnsi="黑体"/>
                <w:sz w:val="20"/>
                <w:szCs w:val="20"/>
              </w:rPr>
            </w:pPr>
            <w:r>
              <w:rPr>
                <w:rFonts w:ascii="黑体" w:eastAsia="黑体" w:hAnsi="黑体" w:hint="eastAsia"/>
                <w:sz w:val="20"/>
                <w:szCs w:val="20"/>
              </w:rPr>
              <w:t>报告期当月该专用外汇账户资金结汇金额折美元。</w:t>
            </w:r>
          </w:p>
        </w:tc>
      </w:tr>
      <w:tr w:rsidR="00A052DC" w14:paraId="3A953AC4" w14:textId="77777777">
        <w:trPr>
          <w:cantSplit/>
        </w:trPr>
        <w:tc>
          <w:tcPr>
            <w:tcW w:w="1526" w:type="dxa"/>
          </w:tcPr>
          <w:p w14:paraId="0895A71A" w14:textId="77777777" w:rsidR="00A052DC" w:rsidRDefault="009F0A60">
            <w:pPr>
              <w:rPr>
                <w:rFonts w:ascii="黑体" w:eastAsia="黑体" w:hAnsi="黑体"/>
                <w:sz w:val="20"/>
                <w:szCs w:val="20"/>
              </w:rPr>
            </w:pPr>
            <w:r>
              <w:rPr>
                <w:rFonts w:ascii="黑体" w:eastAsia="黑体" w:hAnsi="黑体" w:hint="eastAsia"/>
                <w:sz w:val="20"/>
                <w:szCs w:val="20"/>
              </w:rPr>
              <w:t>划入个人外汇储蓄账户金额</w:t>
            </w:r>
          </w:p>
        </w:tc>
        <w:tc>
          <w:tcPr>
            <w:tcW w:w="6946" w:type="dxa"/>
          </w:tcPr>
          <w:p w14:paraId="70384AA9" w14:textId="77777777" w:rsidR="00A052DC" w:rsidRDefault="009F0A60">
            <w:pPr>
              <w:rPr>
                <w:rFonts w:ascii="黑体" w:eastAsia="黑体" w:hAnsi="黑体"/>
                <w:sz w:val="20"/>
                <w:szCs w:val="20"/>
              </w:rPr>
            </w:pPr>
            <w:r>
              <w:rPr>
                <w:rFonts w:ascii="黑体" w:eastAsia="黑体" w:hAnsi="黑体" w:hint="eastAsia"/>
                <w:sz w:val="20"/>
                <w:szCs w:val="20"/>
              </w:rPr>
              <w:t>报告期当月该专用外汇账户划入个人外汇储蓄账户金额折美元。</w:t>
            </w:r>
          </w:p>
        </w:tc>
      </w:tr>
      <w:tr w:rsidR="00A052DC" w14:paraId="49A36D94" w14:textId="77777777">
        <w:trPr>
          <w:cantSplit/>
        </w:trPr>
        <w:tc>
          <w:tcPr>
            <w:tcW w:w="1526" w:type="dxa"/>
          </w:tcPr>
          <w:p w14:paraId="09FC5756" w14:textId="77777777" w:rsidR="00A052DC" w:rsidRDefault="009F0A60">
            <w:pPr>
              <w:rPr>
                <w:rFonts w:ascii="黑体" w:eastAsia="黑体" w:hAnsi="黑体"/>
                <w:sz w:val="20"/>
                <w:szCs w:val="20"/>
              </w:rPr>
            </w:pPr>
            <w:r>
              <w:rPr>
                <w:rFonts w:ascii="黑体" w:eastAsia="黑体" w:hAnsi="黑体" w:hint="eastAsia"/>
                <w:sz w:val="20"/>
                <w:szCs w:val="20"/>
              </w:rPr>
              <w:t>月末账户余额</w:t>
            </w:r>
          </w:p>
        </w:tc>
        <w:tc>
          <w:tcPr>
            <w:tcW w:w="6946" w:type="dxa"/>
          </w:tcPr>
          <w:p w14:paraId="30AF2176" w14:textId="77777777" w:rsidR="00A052DC" w:rsidRDefault="009F0A60">
            <w:pPr>
              <w:rPr>
                <w:rFonts w:ascii="黑体" w:eastAsia="黑体" w:hAnsi="黑体"/>
                <w:sz w:val="20"/>
                <w:szCs w:val="20"/>
              </w:rPr>
            </w:pPr>
            <w:r>
              <w:rPr>
                <w:rFonts w:ascii="黑体" w:eastAsia="黑体" w:hAnsi="黑体" w:hint="eastAsia"/>
                <w:sz w:val="20"/>
                <w:szCs w:val="20"/>
              </w:rPr>
              <w:t>报告期当月末该专用外汇账户余额折美元。</w:t>
            </w:r>
          </w:p>
        </w:tc>
      </w:tr>
      <w:tr w:rsidR="00A052DC" w14:paraId="11065ED9" w14:textId="77777777">
        <w:trPr>
          <w:cantSplit/>
        </w:trPr>
        <w:tc>
          <w:tcPr>
            <w:tcW w:w="1526" w:type="dxa"/>
          </w:tcPr>
          <w:p w14:paraId="1DAFAC12" w14:textId="77777777" w:rsidR="00A052DC" w:rsidRDefault="009F0A60">
            <w:pPr>
              <w:rPr>
                <w:rFonts w:ascii="黑体" w:eastAsia="黑体" w:hAnsi="黑体"/>
                <w:sz w:val="20"/>
                <w:szCs w:val="20"/>
              </w:rPr>
            </w:pPr>
            <w:r>
              <w:rPr>
                <w:rFonts w:ascii="黑体" w:eastAsia="黑体" w:hAnsi="黑体" w:hint="eastAsia"/>
                <w:sz w:val="20"/>
                <w:szCs w:val="20"/>
              </w:rPr>
              <w:t>其他收支净额</w:t>
            </w:r>
          </w:p>
        </w:tc>
        <w:tc>
          <w:tcPr>
            <w:tcW w:w="6946" w:type="dxa"/>
          </w:tcPr>
          <w:p w14:paraId="7768F831" w14:textId="77777777" w:rsidR="00A052DC" w:rsidRDefault="009F0A60">
            <w:pPr>
              <w:rPr>
                <w:rFonts w:ascii="黑体" w:eastAsia="黑体" w:hAnsi="黑体"/>
                <w:sz w:val="20"/>
                <w:szCs w:val="20"/>
              </w:rPr>
            </w:pPr>
            <w:r>
              <w:rPr>
                <w:rFonts w:ascii="黑体" w:eastAsia="黑体" w:hAnsi="黑体" w:hint="eastAsia"/>
                <w:sz w:val="20"/>
                <w:szCs w:val="20"/>
              </w:rPr>
              <w:t>专用账户内利息、费用等其他资金收支净值。</w:t>
            </w:r>
          </w:p>
        </w:tc>
      </w:tr>
      <w:tr w:rsidR="00A052DC" w14:paraId="78EA48F7" w14:textId="77777777">
        <w:trPr>
          <w:cantSplit/>
        </w:trPr>
        <w:tc>
          <w:tcPr>
            <w:tcW w:w="1526" w:type="dxa"/>
            <w:tcBorders>
              <w:top w:val="single" w:sz="6" w:space="0" w:color="auto"/>
              <w:left w:val="single" w:sz="6" w:space="0" w:color="auto"/>
              <w:bottom w:val="single" w:sz="6" w:space="0" w:color="auto"/>
              <w:right w:val="single" w:sz="6" w:space="0" w:color="auto"/>
            </w:tcBorders>
          </w:tcPr>
          <w:p w14:paraId="3C7165CD" w14:textId="77777777" w:rsidR="00A052DC" w:rsidRDefault="009F0A60">
            <w:pPr>
              <w:rPr>
                <w:rFonts w:ascii="黑体" w:eastAsia="黑体" w:hAnsi="黑体"/>
                <w:sz w:val="20"/>
                <w:szCs w:val="20"/>
              </w:rPr>
            </w:pPr>
            <w:r>
              <w:rPr>
                <w:rFonts w:ascii="黑体" w:eastAsia="黑体" w:hAnsi="黑体" w:hint="eastAsia"/>
                <w:sz w:val="20"/>
                <w:szCs w:val="20"/>
              </w:rPr>
              <w:t>备注</w:t>
            </w:r>
          </w:p>
        </w:tc>
        <w:tc>
          <w:tcPr>
            <w:tcW w:w="6946" w:type="dxa"/>
            <w:tcBorders>
              <w:top w:val="single" w:sz="6" w:space="0" w:color="auto"/>
              <w:left w:val="single" w:sz="6" w:space="0" w:color="auto"/>
              <w:bottom w:val="single" w:sz="6" w:space="0" w:color="auto"/>
              <w:right w:val="single" w:sz="6" w:space="0" w:color="auto"/>
            </w:tcBorders>
          </w:tcPr>
          <w:p w14:paraId="655B4170" w14:textId="77777777" w:rsidR="00A052DC" w:rsidRDefault="009F0A60">
            <w:pPr>
              <w:rPr>
                <w:rFonts w:ascii="黑体" w:eastAsia="黑体" w:hAnsi="黑体"/>
                <w:sz w:val="20"/>
                <w:szCs w:val="20"/>
              </w:rPr>
            </w:pPr>
            <w:r>
              <w:rPr>
                <w:rFonts w:ascii="黑体" w:eastAsia="黑体" w:hAnsi="黑体" w:hint="eastAsia"/>
                <w:sz w:val="20"/>
                <w:szCs w:val="20"/>
              </w:rPr>
              <w:t>需要说明的备注事项。</w:t>
            </w:r>
          </w:p>
        </w:tc>
      </w:tr>
    </w:tbl>
    <w:p w14:paraId="4EFE1F6B" w14:textId="77777777" w:rsidR="00A052DC" w:rsidRDefault="00A052DC"/>
    <w:p w14:paraId="06083719" w14:textId="77777777" w:rsidR="00A052DC" w:rsidRDefault="009F0A60" w:rsidP="0020251D">
      <w:pPr>
        <w:pStyle w:val="5"/>
        <w:numPr>
          <w:ilvl w:val="4"/>
          <w:numId w:val="1"/>
        </w:numPr>
        <w:spacing w:before="120" w:after="120" w:line="360" w:lineRule="auto"/>
        <w:jc w:val="left"/>
      </w:pPr>
      <w:bookmarkStart w:id="2927" w:name="_Toc328635600"/>
      <w:bookmarkStart w:id="2928" w:name="_Toc454391206"/>
      <w:r>
        <w:rPr>
          <w:rFonts w:hint="eastAsia"/>
        </w:rPr>
        <w:t>数据格式</w:t>
      </w:r>
      <w:bookmarkEnd w:id="2927"/>
      <w:bookmarkEnd w:id="2928"/>
    </w:p>
    <w:p w14:paraId="04366ACA" w14:textId="77777777" w:rsidR="00A052DC" w:rsidRDefault="009F0A60">
      <w:pPr>
        <w:rPr>
          <w:rFonts w:ascii="Times New Roman"/>
          <w:kern w:val="0"/>
          <w:sz w:val="24"/>
          <w:szCs w:val="20"/>
        </w:rPr>
      </w:pPr>
      <w:r>
        <w:rPr>
          <w:rFonts w:ascii="Times New Roman" w:hint="eastAsia"/>
          <w:kern w:val="0"/>
          <w:sz w:val="24"/>
          <w:szCs w:val="20"/>
        </w:rPr>
        <w:t>见资本项目信息系统。</w:t>
      </w:r>
    </w:p>
    <w:p w14:paraId="36AB7D68" w14:textId="77777777" w:rsidR="00A052DC" w:rsidRDefault="009F0A60" w:rsidP="0020251D">
      <w:pPr>
        <w:pStyle w:val="5"/>
        <w:numPr>
          <w:ilvl w:val="4"/>
          <w:numId w:val="1"/>
        </w:numPr>
        <w:spacing w:before="120" w:after="120" w:line="360" w:lineRule="auto"/>
        <w:jc w:val="left"/>
      </w:pPr>
      <w:bookmarkStart w:id="2929" w:name="_Toc328635601"/>
      <w:bookmarkStart w:id="2930" w:name="_Toc454391207"/>
      <w:r>
        <w:rPr>
          <w:rFonts w:hint="eastAsia"/>
        </w:rPr>
        <w:t>数据字典</w:t>
      </w:r>
      <w:bookmarkEnd w:id="2929"/>
      <w:bookmarkEnd w:id="2930"/>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1417"/>
        <w:gridCol w:w="4820"/>
      </w:tblGrid>
      <w:tr w:rsidR="00A052DC" w14:paraId="0BA19ACD" w14:textId="77777777">
        <w:trPr>
          <w:tblHeader/>
        </w:trPr>
        <w:tc>
          <w:tcPr>
            <w:tcW w:w="2269" w:type="dxa"/>
            <w:shd w:val="clear" w:color="auto" w:fill="C0C0C0"/>
          </w:tcPr>
          <w:p w14:paraId="6BF6D732" w14:textId="77777777" w:rsidR="00A052DC" w:rsidRDefault="009F0A60">
            <w:pPr>
              <w:jc w:val="center"/>
              <w:rPr>
                <w:rFonts w:ascii="黑体" w:eastAsia="黑体" w:hAnsi="黑体"/>
                <w:b/>
                <w:sz w:val="20"/>
                <w:szCs w:val="20"/>
              </w:rPr>
            </w:pPr>
            <w:r>
              <w:rPr>
                <w:rFonts w:ascii="黑体" w:eastAsia="黑体" w:hAnsi="黑体" w:hint="eastAsia"/>
                <w:b/>
                <w:sz w:val="20"/>
                <w:szCs w:val="20"/>
              </w:rPr>
              <w:t>内容</w:t>
            </w:r>
          </w:p>
        </w:tc>
        <w:tc>
          <w:tcPr>
            <w:tcW w:w="1417" w:type="dxa"/>
            <w:shd w:val="clear" w:color="auto" w:fill="C0C0C0"/>
          </w:tcPr>
          <w:p w14:paraId="77AA7FE3" w14:textId="77777777" w:rsidR="00A052DC" w:rsidRDefault="009F0A60">
            <w:pPr>
              <w:jc w:val="center"/>
              <w:rPr>
                <w:rFonts w:ascii="黑体" w:eastAsia="黑体" w:hAnsi="黑体"/>
                <w:b/>
                <w:sz w:val="20"/>
                <w:szCs w:val="20"/>
              </w:rPr>
            </w:pPr>
            <w:r>
              <w:rPr>
                <w:rFonts w:ascii="黑体" w:eastAsia="黑体" w:hAnsi="黑体" w:hint="eastAsia"/>
                <w:b/>
                <w:sz w:val="20"/>
                <w:szCs w:val="20"/>
              </w:rPr>
              <w:t>类型（长度）</w:t>
            </w:r>
          </w:p>
        </w:tc>
        <w:tc>
          <w:tcPr>
            <w:tcW w:w="4820" w:type="dxa"/>
            <w:shd w:val="clear" w:color="auto" w:fill="C0C0C0"/>
          </w:tcPr>
          <w:p w14:paraId="62F928DD" w14:textId="77777777" w:rsidR="00A052DC" w:rsidRDefault="009F0A60">
            <w:pPr>
              <w:jc w:val="center"/>
              <w:rPr>
                <w:rFonts w:ascii="黑体" w:eastAsia="黑体" w:hAnsi="黑体"/>
                <w:b/>
                <w:sz w:val="20"/>
                <w:szCs w:val="20"/>
              </w:rPr>
            </w:pPr>
            <w:r>
              <w:rPr>
                <w:rFonts w:ascii="黑体" w:eastAsia="黑体" w:hAnsi="黑体" w:hint="eastAsia"/>
                <w:b/>
                <w:sz w:val="20"/>
                <w:szCs w:val="20"/>
              </w:rPr>
              <w:t>校验</w:t>
            </w:r>
          </w:p>
        </w:tc>
      </w:tr>
      <w:tr w:rsidR="00A052DC" w14:paraId="6566482F" w14:textId="77777777">
        <w:tc>
          <w:tcPr>
            <w:tcW w:w="2269" w:type="dxa"/>
          </w:tcPr>
          <w:p w14:paraId="51BC6F42" w14:textId="77777777" w:rsidR="00A052DC" w:rsidRDefault="009F0A60">
            <w:pPr>
              <w:rPr>
                <w:rFonts w:ascii="黑体" w:eastAsia="黑体" w:hAnsi="黑体"/>
                <w:sz w:val="20"/>
                <w:szCs w:val="20"/>
              </w:rPr>
            </w:pPr>
            <w:r>
              <w:rPr>
                <w:rFonts w:ascii="黑体" w:eastAsia="黑体" w:hAnsi="黑体" w:hint="eastAsia"/>
                <w:sz w:val="20"/>
                <w:szCs w:val="20"/>
              </w:rPr>
              <w:t>业务编号</w:t>
            </w:r>
          </w:p>
        </w:tc>
        <w:tc>
          <w:tcPr>
            <w:tcW w:w="1417" w:type="dxa"/>
          </w:tcPr>
          <w:p w14:paraId="45050713" w14:textId="77777777" w:rsidR="00A052DC" w:rsidRDefault="009F0A60">
            <w:pPr>
              <w:rPr>
                <w:rFonts w:ascii="黑体" w:eastAsia="黑体" w:hAnsi="黑体"/>
                <w:sz w:val="20"/>
                <w:szCs w:val="20"/>
              </w:rPr>
            </w:pPr>
            <w:r>
              <w:rPr>
                <w:rFonts w:ascii="黑体" w:eastAsia="黑体" w:hAnsi="黑体" w:hint="eastAsia"/>
                <w:sz w:val="20"/>
                <w:szCs w:val="20"/>
              </w:rPr>
              <w:t>字符型，20</w:t>
            </w:r>
          </w:p>
        </w:tc>
        <w:tc>
          <w:tcPr>
            <w:tcW w:w="4820" w:type="dxa"/>
          </w:tcPr>
          <w:p w14:paraId="6CED4468" w14:textId="77777777" w:rsidR="00A052DC" w:rsidRDefault="009F0A60">
            <w:pPr>
              <w:rPr>
                <w:rFonts w:ascii="黑体" w:eastAsia="黑体" w:hAnsi="黑体"/>
                <w:sz w:val="20"/>
                <w:szCs w:val="20"/>
              </w:rPr>
            </w:pPr>
            <w:r>
              <w:rPr>
                <w:rFonts w:ascii="黑体" w:eastAsia="黑体" w:hAnsi="黑体" w:hint="eastAsia"/>
                <w:sz w:val="20"/>
                <w:szCs w:val="20"/>
              </w:rPr>
              <w:t>必填项，境内个人参与境外上市公司股权激励计划业务编号。</w:t>
            </w:r>
          </w:p>
        </w:tc>
      </w:tr>
      <w:tr w:rsidR="00A052DC" w14:paraId="525338C7" w14:textId="77777777">
        <w:tc>
          <w:tcPr>
            <w:tcW w:w="2269" w:type="dxa"/>
          </w:tcPr>
          <w:p w14:paraId="1FEC1D66" w14:textId="77777777" w:rsidR="00A052DC" w:rsidRDefault="009F0A60">
            <w:pPr>
              <w:rPr>
                <w:rFonts w:ascii="黑体" w:eastAsia="黑体" w:hAnsi="黑体"/>
                <w:sz w:val="20"/>
                <w:szCs w:val="20"/>
              </w:rPr>
            </w:pPr>
            <w:r>
              <w:rPr>
                <w:rFonts w:ascii="黑体" w:eastAsia="黑体" w:hAnsi="黑体" w:hint="eastAsia"/>
                <w:sz w:val="20"/>
                <w:szCs w:val="20"/>
              </w:rPr>
              <w:t>开户银行代码</w:t>
            </w:r>
          </w:p>
        </w:tc>
        <w:tc>
          <w:tcPr>
            <w:tcW w:w="1417" w:type="dxa"/>
          </w:tcPr>
          <w:p w14:paraId="4030A23A" w14:textId="77777777" w:rsidR="00A052DC" w:rsidRDefault="009F0A60">
            <w:pPr>
              <w:rPr>
                <w:rFonts w:ascii="黑体" w:eastAsia="黑体" w:hAnsi="黑体"/>
                <w:sz w:val="20"/>
                <w:szCs w:val="20"/>
              </w:rPr>
            </w:pPr>
            <w:r>
              <w:rPr>
                <w:rFonts w:ascii="黑体" w:eastAsia="黑体" w:hAnsi="黑体" w:hint="eastAsia"/>
                <w:sz w:val="20"/>
                <w:szCs w:val="20"/>
              </w:rPr>
              <w:t>字符型，12</w:t>
            </w:r>
          </w:p>
        </w:tc>
        <w:tc>
          <w:tcPr>
            <w:tcW w:w="4820" w:type="dxa"/>
          </w:tcPr>
          <w:p w14:paraId="24CC728C" w14:textId="77777777" w:rsidR="00A052DC" w:rsidRDefault="009F0A60">
            <w:pPr>
              <w:rPr>
                <w:rFonts w:ascii="黑体" w:eastAsia="黑体" w:hAnsi="黑体"/>
                <w:sz w:val="20"/>
                <w:szCs w:val="20"/>
              </w:rPr>
            </w:pPr>
            <w:r>
              <w:rPr>
                <w:rFonts w:ascii="黑体" w:eastAsia="黑体" w:hAnsi="黑体" w:hint="eastAsia"/>
                <w:sz w:val="20"/>
                <w:szCs w:val="20"/>
              </w:rPr>
              <w:t>必填项，金融机构标识码。</w:t>
            </w:r>
          </w:p>
        </w:tc>
      </w:tr>
      <w:tr w:rsidR="00A052DC" w14:paraId="40C20DAF" w14:textId="77777777">
        <w:tc>
          <w:tcPr>
            <w:tcW w:w="2269" w:type="dxa"/>
          </w:tcPr>
          <w:p w14:paraId="5DB614EA" w14:textId="77777777" w:rsidR="00A052DC" w:rsidRDefault="009F0A60">
            <w:pPr>
              <w:rPr>
                <w:rFonts w:ascii="黑体" w:eastAsia="黑体" w:hAnsi="黑体"/>
                <w:sz w:val="20"/>
                <w:szCs w:val="20"/>
              </w:rPr>
            </w:pPr>
            <w:r>
              <w:rPr>
                <w:rFonts w:ascii="黑体" w:eastAsia="黑体" w:hAnsi="黑体" w:hint="eastAsia"/>
                <w:sz w:val="20"/>
                <w:szCs w:val="20"/>
              </w:rPr>
              <w:t>开户境内代理机构代码</w:t>
            </w:r>
          </w:p>
        </w:tc>
        <w:tc>
          <w:tcPr>
            <w:tcW w:w="1417" w:type="dxa"/>
          </w:tcPr>
          <w:p w14:paraId="2D4D410E" w14:textId="77777777" w:rsidR="00A052DC" w:rsidRDefault="009F0A60">
            <w:pPr>
              <w:rPr>
                <w:rFonts w:ascii="黑体" w:eastAsia="黑体" w:hAnsi="黑体"/>
                <w:sz w:val="20"/>
                <w:szCs w:val="20"/>
              </w:rPr>
            </w:pPr>
            <w:r>
              <w:rPr>
                <w:rFonts w:ascii="黑体" w:eastAsia="黑体" w:hAnsi="黑体" w:hint="eastAsia"/>
                <w:sz w:val="20"/>
                <w:szCs w:val="20"/>
              </w:rPr>
              <w:t>字符型，18</w:t>
            </w:r>
          </w:p>
        </w:tc>
        <w:tc>
          <w:tcPr>
            <w:tcW w:w="4820" w:type="dxa"/>
          </w:tcPr>
          <w:p w14:paraId="07C58D15" w14:textId="77777777" w:rsidR="00A052DC" w:rsidRDefault="009F0A60">
            <w:pPr>
              <w:rPr>
                <w:rFonts w:ascii="黑体" w:eastAsia="黑体" w:hAnsi="黑体"/>
                <w:sz w:val="20"/>
                <w:szCs w:val="20"/>
              </w:rPr>
            </w:pPr>
            <w:r>
              <w:rPr>
                <w:rFonts w:ascii="黑体" w:eastAsia="黑体" w:hAnsi="黑体" w:hint="eastAsia"/>
                <w:sz w:val="20"/>
                <w:szCs w:val="20"/>
              </w:rPr>
              <w:t>必填项，境内代理机构统一社会信用代码中的第9至17位。</w:t>
            </w:r>
          </w:p>
        </w:tc>
      </w:tr>
      <w:tr w:rsidR="00A052DC" w14:paraId="65E210B6" w14:textId="77777777">
        <w:tc>
          <w:tcPr>
            <w:tcW w:w="2269" w:type="dxa"/>
          </w:tcPr>
          <w:p w14:paraId="6F93CF1C" w14:textId="77777777" w:rsidR="00A052DC" w:rsidRDefault="009F0A60">
            <w:pPr>
              <w:rPr>
                <w:rFonts w:ascii="黑体" w:eastAsia="黑体" w:hAnsi="黑体"/>
                <w:sz w:val="20"/>
                <w:szCs w:val="20"/>
              </w:rPr>
            </w:pPr>
            <w:r>
              <w:rPr>
                <w:rFonts w:ascii="黑体" w:eastAsia="黑体" w:hAnsi="黑体" w:hint="eastAsia"/>
                <w:sz w:val="20"/>
                <w:szCs w:val="20"/>
              </w:rPr>
              <w:t>开户境内代理机构名称</w:t>
            </w:r>
          </w:p>
        </w:tc>
        <w:tc>
          <w:tcPr>
            <w:tcW w:w="1417" w:type="dxa"/>
          </w:tcPr>
          <w:p w14:paraId="147D4B87"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4820" w:type="dxa"/>
          </w:tcPr>
          <w:p w14:paraId="25C73251"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r w:rsidR="00A052DC" w14:paraId="6B257F25" w14:textId="77777777">
        <w:tc>
          <w:tcPr>
            <w:tcW w:w="2269" w:type="dxa"/>
          </w:tcPr>
          <w:p w14:paraId="2CA7F44E" w14:textId="77777777" w:rsidR="00A052DC" w:rsidRDefault="009F0A60">
            <w:pPr>
              <w:rPr>
                <w:rFonts w:ascii="黑体" w:eastAsia="黑体" w:hAnsi="黑体"/>
                <w:sz w:val="20"/>
                <w:szCs w:val="20"/>
              </w:rPr>
            </w:pPr>
            <w:r>
              <w:rPr>
                <w:rFonts w:ascii="黑体" w:eastAsia="黑体" w:hAnsi="黑体" w:hint="eastAsia"/>
                <w:sz w:val="20"/>
                <w:szCs w:val="20"/>
              </w:rPr>
              <w:t>境内专用外汇账户账号</w:t>
            </w:r>
          </w:p>
        </w:tc>
        <w:tc>
          <w:tcPr>
            <w:tcW w:w="1417" w:type="dxa"/>
          </w:tcPr>
          <w:p w14:paraId="4254142D" w14:textId="77777777" w:rsidR="00A052DC" w:rsidRDefault="009F0A60">
            <w:pPr>
              <w:rPr>
                <w:rFonts w:ascii="黑体" w:eastAsia="黑体" w:hAnsi="黑体"/>
                <w:sz w:val="20"/>
                <w:szCs w:val="20"/>
              </w:rPr>
            </w:pPr>
            <w:r>
              <w:rPr>
                <w:rFonts w:ascii="黑体" w:eastAsia="黑体" w:hAnsi="黑体" w:hint="eastAsia"/>
                <w:sz w:val="20"/>
                <w:szCs w:val="20"/>
              </w:rPr>
              <w:t>字符型，64</w:t>
            </w:r>
          </w:p>
        </w:tc>
        <w:tc>
          <w:tcPr>
            <w:tcW w:w="4820" w:type="dxa"/>
          </w:tcPr>
          <w:p w14:paraId="2E96D2E6"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r w:rsidR="00A052DC" w14:paraId="7E170EEE" w14:textId="77777777">
        <w:tc>
          <w:tcPr>
            <w:tcW w:w="2269" w:type="dxa"/>
          </w:tcPr>
          <w:p w14:paraId="188B941F" w14:textId="77777777" w:rsidR="00A052DC" w:rsidRDefault="009F0A60">
            <w:pPr>
              <w:rPr>
                <w:rFonts w:ascii="黑体" w:eastAsia="黑体" w:hAnsi="黑体"/>
                <w:sz w:val="20"/>
                <w:szCs w:val="20"/>
              </w:rPr>
            </w:pPr>
            <w:r>
              <w:rPr>
                <w:rFonts w:ascii="黑体" w:eastAsia="黑体" w:hAnsi="黑体" w:hint="eastAsia"/>
                <w:sz w:val="20"/>
                <w:szCs w:val="20"/>
              </w:rPr>
              <w:t>报告期</w:t>
            </w:r>
          </w:p>
        </w:tc>
        <w:tc>
          <w:tcPr>
            <w:tcW w:w="1417" w:type="dxa"/>
          </w:tcPr>
          <w:p w14:paraId="3DBE2F78" w14:textId="77777777" w:rsidR="00A052DC" w:rsidRDefault="009F0A60">
            <w:pPr>
              <w:rPr>
                <w:rFonts w:ascii="黑体" w:eastAsia="黑体" w:hAnsi="黑体"/>
                <w:sz w:val="20"/>
                <w:szCs w:val="20"/>
              </w:rPr>
            </w:pPr>
            <w:r>
              <w:rPr>
                <w:rFonts w:ascii="黑体" w:eastAsia="黑体" w:hAnsi="黑体" w:hint="eastAsia"/>
                <w:sz w:val="20"/>
                <w:szCs w:val="20"/>
              </w:rPr>
              <w:t>定长型，6</w:t>
            </w:r>
          </w:p>
        </w:tc>
        <w:tc>
          <w:tcPr>
            <w:tcW w:w="4820" w:type="dxa"/>
          </w:tcPr>
          <w:p w14:paraId="442FF000" w14:textId="77777777" w:rsidR="00A052DC" w:rsidRDefault="009F0A60">
            <w:pPr>
              <w:rPr>
                <w:rFonts w:ascii="黑体" w:eastAsia="黑体" w:hAnsi="黑体"/>
                <w:sz w:val="20"/>
                <w:szCs w:val="20"/>
              </w:rPr>
            </w:pPr>
            <w:r>
              <w:rPr>
                <w:rFonts w:ascii="黑体" w:eastAsia="黑体" w:hAnsi="黑体" w:hint="eastAsia"/>
                <w:sz w:val="20"/>
                <w:szCs w:val="20"/>
              </w:rPr>
              <w:t>必填项，格式YYYYMM。</w:t>
            </w:r>
          </w:p>
        </w:tc>
      </w:tr>
      <w:tr w:rsidR="00A052DC" w14:paraId="43BEE119" w14:textId="77777777">
        <w:tc>
          <w:tcPr>
            <w:tcW w:w="2269" w:type="dxa"/>
          </w:tcPr>
          <w:p w14:paraId="55A4C5FB" w14:textId="77777777" w:rsidR="00A052DC" w:rsidRDefault="009F0A60">
            <w:pPr>
              <w:rPr>
                <w:rFonts w:ascii="黑体" w:eastAsia="黑体" w:hAnsi="黑体"/>
                <w:sz w:val="20"/>
                <w:szCs w:val="20"/>
              </w:rPr>
            </w:pPr>
            <w:r>
              <w:rPr>
                <w:rFonts w:ascii="黑体" w:eastAsia="黑体" w:hAnsi="黑体" w:hint="eastAsia"/>
                <w:sz w:val="20"/>
                <w:szCs w:val="20"/>
              </w:rPr>
              <w:t>币种</w:t>
            </w:r>
          </w:p>
        </w:tc>
        <w:tc>
          <w:tcPr>
            <w:tcW w:w="1417" w:type="dxa"/>
          </w:tcPr>
          <w:p w14:paraId="2D4C2266" w14:textId="77777777" w:rsidR="00A052DC" w:rsidRDefault="009F0A60">
            <w:pPr>
              <w:rPr>
                <w:rFonts w:ascii="黑体" w:eastAsia="黑体" w:hAnsi="黑体"/>
                <w:sz w:val="20"/>
                <w:szCs w:val="20"/>
              </w:rPr>
            </w:pPr>
            <w:r>
              <w:rPr>
                <w:rFonts w:ascii="黑体" w:eastAsia="黑体" w:hAnsi="黑体" w:hint="eastAsia"/>
                <w:sz w:val="20"/>
                <w:szCs w:val="20"/>
              </w:rPr>
              <w:t>字符型，3</w:t>
            </w:r>
          </w:p>
        </w:tc>
        <w:tc>
          <w:tcPr>
            <w:tcW w:w="4820" w:type="dxa"/>
          </w:tcPr>
          <w:p w14:paraId="5CD07254" w14:textId="77777777" w:rsidR="00A052DC" w:rsidRDefault="009F0A60">
            <w:pPr>
              <w:rPr>
                <w:rFonts w:ascii="黑体" w:eastAsia="黑体" w:hAnsi="黑体"/>
                <w:sz w:val="20"/>
                <w:szCs w:val="20"/>
              </w:rPr>
            </w:pPr>
            <w:r>
              <w:rPr>
                <w:rFonts w:ascii="黑体" w:eastAsia="黑体" w:hAnsi="黑体" w:hint="eastAsia"/>
                <w:sz w:val="20"/>
                <w:szCs w:val="20"/>
              </w:rPr>
              <w:t>必填项，默认美元。</w:t>
            </w:r>
          </w:p>
        </w:tc>
      </w:tr>
      <w:tr w:rsidR="00A052DC" w14:paraId="0E6AE734" w14:textId="77777777">
        <w:tc>
          <w:tcPr>
            <w:tcW w:w="2269" w:type="dxa"/>
          </w:tcPr>
          <w:p w14:paraId="0CCE5B18" w14:textId="77777777" w:rsidR="00A052DC" w:rsidRDefault="009F0A60">
            <w:pPr>
              <w:rPr>
                <w:rFonts w:ascii="黑体" w:eastAsia="黑体" w:hAnsi="黑体"/>
                <w:sz w:val="20"/>
                <w:szCs w:val="20"/>
              </w:rPr>
            </w:pPr>
            <w:r>
              <w:rPr>
                <w:rFonts w:ascii="黑体" w:eastAsia="黑体" w:hAnsi="黑体" w:hint="eastAsia"/>
                <w:sz w:val="20"/>
                <w:szCs w:val="20"/>
              </w:rPr>
              <w:t>月初余额</w:t>
            </w:r>
          </w:p>
        </w:tc>
        <w:tc>
          <w:tcPr>
            <w:tcW w:w="1417" w:type="dxa"/>
          </w:tcPr>
          <w:p w14:paraId="6389677B"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4820" w:type="dxa"/>
          </w:tcPr>
          <w:p w14:paraId="2953C9A1" w14:textId="77777777" w:rsidR="00A052DC" w:rsidRDefault="009F0A60">
            <w:pPr>
              <w:rPr>
                <w:rFonts w:ascii="黑体" w:eastAsia="黑体" w:hAnsi="黑体"/>
                <w:sz w:val="20"/>
                <w:szCs w:val="20"/>
              </w:rPr>
            </w:pPr>
            <w:r>
              <w:rPr>
                <w:rFonts w:ascii="黑体" w:eastAsia="黑体" w:hAnsi="黑体" w:hint="eastAsia"/>
                <w:sz w:val="20"/>
                <w:szCs w:val="20"/>
              </w:rPr>
              <w:t>必填项，大于等于0。</w:t>
            </w:r>
          </w:p>
        </w:tc>
      </w:tr>
      <w:tr w:rsidR="00A052DC" w14:paraId="109AA976" w14:textId="77777777">
        <w:tc>
          <w:tcPr>
            <w:tcW w:w="2269" w:type="dxa"/>
          </w:tcPr>
          <w:p w14:paraId="363474D5" w14:textId="77777777" w:rsidR="00A052DC" w:rsidRDefault="009F0A60">
            <w:pPr>
              <w:rPr>
                <w:rFonts w:ascii="黑体" w:eastAsia="黑体" w:hAnsi="黑体"/>
                <w:sz w:val="20"/>
                <w:szCs w:val="20"/>
              </w:rPr>
            </w:pPr>
            <w:r>
              <w:rPr>
                <w:rFonts w:ascii="黑体" w:eastAsia="黑体" w:hAnsi="黑体" w:hint="eastAsia"/>
                <w:sz w:val="20"/>
                <w:szCs w:val="20"/>
              </w:rPr>
              <w:t>汇入金额</w:t>
            </w:r>
          </w:p>
        </w:tc>
        <w:tc>
          <w:tcPr>
            <w:tcW w:w="1417" w:type="dxa"/>
          </w:tcPr>
          <w:p w14:paraId="1572D909"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4820" w:type="dxa"/>
          </w:tcPr>
          <w:p w14:paraId="71FCF6F2" w14:textId="77777777" w:rsidR="00A052DC" w:rsidRDefault="009F0A60">
            <w:pPr>
              <w:rPr>
                <w:rFonts w:ascii="黑体" w:eastAsia="黑体" w:hAnsi="黑体"/>
                <w:sz w:val="20"/>
                <w:szCs w:val="20"/>
              </w:rPr>
            </w:pPr>
            <w:r>
              <w:rPr>
                <w:rFonts w:ascii="黑体" w:eastAsia="黑体" w:hAnsi="黑体" w:hint="eastAsia"/>
                <w:sz w:val="20"/>
                <w:szCs w:val="20"/>
              </w:rPr>
              <w:t>必填项，大于等于0。</w:t>
            </w:r>
          </w:p>
        </w:tc>
      </w:tr>
      <w:tr w:rsidR="00A052DC" w14:paraId="156B7D8F" w14:textId="77777777">
        <w:tc>
          <w:tcPr>
            <w:tcW w:w="2269" w:type="dxa"/>
          </w:tcPr>
          <w:p w14:paraId="1863DDF9" w14:textId="77777777" w:rsidR="00A052DC" w:rsidRDefault="009F0A60">
            <w:pPr>
              <w:rPr>
                <w:rFonts w:ascii="黑体" w:eastAsia="黑体" w:hAnsi="黑体"/>
                <w:sz w:val="20"/>
                <w:szCs w:val="20"/>
              </w:rPr>
            </w:pPr>
            <w:r>
              <w:rPr>
                <w:rFonts w:ascii="黑体" w:eastAsia="黑体" w:hAnsi="黑体" w:hint="eastAsia"/>
                <w:sz w:val="20"/>
                <w:szCs w:val="20"/>
              </w:rPr>
              <w:t>购汇汇入金额</w:t>
            </w:r>
          </w:p>
        </w:tc>
        <w:tc>
          <w:tcPr>
            <w:tcW w:w="1417" w:type="dxa"/>
          </w:tcPr>
          <w:p w14:paraId="4A476595"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4820" w:type="dxa"/>
          </w:tcPr>
          <w:p w14:paraId="3010F3F3" w14:textId="77777777" w:rsidR="00A052DC" w:rsidRDefault="009F0A60">
            <w:pPr>
              <w:rPr>
                <w:rFonts w:ascii="黑体" w:eastAsia="黑体" w:hAnsi="黑体"/>
                <w:sz w:val="20"/>
                <w:szCs w:val="20"/>
              </w:rPr>
            </w:pPr>
            <w:r>
              <w:rPr>
                <w:rFonts w:ascii="黑体" w:eastAsia="黑体" w:hAnsi="黑体" w:hint="eastAsia"/>
                <w:sz w:val="20"/>
                <w:szCs w:val="20"/>
              </w:rPr>
              <w:t>必填项，大于等于0。</w:t>
            </w:r>
          </w:p>
        </w:tc>
      </w:tr>
      <w:tr w:rsidR="00A052DC" w14:paraId="7521AE79" w14:textId="77777777">
        <w:tc>
          <w:tcPr>
            <w:tcW w:w="2269" w:type="dxa"/>
          </w:tcPr>
          <w:p w14:paraId="57BC86FA" w14:textId="77777777" w:rsidR="00A052DC" w:rsidRDefault="009F0A60">
            <w:pPr>
              <w:rPr>
                <w:rFonts w:ascii="黑体" w:eastAsia="黑体" w:hAnsi="黑体"/>
                <w:sz w:val="20"/>
                <w:szCs w:val="20"/>
              </w:rPr>
            </w:pPr>
            <w:r>
              <w:rPr>
                <w:rFonts w:ascii="黑体" w:eastAsia="黑体" w:hAnsi="黑体" w:hint="eastAsia"/>
                <w:sz w:val="20"/>
                <w:szCs w:val="20"/>
              </w:rPr>
              <w:t>个人外汇储蓄账户划入金额</w:t>
            </w:r>
          </w:p>
        </w:tc>
        <w:tc>
          <w:tcPr>
            <w:tcW w:w="1417" w:type="dxa"/>
          </w:tcPr>
          <w:p w14:paraId="76930F37"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4820" w:type="dxa"/>
          </w:tcPr>
          <w:p w14:paraId="02BBAE7D" w14:textId="77777777" w:rsidR="00A052DC" w:rsidRDefault="009F0A60">
            <w:pPr>
              <w:rPr>
                <w:rFonts w:ascii="黑体" w:eastAsia="黑体" w:hAnsi="黑体"/>
                <w:sz w:val="20"/>
                <w:szCs w:val="20"/>
              </w:rPr>
            </w:pPr>
            <w:r>
              <w:rPr>
                <w:rFonts w:ascii="黑体" w:eastAsia="黑体" w:hAnsi="黑体" w:hint="eastAsia"/>
                <w:sz w:val="20"/>
                <w:szCs w:val="20"/>
              </w:rPr>
              <w:t>必填项，大于等于0。</w:t>
            </w:r>
          </w:p>
        </w:tc>
      </w:tr>
      <w:tr w:rsidR="00A052DC" w14:paraId="1D265695" w14:textId="77777777">
        <w:tc>
          <w:tcPr>
            <w:tcW w:w="2269" w:type="dxa"/>
          </w:tcPr>
          <w:p w14:paraId="282F5996" w14:textId="77777777" w:rsidR="00A052DC" w:rsidRDefault="009F0A60">
            <w:pPr>
              <w:rPr>
                <w:rFonts w:ascii="黑体" w:eastAsia="黑体" w:hAnsi="黑体"/>
                <w:sz w:val="20"/>
                <w:szCs w:val="20"/>
              </w:rPr>
            </w:pPr>
            <w:r>
              <w:rPr>
                <w:rFonts w:ascii="黑体" w:eastAsia="黑体" w:hAnsi="黑体" w:hint="eastAsia"/>
                <w:sz w:val="20"/>
                <w:szCs w:val="20"/>
              </w:rPr>
              <w:t>境外投资本金及收益汇回金额</w:t>
            </w:r>
          </w:p>
        </w:tc>
        <w:tc>
          <w:tcPr>
            <w:tcW w:w="1417" w:type="dxa"/>
          </w:tcPr>
          <w:p w14:paraId="3B8CA330"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4820" w:type="dxa"/>
          </w:tcPr>
          <w:p w14:paraId="1D5D3E28" w14:textId="77777777" w:rsidR="00A052DC" w:rsidRDefault="009F0A60">
            <w:pPr>
              <w:rPr>
                <w:rFonts w:ascii="黑体" w:eastAsia="黑体" w:hAnsi="黑体"/>
                <w:sz w:val="20"/>
                <w:szCs w:val="20"/>
              </w:rPr>
            </w:pPr>
            <w:r>
              <w:rPr>
                <w:rFonts w:ascii="黑体" w:eastAsia="黑体" w:hAnsi="黑体" w:hint="eastAsia"/>
                <w:sz w:val="20"/>
                <w:szCs w:val="20"/>
              </w:rPr>
              <w:t>必填项，大于等于0。</w:t>
            </w:r>
          </w:p>
        </w:tc>
      </w:tr>
      <w:tr w:rsidR="00A052DC" w14:paraId="0EA814E2" w14:textId="77777777">
        <w:tc>
          <w:tcPr>
            <w:tcW w:w="2269" w:type="dxa"/>
          </w:tcPr>
          <w:p w14:paraId="62D441A2" w14:textId="77777777" w:rsidR="00A052DC" w:rsidRDefault="009F0A60">
            <w:pPr>
              <w:rPr>
                <w:rFonts w:ascii="黑体" w:eastAsia="黑体" w:hAnsi="黑体"/>
                <w:sz w:val="20"/>
                <w:szCs w:val="20"/>
              </w:rPr>
            </w:pPr>
            <w:r>
              <w:rPr>
                <w:rFonts w:ascii="黑体" w:eastAsia="黑体" w:hAnsi="黑体" w:hint="eastAsia"/>
                <w:sz w:val="20"/>
                <w:szCs w:val="20"/>
              </w:rPr>
              <w:t>汇出金额</w:t>
            </w:r>
          </w:p>
        </w:tc>
        <w:tc>
          <w:tcPr>
            <w:tcW w:w="1417" w:type="dxa"/>
          </w:tcPr>
          <w:p w14:paraId="03E6C3D7"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4820" w:type="dxa"/>
          </w:tcPr>
          <w:p w14:paraId="46F3B65E" w14:textId="77777777" w:rsidR="00A052DC" w:rsidRDefault="009F0A60">
            <w:pPr>
              <w:rPr>
                <w:rFonts w:ascii="黑体" w:eastAsia="黑体" w:hAnsi="黑体"/>
                <w:sz w:val="20"/>
                <w:szCs w:val="20"/>
              </w:rPr>
            </w:pPr>
            <w:r>
              <w:rPr>
                <w:rFonts w:ascii="黑体" w:eastAsia="黑体" w:hAnsi="黑体" w:hint="eastAsia"/>
                <w:sz w:val="20"/>
                <w:szCs w:val="20"/>
              </w:rPr>
              <w:t>必填项，大于等于0。</w:t>
            </w:r>
          </w:p>
        </w:tc>
      </w:tr>
      <w:tr w:rsidR="00A052DC" w14:paraId="0D15EB33" w14:textId="77777777">
        <w:tc>
          <w:tcPr>
            <w:tcW w:w="2269" w:type="dxa"/>
          </w:tcPr>
          <w:p w14:paraId="6135E8AF" w14:textId="77777777" w:rsidR="00A052DC" w:rsidRDefault="009F0A60">
            <w:pPr>
              <w:rPr>
                <w:rFonts w:ascii="黑体" w:eastAsia="黑体" w:hAnsi="黑体"/>
                <w:sz w:val="20"/>
                <w:szCs w:val="20"/>
              </w:rPr>
            </w:pPr>
            <w:r>
              <w:rPr>
                <w:rFonts w:ascii="黑体" w:eastAsia="黑体" w:hAnsi="黑体" w:hint="eastAsia"/>
                <w:sz w:val="20"/>
                <w:szCs w:val="20"/>
              </w:rPr>
              <w:t>汇往境外金额</w:t>
            </w:r>
          </w:p>
        </w:tc>
        <w:tc>
          <w:tcPr>
            <w:tcW w:w="1417" w:type="dxa"/>
          </w:tcPr>
          <w:p w14:paraId="6C2C5F75"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4820" w:type="dxa"/>
          </w:tcPr>
          <w:p w14:paraId="7D56FC31" w14:textId="77777777" w:rsidR="00A052DC" w:rsidRDefault="009F0A60">
            <w:pPr>
              <w:rPr>
                <w:rFonts w:ascii="黑体" w:eastAsia="黑体" w:hAnsi="黑体"/>
                <w:sz w:val="20"/>
                <w:szCs w:val="20"/>
              </w:rPr>
            </w:pPr>
            <w:r>
              <w:rPr>
                <w:rFonts w:ascii="黑体" w:eastAsia="黑体" w:hAnsi="黑体" w:hint="eastAsia"/>
                <w:sz w:val="20"/>
                <w:szCs w:val="20"/>
              </w:rPr>
              <w:t>必填项，大于等于0。</w:t>
            </w:r>
          </w:p>
        </w:tc>
      </w:tr>
      <w:tr w:rsidR="00A052DC" w14:paraId="362CEE24" w14:textId="77777777">
        <w:tc>
          <w:tcPr>
            <w:tcW w:w="2269" w:type="dxa"/>
          </w:tcPr>
          <w:p w14:paraId="1CECBFB2" w14:textId="77777777" w:rsidR="00A052DC" w:rsidRDefault="009F0A60">
            <w:pPr>
              <w:rPr>
                <w:rFonts w:ascii="黑体" w:eastAsia="黑体" w:hAnsi="黑体"/>
                <w:sz w:val="20"/>
                <w:szCs w:val="20"/>
              </w:rPr>
            </w:pPr>
            <w:r>
              <w:rPr>
                <w:rFonts w:ascii="黑体" w:eastAsia="黑体" w:hAnsi="黑体" w:hint="eastAsia"/>
                <w:sz w:val="20"/>
                <w:szCs w:val="20"/>
              </w:rPr>
              <w:t>结汇金额</w:t>
            </w:r>
          </w:p>
        </w:tc>
        <w:tc>
          <w:tcPr>
            <w:tcW w:w="1417" w:type="dxa"/>
          </w:tcPr>
          <w:p w14:paraId="4182E409"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4820" w:type="dxa"/>
          </w:tcPr>
          <w:p w14:paraId="5572F4FA" w14:textId="77777777" w:rsidR="00A052DC" w:rsidRDefault="009F0A60">
            <w:pPr>
              <w:rPr>
                <w:rFonts w:ascii="黑体" w:eastAsia="黑体" w:hAnsi="黑体"/>
                <w:sz w:val="20"/>
                <w:szCs w:val="20"/>
              </w:rPr>
            </w:pPr>
            <w:r>
              <w:rPr>
                <w:rFonts w:ascii="黑体" w:eastAsia="黑体" w:hAnsi="黑体" w:hint="eastAsia"/>
                <w:sz w:val="20"/>
                <w:szCs w:val="20"/>
              </w:rPr>
              <w:t>必填项，大于等于0。</w:t>
            </w:r>
          </w:p>
        </w:tc>
      </w:tr>
      <w:tr w:rsidR="00A052DC" w14:paraId="72749A62" w14:textId="77777777">
        <w:tc>
          <w:tcPr>
            <w:tcW w:w="2269" w:type="dxa"/>
          </w:tcPr>
          <w:p w14:paraId="74B8B451" w14:textId="77777777" w:rsidR="00A052DC" w:rsidRDefault="009F0A60">
            <w:pPr>
              <w:rPr>
                <w:rFonts w:ascii="黑体" w:eastAsia="黑体" w:hAnsi="黑体"/>
                <w:sz w:val="20"/>
                <w:szCs w:val="20"/>
              </w:rPr>
            </w:pPr>
            <w:r>
              <w:rPr>
                <w:rFonts w:ascii="黑体" w:eastAsia="黑体" w:hAnsi="黑体" w:hint="eastAsia"/>
                <w:sz w:val="20"/>
                <w:szCs w:val="20"/>
              </w:rPr>
              <w:t>划入个人外汇储蓄账户金额</w:t>
            </w:r>
          </w:p>
        </w:tc>
        <w:tc>
          <w:tcPr>
            <w:tcW w:w="1417" w:type="dxa"/>
          </w:tcPr>
          <w:p w14:paraId="6CEA6E13" w14:textId="77777777" w:rsidR="00A052DC" w:rsidRDefault="009F0A60">
            <w:pPr>
              <w:rPr>
                <w:rFonts w:ascii="黑体" w:eastAsia="黑体" w:hAnsi="黑体"/>
                <w:sz w:val="20"/>
                <w:szCs w:val="20"/>
              </w:rPr>
            </w:pPr>
            <w:r>
              <w:rPr>
                <w:rFonts w:ascii="黑体" w:eastAsia="黑体" w:hAnsi="黑体" w:hint="eastAsia"/>
                <w:sz w:val="20"/>
                <w:szCs w:val="20"/>
              </w:rPr>
              <w:t>字符型，22.2</w:t>
            </w:r>
          </w:p>
        </w:tc>
        <w:tc>
          <w:tcPr>
            <w:tcW w:w="4820" w:type="dxa"/>
          </w:tcPr>
          <w:p w14:paraId="788DC968" w14:textId="77777777" w:rsidR="00A052DC" w:rsidRDefault="009F0A60">
            <w:pPr>
              <w:rPr>
                <w:rFonts w:ascii="黑体" w:eastAsia="黑体" w:hAnsi="黑体"/>
                <w:sz w:val="20"/>
                <w:szCs w:val="20"/>
              </w:rPr>
            </w:pPr>
            <w:r>
              <w:rPr>
                <w:rFonts w:ascii="黑体" w:eastAsia="黑体" w:hAnsi="黑体" w:hint="eastAsia"/>
                <w:sz w:val="20"/>
                <w:szCs w:val="20"/>
              </w:rPr>
              <w:t>必填项，大于等于0。</w:t>
            </w:r>
          </w:p>
        </w:tc>
      </w:tr>
      <w:tr w:rsidR="00A052DC" w14:paraId="35F11972" w14:textId="77777777">
        <w:tc>
          <w:tcPr>
            <w:tcW w:w="2269" w:type="dxa"/>
          </w:tcPr>
          <w:p w14:paraId="7E538853" w14:textId="77777777" w:rsidR="00A052DC" w:rsidRDefault="009F0A60">
            <w:pPr>
              <w:rPr>
                <w:rFonts w:ascii="黑体" w:eastAsia="黑体" w:hAnsi="黑体"/>
                <w:sz w:val="20"/>
                <w:szCs w:val="20"/>
              </w:rPr>
            </w:pPr>
            <w:r>
              <w:rPr>
                <w:rFonts w:ascii="黑体" w:eastAsia="黑体" w:hAnsi="黑体" w:hint="eastAsia"/>
                <w:sz w:val="20"/>
                <w:szCs w:val="20"/>
              </w:rPr>
              <w:t>月末账户余额</w:t>
            </w:r>
          </w:p>
        </w:tc>
        <w:tc>
          <w:tcPr>
            <w:tcW w:w="1417" w:type="dxa"/>
          </w:tcPr>
          <w:p w14:paraId="65A1D98D"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4820" w:type="dxa"/>
          </w:tcPr>
          <w:p w14:paraId="0D23EABD" w14:textId="77777777" w:rsidR="00A052DC" w:rsidRDefault="009F0A60">
            <w:pPr>
              <w:rPr>
                <w:rFonts w:ascii="黑体" w:eastAsia="黑体" w:hAnsi="黑体"/>
                <w:sz w:val="20"/>
                <w:szCs w:val="20"/>
              </w:rPr>
            </w:pPr>
            <w:r>
              <w:rPr>
                <w:rFonts w:ascii="黑体" w:eastAsia="黑体" w:hAnsi="黑体" w:hint="eastAsia"/>
                <w:sz w:val="20"/>
                <w:szCs w:val="20"/>
              </w:rPr>
              <w:t>必填项，大于等于0。</w:t>
            </w:r>
          </w:p>
        </w:tc>
      </w:tr>
      <w:tr w:rsidR="00A052DC" w14:paraId="7D645E82" w14:textId="77777777">
        <w:tc>
          <w:tcPr>
            <w:tcW w:w="2269" w:type="dxa"/>
          </w:tcPr>
          <w:p w14:paraId="7D69FA82" w14:textId="77777777" w:rsidR="00A052DC" w:rsidRDefault="009F0A60">
            <w:pPr>
              <w:rPr>
                <w:rFonts w:ascii="黑体" w:eastAsia="黑体" w:hAnsi="黑体"/>
                <w:sz w:val="20"/>
                <w:szCs w:val="20"/>
              </w:rPr>
            </w:pPr>
            <w:r>
              <w:rPr>
                <w:rFonts w:ascii="黑体" w:eastAsia="黑体" w:hAnsi="黑体" w:hint="eastAsia"/>
                <w:sz w:val="20"/>
                <w:szCs w:val="20"/>
              </w:rPr>
              <w:t>其他收支净额</w:t>
            </w:r>
          </w:p>
        </w:tc>
        <w:tc>
          <w:tcPr>
            <w:tcW w:w="1417" w:type="dxa"/>
          </w:tcPr>
          <w:p w14:paraId="65BC5418"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4820" w:type="dxa"/>
          </w:tcPr>
          <w:p w14:paraId="04F31B20" w14:textId="77777777" w:rsidR="00A052DC" w:rsidRDefault="009F0A60">
            <w:pPr>
              <w:rPr>
                <w:rFonts w:ascii="黑体" w:eastAsia="黑体" w:hAnsi="黑体"/>
                <w:sz w:val="20"/>
                <w:szCs w:val="20"/>
              </w:rPr>
            </w:pPr>
            <w:r>
              <w:rPr>
                <w:rFonts w:ascii="黑体" w:eastAsia="黑体" w:hAnsi="黑体" w:hint="eastAsia"/>
                <w:sz w:val="20"/>
                <w:szCs w:val="20"/>
              </w:rPr>
              <w:t>必填项，大于等于0。</w:t>
            </w:r>
          </w:p>
        </w:tc>
      </w:tr>
      <w:tr w:rsidR="00A052DC" w14:paraId="34C32FA0" w14:textId="77777777">
        <w:tc>
          <w:tcPr>
            <w:tcW w:w="2269" w:type="dxa"/>
            <w:tcBorders>
              <w:top w:val="single" w:sz="4" w:space="0" w:color="auto"/>
              <w:left w:val="single" w:sz="4" w:space="0" w:color="auto"/>
              <w:bottom w:val="single" w:sz="4" w:space="0" w:color="auto"/>
              <w:right w:val="single" w:sz="4" w:space="0" w:color="auto"/>
            </w:tcBorders>
          </w:tcPr>
          <w:p w14:paraId="0E8A90CC" w14:textId="77777777" w:rsidR="00A052DC" w:rsidRDefault="009F0A60">
            <w:pPr>
              <w:rPr>
                <w:rFonts w:ascii="黑体" w:eastAsia="黑体" w:hAnsi="黑体"/>
                <w:sz w:val="20"/>
                <w:szCs w:val="20"/>
              </w:rPr>
            </w:pPr>
            <w:r>
              <w:rPr>
                <w:rFonts w:ascii="黑体" w:eastAsia="黑体" w:hAnsi="黑体" w:hint="eastAsia"/>
                <w:sz w:val="20"/>
                <w:szCs w:val="20"/>
              </w:rPr>
              <w:t>备注</w:t>
            </w:r>
          </w:p>
        </w:tc>
        <w:tc>
          <w:tcPr>
            <w:tcW w:w="1417" w:type="dxa"/>
            <w:tcBorders>
              <w:top w:val="single" w:sz="4" w:space="0" w:color="auto"/>
              <w:left w:val="single" w:sz="4" w:space="0" w:color="auto"/>
              <w:bottom w:val="single" w:sz="4" w:space="0" w:color="auto"/>
              <w:right w:val="single" w:sz="4" w:space="0" w:color="auto"/>
            </w:tcBorders>
          </w:tcPr>
          <w:p w14:paraId="74E1A76A" w14:textId="77777777" w:rsidR="00A052DC" w:rsidRDefault="009F0A60">
            <w:pPr>
              <w:rPr>
                <w:rFonts w:ascii="黑体" w:eastAsia="黑体" w:hAnsi="黑体"/>
                <w:sz w:val="20"/>
                <w:szCs w:val="20"/>
              </w:rPr>
            </w:pPr>
            <w:r>
              <w:rPr>
                <w:rFonts w:ascii="黑体" w:eastAsia="黑体" w:hAnsi="黑体" w:hint="eastAsia"/>
                <w:sz w:val="20"/>
                <w:szCs w:val="20"/>
              </w:rPr>
              <w:t>字符型，256</w:t>
            </w:r>
          </w:p>
        </w:tc>
        <w:tc>
          <w:tcPr>
            <w:tcW w:w="4820" w:type="dxa"/>
            <w:tcBorders>
              <w:top w:val="single" w:sz="4" w:space="0" w:color="auto"/>
              <w:left w:val="single" w:sz="4" w:space="0" w:color="auto"/>
              <w:bottom w:val="single" w:sz="4" w:space="0" w:color="auto"/>
              <w:right w:val="single" w:sz="4" w:space="0" w:color="auto"/>
            </w:tcBorders>
          </w:tcPr>
          <w:p w14:paraId="0FE08E63" w14:textId="77777777" w:rsidR="00A052DC" w:rsidRDefault="009F0A60">
            <w:pPr>
              <w:rPr>
                <w:rFonts w:ascii="黑体" w:eastAsia="黑体" w:hAnsi="黑体"/>
                <w:sz w:val="20"/>
                <w:szCs w:val="20"/>
              </w:rPr>
            </w:pPr>
            <w:r>
              <w:rPr>
                <w:rFonts w:ascii="黑体" w:eastAsia="黑体" w:hAnsi="黑体" w:hint="eastAsia"/>
                <w:sz w:val="20"/>
                <w:szCs w:val="20"/>
              </w:rPr>
              <w:t>非必填项。</w:t>
            </w:r>
          </w:p>
        </w:tc>
      </w:tr>
    </w:tbl>
    <w:p w14:paraId="3F06E7CA" w14:textId="77777777" w:rsidR="00A052DC" w:rsidRDefault="009F0A60">
      <w:pPr>
        <w:pStyle w:val="2"/>
        <w:rPr>
          <w:rFonts w:ascii="Times New Roman" w:hAnsi="Times New Roman"/>
        </w:rPr>
      </w:pPr>
      <w:bookmarkStart w:id="2931" w:name="_Toc380570890"/>
      <w:bookmarkStart w:id="2932" w:name="_Toc380356273"/>
      <w:bookmarkStart w:id="2933" w:name="_Toc91455300"/>
      <w:bookmarkStart w:id="2934" w:name="_Toc454391208"/>
      <w:bookmarkStart w:id="2935" w:name="_Toc101684473"/>
      <w:bookmarkStart w:id="2936" w:name="_Toc357107500"/>
      <w:bookmarkStart w:id="2937" w:name="_Toc380356310"/>
      <w:bookmarkStart w:id="2938" w:name="_Toc380356368"/>
      <w:bookmarkEnd w:id="1485"/>
      <w:r>
        <w:rPr>
          <w:rFonts w:ascii="Times New Roman" w:hAnsi="Times New Roman" w:hint="eastAsia"/>
        </w:rPr>
        <w:t>对外金融资产负债及交易信息</w:t>
      </w:r>
      <w:bookmarkEnd w:id="2931"/>
      <w:bookmarkEnd w:id="2932"/>
      <w:bookmarkEnd w:id="2933"/>
      <w:bookmarkEnd w:id="2934"/>
      <w:bookmarkEnd w:id="2935"/>
    </w:p>
    <w:p w14:paraId="06F701FC" w14:textId="77777777" w:rsidR="00A052DC" w:rsidRDefault="009F0A60" w:rsidP="0020251D">
      <w:pPr>
        <w:pStyle w:val="3"/>
        <w:ind w:left="0"/>
        <w:rPr>
          <w:rFonts w:ascii="Times New Roman" w:hAnsi="Times New Roman"/>
        </w:rPr>
      </w:pPr>
      <w:bookmarkStart w:id="2939" w:name="_Toc380356274"/>
      <w:bookmarkStart w:id="2940" w:name="_Toc91455301"/>
      <w:bookmarkStart w:id="2941" w:name="_Toc380570891"/>
      <w:bookmarkStart w:id="2942" w:name="_Toc454391209"/>
      <w:bookmarkStart w:id="2943" w:name="_Toc101684474"/>
      <w:r>
        <w:rPr>
          <w:rFonts w:ascii="Times New Roman" w:hAnsi="Times New Roman"/>
        </w:rPr>
        <w:t>Z01</w:t>
      </w:r>
      <w:r>
        <w:rPr>
          <w:rFonts w:ascii="Times New Roman" w:hAnsi="Times New Roman" w:hint="eastAsia"/>
        </w:rPr>
        <w:t>表：单位基本情况信息</w:t>
      </w:r>
      <w:bookmarkEnd w:id="2939"/>
      <w:bookmarkEnd w:id="2940"/>
      <w:bookmarkEnd w:id="2941"/>
      <w:bookmarkEnd w:id="2942"/>
      <w:bookmarkEnd w:id="2943"/>
    </w:p>
    <w:p w14:paraId="4D13CC9B" w14:textId="77777777" w:rsidR="00A052DC" w:rsidRDefault="009F0A60" w:rsidP="0020251D">
      <w:pPr>
        <w:pStyle w:val="4"/>
        <w:numPr>
          <w:ilvl w:val="3"/>
          <w:numId w:val="1"/>
        </w:numPr>
        <w:jc w:val="left"/>
      </w:pPr>
      <w:bookmarkStart w:id="2944" w:name="_Toc380570892"/>
      <w:bookmarkStart w:id="2945" w:name="_Toc454391210"/>
      <w:r>
        <w:rPr>
          <w:rFonts w:hint="eastAsia"/>
        </w:rPr>
        <w:t>数据术语解释</w:t>
      </w:r>
      <w:bookmarkEnd w:id="2944"/>
      <w:bookmarkEnd w:id="2945"/>
    </w:p>
    <w:p w14:paraId="0B9D28A9" w14:textId="77777777" w:rsidR="00A052DC" w:rsidRDefault="00A052DC">
      <w:pPr>
        <w:spacing w:line="240" w:lineRule="exact"/>
        <w:rPr>
          <w:sz w:val="18"/>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8"/>
        <w:gridCol w:w="6571"/>
      </w:tblGrid>
      <w:tr w:rsidR="00A052DC" w14:paraId="0B5F8812" w14:textId="77777777">
        <w:trPr>
          <w:cantSplit/>
        </w:trPr>
        <w:tc>
          <w:tcPr>
            <w:tcW w:w="1858" w:type="dxa"/>
            <w:shd w:val="clear" w:color="auto" w:fill="auto"/>
            <w:noWrap/>
          </w:tcPr>
          <w:p w14:paraId="272D8069" w14:textId="77777777" w:rsidR="00A052DC" w:rsidRDefault="009F0A60">
            <w:pPr>
              <w:pStyle w:val="B1"/>
            </w:pPr>
            <w:r>
              <w:rPr>
                <w:rFonts w:hint="eastAsia"/>
              </w:rPr>
              <w:t>基础数据项</w:t>
            </w:r>
          </w:p>
        </w:tc>
        <w:tc>
          <w:tcPr>
            <w:tcW w:w="6571" w:type="dxa"/>
            <w:shd w:val="clear" w:color="auto" w:fill="auto"/>
            <w:noWrap/>
          </w:tcPr>
          <w:p w14:paraId="17A40BA5" w14:textId="77777777" w:rsidR="00A052DC" w:rsidRDefault="009F0A60">
            <w:pPr>
              <w:pStyle w:val="B1"/>
            </w:pPr>
            <w:r>
              <w:rPr>
                <w:rFonts w:hint="eastAsia"/>
              </w:rPr>
              <w:t>定义</w:t>
            </w:r>
          </w:p>
        </w:tc>
      </w:tr>
      <w:tr w:rsidR="00A052DC" w14:paraId="3CEE8CA9" w14:textId="77777777">
        <w:trPr>
          <w:cantSplit/>
        </w:trPr>
        <w:tc>
          <w:tcPr>
            <w:tcW w:w="1858" w:type="dxa"/>
            <w:shd w:val="clear" w:color="auto" w:fill="auto"/>
          </w:tcPr>
          <w:p w14:paraId="6AF3C6D2" w14:textId="77777777" w:rsidR="00A052DC" w:rsidRDefault="009F0A60">
            <w:pPr>
              <w:pStyle w:val="B"/>
              <w:rPr>
                <w:szCs w:val="20"/>
              </w:rPr>
            </w:pPr>
            <w:r>
              <w:rPr>
                <w:rFonts w:hint="eastAsia"/>
                <w:szCs w:val="20"/>
              </w:rPr>
              <w:t>数据自编码</w:t>
            </w:r>
          </w:p>
        </w:tc>
        <w:tc>
          <w:tcPr>
            <w:tcW w:w="6571" w:type="dxa"/>
            <w:shd w:val="clear" w:color="auto" w:fill="auto"/>
            <w:noWrap/>
          </w:tcPr>
          <w:p w14:paraId="251F4D8B" w14:textId="77777777" w:rsidR="00A052DC" w:rsidRDefault="009F0A60">
            <w:pPr>
              <w:pStyle w:val="B"/>
              <w:rPr>
                <w:szCs w:val="20"/>
              </w:rPr>
            </w:pPr>
            <w:r>
              <w:rPr>
                <w:rFonts w:hint="eastAsia"/>
                <w:szCs w:val="20"/>
              </w:rPr>
              <w:t>该编码用于标识金融机构报送的每一条数据，按给定规则编码，便于进行增删改查等操作。建议规则：机构代码（</w:t>
            </w:r>
            <w:r>
              <w:rPr>
                <w:szCs w:val="20"/>
              </w:rPr>
              <w:t>1</w:t>
            </w:r>
            <w:r>
              <w:rPr>
                <w:rFonts w:hint="eastAsia"/>
                <w:szCs w:val="20"/>
              </w:rPr>
              <w:t>8位，不足</w:t>
            </w:r>
            <w:r>
              <w:rPr>
                <w:szCs w:val="20"/>
              </w:rPr>
              <w:t>1</w:t>
            </w:r>
            <w:r>
              <w:rPr>
                <w:rFonts w:hint="eastAsia"/>
                <w:szCs w:val="20"/>
              </w:rPr>
              <w:t>8位补</w:t>
            </w:r>
            <w:r>
              <w:rPr>
                <w:szCs w:val="20"/>
              </w:rPr>
              <w:t>a</w:t>
            </w:r>
            <w:r>
              <w:rPr>
                <w:rFonts w:hint="eastAsia"/>
                <w:szCs w:val="20"/>
              </w:rPr>
              <w:t>）</w:t>
            </w:r>
            <w:r>
              <w:rPr>
                <w:szCs w:val="20"/>
              </w:rPr>
              <w:t>+</w:t>
            </w:r>
            <w:r>
              <w:rPr>
                <w:rFonts w:hint="eastAsia"/>
                <w:szCs w:val="20"/>
              </w:rPr>
              <w:t>报表代码（</w:t>
            </w:r>
            <w:r>
              <w:rPr>
                <w:szCs w:val="20"/>
              </w:rPr>
              <w:t>5</w:t>
            </w:r>
            <w:r>
              <w:rPr>
                <w:rFonts w:hint="eastAsia"/>
                <w:szCs w:val="20"/>
              </w:rPr>
              <w:t>位，不足</w:t>
            </w:r>
            <w:r>
              <w:rPr>
                <w:szCs w:val="20"/>
              </w:rPr>
              <w:t>5</w:t>
            </w:r>
            <w:r>
              <w:rPr>
                <w:rFonts w:hint="eastAsia"/>
                <w:szCs w:val="20"/>
              </w:rPr>
              <w:t>位补</w:t>
            </w:r>
            <w:r>
              <w:rPr>
                <w:szCs w:val="20"/>
              </w:rPr>
              <w:t>a</w:t>
            </w:r>
            <w:r>
              <w:rPr>
                <w:rFonts w:hint="eastAsia"/>
                <w:szCs w:val="20"/>
              </w:rPr>
              <w:t>）</w:t>
            </w:r>
            <w:r>
              <w:rPr>
                <w:szCs w:val="20"/>
              </w:rPr>
              <w:t>+</w:t>
            </w:r>
            <w:r>
              <w:rPr>
                <w:rFonts w:hint="eastAsia"/>
                <w:szCs w:val="20"/>
              </w:rPr>
              <w:t>报送期（</w:t>
            </w:r>
            <w:r>
              <w:rPr>
                <w:szCs w:val="20"/>
              </w:rPr>
              <w:t>6</w:t>
            </w:r>
            <w:r>
              <w:rPr>
                <w:rFonts w:hint="eastAsia"/>
                <w:szCs w:val="20"/>
              </w:rPr>
              <w:t>位）</w:t>
            </w:r>
            <w:r>
              <w:rPr>
                <w:szCs w:val="20"/>
              </w:rPr>
              <w:t>+</w:t>
            </w:r>
            <w:r>
              <w:rPr>
                <w:rFonts w:hint="eastAsia"/>
                <w:szCs w:val="20"/>
              </w:rPr>
              <w:t>顺序号（</w:t>
            </w:r>
            <w:r>
              <w:rPr>
                <w:szCs w:val="20"/>
              </w:rPr>
              <w:t>7</w:t>
            </w:r>
            <w:r>
              <w:rPr>
                <w:rFonts w:hint="eastAsia"/>
                <w:szCs w:val="20"/>
              </w:rPr>
              <w:t>位，从</w:t>
            </w:r>
            <w:r>
              <w:rPr>
                <w:szCs w:val="20"/>
              </w:rPr>
              <w:t>0000001</w:t>
            </w:r>
            <w:r>
              <w:rPr>
                <w:rFonts w:hint="eastAsia"/>
                <w:szCs w:val="20"/>
              </w:rPr>
              <w:t>开始增加）。</w:t>
            </w:r>
          </w:p>
        </w:tc>
      </w:tr>
      <w:tr w:rsidR="00A052DC" w14:paraId="57542818" w14:textId="77777777">
        <w:trPr>
          <w:cantSplit/>
        </w:trPr>
        <w:tc>
          <w:tcPr>
            <w:tcW w:w="1858" w:type="dxa"/>
            <w:shd w:val="clear" w:color="auto" w:fill="auto"/>
          </w:tcPr>
          <w:p w14:paraId="26970DF5" w14:textId="77777777" w:rsidR="00A052DC" w:rsidRDefault="009F0A60">
            <w:pPr>
              <w:pStyle w:val="B"/>
              <w:rPr>
                <w:szCs w:val="20"/>
              </w:rPr>
            </w:pPr>
            <w:r>
              <w:rPr>
                <w:rFonts w:hint="eastAsia"/>
                <w:szCs w:val="20"/>
              </w:rPr>
              <w:t>申报主体代码</w:t>
            </w:r>
          </w:p>
        </w:tc>
        <w:tc>
          <w:tcPr>
            <w:tcW w:w="6571" w:type="dxa"/>
            <w:shd w:val="clear" w:color="auto" w:fill="auto"/>
            <w:noWrap/>
          </w:tcPr>
          <w:p w14:paraId="0BFF2C53" w14:textId="77777777" w:rsidR="00A052DC" w:rsidRDefault="009F0A60">
            <w:pPr>
              <w:pStyle w:val="B"/>
              <w:rPr>
                <w:szCs w:val="20"/>
              </w:rPr>
            </w:pPr>
            <w:r>
              <w:rPr>
                <w:rFonts w:hint="eastAsia"/>
                <w:szCs w:val="20"/>
              </w:rPr>
              <w:t>申报主体的12位金融机构标识码，如果没有金融机构标识码，则填报统一社会信用代码法定载体（如营业执照）上统一社会信用代码中的第9至17位或国家外汇管理局及其分支局签发的特殊机构代码赋码通知书上的机构代码、个人身份代码。</w:t>
            </w:r>
          </w:p>
        </w:tc>
      </w:tr>
      <w:tr w:rsidR="00A052DC" w14:paraId="55EA08A8" w14:textId="77777777">
        <w:trPr>
          <w:cantSplit/>
        </w:trPr>
        <w:tc>
          <w:tcPr>
            <w:tcW w:w="1858" w:type="dxa"/>
            <w:shd w:val="clear" w:color="auto" w:fill="auto"/>
          </w:tcPr>
          <w:p w14:paraId="5293068C" w14:textId="77777777" w:rsidR="00A052DC" w:rsidRDefault="009F0A60">
            <w:pPr>
              <w:pStyle w:val="B"/>
              <w:rPr>
                <w:szCs w:val="20"/>
              </w:rPr>
            </w:pPr>
            <w:r>
              <w:rPr>
                <w:rFonts w:hint="eastAsia"/>
                <w:szCs w:val="20"/>
              </w:rPr>
              <w:t>报告期</w:t>
            </w:r>
          </w:p>
        </w:tc>
        <w:tc>
          <w:tcPr>
            <w:tcW w:w="6571" w:type="dxa"/>
            <w:shd w:val="clear" w:color="auto" w:fill="auto"/>
            <w:noWrap/>
          </w:tcPr>
          <w:p w14:paraId="6D6EFCED" w14:textId="77777777" w:rsidR="00A052DC" w:rsidRDefault="009F0A60">
            <w:pPr>
              <w:pStyle w:val="B"/>
              <w:rPr>
                <w:szCs w:val="20"/>
              </w:rPr>
            </w:pPr>
            <w:r>
              <w:rPr>
                <w:rFonts w:hint="eastAsia"/>
                <w:szCs w:val="20"/>
              </w:rPr>
              <w:t>业务发生月份，格式为</w:t>
            </w:r>
            <w:r>
              <w:rPr>
                <w:szCs w:val="20"/>
              </w:rPr>
              <w:t>YYYYMM</w:t>
            </w:r>
            <w:r>
              <w:rPr>
                <w:rFonts w:hint="eastAsia"/>
                <w:szCs w:val="20"/>
              </w:rPr>
              <w:t>。</w:t>
            </w:r>
          </w:p>
        </w:tc>
      </w:tr>
      <w:tr w:rsidR="00A052DC" w14:paraId="09D12A51" w14:textId="77777777">
        <w:trPr>
          <w:cantSplit/>
        </w:trPr>
        <w:tc>
          <w:tcPr>
            <w:tcW w:w="1858" w:type="dxa"/>
            <w:shd w:val="clear" w:color="auto" w:fill="auto"/>
          </w:tcPr>
          <w:p w14:paraId="0E5AF8EA" w14:textId="77777777" w:rsidR="00A052DC" w:rsidRDefault="009F0A60">
            <w:pPr>
              <w:pStyle w:val="B"/>
              <w:rPr>
                <w:szCs w:val="20"/>
              </w:rPr>
            </w:pPr>
            <w:r>
              <w:rPr>
                <w:rFonts w:hint="eastAsia"/>
                <w:szCs w:val="20"/>
              </w:rPr>
              <w:t>申报主体名称</w:t>
            </w:r>
          </w:p>
        </w:tc>
        <w:tc>
          <w:tcPr>
            <w:tcW w:w="6571" w:type="dxa"/>
            <w:shd w:val="clear" w:color="auto" w:fill="auto"/>
            <w:noWrap/>
          </w:tcPr>
          <w:p w14:paraId="530BE15A" w14:textId="77777777" w:rsidR="00A052DC" w:rsidRDefault="009F0A60">
            <w:pPr>
              <w:pStyle w:val="B"/>
              <w:rPr>
                <w:szCs w:val="20"/>
              </w:rPr>
            </w:pPr>
            <w:r>
              <w:rPr>
                <w:rFonts w:hint="eastAsia"/>
                <w:szCs w:val="20"/>
              </w:rPr>
              <w:t>对于机构，请按照营业执照或国家外汇管理局及其分支局签发的特殊机构代码赋码通知书上的名称填写。对于个人，请按照个人身份证件填写，包括永久居留证、护照、身份证或其他证件上的名称填写。</w:t>
            </w:r>
          </w:p>
        </w:tc>
      </w:tr>
      <w:tr w:rsidR="00A052DC" w14:paraId="4F0FE2EB" w14:textId="77777777">
        <w:trPr>
          <w:cantSplit/>
        </w:trPr>
        <w:tc>
          <w:tcPr>
            <w:tcW w:w="1858" w:type="dxa"/>
            <w:shd w:val="clear" w:color="auto" w:fill="auto"/>
          </w:tcPr>
          <w:p w14:paraId="38511921" w14:textId="77777777" w:rsidR="00A052DC" w:rsidRDefault="009F0A60">
            <w:pPr>
              <w:pStyle w:val="B"/>
              <w:rPr>
                <w:szCs w:val="20"/>
              </w:rPr>
            </w:pPr>
            <w:r>
              <w:rPr>
                <w:rFonts w:hint="eastAsia"/>
                <w:szCs w:val="20"/>
              </w:rPr>
              <w:t>申报主体英文全称</w:t>
            </w:r>
          </w:p>
        </w:tc>
        <w:tc>
          <w:tcPr>
            <w:tcW w:w="6571" w:type="dxa"/>
            <w:shd w:val="clear" w:color="auto" w:fill="auto"/>
            <w:noWrap/>
          </w:tcPr>
          <w:p w14:paraId="1A3DC734" w14:textId="77777777" w:rsidR="00A052DC" w:rsidRDefault="009F0A60">
            <w:pPr>
              <w:pStyle w:val="B"/>
              <w:rPr>
                <w:szCs w:val="20"/>
              </w:rPr>
            </w:pPr>
            <w:r>
              <w:rPr>
                <w:rFonts w:hint="eastAsia"/>
                <w:szCs w:val="20"/>
              </w:rPr>
              <w:t>请填写申报主体英文全称。</w:t>
            </w:r>
          </w:p>
        </w:tc>
      </w:tr>
      <w:tr w:rsidR="00A052DC" w14:paraId="7BEE6F93" w14:textId="77777777">
        <w:trPr>
          <w:cantSplit/>
        </w:trPr>
        <w:tc>
          <w:tcPr>
            <w:tcW w:w="1858" w:type="dxa"/>
            <w:shd w:val="clear" w:color="auto" w:fill="auto"/>
          </w:tcPr>
          <w:p w14:paraId="2F8120B9" w14:textId="77777777" w:rsidR="00A052DC" w:rsidRDefault="009F0A60">
            <w:pPr>
              <w:pStyle w:val="B"/>
              <w:rPr>
                <w:szCs w:val="20"/>
              </w:rPr>
            </w:pPr>
            <w:r>
              <w:rPr>
                <w:rFonts w:hint="eastAsia"/>
                <w:szCs w:val="20"/>
              </w:rPr>
              <w:t>证照类别</w:t>
            </w:r>
          </w:p>
        </w:tc>
        <w:tc>
          <w:tcPr>
            <w:tcW w:w="6571" w:type="dxa"/>
            <w:shd w:val="clear" w:color="auto" w:fill="auto"/>
            <w:noWrap/>
          </w:tcPr>
          <w:p w14:paraId="07D11A66" w14:textId="77777777" w:rsidR="00A052DC" w:rsidRDefault="009F0A60">
            <w:pPr>
              <w:pStyle w:val="B"/>
              <w:rPr>
                <w:szCs w:val="20"/>
              </w:rPr>
            </w:pPr>
            <w:r>
              <w:rPr>
                <w:rFonts w:hint="eastAsia"/>
                <w:szCs w:val="20"/>
              </w:rPr>
              <w:t>请选择：1-主体标识码（统一社会信用代码的第9-17位）；2-特殊机构代码；3-个人身份代码；4-护照；5-永久居留证；6-统一社会信用代码；9-其他。</w:t>
            </w:r>
          </w:p>
        </w:tc>
      </w:tr>
      <w:tr w:rsidR="00A052DC" w14:paraId="30740719" w14:textId="77777777">
        <w:trPr>
          <w:cantSplit/>
        </w:trPr>
        <w:tc>
          <w:tcPr>
            <w:tcW w:w="1858" w:type="dxa"/>
            <w:shd w:val="clear" w:color="auto" w:fill="auto"/>
          </w:tcPr>
          <w:p w14:paraId="053B6745" w14:textId="77777777" w:rsidR="00A052DC" w:rsidRDefault="009F0A60">
            <w:pPr>
              <w:pStyle w:val="B"/>
              <w:rPr>
                <w:szCs w:val="20"/>
              </w:rPr>
            </w:pPr>
            <w:r>
              <w:rPr>
                <w:rFonts w:hint="eastAsia"/>
                <w:szCs w:val="20"/>
              </w:rPr>
              <w:t>证照号码</w:t>
            </w:r>
          </w:p>
        </w:tc>
        <w:tc>
          <w:tcPr>
            <w:tcW w:w="6571" w:type="dxa"/>
            <w:shd w:val="clear" w:color="auto" w:fill="auto"/>
            <w:noWrap/>
          </w:tcPr>
          <w:p w14:paraId="52F58820" w14:textId="77777777" w:rsidR="00A052DC" w:rsidRDefault="009F0A60">
            <w:pPr>
              <w:pStyle w:val="B"/>
              <w:rPr>
                <w:szCs w:val="20"/>
              </w:rPr>
            </w:pPr>
            <w:r>
              <w:rPr>
                <w:rFonts w:hint="eastAsia"/>
                <w:szCs w:val="20"/>
              </w:rPr>
              <w:t>请根据证照类别的选择填写相应的号码。</w:t>
            </w:r>
          </w:p>
        </w:tc>
      </w:tr>
      <w:tr w:rsidR="00A052DC" w14:paraId="07B4D5B1" w14:textId="77777777">
        <w:trPr>
          <w:cantSplit/>
        </w:trPr>
        <w:tc>
          <w:tcPr>
            <w:tcW w:w="1858" w:type="dxa"/>
            <w:shd w:val="clear" w:color="auto" w:fill="auto"/>
          </w:tcPr>
          <w:p w14:paraId="6E410AE4" w14:textId="77777777" w:rsidR="00A052DC" w:rsidRDefault="009F0A60">
            <w:pPr>
              <w:pStyle w:val="B"/>
              <w:rPr>
                <w:szCs w:val="20"/>
              </w:rPr>
            </w:pPr>
            <w:r>
              <w:rPr>
                <w:rFonts w:hint="eastAsia"/>
                <w:szCs w:val="20"/>
              </w:rPr>
              <w:t>金融机构代码</w:t>
            </w:r>
          </w:p>
        </w:tc>
        <w:tc>
          <w:tcPr>
            <w:tcW w:w="6571" w:type="dxa"/>
            <w:shd w:val="clear" w:color="auto" w:fill="auto"/>
            <w:noWrap/>
          </w:tcPr>
          <w:p w14:paraId="504BD19A" w14:textId="77777777" w:rsidR="00A052DC" w:rsidRDefault="009F0A60">
            <w:pPr>
              <w:pStyle w:val="B"/>
              <w:rPr>
                <w:szCs w:val="20"/>
              </w:rPr>
            </w:pPr>
            <w:r>
              <w:rPr>
                <w:rFonts w:hint="eastAsia"/>
                <w:szCs w:val="20"/>
              </w:rPr>
              <w:t>请填写国家外汇管理局赋予的四位代码。如无金融机构代码，请选择</w:t>
            </w:r>
            <w:r>
              <w:rPr>
                <w:szCs w:val="20"/>
              </w:rPr>
              <w:t>N/A</w:t>
            </w:r>
            <w:r>
              <w:rPr>
                <w:rFonts w:hint="eastAsia"/>
                <w:szCs w:val="20"/>
              </w:rPr>
              <w:t>。</w:t>
            </w:r>
          </w:p>
        </w:tc>
      </w:tr>
      <w:tr w:rsidR="00A052DC" w14:paraId="27083BBD" w14:textId="77777777">
        <w:trPr>
          <w:cantSplit/>
        </w:trPr>
        <w:tc>
          <w:tcPr>
            <w:tcW w:w="1858" w:type="dxa"/>
            <w:shd w:val="clear" w:color="auto" w:fill="auto"/>
          </w:tcPr>
          <w:p w14:paraId="3F76AB7C" w14:textId="77777777" w:rsidR="00A052DC" w:rsidRDefault="009F0A60">
            <w:pPr>
              <w:pStyle w:val="B"/>
              <w:rPr>
                <w:szCs w:val="20"/>
              </w:rPr>
            </w:pPr>
            <w:r>
              <w:rPr>
                <w:rFonts w:hint="eastAsia"/>
                <w:szCs w:val="20"/>
              </w:rPr>
              <w:t>SWIFT代码</w:t>
            </w:r>
          </w:p>
        </w:tc>
        <w:tc>
          <w:tcPr>
            <w:tcW w:w="6571" w:type="dxa"/>
            <w:shd w:val="clear" w:color="auto" w:fill="auto"/>
            <w:noWrap/>
          </w:tcPr>
          <w:p w14:paraId="469D9920" w14:textId="77777777" w:rsidR="00A052DC" w:rsidRDefault="009F0A60">
            <w:pPr>
              <w:pStyle w:val="B"/>
              <w:rPr>
                <w:szCs w:val="20"/>
              </w:rPr>
            </w:pPr>
            <w:r>
              <w:rPr>
                <w:rFonts w:hint="eastAsia"/>
                <w:szCs w:val="20"/>
              </w:rPr>
              <w:t>请填写SWIFT代码。如无SWIFT代码，请填写N/A。</w:t>
            </w:r>
          </w:p>
        </w:tc>
      </w:tr>
      <w:tr w:rsidR="00A052DC" w14:paraId="0329AB61" w14:textId="77777777">
        <w:trPr>
          <w:cantSplit/>
        </w:trPr>
        <w:tc>
          <w:tcPr>
            <w:tcW w:w="1858" w:type="dxa"/>
            <w:shd w:val="clear" w:color="auto" w:fill="auto"/>
          </w:tcPr>
          <w:p w14:paraId="01E896B5" w14:textId="77777777" w:rsidR="00A052DC" w:rsidRDefault="009F0A60">
            <w:pPr>
              <w:pStyle w:val="B"/>
              <w:rPr>
                <w:szCs w:val="20"/>
              </w:rPr>
            </w:pPr>
            <w:r>
              <w:rPr>
                <w:rFonts w:hint="eastAsia"/>
                <w:szCs w:val="20"/>
              </w:rPr>
              <w:t>申报主体所属行业代码</w:t>
            </w:r>
          </w:p>
        </w:tc>
        <w:tc>
          <w:tcPr>
            <w:tcW w:w="6571" w:type="dxa"/>
            <w:shd w:val="clear" w:color="auto" w:fill="auto"/>
            <w:noWrap/>
          </w:tcPr>
          <w:p w14:paraId="52EA5773" w14:textId="77777777" w:rsidR="00A052DC" w:rsidRDefault="009F0A60">
            <w:pPr>
              <w:pStyle w:val="B"/>
              <w:rPr>
                <w:szCs w:val="20"/>
              </w:rPr>
            </w:pPr>
            <w:r>
              <w:rPr>
                <w:rFonts w:hint="eastAsia"/>
                <w:szCs w:val="20"/>
              </w:rPr>
              <w:t>申报主体所属的行业代码，见行业属性代码表。如申报主体为个人，请填写8888。</w:t>
            </w:r>
          </w:p>
        </w:tc>
      </w:tr>
      <w:tr w:rsidR="00A052DC" w14:paraId="49C64401" w14:textId="77777777">
        <w:trPr>
          <w:cantSplit/>
        </w:trPr>
        <w:tc>
          <w:tcPr>
            <w:tcW w:w="1858" w:type="dxa"/>
            <w:shd w:val="clear" w:color="auto" w:fill="auto"/>
          </w:tcPr>
          <w:p w14:paraId="70A04F20" w14:textId="77777777" w:rsidR="00A052DC" w:rsidRDefault="009F0A60">
            <w:pPr>
              <w:pStyle w:val="B"/>
              <w:rPr>
                <w:szCs w:val="20"/>
              </w:rPr>
            </w:pPr>
            <w:r>
              <w:rPr>
                <w:rFonts w:hint="eastAsia"/>
                <w:szCs w:val="20"/>
              </w:rPr>
              <w:t>经济类型</w:t>
            </w:r>
          </w:p>
        </w:tc>
        <w:tc>
          <w:tcPr>
            <w:tcW w:w="6571" w:type="dxa"/>
            <w:shd w:val="clear" w:color="auto" w:fill="auto"/>
            <w:noWrap/>
          </w:tcPr>
          <w:p w14:paraId="510862E1" w14:textId="77777777" w:rsidR="00A052DC" w:rsidRDefault="009F0A60">
            <w:pPr>
              <w:pStyle w:val="B"/>
              <w:rPr>
                <w:szCs w:val="20"/>
              </w:rPr>
            </w:pPr>
            <w:r>
              <w:rPr>
                <w:rFonts w:hint="eastAsia"/>
                <w:szCs w:val="20"/>
              </w:rPr>
              <w:t>申报主体所属的经济类型，见经济类型代码表。如申报主体为个人，则填写999。不能填报为“100内资”“200港澳台投资”或“300国外投资。</w:t>
            </w:r>
          </w:p>
        </w:tc>
      </w:tr>
      <w:tr w:rsidR="00A052DC" w14:paraId="2741D798" w14:textId="77777777">
        <w:trPr>
          <w:cantSplit/>
        </w:trPr>
        <w:tc>
          <w:tcPr>
            <w:tcW w:w="1858" w:type="dxa"/>
            <w:shd w:val="clear" w:color="auto" w:fill="auto"/>
          </w:tcPr>
          <w:p w14:paraId="562BB447" w14:textId="77777777" w:rsidR="00A052DC" w:rsidRDefault="009F0A60">
            <w:pPr>
              <w:pStyle w:val="B"/>
              <w:rPr>
                <w:szCs w:val="20"/>
              </w:rPr>
            </w:pPr>
            <w:r>
              <w:rPr>
                <w:rFonts w:hint="eastAsia"/>
                <w:szCs w:val="20"/>
              </w:rPr>
              <w:t>申报主体类型</w:t>
            </w:r>
          </w:p>
        </w:tc>
        <w:tc>
          <w:tcPr>
            <w:tcW w:w="6571" w:type="dxa"/>
            <w:shd w:val="clear" w:color="auto" w:fill="auto"/>
            <w:noWrap/>
          </w:tcPr>
          <w:p w14:paraId="65AFE06E" w14:textId="77777777" w:rsidR="00A052DC" w:rsidRDefault="009F0A60">
            <w:pPr>
              <w:pStyle w:val="B"/>
              <w:rPr>
                <w:szCs w:val="20"/>
              </w:rPr>
            </w:pPr>
            <w:r>
              <w:rPr>
                <w:rFonts w:hint="eastAsia"/>
                <w:szCs w:val="20"/>
              </w:rPr>
              <w:t>请选择：</w:t>
            </w:r>
            <w:r>
              <w:rPr>
                <w:szCs w:val="20"/>
              </w:rPr>
              <w:t>1-</w:t>
            </w:r>
            <w:r>
              <w:rPr>
                <w:rFonts w:hint="eastAsia"/>
                <w:szCs w:val="20"/>
              </w:rPr>
              <w:t>法人；</w:t>
            </w:r>
            <w:r>
              <w:rPr>
                <w:szCs w:val="20"/>
              </w:rPr>
              <w:t>2-</w:t>
            </w:r>
            <w:r>
              <w:rPr>
                <w:rFonts w:hint="eastAsia"/>
                <w:szCs w:val="20"/>
              </w:rPr>
              <w:t>分支机构；</w:t>
            </w:r>
            <w:r>
              <w:rPr>
                <w:szCs w:val="20"/>
              </w:rPr>
              <w:t>3-</w:t>
            </w:r>
            <w:r>
              <w:rPr>
                <w:rFonts w:hint="eastAsia"/>
                <w:szCs w:val="20"/>
              </w:rPr>
              <w:t>其他非公司制机构或准公司；</w:t>
            </w:r>
            <w:r>
              <w:rPr>
                <w:szCs w:val="20"/>
              </w:rPr>
              <w:t>4-</w:t>
            </w:r>
            <w:r>
              <w:rPr>
                <w:rFonts w:hint="eastAsia"/>
                <w:szCs w:val="20"/>
              </w:rPr>
              <w:t>个人。</w:t>
            </w:r>
          </w:p>
        </w:tc>
      </w:tr>
      <w:tr w:rsidR="00A052DC" w14:paraId="33E63C0E" w14:textId="77777777">
        <w:trPr>
          <w:cantSplit/>
        </w:trPr>
        <w:tc>
          <w:tcPr>
            <w:tcW w:w="1858" w:type="dxa"/>
            <w:shd w:val="clear" w:color="auto" w:fill="auto"/>
          </w:tcPr>
          <w:p w14:paraId="23F8B0D2" w14:textId="77777777" w:rsidR="00A052DC" w:rsidRDefault="009F0A60">
            <w:pPr>
              <w:pStyle w:val="B"/>
              <w:rPr>
                <w:szCs w:val="20"/>
              </w:rPr>
            </w:pPr>
            <w:r>
              <w:rPr>
                <w:rFonts w:hint="eastAsia"/>
                <w:szCs w:val="20"/>
              </w:rPr>
              <w:t>所在地</w:t>
            </w:r>
          </w:p>
        </w:tc>
        <w:tc>
          <w:tcPr>
            <w:tcW w:w="6571" w:type="dxa"/>
            <w:shd w:val="clear" w:color="auto" w:fill="auto"/>
            <w:noWrap/>
          </w:tcPr>
          <w:p w14:paraId="16A43086" w14:textId="77777777" w:rsidR="00A052DC" w:rsidRDefault="009F0A60">
            <w:pPr>
              <w:pStyle w:val="B"/>
              <w:rPr>
                <w:szCs w:val="20"/>
              </w:rPr>
            </w:pPr>
            <w:r>
              <w:rPr>
                <w:rFonts w:hint="eastAsia"/>
                <w:szCs w:val="20"/>
              </w:rPr>
              <w:t>指申报主体境内注册地或个人常住地，见中国大陆行政区划代码表。请按照最底层一级填报（要求按照最细一级的区域代码填写）。</w:t>
            </w:r>
          </w:p>
        </w:tc>
      </w:tr>
      <w:tr w:rsidR="00A052DC" w14:paraId="0A03DEEE" w14:textId="77777777">
        <w:trPr>
          <w:cantSplit/>
        </w:trPr>
        <w:tc>
          <w:tcPr>
            <w:tcW w:w="1858" w:type="dxa"/>
            <w:shd w:val="clear" w:color="auto" w:fill="auto"/>
          </w:tcPr>
          <w:p w14:paraId="229AA17B" w14:textId="77777777" w:rsidR="00A052DC" w:rsidRDefault="009F0A60">
            <w:pPr>
              <w:pStyle w:val="B"/>
              <w:rPr>
                <w:szCs w:val="20"/>
              </w:rPr>
            </w:pPr>
            <w:r>
              <w:rPr>
                <w:rFonts w:hint="eastAsia"/>
                <w:szCs w:val="20"/>
              </w:rPr>
              <w:t>地址</w:t>
            </w:r>
          </w:p>
        </w:tc>
        <w:tc>
          <w:tcPr>
            <w:tcW w:w="6571" w:type="dxa"/>
            <w:shd w:val="clear" w:color="auto" w:fill="auto"/>
            <w:noWrap/>
          </w:tcPr>
          <w:p w14:paraId="2131AE99" w14:textId="77777777" w:rsidR="00A052DC" w:rsidRDefault="009F0A60">
            <w:pPr>
              <w:pStyle w:val="B"/>
              <w:rPr>
                <w:szCs w:val="20"/>
              </w:rPr>
            </w:pPr>
            <w:r>
              <w:rPr>
                <w:rFonts w:hint="eastAsia"/>
                <w:szCs w:val="20"/>
              </w:rPr>
              <w:t>指申报主体的注册地址或个人常住地址。</w:t>
            </w:r>
          </w:p>
        </w:tc>
      </w:tr>
      <w:tr w:rsidR="00A052DC" w14:paraId="57EE0C2F" w14:textId="77777777">
        <w:trPr>
          <w:cantSplit/>
        </w:trPr>
        <w:tc>
          <w:tcPr>
            <w:tcW w:w="1858" w:type="dxa"/>
            <w:shd w:val="clear" w:color="auto" w:fill="auto"/>
          </w:tcPr>
          <w:p w14:paraId="518BFE8B" w14:textId="77777777" w:rsidR="00A052DC" w:rsidRDefault="009F0A60">
            <w:pPr>
              <w:pStyle w:val="B"/>
              <w:rPr>
                <w:szCs w:val="20"/>
              </w:rPr>
            </w:pPr>
            <w:r>
              <w:rPr>
                <w:rFonts w:hint="eastAsia"/>
                <w:szCs w:val="20"/>
              </w:rPr>
              <w:t>牵头部门</w:t>
            </w:r>
          </w:p>
        </w:tc>
        <w:tc>
          <w:tcPr>
            <w:tcW w:w="6571" w:type="dxa"/>
            <w:shd w:val="clear" w:color="auto" w:fill="auto"/>
            <w:noWrap/>
          </w:tcPr>
          <w:p w14:paraId="02B0E92D" w14:textId="77777777" w:rsidR="00A052DC" w:rsidRDefault="009F0A60">
            <w:pPr>
              <w:pStyle w:val="B"/>
              <w:rPr>
                <w:szCs w:val="20"/>
              </w:rPr>
            </w:pPr>
            <w:r>
              <w:rPr>
                <w:rFonts w:hint="eastAsia"/>
                <w:szCs w:val="20"/>
              </w:rPr>
              <w:t>指申报主体数据报送牵头部门名称。</w:t>
            </w:r>
          </w:p>
        </w:tc>
      </w:tr>
      <w:tr w:rsidR="00A052DC" w14:paraId="72AF8139" w14:textId="77777777">
        <w:trPr>
          <w:cantSplit/>
        </w:trPr>
        <w:tc>
          <w:tcPr>
            <w:tcW w:w="1858" w:type="dxa"/>
            <w:shd w:val="clear" w:color="auto" w:fill="auto"/>
          </w:tcPr>
          <w:p w14:paraId="625640B0" w14:textId="77777777" w:rsidR="00A052DC" w:rsidRDefault="009F0A60">
            <w:pPr>
              <w:pStyle w:val="B"/>
              <w:rPr>
                <w:szCs w:val="20"/>
              </w:rPr>
            </w:pPr>
            <w:r>
              <w:rPr>
                <w:rFonts w:hint="eastAsia"/>
                <w:szCs w:val="20"/>
              </w:rPr>
              <w:t>牵头部门联系人</w:t>
            </w:r>
          </w:p>
        </w:tc>
        <w:tc>
          <w:tcPr>
            <w:tcW w:w="6571" w:type="dxa"/>
            <w:shd w:val="clear" w:color="auto" w:fill="auto"/>
            <w:noWrap/>
          </w:tcPr>
          <w:p w14:paraId="21FC9A13" w14:textId="77777777" w:rsidR="00A052DC" w:rsidRDefault="009F0A60">
            <w:pPr>
              <w:pStyle w:val="B"/>
              <w:rPr>
                <w:szCs w:val="20"/>
              </w:rPr>
            </w:pPr>
            <w:r>
              <w:rPr>
                <w:rFonts w:hint="eastAsia"/>
                <w:szCs w:val="20"/>
              </w:rPr>
              <w:t>指申报主体数据报送牵头部门联系人姓名。</w:t>
            </w:r>
          </w:p>
        </w:tc>
      </w:tr>
      <w:tr w:rsidR="00A052DC" w14:paraId="619D6333" w14:textId="77777777">
        <w:trPr>
          <w:cantSplit/>
        </w:trPr>
        <w:tc>
          <w:tcPr>
            <w:tcW w:w="1858" w:type="dxa"/>
            <w:shd w:val="clear" w:color="auto" w:fill="auto"/>
          </w:tcPr>
          <w:p w14:paraId="51FD5BFF" w14:textId="77777777" w:rsidR="00A052DC" w:rsidRDefault="009F0A60">
            <w:pPr>
              <w:pStyle w:val="B"/>
              <w:rPr>
                <w:szCs w:val="20"/>
              </w:rPr>
            </w:pPr>
            <w:r>
              <w:rPr>
                <w:rFonts w:hint="eastAsia"/>
              </w:rPr>
              <w:t>联系电话</w:t>
            </w:r>
            <w:r>
              <w:rPr>
                <w:rFonts w:hint="eastAsia"/>
                <w:szCs w:val="20"/>
              </w:rPr>
              <w:t>和电子邮箱</w:t>
            </w:r>
          </w:p>
        </w:tc>
        <w:tc>
          <w:tcPr>
            <w:tcW w:w="6571" w:type="dxa"/>
            <w:shd w:val="clear" w:color="auto" w:fill="auto"/>
            <w:noWrap/>
          </w:tcPr>
          <w:p w14:paraId="7FBF1BE0" w14:textId="77777777" w:rsidR="00A052DC" w:rsidRDefault="009F0A60">
            <w:pPr>
              <w:pStyle w:val="B"/>
              <w:rPr>
                <w:szCs w:val="20"/>
              </w:rPr>
            </w:pPr>
            <w:r>
              <w:rPr>
                <w:rFonts w:hint="eastAsia"/>
              </w:rPr>
              <w:t>指申报主体数据报送牵头部门的联系人电话</w:t>
            </w:r>
            <w:r>
              <w:rPr>
                <w:rFonts w:hint="eastAsia"/>
                <w:szCs w:val="20"/>
              </w:rPr>
              <w:t>及常用电子邮箱</w:t>
            </w:r>
            <w:r>
              <w:rPr>
                <w:rFonts w:hint="eastAsia"/>
              </w:rPr>
              <w:t>。</w:t>
            </w:r>
          </w:p>
        </w:tc>
      </w:tr>
      <w:tr w:rsidR="00A052DC" w14:paraId="0BAB8986" w14:textId="77777777">
        <w:trPr>
          <w:cantSplit/>
        </w:trPr>
        <w:tc>
          <w:tcPr>
            <w:tcW w:w="1858" w:type="dxa"/>
            <w:shd w:val="clear" w:color="auto" w:fill="auto"/>
          </w:tcPr>
          <w:p w14:paraId="6DF37B0F" w14:textId="77777777" w:rsidR="00A052DC" w:rsidRDefault="009F0A60">
            <w:pPr>
              <w:pStyle w:val="B"/>
              <w:rPr>
                <w:szCs w:val="20"/>
              </w:rPr>
            </w:pPr>
            <w:r>
              <w:t>LEI编码</w:t>
            </w:r>
          </w:p>
        </w:tc>
        <w:tc>
          <w:tcPr>
            <w:tcW w:w="6571" w:type="dxa"/>
            <w:shd w:val="clear" w:color="auto" w:fill="auto"/>
            <w:noWrap/>
          </w:tcPr>
          <w:p w14:paraId="30C4DEFE" w14:textId="77777777" w:rsidR="00A052DC" w:rsidRDefault="009F0A60">
            <w:pPr>
              <w:pStyle w:val="B"/>
              <w:rPr>
                <w:szCs w:val="20"/>
              </w:rPr>
            </w:pPr>
            <w:r>
              <w:rPr>
                <w:rFonts w:hint="eastAsia"/>
              </w:rPr>
              <w:t>指按照国际标准化组织的《金融服务法人机构识别编码》(ISO 17442:2012)标准为法人机构分配的由20位数字和字母组成的唯一编码,可以用于标识与国际金融交易相关联的法人机构，英文全称是 Legal Entity Identifier。</w:t>
            </w:r>
          </w:p>
        </w:tc>
      </w:tr>
      <w:tr w:rsidR="00A052DC" w14:paraId="1AC92253" w14:textId="77777777">
        <w:trPr>
          <w:cantSplit/>
        </w:trPr>
        <w:tc>
          <w:tcPr>
            <w:tcW w:w="1858" w:type="dxa"/>
            <w:shd w:val="clear" w:color="auto" w:fill="auto"/>
          </w:tcPr>
          <w:p w14:paraId="4EC78596" w14:textId="77777777" w:rsidR="00A052DC" w:rsidRDefault="009F0A60">
            <w:pPr>
              <w:pStyle w:val="B"/>
              <w:rPr>
                <w:szCs w:val="20"/>
              </w:rPr>
            </w:pPr>
            <w:r>
              <w:rPr>
                <w:rFonts w:hint="eastAsia"/>
                <w:szCs w:val="20"/>
              </w:rPr>
              <w:t>备注</w:t>
            </w:r>
          </w:p>
        </w:tc>
        <w:tc>
          <w:tcPr>
            <w:tcW w:w="6571" w:type="dxa"/>
            <w:shd w:val="clear" w:color="auto" w:fill="auto"/>
            <w:noWrap/>
          </w:tcPr>
          <w:p w14:paraId="575CB644" w14:textId="77777777" w:rsidR="00A052DC" w:rsidRDefault="009F0A60">
            <w:pPr>
              <w:pStyle w:val="B"/>
              <w:rPr>
                <w:szCs w:val="20"/>
              </w:rPr>
            </w:pPr>
            <w:r>
              <w:rPr>
                <w:rFonts w:hint="eastAsia"/>
                <w:szCs w:val="20"/>
              </w:rPr>
              <w:t>需要说明的备注事项。</w:t>
            </w:r>
          </w:p>
        </w:tc>
      </w:tr>
    </w:tbl>
    <w:p w14:paraId="313698E7" w14:textId="77777777" w:rsidR="00A052DC" w:rsidRDefault="00A052DC"/>
    <w:p w14:paraId="1694AC17" w14:textId="77777777" w:rsidR="00A052DC" w:rsidRDefault="009F0A60" w:rsidP="0020251D">
      <w:pPr>
        <w:pStyle w:val="4"/>
        <w:numPr>
          <w:ilvl w:val="3"/>
          <w:numId w:val="1"/>
        </w:numPr>
        <w:jc w:val="left"/>
      </w:pPr>
      <w:bookmarkStart w:id="2946" w:name="_Toc454391211"/>
      <w:bookmarkStart w:id="2947" w:name="_Toc380570893"/>
      <w:r>
        <w:rPr>
          <w:rFonts w:hint="eastAsia"/>
        </w:rPr>
        <w:t>数据格式</w:t>
      </w:r>
      <w:bookmarkEnd w:id="2946"/>
      <w:bookmarkEnd w:id="2947"/>
    </w:p>
    <w:p w14:paraId="609A9D7C" w14:textId="77777777" w:rsidR="00A052DC" w:rsidRDefault="009F0A60">
      <w:pPr>
        <w:ind w:leftChars="300" w:left="630"/>
      </w:pPr>
      <w:r>
        <w:t>&lt;REC&gt;</w:t>
      </w:r>
    </w:p>
    <w:p w14:paraId="2698818E" w14:textId="77777777" w:rsidR="00A052DC" w:rsidRDefault="009F0A60">
      <w:pPr>
        <w:ind w:leftChars="300" w:left="630"/>
      </w:pPr>
      <w:r>
        <w:rPr>
          <w:rFonts w:hint="eastAsia"/>
        </w:rPr>
        <w:t>&lt;ACTIONTYPE&gt;</w:t>
      </w:r>
      <w:r>
        <w:rPr>
          <w:rFonts w:hint="eastAsia"/>
        </w:rPr>
        <w:t>操作类型</w:t>
      </w:r>
      <w:r>
        <w:rPr>
          <w:rFonts w:hint="eastAsia"/>
        </w:rPr>
        <w:t>&lt;/ACTIONTYPE&gt;</w:t>
      </w:r>
    </w:p>
    <w:p w14:paraId="43AEE074" w14:textId="77777777" w:rsidR="00A052DC" w:rsidRDefault="009F0A60">
      <w:pPr>
        <w:ind w:leftChars="300" w:left="630"/>
      </w:pPr>
      <w:r>
        <w:rPr>
          <w:rFonts w:hint="eastAsia"/>
        </w:rPr>
        <w:t>&lt;ACTIONDESC&gt;</w:t>
      </w:r>
      <w:r>
        <w:rPr>
          <w:rFonts w:hint="eastAsia"/>
        </w:rPr>
        <w:t>删除原因</w:t>
      </w:r>
      <w:r>
        <w:rPr>
          <w:rFonts w:hint="eastAsia"/>
        </w:rPr>
        <w:t>&lt;/ACTIONDESC&gt;</w:t>
      </w:r>
    </w:p>
    <w:p w14:paraId="26E5A100" w14:textId="77777777" w:rsidR="00A052DC" w:rsidRDefault="009F0A60">
      <w:pPr>
        <w:ind w:leftChars="300" w:left="630"/>
      </w:pPr>
      <w:r>
        <w:rPr>
          <w:rFonts w:hint="eastAsia"/>
        </w:rPr>
        <w:t>&lt;SNOCODE&gt;</w:t>
      </w:r>
      <w:r>
        <w:rPr>
          <w:rFonts w:hint="eastAsia"/>
        </w:rPr>
        <w:t>数据自编码</w:t>
      </w:r>
      <w:r>
        <w:rPr>
          <w:rFonts w:hint="eastAsia"/>
        </w:rPr>
        <w:t>&lt;/SNOCODE&gt;</w:t>
      </w:r>
    </w:p>
    <w:p w14:paraId="525E5531" w14:textId="77777777" w:rsidR="00A052DC" w:rsidRDefault="009F0A60">
      <w:pPr>
        <w:ind w:leftChars="300" w:left="630"/>
      </w:pPr>
      <w:r>
        <w:rPr>
          <w:rFonts w:hint="eastAsia"/>
        </w:rPr>
        <w:t>&lt;OBJCODE&gt;</w:t>
      </w:r>
      <w:r>
        <w:rPr>
          <w:rFonts w:hint="eastAsia"/>
        </w:rPr>
        <w:t>申报主体代码</w:t>
      </w:r>
      <w:r>
        <w:rPr>
          <w:rFonts w:hint="eastAsia"/>
        </w:rPr>
        <w:t>&lt;/OBJCODE&gt;</w:t>
      </w:r>
    </w:p>
    <w:p w14:paraId="07F70AA0" w14:textId="77777777" w:rsidR="00A052DC" w:rsidRDefault="009F0A60">
      <w:pPr>
        <w:ind w:leftChars="300" w:left="630"/>
      </w:pPr>
      <w:r>
        <w:rPr>
          <w:rFonts w:hint="eastAsia"/>
        </w:rPr>
        <w:t>&lt;BUOCMONTH&gt;</w:t>
      </w:r>
      <w:r>
        <w:rPr>
          <w:rFonts w:hint="eastAsia"/>
        </w:rPr>
        <w:t>报告期</w:t>
      </w:r>
      <w:r>
        <w:rPr>
          <w:rFonts w:hint="eastAsia"/>
        </w:rPr>
        <w:t>&lt;/BUOCMONTH&gt;</w:t>
      </w:r>
    </w:p>
    <w:p w14:paraId="2B5F5D17" w14:textId="77777777" w:rsidR="00A052DC" w:rsidRDefault="009F0A60">
      <w:pPr>
        <w:ind w:leftChars="300" w:left="630"/>
      </w:pPr>
      <w:r>
        <w:rPr>
          <w:rFonts w:hint="eastAsia"/>
        </w:rPr>
        <w:t>&lt;Z0101&gt;</w:t>
      </w:r>
      <w:r>
        <w:rPr>
          <w:rFonts w:hint="eastAsia"/>
        </w:rPr>
        <w:t>申报主体名称</w:t>
      </w:r>
      <w:r>
        <w:rPr>
          <w:rFonts w:hint="eastAsia"/>
        </w:rPr>
        <w:t>&lt;/Z0101&gt;</w:t>
      </w:r>
    </w:p>
    <w:p w14:paraId="04830158" w14:textId="77777777" w:rsidR="00A052DC" w:rsidRDefault="009F0A60">
      <w:pPr>
        <w:ind w:leftChars="300" w:left="630"/>
      </w:pPr>
      <w:r>
        <w:rPr>
          <w:rFonts w:hint="eastAsia"/>
        </w:rPr>
        <w:t>&lt;Z0101NAME&gt;</w:t>
      </w:r>
      <w:r>
        <w:rPr>
          <w:rFonts w:hint="eastAsia"/>
        </w:rPr>
        <w:t>申报主体英文全称</w:t>
      </w:r>
      <w:r>
        <w:rPr>
          <w:rFonts w:hint="eastAsia"/>
        </w:rPr>
        <w:t>&lt;/Z0101NAME&gt;</w:t>
      </w:r>
    </w:p>
    <w:p w14:paraId="30D7331C" w14:textId="77777777" w:rsidR="00A052DC" w:rsidRDefault="009F0A60">
      <w:pPr>
        <w:ind w:leftChars="300" w:left="630"/>
      </w:pPr>
      <w:r>
        <w:rPr>
          <w:rFonts w:hint="eastAsia"/>
        </w:rPr>
        <w:t>&lt;Z0102&gt;</w:t>
      </w:r>
      <w:r>
        <w:rPr>
          <w:rFonts w:hint="eastAsia"/>
        </w:rPr>
        <w:t>证照类别</w:t>
      </w:r>
      <w:r>
        <w:rPr>
          <w:rFonts w:hint="eastAsia"/>
        </w:rPr>
        <w:t>&lt;/Z0102&gt;</w:t>
      </w:r>
    </w:p>
    <w:p w14:paraId="4AD07E1B" w14:textId="77777777" w:rsidR="00A052DC" w:rsidRDefault="009F0A60">
      <w:pPr>
        <w:ind w:leftChars="300" w:left="630"/>
      </w:pPr>
      <w:r>
        <w:rPr>
          <w:rFonts w:hint="eastAsia"/>
        </w:rPr>
        <w:t>&lt;Z0103&gt;</w:t>
      </w:r>
      <w:r>
        <w:rPr>
          <w:rFonts w:hint="eastAsia"/>
        </w:rPr>
        <w:t>证照号码</w:t>
      </w:r>
      <w:r>
        <w:rPr>
          <w:rFonts w:hint="eastAsia"/>
        </w:rPr>
        <w:t>&lt;/Z0103&gt;</w:t>
      </w:r>
    </w:p>
    <w:p w14:paraId="3B82AFD8" w14:textId="77777777" w:rsidR="00A052DC" w:rsidRDefault="009F0A60">
      <w:pPr>
        <w:ind w:leftChars="300" w:left="630"/>
      </w:pPr>
      <w:r>
        <w:rPr>
          <w:rFonts w:hint="eastAsia"/>
        </w:rPr>
        <w:t>&lt;Z0104&gt;</w:t>
      </w:r>
      <w:r>
        <w:rPr>
          <w:rFonts w:hint="eastAsia"/>
        </w:rPr>
        <w:t>金融机构代码</w:t>
      </w:r>
      <w:r>
        <w:rPr>
          <w:rFonts w:hint="eastAsia"/>
        </w:rPr>
        <w:t>&lt;/Z0104&gt;</w:t>
      </w:r>
    </w:p>
    <w:p w14:paraId="1FA0C9BD" w14:textId="77777777" w:rsidR="00A052DC" w:rsidRDefault="009F0A60">
      <w:pPr>
        <w:ind w:leftChars="300" w:left="630"/>
      </w:pPr>
      <w:r>
        <w:rPr>
          <w:rFonts w:hint="eastAsia"/>
        </w:rPr>
        <w:t>&lt;Z0104CODE&gt;SWIFT</w:t>
      </w:r>
      <w:r>
        <w:rPr>
          <w:rFonts w:hint="eastAsia"/>
        </w:rPr>
        <w:t>代码</w:t>
      </w:r>
      <w:r>
        <w:rPr>
          <w:rFonts w:hint="eastAsia"/>
        </w:rPr>
        <w:t>&lt;/Z0104CODE&gt;</w:t>
      </w:r>
    </w:p>
    <w:p w14:paraId="76680A15" w14:textId="77777777" w:rsidR="00A052DC" w:rsidRDefault="009F0A60">
      <w:pPr>
        <w:ind w:leftChars="300" w:left="630"/>
      </w:pPr>
      <w:r>
        <w:rPr>
          <w:rFonts w:hint="eastAsia"/>
        </w:rPr>
        <w:t>&lt;Z0105&gt;</w:t>
      </w:r>
      <w:r>
        <w:rPr>
          <w:rFonts w:hint="eastAsia"/>
        </w:rPr>
        <w:t>申报主体所属行业代码</w:t>
      </w:r>
      <w:r>
        <w:rPr>
          <w:rFonts w:hint="eastAsia"/>
        </w:rPr>
        <w:t>&lt;/Z0105&gt;</w:t>
      </w:r>
    </w:p>
    <w:p w14:paraId="1057D133" w14:textId="77777777" w:rsidR="00A052DC" w:rsidRDefault="009F0A60">
      <w:pPr>
        <w:ind w:leftChars="300" w:left="630"/>
      </w:pPr>
      <w:r>
        <w:rPr>
          <w:rFonts w:hint="eastAsia"/>
        </w:rPr>
        <w:t>&lt;Z0106&gt;</w:t>
      </w:r>
      <w:r>
        <w:rPr>
          <w:rFonts w:hint="eastAsia"/>
        </w:rPr>
        <w:t>经济类型</w:t>
      </w:r>
      <w:r>
        <w:rPr>
          <w:rFonts w:hint="eastAsia"/>
        </w:rPr>
        <w:t>&lt;/Z0106&gt;</w:t>
      </w:r>
    </w:p>
    <w:p w14:paraId="140157E3" w14:textId="77777777" w:rsidR="00A052DC" w:rsidRDefault="009F0A60">
      <w:pPr>
        <w:ind w:leftChars="300" w:left="630"/>
      </w:pPr>
      <w:r>
        <w:rPr>
          <w:rFonts w:hint="eastAsia"/>
        </w:rPr>
        <w:t>&lt;Z0107&gt;</w:t>
      </w:r>
      <w:r>
        <w:rPr>
          <w:rFonts w:hint="eastAsia"/>
        </w:rPr>
        <w:t>申报主体类型</w:t>
      </w:r>
      <w:r>
        <w:rPr>
          <w:rFonts w:hint="eastAsia"/>
        </w:rPr>
        <w:t>&lt;/Z0107&gt;</w:t>
      </w:r>
    </w:p>
    <w:p w14:paraId="12956873" w14:textId="77777777" w:rsidR="00A052DC" w:rsidRDefault="009F0A60">
      <w:pPr>
        <w:ind w:leftChars="300" w:left="630"/>
      </w:pPr>
      <w:r>
        <w:rPr>
          <w:rFonts w:hint="eastAsia"/>
        </w:rPr>
        <w:t>&lt;Z0108&gt;</w:t>
      </w:r>
      <w:r>
        <w:rPr>
          <w:rFonts w:hint="eastAsia"/>
        </w:rPr>
        <w:t>所在地</w:t>
      </w:r>
      <w:r>
        <w:rPr>
          <w:rFonts w:hint="eastAsia"/>
        </w:rPr>
        <w:t>&lt;/Z0108&gt;</w:t>
      </w:r>
    </w:p>
    <w:p w14:paraId="08D4B41C" w14:textId="77777777" w:rsidR="00A052DC" w:rsidRDefault="009F0A60">
      <w:pPr>
        <w:ind w:leftChars="300" w:left="630"/>
      </w:pPr>
      <w:r>
        <w:rPr>
          <w:rFonts w:hint="eastAsia"/>
        </w:rPr>
        <w:t>&lt;Z0109&gt;</w:t>
      </w:r>
      <w:r>
        <w:rPr>
          <w:rFonts w:hint="eastAsia"/>
        </w:rPr>
        <w:t>地址</w:t>
      </w:r>
      <w:r>
        <w:rPr>
          <w:rFonts w:hint="eastAsia"/>
        </w:rPr>
        <w:t>&lt;/Z0109&gt;</w:t>
      </w:r>
    </w:p>
    <w:p w14:paraId="630E4FB7" w14:textId="77777777" w:rsidR="00A052DC" w:rsidRDefault="009F0A60">
      <w:pPr>
        <w:ind w:leftChars="300" w:left="630"/>
      </w:pPr>
      <w:r>
        <w:rPr>
          <w:rFonts w:hint="eastAsia"/>
        </w:rPr>
        <w:t>&lt;DPT&gt;</w:t>
      </w:r>
      <w:r>
        <w:rPr>
          <w:rFonts w:hint="eastAsia"/>
        </w:rPr>
        <w:t>牵头部门</w:t>
      </w:r>
      <w:r>
        <w:rPr>
          <w:rFonts w:hint="eastAsia"/>
        </w:rPr>
        <w:t>&lt;/DPT&gt;</w:t>
      </w:r>
    </w:p>
    <w:p w14:paraId="37150C81" w14:textId="77777777" w:rsidR="00A052DC" w:rsidRDefault="009F0A60">
      <w:pPr>
        <w:ind w:leftChars="300" w:left="630"/>
      </w:pPr>
      <w:r>
        <w:t>&lt;CONTACT&gt;</w:t>
      </w:r>
      <w:r>
        <w:rPr>
          <w:rFonts w:hint="eastAsia"/>
        </w:rPr>
        <w:t>联系人</w:t>
      </w:r>
      <w:r>
        <w:t>&lt;/CONTACT&gt;</w:t>
      </w:r>
    </w:p>
    <w:p w14:paraId="3D8D6F5B" w14:textId="77777777" w:rsidR="00A052DC" w:rsidRDefault="009F0A60">
      <w:pPr>
        <w:ind w:leftChars="300" w:left="630"/>
      </w:pPr>
      <w:r>
        <w:t>&lt;TEL&gt;</w:t>
      </w:r>
      <w:r>
        <w:rPr>
          <w:rFonts w:hint="eastAsia"/>
        </w:rPr>
        <w:t>联系电话和电子邮箱</w:t>
      </w:r>
      <w:r>
        <w:t>&lt;/TEL&gt;</w:t>
      </w:r>
    </w:p>
    <w:p w14:paraId="75F5BC43" w14:textId="77777777" w:rsidR="00A052DC" w:rsidRDefault="009F0A60">
      <w:pPr>
        <w:ind w:leftChars="300" w:left="630"/>
      </w:pPr>
      <w:r>
        <w:rPr>
          <w:rFonts w:hint="eastAsia"/>
        </w:rPr>
        <w:t>&lt;Z0112&gt;LEI</w:t>
      </w:r>
      <w:r>
        <w:rPr>
          <w:rFonts w:hint="eastAsia"/>
        </w:rPr>
        <w:t>编码</w:t>
      </w:r>
      <w:r>
        <w:rPr>
          <w:rFonts w:hint="eastAsia"/>
        </w:rPr>
        <w:t>&lt;/Z0112&gt;</w:t>
      </w:r>
    </w:p>
    <w:p w14:paraId="6F445E1B" w14:textId="77777777" w:rsidR="00A052DC" w:rsidRDefault="009F0A60">
      <w:pPr>
        <w:ind w:leftChars="300" w:left="630"/>
      </w:pPr>
      <w:r>
        <w:rPr>
          <w:rFonts w:hint="eastAsia"/>
        </w:rPr>
        <w:t>&lt;REMARK&gt;</w:t>
      </w:r>
      <w:r>
        <w:rPr>
          <w:rFonts w:hint="eastAsia"/>
        </w:rPr>
        <w:t>备注</w:t>
      </w:r>
      <w:r>
        <w:rPr>
          <w:rFonts w:hint="eastAsia"/>
        </w:rPr>
        <w:t>&lt;/REMARK&gt;</w:t>
      </w:r>
    </w:p>
    <w:p w14:paraId="2CDB371C" w14:textId="77777777" w:rsidR="00A052DC" w:rsidRDefault="009F0A60">
      <w:pPr>
        <w:ind w:leftChars="300" w:left="630"/>
      </w:pPr>
      <w:r>
        <w:t>&lt;/REC&gt;</w:t>
      </w:r>
    </w:p>
    <w:p w14:paraId="70DDE60A" w14:textId="77777777" w:rsidR="00A052DC" w:rsidRDefault="009F0A60" w:rsidP="0020251D">
      <w:pPr>
        <w:pStyle w:val="4"/>
        <w:numPr>
          <w:ilvl w:val="3"/>
          <w:numId w:val="1"/>
        </w:numPr>
        <w:jc w:val="left"/>
      </w:pPr>
      <w:bookmarkStart w:id="2948" w:name="_Toc454391212"/>
      <w:bookmarkStart w:id="2949" w:name="_Toc454391213"/>
      <w:bookmarkStart w:id="2950" w:name="_Toc380570894"/>
      <w:bookmarkEnd w:id="2948"/>
      <w:r>
        <w:rPr>
          <w:rFonts w:hint="eastAsia"/>
        </w:rPr>
        <w:t>数据字典</w:t>
      </w:r>
      <w:bookmarkEnd w:id="2949"/>
      <w:bookmarkEnd w:id="295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7"/>
        <w:gridCol w:w="1843"/>
        <w:gridCol w:w="1418"/>
        <w:gridCol w:w="3390"/>
      </w:tblGrid>
      <w:tr w:rsidR="00A052DC" w14:paraId="05EE485C" w14:textId="77777777">
        <w:trPr>
          <w:tblHeader/>
          <w:jc w:val="center"/>
        </w:trPr>
        <w:tc>
          <w:tcPr>
            <w:tcW w:w="1747" w:type="dxa"/>
            <w:shd w:val="clear" w:color="auto" w:fill="C0C0C0"/>
            <w:noWrap/>
          </w:tcPr>
          <w:p w14:paraId="0BCF08AB" w14:textId="77777777" w:rsidR="00A052DC" w:rsidRDefault="009F0A60">
            <w:pPr>
              <w:pStyle w:val="B1"/>
            </w:pPr>
            <w:r>
              <w:rPr>
                <w:rFonts w:hint="eastAsia"/>
              </w:rPr>
              <w:t>字段</w:t>
            </w:r>
          </w:p>
        </w:tc>
        <w:tc>
          <w:tcPr>
            <w:tcW w:w="1843" w:type="dxa"/>
            <w:shd w:val="clear" w:color="auto" w:fill="C0C0C0"/>
            <w:noWrap/>
          </w:tcPr>
          <w:p w14:paraId="208C457D" w14:textId="77777777" w:rsidR="00A052DC" w:rsidRDefault="009F0A60">
            <w:pPr>
              <w:pStyle w:val="B1"/>
            </w:pPr>
            <w:r>
              <w:rPr>
                <w:rFonts w:hint="eastAsia"/>
              </w:rPr>
              <w:t>内容</w:t>
            </w:r>
          </w:p>
        </w:tc>
        <w:tc>
          <w:tcPr>
            <w:tcW w:w="1418" w:type="dxa"/>
            <w:shd w:val="clear" w:color="auto" w:fill="C0C0C0"/>
            <w:noWrap/>
          </w:tcPr>
          <w:p w14:paraId="40529D2F" w14:textId="77777777" w:rsidR="00A052DC" w:rsidRDefault="009F0A60">
            <w:pPr>
              <w:pStyle w:val="B1"/>
            </w:pPr>
            <w:r>
              <w:rPr>
                <w:rFonts w:hint="eastAsia"/>
              </w:rPr>
              <w:t>类型（长度）</w:t>
            </w:r>
          </w:p>
        </w:tc>
        <w:tc>
          <w:tcPr>
            <w:tcW w:w="3390" w:type="dxa"/>
            <w:shd w:val="clear" w:color="auto" w:fill="C0C0C0"/>
            <w:noWrap/>
          </w:tcPr>
          <w:p w14:paraId="3C64E692" w14:textId="77777777" w:rsidR="00A052DC" w:rsidRDefault="009F0A60">
            <w:pPr>
              <w:pStyle w:val="B1"/>
            </w:pPr>
            <w:r>
              <w:rPr>
                <w:rFonts w:hint="eastAsia"/>
              </w:rPr>
              <w:t>校验</w:t>
            </w:r>
          </w:p>
        </w:tc>
      </w:tr>
      <w:tr w:rsidR="00A052DC" w14:paraId="21132958" w14:textId="77777777">
        <w:trPr>
          <w:jc w:val="center"/>
        </w:trPr>
        <w:tc>
          <w:tcPr>
            <w:tcW w:w="1747" w:type="dxa"/>
            <w:shd w:val="clear" w:color="auto" w:fill="auto"/>
            <w:noWrap/>
          </w:tcPr>
          <w:p w14:paraId="215A9251" w14:textId="77777777" w:rsidR="00A052DC" w:rsidRDefault="009F0A60">
            <w:pPr>
              <w:pStyle w:val="B"/>
              <w:rPr>
                <w:szCs w:val="20"/>
              </w:rPr>
            </w:pPr>
            <w:r>
              <w:rPr>
                <w:szCs w:val="20"/>
              </w:rPr>
              <w:t>ACTIONTYPE</w:t>
            </w:r>
          </w:p>
        </w:tc>
        <w:tc>
          <w:tcPr>
            <w:tcW w:w="1843" w:type="dxa"/>
            <w:shd w:val="clear" w:color="auto" w:fill="auto"/>
          </w:tcPr>
          <w:p w14:paraId="2AABFD4D" w14:textId="77777777" w:rsidR="00A052DC" w:rsidRDefault="009F0A60">
            <w:pPr>
              <w:pStyle w:val="B"/>
              <w:rPr>
                <w:szCs w:val="20"/>
              </w:rPr>
            </w:pPr>
            <w:r>
              <w:rPr>
                <w:rFonts w:hint="eastAsia"/>
                <w:szCs w:val="20"/>
              </w:rPr>
              <w:t>操作类型</w:t>
            </w:r>
          </w:p>
        </w:tc>
        <w:tc>
          <w:tcPr>
            <w:tcW w:w="1418" w:type="dxa"/>
            <w:shd w:val="clear" w:color="auto" w:fill="auto"/>
            <w:noWrap/>
          </w:tcPr>
          <w:p w14:paraId="23213E94" w14:textId="77777777" w:rsidR="00A052DC" w:rsidRDefault="009F0A60">
            <w:pPr>
              <w:pStyle w:val="B"/>
              <w:rPr>
                <w:szCs w:val="20"/>
              </w:rPr>
            </w:pPr>
            <w:r>
              <w:rPr>
                <w:rFonts w:hint="eastAsia"/>
                <w:szCs w:val="20"/>
              </w:rPr>
              <w:t>字符型，</w:t>
            </w:r>
            <w:r>
              <w:rPr>
                <w:szCs w:val="20"/>
              </w:rPr>
              <w:t>1</w:t>
            </w:r>
          </w:p>
        </w:tc>
        <w:tc>
          <w:tcPr>
            <w:tcW w:w="3390" w:type="dxa"/>
            <w:shd w:val="clear" w:color="auto" w:fill="auto"/>
            <w:noWrap/>
          </w:tcPr>
          <w:p w14:paraId="4D6A71CE" w14:textId="77777777" w:rsidR="00A052DC" w:rsidRDefault="009F0A60">
            <w:pPr>
              <w:pStyle w:val="B"/>
              <w:rPr>
                <w:szCs w:val="20"/>
              </w:rPr>
            </w:pPr>
            <w:r>
              <w:rPr>
                <w:rFonts w:hint="eastAsia"/>
                <w:szCs w:val="20"/>
              </w:rPr>
              <w:t>必填项</w:t>
            </w:r>
            <w:r w:rsidR="007D1430">
              <w:rPr>
                <w:rFonts w:hint="eastAsia"/>
                <w:szCs w:val="20"/>
              </w:rPr>
              <w:t>。</w:t>
            </w:r>
          </w:p>
          <w:p w14:paraId="079CD4F7" w14:textId="77777777" w:rsidR="00A052DC" w:rsidRDefault="009F0A60">
            <w:pPr>
              <w:pStyle w:val="B"/>
              <w:rPr>
                <w:szCs w:val="20"/>
              </w:rPr>
            </w:pPr>
            <w:r>
              <w:rPr>
                <w:szCs w:val="20"/>
              </w:rPr>
              <w:t>A</w:t>
            </w:r>
            <w:r w:rsidR="00AE4602">
              <w:rPr>
                <w:rFonts w:hint="eastAsia"/>
                <w:szCs w:val="20"/>
              </w:rPr>
              <w:t>-</w:t>
            </w:r>
            <w:r>
              <w:rPr>
                <w:rFonts w:hint="eastAsia"/>
                <w:szCs w:val="20"/>
              </w:rPr>
              <w:t>新建</w:t>
            </w:r>
          </w:p>
          <w:p w14:paraId="26A2B524" w14:textId="77777777" w:rsidR="00A052DC" w:rsidRDefault="009F0A60">
            <w:pPr>
              <w:pStyle w:val="B"/>
              <w:rPr>
                <w:szCs w:val="20"/>
              </w:rPr>
            </w:pPr>
            <w:r>
              <w:rPr>
                <w:szCs w:val="20"/>
              </w:rPr>
              <w:t>C</w:t>
            </w:r>
            <w:r w:rsidR="00AE4602">
              <w:rPr>
                <w:rFonts w:hint="eastAsia"/>
                <w:szCs w:val="20"/>
              </w:rPr>
              <w:t>-</w:t>
            </w:r>
            <w:r>
              <w:rPr>
                <w:rFonts w:hint="eastAsia"/>
                <w:szCs w:val="20"/>
              </w:rPr>
              <w:t>修改</w:t>
            </w:r>
          </w:p>
          <w:p w14:paraId="4B0BDC67" w14:textId="77777777" w:rsidR="00A052DC" w:rsidRDefault="009F0A60">
            <w:pPr>
              <w:pStyle w:val="B"/>
              <w:rPr>
                <w:szCs w:val="20"/>
              </w:rPr>
            </w:pPr>
            <w:r>
              <w:rPr>
                <w:szCs w:val="20"/>
              </w:rPr>
              <w:t>D</w:t>
            </w:r>
            <w:r w:rsidR="00AE4602">
              <w:rPr>
                <w:rFonts w:hint="eastAsia"/>
                <w:szCs w:val="20"/>
              </w:rPr>
              <w:t>-</w:t>
            </w:r>
            <w:r>
              <w:rPr>
                <w:rFonts w:hint="eastAsia"/>
                <w:szCs w:val="20"/>
              </w:rPr>
              <w:t>删除</w:t>
            </w:r>
          </w:p>
        </w:tc>
      </w:tr>
      <w:tr w:rsidR="00A052DC" w14:paraId="712600E9" w14:textId="77777777">
        <w:trPr>
          <w:jc w:val="center"/>
        </w:trPr>
        <w:tc>
          <w:tcPr>
            <w:tcW w:w="1747" w:type="dxa"/>
            <w:shd w:val="clear" w:color="auto" w:fill="auto"/>
            <w:noWrap/>
          </w:tcPr>
          <w:p w14:paraId="7725EB35" w14:textId="77777777" w:rsidR="00A052DC" w:rsidRDefault="009F0A60">
            <w:pPr>
              <w:pStyle w:val="B"/>
              <w:rPr>
                <w:szCs w:val="20"/>
              </w:rPr>
            </w:pPr>
            <w:r>
              <w:rPr>
                <w:szCs w:val="20"/>
              </w:rPr>
              <w:t>ACTIONDESC</w:t>
            </w:r>
          </w:p>
        </w:tc>
        <w:tc>
          <w:tcPr>
            <w:tcW w:w="1843" w:type="dxa"/>
            <w:shd w:val="clear" w:color="auto" w:fill="auto"/>
          </w:tcPr>
          <w:p w14:paraId="04BD5315" w14:textId="77777777" w:rsidR="00A052DC" w:rsidRDefault="009F0A60">
            <w:pPr>
              <w:pStyle w:val="B"/>
              <w:rPr>
                <w:szCs w:val="20"/>
              </w:rPr>
            </w:pPr>
            <w:r>
              <w:rPr>
                <w:rFonts w:hint="eastAsia"/>
                <w:szCs w:val="20"/>
              </w:rPr>
              <w:t>删除原因</w:t>
            </w:r>
          </w:p>
        </w:tc>
        <w:tc>
          <w:tcPr>
            <w:tcW w:w="1418" w:type="dxa"/>
            <w:shd w:val="clear" w:color="auto" w:fill="auto"/>
            <w:noWrap/>
          </w:tcPr>
          <w:p w14:paraId="6E2905CC" w14:textId="77777777" w:rsidR="00A052DC" w:rsidRDefault="009F0A60">
            <w:pPr>
              <w:pStyle w:val="B"/>
              <w:rPr>
                <w:szCs w:val="20"/>
              </w:rPr>
            </w:pPr>
            <w:r>
              <w:rPr>
                <w:rFonts w:hint="eastAsia"/>
                <w:szCs w:val="20"/>
              </w:rPr>
              <w:t>字符型，</w:t>
            </w:r>
            <w:r>
              <w:rPr>
                <w:szCs w:val="20"/>
              </w:rPr>
              <w:t>128</w:t>
            </w:r>
          </w:p>
        </w:tc>
        <w:tc>
          <w:tcPr>
            <w:tcW w:w="3390" w:type="dxa"/>
            <w:shd w:val="clear" w:color="auto" w:fill="auto"/>
            <w:noWrap/>
          </w:tcPr>
          <w:p w14:paraId="36D053A7" w14:textId="77777777" w:rsidR="00A052DC" w:rsidRDefault="00DD6AA3">
            <w:pPr>
              <w:pStyle w:val="B"/>
              <w:rPr>
                <w:szCs w:val="20"/>
              </w:rPr>
            </w:pPr>
            <w:r>
              <w:rPr>
                <w:rFonts w:hint="eastAsia"/>
                <w:szCs w:val="20"/>
              </w:rPr>
              <w:t>非必填项，当操作类型（ACTIONTYPE）为删除时必填。</w:t>
            </w:r>
          </w:p>
        </w:tc>
      </w:tr>
      <w:tr w:rsidR="00A052DC" w14:paraId="4AE7C0BC" w14:textId="77777777">
        <w:trPr>
          <w:jc w:val="center"/>
        </w:trPr>
        <w:tc>
          <w:tcPr>
            <w:tcW w:w="1747" w:type="dxa"/>
            <w:shd w:val="clear" w:color="auto" w:fill="auto"/>
            <w:noWrap/>
          </w:tcPr>
          <w:p w14:paraId="59FDE347" w14:textId="77777777" w:rsidR="00A052DC" w:rsidRDefault="009F0A60">
            <w:pPr>
              <w:pStyle w:val="B"/>
              <w:rPr>
                <w:szCs w:val="20"/>
              </w:rPr>
            </w:pPr>
            <w:r>
              <w:rPr>
                <w:szCs w:val="20"/>
              </w:rPr>
              <w:t>SNOCODE</w:t>
            </w:r>
          </w:p>
        </w:tc>
        <w:tc>
          <w:tcPr>
            <w:tcW w:w="1843" w:type="dxa"/>
            <w:shd w:val="clear" w:color="auto" w:fill="auto"/>
          </w:tcPr>
          <w:p w14:paraId="7C0505B6" w14:textId="77777777" w:rsidR="00A052DC" w:rsidRDefault="009F0A60">
            <w:pPr>
              <w:pStyle w:val="B"/>
              <w:rPr>
                <w:szCs w:val="20"/>
              </w:rPr>
            </w:pPr>
            <w:r>
              <w:rPr>
                <w:rFonts w:hint="eastAsia"/>
                <w:szCs w:val="20"/>
              </w:rPr>
              <w:t>数据自编码</w:t>
            </w:r>
          </w:p>
        </w:tc>
        <w:tc>
          <w:tcPr>
            <w:tcW w:w="1418" w:type="dxa"/>
            <w:shd w:val="clear" w:color="auto" w:fill="auto"/>
            <w:noWrap/>
          </w:tcPr>
          <w:p w14:paraId="67B91F09" w14:textId="77777777" w:rsidR="00A052DC" w:rsidRDefault="009F0A60">
            <w:pPr>
              <w:pStyle w:val="B"/>
              <w:rPr>
                <w:szCs w:val="20"/>
              </w:rPr>
            </w:pPr>
            <w:r>
              <w:rPr>
                <w:rFonts w:hint="eastAsia"/>
                <w:szCs w:val="20"/>
              </w:rPr>
              <w:t>字符型，36</w:t>
            </w:r>
          </w:p>
        </w:tc>
        <w:tc>
          <w:tcPr>
            <w:tcW w:w="3390" w:type="dxa"/>
            <w:shd w:val="clear" w:color="auto" w:fill="auto"/>
            <w:noWrap/>
          </w:tcPr>
          <w:p w14:paraId="43E8894A" w14:textId="77777777" w:rsidR="00A052DC" w:rsidRDefault="009F0A60">
            <w:pPr>
              <w:pStyle w:val="B"/>
              <w:rPr>
                <w:szCs w:val="20"/>
              </w:rPr>
            </w:pPr>
            <w:r>
              <w:rPr>
                <w:rFonts w:hint="eastAsia"/>
                <w:szCs w:val="20"/>
              </w:rPr>
              <w:t>必填项。对于接口报送的填报主体，数据自编码中的报送期（</w:t>
            </w:r>
            <w:r>
              <w:rPr>
                <w:szCs w:val="20"/>
              </w:rPr>
              <w:t>6</w:t>
            </w:r>
            <w:r>
              <w:rPr>
                <w:rFonts w:hint="eastAsia"/>
                <w:szCs w:val="20"/>
              </w:rPr>
              <w:t>位）应与报告期（</w:t>
            </w:r>
            <w:r>
              <w:rPr>
                <w:szCs w:val="20"/>
              </w:rPr>
              <w:t>YYYYMM</w:t>
            </w:r>
            <w:r>
              <w:rPr>
                <w:rFonts w:hint="eastAsia"/>
                <w:szCs w:val="20"/>
              </w:rPr>
              <w:t>）一致。</w:t>
            </w:r>
          </w:p>
        </w:tc>
      </w:tr>
      <w:tr w:rsidR="00A052DC" w14:paraId="6EC97885" w14:textId="77777777">
        <w:trPr>
          <w:jc w:val="center"/>
        </w:trPr>
        <w:tc>
          <w:tcPr>
            <w:tcW w:w="1747" w:type="dxa"/>
            <w:shd w:val="clear" w:color="auto" w:fill="auto"/>
            <w:noWrap/>
          </w:tcPr>
          <w:p w14:paraId="37D9D8DE" w14:textId="77777777" w:rsidR="00A052DC" w:rsidRDefault="009F0A60">
            <w:pPr>
              <w:pStyle w:val="B"/>
              <w:rPr>
                <w:szCs w:val="20"/>
              </w:rPr>
            </w:pPr>
            <w:r>
              <w:rPr>
                <w:szCs w:val="20"/>
              </w:rPr>
              <w:t>OBJCODE</w:t>
            </w:r>
          </w:p>
        </w:tc>
        <w:tc>
          <w:tcPr>
            <w:tcW w:w="1843" w:type="dxa"/>
            <w:shd w:val="clear" w:color="auto" w:fill="auto"/>
          </w:tcPr>
          <w:p w14:paraId="3B619E0E" w14:textId="77777777" w:rsidR="00A052DC" w:rsidRDefault="009F0A60">
            <w:pPr>
              <w:pStyle w:val="B"/>
              <w:rPr>
                <w:szCs w:val="20"/>
              </w:rPr>
            </w:pPr>
            <w:r>
              <w:rPr>
                <w:rFonts w:hint="eastAsia"/>
                <w:szCs w:val="20"/>
              </w:rPr>
              <w:t>申报主体代码</w:t>
            </w:r>
          </w:p>
        </w:tc>
        <w:tc>
          <w:tcPr>
            <w:tcW w:w="1418" w:type="dxa"/>
            <w:shd w:val="clear" w:color="auto" w:fill="auto"/>
            <w:noWrap/>
          </w:tcPr>
          <w:p w14:paraId="2AF95E06" w14:textId="77777777" w:rsidR="00A052DC" w:rsidRDefault="009F0A60">
            <w:pPr>
              <w:pStyle w:val="B"/>
              <w:rPr>
                <w:szCs w:val="20"/>
              </w:rPr>
            </w:pPr>
            <w:r>
              <w:rPr>
                <w:rFonts w:hint="eastAsia"/>
                <w:szCs w:val="20"/>
              </w:rPr>
              <w:t>字符型，</w:t>
            </w:r>
            <w:r>
              <w:rPr>
                <w:szCs w:val="20"/>
              </w:rPr>
              <w:t>1</w:t>
            </w:r>
            <w:r>
              <w:rPr>
                <w:rFonts w:hint="eastAsia"/>
                <w:szCs w:val="20"/>
              </w:rPr>
              <w:t>8</w:t>
            </w:r>
          </w:p>
        </w:tc>
        <w:tc>
          <w:tcPr>
            <w:tcW w:w="3390" w:type="dxa"/>
            <w:shd w:val="clear" w:color="auto" w:fill="auto"/>
            <w:noWrap/>
          </w:tcPr>
          <w:p w14:paraId="3B98C4FA" w14:textId="77777777" w:rsidR="00A052DC" w:rsidRDefault="009F0A60">
            <w:pPr>
              <w:rPr>
                <w:rFonts w:ascii="黑体" w:eastAsia="黑体" w:hAnsi="黑体"/>
                <w:sz w:val="20"/>
                <w:szCs w:val="20"/>
              </w:rPr>
            </w:pPr>
            <w:r>
              <w:rPr>
                <w:rFonts w:ascii="黑体" w:eastAsia="黑体" w:hAnsi="黑体" w:hint="eastAsia"/>
                <w:sz w:val="20"/>
                <w:szCs w:val="20"/>
              </w:rPr>
              <w:t>申报主体的12位金融机构标识码，如果没有金融机构标识码，则填报统一社会信用代码法定载体（如营业执照）上统一社会信用代码中的第9至17位或国家外汇管理局及其分支局签发的特殊机构代码赋码通知书上的机构代码、个人身份代码。</w:t>
            </w:r>
          </w:p>
        </w:tc>
      </w:tr>
      <w:tr w:rsidR="00A052DC" w14:paraId="2E7F8A9F" w14:textId="77777777">
        <w:trPr>
          <w:jc w:val="center"/>
        </w:trPr>
        <w:tc>
          <w:tcPr>
            <w:tcW w:w="1747" w:type="dxa"/>
            <w:shd w:val="clear" w:color="auto" w:fill="auto"/>
            <w:noWrap/>
          </w:tcPr>
          <w:p w14:paraId="42216E04" w14:textId="77777777" w:rsidR="00A052DC" w:rsidRDefault="009F0A60">
            <w:pPr>
              <w:pStyle w:val="B"/>
              <w:rPr>
                <w:szCs w:val="20"/>
              </w:rPr>
            </w:pPr>
            <w:r>
              <w:rPr>
                <w:szCs w:val="20"/>
              </w:rPr>
              <w:t>BUOCMONTH</w:t>
            </w:r>
          </w:p>
        </w:tc>
        <w:tc>
          <w:tcPr>
            <w:tcW w:w="1843" w:type="dxa"/>
            <w:shd w:val="clear" w:color="auto" w:fill="auto"/>
          </w:tcPr>
          <w:p w14:paraId="17867848" w14:textId="77777777" w:rsidR="00A052DC" w:rsidRDefault="009F0A60">
            <w:pPr>
              <w:pStyle w:val="B"/>
              <w:rPr>
                <w:szCs w:val="20"/>
              </w:rPr>
            </w:pPr>
            <w:r>
              <w:rPr>
                <w:rFonts w:hint="eastAsia"/>
                <w:szCs w:val="20"/>
              </w:rPr>
              <w:t>报告期</w:t>
            </w:r>
          </w:p>
        </w:tc>
        <w:tc>
          <w:tcPr>
            <w:tcW w:w="1418" w:type="dxa"/>
            <w:shd w:val="clear" w:color="auto" w:fill="auto"/>
            <w:noWrap/>
          </w:tcPr>
          <w:p w14:paraId="1CC11A0E" w14:textId="77777777" w:rsidR="00A052DC" w:rsidRDefault="009F0A60">
            <w:pPr>
              <w:pStyle w:val="B"/>
              <w:rPr>
                <w:szCs w:val="20"/>
              </w:rPr>
            </w:pPr>
            <w:r>
              <w:rPr>
                <w:rFonts w:hint="eastAsia"/>
                <w:szCs w:val="20"/>
              </w:rPr>
              <w:t>数值型，</w:t>
            </w:r>
            <w:r>
              <w:rPr>
                <w:szCs w:val="20"/>
              </w:rPr>
              <w:t>6</w:t>
            </w:r>
          </w:p>
        </w:tc>
        <w:tc>
          <w:tcPr>
            <w:tcW w:w="3390" w:type="dxa"/>
            <w:shd w:val="clear" w:color="auto" w:fill="auto"/>
            <w:noWrap/>
          </w:tcPr>
          <w:p w14:paraId="371151E5" w14:textId="77777777" w:rsidR="00A052DC" w:rsidRDefault="009F0A60">
            <w:pPr>
              <w:pStyle w:val="B"/>
              <w:rPr>
                <w:szCs w:val="20"/>
              </w:rPr>
            </w:pPr>
            <w:r>
              <w:rPr>
                <w:rFonts w:hint="eastAsia"/>
                <w:szCs w:val="20"/>
              </w:rPr>
              <w:t>必填项，格式为</w:t>
            </w:r>
            <w:r>
              <w:rPr>
                <w:szCs w:val="20"/>
              </w:rPr>
              <w:t>YYYYMM</w:t>
            </w:r>
            <w:r>
              <w:rPr>
                <w:rFonts w:hint="eastAsia"/>
                <w:szCs w:val="20"/>
              </w:rPr>
              <w:t>。</w:t>
            </w:r>
          </w:p>
        </w:tc>
      </w:tr>
      <w:tr w:rsidR="00A052DC" w14:paraId="379D9FF1" w14:textId="77777777">
        <w:trPr>
          <w:jc w:val="center"/>
        </w:trPr>
        <w:tc>
          <w:tcPr>
            <w:tcW w:w="1747" w:type="dxa"/>
            <w:shd w:val="clear" w:color="auto" w:fill="auto"/>
            <w:noWrap/>
          </w:tcPr>
          <w:p w14:paraId="6DF5B3BA" w14:textId="77777777" w:rsidR="00A052DC" w:rsidRDefault="009F0A60">
            <w:pPr>
              <w:pStyle w:val="B"/>
              <w:rPr>
                <w:szCs w:val="20"/>
              </w:rPr>
            </w:pPr>
            <w:r>
              <w:rPr>
                <w:szCs w:val="20"/>
              </w:rPr>
              <w:t>Z0101</w:t>
            </w:r>
          </w:p>
        </w:tc>
        <w:tc>
          <w:tcPr>
            <w:tcW w:w="1843" w:type="dxa"/>
            <w:shd w:val="clear" w:color="auto" w:fill="auto"/>
          </w:tcPr>
          <w:p w14:paraId="05FCC8BB" w14:textId="77777777" w:rsidR="00A052DC" w:rsidRDefault="009F0A60">
            <w:pPr>
              <w:pStyle w:val="B"/>
              <w:rPr>
                <w:szCs w:val="20"/>
              </w:rPr>
            </w:pPr>
            <w:r>
              <w:rPr>
                <w:rFonts w:hint="eastAsia"/>
                <w:szCs w:val="20"/>
              </w:rPr>
              <w:t>申报主体名称</w:t>
            </w:r>
          </w:p>
        </w:tc>
        <w:tc>
          <w:tcPr>
            <w:tcW w:w="1418" w:type="dxa"/>
            <w:shd w:val="clear" w:color="auto" w:fill="auto"/>
            <w:noWrap/>
          </w:tcPr>
          <w:p w14:paraId="4DAD5F9C" w14:textId="77777777" w:rsidR="00A052DC" w:rsidRDefault="009F0A60">
            <w:pPr>
              <w:pStyle w:val="B"/>
              <w:rPr>
                <w:szCs w:val="20"/>
              </w:rPr>
            </w:pPr>
            <w:r>
              <w:rPr>
                <w:rFonts w:hint="eastAsia"/>
                <w:szCs w:val="20"/>
              </w:rPr>
              <w:t>字符型，</w:t>
            </w:r>
            <w:r>
              <w:rPr>
                <w:szCs w:val="20"/>
              </w:rPr>
              <w:t>256</w:t>
            </w:r>
          </w:p>
        </w:tc>
        <w:tc>
          <w:tcPr>
            <w:tcW w:w="3390" w:type="dxa"/>
            <w:shd w:val="clear" w:color="auto" w:fill="auto"/>
            <w:noWrap/>
          </w:tcPr>
          <w:p w14:paraId="0F39CDEC" w14:textId="77777777" w:rsidR="00A052DC" w:rsidRDefault="009F0A60">
            <w:pPr>
              <w:pStyle w:val="B"/>
              <w:rPr>
                <w:szCs w:val="20"/>
              </w:rPr>
            </w:pPr>
            <w:r>
              <w:rPr>
                <w:rFonts w:hint="eastAsia"/>
                <w:szCs w:val="20"/>
              </w:rPr>
              <w:t>必填项,与申报主体代码不同，不能全部</w:t>
            </w:r>
            <w:r>
              <w:rPr>
                <w:szCs w:val="20"/>
              </w:rPr>
              <w:t>为字母</w:t>
            </w:r>
            <w:r>
              <w:rPr>
                <w:rFonts w:hint="eastAsia"/>
                <w:szCs w:val="20"/>
              </w:rPr>
              <w:t>或</w:t>
            </w:r>
            <w:r>
              <w:rPr>
                <w:szCs w:val="20"/>
              </w:rPr>
              <w:t>数字</w:t>
            </w:r>
            <w:r>
              <w:rPr>
                <w:rFonts w:hint="eastAsia"/>
                <w:szCs w:val="20"/>
              </w:rPr>
              <w:t>（0至9），也不能包括：？、：+；</w:t>
            </w:r>
            <w:r>
              <w:rPr>
                <w:szCs w:val="20"/>
              </w:rPr>
              <w:t>。</w:t>
            </w:r>
            <w:r>
              <w:rPr>
                <w:rFonts w:hint="eastAsia"/>
                <w:szCs w:val="20"/>
              </w:rPr>
              <w:t>等</w:t>
            </w:r>
            <w:r>
              <w:rPr>
                <w:szCs w:val="20"/>
              </w:rPr>
              <w:t>标点符号</w:t>
            </w:r>
            <w:r>
              <w:rPr>
                <w:rFonts w:hint="eastAsia"/>
                <w:szCs w:val="20"/>
              </w:rPr>
              <w:t>。</w:t>
            </w:r>
          </w:p>
        </w:tc>
      </w:tr>
      <w:tr w:rsidR="00A052DC" w14:paraId="36405BDE" w14:textId="77777777">
        <w:trPr>
          <w:jc w:val="center"/>
        </w:trPr>
        <w:tc>
          <w:tcPr>
            <w:tcW w:w="1747" w:type="dxa"/>
            <w:shd w:val="clear" w:color="auto" w:fill="auto"/>
            <w:noWrap/>
          </w:tcPr>
          <w:p w14:paraId="350DA5C9" w14:textId="77777777" w:rsidR="00A052DC" w:rsidRDefault="009F0A60">
            <w:pPr>
              <w:pStyle w:val="B"/>
              <w:rPr>
                <w:szCs w:val="20"/>
              </w:rPr>
            </w:pPr>
            <w:r>
              <w:rPr>
                <w:szCs w:val="20"/>
              </w:rPr>
              <w:t>Z0101</w:t>
            </w:r>
            <w:r>
              <w:rPr>
                <w:rFonts w:hint="eastAsia"/>
                <w:szCs w:val="20"/>
              </w:rPr>
              <w:t>NAME</w:t>
            </w:r>
          </w:p>
        </w:tc>
        <w:tc>
          <w:tcPr>
            <w:tcW w:w="1843" w:type="dxa"/>
            <w:shd w:val="clear" w:color="auto" w:fill="auto"/>
          </w:tcPr>
          <w:p w14:paraId="679DE390" w14:textId="77777777" w:rsidR="00A052DC" w:rsidRDefault="009F0A60">
            <w:pPr>
              <w:pStyle w:val="B"/>
              <w:rPr>
                <w:szCs w:val="20"/>
              </w:rPr>
            </w:pPr>
            <w:r>
              <w:rPr>
                <w:rFonts w:hint="eastAsia"/>
                <w:szCs w:val="20"/>
              </w:rPr>
              <w:t>申报主体英文全称</w:t>
            </w:r>
          </w:p>
        </w:tc>
        <w:tc>
          <w:tcPr>
            <w:tcW w:w="1418" w:type="dxa"/>
            <w:shd w:val="clear" w:color="auto" w:fill="auto"/>
            <w:noWrap/>
          </w:tcPr>
          <w:p w14:paraId="2F2FF975" w14:textId="77777777" w:rsidR="00A052DC" w:rsidRDefault="009F0A60">
            <w:pPr>
              <w:pStyle w:val="B"/>
              <w:rPr>
                <w:szCs w:val="20"/>
              </w:rPr>
            </w:pPr>
            <w:r>
              <w:rPr>
                <w:rFonts w:hint="eastAsia"/>
                <w:szCs w:val="20"/>
              </w:rPr>
              <w:t>字符型，</w:t>
            </w:r>
            <w:r>
              <w:rPr>
                <w:szCs w:val="20"/>
              </w:rPr>
              <w:t>256</w:t>
            </w:r>
          </w:p>
        </w:tc>
        <w:tc>
          <w:tcPr>
            <w:tcW w:w="3390" w:type="dxa"/>
            <w:shd w:val="clear" w:color="auto" w:fill="auto"/>
            <w:noWrap/>
          </w:tcPr>
          <w:p w14:paraId="5E81D7CA" w14:textId="77777777" w:rsidR="00A052DC" w:rsidRDefault="009F0A60">
            <w:pPr>
              <w:pStyle w:val="B"/>
              <w:rPr>
                <w:szCs w:val="20"/>
              </w:rPr>
            </w:pPr>
            <w:r>
              <w:rPr>
                <w:rFonts w:hint="eastAsia"/>
                <w:szCs w:val="20"/>
              </w:rPr>
              <w:t>必填项,与申报主体代码不同，不能全部</w:t>
            </w:r>
            <w:r>
              <w:rPr>
                <w:szCs w:val="20"/>
              </w:rPr>
              <w:t>为数字</w:t>
            </w:r>
            <w:r>
              <w:rPr>
                <w:rFonts w:hint="eastAsia"/>
                <w:szCs w:val="20"/>
              </w:rPr>
              <w:t>（0至9），也不能包括：？、：+；</w:t>
            </w:r>
            <w:r>
              <w:rPr>
                <w:szCs w:val="20"/>
              </w:rPr>
              <w:t>。</w:t>
            </w:r>
            <w:r>
              <w:rPr>
                <w:rFonts w:hint="eastAsia"/>
                <w:szCs w:val="20"/>
              </w:rPr>
              <w:t>等</w:t>
            </w:r>
            <w:r>
              <w:rPr>
                <w:szCs w:val="20"/>
              </w:rPr>
              <w:t>标点符号</w:t>
            </w:r>
            <w:r>
              <w:rPr>
                <w:rFonts w:hint="eastAsia"/>
                <w:szCs w:val="20"/>
              </w:rPr>
              <w:t>。</w:t>
            </w:r>
          </w:p>
        </w:tc>
      </w:tr>
      <w:tr w:rsidR="00A052DC" w14:paraId="43BAA554" w14:textId="77777777">
        <w:trPr>
          <w:jc w:val="center"/>
        </w:trPr>
        <w:tc>
          <w:tcPr>
            <w:tcW w:w="1747" w:type="dxa"/>
            <w:shd w:val="clear" w:color="auto" w:fill="auto"/>
            <w:noWrap/>
          </w:tcPr>
          <w:p w14:paraId="5E11144F" w14:textId="77777777" w:rsidR="00A052DC" w:rsidRDefault="009F0A60">
            <w:pPr>
              <w:pStyle w:val="B"/>
              <w:rPr>
                <w:szCs w:val="20"/>
              </w:rPr>
            </w:pPr>
            <w:r>
              <w:rPr>
                <w:szCs w:val="20"/>
              </w:rPr>
              <w:t>Z0102</w:t>
            </w:r>
          </w:p>
        </w:tc>
        <w:tc>
          <w:tcPr>
            <w:tcW w:w="1843" w:type="dxa"/>
            <w:shd w:val="clear" w:color="auto" w:fill="auto"/>
          </w:tcPr>
          <w:p w14:paraId="50451189" w14:textId="77777777" w:rsidR="00A052DC" w:rsidRDefault="009F0A60">
            <w:pPr>
              <w:pStyle w:val="B"/>
              <w:rPr>
                <w:szCs w:val="20"/>
              </w:rPr>
            </w:pPr>
            <w:r>
              <w:rPr>
                <w:rFonts w:hint="eastAsia"/>
                <w:szCs w:val="20"/>
              </w:rPr>
              <w:t>证照类别</w:t>
            </w:r>
          </w:p>
        </w:tc>
        <w:tc>
          <w:tcPr>
            <w:tcW w:w="1418" w:type="dxa"/>
            <w:shd w:val="clear" w:color="auto" w:fill="auto"/>
            <w:noWrap/>
          </w:tcPr>
          <w:p w14:paraId="04BE91C2" w14:textId="77777777" w:rsidR="00A052DC" w:rsidRDefault="009F0A60">
            <w:pPr>
              <w:pStyle w:val="B"/>
              <w:rPr>
                <w:szCs w:val="20"/>
              </w:rPr>
            </w:pPr>
            <w:r>
              <w:rPr>
                <w:rFonts w:hint="eastAsia"/>
                <w:szCs w:val="20"/>
              </w:rPr>
              <w:t>整数型</w:t>
            </w:r>
          </w:p>
        </w:tc>
        <w:tc>
          <w:tcPr>
            <w:tcW w:w="3390" w:type="dxa"/>
            <w:shd w:val="clear" w:color="auto" w:fill="auto"/>
            <w:noWrap/>
          </w:tcPr>
          <w:p w14:paraId="1DEA82EA" w14:textId="77777777" w:rsidR="00A052DC" w:rsidRDefault="009F0A60">
            <w:pPr>
              <w:pStyle w:val="B"/>
              <w:rPr>
                <w:szCs w:val="20"/>
              </w:rPr>
            </w:pPr>
            <w:r>
              <w:rPr>
                <w:rFonts w:hint="eastAsia"/>
                <w:szCs w:val="20"/>
              </w:rPr>
              <w:t>必填项：</w:t>
            </w:r>
          </w:p>
          <w:p w14:paraId="48AD10C4" w14:textId="77777777" w:rsidR="00A052DC" w:rsidRDefault="009F0A60">
            <w:pPr>
              <w:pStyle w:val="B"/>
              <w:rPr>
                <w:szCs w:val="20"/>
              </w:rPr>
            </w:pPr>
            <w:r>
              <w:rPr>
                <w:rFonts w:hint="eastAsia"/>
                <w:szCs w:val="20"/>
              </w:rPr>
              <w:t>1-主体标识码（统一社会信用代码的第9至17位）；</w:t>
            </w:r>
          </w:p>
          <w:p w14:paraId="32690D2A" w14:textId="77777777" w:rsidR="00A052DC" w:rsidRDefault="009F0A60">
            <w:pPr>
              <w:pStyle w:val="B"/>
              <w:rPr>
                <w:szCs w:val="20"/>
              </w:rPr>
            </w:pPr>
            <w:r>
              <w:rPr>
                <w:rFonts w:hint="eastAsia"/>
                <w:szCs w:val="20"/>
              </w:rPr>
              <w:t>2-特殊机构代码；</w:t>
            </w:r>
          </w:p>
          <w:p w14:paraId="032AD58F" w14:textId="77777777" w:rsidR="00A052DC" w:rsidRDefault="009F0A60">
            <w:pPr>
              <w:pStyle w:val="B"/>
              <w:rPr>
                <w:szCs w:val="20"/>
              </w:rPr>
            </w:pPr>
            <w:r>
              <w:rPr>
                <w:rFonts w:hint="eastAsia"/>
                <w:szCs w:val="20"/>
              </w:rPr>
              <w:t>3-个人身份代码；</w:t>
            </w:r>
          </w:p>
          <w:p w14:paraId="1D4F8580" w14:textId="77777777" w:rsidR="00A052DC" w:rsidRDefault="009F0A60">
            <w:pPr>
              <w:pStyle w:val="B"/>
              <w:rPr>
                <w:szCs w:val="20"/>
              </w:rPr>
            </w:pPr>
            <w:r>
              <w:rPr>
                <w:rFonts w:hint="eastAsia"/>
                <w:szCs w:val="20"/>
              </w:rPr>
              <w:t>4-护照</w:t>
            </w:r>
            <w:r w:rsidR="007D1430" w:rsidRPr="007D1430">
              <w:rPr>
                <w:rFonts w:hint="eastAsia"/>
                <w:szCs w:val="20"/>
              </w:rPr>
              <w:t>；</w:t>
            </w:r>
          </w:p>
          <w:p w14:paraId="0EC13BF9" w14:textId="77777777" w:rsidR="00A052DC" w:rsidRDefault="009F0A60">
            <w:pPr>
              <w:pStyle w:val="B"/>
              <w:rPr>
                <w:szCs w:val="20"/>
              </w:rPr>
            </w:pPr>
            <w:r>
              <w:rPr>
                <w:rFonts w:hint="eastAsia"/>
                <w:szCs w:val="20"/>
              </w:rPr>
              <w:t>5-永久居留证；</w:t>
            </w:r>
          </w:p>
          <w:p w14:paraId="262679FA" w14:textId="77777777" w:rsidR="00A052DC" w:rsidRDefault="009F0A60">
            <w:pPr>
              <w:pStyle w:val="B"/>
              <w:rPr>
                <w:szCs w:val="20"/>
              </w:rPr>
            </w:pPr>
            <w:r>
              <w:rPr>
                <w:rFonts w:hint="eastAsia"/>
                <w:szCs w:val="20"/>
              </w:rPr>
              <w:t>6-统一社会信用代码证</w:t>
            </w:r>
            <w:r w:rsidR="007D1430" w:rsidRPr="007D1430">
              <w:rPr>
                <w:rFonts w:hint="eastAsia"/>
                <w:szCs w:val="20"/>
              </w:rPr>
              <w:t>；</w:t>
            </w:r>
          </w:p>
          <w:p w14:paraId="2D224057" w14:textId="77777777" w:rsidR="00A052DC" w:rsidRDefault="009F0A60">
            <w:pPr>
              <w:pStyle w:val="B"/>
              <w:rPr>
                <w:szCs w:val="20"/>
              </w:rPr>
            </w:pPr>
            <w:r>
              <w:rPr>
                <w:rFonts w:hint="eastAsia"/>
                <w:szCs w:val="20"/>
              </w:rPr>
              <w:t>9-其他</w:t>
            </w:r>
            <w:r w:rsidR="007D1430">
              <w:rPr>
                <w:rFonts w:hint="eastAsia"/>
                <w:szCs w:val="20"/>
              </w:rPr>
              <w:t>。</w:t>
            </w:r>
          </w:p>
          <w:p w14:paraId="160B1F40" w14:textId="77777777" w:rsidR="00A052DC" w:rsidRDefault="009F0A60">
            <w:pPr>
              <w:pStyle w:val="B"/>
              <w:widowControl w:val="0"/>
              <w:rPr>
                <w:szCs w:val="20"/>
              </w:rPr>
            </w:pPr>
            <w:r>
              <w:rPr>
                <w:rFonts w:hint="eastAsia"/>
                <w:szCs w:val="20"/>
              </w:rPr>
              <w:t>如果申报主体为机构，必须选择1、2或6。</w:t>
            </w:r>
          </w:p>
        </w:tc>
      </w:tr>
      <w:tr w:rsidR="00A052DC" w14:paraId="356615E1" w14:textId="77777777">
        <w:trPr>
          <w:jc w:val="center"/>
        </w:trPr>
        <w:tc>
          <w:tcPr>
            <w:tcW w:w="1747" w:type="dxa"/>
            <w:shd w:val="clear" w:color="auto" w:fill="auto"/>
            <w:noWrap/>
          </w:tcPr>
          <w:p w14:paraId="6A656181" w14:textId="77777777" w:rsidR="00A052DC" w:rsidRDefault="009F0A60">
            <w:pPr>
              <w:pStyle w:val="B"/>
              <w:widowControl w:val="0"/>
              <w:rPr>
                <w:szCs w:val="20"/>
              </w:rPr>
            </w:pPr>
            <w:r>
              <w:rPr>
                <w:szCs w:val="20"/>
              </w:rPr>
              <w:t>Z0103</w:t>
            </w:r>
          </w:p>
        </w:tc>
        <w:tc>
          <w:tcPr>
            <w:tcW w:w="1843" w:type="dxa"/>
            <w:shd w:val="clear" w:color="auto" w:fill="auto"/>
          </w:tcPr>
          <w:p w14:paraId="4E5A7179" w14:textId="77777777" w:rsidR="00A052DC" w:rsidRDefault="009F0A60">
            <w:pPr>
              <w:pStyle w:val="B"/>
              <w:widowControl w:val="0"/>
              <w:rPr>
                <w:szCs w:val="20"/>
              </w:rPr>
            </w:pPr>
            <w:r>
              <w:rPr>
                <w:rFonts w:hint="eastAsia"/>
                <w:szCs w:val="20"/>
              </w:rPr>
              <w:t>证照号码</w:t>
            </w:r>
          </w:p>
        </w:tc>
        <w:tc>
          <w:tcPr>
            <w:tcW w:w="1418" w:type="dxa"/>
            <w:shd w:val="clear" w:color="auto" w:fill="auto"/>
            <w:noWrap/>
          </w:tcPr>
          <w:p w14:paraId="7EC0001A" w14:textId="77777777" w:rsidR="00A052DC" w:rsidRDefault="009F0A60">
            <w:pPr>
              <w:pStyle w:val="B"/>
              <w:widowControl w:val="0"/>
              <w:rPr>
                <w:szCs w:val="20"/>
              </w:rPr>
            </w:pPr>
            <w:r>
              <w:rPr>
                <w:rFonts w:hint="eastAsia"/>
                <w:szCs w:val="20"/>
              </w:rPr>
              <w:t>字符型，</w:t>
            </w:r>
            <w:r>
              <w:rPr>
                <w:szCs w:val="20"/>
              </w:rPr>
              <w:t>30</w:t>
            </w:r>
          </w:p>
        </w:tc>
        <w:tc>
          <w:tcPr>
            <w:tcW w:w="3390" w:type="dxa"/>
            <w:shd w:val="clear" w:color="auto" w:fill="auto"/>
            <w:noWrap/>
          </w:tcPr>
          <w:p w14:paraId="26D0DAC9" w14:textId="77777777" w:rsidR="00A052DC" w:rsidRDefault="009F0A60">
            <w:pPr>
              <w:pStyle w:val="B"/>
              <w:widowControl w:val="0"/>
              <w:rPr>
                <w:szCs w:val="20"/>
              </w:rPr>
            </w:pPr>
            <w:r>
              <w:rPr>
                <w:rFonts w:hint="eastAsia"/>
                <w:szCs w:val="20"/>
              </w:rPr>
              <w:t>必填项。如果Z0102=1或2，为统一社会信用代码第9至17位或特殊机构代码，且不得出现标点符号(如“-”)、不能是中文；如果Z0102证照类别=3或5时，Z0103为10位或18位；如果Z0102证照类别=4时，为9位护照号码；如果Z0102证照类别=6时，Z0103为18位。</w:t>
            </w:r>
          </w:p>
        </w:tc>
      </w:tr>
      <w:tr w:rsidR="00A052DC" w14:paraId="536C32B9" w14:textId="77777777">
        <w:trPr>
          <w:jc w:val="center"/>
        </w:trPr>
        <w:tc>
          <w:tcPr>
            <w:tcW w:w="1747" w:type="dxa"/>
            <w:shd w:val="clear" w:color="auto" w:fill="auto"/>
            <w:noWrap/>
          </w:tcPr>
          <w:p w14:paraId="28622FCF" w14:textId="77777777" w:rsidR="00A052DC" w:rsidRDefault="009F0A60">
            <w:pPr>
              <w:pStyle w:val="B"/>
              <w:widowControl w:val="0"/>
              <w:rPr>
                <w:szCs w:val="20"/>
              </w:rPr>
            </w:pPr>
            <w:r>
              <w:rPr>
                <w:szCs w:val="20"/>
              </w:rPr>
              <w:t>Z0104</w:t>
            </w:r>
          </w:p>
        </w:tc>
        <w:tc>
          <w:tcPr>
            <w:tcW w:w="1843" w:type="dxa"/>
            <w:shd w:val="clear" w:color="auto" w:fill="auto"/>
          </w:tcPr>
          <w:p w14:paraId="59D0CE39" w14:textId="77777777" w:rsidR="00A052DC" w:rsidRDefault="009F0A60">
            <w:pPr>
              <w:pStyle w:val="B"/>
              <w:widowControl w:val="0"/>
              <w:rPr>
                <w:szCs w:val="20"/>
              </w:rPr>
            </w:pPr>
            <w:r>
              <w:rPr>
                <w:rFonts w:hint="eastAsia"/>
                <w:szCs w:val="20"/>
              </w:rPr>
              <w:t>金融机构代码</w:t>
            </w:r>
          </w:p>
        </w:tc>
        <w:tc>
          <w:tcPr>
            <w:tcW w:w="1418" w:type="dxa"/>
            <w:shd w:val="clear" w:color="auto" w:fill="auto"/>
            <w:noWrap/>
          </w:tcPr>
          <w:p w14:paraId="3A843920" w14:textId="77777777" w:rsidR="00A052DC" w:rsidRDefault="009F0A60">
            <w:pPr>
              <w:pStyle w:val="B"/>
              <w:widowControl w:val="0"/>
              <w:rPr>
                <w:szCs w:val="20"/>
              </w:rPr>
            </w:pPr>
            <w:r>
              <w:rPr>
                <w:rFonts w:hint="eastAsia"/>
                <w:szCs w:val="20"/>
              </w:rPr>
              <w:t>字符型，</w:t>
            </w:r>
            <w:r>
              <w:rPr>
                <w:szCs w:val="20"/>
              </w:rPr>
              <w:t>4</w:t>
            </w:r>
          </w:p>
        </w:tc>
        <w:tc>
          <w:tcPr>
            <w:tcW w:w="3390" w:type="dxa"/>
            <w:shd w:val="clear" w:color="auto" w:fill="auto"/>
            <w:noWrap/>
          </w:tcPr>
          <w:p w14:paraId="7D9040FC" w14:textId="77777777" w:rsidR="00A052DC" w:rsidRDefault="009F0A60">
            <w:pPr>
              <w:pStyle w:val="B"/>
              <w:rPr>
                <w:szCs w:val="20"/>
              </w:rPr>
            </w:pPr>
            <w:r>
              <w:rPr>
                <w:rFonts w:hint="eastAsia"/>
                <w:szCs w:val="20"/>
              </w:rPr>
              <w:t>必填项。当申报主体使用12位金融机构标识码报送数据时，填写该12位码的第7-10位，即该机构的4位金融机构代码；</w:t>
            </w:r>
          </w:p>
          <w:p w14:paraId="221A04E0" w14:textId="77777777" w:rsidR="00A052DC" w:rsidRDefault="009F0A60">
            <w:pPr>
              <w:pStyle w:val="B"/>
              <w:rPr>
                <w:szCs w:val="20"/>
              </w:rPr>
            </w:pPr>
            <w:r>
              <w:rPr>
                <w:rFonts w:hint="eastAsia"/>
                <w:szCs w:val="20"/>
              </w:rPr>
              <w:t>如未使用12位金融机构标识码报送数据，该项填报“N/A”或4位金融机构代码。</w:t>
            </w:r>
          </w:p>
          <w:p w14:paraId="5B39CCA1" w14:textId="77777777" w:rsidR="00A052DC" w:rsidRDefault="009F0A60">
            <w:pPr>
              <w:pStyle w:val="B"/>
              <w:widowControl w:val="0"/>
              <w:rPr>
                <w:szCs w:val="20"/>
              </w:rPr>
            </w:pPr>
            <w:r>
              <w:rPr>
                <w:rFonts w:hint="eastAsia"/>
                <w:szCs w:val="20"/>
              </w:rPr>
              <w:t>金融机构代码不能含有标点符号“+、*?”、不能为中文</w:t>
            </w:r>
            <w:r>
              <w:rPr>
                <w:rFonts w:cs="宋体" w:hint="eastAsia"/>
                <w:szCs w:val="20"/>
              </w:rPr>
              <w:t>。</w:t>
            </w:r>
          </w:p>
        </w:tc>
      </w:tr>
      <w:tr w:rsidR="00A052DC" w14:paraId="294F5E50" w14:textId="77777777">
        <w:trPr>
          <w:jc w:val="center"/>
        </w:trPr>
        <w:tc>
          <w:tcPr>
            <w:tcW w:w="1747" w:type="dxa"/>
            <w:shd w:val="clear" w:color="auto" w:fill="auto"/>
            <w:noWrap/>
          </w:tcPr>
          <w:p w14:paraId="78E2D52B" w14:textId="77777777" w:rsidR="00A052DC" w:rsidRDefault="009F0A60">
            <w:pPr>
              <w:pStyle w:val="B"/>
              <w:widowControl w:val="0"/>
              <w:rPr>
                <w:szCs w:val="20"/>
              </w:rPr>
            </w:pPr>
            <w:r>
              <w:rPr>
                <w:rFonts w:hint="eastAsia"/>
                <w:szCs w:val="20"/>
              </w:rPr>
              <w:t>Z0104CODE</w:t>
            </w:r>
          </w:p>
        </w:tc>
        <w:tc>
          <w:tcPr>
            <w:tcW w:w="1843" w:type="dxa"/>
            <w:shd w:val="clear" w:color="auto" w:fill="auto"/>
          </w:tcPr>
          <w:p w14:paraId="3118DD64" w14:textId="77777777" w:rsidR="00A052DC" w:rsidRDefault="009F0A60">
            <w:pPr>
              <w:pStyle w:val="B"/>
              <w:widowControl w:val="0"/>
              <w:rPr>
                <w:szCs w:val="20"/>
              </w:rPr>
            </w:pPr>
            <w:r>
              <w:rPr>
                <w:rFonts w:hint="eastAsia"/>
                <w:szCs w:val="20"/>
              </w:rPr>
              <w:t>SWIFT代码</w:t>
            </w:r>
          </w:p>
        </w:tc>
        <w:tc>
          <w:tcPr>
            <w:tcW w:w="1418" w:type="dxa"/>
            <w:shd w:val="clear" w:color="auto" w:fill="auto"/>
            <w:noWrap/>
          </w:tcPr>
          <w:p w14:paraId="21F20817" w14:textId="77777777" w:rsidR="00A052DC" w:rsidRDefault="009F0A60">
            <w:pPr>
              <w:pStyle w:val="B"/>
              <w:widowControl w:val="0"/>
              <w:rPr>
                <w:szCs w:val="20"/>
              </w:rPr>
            </w:pPr>
            <w:r>
              <w:rPr>
                <w:rFonts w:hint="eastAsia"/>
                <w:szCs w:val="20"/>
              </w:rPr>
              <w:t>字符型，11</w:t>
            </w:r>
          </w:p>
        </w:tc>
        <w:tc>
          <w:tcPr>
            <w:tcW w:w="3390" w:type="dxa"/>
            <w:shd w:val="clear" w:color="auto" w:fill="auto"/>
            <w:noWrap/>
          </w:tcPr>
          <w:p w14:paraId="5D2D2E20" w14:textId="77777777" w:rsidR="00A052DC" w:rsidRDefault="009F0A60">
            <w:pPr>
              <w:pStyle w:val="B"/>
              <w:widowControl w:val="0"/>
              <w:rPr>
                <w:szCs w:val="20"/>
              </w:rPr>
            </w:pPr>
            <w:r>
              <w:rPr>
                <w:rFonts w:hint="eastAsia"/>
                <w:szCs w:val="20"/>
              </w:rPr>
              <w:t>必填项。如确无SWIFT代码，应填写N/A。</w:t>
            </w:r>
          </w:p>
        </w:tc>
      </w:tr>
      <w:tr w:rsidR="00A052DC" w14:paraId="2980123F" w14:textId="77777777">
        <w:trPr>
          <w:jc w:val="center"/>
        </w:trPr>
        <w:tc>
          <w:tcPr>
            <w:tcW w:w="1747" w:type="dxa"/>
            <w:shd w:val="clear" w:color="auto" w:fill="auto"/>
            <w:noWrap/>
          </w:tcPr>
          <w:p w14:paraId="64E1F0FC" w14:textId="77777777" w:rsidR="00A052DC" w:rsidRDefault="009F0A60">
            <w:pPr>
              <w:pStyle w:val="B"/>
              <w:widowControl w:val="0"/>
              <w:rPr>
                <w:szCs w:val="20"/>
              </w:rPr>
            </w:pPr>
            <w:r>
              <w:rPr>
                <w:szCs w:val="20"/>
              </w:rPr>
              <w:t>Z0105</w:t>
            </w:r>
          </w:p>
        </w:tc>
        <w:tc>
          <w:tcPr>
            <w:tcW w:w="1843" w:type="dxa"/>
            <w:shd w:val="clear" w:color="auto" w:fill="auto"/>
          </w:tcPr>
          <w:p w14:paraId="4AE6F027" w14:textId="77777777" w:rsidR="00A052DC" w:rsidRDefault="009F0A60">
            <w:pPr>
              <w:pStyle w:val="B"/>
              <w:widowControl w:val="0"/>
              <w:rPr>
                <w:szCs w:val="20"/>
              </w:rPr>
            </w:pPr>
            <w:r>
              <w:rPr>
                <w:rFonts w:hint="eastAsia"/>
                <w:szCs w:val="20"/>
              </w:rPr>
              <w:t>申报主体所属行业代码</w:t>
            </w:r>
          </w:p>
        </w:tc>
        <w:tc>
          <w:tcPr>
            <w:tcW w:w="1418" w:type="dxa"/>
            <w:shd w:val="clear" w:color="auto" w:fill="auto"/>
            <w:noWrap/>
          </w:tcPr>
          <w:p w14:paraId="1897E4A2" w14:textId="77777777" w:rsidR="00A052DC" w:rsidRDefault="009F0A60">
            <w:pPr>
              <w:pStyle w:val="B"/>
              <w:widowControl w:val="0"/>
              <w:rPr>
                <w:szCs w:val="20"/>
              </w:rPr>
            </w:pPr>
            <w:r>
              <w:rPr>
                <w:rFonts w:hint="eastAsia"/>
                <w:szCs w:val="20"/>
              </w:rPr>
              <w:t>字符型，</w:t>
            </w:r>
            <w:r>
              <w:rPr>
                <w:szCs w:val="20"/>
              </w:rPr>
              <w:t>4</w:t>
            </w:r>
          </w:p>
        </w:tc>
        <w:tc>
          <w:tcPr>
            <w:tcW w:w="3390" w:type="dxa"/>
            <w:shd w:val="clear" w:color="auto" w:fill="auto"/>
            <w:noWrap/>
          </w:tcPr>
          <w:p w14:paraId="162AD3E0" w14:textId="77777777" w:rsidR="00A052DC" w:rsidRDefault="009F0A60">
            <w:pPr>
              <w:pStyle w:val="B"/>
              <w:widowControl w:val="0"/>
              <w:rPr>
                <w:kern w:val="2"/>
                <w:sz w:val="21"/>
                <w:szCs w:val="20"/>
              </w:rPr>
            </w:pPr>
            <w:r>
              <w:rPr>
                <w:rFonts w:hint="eastAsia"/>
                <w:szCs w:val="20"/>
              </w:rPr>
              <w:t>必填项，见行业属性代码表。如果申报主体从事金融业活动(即货币金融服务（1066）、资本市场服务（1067）、保险业(1068)或其他金融业活动(1069))，应选择最底层行业代码，见金融业代码表。</w:t>
            </w:r>
          </w:p>
          <w:p w14:paraId="040EF49F" w14:textId="77777777" w:rsidR="00A052DC" w:rsidRDefault="009F0A60">
            <w:pPr>
              <w:pStyle w:val="B"/>
              <w:widowControl w:val="0"/>
              <w:rPr>
                <w:kern w:val="2"/>
                <w:sz w:val="21"/>
                <w:szCs w:val="20"/>
              </w:rPr>
            </w:pPr>
            <w:r>
              <w:rPr>
                <w:rFonts w:hint="eastAsia"/>
                <w:szCs w:val="20"/>
              </w:rPr>
              <w:t>不得为行业属性代码下的1990、1991、1992、1993、1994、1995和2099的任一项，也不得为“金融业代码表”下的6610（中央银行服务）、6640（银行监管服务）、6730（证券期货监管服务）、6860（保险监管服务）。国有政策性银行和商业银行均为“6620”。</w:t>
            </w:r>
          </w:p>
          <w:p w14:paraId="4CCB2CBC" w14:textId="77777777" w:rsidR="00A052DC" w:rsidRDefault="00A052DC">
            <w:pPr>
              <w:rPr>
                <w:rFonts w:ascii="黑体" w:eastAsia="黑体" w:hAnsi="黑体"/>
                <w:sz w:val="20"/>
                <w:szCs w:val="20"/>
              </w:rPr>
            </w:pPr>
            <w:r w:rsidRPr="009F0A60">
              <w:rPr>
                <w:rFonts w:ascii="黑体" w:eastAsia="黑体" w:hAnsi="黑体" w:hint="eastAsia"/>
                <w:kern w:val="0"/>
                <w:sz w:val="20"/>
                <w:szCs w:val="20"/>
              </w:rPr>
              <w:t>申报主体为个人（</w:t>
            </w:r>
            <w:r w:rsidRPr="009F0A60">
              <w:rPr>
                <w:rFonts w:ascii="黑体" w:eastAsia="黑体" w:hAnsi="黑体"/>
                <w:kern w:val="0"/>
                <w:sz w:val="20"/>
                <w:szCs w:val="20"/>
              </w:rPr>
              <w:t>Z0102=3</w:t>
            </w:r>
            <w:r w:rsidRPr="009F0A60">
              <w:rPr>
                <w:rFonts w:ascii="黑体" w:eastAsia="黑体" w:hAnsi="黑体" w:hint="eastAsia"/>
                <w:kern w:val="0"/>
                <w:sz w:val="20"/>
                <w:szCs w:val="20"/>
              </w:rPr>
              <w:t>、</w:t>
            </w:r>
            <w:r w:rsidRPr="009F0A60">
              <w:rPr>
                <w:rFonts w:ascii="黑体" w:eastAsia="黑体" w:hAnsi="黑体"/>
                <w:kern w:val="0"/>
                <w:sz w:val="20"/>
                <w:szCs w:val="20"/>
              </w:rPr>
              <w:t>4</w:t>
            </w:r>
            <w:r w:rsidRPr="009F0A60">
              <w:rPr>
                <w:rFonts w:ascii="黑体" w:eastAsia="黑体" w:hAnsi="黑体" w:hint="eastAsia"/>
                <w:kern w:val="0"/>
                <w:sz w:val="20"/>
                <w:szCs w:val="20"/>
              </w:rPr>
              <w:t>或</w:t>
            </w:r>
            <w:r w:rsidRPr="009F0A60">
              <w:rPr>
                <w:rFonts w:ascii="黑体" w:eastAsia="黑体" w:hAnsi="黑体"/>
                <w:kern w:val="0"/>
                <w:sz w:val="20"/>
                <w:szCs w:val="20"/>
              </w:rPr>
              <w:t>5</w:t>
            </w:r>
            <w:r w:rsidRPr="009F0A60">
              <w:rPr>
                <w:rFonts w:ascii="黑体" w:eastAsia="黑体" w:hAnsi="黑体" w:hint="eastAsia"/>
                <w:kern w:val="0"/>
                <w:sz w:val="20"/>
                <w:szCs w:val="20"/>
              </w:rPr>
              <w:t>时）</w:t>
            </w:r>
            <w:r w:rsidRPr="009F0A60">
              <w:rPr>
                <w:rFonts w:ascii="黑体" w:eastAsia="黑体" w:hAnsi="黑体"/>
                <w:kern w:val="0"/>
                <w:sz w:val="20"/>
                <w:szCs w:val="20"/>
              </w:rPr>
              <w:t>,</w:t>
            </w:r>
            <w:r w:rsidRPr="009F0A60">
              <w:rPr>
                <w:rFonts w:ascii="黑体" w:eastAsia="黑体" w:hAnsi="黑体" w:hint="eastAsia"/>
                <w:kern w:val="0"/>
                <w:sz w:val="20"/>
                <w:szCs w:val="20"/>
              </w:rPr>
              <w:t>填写“</w:t>
            </w:r>
            <w:r w:rsidRPr="009F0A60">
              <w:rPr>
                <w:rFonts w:ascii="黑体" w:eastAsia="黑体" w:hAnsi="黑体"/>
                <w:kern w:val="0"/>
                <w:sz w:val="20"/>
                <w:szCs w:val="20"/>
              </w:rPr>
              <w:t>8888</w:t>
            </w:r>
            <w:r w:rsidRPr="009F0A60">
              <w:rPr>
                <w:rFonts w:ascii="黑体" w:eastAsia="黑体" w:hAnsi="黑体" w:hint="eastAsia"/>
                <w:kern w:val="0"/>
                <w:sz w:val="20"/>
                <w:szCs w:val="20"/>
              </w:rPr>
              <w:t>”。</w:t>
            </w:r>
          </w:p>
        </w:tc>
      </w:tr>
      <w:tr w:rsidR="00A052DC" w14:paraId="78C361BE" w14:textId="77777777">
        <w:trPr>
          <w:jc w:val="center"/>
        </w:trPr>
        <w:tc>
          <w:tcPr>
            <w:tcW w:w="1747" w:type="dxa"/>
            <w:shd w:val="clear" w:color="auto" w:fill="auto"/>
            <w:noWrap/>
          </w:tcPr>
          <w:p w14:paraId="3148CE95" w14:textId="77777777" w:rsidR="00A052DC" w:rsidRDefault="009F0A60">
            <w:pPr>
              <w:pStyle w:val="B"/>
              <w:widowControl w:val="0"/>
              <w:rPr>
                <w:szCs w:val="20"/>
              </w:rPr>
            </w:pPr>
            <w:r>
              <w:rPr>
                <w:szCs w:val="20"/>
              </w:rPr>
              <w:t>Z0106</w:t>
            </w:r>
          </w:p>
        </w:tc>
        <w:tc>
          <w:tcPr>
            <w:tcW w:w="1843" w:type="dxa"/>
            <w:shd w:val="clear" w:color="auto" w:fill="auto"/>
          </w:tcPr>
          <w:p w14:paraId="5129FFD9" w14:textId="77777777" w:rsidR="00A052DC" w:rsidRDefault="009F0A60">
            <w:pPr>
              <w:pStyle w:val="B"/>
              <w:widowControl w:val="0"/>
              <w:rPr>
                <w:szCs w:val="20"/>
              </w:rPr>
            </w:pPr>
            <w:r>
              <w:rPr>
                <w:rFonts w:hint="eastAsia"/>
                <w:szCs w:val="20"/>
              </w:rPr>
              <w:t>经济类型</w:t>
            </w:r>
          </w:p>
        </w:tc>
        <w:tc>
          <w:tcPr>
            <w:tcW w:w="1418" w:type="dxa"/>
            <w:shd w:val="clear" w:color="auto" w:fill="auto"/>
            <w:noWrap/>
          </w:tcPr>
          <w:p w14:paraId="5348F9E1" w14:textId="77777777" w:rsidR="00A052DC" w:rsidRDefault="009F0A60">
            <w:pPr>
              <w:pStyle w:val="B"/>
              <w:widowControl w:val="0"/>
              <w:rPr>
                <w:szCs w:val="20"/>
              </w:rPr>
            </w:pPr>
            <w:r>
              <w:rPr>
                <w:rFonts w:hint="eastAsia"/>
                <w:szCs w:val="20"/>
              </w:rPr>
              <w:t>字符型，</w:t>
            </w:r>
            <w:r>
              <w:rPr>
                <w:szCs w:val="20"/>
              </w:rPr>
              <w:t>3</w:t>
            </w:r>
          </w:p>
        </w:tc>
        <w:tc>
          <w:tcPr>
            <w:tcW w:w="3390" w:type="dxa"/>
            <w:shd w:val="clear" w:color="auto" w:fill="auto"/>
            <w:noWrap/>
          </w:tcPr>
          <w:p w14:paraId="31A7029B" w14:textId="77777777" w:rsidR="00A052DC" w:rsidRDefault="009F0A60">
            <w:pPr>
              <w:pStyle w:val="B"/>
              <w:rPr>
                <w:kern w:val="2"/>
                <w:sz w:val="21"/>
              </w:rPr>
            </w:pPr>
            <w:r>
              <w:rPr>
                <w:rFonts w:hint="eastAsia"/>
              </w:rPr>
              <w:t>必填项，见经济类型代码表。</w:t>
            </w:r>
            <w:r>
              <w:t>Z0107=2（分支机构）的，Z0106</w:t>
            </w:r>
            <w:r>
              <w:rPr>
                <w:rFonts w:hint="eastAsia"/>
              </w:rPr>
              <w:t>为经济类型代码下</w:t>
            </w:r>
            <w:r>
              <w:t>200或300下的子项。</w:t>
            </w:r>
          </w:p>
          <w:p w14:paraId="6F1BD44A" w14:textId="77777777" w:rsidR="00A052DC" w:rsidRDefault="009F0A60">
            <w:pPr>
              <w:pStyle w:val="B"/>
              <w:rPr>
                <w:szCs w:val="20"/>
              </w:rPr>
            </w:pPr>
            <w:r>
              <w:rPr>
                <w:rFonts w:hint="eastAsia"/>
                <w:szCs w:val="20"/>
              </w:rPr>
              <w:t>申报主体为个人（</w:t>
            </w:r>
            <w:r>
              <w:rPr>
                <w:szCs w:val="20"/>
              </w:rPr>
              <w:t>Z0102=3、4或5</w:t>
            </w:r>
            <w:r>
              <w:rPr>
                <w:rFonts w:hint="eastAsia"/>
                <w:szCs w:val="20"/>
              </w:rPr>
              <w:t>时），填写“</w:t>
            </w:r>
            <w:r>
              <w:rPr>
                <w:szCs w:val="20"/>
              </w:rPr>
              <w:t>999”。</w:t>
            </w:r>
          </w:p>
          <w:p w14:paraId="19AC0EE0" w14:textId="77777777" w:rsidR="00A052DC" w:rsidRDefault="009F0A60">
            <w:pPr>
              <w:pStyle w:val="B"/>
            </w:pPr>
            <w:r>
              <w:rPr>
                <w:rFonts w:hint="eastAsia"/>
                <w:szCs w:val="20"/>
              </w:rPr>
              <w:t>申报主体为其他（</w:t>
            </w:r>
            <w:r>
              <w:rPr>
                <w:szCs w:val="20"/>
              </w:rPr>
              <w:t>Z102=9</w:t>
            </w:r>
            <w:r>
              <w:rPr>
                <w:rFonts w:hint="eastAsia"/>
                <w:szCs w:val="20"/>
              </w:rPr>
              <w:t>）时，填写为“</w:t>
            </w:r>
            <w:r>
              <w:rPr>
                <w:szCs w:val="20"/>
              </w:rPr>
              <w:t>900</w:t>
            </w:r>
            <w:r>
              <w:rPr>
                <w:rFonts w:hint="eastAsia"/>
                <w:szCs w:val="20"/>
              </w:rPr>
              <w:t>”。</w:t>
            </w:r>
          </w:p>
        </w:tc>
      </w:tr>
      <w:tr w:rsidR="00A052DC" w14:paraId="2DB3B114" w14:textId="77777777">
        <w:trPr>
          <w:jc w:val="center"/>
        </w:trPr>
        <w:tc>
          <w:tcPr>
            <w:tcW w:w="1747" w:type="dxa"/>
            <w:shd w:val="clear" w:color="auto" w:fill="auto"/>
            <w:noWrap/>
          </w:tcPr>
          <w:p w14:paraId="7A89A2F7" w14:textId="77777777" w:rsidR="00A052DC" w:rsidRDefault="009F0A60">
            <w:pPr>
              <w:pStyle w:val="B"/>
              <w:widowControl w:val="0"/>
              <w:rPr>
                <w:szCs w:val="20"/>
              </w:rPr>
            </w:pPr>
            <w:r>
              <w:rPr>
                <w:szCs w:val="20"/>
              </w:rPr>
              <w:t>Z0107</w:t>
            </w:r>
          </w:p>
        </w:tc>
        <w:tc>
          <w:tcPr>
            <w:tcW w:w="1843" w:type="dxa"/>
            <w:shd w:val="clear" w:color="auto" w:fill="auto"/>
          </w:tcPr>
          <w:p w14:paraId="0D3DE222" w14:textId="77777777" w:rsidR="00A052DC" w:rsidRDefault="009F0A60">
            <w:pPr>
              <w:pStyle w:val="B"/>
              <w:widowControl w:val="0"/>
              <w:rPr>
                <w:szCs w:val="20"/>
              </w:rPr>
            </w:pPr>
            <w:r>
              <w:rPr>
                <w:rFonts w:hint="eastAsia"/>
                <w:szCs w:val="20"/>
              </w:rPr>
              <w:t>申报主体类型</w:t>
            </w:r>
          </w:p>
        </w:tc>
        <w:tc>
          <w:tcPr>
            <w:tcW w:w="1418" w:type="dxa"/>
            <w:shd w:val="clear" w:color="auto" w:fill="auto"/>
            <w:noWrap/>
          </w:tcPr>
          <w:p w14:paraId="1A18E455" w14:textId="77777777" w:rsidR="00A052DC" w:rsidRDefault="009F0A60">
            <w:pPr>
              <w:pStyle w:val="B"/>
              <w:widowControl w:val="0"/>
              <w:rPr>
                <w:szCs w:val="20"/>
              </w:rPr>
            </w:pPr>
            <w:r>
              <w:rPr>
                <w:rFonts w:hint="eastAsia"/>
                <w:szCs w:val="20"/>
              </w:rPr>
              <w:t>整数型</w:t>
            </w:r>
          </w:p>
        </w:tc>
        <w:tc>
          <w:tcPr>
            <w:tcW w:w="3390" w:type="dxa"/>
            <w:shd w:val="clear" w:color="auto" w:fill="auto"/>
            <w:noWrap/>
          </w:tcPr>
          <w:p w14:paraId="47FC4A46" w14:textId="77777777" w:rsidR="00A052DC" w:rsidRDefault="009F0A60">
            <w:pPr>
              <w:pStyle w:val="B"/>
              <w:rPr>
                <w:kern w:val="2"/>
                <w:sz w:val="21"/>
              </w:rPr>
            </w:pPr>
            <w:r>
              <w:rPr>
                <w:rFonts w:hint="eastAsia"/>
              </w:rPr>
              <w:t>必填项。选项为：</w:t>
            </w:r>
          </w:p>
          <w:p w14:paraId="34BA3E84" w14:textId="77777777" w:rsidR="00A052DC" w:rsidRDefault="009F0A60">
            <w:pPr>
              <w:pStyle w:val="B"/>
              <w:rPr>
                <w:kern w:val="2"/>
                <w:sz w:val="21"/>
              </w:rPr>
            </w:pPr>
            <w:r>
              <w:t>1-</w:t>
            </w:r>
            <w:r>
              <w:rPr>
                <w:rFonts w:hint="eastAsia"/>
              </w:rPr>
              <w:t>法人；</w:t>
            </w:r>
          </w:p>
          <w:p w14:paraId="67FD14AF" w14:textId="77777777" w:rsidR="00A052DC" w:rsidRDefault="009F0A60">
            <w:pPr>
              <w:pStyle w:val="B"/>
              <w:rPr>
                <w:kern w:val="2"/>
                <w:sz w:val="21"/>
              </w:rPr>
            </w:pPr>
            <w:r>
              <w:t>2-</w:t>
            </w:r>
            <w:r>
              <w:rPr>
                <w:rFonts w:hint="eastAsia"/>
              </w:rPr>
              <w:t>分支机构；</w:t>
            </w:r>
          </w:p>
          <w:p w14:paraId="730F6965" w14:textId="77777777" w:rsidR="00A052DC" w:rsidRDefault="009F0A60">
            <w:pPr>
              <w:pStyle w:val="B"/>
              <w:rPr>
                <w:kern w:val="2"/>
                <w:sz w:val="21"/>
              </w:rPr>
            </w:pPr>
            <w:r>
              <w:t>3-</w:t>
            </w:r>
            <w:r>
              <w:rPr>
                <w:rFonts w:hint="eastAsia"/>
              </w:rPr>
              <w:t>其他非公司制机构或准公司。</w:t>
            </w:r>
          </w:p>
          <w:p w14:paraId="314B3025" w14:textId="77777777" w:rsidR="00A052DC" w:rsidRDefault="009F0A60">
            <w:pPr>
              <w:pStyle w:val="B"/>
              <w:rPr>
                <w:szCs w:val="20"/>
              </w:rPr>
            </w:pPr>
            <w:r>
              <w:rPr>
                <w:szCs w:val="20"/>
              </w:rPr>
              <w:t>4-</w:t>
            </w:r>
            <w:r>
              <w:rPr>
                <w:rFonts w:hint="eastAsia"/>
                <w:szCs w:val="20"/>
              </w:rPr>
              <w:t>个人。</w:t>
            </w:r>
          </w:p>
          <w:p w14:paraId="2C82B703" w14:textId="77777777" w:rsidR="00A052DC" w:rsidRDefault="009F0A60">
            <w:pPr>
              <w:pStyle w:val="B"/>
              <w:rPr>
                <w:kern w:val="2"/>
                <w:sz w:val="21"/>
                <w:szCs w:val="20"/>
              </w:rPr>
            </w:pPr>
            <w:r>
              <w:rPr>
                <w:rFonts w:hint="eastAsia"/>
              </w:rPr>
              <w:t>当“</w:t>
            </w:r>
            <w:r>
              <w:t>Z0102</w:t>
            </w:r>
            <w:r>
              <w:rPr>
                <w:rFonts w:hint="eastAsia"/>
              </w:rPr>
              <w:t>证照类别”</w:t>
            </w:r>
            <w:r>
              <w:t>=</w:t>
            </w:r>
            <w:r>
              <w:rPr>
                <w:szCs w:val="20"/>
              </w:rPr>
              <w:t>1</w:t>
            </w:r>
            <w:r>
              <w:rPr>
                <w:rFonts w:hint="eastAsia"/>
                <w:szCs w:val="20"/>
              </w:rPr>
              <w:t>、</w:t>
            </w:r>
            <w:r>
              <w:rPr>
                <w:szCs w:val="20"/>
              </w:rPr>
              <w:t>2</w:t>
            </w:r>
            <w:r>
              <w:rPr>
                <w:rFonts w:hint="eastAsia"/>
              </w:rPr>
              <w:t>或</w:t>
            </w:r>
            <w:r>
              <w:rPr>
                <w:szCs w:val="20"/>
              </w:rPr>
              <w:t>6</w:t>
            </w:r>
            <w:r>
              <w:rPr>
                <w:rFonts w:hint="eastAsia"/>
              </w:rPr>
              <w:t>时，“</w:t>
            </w:r>
            <w:r>
              <w:t>Z0107</w:t>
            </w:r>
            <w:r>
              <w:rPr>
                <w:rFonts w:hint="eastAsia"/>
              </w:rPr>
              <w:t>申报主体类型”≠</w:t>
            </w:r>
            <w:r>
              <w:t>4</w:t>
            </w:r>
            <w:r>
              <w:rPr>
                <w:rFonts w:hint="eastAsia"/>
              </w:rPr>
              <w:t>；当“</w:t>
            </w:r>
            <w:r>
              <w:t>Z0102</w:t>
            </w:r>
            <w:r>
              <w:rPr>
                <w:rFonts w:hint="eastAsia"/>
              </w:rPr>
              <w:t>证照类别”</w:t>
            </w:r>
            <w:r>
              <w:t>=3</w:t>
            </w:r>
            <w:r>
              <w:rPr>
                <w:rFonts w:hint="eastAsia"/>
              </w:rPr>
              <w:t>、</w:t>
            </w:r>
            <w:r>
              <w:t>4</w:t>
            </w:r>
            <w:r>
              <w:rPr>
                <w:rFonts w:hint="eastAsia"/>
              </w:rPr>
              <w:t>或</w:t>
            </w:r>
            <w:r>
              <w:rPr>
                <w:szCs w:val="20"/>
              </w:rPr>
              <w:t>5</w:t>
            </w:r>
            <w:r>
              <w:rPr>
                <w:rFonts w:hint="eastAsia"/>
              </w:rPr>
              <w:t>时，“</w:t>
            </w:r>
            <w:r>
              <w:t>Z0107</w:t>
            </w:r>
            <w:r>
              <w:rPr>
                <w:rFonts w:hint="eastAsia"/>
              </w:rPr>
              <w:t>申报主体类型”</w:t>
            </w:r>
            <w:r>
              <w:t>=4</w:t>
            </w:r>
            <w:r>
              <w:rPr>
                <w:rFonts w:hint="eastAsia"/>
              </w:rPr>
              <w:t>。</w:t>
            </w:r>
            <w:r>
              <w:t>Z0105</w:t>
            </w:r>
            <w:r>
              <w:rPr>
                <w:rFonts w:hint="eastAsia"/>
              </w:rPr>
              <w:t>申报主体所属行业代码如选择个人，</w:t>
            </w:r>
            <w:r>
              <w:t>Z0107</w:t>
            </w:r>
            <w:r>
              <w:rPr>
                <w:rFonts w:hint="eastAsia"/>
              </w:rPr>
              <w:t>申报主体类型应为</w:t>
            </w:r>
            <w:r>
              <w:rPr>
                <w:szCs w:val="20"/>
              </w:rPr>
              <w:t>4-</w:t>
            </w:r>
            <w:r>
              <w:rPr>
                <w:rFonts w:hint="eastAsia"/>
              </w:rPr>
              <w:t>个人。</w:t>
            </w:r>
          </w:p>
        </w:tc>
      </w:tr>
      <w:tr w:rsidR="00A052DC" w14:paraId="438D1DE0" w14:textId="77777777">
        <w:trPr>
          <w:jc w:val="center"/>
        </w:trPr>
        <w:tc>
          <w:tcPr>
            <w:tcW w:w="1747" w:type="dxa"/>
            <w:shd w:val="clear" w:color="auto" w:fill="auto"/>
            <w:noWrap/>
          </w:tcPr>
          <w:p w14:paraId="619D0E93" w14:textId="77777777" w:rsidR="00A052DC" w:rsidRDefault="009F0A60">
            <w:pPr>
              <w:pStyle w:val="B"/>
              <w:widowControl w:val="0"/>
              <w:rPr>
                <w:szCs w:val="20"/>
              </w:rPr>
            </w:pPr>
            <w:r>
              <w:rPr>
                <w:szCs w:val="20"/>
              </w:rPr>
              <w:t>Z0108</w:t>
            </w:r>
          </w:p>
        </w:tc>
        <w:tc>
          <w:tcPr>
            <w:tcW w:w="1843" w:type="dxa"/>
            <w:shd w:val="clear" w:color="auto" w:fill="auto"/>
          </w:tcPr>
          <w:p w14:paraId="61451416" w14:textId="77777777" w:rsidR="00A052DC" w:rsidRDefault="009F0A60">
            <w:pPr>
              <w:pStyle w:val="B"/>
              <w:widowControl w:val="0"/>
              <w:rPr>
                <w:szCs w:val="20"/>
              </w:rPr>
            </w:pPr>
            <w:r>
              <w:rPr>
                <w:rFonts w:hint="eastAsia"/>
                <w:szCs w:val="20"/>
              </w:rPr>
              <w:t>所在地</w:t>
            </w:r>
          </w:p>
        </w:tc>
        <w:tc>
          <w:tcPr>
            <w:tcW w:w="1418" w:type="dxa"/>
            <w:shd w:val="clear" w:color="auto" w:fill="auto"/>
            <w:noWrap/>
          </w:tcPr>
          <w:p w14:paraId="32208568" w14:textId="77777777" w:rsidR="00A052DC" w:rsidRDefault="009F0A60">
            <w:pPr>
              <w:pStyle w:val="B"/>
              <w:widowControl w:val="0"/>
              <w:rPr>
                <w:szCs w:val="20"/>
              </w:rPr>
            </w:pPr>
            <w:r>
              <w:rPr>
                <w:rFonts w:hint="eastAsia"/>
                <w:szCs w:val="20"/>
              </w:rPr>
              <w:t>字符型，</w:t>
            </w:r>
            <w:r>
              <w:rPr>
                <w:szCs w:val="20"/>
              </w:rPr>
              <w:t>6</w:t>
            </w:r>
          </w:p>
        </w:tc>
        <w:tc>
          <w:tcPr>
            <w:tcW w:w="3390" w:type="dxa"/>
            <w:shd w:val="clear" w:color="auto" w:fill="auto"/>
            <w:noWrap/>
          </w:tcPr>
          <w:p w14:paraId="24AAB276" w14:textId="77777777" w:rsidR="00A052DC" w:rsidRDefault="009F0A60">
            <w:pPr>
              <w:pStyle w:val="B"/>
              <w:widowControl w:val="0"/>
              <w:rPr>
                <w:szCs w:val="20"/>
              </w:rPr>
            </w:pPr>
            <w:r>
              <w:rPr>
                <w:rFonts w:hint="eastAsia"/>
                <w:szCs w:val="20"/>
              </w:rPr>
              <w:t>必填项，见中国大陆行政区划代码表。</w:t>
            </w:r>
          </w:p>
        </w:tc>
      </w:tr>
      <w:tr w:rsidR="00A052DC" w14:paraId="654A2A94" w14:textId="77777777">
        <w:trPr>
          <w:jc w:val="center"/>
        </w:trPr>
        <w:tc>
          <w:tcPr>
            <w:tcW w:w="1747" w:type="dxa"/>
            <w:shd w:val="clear" w:color="auto" w:fill="auto"/>
            <w:noWrap/>
          </w:tcPr>
          <w:p w14:paraId="17BFFF62" w14:textId="77777777" w:rsidR="00A052DC" w:rsidRDefault="009F0A60">
            <w:pPr>
              <w:pStyle w:val="B"/>
              <w:widowControl w:val="0"/>
              <w:rPr>
                <w:szCs w:val="20"/>
              </w:rPr>
            </w:pPr>
            <w:r>
              <w:rPr>
                <w:szCs w:val="20"/>
              </w:rPr>
              <w:t>Z0109</w:t>
            </w:r>
          </w:p>
        </w:tc>
        <w:tc>
          <w:tcPr>
            <w:tcW w:w="1843" w:type="dxa"/>
            <w:shd w:val="clear" w:color="auto" w:fill="auto"/>
          </w:tcPr>
          <w:p w14:paraId="3BB50062" w14:textId="77777777" w:rsidR="00A052DC" w:rsidRDefault="009F0A60">
            <w:pPr>
              <w:pStyle w:val="B"/>
              <w:widowControl w:val="0"/>
              <w:rPr>
                <w:szCs w:val="20"/>
              </w:rPr>
            </w:pPr>
            <w:r>
              <w:rPr>
                <w:rFonts w:hint="eastAsia"/>
                <w:szCs w:val="20"/>
              </w:rPr>
              <w:t>地址</w:t>
            </w:r>
          </w:p>
        </w:tc>
        <w:tc>
          <w:tcPr>
            <w:tcW w:w="1418" w:type="dxa"/>
            <w:shd w:val="clear" w:color="auto" w:fill="auto"/>
            <w:noWrap/>
          </w:tcPr>
          <w:p w14:paraId="29DC88C5" w14:textId="77777777" w:rsidR="00A052DC" w:rsidRDefault="009F0A60">
            <w:pPr>
              <w:pStyle w:val="B"/>
              <w:widowControl w:val="0"/>
              <w:rPr>
                <w:szCs w:val="20"/>
              </w:rPr>
            </w:pPr>
            <w:r>
              <w:rPr>
                <w:rFonts w:hint="eastAsia"/>
                <w:szCs w:val="20"/>
              </w:rPr>
              <w:t>字符型，</w:t>
            </w:r>
            <w:r>
              <w:rPr>
                <w:szCs w:val="20"/>
              </w:rPr>
              <w:t>256</w:t>
            </w:r>
          </w:p>
        </w:tc>
        <w:tc>
          <w:tcPr>
            <w:tcW w:w="3390" w:type="dxa"/>
            <w:shd w:val="clear" w:color="auto" w:fill="auto"/>
            <w:noWrap/>
          </w:tcPr>
          <w:p w14:paraId="0C77A6E4" w14:textId="77777777" w:rsidR="00A052DC" w:rsidRDefault="009F0A60">
            <w:pPr>
              <w:pStyle w:val="B"/>
              <w:widowControl w:val="0"/>
              <w:rPr>
                <w:szCs w:val="20"/>
              </w:rPr>
            </w:pPr>
            <w:r>
              <w:rPr>
                <w:rFonts w:hint="eastAsia"/>
                <w:szCs w:val="20"/>
              </w:rPr>
              <w:t>必填项。</w:t>
            </w:r>
          </w:p>
        </w:tc>
      </w:tr>
      <w:tr w:rsidR="00A052DC" w14:paraId="05643E5F" w14:textId="77777777">
        <w:trPr>
          <w:jc w:val="center"/>
        </w:trPr>
        <w:tc>
          <w:tcPr>
            <w:tcW w:w="1747" w:type="dxa"/>
            <w:shd w:val="clear" w:color="auto" w:fill="auto"/>
            <w:noWrap/>
          </w:tcPr>
          <w:p w14:paraId="695060FB" w14:textId="77777777" w:rsidR="00A052DC" w:rsidRDefault="009F0A60">
            <w:pPr>
              <w:pStyle w:val="B"/>
              <w:widowControl w:val="0"/>
              <w:rPr>
                <w:szCs w:val="20"/>
              </w:rPr>
            </w:pPr>
            <w:r>
              <w:rPr>
                <w:szCs w:val="20"/>
              </w:rPr>
              <w:t>DPT</w:t>
            </w:r>
          </w:p>
        </w:tc>
        <w:tc>
          <w:tcPr>
            <w:tcW w:w="1843" w:type="dxa"/>
            <w:shd w:val="clear" w:color="auto" w:fill="auto"/>
          </w:tcPr>
          <w:p w14:paraId="4BA568A1" w14:textId="77777777" w:rsidR="00A052DC" w:rsidRDefault="009F0A60">
            <w:pPr>
              <w:pStyle w:val="B"/>
              <w:widowControl w:val="0"/>
              <w:rPr>
                <w:szCs w:val="20"/>
              </w:rPr>
            </w:pPr>
            <w:r>
              <w:rPr>
                <w:rFonts w:hint="eastAsia"/>
                <w:szCs w:val="20"/>
              </w:rPr>
              <w:t>牵头部门</w:t>
            </w:r>
          </w:p>
        </w:tc>
        <w:tc>
          <w:tcPr>
            <w:tcW w:w="1418" w:type="dxa"/>
            <w:shd w:val="clear" w:color="auto" w:fill="auto"/>
            <w:noWrap/>
          </w:tcPr>
          <w:p w14:paraId="23ABD476" w14:textId="77777777" w:rsidR="00A052DC" w:rsidRDefault="009F0A60">
            <w:pPr>
              <w:pStyle w:val="B"/>
              <w:widowControl w:val="0"/>
              <w:rPr>
                <w:szCs w:val="20"/>
              </w:rPr>
            </w:pPr>
            <w:r>
              <w:rPr>
                <w:rFonts w:hint="eastAsia"/>
                <w:szCs w:val="20"/>
              </w:rPr>
              <w:t>字符型，</w:t>
            </w:r>
            <w:r>
              <w:rPr>
                <w:szCs w:val="20"/>
              </w:rPr>
              <w:t>256</w:t>
            </w:r>
          </w:p>
        </w:tc>
        <w:tc>
          <w:tcPr>
            <w:tcW w:w="3390" w:type="dxa"/>
            <w:shd w:val="clear" w:color="auto" w:fill="auto"/>
            <w:noWrap/>
          </w:tcPr>
          <w:p w14:paraId="120282E5" w14:textId="77777777" w:rsidR="00A052DC" w:rsidRDefault="009F0A60">
            <w:pPr>
              <w:pStyle w:val="B"/>
              <w:widowControl w:val="0"/>
              <w:rPr>
                <w:szCs w:val="20"/>
              </w:rPr>
            </w:pPr>
            <w:r>
              <w:rPr>
                <w:rFonts w:hint="eastAsia"/>
                <w:szCs w:val="20"/>
              </w:rPr>
              <w:t>必填项。不能为数字“</w:t>
            </w:r>
            <w:r>
              <w:rPr>
                <w:szCs w:val="20"/>
              </w:rPr>
              <w:t>0</w:t>
            </w:r>
            <w:r>
              <w:rPr>
                <w:rFonts w:hint="eastAsia"/>
                <w:szCs w:val="20"/>
              </w:rPr>
              <w:t>”至“</w:t>
            </w:r>
            <w:r>
              <w:rPr>
                <w:szCs w:val="20"/>
              </w:rPr>
              <w:t>9</w:t>
            </w:r>
            <w:r>
              <w:rPr>
                <w:rFonts w:hint="eastAsia"/>
                <w:szCs w:val="20"/>
              </w:rPr>
              <w:t>”、“</w:t>
            </w:r>
            <w:r>
              <w:rPr>
                <w:szCs w:val="20"/>
              </w:rPr>
              <w:t>fin</w:t>
            </w:r>
            <w:r>
              <w:rPr>
                <w:rFonts w:hint="eastAsia"/>
                <w:szCs w:val="20"/>
              </w:rPr>
              <w:t>”、“</w:t>
            </w:r>
            <w:r>
              <w:rPr>
                <w:szCs w:val="20"/>
              </w:rPr>
              <w:t>E</w:t>
            </w:r>
            <w:r>
              <w:rPr>
                <w:rFonts w:hint="eastAsia"/>
                <w:szCs w:val="20"/>
              </w:rPr>
              <w:t>”、“</w:t>
            </w:r>
            <w:r>
              <w:rPr>
                <w:szCs w:val="20"/>
              </w:rPr>
              <w:t>N/A</w:t>
            </w:r>
            <w:r>
              <w:rPr>
                <w:rFonts w:hint="eastAsia"/>
                <w:szCs w:val="20"/>
              </w:rPr>
              <w:t>”、“？？？”等字符。</w:t>
            </w:r>
          </w:p>
        </w:tc>
      </w:tr>
      <w:tr w:rsidR="00A052DC" w14:paraId="4919CB73" w14:textId="77777777">
        <w:trPr>
          <w:jc w:val="center"/>
        </w:trPr>
        <w:tc>
          <w:tcPr>
            <w:tcW w:w="1747" w:type="dxa"/>
            <w:shd w:val="clear" w:color="auto" w:fill="auto"/>
            <w:noWrap/>
          </w:tcPr>
          <w:p w14:paraId="71B9784F" w14:textId="77777777" w:rsidR="00A052DC" w:rsidRDefault="009F0A60">
            <w:pPr>
              <w:pStyle w:val="B"/>
              <w:widowControl w:val="0"/>
              <w:rPr>
                <w:szCs w:val="20"/>
              </w:rPr>
            </w:pPr>
            <w:r>
              <w:rPr>
                <w:szCs w:val="20"/>
              </w:rPr>
              <w:t>CONTACT</w:t>
            </w:r>
          </w:p>
        </w:tc>
        <w:tc>
          <w:tcPr>
            <w:tcW w:w="1843" w:type="dxa"/>
            <w:shd w:val="clear" w:color="auto" w:fill="auto"/>
          </w:tcPr>
          <w:p w14:paraId="73495892" w14:textId="77777777" w:rsidR="00A052DC" w:rsidRDefault="009F0A60">
            <w:pPr>
              <w:pStyle w:val="B"/>
              <w:widowControl w:val="0"/>
              <w:rPr>
                <w:szCs w:val="20"/>
              </w:rPr>
            </w:pPr>
            <w:r>
              <w:rPr>
                <w:rFonts w:hint="eastAsia"/>
                <w:szCs w:val="20"/>
              </w:rPr>
              <w:t>联系人</w:t>
            </w:r>
          </w:p>
        </w:tc>
        <w:tc>
          <w:tcPr>
            <w:tcW w:w="1418" w:type="dxa"/>
            <w:shd w:val="clear" w:color="auto" w:fill="auto"/>
            <w:noWrap/>
          </w:tcPr>
          <w:p w14:paraId="5FD7CC34" w14:textId="77777777" w:rsidR="00A052DC" w:rsidRDefault="009F0A60">
            <w:pPr>
              <w:pStyle w:val="B"/>
              <w:widowControl w:val="0"/>
              <w:rPr>
                <w:szCs w:val="20"/>
              </w:rPr>
            </w:pPr>
            <w:r>
              <w:rPr>
                <w:rFonts w:hint="eastAsia"/>
                <w:szCs w:val="20"/>
              </w:rPr>
              <w:t>字符型，</w:t>
            </w:r>
            <w:r>
              <w:rPr>
                <w:szCs w:val="20"/>
              </w:rPr>
              <w:t>256</w:t>
            </w:r>
          </w:p>
        </w:tc>
        <w:tc>
          <w:tcPr>
            <w:tcW w:w="3390" w:type="dxa"/>
            <w:shd w:val="clear" w:color="auto" w:fill="auto"/>
            <w:noWrap/>
          </w:tcPr>
          <w:p w14:paraId="74C1C7C5" w14:textId="77777777" w:rsidR="00A052DC" w:rsidRDefault="009F0A60">
            <w:pPr>
              <w:pStyle w:val="B"/>
              <w:widowControl w:val="0"/>
              <w:rPr>
                <w:szCs w:val="20"/>
              </w:rPr>
            </w:pPr>
            <w:r>
              <w:rPr>
                <w:rFonts w:hint="eastAsia"/>
                <w:szCs w:val="20"/>
              </w:rPr>
              <w:t>必填项。</w:t>
            </w:r>
          </w:p>
        </w:tc>
      </w:tr>
      <w:tr w:rsidR="00A052DC" w14:paraId="32A92CCF" w14:textId="77777777">
        <w:trPr>
          <w:jc w:val="center"/>
        </w:trPr>
        <w:tc>
          <w:tcPr>
            <w:tcW w:w="1747" w:type="dxa"/>
            <w:shd w:val="clear" w:color="auto" w:fill="auto"/>
            <w:noWrap/>
          </w:tcPr>
          <w:p w14:paraId="7D9ED06B" w14:textId="77777777" w:rsidR="00A052DC" w:rsidRDefault="009F0A60">
            <w:pPr>
              <w:pStyle w:val="B"/>
              <w:widowControl w:val="0"/>
              <w:rPr>
                <w:szCs w:val="20"/>
              </w:rPr>
            </w:pPr>
            <w:r>
              <w:rPr>
                <w:szCs w:val="20"/>
              </w:rPr>
              <w:t>TEL</w:t>
            </w:r>
          </w:p>
        </w:tc>
        <w:tc>
          <w:tcPr>
            <w:tcW w:w="1843" w:type="dxa"/>
            <w:shd w:val="clear" w:color="auto" w:fill="auto"/>
          </w:tcPr>
          <w:p w14:paraId="50AE8A50" w14:textId="77777777" w:rsidR="00A052DC" w:rsidRDefault="009F0A60">
            <w:pPr>
              <w:pStyle w:val="B"/>
              <w:widowControl w:val="0"/>
              <w:rPr>
                <w:szCs w:val="20"/>
              </w:rPr>
            </w:pPr>
            <w:r>
              <w:rPr>
                <w:rFonts w:hint="eastAsia"/>
                <w:szCs w:val="20"/>
              </w:rPr>
              <w:t>联系电话和电子邮箱</w:t>
            </w:r>
          </w:p>
        </w:tc>
        <w:tc>
          <w:tcPr>
            <w:tcW w:w="1418" w:type="dxa"/>
            <w:shd w:val="clear" w:color="auto" w:fill="auto"/>
            <w:noWrap/>
          </w:tcPr>
          <w:p w14:paraId="52FCF933" w14:textId="77777777" w:rsidR="00A052DC" w:rsidRDefault="009F0A60">
            <w:pPr>
              <w:pStyle w:val="B"/>
              <w:widowControl w:val="0"/>
              <w:rPr>
                <w:szCs w:val="20"/>
              </w:rPr>
            </w:pPr>
            <w:r>
              <w:rPr>
                <w:rFonts w:hint="eastAsia"/>
                <w:szCs w:val="20"/>
              </w:rPr>
              <w:t>字符型，</w:t>
            </w:r>
            <w:r>
              <w:rPr>
                <w:szCs w:val="20"/>
              </w:rPr>
              <w:t>256</w:t>
            </w:r>
          </w:p>
        </w:tc>
        <w:tc>
          <w:tcPr>
            <w:tcW w:w="3390" w:type="dxa"/>
            <w:shd w:val="clear" w:color="auto" w:fill="auto"/>
            <w:noWrap/>
          </w:tcPr>
          <w:p w14:paraId="4DF10712" w14:textId="77777777" w:rsidR="00A052DC" w:rsidRDefault="009F0A60">
            <w:pPr>
              <w:pStyle w:val="B"/>
              <w:widowControl w:val="0"/>
              <w:rPr>
                <w:szCs w:val="20"/>
              </w:rPr>
            </w:pPr>
            <w:r>
              <w:rPr>
                <w:rFonts w:hint="eastAsia"/>
                <w:szCs w:val="20"/>
              </w:rPr>
              <w:t>必填项。</w:t>
            </w:r>
          </w:p>
        </w:tc>
      </w:tr>
      <w:tr w:rsidR="00A052DC" w14:paraId="584454DD" w14:textId="77777777">
        <w:trPr>
          <w:jc w:val="center"/>
        </w:trPr>
        <w:tc>
          <w:tcPr>
            <w:tcW w:w="1747" w:type="dxa"/>
            <w:shd w:val="clear" w:color="auto" w:fill="auto"/>
            <w:noWrap/>
          </w:tcPr>
          <w:p w14:paraId="1F28D0ED" w14:textId="77777777" w:rsidR="00A052DC" w:rsidRDefault="009F0A60">
            <w:pPr>
              <w:pStyle w:val="B"/>
              <w:widowControl w:val="0"/>
              <w:rPr>
                <w:szCs w:val="20"/>
              </w:rPr>
            </w:pPr>
            <w:r>
              <w:rPr>
                <w:rFonts w:hint="eastAsia"/>
                <w:szCs w:val="20"/>
              </w:rPr>
              <w:t>Z0112</w:t>
            </w:r>
          </w:p>
        </w:tc>
        <w:tc>
          <w:tcPr>
            <w:tcW w:w="1843" w:type="dxa"/>
            <w:shd w:val="clear" w:color="auto" w:fill="auto"/>
          </w:tcPr>
          <w:p w14:paraId="7BE3D1C3" w14:textId="77777777" w:rsidR="00A052DC" w:rsidRDefault="009F0A60">
            <w:pPr>
              <w:pStyle w:val="B"/>
              <w:widowControl w:val="0"/>
              <w:rPr>
                <w:szCs w:val="20"/>
              </w:rPr>
            </w:pPr>
            <w:r>
              <w:rPr>
                <w:rFonts w:hint="eastAsia"/>
                <w:szCs w:val="20"/>
              </w:rPr>
              <w:t>LEI编码</w:t>
            </w:r>
          </w:p>
        </w:tc>
        <w:tc>
          <w:tcPr>
            <w:tcW w:w="1418" w:type="dxa"/>
            <w:shd w:val="clear" w:color="auto" w:fill="auto"/>
            <w:noWrap/>
          </w:tcPr>
          <w:p w14:paraId="6DF3127C" w14:textId="77777777" w:rsidR="00A052DC" w:rsidRDefault="009F0A60">
            <w:pPr>
              <w:pStyle w:val="B"/>
              <w:widowControl w:val="0"/>
              <w:rPr>
                <w:szCs w:val="20"/>
              </w:rPr>
            </w:pPr>
            <w:r>
              <w:rPr>
                <w:rFonts w:hint="eastAsia"/>
                <w:szCs w:val="20"/>
              </w:rPr>
              <w:t>字符型，20</w:t>
            </w:r>
          </w:p>
        </w:tc>
        <w:tc>
          <w:tcPr>
            <w:tcW w:w="3390" w:type="dxa"/>
            <w:shd w:val="clear" w:color="auto" w:fill="auto"/>
            <w:noWrap/>
          </w:tcPr>
          <w:p w14:paraId="21190793" w14:textId="77777777" w:rsidR="00A052DC" w:rsidRDefault="009F0A60">
            <w:pPr>
              <w:pStyle w:val="B"/>
              <w:widowControl w:val="0"/>
              <w:rPr>
                <w:szCs w:val="20"/>
              </w:rPr>
            </w:pPr>
            <w:r>
              <w:rPr>
                <w:rFonts w:hint="eastAsia"/>
                <w:szCs w:val="20"/>
              </w:rPr>
              <w:t>必填项。如申报主体尚未申领，应填写N/A。</w:t>
            </w:r>
          </w:p>
        </w:tc>
      </w:tr>
      <w:tr w:rsidR="00A052DC" w14:paraId="67B42797" w14:textId="77777777">
        <w:trPr>
          <w:jc w:val="center"/>
        </w:trPr>
        <w:tc>
          <w:tcPr>
            <w:tcW w:w="1747" w:type="dxa"/>
            <w:shd w:val="clear" w:color="auto" w:fill="auto"/>
            <w:noWrap/>
          </w:tcPr>
          <w:p w14:paraId="5078808B" w14:textId="77777777" w:rsidR="00A052DC" w:rsidRDefault="009F0A60">
            <w:pPr>
              <w:pStyle w:val="B"/>
              <w:widowControl w:val="0"/>
              <w:rPr>
                <w:szCs w:val="20"/>
              </w:rPr>
            </w:pPr>
            <w:r>
              <w:rPr>
                <w:szCs w:val="20"/>
              </w:rPr>
              <w:t>REMARK</w:t>
            </w:r>
          </w:p>
        </w:tc>
        <w:tc>
          <w:tcPr>
            <w:tcW w:w="1843" w:type="dxa"/>
            <w:shd w:val="clear" w:color="auto" w:fill="auto"/>
          </w:tcPr>
          <w:p w14:paraId="39E841AB" w14:textId="77777777" w:rsidR="00A052DC" w:rsidRDefault="009F0A60">
            <w:pPr>
              <w:pStyle w:val="B"/>
              <w:widowControl w:val="0"/>
              <w:rPr>
                <w:szCs w:val="20"/>
              </w:rPr>
            </w:pPr>
            <w:r>
              <w:rPr>
                <w:rFonts w:hint="eastAsia"/>
                <w:szCs w:val="20"/>
              </w:rPr>
              <w:t>备注</w:t>
            </w:r>
          </w:p>
        </w:tc>
        <w:tc>
          <w:tcPr>
            <w:tcW w:w="1418" w:type="dxa"/>
            <w:shd w:val="clear" w:color="auto" w:fill="auto"/>
            <w:noWrap/>
          </w:tcPr>
          <w:p w14:paraId="1E2C098D" w14:textId="77777777" w:rsidR="00A052DC" w:rsidRDefault="009F0A60">
            <w:pPr>
              <w:pStyle w:val="B"/>
              <w:widowControl w:val="0"/>
              <w:rPr>
                <w:szCs w:val="20"/>
              </w:rPr>
            </w:pPr>
            <w:r>
              <w:rPr>
                <w:rFonts w:hint="eastAsia"/>
                <w:szCs w:val="20"/>
              </w:rPr>
              <w:t>字符型，</w:t>
            </w:r>
            <w:r>
              <w:rPr>
                <w:szCs w:val="20"/>
              </w:rPr>
              <w:t>512</w:t>
            </w:r>
          </w:p>
        </w:tc>
        <w:tc>
          <w:tcPr>
            <w:tcW w:w="3390" w:type="dxa"/>
            <w:shd w:val="clear" w:color="auto" w:fill="auto"/>
            <w:noWrap/>
          </w:tcPr>
          <w:p w14:paraId="1A772431" w14:textId="77777777" w:rsidR="00A052DC" w:rsidRDefault="009F0A60">
            <w:pPr>
              <w:pStyle w:val="B"/>
              <w:widowControl w:val="0"/>
              <w:rPr>
                <w:szCs w:val="20"/>
              </w:rPr>
            </w:pPr>
            <w:r>
              <w:rPr>
                <w:rFonts w:hint="eastAsia"/>
                <w:szCs w:val="20"/>
              </w:rPr>
              <w:t>非必填项。</w:t>
            </w:r>
          </w:p>
        </w:tc>
      </w:tr>
    </w:tbl>
    <w:p w14:paraId="055FCA1D" w14:textId="77777777" w:rsidR="00A052DC" w:rsidRDefault="00A052DC"/>
    <w:p w14:paraId="46D9707C" w14:textId="77777777" w:rsidR="00A052DC" w:rsidRDefault="009F0A60" w:rsidP="0020251D">
      <w:pPr>
        <w:pStyle w:val="3"/>
        <w:ind w:left="0"/>
        <w:rPr>
          <w:rFonts w:ascii="Times New Roman" w:hAnsi="Times New Roman"/>
        </w:rPr>
      </w:pPr>
      <w:bookmarkStart w:id="2951" w:name="_Toc91455302"/>
      <w:bookmarkStart w:id="2952" w:name="_Toc380570895"/>
      <w:bookmarkStart w:id="2953" w:name="_Toc380356275"/>
      <w:bookmarkStart w:id="2954" w:name="_Toc454391214"/>
      <w:bookmarkStart w:id="2955" w:name="_Toc101684475"/>
      <w:r>
        <w:rPr>
          <w:rFonts w:ascii="Times New Roman" w:hAnsi="Times New Roman"/>
        </w:rPr>
        <w:t>Z02</w:t>
      </w:r>
      <w:r>
        <w:rPr>
          <w:rFonts w:ascii="Times New Roman" w:hAnsi="Times New Roman" w:hint="eastAsia"/>
        </w:rPr>
        <w:t>表：业务概览及联系方式</w:t>
      </w:r>
      <w:bookmarkEnd w:id="2951"/>
      <w:bookmarkEnd w:id="2952"/>
      <w:bookmarkEnd w:id="2953"/>
      <w:bookmarkEnd w:id="2954"/>
      <w:bookmarkEnd w:id="2955"/>
    </w:p>
    <w:p w14:paraId="1EBD167F" w14:textId="77777777" w:rsidR="00A052DC" w:rsidRDefault="009F0A60" w:rsidP="0020251D">
      <w:pPr>
        <w:pStyle w:val="4"/>
        <w:numPr>
          <w:ilvl w:val="3"/>
          <w:numId w:val="1"/>
        </w:numPr>
        <w:jc w:val="left"/>
      </w:pPr>
      <w:bookmarkStart w:id="2956" w:name="_Toc380570896"/>
      <w:bookmarkStart w:id="2957" w:name="_Toc454391215"/>
      <w:r>
        <w:rPr>
          <w:rFonts w:hint="eastAsia"/>
        </w:rPr>
        <w:t>数据术语解释</w:t>
      </w:r>
      <w:bookmarkEnd w:id="2956"/>
      <w:bookmarkEnd w:id="2957"/>
    </w:p>
    <w:p w14:paraId="5714CA9F" w14:textId="77777777" w:rsidR="00A052DC" w:rsidRDefault="00A052DC">
      <w:pPr>
        <w:spacing w:line="240" w:lineRule="exact"/>
        <w:rPr>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6925"/>
      </w:tblGrid>
      <w:tr w:rsidR="00A052DC" w14:paraId="7FA9A1B1" w14:textId="77777777">
        <w:trPr>
          <w:cantSplit/>
        </w:trPr>
        <w:tc>
          <w:tcPr>
            <w:tcW w:w="1597" w:type="dxa"/>
            <w:shd w:val="clear" w:color="auto" w:fill="auto"/>
          </w:tcPr>
          <w:p w14:paraId="53AE1059" w14:textId="77777777" w:rsidR="00A052DC" w:rsidRDefault="009F0A60">
            <w:pPr>
              <w:pStyle w:val="B1"/>
            </w:pPr>
            <w:r>
              <w:rPr>
                <w:rFonts w:hint="eastAsia"/>
              </w:rPr>
              <w:t>基础数据项</w:t>
            </w:r>
          </w:p>
        </w:tc>
        <w:tc>
          <w:tcPr>
            <w:tcW w:w="6925" w:type="dxa"/>
            <w:shd w:val="clear" w:color="auto" w:fill="auto"/>
          </w:tcPr>
          <w:p w14:paraId="57B61753" w14:textId="77777777" w:rsidR="00A052DC" w:rsidRDefault="009F0A60">
            <w:pPr>
              <w:pStyle w:val="B1"/>
            </w:pPr>
            <w:r>
              <w:rPr>
                <w:rFonts w:hint="eastAsia"/>
              </w:rPr>
              <w:t>定义</w:t>
            </w:r>
          </w:p>
        </w:tc>
      </w:tr>
      <w:tr w:rsidR="00A052DC" w14:paraId="31A5DB62" w14:textId="77777777">
        <w:trPr>
          <w:cantSplit/>
        </w:trPr>
        <w:tc>
          <w:tcPr>
            <w:tcW w:w="1597" w:type="dxa"/>
            <w:shd w:val="clear" w:color="auto" w:fill="auto"/>
          </w:tcPr>
          <w:p w14:paraId="29ACFBA3" w14:textId="77777777" w:rsidR="00A052DC" w:rsidRDefault="009F0A60">
            <w:pPr>
              <w:pStyle w:val="B"/>
              <w:rPr>
                <w:szCs w:val="20"/>
              </w:rPr>
            </w:pPr>
            <w:r>
              <w:rPr>
                <w:rFonts w:hint="eastAsia"/>
                <w:szCs w:val="20"/>
              </w:rPr>
              <w:t>数据自编码</w:t>
            </w:r>
          </w:p>
        </w:tc>
        <w:tc>
          <w:tcPr>
            <w:tcW w:w="6925" w:type="dxa"/>
            <w:shd w:val="clear" w:color="auto" w:fill="auto"/>
          </w:tcPr>
          <w:p w14:paraId="6C3E6B43" w14:textId="77777777" w:rsidR="00A052DC" w:rsidRDefault="009F0A60">
            <w:pPr>
              <w:pStyle w:val="B"/>
              <w:rPr>
                <w:szCs w:val="20"/>
              </w:rPr>
            </w:pPr>
            <w:r>
              <w:rPr>
                <w:rFonts w:hint="eastAsia"/>
                <w:szCs w:val="20"/>
              </w:rPr>
              <w:t>该编码用于标识金融机构报送的每一条数据，按给定规则编码，便于进行增删改查等操作。建议规则：机构代码（</w:t>
            </w:r>
            <w:r>
              <w:rPr>
                <w:szCs w:val="20"/>
              </w:rPr>
              <w:t>1</w:t>
            </w:r>
            <w:r>
              <w:rPr>
                <w:rFonts w:hint="eastAsia"/>
                <w:szCs w:val="20"/>
              </w:rPr>
              <w:t>8位，不足</w:t>
            </w:r>
            <w:r>
              <w:rPr>
                <w:szCs w:val="20"/>
              </w:rPr>
              <w:t>1</w:t>
            </w:r>
            <w:r>
              <w:rPr>
                <w:rFonts w:hint="eastAsia"/>
                <w:szCs w:val="20"/>
              </w:rPr>
              <w:t>8位补</w:t>
            </w:r>
            <w:r>
              <w:rPr>
                <w:szCs w:val="20"/>
              </w:rPr>
              <w:t>a</w:t>
            </w:r>
            <w:r>
              <w:rPr>
                <w:rFonts w:hint="eastAsia"/>
                <w:szCs w:val="20"/>
              </w:rPr>
              <w:t>）</w:t>
            </w:r>
            <w:r>
              <w:rPr>
                <w:szCs w:val="20"/>
              </w:rPr>
              <w:t>+</w:t>
            </w:r>
            <w:r>
              <w:rPr>
                <w:rFonts w:hint="eastAsia"/>
                <w:szCs w:val="20"/>
              </w:rPr>
              <w:t>报表代码（</w:t>
            </w:r>
            <w:r>
              <w:rPr>
                <w:szCs w:val="20"/>
              </w:rPr>
              <w:t>5</w:t>
            </w:r>
            <w:r>
              <w:rPr>
                <w:rFonts w:hint="eastAsia"/>
                <w:szCs w:val="20"/>
              </w:rPr>
              <w:t>位，不足</w:t>
            </w:r>
            <w:r>
              <w:rPr>
                <w:szCs w:val="20"/>
              </w:rPr>
              <w:t>5</w:t>
            </w:r>
            <w:r>
              <w:rPr>
                <w:rFonts w:hint="eastAsia"/>
                <w:szCs w:val="20"/>
              </w:rPr>
              <w:t>位补</w:t>
            </w:r>
            <w:r>
              <w:rPr>
                <w:szCs w:val="20"/>
              </w:rPr>
              <w:t>a</w:t>
            </w:r>
            <w:r>
              <w:rPr>
                <w:rFonts w:hint="eastAsia"/>
                <w:szCs w:val="20"/>
              </w:rPr>
              <w:t>）</w:t>
            </w:r>
            <w:r>
              <w:rPr>
                <w:szCs w:val="20"/>
              </w:rPr>
              <w:t>+</w:t>
            </w:r>
            <w:r>
              <w:rPr>
                <w:rFonts w:hint="eastAsia"/>
                <w:szCs w:val="20"/>
              </w:rPr>
              <w:t>报送期（</w:t>
            </w:r>
            <w:r>
              <w:rPr>
                <w:szCs w:val="20"/>
              </w:rPr>
              <w:t>6</w:t>
            </w:r>
            <w:r>
              <w:rPr>
                <w:rFonts w:hint="eastAsia"/>
                <w:szCs w:val="20"/>
              </w:rPr>
              <w:t>位）</w:t>
            </w:r>
            <w:r>
              <w:rPr>
                <w:szCs w:val="20"/>
              </w:rPr>
              <w:t>+</w:t>
            </w:r>
            <w:r>
              <w:rPr>
                <w:rFonts w:hint="eastAsia"/>
                <w:szCs w:val="20"/>
              </w:rPr>
              <w:t>顺序号（</w:t>
            </w:r>
            <w:r>
              <w:rPr>
                <w:szCs w:val="20"/>
              </w:rPr>
              <w:t>7</w:t>
            </w:r>
            <w:r>
              <w:rPr>
                <w:rFonts w:hint="eastAsia"/>
                <w:szCs w:val="20"/>
              </w:rPr>
              <w:t>位，从</w:t>
            </w:r>
            <w:r>
              <w:rPr>
                <w:szCs w:val="20"/>
              </w:rPr>
              <w:t>0000001</w:t>
            </w:r>
            <w:r>
              <w:rPr>
                <w:rFonts w:hint="eastAsia"/>
                <w:szCs w:val="20"/>
              </w:rPr>
              <w:t>开始增加）。</w:t>
            </w:r>
          </w:p>
        </w:tc>
      </w:tr>
      <w:tr w:rsidR="00A052DC" w14:paraId="5BA600C6" w14:textId="77777777">
        <w:trPr>
          <w:cantSplit/>
        </w:trPr>
        <w:tc>
          <w:tcPr>
            <w:tcW w:w="1597" w:type="dxa"/>
            <w:shd w:val="clear" w:color="auto" w:fill="auto"/>
          </w:tcPr>
          <w:p w14:paraId="42DE03C3" w14:textId="77777777" w:rsidR="00A052DC" w:rsidRDefault="009F0A60">
            <w:pPr>
              <w:pStyle w:val="B"/>
              <w:rPr>
                <w:szCs w:val="20"/>
              </w:rPr>
            </w:pPr>
            <w:r>
              <w:rPr>
                <w:rFonts w:hint="eastAsia"/>
                <w:szCs w:val="20"/>
              </w:rPr>
              <w:t>申报主体代码</w:t>
            </w:r>
          </w:p>
        </w:tc>
        <w:tc>
          <w:tcPr>
            <w:tcW w:w="6925" w:type="dxa"/>
            <w:shd w:val="clear" w:color="auto" w:fill="auto"/>
          </w:tcPr>
          <w:p w14:paraId="5A431C6A" w14:textId="77777777" w:rsidR="00A052DC" w:rsidRDefault="009F0A60">
            <w:r>
              <w:rPr>
                <w:rFonts w:ascii="黑体" w:eastAsia="黑体" w:hAnsi="黑体" w:hint="eastAsia"/>
                <w:sz w:val="20"/>
                <w:szCs w:val="20"/>
              </w:rPr>
              <w:t>申报主体的12位金融机构标识码，如果没有金融机构标识码，则填报统一社会信用代码法定载体（如营业执照）上统一社会信用代码中的第9至17位或国家外汇管理局及其分支局签发的特殊机构代码赋码通知书上的机构代码、个人身份代码。</w:t>
            </w:r>
          </w:p>
        </w:tc>
      </w:tr>
      <w:tr w:rsidR="00A052DC" w14:paraId="1E796F71" w14:textId="77777777">
        <w:trPr>
          <w:cantSplit/>
        </w:trPr>
        <w:tc>
          <w:tcPr>
            <w:tcW w:w="1597" w:type="dxa"/>
            <w:shd w:val="clear" w:color="auto" w:fill="auto"/>
          </w:tcPr>
          <w:p w14:paraId="0A7885D9" w14:textId="77777777" w:rsidR="00A052DC" w:rsidRDefault="009F0A60">
            <w:pPr>
              <w:pStyle w:val="B"/>
              <w:rPr>
                <w:szCs w:val="20"/>
              </w:rPr>
            </w:pPr>
            <w:r>
              <w:rPr>
                <w:rFonts w:hint="eastAsia"/>
                <w:szCs w:val="20"/>
              </w:rPr>
              <w:t>报告期</w:t>
            </w:r>
          </w:p>
        </w:tc>
        <w:tc>
          <w:tcPr>
            <w:tcW w:w="6925" w:type="dxa"/>
            <w:shd w:val="clear" w:color="auto" w:fill="auto"/>
          </w:tcPr>
          <w:p w14:paraId="4CB3881C" w14:textId="77777777" w:rsidR="00A052DC" w:rsidRDefault="009F0A60">
            <w:pPr>
              <w:pStyle w:val="B"/>
              <w:rPr>
                <w:szCs w:val="20"/>
              </w:rPr>
            </w:pPr>
            <w:r>
              <w:rPr>
                <w:rFonts w:hint="eastAsia"/>
                <w:szCs w:val="20"/>
              </w:rPr>
              <w:t>业务发生月份，格式为</w:t>
            </w:r>
            <w:r>
              <w:rPr>
                <w:szCs w:val="20"/>
              </w:rPr>
              <w:t>YYYYMM</w:t>
            </w:r>
            <w:r>
              <w:rPr>
                <w:rFonts w:hint="eastAsia"/>
                <w:szCs w:val="20"/>
              </w:rPr>
              <w:t>。</w:t>
            </w:r>
          </w:p>
        </w:tc>
      </w:tr>
      <w:tr w:rsidR="00A052DC" w14:paraId="4A78BB4A" w14:textId="77777777">
        <w:trPr>
          <w:cantSplit/>
        </w:trPr>
        <w:tc>
          <w:tcPr>
            <w:tcW w:w="1597" w:type="dxa"/>
            <w:shd w:val="clear" w:color="auto" w:fill="auto"/>
          </w:tcPr>
          <w:p w14:paraId="33B510A7" w14:textId="77777777" w:rsidR="00A052DC" w:rsidRDefault="009F0A60">
            <w:pPr>
              <w:pStyle w:val="B"/>
              <w:rPr>
                <w:szCs w:val="20"/>
              </w:rPr>
            </w:pPr>
            <w:r>
              <w:rPr>
                <w:rFonts w:hint="eastAsia"/>
                <w:szCs w:val="20"/>
              </w:rPr>
              <w:t>表号</w:t>
            </w:r>
          </w:p>
        </w:tc>
        <w:tc>
          <w:tcPr>
            <w:tcW w:w="6925" w:type="dxa"/>
            <w:shd w:val="clear" w:color="auto" w:fill="auto"/>
          </w:tcPr>
          <w:p w14:paraId="444C9EE6" w14:textId="77777777" w:rsidR="00A052DC" w:rsidRDefault="009F0A60">
            <w:pPr>
              <w:pStyle w:val="B"/>
              <w:rPr>
                <w:szCs w:val="20"/>
              </w:rPr>
            </w:pPr>
            <w:r>
              <w:rPr>
                <w:szCs w:val="20"/>
              </w:rPr>
              <w:t>Z01</w:t>
            </w:r>
            <w:r>
              <w:rPr>
                <w:rFonts w:hint="eastAsia"/>
                <w:szCs w:val="20"/>
              </w:rPr>
              <w:t>至</w:t>
            </w:r>
            <w:r>
              <w:rPr>
                <w:szCs w:val="20"/>
              </w:rPr>
              <w:t>X01</w:t>
            </w:r>
            <w:r>
              <w:rPr>
                <w:rFonts w:hint="eastAsia"/>
                <w:szCs w:val="20"/>
              </w:rPr>
              <w:t>各表表号，见对外金融资产负债及交易数据表号和表名代码表。</w:t>
            </w:r>
          </w:p>
        </w:tc>
      </w:tr>
      <w:tr w:rsidR="00A052DC" w14:paraId="298F031E" w14:textId="77777777">
        <w:trPr>
          <w:cantSplit/>
        </w:trPr>
        <w:tc>
          <w:tcPr>
            <w:tcW w:w="1597" w:type="dxa"/>
            <w:shd w:val="clear" w:color="auto" w:fill="auto"/>
          </w:tcPr>
          <w:p w14:paraId="14B5E8A4" w14:textId="77777777" w:rsidR="00A052DC" w:rsidRDefault="009F0A60">
            <w:pPr>
              <w:pStyle w:val="B"/>
              <w:rPr>
                <w:szCs w:val="20"/>
              </w:rPr>
            </w:pPr>
            <w:r>
              <w:rPr>
                <w:rFonts w:hint="eastAsia"/>
                <w:szCs w:val="20"/>
              </w:rPr>
              <w:t>表名</w:t>
            </w:r>
          </w:p>
        </w:tc>
        <w:tc>
          <w:tcPr>
            <w:tcW w:w="6925" w:type="dxa"/>
            <w:shd w:val="clear" w:color="auto" w:fill="auto"/>
          </w:tcPr>
          <w:p w14:paraId="21AA9E7E" w14:textId="77777777" w:rsidR="00A052DC" w:rsidRDefault="009F0A60">
            <w:pPr>
              <w:pStyle w:val="B"/>
              <w:rPr>
                <w:szCs w:val="20"/>
              </w:rPr>
            </w:pPr>
            <w:r>
              <w:rPr>
                <w:szCs w:val="20"/>
              </w:rPr>
              <w:t>Z01</w:t>
            </w:r>
            <w:r>
              <w:rPr>
                <w:rFonts w:hint="eastAsia"/>
                <w:szCs w:val="20"/>
              </w:rPr>
              <w:t>至</w:t>
            </w:r>
            <w:r>
              <w:rPr>
                <w:szCs w:val="20"/>
              </w:rPr>
              <w:t>X01</w:t>
            </w:r>
            <w:r>
              <w:rPr>
                <w:rFonts w:hint="eastAsia"/>
                <w:szCs w:val="20"/>
              </w:rPr>
              <w:t>各表表名，见对外金融资产负债及交易数据表号和表名代码表。</w:t>
            </w:r>
          </w:p>
        </w:tc>
      </w:tr>
      <w:tr w:rsidR="00A052DC" w14:paraId="4A4F094A" w14:textId="77777777">
        <w:trPr>
          <w:cantSplit/>
        </w:trPr>
        <w:tc>
          <w:tcPr>
            <w:tcW w:w="1597" w:type="dxa"/>
            <w:shd w:val="clear" w:color="auto" w:fill="auto"/>
          </w:tcPr>
          <w:p w14:paraId="6E776A57" w14:textId="77777777" w:rsidR="00A052DC" w:rsidRDefault="009F0A60">
            <w:pPr>
              <w:pStyle w:val="B"/>
              <w:rPr>
                <w:szCs w:val="20"/>
              </w:rPr>
            </w:pPr>
            <w:r>
              <w:rPr>
                <w:rFonts w:hint="eastAsia"/>
                <w:szCs w:val="20"/>
              </w:rPr>
              <w:t>申报主体是否有相关业务</w:t>
            </w:r>
          </w:p>
        </w:tc>
        <w:tc>
          <w:tcPr>
            <w:tcW w:w="6925" w:type="dxa"/>
            <w:shd w:val="clear" w:color="auto" w:fill="auto"/>
          </w:tcPr>
          <w:p w14:paraId="763780A4" w14:textId="77777777" w:rsidR="00A052DC" w:rsidRDefault="009F0A60">
            <w:pPr>
              <w:pStyle w:val="B"/>
              <w:rPr>
                <w:szCs w:val="20"/>
              </w:rPr>
            </w:pPr>
            <w:r>
              <w:rPr>
                <w:szCs w:val="20"/>
              </w:rPr>
              <w:t>1-</w:t>
            </w:r>
            <w:r>
              <w:rPr>
                <w:rFonts w:hint="eastAsia"/>
                <w:szCs w:val="20"/>
              </w:rPr>
              <w:t>有，</w:t>
            </w:r>
            <w:r>
              <w:rPr>
                <w:szCs w:val="20"/>
              </w:rPr>
              <w:t>0-</w:t>
            </w:r>
            <w:r>
              <w:rPr>
                <w:rFonts w:hint="eastAsia"/>
                <w:szCs w:val="20"/>
              </w:rPr>
              <w:t>无。选择</w:t>
            </w:r>
            <w:r>
              <w:rPr>
                <w:szCs w:val="20"/>
              </w:rPr>
              <w:t>1</w:t>
            </w:r>
            <w:r>
              <w:rPr>
                <w:rFonts w:hint="eastAsia"/>
                <w:szCs w:val="20"/>
              </w:rPr>
              <w:t>的应填报相关数据报送负责人或联系人所属业务部门、姓名和联系电话信息。</w:t>
            </w:r>
          </w:p>
        </w:tc>
      </w:tr>
      <w:tr w:rsidR="00A052DC" w14:paraId="5F8F6C02" w14:textId="77777777">
        <w:trPr>
          <w:cantSplit/>
        </w:trPr>
        <w:tc>
          <w:tcPr>
            <w:tcW w:w="1597" w:type="dxa"/>
            <w:shd w:val="clear" w:color="auto" w:fill="auto"/>
          </w:tcPr>
          <w:p w14:paraId="55244382" w14:textId="77777777" w:rsidR="00A052DC" w:rsidRDefault="009F0A60">
            <w:pPr>
              <w:pStyle w:val="B"/>
              <w:rPr>
                <w:szCs w:val="20"/>
              </w:rPr>
            </w:pPr>
            <w:r>
              <w:rPr>
                <w:rFonts w:hint="eastAsia"/>
                <w:szCs w:val="20"/>
              </w:rPr>
              <w:t>填报部门</w:t>
            </w:r>
          </w:p>
        </w:tc>
        <w:tc>
          <w:tcPr>
            <w:tcW w:w="6925" w:type="dxa"/>
            <w:shd w:val="clear" w:color="auto" w:fill="auto"/>
          </w:tcPr>
          <w:p w14:paraId="6B3EB415" w14:textId="77777777" w:rsidR="00A052DC" w:rsidRDefault="009F0A60">
            <w:pPr>
              <w:pStyle w:val="B"/>
              <w:rPr>
                <w:szCs w:val="20"/>
              </w:rPr>
            </w:pPr>
            <w:r>
              <w:rPr>
                <w:rFonts w:hint="eastAsia"/>
                <w:szCs w:val="20"/>
              </w:rPr>
              <w:t>指负责相关报表填报的负责人或填表人所属部门。如为多个部门报送，应选择主要部门填报。如申报主体为个人，则填写本人或代填信息的机构部门名称。</w:t>
            </w:r>
          </w:p>
        </w:tc>
      </w:tr>
      <w:tr w:rsidR="00A052DC" w14:paraId="3BDA0DF3" w14:textId="77777777">
        <w:trPr>
          <w:cantSplit/>
        </w:trPr>
        <w:tc>
          <w:tcPr>
            <w:tcW w:w="1597" w:type="dxa"/>
            <w:shd w:val="clear" w:color="auto" w:fill="auto"/>
          </w:tcPr>
          <w:p w14:paraId="1C2F759A" w14:textId="77777777" w:rsidR="00A052DC" w:rsidRDefault="009F0A60">
            <w:pPr>
              <w:pStyle w:val="B"/>
              <w:rPr>
                <w:szCs w:val="20"/>
              </w:rPr>
            </w:pPr>
            <w:r>
              <w:rPr>
                <w:rFonts w:hint="eastAsia"/>
                <w:szCs w:val="20"/>
              </w:rPr>
              <w:t>统计负责人</w:t>
            </w:r>
          </w:p>
        </w:tc>
        <w:tc>
          <w:tcPr>
            <w:tcW w:w="6925" w:type="dxa"/>
            <w:shd w:val="clear" w:color="auto" w:fill="auto"/>
          </w:tcPr>
          <w:p w14:paraId="63BF457F" w14:textId="77777777" w:rsidR="00A052DC" w:rsidRDefault="009F0A60">
            <w:pPr>
              <w:pStyle w:val="B"/>
              <w:rPr>
                <w:szCs w:val="20"/>
              </w:rPr>
            </w:pPr>
            <w:r>
              <w:rPr>
                <w:rFonts w:hint="eastAsia"/>
                <w:szCs w:val="20"/>
              </w:rPr>
              <w:t>负责相关报表数据报送的统计负责人姓名。</w:t>
            </w:r>
          </w:p>
        </w:tc>
      </w:tr>
      <w:tr w:rsidR="00A052DC" w14:paraId="66A1137A" w14:textId="77777777">
        <w:trPr>
          <w:cantSplit/>
        </w:trPr>
        <w:tc>
          <w:tcPr>
            <w:tcW w:w="1597" w:type="dxa"/>
            <w:shd w:val="clear" w:color="auto" w:fill="auto"/>
          </w:tcPr>
          <w:p w14:paraId="375603F0" w14:textId="77777777" w:rsidR="00A052DC" w:rsidRDefault="009F0A60">
            <w:pPr>
              <w:pStyle w:val="B"/>
              <w:rPr>
                <w:szCs w:val="20"/>
              </w:rPr>
            </w:pPr>
            <w:r>
              <w:rPr>
                <w:rFonts w:hint="eastAsia"/>
                <w:szCs w:val="20"/>
              </w:rPr>
              <w:t>统计负责人电话</w:t>
            </w:r>
          </w:p>
        </w:tc>
        <w:tc>
          <w:tcPr>
            <w:tcW w:w="6925" w:type="dxa"/>
            <w:shd w:val="clear" w:color="auto" w:fill="auto"/>
          </w:tcPr>
          <w:p w14:paraId="79E1CDCC" w14:textId="77777777" w:rsidR="00A052DC" w:rsidRDefault="009F0A60">
            <w:pPr>
              <w:pStyle w:val="B"/>
              <w:rPr>
                <w:szCs w:val="20"/>
              </w:rPr>
            </w:pPr>
            <w:r>
              <w:rPr>
                <w:rFonts w:hint="eastAsia"/>
                <w:szCs w:val="20"/>
              </w:rPr>
              <w:t>相关统计负责人的电话。</w:t>
            </w:r>
          </w:p>
        </w:tc>
      </w:tr>
      <w:tr w:rsidR="00A052DC" w14:paraId="22971A44" w14:textId="77777777">
        <w:trPr>
          <w:cantSplit/>
        </w:trPr>
        <w:tc>
          <w:tcPr>
            <w:tcW w:w="1597" w:type="dxa"/>
            <w:shd w:val="clear" w:color="auto" w:fill="auto"/>
          </w:tcPr>
          <w:p w14:paraId="4C751FA3" w14:textId="77777777" w:rsidR="00A052DC" w:rsidRDefault="009F0A60">
            <w:pPr>
              <w:pStyle w:val="B"/>
              <w:rPr>
                <w:szCs w:val="20"/>
              </w:rPr>
            </w:pPr>
            <w:r>
              <w:rPr>
                <w:rFonts w:hint="eastAsia"/>
                <w:szCs w:val="20"/>
              </w:rPr>
              <w:t>填表人</w:t>
            </w:r>
          </w:p>
        </w:tc>
        <w:tc>
          <w:tcPr>
            <w:tcW w:w="6925" w:type="dxa"/>
            <w:shd w:val="clear" w:color="auto" w:fill="auto"/>
          </w:tcPr>
          <w:p w14:paraId="444B94C5" w14:textId="77777777" w:rsidR="00A052DC" w:rsidRDefault="009F0A60">
            <w:pPr>
              <w:pStyle w:val="B"/>
              <w:rPr>
                <w:szCs w:val="20"/>
              </w:rPr>
            </w:pPr>
            <w:r>
              <w:rPr>
                <w:rFonts w:hint="eastAsia"/>
                <w:szCs w:val="20"/>
              </w:rPr>
              <w:t>负责相关报表数据报送人员的姓名。</w:t>
            </w:r>
          </w:p>
        </w:tc>
      </w:tr>
      <w:tr w:rsidR="00A052DC" w14:paraId="1323F3E6" w14:textId="77777777">
        <w:trPr>
          <w:cantSplit/>
        </w:trPr>
        <w:tc>
          <w:tcPr>
            <w:tcW w:w="1597" w:type="dxa"/>
            <w:shd w:val="clear" w:color="auto" w:fill="auto"/>
          </w:tcPr>
          <w:p w14:paraId="19D76E3C" w14:textId="77777777" w:rsidR="00A052DC" w:rsidRDefault="009F0A60">
            <w:pPr>
              <w:pStyle w:val="B"/>
              <w:rPr>
                <w:szCs w:val="20"/>
              </w:rPr>
            </w:pPr>
            <w:r>
              <w:rPr>
                <w:rFonts w:hint="eastAsia"/>
                <w:szCs w:val="20"/>
              </w:rPr>
              <w:t>填表人电话及电子邮箱</w:t>
            </w:r>
          </w:p>
        </w:tc>
        <w:tc>
          <w:tcPr>
            <w:tcW w:w="6925" w:type="dxa"/>
            <w:shd w:val="clear" w:color="auto" w:fill="auto"/>
          </w:tcPr>
          <w:p w14:paraId="78ACAADE" w14:textId="77777777" w:rsidR="00A052DC" w:rsidRDefault="009F0A60">
            <w:pPr>
              <w:pStyle w:val="B"/>
              <w:rPr>
                <w:szCs w:val="20"/>
              </w:rPr>
            </w:pPr>
            <w:r>
              <w:rPr>
                <w:rFonts w:hint="eastAsia"/>
                <w:szCs w:val="20"/>
              </w:rPr>
              <w:t>相关填表人员联系电话及常用电子邮箱地址。</w:t>
            </w:r>
          </w:p>
        </w:tc>
      </w:tr>
      <w:tr w:rsidR="00A052DC" w14:paraId="530B3E57" w14:textId="77777777">
        <w:trPr>
          <w:cantSplit/>
        </w:trPr>
        <w:tc>
          <w:tcPr>
            <w:tcW w:w="1597" w:type="dxa"/>
            <w:shd w:val="clear" w:color="auto" w:fill="auto"/>
          </w:tcPr>
          <w:p w14:paraId="65506BBC" w14:textId="77777777" w:rsidR="00A052DC" w:rsidRDefault="009F0A60">
            <w:pPr>
              <w:pStyle w:val="B"/>
              <w:rPr>
                <w:szCs w:val="20"/>
              </w:rPr>
            </w:pPr>
            <w:r>
              <w:rPr>
                <w:rFonts w:hint="eastAsia"/>
                <w:szCs w:val="20"/>
              </w:rPr>
              <w:t>备注</w:t>
            </w:r>
          </w:p>
        </w:tc>
        <w:tc>
          <w:tcPr>
            <w:tcW w:w="6925" w:type="dxa"/>
            <w:shd w:val="clear" w:color="auto" w:fill="auto"/>
          </w:tcPr>
          <w:p w14:paraId="5941F971" w14:textId="77777777" w:rsidR="00A052DC" w:rsidRDefault="009F0A60">
            <w:pPr>
              <w:pStyle w:val="B"/>
              <w:rPr>
                <w:szCs w:val="20"/>
              </w:rPr>
            </w:pPr>
            <w:r>
              <w:rPr>
                <w:rFonts w:hint="eastAsia"/>
                <w:szCs w:val="20"/>
              </w:rPr>
              <w:t>需要说明的备注事项。</w:t>
            </w:r>
          </w:p>
        </w:tc>
      </w:tr>
    </w:tbl>
    <w:p w14:paraId="716364B9" w14:textId="77777777" w:rsidR="00A052DC" w:rsidRDefault="00A052DC"/>
    <w:p w14:paraId="0D1BF43D" w14:textId="77777777" w:rsidR="00A052DC" w:rsidRDefault="009F0A60" w:rsidP="0020251D">
      <w:pPr>
        <w:pStyle w:val="4"/>
        <w:numPr>
          <w:ilvl w:val="3"/>
          <w:numId w:val="1"/>
        </w:numPr>
        <w:jc w:val="left"/>
      </w:pPr>
      <w:bookmarkStart w:id="2958" w:name="_Toc454391216"/>
      <w:bookmarkStart w:id="2959" w:name="_Toc380570897"/>
      <w:bookmarkStart w:id="2960" w:name="_Toc454391217"/>
      <w:bookmarkEnd w:id="2958"/>
      <w:r>
        <w:rPr>
          <w:rFonts w:hint="eastAsia"/>
        </w:rPr>
        <w:t>数据格式</w:t>
      </w:r>
      <w:bookmarkEnd w:id="2959"/>
      <w:bookmarkEnd w:id="2960"/>
    </w:p>
    <w:p w14:paraId="04757259" w14:textId="77777777" w:rsidR="00A052DC" w:rsidRDefault="009F0A60">
      <w:pPr>
        <w:ind w:leftChars="300" w:left="630"/>
      </w:pPr>
      <w:r>
        <w:t>&lt;REC&gt;</w:t>
      </w:r>
    </w:p>
    <w:p w14:paraId="28B07DED" w14:textId="77777777" w:rsidR="00A052DC" w:rsidRDefault="009F0A60">
      <w:pPr>
        <w:ind w:leftChars="300" w:left="630"/>
      </w:pPr>
      <w:r>
        <w:t>&lt;ACTIONTYPE&gt;</w:t>
      </w:r>
      <w:r>
        <w:rPr>
          <w:rFonts w:hint="eastAsia"/>
        </w:rPr>
        <w:t>操作类型</w:t>
      </w:r>
      <w:r>
        <w:t>&lt;/ACTIONTYPE&gt;</w:t>
      </w:r>
    </w:p>
    <w:p w14:paraId="15DBAC6A" w14:textId="77777777" w:rsidR="00A052DC" w:rsidRDefault="009F0A60">
      <w:pPr>
        <w:ind w:leftChars="300" w:left="630"/>
      </w:pPr>
      <w:r>
        <w:t>&lt;ACTIONDESC&gt;</w:t>
      </w:r>
      <w:r>
        <w:rPr>
          <w:rFonts w:hint="eastAsia"/>
        </w:rPr>
        <w:t>删除原因</w:t>
      </w:r>
      <w:r>
        <w:t>&lt;/ACTIONDESC&gt;</w:t>
      </w:r>
    </w:p>
    <w:p w14:paraId="277224A4" w14:textId="77777777" w:rsidR="00A052DC" w:rsidRDefault="009F0A60">
      <w:pPr>
        <w:ind w:leftChars="300" w:left="630"/>
      </w:pPr>
      <w:r>
        <w:t>&lt;SNOCODE&gt;</w:t>
      </w:r>
      <w:r>
        <w:rPr>
          <w:rFonts w:hint="eastAsia"/>
        </w:rPr>
        <w:t>数据自编码</w:t>
      </w:r>
      <w:r>
        <w:t>&lt;/SNOCODE&gt;</w:t>
      </w:r>
    </w:p>
    <w:p w14:paraId="60F48204" w14:textId="77777777" w:rsidR="00A052DC" w:rsidRDefault="009F0A60">
      <w:pPr>
        <w:ind w:leftChars="300" w:left="630"/>
      </w:pPr>
      <w:r>
        <w:t>&lt;OBJCODE&gt;</w:t>
      </w:r>
      <w:r>
        <w:rPr>
          <w:rFonts w:hint="eastAsia"/>
        </w:rPr>
        <w:t>申报主体代码</w:t>
      </w:r>
      <w:r>
        <w:t>&lt;/OBJCODE&gt;</w:t>
      </w:r>
    </w:p>
    <w:p w14:paraId="1F2CB683" w14:textId="77777777" w:rsidR="00A052DC" w:rsidRDefault="009F0A60">
      <w:pPr>
        <w:ind w:leftChars="300" w:left="630"/>
      </w:pPr>
      <w:r>
        <w:t>&lt;BUOCMONTH&gt;</w:t>
      </w:r>
      <w:r>
        <w:rPr>
          <w:rFonts w:hint="eastAsia"/>
        </w:rPr>
        <w:t>报告期</w:t>
      </w:r>
      <w:r>
        <w:t>&lt;/BUOCMONTH&gt;</w:t>
      </w:r>
    </w:p>
    <w:p w14:paraId="11627804" w14:textId="77777777" w:rsidR="00A052DC" w:rsidRDefault="009F0A60">
      <w:pPr>
        <w:ind w:leftChars="300" w:left="630"/>
      </w:pPr>
      <w:r>
        <w:t>&lt;TABLECODE&gt;</w:t>
      </w:r>
      <w:r>
        <w:rPr>
          <w:rFonts w:hint="eastAsia"/>
        </w:rPr>
        <w:t>表号</w:t>
      </w:r>
      <w:r>
        <w:t>&lt;/TABLECODE&gt;</w:t>
      </w:r>
    </w:p>
    <w:p w14:paraId="09A2DC51" w14:textId="77777777" w:rsidR="00A052DC" w:rsidRDefault="009F0A60">
      <w:pPr>
        <w:ind w:leftChars="300" w:left="630"/>
      </w:pPr>
      <w:r>
        <w:t>&lt;TABLENAME&gt;</w:t>
      </w:r>
      <w:r>
        <w:rPr>
          <w:rFonts w:hint="eastAsia"/>
        </w:rPr>
        <w:t>表名</w:t>
      </w:r>
      <w:r>
        <w:t>&lt;/TABLENAME&gt;</w:t>
      </w:r>
    </w:p>
    <w:p w14:paraId="47EABF01" w14:textId="77777777" w:rsidR="00A052DC" w:rsidRDefault="009F0A60">
      <w:pPr>
        <w:ind w:leftChars="300" w:left="630"/>
      </w:pPr>
      <w:r>
        <w:t>&lt;Z0201&gt;</w:t>
      </w:r>
      <w:r>
        <w:rPr>
          <w:rFonts w:hint="eastAsia"/>
        </w:rPr>
        <w:t>申报主体是否有相关业务</w:t>
      </w:r>
      <w:r>
        <w:t>&lt;/Z0201&gt;</w:t>
      </w:r>
    </w:p>
    <w:p w14:paraId="13AE7051" w14:textId="77777777" w:rsidR="00A052DC" w:rsidRDefault="009F0A60">
      <w:pPr>
        <w:ind w:leftChars="300" w:left="630"/>
      </w:pPr>
      <w:r>
        <w:t>&lt;Z0202&gt;</w:t>
      </w:r>
      <w:r>
        <w:rPr>
          <w:rFonts w:hint="eastAsia"/>
        </w:rPr>
        <w:t>填报部门</w:t>
      </w:r>
      <w:r>
        <w:t>&lt;/Z0202&gt;</w:t>
      </w:r>
    </w:p>
    <w:p w14:paraId="26179CEF" w14:textId="77777777" w:rsidR="00A052DC" w:rsidRDefault="009F0A60">
      <w:pPr>
        <w:ind w:leftChars="300" w:left="630"/>
      </w:pPr>
      <w:r>
        <w:t>&lt;Z0203&gt;</w:t>
      </w:r>
      <w:r>
        <w:rPr>
          <w:rFonts w:hint="eastAsia"/>
        </w:rPr>
        <w:t>统计负责人</w:t>
      </w:r>
      <w:r>
        <w:t>&lt;/Z0203&gt;</w:t>
      </w:r>
    </w:p>
    <w:p w14:paraId="72EC3791" w14:textId="77777777" w:rsidR="00A052DC" w:rsidRDefault="009F0A60">
      <w:pPr>
        <w:ind w:leftChars="300" w:left="630"/>
      </w:pPr>
      <w:r>
        <w:t>&lt;Z0204&gt;</w:t>
      </w:r>
      <w:r>
        <w:rPr>
          <w:rFonts w:hint="eastAsia"/>
        </w:rPr>
        <w:t>统计负责人电话</w:t>
      </w:r>
      <w:r>
        <w:t>&lt;/Z0204&gt;</w:t>
      </w:r>
    </w:p>
    <w:p w14:paraId="6B1C9F19" w14:textId="77777777" w:rsidR="00A052DC" w:rsidRDefault="009F0A60">
      <w:pPr>
        <w:ind w:leftChars="300" w:left="630"/>
      </w:pPr>
      <w:r>
        <w:t>&lt;Z0205&gt;</w:t>
      </w:r>
      <w:r>
        <w:rPr>
          <w:rFonts w:hint="eastAsia"/>
        </w:rPr>
        <w:t>填表人</w:t>
      </w:r>
      <w:r>
        <w:t>&lt;/Z0205&gt;</w:t>
      </w:r>
    </w:p>
    <w:p w14:paraId="441071CD" w14:textId="77777777" w:rsidR="00A052DC" w:rsidRDefault="009F0A60">
      <w:pPr>
        <w:ind w:leftChars="300" w:left="630"/>
      </w:pPr>
      <w:r>
        <w:t>&lt;Z0206&gt;</w:t>
      </w:r>
      <w:r>
        <w:rPr>
          <w:rFonts w:hint="eastAsia"/>
        </w:rPr>
        <w:t>填表人电话及电子邮箱</w:t>
      </w:r>
      <w:r>
        <w:t>&lt;/Z0206&gt;</w:t>
      </w:r>
    </w:p>
    <w:p w14:paraId="45EA98B8" w14:textId="77777777" w:rsidR="00A052DC" w:rsidRDefault="009F0A60">
      <w:pPr>
        <w:ind w:leftChars="300" w:left="630"/>
      </w:pPr>
      <w:r>
        <w:t>&lt;REMARK&gt;</w:t>
      </w:r>
      <w:r>
        <w:rPr>
          <w:rFonts w:hint="eastAsia"/>
        </w:rPr>
        <w:t>备注</w:t>
      </w:r>
      <w:r>
        <w:t>&lt;/REMARK&gt;</w:t>
      </w:r>
    </w:p>
    <w:p w14:paraId="53F19D1D" w14:textId="77777777" w:rsidR="00A052DC" w:rsidRDefault="009F0A60">
      <w:pPr>
        <w:ind w:leftChars="300" w:left="630"/>
      </w:pPr>
      <w:r>
        <w:t>&lt;/REC&gt;</w:t>
      </w:r>
    </w:p>
    <w:p w14:paraId="77254C4E" w14:textId="77777777" w:rsidR="00A052DC" w:rsidRDefault="009F0A60" w:rsidP="0020251D">
      <w:pPr>
        <w:pStyle w:val="4"/>
        <w:numPr>
          <w:ilvl w:val="3"/>
          <w:numId w:val="1"/>
        </w:numPr>
        <w:jc w:val="left"/>
      </w:pPr>
      <w:bookmarkStart w:id="2961" w:name="_Toc454391219"/>
      <w:bookmarkStart w:id="2962" w:name="_Toc454391218"/>
      <w:bookmarkStart w:id="2963" w:name="_Toc454391220"/>
      <w:bookmarkStart w:id="2964" w:name="_Toc380570898"/>
      <w:bookmarkEnd w:id="2961"/>
      <w:bookmarkEnd w:id="2962"/>
      <w:r>
        <w:rPr>
          <w:rFonts w:hint="eastAsia"/>
        </w:rPr>
        <w:t>数据字典</w:t>
      </w:r>
      <w:bookmarkEnd w:id="2963"/>
      <w:bookmarkEnd w:id="296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7"/>
        <w:gridCol w:w="1461"/>
        <w:gridCol w:w="1335"/>
        <w:gridCol w:w="4329"/>
      </w:tblGrid>
      <w:tr w:rsidR="00A052DC" w14:paraId="163BE7A1" w14:textId="77777777">
        <w:trPr>
          <w:tblHeader/>
        </w:trPr>
        <w:tc>
          <w:tcPr>
            <w:tcW w:w="1347" w:type="dxa"/>
            <w:shd w:val="clear" w:color="auto" w:fill="C0C0C0"/>
          </w:tcPr>
          <w:p w14:paraId="6CED4651" w14:textId="77777777" w:rsidR="00A052DC" w:rsidRDefault="009F0A60">
            <w:pPr>
              <w:pStyle w:val="B1"/>
            </w:pPr>
            <w:r>
              <w:rPr>
                <w:rFonts w:hint="eastAsia"/>
              </w:rPr>
              <w:t>字段</w:t>
            </w:r>
          </w:p>
        </w:tc>
        <w:tc>
          <w:tcPr>
            <w:tcW w:w="1461" w:type="dxa"/>
            <w:shd w:val="clear" w:color="auto" w:fill="C0C0C0"/>
          </w:tcPr>
          <w:p w14:paraId="65AF8689" w14:textId="77777777" w:rsidR="00A052DC" w:rsidRDefault="009F0A60">
            <w:pPr>
              <w:pStyle w:val="B1"/>
            </w:pPr>
            <w:r>
              <w:rPr>
                <w:rFonts w:hint="eastAsia"/>
              </w:rPr>
              <w:t>内容</w:t>
            </w:r>
          </w:p>
        </w:tc>
        <w:tc>
          <w:tcPr>
            <w:tcW w:w="1335" w:type="dxa"/>
            <w:shd w:val="clear" w:color="auto" w:fill="C0C0C0"/>
          </w:tcPr>
          <w:p w14:paraId="19C93261" w14:textId="77777777" w:rsidR="00A052DC" w:rsidRDefault="009F0A60">
            <w:pPr>
              <w:pStyle w:val="B1"/>
            </w:pPr>
            <w:r>
              <w:rPr>
                <w:rFonts w:hint="eastAsia"/>
              </w:rPr>
              <w:t>类型（长度）</w:t>
            </w:r>
          </w:p>
        </w:tc>
        <w:tc>
          <w:tcPr>
            <w:tcW w:w="4329" w:type="dxa"/>
            <w:shd w:val="clear" w:color="auto" w:fill="C0C0C0"/>
          </w:tcPr>
          <w:p w14:paraId="569E6956" w14:textId="77777777" w:rsidR="00A052DC" w:rsidRDefault="009F0A60">
            <w:pPr>
              <w:pStyle w:val="B1"/>
            </w:pPr>
            <w:r>
              <w:rPr>
                <w:rFonts w:hint="eastAsia"/>
              </w:rPr>
              <w:t>校验</w:t>
            </w:r>
          </w:p>
        </w:tc>
      </w:tr>
      <w:tr w:rsidR="00A052DC" w14:paraId="2CDEC769" w14:textId="77777777">
        <w:tc>
          <w:tcPr>
            <w:tcW w:w="1347" w:type="dxa"/>
            <w:shd w:val="clear" w:color="auto" w:fill="auto"/>
          </w:tcPr>
          <w:p w14:paraId="1331C7BC" w14:textId="77777777" w:rsidR="00A052DC" w:rsidRDefault="009F0A60">
            <w:pPr>
              <w:pStyle w:val="B"/>
              <w:rPr>
                <w:szCs w:val="20"/>
              </w:rPr>
            </w:pPr>
            <w:r>
              <w:rPr>
                <w:szCs w:val="20"/>
              </w:rPr>
              <w:t>ACTIONTYPE</w:t>
            </w:r>
          </w:p>
        </w:tc>
        <w:tc>
          <w:tcPr>
            <w:tcW w:w="1461" w:type="dxa"/>
            <w:shd w:val="clear" w:color="auto" w:fill="auto"/>
          </w:tcPr>
          <w:p w14:paraId="77C82C45" w14:textId="77777777" w:rsidR="00A052DC" w:rsidRDefault="009F0A60">
            <w:pPr>
              <w:pStyle w:val="B"/>
              <w:rPr>
                <w:szCs w:val="20"/>
              </w:rPr>
            </w:pPr>
            <w:r>
              <w:rPr>
                <w:rFonts w:hint="eastAsia"/>
                <w:szCs w:val="20"/>
              </w:rPr>
              <w:t>操作类型</w:t>
            </w:r>
          </w:p>
        </w:tc>
        <w:tc>
          <w:tcPr>
            <w:tcW w:w="1335" w:type="dxa"/>
            <w:shd w:val="clear" w:color="auto" w:fill="auto"/>
          </w:tcPr>
          <w:p w14:paraId="55573D04" w14:textId="77777777" w:rsidR="00A052DC" w:rsidRDefault="009F0A60">
            <w:pPr>
              <w:pStyle w:val="B"/>
              <w:rPr>
                <w:szCs w:val="20"/>
              </w:rPr>
            </w:pPr>
            <w:r>
              <w:rPr>
                <w:rFonts w:hint="eastAsia"/>
                <w:szCs w:val="20"/>
              </w:rPr>
              <w:t>字符型，</w:t>
            </w:r>
            <w:r>
              <w:rPr>
                <w:szCs w:val="20"/>
              </w:rPr>
              <w:t>1</w:t>
            </w:r>
          </w:p>
        </w:tc>
        <w:tc>
          <w:tcPr>
            <w:tcW w:w="4329" w:type="dxa"/>
          </w:tcPr>
          <w:p w14:paraId="0ECC964D" w14:textId="77777777" w:rsidR="00A052DC" w:rsidRDefault="009F0A60">
            <w:pPr>
              <w:pStyle w:val="B"/>
              <w:rPr>
                <w:szCs w:val="20"/>
              </w:rPr>
            </w:pPr>
            <w:r>
              <w:rPr>
                <w:rFonts w:hint="eastAsia"/>
                <w:szCs w:val="20"/>
              </w:rPr>
              <w:t>必填项</w:t>
            </w:r>
            <w:r w:rsidR="00FE361F">
              <w:rPr>
                <w:rFonts w:hint="eastAsia"/>
                <w:szCs w:val="20"/>
              </w:rPr>
              <w:t>。</w:t>
            </w:r>
          </w:p>
          <w:p w14:paraId="59AEC543" w14:textId="77777777" w:rsidR="00A052DC" w:rsidRDefault="009F0A60">
            <w:pPr>
              <w:pStyle w:val="B"/>
              <w:rPr>
                <w:szCs w:val="20"/>
              </w:rPr>
            </w:pPr>
            <w:r>
              <w:rPr>
                <w:szCs w:val="20"/>
              </w:rPr>
              <w:t>A</w:t>
            </w:r>
            <w:r w:rsidR="00AE4602">
              <w:rPr>
                <w:rFonts w:hint="eastAsia"/>
                <w:szCs w:val="20"/>
              </w:rPr>
              <w:t>-</w:t>
            </w:r>
            <w:r>
              <w:rPr>
                <w:rFonts w:hint="eastAsia"/>
                <w:szCs w:val="20"/>
              </w:rPr>
              <w:t>新建</w:t>
            </w:r>
          </w:p>
          <w:p w14:paraId="20D28B82" w14:textId="77777777" w:rsidR="00A052DC" w:rsidRDefault="009F0A60">
            <w:pPr>
              <w:pStyle w:val="B"/>
              <w:rPr>
                <w:szCs w:val="20"/>
              </w:rPr>
            </w:pPr>
            <w:r>
              <w:rPr>
                <w:szCs w:val="20"/>
              </w:rPr>
              <w:t>C</w:t>
            </w:r>
            <w:r w:rsidR="00AE4602">
              <w:rPr>
                <w:rFonts w:hint="eastAsia"/>
                <w:szCs w:val="20"/>
              </w:rPr>
              <w:t>-</w:t>
            </w:r>
            <w:r>
              <w:rPr>
                <w:rFonts w:hint="eastAsia"/>
                <w:szCs w:val="20"/>
              </w:rPr>
              <w:t>修改</w:t>
            </w:r>
          </w:p>
          <w:p w14:paraId="483ED0D8" w14:textId="77777777" w:rsidR="00A052DC" w:rsidRDefault="009F0A60">
            <w:pPr>
              <w:pStyle w:val="B"/>
              <w:rPr>
                <w:szCs w:val="20"/>
              </w:rPr>
            </w:pPr>
            <w:r>
              <w:rPr>
                <w:szCs w:val="20"/>
              </w:rPr>
              <w:t>D</w:t>
            </w:r>
            <w:r w:rsidR="00AE4602">
              <w:rPr>
                <w:rFonts w:hint="eastAsia"/>
                <w:szCs w:val="20"/>
              </w:rPr>
              <w:t>-</w:t>
            </w:r>
            <w:r>
              <w:rPr>
                <w:rFonts w:hint="eastAsia"/>
                <w:szCs w:val="20"/>
              </w:rPr>
              <w:t>删除</w:t>
            </w:r>
          </w:p>
        </w:tc>
      </w:tr>
      <w:tr w:rsidR="00A052DC" w14:paraId="40E2B128" w14:textId="77777777">
        <w:tc>
          <w:tcPr>
            <w:tcW w:w="1347" w:type="dxa"/>
            <w:shd w:val="clear" w:color="auto" w:fill="auto"/>
          </w:tcPr>
          <w:p w14:paraId="7994D1EB" w14:textId="77777777" w:rsidR="00A052DC" w:rsidRDefault="009F0A60">
            <w:pPr>
              <w:pStyle w:val="B"/>
              <w:rPr>
                <w:szCs w:val="20"/>
              </w:rPr>
            </w:pPr>
            <w:r>
              <w:rPr>
                <w:szCs w:val="20"/>
              </w:rPr>
              <w:t>ACTIONDESC</w:t>
            </w:r>
          </w:p>
        </w:tc>
        <w:tc>
          <w:tcPr>
            <w:tcW w:w="1461" w:type="dxa"/>
            <w:shd w:val="clear" w:color="auto" w:fill="auto"/>
          </w:tcPr>
          <w:p w14:paraId="5D462F36" w14:textId="77777777" w:rsidR="00A052DC" w:rsidRDefault="009F0A60">
            <w:pPr>
              <w:pStyle w:val="B"/>
              <w:rPr>
                <w:szCs w:val="20"/>
              </w:rPr>
            </w:pPr>
            <w:r>
              <w:rPr>
                <w:rFonts w:hint="eastAsia"/>
                <w:szCs w:val="20"/>
              </w:rPr>
              <w:t>删除原因</w:t>
            </w:r>
          </w:p>
        </w:tc>
        <w:tc>
          <w:tcPr>
            <w:tcW w:w="1335" w:type="dxa"/>
            <w:shd w:val="clear" w:color="auto" w:fill="auto"/>
          </w:tcPr>
          <w:p w14:paraId="688E1AC8" w14:textId="77777777" w:rsidR="00A052DC" w:rsidRDefault="009F0A60">
            <w:pPr>
              <w:pStyle w:val="B"/>
              <w:rPr>
                <w:szCs w:val="20"/>
              </w:rPr>
            </w:pPr>
            <w:r>
              <w:rPr>
                <w:rFonts w:hint="eastAsia"/>
                <w:szCs w:val="20"/>
              </w:rPr>
              <w:t>字符型，</w:t>
            </w:r>
            <w:r>
              <w:rPr>
                <w:szCs w:val="20"/>
              </w:rPr>
              <w:t>128</w:t>
            </w:r>
          </w:p>
        </w:tc>
        <w:tc>
          <w:tcPr>
            <w:tcW w:w="4329" w:type="dxa"/>
          </w:tcPr>
          <w:p w14:paraId="2EA667A3" w14:textId="77777777" w:rsidR="00A052DC" w:rsidRDefault="00DD6AA3">
            <w:pPr>
              <w:pStyle w:val="B"/>
              <w:rPr>
                <w:szCs w:val="20"/>
              </w:rPr>
            </w:pPr>
            <w:r>
              <w:rPr>
                <w:rFonts w:hint="eastAsia"/>
                <w:szCs w:val="20"/>
              </w:rPr>
              <w:t>非必填项，当操作类型（ACTIONTYPE）为删除时必填。</w:t>
            </w:r>
          </w:p>
        </w:tc>
      </w:tr>
      <w:tr w:rsidR="00A052DC" w14:paraId="18B5F12A" w14:textId="77777777">
        <w:tc>
          <w:tcPr>
            <w:tcW w:w="1347" w:type="dxa"/>
            <w:shd w:val="clear" w:color="auto" w:fill="auto"/>
          </w:tcPr>
          <w:p w14:paraId="53B3164F" w14:textId="77777777" w:rsidR="00A052DC" w:rsidRDefault="009F0A60">
            <w:pPr>
              <w:pStyle w:val="B"/>
              <w:rPr>
                <w:szCs w:val="20"/>
              </w:rPr>
            </w:pPr>
            <w:r>
              <w:rPr>
                <w:szCs w:val="20"/>
              </w:rPr>
              <w:t>SNOCODE</w:t>
            </w:r>
          </w:p>
        </w:tc>
        <w:tc>
          <w:tcPr>
            <w:tcW w:w="1461" w:type="dxa"/>
            <w:shd w:val="clear" w:color="auto" w:fill="auto"/>
          </w:tcPr>
          <w:p w14:paraId="186BB92E" w14:textId="77777777" w:rsidR="00A052DC" w:rsidRDefault="009F0A60">
            <w:pPr>
              <w:pStyle w:val="B"/>
              <w:rPr>
                <w:szCs w:val="20"/>
              </w:rPr>
            </w:pPr>
            <w:r>
              <w:rPr>
                <w:rFonts w:hint="eastAsia"/>
                <w:szCs w:val="20"/>
              </w:rPr>
              <w:t>数据自编码</w:t>
            </w:r>
          </w:p>
        </w:tc>
        <w:tc>
          <w:tcPr>
            <w:tcW w:w="1335" w:type="dxa"/>
            <w:shd w:val="clear" w:color="auto" w:fill="auto"/>
          </w:tcPr>
          <w:p w14:paraId="77ABE370" w14:textId="77777777" w:rsidR="00A052DC" w:rsidRDefault="009F0A60">
            <w:pPr>
              <w:pStyle w:val="B"/>
              <w:rPr>
                <w:szCs w:val="20"/>
              </w:rPr>
            </w:pPr>
            <w:r>
              <w:rPr>
                <w:rFonts w:hint="eastAsia"/>
                <w:szCs w:val="20"/>
              </w:rPr>
              <w:t>字符型，36</w:t>
            </w:r>
          </w:p>
        </w:tc>
        <w:tc>
          <w:tcPr>
            <w:tcW w:w="4329" w:type="dxa"/>
          </w:tcPr>
          <w:p w14:paraId="184135B4" w14:textId="77777777" w:rsidR="00A052DC" w:rsidRDefault="009F0A60">
            <w:pPr>
              <w:pStyle w:val="B"/>
              <w:rPr>
                <w:szCs w:val="20"/>
              </w:rPr>
            </w:pPr>
            <w:r>
              <w:rPr>
                <w:rFonts w:hint="eastAsia"/>
                <w:szCs w:val="20"/>
              </w:rPr>
              <w:t>必填项。对于接口报送的填报主体，数据自编码中的报送期（</w:t>
            </w:r>
            <w:r>
              <w:rPr>
                <w:szCs w:val="20"/>
              </w:rPr>
              <w:t>6</w:t>
            </w:r>
            <w:r>
              <w:rPr>
                <w:rFonts w:hint="eastAsia"/>
                <w:szCs w:val="20"/>
              </w:rPr>
              <w:t>位）应与报告期（</w:t>
            </w:r>
            <w:r>
              <w:rPr>
                <w:szCs w:val="20"/>
              </w:rPr>
              <w:t>YYYYMM</w:t>
            </w:r>
            <w:r>
              <w:rPr>
                <w:rFonts w:hint="eastAsia"/>
                <w:szCs w:val="20"/>
              </w:rPr>
              <w:t>）一致。</w:t>
            </w:r>
          </w:p>
        </w:tc>
      </w:tr>
      <w:tr w:rsidR="00A052DC" w14:paraId="54EFB37C" w14:textId="77777777">
        <w:tc>
          <w:tcPr>
            <w:tcW w:w="1347" w:type="dxa"/>
            <w:shd w:val="clear" w:color="auto" w:fill="auto"/>
          </w:tcPr>
          <w:p w14:paraId="16F1A9A2" w14:textId="77777777" w:rsidR="00A052DC" w:rsidRDefault="009F0A60">
            <w:pPr>
              <w:pStyle w:val="B"/>
              <w:rPr>
                <w:szCs w:val="20"/>
              </w:rPr>
            </w:pPr>
            <w:r>
              <w:rPr>
                <w:szCs w:val="20"/>
              </w:rPr>
              <w:t>OBJCODE</w:t>
            </w:r>
          </w:p>
        </w:tc>
        <w:tc>
          <w:tcPr>
            <w:tcW w:w="1461" w:type="dxa"/>
            <w:shd w:val="clear" w:color="auto" w:fill="auto"/>
          </w:tcPr>
          <w:p w14:paraId="5005695E" w14:textId="77777777" w:rsidR="00A052DC" w:rsidRDefault="009F0A60">
            <w:pPr>
              <w:pStyle w:val="B"/>
              <w:rPr>
                <w:szCs w:val="20"/>
              </w:rPr>
            </w:pPr>
            <w:r>
              <w:rPr>
                <w:rFonts w:hint="eastAsia"/>
                <w:szCs w:val="20"/>
              </w:rPr>
              <w:t>申报主体代码</w:t>
            </w:r>
          </w:p>
        </w:tc>
        <w:tc>
          <w:tcPr>
            <w:tcW w:w="1335" w:type="dxa"/>
            <w:shd w:val="clear" w:color="auto" w:fill="auto"/>
          </w:tcPr>
          <w:p w14:paraId="7AA819DB" w14:textId="77777777" w:rsidR="00A052DC" w:rsidRDefault="009F0A60">
            <w:pPr>
              <w:pStyle w:val="B"/>
              <w:rPr>
                <w:szCs w:val="20"/>
              </w:rPr>
            </w:pPr>
            <w:r>
              <w:rPr>
                <w:rFonts w:hint="eastAsia"/>
                <w:szCs w:val="20"/>
              </w:rPr>
              <w:t>字符型，18</w:t>
            </w:r>
          </w:p>
        </w:tc>
        <w:tc>
          <w:tcPr>
            <w:tcW w:w="4329" w:type="dxa"/>
          </w:tcPr>
          <w:p w14:paraId="1DF4D72E" w14:textId="77777777" w:rsidR="00A052DC" w:rsidRDefault="009F0A60">
            <w:r>
              <w:rPr>
                <w:rFonts w:ascii="黑体" w:eastAsia="黑体" w:hAnsi="黑体" w:hint="eastAsia"/>
                <w:sz w:val="20"/>
                <w:szCs w:val="20"/>
              </w:rPr>
              <w:t>申报主体的12位金融机构标识码，如果没有金融机构标识码，则填报统一社会信用代码法定载体（如营业执照）上统一社会信用代码中的第9至17位或国家外汇管理局及其分支局签发的特殊机构代码赋码通知书上的机构代码、个人身份证件号码。</w:t>
            </w:r>
          </w:p>
        </w:tc>
      </w:tr>
      <w:tr w:rsidR="00A052DC" w14:paraId="23152412" w14:textId="77777777">
        <w:tc>
          <w:tcPr>
            <w:tcW w:w="1347" w:type="dxa"/>
            <w:shd w:val="clear" w:color="auto" w:fill="auto"/>
          </w:tcPr>
          <w:p w14:paraId="0AC58998" w14:textId="77777777" w:rsidR="00A052DC" w:rsidRDefault="009F0A60">
            <w:pPr>
              <w:pStyle w:val="B"/>
              <w:rPr>
                <w:szCs w:val="20"/>
              </w:rPr>
            </w:pPr>
            <w:r>
              <w:rPr>
                <w:szCs w:val="20"/>
              </w:rPr>
              <w:t>BUOCMONTH</w:t>
            </w:r>
          </w:p>
        </w:tc>
        <w:tc>
          <w:tcPr>
            <w:tcW w:w="1461" w:type="dxa"/>
            <w:shd w:val="clear" w:color="auto" w:fill="auto"/>
          </w:tcPr>
          <w:p w14:paraId="573C551F" w14:textId="77777777" w:rsidR="00A052DC" w:rsidRDefault="009F0A60">
            <w:pPr>
              <w:pStyle w:val="B"/>
              <w:rPr>
                <w:szCs w:val="20"/>
              </w:rPr>
            </w:pPr>
            <w:r>
              <w:rPr>
                <w:rFonts w:hint="eastAsia"/>
                <w:szCs w:val="20"/>
              </w:rPr>
              <w:t>报告期</w:t>
            </w:r>
          </w:p>
        </w:tc>
        <w:tc>
          <w:tcPr>
            <w:tcW w:w="1335" w:type="dxa"/>
            <w:shd w:val="clear" w:color="auto" w:fill="auto"/>
          </w:tcPr>
          <w:p w14:paraId="409A7C59" w14:textId="77777777" w:rsidR="00A052DC" w:rsidRDefault="009F0A60">
            <w:pPr>
              <w:pStyle w:val="B"/>
              <w:rPr>
                <w:szCs w:val="20"/>
              </w:rPr>
            </w:pPr>
            <w:r>
              <w:rPr>
                <w:rFonts w:hint="eastAsia"/>
                <w:szCs w:val="20"/>
              </w:rPr>
              <w:t>数值型，</w:t>
            </w:r>
            <w:r>
              <w:rPr>
                <w:szCs w:val="20"/>
              </w:rPr>
              <w:t>6</w:t>
            </w:r>
          </w:p>
        </w:tc>
        <w:tc>
          <w:tcPr>
            <w:tcW w:w="4329" w:type="dxa"/>
          </w:tcPr>
          <w:p w14:paraId="01A1465E" w14:textId="77777777" w:rsidR="00A052DC" w:rsidRDefault="009F0A60">
            <w:pPr>
              <w:pStyle w:val="B"/>
              <w:rPr>
                <w:szCs w:val="20"/>
              </w:rPr>
            </w:pPr>
            <w:r>
              <w:rPr>
                <w:rFonts w:hint="eastAsia"/>
                <w:szCs w:val="20"/>
              </w:rPr>
              <w:t>必填项，格式为</w:t>
            </w:r>
            <w:r>
              <w:rPr>
                <w:szCs w:val="20"/>
              </w:rPr>
              <w:t>YYYYMM</w:t>
            </w:r>
            <w:r>
              <w:rPr>
                <w:rFonts w:hint="eastAsia"/>
                <w:szCs w:val="20"/>
              </w:rPr>
              <w:t>。</w:t>
            </w:r>
          </w:p>
        </w:tc>
      </w:tr>
      <w:tr w:rsidR="00A052DC" w14:paraId="7CBD099D" w14:textId="77777777">
        <w:tc>
          <w:tcPr>
            <w:tcW w:w="1347" w:type="dxa"/>
            <w:shd w:val="clear" w:color="auto" w:fill="auto"/>
          </w:tcPr>
          <w:p w14:paraId="7D15888C" w14:textId="77777777" w:rsidR="00A052DC" w:rsidRDefault="009F0A60">
            <w:pPr>
              <w:pStyle w:val="B"/>
              <w:rPr>
                <w:szCs w:val="20"/>
              </w:rPr>
            </w:pPr>
            <w:r>
              <w:rPr>
                <w:szCs w:val="20"/>
              </w:rPr>
              <w:t>TABLECODE</w:t>
            </w:r>
          </w:p>
        </w:tc>
        <w:tc>
          <w:tcPr>
            <w:tcW w:w="1461" w:type="dxa"/>
            <w:shd w:val="clear" w:color="auto" w:fill="auto"/>
          </w:tcPr>
          <w:p w14:paraId="3E246F8A" w14:textId="77777777" w:rsidR="00A052DC" w:rsidRDefault="009F0A60">
            <w:pPr>
              <w:pStyle w:val="B"/>
              <w:rPr>
                <w:szCs w:val="20"/>
              </w:rPr>
            </w:pPr>
            <w:r>
              <w:rPr>
                <w:rFonts w:hint="eastAsia"/>
                <w:szCs w:val="20"/>
              </w:rPr>
              <w:t>表号</w:t>
            </w:r>
          </w:p>
        </w:tc>
        <w:tc>
          <w:tcPr>
            <w:tcW w:w="1335" w:type="dxa"/>
            <w:shd w:val="clear" w:color="auto" w:fill="auto"/>
          </w:tcPr>
          <w:p w14:paraId="16D7C8FE" w14:textId="77777777" w:rsidR="00A052DC" w:rsidRDefault="009F0A60">
            <w:pPr>
              <w:pStyle w:val="B"/>
              <w:rPr>
                <w:szCs w:val="20"/>
              </w:rPr>
            </w:pPr>
            <w:r>
              <w:rPr>
                <w:rFonts w:hint="eastAsia"/>
                <w:szCs w:val="20"/>
              </w:rPr>
              <w:t>字符型，</w:t>
            </w:r>
            <w:r>
              <w:rPr>
                <w:szCs w:val="20"/>
              </w:rPr>
              <w:t>5</w:t>
            </w:r>
          </w:p>
        </w:tc>
        <w:tc>
          <w:tcPr>
            <w:tcW w:w="4329" w:type="dxa"/>
          </w:tcPr>
          <w:p w14:paraId="6F46732A" w14:textId="77777777" w:rsidR="00A052DC" w:rsidRDefault="009F0A60">
            <w:pPr>
              <w:pStyle w:val="B"/>
              <w:rPr>
                <w:szCs w:val="20"/>
              </w:rPr>
            </w:pPr>
            <w:r>
              <w:rPr>
                <w:rFonts w:hint="eastAsia"/>
                <w:szCs w:val="20"/>
              </w:rPr>
              <w:t>必填项。对于</w:t>
            </w:r>
            <w:r>
              <w:rPr>
                <w:szCs w:val="20"/>
              </w:rPr>
              <w:t>Z0201</w:t>
            </w:r>
            <w:r>
              <w:rPr>
                <w:rFonts w:hint="eastAsia"/>
                <w:szCs w:val="20"/>
              </w:rPr>
              <w:t>选择</w:t>
            </w:r>
            <w:r>
              <w:rPr>
                <w:szCs w:val="20"/>
              </w:rPr>
              <w:t>1</w:t>
            </w:r>
            <w:r>
              <w:rPr>
                <w:rFonts w:hint="eastAsia"/>
                <w:szCs w:val="20"/>
              </w:rPr>
              <w:t>的，对应报表必须填报数据，否则校验不能通过。对于</w:t>
            </w:r>
            <w:r>
              <w:rPr>
                <w:szCs w:val="20"/>
              </w:rPr>
              <w:t>Z0201</w:t>
            </w:r>
            <w:r>
              <w:rPr>
                <w:rFonts w:hint="eastAsia"/>
                <w:szCs w:val="20"/>
              </w:rPr>
              <w:t>填报为</w:t>
            </w:r>
            <w:r>
              <w:rPr>
                <w:szCs w:val="20"/>
              </w:rPr>
              <w:t>0-</w:t>
            </w:r>
            <w:r>
              <w:rPr>
                <w:rFonts w:hint="eastAsia"/>
                <w:szCs w:val="20"/>
              </w:rPr>
              <w:t>否的，相关报表为空。</w:t>
            </w:r>
          </w:p>
        </w:tc>
      </w:tr>
      <w:tr w:rsidR="00A052DC" w14:paraId="4D396EC0" w14:textId="77777777">
        <w:tc>
          <w:tcPr>
            <w:tcW w:w="1347" w:type="dxa"/>
            <w:shd w:val="clear" w:color="auto" w:fill="auto"/>
          </w:tcPr>
          <w:p w14:paraId="7B26D9DF" w14:textId="77777777" w:rsidR="00A052DC" w:rsidRDefault="009F0A60">
            <w:pPr>
              <w:pStyle w:val="B"/>
              <w:rPr>
                <w:szCs w:val="20"/>
              </w:rPr>
            </w:pPr>
            <w:r>
              <w:rPr>
                <w:szCs w:val="20"/>
              </w:rPr>
              <w:t>TABLENAME</w:t>
            </w:r>
          </w:p>
        </w:tc>
        <w:tc>
          <w:tcPr>
            <w:tcW w:w="1461" w:type="dxa"/>
            <w:shd w:val="clear" w:color="auto" w:fill="auto"/>
          </w:tcPr>
          <w:p w14:paraId="1C813A5F" w14:textId="77777777" w:rsidR="00A052DC" w:rsidRDefault="009F0A60">
            <w:pPr>
              <w:pStyle w:val="B"/>
              <w:rPr>
                <w:szCs w:val="20"/>
              </w:rPr>
            </w:pPr>
            <w:r>
              <w:rPr>
                <w:rFonts w:hint="eastAsia"/>
                <w:szCs w:val="20"/>
              </w:rPr>
              <w:t>表名</w:t>
            </w:r>
          </w:p>
        </w:tc>
        <w:tc>
          <w:tcPr>
            <w:tcW w:w="1335" w:type="dxa"/>
            <w:shd w:val="clear" w:color="auto" w:fill="auto"/>
          </w:tcPr>
          <w:p w14:paraId="24A919D1" w14:textId="77777777" w:rsidR="00A052DC" w:rsidRDefault="009F0A60">
            <w:pPr>
              <w:pStyle w:val="B"/>
              <w:rPr>
                <w:szCs w:val="20"/>
              </w:rPr>
            </w:pPr>
            <w:r>
              <w:rPr>
                <w:rFonts w:hint="eastAsia"/>
                <w:szCs w:val="20"/>
              </w:rPr>
              <w:t>字符型，</w:t>
            </w:r>
            <w:r>
              <w:rPr>
                <w:szCs w:val="20"/>
              </w:rPr>
              <w:t>256</w:t>
            </w:r>
          </w:p>
        </w:tc>
        <w:tc>
          <w:tcPr>
            <w:tcW w:w="4329" w:type="dxa"/>
          </w:tcPr>
          <w:p w14:paraId="06502F76" w14:textId="77777777" w:rsidR="00A052DC" w:rsidRDefault="009F0A60">
            <w:pPr>
              <w:pStyle w:val="B"/>
              <w:rPr>
                <w:szCs w:val="20"/>
              </w:rPr>
            </w:pPr>
            <w:r>
              <w:rPr>
                <w:rFonts w:hint="eastAsia"/>
                <w:szCs w:val="20"/>
              </w:rPr>
              <w:t>必填项。</w:t>
            </w:r>
          </w:p>
        </w:tc>
      </w:tr>
      <w:tr w:rsidR="00A052DC" w14:paraId="446337C8" w14:textId="77777777">
        <w:tc>
          <w:tcPr>
            <w:tcW w:w="1347" w:type="dxa"/>
            <w:shd w:val="clear" w:color="auto" w:fill="auto"/>
          </w:tcPr>
          <w:p w14:paraId="2F5A8E06" w14:textId="77777777" w:rsidR="00A052DC" w:rsidRDefault="009F0A60">
            <w:pPr>
              <w:pStyle w:val="B"/>
              <w:rPr>
                <w:szCs w:val="20"/>
              </w:rPr>
            </w:pPr>
            <w:r>
              <w:rPr>
                <w:szCs w:val="20"/>
              </w:rPr>
              <w:t>Z0201</w:t>
            </w:r>
          </w:p>
        </w:tc>
        <w:tc>
          <w:tcPr>
            <w:tcW w:w="1461" w:type="dxa"/>
            <w:shd w:val="clear" w:color="auto" w:fill="auto"/>
          </w:tcPr>
          <w:p w14:paraId="40074097" w14:textId="77777777" w:rsidR="00A052DC" w:rsidRDefault="009F0A60">
            <w:pPr>
              <w:pStyle w:val="B"/>
              <w:rPr>
                <w:szCs w:val="20"/>
              </w:rPr>
            </w:pPr>
            <w:r>
              <w:rPr>
                <w:rFonts w:hint="eastAsia"/>
                <w:szCs w:val="20"/>
              </w:rPr>
              <w:t>申报主体是否有相关业务</w:t>
            </w:r>
          </w:p>
        </w:tc>
        <w:tc>
          <w:tcPr>
            <w:tcW w:w="1335" w:type="dxa"/>
            <w:shd w:val="clear" w:color="auto" w:fill="auto"/>
          </w:tcPr>
          <w:p w14:paraId="7145B479" w14:textId="77777777" w:rsidR="00A052DC" w:rsidRDefault="009F0A60">
            <w:pPr>
              <w:pStyle w:val="B"/>
              <w:rPr>
                <w:szCs w:val="20"/>
              </w:rPr>
            </w:pPr>
            <w:r>
              <w:rPr>
                <w:rFonts w:hint="eastAsia"/>
                <w:szCs w:val="20"/>
              </w:rPr>
              <w:t>整数型</w:t>
            </w:r>
          </w:p>
        </w:tc>
        <w:tc>
          <w:tcPr>
            <w:tcW w:w="4329" w:type="dxa"/>
          </w:tcPr>
          <w:p w14:paraId="1A297B13" w14:textId="77777777" w:rsidR="00A052DC" w:rsidRDefault="009F0A60">
            <w:pPr>
              <w:pStyle w:val="B"/>
              <w:rPr>
                <w:szCs w:val="20"/>
              </w:rPr>
            </w:pPr>
            <w:r>
              <w:rPr>
                <w:rFonts w:hint="eastAsia"/>
                <w:szCs w:val="20"/>
              </w:rPr>
              <w:t>必填项，</w:t>
            </w:r>
            <w:r>
              <w:rPr>
                <w:szCs w:val="20"/>
              </w:rPr>
              <w:t>1-</w:t>
            </w:r>
            <w:r>
              <w:rPr>
                <w:rFonts w:hint="eastAsia"/>
                <w:szCs w:val="20"/>
              </w:rPr>
              <w:t>有，</w:t>
            </w:r>
            <w:r>
              <w:rPr>
                <w:szCs w:val="20"/>
              </w:rPr>
              <w:t>0-</w:t>
            </w:r>
            <w:r>
              <w:rPr>
                <w:rFonts w:hint="eastAsia"/>
                <w:szCs w:val="20"/>
              </w:rPr>
              <w:t>无。选择</w:t>
            </w:r>
            <w:r>
              <w:rPr>
                <w:szCs w:val="20"/>
              </w:rPr>
              <w:t>1</w:t>
            </w:r>
            <w:r>
              <w:rPr>
                <w:rFonts w:hint="eastAsia"/>
                <w:szCs w:val="20"/>
              </w:rPr>
              <w:t>的，对应报表必须填报数据，否则校验不能通过。对于</w:t>
            </w:r>
            <w:r>
              <w:rPr>
                <w:szCs w:val="20"/>
              </w:rPr>
              <w:t>Z0201</w:t>
            </w:r>
            <w:r>
              <w:rPr>
                <w:rFonts w:hint="eastAsia"/>
                <w:szCs w:val="20"/>
              </w:rPr>
              <w:t>填报为</w:t>
            </w:r>
            <w:r>
              <w:rPr>
                <w:szCs w:val="20"/>
              </w:rPr>
              <w:t>0-</w:t>
            </w:r>
            <w:r>
              <w:rPr>
                <w:rFonts w:hint="eastAsia"/>
                <w:szCs w:val="20"/>
              </w:rPr>
              <w:t>否的，相关报表为空。应填报从Z01至X01共计40张表的相关信息。</w:t>
            </w:r>
            <w:r>
              <w:rPr>
                <w:szCs w:val="20"/>
              </w:rPr>
              <w:t>TABLECODE</w:t>
            </w:r>
            <w:r>
              <w:rPr>
                <w:rFonts w:hint="eastAsia"/>
                <w:szCs w:val="20"/>
              </w:rPr>
              <w:t>=Z01时对应的Z0201必须是“1-是”；</w:t>
            </w:r>
            <w:r>
              <w:rPr>
                <w:szCs w:val="20"/>
              </w:rPr>
              <w:t>TABLECODE</w:t>
            </w:r>
            <w:r>
              <w:rPr>
                <w:rFonts w:hint="eastAsia"/>
                <w:szCs w:val="20"/>
              </w:rPr>
              <w:t>为</w:t>
            </w:r>
            <w:r>
              <w:rPr>
                <w:szCs w:val="20"/>
              </w:rPr>
              <w:t>A02-1</w:t>
            </w:r>
            <w:r>
              <w:rPr>
                <w:rFonts w:hint="eastAsia"/>
                <w:szCs w:val="20"/>
              </w:rPr>
              <w:t>表和</w:t>
            </w:r>
            <w:r>
              <w:rPr>
                <w:szCs w:val="20"/>
              </w:rPr>
              <w:t>A02-2</w:t>
            </w:r>
            <w:r>
              <w:rPr>
                <w:rFonts w:hint="eastAsia"/>
                <w:szCs w:val="20"/>
              </w:rPr>
              <w:t>表时，对应的</w:t>
            </w:r>
            <w:r>
              <w:rPr>
                <w:szCs w:val="20"/>
              </w:rPr>
              <w:t>Z0201</w:t>
            </w:r>
            <w:r>
              <w:rPr>
                <w:rFonts w:hint="eastAsia"/>
                <w:szCs w:val="20"/>
              </w:rPr>
              <w:t>必须同时选择“</w:t>
            </w:r>
            <w:r>
              <w:rPr>
                <w:szCs w:val="20"/>
              </w:rPr>
              <w:t>1</w:t>
            </w:r>
            <w:r>
              <w:rPr>
                <w:rFonts w:hint="eastAsia"/>
                <w:szCs w:val="20"/>
              </w:rPr>
              <w:t>”或“</w:t>
            </w:r>
            <w:r>
              <w:rPr>
                <w:szCs w:val="20"/>
              </w:rPr>
              <w:t>0</w:t>
            </w:r>
            <w:r>
              <w:rPr>
                <w:rFonts w:hint="eastAsia"/>
                <w:szCs w:val="20"/>
              </w:rPr>
              <w:t>”。</w:t>
            </w:r>
          </w:p>
        </w:tc>
      </w:tr>
      <w:tr w:rsidR="00A052DC" w14:paraId="76969E4B" w14:textId="77777777">
        <w:tc>
          <w:tcPr>
            <w:tcW w:w="1347" w:type="dxa"/>
            <w:shd w:val="clear" w:color="auto" w:fill="auto"/>
          </w:tcPr>
          <w:p w14:paraId="2D5FD01F" w14:textId="77777777" w:rsidR="00A052DC" w:rsidRDefault="009F0A60">
            <w:pPr>
              <w:pStyle w:val="B"/>
              <w:rPr>
                <w:szCs w:val="20"/>
              </w:rPr>
            </w:pPr>
            <w:r>
              <w:rPr>
                <w:szCs w:val="20"/>
              </w:rPr>
              <w:t>Z0202</w:t>
            </w:r>
          </w:p>
        </w:tc>
        <w:tc>
          <w:tcPr>
            <w:tcW w:w="1461" w:type="dxa"/>
            <w:shd w:val="clear" w:color="auto" w:fill="auto"/>
          </w:tcPr>
          <w:p w14:paraId="4FBFEE48" w14:textId="77777777" w:rsidR="00A052DC" w:rsidRDefault="009F0A60">
            <w:pPr>
              <w:pStyle w:val="B"/>
              <w:rPr>
                <w:szCs w:val="20"/>
              </w:rPr>
            </w:pPr>
            <w:r>
              <w:rPr>
                <w:rFonts w:hint="eastAsia"/>
                <w:szCs w:val="20"/>
              </w:rPr>
              <w:t>填报部门</w:t>
            </w:r>
          </w:p>
        </w:tc>
        <w:tc>
          <w:tcPr>
            <w:tcW w:w="1335" w:type="dxa"/>
            <w:shd w:val="clear" w:color="auto" w:fill="auto"/>
          </w:tcPr>
          <w:p w14:paraId="112522C4" w14:textId="77777777" w:rsidR="00A052DC" w:rsidRDefault="009F0A60">
            <w:pPr>
              <w:pStyle w:val="B"/>
              <w:rPr>
                <w:szCs w:val="20"/>
              </w:rPr>
            </w:pPr>
            <w:r>
              <w:rPr>
                <w:rFonts w:hint="eastAsia"/>
                <w:szCs w:val="20"/>
              </w:rPr>
              <w:t>字符型，</w:t>
            </w:r>
            <w:r>
              <w:rPr>
                <w:szCs w:val="20"/>
              </w:rPr>
              <w:t>256</w:t>
            </w:r>
          </w:p>
        </w:tc>
        <w:tc>
          <w:tcPr>
            <w:tcW w:w="4329" w:type="dxa"/>
          </w:tcPr>
          <w:p w14:paraId="58B36E2D" w14:textId="77777777" w:rsidR="00A052DC" w:rsidRDefault="009F0A60">
            <w:pPr>
              <w:pStyle w:val="B"/>
              <w:widowControl w:val="0"/>
              <w:rPr>
                <w:szCs w:val="20"/>
              </w:rPr>
            </w:pPr>
            <w:r>
              <w:rPr>
                <w:rFonts w:hint="eastAsia"/>
                <w:szCs w:val="20"/>
              </w:rPr>
              <w:t>非必填项。当</w:t>
            </w:r>
            <w:r>
              <w:rPr>
                <w:szCs w:val="20"/>
              </w:rPr>
              <w:t>Z0201</w:t>
            </w:r>
            <w:r>
              <w:rPr>
                <w:rFonts w:hint="eastAsia"/>
                <w:szCs w:val="20"/>
              </w:rPr>
              <w:t>选择</w:t>
            </w:r>
            <w:r>
              <w:rPr>
                <w:szCs w:val="20"/>
              </w:rPr>
              <w:t>1</w:t>
            </w:r>
            <w:r>
              <w:rPr>
                <w:rFonts w:hint="eastAsia"/>
                <w:szCs w:val="20"/>
              </w:rPr>
              <w:t>时，为必填报；否则为空。不能为纯数字（</w:t>
            </w:r>
            <w:r>
              <w:rPr>
                <w:szCs w:val="20"/>
              </w:rPr>
              <w:t>0</w:t>
            </w:r>
            <w:r>
              <w:rPr>
                <w:rFonts w:hint="eastAsia"/>
                <w:szCs w:val="20"/>
              </w:rPr>
              <w:t>至9）、“</w:t>
            </w:r>
            <w:r>
              <w:rPr>
                <w:szCs w:val="20"/>
              </w:rPr>
              <w:t>fin</w:t>
            </w:r>
            <w:r>
              <w:rPr>
                <w:rFonts w:hint="eastAsia"/>
                <w:szCs w:val="20"/>
              </w:rPr>
              <w:t>”、“</w:t>
            </w:r>
            <w:r>
              <w:rPr>
                <w:szCs w:val="20"/>
              </w:rPr>
              <w:t>E</w:t>
            </w:r>
            <w:r>
              <w:rPr>
                <w:rFonts w:hint="eastAsia"/>
                <w:szCs w:val="20"/>
              </w:rPr>
              <w:t>”、“</w:t>
            </w:r>
            <w:r>
              <w:rPr>
                <w:szCs w:val="20"/>
              </w:rPr>
              <w:t>N/A</w:t>
            </w:r>
            <w:r>
              <w:rPr>
                <w:rFonts w:hint="eastAsia"/>
                <w:szCs w:val="20"/>
              </w:rPr>
              <w:t>”、“？”等。</w:t>
            </w:r>
          </w:p>
        </w:tc>
      </w:tr>
      <w:tr w:rsidR="00A052DC" w14:paraId="5CF7589A" w14:textId="77777777">
        <w:tc>
          <w:tcPr>
            <w:tcW w:w="1347" w:type="dxa"/>
            <w:shd w:val="clear" w:color="auto" w:fill="auto"/>
          </w:tcPr>
          <w:p w14:paraId="0B439D4F" w14:textId="77777777" w:rsidR="00A052DC" w:rsidRDefault="009F0A60">
            <w:pPr>
              <w:pStyle w:val="B"/>
              <w:rPr>
                <w:szCs w:val="20"/>
              </w:rPr>
            </w:pPr>
            <w:r>
              <w:rPr>
                <w:szCs w:val="20"/>
              </w:rPr>
              <w:t>Z0203</w:t>
            </w:r>
          </w:p>
        </w:tc>
        <w:tc>
          <w:tcPr>
            <w:tcW w:w="1461" w:type="dxa"/>
            <w:shd w:val="clear" w:color="auto" w:fill="auto"/>
          </w:tcPr>
          <w:p w14:paraId="3BF68F21" w14:textId="77777777" w:rsidR="00A052DC" w:rsidRDefault="009F0A60">
            <w:pPr>
              <w:pStyle w:val="B"/>
              <w:rPr>
                <w:szCs w:val="20"/>
              </w:rPr>
            </w:pPr>
            <w:r>
              <w:rPr>
                <w:rFonts w:hint="eastAsia"/>
                <w:szCs w:val="20"/>
              </w:rPr>
              <w:t>统计负责人</w:t>
            </w:r>
          </w:p>
        </w:tc>
        <w:tc>
          <w:tcPr>
            <w:tcW w:w="1335" w:type="dxa"/>
            <w:shd w:val="clear" w:color="auto" w:fill="auto"/>
          </w:tcPr>
          <w:p w14:paraId="7CDDBE00" w14:textId="77777777" w:rsidR="00A052DC" w:rsidRDefault="009F0A60">
            <w:pPr>
              <w:pStyle w:val="B"/>
              <w:rPr>
                <w:szCs w:val="20"/>
              </w:rPr>
            </w:pPr>
            <w:r>
              <w:rPr>
                <w:rFonts w:hint="eastAsia"/>
                <w:szCs w:val="20"/>
              </w:rPr>
              <w:t>字符型，</w:t>
            </w:r>
            <w:r>
              <w:rPr>
                <w:szCs w:val="20"/>
              </w:rPr>
              <w:t>256</w:t>
            </w:r>
          </w:p>
        </w:tc>
        <w:tc>
          <w:tcPr>
            <w:tcW w:w="4329" w:type="dxa"/>
          </w:tcPr>
          <w:p w14:paraId="61CEFE1C" w14:textId="77777777" w:rsidR="00A052DC" w:rsidRDefault="009F0A60">
            <w:pPr>
              <w:pStyle w:val="B"/>
              <w:widowControl w:val="0"/>
              <w:rPr>
                <w:szCs w:val="20"/>
              </w:rPr>
            </w:pPr>
            <w:r>
              <w:rPr>
                <w:rFonts w:hint="eastAsia"/>
                <w:szCs w:val="20"/>
              </w:rPr>
              <w:t>非必填项。当</w:t>
            </w:r>
            <w:r>
              <w:rPr>
                <w:szCs w:val="20"/>
              </w:rPr>
              <w:t>Z0201</w:t>
            </w:r>
            <w:r>
              <w:rPr>
                <w:rFonts w:hint="eastAsia"/>
                <w:szCs w:val="20"/>
              </w:rPr>
              <w:t>选择</w:t>
            </w:r>
            <w:r>
              <w:rPr>
                <w:szCs w:val="20"/>
              </w:rPr>
              <w:t>1</w:t>
            </w:r>
            <w:r>
              <w:rPr>
                <w:rFonts w:hint="eastAsia"/>
                <w:szCs w:val="20"/>
              </w:rPr>
              <w:t>时，为必填报；否则为空。</w:t>
            </w:r>
          </w:p>
        </w:tc>
      </w:tr>
      <w:tr w:rsidR="00A052DC" w14:paraId="72BE158C" w14:textId="77777777">
        <w:tc>
          <w:tcPr>
            <w:tcW w:w="1347" w:type="dxa"/>
            <w:shd w:val="clear" w:color="auto" w:fill="auto"/>
          </w:tcPr>
          <w:p w14:paraId="180F0362" w14:textId="77777777" w:rsidR="00A052DC" w:rsidRDefault="009F0A60">
            <w:pPr>
              <w:pStyle w:val="B"/>
              <w:rPr>
                <w:szCs w:val="20"/>
              </w:rPr>
            </w:pPr>
            <w:r>
              <w:rPr>
                <w:szCs w:val="20"/>
              </w:rPr>
              <w:t>Z0204</w:t>
            </w:r>
          </w:p>
        </w:tc>
        <w:tc>
          <w:tcPr>
            <w:tcW w:w="1461" w:type="dxa"/>
            <w:shd w:val="clear" w:color="auto" w:fill="auto"/>
          </w:tcPr>
          <w:p w14:paraId="13018E9C" w14:textId="77777777" w:rsidR="00A052DC" w:rsidRDefault="009F0A60">
            <w:pPr>
              <w:pStyle w:val="B"/>
              <w:rPr>
                <w:szCs w:val="20"/>
              </w:rPr>
            </w:pPr>
            <w:r>
              <w:rPr>
                <w:rFonts w:hint="eastAsia"/>
                <w:szCs w:val="20"/>
              </w:rPr>
              <w:t>统计负责人电话</w:t>
            </w:r>
          </w:p>
        </w:tc>
        <w:tc>
          <w:tcPr>
            <w:tcW w:w="1335" w:type="dxa"/>
            <w:shd w:val="clear" w:color="auto" w:fill="auto"/>
          </w:tcPr>
          <w:p w14:paraId="3DC8BF81" w14:textId="77777777" w:rsidR="00A052DC" w:rsidRDefault="009F0A60">
            <w:pPr>
              <w:pStyle w:val="B"/>
              <w:rPr>
                <w:szCs w:val="20"/>
              </w:rPr>
            </w:pPr>
            <w:r>
              <w:rPr>
                <w:rFonts w:hint="eastAsia"/>
                <w:szCs w:val="20"/>
              </w:rPr>
              <w:t>字符型，</w:t>
            </w:r>
            <w:r>
              <w:rPr>
                <w:szCs w:val="20"/>
              </w:rPr>
              <w:t>256</w:t>
            </w:r>
          </w:p>
        </w:tc>
        <w:tc>
          <w:tcPr>
            <w:tcW w:w="4329" w:type="dxa"/>
          </w:tcPr>
          <w:p w14:paraId="5967809E" w14:textId="77777777" w:rsidR="00A052DC" w:rsidRDefault="009F0A60">
            <w:pPr>
              <w:pStyle w:val="B"/>
              <w:widowControl w:val="0"/>
              <w:rPr>
                <w:szCs w:val="20"/>
              </w:rPr>
            </w:pPr>
            <w:r>
              <w:rPr>
                <w:rFonts w:hint="eastAsia"/>
                <w:szCs w:val="20"/>
              </w:rPr>
              <w:t>非必填项。当</w:t>
            </w:r>
            <w:r>
              <w:rPr>
                <w:szCs w:val="20"/>
              </w:rPr>
              <w:t>Z0201</w:t>
            </w:r>
            <w:r>
              <w:rPr>
                <w:rFonts w:hint="eastAsia"/>
                <w:szCs w:val="20"/>
              </w:rPr>
              <w:t>选择</w:t>
            </w:r>
            <w:r>
              <w:rPr>
                <w:szCs w:val="20"/>
              </w:rPr>
              <w:t>1</w:t>
            </w:r>
            <w:r>
              <w:rPr>
                <w:rFonts w:hint="eastAsia"/>
                <w:szCs w:val="20"/>
              </w:rPr>
              <w:t>时，为必填报；否则为空。</w:t>
            </w:r>
          </w:p>
        </w:tc>
      </w:tr>
      <w:tr w:rsidR="00A052DC" w14:paraId="1660EC00" w14:textId="77777777">
        <w:tc>
          <w:tcPr>
            <w:tcW w:w="1347" w:type="dxa"/>
            <w:shd w:val="clear" w:color="auto" w:fill="auto"/>
          </w:tcPr>
          <w:p w14:paraId="014D8823" w14:textId="77777777" w:rsidR="00A052DC" w:rsidRDefault="009F0A60">
            <w:pPr>
              <w:pStyle w:val="B"/>
              <w:rPr>
                <w:szCs w:val="20"/>
              </w:rPr>
            </w:pPr>
            <w:r>
              <w:rPr>
                <w:szCs w:val="20"/>
              </w:rPr>
              <w:t>Z0205</w:t>
            </w:r>
          </w:p>
        </w:tc>
        <w:tc>
          <w:tcPr>
            <w:tcW w:w="1461" w:type="dxa"/>
            <w:shd w:val="clear" w:color="auto" w:fill="auto"/>
          </w:tcPr>
          <w:p w14:paraId="166C45F6" w14:textId="77777777" w:rsidR="00A052DC" w:rsidRDefault="009F0A60">
            <w:pPr>
              <w:pStyle w:val="B"/>
              <w:rPr>
                <w:szCs w:val="20"/>
              </w:rPr>
            </w:pPr>
            <w:r>
              <w:rPr>
                <w:rFonts w:hint="eastAsia"/>
                <w:szCs w:val="20"/>
              </w:rPr>
              <w:t>填表人</w:t>
            </w:r>
          </w:p>
        </w:tc>
        <w:tc>
          <w:tcPr>
            <w:tcW w:w="1335" w:type="dxa"/>
            <w:shd w:val="clear" w:color="auto" w:fill="auto"/>
          </w:tcPr>
          <w:p w14:paraId="52C4BE64" w14:textId="77777777" w:rsidR="00A052DC" w:rsidRDefault="009F0A60">
            <w:pPr>
              <w:pStyle w:val="B"/>
              <w:rPr>
                <w:szCs w:val="20"/>
              </w:rPr>
            </w:pPr>
            <w:r>
              <w:rPr>
                <w:rFonts w:hint="eastAsia"/>
                <w:szCs w:val="20"/>
              </w:rPr>
              <w:t>字符型，</w:t>
            </w:r>
            <w:r>
              <w:rPr>
                <w:szCs w:val="20"/>
              </w:rPr>
              <w:t>256</w:t>
            </w:r>
          </w:p>
        </w:tc>
        <w:tc>
          <w:tcPr>
            <w:tcW w:w="4329" w:type="dxa"/>
          </w:tcPr>
          <w:p w14:paraId="60C8E75E" w14:textId="77777777" w:rsidR="00A052DC" w:rsidRDefault="009F0A60">
            <w:pPr>
              <w:pStyle w:val="B"/>
              <w:widowControl w:val="0"/>
              <w:rPr>
                <w:szCs w:val="20"/>
              </w:rPr>
            </w:pPr>
            <w:r>
              <w:rPr>
                <w:rFonts w:hint="eastAsia"/>
                <w:szCs w:val="20"/>
              </w:rPr>
              <w:t>非必填项。当</w:t>
            </w:r>
            <w:r>
              <w:rPr>
                <w:szCs w:val="20"/>
              </w:rPr>
              <w:t>Z0201</w:t>
            </w:r>
            <w:r>
              <w:rPr>
                <w:rFonts w:hint="eastAsia"/>
                <w:szCs w:val="20"/>
              </w:rPr>
              <w:t>选择</w:t>
            </w:r>
            <w:r>
              <w:rPr>
                <w:szCs w:val="20"/>
              </w:rPr>
              <w:t>1</w:t>
            </w:r>
            <w:r>
              <w:rPr>
                <w:rFonts w:hint="eastAsia"/>
                <w:szCs w:val="20"/>
              </w:rPr>
              <w:t>时，为必填报；否则为空。</w:t>
            </w:r>
          </w:p>
        </w:tc>
      </w:tr>
      <w:tr w:rsidR="00A052DC" w14:paraId="7D7BD0FC" w14:textId="77777777">
        <w:tc>
          <w:tcPr>
            <w:tcW w:w="1347" w:type="dxa"/>
            <w:shd w:val="clear" w:color="auto" w:fill="auto"/>
          </w:tcPr>
          <w:p w14:paraId="1F4A703A" w14:textId="77777777" w:rsidR="00A052DC" w:rsidRDefault="009F0A60">
            <w:pPr>
              <w:pStyle w:val="B"/>
              <w:rPr>
                <w:szCs w:val="20"/>
              </w:rPr>
            </w:pPr>
            <w:r>
              <w:rPr>
                <w:szCs w:val="20"/>
              </w:rPr>
              <w:t>Z0206</w:t>
            </w:r>
          </w:p>
        </w:tc>
        <w:tc>
          <w:tcPr>
            <w:tcW w:w="1461" w:type="dxa"/>
            <w:shd w:val="clear" w:color="auto" w:fill="auto"/>
          </w:tcPr>
          <w:p w14:paraId="05C02BB4" w14:textId="77777777" w:rsidR="00A052DC" w:rsidRDefault="009F0A60">
            <w:pPr>
              <w:pStyle w:val="B"/>
              <w:rPr>
                <w:szCs w:val="20"/>
              </w:rPr>
            </w:pPr>
            <w:r>
              <w:rPr>
                <w:rFonts w:hint="eastAsia"/>
                <w:szCs w:val="20"/>
              </w:rPr>
              <w:t>填表人电话及电子邮箱</w:t>
            </w:r>
          </w:p>
        </w:tc>
        <w:tc>
          <w:tcPr>
            <w:tcW w:w="1335" w:type="dxa"/>
            <w:shd w:val="clear" w:color="auto" w:fill="auto"/>
          </w:tcPr>
          <w:p w14:paraId="38594892" w14:textId="77777777" w:rsidR="00A052DC" w:rsidRDefault="009F0A60">
            <w:pPr>
              <w:pStyle w:val="B"/>
              <w:rPr>
                <w:szCs w:val="20"/>
              </w:rPr>
            </w:pPr>
            <w:r>
              <w:rPr>
                <w:rFonts w:hint="eastAsia"/>
                <w:szCs w:val="20"/>
              </w:rPr>
              <w:t>字符型，</w:t>
            </w:r>
            <w:r>
              <w:rPr>
                <w:szCs w:val="20"/>
              </w:rPr>
              <w:t>256</w:t>
            </w:r>
          </w:p>
        </w:tc>
        <w:tc>
          <w:tcPr>
            <w:tcW w:w="4329" w:type="dxa"/>
          </w:tcPr>
          <w:p w14:paraId="5441DB02" w14:textId="77777777" w:rsidR="00A052DC" w:rsidRDefault="009F0A60">
            <w:pPr>
              <w:pStyle w:val="B"/>
              <w:widowControl w:val="0"/>
              <w:rPr>
                <w:szCs w:val="20"/>
              </w:rPr>
            </w:pPr>
            <w:r>
              <w:rPr>
                <w:rFonts w:hint="eastAsia"/>
                <w:szCs w:val="20"/>
              </w:rPr>
              <w:t>非必填项。当</w:t>
            </w:r>
            <w:r>
              <w:rPr>
                <w:szCs w:val="20"/>
              </w:rPr>
              <w:t>Z0201</w:t>
            </w:r>
            <w:r>
              <w:rPr>
                <w:rFonts w:hint="eastAsia"/>
                <w:szCs w:val="20"/>
              </w:rPr>
              <w:t>选择</w:t>
            </w:r>
            <w:r>
              <w:rPr>
                <w:szCs w:val="20"/>
              </w:rPr>
              <w:t>1</w:t>
            </w:r>
            <w:r>
              <w:rPr>
                <w:rFonts w:hint="eastAsia"/>
                <w:szCs w:val="20"/>
              </w:rPr>
              <w:t>时，为必填报；否则为空。</w:t>
            </w:r>
          </w:p>
        </w:tc>
      </w:tr>
      <w:tr w:rsidR="00A052DC" w14:paraId="1DFB3001" w14:textId="77777777">
        <w:tc>
          <w:tcPr>
            <w:tcW w:w="1347" w:type="dxa"/>
            <w:shd w:val="clear" w:color="auto" w:fill="auto"/>
          </w:tcPr>
          <w:p w14:paraId="120D5E04" w14:textId="77777777" w:rsidR="00A052DC" w:rsidRDefault="009F0A60">
            <w:pPr>
              <w:pStyle w:val="B"/>
              <w:rPr>
                <w:szCs w:val="20"/>
              </w:rPr>
            </w:pPr>
            <w:r>
              <w:rPr>
                <w:szCs w:val="20"/>
              </w:rPr>
              <w:t>REMARK</w:t>
            </w:r>
          </w:p>
        </w:tc>
        <w:tc>
          <w:tcPr>
            <w:tcW w:w="1461" w:type="dxa"/>
            <w:shd w:val="clear" w:color="auto" w:fill="auto"/>
          </w:tcPr>
          <w:p w14:paraId="25DC8CB5" w14:textId="77777777" w:rsidR="00A052DC" w:rsidRDefault="009F0A60">
            <w:pPr>
              <w:pStyle w:val="B"/>
              <w:rPr>
                <w:szCs w:val="20"/>
              </w:rPr>
            </w:pPr>
            <w:r>
              <w:rPr>
                <w:rFonts w:hint="eastAsia"/>
                <w:szCs w:val="20"/>
              </w:rPr>
              <w:t>备注</w:t>
            </w:r>
          </w:p>
        </w:tc>
        <w:tc>
          <w:tcPr>
            <w:tcW w:w="1335" w:type="dxa"/>
            <w:shd w:val="clear" w:color="auto" w:fill="auto"/>
          </w:tcPr>
          <w:p w14:paraId="190EB9A6" w14:textId="77777777" w:rsidR="00A052DC" w:rsidRDefault="009F0A60">
            <w:pPr>
              <w:pStyle w:val="B"/>
              <w:rPr>
                <w:szCs w:val="20"/>
              </w:rPr>
            </w:pPr>
            <w:r>
              <w:rPr>
                <w:rFonts w:hint="eastAsia"/>
                <w:szCs w:val="20"/>
              </w:rPr>
              <w:t>字符型，</w:t>
            </w:r>
            <w:r>
              <w:rPr>
                <w:szCs w:val="20"/>
              </w:rPr>
              <w:t>512</w:t>
            </w:r>
          </w:p>
        </w:tc>
        <w:tc>
          <w:tcPr>
            <w:tcW w:w="4329" w:type="dxa"/>
          </w:tcPr>
          <w:p w14:paraId="64F4CA21" w14:textId="77777777" w:rsidR="00A052DC" w:rsidRDefault="009F0A60">
            <w:pPr>
              <w:pStyle w:val="B"/>
              <w:rPr>
                <w:szCs w:val="20"/>
              </w:rPr>
            </w:pPr>
            <w:r>
              <w:rPr>
                <w:rFonts w:hint="eastAsia"/>
                <w:szCs w:val="20"/>
              </w:rPr>
              <w:t>非必填项。</w:t>
            </w:r>
          </w:p>
        </w:tc>
      </w:tr>
    </w:tbl>
    <w:p w14:paraId="486D4BF0" w14:textId="77777777" w:rsidR="00A052DC" w:rsidRDefault="00A052DC"/>
    <w:p w14:paraId="24070B29" w14:textId="77777777" w:rsidR="00A052DC" w:rsidRDefault="009F0A60" w:rsidP="0020251D">
      <w:pPr>
        <w:pStyle w:val="3"/>
        <w:ind w:left="0"/>
        <w:rPr>
          <w:rFonts w:ascii="Times New Roman" w:hAnsi="Times New Roman"/>
        </w:rPr>
      </w:pPr>
      <w:bookmarkStart w:id="2965" w:name="_Toc91455303"/>
      <w:bookmarkStart w:id="2966" w:name="_Toc380356276"/>
      <w:bookmarkStart w:id="2967" w:name="_Toc454391221"/>
      <w:bookmarkStart w:id="2968" w:name="_Toc380570899"/>
      <w:bookmarkStart w:id="2969" w:name="_Toc101684476"/>
      <w:r>
        <w:rPr>
          <w:rFonts w:ascii="Times New Roman" w:hAnsi="Times New Roman"/>
        </w:rPr>
        <w:t>Z03</w:t>
      </w:r>
      <w:r>
        <w:rPr>
          <w:rFonts w:ascii="Times New Roman" w:hAnsi="Times New Roman" w:hint="eastAsia"/>
        </w:rPr>
        <w:t>表：投资关系（组织架构）</w:t>
      </w:r>
      <w:bookmarkEnd w:id="2965"/>
      <w:bookmarkEnd w:id="2966"/>
      <w:bookmarkEnd w:id="2967"/>
      <w:bookmarkEnd w:id="2968"/>
      <w:bookmarkEnd w:id="2969"/>
    </w:p>
    <w:p w14:paraId="3D43D69F" w14:textId="77777777" w:rsidR="00A052DC" w:rsidRDefault="009F0A60">
      <w:pPr>
        <w:spacing w:line="360" w:lineRule="auto"/>
        <w:ind w:firstLineChars="200" w:firstLine="480"/>
        <w:rPr>
          <w:rFonts w:ascii="Times New Roman" w:hAnsi="宋体"/>
          <w:kern w:val="0"/>
          <w:sz w:val="24"/>
          <w:szCs w:val="24"/>
        </w:rPr>
      </w:pPr>
      <w:r>
        <w:rPr>
          <w:rFonts w:ascii="Times New Roman" w:hAnsi="宋体" w:hint="eastAsia"/>
          <w:kern w:val="0"/>
          <w:sz w:val="24"/>
          <w:szCs w:val="24"/>
        </w:rPr>
        <w:t>本接口文件报送内容包括：</w:t>
      </w:r>
    </w:p>
    <w:p w14:paraId="6E8D6A79" w14:textId="77777777" w:rsidR="00A052DC" w:rsidRDefault="009F0A60">
      <w:pPr>
        <w:spacing w:line="360" w:lineRule="auto"/>
        <w:ind w:firstLineChars="200" w:firstLine="480"/>
        <w:rPr>
          <w:rFonts w:ascii="Times New Roman" w:hAnsi="宋体"/>
          <w:kern w:val="0"/>
          <w:sz w:val="24"/>
          <w:szCs w:val="24"/>
        </w:rPr>
      </w:pPr>
      <w:r>
        <w:rPr>
          <w:rFonts w:ascii="Times New Roman" w:hAnsi="宋体" w:hint="eastAsia"/>
          <w:kern w:val="0"/>
          <w:sz w:val="24"/>
          <w:szCs w:val="24"/>
        </w:rPr>
        <w:t>包括直接投资框架内，每一层投资者的名称。</w:t>
      </w:r>
      <w:r>
        <w:rPr>
          <w:rFonts w:ascii="Times New Roman" w:hAnsi="宋体"/>
          <w:kern w:val="0"/>
          <w:sz w:val="24"/>
          <w:szCs w:val="24"/>
        </w:rPr>
        <w:t>向</w:t>
      </w:r>
      <w:r>
        <w:rPr>
          <w:rFonts w:ascii="Times New Roman" w:hAnsi="宋体" w:hint="eastAsia"/>
          <w:kern w:val="0"/>
          <w:sz w:val="24"/>
          <w:szCs w:val="24"/>
        </w:rPr>
        <w:t>上</w:t>
      </w:r>
      <w:r>
        <w:rPr>
          <w:rFonts w:ascii="Times New Roman" w:hAnsi="宋体"/>
          <w:kern w:val="0"/>
          <w:sz w:val="24"/>
          <w:szCs w:val="24"/>
        </w:rPr>
        <w:t>N</w:t>
      </w:r>
      <w:r>
        <w:rPr>
          <w:rFonts w:ascii="Times New Roman" w:hAnsi="宋体" w:hint="eastAsia"/>
          <w:kern w:val="0"/>
          <w:sz w:val="24"/>
          <w:szCs w:val="24"/>
        </w:rPr>
        <w:t>级投资者名称指截至本统计期末，持有本申报主体</w:t>
      </w:r>
      <w:r>
        <w:rPr>
          <w:rFonts w:ascii="Times New Roman" w:hAnsi="宋体"/>
          <w:kern w:val="0"/>
          <w:sz w:val="24"/>
          <w:szCs w:val="24"/>
        </w:rPr>
        <w:t>10%</w:t>
      </w:r>
      <w:r>
        <w:rPr>
          <w:rFonts w:ascii="Times New Roman" w:hAnsi="宋体" w:hint="eastAsia"/>
          <w:kern w:val="0"/>
          <w:sz w:val="24"/>
          <w:szCs w:val="24"/>
        </w:rPr>
        <w:t>及以上表决权的投资者、持有该投资者</w:t>
      </w:r>
      <w:r>
        <w:rPr>
          <w:rFonts w:ascii="Times New Roman" w:hAnsi="宋体"/>
          <w:kern w:val="0"/>
          <w:sz w:val="24"/>
          <w:szCs w:val="24"/>
        </w:rPr>
        <w:t>10%</w:t>
      </w:r>
      <w:r>
        <w:rPr>
          <w:rFonts w:ascii="Times New Roman" w:hAnsi="宋体" w:hint="eastAsia"/>
          <w:kern w:val="0"/>
          <w:sz w:val="24"/>
          <w:szCs w:val="24"/>
        </w:rPr>
        <w:t>及以上表决权的再上一级投资者，并一直向上追溯的各级投资者的名称；</w:t>
      </w:r>
      <w:r>
        <w:rPr>
          <w:rFonts w:ascii="Times New Roman" w:hAnsi="宋体"/>
          <w:kern w:val="0"/>
          <w:sz w:val="24"/>
          <w:szCs w:val="24"/>
        </w:rPr>
        <w:t>向</w:t>
      </w:r>
      <w:r>
        <w:rPr>
          <w:rFonts w:ascii="Times New Roman" w:hAnsi="宋体" w:hint="eastAsia"/>
          <w:kern w:val="0"/>
          <w:sz w:val="24"/>
          <w:szCs w:val="24"/>
        </w:rPr>
        <w:t>下</w:t>
      </w:r>
      <w:r>
        <w:rPr>
          <w:rFonts w:ascii="Times New Roman" w:hAnsi="宋体"/>
          <w:kern w:val="0"/>
          <w:sz w:val="24"/>
          <w:szCs w:val="24"/>
        </w:rPr>
        <w:t>N</w:t>
      </w:r>
      <w:r>
        <w:rPr>
          <w:rFonts w:ascii="Times New Roman" w:hAnsi="宋体" w:hint="eastAsia"/>
          <w:kern w:val="0"/>
          <w:sz w:val="24"/>
          <w:szCs w:val="24"/>
        </w:rPr>
        <w:t>级投资者名称指由申报主体直接持有</w:t>
      </w:r>
      <w:r>
        <w:rPr>
          <w:rFonts w:ascii="Times New Roman" w:hAnsi="宋体" w:hint="eastAsia"/>
          <w:kern w:val="0"/>
          <w:sz w:val="24"/>
          <w:szCs w:val="24"/>
        </w:rPr>
        <w:t>10%</w:t>
      </w:r>
      <w:r>
        <w:rPr>
          <w:rFonts w:ascii="Times New Roman" w:hAnsi="宋体" w:hint="eastAsia"/>
          <w:kern w:val="0"/>
          <w:sz w:val="24"/>
          <w:szCs w:val="24"/>
        </w:rPr>
        <w:t>及以上表决权的被投资机构，以及该被投资机构直接持有</w:t>
      </w:r>
      <w:r>
        <w:rPr>
          <w:rFonts w:ascii="Times New Roman" w:hAnsi="宋体"/>
          <w:kern w:val="0"/>
          <w:sz w:val="24"/>
          <w:szCs w:val="24"/>
        </w:rPr>
        <w:t>10%</w:t>
      </w:r>
      <w:r>
        <w:rPr>
          <w:rFonts w:ascii="Times New Roman" w:hAnsi="宋体" w:hint="eastAsia"/>
          <w:kern w:val="0"/>
          <w:sz w:val="24"/>
          <w:szCs w:val="24"/>
        </w:rPr>
        <w:t>及以上表决权的再下一级被投资机构，并一直向下追溯的各级被投资机构的名称。</w:t>
      </w:r>
    </w:p>
    <w:p w14:paraId="423AA68F" w14:textId="77777777" w:rsidR="00A052DC" w:rsidRDefault="009F0A60">
      <w:pPr>
        <w:spacing w:line="360" w:lineRule="auto"/>
        <w:ind w:firstLineChars="200" w:firstLine="480"/>
        <w:rPr>
          <w:rFonts w:ascii="Times New Roman" w:hAnsi="宋体"/>
          <w:kern w:val="0"/>
          <w:sz w:val="24"/>
          <w:szCs w:val="24"/>
        </w:rPr>
      </w:pPr>
      <w:r>
        <w:rPr>
          <w:rFonts w:ascii="Times New Roman" w:hAnsi="宋体" w:hint="eastAsia"/>
          <w:kern w:val="0"/>
          <w:sz w:val="24"/>
          <w:szCs w:val="24"/>
        </w:rPr>
        <w:t>本接口文件将所有的投资关系分解为成对的直接投资关系，即“投资者—被投资者”关系。只需要填报每一对“投资者—被投资者”信息即可，由外汇局根据填报信息完成投资关系结构图。</w:t>
      </w:r>
    </w:p>
    <w:p w14:paraId="5F148680" w14:textId="77777777" w:rsidR="00A052DC" w:rsidRDefault="009F0A60" w:rsidP="0020251D">
      <w:pPr>
        <w:pStyle w:val="4"/>
        <w:numPr>
          <w:ilvl w:val="3"/>
          <w:numId w:val="1"/>
        </w:numPr>
        <w:jc w:val="left"/>
      </w:pPr>
      <w:bookmarkStart w:id="2970" w:name="_Toc454391222"/>
      <w:bookmarkStart w:id="2971" w:name="_Toc380570900"/>
      <w:r>
        <w:rPr>
          <w:rFonts w:hint="eastAsia"/>
        </w:rPr>
        <w:t>数据术语解释</w:t>
      </w:r>
      <w:bookmarkEnd w:id="2970"/>
      <w:bookmarkEnd w:id="2971"/>
    </w:p>
    <w:p w14:paraId="3178D270" w14:textId="77777777" w:rsidR="00A052DC" w:rsidRDefault="00A052DC">
      <w:pPr>
        <w:spacing w:line="240" w:lineRule="exact"/>
        <w:rPr>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5"/>
        <w:gridCol w:w="6897"/>
      </w:tblGrid>
      <w:tr w:rsidR="00A052DC" w14:paraId="4E7B3F57" w14:textId="77777777">
        <w:trPr>
          <w:cantSplit/>
        </w:trPr>
        <w:tc>
          <w:tcPr>
            <w:tcW w:w="1575" w:type="dxa"/>
            <w:shd w:val="clear" w:color="auto" w:fill="auto"/>
            <w:noWrap/>
          </w:tcPr>
          <w:p w14:paraId="032DE8C9" w14:textId="77777777" w:rsidR="00A052DC" w:rsidRDefault="009F0A60">
            <w:pPr>
              <w:pStyle w:val="B1"/>
            </w:pPr>
            <w:r>
              <w:rPr>
                <w:rFonts w:hint="eastAsia"/>
              </w:rPr>
              <w:t>基础数据项</w:t>
            </w:r>
          </w:p>
        </w:tc>
        <w:tc>
          <w:tcPr>
            <w:tcW w:w="6897" w:type="dxa"/>
            <w:shd w:val="clear" w:color="auto" w:fill="auto"/>
            <w:noWrap/>
          </w:tcPr>
          <w:p w14:paraId="13480F2F" w14:textId="77777777" w:rsidR="00A052DC" w:rsidRDefault="009F0A60">
            <w:pPr>
              <w:pStyle w:val="B1"/>
            </w:pPr>
            <w:r>
              <w:rPr>
                <w:rFonts w:hint="eastAsia"/>
              </w:rPr>
              <w:t>定义</w:t>
            </w:r>
          </w:p>
        </w:tc>
      </w:tr>
      <w:tr w:rsidR="00A052DC" w14:paraId="2DCCFD19" w14:textId="77777777">
        <w:trPr>
          <w:cantSplit/>
        </w:trPr>
        <w:tc>
          <w:tcPr>
            <w:tcW w:w="1575" w:type="dxa"/>
            <w:shd w:val="clear" w:color="auto" w:fill="auto"/>
          </w:tcPr>
          <w:p w14:paraId="6939BF19" w14:textId="77777777" w:rsidR="00A052DC" w:rsidRDefault="009F0A60">
            <w:pPr>
              <w:pStyle w:val="B"/>
              <w:rPr>
                <w:szCs w:val="20"/>
              </w:rPr>
            </w:pPr>
            <w:r>
              <w:rPr>
                <w:rFonts w:hint="eastAsia"/>
                <w:szCs w:val="20"/>
              </w:rPr>
              <w:t>数据自编码</w:t>
            </w:r>
          </w:p>
        </w:tc>
        <w:tc>
          <w:tcPr>
            <w:tcW w:w="6897" w:type="dxa"/>
            <w:shd w:val="clear" w:color="auto" w:fill="auto"/>
            <w:noWrap/>
          </w:tcPr>
          <w:p w14:paraId="676521C2" w14:textId="77777777" w:rsidR="00A052DC" w:rsidRDefault="009F0A60">
            <w:pPr>
              <w:pStyle w:val="B"/>
              <w:rPr>
                <w:szCs w:val="20"/>
              </w:rPr>
            </w:pPr>
            <w:r>
              <w:rPr>
                <w:rFonts w:hint="eastAsia"/>
                <w:szCs w:val="20"/>
              </w:rPr>
              <w:t>该编码用于标识金融机构报送的每一条数据，按给定规则编码，便于进行增删改查等操作。建议规则：机构代码（</w:t>
            </w:r>
            <w:r>
              <w:rPr>
                <w:szCs w:val="20"/>
              </w:rPr>
              <w:t>1</w:t>
            </w:r>
            <w:r>
              <w:rPr>
                <w:rFonts w:hint="eastAsia"/>
                <w:szCs w:val="20"/>
              </w:rPr>
              <w:t>8位，不足</w:t>
            </w:r>
            <w:r>
              <w:rPr>
                <w:szCs w:val="20"/>
              </w:rPr>
              <w:t>1</w:t>
            </w:r>
            <w:r>
              <w:rPr>
                <w:rFonts w:hint="eastAsia"/>
                <w:szCs w:val="20"/>
              </w:rPr>
              <w:t>8位补</w:t>
            </w:r>
            <w:r>
              <w:rPr>
                <w:szCs w:val="20"/>
              </w:rPr>
              <w:t>a</w:t>
            </w:r>
            <w:r>
              <w:rPr>
                <w:rFonts w:hint="eastAsia"/>
                <w:szCs w:val="20"/>
              </w:rPr>
              <w:t>）</w:t>
            </w:r>
            <w:r>
              <w:rPr>
                <w:szCs w:val="20"/>
              </w:rPr>
              <w:t>+</w:t>
            </w:r>
            <w:r>
              <w:rPr>
                <w:rFonts w:hint="eastAsia"/>
                <w:szCs w:val="20"/>
              </w:rPr>
              <w:t>报表代码（</w:t>
            </w:r>
            <w:r>
              <w:rPr>
                <w:szCs w:val="20"/>
              </w:rPr>
              <w:t>5</w:t>
            </w:r>
            <w:r>
              <w:rPr>
                <w:rFonts w:hint="eastAsia"/>
                <w:szCs w:val="20"/>
              </w:rPr>
              <w:t>位，不足</w:t>
            </w:r>
            <w:r>
              <w:rPr>
                <w:szCs w:val="20"/>
              </w:rPr>
              <w:t>5</w:t>
            </w:r>
            <w:r>
              <w:rPr>
                <w:rFonts w:hint="eastAsia"/>
                <w:szCs w:val="20"/>
              </w:rPr>
              <w:t>位补</w:t>
            </w:r>
            <w:r>
              <w:rPr>
                <w:szCs w:val="20"/>
              </w:rPr>
              <w:t>a</w:t>
            </w:r>
            <w:r>
              <w:rPr>
                <w:rFonts w:hint="eastAsia"/>
                <w:szCs w:val="20"/>
              </w:rPr>
              <w:t>）</w:t>
            </w:r>
            <w:r>
              <w:rPr>
                <w:szCs w:val="20"/>
              </w:rPr>
              <w:t>+</w:t>
            </w:r>
            <w:r>
              <w:rPr>
                <w:rFonts w:hint="eastAsia"/>
                <w:szCs w:val="20"/>
              </w:rPr>
              <w:t>报送期（</w:t>
            </w:r>
            <w:r>
              <w:rPr>
                <w:szCs w:val="20"/>
              </w:rPr>
              <w:t>6</w:t>
            </w:r>
            <w:r>
              <w:rPr>
                <w:rFonts w:hint="eastAsia"/>
                <w:szCs w:val="20"/>
              </w:rPr>
              <w:t>位）</w:t>
            </w:r>
            <w:r>
              <w:rPr>
                <w:szCs w:val="20"/>
              </w:rPr>
              <w:t>+</w:t>
            </w:r>
            <w:r>
              <w:rPr>
                <w:rFonts w:hint="eastAsia"/>
                <w:szCs w:val="20"/>
              </w:rPr>
              <w:t>顺序号（</w:t>
            </w:r>
            <w:r>
              <w:rPr>
                <w:szCs w:val="20"/>
              </w:rPr>
              <w:t>7</w:t>
            </w:r>
            <w:r>
              <w:rPr>
                <w:rFonts w:hint="eastAsia"/>
                <w:szCs w:val="20"/>
              </w:rPr>
              <w:t>位，从</w:t>
            </w:r>
            <w:r>
              <w:rPr>
                <w:szCs w:val="20"/>
              </w:rPr>
              <w:t>0000001</w:t>
            </w:r>
            <w:r>
              <w:rPr>
                <w:rFonts w:hint="eastAsia"/>
                <w:szCs w:val="20"/>
              </w:rPr>
              <w:t>开始增加）。</w:t>
            </w:r>
          </w:p>
        </w:tc>
      </w:tr>
      <w:tr w:rsidR="00A052DC" w14:paraId="51EAC7B6" w14:textId="77777777">
        <w:trPr>
          <w:cantSplit/>
        </w:trPr>
        <w:tc>
          <w:tcPr>
            <w:tcW w:w="1575" w:type="dxa"/>
            <w:shd w:val="clear" w:color="auto" w:fill="auto"/>
          </w:tcPr>
          <w:p w14:paraId="2C1677F5" w14:textId="77777777" w:rsidR="00A052DC" w:rsidRDefault="009F0A60">
            <w:pPr>
              <w:pStyle w:val="B"/>
              <w:rPr>
                <w:szCs w:val="20"/>
              </w:rPr>
            </w:pPr>
            <w:r>
              <w:rPr>
                <w:rFonts w:hint="eastAsia"/>
                <w:szCs w:val="20"/>
              </w:rPr>
              <w:t>申报主体代码</w:t>
            </w:r>
          </w:p>
        </w:tc>
        <w:tc>
          <w:tcPr>
            <w:tcW w:w="6897" w:type="dxa"/>
            <w:shd w:val="clear" w:color="auto" w:fill="auto"/>
            <w:noWrap/>
          </w:tcPr>
          <w:p w14:paraId="7504BD9B" w14:textId="77777777" w:rsidR="00A052DC" w:rsidRDefault="009F0A60">
            <w:pPr>
              <w:pStyle w:val="B"/>
              <w:rPr>
                <w:szCs w:val="20"/>
              </w:rPr>
            </w:pPr>
            <w:r>
              <w:rPr>
                <w:rFonts w:hint="eastAsia"/>
                <w:szCs w:val="20"/>
              </w:rPr>
              <w:t>申报主体的12位金融机构标识码，如果没有金融机构标识码，则填报统一社会信用代码法定载体（如营业执照）上统一社会信用代码中的第9至17位或国家外汇管理局及其分支局签发的特殊机构代码赋码通知书上的机构代码、个人身份代码。</w:t>
            </w:r>
          </w:p>
        </w:tc>
      </w:tr>
      <w:tr w:rsidR="00A052DC" w14:paraId="52E2C9EE" w14:textId="77777777">
        <w:trPr>
          <w:cantSplit/>
        </w:trPr>
        <w:tc>
          <w:tcPr>
            <w:tcW w:w="1575" w:type="dxa"/>
            <w:shd w:val="clear" w:color="auto" w:fill="auto"/>
          </w:tcPr>
          <w:p w14:paraId="36FC7A3E" w14:textId="77777777" w:rsidR="00A052DC" w:rsidRDefault="009F0A60">
            <w:pPr>
              <w:pStyle w:val="B"/>
              <w:rPr>
                <w:szCs w:val="20"/>
              </w:rPr>
            </w:pPr>
            <w:r>
              <w:rPr>
                <w:rFonts w:hint="eastAsia"/>
                <w:szCs w:val="20"/>
              </w:rPr>
              <w:t>报告期</w:t>
            </w:r>
          </w:p>
        </w:tc>
        <w:tc>
          <w:tcPr>
            <w:tcW w:w="6897" w:type="dxa"/>
            <w:shd w:val="clear" w:color="auto" w:fill="auto"/>
            <w:noWrap/>
          </w:tcPr>
          <w:p w14:paraId="0EEA704C" w14:textId="77777777" w:rsidR="00A052DC" w:rsidRDefault="009F0A60">
            <w:pPr>
              <w:pStyle w:val="B"/>
              <w:rPr>
                <w:szCs w:val="20"/>
              </w:rPr>
            </w:pPr>
            <w:r>
              <w:rPr>
                <w:rFonts w:hint="eastAsia"/>
                <w:szCs w:val="20"/>
              </w:rPr>
              <w:t>业务发生月份，格式为</w:t>
            </w:r>
            <w:r>
              <w:rPr>
                <w:szCs w:val="20"/>
              </w:rPr>
              <w:t>YYYYMM</w:t>
            </w:r>
            <w:r>
              <w:rPr>
                <w:rFonts w:hint="eastAsia"/>
                <w:szCs w:val="20"/>
              </w:rPr>
              <w:t>。</w:t>
            </w:r>
          </w:p>
        </w:tc>
      </w:tr>
      <w:tr w:rsidR="00A052DC" w14:paraId="3C9A36BC" w14:textId="77777777">
        <w:trPr>
          <w:cantSplit/>
        </w:trPr>
        <w:tc>
          <w:tcPr>
            <w:tcW w:w="1575" w:type="dxa"/>
            <w:shd w:val="clear" w:color="auto" w:fill="auto"/>
          </w:tcPr>
          <w:p w14:paraId="6169A3BF" w14:textId="77777777" w:rsidR="00A052DC" w:rsidRDefault="009F0A60">
            <w:pPr>
              <w:pStyle w:val="B"/>
              <w:rPr>
                <w:szCs w:val="20"/>
              </w:rPr>
            </w:pPr>
            <w:r>
              <w:rPr>
                <w:rFonts w:hint="eastAsia"/>
                <w:szCs w:val="20"/>
              </w:rPr>
              <w:t>投资者名称</w:t>
            </w:r>
          </w:p>
        </w:tc>
        <w:tc>
          <w:tcPr>
            <w:tcW w:w="6897" w:type="dxa"/>
            <w:shd w:val="clear" w:color="auto" w:fill="auto"/>
            <w:noWrap/>
          </w:tcPr>
          <w:p w14:paraId="2CBBD2FE" w14:textId="77777777" w:rsidR="00A052DC" w:rsidRDefault="009F0A60">
            <w:pPr>
              <w:pStyle w:val="B"/>
              <w:rPr>
                <w:szCs w:val="20"/>
              </w:rPr>
            </w:pPr>
            <w:r>
              <w:rPr>
                <w:rFonts w:hint="eastAsia"/>
                <w:szCs w:val="20"/>
              </w:rPr>
              <w:t>指截至本统计期末，在申报主体所处的投资者</w:t>
            </w:r>
            <w:r>
              <w:rPr>
                <w:szCs w:val="20"/>
              </w:rPr>
              <w:t>-</w:t>
            </w:r>
            <w:r>
              <w:rPr>
                <w:rFonts w:hint="eastAsia"/>
                <w:szCs w:val="20"/>
              </w:rPr>
              <w:t>被投资机构关系中，直接持有下一级被投资机构</w:t>
            </w:r>
            <w:r>
              <w:rPr>
                <w:szCs w:val="20"/>
              </w:rPr>
              <w:t>10%</w:t>
            </w:r>
            <w:r>
              <w:rPr>
                <w:rFonts w:hint="eastAsia"/>
                <w:szCs w:val="20"/>
              </w:rPr>
              <w:t>及以上表决权的各级投资者的名称。应填写投资者（机构或个人）的中文名称或当地注册的英文名称。如直接持有下一级被投资机构50%以上的表决权或股权，投资者（机构或个人）英文名称（全称）必填。如为其他语言名称，可不填写外文名称，但必须填写中文名称和英文名称。申报主体如直接持有下一级被投资机构</w:t>
            </w:r>
            <w:r>
              <w:rPr>
                <w:szCs w:val="20"/>
              </w:rPr>
              <w:t>10%</w:t>
            </w:r>
            <w:r>
              <w:rPr>
                <w:rFonts w:hint="eastAsia"/>
                <w:szCs w:val="20"/>
              </w:rPr>
              <w:t>及以上表决权，也应作为投资者来报送。如，</w:t>
            </w:r>
            <w:r>
              <w:rPr>
                <w:szCs w:val="20"/>
              </w:rPr>
              <w:t>B</w:t>
            </w:r>
            <w:r>
              <w:rPr>
                <w:rFonts w:hint="eastAsia"/>
                <w:szCs w:val="20"/>
              </w:rPr>
              <w:t>机构直接持有申报主体</w:t>
            </w:r>
            <w:r>
              <w:rPr>
                <w:szCs w:val="20"/>
              </w:rPr>
              <w:t>A</w:t>
            </w:r>
            <w:r>
              <w:rPr>
                <w:rFonts w:hint="eastAsia"/>
                <w:szCs w:val="20"/>
              </w:rPr>
              <w:t>表决权</w:t>
            </w:r>
            <w:r>
              <w:rPr>
                <w:szCs w:val="20"/>
              </w:rPr>
              <w:t>100%</w:t>
            </w:r>
            <w:r>
              <w:rPr>
                <w:rFonts w:hint="eastAsia"/>
                <w:szCs w:val="20"/>
              </w:rPr>
              <w:t>；申报主体</w:t>
            </w:r>
            <w:r>
              <w:rPr>
                <w:szCs w:val="20"/>
              </w:rPr>
              <w:t>A</w:t>
            </w:r>
            <w:r>
              <w:rPr>
                <w:rFonts w:hint="eastAsia"/>
                <w:szCs w:val="20"/>
              </w:rPr>
              <w:t>直接持有</w:t>
            </w:r>
            <w:r>
              <w:rPr>
                <w:szCs w:val="20"/>
              </w:rPr>
              <w:t>C</w:t>
            </w:r>
            <w:r>
              <w:rPr>
                <w:rFonts w:hint="eastAsia"/>
                <w:szCs w:val="20"/>
              </w:rPr>
              <w:t>机构</w:t>
            </w:r>
            <w:r>
              <w:rPr>
                <w:szCs w:val="20"/>
              </w:rPr>
              <w:t>100%</w:t>
            </w:r>
            <w:r>
              <w:rPr>
                <w:rFonts w:hint="eastAsia"/>
                <w:szCs w:val="20"/>
              </w:rPr>
              <w:t>的表决权。则，本表应有两条信息：第一条是投资者名称下填写投资者</w:t>
            </w:r>
            <w:r>
              <w:rPr>
                <w:szCs w:val="20"/>
              </w:rPr>
              <w:t>B</w:t>
            </w:r>
            <w:r>
              <w:rPr>
                <w:rFonts w:hint="eastAsia"/>
                <w:szCs w:val="20"/>
              </w:rPr>
              <w:t>的名称，被投资机构名称下填写被投资机构</w:t>
            </w:r>
            <w:r>
              <w:rPr>
                <w:szCs w:val="20"/>
              </w:rPr>
              <w:t>A</w:t>
            </w:r>
            <w:r>
              <w:rPr>
                <w:rFonts w:hint="eastAsia"/>
                <w:szCs w:val="20"/>
              </w:rPr>
              <w:t>的名称，同时填写其他如所属国家</w:t>
            </w:r>
            <w:r>
              <w:rPr>
                <w:szCs w:val="20"/>
              </w:rPr>
              <w:t>/</w:t>
            </w:r>
            <w:r>
              <w:rPr>
                <w:rFonts w:hint="eastAsia"/>
                <w:szCs w:val="20"/>
              </w:rPr>
              <w:t>地区、部门、投资者持有被投资者表决权比例等信息；第二条为投资者名称下填写投资者</w:t>
            </w:r>
            <w:r>
              <w:rPr>
                <w:szCs w:val="20"/>
              </w:rPr>
              <w:t>A</w:t>
            </w:r>
            <w:r>
              <w:rPr>
                <w:rFonts w:hint="eastAsia"/>
                <w:szCs w:val="20"/>
              </w:rPr>
              <w:t>的名称，被投资机构名称下填写被投资机构</w:t>
            </w:r>
            <w:r>
              <w:rPr>
                <w:szCs w:val="20"/>
              </w:rPr>
              <w:t>C</w:t>
            </w:r>
            <w:r>
              <w:rPr>
                <w:rFonts w:hint="eastAsia"/>
                <w:szCs w:val="20"/>
              </w:rPr>
              <w:t>的名称，同时填写其他如所属国家</w:t>
            </w:r>
            <w:r>
              <w:rPr>
                <w:szCs w:val="20"/>
              </w:rPr>
              <w:t>/</w:t>
            </w:r>
            <w:r>
              <w:rPr>
                <w:rFonts w:hint="eastAsia"/>
                <w:szCs w:val="20"/>
              </w:rPr>
              <w:t>地区、部门、投资者持有被投资者表决权比例等信息。如果报告期内本申报主体有与境外联属企业的交易或头寸的，应将相关境外联属企业信息纳入本表统计。所谓申报主体的境外联属企业，是与申报主体有共同母公司，但申报主体与该境外机构相互持有表决权＜</w:t>
            </w:r>
            <w:r>
              <w:rPr>
                <w:szCs w:val="20"/>
              </w:rPr>
              <w:t>10%</w:t>
            </w:r>
            <w:r>
              <w:rPr>
                <w:rFonts w:hint="eastAsia"/>
                <w:szCs w:val="20"/>
              </w:rPr>
              <w:t>或相互不持有表决权的境外机构。如境内外资银行与同集团下其他国或地区的分支机构、子机构之间形成联属企业关系。</w:t>
            </w:r>
          </w:p>
        </w:tc>
      </w:tr>
      <w:tr w:rsidR="00A052DC" w14:paraId="413CDF44" w14:textId="77777777">
        <w:trPr>
          <w:cantSplit/>
        </w:trPr>
        <w:tc>
          <w:tcPr>
            <w:tcW w:w="1575" w:type="dxa"/>
            <w:shd w:val="clear" w:color="auto" w:fill="auto"/>
          </w:tcPr>
          <w:p w14:paraId="0332A9AF" w14:textId="77777777" w:rsidR="00A052DC" w:rsidRDefault="009F0A60">
            <w:pPr>
              <w:pStyle w:val="B"/>
              <w:rPr>
                <w:szCs w:val="20"/>
              </w:rPr>
            </w:pPr>
            <w:r>
              <w:rPr>
                <w:rFonts w:hint="eastAsia"/>
                <w:szCs w:val="20"/>
              </w:rPr>
              <w:t>投资者代码</w:t>
            </w:r>
          </w:p>
        </w:tc>
        <w:tc>
          <w:tcPr>
            <w:tcW w:w="6897" w:type="dxa"/>
            <w:shd w:val="clear" w:color="auto" w:fill="auto"/>
            <w:noWrap/>
          </w:tcPr>
          <w:p w14:paraId="49A45AD1" w14:textId="77777777" w:rsidR="00A052DC" w:rsidRDefault="009F0A60">
            <w:pPr>
              <w:pStyle w:val="B"/>
              <w:rPr>
                <w:szCs w:val="20"/>
              </w:rPr>
            </w:pPr>
            <w:r>
              <w:rPr>
                <w:rFonts w:hint="eastAsia"/>
                <w:szCs w:val="20"/>
              </w:rPr>
              <w:t>指投资者名称中各级投资者的代码，如为境内机构和个人，则填写主体标识码（统一社会信用代码的第9-17位）或统一社会信用代码和个人身份证件号码；如为境外机构，则优先选择SWIFT代码，如没有SWIFT代码，可填写特殊机构代码/股票证券代码/其他机构标识码，以唯一标识该境外机构；如为境外个人，则填写护照号码或当地具有唯一性的个人身份证号码。当申报主体为投资者时，投资者代码应与Z0103证件号码保持一致。</w:t>
            </w:r>
          </w:p>
        </w:tc>
      </w:tr>
      <w:tr w:rsidR="00A052DC" w14:paraId="2291F0EB" w14:textId="77777777">
        <w:trPr>
          <w:cantSplit/>
        </w:trPr>
        <w:tc>
          <w:tcPr>
            <w:tcW w:w="1575" w:type="dxa"/>
            <w:shd w:val="clear" w:color="auto" w:fill="auto"/>
          </w:tcPr>
          <w:p w14:paraId="574E0E4A" w14:textId="77777777" w:rsidR="00A052DC" w:rsidRDefault="009F0A60">
            <w:pPr>
              <w:pStyle w:val="B"/>
              <w:rPr>
                <w:szCs w:val="20"/>
              </w:rPr>
            </w:pPr>
            <w:r>
              <w:rPr>
                <w:rFonts w:hint="eastAsia"/>
                <w:szCs w:val="20"/>
              </w:rPr>
              <w:t>投资者所属国家</w:t>
            </w:r>
            <w:r>
              <w:rPr>
                <w:szCs w:val="20"/>
              </w:rPr>
              <w:t>/</w:t>
            </w:r>
            <w:r>
              <w:rPr>
                <w:rFonts w:hint="eastAsia"/>
                <w:szCs w:val="20"/>
              </w:rPr>
              <w:t>地区</w:t>
            </w:r>
          </w:p>
        </w:tc>
        <w:tc>
          <w:tcPr>
            <w:tcW w:w="6897" w:type="dxa"/>
            <w:shd w:val="clear" w:color="auto" w:fill="auto"/>
            <w:noWrap/>
          </w:tcPr>
          <w:p w14:paraId="68871DDF" w14:textId="77777777" w:rsidR="00A052DC" w:rsidRDefault="009F0A60">
            <w:pPr>
              <w:pStyle w:val="B"/>
              <w:rPr>
                <w:szCs w:val="20"/>
              </w:rPr>
            </w:pPr>
            <w:r>
              <w:rPr>
                <w:rFonts w:hint="eastAsia"/>
                <w:szCs w:val="20"/>
              </w:rPr>
              <w:t>指上述各级投资者注册或常驻（住）的国家或地区，见国家和地区代码表。</w:t>
            </w:r>
          </w:p>
        </w:tc>
      </w:tr>
      <w:tr w:rsidR="00A052DC" w14:paraId="56092FC0" w14:textId="77777777">
        <w:trPr>
          <w:cantSplit/>
        </w:trPr>
        <w:tc>
          <w:tcPr>
            <w:tcW w:w="1575" w:type="dxa"/>
            <w:shd w:val="clear" w:color="auto" w:fill="auto"/>
          </w:tcPr>
          <w:p w14:paraId="53D43957" w14:textId="77777777" w:rsidR="00A052DC" w:rsidRDefault="009F0A60">
            <w:pPr>
              <w:pStyle w:val="B"/>
              <w:rPr>
                <w:szCs w:val="20"/>
              </w:rPr>
            </w:pPr>
            <w:r>
              <w:rPr>
                <w:rFonts w:hint="eastAsia"/>
                <w:szCs w:val="20"/>
              </w:rPr>
              <w:t>投资者所属部门</w:t>
            </w:r>
          </w:p>
        </w:tc>
        <w:tc>
          <w:tcPr>
            <w:tcW w:w="6897" w:type="dxa"/>
            <w:shd w:val="clear" w:color="auto" w:fill="auto"/>
            <w:noWrap/>
          </w:tcPr>
          <w:p w14:paraId="0FA8B3DF" w14:textId="77777777" w:rsidR="00A052DC" w:rsidRDefault="009F0A60">
            <w:pPr>
              <w:pStyle w:val="B"/>
              <w:rPr>
                <w:szCs w:val="20"/>
              </w:rPr>
            </w:pPr>
            <w:r>
              <w:rPr>
                <w:rFonts w:hint="eastAsia"/>
                <w:szCs w:val="20"/>
              </w:rPr>
              <w:t>指上述各级投资者所属的部门分类，见投资者（被投资者）部门代码表。请按投资者的主营业务归类。</w:t>
            </w:r>
          </w:p>
        </w:tc>
      </w:tr>
      <w:tr w:rsidR="00A052DC" w14:paraId="2F828AD2" w14:textId="77777777">
        <w:trPr>
          <w:cantSplit/>
        </w:trPr>
        <w:tc>
          <w:tcPr>
            <w:tcW w:w="1575" w:type="dxa"/>
            <w:shd w:val="clear" w:color="auto" w:fill="auto"/>
          </w:tcPr>
          <w:p w14:paraId="3979CC5D" w14:textId="77777777" w:rsidR="00A052DC" w:rsidRDefault="009F0A60">
            <w:pPr>
              <w:pStyle w:val="B"/>
              <w:rPr>
                <w:szCs w:val="20"/>
              </w:rPr>
            </w:pPr>
            <w:r>
              <w:rPr>
                <w:rFonts w:hint="eastAsia"/>
                <w:szCs w:val="20"/>
              </w:rPr>
              <w:t>投资者表决权比例（</w:t>
            </w:r>
            <w:r>
              <w:rPr>
                <w:szCs w:val="20"/>
              </w:rPr>
              <w:t>%</w:t>
            </w:r>
            <w:r>
              <w:rPr>
                <w:rFonts w:hint="eastAsia"/>
                <w:szCs w:val="20"/>
              </w:rPr>
              <w:t>）</w:t>
            </w:r>
          </w:p>
        </w:tc>
        <w:tc>
          <w:tcPr>
            <w:tcW w:w="6897" w:type="dxa"/>
            <w:shd w:val="clear" w:color="auto" w:fill="auto"/>
            <w:noWrap/>
          </w:tcPr>
          <w:p w14:paraId="10A1F00B" w14:textId="77777777" w:rsidR="00A052DC" w:rsidRDefault="009F0A60">
            <w:pPr>
              <w:pStyle w:val="B"/>
              <w:rPr>
                <w:szCs w:val="20"/>
              </w:rPr>
            </w:pPr>
            <w:r>
              <w:rPr>
                <w:rFonts w:hint="eastAsia"/>
                <w:szCs w:val="20"/>
              </w:rPr>
              <w:t>指本统计期末，上述投资者持有下一级被投资机构表决权比例。</w:t>
            </w:r>
          </w:p>
        </w:tc>
      </w:tr>
      <w:tr w:rsidR="00A052DC" w14:paraId="7539169C" w14:textId="77777777">
        <w:trPr>
          <w:cantSplit/>
        </w:trPr>
        <w:tc>
          <w:tcPr>
            <w:tcW w:w="1575" w:type="dxa"/>
            <w:shd w:val="clear" w:color="auto" w:fill="auto"/>
          </w:tcPr>
          <w:p w14:paraId="3E14764D" w14:textId="77777777" w:rsidR="00A052DC" w:rsidRDefault="009F0A60">
            <w:pPr>
              <w:pStyle w:val="B"/>
              <w:rPr>
                <w:szCs w:val="20"/>
              </w:rPr>
            </w:pPr>
            <w:r>
              <w:rPr>
                <w:rFonts w:hint="eastAsia"/>
                <w:szCs w:val="20"/>
              </w:rPr>
              <w:t>被投资机构名称</w:t>
            </w:r>
          </w:p>
        </w:tc>
        <w:tc>
          <w:tcPr>
            <w:tcW w:w="6897" w:type="dxa"/>
            <w:shd w:val="clear" w:color="auto" w:fill="auto"/>
            <w:noWrap/>
          </w:tcPr>
          <w:p w14:paraId="320B43E9" w14:textId="77777777" w:rsidR="00A052DC" w:rsidRDefault="009F0A60">
            <w:pPr>
              <w:pStyle w:val="B"/>
              <w:rPr>
                <w:szCs w:val="20"/>
              </w:rPr>
            </w:pPr>
            <w:r>
              <w:rPr>
                <w:rFonts w:hint="eastAsia"/>
                <w:szCs w:val="20"/>
              </w:rPr>
              <w:t>指截至本统计期末，在申报主体所处的投资者</w:t>
            </w:r>
            <w:r>
              <w:rPr>
                <w:szCs w:val="20"/>
              </w:rPr>
              <w:t>-</w:t>
            </w:r>
            <w:r>
              <w:rPr>
                <w:rFonts w:hint="eastAsia"/>
                <w:szCs w:val="20"/>
              </w:rPr>
              <w:t>被投资机构关系中，直接被上一级投资者持有</w:t>
            </w:r>
            <w:r>
              <w:rPr>
                <w:szCs w:val="20"/>
              </w:rPr>
              <w:t>10%</w:t>
            </w:r>
            <w:r>
              <w:rPr>
                <w:rFonts w:hint="eastAsia"/>
                <w:szCs w:val="20"/>
              </w:rPr>
              <w:t>及以上表决权的各级被投资机构的名称。申报主体直接持有</w:t>
            </w:r>
            <w:r>
              <w:rPr>
                <w:szCs w:val="20"/>
              </w:rPr>
              <w:t>10%</w:t>
            </w:r>
            <w:r>
              <w:rPr>
                <w:rFonts w:hint="eastAsia"/>
                <w:szCs w:val="20"/>
              </w:rPr>
              <w:t>及以上表决权的被投资机构，以及该被投资机构直接持有</w:t>
            </w:r>
            <w:r>
              <w:rPr>
                <w:szCs w:val="20"/>
              </w:rPr>
              <w:t>10%</w:t>
            </w:r>
            <w:r>
              <w:rPr>
                <w:rFonts w:hint="eastAsia"/>
                <w:szCs w:val="20"/>
              </w:rPr>
              <w:t>及以上表决权的再下一级被投资机构，并一直向下追溯的各级被投资机构的名称。应填写上述被投资机构的中文名称或当地注册的英文名称。如为其他语言名称，可不填写外文名称，但必须填写中文名称。如，</w:t>
            </w:r>
            <w:r>
              <w:rPr>
                <w:szCs w:val="20"/>
              </w:rPr>
              <w:t>B</w:t>
            </w:r>
            <w:r>
              <w:rPr>
                <w:rFonts w:hint="eastAsia"/>
                <w:szCs w:val="20"/>
              </w:rPr>
              <w:t>机构直接持有申报主体</w:t>
            </w:r>
            <w:r>
              <w:rPr>
                <w:szCs w:val="20"/>
              </w:rPr>
              <w:t>A100%</w:t>
            </w:r>
            <w:r>
              <w:rPr>
                <w:rFonts w:hint="eastAsia"/>
                <w:szCs w:val="20"/>
              </w:rPr>
              <w:t>表决权；申报主体</w:t>
            </w:r>
            <w:r>
              <w:rPr>
                <w:szCs w:val="20"/>
              </w:rPr>
              <w:t>A</w:t>
            </w:r>
            <w:r>
              <w:rPr>
                <w:rFonts w:hint="eastAsia"/>
                <w:szCs w:val="20"/>
              </w:rPr>
              <w:t>直接持有</w:t>
            </w:r>
            <w:r>
              <w:rPr>
                <w:szCs w:val="20"/>
              </w:rPr>
              <w:t>C</w:t>
            </w:r>
            <w:r>
              <w:rPr>
                <w:rFonts w:hint="eastAsia"/>
                <w:szCs w:val="20"/>
              </w:rPr>
              <w:t>机构</w:t>
            </w:r>
            <w:r>
              <w:rPr>
                <w:szCs w:val="20"/>
              </w:rPr>
              <w:t>100%</w:t>
            </w:r>
            <w:r>
              <w:rPr>
                <w:rFonts w:hint="eastAsia"/>
                <w:szCs w:val="20"/>
              </w:rPr>
              <w:t>的表决权。则，本表应有两条信息：第一条是投资者名称下填写投资者</w:t>
            </w:r>
            <w:r>
              <w:rPr>
                <w:szCs w:val="20"/>
              </w:rPr>
              <w:t>B</w:t>
            </w:r>
            <w:r>
              <w:rPr>
                <w:rFonts w:hint="eastAsia"/>
                <w:szCs w:val="20"/>
              </w:rPr>
              <w:t>的名称（由于投资者B对A控股，投资者B英文名称必填），被投资机构名称下填写被投资机构</w:t>
            </w:r>
            <w:r>
              <w:rPr>
                <w:szCs w:val="20"/>
              </w:rPr>
              <w:t>A</w:t>
            </w:r>
            <w:r>
              <w:rPr>
                <w:rFonts w:hint="eastAsia"/>
                <w:szCs w:val="20"/>
              </w:rPr>
              <w:t>的名称，同时填写其他如所属国家</w:t>
            </w:r>
            <w:r>
              <w:rPr>
                <w:szCs w:val="20"/>
              </w:rPr>
              <w:t>/</w:t>
            </w:r>
            <w:r>
              <w:rPr>
                <w:rFonts w:hint="eastAsia"/>
                <w:szCs w:val="20"/>
              </w:rPr>
              <w:t>地区、部门、投资者持有被投资者表决权比例等信息；第二条为投资者名称下填写投资者</w:t>
            </w:r>
            <w:r>
              <w:rPr>
                <w:szCs w:val="20"/>
              </w:rPr>
              <w:t>A</w:t>
            </w:r>
            <w:r>
              <w:rPr>
                <w:rFonts w:hint="eastAsia"/>
                <w:szCs w:val="20"/>
              </w:rPr>
              <w:t>的名称（由于投资者A对C控股，投资者A英文名称必填），被投资机构名称下填写被投资机构</w:t>
            </w:r>
            <w:r>
              <w:rPr>
                <w:szCs w:val="20"/>
              </w:rPr>
              <w:t>C</w:t>
            </w:r>
            <w:r>
              <w:rPr>
                <w:rFonts w:hint="eastAsia"/>
                <w:szCs w:val="20"/>
              </w:rPr>
              <w:t>的名称，同时填写其他如所属国家</w:t>
            </w:r>
            <w:r>
              <w:rPr>
                <w:szCs w:val="20"/>
              </w:rPr>
              <w:t>/</w:t>
            </w:r>
            <w:r>
              <w:rPr>
                <w:rFonts w:hint="eastAsia"/>
                <w:szCs w:val="20"/>
              </w:rPr>
              <w:t>地区、部门、投资者持有被投资者表决权比例等信息。</w:t>
            </w:r>
          </w:p>
        </w:tc>
      </w:tr>
      <w:tr w:rsidR="00A052DC" w14:paraId="5AF25DD6" w14:textId="77777777">
        <w:trPr>
          <w:cantSplit/>
        </w:trPr>
        <w:tc>
          <w:tcPr>
            <w:tcW w:w="1575" w:type="dxa"/>
            <w:shd w:val="clear" w:color="auto" w:fill="auto"/>
          </w:tcPr>
          <w:p w14:paraId="2A255E20" w14:textId="77777777" w:rsidR="00A052DC" w:rsidRDefault="009F0A60">
            <w:pPr>
              <w:pStyle w:val="B"/>
              <w:rPr>
                <w:szCs w:val="20"/>
              </w:rPr>
            </w:pPr>
            <w:r>
              <w:rPr>
                <w:rFonts w:hint="eastAsia"/>
                <w:szCs w:val="20"/>
              </w:rPr>
              <w:t>被投资机构代码</w:t>
            </w:r>
          </w:p>
        </w:tc>
        <w:tc>
          <w:tcPr>
            <w:tcW w:w="6897" w:type="dxa"/>
            <w:shd w:val="clear" w:color="auto" w:fill="auto"/>
            <w:noWrap/>
          </w:tcPr>
          <w:p w14:paraId="7698CA69" w14:textId="77777777" w:rsidR="00A052DC" w:rsidRDefault="009F0A60">
            <w:pPr>
              <w:pStyle w:val="B"/>
              <w:rPr>
                <w:szCs w:val="20"/>
              </w:rPr>
            </w:pPr>
            <w:r>
              <w:rPr>
                <w:rFonts w:hint="eastAsia"/>
                <w:szCs w:val="20"/>
              </w:rPr>
              <w:t>指被投资机构名称中各级被投资机构的代码，如为境内机构和个人，则填写主体标识码（统一社会信用代码的第9-17位）或统一社会信用代码和个人身份证件号码；如为境外机构，则优先选择SWIFT代码，如没有SWIFT代码，可填写特殊机构代码/股票证券代码/其他机构标识码，以唯一标识该境外机构；如为境外个人，则填写护照号码或当地具有唯一性的个人身份证件号码。</w:t>
            </w:r>
          </w:p>
          <w:p w14:paraId="5E9A27B6" w14:textId="77777777" w:rsidR="00A052DC" w:rsidRDefault="009F0A60">
            <w:pPr>
              <w:pStyle w:val="B"/>
              <w:rPr>
                <w:szCs w:val="20"/>
              </w:rPr>
            </w:pPr>
            <w:r>
              <w:rPr>
                <w:rFonts w:hint="eastAsia"/>
                <w:szCs w:val="20"/>
              </w:rPr>
              <w:t>当申报主体为被投资机构时，被投资机构代码应与Z0103证照号码保持一致。</w:t>
            </w:r>
          </w:p>
        </w:tc>
      </w:tr>
      <w:tr w:rsidR="00A052DC" w14:paraId="6A860D7B" w14:textId="77777777">
        <w:trPr>
          <w:cantSplit/>
        </w:trPr>
        <w:tc>
          <w:tcPr>
            <w:tcW w:w="1575" w:type="dxa"/>
            <w:shd w:val="clear" w:color="auto" w:fill="auto"/>
          </w:tcPr>
          <w:p w14:paraId="1F06CA17" w14:textId="77777777" w:rsidR="00A052DC" w:rsidRDefault="009F0A60">
            <w:pPr>
              <w:pStyle w:val="B"/>
              <w:rPr>
                <w:szCs w:val="20"/>
              </w:rPr>
            </w:pPr>
            <w:r>
              <w:rPr>
                <w:rFonts w:hint="eastAsia"/>
                <w:szCs w:val="20"/>
              </w:rPr>
              <w:t>被投资机构所属国家</w:t>
            </w:r>
            <w:r>
              <w:rPr>
                <w:szCs w:val="20"/>
              </w:rPr>
              <w:t>/</w:t>
            </w:r>
            <w:r>
              <w:rPr>
                <w:rFonts w:hint="eastAsia"/>
                <w:szCs w:val="20"/>
              </w:rPr>
              <w:t>地区</w:t>
            </w:r>
          </w:p>
        </w:tc>
        <w:tc>
          <w:tcPr>
            <w:tcW w:w="6897" w:type="dxa"/>
            <w:shd w:val="clear" w:color="auto" w:fill="auto"/>
            <w:noWrap/>
          </w:tcPr>
          <w:p w14:paraId="628384AF" w14:textId="77777777" w:rsidR="00A052DC" w:rsidRDefault="009F0A60">
            <w:pPr>
              <w:pStyle w:val="B"/>
              <w:rPr>
                <w:szCs w:val="20"/>
              </w:rPr>
            </w:pPr>
            <w:r>
              <w:rPr>
                <w:rFonts w:hint="eastAsia"/>
                <w:szCs w:val="20"/>
              </w:rPr>
              <w:t>指上述被投资机构注册的国家或地区，见国家和地区代码表。</w:t>
            </w:r>
          </w:p>
        </w:tc>
      </w:tr>
      <w:tr w:rsidR="00A052DC" w14:paraId="40199118" w14:textId="77777777">
        <w:trPr>
          <w:cantSplit/>
        </w:trPr>
        <w:tc>
          <w:tcPr>
            <w:tcW w:w="1575" w:type="dxa"/>
            <w:shd w:val="clear" w:color="auto" w:fill="auto"/>
          </w:tcPr>
          <w:p w14:paraId="33C014B5" w14:textId="77777777" w:rsidR="00A052DC" w:rsidRDefault="009F0A60">
            <w:pPr>
              <w:pStyle w:val="B"/>
              <w:rPr>
                <w:szCs w:val="20"/>
              </w:rPr>
            </w:pPr>
            <w:r>
              <w:rPr>
                <w:rFonts w:hint="eastAsia"/>
                <w:szCs w:val="20"/>
              </w:rPr>
              <w:t>被投资机构所属部门</w:t>
            </w:r>
          </w:p>
        </w:tc>
        <w:tc>
          <w:tcPr>
            <w:tcW w:w="6897" w:type="dxa"/>
            <w:shd w:val="clear" w:color="auto" w:fill="auto"/>
            <w:noWrap/>
          </w:tcPr>
          <w:p w14:paraId="6AE7223E" w14:textId="77777777" w:rsidR="00A052DC" w:rsidRDefault="009F0A60">
            <w:pPr>
              <w:pStyle w:val="B"/>
              <w:rPr>
                <w:szCs w:val="20"/>
              </w:rPr>
            </w:pPr>
            <w:r>
              <w:rPr>
                <w:rFonts w:hint="eastAsia"/>
                <w:szCs w:val="20"/>
              </w:rPr>
              <w:t>指上述各级被投资机构所属的部门分类，见投资者（被投资者）部门代码表。请按被投资机构的主营业务归类。</w:t>
            </w:r>
          </w:p>
        </w:tc>
      </w:tr>
      <w:tr w:rsidR="00A052DC" w14:paraId="2AD91800" w14:textId="77777777">
        <w:trPr>
          <w:cantSplit/>
        </w:trPr>
        <w:tc>
          <w:tcPr>
            <w:tcW w:w="1575" w:type="dxa"/>
            <w:shd w:val="clear" w:color="auto" w:fill="auto"/>
          </w:tcPr>
          <w:p w14:paraId="2FE02734" w14:textId="77777777" w:rsidR="00A052DC" w:rsidRDefault="009F0A60">
            <w:pPr>
              <w:pStyle w:val="B"/>
              <w:rPr>
                <w:szCs w:val="20"/>
              </w:rPr>
            </w:pPr>
            <w:r>
              <w:rPr>
                <w:rFonts w:hint="eastAsia"/>
                <w:szCs w:val="20"/>
              </w:rPr>
              <w:t>备注</w:t>
            </w:r>
          </w:p>
        </w:tc>
        <w:tc>
          <w:tcPr>
            <w:tcW w:w="6897" w:type="dxa"/>
            <w:shd w:val="clear" w:color="auto" w:fill="auto"/>
            <w:noWrap/>
          </w:tcPr>
          <w:p w14:paraId="454CB56E" w14:textId="77777777" w:rsidR="00A052DC" w:rsidRDefault="009F0A60">
            <w:pPr>
              <w:pStyle w:val="B"/>
              <w:rPr>
                <w:szCs w:val="20"/>
              </w:rPr>
            </w:pPr>
            <w:r>
              <w:rPr>
                <w:rFonts w:hint="eastAsia"/>
                <w:szCs w:val="20"/>
              </w:rPr>
              <w:t>需要说明的备注事项。</w:t>
            </w:r>
          </w:p>
        </w:tc>
      </w:tr>
    </w:tbl>
    <w:p w14:paraId="657A8613" w14:textId="77777777" w:rsidR="00A052DC" w:rsidRDefault="00A052DC"/>
    <w:p w14:paraId="28766B15" w14:textId="77777777" w:rsidR="00A052DC" w:rsidRDefault="009F0A60" w:rsidP="0020251D">
      <w:pPr>
        <w:pStyle w:val="4"/>
        <w:numPr>
          <w:ilvl w:val="3"/>
          <w:numId w:val="1"/>
        </w:numPr>
        <w:jc w:val="left"/>
      </w:pPr>
      <w:bookmarkStart w:id="2972" w:name="_Toc454391223"/>
      <w:bookmarkStart w:id="2973" w:name="_Toc380570901"/>
      <w:bookmarkStart w:id="2974" w:name="_Toc454391224"/>
      <w:bookmarkEnd w:id="2972"/>
      <w:r>
        <w:rPr>
          <w:rFonts w:hint="eastAsia"/>
        </w:rPr>
        <w:t>数据格式</w:t>
      </w:r>
      <w:bookmarkEnd w:id="2973"/>
      <w:bookmarkEnd w:id="2974"/>
    </w:p>
    <w:p w14:paraId="61F6D8D9" w14:textId="77777777" w:rsidR="00A052DC" w:rsidRDefault="009F0A60">
      <w:pPr>
        <w:ind w:firstLine="480"/>
      </w:pPr>
      <w:r>
        <w:t>&lt;REC&gt;</w:t>
      </w:r>
    </w:p>
    <w:p w14:paraId="55E9DCF7" w14:textId="77777777" w:rsidR="00A052DC" w:rsidRDefault="009F0A60">
      <w:pPr>
        <w:ind w:firstLine="480"/>
      </w:pPr>
      <w:r>
        <w:t>&lt;ACTIONTYPE&gt;</w:t>
      </w:r>
      <w:r>
        <w:t>操作类型</w:t>
      </w:r>
      <w:r>
        <w:t>&lt;/ACTIONTYPE&gt;</w:t>
      </w:r>
    </w:p>
    <w:p w14:paraId="07CECB4C" w14:textId="77777777" w:rsidR="00A052DC" w:rsidRDefault="009F0A60">
      <w:pPr>
        <w:ind w:firstLine="480"/>
      </w:pPr>
      <w:r>
        <w:t>&lt;ACTIONDESC&gt;</w:t>
      </w:r>
      <w:r>
        <w:t>删除原因</w:t>
      </w:r>
      <w:r>
        <w:t>&lt;/ACTIONDESC&gt;</w:t>
      </w:r>
    </w:p>
    <w:p w14:paraId="2359D4BD" w14:textId="77777777" w:rsidR="00A052DC" w:rsidRDefault="009F0A60">
      <w:pPr>
        <w:ind w:firstLine="480"/>
      </w:pPr>
      <w:r>
        <w:t>&lt;SNOCODE&gt;</w:t>
      </w:r>
      <w:r>
        <w:t>数据自编码</w:t>
      </w:r>
      <w:r>
        <w:t>&lt;/SNOCODE&gt;</w:t>
      </w:r>
    </w:p>
    <w:p w14:paraId="48431DFE" w14:textId="77777777" w:rsidR="00A052DC" w:rsidRDefault="009F0A60">
      <w:pPr>
        <w:ind w:firstLine="480"/>
      </w:pPr>
      <w:r>
        <w:t>&lt;OBJCODE&gt;</w:t>
      </w:r>
      <w:r>
        <w:t>申报主体代码</w:t>
      </w:r>
      <w:r>
        <w:t>&lt;/OBJCODE&gt;</w:t>
      </w:r>
    </w:p>
    <w:p w14:paraId="51E2701D" w14:textId="77777777" w:rsidR="00A052DC" w:rsidRDefault="009F0A60">
      <w:pPr>
        <w:ind w:firstLine="480"/>
      </w:pPr>
      <w:r>
        <w:t>&lt;BUOCMONTH&gt;</w:t>
      </w:r>
      <w:r>
        <w:t>报告期</w:t>
      </w:r>
      <w:r>
        <w:t>&lt;/BUOCMONTH&gt;</w:t>
      </w:r>
    </w:p>
    <w:p w14:paraId="76F3F661" w14:textId="77777777" w:rsidR="00A052DC" w:rsidRDefault="009F0A60">
      <w:pPr>
        <w:ind w:firstLine="480"/>
      </w:pPr>
      <w:r>
        <w:t>&lt;INVESTS&gt;</w:t>
      </w:r>
    </w:p>
    <w:p w14:paraId="083FCC05" w14:textId="77777777" w:rsidR="00A052DC" w:rsidRDefault="009F0A60">
      <w:pPr>
        <w:ind w:leftChars="200" w:left="420" w:firstLine="480"/>
      </w:pPr>
      <w:r>
        <w:t>&lt;INVEST&gt;</w:t>
      </w:r>
    </w:p>
    <w:p w14:paraId="12829B22" w14:textId="77777777" w:rsidR="00A052DC" w:rsidRDefault="009F0A60">
      <w:pPr>
        <w:ind w:leftChars="400" w:left="840" w:firstLine="480"/>
      </w:pPr>
      <w:r>
        <w:t>&lt;Z0301&gt;</w:t>
      </w:r>
      <w:r>
        <w:t>投资者名称</w:t>
      </w:r>
      <w:r>
        <w:t>&lt;/Z0301&gt;</w:t>
      </w:r>
    </w:p>
    <w:p w14:paraId="37862D7C" w14:textId="77777777" w:rsidR="00A052DC" w:rsidRDefault="009F0A60">
      <w:pPr>
        <w:ind w:leftChars="400" w:left="840" w:firstLine="480"/>
      </w:pPr>
      <w:r>
        <w:t>&lt;Z0302&gt;</w:t>
      </w:r>
      <w:r>
        <w:t>投资者代码</w:t>
      </w:r>
      <w:r>
        <w:t>&lt;/Z0302&gt;</w:t>
      </w:r>
    </w:p>
    <w:p w14:paraId="318BC87D" w14:textId="77777777" w:rsidR="00A052DC" w:rsidRDefault="009F0A60">
      <w:pPr>
        <w:ind w:leftChars="400" w:left="840" w:firstLine="480"/>
      </w:pPr>
      <w:r>
        <w:t>&lt;Z0303&gt;</w:t>
      </w:r>
      <w:r>
        <w:t>投资者所属国家</w:t>
      </w:r>
      <w:r>
        <w:t>/</w:t>
      </w:r>
      <w:r>
        <w:t>地区</w:t>
      </w:r>
      <w:r>
        <w:t>&lt;/Z0303&gt;</w:t>
      </w:r>
    </w:p>
    <w:p w14:paraId="5A97201A" w14:textId="77777777" w:rsidR="00A052DC" w:rsidRDefault="009F0A60">
      <w:pPr>
        <w:ind w:leftChars="400" w:left="840" w:firstLine="480"/>
      </w:pPr>
      <w:r>
        <w:t>&lt;Z0304&gt;</w:t>
      </w:r>
      <w:r>
        <w:t>投资者所属部门</w:t>
      </w:r>
      <w:r>
        <w:t>&lt;/Z0304&gt;</w:t>
      </w:r>
    </w:p>
    <w:p w14:paraId="72B7643A" w14:textId="77777777" w:rsidR="00A052DC" w:rsidRDefault="009F0A60">
      <w:pPr>
        <w:ind w:leftChars="400" w:left="840" w:firstLine="480"/>
      </w:pPr>
      <w:r>
        <w:t>&lt;Z0305&gt;</w:t>
      </w:r>
      <w:r>
        <w:t>投资者表决权比例（</w:t>
      </w:r>
      <w:r>
        <w:t>%</w:t>
      </w:r>
      <w:r>
        <w:t>）</w:t>
      </w:r>
      <w:r>
        <w:t>&lt;/Z0305&gt;</w:t>
      </w:r>
    </w:p>
    <w:p w14:paraId="008CFCA9" w14:textId="77777777" w:rsidR="00A052DC" w:rsidRDefault="009F0A60">
      <w:pPr>
        <w:ind w:leftChars="400" w:left="840" w:firstLine="480"/>
      </w:pPr>
      <w:r>
        <w:t>&lt;Z0306&gt;</w:t>
      </w:r>
      <w:r>
        <w:t>被投资机构名称</w:t>
      </w:r>
      <w:r>
        <w:t>&lt;/Z0306&gt;</w:t>
      </w:r>
    </w:p>
    <w:p w14:paraId="3BC58EF9" w14:textId="77777777" w:rsidR="00A052DC" w:rsidRDefault="009F0A60">
      <w:pPr>
        <w:ind w:leftChars="400" w:left="840" w:firstLine="480"/>
      </w:pPr>
      <w:r>
        <w:t>&lt;Z0307&gt;</w:t>
      </w:r>
      <w:r>
        <w:t>被投资机构代码</w:t>
      </w:r>
      <w:r>
        <w:t>&lt;/Z0307&gt;</w:t>
      </w:r>
    </w:p>
    <w:p w14:paraId="250ACD69" w14:textId="77777777" w:rsidR="00A052DC" w:rsidRDefault="009F0A60">
      <w:pPr>
        <w:ind w:leftChars="400" w:left="840" w:firstLine="480"/>
      </w:pPr>
      <w:r>
        <w:t>&lt;Z0308&gt;</w:t>
      </w:r>
      <w:r>
        <w:t>被投资机构所属国家</w:t>
      </w:r>
      <w:r>
        <w:t>/</w:t>
      </w:r>
      <w:r>
        <w:t>地区</w:t>
      </w:r>
      <w:r>
        <w:t>&lt;/Z0308&gt;</w:t>
      </w:r>
    </w:p>
    <w:p w14:paraId="2A770A1D" w14:textId="77777777" w:rsidR="00A052DC" w:rsidRDefault="009F0A60">
      <w:pPr>
        <w:ind w:leftChars="400" w:left="840" w:firstLine="480"/>
      </w:pPr>
      <w:r>
        <w:t>&lt;Z0309&gt;</w:t>
      </w:r>
      <w:r>
        <w:t>被投资机构所属部门</w:t>
      </w:r>
      <w:r>
        <w:t>&lt;/Z0309&gt;</w:t>
      </w:r>
    </w:p>
    <w:p w14:paraId="33CBD3A0" w14:textId="77777777" w:rsidR="00A052DC" w:rsidRDefault="009F0A60">
      <w:pPr>
        <w:ind w:leftChars="200" w:left="420" w:firstLine="480"/>
      </w:pPr>
      <w:r>
        <w:t>&lt;/INVEST&gt;</w:t>
      </w:r>
    </w:p>
    <w:p w14:paraId="2D8279D7" w14:textId="77777777" w:rsidR="00A052DC" w:rsidRDefault="009F0A60">
      <w:pPr>
        <w:ind w:leftChars="200" w:left="420" w:firstLine="480"/>
      </w:pPr>
      <w:r>
        <w:t>……</w:t>
      </w:r>
    </w:p>
    <w:p w14:paraId="01890959" w14:textId="77777777" w:rsidR="00A052DC" w:rsidRDefault="009F0A60">
      <w:pPr>
        <w:ind w:firstLine="480"/>
      </w:pPr>
      <w:r>
        <w:t>&lt;/INVESTS&gt;</w:t>
      </w:r>
    </w:p>
    <w:p w14:paraId="01383F74" w14:textId="77777777" w:rsidR="00A052DC" w:rsidRDefault="009F0A60">
      <w:pPr>
        <w:ind w:firstLine="480"/>
      </w:pPr>
      <w:r>
        <w:t>&lt;REMARK&gt;</w:t>
      </w:r>
      <w:r>
        <w:t>备注</w:t>
      </w:r>
      <w:r>
        <w:t>&lt;/REMARK&gt;</w:t>
      </w:r>
    </w:p>
    <w:p w14:paraId="65E6E762" w14:textId="77777777" w:rsidR="00A052DC" w:rsidRDefault="009F0A60">
      <w:pPr>
        <w:ind w:firstLine="480"/>
      </w:pPr>
      <w:r>
        <w:t>&lt;/REC&gt;</w:t>
      </w:r>
    </w:p>
    <w:p w14:paraId="66478050" w14:textId="77777777" w:rsidR="00A052DC" w:rsidRDefault="00A052DC">
      <w:pPr>
        <w:ind w:firstLine="480"/>
        <w:rPr>
          <w:rFonts w:ascii="宋体" w:hAnsi="宋体"/>
        </w:rPr>
      </w:pPr>
    </w:p>
    <w:p w14:paraId="60126942" w14:textId="77777777" w:rsidR="00A052DC" w:rsidRDefault="009F0A60" w:rsidP="0020251D">
      <w:pPr>
        <w:pStyle w:val="4"/>
        <w:numPr>
          <w:ilvl w:val="3"/>
          <w:numId w:val="1"/>
        </w:numPr>
        <w:jc w:val="left"/>
      </w:pPr>
      <w:bookmarkStart w:id="2975" w:name="_Toc454391225"/>
      <w:bookmarkStart w:id="2976" w:name="_Toc454391226"/>
      <w:bookmarkStart w:id="2977" w:name="_Toc380570902"/>
      <w:bookmarkEnd w:id="2975"/>
      <w:r>
        <w:rPr>
          <w:rFonts w:hint="eastAsia"/>
        </w:rPr>
        <w:t>数据字典</w:t>
      </w:r>
      <w:bookmarkEnd w:id="2976"/>
      <w:bookmarkEnd w:id="297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6"/>
        <w:gridCol w:w="2170"/>
        <w:gridCol w:w="1416"/>
        <w:gridCol w:w="3630"/>
      </w:tblGrid>
      <w:tr w:rsidR="00A052DC" w14:paraId="480814F0" w14:textId="77777777">
        <w:trPr>
          <w:tblHeader/>
          <w:jc w:val="center"/>
        </w:trPr>
        <w:tc>
          <w:tcPr>
            <w:tcW w:w="1162" w:type="dxa"/>
            <w:shd w:val="clear" w:color="auto" w:fill="C0C0C0"/>
            <w:noWrap/>
          </w:tcPr>
          <w:p w14:paraId="3D5CEDE8" w14:textId="77777777" w:rsidR="00A052DC" w:rsidRDefault="009F0A60">
            <w:pPr>
              <w:pStyle w:val="B1"/>
            </w:pPr>
            <w:r>
              <w:rPr>
                <w:rFonts w:hint="eastAsia"/>
              </w:rPr>
              <w:t>字段</w:t>
            </w:r>
          </w:p>
        </w:tc>
        <w:tc>
          <w:tcPr>
            <w:tcW w:w="2170" w:type="dxa"/>
            <w:shd w:val="clear" w:color="auto" w:fill="C0C0C0"/>
            <w:noWrap/>
          </w:tcPr>
          <w:p w14:paraId="311FAA75" w14:textId="77777777" w:rsidR="00A052DC" w:rsidRDefault="009F0A60">
            <w:pPr>
              <w:pStyle w:val="B1"/>
            </w:pPr>
            <w:r>
              <w:rPr>
                <w:rFonts w:hint="eastAsia"/>
              </w:rPr>
              <w:t>内容</w:t>
            </w:r>
          </w:p>
        </w:tc>
        <w:tc>
          <w:tcPr>
            <w:tcW w:w="1416" w:type="dxa"/>
            <w:shd w:val="clear" w:color="auto" w:fill="C0C0C0"/>
            <w:noWrap/>
          </w:tcPr>
          <w:p w14:paraId="26DB27CB" w14:textId="77777777" w:rsidR="00A052DC" w:rsidRDefault="009F0A60">
            <w:pPr>
              <w:pStyle w:val="B1"/>
            </w:pPr>
            <w:r>
              <w:rPr>
                <w:rFonts w:hint="eastAsia"/>
              </w:rPr>
              <w:t>类型（长度）</w:t>
            </w:r>
          </w:p>
        </w:tc>
        <w:tc>
          <w:tcPr>
            <w:tcW w:w="3630" w:type="dxa"/>
            <w:shd w:val="clear" w:color="auto" w:fill="C0C0C0"/>
          </w:tcPr>
          <w:p w14:paraId="40924FB1" w14:textId="77777777" w:rsidR="00A052DC" w:rsidRDefault="009F0A60">
            <w:pPr>
              <w:pStyle w:val="B1"/>
            </w:pPr>
            <w:r>
              <w:rPr>
                <w:rFonts w:hint="eastAsia"/>
              </w:rPr>
              <w:t>校验</w:t>
            </w:r>
          </w:p>
        </w:tc>
      </w:tr>
      <w:tr w:rsidR="00A052DC" w14:paraId="1FE4FC32" w14:textId="77777777">
        <w:trPr>
          <w:jc w:val="center"/>
        </w:trPr>
        <w:tc>
          <w:tcPr>
            <w:tcW w:w="1162" w:type="dxa"/>
            <w:shd w:val="clear" w:color="auto" w:fill="auto"/>
            <w:noWrap/>
          </w:tcPr>
          <w:p w14:paraId="79181AA5" w14:textId="77777777" w:rsidR="00A052DC" w:rsidRDefault="009F0A60">
            <w:pPr>
              <w:pStyle w:val="B"/>
              <w:rPr>
                <w:szCs w:val="20"/>
              </w:rPr>
            </w:pPr>
            <w:r>
              <w:rPr>
                <w:szCs w:val="20"/>
              </w:rPr>
              <w:t>ACTIONTYPE</w:t>
            </w:r>
          </w:p>
        </w:tc>
        <w:tc>
          <w:tcPr>
            <w:tcW w:w="2170" w:type="dxa"/>
            <w:shd w:val="clear" w:color="auto" w:fill="auto"/>
          </w:tcPr>
          <w:p w14:paraId="2CC31584" w14:textId="77777777" w:rsidR="00A052DC" w:rsidRDefault="009F0A60">
            <w:pPr>
              <w:pStyle w:val="B"/>
              <w:rPr>
                <w:szCs w:val="20"/>
              </w:rPr>
            </w:pPr>
            <w:r>
              <w:rPr>
                <w:rFonts w:hint="eastAsia"/>
                <w:szCs w:val="20"/>
              </w:rPr>
              <w:t>操作类型</w:t>
            </w:r>
          </w:p>
        </w:tc>
        <w:tc>
          <w:tcPr>
            <w:tcW w:w="1416" w:type="dxa"/>
            <w:shd w:val="clear" w:color="auto" w:fill="auto"/>
            <w:noWrap/>
          </w:tcPr>
          <w:p w14:paraId="531D403E" w14:textId="77777777" w:rsidR="00A052DC" w:rsidRDefault="009F0A60">
            <w:pPr>
              <w:pStyle w:val="B"/>
              <w:rPr>
                <w:szCs w:val="20"/>
              </w:rPr>
            </w:pPr>
            <w:r>
              <w:rPr>
                <w:rFonts w:hint="eastAsia"/>
                <w:szCs w:val="20"/>
              </w:rPr>
              <w:t>字符型，</w:t>
            </w:r>
            <w:r>
              <w:rPr>
                <w:szCs w:val="20"/>
              </w:rPr>
              <w:t>1</w:t>
            </w:r>
          </w:p>
        </w:tc>
        <w:tc>
          <w:tcPr>
            <w:tcW w:w="3630" w:type="dxa"/>
          </w:tcPr>
          <w:p w14:paraId="24367BD1" w14:textId="77777777" w:rsidR="00A052DC" w:rsidRDefault="009F0A60">
            <w:pPr>
              <w:pStyle w:val="B"/>
              <w:rPr>
                <w:szCs w:val="20"/>
              </w:rPr>
            </w:pPr>
            <w:r>
              <w:rPr>
                <w:rFonts w:hint="eastAsia"/>
                <w:szCs w:val="20"/>
              </w:rPr>
              <w:t>必填项</w:t>
            </w:r>
            <w:r w:rsidR="00FE361F">
              <w:rPr>
                <w:rFonts w:hint="eastAsia"/>
                <w:szCs w:val="20"/>
              </w:rPr>
              <w:t>。</w:t>
            </w:r>
          </w:p>
          <w:p w14:paraId="5938CCFA" w14:textId="77777777" w:rsidR="00A052DC" w:rsidRDefault="009F0A60">
            <w:pPr>
              <w:pStyle w:val="B"/>
              <w:rPr>
                <w:szCs w:val="20"/>
              </w:rPr>
            </w:pPr>
            <w:r>
              <w:rPr>
                <w:szCs w:val="20"/>
              </w:rPr>
              <w:t>A</w:t>
            </w:r>
            <w:r w:rsidR="00AE4602">
              <w:rPr>
                <w:rFonts w:hint="eastAsia"/>
                <w:szCs w:val="20"/>
              </w:rPr>
              <w:t>-</w:t>
            </w:r>
            <w:r>
              <w:rPr>
                <w:rFonts w:hint="eastAsia"/>
                <w:szCs w:val="20"/>
              </w:rPr>
              <w:t>新建</w:t>
            </w:r>
          </w:p>
          <w:p w14:paraId="731C7AAB" w14:textId="77777777" w:rsidR="00A052DC" w:rsidRDefault="009F0A60">
            <w:pPr>
              <w:pStyle w:val="B"/>
              <w:rPr>
                <w:szCs w:val="20"/>
              </w:rPr>
            </w:pPr>
            <w:r>
              <w:rPr>
                <w:szCs w:val="20"/>
              </w:rPr>
              <w:t>C</w:t>
            </w:r>
            <w:r w:rsidR="00AE4602">
              <w:rPr>
                <w:rFonts w:hint="eastAsia"/>
                <w:szCs w:val="20"/>
              </w:rPr>
              <w:t>-</w:t>
            </w:r>
            <w:r>
              <w:rPr>
                <w:rFonts w:hint="eastAsia"/>
                <w:szCs w:val="20"/>
              </w:rPr>
              <w:t>修改</w:t>
            </w:r>
          </w:p>
          <w:p w14:paraId="269AE8E2" w14:textId="77777777" w:rsidR="00A052DC" w:rsidRDefault="009F0A60">
            <w:pPr>
              <w:pStyle w:val="B"/>
              <w:rPr>
                <w:szCs w:val="20"/>
              </w:rPr>
            </w:pPr>
            <w:r>
              <w:rPr>
                <w:szCs w:val="20"/>
              </w:rPr>
              <w:t>D</w:t>
            </w:r>
            <w:r w:rsidR="00AE4602">
              <w:rPr>
                <w:rFonts w:hint="eastAsia"/>
                <w:szCs w:val="20"/>
              </w:rPr>
              <w:t>-</w:t>
            </w:r>
            <w:r>
              <w:rPr>
                <w:rFonts w:hint="eastAsia"/>
                <w:szCs w:val="20"/>
              </w:rPr>
              <w:t>删除</w:t>
            </w:r>
          </w:p>
        </w:tc>
      </w:tr>
      <w:tr w:rsidR="00A052DC" w14:paraId="1326D1E0" w14:textId="77777777">
        <w:trPr>
          <w:jc w:val="center"/>
        </w:trPr>
        <w:tc>
          <w:tcPr>
            <w:tcW w:w="1162" w:type="dxa"/>
            <w:shd w:val="clear" w:color="auto" w:fill="auto"/>
            <w:noWrap/>
          </w:tcPr>
          <w:p w14:paraId="2EABD8B1" w14:textId="77777777" w:rsidR="00A052DC" w:rsidRDefault="009F0A60">
            <w:pPr>
              <w:pStyle w:val="B"/>
              <w:rPr>
                <w:szCs w:val="20"/>
              </w:rPr>
            </w:pPr>
            <w:r>
              <w:rPr>
                <w:szCs w:val="20"/>
              </w:rPr>
              <w:t>ACTIONDESC</w:t>
            </w:r>
          </w:p>
        </w:tc>
        <w:tc>
          <w:tcPr>
            <w:tcW w:w="2170" w:type="dxa"/>
            <w:shd w:val="clear" w:color="auto" w:fill="auto"/>
          </w:tcPr>
          <w:p w14:paraId="11A4BF91" w14:textId="77777777" w:rsidR="00A052DC" w:rsidRDefault="009F0A60">
            <w:pPr>
              <w:pStyle w:val="B"/>
              <w:rPr>
                <w:szCs w:val="20"/>
              </w:rPr>
            </w:pPr>
            <w:r>
              <w:rPr>
                <w:rFonts w:hint="eastAsia"/>
                <w:szCs w:val="20"/>
              </w:rPr>
              <w:t>删除原因</w:t>
            </w:r>
          </w:p>
        </w:tc>
        <w:tc>
          <w:tcPr>
            <w:tcW w:w="1416" w:type="dxa"/>
            <w:shd w:val="clear" w:color="auto" w:fill="auto"/>
            <w:noWrap/>
          </w:tcPr>
          <w:p w14:paraId="7855D92A" w14:textId="77777777" w:rsidR="00A052DC" w:rsidRDefault="009F0A60">
            <w:pPr>
              <w:pStyle w:val="B"/>
              <w:rPr>
                <w:szCs w:val="20"/>
              </w:rPr>
            </w:pPr>
            <w:r>
              <w:rPr>
                <w:rFonts w:hint="eastAsia"/>
                <w:szCs w:val="20"/>
              </w:rPr>
              <w:t>字符型，</w:t>
            </w:r>
            <w:r>
              <w:rPr>
                <w:szCs w:val="20"/>
              </w:rPr>
              <w:t>128</w:t>
            </w:r>
          </w:p>
        </w:tc>
        <w:tc>
          <w:tcPr>
            <w:tcW w:w="3630" w:type="dxa"/>
          </w:tcPr>
          <w:p w14:paraId="10792901" w14:textId="77777777" w:rsidR="00A052DC" w:rsidRDefault="00DD6AA3">
            <w:pPr>
              <w:pStyle w:val="B"/>
              <w:rPr>
                <w:szCs w:val="20"/>
              </w:rPr>
            </w:pPr>
            <w:r>
              <w:rPr>
                <w:rFonts w:hint="eastAsia"/>
                <w:szCs w:val="20"/>
              </w:rPr>
              <w:t>非必填项，当操作类型（ACTIONTYPE）为删除时必填。</w:t>
            </w:r>
          </w:p>
        </w:tc>
      </w:tr>
      <w:tr w:rsidR="00A052DC" w14:paraId="2EFEA807" w14:textId="77777777">
        <w:trPr>
          <w:jc w:val="center"/>
        </w:trPr>
        <w:tc>
          <w:tcPr>
            <w:tcW w:w="1162" w:type="dxa"/>
            <w:shd w:val="clear" w:color="auto" w:fill="auto"/>
            <w:noWrap/>
          </w:tcPr>
          <w:p w14:paraId="534E2EED" w14:textId="77777777" w:rsidR="00A052DC" w:rsidRDefault="009F0A60">
            <w:pPr>
              <w:pStyle w:val="B"/>
              <w:rPr>
                <w:szCs w:val="20"/>
              </w:rPr>
            </w:pPr>
            <w:r>
              <w:rPr>
                <w:szCs w:val="20"/>
              </w:rPr>
              <w:t>SNOCODE</w:t>
            </w:r>
          </w:p>
        </w:tc>
        <w:tc>
          <w:tcPr>
            <w:tcW w:w="2170" w:type="dxa"/>
            <w:shd w:val="clear" w:color="auto" w:fill="auto"/>
          </w:tcPr>
          <w:p w14:paraId="796B2EE8" w14:textId="77777777" w:rsidR="00A052DC" w:rsidRDefault="009F0A60">
            <w:pPr>
              <w:pStyle w:val="B"/>
              <w:rPr>
                <w:szCs w:val="20"/>
              </w:rPr>
            </w:pPr>
            <w:r>
              <w:rPr>
                <w:rFonts w:hint="eastAsia"/>
                <w:szCs w:val="20"/>
              </w:rPr>
              <w:t>数据自编码</w:t>
            </w:r>
          </w:p>
        </w:tc>
        <w:tc>
          <w:tcPr>
            <w:tcW w:w="1416" w:type="dxa"/>
            <w:shd w:val="clear" w:color="auto" w:fill="auto"/>
            <w:noWrap/>
          </w:tcPr>
          <w:p w14:paraId="1FF3814E" w14:textId="77777777" w:rsidR="00A052DC" w:rsidRDefault="009F0A60">
            <w:pPr>
              <w:pStyle w:val="B"/>
              <w:rPr>
                <w:szCs w:val="20"/>
              </w:rPr>
            </w:pPr>
            <w:r>
              <w:rPr>
                <w:rFonts w:hint="eastAsia"/>
                <w:szCs w:val="20"/>
              </w:rPr>
              <w:t>字符型，</w:t>
            </w:r>
            <w:r>
              <w:rPr>
                <w:szCs w:val="20"/>
              </w:rPr>
              <w:t>3</w:t>
            </w:r>
            <w:r>
              <w:rPr>
                <w:rFonts w:hint="eastAsia"/>
                <w:szCs w:val="20"/>
              </w:rPr>
              <w:t>6</w:t>
            </w:r>
          </w:p>
        </w:tc>
        <w:tc>
          <w:tcPr>
            <w:tcW w:w="3630" w:type="dxa"/>
          </w:tcPr>
          <w:p w14:paraId="5BB44D19" w14:textId="77777777" w:rsidR="00A052DC" w:rsidRDefault="009F0A60">
            <w:pPr>
              <w:pStyle w:val="B"/>
              <w:rPr>
                <w:szCs w:val="20"/>
              </w:rPr>
            </w:pPr>
            <w:r>
              <w:rPr>
                <w:rFonts w:hint="eastAsia"/>
                <w:szCs w:val="20"/>
              </w:rPr>
              <w:t>必填项。对于接口报送的填报主体，数据自编码中的报送期（</w:t>
            </w:r>
            <w:r>
              <w:rPr>
                <w:szCs w:val="20"/>
              </w:rPr>
              <w:t>6</w:t>
            </w:r>
            <w:r>
              <w:rPr>
                <w:rFonts w:hint="eastAsia"/>
                <w:szCs w:val="20"/>
              </w:rPr>
              <w:t>位）应与报告期（</w:t>
            </w:r>
            <w:r>
              <w:rPr>
                <w:szCs w:val="20"/>
              </w:rPr>
              <w:t>YYYYMM</w:t>
            </w:r>
            <w:r>
              <w:rPr>
                <w:rFonts w:hint="eastAsia"/>
                <w:szCs w:val="20"/>
              </w:rPr>
              <w:t>）一致。</w:t>
            </w:r>
          </w:p>
        </w:tc>
      </w:tr>
      <w:tr w:rsidR="00A052DC" w14:paraId="5A7175E3" w14:textId="77777777">
        <w:trPr>
          <w:jc w:val="center"/>
        </w:trPr>
        <w:tc>
          <w:tcPr>
            <w:tcW w:w="1162" w:type="dxa"/>
            <w:shd w:val="clear" w:color="auto" w:fill="auto"/>
            <w:noWrap/>
          </w:tcPr>
          <w:p w14:paraId="7A80D640" w14:textId="77777777" w:rsidR="00A052DC" w:rsidRDefault="009F0A60">
            <w:pPr>
              <w:pStyle w:val="B"/>
              <w:rPr>
                <w:szCs w:val="20"/>
              </w:rPr>
            </w:pPr>
            <w:r>
              <w:rPr>
                <w:szCs w:val="20"/>
              </w:rPr>
              <w:t>OBJCODE</w:t>
            </w:r>
          </w:p>
        </w:tc>
        <w:tc>
          <w:tcPr>
            <w:tcW w:w="2170" w:type="dxa"/>
            <w:shd w:val="clear" w:color="auto" w:fill="auto"/>
          </w:tcPr>
          <w:p w14:paraId="3BA860EB" w14:textId="77777777" w:rsidR="00A052DC" w:rsidRDefault="009F0A60">
            <w:pPr>
              <w:pStyle w:val="B"/>
              <w:rPr>
                <w:szCs w:val="20"/>
              </w:rPr>
            </w:pPr>
            <w:r>
              <w:rPr>
                <w:rFonts w:hint="eastAsia"/>
                <w:szCs w:val="20"/>
              </w:rPr>
              <w:t>申报主体代码</w:t>
            </w:r>
          </w:p>
        </w:tc>
        <w:tc>
          <w:tcPr>
            <w:tcW w:w="1416" w:type="dxa"/>
            <w:shd w:val="clear" w:color="auto" w:fill="auto"/>
            <w:noWrap/>
          </w:tcPr>
          <w:p w14:paraId="459AE107" w14:textId="77777777" w:rsidR="00A052DC" w:rsidRDefault="009F0A60">
            <w:pPr>
              <w:pStyle w:val="B"/>
              <w:rPr>
                <w:szCs w:val="20"/>
              </w:rPr>
            </w:pPr>
            <w:r>
              <w:rPr>
                <w:rFonts w:hint="eastAsia"/>
                <w:szCs w:val="20"/>
              </w:rPr>
              <w:t>字符型，18</w:t>
            </w:r>
          </w:p>
        </w:tc>
        <w:tc>
          <w:tcPr>
            <w:tcW w:w="3630" w:type="dxa"/>
          </w:tcPr>
          <w:p w14:paraId="61B79239" w14:textId="77777777" w:rsidR="00A052DC" w:rsidRDefault="009F0A60">
            <w:pPr>
              <w:pStyle w:val="B"/>
              <w:rPr>
                <w:szCs w:val="20"/>
              </w:rPr>
            </w:pPr>
            <w:r>
              <w:rPr>
                <w:rFonts w:hint="eastAsia"/>
                <w:szCs w:val="20"/>
              </w:rPr>
              <w:t>申报主体的12位金融机构标识码，如果没有金融机构标识码，则填报统一社会信用代码法定载体（如营业执照）上统一社会信用代码中的第9至17位或国家外汇管理局及其分支局签发的特殊机构代码赋码通知书上的机构代码、个人身份代码。</w:t>
            </w:r>
          </w:p>
        </w:tc>
      </w:tr>
      <w:tr w:rsidR="00A052DC" w14:paraId="4BDBB972" w14:textId="77777777">
        <w:trPr>
          <w:jc w:val="center"/>
        </w:trPr>
        <w:tc>
          <w:tcPr>
            <w:tcW w:w="1162" w:type="dxa"/>
            <w:shd w:val="clear" w:color="auto" w:fill="auto"/>
            <w:noWrap/>
          </w:tcPr>
          <w:p w14:paraId="4DC475DB" w14:textId="77777777" w:rsidR="00A052DC" w:rsidRDefault="009F0A60">
            <w:pPr>
              <w:pStyle w:val="B"/>
              <w:rPr>
                <w:szCs w:val="20"/>
              </w:rPr>
            </w:pPr>
            <w:r>
              <w:rPr>
                <w:szCs w:val="20"/>
              </w:rPr>
              <w:t>BUOCMONTH</w:t>
            </w:r>
          </w:p>
        </w:tc>
        <w:tc>
          <w:tcPr>
            <w:tcW w:w="2170" w:type="dxa"/>
            <w:shd w:val="clear" w:color="auto" w:fill="auto"/>
          </w:tcPr>
          <w:p w14:paraId="04EA3E16" w14:textId="77777777" w:rsidR="00A052DC" w:rsidRDefault="009F0A60">
            <w:pPr>
              <w:pStyle w:val="B"/>
              <w:rPr>
                <w:szCs w:val="20"/>
              </w:rPr>
            </w:pPr>
            <w:r>
              <w:rPr>
                <w:rFonts w:hint="eastAsia"/>
                <w:szCs w:val="20"/>
              </w:rPr>
              <w:t>报告期</w:t>
            </w:r>
          </w:p>
        </w:tc>
        <w:tc>
          <w:tcPr>
            <w:tcW w:w="1416" w:type="dxa"/>
            <w:shd w:val="clear" w:color="auto" w:fill="auto"/>
            <w:noWrap/>
          </w:tcPr>
          <w:p w14:paraId="295C7835" w14:textId="77777777" w:rsidR="00A052DC" w:rsidRDefault="009F0A60">
            <w:pPr>
              <w:pStyle w:val="B"/>
              <w:rPr>
                <w:szCs w:val="20"/>
              </w:rPr>
            </w:pPr>
            <w:r>
              <w:rPr>
                <w:rFonts w:hint="eastAsia"/>
                <w:szCs w:val="20"/>
              </w:rPr>
              <w:t>数值型，</w:t>
            </w:r>
            <w:r>
              <w:rPr>
                <w:szCs w:val="20"/>
              </w:rPr>
              <w:t>6</w:t>
            </w:r>
          </w:p>
        </w:tc>
        <w:tc>
          <w:tcPr>
            <w:tcW w:w="3630" w:type="dxa"/>
          </w:tcPr>
          <w:p w14:paraId="5B7C5528" w14:textId="77777777" w:rsidR="00A052DC" w:rsidRDefault="009F0A60">
            <w:pPr>
              <w:pStyle w:val="B"/>
              <w:rPr>
                <w:szCs w:val="20"/>
              </w:rPr>
            </w:pPr>
            <w:r>
              <w:rPr>
                <w:rFonts w:hint="eastAsia"/>
                <w:szCs w:val="20"/>
              </w:rPr>
              <w:t>必填项，格式为</w:t>
            </w:r>
            <w:r>
              <w:rPr>
                <w:szCs w:val="20"/>
              </w:rPr>
              <w:t>YYYYMM</w:t>
            </w:r>
            <w:r>
              <w:rPr>
                <w:rFonts w:hint="eastAsia"/>
                <w:szCs w:val="20"/>
              </w:rPr>
              <w:t>。</w:t>
            </w:r>
          </w:p>
        </w:tc>
      </w:tr>
      <w:tr w:rsidR="00A052DC" w14:paraId="59E098DC" w14:textId="77777777">
        <w:trPr>
          <w:jc w:val="center"/>
        </w:trPr>
        <w:tc>
          <w:tcPr>
            <w:tcW w:w="1162" w:type="dxa"/>
            <w:shd w:val="clear" w:color="auto" w:fill="auto"/>
            <w:noWrap/>
          </w:tcPr>
          <w:p w14:paraId="4766230E" w14:textId="77777777" w:rsidR="00A052DC" w:rsidRDefault="009F0A60">
            <w:pPr>
              <w:pStyle w:val="B"/>
              <w:rPr>
                <w:szCs w:val="20"/>
              </w:rPr>
            </w:pPr>
            <w:r>
              <w:rPr>
                <w:szCs w:val="20"/>
              </w:rPr>
              <w:t>Z0301</w:t>
            </w:r>
          </w:p>
        </w:tc>
        <w:tc>
          <w:tcPr>
            <w:tcW w:w="2170" w:type="dxa"/>
            <w:shd w:val="clear" w:color="auto" w:fill="auto"/>
          </w:tcPr>
          <w:p w14:paraId="345BA55B" w14:textId="77777777" w:rsidR="00A052DC" w:rsidRDefault="009F0A60">
            <w:pPr>
              <w:pStyle w:val="B"/>
              <w:rPr>
                <w:szCs w:val="20"/>
              </w:rPr>
            </w:pPr>
            <w:r>
              <w:rPr>
                <w:rFonts w:hint="eastAsia"/>
                <w:szCs w:val="20"/>
              </w:rPr>
              <w:t>投资者名称</w:t>
            </w:r>
          </w:p>
        </w:tc>
        <w:tc>
          <w:tcPr>
            <w:tcW w:w="1416" w:type="dxa"/>
            <w:shd w:val="clear" w:color="auto" w:fill="auto"/>
            <w:noWrap/>
          </w:tcPr>
          <w:p w14:paraId="3AE362A9" w14:textId="77777777" w:rsidR="00A052DC" w:rsidRDefault="009F0A60">
            <w:pPr>
              <w:pStyle w:val="B"/>
              <w:rPr>
                <w:szCs w:val="20"/>
              </w:rPr>
            </w:pPr>
            <w:r>
              <w:rPr>
                <w:rFonts w:hint="eastAsia"/>
                <w:szCs w:val="20"/>
              </w:rPr>
              <w:t>字符型，</w:t>
            </w:r>
            <w:r>
              <w:rPr>
                <w:szCs w:val="20"/>
              </w:rPr>
              <w:t>256</w:t>
            </w:r>
          </w:p>
        </w:tc>
        <w:tc>
          <w:tcPr>
            <w:tcW w:w="3630" w:type="dxa"/>
          </w:tcPr>
          <w:p w14:paraId="404CB5A0" w14:textId="77777777" w:rsidR="00A052DC" w:rsidRDefault="009F0A60">
            <w:pPr>
              <w:pStyle w:val="B"/>
              <w:rPr>
                <w:szCs w:val="20"/>
              </w:rPr>
            </w:pPr>
            <w:r>
              <w:rPr>
                <w:rFonts w:hint="eastAsia"/>
                <w:szCs w:val="20"/>
              </w:rPr>
              <w:t>必填项。当投资者表决权比例为50＜Z0305≤</w:t>
            </w:r>
            <w:r>
              <w:rPr>
                <w:szCs w:val="20"/>
              </w:rPr>
              <w:t>100</w:t>
            </w:r>
            <w:r>
              <w:rPr>
                <w:rFonts w:hint="eastAsia"/>
                <w:szCs w:val="20"/>
              </w:rPr>
              <w:t>时，需包含投资者英文全称。</w:t>
            </w:r>
          </w:p>
        </w:tc>
      </w:tr>
      <w:tr w:rsidR="00A052DC" w14:paraId="2B52D8CF" w14:textId="77777777">
        <w:trPr>
          <w:jc w:val="center"/>
        </w:trPr>
        <w:tc>
          <w:tcPr>
            <w:tcW w:w="1162" w:type="dxa"/>
            <w:shd w:val="clear" w:color="auto" w:fill="auto"/>
            <w:noWrap/>
          </w:tcPr>
          <w:p w14:paraId="185512AE" w14:textId="77777777" w:rsidR="00A052DC" w:rsidRDefault="009F0A60">
            <w:pPr>
              <w:pStyle w:val="B"/>
              <w:rPr>
                <w:szCs w:val="20"/>
              </w:rPr>
            </w:pPr>
            <w:r>
              <w:rPr>
                <w:szCs w:val="20"/>
              </w:rPr>
              <w:t>Z0302</w:t>
            </w:r>
          </w:p>
        </w:tc>
        <w:tc>
          <w:tcPr>
            <w:tcW w:w="2170" w:type="dxa"/>
            <w:shd w:val="clear" w:color="auto" w:fill="auto"/>
          </w:tcPr>
          <w:p w14:paraId="12BA6020" w14:textId="77777777" w:rsidR="00A052DC" w:rsidRDefault="009F0A60">
            <w:pPr>
              <w:pStyle w:val="B"/>
              <w:rPr>
                <w:szCs w:val="20"/>
              </w:rPr>
            </w:pPr>
            <w:r>
              <w:rPr>
                <w:rFonts w:hint="eastAsia"/>
                <w:szCs w:val="20"/>
              </w:rPr>
              <w:t>投资者代码</w:t>
            </w:r>
          </w:p>
        </w:tc>
        <w:tc>
          <w:tcPr>
            <w:tcW w:w="1416" w:type="dxa"/>
            <w:shd w:val="clear" w:color="auto" w:fill="auto"/>
            <w:noWrap/>
          </w:tcPr>
          <w:p w14:paraId="130666F9" w14:textId="77777777" w:rsidR="00A052DC" w:rsidRDefault="009F0A60">
            <w:pPr>
              <w:pStyle w:val="B"/>
              <w:rPr>
                <w:szCs w:val="20"/>
              </w:rPr>
            </w:pPr>
            <w:r>
              <w:rPr>
                <w:rFonts w:hint="eastAsia"/>
                <w:szCs w:val="20"/>
              </w:rPr>
              <w:t>字符型，</w:t>
            </w:r>
            <w:r>
              <w:rPr>
                <w:szCs w:val="20"/>
              </w:rPr>
              <w:t>256</w:t>
            </w:r>
          </w:p>
        </w:tc>
        <w:tc>
          <w:tcPr>
            <w:tcW w:w="3630" w:type="dxa"/>
          </w:tcPr>
          <w:p w14:paraId="77A90C89" w14:textId="77777777" w:rsidR="00A052DC" w:rsidRDefault="009F0A60">
            <w:pPr>
              <w:pStyle w:val="B"/>
              <w:rPr>
                <w:szCs w:val="20"/>
              </w:rPr>
            </w:pPr>
            <w:r>
              <w:rPr>
                <w:rFonts w:hint="eastAsia"/>
                <w:szCs w:val="20"/>
              </w:rPr>
              <w:t>必填项。</w:t>
            </w:r>
            <w:r>
              <w:rPr>
                <w:rFonts w:hint="eastAsia"/>
              </w:rPr>
              <w:t>当申报</w:t>
            </w:r>
            <w:r>
              <w:t>主体为投资者时，“</w:t>
            </w:r>
            <w:r>
              <w:rPr>
                <w:rFonts w:cs="黑体"/>
              </w:rPr>
              <w:t>Z</w:t>
            </w:r>
            <w:r>
              <w:rPr>
                <w:szCs w:val="20"/>
              </w:rPr>
              <w:t>0302投资者代码</w:t>
            </w:r>
            <w:r>
              <w:t>”</w:t>
            </w:r>
            <w:r>
              <w:rPr>
                <w:szCs w:val="20"/>
              </w:rPr>
              <w:t>应与“Z0103证照号码”保</w:t>
            </w:r>
            <w:r>
              <w:t>持一致</w:t>
            </w:r>
            <w:r>
              <w:rPr>
                <w:rFonts w:hint="eastAsia"/>
                <w:szCs w:val="20"/>
              </w:rPr>
              <w:t>。</w:t>
            </w:r>
          </w:p>
        </w:tc>
      </w:tr>
      <w:tr w:rsidR="00A052DC" w14:paraId="6E7E9C33" w14:textId="77777777">
        <w:trPr>
          <w:jc w:val="center"/>
        </w:trPr>
        <w:tc>
          <w:tcPr>
            <w:tcW w:w="1162" w:type="dxa"/>
            <w:shd w:val="clear" w:color="auto" w:fill="auto"/>
            <w:noWrap/>
          </w:tcPr>
          <w:p w14:paraId="24544C8D" w14:textId="77777777" w:rsidR="00A052DC" w:rsidRDefault="009F0A60">
            <w:pPr>
              <w:pStyle w:val="B"/>
              <w:rPr>
                <w:szCs w:val="20"/>
              </w:rPr>
            </w:pPr>
            <w:r>
              <w:rPr>
                <w:szCs w:val="20"/>
              </w:rPr>
              <w:t>Z0303</w:t>
            </w:r>
          </w:p>
        </w:tc>
        <w:tc>
          <w:tcPr>
            <w:tcW w:w="2170" w:type="dxa"/>
            <w:shd w:val="clear" w:color="auto" w:fill="auto"/>
          </w:tcPr>
          <w:p w14:paraId="51097E69" w14:textId="77777777" w:rsidR="00A052DC" w:rsidRDefault="009F0A60">
            <w:pPr>
              <w:pStyle w:val="B"/>
              <w:rPr>
                <w:szCs w:val="20"/>
              </w:rPr>
            </w:pPr>
            <w:r>
              <w:rPr>
                <w:rFonts w:hint="eastAsia"/>
                <w:szCs w:val="20"/>
              </w:rPr>
              <w:t>投资者所属国家</w:t>
            </w:r>
            <w:r>
              <w:rPr>
                <w:szCs w:val="20"/>
              </w:rPr>
              <w:t>/</w:t>
            </w:r>
            <w:r>
              <w:rPr>
                <w:rFonts w:hint="eastAsia"/>
                <w:szCs w:val="20"/>
              </w:rPr>
              <w:t>地区</w:t>
            </w:r>
          </w:p>
        </w:tc>
        <w:tc>
          <w:tcPr>
            <w:tcW w:w="1416" w:type="dxa"/>
            <w:shd w:val="clear" w:color="auto" w:fill="auto"/>
            <w:noWrap/>
          </w:tcPr>
          <w:p w14:paraId="74435D08" w14:textId="77777777" w:rsidR="00A052DC" w:rsidRDefault="009F0A60">
            <w:pPr>
              <w:pStyle w:val="B"/>
              <w:rPr>
                <w:szCs w:val="20"/>
              </w:rPr>
            </w:pPr>
            <w:r>
              <w:rPr>
                <w:rFonts w:hint="eastAsia"/>
                <w:szCs w:val="20"/>
              </w:rPr>
              <w:t>字符型，</w:t>
            </w:r>
            <w:r>
              <w:rPr>
                <w:szCs w:val="20"/>
              </w:rPr>
              <w:t>3</w:t>
            </w:r>
          </w:p>
        </w:tc>
        <w:tc>
          <w:tcPr>
            <w:tcW w:w="3630" w:type="dxa"/>
          </w:tcPr>
          <w:p w14:paraId="5754E268" w14:textId="77777777" w:rsidR="00A052DC" w:rsidRDefault="009F0A60">
            <w:pPr>
              <w:pStyle w:val="B"/>
              <w:rPr>
                <w:szCs w:val="20"/>
              </w:rPr>
            </w:pPr>
            <w:r>
              <w:rPr>
                <w:rFonts w:hint="eastAsia"/>
                <w:szCs w:val="20"/>
              </w:rPr>
              <w:t>必填项，见国家和地区代码表的</w:t>
            </w:r>
            <w:r>
              <w:rPr>
                <w:szCs w:val="20"/>
              </w:rPr>
              <w:t>3</w:t>
            </w:r>
            <w:r>
              <w:rPr>
                <w:rFonts w:hint="eastAsia"/>
                <w:szCs w:val="20"/>
              </w:rPr>
              <w:t>位字母代码。</w:t>
            </w:r>
          </w:p>
        </w:tc>
      </w:tr>
      <w:tr w:rsidR="00A052DC" w14:paraId="284D927C" w14:textId="77777777">
        <w:trPr>
          <w:jc w:val="center"/>
        </w:trPr>
        <w:tc>
          <w:tcPr>
            <w:tcW w:w="1162" w:type="dxa"/>
            <w:shd w:val="clear" w:color="auto" w:fill="auto"/>
            <w:noWrap/>
          </w:tcPr>
          <w:p w14:paraId="0A3B4A5D" w14:textId="77777777" w:rsidR="00A052DC" w:rsidRDefault="009F0A60">
            <w:pPr>
              <w:pStyle w:val="B"/>
              <w:rPr>
                <w:szCs w:val="20"/>
              </w:rPr>
            </w:pPr>
            <w:r>
              <w:rPr>
                <w:szCs w:val="20"/>
              </w:rPr>
              <w:t>Z0304</w:t>
            </w:r>
          </w:p>
        </w:tc>
        <w:tc>
          <w:tcPr>
            <w:tcW w:w="2170" w:type="dxa"/>
            <w:shd w:val="clear" w:color="auto" w:fill="auto"/>
          </w:tcPr>
          <w:p w14:paraId="1FA092C0" w14:textId="77777777" w:rsidR="00A052DC" w:rsidRDefault="009F0A60">
            <w:pPr>
              <w:pStyle w:val="B"/>
              <w:rPr>
                <w:szCs w:val="20"/>
              </w:rPr>
            </w:pPr>
            <w:r>
              <w:rPr>
                <w:rFonts w:hint="eastAsia"/>
                <w:szCs w:val="20"/>
              </w:rPr>
              <w:t>投资者所属部门</w:t>
            </w:r>
          </w:p>
        </w:tc>
        <w:tc>
          <w:tcPr>
            <w:tcW w:w="1416" w:type="dxa"/>
            <w:shd w:val="clear" w:color="auto" w:fill="auto"/>
            <w:noWrap/>
          </w:tcPr>
          <w:p w14:paraId="6E2A95BB" w14:textId="77777777" w:rsidR="00A052DC" w:rsidRDefault="009F0A60">
            <w:pPr>
              <w:pStyle w:val="B"/>
              <w:rPr>
                <w:szCs w:val="20"/>
              </w:rPr>
            </w:pPr>
            <w:r>
              <w:rPr>
                <w:rFonts w:hint="eastAsia"/>
                <w:szCs w:val="20"/>
              </w:rPr>
              <w:t>整数型</w:t>
            </w:r>
          </w:p>
        </w:tc>
        <w:tc>
          <w:tcPr>
            <w:tcW w:w="3630" w:type="dxa"/>
          </w:tcPr>
          <w:p w14:paraId="72BF19CC" w14:textId="77777777" w:rsidR="00A052DC" w:rsidRDefault="009F0A60">
            <w:pPr>
              <w:pStyle w:val="B"/>
              <w:rPr>
                <w:szCs w:val="20"/>
              </w:rPr>
            </w:pPr>
            <w:r>
              <w:rPr>
                <w:rFonts w:hint="eastAsia"/>
                <w:szCs w:val="20"/>
              </w:rPr>
              <w:t>必填项，见投资者（被投资者）部门代码表。</w:t>
            </w:r>
          </w:p>
        </w:tc>
      </w:tr>
      <w:tr w:rsidR="00A052DC" w14:paraId="2415A951" w14:textId="77777777">
        <w:trPr>
          <w:jc w:val="center"/>
        </w:trPr>
        <w:tc>
          <w:tcPr>
            <w:tcW w:w="1162" w:type="dxa"/>
            <w:shd w:val="clear" w:color="auto" w:fill="auto"/>
            <w:noWrap/>
          </w:tcPr>
          <w:p w14:paraId="42F95DC3" w14:textId="77777777" w:rsidR="00A052DC" w:rsidRDefault="009F0A60">
            <w:pPr>
              <w:pStyle w:val="B"/>
              <w:rPr>
                <w:szCs w:val="20"/>
              </w:rPr>
            </w:pPr>
            <w:r>
              <w:rPr>
                <w:szCs w:val="20"/>
              </w:rPr>
              <w:t>Z0305</w:t>
            </w:r>
          </w:p>
        </w:tc>
        <w:tc>
          <w:tcPr>
            <w:tcW w:w="2170" w:type="dxa"/>
            <w:shd w:val="clear" w:color="auto" w:fill="auto"/>
          </w:tcPr>
          <w:p w14:paraId="738EDCF3" w14:textId="77777777" w:rsidR="00A052DC" w:rsidRDefault="009F0A60">
            <w:pPr>
              <w:pStyle w:val="B"/>
              <w:rPr>
                <w:szCs w:val="20"/>
              </w:rPr>
            </w:pPr>
            <w:r>
              <w:rPr>
                <w:rFonts w:hint="eastAsia"/>
                <w:szCs w:val="20"/>
              </w:rPr>
              <w:t>投资者表决权比例（</w:t>
            </w:r>
            <w:r>
              <w:rPr>
                <w:szCs w:val="20"/>
              </w:rPr>
              <w:t>%</w:t>
            </w:r>
            <w:r>
              <w:rPr>
                <w:rFonts w:hint="eastAsia"/>
                <w:szCs w:val="20"/>
              </w:rPr>
              <w:t>）</w:t>
            </w:r>
          </w:p>
        </w:tc>
        <w:tc>
          <w:tcPr>
            <w:tcW w:w="1416" w:type="dxa"/>
            <w:shd w:val="clear" w:color="auto" w:fill="auto"/>
            <w:noWrap/>
          </w:tcPr>
          <w:p w14:paraId="4ABF51AF" w14:textId="77777777" w:rsidR="00A052DC" w:rsidRDefault="009F0A60">
            <w:pPr>
              <w:pStyle w:val="B"/>
              <w:rPr>
                <w:szCs w:val="20"/>
              </w:rPr>
            </w:pPr>
            <w:r>
              <w:rPr>
                <w:rFonts w:hint="eastAsia"/>
                <w:szCs w:val="20"/>
              </w:rPr>
              <w:t>数值型，</w:t>
            </w:r>
            <w:r>
              <w:rPr>
                <w:szCs w:val="20"/>
              </w:rPr>
              <w:t>22.2</w:t>
            </w:r>
          </w:p>
        </w:tc>
        <w:tc>
          <w:tcPr>
            <w:tcW w:w="3630" w:type="dxa"/>
          </w:tcPr>
          <w:p w14:paraId="28AD86B5" w14:textId="77777777" w:rsidR="00A052DC" w:rsidRDefault="009F0A60">
            <w:pPr>
              <w:pStyle w:val="B"/>
              <w:rPr>
                <w:szCs w:val="20"/>
              </w:rPr>
            </w:pPr>
            <w:r>
              <w:rPr>
                <w:rFonts w:hint="eastAsia"/>
                <w:szCs w:val="20"/>
              </w:rPr>
              <w:t>必填项，取值范围</w:t>
            </w:r>
            <w:r>
              <w:rPr>
                <w:szCs w:val="20"/>
              </w:rPr>
              <w:t>10</w:t>
            </w:r>
            <w:r>
              <w:rPr>
                <w:rFonts w:hint="eastAsia"/>
                <w:szCs w:val="20"/>
              </w:rPr>
              <w:t>≤</w:t>
            </w:r>
            <w:r>
              <w:rPr>
                <w:szCs w:val="20"/>
              </w:rPr>
              <w:t>Z0305</w:t>
            </w:r>
            <w:r>
              <w:rPr>
                <w:rFonts w:hint="eastAsia"/>
                <w:szCs w:val="20"/>
              </w:rPr>
              <w:t>≤</w:t>
            </w:r>
            <w:r>
              <w:rPr>
                <w:szCs w:val="20"/>
              </w:rPr>
              <w:t>100</w:t>
            </w:r>
            <w:r>
              <w:rPr>
                <w:rFonts w:hint="eastAsia"/>
                <w:szCs w:val="20"/>
              </w:rPr>
              <w:t>，精确到小数点后两位。同一被投资机构的直接上一级投资者（股东）持有的表决权比例之和不得超过100％。</w:t>
            </w:r>
          </w:p>
        </w:tc>
      </w:tr>
      <w:tr w:rsidR="00A052DC" w14:paraId="2EFBBF93" w14:textId="77777777">
        <w:trPr>
          <w:jc w:val="center"/>
        </w:trPr>
        <w:tc>
          <w:tcPr>
            <w:tcW w:w="1162" w:type="dxa"/>
            <w:shd w:val="clear" w:color="auto" w:fill="auto"/>
            <w:noWrap/>
          </w:tcPr>
          <w:p w14:paraId="6E0D60EA" w14:textId="77777777" w:rsidR="00A052DC" w:rsidRDefault="009F0A60">
            <w:pPr>
              <w:pStyle w:val="B"/>
              <w:rPr>
                <w:szCs w:val="20"/>
              </w:rPr>
            </w:pPr>
            <w:r>
              <w:rPr>
                <w:szCs w:val="20"/>
              </w:rPr>
              <w:t>Z0306</w:t>
            </w:r>
          </w:p>
        </w:tc>
        <w:tc>
          <w:tcPr>
            <w:tcW w:w="2170" w:type="dxa"/>
            <w:shd w:val="clear" w:color="auto" w:fill="auto"/>
          </w:tcPr>
          <w:p w14:paraId="124BDEB5" w14:textId="77777777" w:rsidR="00A052DC" w:rsidRDefault="009F0A60">
            <w:pPr>
              <w:pStyle w:val="B"/>
              <w:rPr>
                <w:szCs w:val="20"/>
              </w:rPr>
            </w:pPr>
            <w:r>
              <w:rPr>
                <w:rFonts w:hint="eastAsia"/>
                <w:szCs w:val="20"/>
              </w:rPr>
              <w:t>被投资机构名称</w:t>
            </w:r>
          </w:p>
        </w:tc>
        <w:tc>
          <w:tcPr>
            <w:tcW w:w="1416" w:type="dxa"/>
            <w:shd w:val="clear" w:color="auto" w:fill="auto"/>
            <w:noWrap/>
          </w:tcPr>
          <w:p w14:paraId="03AB763D" w14:textId="77777777" w:rsidR="00A052DC" w:rsidRDefault="009F0A60">
            <w:pPr>
              <w:pStyle w:val="B"/>
              <w:rPr>
                <w:szCs w:val="20"/>
              </w:rPr>
            </w:pPr>
            <w:r>
              <w:rPr>
                <w:rFonts w:hint="eastAsia"/>
                <w:szCs w:val="20"/>
              </w:rPr>
              <w:t>字符型，</w:t>
            </w:r>
            <w:r>
              <w:rPr>
                <w:szCs w:val="20"/>
              </w:rPr>
              <w:t>256</w:t>
            </w:r>
          </w:p>
        </w:tc>
        <w:tc>
          <w:tcPr>
            <w:tcW w:w="3630" w:type="dxa"/>
          </w:tcPr>
          <w:p w14:paraId="63E3A347" w14:textId="77777777" w:rsidR="00A052DC" w:rsidRDefault="009F0A60">
            <w:pPr>
              <w:pStyle w:val="B"/>
              <w:rPr>
                <w:szCs w:val="20"/>
              </w:rPr>
            </w:pPr>
            <w:r>
              <w:rPr>
                <w:rFonts w:hint="eastAsia"/>
                <w:szCs w:val="20"/>
              </w:rPr>
              <w:t>必填项。</w:t>
            </w:r>
          </w:p>
        </w:tc>
      </w:tr>
      <w:tr w:rsidR="00A052DC" w14:paraId="67774F52" w14:textId="77777777">
        <w:trPr>
          <w:jc w:val="center"/>
        </w:trPr>
        <w:tc>
          <w:tcPr>
            <w:tcW w:w="1162" w:type="dxa"/>
            <w:shd w:val="clear" w:color="auto" w:fill="auto"/>
            <w:noWrap/>
          </w:tcPr>
          <w:p w14:paraId="0AF129A5" w14:textId="77777777" w:rsidR="00A052DC" w:rsidRDefault="009F0A60">
            <w:pPr>
              <w:pStyle w:val="B"/>
              <w:rPr>
                <w:szCs w:val="20"/>
              </w:rPr>
            </w:pPr>
            <w:r>
              <w:rPr>
                <w:szCs w:val="20"/>
              </w:rPr>
              <w:t>Z0307</w:t>
            </w:r>
          </w:p>
        </w:tc>
        <w:tc>
          <w:tcPr>
            <w:tcW w:w="2170" w:type="dxa"/>
            <w:shd w:val="clear" w:color="auto" w:fill="auto"/>
          </w:tcPr>
          <w:p w14:paraId="60D75E1B" w14:textId="77777777" w:rsidR="00A052DC" w:rsidRDefault="009F0A60">
            <w:pPr>
              <w:pStyle w:val="B"/>
              <w:rPr>
                <w:szCs w:val="20"/>
              </w:rPr>
            </w:pPr>
            <w:r>
              <w:rPr>
                <w:rFonts w:hint="eastAsia"/>
                <w:szCs w:val="20"/>
              </w:rPr>
              <w:t>被投资机构代码</w:t>
            </w:r>
          </w:p>
        </w:tc>
        <w:tc>
          <w:tcPr>
            <w:tcW w:w="1416" w:type="dxa"/>
            <w:shd w:val="clear" w:color="auto" w:fill="auto"/>
            <w:noWrap/>
          </w:tcPr>
          <w:p w14:paraId="4142105E" w14:textId="77777777" w:rsidR="00A052DC" w:rsidRDefault="009F0A60">
            <w:pPr>
              <w:pStyle w:val="B"/>
              <w:rPr>
                <w:szCs w:val="20"/>
              </w:rPr>
            </w:pPr>
            <w:r>
              <w:rPr>
                <w:rFonts w:hint="eastAsia"/>
                <w:szCs w:val="20"/>
              </w:rPr>
              <w:t>字符型，</w:t>
            </w:r>
            <w:r>
              <w:rPr>
                <w:szCs w:val="20"/>
              </w:rPr>
              <w:t>256</w:t>
            </w:r>
          </w:p>
        </w:tc>
        <w:tc>
          <w:tcPr>
            <w:tcW w:w="3630" w:type="dxa"/>
          </w:tcPr>
          <w:p w14:paraId="1E7AC8D5" w14:textId="77777777" w:rsidR="00A052DC" w:rsidRDefault="009F0A60">
            <w:pPr>
              <w:pStyle w:val="B"/>
              <w:rPr>
                <w:szCs w:val="20"/>
              </w:rPr>
            </w:pPr>
            <w:r>
              <w:rPr>
                <w:rFonts w:hint="eastAsia"/>
              </w:rPr>
              <w:t>必填项。同一条数据（即一组投资者</w:t>
            </w:r>
            <w:r>
              <w:t>-被投资机构关系）中“Z0302投资者代码”与“Z0307被投资者机构代码”不能相同。</w:t>
            </w:r>
            <w:r>
              <w:rPr>
                <w:rFonts w:hint="eastAsia"/>
                <w:szCs w:val="20"/>
              </w:rPr>
              <w:t>当申报主体为被投资机构时，“</w:t>
            </w:r>
            <w:r>
              <w:rPr>
                <w:szCs w:val="20"/>
              </w:rPr>
              <w:t>Z0307被投资机构代码”应与“Z0103证照号码”保持一致。</w:t>
            </w:r>
          </w:p>
        </w:tc>
      </w:tr>
      <w:tr w:rsidR="00A052DC" w14:paraId="77D1CA0C" w14:textId="77777777">
        <w:trPr>
          <w:jc w:val="center"/>
        </w:trPr>
        <w:tc>
          <w:tcPr>
            <w:tcW w:w="1162" w:type="dxa"/>
            <w:shd w:val="clear" w:color="auto" w:fill="auto"/>
            <w:noWrap/>
          </w:tcPr>
          <w:p w14:paraId="672AE29D" w14:textId="77777777" w:rsidR="00A052DC" w:rsidRDefault="009F0A60">
            <w:pPr>
              <w:pStyle w:val="B"/>
              <w:rPr>
                <w:szCs w:val="20"/>
              </w:rPr>
            </w:pPr>
            <w:r>
              <w:rPr>
                <w:szCs w:val="20"/>
              </w:rPr>
              <w:t>Z0308</w:t>
            </w:r>
          </w:p>
        </w:tc>
        <w:tc>
          <w:tcPr>
            <w:tcW w:w="2170" w:type="dxa"/>
            <w:shd w:val="clear" w:color="auto" w:fill="auto"/>
          </w:tcPr>
          <w:p w14:paraId="73449B77" w14:textId="77777777" w:rsidR="00A052DC" w:rsidRDefault="009F0A60">
            <w:pPr>
              <w:pStyle w:val="B"/>
              <w:rPr>
                <w:szCs w:val="20"/>
              </w:rPr>
            </w:pPr>
            <w:r>
              <w:rPr>
                <w:rFonts w:hint="eastAsia"/>
                <w:szCs w:val="20"/>
              </w:rPr>
              <w:t>被投资机构所属国家</w:t>
            </w:r>
            <w:r>
              <w:rPr>
                <w:szCs w:val="20"/>
              </w:rPr>
              <w:t>/</w:t>
            </w:r>
            <w:r>
              <w:rPr>
                <w:rFonts w:hint="eastAsia"/>
                <w:szCs w:val="20"/>
              </w:rPr>
              <w:t>地区</w:t>
            </w:r>
          </w:p>
        </w:tc>
        <w:tc>
          <w:tcPr>
            <w:tcW w:w="1416" w:type="dxa"/>
            <w:shd w:val="clear" w:color="auto" w:fill="auto"/>
            <w:noWrap/>
          </w:tcPr>
          <w:p w14:paraId="2A0D1CCB" w14:textId="77777777" w:rsidR="00A052DC" w:rsidRDefault="009F0A60">
            <w:pPr>
              <w:pStyle w:val="B"/>
              <w:rPr>
                <w:szCs w:val="20"/>
              </w:rPr>
            </w:pPr>
            <w:r>
              <w:rPr>
                <w:rFonts w:hint="eastAsia"/>
                <w:szCs w:val="20"/>
              </w:rPr>
              <w:t>字符型，</w:t>
            </w:r>
            <w:r>
              <w:rPr>
                <w:szCs w:val="20"/>
              </w:rPr>
              <w:t>3</w:t>
            </w:r>
          </w:p>
        </w:tc>
        <w:tc>
          <w:tcPr>
            <w:tcW w:w="3630" w:type="dxa"/>
          </w:tcPr>
          <w:p w14:paraId="54165543" w14:textId="77777777" w:rsidR="00A052DC" w:rsidRDefault="009F0A60">
            <w:pPr>
              <w:pStyle w:val="B"/>
              <w:rPr>
                <w:szCs w:val="20"/>
              </w:rPr>
            </w:pPr>
            <w:r>
              <w:rPr>
                <w:rFonts w:hint="eastAsia"/>
                <w:szCs w:val="20"/>
              </w:rPr>
              <w:t>必填项</w:t>
            </w:r>
            <w:r>
              <w:rPr>
                <w:szCs w:val="20"/>
              </w:rPr>
              <w:t>,</w:t>
            </w:r>
            <w:r>
              <w:rPr>
                <w:rFonts w:hint="eastAsia"/>
                <w:szCs w:val="20"/>
              </w:rPr>
              <w:t>见国家和地区代码表的</w:t>
            </w:r>
            <w:r>
              <w:rPr>
                <w:szCs w:val="20"/>
              </w:rPr>
              <w:t>3</w:t>
            </w:r>
            <w:r>
              <w:rPr>
                <w:rFonts w:hint="eastAsia"/>
                <w:szCs w:val="20"/>
              </w:rPr>
              <w:t>位字母代码。</w:t>
            </w:r>
          </w:p>
        </w:tc>
      </w:tr>
      <w:tr w:rsidR="00A052DC" w14:paraId="2F504B26" w14:textId="77777777">
        <w:trPr>
          <w:jc w:val="center"/>
        </w:trPr>
        <w:tc>
          <w:tcPr>
            <w:tcW w:w="1162" w:type="dxa"/>
            <w:shd w:val="clear" w:color="auto" w:fill="auto"/>
            <w:noWrap/>
          </w:tcPr>
          <w:p w14:paraId="46411EFA" w14:textId="77777777" w:rsidR="00A052DC" w:rsidRDefault="009F0A60">
            <w:pPr>
              <w:pStyle w:val="B"/>
              <w:rPr>
                <w:szCs w:val="20"/>
              </w:rPr>
            </w:pPr>
            <w:r>
              <w:rPr>
                <w:szCs w:val="20"/>
              </w:rPr>
              <w:t>Z0309</w:t>
            </w:r>
          </w:p>
        </w:tc>
        <w:tc>
          <w:tcPr>
            <w:tcW w:w="2170" w:type="dxa"/>
            <w:shd w:val="clear" w:color="auto" w:fill="auto"/>
          </w:tcPr>
          <w:p w14:paraId="4B4E36F5" w14:textId="77777777" w:rsidR="00A052DC" w:rsidRDefault="009F0A60">
            <w:pPr>
              <w:pStyle w:val="B"/>
              <w:rPr>
                <w:szCs w:val="20"/>
              </w:rPr>
            </w:pPr>
            <w:r>
              <w:rPr>
                <w:rFonts w:hint="eastAsia"/>
                <w:szCs w:val="20"/>
              </w:rPr>
              <w:t>被投资机构所属部门</w:t>
            </w:r>
          </w:p>
        </w:tc>
        <w:tc>
          <w:tcPr>
            <w:tcW w:w="1416" w:type="dxa"/>
            <w:shd w:val="clear" w:color="auto" w:fill="auto"/>
            <w:noWrap/>
          </w:tcPr>
          <w:p w14:paraId="129F428D" w14:textId="77777777" w:rsidR="00A052DC" w:rsidRDefault="009F0A60">
            <w:pPr>
              <w:pStyle w:val="B"/>
              <w:rPr>
                <w:szCs w:val="20"/>
              </w:rPr>
            </w:pPr>
            <w:r>
              <w:rPr>
                <w:rFonts w:hint="eastAsia"/>
                <w:szCs w:val="20"/>
              </w:rPr>
              <w:t>整数型</w:t>
            </w:r>
          </w:p>
        </w:tc>
        <w:tc>
          <w:tcPr>
            <w:tcW w:w="3630" w:type="dxa"/>
          </w:tcPr>
          <w:p w14:paraId="02C8E422" w14:textId="77777777" w:rsidR="00A052DC" w:rsidRDefault="009F0A60">
            <w:pPr>
              <w:pStyle w:val="B"/>
              <w:widowControl w:val="0"/>
            </w:pPr>
            <w:r>
              <w:rPr>
                <w:rFonts w:hint="eastAsia"/>
              </w:rPr>
              <w:t>必填项</w:t>
            </w:r>
            <w:r>
              <w:t>,</w:t>
            </w:r>
            <w:r>
              <w:rPr>
                <w:rFonts w:hint="eastAsia"/>
              </w:rPr>
              <w:t>见投资者（被投资者）部门代码表。</w:t>
            </w:r>
          </w:p>
          <w:p w14:paraId="6FE495B6" w14:textId="77777777" w:rsidR="00A052DC" w:rsidRDefault="009F0A60">
            <w:pPr>
              <w:pStyle w:val="B"/>
              <w:rPr>
                <w:szCs w:val="20"/>
              </w:rPr>
            </w:pPr>
            <w:r>
              <w:rPr>
                <w:rFonts w:hint="eastAsia"/>
              </w:rPr>
              <w:t>本项不能选择</w:t>
            </w:r>
            <w:r>
              <w:rPr>
                <w:szCs w:val="20"/>
              </w:rPr>
              <w:t>1</w:t>
            </w:r>
            <w:r>
              <w:rPr>
                <w:rFonts w:hint="eastAsia"/>
                <w:szCs w:val="20"/>
              </w:rPr>
              <w:t>、</w:t>
            </w:r>
            <w:r>
              <w:rPr>
                <w:szCs w:val="20"/>
              </w:rPr>
              <w:t>2</w:t>
            </w:r>
            <w:r>
              <w:rPr>
                <w:rFonts w:hint="eastAsia"/>
              </w:rPr>
              <w:t>或</w:t>
            </w:r>
            <w:r>
              <w:rPr>
                <w:szCs w:val="20"/>
              </w:rPr>
              <w:t>6</w:t>
            </w:r>
            <w:r>
              <w:rPr>
                <w:rFonts w:hint="eastAsia"/>
              </w:rPr>
              <w:t>。</w:t>
            </w:r>
          </w:p>
        </w:tc>
      </w:tr>
      <w:tr w:rsidR="00A052DC" w14:paraId="5F17D587" w14:textId="77777777">
        <w:trPr>
          <w:jc w:val="center"/>
        </w:trPr>
        <w:tc>
          <w:tcPr>
            <w:tcW w:w="1162" w:type="dxa"/>
            <w:shd w:val="clear" w:color="auto" w:fill="auto"/>
            <w:noWrap/>
          </w:tcPr>
          <w:p w14:paraId="365FCE17" w14:textId="77777777" w:rsidR="00A052DC" w:rsidRDefault="009F0A60">
            <w:pPr>
              <w:pStyle w:val="B"/>
              <w:rPr>
                <w:szCs w:val="20"/>
              </w:rPr>
            </w:pPr>
            <w:r>
              <w:rPr>
                <w:szCs w:val="20"/>
              </w:rPr>
              <w:t>REMARK</w:t>
            </w:r>
          </w:p>
        </w:tc>
        <w:tc>
          <w:tcPr>
            <w:tcW w:w="2170" w:type="dxa"/>
            <w:shd w:val="clear" w:color="auto" w:fill="auto"/>
          </w:tcPr>
          <w:p w14:paraId="147227AB" w14:textId="77777777" w:rsidR="00A052DC" w:rsidRDefault="009F0A60">
            <w:pPr>
              <w:pStyle w:val="B"/>
              <w:rPr>
                <w:szCs w:val="20"/>
              </w:rPr>
            </w:pPr>
            <w:r>
              <w:rPr>
                <w:rFonts w:hint="eastAsia"/>
                <w:szCs w:val="20"/>
              </w:rPr>
              <w:t>备注</w:t>
            </w:r>
          </w:p>
        </w:tc>
        <w:tc>
          <w:tcPr>
            <w:tcW w:w="1416" w:type="dxa"/>
            <w:shd w:val="clear" w:color="auto" w:fill="auto"/>
            <w:noWrap/>
          </w:tcPr>
          <w:p w14:paraId="7A688064" w14:textId="77777777" w:rsidR="00A052DC" w:rsidRDefault="009F0A60">
            <w:pPr>
              <w:pStyle w:val="B"/>
              <w:rPr>
                <w:szCs w:val="20"/>
              </w:rPr>
            </w:pPr>
            <w:r>
              <w:rPr>
                <w:rFonts w:hint="eastAsia"/>
                <w:szCs w:val="20"/>
              </w:rPr>
              <w:t>字符型，</w:t>
            </w:r>
            <w:r>
              <w:rPr>
                <w:szCs w:val="20"/>
              </w:rPr>
              <w:t>512</w:t>
            </w:r>
          </w:p>
        </w:tc>
        <w:tc>
          <w:tcPr>
            <w:tcW w:w="3630" w:type="dxa"/>
          </w:tcPr>
          <w:p w14:paraId="16128227" w14:textId="77777777" w:rsidR="00A052DC" w:rsidRDefault="009F0A60">
            <w:pPr>
              <w:pStyle w:val="B"/>
              <w:rPr>
                <w:szCs w:val="20"/>
              </w:rPr>
            </w:pPr>
            <w:r>
              <w:rPr>
                <w:rFonts w:hint="eastAsia"/>
                <w:szCs w:val="20"/>
              </w:rPr>
              <w:t>非必填项。</w:t>
            </w:r>
          </w:p>
        </w:tc>
      </w:tr>
    </w:tbl>
    <w:p w14:paraId="30678133" w14:textId="77777777" w:rsidR="00A052DC" w:rsidRDefault="009F0A60">
      <w:pPr>
        <w:pStyle w:val="3"/>
        <w:ind w:left="0"/>
        <w:rPr>
          <w:rFonts w:ascii="Times New Roman" w:hAnsi="Times New Roman"/>
        </w:rPr>
      </w:pPr>
      <w:bookmarkStart w:id="2978" w:name="_Toc380570903"/>
      <w:bookmarkStart w:id="2979" w:name="_Toc380356277"/>
      <w:bookmarkStart w:id="2980" w:name="_Toc454391227"/>
      <w:bookmarkStart w:id="2981" w:name="_Toc91455304"/>
      <w:bookmarkStart w:id="2982" w:name="_Toc101684477"/>
      <w:r>
        <w:rPr>
          <w:rFonts w:ascii="Times New Roman" w:hAnsi="Times New Roman"/>
        </w:rPr>
        <w:t>A01-1</w:t>
      </w:r>
      <w:r>
        <w:rPr>
          <w:rFonts w:ascii="Times New Roman" w:hAnsi="Times New Roman" w:hint="eastAsia"/>
        </w:rPr>
        <w:t>表</w:t>
      </w:r>
      <w:bookmarkStart w:id="2983" w:name="_Toc372634048"/>
      <w:r>
        <w:rPr>
          <w:rFonts w:ascii="Times New Roman" w:hAnsi="Times New Roman" w:hint="eastAsia"/>
        </w:rPr>
        <w:t>：对外直接投资</w:t>
      </w:r>
      <w:bookmarkEnd w:id="2983"/>
      <w:r>
        <w:rPr>
          <w:rFonts w:ascii="Times New Roman" w:hAnsi="Times New Roman" w:hint="eastAsia"/>
        </w:rPr>
        <w:t>（资产负债、利润及市值）</w:t>
      </w:r>
      <w:bookmarkEnd w:id="2978"/>
      <w:bookmarkEnd w:id="2979"/>
      <w:bookmarkEnd w:id="2980"/>
      <w:bookmarkEnd w:id="2981"/>
      <w:bookmarkEnd w:id="2982"/>
    </w:p>
    <w:p w14:paraId="0DD43D40" w14:textId="77777777" w:rsidR="00A052DC" w:rsidRDefault="009F0A60" w:rsidP="0020251D">
      <w:pPr>
        <w:pStyle w:val="4"/>
        <w:numPr>
          <w:ilvl w:val="3"/>
          <w:numId w:val="1"/>
        </w:numPr>
        <w:jc w:val="left"/>
      </w:pPr>
      <w:bookmarkStart w:id="2984" w:name="_Toc380570904"/>
      <w:bookmarkStart w:id="2985" w:name="_Toc454391228"/>
      <w:r>
        <w:rPr>
          <w:rFonts w:hint="eastAsia"/>
        </w:rPr>
        <w:t>数据术语解释</w:t>
      </w:r>
      <w:bookmarkEnd w:id="2984"/>
      <w:bookmarkEnd w:id="2985"/>
    </w:p>
    <w:tbl>
      <w:tblPr>
        <w:tblW w:w="84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7"/>
        <w:gridCol w:w="6946"/>
      </w:tblGrid>
      <w:tr w:rsidR="00A052DC" w14:paraId="0B5882ED" w14:textId="77777777">
        <w:trPr>
          <w:cantSplit/>
          <w:jc w:val="center"/>
        </w:trPr>
        <w:tc>
          <w:tcPr>
            <w:tcW w:w="1537" w:type="dxa"/>
            <w:shd w:val="clear" w:color="auto" w:fill="auto"/>
            <w:noWrap/>
          </w:tcPr>
          <w:p w14:paraId="223E6AD0" w14:textId="77777777" w:rsidR="00A052DC" w:rsidRDefault="009F0A60">
            <w:pPr>
              <w:pStyle w:val="B1"/>
            </w:pPr>
            <w:r>
              <w:rPr>
                <w:rFonts w:hint="eastAsia"/>
              </w:rPr>
              <w:t>基础数据项</w:t>
            </w:r>
          </w:p>
        </w:tc>
        <w:tc>
          <w:tcPr>
            <w:tcW w:w="6946" w:type="dxa"/>
            <w:shd w:val="clear" w:color="auto" w:fill="auto"/>
            <w:noWrap/>
          </w:tcPr>
          <w:p w14:paraId="4F9467A2" w14:textId="77777777" w:rsidR="00A052DC" w:rsidRDefault="009F0A60">
            <w:pPr>
              <w:pStyle w:val="B1"/>
            </w:pPr>
            <w:r>
              <w:rPr>
                <w:rFonts w:hint="eastAsia"/>
              </w:rPr>
              <w:t>定义</w:t>
            </w:r>
          </w:p>
        </w:tc>
      </w:tr>
      <w:tr w:rsidR="00A052DC" w14:paraId="290C9656" w14:textId="77777777">
        <w:trPr>
          <w:cantSplit/>
          <w:jc w:val="center"/>
        </w:trPr>
        <w:tc>
          <w:tcPr>
            <w:tcW w:w="1537" w:type="dxa"/>
            <w:shd w:val="clear" w:color="auto" w:fill="auto"/>
          </w:tcPr>
          <w:p w14:paraId="5DA3861A" w14:textId="77777777" w:rsidR="00A052DC" w:rsidRDefault="009F0A60">
            <w:pPr>
              <w:pStyle w:val="B"/>
              <w:rPr>
                <w:szCs w:val="20"/>
              </w:rPr>
            </w:pPr>
            <w:r>
              <w:rPr>
                <w:rFonts w:hint="eastAsia"/>
                <w:szCs w:val="20"/>
              </w:rPr>
              <w:t>数据自编码</w:t>
            </w:r>
          </w:p>
        </w:tc>
        <w:tc>
          <w:tcPr>
            <w:tcW w:w="6946" w:type="dxa"/>
            <w:shd w:val="clear" w:color="auto" w:fill="auto"/>
            <w:noWrap/>
          </w:tcPr>
          <w:p w14:paraId="655C82A3" w14:textId="77777777" w:rsidR="00A052DC" w:rsidRDefault="009F0A60">
            <w:pPr>
              <w:pStyle w:val="B"/>
              <w:rPr>
                <w:szCs w:val="20"/>
              </w:rPr>
            </w:pPr>
            <w:r>
              <w:rPr>
                <w:rFonts w:hint="eastAsia"/>
                <w:szCs w:val="20"/>
              </w:rPr>
              <w:t>该编码用于标识金融机构报送的每一条数据，按给定规则编码，便于进行增删改查等操作。建议规则：机构代码（</w:t>
            </w:r>
            <w:r>
              <w:rPr>
                <w:szCs w:val="20"/>
              </w:rPr>
              <w:t>1</w:t>
            </w:r>
            <w:r>
              <w:rPr>
                <w:rFonts w:hint="eastAsia"/>
                <w:szCs w:val="20"/>
              </w:rPr>
              <w:t>8位，不足</w:t>
            </w:r>
            <w:r>
              <w:rPr>
                <w:szCs w:val="20"/>
              </w:rPr>
              <w:t>1</w:t>
            </w:r>
            <w:r>
              <w:rPr>
                <w:rFonts w:hint="eastAsia"/>
                <w:szCs w:val="20"/>
              </w:rPr>
              <w:t>8位补</w:t>
            </w:r>
            <w:r>
              <w:rPr>
                <w:szCs w:val="20"/>
              </w:rPr>
              <w:t>a</w:t>
            </w:r>
            <w:r>
              <w:rPr>
                <w:rFonts w:hint="eastAsia"/>
                <w:szCs w:val="20"/>
              </w:rPr>
              <w:t>）</w:t>
            </w:r>
            <w:r>
              <w:rPr>
                <w:szCs w:val="20"/>
              </w:rPr>
              <w:t>+</w:t>
            </w:r>
            <w:r>
              <w:rPr>
                <w:rFonts w:hint="eastAsia"/>
                <w:szCs w:val="20"/>
              </w:rPr>
              <w:t>报表代码（</w:t>
            </w:r>
            <w:r>
              <w:rPr>
                <w:szCs w:val="20"/>
              </w:rPr>
              <w:t>5</w:t>
            </w:r>
            <w:r>
              <w:rPr>
                <w:rFonts w:hint="eastAsia"/>
                <w:szCs w:val="20"/>
              </w:rPr>
              <w:t>位，不足</w:t>
            </w:r>
            <w:r>
              <w:rPr>
                <w:szCs w:val="20"/>
              </w:rPr>
              <w:t>5</w:t>
            </w:r>
            <w:r>
              <w:rPr>
                <w:rFonts w:hint="eastAsia"/>
                <w:szCs w:val="20"/>
              </w:rPr>
              <w:t>位补</w:t>
            </w:r>
            <w:r>
              <w:rPr>
                <w:szCs w:val="20"/>
              </w:rPr>
              <w:t>a</w:t>
            </w:r>
            <w:r>
              <w:rPr>
                <w:rFonts w:hint="eastAsia"/>
                <w:szCs w:val="20"/>
              </w:rPr>
              <w:t>）</w:t>
            </w:r>
            <w:r>
              <w:rPr>
                <w:szCs w:val="20"/>
              </w:rPr>
              <w:t>+</w:t>
            </w:r>
            <w:r>
              <w:rPr>
                <w:rFonts w:hint="eastAsia"/>
                <w:szCs w:val="20"/>
              </w:rPr>
              <w:t>报送期（</w:t>
            </w:r>
            <w:r>
              <w:rPr>
                <w:szCs w:val="20"/>
              </w:rPr>
              <w:t>6</w:t>
            </w:r>
            <w:r>
              <w:rPr>
                <w:rFonts w:hint="eastAsia"/>
                <w:szCs w:val="20"/>
              </w:rPr>
              <w:t>位）</w:t>
            </w:r>
            <w:r>
              <w:rPr>
                <w:szCs w:val="20"/>
              </w:rPr>
              <w:t>+</w:t>
            </w:r>
            <w:r>
              <w:rPr>
                <w:rFonts w:hint="eastAsia"/>
                <w:szCs w:val="20"/>
              </w:rPr>
              <w:t>顺序号（</w:t>
            </w:r>
            <w:r>
              <w:rPr>
                <w:szCs w:val="20"/>
              </w:rPr>
              <w:t>7</w:t>
            </w:r>
            <w:r>
              <w:rPr>
                <w:rFonts w:hint="eastAsia"/>
                <w:szCs w:val="20"/>
              </w:rPr>
              <w:t>位，从</w:t>
            </w:r>
            <w:r>
              <w:rPr>
                <w:szCs w:val="20"/>
              </w:rPr>
              <w:t>0000001</w:t>
            </w:r>
            <w:r>
              <w:rPr>
                <w:rFonts w:hint="eastAsia"/>
                <w:szCs w:val="20"/>
              </w:rPr>
              <w:t>开始增加）。</w:t>
            </w:r>
          </w:p>
        </w:tc>
      </w:tr>
      <w:tr w:rsidR="00A052DC" w14:paraId="1771AA76" w14:textId="77777777">
        <w:trPr>
          <w:cantSplit/>
          <w:jc w:val="center"/>
        </w:trPr>
        <w:tc>
          <w:tcPr>
            <w:tcW w:w="1537" w:type="dxa"/>
            <w:shd w:val="clear" w:color="auto" w:fill="auto"/>
          </w:tcPr>
          <w:p w14:paraId="62F02307" w14:textId="77777777" w:rsidR="00A052DC" w:rsidRDefault="009F0A60">
            <w:pPr>
              <w:pStyle w:val="B"/>
              <w:rPr>
                <w:szCs w:val="20"/>
              </w:rPr>
            </w:pPr>
            <w:r>
              <w:rPr>
                <w:rFonts w:hint="eastAsia"/>
                <w:szCs w:val="20"/>
              </w:rPr>
              <w:t>申报主体代码</w:t>
            </w:r>
          </w:p>
        </w:tc>
        <w:tc>
          <w:tcPr>
            <w:tcW w:w="6946" w:type="dxa"/>
            <w:shd w:val="clear" w:color="auto" w:fill="auto"/>
            <w:noWrap/>
          </w:tcPr>
          <w:p w14:paraId="317CAFD1" w14:textId="77777777" w:rsidR="00A052DC" w:rsidRDefault="009F0A60">
            <w:pPr>
              <w:pStyle w:val="B"/>
              <w:rPr>
                <w:szCs w:val="20"/>
              </w:rPr>
            </w:pPr>
            <w:r>
              <w:rPr>
                <w:rFonts w:hint="eastAsia"/>
                <w:szCs w:val="20"/>
              </w:rPr>
              <w:t>申报主体的12位金融机构标识码，如果没有金融机构标识码，则填报统一社会信用代码法定载体（如营业执照）上统一社会信用代码中的第9至17位或国家外汇管理局及其分支局签发的特殊机构代码赋码通知书上的机构代码、个人身份代码。</w:t>
            </w:r>
          </w:p>
        </w:tc>
      </w:tr>
      <w:tr w:rsidR="00A052DC" w14:paraId="16322EA2" w14:textId="77777777">
        <w:trPr>
          <w:cantSplit/>
          <w:jc w:val="center"/>
        </w:trPr>
        <w:tc>
          <w:tcPr>
            <w:tcW w:w="1537" w:type="dxa"/>
            <w:shd w:val="clear" w:color="auto" w:fill="auto"/>
          </w:tcPr>
          <w:p w14:paraId="7EA539EB" w14:textId="77777777" w:rsidR="00A052DC" w:rsidRDefault="009F0A60">
            <w:pPr>
              <w:pStyle w:val="B"/>
              <w:rPr>
                <w:szCs w:val="20"/>
              </w:rPr>
            </w:pPr>
            <w:r>
              <w:rPr>
                <w:rFonts w:hint="eastAsia"/>
                <w:szCs w:val="20"/>
              </w:rPr>
              <w:t>报告期</w:t>
            </w:r>
          </w:p>
        </w:tc>
        <w:tc>
          <w:tcPr>
            <w:tcW w:w="6946" w:type="dxa"/>
            <w:shd w:val="clear" w:color="auto" w:fill="auto"/>
            <w:noWrap/>
          </w:tcPr>
          <w:p w14:paraId="23ABF066" w14:textId="77777777" w:rsidR="00A052DC" w:rsidRDefault="009F0A60">
            <w:pPr>
              <w:pStyle w:val="B"/>
              <w:rPr>
                <w:szCs w:val="20"/>
              </w:rPr>
            </w:pPr>
            <w:r>
              <w:rPr>
                <w:rFonts w:hint="eastAsia"/>
                <w:szCs w:val="20"/>
              </w:rPr>
              <w:t>业务发生月份，格式为</w:t>
            </w:r>
            <w:r>
              <w:rPr>
                <w:szCs w:val="20"/>
              </w:rPr>
              <w:t>YYYYMM</w:t>
            </w:r>
            <w:r>
              <w:rPr>
                <w:rFonts w:hint="eastAsia"/>
                <w:szCs w:val="20"/>
              </w:rPr>
              <w:t>。</w:t>
            </w:r>
          </w:p>
        </w:tc>
      </w:tr>
      <w:tr w:rsidR="00A052DC" w14:paraId="68631FEF" w14:textId="77777777">
        <w:trPr>
          <w:cantSplit/>
          <w:jc w:val="center"/>
        </w:trPr>
        <w:tc>
          <w:tcPr>
            <w:tcW w:w="1537" w:type="dxa"/>
            <w:shd w:val="clear" w:color="auto" w:fill="auto"/>
          </w:tcPr>
          <w:p w14:paraId="1E33AB76" w14:textId="77777777" w:rsidR="00A052DC" w:rsidRDefault="009F0A60">
            <w:pPr>
              <w:pStyle w:val="B"/>
              <w:rPr>
                <w:szCs w:val="20"/>
              </w:rPr>
            </w:pPr>
            <w:r>
              <w:rPr>
                <w:rFonts w:hint="eastAsia"/>
                <w:szCs w:val="20"/>
              </w:rPr>
              <w:t>境外被投资机构代码</w:t>
            </w:r>
          </w:p>
        </w:tc>
        <w:tc>
          <w:tcPr>
            <w:tcW w:w="6946" w:type="dxa"/>
            <w:shd w:val="clear" w:color="auto" w:fill="auto"/>
            <w:noWrap/>
          </w:tcPr>
          <w:p w14:paraId="3F458098" w14:textId="77777777" w:rsidR="00A052DC" w:rsidRDefault="009F0A60">
            <w:pPr>
              <w:pStyle w:val="B"/>
              <w:rPr>
                <w:szCs w:val="20"/>
              </w:rPr>
            </w:pPr>
            <w:r>
              <w:rPr>
                <w:rFonts w:hint="eastAsia"/>
                <w:szCs w:val="20"/>
              </w:rPr>
              <w:t>指可以唯一标识境外被投资机构的代码[即非特殊目的实体（非SPV）]，包括“SWIFT编码/股票证券代码/其他机构标识码”等。如果为境外上市的境内非金融企业，代码前需注明交易所编码，如纽交所代码为NYSE；多个地区上市可以只填报主要上市地的代码；如只能填报其他机构标识码，需填报境内投资主体的主体标识码（统一社会信用代码的第9-17位）或统一社会信用代码，再加上公司或集团内部编码等。所谓境外被投资机构，包括：（1）申报主体在境外设立或投资的分支机构、子机构、联营或合营机构，包括对上述机构的新设、追加或撤回股本或营运资金投资，但申报主体在境外设立代表处不纳入本表统计；（2）申报主体在境外证券市场买卖（含一级市场和二级市场）或场外协议买卖某家境外机构的股权，且在本统计期初或期末，持有该境外机构表决权比例≥10%的；（3）申报主体买卖境外发行的基金，且在本统计期初或期末，持有该境外基金份额或单位≥10%的。</w:t>
            </w:r>
          </w:p>
        </w:tc>
      </w:tr>
      <w:tr w:rsidR="00A052DC" w14:paraId="13D4E5DB" w14:textId="77777777">
        <w:trPr>
          <w:cantSplit/>
          <w:jc w:val="center"/>
        </w:trPr>
        <w:tc>
          <w:tcPr>
            <w:tcW w:w="1537" w:type="dxa"/>
            <w:shd w:val="clear" w:color="auto" w:fill="auto"/>
          </w:tcPr>
          <w:p w14:paraId="3DCCF010" w14:textId="77777777" w:rsidR="00A052DC" w:rsidRDefault="009F0A60">
            <w:pPr>
              <w:pStyle w:val="B"/>
              <w:rPr>
                <w:szCs w:val="20"/>
              </w:rPr>
            </w:pPr>
            <w:r>
              <w:rPr>
                <w:rFonts w:hint="eastAsia"/>
                <w:szCs w:val="20"/>
              </w:rPr>
              <w:t>境外被投资机构全称</w:t>
            </w:r>
          </w:p>
        </w:tc>
        <w:tc>
          <w:tcPr>
            <w:tcW w:w="6946" w:type="dxa"/>
            <w:shd w:val="clear" w:color="auto" w:fill="auto"/>
            <w:noWrap/>
          </w:tcPr>
          <w:p w14:paraId="7A22604A" w14:textId="77777777" w:rsidR="00A052DC" w:rsidRDefault="009F0A60">
            <w:pPr>
              <w:pStyle w:val="B"/>
              <w:rPr>
                <w:szCs w:val="20"/>
              </w:rPr>
            </w:pPr>
            <w:r>
              <w:rPr>
                <w:rFonts w:hint="eastAsia"/>
                <w:szCs w:val="20"/>
              </w:rPr>
              <w:t>指上述境外被投资机构的中文名称或当地注册的英文名称，如为其他语言名称，可不填写外文名称，但必须填写中文或英文名称。</w:t>
            </w:r>
          </w:p>
        </w:tc>
      </w:tr>
      <w:tr w:rsidR="00A052DC" w14:paraId="41379A49" w14:textId="77777777">
        <w:trPr>
          <w:cantSplit/>
          <w:jc w:val="center"/>
        </w:trPr>
        <w:tc>
          <w:tcPr>
            <w:tcW w:w="1537" w:type="dxa"/>
            <w:shd w:val="clear" w:color="auto" w:fill="auto"/>
          </w:tcPr>
          <w:p w14:paraId="6982B67B" w14:textId="77777777" w:rsidR="00A052DC" w:rsidRDefault="009F0A60">
            <w:pPr>
              <w:pStyle w:val="B"/>
              <w:rPr>
                <w:szCs w:val="20"/>
              </w:rPr>
            </w:pPr>
            <w:r>
              <w:rPr>
                <w:rFonts w:hint="eastAsia"/>
                <w:szCs w:val="20"/>
              </w:rPr>
              <w:t>境外被投资机构所属国家</w:t>
            </w:r>
            <w:r>
              <w:rPr>
                <w:szCs w:val="20"/>
              </w:rPr>
              <w:t>/</w:t>
            </w:r>
            <w:r>
              <w:rPr>
                <w:rFonts w:hint="eastAsia"/>
                <w:szCs w:val="20"/>
              </w:rPr>
              <w:t>地区</w:t>
            </w:r>
          </w:p>
        </w:tc>
        <w:tc>
          <w:tcPr>
            <w:tcW w:w="6946" w:type="dxa"/>
            <w:shd w:val="clear" w:color="auto" w:fill="auto"/>
            <w:noWrap/>
          </w:tcPr>
          <w:p w14:paraId="569F882A" w14:textId="77777777" w:rsidR="00A052DC" w:rsidRDefault="009F0A60">
            <w:pPr>
              <w:pStyle w:val="B"/>
              <w:rPr>
                <w:szCs w:val="20"/>
              </w:rPr>
            </w:pPr>
            <w:r>
              <w:rPr>
                <w:rFonts w:hint="eastAsia"/>
                <w:szCs w:val="20"/>
              </w:rPr>
              <w:t>指上述境外被投资机构注册登记的国家或地区，见国家和地区代码表。</w:t>
            </w:r>
          </w:p>
        </w:tc>
      </w:tr>
      <w:tr w:rsidR="00A052DC" w14:paraId="3E90A8C7" w14:textId="77777777">
        <w:trPr>
          <w:cantSplit/>
          <w:jc w:val="center"/>
        </w:trPr>
        <w:tc>
          <w:tcPr>
            <w:tcW w:w="1537" w:type="dxa"/>
            <w:shd w:val="clear" w:color="auto" w:fill="auto"/>
          </w:tcPr>
          <w:p w14:paraId="0D26B2FF" w14:textId="77777777" w:rsidR="00A052DC" w:rsidRDefault="009F0A60">
            <w:pPr>
              <w:pStyle w:val="B"/>
              <w:rPr>
                <w:szCs w:val="20"/>
              </w:rPr>
            </w:pPr>
            <w:r>
              <w:rPr>
                <w:rFonts w:hint="eastAsia"/>
                <w:szCs w:val="20"/>
              </w:rPr>
              <w:t>境外被投资机构所属行业</w:t>
            </w:r>
          </w:p>
        </w:tc>
        <w:tc>
          <w:tcPr>
            <w:tcW w:w="6946" w:type="dxa"/>
            <w:shd w:val="clear" w:color="auto" w:fill="auto"/>
            <w:noWrap/>
          </w:tcPr>
          <w:p w14:paraId="20AD9743" w14:textId="77777777" w:rsidR="00A052DC" w:rsidRDefault="009F0A60">
            <w:pPr>
              <w:pStyle w:val="B"/>
              <w:rPr>
                <w:szCs w:val="20"/>
              </w:rPr>
            </w:pPr>
            <w:r>
              <w:rPr>
                <w:rFonts w:hint="eastAsia"/>
                <w:szCs w:val="20"/>
              </w:rPr>
              <w:t>境外被投资机构所属行业，见境外（被）投资者所属行业表。</w:t>
            </w:r>
          </w:p>
        </w:tc>
      </w:tr>
      <w:tr w:rsidR="00A052DC" w14:paraId="05253AE0" w14:textId="77777777">
        <w:trPr>
          <w:cantSplit/>
          <w:jc w:val="center"/>
        </w:trPr>
        <w:tc>
          <w:tcPr>
            <w:tcW w:w="1537" w:type="dxa"/>
            <w:shd w:val="clear" w:color="auto" w:fill="auto"/>
          </w:tcPr>
          <w:p w14:paraId="4EA7A00D" w14:textId="77777777" w:rsidR="00A052DC" w:rsidRDefault="009F0A60">
            <w:pPr>
              <w:pStyle w:val="B"/>
              <w:rPr>
                <w:szCs w:val="20"/>
              </w:rPr>
            </w:pPr>
            <w:r>
              <w:rPr>
                <w:rFonts w:hint="eastAsia"/>
                <w:szCs w:val="20"/>
              </w:rPr>
              <w:t>境外被投资机构与申报主体的关系</w:t>
            </w:r>
          </w:p>
        </w:tc>
        <w:tc>
          <w:tcPr>
            <w:tcW w:w="6946" w:type="dxa"/>
            <w:shd w:val="clear" w:color="auto" w:fill="auto"/>
            <w:noWrap/>
          </w:tcPr>
          <w:p w14:paraId="0FB3F0B0" w14:textId="77777777" w:rsidR="00A052DC" w:rsidRDefault="009F0A60">
            <w:pPr>
              <w:pStyle w:val="B"/>
              <w:rPr>
                <w:szCs w:val="20"/>
              </w:rPr>
            </w:pPr>
            <w:r>
              <w:rPr>
                <w:rFonts w:hint="eastAsia"/>
                <w:szCs w:val="20"/>
              </w:rPr>
              <w:t>指上述境外被投资机构是申报主体的：</w:t>
            </w:r>
            <w:r>
              <w:rPr>
                <w:szCs w:val="20"/>
              </w:rPr>
              <w:t>1-</w:t>
            </w:r>
            <w:r>
              <w:rPr>
                <w:rFonts w:hint="eastAsia"/>
                <w:szCs w:val="20"/>
              </w:rPr>
              <w:t>境外分支机构，即申报主体持有表决权＞5</w:t>
            </w:r>
            <w:r>
              <w:rPr>
                <w:szCs w:val="20"/>
              </w:rPr>
              <w:t>0%</w:t>
            </w:r>
            <w:r>
              <w:rPr>
                <w:rFonts w:hint="eastAsia"/>
                <w:szCs w:val="20"/>
              </w:rPr>
              <w:t>的境外非法人机构；</w:t>
            </w:r>
            <w:r>
              <w:rPr>
                <w:szCs w:val="20"/>
              </w:rPr>
              <w:t>2-</w:t>
            </w:r>
            <w:r>
              <w:rPr>
                <w:rFonts w:hint="eastAsia"/>
                <w:szCs w:val="20"/>
              </w:rPr>
              <w:t>境外子机构，即申报主体持有表决权＞</w:t>
            </w:r>
            <w:r>
              <w:rPr>
                <w:szCs w:val="20"/>
              </w:rPr>
              <w:t>50%</w:t>
            </w:r>
            <w:r>
              <w:rPr>
                <w:rFonts w:hint="eastAsia"/>
                <w:szCs w:val="20"/>
              </w:rPr>
              <w:t>的境外法人机构；</w:t>
            </w:r>
            <w:r>
              <w:rPr>
                <w:szCs w:val="20"/>
              </w:rPr>
              <w:t>3-</w:t>
            </w:r>
            <w:r>
              <w:rPr>
                <w:rFonts w:hint="eastAsia"/>
                <w:szCs w:val="20"/>
              </w:rPr>
              <w:t>境外联营或合营机构，即申报主体持有表决权≥</w:t>
            </w:r>
            <w:r>
              <w:rPr>
                <w:szCs w:val="20"/>
              </w:rPr>
              <w:t>10%</w:t>
            </w:r>
            <w:r>
              <w:rPr>
                <w:rFonts w:hint="eastAsia"/>
                <w:szCs w:val="20"/>
              </w:rPr>
              <w:t>，但≤</w:t>
            </w:r>
            <w:r>
              <w:rPr>
                <w:szCs w:val="20"/>
              </w:rPr>
              <w:t>50%</w:t>
            </w:r>
            <w:r>
              <w:rPr>
                <w:rFonts w:hint="eastAsia"/>
                <w:szCs w:val="20"/>
              </w:rPr>
              <w:t>的境外机构。</w:t>
            </w:r>
          </w:p>
        </w:tc>
      </w:tr>
      <w:tr w:rsidR="00A052DC" w14:paraId="1CF4A58F" w14:textId="77777777">
        <w:trPr>
          <w:cantSplit/>
          <w:jc w:val="center"/>
        </w:trPr>
        <w:tc>
          <w:tcPr>
            <w:tcW w:w="1537" w:type="dxa"/>
            <w:shd w:val="clear" w:color="auto" w:fill="auto"/>
          </w:tcPr>
          <w:p w14:paraId="005059ED" w14:textId="77777777" w:rsidR="00A052DC" w:rsidRDefault="009F0A60">
            <w:pPr>
              <w:pStyle w:val="B"/>
              <w:rPr>
                <w:szCs w:val="20"/>
              </w:rPr>
            </w:pPr>
            <w:r>
              <w:rPr>
                <w:rFonts w:hint="eastAsia"/>
                <w:szCs w:val="20"/>
              </w:rPr>
              <w:t>境外被投资机构</w:t>
            </w:r>
            <w:r>
              <w:rPr>
                <w:rFonts w:hint="eastAsia"/>
              </w:rPr>
              <w:t>最终控制方全称</w:t>
            </w:r>
          </w:p>
        </w:tc>
        <w:tc>
          <w:tcPr>
            <w:tcW w:w="6946" w:type="dxa"/>
            <w:shd w:val="clear" w:color="auto" w:fill="auto"/>
            <w:noWrap/>
          </w:tcPr>
          <w:p w14:paraId="25969591" w14:textId="77777777" w:rsidR="00A052DC" w:rsidRDefault="009F0A60">
            <w:pPr>
              <w:pStyle w:val="B"/>
              <w:rPr>
                <w:szCs w:val="20"/>
              </w:rPr>
            </w:pPr>
            <w:r>
              <w:rPr>
                <w:rFonts w:hint="eastAsia"/>
                <w:szCs w:val="20"/>
              </w:rPr>
              <w:t>对上述境外被投资机构具有最终控制权（通过控制权逐级传递）的母公司或个人的中文名称及当地注册的英文名称。如为其他语言名称，可不填写外文名称，但必须填写中文或英文名称。</w:t>
            </w:r>
          </w:p>
        </w:tc>
      </w:tr>
      <w:tr w:rsidR="00A052DC" w14:paraId="56E096FF" w14:textId="77777777">
        <w:trPr>
          <w:cantSplit/>
          <w:jc w:val="center"/>
        </w:trPr>
        <w:tc>
          <w:tcPr>
            <w:tcW w:w="1537" w:type="dxa"/>
            <w:shd w:val="clear" w:color="auto" w:fill="auto"/>
          </w:tcPr>
          <w:p w14:paraId="7080248E" w14:textId="77777777" w:rsidR="00A052DC" w:rsidRDefault="009F0A60">
            <w:pPr>
              <w:pStyle w:val="B"/>
              <w:rPr>
                <w:szCs w:val="20"/>
              </w:rPr>
            </w:pPr>
            <w:r>
              <w:rPr>
                <w:rFonts w:hint="eastAsia"/>
                <w:szCs w:val="20"/>
              </w:rPr>
              <w:t>境外被投资机构</w:t>
            </w:r>
            <w:r>
              <w:rPr>
                <w:rFonts w:hint="eastAsia"/>
              </w:rPr>
              <w:t>最终控制方所属国家</w:t>
            </w:r>
            <w:r>
              <w:t>/</w:t>
            </w:r>
            <w:r>
              <w:rPr>
                <w:rFonts w:hint="eastAsia"/>
              </w:rPr>
              <w:t>地区</w:t>
            </w:r>
          </w:p>
        </w:tc>
        <w:tc>
          <w:tcPr>
            <w:tcW w:w="6946" w:type="dxa"/>
            <w:shd w:val="clear" w:color="auto" w:fill="auto"/>
            <w:noWrap/>
          </w:tcPr>
          <w:p w14:paraId="7F0751F8" w14:textId="77777777" w:rsidR="00A052DC" w:rsidRDefault="009F0A60">
            <w:pPr>
              <w:pStyle w:val="B"/>
              <w:rPr>
                <w:szCs w:val="20"/>
              </w:rPr>
            </w:pPr>
            <w:r>
              <w:rPr>
                <w:rFonts w:hint="eastAsia"/>
                <w:szCs w:val="20"/>
              </w:rPr>
              <w:t>指上述最终控制方注册登记或常驻（住）的国家或地区，见国家和地区代码表。</w:t>
            </w:r>
          </w:p>
        </w:tc>
      </w:tr>
      <w:tr w:rsidR="00A052DC" w14:paraId="237CB92B" w14:textId="77777777">
        <w:trPr>
          <w:cantSplit/>
          <w:jc w:val="center"/>
        </w:trPr>
        <w:tc>
          <w:tcPr>
            <w:tcW w:w="1537" w:type="dxa"/>
            <w:shd w:val="clear" w:color="auto" w:fill="auto"/>
          </w:tcPr>
          <w:p w14:paraId="010D90E1" w14:textId="77777777" w:rsidR="00A052DC" w:rsidRDefault="009F0A60">
            <w:pPr>
              <w:pStyle w:val="B"/>
              <w:rPr>
                <w:szCs w:val="20"/>
              </w:rPr>
            </w:pPr>
            <w:r>
              <w:rPr>
                <w:rFonts w:hint="eastAsia"/>
                <w:szCs w:val="20"/>
              </w:rPr>
              <w:t>期末</w:t>
            </w:r>
            <w:r>
              <w:rPr>
                <w:szCs w:val="20"/>
              </w:rPr>
              <w:t>(</w:t>
            </w:r>
            <w:r>
              <w:rPr>
                <w:rFonts w:hint="eastAsia"/>
                <w:szCs w:val="20"/>
              </w:rPr>
              <w:t>申报主体</w:t>
            </w:r>
            <w:r>
              <w:rPr>
                <w:szCs w:val="20"/>
              </w:rPr>
              <w:t>)</w:t>
            </w:r>
            <w:r>
              <w:rPr>
                <w:rFonts w:hint="eastAsia"/>
                <w:szCs w:val="20"/>
              </w:rPr>
              <w:t>表决权比例</w:t>
            </w:r>
            <w:r>
              <w:rPr>
                <w:szCs w:val="20"/>
              </w:rPr>
              <w:t>(%)</w:t>
            </w:r>
          </w:p>
        </w:tc>
        <w:tc>
          <w:tcPr>
            <w:tcW w:w="6946" w:type="dxa"/>
            <w:shd w:val="clear" w:color="auto" w:fill="auto"/>
            <w:noWrap/>
          </w:tcPr>
          <w:p w14:paraId="007BABDC" w14:textId="77777777" w:rsidR="00A052DC" w:rsidRDefault="009F0A60">
            <w:pPr>
              <w:pStyle w:val="B"/>
              <w:rPr>
                <w:szCs w:val="20"/>
              </w:rPr>
            </w:pPr>
            <w:r>
              <w:rPr>
                <w:rFonts w:hint="eastAsia"/>
                <w:szCs w:val="20"/>
              </w:rPr>
              <w:t>本统计期末（月度末），申报主体在境外被投资机构公司经营管理等重大事项的决定权或投票权中所占比例。</w:t>
            </w:r>
          </w:p>
        </w:tc>
      </w:tr>
      <w:tr w:rsidR="00A052DC" w14:paraId="4504D6E1" w14:textId="77777777">
        <w:trPr>
          <w:cantSplit/>
          <w:jc w:val="center"/>
        </w:trPr>
        <w:tc>
          <w:tcPr>
            <w:tcW w:w="1537" w:type="dxa"/>
            <w:shd w:val="clear" w:color="auto" w:fill="auto"/>
          </w:tcPr>
          <w:p w14:paraId="02D865FA" w14:textId="77777777" w:rsidR="00A052DC" w:rsidRDefault="009F0A60">
            <w:pPr>
              <w:pStyle w:val="B"/>
              <w:rPr>
                <w:szCs w:val="20"/>
              </w:rPr>
            </w:pPr>
            <w:r>
              <w:rPr>
                <w:rFonts w:hint="eastAsia"/>
                <w:szCs w:val="20"/>
              </w:rPr>
              <w:t>期末（申报主体）持股比例</w:t>
            </w:r>
            <w:r>
              <w:rPr>
                <w:szCs w:val="20"/>
              </w:rPr>
              <w:t>(%)</w:t>
            </w:r>
          </w:p>
        </w:tc>
        <w:tc>
          <w:tcPr>
            <w:tcW w:w="6946" w:type="dxa"/>
            <w:shd w:val="clear" w:color="auto" w:fill="auto"/>
            <w:noWrap/>
          </w:tcPr>
          <w:p w14:paraId="42CCC741" w14:textId="77777777" w:rsidR="00A052DC" w:rsidRDefault="009F0A60">
            <w:pPr>
              <w:pStyle w:val="B"/>
              <w:rPr>
                <w:szCs w:val="20"/>
              </w:rPr>
            </w:pPr>
            <w:r>
              <w:rPr>
                <w:rFonts w:hint="eastAsia"/>
                <w:szCs w:val="20"/>
              </w:rPr>
              <w:t>本统计期末（月度末），申报主体在境外被投资机构（股本）权益中所占的比例。若为境外分支机构，应比照子机构情况填报申报主体持股比例，如填报为</w:t>
            </w:r>
            <w:r>
              <w:rPr>
                <w:szCs w:val="20"/>
              </w:rPr>
              <w:t>100%</w:t>
            </w:r>
            <w:r>
              <w:rPr>
                <w:rFonts w:hint="eastAsia"/>
                <w:szCs w:val="20"/>
              </w:rPr>
              <w:t>。</w:t>
            </w:r>
          </w:p>
        </w:tc>
      </w:tr>
      <w:tr w:rsidR="00A052DC" w14:paraId="5F8BA806" w14:textId="77777777">
        <w:trPr>
          <w:cantSplit/>
          <w:jc w:val="center"/>
        </w:trPr>
        <w:tc>
          <w:tcPr>
            <w:tcW w:w="1537" w:type="dxa"/>
            <w:shd w:val="clear" w:color="auto" w:fill="auto"/>
          </w:tcPr>
          <w:p w14:paraId="65B448C2" w14:textId="77777777" w:rsidR="00A052DC" w:rsidRDefault="009F0A60">
            <w:pPr>
              <w:pStyle w:val="B"/>
              <w:rPr>
                <w:szCs w:val="20"/>
              </w:rPr>
            </w:pPr>
            <w:r>
              <w:rPr>
                <w:rFonts w:hint="eastAsia"/>
                <w:szCs w:val="20"/>
              </w:rPr>
              <w:t>申报主体是否通过</w:t>
            </w:r>
            <w:r>
              <w:rPr>
                <w:szCs w:val="20"/>
              </w:rPr>
              <w:t>SPV</w:t>
            </w:r>
            <w:r>
              <w:rPr>
                <w:rFonts w:hint="eastAsia"/>
                <w:szCs w:val="20"/>
              </w:rPr>
              <w:t>或壳机构持有该境外被投资机构</w:t>
            </w:r>
          </w:p>
        </w:tc>
        <w:tc>
          <w:tcPr>
            <w:tcW w:w="6946" w:type="dxa"/>
            <w:shd w:val="clear" w:color="auto" w:fill="auto"/>
            <w:noWrap/>
          </w:tcPr>
          <w:p w14:paraId="50581E35" w14:textId="77777777" w:rsidR="00A052DC" w:rsidRDefault="009F0A60">
            <w:pPr>
              <w:pStyle w:val="B"/>
              <w:rPr>
                <w:szCs w:val="20"/>
              </w:rPr>
            </w:pPr>
            <w:r>
              <w:rPr>
                <w:rFonts w:hint="eastAsia"/>
                <w:szCs w:val="20"/>
              </w:rPr>
              <w:t>当境外被投资机构不是申报主体境外一级分支机构、子机构、联营机构或合营机构，而是申报主体通过境外一级</w:t>
            </w:r>
            <w:r>
              <w:rPr>
                <w:szCs w:val="20"/>
              </w:rPr>
              <w:t>SPV</w:t>
            </w:r>
            <w:r>
              <w:rPr>
                <w:rFonts w:hint="eastAsia"/>
                <w:szCs w:val="20"/>
              </w:rPr>
              <w:t>或壳机构间接持有≥</w:t>
            </w:r>
            <w:r>
              <w:rPr>
                <w:szCs w:val="20"/>
              </w:rPr>
              <w:t>10%</w:t>
            </w:r>
            <w:r>
              <w:rPr>
                <w:rFonts w:hint="eastAsia"/>
                <w:szCs w:val="20"/>
              </w:rPr>
              <w:t>表决权时，请选择</w:t>
            </w:r>
            <w:r>
              <w:rPr>
                <w:szCs w:val="20"/>
              </w:rPr>
              <w:t>1-</w:t>
            </w:r>
            <w:r>
              <w:rPr>
                <w:rFonts w:hint="eastAsia"/>
                <w:szCs w:val="20"/>
              </w:rPr>
              <w:t>是，反之选择</w:t>
            </w:r>
            <w:r>
              <w:rPr>
                <w:szCs w:val="20"/>
              </w:rPr>
              <w:t>0-</w:t>
            </w:r>
            <w:r>
              <w:rPr>
                <w:rFonts w:hint="eastAsia"/>
                <w:szCs w:val="20"/>
              </w:rPr>
              <w:t>否。</w:t>
            </w:r>
          </w:p>
        </w:tc>
      </w:tr>
      <w:tr w:rsidR="00A052DC" w14:paraId="5DF88888" w14:textId="77777777">
        <w:trPr>
          <w:cantSplit/>
          <w:jc w:val="center"/>
        </w:trPr>
        <w:tc>
          <w:tcPr>
            <w:tcW w:w="1537" w:type="dxa"/>
            <w:shd w:val="clear" w:color="auto" w:fill="auto"/>
          </w:tcPr>
          <w:p w14:paraId="0BB9E70B" w14:textId="77777777" w:rsidR="00A052DC" w:rsidRDefault="009F0A60">
            <w:pPr>
              <w:pStyle w:val="B"/>
              <w:rPr>
                <w:szCs w:val="20"/>
              </w:rPr>
            </w:pPr>
            <w:r>
              <w:rPr>
                <w:rFonts w:hint="eastAsia"/>
                <w:szCs w:val="20"/>
              </w:rPr>
              <w:t>该</w:t>
            </w:r>
            <w:r>
              <w:rPr>
                <w:szCs w:val="20"/>
              </w:rPr>
              <w:t>SPV</w:t>
            </w:r>
            <w:r>
              <w:rPr>
                <w:rFonts w:hint="eastAsia"/>
                <w:szCs w:val="20"/>
              </w:rPr>
              <w:t>或壳机构所属国家</w:t>
            </w:r>
            <w:r>
              <w:rPr>
                <w:szCs w:val="20"/>
              </w:rPr>
              <w:t>/</w:t>
            </w:r>
            <w:r>
              <w:rPr>
                <w:rFonts w:hint="eastAsia"/>
                <w:szCs w:val="20"/>
              </w:rPr>
              <w:t>地区</w:t>
            </w:r>
          </w:p>
        </w:tc>
        <w:tc>
          <w:tcPr>
            <w:tcW w:w="6946" w:type="dxa"/>
            <w:shd w:val="clear" w:color="auto" w:fill="auto"/>
            <w:noWrap/>
          </w:tcPr>
          <w:p w14:paraId="75E143F2" w14:textId="77777777" w:rsidR="00A052DC" w:rsidRDefault="009F0A60">
            <w:pPr>
              <w:pStyle w:val="B"/>
              <w:rPr>
                <w:szCs w:val="20"/>
              </w:rPr>
            </w:pPr>
            <w:r>
              <w:rPr>
                <w:rFonts w:hint="eastAsia"/>
                <w:szCs w:val="20"/>
              </w:rPr>
              <w:t>对于申报主体是否通过</w:t>
            </w:r>
            <w:r>
              <w:rPr>
                <w:szCs w:val="20"/>
              </w:rPr>
              <w:t>SPV</w:t>
            </w:r>
            <w:r>
              <w:rPr>
                <w:rFonts w:hint="eastAsia"/>
                <w:szCs w:val="20"/>
              </w:rPr>
              <w:t>或壳机构持有该境外被投资机构选择“</w:t>
            </w:r>
            <w:r>
              <w:rPr>
                <w:szCs w:val="20"/>
              </w:rPr>
              <w:t>1-</w:t>
            </w:r>
            <w:r>
              <w:rPr>
                <w:rFonts w:hint="eastAsia"/>
                <w:szCs w:val="20"/>
              </w:rPr>
              <w:t>是”的，填报该境外一级</w:t>
            </w:r>
            <w:r>
              <w:rPr>
                <w:szCs w:val="20"/>
              </w:rPr>
              <w:t>SPV</w:t>
            </w:r>
            <w:r>
              <w:rPr>
                <w:rFonts w:hint="eastAsia"/>
                <w:szCs w:val="20"/>
              </w:rPr>
              <w:t>或壳机构所在国家和地区的代码，见国家和地区代码表。</w:t>
            </w:r>
          </w:p>
        </w:tc>
      </w:tr>
      <w:tr w:rsidR="00A052DC" w14:paraId="634A6ACA" w14:textId="77777777">
        <w:trPr>
          <w:cantSplit/>
          <w:jc w:val="center"/>
        </w:trPr>
        <w:tc>
          <w:tcPr>
            <w:tcW w:w="1537" w:type="dxa"/>
            <w:shd w:val="clear" w:color="auto" w:fill="auto"/>
          </w:tcPr>
          <w:p w14:paraId="229ABFB8" w14:textId="77777777" w:rsidR="00A052DC" w:rsidRDefault="009F0A60">
            <w:pPr>
              <w:pStyle w:val="B"/>
              <w:rPr>
                <w:szCs w:val="20"/>
              </w:rPr>
            </w:pPr>
            <w:r>
              <w:rPr>
                <w:rFonts w:cs="宋体" w:hint="eastAsia"/>
                <w:color w:val="000000"/>
                <w:szCs w:val="20"/>
              </w:rPr>
              <w:t>该SPV或壳机构名称</w:t>
            </w:r>
          </w:p>
        </w:tc>
        <w:tc>
          <w:tcPr>
            <w:tcW w:w="6946" w:type="dxa"/>
            <w:shd w:val="clear" w:color="auto" w:fill="auto"/>
            <w:noWrap/>
          </w:tcPr>
          <w:p w14:paraId="25B9C86B" w14:textId="77777777" w:rsidR="00A052DC" w:rsidRDefault="009F0A60">
            <w:pPr>
              <w:pStyle w:val="B"/>
              <w:rPr>
                <w:szCs w:val="20"/>
              </w:rPr>
            </w:pPr>
            <w:r>
              <w:rPr>
                <w:rFonts w:hint="eastAsia"/>
                <w:szCs w:val="20"/>
              </w:rPr>
              <w:t>对于申报主体是否通过</w:t>
            </w:r>
            <w:r>
              <w:rPr>
                <w:szCs w:val="20"/>
              </w:rPr>
              <w:t>SPV</w:t>
            </w:r>
            <w:r>
              <w:rPr>
                <w:rFonts w:hint="eastAsia"/>
                <w:szCs w:val="20"/>
              </w:rPr>
              <w:t>或壳机构持有该境外被投资机构选择“</w:t>
            </w:r>
            <w:r>
              <w:rPr>
                <w:szCs w:val="20"/>
              </w:rPr>
              <w:t>1-</w:t>
            </w:r>
            <w:r>
              <w:rPr>
                <w:rFonts w:hint="eastAsia"/>
                <w:szCs w:val="20"/>
              </w:rPr>
              <w:t>是”的，填报该境外一级</w:t>
            </w:r>
            <w:r>
              <w:rPr>
                <w:szCs w:val="20"/>
              </w:rPr>
              <w:t>SPV</w:t>
            </w:r>
            <w:r>
              <w:rPr>
                <w:rFonts w:hint="eastAsia"/>
                <w:szCs w:val="20"/>
              </w:rPr>
              <w:t>或壳机构的的中文名称及当地注册的英文名称。如为其他语言名称，可不填写外文名称，但必须填写中文名称。</w:t>
            </w:r>
          </w:p>
        </w:tc>
      </w:tr>
      <w:tr w:rsidR="00A052DC" w14:paraId="6204AAC6" w14:textId="77777777">
        <w:trPr>
          <w:cantSplit/>
          <w:jc w:val="center"/>
        </w:trPr>
        <w:tc>
          <w:tcPr>
            <w:tcW w:w="1537" w:type="dxa"/>
            <w:shd w:val="clear" w:color="auto" w:fill="auto"/>
          </w:tcPr>
          <w:p w14:paraId="38EFB0E2" w14:textId="77777777" w:rsidR="00A052DC" w:rsidRDefault="009F0A60">
            <w:pPr>
              <w:pStyle w:val="B"/>
              <w:rPr>
                <w:szCs w:val="20"/>
              </w:rPr>
            </w:pPr>
            <w:r>
              <w:rPr>
                <w:rFonts w:cs="宋体" w:hint="eastAsia"/>
                <w:color w:val="000000"/>
                <w:szCs w:val="20"/>
              </w:rPr>
              <w:t>该SPV或壳机构代码</w:t>
            </w:r>
          </w:p>
        </w:tc>
        <w:tc>
          <w:tcPr>
            <w:tcW w:w="6946" w:type="dxa"/>
            <w:shd w:val="clear" w:color="auto" w:fill="auto"/>
            <w:noWrap/>
          </w:tcPr>
          <w:p w14:paraId="5E619E59" w14:textId="77777777" w:rsidR="00A052DC" w:rsidRDefault="009F0A60">
            <w:pPr>
              <w:pStyle w:val="B"/>
              <w:rPr>
                <w:szCs w:val="20"/>
              </w:rPr>
            </w:pPr>
            <w:r>
              <w:rPr>
                <w:rFonts w:hint="eastAsia"/>
                <w:szCs w:val="20"/>
              </w:rPr>
              <w:t>对于申报主体是否通过SPV或壳机构持有该境外被投资机构选择“1-是”的，填报可以唯一标识该境外一级SPV或壳机构的代码，包括“SWIFT编码/股票证券代码/其他机构标识码”等。如无市场通用代码，应使用申报主体内部使用的代码进行唯一标识。</w:t>
            </w:r>
          </w:p>
        </w:tc>
      </w:tr>
      <w:tr w:rsidR="00A052DC" w14:paraId="36D4B239" w14:textId="77777777">
        <w:trPr>
          <w:cantSplit/>
          <w:jc w:val="center"/>
        </w:trPr>
        <w:tc>
          <w:tcPr>
            <w:tcW w:w="1537" w:type="dxa"/>
            <w:shd w:val="clear" w:color="auto" w:fill="auto"/>
          </w:tcPr>
          <w:p w14:paraId="68186417" w14:textId="77777777" w:rsidR="00A052DC" w:rsidRDefault="009F0A60">
            <w:pPr>
              <w:pStyle w:val="B"/>
              <w:rPr>
                <w:szCs w:val="20"/>
              </w:rPr>
            </w:pPr>
            <w:r>
              <w:rPr>
                <w:rFonts w:cs="宋体" w:hint="eastAsia"/>
                <w:color w:val="000000"/>
                <w:szCs w:val="20"/>
              </w:rPr>
              <w:t>该SPV或壳机构所属部门</w:t>
            </w:r>
          </w:p>
        </w:tc>
        <w:tc>
          <w:tcPr>
            <w:tcW w:w="6946" w:type="dxa"/>
            <w:shd w:val="clear" w:color="auto" w:fill="auto"/>
            <w:noWrap/>
          </w:tcPr>
          <w:p w14:paraId="0AC4B15B" w14:textId="77777777" w:rsidR="00A052DC" w:rsidRDefault="009F0A60">
            <w:pPr>
              <w:pStyle w:val="B"/>
              <w:rPr>
                <w:szCs w:val="20"/>
              </w:rPr>
            </w:pPr>
            <w:r>
              <w:rPr>
                <w:rFonts w:hint="eastAsia"/>
                <w:szCs w:val="20"/>
              </w:rPr>
              <w:t>对于申报主体是否通过</w:t>
            </w:r>
            <w:r>
              <w:rPr>
                <w:szCs w:val="20"/>
              </w:rPr>
              <w:t>SPV</w:t>
            </w:r>
            <w:r>
              <w:rPr>
                <w:rFonts w:hint="eastAsia"/>
                <w:szCs w:val="20"/>
              </w:rPr>
              <w:t>或壳机构持有该境外被投资机构选择“</w:t>
            </w:r>
            <w:r>
              <w:rPr>
                <w:szCs w:val="20"/>
              </w:rPr>
              <w:t>1-</w:t>
            </w:r>
            <w:r>
              <w:rPr>
                <w:rFonts w:hint="eastAsia"/>
                <w:szCs w:val="20"/>
              </w:rPr>
              <w:t>是”的，填报该境外一级</w:t>
            </w:r>
            <w:r>
              <w:rPr>
                <w:szCs w:val="20"/>
              </w:rPr>
              <w:t>SPV</w:t>
            </w:r>
            <w:r>
              <w:rPr>
                <w:rFonts w:hint="eastAsia"/>
                <w:szCs w:val="20"/>
              </w:rPr>
              <w:t>或壳机构所属部门，见投资者（被投资者）部门代码表。</w:t>
            </w:r>
          </w:p>
        </w:tc>
      </w:tr>
      <w:tr w:rsidR="00A052DC" w14:paraId="446FDD05" w14:textId="77777777">
        <w:trPr>
          <w:cantSplit/>
          <w:jc w:val="center"/>
        </w:trPr>
        <w:tc>
          <w:tcPr>
            <w:tcW w:w="1537" w:type="dxa"/>
            <w:shd w:val="clear" w:color="auto" w:fill="auto"/>
          </w:tcPr>
          <w:p w14:paraId="18C5F719" w14:textId="77777777" w:rsidR="00A052DC" w:rsidRDefault="009F0A60">
            <w:pPr>
              <w:pStyle w:val="B"/>
              <w:rPr>
                <w:szCs w:val="20"/>
              </w:rPr>
            </w:pPr>
            <w:r>
              <w:rPr>
                <w:rFonts w:hint="eastAsia"/>
              </w:rPr>
              <w:t>申报主体持有该</w:t>
            </w:r>
            <w:r>
              <w:t>SPV</w:t>
            </w:r>
            <w:r>
              <w:rPr>
                <w:rFonts w:hint="eastAsia"/>
              </w:rPr>
              <w:t>或壳机构的股权比例（</w:t>
            </w:r>
            <w:r>
              <w:t>%）</w:t>
            </w:r>
          </w:p>
        </w:tc>
        <w:tc>
          <w:tcPr>
            <w:tcW w:w="6946" w:type="dxa"/>
            <w:shd w:val="clear" w:color="auto" w:fill="auto"/>
            <w:noWrap/>
          </w:tcPr>
          <w:p w14:paraId="7DA52B02" w14:textId="77777777" w:rsidR="00A052DC" w:rsidRDefault="009F0A60">
            <w:pPr>
              <w:pStyle w:val="B"/>
              <w:rPr>
                <w:szCs w:val="20"/>
              </w:rPr>
            </w:pPr>
            <w:r>
              <w:rPr>
                <w:rFonts w:hint="eastAsia"/>
                <w:szCs w:val="20"/>
              </w:rPr>
              <w:t>对于申报主体是否通过</w:t>
            </w:r>
            <w:r>
              <w:rPr>
                <w:szCs w:val="20"/>
              </w:rPr>
              <w:t>SPV</w:t>
            </w:r>
            <w:r>
              <w:rPr>
                <w:rFonts w:hint="eastAsia"/>
                <w:szCs w:val="20"/>
              </w:rPr>
              <w:t>或壳机构持有该境外被投资机构选择“</w:t>
            </w:r>
            <w:r>
              <w:rPr>
                <w:szCs w:val="20"/>
              </w:rPr>
              <w:t>1-</w:t>
            </w:r>
            <w:r>
              <w:rPr>
                <w:rFonts w:hint="eastAsia"/>
                <w:szCs w:val="20"/>
              </w:rPr>
              <w:t>是”的，填报本统计期末（月度末），该境外一级</w:t>
            </w:r>
            <w:r>
              <w:rPr>
                <w:szCs w:val="20"/>
              </w:rPr>
              <w:t>SPV</w:t>
            </w:r>
            <w:r>
              <w:rPr>
                <w:rFonts w:hint="eastAsia"/>
                <w:szCs w:val="20"/>
              </w:rPr>
              <w:t>或壳机构</w:t>
            </w:r>
            <w:r>
              <w:rPr>
                <w:rFonts w:hint="eastAsia"/>
              </w:rPr>
              <w:t>（股本）权益中所占的比例。</w:t>
            </w:r>
          </w:p>
        </w:tc>
      </w:tr>
      <w:tr w:rsidR="00A052DC" w14:paraId="29866EE6" w14:textId="77777777">
        <w:trPr>
          <w:cantSplit/>
          <w:jc w:val="center"/>
        </w:trPr>
        <w:tc>
          <w:tcPr>
            <w:tcW w:w="1537" w:type="dxa"/>
            <w:shd w:val="clear" w:color="auto" w:fill="auto"/>
          </w:tcPr>
          <w:p w14:paraId="127ED4DF" w14:textId="77777777" w:rsidR="00A052DC" w:rsidRDefault="009F0A60">
            <w:pPr>
              <w:pStyle w:val="B"/>
              <w:rPr>
                <w:szCs w:val="20"/>
              </w:rPr>
            </w:pPr>
            <w:r>
              <w:rPr>
                <w:rFonts w:hint="eastAsia"/>
              </w:rPr>
              <w:t>境外被投资机构是否为上市企业</w:t>
            </w:r>
          </w:p>
        </w:tc>
        <w:tc>
          <w:tcPr>
            <w:tcW w:w="6946" w:type="dxa"/>
            <w:shd w:val="clear" w:color="auto" w:fill="auto"/>
            <w:noWrap/>
          </w:tcPr>
          <w:p w14:paraId="26B93080" w14:textId="77777777" w:rsidR="00A052DC" w:rsidRDefault="009F0A60">
            <w:pPr>
              <w:pStyle w:val="B"/>
              <w:rPr>
                <w:szCs w:val="20"/>
              </w:rPr>
            </w:pPr>
            <w:r>
              <w:rPr>
                <w:rFonts w:hint="eastAsia"/>
                <w:szCs w:val="20"/>
              </w:rPr>
              <w:t>当境外被投资机构为上市企业时选择“</w:t>
            </w:r>
            <w:r>
              <w:rPr>
                <w:szCs w:val="20"/>
              </w:rPr>
              <w:t>1-是</w:t>
            </w:r>
            <w:r>
              <w:rPr>
                <w:rFonts w:hint="eastAsia"/>
                <w:szCs w:val="20"/>
              </w:rPr>
              <w:t>”，反之选择“</w:t>
            </w:r>
            <w:r>
              <w:rPr>
                <w:szCs w:val="20"/>
              </w:rPr>
              <w:t>2-否</w:t>
            </w:r>
            <w:r>
              <w:rPr>
                <w:rFonts w:hint="eastAsia"/>
                <w:szCs w:val="20"/>
              </w:rPr>
              <w:t>”。</w:t>
            </w:r>
          </w:p>
        </w:tc>
      </w:tr>
      <w:tr w:rsidR="00A052DC" w14:paraId="57F713C0" w14:textId="77777777">
        <w:trPr>
          <w:cantSplit/>
          <w:jc w:val="center"/>
        </w:trPr>
        <w:tc>
          <w:tcPr>
            <w:tcW w:w="1537" w:type="dxa"/>
            <w:shd w:val="clear" w:color="auto" w:fill="auto"/>
          </w:tcPr>
          <w:p w14:paraId="25594393" w14:textId="77777777" w:rsidR="00A052DC" w:rsidRDefault="009F0A60">
            <w:pPr>
              <w:pStyle w:val="B"/>
              <w:rPr>
                <w:szCs w:val="20"/>
              </w:rPr>
            </w:pPr>
            <w:r>
              <w:rPr>
                <w:rFonts w:hint="eastAsia"/>
                <w:szCs w:val="20"/>
              </w:rPr>
              <w:t>期末会计记账币种（原币）</w:t>
            </w:r>
          </w:p>
        </w:tc>
        <w:tc>
          <w:tcPr>
            <w:tcW w:w="6946" w:type="dxa"/>
            <w:shd w:val="clear" w:color="auto" w:fill="auto"/>
            <w:noWrap/>
          </w:tcPr>
          <w:p w14:paraId="6C8225F5" w14:textId="77777777" w:rsidR="00A052DC" w:rsidRDefault="009F0A60">
            <w:pPr>
              <w:pStyle w:val="B"/>
              <w:rPr>
                <w:szCs w:val="20"/>
              </w:rPr>
            </w:pPr>
            <w:r>
              <w:rPr>
                <w:rFonts w:hint="eastAsia"/>
                <w:szCs w:val="20"/>
              </w:rPr>
              <w:t>请按照境外被投资机构当地（所在国家或地区）主要记账本位币填报。如无相关境外被投资机构记账本位币数据，应按照申报主体内部使用的记账币种填报。见币种代码表。</w:t>
            </w:r>
          </w:p>
        </w:tc>
      </w:tr>
      <w:tr w:rsidR="00A052DC" w14:paraId="1D44B910" w14:textId="77777777">
        <w:trPr>
          <w:cantSplit/>
          <w:jc w:val="center"/>
        </w:trPr>
        <w:tc>
          <w:tcPr>
            <w:tcW w:w="1537" w:type="dxa"/>
            <w:shd w:val="clear" w:color="auto" w:fill="auto"/>
          </w:tcPr>
          <w:p w14:paraId="3CBD8E62" w14:textId="77777777" w:rsidR="00A052DC" w:rsidRDefault="009F0A60">
            <w:pPr>
              <w:pStyle w:val="B"/>
              <w:rPr>
                <w:szCs w:val="20"/>
              </w:rPr>
            </w:pPr>
            <w:r>
              <w:rPr>
                <w:rFonts w:hint="eastAsia"/>
                <w:szCs w:val="20"/>
              </w:rPr>
              <w:t>期末资产</w:t>
            </w:r>
          </w:p>
        </w:tc>
        <w:tc>
          <w:tcPr>
            <w:tcW w:w="6946" w:type="dxa"/>
            <w:shd w:val="clear" w:color="auto" w:fill="auto"/>
            <w:noWrap/>
          </w:tcPr>
          <w:p w14:paraId="4F0C1314" w14:textId="77777777" w:rsidR="00A052DC" w:rsidRDefault="009F0A60">
            <w:pPr>
              <w:pStyle w:val="B"/>
              <w:rPr>
                <w:szCs w:val="20"/>
              </w:rPr>
            </w:pPr>
            <w:r>
              <w:rPr>
                <w:rFonts w:hint="eastAsia"/>
                <w:szCs w:val="20"/>
              </w:rPr>
              <w:t>指对应月度末，境外被投资机构合并资产负债表中的“资产总额”。</w:t>
            </w:r>
          </w:p>
        </w:tc>
      </w:tr>
      <w:tr w:rsidR="00A052DC" w14:paraId="02D5A125" w14:textId="77777777">
        <w:trPr>
          <w:cantSplit/>
          <w:jc w:val="center"/>
        </w:trPr>
        <w:tc>
          <w:tcPr>
            <w:tcW w:w="1537" w:type="dxa"/>
            <w:shd w:val="clear" w:color="auto" w:fill="auto"/>
          </w:tcPr>
          <w:p w14:paraId="707C69A2" w14:textId="77777777" w:rsidR="00A052DC" w:rsidRDefault="009F0A60">
            <w:pPr>
              <w:pStyle w:val="B"/>
              <w:rPr>
                <w:szCs w:val="20"/>
              </w:rPr>
            </w:pPr>
            <w:r>
              <w:rPr>
                <w:rFonts w:hint="eastAsia"/>
                <w:szCs w:val="20"/>
              </w:rPr>
              <w:t>期末负债</w:t>
            </w:r>
          </w:p>
        </w:tc>
        <w:tc>
          <w:tcPr>
            <w:tcW w:w="6946" w:type="dxa"/>
            <w:shd w:val="clear" w:color="auto" w:fill="auto"/>
            <w:noWrap/>
          </w:tcPr>
          <w:p w14:paraId="6FED6F59" w14:textId="77777777" w:rsidR="00A052DC" w:rsidRDefault="009F0A60">
            <w:pPr>
              <w:pStyle w:val="B"/>
              <w:rPr>
                <w:szCs w:val="20"/>
              </w:rPr>
            </w:pPr>
            <w:r>
              <w:rPr>
                <w:rFonts w:hint="eastAsia"/>
                <w:szCs w:val="20"/>
              </w:rPr>
              <w:t>指对应月度末，境外被投资机构合并资产负债表中的“负债总额”。</w:t>
            </w:r>
          </w:p>
        </w:tc>
      </w:tr>
      <w:tr w:rsidR="00A052DC" w14:paraId="759AFD75" w14:textId="77777777">
        <w:trPr>
          <w:cantSplit/>
          <w:jc w:val="center"/>
        </w:trPr>
        <w:tc>
          <w:tcPr>
            <w:tcW w:w="1537" w:type="dxa"/>
          </w:tcPr>
          <w:p w14:paraId="5893CD00" w14:textId="77777777" w:rsidR="00A052DC" w:rsidRDefault="009F0A60">
            <w:pPr>
              <w:pStyle w:val="B"/>
              <w:rPr>
                <w:szCs w:val="20"/>
              </w:rPr>
            </w:pPr>
            <w:r>
              <w:rPr>
                <w:rFonts w:hint="eastAsia"/>
                <w:szCs w:val="20"/>
              </w:rPr>
              <w:t>期末负债中本机构拨付的营运资金</w:t>
            </w:r>
          </w:p>
        </w:tc>
        <w:tc>
          <w:tcPr>
            <w:tcW w:w="6946" w:type="dxa"/>
            <w:shd w:val="clear" w:color="auto" w:fill="auto"/>
            <w:noWrap/>
          </w:tcPr>
          <w:p w14:paraId="392C5A8F" w14:textId="77777777" w:rsidR="00A052DC" w:rsidRDefault="009F0A60">
            <w:pPr>
              <w:pStyle w:val="B"/>
              <w:rPr>
                <w:szCs w:val="20"/>
              </w:rPr>
            </w:pPr>
            <w:r>
              <w:rPr>
                <w:rFonts w:hint="eastAsia"/>
                <w:szCs w:val="20"/>
              </w:rPr>
              <w:t>指对应月度末，境外被投资机构合并资产负债表中记录的母公司（申报主体）拨付的“营运资金”。如境外被投资机构将其记为权益，则应纳入期末归属于被投资机构全体股东的权益</w:t>
            </w:r>
            <w:r>
              <w:rPr>
                <w:szCs w:val="20"/>
              </w:rPr>
              <w:t>(</w:t>
            </w:r>
            <w:r>
              <w:rPr>
                <w:rFonts w:hint="eastAsia"/>
                <w:szCs w:val="20"/>
              </w:rPr>
              <w:t>总额</w:t>
            </w:r>
            <w:r>
              <w:rPr>
                <w:szCs w:val="20"/>
              </w:rPr>
              <w:t>)</w:t>
            </w:r>
            <w:r>
              <w:rPr>
                <w:rFonts w:hint="eastAsia"/>
                <w:szCs w:val="20"/>
              </w:rPr>
              <w:t>和期末归属于被投资机构全体股东的权益中的实收资本下统计，而不应纳入本项统计。如境外被投资机构不将其记为权益，则纳入本项统计。</w:t>
            </w:r>
          </w:p>
        </w:tc>
      </w:tr>
      <w:tr w:rsidR="00A052DC" w14:paraId="3076265A" w14:textId="77777777">
        <w:trPr>
          <w:cantSplit/>
          <w:jc w:val="center"/>
        </w:trPr>
        <w:tc>
          <w:tcPr>
            <w:tcW w:w="1537" w:type="dxa"/>
            <w:shd w:val="clear" w:color="auto" w:fill="auto"/>
          </w:tcPr>
          <w:p w14:paraId="55FA65B7" w14:textId="77777777" w:rsidR="00A052DC" w:rsidRDefault="009F0A60">
            <w:pPr>
              <w:pStyle w:val="B"/>
            </w:pPr>
            <w:r>
              <w:rPr>
                <w:rFonts w:hint="eastAsia"/>
              </w:rPr>
              <w:t>期末归属于被投资机构所有者的权益</w:t>
            </w:r>
          </w:p>
        </w:tc>
        <w:tc>
          <w:tcPr>
            <w:tcW w:w="6946" w:type="dxa"/>
            <w:shd w:val="clear" w:color="auto" w:fill="auto"/>
            <w:noWrap/>
          </w:tcPr>
          <w:p w14:paraId="021D1332" w14:textId="77777777" w:rsidR="00A052DC" w:rsidRDefault="009F0A60">
            <w:pPr>
              <w:pStyle w:val="B"/>
            </w:pPr>
            <w:r>
              <w:rPr>
                <w:rFonts w:hint="eastAsia"/>
              </w:rPr>
              <w:t>指对应月度末，境外被投资机构合并资产负债表中</w:t>
            </w:r>
            <w:r>
              <w:t>“归属于母公司所有者权益（或股东权益）合计”，不包括少数股东权益</w:t>
            </w:r>
            <w:r>
              <w:rPr>
                <w:rFonts w:hint="eastAsia"/>
              </w:rPr>
              <w:t>。该项应等于期末所有者权益中实收资本至期末所有者权益中其他项的合计。如境外被投资机构将母公司（申报主体）拨付的“营运资金”记为权益，则应纳入本项统计，而不应统计在期末负债中申报主体拨付的营运资金项下。</w:t>
            </w:r>
          </w:p>
        </w:tc>
      </w:tr>
      <w:tr w:rsidR="00A052DC" w14:paraId="69E7A434" w14:textId="77777777">
        <w:trPr>
          <w:cantSplit/>
          <w:jc w:val="center"/>
        </w:trPr>
        <w:tc>
          <w:tcPr>
            <w:tcW w:w="1537" w:type="dxa"/>
          </w:tcPr>
          <w:p w14:paraId="3FAA2596" w14:textId="77777777" w:rsidR="00A052DC" w:rsidRDefault="009F0A60">
            <w:pPr>
              <w:pStyle w:val="B"/>
              <w:rPr>
                <w:szCs w:val="20"/>
              </w:rPr>
            </w:pPr>
            <w:r>
              <w:rPr>
                <w:rFonts w:hint="eastAsia"/>
              </w:rPr>
              <w:t>实收资本</w:t>
            </w:r>
          </w:p>
        </w:tc>
        <w:tc>
          <w:tcPr>
            <w:tcW w:w="6946" w:type="dxa"/>
            <w:shd w:val="clear" w:color="auto" w:fill="auto"/>
            <w:noWrap/>
          </w:tcPr>
          <w:p w14:paraId="7D70C2A1" w14:textId="77777777" w:rsidR="00A052DC" w:rsidRDefault="009F0A60">
            <w:pPr>
              <w:pStyle w:val="B"/>
              <w:rPr>
                <w:szCs w:val="20"/>
              </w:rPr>
            </w:pPr>
            <w:r>
              <w:rPr>
                <w:rFonts w:hint="eastAsia"/>
              </w:rPr>
              <w:t>指期末归属于该境外被投资机构所有者</w:t>
            </w:r>
            <w:r>
              <w:rPr>
                <w:rFonts w:hint="eastAsia"/>
                <w:szCs w:val="20"/>
              </w:rPr>
              <w:t>的</w:t>
            </w:r>
            <w:r>
              <w:rPr>
                <w:rFonts w:hint="eastAsia"/>
              </w:rPr>
              <w:t>权益中“实收资本”金额。如境外被投资机构将母公司（申报主体）拨付的“营运资金”纳入本项目统计，则应纳入本项统计，而不应统计在期末负债中申报主体拨付的营运资金项下。</w:t>
            </w:r>
          </w:p>
        </w:tc>
      </w:tr>
      <w:tr w:rsidR="00A052DC" w14:paraId="23D926BE" w14:textId="77777777">
        <w:trPr>
          <w:cantSplit/>
          <w:jc w:val="center"/>
        </w:trPr>
        <w:tc>
          <w:tcPr>
            <w:tcW w:w="1537" w:type="dxa"/>
          </w:tcPr>
          <w:p w14:paraId="769359B2" w14:textId="77777777" w:rsidR="00A052DC" w:rsidRDefault="009F0A60">
            <w:pPr>
              <w:pStyle w:val="B"/>
              <w:rPr>
                <w:szCs w:val="20"/>
              </w:rPr>
            </w:pPr>
            <w:r>
              <w:rPr>
                <w:rFonts w:hint="eastAsia"/>
              </w:rPr>
              <w:t>资本公积</w:t>
            </w:r>
          </w:p>
        </w:tc>
        <w:tc>
          <w:tcPr>
            <w:tcW w:w="6946" w:type="dxa"/>
            <w:shd w:val="clear" w:color="auto" w:fill="auto"/>
            <w:noWrap/>
          </w:tcPr>
          <w:p w14:paraId="0DE4F6B5" w14:textId="77777777" w:rsidR="00A052DC" w:rsidRDefault="009F0A60">
            <w:pPr>
              <w:pStyle w:val="B"/>
              <w:rPr>
                <w:szCs w:val="20"/>
              </w:rPr>
            </w:pPr>
            <w:r>
              <w:rPr>
                <w:rFonts w:hint="eastAsia"/>
              </w:rPr>
              <w:t>指期末归属于该境外被投资机构所有者</w:t>
            </w:r>
            <w:r>
              <w:rPr>
                <w:rFonts w:hint="eastAsia"/>
                <w:szCs w:val="20"/>
              </w:rPr>
              <w:t>的</w:t>
            </w:r>
            <w:r>
              <w:rPr>
                <w:rFonts w:hint="eastAsia"/>
              </w:rPr>
              <w:t>权益的</w:t>
            </w:r>
            <w:r>
              <w:rPr>
                <w:rFonts w:hint="eastAsia"/>
                <w:szCs w:val="20"/>
              </w:rPr>
              <w:t>中</w:t>
            </w:r>
            <w:r>
              <w:rPr>
                <w:rFonts w:hint="eastAsia"/>
              </w:rPr>
              <w:t>“资本公积”或对应项目，反映境外被投资机构收到投资者出资额超出其在企业注册资本（或股本）中所占份额的部分，以及直接计入所有者权益的利得和损失等。</w:t>
            </w:r>
          </w:p>
        </w:tc>
      </w:tr>
      <w:tr w:rsidR="00A052DC" w14:paraId="41C66D5E" w14:textId="77777777">
        <w:trPr>
          <w:cantSplit/>
          <w:jc w:val="center"/>
        </w:trPr>
        <w:tc>
          <w:tcPr>
            <w:tcW w:w="1537" w:type="dxa"/>
          </w:tcPr>
          <w:p w14:paraId="5CB00836" w14:textId="77777777" w:rsidR="00A052DC" w:rsidRDefault="009F0A60">
            <w:pPr>
              <w:pStyle w:val="B"/>
              <w:rPr>
                <w:szCs w:val="20"/>
              </w:rPr>
            </w:pPr>
            <w:r>
              <w:rPr>
                <w:rFonts w:hint="eastAsia"/>
              </w:rPr>
              <w:t>盈余公积</w:t>
            </w:r>
          </w:p>
        </w:tc>
        <w:tc>
          <w:tcPr>
            <w:tcW w:w="6946" w:type="dxa"/>
            <w:shd w:val="clear" w:color="auto" w:fill="auto"/>
            <w:noWrap/>
          </w:tcPr>
          <w:p w14:paraId="6837DA81" w14:textId="77777777" w:rsidR="00A052DC" w:rsidRDefault="009F0A60">
            <w:pPr>
              <w:pStyle w:val="B"/>
              <w:widowControl w:val="0"/>
              <w:rPr>
                <w:szCs w:val="20"/>
              </w:rPr>
            </w:pPr>
            <w:r>
              <w:rPr>
                <w:rFonts w:hint="eastAsia"/>
              </w:rPr>
              <w:t>指期末归属于该境外被投资机构所有者</w:t>
            </w:r>
            <w:r>
              <w:rPr>
                <w:rFonts w:hint="eastAsia"/>
                <w:szCs w:val="20"/>
              </w:rPr>
              <w:t>的</w:t>
            </w:r>
            <w:r>
              <w:rPr>
                <w:rFonts w:hint="eastAsia"/>
              </w:rPr>
              <w:t>权益中，按照规定从净利润中提取的各种积累资金，包括法定盈余公积和任意盈余公积。</w:t>
            </w:r>
          </w:p>
        </w:tc>
      </w:tr>
      <w:tr w:rsidR="00A052DC" w14:paraId="6C56B188" w14:textId="77777777">
        <w:trPr>
          <w:cantSplit/>
          <w:jc w:val="center"/>
        </w:trPr>
        <w:tc>
          <w:tcPr>
            <w:tcW w:w="1537" w:type="dxa"/>
          </w:tcPr>
          <w:p w14:paraId="745E7534" w14:textId="77777777" w:rsidR="00A052DC" w:rsidRDefault="009F0A60">
            <w:pPr>
              <w:pStyle w:val="B"/>
              <w:widowControl w:val="0"/>
              <w:rPr>
                <w:szCs w:val="20"/>
              </w:rPr>
            </w:pPr>
            <w:r>
              <w:rPr>
                <w:rFonts w:hint="eastAsia"/>
              </w:rPr>
              <w:t>未分配利润</w:t>
            </w:r>
          </w:p>
        </w:tc>
        <w:tc>
          <w:tcPr>
            <w:tcW w:w="6946" w:type="dxa"/>
            <w:shd w:val="clear" w:color="auto" w:fill="auto"/>
            <w:noWrap/>
          </w:tcPr>
          <w:p w14:paraId="66C345B9" w14:textId="77777777" w:rsidR="00A052DC" w:rsidRDefault="009F0A60">
            <w:pPr>
              <w:pStyle w:val="B"/>
              <w:widowControl w:val="0"/>
              <w:rPr>
                <w:szCs w:val="20"/>
              </w:rPr>
            </w:pPr>
            <w:r>
              <w:rPr>
                <w:rFonts w:hint="eastAsia"/>
              </w:rPr>
              <w:t>指期末归属于该境外被投资机构所有者</w:t>
            </w:r>
            <w:r>
              <w:rPr>
                <w:rFonts w:hint="eastAsia"/>
                <w:szCs w:val="20"/>
              </w:rPr>
              <w:t>的</w:t>
            </w:r>
            <w:r>
              <w:rPr>
                <w:rFonts w:hint="eastAsia"/>
              </w:rPr>
              <w:t>权益中未分配利润总额。</w:t>
            </w:r>
          </w:p>
        </w:tc>
      </w:tr>
      <w:tr w:rsidR="00A052DC" w14:paraId="3B99F413" w14:textId="77777777">
        <w:trPr>
          <w:cantSplit/>
          <w:jc w:val="center"/>
        </w:trPr>
        <w:tc>
          <w:tcPr>
            <w:tcW w:w="1537" w:type="dxa"/>
          </w:tcPr>
          <w:p w14:paraId="54E59AC0" w14:textId="77777777" w:rsidR="00A052DC" w:rsidRDefault="009F0A60">
            <w:pPr>
              <w:pStyle w:val="B"/>
              <w:widowControl w:val="0"/>
              <w:rPr>
                <w:szCs w:val="20"/>
              </w:rPr>
            </w:pPr>
            <w:r>
              <w:rPr>
                <w:rFonts w:hint="eastAsia"/>
              </w:rPr>
              <w:t>其他</w:t>
            </w:r>
          </w:p>
        </w:tc>
        <w:tc>
          <w:tcPr>
            <w:tcW w:w="6946" w:type="dxa"/>
            <w:shd w:val="clear" w:color="auto" w:fill="auto"/>
            <w:noWrap/>
          </w:tcPr>
          <w:p w14:paraId="076EAAC5" w14:textId="77777777" w:rsidR="00A052DC" w:rsidRDefault="009F0A60">
            <w:pPr>
              <w:pStyle w:val="B"/>
              <w:widowControl w:val="0"/>
              <w:rPr>
                <w:szCs w:val="20"/>
              </w:rPr>
            </w:pPr>
            <w:r>
              <w:rPr>
                <w:rFonts w:hint="eastAsia"/>
              </w:rPr>
              <w:t>指期末归属于该境外被投资机构所有者</w:t>
            </w:r>
            <w:r>
              <w:rPr>
                <w:rFonts w:hint="eastAsia"/>
                <w:szCs w:val="20"/>
              </w:rPr>
              <w:t>的</w:t>
            </w:r>
            <w:r>
              <w:rPr>
                <w:rFonts w:hint="eastAsia"/>
              </w:rPr>
              <w:t>权益</w:t>
            </w:r>
            <w:r>
              <w:rPr>
                <w:rFonts w:hint="eastAsia"/>
                <w:szCs w:val="20"/>
              </w:rPr>
              <w:t>中</w:t>
            </w:r>
            <w:r>
              <w:rPr>
                <w:rFonts w:hint="eastAsia"/>
              </w:rPr>
              <w:t>，未涵盖在实收资本、资本公积、盈余公积、未分配利润项中的部分，包括但不限于一般准备、外币报表折算差额等。</w:t>
            </w:r>
          </w:p>
        </w:tc>
      </w:tr>
      <w:tr w:rsidR="00A052DC" w14:paraId="07A797F6" w14:textId="77777777">
        <w:trPr>
          <w:cantSplit/>
          <w:jc w:val="center"/>
        </w:trPr>
        <w:tc>
          <w:tcPr>
            <w:tcW w:w="1537" w:type="dxa"/>
            <w:shd w:val="clear" w:color="auto" w:fill="auto"/>
          </w:tcPr>
          <w:p w14:paraId="1C3552B3" w14:textId="77777777" w:rsidR="00A052DC" w:rsidRDefault="009F0A60">
            <w:pPr>
              <w:pStyle w:val="B"/>
              <w:widowControl w:val="0"/>
              <w:rPr>
                <w:szCs w:val="20"/>
              </w:rPr>
            </w:pPr>
            <w:r>
              <w:rPr>
                <w:rFonts w:hint="eastAsia"/>
                <w:szCs w:val="20"/>
              </w:rPr>
              <w:t>期末少数股东权益</w:t>
            </w:r>
          </w:p>
        </w:tc>
        <w:tc>
          <w:tcPr>
            <w:tcW w:w="6946" w:type="dxa"/>
            <w:shd w:val="clear" w:color="auto" w:fill="auto"/>
            <w:noWrap/>
          </w:tcPr>
          <w:p w14:paraId="44B24FAE" w14:textId="77777777" w:rsidR="00A052DC" w:rsidRDefault="009F0A60">
            <w:pPr>
              <w:pStyle w:val="B"/>
              <w:widowControl w:val="0"/>
              <w:rPr>
                <w:szCs w:val="20"/>
              </w:rPr>
            </w:pPr>
            <w:r>
              <w:rPr>
                <w:rFonts w:hint="eastAsia"/>
              </w:rPr>
              <w:t>指期末境外被投资机构合并资产负债表中的</w:t>
            </w:r>
            <w:r>
              <w:rPr>
                <w:rFonts w:hint="eastAsia"/>
                <w:szCs w:val="20"/>
              </w:rPr>
              <w:t>“少数股东权益”</w:t>
            </w:r>
            <w:r>
              <w:rPr>
                <w:rFonts w:hint="eastAsia"/>
              </w:rPr>
              <w:t>。</w:t>
            </w:r>
          </w:p>
        </w:tc>
      </w:tr>
      <w:tr w:rsidR="00A052DC" w14:paraId="1402ADF5" w14:textId="77777777">
        <w:trPr>
          <w:cantSplit/>
          <w:jc w:val="center"/>
        </w:trPr>
        <w:tc>
          <w:tcPr>
            <w:tcW w:w="1537" w:type="dxa"/>
            <w:shd w:val="clear" w:color="auto" w:fill="auto"/>
          </w:tcPr>
          <w:p w14:paraId="437D725D" w14:textId="77777777" w:rsidR="00A052DC" w:rsidRDefault="009F0A60">
            <w:pPr>
              <w:pStyle w:val="B"/>
              <w:widowControl w:val="0"/>
              <w:rPr>
                <w:szCs w:val="20"/>
              </w:rPr>
            </w:pPr>
            <w:r>
              <w:rPr>
                <w:rFonts w:hint="eastAsia"/>
                <w:szCs w:val="20"/>
              </w:rPr>
              <w:t>本月</w:t>
            </w:r>
            <w:r>
              <w:rPr>
                <w:rFonts w:hint="eastAsia"/>
              </w:rPr>
              <w:t>利润总额</w:t>
            </w:r>
          </w:p>
        </w:tc>
        <w:tc>
          <w:tcPr>
            <w:tcW w:w="6946" w:type="dxa"/>
            <w:shd w:val="clear" w:color="auto" w:fill="auto"/>
            <w:noWrap/>
          </w:tcPr>
          <w:p w14:paraId="3E9923E4" w14:textId="77777777" w:rsidR="00A052DC" w:rsidRDefault="009F0A60">
            <w:pPr>
              <w:pStyle w:val="B"/>
              <w:widowControl w:val="0"/>
              <w:rPr>
                <w:szCs w:val="20"/>
              </w:rPr>
            </w:pPr>
            <w:r>
              <w:rPr>
                <w:rFonts w:hint="eastAsia"/>
                <w:szCs w:val="20"/>
              </w:rPr>
              <w:t>指当月境外被投资机构合并损益表中“利润总额（税前）”。</w:t>
            </w:r>
          </w:p>
        </w:tc>
      </w:tr>
      <w:tr w:rsidR="00A052DC" w14:paraId="333C28D6" w14:textId="77777777">
        <w:trPr>
          <w:cantSplit/>
          <w:jc w:val="center"/>
        </w:trPr>
        <w:tc>
          <w:tcPr>
            <w:tcW w:w="1537" w:type="dxa"/>
            <w:shd w:val="clear" w:color="auto" w:fill="auto"/>
          </w:tcPr>
          <w:p w14:paraId="45D85876" w14:textId="77777777" w:rsidR="00A052DC" w:rsidRDefault="009F0A60">
            <w:pPr>
              <w:pStyle w:val="B"/>
              <w:widowControl w:val="0"/>
              <w:rPr>
                <w:szCs w:val="20"/>
              </w:rPr>
            </w:pPr>
            <w:r>
              <w:rPr>
                <w:rFonts w:hint="eastAsia"/>
                <w:szCs w:val="20"/>
              </w:rPr>
              <w:t>本月</w:t>
            </w:r>
            <w:r>
              <w:rPr>
                <w:rFonts w:hint="eastAsia"/>
              </w:rPr>
              <w:t>净利润</w:t>
            </w:r>
          </w:p>
        </w:tc>
        <w:tc>
          <w:tcPr>
            <w:tcW w:w="6946" w:type="dxa"/>
            <w:shd w:val="clear" w:color="auto" w:fill="auto"/>
            <w:noWrap/>
          </w:tcPr>
          <w:p w14:paraId="17C67326" w14:textId="77777777" w:rsidR="00A052DC" w:rsidRDefault="009F0A60">
            <w:pPr>
              <w:pStyle w:val="B"/>
              <w:widowControl w:val="0"/>
              <w:rPr>
                <w:szCs w:val="20"/>
              </w:rPr>
            </w:pPr>
            <w:r>
              <w:rPr>
                <w:rFonts w:hint="eastAsia"/>
                <w:szCs w:val="20"/>
              </w:rPr>
              <w:t>指当月境外被投资机构合并损益表中的归属于被投资机构全体股东的净利润。</w:t>
            </w:r>
          </w:p>
        </w:tc>
      </w:tr>
      <w:tr w:rsidR="00A052DC" w14:paraId="2093EFAE" w14:textId="77777777">
        <w:trPr>
          <w:cantSplit/>
          <w:jc w:val="center"/>
        </w:trPr>
        <w:tc>
          <w:tcPr>
            <w:tcW w:w="1537" w:type="dxa"/>
            <w:shd w:val="clear" w:color="auto" w:fill="auto"/>
          </w:tcPr>
          <w:p w14:paraId="25F75DC7" w14:textId="77777777" w:rsidR="00A052DC" w:rsidRDefault="009F0A60">
            <w:pPr>
              <w:pStyle w:val="B"/>
              <w:widowControl w:val="0"/>
              <w:rPr>
                <w:szCs w:val="20"/>
              </w:rPr>
            </w:pPr>
            <w:r>
              <w:rPr>
                <w:rFonts w:hint="eastAsia"/>
                <w:szCs w:val="20"/>
              </w:rPr>
              <w:t>本月</w:t>
            </w:r>
            <w:r>
              <w:rPr>
                <w:rFonts w:hint="eastAsia"/>
              </w:rPr>
              <w:t>宣告分配（申报主体）利润</w:t>
            </w:r>
          </w:p>
        </w:tc>
        <w:tc>
          <w:tcPr>
            <w:tcW w:w="6946" w:type="dxa"/>
            <w:shd w:val="clear" w:color="auto" w:fill="auto"/>
            <w:noWrap/>
          </w:tcPr>
          <w:p w14:paraId="1DD57270" w14:textId="77777777" w:rsidR="00A052DC" w:rsidRDefault="009F0A60">
            <w:pPr>
              <w:pStyle w:val="B"/>
              <w:widowControl w:val="0"/>
              <w:rPr>
                <w:szCs w:val="20"/>
              </w:rPr>
            </w:pPr>
            <w:r>
              <w:rPr>
                <w:rFonts w:hint="eastAsia"/>
                <w:szCs w:val="20"/>
              </w:rPr>
              <w:t>本对应月度内，境外被投资机构宣告分配给申报主体的利润。对于境外分支机构，应对照全资境外子公司的情况填写。</w:t>
            </w:r>
          </w:p>
        </w:tc>
      </w:tr>
      <w:tr w:rsidR="00A052DC" w14:paraId="545B542C" w14:textId="77777777">
        <w:trPr>
          <w:cantSplit/>
          <w:jc w:val="center"/>
        </w:trPr>
        <w:tc>
          <w:tcPr>
            <w:tcW w:w="1537" w:type="dxa"/>
            <w:shd w:val="clear" w:color="auto" w:fill="auto"/>
          </w:tcPr>
          <w:p w14:paraId="665EBA81" w14:textId="77777777" w:rsidR="00A052DC" w:rsidRDefault="009F0A60">
            <w:pPr>
              <w:pStyle w:val="B"/>
              <w:widowControl w:val="0"/>
              <w:rPr>
                <w:szCs w:val="20"/>
              </w:rPr>
            </w:pPr>
            <w:r>
              <w:rPr>
                <w:rFonts w:hint="eastAsia"/>
                <w:szCs w:val="20"/>
              </w:rPr>
              <w:t>对所在国缴纳的税金总额</w:t>
            </w:r>
          </w:p>
        </w:tc>
        <w:tc>
          <w:tcPr>
            <w:tcW w:w="6946" w:type="dxa"/>
            <w:shd w:val="clear" w:color="auto" w:fill="auto"/>
            <w:noWrap/>
          </w:tcPr>
          <w:p w14:paraId="5B25CDF7" w14:textId="77777777" w:rsidR="00A052DC" w:rsidRDefault="009F0A60">
            <w:pPr>
              <w:pStyle w:val="B"/>
              <w:widowControl w:val="0"/>
              <w:rPr>
                <w:szCs w:val="20"/>
              </w:rPr>
            </w:pPr>
            <w:r>
              <w:rPr>
                <w:rFonts w:hint="eastAsia"/>
                <w:szCs w:val="20"/>
              </w:rPr>
              <w:t>指对应年末，申报主体控股（持股＞</w:t>
            </w:r>
            <w:r>
              <w:rPr>
                <w:szCs w:val="20"/>
              </w:rPr>
              <w:t>50%</w:t>
            </w:r>
            <w:r>
              <w:rPr>
                <w:rFonts w:hint="eastAsia"/>
                <w:szCs w:val="20"/>
              </w:rPr>
              <w:t>）的境外被投资机构按照其经营所在国家或地区的法律规定，在当地缴纳的各项税金之和，为当年累计发生数，按境外被投资机构记账本位币填报。每年报送一次，仅需在报送</w:t>
            </w:r>
            <w:r>
              <w:rPr>
                <w:szCs w:val="20"/>
              </w:rPr>
              <w:t>12月报表时填列本年</w:t>
            </w:r>
            <w:r>
              <w:rPr>
                <w:rFonts w:hint="eastAsia"/>
                <w:szCs w:val="20"/>
              </w:rPr>
              <w:t>发生额。申报主体持股≤</w:t>
            </w:r>
            <w:r>
              <w:rPr>
                <w:szCs w:val="20"/>
              </w:rPr>
              <w:t>50%</w:t>
            </w:r>
            <w:r>
              <w:rPr>
                <w:rFonts w:hint="eastAsia"/>
                <w:szCs w:val="20"/>
              </w:rPr>
              <w:t>的境外被投资机构不填报此项目。</w:t>
            </w:r>
          </w:p>
        </w:tc>
      </w:tr>
      <w:tr w:rsidR="00A052DC" w14:paraId="2063F5F7" w14:textId="77777777">
        <w:trPr>
          <w:cantSplit/>
          <w:jc w:val="center"/>
        </w:trPr>
        <w:tc>
          <w:tcPr>
            <w:tcW w:w="1537" w:type="dxa"/>
            <w:shd w:val="clear" w:color="auto" w:fill="auto"/>
          </w:tcPr>
          <w:p w14:paraId="4EB8F4D9" w14:textId="77777777" w:rsidR="00A052DC" w:rsidRDefault="009F0A60">
            <w:pPr>
              <w:pStyle w:val="B"/>
              <w:widowControl w:val="0"/>
              <w:rPr>
                <w:szCs w:val="20"/>
              </w:rPr>
            </w:pPr>
            <w:r>
              <w:rPr>
                <w:rFonts w:hint="eastAsia"/>
                <w:szCs w:val="20"/>
              </w:rPr>
              <w:t>年末从业人数</w:t>
            </w:r>
            <w:r>
              <w:rPr>
                <w:szCs w:val="20"/>
              </w:rPr>
              <w:t>(</w:t>
            </w:r>
            <w:r>
              <w:rPr>
                <w:rFonts w:hint="eastAsia"/>
                <w:szCs w:val="20"/>
              </w:rPr>
              <w:t>人</w:t>
            </w:r>
            <w:r>
              <w:rPr>
                <w:szCs w:val="20"/>
              </w:rPr>
              <w:t>)</w:t>
            </w:r>
          </w:p>
        </w:tc>
        <w:tc>
          <w:tcPr>
            <w:tcW w:w="6946" w:type="dxa"/>
            <w:shd w:val="clear" w:color="auto" w:fill="auto"/>
            <w:noWrap/>
          </w:tcPr>
          <w:p w14:paraId="28961302" w14:textId="77777777" w:rsidR="00A052DC" w:rsidRDefault="009F0A60">
            <w:pPr>
              <w:pStyle w:val="B"/>
              <w:widowControl w:val="0"/>
              <w:rPr>
                <w:szCs w:val="20"/>
              </w:rPr>
            </w:pPr>
            <w:r>
              <w:rPr>
                <w:rFonts w:hint="eastAsia"/>
                <w:szCs w:val="20"/>
              </w:rPr>
              <w:t>指对应年末，申报主体控股（持股＞</w:t>
            </w:r>
            <w:r>
              <w:rPr>
                <w:szCs w:val="20"/>
              </w:rPr>
              <w:t>50%</w:t>
            </w:r>
            <w:r>
              <w:rPr>
                <w:rFonts w:hint="eastAsia"/>
                <w:szCs w:val="20"/>
              </w:rPr>
              <w:t>）的境外被投资机构雇用的员工总数。每年报送一次，仅需在报送</w:t>
            </w:r>
            <w:r>
              <w:rPr>
                <w:szCs w:val="20"/>
              </w:rPr>
              <w:t>12月报表时填列本年末数</w:t>
            </w:r>
            <w:r>
              <w:rPr>
                <w:rFonts w:hint="eastAsia"/>
                <w:szCs w:val="20"/>
              </w:rPr>
              <w:t>。申报主体持股≤</w:t>
            </w:r>
            <w:r>
              <w:rPr>
                <w:szCs w:val="20"/>
              </w:rPr>
              <w:t>50%</w:t>
            </w:r>
            <w:r>
              <w:rPr>
                <w:rFonts w:hint="eastAsia"/>
                <w:szCs w:val="20"/>
              </w:rPr>
              <w:t>的境外被投资机构不填报此项目。</w:t>
            </w:r>
          </w:p>
        </w:tc>
      </w:tr>
      <w:tr w:rsidR="00A052DC" w14:paraId="0E571790" w14:textId="77777777">
        <w:trPr>
          <w:cantSplit/>
          <w:jc w:val="center"/>
        </w:trPr>
        <w:tc>
          <w:tcPr>
            <w:tcW w:w="1537" w:type="dxa"/>
          </w:tcPr>
          <w:p w14:paraId="35DFCE16" w14:textId="77777777" w:rsidR="00A052DC" w:rsidRDefault="009F0A60">
            <w:pPr>
              <w:pStyle w:val="B"/>
              <w:widowControl w:val="0"/>
              <w:rPr>
                <w:szCs w:val="20"/>
              </w:rPr>
            </w:pPr>
            <w:r>
              <w:rPr>
                <w:rFonts w:hint="eastAsia"/>
                <w:szCs w:val="20"/>
              </w:rPr>
              <w:t>年末从业人数中的中方雇员数（人）</w:t>
            </w:r>
          </w:p>
        </w:tc>
        <w:tc>
          <w:tcPr>
            <w:tcW w:w="6946" w:type="dxa"/>
            <w:shd w:val="clear" w:color="auto" w:fill="auto"/>
            <w:noWrap/>
          </w:tcPr>
          <w:p w14:paraId="65F1F529" w14:textId="77777777" w:rsidR="00A052DC" w:rsidRDefault="009F0A60">
            <w:pPr>
              <w:pStyle w:val="B"/>
              <w:widowControl w:val="0"/>
              <w:rPr>
                <w:szCs w:val="20"/>
              </w:rPr>
            </w:pPr>
            <w:r>
              <w:rPr>
                <w:rFonts w:hint="eastAsia"/>
                <w:szCs w:val="20"/>
              </w:rPr>
              <w:t>指对应年末，申报主体控股（持股＞</w:t>
            </w:r>
            <w:r>
              <w:rPr>
                <w:szCs w:val="20"/>
              </w:rPr>
              <w:t>50%</w:t>
            </w:r>
            <w:r>
              <w:rPr>
                <w:rFonts w:hint="eastAsia"/>
                <w:szCs w:val="20"/>
              </w:rPr>
              <w:t>）的境外被投资机构所雇用的员工中，由中方投资者派出的雇员人数。每年报送一次，仅需在报送</w:t>
            </w:r>
            <w:r>
              <w:rPr>
                <w:szCs w:val="20"/>
              </w:rPr>
              <w:t>12月报表时填列本年末数</w:t>
            </w:r>
            <w:r>
              <w:rPr>
                <w:rFonts w:hint="eastAsia"/>
                <w:szCs w:val="20"/>
              </w:rPr>
              <w:t>。申报主体持股≤</w:t>
            </w:r>
            <w:r>
              <w:rPr>
                <w:szCs w:val="20"/>
              </w:rPr>
              <w:t>50%</w:t>
            </w:r>
            <w:r>
              <w:rPr>
                <w:rFonts w:hint="eastAsia"/>
                <w:szCs w:val="20"/>
              </w:rPr>
              <w:t>的境外被投资机构不填报此项目。</w:t>
            </w:r>
          </w:p>
        </w:tc>
      </w:tr>
      <w:tr w:rsidR="00A052DC" w14:paraId="466ABAC0" w14:textId="77777777">
        <w:trPr>
          <w:cantSplit/>
          <w:jc w:val="center"/>
        </w:trPr>
        <w:tc>
          <w:tcPr>
            <w:tcW w:w="1537" w:type="dxa"/>
            <w:shd w:val="clear" w:color="auto" w:fill="auto"/>
          </w:tcPr>
          <w:p w14:paraId="3E2FB7D8" w14:textId="77777777" w:rsidR="00A052DC" w:rsidRDefault="009F0A60">
            <w:pPr>
              <w:pStyle w:val="B"/>
              <w:widowControl w:val="0"/>
              <w:rPr>
                <w:szCs w:val="20"/>
              </w:rPr>
            </w:pPr>
            <w:r>
              <w:rPr>
                <w:rFonts w:hint="eastAsia"/>
                <w:szCs w:val="20"/>
              </w:rPr>
              <w:t>可流通股票（份额）的记账币种（原币）</w:t>
            </w:r>
          </w:p>
        </w:tc>
        <w:tc>
          <w:tcPr>
            <w:tcW w:w="6946" w:type="dxa"/>
            <w:shd w:val="clear" w:color="auto" w:fill="auto"/>
            <w:noWrap/>
          </w:tcPr>
          <w:p w14:paraId="47ACACB7" w14:textId="77777777" w:rsidR="00A052DC" w:rsidRDefault="009F0A60">
            <w:pPr>
              <w:pStyle w:val="B"/>
              <w:widowControl w:val="0"/>
              <w:rPr>
                <w:szCs w:val="20"/>
              </w:rPr>
            </w:pPr>
            <w:r>
              <w:rPr>
                <w:rFonts w:hint="eastAsia"/>
                <w:szCs w:val="20"/>
              </w:rPr>
              <w:t>指对应月度末，申报主体持有的境外被投资机构可流通股票或基金份额的记账币种。如果申报主体持有境外被投资机构多个市场发行的股票或基金份额，应按照不同上市地的计价币种和股票</w:t>
            </w:r>
            <w:r>
              <w:rPr>
                <w:szCs w:val="20"/>
              </w:rPr>
              <w:t>/</w:t>
            </w:r>
            <w:r>
              <w:rPr>
                <w:rFonts w:hint="eastAsia"/>
                <w:szCs w:val="20"/>
              </w:rPr>
              <w:t>份额价格分别填报。如无可流通股票或基金份额，此项为“</w:t>
            </w:r>
            <w:r>
              <w:rPr>
                <w:szCs w:val="20"/>
              </w:rPr>
              <w:t>N/A</w:t>
            </w:r>
            <w:r>
              <w:rPr>
                <w:rFonts w:hint="eastAsia"/>
                <w:szCs w:val="20"/>
              </w:rPr>
              <w:t>”。</w:t>
            </w:r>
          </w:p>
        </w:tc>
      </w:tr>
      <w:tr w:rsidR="00A052DC" w14:paraId="528D72B9" w14:textId="77777777">
        <w:trPr>
          <w:cantSplit/>
          <w:jc w:val="center"/>
        </w:trPr>
        <w:tc>
          <w:tcPr>
            <w:tcW w:w="1537" w:type="dxa"/>
            <w:shd w:val="clear" w:color="auto" w:fill="auto"/>
          </w:tcPr>
          <w:p w14:paraId="078B4287" w14:textId="77777777" w:rsidR="00A052DC" w:rsidRDefault="009F0A60">
            <w:pPr>
              <w:pStyle w:val="B"/>
              <w:widowControl w:val="0"/>
              <w:rPr>
                <w:szCs w:val="20"/>
              </w:rPr>
            </w:pPr>
            <w:r>
              <w:rPr>
                <w:rFonts w:hint="eastAsia"/>
                <w:szCs w:val="20"/>
              </w:rPr>
              <w:t>申报主体持股（份额）数量</w:t>
            </w:r>
          </w:p>
        </w:tc>
        <w:tc>
          <w:tcPr>
            <w:tcW w:w="6946" w:type="dxa"/>
            <w:shd w:val="clear" w:color="auto" w:fill="auto"/>
            <w:noWrap/>
          </w:tcPr>
          <w:p w14:paraId="0483E24E" w14:textId="77777777" w:rsidR="00A052DC" w:rsidRDefault="009F0A60">
            <w:pPr>
              <w:pStyle w:val="B"/>
              <w:widowControl w:val="0"/>
              <w:rPr>
                <w:szCs w:val="20"/>
              </w:rPr>
            </w:pPr>
            <w:r>
              <w:rPr>
                <w:rFonts w:hint="eastAsia"/>
                <w:szCs w:val="20"/>
              </w:rPr>
              <w:t>指对应月度末，申报主体持有的境外被投资机构对应币种可流通股票的股数以及可流通投资基金份额的份数。如无可流通股票或基金份额，此项为零。</w:t>
            </w:r>
          </w:p>
        </w:tc>
      </w:tr>
      <w:tr w:rsidR="00A052DC" w14:paraId="078CD2A8" w14:textId="77777777">
        <w:trPr>
          <w:cantSplit/>
          <w:jc w:val="center"/>
        </w:trPr>
        <w:tc>
          <w:tcPr>
            <w:tcW w:w="1537" w:type="dxa"/>
            <w:shd w:val="clear" w:color="auto" w:fill="auto"/>
          </w:tcPr>
          <w:p w14:paraId="1776F961" w14:textId="77777777" w:rsidR="00A052DC" w:rsidRDefault="009F0A60">
            <w:pPr>
              <w:pStyle w:val="B"/>
              <w:widowControl w:val="0"/>
              <w:rPr>
                <w:szCs w:val="20"/>
              </w:rPr>
            </w:pPr>
            <w:r>
              <w:rPr>
                <w:rFonts w:hint="eastAsia"/>
                <w:szCs w:val="20"/>
              </w:rPr>
              <w:t>每股（每份）市价</w:t>
            </w:r>
          </w:p>
        </w:tc>
        <w:tc>
          <w:tcPr>
            <w:tcW w:w="6946" w:type="dxa"/>
            <w:shd w:val="clear" w:color="auto" w:fill="auto"/>
            <w:noWrap/>
          </w:tcPr>
          <w:p w14:paraId="4A49AD5E" w14:textId="77777777" w:rsidR="00A052DC" w:rsidRDefault="009F0A60">
            <w:pPr>
              <w:pStyle w:val="B"/>
              <w:widowControl w:val="0"/>
              <w:rPr>
                <w:szCs w:val="20"/>
              </w:rPr>
            </w:pPr>
            <w:r>
              <w:rPr>
                <w:rFonts w:hint="eastAsia"/>
                <w:szCs w:val="20"/>
              </w:rPr>
              <w:t>指对应月度末最后一个股票交易日对应币种每股股票或基金份额的收盘价。对于非公开上市但存在月末市值重估的股权或基金份额，应填报相关估值金额。如无可流通股票</w:t>
            </w:r>
            <w:r>
              <w:rPr>
                <w:szCs w:val="20"/>
              </w:rPr>
              <w:t>/</w:t>
            </w:r>
            <w:r>
              <w:rPr>
                <w:rFonts w:hint="eastAsia"/>
                <w:szCs w:val="20"/>
              </w:rPr>
              <w:t>基金份额，此项为零。</w:t>
            </w:r>
          </w:p>
        </w:tc>
      </w:tr>
      <w:tr w:rsidR="00A052DC" w14:paraId="26EE3AB3" w14:textId="77777777">
        <w:trPr>
          <w:cantSplit/>
          <w:jc w:val="center"/>
        </w:trPr>
        <w:tc>
          <w:tcPr>
            <w:tcW w:w="1537" w:type="dxa"/>
            <w:shd w:val="clear" w:color="auto" w:fill="auto"/>
          </w:tcPr>
          <w:p w14:paraId="407A32E6" w14:textId="77777777" w:rsidR="00A052DC" w:rsidRDefault="009F0A60">
            <w:pPr>
              <w:pStyle w:val="B"/>
              <w:widowControl w:val="0"/>
              <w:rPr>
                <w:szCs w:val="20"/>
              </w:rPr>
            </w:pPr>
            <w:r>
              <w:rPr>
                <w:rFonts w:hint="eastAsia"/>
                <w:szCs w:val="20"/>
              </w:rPr>
              <w:t>备注</w:t>
            </w:r>
          </w:p>
        </w:tc>
        <w:tc>
          <w:tcPr>
            <w:tcW w:w="6946" w:type="dxa"/>
            <w:shd w:val="clear" w:color="auto" w:fill="auto"/>
            <w:noWrap/>
          </w:tcPr>
          <w:p w14:paraId="2AFF806A" w14:textId="77777777" w:rsidR="00A052DC" w:rsidRDefault="009F0A60">
            <w:pPr>
              <w:pStyle w:val="B"/>
              <w:widowControl w:val="0"/>
              <w:rPr>
                <w:szCs w:val="20"/>
              </w:rPr>
            </w:pPr>
            <w:r>
              <w:rPr>
                <w:rFonts w:hint="eastAsia"/>
                <w:szCs w:val="20"/>
              </w:rPr>
              <w:t>需要说明的备注事项。</w:t>
            </w:r>
          </w:p>
        </w:tc>
      </w:tr>
    </w:tbl>
    <w:p w14:paraId="1C4EB6DA" w14:textId="77777777" w:rsidR="00A052DC" w:rsidRPr="00E11A03" w:rsidRDefault="00A412F6">
      <w:pPr>
        <w:rPr>
          <w:rFonts w:ascii="仿宋_GB2312" w:eastAsia="仿宋_GB2312" w:hAnsi="宋体"/>
          <w:color w:val="000000"/>
          <w:szCs w:val="21"/>
        </w:rPr>
      </w:pPr>
      <w:r w:rsidRPr="00A412F6">
        <w:rPr>
          <w:rFonts w:ascii="仿宋_GB2312" w:eastAsia="仿宋_GB2312" w:hAnsi="宋体" w:hint="eastAsia"/>
          <w:color w:val="000000"/>
          <w:szCs w:val="21"/>
        </w:rPr>
        <w:t>注：本表可填写5组可流通股票（份额）的记账币种（原币）、申报主体持股（份额）数量和每股（每份）市价，在数据字典里用可流通股票（份额）的记账币种（原币）N、申报主体持股（份额）数量N和每股（每份）市价N表示。</w:t>
      </w:r>
    </w:p>
    <w:p w14:paraId="12C98A29" w14:textId="77777777" w:rsidR="00A052DC" w:rsidRDefault="009F0A60" w:rsidP="0020251D">
      <w:pPr>
        <w:pStyle w:val="4"/>
        <w:numPr>
          <w:ilvl w:val="3"/>
          <w:numId w:val="1"/>
        </w:numPr>
        <w:jc w:val="left"/>
      </w:pPr>
      <w:bookmarkStart w:id="2986" w:name="_Toc454391229"/>
      <w:bookmarkStart w:id="2987" w:name="_Toc454391230"/>
      <w:bookmarkStart w:id="2988" w:name="_Toc380570905"/>
      <w:bookmarkEnd w:id="2986"/>
      <w:r>
        <w:rPr>
          <w:rFonts w:hint="eastAsia"/>
        </w:rPr>
        <w:t>数据格式</w:t>
      </w:r>
      <w:bookmarkEnd w:id="2987"/>
      <w:bookmarkEnd w:id="2988"/>
    </w:p>
    <w:p w14:paraId="58C60CE0" w14:textId="77777777" w:rsidR="00A052DC" w:rsidRDefault="009F0A60">
      <w:pPr>
        <w:ind w:leftChars="400" w:left="840" w:firstLine="480"/>
      </w:pPr>
      <w:r>
        <w:t>&lt;REC&gt;</w:t>
      </w:r>
    </w:p>
    <w:p w14:paraId="40E8E03E" w14:textId="77777777" w:rsidR="00A052DC" w:rsidRDefault="009F0A60">
      <w:pPr>
        <w:ind w:leftChars="400" w:left="840" w:firstLine="480"/>
      </w:pPr>
      <w:r>
        <w:t>&lt;ACTIONTYPE&gt;</w:t>
      </w:r>
      <w:r>
        <w:rPr>
          <w:rFonts w:hAnsi="宋体"/>
        </w:rPr>
        <w:t>操作类型</w:t>
      </w:r>
      <w:r>
        <w:t>&lt;/ACTIONTYPE&gt;</w:t>
      </w:r>
    </w:p>
    <w:p w14:paraId="40EF6F75" w14:textId="77777777" w:rsidR="00A052DC" w:rsidRDefault="009F0A60">
      <w:pPr>
        <w:ind w:leftChars="400" w:left="840" w:firstLine="480"/>
      </w:pPr>
      <w:r>
        <w:t>&lt;ACTIONDESC&gt;</w:t>
      </w:r>
      <w:r>
        <w:rPr>
          <w:rFonts w:hAnsi="宋体"/>
        </w:rPr>
        <w:t>删除原因</w:t>
      </w:r>
      <w:r>
        <w:t>&lt;/ACTIONDESC&gt;</w:t>
      </w:r>
    </w:p>
    <w:p w14:paraId="3C93B98A" w14:textId="77777777" w:rsidR="00A052DC" w:rsidRDefault="009F0A60">
      <w:pPr>
        <w:ind w:leftChars="400" w:left="840" w:firstLine="480"/>
      </w:pPr>
      <w:r>
        <w:t>&lt;SNOCODE&gt;</w:t>
      </w:r>
      <w:r>
        <w:rPr>
          <w:rFonts w:hAnsi="宋体"/>
        </w:rPr>
        <w:t>数据自编码</w:t>
      </w:r>
      <w:r>
        <w:t>&lt;/SNOCODE&gt;</w:t>
      </w:r>
    </w:p>
    <w:p w14:paraId="0A41BB67" w14:textId="77777777" w:rsidR="00A052DC" w:rsidRDefault="009F0A60">
      <w:pPr>
        <w:ind w:leftChars="400" w:left="840" w:firstLine="480"/>
      </w:pPr>
      <w:r>
        <w:t>&lt;OBJCODE&gt;</w:t>
      </w:r>
      <w:r>
        <w:rPr>
          <w:rFonts w:hAnsi="宋体"/>
        </w:rPr>
        <w:t>申报主体代码</w:t>
      </w:r>
      <w:r>
        <w:t>&lt;/OBJCODE&gt;</w:t>
      </w:r>
    </w:p>
    <w:p w14:paraId="16BF10D9" w14:textId="77777777" w:rsidR="00A052DC" w:rsidRDefault="009F0A60">
      <w:pPr>
        <w:ind w:leftChars="400" w:left="840" w:firstLine="480"/>
      </w:pPr>
      <w:r>
        <w:t>&lt;BUOCMONTH&gt;</w:t>
      </w:r>
      <w:r>
        <w:rPr>
          <w:rFonts w:hAnsi="宋体"/>
        </w:rPr>
        <w:t>报告期</w:t>
      </w:r>
      <w:r>
        <w:t>&lt;/BUOCMONTH&gt;</w:t>
      </w:r>
    </w:p>
    <w:p w14:paraId="3AF611AD" w14:textId="77777777" w:rsidR="00A052DC" w:rsidRDefault="009F0A60">
      <w:pPr>
        <w:ind w:firstLine="1276"/>
      </w:pPr>
      <w:r>
        <w:t>&lt;A0101&gt;</w:t>
      </w:r>
      <w:r>
        <w:rPr>
          <w:rFonts w:hAnsi="宋体"/>
        </w:rPr>
        <w:t>境外被投资机构代码</w:t>
      </w:r>
      <w:r>
        <w:t>&lt;/A0101&gt;</w:t>
      </w:r>
    </w:p>
    <w:p w14:paraId="0D10E035" w14:textId="77777777" w:rsidR="00A052DC" w:rsidRDefault="009F0A60">
      <w:pPr>
        <w:ind w:firstLine="1276"/>
      </w:pPr>
      <w:r>
        <w:t>&lt;A0102&gt;</w:t>
      </w:r>
      <w:r>
        <w:rPr>
          <w:rFonts w:hAnsi="宋体"/>
        </w:rPr>
        <w:t>境外被投资机构全称</w:t>
      </w:r>
      <w:r>
        <w:t>&lt;/A0102&gt;</w:t>
      </w:r>
    </w:p>
    <w:p w14:paraId="5B761A3C" w14:textId="77777777" w:rsidR="00A052DC" w:rsidRDefault="009F0A60">
      <w:pPr>
        <w:ind w:firstLine="1276"/>
      </w:pPr>
      <w:r>
        <w:t>&lt;A0103&gt;</w:t>
      </w:r>
      <w:r>
        <w:rPr>
          <w:rFonts w:hAnsi="宋体"/>
        </w:rPr>
        <w:t>境外被投资机构所属国家</w:t>
      </w:r>
      <w:r>
        <w:t>/</w:t>
      </w:r>
      <w:r>
        <w:rPr>
          <w:rFonts w:hAnsi="宋体"/>
        </w:rPr>
        <w:t>地区</w:t>
      </w:r>
      <w:r>
        <w:t>&lt;/A0103&gt;</w:t>
      </w:r>
    </w:p>
    <w:p w14:paraId="5CD9467D" w14:textId="77777777" w:rsidR="00A052DC" w:rsidRDefault="009F0A60">
      <w:pPr>
        <w:ind w:firstLine="1276"/>
      </w:pPr>
      <w:r>
        <w:t>&lt;A0104&gt;</w:t>
      </w:r>
      <w:r>
        <w:rPr>
          <w:rFonts w:hAnsi="宋体"/>
        </w:rPr>
        <w:t>境外被投资机构所属行业</w:t>
      </w:r>
      <w:r>
        <w:t>&lt;/A0104&gt;</w:t>
      </w:r>
    </w:p>
    <w:p w14:paraId="16720952" w14:textId="77777777" w:rsidR="00A052DC" w:rsidRDefault="009F0A60">
      <w:pPr>
        <w:ind w:firstLine="1276"/>
      </w:pPr>
      <w:r>
        <w:t>&lt;A0105&gt;</w:t>
      </w:r>
      <w:r>
        <w:rPr>
          <w:rFonts w:hAnsi="宋体"/>
        </w:rPr>
        <w:t>境外被投资机构与申报主体的关系</w:t>
      </w:r>
      <w:r>
        <w:t>&lt;/A0105&gt;</w:t>
      </w:r>
    </w:p>
    <w:p w14:paraId="2FDC5573" w14:textId="77777777" w:rsidR="00A052DC" w:rsidRDefault="009F0A60">
      <w:pPr>
        <w:ind w:firstLine="1276"/>
      </w:pPr>
      <w:r>
        <w:t>&lt;A0106&gt;</w:t>
      </w:r>
      <w:r>
        <w:rPr>
          <w:rFonts w:hint="eastAsia"/>
        </w:rPr>
        <w:t>境外被投资机构</w:t>
      </w:r>
      <w:r>
        <w:rPr>
          <w:rFonts w:hAnsi="宋体"/>
        </w:rPr>
        <w:t>最终控制方全称</w:t>
      </w:r>
      <w:r>
        <w:t>&lt;/A0106&gt;</w:t>
      </w:r>
    </w:p>
    <w:p w14:paraId="32C6DB45" w14:textId="77777777" w:rsidR="00A052DC" w:rsidRDefault="009F0A60">
      <w:pPr>
        <w:ind w:firstLine="1276"/>
      </w:pPr>
      <w:r>
        <w:t>&lt;A0107&gt;</w:t>
      </w:r>
      <w:r>
        <w:rPr>
          <w:rFonts w:hint="eastAsia"/>
        </w:rPr>
        <w:t>境外被投资机构</w:t>
      </w:r>
      <w:r>
        <w:rPr>
          <w:rFonts w:hAnsi="宋体"/>
        </w:rPr>
        <w:t>最终控制方所属国家</w:t>
      </w:r>
      <w:r>
        <w:t>/</w:t>
      </w:r>
      <w:r>
        <w:rPr>
          <w:rFonts w:hAnsi="宋体"/>
        </w:rPr>
        <w:t>地区</w:t>
      </w:r>
      <w:r>
        <w:t>&lt;/A0107&gt;</w:t>
      </w:r>
    </w:p>
    <w:p w14:paraId="11D6AC47" w14:textId="77777777" w:rsidR="00A052DC" w:rsidRDefault="009F0A60">
      <w:pPr>
        <w:ind w:firstLine="1276"/>
      </w:pPr>
      <w:r>
        <w:t>&lt;A0108&gt;</w:t>
      </w:r>
      <w:r>
        <w:rPr>
          <w:rFonts w:hAnsi="宋体"/>
        </w:rPr>
        <w:t>期末</w:t>
      </w:r>
      <w:r>
        <w:t>(</w:t>
      </w:r>
      <w:r>
        <w:rPr>
          <w:rFonts w:hAnsi="宋体"/>
        </w:rPr>
        <w:t>申报主体</w:t>
      </w:r>
      <w:r>
        <w:t>)</w:t>
      </w:r>
      <w:r>
        <w:rPr>
          <w:rFonts w:hAnsi="宋体"/>
        </w:rPr>
        <w:t>表决权比例</w:t>
      </w:r>
      <w:r>
        <w:t>(%)&lt;/A0108&gt;</w:t>
      </w:r>
    </w:p>
    <w:p w14:paraId="739BDAD5" w14:textId="77777777" w:rsidR="00A052DC" w:rsidRDefault="009F0A60">
      <w:pPr>
        <w:ind w:firstLine="1276"/>
      </w:pPr>
      <w:r>
        <w:t>&lt;A0109&gt;</w:t>
      </w:r>
      <w:r>
        <w:rPr>
          <w:rFonts w:hAnsi="宋体"/>
        </w:rPr>
        <w:t>期末（申报主体）持股比例</w:t>
      </w:r>
      <w:r>
        <w:t>(%)&lt;/A0109&gt;</w:t>
      </w:r>
    </w:p>
    <w:p w14:paraId="3D2722AD" w14:textId="77777777" w:rsidR="00A052DC" w:rsidRDefault="009F0A60">
      <w:pPr>
        <w:ind w:firstLine="1276"/>
      </w:pPr>
      <w:r>
        <w:t>&lt;A0110&gt;</w:t>
      </w:r>
      <w:r>
        <w:rPr>
          <w:rFonts w:hAnsi="宋体"/>
        </w:rPr>
        <w:t>申报主体是否通过</w:t>
      </w:r>
      <w:r>
        <w:t>SPV</w:t>
      </w:r>
      <w:r>
        <w:rPr>
          <w:rFonts w:hAnsi="宋体"/>
        </w:rPr>
        <w:t>或壳机构持有该境外被投资机构</w:t>
      </w:r>
      <w:r>
        <w:t>&lt;/A0110&gt;</w:t>
      </w:r>
    </w:p>
    <w:p w14:paraId="216A2615" w14:textId="77777777" w:rsidR="00A052DC" w:rsidRDefault="009F0A60">
      <w:pPr>
        <w:ind w:firstLine="1276"/>
      </w:pPr>
      <w:r>
        <w:t>&lt;A0139&gt;</w:t>
      </w:r>
      <w:r>
        <w:rPr>
          <w:rFonts w:hAnsi="宋体"/>
        </w:rPr>
        <w:t>该</w:t>
      </w:r>
      <w:r>
        <w:t>SPV</w:t>
      </w:r>
      <w:r>
        <w:rPr>
          <w:rFonts w:hAnsi="宋体"/>
        </w:rPr>
        <w:t>或壳机构名称</w:t>
      </w:r>
      <w:r>
        <w:t>&lt;/A0139&gt;</w:t>
      </w:r>
    </w:p>
    <w:p w14:paraId="0043C84D" w14:textId="77777777" w:rsidR="00A052DC" w:rsidRDefault="009F0A60">
      <w:pPr>
        <w:ind w:firstLine="1276"/>
      </w:pPr>
      <w:r>
        <w:t>&lt;A0140&gt;</w:t>
      </w:r>
      <w:r>
        <w:rPr>
          <w:rFonts w:hAnsi="宋体"/>
        </w:rPr>
        <w:t>该</w:t>
      </w:r>
      <w:r>
        <w:t>SPV</w:t>
      </w:r>
      <w:r>
        <w:rPr>
          <w:rFonts w:hAnsi="宋体"/>
        </w:rPr>
        <w:t>或壳机构代码</w:t>
      </w:r>
      <w:r>
        <w:t>&lt;/A0140&gt;</w:t>
      </w:r>
    </w:p>
    <w:p w14:paraId="4367EF30" w14:textId="77777777" w:rsidR="00A052DC" w:rsidRDefault="009F0A60">
      <w:pPr>
        <w:ind w:firstLine="1276"/>
      </w:pPr>
      <w:r>
        <w:t>&lt;A0141&gt;</w:t>
      </w:r>
      <w:r>
        <w:rPr>
          <w:rFonts w:hAnsi="宋体"/>
        </w:rPr>
        <w:t>该</w:t>
      </w:r>
      <w:r>
        <w:t>SPV</w:t>
      </w:r>
      <w:r>
        <w:rPr>
          <w:rFonts w:hAnsi="宋体"/>
        </w:rPr>
        <w:t>或壳机构所属部门</w:t>
      </w:r>
      <w:r>
        <w:t>&lt;/A0141&gt;</w:t>
      </w:r>
    </w:p>
    <w:p w14:paraId="054FEDA4" w14:textId="77777777" w:rsidR="00A052DC" w:rsidRDefault="009F0A60">
      <w:pPr>
        <w:ind w:firstLine="1276"/>
      </w:pPr>
      <w:r>
        <w:t>&lt;A0142&gt;</w:t>
      </w:r>
      <w:r>
        <w:rPr>
          <w:rFonts w:hint="eastAsia"/>
        </w:rPr>
        <w:t>申报主体持有该</w:t>
      </w:r>
      <w:r>
        <w:t>SPV</w:t>
      </w:r>
      <w:r>
        <w:rPr>
          <w:rFonts w:hint="eastAsia"/>
        </w:rPr>
        <w:t>或壳机构的股权比例（</w:t>
      </w:r>
      <w:r>
        <w:t>%</w:t>
      </w:r>
      <w:r>
        <w:rPr>
          <w:rFonts w:hint="eastAsia"/>
        </w:rPr>
        <w:t>）</w:t>
      </w:r>
      <w:r>
        <w:t>&lt;/A0142&gt;</w:t>
      </w:r>
    </w:p>
    <w:p w14:paraId="665C6F56" w14:textId="77777777" w:rsidR="00A052DC" w:rsidRDefault="009F0A60">
      <w:pPr>
        <w:ind w:firstLine="1276"/>
      </w:pPr>
      <w:r>
        <w:t>&lt;A0143&gt;</w:t>
      </w:r>
      <w:r>
        <w:rPr>
          <w:rFonts w:hint="eastAsia"/>
        </w:rPr>
        <w:t>境外被投资机构是否为上市企业</w:t>
      </w:r>
      <w:r>
        <w:t>&lt;/A0143&gt;</w:t>
      </w:r>
    </w:p>
    <w:p w14:paraId="03283061" w14:textId="77777777" w:rsidR="00A052DC" w:rsidRDefault="009F0A60">
      <w:pPr>
        <w:ind w:firstLine="1276"/>
      </w:pPr>
      <w:r>
        <w:t>&lt;A0111&gt;</w:t>
      </w:r>
      <w:r>
        <w:rPr>
          <w:rFonts w:hAnsi="宋体"/>
        </w:rPr>
        <w:t>该</w:t>
      </w:r>
      <w:r>
        <w:t>SPV</w:t>
      </w:r>
      <w:r>
        <w:rPr>
          <w:rFonts w:hAnsi="宋体"/>
        </w:rPr>
        <w:t>或壳机构所属国家</w:t>
      </w:r>
      <w:r>
        <w:t>/</w:t>
      </w:r>
      <w:r>
        <w:rPr>
          <w:rFonts w:hAnsi="宋体"/>
        </w:rPr>
        <w:t>地区</w:t>
      </w:r>
      <w:r>
        <w:t>&lt;/A0111&gt;</w:t>
      </w:r>
    </w:p>
    <w:p w14:paraId="37D4AF90" w14:textId="77777777" w:rsidR="00A052DC" w:rsidRDefault="009F0A60">
      <w:pPr>
        <w:ind w:firstLine="1276"/>
      </w:pPr>
      <w:r>
        <w:t>&lt;A0112&gt;</w:t>
      </w:r>
      <w:r>
        <w:rPr>
          <w:rFonts w:hAnsi="宋体"/>
        </w:rPr>
        <w:t>期末会计记账币种（原币）</w:t>
      </w:r>
      <w:r>
        <w:t>&lt;/A0112&gt;</w:t>
      </w:r>
    </w:p>
    <w:p w14:paraId="755FF53D" w14:textId="77777777" w:rsidR="00A052DC" w:rsidRDefault="009F0A60">
      <w:pPr>
        <w:ind w:firstLine="1276"/>
      </w:pPr>
      <w:r>
        <w:t>&lt;A0113&gt;</w:t>
      </w:r>
      <w:r>
        <w:rPr>
          <w:rFonts w:hAnsi="宋体"/>
        </w:rPr>
        <w:t>期末资产</w:t>
      </w:r>
      <w:r>
        <w:t>&lt;/A0113&gt;</w:t>
      </w:r>
    </w:p>
    <w:p w14:paraId="7D501267" w14:textId="77777777" w:rsidR="00A052DC" w:rsidRDefault="009F0A60">
      <w:pPr>
        <w:ind w:firstLine="1276"/>
      </w:pPr>
      <w:r>
        <w:t>&lt;A0114&gt;</w:t>
      </w:r>
      <w:r>
        <w:rPr>
          <w:rFonts w:hAnsi="宋体"/>
        </w:rPr>
        <w:t>期末负债</w:t>
      </w:r>
      <w:r>
        <w:t>&lt;/A0114&gt;</w:t>
      </w:r>
    </w:p>
    <w:p w14:paraId="03DEF355" w14:textId="77777777" w:rsidR="00A052DC" w:rsidRDefault="009F0A60">
      <w:pPr>
        <w:ind w:firstLine="1276"/>
      </w:pPr>
      <w:r>
        <w:t>&lt;A0115&gt;</w:t>
      </w:r>
      <w:r>
        <w:rPr>
          <w:rFonts w:hAnsi="宋体"/>
        </w:rPr>
        <w:t>期末负债中</w:t>
      </w:r>
      <w:r>
        <w:rPr>
          <w:rFonts w:hAnsi="宋体" w:hint="eastAsia"/>
        </w:rPr>
        <w:t>本机构</w:t>
      </w:r>
      <w:r>
        <w:rPr>
          <w:rFonts w:hAnsi="宋体"/>
        </w:rPr>
        <w:t>拨付的营运资金</w:t>
      </w:r>
      <w:r>
        <w:t>&lt;/A0115&gt;</w:t>
      </w:r>
    </w:p>
    <w:p w14:paraId="1B29A560" w14:textId="77777777" w:rsidR="00A052DC" w:rsidRDefault="009F0A60">
      <w:pPr>
        <w:ind w:firstLine="1276"/>
      </w:pPr>
      <w:r>
        <w:t>&lt;A0116&gt;</w:t>
      </w:r>
      <w:r>
        <w:rPr>
          <w:rFonts w:hAnsi="宋体"/>
        </w:rPr>
        <w:t>期末</w:t>
      </w:r>
      <w:r>
        <w:rPr>
          <w:rFonts w:hAnsi="宋体" w:hint="eastAsia"/>
        </w:rPr>
        <w:t>归属于被投资机构</w:t>
      </w:r>
      <w:r>
        <w:rPr>
          <w:rFonts w:hAnsi="宋体"/>
        </w:rPr>
        <w:t>所有者</w:t>
      </w:r>
      <w:r>
        <w:rPr>
          <w:rFonts w:hAnsi="宋体" w:hint="eastAsia"/>
        </w:rPr>
        <w:t>的</w:t>
      </w:r>
      <w:r>
        <w:rPr>
          <w:rFonts w:hAnsi="宋体"/>
        </w:rPr>
        <w:t>权益</w:t>
      </w:r>
      <w:r>
        <w:t>&lt;/A0116&gt;</w:t>
      </w:r>
    </w:p>
    <w:p w14:paraId="27BA0EC5" w14:textId="77777777" w:rsidR="00A052DC" w:rsidRDefault="009F0A60">
      <w:pPr>
        <w:ind w:firstLine="1276"/>
      </w:pPr>
      <w:r>
        <w:t>&lt;A0117&gt;</w:t>
      </w:r>
      <w:r>
        <w:rPr>
          <w:rFonts w:hAnsi="宋体"/>
        </w:rPr>
        <w:t>实收资本</w:t>
      </w:r>
      <w:r>
        <w:t>&lt;/A0117&gt;</w:t>
      </w:r>
    </w:p>
    <w:p w14:paraId="27D56C91" w14:textId="77777777" w:rsidR="00A052DC" w:rsidRDefault="009F0A60">
      <w:pPr>
        <w:ind w:firstLine="1276"/>
      </w:pPr>
      <w:r>
        <w:t>&lt;A0118&gt;</w:t>
      </w:r>
      <w:r>
        <w:rPr>
          <w:rFonts w:hAnsi="宋体"/>
        </w:rPr>
        <w:t>资本公积</w:t>
      </w:r>
      <w:r>
        <w:t>&lt;/A0118&gt;</w:t>
      </w:r>
    </w:p>
    <w:p w14:paraId="41B2B7B7" w14:textId="77777777" w:rsidR="00A052DC" w:rsidRDefault="009F0A60">
      <w:pPr>
        <w:ind w:firstLine="1276"/>
      </w:pPr>
      <w:r>
        <w:t>&lt;A0119&gt;</w:t>
      </w:r>
      <w:r>
        <w:rPr>
          <w:rFonts w:hAnsi="宋体"/>
        </w:rPr>
        <w:t>盈余公积</w:t>
      </w:r>
      <w:r>
        <w:t>&lt;/A0119&gt;</w:t>
      </w:r>
    </w:p>
    <w:p w14:paraId="003EB470" w14:textId="77777777" w:rsidR="00A052DC" w:rsidRDefault="009F0A60">
      <w:pPr>
        <w:ind w:firstLine="1276"/>
      </w:pPr>
      <w:r>
        <w:t>&lt;A0120&gt;</w:t>
      </w:r>
      <w:r>
        <w:rPr>
          <w:rFonts w:hAnsi="宋体"/>
        </w:rPr>
        <w:t>未分配利润</w:t>
      </w:r>
      <w:r>
        <w:t>&lt;/A0120&gt;</w:t>
      </w:r>
    </w:p>
    <w:p w14:paraId="009CCEB6" w14:textId="77777777" w:rsidR="00A052DC" w:rsidRDefault="009F0A60">
      <w:pPr>
        <w:ind w:firstLine="1276"/>
      </w:pPr>
      <w:r>
        <w:t>&lt;A0121&gt;</w:t>
      </w:r>
      <w:r>
        <w:rPr>
          <w:rFonts w:hAnsi="宋体"/>
        </w:rPr>
        <w:t>其他</w:t>
      </w:r>
      <w:r>
        <w:t>&lt;/A0121&gt;</w:t>
      </w:r>
    </w:p>
    <w:p w14:paraId="1AB2BB11" w14:textId="77777777" w:rsidR="00A052DC" w:rsidRDefault="009F0A60">
      <w:pPr>
        <w:ind w:firstLine="1276"/>
      </w:pPr>
      <w:r>
        <w:t>&lt;A0122&gt;</w:t>
      </w:r>
      <w:r>
        <w:rPr>
          <w:rFonts w:hAnsi="宋体"/>
        </w:rPr>
        <w:t>期末少数股东权益</w:t>
      </w:r>
      <w:r>
        <w:t>&lt;/A0122&gt;</w:t>
      </w:r>
    </w:p>
    <w:p w14:paraId="55BF3DB3" w14:textId="77777777" w:rsidR="00A052DC" w:rsidRDefault="009F0A60">
      <w:pPr>
        <w:ind w:firstLine="1276"/>
      </w:pPr>
      <w:r>
        <w:t>&lt;A0123&gt;</w:t>
      </w:r>
      <w:r>
        <w:rPr>
          <w:rFonts w:hAnsi="宋体"/>
        </w:rPr>
        <w:t>本</w:t>
      </w:r>
      <w:r>
        <w:rPr>
          <w:rFonts w:hAnsi="宋体" w:hint="eastAsia"/>
        </w:rPr>
        <w:t>月</w:t>
      </w:r>
      <w:r>
        <w:rPr>
          <w:rFonts w:hAnsi="宋体"/>
        </w:rPr>
        <w:t>利润总额</w:t>
      </w:r>
      <w:r>
        <w:t>&lt;/A0123&gt;</w:t>
      </w:r>
    </w:p>
    <w:p w14:paraId="24AED5DE" w14:textId="77777777" w:rsidR="00A052DC" w:rsidRDefault="009F0A60">
      <w:pPr>
        <w:ind w:firstLine="1276"/>
      </w:pPr>
      <w:r>
        <w:t>&lt;A0124&gt;</w:t>
      </w:r>
      <w:r>
        <w:rPr>
          <w:rFonts w:hAnsi="宋体"/>
        </w:rPr>
        <w:t>本</w:t>
      </w:r>
      <w:r>
        <w:rPr>
          <w:rFonts w:hAnsi="宋体" w:hint="eastAsia"/>
        </w:rPr>
        <w:t>月</w:t>
      </w:r>
      <w:r>
        <w:rPr>
          <w:rFonts w:hAnsi="宋体"/>
        </w:rPr>
        <w:t>净利润</w:t>
      </w:r>
      <w:r>
        <w:t>&lt;/A0124&gt;</w:t>
      </w:r>
    </w:p>
    <w:p w14:paraId="624F7752" w14:textId="77777777" w:rsidR="00A052DC" w:rsidRDefault="009F0A60">
      <w:pPr>
        <w:ind w:firstLine="1276"/>
      </w:pPr>
      <w:r>
        <w:t>&lt;A0125&gt;</w:t>
      </w:r>
      <w:r>
        <w:rPr>
          <w:rFonts w:hAnsi="宋体"/>
        </w:rPr>
        <w:t>本</w:t>
      </w:r>
      <w:r>
        <w:rPr>
          <w:rFonts w:hAnsi="宋体" w:hint="eastAsia"/>
        </w:rPr>
        <w:t>月</w:t>
      </w:r>
      <w:r>
        <w:rPr>
          <w:rFonts w:hAnsi="宋体"/>
        </w:rPr>
        <w:t>宣告分配（申报主体）利润</w:t>
      </w:r>
      <w:r>
        <w:t>&lt;/A0125&gt;</w:t>
      </w:r>
    </w:p>
    <w:p w14:paraId="1DA15E2E" w14:textId="77777777" w:rsidR="00A052DC" w:rsidRDefault="009F0A60">
      <w:pPr>
        <w:ind w:firstLine="1276"/>
      </w:pPr>
      <w:r>
        <w:t>&lt;A0126&gt;</w:t>
      </w:r>
      <w:r>
        <w:rPr>
          <w:rFonts w:hAnsi="宋体"/>
        </w:rPr>
        <w:t>对所在国缴纳的税金总额</w:t>
      </w:r>
      <w:r>
        <w:t>&lt;/A0126&gt;</w:t>
      </w:r>
    </w:p>
    <w:p w14:paraId="52A6D8EF" w14:textId="77777777" w:rsidR="00A052DC" w:rsidRDefault="009F0A60">
      <w:pPr>
        <w:ind w:firstLine="1276"/>
      </w:pPr>
      <w:r>
        <w:t>&lt;A0127&gt;</w:t>
      </w:r>
      <w:r>
        <w:rPr>
          <w:rFonts w:hAnsi="宋体"/>
        </w:rPr>
        <w:t>年末从业人数</w:t>
      </w:r>
      <w:r>
        <w:t>(</w:t>
      </w:r>
      <w:r>
        <w:rPr>
          <w:rFonts w:hAnsi="宋体"/>
        </w:rPr>
        <w:t>人</w:t>
      </w:r>
      <w:r>
        <w:t>)&lt;/A0127&gt;</w:t>
      </w:r>
    </w:p>
    <w:p w14:paraId="65DD3AF0" w14:textId="77777777" w:rsidR="00A052DC" w:rsidRDefault="009F0A60">
      <w:pPr>
        <w:ind w:firstLine="1276"/>
      </w:pPr>
      <w:r>
        <w:t>&lt;A0128&gt;</w:t>
      </w:r>
      <w:r>
        <w:rPr>
          <w:rFonts w:hAnsi="宋体"/>
        </w:rPr>
        <w:t>年末从业人数中的中方雇员数（人）</w:t>
      </w:r>
      <w:r>
        <w:t>&lt;/A0128&gt;</w:t>
      </w:r>
    </w:p>
    <w:p w14:paraId="732AFB86" w14:textId="77777777" w:rsidR="00A052DC" w:rsidRDefault="009F0A60">
      <w:pPr>
        <w:ind w:firstLine="1276"/>
      </w:pPr>
      <w:r>
        <w:t>&lt;A01291&gt;</w:t>
      </w:r>
      <w:r>
        <w:rPr>
          <w:rFonts w:hAnsi="宋体"/>
        </w:rPr>
        <w:t>可流通股票（份额）的记账币种（原币）</w:t>
      </w:r>
      <w:r>
        <w:t>1&lt;/A01291&gt;</w:t>
      </w:r>
    </w:p>
    <w:p w14:paraId="53004AED" w14:textId="77777777" w:rsidR="00A052DC" w:rsidRDefault="009F0A60">
      <w:pPr>
        <w:ind w:firstLine="1276"/>
      </w:pPr>
      <w:r>
        <w:t>&lt;A01301&gt;</w:t>
      </w:r>
      <w:r>
        <w:rPr>
          <w:rFonts w:hAnsi="宋体"/>
        </w:rPr>
        <w:t>申报主体持股（份额）数量</w:t>
      </w:r>
      <w:r>
        <w:t>1&lt;/A01301&gt;</w:t>
      </w:r>
    </w:p>
    <w:p w14:paraId="4D473AB1" w14:textId="77777777" w:rsidR="00A052DC" w:rsidRDefault="009F0A60">
      <w:pPr>
        <w:ind w:firstLine="1276"/>
      </w:pPr>
      <w:r>
        <w:t>&lt;A01311&gt;</w:t>
      </w:r>
      <w:r>
        <w:rPr>
          <w:rFonts w:hAnsi="宋体"/>
        </w:rPr>
        <w:t>每股（每份）市价</w:t>
      </w:r>
      <w:r>
        <w:t>1&lt;/A01311&gt;</w:t>
      </w:r>
    </w:p>
    <w:p w14:paraId="40A374EA" w14:textId="77777777" w:rsidR="00A052DC" w:rsidRDefault="009F0A60">
      <w:pPr>
        <w:ind w:firstLine="1276"/>
      </w:pPr>
      <w:r>
        <w:t>&lt;A01292&gt;</w:t>
      </w:r>
      <w:r>
        <w:rPr>
          <w:rFonts w:hAnsi="宋体"/>
        </w:rPr>
        <w:t>可流通股票（份额）的记账币种（原币）</w:t>
      </w:r>
      <w:r>
        <w:t>2&lt;/A01292&gt;</w:t>
      </w:r>
    </w:p>
    <w:p w14:paraId="59C8FBF7" w14:textId="77777777" w:rsidR="00A052DC" w:rsidRDefault="009F0A60">
      <w:pPr>
        <w:ind w:firstLine="1276"/>
      </w:pPr>
      <w:r>
        <w:t>&lt;A01302&gt;</w:t>
      </w:r>
      <w:r>
        <w:rPr>
          <w:rFonts w:hAnsi="宋体"/>
        </w:rPr>
        <w:t>申报主体持股（份额）数量</w:t>
      </w:r>
      <w:r>
        <w:t>2&lt;/A01302&gt;</w:t>
      </w:r>
    </w:p>
    <w:p w14:paraId="0E770D19" w14:textId="77777777" w:rsidR="00A052DC" w:rsidRDefault="009F0A60">
      <w:pPr>
        <w:ind w:firstLine="1276"/>
      </w:pPr>
      <w:r>
        <w:t>&lt;A01312&gt;</w:t>
      </w:r>
      <w:r>
        <w:rPr>
          <w:rFonts w:hAnsi="宋体"/>
        </w:rPr>
        <w:t>每股（每份）市价</w:t>
      </w:r>
      <w:r>
        <w:t>2&lt;/A01312&gt;</w:t>
      </w:r>
    </w:p>
    <w:p w14:paraId="083E2DCF" w14:textId="77777777" w:rsidR="00A052DC" w:rsidRDefault="009F0A60">
      <w:pPr>
        <w:ind w:firstLine="1276"/>
      </w:pPr>
      <w:r>
        <w:t>&lt;A01293&gt;</w:t>
      </w:r>
      <w:r>
        <w:rPr>
          <w:rFonts w:hAnsi="宋体"/>
        </w:rPr>
        <w:t>可流通股票（份额）的记账币种（原币）</w:t>
      </w:r>
      <w:r>
        <w:t>3&lt;/A01293&gt;</w:t>
      </w:r>
    </w:p>
    <w:p w14:paraId="54701ABE" w14:textId="77777777" w:rsidR="00A052DC" w:rsidRDefault="009F0A60">
      <w:pPr>
        <w:ind w:firstLine="1276"/>
      </w:pPr>
      <w:r>
        <w:t>&lt;A01303&gt;</w:t>
      </w:r>
      <w:r>
        <w:rPr>
          <w:rFonts w:hAnsi="宋体"/>
        </w:rPr>
        <w:t>申报主体持股（份额）数量</w:t>
      </w:r>
      <w:r>
        <w:t>3&lt;/A01303&gt;</w:t>
      </w:r>
    </w:p>
    <w:p w14:paraId="6BBEBBDE" w14:textId="77777777" w:rsidR="00A052DC" w:rsidRDefault="009F0A60">
      <w:pPr>
        <w:ind w:firstLine="1276"/>
      </w:pPr>
      <w:r>
        <w:t>&lt;A01313&gt;</w:t>
      </w:r>
      <w:r>
        <w:rPr>
          <w:rFonts w:hAnsi="宋体"/>
        </w:rPr>
        <w:t>每股（每份）市价</w:t>
      </w:r>
      <w:r>
        <w:t>3&lt;/A01313&gt;</w:t>
      </w:r>
    </w:p>
    <w:p w14:paraId="0F3A337B" w14:textId="77777777" w:rsidR="00A052DC" w:rsidRDefault="009F0A60">
      <w:pPr>
        <w:ind w:firstLine="1276"/>
      </w:pPr>
      <w:r>
        <w:t>&lt;A01294&gt;</w:t>
      </w:r>
      <w:r>
        <w:rPr>
          <w:rFonts w:hAnsi="宋体"/>
        </w:rPr>
        <w:t>可流通股票（份额）的记账币种（原币）</w:t>
      </w:r>
      <w:r>
        <w:t>4&lt;/A01294&gt;</w:t>
      </w:r>
    </w:p>
    <w:p w14:paraId="46D5A4AA" w14:textId="77777777" w:rsidR="00A052DC" w:rsidRDefault="009F0A60">
      <w:pPr>
        <w:ind w:firstLine="1276"/>
      </w:pPr>
      <w:r>
        <w:t>&lt;A01304&gt;</w:t>
      </w:r>
      <w:r>
        <w:rPr>
          <w:rFonts w:hAnsi="宋体"/>
        </w:rPr>
        <w:t>申报主体持股（份额）数量</w:t>
      </w:r>
      <w:r>
        <w:t>4&lt;/A01304&gt;</w:t>
      </w:r>
    </w:p>
    <w:p w14:paraId="0D1AE354" w14:textId="77777777" w:rsidR="00A052DC" w:rsidRDefault="009F0A60">
      <w:pPr>
        <w:ind w:firstLine="1276"/>
      </w:pPr>
      <w:r>
        <w:t>&lt;A01314&gt;</w:t>
      </w:r>
      <w:r>
        <w:rPr>
          <w:rFonts w:hAnsi="宋体"/>
        </w:rPr>
        <w:t>每股（每份）市价</w:t>
      </w:r>
      <w:r>
        <w:t>4&lt;/A01314&gt;</w:t>
      </w:r>
    </w:p>
    <w:p w14:paraId="5B8FD1A0" w14:textId="77777777" w:rsidR="00A052DC" w:rsidRDefault="009F0A60">
      <w:pPr>
        <w:ind w:firstLine="1276"/>
      </w:pPr>
      <w:r>
        <w:t>&lt;A01295&gt;</w:t>
      </w:r>
      <w:r>
        <w:rPr>
          <w:rFonts w:hAnsi="宋体"/>
        </w:rPr>
        <w:t>可流通股票（份额）的记账币种（原币）</w:t>
      </w:r>
      <w:r>
        <w:t>5&lt;/A01295&gt;</w:t>
      </w:r>
    </w:p>
    <w:p w14:paraId="3769C53C" w14:textId="77777777" w:rsidR="00A052DC" w:rsidRDefault="009F0A60">
      <w:pPr>
        <w:ind w:firstLine="1276"/>
      </w:pPr>
      <w:r>
        <w:t>&lt;A01305&gt;</w:t>
      </w:r>
      <w:r>
        <w:rPr>
          <w:rFonts w:hAnsi="宋体"/>
        </w:rPr>
        <w:t>申报主体持股（份额）数量</w:t>
      </w:r>
      <w:r>
        <w:t>5&lt;/A01305&gt;</w:t>
      </w:r>
    </w:p>
    <w:p w14:paraId="6FC06E07" w14:textId="77777777" w:rsidR="00A052DC" w:rsidRDefault="009F0A60">
      <w:pPr>
        <w:ind w:firstLine="1276"/>
      </w:pPr>
      <w:r>
        <w:t>&lt;A01315&gt;</w:t>
      </w:r>
      <w:r>
        <w:rPr>
          <w:rFonts w:hAnsi="宋体"/>
        </w:rPr>
        <w:t>每股（每份）市价</w:t>
      </w:r>
      <w:r>
        <w:t>5&lt;/A01315&gt;</w:t>
      </w:r>
    </w:p>
    <w:p w14:paraId="4449FD93" w14:textId="77777777" w:rsidR="00A052DC" w:rsidRDefault="009F0A60">
      <w:pPr>
        <w:ind w:firstLine="1276"/>
      </w:pPr>
      <w:r>
        <w:t>&lt;REMARK&gt;</w:t>
      </w:r>
      <w:r>
        <w:rPr>
          <w:rFonts w:hAnsi="宋体"/>
        </w:rPr>
        <w:t>备注</w:t>
      </w:r>
      <w:r>
        <w:t>&lt;/REMARK&gt;</w:t>
      </w:r>
    </w:p>
    <w:p w14:paraId="6591D421" w14:textId="77777777" w:rsidR="00A052DC" w:rsidRDefault="009F0A60">
      <w:pPr>
        <w:ind w:leftChars="400" w:left="840" w:firstLine="480"/>
      </w:pPr>
      <w:r>
        <w:t>&lt;/REC&gt;</w:t>
      </w:r>
    </w:p>
    <w:p w14:paraId="2683ED20" w14:textId="77777777" w:rsidR="00A052DC" w:rsidRDefault="009F0A60" w:rsidP="0020251D">
      <w:pPr>
        <w:pStyle w:val="4"/>
        <w:numPr>
          <w:ilvl w:val="3"/>
          <w:numId w:val="1"/>
        </w:numPr>
        <w:jc w:val="left"/>
      </w:pPr>
      <w:bookmarkStart w:id="2989" w:name="_Toc454391231"/>
      <w:bookmarkStart w:id="2990" w:name="_Toc380570906"/>
      <w:bookmarkStart w:id="2991" w:name="_Toc454391232"/>
      <w:bookmarkEnd w:id="2989"/>
      <w:r>
        <w:rPr>
          <w:rFonts w:hint="eastAsia"/>
        </w:rPr>
        <w:t>数据字典</w:t>
      </w:r>
      <w:bookmarkEnd w:id="2990"/>
      <w:bookmarkEnd w:id="2991"/>
    </w:p>
    <w:tbl>
      <w:tblPr>
        <w:tblW w:w="8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1"/>
        <w:gridCol w:w="1985"/>
        <w:gridCol w:w="1559"/>
        <w:gridCol w:w="3580"/>
      </w:tblGrid>
      <w:tr w:rsidR="00A052DC" w14:paraId="7C4B3CAF" w14:textId="77777777">
        <w:trPr>
          <w:tblHeader/>
          <w:jc w:val="center"/>
        </w:trPr>
        <w:tc>
          <w:tcPr>
            <w:tcW w:w="1371" w:type="dxa"/>
            <w:shd w:val="clear" w:color="auto" w:fill="C0C0C0"/>
            <w:noWrap/>
          </w:tcPr>
          <w:p w14:paraId="2E2CB71F" w14:textId="77777777" w:rsidR="00A052DC" w:rsidRDefault="009F0A60">
            <w:pPr>
              <w:pStyle w:val="B"/>
              <w:widowControl w:val="0"/>
              <w:jc w:val="center"/>
              <w:rPr>
                <w:b/>
                <w:szCs w:val="20"/>
              </w:rPr>
            </w:pPr>
            <w:r>
              <w:rPr>
                <w:rFonts w:hint="eastAsia"/>
                <w:b/>
                <w:szCs w:val="20"/>
              </w:rPr>
              <w:t>字段</w:t>
            </w:r>
          </w:p>
        </w:tc>
        <w:tc>
          <w:tcPr>
            <w:tcW w:w="1985" w:type="dxa"/>
            <w:shd w:val="clear" w:color="auto" w:fill="C0C0C0"/>
            <w:noWrap/>
          </w:tcPr>
          <w:p w14:paraId="0479F995" w14:textId="77777777" w:rsidR="00A052DC" w:rsidRDefault="009F0A60">
            <w:pPr>
              <w:pStyle w:val="B"/>
              <w:widowControl w:val="0"/>
              <w:jc w:val="center"/>
              <w:rPr>
                <w:b/>
                <w:szCs w:val="20"/>
              </w:rPr>
            </w:pPr>
            <w:r>
              <w:rPr>
                <w:rFonts w:hint="eastAsia"/>
                <w:b/>
                <w:szCs w:val="20"/>
              </w:rPr>
              <w:t>内容</w:t>
            </w:r>
          </w:p>
        </w:tc>
        <w:tc>
          <w:tcPr>
            <w:tcW w:w="1559" w:type="dxa"/>
            <w:shd w:val="clear" w:color="auto" w:fill="C0C0C0"/>
            <w:noWrap/>
          </w:tcPr>
          <w:p w14:paraId="56686A05" w14:textId="77777777" w:rsidR="00A052DC" w:rsidRDefault="009F0A60">
            <w:pPr>
              <w:pStyle w:val="B"/>
              <w:widowControl w:val="0"/>
              <w:jc w:val="center"/>
              <w:rPr>
                <w:b/>
                <w:szCs w:val="20"/>
              </w:rPr>
            </w:pPr>
            <w:r>
              <w:rPr>
                <w:rFonts w:hint="eastAsia"/>
                <w:b/>
                <w:szCs w:val="20"/>
              </w:rPr>
              <w:t>类型（长度）</w:t>
            </w:r>
          </w:p>
        </w:tc>
        <w:tc>
          <w:tcPr>
            <w:tcW w:w="3580" w:type="dxa"/>
            <w:shd w:val="clear" w:color="auto" w:fill="C0C0C0"/>
          </w:tcPr>
          <w:p w14:paraId="7EB8380D" w14:textId="77777777" w:rsidR="00A052DC" w:rsidRDefault="009F0A60">
            <w:pPr>
              <w:pStyle w:val="B"/>
              <w:widowControl w:val="0"/>
              <w:jc w:val="center"/>
              <w:rPr>
                <w:b/>
                <w:szCs w:val="20"/>
              </w:rPr>
            </w:pPr>
            <w:r>
              <w:rPr>
                <w:rFonts w:hint="eastAsia"/>
                <w:b/>
                <w:szCs w:val="20"/>
              </w:rPr>
              <w:t>校验</w:t>
            </w:r>
          </w:p>
        </w:tc>
      </w:tr>
      <w:tr w:rsidR="00A052DC" w14:paraId="47E067C3" w14:textId="77777777">
        <w:trPr>
          <w:jc w:val="center"/>
        </w:trPr>
        <w:tc>
          <w:tcPr>
            <w:tcW w:w="1371" w:type="dxa"/>
            <w:shd w:val="clear" w:color="auto" w:fill="auto"/>
            <w:noWrap/>
          </w:tcPr>
          <w:p w14:paraId="6D64106A" w14:textId="77777777" w:rsidR="00A052DC" w:rsidRDefault="009F0A60">
            <w:pPr>
              <w:pStyle w:val="B"/>
              <w:widowControl w:val="0"/>
              <w:rPr>
                <w:szCs w:val="20"/>
              </w:rPr>
            </w:pPr>
            <w:r>
              <w:rPr>
                <w:szCs w:val="20"/>
              </w:rPr>
              <w:t>ACTIONTYPE</w:t>
            </w:r>
          </w:p>
        </w:tc>
        <w:tc>
          <w:tcPr>
            <w:tcW w:w="1985" w:type="dxa"/>
            <w:shd w:val="clear" w:color="auto" w:fill="auto"/>
          </w:tcPr>
          <w:p w14:paraId="32D6A2AD" w14:textId="77777777" w:rsidR="00A052DC" w:rsidRDefault="009F0A60">
            <w:pPr>
              <w:pStyle w:val="B"/>
              <w:widowControl w:val="0"/>
              <w:rPr>
                <w:szCs w:val="20"/>
              </w:rPr>
            </w:pPr>
            <w:r>
              <w:rPr>
                <w:rFonts w:hint="eastAsia"/>
                <w:szCs w:val="20"/>
              </w:rPr>
              <w:t>操作类型</w:t>
            </w:r>
          </w:p>
        </w:tc>
        <w:tc>
          <w:tcPr>
            <w:tcW w:w="1559" w:type="dxa"/>
            <w:shd w:val="clear" w:color="auto" w:fill="auto"/>
            <w:noWrap/>
          </w:tcPr>
          <w:p w14:paraId="6F2B9D8A" w14:textId="77777777" w:rsidR="00A052DC" w:rsidRDefault="009F0A60">
            <w:pPr>
              <w:pStyle w:val="B"/>
              <w:widowControl w:val="0"/>
              <w:rPr>
                <w:szCs w:val="20"/>
              </w:rPr>
            </w:pPr>
            <w:r>
              <w:rPr>
                <w:rFonts w:hint="eastAsia"/>
                <w:szCs w:val="20"/>
              </w:rPr>
              <w:t>字符型，</w:t>
            </w:r>
            <w:r>
              <w:rPr>
                <w:szCs w:val="20"/>
              </w:rPr>
              <w:t>1</w:t>
            </w:r>
          </w:p>
        </w:tc>
        <w:tc>
          <w:tcPr>
            <w:tcW w:w="3580" w:type="dxa"/>
          </w:tcPr>
          <w:p w14:paraId="7747970A" w14:textId="77777777" w:rsidR="00A052DC" w:rsidRDefault="009F0A60">
            <w:pPr>
              <w:pStyle w:val="B"/>
              <w:widowControl w:val="0"/>
              <w:rPr>
                <w:szCs w:val="20"/>
              </w:rPr>
            </w:pPr>
            <w:r>
              <w:rPr>
                <w:rFonts w:hint="eastAsia"/>
                <w:szCs w:val="20"/>
              </w:rPr>
              <w:t>必填项</w:t>
            </w:r>
            <w:r w:rsidR="00FE361F">
              <w:rPr>
                <w:rFonts w:hint="eastAsia"/>
                <w:szCs w:val="20"/>
              </w:rPr>
              <w:t>。</w:t>
            </w:r>
          </w:p>
          <w:p w14:paraId="107A47A8" w14:textId="77777777" w:rsidR="00A052DC" w:rsidRDefault="009F0A60">
            <w:pPr>
              <w:pStyle w:val="B"/>
              <w:widowControl w:val="0"/>
              <w:rPr>
                <w:szCs w:val="20"/>
              </w:rPr>
            </w:pPr>
            <w:r>
              <w:rPr>
                <w:szCs w:val="20"/>
              </w:rPr>
              <w:t>A</w:t>
            </w:r>
            <w:r w:rsidR="00AE4602">
              <w:rPr>
                <w:rFonts w:hint="eastAsia"/>
                <w:szCs w:val="20"/>
              </w:rPr>
              <w:t>-</w:t>
            </w:r>
            <w:r>
              <w:rPr>
                <w:rFonts w:hint="eastAsia"/>
                <w:szCs w:val="20"/>
              </w:rPr>
              <w:t>新建</w:t>
            </w:r>
          </w:p>
          <w:p w14:paraId="3E1BB699" w14:textId="77777777" w:rsidR="00A052DC" w:rsidRDefault="009F0A60">
            <w:pPr>
              <w:pStyle w:val="B"/>
              <w:widowControl w:val="0"/>
              <w:rPr>
                <w:szCs w:val="20"/>
              </w:rPr>
            </w:pPr>
            <w:r>
              <w:rPr>
                <w:szCs w:val="20"/>
              </w:rPr>
              <w:t>C</w:t>
            </w:r>
            <w:r w:rsidR="00AE4602">
              <w:rPr>
                <w:rFonts w:hint="eastAsia"/>
                <w:szCs w:val="20"/>
              </w:rPr>
              <w:t>-</w:t>
            </w:r>
            <w:r>
              <w:rPr>
                <w:rFonts w:hint="eastAsia"/>
                <w:szCs w:val="20"/>
              </w:rPr>
              <w:t>修改</w:t>
            </w:r>
          </w:p>
          <w:p w14:paraId="4838D8C2" w14:textId="77777777" w:rsidR="00A052DC" w:rsidRDefault="009F0A60" w:rsidP="00FE361F">
            <w:pPr>
              <w:pStyle w:val="B"/>
              <w:widowControl w:val="0"/>
              <w:rPr>
                <w:szCs w:val="20"/>
              </w:rPr>
            </w:pPr>
            <w:r>
              <w:rPr>
                <w:szCs w:val="20"/>
              </w:rPr>
              <w:t>D</w:t>
            </w:r>
            <w:r w:rsidR="00AE4602">
              <w:rPr>
                <w:rFonts w:hint="eastAsia"/>
                <w:szCs w:val="20"/>
              </w:rPr>
              <w:t>-</w:t>
            </w:r>
            <w:r>
              <w:rPr>
                <w:rFonts w:hint="eastAsia"/>
                <w:szCs w:val="20"/>
              </w:rPr>
              <w:t>删除</w:t>
            </w:r>
          </w:p>
        </w:tc>
      </w:tr>
      <w:tr w:rsidR="00A052DC" w14:paraId="743255B0" w14:textId="77777777">
        <w:trPr>
          <w:jc w:val="center"/>
        </w:trPr>
        <w:tc>
          <w:tcPr>
            <w:tcW w:w="1371" w:type="dxa"/>
            <w:shd w:val="clear" w:color="auto" w:fill="auto"/>
            <w:noWrap/>
          </w:tcPr>
          <w:p w14:paraId="06F98327" w14:textId="77777777" w:rsidR="00A052DC" w:rsidRDefault="009F0A60">
            <w:pPr>
              <w:pStyle w:val="B"/>
              <w:widowControl w:val="0"/>
              <w:rPr>
                <w:szCs w:val="20"/>
              </w:rPr>
            </w:pPr>
            <w:r>
              <w:rPr>
                <w:szCs w:val="20"/>
              </w:rPr>
              <w:t>ACTIONDESC</w:t>
            </w:r>
          </w:p>
        </w:tc>
        <w:tc>
          <w:tcPr>
            <w:tcW w:w="1985" w:type="dxa"/>
            <w:shd w:val="clear" w:color="auto" w:fill="auto"/>
          </w:tcPr>
          <w:p w14:paraId="2D292472" w14:textId="77777777" w:rsidR="00A052DC" w:rsidRDefault="009F0A60">
            <w:pPr>
              <w:pStyle w:val="B"/>
              <w:widowControl w:val="0"/>
              <w:rPr>
                <w:szCs w:val="20"/>
              </w:rPr>
            </w:pPr>
            <w:r>
              <w:rPr>
                <w:rFonts w:hint="eastAsia"/>
                <w:szCs w:val="20"/>
              </w:rPr>
              <w:t>删除原因</w:t>
            </w:r>
          </w:p>
        </w:tc>
        <w:tc>
          <w:tcPr>
            <w:tcW w:w="1559" w:type="dxa"/>
            <w:shd w:val="clear" w:color="auto" w:fill="auto"/>
            <w:noWrap/>
          </w:tcPr>
          <w:p w14:paraId="1E67E283" w14:textId="77777777" w:rsidR="00A052DC" w:rsidRDefault="009F0A60">
            <w:pPr>
              <w:pStyle w:val="B"/>
              <w:widowControl w:val="0"/>
              <w:rPr>
                <w:szCs w:val="20"/>
              </w:rPr>
            </w:pPr>
            <w:r>
              <w:rPr>
                <w:rFonts w:hint="eastAsia"/>
                <w:szCs w:val="20"/>
              </w:rPr>
              <w:t>字符型，</w:t>
            </w:r>
            <w:r>
              <w:rPr>
                <w:szCs w:val="20"/>
              </w:rPr>
              <w:t>128</w:t>
            </w:r>
          </w:p>
        </w:tc>
        <w:tc>
          <w:tcPr>
            <w:tcW w:w="3580" w:type="dxa"/>
          </w:tcPr>
          <w:p w14:paraId="12697ECE" w14:textId="77777777" w:rsidR="00A052DC" w:rsidRDefault="00DD6AA3">
            <w:pPr>
              <w:pStyle w:val="B"/>
              <w:widowControl w:val="0"/>
              <w:rPr>
                <w:szCs w:val="20"/>
              </w:rPr>
            </w:pPr>
            <w:r>
              <w:rPr>
                <w:rFonts w:hint="eastAsia"/>
                <w:szCs w:val="20"/>
              </w:rPr>
              <w:t>非必填项，当操作类型（ACTIONTYPE）为删除时必填。</w:t>
            </w:r>
          </w:p>
        </w:tc>
      </w:tr>
      <w:tr w:rsidR="00A052DC" w14:paraId="5C83A18B" w14:textId="77777777">
        <w:trPr>
          <w:jc w:val="center"/>
        </w:trPr>
        <w:tc>
          <w:tcPr>
            <w:tcW w:w="1371" w:type="dxa"/>
            <w:shd w:val="clear" w:color="auto" w:fill="auto"/>
            <w:noWrap/>
          </w:tcPr>
          <w:p w14:paraId="4A0E2B43" w14:textId="77777777" w:rsidR="00A052DC" w:rsidRDefault="009F0A60">
            <w:pPr>
              <w:pStyle w:val="B"/>
              <w:widowControl w:val="0"/>
              <w:rPr>
                <w:szCs w:val="20"/>
              </w:rPr>
            </w:pPr>
            <w:r>
              <w:rPr>
                <w:szCs w:val="20"/>
              </w:rPr>
              <w:t>SNOCODE</w:t>
            </w:r>
          </w:p>
        </w:tc>
        <w:tc>
          <w:tcPr>
            <w:tcW w:w="1985" w:type="dxa"/>
            <w:shd w:val="clear" w:color="auto" w:fill="auto"/>
          </w:tcPr>
          <w:p w14:paraId="1C9E7997" w14:textId="77777777" w:rsidR="00A052DC" w:rsidRDefault="009F0A60">
            <w:pPr>
              <w:pStyle w:val="B"/>
              <w:widowControl w:val="0"/>
              <w:rPr>
                <w:szCs w:val="20"/>
              </w:rPr>
            </w:pPr>
            <w:r>
              <w:rPr>
                <w:rFonts w:hint="eastAsia"/>
                <w:szCs w:val="20"/>
              </w:rPr>
              <w:t>数据自编码</w:t>
            </w:r>
          </w:p>
        </w:tc>
        <w:tc>
          <w:tcPr>
            <w:tcW w:w="1559" w:type="dxa"/>
            <w:shd w:val="clear" w:color="auto" w:fill="auto"/>
            <w:noWrap/>
          </w:tcPr>
          <w:p w14:paraId="06AB5DF1" w14:textId="77777777" w:rsidR="00A052DC" w:rsidRDefault="009F0A60">
            <w:pPr>
              <w:pStyle w:val="B"/>
              <w:widowControl w:val="0"/>
              <w:rPr>
                <w:szCs w:val="20"/>
              </w:rPr>
            </w:pPr>
            <w:r>
              <w:rPr>
                <w:rFonts w:hint="eastAsia"/>
                <w:szCs w:val="20"/>
              </w:rPr>
              <w:t>字符型，36</w:t>
            </w:r>
          </w:p>
        </w:tc>
        <w:tc>
          <w:tcPr>
            <w:tcW w:w="3580" w:type="dxa"/>
          </w:tcPr>
          <w:p w14:paraId="773F8FFC" w14:textId="77777777" w:rsidR="00A052DC" w:rsidRDefault="009F0A60">
            <w:pPr>
              <w:pStyle w:val="B"/>
              <w:widowControl w:val="0"/>
              <w:rPr>
                <w:szCs w:val="20"/>
              </w:rPr>
            </w:pPr>
            <w:r>
              <w:rPr>
                <w:rFonts w:hint="eastAsia"/>
                <w:szCs w:val="20"/>
              </w:rPr>
              <w:t>必填项。对于接口报送的填报主体，数据自编码中的报送期（</w:t>
            </w:r>
            <w:r>
              <w:rPr>
                <w:szCs w:val="20"/>
              </w:rPr>
              <w:t>6</w:t>
            </w:r>
            <w:r>
              <w:rPr>
                <w:rFonts w:hint="eastAsia"/>
                <w:szCs w:val="20"/>
              </w:rPr>
              <w:t>位）应与报告期（</w:t>
            </w:r>
            <w:r>
              <w:rPr>
                <w:szCs w:val="20"/>
              </w:rPr>
              <w:t>YYYYMM</w:t>
            </w:r>
            <w:r>
              <w:rPr>
                <w:rFonts w:hint="eastAsia"/>
                <w:szCs w:val="20"/>
              </w:rPr>
              <w:t>）一致。</w:t>
            </w:r>
          </w:p>
        </w:tc>
      </w:tr>
      <w:tr w:rsidR="00A052DC" w14:paraId="2AF52E3C" w14:textId="77777777">
        <w:trPr>
          <w:jc w:val="center"/>
        </w:trPr>
        <w:tc>
          <w:tcPr>
            <w:tcW w:w="1371" w:type="dxa"/>
            <w:shd w:val="clear" w:color="auto" w:fill="auto"/>
            <w:noWrap/>
          </w:tcPr>
          <w:p w14:paraId="40D93A05" w14:textId="77777777" w:rsidR="00A052DC" w:rsidRDefault="009F0A60">
            <w:pPr>
              <w:pStyle w:val="B"/>
              <w:widowControl w:val="0"/>
              <w:rPr>
                <w:szCs w:val="20"/>
              </w:rPr>
            </w:pPr>
            <w:r>
              <w:rPr>
                <w:szCs w:val="20"/>
              </w:rPr>
              <w:t>OBJCODE</w:t>
            </w:r>
          </w:p>
        </w:tc>
        <w:tc>
          <w:tcPr>
            <w:tcW w:w="1985" w:type="dxa"/>
            <w:shd w:val="clear" w:color="auto" w:fill="auto"/>
          </w:tcPr>
          <w:p w14:paraId="6893BA90" w14:textId="77777777" w:rsidR="00A052DC" w:rsidRDefault="009F0A60">
            <w:pPr>
              <w:pStyle w:val="B"/>
              <w:widowControl w:val="0"/>
              <w:rPr>
                <w:szCs w:val="20"/>
              </w:rPr>
            </w:pPr>
            <w:r>
              <w:rPr>
                <w:rFonts w:hint="eastAsia"/>
                <w:szCs w:val="20"/>
              </w:rPr>
              <w:t>申报主体代码</w:t>
            </w:r>
          </w:p>
        </w:tc>
        <w:tc>
          <w:tcPr>
            <w:tcW w:w="1559" w:type="dxa"/>
            <w:shd w:val="clear" w:color="auto" w:fill="auto"/>
            <w:noWrap/>
          </w:tcPr>
          <w:p w14:paraId="066923F9" w14:textId="77777777" w:rsidR="00A052DC" w:rsidRDefault="009F0A60">
            <w:pPr>
              <w:pStyle w:val="B"/>
              <w:widowControl w:val="0"/>
              <w:rPr>
                <w:szCs w:val="20"/>
              </w:rPr>
            </w:pPr>
            <w:r>
              <w:rPr>
                <w:rFonts w:hint="eastAsia"/>
                <w:szCs w:val="20"/>
              </w:rPr>
              <w:t>字符型，</w:t>
            </w:r>
            <w:r>
              <w:rPr>
                <w:szCs w:val="20"/>
              </w:rPr>
              <w:t>1</w:t>
            </w:r>
            <w:r>
              <w:rPr>
                <w:rFonts w:hint="eastAsia"/>
                <w:szCs w:val="20"/>
              </w:rPr>
              <w:t>8</w:t>
            </w:r>
          </w:p>
        </w:tc>
        <w:tc>
          <w:tcPr>
            <w:tcW w:w="3580" w:type="dxa"/>
          </w:tcPr>
          <w:p w14:paraId="0A95AC07" w14:textId="77777777" w:rsidR="00A052DC" w:rsidRDefault="009F0A60">
            <w:pPr>
              <w:pStyle w:val="B"/>
              <w:widowControl w:val="0"/>
              <w:rPr>
                <w:szCs w:val="20"/>
              </w:rPr>
            </w:pPr>
            <w:r>
              <w:rPr>
                <w:rFonts w:hint="eastAsia"/>
                <w:szCs w:val="20"/>
              </w:rPr>
              <w:t>申报主体的12位金融机构标识码，如果没有金融机构标识码，则填报统一社会信用代码法定载体（如营业执照）上统一社会信用代码中的第9至17位或国家外汇管理局及其分支局签发的特殊机构代码赋码通知书上的机构代码、个人身份代码。</w:t>
            </w:r>
          </w:p>
        </w:tc>
      </w:tr>
      <w:tr w:rsidR="00A052DC" w14:paraId="415E1AD9" w14:textId="77777777">
        <w:trPr>
          <w:jc w:val="center"/>
        </w:trPr>
        <w:tc>
          <w:tcPr>
            <w:tcW w:w="1371" w:type="dxa"/>
            <w:shd w:val="clear" w:color="auto" w:fill="auto"/>
            <w:noWrap/>
          </w:tcPr>
          <w:p w14:paraId="1AFB7549" w14:textId="77777777" w:rsidR="00A052DC" w:rsidRDefault="009F0A60">
            <w:pPr>
              <w:pStyle w:val="B"/>
              <w:widowControl w:val="0"/>
              <w:rPr>
                <w:szCs w:val="20"/>
              </w:rPr>
            </w:pPr>
            <w:r>
              <w:rPr>
                <w:szCs w:val="20"/>
              </w:rPr>
              <w:t>BUOCMONTH</w:t>
            </w:r>
          </w:p>
        </w:tc>
        <w:tc>
          <w:tcPr>
            <w:tcW w:w="1985" w:type="dxa"/>
            <w:shd w:val="clear" w:color="auto" w:fill="auto"/>
          </w:tcPr>
          <w:p w14:paraId="3BCF41EB" w14:textId="77777777" w:rsidR="00A052DC" w:rsidRDefault="009F0A60">
            <w:pPr>
              <w:pStyle w:val="B"/>
              <w:widowControl w:val="0"/>
              <w:rPr>
                <w:szCs w:val="20"/>
              </w:rPr>
            </w:pPr>
            <w:r>
              <w:rPr>
                <w:rFonts w:hint="eastAsia"/>
                <w:szCs w:val="20"/>
              </w:rPr>
              <w:t>报告期</w:t>
            </w:r>
          </w:p>
        </w:tc>
        <w:tc>
          <w:tcPr>
            <w:tcW w:w="1559" w:type="dxa"/>
            <w:shd w:val="clear" w:color="auto" w:fill="auto"/>
            <w:noWrap/>
          </w:tcPr>
          <w:p w14:paraId="1920AA64" w14:textId="77777777" w:rsidR="00A052DC" w:rsidRDefault="009F0A60">
            <w:pPr>
              <w:pStyle w:val="B"/>
              <w:widowControl w:val="0"/>
              <w:rPr>
                <w:szCs w:val="20"/>
              </w:rPr>
            </w:pPr>
            <w:r>
              <w:rPr>
                <w:rFonts w:hint="eastAsia"/>
                <w:szCs w:val="20"/>
              </w:rPr>
              <w:t>数值型，</w:t>
            </w:r>
            <w:r>
              <w:rPr>
                <w:szCs w:val="20"/>
              </w:rPr>
              <w:t>6</w:t>
            </w:r>
          </w:p>
        </w:tc>
        <w:tc>
          <w:tcPr>
            <w:tcW w:w="3580" w:type="dxa"/>
          </w:tcPr>
          <w:p w14:paraId="153585E3" w14:textId="77777777" w:rsidR="00A052DC" w:rsidRDefault="009F0A60">
            <w:pPr>
              <w:pStyle w:val="B"/>
              <w:widowControl w:val="0"/>
              <w:rPr>
                <w:szCs w:val="20"/>
              </w:rPr>
            </w:pPr>
            <w:r>
              <w:rPr>
                <w:rFonts w:hint="eastAsia"/>
                <w:szCs w:val="20"/>
              </w:rPr>
              <w:t>必填项，格式为</w:t>
            </w:r>
            <w:r>
              <w:rPr>
                <w:szCs w:val="20"/>
              </w:rPr>
              <w:t>YYYYMM</w:t>
            </w:r>
            <w:r>
              <w:rPr>
                <w:rFonts w:hint="eastAsia"/>
                <w:szCs w:val="20"/>
              </w:rPr>
              <w:t>。</w:t>
            </w:r>
          </w:p>
        </w:tc>
      </w:tr>
      <w:tr w:rsidR="00A052DC" w14:paraId="4C41AEC2" w14:textId="77777777">
        <w:trPr>
          <w:jc w:val="center"/>
        </w:trPr>
        <w:tc>
          <w:tcPr>
            <w:tcW w:w="1371" w:type="dxa"/>
            <w:shd w:val="clear" w:color="auto" w:fill="auto"/>
            <w:noWrap/>
          </w:tcPr>
          <w:p w14:paraId="5238D850" w14:textId="77777777" w:rsidR="00A052DC" w:rsidRDefault="009F0A60">
            <w:pPr>
              <w:pStyle w:val="B"/>
              <w:widowControl w:val="0"/>
              <w:rPr>
                <w:szCs w:val="20"/>
              </w:rPr>
            </w:pPr>
            <w:r>
              <w:rPr>
                <w:szCs w:val="20"/>
              </w:rPr>
              <w:t>A0101</w:t>
            </w:r>
          </w:p>
        </w:tc>
        <w:tc>
          <w:tcPr>
            <w:tcW w:w="1985" w:type="dxa"/>
            <w:shd w:val="clear" w:color="auto" w:fill="auto"/>
          </w:tcPr>
          <w:p w14:paraId="69CF5AF6" w14:textId="77777777" w:rsidR="00A052DC" w:rsidRDefault="009F0A60">
            <w:pPr>
              <w:pStyle w:val="B"/>
              <w:widowControl w:val="0"/>
              <w:rPr>
                <w:szCs w:val="20"/>
              </w:rPr>
            </w:pPr>
            <w:r>
              <w:rPr>
                <w:rFonts w:hint="eastAsia"/>
                <w:szCs w:val="20"/>
              </w:rPr>
              <w:t>境外被投资机构代码</w:t>
            </w:r>
          </w:p>
        </w:tc>
        <w:tc>
          <w:tcPr>
            <w:tcW w:w="1559" w:type="dxa"/>
            <w:shd w:val="clear" w:color="auto" w:fill="auto"/>
            <w:noWrap/>
          </w:tcPr>
          <w:p w14:paraId="52E190C4" w14:textId="77777777" w:rsidR="00A052DC" w:rsidRDefault="009F0A60">
            <w:pPr>
              <w:pStyle w:val="B"/>
              <w:widowControl w:val="0"/>
              <w:rPr>
                <w:szCs w:val="20"/>
              </w:rPr>
            </w:pPr>
            <w:r>
              <w:rPr>
                <w:rFonts w:hint="eastAsia"/>
                <w:szCs w:val="20"/>
              </w:rPr>
              <w:t>字符型，</w:t>
            </w:r>
            <w:r>
              <w:rPr>
                <w:szCs w:val="20"/>
              </w:rPr>
              <w:t>256</w:t>
            </w:r>
          </w:p>
        </w:tc>
        <w:tc>
          <w:tcPr>
            <w:tcW w:w="3580" w:type="dxa"/>
          </w:tcPr>
          <w:p w14:paraId="327BA3A5" w14:textId="77777777" w:rsidR="00A052DC" w:rsidRDefault="009F0A60">
            <w:pPr>
              <w:pStyle w:val="B"/>
              <w:widowControl w:val="0"/>
              <w:rPr>
                <w:szCs w:val="20"/>
              </w:rPr>
            </w:pPr>
            <w:r>
              <w:rPr>
                <w:rFonts w:hint="eastAsia"/>
                <w:szCs w:val="20"/>
              </w:rPr>
              <w:t>必填项。同一报告期，一个被投资机构应只有一条（合并）资产负债表。即，各</w:t>
            </w:r>
            <w:r>
              <w:rPr>
                <w:szCs w:val="20"/>
              </w:rPr>
              <w:t>A0101</w:t>
            </w:r>
            <w:r>
              <w:rPr>
                <w:rFonts w:hint="eastAsia"/>
                <w:szCs w:val="20"/>
              </w:rPr>
              <w:t>码均为唯一，且一个</w:t>
            </w:r>
            <w:r>
              <w:rPr>
                <w:szCs w:val="20"/>
              </w:rPr>
              <w:t>A0101</w:t>
            </w:r>
            <w:r>
              <w:rPr>
                <w:rFonts w:hint="eastAsia"/>
                <w:szCs w:val="20"/>
              </w:rPr>
              <w:t>代码应只有一条数据。</w:t>
            </w:r>
          </w:p>
        </w:tc>
      </w:tr>
      <w:tr w:rsidR="00A052DC" w14:paraId="1DB9D13B" w14:textId="77777777">
        <w:trPr>
          <w:jc w:val="center"/>
        </w:trPr>
        <w:tc>
          <w:tcPr>
            <w:tcW w:w="1371" w:type="dxa"/>
            <w:shd w:val="clear" w:color="auto" w:fill="auto"/>
            <w:noWrap/>
          </w:tcPr>
          <w:p w14:paraId="0EDA1CB3" w14:textId="77777777" w:rsidR="00A052DC" w:rsidRDefault="009F0A60">
            <w:pPr>
              <w:pStyle w:val="B"/>
              <w:widowControl w:val="0"/>
              <w:rPr>
                <w:szCs w:val="20"/>
              </w:rPr>
            </w:pPr>
            <w:r>
              <w:rPr>
                <w:szCs w:val="20"/>
              </w:rPr>
              <w:t>A0102</w:t>
            </w:r>
          </w:p>
        </w:tc>
        <w:tc>
          <w:tcPr>
            <w:tcW w:w="1985" w:type="dxa"/>
            <w:shd w:val="clear" w:color="auto" w:fill="auto"/>
          </w:tcPr>
          <w:p w14:paraId="608BB8CC" w14:textId="77777777" w:rsidR="00A052DC" w:rsidRDefault="009F0A60">
            <w:pPr>
              <w:pStyle w:val="B"/>
              <w:widowControl w:val="0"/>
              <w:rPr>
                <w:szCs w:val="20"/>
              </w:rPr>
            </w:pPr>
            <w:r>
              <w:rPr>
                <w:rFonts w:hint="eastAsia"/>
                <w:szCs w:val="20"/>
              </w:rPr>
              <w:t>境外被投资机构全称</w:t>
            </w:r>
          </w:p>
        </w:tc>
        <w:tc>
          <w:tcPr>
            <w:tcW w:w="1559" w:type="dxa"/>
            <w:shd w:val="clear" w:color="auto" w:fill="auto"/>
            <w:noWrap/>
          </w:tcPr>
          <w:p w14:paraId="6B3D45AB" w14:textId="77777777" w:rsidR="00A052DC" w:rsidRDefault="009F0A60">
            <w:pPr>
              <w:pStyle w:val="B"/>
              <w:widowControl w:val="0"/>
              <w:rPr>
                <w:szCs w:val="20"/>
              </w:rPr>
            </w:pPr>
            <w:r>
              <w:rPr>
                <w:rFonts w:hint="eastAsia"/>
                <w:szCs w:val="20"/>
              </w:rPr>
              <w:t>字符型，</w:t>
            </w:r>
            <w:r>
              <w:rPr>
                <w:szCs w:val="20"/>
              </w:rPr>
              <w:t>256</w:t>
            </w:r>
          </w:p>
        </w:tc>
        <w:tc>
          <w:tcPr>
            <w:tcW w:w="3580" w:type="dxa"/>
          </w:tcPr>
          <w:p w14:paraId="28A6AFFA" w14:textId="77777777" w:rsidR="00A052DC" w:rsidRDefault="009F0A60">
            <w:pPr>
              <w:pStyle w:val="B"/>
              <w:widowControl w:val="0"/>
              <w:rPr>
                <w:szCs w:val="20"/>
              </w:rPr>
            </w:pPr>
            <w:r>
              <w:rPr>
                <w:rFonts w:hint="eastAsia"/>
                <w:szCs w:val="20"/>
              </w:rPr>
              <w:t>必填项。</w:t>
            </w:r>
          </w:p>
        </w:tc>
      </w:tr>
      <w:tr w:rsidR="00A052DC" w14:paraId="6783F35E" w14:textId="77777777">
        <w:trPr>
          <w:jc w:val="center"/>
        </w:trPr>
        <w:tc>
          <w:tcPr>
            <w:tcW w:w="1371" w:type="dxa"/>
            <w:shd w:val="clear" w:color="auto" w:fill="auto"/>
            <w:noWrap/>
          </w:tcPr>
          <w:p w14:paraId="7C9C7BE1" w14:textId="77777777" w:rsidR="00A052DC" w:rsidRDefault="009F0A60">
            <w:pPr>
              <w:pStyle w:val="B"/>
              <w:widowControl w:val="0"/>
              <w:rPr>
                <w:szCs w:val="20"/>
              </w:rPr>
            </w:pPr>
            <w:r>
              <w:rPr>
                <w:szCs w:val="20"/>
              </w:rPr>
              <w:t>A0103</w:t>
            </w:r>
          </w:p>
        </w:tc>
        <w:tc>
          <w:tcPr>
            <w:tcW w:w="1985" w:type="dxa"/>
            <w:shd w:val="clear" w:color="auto" w:fill="auto"/>
          </w:tcPr>
          <w:p w14:paraId="1A495077" w14:textId="77777777" w:rsidR="00A052DC" w:rsidRDefault="009F0A60">
            <w:pPr>
              <w:pStyle w:val="B"/>
              <w:widowControl w:val="0"/>
              <w:rPr>
                <w:szCs w:val="20"/>
              </w:rPr>
            </w:pPr>
            <w:r>
              <w:rPr>
                <w:rFonts w:hint="eastAsia"/>
                <w:szCs w:val="20"/>
              </w:rPr>
              <w:t>境外被投资机构所属国家</w:t>
            </w:r>
            <w:r>
              <w:rPr>
                <w:szCs w:val="20"/>
              </w:rPr>
              <w:t>/</w:t>
            </w:r>
            <w:r>
              <w:rPr>
                <w:rFonts w:hint="eastAsia"/>
                <w:szCs w:val="20"/>
              </w:rPr>
              <w:t>地区</w:t>
            </w:r>
          </w:p>
        </w:tc>
        <w:tc>
          <w:tcPr>
            <w:tcW w:w="1559" w:type="dxa"/>
            <w:shd w:val="clear" w:color="auto" w:fill="auto"/>
            <w:noWrap/>
          </w:tcPr>
          <w:p w14:paraId="09A0A419" w14:textId="77777777" w:rsidR="00A052DC" w:rsidRDefault="009F0A60">
            <w:pPr>
              <w:pStyle w:val="B"/>
              <w:widowControl w:val="0"/>
              <w:rPr>
                <w:szCs w:val="20"/>
              </w:rPr>
            </w:pPr>
            <w:r>
              <w:rPr>
                <w:rFonts w:hint="eastAsia"/>
                <w:szCs w:val="20"/>
              </w:rPr>
              <w:t>字符型，</w:t>
            </w:r>
            <w:r>
              <w:rPr>
                <w:szCs w:val="20"/>
              </w:rPr>
              <w:t>3</w:t>
            </w:r>
          </w:p>
        </w:tc>
        <w:tc>
          <w:tcPr>
            <w:tcW w:w="3580" w:type="dxa"/>
          </w:tcPr>
          <w:p w14:paraId="72C415C4" w14:textId="77777777" w:rsidR="00A052DC" w:rsidRDefault="009F0A60">
            <w:pPr>
              <w:pStyle w:val="B"/>
              <w:widowControl w:val="0"/>
              <w:rPr>
                <w:szCs w:val="20"/>
              </w:rPr>
            </w:pPr>
            <w:r>
              <w:rPr>
                <w:rFonts w:hint="eastAsia"/>
                <w:szCs w:val="20"/>
              </w:rPr>
              <w:t>必填项，见国家和地区代码表的</w:t>
            </w:r>
            <w:r>
              <w:rPr>
                <w:szCs w:val="20"/>
              </w:rPr>
              <w:t>3</w:t>
            </w:r>
            <w:r>
              <w:rPr>
                <w:rFonts w:hint="eastAsia"/>
                <w:szCs w:val="20"/>
              </w:rPr>
              <w:t>位字母代码。</w:t>
            </w:r>
          </w:p>
        </w:tc>
      </w:tr>
      <w:tr w:rsidR="00A052DC" w14:paraId="2CA5A453" w14:textId="77777777">
        <w:trPr>
          <w:jc w:val="center"/>
        </w:trPr>
        <w:tc>
          <w:tcPr>
            <w:tcW w:w="1371" w:type="dxa"/>
            <w:shd w:val="clear" w:color="auto" w:fill="auto"/>
            <w:noWrap/>
          </w:tcPr>
          <w:p w14:paraId="4C1C3E08" w14:textId="77777777" w:rsidR="00A052DC" w:rsidRDefault="009F0A60">
            <w:pPr>
              <w:pStyle w:val="B"/>
              <w:widowControl w:val="0"/>
              <w:rPr>
                <w:szCs w:val="20"/>
              </w:rPr>
            </w:pPr>
            <w:r>
              <w:rPr>
                <w:szCs w:val="20"/>
              </w:rPr>
              <w:t>A0104</w:t>
            </w:r>
          </w:p>
        </w:tc>
        <w:tc>
          <w:tcPr>
            <w:tcW w:w="1985" w:type="dxa"/>
            <w:shd w:val="clear" w:color="auto" w:fill="auto"/>
          </w:tcPr>
          <w:p w14:paraId="72848D6C" w14:textId="77777777" w:rsidR="00A052DC" w:rsidRDefault="009F0A60">
            <w:pPr>
              <w:pStyle w:val="B"/>
              <w:widowControl w:val="0"/>
              <w:rPr>
                <w:szCs w:val="20"/>
              </w:rPr>
            </w:pPr>
            <w:r>
              <w:rPr>
                <w:rFonts w:hint="eastAsia"/>
                <w:szCs w:val="20"/>
              </w:rPr>
              <w:t>境外被投资机构所属行业</w:t>
            </w:r>
          </w:p>
        </w:tc>
        <w:tc>
          <w:tcPr>
            <w:tcW w:w="1559" w:type="dxa"/>
            <w:shd w:val="clear" w:color="auto" w:fill="auto"/>
            <w:noWrap/>
          </w:tcPr>
          <w:p w14:paraId="6232643D" w14:textId="77777777" w:rsidR="00A052DC" w:rsidRDefault="009F0A60">
            <w:pPr>
              <w:pStyle w:val="B"/>
              <w:widowControl w:val="0"/>
              <w:rPr>
                <w:szCs w:val="20"/>
              </w:rPr>
            </w:pPr>
            <w:r>
              <w:rPr>
                <w:rFonts w:hint="eastAsia"/>
                <w:szCs w:val="20"/>
              </w:rPr>
              <w:t>整数型</w:t>
            </w:r>
          </w:p>
        </w:tc>
        <w:tc>
          <w:tcPr>
            <w:tcW w:w="3580" w:type="dxa"/>
          </w:tcPr>
          <w:p w14:paraId="423C69AD" w14:textId="77777777" w:rsidR="00A052DC" w:rsidRDefault="009F0A60">
            <w:pPr>
              <w:pStyle w:val="B"/>
              <w:widowControl w:val="0"/>
              <w:rPr>
                <w:szCs w:val="20"/>
              </w:rPr>
            </w:pPr>
            <w:r>
              <w:rPr>
                <w:rFonts w:hint="eastAsia"/>
                <w:szCs w:val="20"/>
              </w:rPr>
              <w:t>必填项，见境外（被）投资者所属行业表。</w:t>
            </w:r>
          </w:p>
          <w:p w14:paraId="22AEF2CF" w14:textId="77777777" w:rsidR="00A052DC" w:rsidRDefault="009F0A60">
            <w:pPr>
              <w:rPr>
                <w:rFonts w:ascii="黑体" w:eastAsia="黑体" w:hAnsi="黑体"/>
                <w:sz w:val="20"/>
                <w:szCs w:val="20"/>
              </w:rPr>
            </w:pPr>
            <w:r>
              <w:rPr>
                <w:rFonts w:ascii="黑体" w:eastAsia="黑体" w:hAnsi="黑体"/>
                <w:kern w:val="0"/>
                <w:sz w:val="20"/>
                <w:szCs w:val="20"/>
              </w:rPr>
              <w:t>A0104</w:t>
            </w:r>
            <w:r>
              <w:rPr>
                <w:rFonts w:ascii="黑体" w:eastAsia="黑体" w:hAnsi="黑体" w:hint="eastAsia"/>
                <w:kern w:val="0"/>
                <w:sz w:val="20"/>
                <w:szCs w:val="20"/>
              </w:rPr>
              <w:t>≠7（个人）、</w:t>
            </w:r>
            <w:r>
              <w:rPr>
                <w:rFonts w:ascii="黑体" w:eastAsia="黑体" w:hAnsi="黑体"/>
                <w:kern w:val="0"/>
                <w:sz w:val="20"/>
                <w:szCs w:val="20"/>
              </w:rPr>
              <w:t>8</w:t>
            </w:r>
            <w:r>
              <w:rPr>
                <w:rFonts w:ascii="黑体" w:eastAsia="黑体" w:hAnsi="黑体" w:hint="eastAsia"/>
                <w:kern w:val="0"/>
                <w:sz w:val="20"/>
                <w:szCs w:val="20"/>
              </w:rPr>
              <w:t>（政府）、</w:t>
            </w:r>
            <w:r>
              <w:rPr>
                <w:rFonts w:ascii="黑体" w:eastAsia="黑体" w:hAnsi="黑体"/>
                <w:kern w:val="0"/>
                <w:sz w:val="20"/>
                <w:szCs w:val="20"/>
              </w:rPr>
              <w:t>9</w:t>
            </w:r>
            <w:r>
              <w:rPr>
                <w:rFonts w:ascii="黑体" w:eastAsia="黑体" w:hAnsi="黑体" w:hint="eastAsia"/>
                <w:kern w:val="0"/>
                <w:sz w:val="20"/>
                <w:szCs w:val="20"/>
              </w:rPr>
              <w:t>（中央银行</w:t>
            </w:r>
            <w:r>
              <w:rPr>
                <w:rFonts w:ascii="黑体" w:eastAsia="黑体" w:hAnsi="黑体"/>
                <w:kern w:val="0"/>
                <w:sz w:val="20"/>
                <w:szCs w:val="20"/>
              </w:rPr>
              <w:t>/</w:t>
            </w:r>
            <w:r>
              <w:rPr>
                <w:rFonts w:ascii="黑体" w:eastAsia="黑体" w:hAnsi="黑体" w:hint="eastAsia"/>
                <w:kern w:val="0"/>
                <w:sz w:val="20"/>
                <w:szCs w:val="20"/>
              </w:rPr>
              <w:t>货币当局）。</w:t>
            </w:r>
          </w:p>
        </w:tc>
      </w:tr>
      <w:tr w:rsidR="00A052DC" w14:paraId="24EE7E57" w14:textId="77777777">
        <w:trPr>
          <w:jc w:val="center"/>
        </w:trPr>
        <w:tc>
          <w:tcPr>
            <w:tcW w:w="1371" w:type="dxa"/>
            <w:shd w:val="clear" w:color="auto" w:fill="auto"/>
            <w:noWrap/>
          </w:tcPr>
          <w:p w14:paraId="699DD5AC" w14:textId="77777777" w:rsidR="00A052DC" w:rsidRDefault="009F0A60">
            <w:pPr>
              <w:pStyle w:val="B"/>
              <w:widowControl w:val="0"/>
              <w:rPr>
                <w:szCs w:val="20"/>
              </w:rPr>
            </w:pPr>
            <w:r>
              <w:rPr>
                <w:szCs w:val="20"/>
              </w:rPr>
              <w:t>A0105</w:t>
            </w:r>
          </w:p>
        </w:tc>
        <w:tc>
          <w:tcPr>
            <w:tcW w:w="1985" w:type="dxa"/>
            <w:shd w:val="clear" w:color="auto" w:fill="auto"/>
          </w:tcPr>
          <w:p w14:paraId="671B194C" w14:textId="77777777" w:rsidR="00A052DC" w:rsidRDefault="009F0A60">
            <w:pPr>
              <w:pStyle w:val="B"/>
              <w:widowControl w:val="0"/>
              <w:rPr>
                <w:szCs w:val="20"/>
              </w:rPr>
            </w:pPr>
            <w:r>
              <w:rPr>
                <w:rFonts w:hint="eastAsia"/>
                <w:szCs w:val="20"/>
              </w:rPr>
              <w:t>境外被投资机构与申报主体的关系</w:t>
            </w:r>
          </w:p>
        </w:tc>
        <w:tc>
          <w:tcPr>
            <w:tcW w:w="1559" w:type="dxa"/>
            <w:shd w:val="clear" w:color="auto" w:fill="auto"/>
            <w:noWrap/>
          </w:tcPr>
          <w:p w14:paraId="15A67571" w14:textId="77777777" w:rsidR="00A052DC" w:rsidRDefault="009F0A60">
            <w:pPr>
              <w:pStyle w:val="B"/>
              <w:widowControl w:val="0"/>
              <w:rPr>
                <w:szCs w:val="20"/>
              </w:rPr>
            </w:pPr>
            <w:r>
              <w:rPr>
                <w:rFonts w:hint="eastAsia"/>
                <w:szCs w:val="20"/>
              </w:rPr>
              <w:t>整数型</w:t>
            </w:r>
          </w:p>
        </w:tc>
        <w:tc>
          <w:tcPr>
            <w:tcW w:w="3580" w:type="dxa"/>
          </w:tcPr>
          <w:p w14:paraId="2DF43B0E" w14:textId="77777777" w:rsidR="00A052DC" w:rsidRDefault="009F0A60">
            <w:pPr>
              <w:pStyle w:val="B"/>
              <w:widowControl w:val="0"/>
              <w:rPr>
                <w:szCs w:val="20"/>
              </w:rPr>
            </w:pPr>
            <w:r>
              <w:rPr>
                <w:rFonts w:hint="eastAsia"/>
                <w:szCs w:val="20"/>
              </w:rPr>
              <w:t>必填项，必须</w:t>
            </w:r>
            <w:r>
              <w:rPr>
                <w:szCs w:val="20"/>
              </w:rPr>
              <w:t>3</w:t>
            </w:r>
            <w:r>
              <w:rPr>
                <w:rFonts w:hint="eastAsia"/>
                <w:szCs w:val="20"/>
              </w:rPr>
              <w:t>选</w:t>
            </w:r>
            <w:r>
              <w:rPr>
                <w:szCs w:val="20"/>
              </w:rPr>
              <w:t>1</w:t>
            </w:r>
            <w:r>
              <w:rPr>
                <w:rFonts w:hint="eastAsia"/>
                <w:szCs w:val="20"/>
              </w:rPr>
              <w:t>：</w:t>
            </w:r>
          </w:p>
          <w:p w14:paraId="0D8A5B1C" w14:textId="77777777" w:rsidR="00A052DC" w:rsidRDefault="009F0A60">
            <w:pPr>
              <w:rPr>
                <w:rFonts w:ascii="黑体" w:eastAsia="黑体" w:hAnsi="黑体"/>
                <w:kern w:val="0"/>
                <w:sz w:val="20"/>
                <w:szCs w:val="20"/>
              </w:rPr>
            </w:pPr>
            <w:r>
              <w:rPr>
                <w:rFonts w:ascii="黑体" w:eastAsia="黑体" w:hAnsi="黑体"/>
                <w:kern w:val="0"/>
                <w:sz w:val="20"/>
                <w:szCs w:val="20"/>
              </w:rPr>
              <w:t>1-</w:t>
            </w:r>
            <w:r>
              <w:rPr>
                <w:rFonts w:ascii="黑体" w:eastAsia="黑体" w:hAnsi="黑体" w:hint="eastAsia"/>
                <w:kern w:val="0"/>
                <w:sz w:val="20"/>
                <w:szCs w:val="20"/>
              </w:rPr>
              <w:t>境外分支机构，即申报主体持有表决权&gt;50</w:t>
            </w:r>
            <w:r>
              <w:rPr>
                <w:rFonts w:ascii="黑体" w:eastAsia="黑体" w:hAnsi="黑体"/>
                <w:kern w:val="0"/>
                <w:sz w:val="20"/>
                <w:szCs w:val="20"/>
              </w:rPr>
              <w:t>%</w:t>
            </w:r>
            <w:r>
              <w:rPr>
                <w:rFonts w:ascii="黑体" w:eastAsia="黑体" w:hAnsi="黑体" w:hint="eastAsia"/>
                <w:kern w:val="0"/>
                <w:sz w:val="20"/>
                <w:szCs w:val="20"/>
              </w:rPr>
              <w:t>的境外非法人机构；</w:t>
            </w:r>
          </w:p>
          <w:p w14:paraId="0FD5FE8B" w14:textId="77777777" w:rsidR="00A052DC" w:rsidRDefault="009F0A60">
            <w:pPr>
              <w:rPr>
                <w:rFonts w:ascii="黑体" w:eastAsia="黑体" w:hAnsi="黑体"/>
                <w:kern w:val="0"/>
                <w:sz w:val="20"/>
                <w:szCs w:val="20"/>
              </w:rPr>
            </w:pPr>
            <w:r>
              <w:rPr>
                <w:rFonts w:ascii="黑体" w:eastAsia="黑体" w:hAnsi="黑体"/>
                <w:kern w:val="0"/>
                <w:sz w:val="20"/>
                <w:szCs w:val="20"/>
              </w:rPr>
              <w:t>2-</w:t>
            </w:r>
            <w:r>
              <w:rPr>
                <w:rFonts w:ascii="黑体" w:eastAsia="黑体" w:hAnsi="黑体" w:hint="eastAsia"/>
                <w:kern w:val="0"/>
                <w:sz w:val="20"/>
                <w:szCs w:val="20"/>
              </w:rPr>
              <w:t>境外子机构，即申报主体持有表决权＞</w:t>
            </w:r>
            <w:r>
              <w:rPr>
                <w:rFonts w:ascii="黑体" w:eastAsia="黑体" w:hAnsi="黑体"/>
                <w:kern w:val="0"/>
                <w:sz w:val="20"/>
                <w:szCs w:val="20"/>
              </w:rPr>
              <w:t>50%</w:t>
            </w:r>
            <w:r>
              <w:rPr>
                <w:rFonts w:ascii="黑体" w:eastAsia="黑体" w:hAnsi="黑体" w:hint="eastAsia"/>
                <w:kern w:val="0"/>
                <w:sz w:val="20"/>
                <w:szCs w:val="20"/>
              </w:rPr>
              <w:t>的境外法人机构；</w:t>
            </w:r>
          </w:p>
          <w:p w14:paraId="1F92C4E8" w14:textId="77777777" w:rsidR="00A052DC" w:rsidRDefault="009F0A60">
            <w:pPr>
              <w:rPr>
                <w:rFonts w:ascii="黑体" w:eastAsia="黑体" w:hAnsi="黑体"/>
                <w:kern w:val="0"/>
                <w:sz w:val="20"/>
                <w:szCs w:val="20"/>
              </w:rPr>
            </w:pPr>
            <w:r>
              <w:rPr>
                <w:rFonts w:ascii="黑体" w:eastAsia="黑体" w:hAnsi="黑体"/>
                <w:kern w:val="0"/>
                <w:sz w:val="20"/>
                <w:szCs w:val="20"/>
              </w:rPr>
              <w:t>3-</w:t>
            </w:r>
            <w:r>
              <w:rPr>
                <w:rFonts w:ascii="黑体" w:eastAsia="黑体" w:hAnsi="黑体" w:hint="eastAsia"/>
                <w:kern w:val="0"/>
                <w:sz w:val="20"/>
                <w:szCs w:val="20"/>
              </w:rPr>
              <w:t>境外联营或合营机构，即申报主体持有表决权≥</w:t>
            </w:r>
            <w:r>
              <w:rPr>
                <w:rFonts w:ascii="黑体" w:eastAsia="黑体" w:hAnsi="黑体"/>
                <w:kern w:val="0"/>
                <w:sz w:val="20"/>
                <w:szCs w:val="20"/>
              </w:rPr>
              <w:t>10%</w:t>
            </w:r>
            <w:r>
              <w:rPr>
                <w:rFonts w:ascii="黑体" w:eastAsia="黑体" w:hAnsi="黑体" w:hint="eastAsia"/>
                <w:kern w:val="0"/>
                <w:sz w:val="20"/>
                <w:szCs w:val="20"/>
              </w:rPr>
              <w:t>，但≤</w:t>
            </w:r>
            <w:r>
              <w:rPr>
                <w:rFonts w:ascii="黑体" w:eastAsia="黑体" w:hAnsi="黑体"/>
                <w:kern w:val="0"/>
                <w:sz w:val="20"/>
                <w:szCs w:val="20"/>
              </w:rPr>
              <w:t>50%</w:t>
            </w:r>
            <w:r>
              <w:rPr>
                <w:rFonts w:ascii="黑体" w:eastAsia="黑体" w:hAnsi="黑体" w:hint="eastAsia"/>
                <w:kern w:val="0"/>
                <w:sz w:val="20"/>
                <w:szCs w:val="20"/>
              </w:rPr>
              <w:t>的境外机构。</w:t>
            </w:r>
          </w:p>
          <w:p w14:paraId="5C98CAC7" w14:textId="77777777" w:rsidR="00A052DC" w:rsidRDefault="009F0A60">
            <w:pPr>
              <w:pStyle w:val="B"/>
              <w:widowControl w:val="0"/>
              <w:rPr>
                <w:szCs w:val="20"/>
              </w:rPr>
            </w:pPr>
            <w:r>
              <w:rPr>
                <w:rFonts w:hint="eastAsia"/>
                <w:szCs w:val="20"/>
              </w:rPr>
              <w:t>根据</w:t>
            </w:r>
            <w:r>
              <w:rPr>
                <w:szCs w:val="20"/>
              </w:rPr>
              <w:t>A0108</w:t>
            </w:r>
            <w:r>
              <w:rPr>
                <w:rFonts w:hint="eastAsia"/>
                <w:szCs w:val="20"/>
              </w:rPr>
              <w:t>判断：</w:t>
            </w:r>
          </w:p>
          <w:p w14:paraId="6CA80D9B" w14:textId="77777777" w:rsidR="00A052DC" w:rsidRDefault="009F0A60">
            <w:pPr>
              <w:pStyle w:val="B"/>
              <w:widowControl w:val="0"/>
              <w:rPr>
                <w:szCs w:val="20"/>
              </w:rPr>
            </w:pPr>
            <w:r>
              <w:rPr>
                <w:rFonts w:hint="eastAsia"/>
                <w:szCs w:val="20"/>
              </w:rPr>
              <w:t>如果</w:t>
            </w:r>
            <w:r>
              <w:rPr>
                <w:szCs w:val="20"/>
              </w:rPr>
              <w:t>10</w:t>
            </w:r>
            <w:r>
              <w:rPr>
                <w:rFonts w:hint="eastAsia"/>
                <w:szCs w:val="20"/>
              </w:rPr>
              <w:t>≤</w:t>
            </w:r>
            <w:r>
              <w:rPr>
                <w:szCs w:val="20"/>
              </w:rPr>
              <w:t>A0108</w:t>
            </w:r>
            <w:r>
              <w:rPr>
                <w:rFonts w:hint="eastAsia"/>
                <w:szCs w:val="20"/>
              </w:rPr>
              <w:t>≤</w:t>
            </w:r>
            <w:r>
              <w:rPr>
                <w:szCs w:val="20"/>
              </w:rPr>
              <w:t>50</w:t>
            </w:r>
            <w:r>
              <w:rPr>
                <w:rFonts w:hint="eastAsia"/>
                <w:szCs w:val="20"/>
              </w:rPr>
              <w:t>，则</w:t>
            </w:r>
            <w:r>
              <w:rPr>
                <w:szCs w:val="20"/>
              </w:rPr>
              <w:t>A0105=3</w:t>
            </w:r>
            <w:r>
              <w:rPr>
                <w:rFonts w:hint="eastAsia"/>
                <w:szCs w:val="20"/>
              </w:rPr>
              <w:t>；</w:t>
            </w:r>
          </w:p>
          <w:p w14:paraId="061EE0EF" w14:textId="77777777" w:rsidR="00A052DC" w:rsidRDefault="009F0A60">
            <w:pPr>
              <w:pStyle w:val="B"/>
              <w:widowControl w:val="0"/>
              <w:rPr>
                <w:szCs w:val="20"/>
              </w:rPr>
            </w:pPr>
            <w:r>
              <w:rPr>
                <w:rFonts w:hint="eastAsia"/>
                <w:szCs w:val="20"/>
              </w:rPr>
              <w:t>如果</w:t>
            </w:r>
            <w:r>
              <w:rPr>
                <w:szCs w:val="20"/>
              </w:rPr>
              <w:t>50</w:t>
            </w:r>
            <w:r>
              <w:rPr>
                <w:rFonts w:hint="eastAsia"/>
                <w:szCs w:val="20"/>
              </w:rPr>
              <w:t>＜</w:t>
            </w:r>
            <w:r>
              <w:rPr>
                <w:szCs w:val="20"/>
              </w:rPr>
              <w:t>A0108</w:t>
            </w:r>
            <w:r>
              <w:rPr>
                <w:rFonts w:hint="eastAsia"/>
                <w:szCs w:val="20"/>
              </w:rPr>
              <w:t>≤</w:t>
            </w:r>
            <w:r>
              <w:rPr>
                <w:szCs w:val="20"/>
              </w:rPr>
              <w:t>100</w:t>
            </w:r>
            <w:r>
              <w:rPr>
                <w:rFonts w:hint="eastAsia"/>
                <w:szCs w:val="20"/>
              </w:rPr>
              <w:t>，则</w:t>
            </w:r>
            <w:r>
              <w:rPr>
                <w:szCs w:val="20"/>
              </w:rPr>
              <w:t>A0105=1</w:t>
            </w:r>
            <w:r>
              <w:rPr>
                <w:rFonts w:hint="eastAsia"/>
                <w:szCs w:val="20"/>
              </w:rPr>
              <w:t>或</w:t>
            </w:r>
            <w:r>
              <w:rPr>
                <w:szCs w:val="20"/>
              </w:rPr>
              <w:t>2</w:t>
            </w:r>
            <w:r>
              <w:rPr>
                <w:rFonts w:hint="eastAsia"/>
                <w:szCs w:val="20"/>
              </w:rPr>
              <w:t>。</w:t>
            </w:r>
          </w:p>
          <w:p w14:paraId="69A7DA68" w14:textId="77777777" w:rsidR="00A052DC" w:rsidRDefault="009F0A60">
            <w:pPr>
              <w:autoSpaceDE w:val="0"/>
              <w:autoSpaceDN w:val="0"/>
              <w:adjustRightInd w:val="0"/>
              <w:jc w:val="left"/>
              <w:rPr>
                <w:rFonts w:ascii="黑体" w:eastAsia="黑体" w:hAnsi="黑体"/>
                <w:kern w:val="0"/>
                <w:sz w:val="20"/>
                <w:szCs w:val="20"/>
              </w:rPr>
            </w:pPr>
            <w:r>
              <w:rPr>
                <w:rFonts w:ascii="黑体" w:eastAsia="黑体" w:hAnsi="黑体" w:hint="eastAsia"/>
                <w:kern w:val="0"/>
                <w:sz w:val="20"/>
                <w:szCs w:val="20"/>
              </w:rPr>
              <w:t>当</w:t>
            </w:r>
            <w:r>
              <w:rPr>
                <w:rFonts w:ascii="黑体" w:eastAsia="黑体" w:hAnsi="黑体"/>
                <w:kern w:val="0"/>
                <w:sz w:val="20"/>
                <w:szCs w:val="20"/>
              </w:rPr>
              <w:t>A0108</w:t>
            </w:r>
            <w:r>
              <w:rPr>
                <w:rFonts w:ascii="黑体" w:eastAsia="黑体" w:hAnsi="黑体" w:hint="eastAsia"/>
                <w:kern w:val="0"/>
                <w:sz w:val="20"/>
                <w:szCs w:val="20"/>
              </w:rPr>
              <w:t>≥</w:t>
            </w:r>
            <w:r>
              <w:rPr>
                <w:rFonts w:ascii="黑体" w:eastAsia="黑体" w:hAnsi="黑体"/>
                <w:kern w:val="0"/>
                <w:sz w:val="20"/>
                <w:szCs w:val="20"/>
              </w:rPr>
              <w:t>10</w:t>
            </w:r>
            <w:r>
              <w:rPr>
                <w:rFonts w:ascii="黑体" w:eastAsia="黑体" w:hAnsi="黑体" w:hint="eastAsia"/>
                <w:kern w:val="0"/>
                <w:sz w:val="20"/>
                <w:szCs w:val="20"/>
              </w:rPr>
              <w:t>（</w:t>
            </w:r>
            <w:r>
              <w:rPr>
                <w:rFonts w:ascii="黑体" w:eastAsia="黑体" w:hAnsi="黑体"/>
                <w:kern w:val="0"/>
                <w:sz w:val="20"/>
                <w:szCs w:val="20"/>
              </w:rPr>
              <w:t>%</w:t>
            </w:r>
            <w:r>
              <w:rPr>
                <w:rFonts w:ascii="黑体" w:eastAsia="黑体" w:hAnsi="黑体" w:hint="eastAsia"/>
                <w:kern w:val="0"/>
                <w:sz w:val="20"/>
                <w:szCs w:val="20"/>
              </w:rPr>
              <w:t>）时：</w:t>
            </w:r>
          </w:p>
          <w:p w14:paraId="6772C0B7" w14:textId="77777777" w:rsidR="00A052DC" w:rsidRDefault="009F0A60">
            <w:pPr>
              <w:autoSpaceDE w:val="0"/>
              <w:autoSpaceDN w:val="0"/>
              <w:adjustRightInd w:val="0"/>
              <w:ind w:firstLineChars="100" w:firstLine="200"/>
              <w:jc w:val="left"/>
              <w:rPr>
                <w:rFonts w:ascii="黑体" w:eastAsia="黑体" w:hAnsi="黑体"/>
                <w:kern w:val="0"/>
                <w:sz w:val="20"/>
                <w:szCs w:val="20"/>
              </w:rPr>
            </w:pPr>
            <w:r>
              <w:rPr>
                <w:rFonts w:ascii="黑体" w:eastAsia="黑体" w:hAnsi="黑体"/>
                <w:kern w:val="0"/>
                <w:sz w:val="20"/>
                <w:szCs w:val="20"/>
              </w:rPr>
              <w:t>A0105=1</w:t>
            </w:r>
            <w:r>
              <w:rPr>
                <w:rFonts w:ascii="黑体" w:eastAsia="黑体" w:hAnsi="黑体" w:hint="eastAsia"/>
                <w:kern w:val="0"/>
                <w:sz w:val="20"/>
                <w:szCs w:val="20"/>
              </w:rPr>
              <w:t>或</w:t>
            </w:r>
            <w:r>
              <w:rPr>
                <w:rFonts w:ascii="黑体" w:eastAsia="黑体" w:hAnsi="黑体"/>
                <w:kern w:val="0"/>
                <w:sz w:val="20"/>
                <w:szCs w:val="20"/>
              </w:rPr>
              <w:t>2</w:t>
            </w:r>
            <w:r>
              <w:rPr>
                <w:rFonts w:ascii="黑体" w:eastAsia="黑体" w:hAnsi="黑体" w:hint="eastAsia"/>
                <w:kern w:val="0"/>
                <w:sz w:val="20"/>
                <w:szCs w:val="20"/>
              </w:rPr>
              <w:t>时，</w:t>
            </w:r>
            <w:r>
              <w:rPr>
                <w:rFonts w:ascii="黑体" w:eastAsia="黑体" w:hAnsi="黑体"/>
                <w:kern w:val="0"/>
                <w:sz w:val="20"/>
                <w:szCs w:val="20"/>
              </w:rPr>
              <w:t>50</w:t>
            </w:r>
            <w:r>
              <w:rPr>
                <w:rFonts w:ascii="黑体" w:eastAsia="黑体" w:hAnsi="黑体" w:hint="eastAsia"/>
                <w:kern w:val="0"/>
                <w:sz w:val="20"/>
                <w:szCs w:val="20"/>
              </w:rPr>
              <w:t>＜</w:t>
            </w:r>
            <w:r>
              <w:rPr>
                <w:rFonts w:ascii="黑体" w:eastAsia="黑体" w:hAnsi="黑体"/>
                <w:kern w:val="0"/>
                <w:sz w:val="20"/>
                <w:szCs w:val="20"/>
              </w:rPr>
              <w:t>A0108</w:t>
            </w:r>
            <w:r>
              <w:rPr>
                <w:rFonts w:ascii="黑体" w:eastAsia="黑体" w:hAnsi="黑体" w:hint="eastAsia"/>
                <w:kern w:val="0"/>
                <w:sz w:val="20"/>
                <w:szCs w:val="20"/>
              </w:rPr>
              <w:t>≤</w:t>
            </w:r>
            <w:r>
              <w:rPr>
                <w:rFonts w:ascii="黑体" w:eastAsia="黑体" w:hAnsi="黑体"/>
                <w:kern w:val="0"/>
                <w:sz w:val="20"/>
                <w:szCs w:val="20"/>
              </w:rPr>
              <w:t>100</w:t>
            </w:r>
            <w:r>
              <w:rPr>
                <w:rFonts w:ascii="黑体" w:eastAsia="黑体" w:hAnsi="黑体" w:hint="eastAsia"/>
                <w:kern w:val="0"/>
                <w:sz w:val="20"/>
                <w:szCs w:val="20"/>
              </w:rPr>
              <w:t>。</w:t>
            </w:r>
          </w:p>
          <w:p w14:paraId="38580CC4" w14:textId="77777777" w:rsidR="00A052DC" w:rsidRDefault="009F0A60">
            <w:pPr>
              <w:ind w:firstLineChars="100" w:firstLine="200"/>
              <w:rPr>
                <w:rFonts w:ascii="黑体" w:eastAsia="黑体" w:hAnsi="黑体"/>
                <w:sz w:val="20"/>
                <w:szCs w:val="20"/>
              </w:rPr>
            </w:pPr>
            <w:r>
              <w:rPr>
                <w:rFonts w:ascii="黑体" w:eastAsia="黑体" w:hAnsi="黑体"/>
                <w:kern w:val="0"/>
                <w:sz w:val="20"/>
                <w:szCs w:val="20"/>
              </w:rPr>
              <w:t>A0105=3</w:t>
            </w:r>
            <w:r>
              <w:rPr>
                <w:rFonts w:ascii="黑体" w:eastAsia="黑体" w:hAnsi="黑体" w:hint="eastAsia"/>
                <w:kern w:val="0"/>
                <w:sz w:val="20"/>
                <w:szCs w:val="20"/>
              </w:rPr>
              <w:t>时，</w:t>
            </w:r>
            <w:r>
              <w:rPr>
                <w:rFonts w:ascii="黑体" w:eastAsia="黑体" w:hAnsi="黑体"/>
                <w:kern w:val="0"/>
                <w:sz w:val="20"/>
                <w:szCs w:val="20"/>
              </w:rPr>
              <w:t>10</w:t>
            </w:r>
            <w:r>
              <w:rPr>
                <w:rFonts w:ascii="黑体" w:eastAsia="黑体" w:hAnsi="黑体" w:hint="eastAsia"/>
                <w:kern w:val="0"/>
                <w:sz w:val="20"/>
                <w:szCs w:val="20"/>
              </w:rPr>
              <w:t>≤</w:t>
            </w:r>
            <w:r>
              <w:rPr>
                <w:rFonts w:ascii="黑体" w:eastAsia="黑体" w:hAnsi="黑体"/>
                <w:kern w:val="0"/>
                <w:sz w:val="20"/>
                <w:szCs w:val="20"/>
              </w:rPr>
              <w:t>A0108</w:t>
            </w:r>
            <w:r>
              <w:rPr>
                <w:rFonts w:ascii="黑体" w:eastAsia="黑体" w:hAnsi="黑体" w:hint="eastAsia"/>
                <w:kern w:val="0"/>
                <w:sz w:val="20"/>
                <w:szCs w:val="20"/>
              </w:rPr>
              <w:t>≤</w:t>
            </w:r>
            <w:r>
              <w:rPr>
                <w:rFonts w:ascii="黑体" w:eastAsia="黑体" w:hAnsi="黑体"/>
                <w:kern w:val="0"/>
                <w:sz w:val="20"/>
                <w:szCs w:val="20"/>
              </w:rPr>
              <w:t>50</w:t>
            </w:r>
            <w:r>
              <w:rPr>
                <w:rFonts w:ascii="黑体" w:eastAsia="黑体" w:hAnsi="黑体" w:hint="eastAsia"/>
                <w:kern w:val="0"/>
                <w:sz w:val="20"/>
                <w:szCs w:val="20"/>
              </w:rPr>
              <w:t>。</w:t>
            </w:r>
          </w:p>
        </w:tc>
      </w:tr>
      <w:tr w:rsidR="00A052DC" w14:paraId="07ADA752" w14:textId="77777777">
        <w:trPr>
          <w:jc w:val="center"/>
        </w:trPr>
        <w:tc>
          <w:tcPr>
            <w:tcW w:w="1371" w:type="dxa"/>
            <w:shd w:val="clear" w:color="auto" w:fill="auto"/>
            <w:noWrap/>
          </w:tcPr>
          <w:p w14:paraId="6C719FDA" w14:textId="77777777" w:rsidR="00A052DC" w:rsidRDefault="009F0A60">
            <w:pPr>
              <w:pStyle w:val="B"/>
              <w:widowControl w:val="0"/>
              <w:rPr>
                <w:szCs w:val="20"/>
              </w:rPr>
            </w:pPr>
            <w:r>
              <w:rPr>
                <w:szCs w:val="20"/>
              </w:rPr>
              <w:t>A0106</w:t>
            </w:r>
          </w:p>
        </w:tc>
        <w:tc>
          <w:tcPr>
            <w:tcW w:w="1985" w:type="dxa"/>
            <w:shd w:val="clear" w:color="auto" w:fill="auto"/>
          </w:tcPr>
          <w:p w14:paraId="5E0E5CA3" w14:textId="77777777" w:rsidR="00A052DC" w:rsidRDefault="009F0A60">
            <w:pPr>
              <w:pStyle w:val="B"/>
              <w:widowControl w:val="0"/>
              <w:rPr>
                <w:szCs w:val="20"/>
              </w:rPr>
            </w:pPr>
            <w:r>
              <w:rPr>
                <w:szCs w:val="20"/>
              </w:rPr>
              <w:t>境外被投资机构</w:t>
            </w:r>
            <w:r>
              <w:rPr>
                <w:rFonts w:hint="eastAsia"/>
              </w:rPr>
              <w:t>最终控制方全称</w:t>
            </w:r>
          </w:p>
        </w:tc>
        <w:tc>
          <w:tcPr>
            <w:tcW w:w="1559" w:type="dxa"/>
            <w:shd w:val="clear" w:color="auto" w:fill="auto"/>
            <w:noWrap/>
          </w:tcPr>
          <w:p w14:paraId="6804CF86" w14:textId="77777777" w:rsidR="00A052DC" w:rsidRDefault="009F0A60">
            <w:pPr>
              <w:pStyle w:val="B"/>
              <w:widowControl w:val="0"/>
              <w:rPr>
                <w:szCs w:val="20"/>
              </w:rPr>
            </w:pPr>
            <w:r>
              <w:rPr>
                <w:rFonts w:hint="eastAsia"/>
                <w:szCs w:val="20"/>
              </w:rPr>
              <w:t>字符型，</w:t>
            </w:r>
            <w:r>
              <w:rPr>
                <w:szCs w:val="20"/>
              </w:rPr>
              <w:t>256</w:t>
            </w:r>
          </w:p>
        </w:tc>
        <w:tc>
          <w:tcPr>
            <w:tcW w:w="3580" w:type="dxa"/>
          </w:tcPr>
          <w:p w14:paraId="1B9A409E" w14:textId="77777777" w:rsidR="00A052DC" w:rsidRDefault="009F0A60">
            <w:pPr>
              <w:pStyle w:val="B"/>
              <w:widowControl w:val="0"/>
              <w:rPr>
                <w:szCs w:val="20"/>
              </w:rPr>
            </w:pPr>
            <w:r>
              <w:rPr>
                <w:rFonts w:hint="eastAsia"/>
                <w:szCs w:val="20"/>
              </w:rPr>
              <w:t>必填项。如存在最终控制方，则据实填写；如不存在最终控制方，则填写“</w:t>
            </w:r>
            <w:r>
              <w:rPr>
                <w:szCs w:val="20"/>
              </w:rPr>
              <w:t>N/A</w:t>
            </w:r>
            <w:r>
              <w:rPr>
                <w:rFonts w:hint="eastAsia"/>
                <w:szCs w:val="20"/>
              </w:rPr>
              <w:t>”。</w:t>
            </w:r>
          </w:p>
        </w:tc>
      </w:tr>
      <w:tr w:rsidR="00A052DC" w14:paraId="05DE9E14" w14:textId="77777777">
        <w:trPr>
          <w:jc w:val="center"/>
        </w:trPr>
        <w:tc>
          <w:tcPr>
            <w:tcW w:w="1371" w:type="dxa"/>
            <w:shd w:val="clear" w:color="auto" w:fill="auto"/>
            <w:noWrap/>
          </w:tcPr>
          <w:p w14:paraId="2BF8B7ED" w14:textId="77777777" w:rsidR="00A052DC" w:rsidRDefault="009F0A60">
            <w:pPr>
              <w:pStyle w:val="B"/>
              <w:widowControl w:val="0"/>
              <w:rPr>
                <w:szCs w:val="20"/>
              </w:rPr>
            </w:pPr>
            <w:r>
              <w:rPr>
                <w:szCs w:val="20"/>
              </w:rPr>
              <w:t>A0107</w:t>
            </w:r>
          </w:p>
        </w:tc>
        <w:tc>
          <w:tcPr>
            <w:tcW w:w="1985" w:type="dxa"/>
            <w:shd w:val="clear" w:color="auto" w:fill="auto"/>
          </w:tcPr>
          <w:p w14:paraId="7FB4CF58" w14:textId="77777777" w:rsidR="00A052DC" w:rsidRDefault="009F0A60">
            <w:pPr>
              <w:pStyle w:val="B"/>
              <w:widowControl w:val="0"/>
              <w:rPr>
                <w:szCs w:val="20"/>
              </w:rPr>
            </w:pPr>
            <w:r>
              <w:rPr>
                <w:szCs w:val="20"/>
              </w:rPr>
              <w:t>境外被投资机构</w:t>
            </w:r>
            <w:r>
              <w:rPr>
                <w:rFonts w:hint="eastAsia"/>
              </w:rPr>
              <w:t>最终控制方所属国家</w:t>
            </w:r>
            <w:r>
              <w:t>/</w:t>
            </w:r>
            <w:r>
              <w:rPr>
                <w:rFonts w:hint="eastAsia"/>
              </w:rPr>
              <w:t>地区</w:t>
            </w:r>
          </w:p>
        </w:tc>
        <w:tc>
          <w:tcPr>
            <w:tcW w:w="1559" w:type="dxa"/>
            <w:shd w:val="clear" w:color="auto" w:fill="auto"/>
            <w:noWrap/>
          </w:tcPr>
          <w:p w14:paraId="56835169" w14:textId="77777777" w:rsidR="00A052DC" w:rsidRDefault="009F0A60">
            <w:pPr>
              <w:pStyle w:val="B"/>
              <w:widowControl w:val="0"/>
              <w:rPr>
                <w:szCs w:val="20"/>
              </w:rPr>
            </w:pPr>
            <w:r>
              <w:rPr>
                <w:rFonts w:hint="eastAsia"/>
                <w:szCs w:val="20"/>
              </w:rPr>
              <w:t>字符型，</w:t>
            </w:r>
            <w:r>
              <w:rPr>
                <w:szCs w:val="20"/>
              </w:rPr>
              <w:t>3</w:t>
            </w:r>
          </w:p>
        </w:tc>
        <w:tc>
          <w:tcPr>
            <w:tcW w:w="3580" w:type="dxa"/>
          </w:tcPr>
          <w:p w14:paraId="06D71F76" w14:textId="77777777" w:rsidR="00A052DC" w:rsidRDefault="009F0A60">
            <w:pPr>
              <w:pStyle w:val="B"/>
              <w:widowControl w:val="0"/>
              <w:rPr>
                <w:szCs w:val="20"/>
              </w:rPr>
            </w:pPr>
            <w:r>
              <w:rPr>
                <w:rFonts w:hint="eastAsia"/>
                <w:szCs w:val="20"/>
              </w:rPr>
              <w:t>非必填项。如</w:t>
            </w:r>
            <w:r>
              <w:rPr>
                <w:szCs w:val="20"/>
              </w:rPr>
              <w:t>A0106</w:t>
            </w:r>
            <w:r>
              <w:rPr>
                <w:rFonts w:hint="eastAsia"/>
                <w:szCs w:val="20"/>
              </w:rPr>
              <w:t>≠</w:t>
            </w:r>
            <w:r>
              <w:rPr>
                <w:szCs w:val="20"/>
              </w:rPr>
              <w:t>N/A</w:t>
            </w:r>
            <w:r>
              <w:rPr>
                <w:rFonts w:hint="eastAsia"/>
                <w:szCs w:val="20"/>
              </w:rPr>
              <w:t>，为必填项，见国家和地区代码表的</w:t>
            </w:r>
            <w:r>
              <w:rPr>
                <w:szCs w:val="20"/>
              </w:rPr>
              <w:t>3</w:t>
            </w:r>
            <w:r>
              <w:rPr>
                <w:rFonts w:hint="eastAsia"/>
                <w:szCs w:val="20"/>
              </w:rPr>
              <w:t>位字母代码；如</w:t>
            </w:r>
            <w:r>
              <w:rPr>
                <w:szCs w:val="20"/>
              </w:rPr>
              <w:t>A0106=N/A</w:t>
            </w:r>
            <w:r>
              <w:rPr>
                <w:rFonts w:hint="eastAsia"/>
                <w:szCs w:val="20"/>
              </w:rPr>
              <w:t>，此项为空。</w:t>
            </w:r>
          </w:p>
        </w:tc>
      </w:tr>
      <w:tr w:rsidR="00A052DC" w14:paraId="55B2EA55" w14:textId="77777777">
        <w:trPr>
          <w:jc w:val="center"/>
        </w:trPr>
        <w:tc>
          <w:tcPr>
            <w:tcW w:w="1371" w:type="dxa"/>
            <w:shd w:val="clear" w:color="auto" w:fill="auto"/>
            <w:noWrap/>
          </w:tcPr>
          <w:p w14:paraId="48631F2F" w14:textId="77777777" w:rsidR="00A052DC" w:rsidRDefault="009F0A60">
            <w:pPr>
              <w:pStyle w:val="B"/>
              <w:widowControl w:val="0"/>
              <w:rPr>
                <w:szCs w:val="20"/>
              </w:rPr>
            </w:pPr>
            <w:r>
              <w:rPr>
                <w:szCs w:val="20"/>
              </w:rPr>
              <w:t>A0108</w:t>
            </w:r>
          </w:p>
        </w:tc>
        <w:tc>
          <w:tcPr>
            <w:tcW w:w="1985" w:type="dxa"/>
            <w:shd w:val="clear" w:color="auto" w:fill="auto"/>
          </w:tcPr>
          <w:p w14:paraId="1DB03793" w14:textId="77777777" w:rsidR="00A052DC" w:rsidRDefault="009F0A60">
            <w:pPr>
              <w:pStyle w:val="B"/>
              <w:widowControl w:val="0"/>
              <w:rPr>
                <w:szCs w:val="20"/>
              </w:rPr>
            </w:pPr>
            <w:r>
              <w:rPr>
                <w:rFonts w:hint="eastAsia"/>
                <w:szCs w:val="20"/>
              </w:rPr>
              <w:t>期末（申报主体）表决权比例（</w:t>
            </w:r>
            <w:r>
              <w:rPr>
                <w:szCs w:val="20"/>
              </w:rPr>
              <w:t>%</w:t>
            </w:r>
            <w:r>
              <w:rPr>
                <w:rFonts w:hint="eastAsia"/>
                <w:szCs w:val="20"/>
              </w:rPr>
              <w:t>）</w:t>
            </w:r>
          </w:p>
        </w:tc>
        <w:tc>
          <w:tcPr>
            <w:tcW w:w="1559" w:type="dxa"/>
            <w:shd w:val="clear" w:color="auto" w:fill="auto"/>
            <w:noWrap/>
          </w:tcPr>
          <w:p w14:paraId="0C50D2A7" w14:textId="77777777" w:rsidR="00A052DC" w:rsidRDefault="009F0A60">
            <w:pPr>
              <w:pStyle w:val="B"/>
              <w:widowControl w:val="0"/>
              <w:rPr>
                <w:szCs w:val="20"/>
              </w:rPr>
            </w:pPr>
            <w:r>
              <w:rPr>
                <w:rFonts w:hint="eastAsia"/>
                <w:szCs w:val="20"/>
              </w:rPr>
              <w:t>数值型，</w:t>
            </w:r>
            <w:r>
              <w:rPr>
                <w:szCs w:val="20"/>
              </w:rPr>
              <w:t>22.2</w:t>
            </w:r>
          </w:p>
        </w:tc>
        <w:tc>
          <w:tcPr>
            <w:tcW w:w="3580" w:type="dxa"/>
          </w:tcPr>
          <w:p w14:paraId="13AE18C1" w14:textId="77777777" w:rsidR="00A052DC" w:rsidRDefault="009F0A60" w:rsidP="00FE361F">
            <w:pPr>
              <w:pStyle w:val="B"/>
              <w:widowControl w:val="0"/>
              <w:rPr>
                <w:szCs w:val="20"/>
              </w:rPr>
            </w:pPr>
            <w:r>
              <w:rPr>
                <w:rFonts w:hint="eastAsia"/>
                <w:szCs w:val="20"/>
              </w:rPr>
              <w:t>必填项，必须满足：</w:t>
            </w:r>
          </w:p>
          <w:p w14:paraId="18F84D8D" w14:textId="77777777" w:rsidR="00A052DC" w:rsidRDefault="009F0A60" w:rsidP="00FE361F">
            <w:pPr>
              <w:pStyle w:val="B"/>
              <w:widowControl w:val="0"/>
              <w:rPr>
                <w:szCs w:val="20"/>
              </w:rPr>
            </w:pPr>
            <w:r>
              <w:rPr>
                <w:szCs w:val="20"/>
              </w:rPr>
              <w:t>0</w:t>
            </w:r>
            <w:r>
              <w:rPr>
                <w:rFonts w:hint="eastAsia"/>
                <w:szCs w:val="20"/>
              </w:rPr>
              <w:t>≤</w:t>
            </w:r>
            <w:r>
              <w:rPr>
                <w:szCs w:val="20"/>
              </w:rPr>
              <w:t>A0108</w:t>
            </w:r>
            <w:r>
              <w:rPr>
                <w:rFonts w:hint="eastAsia"/>
                <w:szCs w:val="20"/>
              </w:rPr>
              <w:t>≤</w:t>
            </w:r>
            <w:r>
              <w:rPr>
                <w:szCs w:val="20"/>
              </w:rPr>
              <w:t>100</w:t>
            </w:r>
            <w:r>
              <w:rPr>
                <w:rFonts w:hint="eastAsia"/>
                <w:szCs w:val="20"/>
              </w:rPr>
              <w:t>，精确到小数点后两位。</w:t>
            </w:r>
          </w:p>
          <w:p w14:paraId="08C3DEDC" w14:textId="77777777" w:rsidR="00A052DC" w:rsidRDefault="009F0A60" w:rsidP="00FE361F">
            <w:pPr>
              <w:rPr>
                <w:rFonts w:ascii="黑体" w:eastAsia="黑体" w:hAnsi="黑体"/>
                <w:sz w:val="20"/>
                <w:szCs w:val="20"/>
              </w:rPr>
            </w:pPr>
            <w:r>
              <w:rPr>
                <w:rFonts w:ascii="黑体" w:eastAsia="黑体" w:hAnsi="黑体"/>
                <w:kern w:val="0"/>
                <w:sz w:val="20"/>
                <w:szCs w:val="20"/>
              </w:rPr>
              <w:t>A0113</w:t>
            </w:r>
            <w:r>
              <w:rPr>
                <w:rFonts w:ascii="黑体" w:eastAsia="黑体" w:hAnsi="黑体" w:hint="eastAsia"/>
                <w:kern w:val="0"/>
                <w:sz w:val="20"/>
                <w:szCs w:val="20"/>
              </w:rPr>
              <w:t>至</w:t>
            </w:r>
            <w:r>
              <w:rPr>
                <w:rFonts w:ascii="黑体" w:eastAsia="黑体" w:hAnsi="黑体"/>
                <w:kern w:val="0"/>
                <w:sz w:val="20"/>
                <w:szCs w:val="20"/>
              </w:rPr>
              <w:t>A0</w:t>
            </w:r>
            <w:r>
              <w:rPr>
                <w:rFonts w:ascii="黑体" w:eastAsia="黑体" w:hAnsi="黑体" w:hint="eastAsia"/>
                <w:kern w:val="0"/>
                <w:sz w:val="20"/>
                <w:szCs w:val="20"/>
              </w:rPr>
              <w:t>125均为</w:t>
            </w:r>
            <w:r>
              <w:rPr>
                <w:rFonts w:ascii="黑体" w:eastAsia="黑体" w:hAnsi="黑体"/>
                <w:kern w:val="0"/>
                <w:sz w:val="20"/>
                <w:szCs w:val="20"/>
              </w:rPr>
              <w:t>0</w:t>
            </w:r>
            <w:r>
              <w:rPr>
                <w:rFonts w:ascii="黑体" w:eastAsia="黑体" w:hAnsi="黑体" w:hint="eastAsia"/>
                <w:kern w:val="0"/>
                <w:sz w:val="20"/>
                <w:szCs w:val="20"/>
              </w:rPr>
              <w:t>（只适用于当月因撤资等原因，持有被投资机构表决权比例＜</w:t>
            </w:r>
            <w:r>
              <w:rPr>
                <w:rFonts w:ascii="黑体" w:eastAsia="黑体" w:hAnsi="黑体"/>
                <w:kern w:val="0"/>
                <w:sz w:val="20"/>
                <w:szCs w:val="20"/>
              </w:rPr>
              <w:t>10%</w:t>
            </w:r>
            <w:r>
              <w:rPr>
                <w:rFonts w:ascii="黑体" w:eastAsia="黑体" w:hAnsi="黑体" w:hint="eastAsia"/>
                <w:kern w:val="0"/>
                <w:sz w:val="20"/>
                <w:szCs w:val="20"/>
              </w:rPr>
              <w:t>的情况﹞。</w:t>
            </w:r>
          </w:p>
          <w:p w14:paraId="5D496015" w14:textId="77777777" w:rsidR="00A052DC" w:rsidRDefault="009F0A60" w:rsidP="00FE361F">
            <w:pPr>
              <w:spacing w:after="156"/>
              <w:rPr>
                <w:rFonts w:ascii="黑体" w:eastAsia="黑体" w:hAnsi="黑体"/>
                <w:kern w:val="0"/>
                <w:sz w:val="20"/>
                <w:szCs w:val="20"/>
              </w:rPr>
            </w:pPr>
            <w:r>
              <w:rPr>
                <w:rFonts w:ascii="黑体" w:eastAsia="黑体" w:hAnsi="黑体" w:hint="eastAsia"/>
                <w:kern w:val="0"/>
                <w:sz w:val="20"/>
                <w:szCs w:val="20"/>
              </w:rPr>
              <w:t>当</w:t>
            </w:r>
            <w:r>
              <w:rPr>
                <w:rFonts w:ascii="黑体" w:eastAsia="黑体" w:hAnsi="黑体"/>
                <w:kern w:val="0"/>
                <w:sz w:val="20"/>
                <w:szCs w:val="20"/>
              </w:rPr>
              <w:t>A0108</w:t>
            </w:r>
            <w:r>
              <w:rPr>
                <w:rFonts w:ascii="黑体" w:eastAsia="黑体" w:hAnsi="黑体" w:hint="eastAsia"/>
                <w:kern w:val="0"/>
                <w:sz w:val="20"/>
                <w:szCs w:val="20"/>
              </w:rPr>
              <w:t>≥</w:t>
            </w:r>
            <w:r>
              <w:rPr>
                <w:rFonts w:ascii="黑体" w:eastAsia="黑体" w:hAnsi="黑体"/>
                <w:kern w:val="0"/>
                <w:sz w:val="20"/>
                <w:szCs w:val="20"/>
              </w:rPr>
              <w:t>10</w:t>
            </w:r>
            <w:r>
              <w:rPr>
                <w:rFonts w:ascii="黑体" w:eastAsia="黑体" w:hAnsi="黑体" w:hint="eastAsia"/>
                <w:kern w:val="0"/>
                <w:sz w:val="20"/>
                <w:szCs w:val="20"/>
              </w:rPr>
              <w:t>（</w:t>
            </w:r>
            <w:r>
              <w:rPr>
                <w:rFonts w:ascii="黑体" w:eastAsia="黑体" w:hAnsi="黑体"/>
                <w:kern w:val="0"/>
                <w:sz w:val="20"/>
                <w:szCs w:val="20"/>
              </w:rPr>
              <w:t>%</w:t>
            </w:r>
            <w:r>
              <w:rPr>
                <w:rFonts w:ascii="黑体" w:eastAsia="黑体" w:hAnsi="黑体" w:hint="eastAsia"/>
                <w:kern w:val="0"/>
                <w:sz w:val="20"/>
                <w:szCs w:val="20"/>
              </w:rPr>
              <w:t>）时：</w:t>
            </w:r>
          </w:p>
          <w:p w14:paraId="62F7EE60" w14:textId="77777777" w:rsidR="00A052DC" w:rsidRDefault="009F0A60" w:rsidP="00FE361F">
            <w:pPr>
              <w:spacing w:after="156"/>
              <w:rPr>
                <w:rFonts w:ascii="黑体" w:eastAsia="黑体" w:hAnsi="黑体"/>
                <w:kern w:val="0"/>
                <w:sz w:val="20"/>
                <w:szCs w:val="20"/>
              </w:rPr>
            </w:pPr>
            <w:r>
              <w:rPr>
                <w:rFonts w:ascii="黑体" w:eastAsia="黑体" w:hAnsi="黑体"/>
                <w:kern w:val="0"/>
                <w:sz w:val="20"/>
                <w:szCs w:val="20"/>
              </w:rPr>
              <w:t>A0105=1</w:t>
            </w:r>
            <w:r>
              <w:rPr>
                <w:rFonts w:ascii="黑体" w:eastAsia="黑体" w:hAnsi="黑体" w:hint="eastAsia"/>
                <w:kern w:val="0"/>
                <w:sz w:val="20"/>
                <w:szCs w:val="20"/>
              </w:rPr>
              <w:t>或</w:t>
            </w:r>
            <w:r>
              <w:rPr>
                <w:rFonts w:ascii="黑体" w:eastAsia="黑体" w:hAnsi="黑体"/>
                <w:kern w:val="0"/>
                <w:sz w:val="20"/>
                <w:szCs w:val="20"/>
              </w:rPr>
              <w:t>2</w:t>
            </w:r>
            <w:r>
              <w:rPr>
                <w:rFonts w:ascii="黑体" w:eastAsia="黑体" w:hAnsi="黑体" w:hint="eastAsia"/>
                <w:kern w:val="0"/>
                <w:sz w:val="20"/>
                <w:szCs w:val="20"/>
              </w:rPr>
              <w:t>时，</w:t>
            </w:r>
            <w:r>
              <w:rPr>
                <w:rFonts w:ascii="黑体" w:eastAsia="黑体" w:hAnsi="黑体"/>
                <w:kern w:val="0"/>
                <w:sz w:val="20"/>
                <w:szCs w:val="20"/>
              </w:rPr>
              <w:t>50</w:t>
            </w:r>
            <w:r>
              <w:rPr>
                <w:rFonts w:ascii="黑体" w:eastAsia="黑体" w:hAnsi="黑体" w:hint="eastAsia"/>
                <w:kern w:val="0"/>
                <w:sz w:val="20"/>
                <w:szCs w:val="20"/>
              </w:rPr>
              <w:t>＜</w:t>
            </w:r>
            <w:r>
              <w:rPr>
                <w:rFonts w:ascii="黑体" w:eastAsia="黑体" w:hAnsi="黑体"/>
                <w:kern w:val="0"/>
                <w:sz w:val="20"/>
                <w:szCs w:val="20"/>
              </w:rPr>
              <w:t>A0108</w:t>
            </w:r>
            <w:r>
              <w:rPr>
                <w:rFonts w:ascii="黑体" w:eastAsia="黑体" w:hAnsi="黑体" w:hint="eastAsia"/>
                <w:kern w:val="0"/>
                <w:sz w:val="20"/>
                <w:szCs w:val="20"/>
              </w:rPr>
              <w:t>≤</w:t>
            </w:r>
            <w:r>
              <w:rPr>
                <w:rFonts w:ascii="黑体" w:eastAsia="黑体" w:hAnsi="黑体"/>
                <w:kern w:val="0"/>
                <w:sz w:val="20"/>
                <w:szCs w:val="20"/>
              </w:rPr>
              <w:t>100</w:t>
            </w:r>
            <w:r>
              <w:rPr>
                <w:rFonts w:ascii="黑体" w:eastAsia="黑体" w:hAnsi="黑体" w:hint="eastAsia"/>
                <w:kern w:val="0"/>
                <w:sz w:val="20"/>
                <w:szCs w:val="20"/>
              </w:rPr>
              <w:t>。</w:t>
            </w:r>
          </w:p>
          <w:p w14:paraId="5C80D687" w14:textId="77777777" w:rsidR="00A052DC" w:rsidRDefault="009F0A60" w:rsidP="00FE361F">
            <w:pPr>
              <w:rPr>
                <w:rFonts w:ascii="黑体" w:eastAsia="黑体" w:hAnsi="黑体"/>
                <w:sz w:val="20"/>
                <w:szCs w:val="20"/>
              </w:rPr>
            </w:pPr>
            <w:r>
              <w:rPr>
                <w:rFonts w:ascii="黑体" w:eastAsia="黑体" w:hAnsi="黑体"/>
                <w:kern w:val="0"/>
                <w:sz w:val="20"/>
                <w:szCs w:val="20"/>
              </w:rPr>
              <w:t>A0105=3</w:t>
            </w:r>
            <w:r>
              <w:rPr>
                <w:rFonts w:ascii="黑体" w:eastAsia="黑体" w:hAnsi="黑体" w:hint="eastAsia"/>
                <w:kern w:val="0"/>
                <w:sz w:val="20"/>
                <w:szCs w:val="20"/>
              </w:rPr>
              <w:t>时，</w:t>
            </w:r>
            <w:r>
              <w:rPr>
                <w:rFonts w:ascii="黑体" w:eastAsia="黑体" w:hAnsi="黑体"/>
                <w:kern w:val="0"/>
                <w:sz w:val="20"/>
                <w:szCs w:val="20"/>
              </w:rPr>
              <w:t>10</w:t>
            </w:r>
            <w:r>
              <w:rPr>
                <w:rFonts w:ascii="黑体" w:eastAsia="黑体" w:hAnsi="黑体" w:hint="eastAsia"/>
                <w:kern w:val="0"/>
                <w:sz w:val="20"/>
                <w:szCs w:val="20"/>
              </w:rPr>
              <w:t>≤</w:t>
            </w:r>
            <w:r>
              <w:rPr>
                <w:rFonts w:ascii="黑体" w:eastAsia="黑体" w:hAnsi="黑体"/>
                <w:kern w:val="0"/>
                <w:sz w:val="20"/>
                <w:szCs w:val="20"/>
              </w:rPr>
              <w:t>A0108</w:t>
            </w:r>
            <w:r>
              <w:rPr>
                <w:rFonts w:ascii="黑体" w:eastAsia="黑体" w:hAnsi="黑体" w:hint="eastAsia"/>
                <w:kern w:val="0"/>
                <w:sz w:val="20"/>
                <w:szCs w:val="20"/>
              </w:rPr>
              <w:t>≤</w:t>
            </w:r>
            <w:r>
              <w:rPr>
                <w:rFonts w:ascii="黑体" w:eastAsia="黑体" w:hAnsi="黑体"/>
                <w:kern w:val="0"/>
                <w:sz w:val="20"/>
                <w:szCs w:val="20"/>
              </w:rPr>
              <w:t>50</w:t>
            </w:r>
            <w:r>
              <w:rPr>
                <w:rFonts w:ascii="黑体" w:eastAsia="黑体" w:hAnsi="黑体" w:hint="eastAsia"/>
                <w:kern w:val="0"/>
                <w:sz w:val="20"/>
                <w:szCs w:val="20"/>
              </w:rPr>
              <w:t>。</w:t>
            </w:r>
          </w:p>
        </w:tc>
      </w:tr>
      <w:tr w:rsidR="00A052DC" w14:paraId="436AF5F2" w14:textId="77777777">
        <w:trPr>
          <w:jc w:val="center"/>
        </w:trPr>
        <w:tc>
          <w:tcPr>
            <w:tcW w:w="1371" w:type="dxa"/>
            <w:shd w:val="clear" w:color="auto" w:fill="auto"/>
            <w:noWrap/>
          </w:tcPr>
          <w:p w14:paraId="4BD4B14B" w14:textId="77777777" w:rsidR="00A052DC" w:rsidRDefault="009F0A60">
            <w:pPr>
              <w:pStyle w:val="B"/>
              <w:widowControl w:val="0"/>
              <w:rPr>
                <w:szCs w:val="20"/>
              </w:rPr>
            </w:pPr>
            <w:r>
              <w:rPr>
                <w:szCs w:val="20"/>
              </w:rPr>
              <w:t>A0109</w:t>
            </w:r>
          </w:p>
        </w:tc>
        <w:tc>
          <w:tcPr>
            <w:tcW w:w="1985" w:type="dxa"/>
            <w:shd w:val="clear" w:color="auto" w:fill="auto"/>
          </w:tcPr>
          <w:p w14:paraId="39A27219" w14:textId="77777777" w:rsidR="00A052DC" w:rsidRDefault="009F0A60">
            <w:pPr>
              <w:pStyle w:val="B"/>
              <w:widowControl w:val="0"/>
              <w:rPr>
                <w:szCs w:val="20"/>
              </w:rPr>
            </w:pPr>
            <w:r>
              <w:rPr>
                <w:rFonts w:hint="eastAsia"/>
                <w:szCs w:val="20"/>
              </w:rPr>
              <w:t>期末（申报主体）持股比例（</w:t>
            </w:r>
            <w:r>
              <w:rPr>
                <w:szCs w:val="20"/>
              </w:rPr>
              <w:t>%</w:t>
            </w:r>
            <w:r>
              <w:rPr>
                <w:rFonts w:hint="eastAsia"/>
                <w:szCs w:val="20"/>
              </w:rPr>
              <w:t>）</w:t>
            </w:r>
          </w:p>
        </w:tc>
        <w:tc>
          <w:tcPr>
            <w:tcW w:w="1559" w:type="dxa"/>
            <w:shd w:val="clear" w:color="auto" w:fill="auto"/>
            <w:noWrap/>
          </w:tcPr>
          <w:p w14:paraId="27FFF97B" w14:textId="77777777" w:rsidR="00A052DC" w:rsidRDefault="009F0A60">
            <w:pPr>
              <w:pStyle w:val="B"/>
              <w:widowControl w:val="0"/>
              <w:rPr>
                <w:szCs w:val="20"/>
              </w:rPr>
            </w:pPr>
            <w:r>
              <w:rPr>
                <w:szCs w:val="20"/>
              </w:rPr>
              <w:t>数值型，22.2</w:t>
            </w:r>
          </w:p>
        </w:tc>
        <w:tc>
          <w:tcPr>
            <w:tcW w:w="3580" w:type="dxa"/>
          </w:tcPr>
          <w:p w14:paraId="2212B9B4" w14:textId="77777777" w:rsidR="00A052DC" w:rsidRDefault="009F0A60" w:rsidP="0020251D">
            <w:pPr>
              <w:widowControl/>
              <w:spacing w:before="120" w:afterLines="50" w:after="156"/>
              <w:jc w:val="left"/>
              <w:rPr>
                <w:rFonts w:ascii="黑体" w:eastAsia="黑体" w:hAnsi="黑体"/>
                <w:sz w:val="20"/>
                <w:szCs w:val="20"/>
              </w:rPr>
            </w:pPr>
            <w:r>
              <w:rPr>
                <w:rFonts w:ascii="黑体" w:eastAsia="黑体" w:hAnsi="黑体" w:hint="eastAsia"/>
                <w:kern w:val="0"/>
                <w:sz w:val="20"/>
                <w:szCs w:val="20"/>
              </w:rPr>
              <w:t>必填项，必须满足：</w:t>
            </w:r>
            <w:r>
              <w:rPr>
                <w:rFonts w:ascii="黑体" w:eastAsia="黑体" w:hAnsi="黑体"/>
                <w:kern w:val="0"/>
                <w:sz w:val="20"/>
                <w:szCs w:val="20"/>
              </w:rPr>
              <w:t>0</w:t>
            </w:r>
            <w:r>
              <w:rPr>
                <w:rFonts w:ascii="黑体" w:eastAsia="黑体" w:hAnsi="黑体" w:hint="eastAsia"/>
                <w:kern w:val="0"/>
                <w:sz w:val="20"/>
                <w:szCs w:val="20"/>
              </w:rPr>
              <w:t>≤</w:t>
            </w:r>
            <w:r>
              <w:rPr>
                <w:rFonts w:ascii="黑体" w:eastAsia="黑体" w:hAnsi="黑体"/>
                <w:kern w:val="0"/>
                <w:sz w:val="20"/>
                <w:szCs w:val="20"/>
              </w:rPr>
              <w:t>A0109</w:t>
            </w:r>
            <w:r>
              <w:rPr>
                <w:rFonts w:ascii="黑体" w:eastAsia="黑体" w:hAnsi="黑体" w:hint="eastAsia"/>
                <w:kern w:val="0"/>
                <w:sz w:val="20"/>
                <w:szCs w:val="20"/>
              </w:rPr>
              <w:t>≤</w:t>
            </w:r>
            <w:r>
              <w:rPr>
                <w:rFonts w:ascii="黑体" w:eastAsia="黑体" w:hAnsi="黑体"/>
                <w:kern w:val="0"/>
                <w:sz w:val="20"/>
                <w:szCs w:val="20"/>
              </w:rPr>
              <w:t>100</w:t>
            </w:r>
            <w:r>
              <w:rPr>
                <w:rFonts w:ascii="黑体" w:eastAsia="黑体" w:hAnsi="黑体" w:hint="eastAsia"/>
                <w:kern w:val="0"/>
                <w:sz w:val="20"/>
                <w:szCs w:val="20"/>
              </w:rPr>
              <w:t>，精确到小数点后两位。当</w:t>
            </w:r>
            <w:r>
              <w:rPr>
                <w:rFonts w:ascii="黑体" w:eastAsia="黑体" w:hAnsi="黑体"/>
                <w:kern w:val="0"/>
                <w:sz w:val="20"/>
                <w:szCs w:val="20"/>
              </w:rPr>
              <w:t>A0109=0</w:t>
            </w:r>
            <w:r>
              <w:rPr>
                <w:rFonts w:ascii="黑体" w:eastAsia="黑体" w:hAnsi="黑体" w:hint="eastAsia"/>
                <w:kern w:val="0"/>
                <w:sz w:val="20"/>
                <w:szCs w:val="20"/>
              </w:rPr>
              <w:t>时，对应着完全撤资，这时</w:t>
            </w:r>
            <w:r>
              <w:rPr>
                <w:rFonts w:ascii="黑体" w:eastAsia="黑体" w:hAnsi="黑体"/>
                <w:kern w:val="0"/>
                <w:sz w:val="20"/>
                <w:szCs w:val="20"/>
              </w:rPr>
              <w:t>A01-2</w:t>
            </w:r>
            <w:r>
              <w:rPr>
                <w:rFonts w:ascii="黑体" w:eastAsia="黑体" w:hAnsi="黑体" w:hint="eastAsia"/>
                <w:kern w:val="0"/>
                <w:sz w:val="20"/>
                <w:szCs w:val="20"/>
              </w:rPr>
              <w:t>表必填。</w:t>
            </w:r>
          </w:p>
        </w:tc>
      </w:tr>
      <w:tr w:rsidR="00A052DC" w14:paraId="3B4BCD23" w14:textId="77777777">
        <w:trPr>
          <w:jc w:val="center"/>
        </w:trPr>
        <w:tc>
          <w:tcPr>
            <w:tcW w:w="1371" w:type="dxa"/>
            <w:shd w:val="clear" w:color="auto" w:fill="auto"/>
            <w:noWrap/>
          </w:tcPr>
          <w:p w14:paraId="796A30A8" w14:textId="77777777" w:rsidR="00A052DC" w:rsidRDefault="009F0A60">
            <w:pPr>
              <w:pStyle w:val="B"/>
              <w:widowControl w:val="0"/>
              <w:rPr>
                <w:szCs w:val="20"/>
              </w:rPr>
            </w:pPr>
            <w:r>
              <w:rPr>
                <w:szCs w:val="20"/>
              </w:rPr>
              <w:t>A0110</w:t>
            </w:r>
          </w:p>
        </w:tc>
        <w:tc>
          <w:tcPr>
            <w:tcW w:w="1985" w:type="dxa"/>
            <w:shd w:val="clear" w:color="auto" w:fill="auto"/>
          </w:tcPr>
          <w:p w14:paraId="79D9A4DF" w14:textId="77777777" w:rsidR="00A052DC" w:rsidRDefault="009F0A60">
            <w:pPr>
              <w:pStyle w:val="B"/>
              <w:widowControl w:val="0"/>
              <w:rPr>
                <w:szCs w:val="20"/>
              </w:rPr>
            </w:pPr>
            <w:r>
              <w:rPr>
                <w:rFonts w:hint="eastAsia"/>
                <w:szCs w:val="20"/>
              </w:rPr>
              <w:t>申报主体是否通过</w:t>
            </w:r>
            <w:r>
              <w:rPr>
                <w:szCs w:val="20"/>
              </w:rPr>
              <w:t>SPV</w:t>
            </w:r>
            <w:r>
              <w:rPr>
                <w:rFonts w:hint="eastAsia"/>
                <w:szCs w:val="20"/>
              </w:rPr>
              <w:t>或壳机构持有该境外被投资机构</w:t>
            </w:r>
          </w:p>
        </w:tc>
        <w:tc>
          <w:tcPr>
            <w:tcW w:w="1559" w:type="dxa"/>
            <w:shd w:val="clear" w:color="auto" w:fill="auto"/>
            <w:noWrap/>
          </w:tcPr>
          <w:p w14:paraId="2D970B5B" w14:textId="77777777" w:rsidR="00A052DC" w:rsidRDefault="009F0A60">
            <w:pPr>
              <w:pStyle w:val="B"/>
              <w:widowControl w:val="0"/>
              <w:rPr>
                <w:szCs w:val="20"/>
              </w:rPr>
            </w:pPr>
            <w:r>
              <w:rPr>
                <w:rFonts w:hint="eastAsia"/>
                <w:szCs w:val="20"/>
              </w:rPr>
              <w:t>整数型</w:t>
            </w:r>
          </w:p>
        </w:tc>
        <w:tc>
          <w:tcPr>
            <w:tcW w:w="3580" w:type="dxa"/>
          </w:tcPr>
          <w:p w14:paraId="169B5DC8" w14:textId="77777777" w:rsidR="00A052DC" w:rsidRDefault="009F0A60">
            <w:pPr>
              <w:pStyle w:val="B"/>
              <w:widowControl w:val="0"/>
              <w:rPr>
                <w:szCs w:val="20"/>
              </w:rPr>
            </w:pPr>
            <w:r>
              <w:rPr>
                <w:rFonts w:hint="eastAsia"/>
                <w:szCs w:val="20"/>
              </w:rPr>
              <w:t>必填项，必须为</w:t>
            </w:r>
            <w:r>
              <w:rPr>
                <w:szCs w:val="20"/>
              </w:rPr>
              <w:t>1</w:t>
            </w:r>
            <w:r>
              <w:rPr>
                <w:rFonts w:hint="eastAsia"/>
                <w:szCs w:val="20"/>
              </w:rPr>
              <w:t>或</w:t>
            </w:r>
            <w:r>
              <w:rPr>
                <w:szCs w:val="20"/>
              </w:rPr>
              <w:t>0</w:t>
            </w:r>
            <w:r>
              <w:rPr>
                <w:rFonts w:hint="eastAsia"/>
                <w:szCs w:val="20"/>
              </w:rPr>
              <w:t>：</w:t>
            </w:r>
          </w:p>
          <w:p w14:paraId="61696C37" w14:textId="77777777" w:rsidR="00A052DC" w:rsidRDefault="00FE361F">
            <w:pPr>
              <w:pStyle w:val="B"/>
              <w:widowControl w:val="0"/>
              <w:rPr>
                <w:szCs w:val="20"/>
              </w:rPr>
            </w:pPr>
            <w:r>
              <w:rPr>
                <w:szCs w:val="20"/>
              </w:rPr>
              <w:t>1-是；</w:t>
            </w:r>
          </w:p>
          <w:p w14:paraId="24695A6A" w14:textId="77777777" w:rsidR="00A052DC" w:rsidRDefault="009F0A60">
            <w:pPr>
              <w:pStyle w:val="B"/>
              <w:widowControl w:val="0"/>
              <w:rPr>
                <w:szCs w:val="20"/>
              </w:rPr>
            </w:pPr>
            <w:r>
              <w:rPr>
                <w:szCs w:val="20"/>
              </w:rPr>
              <w:t>0-</w:t>
            </w:r>
            <w:r>
              <w:rPr>
                <w:rFonts w:hint="eastAsia"/>
                <w:szCs w:val="20"/>
              </w:rPr>
              <w:t>否。</w:t>
            </w:r>
            <w:r>
              <w:rPr>
                <w:szCs w:val="20"/>
              </w:rPr>
              <w:t>A01-1</w:t>
            </w:r>
            <w:r>
              <w:rPr>
                <w:rFonts w:hint="eastAsia"/>
                <w:szCs w:val="20"/>
              </w:rPr>
              <w:t>表，如</w:t>
            </w:r>
            <w:r>
              <w:rPr>
                <w:szCs w:val="20"/>
              </w:rPr>
              <w:t>A0110</w:t>
            </w:r>
            <w:r>
              <w:rPr>
                <w:rFonts w:hint="eastAsia"/>
                <w:szCs w:val="20"/>
              </w:rPr>
              <w:t>选择</w:t>
            </w:r>
            <w:r>
              <w:rPr>
                <w:szCs w:val="20"/>
              </w:rPr>
              <w:t>“</w:t>
            </w:r>
            <w:r>
              <w:rPr>
                <w:rFonts w:hint="eastAsia"/>
                <w:szCs w:val="20"/>
              </w:rPr>
              <w:t>是</w:t>
            </w:r>
            <w:r>
              <w:rPr>
                <w:szCs w:val="20"/>
              </w:rPr>
              <w:t>”</w:t>
            </w:r>
            <w:r>
              <w:rPr>
                <w:rFonts w:hint="eastAsia"/>
                <w:szCs w:val="20"/>
              </w:rPr>
              <w:t>，则“</w:t>
            </w:r>
            <w:r>
              <w:rPr>
                <w:szCs w:val="20"/>
              </w:rPr>
              <w:t>A0111</w:t>
            </w:r>
            <w:r>
              <w:rPr>
                <w:rFonts w:hint="eastAsia"/>
                <w:szCs w:val="20"/>
              </w:rPr>
              <w:t>该境外</w:t>
            </w:r>
            <w:r>
              <w:rPr>
                <w:szCs w:val="20"/>
              </w:rPr>
              <w:t>SPV</w:t>
            </w:r>
            <w:r>
              <w:rPr>
                <w:rFonts w:hint="eastAsia"/>
                <w:szCs w:val="20"/>
              </w:rPr>
              <w:t>或壳公司所属国家</w:t>
            </w:r>
            <w:r>
              <w:rPr>
                <w:szCs w:val="20"/>
              </w:rPr>
              <w:t>/</w:t>
            </w:r>
            <w:r>
              <w:rPr>
                <w:rFonts w:hint="eastAsia"/>
                <w:szCs w:val="20"/>
              </w:rPr>
              <w:t>地区”≠</w:t>
            </w:r>
            <w:r>
              <w:rPr>
                <w:szCs w:val="20"/>
              </w:rPr>
              <w:t>CHN</w:t>
            </w:r>
            <w:r>
              <w:rPr>
                <w:rFonts w:hint="eastAsia"/>
                <w:szCs w:val="20"/>
              </w:rPr>
              <w:t>或</w:t>
            </w:r>
            <w:r>
              <w:rPr>
                <w:szCs w:val="20"/>
              </w:rPr>
              <w:t>N/A,</w:t>
            </w:r>
            <w:r>
              <w:rPr>
                <w:rFonts w:hint="eastAsia"/>
                <w:szCs w:val="20"/>
              </w:rPr>
              <w:t>“</w:t>
            </w:r>
            <w:r>
              <w:rPr>
                <w:szCs w:val="20"/>
              </w:rPr>
              <w:t>A0103</w:t>
            </w:r>
            <w:r>
              <w:rPr>
                <w:rFonts w:hint="eastAsia"/>
                <w:szCs w:val="20"/>
              </w:rPr>
              <w:t>境外被投资机构所属国家</w:t>
            </w:r>
            <w:r>
              <w:rPr>
                <w:szCs w:val="20"/>
              </w:rPr>
              <w:t>/</w:t>
            </w:r>
            <w:r>
              <w:rPr>
                <w:rFonts w:hint="eastAsia"/>
                <w:szCs w:val="20"/>
              </w:rPr>
              <w:t>地区”≠</w:t>
            </w:r>
            <w:r>
              <w:rPr>
                <w:szCs w:val="20"/>
              </w:rPr>
              <w:t>N/A</w:t>
            </w:r>
            <w:r>
              <w:rPr>
                <w:rFonts w:hint="eastAsia"/>
                <w:szCs w:val="20"/>
              </w:rPr>
              <w:t>，但可以选择</w:t>
            </w:r>
            <w:r>
              <w:rPr>
                <w:szCs w:val="20"/>
              </w:rPr>
              <w:t>CHN</w:t>
            </w:r>
            <w:r>
              <w:rPr>
                <w:rFonts w:hint="eastAsia"/>
                <w:szCs w:val="20"/>
              </w:rPr>
              <w:t>，表明通过境外</w:t>
            </w:r>
            <w:r>
              <w:rPr>
                <w:szCs w:val="20"/>
              </w:rPr>
              <w:t>SPV</w:t>
            </w:r>
            <w:r>
              <w:rPr>
                <w:rFonts w:hint="eastAsia"/>
                <w:szCs w:val="20"/>
              </w:rPr>
              <w:t>或壳公司后，投到的首个实体企业在中国，这时</w:t>
            </w:r>
            <w:r>
              <w:rPr>
                <w:szCs w:val="20"/>
              </w:rPr>
              <w:t>,</w:t>
            </w:r>
            <w:r>
              <w:rPr>
                <w:rFonts w:hint="eastAsia"/>
                <w:szCs w:val="20"/>
              </w:rPr>
              <w:t>备注项必填；</w:t>
            </w:r>
          </w:p>
          <w:p w14:paraId="78BE6594" w14:textId="77777777" w:rsidR="00A052DC" w:rsidRDefault="009F0A60">
            <w:pPr>
              <w:pStyle w:val="B"/>
              <w:widowControl w:val="0"/>
              <w:rPr>
                <w:b/>
                <w:bCs/>
                <w:sz w:val="32"/>
              </w:rPr>
            </w:pPr>
            <w:r>
              <w:rPr>
                <w:rFonts w:hint="eastAsia"/>
                <w:szCs w:val="20"/>
              </w:rPr>
              <w:t>如果</w:t>
            </w:r>
            <w:r>
              <w:rPr>
                <w:szCs w:val="20"/>
              </w:rPr>
              <w:t>A0110</w:t>
            </w:r>
            <w:r>
              <w:rPr>
                <w:rFonts w:hint="eastAsia"/>
                <w:szCs w:val="20"/>
              </w:rPr>
              <w:t>选择</w:t>
            </w:r>
            <w:r>
              <w:rPr>
                <w:szCs w:val="20"/>
              </w:rPr>
              <w:t>“</w:t>
            </w:r>
            <w:r>
              <w:rPr>
                <w:rFonts w:hint="eastAsia"/>
                <w:szCs w:val="20"/>
              </w:rPr>
              <w:t>否</w:t>
            </w:r>
            <w:r>
              <w:rPr>
                <w:szCs w:val="20"/>
              </w:rPr>
              <w:t>”</w:t>
            </w:r>
            <w:r>
              <w:rPr>
                <w:rFonts w:hint="eastAsia"/>
                <w:szCs w:val="20"/>
              </w:rPr>
              <w:t>，则</w:t>
            </w:r>
            <w:r>
              <w:rPr>
                <w:szCs w:val="20"/>
              </w:rPr>
              <w:t>A0103</w:t>
            </w:r>
            <w:r>
              <w:rPr>
                <w:rFonts w:hint="eastAsia"/>
                <w:szCs w:val="20"/>
              </w:rPr>
              <w:t>境外被投资机构所属国家</w:t>
            </w:r>
            <w:r>
              <w:rPr>
                <w:szCs w:val="20"/>
              </w:rPr>
              <w:t>/</w:t>
            </w:r>
            <w:r>
              <w:rPr>
                <w:rFonts w:hint="eastAsia"/>
                <w:szCs w:val="20"/>
              </w:rPr>
              <w:t>地区≠</w:t>
            </w:r>
            <w:r>
              <w:rPr>
                <w:szCs w:val="20"/>
              </w:rPr>
              <w:t>CHN</w:t>
            </w:r>
            <w:r>
              <w:rPr>
                <w:rFonts w:hint="eastAsia"/>
                <w:szCs w:val="20"/>
              </w:rPr>
              <w:t>或</w:t>
            </w:r>
            <w:r>
              <w:rPr>
                <w:szCs w:val="20"/>
              </w:rPr>
              <w:t>N/A</w:t>
            </w:r>
            <w:r>
              <w:rPr>
                <w:rFonts w:hint="eastAsia"/>
                <w:szCs w:val="20"/>
              </w:rPr>
              <w:t>。</w:t>
            </w:r>
          </w:p>
        </w:tc>
      </w:tr>
      <w:tr w:rsidR="00A052DC" w14:paraId="3676243C" w14:textId="77777777">
        <w:trPr>
          <w:jc w:val="center"/>
        </w:trPr>
        <w:tc>
          <w:tcPr>
            <w:tcW w:w="1371" w:type="dxa"/>
            <w:shd w:val="clear" w:color="auto" w:fill="auto"/>
            <w:noWrap/>
          </w:tcPr>
          <w:p w14:paraId="6609809E" w14:textId="77777777" w:rsidR="00A052DC" w:rsidRDefault="009F0A60">
            <w:pPr>
              <w:pStyle w:val="B"/>
              <w:widowControl w:val="0"/>
              <w:rPr>
                <w:szCs w:val="20"/>
              </w:rPr>
            </w:pPr>
            <w:r>
              <w:rPr>
                <w:szCs w:val="20"/>
              </w:rPr>
              <w:t>A0111</w:t>
            </w:r>
          </w:p>
        </w:tc>
        <w:tc>
          <w:tcPr>
            <w:tcW w:w="1985" w:type="dxa"/>
            <w:shd w:val="clear" w:color="auto" w:fill="auto"/>
          </w:tcPr>
          <w:p w14:paraId="1598237D" w14:textId="77777777" w:rsidR="00A052DC" w:rsidRDefault="009F0A60">
            <w:pPr>
              <w:pStyle w:val="B"/>
              <w:widowControl w:val="0"/>
              <w:rPr>
                <w:szCs w:val="20"/>
              </w:rPr>
            </w:pPr>
            <w:r>
              <w:rPr>
                <w:rFonts w:hint="eastAsia"/>
                <w:szCs w:val="20"/>
              </w:rPr>
              <w:t>该</w:t>
            </w:r>
            <w:r>
              <w:rPr>
                <w:szCs w:val="20"/>
              </w:rPr>
              <w:t>SPV</w:t>
            </w:r>
            <w:r>
              <w:rPr>
                <w:rFonts w:hint="eastAsia"/>
                <w:szCs w:val="20"/>
              </w:rPr>
              <w:t>或壳机构所属国家</w:t>
            </w:r>
            <w:r>
              <w:rPr>
                <w:szCs w:val="20"/>
              </w:rPr>
              <w:t>/</w:t>
            </w:r>
            <w:r>
              <w:rPr>
                <w:rFonts w:hint="eastAsia"/>
                <w:szCs w:val="20"/>
              </w:rPr>
              <w:t>地区</w:t>
            </w:r>
          </w:p>
        </w:tc>
        <w:tc>
          <w:tcPr>
            <w:tcW w:w="1559" w:type="dxa"/>
            <w:shd w:val="clear" w:color="auto" w:fill="auto"/>
            <w:noWrap/>
          </w:tcPr>
          <w:p w14:paraId="08963014" w14:textId="77777777" w:rsidR="00A052DC" w:rsidRDefault="009F0A60">
            <w:pPr>
              <w:pStyle w:val="B"/>
              <w:widowControl w:val="0"/>
              <w:rPr>
                <w:szCs w:val="20"/>
              </w:rPr>
            </w:pPr>
            <w:r>
              <w:rPr>
                <w:szCs w:val="20"/>
              </w:rPr>
              <w:t>字符型，3</w:t>
            </w:r>
          </w:p>
        </w:tc>
        <w:tc>
          <w:tcPr>
            <w:tcW w:w="3580" w:type="dxa"/>
          </w:tcPr>
          <w:p w14:paraId="04BF358D" w14:textId="77777777" w:rsidR="00A052DC" w:rsidRDefault="009F0A60">
            <w:pPr>
              <w:pStyle w:val="B"/>
              <w:widowControl w:val="0"/>
              <w:rPr>
                <w:szCs w:val="20"/>
              </w:rPr>
            </w:pPr>
            <w:r>
              <w:rPr>
                <w:rFonts w:hint="eastAsia"/>
                <w:szCs w:val="20"/>
              </w:rPr>
              <w:t>当</w:t>
            </w:r>
            <w:r>
              <w:rPr>
                <w:szCs w:val="20"/>
              </w:rPr>
              <w:t>A0110</w:t>
            </w:r>
            <w:r>
              <w:rPr>
                <w:rFonts w:hint="eastAsia"/>
                <w:szCs w:val="20"/>
              </w:rPr>
              <w:t>选择</w:t>
            </w:r>
            <w:r>
              <w:rPr>
                <w:szCs w:val="20"/>
              </w:rPr>
              <w:t>1</w:t>
            </w:r>
            <w:r>
              <w:rPr>
                <w:rFonts w:hint="eastAsia"/>
                <w:szCs w:val="20"/>
              </w:rPr>
              <w:t>时，为必填项，见国家和地区代码表的</w:t>
            </w:r>
            <w:r>
              <w:rPr>
                <w:szCs w:val="20"/>
              </w:rPr>
              <w:t>3</w:t>
            </w:r>
            <w:r>
              <w:rPr>
                <w:rFonts w:hint="eastAsia"/>
                <w:szCs w:val="20"/>
              </w:rPr>
              <w:t>位字母代码。</w:t>
            </w:r>
          </w:p>
        </w:tc>
      </w:tr>
      <w:tr w:rsidR="00A052DC" w14:paraId="7F0C9D9B" w14:textId="77777777">
        <w:trPr>
          <w:jc w:val="center"/>
        </w:trPr>
        <w:tc>
          <w:tcPr>
            <w:tcW w:w="1371" w:type="dxa"/>
            <w:shd w:val="clear" w:color="auto" w:fill="auto"/>
            <w:noWrap/>
          </w:tcPr>
          <w:p w14:paraId="6D58EC9C" w14:textId="77777777" w:rsidR="00A052DC" w:rsidRDefault="009F0A60">
            <w:pPr>
              <w:pStyle w:val="B"/>
              <w:widowControl w:val="0"/>
              <w:rPr>
                <w:szCs w:val="20"/>
              </w:rPr>
            </w:pPr>
            <w:r>
              <w:rPr>
                <w:szCs w:val="20"/>
              </w:rPr>
              <w:t>A01</w:t>
            </w:r>
            <w:r>
              <w:rPr>
                <w:rFonts w:hint="eastAsia"/>
                <w:szCs w:val="20"/>
              </w:rPr>
              <w:t>39</w:t>
            </w:r>
          </w:p>
        </w:tc>
        <w:tc>
          <w:tcPr>
            <w:tcW w:w="1985" w:type="dxa"/>
            <w:shd w:val="clear" w:color="auto" w:fill="auto"/>
          </w:tcPr>
          <w:p w14:paraId="0779FC36" w14:textId="77777777" w:rsidR="00A052DC" w:rsidRDefault="009F0A60">
            <w:pPr>
              <w:pStyle w:val="B"/>
              <w:widowControl w:val="0"/>
              <w:rPr>
                <w:szCs w:val="20"/>
              </w:rPr>
            </w:pPr>
            <w:r>
              <w:rPr>
                <w:rFonts w:cs="宋体" w:hint="eastAsia"/>
                <w:color w:val="000000"/>
                <w:szCs w:val="20"/>
              </w:rPr>
              <w:t>该SPV或壳机构名称</w:t>
            </w:r>
          </w:p>
        </w:tc>
        <w:tc>
          <w:tcPr>
            <w:tcW w:w="1559" w:type="dxa"/>
            <w:shd w:val="clear" w:color="auto" w:fill="auto"/>
            <w:noWrap/>
          </w:tcPr>
          <w:p w14:paraId="6DCD4781" w14:textId="77777777" w:rsidR="00A052DC" w:rsidRDefault="009F0A60">
            <w:pPr>
              <w:pStyle w:val="B"/>
              <w:widowControl w:val="0"/>
              <w:rPr>
                <w:szCs w:val="20"/>
              </w:rPr>
            </w:pPr>
            <w:r>
              <w:rPr>
                <w:szCs w:val="20"/>
              </w:rPr>
              <w:t>字符型，</w:t>
            </w:r>
            <w:r>
              <w:rPr>
                <w:rFonts w:hint="eastAsia"/>
                <w:szCs w:val="20"/>
              </w:rPr>
              <w:t>256</w:t>
            </w:r>
          </w:p>
        </w:tc>
        <w:tc>
          <w:tcPr>
            <w:tcW w:w="3580" w:type="dxa"/>
          </w:tcPr>
          <w:p w14:paraId="773D204A" w14:textId="77777777" w:rsidR="00A052DC" w:rsidRDefault="009F0A60">
            <w:pPr>
              <w:pStyle w:val="B"/>
              <w:widowControl w:val="0"/>
              <w:rPr>
                <w:szCs w:val="20"/>
              </w:rPr>
            </w:pPr>
            <w:r>
              <w:rPr>
                <w:rFonts w:hint="eastAsia"/>
                <w:szCs w:val="20"/>
              </w:rPr>
              <w:t>当</w:t>
            </w:r>
            <w:r>
              <w:rPr>
                <w:szCs w:val="20"/>
              </w:rPr>
              <w:t>A0110</w:t>
            </w:r>
            <w:r>
              <w:rPr>
                <w:rFonts w:hint="eastAsia"/>
                <w:szCs w:val="20"/>
              </w:rPr>
              <w:t>选择</w:t>
            </w:r>
            <w:r>
              <w:rPr>
                <w:szCs w:val="20"/>
              </w:rPr>
              <w:t>1</w:t>
            </w:r>
            <w:r>
              <w:rPr>
                <w:rFonts w:hint="eastAsia"/>
                <w:szCs w:val="20"/>
              </w:rPr>
              <w:t>时，为必填项。</w:t>
            </w:r>
          </w:p>
        </w:tc>
      </w:tr>
      <w:tr w:rsidR="00A052DC" w14:paraId="3BA5E7C1" w14:textId="77777777">
        <w:trPr>
          <w:jc w:val="center"/>
        </w:trPr>
        <w:tc>
          <w:tcPr>
            <w:tcW w:w="1371" w:type="dxa"/>
            <w:shd w:val="clear" w:color="auto" w:fill="auto"/>
            <w:noWrap/>
          </w:tcPr>
          <w:p w14:paraId="220744B6" w14:textId="77777777" w:rsidR="00A052DC" w:rsidRDefault="009F0A60">
            <w:pPr>
              <w:pStyle w:val="B"/>
              <w:widowControl w:val="0"/>
              <w:rPr>
                <w:szCs w:val="20"/>
              </w:rPr>
            </w:pPr>
            <w:r>
              <w:rPr>
                <w:szCs w:val="20"/>
              </w:rPr>
              <w:t>A01</w:t>
            </w:r>
            <w:r>
              <w:rPr>
                <w:rFonts w:hint="eastAsia"/>
                <w:szCs w:val="20"/>
              </w:rPr>
              <w:t>40</w:t>
            </w:r>
          </w:p>
        </w:tc>
        <w:tc>
          <w:tcPr>
            <w:tcW w:w="1985" w:type="dxa"/>
            <w:shd w:val="clear" w:color="auto" w:fill="auto"/>
          </w:tcPr>
          <w:p w14:paraId="0BE3C845" w14:textId="77777777" w:rsidR="00A052DC" w:rsidRDefault="009F0A60">
            <w:pPr>
              <w:pStyle w:val="B"/>
              <w:widowControl w:val="0"/>
              <w:rPr>
                <w:szCs w:val="20"/>
              </w:rPr>
            </w:pPr>
            <w:r>
              <w:rPr>
                <w:rFonts w:cs="宋体" w:hint="eastAsia"/>
                <w:color w:val="000000"/>
                <w:szCs w:val="20"/>
              </w:rPr>
              <w:t>该SPV或壳机构代码</w:t>
            </w:r>
          </w:p>
        </w:tc>
        <w:tc>
          <w:tcPr>
            <w:tcW w:w="1559" w:type="dxa"/>
            <w:shd w:val="clear" w:color="auto" w:fill="auto"/>
            <w:noWrap/>
          </w:tcPr>
          <w:p w14:paraId="3C86C3DA" w14:textId="77777777" w:rsidR="00A052DC" w:rsidRDefault="009F0A60">
            <w:pPr>
              <w:pStyle w:val="B"/>
              <w:widowControl w:val="0"/>
              <w:rPr>
                <w:szCs w:val="20"/>
              </w:rPr>
            </w:pPr>
            <w:r>
              <w:rPr>
                <w:rFonts w:hint="eastAsia"/>
                <w:szCs w:val="20"/>
              </w:rPr>
              <w:t>字符型，</w:t>
            </w:r>
            <w:r>
              <w:rPr>
                <w:szCs w:val="20"/>
              </w:rPr>
              <w:t>256</w:t>
            </w:r>
          </w:p>
        </w:tc>
        <w:tc>
          <w:tcPr>
            <w:tcW w:w="3580" w:type="dxa"/>
          </w:tcPr>
          <w:p w14:paraId="1914524C" w14:textId="77777777" w:rsidR="00A052DC" w:rsidRDefault="009F0A60">
            <w:pPr>
              <w:pStyle w:val="B"/>
              <w:widowControl w:val="0"/>
              <w:rPr>
                <w:szCs w:val="20"/>
              </w:rPr>
            </w:pPr>
            <w:r>
              <w:rPr>
                <w:rFonts w:hint="eastAsia"/>
                <w:szCs w:val="20"/>
              </w:rPr>
              <w:t>当</w:t>
            </w:r>
            <w:r>
              <w:rPr>
                <w:szCs w:val="20"/>
              </w:rPr>
              <w:t>A0110</w:t>
            </w:r>
            <w:r>
              <w:rPr>
                <w:rFonts w:hint="eastAsia"/>
                <w:szCs w:val="20"/>
              </w:rPr>
              <w:t>选择</w:t>
            </w:r>
            <w:r>
              <w:rPr>
                <w:szCs w:val="20"/>
              </w:rPr>
              <w:t>1</w:t>
            </w:r>
            <w:r>
              <w:rPr>
                <w:rFonts w:hint="eastAsia"/>
                <w:szCs w:val="20"/>
              </w:rPr>
              <w:t>时，为必填项。</w:t>
            </w:r>
          </w:p>
        </w:tc>
      </w:tr>
      <w:tr w:rsidR="00A052DC" w14:paraId="25BAC10C" w14:textId="77777777">
        <w:trPr>
          <w:jc w:val="center"/>
        </w:trPr>
        <w:tc>
          <w:tcPr>
            <w:tcW w:w="1371" w:type="dxa"/>
            <w:shd w:val="clear" w:color="auto" w:fill="auto"/>
            <w:noWrap/>
          </w:tcPr>
          <w:p w14:paraId="66B8AF27" w14:textId="77777777" w:rsidR="00A052DC" w:rsidRDefault="009F0A60">
            <w:pPr>
              <w:pStyle w:val="B"/>
              <w:widowControl w:val="0"/>
              <w:rPr>
                <w:szCs w:val="20"/>
              </w:rPr>
            </w:pPr>
            <w:r>
              <w:rPr>
                <w:szCs w:val="20"/>
              </w:rPr>
              <w:t>A01</w:t>
            </w:r>
            <w:r>
              <w:rPr>
                <w:rFonts w:hint="eastAsia"/>
                <w:szCs w:val="20"/>
              </w:rPr>
              <w:t>41</w:t>
            </w:r>
          </w:p>
        </w:tc>
        <w:tc>
          <w:tcPr>
            <w:tcW w:w="1985" w:type="dxa"/>
            <w:shd w:val="clear" w:color="auto" w:fill="auto"/>
          </w:tcPr>
          <w:p w14:paraId="5624556A" w14:textId="77777777" w:rsidR="00A052DC" w:rsidRDefault="009F0A60">
            <w:pPr>
              <w:pStyle w:val="B"/>
              <w:widowControl w:val="0"/>
              <w:rPr>
                <w:szCs w:val="20"/>
              </w:rPr>
            </w:pPr>
            <w:r>
              <w:rPr>
                <w:rFonts w:cs="宋体" w:hint="eastAsia"/>
                <w:color w:val="000000"/>
                <w:szCs w:val="20"/>
              </w:rPr>
              <w:t>该SPV或壳机构所属部门</w:t>
            </w:r>
          </w:p>
        </w:tc>
        <w:tc>
          <w:tcPr>
            <w:tcW w:w="1559" w:type="dxa"/>
            <w:shd w:val="clear" w:color="auto" w:fill="auto"/>
            <w:noWrap/>
          </w:tcPr>
          <w:p w14:paraId="4AEDB313" w14:textId="77777777" w:rsidR="00A052DC" w:rsidRDefault="009F0A60">
            <w:pPr>
              <w:pStyle w:val="B"/>
              <w:widowControl w:val="0"/>
              <w:rPr>
                <w:szCs w:val="20"/>
              </w:rPr>
            </w:pPr>
            <w:r>
              <w:rPr>
                <w:rFonts w:hint="eastAsia"/>
                <w:szCs w:val="20"/>
              </w:rPr>
              <w:t>整数型</w:t>
            </w:r>
          </w:p>
        </w:tc>
        <w:tc>
          <w:tcPr>
            <w:tcW w:w="3580" w:type="dxa"/>
          </w:tcPr>
          <w:p w14:paraId="1BFBCB80" w14:textId="77777777" w:rsidR="00A052DC" w:rsidRDefault="009F0A60">
            <w:pPr>
              <w:pStyle w:val="B"/>
              <w:widowControl w:val="0"/>
              <w:rPr>
                <w:szCs w:val="20"/>
              </w:rPr>
            </w:pPr>
            <w:r>
              <w:rPr>
                <w:rFonts w:hint="eastAsia"/>
                <w:szCs w:val="20"/>
              </w:rPr>
              <w:t>当</w:t>
            </w:r>
            <w:r>
              <w:rPr>
                <w:szCs w:val="20"/>
              </w:rPr>
              <w:t>A0110</w:t>
            </w:r>
            <w:r>
              <w:rPr>
                <w:rFonts w:hint="eastAsia"/>
                <w:szCs w:val="20"/>
              </w:rPr>
              <w:t>选择</w:t>
            </w:r>
            <w:r>
              <w:rPr>
                <w:szCs w:val="20"/>
              </w:rPr>
              <w:t>1</w:t>
            </w:r>
            <w:r>
              <w:rPr>
                <w:rFonts w:hint="eastAsia"/>
                <w:szCs w:val="20"/>
              </w:rPr>
              <w:t>时，为必填项。见投资者（被投资者）部门代码表。</w:t>
            </w:r>
          </w:p>
        </w:tc>
      </w:tr>
      <w:tr w:rsidR="00A052DC" w14:paraId="483E7068" w14:textId="77777777">
        <w:trPr>
          <w:jc w:val="center"/>
        </w:trPr>
        <w:tc>
          <w:tcPr>
            <w:tcW w:w="1371" w:type="dxa"/>
            <w:shd w:val="clear" w:color="auto" w:fill="auto"/>
            <w:noWrap/>
          </w:tcPr>
          <w:p w14:paraId="088CB125" w14:textId="77777777" w:rsidR="00A052DC" w:rsidRDefault="009F0A60">
            <w:pPr>
              <w:pStyle w:val="B"/>
              <w:widowControl w:val="0"/>
              <w:rPr>
                <w:szCs w:val="20"/>
              </w:rPr>
            </w:pPr>
            <w:r>
              <w:rPr>
                <w:szCs w:val="20"/>
              </w:rPr>
              <w:t>A0142</w:t>
            </w:r>
          </w:p>
        </w:tc>
        <w:tc>
          <w:tcPr>
            <w:tcW w:w="1985" w:type="dxa"/>
            <w:shd w:val="clear" w:color="auto" w:fill="auto"/>
          </w:tcPr>
          <w:p w14:paraId="18748C5F" w14:textId="77777777" w:rsidR="00A052DC" w:rsidRDefault="009F0A60">
            <w:pPr>
              <w:pStyle w:val="B"/>
              <w:widowControl w:val="0"/>
              <w:rPr>
                <w:rFonts w:cs="宋体"/>
                <w:color w:val="000000"/>
                <w:szCs w:val="20"/>
              </w:rPr>
            </w:pPr>
            <w:r>
              <w:rPr>
                <w:rFonts w:hAnsi="宋体" w:hint="eastAsia"/>
                <w:color w:val="000000"/>
              </w:rPr>
              <w:t>申报主体持有该</w:t>
            </w:r>
            <w:r>
              <w:rPr>
                <w:rFonts w:hAnsi="宋体"/>
                <w:color w:val="000000"/>
              </w:rPr>
              <w:t>SPV</w:t>
            </w:r>
            <w:r>
              <w:rPr>
                <w:rFonts w:hAnsi="宋体" w:hint="eastAsia"/>
                <w:color w:val="000000"/>
              </w:rPr>
              <w:t>或壳机构的股权比例（%）</w:t>
            </w:r>
          </w:p>
        </w:tc>
        <w:tc>
          <w:tcPr>
            <w:tcW w:w="1559" w:type="dxa"/>
            <w:shd w:val="clear" w:color="auto" w:fill="auto"/>
            <w:noWrap/>
          </w:tcPr>
          <w:p w14:paraId="4A39C744" w14:textId="77777777" w:rsidR="00A052DC" w:rsidRDefault="009F0A60">
            <w:pPr>
              <w:pStyle w:val="B"/>
              <w:widowControl w:val="0"/>
              <w:rPr>
                <w:szCs w:val="20"/>
              </w:rPr>
            </w:pPr>
            <w:r>
              <w:rPr>
                <w:rFonts w:hint="eastAsia"/>
                <w:szCs w:val="20"/>
              </w:rPr>
              <w:t>数值型，22.2</w:t>
            </w:r>
          </w:p>
        </w:tc>
        <w:tc>
          <w:tcPr>
            <w:tcW w:w="3580" w:type="dxa"/>
          </w:tcPr>
          <w:p w14:paraId="259E62BB" w14:textId="77777777" w:rsidR="00A052DC" w:rsidRDefault="009F0A60">
            <w:pPr>
              <w:pStyle w:val="B"/>
              <w:widowControl w:val="0"/>
              <w:rPr>
                <w:szCs w:val="20"/>
              </w:rPr>
            </w:pPr>
            <w:r>
              <w:rPr>
                <w:rFonts w:hint="eastAsia"/>
                <w:szCs w:val="20"/>
              </w:rPr>
              <w:t>必填项，必须满足：</w:t>
            </w:r>
            <w:r>
              <w:rPr>
                <w:szCs w:val="20"/>
              </w:rPr>
              <w:t>0</w:t>
            </w:r>
            <w:r>
              <w:rPr>
                <w:rFonts w:hint="eastAsia"/>
                <w:szCs w:val="20"/>
              </w:rPr>
              <w:t>≤</w:t>
            </w:r>
            <w:r>
              <w:rPr>
                <w:szCs w:val="20"/>
              </w:rPr>
              <w:t>A01</w:t>
            </w:r>
            <w:r>
              <w:rPr>
                <w:rFonts w:hint="eastAsia"/>
                <w:szCs w:val="20"/>
              </w:rPr>
              <w:t>42≤</w:t>
            </w:r>
            <w:r>
              <w:rPr>
                <w:szCs w:val="20"/>
              </w:rPr>
              <w:t>100</w:t>
            </w:r>
            <w:r>
              <w:rPr>
                <w:rFonts w:hint="eastAsia"/>
                <w:szCs w:val="20"/>
              </w:rPr>
              <w:t>，精确到小数点后两位。</w:t>
            </w:r>
          </w:p>
        </w:tc>
      </w:tr>
      <w:tr w:rsidR="00A052DC" w14:paraId="00FCD544" w14:textId="77777777">
        <w:trPr>
          <w:jc w:val="center"/>
        </w:trPr>
        <w:tc>
          <w:tcPr>
            <w:tcW w:w="1371" w:type="dxa"/>
            <w:shd w:val="clear" w:color="auto" w:fill="auto"/>
            <w:noWrap/>
          </w:tcPr>
          <w:p w14:paraId="1E6B22C5" w14:textId="77777777" w:rsidR="00A052DC" w:rsidRDefault="009F0A60">
            <w:pPr>
              <w:pStyle w:val="B"/>
              <w:widowControl w:val="0"/>
              <w:rPr>
                <w:szCs w:val="20"/>
              </w:rPr>
            </w:pPr>
            <w:r>
              <w:rPr>
                <w:szCs w:val="20"/>
              </w:rPr>
              <w:t>A0143</w:t>
            </w:r>
          </w:p>
        </w:tc>
        <w:tc>
          <w:tcPr>
            <w:tcW w:w="1985" w:type="dxa"/>
            <w:shd w:val="clear" w:color="auto" w:fill="auto"/>
          </w:tcPr>
          <w:p w14:paraId="0F21A301" w14:textId="77777777" w:rsidR="00A052DC" w:rsidRDefault="009F0A60">
            <w:pPr>
              <w:pStyle w:val="B"/>
              <w:widowControl w:val="0"/>
              <w:rPr>
                <w:rFonts w:cs="宋体"/>
                <w:color w:val="000000"/>
                <w:szCs w:val="20"/>
              </w:rPr>
            </w:pPr>
            <w:r>
              <w:rPr>
                <w:rFonts w:hAnsi="宋体" w:hint="eastAsia"/>
                <w:color w:val="000000"/>
              </w:rPr>
              <w:t>境外被投资机构是否为上市企业</w:t>
            </w:r>
          </w:p>
        </w:tc>
        <w:tc>
          <w:tcPr>
            <w:tcW w:w="1559" w:type="dxa"/>
            <w:shd w:val="clear" w:color="auto" w:fill="auto"/>
            <w:noWrap/>
          </w:tcPr>
          <w:p w14:paraId="18772320" w14:textId="77777777" w:rsidR="00A052DC" w:rsidRDefault="009F0A60">
            <w:pPr>
              <w:pStyle w:val="B"/>
              <w:widowControl w:val="0"/>
              <w:rPr>
                <w:szCs w:val="20"/>
              </w:rPr>
            </w:pPr>
            <w:r>
              <w:rPr>
                <w:rFonts w:hint="eastAsia"/>
                <w:szCs w:val="20"/>
              </w:rPr>
              <w:t>整数型</w:t>
            </w:r>
          </w:p>
        </w:tc>
        <w:tc>
          <w:tcPr>
            <w:tcW w:w="3580" w:type="dxa"/>
          </w:tcPr>
          <w:p w14:paraId="2D8B3A39" w14:textId="77777777" w:rsidR="00A052DC" w:rsidRDefault="009F0A60">
            <w:pPr>
              <w:pStyle w:val="B"/>
              <w:widowControl w:val="0"/>
              <w:rPr>
                <w:szCs w:val="20"/>
              </w:rPr>
            </w:pPr>
            <w:r>
              <w:rPr>
                <w:rFonts w:hint="eastAsia"/>
                <w:szCs w:val="20"/>
              </w:rPr>
              <w:t>必填项，必须为</w:t>
            </w:r>
            <w:r>
              <w:rPr>
                <w:szCs w:val="20"/>
              </w:rPr>
              <w:t>1</w:t>
            </w:r>
            <w:r>
              <w:rPr>
                <w:rFonts w:hint="eastAsia"/>
                <w:szCs w:val="20"/>
              </w:rPr>
              <w:t>或</w:t>
            </w:r>
            <w:r>
              <w:rPr>
                <w:szCs w:val="20"/>
              </w:rPr>
              <w:t>0</w:t>
            </w:r>
            <w:r>
              <w:rPr>
                <w:rFonts w:hint="eastAsia"/>
                <w:szCs w:val="20"/>
              </w:rPr>
              <w:t>：</w:t>
            </w:r>
          </w:p>
          <w:p w14:paraId="51456E01" w14:textId="77777777" w:rsidR="00A052DC" w:rsidRDefault="009F0A60">
            <w:pPr>
              <w:pStyle w:val="B"/>
              <w:widowControl w:val="0"/>
              <w:rPr>
                <w:szCs w:val="20"/>
              </w:rPr>
            </w:pPr>
            <w:r>
              <w:rPr>
                <w:szCs w:val="20"/>
              </w:rPr>
              <w:t>1-</w:t>
            </w:r>
            <w:r>
              <w:rPr>
                <w:rFonts w:hint="eastAsia"/>
                <w:szCs w:val="20"/>
              </w:rPr>
              <w:t>是</w:t>
            </w:r>
            <w:r w:rsidR="00FE361F">
              <w:rPr>
                <w:rFonts w:hint="eastAsia"/>
                <w:szCs w:val="20"/>
              </w:rPr>
              <w:t>，</w:t>
            </w:r>
          </w:p>
          <w:p w14:paraId="6F99F946" w14:textId="77777777" w:rsidR="00A052DC" w:rsidRDefault="009F0A60">
            <w:pPr>
              <w:pStyle w:val="B"/>
              <w:widowControl w:val="0"/>
              <w:rPr>
                <w:szCs w:val="20"/>
              </w:rPr>
            </w:pPr>
            <w:r>
              <w:rPr>
                <w:szCs w:val="20"/>
              </w:rPr>
              <w:t>0-</w:t>
            </w:r>
            <w:r>
              <w:rPr>
                <w:rFonts w:hint="eastAsia"/>
                <w:szCs w:val="20"/>
              </w:rPr>
              <w:t>否。</w:t>
            </w:r>
          </w:p>
        </w:tc>
      </w:tr>
      <w:tr w:rsidR="00A052DC" w14:paraId="1639A457" w14:textId="77777777">
        <w:trPr>
          <w:jc w:val="center"/>
        </w:trPr>
        <w:tc>
          <w:tcPr>
            <w:tcW w:w="1371" w:type="dxa"/>
            <w:shd w:val="clear" w:color="auto" w:fill="auto"/>
            <w:noWrap/>
          </w:tcPr>
          <w:p w14:paraId="7E8E354A" w14:textId="77777777" w:rsidR="00A052DC" w:rsidRDefault="009F0A60">
            <w:pPr>
              <w:pStyle w:val="B"/>
              <w:widowControl w:val="0"/>
              <w:rPr>
                <w:szCs w:val="20"/>
              </w:rPr>
            </w:pPr>
            <w:r>
              <w:rPr>
                <w:szCs w:val="20"/>
              </w:rPr>
              <w:t>A0112</w:t>
            </w:r>
          </w:p>
        </w:tc>
        <w:tc>
          <w:tcPr>
            <w:tcW w:w="1985" w:type="dxa"/>
            <w:shd w:val="clear" w:color="auto" w:fill="auto"/>
          </w:tcPr>
          <w:p w14:paraId="309F62CD" w14:textId="77777777" w:rsidR="00A052DC" w:rsidRDefault="009F0A60">
            <w:pPr>
              <w:pStyle w:val="B"/>
              <w:widowControl w:val="0"/>
              <w:rPr>
                <w:szCs w:val="20"/>
              </w:rPr>
            </w:pPr>
            <w:r>
              <w:rPr>
                <w:rFonts w:hint="eastAsia"/>
                <w:szCs w:val="20"/>
              </w:rPr>
              <w:t>期末会计记账币种（原币）</w:t>
            </w:r>
          </w:p>
        </w:tc>
        <w:tc>
          <w:tcPr>
            <w:tcW w:w="1559" w:type="dxa"/>
            <w:shd w:val="clear" w:color="auto" w:fill="auto"/>
            <w:noWrap/>
          </w:tcPr>
          <w:p w14:paraId="6D9E2EB5" w14:textId="77777777" w:rsidR="00A052DC" w:rsidRDefault="009F0A60">
            <w:pPr>
              <w:pStyle w:val="B"/>
              <w:widowControl w:val="0"/>
              <w:rPr>
                <w:szCs w:val="20"/>
              </w:rPr>
            </w:pPr>
            <w:r>
              <w:rPr>
                <w:szCs w:val="20"/>
              </w:rPr>
              <w:t>字符型，3</w:t>
            </w:r>
          </w:p>
        </w:tc>
        <w:tc>
          <w:tcPr>
            <w:tcW w:w="3580" w:type="dxa"/>
          </w:tcPr>
          <w:p w14:paraId="6872C698" w14:textId="77777777" w:rsidR="00A052DC" w:rsidRDefault="009F0A60">
            <w:pPr>
              <w:pStyle w:val="B"/>
              <w:widowControl w:val="0"/>
              <w:rPr>
                <w:szCs w:val="20"/>
              </w:rPr>
            </w:pPr>
            <w:r>
              <w:rPr>
                <w:rFonts w:hint="eastAsia"/>
                <w:szCs w:val="20"/>
              </w:rPr>
              <w:t>必填项，见币种代码表。</w:t>
            </w:r>
          </w:p>
        </w:tc>
      </w:tr>
      <w:tr w:rsidR="00A052DC" w14:paraId="1258A353" w14:textId="77777777">
        <w:trPr>
          <w:jc w:val="center"/>
        </w:trPr>
        <w:tc>
          <w:tcPr>
            <w:tcW w:w="1371" w:type="dxa"/>
            <w:shd w:val="clear" w:color="auto" w:fill="auto"/>
            <w:noWrap/>
          </w:tcPr>
          <w:p w14:paraId="3C625F65" w14:textId="77777777" w:rsidR="00A052DC" w:rsidRDefault="009F0A60">
            <w:pPr>
              <w:pStyle w:val="B"/>
              <w:widowControl w:val="0"/>
              <w:rPr>
                <w:szCs w:val="20"/>
              </w:rPr>
            </w:pPr>
            <w:r>
              <w:rPr>
                <w:szCs w:val="20"/>
              </w:rPr>
              <w:t>A0113</w:t>
            </w:r>
          </w:p>
        </w:tc>
        <w:tc>
          <w:tcPr>
            <w:tcW w:w="1985" w:type="dxa"/>
            <w:shd w:val="clear" w:color="auto" w:fill="auto"/>
          </w:tcPr>
          <w:p w14:paraId="24F26B9A" w14:textId="77777777" w:rsidR="00A052DC" w:rsidRDefault="009F0A60">
            <w:pPr>
              <w:pStyle w:val="B"/>
              <w:widowControl w:val="0"/>
              <w:rPr>
                <w:szCs w:val="20"/>
              </w:rPr>
            </w:pPr>
            <w:r>
              <w:rPr>
                <w:rFonts w:hint="eastAsia"/>
                <w:szCs w:val="20"/>
              </w:rPr>
              <w:t>期末资产</w:t>
            </w:r>
          </w:p>
        </w:tc>
        <w:tc>
          <w:tcPr>
            <w:tcW w:w="1559" w:type="dxa"/>
            <w:shd w:val="clear" w:color="auto" w:fill="auto"/>
            <w:noWrap/>
          </w:tcPr>
          <w:p w14:paraId="0316B87C" w14:textId="77777777" w:rsidR="00A052DC" w:rsidRDefault="009F0A60">
            <w:pPr>
              <w:pStyle w:val="B"/>
              <w:widowControl w:val="0"/>
              <w:rPr>
                <w:szCs w:val="20"/>
              </w:rPr>
            </w:pPr>
            <w:r>
              <w:rPr>
                <w:szCs w:val="20"/>
              </w:rPr>
              <w:t>数值型，22.2</w:t>
            </w:r>
          </w:p>
        </w:tc>
        <w:tc>
          <w:tcPr>
            <w:tcW w:w="3580" w:type="dxa"/>
          </w:tcPr>
          <w:p w14:paraId="19B00FBE" w14:textId="77777777" w:rsidR="00A052DC" w:rsidRDefault="009F0A60">
            <w:pPr>
              <w:pStyle w:val="B"/>
              <w:widowControl w:val="0"/>
              <w:rPr>
                <w:szCs w:val="20"/>
              </w:rPr>
            </w:pPr>
            <w:r>
              <w:rPr>
                <w:rFonts w:hint="eastAsia"/>
                <w:szCs w:val="20"/>
              </w:rPr>
              <w:t>必填项，</w:t>
            </w:r>
            <w:r>
              <w:rPr>
                <w:szCs w:val="20"/>
              </w:rPr>
              <w:t>A0113</w:t>
            </w:r>
            <w:r>
              <w:rPr>
                <w:rFonts w:hint="eastAsia"/>
                <w:szCs w:val="20"/>
              </w:rPr>
              <w:t>≥</w:t>
            </w:r>
            <w:r>
              <w:rPr>
                <w:szCs w:val="20"/>
              </w:rPr>
              <w:t>0</w:t>
            </w:r>
            <w:r>
              <w:rPr>
                <w:rFonts w:hint="eastAsia"/>
                <w:szCs w:val="20"/>
              </w:rPr>
              <w:t>。</w:t>
            </w:r>
          </w:p>
        </w:tc>
      </w:tr>
      <w:tr w:rsidR="00A052DC" w14:paraId="2511A2E8" w14:textId="77777777">
        <w:trPr>
          <w:jc w:val="center"/>
        </w:trPr>
        <w:tc>
          <w:tcPr>
            <w:tcW w:w="1371" w:type="dxa"/>
            <w:shd w:val="clear" w:color="auto" w:fill="auto"/>
            <w:noWrap/>
          </w:tcPr>
          <w:p w14:paraId="6D7E7394" w14:textId="77777777" w:rsidR="00A052DC" w:rsidRDefault="009F0A60">
            <w:pPr>
              <w:pStyle w:val="B"/>
              <w:widowControl w:val="0"/>
              <w:rPr>
                <w:szCs w:val="20"/>
              </w:rPr>
            </w:pPr>
            <w:r>
              <w:rPr>
                <w:szCs w:val="20"/>
              </w:rPr>
              <w:t>A0114</w:t>
            </w:r>
          </w:p>
        </w:tc>
        <w:tc>
          <w:tcPr>
            <w:tcW w:w="1985" w:type="dxa"/>
            <w:shd w:val="clear" w:color="auto" w:fill="auto"/>
          </w:tcPr>
          <w:p w14:paraId="2724D919" w14:textId="77777777" w:rsidR="00A052DC" w:rsidRDefault="009F0A60">
            <w:pPr>
              <w:pStyle w:val="B"/>
              <w:widowControl w:val="0"/>
              <w:rPr>
                <w:szCs w:val="20"/>
              </w:rPr>
            </w:pPr>
            <w:r>
              <w:rPr>
                <w:rFonts w:hint="eastAsia"/>
                <w:szCs w:val="20"/>
              </w:rPr>
              <w:t>期末负债</w:t>
            </w:r>
          </w:p>
        </w:tc>
        <w:tc>
          <w:tcPr>
            <w:tcW w:w="1559" w:type="dxa"/>
            <w:shd w:val="clear" w:color="auto" w:fill="auto"/>
            <w:noWrap/>
          </w:tcPr>
          <w:p w14:paraId="4BA94FF3" w14:textId="77777777" w:rsidR="00A052DC" w:rsidRDefault="009F0A60">
            <w:pPr>
              <w:pStyle w:val="B"/>
              <w:widowControl w:val="0"/>
              <w:rPr>
                <w:szCs w:val="20"/>
              </w:rPr>
            </w:pPr>
            <w:r>
              <w:rPr>
                <w:szCs w:val="20"/>
              </w:rPr>
              <w:t>数值型，22.2</w:t>
            </w:r>
          </w:p>
        </w:tc>
        <w:tc>
          <w:tcPr>
            <w:tcW w:w="3580" w:type="dxa"/>
            <w:shd w:val="clear" w:color="auto" w:fill="auto"/>
            <w:noWrap/>
          </w:tcPr>
          <w:p w14:paraId="396CFC23" w14:textId="77777777" w:rsidR="00A052DC" w:rsidRDefault="009F0A60">
            <w:pPr>
              <w:pStyle w:val="B"/>
              <w:widowControl w:val="0"/>
              <w:rPr>
                <w:szCs w:val="20"/>
              </w:rPr>
            </w:pPr>
            <w:r>
              <w:rPr>
                <w:rFonts w:hint="eastAsia"/>
                <w:szCs w:val="20"/>
              </w:rPr>
              <w:t>必填项，</w:t>
            </w:r>
            <w:r>
              <w:rPr>
                <w:szCs w:val="20"/>
              </w:rPr>
              <w:t>A0114</w:t>
            </w:r>
            <w:r>
              <w:rPr>
                <w:rFonts w:hint="eastAsia"/>
                <w:szCs w:val="20"/>
              </w:rPr>
              <w:t>≥</w:t>
            </w:r>
            <w:r>
              <w:rPr>
                <w:szCs w:val="20"/>
              </w:rPr>
              <w:t>0</w:t>
            </w:r>
            <w:r>
              <w:rPr>
                <w:rFonts w:hint="eastAsia"/>
                <w:szCs w:val="20"/>
              </w:rPr>
              <w:t>。</w:t>
            </w:r>
          </w:p>
        </w:tc>
      </w:tr>
      <w:tr w:rsidR="00A052DC" w14:paraId="323CF6B7" w14:textId="77777777">
        <w:trPr>
          <w:jc w:val="center"/>
        </w:trPr>
        <w:tc>
          <w:tcPr>
            <w:tcW w:w="1371" w:type="dxa"/>
            <w:shd w:val="clear" w:color="auto" w:fill="auto"/>
            <w:noWrap/>
          </w:tcPr>
          <w:p w14:paraId="30A3701B" w14:textId="77777777" w:rsidR="00A052DC" w:rsidRDefault="009F0A60">
            <w:pPr>
              <w:pStyle w:val="B"/>
              <w:widowControl w:val="0"/>
              <w:rPr>
                <w:szCs w:val="20"/>
              </w:rPr>
            </w:pPr>
            <w:r>
              <w:rPr>
                <w:szCs w:val="20"/>
              </w:rPr>
              <w:t>A0115</w:t>
            </w:r>
          </w:p>
        </w:tc>
        <w:tc>
          <w:tcPr>
            <w:tcW w:w="1985" w:type="dxa"/>
          </w:tcPr>
          <w:p w14:paraId="09107CC6" w14:textId="77777777" w:rsidR="00A052DC" w:rsidRDefault="009F0A60">
            <w:pPr>
              <w:pStyle w:val="B"/>
              <w:widowControl w:val="0"/>
              <w:rPr>
                <w:szCs w:val="20"/>
              </w:rPr>
            </w:pPr>
            <w:r>
              <w:rPr>
                <w:rFonts w:hint="eastAsia"/>
              </w:rPr>
              <w:t>期末负债中</w:t>
            </w:r>
            <w:r>
              <w:rPr>
                <w:rFonts w:hint="eastAsia"/>
                <w:szCs w:val="20"/>
              </w:rPr>
              <w:t>本机构</w:t>
            </w:r>
            <w:r>
              <w:rPr>
                <w:rFonts w:hint="eastAsia"/>
              </w:rPr>
              <w:t>拨付的营运资金</w:t>
            </w:r>
          </w:p>
        </w:tc>
        <w:tc>
          <w:tcPr>
            <w:tcW w:w="1559" w:type="dxa"/>
            <w:shd w:val="clear" w:color="auto" w:fill="auto"/>
            <w:noWrap/>
          </w:tcPr>
          <w:p w14:paraId="588F7DE9" w14:textId="77777777" w:rsidR="00A052DC" w:rsidRDefault="009F0A60">
            <w:pPr>
              <w:pStyle w:val="B"/>
              <w:widowControl w:val="0"/>
              <w:rPr>
                <w:szCs w:val="20"/>
              </w:rPr>
            </w:pPr>
            <w:r>
              <w:rPr>
                <w:szCs w:val="20"/>
              </w:rPr>
              <w:t>数值型，22.2</w:t>
            </w:r>
          </w:p>
        </w:tc>
        <w:tc>
          <w:tcPr>
            <w:tcW w:w="3580" w:type="dxa"/>
            <w:shd w:val="clear" w:color="auto" w:fill="auto"/>
            <w:noWrap/>
          </w:tcPr>
          <w:p w14:paraId="13DE4683" w14:textId="77777777" w:rsidR="00A052DC" w:rsidRDefault="009F0A60">
            <w:pPr>
              <w:pStyle w:val="B"/>
              <w:widowControl w:val="0"/>
              <w:rPr>
                <w:szCs w:val="20"/>
              </w:rPr>
            </w:pPr>
            <w:r>
              <w:rPr>
                <w:rFonts w:hint="eastAsia"/>
                <w:szCs w:val="20"/>
              </w:rPr>
              <w:t>必填项，必须满足：</w:t>
            </w:r>
          </w:p>
          <w:p w14:paraId="5143D486" w14:textId="77777777" w:rsidR="00A052DC" w:rsidRDefault="009F0A60">
            <w:pPr>
              <w:pStyle w:val="B"/>
              <w:widowControl w:val="0"/>
              <w:rPr>
                <w:szCs w:val="20"/>
              </w:rPr>
            </w:pPr>
            <w:r>
              <w:rPr>
                <w:szCs w:val="20"/>
              </w:rPr>
              <w:t>A0114</w:t>
            </w:r>
            <w:r>
              <w:rPr>
                <w:rFonts w:hint="eastAsia"/>
                <w:szCs w:val="20"/>
              </w:rPr>
              <w:t>≥</w:t>
            </w:r>
            <w:r>
              <w:rPr>
                <w:szCs w:val="20"/>
              </w:rPr>
              <w:t>A0115</w:t>
            </w:r>
            <w:r>
              <w:rPr>
                <w:rFonts w:hint="eastAsia"/>
                <w:szCs w:val="20"/>
              </w:rPr>
              <w:t>，且</w:t>
            </w:r>
            <w:r>
              <w:rPr>
                <w:szCs w:val="20"/>
              </w:rPr>
              <w:t>A0115</w:t>
            </w:r>
            <w:r>
              <w:rPr>
                <w:rFonts w:hint="eastAsia"/>
                <w:szCs w:val="20"/>
              </w:rPr>
              <w:t>≥</w:t>
            </w:r>
            <w:r>
              <w:rPr>
                <w:szCs w:val="20"/>
              </w:rPr>
              <w:t>0</w:t>
            </w:r>
            <w:r>
              <w:rPr>
                <w:rFonts w:hint="eastAsia"/>
                <w:szCs w:val="20"/>
              </w:rPr>
              <w:t>。</w:t>
            </w:r>
          </w:p>
        </w:tc>
      </w:tr>
      <w:tr w:rsidR="00A052DC" w14:paraId="42B4F103" w14:textId="77777777">
        <w:trPr>
          <w:jc w:val="center"/>
        </w:trPr>
        <w:tc>
          <w:tcPr>
            <w:tcW w:w="1371" w:type="dxa"/>
            <w:shd w:val="clear" w:color="auto" w:fill="auto"/>
            <w:noWrap/>
          </w:tcPr>
          <w:p w14:paraId="67D1A2BE" w14:textId="77777777" w:rsidR="00A052DC" w:rsidRDefault="009F0A60">
            <w:pPr>
              <w:pStyle w:val="B"/>
              <w:widowControl w:val="0"/>
              <w:rPr>
                <w:szCs w:val="20"/>
              </w:rPr>
            </w:pPr>
            <w:r>
              <w:rPr>
                <w:szCs w:val="20"/>
              </w:rPr>
              <w:t>A0116</w:t>
            </w:r>
          </w:p>
        </w:tc>
        <w:tc>
          <w:tcPr>
            <w:tcW w:w="1985" w:type="dxa"/>
            <w:shd w:val="clear" w:color="auto" w:fill="auto"/>
          </w:tcPr>
          <w:p w14:paraId="705D522D" w14:textId="77777777" w:rsidR="00A052DC" w:rsidRDefault="009F0A60">
            <w:pPr>
              <w:pStyle w:val="B"/>
              <w:widowControl w:val="0"/>
              <w:rPr>
                <w:szCs w:val="20"/>
              </w:rPr>
            </w:pPr>
            <w:r>
              <w:rPr>
                <w:rFonts w:hint="eastAsia"/>
              </w:rPr>
              <w:t>期末</w:t>
            </w:r>
            <w:r>
              <w:rPr>
                <w:rFonts w:hint="eastAsia"/>
                <w:szCs w:val="20"/>
              </w:rPr>
              <w:t>归属于被投资</w:t>
            </w:r>
            <w:r>
              <w:rPr>
                <w:rFonts w:hint="eastAsia"/>
              </w:rPr>
              <w:t>所有者</w:t>
            </w:r>
            <w:r>
              <w:rPr>
                <w:rFonts w:hint="eastAsia"/>
                <w:szCs w:val="20"/>
              </w:rPr>
              <w:t>的</w:t>
            </w:r>
            <w:r>
              <w:rPr>
                <w:rFonts w:hint="eastAsia"/>
              </w:rPr>
              <w:t>权益</w:t>
            </w:r>
          </w:p>
        </w:tc>
        <w:tc>
          <w:tcPr>
            <w:tcW w:w="1559" w:type="dxa"/>
            <w:shd w:val="clear" w:color="auto" w:fill="auto"/>
            <w:noWrap/>
          </w:tcPr>
          <w:p w14:paraId="47266B8D" w14:textId="77777777" w:rsidR="00A052DC" w:rsidRDefault="009F0A60">
            <w:pPr>
              <w:pStyle w:val="B"/>
              <w:widowControl w:val="0"/>
              <w:rPr>
                <w:szCs w:val="20"/>
              </w:rPr>
            </w:pPr>
            <w:r>
              <w:rPr>
                <w:szCs w:val="20"/>
              </w:rPr>
              <w:t>数值型，22.2</w:t>
            </w:r>
          </w:p>
        </w:tc>
        <w:tc>
          <w:tcPr>
            <w:tcW w:w="3580" w:type="dxa"/>
            <w:shd w:val="clear" w:color="auto" w:fill="auto"/>
            <w:noWrap/>
          </w:tcPr>
          <w:p w14:paraId="27F8ECF2" w14:textId="77777777" w:rsidR="00A052DC" w:rsidRDefault="009F0A60">
            <w:pPr>
              <w:pStyle w:val="B"/>
              <w:widowControl w:val="0"/>
              <w:rPr>
                <w:szCs w:val="20"/>
              </w:rPr>
            </w:pPr>
            <w:r>
              <w:rPr>
                <w:rFonts w:hint="eastAsia"/>
                <w:szCs w:val="20"/>
              </w:rPr>
              <w:t>必填项。必须满足：</w:t>
            </w:r>
          </w:p>
          <w:p w14:paraId="13A6C8E6" w14:textId="77777777" w:rsidR="00A052DC" w:rsidRDefault="009F0A60">
            <w:pPr>
              <w:rPr>
                <w:rFonts w:ascii="黑体" w:eastAsia="黑体" w:hAnsi="黑体"/>
                <w:kern w:val="0"/>
                <w:sz w:val="20"/>
                <w:szCs w:val="20"/>
              </w:rPr>
            </w:pPr>
            <w:r>
              <w:rPr>
                <w:rFonts w:ascii="黑体" w:eastAsia="黑体" w:hAnsi="黑体"/>
                <w:kern w:val="0"/>
                <w:sz w:val="20"/>
                <w:szCs w:val="20"/>
              </w:rPr>
              <w:t>A0113-A0114=A0116+A0122，</w:t>
            </w:r>
            <w:r>
              <w:rPr>
                <w:rFonts w:ascii="黑体" w:eastAsia="黑体" w:hAnsi="黑体" w:hint="eastAsia"/>
                <w:kern w:val="0"/>
                <w:sz w:val="20"/>
                <w:szCs w:val="20"/>
              </w:rPr>
              <w:t>且</w:t>
            </w:r>
          </w:p>
          <w:p w14:paraId="0075CFE3" w14:textId="77777777" w:rsidR="00A052DC" w:rsidRDefault="009F0A60">
            <w:pPr>
              <w:rPr>
                <w:rFonts w:ascii="黑体" w:eastAsia="黑体" w:hAnsi="黑体"/>
                <w:kern w:val="0"/>
                <w:sz w:val="20"/>
                <w:szCs w:val="20"/>
              </w:rPr>
            </w:pPr>
            <w:r>
              <w:rPr>
                <w:rFonts w:ascii="黑体" w:eastAsia="黑体" w:hAnsi="黑体"/>
                <w:kern w:val="0"/>
                <w:sz w:val="20"/>
                <w:szCs w:val="20"/>
              </w:rPr>
              <w:t>A0116=A0117+A0118+A0119+A0120+A0121。</w:t>
            </w:r>
          </w:p>
        </w:tc>
      </w:tr>
      <w:tr w:rsidR="00A052DC" w14:paraId="3D278CA3" w14:textId="77777777">
        <w:trPr>
          <w:jc w:val="center"/>
        </w:trPr>
        <w:tc>
          <w:tcPr>
            <w:tcW w:w="1371" w:type="dxa"/>
            <w:shd w:val="clear" w:color="auto" w:fill="auto"/>
            <w:noWrap/>
          </w:tcPr>
          <w:p w14:paraId="328EC6C0" w14:textId="77777777" w:rsidR="00A052DC" w:rsidRDefault="009F0A60">
            <w:pPr>
              <w:pStyle w:val="B"/>
              <w:widowControl w:val="0"/>
              <w:rPr>
                <w:szCs w:val="20"/>
              </w:rPr>
            </w:pPr>
            <w:r>
              <w:rPr>
                <w:szCs w:val="20"/>
              </w:rPr>
              <w:t>A0117</w:t>
            </w:r>
          </w:p>
        </w:tc>
        <w:tc>
          <w:tcPr>
            <w:tcW w:w="1985" w:type="dxa"/>
          </w:tcPr>
          <w:p w14:paraId="2A6B7DB5" w14:textId="77777777" w:rsidR="00A052DC" w:rsidRDefault="009F0A60">
            <w:pPr>
              <w:pStyle w:val="B"/>
              <w:widowControl w:val="0"/>
              <w:rPr>
                <w:szCs w:val="20"/>
              </w:rPr>
            </w:pPr>
            <w:r>
              <w:rPr>
                <w:rFonts w:hint="eastAsia"/>
              </w:rPr>
              <w:t>实收资本</w:t>
            </w:r>
          </w:p>
        </w:tc>
        <w:tc>
          <w:tcPr>
            <w:tcW w:w="1559" w:type="dxa"/>
            <w:shd w:val="clear" w:color="auto" w:fill="auto"/>
            <w:noWrap/>
          </w:tcPr>
          <w:p w14:paraId="78C246F1" w14:textId="77777777" w:rsidR="00A052DC" w:rsidRDefault="009F0A60">
            <w:pPr>
              <w:pStyle w:val="B"/>
              <w:widowControl w:val="0"/>
              <w:rPr>
                <w:szCs w:val="20"/>
              </w:rPr>
            </w:pPr>
            <w:r>
              <w:rPr>
                <w:szCs w:val="20"/>
              </w:rPr>
              <w:t>数值型，22.2</w:t>
            </w:r>
          </w:p>
        </w:tc>
        <w:tc>
          <w:tcPr>
            <w:tcW w:w="3580" w:type="dxa"/>
            <w:shd w:val="clear" w:color="auto" w:fill="auto"/>
            <w:noWrap/>
          </w:tcPr>
          <w:p w14:paraId="5028829C" w14:textId="77777777" w:rsidR="00A052DC" w:rsidRDefault="009F0A60">
            <w:pPr>
              <w:pStyle w:val="B"/>
              <w:widowControl w:val="0"/>
              <w:rPr>
                <w:szCs w:val="20"/>
              </w:rPr>
            </w:pPr>
            <w:r>
              <w:rPr>
                <w:rFonts w:hint="eastAsia"/>
                <w:szCs w:val="20"/>
              </w:rPr>
              <w:t>必填项。</w:t>
            </w:r>
          </w:p>
        </w:tc>
      </w:tr>
      <w:tr w:rsidR="00A052DC" w14:paraId="791D2E27" w14:textId="77777777">
        <w:trPr>
          <w:jc w:val="center"/>
        </w:trPr>
        <w:tc>
          <w:tcPr>
            <w:tcW w:w="1371" w:type="dxa"/>
            <w:shd w:val="clear" w:color="auto" w:fill="auto"/>
            <w:noWrap/>
          </w:tcPr>
          <w:p w14:paraId="314B2D9F" w14:textId="77777777" w:rsidR="00A052DC" w:rsidRDefault="009F0A60">
            <w:pPr>
              <w:pStyle w:val="B"/>
              <w:widowControl w:val="0"/>
              <w:rPr>
                <w:szCs w:val="20"/>
              </w:rPr>
            </w:pPr>
            <w:r>
              <w:rPr>
                <w:szCs w:val="20"/>
              </w:rPr>
              <w:t>A0118</w:t>
            </w:r>
          </w:p>
        </w:tc>
        <w:tc>
          <w:tcPr>
            <w:tcW w:w="1985" w:type="dxa"/>
          </w:tcPr>
          <w:p w14:paraId="2C21EF86" w14:textId="77777777" w:rsidR="00A052DC" w:rsidRDefault="009F0A60">
            <w:pPr>
              <w:pStyle w:val="B"/>
              <w:widowControl w:val="0"/>
              <w:rPr>
                <w:szCs w:val="20"/>
              </w:rPr>
            </w:pPr>
            <w:r>
              <w:rPr>
                <w:rFonts w:hint="eastAsia"/>
              </w:rPr>
              <w:t>资本公积</w:t>
            </w:r>
          </w:p>
        </w:tc>
        <w:tc>
          <w:tcPr>
            <w:tcW w:w="1559" w:type="dxa"/>
            <w:shd w:val="clear" w:color="auto" w:fill="auto"/>
            <w:noWrap/>
          </w:tcPr>
          <w:p w14:paraId="2CEEBB73" w14:textId="77777777" w:rsidR="00A052DC" w:rsidRDefault="009F0A60">
            <w:pPr>
              <w:pStyle w:val="B"/>
              <w:widowControl w:val="0"/>
              <w:rPr>
                <w:szCs w:val="20"/>
              </w:rPr>
            </w:pPr>
            <w:r>
              <w:rPr>
                <w:szCs w:val="20"/>
              </w:rPr>
              <w:t>数值型，22.2</w:t>
            </w:r>
          </w:p>
        </w:tc>
        <w:tc>
          <w:tcPr>
            <w:tcW w:w="3580" w:type="dxa"/>
            <w:shd w:val="clear" w:color="auto" w:fill="auto"/>
            <w:noWrap/>
          </w:tcPr>
          <w:p w14:paraId="5D9A0776" w14:textId="77777777" w:rsidR="00A052DC" w:rsidRDefault="009F0A60">
            <w:pPr>
              <w:pStyle w:val="B"/>
              <w:widowControl w:val="0"/>
              <w:rPr>
                <w:szCs w:val="20"/>
              </w:rPr>
            </w:pPr>
            <w:r>
              <w:rPr>
                <w:rFonts w:hint="eastAsia"/>
                <w:szCs w:val="20"/>
              </w:rPr>
              <w:t>必填项。</w:t>
            </w:r>
          </w:p>
        </w:tc>
      </w:tr>
      <w:tr w:rsidR="00A052DC" w14:paraId="785B1BA3" w14:textId="77777777">
        <w:trPr>
          <w:jc w:val="center"/>
        </w:trPr>
        <w:tc>
          <w:tcPr>
            <w:tcW w:w="1371" w:type="dxa"/>
            <w:shd w:val="clear" w:color="auto" w:fill="auto"/>
            <w:noWrap/>
          </w:tcPr>
          <w:p w14:paraId="6F808AC5" w14:textId="77777777" w:rsidR="00A052DC" w:rsidRDefault="009F0A60">
            <w:pPr>
              <w:pStyle w:val="B"/>
              <w:widowControl w:val="0"/>
              <w:rPr>
                <w:szCs w:val="20"/>
              </w:rPr>
            </w:pPr>
            <w:r>
              <w:rPr>
                <w:szCs w:val="20"/>
              </w:rPr>
              <w:t>A0119</w:t>
            </w:r>
          </w:p>
        </w:tc>
        <w:tc>
          <w:tcPr>
            <w:tcW w:w="1985" w:type="dxa"/>
          </w:tcPr>
          <w:p w14:paraId="3158AA78" w14:textId="77777777" w:rsidR="00A052DC" w:rsidRDefault="009F0A60">
            <w:pPr>
              <w:pStyle w:val="B"/>
              <w:widowControl w:val="0"/>
              <w:rPr>
                <w:szCs w:val="20"/>
              </w:rPr>
            </w:pPr>
            <w:r>
              <w:rPr>
                <w:rFonts w:hint="eastAsia"/>
              </w:rPr>
              <w:t>盈余公积</w:t>
            </w:r>
          </w:p>
        </w:tc>
        <w:tc>
          <w:tcPr>
            <w:tcW w:w="1559" w:type="dxa"/>
            <w:shd w:val="clear" w:color="auto" w:fill="auto"/>
            <w:noWrap/>
          </w:tcPr>
          <w:p w14:paraId="31907DA9" w14:textId="77777777" w:rsidR="00A052DC" w:rsidRDefault="009F0A60">
            <w:pPr>
              <w:pStyle w:val="B"/>
              <w:widowControl w:val="0"/>
              <w:rPr>
                <w:szCs w:val="20"/>
              </w:rPr>
            </w:pPr>
            <w:r>
              <w:rPr>
                <w:szCs w:val="20"/>
              </w:rPr>
              <w:t>数值型，22.2</w:t>
            </w:r>
          </w:p>
        </w:tc>
        <w:tc>
          <w:tcPr>
            <w:tcW w:w="3580" w:type="dxa"/>
            <w:shd w:val="clear" w:color="auto" w:fill="auto"/>
            <w:noWrap/>
          </w:tcPr>
          <w:p w14:paraId="0F317B7D" w14:textId="77777777" w:rsidR="00A052DC" w:rsidRDefault="009F0A60">
            <w:pPr>
              <w:pStyle w:val="B"/>
              <w:widowControl w:val="0"/>
              <w:rPr>
                <w:szCs w:val="20"/>
              </w:rPr>
            </w:pPr>
            <w:r>
              <w:rPr>
                <w:rFonts w:hint="eastAsia"/>
                <w:szCs w:val="20"/>
              </w:rPr>
              <w:t>必填项。</w:t>
            </w:r>
          </w:p>
        </w:tc>
      </w:tr>
      <w:tr w:rsidR="00A052DC" w14:paraId="2AF77CF7" w14:textId="77777777">
        <w:trPr>
          <w:jc w:val="center"/>
        </w:trPr>
        <w:tc>
          <w:tcPr>
            <w:tcW w:w="1371" w:type="dxa"/>
            <w:shd w:val="clear" w:color="auto" w:fill="auto"/>
            <w:noWrap/>
          </w:tcPr>
          <w:p w14:paraId="5A402304" w14:textId="77777777" w:rsidR="00A052DC" w:rsidRDefault="009F0A60">
            <w:pPr>
              <w:pStyle w:val="B"/>
              <w:widowControl w:val="0"/>
              <w:rPr>
                <w:szCs w:val="20"/>
              </w:rPr>
            </w:pPr>
            <w:r>
              <w:rPr>
                <w:szCs w:val="20"/>
              </w:rPr>
              <w:t>A0120</w:t>
            </w:r>
          </w:p>
        </w:tc>
        <w:tc>
          <w:tcPr>
            <w:tcW w:w="1985" w:type="dxa"/>
          </w:tcPr>
          <w:p w14:paraId="698C3262" w14:textId="77777777" w:rsidR="00A052DC" w:rsidRDefault="009F0A60">
            <w:pPr>
              <w:pStyle w:val="B"/>
              <w:widowControl w:val="0"/>
              <w:rPr>
                <w:szCs w:val="20"/>
              </w:rPr>
            </w:pPr>
            <w:r>
              <w:rPr>
                <w:rFonts w:hint="eastAsia"/>
              </w:rPr>
              <w:t>未分配利润</w:t>
            </w:r>
          </w:p>
        </w:tc>
        <w:tc>
          <w:tcPr>
            <w:tcW w:w="1559" w:type="dxa"/>
            <w:shd w:val="clear" w:color="auto" w:fill="auto"/>
            <w:noWrap/>
          </w:tcPr>
          <w:p w14:paraId="4275C2F3" w14:textId="77777777" w:rsidR="00A052DC" w:rsidRDefault="009F0A60">
            <w:pPr>
              <w:pStyle w:val="B"/>
              <w:widowControl w:val="0"/>
              <w:rPr>
                <w:szCs w:val="20"/>
              </w:rPr>
            </w:pPr>
            <w:r>
              <w:rPr>
                <w:szCs w:val="20"/>
              </w:rPr>
              <w:t>数值型，22.2</w:t>
            </w:r>
          </w:p>
        </w:tc>
        <w:tc>
          <w:tcPr>
            <w:tcW w:w="3580" w:type="dxa"/>
            <w:shd w:val="clear" w:color="auto" w:fill="auto"/>
            <w:noWrap/>
          </w:tcPr>
          <w:p w14:paraId="3AC4CCF4" w14:textId="77777777" w:rsidR="00A052DC" w:rsidRDefault="009F0A60">
            <w:pPr>
              <w:pStyle w:val="B"/>
              <w:widowControl w:val="0"/>
              <w:rPr>
                <w:szCs w:val="20"/>
              </w:rPr>
            </w:pPr>
            <w:r>
              <w:rPr>
                <w:rFonts w:hint="eastAsia"/>
                <w:szCs w:val="20"/>
              </w:rPr>
              <w:t>必填项。</w:t>
            </w:r>
          </w:p>
        </w:tc>
      </w:tr>
      <w:tr w:rsidR="00A052DC" w14:paraId="7FB16B89" w14:textId="77777777">
        <w:trPr>
          <w:jc w:val="center"/>
        </w:trPr>
        <w:tc>
          <w:tcPr>
            <w:tcW w:w="1371" w:type="dxa"/>
            <w:shd w:val="clear" w:color="auto" w:fill="auto"/>
            <w:noWrap/>
          </w:tcPr>
          <w:p w14:paraId="7381DEC7" w14:textId="77777777" w:rsidR="00A052DC" w:rsidRDefault="009F0A60">
            <w:pPr>
              <w:pStyle w:val="B"/>
              <w:widowControl w:val="0"/>
              <w:rPr>
                <w:szCs w:val="20"/>
              </w:rPr>
            </w:pPr>
            <w:r>
              <w:rPr>
                <w:szCs w:val="20"/>
              </w:rPr>
              <w:t>A0121</w:t>
            </w:r>
          </w:p>
        </w:tc>
        <w:tc>
          <w:tcPr>
            <w:tcW w:w="1985" w:type="dxa"/>
          </w:tcPr>
          <w:p w14:paraId="584C6A55" w14:textId="77777777" w:rsidR="00A052DC" w:rsidRDefault="009F0A60">
            <w:pPr>
              <w:pStyle w:val="B"/>
              <w:widowControl w:val="0"/>
              <w:rPr>
                <w:szCs w:val="20"/>
              </w:rPr>
            </w:pPr>
            <w:r>
              <w:rPr>
                <w:rFonts w:hint="eastAsia"/>
              </w:rPr>
              <w:t>其他</w:t>
            </w:r>
          </w:p>
        </w:tc>
        <w:tc>
          <w:tcPr>
            <w:tcW w:w="1559" w:type="dxa"/>
            <w:shd w:val="clear" w:color="auto" w:fill="auto"/>
            <w:noWrap/>
          </w:tcPr>
          <w:p w14:paraId="06982A68" w14:textId="77777777" w:rsidR="00A052DC" w:rsidRDefault="009F0A60">
            <w:pPr>
              <w:pStyle w:val="B"/>
              <w:widowControl w:val="0"/>
              <w:rPr>
                <w:szCs w:val="20"/>
              </w:rPr>
            </w:pPr>
            <w:r>
              <w:rPr>
                <w:szCs w:val="20"/>
              </w:rPr>
              <w:t>数值型，22.2</w:t>
            </w:r>
          </w:p>
        </w:tc>
        <w:tc>
          <w:tcPr>
            <w:tcW w:w="3580" w:type="dxa"/>
            <w:shd w:val="clear" w:color="auto" w:fill="auto"/>
            <w:noWrap/>
          </w:tcPr>
          <w:p w14:paraId="169F7DFF" w14:textId="77777777" w:rsidR="00A052DC" w:rsidRDefault="009F0A60">
            <w:pPr>
              <w:pStyle w:val="B"/>
              <w:widowControl w:val="0"/>
              <w:rPr>
                <w:szCs w:val="20"/>
              </w:rPr>
            </w:pPr>
            <w:r>
              <w:rPr>
                <w:rFonts w:hint="eastAsia"/>
                <w:szCs w:val="20"/>
              </w:rPr>
              <w:t>必填项。</w:t>
            </w:r>
          </w:p>
        </w:tc>
      </w:tr>
      <w:tr w:rsidR="00A052DC" w14:paraId="5A7E666D" w14:textId="77777777">
        <w:trPr>
          <w:jc w:val="center"/>
        </w:trPr>
        <w:tc>
          <w:tcPr>
            <w:tcW w:w="1371" w:type="dxa"/>
            <w:shd w:val="clear" w:color="auto" w:fill="auto"/>
            <w:noWrap/>
          </w:tcPr>
          <w:p w14:paraId="5477670C" w14:textId="77777777" w:rsidR="00A052DC" w:rsidRDefault="009F0A60">
            <w:pPr>
              <w:pStyle w:val="B"/>
              <w:widowControl w:val="0"/>
              <w:rPr>
                <w:szCs w:val="20"/>
              </w:rPr>
            </w:pPr>
            <w:r>
              <w:rPr>
                <w:szCs w:val="20"/>
              </w:rPr>
              <w:t>A0122</w:t>
            </w:r>
          </w:p>
        </w:tc>
        <w:tc>
          <w:tcPr>
            <w:tcW w:w="1985" w:type="dxa"/>
            <w:shd w:val="clear" w:color="auto" w:fill="auto"/>
          </w:tcPr>
          <w:p w14:paraId="03B91001" w14:textId="77777777" w:rsidR="00A052DC" w:rsidRDefault="009F0A60">
            <w:pPr>
              <w:pStyle w:val="B"/>
              <w:widowControl w:val="0"/>
              <w:rPr>
                <w:szCs w:val="20"/>
              </w:rPr>
            </w:pPr>
            <w:r>
              <w:rPr>
                <w:rFonts w:hint="eastAsia"/>
                <w:szCs w:val="20"/>
              </w:rPr>
              <w:t>期末少数股东权益</w:t>
            </w:r>
          </w:p>
        </w:tc>
        <w:tc>
          <w:tcPr>
            <w:tcW w:w="1559" w:type="dxa"/>
            <w:shd w:val="clear" w:color="auto" w:fill="auto"/>
            <w:noWrap/>
          </w:tcPr>
          <w:p w14:paraId="6DA7A544" w14:textId="77777777" w:rsidR="00A052DC" w:rsidRDefault="009F0A60">
            <w:pPr>
              <w:pStyle w:val="B"/>
              <w:widowControl w:val="0"/>
              <w:rPr>
                <w:szCs w:val="20"/>
              </w:rPr>
            </w:pPr>
            <w:r>
              <w:rPr>
                <w:szCs w:val="20"/>
              </w:rPr>
              <w:t>数值型，22.2</w:t>
            </w:r>
          </w:p>
        </w:tc>
        <w:tc>
          <w:tcPr>
            <w:tcW w:w="3580" w:type="dxa"/>
          </w:tcPr>
          <w:p w14:paraId="537C16AA" w14:textId="77777777" w:rsidR="00A052DC" w:rsidRDefault="009F0A60">
            <w:pPr>
              <w:pStyle w:val="B"/>
              <w:widowControl w:val="0"/>
              <w:rPr>
                <w:szCs w:val="20"/>
              </w:rPr>
            </w:pPr>
            <w:r>
              <w:rPr>
                <w:rFonts w:hint="eastAsia"/>
                <w:szCs w:val="20"/>
              </w:rPr>
              <w:t>必填项。</w:t>
            </w:r>
          </w:p>
        </w:tc>
      </w:tr>
      <w:tr w:rsidR="00A052DC" w14:paraId="564483A3" w14:textId="77777777">
        <w:trPr>
          <w:jc w:val="center"/>
        </w:trPr>
        <w:tc>
          <w:tcPr>
            <w:tcW w:w="1371" w:type="dxa"/>
            <w:shd w:val="clear" w:color="auto" w:fill="auto"/>
            <w:noWrap/>
          </w:tcPr>
          <w:p w14:paraId="3E2C484D" w14:textId="77777777" w:rsidR="00A052DC" w:rsidRDefault="009F0A60">
            <w:pPr>
              <w:pStyle w:val="B"/>
              <w:widowControl w:val="0"/>
              <w:rPr>
                <w:szCs w:val="20"/>
              </w:rPr>
            </w:pPr>
            <w:r>
              <w:rPr>
                <w:szCs w:val="20"/>
              </w:rPr>
              <w:t>A0123</w:t>
            </w:r>
          </w:p>
        </w:tc>
        <w:tc>
          <w:tcPr>
            <w:tcW w:w="1985" w:type="dxa"/>
            <w:shd w:val="clear" w:color="auto" w:fill="auto"/>
          </w:tcPr>
          <w:p w14:paraId="43DE909B" w14:textId="77777777" w:rsidR="00A052DC" w:rsidRDefault="009F0A60">
            <w:pPr>
              <w:pStyle w:val="B"/>
              <w:widowControl w:val="0"/>
              <w:rPr>
                <w:szCs w:val="20"/>
              </w:rPr>
            </w:pPr>
            <w:r>
              <w:rPr>
                <w:rFonts w:hint="eastAsia"/>
                <w:szCs w:val="20"/>
              </w:rPr>
              <w:t>本月</w:t>
            </w:r>
            <w:r>
              <w:rPr>
                <w:rFonts w:hint="eastAsia"/>
              </w:rPr>
              <w:t>利润总额</w:t>
            </w:r>
          </w:p>
        </w:tc>
        <w:tc>
          <w:tcPr>
            <w:tcW w:w="1559" w:type="dxa"/>
            <w:shd w:val="clear" w:color="auto" w:fill="auto"/>
            <w:noWrap/>
          </w:tcPr>
          <w:p w14:paraId="4C5E73F5" w14:textId="77777777" w:rsidR="00A052DC" w:rsidRDefault="009F0A60">
            <w:pPr>
              <w:pStyle w:val="B"/>
              <w:widowControl w:val="0"/>
              <w:rPr>
                <w:szCs w:val="20"/>
              </w:rPr>
            </w:pPr>
            <w:r>
              <w:rPr>
                <w:szCs w:val="20"/>
              </w:rPr>
              <w:t>数值型，22.2</w:t>
            </w:r>
          </w:p>
        </w:tc>
        <w:tc>
          <w:tcPr>
            <w:tcW w:w="3580" w:type="dxa"/>
          </w:tcPr>
          <w:p w14:paraId="5E935C30" w14:textId="77777777" w:rsidR="00A052DC" w:rsidRDefault="009F0A60">
            <w:pPr>
              <w:pStyle w:val="B"/>
              <w:widowControl w:val="0"/>
              <w:rPr>
                <w:szCs w:val="20"/>
              </w:rPr>
            </w:pPr>
            <w:r>
              <w:rPr>
                <w:rFonts w:hint="eastAsia"/>
                <w:szCs w:val="20"/>
              </w:rPr>
              <w:t>必填项。</w:t>
            </w:r>
          </w:p>
        </w:tc>
      </w:tr>
      <w:tr w:rsidR="00A052DC" w14:paraId="4581A54C" w14:textId="77777777">
        <w:trPr>
          <w:jc w:val="center"/>
        </w:trPr>
        <w:tc>
          <w:tcPr>
            <w:tcW w:w="1371" w:type="dxa"/>
            <w:shd w:val="clear" w:color="auto" w:fill="auto"/>
            <w:noWrap/>
          </w:tcPr>
          <w:p w14:paraId="1D7AFB21" w14:textId="77777777" w:rsidR="00A052DC" w:rsidRDefault="009F0A60">
            <w:pPr>
              <w:pStyle w:val="B"/>
              <w:widowControl w:val="0"/>
              <w:rPr>
                <w:szCs w:val="20"/>
              </w:rPr>
            </w:pPr>
            <w:r>
              <w:rPr>
                <w:szCs w:val="20"/>
              </w:rPr>
              <w:t>A0124</w:t>
            </w:r>
          </w:p>
        </w:tc>
        <w:tc>
          <w:tcPr>
            <w:tcW w:w="1985" w:type="dxa"/>
            <w:shd w:val="clear" w:color="auto" w:fill="auto"/>
          </w:tcPr>
          <w:p w14:paraId="1200DE95" w14:textId="77777777" w:rsidR="00A052DC" w:rsidRDefault="009F0A60">
            <w:pPr>
              <w:pStyle w:val="B"/>
              <w:widowControl w:val="0"/>
              <w:rPr>
                <w:szCs w:val="20"/>
              </w:rPr>
            </w:pPr>
            <w:r>
              <w:rPr>
                <w:rFonts w:hint="eastAsia"/>
                <w:szCs w:val="20"/>
              </w:rPr>
              <w:t>本月</w:t>
            </w:r>
            <w:r>
              <w:rPr>
                <w:rFonts w:hint="eastAsia"/>
              </w:rPr>
              <w:t>净利润</w:t>
            </w:r>
          </w:p>
        </w:tc>
        <w:tc>
          <w:tcPr>
            <w:tcW w:w="1559" w:type="dxa"/>
            <w:shd w:val="clear" w:color="auto" w:fill="auto"/>
            <w:noWrap/>
          </w:tcPr>
          <w:p w14:paraId="4667B971" w14:textId="77777777" w:rsidR="00A052DC" w:rsidRDefault="009F0A60">
            <w:pPr>
              <w:pStyle w:val="B"/>
              <w:widowControl w:val="0"/>
              <w:rPr>
                <w:szCs w:val="20"/>
              </w:rPr>
            </w:pPr>
            <w:r>
              <w:rPr>
                <w:szCs w:val="20"/>
              </w:rPr>
              <w:t>数值型，22.2</w:t>
            </w:r>
          </w:p>
        </w:tc>
        <w:tc>
          <w:tcPr>
            <w:tcW w:w="3580" w:type="dxa"/>
          </w:tcPr>
          <w:p w14:paraId="1442108D" w14:textId="77777777" w:rsidR="00A052DC" w:rsidRDefault="009F0A60">
            <w:pPr>
              <w:pStyle w:val="B"/>
              <w:widowControl w:val="0"/>
              <w:rPr>
                <w:szCs w:val="20"/>
              </w:rPr>
            </w:pPr>
            <w:r>
              <w:rPr>
                <w:rFonts w:hint="eastAsia"/>
                <w:szCs w:val="20"/>
              </w:rPr>
              <w:t>必填项。</w:t>
            </w:r>
          </w:p>
        </w:tc>
      </w:tr>
      <w:tr w:rsidR="00A052DC" w14:paraId="1330F9F9" w14:textId="77777777">
        <w:trPr>
          <w:jc w:val="center"/>
        </w:trPr>
        <w:tc>
          <w:tcPr>
            <w:tcW w:w="1371" w:type="dxa"/>
            <w:shd w:val="clear" w:color="auto" w:fill="auto"/>
            <w:noWrap/>
          </w:tcPr>
          <w:p w14:paraId="19AF37AB" w14:textId="77777777" w:rsidR="00A052DC" w:rsidRDefault="009F0A60">
            <w:pPr>
              <w:pStyle w:val="B"/>
              <w:widowControl w:val="0"/>
              <w:rPr>
                <w:szCs w:val="20"/>
              </w:rPr>
            </w:pPr>
            <w:r>
              <w:rPr>
                <w:szCs w:val="20"/>
              </w:rPr>
              <w:t>A0125</w:t>
            </w:r>
          </w:p>
        </w:tc>
        <w:tc>
          <w:tcPr>
            <w:tcW w:w="1985" w:type="dxa"/>
            <w:shd w:val="clear" w:color="auto" w:fill="auto"/>
          </w:tcPr>
          <w:p w14:paraId="71F7538A" w14:textId="77777777" w:rsidR="00A052DC" w:rsidRDefault="009F0A60">
            <w:pPr>
              <w:pStyle w:val="B"/>
              <w:widowControl w:val="0"/>
              <w:rPr>
                <w:szCs w:val="20"/>
              </w:rPr>
            </w:pPr>
            <w:r>
              <w:rPr>
                <w:rFonts w:hint="eastAsia"/>
                <w:szCs w:val="20"/>
              </w:rPr>
              <w:t>本月</w:t>
            </w:r>
            <w:r>
              <w:rPr>
                <w:rFonts w:hint="eastAsia"/>
              </w:rPr>
              <w:t>宣告分配（申报主体）利润</w:t>
            </w:r>
          </w:p>
        </w:tc>
        <w:tc>
          <w:tcPr>
            <w:tcW w:w="1559" w:type="dxa"/>
            <w:shd w:val="clear" w:color="auto" w:fill="auto"/>
            <w:noWrap/>
          </w:tcPr>
          <w:p w14:paraId="384CCCB8" w14:textId="77777777" w:rsidR="00A052DC" w:rsidRDefault="009F0A60">
            <w:pPr>
              <w:pStyle w:val="B"/>
              <w:widowControl w:val="0"/>
              <w:rPr>
                <w:szCs w:val="20"/>
              </w:rPr>
            </w:pPr>
            <w:r>
              <w:rPr>
                <w:szCs w:val="20"/>
              </w:rPr>
              <w:t>数值型，22.2</w:t>
            </w:r>
          </w:p>
        </w:tc>
        <w:tc>
          <w:tcPr>
            <w:tcW w:w="3580" w:type="dxa"/>
          </w:tcPr>
          <w:p w14:paraId="755684C9" w14:textId="77777777" w:rsidR="00A052DC" w:rsidRDefault="009F0A60">
            <w:pPr>
              <w:pStyle w:val="B"/>
              <w:widowControl w:val="0"/>
              <w:rPr>
                <w:szCs w:val="20"/>
              </w:rPr>
            </w:pPr>
            <w:r>
              <w:rPr>
                <w:rFonts w:hint="eastAsia"/>
                <w:szCs w:val="20"/>
              </w:rPr>
              <w:t>必填项。必须≥</w:t>
            </w:r>
            <w:r>
              <w:rPr>
                <w:szCs w:val="20"/>
              </w:rPr>
              <w:t>0</w:t>
            </w:r>
            <w:r>
              <w:rPr>
                <w:rFonts w:hint="eastAsia"/>
                <w:szCs w:val="20"/>
              </w:rPr>
              <w:t>。</w:t>
            </w:r>
          </w:p>
        </w:tc>
      </w:tr>
      <w:tr w:rsidR="00A052DC" w14:paraId="744D17E9" w14:textId="77777777">
        <w:trPr>
          <w:jc w:val="center"/>
        </w:trPr>
        <w:tc>
          <w:tcPr>
            <w:tcW w:w="1371" w:type="dxa"/>
            <w:shd w:val="clear" w:color="auto" w:fill="auto"/>
            <w:noWrap/>
          </w:tcPr>
          <w:p w14:paraId="58F28F1C" w14:textId="77777777" w:rsidR="00A052DC" w:rsidRDefault="009F0A60">
            <w:pPr>
              <w:pStyle w:val="B"/>
              <w:widowControl w:val="0"/>
              <w:rPr>
                <w:szCs w:val="20"/>
              </w:rPr>
            </w:pPr>
            <w:r>
              <w:rPr>
                <w:szCs w:val="20"/>
              </w:rPr>
              <w:t>A0126</w:t>
            </w:r>
          </w:p>
        </w:tc>
        <w:tc>
          <w:tcPr>
            <w:tcW w:w="1985" w:type="dxa"/>
            <w:shd w:val="clear" w:color="auto" w:fill="auto"/>
          </w:tcPr>
          <w:p w14:paraId="6C691437" w14:textId="77777777" w:rsidR="00A052DC" w:rsidRDefault="009F0A60">
            <w:pPr>
              <w:pStyle w:val="B"/>
              <w:widowControl w:val="0"/>
              <w:rPr>
                <w:szCs w:val="20"/>
              </w:rPr>
            </w:pPr>
            <w:r>
              <w:rPr>
                <w:rFonts w:hint="eastAsia"/>
                <w:szCs w:val="20"/>
              </w:rPr>
              <w:t>对所在国缴纳的税金总额</w:t>
            </w:r>
          </w:p>
        </w:tc>
        <w:tc>
          <w:tcPr>
            <w:tcW w:w="1559" w:type="dxa"/>
            <w:shd w:val="clear" w:color="auto" w:fill="auto"/>
            <w:noWrap/>
          </w:tcPr>
          <w:p w14:paraId="1639632A" w14:textId="77777777" w:rsidR="00A052DC" w:rsidRDefault="009F0A60">
            <w:pPr>
              <w:pStyle w:val="B"/>
              <w:widowControl w:val="0"/>
              <w:rPr>
                <w:szCs w:val="20"/>
              </w:rPr>
            </w:pPr>
            <w:r>
              <w:rPr>
                <w:szCs w:val="20"/>
              </w:rPr>
              <w:t>数值型，22.2</w:t>
            </w:r>
          </w:p>
        </w:tc>
        <w:tc>
          <w:tcPr>
            <w:tcW w:w="3580" w:type="dxa"/>
          </w:tcPr>
          <w:p w14:paraId="329E0C5D" w14:textId="77777777" w:rsidR="00A052DC" w:rsidRDefault="009F0A60">
            <w:pPr>
              <w:pStyle w:val="B"/>
              <w:widowControl w:val="0"/>
              <w:rPr>
                <w:szCs w:val="20"/>
              </w:rPr>
            </w:pPr>
            <w:r>
              <w:rPr>
                <w:rFonts w:hint="eastAsia"/>
                <w:szCs w:val="20"/>
              </w:rPr>
              <w:t>当报告期为每年</w:t>
            </w:r>
            <w:r>
              <w:rPr>
                <w:szCs w:val="20"/>
              </w:rPr>
              <w:t>12</w:t>
            </w:r>
            <w:r>
              <w:rPr>
                <w:rFonts w:hint="eastAsia"/>
                <w:szCs w:val="20"/>
              </w:rPr>
              <w:t>月，且</w:t>
            </w:r>
            <w:r>
              <w:rPr>
                <w:szCs w:val="20"/>
              </w:rPr>
              <w:t>A0108</w:t>
            </w:r>
            <w:r>
              <w:rPr>
                <w:rFonts w:hint="eastAsia"/>
                <w:szCs w:val="20"/>
              </w:rPr>
              <w:t>＞</w:t>
            </w:r>
            <w:r>
              <w:rPr>
                <w:szCs w:val="20"/>
              </w:rPr>
              <w:t>50</w:t>
            </w:r>
            <w:r>
              <w:rPr>
                <w:rFonts w:hint="eastAsia"/>
                <w:szCs w:val="20"/>
              </w:rPr>
              <w:t>时，为必填项。其他报告期不必填写。</w:t>
            </w:r>
          </w:p>
        </w:tc>
      </w:tr>
      <w:tr w:rsidR="00A052DC" w14:paraId="25618632" w14:textId="77777777">
        <w:trPr>
          <w:jc w:val="center"/>
        </w:trPr>
        <w:tc>
          <w:tcPr>
            <w:tcW w:w="1371" w:type="dxa"/>
            <w:shd w:val="clear" w:color="auto" w:fill="auto"/>
            <w:noWrap/>
          </w:tcPr>
          <w:p w14:paraId="4C9B3477" w14:textId="77777777" w:rsidR="00A052DC" w:rsidRDefault="009F0A60">
            <w:pPr>
              <w:pStyle w:val="B"/>
              <w:widowControl w:val="0"/>
              <w:rPr>
                <w:szCs w:val="20"/>
              </w:rPr>
            </w:pPr>
            <w:r>
              <w:rPr>
                <w:szCs w:val="20"/>
              </w:rPr>
              <w:t>A0127</w:t>
            </w:r>
          </w:p>
        </w:tc>
        <w:tc>
          <w:tcPr>
            <w:tcW w:w="1985" w:type="dxa"/>
            <w:shd w:val="clear" w:color="auto" w:fill="auto"/>
          </w:tcPr>
          <w:p w14:paraId="79388594" w14:textId="77777777" w:rsidR="00A052DC" w:rsidRDefault="009F0A60">
            <w:pPr>
              <w:pStyle w:val="B"/>
              <w:widowControl w:val="0"/>
              <w:rPr>
                <w:szCs w:val="20"/>
              </w:rPr>
            </w:pPr>
            <w:r>
              <w:rPr>
                <w:rFonts w:hint="eastAsia"/>
                <w:szCs w:val="20"/>
              </w:rPr>
              <w:t>年末从业人数</w:t>
            </w:r>
            <w:r>
              <w:rPr>
                <w:szCs w:val="20"/>
              </w:rPr>
              <w:t>(</w:t>
            </w:r>
            <w:r>
              <w:rPr>
                <w:rFonts w:hint="eastAsia"/>
                <w:szCs w:val="20"/>
              </w:rPr>
              <w:t>人</w:t>
            </w:r>
            <w:r>
              <w:rPr>
                <w:szCs w:val="20"/>
              </w:rPr>
              <w:t>)</w:t>
            </w:r>
          </w:p>
        </w:tc>
        <w:tc>
          <w:tcPr>
            <w:tcW w:w="1559" w:type="dxa"/>
            <w:shd w:val="clear" w:color="auto" w:fill="auto"/>
            <w:noWrap/>
          </w:tcPr>
          <w:p w14:paraId="0869827E" w14:textId="77777777" w:rsidR="00A052DC" w:rsidRDefault="009F0A60">
            <w:pPr>
              <w:pStyle w:val="B"/>
              <w:widowControl w:val="0"/>
              <w:rPr>
                <w:szCs w:val="20"/>
              </w:rPr>
            </w:pPr>
            <w:r>
              <w:rPr>
                <w:szCs w:val="20"/>
              </w:rPr>
              <w:t>长整数型</w:t>
            </w:r>
          </w:p>
        </w:tc>
        <w:tc>
          <w:tcPr>
            <w:tcW w:w="3580" w:type="dxa"/>
            <w:shd w:val="clear" w:color="auto" w:fill="auto"/>
            <w:noWrap/>
          </w:tcPr>
          <w:p w14:paraId="52BFDBD6" w14:textId="77777777" w:rsidR="00A052DC" w:rsidRDefault="009F0A60">
            <w:pPr>
              <w:pStyle w:val="B"/>
              <w:rPr>
                <w:szCs w:val="20"/>
              </w:rPr>
            </w:pPr>
            <w:r>
              <w:rPr>
                <w:rFonts w:hint="eastAsia"/>
                <w:szCs w:val="20"/>
              </w:rPr>
              <w:t>当报告期为每年</w:t>
            </w:r>
            <w:r>
              <w:rPr>
                <w:szCs w:val="20"/>
              </w:rPr>
              <w:t>12</w:t>
            </w:r>
            <w:r>
              <w:rPr>
                <w:rFonts w:hint="eastAsia"/>
                <w:szCs w:val="20"/>
              </w:rPr>
              <w:t>月，且</w:t>
            </w:r>
            <w:r>
              <w:rPr>
                <w:szCs w:val="20"/>
              </w:rPr>
              <w:t>A0108</w:t>
            </w:r>
            <w:r>
              <w:rPr>
                <w:rFonts w:hint="eastAsia"/>
                <w:szCs w:val="20"/>
              </w:rPr>
              <w:t>＞</w:t>
            </w:r>
            <w:r>
              <w:rPr>
                <w:szCs w:val="20"/>
              </w:rPr>
              <w:t>50</w:t>
            </w:r>
            <w:r>
              <w:rPr>
                <w:rFonts w:hint="eastAsia"/>
                <w:szCs w:val="20"/>
              </w:rPr>
              <w:t>时，为必填项，且必须≥</w:t>
            </w:r>
            <w:r>
              <w:rPr>
                <w:szCs w:val="20"/>
              </w:rPr>
              <w:t>0</w:t>
            </w:r>
            <w:r>
              <w:rPr>
                <w:rFonts w:hint="eastAsia"/>
                <w:szCs w:val="20"/>
              </w:rPr>
              <w:t>。其他报告期不必填写。</w:t>
            </w:r>
          </w:p>
        </w:tc>
      </w:tr>
      <w:tr w:rsidR="00A052DC" w14:paraId="0AD05F73" w14:textId="77777777">
        <w:trPr>
          <w:jc w:val="center"/>
        </w:trPr>
        <w:tc>
          <w:tcPr>
            <w:tcW w:w="1371" w:type="dxa"/>
            <w:shd w:val="clear" w:color="auto" w:fill="auto"/>
            <w:noWrap/>
          </w:tcPr>
          <w:p w14:paraId="296603C2" w14:textId="77777777" w:rsidR="00A052DC" w:rsidRDefault="009F0A60">
            <w:pPr>
              <w:pStyle w:val="B"/>
              <w:widowControl w:val="0"/>
              <w:rPr>
                <w:szCs w:val="20"/>
              </w:rPr>
            </w:pPr>
            <w:r>
              <w:rPr>
                <w:szCs w:val="20"/>
              </w:rPr>
              <w:t>A0128</w:t>
            </w:r>
          </w:p>
        </w:tc>
        <w:tc>
          <w:tcPr>
            <w:tcW w:w="1985" w:type="dxa"/>
          </w:tcPr>
          <w:p w14:paraId="49AAE9EA" w14:textId="77777777" w:rsidR="00A052DC" w:rsidRDefault="009F0A60">
            <w:pPr>
              <w:pStyle w:val="B"/>
              <w:widowControl w:val="0"/>
              <w:rPr>
                <w:szCs w:val="20"/>
              </w:rPr>
            </w:pPr>
            <w:r>
              <w:rPr>
                <w:rFonts w:hint="eastAsia"/>
                <w:szCs w:val="20"/>
              </w:rPr>
              <w:t>年末从业人数中的中方雇员数</w:t>
            </w:r>
          </w:p>
        </w:tc>
        <w:tc>
          <w:tcPr>
            <w:tcW w:w="1559" w:type="dxa"/>
            <w:shd w:val="clear" w:color="auto" w:fill="auto"/>
            <w:noWrap/>
          </w:tcPr>
          <w:p w14:paraId="3CDC97F1" w14:textId="77777777" w:rsidR="00A052DC" w:rsidRDefault="009F0A60">
            <w:pPr>
              <w:pStyle w:val="B"/>
              <w:widowControl w:val="0"/>
              <w:rPr>
                <w:szCs w:val="20"/>
              </w:rPr>
            </w:pPr>
            <w:r>
              <w:rPr>
                <w:szCs w:val="20"/>
              </w:rPr>
              <w:t>长整数型</w:t>
            </w:r>
          </w:p>
        </w:tc>
        <w:tc>
          <w:tcPr>
            <w:tcW w:w="3580" w:type="dxa"/>
            <w:shd w:val="clear" w:color="auto" w:fill="auto"/>
            <w:noWrap/>
          </w:tcPr>
          <w:p w14:paraId="75BDBB89" w14:textId="77777777" w:rsidR="00A052DC" w:rsidRDefault="009F0A60">
            <w:pPr>
              <w:pStyle w:val="B"/>
              <w:rPr>
                <w:szCs w:val="20"/>
              </w:rPr>
            </w:pPr>
            <w:r>
              <w:rPr>
                <w:rFonts w:hint="eastAsia"/>
                <w:szCs w:val="20"/>
              </w:rPr>
              <w:t>当报告期为每年</w:t>
            </w:r>
            <w:r>
              <w:rPr>
                <w:szCs w:val="20"/>
              </w:rPr>
              <w:t>12</w:t>
            </w:r>
            <w:r>
              <w:rPr>
                <w:rFonts w:hint="eastAsia"/>
                <w:szCs w:val="20"/>
              </w:rPr>
              <w:t>月，且</w:t>
            </w:r>
            <w:r>
              <w:rPr>
                <w:szCs w:val="20"/>
              </w:rPr>
              <w:t>A0108</w:t>
            </w:r>
            <w:r>
              <w:rPr>
                <w:rFonts w:hint="eastAsia"/>
                <w:szCs w:val="20"/>
              </w:rPr>
              <w:t>＞</w:t>
            </w:r>
            <w:r>
              <w:rPr>
                <w:szCs w:val="20"/>
              </w:rPr>
              <w:t>50</w:t>
            </w:r>
            <w:r>
              <w:rPr>
                <w:rFonts w:hint="eastAsia"/>
                <w:szCs w:val="20"/>
              </w:rPr>
              <w:t>时，为必填项，必须≥</w:t>
            </w:r>
            <w:r>
              <w:rPr>
                <w:szCs w:val="20"/>
              </w:rPr>
              <w:t>0</w:t>
            </w:r>
            <w:r>
              <w:rPr>
                <w:rFonts w:hint="eastAsia"/>
                <w:szCs w:val="20"/>
              </w:rPr>
              <w:t>，且</w:t>
            </w:r>
            <w:r>
              <w:rPr>
                <w:szCs w:val="20"/>
              </w:rPr>
              <w:t>A0127</w:t>
            </w:r>
            <w:r>
              <w:rPr>
                <w:rFonts w:hint="eastAsia"/>
                <w:szCs w:val="20"/>
              </w:rPr>
              <w:t>≥</w:t>
            </w:r>
            <w:r>
              <w:rPr>
                <w:szCs w:val="20"/>
              </w:rPr>
              <w:t>A0128</w:t>
            </w:r>
            <w:r>
              <w:rPr>
                <w:rFonts w:hint="eastAsia"/>
                <w:szCs w:val="20"/>
              </w:rPr>
              <w:t>。其他报告期不必填写。</w:t>
            </w:r>
          </w:p>
        </w:tc>
      </w:tr>
      <w:tr w:rsidR="00A052DC" w14:paraId="4729BC45" w14:textId="77777777">
        <w:trPr>
          <w:jc w:val="center"/>
        </w:trPr>
        <w:tc>
          <w:tcPr>
            <w:tcW w:w="1371" w:type="dxa"/>
            <w:shd w:val="clear" w:color="auto" w:fill="auto"/>
            <w:noWrap/>
          </w:tcPr>
          <w:p w14:paraId="76EA68CF" w14:textId="77777777" w:rsidR="00A052DC" w:rsidRDefault="009F0A60">
            <w:pPr>
              <w:pStyle w:val="B"/>
              <w:widowControl w:val="0"/>
              <w:rPr>
                <w:szCs w:val="20"/>
              </w:rPr>
            </w:pPr>
            <w:r>
              <w:rPr>
                <w:szCs w:val="20"/>
              </w:rPr>
              <w:t>A0129</w:t>
            </w:r>
            <w:r>
              <w:rPr>
                <w:rFonts w:hint="eastAsia"/>
                <w:szCs w:val="20"/>
              </w:rPr>
              <w:t>1</w:t>
            </w:r>
          </w:p>
        </w:tc>
        <w:tc>
          <w:tcPr>
            <w:tcW w:w="1985" w:type="dxa"/>
            <w:shd w:val="clear" w:color="auto" w:fill="auto"/>
          </w:tcPr>
          <w:p w14:paraId="19C3C995" w14:textId="77777777" w:rsidR="00A052DC" w:rsidRDefault="009F0A60">
            <w:pPr>
              <w:pStyle w:val="B"/>
              <w:widowControl w:val="0"/>
              <w:rPr>
                <w:szCs w:val="20"/>
              </w:rPr>
            </w:pPr>
            <w:r>
              <w:rPr>
                <w:rFonts w:hint="eastAsia"/>
                <w:szCs w:val="20"/>
              </w:rPr>
              <w:t>可流通股票（份额）的记账币种（原币）1</w:t>
            </w:r>
          </w:p>
        </w:tc>
        <w:tc>
          <w:tcPr>
            <w:tcW w:w="1559" w:type="dxa"/>
            <w:shd w:val="clear" w:color="auto" w:fill="auto"/>
            <w:noWrap/>
          </w:tcPr>
          <w:p w14:paraId="071920B0" w14:textId="77777777" w:rsidR="00A052DC" w:rsidRDefault="009F0A60">
            <w:pPr>
              <w:pStyle w:val="B"/>
              <w:widowControl w:val="0"/>
              <w:rPr>
                <w:szCs w:val="20"/>
              </w:rPr>
            </w:pPr>
            <w:r>
              <w:rPr>
                <w:szCs w:val="20"/>
              </w:rPr>
              <w:t>字符型，3</w:t>
            </w:r>
          </w:p>
        </w:tc>
        <w:tc>
          <w:tcPr>
            <w:tcW w:w="3580" w:type="dxa"/>
          </w:tcPr>
          <w:p w14:paraId="6A07C552" w14:textId="77777777" w:rsidR="00A052DC" w:rsidRDefault="009F0A60">
            <w:pPr>
              <w:pStyle w:val="B"/>
              <w:widowControl w:val="0"/>
              <w:rPr>
                <w:szCs w:val="20"/>
              </w:rPr>
            </w:pPr>
            <w:r>
              <w:rPr>
                <w:rFonts w:hint="eastAsia"/>
                <w:szCs w:val="20"/>
              </w:rPr>
              <w:t>必填项，见币种代码表。如果此项填写“</w:t>
            </w:r>
            <w:r>
              <w:rPr>
                <w:szCs w:val="20"/>
              </w:rPr>
              <w:t>N/A</w:t>
            </w:r>
            <w:r>
              <w:rPr>
                <w:rFonts w:hint="eastAsia"/>
                <w:szCs w:val="20"/>
              </w:rPr>
              <w:t>”，</w:t>
            </w:r>
            <w:r>
              <w:rPr>
                <w:szCs w:val="20"/>
              </w:rPr>
              <w:t>则A0130</w:t>
            </w:r>
            <w:r>
              <w:rPr>
                <w:rFonts w:hint="eastAsia"/>
                <w:szCs w:val="20"/>
              </w:rPr>
              <w:t>1</w:t>
            </w:r>
            <w:r>
              <w:rPr>
                <w:szCs w:val="20"/>
              </w:rPr>
              <w:t>和A013</w:t>
            </w:r>
            <w:r>
              <w:rPr>
                <w:rFonts w:hint="eastAsia"/>
                <w:szCs w:val="20"/>
              </w:rPr>
              <w:t>1</w:t>
            </w:r>
            <w:r>
              <w:rPr>
                <w:szCs w:val="20"/>
              </w:rPr>
              <w:t>1都</w:t>
            </w:r>
            <w:r>
              <w:rPr>
                <w:rFonts w:hint="eastAsia"/>
                <w:szCs w:val="20"/>
              </w:rPr>
              <w:t>填</w:t>
            </w:r>
            <w:r>
              <w:rPr>
                <w:szCs w:val="20"/>
              </w:rPr>
              <w:t>0</w:t>
            </w:r>
            <w:r>
              <w:rPr>
                <w:rFonts w:hint="eastAsia"/>
                <w:szCs w:val="20"/>
              </w:rPr>
              <w:t>。</w:t>
            </w:r>
          </w:p>
        </w:tc>
      </w:tr>
      <w:tr w:rsidR="00A052DC" w14:paraId="5ECB1283" w14:textId="77777777">
        <w:trPr>
          <w:jc w:val="center"/>
        </w:trPr>
        <w:tc>
          <w:tcPr>
            <w:tcW w:w="1371" w:type="dxa"/>
            <w:shd w:val="clear" w:color="auto" w:fill="auto"/>
            <w:noWrap/>
          </w:tcPr>
          <w:p w14:paraId="272888F9" w14:textId="77777777" w:rsidR="00A052DC" w:rsidRDefault="009F0A60">
            <w:pPr>
              <w:pStyle w:val="B"/>
              <w:widowControl w:val="0"/>
              <w:rPr>
                <w:szCs w:val="20"/>
              </w:rPr>
            </w:pPr>
            <w:r>
              <w:rPr>
                <w:szCs w:val="20"/>
              </w:rPr>
              <w:t>A0130</w:t>
            </w:r>
            <w:r>
              <w:rPr>
                <w:rFonts w:hint="eastAsia"/>
                <w:szCs w:val="20"/>
              </w:rPr>
              <w:t>1</w:t>
            </w:r>
          </w:p>
        </w:tc>
        <w:tc>
          <w:tcPr>
            <w:tcW w:w="1985" w:type="dxa"/>
            <w:shd w:val="clear" w:color="auto" w:fill="auto"/>
          </w:tcPr>
          <w:p w14:paraId="591B6D21" w14:textId="77777777" w:rsidR="00A052DC" w:rsidRDefault="009F0A60">
            <w:pPr>
              <w:pStyle w:val="B"/>
              <w:widowControl w:val="0"/>
              <w:rPr>
                <w:szCs w:val="20"/>
              </w:rPr>
            </w:pPr>
            <w:r>
              <w:rPr>
                <w:rFonts w:hint="eastAsia"/>
                <w:szCs w:val="20"/>
              </w:rPr>
              <w:t>申报主体持股（份额）数量1</w:t>
            </w:r>
          </w:p>
        </w:tc>
        <w:tc>
          <w:tcPr>
            <w:tcW w:w="1559" w:type="dxa"/>
            <w:shd w:val="clear" w:color="auto" w:fill="auto"/>
            <w:noWrap/>
          </w:tcPr>
          <w:p w14:paraId="0C367F6E" w14:textId="77777777" w:rsidR="00A052DC" w:rsidRDefault="009F0A60">
            <w:pPr>
              <w:pStyle w:val="B"/>
              <w:widowControl w:val="0"/>
              <w:rPr>
                <w:szCs w:val="20"/>
              </w:rPr>
            </w:pPr>
            <w:r>
              <w:rPr>
                <w:szCs w:val="20"/>
              </w:rPr>
              <w:t>长整数型</w:t>
            </w:r>
          </w:p>
        </w:tc>
        <w:tc>
          <w:tcPr>
            <w:tcW w:w="3580" w:type="dxa"/>
          </w:tcPr>
          <w:p w14:paraId="21C35CC7" w14:textId="77777777" w:rsidR="00A052DC" w:rsidRDefault="009F0A60">
            <w:pPr>
              <w:pStyle w:val="B"/>
              <w:widowControl w:val="0"/>
              <w:rPr>
                <w:kern w:val="2"/>
                <w:sz w:val="21"/>
                <w:szCs w:val="20"/>
              </w:rPr>
            </w:pPr>
            <w:r>
              <w:rPr>
                <w:rFonts w:hint="eastAsia"/>
                <w:szCs w:val="20"/>
              </w:rPr>
              <w:t>必填项，如果</w:t>
            </w:r>
            <w:r>
              <w:rPr>
                <w:szCs w:val="20"/>
              </w:rPr>
              <w:t>A0129</w:t>
            </w:r>
            <w:r>
              <w:rPr>
                <w:rFonts w:hint="eastAsia"/>
                <w:szCs w:val="20"/>
              </w:rPr>
              <w:t>1填写“</w:t>
            </w:r>
            <w:r>
              <w:rPr>
                <w:szCs w:val="20"/>
              </w:rPr>
              <w:t>N/A</w:t>
            </w:r>
            <w:r>
              <w:rPr>
                <w:rFonts w:hint="eastAsia"/>
                <w:szCs w:val="20"/>
              </w:rPr>
              <w:t>”，则此项填</w:t>
            </w:r>
            <w:r>
              <w:rPr>
                <w:szCs w:val="20"/>
              </w:rPr>
              <w:t>0</w:t>
            </w:r>
            <w:r>
              <w:rPr>
                <w:rFonts w:hint="eastAsia"/>
                <w:szCs w:val="20"/>
              </w:rPr>
              <w:t>。否则必须＞</w:t>
            </w:r>
            <w:r>
              <w:rPr>
                <w:szCs w:val="20"/>
              </w:rPr>
              <w:t>0</w:t>
            </w:r>
            <w:r>
              <w:rPr>
                <w:rFonts w:hint="eastAsia"/>
                <w:szCs w:val="20"/>
              </w:rPr>
              <w:t>。</w:t>
            </w:r>
          </w:p>
        </w:tc>
      </w:tr>
      <w:tr w:rsidR="00A052DC" w14:paraId="1840AA80" w14:textId="77777777">
        <w:trPr>
          <w:jc w:val="center"/>
        </w:trPr>
        <w:tc>
          <w:tcPr>
            <w:tcW w:w="1371" w:type="dxa"/>
            <w:shd w:val="clear" w:color="auto" w:fill="auto"/>
            <w:noWrap/>
          </w:tcPr>
          <w:p w14:paraId="2F920BB9" w14:textId="77777777" w:rsidR="00A052DC" w:rsidRDefault="009F0A60">
            <w:pPr>
              <w:pStyle w:val="B"/>
              <w:widowControl w:val="0"/>
              <w:rPr>
                <w:szCs w:val="20"/>
              </w:rPr>
            </w:pPr>
            <w:r>
              <w:rPr>
                <w:szCs w:val="20"/>
              </w:rPr>
              <w:t>A0131</w:t>
            </w:r>
            <w:r>
              <w:rPr>
                <w:rFonts w:hint="eastAsia"/>
                <w:szCs w:val="20"/>
              </w:rPr>
              <w:t>1</w:t>
            </w:r>
          </w:p>
        </w:tc>
        <w:tc>
          <w:tcPr>
            <w:tcW w:w="1985" w:type="dxa"/>
            <w:shd w:val="clear" w:color="auto" w:fill="auto"/>
          </w:tcPr>
          <w:p w14:paraId="10D893C6" w14:textId="77777777" w:rsidR="00A052DC" w:rsidRDefault="009F0A60">
            <w:pPr>
              <w:pStyle w:val="B"/>
              <w:widowControl w:val="0"/>
              <w:rPr>
                <w:szCs w:val="20"/>
              </w:rPr>
            </w:pPr>
            <w:r>
              <w:rPr>
                <w:rFonts w:hint="eastAsia"/>
                <w:szCs w:val="20"/>
              </w:rPr>
              <w:t>每股（每份）市价1</w:t>
            </w:r>
          </w:p>
        </w:tc>
        <w:tc>
          <w:tcPr>
            <w:tcW w:w="1559" w:type="dxa"/>
            <w:shd w:val="clear" w:color="auto" w:fill="auto"/>
            <w:noWrap/>
          </w:tcPr>
          <w:p w14:paraId="5FA9C50E" w14:textId="77777777" w:rsidR="00A052DC" w:rsidRDefault="009F0A60">
            <w:pPr>
              <w:pStyle w:val="B"/>
              <w:widowControl w:val="0"/>
              <w:rPr>
                <w:szCs w:val="20"/>
              </w:rPr>
            </w:pPr>
            <w:r>
              <w:rPr>
                <w:szCs w:val="20"/>
              </w:rPr>
              <w:t>数值型，22.2</w:t>
            </w:r>
          </w:p>
        </w:tc>
        <w:tc>
          <w:tcPr>
            <w:tcW w:w="3580" w:type="dxa"/>
          </w:tcPr>
          <w:p w14:paraId="0EF997C9" w14:textId="77777777" w:rsidR="00A052DC" w:rsidRDefault="009F0A60">
            <w:pPr>
              <w:pStyle w:val="B"/>
              <w:widowControl w:val="0"/>
              <w:rPr>
                <w:szCs w:val="20"/>
              </w:rPr>
            </w:pPr>
            <w:r>
              <w:rPr>
                <w:rFonts w:hint="eastAsia"/>
                <w:szCs w:val="20"/>
              </w:rPr>
              <w:t>必填项，如果</w:t>
            </w:r>
            <w:r>
              <w:rPr>
                <w:szCs w:val="20"/>
              </w:rPr>
              <w:t>A0129</w:t>
            </w:r>
            <w:r>
              <w:rPr>
                <w:rFonts w:hint="eastAsia"/>
                <w:szCs w:val="20"/>
              </w:rPr>
              <w:t>1填写“</w:t>
            </w:r>
            <w:r>
              <w:rPr>
                <w:szCs w:val="20"/>
              </w:rPr>
              <w:t>N/A</w:t>
            </w:r>
            <w:r>
              <w:rPr>
                <w:rFonts w:hint="eastAsia"/>
                <w:szCs w:val="20"/>
              </w:rPr>
              <w:t>”，则此项填</w:t>
            </w:r>
            <w:r>
              <w:rPr>
                <w:szCs w:val="20"/>
              </w:rPr>
              <w:t>0</w:t>
            </w:r>
            <w:r>
              <w:rPr>
                <w:rFonts w:hint="eastAsia"/>
                <w:szCs w:val="20"/>
              </w:rPr>
              <w:t>。否则必须＞</w:t>
            </w:r>
            <w:r>
              <w:rPr>
                <w:szCs w:val="20"/>
              </w:rPr>
              <w:t>0</w:t>
            </w:r>
            <w:r>
              <w:rPr>
                <w:rFonts w:hint="eastAsia"/>
                <w:szCs w:val="20"/>
              </w:rPr>
              <w:t>。</w:t>
            </w:r>
          </w:p>
        </w:tc>
      </w:tr>
      <w:tr w:rsidR="00A052DC" w14:paraId="2BFD6353" w14:textId="77777777">
        <w:trPr>
          <w:jc w:val="center"/>
        </w:trPr>
        <w:tc>
          <w:tcPr>
            <w:tcW w:w="1371" w:type="dxa"/>
            <w:shd w:val="clear" w:color="auto" w:fill="auto"/>
            <w:noWrap/>
          </w:tcPr>
          <w:p w14:paraId="03D9B7FC" w14:textId="77777777" w:rsidR="00A052DC" w:rsidRDefault="009F0A60">
            <w:pPr>
              <w:pStyle w:val="B"/>
              <w:widowControl w:val="0"/>
              <w:rPr>
                <w:szCs w:val="20"/>
              </w:rPr>
            </w:pPr>
            <w:r>
              <w:rPr>
                <w:szCs w:val="20"/>
              </w:rPr>
              <w:t>A0129</w:t>
            </w:r>
            <w:r>
              <w:rPr>
                <w:rFonts w:hint="eastAsia"/>
                <w:szCs w:val="20"/>
              </w:rPr>
              <w:t>2</w:t>
            </w:r>
          </w:p>
        </w:tc>
        <w:tc>
          <w:tcPr>
            <w:tcW w:w="1985" w:type="dxa"/>
            <w:shd w:val="clear" w:color="auto" w:fill="auto"/>
          </w:tcPr>
          <w:p w14:paraId="5273FCF6" w14:textId="77777777" w:rsidR="00A052DC" w:rsidRDefault="009F0A60">
            <w:pPr>
              <w:pStyle w:val="B"/>
              <w:widowControl w:val="0"/>
              <w:rPr>
                <w:szCs w:val="20"/>
              </w:rPr>
            </w:pPr>
            <w:r>
              <w:rPr>
                <w:rFonts w:hint="eastAsia"/>
                <w:szCs w:val="20"/>
              </w:rPr>
              <w:t>可流通股票（份额）的记账币种（原币）2</w:t>
            </w:r>
          </w:p>
        </w:tc>
        <w:tc>
          <w:tcPr>
            <w:tcW w:w="1559" w:type="dxa"/>
            <w:shd w:val="clear" w:color="auto" w:fill="auto"/>
            <w:noWrap/>
          </w:tcPr>
          <w:p w14:paraId="46BC4EF8" w14:textId="77777777" w:rsidR="00A052DC" w:rsidRDefault="009F0A60">
            <w:pPr>
              <w:pStyle w:val="B"/>
              <w:widowControl w:val="0"/>
              <w:rPr>
                <w:szCs w:val="20"/>
              </w:rPr>
            </w:pPr>
            <w:r>
              <w:rPr>
                <w:szCs w:val="20"/>
              </w:rPr>
              <w:t>字符型，3</w:t>
            </w:r>
          </w:p>
        </w:tc>
        <w:tc>
          <w:tcPr>
            <w:tcW w:w="3580" w:type="dxa"/>
          </w:tcPr>
          <w:p w14:paraId="412E659F" w14:textId="77777777" w:rsidR="00A052DC" w:rsidRDefault="009F0A60">
            <w:pPr>
              <w:pStyle w:val="B"/>
              <w:widowControl w:val="0"/>
              <w:rPr>
                <w:szCs w:val="20"/>
              </w:rPr>
            </w:pPr>
            <w:r>
              <w:rPr>
                <w:rFonts w:hint="eastAsia"/>
                <w:szCs w:val="20"/>
              </w:rPr>
              <w:t>必填项，见币种代码表。如果此项填写“</w:t>
            </w:r>
            <w:r>
              <w:rPr>
                <w:szCs w:val="20"/>
              </w:rPr>
              <w:t>N/A</w:t>
            </w:r>
            <w:r>
              <w:rPr>
                <w:rFonts w:hint="eastAsia"/>
                <w:szCs w:val="20"/>
              </w:rPr>
              <w:t>”，</w:t>
            </w:r>
            <w:r>
              <w:rPr>
                <w:szCs w:val="20"/>
              </w:rPr>
              <w:t>则A0130</w:t>
            </w:r>
            <w:r>
              <w:rPr>
                <w:rFonts w:hint="eastAsia"/>
                <w:szCs w:val="20"/>
              </w:rPr>
              <w:t>2</w:t>
            </w:r>
            <w:r>
              <w:rPr>
                <w:szCs w:val="20"/>
              </w:rPr>
              <w:t>和A0131</w:t>
            </w:r>
            <w:r>
              <w:rPr>
                <w:rFonts w:hint="eastAsia"/>
                <w:szCs w:val="20"/>
              </w:rPr>
              <w:t>2</w:t>
            </w:r>
            <w:r>
              <w:rPr>
                <w:szCs w:val="20"/>
              </w:rPr>
              <w:t>都</w:t>
            </w:r>
            <w:r>
              <w:rPr>
                <w:rFonts w:hint="eastAsia"/>
                <w:szCs w:val="20"/>
              </w:rPr>
              <w:t>填</w:t>
            </w:r>
            <w:r>
              <w:rPr>
                <w:szCs w:val="20"/>
              </w:rPr>
              <w:t>0</w:t>
            </w:r>
            <w:r>
              <w:rPr>
                <w:rFonts w:hint="eastAsia"/>
                <w:szCs w:val="20"/>
              </w:rPr>
              <w:t>。</w:t>
            </w:r>
          </w:p>
        </w:tc>
      </w:tr>
      <w:tr w:rsidR="00A052DC" w14:paraId="603C18AE" w14:textId="77777777">
        <w:trPr>
          <w:jc w:val="center"/>
        </w:trPr>
        <w:tc>
          <w:tcPr>
            <w:tcW w:w="1371" w:type="dxa"/>
            <w:shd w:val="clear" w:color="auto" w:fill="auto"/>
            <w:noWrap/>
          </w:tcPr>
          <w:p w14:paraId="32D82379" w14:textId="77777777" w:rsidR="00A052DC" w:rsidRDefault="009F0A60">
            <w:pPr>
              <w:pStyle w:val="B"/>
              <w:widowControl w:val="0"/>
              <w:rPr>
                <w:szCs w:val="20"/>
              </w:rPr>
            </w:pPr>
            <w:r>
              <w:rPr>
                <w:szCs w:val="20"/>
              </w:rPr>
              <w:t>A0130</w:t>
            </w:r>
            <w:r>
              <w:rPr>
                <w:rFonts w:hint="eastAsia"/>
                <w:szCs w:val="20"/>
              </w:rPr>
              <w:t>2</w:t>
            </w:r>
          </w:p>
        </w:tc>
        <w:tc>
          <w:tcPr>
            <w:tcW w:w="1985" w:type="dxa"/>
            <w:shd w:val="clear" w:color="auto" w:fill="auto"/>
          </w:tcPr>
          <w:p w14:paraId="28D594E7" w14:textId="77777777" w:rsidR="00A052DC" w:rsidRDefault="009F0A60">
            <w:pPr>
              <w:pStyle w:val="B"/>
              <w:widowControl w:val="0"/>
              <w:rPr>
                <w:szCs w:val="20"/>
              </w:rPr>
            </w:pPr>
            <w:r>
              <w:rPr>
                <w:rFonts w:hint="eastAsia"/>
                <w:szCs w:val="20"/>
              </w:rPr>
              <w:t>申报主体持股（份额）数量2</w:t>
            </w:r>
          </w:p>
        </w:tc>
        <w:tc>
          <w:tcPr>
            <w:tcW w:w="1559" w:type="dxa"/>
            <w:shd w:val="clear" w:color="auto" w:fill="auto"/>
            <w:noWrap/>
          </w:tcPr>
          <w:p w14:paraId="24BE2162" w14:textId="77777777" w:rsidR="00A052DC" w:rsidRDefault="009F0A60">
            <w:pPr>
              <w:pStyle w:val="B"/>
              <w:widowControl w:val="0"/>
              <w:rPr>
                <w:szCs w:val="20"/>
              </w:rPr>
            </w:pPr>
            <w:r>
              <w:rPr>
                <w:szCs w:val="20"/>
              </w:rPr>
              <w:t>长整数型</w:t>
            </w:r>
          </w:p>
        </w:tc>
        <w:tc>
          <w:tcPr>
            <w:tcW w:w="3580" w:type="dxa"/>
          </w:tcPr>
          <w:p w14:paraId="2D1380AC" w14:textId="77777777" w:rsidR="00A052DC" w:rsidRDefault="009F0A60">
            <w:pPr>
              <w:pStyle w:val="B"/>
              <w:widowControl w:val="0"/>
              <w:rPr>
                <w:szCs w:val="20"/>
              </w:rPr>
            </w:pPr>
            <w:r>
              <w:rPr>
                <w:rFonts w:hint="eastAsia"/>
                <w:szCs w:val="20"/>
              </w:rPr>
              <w:t>必填项，如果</w:t>
            </w:r>
            <w:r>
              <w:rPr>
                <w:szCs w:val="20"/>
              </w:rPr>
              <w:t>A0129</w:t>
            </w:r>
            <w:r>
              <w:rPr>
                <w:rFonts w:hint="eastAsia"/>
                <w:szCs w:val="20"/>
              </w:rPr>
              <w:t>2填写“</w:t>
            </w:r>
            <w:r>
              <w:rPr>
                <w:szCs w:val="20"/>
              </w:rPr>
              <w:t>N/A</w:t>
            </w:r>
            <w:r>
              <w:rPr>
                <w:rFonts w:hint="eastAsia"/>
                <w:szCs w:val="20"/>
              </w:rPr>
              <w:t>”，则此项填</w:t>
            </w:r>
            <w:r>
              <w:rPr>
                <w:szCs w:val="20"/>
              </w:rPr>
              <w:t>0</w:t>
            </w:r>
            <w:r>
              <w:rPr>
                <w:rFonts w:hint="eastAsia"/>
                <w:szCs w:val="20"/>
              </w:rPr>
              <w:t>。否则必须＞</w:t>
            </w:r>
            <w:r>
              <w:rPr>
                <w:szCs w:val="20"/>
              </w:rPr>
              <w:t>0</w:t>
            </w:r>
            <w:r>
              <w:rPr>
                <w:rFonts w:hint="eastAsia"/>
                <w:szCs w:val="20"/>
              </w:rPr>
              <w:t>。</w:t>
            </w:r>
          </w:p>
        </w:tc>
      </w:tr>
      <w:tr w:rsidR="00A052DC" w14:paraId="3DB49747" w14:textId="77777777">
        <w:trPr>
          <w:jc w:val="center"/>
        </w:trPr>
        <w:tc>
          <w:tcPr>
            <w:tcW w:w="1371" w:type="dxa"/>
            <w:shd w:val="clear" w:color="auto" w:fill="auto"/>
            <w:noWrap/>
          </w:tcPr>
          <w:p w14:paraId="7C8BAF03" w14:textId="77777777" w:rsidR="00A052DC" w:rsidRDefault="009F0A60">
            <w:pPr>
              <w:pStyle w:val="B"/>
              <w:widowControl w:val="0"/>
              <w:rPr>
                <w:szCs w:val="20"/>
              </w:rPr>
            </w:pPr>
            <w:r>
              <w:rPr>
                <w:szCs w:val="20"/>
              </w:rPr>
              <w:t>A0131</w:t>
            </w:r>
            <w:r>
              <w:rPr>
                <w:rFonts w:hint="eastAsia"/>
                <w:szCs w:val="20"/>
              </w:rPr>
              <w:t>2</w:t>
            </w:r>
          </w:p>
        </w:tc>
        <w:tc>
          <w:tcPr>
            <w:tcW w:w="1985" w:type="dxa"/>
            <w:shd w:val="clear" w:color="auto" w:fill="auto"/>
          </w:tcPr>
          <w:p w14:paraId="15C60432" w14:textId="77777777" w:rsidR="00A052DC" w:rsidRDefault="009F0A60">
            <w:pPr>
              <w:pStyle w:val="B"/>
              <w:widowControl w:val="0"/>
              <w:rPr>
                <w:szCs w:val="20"/>
              </w:rPr>
            </w:pPr>
            <w:r>
              <w:rPr>
                <w:rFonts w:hint="eastAsia"/>
                <w:szCs w:val="20"/>
              </w:rPr>
              <w:t>每股（每份）市价2</w:t>
            </w:r>
          </w:p>
        </w:tc>
        <w:tc>
          <w:tcPr>
            <w:tcW w:w="1559" w:type="dxa"/>
            <w:shd w:val="clear" w:color="auto" w:fill="auto"/>
            <w:noWrap/>
          </w:tcPr>
          <w:p w14:paraId="689BC09D" w14:textId="77777777" w:rsidR="00A052DC" w:rsidRDefault="009F0A60">
            <w:pPr>
              <w:pStyle w:val="B"/>
              <w:widowControl w:val="0"/>
              <w:rPr>
                <w:szCs w:val="20"/>
              </w:rPr>
            </w:pPr>
            <w:r>
              <w:rPr>
                <w:szCs w:val="20"/>
              </w:rPr>
              <w:t>数值型，22.2</w:t>
            </w:r>
          </w:p>
        </w:tc>
        <w:tc>
          <w:tcPr>
            <w:tcW w:w="3580" w:type="dxa"/>
          </w:tcPr>
          <w:p w14:paraId="3A3927B1" w14:textId="77777777" w:rsidR="00A052DC" w:rsidRDefault="009F0A60">
            <w:pPr>
              <w:pStyle w:val="B"/>
              <w:widowControl w:val="0"/>
              <w:rPr>
                <w:szCs w:val="20"/>
              </w:rPr>
            </w:pPr>
            <w:r>
              <w:rPr>
                <w:rFonts w:hint="eastAsia"/>
                <w:szCs w:val="20"/>
              </w:rPr>
              <w:t>必填项，如果</w:t>
            </w:r>
            <w:r>
              <w:rPr>
                <w:szCs w:val="20"/>
              </w:rPr>
              <w:t>A0129</w:t>
            </w:r>
            <w:r>
              <w:rPr>
                <w:rFonts w:hint="eastAsia"/>
                <w:szCs w:val="20"/>
              </w:rPr>
              <w:t>2填写“</w:t>
            </w:r>
            <w:r>
              <w:rPr>
                <w:szCs w:val="20"/>
              </w:rPr>
              <w:t>N/A</w:t>
            </w:r>
            <w:r>
              <w:rPr>
                <w:rFonts w:hint="eastAsia"/>
                <w:szCs w:val="20"/>
              </w:rPr>
              <w:t>”，则此项填</w:t>
            </w:r>
            <w:r>
              <w:rPr>
                <w:szCs w:val="20"/>
              </w:rPr>
              <w:t>0</w:t>
            </w:r>
            <w:r>
              <w:rPr>
                <w:rFonts w:hint="eastAsia"/>
                <w:szCs w:val="20"/>
              </w:rPr>
              <w:t>。否则必须＞</w:t>
            </w:r>
            <w:r>
              <w:rPr>
                <w:szCs w:val="20"/>
              </w:rPr>
              <w:t>0</w:t>
            </w:r>
            <w:r>
              <w:rPr>
                <w:rFonts w:hint="eastAsia"/>
                <w:szCs w:val="20"/>
              </w:rPr>
              <w:t>。</w:t>
            </w:r>
          </w:p>
        </w:tc>
      </w:tr>
      <w:tr w:rsidR="00A052DC" w14:paraId="1ADD8C2E" w14:textId="77777777">
        <w:trPr>
          <w:jc w:val="center"/>
        </w:trPr>
        <w:tc>
          <w:tcPr>
            <w:tcW w:w="1371" w:type="dxa"/>
            <w:shd w:val="clear" w:color="auto" w:fill="auto"/>
            <w:noWrap/>
          </w:tcPr>
          <w:p w14:paraId="541C60CC" w14:textId="77777777" w:rsidR="00A052DC" w:rsidRDefault="009F0A60">
            <w:pPr>
              <w:pStyle w:val="B"/>
              <w:widowControl w:val="0"/>
              <w:rPr>
                <w:szCs w:val="20"/>
              </w:rPr>
            </w:pPr>
            <w:r>
              <w:rPr>
                <w:szCs w:val="20"/>
              </w:rPr>
              <w:t>A0129</w:t>
            </w:r>
            <w:r>
              <w:rPr>
                <w:rFonts w:hint="eastAsia"/>
                <w:szCs w:val="20"/>
              </w:rPr>
              <w:t>3</w:t>
            </w:r>
          </w:p>
        </w:tc>
        <w:tc>
          <w:tcPr>
            <w:tcW w:w="1985" w:type="dxa"/>
            <w:shd w:val="clear" w:color="auto" w:fill="auto"/>
          </w:tcPr>
          <w:p w14:paraId="5FBA626D" w14:textId="77777777" w:rsidR="00A052DC" w:rsidRDefault="009F0A60">
            <w:pPr>
              <w:pStyle w:val="B"/>
              <w:widowControl w:val="0"/>
              <w:rPr>
                <w:szCs w:val="20"/>
              </w:rPr>
            </w:pPr>
            <w:r>
              <w:rPr>
                <w:rFonts w:hint="eastAsia"/>
                <w:szCs w:val="20"/>
              </w:rPr>
              <w:t>可流通股票（份额）的记账币种（原币）3</w:t>
            </w:r>
          </w:p>
        </w:tc>
        <w:tc>
          <w:tcPr>
            <w:tcW w:w="1559" w:type="dxa"/>
            <w:shd w:val="clear" w:color="auto" w:fill="auto"/>
            <w:noWrap/>
          </w:tcPr>
          <w:p w14:paraId="0C5ED428" w14:textId="77777777" w:rsidR="00A052DC" w:rsidRDefault="009F0A60">
            <w:pPr>
              <w:pStyle w:val="B"/>
              <w:widowControl w:val="0"/>
              <w:rPr>
                <w:szCs w:val="20"/>
              </w:rPr>
            </w:pPr>
            <w:r>
              <w:rPr>
                <w:szCs w:val="20"/>
              </w:rPr>
              <w:t>字符型，3</w:t>
            </w:r>
          </w:p>
        </w:tc>
        <w:tc>
          <w:tcPr>
            <w:tcW w:w="3580" w:type="dxa"/>
          </w:tcPr>
          <w:p w14:paraId="2CFDACDE" w14:textId="77777777" w:rsidR="00A052DC" w:rsidRDefault="009F0A60">
            <w:pPr>
              <w:pStyle w:val="B"/>
              <w:widowControl w:val="0"/>
              <w:rPr>
                <w:szCs w:val="20"/>
              </w:rPr>
            </w:pPr>
            <w:r>
              <w:rPr>
                <w:rFonts w:hint="eastAsia"/>
                <w:szCs w:val="20"/>
              </w:rPr>
              <w:t>必填项，见币种代码表。如果此项填写“</w:t>
            </w:r>
            <w:r>
              <w:rPr>
                <w:szCs w:val="20"/>
              </w:rPr>
              <w:t>N/A</w:t>
            </w:r>
            <w:r>
              <w:rPr>
                <w:rFonts w:hint="eastAsia"/>
                <w:szCs w:val="20"/>
              </w:rPr>
              <w:t>”，</w:t>
            </w:r>
            <w:r>
              <w:rPr>
                <w:szCs w:val="20"/>
              </w:rPr>
              <w:t>则A0130</w:t>
            </w:r>
            <w:r>
              <w:rPr>
                <w:rFonts w:hint="eastAsia"/>
                <w:szCs w:val="20"/>
              </w:rPr>
              <w:t>3</w:t>
            </w:r>
            <w:r>
              <w:rPr>
                <w:szCs w:val="20"/>
              </w:rPr>
              <w:t>和A0131</w:t>
            </w:r>
            <w:r>
              <w:rPr>
                <w:rFonts w:hint="eastAsia"/>
                <w:szCs w:val="20"/>
              </w:rPr>
              <w:t>3</w:t>
            </w:r>
            <w:r>
              <w:rPr>
                <w:szCs w:val="20"/>
              </w:rPr>
              <w:t>都</w:t>
            </w:r>
            <w:r>
              <w:rPr>
                <w:rFonts w:hint="eastAsia"/>
                <w:szCs w:val="20"/>
              </w:rPr>
              <w:t>填</w:t>
            </w:r>
            <w:r>
              <w:rPr>
                <w:szCs w:val="20"/>
              </w:rPr>
              <w:t>0</w:t>
            </w:r>
            <w:r>
              <w:rPr>
                <w:rFonts w:hint="eastAsia"/>
                <w:szCs w:val="20"/>
              </w:rPr>
              <w:t>。</w:t>
            </w:r>
          </w:p>
        </w:tc>
      </w:tr>
      <w:tr w:rsidR="00A052DC" w14:paraId="33A4BB78" w14:textId="77777777">
        <w:trPr>
          <w:jc w:val="center"/>
        </w:trPr>
        <w:tc>
          <w:tcPr>
            <w:tcW w:w="1371" w:type="dxa"/>
            <w:shd w:val="clear" w:color="auto" w:fill="auto"/>
            <w:noWrap/>
          </w:tcPr>
          <w:p w14:paraId="405777C9" w14:textId="77777777" w:rsidR="00A052DC" w:rsidRDefault="009F0A60">
            <w:pPr>
              <w:pStyle w:val="B"/>
              <w:widowControl w:val="0"/>
              <w:rPr>
                <w:szCs w:val="20"/>
              </w:rPr>
            </w:pPr>
            <w:r>
              <w:rPr>
                <w:szCs w:val="20"/>
              </w:rPr>
              <w:t>A0130</w:t>
            </w:r>
            <w:r>
              <w:rPr>
                <w:rFonts w:hint="eastAsia"/>
                <w:szCs w:val="20"/>
              </w:rPr>
              <w:t>3</w:t>
            </w:r>
          </w:p>
        </w:tc>
        <w:tc>
          <w:tcPr>
            <w:tcW w:w="1985" w:type="dxa"/>
            <w:shd w:val="clear" w:color="auto" w:fill="auto"/>
          </w:tcPr>
          <w:p w14:paraId="769B20E6" w14:textId="77777777" w:rsidR="00A052DC" w:rsidRDefault="009F0A60">
            <w:pPr>
              <w:pStyle w:val="B"/>
              <w:widowControl w:val="0"/>
              <w:rPr>
                <w:szCs w:val="20"/>
              </w:rPr>
            </w:pPr>
            <w:r>
              <w:rPr>
                <w:rFonts w:hint="eastAsia"/>
                <w:szCs w:val="20"/>
              </w:rPr>
              <w:t>申报主体持股（份额）数量3</w:t>
            </w:r>
          </w:p>
        </w:tc>
        <w:tc>
          <w:tcPr>
            <w:tcW w:w="1559" w:type="dxa"/>
            <w:shd w:val="clear" w:color="auto" w:fill="auto"/>
            <w:noWrap/>
          </w:tcPr>
          <w:p w14:paraId="384A1150" w14:textId="77777777" w:rsidR="00A052DC" w:rsidRDefault="009F0A60">
            <w:pPr>
              <w:pStyle w:val="B"/>
              <w:widowControl w:val="0"/>
              <w:rPr>
                <w:szCs w:val="20"/>
              </w:rPr>
            </w:pPr>
            <w:r>
              <w:rPr>
                <w:szCs w:val="20"/>
              </w:rPr>
              <w:t>长整数型</w:t>
            </w:r>
          </w:p>
        </w:tc>
        <w:tc>
          <w:tcPr>
            <w:tcW w:w="3580" w:type="dxa"/>
          </w:tcPr>
          <w:p w14:paraId="0C870A59" w14:textId="77777777" w:rsidR="00A052DC" w:rsidRDefault="009F0A60">
            <w:pPr>
              <w:pStyle w:val="B"/>
              <w:widowControl w:val="0"/>
              <w:rPr>
                <w:szCs w:val="20"/>
              </w:rPr>
            </w:pPr>
            <w:r>
              <w:rPr>
                <w:rFonts w:hint="eastAsia"/>
                <w:szCs w:val="20"/>
              </w:rPr>
              <w:t>必填项，如果</w:t>
            </w:r>
            <w:r>
              <w:rPr>
                <w:szCs w:val="20"/>
              </w:rPr>
              <w:t>A0129</w:t>
            </w:r>
            <w:r>
              <w:rPr>
                <w:rFonts w:hint="eastAsia"/>
                <w:szCs w:val="20"/>
              </w:rPr>
              <w:t>3填写“</w:t>
            </w:r>
            <w:r>
              <w:rPr>
                <w:szCs w:val="20"/>
              </w:rPr>
              <w:t>N/A</w:t>
            </w:r>
            <w:r>
              <w:rPr>
                <w:rFonts w:hint="eastAsia"/>
                <w:szCs w:val="20"/>
              </w:rPr>
              <w:t>”，则此项填</w:t>
            </w:r>
            <w:r>
              <w:rPr>
                <w:szCs w:val="20"/>
              </w:rPr>
              <w:t>0</w:t>
            </w:r>
            <w:r>
              <w:rPr>
                <w:rFonts w:hint="eastAsia"/>
                <w:szCs w:val="20"/>
              </w:rPr>
              <w:t>。否则必须＞</w:t>
            </w:r>
            <w:r>
              <w:rPr>
                <w:szCs w:val="20"/>
              </w:rPr>
              <w:t>0</w:t>
            </w:r>
            <w:r>
              <w:rPr>
                <w:rFonts w:hint="eastAsia"/>
                <w:szCs w:val="20"/>
              </w:rPr>
              <w:t>。</w:t>
            </w:r>
          </w:p>
        </w:tc>
      </w:tr>
      <w:tr w:rsidR="00A052DC" w14:paraId="0C29A717" w14:textId="77777777">
        <w:trPr>
          <w:jc w:val="center"/>
        </w:trPr>
        <w:tc>
          <w:tcPr>
            <w:tcW w:w="1371" w:type="dxa"/>
            <w:shd w:val="clear" w:color="auto" w:fill="auto"/>
            <w:noWrap/>
          </w:tcPr>
          <w:p w14:paraId="51B8BAD7" w14:textId="77777777" w:rsidR="00A052DC" w:rsidRDefault="009F0A60">
            <w:pPr>
              <w:pStyle w:val="B"/>
              <w:widowControl w:val="0"/>
              <w:rPr>
                <w:szCs w:val="20"/>
              </w:rPr>
            </w:pPr>
            <w:r>
              <w:rPr>
                <w:szCs w:val="20"/>
              </w:rPr>
              <w:t>A0131</w:t>
            </w:r>
            <w:r>
              <w:rPr>
                <w:rFonts w:hint="eastAsia"/>
                <w:szCs w:val="20"/>
              </w:rPr>
              <w:t>3</w:t>
            </w:r>
          </w:p>
        </w:tc>
        <w:tc>
          <w:tcPr>
            <w:tcW w:w="1985" w:type="dxa"/>
            <w:shd w:val="clear" w:color="auto" w:fill="auto"/>
          </w:tcPr>
          <w:p w14:paraId="36E4B88D" w14:textId="77777777" w:rsidR="00A052DC" w:rsidRDefault="009F0A60">
            <w:pPr>
              <w:pStyle w:val="B"/>
              <w:widowControl w:val="0"/>
              <w:rPr>
                <w:szCs w:val="20"/>
              </w:rPr>
            </w:pPr>
            <w:r>
              <w:rPr>
                <w:rFonts w:hint="eastAsia"/>
                <w:szCs w:val="20"/>
              </w:rPr>
              <w:t>每股（每份）市价3</w:t>
            </w:r>
          </w:p>
        </w:tc>
        <w:tc>
          <w:tcPr>
            <w:tcW w:w="1559" w:type="dxa"/>
            <w:shd w:val="clear" w:color="auto" w:fill="auto"/>
            <w:noWrap/>
          </w:tcPr>
          <w:p w14:paraId="7F88C905" w14:textId="77777777" w:rsidR="00A052DC" w:rsidRDefault="009F0A60">
            <w:pPr>
              <w:pStyle w:val="B"/>
              <w:widowControl w:val="0"/>
              <w:rPr>
                <w:szCs w:val="20"/>
              </w:rPr>
            </w:pPr>
            <w:r>
              <w:rPr>
                <w:szCs w:val="20"/>
              </w:rPr>
              <w:t>数值型，22.2</w:t>
            </w:r>
          </w:p>
        </w:tc>
        <w:tc>
          <w:tcPr>
            <w:tcW w:w="3580" w:type="dxa"/>
          </w:tcPr>
          <w:p w14:paraId="3D94AFD1" w14:textId="77777777" w:rsidR="00A052DC" w:rsidRDefault="009F0A60">
            <w:pPr>
              <w:pStyle w:val="B"/>
              <w:widowControl w:val="0"/>
              <w:rPr>
                <w:szCs w:val="20"/>
              </w:rPr>
            </w:pPr>
            <w:r>
              <w:rPr>
                <w:rFonts w:hint="eastAsia"/>
                <w:szCs w:val="20"/>
              </w:rPr>
              <w:t>必填项，如果</w:t>
            </w:r>
            <w:r>
              <w:rPr>
                <w:szCs w:val="20"/>
              </w:rPr>
              <w:t>A0129</w:t>
            </w:r>
            <w:r>
              <w:rPr>
                <w:rFonts w:hint="eastAsia"/>
                <w:szCs w:val="20"/>
              </w:rPr>
              <w:t>3填写“</w:t>
            </w:r>
            <w:r>
              <w:rPr>
                <w:szCs w:val="20"/>
              </w:rPr>
              <w:t>N/A</w:t>
            </w:r>
            <w:r>
              <w:rPr>
                <w:rFonts w:hint="eastAsia"/>
                <w:szCs w:val="20"/>
              </w:rPr>
              <w:t>”，则此项填</w:t>
            </w:r>
            <w:r>
              <w:rPr>
                <w:szCs w:val="20"/>
              </w:rPr>
              <w:t>0</w:t>
            </w:r>
            <w:r>
              <w:rPr>
                <w:rFonts w:hint="eastAsia"/>
                <w:szCs w:val="20"/>
              </w:rPr>
              <w:t>。否则必须＞</w:t>
            </w:r>
            <w:r>
              <w:rPr>
                <w:szCs w:val="20"/>
              </w:rPr>
              <w:t>0</w:t>
            </w:r>
            <w:r>
              <w:rPr>
                <w:rFonts w:hint="eastAsia"/>
                <w:szCs w:val="20"/>
              </w:rPr>
              <w:t>。</w:t>
            </w:r>
          </w:p>
        </w:tc>
      </w:tr>
      <w:tr w:rsidR="00A052DC" w14:paraId="5716EA05" w14:textId="77777777">
        <w:trPr>
          <w:jc w:val="center"/>
        </w:trPr>
        <w:tc>
          <w:tcPr>
            <w:tcW w:w="1371" w:type="dxa"/>
            <w:shd w:val="clear" w:color="auto" w:fill="auto"/>
            <w:noWrap/>
          </w:tcPr>
          <w:p w14:paraId="34FBDFBE" w14:textId="77777777" w:rsidR="00A052DC" w:rsidRDefault="009F0A60">
            <w:pPr>
              <w:pStyle w:val="B"/>
              <w:widowControl w:val="0"/>
              <w:rPr>
                <w:szCs w:val="20"/>
              </w:rPr>
            </w:pPr>
            <w:r>
              <w:rPr>
                <w:szCs w:val="20"/>
              </w:rPr>
              <w:t>A0129</w:t>
            </w:r>
            <w:r>
              <w:rPr>
                <w:rFonts w:hint="eastAsia"/>
                <w:szCs w:val="20"/>
              </w:rPr>
              <w:t>4</w:t>
            </w:r>
          </w:p>
        </w:tc>
        <w:tc>
          <w:tcPr>
            <w:tcW w:w="1985" w:type="dxa"/>
            <w:shd w:val="clear" w:color="auto" w:fill="auto"/>
          </w:tcPr>
          <w:p w14:paraId="3DC35351" w14:textId="77777777" w:rsidR="00A052DC" w:rsidRDefault="009F0A60">
            <w:pPr>
              <w:pStyle w:val="B"/>
              <w:widowControl w:val="0"/>
              <w:rPr>
                <w:szCs w:val="20"/>
              </w:rPr>
            </w:pPr>
            <w:r>
              <w:rPr>
                <w:rFonts w:hint="eastAsia"/>
                <w:szCs w:val="20"/>
              </w:rPr>
              <w:t>可流通股票（份额）的记账币种（原币）4</w:t>
            </w:r>
          </w:p>
        </w:tc>
        <w:tc>
          <w:tcPr>
            <w:tcW w:w="1559" w:type="dxa"/>
            <w:shd w:val="clear" w:color="auto" w:fill="auto"/>
            <w:noWrap/>
          </w:tcPr>
          <w:p w14:paraId="0960155C" w14:textId="77777777" w:rsidR="00A052DC" w:rsidRDefault="009F0A60">
            <w:pPr>
              <w:pStyle w:val="B"/>
              <w:widowControl w:val="0"/>
              <w:rPr>
                <w:szCs w:val="20"/>
              </w:rPr>
            </w:pPr>
            <w:r>
              <w:rPr>
                <w:szCs w:val="20"/>
              </w:rPr>
              <w:t>字符型，3</w:t>
            </w:r>
          </w:p>
        </w:tc>
        <w:tc>
          <w:tcPr>
            <w:tcW w:w="3580" w:type="dxa"/>
          </w:tcPr>
          <w:p w14:paraId="4620101C" w14:textId="77777777" w:rsidR="00A052DC" w:rsidRDefault="009F0A60">
            <w:pPr>
              <w:pStyle w:val="B"/>
              <w:widowControl w:val="0"/>
              <w:rPr>
                <w:szCs w:val="20"/>
              </w:rPr>
            </w:pPr>
            <w:r>
              <w:rPr>
                <w:rFonts w:hint="eastAsia"/>
                <w:szCs w:val="20"/>
              </w:rPr>
              <w:t>必填项，见币种代码表。如果此项填写“</w:t>
            </w:r>
            <w:r>
              <w:rPr>
                <w:szCs w:val="20"/>
              </w:rPr>
              <w:t>N/A</w:t>
            </w:r>
            <w:r>
              <w:rPr>
                <w:rFonts w:hint="eastAsia"/>
                <w:szCs w:val="20"/>
              </w:rPr>
              <w:t>”，</w:t>
            </w:r>
            <w:r>
              <w:rPr>
                <w:szCs w:val="20"/>
              </w:rPr>
              <w:t>则A0130</w:t>
            </w:r>
            <w:r>
              <w:rPr>
                <w:rFonts w:hint="eastAsia"/>
                <w:szCs w:val="20"/>
              </w:rPr>
              <w:t>4</w:t>
            </w:r>
            <w:r>
              <w:rPr>
                <w:szCs w:val="20"/>
              </w:rPr>
              <w:t>和A0131</w:t>
            </w:r>
            <w:r>
              <w:rPr>
                <w:rFonts w:hint="eastAsia"/>
                <w:szCs w:val="20"/>
              </w:rPr>
              <w:t>4</w:t>
            </w:r>
            <w:r>
              <w:rPr>
                <w:szCs w:val="20"/>
              </w:rPr>
              <w:t>都</w:t>
            </w:r>
            <w:r>
              <w:rPr>
                <w:rFonts w:hint="eastAsia"/>
                <w:szCs w:val="20"/>
              </w:rPr>
              <w:t>填</w:t>
            </w:r>
            <w:r>
              <w:rPr>
                <w:szCs w:val="20"/>
              </w:rPr>
              <w:t>0</w:t>
            </w:r>
            <w:r>
              <w:rPr>
                <w:rFonts w:hint="eastAsia"/>
                <w:szCs w:val="20"/>
              </w:rPr>
              <w:t>。</w:t>
            </w:r>
          </w:p>
        </w:tc>
      </w:tr>
      <w:tr w:rsidR="00A052DC" w14:paraId="76D4B749" w14:textId="77777777">
        <w:trPr>
          <w:jc w:val="center"/>
        </w:trPr>
        <w:tc>
          <w:tcPr>
            <w:tcW w:w="1371" w:type="dxa"/>
            <w:shd w:val="clear" w:color="auto" w:fill="auto"/>
            <w:noWrap/>
          </w:tcPr>
          <w:p w14:paraId="251CB894" w14:textId="77777777" w:rsidR="00A052DC" w:rsidRDefault="009F0A60">
            <w:pPr>
              <w:pStyle w:val="B"/>
              <w:widowControl w:val="0"/>
              <w:rPr>
                <w:szCs w:val="20"/>
              </w:rPr>
            </w:pPr>
            <w:r>
              <w:rPr>
                <w:szCs w:val="20"/>
              </w:rPr>
              <w:t>A0130</w:t>
            </w:r>
            <w:r>
              <w:rPr>
                <w:rFonts w:hint="eastAsia"/>
                <w:szCs w:val="20"/>
              </w:rPr>
              <w:t>4</w:t>
            </w:r>
          </w:p>
        </w:tc>
        <w:tc>
          <w:tcPr>
            <w:tcW w:w="1985" w:type="dxa"/>
            <w:shd w:val="clear" w:color="auto" w:fill="auto"/>
          </w:tcPr>
          <w:p w14:paraId="59E1DBC8" w14:textId="77777777" w:rsidR="00A052DC" w:rsidRDefault="009F0A60">
            <w:pPr>
              <w:pStyle w:val="B"/>
              <w:widowControl w:val="0"/>
              <w:rPr>
                <w:szCs w:val="20"/>
              </w:rPr>
            </w:pPr>
            <w:r>
              <w:rPr>
                <w:rFonts w:hint="eastAsia"/>
                <w:szCs w:val="20"/>
              </w:rPr>
              <w:t>申报主体持股（份额）数量4</w:t>
            </w:r>
          </w:p>
        </w:tc>
        <w:tc>
          <w:tcPr>
            <w:tcW w:w="1559" w:type="dxa"/>
            <w:shd w:val="clear" w:color="auto" w:fill="auto"/>
            <w:noWrap/>
          </w:tcPr>
          <w:p w14:paraId="48B97593" w14:textId="77777777" w:rsidR="00A052DC" w:rsidRDefault="009F0A60">
            <w:pPr>
              <w:pStyle w:val="B"/>
              <w:widowControl w:val="0"/>
              <w:rPr>
                <w:szCs w:val="20"/>
              </w:rPr>
            </w:pPr>
            <w:r>
              <w:rPr>
                <w:szCs w:val="20"/>
              </w:rPr>
              <w:t>长整数型</w:t>
            </w:r>
          </w:p>
        </w:tc>
        <w:tc>
          <w:tcPr>
            <w:tcW w:w="3580" w:type="dxa"/>
          </w:tcPr>
          <w:p w14:paraId="0DE07427" w14:textId="77777777" w:rsidR="00A052DC" w:rsidRDefault="009F0A60">
            <w:pPr>
              <w:pStyle w:val="B"/>
              <w:widowControl w:val="0"/>
              <w:rPr>
                <w:szCs w:val="20"/>
              </w:rPr>
            </w:pPr>
            <w:r>
              <w:rPr>
                <w:rFonts w:hint="eastAsia"/>
                <w:szCs w:val="20"/>
              </w:rPr>
              <w:t>必填项，如果</w:t>
            </w:r>
            <w:r>
              <w:rPr>
                <w:szCs w:val="20"/>
              </w:rPr>
              <w:t>A0129</w:t>
            </w:r>
            <w:r>
              <w:rPr>
                <w:rFonts w:hint="eastAsia"/>
                <w:szCs w:val="20"/>
              </w:rPr>
              <w:t>4填写“</w:t>
            </w:r>
            <w:r>
              <w:rPr>
                <w:szCs w:val="20"/>
              </w:rPr>
              <w:t>N/A</w:t>
            </w:r>
            <w:r>
              <w:rPr>
                <w:rFonts w:hint="eastAsia"/>
                <w:szCs w:val="20"/>
              </w:rPr>
              <w:t>”，则此项填</w:t>
            </w:r>
            <w:r>
              <w:rPr>
                <w:szCs w:val="20"/>
              </w:rPr>
              <w:t>0</w:t>
            </w:r>
            <w:r>
              <w:rPr>
                <w:rFonts w:hint="eastAsia"/>
                <w:szCs w:val="20"/>
              </w:rPr>
              <w:t>。否则必须＞</w:t>
            </w:r>
            <w:r>
              <w:rPr>
                <w:szCs w:val="20"/>
              </w:rPr>
              <w:t>0</w:t>
            </w:r>
            <w:r>
              <w:rPr>
                <w:rFonts w:hint="eastAsia"/>
                <w:szCs w:val="20"/>
              </w:rPr>
              <w:t>。</w:t>
            </w:r>
          </w:p>
        </w:tc>
      </w:tr>
      <w:tr w:rsidR="00A052DC" w14:paraId="31246537" w14:textId="77777777">
        <w:trPr>
          <w:jc w:val="center"/>
        </w:trPr>
        <w:tc>
          <w:tcPr>
            <w:tcW w:w="1371" w:type="dxa"/>
            <w:shd w:val="clear" w:color="auto" w:fill="auto"/>
            <w:noWrap/>
          </w:tcPr>
          <w:p w14:paraId="5988516C" w14:textId="77777777" w:rsidR="00A052DC" w:rsidRDefault="009F0A60">
            <w:pPr>
              <w:pStyle w:val="B"/>
              <w:widowControl w:val="0"/>
              <w:rPr>
                <w:szCs w:val="20"/>
              </w:rPr>
            </w:pPr>
            <w:r>
              <w:rPr>
                <w:szCs w:val="20"/>
              </w:rPr>
              <w:t>A0131</w:t>
            </w:r>
            <w:r>
              <w:rPr>
                <w:rFonts w:hint="eastAsia"/>
                <w:szCs w:val="20"/>
              </w:rPr>
              <w:t>4</w:t>
            </w:r>
          </w:p>
        </w:tc>
        <w:tc>
          <w:tcPr>
            <w:tcW w:w="1985" w:type="dxa"/>
            <w:shd w:val="clear" w:color="auto" w:fill="auto"/>
          </w:tcPr>
          <w:p w14:paraId="5DA87745" w14:textId="77777777" w:rsidR="00A052DC" w:rsidRDefault="009F0A60">
            <w:pPr>
              <w:pStyle w:val="B"/>
              <w:widowControl w:val="0"/>
              <w:rPr>
                <w:szCs w:val="20"/>
              </w:rPr>
            </w:pPr>
            <w:r>
              <w:rPr>
                <w:rFonts w:hint="eastAsia"/>
                <w:szCs w:val="20"/>
              </w:rPr>
              <w:t>每股（每份）市价4</w:t>
            </w:r>
          </w:p>
        </w:tc>
        <w:tc>
          <w:tcPr>
            <w:tcW w:w="1559" w:type="dxa"/>
            <w:shd w:val="clear" w:color="auto" w:fill="auto"/>
            <w:noWrap/>
          </w:tcPr>
          <w:p w14:paraId="22F48682" w14:textId="77777777" w:rsidR="00A052DC" w:rsidRDefault="009F0A60">
            <w:pPr>
              <w:pStyle w:val="B"/>
              <w:widowControl w:val="0"/>
              <w:rPr>
                <w:szCs w:val="20"/>
              </w:rPr>
            </w:pPr>
            <w:r>
              <w:rPr>
                <w:szCs w:val="20"/>
              </w:rPr>
              <w:t>数值型，22.2</w:t>
            </w:r>
          </w:p>
        </w:tc>
        <w:tc>
          <w:tcPr>
            <w:tcW w:w="3580" w:type="dxa"/>
          </w:tcPr>
          <w:p w14:paraId="19D8E70C" w14:textId="77777777" w:rsidR="00A052DC" w:rsidRDefault="009F0A60">
            <w:pPr>
              <w:pStyle w:val="B"/>
              <w:widowControl w:val="0"/>
              <w:rPr>
                <w:szCs w:val="20"/>
              </w:rPr>
            </w:pPr>
            <w:r>
              <w:rPr>
                <w:rFonts w:hint="eastAsia"/>
                <w:szCs w:val="20"/>
              </w:rPr>
              <w:t>必填项，如果</w:t>
            </w:r>
            <w:r>
              <w:rPr>
                <w:szCs w:val="20"/>
              </w:rPr>
              <w:t>A0129</w:t>
            </w:r>
            <w:r>
              <w:rPr>
                <w:rFonts w:hint="eastAsia"/>
                <w:szCs w:val="20"/>
              </w:rPr>
              <w:t>4填写“</w:t>
            </w:r>
            <w:r>
              <w:rPr>
                <w:szCs w:val="20"/>
              </w:rPr>
              <w:t>N/A</w:t>
            </w:r>
            <w:r>
              <w:rPr>
                <w:rFonts w:hint="eastAsia"/>
                <w:szCs w:val="20"/>
              </w:rPr>
              <w:t>”，则此项填</w:t>
            </w:r>
            <w:r>
              <w:rPr>
                <w:szCs w:val="20"/>
              </w:rPr>
              <w:t>0</w:t>
            </w:r>
            <w:r>
              <w:rPr>
                <w:rFonts w:hint="eastAsia"/>
                <w:szCs w:val="20"/>
              </w:rPr>
              <w:t>。否则必须＞</w:t>
            </w:r>
            <w:r>
              <w:rPr>
                <w:szCs w:val="20"/>
              </w:rPr>
              <w:t>0</w:t>
            </w:r>
            <w:r>
              <w:rPr>
                <w:rFonts w:hint="eastAsia"/>
                <w:szCs w:val="20"/>
              </w:rPr>
              <w:t>。</w:t>
            </w:r>
          </w:p>
        </w:tc>
      </w:tr>
      <w:tr w:rsidR="00A052DC" w14:paraId="58066B23" w14:textId="77777777">
        <w:trPr>
          <w:jc w:val="center"/>
        </w:trPr>
        <w:tc>
          <w:tcPr>
            <w:tcW w:w="1371" w:type="dxa"/>
            <w:shd w:val="clear" w:color="auto" w:fill="auto"/>
            <w:noWrap/>
          </w:tcPr>
          <w:p w14:paraId="5C4BCF1D" w14:textId="77777777" w:rsidR="00A052DC" w:rsidRDefault="009F0A60">
            <w:pPr>
              <w:pStyle w:val="B"/>
              <w:widowControl w:val="0"/>
              <w:rPr>
                <w:szCs w:val="20"/>
              </w:rPr>
            </w:pPr>
            <w:r>
              <w:rPr>
                <w:szCs w:val="20"/>
              </w:rPr>
              <w:t>A0129</w:t>
            </w:r>
            <w:r>
              <w:rPr>
                <w:rFonts w:hint="eastAsia"/>
                <w:szCs w:val="20"/>
              </w:rPr>
              <w:t>5</w:t>
            </w:r>
          </w:p>
        </w:tc>
        <w:tc>
          <w:tcPr>
            <w:tcW w:w="1985" w:type="dxa"/>
            <w:shd w:val="clear" w:color="auto" w:fill="auto"/>
          </w:tcPr>
          <w:p w14:paraId="63556718" w14:textId="77777777" w:rsidR="00A052DC" w:rsidRDefault="009F0A60">
            <w:pPr>
              <w:pStyle w:val="B"/>
              <w:widowControl w:val="0"/>
              <w:rPr>
                <w:szCs w:val="20"/>
              </w:rPr>
            </w:pPr>
            <w:r>
              <w:rPr>
                <w:rFonts w:hint="eastAsia"/>
                <w:szCs w:val="20"/>
              </w:rPr>
              <w:t>可流通股票（份额）的记账币种（原币）5</w:t>
            </w:r>
          </w:p>
        </w:tc>
        <w:tc>
          <w:tcPr>
            <w:tcW w:w="1559" w:type="dxa"/>
            <w:shd w:val="clear" w:color="auto" w:fill="auto"/>
            <w:noWrap/>
          </w:tcPr>
          <w:p w14:paraId="5E610292" w14:textId="77777777" w:rsidR="00A052DC" w:rsidRDefault="009F0A60">
            <w:pPr>
              <w:pStyle w:val="B"/>
              <w:widowControl w:val="0"/>
              <w:rPr>
                <w:szCs w:val="20"/>
              </w:rPr>
            </w:pPr>
            <w:r>
              <w:rPr>
                <w:szCs w:val="20"/>
              </w:rPr>
              <w:t>字符型，3</w:t>
            </w:r>
          </w:p>
        </w:tc>
        <w:tc>
          <w:tcPr>
            <w:tcW w:w="3580" w:type="dxa"/>
          </w:tcPr>
          <w:p w14:paraId="4AAC88BC" w14:textId="77777777" w:rsidR="00A052DC" w:rsidRDefault="009F0A60">
            <w:pPr>
              <w:pStyle w:val="B"/>
              <w:widowControl w:val="0"/>
              <w:rPr>
                <w:szCs w:val="20"/>
              </w:rPr>
            </w:pPr>
            <w:r>
              <w:rPr>
                <w:rFonts w:hint="eastAsia"/>
                <w:szCs w:val="20"/>
              </w:rPr>
              <w:t>必填项，见币种代码表。如果此项填写“</w:t>
            </w:r>
            <w:r>
              <w:rPr>
                <w:szCs w:val="20"/>
              </w:rPr>
              <w:t>N/A</w:t>
            </w:r>
            <w:r>
              <w:rPr>
                <w:rFonts w:hint="eastAsia"/>
                <w:szCs w:val="20"/>
              </w:rPr>
              <w:t>”，</w:t>
            </w:r>
            <w:r>
              <w:rPr>
                <w:szCs w:val="20"/>
              </w:rPr>
              <w:t>则A0130</w:t>
            </w:r>
            <w:r>
              <w:rPr>
                <w:rFonts w:hint="eastAsia"/>
                <w:szCs w:val="20"/>
              </w:rPr>
              <w:t>5</w:t>
            </w:r>
            <w:r>
              <w:rPr>
                <w:szCs w:val="20"/>
              </w:rPr>
              <w:t>和A0131</w:t>
            </w:r>
            <w:r>
              <w:rPr>
                <w:rFonts w:hint="eastAsia"/>
                <w:szCs w:val="20"/>
              </w:rPr>
              <w:t>5</w:t>
            </w:r>
            <w:r>
              <w:rPr>
                <w:szCs w:val="20"/>
              </w:rPr>
              <w:t>都</w:t>
            </w:r>
            <w:r>
              <w:rPr>
                <w:rFonts w:hint="eastAsia"/>
                <w:szCs w:val="20"/>
              </w:rPr>
              <w:t>填</w:t>
            </w:r>
            <w:r>
              <w:rPr>
                <w:szCs w:val="20"/>
              </w:rPr>
              <w:t>0</w:t>
            </w:r>
            <w:r>
              <w:rPr>
                <w:rFonts w:hint="eastAsia"/>
                <w:szCs w:val="20"/>
              </w:rPr>
              <w:t>。</w:t>
            </w:r>
          </w:p>
        </w:tc>
      </w:tr>
      <w:tr w:rsidR="00A052DC" w14:paraId="03012B3A" w14:textId="77777777">
        <w:trPr>
          <w:jc w:val="center"/>
        </w:trPr>
        <w:tc>
          <w:tcPr>
            <w:tcW w:w="1371" w:type="dxa"/>
            <w:shd w:val="clear" w:color="auto" w:fill="auto"/>
            <w:noWrap/>
          </w:tcPr>
          <w:p w14:paraId="09490B90" w14:textId="77777777" w:rsidR="00A052DC" w:rsidRDefault="009F0A60">
            <w:pPr>
              <w:pStyle w:val="B"/>
              <w:widowControl w:val="0"/>
              <w:rPr>
                <w:szCs w:val="20"/>
              </w:rPr>
            </w:pPr>
            <w:r>
              <w:rPr>
                <w:szCs w:val="20"/>
              </w:rPr>
              <w:t>A0130</w:t>
            </w:r>
            <w:r>
              <w:rPr>
                <w:rFonts w:hint="eastAsia"/>
                <w:szCs w:val="20"/>
              </w:rPr>
              <w:t>5</w:t>
            </w:r>
          </w:p>
        </w:tc>
        <w:tc>
          <w:tcPr>
            <w:tcW w:w="1985" w:type="dxa"/>
            <w:shd w:val="clear" w:color="auto" w:fill="auto"/>
          </w:tcPr>
          <w:p w14:paraId="524D51BA" w14:textId="77777777" w:rsidR="00A052DC" w:rsidRDefault="009F0A60">
            <w:pPr>
              <w:pStyle w:val="B"/>
              <w:widowControl w:val="0"/>
              <w:rPr>
                <w:szCs w:val="20"/>
              </w:rPr>
            </w:pPr>
            <w:r>
              <w:rPr>
                <w:rFonts w:hint="eastAsia"/>
                <w:szCs w:val="20"/>
              </w:rPr>
              <w:t>申报主体持股（份额）数量5</w:t>
            </w:r>
          </w:p>
        </w:tc>
        <w:tc>
          <w:tcPr>
            <w:tcW w:w="1559" w:type="dxa"/>
            <w:shd w:val="clear" w:color="auto" w:fill="auto"/>
            <w:noWrap/>
          </w:tcPr>
          <w:p w14:paraId="7B45322B" w14:textId="77777777" w:rsidR="00A052DC" w:rsidRDefault="009F0A60">
            <w:pPr>
              <w:pStyle w:val="B"/>
              <w:widowControl w:val="0"/>
              <w:rPr>
                <w:szCs w:val="20"/>
              </w:rPr>
            </w:pPr>
            <w:r>
              <w:rPr>
                <w:szCs w:val="20"/>
              </w:rPr>
              <w:t>长整数型</w:t>
            </w:r>
          </w:p>
        </w:tc>
        <w:tc>
          <w:tcPr>
            <w:tcW w:w="3580" w:type="dxa"/>
          </w:tcPr>
          <w:p w14:paraId="28A2A784" w14:textId="77777777" w:rsidR="00A052DC" w:rsidRDefault="009F0A60">
            <w:pPr>
              <w:pStyle w:val="B"/>
              <w:widowControl w:val="0"/>
              <w:rPr>
                <w:szCs w:val="20"/>
              </w:rPr>
            </w:pPr>
            <w:r>
              <w:rPr>
                <w:rFonts w:hint="eastAsia"/>
                <w:szCs w:val="20"/>
              </w:rPr>
              <w:t>必填项，如果</w:t>
            </w:r>
            <w:r>
              <w:rPr>
                <w:szCs w:val="20"/>
              </w:rPr>
              <w:t>A0129</w:t>
            </w:r>
            <w:r>
              <w:rPr>
                <w:rFonts w:hint="eastAsia"/>
                <w:szCs w:val="20"/>
              </w:rPr>
              <w:t>5填写“</w:t>
            </w:r>
            <w:r>
              <w:rPr>
                <w:szCs w:val="20"/>
              </w:rPr>
              <w:t>N/A</w:t>
            </w:r>
            <w:r>
              <w:rPr>
                <w:rFonts w:hint="eastAsia"/>
                <w:szCs w:val="20"/>
              </w:rPr>
              <w:t>”，则此项填</w:t>
            </w:r>
            <w:r>
              <w:rPr>
                <w:szCs w:val="20"/>
              </w:rPr>
              <w:t>0</w:t>
            </w:r>
            <w:r>
              <w:rPr>
                <w:rFonts w:hint="eastAsia"/>
                <w:szCs w:val="20"/>
              </w:rPr>
              <w:t>。否则必须＞</w:t>
            </w:r>
            <w:r>
              <w:rPr>
                <w:szCs w:val="20"/>
              </w:rPr>
              <w:t>0</w:t>
            </w:r>
            <w:r>
              <w:rPr>
                <w:rFonts w:hint="eastAsia"/>
                <w:szCs w:val="20"/>
              </w:rPr>
              <w:t>。</w:t>
            </w:r>
          </w:p>
        </w:tc>
      </w:tr>
      <w:tr w:rsidR="00A052DC" w14:paraId="626DE73B" w14:textId="77777777">
        <w:trPr>
          <w:jc w:val="center"/>
        </w:trPr>
        <w:tc>
          <w:tcPr>
            <w:tcW w:w="1371" w:type="dxa"/>
            <w:shd w:val="clear" w:color="auto" w:fill="auto"/>
            <w:noWrap/>
          </w:tcPr>
          <w:p w14:paraId="5EE4135B" w14:textId="77777777" w:rsidR="00A052DC" w:rsidRDefault="009F0A60">
            <w:pPr>
              <w:pStyle w:val="B"/>
              <w:widowControl w:val="0"/>
              <w:rPr>
                <w:szCs w:val="20"/>
              </w:rPr>
            </w:pPr>
            <w:r>
              <w:rPr>
                <w:szCs w:val="20"/>
              </w:rPr>
              <w:t>A0131</w:t>
            </w:r>
            <w:r>
              <w:rPr>
                <w:rFonts w:hint="eastAsia"/>
                <w:szCs w:val="20"/>
              </w:rPr>
              <w:t>5</w:t>
            </w:r>
          </w:p>
        </w:tc>
        <w:tc>
          <w:tcPr>
            <w:tcW w:w="1985" w:type="dxa"/>
            <w:shd w:val="clear" w:color="auto" w:fill="auto"/>
          </w:tcPr>
          <w:p w14:paraId="6EC7683E" w14:textId="77777777" w:rsidR="00A052DC" w:rsidRDefault="009F0A60">
            <w:pPr>
              <w:pStyle w:val="B"/>
              <w:widowControl w:val="0"/>
              <w:rPr>
                <w:szCs w:val="20"/>
              </w:rPr>
            </w:pPr>
            <w:r>
              <w:rPr>
                <w:rFonts w:hint="eastAsia"/>
                <w:szCs w:val="20"/>
              </w:rPr>
              <w:t>每股（每份）市价5</w:t>
            </w:r>
          </w:p>
        </w:tc>
        <w:tc>
          <w:tcPr>
            <w:tcW w:w="1559" w:type="dxa"/>
            <w:shd w:val="clear" w:color="auto" w:fill="auto"/>
            <w:noWrap/>
          </w:tcPr>
          <w:p w14:paraId="72F70FBA" w14:textId="77777777" w:rsidR="00A052DC" w:rsidRDefault="009F0A60">
            <w:pPr>
              <w:pStyle w:val="B"/>
              <w:widowControl w:val="0"/>
              <w:rPr>
                <w:szCs w:val="20"/>
              </w:rPr>
            </w:pPr>
            <w:r>
              <w:rPr>
                <w:szCs w:val="20"/>
              </w:rPr>
              <w:t>数值型，22.2</w:t>
            </w:r>
          </w:p>
        </w:tc>
        <w:tc>
          <w:tcPr>
            <w:tcW w:w="3580" w:type="dxa"/>
          </w:tcPr>
          <w:p w14:paraId="0B23407E" w14:textId="77777777" w:rsidR="00A052DC" w:rsidRDefault="009F0A60">
            <w:pPr>
              <w:pStyle w:val="B"/>
              <w:widowControl w:val="0"/>
              <w:rPr>
                <w:szCs w:val="20"/>
              </w:rPr>
            </w:pPr>
            <w:r>
              <w:rPr>
                <w:rFonts w:hint="eastAsia"/>
                <w:szCs w:val="20"/>
              </w:rPr>
              <w:t>必填项，如果</w:t>
            </w:r>
            <w:r>
              <w:rPr>
                <w:szCs w:val="20"/>
              </w:rPr>
              <w:t>A0129</w:t>
            </w:r>
            <w:r>
              <w:rPr>
                <w:rFonts w:hint="eastAsia"/>
                <w:szCs w:val="20"/>
              </w:rPr>
              <w:t>5填写“</w:t>
            </w:r>
            <w:r>
              <w:rPr>
                <w:szCs w:val="20"/>
              </w:rPr>
              <w:t>N/A</w:t>
            </w:r>
            <w:r>
              <w:rPr>
                <w:rFonts w:hint="eastAsia"/>
                <w:szCs w:val="20"/>
              </w:rPr>
              <w:t>”，则此项填</w:t>
            </w:r>
            <w:r>
              <w:rPr>
                <w:szCs w:val="20"/>
              </w:rPr>
              <w:t>0</w:t>
            </w:r>
            <w:r>
              <w:rPr>
                <w:rFonts w:hint="eastAsia"/>
                <w:szCs w:val="20"/>
              </w:rPr>
              <w:t>。否则必须＞</w:t>
            </w:r>
            <w:r>
              <w:rPr>
                <w:szCs w:val="20"/>
              </w:rPr>
              <w:t>0</w:t>
            </w:r>
            <w:r>
              <w:rPr>
                <w:rFonts w:hint="eastAsia"/>
                <w:szCs w:val="20"/>
              </w:rPr>
              <w:t>。</w:t>
            </w:r>
          </w:p>
        </w:tc>
      </w:tr>
      <w:tr w:rsidR="00A052DC" w14:paraId="72CDFE64" w14:textId="77777777">
        <w:trPr>
          <w:jc w:val="center"/>
        </w:trPr>
        <w:tc>
          <w:tcPr>
            <w:tcW w:w="1371" w:type="dxa"/>
            <w:shd w:val="clear" w:color="auto" w:fill="auto"/>
            <w:noWrap/>
          </w:tcPr>
          <w:p w14:paraId="2D4CAAE3" w14:textId="77777777" w:rsidR="00A052DC" w:rsidRDefault="009F0A60">
            <w:pPr>
              <w:pStyle w:val="B"/>
              <w:widowControl w:val="0"/>
              <w:rPr>
                <w:szCs w:val="20"/>
              </w:rPr>
            </w:pPr>
            <w:r>
              <w:rPr>
                <w:szCs w:val="20"/>
              </w:rPr>
              <w:t>REMARK</w:t>
            </w:r>
          </w:p>
        </w:tc>
        <w:tc>
          <w:tcPr>
            <w:tcW w:w="1985" w:type="dxa"/>
            <w:shd w:val="clear" w:color="auto" w:fill="auto"/>
          </w:tcPr>
          <w:p w14:paraId="714481E1" w14:textId="77777777" w:rsidR="00A052DC" w:rsidRDefault="009F0A60">
            <w:pPr>
              <w:pStyle w:val="B"/>
              <w:widowControl w:val="0"/>
              <w:rPr>
                <w:szCs w:val="20"/>
              </w:rPr>
            </w:pPr>
            <w:r>
              <w:rPr>
                <w:rFonts w:hint="eastAsia"/>
                <w:szCs w:val="20"/>
              </w:rPr>
              <w:t>备注</w:t>
            </w:r>
          </w:p>
        </w:tc>
        <w:tc>
          <w:tcPr>
            <w:tcW w:w="1559" w:type="dxa"/>
            <w:shd w:val="clear" w:color="auto" w:fill="auto"/>
            <w:noWrap/>
          </w:tcPr>
          <w:p w14:paraId="6C379683" w14:textId="77777777" w:rsidR="00A052DC" w:rsidRDefault="009F0A60">
            <w:pPr>
              <w:pStyle w:val="B"/>
              <w:widowControl w:val="0"/>
              <w:rPr>
                <w:szCs w:val="20"/>
              </w:rPr>
            </w:pPr>
            <w:r>
              <w:rPr>
                <w:rFonts w:hint="eastAsia"/>
                <w:szCs w:val="20"/>
              </w:rPr>
              <w:t>字符型，</w:t>
            </w:r>
            <w:r>
              <w:rPr>
                <w:szCs w:val="20"/>
              </w:rPr>
              <w:t>512</w:t>
            </w:r>
          </w:p>
        </w:tc>
        <w:tc>
          <w:tcPr>
            <w:tcW w:w="3580" w:type="dxa"/>
          </w:tcPr>
          <w:p w14:paraId="2B961082" w14:textId="77777777" w:rsidR="00A052DC" w:rsidRDefault="009F0A60">
            <w:pPr>
              <w:pStyle w:val="B"/>
              <w:widowControl w:val="0"/>
              <w:rPr>
                <w:szCs w:val="20"/>
              </w:rPr>
            </w:pPr>
            <w:r>
              <w:rPr>
                <w:rFonts w:hint="eastAsia"/>
                <w:szCs w:val="20"/>
              </w:rPr>
              <w:t>出现以下情况之一则此项为必填项。</w:t>
            </w:r>
          </w:p>
          <w:p w14:paraId="37041AE0" w14:textId="77777777" w:rsidR="00A052DC" w:rsidRDefault="009F0A60">
            <w:pPr>
              <w:pStyle w:val="B"/>
              <w:widowControl w:val="0"/>
              <w:rPr>
                <w:szCs w:val="20"/>
              </w:rPr>
            </w:pPr>
            <w:r>
              <w:rPr>
                <w:rFonts w:hint="eastAsia"/>
                <w:szCs w:val="20"/>
              </w:rPr>
              <w:t>1.当</w:t>
            </w:r>
            <w:r>
              <w:rPr>
                <w:szCs w:val="20"/>
              </w:rPr>
              <w:t>A0103境外被投资机构所属国家/地区=CHN</w:t>
            </w:r>
            <w:r>
              <w:rPr>
                <w:rFonts w:hint="eastAsia"/>
                <w:szCs w:val="20"/>
              </w:rPr>
              <w:t>；</w:t>
            </w:r>
          </w:p>
          <w:p w14:paraId="3387E070" w14:textId="77777777" w:rsidR="00A052DC" w:rsidRDefault="009F0A60">
            <w:pPr>
              <w:pStyle w:val="B"/>
              <w:widowControl w:val="0"/>
              <w:rPr>
                <w:szCs w:val="20"/>
              </w:rPr>
            </w:pPr>
            <w:r>
              <w:rPr>
                <w:rFonts w:hint="eastAsia"/>
                <w:szCs w:val="20"/>
              </w:rPr>
              <w:t>2.当</w:t>
            </w:r>
            <w:r>
              <w:rPr>
                <w:szCs w:val="20"/>
              </w:rPr>
              <w:t>0</w:t>
            </w:r>
            <w:r>
              <w:rPr>
                <w:rFonts w:hint="eastAsia"/>
                <w:szCs w:val="20"/>
              </w:rPr>
              <w:t>（</w:t>
            </w:r>
            <w:r>
              <w:rPr>
                <w:szCs w:val="20"/>
              </w:rPr>
              <w:t>%</w:t>
            </w:r>
            <w:r>
              <w:rPr>
                <w:rFonts w:hint="eastAsia"/>
                <w:szCs w:val="20"/>
              </w:rPr>
              <w:t>）≤</w:t>
            </w:r>
            <w:r>
              <w:rPr>
                <w:szCs w:val="20"/>
              </w:rPr>
              <w:t>A0108</w:t>
            </w:r>
            <w:r>
              <w:rPr>
                <w:rFonts w:hint="eastAsia"/>
                <w:szCs w:val="20"/>
              </w:rPr>
              <w:t>＜</w:t>
            </w:r>
            <w:r>
              <w:rPr>
                <w:szCs w:val="20"/>
              </w:rPr>
              <w:t>10</w:t>
            </w:r>
            <w:r>
              <w:rPr>
                <w:rFonts w:hint="eastAsia"/>
                <w:szCs w:val="20"/>
              </w:rPr>
              <w:t>（</w:t>
            </w:r>
            <w:r>
              <w:rPr>
                <w:szCs w:val="20"/>
              </w:rPr>
              <w:t>%</w:t>
            </w:r>
            <w:r>
              <w:rPr>
                <w:rFonts w:hint="eastAsia"/>
                <w:szCs w:val="20"/>
              </w:rPr>
              <w:t>）时；</w:t>
            </w:r>
          </w:p>
          <w:p w14:paraId="7EB9F316" w14:textId="77777777" w:rsidR="00A052DC" w:rsidRDefault="009F0A60">
            <w:pPr>
              <w:pStyle w:val="B"/>
              <w:widowControl w:val="0"/>
              <w:rPr>
                <w:szCs w:val="20"/>
              </w:rPr>
            </w:pPr>
            <w:r>
              <w:rPr>
                <w:rFonts w:hint="eastAsia"/>
                <w:szCs w:val="20"/>
              </w:rPr>
              <w:t>3.当</w:t>
            </w:r>
            <w:r>
              <w:rPr>
                <w:szCs w:val="20"/>
              </w:rPr>
              <w:t>A0124</w:t>
            </w:r>
            <w:r>
              <w:rPr>
                <w:rFonts w:hint="eastAsia"/>
                <w:szCs w:val="20"/>
              </w:rPr>
              <w:t>＜</w:t>
            </w:r>
            <w:r>
              <w:rPr>
                <w:szCs w:val="20"/>
              </w:rPr>
              <w:t>A0125</w:t>
            </w:r>
            <w:r>
              <w:rPr>
                <w:rFonts w:hint="eastAsia"/>
                <w:szCs w:val="20"/>
              </w:rPr>
              <w:t>时；</w:t>
            </w:r>
          </w:p>
          <w:p w14:paraId="3EAFA15B" w14:textId="77777777" w:rsidR="00A052DC" w:rsidRDefault="009F0A60">
            <w:pPr>
              <w:pStyle w:val="B"/>
              <w:widowControl w:val="0"/>
              <w:rPr>
                <w:szCs w:val="20"/>
              </w:rPr>
            </w:pPr>
            <w:r>
              <w:rPr>
                <w:rFonts w:hint="eastAsia"/>
                <w:szCs w:val="20"/>
              </w:rPr>
              <w:t>4.当</w:t>
            </w:r>
            <w:r>
              <w:rPr>
                <w:szCs w:val="20"/>
              </w:rPr>
              <w:t>A0126</w:t>
            </w:r>
            <w:r>
              <w:rPr>
                <w:rFonts w:hint="eastAsia"/>
                <w:szCs w:val="20"/>
              </w:rPr>
              <w:t>＜</w:t>
            </w:r>
            <w:r>
              <w:rPr>
                <w:szCs w:val="20"/>
              </w:rPr>
              <w:t>0</w:t>
            </w:r>
            <w:r>
              <w:rPr>
                <w:rFonts w:hint="eastAsia"/>
                <w:szCs w:val="20"/>
              </w:rPr>
              <w:t>时。</w:t>
            </w:r>
          </w:p>
        </w:tc>
      </w:tr>
    </w:tbl>
    <w:p w14:paraId="63A53677" w14:textId="77777777" w:rsidR="00A052DC" w:rsidRDefault="00A052DC"/>
    <w:p w14:paraId="5427620C" w14:textId="77777777" w:rsidR="00A052DC" w:rsidRDefault="009F0A60" w:rsidP="0020251D">
      <w:pPr>
        <w:pStyle w:val="3"/>
        <w:ind w:left="0"/>
        <w:rPr>
          <w:rFonts w:ascii="Times New Roman" w:hAnsi="Times New Roman"/>
        </w:rPr>
      </w:pPr>
      <w:bookmarkStart w:id="2992" w:name="_Toc380356278"/>
      <w:bookmarkStart w:id="2993" w:name="_Toc91455305"/>
      <w:bookmarkStart w:id="2994" w:name="_Toc380570907"/>
      <w:bookmarkStart w:id="2995" w:name="_Toc454391233"/>
      <w:bookmarkStart w:id="2996" w:name="_Toc101684478"/>
      <w:r>
        <w:rPr>
          <w:rFonts w:ascii="Times New Roman" w:hAnsi="Times New Roman"/>
        </w:rPr>
        <w:t>A01-2</w:t>
      </w:r>
      <w:r>
        <w:rPr>
          <w:rFonts w:ascii="Times New Roman" w:hAnsi="Times New Roman" w:hint="eastAsia"/>
        </w:rPr>
        <w:t>表：对外直接投资（流量）</w:t>
      </w:r>
      <w:bookmarkEnd w:id="2992"/>
      <w:bookmarkEnd w:id="2993"/>
      <w:bookmarkEnd w:id="2994"/>
      <w:bookmarkEnd w:id="2995"/>
      <w:bookmarkEnd w:id="2996"/>
    </w:p>
    <w:p w14:paraId="05E95901" w14:textId="77777777" w:rsidR="00A052DC" w:rsidRDefault="009F0A60" w:rsidP="0020251D">
      <w:pPr>
        <w:pStyle w:val="4"/>
        <w:numPr>
          <w:ilvl w:val="3"/>
          <w:numId w:val="1"/>
        </w:numPr>
        <w:jc w:val="left"/>
      </w:pPr>
      <w:bookmarkStart w:id="2997" w:name="_Toc380570908"/>
      <w:bookmarkStart w:id="2998" w:name="_Toc454391234"/>
      <w:r>
        <w:rPr>
          <w:rFonts w:hint="eastAsia"/>
        </w:rPr>
        <w:t>数据术语解释</w:t>
      </w:r>
      <w:bookmarkEnd w:id="2997"/>
      <w:bookmarkEnd w:id="2998"/>
    </w:p>
    <w:p w14:paraId="64082B64" w14:textId="77777777" w:rsidR="00A052DC" w:rsidRDefault="00A052DC">
      <w:pPr>
        <w:spacing w:line="240" w:lineRule="exact"/>
        <w:rPr>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5"/>
        <w:gridCol w:w="6897"/>
      </w:tblGrid>
      <w:tr w:rsidR="00A052DC" w14:paraId="466CB479" w14:textId="77777777">
        <w:trPr>
          <w:cantSplit/>
        </w:trPr>
        <w:tc>
          <w:tcPr>
            <w:tcW w:w="1575" w:type="dxa"/>
            <w:shd w:val="clear" w:color="auto" w:fill="auto"/>
            <w:noWrap/>
          </w:tcPr>
          <w:p w14:paraId="287585BA" w14:textId="77777777" w:rsidR="00A052DC" w:rsidRDefault="009F0A60">
            <w:pPr>
              <w:pStyle w:val="B1"/>
            </w:pPr>
            <w:r>
              <w:rPr>
                <w:rFonts w:hint="eastAsia"/>
              </w:rPr>
              <w:t>基础数据项</w:t>
            </w:r>
          </w:p>
        </w:tc>
        <w:tc>
          <w:tcPr>
            <w:tcW w:w="6897" w:type="dxa"/>
            <w:shd w:val="clear" w:color="auto" w:fill="auto"/>
            <w:noWrap/>
          </w:tcPr>
          <w:p w14:paraId="3F9807B6" w14:textId="77777777" w:rsidR="00A052DC" w:rsidRDefault="009F0A60">
            <w:pPr>
              <w:pStyle w:val="B1"/>
            </w:pPr>
            <w:r>
              <w:rPr>
                <w:rFonts w:hint="eastAsia"/>
              </w:rPr>
              <w:t>定义</w:t>
            </w:r>
          </w:p>
        </w:tc>
      </w:tr>
      <w:tr w:rsidR="00A052DC" w14:paraId="22A6C424" w14:textId="77777777">
        <w:trPr>
          <w:cantSplit/>
        </w:trPr>
        <w:tc>
          <w:tcPr>
            <w:tcW w:w="1575" w:type="dxa"/>
            <w:shd w:val="clear" w:color="auto" w:fill="auto"/>
          </w:tcPr>
          <w:p w14:paraId="53545A40" w14:textId="77777777" w:rsidR="00A052DC" w:rsidRDefault="009F0A60">
            <w:pPr>
              <w:pStyle w:val="B"/>
              <w:rPr>
                <w:szCs w:val="20"/>
              </w:rPr>
            </w:pPr>
            <w:r>
              <w:rPr>
                <w:rFonts w:hint="eastAsia"/>
                <w:szCs w:val="20"/>
              </w:rPr>
              <w:t>数据自编码</w:t>
            </w:r>
          </w:p>
        </w:tc>
        <w:tc>
          <w:tcPr>
            <w:tcW w:w="6897" w:type="dxa"/>
            <w:shd w:val="clear" w:color="auto" w:fill="auto"/>
            <w:noWrap/>
          </w:tcPr>
          <w:p w14:paraId="66173059" w14:textId="77777777" w:rsidR="00A052DC" w:rsidRDefault="009F0A60">
            <w:pPr>
              <w:pStyle w:val="B"/>
              <w:rPr>
                <w:szCs w:val="20"/>
              </w:rPr>
            </w:pPr>
            <w:r>
              <w:rPr>
                <w:rFonts w:hint="eastAsia"/>
                <w:szCs w:val="20"/>
              </w:rPr>
              <w:t>该编码用于标识金融机构报送的每一条数据，按给定规则编码，便于进行增删改查等操作。建议规则：机构代码（</w:t>
            </w:r>
            <w:r>
              <w:rPr>
                <w:szCs w:val="20"/>
              </w:rPr>
              <w:t>1</w:t>
            </w:r>
            <w:r>
              <w:rPr>
                <w:rFonts w:hint="eastAsia"/>
                <w:szCs w:val="20"/>
              </w:rPr>
              <w:t>8位，不足</w:t>
            </w:r>
            <w:r>
              <w:rPr>
                <w:szCs w:val="20"/>
              </w:rPr>
              <w:t>1</w:t>
            </w:r>
            <w:r>
              <w:rPr>
                <w:rFonts w:hint="eastAsia"/>
                <w:szCs w:val="20"/>
              </w:rPr>
              <w:t>8位补</w:t>
            </w:r>
            <w:r>
              <w:rPr>
                <w:szCs w:val="20"/>
              </w:rPr>
              <w:t>a</w:t>
            </w:r>
            <w:r>
              <w:rPr>
                <w:rFonts w:hint="eastAsia"/>
                <w:szCs w:val="20"/>
              </w:rPr>
              <w:t>）</w:t>
            </w:r>
            <w:r>
              <w:rPr>
                <w:szCs w:val="20"/>
              </w:rPr>
              <w:t>+</w:t>
            </w:r>
            <w:r>
              <w:rPr>
                <w:rFonts w:hint="eastAsia"/>
                <w:szCs w:val="20"/>
              </w:rPr>
              <w:t>报表代码（</w:t>
            </w:r>
            <w:r>
              <w:rPr>
                <w:szCs w:val="20"/>
              </w:rPr>
              <w:t>5</w:t>
            </w:r>
            <w:r>
              <w:rPr>
                <w:rFonts w:hint="eastAsia"/>
                <w:szCs w:val="20"/>
              </w:rPr>
              <w:t>位，不足</w:t>
            </w:r>
            <w:r>
              <w:rPr>
                <w:szCs w:val="20"/>
              </w:rPr>
              <w:t>5</w:t>
            </w:r>
            <w:r>
              <w:rPr>
                <w:rFonts w:hint="eastAsia"/>
                <w:szCs w:val="20"/>
              </w:rPr>
              <w:t>位补</w:t>
            </w:r>
            <w:r>
              <w:rPr>
                <w:szCs w:val="20"/>
              </w:rPr>
              <w:t>a</w:t>
            </w:r>
            <w:r>
              <w:rPr>
                <w:rFonts w:hint="eastAsia"/>
                <w:szCs w:val="20"/>
              </w:rPr>
              <w:t>）</w:t>
            </w:r>
            <w:r>
              <w:rPr>
                <w:szCs w:val="20"/>
              </w:rPr>
              <w:t>+</w:t>
            </w:r>
            <w:r>
              <w:rPr>
                <w:rFonts w:hint="eastAsia"/>
                <w:szCs w:val="20"/>
              </w:rPr>
              <w:t>报送期（</w:t>
            </w:r>
            <w:r>
              <w:rPr>
                <w:szCs w:val="20"/>
              </w:rPr>
              <w:t>6</w:t>
            </w:r>
            <w:r>
              <w:rPr>
                <w:rFonts w:hint="eastAsia"/>
                <w:szCs w:val="20"/>
              </w:rPr>
              <w:t>位）</w:t>
            </w:r>
            <w:r>
              <w:rPr>
                <w:szCs w:val="20"/>
              </w:rPr>
              <w:t>+</w:t>
            </w:r>
            <w:r>
              <w:rPr>
                <w:rFonts w:hint="eastAsia"/>
                <w:szCs w:val="20"/>
              </w:rPr>
              <w:t>顺序号（</w:t>
            </w:r>
            <w:r>
              <w:rPr>
                <w:szCs w:val="20"/>
              </w:rPr>
              <w:t>7</w:t>
            </w:r>
            <w:r>
              <w:rPr>
                <w:rFonts w:hint="eastAsia"/>
                <w:szCs w:val="20"/>
              </w:rPr>
              <w:t>位，从</w:t>
            </w:r>
            <w:r>
              <w:rPr>
                <w:szCs w:val="20"/>
              </w:rPr>
              <w:t>0000001</w:t>
            </w:r>
            <w:r>
              <w:rPr>
                <w:rFonts w:hint="eastAsia"/>
                <w:szCs w:val="20"/>
              </w:rPr>
              <w:t>开始增加）。</w:t>
            </w:r>
          </w:p>
        </w:tc>
      </w:tr>
      <w:tr w:rsidR="00A052DC" w14:paraId="73EB1DDC" w14:textId="77777777">
        <w:trPr>
          <w:cantSplit/>
        </w:trPr>
        <w:tc>
          <w:tcPr>
            <w:tcW w:w="1575" w:type="dxa"/>
            <w:shd w:val="clear" w:color="auto" w:fill="auto"/>
          </w:tcPr>
          <w:p w14:paraId="72BF4B94" w14:textId="77777777" w:rsidR="00A052DC" w:rsidRDefault="009F0A60">
            <w:pPr>
              <w:pStyle w:val="B"/>
              <w:rPr>
                <w:szCs w:val="20"/>
              </w:rPr>
            </w:pPr>
            <w:r>
              <w:rPr>
                <w:rFonts w:hint="eastAsia"/>
                <w:szCs w:val="20"/>
              </w:rPr>
              <w:t>申报主体代码</w:t>
            </w:r>
          </w:p>
        </w:tc>
        <w:tc>
          <w:tcPr>
            <w:tcW w:w="6897" w:type="dxa"/>
            <w:shd w:val="clear" w:color="auto" w:fill="auto"/>
            <w:noWrap/>
          </w:tcPr>
          <w:p w14:paraId="2FC356F1" w14:textId="77777777" w:rsidR="00A052DC" w:rsidRDefault="009F0A60">
            <w:pPr>
              <w:pStyle w:val="B"/>
              <w:rPr>
                <w:szCs w:val="20"/>
              </w:rPr>
            </w:pPr>
            <w:r>
              <w:rPr>
                <w:rFonts w:hint="eastAsia"/>
                <w:szCs w:val="20"/>
              </w:rPr>
              <w:t>申报主体的12位金融机构标识码，如果没有金融机构标识码，则填报统一社会信用代码法定载体（如营业执照）上统一社会信用代码中的第9至17位或国家外汇管理局及其分支局签发的特殊机构代码赋码通知书上的机构代码、个人身份代码。</w:t>
            </w:r>
          </w:p>
        </w:tc>
      </w:tr>
      <w:tr w:rsidR="00A052DC" w14:paraId="014D06E4" w14:textId="77777777">
        <w:trPr>
          <w:cantSplit/>
        </w:trPr>
        <w:tc>
          <w:tcPr>
            <w:tcW w:w="1575" w:type="dxa"/>
            <w:shd w:val="clear" w:color="auto" w:fill="auto"/>
          </w:tcPr>
          <w:p w14:paraId="1DE5779C" w14:textId="77777777" w:rsidR="00A052DC" w:rsidRDefault="009F0A60">
            <w:pPr>
              <w:pStyle w:val="B"/>
              <w:rPr>
                <w:szCs w:val="20"/>
              </w:rPr>
            </w:pPr>
            <w:r>
              <w:rPr>
                <w:rFonts w:hint="eastAsia"/>
                <w:szCs w:val="20"/>
              </w:rPr>
              <w:t>报告期</w:t>
            </w:r>
          </w:p>
        </w:tc>
        <w:tc>
          <w:tcPr>
            <w:tcW w:w="6897" w:type="dxa"/>
            <w:shd w:val="clear" w:color="auto" w:fill="auto"/>
            <w:noWrap/>
          </w:tcPr>
          <w:p w14:paraId="072A6ABA" w14:textId="77777777" w:rsidR="00A052DC" w:rsidRDefault="009F0A60">
            <w:pPr>
              <w:pStyle w:val="B"/>
              <w:rPr>
                <w:szCs w:val="20"/>
              </w:rPr>
            </w:pPr>
            <w:r>
              <w:rPr>
                <w:rFonts w:hint="eastAsia"/>
                <w:szCs w:val="20"/>
              </w:rPr>
              <w:t>业务发生月份，格式为</w:t>
            </w:r>
            <w:r>
              <w:rPr>
                <w:szCs w:val="20"/>
              </w:rPr>
              <w:t>YYYYMM</w:t>
            </w:r>
            <w:r>
              <w:rPr>
                <w:rFonts w:hint="eastAsia"/>
                <w:szCs w:val="20"/>
              </w:rPr>
              <w:t>。</w:t>
            </w:r>
          </w:p>
        </w:tc>
      </w:tr>
      <w:tr w:rsidR="00A052DC" w14:paraId="0EACDA04" w14:textId="77777777">
        <w:trPr>
          <w:cantSplit/>
        </w:trPr>
        <w:tc>
          <w:tcPr>
            <w:tcW w:w="1575" w:type="dxa"/>
            <w:shd w:val="clear" w:color="auto" w:fill="auto"/>
          </w:tcPr>
          <w:p w14:paraId="030DF77A" w14:textId="77777777" w:rsidR="00A052DC" w:rsidRDefault="009F0A60">
            <w:pPr>
              <w:pStyle w:val="B"/>
              <w:rPr>
                <w:szCs w:val="20"/>
              </w:rPr>
            </w:pPr>
            <w:r>
              <w:rPr>
                <w:rFonts w:hint="eastAsia"/>
                <w:szCs w:val="20"/>
              </w:rPr>
              <w:t>境外被投资机构代码</w:t>
            </w:r>
          </w:p>
        </w:tc>
        <w:tc>
          <w:tcPr>
            <w:tcW w:w="6897" w:type="dxa"/>
            <w:shd w:val="clear" w:color="auto" w:fill="auto"/>
            <w:noWrap/>
          </w:tcPr>
          <w:p w14:paraId="49DBC1F6" w14:textId="77777777" w:rsidR="00A052DC" w:rsidRDefault="009F0A60">
            <w:pPr>
              <w:pStyle w:val="B"/>
              <w:rPr>
                <w:szCs w:val="20"/>
              </w:rPr>
            </w:pPr>
            <w:r>
              <w:rPr>
                <w:rFonts w:hint="eastAsia"/>
                <w:szCs w:val="20"/>
              </w:rPr>
              <w:t>指可以唯一标识对外直接投资资金最终投向的境外被投资机构的代码［即非特殊目的实体（非SPV）］，包括“</w:t>
            </w:r>
            <w:r>
              <w:rPr>
                <w:szCs w:val="20"/>
              </w:rPr>
              <w:t>SWIFT</w:t>
            </w:r>
            <w:r>
              <w:rPr>
                <w:rFonts w:hint="eastAsia"/>
                <w:szCs w:val="20"/>
              </w:rPr>
              <w:t>编码</w:t>
            </w:r>
            <w:r>
              <w:rPr>
                <w:szCs w:val="20"/>
              </w:rPr>
              <w:t>/</w:t>
            </w:r>
            <w:r>
              <w:rPr>
                <w:rFonts w:hint="eastAsia"/>
                <w:szCs w:val="20"/>
              </w:rPr>
              <w:t>股票证券代码</w:t>
            </w:r>
            <w:r>
              <w:rPr>
                <w:szCs w:val="20"/>
              </w:rPr>
              <w:t>/</w:t>
            </w:r>
            <w:r>
              <w:rPr>
                <w:rFonts w:hint="eastAsia"/>
                <w:szCs w:val="20"/>
              </w:rPr>
              <w:t>其他机构标识码”等。如果为境外上市企业，代码前需注明交易所编码，如纽交所代码为</w:t>
            </w:r>
            <w:r>
              <w:rPr>
                <w:szCs w:val="20"/>
              </w:rPr>
              <w:t>NYSE</w:t>
            </w:r>
            <w:r>
              <w:rPr>
                <w:rFonts w:hint="eastAsia"/>
                <w:szCs w:val="20"/>
              </w:rPr>
              <w:t>；多个地区上市可以只填报主要上市地的代码；如只能填报其他机构标识码，需填报境内投资主体的金融机构代码，再加上公司或集团内部编码等。所谓境外被投资机构，包括：（</w:t>
            </w:r>
            <w:r>
              <w:rPr>
                <w:szCs w:val="20"/>
              </w:rPr>
              <w:t>1</w:t>
            </w:r>
            <w:r>
              <w:rPr>
                <w:rFonts w:hint="eastAsia"/>
                <w:szCs w:val="20"/>
              </w:rPr>
              <w:t>）申报主体在境外设立或投资的分支机构、子机构、联营或合营机构，包括对上述机构的新设、追加或撤回股本或营运资金投资，但申报主体在境外设立代表处不纳入本表统计；（</w:t>
            </w:r>
            <w:r>
              <w:rPr>
                <w:szCs w:val="20"/>
              </w:rPr>
              <w:t>2</w:t>
            </w:r>
            <w:r>
              <w:rPr>
                <w:rFonts w:hint="eastAsia"/>
                <w:szCs w:val="20"/>
              </w:rPr>
              <w:t>）申报主体在境外证券市场买卖（含一级市场和二级市场）或场外协议买卖某家境外机构的股权，且在本统计期初或期末，持有该境外机构表决权比例≥</w:t>
            </w:r>
            <w:r>
              <w:rPr>
                <w:szCs w:val="20"/>
              </w:rPr>
              <w:t>10%</w:t>
            </w:r>
            <w:r>
              <w:rPr>
                <w:rFonts w:hint="eastAsia"/>
                <w:szCs w:val="20"/>
              </w:rPr>
              <w:t>的；（</w:t>
            </w:r>
            <w:r>
              <w:rPr>
                <w:szCs w:val="20"/>
              </w:rPr>
              <w:t>3</w:t>
            </w:r>
            <w:r>
              <w:rPr>
                <w:rFonts w:hint="eastAsia"/>
                <w:szCs w:val="20"/>
              </w:rPr>
              <w:t>）申报主体买卖境外发行的基金，且在本统计期初或期末，持有该境外基金份额或单位≥</w:t>
            </w:r>
            <w:r>
              <w:rPr>
                <w:szCs w:val="20"/>
              </w:rPr>
              <w:t>10%</w:t>
            </w:r>
            <w:r>
              <w:rPr>
                <w:rFonts w:hint="eastAsia"/>
                <w:szCs w:val="20"/>
              </w:rPr>
              <w:t>的。</w:t>
            </w:r>
          </w:p>
        </w:tc>
      </w:tr>
      <w:tr w:rsidR="00A052DC" w14:paraId="415248DD" w14:textId="77777777">
        <w:trPr>
          <w:cantSplit/>
        </w:trPr>
        <w:tc>
          <w:tcPr>
            <w:tcW w:w="1575" w:type="dxa"/>
            <w:shd w:val="clear" w:color="auto" w:fill="auto"/>
          </w:tcPr>
          <w:p w14:paraId="183475F1" w14:textId="77777777" w:rsidR="00A052DC" w:rsidRDefault="009F0A60">
            <w:pPr>
              <w:pStyle w:val="B"/>
              <w:rPr>
                <w:szCs w:val="20"/>
              </w:rPr>
            </w:pPr>
            <w:r>
              <w:rPr>
                <w:rFonts w:hint="eastAsia"/>
                <w:szCs w:val="20"/>
              </w:rPr>
              <w:t>投资日期</w:t>
            </w:r>
          </w:p>
        </w:tc>
        <w:tc>
          <w:tcPr>
            <w:tcW w:w="6897" w:type="dxa"/>
            <w:shd w:val="clear" w:color="auto" w:fill="auto"/>
            <w:noWrap/>
          </w:tcPr>
          <w:p w14:paraId="2F9D51A7" w14:textId="77777777" w:rsidR="00A052DC" w:rsidRDefault="009F0A60">
            <w:pPr>
              <w:pStyle w:val="B"/>
              <w:rPr>
                <w:szCs w:val="20"/>
              </w:rPr>
            </w:pPr>
            <w:r>
              <w:rPr>
                <w:rFonts w:hint="eastAsia"/>
                <w:szCs w:val="20"/>
              </w:rPr>
              <w:t>按对应月度内，申报主体对境外被投资机构股权或基金份额投资的实际发生日期填报（如某年某月某日）。如相关投资采用的二级市场买卖股票或基金份额形式，且无法确切逐笔记录，投资日期应填报为对应月份。</w:t>
            </w:r>
          </w:p>
        </w:tc>
      </w:tr>
      <w:tr w:rsidR="00A052DC" w14:paraId="1700E292" w14:textId="77777777">
        <w:trPr>
          <w:cantSplit/>
        </w:trPr>
        <w:tc>
          <w:tcPr>
            <w:tcW w:w="1575" w:type="dxa"/>
            <w:shd w:val="clear" w:color="auto" w:fill="auto"/>
          </w:tcPr>
          <w:p w14:paraId="0CC20DEC" w14:textId="77777777" w:rsidR="00A052DC" w:rsidRDefault="009F0A60">
            <w:pPr>
              <w:pStyle w:val="B"/>
              <w:rPr>
                <w:szCs w:val="20"/>
              </w:rPr>
            </w:pPr>
            <w:r>
              <w:rPr>
                <w:rFonts w:hint="eastAsia"/>
                <w:szCs w:val="20"/>
              </w:rPr>
              <w:t>投资币种（原币）</w:t>
            </w:r>
          </w:p>
        </w:tc>
        <w:tc>
          <w:tcPr>
            <w:tcW w:w="6897" w:type="dxa"/>
            <w:shd w:val="clear" w:color="auto" w:fill="auto"/>
            <w:noWrap/>
          </w:tcPr>
          <w:p w14:paraId="0B9CBCBA" w14:textId="77777777" w:rsidR="00A052DC" w:rsidRDefault="009F0A60">
            <w:pPr>
              <w:pStyle w:val="B"/>
              <w:rPr>
                <w:szCs w:val="20"/>
              </w:rPr>
            </w:pPr>
            <w:r>
              <w:rPr>
                <w:rFonts w:hint="eastAsia"/>
                <w:szCs w:val="20"/>
              </w:rPr>
              <w:t>按照申报主体投向境外被投资机构的原始币种填报。如投资涉及多个币种，应按照币种分别填报。见币种代码表。</w:t>
            </w:r>
          </w:p>
        </w:tc>
      </w:tr>
      <w:tr w:rsidR="00A052DC" w14:paraId="7959B05D" w14:textId="77777777">
        <w:trPr>
          <w:cantSplit/>
        </w:trPr>
        <w:tc>
          <w:tcPr>
            <w:tcW w:w="1575" w:type="dxa"/>
            <w:shd w:val="clear" w:color="auto" w:fill="auto"/>
          </w:tcPr>
          <w:p w14:paraId="1800BAF5" w14:textId="77777777" w:rsidR="00A052DC" w:rsidRDefault="009F0A60">
            <w:pPr>
              <w:pStyle w:val="B"/>
              <w:rPr>
                <w:szCs w:val="20"/>
              </w:rPr>
            </w:pPr>
            <w:r>
              <w:rPr>
                <w:rFonts w:hint="eastAsia"/>
                <w:szCs w:val="20"/>
              </w:rPr>
              <w:t>投资金额增减（</w:t>
            </w:r>
            <w:r>
              <w:rPr>
                <w:szCs w:val="20"/>
              </w:rPr>
              <w:t>+</w:t>
            </w:r>
            <w:r>
              <w:rPr>
                <w:rFonts w:hint="eastAsia"/>
                <w:szCs w:val="20"/>
              </w:rPr>
              <w:t>或</w:t>
            </w:r>
            <w:r>
              <w:rPr>
                <w:szCs w:val="20"/>
              </w:rPr>
              <w:t>-</w:t>
            </w:r>
            <w:r>
              <w:rPr>
                <w:rFonts w:hint="eastAsia"/>
                <w:szCs w:val="20"/>
              </w:rPr>
              <w:t>）</w:t>
            </w:r>
          </w:p>
        </w:tc>
        <w:tc>
          <w:tcPr>
            <w:tcW w:w="6897" w:type="dxa"/>
            <w:shd w:val="clear" w:color="auto" w:fill="auto"/>
            <w:noWrap/>
          </w:tcPr>
          <w:p w14:paraId="6F10FA28" w14:textId="77777777" w:rsidR="00A052DC" w:rsidRDefault="009F0A60">
            <w:pPr>
              <w:pStyle w:val="B"/>
              <w:rPr>
                <w:szCs w:val="20"/>
              </w:rPr>
            </w:pPr>
            <w:r>
              <w:rPr>
                <w:rFonts w:hint="eastAsia"/>
                <w:szCs w:val="20"/>
              </w:rPr>
              <w:t>指对应月度内，申报主体新增、追加、减少、撤回的股权投资，即以股票或股权、营运资金、利润转增资本或基金份额投资等股权类投资方式实际投入或撤回的金额，按实际投资的原始币种填列。其中，“</w:t>
            </w:r>
            <w:r>
              <w:rPr>
                <w:szCs w:val="20"/>
              </w:rPr>
              <w:t>+</w:t>
            </w:r>
            <w:r>
              <w:rPr>
                <w:rFonts w:hint="eastAsia"/>
                <w:szCs w:val="20"/>
              </w:rPr>
              <w:t>”指申报主体新增或追加对境外被投资机构的股权或基金份额投资，“</w:t>
            </w:r>
            <w:r>
              <w:rPr>
                <w:szCs w:val="20"/>
              </w:rPr>
              <w:t>-</w:t>
            </w:r>
            <w:r>
              <w:rPr>
                <w:rFonts w:hint="eastAsia"/>
                <w:szCs w:val="20"/>
              </w:rPr>
              <w:t>”指申报主体减少或撤回对境外被投资机构的股权或基金份额投资。如果出资方式为非现金形式，应以其公允价值记录。如果相关投资为非股权类投资，而是公司间借贷等债务类投资往来，则不应纳入本栏统计，应纳入“</w:t>
            </w:r>
            <w:r>
              <w:rPr>
                <w:szCs w:val="20"/>
              </w:rPr>
              <w:t>D</w:t>
            </w:r>
            <w:r>
              <w:rPr>
                <w:rFonts w:hint="eastAsia"/>
                <w:szCs w:val="20"/>
              </w:rPr>
              <w:t>表：存贷款、应收应付款及非公司制机构股权等往来”统计。如为可转债形式，则在转换前，统计为债务证券（纳入</w:t>
            </w:r>
            <w:r>
              <w:rPr>
                <w:szCs w:val="20"/>
              </w:rPr>
              <w:t>B02</w:t>
            </w:r>
            <w:r>
              <w:rPr>
                <w:rFonts w:hint="eastAsia"/>
                <w:szCs w:val="20"/>
              </w:rPr>
              <w:t>表统计）；转换后，统计为股本证券。如采用二级市场买卖股票形式，且交易频繁无法逐笔记录，则可累计记录当月同一币种下对同一机构的投资变动额。</w:t>
            </w:r>
          </w:p>
        </w:tc>
      </w:tr>
      <w:tr w:rsidR="00A052DC" w14:paraId="18772171" w14:textId="77777777">
        <w:trPr>
          <w:cantSplit/>
        </w:trPr>
        <w:tc>
          <w:tcPr>
            <w:tcW w:w="1575" w:type="dxa"/>
            <w:shd w:val="clear" w:color="auto" w:fill="auto"/>
          </w:tcPr>
          <w:p w14:paraId="00CFC5EB" w14:textId="77777777" w:rsidR="00A052DC" w:rsidRDefault="009F0A60">
            <w:pPr>
              <w:pStyle w:val="B"/>
              <w:rPr>
                <w:szCs w:val="20"/>
              </w:rPr>
            </w:pPr>
            <w:r>
              <w:rPr>
                <w:rFonts w:hint="eastAsia"/>
                <w:szCs w:val="20"/>
              </w:rPr>
              <w:t>申报主体持有表决权比例增减</w:t>
            </w:r>
            <w:r>
              <w:rPr>
                <w:szCs w:val="20"/>
              </w:rPr>
              <w:t>(%)</w:t>
            </w:r>
          </w:p>
        </w:tc>
        <w:tc>
          <w:tcPr>
            <w:tcW w:w="6897" w:type="dxa"/>
            <w:shd w:val="clear" w:color="auto" w:fill="auto"/>
            <w:noWrap/>
          </w:tcPr>
          <w:p w14:paraId="3DE86BAA" w14:textId="77777777" w:rsidR="00A052DC" w:rsidRDefault="009F0A60">
            <w:pPr>
              <w:pStyle w:val="B"/>
              <w:rPr>
                <w:szCs w:val="20"/>
              </w:rPr>
            </w:pPr>
            <w:r>
              <w:rPr>
                <w:rFonts w:hint="eastAsia"/>
                <w:szCs w:val="20"/>
              </w:rPr>
              <w:t>本对应月度内，申报主体持有境外被投资机构表决权比例的增减。其中，“</w:t>
            </w:r>
            <w:r>
              <w:rPr>
                <w:szCs w:val="20"/>
              </w:rPr>
              <w:t>+</w:t>
            </w:r>
            <w:r>
              <w:rPr>
                <w:rFonts w:hint="eastAsia"/>
                <w:szCs w:val="20"/>
              </w:rPr>
              <w:t>”指申报主体持有境外被投资机构的表决权比例增加，“</w:t>
            </w:r>
            <w:r>
              <w:rPr>
                <w:szCs w:val="20"/>
              </w:rPr>
              <w:t>-</w:t>
            </w:r>
            <w:r>
              <w:rPr>
                <w:rFonts w:hint="eastAsia"/>
                <w:szCs w:val="20"/>
              </w:rPr>
              <w:t>”指申报主体持有境外被投资机构表决权比例减少。对于没有独立的所有者权益或股权资本的境外分支机构，应比照全资境外子公司的情况填写。</w:t>
            </w:r>
          </w:p>
        </w:tc>
      </w:tr>
      <w:tr w:rsidR="00A052DC" w14:paraId="44F54B6D" w14:textId="77777777">
        <w:trPr>
          <w:cantSplit/>
        </w:trPr>
        <w:tc>
          <w:tcPr>
            <w:tcW w:w="1575" w:type="dxa"/>
            <w:shd w:val="clear" w:color="auto" w:fill="auto"/>
          </w:tcPr>
          <w:p w14:paraId="2D4AB256" w14:textId="77777777" w:rsidR="00A052DC" w:rsidRDefault="009F0A60">
            <w:pPr>
              <w:pStyle w:val="B"/>
              <w:rPr>
                <w:szCs w:val="20"/>
              </w:rPr>
            </w:pPr>
            <w:r>
              <w:rPr>
                <w:rFonts w:hint="eastAsia"/>
                <w:szCs w:val="20"/>
              </w:rPr>
              <w:t>是否兼并、收购</w:t>
            </w:r>
          </w:p>
        </w:tc>
        <w:tc>
          <w:tcPr>
            <w:tcW w:w="6897" w:type="dxa"/>
            <w:shd w:val="clear" w:color="auto" w:fill="auto"/>
            <w:noWrap/>
          </w:tcPr>
          <w:p w14:paraId="25A84F42" w14:textId="77777777" w:rsidR="00A052DC" w:rsidRDefault="009F0A60">
            <w:pPr>
              <w:pStyle w:val="B"/>
              <w:rPr>
                <w:szCs w:val="20"/>
              </w:rPr>
            </w:pPr>
            <w:r>
              <w:rPr>
                <w:rFonts w:hint="eastAsia"/>
                <w:szCs w:val="20"/>
              </w:rPr>
              <w:t>指本月内的该笔投资是否为兼并、收购境外被投资机构的活动，请选择：</w:t>
            </w:r>
            <w:r>
              <w:rPr>
                <w:szCs w:val="20"/>
              </w:rPr>
              <w:t>1-</w:t>
            </w:r>
            <w:r>
              <w:rPr>
                <w:rFonts w:hint="eastAsia"/>
                <w:szCs w:val="20"/>
              </w:rPr>
              <w:t>是，</w:t>
            </w:r>
            <w:r>
              <w:rPr>
                <w:szCs w:val="20"/>
              </w:rPr>
              <w:t>0-</w:t>
            </w:r>
            <w:r>
              <w:rPr>
                <w:rFonts w:hint="eastAsia"/>
                <w:szCs w:val="20"/>
              </w:rPr>
              <w:t>否。其中，兼并指吸收合并，即申报主体合并中国境外原独立于申报主体（企业集团）的实体的行为。收购指申报主体用现金或者有价证券等收购中国境外原独立于申报主体（企业集团）的实体或项目，以获得对该境外实体或项目</w:t>
            </w:r>
            <w:r>
              <w:rPr>
                <w:szCs w:val="20"/>
              </w:rPr>
              <w:t>10%</w:t>
            </w:r>
            <w:r>
              <w:rPr>
                <w:rFonts w:hint="eastAsia"/>
                <w:szCs w:val="20"/>
              </w:rPr>
              <w:t>及以上的所有权或</w:t>
            </w:r>
            <w:r>
              <w:rPr>
                <w:szCs w:val="20"/>
              </w:rPr>
              <w:t>50%</w:t>
            </w:r>
            <w:r>
              <w:rPr>
                <w:rFonts w:hint="eastAsia"/>
                <w:szCs w:val="20"/>
              </w:rPr>
              <w:t>以上的控制权。兼并、收购包括但不限于场外协议购买、股票市场（含二级市场）购买等形式。</w:t>
            </w:r>
          </w:p>
        </w:tc>
      </w:tr>
      <w:tr w:rsidR="00A052DC" w14:paraId="499E6280" w14:textId="77777777">
        <w:trPr>
          <w:cantSplit/>
        </w:trPr>
        <w:tc>
          <w:tcPr>
            <w:tcW w:w="1575" w:type="dxa"/>
            <w:shd w:val="clear" w:color="auto" w:fill="auto"/>
          </w:tcPr>
          <w:p w14:paraId="115B7422" w14:textId="77777777" w:rsidR="00A052DC" w:rsidRDefault="009F0A60">
            <w:pPr>
              <w:pStyle w:val="B"/>
              <w:rPr>
                <w:szCs w:val="20"/>
              </w:rPr>
            </w:pPr>
            <w:r>
              <w:rPr>
                <w:rFonts w:hint="eastAsia"/>
                <w:szCs w:val="20"/>
              </w:rPr>
              <w:t>出资方式</w:t>
            </w:r>
          </w:p>
        </w:tc>
        <w:tc>
          <w:tcPr>
            <w:tcW w:w="6897" w:type="dxa"/>
            <w:shd w:val="clear" w:color="auto" w:fill="auto"/>
            <w:noWrap/>
          </w:tcPr>
          <w:p w14:paraId="7C830687" w14:textId="77777777" w:rsidR="00A052DC" w:rsidRDefault="009F0A60">
            <w:pPr>
              <w:pStyle w:val="B"/>
              <w:rPr>
                <w:szCs w:val="20"/>
              </w:rPr>
            </w:pPr>
            <w:r>
              <w:rPr>
                <w:rFonts w:hint="eastAsia"/>
                <w:szCs w:val="20"/>
              </w:rPr>
              <w:t>指本月内的该笔投资方式，</w:t>
            </w:r>
            <w:r>
              <w:rPr>
                <w:szCs w:val="20"/>
              </w:rPr>
              <w:t>1-</w:t>
            </w:r>
            <w:r>
              <w:rPr>
                <w:rFonts w:hint="eastAsia"/>
                <w:szCs w:val="20"/>
              </w:rPr>
              <w:t>现金；</w:t>
            </w:r>
            <w:r>
              <w:rPr>
                <w:szCs w:val="20"/>
              </w:rPr>
              <w:t>2-</w:t>
            </w:r>
            <w:r>
              <w:rPr>
                <w:rFonts w:hint="eastAsia"/>
                <w:szCs w:val="20"/>
              </w:rPr>
              <w:t>实物；</w:t>
            </w:r>
            <w:r>
              <w:rPr>
                <w:szCs w:val="20"/>
              </w:rPr>
              <w:t>3-</w:t>
            </w:r>
            <w:r>
              <w:rPr>
                <w:rFonts w:hint="eastAsia"/>
                <w:szCs w:val="20"/>
              </w:rPr>
              <w:t>无形资产；</w:t>
            </w:r>
            <w:r>
              <w:rPr>
                <w:szCs w:val="20"/>
              </w:rPr>
              <w:t>4-</w:t>
            </w:r>
            <w:r>
              <w:rPr>
                <w:rFonts w:hint="eastAsia"/>
                <w:szCs w:val="20"/>
              </w:rPr>
              <w:t>股权出资；</w:t>
            </w:r>
            <w:r>
              <w:rPr>
                <w:szCs w:val="20"/>
              </w:rPr>
              <w:t>5-</w:t>
            </w:r>
            <w:r>
              <w:rPr>
                <w:rFonts w:hint="eastAsia"/>
                <w:szCs w:val="20"/>
              </w:rPr>
              <w:t>其他。</w:t>
            </w:r>
          </w:p>
        </w:tc>
      </w:tr>
      <w:tr w:rsidR="00A052DC" w14:paraId="00DDB97A" w14:textId="77777777">
        <w:trPr>
          <w:cantSplit/>
        </w:trPr>
        <w:tc>
          <w:tcPr>
            <w:tcW w:w="1575" w:type="dxa"/>
            <w:shd w:val="clear" w:color="auto" w:fill="auto"/>
          </w:tcPr>
          <w:p w14:paraId="5C35B345" w14:textId="77777777" w:rsidR="00A052DC" w:rsidRDefault="009F0A60">
            <w:pPr>
              <w:pStyle w:val="B"/>
              <w:rPr>
                <w:szCs w:val="20"/>
              </w:rPr>
            </w:pPr>
            <w:r>
              <w:rPr>
                <w:rFonts w:hint="eastAsia"/>
                <w:szCs w:val="20"/>
              </w:rPr>
              <w:t>业务编号</w:t>
            </w:r>
          </w:p>
        </w:tc>
        <w:tc>
          <w:tcPr>
            <w:tcW w:w="6897" w:type="dxa"/>
            <w:shd w:val="clear" w:color="auto" w:fill="auto"/>
            <w:noWrap/>
          </w:tcPr>
          <w:p w14:paraId="132B580D" w14:textId="77777777" w:rsidR="00A052DC" w:rsidRDefault="009F0A60">
            <w:pPr>
              <w:pStyle w:val="B"/>
              <w:rPr>
                <w:szCs w:val="20"/>
              </w:rPr>
            </w:pPr>
            <w:r>
              <w:rPr>
                <w:rFonts w:hint="eastAsia"/>
                <w:szCs w:val="20"/>
              </w:rPr>
              <w:t>该笔投资对应的资本项目系统中协议登记的业务编号。如果是投资金额减少，则应填写对应的境外投资减资</w:t>
            </w:r>
            <w:r>
              <w:rPr>
                <w:szCs w:val="20"/>
              </w:rPr>
              <w:t>/</w:t>
            </w:r>
            <w:r>
              <w:rPr>
                <w:rFonts w:hint="eastAsia"/>
                <w:szCs w:val="20"/>
              </w:rPr>
              <w:t>转股</w:t>
            </w:r>
            <w:r>
              <w:rPr>
                <w:szCs w:val="20"/>
              </w:rPr>
              <w:t>/</w:t>
            </w:r>
            <w:r>
              <w:rPr>
                <w:rFonts w:hint="eastAsia"/>
                <w:szCs w:val="20"/>
              </w:rPr>
              <w:t>注销的业务编号；如果是投资金额增加，则应填写对应的境外投资义务</w:t>
            </w:r>
            <w:r>
              <w:rPr>
                <w:szCs w:val="20"/>
              </w:rPr>
              <w:t>/</w:t>
            </w:r>
            <w:r>
              <w:rPr>
                <w:rFonts w:hint="eastAsia"/>
                <w:szCs w:val="20"/>
              </w:rPr>
              <w:t>转股的业务编号。</w:t>
            </w:r>
          </w:p>
        </w:tc>
      </w:tr>
      <w:tr w:rsidR="00A052DC" w14:paraId="76A43FDD" w14:textId="77777777">
        <w:trPr>
          <w:cantSplit/>
        </w:trPr>
        <w:tc>
          <w:tcPr>
            <w:tcW w:w="1575" w:type="dxa"/>
            <w:shd w:val="clear" w:color="auto" w:fill="auto"/>
          </w:tcPr>
          <w:p w14:paraId="55212D20" w14:textId="77777777" w:rsidR="00A052DC" w:rsidRDefault="009F0A60">
            <w:pPr>
              <w:pStyle w:val="B"/>
              <w:rPr>
                <w:szCs w:val="20"/>
              </w:rPr>
            </w:pPr>
            <w:r>
              <w:rPr>
                <w:rFonts w:hint="eastAsia"/>
                <w:szCs w:val="20"/>
              </w:rPr>
              <w:t>备注</w:t>
            </w:r>
          </w:p>
        </w:tc>
        <w:tc>
          <w:tcPr>
            <w:tcW w:w="6897" w:type="dxa"/>
            <w:shd w:val="clear" w:color="auto" w:fill="auto"/>
            <w:noWrap/>
          </w:tcPr>
          <w:p w14:paraId="74CCFA1E" w14:textId="77777777" w:rsidR="00A052DC" w:rsidRDefault="0021563C">
            <w:pPr>
              <w:pStyle w:val="B"/>
              <w:rPr>
                <w:szCs w:val="20"/>
              </w:rPr>
            </w:pPr>
            <w:r>
              <w:rPr>
                <w:rFonts w:hint="eastAsia"/>
                <w:szCs w:val="20"/>
              </w:rPr>
              <w:t>其他</w:t>
            </w:r>
            <w:r w:rsidR="009F0A60">
              <w:rPr>
                <w:rFonts w:hint="eastAsia"/>
                <w:szCs w:val="20"/>
              </w:rPr>
              <w:t>需说明的情况（如与本表原则说明不一致的情况）。</w:t>
            </w:r>
          </w:p>
        </w:tc>
      </w:tr>
    </w:tbl>
    <w:p w14:paraId="163301F1" w14:textId="77777777" w:rsidR="00A052DC" w:rsidRDefault="009F0A60">
      <w:pPr>
        <w:pStyle w:val="4"/>
        <w:numPr>
          <w:ilvl w:val="3"/>
          <w:numId w:val="1"/>
        </w:numPr>
        <w:jc w:val="left"/>
      </w:pPr>
      <w:bookmarkStart w:id="2999" w:name="_Toc454391236"/>
      <w:bookmarkStart w:id="3000" w:name="_Toc454391235"/>
      <w:bookmarkStart w:id="3001" w:name="_Toc380570909"/>
      <w:bookmarkStart w:id="3002" w:name="_Toc454391237"/>
      <w:bookmarkEnd w:id="2999"/>
      <w:bookmarkEnd w:id="3000"/>
      <w:r>
        <w:rPr>
          <w:rFonts w:hint="eastAsia"/>
        </w:rPr>
        <w:t>数据格式</w:t>
      </w:r>
      <w:bookmarkEnd w:id="3001"/>
      <w:bookmarkEnd w:id="3002"/>
    </w:p>
    <w:p w14:paraId="3DDE2962" w14:textId="77777777" w:rsidR="00A052DC" w:rsidRDefault="009F0A60">
      <w:pPr>
        <w:ind w:leftChars="400" w:left="840" w:firstLine="11"/>
      </w:pPr>
      <w:r>
        <w:t>&lt;REC&gt;</w:t>
      </w:r>
    </w:p>
    <w:p w14:paraId="0EE65C3D" w14:textId="77777777" w:rsidR="00A052DC" w:rsidRDefault="009F0A60">
      <w:pPr>
        <w:ind w:leftChars="400" w:left="840" w:firstLine="11"/>
      </w:pPr>
      <w:r>
        <w:t>&lt;ACTIONTYPE&gt;</w:t>
      </w:r>
      <w:r>
        <w:rPr>
          <w:rFonts w:hAnsi="宋体"/>
        </w:rPr>
        <w:t>操作类型</w:t>
      </w:r>
      <w:r>
        <w:t>&lt;/ACTIONTYPE&gt;</w:t>
      </w:r>
    </w:p>
    <w:p w14:paraId="366D3626" w14:textId="77777777" w:rsidR="00A052DC" w:rsidRDefault="009F0A60">
      <w:pPr>
        <w:ind w:leftChars="400" w:left="840" w:firstLine="11"/>
      </w:pPr>
      <w:r>
        <w:t>&lt;ACTIONDESC&gt;</w:t>
      </w:r>
      <w:r>
        <w:rPr>
          <w:rFonts w:hAnsi="宋体"/>
        </w:rPr>
        <w:t>删除原因</w:t>
      </w:r>
      <w:r>
        <w:t>&lt;/ACTIONDESC&gt;</w:t>
      </w:r>
    </w:p>
    <w:p w14:paraId="16C32D2B" w14:textId="77777777" w:rsidR="00A052DC" w:rsidRDefault="009F0A60">
      <w:pPr>
        <w:ind w:leftChars="400" w:left="840" w:firstLine="11"/>
      </w:pPr>
      <w:r>
        <w:t>&lt;SNOCODE&gt;</w:t>
      </w:r>
      <w:r>
        <w:rPr>
          <w:rFonts w:hAnsi="宋体"/>
        </w:rPr>
        <w:t>数据自编码</w:t>
      </w:r>
      <w:r>
        <w:t>&lt;/SNOCODE&gt;</w:t>
      </w:r>
    </w:p>
    <w:p w14:paraId="58A88A89" w14:textId="77777777" w:rsidR="00A052DC" w:rsidRDefault="009F0A60">
      <w:pPr>
        <w:ind w:leftChars="400" w:left="840" w:firstLine="11"/>
      </w:pPr>
      <w:r>
        <w:t>&lt;OBJCODE&gt;</w:t>
      </w:r>
      <w:r>
        <w:rPr>
          <w:rFonts w:hAnsi="宋体"/>
        </w:rPr>
        <w:t>申报主体代码</w:t>
      </w:r>
      <w:r>
        <w:t>&lt;/OBJCODE&gt;</w:t>
      </w:r>
    </w:p>
    <w:p w14:paraId="54D78149" w14:textId="77777777" w:rsidR="00A052DC" w:rsidRDefault="009F0A60">
      <w:pPr>
        <w:ind w:leftChars="400" w:left="840" w:firstLine="11"/>
      </w:pPr>
      <w:r>
        <w:t>&lt;BUOCMONTH&gt;</w:t>
      </w:r>
      <w:r>
        <w:rPr>
          <w:rFonts w:hAnsi="宋体"/>
        </w:rPr>
        <w:t>报告期</w:t>
      </w:r>
      <w:r>
        <w:t>&lt;/BUOCMONTH&gt;</w:t>
      </w:r>
    </w:p>
    <w:p w14:paraId="6A87AD5A" w14:textId="77777777" w:rsidR="00A052DC" w:rsidRDefault="009F0A60">
      <w:pPr>
        <w:ind w:firstLine="851"/>
      </w:pPr>
      <w:r>
        <w:t>&lt;A0101&gt;</w:t>
      </w:r>
      <w:r>
        <w:rPr>
          <w:rFonts w:hAnsi="宋体"/>
        </w:rPr>
        <w:t>境外被投资机构代码</w:t>
      </w:r>
      <w:r>
        <w:t>&lt;/A0101&gt;</w:t>
      </w:r>
    </w:p>
    <w:p w14:paraId="72123BBF" w14:textId="77777777" w:rsidR="00A052DC" w:rsidRDefault="009F0A60">
      <w:pPr>
        <w:ind w:firstLine="851"/>
      </w:pPr>
      <w:r>
        <w:t>&lt;A0132&gt;</w:t>
      </w:r>
      <w:r>
        <w:rPr>
          <w:rFonts w:hAnsi="宋体"/>
        </w:rPr>
        <w:t>投资日期</w:t>
      </w:r>
      <w:r>
        <w:t>&lt;/A0132&gt;</w:t>
      </w:r>
    </w:p>
    <w:p w14:paraId="408AF75D" w14:textId="77777777" w:rsidR="00A052DC" w:rsidRDefault="009F0A60">
      <w:pPr>
        <w:ind w:firstLine="851"/>
      </w:pPr>
      <w:r>
        <w:t>&lt;A0133&gt;</w:t>
      </w:r>
      <w:r>
        <w:rPr>
          <w:rFonts w:hAnsi="宋体"/>
        </w:rPr>
        <w:t>投资币种（原币）</w:t>
      </w:r>
      <w:r>
        <w:t>&lt;/A0133&gt;</w:t>
      </w:r>
    </w:p>
    <w:p w14:paraId="2E4070B2" w14:textId="77777777" w:rsidR="00A052DC" w:rsidRDefault="009F0A60">
      <w:pPr>
        <w:ind w:firstLine="851"/>
      </w:pPr>
      <w:r>
        <w:t>&lt;A0134&gt;</w:t>
      </w:r>
      <w:r>
        <w:rPr>
          <w:rFonts w:hAnsi="宋体"/>
        </w:rPr>
        <w:t>投资金额增减（</w:t>
      </w:r>
      <w:r>
        <w:t>+</w:t>
      </w:r>
      <w:r>
        <w:rPr>
          <w:rFonts w:hAnsi="宋体"/>
        </w:rPr>
        <w:t>或</w:t>
      </w:r>
      <w:r>
        <w:t>-</w:t>
      </w:r>
      <w:r>
        <w:rPr>
          <w:rFonts w:hAnsi="宋体"/>
        </w:rPr>
        <w:t>）</w:t>
      </w:r>
      <w:r>
        <w:t>&lt;/A0134&gt;</w:t>
      </w:r>
    </w:p>
    <w:p w14:paraId="79302232" w14:textId="77777777" w:rsidR="00A052DC" w:rsidRDefault="009F0A60">
      <w:pPr>
        <w:ind w:firstLine="851"/>
      </w:pPr>
      <w:r>
        <w:t>&lt;A0135&gt;</w:t>
      </w:r>
      <w:r>
        <w:rPr>
          <w:rFonts w:hAnsi="宋体"/>
        </w:rPr>
        <w:t>申报主体持有表决权比例增减</w:t>
      </w:r>
      <w:r>
        <w:t>(%)&lt;/A0135&gt;</w:t>
      </w:r>
    </w:p>
    <w:p w14:paraId="469CC795" w14:textId="77777777" w:rsidR="00A052DC" w:rsidRDefault="009F0A60">
      <w:pPr>
        <w:ind w:firstLine="851"/>
      </w:pPr>
      <w:r>
        <w:t>&lt;A0136&gt;</w:t>
      </w:r>
      <w:r>
        <w:rPr>
          <w:rFonts w:hAnsi="宋体"/>
        </w:rPr>
        <w:t>是否兼并、收购</w:t>
      </w:r>
      <w:r>
        <w:t>&lt;/A0136&gt;</w:t>
      </w:r>
    </w:p>
    <w:p w14:paraId="07A17CDE" w14:textId="77777777" w:rsidR="00A052DC" w:rsidRDefault="009F0A60">
      <w:pPr>
        <w:ind w:firstLine="851"/>
      </w:pPr>
      <w:r>
        <w:t>&lt;A0137&gt;</w:t>
      </w:r>
      <w:r>
        <w:rPr>
          <w:rFonts w:hAnsi="宋体"/>
        </w:rPr>
        <w:t>出资方式</w:t>
      </w:r>
      <w:r>
        <w:t>&lt;/A0137&gt;</w:t>
      </w:r>
    </w:p>
    <w:p w14:paraId="59400D0A" w14:textId="77777777" w:rsidR="00A052DC" w:rsidRDefault="009F0A60">
      <w:pPr>
        <w:ind w:firstLine="851"/>
      </w:pPr>
      <w:r>
        <w:t>&lt;BIZCODE&gt;</w:t>
      </w:r>
      <w:r>
        <w:rPr>
          <w:rFonts w:hAnsi="宋体"/>
        </w:rPr>
        <w:t>业务编号</w:t>
      </w:r>
      <w:r>
        <w:t>&lt;/BIZCODE&gt;</w:t>
      </w:r>
    </w:p>
    <w:p w14:paraId="094121E9" w14:textId="77777777" w:rsidR="00A052DC" w:rsidRDefault="009F0A60">
      <w:pPr>
        <w:ind w:firstLine="851"/>
      </w:pPr>
      <w:r>
        <w:t>&lt;A0138&gt;</w:t>
      </w:r>
      <w:r>
        <w:rPr>
          <w:rFonts w:hAnsi="宋体"/>
        </w:rPr>
        <w:t>备注</w:t>
      </w:r>
      <w:r>
        <w:t>&lt;/A0138&gt;</w:t>
      </w:r>
    </w:p>
    <w:p w14:paraId="22BEA2FD" w14:textId="77777777" w:rsidR="00A052DC" w:rsidRDefault="009F0A60">
      <w:pPr>
        <w:ind w:firstLine="851"/>
      </w:pPr>
      <w:r>
        <w:t>&lt;/REC&gt;</w:t>
      </w:r>
    </w:p>
    <w:p w14:paraId="067F985C" w14:textId="77777777" w:rsidR="00A052DC" w:rsidRDefault="009F0A60" w:rsidP="0020251D">
      <w:pPr>
        <w:pStyle w:val="4"/>
        <w:numPr>
          <w:ilvl w:val="3"/>
          <w:numId w:val="1"/>
        </w:numPr>
        <w:jc w:val="left"/>
      </w:pPr>
      <w:bookmarkStart w:id="3003" w:name="_Toc454391238"/>
      <w:bookmarkStart w:id="3004" w:name="_Toc380570910"/>
      <w:r>
        <w:rPr>
          <w:rFonts w:hint="eastAsia"/>
        </w:rPr>
        <w:t>数据字典</w:t>
      </w:r>
      <w:bookmarkEnd w:id="3003"/>
      <w:bookmarkEnd w:id="300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134"/>
        <w:gridCol w:w="1417"/>
        <w:gridCol w:w="4536"/>
      </w:tblGrid>
      <w:tr w:rsidR="00A052DC" w14:paraId="35172E7E" w14:textId="77777777">
        <w:trPr>
          <w:tblHeader/>
          <w:jc w:val="center"/>
        </w:trPr>
        <w:tc>
          <w:tcPr>
            <w:tcW w:w="1277" w:type="dxa"/>
            <w:shd w:val="clear" w:color="auto" w:fill="C0C0C0"/>
            <w:noWrap/>
          </w:tcPr>
          <w:p w14:paraId="6804A9BB" w14:textId="77777777" w:rsidR="00A052DC" w:rsidRDefault="009F0A60">
            <w:pPr>
              <w:pStyle w:val="B1"/>
            </w:pPr>
            <w:r>
              <w:rPr>
                <w:rFonts w:hint="eastAsia"/>
              </w:rPr>
              <w:t>字段</w:t>
            </w:r>
          </w:p>
        </w:tc>
        <w:tc>
          <w:tcPr>
            <w:tcW w:w="1134" w:type="dxa"/>
            <w:shd w:val="clear" w:color="auto" w:fill="C0C0C0"/>
            <w:noWrap/>
          </w:tcPr>
          <w:p w14:paraId="15F06080" w14:textId="77777777" w:rsidR="00A052DC" w:rsidRDefault="009F0A60">
            <w:pPr>
              <w:pStyle w:val="B1"/>
            </w:pPr>
            <w:r>
              <w:rPr>
                <w:rFonts w:hint="eastAsia"/>
              </w:rPr>
              <w:t>内容</w:t>
            </w:r>
          </w:p>
        </w:tc>
        <w:tc>
          <w:tcPr>
            <w:tcW w:w="1417" w:type="dxa"/>
            <w:shd w:val="clear" w:color="auto" w:fill="C0C0C0"/>
            <w:noWrap/>
          </w:tcPr>
          <w:p w14:paraId="41B2C1C0" w14:textId="77777777" w:rsidR="00A052DC" w:rsidRDefault="009F0A60">
            <w:pPr>
              <w:pStyle w:val="B1"/>
            </w:pPr>
            <w:r>
              <w:rPr>
                <w:rFonts w:hint="eastAsia"/>
              </w:rPr>
              <w:t>类型（长度）</w:t>
            </w:r>
          </w:p>
        </w:tc>
        <w:tc>
          <w:tcPr>
            <w:tcW w:w="4536" w:type="dxa"/>
            <w:shd w:val="clear" w:color="auto" w:fill="C0C0C0"/>
          </w:tcPr>
          <w:p w14:paraId="01BFC5E2" w14:textId="77777777" w:rsidR="00A052DC" w:rsidRDefault="009F0A60">
            <w:pPr>
              <w:pStyle w:val="B1"/>
            </w:pPr>
            <w:r>
              <w:rPr>
                <w:rFonts w:hint="eastAsia"/>
              </w:rPr>
              <w:t>校验</w:t>
            </w:r>
          </w:p>
        </w:tc>
      </w:tr>
      <w:tr w:rsidR="00A052DC" w14:paraId="0719F3FC" w14:textId="77777777">
        <w:trPr>
          <w:jc w:val="center"/>
        </w:trPr>
        <w:tc>
          <w:tcPr>
            <w:tcW w:w="1277" w:type="dxa"/>
            <w:shd w:val="clear" w:color="auto" w:fill="auto"/>
            <w:noWrap/>
          </w:tcPr>
          <w:p w14:paraId="555F64E0" w14:textId="77777777" w:rsidR="00A052DC" w:rsidRDefault="009F0A60">
            <w:pPr>
              <w:pStyle w:val="B"/>
              <w:rPr>
                <w:szCs w:val="20"/>
              </w:rPr>
            </w:pPr>
            <w:r>
              <w:rPr>
                <w:szCs w:val="20"/>
              </w:rPr>
              <w:t>ACTIONTYPE</w:t>
            </w:r>
          </w:p>
        </w:tc>
        <w:tc>
          <w:tcPr>
            <w:tcW w:w="1134" w:type="dxa"/>
            <w:shd w:val="clear" w:color="auto" w:fill="auto"/>
          </w:tcPr>
          <w:p w14:paraId="47ADD2B2" w14:textId="77777777" w:rsidR="00A052DC" w:rsidRDefault="009F0A60">
            <w:pPr>
              <w:pStyle w:val="B"/>
              <w:rPr>
                <w:szCs w:val="20"/>
              </w:rPr>
            </w:pPr>
            <w:r>
              <w:rPr>
                <w:rFonts w:hint="eastAsia"/>
                <w:szCs w:val="20"/>
              </w:rPr>
              <w:t>操作类型</w:t>
            </w:r>
          </w:p>
        </w:tc>
        <w:tc>
          <w:tcPr>
            <w:tcW w:w="1417" w:type="dxa"/>
            <w:shd w:val="clear" w:color="auto" w:fill="auto"/>
            <w:noWrap/>
          </w:tcPr>
          <w:p w14:paraId="7278D106" w14:textId="77777777" w:rsidR="00A052DC" w:rsidRDefault="009F0A60">
            <w:pPr>
              <w:pStyle w:val="B"/>
              <w:rPr>
                <w:szCs w:val="20"/>
              </w:rPr>
            </w:pPr>
            <w:r>
              <w:rPr>
                <w:rFonts w:hint="eastAsia"/>
                <w:szCs w:val="20"/>
              </w:rPr>
              <w:t>字符型，</w:t>
            </w:r>
            <w:r>
              <w:rPr>
                <w:szCs w:val="20"/>
              </w:rPr>
              <w:t>1</w:t>
            </w:r>
          </w:p>
        </w:tc>
        <w:tc>
          <w:tcPr>
            <w:tcW w:w="4536" w:type="dxa"/>
            <w:shd w:val="clear" w:color="auto" w:fill="auto"/>
          </w:tcPr>
          <w:p w14:paraId="1FF7D5A2" w14:textId="77777777" w:rsidR="00A052DC" w:rsidRDefault="009F0A60">
            <w:pPr>
              <w:pStyle w:val="B"/>
              <w:rPr>
                <w:szCs w:val="20"/>
              </w:rPr>
            </w:pPr>
            <w:r>
              <w:rPr>
                <w:rFonts w:hint="eastAsia"/>
                <w:szCs w:val="20"/>
              </w:rPr>
              <w:t>必填项</w:t>
            </w:r>
            <w:r w:rsidR="00FE361F">
              <w:rPr>
                <w:rFonts w:hint="eastAsia"/>
                <w:szCs w:val="20"/>
              </w:rPr>
              <w:t>。</w:t>
            </w:r>
          </w:p>
          <w:p w14:paraId="01CB6479" w14:textId="77777777" w:rsidR="00A052DC" w:rsidRDefault="009F0A60">
            <w:pPr>
              <w:pStyle w:val="B"/>
              <w:rPr>
                <w:szCs w:val="20"/>
              </w:rPr>
            </w:pPr>
            <w:r>
              <w:rPr>
                <w:szCs w:val="20"/>
              </w:rPr>
              <w:t>A</w:t>
            </w:r>
            <w:r w:rsidR="00AE4602">
              <w:rPr>
                <w:rFonts w:hint="eastAsia"/>
                <w:szCs w:val="20"/>
              </w:rPr>
              <w:t>-</w:t>
            </w:r>
            <w:r>
              <w:rPr>
                <w:rFonts w:hint="eastAsia"/>
                <w:szCs w:val="20"/>
              </w:rPr>
              <w:t>新建</w:t>
            </w:r>
          </w:p>
          <w:p w14:paraId="72DA2768" w14:textId="77777777" w:rsidR="00A052DC" w:rsidRDefault="009F0A60">
            <w:pPr>
              <w:pStyle w:val="B"/>
              <w:rPr>
                <w:szCs w:val="20"/>
              </w:rPr>
            </w:pPr>
            <w:r>
              <w:rPr>
                <w:szCs w:val="20"/>
              </w:rPr>
              <w:t>C</w:t>
            </w:r>
            <w:r w:rsidR="00AE4602">
              <w:rPr>
                <w:rFonts w:hint="eastAsia"/>
                <w:szCs w:val="20"/>
              </w:rPr>
              <w:t>-</w:t>
            </w:r>
            <w:r>
              <w:rPr>
                <w:rFonts w:hint="eastAsia"/>
                <w:szCs w:val="20"/>
              </w:rPr>
              <w:t>修改</w:t>
            </w:r>
          </w:p>
          <w:p w14:paraId="3626BC7E" w14:textId="77777777" w:rsidR="00A052DC" w:rsidRDefault="009F0A60">
            <w:pPr>
              <w:pStyle w:val="B"/>
              <w:rPr>
                <w:szCs w:val="20"/>
              </w:rPr>
            </w:pPr>
            <w:r>
              <w:rPr>
                <w:szCs w:val="20"/>
              </w:rPr>
              <w:t>D</w:t>
            </w:r>
            <w:r w:rsidR="00AE4602">
              <w:rPr>
                <w:rFonts w:hint="eastAsia"/>
                <w:szCs w:val="20"/>
              </w:rPr>
              <w:t>-</w:t>
            </w:r>
            <w:r>
              <w:rPr>
                <w:rFonts w:hint="eastAsia"/>
                <w:szCs w:val="20"/>
              </w:rPr>
              <w:t>删除</w:t>
            </w:r>
          </w:p>
        </w:tc>
      </w:tr>
      <w:tr w:rsidR="00A052DC" w14:paraId="7F19D3DC" w14:textId="77777777">
        <w:trPr>
          <w:jc w:val="center"/>
        </w:trPr>
        <w:tc>
          <w:tcPr>
            <w:tcW w:w="1277" w:type="dxa"/>
            <w:shd w:val="clear" w:color="auto" w:fill="auto"/>
            <w:noWrap/>
          </w:tcPr>
          <w:p w14:paraId="09B1C598" w14:textId="77777777" w:rsidR="00A052DC" w:rsidRDefault="009F0A60">
            <w:pPr>
              <w:pStyle w:val="B"/>
              <w:rPr>
                <w:szCs w:val="20"/>
              </w:rPr>
            </w:pPr>
            <w:r>
              <w:rPr>
                <w:szCs w:val="20"/>
              </w:rPr>
              <w:t>ACTIONDESC</w:t>
            </w:r>
          </w:p>
        </w:tc>
        <w:tc>
          <w:tcPr>
            <w:tcW w:w="1134" w:type="dxa"/>
            <w:shd w:val="clear" w:color="auto" w:fill="auto"/>
          </w:tcPr>
          <w:p w14:paraId="03F610CB" w14:textId="77777777" w:rsidR="00A052DC" w:rsidRDefault="009F0A60">
            <w:pPr>
              <w:pStyle w:val="B"/>
              <w:rPr>
                <w:szCs w:val="20"/>
              </w:rPr>
            </w:pPr>
            <w:r>
              <w:rPr>
                <w:rFonts w:hint="eastAsia"/>
                <w:szCs w:val="20"/>
              </w:rPr>
              <w:t>删除原因</w:t>
            </w:r>
          </w:p>
        </w:tc>
        <w:tc>
          <w:tcPr>
            <w:tcW w:w="1417" w:type="dxa"/>
            <w:shd w:val="clear" w:color="auto" w:fill="auto"/>
            <w:noWrap/>
          </w:tcPr>
          <w:p w14:paraId="11EEF48B" w14:textId="77777777" w:rsidR="00A052DC" w:rsidRDefault="009F0A60">
            <w:pPr>
              <w:pStyle w:val="B"/>
              <w:rPr>
                <w:szCs w:val="20"/>
              </w:rPr>
            </w:pPr>
            <w:r>
              <w:rPr>
                <w:rFonts w:hint="eastAsia"/>
                <w:szCs w:val="20"/>
              </w:rPr>
              <w:t>字符型，</w:t>
            </w:r>
            <w:r>
              <w:rPr>
                <w:szCs w:val="20"/>
              </w:rPr>
              <w:t>128</w:t>
            </w:r>
          </w:p>
        </w:tc>
        <w:tc>
          <w:tcPr>
            <w:tcW w:w="4536" w:type="dxa"/>
            <w:shd w:val="clear" w:color="auto" w:fill="auto"/>
          </w:tcPr>
          <w:p w14:paraId="17284633" w14:textId="77777777" w:rsidR="00A052DC" w:rsidRDefault="00DD6AA3">
            <w:pPr>
              <w:pStyle w:val="B"/>
              <w:rPr>
                <w:szCs w:val="20"/>
              </w:rPr>
            </w:pPr>
            <w:r>
              <w:rPr>
                <w:rFonts w:hint="eastAsia"/>
                <w:szCs w:val="20"/>
              </w:rPr>
              <w:t>非必填项，当操作类型（ACTIONTYPE）为删除时必填。</w:t>
            </w:r>
          </w:p>
        </w:tc>
      </w:tr>
      <w:tr w:rsidR="00A052DC" w14:paraId="2081A9D4" w14:textId="77777777">
        <w:trPr>
          <w:jc w:val="center"/>
        </w:trPr>
        <w:tc>
          <w:tcPr>
            <w:tcW w:w="1277" w:type="dxa"/>
            <w:shd w:val="clear" w:color="auto" w:fill="auto"/>
            <w:noWrap/>
          </w:tcPr>
          <w:p w14:paraId="1CE1AE1D" w14:textId="77777777" w:rsidR="00A052DC" w:rsidRDefault="009F0A60">
            <w:pPr>
              <w:pStyle w:val="B"/>
              <w:rPr>
                <w:szCs w:val="20"/>
              </w:rPr>
            </w:pPr>
            <w:r>
              <w:rPr>
                <w:szCs w:val="20"/>
              </w:rPr>
              <w:t>SNOCODE</w:t>
            </w:r>
          </w:p>
        </w:tc>
        <w:tc>
          <w:tcPr>
            <w:tcW w:w="1134" w:type="dxa"/>
            <w:shd w:val="clear" w:color="auto" w:fill="auto"/>
          </w:tcPr>
          <w:p w14:paraId="18E14682" w14:textId="77777777" w:rsidR="00A052DC" w:rsidRDefault="009F0A60">
            <w:pPr>
              <w:pStyle w:val="B"/>
              <w:rPr>
                <w:szCs w:val="20"/>
              </w:rPr>
            </w:pPr>
            <w:r>
              <w:rPr>
                <w:rFonts w:hint="eastAsia"/>
                <w:szCs w:val="20"/>
              </w:rPr>
              <w:t>数据自编码</w:t>
            </w:r>
          </w:p>
        </w:tc>
        <w:tc>
          <w:tcPr>
            <w:tcW w:w="1417" w:type="dxa"/>
            <w:shd w:val="clear" w:color="auto" w:fill="auto"/>
            <w:noWrap/>
          </w:tcPr>
          <w:p w14:paraId="155AB701" w14:textId="77777777" w:rsidR="00A052DC" w:rsidRDefault="009F0A60">
            <w:pPr>
              <w:pStyle w:val="B"/>
              <w:rPr>
                <w:szCs w:val="20"/>
              </w:rPr>
            </w:pPr>
            <w:r>
              <w:rPr>
                <w:rFonts w:hint="eastAsia"/>
                <w:szCs w:val="20"/>
              </w:rPr>
              <w:t>字符型，</w:t>
            </w:r>
            <w:r>
              <w:rPr>
                <w:szCs w:val="20"/>
              </w:rPr>
              <w:t>3</w:t>
            </w:r>
            <w:r>
              <w:rPr>
                <w:rFonts w:hint="eastAsia"/>
                <w:szCs w:val="20"/>
              </w:rPr>
              <w:t>6</w:t>
            </w:r>
          </w:p>
        </w:tc>
        <w:tc>
          <w:tcPr>
            <w:tcW w:w="4536" w:type="dxa"/>
            <w:shd w:val="clear" w:color="auto" w:fill="auto"/>
          </w:tcPr>
          <w:p w14:paraId="542B69AB" w14:textId="77777777" w:rsidR="00A052DC" w:rsidRDefault="009F0A60">
            <w:pPr>
              <w:pStyle w:val="B"/>
              <w:rPr>
                <w:szCs w:val="20"/>
              </w:rPr>
            </w:pPr>
            <w:r>
              <w:rPr>
                <w:rFonts w:hint="eastAsia"/>
                <w:szCs w:val="20"/>
              </w:rPr>
              <w:t>必填项。</w:t>
            </w:r>
            <w:r>
              <w:rPr>
                <w:szCs w:val="20"/>
              </w:rPr>
              <w:t>对于接口报送的填报主体，数据自编码中的报送期（6位）应与报告期（YYYYMM）一致。</w:t>
            </w:r>
          </w:p>
        </w:tc>
      </w:tr>
      <w:tr w:rsidR="00A052DC" w14:paraId="293B8C0E" w14:textId="77777777">
        <w:trPr>
          <w:jc w:val="center"/>
        </w:trPr>
        <w:tc>
          <w:tcPr>
            <w:tcW w:w="1277" w:type="dxa"/>
            <w:shd w:val="clear" w:color="auto" w:fill="auto"/>
            <w:noWrap/>
          </w:tcPr>
          <w:p w14:paraId="295CE24A" w14:textId="77777777" w:rsidR="00A052DC" w:rsidRDefault="009F0A60">
            <w:pPr>
              <w:pStyle w:val="B"/>
              <w:rPr>
                <w:szCs w:val="20"/>
              </w:rPr>
            </w:pPr>
            <w:r>
              <w:rPr>
                <w:szCs w:val="20"/>
              </w:rPr>
              <w:t>OBJCODE</w:t>
            </w:r>
          </w:p>
        </w:tc>
        <w:tc>
          <w:tcPr>
            <w:tcW w:w="1134" w:type="dxa"/>
            <w:shd w:val="clear" w:color="auto" w:fill="auto"/>
          </w:tcPr>
          <w:p w14:paraId="6B61F42B" w14:textId="77777777" w:rsidR="00A052DC" w:rsidRDefault="009F0A60">
            <w:pPr>
              <w:pStyle w:val="B"/>
              <w:rPr>
                <w:szCs w:val="20"/>
              </w:rPr>
            </w:pPr>
            <w:r>
              <w:rPr>
                <w:rFonts w:hint="eastAsia"/>
                <w:szCs w:val="20"/>
              </w:rPr>
              <w:t>申报主体代码</w:t>
            </w:r>
          </w:p>
        </w:tc>
        <w:tc>
          <w:tcPr>
            <w:tcW w:w="1417" w:type="dxa"/>
            <w:shd w:val="clear" w:color="auto" w:fill="auto"/>
            <w:noWrap/>
          </w:tcPr>
          <w:p w14:paraId="27E0F3CF" w14:textId="77777777" w:rsidR="00A052DC" w:rsidRDefault="009F0A60">
            <w:pPr>
              <w:pStyle w:val="B"/>
              <w:rPr>
                <w:szCs w:val="20"/>
              </w:rPr>
            </w:pPr>
            <w:r>
              <w:rPr>
                <w:rFonts w:hint="eastAsia"/>
                <w:szCs w:val="20"/>
              </w:rPr>
              <w:t>字符型，</w:t>
            </w:r>
            <w:r>
              <w:rPr>
                <w:szCs w:val="20"/>
              </w:rPr>
              <w:t>1</w:t>
            </w:r>
            <w:r>
              <w:rPr>
                <w:rFonts w:hint="eastAsia"/>
                <w:szCs w:val="20"/>
              </w:rPr>
              <w:t>8</w:t>
            </w:r>
          </w:p>
        </w:tc>
        <w:tc>
          <w:tcPr>
            <w:tcW w:w="4536" w:type="dxa"/>
            <w:shd w:val="clear" w:color="auto" w:fill="auto"/>
          </w:tcPr>
          <w:p w14:paraId="7BF60C1C" w14:textId="77777777" w:rsidR="00A052DC" w:rsidRDefault="009F0A60">
            <w:pPr>
              <w:pStyle w:val="B"/>
              <w:rPr>
                <w:szCs w:val="20"/>
              </w:rPr>
            </w:pPr>
            <w:r>
              <w:rPr>
                <w:rFonts w:hint="eastAsia"/>
                <w:szCs w:val="20"/>
              </w:rPr>
              <w:t>申报主体的12位金融机构标识码，如果没有金融机构标识码，则填报统一社会信用代码法定载体（如营业执照）上统一社会信用代码中的第9至17位或国家外汇管理局及其分支局签发的特殊机构代码赋码通知书上的机构代码、个人身份代码。</w:t>
            </w:r>
          </w:p>
        </w:tc>
      </w:tr>
      <w:tr w:rsidR="00A052DC" w14:paraId="037ADD70" w14:textId="77777777">
        <w:trPr>
          <w:jc w:val="center"/>
        </w:trPr>
        <w:tc>
          <w:tcPr>
            <w:tcW w:w="1277" w:type="dxa"/>
            <w:shd w:val="clear" w:color="auto" w:fill="auto"/>
            <w:noWrap/>
          </w:tcPr>
          <w:p w14:paraId="6C78AE8E" w14:textId="77777777" w:rsidR="00A052DC" w:rsidRDefault="009F0A60">
            <w:pPr>
              <w:pStyle w:val="B"/>
              <w:rPr>
                <w:szCs w:val="20"/>
              </w:rPr>
            </w:pPr>
            <w:r>
              <w:rPr>
                <w:szCs w:val="20"/>
              </w:rPr>
              <w:t>BUOCMONTH</w:t>
            </w:r>
          </w:p>
        </w:tc>
        <w:tc>
          <w:tcPr>
            <w:tcW w:w="1134" w:type="dxa"/>
            <w:shd w:val="clear" w:color="auto" w:fill="auto"/>
          </w:tcPr>
          <w:p w14:paraId="6CCD63A3" w14:textId="77777777" w:rsidR="00A052DC" w:rsidRDefault="009F0A60">
            <w:pPr>
              <w:pStyle w:val="B"/>
              <w:rPr>
                <w:szCs w:val="20"/>
              </w:rPr>
            </w:pPr>
            <w:r>
              <w:rPr>
                <w:rFonts w:hint="eastAsia"/>
                <w:szCs w:val="20"/>
              </w:rPr>
              <w:t>报告期</w:t>
            </w:r>
          </w:p>
        </w:tc>
        <w:tc>
          <w:tcPr>
            <w:tcW w:w="1417" w:type="dxa"/>
            <w:shd w:val="clear" w:color="auto" w:fill="auto"/>
            <w:noWrap/>
          </w:tcPr>
          <w:p w14:paraId="1E744D57" w14:textId="77777777" w:rsidR="00A052DC" w:rsidRDefault="009F0A60">
            <w:pPr>
              <w:pStyle w:val="B"/>
              <w:rPr>
                <w:szCs w:val="20"/>
              </w:rPr>
            </w:pPr>
            <w:r>
              <w:rPr>
                <w:rFonts w:hint="eastAsia"/>
                <w:szCs w:val="20"/>
              </w:rPr>
              <w:t>数值型，</w:t>
            </w:r>
            <w:r>
              <w:rPr>
                <w:szCs w:val="20"/>
              </w:rPr>
              <w:t>6</w:t>
            </w:r>
          </w:p>
        </w:tc>
        <w:tc>
          <w:tcPr>
            <w:tcW w:w="4536" w:type="dxa"/>
            <w:shd w:val="clear" w:color="auto" w:fill="auto"/>
          </w:tcPr>
          <w:p w14:paraId="6EC7D673" w14:textId="77777777" w:rsidR="00A052DC" w:rsidRDefault="009F0A60">
            <w:pPr>
              <w:pStyle w:val="B"/>
              <w:rPr>
                <w:szCs w:val="20"/>
              </w:rPr>
            </w:pPr>
            <w:r>
              <w:rPr>
                <w:rFonts w:hint="eastAsia"/>
                <w:szCs w:val="20"/>
              </w:rPr>
              <w:t>必填项，格式为</w:t>
            </w:r>
            <w:r>
              <w:rPr>
                <w:szCs w:val="20"/>
              </w:rPr>
              <w:t>YYYYMM</w:t>
            </w:r>
            <w:r>
              <w:rPr>
                <w:rFonts w:hint="eastAsia"/>
                <w:szCs w:val="20"/>
              </w:rPr>
              <w:t>。</w:t>
            </w:r>
          </w:p>
        </w:tc>
      </w:tr>
      <w:tr w:rsidR="00A052DC" w14:paraId="3442ECB9" w14:textId="77777777">
        <w:trPr>
          <w:jc w:val="center"/>
        </w:trPr>
        <w:tc>
          <w:tcPr>
            <w:tcW w:w="1277" w:type="dxa"/>
            <w:shd w:val="clear" w:color="auto" w:fill="auto"/>
            <w:noWrap/>
          </w:tcPr>
          <w:p w14:paraId="1B8DB548" w14:textId="77777777" w:rsidR="00A052DC" w:rsidRDefault="009F0A60">
            <w:pPr>
              <w:pStyle w:val="B"/>
              <w:rPr>
                <w:szCs w:val="20"/>
              </w:rPr>
            </w:pPr>
            <w:r>
              <w:rPr>
                <w:szCs w:val="20"/>
              </w:rPr>
              <w:t>A0101</w:t>
            </w:r>
          </w:p>
        </w:tc>
        <w:tc>
          <w:tcPr>
            <w:tcW w:w="1134" w:type="dxa"/>
            <w:shd w:val="clear" w:color="auto" w:fill="auto"/>
          </w:tcPr>
          <w:p w14:paraId="26704959" w14:textId="77777777" w:rsidR="00A052DC" w:rsidRDefault="009F0A60">
            <w:pPr>
              <w:pStyle w:val="B"/>
              <w:rPr>
                <w:szCs w:val="20"/>
              </w:rPr>
            </w:pPr>
            <w:r>
              <w:rPr>
                <w:rFonts w:hint="eastAsia"/>
                <w:szCs w:val="20"/>
              </w:rPr>
              <w:t>境外被投资机构代码</w:t>
            </w:r>
          </w:p>
        </w:tc>
        <w:tc>
          <w:tcPr>
            <w:tcW w:w="1417" w:type="dxa"/>
            <w:shd w:val="clear" w:color="auto" w:fill="auto"/>
            <w:noWrap/>
          </w:tcPr>
          <w:p w14:paraId="3CBAAC08" w14:textId="77777777" w:rsidR="00A052DC" w:rsidRDefault="009F0A60">
            <w:pPr>
              <w:pStyle w:val="B"/>
              <w:rPr>
                <w:szCs w:val="20"/>
              </w:rPr>
            </w:pPr>
            <w:r>
              <w:rPr>
                <w:rFonts w:hint="eastAsia"/>
                <w:szCs w:val="20"/>
              </w:rPr>
              <w:t>字符型，</w:t>
            </w:r>
            <w:r>
              <w:rPr>
                <w:szCs w:val="20"/>
              </w:rPr>
              <w:t>256</w:t>
            </w:r>
          </w:p>
        </w:tc>
        <w:tc>
          <w:tcPr>
            <w:tcW w:w="4536" w:type="dxa"/>
            <w:shd w:val="clear" w:color="auto" w:fill="auto"/>
            <w:noWrap/>
          </w:tcPr>
          <w:p w14:paraId="60667A6F" w14:textId="77777777" w:rsidR="00A052DC" w:rsidRDefault="009F0A60">
            <w:pPr>
              <w:pStyle w:val="B"/>
              <w:rPr>
                <w:szCs w:val="20"/>
              </w:rPr>
            </w:pPr>
            <w:r>
              <w:rPr>
                <w:rFonts w:hint="eastAsia"/>
                <w:szCs w:val="20"/>
              </w:rPr>
              <w:t>必填项。如果</w:t>
            </w:r>
            <w:r>
              <w:rPr>
                <w:szCs w:val="20"/>
              </w:rPr>
              <w:t>A0134</w:t>
            </w:r>
            <w:r>
              <w:rPr>
                <w:rFonts w:hint="eastAsia"/>
                <w:szCs w:val="20"/>
              </w:rPr>
              <w:t>≥</w:t>
            </w:r>
            <w:r>
              <w:rPr>
                <w:szCs w:val="20"/>
              </w:rPr>
              <w:t>0,</w:t>
            </w:r>
            <w:r>
              <w:rPr>
                <w:rFonts w:hint="eastAsia"/>
                <w:szCs w:val="20"/>
              </w:rPr>
              <w:t>则该项必须等于</w:t>
            </w:r>
            <w:r>
              <w:rPr>
                <w:szCs w:val="20"/>
              </w:rPr>
              <w:t>A01-1</w:t>
            </w:r>
            <w:r>
              <w:rPr>
                <w:rFonts w:hint="eastAsia"/>
                <w:szCs w:val="20"/>
              </w:rPr>
              <w:t>下</w:t>
            </w:r>
            <w:r>
              <w:rPr>
                <w:szCs w:val="20"/>
              </w:rPr>
              <w:t>A0101</w:t>
            </w:r>
            <w:r>
              <w:rPr>
                <w:rFonts w:hint="eastAsia"/>
                <w:szCs w:val="20"/>
              </w:rPr>
              <w:t>对应机构的代码；且该项目不同代码的个数应小于或等于</w:t>
            </w:r>
            <w:r>
              <w:rPr>
                <w:szCs w:val="20"/>
              </w:rPr>
              <w:t>A01-1</w:t>
            </w:r>
            <w:r>
              <w:rPr>
                <w:rFonts w:hint="eastAsia"/>
                <w:szCs w:val="20"/>
              </w:rPr>
              <w:t>表中</w:t>
            </w:r>
            <w:r>
              <w:rPr>
                <w:szCs w:val="20"/>
              </w:rPr>
              <w:t>A0101</w:t>
            </w:r>
            <w:r>
              <w:rPr>
                <w:rFonts w:hint="eastAsia"/>
                <w:szCs w:val="20"/>
              </w:rPr>
              <w:t>字段不同代码的个数。</w:t>
            </w:r>
          </w:p>
          <w:p w14:paraId="5673D1C2" w14:textId="77777777" w:rsidR="00A052DC" w:rsidRDefault="009F0A60">
            <w:pPr>
              <w:pStyle w:val="B"/>
              <w:rPr>
                <w:szCs w:val="20"/>
              </w:rPr>
            </w:pPr>
            <w:r>
              <w:rPr>
                <w:rFonts w:hint="eastAsia"/>
                <w:szCs w:val="20"/>
              </w:rPr>
              <w:t>如果</w:t>
            </w:r>
            <w:r>
              <w:rPr>
                <w:szCs w:val="20"/>
              </w:rPr>
              <w:t>A0134</w:t>
            </w:r>
            <w:r>
              <w:rPr>
                <w:rFonts w:hint="eastAsia"/>
                <w:szCs w:val="20"/>
              </w:rPr>
              <w:t>＜</w:t>
            </w:r>
            <w:r>
              <w:rPr>
                <w:szCs w:val="20"/>
              </w:rPr>
              <w:t>0</w:t>
            </w:r>
            <w:r>
              <w:rPr>
                <w:rFonts w:hint="eastAsia"/>
                <w:szCs w:val="20"/>
              </w:rPr>
              <w:t>，本字段中的代码必须在上一个报送期的</w:t>
            </w:r>
            <w:r>
              <w:rPr>
                <w:szCs w:val="20"/>
              </w:rPr>
              <w:t>A01-1</w:t>
            </w:r>
            <w:r>
              <w:rPr>
                <w:rFonts w:hint="eastAsia"/>
                <w:szCs w:val="20"/>
              </w:rPr>
              <w:t>的</w:t>
            </w:r>
            <w:r>
              <w:rPr>
                <w:szCs w:val="20"/>
              </w:rPr>
              <w:t>A0101</w:t>
            </w:r>
            <w:r>
              <w:rPr>
                <w:rFonts w:hint="eastAsia"/>
                <w:szCs w:val="20"/>
              </w:rPr>
              <w:t>字段中出现过。</w:t>
            </w:r>
          </w:p>
        </w:tc>
      </w:tr>
      <w:tr w:rsidR="00A052DC" w14:paraId="5C5A68C3" w14:textId="77777777">
        <w:trPr>
          <w:jc w:val="center"/>
        </w:trPr>
        <w:tc>
          <w:tcPr>
            <w:tcW w:w="1277" w:type="dxa"/>
            <w:shd w:val="clear" w:color="auto" w:fill="auto"/>
            <w:noWrap/>
          </w:tcPr>
          <w:p w14:paraId="0680489B" w14:textId="77777777" w:rsidR="00A052DC" w:rsidRDefault="009F0A60">
            <w:pPr>
              <w:pStyle w:val="B"/>
              <w:rPr>
                <w:szCs w:val="20"/>
              </w:rPr>
            </w:pPr>
            <w:r>
              <w:rPr>
                <w:szCs w:val="20"/>
              </w:rPr>
              <w:t>A0132</w:t>
            </w:r>
          </w:p>
        </w:tc>
        <w:tc>
          <w:tcPr>
            <w:tcW w:w="1134" w:type="dxa"/>
            <w:shd w:val="clear" w:color="auto" w:fill="auto"/>
          </w:tcPr>
          <w:p w14:paraId="026E1C28" w14:textId="77777777" w:rsidR="00A052DC" w:rsidRDefault="009F0A60">
            <w:pPr>
              <w:pStyle w:val="B"/>
              <w:rPr>
                <w:szCs w:val="20"/>
              </w:rPr>
            </w:pPr>
            <w:r>
              <w:rPr>
                <w:rFonts w:hint="eastAsia"/>
                <w:szCs w:val="20"/>
              </w:rPr>
              <w:t>投资日期</w:t>
            </w:r>
          </w:p>
        </w:tc>
        <w:tc>
          <w:tcPr>
            <w:tcW w:w="1417" w:type="dxa"/>
            <w:shd w:val="clear" w:color="auto" w:fill="auto"/>
            <w:noWrap/>
          </w:tcPr>
          <w:p w14:paraId="553AE6B3" w14:textId="77777777" w:rsidR="00A052DC" w:rsidRDefault="009F0A60">
            <w:pPr>
              <w:pStyle w:val="B"/>
              <w:rPr>
                <w:szCs w:val="20"/>
              </w:rPr>
            </w:pPr>
            <w:r>
              <w:rPr>
                <w:rFonts w:hint="eastAsia"/>
                <w:szCs w:val="20"/>
              </w:rPr>
              <w:t>日期型</w:t>
            </w:r>
          </w:p>
        </w:tc>
        <w:tc>
          <w:tcPr>
            <w:tcW w:w="4536" w:type="dxa"/>
            <w:shd w:val="clear" w:color="auto" w:fill="auto"/>
            <w:noWrap/>
          </w:tcPr>
          <w:p w14:paraId="4FB13566" w14:textId="77777777" w:rsidR="00A052DC" w:rsidRDefault="009F0A60">
            <w:pPr>
              <w:pStyle w:val="B"/>
              <w:rPr>
                <w:szCs w:val="20"/>
              </w:rPr>
            </w:pPr>
            <w:r>
              <w:rPr>
                <w:rFonts w:hint="eastAsia"/>
                <w:szCs w:val="20"/>
              </w:rPr>
              <w:t>必填项，格式为</w:t>
            </w:r>
            <w:r>
              <w:rPr>
                <w:szCs w:val="20"/>
              </w:rPr>
              <w:t>YYYYMMDD，必须是报告期对应月内的日期</w:t>
            </w:r>
            <w:r>
              <w:rPr>
                <w:rFonts w:hint="eastAsia"/>
                <w:szCs w:val="20"/>
              </w:rPr>
              <w:t>。如相关投资采用的二级市场买卖股票或基金份额形式，且无法确切逐笔记录，投资日期应填报为对应月份，格式为</w:t>
            </w:r>
            <w:r>
              <w:rPr>
                <w:szCs w:val="20"/>
              </w:rPr>
              <w:t>YYYYMM01</w:t>
            </w:r>
            <w:r>
              <w:rPr>
                <w:rFonts w:hint="eastAsia"/>
                <w:szCs w:val="20"/>
              </w:rPr>
              <w:t>。</w:t>
            </w:r>
          </w:p>
        </w:tc>
      </w:tr>
      <w:tr w:rsidR="00A052DC" w14:paraId="2B0398EE" w14:textId="77777777">
        <w:trPr>
          <w:jc w:val="center"/>
        </w:trPr>
        <w:tc>
          <w:tcPr>
            <w:tcW w:w="1277" w:type="dxa"/>
            <w:shd w:val="clear" w:color="auto" w:fill="auto"/>
            <w:noWrap/>
          </w:tcPr>
          <w:p w14:paraId="1371F176" w14:textId="77777777" w:rsidR="00A052DC" w:rsidRDefault="009F0A60">
            <w:pPr>
              <w:pStyle w:val="B"/>
              <w:rPr>
                <w:szCs w:val="20"/>
              </w:rPr>
            </w:pPr>
            <w:r>
              <w:rPr>
                <w:szCs w:val="20"/>
              </w:rPr>
              <w:t>A0133</w:t>
            </w:r>
          </w:p>
        </w:tc>
        <w:tc>
          <w:tcPr>
            <w:tcW w:w="1134" w:type="dxa"/>
            <w:shd w:val="clear" w:color="auto" w:fill="auto"/>
          </w:tcPr>
          <w:p w14:paraId="1548EF92" w14:textId="77777777" w:rsidR="00A052DC" w:rsidRDefault="009F0A60">
            <w:pPr>
              <w:pStyle w:val="B"/>
              <w:rPr>
                <w:szCs w:val="20"/>
              </w:rPr>
            </w:pPr>
            <w:r>
              <w:rPr>
                <w:rFonts w:hint="eastAsia"/>
                <w:szCs w:val="20"/>
              </w:rPr>
              <w:t>投资币种（原币）</w:t>
            </w:r>
          </w:p>
        </w:tc>
        <w:tc>
          <w:tcPr>
            <w:tcW w:w="1417" w:type="dxa"/>
            <w:shd w:val="clear" w:color="auto" w:fill="auto"/>
            <w:noWrap/>
          </w:tcPr>
          <w:p w14:paraId="2A1B7441" w14:textId="77777777" w:rsidR="00A052DC" w:rsidRDefault="009F0A60">
            <w:pPr>
              <w:pStyle w:val="B"/>
              <w:rPr>
                <w:szCs w:val="20"/>
              </w:rPr>
            </w:pPr>
            <w:r>
              <w:rPr>
                <w:rFonts w:hint="eastAsia"/>
                <w:szCs w:val="20"/>
              </w:rPr>
              <w:t>字符型，</w:t>
            </w:r>
            <w:r>
              <w:rPr>
                <w:szCs w:val="20"/>
              </w:rPr>
              <w:t>3</w:t>
            </w:r>
          </w:p>
        </w:tc>
        <w:tc>
          <w:tcPr>
            <w:tcW w:w="4536" w:type="dxa"/>
            <w:shd w:val="clear" w:color="auto" w:fill="auto"/>
            <w:noWrap/>
          </w:tcPr>
          <w:p w14:paraId="7A47AEA3" w14:textId="77777777" w:rsidR="00A052DC" w:rsidRDefault="009F0A60">
            <w:pPr>
              <w:pStyle w:val="B"/>
              <w:rPr>
                <w:szCs w:val="20"/>
              </w:rPr>
            </w:pPr>
            <w:r>
              <w:rPr>
                <w:rFonts w:hint="eastAsia"/>
                <w:szCs w:val="20"/>
              </w:rPr>
              <w:t>必填项，见币种代码表。</w:t>
            </w:r>
          </w:p>
        </w:tc>
      </w:tr>
      <w:tr w:rsidR="00A052DC" w14:paraId="082B1F00" w14:textId="77777777">
        <w:trPr>
          <w:jc w:val="center"/>
        </w:trPr>
        <w:tc>
          <w:tcPr>
            <w:tcW w:w="1277" w:type="dxa"/>
            <w:shd w:val="clear" w:color="auto" w:fill="auto"/>
            <w:noWrap/>
          </w:tcPr>
          <w:p w14:paraId="440EA3B9" w14:textId="77777777" w:rsidR="00A052DC" w:rsidRDefault="009F0A60">
            <w:pPr>
              <w:pStyle w:val="B"/>
              <w:rPr>
                <w:szCs w:val="20"/>
              </w:rPr>
            </w:pPr>
            <w:r>
              <w:rPr>
                <w:szCs w:val="20"/>
              </w:rPr>
              <w:t>A0134</w:t>
            </w:r>
          </w:p>
        </w:tc>
        <w:tc>
          <w:tcPr>
            <w:tcW w:w="1134" w:type="dxa"/>
            <w:shd w:val="clear" w:color="auto" w:fill="auto"/>
          </w:tcPr>
          <w:p w14:paraId="00ABD211" w14:textId="77777777" w:rsidR="00A052DC" w:rsidRDefault="009F0A60">
            <w:pPr>
              <w:pStyle w:val="B"/>
              <w:rPr>
                <w:szCs w:val="20"/>
              </w:rPr>
            </w:pPr>
            <w:r>
              <w:rPr>
                <w:rFonts w:hint="eastAsia"/>
                <w:szCs w:val="20"/>
              </w:rPr>
              <w:t>投资金额增减（</w:t>
            </w:r>
            <w:r>
              <w:rPr>
                <w:szCs w:val="20"/>
              </w:rPr>
              <w:t>+</w:t>
            </w:r>
            <w:r>
              <w:rPr>
                <w:rFonts w:hint="eastAsia"/>
                <w:szCs w:val="20"/>
              </w:rPr>
              <w:t>或</w:t>
            </w:r>
            <w:r>
              <w:rPr>
                <w:szCs w:val="20"/>
              </w:rPr>
              <w:t>-</w:t>
            </w:r>
            <w:r>
              <w:rPr>
                <w:rFonts w:hint="eastAsia"/>
                <w:szCs w:val="20"/>
              </w:rPr>
              <w:t>）</w:t>
            </w:r>
          </w:p>
        </w:tc>
        <w:tc>
          <w:tcPr>
            <w:tcW w:w="1417" w:type="dxa"/>
            <w:shd w:val="clear" w:color="auto" w:fill="auto"/>
          </w:tcPr>
          <w:p w14:paraId="5AA69231" w14:textId="77777777" w:rsidR="00A052DC" w:rsidRDefault="009F0A60">
            <w:pPr>
              <w:pStyle w:val="B"/>
              <w:rPr>
                <w:szCs w:val="20"/>
              </w:rPr>
            </w:pPr>
            <w:r>
              <w:rPr>
                <w:rFonts w:hint="eastAsia"/>
                <w:szCs w:val="20"/>
              </w:rPr>
              <w:t>数值型，</w:t>
            </w:r>
            <w:r>
              <w:rPr>
                <w:szCs w:val="20"/>
              </w:rPr>
              <w:t>22.2</w:t>
            </w:r>
          </w:p>
        </w:tc>
        <w:tc>
          <w:tcPr>
            <w:tcW w:w="4536" w:type="dxa"/>
            <w:shd w:val="clear" w:color="auto" w:fill="auto"/>
            <w:noWrap/>
          </w:tcPr>
          <w:p w14:paraId="43434E99" w14:textId="77777777" w:rsidR="00A052DC" w:rsidRDefault="009F0A60">
            <w:pPr>
              <w:pStyle w:val="B"/>
              <w:rPr>
                <w:szCs w:val="20"/>
              </w:rPr>
            </w:pPr>
            <w:r>
              <w:rPr>
                <w:rFonts w:hint="eastAsia"/>
                <w:szCs w:val="20"/>
              </w:rPr>
              <w:t>必填项。</w:t>
            </w:r>
          </w:p>
        </w:tc>
      </w:tr>
      <w:tr w:rsidR="00A052DC" w14:paraId="4F39D2CE" w14:textId="77777777">
        <w:trPr>
          <w:jc w:val="center"/>
        </w:trPr>
        <w:tc>
          <w:tcPr>
            <w:tcW w:w="1277" w:type="dxa"/>
            <w:shd w:val="clear" w:color="auto" w:fill="auto"/>
            <w:noWrap/>
          </w:tcPr>
          <w:p w14:paraId="7950E730" w14:textId="77777777" w:rsidR="00A052DC" w:rsidRDefault="009F0A60">
            <w:pPr>
              <w:pStyle w:val="B"/>
              <w:rPr>
                <w:szCs w:val="20"/>
              </w:rPr>
            </w:pPr>
            <w:r>
              <w:rPr>
                <w:szCs w:val="20"/>
              </w:rPr>
              <w:t>A0135</w:t>
            </w:r>
          </w:p>
        </w:tc>
        <w:tc>
          <w:tcPr>
            <w:tcW w:w="1134" w:type="dxa"/>
            <w:shd w:val="clear" w:color="auto" w:fill="auto"/>
          </w:tcPr>
          <w:p w14:paraId="2FC21260" w14:textId="77777777" w:rsidR="00A052DC" w:rsidRDefault="009F0A60">
            <w:pPr>
              <w:pStyle w:val="B"/>
              <w:rPr>
                <w:szCs w:val="20"/>
              </w:rPr>
            </w:pPr>
            <w:r>
              <w:rPr>
                <w:rFonts w:hint="eastAsia"/>
                <w:szCs w:val="20"/>
              </w:rPr>
              <w:t>申报主体持有表决权比例增减</w:t>
            </w:r>
            <w:r>
              <w:rPr>
                <w:szCs w:val="20"/>
              </w:rPr>
              <w:t>(%)</w:t>
            </w:r>
          </w:p>
        </w:tc>
        <w:tc>
          <w:tcPr>
            <w:tcW w:w="1417" w:type="dxa"/>
            <w:shd w:val="clear" w:color="auto" w:fill="auto"/>
          </w:tcPr>
          <w:p w14:paraId="4347C31E" w14:textId="77777777" w:rsidR="00A052DC" w:rsidRDefault="009F0A60">
            <w:pPr>
              <w:pStyle w:val="B"/>
              <w:rPr>
                <w:szCs w:val="20"/>
              </w:rPr>
            </w:pPr>
            <w:r>
              <w:rPr>
                <w:rFonts w:hint="eastAsia"/>
                <w:szCs w:val="20"/>
              </w:rPr>
              <w:t>数值型，</w:t>
            </w:r>
            <w:r>
              <w:rPr>
                <w:szCs w:val="20"/>
              </w:rPr>
              <w:t>22.2</w:t>
            </w:r>
          </w:p>
        </w:tc>
        <w:tc>
          <w:tcPr>
            <w:tcW w:w="4536" w:type="dxa"/>
            <w:shd w:val="clear" w:color="auto" w:fill="auto"/>
            <w:noWrap/>
          </w:tcPr>
          <w:p w14:paraId="3315325C" w14:textId="77777777" w:rsidR="00A052DC" w:rsidRDefault="009F0A60">
            <w:pPr>
              <w:pStyle w:val="B"/>
              <w:rPr>
                <w:szCs w:val="20"/>
              </w:rPr>
            </w:pPr>
            <w:r>
              <w:rPr>
                <w:rFonts w:hint="eastAsia"/>
                <w:szCs w:val="20"/>
              </w:rPr>
              <w:t>必填项，</w:t>
            </w:r>
            <w:r>
              <w:rPr>
                <w:szCs w:val="20"/>
              </w:rPr>
              <w:t>-100</w:t>
            </w:r>
            <w:r>
              <w:rPr>
                <w:rFonts w:hint="eastAsia"/>
                <w:szCs w:val="20"/>
              </w:rPr>
              <w:t>≤</w:t>
            </w:r>
            <w:r>
              <w:rPr>
                <w:szCs w:val="20"/>
              </w:rPr>
              <w:t>A0135</w:t>
            </w:r>
            <w:r>
              <w:rPr>
                <w:rFonts w:hint="eastAsia"/>
                <w:szCs w:val="20"/>
              </w:rPr>
              <w:t>≤</w:t>
            </w:r>
            <w:r>
              <w:rPr>
                <w:szCs w:val="20"/>
              </w:rPr>
              <w:t>100</w:t>
            </w:r>
            <w:r>
              <w:rPr>
                <w:rFonts w:hint="eastAsia"/>
                <w:szCs w:val="20"/>
              </w:rPr>
              <w:t>，精确到小数点后两位。</w:t>
            </w:r>
          </w:p>
        </w:tc>
      </w:tr>
      <w:tr w:rsidR="00A052DC" w14:paraId="45AE8495" w14:textId="77777777">
        <w:trPr>
          <w:jc w:val="center"/>
        </w:trPr>
        <w:tc>
          <w:tcPr>
            <w:tcW w:w="1277" w:type="dxa"/>
            <w:shd w:val="clear" w:color="auto" w:fill="auto"/>
            <w:noWrap/>
          </w:tcPr>
          <w:p w14:paraId="78590B70" w14:textId="77777777" w:rsidR="00A052DC" w:rsidRDefault="009F0A60">
            <w:pPr>
              <w:pStyle w:val="B"/>
              <w:rPr>
                <w:szCs w:val="20"/>
              </w:rPr>
            </w:pPr>
            <w:r>
              <w:rPr>
                <w:szCs w:val="20"/>
              </w:rPr>
              <w:t>A0136</w:t>
            </w:r>
          </w:p>
        </w:tc>
        <w:tc>
          <w:tcPr>
            <w:tcW w:w="1134" w:type="dxa"/>
            <w:shd w:val="clear" w:color="auto" w:fill="auto"/>
          </w:tcPr>
          <w:p w14:paraId="0B18C964" w14:textId="77777777" w:rsidR="00A052DC" w:rsidRDefault="009F0A60">
            <w:pPr>
              <w:pStyle w:val="B"/>
              <w:rPr>
                <w:szCs w:val="20"/>
              </w:rPr>
            </w:pPr>
            <w:r>
              <w:rPr>
                <w:rFonts w:hint="eastAsia"/>
                <w:szCs w:val="20"/>
              </w:rPr>
              <w:t>是否兼并、收购</w:t>
            </w:r>
          </w:p>
        </w:tc>
        <w:tc>
          <w:tcPr>
            <w:tcW w:w="1417" w:type="dxa"/>
            <w:shd w:val="clear" w:color="auto" w:fill="auto"/>
            <w:noWrap/>
          </w:tcPr>
          <w:p w14:paraId="50F2C4FD" w14:textId="77777777" w:rsidR="00A052DC" w:rsidRDefault="009F0A60">
            <w:pPr>
              <w:pStyle w:val="B"/>
              <w:rPr>
                <w:szCs w:val="20"/>
              </w:rPr>
            </w:pPr>
            <w:r>
              <w:rPr>
                <w:rFonts w:hint="eastAsia"/>
                <w:szCs w:val="20"/>
              </w:rPr>
              <w:t>整数型</w:t>
            </w:r>
          </w:p>
        </w:tc>
        <w:tc>
          <w:tcPr>
            <w:tcW w:w="4536" w:type="dxa"/>
            <w:shd w:val="clear" w:color="auto" w:fill="auto"/>
            <w:noWrap/>
          </w:tcPr>
          <w:p w14:paraId="0C7BF894" w14:textId="77777777" w:rsidR="00A052DC" w:rsidRDefault="009F0A60">
            <w:pPr>
              <w:pStyle w:val="B"/>
              <w:rPr>
                <w:szCs w:val="20"/>
              </w:rPr>
            </w:pPr>
            <w:r>
              <w:rPr>
                <w:rFonts w:hint="eastAsia"/>
                <w:szCs w:val="20"/>
              </w:rPr>
              <w:t>必填项，必须</w:t>
            </w:r>
            <w:r>
              <w:rPr>
                <w:szCs w:val="20"/>
              </w:rPr>
              <w:t>2</w:t>
            </w:r>
            <w:r>
              <w:rPr>
                <w:rFonts w:hint="eastAsia"/>
                <w:szCs w:val="20"/>
              </w:rPr>
              <w:t>选</w:t>
            </w:r>
            <w:r>
              <w:rPr>
                <w:szCs w:val="20"/>
              </w:rPr>
              <w:t>1</w:t>
            </w:r>
            <w:r>
              <w:rPr>
                <w:rFonts w:hint="eastAsia"/>
                <w:szCs w:val="20"/>
              </w:rPr>
              <w:t>：</w:t>
            </w:r>
          </w:p>
          <w:p w14:paraId="0AFBF101" w14:textId="77777777" w:rsidR="00A052DC" w:rsidRDefault="00FE361F">
            <w:pPr>
              <w:pStyle w:val="B"/>
              <w:rPr>
                <w:szCs w:val="20"/>
              </w:rPr>
            </w:pPr>
            <w:r>
              <w:rPr>
                <w:szCs w:val="20"/>
              </w:rPr>
              <w:t>1-是；</w:t>
            </w:r>
          </w:p>
          <w:p w14:paraId="7E595F6B" w14:textId="77777777" w:rsidR="00A052DC" w:rsidRDefault="009F0A60">
            <w:pPr>
              <w:rPr>
                <w:rFonts w:ascii="黑体" w:eastAsia="黑体" w:hAnsi="黑体"/>
                <w:sz w:val="20"/>
                <w:szCs w:val="20"/>
              </w:rPr>
            </w:pPr>
            <w:r>
              <w:rPr>
                <w:rFonts w:ascii="黑体" w:eastAsia="黑体" w:hAnsi="黑体"/>
                <w:sz w:val="20"/>
                <w:szCs w:val="20"/>
              </w:rPr>
              <w:t>0-</w:t>
            </w:r>
            <w:r>
              <w:rPr>
                <w:rFonts w:ascii="黑体" w:eastAsia="黑体" w:hAnsi="黑体" w:hint="eastAsia"/>
                <w:sz w:val="20"/>
                <w:szCs w:val="20"/>
              </w:rPr>
              <w:t>否</w:t>
            </w:r>
            <w:r w:rsidR="00FE361F">
              <w:rPr>
                <w:rFonts w:ascii="黑体" w:eastAsia="黑体" w:hAnsi="黑体" w:hint="eastAsia"/>
                <w:sz w:val="20"/>
                <w:szCs w:val="20"/>
              </w:rPr>
              <w:t>。</w:t>
            </w:r>
          </w:p>
        </w:tc>
      </w:tr>
      <w:tr w:rsidR="00A052DC" w14:paraId="3AE6A6DC" w14:textId="77777777">
        <w:trPr>
          <w:jc w:val="center"/>
        </w:trPr>
        <w:tc>
          <w:tcPr>
            <w:tcW w:w="1277" w:type="dxa"/>
            <w:shd w:val="clear" w:color="auto" w:fill="auto"/>
            <w:noWrap/>
          </w:tcPr>
          <w:p w14:paraId="53211395" w14:textId="77777777" w:rsidR="00A052DC" w:rsidRDefault="009F0A60">
            <w:pPr>
              <w:pStyle w:val="B"/>
              <w:rPr>
                <w:szCs w:val="20"/>
              </w:rPr>
            </w:pPr>
            <w:r>
              <w:rPr>
                <w:szCs w:val="20"/>
              </w:rPr>
              <w:t>A0137</w:t>
            </w:r>
          </w:p>
        </w:tc>
        <w:tc>
          <w:tcPr>
            <w:tcW w:w="1134" w:type="dxa"/>
            <w:shd w:val="clear" w:color="auto" w:fill="auto"/>
          </w:tcPr>
          <w:p w14:paraId="36F91199" w14:textId="77777777" w:rsidR="00A052DC" w:rsidRDefault="009F0A60">
            <w:pPr>
              <w:pStyle w:val="B"/>
              <w:rPr>
                <w:szCs w:val="20"/>
              </w:rPr>
            </w:pPr>
            <w:r>
              <w:rPr>
                <w:rFonts w:hint="eastAsia"/>
                <w:szCs w:val="20"/>
              </w:rPr>
              <w:t>出资方式</w:t>
            </w:r>
          </w:p>
        </w:tc>
        <w:tc>
          <w:tcPr>
            <w:tcW w:w="1417" w:type="dxa"/>
            <w:shd w:val="clear" w:color="auto" w:fill="auto"/>
            <w:noWrap/>
          </w:tcPr>
          <w:p w14:paraId="0C24E597" w14:textId="77777777" w:rsidR="00A052DC" w:rsidRDefault="009F0A60">
            <w:pPr>
              <w:pStyle w:val="B"/>
              <w:rPr>
                <w:szCs w:val="20"/>
              </w:rPr>
            </w:pPr>
            <w:r>
              <w:rPr>
                <w:rFonts w:hint="eastAsia"/>
                <w:szCs w:val="20"/>
              </w:rPr>
              <w:t>整数型</w:t>
            </w:r>
          </w:p>
        </w:tc>
        <w:tc>
          <w:tcPr>
            <w:tcW w:w="4536" w:type="dxa"/>
            <w:shd w:val="clear" w:color="auto" w:fill="auto"/>
            <w:noWrap/>
          </w:tcPr>
          <w:p w14:paraId="7E887E82" w14:textId="77777777" w:rsidR="00A052DC" w:rsidRDefault="009F0A60">
            <w:pPr>
              <w:pStyle w:val="B"/>
              <w:rPr>
                <w:szCs w:val="20"/>
              </w:rPr>
            </w:pPr>
            <w:r>
              <w:rPr>
                <w:rFonts w:hint="eastAsia"/>
                <w:szCs w:val="20"/>
              </w:rPr>
              <w:t>必填项，必须</w:t>
            </w:r>
            <w:r>
              <w:rPr>
                <w:szCs w:val="20"/>
              </w:rPr>
              <w:t>5</w:t>
            </w:r>
            <w:r>
              <w:rPr>
                <w:rFonts w:hint="eastAsia"/>
                <w:szCs w:val="20"/>
              </w:rPr>
              <w:t>选</w:t>
            </w:r>
            <w:r>
              <w:rPr>
                <w:szCs w:val="20"/>
              </w:rPr>
              <w:t>1</w:t>
            </w:r>
            <w:r>
              <w:rPr>
                <w:rFonts w:hint="eastAsia"/>
                <w:szCs w:val="20"/>
              </w:rPr>
              <w:t>：</w:t>
            </w:r>
          </w:p>
          <w:p w14:paraId="556A4B52" w14:textId="77777777" w:rsidR="00A052DC" w:rsidRDefault="009F0A60">
            <w:pPr>
              <w:rPr>
                <w:rFonts w:ascii="黑体" w:eastAsia="黑体" w:hAnsi="黑体"/>
                <w:sz w:val="20"/>
                <w:szCs w:val="20"/>
              </w:rPr>
            </w:pPr>
            <w:r>
              <w:rPr>
                <w:rFonts w:ascii="黑体" w:eastAsia="黑体" w:hAnsi="黑体"/>
                <w:sz w:val="20"/>
                <w:szCs w:val="20"/>
              </w:rPr>
              <w:t>1-</w:t>
            </w:r>
            <w:r>
              <w:rPr>
                <w:rFonts w:ascii="黑体" w:eastAsia="黑体" w:hAnsi="黑体" w:hint="eastAsia"/>
                <w:sz w:val="20"/>
                <w:szCs w:val="20"/>
              </w:rPr>
              <w:t>现金；</w:t>
            </w:r>
          </w:p>
          <w:p w14:paraId="69D859A2" w14:textId="77777777" w:rsidR="00A052DC" w:rsidRDefault="009F0A60">
            <w:pPr>
              <w:rPr>
                <w:rFonts w:ascii="黑体" w:eastAsia="黑体" w:hAnsi="黑体"/>
                <w:sz w:val="20"/>
                <w:szCs w:val="20"/>
              </w:rPr>
            </w:pPr>
            <w:r>
              <w:rPr>
                <w:rFonts w:ascii="黑体" w:eastAsia="黑体" w:hAnsi="黑体"/>
                <w:sz w:val="20"/>
                <w:szCs w:val="20"/>
              </w:rPr>
              <w:t>2-</w:t>
            </w:r>
            <w:r>
              <w:rPr>
                <w:rFonts w:ascii="黑体" w:eastAsia="黑体" w:hAnsi="黑体" w:hint="eastAsia"/>
                <w:sz w:val="20"/>
                <w:szCs w:val="20"/>
              </w:rPr>
              <w:t>实物；</w:t>
            </w:r>
          </w:p>
          <w:p w14:paraId="2BF39BAE" w14:textId="77777777" w:rsidR="00A052DC" w:rsidRDefault="009F0A60">
            <w:pPr>
              <w:rPr>
                <w:rFonts w:ascii="黑体" w:eastAsia="黑体" w:hAnsi="黑体"/>
                <w:sz w:val="20"/>
                <w:szCs w:val="20"/>
              </w:rPr>
            </w:pPr>
            <w:r>
              <w:rPr>
                <w:rFonts w:ascii="黑体" w:eastAsia="黑体" w:hAnsi="黑体"/>
                <w:sz w:val="20"/>
                <w:szCs w:val="20"/>
              </w:rPr>
              <w:t>3-</w:t>
            </w:r>
            <w:r>
              <w:rPr>
                <w:rFonts w:ascii="黑体" w:eastAsia="黑体" w:hAnsi="黑体" w:hint="eastAsia"/>
                <w:sz w:val="20"/>
                <w:szCs w:val="20"/>
              </w:rPr>
              <w:t>无形资产；</w:t>
            </w:r>
          </w:p>
          <w:p w14:paraId="3BA83768" w14:textId="77777777" w:rsidR="00A052DC" w:rsidRDefault="009F0A60">
            <w:pPr>
              <w:rPr>
                <w:rFonts w:ascii="黑体" w:eastAsia="黑体" w:hAnsi="黑体"/>
                <w:sz w:val="20"/>
                <w:szCs w:val="20"/>
              </w:rPr>
            </w:pPr>
            <w:r>
              <w:rPr>
                <w:rFonts w:ascii="黑体" w:eastAsia="黑体" w:hAnsi="黑体"/>
                <w:sz w:val="20"/>
                <w:szCs w:val="20"/>
              </w:rPr>
              <w:t>4-</w:t>
            </w:r>
            <w:r>
              <w:rPr>
                <w:rFonts w:ascii="黑体" w:eastAsia="黑体" w:hAnsi="黑体" w:hint="eastAsia"/>
                <w:sz w:val="20"/>
                <w:szCs w:val="20"/>
              </w:rPr>
              <w:t>股权出资；</w:t>
            </w:r>
          </w:p>
          <w:p w14:paraId="3F62586A" w14:textId="77777777" w:rsidR="00A052DC" w:rsidRDefault="009F0A60">
            <w:pPr>
              <w:rPr>
                <w:rFonts w:ascii="黑体" w:eastAsia="黑体" w:hAnsi="黑体"/>
                <w:sz w:val="20"/>
                <w:szCs w:val="20"/>
              </w:rPr>
            </w:pPr>
            <w:r>
              <w:rPr>
                <w:rFonts w:ascii="黑体" w:eastAsia="黑体" w:hAnsi="黑体"/>
                <w:sz w:val="20"/>
                <w:szCs w:val="20"/>
              </w:rPr>
              <w:t>5-</w:t>
            </w:r>
            <w:r>
              <w:rPr>
                <w:rFonts w:ascii="黑体" w:eastAsia="黑体" w:hAnsi="黑体" w:hint="eastAsia"/>
                <w:sz w:val="20"/>
                <w:szCs w:val="20"/>
              </w:rPr>
              <w:t>其他。</w:t>
            </w:r>
          </w:p>
        </w:tc>
      </w:tr>
      <w:tr w:rsidR="00A052DC" w14:paraId="16F93C3E" w14:textId="77777777">
        <w:trPr>
          <w:jc w:val="center"/>
        </w:trPr>
        <w:tc>
          <w:tcPr>
            <w:tcW w:w="1277" w:type="dxa"/>
            <w:shd w:val="clear" w:color="auto" w:fill="auto"/>
            <w:noWrap/>
          </w:tcPr>
          <w:p w14:paraId="3D9C2348" w14:textId="77777777" w:rsidR="00A052DC" w:rsidRDefault="009F0A60">
            <w:pPr>
              <w:pStyle w:val="B"/>
              <w:rPr>
                <w:szCs w:val="20"/>
              </w:rPr>
            </w:pPr>
            <w:r>
              <w:rPr>
                <w:szCs w:val="20"/>
              </w:rPr>
              <w:t>BIZCODE</w:t>
            </w:r>
          </w:p>
        </w:tc>
        <w:tc>
          <w:tcPr>
            <w:tcW w:w="1134" w:type="dxa"/>
            <w:shd w:val="clear" w:color="auto" w:fill="auto"/>
          </w:tcPr>
          <w:p w14:paraId="2A02676F" w14:textId="77777777" w:rsidR="00A052DC" w:rsidRDefault="009F0A60">
            <w:pPr>
              <w:pStyle w:val="B"/>
              <w:rPr>
                <w:szCs w:val="20"/>
              </w:rPr>
            </w:pPr>
            <w:r>
              <w:rPr>
                <w:rFonts w:hint="eastAsia"/>
                <w:szCs w:val="20"/>
              </w:rPr>
              <w:t>业务编号</w:t>
            </w:r>
          </w:p>
        </w:tc>
        <w:tc>
          <w:tcPr>
            <w:tcW w:w="1417" w:type="dxa"/>
            <w:shd w:val="clear" w:color="auto" w:fill="auto"/>
            <w:noWrap/>
          </w:tcPr>
          <w:p w14:paraId="3946E4D7" w14:textId="77777777" w:rsidR="00A052DC" w:rsidRDefault="009F0A60">
            <w:pPr>
              <w:pStyle w:val="B"/>
              <w:rPr>
                <w:szCs w:val="20"/>
              </w:rPr>
            </w:pPr>
            <w:r>
              <w:rPr>
                <w:rFonts w:hint="eastAsia"/>
                <w:szCs w:val="20"/>
              </w:rPr>
              <w:t>字符型，</w:t>
            </w:r>
            <w:r>
              <w:rPr>
                <w:szCs w:val="20"/>
              </w:rPr>
              <w:t>20</w:t>
            </w:r>
          </w:p>
        </w:tc>
        <w:tc>
          <w:tcPr>
            <w:tcW w:w="4536" w:type="dxa"/>
            <w:shd w:val="clear" w:color="auto" w:fill="auto"/>
            <w:noWrap/>
          </w:tcPr>
          <w:p w14:paraId="6FC5EBF0" w14:textId="77777777" w:rsidR="00A052DC" w:rsidRDefault="009F0A60">
            <w:pPr>
              <w:pStyle w:val="B"/>
              <w:rPr>
                <w:szCs w:val="20"/>
              </w:rPr>
            </w:pPr>
            <w:r>
              <w:rPr>
                <w:rFonts w:hint="eastAsia"/>
                <w:szCs w:val="20"/>
              </w:rPr>
              <w:t>填报主体为银行时，为必填项。</w:t>
            </w:r>
          </w:p>
        </w:tc>
      </w:tr>
      <w:tr w:rsidR="00A052DC" w14:paraId="0FFFABC2" w14:textId="77777777">
        <w:trPr>
          <w:jc w:val="center"/>
        </w:trPr>
        <w:tc>
          <w:tcPr>
            <w:tcW w:w="1277" w:type="dxa"/>
            <w:shd w:val="clear" w:color="auto" w:fill="auto"/>
            <w:noWrap/>
          </w:tcPr>
          <w:p w14:paraId="7288D948" w14:textId="77777777" w:rsidR="00A052DC" w:rsidRDefault="009F0A60">
            <w:pPr>
              <w:pStyle w:val="B"/>
              <w:rPr>
                <w:szCs w:val="20"/>
              </w:rPr>
            </w:pPr>
            <w:r>
              <w:rPr>
                <w:szCs w:val="20"/>
              </w:rPr>
              <w:t>A0138</w:t>
            </w:r>
          </w:p>
        </w:tc>
        <w:tc>
          <w:tcPr>
            <w:tcW w:w="1134" w:type="dxa"/>
            <w:shd w:val="clear" w:color="auto" w:fill="auto"/>
          </w:tcPr>
          <w:p w14:paraId="0704994B" w14:textId="77777777" w:rsidR="00A052DC" w:rsidRDefault="009F0A60">
            <w:pPr>
              <w:pStyle w:val="B"/>
              <w:rPr>
                <w:szCs w:val="20"/>
              </w:rPr>
            </w:pPr>
            <w:r>
              <w:rPr>
                <w:rFonts w:hint="eastAsia"/>
                <w:szCs w:val="20"/>
              </w:rPr>
              <w:t>备注</w:t>
            </w:r>
          </w:p>
        </w:tc>
        <w:tc>
          <w:tcPr>
            <w:tcW w:w="1417" w:type="dxa"/>
            <w:shd w:val="clear" w:color="auto" w:fill="auto"/>
            <w:noWrap/>
          </w:tcPr>
          <w:p w14:paraId="567988B8" w14:textId="77777777" w:rsidR="00A052DC" w:rsidRDefault="009F0A60">
            <w:pPr>
              <w:pStyle w:val="B"/>
              <w:rPr>
                <w:szCs w:val="20"/>
              </w:rPr>
            </w:pPr>
            <w:r>
              <w:rPr>
                <w:rFonts w:hint="eastAsia"/>
                <w:szCs w:val="20"/>
              </w:rPr>
              <w:t>字符型，</w:t>
            </w:r>
            <w:r>
              <w:rPr>
                <w:szCs w:val="20"/>
              </w:rPr>
              <w:t>512</w:t>
            </w:r>
          </w:p>
        </w:tc>
        <w:tc>
          <w:tcPr>
            <w:tcW w:w="4536" w:type="dxa"/>
            <w:shd w:val="clear" w:color="auto" w:fill="auto"/>
            <w:noWrap/>
          </w:tcPr>
          <w:p w14:paraId="0F7ED6B6" w14:textId="77777777" w:rsidR="00A052DC" w:rsidRDefault="009F0A60">
            <w:pPr>
              <w:pStyle w:val="B"/>
              <w:rPr>
                <w:szCs w:val="20"/>
              </w:rPr>
            </w:pPr>
            <w:r>
              <w:rPr>
                <w:rFonts w:hint="eastAsia"/>
                <w:szCs w:val="20"/>
              </w:rPr>
              <w:t>非必填项。</w:t>
            </w:r>
          </w:p>
        </w:tc>
      </w:tr>
    </w:tbl>
    <w:p w14:paraId="5E6CE853" w14:textId="77777777" w:rsidR="00A052DC" w:rsidRDefault="00A052DC"/>
    <w:p w14:paraId="1319907F" w14:textId="77777777" w:rsidR="00A052DC" w:rsidRDefault="009F0A60" w:rsidP="0020251D">
      <w:pPr>
        <w:pStyle w:val="3"/>
        <w:ind w:left="0"/>
        <w:rPr>
          <w:rFonts w:ascii="Times New Roman" w:hAnsi="Times New Roman"/>
        </w:rPr>
      </w:pPr>
      <w:bookmarkStart w:id="3005" w:name="_Toc91455306"/>
      <w:bookmarkStart w:id="3006" w:name="_Toc380570911"/>
      <w:bookmarkStart w:id="3007" w:name="_Toc380356279"/>
      <w:bookmarkStart w:id="3008" w:name="_Toc454391239"/>
      <w:bookmarkStart w:id="3009" w:name="_Toc101684479"/>
      <w:r>
        <w:rPr>
          <w:rFonts w:ascii="Times New Roman" w:hAnsi="Times New Roman"/>
        </w:rPr>
        <w:t>A02-1</w:t>
      </w:r>
      <w:r>
        <w:rPr>
          <w:rFonts w:ascii="Times New Roman" w:hAnsi="Times New Roman" w:hint="eastAsia"/>
        </w:rPr>
        <w:t>表：来华直接投资（资产负债及利润）</w:t>
      </w:r>
      <w:bookmarkEnd w:id="3005"/>
      <w:bookmarkEnd w:id="3006"/>
      <w:bookmarkEnd w:id="3007"/>
      <w:bookmarkEnd w:id="3008"/>
      <w:bookmarkEnd w:id="3009"/>
    </w:p>
    <w:p w14:paraId="56C91188" w14:textId="77777777" w:rsidR="00A052DC" w:rsidRDefault="009F0A60" w:rsidP="0020251D">
      <w:pPr>
        <w:pStyle w:val="4"/>
        <w:numPr>
          <w:ilvl w:val="3"/>
          <w:numId w:val="1"/>
        </w:numPr>
        <w:jc w:val="left"/>
      </w:pPr>
      <w:bookmarkStart w:id="3010" w:name="_Toc454391240"/>
      <w:bookmarkStart w:id="3011" w:name="_Toc380570912"/>
      <w:r>
        <w:rPr>
          <w:rFonts w:hint="eastAsia"/>
        </w:rPr>
        <w:t>数据术语解释</w:t>
      </w:r>
      <w:bookmarkEnd w:id="3010"/>
      <w:bookmarkEnd w:id="3011"/>
    </w:p>
    <w:p w14:paraId="7AB26D7D" w14:textId="77777777" w:rsidR="00A052DC" w:rsidRDefault="00A052D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6685"/>
      </w:tblGrid>
      <w:tr w:rsidR="00A052DC" w14:paraId="63E56B06" w14:textId="77777777">
        <w:trPr>
          <w:cantSplit/>
          <w:jc w:val="center"/>
        </w:trPr>
        <w:tc>
          <w:tcPr>
            <w:tcW w:w="1837" w:type="dxa"/>
            <w:shd w:val="clear" w:color="auto" w:fill="auto"/>
            <w:noWrap/>
          </w:tcPr>
          <w:p w14:paraId="2A1F4182" w14:textId="77777777" w:rsidR="00A052DC" w:rsidRDefault="009F0A60">
            <w:pPr>
              <w:pStyle w:val="B1"/>
              <w:widowControl w:val="0"/>
            </w:pPr>
            <w:r>
              <w:rPr>
                <w:rFonts w:hint="eastAsia"/>
              </w:rPr>
              <w:t>基础数据项</w:t>
            </w:r>
          </w:p>
        </w:tc>
        <w:tc>
          <w:tcPr>
            <w:tcW w:w="6685" w:type="dxa"/>
            <w:shd w:val="clear" w:color="auto" w:fill="auto"/>
            <w:noWrap/>
          </w:tcPr>
          <w:p w14:paraId="0C20DDB0" w14:textId="77777777" w:rsidR="00A052DC" w:rsidRDefault="009F0A60">
            <w:pPr>
              <w:pStyle w:val="B1"/>
              <w:widowControl w:val="0"/>
            </w:pPr>
            <w:r>
              <w:rPr>
                <w:rFonts w:hint="eastAsia"/>
              </w:rPr>
              <w:t>定义</w:t>
            </w:r>
          </w:p>
        </w:tc>
      </w:tr>
      <w:tr w:rsidR="00A052DC" w14:paraId="2059F136" w14:textId="77777777">
        <w:trPr>
          <w:cantSplit/>
          <w:jc w:val="center"/>
        </w:trPr>
        <w:tc>
          <w:tcPr>
            <w:tcW w:w="1837" w:type="dxa"/>
            <w:shd w:val="clear" w:color="auto" w:fill="auto"/>
          </w:tcPr>
          <w:p w14:paraId="7347A6F5" w14:textId="77777777" w:rsidR="00A052DC" w:rsidRDefault="009F0A60">
            <w:pPr>
              <w:pStyle w:val="B"/>
              <w:widowControl w:val="0"/>
              <w:rPr>
                <w:szCs w:val="20"/>
              </w:rPr>
            </w:pPr>
            <w:r>
              <w:rPr>
                <w:rFonts w:hint="eastAsia"/>
                <w:szCs w:val="20"/>
              </w:rPr>
              <w:t>数据自编码</w:t>
            </w:r>
          </w:p>
        </w:tc>
        <w:tc>
          <w:tcPr>
            <w:tcW w:w="6685" w:type="dxa"/>
            <w:shd w:val="clear" w:color="auto" w:fill="auto"/>
            <w:noWrap/>
          </w:tcPr>
          <w:p w14:paraId="1EDD06C8" w14:textId="77777777" w:rsidR="00A052DC" w:rsidRDefault="009F0A60">
            <w:pPr>
              <w:pStyle w:val="B"/>
              <w:widowControl w:val="0"/>
              <w:rPr>
                <w:szCs w:val="20"/>
              </w:rPr>
            </w:pPr>
            <w:r>
              <w:rPr>
                <w:rFonts w:hint="eastAsia"/>
                <w:szCs w:val="20"/>
              </w:rPr>
              <w:t>该编码用于标识金融机构报送的每一条数据，按给定规则编码，便于进行增删改查等操作。建议规则：机构代码（</w:t>
            </w:r>
            <w:r>
              <w:rPr>
                <w:szCs w:val="20"/>
              </w:rPr>
              <w:t>1</w:t>
            </w:r>
            <w:r>
              <w:rPr>
                <w:rFonts w:hint="eastAsia"/>
                <w:szCs w:val="20"/>
              </w:rPr>
              <w:t>8位，不足</w:t>
            </w:r>
            <w:r>
              <w:rPr>
                <w:szCs w:val="20"/>
              </w:rPr>
              <w:t>1</w:t>
            </w:r>
            <w:r>
              <w:rPr>
                <w:rFonts w:hint="eastAsia"/>
                <w:szCs w:val="20"/>
              </w:rPr>
              <w:t>8位补</w:t>
            </w:r>
            <w:r>
              <w:rPr>
                <w:szCs w:val="20"/>
              </w:rPr>
              <w:t>a</w:t>
            </w:r>
            <w:r>
              <w:rPr>
                <w:rFonts w:hint="eastAsia"/>
                <w:szCs w:val="20"/>
              </w:rPr>
              <w:t>）</w:t>
            </w:r>
            <w:r>
              <w:rPr>
                <w:szCs w:val="20"/>
              </w:rPr>
              <w:t>+</w:t>
            </w:r>
            <w:r>
              <w:rPr>
                <w:rFonts w:hint="eastAsia"/>
                <w:szCs w:val="20"/>
              </w:rPr>
              <w:t>报表代码（</w:t>
            </w:r>
            <w:r>
              <w:rPr>
                <w:szCs w:val="20"/>
              </w:rPr>
              <w:t>5</w:t>
            </w:r>
            <w:r>
              <w:rPr>
                <w:rFonts w:hint="eastAsia"/>
                <w:szCs w:val="20"/>
              </w:rPr>
              <w:t>位，不足</w:t>
            </w:r>
            <w:r>
              <w:rPr>
                <w:szCs w:val="20"/>
              </w:rPr>
              <w:t>5</w:t>
            </w:r>
            <w:r>
              <w:rPr>
                <w:rFonts w:hint="eastAsia"/>
                <w:szCs w:val="20"/>
              </w:rPr>
              <w:t>位补</w:t>
            </w:r>
            <w:r>
              <w:rPr>
                <w:szCs w:val="20"/>
              </w:rPr>
              <w:t>a</w:t>
            </w:r>
            <w:r>
              <w:rPr>
                <w:rFonts w:hint="eastAsia"/>
                <w:szCs w:val="20"/>
              </w:rPr>
              <w:t>）</w:t>
            </w:r>
            <w:r>
              <w:rPr>
                <w:szCs w:val="20"/>
              </w:rPr>
              <w:t>+</w:t>
            </w:r>
            <w:r>
              <w:rPr>
                <w:rFonts w:hint="eastAsia"/>
                <w:szCs w:val="20"/>
              </w:rPr>
              <w:t>报送期（</w:t>
            </w:r>
            <w:r>
              <w:rPr>
                <w:szCs w:val="20"/>
              </w:rPr>
              <w:t>6</w:t>
            </w:r>
            <w:r>
              <w:rPr>
                <w:rFonts w:hint="eastAsia"/>
                <w:szCs w:val="20"/>
              </w:rPr>
              <w:t>位）</w:t>
            </w:r>
            <w:r>
              <w:rPr>
                <w:szCs w:val="20"/>
              </w:rPr>
              <w:t>+</w:t>
            </w:r>
            <w:r>
              <w:rPr>
                <w:rFonts w:hint="eastAsia"/>
                <w:szCs w:val="20"/>
              </w:rPr>
              <w:t>顺序号（</w:t>
            </w:r>
            <w:r>
              <w:rPr>
                <w:szCs w:val="20"/>
              </w:rPr>
              <w:t>7</w:t>
            </w:r>
            <w:r>
              <w:rPr>
                <w:rFonts w:hint="eastAsia"/>
                <w:szCs w:val="20"/>
              </w:rPr>
              <w:t>位，从</w:t>
            </w:r>
            <w:r>
              <w:rPr>
                <w:szCs w:val="20"/>
              </w:rPr>
              <w:t>0000001</w:t>
            </w:r>
            <w:r>
              <w:rPr>
                <w:rFonts w:hint="eastAsia"/>
                <w:szCs w:val="20"/>
              </w:rPr>
              <w:t>开始增加）。</w:t>
            </w:r>
          </w:p>
        </w:tc>
      </w:tr>
      <w:tr w:rsidR="00A052DC" w14:paraId="042F8CB8" w14:textId="77777777">
        <w:trPr>
          <w:cantSplit/>
          <w:jc w:val="center"/>
        </w:trPr>
        <w:tc>
          <w:tcPr>
            <w:tcW w:w="1837" w:type="dxa"/>
            <w:shd w:val="clear" w:color="auto" w:fill="auto"/>
          </w:tcPr>
          <w:p w14:paraId="35877431" w14:textId="77777777" w:rsidR="00A052DC" w:rsidRDefault="009F0A60">
            <w:pPr>
              <w:pStyle w:val="B"/>
              <w:widowControl w:val="0"/>
              <w:rPr>
                <w:szCs w:val="20"/>
              </w:rPr>
            </w:pPr>
            <w:r>
              <w:rPr>
                <w:rFonts w:hint="eastAsia"/>
                <w:szCs w:val="20"/>
              </w:rPr>
              <w:t>申报主体代码</w:t>
            </w:r>
          </w:p>
        </w:tc>
        <w:tc>
          <w:tcPr>
            <w:tcW w:w="6685" w:type="dxa"/>
            <w:shd w:val="clear" w:color="auto" w:fill="auto"/>
            <w:noWrap/>
          </w:tcPr>
          <w:p w14:paraId="288151E5" w14:textId="77777777" w:rsidR="00A052DC" w:rsidRDefault="009F0A60">
            <w:pPr>
              <w:pStyle w:val="B"/>
              <w:widowControl w:val="0"/>
              <w:rPr>
                <w:szCs w:val="20"/>
              </w:rPr>
            </w:pPr>
            <w:r>
              <w:rPr>
                <w:rFonts w:hint="eastAsia"/>
                <w:szCs w:val="20"/>
              </w:rPr>
              <w:t>申报主体的12位金融机构标识码，如果没有金融机构标识码，则填报统一社会信用代码法定载体（如营业执照）上统一社会信用代码中的第9至17位或国家外汇管理局及其分支局签发的特殊机构代码赋码通知书上的机构代码、个人身份代码。</w:t>
            </w:r>
          </w:p>
        </w:tc>
      </w:tr>
      <w:tr w:rsidR="00A052DC" w14:paraId="56762523" w14:textId="77777777">
        <w:trPr>
          <w:cantSplit/>
          <w:jc w:val="center"/>
        </w:trPr>
        <w:tc>
          <w:tcPr>
            <w:tcW w:w="1837" w:type="dxa"/>
            <w:shd w:val="clear" w:color="auto" w:fill="auto"/>
          </w:tcPr>
          <w:p w14:paraId="2F36301C" w14:textId="77777777" w:rsidR="00A052DC" w:rsidRDefault="009F0A60">
            <w:pPr>
              <w:pStyle w:val="B"/>
              <w:widowControl w:val="0"/>
              <w:rPr>
                <w:szCs w:val="20"/>
              </w:rPr>
            </w:pPr>
            <w:r>
              <w:rPr>
                <w:rFonts w:hint="eastAsia"/>
                <w:szCs w:val="20"/>
              </w:rPr>
              <w:t>报告期</w:t>
            </w:r>
          </w:p>
        </w:tc>
        <w:tc>
          <w:tcPr>
            <w:tcW w:w="6685" w:type="dxa"/>
            <w:shd w:val="clear" w:color="auto" w:fill="auto"/>
            <w:noWrap/>
          </w:tcPr>
          <w:p w14:paraId="4CE05DAA" w14:textId="77777777" w:rsidR="00A052DC" w:rsidRDefault="009F0A60">
            <w:pPr>
              <w:pStyle w:val="B"/>
              <w:widowControl w:val="0"/>
              <w:rPr>
                <w:szCs w:val="20"/>
              </w:rPr>
            </w:pPr>
            <w:r>
              <w:rPr>
                <w:rFonts w:hint="eastAsia"/>
                <w:szCs w:val="20"/>
              </w:rPr>
              <w:t>业务发生月份，格式为</w:t>
            </w:r>
            <w:r>
              <w:rPr>
                <w:szCs w:val="20"/>
              </w:rPr>
              <w:t>YYYYMM</w:t>
            </w:r>
            <w:r>
              <w:rPr>
                <w:rFonts w:hint="eastAsia"/>
                <w:szCs w:val="20"/>
              </w:rPr>
              <w:t>。</w:t>
            </w:r>
          </w:p>
        </w:tc>
      </w:tr>
      <w:tr w:rsidR="00A052DC" w14:paraId="02EA09B5" w14:textId="77777777">
        <w:trPr>
          <w:cantSplit/>
          <w:jc w:val="center"/>
        </w:trPr>
        <w:tc>
          <w:tcPr>
            <w:tcW w:w="1837" w:type="dxa"/>
            <w:shd w:val="clear" w:color="auto" w:fill="auto"/>
          </w:tcPr>
          <w:p w14:paraId="0D7B9C84" w14:textId="77777777" w:rsidR="00A052DC" w:rsidRDefault="009F0A60">
            <w:pPr>
              <w:pStyle w:val="B"/>
              <w:widowControl w:val="0"/>
              <w:rPr>
                <w:szCs w:val="20"/>
              </w:rPr>
            </w:pPr>
            <w:r>
              <w:rPr>
                <w:rFonts w:hint="eastAsia"/>
                <w:szCs w:val="20"/>
              </w:rPr>
              <w:t>期末会计记账币种（原币）</w:t>
            </w:r>
          </w:p>
        </w:tc>
        <w:tc>
          <w:tcPr>
            <w:tcW w:w="6685" w:type="dxa"/>
            <w:shd w:val="clear" w:color="auto" w:fill="auto"/>
            <w:noWrap/>
          </w:tcPr>
          <w:p w14:paraId="5A301D89" w14:textId="77777777" w:rsidR="00A052DC" w:rsidRDefault="009F0A60">
            <w:pPr>
              <w:pStyle w:val="B"/>
              <w:widowControl w:val="0"/>
              <w:rPr>
                <w:szCs w:val="20"/>
              </w:rPr>
            </w:pPr>
            <w:r>
              <w:rPr>
                <w:rFonts w:hint="eastAsia"/>
                <w:szCs w:val="20"/>
              </w:rPr>
              <w:t>请按照本机构（被投资机构）合并会计账上的记账本位币填列，见币种代码表。该记账币种适用于从期末资产至本机构在境内缴纳的税金总额各项。虽然记账本位币仅列示一种，但从期末资产至本机构在境内缴纳的税金总额各项均应为本机构本外币合并后数据。</w:t>
            </w:r>
          </w:p>
        </w:tc>
      </w:tr>
      <w:tr w:rsidR="00A052DC" w14:paraId="2B52CBCD" w14:textId="77777777">
        <w:trPr>
          <w:cantSplit/>
          <w:jc w:val="center"/>
        </w:trPr>
        <w:tc>
          <w:tcPr>
            <w:tcW w:w="1837" w:type="dxa"/>
            <w:shd w:val="clear" w:color="auto" w:fill="auto"/>
          </w:tcPr>
          <w:p w14:paraId="67831EAC" w14:textId="77777777" w:rsidR="00A052DC" w:rsidRDefault="009F0A60">
            <w:pPr>
              <w:pStyle w:val="B"/>
              <w:widowControl w:val="0"/>
              <w:rPr>
                <w:szCs w:val="20"/>
              </w:rPr>
            </w:pPr>
            <w:r>
              <w:rPr>
                <w:rFonts w:hint="eastAsia"/>
                <w:szCs w:val="20"/>
              </w:rPr>
              <w:t>期末资产</w:t>
            </w:r>
          </w:p>
        </w:tc>
        <w:tc>
          <w:tcPr>
            <w:tcW w:w="6685" w:type="dxa"/>
            <w:shd w:val="clear" w:color="auto" w:fill="auto"/>
            <w:noWrap/>
          </w:tcPr>
          <w:p w14:paraId="2C3C95FD" w14:textId="77777777" w:rsidR="00A052DC" w:rsidRDefault="009F0A60">
            <w:pPr>
              <w:pStyle w:val="B"/>
              <w:widowControl w:val="0"/>
              <w:rPr>
                <w:szCs w:val="20"/>
              </w:rPr>
            </w:pPr>
            <w:r>
              <w:rPr>
                <w:rFonts w:hint="eastAsia"/>
                <w:szCs w:val="20"/>
              </w:rPr>
              <w:t>指对应月度末，本机构合并资产负债表中的“资产总额”。期末资产-期末负债-期末少数股东权益=期末归属于本机构所有者的权益(总额)。</w:t>
            </w:r>
          </w:p>
        </w:tc>
      </w:tr>
      <w:tr w:rsidR="00A052DC" w14:paraId="317D5FD5" w14:textId="77777777">
        <w:trPr>
          <w:cantSplit/>
          <w:jc w:val="center"/>
        </w:trPr>
        <w:tc>
          <w:tcPr>
            <w:tcW w:w="1837" w:type="dxa"/>
            <w:shd w:val="clear" w:color="auto" w:fill="auto"/>
          </w:tcPr>
          <w:p w14:paraId="2261367D" w14:textId="77777777" w:rsidR="00A052DC" w:rsidRDefault="009F0A60">
            <w:pPr>
              <w:pStyle w:val="B"/>
              <w:widowControl w:val="0"/>
              <w:rPr>
                <w:szCs w:val="20"/>
              </w:rPr>
            </w:pPr>
            <w:r>
              <w:rPr>
                <w:rFonts w:hint="eastAsia"/>
                <w:szCs w:val="20"/>
              </w:rPr>
              <w:t>期末负债</w:t>
            </w:r>
          </w:p>
        </w:tc>
        <w:tc>
          <w:tcPr>
            <w:tcW w:w="6685" w:type="dxa"/>
            <w:shd w:val="clear" w:color="auto" w:fill="auto"/>
            <w:noWrap/>
          </w:tcPr>
          <w:p w14:paraId="06742A09" w14:textId="77777777" w:rsidR="00A052DC" w:rsidRDefault="009F0A60">
            <w:pPr>
              <w:pStyle w:val="B"/>
              <w:widowControl w:val="0"/>
              <w:rPr>
                <w:szCs w:val="20"/>
              </w:rPr>
            </w:pPr>
            <w:r>
              <w:rPr>
                <w:rFonts w:hint="eastAsia"/>
                <w:szCs w:val="20"/>
              </w:rPr>
              <w:t>指对应月度末，本机构合并资产负债表中的“负债总额”。</w:t>
            </w:r>
          </w:p>
        </w:tc>
      </w:tr>
      <w:tr w:rsidR="00A052DC" w14:paraId="7E896B8F" w14:textId="77777777">
        <w:trPr>
          <w:cantSplit/>
          <w:jc w:val="center"/>
        </w:trPr>
        <w:tc>
          <w:tcPr>
            <w:tcW w:w="1837" w:type="dxa"/>
          </w:tcPr>
          <w:p w14:paraId="31D22993" w14:textId="77777777" w:rsidR="00A052DC" w:rsidRDefault="009F0A60">
            <w:pPr>
              <w:pStyle w:val="B"/>
              <w:widowControl w:val="0"/>
              <w:rPr>
                <w:szCs w:val="20"/>
              </w:rPr>
            </w:pPr>
            <w:r>
              <w:rPr>
                <w:rFonts w:hint="eastAsia"/>
                <w:szCs w:val="20"/>
              </w:rPr>
              <w:t>期末负债中境外母公司拨付的营运资金</w:t>
            </w:r>
          </w:p>
        </w:tc>
        <w:tc>
          <w:tcPr>
            <w:tcW w:w="6685" w:type="dxa"/>
            <w:shd w:val="clear" w:color="auto" w:fill="auto"/>
            <w:noWrap/>
          </w:tcPr>
          <w:p w14:paraId="6691B2E8" w14:textId="77777777" w:rsidR="00A052DC" w:rsidRDefault="009F0A60">
            <w:pPr>
              <w:pStyle w:val="B"/>
              <w:widowControl w:val="0"/>
              <w:rPr>
                <w:szCs w:val="20"/>
              </w:rPr>
            </w:pPr>
            <w:r>
              <w:rPr>
                <w:rFonts w:hint="eastAsia"/>
                <w:szCs w:val="20"/>
              </w:rPr>
              <w:t>对于境外投资者拨付给境内分支机构的“营运资金”，如本机构将其作为负债记录，则需在本项目中填报相关金额。如本机构作为权益记录，则应纳入期末归属于本机构全体股东的权益（总额）和期末归属于本机构全体股东的权益中的实收资本下统计，而不应纳入本项统计。期末负债中境外母公司拨付的营运资金≤期末负债。</w:t>
            </w:r>
          </w:p>
        </w:tc>
      </w:tr>
      <w:tr w:rsidR="00A052DC" w14:paraId="0CC3EC10" w14:textId="77777777">
        <w:trPr>
          <w:cantSplit/>
          <w:jc w:val="center"/>
        </w:trPr>
        <w:tc>
          <w:tcPr>
            <w:tcW w:w="1837" w:type="dxa"/>
            <w:shd w:val="clear" w:color="auto" w:fill="auto"/>
          </w:tcPr>
          <w:p w14:paraId="78F041C2" w14:textId="77777777" w:rsidR="00A052DC" w:rsidRDefault="009F0A60">
            <w:pPr>
              <w:pStyle w:val="B"/>
              <w:widowControl w:val="0"/>
              <w:rPr>
                <w:szCs w:val="20"/>
              </w:rPr>
            </w:pPr>
            <w:r>
              <w:rPr>
                <w:rFonts w:hint="eastAsia"/>
              </w:rPr>
              <w:t>期末</w:t>
            </w:r>
            <w:r>
              <w:rPr>
                <w:rFonts w:hint="eastAsia"/>
                <w:szCs w:val="20"/>
              </w:rPr>
              <w:t>归属于本机构</w:t>
            </w:r>
            <w:r>
              <w:rPr>
                <w:rFonts w:hint="eastAsia"/>
              </w:rPr>
              <w:t>所有者</w:t>
            </w:r>
            <w:r>
              <w:rPr>
                <w:rFonts w:hint="eastAsia"/>
                <w:szCs w:val="20"/>
              </w:rPr>
              <w:t>的</w:t>
            </w:r>
            <w:r>
              <w:rPr>
                <w:rFonts w:hint="eastAsia"/>
              </w:rPr>
              <w:t>权益</w:t>
            </w:r>
          </w:p>
        </w:tc>
        <w:tc>
          <w:tcPr>
            <w:tcW w:w="6685" w:type="dxa"/>
            <w:shd w:val="clear" w:color="auto" w:fill="auto"/>
            <w:noWrap/>
          </w:tcPr>
          <w:p w14:paraId="3417B693" w14:textId="77777777" w:rsidR="00A052DC" w:rsidRDefault="009F0A60">
            <w:pPr>
              <w:pStyle w:val="B"/>
              <w:widowControl w:val="0"/>
              <w:rPr>
                <w:szCs w:val="20"/>
              </w:rPr>
            </w:pPr>
            <w:r>
              <w:rPr>
                <w:rFonts w:hint="eastAsia"/>
              </w:rPr>
              <w:t>指对应月度末，本机构合并</w:t>
            </w:r>
            <w:r>
              <w:rPr>
                <w:rFonts w:hint="eastAsia"/>
                <w:szCs w:val="20"/>
              </w:rPr>
              <w:t>资产负债表</w:t>
            </w:r>
            <w:r>
              <w:rPr>
                <w:rFonts w:hint="eastAsia"/>
              </w:rPr>
              <w:t>中</w:t>
            </w:r>
            <w:r>
              <w:rPr>
                <w:rFonts w:hint="eastAsia"/>
                <w:szCs w:val="20"/>
              </w:rPr>
              <w:t xml:space="preserve"> “归属于母公司所有者权益（或股东权益）合计”，不包括少数股东权益。期末</w:t>
            </w:r>
            <w:r>
              <w:rPr>
                <w:rFonts w:hint="eastAsia"/>
              </w:rPr>
              <w:t>归属于本机构所有者权益</w:t>
            </w:r>
            <w:r>
              <w:t>=</w:t>
            </w:r>
            <w:r>
              <w:rPr>
                <w:rFonts w:hint="eastAsia"/>
              </w:rPr>
              <w:t>实收资本</w:t>
            </w:r>
            <w:r>
              <w:t>+</w:t>
            </w:r>
            <w:r>
              <w:rPr>
                <w:rFonts w:hint="eastAsia"/>
              </w:rPr>
              <w:t>资本公积</w:t>
            </w:r>
            <w:r>
              <w:t>+</w:t>
            </w:r>
            <w:r>
              <w:rPr>
                <w:rFonts w:hint="eastAsia"/>
              </w:rPr>
              <w:t>盈余公积</w:t>
            </w:r>
            <w:r>
              <w:t>+</w:t>
            </w:r>
            <w:r>
              <w:rPr>
                <w:rFonts w:hint="eastAsia"/>
              </w:rPr>
              <w:t>未分配利润</w:t>
            </w:r>
            <w:r>
              <w:t>+</w:t>
            </w:r>
            <w:r>
              <w:rPr>
                <w:rFonts w:hint="eastAsia"/>
              </w:rPr>
              <w:t>其他。对于境外投资者在境内的分支机构，如其将境外投资者拨付的“营运资金”记录为权益，则应纳入本项目统计，而不应统计在期末负债中境外母公司拨付的营运资金项下。</w:t>
            </w:r>
          </w:p>
        </w:tc>
      </w:tr>
      <w:tr w:rsidR="00A052DC" w14:paraId="313373E7" w14:textId="77777777">
        <w:trPr>
          <w:cantSplit/>
          <w:jc w:val="center"/>
        </w:trPr>
        <w:tc>
          <w:tcPr>
            <w:tcW w:w="1837" w:type="dxa"/>
          </w:tcPr>
          <w:p w14:paraId="5343E04D" w14:textId="77777777" w:rsidR="00A052DC" w:rsidRDefault="009F0A60">
            <w:pPr>
              <w:pStyle w:val="B"/>
              <w:widowControl w:val="0"/>
              <w:rPr>
                <w:szCs w:val="20"/>
              </w:rPr>
            </w:pPr>
            <w:r>
              <w:rPr>
                <w:rFonts w:hint="eastAsia"/>
              </w:rPr>
              <w:t>实收资本</w:t>
            </w:r>
          </w:p>
        </w:tc>
        <w:tc>
          <w:tcPr>
            <w:tcW w:w="6685" w:type="dxa"/>
            <w:shd w:val="clear" w:color="auto" w:fill="auto"/>
            <w:noWrap/>
          </w:tcPr>
          <w:p w14:paraId="6E00D68B" w14:textId="77777777" w:rsidR="00A052DC" w:rsidRDefault="009F0A60">
            <w:pPr>
              <w:pStyle w:val="B"/>
              <w:widowControl w:val="0"/>
              <w:rPr>
                <w:szCs w:val="20"/>
              </w:rPr>
            </w:pPr>
            <w:r>
              <w:rPr>
                <w:rFonts w:hint="eastAsia"/>
              </w:rPr>
              <w:t>指期末</w:t>
            </w:r>
            <w:r>
              <w:rPr>
                <w:rFonts w:hint="eastAsia"/>
                <w:szCs w:val="20"/>
              </w:rPr>
              <w:t>归属于本机构</w:t>
            </w:r>
            <w:r>
              <w:rPr>
                <w:rFonts w:hint="eastAsia"/>
              </w:rPr>
              <w:t>所有者权益</w:t>
            </w:r>
            <w:r>
              <w:rPr>
                <w:rFonts w:hint="eastAsia"/>
                <w:szCs w:val="20"/>
              </w:rPr>
              <w:t>的</w:t>
            </w:r>
            <w:r>
              <w:rPr>
                <w:rFonts w:hint="eastAsia"/>
              </w:rPr>
              <w:t>中“实收资本”金额。对于境外投资者在境内的分支机构，如其将境外投资者拨付的“营运资金”记录为权益项目，则应纳入本项目统计，而不应统计在期末负债中境外母公司拨付的营运资金项下。</w:t>
            </w:r>
          </w:p>
        </w:tc>
      </w:tr>
      <w:tr w:rsidR="00A052DC" w14:paraId="18CF2DC3" w14:textId="77777777">
        <w:trPr>
          <w:cantSplit/>
          <w:jc w:val="center"/>
        </w:trPr>
        <w:tc>
          <w:tcPr>
            <w:tcW w:w="1837" w:type="dxa"/>
          </w:tcPr>
          <w:p w14:paraId="1DF243DB" w14:textId="77777777" w:rsidR="00A052DC" w:rsidRDefault="009F0A60">
            <w:pPr>
              <w:pStyle w:val="B"/>
              <w:widowControl w:val="0"/>
              <w:rPr>
                <w:szCs w:val="20"/>
              </w:rPr>
            </w:pPr>
            <w:r>
              <w:rPr>
                <w:rFonts w:hint="eastAsia"/>
              </w:rPr>
              <w:t>资本公积</w:t>
            </w:r>
          </w:p>
        </w:tc>
        <w:tc>
          <w:tcPr>
            <w:tcW w:w="6685" w:type="dxa"/>
            <w:shd w:val="clear" w:color="auto" w:fill="auto"/>
            <w:noWrap/>
          </w:tcPr>
          <w:p w14:paraId="7221E15A" w14:textId="77777777" w:rsidR="00A052DC" w:rsidRDefault="009F0A60">
            <w:pPr>
              <w:pStyle w:val="B"/>
              <w:widowControl w:val="0"/>
              <w:rPr>
                <w:szCs w:val="20"/>
              </w:rPr>
            </w:pPr>
            <w:r>
              <w:rPr>
                <w:rFonts w:hint="eastAsia"/>
              </w:rPr>
              <w:t>指期末</w:t>
            </w:r>
            <w:r>
              <w:rPr>
                <w:rFonts w:hint="eastAsia"/>
                <w:szCs w:val="20"/>
              </w:rPr>
              <w:t>归属于本机构</w:t>
            </w:r>
            <w:r>
              <w:rPr>
                <w:rFonts w:hint="eastAsia"/>
              </w:rPr>
              <w:t>所有者</w:t>
            </w:r>
            <w:r>
              <w:rPr>
                <w:rFonts w:hint="eastAsia"/>
                <w:szCs w:val="20"/>
              </w:rPr>
              <w:t>的</w:t>
            </w:r>
            <w:r>
              <w:rPr>
                <w:rFonts w:hint="eastAsia"/>
              </w:rPr>
              <w:t>权益中“资本公积”金额。是指本机构收到投资者出资额超出其在注册资本（或股本）中所占份额的部分，以及直接计入所有者权益的利得和损失等。</w:t>
            </w:r>
          </w:p>
        </w:tc>
      </w:tr>
      <w:tr w:rsidR="00A052DC" w14:paraId="1002B623" w14:textId="77777777">
        <w:trPr>
          <w:cantSplit/>
          <w:jc w:val="center"/>
        </w:trPr>
        <w:tc>
          <w:tcPr>
            <w:tcW w:w="1837" w:type="dxa"/>
          </w:tcPr>
          <w:p w14:paraId="5F1B5340" w14:textId="77777777" w:rsidR="00A052DC" w:rsidRDefault="009F0A60">
            <w:pPr>
              <w:pStyle w:val="B"/>
              <w:widowControl w:val="0"/>
              <w:rPr>
                <w:szCs w:val="20"/>
              </w:rPr>
            </w:pPr>
            <w:r>
              <w:rPr>
                <w:rFonts w:hint="eastAsia"/>
              </w:rPr>
              <w:t>盈余公积</w:t>
            </w:r>
          </w:p>
        </w:tc>
        <w:tc>
          <w:tcPr>
            <w:tcW w:w="6685" w:type="dxa"/>
            <w:shd w:val="clear" w:color="auto" w:fill="auto"/>
            <w:noWrap/>
          </w:tcPr>
          <w:p w14:paraId="3655AE0B" w14:textId="77777777" w:rsidR="00A052DC" w:rsidRDefault="009F0A60">
            <w:pPr>
              <w:pStyle w:val="B"/>
              <w:widowControl w:val="0"/>
              <w:rPr>
                <w:szCs w:val="20"/>
              </w:rPr>
            </w:pPr>
            <w:r>
              <w:rPr>
                <w:rFonts w:hint="eastAsia"/>
              </w:rPr>
              <w:t>指期末</w:t>
            </w:r>
            <w:r>
              <w:rPr>
                <w:rFonts w:hint="eastAsia"/>
                <w:szCs w:val="20"/>
              </w:rPr>
              <w:t>归属于本机构</w:t>
            </w:r>
            <w:r>
              <w:rPr>
                <w:rFonts w:hint="eastAsia"/>
              </w:rPr>
              <w:t>所有者</w:t>
            </w:r>
            <w:r>
              <w:rPr>
                <w:rFonts w:hint="eastAsia"/>
                <w:szCs w:val="20"/>
              </w:rPr>
              <w:t>的</w:t>
            </w:r>
            <w:r>
              <w:rPr>
                <w:rFonts w:hint="eastAsia"/>
              </w:rPr>
              <w:t>权益中，按照规定从净利润中提取的各种积累资金，包括法定盈余公积和任意盈余公积。</w:t>
            </w:r>
          </w:p>
        </w:tc>
      </w:tr>
      <w:tr w:rsidR="00A052DC" w14:paraId="38DD3997" w14:textId="77777777">
        <w:trPr>
          <w:cantSplit/>
          <w:jc w:val="center"/>
        </w:trPr>
        <w:tc>
          <w:tcPr>
            <w:tcW w:w="1837" w:type="dxa"/>
          </w:tcPr>
          <w:p w14:paraId="531223E5" w14:textId="77777777" w:rsidR="00A052DC" w:rsidRDefault="009F0A60">
            <w:pPr>
              <w:pStyle w:val="B"/>
              <w:widowControl w:val="0"/>
              <w:rPr>
                <w:szCs w:val="20"/>
              </w:rPr>
            </w:pPr>
            <w:r>
              <w:rPr>
                <w:rFonts w:hint="eastAsia"/>
              </w:rPr>
              <w:t>未分配利润</w:t>
            </w:r>
          </w:p>
        </w:tc>
        <w:tc>
          <w:tcPr>
            <w:tcW w:w="6685" w:type="dxa"/>
            <w:shd w:val="clear" w:color="auto" w:fill="auto"/>
            <w:noWrap/>
          </w:tcPr>
          <w:p w14:paraId="79F7F775" w14:textId="77777777" w:rsidR="00A052DC" w:rsidRDefault="009F0A60">
            <w:pPr>
              <w:pStyle w:val="B"/>
              <w:widowControl w:val="0"/>
              <w:rPr>
                <w:szCs w:val="20"/>
              </w:rPr>
            </w:pPr>
            <w:r>
              <w:rPr>
                <w:rFonts w:hint="eastAsia"/>
              </w:rPr>
              <w:t>指期末</w:t>
            </w:r>
            <w:r>
              <w:rPr>
                <w:rFonts w:hint="eastAsia"/>
                <w:szCs w:val="20"/>
              </w:rPr>
              <w:t>归属于本机构</w:t>
            </w:r>
            <w:r>
              <w:rPr>
                <w:rFonts w:hint="eastAsia"/>
              </w:rPr>
              <w:t>所有者</w:t>
            </w:r>
            <w:r>
              <w:rPr>
                <w:rFonts w:hint="eastAsia"/>
                <w:szCs w:val="20"/>
              </w:rPr>
              <w:t>的</w:t>
            </w:r>
            <w:r>
              <w:rPr>
                <w:rFonts w:hint="eastAsia"/>
              </w:rPr>
              <w:t>权益中未分配利润总额。</w:t>
            </w:r>
          </w:p>
        </w:tc>
      </w:tr>
      <w:tr w:rsidR="00A052DC" w14:paraId="5C55AAC3" w14:textId="77777777">
        <w:trPr>
          <w:cantSplit/>
          <w:jc w:val="center"/>
        </w:trPr>
        <w:tc>
          <w:tcPr>
            <w:tcW w:w="1837" w:type="dxa"/>
          </w:tcPr>
          <w:p w14:paraId="19F739E3" w14:textId="77777777" w:rsidR="00A052DC" w:rsidRDefault="009F0A60">
            <w:pPr>
              <w:pStyle w:val="B"/>
              <w:widowControl w:val="0"/>
              <w:rPr>
                <w:szCs w:val="20"/>
              </w:rPr>
            </w:pPr>
            <w:r>
              <w:rPr>
                <w:rFonts w:hint="eastAsia"/>
              </w:rPr>
              <w:t>其他</w:t>
            </w:r>
          </w:p>
        </w:tc>
        <w:tc>
          <w:tcPr>
            <w:tcW w:w="6685" w:type="dxa"/>
            <w:shd w:val="clear" w:color="auto" w:fill="auto"/>
            <w:noWrap/>
          </w:tcPr>
          <w:p w14:paraId="3C747FC0" w14:textId="77777777" w:rsidR="00A052DC" w:rsidRDefault="009F0A60">
            <w:pPr>
              <w:pStyle w:val="B"/>
              <w:widowControl w:val="0"/>
              <w:rPr>
                <w:szCs w:val="20"/>
              </w:rPr>
            </w:pPr>
            <w:r>
              <w:rPr>
                <w:rFonts w:hint="eastAsia"/>
              </w:rPr>
              <w:t>指期末</w:t>
            </w:r>
            <w:r>
              <w:rPr>
                <w:rFonts w:hint="eastAsia"/>
                <w:szCs w:val="20"/>
              </w:rPr>
              <w:t>归属于本机构</w:t>
            </w:r>
            <w:r>
              <w:rPr>
                <w:rFonts w:hint="eastAsia"/>
              </w:rPr>
              <w:t>所有者</w:t>
            </w:r>
            <w:r>
              <w:rPr>
                <w:rFonts w:hint="eastAsia"/>
                <w:szCs w:val="20"/>
              </w:rPr>
              <w:t>的</w:t>
            </w:r>
            <w:r>
              <w:rPr>
                <w:rFonts w:hint="eastAsia"/>
              </w:rPr>
              <w:t>权益</w:t>
            </w:r>
            <w:r>
              <w:rPr>
                <w:rFonts w:hint="eastAsia"/>
                <w:szCs w:val="20"/>
              </w:rPr>
              <w:t>中</w:t>
            </w:r>
            <w:r>
              <w:rPr>
                <w:rFonts w:hint="eastAsia"/>
              </w:rPr>
              <w:t>，未涵盖在期末所有者权益中的实收资本至期末归属于本机构全体股东权益中的未分配利润项下的部分，包括但不限于一般准备、外币报表折算差额等。</w:t>
            </w:r>
          </w:p>
        </w:tc>
      </w:tr>
      <w:tr w:rsidR="00A052DC" w14:paraId="01896013" w14:textId="77777777">
        <w:trPr>
          <w:cantSplit/>
          <w:jc w:val="center"/>
        </w:trPr>
        <w:tc>
          <w:tcPr>
            <w:tcW w:w="1837" w:type="dxa"/>
            <w:shd w:val="clear" w:color="auto" w:fill="auto"/>
          </w:tcPr>
          <w:p w14:paraId="5D84D5A7" w14:textId="77777777" w:rsidR="00A052DC" w:rsidRDefault="009F0A60">
            <w:pPr>
              <w:pStyle w:val="B"/>
              <w:widowControl w:val="0"/>
              <w:rPr>
                <w:szCs w:val="20"/>
              </w:rPr>
            </w:pPr>
            <w:r>
              <w:rPr>
                <w:rFonts w:hint="eastAsia"/>
                <w:szCs w:val="20"/>
              </w:rPr>
              <w:t>期末少数股东权益</w:t>
            </w:r>
          </w:p>
        </w:tc>
        <w:tc>
          <w:tcPr>
            <w:tcW w:w="6685" w:type="dxa"/>
            <w:shd w:val="clear" w:color="auto" w:fill="auto"/>
            <w:noWrap/>
          </w:tcPr>
          <w:p w14:paraId="4C054733" w14:textId="77777777" w:rsidR="00A052DC" w:rsidRDefault="009F0A60">
            <w:pPr>
              <w:pStyle w:val="B"/>
              <w:widowControl w:val="0"/>
              <w:rPr>
                <w:szCs w:val="20"/>
              </w:rPr>
            </w:pPr>
            <w:r>
              <w:rPr>
                <w:rFonts w:hint="eastAsia"/>
              </w:rPr>
              <w:t>指本机构合并资产负债表中的</w:t>
            </w:r>
            <w:r>
              <w:rPr>
                <w:rFonts w:hint="eastAsia"/>
                <w:szCs w:val="20"/>
              </w:rPr>
              <w:t>“少数股东权益”</w:t>
            </w:r>
            <w:r w:rsidR="00A91079">
              <w:rPr>
                <w:rFonts w:hint="eastAsia"/>
                <w:szCs w:val="20"/>
              </w:rPr>
              <w:t>。</w:t>
            </w:r>
          </w:p>
        </w:tc>
      </w:tr>
      <w:tr w:rsidR="00A052DC" w14:paraId="66FA1360" w14:textId="77777777">
        <w:trPr>
          <w:cantSplit/>
          <w:jc w:val="center"/>
        </w:trPr>
        <w:tc>
          <w:tcPr>
            <w:tcW w:w="1837" w:type="dxa"/>
            <w:shd w:val="clear" w:color="auto" w:fill="auto"/>
          </w:tcPr>
          <w:p w14:paraId="0E3765A3" w14:textId="77777777" w:rsidR="00A052DC" w:rsidRDefault="009F0A60">
            <w:pPr>
              <w:pStyle w:val="B"/>
              <w:widowControl w:val="0"/>
              <w:rPr>
                <w:szCs w:val="20"/>
              </w:rPr>
            </w:pPr>
            <w:r>
              <w:rPr>
                <w:rFonts w:hint="eastAsia"/>
                <w:szCs w:val="20"/>
              </w:rPr>
              <w:t>本月</w:t>
            </w:r>
            <w:r>
              <w:rPr>
                <w:rFonts w:hint="eastAsia"/>
              </w:rPr>
              <w:t>利润总额</w:t>
            </w:r>
          </w:p>
        </w:tc>
        <w:tc>
          <w:tcPr>
            <w:tcW w:w="6685" w:type="dxa"/>
            <w:shd w:val="clear" w:color="auto" w:fill="auto"/>
            <w:noWrap/>
          </w:tcPr>
          <w:p w14:paraId="7E42E28C" w14:textId="77777777" w:rsidR="00A052DC" w:rsidRDefault="009F0A60">
            <w:pPr>
              <w:pStyle w:val="B"/>
              <w:widowControl w:val="0"/>
              <w:rPr>
                <w:szCs w:val="20"/>
              </w:rPr>
            </w:pPr>
            <w:r>
              <w:rPr>
                <w:rFonts w:hint="eastAsia"/>
                <w:szCs w:val="20"/>
              </w:rPr>
              <w:t>指当月本机构合并损益表中的“利润总额（税前）”。</w:t>
            </w:r>
          </w:p>
        </w:tc>
      </w:tr>
      <w:tr w:rsidR="00A052DC" w14:paraId="70E8B72F" w14:textId="77777777">
        <w:trPr>
          <w:cantSplit/>
          <w:jc w:val="center"/>
        </w:trPr>
        <w:tc>
          <w:tcPr>
            <w:tcW w:w="1837" w:type="dxa"/>
            <w:shd w:val="clear" w:color="auto" w:fill="auto"/>
          </w:tcPr>
          <w:p w14:paraId="22C62B82" w14:textId="77777777" w:rsidR="00A052DC" w:rsidRDefault="009F0A60">
            <w:pPr>
              <w:pStyle w:val="B"/>
              <w:widowControl w:val="0"/>
              <w:rPr>
                <w:szCs w:val="20"/>
              </w:rPr>
            </w:pPr>
            <w:r>
              <w:rPr>
                <w:rFonts w:hint="eastAsia"/>
                <w:szCs w:val="20"/>
              </w:rPr>
              <w:t>本月</w:t>
            </w:r>
            <w:r>
              <w:rPr>
                <w:rFonts w:hint="eastAsia"/>
              </w:rPr>
              <w:t>净利润</w:t>
            </w:r>
          </w:p>
        </w:tc>
        <w:tc>
          <w:tcPr>
            <w:tcW w:w="6685" w:type="dxa"/>
            <w:shd w:val="clear" w:color="auto" w:fill="auto"/>
            <w:noWrap/>
          </w:tcPr>
          <w:p w14:paraId="277FE7B4" w14:textId="77777777" w:rsidR="00A052DC" w:rsidRDefault="009F0A60">
            <w:pPr>
              <w:pStyle w:val="B"/>
              <w:widowControl w:val="0"/>
              <w:rPr>
                <w:szCs w:val="20"/>
              </w:rPr>
            </w:pPr>
            <w:r>
              <w:rPr>
                <w:rFonts w:hint="eastAsia"/>
                <w:szCs w:val="20"/>
              </w:rPr>
              <w:t>指当月本机构合并损益表中的归属于本机构全体股东的净利润。</w:t>
            </w:r>
          </w:p>
        </w:tc>
      </w:tr>
      <w:tr w:rsidR="00A052DC" w14:paraId="37F297B1" w14:textId="77777777">
        <w:trPr>
          <w:cantSplit/>
          <w:jc w:val="center"/>
        </w:trPr>
        <w:tc>
          <w:tcPr>
            <w:tcW w:w="1837" w:type="dxa"/>
            <w:shd w:val="clear" w:color="auto" w:fill="auto"/>
          </w:tcPr>
          <w:p w14:paraId="2AC87B44" w14:textId="77777777" w:rsidR="00A052DC" w:rsidRDefault="009F0A60">
            <w:pPr>
              <w:pStyle w:val="B"/>
              <w:widowControl w:val="0"/>
              <w:rPr>
                <w:szCs w:val="20"/>
              </w:rPr>
            </w:pPr>
            <w:r>
              <w:rPr>
                <w:rFonts w:hint="eastAsia"/>
                <w:szCs w:val="20"/>
              </w:rPr>
              <w:t>本月</w:t>
            </w:r>
            <w:r>
              <w:rPr>
                <w:rFonts w:hint="eastAsia"/>
              </w:rPr>
              <w:t>本机构</w:t>
            </w:r>
            <w:r>
              <w:rPr>
                <w:rFonts w:hint="eastAsia"/>
                <w:szCs w:val="20"/>
              </w:rPr>
              <w:t>宣告分配给</w:t>
            </w:r>
            <w:r>
              <w:rPr>
                <w:rFonts w:hint="eastAsia"/>
              </w:rPr>
              <w:t>全体股东的利润</w:t>
            </w:r>
          </w:p>
        </w:tc>
        <w:tc>
          <w:tcPr>
            <w:tcW w:w="6685" w:type="dxa"/>
            <w:shd w:val="clear" w:color="auto" w:fill="auto"/>
            <w:noWrap/>
          </w:tcPr>
          <w:p w14:paraId="682D9679" w14:textId="77777777" w:rsidR="00A052DC" w:rsidRDefault="009F0A60">
            <w:pPr>
              <w:pStyle w:val="B"/>
              <w:widowControl w:val="0"/>
              <w:rPr>
                <w:szCs w:val="20"/>
              </w:rPr>
            </w:pPr>
            <w:r>
              <w:rPr>
                <w:rFonts w:hint="eastAsia"/>
                <w:szCs w:val="20"/>
              </w:rPr>
              <w:t>指当月本机构宣告分配给本机构全体股东的利润。</w:t>
            </w:r>
          </w:p>
        </w:tc>
      </w:tr>
      <w:tr w:rsidR="00A052DC" w14:paraId="7425FD7C" w14:textId="77777777">
        <w:trPr>
          <w:cantSplit/>
          <w:jc w:val="center"/>
        </w:trPr>
        <w:tc>
          <w:tcPr>
            <w:tcW w:w="1837" w:type="dxa"/>
            <w:shd w:val="clear" w:color="auto" w:fill="auto"/>
          </w:tcPr>
          <w:p w14:paraId="70B2452D" w14:textId="77777777" w:rsidR="00A052DC" w:rsidRDefault="009F0A60">
            <w:pPr>
              <w:pStyle w:val="B"/>
              <w:widowControl w:val="0"/>
              <w:rPr>
                <w:szCs w:val="20"/>
              </w:rPr>
            </w:pPr>
            <w:r>
              <w:rPr>
                <w:rFonts w:hint="eastAsia"/>
                <w:szCs w:val="20"/>
              </w:rPr>
              <w:t>本机构在境内缴纳的税金总额</w:t>
            </w:r>
          </w:p>
        </w:tc>
        <w:tc>
          <w:tcPr>
            <w:tcW w:w="6685" w:type="dxa"/>
            <w:shd w:val="clear" w:color="auto" w:fill="auto"/>
            <w:noWrap/>
          </w:tcPr>
          <w:p w14:paraId="0214D46D" w14:textId="77777777" w:rsidR="00A052DC" w:rsidRDefault="009F0A60">
            <w:pPr>
              <w:pStyle w:val="B"/>
              <w:widowControl w:val="0"/>
              <w:rPr>
                <w:szCs w:val="20"/>
              </w:rPr>
            </w:pPr>
            <w:r>
              <w:rPr>
                <w:rFonts w:hint="eastAsia"/>
                <w:szCs w:val="20"/>
              </w:rPr>
              <w:t>指对应年末，被境外投资者控股（持股＞</w:t>
            </w:r>
            <w:r>
              <w:rPr>
                <w:szCs w:val="20"/>
              </w:rPr>
              <w:t>50%</w:t>
            </w:r>
            <w:r>
              <w:rPr>
                <w:rFonts w:hint="eastAsia"/>
                <w:szCs w:val="20"/>
              </w:rPr>
              <w:t>）的本机构按照中国大陆法律规定，在当地缴纳的各项税金之和，为当年累计发生数，按本机构会计账的记账本位币填列；</w:t>
            </w:r>
            <w:r>
              <w:rPr>
                <w:rFonts w:hint="eastAsia"/>
                <w:color w:val="000000"/>
                <w:szCs w:val="20"/>
              </w:rPr>
              <w:t>每年填报一次，仅需在报送</w:t>
            </w:r>
            <w:r>
              <w:rPr>
                <w:color w:val="000000"/>
                <w:szCs w:val="20"/>
              </w:rPr>
              <w:t>12月报表时填列本年</w:t>
            </w:r>
            <w:r>
              <w:rPr>
                <w:rFonts w:hint="eastAsia"/>
                <w:color w:val="000000"/>
                <w:szCs w:val="20"/>
              </w:rPr>
              <w:t>发生额</w:t>
            </w:r>
            <w:r>
              <w:rPr>
                <w:rFonts w:hint="eastAsia"/>
                <w:szCs w:val="20"/>
              </w:rPr>
              <w:t>。如本机构未被境外投资者控股（持股≤</w:t>
            </w:r>
            <w:r>
              <w:rPr>
                <w:szCs w:val="20"/>
              </w:rPr>
              <w:t>50%</w:t>
            </w:r>
            <w:r>
              <w:rPr>
                <w:rFonts w:hint="eastAsia"/>
                <w:szCs w:val="20"/>
              </w:rPr>
              <w:t>），不填报此项目。</w:t>
            </w:r>
          </w:p>
        </w:tc>
      </w:tr>
      <w:tr w:rsidR="00A052DC" w14:paraId="553F830A" w14:textId="77777777">
        <w:trPr>
          <w:cantSplit/>
          <w:jc w:val="center"/>
        </w:trPr>
        <w:tc>
          <w:tcPr>
            <w:tcW w:w="1837" w:type="dxa"/>
            <w:shd w:val="clear" w:color="auto" w:fill="auto"/>
          </w:tcPr>
          <w:p w14:paraId="707A7E79" w14:textId="77777777" w:rsidR="00A052DC" w:rsidRDefault="009F0A60">
            <w:pPr>
              <w:pStyle w:val="B"/>
              <w:widowControl w:val="0"/>
              <w:rPr>
                <w:szCs w:val="20"/>
              </w:rPr>
            </w:pPr>
            <w:r>
              <w:rPr>
                <w:rFonts w:hint="eastAsia"/>
                <w:szCs w:val="20"/>
              </w:rPr>
              <w:t>年末从业人数</w:t>
            </w:r>
            <w:r>
              <w:rPr>
                <w:szCs w:val="20"/>
              </w:rPr>
              <w:t>(</w:t>
            </w:r>
            <w:r>
              <w:rPr>
                <w:rFonts w:hint="eastAsia"/>
                <w:szCs w:val="20"/>
              </w:rPr>
              <w:t>人</w:t>
            </w:r>
            <w:r>
              <w:rPr>
                <w:szCs w:val="20"/>
              </w:rPr>
              <w:t>)</w:t>
            </w:r>
          </w:p>
        </w:tc>
        <w:tc>
          <w:tcPr>
            <w:tcW w:w="6685" w:type="dxa"/>
            <w:shd w:val="clear" w:color="auto" w:fill="auto"/>
            <w:noWrap/>
          </w:tcPr>
          <w:p w14:paraId="2652E59D" w14:textId="77777777" w:rsidR="00A052DC" w:rsidRDefault="009F0A60">
            <w:pPr>
              <w:pStyle w:val="B"/>
              <w:widowControl w:val="0"/>
              <w:rPr>
                <w:szCs w:val="20"/>
              </w:rPr>
            </w:pPr>
            <w:r>
              <w:rPr>
                <w:rFonts w:hint="eastAsia"/>
                <w:szCs w:val="20"/>
              </w:rPr>
              <w:t>指对应年末，被境外投资者控股（持股＞</w:t>
            </w:r>
            <w:r>
              <w:rPr>
                <w:szCs w:val="20"/>
              </w:rPr>
              <w:t>50%</w:t>
            </w:r>
            <w:r>
              <w:rPr>
                <w:rFonts w:hint="eastAsia"/>
                <w:szCs w:val="20"/>
              </w:rPr>
              <w:t>）的本机构雇用的员工总数，每年填报一次，仅需在报送</w:t>
            </w:r>
            <w:r>
              <w:rPr>
                <w:szCs w:val="20"/>
              </w:rPr>
              <w:t>12月报表时填列本年末数</w:t>
            </w:r>
            <w:r>
              <w:rPr>
                <w:rFonts w:hint="eastAsia"/>
                <w:szCs w:val="20"/>
              </w:rPr>
              <w:t>。如本机构未被境外投资者控股（持股≤</w:t>
            </w:r>
            <w:r>
              <w:rPr>
                <w:szCs w:val="20"/>
              </w:rPr>
              <w:t>50%</w:t>
            </w:r>
            <w:r>
              <w:rPr>
                <w:rFonts w:hint="eastAsia"/>
                <w:szCs w:val="20"/>
              </w:rPr>
              <w:t>），不填报此项目。</w:t>
            </w:r>
          </w:p>
        </w:tc>
      </w:tr>
      <w:tr w:rsidR="00A052DC" w14:paraId="58FC0CD4" w14:textId="77777777">
        <w:trPr>
          <w:cantSplit/>
          <w:jc w:val="center"/>
        </w:trPr>
        <w:tc>
          <w:tcPr>
            <w:tcW w:w="1837" w:type="dxa"/>
          </w:tcPr>
          <w:p w14:paraId="0092E9A8" w14:textId="77777777" w:rsidR="00A052DC" w:rsidRDefault="009F0A60">
            <w:pPr>
              <w:pStyle w:val="B"/>
              <w:widowControl w:val="0"/>
              <w:rPr>
                <w:szCs w:val="20"/>
              </w:rPr>
            </w:pPr>
            <w:r>
              <w:rPr>
                <w:rFonts w:hint="eastAsia"/>
                <w:szCs w:val="20"/>
              </w:rPr>
              <w:t>年末从业人数中的外方雇员数（人）</w:t>
            </w:r>
          </w:p>
        </w:tc>
        <w:tc>
          <w:tcPr>
            <w:tcW w:w="6685" w:type="dxa"/>
            <w:shd w:val="clear" w:color="auto" w:fill="auto"/>
            <w:noWrap/>
          </w:tcPr>
          <w:p w14:paraId="1F1A8F66" w14:textId="77777777" w:rsidR="00A052DC" w:rsidRDefault="009F0A60">
            <w:pPr>
              <w:pStyle w:val="B"/>
              <w:widowControl w:val="0"/>
              <w:rPr>
                <w:szCs w:val="20"/>
              </w:rPr>
            </w:pPr>
            <w:r>
              <w:rPr>
                <w:rFonts w:hint="eastAsia"/>
                <w:szCs w:val="20"/>
              </w:rPr>
              <w:t>外方雇员数（人）：指对应年末，被境外投资者控股（持股＞</w:t>
            </w:r>
            <w:r>
              <w:rPr>
                <w:szCs w:val="20"/>
              </w:rPr>
              <w:t>50%</w:t>
            </w:r>
            <w:r>
              <w:rPr>
                <w:rFonts w:hint="eastAsia"/>
                <w:szCs w:val="20"/>
              </w:rPr>
              <w:t>）的本机构所雇用的员工中，由外方投资者派出的雇员人数；</w:t>
            </w:r>
            <w:r>
              <w:rPr>
                <w:rFonts w:hint="eastAsia"/>
                <w:color w:val="000000"/>
                <w:szCs w:val="20"/>
              </w:rPr>
              <w:t>每年填报一次，仅需在报送</w:t>
            </w:r>
            <w:r>
              <w:rPr>
                <w:color w:val="000000"/>
                <w:szCs w:val="20"/>
              </w:rPr>
              <w:t>12月报表时填列本年末数</w:t>
            </w:r>
            <w:r>
              <w:rPr>
                <w:rFonts w:hint="eastAsia"/>
                <w:szCs w:val="20"/>
              </w:rPr>
              <w:t>。如本机构未被境外投资者控股（持股≤</w:t>
            </w:r>
            <w:r>
              <w:rPr>
                <w:szCs w:val="20"/>
              </w:rPr>
              <w:t>50%</w:t>
            </w:r>
            <w:r>
              <w:rPr>
                <w:rFonts w:hint="eastAsia"/>
                <w:szCs w:val="20"/>
              </w:rPr>
              <w:t>），不填报此项目。年末从业中外方雇员数（人）≤年末从业人数</w:t>
            </w:r>
            <w:r>
              <w:rPr>
                <w:szCs w:val="20"/>
              </w:rPr>
              <w:t>(</w:t>
            </w:r>
            <w:r>
              <w:rPr>
                <w:rFonts w:hint="eastAsia"/>
                <w:szCs w:val="20"/>
              </w:rPr>
              <w:t>总计</w:t>
            </w:r>
            <w:r>
              <w:rPr>
                <w:szCs w:val="20"/>
              </w:rPr>
              <w:t>)</w:t>
            </w:r>
            <w:r>
              <w:rPr>
                <w:rFonts w:hint="eastAsia"/>
                <w:szCs w:val="20"/>
              </w:rPr>
              <w:t>。</w:t>
            </w:r>
          </w:p>
        </w:tc>
      </w:tr>
      <w:tr w:rsidR="00A052DC" w14:paraId="5C1B96B0" w14:textId="77777777">
        <w:trPr>
          <w:cantSplit/>
          <w:jc w:val="center"/>
        </w:trPr>
        <w:tc>
          <w:tcPr>
            <w:tcW w:w="1837" w:type="dxa"/>
          </w:tcPr>
          <w:p w14:paraId="5884FF03" w14:textId="77777777" w:rsidR="00A052DC" w:rsidRDefault="009F0A60">
            <w:pPr>
              <w:pStyle w:val="B"/>
              <w:widowControl w:val="0"/>
              <w:rPr>
                <w:szCs w:val="20"/>
              </w:rPr>
            </w:pPr>
            <w:r>
              <w:rPr>
                <w:rFonts w:hint="eastAsia"/>
                <w:szCs w:val="20"/>
              </w:rPr>
              <w:t>备注</w:t>
            </w:r>
          </w:p>
        </w:tc>
        <w:tc>
          <w:tcPr>
            <w:tcW w:w="6685" w:type="dxa"/>
            <w:shd w:val="clear" w:color="auto" w:fill="auto"/>
            <w:noWrap/>
          </w:tcPr>
          <w:p w14:paraId="0137FE18" w14:textId="77777777" w:rsidR="00A052DC" w:rsidRDefault="009F0A60">
            <w:pPr>
              <w:pStyle w:val="B"/>
              <w:widowControl w:val="0"/>
              <w:rPr>
                <w:szCs w:val="20"/>
              </w:rPr>
            </w:pPr>
            <w:r>
              <w:rPr>
                <w:rFonts w:hint="eastAsia"/>
                <w:szCs w:val="20"/>
              </w:rPr>
              <w:t>需要说明的备注事项。</w:t>
            </w:r>
          </w:p>
        </w:tc>
      </w:tr>
    </w:tbl>
    <w:p w14:paraId="2970D214" w14:textId="77777777" w:rsidR="00A052DC" w:rsidRDefault="00A052DC"/>
    <w:p w14:paraId="68381D09" w14:textId="77777777" w:rsidR="00A052DC" w:rsidRDefault="009F0A60" w:rsidP="0020251D">
      <w:pPr>
        <w:pStyle w:val="4"/>
        <w:numPr>
          <w:ilvl w:val="3"/>
          <w:numId w:val="1"/>
        </w:numPr>
        <w:jc w:val="left"/>
      </w:pPr>
      <w:bookmarkStart w:id="3012" w:name="_Toc380570913"/>
      <w:bookmarkStart w:id="3013" w:name="_Toc454391241"/>
      <w:r>
        <w:rPr>
          <w:rFonts w:hint="eastAsia"/>
        </w:rPr>
        <w:t>数据格式</w:t>
      </w:r>
      <w:bookmarkEnd w:id="3012"/>
      <w:bookmarkEnd w:id="3013"/>
    </w:p>
    <w:p w14:paraId="4BBEBEF5" w14:textId="77777777" w:rsidR="00A052DC" w:rsidRDefault="009F0A60">
      <w:pPr>
        <w:ind w:leftChars="338" w:left="840" w:hangingChars="62" w:hanging="130"/>
      </w:pPr>
      <w:r>
        <w:t>&lt;REC&gt;</w:t>
      </w:r>
    </w:p>
    <w:p w14:paraId="6FB08AED" w14:textId="77777777" w:rsidR="00A052DC" w:rsidRDefault="009F0A60">
      <w:pPr>
        <w:ind w:leftChars="338" w:left="840" w:hangingChars="62" w:hanging="130"/>
      </w:pPr>
      <w:r>
        <w:rPr>
          <w:rFonts w:hint="eastAsia"/>
        </w:rPr>
        <w:t>&lt;ACTIONTYPE&gt;</w:t>
      </w:r>
      <w:r>
        <w:rPr>
          <w:rFonts w:hint="eastAsia"/>
        </w:rPr>
        <w:t>操作类型</w:t>
      </w:r>
      <w:r>
        <w:rPr>
          <w:rFonts w:hint="eastAsia"/>
        </w:rPr>
        <w:t>&lt;/ACTIONTYPE&gt;</w:t>
      </w:r>
    </w:p>
    <w:p w14:paraId="62CEA2B4" w14:textId="77777777" w:rsidR="00A052DC" w:rsidRDefault="009F0A60">
      <w:pPr>
        <w:ind w:leftChars="338" w:left="840" w:hangingChars="62" w:hanging="130"/>
      </w:pPr>
      <w:r>
        <w:rPr>
          <w:rFonts w:hint="eastAsia"/>
        </w:rPr>
        <w:t>&lt;ACTIONDESC&gt;</w:t>
      </w:r>
      <w:r>
        <w:rPr>
          <w:rFonts w:hint="eastAsia"/>
        </w:rPr>
        <w:t>删除原因</w:t>
      </w:r>
      <w:r>
        <w:rPr>
          <w:rFonts w:hint="eastAsia"/>
        </w:rPr>
        <w:t>&lt;/ACTIONDESC&gt;</w:t>
      </w:r>
    </w:p>
    <w:p w14:paraId="2C44AFEE" w14:textId="77777777" w:rsidR="00A052DC" w:rsidRDefault="009F0A60">
      <w:pPr>
        <w:ind w:leftChars="338" w:left="840" w:hangingChars="62" w:hanging="130"/>
      </w:pPr>
      <w:r>
        <w:rPr>
          <w:rFonts w:hint="eastAsia"/>
        </w:rPr>
        <w:t>&lt;SNOCODE&gt;</w:t>
      </w:r>
      <w:r>
        <w:rPr>
          <w:rFonts w:hint="eastAsia"/>
        </w:rPr>
        <w:t>数据自编码</w:t>
      </w:r>
      <w:r>
        <w:rPr>
          <w:rFonts w:hint="eastAsia"/>
        </w:rPr>
        <w:t>&lt;/SNOCODE&gt;</w:t>
      </w:r>
    </w:p>
    <w:p w14:paraId="621DFD73" w14:textId="77777777" w:rsidR="00A052DC" w:rsidRDefault="009F0A60">
      <w:pPr>
        <w:ind w:leftChars="338" w:left="840" w:hangingChars="62" w:hanging="130"/>
      </w:pPr>
      <w:r>
        <w:rPr>
          <w:rFonts w:hint="eastAsia"/>
        </w:rPr>
        <w:t>&lt;OBJCODE&gt;</w:t>
      </w:r>
      <w:r>
        <w:rPr>
          <w:rFonts w:hint="eastAsia"/>
        </w:rPr>
        <w:t>申报主体代码</w:t>
      </w:r>
      <w:r>
        <w:rPr>
          <w:rFonts w:hint="eastAsia"/>
        </w:rPr>
        <w:t>&lt;/OBJCODE&gt;</w:t>
      </w:r>
    </w:p>
    <w:p w14:paraId="33910343" w14:textId="77777777" w:rsidR="00A052DC" w:rsidRDefault="009F0A60">
      <w:pPr>
        <w:ind w:leftChars="338" w:left="840" w:hangingChars="62" w:hanging="130"/>
      </w:pPr>
      <w:r>
        <w:rPr>
          <w:rFonts w:hint="eastAsia"/>
        </w:rPr>
        <w:t>&lt;BUOCMONTH&gt;</w:t>
      </w:r>
      <w:r>
        <w:rPr>
          <w:rFonts w:hint="eastAsia"/>
        </w:rPr>
        <w:t>报告期</w:t>
      </w:r>
      <w:r>
        <w:rPr>
          <w:rFonts w:hint="eastAsia"/>
        </w:rPr>
        <w:t>&lt;/BUOCMONTH&gt;</w:t>
      </w:r>
    </w:p>
    <w:p w14:paraId="5D36FD0D" w14:textId="77777777" w:rsidR="00A052DC" w:rsidRDefault="009F0A60">
      <w:pPr>
        <w:ind w:leftChars="338" w:left="840" w:hangingChars="62" w:hanging="130"/>
      </w:pPr>
      <w:r>
        <w:rPr>
          <w:rFonts w:hint="eastAsia"/>
        </w:rPr>
        <w:t>&lt;A0201&gt;</w:t>
      </w:r>
      <w:r>
        <w:rPr>
          <w:rFonts w:hint="eastAsia"/>
        </w:rPr>
        <w:t>期末会计记账币种（原币）</w:t>
      </w:r>
      <w:r>
        <w:rPr>
          <w:rFonts w:hint="eastAsia"/>
        </w:rPr>
        <w:t>&lt;</w:t>
      </w:r>
      <w:r w:rsidR="009115A2">
        <w:rPr>
          <w:rFonts w:hint="eastAsia"/>
        </w:rPr>
        <w:t>/</w:t>
      </w:r>
      <w:r>
        <w:rPr>
          <w:rFonts w:hint="eastAsia"/>
        </w:rPr>
        <w:t>A0201&gt;</w:t>
      </w:r>
    </w:p>
    <w:p w14:paraId="2196C227" w14:textId="77777777" w:rsidR="00A052DC" w:rsidRDefault="009F0A60">
      <w:pPr>
        <w:ind w:leftChars="338" w:left="840" w:hangingChars="62" w:hanging="130"/>
      </w:pPr>
      <w:r>
        <w:rPr>
          <w:rFonts w:hint="eastAsia"/>
        </w:rPr>
        <w:t>&lt;A0202&gt;</w:t>
      </w:r>
      <w:r>
        <w:rPr>
          <w:rFonts w:hint="eastAsia"/>
        </w:rPr>
        <w:t>期末资产</w:t>
      </w:r>
      <w:r>
        <w:rPr>
          <w:rFonts w:hint="eastAsia"/>
        </w:rPr>
        <w:t>&lt;</w:t>
      </w:r>
      <w:r w:rsidR="009115A2">
        <w:rPr>
          <w:rFonts w:hint="eastAsia"/>
        </w:rPr>
        <w:t>/</w:t>
      </w:r>
      <w:r>
        <w:rPr>
          <w:rFonts w:hint="eastAsia"/>
        </w:rPr>
        <w:t>A0202&gt;</w:t>
      </w:r>
    </w:p>
    <w:p w14:paraId="2FA31142" w14:textId="77777777" w:rsidR="00A052DC" w:rsidRDefault="009F0A60">
      <w:pPr>
        <w:ind w:leftChars="338" w:left="840" w:hangingChars="62" w:hanging="130"/>
      </w:pPr>
      <w:r>
        <w:rPr>
          <w:rFonts w:hint="eastAsia"/>
        </w:rPr>
        <w:t>&lt;A0203&gt;</w:t>
      </w:r>
      <w:r>
        <w:rPr>
          <w:rFonts w:hint="eastAsia"/>
        </w:rPr>
        <w:t>期末负债</w:t>
      </w:r>
      <w:r>
        <w:rPr>
          <w:rFonts w:hint="eastAsia"/>
        </w:rPr>
        <w:t>&lt;</w:t>
      </w:r>
      <w:r w:rsidR="009115A2">
        <w:rPr>
          <w:rFonts w:hint="eastAsia"/>
        </w:rPr>
        <w:t>/</w:t>
      </w:r>
      <w:r>
        <w:rPr>
          <w:rFonts w:hint="eastAsia"/>
        </w:rPr>
        <w:t>A0203&gt;</w:t>
      </w:r>
    </w:p>
    <w:p w14:paraId="1DD9E892" w14:textId="77777777" w:rsidR="00A052DC" w:rsidRDefault="009F0A60">
      <w:pPr>
        <w:ind w:leftChars="338" w:left="840" w:hangingChars="62" w:hanging="130"/>
      </w:pPr>
      <w:r>
        <w:rPr>
          <w:rFonts w:hint="eastAsia"/>
        </w:rPr>
        <w:t>&lt;A0204&gt;</w:t>
      </w:r>
      <w:r>
        <w:rPr>
          <w:rFonts w:hint="eastAsia"/>
        </w:rPr>
        <w:t>期末负债中境外母公司拨付的营运资金</w:t>
      </w:r>
      <w:r>
        <w:rPr>
          <w:rFonts w:hint="eastAsia"/>
        </w:rPr>
        <w:t>&lt;</w:t>
      </w:r>
      <w:r w:rsidR="009115A2">
        <w:rPr>
          <w:rFonts w:hint="eastAsia"/>
        </w:rPr>
        <w:t>/</w:t>
      </w:r>
      <w:r>
        <w:rPr>
          <w:rFonts w:hint="eastAsia"/>
        </w:rPr>
        <w:t>A0204&gt;</w:t>
      </w:r>
    </w:p>
    <w:p w14:paraId="4BBBE97A" w14:textId="77777777" w:rsidR="00A052DC" w:rsidRDefault="009F0A60">
      <w:pPr>
        <w:ind w:leftChars="338" w:left="840" w:hangingChars="62" w:hanging="130"/>
      </w:pPr>
      <w:r>
        <w:t>&lt;A0205&gt;</w:t>
      </w:r>
      <w:r>
        <w:rPr>
          <w:rFonts w:hint="eastAsia"/>
        </w:rPr>
        <w:t>期末归属于本机构所有者的权益</w:t>
      </w:r>
      <w:r>
        <w:t>&lt;</w:t>
      </w:r>
      <w:r w:rsidR="009115A2">
        <w:rPr>
          <w:rFonts w:hint="eastAsia"/>
        </w:rPr>
        <w:t>/</w:t>
      </w:r>
      <w:r>
        <w:t>A0205&gt;</w:t>
      </w:r>
    </w:p>
    <w:p w14:paraId="02F8CF41" w14:textId="77777777" w:rsidR="00A052DC" w:rsidRDefault="009F0A60">
      <w:pPr>
        <w:ind w:leftChars="338" w:left="840" w:hangingChars="62" w:hanging="130"/>
      </w:pPr>
      <w:r>
        <w:t>&lt;A0206&gt;</w:t>
      </w:r>
      <w:r>
        <w:rPr>
          <w:rFonts w:hint="eastAsia"/>
        </w:rPr>
        <w:t>实收资本</w:t>
      </w:r>
      <w:r>
        <w:t>&lt;</w:t>
      </w:r>
      <w:r w:rsidR="009115A2">
        <w:rPr>
          <w:rFonts w:hint="eastAsia"/>
        </w:rPr>
        <w:t>/</w:t>
      </w:r>
      <w:r>
        <w:t>A0206&gt;</w:t>
      </w:r>
    </w:p>
    <w:p w14:paraId="1E33B39A" w14:textId="77777777" w:rsidR="00A052DC" w:rsidRDefault="009F0A60">
      <w:pPr>
        <w:ind w:leftChars="338" w:left="840" w:hangingChars="62" w:hanging="130"/>
      </w:pPr>
      <w:r>
        <w:t>&lt;A0207&gt;</w:t>
      </w:r>
      <w:r>
        <w:rPr>
          <w:rFonts w:hint="eastAsia"/>
        </w:rPr>
        <w:t>资本公积</w:t>
      </w:r>
      <w:r>
        <w:t>&lt;</w:t>
      </w:r>
      <w:r w:rsidR="009115A2">
        <w:rPr>
          <w:rFonts w:hint="eastAsia"/>
        </w:rPr>
        <w:t>/</w:t>
      </w:r>
      <w:r>
        <w:t>A0207&gt;</w:t>
      </w:r>
    </w:p>
    <w:p w14:paraId="407DDD42" w14:textId="77777777" w:rsidR="00A052DC" w:rsidRDefault="009F0A60">
      <w:pPr>
        <w:ind w:leftChars="338" w:left="840" w:hangingChars="62" w:hanging="130"/>
      </w:pPr>
      <w:r>
        <w:t>&lt;A0208&gt;</w:t>
      </w:r>
      <w:r>
        <w:rPr>
          <w:rFonts w:hint="eastAsia"/>
        </w:rPr>
        <w:t>盈余公积</w:t>
      </w:r>
      <w:r>
        <w:t>&lt;</w:t>
      </w:r>
      <w:r w:rsidR="009115A2">
        <w:rPr>
          <w:rFonts w:hint="eastAsia"/>
        </w:rPr>
        <w:t>/</w:t>
      </w:r>
      <w:r>
        <w:t>A0208&gt;</w:t>
      </w:r>
    </w:p>
    <w:p w14:paraId="379E144E" w14:textId="77777777" w:rsidR="00A052DC" w:rsidRDefault="009F0A60">
      <w:pPr>
        <w:ind w:leftChars="338" w:left="840" w:hangingChars="62" w:hanging="130"/>
      </w:pPr>
      <w:r>
        <w:t>&lt;A0209&gt;</w:t>
      </w:r>
      <w:r>
        <w:rPr>
          <w:rFonts w:hint="eastAsia"/>
        </w:rPr>
        <w:t>未分配利润</w:t>
      </w:r>
      <w:r>
        <w:t>&lt;</w:t>
      </w:r>
      <w:r w:rsidR="009115A2">
        <w:rPr>
          <w:rFonts w:hint="eastAsia"/>
        </w:rPr>
        <w:t>/</w:t>
      </w:r>
      <w:r>
        <w:t>A0209&gt;</w:t>
      </w:r>
    </w:p>
    <w:p w14:paraId="467DBA52" w14:textId="77777777" w:rsidR="00A052DC" w:rsidRDefault="009F0A60">
      <w:pPr>
        <w:ind w:leftChars="338" w:left="840" w:hangingChars="62" w:hanging="130"/>
      </w:pPr>
      <w:r>
        <w:t>&lt;A0210&gt;</w:t>
      </w:r>
      <w:r>
        <w:rPr>
          <w:rFonts w:hint="eastAsia"/>
        </w:rPr>
        <w:t>其他</w:t>
      </w:r>
      <w:r>
        <w:t>&lt;</w:t>
      </w:r>
      <w:r w:rsidR="009115A2">
        <w:rPr>
          <w:rFonts w:hint="eastAsia"/>
        </w:rPr>
        <w:t>/</w:t>
      </w:r>
      <w:r>
        <w:t>A0210&gt;</w:t>
      </w:r>
    </w:p>
    <w:p w14:paraId="6061A84A" w14:textId="77777777" w:rsidR="00A052DC" w:rsidRDefault="009F0A60">
      <w:pPr>
        <w:ind w:leftChars="338" w:left="840" w:hangingChars="62" w:hanging="130"/>
      </w:pPr>
      <w:r>
        <w:rPr>
          <w:rFonts w:hint="eastAsia"/>
        </w:rPr>
        <w:t>&lt;A0211&gt;</w:t>
      </w:r>
      <w:r>
        <w:rPr>
          <w:rFonts w:hint="eastAsia"/>
        </w:rPr>
        <w:t>期末少数股东权益</w:t>
      </w:r>
      <w:r>
        <w:rPr>
          <w:rFonts w:hint="eastAsia"/>
        </w:rPr>
        <w:t>&lt;</w:t>
      </w:r>
      <w:r w:rsidR="009115A2">
        <w:rPr>
          <w:rFonts w:hint="eastAsia"/>
        </w:rPr>
        <w:t>/</w:t>
      </w:r>
      <w:r>
        <w:rPr>
          <w:rFonts w:hint="eastAsia"/>
        </w:rPr>
        <w:t>A0211&gt;</w:t>
      </w:r>
    </w:p>
    <w:p w14:paraId="1D820A2F" w14:textId="77777777" w:rsidR="00A052DC" w:rsidRDefault="009F0A60">
      <w:pPr>
        <w:ind w:leftChars="338" w:left="840" w:hangingChars="62" w:hanging="130"/>
      </w:pPr>
      <w:r>
        <w:t>&lt;A0212&gt;</w:t>
      </w:r>
      <w:r>
        <w:rPr>
          <w:rFonts w:hint="eastAsia"/>
        </w:rPr>
        <w:t>本月利润总额</w:t>
      </w:r>
      <w:r>
        <w:t>&lt;</w:t>
      </w:r>
      <w:r w:rsidR="009115A2">
        <w:rPr>
          <w:rFonts w:hint="eastAsia"/>
        </w:rPr>
        <w:t>/</w:t>
      </w:r>
      <w:r>
        <w:t>A0212&gt;</w:t>
      </w:r>
    </w:p>
    <w:p w14:paraId="20CD64C0" w14:textId="77777777" w:rsidR="00A052DC" w:rsidRDefault="009F0A60">
      <w:pPr>
        <w:ind w:leftChars="338" w:left="840" w:hangingChars="62" w:hanging="130"/>
      </w:pPr>
      <w:r>
        <w:t>&lt;A0213&gt;</w:t>
      </w:r>
      <w:r>
        <w:rPr>
          <w:rFonts w:hint="eastAsia"/>
        </w:rPr>
        <w:t>本月净利润</w:t>
      </w:r>
      <w:r>
        <w:t>&lt;</w:t>
      </w:r>
      <w:r w:rsidR="009115A2">
        <w:rPr>
          <w:rFonts w:hint="eastAsia"/>
        </w:rPr>
        <w:t>/</w:t>
      </w:r>
      <w:r>
        <w:t>A0213&gt;</w:t>
      </w:r>
    </w:p>
    <w:p w14:paraId="029ECBA8" w14:textId="77777777" w:rsidR="00A052DC" w:rsidRDefault="009F0A60">
      <w:pPr>
        <w:ind w:leftChars="338" w:left="840" w:hangingChars="62" w:hanging="130"/>
      </w:pPr>
      <w:r>
        <w:t>&lt;A0214&gt;</w:t>
      </w:r>
      <w:r>
        <w:rPr>
          <w:rFonts w:hint="eastAsia"/>
        </w:rPr>
        <w:t>本月本机构宣告分配给全体股东的利润</w:t>
      </w:r>
      <w:r>
        <w:t>&lt;</w:t>
      </w:r>
      <w:r w:rsidR="009115A2">
        <w:rPr>
          <w:rFonts w:hint="eastAsia"/>
        </w:rPr>
        <w:t>/</w:t>
      </w:r>
      <w:r>
        <w:t>A0214&gt;</w:t>
      </w:r>
    </w:p>
    <w:p w14:paraId="20F79E76" w14:textId="77777777" w:rsidR="00A052DC" w:rsidRDefault="009F0A60">
      <w:pPr>
        <w:ind w:leftChars="338" w:left="840" w:hangingChars="62" w:hanging="130"/>
      </w:pPr>
      <w:r>
        <w:rPr>
          <w:rFonts w:hint="eastAsia"/>
        </w:rPr>
        <w:t>&lt;A0215&gt;</w:t>
      </w:r>
      <w:r>
        <w:rPr>
          <w:rFonts w:hint="eastAsia"/>
        </w:rPr>
        <w:t>本机构在境内缴纳的税金总额</w:t>
      </w:r>
      <w:r>
        <w:rPr>
          <w:rFonts w:hint="eastAsia"/>
        </w:rPr>
        <w:t>&lt;</w:t>
      </w:r>
      <w:r w:rsidR="009115A2">
        <w:rPr>
          <w:rFonts w:hint="eastAsia"/>
        </w:rPr>
        <w:t>/</w:t>
      </w:r>
      <w:r>
        <w:rPr>
          <w:rFonts w:hint="eastAsia"/>
        </w:rPr>
        <w:t>A0215&gt;</w:t>
      </w:r>
    </w:p>
    <w:p w14:paraId="5686D1B6" w14:textId="77777777" w:rsidR="00A052DC" w:rsidRDefault="009F0A60">
      <w:pPr>
        <w:ind w:leftChars="338" w:left="840" w:hangingChars="62" w:hanging="130"/>
      </w:pPr>
      <w:r>
        <w:rPr>
          <w:rFonts w:hint="eastAsia"/>
        </w:rPr>
        <w:t>&lt;A0216&gt;</w:t>
      </w:r>
      <w:r>
        <w:rPr>
          <w:rFonts w:hint="eastAsia"/>
        </w:rPr>
        <w:t>年末从业人数</w:t>
      </w:r>
      <w:r>
        <w:rPr>
          <w:rFonts w:hint="eastAsia"/>
        </w:rPr>
        <w:t>(</w:t>
      </w:r>
      <w:r>
        <w:rPr>
          <w:rFonts w:hint="eastAsia"/>
        </w:rPr>
        <w:t>人</w:t>
      </w:r>
      <w:r>
        <w:rPr>
          <w:rFonts w:hint="eastAsia"/>
        </w:rPr>
        <w:t>)&lt;</w:t>
      </w:r>
      <w:r w:rsidR="009115A2">
        <w:rPr>
          <w:rFonts w:hint="eastAsia"/>
        </w:rPr>
        <w:t>/</w:t>
      </w:r>
      <w:r>
        <w:rPr>
          <w:rFonts w:hint="eastAsia"/>
        </w:rPr>
        <w:t>A0216&gt;</w:t>
      </w:r>
    </w:p>
    <w:p w14:paraId="0D28107B" w14:textId="77777777" w:rsidR="00A052DC" w:rsidRDefault="009F0A60">
      <w:pPr>
        <w:ind w:leftChars="338" w:left="840" w:hangingChars="62" w:hanging="130"/>
      </w:pPr>
      <w:r>
        <w:rPr>
          <w:rFonts w:hint="eastAsia"/>
        </w:rPr>
        <w:t>&lt;A0217&gt;</w:t>
      </w:r>
      <w:r>
        <w:rPr>
          <w:rFonts w:hint="eastAsia"/>
        </w:rPr>
        <w:t>年末从业人数中的外方雇员数（人）</w:t>
      </w:r>
      <w:r>
        <w:rPr>
          <w:rFonts w:hint="eastAsia"/>
        </w:rPr>
        <w:t>&lt;</w:t>
      </w:r>
      <w:r w:rsidR="009115A2">
        <w:rPr>
          <w:rFonts w:hint="eastAsia"/>
        </w:rPr>
        <w:t>/</w:t>
      </w:r>
      <w:r>
        <w:rPr>
          <w:rFonts w:hint="eastAsia"/>
        </w:rPr>
        <w:t>A0217&gt;</w:t>
      </w:r>
    </w:p>
    <w:p w14:paraId="550CFE99" w14:textId="77777777" w:rsidR="00A052DC" w:rsidRDefault="009F0A60">
      <w:pPr>
        <w:ind w:leftChars="338" w:left="840" w:hangingChars="62" w:hanging="130"/>
      </w:pPr>
      <w:r>
        <w:rPr>
          <w:rFonts w:hint="eastAsia"/>
        </w:rPr>
        <w:t>&lt;REMARK&gt;</w:t>
      </w:r>
      <w:r>
        <w:rPr>
          <w:rFonts w:hint="eastAsia"/>
        </w:rPr>
        <w:t>备注</w:t>
      </w:r>
      <w:r>
        <w:rPr>
          <w:rFonts w:hint="eastAsia"/>
        </w:rPr>
        <w:t>&lt;/REMARK&gt;</w:t>
      </w:r>
    </w:p>
    <w:p w14:paraId="6E900B19" w14:textId="77777777" w:rsidR="00A052DC" w:rsidRDefault="009F0A60">
      <w:pPr>
        <w:ind w:leftChars="338" w:left="840" w:hangingChars="62" w:hanging="130"/>
      </w:pPr>
      <w:r>
        <w:t>&lt;/REC&gt;</w:t>
      </w:r>
    </w:p>
    <w:p w14:paraId="27069DEB" w14:textId="77777777" w:rsidR="00A052DC" w:rsidRDefault="009F0A60" w:rsidP="0020251D">
      <w:pPr>
        <w:pStyle w:val="4"/>
        <w:numPr>
          <w:ilvl w:val="3"/>
          <w:numId w:val="1"/>
        </w:numPr>
        <w:jc w:val="left"/>
      </w:pPr>
      <w:bookmarkStart w:id="3014" w:name="_Toc380570914"/>
      <w:bookmarkStart w:id="3015" w:name="_Toc454391242"/>
      <w:r>
        <w:rPr>
          <w:rFonts w:hint="eastAsia"/>
        </w:rPr>
        <w:t>数据字典</w:t>
      </w:r>
      <w:bookmarkEnd w:id="3014"/>
      <w:bookmarkEnd w:id="3015"/>
    </w:p>
    <w:tbl>
      <w:tblPr>
        <w:tblW w:w="8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6"/>
        <w:gridCol w:w="1699"/>
        <w:gridCol w:w="1380"/>
        <w:gridCol w:w="4022"/>
      </w:tblGrid>
      <w:tr w:rsidR="00A052DC" w14:paraId="2B05AA60" w14:textId="77777777">
        <w:trPr>
          <w:tblHeader/>
          <w:jc w:val="center"/>
        </w:trPr>
        <w:tc>
          <w:tcPr>
            <w:tcW w:w="1216" w:type="dxa"/>
            <w:shd w:val="clear" w:color="auto" w:fill="C0C0C0"/>
            <w:noWrap/>
          </w:tcPr>
          <w:p w14:paraId="43E50023" w14:textId="77777777" w:rsidR="00A052DC" w:rsidRDefault="009F0A60">
            <w:pPr>
              <w:pStyle w:val="B1"/>
            </w:pPr>
            <w:r>
              <w:rPr>
                <w:rFonts w:hint="eastAsia"/>
              </w:rPr>
              <w:t>字段</w:t>
            </w:r>
          </w:p>
        </w:tc>
        <w:tc>
          <w:tcPr>
            <w:tcW w:w="1699" w:type="dxa"/>
            <w:shd w:val="clear" w:color="auto" w:fill="C0C0C0"/>
            <w:noWrap/>
          </w:tcPr>
          <w:p w14:paraId="4343084B" w14:textId="77777777" w:rsidR="00A052DC" w:rsidRDefault="009F0A60">
            <w:pPr>
              <w:pStyle w:val="B1"/>
            </w:pPr>
            <w:r>
              <w:rPr>
                <w:rFonts w:hint="eastAsia"/>
              </w:rPr>
              <w:t>内容</w:t>
            </w:r>
          </w:p>
        </w:tc>
        <w:tc>
          <w:tcPr>
            <w:tcW w:w="1380" w:type="dxa"/>
            <w:shd w:val="clear" w:color="auto" w:fill="C0C0C0"/>
            <w:noWrap/>
          </w:tcPr>
          <w:p w14:paraId="7DA20D51" w14:textId="77777777" w:rsidR="00A052DC" w:rsidRDefault="009F0A60">
            <w:pPr>
              <w:pStyle w:val="B1"/>
            </w:pPr>
            <w:r>
              <w:rPr>
                <w:rFonts w:hint="eastAsia"/>
              </w:rPr>
              <w:t>类型（长度）</w:t>
            </w:r>
          </w:p>
        </w:tc>
        <w:tc>
          <w:tcPr>
            <w:tcW w:w="4022" w:type="dxa"/>
            <w:shd w:val="clear" w:color="auto" w:fill="C0C0C0"/>
          </w:tcPr>
          <w:p w14:paraId="4CE5E817" w14:textId="77777777" w:rsidR="00A052DC" w:rsidRDefault="009F0A60">
            <w:pPr>
              <w:pStyle w:val="B1"/>
            </w:pPr>
            <w:r>
              <w:rPr>
                <w:rFonts w:hint="eastAsia"/>
              </w:rPr>
              <w:t>校验</w:t>
            </w:r>
          </w:p>
        </w:tc>
      </w:tr>
      <w:tr w:rsidR="00A052DC" w14:paraId="4CF28FAE" w14:textId="77777777">
        <w:trPr>
          <w:jc w:val="center"/>
        </w:trPr>
        <w:tc>
          <w:tcPr>
            <w:tcW w:w="1216" w:type="dxa"/>
            <w:shd w:val="clear" w:color="auto" w:fill="auto"/>
            <w:noWrap/>
          </w:tcPr>
          <w:p w14:paraId="1365ED8F" w14:textId="77777777" w:rsidR="00A052DC" w:rsidRDefault="009F0A60">
            <w:pPr>
              <w:pStyle w:val="B"/>
              <w:rPr>
                <w:szCs w:val="20"/>
              </w:rPr>
            </w:pPr>
            <w:r>
              <w:rPr>
                <w:szCs w:val="20"/>
              </w:rPr>
              <w:t>ACTIONTYPE</w:t>
            </w:r>
          </w:p>
        </w:tc>
        <w:tc>
          <w:tcPr>
            <w:tcW w:w="1699" w:type="dxa"/>
            <w:shd w:val="clear" w:color="auto" w:fill="auto"/>
          </w:tcPr>
          <w:p w14:paraId="485741C5" w14:textId="77777777" w:rsidR="00A052DC" w:rsidRDefault="009F0A60">
            <w:pPr>
              <w:pStyle w:val="B"/>
              <w:rPr>
                <w:szCs w:val="20"/>
              </w:rPr>
            </w:pPr>
            <w:r>
              <w:rPr>
                <w:rFonts w:hint="eastAsia"/>
                <w:szCs w:val="20"/>
              </w:rPr>
              <w:t>操作类型</w:t>
            </w:r>
          </w:p>
        </w:tc>
        <w:tc>
          <w:tcPr>
            <w:tcW w:w="1380" w:type="dxa"/>
            <w:shd w:val="clear" w:color="auto" w:fill="auto"/>
            <w:noWrap/>
          </w:tcPr>
          <w:p w14:paraId="5682EC98" w14:textId="77777777" w:rsidR="00A052DC" w:rsidRDefault="009F0A60">
            <w:pPr>
              <w:pStyle w:val="B"/>
              <w:rPr>
                <w:szCs w:val="20"/>
              </w:rPr>
            </w:pPr>
            <w:r>
              <w:rPr>
                <w:rFonts w:hint="eastAsia"/>
                <w:szCs w:val="20"/>
              </w:rPr>
              <w:t>字符型，</w:t>
            </w:r>
            <w:r>
              <w:rPr>
                <w:szCs w:val="20"/>
              </w:rPr>
              <w:t>1</w:t>
            </w:r>
          </w:p>
        </w:tc>
        <w:tc>
          <w:tcPr>
            <w:tcW w:w="4022" w:type="dxa"/>
          </w:tcPr>
          <w:p w14:paraId="77BB6EBD" w14:textId="77777777" w:rsidR="00A052DC" w:rsidRDefault="009F0A60">
            <w:pPr>
              <w:pStyle w:val="B"/>
              <w:rPr>
                <w:szCs w:val="20"/>
              </w:rPr>
            </w:pPr>
            <w:r>
              <w:rPr>
                <w:rFonts w:hint="eastAsia"/>
                <w:szCs w:val="20"/>
              </w:rPr>
              <w:t>必填项</w:t>
            </w:r>
            <w:r w:rsidR="00FE361F">
              <w:rPr>
                <w:rFonts w:hint="eastAsia"/>
                <w:szCs w:val="20"/>
              </w:rPr>
              <w:t>。</w:t>
            </w:r>
          </w:p>
          <w:p w14:paraId="6C943B99" w14:textId="77777777" w:rsidR="00A052DC" w:rsidRDefault="009F0A60">
            <w:pPr>
              <w:pStyle w:val="B"/>
              <w:rPr>
                <w:szCs w:val="20"/>
              </w:rPr>
            </w:pPr>
            <w:r>
              <w:rPr>
                <w:szCs w:val="20"/>
              </w:rPr>
              <w:t>A</w:t>
            </w:r>
            <w:r w:rsidR="00AE4602">
              <w:rPr>
                <w:rFonts w:hint="eastAsia"/>
                <w:szCs w:val="20"/>
              </w:rPr>
              <w:t>-</w:t>
            </w:r>
            <w:r>
              <w:rPr>
                <w:rFonts w:hint="eastAsia"/>
                <w:szCs w:val="20"/>
              </w:rPr>
              <w:t>新建</w:t>
            </w:r>
          </w:p>
          <w:p w14:paraId="0DBF4F00" w14:textId="77777777" w:rsidR="00A052DC" w:rsidRDefault="009F0A60">
            <w:pPr>
              <w:pStyle w:val="B"/>
              <w:rPr>
                <w:szCs w:val="20"/>
              </w:rPr>
            </w:pPr>
            <w:r>
              <w:rPr>
                <w:szCs w:val="20"/>
              </w:rPr>
              <w:t>C</w:t>
            </w:r>
            <w:r w:rsidR="00AE4602">
              <w:rPr>
                <w:rFonts w:hint="eastAsia"/>
                <w:szCs w:val="20"/>
              </w:rPr>
              <w:t>-</w:t>
            </w:r>
            <w:r>
              <w:rPr>
                <w:rFonts w:hint="eastAsia"/>
                <w:szCs w:val="20"/>
              </w:rPr>
              <w:t>修改</w:t>
            </w:r>
          </w:p>
          <w:p w14:paraId="7F46748F" w14:textId="77777777" w:rsidR="00A052DC" w:rsidRDefault="009F0A60">
            <w:pPr>
              <w:pStyle w:val="B"/>
              <w:rPr>
                <w:szCs w:val="20"/>
              </w:rPr>
            </w:pPr>
            <w:r>
              <w:rPr>
                <w:szCs w:val="20"/>
              </w:rPr>
              <w:t>D</w:t>
            </w:r>
            <w:r w:rsidR="00AE4602">
              <w:rPr>
                <w:rFonts w:hint="eastAsia"/>
                <w:szCs w:val="20"/>
              </w:rPr>
              <w:t>-</w:t>
            </w:r>
            <w:r>
              <w:rPr>
                <w:rFonts w:hint="eastAsia"/>
                <w:szCs w:val="20"/>
              </w:rPr>
              <w:t>删除</w:t>
            </w:r>
          </w:p>
        </w:tc>
      </w:tr>
      <w:tr w:rsidR="00A052DC" w14:paraId="32D9D5CF" w14:textId="77777777">
        <w:trPr>
          <w:jc w:val="center"/>
        </w:trPr>
        <w:tc>
          <w:tcPr>
            <w:tcW w:w="1216" w:type="dxa"/>
            <w:shd w:val="clear" w:color="auto" w:fill="auto"/>
            <w:noWrap/>
          </w:tcPr>
          <w:p w14:paraId="107ED843" w14:textId="77777777" w:rsidR="00A052DC" w:rsidRDefault="009F0A60">
            <w:pPr>
              <w:pStyle w:val="B"/>
              <w:rPr>
                <w:szCs w:val="20"/>
              </w:rPr>
            </w:pPr>
            <w:r>
              <w:rPr>
                <w:szCs w:val="20"/>
              </w:rPr>
              <w:t>ACTIONDESC</w:t>
            </w:r>
          </w:p>
        </w:tc>
        <w:tc>
          <w:tcPr>
            <w:tcW w:w="1699" w:type="dxa"/>
            <w:shd w:val="clear" w:color="auto" w:fill="auto"/>
          </w:tcPr>
          <w:p w14:paraId="6D3B31D8" w14:textId="77777777" w:rsidR="00A052DC" w:rsidRDefault="009F0A60">
            <w:pPr>
              <w:pStyle w:val="B"/>
              <w:rPr>
                <w:szCs w:val="20"/>
              </w:rPr>
            </w:pPr>
            <w:r>
              <w:rPr>
                <w:rFonts w:hint="eastAsia"/>
                <w:szCs w:val="20"/>
              </w:rPr>
              <w:t>删除原因</w:t>
            </w:r>
          </w:p>
        </w:tc>
        <w:tc>
          <w:tcPr>
            <w:tcW w:w="1380" w:type="dxa"/>
            <w:shd w:val="clear" w:color="auto" w:fill="auto"/>
            <w:noWrap/>
          </w:tcPr>
          <w:p w14:paraId="12F40B74" w14:textId="77777777" w:rsidR="00A052DC" w:rsidRDefault="009F0A60">
            <w:pPr>
              <w:pStyle w:val="B"/>
              <w:rPr>
                <w:szCs w:val="20"/>
              </w:rPr>
            </w:pPr>
            <w:r>
              <w:rPr>
                <w:rFonts w:hint="eastAsia"/>
                <w:szCs w:val="20"/>
              </w:rPr>
              <w:t>字符型，</w:t>
            </w:r>
            <w:r>
              <w:rPr>
                <w:szCs w:val="20"/>
              </w:rPr>
              <w:t>128</w:t>
            </w:r>
          </w:p>
        </w:tc>
        <w:tc>
          <w:tcPr>
            <w:tcW w:w="4022" w:type="dxa"/>
          </w:tcPr>
          <w:p w14:paraId="37682ED8" w14:textId="77777777" w:rsidR="00A052DC" w:rsidRDefault="00DD6AA3">
            <w:pPr>
              <w:pStyle w:val="B"/>
              <w:rPr>
                <w:szCs w:val="20"/>
              </w:rPr>
            </w:pPr>
            <w:r>
              <w:rPr>
                <w:rFonts w:hint="eastAsia"/>
                <w:szCs w:val="20"/>
              </w:rPr>
              <w:t>非必填项，当操作类型（ACTIONTYPE）为删除时必填。</w:t>
            </w:r>
          </w:p>
        </w:tc>
      </w:tr>
      <w:tr w:rsidR="00A052DC" w14:paraId="0A3221BD" w14:textId="77777777">
        <w:trPr>
          <w:jc w:val="center"/>
        </w:trPr>
        <w:tc>
          <w:tcPr>
            <w:tcW w:w="1216" w:type="dxa"/>
            <w:shd w:val="clear" w:color="auto" w:fill="auto"/>
            <w:noWrap/>
          </w:tcPr>
          <w:p w14:paraId="69EC28A9" w14:textId="77777777" w:rsidR="00A052DC" w:rsidRDefault="009F0A60">
            <w:pPr>
              <w:pStyle w:val="B"/>
              <w:rPr>
                <w:szCs w:val="20"/>
              </w:rPr>
            </w:pPr>
            <w:r>
              <w:rPr>
                <w:szCs w:val="20"/>
              </w:rPr>
              <w:t>SNOCODE</w:t>
            </w:r>
          </w:p>
        </w:tc>
        <w:tc>
          <w:tcPr>
            <w:tcW w:w="1699" w:type="dxa"/>
            <w:shd w:val="clear" w:color="auto" w:fill="auto"/>
          </w:tcPr>
          <w:p w14:paraId="23E0B9A8" w14:textId="77777777" w:rsidR="00A052DC" w:rsidRDefault="009F0A60">
            <w:pPr>
              <w:pStyle w:val="B"/>
              <w:rPr>
                <w:szCs w:val="20"/>
              </w:rPr>
            </w:pPr>
            <w:r>
              <w:rPr>
                <w:rFonts w:hint="eastAsia"/>
                <w:szCs w:val="20"/>
              </w:rPr>
              <w:t>数据自编码</w:t>
            </w:r>
          </w:p>
        </w:tc>
        <w:tc>
          <w:tcPr>
            <w:tcW w:w="1380" w:type="dxa"/>
            <w:shd w:val="clear" w:color="auto" w:fill="auto"/>
            <w:noWrap/>
          </w:tcPr>
          <w:p w14:paraId="7F3F28D6" w14:textId="77777777" w:rsidR="00A052DC" w:rsidRDefault="009F0A60">
            <w:pPr>
              <w:pStyle w:val="B"/>
              <w:rPr>
                <w:szCs w:val="20"/>
              </w:rPr>
            </w:pPr>
            <w:r>
              <w:rPr>
                <w:rFonts w:hint="eastAsia"/>
                <w:szCs w:val="20"/>
              </w:rPr>
              <w:t>字符型，</w:t>
            </w:r>
            <w:r>
              <w:rPr>
                <w:szCs w:val="20"/>
              </w:rPr>
              <w:t>3</w:t>
            </w:r>
            <w:r>
              <w:rPr>
                <w:rFonts w:hint="eastAsia"/>
                <w:szCs w:val="20"/>
              </w:rPr>
              <w:t>6</w:t>
            </w:r>
          </w:p>
        </w:tc>
        <w:tc>
          <w:tcPr>
            <w:tcW w:w="4022" w:type="dxa"/>
          </w:tcPr>
          <w:p w14:paraId="350E8C89" w14:textId="77777777" w:rsidR="00A052DC" w:rsidRDefault="009F0A60">
            <w:pPr>
              <w:pStyle w:val="B"/>
              <w:rPr>
                <w:szCs w:val="20"/>
              </w:rPr>
            </w:pPr>
            <w:r>
              <w:rPr>
                <w:rFonts w:hint="eastAsia"/>
                <w:szCs w:val="20"/>
              </w:rPr>
              <w:t>必填项。</w:t>
            </w:r>
            <w:r>
              <w:rPr>
                <w:szCs w:val="20"/>
              </w:rPr>
              <w:t>对于接口报送的填报主体，数据自编码中的报送期（6位）应与报告期（YYYYMM）一致。</w:t>
            </w:r>
          </w:p>
        </w:tc>
      </w:tr>
      <w:tr w:rsidR="00A052DC" w14:paraId="7A8C553A" w14:textId="77777777">
        <w:trPr>
          <w:jc w:val="center"/>
        </w:trPr>
        <w:tc>
          <w:tcPr>
            <w:tcW w:w="1216" w:type="dxa"/>
            <w:shd w:val="clear" w:color="auto" w:fill="auto"/>
            <w:noWrap/>
          </w:tcPr>
          <w:p w14:paraId="40450B74" w14:textId="77777777" w:rsidR="00A052DC" w:rsidRDefault="009F0A60">
            <w:pPr>
              <w:pStyle w:val="B"/>
              <w:rPr>
                <w:szCs w:val="20"/>
              </w:rPr>
            </w:pPr>
            <w:r>
              <w:rPr>
                <w:szCs w:val="20"/>
              </w:rPr>
              <w:t>OBJCODE</w:t>
            </w:r>
          </w:p>
        </w:tc>
        <w:tc>
          <w:tcPr>
            <w:tcW w:w="1699" w:type="dxa"/>
            <w:shd w:val="clear" w:color="auto" w:fill="auto"/>
          </w:tcPr>
          <w:p w14:paraId="33D53908" w14:textId="77777777" w:rsidR="00A052DC" w:rsidRDefault="009F0A60">
            <w:pPr>
              <w:pStyle w:val="B"/>
              <w:rPr>
                <w:szCs w:val="20"/>
              </w:rPr>
            </w:pPr>
            <w:r>
              <w:rPr>
                <w:rFonts w:hint="eastAsia"/>
                <w:szCs w:val="20"/>
              </w:rPr>
              <w:t>申报主体代码</w:t>
            </w:r>
          </w:p>
        </w:tc>
        <w:tc>
          <w:tcPr>
            <w:tcW w:w="1380" w:type="dxa"/>
            <w:shd w:val="clear" w:color="auto" w:fill="auto"/>
            <w:noWrap/>
          </w:tcPr>
          <w:p w14:paraId="15F9C439" w14:textId="77777777" w:rsidR="00A052DC" w:rsidRDefault="009F0A60">
            <w:pPr>
              <w:pStyle w:val="B"/>
              <w:rPr>
                <w:szCs w:val="20"/>
              </w:rPr>
            </w:pPr>
            <w:r>
              <w:rPr>
                <w:rFonts w:hint="eastAsia"/>
                <w:szCs w:val="20"/>
              </w:rPr>
              <w:t>字符型，</w:t>
            </w:r>
            <w:r>
              <w:rPr>
                <w:szCs w:val="20"/>
              </w:rPr>
              <w:t>1</w:t>
            </w:r>
            <w:r>
              <w:rPr>
                <w:rFonts w:hint="eastAsia"/>
                <w:szCs w:val="20"/>
              </w:rPr>
              <w:t>8</w:t>
            </w:r>
          </w:p>
        </w:tc>
        <w:tc>
          <w:tcPr>
            <w:tcW w:w="4022" w:type="dxa"/>
          </w:tcPr>
          <w:p w14:paraId="29E969CB" w14:textId="77777777" w:rsidR="00A052DC" w:rsidRDefault="009F0A60">
            <w:pPr>
              <w:pStyle w:val="B"/>
              <w:rPr>
                <w:szCs w:val="20"/>
              </w:rPr>
            </w:pPr>
            <w:r>
              <w:rPr>
                <w:rFonts w:hint="eastAsia"/>
                <w:szCs w:val="20"/>
              </w:rPr>
              <w:t>申报主体的12位金融机构标识码，如果没有金融机构标识码，则填报统一社会信用代码法定载体（如营业执照）上统一社会信用代码中的第9至17位或国家外汇管理局及其分支局签发的特殊机构代码赋码通知书上的机构代码、个人身份代码。</w:t>
            </w:r>
          </w:p>
        </w:tc>
      </w:tr>
      <w:tr w:rsidR="00A052DC" w14:paraId="4F4F07A1" w14:textId="77777777">
        <w:trPr>
          <w:jc w:val="center"/>
        </w:trPr>
        <w:tc>
          <w:tcPr>
            <w:tcW w:w="1216" w:type="dxa"/>
            <w:shd w:val="clear" w:color="auto" w:fill="auto"/>
            <w:noWrap/>
          </w:tcPr>
          <w:p w14:paraId="74AE9305" w14:textId="77777777" w:rsidR="00A052DC" w:rsidRDefault="009F0A60">
            <w:pPr>
              <w:pStyle w:val="B"/>
              <w:rPr>
                <w:szCs w:val="20"/>
              </w:rPr>
            </w:pPr>
            <w:r>
              <w:rPr>
                <w:szCs w:val="20"/>
              </w:rPr>
              <w:t>BUOCMONTH</w:t>
            </w:r>
          </w:p>
        </w:tc>
        <w:tc>
          <w:tcPr>
            <w:tcW w:w="1699" w:type="dxa"/>
            <w:shd w:val="clear" w:color="auto" w:fill="auto"/>
          </w:tcPr>
          <w:p w14:paraId="684B17E2" w14:textId="77777777" w:rsidR="00A052DC" w:rsidRDefault="009F0A60">
            <w:pPr>
              <w:pStyle w:val="B"/>
              <w:rPr>
                <w:szCs w:val="20"/>
              </w:rPr>
            </w:pPr>
            <w:r>
              <w:rPr>
                <w:rFonts w:hint="eastAsia"/>
                <w:szCs w:val="20"/>
              </w:rPr>
              <w:t>报告期</w:t>
            </w:r>
          </w:p>
        </w:tc>
        <w:tc>
          <w:tcPr>
            <w:tcW w:w="1380" w:type="dxa"/>
            <w:shd w:val="clear" w:color="auto" w:fill="auto"/>
            <w:noWrap/>
          </w:tcPr>
          <w:p w14:paraId="23E016B0" w14:textId="77777777" w:rsidR="00A052DC" w:rsidRDefault="009F0A60">
            <w:pPr>
              <w:pStyle w:val="B"/>
              <w:rPr>
                <w:szCs w:val="20"/>
              </w:rPr>
            </w:pPr>
            <w:r>
              <w:rPr>
                <w:rFonts w:hint="eastAsia"/>
                <w:szCs w:val="20"/>
              </w:rPr>
              <w:t>数值型，</w:t>
            </w:r>
            <w:r>
              <w:rPr>
                <w:szCs w:val="20"/>
              </w:rPr>
              <w:t>6</w:t>
            </w:r>
          </w:p>
        </w:tc>
        <w:tc>
          <w:tcPr>
            <w:tcW w:w="4022" w:type="dxa"/>
          </w:tcPr>
          <w:p w14:paraId="66D332C1" w14:textId="77777777" w:rsidR="00A052DC" w:rsidRDefault="009F0A60">
            <w:pPr>
              <w:pStyle w:val="B"/>
              <w:rPr>
                <w:szCs w:val="20"/>
              </w:rPr>
            </w:pPr>
            <w:r>
              <w:rPr>
                <w:rFonts w:hint="eastAsia"/>
                <w:szCs w:val="20"/>
              </w:rPr>
              <w:t>必填项，格式为</w:t>
            </w:r>
            <w:r>
              <w:rPr>
                <w:szCs w:val="20"/>
              </w:rPr>
              <w:t>YYYYMM</w:t>
            </w:r>
            <w:r>
              <w:rPr>
                <w:rFonts w:hint="eastAsia"/>
                <w:szCs w:val="20"/>
              </w:rPr>
              <w:t>。</w:t>
            </w:r>
          </w:p>
        </w:tc>
      </w:tr>
      <w:tr w:rsidR="00A052DC" w14:paraId="2BB9E055" w14:textId="77777777">
        <w:trPr>
          <w:jc w:val="center"/>
        </w:trPr>
        <w:tc>
          <w:tcPr>
            <w:tcW w:w="1216" w:type="dxa"/>
            <w:shd w:val="clear" w:color="auto" w:fill="auto"/>
            <w:noWrap/>
          </w:tcPr>
          <w:p w14:paraId="25E48C73" w14:textId="77777777" w:rsidR="00A052DC" w:rsidRDefault="009F0A60">
            <w:pPr>
              <w:pStyle w:val="B"/>
              <w:rPr>
                <w:szCs w:val="20"/>
              </w:rPr>
            </w:pPr>
            <w:r>
              <w:rPr>
                <w:szCs w:val="20"/>
              </w:rPr>
              <w:t>A0201</w:t>
            </w:r>
          </w:p>
        </w:tc>
        <w:tc>
          <w:tcPr>
            <w:tcW w:w="1699" w:type="dxa"/>
            <w:shd w:val="clear" w:color="auto" w:fill="auto"/>
          </w:tcPr>
          <w:p w14:paraId="4BECCCE7" w14:textId="77777777" w:rsidR="00A052DC" w:rsidRDefault="009F0A60">
            <w:pPr>
              <w:pStyle w:val="B"/>
              <w:rPr>
                <w:szCs w:val="20"/>
              </w:rPr>
            </w:pPr>
            <w:r>
              <w:rPr>
                <w:rFonts w:hint="eastAsia"/>
                <w:szCs w:val="20"/>
              </w:rPr>
              <w:t>期末会计记账币种（原币）</w:t>
            </w:r>
          </w:p>
        </w:tc>
        <w:tc>
          <w:tcPr>
            <w:tcW w:w="1380" w:type="dxa"/>
            <w:shd w:val="clear" w:color="auto" w:fill="auto"/>
            <w:noWrap/>
          </w:tcPr>
          <w:p w14:paraId="567D8B70" w14:textId="77777777" w:rsidR="00A052DC" w:rsidRDefault="009F0A60">
            <w:pPr>
              <w:pStyle w:val="B"/>
              <w:rPr>
                <w:szCs w:val="20"/>
              </w:rPr>
            </w:pPr>
            <w:r>
              <w:rPr>
                <w:szCs w:val="20"/>
              </w:rPr>
              <w:t>字符型，3</w:t>
            </w:r>
          </w:p>
        </w:tc>
        <w:tc>
          <w:tcPr>
            <w:tcW w:w="4022" w:type="dxa"/>
          </w:tcPr>
          <w:p w14:paraId="295B3981" w14:textId="77777777" w:rsidR="00A052DC" w:rsidRDefault="009F0A60">
            <w:pPr>
              <w:pStyle w:val="B"/>
              <w:rPr>
                <w:szCs w:val="20"/>
              </w:rPr>
            </w:pPr>
            <w:r>
              <w:rPr>
                <w:rFonts w:hint="eastAsia"/>
                <w:szCs w:val="20"/>
              </w:rPr>
              <w:t>必填项，见币种代码表。</w:t>
            </w:r>
          </w:p>
        </w:tc>
      </w:tr>
      <w:tr w:rsidR="00A052DC" w14:paraId="1A0D0FCE" w14:textId="77777777">
        <w:trPr>
          <w:jc w:val="center"/>
        </w:trPr>
        <w:tc>
          <w:tcPr>
            <w:tcW w:w="1216" w:type="dxa"/>
            <w:shd w:val="clear" w:color="auto" w:fill="auto"/>
            <w:noWrap/>
          </w:tcPr>
          <w:p w14:paraId="14DFE7E3" w14:textId="77777777" w:rsidR="00A052DC" w:rsidRDefault="009F0A60">
            <w:pPr>
              <w:pStyle w:val="B"/>
              <w:rPr>
                <w:szCs w:val="20"/>
              </w:rPr>
            </w:pPr>
            <w:r>
              <w:rPr>
                <w:szCs w:val="20"/>
              </w:rPr>
              <w:t>A0202</w:t>
            </w:r>
          </w:p>
        </w:tc>
        <w:tc>
          <w:tcPr>
            <w:tcW w:w="1699" w:type="dxa"/>
            <w:shd w:val="clear" w:color="auto" w:fill="auto"/>
          </w:tcPr>
          <w:p w14:paraId="6CCF9C1F" w14:textId="77777777" w:rsidR="00A052DC" w:rsidRDefault="009F0A60">
            <w:pPr>
              <w:pStyle w:val="B"/>
              <w:rPr>
                <w:szCs w:val="20"/>
              </w:rPr>
            </w:pPr>
            <w:r>
              <w:rPr>
                <w:rFonts w:hint="eastAsia"/>
                <w:szCs w:val="20"/>
              </w:rPr>
              <w:t>期末资产</w:t>
            </w:r>
          </w:p>
        </w:tc>
        <w:tc>
          <w:tcPr>
            <w:tcW w:w="1380" w:type="dxa"/>
            <w:shd w:val="clear" w:color="auto" w:fill="auto"/>
            <w:noWrap/>
          </w:tcPr>
          <w:p w14:paraId="73A534FD" w14:textId="77777777" w:rsidR="00A052DC" w:rsidRDefault="009F0A60">
            <w:pPr>
              <w:pStyle w:val="B"/>
              <w:rPr>
                <w:szCs w:val="20"/>
              </w:rPr>
            </w:pPr>
            <w:r>
              <w:rPr>
                <w:szCs w:val="20"/>
              </w:rPr>
              <w:t>数值型，22.2</w:t>
            </w:r>
          </w:p>
        </w:tc>
        <w:tc>
          <w:tcPr>
            <w:tcW w:w="4022" w:type="dxa"/>
          </w:tcPr>
          <w:p w14:paraId="23EEC520" w14:textId="77777777" w:rsidR="00A052DC" w:rsidRDefault="009F0A60">
            <w:pPr>
              <w:pStyle w:val="B"/>
              <w:rPr>
                <w:szCs w:val="20"/>
              </w:rPr>
            </w:pPr>
            <w:r>
              <w:rPr>
                <w:rFonts w:hint="eastAsia"/>
                <w:szCs w:val="20"/>
              </w:rPr>
              <w:t>必填项，必须≥</w:t>
            </w:r>
            <w:r>
              <w:rPr>
                <w:szCs w:val="20"/>
              </w:rPr>
              <w:t>0</w:t>
            </w:r>
            <w:r>
              <w:rPr>
                <w:rFonts w:hint="eastAsia"/>
                <w:szCs w:val="20"/>
              </w:rPr>
              <w:t>。</w:t>
            </w:r>
          </w:p>
        </w:tc>
      </w:tr>
      <w:tr w:rsidR="00A052DC" w14:paraId="00CC61E6" w14:textId="77777777">
        <w:trPr>
          <w:jc w:val="center"/>
        </w:trPr>
        <w:tc>
          <w:tcPr>
            <w:tcW w:w="1216" w:type="dxa"/>
            <w:shd w:val="clear" w:color="auto" w:fill="auto"/>
            <w:noWrap/>
          </w:tcPr>
          <w:p w14:paraId="022407A3" w14:textId="77777777" w:rsidR="00A052DC" w:rsidRDefault="009F0A60">
            <w:pPr>
              <w:pStyle w:val="B"/>
              <w:rPr>
                <w:szCs w:val="20"/>
              </w:rPr>
            </w:pPr>
            <w:r>
              <w:rPr>
                <w:szCs w:val="20"/>
              </w:rPr>
              <w:t>A0203</w:t>
            </w:r>
          </w:p>
        </w:tc>
        <w:tc>
          <w:tcPr>
            <w:tcW w:w="1699" w:type="dxa"/>
            <w:shd w:val="clear" w:color="auto" w:fill="auto"/>
          </w:tcPr>
          <w:p w14:paraId="3B45BBBA" w14:textId="77777777" w:rsidR="00A052DC" w:rsidRDefault="009F0A60">
            <w:pPr>
              <w:pStyle w:val="B"/>
              <w:rPr>
                <w:szCs w:val="20"/>
              </w:rPr>
            </w:pPr>
            <w:r>
              <w:rPr>
                <w:rFonts w:hint="eastAsia"/>
                <w:szCs w:val="20"/>
              </w:rPr>
              <w:t>期末负债</w:t>
            </w:r>
          </w:p>
        </w:tc>
        <w:tc>
          <w:tcPr>
            <w:tcW w:w="1380" w:type="dxa"/>
            <w:shd w:val="clear" w:color="auto" w:fill="auto"/>
            <w:noWrap/>
          </w:tcPr>
          <w:p w14:paraId="7D3F9B4C" w14:textId="77777777" w:rsidR="00A052DC" w:rsidRDefault="009F0A60">
            <w:pPr>
              <w:pStyle w:val="B"/>
              <w:rPr>
                <w:szCs w:val="20"/>
              </w:rPr>
            </w:pPr>
            <w:r>
              <w:rPr>
                <w:szCs w:val="20"/>
              </w:rPr>
              <w:t>数值型，22.2</w:t>
            </w:r>
          </w:p>
        </w:tc>
        <w:tc>
          <w:tcPr>
            <w:tcW w:w="4022" w:type="dxa"/>
          </w:tcPr>
          <w:p w14:paraId="0C35A374" w14:textId="77777777" w:rsidR="00A052DC" w:rsidRDefault="009F0A60">
            <w:pPr>
              <w:pStyle w:val="B"/>
              <w:rPr>
                <w:b/>
                <w:bCs/>
                <w:szCs w:val="20"/>
              </w:rPr>
            </w:pPr>
            <w:r>
              <w:rPr>
                <w:rFonts w:hint="eastAsia"/>
                <w:szCs w:val="20"/>
              </w:rPr>
              <w:t>必填项，必须≥</w:t>
            </w:r>
            <w:r>
              <w:rPr>
                <w:szCs w:val="20"/>
              </w:rPr>
              <w:t>0</w:t>
            </w:r>
            <w:r>
              <w:rPr>
                <w:rFonts w:hint="eastAsia"/>
                <w:szCs w:val="20"/>
              </w:rPr>
              <w:t>。</w:t>
            </w:r>
          </w:p>
        </w:tc>
      </w:tr>
      <w:tr w:rsidR="00A052DC" w14:paraId="4EDBC5FC" w14:textId="77777777">
        <w:trPr>
          <w:jc w:val="center"/>
        </w:trPr>
        <w:tc>
          <w:tcPr>
            <w:tcW w:w="1216" w:type="dxa"/>
            <w:shd w:val="clear" w:color="auto" w:fill="auto"/>
            <w:noWrap/>
          </w:tcPr>
          <w:p w14:paraId="3BD47658" w14:textId="77777777" w:rsidR="00A052DC" w:rsidRDefault="009F0A60">
            <w:pPr>
              <w:pStyle w:val="B"/>
              <w:rPr>
                <w:szCs w:val="20"/>
              </w:rPr>
            </w:pPr>
            <w:r>
              <w:rPr>
                <w:szCs w:val="20"/>
              </w:rPr>
              <w:t>A0204</w:t>
            </w:r>
          </w:p>
        </w:tc>
        <w:tc>
          <w:tcPr>
            <w:tcW w:w="1699" w:type="dxa"/>
          </w:tcPr>
          <w:p w14:paraId="60CCD3E0" w14:textId="77777777" w:rsidR="00A052DC" w:rsidRDefault="009F0A60">
            <w:pPr>
              <w:pStyle w:val="B"/>
              <w:rPr>
                <w:szCs w:val="20"/>
              </w:rPr>
            </w:pPr>
            <w:r>
              <w:rPr>
                <w:rFonts w:hint="eastAsia"/>
                <w:szCs w:val="20"/>
              </w:rPr>
              <w:t>期末负债中境外母公司拨付的营运资金</w:t>
            </w:r>
          </w:p>
        </w:tc>
        <w:tc>
          <w:tcPr>
            <w:tcW w:w="1380" w:type="dxa"/>
            <w:shd w:val="clear" w:color="auto" w:fill="auto"/>
            <w:noWrap/>
          </w:tcPr>
          <w:p w14:paraId="2CE92FBD" w14:textId="77777777" w:rsidR="00A052DC" w:rsidRDefault="009F0A60">
            <w:pPr>
              <w:pStyle w:val="B"/>
              <w:rPr>
                <w:szCs w:val="20"/>
              </w:rPr>
            </w:pPr>
            <w:r>
              <w:rPr>
                <w:szCs w:val="20"/>
              </w:rPr>
              <w:t>数值型，22.2</w:t>
            </w:r>
          </w:p>
        </w:tc>
        <w:tc>
          <w:tcPr>
            <w:tcW w:w="4022" w:type="dxa"/>
          </w:tcPr>
          <w:p w14:paraId="08D926B4" w14:textId="77777777" w:rsidR="00A052DC" w:rsidRDefault="009F0A60">
            <w:pPr>
              <w:pStyle w:val="B"/>
              <w:rPr>
                <w:szCs w:val="20"/>
              </w:rPr>
            </w:pPr>
            <w:r>
              <w:rPr>
                <w:rFonts w:hint="eastAsia"/>
                <w:szCs w:val="20"/>
              </w:rPr>
              <w:t>必填项，必须满足：</w:t>
            </w:r>
          </w:p>
          <w:p w14:paraId="0DAE6DFB" w14:textId="77777777" w:rsidR="00A052DC" w:rsidRDefault="009F0A60">
            <w:pPr>
              <w:pStyle w:val="B"/>
              <w:rPr>
                <w:szCs w:val="20"/>
              </w:rPr>
            </w:pPr>
            <w:r>
              <w:rPr>
                <w:szCs w:val="20"/>
              </w:rPr>
              <w:t>A0204</w:t>
            </w:r>
            <w:r>
              <w:rPr>
                <w:rFonts w:hint="eastAsia"/>
                <w:szCs w:val="20"/>
              </w:rPr>
              <w:t>≥</w:t>
            </w:r>
            <w:r>
              <w:rPr>
                <w:szCs w:val="20"/>
              </w:rPr>
              <w:t>0</w:t>
            </w:r>
            <w:r>
              <w:rPr>
                <w:rFonts w:hint="eastAsia"/>
                <w:szCs w:val="20"/>
              </w:rPr>
              <w:t>；</w:t>
            </w:r>
          </w:p>
          <w:p w14:paraId="77BDFE90" w14:textId="77777777" w:rsidR="00A052DC" w:rsidRDefault="009F0A60">
            <w:pPr>
              <w:pStyle w:val="B"/>
              <w:rPr>
                <w:szCs w:val="20"/>
              </w:rPr>
            </w:pPr>
            <w:r>
              <w:rPr>
                <w:szCs w:val="20"/>
              </w:rPr>
              <w:t>A0203</w:t>
            </w:r>
            <w:r>
              <w:rPr>
                <w:rFonts w:hint="eastAsia"/>
                <w:szCs w:val="20"/>
              </w:rPr>
              <w:t>≥</w:t>
            </w:r>
            <w:r>
              <w:rPr>
                <w:szCs w:val="20"/>
              </w:rPr>
              <w:t>A0204</w:t>
            </w:r>
            <w:r>
              <w:rPr>
                <w:rFonts w:hint="eastAsia"/>
                <w:szCs w:val="20"/>
              </w:rPr>
              <w:t>。</w:t>
            </w:r>
          </w:p>
        </w:tc>
      </w:tr>
      <w:tr w:rsidR="00A052DC" w14:paraId="34B58176" w14:textId="77777777">
        <w:trPr>
          <w:jc w:val="center"/>
        </w:trPr>
        <w:tc>
          <w:tcPr>
            <w:tcW w:w="1216" w:type="dxa"/>
            <w:shd w:val="clear" w:color="auto" w:fill="auto"/>
            <w:noWrap/>
          </w:tcPr>
          <w:p w14:paraId="60472F22" w14:textId="77777777" w:rsidR="00A052DC" w:rsidRDefault="009F0A60">
            <w:pPr>
              <w:pStyle w:val="B"/>
              <w:rPr>
                <w:szCs w:val="20"/>
              </w:rPr>
            </w:pPr>
            <w:r>
              <w:rPr>
                <w:szCs w:val="20"/>
              </w:rPr>
              <w:t>A0205</w:t>
            </w:r>
          </w:p>
        </w:tc>
        <w:tc>
          <w:tcPr>
            <w:tcW w:w="1699" w:type="dxa"/>
            <w:shd w:val="clear" w:color="auto" w:fill="auto"/>
          </w:tcPr>
          <w:p w14:paraId="25E81C58" w14:textId="77777777" w:rsidR="00A052DC" w:rsidRDefault="009F0A60">
            <w:pPr>
              <w:pStyle w:val="B"/>
              <w:rPr>
                <w:szCs w:val="20"/>
              </w:rPr>
            </w:pPr>
            <w:r>
              <w:rPr>
                <w:rFonts w:hint="eastAsia"/>
              </w:rPr>
              <w:t>期末</w:t>
            </w:r>
            <w:r>
              <w:rPr>
                <w:rFonts w:hint="eastAsia"/>
                <w:szCs w:val="20"/>
              </w:rPr>
              <w:t>归属于本机构</w:t>
            </w:r>
            <w:r>
              <w:rPr>
                <w:rFonts w:hint="eastAsia"/>
              </w:rPr>
              <w:t>所有者</w:t>
            </w:r>
            <w:r>
              <w:rPr>
                <w:rFonts w:hint="eastAsia"/>
                <w:szCs w:val="20"/>
              </w:rPr>
              <w:t>的</w:t>
            </w:r>
            <w:r>
              <w:rPr>
                <w:rFonts w:hint="eastAsia"/>
              </w:rPr>
              <w:t>权益</w:t>
            </w:r>
          </w:p>
        </w:tc>
        <w:tc>
          <w:tcPr>
            <w:tcW w:w="1380" w:type="dxa"/>
            <w:shd w:val="clear" w:color="auto" w:fill="auto"/>
            <w:noWrap/>
          </w:tcPr>
          <w:p w14:paraId="54943283" w14:textId="77777777" w:rsidR="00A052DC" w:rsidRDefault="009F0A60">
            <w:pPr>
              <w:pStyle w:val="B"/>
              <w:rPr>
                <w:szCs w:val="20"/>
              </w:rPr>
            </w:pPr>
            <w:r>
              <w:rPr>
                <w:szCs w:val="20"/>
              </w:rPr>
              <w:t>数值型，22.2</w:t>
            </w:r>
          </w:p>
        </w:tc>
        <w:tc>
          <w:tcPr>
            <w:tcW w:w="4022" w:type="dxa"/>
          </w:tcPr>
          <w:p w14:paraId="54629D8F" w14:textId="77777777" w:rsidR="00A052DC" w:rsidRDefault="009F0A60">
            <w:pPr>
              <w:pStyle w:val="B"/>
              <w:rPr>
                <w:szCs w:val="20"/>
              </w:rPr>
            </w:pPr>
            <w:r>
              <w:rPr>
                <w:rFonts w:hint="eastAsia"/>
                <w:szCs w:val="20"/>
              </w:rPr>
              <w:t>必填项。必须满足：</w:t>
            </w:r>
          </w:p>
          <w:p w14:paraId="66436C36" w14:textId="77777777" w:rsidR="00A052DC" w:rsidRDefault="009F0A60">
            <w:pPr>
              <w:pStyle w:val="B"/>
              <w:rPr>
                <w:szCs w:val="20"/>
              </w:rPr>
            </w:pPr>
            <w:r>
              <w:rPr>
                <w:szCs w:val="20"/>
              </w:rPr>
              <w:t>A0202-A0203=A0205+A0211</w:t>
            </w:r>
            <w:r>
              <w:rPr>
                <w:rFonts w:hint="eastAsia"/>
                <w:szCs w:val="20"/>
              </w:rPr>
              <w:t>，且</w:t>
            </w:r>
          </w:p>
          <w:p w14:paraId="439B37B9" w14:textId="77777777" w:rsidR="00A052DC" w:rsidRDefault="009F0A60">
            <w:pPr>
              <w:pStyle w:val="B"/>
              <w:rPr>
                <w:szCs w:val="20"/>
              </w:rPr>
            </w:pPr>
            <w:r>
              <w:rPr>
                <w:szCs w:val="20"/>
              </w:rPr>
              <w:t>A0205=A0206+A0207+A0208+A0209+A0210</w:t>
            </w:r>
            <w:r>
              <w:rPr>
                <w:rFonts w:hint="eastAsia"/>
                <w:szCs w:val="20"/>
              </w:rPr>
              <w:t>。</w:t>
            </w:r>
          </w:p>
        </w:tc>
      </w:tr>
      <w:tr w:rsidR="00A052DC" w14:paraId="12CD5DD6" w14:textId="77777777">
        <w:trPr>
          <w:jc w:val="center"/>
        </w:trPr>
        <w:tc>
          <w:tcPr>
            <w:tcW w:w="1216" w:type="dxa"/>
            <w:shd w:val="clear" w:color="auto" w:fill="auto"/>
            <w:noWrap/>
          </w:tcPr>
          <w:p w14:paraId="323449C2" w14:textId="77777777" w:rsidR="00A052DC" w:rsidRDefault="009F0A60">
            <w:pPr>
              <w:pStyle w:val="B"/>
              <w:widowControl w:val="0"/>
              <w:rPr>
                <w:szCs w:val="20"/>
              </w:rPr>
            </w:pPr>
            <w:r>
              <w:rPr>
                <w:szCs w:val="20"/>
              </w:rPr>
              <w:t>A0206</w:t>
            </w:r>
          </w:p>
        </w:tc>
        <w:tc>
          <w:tcPr>
            <w:tcW w:w="1699" w:type="dxa"/>
          </w:tcPr>
          <w:p w14:paraId="1AFE72AB" w14:textId="77777777" w:rsidR="00A052DC" w:rsidRDefault="009F0A60">
            <w:pPr>
              <w:pStyle w:val="B"/>
              <w:widowControl w:val="0"/>
              <w:rPr>
                <w:szCs w:val="20"/>
              </w:rPr>
            </w:pPr>
            <w:r>
              <w:rPr>
                <w:rFonts w:hint="eastAsia"/>
              </w:rPr>
              <w:t>实收资本</w:t>
            </w:r>
          </w:p>
        </w:tc>
        <w:tc>
          <w:tcPr>
            <w:tcW w:w="1380" w:type="dxa"/>
            <w:shd w:val="clear" w:color="auto" w:fill="auto"/>
            <w:noWrap/>
          </w:tcPr>
          <w:p w14:paraId="2E81BFC5" w14:textId="77777777" w:rsidR="00A052DC" w:rsidRDefault="009F0A60">
            <w:pPr>
              <w:pStyle w:val="B"/>
              <w:widowControl w:val="0"/>
              <w:rPr>
                <w:szCs w:val="20"/>
              </w:rPr>
            </w:pPr>
            <w:r>
              <w:rPr>
                <w:szCs w:val="20"/>
              </w:rPr>
              <w:t>数值型，22.2</w:t>
            </w:r>
          </w:p>
        </w:tc>
        <w:tc>
          <w:tcPr>
            <w:tcW w:w="4022" w:type="dxa"/>
          </w:tcPr>
          <w:p w14:paraId="42A6C481" w14:textId="77777777" w:rsidR="00A052DC" w:rsidRDefault="009F0A60">
            <w:pPr>
              <w:pStyle w:val="B"/>
              <w:widowControl w:val="0"/>
              <w:rPr>
                <w:szCs w:val="20"/>
              </w:rPr>
            </w:pPr>
            <w:r>
              <w:rPr>
                <w:rFonts w:hint="eastAsia"/>
                <w:szCs w:val="20"/>
              </w:rPr>
              <w:t>必填项，必须≥</w:t>
            </w:r>
            <w:r>
              <w:rPr>
                <w:szCs w:val="20"/>
              </w:rPr>
              <w:t>0</w:t>
            </w:r>
            <w:r>
              <w:rPr>
                <w:rFonts w:hint="eastAsia"/>
                <w:szCs w:val="20"/>
              </w:rPr>
              <w:t>。</w:t>
            </w:r>
          </w:p>
        </w:tc>
      </w:tr>
      <w:tr w:rsidR="00A052DC" w14:paraId="025D88BB" w14:textId="77777777">
        <w:trPr>
          <w:jc w:val="center"/>
        </w:trPr>
        <w:tc>
          <w:tcPr>
            <w:tcW w:w="1216" w:type="dxa"/>
            <w:shd w:val="clear" w:color="auto" w:fill="auto"/>
            <w:noWrap/>
          </w:tcPr>
          <w:p w14:paraId="6B958D77" w14:textId="77777777" w:rsidR="00A052DC" w:rsidRDefault="009F0A60">
            <w:pPr>
              <w:pStyle w:val="B"/>
              <w:rPr>
                <w:szCs w:val="20"/>
              </w:rPr>
            </w:pPr>
            <w:r>
              <w:rPr>
                <w:szCs w:val="20"/>
              </w:rPr>
              <w:t>A0207</w:t>
            </w:r>
          </w:p>
        </w:tc>
        <w:tc>
          <w:tcPr>
            <w:tcW w:w="1699" w:type="dxa"/>
          </w:tcPr>
          <w:p w14:paraId="63610D4F" w14:textId="77777777" w:rsidR="00A052DC" w:rsidRDefault="009F0A60">
            <w:pPr>
              <w:pStyle w:val="B"/>
              <w:rPr>
                <w:szCs w:val="20"/>
              </w:rPr>
            </w:pPr>
            <w:r>
              <w:rPr>
                <w:rFonts w:hint="eastAsia"/>
              </w:rPr>
              <w:t>资本公积</w:t>
            </w:r>
          </w:p>
        </w:tc>
        <w:tc>
          <w:tcPr>
            <w:tcW w:w="1380" w:type="dxa"/>
            <w:shd w:val="clear" w:color="auto" w:fill="auto"/>
            <w:noWrap/>
          </w:tcPr>
          <w:p w14:paraId="1D486BF0" w14:textId="77777777" w:rsidR="00A052DC" w:rsidRDefault="009F0A60">
            <w:pPr>
              <w:pStyle w:val="B"/>
              <w:rPr>
                <w:szCs w:val="20"/>
              </w:rPr>
            </w:pPr>
            <w:r>
              <w:rPr>
                <w:szCs w:val="20"/>
              </w:rPr>
              <w:t>数值型，22.2</w:t>
            </w:r>
          </w:p>
        </w:tc>
        <w:tc>
          <w:tcPr>
            <w:tcW w:w="4022" w:type="dxa"/>
          </w:tcPr>
          <w:p w14:paraId="7E61A0AA" w14:textId="77777777" w:rsidR="00A052DC" w:rsidRDefault="009F0A60">
            <w:pPr>
              <w:pStyle w:val="B"/>
              <w:rPr>
                <w:szCs w:val="20"/>
              </w:rPr>
            </w:pPr>
            <w:r>
              <w:rPr>
                <w:rFonts w:hint="eastAsia"/>
                <w:szCs w:val="20"/>
              </w:rPr>
              <w:t>必填项。</w:t>
            </w:r>
          </w:p>
        </w:tc>
      </w:tr>
      <w:tr w:rsidR="00A052DC" w14:paraId="1F79DD12" w14:textId="77777777">
        <w:trPr>
          <w:jc w:val="center"/>
        </w:trPr>
        <w:tc>
          <w:tcPr>
            <w:tcW w:w="1216" w:type="dxa"/>
            <w:shd w:val="clear" w:color="auto" w:fill="auto"/>
            <w:noWrap/>
          </w:tcPr>
          <w:p w14:paraId="595321DC" w14:textId="77777777" w:rsidR="00A052DC" w:rsidRDefault="009F0A60">
            <w:pPr>
              <w:pStyle w:val="B"/>
              <w:rPr>
                <w:szCs w:val="20"/>
              </w:rPr>
            </w:pPr>
            <w:r>
              <w:rPr>
                <w:szCs w:val="20"/>
              </w:rPr>
              <w:t>A0208</w:t>
            </w:r>
          </w:p>
        </w:tc>
        <w:tc>
          <w:tcPr>
            <w:tcW w:w="1699" w:type="dxa"/>
          </w:tcPr>
          <w:p w14:paraId="6546CA0A" w14:textId="77777777" w:rsidR="00A052DC" w:rsidRDefault="009F0A60">
            <w:pPr>
              <w:pStyle w:val="B"/>
              <w:rPr>
                <w:szCs w:val="20"/>
              </w:rPr>
            </w:pPr>
            <w:r>
              <w:rPr>
                <w:rFonts w:hint="eastAsia"/>
              </w:rPr>
              <w:t>盈余公积</w:t>
            </w:r>
          </w:p>
        </w:tc>
        <w:tc>
          <w:tcPr>
            <w:tcW w:w="1380" w:type="dxa"/>
            <w:shd w:val="clear" w:color="auto" w:fill="auto"/>
            <w:noWrap/>
          </w:tcPr>
          <w:p w14:paraId="67C1DFA9" w14:textId="77777777" w:rsidR="00A052DC" w:rsidRDefault="009F0A60">
            <w:pPr>
              <w:pStyle w:val="B"/>
              <w:rPr>
                <w:szCs w:val="20"/>
              </w:rPr>
            </w:pPr>
            <w:r>
              <w:rPr>
                <w:szCs w:val="20"/>
              </w:rPr>
              <w:t>数值型，22.2</w:t>
            </w:r>
          </w:p>
        </w:tc>
        <w:tc>
          <w:tcPr>
            <w:tcW w:w="4022" w:type="dxa"/>
          </w:tcPr>
          <w:p w14:paraId="13AE442B" w14:textId="77777777" w:rsidR="00A052DC" w:rsidRDefault="009F0A60">
            <w:pPr>
              <w:pStyle w:val="B"/>
              <w:rPr>
                <w:szCs w:val="20"/>
              </w:rPr>
            </w:pPr>
            <w:r>
              <w:rPr>
                <w:rFonts w:hint="eastAsia"/>
                <w:szCs w:val="20"/>
              </w:rPr>
              <w:t>必填项。</w:t>
            </w:r>
          </w:p>
        </w:tc>
      </w:tr>
      <w:tr w:rsidR="00A052DC" w14:paraId="61C22730" w14:textId="77777777">
        <w:trPr>
          <w:jc w:val="center"/>
        </w:trPr>
        <w:tc>
          <w:tcPr>
            <w:tcW w:w="1216" w:type="dxa"/>
            <w:shd w:val="clear" w:color="auto" w:fill="auto"/>
            <w:noWrap/>
          </w:tcPr>
          <w:p w14:paraId="2122BEE7" w14:textId="77777777" w:rsidR="00A052DC" w:rsidRDefault="009F0A60">
            <w:pPr>
              <w:pStyle w:val="B"/>
              <w:rPr>
                <w:szCs w:val="20"/>
              </w:rPr>
            </w:pPr>
            <w:r>
              <w:rPr>
                <w:szCs w:val="20"/>
              </w:rPr>
              <w:t>A0209</w:t>
            </w:r>
          </w:p>
        </w:tc>
        <w:tc>
          <w:tcPr>
            <w:tcW w:w="1699" w:type="dxa"/>
          </w:tcPr>
          <w:p w14:paraId="4D0262B5" w14:textId="77777777" w:rsidR="00A052DC" w:rsidRDefault="009F0A60">
            <w:pPr>
              <w:pStyle w:val="B"/>
              <w:rPr>
                <w:szCs w:val="20"/>
              </w:rPr>
            </w:pPr>
            <w:r>
              <w:rPr>
                <w:rFonts w:hint="eastAsia"/>
              </w:rPr>
              <w:t>未分配利润</w:t>
            </w:r>
          </w:p>
        </w:tc>
        <w:tc>
          <w:tcPr>
            <w:tcW w:w="1380" w:type="dxa"/>
            <w:shd w:val="clear" w:color="auto" w:fill="auto"/>
            <w:noWrap/>
          </w:tcPr>
          <w:p w14:paraId="6F919BD5" w14:textId="77777777" w:rsidR="00A052DC" w:rsidRDefault="009F0A60">
            <w:pPr>
              <w:pStyle w:val="B"/>
              <w:rPr>
                <w:szCs w:val="20"/>
              </w:rPr>
            </w:pPr>
            <w:r>
              <w:rPr>
                <w:szCs w:val="20"/>
              </w:rPr>
              <w:t>数值型，22.2</w:t>
            </w:r>
          </w:p>
        </w:tc>
        <w:tc>
          <w:tcPr>
            <w:tcW w:w="4022" w:type="dxa"/>
          </w:tcPr>
          <w:p w14:paraId="401431AA" w14:textId="77777777" w:rsidR="00A052DC" w:rsidRDefault="009F0A60">
            <w:pPr>
              <w:pStyle w:val="B"/>
              <w:rPr>
                <w:szCs w:val="20"/>
              </w:rPr>
            </w:pPr>
            <w:r>
              <w:rPr>
                <w:rFonts w:hint="eastAsia"/>
                <w:szCs w:val="20"/>
              </w:rPr>
              <w:t>必填项。</w:t>
            </w:r>
          </w:p>
        </w:tc>
      </w:tr>
      <w:tr w:rsidR="00A052DC" w14:paraId="406FE84F" w14:textId="77777777">
        <w:trPr>
          <w:jc w:val="center"/>
        </w:trPr>
        <w:tc>
          <w:tcPr>
            <w:tcW w:w="1216" w:type="dxa"/>
            <w:shd w:val="clear" w:color="auto" w:fill="auto"/>
            <w:noWrap/>
          </w:tcPr>
          <w:p w14:paraId="706653DF" w14:textId="77777777" w:rsidR="00A052DC" w:rsidRDefault="009F0A60">
            <w:pPr>
              <w:pStyle w:val="B"/>
              <w:rPr>
                <w:szCs w:val="20"/>
              </w:rPr>
            </w:pPr>
            <w:r>
              <w:rPr>
                <w:szCs w:val="20"/>
              </w:rPr>
              <w:t>A0210</w:t>
            </w:r>
          </w:p>
        </w:tc>
        <w:tc>
          <w:tcPr>
            <w:tcW w:w="1699" w:type="dxa"/>
          </w:tcPr>
          <w:p w14:paraId="20AC8062" w14:textId="77777777" w:rsidR="00A052DC" w:rsidRDefault="009F0A60">
            <w:pPr>
              <w:pStyle w:val="B"/>
              <w:rPr>
                <w:szCs w:val="20"/>
              </w:rPr>
            </w:pPr>
            <w:r>
              <w:rPr>
                <w:rFonts w:hint="eastAsia"/>
              </w:rPr>
              <w:t>其他</w:t>
            </w:r>
          </w:p>
        </w:tc>
        <w:tc>
          <w:tcPr>
            <w:tcW w:w="1380" w:type="dxa"/>
            <w:shd w:val="clear" w:color="auto" w:fill="auto"/>
            <w:noWrap/>
          </w:tcPr>
          <w:p w14:paraId="14C5F882" w14:textId="77777777" w:rsidR="00A052DC" w:rsidRDefault="009F0A60">
            <w:pPr>
              <w:pStyle w:val="B"/>
              <w:rPr>
                <w:szCs w:val="20"/>
              </w:rPr>
            </w:pPr>
            <w:r>
              <w:rPr>
                <w:szCs w:val="20"/>
              </w:rPr>
              <w:t>数值型，22.2</w:t>
            </w:r>
          </w:p>
        </w:tc>
        <w:tc>
          <w:tcPr>
            <w:tcW w:w="4022" w:type="dxa"/>
          </w:tcPr>
          <w:p w14:paraId="09DB62F4" w14:textId="77777777" w:rsidR="00A052DC" w:rsidRDefault="009F0A60">
            <w:pPr>
              <w:pStyle w:val="B"/>
              <w:rPr>
                <w:szCs w:val="20"/>
              </w:rPr>
            </w:pPr>
            <w:r>
              <w:rPr>
                <w:rFonts w:hint="eastAsia"/>
                <w:szCs w:val="20"/>
              </w:rPr>
              <w:t>必填项。</w:t>
            </w:r>
          </w:p>
        </w:tc>
      </w:tr>
      <w:tr w:rsidR="00A052DC" w14:paraId="38C22A0E" w14:textId="77777777">
        <w:trPr>
          <w:jc w:val="center"/>
        </w:trPr>
        <w:tc>
          <w:tcPr>
            <w:tcW w:w="1216" w:type="dxa"/>
            <w:shd w:val="clear" w:color="auto" w:fill="auto"/>
            <w:noWrap/>
          </w:tcPr>
          <w:p w14:paraId="202FE4FC" w14:textId="77777777" w:rsidR="00A052DC" w:rsidRDefault="009F0A60">
            <w:pPr>
              <w:pStyle w:val="B"/>
              <w:rPr>
                <w:szCs w:val="20"/>
              </w:rPr>
            </w:pPr>
            <w:r>
              <w:rPr>
                <w:szCs w:val="20"/>
              </w:rPr>
              <w:t>A0211</w:t>
            </w:r>
          </w:p>
        </w:tc>
        <w:tc>
          <w:tcPr>
            <w:tcW w:w="1699" w:type="dxa"/>
            <w:shd w:val="clear" w:color="auto" w:fill="auto"/>
          </w:tcPr>
          <w:p w14:paraId="6870598E" w14:textId="77777777" w:rsidR="00A052DC" w:rsidRDefault="009F0A60">
            <w:pPr>
              <w:pStyle w:val="B"/>
              <w:rPr>
                <w:szCs w:val="20"/>
              </w:rPr>
            </w:pPr>
            <w:r>
              <w:rPr>
                <w:rFonts w:hint="eastAsia"/>
                <w:szCs w:val="20"/>
              </w:rPr>
              <w:t>期末少数股东权益</w:t>
            </w:r>
          </w:p>
        </w:tc>
        <w:tc>
          <w:tcPr>
            <w:tcW w:w="1380" w:type="dxa"/>
            <w:shd w:val="clear" w:color="auto" w:fill="auto"/>
            <w:noWrap/>
          </w:tcPr>
          <w:p w14:paraId="39289DC3" w14:textId="77777777" w:rsidR="00A052DC" w:rsidRDefault="009F0A60">
            <w:pPr>
              <w:pStyle w:val="B"/>
              <w:rPr>
                <w:szCs w:val="20"/>
              </w:rPr>
            </w:pPr>
            <w:r>
              <w:rPr>
                <w:szCs w:val="20"/>
              </w:rPr>
              <w:t>数值型，22.2</w:t>
            </w:r>
          </w:p>
        </w:tc>
        <w:tc>
          <w:tcPr>
            <w:tcW w:w="4022" w:type="dxa"/>
          </w:tcPr>
          <w:p w14:paraId="6639215F" w14:textId="77777777" w:rsidR="00A052DC" w:rsidRDefault="009F0A60">
            <w:pPr>
              <w:pStyle w:val="B"/>
              <w:rPr>
                <w:szCs w:val="20"/>
              </w:rPr>
            </w:pPr>
            <w:r>
              <w:rPr>
                <w:rFonts w:hint="eastAsia"/>
                <w:szCs w:val="20"/>
              </w:rPr>
              <w:t>必填项。</w:t>
            </w:r>
          </w:p>
        </w:tc>
      </w:tr>
      <w:tr w:rsidR="00A052DC" w14:paraId="217327FB" w14:textId="77777777">
        <w:trPr>
          <w:jc w:val="center"/>
        </w:trPr>
        <w:tc>
          <w:tcPr>
            <w:tcW w:w="1216" w:type="dxa"/>
            <w:shd w:val="clear" w:color="auto" w:fill="auto"/>
            <w:noWrap/>
          </w:tcPr>
          <w:p w14:paraId="0BD42E2F" w14:textId="77777777" w:rsidR="00A052DC" w:rsidRDefault="009F0A60">
            <w:pPr>
              <w:pStyle w:val="B"/>
              <w:rPr>
                <w:szCs w:val="20"/>
              </w:rPr>
            </w:pPr>
            <w:r>
              <w:rPr>
                <w:szCs w:val="20"/>
              </w:rPr>
              <w:t>A0212</w:t>
            </w:r>
          </w:p>
        </w:tc>
        <w:tc>
          <w:tcPr>
            <w:tcW w:w="1699" w:type="dxa"/>
            <w:shd w:val="clear" w:color="auto" w:fill="auto"/>
          </w:tcPr>
          <w:p w14:paraId="65FC8568" w14:textId="77777777" w:rsidR="00A052DC" w:rsidRDefault="009F0A60">
            <w:pPr>
              <w:pStyle w:val="B"/>
              <w:rPr>
                <w:szCs w:val="20"/>
              </w:rPr>
            </w:pPr>
            <w:r>
              <w:rPr>
                <w:rFonts w:hint="eastAsia"/>
                <w:szCs w:val="20"/>
              </w:rPr>
              <w:t>本月</w:t>
            </w:r>
            <w:r>
              <w:rPr>
                <w:rFonts w:hint="eastAsia"/>
              </w:rPr>
              <w:t>利润总额</w:t>
            </w:r>
          </w:p>
        </w:tc>
        <w:tc>
          <w:tcPr>
            <w:tcW w:w="1380" w:type="dxa"/>
            <w:shd w:val="clear" w:color="auto" w:fill="auto"/>
            <w:noWrap/>
          </w:tcPr>
          <w:p w14:paraId="2396D9CC" w14:textId="77777777" w:rsidR="00A052DC" w:rsidRDefault="009F0A60">
            <w:pPr>
              <w:pStyle w:val="B"/>
              <w:rPr>
                <w:szCs w:val="20"/>
              </w:rPr>
            </w:pPr>
            <w:r>
              <w:rPr>
                <w:szCs w:val="20"/>
              </w:rPr>
              <w:t>数值型，22.2</w:t>
            </w:r>
          </w:p>
        </w:tc>
        <w:tc>
          <w:tcPr>
            <w:tcW w:w="4022" w:type="dxa"/>
          </w:tcPr>
          <w:p w14:paraId="6D2E39FA" w14:textId="77777777" w:rsidR="00A052DC" w:rsidRDefault="009F0A60">
            <w:pPr>
              <w:pStyle w:val="B"/>
              <w:rPr>
                <w:szCs w:val="20"/>
              </w:rPr>
            </w:pPr>
            <w:r>
              <w:rPr>
                <w:rFonts w:hint="eastAsia"/>
                <w:szCs w:val="20"/>
              </w:rPr>
              <w:t>必填项。</w:t>
            </w:r>
          </w:p>
        </w:tc>
      </w:tr>
      <w:tr w:rsidR="00A052DC" w14:paraId="1C72D8FC" w14:textId="77777777">
        <w:trPr>
          <w:jc w:val="center"/>
        </w:trPr>
        <w:tc>
          <w:tcPr>
            <w:tcW w:w="1216" w:type="dxa"/>
            <w:shd w:val="clear" w:color="auto" w:fill="auto"/>
            <w:noWrap/>
          </w:tcPr>
          <w:p w14:paraId="59D17AE9" w14:textId="77777777" w:rsidR="00A052DC" w:rsidRDefault="009F0A60">
            <w:pPr>
              <w:pStyle w:val="B"/>
              <w:rPr>
                <w:szCs w:val="20"/>
              </w:rPr>
            </w:pPr>
            <w:r>
              <w:rPr>
                <w:szCs w:val="20"/>
              </w:rPr>
              <w:t>A0213</w:t>
            </w:r>
          </w:p>
        </w:tc>
        <w:tc>
          <w:tcPr>
            <w:tcW w:w="1699" w:type="dxa"/>
            <w:shd w:val="clear" w:color="auto" w:fill="auto"/>
          </w:tcPr>
          <w:p w14:paraId="5465155C" w14:textId="77777777" w:rsidR="00A052DC" w:rsidRDefault="009F0A60">
            <w:pPr>
              <w:pStyle w:val="B"/>
              <w:rPr>
                <w:szCs w:val="20"/>
              </w:rPr>
            </w:pPr>
            <w:r>
              <w:rPr>
                <w:rFonts w:hint="eastAsia"/>
                <w:szCs w:val="20"/>
              </w:rPr>
              <w:t>本月</w:t>
            </w:r>
            <w:r>
              <w:rPr>
                <w:rFonts w:hint="eastAsia"/>
              </w:rPr>
              <w:t>净利润</w:t>
            </w:r>
          </w:p>
        </w:tc>
        <w:tc>
          <w:tcPr>
            <w:tcW w:w="1380" w:type="dxa"/>
            <w:shd w:val="clear" w:color="auto" w:fill="auto"/>
            <w:noWrap/>
          </w:tcPr>
          <w:p w14:paraId="44F146A9" w14:textId="77777777" w:rsidR="00A052DC" w:rsidRDefault="009F0A60">
            <w:pPr>
              <w:pStyle w:val="B"/>
              <w:rPr>
                <w:szCs w:val="20"/>
              </w:rPr>
            </w:pPr>
            <w:r>
              <w:rPr>
                <w:szCs w:val="20"/>
              </w:rPr>
              <w:t>数值型，22.2</w:t>
            </w:r>
          </w:p>
        </w:tc>
        <w:tc>
          <w:tcPr>
            <w:tcW w:w="4022" w:type="dxa"/>
          </w:tcPr>
          <w:p w14:paraId="77308BDF" w14:textId="77777777" w:rsidR="00A052DC" w:rsidRDefault="009F0A60">
            <w:pPr>
              <w:pStyle w:val="B"/>
              <w:rPr>
                <w:szCs w:val="20"/>
              </w:rPr>
            </w:pPr>
            <w:r>
              <w:rPr>
                <w:rFonts w:hint="eastAsia"/>
                <w:szCs w:val="20"/>
              </w:rPr>
              <w:t>必填项。</w:t>
            </w:r>
          </w:p>
        </w:tc>
      </w:tr>
      <w:tr w:rsidR="00A052DC" w14:paraId="3AE1E8D0" w14:textId="77777777">
        <w:trPr>
          <w:jc w:val="center"/>
        </w:trPr>
        <w:tc>
          <w:tcPr>
            <w:tcW w:w="1216" w:type="dxa"/>
            <w:shd w:val="clear" w:color="auto" w:fill="auto"/>
            <w:noWrap/>
          </w:tcPr>
          <w:p w14:paraId="7CFAEF78" w14:textId="77777777" w:rsidR="00A052DC" w:rsidRDefault="009F0A60">
            <w:pPr>
              <w:pStyle w:val="B"/>
              <w:rPr>
                <w:szCs w:val="20"/>
              </w:rPr>
            </w:pPr>
            <w:r>
              <w:rPr>
                <w:szCs w:val="20"/>
              </w:rPr>
              <w:t>A0214</w:t>
            </w:r>
          </w:p>
        </w:tc>
        <w:tc>
          <w:tcPr>
            <w:tcW w:w="1699" w:type="dxa"/>
            <w:shd w:val="clear" w:color="auto" w:fill="auto"/>
          </w:tcPr>
          <w:p w14:paraId="41C1CA13" w14:textId="77777777" w:rsidR="00A052DC" w:rsidRDefault="009F0A60">
            <w:pPr>
              <w:pStyle w:val="B"/>
              <w:rPr>
                <w:szCs w:val="20"/>
              </w:rPr>
            </w:pPr>
            <w:r>
              <w:rPr>
                <w:rFonts w:hint="eastAsia"/>
                <w:szCs w:val="20"/>
              </w:rPr>
              <w:t>本月</w:t>
            </w:r>
            <w:r>
              <w:rPr>
                <w:rFonts w:hint="eastAsia"/>
              </w:rPr>
              <w:t>本机构</w:t>
            </w:r>
            <w:r>
              <w:rPr>
                <w:rFonts w:hint="eastAsia"/>
                <w:szCs w:val="20"/>
              </w:rPr>
              <w:t>宣告分配给</w:t>
            </w:r>
            <w:r>
              <w:rPr>
                <w:rFonts w:hint="eastAsia"/>
              </w:rPr>
              <w:t>全体股东的利润</w:t>
            </w:r>
          </w:p>
        </w:tc>
        <w:tc>
          <w:tcPr>
            <w:tcW w:w="1380" w:type="dxa"/>
            <w:shd w:val="clear" w:color="auto" w:fill="auto"/>
            <w:noWrap/>
          </w:tcPr>
          <w:p w14:paraId="427221EE" w14:textId="77777777" w:rsidR="00A052DC" w:rsidRDefault="009F0A60">
            <w:pPr>
              <w:pStyle w:val="B"/>
              <w:rPr>
                <w:szCs w:val="20"/>
              </w:rPr>
            </w:pPr>
            <w:r>
              <w:rPr>
                <w:szCs w:val="20"/>
              </w:rPr>
              <w:t>数值型，22.2</w:t>
            </w:r>
          </w:p>
        </w:tc>
        <w:tc>
          <w:tcPr>
            <w:tcW w:w="4022" w:type="dxa"/>
          </w:tcPr>
          <w:p w14:paraId="2F8C77EF" w14:textId="77777777" w:rsidR="00A052DC" w:rsidRDefault="009F0A60">
            <w:pPr>
              <w:pStyle w:val="B"/>
              <w:rPr>
                <w:szCs w:val="20"/>
              </w:rPr>
            </w:pPr>
            <w:r>
              <w:rPr>
                <w:rFonts w:hint="eastAsia"/>
                <w:szCs w:val="20"/>
              </w:rPr>
              <w:t>必填项。</w:t>
            </w:r>
          </w:p>
        </w:tc>
      </w:tr>
      <w:tr w:rsidR="00A052DC" w14:paraId="69796575" w14:textId="77777777">
        <w:trPr>
          <w:jc w:val="center"/>
        </w:trPr>
        <w:tc>
          <w:tcPr>
            <w:tcW w:w="1216" w:type="dxa"/>
            <w:shd w:val="clear" w:color="auto" w:fill="auto"/>
            <w:noWrap/>
          </w:tcPr>
          <w:p w14:paraId="07AD3700" w14:textId="77777777" w:rsidR="00A052DC" w:rsidRDefault="009F0A60">
            <w:pPr>
              <w:pStyle w:val="B"/>
              <w:rPr>
                <w:szCs w:val="20"/>
              </w:rPr>
            </w:pPr>
            <w:r>
              <w:rPr>
                <w:szCs w:val="20"/>
              </w:rPr>
              <w:t>A0215</w:t>
            </w:r>
          </w:p>
        </w:tc>
        <w:tc>
          <w:tcPr>
            <w:tcW w:w="1699" w:type="dxa"/>
            <w:shd w:val="clear" w:color="auto" w:fill="auto"/>
          </w:tcPr>
          <w:p w14:paraId="1B23C0C3" w14:textId="77777777" w:rsidR="00A052DC" w:rsidRDefault="009F0A60">
            <w:pPr>
              <w:pStyle w:val="B"/>
              <w:rPr>
                <w:szCs w:val="20"/>
              </w:rPr>
            </w:pPr>
            <w:r>
              <w:rPr>
                <w:rFonts w:hint="eastAsia"/>
                <w:szCs w:val="20"/>
              </w:rPr>
              <w:t>本机构在境内缴纳的税金总额</w:t>
            </w:r>
          </w:p>
        </w:tc>
        <w:tc>
          <w:tcPr>
            <w:tcW w:w="1380" w:type="dxa"/>
            <w:shd w:val="clear" w:color="auto" w:fill="auto"/>
            <w:noWrap/>
          </w:tcPr>
          <w:p w14:paraId="45A6B070" w14:textId="77777777" w:rsidR="00A052DC" w:rsidRDefault="009F0A60">
            <w:pPr>
              <w:pStyle w:val="B"/>
              <w:rPr>
                <w:szCs w:val="20"/>
              </w:rPr>
            </w:pPr>
            <w:r>
              <w:rPr>
                <w:szCs w:val="20"/>
              </w:rPr>
              <w:t>数值型，22.2</w:t>
            </w:r>
          </w:p>
        </w:tc>
        <w:tc>
          <w:tcPr>
            <w:tcW w:w="4022" w:type="dxa"/>
          </w:tcPr>
          <w:p w14:paraId="26CB89FD" w14:textId="77777777" w:rsidR="00A052DC" w:rsidRDefault="009F0A60">
            <w:pPr>
              <w:pStyle w:val="B"/>
              <w:rPr>
                <w:szCs w:val="20"/>
              </w:rPr>
            </w:pPr>
            <w:r>
              <w:rPr>
                <w:rFonts w:hint="eastAsia"/>
                <w:szCs w:val="20"/>
              </w:rPr>
              <w:t>报告期为每年</w:t>
            </w:r>
            <w:r>
              <w:rPr>
                <w:szCs w:val="20"/>
              </w:rPr>
              <w:t>12</w:t>
            </w:r>
            <w:r>
              <w:rPr>
                <w:rFonts w:hint="eastAsia"/>
                <w:szCs w:val="20"/>
              </w:rPr>
              <w:t>月，且本机构被境外投资者控股的，为必填项。其他报告期不必填写。</w:t>
            </w:r>
          </w:p>
        </w:tc>
      </w:tr>
      <w:tr w:rsidR="00A052DC" w14:paraId="1E3449C1" w14:textId="77777777">
        <w:trPr>
          <w:jc w:val="center"/>
        </w:trPr>
        <w:tc>
          <w:tcPr>
            <w:tcW w:w="1216" w:type="dxa"/>
            <w:shd w:val="clear" w:color="auto" w:fill="auto"/>
            <w:noWrap/>
          </w:tcPr>
          <w:p w14:paraId="71361C55" w14:textId="77777777" w:rsidR="00A052DC" w:rsidRDefault="009F0A60">
            <w:pPr>
              <w:pStyle w:val="B"/>
              <w:rPr>
                <w:szCs w:val="20"/>
              </w:rPr>
            </w:pPr>
            <w:r>
              <w:rPr>
                <w:szCs w:val="20"/>
              </w:rPr>
              <w:t>A0216</w:t>
            </w:r>
          </w:p>
        </w:tc>
        <w:tc>
          <w:tcPr>
            <w:tcW w:w="1699" w:type="dxa"/>
            <w:shd w:val="clear" w:color="auto" w:fill="auto"/>
          </w:tcPr>
          <w:p w14:paraId="43E9D91F" w14:textId="77777777" w:rsidR="00A052DC" w:rsidRDefault="009F0A60">
            <w:pPr>
              <w:pStyle w:val="B"/>
              <w:rPr>
                <w:szCs w:val="20"/>
              </w:rPr>
            </w:pPr>
            <w:r>
              <w:rPr>
                <w:rFonts w:hint="eastAsia"/>
                <w:szCs w:val="20"/>
              </w:rPr>
              <w:t>年末从业人数</w:t>
            </w:r>
            <w:r>
              <w:rPr>
                <w:szCs w:val="20"/>
              </w:rPr>
              <w:t>(</w:t>
            </w:r>
            <w:r>
              <w:rPr>
                <w:rFonts w:hint="eastAsia"/>
                <w:szCs w:val="20"/>
              </w:rPr>
              <w:t>人</w:t>
            </w:r>
            <w:r>
              <w:rPr>
                <w:szCs w:val="20"/>
              </w:rPr>
              <w:t>)</w:t>
            </w:r>
          </w:p>
        </w:tc>
        <w:tc>
          <w:tcPr>
            <w:tcW w:w="1380" w:type="dxa"/>
            <w:shd w:val="clear" w:color="auto" w:fill="auto"/>
            <w:noWrap/>
          </w:tcPr>
          <w:p w14:paraId="7D3B57FE" w14:textId="77777777" w:rsidR="00A052DC" w:rsidRDefault="009F0A60">
            <w:pPr>
              <w:pStyle w:val="B"/>
              <w:rPr>
                <w:szCs w:val="20"/>
              </w:rPr>
            </w:pPr>
            <w:r>
              <w:rPr>
                <w:szCs w:val="20"/>
              </w:rPr>
              <w:t>长整数型</w:t>
            </w:r>
          </w:p>
        </w:tc>
        <w:tc>
          <w:tcPr>
            <w:tcW w:w="4022" w:type="dxa"/>
          </w:tcPr>
          <w:p w14:paraId="68ABB464" w14:textId="77777777" w:rsidR="00A052DC" w:rsidRDefault="009F0A60">
            <w:pPr>
              <w:pStyle w:val="B"/>
              <w:rPr>
                <w:szCs w:val="20"/>
              </w:rPr>
            </w:pPr>
            <w:r>
              <w:rPr>
                <w:rFonts w:hint="eastAsia"/>
                <w:szCs w:val="20"/>
              </w:rPr>
              <w:t>报告期为每年</w:t>
            </w:r>
            <w:r>
              <w:rPr>
                <w:szCs w:val="20"/>
              </w:rPr>
              <w:t>12</w:t>
            </w:r>
            <w:r>
              <w:rPr>
                <w:rFonts w:hint="eastAsia"/>
                <w:szCs w:val="20"/>
              </w:rPr>
              <w:t>月，且本机构被境外投资者控股的，为必填项，必须满足：</w:t>
            </w:r>
            <w:r>
              <w:rPr>
                <w:szCs w:val="20"/>
              </w:rPr>
              <w:t>A0216</w:t>
            </w:r>
            <w:r>
              <w:rPr>
                <w:rFonts w:hint="eastAsia"/>
                <w:szCs w:val="20"/>
              </w:rPr>
              <w:t>≥</w:t>
            </w:r>
            <w:r>
              <w:rPr>
                <w:szCs w:val="20"/>
              </w:rPr>
              <w:t>0</w:t>
            </w:r>
            <w:r>
              <w:rPr>
                <w:rFonts w:hint="eastAsia"/>
                <w:szCs w:val="20"/>
              </w:rPr>
              <w:t>。其他报告期不必填写。</w:t>
            </w:r>
          </w:p>
        </w:tc>
      </w:tr>
      <w:tr w:rsidR="00A052DC" w14:paraId="75BDBF5A" w14:textId="77777777">
        <w:trPr>
          <w:jc w:val="center"/>
        </w:trPr>
        <w:tc>
          <w:tcPr>
            <w:tcW w:w="1216" w:type="dxa"/>
            <w:shd w:val="clear" w:color="auto" w:fill="auto"/>
            <w:noWrap/>
          </w:tcPr>
          <w:p w14:paraId="56FE3A64" w14:textId="77777777" w:rsidR="00A052DC" w:rsidRDefault="009F0A60">
            <w:pPr>
              <w:pStyle w:val="B"/>
              <w:rPr>
                <w:szCs w:val="20"/>
              </w:rPr>
            </w:pPr>
            <w:r>
              <w:rPr>
                <w:szCs w:val="20"/>
              </w:rPr>
              <w:t>A0217</w:t>
            </w:r>
          </w:p>
        </w:tc>
        <w:tc>
          <w:tcPr>
            <w:tcW w:w="1699" w:type="dxa"/>
          </w:tcPr>
          <w:p w14:paraId="721300E4" w14:textId="77777777" w:rsidR="00A052DC" w:rsidRDefault="009F0A60">
            <w:pPr>
              <w:pStyle w:val="B"/>
              <w:rPr>
                <w:szCs w:val="20"/>
              </w:rPr>
            </w:pPr>
            <w:r>
              <w:rPr>
                <w:rFonts w:hint="eastAsia"/>
                <w:szCs w:val="20"/>
              </w:rPr>
              <w:t>年末从业人数中的外方雇员数（人）</w:t>
            </w:r>
          </w:p>
        </w:tc>
        <w:tc>
          <w:tcPr>
            <w:tcW w:w="1380" w:type="dxa"/>
            <w:shd w:val="clear" w:color="auto" w:fill="auto"/>
            <w:noWrap/>
          </w:tcPr>
          <w:p w14:paraId="5E16209D" w14:textId="77777777" w:rsidR="00A052DC" w:rsidRDefault="009F0A60">
            <w:pPr>
              <w:pStyle w:val="B"/>
              <w:rPr>
                <w:szCs w:val="20"/>
              </w:rPr>
            </w:pPr>
            <w:r>
              <w:rPr>
                <w:szCs w:val="20"/>
              </w:rPr>
              <w:t>长整数型</w:t>
            </w:r>
          </w:p>
        </w:tc>
        <w:tc>
          <w:tcPr>
            <w:tcW w:w="4022" w:type="dxa"/>
          </w:tcPr>
          <w:p w14:paraId="11EE158F" w14:textId="77777777" w:rsidR="00A052DC" w:rsidRDefault="009F0A60">
            <w:pPr>
              <w:pStyle w:val="B"/>
              <w:rPr>
                <w:szCs w:val="20"/>
              </w:rPr>
            </w:pPr>
            <w:r>
              <w:rPr>
                <w:rFonts w:hint="eastAsia"/>
                <w:szCs w:val="20"/>
              </w:rPr>
              <w:t>报告期为每年</w:t>
            </w:r>
            <w:r>
              <w:rPr>
                <w:szCs w:val="20"/>
              </w:rPr>
              <w:t>12</w:t>
            </w:r>
            <w:r>
              <w:rPr>
                <w:rFonts w:hint="eastAsia"/>
                <w:szCs w:val="20"/>
              </w:rPr>
              <w:t>月，且本机构被境外投资者控股的，为必填项，必须满足：</w:t>
            </w:r>
            <w:r>
              <w:rPr>
                <w:szCs w:val="20"/>
              </w:rPr>
              <w:t>A0217</w:t>
            </w:r>
            <w:r>
              <w:rPr>
                <w:rFonts w:hint="eastAsia"/>
                <w:szCs w:val="20"/>
              </w:rPr>
              <w:t>≥</w:t>
            </w:r>
            <w:r>
              <w:rPr>
                <w:szCs w:val="20"/>
              </w:rPr>
              <w:t>0</w:t>
            </w:r>
            <w:r>
              <w:rPr>
                <w:rFonts w:hint="eastAsia"/>
                <w:szCs w:val="20"/>
              </w:rPr>
              <w:t>，且</w:t>
            </w:r>
            <w:r>
              <w:rPr>
                <w:szCs w:val="20"/>
              </w:rPr>
              <w:t>A0216</w:t>
            </w:r>
            <w:r>
              <w:rPr>
                <w:rFonts w:hint="eastAsia"/>
                <w:szCs w:val="20"/>
              </w:rPr>
              <w:t>≥</w:t>
            </w:r>
            <w:r>
              <w:rPr>
                <w:szCs w:val="20"/>
              </w:rPr>
              <w:t>A0217</w:t>
            </w:r>
            <w:r>
              <w:rPr>
                <w:rFonts w:hint="eastAsia"/>
                <w:szCs w:val="20"/>
              </w:rPr>
              <w:t>。其他报告期不必填写。</w:t>
            </w:r>
          </w:p>
        </w:tc>
      </w:tr>
      <w:tr w:rsidR="00A052DC" w14:paraId="76D298F3" w14:textId="77777777">
        <w:trPr>
          <w:jc w:val="center"/>
        </w:trPr>
        <w:tc>
          <w:tcPr>
            <w:tcW w:w="1216" w:type="dxa"/>
            <w:shd w:val="clear" w:color="auto" w:fill="auto"/>
            <w:noWrap/>
          </w:tcPr>
          <w:p w14:paraId="0B62C693" w14:textId="77777777" w:rsidR="00A052DC" w:rsidRDefault="009F0A60">
            <w:pPr>
              <w:pStyle w:val="B"/>
              <w:rPr>
                <w:szCs w:val="20"/>
              </w:rPr>
            </w:pPr>
            <w:r>
              <w:rPr>
                <w:szCs w:val="20"/>
              </w:rPr>
              <w:t>REMARK</w:t>
            </w:r>
          </w:p>
        </w:tc>
        <w:tc>
          <w:tcPr>
            <w:tcW w:w="1699" w:type="dxa"/>
          </w:tcPr>
          <w:p w14:paraId="6768B803" w14:textId="77777777" w:rsidR="00A052DC" w:rsidRDefault="009F0A60">
            <w:pPr>
              <w:pStyle w:val="B"/>
              <w:rPr>
                <w:szCs w:val="20"/>
              </w:rPr>
            </w:pPr>
            <w:r>
              <w:rPr>
                <w:rFonts w:hint="eastAsia"/>
                <w:szCs w:val="20"/>
              </w:rPr>
              <w:t>备注</w:t>
            </w:r>
          </w:p>
        </w:tc>
        <w:tc>
          <w:tcPr>
            <w:tcW w:w="1380" w:type="dxa"/>
            <w:shd w:val="clear" w:color="auto" w:fill="auto"/>
            <w:noWrap/>
          </w:tcPr>
          <w:p w14:paraId="3768374A" w14:textId="77777777" w:rsidR="00A052DC" w:rsidRDefault="009F0A60">
            <w:pPr>
              <w:pStyle w:val="B"/>
              <w:rPr>
                <w:szCs w:val="20"/>
              </w:rPr>
            </w:pPr>
            <w:r>
              <w:rPr>
                <w:rFonts w:hint="eastAsia"/>
                <w:szCs w:val="20"/>
              </w:rPr>
              <w:t>字符型，</w:t>
            </w:r>
            <w:r>
              <w:rPr>
                <w:szCs w:val="20"/>
              </w:rPr>
              <w:t>512</w:t>
            </w:r>
          </w:p>
        </w:tc>
        <w:tc>
          <w:tcPr>
            <w:tcW w:w="4022" w:type="dxa"/>
          </w:tcPr>
          <w:p w14:paraId="341DD073" w14:textId="77777777" w:rsidR="00A052DC" w:rsidRDefault="009F0A60">
            <w:pPr>
              <w:pStyle w:val="B"/>
              <w:rPr>
                <w:szCs w:val="20"/>
              </w:rPr>
            </w:pPr>
            <w:r>
              <w:rPr>
                <w:rFonts w:hint="eastAsia"/>
                <w:szCs w:val="20"/>
              </w:rPr>
              <w:t>当A0213＜A0214时为必填项。</w:t>
            </w:r>
          </w:p>
        </w:tc>
      </w:tr>
    </w:tbl>
    <w:p w14:paraId="0842A5EE" w14:textId="77777777" w:rsidR="00A052DC" w:rsidRDefault="00A052DC"/>
    <w:p w14:paraId="7FE4547A" w14:textId="77777777" w:rsidR="00A052DC" w:rsidRDefault="009F0A60" w:rsidP="0020251D">
      <w:pPr>
        <w:pStyle w:val="3"/>
        <w:ind w:left="0"/>
        <w:rPr>
          <w:rFonts w:ascii="Times New Roman" w:hAnsi="Times New Roman"/>
        </w:rPr>
      </w:pPr>
      <w:bookmarkStart w:id="3016" w:name="_Toc380356280"/>
      <w:bookmarkStart w:id="3017" w:name="_Toc91455307"/>
      <w:bookmarkStart w:id="3018" w:name="_Toc380570915"/>
      <w:bookmarkStart w:id="3019" w:name="_Toc454391243"/>
      <w:bookmarkStart w:id="3020" w:name="_Toc101684480"/>
      <w:r>
        <w:rPr>
          <w:rFonts w:ascii="Times New Roman" w:hAnsi="Times New Roman"/>
        </w:rPr>
        <w:t>A02-2</w:t>
      </w:r>
      <w:r>
        <w:rPr>
          <w:rFonts w:ascii="Times New Roman" w:hAnsi="Times New Roman" w:hint="eastAsia"/>
        </w:rPr>
        <w:t>表：来华直接投资（境外投资者持股情况）</w:t>
      </w:r>
      <w:bookmarkEnd w:id="3016"/>
      <w:bookmarkEnd w:id="3017"/>
      <w:bookmarkEnd w:id="3018"/>
      <w:bookmarkEnd w:id="3019"/>
      <w:bookmarkEnd w:id="3020"/>
    </w:p>
    <w:p w14:paraId="7589D549" w14:textId="77777777" w:rsidR="00A052DC" w:rsidRDefault="009F0A60" w:rsidP="0020251D">
      <w:pPr>
        <w:pStyle w:val="4"/>
        <w:numPr>
          <w:ilvl w:val="3"/>
          <w:numId w:val="1"/>
        </w:numPr>
        <w:jc w:val="left"/>
      </w:pPr>
      <w:bookmarkStart w:id="3021" w:name="_Toc454391244"/>
      <w:bookmarkStart w:id="3022" w:name="_Toc380570916"/>
      <w:r>
        <w:rPr>
          <w:rFonts w:hint="eastAsia"/>
        </w:rPr>
        <w:t>数据术语解释</w:t>
      </w:r>
      <w:bookmarkEnd w:id="3021"/>
      <w:bookmarkEnd w:id="3022"/>
    </w:p>
    <w:p w14:paraId="43C85338" w14:textId="77777777" w:rsidR="00A052DC" w:rsidRDefault="00A052DC">
      <w:pPr>
        <w:spacing w:line="240" w:lineRule="exact"/>
        <w:rPr>
          <w:sz w:val="18"/>
        </w:rPr>
      </w:pPr>
    </w:p>
    <w:tbl>
      <w:tblPr>
        <w:tblW w:w="8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1"/>
        <w:gridCol w:w="6533"/>
      </w:tblGrid>
      <w:tr w:rsidR="00A052DC" w14:paraId="60A70A4F" w14:textId="77777777">
        <w:trPr>
          <w:cantSplit/>
          <w:jc w:val="center"/>
        </w:trPr>
        <w:tc>
          <w:tcPr>
            <w:tcW w:w="1991" w:type="dxa"/>
            <w:shd w:val="clear" w:color="auto" w:fill="auto"/>
            <w:noWrap/>
          </w:tcPr>
          <w:p w14:paraId="772D755D" w14:textId="77777777" w:rsidR="00A052DC" w:rsidRDefault="009F0A60">
            <w:pPr>
              <w:pStyle w:val="B1"/>
            </w:pPr>
            <w:r>
              <w:rPr>
                <w:rFonts w:hint="eastAsia"/>
              </w:rPr>
              <w:t>基础数据项</w:t>
            </w:r>
          </w:p>
        </w:tc>
        <w:tc>
          <w:tcPr>
            <w:tcW w:w="6533" w:type="dxa"/>
            <w:shd w:val="clear" w:color="auto" w:fill="auto"/>
            <w:noWrap/>
          </w:tcPr>
          <w:p w14:paraId="25FC71D0" w14:textId="77777777" w:rsidR="00A052DC" w:rsidRDefault="009F0A60">
            <w:pPr>
              <w:pStyle w:val="B1"/>
            </w:pPr>
            <w:r>
              <w:rPr>
                <w:rFonts w:hint="eastAsia"/>
              </w:rPr>
              <w:t>定义</w:t>
            </w:r>
          </w:p>
        </w:tc>
      </w:tr>
      <w:tr w:rsidR="00A052DC" w14:paraId="5A8439B7" w14:textId="77777777">
        <w:trPr>
          <w:cantSplit/>
          <w:jc w:val="center"/>
        </w:trPr>
        <w:tc>
          <w:tcPr>
            <w:tcW w:w="1991" w:type="dxa"/>
            <w:shd w:val="clear" w:color="auto" w:fill="auto"/>
          </w:tcPr>
          <w:p w14:paraId="03435910" w14:textId="77777777" w:rsidR="00A052DC" w:rsidRDefault="009F0A60">
            <w:pPr>
              <w:pStyle w:val="B"/>
              <w:rPr>
                <w:szCs w:val="20"/>
              </w:rPr>
            </w:pPr>
            <w:r>
              <w:rPr>
                <w:rFonts w:hint="eastAsia"/>
                <w:szCs w:val="20"/>
              </w:rPr>
              <w:t>数据自编码</w:t>
            </w:r>
          </w:p>
        </w:tc>
        <w:tc>
          <w:tcPr>
            <w:tcW w:w="6533" w:type="dxa"/>
            <w:shd w:val="clear" w:color="auto" w:fill="auto"/>
            <w:noWrap/>
          </w:tcPr>
          <w:p w14:paraId="49BC5E8E" w14:textId="77777777" w:rsidR="00A052DC" w:rsidRDefault="009F0A60">
            <w:pPr>
              <w:pStyle w:val="B"/>
              <w:rPr>
                <w:szCs w:val="20"/>
              </w:rPr>
            </w:pPr>
            <w:r>
              <w:rPr>
                <w:rFonts w:hint="eastAsia"/>
                <w:szCs w:val="20"/>
              </w:rPr>
              <w:t>该编码用于标识金融机构报送的每一条数据，按给定规则编码，便于进行增删改查等操作。建议规则：机构代码（</w:t>
            </w:r>
            <w:r>
              <w:rPr>
                <w:szCs w:val="20"/>
              </w:rPr>
              <w:t>1</w:t>
            </w:r>
            <w:r>
              <w:rPr>
                <w:rFonts w:hint="eastAsia"/>
                <w:szCs w:val="20"/>
              </w:rPr>
              <w:t>8位，不足</w:t>
            </w:r>
            <w:r>
              <w:rPr>
                <w:szCs w:val="20"/>
              </w:rPr>
              <w:t>1</w:t>
            </w:r>
            <w:r>
              <w:rPr>
                <w:rFonts w:hint="eastAsia"/>
                <w:szCs w:val="20"/>
              </w:rPr>
              <w:t>8位补</w:t>
            </w:r>
            <w:r>
              <w:rPr>
                <w:szCs w:val="20"/>
              </w:rPr>
              <w:t>a</w:t>
            </w:r>
            <w:r>
              <w:rPr>
                <w:rFonts w:hint="eastAsia"/>
                <w:szCs w:val="20"/>
              </w:rPr>
              <w:t>）</w:t>
            </w:r>
            <w:r>
              <w:rPr>
                <w:szCs w:val="20"/>
              </w:rPr>
              <w:t>+</w:t>
            </w:r>
            <w:r>
              <w:rPr>
                <w:rFonts w:hint="eastAsia"/>
                <w:szCs w:val="20"/>
              </w:rPr>
              <w:t>报表代码（</w:t>
            </w:r>
            <w:r>
              <w:rPr>
                <w:szCs w:val="20"/>
              </w:rPr>
              <w:t>5</w:t>
            </w:r>
            <w:r>
              <w:rPr>
                <w:rFonts w:hint="eastAsia"/>
                <w:szCs w:val="20"/>
              </w:rPr>
              <w:t>位，不足</w:t>
            </w:r>
            <w:r>
              <w:rPr>
                <w:szCs w:val="20"/>
              </w:rPr>
              <w:t>5</w:t>
            </w:r>
            <w:r>
              <w:rPr>
                <w:rFonts w:hint="eastAsia"/>
                <w:szCs w:val="20"/>
              </w:rPr>
              <w:t>位补</w:t>
            </w:r>
            <w:r>
              <w:rPr>
                <w:szCs w:val="20"/>
              </w:rPr>
              <w:t>a</w:t>
            </w:r>
            <w:r>
              <w:rPr>
                <w:rFonts w:hint="eastAsia"/>
                <w:szCs w:val="20"/>
              </w:rPr>
              <w:t>）</w:t>
            </w:r>
            <w:r>
              <w:rPr>
                <w:szCs w:val="20"/>
              </w:rPr>
              <w:t>+</w:t>
            </w:r>
            <w:r>
              <w:rPr>
                <w:rFonts w:hint="eastAsia"/>
                <w:szCs w:val="20"/>
              </w:rPr>
              <w:t>报送期（</w:t>
            </w:r>
            <w:r>
              <w:rPr>
                <w:szCs w:val="20"/>
              </w:rPr>
              <w:t>6</w:t>
            </w:r>
            <w:r>
              <w:rPr>
                <w:rFonts w:hint="eastAsia"/>
                <w:szCs w:val="20"/>
              </w:rPr>
              <w:t>位）</w:t>
            </w:r>
            <w:r>
              <w:rPr>
                <w:szCs w:val="20"/>
              </w:rPr>
              <w:t>+</w:t>
            </w:r>
            <w:r>
              <w:rPr>
                <w:rFonts w:hint="eastAsia"/>
                <w:szCs w:val="20"/>
              </w:rPr>
              <w:t>顺序号（</w:t>
            </w:r>
            <w:r>
              <w:rPr>
                <w:szCs w:val="20"/>
              </w:rPr>
              <w:t>7</w:t>
            </w:r>
            <w:r>
              <w:rPr>
                <w:rFonts w:hint="eastAsia"/>
                <w:szCs w:val="20"/>
              </w:rPr>
              <w:t>位，从</w:t>
            </w:r>
            <w:r>
              <w:rPr>
                <w:szCs w:val="20"/>
              </w:rPr>
              <w:t>0000001</w:t>
            </w:r>
            <w:r>
              <w:rPr>
                <w:rFonts w:hint="eastAsia"/>
                <w:szCs w:val="20"/>
              </w:rPr>
              <w:t>开始增加）。</w:t>
            </w:r>
          </w:p>
        </w:tc>
      </w:tr>
      <w:tr w:rsidR="00A052DC" w14:paraId="504A700E" w14:textId="77777777">
        <w:trPr>
          <w:cantSplit/>
          <w:jc w:val="center"/>
        </w:trPr>
        <w:tc>
          <w:tcPr>
            <w:tcW w:w="1991" w:type="dxa"/>
            <w:shd w:val="clear" w:color="auto" w:fill="auto"/>
          </w:tcPr>
          <w:p w14:paraId="1DA700F1" w14:textId="77777777" w:rsidR="00A052DC" w:rsidRDefault="009F0A60">
            <w:pPr>
              <w:pStyle w:val="B"/>
              <w:rPr>
                <w:szCs w:val="20"/>
              </w:rPr>
            </w:pPr>
            <w:r>
              <w:rPr>
                <w:rFonts w:hint="eastAsia"/>
                <w:szCs w:val="20"/>
              </w:rPr>
              <w:t>申报主体代码</w:t>
            </w:r>
          </w:p>
        </w:tc>
        <w:tc>
          <w:tcPr>
            <w:tcW w:w="6533" w:type="dxa"/>
            <w:shd w:val="clear" w:color="auto" w:fill="auto"/>
            <w:noWrap/>
          </w:tcPr>
          <w:p w14:paraId="2ADBE0C3" w14:textId="77777777" w:rsidR="00A052DC" w:rsidRDefault="009F0A60">
            <w:pPr>
              <w:pStyle w:val="B"/>
              <w:rPr>
                <w:szCs w:val="20"/>
              </w:rPr>
            </w:pPr>
            <w:r>
              <w:rPr>
                <w:rFonts w:hint="eastAsia"/>
                <w:szCs w:val="20"/>
              </w:rPr>
              <w:t>申报主体的12位金融机构标识码，如果没有金融机构标识码，则填报统一社会信用代码法定载体（如营业执照）上统一社会信用代码中的第9至17位或国家外汇管理局及其分支局签发的特殊机构代码赋码通知书上的机构代码、个人身份代码。</w:t>
            </w:r>
          </w:p>
        </w:tc>
      </w:tr>
      <w:tr w:rsidR="00A052DC" w14:paraId="4B3471E7" w14:textId="77777777">
        <w:trPr>
          <w:cantSplit/>
          <w:jc w:val="center"/>
        </w:trPr>
        <w:tc>
          <w:tcPr>
            <w:tcW w:w="1991" w:type="dxa"/>
            <w:shd w:val="clear" w:color="auto" w:fill="auto"/>
          </w:tcPr>
          <w:p w14:paraId="52B9B369" w14:textId="77777777" w:rsidR="00A052DC" w:rsidRDefault="009F0A60">
            <w:pPr>
              <w:pStyle w:val="B"/>
              <w:rPr>
                <w:szCs w:val="20"/>
              </w:rPr>
            </w:pPr>
            <w:r>
              <w:rPr>
                <w:rFonts w:hint="eastAsia"/>
                <w:szCs w:val="20"/>
              </w:rPr>
              <w:t>报告期</w:t>
            </w:r>
          </w:p>
        </w:tc>
        <w:tc>
          <w:tcPr>
            <w:tcW w:w="6533" w:type="dxa"/>
            <w:shd w:val="clear" w:color="auto" w:fill="auto"/>
            <w:noWrap/>
          </w:tcPr>
          <w:p w14:paraId="39249352" w14:textId="77777777" w:rsidR="00A052DC" w:rsidRDefault="009F0A60">
            <w:pPr>
              <w:pStyle w:val="B"/>
              <w:rPr>
                <w:szCs w:val="20"/>
              </w:rPr>
            </w:pPr>
            <w:r>
              <w:rPr>
                <w:rFonts w:hint="eastAsia"/>
                <w:szCs w:val="20"/>
              </w:rPr>
              <w:t>业务发生月份，格式为</w:t>
            </w:r>
            <w:r>
              <w:rPr>
                <w:szCs w:val="20"/>
              </w:rPr>
              <w:t>YYYYMM</w:t>
            </w:r>
            <w:r>
              <w:rPr>
                <w:rFonts w:hint="eastAsia"/>
                <w:szCs w:val="20"/>
              </w:rPr>
              <w:t>。</w:t>
            </w:r>
          </w:p>
        </w:tc>
      </w:tr>
      <w:tr w:rsidR="00A052DC" w14:paraId="68D555D4" w14:textId="77777777">
        <w:trPr>
          <w:cantSplit/>
          <w:jc w:val="center"/>
        </w:trPr>
        <w:tc>
          <w:tcPr>
            <w:tcW w:w="1991" w:type="dxa"/>
            <w:shd w:val="clear" w:color="auto" w:fill="auto"/>
          </w:tcPr>
          <w:p w14:paraId="36027ED7" w14:textId="77777777" w:rsidR="00A052DC" w:rsidRDefault="009F0A60">
            <w:pPr>
              <w:pStyle w:val="B"/>
              <w:rPr>
                <w:szCs w:val="20"/>
              </w:rPr>
            </w:pPr>
            <w:r>
              <w:rPr>
                <w:rFonts w:hint="eastAsia"/>
                <w:szCs w:val="20"/>
              </w:rPr>
              <w:t>境外投资者代码</w:t>
            </w:r>
          </w:p>
        </w:tc>
        <w:tc>
          <w:tcPr>
            <w:tcW w:w="6533" w:type="dxa"/>
            <w:shd w:val="clear" w:color="auto" w:fill="auto"/>
            <w:noWrap/>
          </w:tcPr>
          <w:p w14:paraId="18C8C25E" w14:textId="77777777" w:rsidR="00A052DC" w:rsidRDefault="009F0A60">
            <w:pPr>
              <w:pStyle w:val="B"/>
              <w:rPr>
                <w:szCs w:val="20"/>
              </w:rPr>
            </w:pPr>
            <w:r>
              <w:rPr>
                <w:rFonts w:hint="eastAsia"/>
                <w:szCs w:val="20"/>
              </w:rPr>
              <w:t>指可以唯一标识该境外投资者的代码，包括“SWIFT编码/股票证券代码/其他机构标识码”等。如果该境外投资者为境外上市企业，代码前需注明交易所编码，如纽交所代码为NYSE；多个地区上市可以只填报主要上市地的代码；如只能填报其他机构标识码，需填报境内投资主体的金融机构代码，再加上公司或集团内部编码等。所谓境外投资者，指的是有以下投资活动的境外机构或个人，包括：（1）在境内设立或投资一级分支机构、子机构、联营机构或合营机构，包括对上述境内机构的新设、追加、减少或撤回股权或营运资金投资，但境外机构在境内设立代表处不纳入本表统计；（2）在境内外证券市场买卖（含一级市场和二级市场）或场外协议买卖本机构股权，且在本统计期初或期末，持有本机构表决权≥10%的，但境外结算代理机构[如香港中央结算（代理人）]不是本机构的投资者；（3）购买本机构境外发行的基金，且在本统计期初或期末，持有该境外基金份额或单位≥10%的；（4）本统计期初或期末，持有境内非上市机构（如私募基金等）表决权≥10%的投资者。</w:t>
            </w:r>
          </w:p>
        </w:tc>
      </w:tr>
      <w:tr w:rsidR="00A052DC" w14:paraId="5D7CAEFF" w14:textId="77777777">
        <w:trPr>
          <w:cantSplit/>
          <w:jc w:val="center"/>
        </w:trPr>
        <w:tc>
          <w:tcPr>
            <w:tcW w:w="1991" w:type="dxa"/>
            <w:shd w:val="clear" w:color="auto" w:fill="auto"/>
          </w:tcPr>
          <w:p w14:paraId="5B4AA35F" w14:textId="77777777" w:rsidR="00A052DC" w:rsidRDefault="009F0A60">
            <w:pPr>
              <w:pStyle w:val="B"/>
              <w:rPr>
                <w:szCs w:val="20"/>
              </w:rPr>
            </w:pPr>
            <w:r>
              <w:rPr>
                <w:rFonts w:hint="eastAsia"/>
                <w:szCs w:val="20"/>
              </w:rPr>
              <w:t>境外投资者全称</w:t>
            </w:r>
          </w:p>
        </w:tc>
        <w:tc>
          <w:tcPr>
            <w:tcW w:w="6533" w:type="dxa"/>
            <w:shd w:val="clear" w:color="auto" w:fill="auto"/>
            <w:noWrap/>
          </w:tcPr>
          <w:p w14:paraId="596A48EE" w14:textId="77777777" w:rsidR="00A052DC" w:rsidRDefault="009F0A60">
            <w:pPr>
              <w:pStyle w:val="B"/>
              <w:rPr>
                <w:szCs w:val="20"/>
              </w:rPr>
            </w:pPr>
            <w:r>
              <w:rPr>
                <w:rFonts w:hint="eastAsia"/>
                <w:szCs w:val="20"/>
              </w:rPr>
              <w:t>指上述境外投资者的中文名称及当地注册的英文名称，如为其他语言名称，可不填写外文名称，但必须填写中文名称。</w:t>
            </w:r>
          </w:p>
        </w:tc>
      </w:tr>
      <w:tr w:rsidR="00A052DC" w14:paraId="266B0868" w14:textId="77777777">
        <w:trPr>
          <w:cantSplit/>
          <w:jc w:val="center"/>
        </w:trPr>
        <w:tc>
          <w:tcPr>
            <w:tcW w:w="1991" w:type="dxa"/>
            <w:shd w:val="clear" w:color="auto" w:fill="auto"/>
          </w:tcPr>
          <w:p w14:paraId="135252FE" w14:textId="77777777" w:rsidR="00A052DC" w:rsidRDefault="009F0A60">
            <w:pPr>
              <w:pStyle w:val="B"/>
              <w:rPr>
                <w:szCs w:val="20"/>
              </w:rPr>
            </w:pPr>
            <w:r>
              <w:rPr>
                <w:rFonts w:hint="eastAsia"/>
                <w:szCs w:val="20"/>
              </w:rPr>
              <w:t>境外投资者所属国家</w:t>
            </w:r>
            <w:r>
              <w:rPr>
                <w:szCs w:val="20"/>
              </w:rPr>
              <w:t>/</w:t>
            </w:r>
            <w:r>
              <w:rPr>
                <w:rFonts w:hint="eastAsia"/>
                <w:szCs w:val="20"/>
              </w:rPr>
              <w:t>地区</w:t>
            </w:r>
          </w:p>
        </w:tc>
        <w:tc>
          <w:tcPr>
            <w:tcW w:w="6533" w:type="dxa"/>
            <w:shd w:val="clear" w:color="auto" w:fill="auto"/>
            <w:noWrap/>
          </w:tcPr>
          <w:p w14:paraId="58469265" w14:textId="77777777" w:rsidR="00A052DC" w:rsidRDefault="009F0A60">
            <w:pPr>
              <w:pStyle w:val="B"/>
              <w:rPr>
                <w:szCs w:val="20"/>
              </w:rPr>
            </w:pPr>
            <w:r>
              <w:rPr>
                <w:rFonts w:hint="eastAsia"/>
                <w:szCs w:val="20"/>
              </w:rPr>
              <w:t>指上述境外投资者注册登记或常驻（住）的国家或地区，见国家和地区代码表。</w:t>
            </w:r>
          </w:p>
        </w:tc>
      </w:tr>
      <w:tr w:rsidR="00A052DC" w14:paraId="47EA717A" w14:textId="77777777">
        <w:trPr>
          <w:cantSplit/>
          <w:jc w:val="center"/>
        </w:trPr>
        <w:tc>
          <w:tcPr>
            <w:tcW w:w="1991" w:type="dxa"/>
            <w:shd w:val="clear" w:color="auto" w:fill="auto"/>
          </w:tcPr>
          <w:p w14:paraId="732E3DD8" w14:textId="77777777" w:rsidR="00A052DC" w:rsidRDefault="009F0A60">
            <w:pPr>
              <w:pStyle w:val="B"/>
              <w:rPr>
                <w:szCs w:val="20"/>
              </w:rPr>
            </w:pPr>
            <w:r>
              <w:rPr>
                <w:rFonts w:hint="eastAsia"/>
                <w:szCs w:val="20"/>
              </w:rPr>
              <w:t>境外投资者所属行业</w:t>
            </w:r>
          </w:p>
        </w:tc>
        <w:tc>
          <w:tcPr>
            <w:tcW w:w="6533" w:type="dxa"/>
            <w:shd w:val="clear" w:color="auto" w:fill="auto"/>
            <w:noWrap/>
          </w:tcPr>
          <w:p w14:paraId="50076CEC" w14:textId="77777777" w:rsidR="00A052DC" w:rsidRDefault="009F0A60">
            <w:pPr>
              <w:pStyle w:val="B"/>
              <w:rPr>
                <w:szCs w:val="20"/>
              </w:rPr>
            </w:pPr>
            <w:r>
              <w:rPr>
                <w:rFonts w:hint="eastAsia"/>
                <w:szCs w:val="20"/>
              </w:rPr>
              <w:t>境外投资者所属行业，见境外（被）投资者所属行业表。请按境外投资者的主营业务归类。</w:t>
            </w:r>
          </w:p>
        </w:tc>
      </w:tr>
      <w:tr w:rsidR="00A052DC" w14:paraId="31DC8FCC" w14:textId="77777777">
        <w:trPr>
          <w:cantSplit/>
          <w:jc w:val="center"/>
        </w:trPr>
        <w:tc>
          <w:tcPr>
            <w:tcW w:w="1991" w:type="dxa"/>
            <w:shd w:val="clear" w:color="auto" w:fill="auto"/>
          </w:tcPr>
          <w:p w14:paraId="081023B3" w14:textId="77777777" w:rsidR="00A052DC" w:rsidRDefault="009F0A60">
            <w:pPr>
              <w:pStyle w:val="B"/>
              <w:rPr>
                <w:szCs w:val="20"/>
              </w:rPr>
            </w:pPr>
            <w:r>
              <w:rPr>
                <w:rFonts w:hint="eastAsia"/>
                <w:szCs w:val="20"/>
              </w:rPr>
              <w:t>境外投资者与本机构的关系</w:t>
            </w:r>
          </w:p>
        </w:tc>
        <w:tc>
          <w:tcPr>
            <w:tcW w:w="6533" w:type="dxa"/>
            <w:shd w:val="clear" w:color="auto" w:fill="auto"/>
            <w:noWrap/>
          </w:tcPr>
          <w:p w14:paraId="6E363D5A" w14:textId="77777777" w:rsidR="00A052DC" w:rsidRDefault="009F0A60">
            <w:pPr>
              <w:pStyle w:val="B"/>
              <w:rPr>
                <w:szCs w:val="20"/>
              </w:rPr>
            </w:pPr>
            <w:r>
              <w:rPr>
                <w:rFonts w:hint="eastAsia"/>
                <w:szCs w:val="20"/>
              </w:rPr>
              <w:t>指本机构是上述境外投资者的：</w:t>
            </w:r>
            <w:r>
              <w:rPr>
                <w:szCs w:val="20"/>
              </w:rPr>
              <w:t>1-</w:t>
            </w:r>
            <w:r>
              <w:rPr>
                <w:rFonts w:hint="eastAsia"/>
                <w:szCs w:val="20"/>
              </w:rPr>
              <w:t>境内分支机构（非法人），即境外投资者持有本机构表决权≥</w:t>
            </w:r>
            <w:r>
              <w:rPr>
                <w:szCs w:val="20"/>
              </w:rPr>
              <w:t>10%</w:t>
            </w:r>
            <w:r>
              <w:rPr>
                <w:rFonts w:hint="eastAsia"/>
                <w:szCs w:val="20"/>
              </w:rPr>
              <w:t>；</w:t>
            </w:r>
            <w:r>
              <w:rPr>
                <w:szCs w:val="20"/>
              </w:rPr>
              <w:t>2-</w:t>
            </w:r>
            <w:r>
              <w:rPr>
                <w:rFonts w:hint="eastAsia"/>
                <w:szCs w:val="20"/>
              </w:rPr>
              <w:t>境内子机构（法人），即境外投资者持有本机构表决权＞</w:t>
            </w:r>
            <w:r>
              <w:rPr>
                <w:szCs w:val="20"/>
              </w:rPr>
              <w:t>50%</w:t>
            </w:r>
            <w:r>
              <w:rPr>
                <w:rFonts w:hint="eastAsia"/>
                <w:szCs w:val="20"/>
              </w:rPr>
              <w:t>；</w:t>
            </w:r>
            <w:r>
              <w:rPr>
                <w:szCs w:val="20"/>
              </w:rPr>
              <w:t>3-</w:t>
            </w:r>
            <w:r>
              <w:rPr>
                <w:rFonts w:hint="eastAsia"/>
                <w:szCs w:val="20"/>
              </w:rPr>
              <w:t>境内联营或合营机构，即境外投资者持有本机构表决权≥</w:t>
            </w:r>
            <w:r>
              <w:rPr>
                <w:szCs w:val="20"/>
              </w:rPr>
              <w:t>10%</w:t>
            </w:r>
            <w:r>
              <w:rPr>
                <w:rFonts w:hint="eastAsia"/>
                <w:szCs w:val="20"/>
              </w:rPr>
              <w:t>，但≤</w:t>
            </w:r>
            <w:r>
              <w:rPr>
                <w:szCs w:val="20"/>
              </w:rPr>
              <w:t>50%</w:t>
            </w:r>
            <w:r>
              <w:rPr>
                <w:rFonts w:hint="eastAsia"/>
                <w:szCs w:val="20"/>
              </w:rPr>
              <w:t>。</w:t>
            </w:r>
          </w:p>
        </w:tc>
      </w:tr>
      <w:tr w:rsidR="00A052DC" w14:paraId="68B9BD6D" w14:textId="77777777">
        <w:trPr>
          <w:cantSplit/>
          <w:jc w:val="center"/>
        </w:trPr>
        <w:tc>
          <w:tcPr>
            <w:tcW w:w="1991" w:type="dxa"/>
            <w:shd w:val="clear" w:color="auto" w:fill="auto"/>
          </w:tcPr>
          <w:p w14:paraId="75854060" w14:textId="77777777" w:rsidR="00A052DC" w:rsidRDefault="009F0A60">
            <w:pPr>
              <w:pStyle w:val="B"/>
              <w:rPr>
                <w:szCs w:val="20"/>
              </w:rPr>
            </w:pPr>
            <w:r>
              <w:rPr>
                <w:rFonts w:hint="eastAsia"/>
                <w:szCs w:val="20"/>
              </w:rPr>
              <w:t>境外投资者</w:t>
            </w:r>
            <w:r>
              <w:rPr>
                <w:rFonts w:hint="eastAsia"/>
              </w:rPr>
              <w:t>最终控制方全称</w:t>
            </w:r>
          </w:p>
        </w:tc>
        <w:tc>
          <w:tcPr>
            <w:tcW w:w="6533" w:type="dxa"/>
            <w:shd w:val="clear" w:color="auto" w:fill="auto"/>
            <w:noWrap/>
          </w:tcPr>
          <w:p w14:paraId="140396B8" w14:textId="77777777" w:rsidR="00A052DC" w:rsidRDefault="009F0A60">
            <w:pPr>
              <w:pStyle w:val="B"/>
              <w:rPr>
                <w:szCs w:val="20"/>
              </w:rPr>
            </w:pPr>
            <w:r>
              <w:rPr>
                <w:rFonts w:hint="eastAsia"/>
              </w:rPr>
              <w:t>对</w:t>
            </w:r>
            <w:r>
              <w:rPr>
                <w:rFonts w:hint="eastAsia"/>
                <w:szCs w:val="20"/>
              </w:rPr>
              <w:t>境外投资者</w:t>
            </w:r>
            <w:r>
              <w:rPr>
                <w:rFonts w:hint="eastAsia"/>
              </w:rPr>
              <w:t>具有最终控制权（通过控制权逐级传递）的母机构或个人的中文名称及当地注册的英文名称。如为其他语言名称，可不填写外文名称，但必须填写中文名称。</w:t>
            </w:r>
          </w:p>
        </w:tc>
      </w:tr>
      <w:tr w:rsidR="00A052DC" w14:paraId="7B574E8B" w14:textId="77777777">
        <w:trPr>
          <w:cantSplit/>
          <w:jc w:val="center"/>
        </w:trPr>
        <w:tc>
          <w:tcPr>
            <w:tcW w:w="1991" w:type="dxa"/>
            <w:shd w:val="clear" w:color="auto" w:fill="auto"/>
          </w:tcPr>
          <w:p w14:paraId="38A4DB5C" w14:textId="77777777" w:rsidR="00A052DC" w:rsidRDefault="009F0A60">
            <w:pPr>
              <w:pStyle w:val="B"/>
              <w:rPr>
                <w:szCs w:val="20"/>
              </w:rPr>
            </w:pPr>
            <w:r>
              <w:rPr>
                <w:rFonts w:hint="eastAsia"/>
                <w:szCs w:val="20"/>
              </w:rPr>
              <w:t>境外投资者</w:t>
            </w:r>
            <w:r>
              <w:rPr>
                <w:rFonts w:hint="eastAsia"/>
              </w:rPr>
              <w:t>最终控制方所属国家</w:t>
            </w:r>
            <w:r>
              <w:t>/</w:t>
            </w:r>
            <w:r>
              <w:rPr>
                <w:rFonts w:hint="eastAsia"/>
              </w:rPr>
              <w:t>地区</w:t>
            </w:r>
          </w:p>
        </w:tc>
        <w:tc>
          <w:tcPr>
            <w:tcW w:w="6533" w:type="dxa"/>
            <w:shd w:val="clear" w:color="auto" w:fill="auto"/>
            <w:noWrap/>
          </w:tcPr>
          <w:p w14:paraId="27802D51" w14:textId="77777777" w:rsidR="00A052DC" w:rsidRDefault="009F0A60">
            <w:pPr>
              <w:pStyle w:val="B"/>
              <w:rPr>
                <w:szCs w:val="20"/>
              </w:rPr>
            </w:pPr>
            <w:r>
              <w:rPr>
                <w:rFonts w:hint="eastAsia"/>
              </w:rPr>
              <w:t>指上述</w:t>
            </w:r>
            <w:r>
              <w:rPr>
                <w:rFonts w:hint="eastAsia"/>
                <w:szCs w:val="20"/>
              </w:rPr>
              <w:t>境外投资者</w:t>
            </w:r>
            <w:r>
              <w:rPr>
                <w:rFonts w:hint="eastAsia"/>
              </w:rPr>
              <w:t>最终控制方注册登记或常驻（住）的国家或地区，见国家和地区代码表。</w:t>
            </w:r>
          </w:p>
        </w:tc>
      </w:tr>
      <w:tr w:rsidR="00A052DC" w14:paraId="70A1A5E9" w14:textId="77777777">
        <w:trPr>
          <w:cantSplit/>
          <w:jc w:val="center"/>
        </w:trPr>
        <w:tc>
          <w:tcPr>
            <w:tcW w:w="1991" w:type="dxa"/>
            <w:shd w:val="clear" w:color="auto" w:fill="auto"/>
          </w:tcPr>
          <w:p w14:paraId="5F6D2DB2" w14:textId="77777777" w:rsidR="00A052DC" w:rsidRDefault="009F0A60">
            <w:pPr>
              <w:pStyle w:val="B"/>
              <w:rPr>
                <w:szCs w:val="20"/>
              </w:rPr>
            </w:pPr>
            <w:r>
              <w:rPr>
                <w:rFonts w:hint="eastAsia"/>
                <w:szCs w:val="20"/>
              </w:rPr>
              <w:t>期末</w:t>
            </w:r>
            <w:r>
              <w:rPr>
                <w:szCs w:val="20"/>
              </w:rPr>
              <w:t>(</w:t>
            </w:r>
            <w:r>
              <w:rPr>
                <w:rFonts w:hint="eastAsia"/>
                <w:szCs w:val="20"/>
              </w:rPr>
              <w:t>外方</w:t>
            </w:r>
            <w:r>
              <w:rPr>
                <w:szCs w:val="20"/>
              </w:rPr>
              <w:t>)</w:t>
            </w:r>
            <w:r>
              <w:rPr>
                <w:rFonts w:hint="eastAsia"/>
                <w:szCs w:val="20"/>
              </w:rPr>
              <w:t>表决权比例</w:t>
            </w:r>
            <w:r>
              <w:rPr>
                <w:szCs w:val="20"/>
              </w:rPr>
              <w:t>(%)</w:t>
            </w:r>
          </w:p>
        </w:tc>
        <w:tc>
          <w:tcPr>
            <w:tcW w:w="6533" w:type="dxa"/>
            <w:shd w:val="clear" w:color="auto" w:fill="auto"/>
            <w:noWrap/>
          </w:tcPr>
          <w:p w14:paraId="7A7EE199" w14:textId="77777777" w:rsidR="00A052DC" w:rsidRDefault="009F0A60">
            <w:pPr>
              <w:pStyle w:val="B"/>
              <w:rPr>
                <w:szCs w:val="20"/>
              </w:rPr>
            </w:pPr>
            <w:r>
              <w:rPr>
                <w:rFonts w:hint="eastAsia"/>
                <w:szCs w:val="20"/>
              </w:rPr>
              <w:t>对应月度末，境外投资者在本机构经营管理等重大事项的决定权或投票权中所占比例。</w:t>
            </w:r>
          </w:p>
        </w:tc>
      </w:tr>
      <w:tr w:rsidR="00A052DC" w14:paraId="0C9CF000" w14:textId="77777777">
        <w:trPr>
          <w:cantSplit/>
          <w:jc w:val="center"/>
        </w:trPr>
        <w:tc>
          <w:tcPr>
            <w:tcW w:w="1991" w:type="dxa"/>
            <w:shd w:val="clear" w:color="auto" w:fill="auto"/>
          </w:tcPr>
          <w:p w14:paraId="0466DB40" w14:textId="77777777" w:rsidR="00A052DC" w:rsidRDefault="009F0A60">
            <w:pPr>
              <w:pStyle w:val="B"/>
              <w:rPr>
                <w:szCs w:val="20"/>
              </w:rPr>
            </w:pPr>
            <w:r>
              <w:rPr>
                <w:rFonts w:hint="eastAsia"/>
                <w:szCs w:val="20"/>
              </w:rPr>
              <w:t>期末</w:t>
            </w:r>
            <w:r>
              <w:rPr>
                <w:szCs w:val="20"/>
              </w:rPr>
              <w:t>(</w:t>
            </w:r>
            <w:r>
              <w:rPr>
                <w:rFonts w:hint="eastAsia"/>
                <w:szCs w:val="20"/>
              </w:rPr>
              <w:t>外方</w:t>
            </w:r>
            <w:r>
              <w:rPr>
                <w:szCs w:val="20"/>
              </w:rPr>
              <w:t>)</w:t>
            </w:r>
            <w:r>
              <w:rPr>
                <w:rFonts w:hint="eastAsia"/>
                <w:szCs w:val="20"/>
              </w:rPr>
              <w:t>持股比例</w:t>
            </w:r>
            <w:r>
              <w:rPr>
                <w:szCs w:val="20"/>
              </w:rPr>
              <w:t>(%)</w:t>
            </w:r>
          </w:p>
        </w:tc>
        <w:tc>
          <w:tcPr>
            <w:tcW w:w="6533" w:type="dxa"/>
            <w:shd w:val="clear" w:color="auto" w:fill="auto"/>
            <w:noWrap/>
          </w:tcPr>
          <w:p w14:paraId="78F5E69C" w14:textId="77777777" w:rsidR="00A052DC" w:rsidRDefault="009F0A60">
            <w:pPr>
              <w:pStyle w:val="B"/>
              <w:rPr>
                <w:szCs w:val="20"/>
              </w:rPr>
            </w:pPr>
            <w:r>
              <w:rPr>
                <w:rFonts w:hint="eastAsia"/>
                <w:szCs w:val="20"/>
              </w:rPr>
              <w:t>对应月度末，对应境外投资者在本机构权益中所占的比例。对由于没有独立的所有者权益或股权资本的境内分支机构，应比照全资境内子公司的情况记录持股比例情况。如，</w:t>
            </w:r>
            <w:r>
              <w:rPr>
                <w:szCs w:val="20"/>
              </w:rPr>
              <w:t>100%</w:t>
            </w:r>
            <w:r>
              <w:rPr>
                <w:rFonts w:hint="eastAsia"/>
                <w:szCs w:val="20"/>
              </w:rPr>
              <w:t>为境外投资者所有的境内分支机构，外方持股比例为</w:t>
            </w:r>
            <w:r>
              <w:rPr>
                <w:szCs w:val="20"/>
              </w:rPr>
              <w:t>100%</w:t>
            </w:r>
            <w:r>
              <w:rPr>
                <w:rFonts w:hint="eastAsia"/>
                <w:szCs w:val="20"/>
              </w:rPr>
              <w:t>。</w:t>
            </w:r>
          </w:p>
        </w:tc>
      </w:tr>
      <w:tr w:rsidR="00A052DC" w14:paraId="20826CF3" w14:textId="77777777">
        <w:trPr>
          <w:cantSplit/>
          <w:jc w:val="center"/>
        </w:trPr>
        <w:tc>
          <w:tcPr>
            <w:tcW w:w="1991" w:type="dxa"/>
            <w:shd w:val="clear" w:color="auto" w:fill="auto"/>
          </w:tcPr>
          <w:p w14:paraId="7BAFF741" w14:textId="77777777" w:rsidR="00A052DC" w:rsidRDefault="009F0A60">
            <w:pPr>
              <w:pStyle w:val="B"/>
              <w:rPr>
                <w:szCs w:val="20"/>
              </w:rPr>
            </w:pPr>
            <w:r>
              <w:rPr>
                <w:rFonts w:hint="eastAsia"/>
                <w:szCs w:val="20"/>
              </w:rPr>
              <w:t>可流通股票（份额）的记账币种（原币）</w:t>
            </w:r>
          </w:p>
        </w:tc>
        <w:tc>
          <w:tcPr>
            <w:tcW w:w="6533" w:type="dxa"/>
            <w:shd w:val="clear" w:color="auto" w:fill="auto"/>
            <w:noWrap/>
          </w:tcPr>
          <w:p w14:paraId="28AD6EDA" w14:textId="77777777" w:rsidR="00A052DC" w:rsidRDefault="009F0A60">
            <w:pPr>
              <w:pStyle w:val="B"/>
              <w:rPr>
                <w:szCs w:val="20"/>
              </w:rPr>
            </w:pPr>
            <w:r>
              <w:rPr>
                <w:rFonts w:hint="eastAsia"/>
                <w:szCs w:val="20"/>
              </w:rPr>
              <w:t>指对应月度末，境外投资者持有的本机构可流通股票或基金份额的记账币种，见币种代码表。如果对应境外投资者持有本机构多个市场发行的股票或基金份额，应按照不同上市地的计价币种和股票或份额分别填报。如无可流通股票或基金份额，此项填“</w:t>
            </w:r>
            <w:r>
              <w:rPr>
                <w:szCs w:val="20"/>
              </w:rPr>
              <w:t>N/A</w:t>
            </w:r>
            <w:r>
              <w:rPr>
                <w:rFonts w:hint="eastAsia"/>
                <w:szCs w:val="20"/>
              </w:rPr>
              <w:t>”。</w:t>
            </w:r>
          </w:p>
        </w:tc>
      </w:tr>
      <w:tr w:rsidR="00A052DC" w14:paraId="5138C4A8" w14:textId="77777777">
        <w:trPr>
          <w:cantSplit/>
          <w:jc w:val="center"/>
        </w:trPr>
        <w:tc>
          <w:tcPr>
            <w:tcW w:w="1991" w:type="dxa"/>
            <w:shd w:val="clear" w:color="auto" w:fill="auto"/>
          </w:tcPr>
          <w:p w14:paraId="469A7241" w14:textId="77777777" w:rsidR="00A052DC" w:rsidRDefault="009F0A60">
            <w:pPr>
              <w:pStyle w:val="B"/>
              <w:rPr>
                <w:szCs w:val="20"/>
              </w:rPr>
            </w:pPr>
            <w:r>
              <w:rPr>
                <w:rFonts w:hint="eastAsia"/>
                <w:szCs w:val="20"/>
              </w:rPr>
              <w:t>持股（份额）数量</w:t>
            </w:r>
          </w:p>
        </w:tc>
        <w:tc>
          <w:tcPr>
            <w:tcW w:w="6533" w:type="dxa"/>
            <w:shd w:val="clear" w:color="auto" w:fill="auto"/>
            <w:noWrap/>
          </w:tcPr>
          <w:p w14:paraId="2E1E087F" w14:textId="77777777" w:rsidR="00A052DC" w:rsidRDefault="009F0A60">
            <w:pPr>
              <w:pStyle w:val="B"/>
              <w:rPr>
                <w:szCs w:val="20"/>
              </w:rPr>
            </w:pPr>
            <w:r>
              <w:rPr>
                <w:rFonts w:hint="eastAsia"/>
                <w:szCs w:val="20"/>
              </w:rPr>
              <w:t>指对应月度末，境外投资者持有的本机构对应币种可流通股票的股数或基金份额的份数。如无可流通股票或基金份额，此项为零。</w:t>
            </w:r>
          </w:p>
        </w:tc>
      </w:tr>
      <w:tr w:rsidR="00A052DC" w14:paraId="10F83F17" w14:textId="77777777">
        <w:trPr>
          <w:cantSplit/>
          <w:jc w:val="center"/>
        </w:trPr>
        <w:tc>
          <w:tcPr>
            <w:tcW w:w="1991" w:type="dxa"/>
            <w:shd w:val="clear" w:color="auto" w:fill="auto"/>
          </w:tcPr>
          <w:p w14:paraId="09DD36AE" w14:textId="77777777" w:rsidR="00A052DC" w:rsidRDefault="009F0A60">
            <w:pPr>
              <w:pStyle w:val="B"/>
              <w:rPr>
                <w:szCs w:val="20"/>
              </w:rPr>
            </w:pPr>
            <w:r>
              <w:rPr>
                <w:rFonts w:hint="eastAsia"/>
                <w:szCs w:val="20"/>
              </w:rPr>
              <w:t>每股（每份）市价</w:t>
            </w:r>
          </w:p>
        </w:tc>
        <w:tc>
          <w:tcPr>
            <w:tcW w:w="6533" w:type="dxa"/>
            <w:shd w:val="clear" w:color="auto" w:fill="auto"/>
            <w:noWrap/>
          </w:tcPr>
          <w:p w14:paraId="068755EE" w14:textId="77777777" w:rsidR="00A052DC" w:rsidRDefault="009F0A60">
            <w:pPr>
              <w:pStyle w:val="B"/>
              <w:rPr>
                <w:szCs w:val="20"/>
              </w:rPr>
            </w:pPr>
            <w:r>
              <w:rPr>
                <w:rFonts w:hint="eastAsia"/>
                <w:szCs w:val="20"/>
              </w:rPr>
              <w:t>指对应月度末最后一个股票交易日每股股票或基金份额的收盘价。如果对应境外投资者持有本机构多个市场发行的股票或基金份额，应按照不同上市地的计价币种和股票或份额的价格分别填报。对于非公开上市但存在月末重估市值的股权或基金份额，应填报相关估值金额。如无可流通股票或基金份额，此项为零。</w:t>
            </w:r>
          </w:p>
        </w:tc>
      </w:tr>
      <w:tr w:rsidR="00A052DC" w14:paraId="429A96B1" w14:textId="77777777">
        <w:trPr>
          <w:cantSplit/>
          <w:jc w:val="center"/>
        </w:trPr>
        <w:tc>
          <w:tcPr>
            <w:tcW w:w="1991" w:type="dxa"/>
            <w:shd w:val="clear" w:color="auto" w:fill="auto"/>
          </w:tcPr>
          <w:p w14:paraId="1E990E9A" w14:textId="77777777" w:rsidR="00A052DC" w:rsidRDefault="009F0A60">
            <w:pPr>
              <w:pStyle w:val="B"/>
              <w:rPr>
                <w:szCs w:val="20"/>
              </w:rPr>
            </w:pPr>
            <w:r>
              <w:rPr>
                <w:rFonts w:hint="eastAsia"/>
                <w:szCs w:val="20"/>
              </w:rPr>
              <w:t>备注</w:t>
            </w:r>
          </w:p>
        </w:tc>
        <w:tc>
          <w:tcPr>
            <w:tcW w:w="6533" w:type="dxa"/>
            <w:shd w:val="clear" w:color="auto" w:fill="auto"/>
            <w:noWrap/>
          </w:tcPr>
          <w:p w14:paraId="70D1FB17" w14:textId="77777777" w:rsidR="00A052DC" w:rsidRDefault="009F0A60">
            <w:pPr>
              <w:pStyle w:val="B"/>
              <w:rPr>
                <w:szCs w:val="20"/>
              </w:rPr>
            </w:pPr>
            <w:r>
              <w:rPr>
                <w:rFonts w:hint="eastAsia"/>
                <w:szCs w:val="20"/>
              </w:rPr>
              <w:t>需要说明的备注事项。</w:t>
            </w:r>
          </w:p>
        </w:tc>
      </w:tr>
    </w:tbl>
    <w:p w14:paraId="3F93EF86" w14:textId="77777777" w:rsidR="00A052DC" w:rsidRPr="00E11A03" w:rsidRDefault="00A412F6">
      <w:pPr>
        <w:rPr>
          <w:rFonts w:ascii="仿宋_GB2312" w:eastAsia="仿宋_GB2312"/>
        </w:rPr>
      </w:pPr>
      <w:r w:rsidRPr="00A412F6">
        <w:rPr>
          <w:rFonts w:ascii="仿宋_GB2312" w:eastAsia="仿宋_GB2312" w:hint="eastAsia"/>
        </w:rPr>
        <w:t>注：本表可填写5组可流通股票（份额）的记账币种（原币）、境外投资者持股（份额）数量和每股（每份）市价，在数据字典里用可流通股票（份额）的记账币种（原币）N、境外投资者持股（份额）数量N和每股（每份）市价N表示。</w:t>
      </w:r>
    </w:p>
    <w:p w14:paraId="2958BEC0" w14:textId="77777777" w:rsidR="00A052DC" w:rsidRDefault="009F0A60" w:rsidP="0020251D">
      <w:pPr>
        <w:pStyle w:val="4"/>
        <w:numPr>
          <w:ilvl w:val="3"/>
          <w:numId w:val="1"/>
        </w:numPr>
        <w:jc w:val="left"/>
      </w:pPr>
      <w:bookmarkStart w:id="3023" w:name="_Toc380570917"/>
      <w:bookmarkStart w:id="3024" w:name="_Toc454391245"/>
      <w:r>
        <w:rPr>
          <w:rFonts w:hint="eastAsia"/>
        </w:rPr>
        <w:t>数据格式</w:t>
      </w:r>
      <w:bookmarkEnd w:id="3023"/>
      <w:bookmarkEnd w:id="3024"/>
    </w:p>
    <w:p w14:paraId="4C9A81C6" w14:textId="77777777" w:rsidR="00A052DC" w:rsidRDefault="009F0A60">
      <w:pPr>
        <w:ind w:firstLine="480"/>
      </w:pPr>
      <w:r>
        <w:t>&lt;REC&gt;</w:t>
      </w:r>
    </w:p>
    <w:p w14:paraId="5E716158" w14:textId="77777777" w:rsidR="00A052DC" w:rsidRDefault="009F0A60">
      <w:pPr>
        <w:ind w:firstLine="480"/>
      </w:pPr>
      <w:r>
        <w:t>&lt;ACTIONTYPE&gt;</w:t>
      </w:r>
      <w:r>
        <w:rPr>
          <w:rFonts w:hAnsi="宋体"/>
        </w:rPr>
        <w:t>操作类型</w:t>
      </w:r>
      <w:r>
        <w:t>&lt;/ACTIONTYPE&gt;</w:t>
      </w:r>
    </w:p>
    <w:p w14:paraId="3EB053B2" w14:textId="77777777" w:rsidR="00A052DC" w:rsidRDefault="009F0A60">
      <w:pPr>
        <w:ind w:firstLine="480"/>
      </w:pPr>
      <w:r>
        <w:t>&lt;ACTIONDESC&gt;</w:t>
      </w:r>
      <w:r>
        <w:rPr>
          <w:rFonts w:hAnsi="宋体"/>
        </w:rPr>
        <w:t>删除原因</w:t>
      </w:r>
      <w:r>
        <w:t>&lt;/ACTIONDESC&gt;</w:t>
      </w:r>
    </w:p>
    <w:p w14:paraId="0D87AEA1" w14:textId="77777777" w:rsidR="00A052DC" w:rsidRDefault="009F0A60">
      <w:pPr>
        <w:ind w:firstLine="480"/>
      </w:pPr>
      <w:r>
        <w:t>&lt;SNOCODE&gt;</w:t>
      </w:r>
      <w:r>
        <w:rPr>
          <w:rFonts w:hAnsi="宋体"/>
        </w:rPr>
        <w:t>数据自编码</w:t>
      </w:r>
      <w:r>
        <w:t>&lt;/SNOCODE&gt;</w:t>
      </w:r>
    </w:p>
    <w:p w14:paraId="29431D99" w14:textId="77777777" w:rsidR="00A052DC" w:rsidRDefault="009F0A60">
      <w:pPr>
        <w:ind w:firstLine="480"/>
      </w:pPr>
      <w:r>
        <w:t>&lt;OBJCODE&gt;</w:t>
      </w:r>
      <w:r>
        <w:rPr>
          <w:rFonts w:hAnsi="宋体"/>
        </w:rPr>
        <w:t>申报主体代码</w:t>
      </w:r>
      <w:r>
        <w:t>&lt;/OBJCODE&gt;</w:t>
      </w:r>
    </w:p>
    <w:p w14:paraId="0ED33886" w14:textId="77777777" w:rsidR="00A052DC" w:rsidRDefault="009F0A60">
      <w:pPr>
        <w:ind w:firstLine="480"/>
      </w:pPr>
      <w:r>
        <w:t>&lt;BUOCMONTH&gt;</w:t>
      </w:r>
      <w:r>
        <w:rPr>
          <w:rFonts w:hAnsi="宋体"/>
        </w:rPr>
        <w:t>报告期</w:t>
      </w:r>
      <w:r>
        <w:t>&lt;/BUOCMONTH&gt;</w:t>
      </w:r>
    </w:p>
    <w:p w14:paraId="582C1A29" w14:textId="77777777" w:rsidR="00A052DC" w:rsidRDefault="009F0A60">
      <w:pPr>
        <w:ind w:firstLine="426"/>
      </w:pPr>
      <w:r>
        <w:t>&lt;A0218&gt;</w:t>
      </w:r>
      <w:r>
        <w:rPr>
          <w:rFonts w:hAnsi="宋体"/>
        </w:rPr>
        <w:t>境外投资者代码</w:t>
      </w:r>
      <w:r>
        <w:t>&lt;/A0218&gt;</w:t>
      </w:r>
    </w:p>
    <w:p w14:paraId="2EF47A8D" w14:textId="77777777" w:rsidR="00A052DC" w:rsidRDefault="009F0A60">
      <w:pPr>
        <w:ind w:firstLine="426"/>
      </w:pPr>
      <w:r>
        <w:t>&lt;A0219&gt;</w:t>
      </w:r>
      <w:r>
        <w:rPr>
          <w:rFonts w:hAnsi="宋体"/>
        </w:rPr>
        <w:t>境外投资者全称</w:t>
      </w:r>
      <w:r>
        <w:t>&lt;/A0219&gt;</w:t>
      </w:r>
    </w:p>
    <w:p w14:paraId="740E3D06" w14:textId="77777777" w:rsidR="00A052DC" w:rsidRDefault="009F0A60">
      <w:pPr>
        <w:ind w:firstLine="426"/>
      </w:pPr>
      <w:r>
        <w:t>&lt;A0220&gt;</w:t>
      </w:r>
      <w:r>
        <w:rPr>
          <w:rFonts w:hAnsi="宋体"/>
        </w:rPr>
        <w:t>境外投资者所属国家</w:t>
      </w:r>
      <w:r>
        <w:t>/</w:t>
      </w:r>
      <w:r>
        <w:rPr>
          <w:rFonts w:hAnsi="宋体"/>
        </w:rPr>
        <w:t>地区</w:t>
      </w:r>
      <w:r>
        <w:t>&lt;/A0220&gt;</w:t>
      </w:r>
    </w:p>
    <w:p w14:paraId="61480C29" w14:textId="77777777" w:rsidR="00A052DC" w:rsidRDefault="009F0A60">
      <w:pPr>
        <w:ind w:firstLine="426"/>
      </w:pPr>
      <w:r>
        <w:t>&lt;A0221&gt;</w:t>
      </w:r>
      <w:r>
        <w:rPr>
          <w:rFonts w:hAnsi="宋体"/>
        </w:rPr>
        <w:t>境外投资者所属行业</w:t>
      </w:r>
      <w:r>
        <w:t>&lt;/A0221&gt;</w:t>
      </w:r>
    </w:p>
    <w:p w14:paraId="240759D6" w14:textId="77777777" w:rsidR="00A052DC" w:rsidRDefault="009F0A60">
      <w:pPr>
        <w:ind w:firstLine="426"/>
      </w:pPr>
      <w:r>
        <w:t>&lt;A0222&gt;</w:t>
      </w:r>
      <w:r>
        <w:rPr>
          <w:rFonts w:hAnsi="宋体"/>
        </w:rPr>
        <w:t>境外投资者与本机构的关系</w:t>
      </w:r>
      <w:r>
        <w:t>&lt;/A0222&gt;</w:t>
      </w:r>
    </w:p>
    <w:p w14:paraId="490E3185" w14:textId="77777777" w:rsidR="00A052DC" w:rsidRDefault="009F0A60">
      <w:pPr>
        <w:ind w:firstLine="426"/>
      </w:pPr>
      <w:r>
        <w:rPr>
          <w:rFonts w:hint="eastAsia"/>
        </w:rPr>
        <w:t>&lt;A0223&gt;</w:t>
      </w:r>
      <w:r>
        <w:rPr>
          <w:rFonts w:hint="eastAsia"/>
        </w:rPr>
        <w:t>境外投资者最终控制方全称</w:t>
      </w:r>
      <w:r>
        <w:rPr>
          <w:rFonts w:hint="eastAsia"/>
        </w:rPr>
        <w:t>&lt;/A0223&gt;</w:t>
      </w:r>
    </w:p>
    <w:p w14:paraId="408E9FCC" w14:textId="77777777" w:rsidR="00A052DC" w:rsidRDefault="009F0A60">
      <w:pPr>
        <w:ind w:firstLine="426"/>
      </w:pPr>
      <w:r>
        <w:rPr>
          <w:rFonts w:hint="eastAsia"/>
        </w:rPr>
        <w:t>&lt;A0224&gt;</w:t>
      </w:r>
      <w:r>
        <w:rPr>
          <w:rFonts w:hint="eastAsia"/>
        </w:rPr>
        <w:t>境外投资者最终控制方所属国家</w:t>
      </w:r>
      <w:r>
        <w:rPr>
          <w:rFonts w:hint="eastAsia"/>
        </w:rPr>
        <w:t>/</w:t>
      </w:r>
      <w:r>
        <w:rPr>
          <w:rFonts w:hint="eastAsia"/>
        </w:rPr>
        <w:t>地区</w:t>
      </w:r>
      <w:r>
        <w:rPr>
          <w:rFonts w:hint="eastAsia"/>
        </w:rPr>
        <w:t>&lt;/A0224&gt;</w:t>
      </w:r>
    </w:p>
    <w:p w14:paraId="3A951ED7" w14:textId="77777777" w:rsidR="00A052DC" w:rsidRDefault="009F0A60">
      <w:pPr>
        <w:ind w:firstLine="426"/>
      </w:pPr>
      <w:r>
        <w:t>&lt;A0225&gt;</w:t>
      </w:r>
      <w:r>
        <w:rPr>
          <w:rFonts w:hAnsi="宋体"/>
        </w:rPr>
        <w:t>期末</w:t>
      </w:r>
      <w:r>
        <w:t>(</w:t>
      </w:r>
      <w:r>
        <w:rPr>
          <w:rFonts w:hAnsi="宋体"/>
        </w:rPr>
        <w:t>外方</w:t>
      </w:r>
      <w:r>
        <w:t>)</w:t>
      </w:r>
      <w:r>
        <w:rPr>
          <w:rFonts w:hAnsi="宋体"/>
        </w:rPr>
        <w:t>表决权比例</w:t>
      </w:r>
      <w:r>
        <w:t>(%)&lt;/A0225&gt;</w:t>
      </w:r>
    </w:p>
    <w:p w14:paraId="05CCEDC2" w14:textId="77777777" w:rsidR="00A052DC" w:rsidRDefault="009F0A60">
      <w:pPr>
        <w:ind w:firstLine="426"/>
      </w:pPr>
      <w:r>
        <w:t>&lt;A0226&gt;</w:t>
      </w:r>
      <w:r>
        <w:rPr>
          <w:rFonts w:hAnsi="宋体"/>
        </w:rPr>
        <w:t>期末</w:t>
      </w:r>
      <w:r>
        <w:t>(</w:t>
      </w:r>
      <w:r>
        <w:rPr>
          <w:rFonts w:hAnsi="宋体"/>
        </w:rPr>
        <w:t>外方</w:t>
      </w:r>
      <w:r>
        <w:t>)</w:t>
      </w:r>
      <w:r>
        <w:rPr>
          <w:rFonts w:hAnsi="宋体"/>
        </w:rPr>
        <w:t>持股比例</w:t>
      </w:r>
      <w:r>
        <w:t>(%)&lt;/A0226&gt;</w:t>
      </w:r>
    </w:p>
    <w:p w14:paraId="21C9E22D" w14:textId="77777777" w:rsidR="00A052DC" w:rsidRDefault="009F0A60">
      <w:pPr>
        <w:ind w:firstLine="426"/>
      </w:pPr>
      <w:r>
        <w:t>&lt;A02271&gt;</w:t>
      </w:r>
      <w:r>
        <w:rPr>
          <w:rFonts w:hAnsi="宋体"/>
        </w:rPr>
        <w:t>可流通股票（份额）的记账币种（原币）</w:t>
      </w:r>
      <w:r>
        <w:t>1&lt;/A02271&gt;</w:t>
      </w:r>
    </w:p>
    <w:p w14:paraId="58F6A2C0" w14:textId="77777777" w:rsidR="00A052DC" w:rsidRDefault="009F0A60">
      <w:pPr>
        <w:ind w:firstLine="426"/>
      </w:pPr>
      <w:r>
        <w:t>&lt;A02281&gt;</w:t>
      </w:r>
      <w:r>
        <w:rPr>
          <w:rFonts w:hAnsi="宋体"/>
        </w:rPr>
        <w:t>持股（份额）数量</w:t>
      </w:r>
      <w:r>
        <w:t>1&lt;/A02281&gt;</w:t>
      </w:r>
    </w:p>
    <w:p w14:paraId="08CE87C1" w14:textId="77777777" w:rsidR="00A052DC" w:rsidRDefault="009F0A60">
      <w:pPr>
        <w:ind w:firstLine="426"/>
      </w:pPr>
      <w:r>
        <w:t>&lt;A02291&gt;</w:t>
      </w:r>
      <w:r>
        <w:rPr>
          <w:rFonts w:hAnsi="宋体"/>
        </w:rPr>
        <w:t>每股（每份）市价</w:t>
      </w:r>
      <w:r>
        <w:t>1&lt;/A02291&gt;</w:t>
      </w:r>
    </w:p>
    <w:p w14:paraId="763AAF15" w14:textId="77777777" w:rsidR="00A052DC" w:rsidRDefault="009F0A60">
      <w:pPr>
        <w:ind w:firstLine="426"/>
      </w:pPr>
      <w:r>
        <w:t>&lt;A02272&gt;</w:t>
      </w:r>
      <w:r>
        <w:rPr>
          <w:rFonts w:hAnsi="宋体"/>
        </w:rPr>
        <w:t>可流通股票（份额）的记账币种（原币）</w:t>
      </w:r>
      <w:r>
        <w:t>2&lt;/A02272&gt;</w:t>
      </w:r>
    </w:p>
    <w:p w14:paraId="445BACC5" w14:textId="77777777" w:rsidR="00A052DC" w:rsidRDefault="009F0A60">
      <w:pPr>
        <w:ind w:firstLine="426"/>
      </w:pPr>
      <w:r>
        <w:t>&lt;A02282&gt;</w:t>
      </w:r>
      <w:r>
        <w:rPr>
          <w:rFonts w:hAnsi="宋体"/>
        </w:rPr>
        <w:t>持股（份额）数量</w:t>
      </w:r>
      <w:r>
        <w:t>2&lt;/A02282&gt;</w:t>
      </w:r>
    </w:p>
    <w:p w14:paraId="0BFFCA07" w14:textId="77777777" w:rsidR="00A052DC" w:rsidRDefault="009F0A60">
      <w:pPr>
        <w:ind w:firstLine="426"/>
      </w:pPr>
      <w:r>
        <w:t>&lt;A02292&gt;</w:t>
      </w:r>
      <w:r>
        <w:rPr>
          <w:rFonts w:hAnsi="宋体"/>
        </w:rPr>
        <w:t>每股（每份）市价</w:t>
      </w:r>
      <w:r>
        <w:t>2&lt;/A02292&gt;</w:t>
      </w:r>
    </w:p>
    <w:p w14:paraId="6EF61474" w14:textId="77777777" w:rsidR="00A052DC" w:rsidRDefault="009F0A60">
      <w:pPr>
        <w:ind w:firstLine="426"/>
      </w:pPr>
      <w:r>
        <w:t>&lt;A02273&gt;</w:t>
      </w:r>
      <w:r>
        <w:rPr>
          <w:rFonts w:hAnsi="宋体"/>
        </w:rPr>
        <w:t>可流通股票（份额）的记账币种（原币）</w:t>
      </w:r>
      <w:r>
        <w:t>3&lt;/A02273&gt;</w:t>
      </w:r>
    </w:p>
    <w:p w14:paraId="717BA2E5" w14:textId="77777777" w:rsidR="00A052DC" w:rsidRDefault="009F0A60">
      <w:pPr>
        <w:ind w:firstLine="426"/>
      </w:pPr>
      <w:r>
        <w:t>&lt;A02283&gt;</w:t>
      </w:r>
      <w:r>
        <w:rPr>
          <w:rFonts w:hAnsi="宋体"/>
        </w:rPr>
        <w:t>持股（份额）数量</w:t>
      </w:r>
      <w:r>
        <w:t>3&lt;/A02283&gt;</w:t>
      </w:r>
    </w:p>
    <w:p w14:paraId="2F2515AA" w14:textId="77777777" w:rsidR="00A052DC" w:rsidRDefault="009F0A60">
      <w:pPr>
        <w:ind w:firstLine="426"/>
      </w:pPr>
      <w:r>
        <w:t>&lt;A02293&gt;</w:t>
      </w:r>
      <w:r>
        <w:rPr>
          <w:rFonts w:hAnsi="宋体"/>
        </w:rPr>
        <w:t>每股（每份）市价</w:t>
      </w:r>
      <w:r>
        <w:t>3&lt;/A02293&gt;</w:t>
      </w:r>
    </w:p>
    <w:p w14:paraId="3CBCF8F1" w14:textId="77777777" w:rsidR="00A052DC" w:rsidRDefault="009F0A60">
      <w:pPr>
        <w:ind w:firstLine="426"/>
      </w:pPr>
      <w:r>
        <w:t>&lt;A02274&gt;</w:t>
      </w:r>
      <w:r>
        <w:rPr>
          <w:rFonts w:hAnsi="宋体"/>
        </w:rPr>
        <w:t>可流通股票（份额）的记账币种（原币）</w:t>
      </w:r>
      <w:r>
        <w:t>4&lt;/A02274&gt;</w:t>
      </w:r>
    </w:p>
    <w:p w14:paraId="38A71BC1" w14:textId="77777777" w:rsidR="00A052DC" w:rsidRDefault="009F0A60">
      <w:pPr>
        <w:ind w:firstLine="426"/>
      </w:pPr>
      <w:r>
        <w:t>&lt;A02284&gt;</w:t>
      </w:r>
      <w:r>
        <w:rPr>
          <w:rFonts w:hAnsi="宋体"/>
        </w:rPr>
        <w:t>持股（份额）数量</w:t>
      </w:r>
      <w:r>
        <w:t>4&lt;/A02284&gt;</w:t>
      </w:r>
    </w:p>
    <w:p w14:paraId="7DE08BA8" w14:textId="77777777" w:rsidR="00A052DC" w:rsidRDefault="009F0A60">
      <w:pPr>
        <w:ind w:firstLine="426"/>
      </w:pPr>
      <w:r>
        <w:t>&lt;A02294&gt;</w:t>
      </w:r>
      <w:r>
        <w:rPr>
          <w:rFonts w:hAnsi="宋体"/>
        </w:rPr>
        <w:t>每股（每份）市价</w:t>
      </w:r>
      <w:r>
        <w:t>4&lt;/A02294&gt;</w:t>
      </w:r>
    </w:p>
    <w:p w14:paraId="2A5AB65A" w14:textId="77777777" w:rsidR="00A052DC" w:rsidRDefault="009F0A60">
      <w:pPr>
        <w:ind w:firstLine="426"/>
      </w:pPr>
      <w:r>
        <w:t>&lt;A02275&gt;</w:t>
      </w:r>
      <w:r>
        <w:rPr>
          <w:rFonts w:hAnsi="宋体"/>
        </w:rPr>
        <w:t>可流通股票（份额）的记账币种（原币）</w:t>
      </w:r>
      <w:r>
        <w:t>5&lt;/A02275&gt;</w:t>
      </w:r>
    </w:p>
    <w:p w14:paraId="75125A28" w14:textId="77777777" w:rsidR="00A052DC" w:rsidRDefault="009F0A60">
      <w:pPr>
        <w:ind w:firstLine="426"/>
      </w:pPr>
      <w:r>
        <w:t>&lt;A02285&gt;</w:t>
      </w:r>
      <w:r>
        <w:rPr>
          <w:rFonts w:hAnsi="宋体"/>
        </w:rPr>
        <w:t>持股（份额）数量</w:t>
      </w:r>
      <w:r>
        <w:t>5&lt;/A02285&gt;</w:t>
      </w:r>
    </w:p>
    <w:p w14:paraId="5C19AAF6" w14:textId="77777777" w:rsidR="00A052DC" w:rsidRDefault="009F0A60">
      <w:pPr>
        <w:ind w:firstLine="426"/>
      </w:pPr>
      <w:r>
        <w:t>&lt;A02295&gt;</w:t>
      </w:r>
      <w:r>
        <w:rPr>
          <w:rFonts w:hAnsi="宋体"/>
        </w:rPr>
        <w:t>每股（每份）市价</w:t>
      </w:r>
      <w:r>
        <w:t>5&lt;/A02295&gt;</w:t>
      </w:r>
    </w:p>
    <w:p w14:paraId="5FC09813" w14:textId="77777777" w:rsidR="00A052DC" w:rsidRDefault="009F0A60">
      <w:pPr>
        <w:ind w:firstLine="426"/>
      </w:pPr>
      <w:r>
        <w:t>&lt;REMARK&gt;</w:t>
      </w:r>
      <w:r>
        <w:rPr>
          <w:rFonts w:hAnsi="宋体"/>
        </w:rPr>
        <w:t>备注</w:t>
      </w:r>
      <w:r>
        <w:t>&lt;/REMARK&gt;</w:t>
      </w:r>
    </w:p>
    <w:p w14:paraId="7A9702A4" w14:textId="77777777" w:rsidR="00A052DC" w:rsidRDefault="009F0A60">
      <w:pPr>
        <w:ind w:firstLine="480"/>
      </w:pPr>
      <w:r>
        <w:t>&lt;/REC&gt;</w:t>
      </w:r>
    </w:p>
    <w:p w14:paraId="0E4D4372" w14:textId="77777777" w:rsidR="00A052DC" w:rsidRDefault="009F0A60" w:rsidP="0020251D">
      <w:pPr>
        <w:pStyle w:val="4"/>
        <w:numPr>
          <w:ilvl w:val="3"/>
          <w:numId w:val="1"/>
        </w:numPr>
        <w:jc w:val="left"/>
      </w:pPr>
      <w:bookmarkStart w:id="3025" w:name="_Toc454391246"/>
      <w:bookmarkStart w:id="3026" w:name="_Toc380570918"/>
      <w:bookmarkStart w:id="3027" w:name="_Toc454391247"/>
      <w:bookmarkEnd w:id="3025"/>
      <w:r>
        <w:rPr>
          <w:rFonts w:hint="eastAsia"/>
        </w:rPr>
        <w:t>数据字典</w:t>
      </w:r>
      <w:bookmarkEnd w:id="3026"/>
      <w:bookmarkEnd w:id="30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647"/>
        <w:gridCol w:w="1421"/>
        <w:gridCol w:w="4212"/>
      </w:tblGrid>
      <w:tr w:rsidR="00A052DC" w14:paraId="057C9D72" w14:textId="77777777">
        <w:trPr>
          <w:tblHeader/>
          <w:jc w:val="center"/>
        </w:trPr>
        <w:tc>
          <w:tcPr>
            <w:tcW w:w="1242" w:type="dxa"/>
            <w:shd w:val="clear" w:color="auto" w:fill="C0C0C0"/>
            <w:noWrap/>
          </w:tcPr>
          <w:p w14:paraId="45211540" w14:textId="77777777" w:rsidR="00A052DC" w:rsidRDefault="009F0A60">
            <w:pPr>
              <w:pStyle w:val="B1"/>
            </w:pPr>
            <w:r>
              <w:rPr>
                <w:rFonts w:hint="eastAsia"/>
              </w:rPr>
              <w:t>字段</w:t>
            </w:r>
          </w:p>
        </w:tc>
        <w:tc>
          <w:tcPr>
            <w:tcW w:w="1647" w:type="dxa"/>
            <w:shd w:val="clear" w:color="auto" w:fill="C0C0C0"/>
            <w:noWrap/>
          </w:tcPr>
          <w:p w14:paraId="213911DE" w14:textId="77777777" w:rsidR="00A052DC" w:rsidRDefault="009F0A60">
            <w:pPr>
              <w:pStyle w:val="B1"/>
            </w:pPr>
            <w:r>
              <w:rPr>
                <w:rFonts w:hint="eastAsia"/>
              </w:rPr>
              <w:t>内容</w:t>
            </w:r>
          </w:p>
        </w:tc>
        <w:tc>
          <w:tcPr>
            <w:tcW w:w="1421" w:type="dxa"/>
            <w:shd w:val="clear" w:color="auto" w:fill="C0C0C0"/>
            <w:noWrap/>
          </w:tcPr>
          <w:p w14:paraId="256F2E6B" w14:textId="77777777" w:rsidR="00A052DC" w:rsidRDefault="009F0A60">
            <w:pPr>
              <w:pStyle w:val="B1"/>
            </w:pPr>
            <w:r>
              <w:rPr>
                <w:rFonts w:hint="eastAsia"/>
              </w:rPr>
              <w:t>类型（长度）</w:t>
            </w:r>
          </w:p>
        </w:tc>
        <w:tc>
          <w:tcPr>
            <w:tcW w:w="4212" w:type="dxa"/>
            <w:shd w:val="clear" w:color="auto" w:fill="C0C0C0"/>
          </w:tcPr>
          <w:p w14:paraId="35547E43" w14:textId="77777777" w:rsidR="00A052DC" w:rsidRDefault="009F0A60">
            <w:pPr>
              <w:pStyle w:val="B1"/>
            </w:pPr>
            <w:r>
              <w:rPr>
                <w:rFonts w:hint="eastAsia"/>
              </w:rPr>
              <w:t>校验</w:t>
            </w:r>
          </w:p>
        </w:tc>
      </w:tr>
      <w:tr w:rsidR="00A052DC" w14:paraId="1F5601BA" w14:textId="77777777">
        <w:trPr>
          <w:jc w:val="center"/>
        </w:trPr>
        <w:tc>
          <w:tcPr>
            <w:tcW w:w="1242" w:type="dxa"/>
            <w:shd w:val="clear" w:color="auto" w:fill="auto"/>
            <w:noWrap/>
          </w:tcPr>
          <w:p w14:paraId="18B0CE5F" w14:textId="77777777" w:rsidR="00A052DC" w:rsidRDefault="009F0A60">
            <w:pPr>
              <w:pStyle w:val="B"/>
              <w:rPr>
                <w:szCs w:val="20"/>
              </w:rPr>
            </w:pPr>
            <w:r>
              <w:rPr>
                <w:szCs w:val="20"/>
              </w:rPr>
              <w:t>ACTIONTYPE</w:t>
            </w:r>
          </w:p>
        </w:tc>
        <w:tc>
          <w:tcPr>
            <w:tcW w:w="1647" w:type="dxa"/>
            <w:shd w:val="clear" w:color="auto" w:fill="auto"/>
          </w:tcPr>
          <w:p w14:paraId="51E9CF94" w14:textId="77777777" w:rsidR="00A052DC" w:rsidRDefault="009F0A60">
            <w:pPr>
              <w:pStyle w:val="B"/>
              <w:rPr>
                <w:szCs w:val="20"/>
              </w:rPr>
            </w:pPr>
            <w:r>
              <w:rPr>
                <w:rFonts w:hint="eastAsia"/>
                <w:szCs w:val="20"/>
              </w:rPr>
              <w:t>操作类型</w:t>
            </w:r>
          </w:p>
        </w:tc>
        <w:tc>
          <w:tcPr>
            <w:tcW w:w="1421" w:type="dxa"/>
            <w:shd w:val="clear" w:color="auto" w:fill="auto"/>
            <w:noWrap/>
          </w:tcPr>
          <w:p w14:paraId="11CD3C08" w14:textId="77777777" w:rsidR="00A052DC" w:rsidRDefault="009F0A60">
            <w:pPr>
              <w:pStyle w:val="B"/>
              <w:rPr>
                <w:szCs w:val="20"/>
              </w:rPr>
            </w:pPr>
            <w:r>
              <w:rPr>
                <w:rFonts w:hint="eastAsia"/>
                <w:szCs w:val="20"/>
              </w:rPr>
              <w:t>字符型，</w:t>
            </w:r>
            <w:r>
              <w:rPr>
                <w:szCs w:val="20"/>
              </w:rPr>
              <w:t>1</w:t>
            </w:r>
          </w:p>
        </w:tc>
        <w:tc>
          <w:tcPr>
            <w:tcW w:w="4212" w:type="dxa"/>
          </w:tcPr>
          <w:p w14:paraId="0984BB87" w14:textId="77777777" w:rsidR="00A052DC" w:rsidRDefault="009F0A60">
            <w:pPr>
              <w:pStyle w:val="B"/>
              <w:rPr>
                <w:szCs w:val="20"/>
              </w:rPr>
            </w:pPr>
            <w:r>
              <w:rPr>
                <w:rFonts w:hint="eastAsia"/>
                <w:szCs w:val="20"/>
              </w:rPr>
              <w:t>必填项</w:t>
            </w:r>
            <w:r w:rsidR="00FE361F">
              <w:rPr>
                <w:rFonts w:hint="eastAsia"/>
                <w:szCs w:val="20"/>
              </w:rPr>
              <w:t>。</w:t>
            </w:r>
          </w:p>
          <w:p w14:paraId="441ADB7F" w14:textId="77777777" w:rsidR="00A052DC" w:rsidRDefault="009F0A60">
            <w:pPr>
              <w:pStyle w:val="B"/>
              <w:rPr>
                <w:szCs w:val="20"/>
              </w:rPr>
            </w:pPr>
            <w:r>
              <w:rPr>
                <w:szCs w:val="20"/>
              </w:rPr>
              <w:t>A</w:t>
            </w:r>
            <w:r w:rsidR="00AE4602">
              <w:rPr>
                <w:rFonts w:hint="eastAsia"/>
                <w:szCs w:val="20"/>
              </w:rPr>
              <w:t>-</w:t>
            </w:r>
            <w:r>
              <w:rPr>
                <w:rFonts w:hint="eastAsia"/>
                <w:szCs w:val="20"/>
              </w:rPr>
              <w:t>新建</w:t>
            </w:r>
          </w:p>
          <w:p w14:paraId="55636C7B" w14:textId="77777777" w:rsidR="00A052DC" w:rsidRDefault="009F0A60">
            <w:pPr>
              <w:pStyle w:val="B"/>
              <w:rPr>
                <w:szCs w:val="20"/>
              </w:rPr>
            </w:pPr>
            <w:r>
              <w:rPr>
                <w:szCs w:val="20"/>
              </w:rPr>
              <w:t>C</w:t>
            </w:r>
            <w:r w:rsidR="00AE4602">
              <w:rPr>
                <w:rFonts w:hint="eastAsia"/>
                <w:szCs w:val="20"/>
              </w:rPr>
              <w:t>-</w:t>
            </w:r>
            <w:r>
              <w:rPr>
                <w:rFonts w:hint="eastAsia"/>
                <w:szCs w:val="20"/>
              </w:rPr>
              <w:t>修改</w:t>
            </w:r>
          </w:p>
          <w:p w14:paraId="62458040" w14:textId="77777777" w:rsidR="00A052DC" w:rsidRDefault="009F0A60">
            <w:pPr>
              <w:pStyle w:val="B"/>
              <w:rPr>
                <w:szCs w:val="20"/>
              </w:rPr>
            </w:pPr>
            <w:r>
              <w:rPr>
                <w:szCs w:val="20"/>
              </w:rPr>
              <w:t>D</w:t>
            </w:r>
            <w:r w:rsidR="00AE4602">
              <w:rPr>
                <w:rFonts w:hint="eastAsia"/>
                <w:szCs w:val="20"/>
              </w:rPr>
              <w:t>-</w:t>
            </w:r>
            <w:r>
              <w:rPr>
                <w:rFonts w:hint="eastAsia"/>
                <w:szCs w:val="20"/>
              </w:rPr>
              <w:t>删除</w:t>
            </w:r>
          </w:p>
        </w:tc>
      </w:tr>
      <w:tr w:rsidR="00A052DC" w14:paraId="7A491086" w14:textId="77777777">
        <w:trPr>
          <w:jc w:val="center"/>
        </w:trPr>
        <w:tc>
          <w:tcPr>
            <w:tcW w:w="1242" w:type="dxa"/>
            <w:shd w:val="clear" w:color="auto" w:fill="auto"/>
            <w:noWrap/>
          </w:tcPr>
          <w:p w14:paraId="418CF451" w14:textId="77777777" w:rsidR="00A052DC" w:rsidRDefault="009F0A60">
            <w:pPr>
              <w:pStyle w:val="B"/>
              <w:rPr>
                <w:szCs w:val="20"/>
              </w:rPr>
            </w:pPr>
            <w:r>
              <w:rPr>
                <w:szCs w:val="20"/>
              </w:rPr>
              <w:t>ACTIONDESC</w:t>
            </w:r>
          </w:p>
        </w:tc>
        <w:tc>
          <w:tcPr>
            <w:tcW w:w="1647" w:type="dxa"/>
            <w:shd w:val="clear" w:color="auto" w:fill="auto"/>
          </w:tcPr>
          <w:p w14:paraId="5785A6A9" w14:textId="77777777" w:rsidR="00A052DC" w:rsidRDefault="009F0A60">
            <w:pPr>
              <w:pStyle w:val="B"/>
              <w:rPr>
                <w:szCs w:val="20"/>
              </w:rPr>
            </w:pPr>
            <w:r>
              <w:rPr>
                <w:rFonts w:hint="eastAsia"/>
                <w:szCs w:val="20"/>
              </w:rPr>
              <w:t>删除原因</w:t>
            </w:r>
          </w:p>
        </w:tc>
        <w:tc>
          <w:tcPr>
            <w:tcW w:w="1421" w:type="dxa"/>
            <w:shd w:val="clear" w:color="auto" w:fill="auto"/>
            <w:noWrap/>
          </w:tcPr>
          <w:p w14:paraId="3D577610" w14:textId="77777777" w:rsidR="00A052DC" w:rsidRDefault="009F0A60">
            <w:pPr>
              <w:pStyle w:val="B"/>
              <w:rPr>
                <w:szCs w:val="20"/>
              </w:rPr>
            </w:pPr>
            <w:r>
              <w:rPr>
                <w:rFonts w:hint="eastAsia"/>
                <w:szCs w:val="20"/>
              </w:rPr>
              <w:t>字符型，</w:t>
            </w:r>
            <w:r>
              <w:rPr>
                <w:szCs w:val="20"/>
              </w:rPr>
              <w:t>128</w:t>
            </w:r>
          </w:p>
        </w:tc>
        <w:tc>
          <w:tcPr>
            <w:tcW w:w="4212" w:type="dxa"/>
          </w:tcPr>
          <w:p w14:paraId="5F592764" w14:textId="77777777" w:rsidR="00A052DC" w:rsidRDefault="00DD6AA3">
            <w:pPr>
              <w:pStyle w:val="B"/>
              <w:rPr>
                <w:szCs w:val="20"/>
              </w:rPr>
            </w:pPr>
            <w:r>
              <w:rPr>
                <w:rFonts w:hint="eastAsia"/>
                <w:szCs w:val="20"/>
              </w:rPr>
              <w:t>非必填项，当操作类型（ACTIONTYPE）为删除时必填。</w:t>
            </w:r>
          </w:p>
        </w:tc>
      </w:tr>
      <w:tr w:rsidR="00A052DC" w14:paraId="633781D6" w14:textId="77777777">
        <w:trPr>
          <w:jc w:val="center"/>
        </w:trPr>
        <w:tc>
          <w:tcPr>
            <w:tcW w:w="1242" w:type="dxa"/>
            <w:shd w:val="clear" w:color="auto" w:fill="auto"/>
            <w:noWrap/>
          </w:tcPr>
          <w:p w14:paraId="600BE5C8" w14:textId="77777777" w:rsidR="00A052DC" w:rsidRDefault="009F0A60">
            <w:pPr>
              <w:pStyle w:val="B"/>
              <w:rPr>
                <w:szCs w:val="20"/>
              </w:rPr>
            </w:pPr>
            <w:r>
              <w:rPr>
                <w:szCs w:val="20"/>
              </w:rPr>
              <w:t>SNOCODE</w:t>
            </w:r>
          </w:p>
        </w:tc>
        <w:tc>
          <w:tcPr>
            <w:tcW w:w="1647" w:type="dxa"/>
            <w:shd w:val="clear" w:color="auto" w:fill="auto"/>
          </w:tcPr>
          <w:p w14:paraId="437B024C" w14:textId="77777777" w:rsidR="00A052DC" w:rsidRDefault="009F0A60">
            <w:pPr>
              <w:pStyle w:val="B"/>
              <w:rPr>
                <w:szCs w:val="20"/>
              </w:rPr>
            </w:pPr>
            <w:r>
              <w:rPr>
                <w:rFonts w:hint="eastAsia"/>
                <w:szCs w:val="20"/>
              </w:rPr>
              <w:t>数据自编码</w:t>
            </w:r>
          </w:p>
        </w:tc>
        <w:tc>
          <w:tcPr>
            <w:tcW w:w="1421" w:type="dxa"/>
            <w:shd w:val="clear" w:color="auto" w:fill="auto"/>
            <w:noWrap/>
          </w:tcPr>
          <w:p w14:paraId="6113F2E0" w14:textId="77777777" w:rsidR="00A052DC" w:rsidRDefault="009F0A60">
            <w:pPr>
              <w:pStyle w:val="B"/>
              <w:rPr>
                <w:szCs w:val="20"/>
              </w:rPr>
            </w:pPr>
            <w:r>
              <w:rPr>
                <w:rFonts w:hint="eastAsia"/>
                <w:szCs w:val="20"/>
              </w:rPr>
              <w:t>字符型，</w:t>
            </w:r>
            <w:r>
              <w:rPr>
                <w:szCs w:val="20"/>
              </w:rPr>
              <w:t>3</w:t>
            </w:r>
            <w:r>
              <w:rPr>
                <w:rFonts w:hint="eastAsia"/>
                <w:szCs w:val="20"/>
              </w:rPr>
              <w:t>6</w:t>
            </w:r>
          </w:p>
        </w:tc>
        <w:tc>
          <w:tcPr>
            <w:tcW w:w="4212" w:type="dxa"/>
          </w:tcPr>
          <w:p w14:paraId="55597056" w14:textId="77777777" w:rsidR="00A052DC" w:rsidRDefault="009F0A60">
            <w:pPr>
              <w:pStyle w:val="B"/>
              <w:rPr>
                <w:szCs w:val="20"/>
              </w:rPr>
            </w:pPr>
            <w:r>
              <w:rPr>
                <w:rFonts w:hint="eastAsia"/>
                <w:szCs w:val="20"/>
              </w:rPr>
              <w:t>必填项。</w:t>
            </w:r>
            <w:r>
              <w:rPr>
                <w:szCs w:val="20"/>
              </w:rPr>
              <w:t>对于接口报送的填报主体，数据自编码中的报送期（6位）应与报告期（YYYYMM）一致。</w:t>
            </w:r>
          </w:p>
        </w:tc>
      </w:tr>
      <w:tr w:rsidR="00A052DC" w14:paraId="3BB3C288" w14:textId="77777777">
        <w:trPr>
          <w:jc w:val="center"/>
        </w:trPr>
        <w:tc>
          <w:tcPr>
            <w:tcW w:w="1242" w:type="dxa"/>
            <w:shd w:val="clear" w:color="auto" w:fill="auto"/>
            <w:noWrap/>
          </w:tcPr>
          <w:p w14:paraId="637CCC7A" w14:textId="77777777" w:rsidR="00A052DC" w:rsidRDefault="009F0A60">
            <w:pPr>
              <w:pStyle w:val="B"/>
              <w:rPr>
                <w:szCs w:val="20"/>
              </w:rPr>
            </w:pPr>
            <w:r>
              <w:rPr>
                <w:szCs w:val="20"/>
              </w:rPr>
              <w:t>OBJCODE</w:t>
            </w:r>
          </w:p>
        </w:tc>
        <w:tc>
          <w:tcPr>
            <w:tcW w:w="1647" w:type="dxa"/>
            <w:shd w:val="clear" w:color="auto" w:fill="auto"/>
          </w:tcPr>
          <w:p w14:paraId="45BD4713" w14:textId="77777777" w:rsidR="00A052DC" w:rsidRDefault="009F0A60">
            <w:pPr>
              <w:pStyle w:val="B"/>
              <w:rPr>
                <w:szCs w:val="20"/>
              </w:rPr>
            </w:pPr>
            <w:r>
              <w:rPr>
                <w:rFonts w:hint="eastAsia"/>
                <w:szCs w:val="20"/>
              </w:rPr>
              <w:t>申报主体代码</w:t>
            </w:r>
          </w:p>
        </w:tc>
        <w:tc>
          <w:tcPr>
            <w:tcW w:w="1421" w:type="dxa"/>
            <w:shd w:val="clear" w:color="auto" w:fill="auto"/>
            <w:noWrap/>
          </w:tcPr>
          <w:p w14:paraId="095C8D2E" w14:textId="77777777" w:rsidR="00A052DC" w:rsidRDefault="009F0A60">
            <w:pPr>
              <w:pStyle w:val="B"/>
              <w:rPr>
                <w:szCs w:val="20"/>
              </w:rPr>
            </w:pPr>
            <w:r>
              <w:rPr>
                <w:rFonts w:hint="eastAsia"/>
                <w:szCs w:val="20"/>
              </w:rPr>
              <w:t>字符型，</w:t>
            </w:r>
            <w:r>
              <w:rPr>
                <w:szCs w:val="20"/>
              </w:rPr>
              <w:t>1</w:t>
            </w:r>
            <w:r>
              <w:rPr>
                <w:rFonts w:hint="eastAsia"/>
                <w:szCs w:val="20"/>
              </w:rPr>
              <w:t>8</w:t>
            </w:r>
          </w:p>
        </w:tc>
        <w:tc>
          <w:tcPr>
            <w:tcW w:w="4212" w:type="dxa"/>
          </w:tcPr>
          <w:p w14:paraId="3EA0D90E" w14:textId="77777777" w:rsidR="00A052DC" w:rsidRDefault="009F0A60">
            <w:pPr>
              <w:pStyle w:val="B"/>
              <w:rPr>
                <w:szCs w:val="20"/>
              </w:rPr>
            </w:pPr>
            <w:r>
              <w:rPr>
                <w:rFonts w:hint="eastAsia"/>
                <w:szCs w:val="20"/>
              </w:rPr>
              <w:t>申报主体的12位金融机构标识码，如果没有金融机构标识码，则填报统一社会信用代码法定载体（如营业执照）上统一社会信用代码中的第9至17位或国家外汇管理局及其分支局签发的特殊机构代码赋码通知书上的机构代码、个人身份代码。</w:t>
            </w:r>
          </w:p>
        </w:tc>
      </w:tr>
      <w:tr w:rsidR="00A052DC" w14:paraId="4B37B00B" w14:textId="77777777">
        <w:trPr>
          <w:jc w:val="center"/>
        </w:trPr>
        <w:tc>
          <w:tcPr>
            <w:tcW w:w="1242" w:type="dxa"/>
            <w:shd w:val="clear" w:color="auto" w:fill="auto"/>
            <w:noWrap/>
          </w:tcPr>
          <w:p w14:paraId="7A3AAA14" w14:textId="77777777" w:rsidR="00A052DC" w:rsidRDefault="009F0A60">
            <w:pPr>
              <w:pStyle w:val="B"/>
              <w:rPr>
                <w:szCs w:val="20"/>
              </w:rPr>
            </w:pPr>
            <w:r>
              <w:rPr>
                <w:szCs w:val="20"/>
              </w:rPr>
              <w:t>BUOCMONTH</w:t>
            </w:r>
          </w:p>
        </w:tc>
        <w:tc>
          <w:tcPr>
            <w:tcW w:w="1647" w:type="dxa"/>
            <w:shd w:val="clear" w:color="auto" w:fill="auto"/>
          </w:tcPr>
          <w:p w14:paraId="379BB6D4" w14:textId="77777777" w:rsidR="00A052DC" w:rsidRDefault="009F0A60">
            <w:pPr>
              <w:pStyle w:val="B"/>
              <w:rPr>
                <w:szCs w:val="20"/>
              </w:rPr>
            </w:pPr>
            <w:r>
              <w:rPr>
                <w:rFonts w:hint="eastAsia"/>
                <w:szCs w:val="20"/>
              </w:rPr>
              <w:t>报告期</w:t>
            </w:r>
          </w:p>
        </w:tc>
        <w:tc>
          <w:tcPr>
            <w:tcW w:w="1421" w:type="dxa"/>
            <w:shd w:val="clear" w:color="auto" w:fill="auto"/>
            <w:noWrap/>
          </w:tcPr>
          <w:p w14:paraId="6BC1BCB4" w14:textId="77777777" w:rsidR="00A052DC" w:rsidRDefault="009F0A60">
            <w:pPr>
              <w:pStyle w:val="B"/>
              <w:rPr>
                <w:szCs w:val="20"/>
              </w:rPr>
            </w:pPr>
            <w:r>
              <w:rPr>
                <w:rFonts w:hint="eastAsia"/>
                <w:szCs w:val="20"/>
              </w:rPr>
              <w:t>数值型，</w:t>
            </w:r>
            <w:r>
              <w:rPr>
                <w:szCs w:val="20"/>
              </w:rPr>
              <w:t>6</w:t>
            </w:r>
          </w:p>
        </w:tc>
        <w:tc>
          <w:tcPr>
            <w:tcW w:w="4212" w:type="dxa"/>
          </w:tcPr>
          <w:p w14:paraId="02712F7E" w14:textId="77777777" w:rsidR="00A052DC" w:rsidRDefault="009F0A60">
            <w:pPr>
              <w:pStyle w:val="B"/>
              <w:rPr>
                <w:szCs w:val="20"/>
              </w:rPr>
            </w:pPr>
            <w:r>
              <w:rPr>
                <w:rFonts w:hint="eastAsia"/>
                <w:szCs w:val="20"/>
              </w:rPr>
              <w:t>必填项，格式为</w:t>
            </w:r>
            <w:r>
              <w:rPr>
                <w:szCs w:val="20"/>
              </w:rPr>
              <w:t>YYYYMM</w:t>
            </w:r>
            <w:r>
              <w:rPr>
                <w:rFonts w:hint="eastAsia"/>
                <w:szCs w:val="20"/>
              </w:rPr>
              <w:t>。</w:t>
            </w:r>
          </w:p>
        </w:tc>
      </w:tr>
      <w:tr w:rsidR="00A052DC" w14:paraId="590114C6" w14:textId="77777777">
        <w:trPr>
          <w:jc w:val="center"/>
        </w:trPr>
        <w:tc>
          <w:tcPr>
            <w:tcW w:w="1242" w:type="dxa"/>
            <w:shd w:val="clear" w:color="auto" w:fill="auto"/>
            <w:noWrap/>
          </w:tcPr>
          <w:p w14:paraId="3269637A" w14:textId="77777777" w:rsidR="00A052DC" w:rsidRDefault="009F0A60">
            <w:pPr>
              <w:pStyle w:val="B"/>
              <w:rPr>
                <w:szCs w:val="20"/>
              </w:rPr>
            </w:pPr>
            <w:r>
              <w:rPr>
                <w:szCs w:val="20"/>
              </w:rPr>
              <w:t>A0218</w:t>
            </w:r>
          </w:p>
        </w:tc>
        <w:tc>
          <w:tcPr>
            <w:tcW w:w="1647" w:type="dxa"/>
            <w:shd w:val="clear" w:color="auto" w:fill="auto"/>
          </w:tcPr>
          <w:p w14:paraId="101A02C2" w14:textId="77777777" w:rsidR="00A052DC" w:rsidRDefault="009F0A60">
            <w:pPr>
              <w:pStyle w:val="B"/>
              <w:rPr>
                <w:szCs w:val="20"/>
              </w:rPr>
            </w:pPr>
            <w:r>
              <w:rPr>
                <w:rFonts w:hint="eastAsia"/>
                <w:szCs w:val="20"/>
              </w:rPr>
              <w:t>境外投资者代码</w:t>
            </w:r>
          </w:p>
        </w:tc>
        <w:tc>
          <w:tcPr>
            <w:tcW w:w="1421" w:type="dxa"/>
            <w:shd w:val="clear" w:color="auto" w:fill="auto"/>
            <w:noWrap/>
          </w:tcPr>
          <w:p w14:paraId="50E8923C" w14:textId="77777777" w:rsidR="00A052DC" w:rsidRDefault="009F0A60">
            <w:pPr>
              <w:pStyle w:val="B"/>
              <w:rPr>
                <w:szCs w:val="20"/>
              </w:rPr>
            </w:pPr>
            <w:r>
              <w:rPr>
                <w:rFonts w:hint="eastAsia"/>
                <w:szCs w:val="20"/>
              </w:rPr>
              <w:t>字符型，</w:t>
            </w:r>
            <w:r>
              <w:rPr>
                <w:szCs w:val="20"/>
              </w:rPr>
              <w:t>255</w:t>
            </w:r>
          </w:p>
        </w:tc>
        <w:tc>
          <w:tcPr>
            <w:tcW w:w="4212" w:type="dxa"/>
          </w:tcPr>
          <w:p w14:paraId="053EE5C3" w14:textId="77777777" w:rsidR="00A052DC" w:rsidRDefault="009F0A60">
            <w:pPr>
              <w:pStyle w:val="B"/>
              <w:rPr>
                <w:szCs w:val="20"/>
              </w:rPr>
            </w:pPr>
            <w:r>
              <w:rPr>
                <w:rFonts w:hint="eastAsia"/>
                <w:szCs w:val="20"/>
              </w:rPr>
              <w:t>必填项。</w:t>
            </w:r>
            <w:r>
              <w:rPr>
                <w:szCs w:val="20"/>
              </w:rPr>
              <w:t>同一报告期，一个</w:t>
            </w:r>
            <w:r>
              <w:rPr>
                <w:rFonts w:hint="eastAsia"/>
                <w:szCs w:val="20"/>
              </w:rPr>
              <w:t>申报主体</w:t>
            </w:r>
            <w:r>
              <w:rPr>
                <w:szCs w:val="20"/>
              </w:rPr>
              <w:t>的一个境外投资者代码</w:t>
            </w:r>
            <w:r>
              <w:rPr>
                <w:rFonts w:hint="eastAsia"/>
                <w:szCs w:val="20"/>
              </w:rPr>
              <w:t>（A0218）</w:t>
            </w:r>
            <w:r>
              <w:rPr>
                <w:szCs w:val="20"/>
              </w:rPr>
              <w:t>在A02-2表应仅报送一条数据。</w:t>
            </w:r>
          </w:p>
        </w:tc>
      </w:tr>
      <w:tr w:rsidR="00A052DC" w14:paraId="556FC9BC" w14:textId="77777777">
        <w:trPr>
          <w:jc w:val="center"/>
        </w:trPr>
        <w:tc>
          <w:tcPr>
            <w:tcW w:w="1242" w:type="dxa"/>
            <w:shd w:val="clear" w:color="auto" w:fill="auto"/>
            <w:noWrap/>
          </w:tcPr>
          <w:p w14:paraId="1986CCD8" w14:textId="77777777" w:rsidR="00A052DC" w:rsidRDefault="009F0A60">
            <w:pPr>
              <w:pStyle w:val="B"/>
              <w:rPr>
                <w:szCs w:val="20"/>
              </w:rPr>
            </w:pPr>
            <w:r>
              <w:rPr>
                <w:szCs w:val="20"/>
              </w:rPr>
              <w:t>A0219</w:t>
            </w:r>
          </w:p>
        </w:tc>
        <w:tc>
          <w:tcPr>
            <w:tcW w:w="1647" w:type="dxa"/>
            <w:shd w:val="clear" w:color="auto" w:fill="auto"/>
          </w:tcPr>
          <w:p w14:paraId="636D36EF" w14:textId="77777777" w:rsidR="00A052DC" w:rsidRDefault="009F0A60">
            <w:pPr>
              <w:pStyle w:val="B"/>
              <w:rPr>
                <w:szCs w:val="20"/>
              </w:rPr>
            </w:pPr>
            <w:r>
              <w:rPr>
                <w:rFonts w:hint="eastAsia"/>
                <w:szCs w:val="20"/>
              </w:rPr>
              <w:t>境外投资者全称</w:t>
            </w:r>
          </w:p>
        </w:tc>
        <w:tc>
          <w:tcPr>
            <w:tcW w:w="1421" w:type="dxa"/>
            <w:shd w:val="clear" w:color="auto" w:fill="auto"/>
            <w:noWrap/>
          </w:tcPr>
          <w:p w14:paraId="6FE15F10" w14:textId="77777777" w:rsidR="00A052DC" w:rsidRDefault="009F0A60">
            <w:pPr>
              <w:pStyle w:val="B"/>
              <w:rPr>
                <w:szCs w:val="20"/>
              </w:rPr>
            </w:pPr>
            <w:r>
              <w:rPr>
                <w:rFonts w:hint="eastAsia"/>
                <w:szCs w:val="20"/>
              </w:rPr>
              <w:t>字符型，</w:t>
            </w:r>
            <w:r>
              <w:rPr>
                <w:szCs w:val="20"/>
              </w:rPr>
              <w:t>255</w:t>
            </w:r>
          </w:p>
        </w:tc>
        <w:tc>
          <w:tcPr>
            <w:tcW w:w="4212" w:type="dxa"/>
          </w:tcPr>
          <w:p w14:paraId="3408ECC3" w14:textId="77777777" w:rsidR="00A052DC" w:rsidRDefault="009F0A60">
            <w:pPr>
              <w:pStyle w:val="B"/>
              <w:rPr>
                <w:szCs w:val="20"/>
              </w:rPr>
            </w:pPr>
            <w:r>
              <w:rPr>
                <w:rFonts w:hint="eastAsia"/>
                <w:szCs w:val="20"/>
              </w:rPr>
              <w:t>必填项。</w:t>
            </w:r>
          </w:p>
        </w:tc>
      </w:tr>
      <w:tr w:rsidR="00A052DC" w14:paraId="0F8CD445" w14:textId="77777777">
        <w:trPr>
          <w:jc w:val="center"/>
        </w:trPr>
        <w:tc>
          <w:tcPr>
            <w:tcW w:w="1242" w:type="dxa"/>
            <w:shd w:val="clear" w:color="auto" w:fill="auto"/>
            <w:noWrap/>
          </w:tcPr>
          <w:p w14:paraId="3C9B036B" w14:textId="77777777" w:rsidR="00A052DC" w:rsidRDefault="009F0A60">
            <w:pPr>
              <w:pStyle w:val="B"/>
              <w:rPr>
                <w:szCs w:val="20"/>
              </w:rPr>
            </w:pPr>
            <w:r>
              <w:rPr>
                <w:szCs w:val="20"/>
              </w:rPr>
              <w:t>A0220</w:t>
            </w:r>
          </w:p>
        </w:tc>
        <w:tc>
          <w:tcPr>
            <w:tcW w:w="1647" w:type="dxa"/>
            <w:shd w:val="clear" w:color="auto" w:fill="auto"/>
          </w:tcPr>
          <w:p w14:paraId="21DEFCB6" w14:textId="77777777" w:rsidR="00A052DC" w:rsidRDefault="009F0A60">
            <w:pPr>
              <w:pStyle w:val="B"/>
              <w:rPr>
                <w:szCs w:val="20"/>
              </w:rPr>
            </w:pPr>
            <w:r>
              <w:rPr>
                <w:rFonts w:hint="eastAsia"/>
                <w:szCs w:val="20"/>
              </w:rPr>
              <w:t>境外投资者所属国家</w:t>
            </w:r>
            <w:r>
              <w:rPr>
                <w:szCs w:val="20"/>
              </w:rPr>
              <w:t>/</w:t>
            </w:r>
            <w:r>
              <w:rPr>
                <w:rFonts w:hint="eastAsia"/>
                <w:szCs w:val="20"/>
              </w:rPr>
              <w:t>地区</w:t>
            </w:r>
          </w:p>
        </w:tc>
        <w:tc>
          <w:tcPr>
            <w:tcW w:w="1421" w:type="dxa"/>
            <w:shd w:val="clear" w:color="auto" w:fill="auto"/>
            <w:noWrap/>
          </w:tcPr>
          <w:p w14:paraId="0291879F" w14:textId="77777777" w:rsidR="00A052DC" w:rsidRDefault="009F0A60">
            <w:pPr>
              <w:pStyle w:val="B"/>
              <w:rPr>
                <w:szCs w:val="20"/>
              </w:rPr>
            </w:pPr>
            <w:r>
              <w:rPr>
                <w:rFonts w:hint="eastAsia"/>
                <w:szCs w:val="20"/>
              </w:rPr>
              <w:t>字符型，</w:t>
            </w:r>
            <w:r>
              <w:rPr>
                <w:szCs w:val="20"/>
              </w:rPr>
              <w:t>3</w:t>
            </w:r>
          </w:p>
        </w:tc>
        <w:tc>
          <w:tcPr>
            <w:tcW w:w="4212" w:type="dxa"/>
          </w:tcPr>
          <w:p w14:paraId="240C8667" w14:textId="77777777" w:rsidR="00A052DC" w:rsidRDefault="009F0A60">
            <w:pPr>
              <w:pStyle w:val="B"/>
              <w:rPr>
                <w:b/>
                <w:bCs/>
                <w:szCs w:val="20"/>
              </w:rPr>
            </w:pPr>
            <w:r>
              <w:rPr>
                <w:rFonts w:hint="eastAsia"/>
                <w:szCs w:val="20"/>
              </w:rPr>
              <w:t>必填项，见国家和地区代码表的</w:t>
            </w:r>
            <w:r>
              <w:rPr>
                <w:szCs w:val="20"/>
              </w:rPr>
              <w:t>3</w:t>
            </w:r>
            <w:r>
              <w:rPr>
                <w:rFonts w:hint="eastAsia"/>
                <w:szCs w:val="20"/>
              </w:rPr>
              <w:t>位字母代码，且≠CHN或N/A。</w:t>
            </w:r>
          </w:p>
        </w:tc>
      </w:tr>
      <w:tr w:rsidR="00A052DC" w14:paraId="79A38E14" w14:textId="77777777">
        <w:trPr>
          <w:jc w:val="center"/>
        </w:trPr>
        <w:tc>
          <w:tcPr>
            <w:tcW w:w="1242" w:type="dxa"/>
            <w:shd w:val="clear" w:color="auto" w:fill="auto"/>
            <w:noWrap/>
          </w:tcPr>
          <w:p w14:paraId="28B8240C" w14:textId="77777777" w:rsidR="00A052DC" w:rsidRDefault="009F0A60">
            <w:pPr>
              <w:pStyle w:val="B"/>
              <w:rPr>
                <w:szCs w:val="20"/>
              </w:rPr>
            </w:pPr>
            <w:r>
              <w:rPr>
                <w:szCs w:val="20"/>
              </w:rPr>
              <w:t>A0221</w:t>
            </w:r>
          </w:p>
        </w:tc>
        <w:tc>
          <w:tcPr>
            <w:tcW w:w="1647" w:type="dxa"/>
            <w:shd w:val="clear" w:color="auto" w:fill="auto"/>
          </w:tcPr>
          <w:p w14:paraId="3B4BB70D" w14:textId="77777777" w:rsidR="00A052DC" w:rsidRDefault="009F0A60">
            <w:pPr>
              <w:pStyle w:val="B"/>
              <w:rPr>
                <w:szCs w:val="20"/>
              </w:rPr>
            </w:pPr>
            <w:r>
              <w:rPr>
                <w:rFonts w:hint="eastAsia"/>
                <w:szCs w:val="20"/>
              </w:rPr>
              <w:t>境外投资者所属行业</w:t>
            </w:r>
          </w:p>
        </w:tc>
        <w:tc>
          <w:tcPr>
            <w:tcW w:w="1421" w:type="dxa"/>
            <w:shd w:val="clear" w:color="auto" w:fill="auto"/>
            <w:noWrap/>
          </w:tcPr>
          <w:p w14:paraId="62BA4DA1" w14:textId="77777777" w:rsidR="00A052DC" w:rsidRDefault="009F0A60">
            <w:pPr>
              <w:pStyle w:val="B"/>
              <w:rPr>
                <w:szCs w:val="20"/>
              </w:rPr>
            </w:pPr>
            <w:r>
              <w:rPr>
                <w:szCs w:val="20"/>
              </w:rPr>
              <w:t>整数型</w:t>
            </w:r>
          </w:p>
        </w:tc>
        <w:tc>
          <w:tcPr>
            <w:tcW w:w="4212" w:type="dxa"/>
          </w:tcPr>
          <w:p w14:paraId="20410683" w14:textId="77777777" w:rsidR="00A052DC" w:rsidRDefault="009F0A60">
            <w:pPr>
              <w:pStyle w:val="B"/>
              <w:rPr>
                <w:szCs w:val="20"/>
              </w:rPr>
            </w:pPr>
            <w:r>
              <w:rPr>
                <w:rFonts w:hint="eastAsia"/>
                <w:kern w:val="2"/>
                <w:szCs w:val="20"/>
              </w:rPr>
              <w:t>必填项，必须10选1。见境外（被）投资者所属行业表。A0221</w:t>
            </w:r>
            <w:r>
              <w:rPr>
                <w:rFonts w:hint="eastAsia"/>
                <w:szCs w:val="20"/>
              </w:rPr>
              <w:t>≠</w:t>
            </w:r>
            <w:r>
              <w:rPr>
                <w:rFonts w:hint="eastAsia"/>
                <w:kern w:val="2"/>
                <w:szCs w:val="20"/>
              </w:rPr>
              <w:t>11（不动产）。</w:t>
            </w:r>
          </w:p>
        </w:tc>
      </w:tr>
      <w:tr w:rsidR="00A052DC" w14:paraId="07CEFDDA" w14:textId="77777777">
        <w:trPr>
          <w:jc w:val="center"/>
        </w:trPr>
        <w:tc>
          <w:tcPr>
            <w:tcW w:w="1242" w:type="dxa"/>
            <w:shd w:val="clear" w:color="auto" w:fill="auto"/>
            <w:noWrap/>
          </w:tcPr>
          <w:p w14:paraId="128E81D7" w14:textId="77777777" w:rsidR="00A052DC" w:rsidRDefault="009F0A60">
            <w:pPr>
              <w:pStyle w:val="B"/>
              <w:rPr>
                <w:szCs w:val="20"/>
              </w:rPr>
            </w:pPr>
            <w:r>
              <w:rPr>
                <w:szCs w:val="20"/>
              </w:rPr>
              <w:t>A0222</w:t>
            </w:r>
          </w:p>
        </w:tc>
        <w:tc>
          <w:tcPr>
            <w:tcW w:w="1647" w:type="dxa"/>
            <w:shd w:val="clear" w:color="auto" w:fill="auto"/>
          </w:tcPr>
          <w:p w14:paraId="0017D03A" w14:textId="77777777" w:rsidR="00A052DC" w:rsidRDefault="009F0A60">
            <w:pPr>
              <w:pStyle w:val="B"/>
              <w:rPr>
                <w:szCs w:val="20"/>
              </w:rPr>
            </w:pPr>
            <w:r>
              <w:rPr>
                <w:rFonts w:hint="eastAsia"/>
                <w:szCs w:val="20"/>
              </w:rPr>
              <w:t>境外投资者与本机构的关系</w:t>
            </w:r>
          </w:p>
        </w:tc>
        <w:tc>
          <w:tcPr>
            <w:tcW w:w="1421" w:type="dxa"/>
            <w:shd w:val="clear" w:color="auto" w:fill="auto"/>
            <w:noWrap/>
          </w:tcPr>
          <w:p w14:paraId="2C9C009C" w14:textId="77777777" w:rsidR="00A052DC" w:rsidRDefault="009F0A60">
            <w:pPr>
              <w:pStyle w:val="B"/>
              <w:rPr>
                <w:szCs w:val="20"/>
              </w:rPr>
            </w:pPr>
            <w:r>
              <w:rPr>
                <w:szCs w:val="20"/>
              </w:rPr>
              <w:t>整数型</w:t>
            </w:r>
          </w:p>
        </w:tc>
        <w:tc>
          <w:tcPr>
            <w:tcW w:w="4212" w:type="dxa"/>
          </w:tcPr>
          <w:p w14:paraId="77D03BB5" w14:textId="77777777" w:rsidR="00A052DC" w:rsidRDefault="009F0A60">
            <w:pPr>
              <w:pStyle w:val="B"/>
              <w:widowControl w:val="0"/>
              <w:jc w:val="left"/>
              <w:rPr>
                <w:kern w:val="2"/>
                <w:szCs w:val="20"/>
              </w:rPr>
            </w:pPr>
            <w:r>
              <w:rPr>
                <w:rFonts w:hint="eastAsia"/>
                <w:kern w:val="2"/>
                <w:szCs w:val="20"/>
              </w:rPr>
              <w:t>必填项，必须4选1：</w:t>
            </w:r>
          </w:p>
          <w:p w14:paraId="0A8F90D5" w14:textId="77777777" w:rsidR="00A052DC" w:rsidRDefault="009F0A60">
            <w:pPr>
              <w:jc w:val="left"/>
              <w:rPr>
                <w:rFonts w:ascii="黑体" w:eastAsia="黑体" w:hAnsi="黑体"/>
                <w:sz w:val="20"/>
                <w:szCs w:val="20"/>
              </w:rPr>
            </w:pPr>
            <w:r>
              <w:rPr>
                <w:rFonts w:ascii="黑体" w:eastAsia="黑体" w:hAnsi="黑体" w:hint="eastAsia"/>
                <w:sz w:val="20"/>
                <w:szCs w:val="20"/>
              </w:rPr>
              <w:t>1-境内分支机构（非法人），即境外投资者持有本机构表决权&gt;50%；</w:t>
            </w:r>
          </w:p>
          <w:p w14:paraId="40B3FB71" w14:textId="77777777" w:rsidR="00A052DC" w:rsidRDefault="009F0A60">
            <w:pPr>
              <w:jc w:val="left"/>
              <w:rPr>
                <w:rFonts w:ascii="黑体" w:eastAsia="黑体" w:hAnsi="黑体"/>
                <w:sz w:val="20"/>
                <w:szCs w:val="20"/>
              </w:rPr>
            </w:pPr>
            <w:r>
              <w:rPr>
                <w:rFonts w:ascii="黑体" w:eastAsia="黑体" w:hAnsi="黑体" w:hint="eastAsia"/>
                <w:sz w:val="20"/>
                <w:szCs w:val="20"/>
              </w:rPr>
              <w:t>2-境内子机构（法人），即境外投资者持有本机构表决权＞50%；</w:t>
            </w:r>
          </w:p>
          <w:p w14:paraId="53C20381" w14:textId="77777777" w:rsidR="00A052DC" w:rsidRDefault="009F0A60">
            <w:pPr>
              <w:jc w:val="left"/>
              <w:rPr>
                <w:rFonts w:ascii="黑体" w:eastAsia="黑体" w:hAnsi="黑体"/>
                <w:sz w:val="20"/>
                <w:szCs w:val="20"/>
              </w:rPr>
            </w:pPr>
            <w:r>
              <w:rPr>
                <w:rFonts w:ascii="黑体" w:eastAsia="黑体" w:hAnsi="黑体" w:hint="eastAsia"/>
                <w:sz w:val="20"/>
                <w:szCs w:val="20"/>
              </w:rPr>
              <w:t>3-境内联营或合营机构，即境外投资者持有本机构表决权≥10%，但≤50%。</w:t>
            </w:r>
          </w:p>
          <w:p w14:paraId="550D4374" w14:textId="77777777" w:rsidR="00A052DC" w:rsidRDefault="009F0A60">
            <w:pPr>
              <w:jc w:val="left"/>
              <w:rPr>
                <w:rFonts w:ascii="黑体" w:eastAsia="黑体" w:hAnsi="黑体"/>
                <w:sz w:val="20"/>
                <w:szCs w:val="20"/>
              </w:rPr>
            </w:pPr>
            <w:r>
              <w:rPr>
                <w:rFonts w:ascii="黑体" w:eastAsia="黑体" w:hAnsi="黑体" w:hint="eastAsia"/>
                <w:sz w:val="20"/>
                <w:szCs w:val="20"/>
              </w:rPr>
              <w:t>4-境外投资者与本机构无关联关系，即境外投资者持有本机构表决权＜10%，但≥0。（仅在撤资时使用该选项）</w:t>
            </w:r>
          </w:p>
          <w:p w14:paraId="78E19FF0" w14:textId="77777777" w:rsidR="00A052DC" w:rsidRDefault="009F0A60">
            <w:pPr>
              <w:pStyle w:val="B"/>
              <w:widowControl w:val="0"/>
              <w:jc w:val="left"/>
              <w:rPr>
                <w:kern w:val="2"/>
                <w:szCs w:val="20"/>
              </w:rPr>
            </w:pPr>
            <w:r>
              <w:rPr>
                <w:rFonts w:hint="eastAsia"/>
                <w:kern w:val="2"/>
                <w:szCs w:val="20"/>
              </w:rPr>
              <w:t>根据A0225判断：</w:t>
            </w:r>
          </w:p>
          <w:p w14:paraId="02C1C27C" w14:textId="77777777" w:rsidR="00A052DC" w:rsidRDefault="009F0A60">
            <w:pPr>
              <w:pStyle w:val="B"/>
              <w:widowControl w:val="0"/>
              <w:jc w:val="left"/>
              <w:rPr>
                <w:kern w:val="2"/>
                <w:szCs w:val="20"/>
              </w:rPr>
            </w:pPr>
            <w:r>
              <w:rPr>
                <w:rFonts w:hint="eastAsia"/>
                <w:kern w:val="2"/>
                <w:szCs w:val="20"/>
              </w:rPr>
              <w:t>如果0≤A0225＜10，则A0222=4；</w:t>
            </w:r>
          </w:p>
          <w:p w14:paraId="5E4ED21B" w14:textId="77777777" w:rsidR="00A052DC" w:rsidRDefault="009F0A60">
            <w:pPr>
              <w:pStyle w:val="B"/>
              <w:widowControl w:val="0"/>
              <w:jc w:val="left"/>
              <w:rPr>
                <w:kern w:val="2"/>
                <w:szCs w:val="20"/>
              </w:rPr>
            </w:pPr>
            <w:r>
              <w:rPr>
                <w:rFonts w:hint="eastAsia"/>
                <w:kern w:val="2"/>
                <w:szCs w:val="20"/>
              </w:rPr>
              <w:t>如果10≤A0225≤50，则A0222=3；</w:t>
            </w:r>
          </w:p>
          <w:p w14:paraId="10DF4575" w14:textId="77777777" w:rsidR="00A052DC" w:rsidRDefault="009F0A60">
            <w:pPr>
              <w:pStyle w:val="B"/>
              <w:widowControl w:val="0"/>
              <w:jc w:val="left"/>
              <w:rPr>
                <w:kern w:val="2"/>
                <w:szCs w:val="20"/>
              </w:rPr>
            </w:pPr>
            <w:r>
              <w:rPr>
                <w:rFonts w:hint="eastAsia"/>
                <w:kern w:val="2"/>
                <w:szCs w:val="20"/>
              </w:rPr>
              <w:t>如果50＜A0225≤100，则A0222=1或2。</w:t>
            </w:r>
          </w:p>
          <w:p w14:paraId="60785658" w14:textId="77777777" w:rsidR="00A052DC" w:rsidRDefault="009F0A60">
            <w:pPr>
              <w:jc w:val="left"/>
              <w:rPr>
                <w:rFonts w:ascii="黑体" w:eastAsia="黑体" w:hAnsi="黑体"/>
                <w:sz w:val="20"/>
                <w:szCs w:val="20"/>
              </w:rPr>
            </w:pPr>
            <w:r>
              <w:rPr>
                <w:rFonts w:ascii="黑体" w:eastAsia="黑体" w:hAnsi="黑体" w:hint="eastAsia"/>
                <w:sz w:val="20"/>
                <w:szCs w:val="20"/>
              </w:rPr>
              <w:t>当A0225≥10（%）时：</w:t>
            </w:r>
          </w:p>
          <w:p w14:paraId="03955AB2" w14:textId="77777777" w:rsidR="00A052DC" w:rsidRDefault="009F0A60">
            <w:pPr>
              <w:jc w:val="left"/>
              <w:rPr>
                <w:rFonts w:ascii="黑体" w:eastAsia="黑体" w:hAnsi="黑体"/>
                <w:sz w:val="20"/>
                <w:szCs w:val="20"/>
              </w:rPr>
            </w:pPr>
            <w:r>
              <w:rPr>
                <w:rFonts w:ascii="黑体" w:eastAsia="黑体" w:hAnsi="黑体" w:hint="eastAsia"/>
                <w:sz w:val="20"/>
                <w:szCs w:val="20"/>
              </w:rPr>
              <w:t>A0222=1或2，50＜A0225≤100。</w:t>
            </w:r>
          </w:p>
          <w:p w14:paraId="13C50149" w14:textId="77777777" w:rsidR="00A052DC" w:rsidRDefault="009F0A60">
            <w:pPr>
              <w:rPr>
                <w:rFonts w:ascii="黑体" w:eastAsia="黑体" w:hAnsi="黑体"/>
                <w:sz w:val="20"/>
                <w:szCs w:val="20"/>
              </w:rPr>
            </w:pPr>
            <w:r>
              <w:rPr>
                <w:rFonts w:ascii="黑体" w:hAnsi="黑体" w:hint="eastAsia"/>
                <w:szCs w:val="20"/>
              </w:rPr>
              <w:t>A0222=3</w:t>
            </w:r>
            <w:r>
              <w:rPr>
                <w:rFonts w:ascii="黑体" w:hAnsi="黑体" w:hint="eastAsia"/>
                <w:szCs w:val="20"/>
              </w:rPr>
              <w:t>时，</w:t>
            </w:r>
            <w:r>
              <w:rPr>
                <w:rFonts w:ascii="黑体" w:hAnsi="黑体" w:hint="eastAsia"/>
                <w:szCs w:val="20"/>
              </w:rPr>
              <w:t>10</w:t>
            </w:r>
            <w:r>
              <w:rPr>
                <w:rFonts w:ascii="黑体" w:hAnsi="黑体" w:hint="eastAsia"/>
                <w:szCs w:val="20"/>
              </w:rPr>
              <w:t>≤</w:t>
            </w:r>
            <w:r>
              <w:rPr>
                <w:rFonts w:ascii="黑体" w:hAnsi="黑体" w:hint="eastAsia"/>
                <w:szCs w:val="20"/>
              </w:rPr>
              <w:t>A0225</w:t>
            </w:r>
            <w:r>
              <w:rPr>
                <w:rFonts w:ascii="黑体" w:hAnsi="黑体" w:hint="eastAsia"/>
                <w:szCs w:val="20"/>
              </w:rPr>
              <w:t>≤</w:t>
            </w:r>
            <w:r>
              <w:rPr>
                <w:rFonts w:ascii="黑体" w:hAnsi="黑体" w:hint="eastAsia"/>
                <w:szCs w:val="20"/>
              </w:rPr>
              <w:t>50</w:t>
            </w:r>
            <w:r>
              <w:rPr>
                <w:rFonts w:ascii="黑体" w:hAnsi="黑体" w:hint="eastAsia"/>
                <w:szCs w:val="20"/>
              </w:rPr>
              <w:t>。</w:t>
            </w:r>
          </w:p>
        </w:tc>
      </w:tr>
      <w:tr w:rsidR="00A052DC" w14:paraId="284BEAD4" w14:textId="77777777">
        <w:trPr>
          <w:jc w:val="center"/>
        </w:trPr>
        <w:tc>
          <w:tcPr>
            <w:tcW w:w="1242" w:type="dxa"/>
            <w:shd w:val="clear" w:color="auto" w:fill="auto"/>
            <w:noWrap/>
          </w:tcPr>
          <w:p w14:paraId="2AED4DBE" w14:textId="77777777" w:rsidR="00A052DC" w:rsidRDefault="009F0A60">
            <w:pPr>
              <w:pStyle w:val="B"/>
              <w:rPr>
                <w:szCs w:val="20"/>
              </w:rPr>
            </w:pPr>
            <w:r>
              <w:rPr>
                <w:szCs w:val="20"/>
              </w:rPr>
              <w:t>A0223</w:t>
            </w:r>
          </w:p>
        </w:tc>
        <w:tc>
          <w:tcPr>
            <w:tcW w:w="1647" w:type="dxa"/>
            <w:shd w:val="clear" w:color="auto" w:fill="auto"/>
          </w:tcPr>
          <w:p w14:paraId="6CCC38AE" w14:textId="77777777" w:rsidR="00A052DC" w:rsidRDefault="009F0A60">
            <w:pPr>
              <w:pStyle w:val="B"/>
              <w:rPr>
                <w:szCs w:val="20"/>
              </w:rPr>
            </w:pPr>
            <w:r>
              <w:rPr>
                <w:rFonts w:hint="eastAsia"/>
                <w:szCs w:val="20"/>
              </w:rPr>
              <w:t>境外投资者</w:t>
            </w:r>
            <w:r>
              <w:rPr>
                <w:rFonts w:hint="eastAsia"/>
              </w:rPr>
              <w:t>最终控制方全称</w:t>
            </w:r>
          </w:p>
        </w:tc>
        <w:tc>
          <w:tcPr>
            <w:tcW w:w="1421" w:type="dxa"/>
            <w:shd w:val="clear" w:color="auto" w:fill="auto"/>
            <w:noWrap/>
          </w:tcPr>
          <w:p w14:paraId="71A75010" w14:textId="77777777" w:rsidR="00A052DC" w:rsidRDefault="009F0A60">
            <w:pPr>
              <w:pStyle w:val="B"/>
              <w:rPr>
                <w:szCs w:val="20"/>
              </w:rPr>
            </w:pPr>
            <w:r>
              <w:rPr>
                <w:szCs w:val="20"/>
              </w:rPr>
              <w:t>字符型，255</w:t>
            </w:r>
          </w:p>
        </w:tc>
        <w:tc>
          <w:tcPr>
            <w:tcW w:w="4212" w:type="dxa"/>
          </w:tcPr>
          <w:p w14:paraId="3AB76289" w14:textId="77777777" w:rsidR="00A052DC" w:rsidRDefault="009F0A60">
            <w:pPr>
              <w:pStyle w:val="B"/>
              <w:rPr>
                <w:szCs w:val="20"/>
              </w:rPr>
            </w:pPr>
            <w:r>
              <w:rPr>
                <w:rFonts w:hint="eastAsia"/>
                <w:szCs w:val="20"/>
              </w:rPr>
              <w:t>非必填项，如A0225＞50，为必填项。如境外投资者存在最终控制方，则据实填写；如A0225≤50，则填写“N/A”。</w:t>
            </w:r>
          </w:p>
        </w:tc>
      </w:tr>
      <w:tr w:rsidR="00A052DC" w14:paraId="3F07E962" w14:textId="77777777">
        <w:trPr>
          <w:jc w:val="center"/>
        </w:trPr>
        <w:tc>
          <w:tcPr>
            <w:tcW w:w="1242" w:type="dxa"/>
            <w:shd w:val="clear" w:color="auto" w:fill="auto"/>
            <w:noWrap/>
          </w:tcPr>
          <w:p w14:paraId="037C7E51" w14:textId="77777777" w:rsidR="00A052DC" w:rsidRDefault="009F0A60">
            <w:pPr>
              <w:pStyle w:val="B"/>
              <w:rPr>
                <w:szCs w:val="20"/>
              </w:rPr>
            </w:pPr>
            <w:r>
              <w:rPr>
                <w:szCs w:val="20"/>
              </w:rPr>
              <w:t>A0224</w:t>
            </w:r>
          </w:p>
        </w:tc>
        <w:tc>
          <w:tcPr>
            <w:tcW w:w="1647" w:type="dxa"/>
            <w:shd w:val="clear" w:color="auto" w:fill="auto"/>
          </w:tcPr>
          <w:p w14:paraId="5A069ED9" w14:textId="77777777" w:rsidR="00A052DC" w:rsidRDefault="009F0A60">
            <w:pPr>
              <w:pStyle w:val="B"/>
              <w:rPr>
                <w:szCs w:val="20"/>
              </w:rPr>
            </w:pPr>
            <w:r>
              <w:rPr>
                <w:rFonts w:hint="eastAsia"/>
                <w:szCs w:val="20"/>
              </w:rPr>
              <w:t>境外投资者</w:t>
            </w:r>
            <w:r>
              <w:rPr>
                <w:rFonts w:hint="eastAsia"/>
              </w:rPr>
              <w:t>最终控制方所属国家</w:t>
            </w:r>
            <w:r>
              <w:t>/</w:t>
            </w:r>
            <w:r>
              <w:rPr>
                <w:rFonts w:hint="eastAsia"/>
              </w:rPr>
              <w:t>地区</w:t>
            </w:r>
          </w:p>
        </w:tc>
        <w:tc>
          <w:tcPr>
            <w:tcW w:w="1421" w:type="dxa"/>
            <w:shd w:val="clear" w:color="auto" w:fill="auto"/>
            <w:noWrap/>
          </w:tcPr>
          <w:p w14:paraId="4B08D83A" w14:textId="77777777" w:rsidR="00A052DC" w:rsidRDefault="009F0A60">
            <w:pPr>
              <w:pStyle w:val="B"/>
              <w:rPr>
                <w:szCs w:val="20"/>
              </w:rPr>
            </w:pPr>
            <w:r>
              <w:rPr>
                <w:szCs w:val="20"/>
              </w:rPr>
              <w:t>字符型，3</w:t>
            </w:r>
          </w:p>
        </w:tc>
        <w:tc>
          <w:tcPr>
            <w:tcW w:w="4212" w:type="dxa"/>
          </w:tcPr>
          <w:p w14:paraId="2D5C0A67" w14:textId="77777777" w:rsidR="00A052DC" w:rsidRDefault="009F0A60">
            <w:pPr>
              <w:pStyle w:val="B"/>
              <w:rPr>
                <w:b/>
                <w:bCs/>
                <w:szCs w:val="20"/>
              </w:rPr>
            </w:pPr>
            <w:r>
              <w:rPr>
                <w:rFonts w:hint="eastAsia"/>
                <w:szCs w:val="20"/>
              </w:rPr>
              <w:t>非必填项。如</w:t>
            </w:r>
            <w:r>
              <w:rPr>
                <w:szCs w:val="20"/>
              </w:rPr>
              <w:t>A0223</w:t>
            </w:r>
            <w:r>
              <w:rPr>
                <w:rFonts w:hint="eastAsia"/>
                <w:szCs w:val="20"/>
              </w:rPr>
              <w:t>≠</w:t>
            </w:r>
            <w:r>
              <w:rPr>
                <w:szCs w:val="20"/>
              </w:rPr>
              <w:t>N/A</w:t>
            </w:r>
            <w:r>
              <w:rPr>
                <w:rFonts w:hint="eastAsia"/>
                <w:szCs w:val="20"/>
              </w:rPr>
              <w:t>且不为空，为必填项，见国家和地区代码表的</w:t>
            </w:r>
            <w:r>
              <w:rPr>
                <w:szCs w:val="20"/>
              </w:rPr>
              <w:t>3</w:t>
            </w:r>
            <w:r>
              <w:rPr>
                <w:rFonts w:hint="eastAsia"/>
                <w:szCs w:val="20"/>
              </w:rPr>
              <w:t>位字母代码；如</w:t>
            </w:r>
            <w:r>
              <w:rPr>
                <w:szCs w:val="20"/>
              </w:rPr>
              <w:t>A0223=N/A</w:t>
            </w:r>
            <w:r>
              <w:rPr>
                <w:rFonts w:hint="eastAsia"/>
                <w:szCs w:val="20"/>
              </w:rPr>
              <w:t>或为空值，此项为空。</w:t>
            </w:r>
          </w:p>
        </w:tc>
      </w:tr>
      <w:tr w:rsidR="00A052DC" w14:paraId="1F54B099" w14:textId="77777777">
        <w:trPr>
          <w:jc w:val="center"/>
        </w:trPr>
        <w:tc>
          <w:tcPr>
            <w:tcW w:w="1242" w:type="dxa"/>
            <w:shd w:val="clear" w:color="auto" w:fill="auto"/>
            <w:noWrap/>
          </w:tcPr>
          <w:p w14:paraId="2D9137E2" w14:textId="77777777" w:rsidR="00A052DC" w:rsidRDefault="009F0A60">
            <w:pPr>
              <w:pStyle w:val="B"/>
              <w:rPr>
                <w:szCs w:val="20"/>
              </w:rPr>
            </w:pPr>
            <w:r>
              <w:rPr>
                <w:szCs w:val="20"/>
              </w:rPr>
              <w:t>A0225</w:t>
            </w:r>
          </w:p>
        </w:tc>
        <w:tc>
          <w:tcPr>
            <w:tcW w:w="1647" w:type="dxa"/>
            <w:shd w:val="clear" w:color="auto" w:fill="auto"/>
          </w:tcPr>
          <w:p w14:paraId="3719A66E" w14:textId="77777777" w:rsidR="00A052DC" w:rsidRDefault="009F0A60">
            <w:pPr>
              <w:pStyle w:val="B"/>
              <w:rPr>
                <w:szCs w:val="20"/>
              </w:rPr>
            </w:pPr>
            <w:r>
              <w:rPr>
                <w:rFonts w:hint="eastAsia"/>
                <w:szCs w:val="20"/>
              </w:rPr>
              <w:t>期末</w:t>
            </w:r>
            <w:r>
              <w:rPr>
                <w:szCs w:val="20"/>
              </w:rPr>
              <w:t>(</w:t>
            </w:r>
            <w:r>
              <w:rPr>
                <w:rFonts w:hint="eastAsia"/>
                <w:szCs w:val="20"/>
              </w:rPr>
              <w:t>外方</w:t>
            </w:r>
            <w:r>
              <w:rPr>
                <w:szCs w:val="20"/>
              </w:rPr>
              <w:t>)</w:t>
            </w:r>
            <w:r>
              <w:rPr>
                <w:rFonts w:hint="eastAsia"/>
                <w:szCs w:val="20"/>
              </w:rPr>
              <w:t>表决权比例</w:t>
            </w:r>
            <w:r>
              <w:rPr>
                <w:szCs w:val="20"/>
              </w:rPr>
              <w:t>(%)</w:t>
            </w:r>
          </w:p>
        </w:tc>
        <w:tc>
          <w:tcPr>
            <w:tcW w:w="1421" w:type="dxa"/>
            <w:shd w:val="clear" w:color="auto" w:fill="auto"/>
            <w:noWrap/>
          </w:tcPr>
          <w:p w14:paraId="6E128ED1" w14:textId="77777777" w:rsidR="00A052DC" w:rsidRDefault="009F0A60">
            <w:pPr>
              <w:pStyle w:val="B"/>
              <w:rPr>
                <w:szCs w:val="20"/>
              </w:rPr>
            </w:pPr>
            <w:r>
              <w:rPr>
                <w:szCs w:val="20"/>
              </w:rPr>
              <w:t>数值型，22.2</w:t>
            </w:r>
          </w:p>
        </w:tc>
        <w:tc>
          <w:tcPr>
            <w:tcW w:w="4212" w:type="dxa"/>
          </w:tcPr>
          <w:p w14:paraId="58FDE55B" w14:textId="77777777" w:rsidR="00A052DC" w:rsidRDefault="009F0A60">
            <w:pPr>
              <w:pStyle w:val="B"/>
              <w:rPr>
                <w:szCs w:val="20"/>
              </w:rPr>
            </w:pPr>
            <w:r>
              <w:rPr>
                <w:rFonts w:hint="eastAsia"/>
                <w:szCs w:val="20"/>
              </w:rPr>
              <w:t>必填项，必须</w:t>
            </w:r>
            <w:r>
              <w:rPr>
                <w:szCs w:val="20"/>
              </w:rPr>
              <w:t>0</w:t>
            </w:r>
            <w:r>
              <w:rPr>
                <w:rFonts w:hint="eastAsia"/>
                <w:szCs w:val="20"/>
              </w:rPr>
              <w:t>≤</w:t>
            </w:r>
            <w:r>
              <w:rPr>
                <w:szCs w:val="20"/>
              </w:rPr>
              <w:t>A0225</w:t>
            </w:r>
            <w:r>
              <w:rPr>
                <w:rFonts w:hint="eastAsia"/>
                <w:szCs w:val="20"/>
              </w:rPr>
              <w:t>≤</w:t>
            </w:r>
            <w:r>
              <w:rPr>
                <w:szCs w:val="20"/>
              </w:rPr>
              <w:t>100</w:t>
            </w:r>
            <w:r>
              <w:rPr>
                <w:rFonts w:hint="eastAsia"/>
                <w:szCs w:val="20"/>
              </w:rPr>
              <w:t>，精确到小数点后两位。</w:t>
            </w:r>
          </w:p>
        </w:tc>
      </w:tr>
      <w:tr w:rsidR="00A052DC" w14:paraId="552B4391" w14:textId="77777777">
        <w:trPr>
          <w:jc w:val="center"/>
        </w:trPr>
        <w:tc>
          <w:tcPr>
            <w:tcW w:w="1242" w:type="dxa"/>
            <w:shd w:val="clear" w:color="auto" w:fill="auto"/>
            <w:noWrap/>
          </w:tcPr>
          <w:p w14:paraId="0F079D93" w14:textId="77777777" w:rsidR="00A052DC" w:rsidRDefault="009F0A60">
            <w:pPr>
              <w:pStyle w:val="B"/>
              <w:widowControl w:val="0"/>
              <w:rPr>
                <w:szCs w:val="20"/>
              </w:rPr>
            </w:pPr>
            <w:r>
              <w:rPr>
                <w:szCs w:val="20"/>
              </w:rPr>
              <w:t>A0226</w:t>
            </w:r>
          </w:p>
        </w:tc>
        <w:tc>
          <w:tcPr>
            <w:tcW w:w="1647" w:type="dxa"/>
            <w:shd w:val="clear" w:color="auto" w:fill="auto"/>
          </w:tcPr>
          <w:p w14:paraId="3234C886" w14:textId="77777777" w:rsidR="00A052DC" w:rsidRDefault="009F0A60">
            <w:pPr>
              <w:pStyle w:val="B"/>
              <w:widowControl w:val="0"/>
              <w:rPr>
                <w:szCs w:val="20"/>
              </w:rPr>
            </w:pPr>
            <w:r>
              <w:rPr>
                <w:rFonts w:hint="eastAsia"/>
                <w:szCs w:val="20"/>
              </w:rPr>
              <w:t>期末</w:t>
            </w:r>
            <w:r>
              <w:rPr>
                <w:szCs w:val="20"/>
              </w:rPr>
              <w:t>(</w:t>
            </w:r>
            <w:r>
              <w:rPr>
                <w:rFonts w:hint="eastAsia"/>
                <w:szCs w:val="20"/>
              </w:rPr>
              <w:t>外方</w:t>
            </w:r>
            <w:r>
              <w:rPr>
                <w:szCs w:val="20"/>
              </w:rPr>
              <w:t>)</w:t>
            </w:r>
            <w:r>
              <w:rPr>
                <w:rFonts w:hint="eastAsia"/>
                <w:szCs w:val="20"/>
              </w:rPr>
              <w:t>持股比例</w:t>
            </w:r>
            <w:r>
              <w:rPr>
                <w:szCs w:val="20"/>
              </w:rPr>
              <w:t>(%)</w:t>
            </w:r>
          </w:p>
        </w:tc>
        <w:tc>
          <w:tcPr>
            <w:tcW w:w="1421" w:type="dxa"/>
            <w:shd w:val="clear" w:color="auto" w:fill="auto"/>
            <w:noWrap/>
          </w:tcPr>
          <w:p w14:paraId="2DFD9865" w14:textId="77777777" w:rsidR="00A052DC" w:rsidRDefault="009F0A60">
            <w:pPr>
              <w:pStyle w:val="B"/>
              <w:widowControl w:val="0"/>
              <w:rPr>
                <w:szCs w:val="20"/>
              </w:rPr>
            </w:pPr>
            <w:r>
              <w:rPr>
                <w:szCs w:val="20"/>
              </w:rPr>
              <w:t>数值型，22.2</w:t>
            </w:r>
          </w:p>
        </w:tc>
        <w:tc>
          <w:tcPr>
            <w:tcW w:w="4212" w:type="dxa"/>
          </w:tcPr>
          <w:p w14:paraId="74CC1AC1" w14:textId="77777777" w:rsidR="00A052DC" w:rsidRDefault="009F0A60">
            <w:pPr>
              <w:pStyle w:val="B"/>
              <w:rPr>
                <w:szCs w:val="20"/>
              </w:rPr>
            </w:pPr>
            <w:r>
              <w:rPr>
                <w:rFonts w:hint="eastAsia"/>
                <w:szCs w:val="20"/>
              </w:rPr>
              <w:t>必填项，必须</w:t>
            </w:r>
            <w:r>
              <w:rPr>
                <w:szCs w:val="20"/>
              </w:rPr>
              <w:t>0</w:t>
            </w:r>
            <w:r>
              <w:rPr>
                <w:rFonts w:hint="eastAsia"/>
                <w:szCs w:val="20"/>
              </w:rPr>
              <w:t>≤</w:t>
            </w:r>
            <w:r>
              <w:rPr>
                <w:szCs w:val="20"/>
              </w:rPr>
              <w:t>A0226</w:t>
            </w:r>
            <w:r>
              <w:rPr>
                <w:rFonts w:hint="eastAsia"/>
                <w:szCs w:val="20"/>
              </w:rPr>
              <w:t>≤</w:t>
            </w:r>
            <w:r>
              <w:rPr>
                <w:szCs w:val="20"/>
              </w:rPr>
              <w:t>100</w:t>
            </w:r>
            <w:r>
              <w:rPr>
                <w:rFonts w:hint="eastAsia"/>
                <w:szCs w:val="20"/>
              </w:rPr>
              <w:t>，精确到小数点后两位。</w:t>
            </w:r>
          </w:p>
        </w:tc>
      </w:tr>
      <w:tr w:rsidR="00A052DC" w14:paraId="30ABD26C" w14:textId="77777777">
        <w:trPr>
          <w:jc w:val="center"/>
        </w:trPr>
        <w:tc>
          <w:tcPr>
            <w:tcW w:w="1242" w:type="dxa"/>
            <w:shd w:val="clear" w:color="auto" w:fill="auto"/>
            <w:noWrap/>
          </w:tcPr>
          <w:p w14:paraId="77CBE96A" w14:textId="77777777" w:rsidR="00A052DC" w:rsidRDefault="009F0A60">
            <w:pPr>
              <w:pStyle w:val="B"/>
              <w:rPr>
                <w:szCs w:val="20"/>
              </w:rPr>
            </w:pPr>
            <w:r>
              <w:rPr>
                <w:szCs w:val="20"/>
              </w:rPr>
              <w:t>A0227</w:t>
            </w:r>
            <w:r>
              <w:rPr>
                <w:rFonts w:hint="eastAsia"/>
                <w:szCs w:val="20"/>
              </w:rPr>
              <w:t>1</w:t>
            </w:r>
          </w:p>
        </w:tc>
        <w:tc>
          <w:tcPr>
            <w:tcW w:w="1647" w:type="dxa"/>
            <w:shd w:val="clear" w:color="auto" w:fill="auto"/>
          </w:tcPr>
          <w:p w14:paraId="64C67C3F" w14:textId="77777777" w:rsidR="00A052DC" w:rsidRDefault="009F0A60">
            <w:pPr>
              <w:pStyle w:val="B"/>
              <w:rPr>
                <w:szCs w:val="20"/>
              </w:rPr>
            </w:pPr>
            <w:r>
              <w:rPr>
                <w:rFonts w:hint="eastAsia"/>
                <w:szCs w:val="20"/>
              </w:rPr>
              <w:t>可流通股票（份额）的记账币种（原币）1</w:t>
            </w:r>
          </w:p>
        </w:tc>
        <w:tc>
          <w:tcPr>
            <w:tcW w:w="1421" w:type="dxa"/>
            <w:shd w:val="clear" w:color="auto" w:fill="auto"/>
            <w:noWrap/>
          </w:tcPr>
          <w:p w14:paraId="2D9956BA" w14:textId="77777777" w:rsidR="00A052DC" w:rsidRDefault="009F0A60">
            <w:pPr>
              <w:pStyle w:val="B"/>
              <w:rPr>
                <w:szCs w:val="20"/>
              </w:rPr>
            </w:pPr>
            <w:r>
              <w:rPr>
                <w:szCs w:val="20"/>
              </w:rPr>
              <w:t>字符型，3</w:t>
            </w:r>
          </w:p>
        </w:tc>
        <w:tc>
          <w:tcPr>
            <w:tcW w:w="4212" w:type="dxa"/>
          </w:tcPr>
          <w:p w14:paraId="6EA0EF3D" w14:textId="77777777" w:rsidR="00A052DC" w:rsidRDefault="009F0A60">
            <w:pPr>
              <w:pStyle w:val="B"/>
              <w:rPr>
                <w:szCs w:val="20"/>
              </w:rPr>
            </w:pPr>
            <w:r>
              <w:rPr>
                <w:rFonts w:hint="eastAsia"/>
                <w:szCs w:val="20"/>
              </w:rPr>
              <w:t>必填项，见币种代码表。</w:t>
            </w:r>
          </w:p>
          <w:p w14:paraId="2F06F6EA" w14:textId="77777777" w:rsidR="00A052DC" w:rsidRDefault="009F0A60">
            <w:pPr>
              <w:pStyle w:val="B"/>
              <w:rPr>
                <w:szCs w:val="20"/>
              </w:rPr>
            </w:pPr>
            <w:r>
              <w:rPr>
                <w:rFonts w:hint="eastAsia"/>
                <w:szCs w:val="20"/>
              </w:rPr>
              <w:t>如果此项填写“</w:t>
            </w:r>
            <w:r>
              <w:rPr>
                <w:szCs w:val="20"/>
              </w:rPr>
              <w:t>N/A</w:t>
            </w:r>
            <w:r>
              <w:rPr>
                <w:rFonts w:hint="eastAsia"/>
                <w:szCs w:val="20"/>
              </w:rPr>
              <w:t>”，</w:t>
            </w:r>
          </w:p>
          <w:p w14:paraId="393B3D4F" w14:textId="77777777" w:rsidR="00A052DC" w:rsidRDefault="009F0A60">
            <w:pPr>
              <w:pStyle w:val="B"/>
              <w:rPr>
                <w:szCs w:val="20"/>
              </w:rPr>
            </w:pPr>
            <w:r>
              <w:rPr>
                <w:szCs w:val="20"/>
              </w:rPr>
              <w:t>则A0228</w:t>
            </w:r>
            <w:r>
              <w:rPr>
                <w:rFonts w:hint="eastAsia"/>
                <w:szCs w:val="20"/>
              </w:rPr>
              <w:t>1</w:t>
            </w:r>
            <w:r>
              <w:rPr>
                <w:szCs w:val="20"/>
              </w:rPr>
              <w:t>和A0229</w:t>
            </w:r>
            <w:r>
              <w:rPr>
                <w:rFonts w:hint="eastAsia"/>
                <w:szCs w:val="20"/>
              </w:rPr>
              <w:t>1</w:t>
            </w:r>
            <w:r>
              <w:rPr>
                <w:szCs w:val="20"/>
              </w:rPr>
              <w:t>都</w:t>
            </w:r>
            <w:r>
              <w:rPr>
                <w:rFonts w:hint="eastAsia"/>
                <w:szCs w:val="20"/>
              </w:rPr>
              <w:t>填</w:t>
            </w:r>
            <w:r>
              <w:rPr>
                <w:szCs w:val="20"/>
              </w:rPr>
              <w:t>0</w:t>
            </w:r>
            <w:r>
              <w:rPr>
                <w:rFonts w:hint="eastAsia"/>
                <w:szCs w:val="20"/>
              </w:rPr>
              <w:t>。</w:t>
            </w:r>
          </w:p>
        </w:tc>
      </w:tr>
      <w:tr w:rsidR="00A052DC" w14:paraId="280EEC05" w14:textId="77777777">
        <w:trPr>
          <w:jc w:val="center"/>
        </w:trPr>
        <w:tc>
          <w:tcPr>
            <w:tcW w:w="1242" w:type="dxa"/>
            <w:shd w:val="clear" w:color="auto" w:fill="auto"/>
            <w:noWrap/>
          </w:tcPr>
          <w:p w14:paraId="4AB44117" w14:textId="77777777" w:rsidR="00A052DC" w:rsidRDefault="009F0A60">
            <w:pPr>
              <w:pStyle w:val="B"/>
              <w:rPr>
                <w:szCs w:val="20"/>
              </w:rPr>
            </w:pPr>
            <w:r>
              <w:rPr>
                <w:szCs w:val="20"/>
              </w:rPr>
              <w:t>A0228</w:t>
            </w:r>
            <w:r>
              <w:rPr>
                <w:rFonts w:hint="eastAsia"/>
                <w:szCs w:val="20"/>
              </w:rPr>
              <w:t>1</w:t>
            </w:r>
          </w:p>
        </w:tc>
        <w:tc>
          <w:tcPr>
            <w:tcW w:w="1647" w:type="dxa"/>
            <w:shd w:val="clear" w:color="auto" w:fill="auto"/>
          </w:tcPr>
          <w:p w14:paraId="0031F09E" w14:textId="77777777" w:rsidR="00A052DC" w:rsidRDefault="009F0A60">
            <w:pPr>
              <w:pStyle w:val="B"/>
              <w:rPr>
                <w:szCs w:val="20"/>
              </w:rPr>
            </w:pPr>
            <w:r>
              <w:rPr>
                <w:rFonts w:hint="eastAsia"/>
                <w:szCs w:val="20"/>
              </w:rPr>
              <w:t>持股（份额）数量1</w:t>
            </w:r>
          </w:p>
        </w:tc>
        <w:tc>
          <w:tcPr>
            <w:tcW w:w="1421" w:type="dxa"/>
            <w:shd w:val="clear" w:color="auto" w:fill="auto"/>
            <w:noWrap/>
          </w:tcPr>
          <w:p w14:paraId="16E88809" w14:textId="77777777" w:rsidR="00A052DC" w:rsidRDefault="009F0A60">
            <w:pPr>
              <w:pStyle w:val="B"/>
              <w:rPr>
                <w:szCs w:val="20"/>
              </w:rPr>
            </w:pPr>
            <w:r>
              <w:rPr>
                <w:rFonts w:hint="eastAsia"/>
                <w:szCs w:val="20"/>
              </w:rPr>
              <w:t>长整数型</w:t>
            </w:r>
          </w:p>
        </w:tc>
        <w:tc>
          <w:tcPr>
            <w:tcW w:w="4212" w:type="dxa"/>
          </w:tcPr>
          <w:p w14:paraId="71B7824E" w14:textId="77777777" w:rsidR="00A052DC" w:rsidRDefault="009F0A60">
            <w:pPr>
              <w:pStyle w:val="B"/>
              <w:rPr>
                <w:szCs w:val="20"/>
              </w:rPr>
            </w:pPr>
            <w:r>
              <w:rPr>
                <w:rFonts w:hint="eastAsia"/>
                <w:szCs w:val="20"/>
              </w:rPr>
              <w:t>必填项，如果</w:t>
            </w:r>
            <w:r>
              <w:rPr>
                <w:szCs w:val="20"/>
              </w:rPr>
              <w:t>A0227</w:t>
            </w:r>
            <w:r>
              <w:rPr>
                <w:rFonts w:hint="eastAsia"/>
                <w:szCs w:val="20"/>
              </w:rPr>
              <w:t>1</w:t>
            </w:r>
            <w:r>
              <w:rPr>
                <w:szCs w:val="20"/>
              </w:rPr>
              <w:t>=N/A</w:t>
            </w:r>
            <w:r>
              <w:rPr>
                <w:rFonts w:hint="eastAsia"/>
                <w:szCs w:val="20"/>
              </w:rPr>
              <w:t>，</w:t>
            </w:r>
            <w:r>
              <w:rPr>
                <w:szCs w:val="20"/>
              </w:rPr>
              <w:t>则</w:t>
            </w:r>
            <w:r>
              <w:rPr>
                <w:rFonts w:hint="eastAsia"/>
                <w:szCs w:val="20"/>
              </w:rPr>
              <w:t>此项填</w:t>
            </w:r>
            <w:r>
              <w:rPr>
                <w:szCs w:val="20"/>
              </w:rPr>
              <w:t>0</w:t>
            </w:r>
            <w:r>
              <w:rPr>
                <w:rFonts w:hint="eastAsia"/>
                <w:szCs w:val="20"/>
              </w:rPr>
              <w:t>。否则必须为整数，且必须＞</w:t>
            </w:r>
            <w:r>
              <w:rPr>
                <w:szCs w:val="20"/>
              </w:rPr>
              <w:t>0</w:t>
            </w:r>
            <w:r>
              <w:rPr>
                <w:rFonts w:hint="eastAsia"/>
                <w:szCs w:val="20"/>
              </w:rPr>
              <w:t>。</w:t>
            </w:r>
          </w:p>
        </w:tc>
      </w:tr>
      <w:tr w:rsidR="00A052DC" w14:paraId="72C32DE0" w14:textId="77777777">
        <w:trPr>
          <w:jc w:val="center"/>
        </w:trPr>
        <w:tc>
          <w:tcPr>
            <w:tcW w:w="1242" w:type="dxa"/>
            <w:shd w:val="clear" w:color="auto" w:fill="auto"/>
            <w:noWrap/>
          </w:tcPr>
          <w:p w14:paraId="5F814745" w14:textId="77777777" w:rsidR="00A052DC" w:rsidRDefault="009F0A60">
            <w:pPr>
              <w:pStyle w:val="B"/>
              <w:rPr>
                <w:szCs w:val="20"/>
              </w:rPr>
            </w:pPr>
            <w:r>
              <w:rPr>
                <w:szCs w:val="20"/>
              </w:rPr>
              <w:t>A0229</w:t>
            </w:r>
            <w:r>
              <w:rPr>
                <w:rFonts w:hint="eastAsia"/>
                <w:szCs w:val="20"/>
              </w:rPr>
              <w:t>1</w:t>
            </w:r>
          </w:p>
        </w:tc>
        <w:tc>
          <w:tcPr>
            <w:tcW w:w="1647" w:type="dxa"/>
            <w:shd w:val="clear" w:color="auto" w:fill="auto"/>
          </w:tcPr>
          <w:p w14:paraId="7D97F888" w14:textId="77777777" w:rsidR="00A052DC" w:rsidRDefault="009F0A60">
            <w:pPr>
              <w:pStyle w:val="B"/>
              <w:rPr>
                <w:szCs w:val="20"/>
              </w:rPr>
            </w:pPr>
            <w:r>
              <w:rPr>
                <w:rFonts w:hint="eastAsia"/>
                <w:szCs w:val="20"/>
              </w:rPr>
              <w:t>每股（每份）市价1</w:t>
            </w:r>
          </w:p>
        </w:tc>
        <w:tc>
          <w:tcPr>
            <w:tcW w:w="1421" w:type="dxa"/>
            <w:shd w:val="clear" w:color="auto" w:fill="auto"/>
            <w:noWrap/>
          </w:tcPr>
          <w:p w14:paraId="4A266AC6" w14:textId="77777777" w:rsidR="00A052DC" w:rsidRDefault="009F0A60">
            <w:pPr>
              <w:pStyle w:val="B"/>
              <w:rPr>
                <w:szCs w:val="20"/>
              </w:rPr>
            </w:pPr>
            <w:r>
              <w:rPr>
                <w:szCs w:val="20"/>
              </w:rPr>
              <w:t>数值型，22.2</w:t>
            </w:r>
          </w:p>
        </w:tc>
        <w:tc>
          <w:tcPr>
            <w:tcW w:w="4212" w:type="dxa"/>
          </w:tcPr>
          <w:p w14:paraId="3EDB0107" w14:textId="77777777" w:rsidR="00A052DC" w:rsidRDefault="009F0A60">
            <w:pPr>
              <w:pStyle w:val="B"/>
              <w:rPr>
                <w:szCs w:val="20"/>
              </w:rPr>
            </w:pPr>
            <w:r>
              <w:rPr>
                <w:rFonts w:hint="eastAsia"/>
                <w:szCs w:val="20"/>
              </w:rPr>
              <w:t>必填项，如果</w:t>
            </w:r>
            <w:r>
              <w:rPr>
                <w:szCs w:val="20"/>
              </w:rPr>
              <w:t>A0227</w:t>
            </w:r>
            <w:r>
              <w:rPr>
                <w:rFonts w:hint="eastAsia"/>
                <w:szCs w:val="20"/>
              </w:rPr>
              <w:t>1</w:t>
            </w:r>
            <w:r>
              <w:rPr>
                <w:szCs w:val="20"/>
              </w:rPr>
              <w:t>=N/A</w:t>
            </w:r>
            <w:r>
              <w:rPr>
                <w:rFonts w:hint="eastAsia"/>
                <w:szCs w:val="20"/>
              </w:rPr>
              <w:t>，</w:t>
            </w:r>
            <w:r>
              <w:rPr>
                <w:szCs w:val="20"/>
              </w:rPr>
              <w:t>则</w:t>
            </w:r>
            <w:r>
              <w:rPr>
                <w:rFonts w:hint="eastAsia"/>
                <w:szCs w:val="20"/>
              </w:rPr>
              <w:t>此项填</w:t>
            </w:r>
            <w:r>
              <w:rPr>
                <w:szCs w:val="20"/>
              </w:rPr>
              <w:t>0</w:t>
            </w:r>
            <w:r>
              <w:rPr>
                <w:rFonts w:hint="eastAsia"/>
                <w:szCs w:val="20"/>
              </w:rPr>
              <w:t>。否则，必须＞</w:t>
            </w:r>
            <w:r>
              <w:rPr>
                <w:szCs w:val="20"/>
              </w:rPr>
              <w:t>0</w:t>
            </w:r>
            <w:r>
              <w:rPr>
                <w:rFonts w:hint="eastAsia"/>
                <w:szCs w:val="20"/>
              </w:rPr>
              <w:t>。</w:t>
            </w:r>
          </w:p>
        </w:tc>
      </w:tr>
      <w:tr w:rsidR="00A052DC" w14:paraId="0A93586D" w14:textId="77777777">
        <w:trPr>
          <w:jc w:val="center"/>
        </w:trPr>
        <w:tc>
          <w:tcPr>
            <w:tcW w:w="1242" w:type="dxa"/>
            <w:shd w:val="clear" w:color="auto" w:fill="auto"/>
            <w:noWrap/>
          </w:tcPr>
          <w:p w14:paraId="44C3DD64" w14:textId="77777777" w:rsidR="00A052DC" w:rsidRDefault="009F0A60">
            <w:pPr>
              <w:pStyle w:val="B"/>
              <w:rPr>
                <w:szCs w:val="20"/>
              </w:rPr>
            </w:pPr>
            <w:r>
              <w:rPr>
                <w:szCs w:val="20"/>
              </w:rPr>
              <w:t>A0227</w:t>
            </w:r>
            <w:r>
              <w:rPr>
                <w:rFonts w:hint="eastAsia"/>
                <w:szCs w:val="20"/>
              </w:rPr>
              <w:t>2</w:t>
            </w:r>
          </w:p>
        </w:tc>
        <w:tc>
          <w:tcPr>
            <w:tcW w:w="1647" w:type="dxa"/>
            <w:shd w:val="clear" w:color="auto" w:fill="auto"/>
          </w:tcPr>
          <w:p w14:paraId="29111847" w14:textId="77777777" w:rsidR="00A052DC" w:rsidRDefault="009F0A60">
            <w:pPr>
              <w:pStyle w:val="B"/>
              <w:rPr>
                <w:szCs w:val="20"/>
              </w:rPr>
            </w:pPr>
            <w:r>
              <w:rPr>
                <w:rFonts w:hint="eastAsia"/>
                <w:szCs w:val="20"/>
              </w:rPr>
              <w:t>可流通股票（份额）的记账币种（原币）2</w:t>
            </w:r>
          </w:p>
        </w:tc>
        <w:tc>
          <w:tcPr>
            <w:tcW w:w="1421" w:type="dxa"/>
            <w:shd w:val="clear" w:color="auto" w:fill="auto"/>
            <w:noWrap/>
          </w:tcPr>
          <w:p w14:paraId="0FDD1232" w14:textId="77777777" w:rsidR="00A052DC" w:rsidRDefault="009F0A60">
            <w:pPr>
              <w:pStyle w:val="B"/>
              <w:rPr>
                <w:szCs w:val="20"/>
              </w:rPr>
            </w:pPr>
            <w:r>
              <w:rPr>
                <w:szCs w:val="20"/>
              </w:rPr>
              <w:t>字符型，3</w:t>
            </w:r>
          </w:p>
        </w:tc>
        <w:tc>
          <w:tcPr>
            <w:tcW w:w="4212" w:type="dxa"/>
          </w:tcPr>
          <w:p w14:paraId="2F0FB6B2" w14:textId="77777777" w:rsidR="00A052DC" w:rsidRDefault="009F0A60">
            <w:pPr>
              <w:pStyle w:val="B"/>
              <w:rPr>
                <w:szCs w:val="20"/>
              </w:rPr>
            </w:pPr>
            <w:r>
              <w:rPr>
                <w:rFonts w:hint="eastAsia"/>
                <w:szCs w:val="20"/>
              </w:rPr>
              <w:t>必填项，见币种代码表。</w:t>
            </w:r>
          </w:p>
          <w:p w14:paraId="08E09CCA" w14:textId="77777777" w:rsidR="00A052DC" w:rsidRDefault="009F0A60">
            <w:pPr>
              <w:pStyle w:val="B"/>
              <w:rPr>
                <w:szCs w:val="20"/>
              </w:rPr>
            </w:pPr>
            <w:r>
              <w:rPr>
                <w:rFonts w:hint="eastAsia"/>
                <w:szCs w:val="20"/>
              </w:rPr>
              <w:t>如果此项填写“</w:t>
            </w:r>
            <w:r>
              <w:rPr>
                <w:szCs w:val="20"/>
              </w:rPr>
              <w:t>N/A</w:t>
            </w:r>
            <w:r>
              <w:rPr>
                <w:rFonts w:hint="eastAsia"/>
                <w:szCs w:val="20"/>
              </w:rPr>
              <w:t>”，</w:t>
            </w:r>
          </w:p>
          <w:p w14:paraId="2BEBA7DB" w14:textId="77777777" w:rsidR="00A052DC" w:rsidRDefault="009F0A60">
            <w:pPr>
              <w:pStyle w:val="B"/>
              <w:rPr>
                <w:szCs w:val="20"/>
              </w:rPr>
            </w:pPr>
            <w:r>
              <w:rPr>
                <w:szCs w:val="20"/>
              </w:rPr>
              <w:t>则A0228</w:t>
            </w:r>
            <w:r>
              <w:rPr>
                <w:rFonts w:hint="eastAsia"/>
                <w:szCs w:val="20"/>
              </w:rPr>
              <w:t>2</w:t>
            </w:r>
            <w:r>
              <w:rPr>
                <w:szCs w:val="20"/>
              </w:rPr>
              <w:t>和A0229</w:t>
            </w:r>
            <w:r>
              <w:rPr>
                <w:rFonts w:hint="eastAsia"/>
                <w:szCs w:val="20"/>
              </w:rPr>
              <w:t>2</w:t>
            </w:r>
            <w:r>
              <w:rPr>
                <w:szCs w:val="20"/>
              </w:rPr>
              <w:t>都</w:t>
            </w:r>
            <w:r>
              <w:rPr>
                <w:rFonts w:hint="eastAsia"/>
                <w:szCs w:val="20"/>
              </w:rPr>
              <w:t>填</w:t>
            </w:r>
            <w:r>
              <w:rPr>
                <w:szCs w:val="20"/>
              </w:rPr>
              <w:t>0</w:t>
            </w:r>
            <w:r>
              <w:rPr>
                <w:rFonts w:hint="eastAsia"/>
                <w:szCs w:val="20"/>
              </w:rPr>
              <w:t>。</w:t>
            </w:r>
          </w:p>
        </w:tc>
      </w:tr>
      <w:tr w:rsidR="00A052DC" w14:paraId="1D55C7DB" w14:textId="77777777">
        <w:trPr>
          <w:jc w:val="center"/>
        </w:trPr>
        <w:tc>
          <w:tcPr>
            <w:tcW w:w="1242" w:type="dxa"/>
            <w:shd w:val="clear" w:color="auto" w:fill="auto"/>
            <w:noWrap/>
          </w:tcPr>
          <w:p w14:paraId="51B3F53C" w14:textId="77777777" w:rsidR="00A052DC" w:rsidRDefault="009F0A60">
            <w:pPr>
              <w:pStyle w:val="B"/>
              <w:rPr>
                <w:szCs w:val="20"/>
              </w:rPr>
            </w:pPr>
            <w:r>
              <w:rPr>
                <w:szCs w:val="20"/>
              </w:rPr>
              <w:t>A0228</w:t>
            </w:r>
            <w:r>
              <w:rPr>
                <w:rFonts w:hint="eastAsia"/>
                <w:szCs w:val="20"/>
              </w:rPr>
              <w:t>2</w:t>
            </w:r>
          </w:p>
        </w:tc>
        <w:tc>
          <w:tcPr>
            <w:tcW w:w="1647" w:type="dxa"/>
            <w:shd w:val="clear" w:color="auto" w:fill="auto"/>
          </w:tcPr>
          <w:p w14:paraId="7FD3DC01" w14:textId="77777777" w:rsidR="00A052DC" w:rsidRDefault="009F0A60">
            <w:pPr>
              <w:pStyle w:val="B"/>
              <w:rPr>
                <w:szCs w:val="20"/>
              </w:rPr>
            </w:pPr>
            <w:r>
              <w:rPr>
                <w:rFonts w:hint="eastAsia"/>
                <w:szCs w:val="20"/>
              </w:rPr>
              <w:t>持股（份额）数量2</w:t>
            </w:r>
          </w:p>
        </w:tc>
        <w:tc>
          <w:tcPr>
            <w:tcW w:w="1421" w:type="dxa"/>
            <w:shd w:val="clear" w:color="auto" w:fill="auto"/>
            <w:noWrap/>
          </w:tcPr>
          <w:p w14:paraId="7DAC1110" w14:textId="77777777" w:rsidR="00A052DC" w:rsidRDefault="009F0A60">
            <w:pPr>
              <w:pStyle w:val="B"/>
              <w:rPr>
                <w:szCs w:val="20"/>
              </w:rPr>
            </w:pPr>
            <w:r>
              <w:rPr>
                <w:rFonts w:hint="eastAsia"/>
                <w:szCs w:val="20"/>
              </w:rPr>
              <w:t>长整数型</w:t>
            </w:r>
          </w:p>
        </w:tc>
        <w:tc>
          <w:tcPr>
            <w:tcW w:w="4212" w:type="dxa"/>
          </w:tcPr>
          <w:p w14:paraId="4D179902" w14:textId="77777777" w:rsidR="00A052DC" w:rsidRDefault="009F0A60">
            <w:pPr>
              <w:pStyle w:val="B"/>
              <w:rPr>
                <w:szCs w:val="20"/>
              </w:rPr>
            </w:pPr>
            <w:r>
              <w:rPr>
                <w:rFonts w:hint="eastAsia"/>
                <w:szCs w:val="20"/>
              </w:rPr>
              <w:t>必填项，如果</w:t>
            </w:r>
            <w:r>
              <w:rPr>
                <w:szCs w:val="20"/>
              </w:rPr>
              <w:t>A0227</w:t>
            </w:r>
            <w:r>
              <w:rPr>
                <w:rFonts w:hint="eastAsia"/>
                <w:szCs w:val="20"/>
              </w:rPr>
              <w:t>2</w:t>
            </w:r>
            <w:r>
              <w:rPr>
                <w:szCs w:val="20"/>
              </w:rPr>
              <w:t>=N/A</w:t>
            </w:r>
            <w:r>
              <w:rPr>
                <w:rFonts w:hint="eastAsia"/>
                <w:szCs w:val="20"/>
              </w:rPr>
              <w:t>，</w:t>
            </w:r>
            <w:r>
              <w:rPr>
                <w:szCs w:val="20"/>
              </w:rPr>
              <w:t>则</w:t>
            </w:r>
            <w:r>
              <w:rPr>
                <w:rFonts w:hint="eastAsia"/>
                <w:szCs w:val="20"/>
              </w:rPr>
              <w:t>此项填</w:t>
            </w:r>
            <w:r>
              <w:rPr>
                <w:szCs w:val="20"/>
              </w:rPr>
              <w:t>0</w:t>
            </w:r>
            <w:r>
              <w:rPr>
                <w:rFonts w:hint="eastAsia"/>
                <w:szCs w:val="20"/>
              </w:rPr>
              <w:t>。否则必须为整数，且必须＞</w:t>
            </w:r>
            <w:r>
              <w:rPr>
                <w:szCs w:val="20"/>
              </w:rPr>
              <w:t>0</w:t>
            </w:r>
            <w:r>
              <w:rPr>
                <w:rFonts w:hint="eastAsia"/>
                <w:szCs w:val="20"/>
              </w:rPr>
              <w:t>。</w:t>
            </w:r>
          </w:p>
        </w:tc>
      </w:tr>
      <w:tr w:rsidR="00A052DC" w14:paraId="18D05CCB" w14:textId="77777777">
        <w:trPr>
          <w:jc w:val="center"/>
        </w:trPr>
        <w:tc>
          <w:tcPr>
            <w:tcW w:w="1242" w:type="dxa"/>
            <w:shd w:val="clear" w:color="auto" w:fill="auto"/>
            <w:noWrap/>
          </w:tcPr>
          <w:p w14:paraId="7EE0E622" w14:textId="77777777" w:rsidR="00A052DC" w:rsidRDefault="009F0A60">
            <w:pPr>
              <w:pStyle w:val="B"/>
              <w:rPr>
                <w:szCs w:val="20"/>
              </w:rPr>
            </w:pPr>
            <w:r>
              <w:rPr>
                <w:szCs w:val="20"/>
              </w:rPr>
              <w:t>A0229</w:t>
            </w:r>
            <w:r>
              <w:rPr>
                <w:rFonts w:hint="eastAsia"/>
                <w:szCs w:val="20"/>
              </w:rPr>
              <w:t>2</w:t>
            </w:r>
          </w:p>
        </w:tc>
        <w:tc>
          <w:tcPr>
            <w:tcW w:w="1647" w:type="dxa"/>
            <w:shd w:val="clear" w:color="auto" w:fill="auto"/>
          </w:tcPr>
          <w:p w14:paraId="14E9B4CB" w14:textId="77777777" w:rsidR="00A052DC" w:rsidRDefault="009F0A60">
            <w:pPr>
              <w:pStyle w:val="B"/>
              <w:rPr>
                <w:szCs w:val="20"/>
              </w:rPr>
            </w:pPr>
            <w:r>
              <w:rPr>
                <w:rFonts w:hint="eastAsia"/>
                <w:szCs w:val="20"/>
              </w:rPr>
              <w:t>每股（每份）市价2</w:t>
            </w:r>
          </w:p>
        </w:tc>
        <w:tc>
          <w:tcPr>
            <w:tcW w:w="1421" w:type="dxa"/>
            <w:shd w:val="clear" w:color="auto" w:fill="auto"/>
            <w:noWrap/>
          </w:tcPr>
          <w:p w14:paraId="64C98EC2" w14:textId="77777777" w:rsidR="00A052DC" w:rsidRDefault="009F0A60">
            <w:pPr>
              <w:pStyle w:val="B"/>
              <w:rPr>
                <w:szCs w:val="20"/>
              </w:rPr>
            </w:pPr>
            <w:r>
              <w:rPr>
                <w:szCs w:val="20"/>
              </w:rPr>
              <w:t>数值型，22.2</w:t>
            </w:r>
          </w:p>
        </w:tc>
        <w:tc>
          <w:tcPr>
            <w:tcW w:w="4212" w:type="dxa"/>
          </w:tcPr>
          <w:p w14:paraId="23769F77" w14:textId="77777777" w:rsidR="00A052DC" w:rsidRDefault="009F0A60">
            <w:pPr>
              <w:pStyle w:val="B"/>
              <w:rPr>
                <w:szCs w:val="20"/>
              </w:rPr>
            </w:pPr>
            <w:r>
              <w:rPr>
                <w:rFonts w:hint="eastAsia"/>
                <w:szCs w:val="20"/>
              </w:rPr>
              <w:t>必填项，如果</w:t>
            </w:r>
            <w:r>
              <w:rPr>
                <w:szCs w:val="20"/>
              </w:rPr>
              <w:t>A0227</w:t>
            </w:r>
            <w:r>
              <w:rPr>
                <w:rFonts w:hint="eastAsia"/>
                <w:szCs w:val="20"/>
              </w:rPr>
              <w:t>2</w:t>
            </w:r>
            <w:r>
              <w:rPr>
                <w:szCs w:val="20"/>
              </w:rPr>
              <w:t>=N/A</w:t>
            </w:r>
            <w:r>
              <w:rPr>
                <w:rFonts w:hint="eastAsia"/>
                <w:szCs w:val="20"/>
              </w:rPr>
              <w:t>，</w:t>
            </w:r>
            <w:r>
              <w:rPr>
                <w:szCs w:val="20"/>
              </w:rPr>
              <w:t>则</w:t>
            </w:r>
            <w:r>
              <w:rPr>
                <w:rFonts w:hint="eastAsia"/>
                <w:szCs w:val="20"/>
              </w:rPr>
              <w:t>此项填</w:t>
            </w:r>
            <w:r>
              <w:rPr>
                <w:szCs w:val="20"/>
              </w:rPr>
              <w:t>0</w:t>
            </w:r>
            <w:r>
              <w:rPr>
                <w:rFonts w:hint="eastAsia"/>
                <w:szCs w:val="20"/>
              </w:rPr>
              <w:t>。否则，必须＞</w:t>
            </w:r>
            <w:r>
              <w:rPr>
                <w:szCs w:val="20"/>
              </w:rPr>
              <w:t>0</w:t>
            </w:r>
            <w:r>
              <w:rPr>
                <w:rFonts w:hint="eastAsia"/>
                <w:szCs w:val="20"/>
              </w:rPr>
              <w:t>。</w:t>
            </w:r>
          </w:p>
        </w:tc>
      </w:tr>
      <w:tr w:rsidR="00A052DC" w14:paraId="5BD940B8" w14:textId="77777777">
        <w:trPr>
          <w:jc w:val="center"/>
        </w:trPr>
        <w:tc>
          <w:tcPr>
            <w:tcW w:w="1242" w:type="dxa"/>
            <w:shd w:val="clear" w:color="auto" w:fill="auto"/>
            <w:noWrap/>
          </w:tcPr>
          <w:p w14:paraId="0C8492F1" w14:textId="77777777" w:rsidR="00A052DC" w:rsidRDefault="009F0A60">
            <w:pPr>
              <w:pStyle w:val="B"/>
              <w:rPr>
                <w:szCs w:val="20"/>
              </w:rPr>
            </w:pPr>
            <w:r>
              <w:rPr>
                <w:szCs w:val="20"/>
              </w:rPr>
              <w:t>A0227</w:t>
            </w:r>
            <w:r>
              <w:rPr>
                <w:rFonts w:hint="eastAsia"/>
                <w:szCs w:val="20"/>
              </w:rPr>
              <w:t>3</w:t>
            </w:r>
          </w:p>
        </w:tc>
        <w:tc>
          <w:tcPr>
            <w:tcW w:w="1647" w:type="dxa"/>
            <w:shd w:val="clear" w:color="auto" w:fill="auto"/>
          </w:tcPr>
          <w:p w14:paraId="5505EE0F" w14:textId="77777777" w:rsidR="00A052DC" w:rsidRDefault="009F0A60">
            <w:pPr>
              <w:pStyle w:val="B"/>
              <w:rPr>
                <w:szCs w:val="20"/>
              </w:rPr>
            </w:pPr>
            <w:r>
              <w:rPr>
                <w:rFonts w:hint="eastAsia"/>
                <w:szCs w:val="20"/>
              </w:rPr>
              <w:t>可流通股票（份额）的记账币种（原币）3</w:t>
            </w:r>
          </w:p>
        </w:tc>
        <w:tc>
          <w:tcPr>
            <w:tcW w:w="1421" w:type="dxa"/>
            <w:shd w:val="clear" w:color="auto" w:fill="auto"/>
            <w:noWrap/>
          </w:tcPr>
          <w:p w14:paraId="5F8A8C5D" w14:textId="77777777" w:rsidR="00A052DC" w:rsidRDefault="009F0A60">
            <w:pPr>
              <w:pStyle w:val="B"/>
              <w:rPr>
                <w:szCs w:val="20"/>
              </w:rPr>
            </w:pPr>
            <w:r>
              <w:rPr>
                <w:szCs w:val="20"/>
              </w:rPr>
              <w:t>字符型，3</w:t>
            </w:r>
          </w:p>
        </w:tc>
        <w:tc>
          <w:tcPr>
            <w:tcW w:w="4212" w:type="dxa"/>
          </w:tcPr>
          <w:p w14:paraId="6137C099" w14:textId="77777777" w:rsidR="00A052DC" w:rsidRDefault="009F0A60">
            <w:pPr>
              <w:pStyle w:val="B"/>
              <w:rPr>
                <w:szCs w:val="20"/>
              </w:rPr>
            </w:pPr>
            <w:r>
              <w:rPr>
                <w:rFonts w:hint="eastAsia"/>
                <w:szCs w:val="20"/>
              </w:rPr>
              <w:t>必填项，见币种代码表。</w:t>
            </w:r>
          </w:p>
          <w:p w14:paraId="32E48E3E" w14:textId="77777777" w:rsidR="00A052DC" w:rsidRDefault="009F0A60">
            <w:pPr>
              <w:pStyle w:val="B"/>
              <w:rPr>
                <w:szCs w:val="20"/>
              </w:rPr>
            </w:pPr>
            <w:r>
              <w:rPr>
                <w:rFonts w:hint="eastAsia"/>
                <w:szCs w:val="20"/>
              </w:rPr>
              <w:t>如果此项填写“</w:t>
            </w:r>
            <w:r>
              <w:rPr>
                <w:szCs w:val="20"/>
              </w:rPr>
              <w:t>N/A</w:t>
            </w:r>
            <w:r>
              <w:rPr>
                <w:rFonts w:hint="eastAsia"/>
                <w:szCs w:val="20"/>
              </w:rPr>
              <w:t>”，</w:t>
            </w:r>
          </w:p>
          <w:p w14:paraId="0531A024" w14:textId="77777777" w:rsidR="00A052DC" w:rsidRDefault="009F0A60">
            <w:pPr>
              <w:pStyle w:val="B"/>
              <w:rPr>
                <w:szCs w:val="20"/>
              </w:rPr>
            </w:pPr>
            <w:r>
              <w:rPr>
                <w:szCs w:val="20"/>
              </w:rPr>
              <w:t>则A0228</w:t>
            </w:r>
            <w:r>
              <w:rPr>
                <w:rFonts w:hint="eastAsia"/>
                <w:szCs w:val="20"/>
              </w:rPr>
              <w:t>3</w:t>
            </w:r>
            <w:r>
              <w:rPr>
                <w:szCs w:val="20"/>
              </w:rPr>
              <w:t>和A0229</w:t>
            </w:r>
            <w:r>
              <w:rPr>
                <w:rFonts w:hint="eastAsia"/>
                <w:szCs w:val="20"/>
              </w:rPr>
              <w:t>3</w:t>
            </w:r>
            <w:r>
              <w:rPr>
                <w:szCs w:val="20"/>
              </w:rPr>
              <w:t>都</w:t>
            </w:r>
            <w:r>
              <w:rPr>
                <w:rFonts w:hint="eastAsia"/>
                <w:szCs w:val="20"/>
              </w:rPr>
              <w:t>填</w:t>
            </w:r>
            <w:r>
              <w:rPr>
                <w:szCs w:val="20"/>
              </w:rPr>
              <w:t>0</w:t>
            </w:r>
            <w:r>
              <w:rPr>
                <w:rFonts w:hint="eastAsia"/>
                <w:szCs w:val="20"/>
              </w:rPr>
              <w:t>。</w:t>
            </w:r>
          </w:p>
        </w:tc>
      </w:tr>
      <w:tr w:rsidR="00A052DC" w14:paraId="3D0C1545" w14:textId="77777777">
        <w:trPr>
          <w:jc w:val="center"/>
        </w:trPr>
        <w:tc>
          <w:tcPr>
            <w:tcW w:w="1242" w:type="dxa"/>
            <w:shd w:val="clear" w:color="auto" w:fill="auto"/>
            <w:noWrap/>
          </w:tcPr>
          <w:p w14:paraId="3894C329" w14:textId="77777777" w:rsidR="00A052DC" w:rsidRDefault="009F0A60">
            <w:pPr>
              <w:pStyle w:val="B"/>
              <w:rPr>
                <w:szCs w:val="20"/>
              </w:rPr>
            </w:pPr>
            <w:r>
              <w:rPr>
                <w:szCs w:val="20"/>
              </w:rPr>
              <w:t>A0228</w:t>
            </w:r>
            <w:r>
              <w:rPr>
                <w:rFonts w:hint="eastAsia"/>
                <w:szCs w:val="20"/>
              </w:rPr>
              <w:t>3</w:t>
            </w:r>
          </w:p>
        </w:tc>
        <w:tc>
          <w:tcPr>
            <w:tcW w:w="1647" w:type="dxa"/>
            <w:shd w:val="clear" w:color="auto" w:fill="auto"/>
          </w:tcPr>
          <w:p w14:paraId="3E0FE073" w14:textId="77777777" w:rsidR="00A052DC" w:rsidRDefault="009F0A60">
            <w:pPr>
              <w:pStyle w:val="B"/>
              <w:rPr>
                <w:szCs w:val="20"/>
              </w:rPr>
            </w:pPr>
            <w:r>
              <w:rPr>
                <w:rFonts w:hint="eastAsia"/>
                <w:szCs w:val="20"/>
              </w:rPr>
              <w:t>持股（份额）数量3</w:t>
            </w:r>
          </w:p>
        </w:tc>
        <w:tc>
          <w:tcPr>
            <w:tcW w:w="1421" w:type="dxa"/>
            <w:shd w:val="clear" w:color="auto" w:fill="auto"/>
            <w:noWrap/>
          </w:tcPr>
          <w:p w14:paraId="02226C7B" w14:textId="77777777" w:rsidR="00A052DC" w:rsidRDefault="009F0A60">
            <w:pPr>
              <w:pStyle w:val="B"/>
              <w:rPr>
                <w:szCs w:val="20"/>
              </w:rPr>
            </w:pPr>
            <w:r>
              <w:rPr>
                <w:rFonts w:hint="eastAsia"/>
                <w:szCs w:val="20"/>
              </w:rPr>
              <w:t>长整数型</w:t>
            </w:r>
          </w:p>
        </w:tc>
        <w:tc>
          <w:tcPr>
            <w:tcW w:w="4212" w:type="dxa"/>
          </w:tcPr>
          <w:p w14:paraId="7DA84FD8" w14:textId="77777777" w:rsidR="00A052DC" w:rsidRDefault="009F0A60">
            <w:pPr>
              <w:pStyle w:val="B"/>
              <w:rPr>
                <w:szCs w:val="20"/>
              </w:rPr>
            </w:pPr>
            <w:r>
              <w:rPr>
                <w:rFonts w:hint="eastAsia"/>
                <w:szCs w:val="20"/>
              </w:rPr>
              <w:t>必填项，如果</w:t>
            </w:r>
            <w:r>
              <w:rPr>
                <w:szCs w:val="20"/>
              </w:rPr>
              <w:t>A0227</w:t>
            </w:r>
            <w:r>
              <w:rPr>
                <w:rFonts w:hint="eastAsia"/>
                <w:szCs w:val="20"/>
              </w:rPr>
              <w:t>3</w:t>
            </w:r>
            <w:r>
              <w:rPr>
                <w:szCs w:val="20"/>
              </w:rPr>
              <w:t>=N/A</w:t>
            </w:r>
            <w:r>
              <w:rPr>
                <w:rFonts w:hint="eastAsia"/>
                <w:szCs w:val="20"/>
              </w:rPr>
              <w:t>，</w:t>
            </w:r>
            <w:r>
              <w:rPr>
                <w:szCs w:val="20"/>
              </w:rPr>
              <w:t>则</w:t>
            </w:r>
            <w:r>
              <w:rPr>
                <w:rFonts w:hint="eastAsia"/>
                <w:szCs w:val="20"/>
              </w:rPr>
              <w:t>此项填</w:t>
            </w:r>
            <w:r>
              <w:rPr>
                <w:szCs w:val="20"/>
              </w:rPr>
              <w:t>0</w:t>
            </w:r>
            <w:r>
              <w:rPr>
                <w:rFonts w:hint="eastAsia"/>
                <w:szCs w:val="20"/>
              </w:rPr>
              <w:t>。否则必须为整数，且必须＞</w:t>
            </w:r>
            <w:r>
              <w:rPr>
                <w:szCs w:val="20"/>
              </w:rPr>
              <w:t>0</w:t>
            </w:r>
            <w:r>
              <w:rPr>
                <w:rFonts w:hint="eastAsia"/>
                <w:szCs w:val="20"/>
              </w:rPr>
              <w:t>。</w:t>
            </w:r>
          </w:p>
        </w:tc>
      </w:tr>
      <w:tr w:rsidR="00A052DC" w14:paraId="7379732D" w14:textId="77777777">
        <w:trPr>
          <w:jc w:val="center"/>
        </w:trPr>
        <w:tc>
          <w:tcPr>
            <w:tcW w:w="1242" w:type="dxa"/>
            <w:shd w:val="clear" w:color="auto" w:fill="auto"/>
            <w:noWrap/>
          </w:tcPr>
          <w:p w14:paraId="1398D5F4" w14:textId="77777777" w:rsidR="00A052DC" w:rsidRDefault="009F0A60">
            <w:pPr>
              <w:pStyle w:val="B"/>
              <w:rPr>
                <w:szCs w:val="20"/>
              </w:rPr>
            </w:pPr>
            <w:r>
              <w:rPr>
                <w:szCs w:val="20"/>
              </w:rPr>
              <w:t>A0229</w:t>
            </w:r>
            <w:r>
              <w:rPr>
                <w:rFonts w:hint="eastAsia"/>
                <w:szCs w:val="20"/>
              </w:rPr>
              <w:t>3</w:t>
            </w:r>
          </w:p>
        </w:tc>
        <w:tc>
          <w:tcPr>
            <w:tcW w:w="1647" w:type="dxa"/>
            <w:shd w:val="clear" w:color="auto" w:fill="auto"/>
          </w:tcPr>
          <w:p w14:paraId="6954BBF8" w14:textId="77777777" w:rsidR="00A052DC" w:rsidRDefault="009F0A60">
            <w:pPr>
              <w:pStyle w:val="B"/>
              <w:rPr>
                <w:szCs w:val="20"/>
              </w:rPr>
            </w:pPr>
            <w:r>
              <w:rPr>
                <w:rFonts w:hint="eastAsia"/>
                <w:szCs w:val="20"/>
              </w:rPr>
              <w:t>每股（每份）市价3</w:t>
            </w:r>
          </w:p>
        </w:tc>
        <w:tc>
          <w:tcPr>
            <w:tcW w:w="1421" w:type="dxa"/>
            <w:shd w:val="clear" w:color="auto" w:fill="auto"/>
            <w:noWrap/>
          </w:tcPr>
          <w:p w14:paraId="72BBFA20" w14:textId="77777777" w:rsidR="00A052DC" w:rsidRDefault="009F0A60">
            <w:pPr>
              <w:pStyle w:val="B"/>
              <w:rPr>
                <w:szCs w:val="20"/>
              </w:rPr>
            </w:pPr>
            <w:r>
              <w:rPr>
                <w:szCs w:val="20"/>
              </w:rPr>
              <w:t>数值型，22.2</w:t>
            </w:r>
          </w:p>
        </w:tc>
        <w:tc>
          <w:tcPr>
            <w:tcW w:w="4212" w:type="dxa"/>
          </w:tcPr>
          <w:p w14:paraId="30778015" w14:textId="77777777" w:rsidR="00A052DC" w:rsidRDefault="009F0A60">
            <w:pPr>
              <w:pStyle w:val="B"/>
              <w:rPr>
                <w:szCs w:val="20"/>
              </w:rPr>
            </w:pPr>
            <w:r>
              <w:rPr>
                <w:rFonts w:hint="eastAsia"/>
                <w:szCs w:val="20"/>
              </w:rPr>
              <w:t>必填项，如果</w:t>
            </w:r>
            <w:r>
              <w:rPr>
                <w:szCs w:val="20"/>
              </w:rPr>
              <w:t>A0227</w:t>
            </w:r>
            <w:r>
              <w:rPr>
                <w:rFonts w:hint="eastAsia"/>
                <w:szCs w:val="20"/>
              </w:rPr>
              <w:t>3</w:t>
            </w:r>
            <w:r>
              <w:rPr>
                <w:szCs w:val="20"/>
              </w:rPr>
              <w:t>=N/A</w:t>
            </w:r>
            <w:r>
              <w:rPr>
                <w:rFonts w:hint="eastAsia"/>
                <w:szCs w:val="20"/>
              </w:rPr>
              <w:t>，</w:t>
            </w:r>
            <w:r>
              <w:rPr>
                <w:szCs w:val="20"/>
              </w:rPr>
              <w:t>则</w:t>
            </w:r>
            <w:r>
              <w:rPr>
                <w:rFonts w:hint="eastAsia"/>
                <w:szCs w:val="20"/>
              </w:rPr>
              <w:t>此项填</w:t>
            </w:r>
            <w:r>
              <w:rPr>
                <w:szCs w:val="20"/>
              </w:rPr>
              <w:t>0</w:t>
            </w:r>
            <w:r>
              <w:rPr>
                <w:rFonts w:hint="eastAsia"/>
                <w:szCs w:val="20"/>
              </w:rPr>
              <w:t>。否则，必须＞</w:t>
            </w:r>
            <w:r>
              <w:rPr>
                <w:szCs w:val="20"/>
              </w:rPr>
              <w:t>0</w:t>
            </w:r>
            <w:r>
              <w:rPr>
                <w:rFonts w:hint="eastAsia"/>
                <w:szCs w:val="20"/>
              </w:rPr>
              <w:t>。</w:t>
            </w:r>
          </w:p>
        </w:tc>
      </w:tr>
      <w:tr w:rsidR="00A052DC" w14:paraId="5F3676F4" w14:textId="77777777">
        <w:trPr>
          <w:jc w:val="center"/>
        </w:trPr>
        <w:tc>
          <w:tcPr>
            <w:tcW w:w="1242" w:type="dxa"/>
            <w:shd w:val="clear" w:color="auto" w:fill="auto"/>
            <w:noWrap/>
          </w:tcPr>
          <w:p w14:paraId="1544857A" w14:textId="77777777" w:rsidR="00A052DC" w:rsidRDefault="009F0A60">
            <w:pPr>
              <w:pStyle w:val="B"/>
              <w:rPr>
                <w:szCs w:val="20"/>
              </w:rPr>
            </w:pPr>
            <w:r>
              <w:rPr>
                <w:szCs w:val="20"/>
              </w:rPr>
              <w:t>A0227</w:t>
            </w:r>
            <w:r>
              <w:rPr>
                <w:rFonts w:hint="eastAsia"/>
                <w:szCs w:val="20"/>
              </w:rPr>
              <w:t>4</w:t>
            </w:r>
          </w:p>
        </w:tc>
        <w:tc>
          <w:tcPr>
            <w:tcW w:w="1647" w:type="dxa"/>
            <w:shd w:val="clear" w:color="auto" w:fill="auto"/>
          </w:tcPr>
          <w:p w14:paraId="00C1642E" w14:textId="77777777" w:rsidR="00A052DC" w:rsidRDefault="009F0A60">
            <w:pPr>
              <w:pStyle w:val="B"/>
              <w:rPr>
                <w:szCs w:val="20"/>
              </w:rPr>
            </w:pPr>
            <w:r>
              <w:rPr>
                <w:rFonts w:hint="eastAsia"/>
                <w:szCs w:val="20"/>
              </w:rPr>
              <w:t>可流通股票（份额）的记账币种（原币）4</w:t>
            </w:r>
          </w:p>
        </w:tc>
        <w:tc>
          <w:tcPr>
            <w:tcW w:w="1421" w:type="dxa"/>
            <w:shd w:val="clear" w:color="auto" w:fill="auto"/>
            <w:noWrap/>
          </w:tcPr>
          <w:p w14:paraId="162CD76F" w14:textId="77777777" w:rsidR="00A052DC" w:rsidRDefault="009F0A60">
            <w:pPr>
              <w:pStyle w:val="B"/>
              <w:rPr>
                <w:szCs w:val="20"/>
              </w:rPr>
            </w:pPr>
            <w:r>
              <w:rPr>
                <w:szCs w:val="20"/>
              </w:rPr>
              <w:t>字符型，3</w:t>
            </w:r>
          </w:p>
        </w:tc>
        <w:tc>
          <w:tcPr>
            <w:tcW w:w="4212" w:type="dxa"/>
          </w:tcPr>
          <w:p w14:paraId="515182EF" w14:textId="77777777" w:rsidR="00A052DC" w:rsidRDefault="009F0A60">
            <w:pPr>
              <w:pStyle w:val="B"/>
              <w:rPr>
                <w:szCs w:val="20"/>
              </w:rPr>
            </w:pPr>
            <w:r>
              <w:rPr>
                <w:rFonts w:hint="eastAsia"/>
                <w:szCs w:val="20"/>
              </w:rPr>
              <w:t>必填项，见币种代码表。</w:t>
            </w:r>
          </w:p>
          <w:p w14:paraId="3F18E659" w14:textId="77777777" w:rsidR="00A052DC" w:rsidRDefault="009F0A60">
            <w:pPr>
              <w:pStyle w:val="B"/>
              <w:rPr>
                <w:szCs w:val="20"/>
              </w:rPr>
            </w:pPr>
            <w:r>
              <w:rPr>
                <w:rFonts w:hint="eastAsia"/>
                <w:szCs w:val="20"/>
              </w:rPr>
              <w:t>如果此项填写“</w:t>
            </w:r>
            <w:r>
              <w:rPr>
                <w:szCs w:val="20"/>
              </w:rPr>
              <w:t>N/A</w:t>
            </w:r>
            <w:r>
              <w:rPr>
                <w:rFonts w:hint="eastAsia"/>
                <w:szCs w:val="20"/>
              </w:rPr>
              <w:t>”，</w:t>
            </w:r>
          </w:p>
          <w:p w14:paraId="3949CC7C" w14:textId="77777777" w:rsidR="00A052DC" w:rsidRDefault="009F0A60">
            <w:pPr>
              <w:pStyle w:val="B"/>
              <w:rPr>
                <w:szCs w:val="20"/>
              </w:rPr>
            </w:pPr>
            <w:r>
              <w:rPr>
                <w:szCs w:val="20"/>
              </w:rPr>
              <w:t>则A0228</w:t>
            </w:r>
            <w:r>
              <w:rPr>
                <w:rFonts w:hint="eastAsia"/>
                <w:szCs w:val="20"/>
              </w:rPr>
              <w:t>4</w:t>
            </w:r>
            <w:r>
              <w:rPr>
                <w:szCs w:val="20"/>
              </w:rPr>
              <w:t>和A0229</w:t>
            </w:r>
            <w:r>
              <w:rPr>
                <w:rFonts w:hint="eastAsia"/>
                <w:szCs w:val="20"/>
              </w:rPr>
              <w:t>4</w:t>
            </w:r>
            <w:r>
              <w:rPr>
                <w:szCs w:val="20"/>
              </w:rPr>
              <w:t>都</w:t>
            </w:r>
            <w:r>
              <w:rPr>
                <w:rFonts w:hint="eastAsia"/>
                <w:szCs w:val="20"/>
              </w:rPr>
              <w:t>填</w:t>
            </w:r>
            <w:r>
              <w:rPr>
                <w:szCs w:val="20"/>
              </w:rPr>
              <w:t>0</w:t>
            </w:r>
            <w:r>
              <w:rPr>
                <w:rFonts w:hint="eastAsia"/>
                <w:szCs w:val="20"/>
              </w:rPr>
              <w:t>。</w:t>
            </w:r>
          </w:p>
        </w:tc>
      </w:tr>
      <w:tr w:rsidR="00A052DC" w14:paraId="5FE1B81E" w14:textId="77777777">
        <w:trPr>
          <w:jc w:val="center"/>
        </w:trPr>
        <w:tc>
          <w:tcPr>
            <w:tcW w:w="1242" w:type="dxa"/>
            <w:shd w:val="clear" w:color="auto" w:fill="auto"/>
            <w:noWrap/>
          </w:tcPr>
          <w:p w14:paraId="477E5A8A" w14:textId="77777777" w:rsidR="00A052DC" w:rsidRDefault="009F0A60">
            <w:pPr>
              <w:pStyle w:val="B"/>
              <w:rPr>
                <w:szCs w:val="20"/>
              </w:rPr>
            </w:pPr>
            <w:r>
              <w:rPr>
                <w:szCs w:val="20"/>
              </w:rPr>
              <w:t>A0228</w:t>
            </w:r>
            <w:r>
              <w:rPr>
                <w:rFonts w:hint="eastAsia"/>
                <w:szCs w:val="20"/>
              </w:rPr>
              <w:t>4</w:t>
            </w:r>
          </w:p>
        </w:tc>
        <w:tc>
          <w:tcPr>
            <w:tcW w:w="1647" w:type="dxa"/>
            <w:shd w:val="clear" w:color="auto" w:fill="auto"/>
          </w:tcPr>
          <w:p w14:paraId="55642930" w14:textId="77777777" w:rsidR="00A052DC" w:rsidRDefault="009F0A60">
            <w:pPr>
              <w:pStyle w:val="B"/>
              <w:rPr>
                <w:szCs w:val="20"/>
              </w:rPr>
            </w:pPr>
            <w:r>
              <w:rPr>
                <w:rFonts w:hint="eastAsia"/>
                <w:szCs w:val="20"/>
              </w:rPr>
              <w:t>持股（份额）数量4</w:t>
            </w:r>
          </w:p>
        </w:tc>
        <w:tc>
          <w:tcPr>
            <w:tcW w:w="1421" w:type="dxa"/>
            <w:shd w:val="clear" w:color="auto" w:fill="auto"/>
            <w:noWrap/>
          </w:tcPr>
          <w:p w14:paraId="7E8CF418" w14:textId="77777777" w:rsidR="00A052DC" w:rsidRDefault="009F0A60">
            <w:pPr>
              <w:pStyle w:val="B"/>
              <w:rPr>
                <w:szCs w:val="20"/>
              </w:rPr>
            </w:pPr>
            <w:r>
              <w:rPr>
                <w:rFonts w:hint="eastAsia"/>
                <w:szCs w:val="20"/>
              </w:rPr>
              <w:t>长整数型</w:t>
            </w:r>
          </w:p>
        </w:tc>
        <w:tc>
          <w:tcPr>
            <w:tcW w:w="4212" w:type="dxa"/>
          </w:tcPr>
          <w:p w14:paraId="007D3EE0" w14:textId="77777777" w:rsidR="00A052DC" w:rsidRDefault="009F0A60">
            <w:pPr>
              <w:pStyle w:val="B"/>
              <w:rPr>
                <w:szCs w:val="20"/>
              </w:rPr>
            </w:pPr>
            <w:r>
              <w:rPr>
                <w:rFonts w:hint="eastAsia"/>
                <w:szCs w:val="20"/>
              </w:rPr>
              <w:t>必填项，如果</w:t>
            </w:r>
            <w:r>
              <w:rPr>
                <w:szCs w:val="20"/>
              </w:rPr>
              <w:t>A0227</w:t>
            </w:r>
            <w:r>
              <w:rPr>
                <w:rFonts w:hint="eastAsia"/>
                <w:szCs w:val="20"/>
              </w:rPr>
              <w:t>4</w:t>
            </w:r>
            <w:r>
              <w:rPr>
                <w:szCs w:val="20"/>
              </w:rPr>
              <w:t>=N/A</w:t>
            </w:r>
            <w:r>
              <w:rPr>
                <w:rFonts w:hint="eastAsia"/>
                <w:szCs w:val="20"/>
              </w:rPr>
              <w:t>，</w:t>
            </w:r>
            <w:r>
              <w:rPr>
                <w:szCs w:val="20"/>
              </w:rPr>
              <w:t>则</w:t>
            </w:r>
            <w:r>
              <w:rPr>
                <w:rFonts w:hint="eastAsia"/>
                <w:szCs w:val="20"/>
              </w:rPr>
              <w:t>此项填</w:t>
            </w:r>
            <w:r>
              <w:rPr>
                <w:szCs w:val="20"/>
              </w:rPr>
              <w:t>0</w:t>
            </w:r>
            <w:r>
              <w:rPr>
                <w:rFonts w:hint="eastAsia"/>
                <w:szCs w:val="20"/>
              </w:rPr>
              <w:t>。否则必须为整数，且必须＞</w:t>
            </w:r>
            <w:r>
              <w:rPr>
                <w:szCs w:val="20"/>
              </w:rPr>
              <w:t>0</w:t>
            </w:r>
            <w:r>
              <w:rPr>
                <w:rFonts w:hint="eastAsia"/>
                <w:szCs w:val="20"/>
              </w:rPr>
              <w:t>。</w:t>
            </w:r>
          </w:p>
        </w:tc>
      </w:tr>
      <w:tr w:rsidR="00A052DC" w14:paraId="7147713C" w14:textId="77777777">
        <w:trPr>
          <w:jc w:val="center"/>
        </w:trPr>
        <w:tc>
          <w:tcPr>
            <w:tcW w:w="1242" w:type="dxa"/>
            <w:shd w:val="clear" w:color="auto" w:fill="auto"/>
            <w:noWrap/>
          </w:tcPr>
          <w:p w14:paraId="71613F32" w14:textId="77777777" w:rsidR="00A052DC" w:rsidRDefault="009F0A60">
            <w:pPr>
              <w:pStyle w:val="B"/>
              <w:rPr>
                <w:szCs w:val="20"/>
              </w:rPr>
            </w:pPr>
            <w:r>
              <w:rPr>
                <w:szCs w:val="20"/>
              </w:rPr>
              <w:t>A0229</w:t>
            </w:r>
            <w:r>
              <w:rPr>
                <w:rFonts w:hint="eastAsia"/>
                <w:szCs w:val="20"/>
              </w:rPr>
              <w:t>4</w:t>
            </w:r>
          </w:p>
        </w:tc>
        <w:tc>
          <w:tcPr>
            <w:tcW w:w="1647" w:type="dxa"/>
            <w:shd w:val="clear" w:color="auto" w:fill="auto"/>
          </w:tcPr>
          <w:p w14:paraId="3AC266D6" w14:textId="77777777" w:rsidR="00A052DC" w:rsidRDefault="009F0A60">
            <w:pPr>
              <w:pStyle w:val="B"/>
              <w:rPr>
                <w:szCs w:val="20"/>
              </w:rPr>
            </w:pPr>
            <w:r>
              <w:rPr>
                <w:rFonts w:hint="eastAsia"/>
                <w:szCs w:val="20"/>
              </w:rPr>
              <w:t>每股（每份）市价4</w:t>
            </w:r>
          </w:p>
        </w:tc>
        <w:tc>
          <w:tcPr>
            <w:tcW w:w="1421" w:type="dxa"/>
            <w:shd w:val="clear" w:color="auto" w:fill="auto"/>
            <w:noWrap/>
          </w:tcPr>
          <w:p w14:paraId="4EEFFB61" w14:textId="77777777" w:rsidR="00A052DC" w:rsidRDefault="009F0A60">
            <w:pPr>
              <w:pStyle w:val="B"/>
              <w:rPr>
                <w:szCs w:val="20"/>
              </w:rPr>
            </w:pPr>
            <w:r>
              <w:rPr>
                <w:szCs w:val="20"/>
              </w:rPr>
              <w:t>数值型，22.2</w:t>
            </w:r>
          </w:p>
        </w:tc>
        <w:tc>
          <w:tcPr>
            <w:tcW w:w="4212" w:type="dxa"/>
          </w:tcPr>
          <w:p w14:paraId="678B97B2" w14:textId="77777777" w:rsidR="00A052DC" w:rsidRDefault="009F0A60">
            <w:pPr>
              <w:pStyle w:val="B"/>
              <w:rPr>
                <w:szCs w:val="20"/>
              </w:rPr>
            </w:pPr>
            <w:r>
              <w:rPr>
                <w:rFonts w:hint="eastAsia"/>
                <w:szCs w:val="20"/>
              </w:rPr>
              <w:t>必填项，如果</w:t>
            </w:r>
            <w:r>
              <w:rPr>
                <w:szCs w:val="20"/>
              </w:rPr>
              <w:t>A0227</w:t>
            </w:r>
            <w:r>
              <w:rPr>
                <w:rFonts w:hint="eastAsia"/>
                <w:szCs w:val="20"/>
              </w:rPr>
              <w:t>4</w:t>
            </w:r>
            <w:r>
              <w:rPr>
                <w:szCs w:val="20"/>
              </w:rPr>
              <w:t>=N/A</w:t>
            </w:r>
            <w:r>
              <w:rPr>
                <w:rFonts w:hint="eastAsia"/>
                <w:szCs w:val="20"/>
              </w:rPr>
              <w:t>，</w:t>
            </w:r>
            <w:r>
              <w:rPr>
                <w:szCs w:val="20"/>
              </w:rPr>
              <w:t>则</w:t>
            </w:r>
            <w:r>
              <w:rPr>
                <w:rFonts w:hint="eastAsia"/>
                <w:szCs w:val="20"/>
              </w:rPr>
              <w:t>此项填</w:t>
            </w:r>
            <w:r>
              <w:rPr>
                <w:szCs w:val="20"/>
              </w:rPr>
              <w:t>0</w:t>
            </w:r>
            <w:r>
              <w:rPr>
                <w:rFonts w:hint="eastAsia"/>
                <w:szCs w:val="20"/>
              </w:rPr>
              <w:t>。否则，必须＞</w:t>
            </w:r>
            <w:r>
              <w:rPr>
                <w:szCs w:val="20"/>
              </w:rPr>
              <w:t>0</w:t>
            </w:r>
            <w:r>
              <w:rPr>
                <w:rFonts w:hint="eastAsia"/>
                <w:szCs w:val="20"/>
              </w:rPr>
              <w:t>。</w:t>
            </w:r>
          </w:p>
        </w:tc>
      </w:tr>
      <w:tr w:rsidR="00A052DC" w14:paraId="16843FBC" w14:textId="77777777">
        <w:trPr>
          <w:jc w:val="center"/>
        </w:trPr>
        <w:tc>
          <w:tcPr>
            <w:tcW w:w="1242" w:type="dxa"/>
            <w:shd w:val="clear" w:color="auto" w:fill="auto"/>
            <w:noWrap/>
          </w:tcPr>
          <w:p w14:paraId="5CD00860" w14:textId="77777777" w:rsidR="00A052DC" w:rsidRDefault="009F0A60">
            <w:pPr>
              <w:pStyle w:val="B"/>
              <w:rPr>
                <w:szCs w:val="20"/>
              </w:rPr>
            </w:pPr>
            <w:r>
              <w:rPr>
                <w:szCs w:val="20"/>
              </w:rPr>
              <w:t>A0227</w:t>
            </w:r>
            <w:r>
              <w:rPr>
                <w:rFonts w:hint="eastAsia"/>
                <w:szCs w:val="20"/>
              </w:rPr>
              <w:t>5</w:t>
            </w:r>
          </w:p>
        </w:tc>
        <w:tc>
          <w:tcPr>
            <w:tcW w:w="1647" w:type="dxa"/>
            <w:shd w:val="clear" w:color="auto" w:fill="auto"/>
          </w:tcPr>
          <w:p w14:paraId="33DE3533" w14:textId="77777777" w:rsidR="00A052DC" w:rsidRDefault="009F0A60">
            <w:pPr>
              <w:pStyle w:val="B"/>
              <w:rPr>
                <w:szCs w:val="20"/>
              </w:rPr>
            </w:pPr>
            <w:r>
              <w:rPr>
                <w:rFonts w:hint="eastAsia"/>
                <w:szCs w:val="20"/>
              </w:rPr>
              <w:t>可流通股票（份额）的记账币种（原币）5</w:t>
            </w:r>
          </w:p>
        </w:tc>
        <w:tc>
          <w:tcPr>
            <w:tcW w:w="1421" w:type="dxa"/>
            <w:shd w:val="clear" w:color="auto" w:fill="auto"/>
            <w:noWrap/>
          </w:tcPr>
          <w:p w14:paraId="6EABB5B3" w14:textId="77777777" w:rsidR="00A052DC" w:rsidRDefault="009F0A60">
            <w:pPr>
              <w:pStyle w:val="B"/>
              <w:rPr>
                <w:szCs w:val="20"/>
              </w:rPr>
            </w:pPr>
            <w:r>
              <w:rPr>
                <w:szCs w:val="20"/>
              </w:rPr>
              <w:t>字符型，3</w:t>
            </w:r>
          </w:p>
        </w:tc>
        <w:tc>
          <w:tcPr>
            <w:tcW w:w="4212" w:type="dxa"/>
          </w:tcPr>
          <w:p w14:paraId="4C667B81" w14:textId="77777777" w:rsidR="00A052DC" w:rsidRDefault="009F0A60">
            <w:pPr>
              <w:pStyle w:val="B"/>
              <w:rPr>
                <w:szCs w:val="20"/>
              </w:rPr>
            </w:pPr>
            <w:r>
              <w:rPr>
                <w:rFonts w:hint="eastAsia"/>
                <w:szCs w:val="20"/>
              </w:rPr>
              <w:t>必填项，见币种代码表。</w:t>
            </w:r>
          </w:p>
          <w:p w14:paraId="129CD7DC" w14:textId="77777777" w:rsidR="00A052DC" w:rsidRDefault="009F0A60">
            <w:pPr>
              <w:pStyle w:val="B"/>
              <w:rPr>
                <w:szCs w:val="20"/>
              </w:rPr>
            </w:pPr>
            <w:r>
              <w:rPr>
                <w:rFonts w:hint="eastAsia"/>
                <w:szCs w:val="20"/>
              </w:rPr>
              <w:t>如果此项填写“</w:t>
            </w:r>
            <w:r>
              <w:rPr>
                <w:szCs w:val="20"/>
              </w:rPr>
              <w:t>N/A</w:t>
            </w:r>
            <w:r>
              <w:rPr>
                <w:rFonts w:hint="eastAsia"/>
                <w:szCs w:val="20"/>
              </w:rPr>
              <w:t>”，</w:t>
            </w:r>
          </w:p>
          <w:p w14:paraId="2611DE27" w14:textId="77777777" w:rsidR="00A052DC" w:rsidRDefault="009F0A60">
            <w:pPr>
              <w:pStyle w:val="B"/>
              <w:rPr>
                <w:szCs w:val="20"/>
              </w:rPr>
            </w:pPr>
            <w:r>
              <w:rPr>
                <w:szCs w:val="20"/>
              </w:rPr>
              <w:t>则A0228</w:t>
            </w:r>
            <w:r>
              <w:rPr>
                <w:rFonts w:hint="eastAsia"/>
                <w:szCs w:val="20"/>
              </w:rPr>
              <w:t>5</w:t>
            </w:r>
            <w:r>
              <w:rPr>
                <w:szCs w:val="20"/>
              </w:rPr>
              <w:t>和A0229</w:t>
            </w:r>
            <w:r>
              <w:rPr>
                <w:rFonts w:hint="eastAsia"/>
                <w:szCs w:val="20"/>
              </w:rPr>
              <w:t>5</w:t>
            </w:r>
            <w:r>
              <w:rPr>
                <w:szCs w:val="20"/>
              </w:rPr>
              <w:t>都</w:t>
            </w:r>
            <w:r>
              <w:rPr>
                <w:rFonts w:hint="eastAsia"/>
                <w:szCs w:val="20"/>
              </w:rPr>
              <w:t>填</w:t>
            </w:r>
            <w:r>
              <w:rPr>
                <w:szCs w:val="20"/>
              </w:rPr>
              <w:t>0</w:t>
            </w:r>
            <w:r>
              <w:rPr>
                <w:rFonts w:hint="eastAsia"/>
                <w:szCs w:val="20"/>
              </w:rPr>
              <w:t>。</w:t>
            </w:r>
          </w:p>
        </w:tc>
      </w:tr>
      <w:tr w:rsidR="00A052DC" w14:paraId="1872392C" w14:textId="77777777">
        <w:trPr>
          <w:jc w:val="center"/>
        </w:trPr>
        <w:tc>
          <w:tcPr>
            <w:tcW w:w="1242" w:type="dxa"/>
            <w:shd w:val="clear" w:color="auto" w:fill="auto"/>
            <w:noWrap/>
          </w:tcPr>
          <w:p w14:paraId="6A8DC04C" w14:textId="77777777" w:rsidR="00A052DC" w:rsidRDefault="009F0A60">
            <w:pPr>
              <w:pStyle w:val="B"/>
              <w:rPr>
                <w:szCs w:val="20"/>
              </w:rPr>
            </w:pPr>
            <w:r>
              <w:rPr>
                <w:szCs w:val="20"/>
              </w:rPr>
              <w:t>A0228</w:t>
            </w:r>
            <w:r>
              <w:rPr>
                <w:rFonts w:hint="eastAsia"/>
                <w:szCs w:val="20"/>
              </w:rPr>
              <w:t>5</w:t>
            </w:r>
          </w:p>
        </w:tc>
        <w:tc>
          <w:tcPr>
            <w:tcW w:w="1647" w:type="dxa"/>
            <w:shd w:val="clear" w:color="auto" w:fill="auto"/>
          </w:tcPr>
          <w:p w14:paraId="5B171BDE" w14:textId="77777777" w:rsidR="00A052DC" w:rsidRDefault="009F0A60">
            <w:pPr>
              <w:pStyle w:val="B"/>
              <w:rPr>
                <w:szCs w:val="20"/>
              </w:rPr>
            </w:pPr>
            <w:r>
              <w:rPr>
                <w:rFonts w:hint="eastAsia"/>
                <w:szCs w:val="20"/>
              </w:rPr>
              <w:t>持股（份额）数量5</w:t>
            </w:r>
          </w:p>
        </w:tc>
        <w:tc>
          <w:tcPr>
            <w:tcW w:w="1421" w:type="dxa"/>
            <w:shd w:val="clear" w:color="auto" w:fill="auto"/>
            <w:noWrap/>
          </w:tcPr>
          <w:p w14:paraId="209501F2" w14:textId="77777777" w:rsidR="00A052DC" w:rsidRDefault="009F0A60">
            <w:pPr>
              <w:pStyle w:val="B"/>
              <w:rPr>
                <w:szCs w:val="20"/>
              </w:rPr>
            </w:pPr>
            <w:r>
              <w:rPr>
                <w:rFonts w:hint="eastAsia"/>
                <w:szCs w:val="20"/>
              </w:rPr>
              <w:t>长整数型</w:t>
            </w:r>
          </w:p>
        </w:tc>
        <w:tc>
          <w:tcPr>
            <w:tcW w:w="4212" w:type="dxa"/>
          </w:tcPr>
          <w:p w14:paraId="0F7862C8" w14:textId="77777777" w:rsidR="00A052DC" w:rsidRDefault="009F0A60">
            <w:pPr>
              <w:pStyle w:val="B"/>
              <w:rPr>
                <w:szCs w:val="20"/>
              </w:rPr>
            </w:pPr>
            <w:r>
              <w:rPr>
                <w:rFonts w:hint="eastAsia"/>
                <w:szCs w:val="20"/>
              </w:rPr>
              <w:t>必填项，如果</w:t>
            </w:r>
            <w:r>
              <w:rPr>
                <w:szCs w:val="20"/>
              </w:rPr>
              <w:t>A0227</w:t>
            </w:r>
            <w:r>
              <w:rPr>
                <w:rFonts w:hint="eastAsia"/>
                <w:szCs w:val="20"/>
              </w:rPr>
              <w:t>5</w:t>
            </w:r>
            <w:r>
              <w:rPr>
                <w:szCs w:val="20"/>
              </w:rPr>
              <w:t>=N/A</w:t>
            </w:r>
            <w:r>
              <w:rPr>
                <w:rFonts w:hint="eastAsia"/>
                <w:szCs w:val="20"/>
              </w:rPr>
              <w:t>，</w:t>
            </w:r>
            <w:r>
              <w:rPr>
                <w:szCs w:val="20"/>
              </w:rPr>
              <w:t>则</w:t>
            </w:r>
            <w:r>
              <w:rPr>
                <w:rFonts w:hint="eastAsia"/>
                <w:szCs w:val="20"/>
              </w:rPr>
              <w:t>此项填</w:t>
            </w:r>
            <w:r>
              <w:rPr>
                <w:szCs w:val="20"/>
              </w:rPr>
              <w:t>0</w:t>
            </w:r>
            <w:r>
              <w:rPr>
                <w:rFonts w:hint="eastAsia"/>
                <w:szCs w:val="20"/>
              </w:rPr>
              <w:t>。否则必须为整数，且必须＞</w:t>
            </w:r>
            <w:r>
              <w:rPr>
                <w:szCs w:val="20"/>
              </w:rPr>
              <w:t>0</w:t>
            </w:r>
            <w:r>
              <w:rPr>
                <w:rFonts w:hint="eastAsia"/>
                <w:szCs w:val="20"/>
              </w:rPr>
              <w:t>。</w:t>
            </w:r>
          </w:p>
        </w:tc>
      </w:tr>
      <w:tr w:rsidR="00A052DC" w14:paraId="4AA8A3AB" w14:textId="77777777">
        <w:trPr>
          <w:jc w:val="center"/>
        </w:trPr>
        <w:tc>
          <w:tcPr>
            <w:tcW w:w="1242" w:type="dxa"/>
            <w:shd w:val="clear" w:color="auto" w:fill="auto"/>
            <w:noWrap/>
          </w:tcPr>
          <w:p w14:paraId="71080E65" w14:textId="77777777" w:rsidR="00A052DC" w:rsidRDefault="009F0A60">
            <w:pPr>
              <w:pStyle w:val="B"/>
              <w:rPr>
                <w:szCs w:val="20"/>
              </w:rPr>
            </w:pPr>
            <w:r>
              <w:rPr>
                <w:szCs w:val="20"/>
              </w:rPr>
              <w:t>A0229</w:t>
            </w:r>
            <w:r>
              <w:rPr>
                <w:rFonts w:hint="eastAsia"/>
                <w:szCs w:val="20"/>
              </w:rPr>
              <w:t>5</w:t>
            </w:r>
          </w:p>
        </w:tc>
        <w:tc>
          <w:tcPr>
            <w:tcW w:w="1647" w:type="dxa"/>
            <w:shd w:val="clear" w:color="auto" w:fill="auto"/>
          </w:tcPr>
          <w:p w14:paraId="5D1D287C" w14:textId="77777777" w:rsidR="00A052DC" w:rsidRDefault="009F0A60">
            <w:pPr>
              <w:pStyle w:val="B"/>
              <w:rPr>
                <w:szCs w:val="20"/>
              </w:rPr>
            </w:pPr>
            <w:r>
              <w:rPr>
                <w:rFonts w:hint="eastAsia"/>
                <w:szCs w:val="20"/>
              </w:rPr>
              <w:t>每股（每份）市价5</w:t>
            </w:r>
          </w:p>
        </w:tc>
        <w:tc>
          <w:tcPr>
            <w:tcW w:w="1421" w:type="dxa"/>
            <w:shd w:val="clear" w:color="auto" w:fill="auto"/>
            <w:noWrap/>
          </w:tcPr>
          <w:p w14:paraId="42A6F730" w14:textId="77777777" w:rsidR="00A052DC" w:rsidRDefault="009F0A60">
            <w:pPr>
              <w:pStyle w:val="B"/>
              <w:rPr>
                <w:szCs w:val="20"/>
              </w:rPr>
            </w:pPr>
            <w:r>
              <w:rPr>
                <w:szCs w:val="20"/>
              </w:rPr>
              <w:t>数值型，22.2</w:t>
            </w:r>
          </w:p>
        </w:tc>
        <w:tc>
          <w:tcPr>
            <w:tcW w:w="4212" w:type="dxa"/>
          </w:tcPr>
          <w:p w14:paraId="1A65B39F" w14:textId="77777777" w:rsidR="00A052DC" w:rsidRDefault="009F0A60">
            <w:pPr>
              <w:pStyle w:val="B"/>
              <w:rPr>
                <w:szCs w:val="20"/>
              </w:rPr>
            </w:pPr>
            <w:r>
              <w:rPr>
                <w:rFonts w:hint="eastAsia"/>
                <w:szCs w:val="20"/>
              </w:rPr>
              <w:t>必填项，如果</w:t>
            </w:r>
            <w:r>
              <w:rPr>
                <w:szCs w:val="20"/>
              </w:rPr>
              <w:t>A0227</w:t>
            </w:r>
            <w:r>
              <w:rPr>
                <w:rFonts w:hint="eastAsia"/>
                <w:szCs w:val="20"/>
              </w:rPr>
              <w:t>5</w:t>
            </w:r>
            <w:r>
              <w:rPr>
                <w:szCs w:val="20"/>
              </w:rPr>
              <w:t>=N/A</w:t>
            </w:r>
            <w:r>
              <w:rPr>
                <w:rFonts w:hint="eastAsia"/>
                <w:szCs w:val="20"/>
              </w:rPr>
              <w:t>，</w:t>
            </w:r>
            <w:r>
              <w:rPr>
                <w:szCs w:val="20"/>
              </w:rPr>
              <w:t>则</w:t>
            </w:r>
            <w:r>
              <w:rPr>
                <w:rFonts w:hint="eastAsia"/>
                <w:szCs w:val="20"/>
              </w:rPr>
              <w:t>此项填</w:t>
            </w:r>
            <w:r>
              <w:rPr>
                <w:szCs w:val="20"/>
              </w:rPr>
              <w:t>0</w:t>
            </w:r>
            <w:r>
              <w:rPr>
                <w:rFonts w:hint="eastAsia"/>
                <w:szCs w:val="20"/>
              </w:rPr>
              <w:t>。否则，必须＞</w:t>
            </w:r>
            <w:r>
              <w:rPr>
                <w:szCs w:val="20"/>
              </w:rPr>
              <w:t>0</w:t>
            </w:r>
            <w:r>
              <w:rPr>
                <w:rFonts w:hint="eastAsia"/>
                <w:szCs w:val="20"/>
              </w:rPr>
              <w:t>。</w:t>
            </w:r>
          </w:p>
        </w:tc>
      </w:tr>
      <w:tr w:rsidR="00A052DC" w14:paraId="50912EB8" w14:textId="77777777">
        <w:trPr>
          <w:jc w:val="center"/>
        </w:trPr>
        <w:tc>
          <w:tcPr>
            <w:tcW w:w="1242" w:type="dxa"/>
            <w:shd w:val="clear" w:color="auto" w:fill="auto"/>
            <w:noWrap/>
          </w:tcPr>
          <w:p w14:paraId="429BA6D8" w14:textId="77777777" w:rsidR="00A052DC" w:rsidRDefault="009F0A60">
            <w:pPr>
              <w:pStyle w:val="B"/>
              <w:rPr>
                <w:szCs w:val="20"/>
              </w:rPr>
            </w:pPr>
            <w:r>
              <w:rPr>
                <w:szCs w:val="20"/>
              </w:rPr>
              <w:t>REMARK</w:t>
            </w:r>
          </w:p>
        </w:tc>
        <w:tc>
          <w:tcPr>
            <w:tcW w:w="1647" w:type="dxa"/>
            <w:shd w:val="clear" w:color="auto" w:fill="auto"/>
          </w:tcPr>
          <w:p w14:paraId="685C907F" w14:textId="77777777" w:rsidR="00A052DC" w:rsidRDefault="009F0A60">
            <w:pPr>
              <w:pStyle w:val="B"/>
              <w:rPr>
                <w:szCs w:val="20"/>
              </w:rPr>
            </w:pPr>
            <w:r>
              <w:rPr>
                <w:rFonts w:hint="eastAsia"/>
                <w:szCs w:val="20"/>
              </w:rPr>
              <w:t>备注</w:t>
            </w:r>
          </w:p>
        </w:tc>
        <w:tc>
          <w:tcPr>
            <w:tcW w:w="1421" w:type="dxa"/>
            <w:shd w:val="clear" w:color="auto" w:fill="auto"/>
            <w:noWrap/>
          </w:tcPr>
          <w:p w14:paraId="422044C8" w14:textId="77777777" w:rsidR="00A052DC" w:rsidRDefault="009F0A60">
            <w:pPr>
              <w:pStyle w:val="B"/>
              <w:rPr>
                <w:szCs w:val="20"/>
              </w:rPr>
            </w:pPr>
            <w:r>
              <w:rPr>
                <w:rFonts w:hint="eastAsia"/>
                <w:szCs w:val="20"/>
              </w:rPr>
              <w:t>字符型，</w:t>
            </w:r>
            <w:r>
              <w:rPr>
                <w:szCs w:val="20"/>
              </w:rPr>
              <w:t>512</w:t>
            </w:r>
          </w:p>
        </w:tc>
        <w:tc>
          <w:tcPr>
            <w:tcW w:w="4212" w:type="dxa"/>
          </w:tcPr>
          <w:p w14:paraId="6AFB9507" w14:textId="77777777" w:rsidR="00A052DC" w:rsidRDefault="009F0A60">
            <w:pPr>
              <w:pStyle w:val="B"/>
              <w:rPr>
                <w:szCs w:val="20"/>
              </w:rPr>
            </w:pPr>
            <w:r>
              <w:rPr>
                <w:rFonts w:hint="eastAsia"/>
                <w:szCs w:val="20"/>
              </w:rPr>
              <w:t>当0（%）≤</w:t>
            </w:r>
            <w:r>
              <w:rPr>
                <w:szCs w:val="20"/>
              </w:rPr>
              <w:t>A0</w:t>
            </w:r>
            <w:r>
              <w:rPr>
                <w:rFonts w:hint="eastAsia"/>
                <w:szCs w:val="20"/>
              </w:rPr>
              <w:t>225＜1</w:t>
            </w:r>
            <w:r>
              <w:rPr>
                <w:szCs w:val="20"/>
              </w:rPr>
              <w:t>0</w:t>
            </w:r>
            <w:r>
              <w:rPr>
                <w:rFonts w:hint="eastAsia"/>
                <w:szCs w:val="20"/>
              </w:rPr>
              <w:t>（%）时为必填项。</w:t>
            </w:r>
          </w:p>
        </w:tc>
      </w:tr>
    </w:tbl>
    <w:p w14:paraId="6CBA2860" w14:textId="77777777" w:rsidR="00A052DC" w:rsidRDefault="00A052DC"/>
    <w:p w14:paraId="3CABDB6B" w14:textId="77777777" w:rsidR="00A052DC" w:rsidRDefault="009F0A60" w:rsidP="0020251D">
      <w:pPr>
        <w:pStyle w:val="3"/>
        <w:ind w:left="0"/>
        <w:rPr>
          <w:rFonts w:ascii="Times New Roman" w:hAnsi="Times New Roman"/>
        </w:rPr>
      </w:pPr>
      <w:bookmarkStart w:id="3028" w:name="_Toc380356281"/>
      <w:bookmarkStart w:id="3029" w:name="_Toc91455308"/>
      <w:bookmarkStart w:id="3030" w:name="_Toc380570919"/>
      <w:bookmarkStart w:id="3031" w:name="_Toc454391248"/>
      <w:bookmarkStart w:id="3032" w:name="_Toc101684481"/>
      <w:r>
        <w:rPr>
          <w:rFonts w:ascii="Times New Roman" w:hAnsi="Times New Roman"/>
        </w:rPr>
        <w:t>A02-3</w:t>
      </w:r>
      <w:r>
        <w:rPr>
          <w:rFonts w:ascii="Times New Roman" w:hAnsi="Times New Roman" w:hint="eastAsia"/>
        </w:rPr>
        <w:t>表：来华直接投资（流量）</w:t>
      </w:r>
      <w:bookmarkEnd w:id="3028"/>
      <w:bookmarkEnd w:id="3029"/>
      <w:bookmarkEnd w:id="3030"/>
      <w:bookmarkEnd w:id="3031"/>
      <w:bookmarkEnd w:id="3032"/>
    </w:p>
    <w:p w14:paraId="280D6B1E" w14:textId="77777777" w:rsidR="00A052DC" w:rsidRDefault="009F0A60" w:rsidP="0020251D">
      <w:pPr>
        <w:pStyle w:val="4"/>
        <w:numPr>
          <w:ilvl w:val="3"/>
          <w:numId w:val="1"/>
        </w:numPr>
        <w:jc w:val="left"/>
      </w:pPr>
      <w:bookmarkStart w:id="3033" w:name="_Toc380570920"/>
      <w:bookmarkStart w:id="3034" w:name="_Toc454391249"/>
      <w:r>
        <w:rPr>
          <w:rFonts w:hint="eastAsia"/>
        </w:rPr>
        <w:t>数据术语解释</w:t>
      </w:r>
      <w:bookmarkEnd w:id="3033"/>
      <w:bookmarkEnd w:id="3034"/>
    </w:p>
    <w:p w14:paraId="25D3302C" w14:textId="77777777" w:rsidR="00A052DC" w:rsidRDefault="00A052DC">
      <w:pPr>
        <w:spacing w:line="240" w:lineRule="exact"/>
        <w:rPr>
          <w:sz w:val="18"/>
        </w:rPr>
      </w:pPr>
    </w:p>
    <w:tbl>
      <w:tblPr>
        <w:tblW w:w="8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6549"/>
      </w:tblGrid>
      <w:tr w:rsidR="00A052DC" w14:paraId="168455D1" w14:textId="77777777">
        <w:trPr>
          <w:cantSplit/>
          <w:jc w:val="center"/>
        </w:trPr>
        <w:tc>
          <w:tcPr>
            <w:tcW w:w="1730" w:type="dxa"/>
            <w:shd w:val="clear" w:color="auto" w:fill="auto"/>
            <w:noWrap/>
          </w:tcPr>
          <w:p w14:paraId="31EBCC65" w14:textId="77777777" w:rsidR="00A052DC" w:rsidRDefault="009F0A60">
            <w:pPr>
              <w:pStyle w:val="B1"/>
            </w:pPr>
            <w:r>
              <w:rPr>
                <w:rFonts w:hint="eastAsia"/>
              </w:rPr>
              <w:t>基础数据项</w:t>
            </w:r>
          </w:p>
        </w:tc>
        <w:tc>
          <w:tcPr>
            <w:tcW w:w="6549" w:type="dxa"/>
            <w:shd w:val="clear" w:color="auto" w:fill="auto"/>
            <w:noWrap/>
          </w:tcPr>
          <w:p w14:paraId="3E0D1250" w14:textId="77777777" w:rsidR="00A052DC" w:rsidRDefault="009F0A60">
            <w:pPr>
              <w:pStyle w:val="B1"/>
            </w:pPr>
            <w:r>
              <w:rPr>
                <w:rFonts w:hint="eastAsia"/>
              </w:rPr>
              <w:t>定义</w:t>
            </w:r>
          </w:p>
        </w:tc>
      </w:tr>
      <w:tr w:rsidR="00A052DC" w14:paraId="7CBE3A2D" w14:textId="77777777">
        <w:trPr>
          <w:cantSplit/>
          <w:jc w:val="center"/>
        </w:trPr>
        <w:tc>
          <w:tcPr>
            <w:tcW w:w="1730" w:type="dxa"/>
            <w:shd w:val="clear" w:color="auto" w:fill="auto"/>
          </w:tcPr>
          <w:p w14:paraId="6DDCE2BA" w14:textId="77777777" w:rsidR="00A052DC" w:rsidRDefault="009F0A60">
            <w:pPr>
              <w:pStyle w:val="B"/>
              <w:rPr>
                <w:szCs w:val="20"/>
              </w:rPr>
            </w:pPr>
            <w:r>
              <w:rPr>
                <w:rFonts w:hint="eastAsia"/>
                <w:szCs w:val="20"/>
              </w:rPr>
              <w:t>数据自编码</w:t>
            </w:r>
          </w:p>
        </w:tc>
        <w:tc>
          <w:tcPr>
            <w:tcW w:w="6549" w:type="dxa"/>
            <w:shd w:val="clear" w:color="auto" w:fill="auto"/>
            <w:noWrap/>
          </w:tcPr>
          <w:p w14:paraId="4DF2F56D" w14:textId="77777777" w:rsidR="00A052DC" w:rsidRDefault="009F0A60">
            <w:pPr>
              <w:pStyle w:val="B"/>
              <w:rPr>
                <w:szCs w:val="20"/>
              </w:rPr>
            </w:pPr>
            <w:r>
              <w:rPr>
                <w:rFonts w:hint="eastAsia"/>
                <w:szCs w:val="20"/>
              </w:rPr>
              <w:t>该编码用于标识金融机构报送的每一条数据，按给定规则编码，便于进行增删改查等操作。建议规则：机构代码（</w:t>
            </w:r>
            <w:r>
              <w:rPr>
                <w:szCs w:val="20"/>
              </w:rPr>
              <w:t>1</w:t>
            </w:r>
            <w:r>
              <w:rPr>
                <w:rFonts w:hint="eastAsia"/>
                <w:szCs w:val="20"/>
              </w:rPr>
              <w:t>8位，不足</w:t>
            </w:r>
            <w:r>
              <w:rPr>
                <w:szCs w:val="20"/>
              </w:rPr>
              <w:t>1</w:t>
            </w:r>
            <w:r>
              <w:rPr>
                <w:rFonts w:hint="eastAsia"/>
                <w:szCs w:val="20"/>
              </w:rPr>
              <w:t>8位补</w:t>
            </w:r>
            <w:r>
              <w:rPr>
                <w:szCs w:val="20"/>
              </w:rPr>
              <w:t>a</w:t>
            </w:r>
            <w:r>
              <w:rPr>
                <w:rFonts w:hint="eastAsia"/>
                <w:szCs w:val="20"/>
              </w:rPr>
              <w:t>）</w:t>
            </w:r>
            <w:r>
              <w:rPr>
                <w:szCs w:val="20"/>
              </w:rPr>
              <w:t>+</w:t>
            </w:r>
            <w:r>
              <w:rPr>
                <w:rFonts w:hint="eastAsia"/>
                <w:szCs w:val="20"/>
              </w:rPr>
              <w:t>报表代码（</w:t>
            </w:r>
            <w:r>
              <w:rPr>
                <w:szCs w:val="20"/>
              </w:rPr>
              <w:t>5</w:t>
            </w:r>
            <w:r>
              <w:rPr>
                <w:rFonts w:hint="eastAsia"/>
                <w:szCs w:val="20"/>
              </w:rPr>
              <w:t>位，不足</w:t>
            </w:r>
            <w:r>
              <w:rPr>
                <w:szCs w:val="20"/>
              </w:rPr>
              <w:t>5</w:t>
            </w:r>
            <w:r>
              <w:rPr>
                <w:rFonts w:hint="eastAsia"/>
                <w:szCs w:val="20"/>
              </w:rPr>
              <w:t>位补</w:t>
            </w:r>
            <w:r>
              <w:rPr>
                <w:szCs w:val="20"/>
              </w:rPr>
              <w:t>a</w:t>
            </w:r>
            <w:r>
              <w:rPr>
                <w:rFonts w:hint="eastAsia"/>
                <w:szCs w:val="20"/>
              </w:rPr>
              <w:t>）</w:t>
            </w:r>
            <w:r>
              <w:rPr>
                <w:szCs w:val="20"/>
              </w:rPr>
              <w:t>+</w:t>
            </w:r>
            <w:r>
              <w:rPr>
                <w:rFonts w:hint="eastAsia"/>
                <w:szCs w:val="20"/>
              </w:rPr>
              <w:t>报送期（</w:t>
            </w:r>
            <w:r>
              <w:rPr>
                <w:szCs w:val="20"/>
              </w:rPr>
              <w:t>6</w:t>
            </w:r>
            <w:r>
              <w:rPr>
                <w:rFonts w:hint="eastAsia"/>
                <w:szCs w:val="20"/>
              </w:rPr>
              <w:t>位）</w:t>
            </w:r>
            <w:r>
              <w:rPr>
                <w:szCs w:val="20"/>
              </w:rPr>
              <w:t>+</w:t>
            </w:r>
            <w:r>
              <w:rPr>
                <w:rFonts w:hint="eastAsia"/>
                <w:szCs w:val="20"/>
              </w:rPr>
              <w:t>顺序号（</w:t>
            </w:r>
            <w:r>
              <w:rPr>
                <w:szCs w:val="20"/>
              </w:rPr>
              <w:t>7</w:t>
            </w:r>
            <w:r>
              <w:rPr>
                <w:rFonts w:hint="eastAsia"/>
                <w:szCs w:val="20"/>
              </w:rPr>
              <w:t>位，从</w:t>
            </w:r>
            <w:r>
              <w:rPr>
                <w:szCs w:val="20"/>
              </w:rPr>
              <w:t>0000001</w:t>
            </w:r>
            <w:r>
              <w:rPr>
                <w:rFonts w:hint="eastAsia"/>
                <w:szCs w:val="20"/>
              </w:rPr>
              <w:t>开始增加）。</w:t>
            </w:r>
          </w:p>
        </w:tc>
      </w:tr>
      <w:tr w:rsidR="00A052DC" w14:paraId="34CC6826" w14:textId="77777777">
        <w:trPr>
          <w:cantSplit/>
          <w:jc w:val="center"/>
        </w:trPr>
        <w:tc>
          <w:tcPr>
            <w:tcW w:w="1730" w:type="dxa"/>
            <w:shd w:val="clear" w:color="auto" w:fill="auto"/>
          </w:tcPr>
          <w:p w14:paraId="28CAB98C" w14:textId="77777777" w:rsidR="00A052DC" w:rsidRDefault="009F0A60">
            <w:pPr>
              <w:pStyle w:val="B"/>
              <w:rPr>
                <w:szCs w:val="20"/>
              </w:rPr>
            </w:pPr>
            <w:r>
              <w:rPr>
                <w:rFonts w:hint="eastAsia"/>
                <w:szCs w:val="20"/>
              </w:rPr>
              <w:t>申报主体代码</w:t>
            </w:r>
          </w:p>
        </w:tc>
        <w:tc>
          <w:tcPr>
            <w:tcW w:w="6549" w:type="dxa"/>
            <w:shd w:val="clear" w:color="auto" w:fill="auto"/>
            <w:noWrap/>
          </w:tcPr>
          <w:p w14:paraId="043D0A9A" w14:textId="77777777" w:rsidR="00A052DC" w:rsidRDefault="009F0A60">
            <w:pPr>
              <w:pStyle w:val="B"/>
              <w:rPr>
                <w:szCs w:val="20"/>
              </w:rPr>
            </w:pPr>
            <w:r>
              <w:rPr>
                <w:rFonts w:hint="eastAsia"/>
                <w:szCs w:val="20"/>
              </w:rPr>
              <w:t>申报主体的12位金融机构标识码，如果没有金融机构标识码，则填报统一社会信用代码法定载体（如营业执照）上统一社会信用代码中的第9至17位或国家外汇管理局及其分支局签发的特殊机构代码赋码通知书上的机构代码、个人身份代码。</w:t>
            </w:r>
          </w:p>
        </w:tc>
      </w:tr>
      <w:tr w:rsidR="00A052DC" w14:paraId="4C7A5743" w14:textId="77777777">
        <w:trPr>
          <w:cantSplit/>
          <w:jc w:val="center"/>
        </w:trPr>
        <w:tc>
          <w:tcPr>
            <w:tcW w:w="1730" w:type="dxa"/>
            <w:shd w:val="clear" w:color="auto" w:fill="auto"/>
          </w:tcPr>
          <w:p w14:paraId="20C4481B" w14:textId="77777777" w:rsidR="00A052DC" w:rsidRDefault="009F0A60">
            <w:pPr>
              <w:pStyle w:val="B"/>
              <w:rPr>
                <w:szCs w:val="20"/>
              </w:rPr>
            </w:pPr>
            <w:r>
              <w:rPr>
                <w:rFonts w:hint="eastAsia"/>
                <w:szCs w:val="20"/>
              </w:rPr>
              <w:t>报告期</w:t>
            </w:r>
          </w:p>
        </w:tc>
        <w:tc>
          <w:tcPr>
            <w:tcW w:w="6549" w:type="dxa"/>
            <w:shd w:val="clear" w:color="auto" w:fill="auto"/>
            <w:noWrap/>
          </w:tcPr>
          <w:p w14:paraId="250F0688" w14:textId="77777777" w:rsidR="00A052DC" w:rsidRDefault="009F0A60">
            <w:pPr>
              <w:pStyle w:val="B"/>
              <w:rPr>
                <w:szCs w:val="20"/>
              </w:rPr>
            </w:pPr>
            <w:r>
              <w:rPr>
                <w:rFonts w:hint="eastAsia"/>
                <w:szCs w:val="20"/>
              </w:rPr>
              <w:t>业务发生月份，格式为</w:t>
            </w:r>
            <w:r>
              <w:rPr>
                <w:szCs w:val="20"/>
              </w:rPr>
              <w:t>YYYYMM</w:t>
            </w:r>
            <w:r>
              <w:rPr>
                <w:rFonts w:hint="eastAsia"/>
                <w:szCs w:val="20"/>
              </w:rPr>
              <w:t>。</w:t>
            </w:r>
          </w:p>
        </w:tc>
      </w:tr>
      <w:tr w:rsidR="00A052DC" w14:paraId="122C512B" w14:textId="77777777">
        <w:trPr>
          <w:cantSplit/>
          <w:jc w:val="center"/>
        </w:trPr>
        <w:tc>
          <w:tcPr>
            <w:tcW w:w="1730" w:type="dxa"/>
            <w:shd w:val="clear" w:color="auto" w:fill="auto"/>
          </w:tcPr>
          <w:p w14:paraId="0C72869A" w14:textId="77777777" w:rsidR="00A052DC" w:rsidRDefault="009F0A60">
            <w:pPr>
              <w:pStyle w:val="B"/>
              <w:rPr>
                <w:szCs w:val="20"/>
              </w:rPr>
            </w:pPr>
            <w:r>
              <w:rPr>
                <w:rFonts w:hint="eastAsia"/>
                <w:szCs w:val="20"/>
              </w:rPr>
              <w:t>境外投资者代码</w:t>
            </w:r>
          </w:p>
        </w:tc>
        <w:tc>
          <w:tcPr>
            <w:tcW w:w="6549" w:type="dxa"/>
            <w:shd w:val="clear" w:color="auto" w:fill="auto"/>
            <w:noWrap/>
          </w:tcPr>
          <w:p w14:paraId="20A26C95" w14:textId="77777777" w:rsidR="00A052DC" w:rsidRDefault="009F0A60">
            <w:pPr>
              <w:pStyle w:val="B"/>
              <w:rPr>
                <w:szCs w:val="20"/>
              </w:rPr>
            </w:pPr>
            <w:r>
              <w:rPr>
                <w:rFonts w:hint="eastAsia"/>
                <w:szCs w:val="20"/>
              </w:rPr>
              <w:t>指可以唯一标识该境外投资者的代码，包括“</w:t>
            </w:r>
            <w:r>
              <w:rPr>
                <w:szCs w:val="20"/>
              </w:rPr>
              <w:t>SWIFT</w:t>
            </w:r>
            <w:r>
              <w:rPr>
                <w:rFonts w:hint="eastAsia"/>
                <w:szCs w:val="20"/>
              </w:rPr>
              <w:t>编码</w:t>
            </w:r>
            <w:r>
              <w:rPr>
                <w:szCs w:val="20"/>
              </w:rPr>
              <w:t>/</w:t>
            </w:r>
            <w:r>
              <w:rPr>
                <w:rFonts w:hint="eastAsia"/>
                <w:szCs w:val="20"/>
              </w:rPr>
              <w:t>股票证券代码</w:t>
            </w:r>
            <w:r>
              <w:rPr>
                <w:szCs w:val="20"/>
              </w:rPr>
              <w:t>/</w:t>
            </w:r>
            <w:r>
              <w:rPr>
                <w:rFonts w:hint="eastAsia"/>
                <w:szCs w:val="20"/>
              </w:rPr>
              <w:t>其他机构标识码”等。如果该境外投资者为境外上市企业，代码前需注明交易所编码，如纽交所代码为</w:t>
            </w:r>
            <w:r>
              <w:rPr>
                <w:szCs w:val="20"/>
              </w:rPr>
              <w:t>NYSE</w:t>
            </w:r>
            <w:r>
              <w:rPr>
                <w:rFonts w:hint="eastAsia"/>
                <w:szCs w:val="20"/>
              </w:rPr>
              <w:t>；多个地区上市可以只填报主要上市地的代码；如只能填报其他机构标识码，需填报境内投资主体的金融机构代码，再加上公司或集团内部编码等。所谓境外投资者，指的是有以下投资活动的境外机构或个人，包括：（</w:t>
            </w:r>
            <w:r>
              <w:rPr>
                <w:szCs w:val="20"/>
              </w:rPr>
              <w:t>1</w:t>
            </w:r>
            <w:r>
              <w:rPr>
                <w:rFonts w:hint="eastAsia"/>
                <w:szCs w:val="20"/>
              </w:rPr>
              <w:t>）在境内设立或投资一级分支机构、子机构、联营机构或合营机构，包括对上述境内机构的新设、追加、减少或撤回股权或营运资金投资，但境外机构在境内设立代表处不纳入本表统计；（2）在境内外证券市场买卖（含一级市场和二级市场）或场外协议买卖本机构股权，且在本统计期初或期末，持有本机构表决权≥10%的，但境外结算代理机构[如香港中央结算（代理人）]不是本机构的投资者；（3）购买本机构境外发行的基金，且在本统计期初或期末，持有该境外基金份额或单位≥10%的；（4）本统计期初或期末，持有境内非上市机构（如私募基金等）表决权≥10%的投资者。</w:t>
            </w:r>
          </w:p>
        </w:tc>
      </w:tr>
      <w:tr w:rsidR="00A052DC" w14:paraId="17915A55" w14:textId="77777777">
        <w:trPr>
          <w:cantSplit/>
          <w:jc w:val="center"/>
        </w:trPr>
        <w:tc>
          <w:tcPr>
            <w:tcW w:w="1730" w:type="dxa"/>
            <w:shd w:val="clear" w:color="auto" w:fill="auto"/>
            <w:noWrap/>
          </w:tcPr>
          <w:p w14:paraId="4932AB92" w14:textId="77777777" w:rsidR="00A052DC" w:rsidRDefault="009F0A60">
            <w:pPr>
              <w:pStyle w:val="B"/>
              <w:rPr>
                <w:szCs w:val="20"/>
              </w:rPr>
            </w:pPr>
            <w:r>
              <w:rPr>
                <w:rFonts w:hint="eastAsia"/>
                <w:szCs w:val="20"/>
              </w:rPr>
              <w:t>投资日期</w:t>
            </w:r>
          </w:p>
        </w:tc>
        <w:tc>
          <w:tcPr>
            <w:tcW w:w="6549" w:type="dxa"/>
            <w:shd w:val="clear" w:color="auto" w:fill="auto"/>
            <w:noWrap/>
          </w:tcPr>
          <w:p w14:paraId="37ECEEC9" w14:textId="77777777" w:rsidR="00A052DC" w:rsidRDefault="009F0A60">
            <w:pPr>
              <w:pStyle w:val="B"/>
              <w:rPr>
                <w:szCs w:val="20"/>
              </w:rPr>
            </w:pPr>
            <w:r>
              <w:rPr>
                <w:rFonts w:hint="eastAsia"/>
                <w:szCs w:val="20"/>
              </w:rPr>
              <w:t>按对应月度内，境外投资者投资本机构的实际发生日期填报（如某年某月某日）。如相关投资采用的二级市场买卖股票或基金份额形式，且交易频繁无法确切逐笔记录，投资日期应填报为对应月份。</w:t>
            </w:r>
          </w:p>
        </w:tc>
      </w:tr>
      <w:tr w:rsidR="00A052DC" w14:paraId="12466E58" w14:textId="77777777">
        <w:trPr>
          <w:cantSplit/>
          <w:jc w:val="center"/>
        </w:trPr>
        <w:tc>
          <w:tcPr>
            <w:tcW w:w="1730" w:type="dxa"/>
            <w:shd w:val="clear" w:color="auto" w:fill="auto"/>
          </w:tcPr>
          <w:p w14:paraId="3E432308" w14:textId="77777777" w:rsidR="00A052DC" w:rsidRDefault="009F0A60">
            <w:pPr>
              <w:pStyle w:val="B"/>
              <w:rPr>
                <w:szCs w:val="20"/>
              </w:rPr>
            </w:pPr>
            <w:r>
              <w:rPr>
                <w:rFonts w:hint="eastAsia"/>
                <w:szCs w:val="20"/>
              </w:rPr>
              <w:t>投资币种（原币）</w:t>
            </w:r>
          </w:p>
        </w:tc>
        <w:tc>
          <w:tcPr>
            <w:tcW w:w="6549" w:type="dxa"/>
            <w:shd w:val="clear" w:color="auto" w:fill="auto"/>
            <w:noWrap/>
          </w:tcPr>
          <w:p w14:paraId="30A3AD91" w14:textId="77777777" w:rsidR="00A052DC" w:rsidRDefault="009F0A60">
            <w:pPr>
              <w:pStyle w:val="B"/>
              <w:rPr>
                <w:szCs w:val="20"/>
              </w:rPr>
            </w:pPr>
            <w:r>
              <w:rPr>
                <w:rFonts w:hint="eastAsia"/>
                <w:szCs w:val="20"/>
              </w:rPr>
              <w:t>按照境外投资者投资本机构的原币币种填报，见币种代码表。如投资涉及多个币种，应按照币种分别填报。</w:t>
            </w:r>
          </w:p>
        </w:tc>
      </w:tr>
      <w:tr w:rsidR="00A052DC" w14:paraId="4F2FF168" w14:textId="77777777">
        <w:trPr>
          <w:cantSplit/>
          <w:jc w:val="center"/>
        </w:trPr>
        <w:tc>
          <w:tcPr>
            <w:tcW w:w="1730" w:type="dxa"/>
            <w:shd w:val="clear" w:color="auto" w:fill="auto"/>
            <w:noWrap/>
          </w:tcPr>
          <w:p w14:paraId="3303D134" w14:textId="77777777" w:rsidR="00A052DC" w:rsidRDefault="009F0A60">
            <w:pPr>
              <w:pStyle w:val="B"/>
              <w:rPr>
                <w:szCs w:val="20"/>
              </w:rPr>
            </w:pPr>
            <w:r>
              <w:rPr>
                <w:rFonts w:hint="eastAsia"/>
                <w:szCs w:val="20"/>
              </w:rPr>
              <w:t>投资金额增减（</w:t>
            </w:r>
            <w:r>
              <w:rPr>
                <w:szCs w:val="20"/>
              </w:rPr>
              <w:t>+</w:t>
            </w:r>
            <w:r>
              <w:rPr>
                <w:rFonts w:hint="eastAsia"/>
                <w:szCs w:val="20"/>
              </w:rPr>
              <w:t>或</w:t>
            </w:r>
            <w:r>
              <w:rPr>
                <w:szCs w:val="20"/>
              </w:rPr>
              <w:t>-</w:t>
            </w:r>
            <w:r>
              <w:rPr>
                <w:rFonts w:hint="eastAsia"/>
                <w:szCs w:val="20"/>
              </w:rPr>
              <w:t>）</w:t>
            </w:r>
          </w:p>
        </w:tc>
        <w:tc>
          <w:tcPr>
            <w:tcW w:w="6549" w:type="dxa"/>
            <w:shd w:val="clear" w:color="auto" w:fill="auto"/>
            <w:noWrap/>
          </w:tcPr>
          <w:p w14:paraId="347D8A50" w14:textId="77777777" w:rsidR="00A052DC" w:rsidRDefault="009F0A60">
            <w:pPr>
              <w:pStyle w:val="B"/>
              <w:rPr>
                <w:szCs w:val="20"/>
              </w:rPr>
            </w:pPr>
            <w:r>
              <w:rPr>
                <w:rFonts w:hint="eastAsia"/>
                <w:szCs w:val="20"/>
              </w:rPr>
              <w:t>指对应月度内，境外投资者新增、追加、减少、撤回的股权或基金份额投资，即以股票或股权、营运资金、利润转增资本或基金份额投资等股权类投资方式实际投入或撤回的金额，按实际投资的原始币种填列。其中，“</w:t>
            </w:r>
            <w:r>
              <w:rPr>
                <w:szCs w:val="20"/>
              </w:rPr>
              <w:t>+</w:t>
            </w:r>
            <w:r>
              <w:rPr>
                <w:rFonts w:hint="eastAsia"/>
                <w:szCs w:val="20"/>
              </w:rPr>
              <w:t>”指境外投资者新增或追加对本机构的股权或基金份额投资，“</w:t>
            </w:r>
            <w:r>
              <w:rPr>
                <w:szCs w:val="20"/>
              </w:rPr>
              <w:t>-</w:t>
            </w:r>
            <w:r>
              <w:rPr>
                <w:rFonts w:hint="eastAsia"/>
                <w:szCs w:val="20"/>
              </w:rPr>
              <w:t>”指境外投资者减少或撤回对本机构的股权或基金份额投资。如果出资方式为非现金形式，应以其公允价值记录。如果相关投资为非股权类投资，而是公司间借贷等债务类投资往来，则不应纳入本栏统计，应纳入“</w:t>
            </w:r>
            <w:r>
              <w:rPr>
                <w:szCs w:val="20"/>
              </w:rPr>
              <w:t>D</w:t>
            </w:r>
            <w:r>
              <w:rPr>
                <w:rFonts w:hint="eastAsia"/>
                <w:szCs w:val="20"/>
              </w:rPr>
              <w:t>表：存贷款、应收应付款及非公司制机构股权等往来”统计。如直接投资行为以证券形式发生（如在二级市场买卖股票），且交易频繁无法确切逐笔记录，则可累计记录当月同一币种下同一实体对本机构的投资变动额。</w:t>
            </w:r>
          </w:p>
        </w:tc>
      </w:tr>
      <w:tr w:rsidR="00A052DC" w14:paraId="0D273BEA" w14:textId="77777777">
        <w:trPr>
          <w:cantSplit/>
          <w:jc w:val="center"/>
        </w:trPr>
        <w:tc>
          <w:tcPr>
            <w:tcW w:w="1730" w:type="dxa"/>
            <w:shd w:val="clear" w:color="auto" w:fill="auto"/>
            <w:noWrap/>
          </w:tcPr>
          <w:p w14:paraId="7D4D1485" w14:textId="77777777" w:rsidR="00A052DC" w:rsidRDefault="009F0A60">
            <w:pPr>
              <w:pStyle w:val="B"/>
              <w:rPr>
                <w:szCs w:val="20"/>
              </w:rPr>
            </w:pPr>
            <w:r>
              <w:rPr>
                <w:rFonts w:hint="eastAsia"/>
                <w:szCs w:val="20"/>
              </w:rPr>
              <w:t>外方持有表决权比例增减</w:t>
            </w:r>
            <w:r>
              <w:rPr>
                <w:szCs w:val="20"/>
              </w:rPr>
              <w:t>(%)</w:t>
            </w:r>
          </w:p>
        </w:tc>
        <w:tc>
          <w:tcPr>
            <w:tcW w:w="6549" w:type="dxa"/>
            <w:shd w:val="clear" w:color="auto" w:fill="auto"/>
            <w:noWrap/>
          </w:tcPr>
          <w:p w14:paraId="1119282F" w14:textId="77777777" w:rsidR="00A052DC" w:rsidRDefault="009F0A60">
            <w:pPr>
              <w:pStyle w:val="B"/>
              <w:rPr>
                <w:szCs w:val="20"/>
              </w:rPr>
            </w:pPr>
            <w:r>
              <w:rPr>
                <w:rFonts w:hint="eastAsia"/>
                <w:szCs w:val="20"/>
              </w:rPr>
              <w:t>外方持有表决权比例增减（％）：本对应月度内，境外投资者持有本机构表决权比例的增减，即月末与月初相比，境外投资者在本机构的权益性资本中占比的变动。其中，“</w:t>
            </w:r>
            <w:r>
              <w:rPr>
                <w:szCs w:val="20"/>
              </w:rPr>
              <w:t>+</w:t>
            </w:r>
            <w:r>
              <w:rPr>
                <w:rFonts w:hint="eastAsia"/>
                <w:szCs w:val="20"/>
              </w:rPr>
              <w:t>”指境外投资者持有本机构表决权比例增加，“</w:t>
            </w:r>
            <w:r>
              <w:rPr>
                <w:szCs w:val="20"/>
              </w:rPr>
              <w:t>-</w:t>
            </w:r>
            <w:r>
              <w:rPr>
                <w:rFonts w:hint="eastAsia"/>
                <w:szCs w:val="20"/>
              </w:rPr>
              <w:t>”指境外投资者持有本机构表决权比例减少。对于没有独立的所有者权益或股权资本的境内分支机构，应比照全资境内子公司的情况填写。</w:t>
            </w:r>
          </w:p>
        </w:tc>
      </w:tr>
      <w:tr w:rsidR="00A052DC" w14:paraId="34F24790" w14:textId="77777777">
        <w:trPr>
          <w:cantSplit/>
          <w:jc w:val="center"/>
        </w:trPr>
        <w:tc>
          <w:tcPr>
            <w:tcW w:w="1730" w:type="dxa"/>
            <w:shd w:val="clear" w:color="auto" w:fill="auto"/>
            <w:noWrap/>
          </w:tcPr>
          <w:p w14:paraId="35323342" w14:textId="77777777" w:rsidR="00A052DC" w:rsidRDefault="009F0A60">
            <w:pPr>
              <w:pStyle w:val="B"/>
              <w:rPr>
                <w:szCs w:val="20"/>
              </w:rPr>
            </w:pPr>
            <w:r>
              <w:rPr>
                <w:rFonts w:hint="eastAsia"/>
                <w:szCs w:val="20"/>
              </w:rPr>
              <w:t>是否兼并、收购</w:t>
            </w:r>
          </w:p>
        </w:tc>
        <w:tc>
          <w:tcPr>
            <w:tcW w:w="6549" w:type="dxa"/>
            <w:shd w:val="clear" w:color="auto" w:fill="auto"/>
            <w:noWrap/>
          </w:tcPr>
          <w:p w14:paraId="61E54E1B" w14:textId="77777777" w:rsidR="00A052DC" w:rsidRDefault="009F0A60">
            <w:pPr>
              <w:pStyle w:val="B"/>
              <w:rPr>
                <w:szCs w:val="20"/>
              </w:rPr>
            </w:pPr>
            <w:r>
              <w:rPr>
                <w:rFonts w:hint="eastAsia"/>
                <w:szCs w:val="20"/>
              </w:rPr>
              <w:t>指本月内的该笔投资是否为兼并、收购境内机构的活动，请选择</w:t>
            </w:r>
            <w:r>
              <w:rPr>
                <w:szCs w:val="20"/>
              </w:rPr>
              <w:t>1-</w:t>
            </w:r>
            <w:r>
              <w:rPr>
                <w:rFonts w:hint="eastAsia"/>
                <w:szCs w:val="20"/>
              </w:rPr>
              <w:t>是，</w:t>
            </w:r>
            <w:r>
              <w:rPr>
                <w:szCs w:val="20"/>
              </w:rPr>
              <w:t>0-</w:t>
            </w:r>
            <w:r>
              <w:rPr>
                <w:rFonts w:hint="eastAsia"/>
                <w:szCs w:val="20"/>
              </w:rPr>
              <w:t>否。其中，兼并指吸收合并，即境外投资者合并中国境内设立的实体或项目。收购指境外投资者用现金或者有价证券等收购中国境内设立的实体或项目，以获得对该境内实体或项目</w:t>
            </w:r>
            <w:r>
              <w:rPr>
                <w:szCs w:val="20"/>
              </w:rPr>
              <w:t>10%</w:t>
            </w:r>
            <w:r>
              <w:rPr>
                <w:rFonts w:hint="eastAsia"/>
                <w:szCs w:val="20"/>
              </w:rPr>
              <w:t>及以上的所有权或</w:t>
            </w:r>
            <w:r>
              <w:rPr>
                <w:szCs w:val="20"/>
              </w:rPr>
              <w:t>50%</w:t>
            </w:r>
            <w:r>
              <w:rPr>
                <w:rFonts w:hint="eastAsia"/>
                <w:szCs w:val="20"/>
              </w:rPr>
              <w:t>以上的控制权。兼并、收购包括但不限于场外协议购买、股票市场（二级市场）购买等形式。</w:t>
            </w:r>
          </w:p>
        </w:tc>
      </w:tr>
      <w:tr w:rsidR="00A052DC" w14:paraId="1BB9E616" w14:textId="77777777">
        <w:trPr>
          <w:cantSplit/>
          <w:jc w:val="center"/>
        </w:trPr>
        <w:tc>
          <w:tcPr>
            <w:tcW w:w="1730" w:type="dxa"/>
            <w:shd w:val="clear" w:color="auto" w:fill="auto"/>
            <w:noWrap/>
          </w:tcPr>
          <w:p w14:paraId="4DB02C6A" w14:textId="77777777" w:rsidR="00A052DC" w:rsidRDefault="009F0A60">
            <w:pPr>
              <w:pStyle w:val="B"/>
              <w:rPr>
                <w:szCs w:val="20"/>
              </w:rPr>
            </w:pPr>
            <w:r>
              <w:rPr>
                <w:rFonts w:hint="eastAsia"/>
                <w:szCs w:val="20"/>
              </w:rPr>
              <w:t>出资方式</w:t>
            </w:r>
          </w:p>
        </w:tc>
        <w:tc>
          <w:tcPr>
            <w:tcW w:w="6549" w:type="dxa"/>
            <w:shd w:val="clear" w:color="auto" w:fill="auto"/>
            <w:noWrap/>
          </w:tcPr>
          <w:p w14:paraId="7AA4B4D2" w14:textId="77777777" w:rsidR="00A052DC" w:rsidRDefault="009F0A60">
            <w:pPr>
              <w:pStyle w:val="B"/>
              <w:rPr>
                <w:szCs w:val="20"/>
              </w:rPr>
            </w:pPr>
            <w:r>
              <w:rPr>
                <w:rFonts w:hint="eastAsia"/>
                <w:szCs w:val="20"/>
              </w:rPr>
              <w:t>指本月内的该笔投资，属于</w:t>
            </w:r>
            <w:r>
              <w:rPr>
                <w:szCs w:val="20"/>
              </w:rPr>
              <w:t>1-</w:t>
            </w:r>
            <w:r>
              <w:rPr>
                <w:rFonts w:hint="eastAsia"/>
                <w:szCs w:val="20"/>
              </w:rPr>
              <w:t>现金；</w:t>
            </w:r>
            <w:r>
              <w:rPr>
                <w:szCs w:val="20"/>
              </w:rPr>
              <w:t>2-</w:t>
            </w:r>
            <w:r>
              <w:rPr>
                <w:rFonts w:hint="eastAsia"/>
                <w:szCs w:val="20"/>
              </w:rPr>
              <w:t>实物；</w:t>
            </w:r>
            <w:r>
              <w:rPr>
                <w:szCs w:val="20"/>
              </w:rPr>
              <w:t>3-</w:t>
            </w:r>
            <w:r>
              <w:rPr>
                <w:rFonts w:hint="eastAsia"/>
                <w:szCs w:val="20"/>
              </w:rPr>
              <w:t>无形资产；</w:t>
            </w:r>
            <w:r>
              <w:rPr>
                <w:szCs w:val="20"/>
              </w:rPr>
              <w:t>4-</w:t>
            </w:r>
            <w:r>
              <w:rPr>
                <w:rFonts w:hint="eastAsia"/>
                <w:szCs w:val="20"/>
              </w:rPr>
              <w:t>股权出资；</w:t>
            </w:r>
            <w:r>
              <w:rPr>
                <w:szCs w:val="20"/>
              </w:rPr>
              <w:t>5-</w:t>
            </w:r>
            <w:r>
              <w:rPr>
                <w:rFonts w:hint="eastAsia"/>
                <w:szCs w:val="20"/>
              </w:rPr>
              <w:t>其他。</w:t>
            </w:r>
          </w:p>
        </w:tc>
      </w:tr>
      <w:tr w:rsidR="00A052DC" w14:paraId="4D597DE8" w14:textId="77777777">
        <w:trPr>
          <w:cantSplit/>
          <w:jc w:val="center"/>
        </w:trPr>
        <w:tc>
          <w:tcPr>
            <w:tcW w:w="1730" w:type="dxa"/>
            <w:shd w:val="clear" w:color="auto" w:fill="auto"/>
            <w:noWrap/>
          </w:tcPr>
          <w:p w14:paraId="45BC8EF7" w14:textId="77777777" w:rsidR="00A052DC" w:rsidRDefault="009F0A60">
            <w:pPr>
              <w:pStyle w:val="B"/>
              <w:rPr>
                <w:szCs w:val="20"/>
              </w:rPr>
            </w:pPr>
            <w:r>
              <w:rPr>
                <w:rFonts w:hint="eastAsia"/>
                <w:szCs w:val="20"/>
              </w:rPr>
              <w:t>备注</w:t>
            </w:r>
          </w:p>
        </w:tc>
        <w:tc>
          <w:tcPr>
            <w:tcW w:w="6549" w:type="dxa"/>
            <w:shd w:val="clear" w:color="auto" w:fill="auto"/>
            <w:noWrap/>
          </w:tcPr>
          <w:p w14:paraId="6DC583AD" w14:textId="77777777" w:rsidR="00A052DC" w:rsidRDefault="0021563C">
            <w:pPr>
              <w:pStyle w:val="B"/>
              <w:rPr>
                <w:szCs w:val="20"/>
              </w:rPr>
            </w:pPr>
            <w:r>
              <w:rPr>
                <w:rFonts w:hint="eastAsia"/>
                <w:szCs w:val="20"/>
              </w:rPr>
              <w:t>其他</w:t>
            </w:r>
            <w:r w:rsidR="009F0A60">
              <w:rPr>
                <w:rFonts w:hint="eastAsia"/>
                <w:szCs w:val="20"/>
              </w:rPr>
              <w:t>需说明的情况（如与本表原则说明不一致的情况）。</w:t>
            </w:r>
          </w:p>
        </w:tc>
      </w:tr>
    </w:tbl>
    <w:p w14:paraId="7D400312" w14:textId="77777777" w:rsidR="00A052DC" w:rsidRDefault="00A052DC"/>
    <w:p w14:paraId="1BC2C8EB" w14:textId="77777777" w:rsidR="00A052DC" w:rsidRDefault="009F0A60" w:rsidP="0020251D">
      <w:pPr>
        <w:pStyle w:val="4"/>
        <w:numPr>
          <w:ilvl w:val="3"/>
          <w:numId w:val="1"/>
        </w:numPr>
        <w:jc w:val="left"/>
      </w:pPr>
      <w:bookmarkStart w:id="3035" w:name="_Toc380570921"/>
      <w:bookmarkStart w:id="3036" w:name="_Toc454391250"/>
      <w:r>
        <w:rPr>
          <w:rFonts w:hint="eastAsia"/>
        </w:rPr>
        <w:t>数据格式</w:t>
      </w:r>
      <w:bookmarkEnd w:id="3035"/>
      <w:bookmarkEnd w:id="3036"/>
    </w:p>
    <w:p w14:paraId="1AA2B11F" w14:textId="77777777" w:rsidR="00A052DC" w:rsidRDefault="009F0A60">
      <w:pPr>
        <w:ind w:firstLine="426"/>
      </w:pPr>
      <w:r>
        <w:t>&lt;REC&gt;</w:t>
      </w:r>
    </w:p>
    <w:p w14:paraId="6E71AC41" w14:textId="77777777" w:rsidR="00A052DC" w:rsidRDefault="009F0A60">
      <w:pPr>
        <w:ind w:firstLine="426"/>
      </w:pPr>
      <w:r>
        <w:t>&lt;ACTIONTYPE&gt;</w:t>
      </w:r>
      <w:r>
        <w:rPr>
          <w:rFonts w:hAnsi="宋体"/>
        </w:rPr>
        <w:t>操作类型</w:t>
      </w:r>
      <w:r>
        <w:t>&lt;/ACTIONTYPE&gt;</w:t>
      </w:r>
    </w:p>
    <w:p w14:paraId="19EA2A15" w14:textId="77777777" w:rsidR="00A052DC" w:rsidRDefault="009F0A60">
      <w:pPr>
        <w:ind w:firstLine="426"/>
      </w:pPr>
      <w:r>
        <w:t>&lt;ACTIONDESC&gt;</w:t>
      </w:r>
      <w:r>
        <w:rPr>
          <w:rFonts w:hAnsi="宋体"/>
        </w:rPr>
        <w:t>删除原因</w:t>
      </w:r>
      <w:r>
        <w:t>&lt;/ACTIONDESC&gt;</w:t>
      </w:r>
    </w:p>
    <w:p w14:paraId="475D33D5" w14:textId="77777777" w:rsidR="00A052DC" w:rsidRDefault="009F0A60">
      <w:pPr>
        <w:ind w:firstLine="426"/>
      </w:pPr>
      <w:r>
        <w:t>&lt;SNOCODE&gt;</w:t>
      </w:r>
      <w:r>
        <w:rPr>
          <w:rFonts w:hAnsi="宋体"/>
        </w:rPr>
        <w:t>数据自编码</w:t>
      </w:r>
      <w:r>
        <w:t>&lt;/SNOCODE&gt;</w:t>
      </w:r>
    </w:p>
    <w:p w14:paraId="5D9A41CD" w14:textId="77777777" w:rsidR="00A052DC" w:rsidRDefault="009F0A60">
      <w:pPr>
        <w:ind w:firstLine="426"/>
      </w:pPr>
      <w:r>
        <w:t>&lt;OBJCODE&gt;</w:t>
      </w:r>
      <w:r>
        <w:rPr>
          <w:rFonts w:hAnsi="宋体"/>
        </w:rPr>
        <w:t>申报主体代码</w:t>
      </w:r>
      <w:r>
        <w:t>&lt;/OBJCODE&gt;</w:t>
      </w:r>
    </w:p>
    <w:p w14:paraId="01DB43FF" w14:textId="77777777" w:rsidR="00A052DC" w:rsidRDefault="009F0A60">
      <w:pPr>
        <w:ind w:firstLine="426"/>
      </w:pPr>
      <w:r>
        <w:t>&lt;BUOCMONTH&gt;</w:t>
      </w:r>
      <w:r>
        <w:rPr>
          <w:rFonts w:hAnsi="宋体"/>
        </w:rPr>
        <w:t>报告期</w:t>
      </w:r>
      <w:r>
        <w:t>&lt;/BUOCMONTH&gt;</w:t>
      </w:r>
    </w:p>
    <w:p w14:paraId="53CC3E0A" w14:textId="77777777" w:rsidR="00A052DC" w:rsidRDefault="009F0A60">
      <w:pPr>
        <w:ind w:firstLineChars="202" w:firstLine="424"/>
      </w:pPr>
      <w:r>
        <w:t>&lt;A0218&gt;</w:t>
      </w:r>
      <w:r>
        <w:rPr>
          <w:rFonts w:hAnsi="宋体"/>
        </w:rPr>
        <w:t>境外投资者代码</w:t>
      </w:r>
      <w:r>
        <w:t>&lt;/A0218&gt;</w:t>
      </w:r>
    </w:p>
    <w:p w14:paraId="5D74EC83" w14:textId="77777777" w:rsidR="00A052DC" w:rsidRDefault="009F0A60">
      <w:pPr>
        <w:ind w:firstLineChars="202" w:firstLine="424"/>
      </w:pPr>
      <w:r>
        <w:t>&lt;A0230&gt;</w:t>
      </w:r>
      <w:r>
        <w:rPr>
          <w:rFonts w:hAnsi="宋体"/>
        </w:rPr>
        <w:t>投资日期</w:t>
      </w:r>
      <w:r>
        <w:t>&lt;/A0230&gt;</w:t>
      </w:r>
    </w:p>
    <w:p w14:paraId="69A23720" w14:textId="77777777" w:rsidR="00A052DC" w:rsidRDefault="009F0A60">
      <w:pPr>
        <w:ind w:firstLineChars="202" w:firstLine="424"/>
      </w:pPr>
      <w:r>
        <w:t>&lt;A0231&gt;</w:t>
      </w:r>
      <w:r>
        <w:rPr>
          <w:rFonts w:hAnsi="宋体"/>
        </w:rPr>
        <w:t>投资币种（原币）</w:t>
      </w:r>
      <w:r>
        <w:t>&lt;/A0231&gt;</w:t>
      </w:r>
    </w:p>
    <w:p w14:paraId="0F29C927" w14:textId="77777777" w:rsidR="00A052DC" w:rsidRDefault="009F0A60">
      <w:pPr>
        <w:ind w:firstLineChars="202" w:firstLine="424"/>
      </w:pPr>
      <w:r>
        <w:t>&lt;A0232&gt;</w:t>
      </w:r>
      <w:r>
        <w:rPr>
          <w:rFonts w:hAnsi="宋体"/>
        </w:rPr>
        <w:t>投资金额增减（</w:t>
      </w:r>
      <w:r>
        <w:t>+</w:t>
      </w:r>
      <w:r>
        <w:rPr>
          <w:rFonts w:hAnsi="宋体"/>
        </w:rPr>
        <w:t>或</w:t>
      </w:r>
      <w:r>
        <w:t>-</w:t>
      </w:r>
      <w:r>
        <w:rPr>
          <w:rFonts w:hAnsi="宋体"/>
        </w:rPr>
        <w:t>）</w:t>
      </w:r>
      <w:r>
        <w:t>&lt;/A0232&gt;</w:t>
      </w:r>
    </w:p>
    <w:p w14:paraId="5116A0AD" w14:textId="77777777" w:rsidR="00A052DC" w:rsidRDefault="009F0A60">
      <w:pPr>
        <w:ind w:firstLineChars="202" w:firstLine="424"/>
      </w:pPr>
      <w:r>
        <w:t>&lt;A0233&gt;</w:t>
      </w:r>
      <w:r>
        <w:rPr>
          <w:rFonts w:hAnsi="宋体"/>
        </w:rPr>
        <w:t>外方持有表决权比例增减</w:t>
      </w:r>
      <w:r>
        <w:t>(%)&lt;/A0233&gt;</w:t>
      </w:r>
    </w:p>
    <w:p w14:paraId="6C1EFFEF" w14:textId="77777777" w:rsidR="00A052DC" w:rsidRDefault="009F0A60">
      <w:pPr>
        <w:ind w:firstLineChars="202" w:firstLine="424"/>
      </w:pPr>
      <w:r>
        <w:t>&lt;A0234&gt;</w:t>
      </w:r>
      <w:r>
        <w:rPr>
          <w:rFonts w:hAnsi="宋体"/>
        </w:rPr>
        <w:t>是否兼并、收购</w:t>
      </w:r>
      <w:r>
        <w:t>&lt;/A0234&gt;</w:t>
      </w:r>
    </w:p>
    <w:p w14:paraId="7C4D7406" w14:textId="77777777" w:rsidR="00A052DC" w:rsidRDefault="009F0A60">
      <w:pPr>
        <w:ind w:firstLineChars="202" w:firstLine="424"/>
      </w:pPr>
      <w:r>
        <w:t>&lt;A0235&gt;</w:t>
      </w:r>
      <w:r>
        <w:rPr>
          <w:rFonts w:hAnsi="宋体"/>
        </w:rPr>
        <w:t>出资方式</w:t>
      </w:r>
      <w:r>
        <w:t>&lt;/A0235&gt;</w:t>
      </w:r>
    </w:p>
    <w:p w14:paraId="4269024A" w14:textId="77777777" w:rsidR="00A052DC" w:rsidRDefault="009F0A60">
      <w:pPr>
        <w:ind w:firstLineChars="202" w:firstLine="424"/>
      </w:pPr>
      <w:r>
        <w:t>&lt;A0236&gt;</w:t>
      </w:r>
      <w:r>
        <w:rPr>
          <w:rFonts w:hAnsi="宋体"/>
        </w:rPr>
        <w:t>备注</w:t>
      </w:r>
      <w:r>
        <w:t>&lt;/A0236&gt;</w:t>
      </w:r>
    </w:p>
    <w:p w14:paraId="5189B151" w14:textId="77777777" w:rsidR="00A052DC" w:rsidRDefault="009F0A60">
      <w:pPr>
        <w:ind w:firstLineChars="202" w:firstLine="424"/>
      </w:pPr>
      <w:r>
        <w:t>&lt;/REC&gt;</w:t>
      </w:r>
    </w:p>
    <w:p w14:paraId="2A644180" w14:textId="77777777" w:rsidR="00A052DC" w:rsidRDefault="009F0A60" w:rsidP="0020251D">
      <w:pPr>
        <w:pStyle w:val="4"/>
        <w:numPr>
          <w:ilvl w:val="3"/>
          <w:numId w:val="1"/>
        </w:numPr>
        <w:jc w:val="left"/>
      </w:pPr>
      <w:bookmarkStart w:id="3037" w:name="_Toc454391251"/>
      <w:bookmarkStart w:id="3038" w:name="_Toc380570922"/>
      <w:bookmarkStart w:id="3039" w:name="_Toc454391252"/>
      <w:bookmarkEnd w:id="3037"/>
      <w:r>
        <w:rPr>
          <w:rFonts w:hint="eastAsia"/>
        </w:rPr>
        <w:t>数据字典</w:t>
      </w:r>
      <w:bookmarkEnd w:id="3038"/>
      <w:bookmarkEnd w:id="303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7"/>
        <w:gridCol w:w="1597"/>
        <w:gridCol w:w="1701"/>
        <w:gridCol w:w="3828"/>
      </w:tblGrid>
      <w:tr w:rsidR="00A052DC" w14:paraId="6A3CF1C6" w14:textId="77777777">
        <w:trPr>
          <w:tblHeader/>
          <w:jc w:val="center"/>
        </w:trPr>
        <w:tc>
          <w:tcPr>
            <w:tcW w:w="1347" w:type="dxa"/>
            <w:shd w:val="clear" w:color="auto" w:fill="C0C0C0"/>
            <w:noWrap/>
          </w:tcPr>
          <w:p w14:paraId="63319381" w14:textId="77777777" w:rsidR="00A052DC" w:rsidRDefault="009F0A60">
            <w:pPr>
              <w:pStyle w:val="B1"/>
            </w:pPr>
            <w:r>
              <w:rPr>
                <w:rFonts w:hint="eastAsia"/>
              </w:rPr>
              <w:t>字段</w:t>
            </w:r>
          </w:p>
        </w:tc>
        <w:tc>
          <w:tcPr>
            <w:tcW w:w="1597" w:type="dxa"/>
            <w:shd w:val="clear" w:color="auto" w:fill="C0C0C0"/>
            <w:noWrap/>
          </w:tcPr>
          <w:p w14:paraId="7FF4AB0E" w14:textId="77777777" w:rsidR="00A052DC" w:rsidRDefault="009F0A60">
            <w:pPr>
              <w:pStyle w:val="B1"/>
            </w:pPr>
            <w:r>
              <w:rPr>
                <w:rFonts w:hint="eastAsia"/>
              </w:rPr>
              <w:t>内容</w:t>
            </w:r>
          </w:p>
        </w:tc>
        <w:tc>
          <w:tcPr>
            <w:tcW w:w="1701" w:type="dxa"/>
            <w:shd w:val="clear" w:color="auto" w:fill="C0C0C0"/>
            <w:noWrap/>
          </w:tcPr>
          <w:p w14:paraId="68532734" w14:textId="77777777" w:rsidR="00A052DC" w:rsidRDefault="009F0A60">
            <w:pPr>
              <w:pStyle w:val="B1"/>
            </w:pPr>
            <w:r>
              <w:rPr>
                <w:rFonts w:hint="eastAsia"/>
              </w:rPr>
              <w:t>类型（长度）</w:t>
            </w:r>
          </w:p>
        </w:tc>
        <w:tc>
          <w:tcPr>
            <w:tcW w:w="3828" w:type="dxa"/>
            <w:shd w:val="clear" w:color="auto" w:fill="C0C0C0"/>
          </w:tcPr>
          <w:p w14:paraId="5913DE1D" w14:textId="77777777" w:rsidR="00A052DC" w:rsidRDefault="009F0A60">
            <w:pPr>
              <w:pStyle w:val="B1"/>
            </w:pPr>
            <w:r>
              <w:rPr>
                <w:rFonts w:hint="eastAsia"/>
              </w:rPr>
              <w:t>校验</w:t>
            </w:r>
          </w:p>
        </w:tc>
      </w:tr>
      <w:tr w:rsidR="00A052DC" w14:paraId="25C85484" w14:textId="77777777">
        <w:trPr>
          <w:jc w:val="center"/>
        </w:trPr>
        <w:tc>
          <w:tcPr>
            <w:tcW w:w="1347" w:type="dxa"/>
            <w:shd w:val="clear" w:color="auto" w:fill="auto"/>
            <w:noWrap/>
          </w:tcPr>
          <w:p w14:paraId="3F1420B5" w14:textId="77777777" w:rsidR="00A052DC" w:rsidRDefault="009F0A60">
            <w:pPr>
              <w:pStyle w:val="B"/>
              <w:rPr>
                <w:szCs w:val="20"/>
              </w:rPr>
            </w:pPr>
            <w:r>
              <w:rPr>
                <w:szCs w:val="20"/>
              </w:rPr>
              <w:t>ACTIONTYPE</w:t>
            </w:r>
          </w:p>
        </w:tc>
        <w:tc>
          <w:tcPr>
            <w:tcW w:w="1597" w:type="dxa"/>
            <w:shd w:val="clear" w:color="auto" w:fill="auto"/>
          </w:tcPr>
          <w:p w14:paraId="02378930" w14:textId="77777777" w:rsidR="00A052DC" w:rsidRDefault="009F0A60">
            <w:pPr>
              <w:pStyle w:val="B"/>
              <w:rPr>
                <w:szCs w:val="20"/>
              </w:rPr>
            </w:pPr>
            <w:r>
              <w:rPr>
                <w:rFonts w:hint="eastAsia"/>
                <w:szCs w:val="20"/>
              </w:rPr>
              <w:t>操作类型</w:t>
            </w:r>
          </w:p>
        </w:tc>
        <w:tc>
          <w:tcPr>
            <w:tcW w:w="1701" w:type="dxa"/>
            <w:shd w:val="clear" w:color="auto" w:fill="auto"/>
            <w:noWrap/>
          </w:tcPr>
          <w:p w14:paraId="2796AA37" w14:textId="77777777" w:rsidR="00A052DC" w:rsidRDefault="009F0A60">
            <w:pPr>
              <w:pStyle w:val="B"/>
              <w:rPr>
                <w:szCs w:val="20"/>
              </w:rPr>
            </w:pPr>
            <w:r>
              <w:rPr>
                <w:rFonts w:hint="eastAsia"/>
                <w:szCs w:val="20"/>
              </w:rPr>
              <w:t>字符型，</w:t>
            </w:r>
            <w:r>
              <w:rPr>
                <w:szCs w:val="20"/>
              </w:rPr>
              <w:t>1</w:t>
            </w:r>
          </w:p>
        </w:tc>
        <w:tc>
          <w:tcPr>
            <w:tcW w:w="3828" w:type="dxa"/>
          </w:tcPr>
          <w:p w14:paraId="5A0CC72A" w14:textId="77777777" w:rsidR="00FE361F" w:rsidRDefault="00FE361F" w:rsidP="00FE361F">
            <w:pPr>
              <w:pStyle w:val="B"/>
              <w:rPr>
                <w:szCs w:val="20"/>
              </w:rPr>
            </w:pPr>
            <w:r>
              <w:rPr>
                <w:rFonts w:hint="eastAsia"/>
                <w:szCs w:val="20"/>
              </w:rPr>
              <w:t>必填项。</w:t>
            </w:r>
          </w:p>
          <w:p w14:paraId="3741762B" w14:textId="77777777" w:rsidR="00FE361F" w:rsidRDefault="00FE361F" w:rsidP="00FE361F">
            <w:pPr>
              <w:pStyle w:val="B"/>
              <w:rPr>
                <w:szCs w:val="20"/>
              </w:rPr>
            </w:pPr>
            <w:r>
              <w:rPr>
                <w:szCs w:val="20"/>
              </w:rPr>
              <w:t>A</w:t>
            </w:r>
            <w:r>
              <w:rPr>
                <w:rFonts w:hint="eastAsia"/>
                <w:szCs w:val="20"/>
              </w:rPr>
              <w:t>-新建</w:t>
            </w:r>
          </w:p>
          <w:p w14:paraId="655F1647" w14:textId="77777777" w:rsidR="00FE361F" w:rsidRDefault="00FE361F" w:rsidP="00FE361F">
            <w:pPr>
              <w:pStyle w:val="B"/>
              <w:rPr>
                <w:szCs w:val="20"/>
              </w:rPr>
            </w:pPr>
            <w:r>
              <w:rPr>
                <w:szCs w:val="20"/>
              </w:rPr>
              <w:t>C</w:t>
            </w:r>
            <w:r>
              <w:rPr>
                <w:rFonts w:hint="eastAsia"/>
                <w:szCs w:val="20"/>
              </w:rPr>
              <w:t>-修改</w:t>
            </w:r>
          </w:p>
          <w:p w14:paraId="0BE686A6" w14:textId="77777777" w:rsidR="00A052DC" w:rsidRDefault="00FE361F">
            <w:pPr>
              <w:pStyle w:val="B"/>
              <w:rPr>
                <w:szCs w:val="20"/>
              </w:rPr>
            </w:pPr>
            <w:r>
              <w:rPr>
                <w:szCs w:val="20"/>
              </w:rPr>
              <w:t>D</w:t>
            </w:r>
            <w:r>
              <w:rPr>
                <w:rFonts w:hint="eastAsia"/>
                <w:szCs w:val="20"/>
              </w:rPr>
              <w:t>-删除</w:t>
            </w:r>
          </w:p>
        </w:tc>
      </w:tr>
      <w:tr w:rsidR="00A052DC" w14:paraId="19DD11C6" w14:textId="77777777">
        <w:trPr>
          <w:jc w:val="center"/>
        </w:trPr>
        <w:tc>
          <w:tcPr>
            <w:tcW w:w="1347" w:type="dxa"/>
            <w:shd w:val="clear" w:color="auto" w:fill="auto"/>
            <w:noWrap/>
          </w:tcPr>
          <w:p w14:paraId="115F0700" w14:textId="77777777" w:rsidR="00A052DC" w:rsidRDefault="009F0A60">
            <w:pPr>
              <w:pStyle w:val="B"/>
              <w:rPr>
                <w:szCs w:val="20"/>
              </w:rPr>
            </w:pPr>
            <w:r>
              <w:rPr>
                <w:szCs w:val="20"/>
              </w:rPr>
              <w:t>ACTIONDESC</w:t>
            </w:r>
          </w:p>
        </w:tc>
        <w:tc>
          <w:tcPr>
            <w:tcW w:w="1597" w:type="dxa"/>
            <w:shd w:val="clear" w:color="auto" w:fill="auto"/>
          </w:tcPr>
          <w:p w14:paraId="059C4393" w14:textId="77777777" w:rsidR="00A052DC" w:rsidRDefault="009F0A60">
            <w:pPr>
              <w:pStyle w:val="B"/>
              <w:rPr>
                <w:szCs w:val="20"/>
              </w:rPr>
            </w:pPr>
            <w:r>
              <w:rPr>
                <w:rFonts w:hint="eastAsia"/>
                <w:szCs w:val="20"/>
              </w:rPr>
              <w:t>删除原因</w:t>
            </w:r>
          </w:p>
        </w:tc>
        <w:tc>
          <w:tcPr>
            <w:tcW w:w="1701" w:type="dxa"/>
            <w:shd w:val="clear" w:color="auto" w:fill="auto"/>
            <w:noWrap/>
          </w:tcPr>
          <w:p w14:paraId="56D91732" w14:textId="77777777" w:rsidR="00A052DC" w:rsidRDefault="009F0A60">
            <w:pPr>
              <w:pStyle w:val="B"/>
              <w:rPr>
                <w:szCs w:val="20"/>
              </w:rPr>
            </w:pPr>
            <w:r>
              <w:rPr>
                <w:rFonts w:hint="eastAsia"/>
                <w:szCs w:val="20"/>
              </w:rPr>
              <w:t>字符型，</w:t>
            </w:r>
            <w:r>
              <w:rPr>
                <w:szCs w:val="20"/>
              </w:rPr>
              <w:t>128</w:t>
            </w:r>
          </w:p>
        </w:tc>
        <w:tc>
          <w:tcPr>
            <w:tcW w:w="3828" w:type="dxa"/>
          </w:tcPr>
          <w:p w14:paraId="615BCD3A" w14:textId="77777777" w:rsidR="00A052DC" w:rsidRDefault="00DD6AA3">
            <w:pPr>
              <w:pStyle w:val="B"/>
              <w:rPr>
                <w:szCs w:val="20"/>
              </w:rPr>
            </w:pPr>
            <w:r>
              <w:rPr>
                <w:rFonts w:hint="eastAsia"/>
                <w:szCs w:val="20"/>
              </w:rPr>
              <w:t>非必填项，当操作类型（ACTIONTYPE）为删除时必填。</w:t>
            </w:r>
          </w:p>
        </w:tc>
      </w:tr>
      <w:tr w:rsidR="00A052DC" w14:paraId="411EE946" w14:textId="77777777">
        <w:trPr>
          <w:jc w:val="center"/>
        </w:trPr>
        <w:tc>
          <w:tcPr>
            <w:tcW w:w="1347" w:type="dxa"/>
            <w:shd w:val="clear" w:color="auto" w:fill="auto"/>
            <w:noWrap/>
          </w:tcPr>
          <w:p w14:paraId="50FF9B64" w14:textId="77777777" w:rsidR="00A052DC" w:rsidRDefault="009F0A60">
            <w:pPr>
              <w:pStyle w:val="B"/>
              <w:rPr>
                <w:szCs w:val="20"/>
              </w:rPr>
            </w:pPr>
            <w:r>
              <w:rPr>
                <w:szCs w:val="20"/>
              </w:rPr>
              <w:t>SNOCODE</w:t>
            </w:r>
          </w:p>
        </w:tc>
        <w:tc>
          <w:tcPr>
            <w:tcW w:w="1597" w:type="dxa"/>
            <w:shd w:val="clear" w:color="auto" w:fill="auto"/>
          </w:tcPr>
          <w:p w14:paraId="78F92996" w14:textId="77777777" w:rsidR="00A052DC" w:rsidRDefault="009F0A60">
            <w:pPr>
              <w:pStyle w:val="B"/>
              <w:rPr>
                <w:szCs w:val="20"/>
              </w:rPr>
            </w:pPr>
            <w:r>
              <w:rPr>
                <w:rFonts w:hint="eastAsia"/>
                <w:szCs w:val="20"/>
              </w:rPr>
              <w:t>数据自编码</w:t>
            </w:r>
          </w:p>
        </w:tc>
        <w:tc>
          <w:tcPr>
            <w:tcW w:w="1701" w:type="dxa"/>
            <w:shd w:val="clear" w:color="auto" w:fill="auto"/>
            <w:noWrap/>
          </w:tcPr>
          <w:p w14:paraId="09BD4CAB" w14:textId="77777777" w:rsidR="00A052DC" w:rsidRDefault="009F0A60">
            <w:pPr>
              <w:pStyle w:val="B"/>
              <w:rPr>
                <w:szCs w:val="20"/>
              </w:rPr>
            </w:pPr>
            <w:r>
              <w:rPr>
                <w:rFonts w:hint="eastAsia"/>
                <w:szCs w:val="20"/>
              </w:rPr>
              <w:t>字符型，</w:t>
            </w:r>
            <w:r>
              <w:rPr>
                <w:szCs w:val="20"/>
              </w:rPr>
              <w:t>3</w:t>
            </w:r>
            <w:r>
              <w:rPr>
                <w:rFonts w:hint="eastAsia"/>
                <w:szCs w:val="20"/>
              </w:rPr>
              <w:t>6</w:t>
            </w:r>
          </w:p>
        </w:tc>
        <w:tc>
          <w:tcPr>
            <w:tcW w:w="3828" w:type="dxa"/>
          </w:tcPr>
          <w:p w14:paraId="3E32E243" w14:textId="77777777" w:rsidR="00A052DC" w:rsidRDefault="009F0A60">
            <w:pPr>
              <w:pStyle w:val="B"/>
              <w:rPr>
                <w:szCs w:val="20"/>
              </w:rPr>
            </w:pPr>
            <w:r>
              <w:rPr>
                <w:rFonts w:hint="eastAsia"/>
                <w:szCs w:val="20"/>
              </w:rPr>
              <w:t>必填项。</w:t>
            </w:r>
            <w:r>
              <w:rPr>
                <w:szCs w:val="20"/>
              </w:rPr>
              <w:t>对于接口报送的填报主体，数据自编码中的报送期（6位）应与报告期（YYYYMM）一致。</w:t>
            </w:r>
          </w:p>
        </w:tc>
      </w:tr>
      <w:tr w:rsidR="00A052DC" w14:paraId="738822B1" w14:textId="77777777">
        <w:trPr>
          <w:jc w:val="center"/>
        </w:trPr>
        <w:tc>
          <w:tcPr>
            <w:tcW w:w="1347" w:type="dxa"/>
            <w:shd w:val="clear" w:color="auto" w:fill="auto"/>
            <w:noWrap/>
          </w:tcPr>
          <w:p w14:paraId="59E80077" w14:textId="77777777" w:rsidR="00A052DC" w:rsidRDefault="009F0A60">
            <w:pPr>
              <w:pStyle w:val="B"/>
              <w:rPr>
                <w:szCs w:val="20"/>
              </w:rPr>
            </w:pPr>
            <w:r>
              <w:rPr>
                <w:szCs w:val="20"/>
              </w:rPr>
              <w:t>OBJCODE</w:t>
            </w:r>
          </w:p>
        </w:tc>
        <w:tc>
          <w:tcPr>
            <w:tcW w:w="1597" w:type="dxa"/>
            <w:shd w:val="clear" w:color="auto" w:fill="auto"/>
          </w:tcPr>
          <w:p w14:paraId="3466AD7F" w14:textId="77777777" w:rsidR="00A052DC" w:rsidRDefault="009F0A60">
            <w:pPr>
              <w:pStyle w:val="B"/>
              <w:rPr>
                <w:szCs w:val="20"/>
              </w:rPr>
            </w:pPr>
            <w:r>
              <w:rPr>
                <w:rFonts w:hint="eastAsia"/>
                <w:szCs w:val="20"/>
              </w:rPr>
              <w:t>申报主体代码</w:t>
            </w:r>
          </w:p>
        </w:tc>
        <w:tc>
          <w:tcPr>
            <w:tcW w:w="1701" w:type="dxa"/>
            <w:shd w:val="clear" w:color="auto" w:fill="auto"/>
            <w:noWrap/>
          </w:tcPr>
          <w:p w14:paraId="621AB9ED" w14:textId="77777777" w:rsidR="00A052DC" w:rsidRDefault="009F0A60">
            <w:pPr>
              <w:pStyle w:val="B"/>
              <w:rPr>
                <w:szCs w:val="20"/>
              </w:rPr>
            </w:pPr>
            <w:r>
              <w:rPr>
                <w:rFonts w:hint="eastAsia"/>
                <w:szCs w:val="20"/>
              </w:rPr>
              <w:t>字符型，</w:t>
            </w:r>
            <w:r>
              <w:rPr>
                <w:szCs w:val="20"/>
              </w:rPr>
              <w:t>1</w:t>
            </w:r>
            <w:r>
              <w:rPr>
                <w:rFonts w:hint="eastAsia"/>
                <w:szCs w:val="20"/>
              </w:rPr>
              <w:t>8</w:t>
            </w:r>
          </w:p>
        </w:tc>
        <w:tc>
          <w:tcPr>
            <w:tcW w:w="3828" w:type="dxa"/>
          </w:tcPr>
          <w:p w14:paraId="365B9C4E" w14:textId="77777777" w:rsidR="00A052DC" w:rsidRDefault="009F0A60">
            <w:pPr>
              <w:pStyle w:val="B"/>
              <w:rPr>
                <w:szCs w:val="20"/>
              </w:rPr>
            </w:pPr>
            <w:r>
              <w:rPr>
                <w:rFonts w:hint="eastAsia"/>
                <w:szCs w:val="20"/>
              </w:rPr>
              <w:t>申报主体的12位金融机构标识码，如果没有金融机构标识码，则填报统一社会信用代码法定载体（如营业执照）上统一社会信用代码中的第9至17位或国家外汇管理局及其分支局签发的特殊机构代码赋码通知书上的机构代码、个人身份代码。</w:t>
            </w:r>
          </w:p>
        </w:tc>
      </w:tr>
      <w:tr w:rsidR="00A052DC" w14:paraId="1891D579" w14:textId="77777777">
        <w:trPr>
          <w:jc w:val="center"/>
        </w:trPr>
        <w:tc>
          <w:tcPr>
            <w:tcW w:w="1347" w:type="dxa"/>
            <w:shd w:val="clear" w:color="auto" w:fill="auto"/>
            <w:noWrap/>
          </w:tcPr>
          <w:p w14:paraId="48A7CFA5" w14:textId="77777777" w:rsidR="00A052DC" w:rsidRDefault="009F0A60">
            <w:pPr>
              <w:pStyle w:val="B"/>
              <w:rPr>
                <w:szCs w:val="20"/>
              </w:rPr>
            </w:pPr>
            <w:r>
              <w:rPr>
                <w:szCs w:val="20"/>
              </w:rPr>
              <w:t>BUOCMONTH</w:t>
            </w:r>
          </w:p>
        </w:tc>
        <w:tc>
          <w:tcPr>
            <w:tcW w:w="1597" w:type="dxa"/>
            <w:shd w:val="clear" w:color="auto" w:fill="auto"/>
          </w:tcPr>
          <w:p w14:paraId="68D5C3C8" w14:textId="77777777" w:rsidR="00A052DC" w:rsidRDefault="009F0A60">
            <w:pPr>
              <w:pStyle w:val="B"/>
              <w:rPr>
                <w:szCs w:val="20"/>
              </w:rPr>
            </w:pPr>
            <w:r>
              <w:rPr>
                <w:rFonts w:hint="eastAsia"/>
                <w:szCs w:val="20"/>
              </w:rPr>
              <w:t>报告期</w:t>
            </w:r>
          </w:p>
        </w:tc>
        <w:tc>
          <w:tcPr>
            <w:tcW w:w="1701" w:type="dxa"/>
            <w:shd w:val="clear" w:color="auto" w:fill="auto"/>
            <w:noWrap/>
          </w:tcPr>
          <w:p w14:paraId="6BC4BD80" w14:textId="77777777" w:rsidR="00A052DC" w:rsidRDefault="009F0A60">
            <w:pPr>
              <w:pStyle w:val="B"/>
              <w:rPr>
                <w:szCs w:val="20"/>
              </w:rPr>
            </w:pPr>
            <w:r>
              <w:rPr>
                <w:rFonts w:hint="eastAsia"/>
                <w:szCs w:val="20"/>
              </w:rPr>
              <w:t>数值型，</w:t>
            </w:r>
            <w:r>
              <w:rPr>
                <w:szCs w:val="20"/>
              </w:rPr>
              <w:t>6</w:t>
            </w:r>
          </w:p>
        </w:tc>
        <w:tc>
          <w:tcPr>
            <w:tcW w:w="3828" w:type="dxa"/>
          </w:tcPr>
          <w:p w14:paraId="75A6BC47" w14:textId="77777777" w:rsidR="00A052DC" w:rsidRDefault="009F0A60">
            <w:pPr>
              <w:pStyle w:val="B"/>
              <w:rPr>
                <w:szCs w:val="20"/>
              </w:rPr>
            </w:pPr>
            <w:r>
              <w:rPr>
                <w:rFonts w:hint="eastAsia"/>
                <w:szCs w:val="20"/>
              </w:rPr>
              <w:t>必填项，格式为</w:t>
            </w:r>
            <w:r>
              <w:rPr>
                <w:szCs w:val="20"/>
              </w:rPr>
              <w:t>YYYYMM</w:t>
            </w:r>
            <w:r>
              <w:rPr>
                <w:rFonts w:hint="eastAsia"/>
                <w:szCs w:val="20"/>
              </w:rPr>
              <w:t>。</w:t>
            </w:r>
          </w:p>
        </w:tc>
      </w:tr>
      <w:tr w:rsidR="00A052DC" w14:paraId="0C8B7E24" w14:textId="77777777">
        <w:trPr>
          <w:jc w:val="center"/>
        </w:trPr>
        <w:tc>
          <w:tcPr>
            <w:tcW w:w="1347" w:type="dxa"/>
            <w:shd w:val="clear" w:color="auto" w:fill="auto"/>
            <w:noWrap/>
          </w:tcPr>
          <w:p w14:paraId="2DB7492B" w14:textId="77777777" w:rsidR="00A052DC" w:rsidRDefault="009F0A60">
            <w:pPr>
              <w:pStyle w:val="B"/>
              <w:rPr>
                <w:szCs w:val="20"/>
              </w:rPr>
            </w:pPr>
            <w:r>
              <w:rPr>
                <w:szCs w:val="20"/>
              </w:rPr>
              <w:t>A0218</w:t>
            </w:r>
          </w:p>
        </w:tc>
        <w:tc>
          <w:tcPr>
            <w:tcW w:w="1597" w:type="dxa"/>
            <w:shd w:val="clear" w:color="auto" w:fill="auto"/>
          </w:tcPr>
          <w:p w14:paraId="6B7EB1AA" w14:textId="77777777" w:rsidR="00A052DC" w:rsidRDefault="009F0A60">
            <w:pPr>
              <w:pStyle w:val="B"/>
              <w:rPr>
                <w:szCs w:val="20"/>
              </w:rPr>
            </w:pPr>
            <w:r>
              <w:rPr>
                <w:rFonts w:hint="eastAsia"/>
                <w:szCs w:val="20"/>
              </w:rPr>
              <w:t>境外投资者代码</w:t>
            </w:r>
          </w:p>
        </w:tc>
        <w:tc>
          <w:tcPr>
            <w:tcW w:w="1701" w:type="dxa"/>
            <w:shd w:val="clear" w:color="auto" w:fill="auto"/>
            <w:noWrap/>
          </w:tcPr>
          <w:p w14:paraId="7672A5B0" w14:textId="77777777" w:rsidR="00A052DC" w:rsidRDefault="009F0A60">
            <w:pPr>
              <w:pStyle w:val="B"/>
              <w:rPr>
                <w:szCs w:val="20"/>
              </w:rPr>
            </w:pPr>
            <w:r>
              <w:rPr>
                <w:rFonts w:hint="eastAsia"/>
                <w:szCs w:val="20"/>
              </w:rPr>
              <w:t>字符型，</w:t>
            </w:r>
            <w:r>
              <w:rPr>
                <w:szCs w:val="20"/>
              </w:rPr>
              <w:t>255</w:t>
            </w:r>
          </w:p>
        </w:tc>
        <w:tc>
          <w:tcPr>
            <w:tcW w:w="3828" w:type="dxa"/>
          </w:tcPr>
          <w:p w14:paraId="274B5689" w14:textId="77777777" w:rsidR="00A052DC" w:rsidRDefault="009F0A60">
            <w:pPr>
              <w:pStyle w:val="B"/>
              <w:rPr>
                <w:szCs w:val="20"/>
              </w:rPr>
            </w:pPr>
            <w:r>
              <w:rPr>
                <w:rFonts w:hint="eastAsia"/>
                <w:szCs w:val="20"/>
              </w:rPr>
              <w:t>必填项。如果</w:t>
            </w:r>
            <w:r>
              <w:rPr>
                <w:szCs w:val="20"/>
              </w:rPr>
              <w:t>A0232</w:t>
            </w:r>
            <w:r>
              <w:rPr>
                <w:rFonts w:hint="eastAsia"/>
                <w:szCs w:val="20"/>
              </w:rPr>
              <w:t>≥</w:t>
            </w:r>
            <w:r>
              <w:rPr>
                <w:szCs w:val="20"/>
              </w:rPr>
              <w:t>0,</w:t>
            </w:r>
            <w:r>
              <w:rPr>
                <w:rFonts w:hint="eastAsia"/>
                <w:szCs w:val="20"/>
              </w:rPr>
              <w:t>则该项必须等于</w:t>
            </w:r>
            <w:r>
              <w:rPr>
                <w:szCs w:val="20"/>
              </w:rPr>
              <w:t>A02-2</w:t>
            </w:r>
            <w:r>
              <w:rPr>
                <w:rFonts w:hint="eastAsia"/>
                <w:szCs w:val="20"/>
              </w:rPr>
              <w:t>下</w:t>
            </w:r>
            <w:r>
              <w:rPr>
                <w:szCs w:val="20"/>
              </w:rPr>
              <w:t>A0218</w:t>
            </w:r>
            <w:r>
              <w:rPr>
                <w:rFonts w:hint="eastAsia"/>
                <w:szCs w:val="20"/>
              </w:rPr>
              <w:t>对应机构的代码；且该项目不同代码的个数应小于或等于</w:t>
            </w:r>
            <w:r>
              <w:rPr>
                <w:szCs w:val="20"/>
              </w:rPr>
              <w:t>A02-2</w:t>
            </w:r>
            <w:r>
              <w:rPr>
                <w:rFonts w:hint="eastAsia"/>
                <w:szCs w:val="20"/>
              </w:rPr>
              <w:t>表</w:t>
            </w:r>
            <w:r>
              <w:rPr>
                <w:szCs w:val="20"/>
              </w:rPr>
              <w:t>A0218</w:t>
            </w:r>
            <w:r>
              <w:rPr>
                <w:rFonts w:hint="eastAsia"/>
                <w:szCs w:val="20"/>
              </w:rPr>
              <w:t>不同代码的个数。</w:t>
            </w:r>
          </w:p>
          <w:p w14:paraId="10439A84" w14:textId="77777777" w:rsidR="00A052DC" w:rsidRDefault="009F0A60">
            <w:pPr>
              <w:pStyle w:val="B"/>
              <w:rPr>
                <w:szCs w:val="20"/>
              </w:rPr>
            </w:pPr>
            <w:r>
              <w:rPr>
                <w:rFonts w:hint="eastAsia"/>
                <w:szCs w:val="20"/>
              </w:rPr>
              <w:t>如果</w:t>
            </w:r>
            <w:r>
              <w:rPr>
                <w:szCs w:val="20"/>
              </w:rPr>
              <w:t>A0232</w:t>
            </w:r>
            <w:r>
              <w:rPr>
                <w:rFonts w:hint="eastAsia"/>
                <w:szCs w:val="20"/>
              </w:rPr>
              <w:t>＜</w:t>
            </w:r>
            <w:r>
              <w:rPr>
                <w:szCs w:val="20"/>
              </w:rPr>
              <w:t>0</w:t>
            </w:r>
            <w:r>
              <w:rPr>
                <w:rFonts w:hint="eastAsia"/>
                <w:szCs w:val="20"/>
              </w:rPr>
              <w:t>，本字段中的代码必须在上一期</w:t>
            </w:r>
            <w:r>
              <w:rPr>
                <w:szCs w:val="20"/>
              </w:rPr>
              <w:t>A02-2</w:t>
            </w:r>
            <w:r>
              <w:rPr>
                <w:rFonts w:hint="eastAsia"/>
                <w:szCs w:val="20"/>
              </w:rPr>
              <w:t>表的</w:t>
            </w:r>
            <w:r>
              <w:rPr>
                <w:szCs w:val="20"/>
              </w:rPr>
              <w:t>A0218</w:t>
            </w:r>
            <w:r>
              <w:rPr>
                <w:rFonts w:hint="eastAsia"/>
                <w:szCs w:val="20"/>
              </w:rPr>
              <w:t>字段中出现过。</w:t>
            </w:r>
          </w:p>
        </w:tc>
      </w:tr>
      <w:tr w:rsidR="00A052DC" w14:paraId="3EA833D9" w14:textId="77777777">
        <w:trPr>
          <w:jc w:val="center"/>
        </w:trPr>
        <w:tc>
          <w:tcPr>
            <w:tcW w:w="1347" w:type="dxa"/>
            <w:shd w:val="clear" w:color="auto" w:fill="auto"/>
            <w:noWrap/>
          </w:tcPr>
          <w:p w14:paraId="5E72E9CB" w14:textId="77777777" w:rsidR="00A052DC" w:rsidRDefault="009F0A60">
            <w:pPr>
              <w:pStyle w:val="B"/>
              <w:rPr>
                <w:szCs w:val="20"/>
              </w:rPr>
            </w:pPr>
            <w:r>
              <w:rPr>
                <w:szCs w:val="20"/>
              </w:rPr>
              <w:t>A0230</w:t>
            </w:r>
          </w:p>
        </w:tc>
        <w:tc>
          <w:tcPr>
            <w:tcW w:w="1597" w:type="dxa"/>
            <w:shd w:val="clear" w:color="auto" w:fill="auto"/>
            <w:noWrap/>
          </w:tcPr>
          <w:p w14:paraId="797FEBDB" w14:textId="77777777" w:rsidR="00A052DC" w:rsidRDefault="009F0A60">
            <w:pPr>
              <w:pStyle w:val="B"/>
              <w:rPr>
                <w:szCs w:val="20"/>
              </w:rPr>
            </w:pPr>
            <w:r>
              <w:rPr>
                <w:rFonts w:hint="eastAsia"/>
                <w:szCs w:val="20"/>
              </w:rPr>
              <w:t>投资日期</w:t>
            </w:r>
          </w:p>
        </w:tc>
        <w:tc>
          <w:tcPr>
            <w:tcW w:w="1701" w:type="dxa"/>
            <w:shd w:val="clear" w:color="auto" w:fill="auto"/>
            <w:noWrap/>
          </w:tcPr>
          <w:p w14:paraId="3B882BF7" w14:textId="77777777" w:rsidR="00A052DC" w:rsidRDefault="009F0A60">
            <w:pPr>
              <w:pStyle w:val="B"/>
              <w:rPr>
                <w:szCs w:val="20"/>
              </w:rPr>
            </w:pPr>
            <w:r>
              <w:rPr>
                <w:rFonts w:hint="eastAsia"/>
                <w:szCs w:val="20"/>
              </w:rPr>
              <w:t>日期型</w:t>
            </w:r>
          </w:p>
        </w:tc>
        <w:tc>
          <w:tcPr>
            <w:tcW w:w="3828" w:type="dxa"/>
          </w:tcPr>
          <w:p w14:paraId="720B82DC" w14:textId="77777777" w:rsidR="00A052DC" w:rsidRDefault="009F0A60">
            <w:pPr>
              <w:pStyle w:val="B"/>
              <w:rPr>
                <w:szCs w:val="20"/>
              </w:rPr>
            </w:pPr>
            <w:r>
              <w:rPr>
                <w:rFonts w:hint="eastAsia"/>
                <w:szCs w:val="20"/>
              </w:rPr>
              <w:t>必填项，必须符合</w:t>
            </w:r>
            <w:r>
              <w:rPr>
                <w:szCs w:val="20"/>
              </w:rPr>
              <w:t>YYYYMMDD</w:t>
            </w:r>
            <w:r>
              <w:rPr>
                <w:rFonts w:hint="eastAsia"/>
                <w:szCs w:val="20"/>
              </w:rPr>
              <w:t>的日期报送要求</w:t>
            </w:r>
            <w:r>
              <w:rPr>
                <w:szCs w:val="20"/>
              </w:rPr>
              <w:t>，必须是报告期对应月内的日期</w:t>
            </w:r>
            <w:r>
              <w:rPr>
                <w:rFonts w:hint="eastAsia"/>
                <w:szCs w:val="20"/>
              </w:rPr>
              <w:t>。如相关投资采用的二级市场买卖股票或基金份额形式，且无法确切逐笔记录，可汇总填报为一笔投资，投资日期应填报为对应月份，格式为</w:t>
            </w:r>
            <w:r>
              <w:rPr>
                <w:szCs w:val="20"/>
              </w:rPr>
              <w:t>YYYYMM01</w:t>
            </w:r>
            <w:r>
              <w:rPr>
                <w:rFonts w:hint="eastAsia"/>
                <w:szCs w:val="20"/>
              </w:rPr>
              <w:t>。</w:t>
            </w:r>
          </w:p>
        </w:tc>
      </w:tr>
      <w:tr w:rsidR="00A052DC" w14:paraId="24138E38" w14:textId="77777777">
        <w:trPr>
          <w:jc w:val="center"/>
        </w:trPr>
        <w:tc>
          <w:tcPr>
            <w:tcW w:w="1347" w:type="dxa"/>
            <w:shd w:val="clear" w:color="auto" w:fill="auto"/>
            <w:noWrap/>
          </w:tcPr>
          <w:p w14:paraId="55D9E479" w14:textId="77777777" w:rsidR="00A052DC" w:rsidRDefault="009F0A60">
            <w:pPr>
              <w:pStyle w:val="B"/>
              <w:rPr>
                <w:szCs w:val="20"/>
              </w:rPr>
            </w:pPr>
            <w:r>
              <w:rPr>
                <w:szCs w:val="20"/>
              </w:rPr>
              <w:t>A0231</w:t>
            </w:r>
          </w:p>
        </w:tc>
        <w:tc>
          <w:tcPr>
            <w:tcW w:w="1597" w:type="dxa"/>
            <w:shd w:val="clear" w:color="auto" w:fill="auto"/>
          </w:tcPr>
          <w:p w14:paraId="231ECB3A" w14:textId="77777777" w:rsidR="00A052DC" w:rsidRDefault="009F0A60">
            <w:pPr>
              <w:pStyle w:val="B"/>
              <w:rPr>
                <w:szCs w:val="20"/>
              </w:rPr>
            </w:pPr>
            <w:r>
              <w:rPr>
                <w:rFonts w:hint="eastAsia"/>
                <w:szCs w:val="20"/>
              </w:rPr>
              <w:t>投资币种（原币）</w:t>
            </w:r>
          </w:p>
        </w:tc>
        <w:tc>
          <w:tcPr>
            <w:tcW w:w="1701" w:type="dxa"/>
            <w:shd w:val="clear" w:color="auto" w:fill="auto"/>
            <w:noWrap/>
          </w:tcPr>
          <w:p w14:paraId="6F673EAB" w14:textId="77777777" w:rsidR="00A052DC" w:rsidRDefault="009F0A60">
            <w:pPr>
              <w:pStyle w:val="B"/>
              <w:rPr>
                <w:szCs w:val="20"/>
              </w:rPr>
            </w:pPr>
            <w:r>
              <w:rPr>
                <w:rFonts w:hint="eastAsia"/>
                <w:szCs w:val="20"/>
              </w:rPr>
              <w:t>字符型，</w:t>
            </w:r>
            <w:r>
              <w:rPr>
                <w:szCs w:val="20"/>
              </w:rPr>
              <w:t>3</w:t>
            </w:r>
          </w:p>
        </w:tc>
        <w:tc>
          <w:tcPr>
            <w:tcW w:w="3828" w:type="dxa"/>
          </w:tcPr>
          <w:p w14:paraId="66DC14B7" w14:textId="77777777" w:rsidR="00A052DC" w:rsidRDefault="009F0A60">
            <w:pPr>
              <w:pStyle w:val="B"/>
              <w:rPr>
                <w:szCs w:val="20"/>
              </w:rPr>
            </w:pPr>
            <w:r>
              <w:rPr>
                <w:rFonts w:hint="eastAsia"/>
                <w:szCs w:val="20"/>
              </w:rPr>
              <w:t>必填项，见币种代码表。</w:t>
            </w:r>
          </w:p>
        </w:tc>
      </w:tr>
      <w:tr w:rsidR="00A052DC" w14:paraId="2788D20E" w14:textId="77777777">
        <w:trPr>
          <w:jc w:val="center"/>
        </w:trPr>
        <w:tc>
          <w:tcPr>
            <w:tcW w:w="1347" w:type="dxa"/>
            <w:shd w:val="clear" w:color="auto" w:fill="auto"/>
            <w:noWrap/>
          </w:tcPr>
          <w:p w14:paraId="1D43B6BD" w14:textId="77777777" w:rsidR="00A052DC" w:rsidRDefault="009F0A60">
            <w:pPr>
              <w:pStyle w:val="B"/>
              <w:rPr>
                <w:szCs w:val="20"/>
              </w:rPr>
            </w:pPr>
            <w:r>
              <w:rPr>
                <w:szCs w:val="20"/>
              </w:rPr>
              <w:t>A0232</w:t>
            </w:r>
          </w:p>
        </w:tc>
        <w:tc>
          <w:tcPr>
            <w:tcW w:w="1597" w:type="dxa"/>
            <w:shd w:val="clear" w:color="auto" w:fill="auto"/>
            <w:noWrap/>
          </w:tcPr>
          <w:p w14:paraId="49C63392" w14:textId="77777777" w:rsidR="00A052DC" w:rsidRDefault="009F0A60">
            <w:pPr>
              <w:pStyle w:val="B"/>
              <w:rPr>
                <w:szCs w:val="20"/>
              </w:rPr>
            </w:pPr>
            <w:r>
              <w:rPr>
                <w:rFonts w:hint="eastAsia"/>
                <w:szCs w:val="20"/>
              </w:rPr>
              <w:t>投资金额增减（</w:t>
            </w:r>
            <w:r>
              <w:rPr>
                <w:szCs w:val="20"/>
              </w:rPr>
              <w:t>+</w:t>
            </w:r>
            <w:r>
              <w:rPr>
                <w:rFonts w:hint="eastAsia"/>
                <w:szCs w:val="20"/>
              </w:rPr>
              <w:t>或</w:t>
            </w:r>
            <w:r>
              <w:rPr>
                <w:szCs w:val="20"/>
              </w:rPr>
              <w:t>-</w:t>
            </w:r>
            <w:r>
              <w:rPr>
                <w:rFonts w:hint="eastAsia"/>
                <w:szCs w:val="20"/>
              </w:rPr>
              <w:t>）</w:t>
            </w:r>
          </w:p>
        </w:tc>
        <w:tc>
          <w:tcPr>
            <w:tcW w:w="1701" w:type="dxa"/>
            <w:shd w:val="clear" w:color="auto" w:fill="auto"/>
            <w:noWrap/>
          </w:tcPr>
          <w:p w14:paraId="53B549BF" w14:textId="77777777" w:rsidR="00A052DC" w:rsidRDefault="009F0A60">
            <w:pPr>
              <w:pStyle w:val="B"/>
              <w:rPr>
                <w:szCs w:val="20"/>
              </w:rPr>
            </w:pPr>
            <w:r>
              <w:rPr>
                <w:rFonts w:hint="eastAsia"/>
                <w:szCs w:val="20"/>
              </w:rPr>
              <w:t>数值型，</w:t>
            </w:r>
            <w:r>
              <w:rPr>
                <w:szCs w:val="20"/>
              </w:rPr>
              <w:t>22.2</w:t>
            </w:r>
          </w:p>
        </w:tc>
        <w:tc>
          <w:tcPr>
            <w:tcW w:w="3828" w:type="dxa"/>
          </w:tcPr>
          <w:p w14:paraId="6CDAF8D4" w14:textId="77777777" w:rsidR="00A052DC" w:rsidRDefault="009F0A60">
            <w:pPr>
              <w:pStyle w:val="B"/>
              <w:rPr>
                <w:szCs w:val="20"/>
              </w:rPr>
            </w:pPr>
            <w:r>
              <w:rPr>
                <w:rFonts w:hint="eastAsia"/>
                <w:szCs w:val="20"/>
              </w:rPr>
              <w:t>必填项。</w:t>
            </w:r>
          </w:p>
        </w:tc>
      </w:tr>
      <w:tr w:rsidR="00A052DC" w14:paraId="77529F86" w14:textId="77777777">
        <w:trPr>
          <w:jc w:val="center"/>
        </w:trPr>
        <w:tc>
          <w:tcPr>
            <w:tcW w:w="1347" w:type="dxa"/>
            <w:shd w:val="clear" w:color="auto" w:fill="auto"/>
            <w:noWrap/>
          </w:tcPr>
          <w:p w14:paraId="46EF326F" w14:textId="77777777" w:rsidR="00A052DC" w:rsidRDefault="009F0A60">
            <w:pPr>
              <w:pStyle w:val="B"/>
              <w:rPr>
                <w:szCs w:val="20"/>
              </w:rPr>
            </w:pPr>
            <w:r>
              <w:rPr>
                <w:szCs w:val="20"/>
              </w:rPr>
              <w:t>A0233</w:t>
            </w:r>
          </w:p>
        </w:tc>
        <w:tc>
          <w:tcPr>
            <w:tcW w:w="1597" w:type="dxa"/>
            <w:shd w:val="clear" w:color="auto" w:fill="auto"/>
            <w:noWrap/>
          </w:tcPr>
          <w:p w14:paraId="616EB3E0" w14:textId="77777777" w:rsidR="00A052DC" w:rsidRDefault="009F0A60">
            <w:pPr>
              <w:pStyle w:val="B"/>
              <w:rPr>
                <w:szCs w:val="20"/>
              </w:rPr>
            </w:pPr>
            <w:r>
              <w:rPr>
                <w:rFonts w:hint="eastAsia"/>
                <w:szCs w:val="20"/>
              </w:rPr>
              <w:t>外方持有表决权比例增减</w:t>
            </w:r>
            <w:r>
              <w:rPr>
                <w:szCs w:val="20"/>
              </w:rPr>
              <w:t>(%)</w:t>
            </w:r>
          </w:p>
        </w:tc>
        <w:tc>
          <w:tcPr>
            <w:tcW w:w="1701" w:type="dxa"/>
            <w:shd w:val="clear" w:color="auto" w:fill="auto"/>
            <w:noWrap/>
          </w:tcPr>
          <w:p w14:paraId="6EF77343" w14:textId="77777777" w:rsidR="00A052DC" w:rsidRDefault="009F0A60">
            <w:pPr>
              <w:pStyle w:val="B"/>
              <w:rPr>
                <w:szCs w:val="20"/>
              </w:rPr>
            </w:pPr>
            <w:r>
              <w:rPr>
                <w:rFonts w:hint="eastAsia"/>
                <w:szCs w:val="20"/>
              </w:rPr>
              <w:t>数值型，</w:t>
            </w:r>
            <w:r>
              <w:rPr>
                <w:szCs w:val="20"/>
              </w:rPr>
              <w:t>22.2</w:t>
            </w:r>
          </w:p>
        </w:tc>
        <w:tc>
          <w:tcPr>
            <w:tcW w:w="3828" w:type="dxa"/>
          </w:tcPr>
          <w:p w14:paraId="260DB7D8" w14:textId="77777777" w:rsidR="00A052DC" w:rsidRDefault="009F0A60">
            <w:pPr>
              <w:pStyle w:val="B"/>
              <w:rPr>
                <w:szCs w:val="20"/>
              </w:rPr>
            </w:pPr>
            <w:r>
              <w:rPr>
                <w:rFonts w:hint="eastAsia"/>
                <w:szCs w:val="20"/>
              </w:rPr>
              <w:t>必填项，必须满足：</w:t>
            </w:r>
            <w:r>
              <w:rPr>
                <w:szCs w:val="20"/>
              </w:rPr>
              <w:t>-100</w:t>
            </w:r>
            <w:r>
              <w:rPr>
                <w:rFonts w:hint="eastAsia"/>
                <w:szCs w:val="20"/>
              </w:rPr>
              <w:t>≤</w:t>
            </w:r>
            <w:r>
              <w:rPr>
                <w:szCs w:val="20"/>
              </w:rPr>
              <w:t>A0233</w:t>
            </w:r>
            <w:r>
              <w:rPr>
                <w:rFonts w:hint="eastAsia"/>
                <w:szCs w:val="20"/>
              </w:rPr>
              <w:t>≤</w:t>
            </w:r>
            <w:r>
              <w:rPr>
                <w:szCs w:val="20"/>
              </w:rPr>
              <w:t>100</w:t>
            </w:r>
            <w:r>
              <w:rPr>
                <w:rFonts w:hint="eastAsia"/>
                <w:szCs w:val="20"/>
              </w:rPr>
              <w:t>，精确到小数点后两位。</w:t>
            </w:r>
          </w:p>
        </w:tc>
      </w:tr>
      <w:tr w:rsidR="00A052DC" w14:paraId="20307601" w14:textId="77777777">
        <w:trPr>
          <w:jc w:val="center"/>
        </w:trPr>
        <w:tc>
          <w:tcPr>
            <w:tcW w:w="1347" w:type="dxa"/>
            <w:shd w:val="clear" w:color="auto" w:fill="auto"/>
            <w:noWrap/>
          </w:tcPr>
          <w:p w14:paraId="37BED184" w14:textId="77777777" w:rsidR="00A052DC" w:rsidRDefault="009F0A60">
            <w:pPr>
              <w:pStyle w:val="B"/>
              <w:rPr>
                <w:szCs w:val="20"/>
              </w:rPr>
            </w:pPr>
            <w:r>
              <w:rPr>
                <w:szCs w:val="20"/>
              </w:rPr>
              <w:t>A0234</w:t>
            </w:r>
          </w:p>
        </w:tc>
        <w:tc>
          <w:tcPr>
            <w:tcW w:w="1597" w:type="dxa"/>
            <w:shd w:val="clear" w:color="auto" w:fill="auto"/>
            <w:noWrap/>
          </w:tcPr>
          <w:p w14:paraId="2E7875EB" w14:textId="77777777" w:rsidR="00A052DC" w:rsidRDefault="009F0A60">
            <w:pPr>
              <w:pStyle w:val="B"/>
              <w:rPr>
                <w:szCs w:val="20"/>
              </w:rPr>
            </w:pPr>
            <w:r>
              <w:rPr>
                <w:rFonts w:hint="eastAsia"/>
                <w:szCs w:val="20"/>
              </w:rPr>
              <w:t>是否兼并、收购</w:t>
            </w:r>
          </w:p>
        </w:tc>
        <w:tc>
          <w:tcPr>
            <w:tcW w:w="1701" w:type="dxa"/>
            <w:shd w:val="clear" w:color="auto" w:fill="auto"/>
            <w:noWrap/>
          </w:tcPr>
          <w:p w14:paraId="5E507E5A" w14:textId="77777777" w:rsidR="00A052DC" w:rsidRDefault="009F0A60">
            <w:pPr>
              <w:pStyle w:val="B"/>
              <w:rPr>
                <w:szCs w:val="20"/>
              </w:rPr>
            </w:pPr>
            <w:r>
              <w:rPr>
                <w:rFonts w:hint="eastAsia"/>
                <w:szCs w:val="20"/>
              </w:rPr>
              <w:t>整数型</w:t>
            </w:r>
          </w:p>
        </w:tc>
        <w:tc>
          <w:tcPr>
            <w:tcW w:w="3828" w:type="dxa"/>
          </w:tcPr>
          <w:p w14:paraId="510C358F" w14:textId="77777777" w:rsidR="00A052DC" w:rsidRDefault="009F0A60">
            <w:pPr>
              <w:pStyle w:val="B"/>
              <w:rPr>
                <w:szCs w:val="20"/>
              </w:rPr>
            </w:pPr>
            <w:r>
              <w:rPr>
                <w:rFonts w:hint="eastAsia"/>
                <w:szCs w:val="20"/>
              </w:rPr>
              <w:t>必填项，必须</w:t>
            </w:r>
            <w:r>
              <w:rPr>
                <w:szCs w:val="20"/>
              </w:rPr>
              <w:t>2</w:t>
            </w:r>
            <w:r>
              <w:rPr>
                <w:rFonts w:hint="eastAsia"/>
                <w:szCs w:val="20"/>
              </w:rPr>
              <w:t>选</w:t>
            </w:r>
            <w:r>
              <w:rPr>
                <w:szCs w:val="20"/>
              </w:rPr>
              <w:t>1</w:t>
            </w:r>
            <w:r>
              <w:rPr>
                <w:rFonts w:hint="eastAsia"/>
                <w:szCs w:val="20"/>
              </w:rPr>
              <w:t>：</w:t>
            </w:r>
          </w:p>
          <w:p w14:paraId="5C6F9A3F" w14:textId="77777777" w:rsidR="00A052DC" w:rsidRDefault="009F0A60">
            <w:pPr>
              <w:pStyle w:val="B"/>
              <w:rPr>
                <w:szCs w:val="20"/>
              </w:rPr>
            </w:pPr>
            <w:r>
              <w:rPr>
                <w:szCs w:val="20"/>
              </w:rPr>
              <w:t>1-</w:t>
            </w:r>
            <w:r>
              <w:rPr>
                <w:rFonts w:hint="eastAsia"/>
                <w:szCs w:val="20"/>
              </w:rPr>
              <w:t>是</w:t>
            </w:r>
            <w:r w:rsidR="00FE361F">
              <w:rPr>
                <w:rFonts w:hint="eastAsia"/>
                <w:szCs w:val="20"/>
              </w:rPr>
              <w:t>；</w:t>
            </w:r>
          </w:p>
          <w:p w14:paraId="407D40EC" w14:textId="77777777" w:rsidR="00A052DC" w:rsidRDefault="009F0A60">
            <w:pPr>
              <w:pStyle w:val="B"/>
              <w:rPr>
                <w:szCs w:val="20"/>
              </w:rPr>
            </w:pPr>
            <w:r>
              <w:rPr>
                <w:szCs w:val="20"/>
              </w:rPr>
              <w:t>0-</w:t>
            </w:r>
            <w:r>
              <w:rPr>
                <w:rFonts w:hint="eastAsia"/>
                <w:szCs w:val="20"/>
              </w:rPr>
              <w:t>否。</w:t>
            </w:r>
          </w:p>
        </w:tc>
      </w:tr>
      <w:tr w:rsidR="00A052DC" w14:paraId="604C099C" w14:textId="77777777">
        <w:trPr>
          <w:jc w:val="center"/>
        </w:trPr>
        <w:tc>
          <w:tcPr>
            <w:tcW w:w="1347" w:type="dxa"/>
            <w:shd w:val="clear" w:color="auto" w:fill="auto"/>
            <w:noWrap/>
          </w:tcPr>
          <w:p w14:paraId="7E2BB6C9" w14:textId="77777777" w:rsidR="00A052DC" w:rsidRDefault="009F0A60">
            <w:pPr>
              <w:pStyle w:val="B"/>
              <w:rPr>
                <w:szCs w:val="20"/>
              </w:rPr>
            </w:pPr>
            <w:r>
              <w:rPr>
                <w:szCs w:val="20"/>
              </w:rPr>
              <w:t>A0235</w:t>
            </w:r>
          </w:p>
        </w:tc>
        <w:tc>
          <w:tcPr>
            <w:tcW w:w="1597" w:type="dxa"/>
            <w:shd w:val="clear" w:color="auto" w:fill="auto"/>
            <w:noWrap/>
          </w:tcPr>
          <w:p w14:paraId="6E104696" w14:textId="77777777" w:rsidR="00A052DC" w:rsidRDefault="009F0A60">
            <w:pPr>
              <w:pStyle w:val="B"/>
              <w:rPr>
                <w:szCs w:val="20"/>
              </w:rPr>
            </w:pPr>
            <w:r>
              <w:rPr>
                <w:rFonts w:hint="eastAsia"/>
                <w:szCs w:val="20"/>
              </w:rPr>
              <w:t>出资方式</w:t>
            </w:r>
          </w:p>
        </w:tc>
        <w:tc>
          <w:tcPr>
            <w:tcW w:w="1701" w:type="dxa"/>
            <w:shd w:val="clear" w:color="auto" w:fill="auto"/>
            <w:noWrap/>
          </w:tcPr>
          <w:p w14:paraId="0170D538" w14:textId="77777777" w:rsidR="00A052DC" w:rsidRDefault="009F0A60">
            <w:pPr>
              <w:pStyle w:val="B"/>
              <w:rPr>
                <w:szCs w:val="20"/>
              </w:rPr>
            </w:pPr>
            <w:r>
              <w:rPr>
                <w:rFonts w:hint="eastAsia"/>
                <w:szCs w:val="20"/>
              </w:rPr>
              <w:t>整数型</w:t>
            </w:r>
          </w:p>
        </w:tc>
        <w:tc>
          <w:tcPr>
            <w:tcW w:w="3828" w:type="dxa"/>
          </w:tcPr>
          <w:p w14:paraId="60B06809" w14:textId="77777777" w:rsidR="00A052DC" w:rsidRDefault="009F0A60">
            <w:pPr>
              <w:pStyle w:val="B"/>
              <w:rPr>
                <w:szCs w:val="20"/>
              </w:rPr>
            </w:pPr>
            <w:r>
              <w:rPr>
                <w:rFonts w:hint="eastAsia"/>
                <w:szCs w:val="20"/>
              </w:rPr>
              <w:t>必填项，必须</w:t>
            </w:r>
            <w:r>
              <w:rPr>
                <w:szCs w:val="20"/>
              </w:rPr>
              <w:t>5</w:t>
            </w:r>
            <w:r>
              <w:rPr>
                <w:rFonts w:hint="eastAsia"/>
                <w:szCs w:val="20"/>
              </w:rPr>
              <w:t>选</w:t>
            </w:r>
            <w:r>
              <w:rPr>
                <w:szCs w:val="20"/>
              </w:rPr>
              <w:t>1</w:t>
            </w:r>
            <w:r>
              <w:rPr>
                <w:rFonts w:hint="eastAsia"/>
                <w:szCs w:val="20"/>
              </w:rPr>
              <w:t>：</w:t>
            </w:r>
          </w:p>
          <w:p w14:paraId="6A93FEEE" w14:textId="77777777" w:rsidR="00A052DC" w:rsidRDefault="009F0A60">
            <w:pPr>
              <w:rPr>
                <w:rFonts w:ascii="黑体" w:eastAsia="黑体" w:hAnsi="黑体"/>
                <w:sz w:val="20"/>
                <w:szCs w:val="20"/>
              </w:rPr>
            </w:pPr>
            <w:r>
              <w:rPr>
                <w:rFonts w:ascii="黑体" w:eastAsia="黑体" w:hAnsi="黑体"/>
                <w:kern w:val="0"/>
                <w:sz w:val="20"/>
                <w:szCs w:val="20"/>
              </w:rPr>
              <w:t>1-</w:t>
            </w:r>
            <w:r>
              <w:rPr>
                <w:rFonts w:ascii="黑体" w:eastAsia="黑体" w:hAnsi="黑体" w:hint="eastAsia"/>
                <w:kern w:val="0"/>
                <w:sz w:val="20"/>
                <w:szCs w:val="20"/>
              </w:rPr>
              <w:t>现金；</w:t>
            </w:r>
          </w:p>
          <w:p w14:paraId="4AA7D7B6" w14:textId="77777777" w:rsidR="00A052DC" w:rsidRDefault="009F0A60">
            <w:pPr>
              <w:rPr>
                <w:rFonts w:ascii="黑体" w:eastAsia="黑体" w:hAnsi="黑体"/>
                <w:sz w:val="20"/>
                <w:szCs w:val="20"/>
              </w:rPr>
            </w:pPr>
            <w:r>
              <w:rPr>
                <w:rFonts w:ascii="黑体" w:eastAsia="黑体" w:hAnsi="黑体"/>
                <w:sz w:val="20"/>
                <w:szCs w:val="20"/>
              </w:rPr>
              <w:t>2-</w:t>
            </w:r>
            <w:r>
              <w:rPr>
                <w:rFonts w:ascii="黑体" w:eastAsia="黑体" w:hAnsi="黑体" w:hint="eastAsia"/>
                <w:sz w:val="20"/>
                <w:szCs w:val="20"/>
              </w:rPr>
              <w:t>实物；</w:t>
            </w:r>
          </w:p>
          <w:p w14:paraId="240B467F" w14:textId="77777777" w:rsidR="00A052DC" w:rsidRDefault="009F0A60">
            <w:pPr>
              <w:rPr>
                <w:rFonts w:ascii="黑体" w:eastAsia="黑体" w:hAnsi="黑体"/>
                <w:sz w:val="20"/>
                <w:szCs w:val="20"/>
              </w:rPr>
            </w:pPr>
            <w:r>
              <w:rPr>
                <w:rFonts w:ascii="黑体" w:eastAsia="黑体" w:hAnsi="黑体"/>
                <w:sz w:val="20"/>
                <w:szCs w:val="20"/>
              </w:rPr>
              <w:t>3-</w:t>
            </w:r>
            <w:r>
              <w:rPr>
                <w:rFonts w:ascii="黑体" w:eastAsia="黑体" w:hAnsi="黑体" w:hint="eastAsia"/>
                <w:sz w:val="20"/>
                <w:szCs w:val="20"/>
              </w:rPr>
              <w:t>无形资产；</w:t>
            </w:r>
          </w:p>
          <w:p w14:paraId="5F9C46C2" w14:textId="77777777" w:rsidR="00A052DC" w:rsidRDefault="009F0A60">
            <w:pPr>
              <w:rPr>
                <w:rFonts w:ascii="黑体" w:eastAsia="黑体" w:hAnsi="黑体"/>
                <w:sz w:val="20"/>
                <w:szCs w:val="20"/>
              </w:rPr>
            </w:pPr>
            <w:r>
              <w:rPr>
                <w:rFonts w:ascii="黑体" w:eastAsia="黑体" w:hAnsi="黑体"/>
                <w:sz w:val="20"/>
                <w:szCs w:val="20"/>
              </w:rPr>
              <w:t>4-</w:t>
            </w:r>
            <w:r>
              <w:rPr>
                <w:rFonts w:ascii="黑体" w:eastAsia="黑体" w:hAnsi="黑体" w:hint="eastAsia"/>
                <w:sz w:val="20"/>
                <w:szCs w:val="20"/>
              </w:rPr>
              <w:t>股权出资；</w:t>
            </w:r>
          </w:p>
          <w:p w14:paraId="09536B67" w14:textId="77777777" w:rsidR="00A052DC" w:rsidRDefault="009F0A60">
            <w:pPr>
              <w:pStyle w:val="B"/>
              <w:rPr>
                <w:szCs w:val="20"/>
              </w:rPr>
            </w:pPr>
            <w:r>
              <w:rPr>
                <w:kern w:val="2"/>
                <w:szCs w:val="20"/>
              </w:rPr>
              <w:t>5</w:t>
            </w:r>
            <w:r>
              <w:rPr>
                <w:szCs w:val="20"/>
              </w:rPr>
              <w:t>-</w:t>
            </w:r>
            <w:r>
              <w:rPr>
                <w:rFonts w:hint="eastAsia"/>
                <w:szCs w:val="20"/>
              </w:rPr>
              <w:t>其他。</w:t>
            </w:r>
          </w:p>
        </w:tc>
      </w:tr>
      <w:tr w:rsidR="00A052DC" w14:paraId="07909346" w14:textId="77777777">
        <w:trPr>
          <w:jc w:val="center"/>
        </w:trPr>
        <w:tc>
          <w:tcPr>
            <w:tcW w:w="1347" w:type="dxa"/>
            <w:shd w:val="clear" w:color="auto" w:fill="auto"/>
            <w:noWrap/>
          </w:tcPr>
          <w:p w14:paraId="6019928B" w14:textId="77777777" w:rsidR="00A052DC" w:rsidRDefault="009F0A60">
            <w:pPr>
              <w:pStyle w:val="B"/>
              <w:rPr>
                <w:szCs w:val="20"/>
              </w:rPr>
            </w:pPr>
            <w:r>
              <w:rPr>
                <w:szCs w:val="20"/>
              </w:rPr>
              <w:t>A0236</w:t>
            </w:r>
          </w:p>
        </w:tc>
        <w:tc>
          <w:tcPr>
            <w:tcW w:w="1597" w:type="dxa"/>
            <w:shd w:val="clear" w:color="auto" w:fill="auto"/>
            <w:noWrap/>
          </w:tcPr>
          <w:p w14:paraId="5017B56A" w14:textId="77777777" w:rsidR="00A052DC" w:rsidRDefault="009F0A60">
            <w:pPr>
              <w:pStyle w:val="B"/>
              <w:rPr>
                <w:szCs w:val="20"/>
              </w:rPr>
            </w:pPr>
            <w:r>
              <w:rPr>
                <w:rFonts w:hint="eastAsia"/>
                <w:szCs w:val="20"/>
              </w:rPr>
              <w:t>备注</w:t>
            </w:r>
          </w:p>
        </w:tc>
        <w:tc>
          <w:tcPr>
            <w:tcW w:w="1701" w:type="dxa"/>
            <w:shd w:val="clear" w:color="auto" w:fill="auto"/>
            <w:noWrap/>
          </w:tcPr>
          <w:p w14:paraId="389771F5" w14:textId="77777777" w:rsidR="00A052DC" w:rsidRDefault="009F0A60">
            <w:pPr>
              <w:pStyle w:val="B"/>
              <w:rPr>
                <w:szCs w:val="20"/>
              </w:rPr>
            </w:pPr>
            <w:r>
              <w:rPr>
                <w:rFonts w:hint="eastAsia"/>
                <w:szCs w:val="20"/>
              </w:rPr>
              <w:t>字符型，</w:t>
            </w:r>
            <w:r>
              <w:rPr>
                <w:szCs w:val="20"/>
              </w:rPr>
              <w:t>512</w:t>
            </w:r>
          </w:p>
        </w:tc>
        <w:tc>
          <w:tcPr>
            <w:tcW w:w="3828" w:type="dxa"/>
          </w:tcPr>
          <w:p w14:paraId="24FBA4AA" w14:textId="77777777" w:rsidR="00A052DC" w:rsidRDefault="009F0A60">
            <w:pPr>
              <w:pStyle w:val="B"/>
              <w:widowControl w:val="0"/>
              <w:rPr>
                <w:szCs w:val="20"/>
              </w:rPr>
            </w:pPr>
            <w:r>
              <w:rPr>
                <w:rFonts w:hint="eastAsia"/>
                <w:szCs w:val="20"/>
              </w:rPr>
              <w:t>出现以下情况之一则此项为必填项。</w:t>
            </w:r>
          </w:p>
          <w:p w14:paraId="64E8CD5F" w14:textId="77777777" w:rsidR="00A052DC" w:rsidRDefault="009F0A60">
            <w:pPr>
              <w:pStyle w:val="B"/>
              <w:rPr>
                <w:szCs w:val="20"/>
              </w:rPr>
            </w:pPr>
            <w:r>
              <w:rPr>
                <w:rFonts w:hint="eastAsia"/>
                <w:szCs w:val="20"/>
              </w:rPr>
              <w:t>1.</w:t>
            </w:r>
            <w:r>
              <w:rPr>
                <w:szCs w:val="20"/>
              </w:rPr>
              <w:t>“A0232投资金额”＞0，而“A233外方持有表决权比例增减”＜0</w:t>
            </w:r>
            <w:r>
              <w:rPr>
                <w:rFonts w:hint="eastAsia"/>
                <w:szCs w:val="20"/>
              </w:rPr>
              <w:t>；</w:t>
            </w:r>
          </w:p>
          <w:p w14:paraId="521B9784" w14:textId="77777777" w:rsidR="00A052DC" w:rsidRDefault="009F0A60">
            <w:pPr>
              <w:pStyle w:val="B"/>
              <w:rPr>
                <w:szCs w:val="20"/>
              </w:rPr>
            </w:pPr>
            <w:r>
              <w:rPr>
                <w:rFonts w:hint="eastAsia"/>
                <w:szCs w:val="20"/>
              </w:rPr>
              <w:t>2.</w:t>
            </w:r>
            <w:r>
              <w:rPr>
                <w:szCs w:val="20"/>
              </w:rPr>
              <w:t>“A0232投资金额”＜0，而“A233外方持有表决权比例增减”＞0</w:t>
            </w:r>
            <w:r>
              <w:rPr>
                <w:rFonts w:hint="eastAsia"/>
                <w:szCs w:val="20"/>
              </w:rPr>
              <w:t>。</w:t>
            </w:r>
          </w:p>
        </w:tc>
      </w:tr>
    </w:tbl>
    <w:p w14:paraId="506EA29F" w14:textId="77777777" w:rsidR="00A052DC" w:rsidRDefault="00A052DC"/>
    <w:p w14:paraId="3F617E76" w14:textId="77777777" w:rsidR="00A052DC" w:rsidRDefault="009F0A60" w:rsidP="0020251D">
      <w:pPr>
        <w:pStyle w:val="3"/>
        <w:ind w:left="0"/>
        <w:rPr>
          <w:rFonts w:ascii="Times New Roman" w:hAnsi="Times New Roman"/>
        </w:rPr>
      </w:pPr>
      <w:bookmarkStart w:id="3040" w:name="_Toc91455309"/>
      <w:bookmarkStart w:id="3041" w:name="_Toc454391253"/>
      <w:bookmarkStart w:id="3042" w:name="_Toc380570923"/>
      <w:bookmarkStart w:id="3043" w:name="_Toc380356282"/>
      <w:bookmarkStart w:id="3044" w:name="_Toc101684482"/>
      <w:r>
        <w:rPr>
          <w:rFonts w:ascii="Times New Roman" w:hAnsi="Times New Roman"/>
        </w:rPr>
        <w:t>B01</w:t>
      </w:r>
      <w:r>
        <w:rPr>
          <w:rFonts w:ascii="Times New Roman" w:hAnsi="Times New Roman" w:hint="eastAsia"/>
        </w:rPr>
        <w:t>表：投资境外股本证券和投资基金份额（资产）</w:t>
      </w:r>
      <w:bookmarkEnd w:id="3040"/>
      <w:bookmarkEnd w:id="3041"/>
      <w:bookmarkEnd w:id="3042"/>
      <w:bookmarkEnd w:id="3043"/>
      <w:bookmarkEnd w:id="3044"/>
    </w:p>
    <w:p w14:paraId="1A3D4066" w14:textId="77777777" w:rsidR="00A052DC" w:rsidRDefault="009F0A60" w:rsidP="0020251D">
      <w:pPr>
        <w:pStyle w:val="4"/>
        <w:numPr>
          <w:ilvl w:val="3"/>
          <w:numId w:val="1"/>
        </w:numPr>
        <w:jc w:val="left"/>
      </w:pPr>
      <w:bookmarkStart w:id="3045" w:name="_Toc380570924"/>
      <w:bookmarkStart w:id="3046" w:name="_Toc454391254"/>
      <w:r>
        <w:rPr>
          <w:rFonts w:hint="eastAsia"/>
        </w:rPr>
        <w:t>数据术语解释</w:t>
      </w:r>
      <w:bookmarkEnd w:id="3045"/>
      <w:bookmarkEnd w:id="3046"/>
    </w:p>
    <w:p w14:paraId="3ADC4021" w14:textId="77777777" w:rsidR="00A052DC" w:rsidRDefault="00A052DC">
      <w:pPr>
        <w:spacing w:line="240" w:lineRule="exact"/>
        <w:rPr>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4"/>
        <w:gridCol w:w="6648"/>
      </w:tblGrid>
      <w:tr w:rsidR="00A052DC" w14:paraId="6E2BB3FD" w14:textId="77777777">
        <w:trPr>
          <w:cantSplit/>
          <w:jc w:val="center"/>
        </w:trPr>
        <w:tc>
          <w:tcPr>
            <w:tcW w:w="1744" w:type="dxa"/>
            <w:shd w:val="clear" w:color="auto" w:fill="auto"/>
            <w:noWrap/>
          </w:tcPr>
          <w:p w14:paraId="2E94F8DF" w14:textId="77777777" w:rsidR="00A052DC" w:rsidRDefault="009F0A60">
            <w:pPr>
              <w:pStyle w:val="B1"/>
            </w:pPr>
            <w:r>
              <w:rPr>
                <w:rFonts w:hint="eastAsia"/>
              </w:rPr>
              <w:t>基础数据项</w:t>
            </w:r>
          </w:p>
        </w:tc>
        <w:tc>
          <w:tcPr>
            <w:tcW w:w="6648" w:type="dxa"/>
            <w:shd w:val="clear" w:color="auto" w:fill="auto"/>
            <w:noWrap/>
          </w:tcPr>
          <w:p w14:paraId="241C5669" w14:textId="77777777" w:rsidR="00A052DC" w:rsidRDefault="009F0A60">
            <w:pPr>
              <w:pStyle w:val="B1"/>
            </w:pPr>
            <w:r>
              <w:rPr>
                <w:rFonts w:hint="eastAsia"/>
              </w:rPr>
              <w:t>定义</w:t>
            </w:r>
          </w:p>
        </w:tc>
      </w:tr>
      <w:tr w:rsidR="00A052DC" w14:paraId="431258D0" w14:textId="77777777">
        <w:trPr>
          <w:cantSplit/>
          <w:jc w:val="center"/>
        </w:trPr>
        <w:tc>
          <w:tcPr>
            <w:tcW w:w="1744" w:type="dxa"/>
            <w:shd w:val="clear" w:color="auto" w:fill="auto"/>
          </w:tcPr>
          <w:p w14:paraId="1DA4D371" w14:textId="77777777" w:rsidR="00A052DC" w:rsidRDefault="009F0A60">
            <w:pPr>
              <w:pStyle w:val="B"/>
              <w:rPr>
                <w:szCs w:val="20"/>
              </w:rPr>
            </w:pPr>
            <w:r>
              <w:rPr>
                <w:rFonts w:hint="eastAsia"/>
                <w:szCs w:val="20"/>
              </w:rPr>
              <w:t>数据自编码</w:t>
            </w:r>
          </w:p>
        </w:tc>
        <w:tc>
          <w:tcPr>
            <w:tcW w:w="6648" w:type="dxa"/>
            <w:shd w:val="clear" w:color="auto" w:fill="auto"/>
            <w:noWrap/>
          </w:tcPr>
          <w:p w14:paraId="57506A7E" w14:textId="77777777" w:rsidR="00A052DC" w:rsidRDefault="009F0A60">
            <w:pPr>
              <w:pStyle w:val="B"/>
              <w:rPr>
                <w:szCs w:val="20"/>
              </w:rPr>
            </w:pPr>
            <w:r>
              <w:rPr>
                <w:rFonts w:hint="eastAsia"/>
                <w:szCs w:val="20"/>
              </w:rPr>
              <w:t>该编码用于标识金融机构报送的每一条数据，按给定规则编码，便于进行增删改查等操作。建议规则：机构代码（</w:t>
            </w:r>
            <w:r>
              <w:rPr>
                <w:szCs w:val="20"/>
              </w:rPr>
              <w:t>1</w:t>
            </w:r>
            <w:r>
              <w:rPr>
                <w:rFonts w:hint="eastAsia"/>
                <w:szCs w:val="20"/>
              </w:rPr>
              <w:t>8位，不足</w:t>
            </w:r>
            <w:r>
              <w:rPr>
                <w:szCs w:val="20"/>
              </w:rPr>
              <w:t>1</w:t>
            </w:r>
            <w:r>
              <w:rPr>
                <w:rFonts w:hint="eastAsia"/>
                <w:szCs w:val="20"/>
              </w:rPr>
              <w:t>8位补</w:t>
            </w:r>
            <w:r>
              <w:rPr>
                <w:szCs w:val="20"/>
              </w:rPr>
              <w:t>a</w:t>
            </w:r>
            <w:r>
              <w:rPr>
                <w:rFonts w:hint="eastAsia"/>
                <w:szCs w:val="20"/>
              </w:rPr>
              <w:t>）</w:t>
            </w:r>
            <w:r>
              <w:rPr>
                <w:szCs w:val="20"/>
              </w:rPr>
              <w:t>+</w:t>
            </w:r>
            <w:r>
              <w:rPr>
                <w:rFonts w:hint="eastAsia"/>
                <w:szCs w:val="20"/>
              </w:rPr>
              <w:t>报表代码（</w:t>
            </w:r>
            <w:r>
              <w:rPr>
                <w:szCs w:val="20"/>
              </w:rPr>
              <w:t>5</w:t>
            </w:r>
            <w:r>
              <w:rPr>
                <w:rFonts w:hint="eastAsia"/>
                <w:szCs w:val="20"/>
              </w:rPr>
              <w:t>位，不足</w:t>
            </w:r>
            <w:r>
              <w:rPr>
                <w:szCs w:val="20"/>
              </w:rPr>
              <w:t>5</w:t>
            </w:r>
            <w:r>
              <w:rPr>
                <w:rFonts w:hint="eastAsia"/>
                <w:szCs w:val="20"/>
              </w:rPr>
              <w:t>位补</w:t>
            </w:r>
            <w:r>
              <w:rPr>
                <w:szCs w:val="20"/>
              </w:rPr>
              <w:t>a</w:t>
            </w:r>
            <w:r>
              <w:rPr>
                <w:rFonts w:hint="eastAsia"/>
                <w:szCs w:val="20"/>
              </w:rPr>
              <w:t>）</w:t>
            </w:r>
            <w:r>
              <w:rPr>
                <w:szCs w:val="20"/>
              </w:rPr>
              <w:t>+</w:t>
            </w:r>
            <w:r>
              <w:rPr>
                <w:rFonts w:hint="eastAsia"/>
                <w:szCs w:val="20"/>
              </w:rPr>
              <w:t>报送期（</w:t>
            </w:r>
            <w:r>
              <w:rPr>
                <w:szCs w:val="20"/>
              </w:rPr>
              <w:t>6</w:t>
            </w:r>
            <w:r>
              <w:rPr>
                <w:rFonts w:hint="eastAsia"/>
                <w:szCs w:val="20"/>
              </w:rPr>
              <w:t>位）</w:t>
            </w:r>
            <w:r>
              <w:rPr>
                <w:szCs w:val="20"/>
              </w:rPr>
              <w:t>+</w:t>
            </w:r>
            <w:r>
              <w:rPr>
                <w:rFonts w:hint="eastAsia"/>
                <w:szCs w:val="20"/>
              </w:rPr>
              <w:t>顺序号（</w:t>
            </w:r>
            <w:r>
              <w:rPr>
                <w:szCs w:val="20"/>
              </w:rPr>
              <w:t>7</w:t>
            </w:r>
            <w:r>
              <w:rPr>
                <w:rFonts w:hint="eastAsia"/>
                <w:szCs w:val="20"/>
              </w:rPr>
              <w:t>位，从</w:t>
            </w:r>
            <w:r>
              <w:rPr>
                <w:szCs w:val="20"/>
              </w:rPr>
              <w:t>0000001</w:t>
            </w:r>
            <w:r>
              <w:rPr>
                <w:rFonts w:hint="eastAsia"/>
                <w:szCs w:val="20"/>
              </w:rPr>
              <w:t>开始增加）。</w:t>
            </w:r>
          </w:p>
        </w:tc>
      </w:tr>
      <w:tr w:rsidR="00A052DC" w14:paraId="3747D146" w14:textId="77777777">
        <w:trPr>
          <w:cantSplit/>
          <w:jc w:val="center"/>
        </w:trPr>
        <w:tc>
          <w:tcPr>
            <w:tcW w:w="1744" w:type="dxa"/>
            <w:shd w:val="clear" w:color="auto" w:fill="auto"/>
          </w:tcPr>
          <w:p w14:paraId="31E5F2C3" w14:textId="77777777" w:rsidR="00A052DC" w:rsidRDefault="009F0A60">
            <w:pPr>
              <w:pStyle w:val="B"/>
              <w:rPr>
                <w:szCs w:val="20"/>
              </w:rPr>
            </w:pPr>
            <w:r>
              <w:rPr>
                <w:rFonts w:hint="eastAsia"/>
                <w:szCs w:val="20"/>
              </w:rPr>
              <w:t>申报主体代码</w:t>
            </w:r>
          </w:p>
        </w:tc>
        <w:tc>
          <w:tcPr>
            <w:tcW w:w="6648" w:type="dxa"/>
            <w:shd w:val="clear" w:color="auto" w:fill="auto"/>
            <w:noWrap/>
          </w:tcPr>
          <w:p w14:paraId="5D9EFC74" w14:textId="77777777" w:rsidR="00A052DC" w:rsidRDefault="009F0A60">
            <w:pPr>
              <w:pStyle w:val="B"/>
              <w:rPr>
                <w:szCs w:val="20"/>
              </w:rPr>
            </w:pPr>
            <w:r>
              <w:rPr>
                <w:rFonts w:hint="eastAsia"/>
                <w:szCs w:val="20"/>
              </w:rPr>
              <w:t>申报主体的12位金融机构标识码，如果没有金融机构标识码，则填报统一社会信用代码法定载体（如营业执照）上统一社会信用代码中的第9至17位或国家外汇管理局及其分支局签发的特殊机构代码赋码通知书上的机构代码、个人身份代码。</w:t>
            </w:r>
          </w:p>
        </w:tc>
      </w:tr>
      <w:tr w:rsidR="00A052DC" w14:paraId="2FA814A6" w14:textId="77777777">
        <w:trPr>
          <w:cantSplit/>
          <w:jc w:val="center"/>
        </w:trPr>
        <w:tc>
          <w:tcPr>
            <w:tcW w:w="1744" w:type="dxa"/>
            <w:shd w:val="clear" w:color="auto" w:fill="auto"/>
          </w:tcPr>
          <w:p w14:paraId="593429D1" w14:textId="77777777" w:rsidR="00A052DC" w:rsidRDefault="009F0A60">
            <w:pPr>
              <w:pStyle w:val="B"/>
              <w:rPr>
                <w:szCs w:val="20"/>
              </w:rPr>
            </w:pPr>
            <w:r>
              <w:rPr>
                <w:rFonts w:hint="eastAsia"/>
                <w:szCs w:val="20"/>
              </w:rPr>
              <w:t>报告期</w:t>
            </w:r>
          </w:p>
        </w:tc>
        <w:tc>
          <w:tcPr>
            <w:tcW w:w="6648" w:type="dxa"/>
            <w:shd w:val="clear" w:color="auto" w:fill="auto"/>
            <w:noWrap/>
          </w:tcPr>
          <w:p w14:paraId="41352A64" w14:textId="77777777" w:rsidR="00A052DC" w:rsidRDefault="009F0A60">
            <w:pPr>
              <w:pStyle w:val="B"/>
              <w:rPr>
                <w:szCs w:val="20"/>
              </w:rPr>
            </w:pPr>
            <w:r>
              <w:rPr>
                <w:rFonts w:hint="eastAsia"/>
                <w:szCs w:val="20"/>
              </w:rPr>
              <w:t>业务发生月份，格式为</w:t>
            </w:r>
            <w:r>
              <w:rPr>
                <w:szCs w:val="20"/>
              </w:rPr>
              <w:t>YYYYMM</w:t>
            </w:r>
            <w:r>
              <w:rPr>
                <w:rFonts w:hint="eastAsia"/>
                <w:szCs w:val="20"/>
              </w:rPr>
              <w:t>。</w:t>
            </w:r>
          </w:p>
        </w:tc>
      </w:tr>
      <w:tr w:rsidR="00A052DC" w14:paraId="6BC592E8" w14:textId="77777777">
        <w:trPr>
          <w:cantSplit/>
          <w:jc w:val="center"/>
        </w:trPr>
        <w:tc>
          <w:tcPr>
            <w:tcW w:w="1744" w:type="dxa"/>
            <w:shd w:val="clear" w:color="auto" w:fill="auto"/>
          </w:tcPr>
          <w:p w14:paraId="5E2CE15F" w14:textId="77777777" w:rsidR="00A052DC" w:rsidRDefault="009F0A60">
            <w:pPr>
              <w:pStyle w:val="B"/>
              <w:rPr>
                <w:szCs w:val="20"/>
              </w:rPr>
            </w:pPr>
            <w:r>
              <w:rPr>
                <w:rFonts w:hint="eastAsia"/>
                <w:szCs w:val="20"/>
              </w:rPr>
              <w:t>申报主体身份</w:t>
            </w:r>
          </w:p>
        </w:tc>
        <w:tc>
          <w:tcPr>
            <w:tcW w:w="6648" w:type="dxa"/>
            <w:shd w:val="clear" w:color="auto" w:fill="auto"/>
            <w:noWrap/>
          </w:tcPr>
          <w:p w14:paraId="7ACED4C5" w14:textId="77777777" w:rsidR="00A052DC" w:rsidRDefault="009F0A60">
            <w:pPr>
              <w:pStyle w:val="B"/>
              <w:rPr>
                <w:szCs w:val="20"/>
              </w:rPr>
            </w:pPr>
            <w:r>
              <w:rPr>
                <w:rFonts w:hint="eastAsia"/>
                <w:szCs w:val="20"/>
              </w:rPr>
              <w:t>请按以下两种情况填列：</w:t>
            </w:r>
            <w:r>
              <w:rPr>
                <w:szCs w:val="20"/>
              </w:rPr>
              <w:t>1-</w:t>
            </w:r>
            <w:r>
              <w:rPr>
                <w:rFonts w:hint="eastAsia"/>
                <w:szCs w:val="20"/>
              </w:rPr>
              <w:t>以自身名义投资（无境内托管人、代理人或管理人）；</w:t>
            </w:r>
            <w:r>
              <w:rPr>
                <w:szCs w:val="20"/>
              </w:rPr>
              <w:t>2-</w:t>
            </w:r>
            <w:r>
              <w:rPr>
                <w:rFonts w:hint="eastAsia"/>
                <w:szCs w:val="20"/>
              </w:rPr>
              <w:t>是代理人或管理人，以客户或产品名义投资；3-是境内结算机构或交易所，从居民投资者角度填报。</w:t>
            </w:r>
          </w:p>
        </w:tc>
      </w:tr>
      <w:tr w:rsidR="00A052DC" w14:paraId="0EB156F3" w14:textId="77777777">
        <w:trPr>
          <w:cantSplit/>
          <w:jc w:val="center"/>
        </w:trPr>
        <w:tc>
          <w:tcPr>
            <w:tcW w:w="1744" w:type="dxa"/>
            <w:shd w:val="clear" w:color="auto" w:fill="auto"/>
          </w:tcPr>
          <w:p w14:paraId="15A1CC8A" w14:textId="77777777" w:rsidR="00A052DC" w:rsidRDefault="009F0A60">
            <w:pPr>
              <w:pStyle w:val="B"/>
              <w:rPr>
                <w:szCs w:val="20"/>
              </w:rPr>
            </w:pPr>
            <w:r>
              <w:rPr>
                <w:rFonts w:hint="eastAsia"/>
                <w:szCs w:val="20"/>
              </w:rPr>
              <w:t>被代理人</w:t>
            </w:r>
            <w:r>
              <w:rPr>
                <w:szCs w:val="20"/>
              </w:rPr>
              <w:t>/</w:t>
            </w:r>
            <w:r>
              <w:rPr>
                <w:rFonts w:hint="eastAsia"/>
                <w:szCs w:val="20"/>
              </w:rPr>
              <w:t>委托人所属国家</w:t>
            </w:r>
            <w:r>
              <w:rPr>
                <w:szCs w:val="20"/>
              </w:rPr>
              <w:t>/</w:t>
            </w:r>
            <w:r>
              <w:rPr>
                <w:rFonts w:hint="eastAsia"/>
                <w:szCs w:val="20"/>
              </w:rPr>
              <w:t>地区</w:t>
            </w:r>
          </w:p>
        </w:tc>
        <w:tc>
          <w:tcPr>
            <w:tcW w:w="6648" w:type="dxa"/>
            <w:shd w:val="clear" w:color="auto" w:fill="auto"/>
            <w:noWrap/>
          </w:tcPr>
          <w:p w14:paraId="7B308027" w14:textId="77777777" w:rsidR="00A052DC" w:rsidRDefault="009F0A60">
            <w:pPr>
              <w:pStyle w:val="B"/>
              <w:rPr>
                <w:szCs w:val="20"/>
              </w:rPr>
            </w:pPr>
            <w:r>
              <w:rPr>
                <w:rFonts w:hint="eastAsia"/>
                <w:szCs w:val="20"/>
              </w:rPr>
              <w:t>见国家和地区代码表，被代理人或委托人必须为中国居民，本项应填“中国”（</w:t>
            </w:r>
            <w:r>
              <w:rPr>
                <w:szCs w:val="20"/>
              </w:rPr>
              <w:t>CHN</w:t>
            </w:r>
            <w:r>
              <w:rPr>
                <w:rFonts w:hint="eastAsia"/>
                <w:szCs w:val="20"/>
              </w:rPr>
              <w:t>）。</w:t>
            </w:r>
          </w:p>
        </w:tc>
      </w:tr>
      <w:tr w:rsidR="00A052DC" w14:paraId="3851399B" w14:textId="77777777">
        <w:trPr>
          <w:cantSplit/>
          <w:jc w:val="center"/>
        </w:trPr>
        <w:tc>
          <w:tcPr>
            <w:tcW w:w="1744" w:type="dxa"/>
            <w:shd w:val="clear" w:color="auto" w:fill="auto"/>
          </w:tcPr>
          <w:p w14:paraId="446168A4" w14:textId="77777777" w:rsidR="00A052DC" w:rsidRDefault="009F0A60">
            <w:pPr>
              <w:pStyle w:val="B"/>
              <w:rPr>
                <w:szCs w:val="20"/>
              </w:rPr>
            </w:pPr>
            <w:r>
              <w:rPr>
                <w:rFonts w:hint="eastAsia"/>
                <w:szCs w:val="20"/>
              </w:rPr>
              <w:t>被代理人</w:t>
            </w:r>
            <w:r>
              <w:rPr>
                <w:szCs w:val="20"/>
              </w:rPr>
              <w:t>/</w:t>
            </w:r>
            <w:r>
              <w:rPr>
                <w:rFonts w:hint="eastAsia"/>
                <w:szCs w:val="20"/>
              </w:rPr>
              <w:t>委托人所属部门</w:t>
            </w:r>
          </w:p>
        </w:tc>
        <w:tc>
          <w:tcPr>
            <w:tcW w:w="6648" w:type="dxa"/>
            <w:shd w:val="clear" w:color="auto" w:fill="auto"/>
            <w:noWrap/>
          </w:tcPr>
          <w:p w14:paraId="67F8368A" w14:textId="77777777" w:rsidR="00A052DC" w:rsidRDefault="009F0A60">
            <w:pPr>
              <w:pStyle w:val="B"/>
              <w:rPr>
                <w:szCs w:val="20"/>
              </w:rPr>
            </w:pPr>
            <w:r>
              <w:rPr>
                <w:rFonts w:hint="eastAsia"/>
                <w:szCs w:val="20"/>
              </w:rPr>
              <w:t>参见投资者（被投资者）部门代码表，指本机构所代理的客户所属部门，请按客户的主营业务归类。</w:t>
            </w:r>
          </w:p>
        </w:tc>
      </w:tr>
      <w:tr w:rsidR="00A052DC" w14:paraId="2DC29697" w14:textId="77777777">
        <w:trPr>
          <w:cantSplit/>
          <w:jc w:val="center"/>
        </w:trPr>
        <w:tc>
          <w:tcPr>
            <w:tcW w:w="1744" w:type="dxa"/>
            <w:shd w:val="clear" w:color="auto" w:fill="auto"/>
          </w:tcPr>
          <w:p w14:paraId="1F1BB13F" w14:textId="77777777" w:rsidR="00A052DC" w:rsidRDefault="009F0A60">
            <w:pPr>
              <w:pStyle w:val="B"/>
              <w:rPr>
                <w:szCs w:val="20"/>
              </w:rPr>
            </w:pPr>
            <w:r>
              <w:rPr>
                <w:rFonts w:hint="eastAsia"/>
                <w:szCs w:val="20"/>
              </w:rPr>
              <w:t>投资工具类型</w:t>
            </w:r>
          </w:p>
        </w:tc>
        <w:tc>
          <w:tcPr>
            <w:tcW w:w="6648" w:type="dxa"/>
            <w:shd w:val="clear" w:color="auto" w:fill="auto"/>
            <w:noWrap/>
          </w:tcPr>
          <w:p w14:paraId="046B91BC" w14:textId="77777777" w:rsidR="00A052DC" w:rsidRDefault="009F0A60">
            <w:pPr>
              <w:pStyle w:val="B"/>
              <w:rPr>
                <w:szCs w:val="20"/>
              </w:rPr>
            </w:pPr>
            <w:r>
              <w:rPr>
                <w:rFonts w:hint="eastAsia"/>
                <w:szCs w:val="20"/>
              </w:rPr>
              <w:t>投资工具类型，包括：</w:t>
            </w:r>
            <w:r>
              <w:rPr>
                <w:szCs w:val="20"/>
              </w:rPr>
              <w:t>1-</w:t>
            </w:r>
            <w:r>
              <w:rPr>
                <w:rFonts w:hint="eastAsia"/>
                <w:color w:val="000000"/>
                <w:szCs w:val="20"/>
              </w:rPr>
              <w:t>上市普通股</w:t>
            </w:r>
            <w:r>
              <w:rPr>
                <w:rFonts w:hint="eastAsia"/>
                <w:szCs w:val="20"/>
              </w:rPr>
              <w:t>；</w:t>
            </w:r>
            <w:r>
              <w:rPr>
                <w:szCs w:val="20"/>
              </w:rPr>
              <w:t>2-</w:t>
            </w:r>
            <w:r>
              <w:rPr>
                <w:rFonts w:hint="eastAsia"/>
                <w:szCs w:val="20"/>
              </w:rPr>
              <w:t>非</w:t>
            </w:r>
            <w:r>
              <w:rPr>
                <w:rFonts w:hint="eastAsia"/>
                <w:color w:val="000000"/>
                <w:szCs w:val="20"/>
              </w:rPr>
              <w:t>上市普通股</w:t>
            </w:r>
            <w:r>
              <w:rPr>
                <w:rFonts w:hint="eastAsia"/>
                <w:szCs w:val="20"/>
              </w:rPr>
              <w:t>（但可交易）；</w:t>
            </w:r>
            <w:r>
              <w:rPr>
                <w:szCs w:val="20"/>
              </w:rPr>
              <w:t>3-</w:t>
            </w:r>
            <w:r>
              <w:rPr>
                <w:rFonts w:hint="eastAsia"/>
                <w:szCs w:val="20"/>
              </w:rPr>
              <w:t>货币市场基金份额</w:t>
            </w:r>
            <w:r>
              <w:rPr>
                <w:szCs w:val="20"/>
              </w:rPr>
              <w:t>/</w:t>
            </w:r>
            <w:r>
              <w:rPr>
                <w:rFonts w:hint="eastAsia"/>
                <w:szCs w:val="20"/>
              </w:rPr>
              <w:t>单位；</w:t>
            </w:r>
            <w:r>
              <w:rPr>
                <w:szCs w:val="20"/>
              </w:rPr>
              <w:t>4-</w:t>
            </w:r>
            <w:r>
              <w:rPr>
                <w:rFonts w:hint="eastAsia"/>
                <w:szCs w:val="20"/>
              </w:rPr>
              <w:t>非货币市场基金份额</w:t>
            </w:r>
            <w:r>
              <w:rPr>
                <w:szCs w:val="20"/>
              </w:rPr>
              <w:t>/</w:t>
            </w:r>
            <w:r>
              <w:rPr>
                <w:rFonts w:hint="eastAsia"/>
                <w:szCs w:val="20"/>
              </w:rPr>
              <w:t>单位；5-参与性优先股。其中，参与性优先股属于股本证券，纳入本表统计；非参与性优先股为债务类工具，不应纳入本表统计，应纳入债务证券资产统计。可转债在转换前，统计为债务证券；转换后，统计为股本证券。</w:t>
            </w:r>
          </w:p>
        </w:tc>
      </w:tr>
      <w:tr w:rsidR="00A052DC" w14:paraId="3833B608" w14:textId="77777777">
        <w:trPr>
          <w:cantSplit/>
          <w:jc w:val="center"/>
        </w:trPr>
        <w:tc>
          <w:tcPr>
            <w:tcW w:w="1744" w:type="dxa"/>
            <w:shd w:val="clear" w:color="auto" w:fill="auto"/>
          </w:tcPr>
          <w:p w14:paraId="1D17E8AA" w14:textId="77777777" w:rsidR="00A052DC" w:rsidRDefault="009F0A60">
            <w:pPr>
              <w:pStyle w:val="B"/>
              <w:rPr>
                <w:szCs w:val="20"/>
              </w:rPr>
            </w:pPr>
            <w:r>
              <w:rPr>
                <w:rFonts w:hint="eastAsia"/>
                <w:szCs w:val="20"/>
              </w:rPr>
              <w:t>业务类型</w:t>
            </w:r>
          </w:p>
        </w:tc>
        <w:tc>
          <w:tcPr>
            <w:tcW w:w="6648" w:type="dxa"/>
            <w:shd w:val="clear" w:color="auto" w:fill="auto"/>
            <w:noWrap/>
          </w:tcPr>
          <w:p w14:paraId="39457203" w14:textId="77777777" w:rsidR="00A052DC" w:rsidRDefault="009F0A60">
            <w:pPr>
              <w:pStyle w:val="B"/>
              <w:rPr>
                <w:szCs w:val="20"/>
              </w:rPr>
            </w:pPr>
            <w:r>
              <w:rPr>
                <w:rFonts w:hint="eastAsia"/>
                <w:szCs w:val="20"/>
              </w:rPr>
              <w:t>业务类型，包括：1-基金互认；2-沪港通；3-深港通；4-境内居民参与境外企业股权激励计划；9-其他。</w:t>
            </w:r>
          </w:p>
        </w:tc>
      </w:tr>
      <w:tr w:rsidR="00A052DC" w14:paraId="1CAFFBD1" w14:textId="77777777">
        <w:trPr>
          <w:cantSplit/>
          <w:jc w:val="center"/>
        </w:trPr>
        <w:tc>
          <w:tcPr>
            <w:tcW w:w="1744" w:type="dxa"/>
            <w:shd w:val="clear" w:color="auto" w:fill="auto"/>
          </w:tcPr>
          <w:p w14:paraId="32DB1BB0" w14:textId="77777777" w:rsidR="00A052DC" w:rsidRDefault="009F0A60">
            <w:pPr>
              <w:pStyle w:val="B"/>
              <w:rPr>
                <w:szCs w:val="20"/>
              </w:rPr>
            </w:pPr>
            <w:r>
              <w:rPr>
                <w:rFonts w:hint="eastAsia"/>
                <w:szCs w:val="20"/>
              </w:rPr>
              <w:t>发行地</w:t>
            </w:r>
          </w:p>
        </w:tc>
        <w:tc>
          <w:tcPr>
            <w:tcW w:w="6648" w:type="dxa"/>
            <w:shd w:val="clear" w:color="auto" w:fill="auto"/>
            <w:noWrap/>
          </w:tcPr>
          <w:p w14:paraId="1AC1ED0E" w14:textId="77777777" w:rsidR="00A052DC" w:rsidRDefault="009F0A60">
            <w:pPr>
              <w:pStyle w:val="B"/>
              <w:rPr>
                <w:szCs w:val="20"/>
              </w:rPr>
            </w:pPr>
            <w:r>
              <w:rPr>
                <w:rFonts w:hint="eastAsia"/>
                <w:szCs w:val="20"/>
              </w:rPr>
              <w:t>见国家和地区代码表，填写相关上市股份、非上市股权和投资基金份额</w:t>
            </w:r>
            <w:r>
              <w:rPr>
                <w:szCs w:val="20"/>
              </w:rPr>
              <w:t>/</w:t>
            </w:r>
            <w:r>
              <w:rPr>
                <w:rFonts w:hint="eastAsia"/>
                <w:szCs w:val="20"/>
              </w:rPr>
              <w:t>单位发行场所所在的国家</w:t>
            </w:r>
            <w:r>
              <w:rPr>
                <w:szCs w:val="20"/>
              </w:rPr>
              <w:t>/</w:t>
            </w:r>
            <w:r>
              <w:rPr>
                <w:rFonts w:hint="eastAsia"/>
                <w:szCs w:val="20"/>
              </w:rPr>
              <w:t>地区代码。对于非上市股份或基金份额，应填写发行人注册所在的国家</w:t>
            </w:r>
            <w:r>
              <w:rPr>
                <w:szCs w:val="20"/>
              </w:rPr>
              <w:t>/</w:t>
            </w:r>
            <w:r>
              <w:rPr>
                <w:rFonts w:hint="eastAsia"/>
                <w:szCs w:val="20"/>
              </w:rPr>
              <w:t>地区。</w:t>
            </w:r>
          </w:p>
        </w:tc>
      </w:tr>
      <w:tr w:rsidR="00A052DC" w14:paraId="1A2E43A3" w14:textId="77777777">
        <w:trPr>
          <w:cantSplit/>
          <w:jc w:val="center"/>
        </w:trPr>
        <w:tc>
          <w:tcPr>
            <w:tcW w:w="1744" w:type="dxa"/>
            <w:shd w:val="clear" w:color="auto" w:fill="auto"/>
          </w:tcPr>
          <w:p w14:paraId="265C5094" w14:textId="77777777" w:rsidR="00A052DC" w:rsidRDefault="009F0A60">
            <w:pPr>
              <w:pStyle w:val="B"/>
              <w:rPr>
                <w:szCs w:val="20"/>
              </w:rPr>
            </w:pPr>
            <w:r>
              <w:rPr>
                <w:rFonts w:hint="eastAsia"/>
                <w:szCs w:val="20"/>
              </w:rPr>
              <w:t>证券代码（逐支报送使用）</w:t>
            </w:r>
          </w:p>
        </w:tc>
        <w:tc>
          <w:tcPr>
            <w:tcW w:w="6648" w:type="dxa"/>
            <w:shd w:val="clear" w:color="auto" w:fill="auto"/>
            <w:noWrap/>
          </w:tcPr>
          <w:p w14:paraId="3E8BF477" w14:textId="77777777" w:rsidR="00A052DC" w:rsidRDefault="009F0A60">
            <w:pPr>
              <w:pStyle w:val="B"/>
              <w:rPr>
                <w:szCs w:val="20"/>
              </w:rPr>
            </w:pPr>
            <w:r>
              <w:rPr>
                <w:rFonts w:hint="eastAsia"/>
                <w:szCs w:val="20"/>
              </w:rPr>
              <w:t>对于选择报送逐支证券信息的，请填写此项。指相关股份或基金份额</w:t>
            </w:r>
            <w:r>
              <w:rPr>
                <w:szCs w:val="20"/>
              </w:rPr>
              <w:t>/</w:t>
            </w:r>
            <w:r>
              <w:rPr>
                <w:rFonts w:hint="eastAsia"/>
                <w:szCs w:val="20"/>
              </w:rPr>
              <w:t>单位的代码。其中，境外上市的股份或投资基金份额</w:t>
            </w:r>
            <w:r>
              <w:rPr>
                <w:szCs w:val="20"/>
              </w:rPr>
              <w:t>/</w:t>
            </w:r>
            <w:r>
              <w:rPr>
                <w:rFonts w:hint="eastAsia"/>
                <w:szCs w:val="20"/>
              </w:rPr>
              <w:t>单位，应优先填写国际证券代码（</w:t>
            </w:r>
            <w:r>
              <w:rPr>
                <w:szCs w:val="20"/>
              </w:rPr>
              <w:t>International Securities Identification Number,</w:t>
            </w:r>
            <w:r>
              <w:rPr>
                <w:rFonts w:hint="eastAsia"/>
                <w:szCs w:val="20"/>
              </w:rPr>
              <w:t>简称</w:t>
            </w:r>
            <w:r>
              <w:rPr>
                <w:szCs w:val="20"/>
              </w:rPr>
              <w:t>ISIN</w:t>
            </w:r>
            <w:r>
              <w:rPr>
                <w:rFonts w:hint="eastAsia"/>
                <w:szCs w:val="20"/>
              </w:rPr>
              <w:t>码）。如无</w:t>
            </w:r>
            <w:r>
              <w:rPr>
                <w:szCs w:val="20"/>
              </w:rPr>
              <w:t>ISIN</w:t>
            </w:r>
            <w:r>
              <w:rPr>
                <w:rFonts w:hint="eastAsia"/>
                <w:szCs w:val="20"/>
              </w:rPr>
              <w:t>码，按照相关市场唯一通用的编码填列。对于协议购买境外非上市股份或基金份额</w:t>
            </w:r>
            <w:r>
              <w:rPr>
                <w:szCs w:val="20"/>
              </w:rPr>
              <w:t>/</w:t>
            </w:r>
            <w:r>
              <w:rPr>
                <w:rFonts w:hint="eastAsia"/>
                <w:szCs w:val="20"/>
              </w:rPr>
              <w:t>单位的，应填列内部使用的唯一代码。</w:t>
            </w:r>
          </w:p>
        </w:tc>
      </w:tr>
      <w:tr w:rsidR="00A052DC" w14:paraId="32686142" w14:textId="77777777">
        <w:trPr>
          <w:cantSplit/>
          <w:jc w:val="center"/>
        </w:trPr>
        <w:tc>
          <w:tcPr>
            <w:tcW w:w="1744" w:type="dxa"/>
            <w:shd w:val="clear" w:color="auto" w:fill="auto"/>
          </w:tcPr>
          <w:p w14:paraId="7BE585D9" w14:textId="77777777" w:rsidR="00A052DC" w:rsidRDefault="009F0A60">
            <w:pPr>
              <w:pStyle w:val="B"/>
              <w:rPr>
                <w:szCs w:val="20"/>
              </w:rPr>
            </w:pPr>
            <w:r>
              <w:rPr>
                <w:rFonts w:hint="eastAsia"/>
                <w:szCs w:val="20"/>
              </w:rPr>
              <w:t>证券发行主体名称（逐支报送使用）</w:t>
            </w:r>
          </w:p>
        </w:tc>
        <w:tc>
          <w:tcPr>
            <w:tcW w:w="6648" w:type="dxa"/>
            <w:shd w:val="clear" w:color="auto" w:fill="auto"/>
            <w:noWrap/>
          </w:tcPr>
          <w:p w14:paraId="2F4CDA88" w14:textId="77777777" w:rsidR="00A052DC" w:rsidRDefault="009F0A60">
            <w:pPr>
              <w:pStyle w:val="B"/>
              <w:rPr>
                <w:szCs w:val="20"/>
              </w:rPr>
            </w:pPr>
            <w:r>
              <w:rPr>
                <w:rFonts w:hint="eastAsia"/>
                <w:szCs w:val="20"/>
              </w:rPr>
              <w:t>对于选择报送逐支证券信息的，请填写此项。指发行相关股本证券或投资基金份额</w:t>
            </w:r>
            <w:r>
              <w:rPr>
                <w:szCs w:val="20"/>
              </w:rPr>
              <w:t>/</w:t>
            </w:r>
            <w:r>
              <w:rPr>
                <w:rFonts w:hint="eastAsia"/>
                <w:szCs w:val="20"/>
              </w:rPr>
              <w:t>单位的非居民或居民机构的中文名称及当地注册的英文名称。如为其他语言名称，可不填写外文名称，但必须填写中文名称。</w:t>
            </w:r>
          </w:p>
        </w:tc>
      </w:tr>
      <w:tr w:rsidR="00A052DC" w14:paraId="56CB7563" w14:textId="77777777">
        <w:trPr>
          <w:cantSplit/>
          <w:jc w:val="center"/>
        </w:trPr>
        <w:tc>
          <w:tcPr>
            <w:tcW w:w="1744" w:type="dxa"/>
            <w:shd w:val="clear" w:color="auto" w:fill="auto"/>
          </w:tcPr>
          <w:p w14:paraId="6967F040" w14:textId="77777777" w:rsidR="00A052DC" w:rsidRDefault="009F0A60">
            <w:pPr>
              <w:pStyle w:val="B"/>
              <w:rPr>
                <w:szCs w:val="20"/>
              </w:rPr>
            </w:pPr>
            <w:r>
              <w:rPr>
                <w:rFonts w:hint="eastAsia"/>
                <w:szCs w:val="20"/>
              </w:rPr>
              <w:t>发行主体所属国家</w:t>
            </w:r>
            <w:r>
              <w:rPr>
                <w:szCs w:val="20"/>
              </w:rPr>
              <w:t>/</w:t>
            </w:r>
            <w:r>
              <w:rPr>
                <w:rFonts w:hint="eastAsia"/>
                <w:szCs w:val="20"/>
              </w:rPr>
              <w:t>地区</w:t>
            </w:r>
          </w:p>
        </w:tc>
        <w:tc>
          <w:tcPr>
            <w:tcW w:w="6648" w:type="dxa"/>
            <w:shd w:val="clear" w:color="auto" w:fill="auto"/>
            <w:noWrap/>
          </w:tcPr>
          <w:p w14:paraId="5378A7D5" w14:textId="77777777" w:rsidR="00A052DC" w:rsidRDefault="009F0A60">
            <w:pPr>
              <w:pStyle w:val="B"/>
              <w:rPr>
                <w:szCs w:val="20"/>
              </w:rPr>
            </w:pPr>
            <w:r>
              <w:rPr>
                <w:rFonts w:hint="eastAsia"/>
                <w:szCs w:val="20"/>
              </w:rPr>
              <w:t>见国家和地区代码表，填写相关非居民</w:t>
            </w:r>
            <w:r>
              <w:rPr>
                <w:szCs w:val="20"/>
              </w:rPr>
              <w:t>/</w:t>
            </w:r>
            <w:r>
              <w:rPr>
                <w:rFonts w:hint="eastAsia"/>
                <w:szCs w:val="20"/>
              </w:rPr>
              <w:t>境外上市居民发行主体的注册所在的国家</w:t>
            </w:r>
            <w:r>
              <w:rPr>
                <w:szCs w:val="20"/>
              </w:rPr>
              <w:t>/</w:t>
            </w:r>
            <w:r>
              <w:rPr>
                <w:rFonts w:hint="eastAsia"/>
                <w:szCs w:val="20"/>
              </w:rPr>
              <w:t>地区代码。比如，持有的是中国银行在香港发行的H股，其发行主体所属国家/地区应为中国。对于无法判定其注册地的，应填写其经营所在地国家</w:t>
            </w:r>
            <w:r>
              <w:rPr>
                <w:szCs w:val="20"/>
              </w:rPr>
              <w:t>/</w:t>
            </w:r>
            <w:r>
              <w:rPr>
                <w:rFonts w:hint="eastAsia"/>
                <w:szCs w:val="20"/>
              </w:rPr>
              <w:t>地区代码。对于注册地或经营地均无法判定的，应填写相关工具发行场所所在地的国家</w:t>
            </w:r>
            <w:r>
              <w:rPr>
                <w:szCs w:val="20"/>
              </w:rPr>
              <w:t>/</w:t>
            </w:r>
            <w:r>
              <w:rPr>
                <w:rFonts w:hint="eastAsia"/>
                <w:szCs w:val="20"/>
              </w:rPr>
              <w:t>地区代码。</w:t>
            </w:r>
          </w:p>
        </w:tc>
      </w:tr>
      <w:tr w:rsidR="00A052DC" w14:paraId="798BCAAE" w14:textId="77777777">
        <w:trPr>
          <w:cantSplit/>
          <w:jc w:val="center"/>
        </w:trPr>
        <w:tc>
          <w:tcPr>
            <w:tcW w:w="1744" w:type="dxa"/>
            <w:shd w:val="clear" w:color="auto" w:fill="auto"/>
          </w:tcPr>
          <w:p w14:paraId="56633D17" w14:textId="77777777" w:rsidR="00A052DC" w:rsidRDefault="009F0A60">
            <w:pPr>
              <w:pStyle w:val="B"/>
              <w:rPr>
                <w:szCs w:val="20"/>
              </w:rPr>
            </w:pPr>
            <w:r>
              <w:rPr>
                <w:rFonts w:hint="eastAsia"/>
                <w:szCs w:val="20"/>
              </w:rPr>
              <w:t>发行主体所属部门</w:t>
            </w:r>
          </w:p>
        </w:tc>
        <w:tc>
          <w:tcPr>
            <w:tcW w:w="6648" w:type="dxa"/>
            <w:shd w:val="clear" w:color="auto" w:fill="auto"/>
            <w:noWrap/>
          </w:tcPr>
          <w:p w14:paraId="382B8B4D" w14:textId="77777777" w:rsidR="00A052DC" w:rsidRDefault="009F0A60">
            <w:pPr>
              <w:pStyle w:val="B"/>
              <w:rPr>
                <w:szCs w:val="20"/>
              </w:rPr>
            </w:pPr>
            <w:r>
              <w:rPr>
                <w:rFonts w:hint="eastAsia"/>
                <w:szCs w:val="20"/>
              </w:rPr>
              <w:t>见投资者（被投资者）部门代码表。请按发行主体的主营业务归类。</w:t>
            </w:r>
          </w:p>
        </w:tc>
      </w:tr>
      <w:tr w:rsidR="00A052DC" w14:paraId="0A8E4861" w14:textId="77777777">
        <w:trPr>
          <w:cantSplit/>
          <w:jc w:val="center"/>
        </w:trPr>
        <w:tc>
          <w:tcPr>
            <w:tcW w:w="1744" w:type="dxa"/>
            <w:shd w:val="clear" w:color="auto" w:fill="auto"/>
          </w:tcPr>
          <w:p w14:paraId="02EB80E2" w14:textId="77777777" w:rsidR="00A052DC" w:rsidRDefault="009F0A60">
            <w:pPr>
              <w:pStyle w:val="B"/>
              <w:rPr>
                <w:szCs w:val="20"/>
              </w:rPr>
            </w:pPr>
            <w:r>
              <w:rPr>
                <w:rFonts w:hint="eastAsia"/>
                <w:szCs w:val="20"/>
              </w:rPr>
              <w:t>发行主体与本机构/被代理人/委托人的关系</w:t>
            </w:r>
          </w:p>
        </w:tc>
        <w:tc>
          <w:tcPr>
            <w:tcW w:w="6648" w:type="dxa"/>
            <w:shd w:val="clear" w:color="auto" w:fill="auto"/>
            <w:noWrap/>
          </w:tcPr>
          <w:p w14:paraId="1FBC0165" w14:textId="77777777" w:rsidR="00A052DC" w:rsidRDefault="009F0A60">
            <w:pPr>
              <w:pStyle w:val="B"/>
              <w:rPr>
                <w:szCs w:val="20"/>
              </w:rPr>
            </w:pPr>
            <w:r>
              <w:rPr>
                <w:rFonts w:hint="eastAsia"/>
                <w:szCs w:val="20"/>
              </w:rPr>
              <w:t>参见对方与本机构</w:t>
            </w:r>
            <w:r>
              <w:rPr>
                <w:szCs w:val="20"/>
              </w:rPr>
              <w:t>/</w:t>
            </w:r>
            <w:r>
              <w:rPr>
                <w:rFonts w:hint="eastAsia"/>
                <w:szCs w:val="20"/>
              </w:rPr>
              <w:t>被代理居民机构</w:t>
            </w:r>
            <w:r>
              <w:rPr>
                <w:szCs w:val="20"/>
              </w:rPr>
              <w:t>/</w:t>
            </w:r>
            <w:r>
              <w:rPr>
                <w:rFonts w:hint="eastAsia"/>
                <w:szCs w:val="20"/>
              </w:rPr>
              <w:t>委托人的关系代码表。本表中，如果出现</w:t>
            </w:r>
            <w:r>
              <w:rPr>
                <w:szCs w:val="20"/>
              </w:rPr>
              <w:t>2</w:t>
            </w:r>
            <w:r>
              <w:rPr>
                <w:rFonts w:hint="eastAsia"/>
                <w:szCs w:val="20"/>
              </w:rPr>
              <w:t>，相关数据不应填入本表，请填入</w:t>
            </w:r>
            <w:r>
              <w:rPr>
                <w:szCs w:val="20"/>
              </w:rPr>
              <w:t>A01-1</w:t>
            </w:r>
            <w:r>
              <w:rPr>
                <w:rFonts w:hint="eastAsia"/>
                <w:szCs w:val="20"/>
              </w:rPr>
              <w:t>表或</w:t>
            </w:r>
            <w:r>
              <w:rPr>
                <w:szCs w:val="20"/>
              </w:rPr>
              <w:t>A01-2</w:t>
            </w:r>
            <w:r>
              <w:rPr>
                <w:rFonts w:hint="eastAsia"/>
                <w:szCs w:val="20"/>
              </w:rPr>
              <w:t>表（对外直接投资）。</w:t>
            </w:r>
          </w:p>
        </w:tc>
      </w:tr>
      <w:tr w:rsidR="00A052DC" w14:paraId="372C7942" w14:textId="77777777">
        <w:trPr>
          <w:cantSplit/>
          <w:jc w:val="center"/>
        </w:trPr>
        <w:tc>
          <w:tcPr>
            <w:tcW w:w="1744" w:type="dxa"/>
            <w:shd w:val="clear" w:color="auto" w:fill="auto"/>
          </w:tcPr>
          <w:p w14:paraId="0F7B5CB3" w14:textId="77777777" w:rsidR="00A052DC" w:rsidRDefault="009F0A60">
            <w:pPr>
              <w:pStyle w:val="B"/>
              <w:rPr>
                <w:szCs w:val="20"/>
              </w:rPr>
            </w:pPr>
            <w:r>
              <w:rPr>
                <w:rFonts w:hint="eastAsia"/>
                <w:szCs w:val="20"/>
              </w:rPr>
              <w:t>原始币种</w:t>
            </w:r>
          </w:p>
        </w:tc>
        <w:tc>
          <w:tcPr>
            <w:tcW w:w="6648" w:type="dxa"/>
            <w:shd w:val="clear" w:color="auto" w:fill="auto"/>
            <w:noWrap/>
          </w:tcPr>
          <w:p w14:paraId="0A9FFFFE" w14:textId="77777777" w:rsidR="00A052DC" w:rsidRDefault="009F0A60">
            <w:pPr>
              <w:pStyle w:val="B"/>
              <w:rPr>
                <w:szCs w:val="20"/>
              </w:rPr>
            </w:pPr>
            <w:r>
              <w:rPr>
                <w:rFonts w:hint="eastAsia"/>
                <w:szCs w:val="20"/>
              </w:rPr>
              <w:t>参见币种代码表，指相关股本证券或投资基金份额</w:t>
            </w:r>
            <w:r>
              <w:rPr>
                <w:szCs w:val="20"/>
              </w:rPr>
              <w:t>/</w:t>
            </w:r>
            <w:r>
              <w:rPr>
                <w:rFonts w:hint="eastAsia"/>
                <w:szCs w:val="20"/>
              </w:rPr>
              <w:t>单位的计价币种。</w:t>
            </w:r>
          </w:p>
        </w:tc>
      </w:tr>
      <w:tr w:rsidR="00A052DC" w14:paraId="79329F6E" w14:textId="77777777">
        <w:trPr>
          <w:cantSplit/>
          <w:jc w:val="center"/>
        </w:trPr>
        <w:tc>
          <w:tcPr>
            <w:tcW w:w="1744" w:type="dxa"/>
            <w:shd w:val="clear" w:color="auto" w:fill="auto"/>
          </w:tcPr>
          <w:p w14:paraId="4034A57B" w14:textId="77777777" w:rsidR="00A052DC" w:rsidRDefault="009F0A60">
            <w:pPr>
              <w:pStyle w:val="B"/>
              <w:rPr>
                <w:szCs w:val="20"/>
              </w:rPr>
            </w:pPr>
            <w:r>
              <w:rPr>
                <w:rFonts w:hint="eastAsia"/>
                <w:szCs w:val="20"/>
              </w:rPr>
              <w:t>上月末市值</w:t>
            </w:r>
          </w:p>
        </w:tc>
        <w:tc>
          <w:tcPr>
            <w:tcW w:w="6648" w:type="dxa"/>
            <w:shd w:val="clear" w:color="auto" w:fill="auto"/>
            <w:noWrap/>
          </w:tcPr>
          <w:p w14:paraId="3EBD249E" w14:textId="77777777" w:rsidR="00A052DC" w:rsidRDefault="009F0A60">
            <w:pPr>
              <w:pStyle w:val="B"/>
              <w:rPr>
                <w:szCs w:val="20"/>
              </w:rPr>
            </w:pPr>
            <w:r>
              <w:rPr>
                <w:rFonts w:hint="eastAsia"/>
                <w:szCs w:val="20"/>
              </w:rPr>
              <w:t>指上月末所持股本证券或投资基金份额</w:t>
            </w:r>
            <w:r>
              <w:rPr>
                <w:szCs w:val="20"/>
              </w:rPr>
              <w:t>/</w:t>
            </w:r>
            <w:r>
              <w:rPr>
                <w:rFonts w:hint="eastAsia"/>
                <w:szCs w:val="20"/>
              </w:rPr>
              <w:t>单位的公允价值。应优先使用按上月末公开市场收盘价计算的市场价值。如无市场价值，则按照记账惯例填报公允价值。</w:t>
            </w:r>
          </w:p>
        </w:tc>
      </w:tr>
      <w:tr w:rsidR="00A052DC" w14:paraId="457036E3" w14:textId="77777777">
        <w:trPr>
          <w:cantSplit/>
          <w:jc w:val="center"/>
        </w:trPr>
        <w:tc>
          <w:tcPr>
            <w:tcW w:w="1744" w:type="dxa"/>
            <w:shd w:val="clear" w:color="auto" w:fill="auto"/>
          </w:tcPr>
          <w:p w14:paraId="261B3D97" w14:textId="77777777" w:rsidR="00A052DC" w:rsidRDefault="009F0A60">
            <w:pPr>
              <w:pStyle w:val="B"/>
              <w:rPr>
                <w:szCs w:val="20"/>
              </w:rPr>
            </w:pPr>
            <w:r>
              <w:rPr>
                <w:rFonts w:hint="eastAsia"/>
                <w:szCs w:val="20"/>
              </w:rPr>
              <w:t>本月买入金额</w:t>
            </w:r>
          </w:p>
        </w:tc>
        <w:tc>
          <w:tcPr>
            <w:tcW w:w="6648" w:type="dxa"/>
            <w:shd w:val="clear" w:color="auto" w:fill="auto"/>
            <w:noWrap/>
          </w:tcPr>
          <w:p w14:paraId="7E16A2CB" w14:textId="77777777" w:rsidR="00A052DC" w:rsidRDefault="009F0A60">
            <w:pPr>
              <w:pStyle w:val="B"/>
              <w:rPr>
                <w:szCs w:val="20"/>
              </w:rPr>
            </w:pPr>
            <w:r>
              <w:rPr>
                <w:rFonts w:hint="eastAsia"/>
                <w:szCs w:val="20"/>
              </w:rPr>
              <w:t>指本月内，对应投资者买入或申购相关股本证券或投资基金份额</w:t>
            </w:r>
            <w:r>
              <w:rPr>
                <w:szCs w:val="20"/>
              </w:rPr>
              <w:t>/</w:t>
            </w:r>
            <w:r>
              <w:rPr>
                <w:rFonts w:hint="eastAsia"/>
                <w:szCs w:val="20"/>
              </w:rPr>
              <w:t>单位所支付的金额，以正值填列。如出现可转债转换为股本证券的，视为本月卖出相关债券，买入股本证券。</w:t>
            </w:r>
          </w:p>
        </w:tc>
      </w:tr>
      <w:tr w:rsidR="00A052DC" w14:paraId="38EF4C86" w14:textId="77777777">
        <w:trPr>
          <w:cantSplit/>
          <w:jc w:val="center"/>
        </w:trPr>
        <w:tc>
          <w:tcPr>
            <w:tcW w:w="1744" w:type="dxa"/>
            <w:shd w:val="clear" w:color="auto" w:fill="auto"/>
          </w:tcPr>
          <w:p w14:paraId="7CF68717" w14:textId="77777777" w:rsidR="00A052DC" w:rsidRDefault="009F0A60">
            <w:pPr>
              <w:pStyle w:val="B"/>
              <w:rPr>
                <w:szCs w:val="20"/>
              </w:rPr>
            </w:pPr>
            <w:r>
              <w:rPr>
                <w:rFonts w:hint="eastAsia"/>
                <w:szCs w:val="20"/>
              </w:rPr>
              <w:t>本月卖出金额</w:t>
            </w:r>
          </w:p>
        </w:tc>
        <w:tc>
          <w:tcPr>
            <w:tcW w:w="6648" w:type="dxa"/>
            <w:shd w:val="clear" w:color="auto" w:fill="auto"/>
            <w:noWrap/>
          </w:tcPr>
          <w:p w14:paraId="18A97B63" w14:textId="77777777" w:rsidR="00A052DC" w:rsidRDefault="009F0A60">
            <w:pPr>
              <w:pStyle w:val="B"/>
              <w:rPr>
                <w:szCs w:val="20"/>
              </w:rPr>
            </w:pPr>
            <w:r>
              <w:rPr>
                <w:rFonts w:hint="eastAsia"/>
                <w:szCs w:val="20"/>
              </w:rPr>
              <w:t>指本月内，对应投资者卖出或赎回相关股本证券或投资基金份额</w:t>
            </w:r>
            <w:r>
              <w:rPr>
                <w:szCs w:val="20"/>
              </w:rPr>
              <w:t>/</w:t>
            </w:r>
            <w:r>
              <w:rPr>
                <w:rFonts w:hint="eastAsia"/>
                <w:szCs w:val="20"/>
              </w:rPr>
              <w:t>单位所获得的金额，以正值填列。</w:t>
            </w:r>
          </w:p>
        </w:tc>
      </w:tr>
      <w:tr w:rsidR="00A052DC" w14:paraId="1BF89427" w14:textId="77777777">
        <w:trPr>
          <w:cantSplit/>
          <w:jc w:val="center"/>
        </w:trPr>
        <w:tc>
          <w:tcPr>
            <w:tcW w:w="1744" w:type="dxa"/>
            <w:shd w:val="clear" w:color="auto" w:fill="auto"/>
          </w:tcPr>
          <w:p w14:paraId="4F577610" w14:textId="77777777" w:rsidR="00A052DC" w:rsidRDefault="009F0A60">
            <w:pPr>
              <w:pStyle w:val="B"/>
              <w:rPr>
                <w:szCs w:val="20"/>
              </w:rPr>
            </w:pPr>
            <w:r>
              <w:rPr>
                <w:rFonts w:hint="eastAsia"/>
                <w:szCs w:val="20"/>
              </w:rPr>
              <w:t>本月非交易变动</w:t>
            </w:r>
          </w:p>
        </w:tc>
        <w:tc>
          <w:tcPr>
            <w:tcW w:w="6648" w:type="dxa"/>
            <w:shd w:val="clear" w:color="auto" w:fill="auto"/>
            <w:noWrap/>
          </w:tcPr>
          <w:p w14:paraId="6959254B" w14:textId="77777777" w:rsidR="00A052DC" w:rsidRDefault="009F0A60">
            <w:pPr>
              <w:pStyle w:val="B"/>
              <w:rPr>
                <w:szCs w:val="20"/>
              </w:rPr>
            </w:pPr>
            <w:r>
              <w:rPr>
                <w:rFonts w:hint="eastAsia"/>
                <w:szCs w:val="20"/>
              </w:rPr>
              <w:t>反映本月内证券交易买卖因素以外的非交易因素引起的证券价值变动。计算方法为：本月非交易变动</w:t>
            </w:r>
            <w:r>
              <w:rPr>
                <w:szCs w:val="20"/>
              </w:rPr>
              <w:t>=</w:t>
            </w:r>
            <w:r>
              <w:rPr>
                <w:rFonts w:hint="eastAsia"/>
                <w:szCs w:val="20"/>
              </w:rPr>
              <w:t>本月末市值</w:t>
            </w:r>
            <w:r>
              <w:rPr>
                <w:szCs w:val="20"/>
              </w:rPr>
              <w:t>-</w:t>
            </w:r>
            <w:r>
              <w:rPr>
                <w:rFonts w:hint="eastAsia"/>
                <w:szCs w:val="20"/>
              </w:rPr>
              <w:t>上月末市值</w:t>
            </w:r>
            <w:r>
              <w:rPr>
                <w:szCs w:val="20"/>
              </w:rPr>
              <w:t>-</w:t>
            </w:r>
            <w:r>
              <w:rPr>
                <w:rFonts w:hint="eastAsia"/>
                <w:szCs w:val="20"/>
              </w:rPr>
              <w:t>（本月买入金额</w:t>
            </w:r>
            <w:r>
              <w:rPr>
                <w:szCs w:val="20"/>
              </w:rPr>
              <w:t>-</w:t>
            </w:r>
            <w:r>
              <w:rPr>
                <w:rFonts w:hint="eastAsia"/>
                <w:szCs w:val="20"/>
              </w:rPr>
              <w:t>本月卖出金额）。</w:t>
            </w:r>
          </w:p>
        </w:tc>
      </w:tr>
      <w:tr w:rsidR="00A052DC" w14:paraId="517984AD" w14:textId="77777777">
        <w:trPr>
          <w:cantSplit/>
          <w:jc w:val="center"/>
        </w:trPr>
        <w:tc>
          <w:tcPr>
            <w:tcW w:w="1744" w:type="dxa"/>
          </w:tcPr>
          <w:p w14:paraId="2A5850D8" w14:textId="77777777" w:rsidR="00A052DC" w:rsidRDefault="009F0A60">
            <w:pPr>
              <w:pStyle w:val="B"/>
              <w:rPr>
                <w:szCs w:val="20"/>
              </w:rPr>
            </w:pPr>
            <w:r>
              <w:rPr>
                <w:rFonts w:hint="eastAsia"/>
              </w:rPr>
              <w:t>注销、调整或重新分类至其他报表统计的金额</w:t>
            </w:r>
          </w:p>
        </w:tc>
        <w:tc>
          <w:tcPr>
            <w:tcW w:w="6648" w:type="dxa"/>
            <w:shd w:val="clear" w:color="auto" w:fill="auto"/>
            <w:noWrap/>
          </w:tcPr>
          <w:p w14:paraId="19223C8C" w14:textId="77777777" w:rsidR="00A052DC" w:rsidRDefault="009F0A60">
            <w:pPr>
              <w:pStyle w:val="B"/>
              <w:rPr>
                <w:szCs w:val="20"/>
              </w:rPr>
            </w:pPr>
            <w:r>
              <w:rPr>
                <w:rFonts w:hint="eastAsia"/>
                <w:szCs w:val="20"/>
              </w:rPr>
              <w:t>指非买卖因素引起的本月末证券资产数量增减和价值变动。包括但不限于本月注销相关资产，或将相关资产从可流通的证券调整为不可流通的证券，或因本机构期末持有被投资机构表决权比例达到或超过</w:t>
            </w:r>
            <w:r>
              <w:rPr>
                <w:szCs w:val="20"/>
              </w:rPr>
              <w:t>10%</w:t>
            </w:r>
            <w:r>
              <w:rPr>
                <w:rFonts w:hint="eastAsia"/>
                <w:szCs w:val="20"/>
              </w:rPr>
              <w:t>而被重新分类至</w:t>
            </w:r>
            <w:r>
              <w:rPr>
                <w:szCs w:val="20"/>
              </w:rPr>
              <w:t>A01</w:t>
            </w:r>
            <w:r>
              <w:rPr>
                <w:rFonts w:hint="eastAsia"/>
                <w:szCs w:val="20"/>
              </w:rPr>
              <w:t>表（对外直接投资）统计的金额。</w:t>
            </w:r>
          </w:p>
        </w:tc>
      </w:tr>
      <w:tr w:rsidR="00A052DC" w14:paraId="79250B42" w14:textId="77777777">
        <w:trPr>
          <w:cantSplit/>
          <w:jc w:val="center"/>
        </w:trPr>
        <w:tc>
          <w:tcPr>
            <w:tcW w:w="1744" w:type="dxa"/>
          </w:tcPr>
          <w:p w14:paraId="3DE3B511" w14:textId="77777777" w:rsidR="00A052DC" w:rsidRDefault="009F0A60">
            <w:pPr>
              <w:pStyle w:val="B"/>
              <w:rPr>
                <w:szCs w:val="20"/>
              </w:rPr>
            </w:pPr>
            <w:r>
              <w:rPr>
                <w:rFonts w:hint="eastAsia"/>
              </w:rPr>
              <w:t>价值重估因素</w:t>
            </w:r>
          </w:p>
        </w:tc>
        <w:tc>
          <w:tcPr>
            <w:tcW w:w="6648" w:type="dxa"/>
            <w:shd w:val="clear" w:color="auto" w:fill="auto"/>
            <w:noWrap/>
          </w:tcPr>
          <w:p w14:paraId="63A62D4F" w14:textId="77777777" w:rsidR="00A052DC" w:rsidRDefault="009F0A60">
            <w:pPr>
              <w:pStyle w:val="B"/>
              <w:rPr>
                <w:szCs w:val="20"/>
              </w:rPr>
            </w:pPr>
            <w:r>
              <w:rPr>
                <w:rFonts w:hint="eastAsia"/>
                <w:szCs w:val="20"/>
              </w:rPr>
              <w:t>剔除买卖因素和注销、调整或重新分类至其他报表统计的金额因素外，月内市场价格或近似参考价格波动带来的资产价值增减。必须满足：本月非交易变动=注销、调整或重新分类至其他报表统计的金额+价值重估因素。</w:t>
            </w:r>
          </w:p>
        </w:tc>
      </w:tr>
      <w:tr w:rsidR="00A052DC" w14:paraId="43F64FD4" w14:textId="77777777">
        <w:trPr>
          <w:cantSplit/>
          <w:jc w:val="center"/>
        </w:trPr>
        <w:tc>
          <w:tcPr>
            <w:tcW w:w="1744" w:type="dxa"/>
            <w:shd w:val="clear" w:color="auto" w:fill="auto"/>
          </w:tcPr>
          <w:p w14:paraId="1D2DE1D5" w14:textId="77777777" w:rsidR="00A052DC" w:rsidRDefault="009F0A60">
            <w:pPr>
              <w:pStyle w:val="B"/>
              <w:rPr>
                <w:szCs w:val="20"/>
              </w:rPr>
            </w:pPr>
            <w:r>
              <w:rPr>
                <w:rFonts w:hint="eastAsia"/>
                <w:szCs w:val="20"/>
              </w:rPr>
              <w:t>本月末市值</w:t>
            </w:r>
          </w:p>
        </w:tc>
        <w:tc>
          <w:tcPr>
            <w:tcW w:w="6648" w:type="dxa"/>
            <w:shd w:val="clear" w:color="auto" w:fill="auto"/>
            <w:noWrap/>
          </w:tcPr>
          <w:p w14:paraId="043D6FCA" w14:textId="77777777" w:rsidR="00A052DC" w:rsidRDefault="009F0A60">
            <w:pPr>
              <w:pStyle w:val="B"/>
              <w:rPr>
                <w:szCs w:val="20"/>
              </w:rPr>
            </w:pPr>
            <w:r>
              <w:rPr>
                <w:rFonts w:hint="eastAsia"/>
                <w:szCs w:val="20"/>
              </w:rPr>
              <w:t>指本月末股本证券或投资基金份额</w:t>
            </w:r>
            <w:r>
              <w:rPr>
                <w:szCs w:val="20"/>
              </w:rPr>
              <w:t>/</w:t>
            </w:r>
            <w:r>
              <w:rPr>
                <w:rFonts w:hint="eastAsia"/>
                <w:szCs w:val="20"/>
              </w:rPr>
              <w:t>单位的公允价值。应优先使用按本月末公开市场收盘价计算的市场价值。如无市场价值，则按照记账惯例填报公允价值。</w:t>
            </w:r>
          </w:p>
        </w:tc>
      </w:tr>
      <w:tr w:rsidR="00A052DC" w14:paraId="1A6131A5" w14:textId="77777777">
        <w:trPr>
          <w:cantSplit/>
          <w:jc w:val="center"/>
        </w:trPr>
        <w:tc>
          <w:tcPr>
            <w:tcW w:w="1744" w:type="dxa"/>
            <w:shd w:val="clear" w:color="auto" w:fill="auto"/>
          </w:tcPr>
          <w:p w14:paraId="5B6161BD" w14:textId="77777777" w:rsidR="00A052DC" w:rsidRDefault="009F0A60">
            <w:pPr>
              <w:pStyle w:val="B"/>
              <w:rPr>
                <w:szCs w:val="20"/>
              </w:rPr>
            </w:pPr>
            <w:r>
              <w:rPr>
                <w:rFonts w:hint="eastAsia"/>
                <w:szCs w:val="20"/>
              </w:rPr>
              <w:t>本月股息</w:t>
            </w:r>
            <w:r>
              <w:rPr>
                <w:szCs w:val="20"/>
              </w:rPr>
              <w:t>/</w:t>
            </w:r>
            <w:r>
              <w:rPr>
                <w:rFonts w:hint="eastAsia"/>
                <w:szCs w:val="20"/>
              </w:rPr>
              <w:t>红利收入</w:t>
            </w:r>
          </w:p>
        </w:tc>
        <w:tc>
          <w:tcPr>
            <w:tcW w:w="6648" w:type="dxa"/>
            <w:shd w:val="clear" w:color="auto" w:fill="auto"/>
            <w:noWrap/>
          </w:tcPr>
          <w:p w14:paraId="41EF74D0" w14:textId="77777777" w:rsidR="00A052DC" w:rsidRDefault="009F0A60">
            <w:pPr>
              <w:pStyle w:val="B"/>
              <w:rPr>
                <w:szCs w:val="20"/>
              </w:rPr>
            </w:pPr>
            <w:r>
              <w:rPr>
                <w:rFonts w:hint="eastAsia"/>
                <w:szCs w:val="20"/>
              </w:rPr>
              <w:t>指本月发生的、投资者会计记账的股本证券或投资基金份额/单位股息/红利收入。</w:t>
            </w:r>
          </w:p>
        </w:tc>
      </w:tr>
      <w:tr w:rsidR="00A052DC" w14:paraId="211AF8EB" w14:textId="77777777">
        <w:trPr>
          <w:cantSplit/>
          <w:jc w:val="center"/>
        </w:trPr>
        <w:tc>
          <w:tcPr>
            <w:tcW w:w="1744" w:type="dxa"/>
            <w:shd w:val="clear" w:color="auto" w:fill="auto"/>
          </w:tcPr>
          <w:p w14:paraId="1DBA57DE" w14:textId="77777777" w:rsidR="00A052DC" w:rsidRDefault="009F0A60">
            <w:pPr>
              <w:pStyle w:val="B"/>
              <w:rPr>
                <w:szCs w:val="20"/>
              </w:rPr>
            </w:pPr>
            <w:r>
              <w:rPr>
                <w:rFonts w:hint="eastAsia"/>
                <w:szCs w:val="20"/>
              </w:rPr>
              <w:t>本月末持股（份额）数量（逐支报送使用）</w:t>
            </w:r>
          </w:p>
        </w:tc>
        <w:tc>
          <w:tcPr>
            <w:tcW w:w="6648" w:type="dxa"/>
            <w:shd w:val="clear" w:color="auto" w:fill="auto"/>
            <w:noWrap/>
          </w:tcPr>
          <w:p w14:paraId="10C999B9" w14:textId="77777777" w:rsidR="00A052DC" w:rsidRDefault="009F0A60">
            <w:pPr>
              <w:pStyle w:val="B"/>
              <w:rPr>
                <w:szCs w:val="20"/>
              </w:rPr>
            </w:pPr>
            <w:r>
              <w:rPr>
                <w:rFonts w:hint="eastAsia"/>
                <w:szCs w:val="20"/>
              </w:rPr>
              <w:t>对于选择报送逐支证券信息的，请填写此项。指本月末投资者持有相关股本证券或投资基金份额</w:t>
            </w:r>
            <w:r>
              <w:rPr>
                <w:szCs w:val="20"/>
              </w:rPr>
              <w:t>/</w:t>
            </w:r>
            <w:r>
              <w:rPr>
                <w:rFonts w:hint="eastAsia"/>
                <w:szCs w:val="20"/>
              </w:rPr>
              <w:t>单位的股数或份数，按股</w:t>
            </w:r>
            <w:r>
              <w:rPr>
                <w:szCs w:val="20"/>
              </w:rPr>
              <w:t>/</w:t>
            </w:r>
            <w:r>
              <w:rPr>
                <w:rFonts w:hint="eastAsia"/>
                <w:szCs w:val="20"/>
              </w:rPr>
              <w:t>份填列。</w:t>
            </w:r>
          </w:p>
        </w:tc>
      </w:tr>
      <w:tr w:rsidR="00A052DC" w14:paraId="2A61544C" w14:textId="77777777">
        <w:trPr>
          <w:cantSplit/>
          <w:jc w:val="center"/>
        </w:trPr>
        <w:tc>
          <w:tcPr>
            <w:tcW w:w="1744" w:type="dxa"/>
            <w:shd w:val="clear" w:color="auto" w:fill="auto"/>
          </w:tcPr>
          <w:p w14:paraId="22CC1761" w14:textId="77777777" w:rsidR="00A052DC" w:rsidRDefault="009F0A60">
            <w:pPr>
              <w:pStyle w:val="B"/>
              <w:rPr>
                <w:szCs w:val="20"/>
              </w:rPr>
            </w:pPr>
            <w:r>
              <w:rPr>
                <w:rFonts w:hint="eastAsia"/>
                <w:szCs w:val="20"/>
              </w:rPr>
              <w:t>本月末每股（每份）市价（逐支报送使用）</w:t>
            </w:r>
          </w:p>
        </w:tc>
        <w:tc>
          <w:tcPr>
            <w:tcW w:w="6648" w:type="dxa"/>
            <w:shd w:val="clear" w:color="auto" w:fill="auto"/>
            <w:noWrap/>
          </w:tcPr>
          <w:p w14:paraId="0AA9AD12" w14:textId="77777777" w:rsidR="00A052DC" w:rsidRDefault="009F0A60">
            <w:pPr>
              <w:pStyle w:val="B"/>
              <w:rPr>
                <w:szCs w:val="20"/>
              </w:rPr>
            </w:pPr>
            <w:r>
              <w:rPr>
                <w:rFonts w:hint="eastAsia"/>
                <w:szCs w:val="20"/>
              </w:rPr>
              <w:t>对于选择报送逐支证券信息的，请填写此项。指本月末最后一个交易日每股股票或每份基金（份额</w:t>
            </w:r>
            <w:r>
              <w:rPr>
                <w:szCs w:val="20"/>
              </w:rPr>
              <w:t>/</w:t>
            </w:r>
            <w:r>
              <w:rPr>
                <w:rFonts w:hint="eastAsia"/>
                <w:szCs w:val="20"/>
              </w:rPr>
              <w:t>单位）的收盘价。</w:t>
            </w:r>
          </w:p>
        </w:tc>
      </w:tr>
      <w:tr w:rsidR="00A052DC" w14:paraId="6C439056" w14:textId="77777777">
        <w:trPr>
          <w:cantSplit/>
          <w:jc w:val="center"/>
        </w:trPr>
        <w:tc>
          <w:tcPr>
            <w:tcW w:w="1744" w:type="dxa"/>
            <w:shd w:val="clear" w:color="auto" w:fill="auto"/>
          </w:tcPr>
          <w:p w14:paraId="72EBA965" w14:textId="77777777" w:rsidR="00A052DC" w:rsidRDefault="009F0A60">
            <w:pPr>
              <w:pStyle w:val="B"/>
              <w:rPr>
                <w:szCs w:val="20"/>
              </w:rPr>
            </w:pPr>
            <w:r>
              <w:rPr>
                <w:rFonts w:hint="eastAsia"/>
                <w:szCs w:val="20"/>
              </w:rPr>
              <w:t>备注</w:t>
            </w:r>
          </w:p>
        </w:tc>
        <w:tc>
          <w:tcPr>
            <w:tcW w:w="6648" w:type="dxa"/>
            <w:shd w:val="clear" w:color="auto" w:fill="auto"/>
            <w:noWrap/>
          </w:tcPr>
          <w:p w14:paraId="55CE73F6" w14:textId="77777777" w:rsidR="00A052DC" w:rsidRDefault="009F0A60">
            <w:pPr>
              <w:pStyle w:val="B"/>
              <w:rPr>
                <w:szCs w:val="20"/>
              </w:rPr>
            </w:pPr>
            <w:r>
              <w:rPr>
                <w:rFonts w:hint="eastAsia"/>
                <w:szCs w:val="20"/>
              </w:rPr>
              <w:t>需要说明的备注事项。</w:t>
            </w:r>
          </w:p>
        </w:tc>
      </w:tr>
    </w:tbl>
    <w:p w14:paraId="770529A0" w14:textId="77777777" w:rsidR="00A052DC" w:rsidRDefault="00A052DC"/>
    <w:p w14:paraId="1C1ADF08" w14:textId="77777777" w:rsidR="00A052DC" w:rsidRDefault="009F0A60" w:rsidP="0020251D">
      <w:pPr>
        <w:pStyle w:val="4"/>
        <w:numPr>
          <w:ilvl w:val="3"/>
          <w:numId w:val="1"/>
        </w:numPr>
        <w:jc w:val="left"/>
      </w:pPr>
      <w:bookmarkStart w:id="3047" w:name="_Toc454391255"/>
      <w:bookmarkStart w:id="3048" w:name="_Toc454391256"/>
      <w:bookmarkStart w:id="3049" w:name="_Toc380570925"/>
      <w:bookmarkEnd w:id="3047"/>
      <w:r>
        <w:rPr>
          <w:rFonts w:hint="eastAsia"/>
        </w:rPr>
        <w:t>数据格式</w:t>
      </w:r>
      <w:bookmarkEnd w:id="3048"/>
      <w:bookmarkEnd w:id="3049"/>
    </w:p>
    <w:p w14:paraId="4DEAEBC7" w14:textId="77777777" w:rsidR="00A052DC" w:rsidRDefault="009F0A60">
      <w:pPr>
        <w:ind w:firstLine="426"/>
      </w:pPr>
      <w:r>
        <w:t>&lt;REC&gt;</w:t>
      </w:r>
    </w:p>
    <w:p w14:paraId="48642223" w14:textId="77777777" w:rsidR="00A052DC" w:rsidRDefault="009F0A60">
      <w:pPr>
        <w:ind w:firstLine="426"/>
      </w:pPr>
      <w:r>
        <w:t>&lt;ACTIONTYPE&gt;</w:t>
      </w:r>
      <w:r>
        <w:rPr>
          <w:rFonts w:hAnsi="宋体"/>
        </w:rPr>
        <w:t>操作类型</w:t>
      </w:r>
      <w:r>
        <w:t>&lt;/ACTIONTYPE&gt;</w:t>
      </w:r>
    </w:p>
    <w:p w14:paraId="447E6152" w14:textId="77777777" w:rsidR="00A052DC" w:rsidRDefault="009F0A60">
      <w:pPr>
        <w:ind w:firstLine="426"/>
      </w:pPr>
      <w:r>
        <w:t>&lt;ACTIONDESC&gt;</w:t>
      </w:r>
      <w:r>
        <w:rPr>
          <w:rFonts w:hAnsi="宋体"/>
        </w:rPr>
        <w:t>删除原因</w:t>
      </w:r>
      <w:r>
        <w:t>&lt;/ACTIONDESC&gt;</w:t>
      </w:r>
    </w:p>
    <w:p w14:paraId="3F686101" w14:textId="77777777" w:rsidR="00A052DC" w:rsidRDefault="009F0A60">
      <w:pPr>
        <w:ind w:firstLine="426"/>
      </w:pPr>
      <w:r>
        <w:t>&lt;SNOCODE&gt;</w:t>
      </w:r>
      <w:r>
        <w:rPr>
          <w:rFonts w:hAnsi="宋体"/>
        </w:rPr>
        <w:t>数据自编码</w:t>
      </w:r>
      <w:r>
        <w:t>&lt;/SNOCODE&gt;</w:t>
      </w:r>
    </w:p>
    <w:p w14:paraId="225E3184" w14:textId="77777777" w:rsidR="00A052DC" w:rsidRDefault="009F0A60">
      <w:pPr>
        <w:ind w:firstLine="426"/>
      </w:pPr>
      <w:r>
        <w:t>&lt;OBJCODE&gt;</w:t>
      </w:r>
      <w:r>
        <w:rPr>
          <w:rFonts w:hAnsi="宋体"/>
        </w:rPr>
        <w:t>申报主体代码</w:t>
      </w:r>
      <w:r>
        <w:t>&lt;/OBJCODE&gt;</w:t>
      </w:r>
    </w:p>
    <w:p w14:paraId="129E59BE" w14:textId="77777777" w:rsidR="00A052DC" w:rsidRDefault="009F0A60">
      <w:pPr>
        <w:ind w:firstLine="426"/>
      </w:pPr>
      <w:r>
        <w:t>&lt;BUOCMONTH&gt;</w:t>
      </w:r>
      <w:r>
        <w:rPr>
          <w:rFonts w:hAnsi="宋体"/>
        </w:rPr>
        <w:t>报告期</w:t>
      </w:r>
      <w:r>
        <w:t>&lt;/BUOCMONTH&gt;</w:t>
      </w:r>
    </w:p>
    <w:p w14:paraId="5FE577C2" w14:textId="77777777" w:rsidR="00A052DC" w:rsidRDefault="009F0A60">
      <w:pPr>
        <w:ind w:firstLine="426"/>
      </w:pPr>
      <w:r>
        <w:t>&lt;B0101&gt;</w:t>
      </w:r>
      <w:r>
        <w:rPr>
          <w:rFonts w:hAnsi="宋体"/>
        </w:rPr>
        <w:t>申报主体身份</w:t>
      </w:r>
      <w:r>
        <w:t>&lt;/B0101&gt;</w:t>
      </w:r>
    </w:p>
    <w:p w14:paraId="01302DFD" w14:textId="77777777" w:rsidR="00A052DC" w:rsidRDefault="009F0A60">
      <w:pPr>
        <w:ind w:firstLine="426"/>
      </w:pPr>
      <w:r>
        <w:t>&lt;B0102&gt;</w:t>
      </w:r>
      <w:r>
        <w:rPr>
          <w:rFonts w:hAnsi="宋体"/>
        </w:rPr>
        <w:t>被代理人</w:t>
      </w:r>
      <w:r>
        <w:t>/</w:t>
      </w:r>
      <w:r>
        <w:rPr>
          <w:rFonts w:hAnsi="宋体"/>
        </w:rPr>
        <w:t>委托人所属国家</w:t>
      </w:r>
      <w:r>
        <w:t>/</w:t>
      </w:r>
      <w:r>
        <w:rPr>
          <w:rFonts w:hAnsi="宋体"/>
        </w:rPr>
        <w:t>地区</w:t>
      </w:r>
      <w:r>
        <w:t>&lt;/B0102&gt;</w:t>
      </w:r>
    </w:p>
    <w:p w14:paraId="3060F497" w14:textId="77777777" w:rsidR="00A052DC" w:rsidRDefault="009F0A60">
      <w:pPr>
        <w:ind w:firstLine="426"/>
      </w:pPr>
      <w:r>
        <w:t>&lt;B0103&gt;</w:t>
      </w:r>
      <w:r>
        <w:rPr>
          <w:rFonts w:hAnsi="宋体"/>
        </w:rPr>
        <w:t>被代理人</w:t>
      </w:r>
      <w:r>
        <w:t>/</w:t>
      </w:r>
      <w:r>
        <w:rPr>
          <w:rFonts w:hAnsi="宋体"/>
        </w:rPr>
        <w:t>委托人所属部门</w:t>
      </w:r>
      <w:r>
        <w:t>&lt;/B0103&gt;</w:t>
      </w:r>
    </w:p>
    <w:p w14:paraId="129408BF" w14:textId="77777777" w:rsidR="00A052DC" w:rsidRDefault="009F0A60">
      <w:pPr>
        <w:ind w:firstLine="426"/>
      </w:pPr>
      <w:r>
        <w:t>&lt;B0104&gt;</w:t>
      </w:r>
      <w:r>
        <w:rPr>
          <w:rFonts w:hAnsi="宋体"/>
        </w:rPr>
        <w:t>投资工具类型</w:t>
      </w:r>
      <w:r>
        <w:t>&lt;/B0104&gt;</w:t>
      </w:r>
    </w:p>
    <w:p w14:paraId="542035BB" w14:textId="77777777" w:rsidR="00A052DC" w:rsidRDefault="009F0A60">
      <w:pPr>
        <w:ind w:firstLine="426"/>
      </w:pPr>
      <w:r>
        <w:t>&lt;B0104CODE&gt;</w:t>
      </w:r>
      <w:r>
        <w:rPr>
          <w:rFonts w:hAnsi="宋体"/>
        </w:rPr>
        <w:t>业务类型</w:t>
      </w:r>
      <w:r>
        <w:t>&lt;/B0104CODE&gt;</w:t>
      </w:r>
    </w:p>
    <w:p w14:paraId="72BA1AD0" w14:textId="77777777" w:rsidR="00A052DC" w:rsidRDefault="009F0A60">
      <w:pPr>
        <w:ind w:firstLine="426"/>
      </w:pPr>
      <w:r>
        <w:t>&lt;B0105&gt;</w:t>
      </w:r>
      <w:r>
        <w:rPr>
          <w:rFonts w:hAnsi="宋体"/>
        </w:rPr>
        <w:t>发行地</w:t>
      </w:r>
      <w:r>
        <w:t>&lt;/B0105&gt;</w:t>
      </w:r>
    </w:p>
    <w:p w14:paraId="68A397D8" w14:textId="77777777" w:rsidR="00A052DC" w:rsidRDefault="009F0A60">
      <w:pPr>
        <w:ind w:firstLine="426"/>
      </w:pPr>
      <w:r>
        <w:t>&lt;B0106&gt;</w:t>
      </w:r>
      <w:r>
        <w:rPr>
          <w:rFonts w:hAnsi="宋体"/>
        </w:rPr>
        <w:t>证券代码（逐支报送使用）</w:t>
      </w:r>
      <w:r>
        <w:t>&lt;/B0106&gt;</w:t>
      </w:r>
    </w:p>
    <w:p w14:paraId="67052417" w14:textId="77777777" w:rsidR="00A052DC" w:rsidRDefault="009F0A60">
      <w:pPr>
        <w:ind w:firstLine="426"/>
      </w:pPr>
      <w:r>
        <w:t>&lt;B0107&gt;</w:t>
      </w:r>
      <w:r>
        <w:rPr>
          <w:rFonts w:hAnsi="宋体"/>
        </w:rPr>
        <w:t>证券发行主体名称（逐支报送使用）</w:t>
      </w:r>
      <w:r>
        <w:t>&lt;/B0107&gt;</w:t>
      </w:r>
    </w:p>
    <w:p w14:paraId="4B467267" w14:textId="77777777" w:rsidR="00A052DC" w:rsidRDefault="009F0A60">
      <w:pPr>
        <w:ind w:firstLine="426"/>
      </w:pPr>
      <w:r>
        <w:t>&lt;B0108&gt;</w:t>
      </w:r>
      <w:r>
        <w:rPr>
          <w:rFonts w:hAnsi="宋体"/>
        </w:rPr>
        <w:t>发行主体所属国家</w:t>
      </w:r>
      <w:r>
        <w:t>/</w:t>
      </w:r>
      <w:r>
        <w:rPr>
          <w:rFonts w:hAnsi="宋体"/>
        </w:rPr>
        <w:t>地区</w:t>
      </w:r>
      <w:r>
        <w:t>&lt;/B0108&gt;</w:t>
      </w:r>
    </w:p>
    <w:p w14:paraId="689FB068" w14:textId="77777777" w:rsidR="00A052DC" w:rsidRDefault="009F0A60">
      <w:pPr>
        <w:ind w:firstLine="426"/>
      </w:pPr>
      <w:r>
        <w:t>&lt;B0109&gt;</w:t>
      </w:r>
      <w:r>
        <w:rPr>
          <w:rFonts w:hAnsi="宋体"/>
        </w:rPr>
        <w:t>发行主体所属部门</w:t>
      </w:r>
      <w:r>
        <w:t>&lt;/B0109&gt;</w:t>
      </w:r>
    </w:p>
    <w:p w14:paraId="513F8190" w14:textId="77777777" w:rsidR="00A052DC" w:rsidRDefault="009F0A60">
      <w:pPr>
        <w:ind w:firstLine="426"/>
      </w:pPr>
      <w:r>
        <w:t>&lt;B0110&gt;</w:t>
      </w:r>
      <w:r>
        <w:rPr>
          <w:rFonts w:hAnsi="宋体"/>
        </w:rPr>
        <w:t>发行主体与本机构</w:t>
      </w:r>
      <w:r>
        <w:t>/</w:t>
      </w:r>
      <w:r>
        <w:rPr>
          <w:rFonts w:hAnsi="宋体"/>
        </w:rPr>
        <w:t>被代理人</w:t>
      </w:r>
      <w:r>
        <w:t>/</w:t>
      </w:r>
      <w:r>
        <w:rPr>
          <w:rFonts w:hAnsi="宋体"/>
        </w:rPr>
        <w:t>委托人的关系</w:t>
      </w:r>
      <w:r>
        <w:t>&lt;/B0110&gt;</w:t>
      </w:r>
    </w:p>
    <w:p w14:paraId="0C5A4DDA" w14:textId="77777777" w:rsidR="00A052DC" w:rsidRDefault="009F0A60">
      <w:pPr>
        <w:ind w:firstLine="426"/>
      </w:pPr>
      <w:r>
        <w:t>&lt;B0111&gt;</w:t>
      </w:r>
      <w:r>
        <w:rPr>
          <w:rFonts w:hAnsi="宋体"/>
        </w:rPr>
        <w:t>原始币种</w:t>
      </w:r>
      <w:r>
        <w:t>&lt;/B0111&gt;</w:t>
      </w:r>
    </w:p>
    <w:p w14:paraId="7F69642E" w14:textId="77777777" w:rsidR="00A052DC" w:rsidRDefault="009F0A60">
      <w:pPr>
        <w:ind w:firstLine="426"/>
      </w:pPr>
      <w:r>
        <w:t>&lt;B0112&gt;</w:t>
      </w:r>
      <w:r>
        <w:rPr>
          <w:rFonts w:hAnsi="宋体"/>
        </w:rPr>
        <w:t>上月末市值</w:t>
      </w:r>
      <w:r>
        <w:t>&lt;/B0112&gt;</w:t>
      </w:r>
    </w:p>
    <w:p w14:paraId="09353D90" w14:textId="77777777" w:rsidR="00A052DC" w:rsidRDefault="009F0A60">
      <w:pPr>
        <w:ind w:firstLine="426"/>
      </w:pPr>
      <w:r>
        <w:t>&lt;B0113&gt;</w:t>
      </w:r>
      <w:r>
        <w:rPr>
          <w:rFonts w:hAnsi="宋体"/>
        </w:rPr>
        <w:t>本月买入金额</w:t>
      </w:r>
      <w:r>
        <w:t>&lt;/B0113&gt;</w:t>
      </w:r>
    </w:p>
    <w:p w14:paraId="5A8772BC" w14:textId="77777777" w:rsidR="00A052DC" w:rsidRDefault="009F0A60">
      <w:pPr>
        <w:ind w:firstLine="426"/>
      </w:pPr>
      <w:r>
        <w:t>&lt;B0114&gt;</w:t>
      </w:r>
      <w:r>
        <w:rPr>
          <w:rFonts w:hAnsi="宋体"/>
        </w:rPr>
        <w:t>本月卖出金额</w:t>
      </w:r>
      <w:r>
        <w:t>&lt;/B0114&gt;</w:t>
      </w:r>
    </w:p>
    <w:p w14:paraId="194983B2" w14:textId="77777777" w:rsidR="00A052DC" w:rsidRDefault="009F0A60">
      <w:pPr>
        <w:ind w:firstLine="426"/>
      </w:pPr>
      <w:r>
        <w:t>&lt;B0115&gt;</w:t>
      </w:r>
      <w:r>
        <w:rPr>
          <w:rFonts w:hAnsi="宋体"/>
        </w:rPr>
        <w:t>本月非交易变动</w:t>
      </w:r>
      <w:r>
        <w:t>&lt;/B0115&gt;</w:t>
      </w:r>
    </w:p>
    <w:p w14:paraId="344DFEA2" w14:textId="77777777" w:rsidR="00A052DC" w:rsidRDefault="009F0A60">
      <w:pPr>
        <w:ind w:firstLine="426"/>
      </w:pPr>
      <w:r>
        <w:rPr>
          <w:rFonts w:hint="eastAsia"/>
        </w:rPr>
        <w:t>&lt;B0116&gt;</w:t>
      </w:r>
      <w:r>
        <w:rPr>
          <w:rFonts w:hint="eastAsia"/>
        </w:rPr>
        <w:t>注销、调整或重新分类至其他报表统计的金额</w:t>
      </w:r>
      <w:r>
        <w:rPr>
          <w:rFonts w:hint="eastAsia"/>
        </w:rPr>
        <w:t>&lt;/B0116&gt;</w:t>
      </w:r>
    </w:p>
    <w:p w14:paraId="2F2E64D2" w14:textId="77777777" w:rsidR="00A052DC" w:rsidRDefault="009F0A60">
      <w:pPr>
        <w:ind w:firstLine="426"/>
      </w:pPr>
      <w:r>
        <w:rPr>
          <w:rFonts w:hint="eastAsia"/>
        </w:rPr>
        <w:t>&lt;B0117&gt;</w:t>
      </w:r>
      <w:r>
        <w:rPr>
          <w:rFonts w:hint="eastAsia"/>
        </w:rPr>
        <w:t>价值重估因素</w:t>
      </w:r>
      <w:r>
        <w:rPr>
          <w:rFonts w:hint="eastAsia"/>
        </w:rPr>
        <w:t>&lt;/B0117&gt;</w:t>
      </w:r>
    </w:p>
    <w:p w14:paraId="21DE8935" w14:textId="77777777" w:rsidR="00A052DC" w:rsidRDefault="009F0A60">
      <w:pPr>
        <w:ind w:firstLine="426"/>
      </w:pPr>
      <w:r>
        <w:t>&lt;B0118&gt;</w:t>
      </w:r>
      <w:r>
        <w:rPr>
          <w:rFonts w:hAnsi="宋体"/>
        </w:rPr>
        <w:t>本月末市值</w:t>
      </w:r>
      <w:r>
        <w:t>&lt;/B0118&gt;</w:t>
      </w:r>
    </w:p>
    <w:p w14:paraId="71428394" w14:textId="77777777" w:rsidR="00A052DC" w:rsidRDefault="009F0A60">
      <w:pPr>
        <w:ind w:firstLine="426"/>
      </w:pPr>
      <w:r>
        <w:t>&lt;B0119&gt;</w:t>
      </w:r>
      <w:r>
        <w:rPr>
          <w:rFonts w:hAnsi="宋体"/>
        </w:rPr>
        <w:t>本月股息</w:t>
      </w:r>
      <w:r>
        <w:t>/</w:t>
      </w:r>
      <w:r>
        <w:rPr>
          <w:rFonts w:hAnsi="宋体"/>
        </w:rPr>
        <w:t>红利收入</w:t>
      </w:r>
      <w:r>
        <w:t>&lt;/B0119&gt;</w:t>
      </w:r>
    </w:p>
    <w:p w14:paraId="1FBEAFFE" w14:textId="77777777" w:rsidR="00A052DC" w:rsidRDefault="009F0A60">
      <w:pPr>
        <w:ind w:firstLine="426"/>
      </w:pPr>
      <w:r>
        <w:t>&lt;B0120&gt;</w:t>
      </w:r>
      <w:r>
        <w:rPr>
          <w:rFonts w:hAnsi="宋体"/>
        </w:rPr>
        <w:t>本月末持股（份额）数量（逐支报送使用）</w:t>
      </w:r>
      <w:r>
        <w:t>&lt;/B0120&gt;</w:t>
      </w:r>
    </w:p>
    <w:p w14:paraId="7172540D" w14:textId="77777777" w:rsidR="00A052DC" w:rsidRDefault="009F0A60">
      <w:pPr>
        <w:ind w:firstLine="426"/>
      </w:pPr>
      <w:r>
        <w:t>&lt;B0121&gt;</w:t>
      </w:r>
      <w:r>
        <w:rPr>
          <w:rFonts w:hAnsi="宋体"/>
        </w:rPr>
        <w:t>本月末每股（每份）市价（逐支报送使用）</w:t>
      </w:r>
      <w:r>
        <w:t>&lt;/B0121&gt;</w:t>
      </w:r>
    </w:p>
    <w:p w14:paraId="4A0F5A14" w14:textId="77777777" w:rsidR="00A052DC" w:rsidRDefault="009F0A60">
      <w:pPr>
        <w:ind w:firstLine="426"/>
      </w:pPr>
      <w:r>
        <w:t>&lt;REMARK&gt;</w:t>
      </w:r>
      <w:r>
        <w:rPr>
          <w:rFonts w:hAnsi="宋体"/>
        </w:rPr>
        <w:t>备注</w:t>
      </w:r>
      <w:r>
        <w:t>&lt;/REMARK&gt;</w:t>
      </w:r>
    </w:p>
    <w:p w14:paraId="49FF85B6" w14:textId="77777777" w:rsidR="00A052DC" w:rsidRDefault="009F0A60">
      <w:pPr>
        <w:ind w:firstLine="426"/>
      </w:pPr>
      <w:r>
        <w:t>&lt;/REC&gt;</w:t>
      </w:r>
    </w:p>
    <w:p w14:paraId="6AB965CA" w14:textId="77777777" w:rsidR="00A052DC" w:rsidRDefault="009F0A60" w:rsidP="0020251D">
      <w:pPr>
        <w:pStyle w:val="4"/>
        <w:numPr>
          <w:ilvl w:val="3"/>
          <w:numId w:val="1"/>
        </w:numPr>
        <w:jc w:val="left"/>
      </w:pPr>
      <w:bookmarkStart w:id="3050" w:name="_Toc454391257"/>
      <w:bookmarkStart w:id="3051" w:name="_Toc380570926"/>
      <w:bookmarkStart w:id="3052" w:name="_Toc454391258"/>
      <w:bookmarkEnd w:id="3050"/>
      <w:r>
        <w:rPr>
          <w:rFonts w:hint="eastAsia"/>
        </w:rPr>
        <w:t>数据字典</w:t>
      </w:r>
      <w:bookmarkEnd w:id="3051"/>
      <w:bookmarkEnd w:id="3052"/>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957"/>
        <w:gridCol w:w="1418"/>
        <w:gridCol w:w="4137"/>
      </w:tblGrid>
      <w:tr w:rsidR="00A052DC" w14:paraId="31FE82EA" w14:textId="77777777">
        <w:trPr>
          <w:tblHeader/>
        </w:trPr>
        <w:tc>
          <w:tcPr>
            <w:tcW w:w="1101" w:type="dxa"/>
            <w:shd w:val="clear" w:color="auto" w:fill="C0C0C0"/>
            <w:noWrap/>
          </w:tcPr>
          <w:p w14:paraId="6582EBF1" w14:textId="77777777" w:rsidR="00A052DC" w:rsidRDefault="009F0A60">
            <w:pPr>
              <w:pStyle w:val="B1"/>
            </w:pPr>
            <w:r>
              <w:rPr>
                <w:rFonts w:hint="eastAsia"/>
              </w:rPr>
              <w:t>字段</w:t>
            </w:r>
          </w:p>
        </w:tc>
        <w:tc>
          <w:tcPr>
            <w:tcW w:w="1957" w:type="dxa"/>
            <w:shd w:val="clear" w:color="auto" w:fill="C0C0C0"/>
            <w:noWrap/>
          </w:tcPr>
          <w:p w14:paraId="6AA27C87" w14:textId="77777777" w:rsidR="00A052DC" w:rsidRDefault="009F0A60">
            <w:pPr>
              <w:pStyle w:val="B1"/>
            </w:pPr>
            <w:r>
              <w:rPr>
                <w:rFonts w:hint="eastAsia"/>
              </w:rPr>
              <w:t>内容</w:t>
            </w:r>
          </w:p>
        </w:tc>
        <w:tc>
          <w:tcPr>
            <w:tcW w:w="1418" w:type="dxa"/>
            <w:shd w:val="clear" w:color="auto" w:fill="C0C0C0"/>
            <w:noWrap/>
          </w:tcPr>
          <w:p w14:paraId="76902A2C" w14:textId="77777777" w:rsidR="00A052DC" w:rsidRDefault="009F0A60">
            <w:pPr>
              <w:pStyle w:val="B1"/>
            </w:pPr>
            <w:r>
              <w:rPr>
                <w:rFonts w:hint="eastAsia"/>
              </w:rPr>
              <w:t>类型（长度）</w:t>
            </w:r>
          </w:p>
        </w:tc>
        <w:tc>
          <w:tcPr>
            <w:tcW w:w="4137" w:type="dxa"/>
            <w:shd w:val="clear" w:color="auto" w:fill="C0C0C0"/>
          </w:tcPr>
          <w:p w14:paraId="13AEBFBD" w14:textId="77777777" w:rsidR="00A052DC" w:rsidRDefault="009F0A60">
            <w:pPr>
              <w:pStyle w:val="B1"/>
            </w:pPr>
            <w:r>
              <w:rPr>
                <w:rFonts w:hint="eastAsia"/>
              </w:rPr>
              <w:t>校验</w:t>
            </w:r>
          </w:p>
        </w:tc>
      </w:tr>
      <w:tr w:rsidR="00A052DC" w14:paraId="0EC035E4" w14:textId="77777777">
        <w:tc>
          <w:tcPr>
            <w:tcW w:w="1101" w:type="dxa"/>
            <w:shd w:val="clear" w:color="auto" w:fill="auto"/>
            <w:noWrap/>
          </w:tcPr>
          <w:p w14:paraId="0BF108E7" w14:textId="77777777" w:rsidR="00A052DC" w:rsidRDefault="009F0A60">
            <w:pPr>
              <w:pStyle w:val="B"/>
              <w:rPr>
                <w:szCs w:val="20"/>
              </w:rPr>
            </w:pPr>
            <w:r>
              <w:rPr>
                <w:szCs w:val="20"/>
              </w:rPr>
              <w:t>ACTIONTYPE</w:t>
            </w:r>
          </w:p>
        </w:tc>
        <w:tc>
          <w:tcPr>
            <w:tcW w:w="1957" w:type="dxa"/>
            <w:shd w:val="clear" w:color="auto" w:fill="auto"/>
          </w:tcPr>
          <w:p w14:paraId="38EF3ABE" w14:textId="77777777" w:rsidR="00A052DC" w:rsidRDefault="009F0A60">
            <w:pPr>
              <w:pStyle w:val="B"/>
              <w:rPr>
                <w:szCs w:val="20"/>
              </w:rPr>
            </w:pPr>
            <w:r>
              <w:rPr>
                <w:rFonts w:hint="eastAsia"/>
                <w:szCs w:val="20"/>
              </w:rPr>
              <w:t>操作类型</w:t>
            </w:r>
          </w:p>
        </w:tc>
        <w:tc>
          <w:tcPr>
            <w:tcW w:w="1418" w:type="dxa"/>
            <w:shd w:val="clear" w:color="auto" w:fill="auto"/>
            <w:noWrap/>
          </w:tcPr>
          <w:p w14:paraId="4CAD6709" w14:textId="77777777" w:rsidR="00A052DC" w:rsidRDefault="009F0A60">
            <w:pPr>
              <w:pStyle w:val="B"/>
              <w:rPr>
                <w:szCs w:val="20"/>
              </w:rPr>
            </w:pPr>
            <w:r>
              <w:rPr>
                <w:rFonts w:hint="eastAsia"/>
                <w:szCs w:val="20"/>
              </w:rPr>
              <w:t>字符型，</w:t>
            </w:r>
            <w:r>
              <w:rPr>
                <w:szCs w:val="20"/>
              </w:rPr>
              <w:t>1</w:t>
            </w:r>
          </w:p>
        </w:tc>
        <w:tc>
          <w:tcPr>
            <w:tcW w:w="4137" w:type="dxa"/>
          </w:tcPr>
          <w:p w14:paraId="3356A035" w14:textId="77777777" w:rsidR="00A052DC" w:rsidRDefault="009F0A60">
            <w:pPr>
              <w:pStyle w:val="B"/>
              <w:rPr>
                <w:szCs w:val="20"/>
              </w:rPr>
            </w:pPr>
            <w:r>
              <w:rPr>
                <w:rFonts w:hint="eastAsia"/>
                <w:szCs w:val="20"/>
              </w:rPr>
              <w:t>必填项</w:t>
            </w:r>
            <w:r w:rsidR="00191DE9">
              <w:rPr>
                <w:rFonts w:hint="eastAsia"/>
                <w:szCs w:val="20"/>
              </w:rPr>
              <w:t>。</w:t>
            </w:r>
          </w:p>
          <w:p w14:paraId="1D4CE63A" w14:textId="77777777" w:rsidR="00A052DC" w:rsidRDefault="009F0A60">
            <w:pPr>
              <w:pStyle w:val="B"/>
              <w:rPr>
                <w:szCs w:val="20"/>
              </w:rPr>
            </w:pPr>
            <w:r>
              <w:rPr>
                <w:szCs w:val="20"/>
              </w:rPr>
              <w:t>A</w:t>
            </w:r>
            <w:r w:rsidR="00AE4602">
              <w:rPr>
                <w:rFonts w:hint="eastAsia"/>
                <w:szCs w:val="20"/>
              </w:rPr>
              <w:t>-</w:t>
            </w:r>
            <w:r>
              <w:rPr>
                <w:rFonts w:hint="eastAsia"/>
                <w:szCs w:val="20"/>
              </w:rPr>
              <w:t>新建</w:t>
            </w:r>
          </w:p>
          <w:p w14:paraId="2A28F1CC" w14:textId="77777777" w:rsidR="00A052DC" w:rsidRDefault="009F0A60">
            <w:pPr>
              <w:pStyle w:val="B"/>
              <w:rPr>
                <w:szCs w:val="20"/>
              </w:rPr>
            </w:pPr>
            <w:r>
              <w:rPr>
                <w:szCs w:val="20"/>
              </w:rPr>
              <w:t>C</w:t>
            </w:r>
            <w:r w:rsidR="00AE4602">
              <w:rPr>
                <w:rFonts w:hint="eastAsia"/>
                <w:szCs w:val="20"/>
              </w:rPr>
              <w:t>-</w:t>
            </w:r>
            <w:r>
              <w:rPr>
                <w:rFonts w:hint="eastAsia"/>
                <w:szCs w:val="20"/>
              </w:rPr>
              <w:t>修改</w:t>
            </w:r>
          </w:p>
          <w:p w14:paraId="7FD0F7D2" w14:textId="77777777" w:rsidR="00A052DC" w:rsidRDefault="009F0A60">
            <w:pPr>
              <w:pStyle w:val="B"/>
              <w:rPr>
                <w:szCs w:val="20"/>
              </w:rPr>
            </w:pPr>
            <w:r>
              <w:rPr>
                <w:szCs w:val="20"/>
              </w:rPr>
              <w:t>D</w:t>
            </w:r>
            <w:r w:rsidR="00AE4602">
              <w:rPr>
                <w:rFonts w:hint="eastAsia"/>
                <w:szCs w:val="20"/>
              </w:rPr>
              <w:t>-</w:t>
            </w:r>
            <w:r>
              <w:rPr>
                <w:rFonts w:hint="eastAsia"/>
                <w:szCs w:val="20"/>
              </w:rPr>
              <w:t>删除</w:t>
            </w:r>
          </w:p>
        </w:tc>
      </w:tr>
      <w:tr w:rsidR="00A052DC" w14:paraId="18B910C2" w14:textId="77777777">
        <w:tc>
          <w:tcPr>
            <w:tcW w:w="1101" w:type="dxa"/>
            <w:shd w:val="clear" w:color="auto" w:fill="auto"/>
            <w:noWrap/>
          </w:tcPr>
          <w:p w14:paraId="7EE03661" w14:textId="77777777" w:rsidR="00A052DC" w:rsidRDefault="009F0A60">
            <w:pPr>
              <w:pStyle w:val="B"/>
              <w:rPr>
                <w:szCs w:val="20"/>
              </w:rPr>
            </w:pPr>
            <w:r>
              <w:rPr>
                <w:szCs w:val="20"/>
              </w:rPr>
              <w:t>ACTIONDESC</w:t>
            </w:r>
          </w:p>
        </w:tc>
        <w:tc>
          <w:tcPr>
            <w:tcW w:w="1957" w:type="dxa"/>
            <w:shd w:val="clear" w:color="auto" w:fill="auto"/>
          </w:tcPr>
          <w:p w14:paraId="7A931D2C" w14:textId="77777777" w:rsidR="00A052DC" w:rsidRDefault="009F0A60">
            <w:pPr>
              <w:pStyle w:val="B"/>
              <w:rPr>
                <w:szCs w:val="20"/>
              </w:rPr>
            </w:pPr>
            <w:r>
              <w:rPr>
                <w:rFonts w:hint="eastAsia"/>
                <w:szCs w:val="20"/>
              </w:rPr>
              <w:t>删除原因</w:t>
            </w:r>
          </w:p>
        </w:tc>
        <w:tc>
          <w:tcPr>
            <w:tcW w:w="1418" w:type="dxa"/>
            <w:shd w:val="clear" w:color="auto" w:fill="auto"/>
            <w:noWrap/>
          </w:tcPr>
          <w:p w14:paraId="78D31D96" w14:textId="77777777" w:rsidR="00A052DC" w:rsidRDefault="009F0A60">
            <w:pPr>
              <w:pStyle w:val="B"/>
              <w:rPr>
                <w:szCs w:val="20"/>
              </w:rPr>
            </w:pPr>
            <w:r>
              <w:rPr>
                <w:rFonts w:hint="eastAsia"/>
                <w:szCs w:val="20"/>
              </w:rPr>
              <w:t>字符型，</w:t>
            </w:r>
            <w:r>
              <w:rPr>
                <w:szCs w:val="20"/>
              </w:rPr>
              <w:t>128</w:t>
            </w:r>
          </w:p>
        </w:tc>
        <w:tc>
          <w:tcPr>
            <w:tcW w:w="4137" w:type="dxa"/>
          </w:tcPr>
          <w:p w14:paraId="56230664" w14:textId="77777777" w:rsidR="00A052DC" w:rsidRDefault="00DD6AA3">
            <w:pPr>
              <w:pStyle w:val="B"/>
              <w:rPr>
                <w:szCs w:val="20"/>
              </w:rPr>
            </w:pPr>
            <w:r>
              <w:rPr>
                <w:rFonts w:hint="eastAsia"/>
                <w:szCs w:val="20"/>
              </w:rPr>
              <w:t>非必填项，当操作类型（ACTIONTYPE）为删除时必填。</w:t>
            </w:r>
          </w:p>
        </w:tc>
      </w:tr>
      <w:tr w:rsidR="00A052DC" w14:paraId="630A4D2B" w14:textId="77777777">
        <w:tc>
          <w:tcPr>
            <w:tcW w:w="1101" w:type="dxa"/>
            <w:shd w:val="clear" w:color="auto" w:fill="auto"/>
            <w:noWrap/>
          </w:tcPr>
          <w:p w14:paraId="0EC4A192" w14:textId="77777777" w:rsidR="00A052DC" w:rsidRDefault="009F0A60">
            <w:pPr>
              <w:pStyle w:val="B"/>
              <w:rPr>
                <w:szCs w:val="20"/>
              </w:rPr>
            </w:pPr>
            <w:r>
              <w:rPr>
                <w:szCs w:val="20"/>
              </w:rPr>
              <w:t>SNOCODE</w:t>
            </w:r>
          </w:p>
        </w:tc>
        <w:tc>
          <w:tcPr>
            <w:tcW w:w="1957" w:type="dxa"/>
            <w:shd w:val="clear" w:color="auto" w:fill="auto"/>
          </w:tcPr>
          <w:p w14:paraId="28770F45" w14:textId="77777777" w:rsidR="00A052DC" w:rsidRDefault="009F0A60">
            <w:pPr>
              <w:pStyle w:val="B"/>
              <w:rPr>
                <w:szCs w:val="20"/>
              </w:rPr>
            </w:pPr>
            <w:r>
              <w:rPr>
                <w:rFonts w:hint="eastAsia"/>
                <w:szCs w:val="20"/>
              </w:rPr>
              <w:t>数据自编码</w:t>
            </w:r>
          </w:p>
        </w:tc>
        <w:tc>
          <w:tcPr>
            <w:tcW w:w="1418" w:type="dxa"/>
            <w:shd w:val="clear" w:color="auto" w:fill="auto"/>
            <w:noWrap/>
          </w:tcPr>
          <w:p w14:paraId="7A918A80" w14:textId="77777777" w:rsidR="00A052DC" w:rsidRDefault="009F0A60">
            <w:pPr>
              <w:pStyle w:val="B"/>
              <w:rPr>
                <w:szCs w:val="20"/>
              </w:rPr>
            </w:pPr>
            <w:r>
              <w:rPr>
                <w:rFonts w:hint="eastAsia"/>
                <w:szCs w:val="20"/>
              </w:rPr>
              <w:t>字符型，</w:t>
            </w:r>
            <w:r>
              <w:rPr>
                <w:szCs w:val="20"/>
              </w:rPr>
              <w:t>3</w:t>
            </w:r>
            <w:r>
              <w:rPr>
                <w:rFonts w:hint="eastAsia"/>
                <w:szCs w:val="20"/>
              </w:rPr>
              <w:t>6</w:t>
            </w:r>
          </w:p>
        </w:tc>
        <w:tc>
          <w:tcPr>
            <w:tcW w:w="4137" w:type="dxa"/>
          </w:tcPr>
          <w:p w14:paraId="3C7B58CC" w14:textId="77777777" w:rsidR="00A052DC" w:rsidRDefault="009F0A60">
            <w:pPr>
              <w:pStyle w:val="B"/>
              <w:rPr>
                <w:szCs w:val="20"/>
              </w:rPr>
            </w:pPr>
            <w:r>
              <w:rPr>
                <w:rFonts w:hint="eastAsia"/>
                <w:szCs w:val="20"/>
              </w:rPr>
              <w:t>必填项。</w:t>
            </w:r>
            <w:r>
              <w:rPr>
                <w:szCs w:val="20"/>
              </w:rPr>
              <w:t>对于接口报送的填报主体，数据自编码中的报送期（6位）应与报告期（YYYYMM）一致。</w:t>
            </w:r>
          </w:p>
        </w:tc>
      </w:tr>
      <w:tr w:rsidR="00A052DC" w14:paraId="581B7D69" w14:textId="77777777">
        <w:tc>
          <w:tcPr>
            <w:tcW w:w="1101" w:type="dxa"/>
            <w:shd w:val="clear" w:color="auto" w:fill="auto"/>
            <w:noWrap/>
          </w:tcPr>
          <w:p w14:paraId="1D3F5A44" w14:textId="77777777" w:rsidR="00A052DC" w:rsidRDefault="009F0A60">
            <w:pPr>
              <w:pStyle w:val="B"/>
              <w:rPr>
                <w:szCs w:val="20"/>
              </w:rPr>
            </w:pPr>
            <w:r>
              <w:rPr>
                <w:szCs w:val="20"/>
              </w:rPr>
              <w:t>OBJCODE</w:t>
            </w:r>
          </w:p>
        </w:tc>
        <w:tc>
          <w:tcPr>
            <w:tcW w:w="1957" w:type="dxa"/>
            <w:shd w:val="clear" w:color="auto" w:fill="auto"/>
          </w:tcPr>
          <w:p w14:paraId="2276AEE8" w14:textId="77777777" w:rsidR="00A052DC" w:rsidRDefault="009F0A60">
            <w:pPr>
              <w:pStyle w:val="B"/>
              <w:rPr>
                <w:szCs w:val="20"/>
              </w:rPr>
            </w:pPr>
            <w:r>
              <w:rPr>
                <w:rFonts w:hint="eastAsia"/>
                <w:szCs w:val="20"/>
              </w:rPr>
              <w:t>申报主体代码</w:t>
            </w:r>
          </w:p>
        </w:tc>
        <w:tc>
          <w:tcPr>
            <w:tcW w:w="1418" w:type="dxa"/>
            <w:shd w:val="clear" w:color="auto" w:fill="auto"/>
            <w:noWrap/>
          </w:tcPr>
          <w:p w14:paraId="3E20C9B5" w14:textId="77777777" w:rsidR="00A052DC" w:rsidRDefault="009F0A60">
            <w:pPr>
              <w:pStyle w:val="B"/>
              <w:rPr>
                <w:szCs w:val="20"/>
              </w:rPr>
            </w:pPr>
            <w:r>
              <w:rPr>
                <w:rFonts w:hint="eastAsia"/>
                <w:szCs w:val="20"/>
              </w:rPr>
              <w:t>字符型，</w:t>
            </w:r>
            <w:r>
              <w:rPr>
                <w:szCs w:val="20"/>
              </w:rPr>
              <w:t>1</w:t>
            </w:r>
            <w:r>
              <w:rPr>
                <w:rFonts w:hint="eastAsia"/>
                <w:szCs w:val="20"/>
              </w:rPr>
              <w:t>8</w:t>
            </w:r>
          </w:p>
        </w:tc>
        <w:tc>
          <w:tcPr>
            <w:tcW w:w="4137" w:type="dxa"/>
          </w:tcPr>
          <w:p w14:paraId="0AE6ECEA" w14:textId="77777777" w:rsidR="00A052DC" w:rsidRDefault="009F0A60">
            <w:pPr>
              <w:pStyle w:val="B"/>
              <w:rPr>
                <w:szCs w:val="20"/>
              </w:rPr>
            </w:pPr>
            <w:r>
              <w:rPr>
                <w:rFonts w:hint="eastAsia"/>
                <w:szCs w:val="20"/>
              </w:rPr>
              <w:t>申报主体的12位金融机构标识码，如果没有金融机构标识码，则填报统一社会信用代码法定载体（如营业执照）上统一社会信用代码中的第9至17位或国家外汇管理局及其分支局签发的特殊机构代码赋码通知书上的机构代码、个人身份代码。</w:t>
            </w:r>
          </w:p>
        </w:tc>
      </w:tr>
      <w:tr w:rsidR="00A052DC" w14:paraId="59172082" w14:textId="77777777">
        <w:tc>
          <w:tcPr>
            <w:tcW w:w="1101" w:type="dxa"/>
            <w:shd w:val="clear" w:color="auto" w:fill="auto"/>
            <w:noWrap/>
          </w:tcPr>
          <w:p w14:paraId="31A70C06" w14:textId="77777777" w:rsidR="00A052DC" w:rsidRDefault="009F0A60">
            <w:pPr>
              <w:pStyle w:val="B"/>
              <w:rPr>
                <w:szCs w:val="20"/>
              </w:rPr>
            </w:pPr>
            <w:r>
              <w:rPr>
                <w:szCs w:val="20"/>
              </w:rPr>
              <w:t>BUOCMONTH</w:t>
            </w:r>
          </w:p>
        </w:tc>
        <w:tc>
          <w:tcPr>
            <w:tcW w:w="1957" w:type="dxa"/>
            <w:shd w:val="clear" w:color="auto" w:fill="auto"/>
          </w:tcPr>
          <w:p w14:paraId="708504B7" w14:textId="77777777" w:rsidR="00A052DC" w:rsidRDefault="009F0A60">
            <w:pPr>
              <w:pStyle w:val="B"/>
              <w:rPr>
                <w:szCs w:val="20"/>
              </w:rPr>
            </w:pPr>
            <w:r>
              <w:rPr>
                <w:rFonts w:hint="eastAsia"/>
                <w:szCs w:val="20"/>
              </w:rPr>
              <w:t>报告期</w:t>
            </w:r>
          </w:p>
        </w:tc>
        <w:tc>
          <w:tcPr>
            <w:tcW w:w="1418" w:type="dxa"/>
            <w:shd w:val="clear" w:color="auto" w:fill="auto"/>
            <w:noWrap/>
          </w:tcPr>
          <w:p w14:paraId="3A12C5B6" w14:textId="77777777" w:rsidR="00A052DC" w:rsidRDefault="009F0A60">
            <w:pPr>
              <w:pStyle w:val="B"/>
              <w:rPr>
                <w:szCs w:val="20"/>
              </w:rPr>
            </w:pPr>
            <w:r>
              <w:rPr>
                <w:rFonts w:hint="eastAsia"/>
                <w:szCs w:val="20"/>
              </w:rPr>
              <w:t>数值型，</w:t>
            </w:r>
            <w:r>
              <w:rPr>
                <w:szCs w:val="20"/>
              </w:rPr>
              <w:t>6</w:t>
            </w:r>
          </w:p>
        </w:tc>
        <w:tc>
          <w:tcPr>
            <w:tcW w:w="4137" w:type="dxa"/>
          </w:tcPr>
          <w:p w14:paraId="7D3799E0" w14:textId="77777777" w:rsidR="00A052DC" w:rsidRDefault="009F0A60">
            <w:pPr>
              <w:pStyle w:val="B"/>
              <w:rPr>
                <w:szCs w:val="20"/>
              </w:rPr>
            </w:pPr>
            <w:r>
              <w:rPr>
                <w:rFonts w:hint="eastAsia"/>
                <w:szCs w:val="20"/>
              </w:rPr>
              <w:t>必填项，格式为</w:t>
            </w:r>
            <w:r>
              <w:rPr>
                <w:szCs w:val="20"/>
              </w:rPr>
              <w:t>YYYYMM</w:t>
            </w:r>
            <w:r>
              <w:rPr>
                <w:rFonts w:hint="eastAsia"/>
                <w:szCs w:val="20"/>
              </w:rPr>
              <w:t>。</w:t>
            </w:r>
          </w:p>
        </w:tc>
      </w:tr>
      <w:tr w:rsidR="00A052DC" w14:paraId="34558BBA" w14:textId="77777777">
        <w:tc>
          <w:tcPr>
            <w:tcW w:w="1101" w:type="dxa"/>
            <w:shd w:val="clear" w:color="auto" w:fill="auto"/>
            <w:noWrap/>
          </w:tcPr>
          <w:p w14:paraId="6746F810" w14:textId="77777777" w:rsidR="00A052DC" w:rsidRDefault="009F0A60">
            <w:pPr>
              <w:pStyle w:val="B"/>
              <w:rPr>
                <w:szCs w:val="20"/>
              </w:rPr>
            </w:pPr>
            <w:r>
              <w:rPr>
                <w:szCs w:val="20"/>
              </w:rPr>
              <w:t>B0101</w:t>
            </w:r>
          </w:p>
        </w:tc>
        <w:tc>
          <w:tcPr>
            <w:tcW w:w="1957" w:type="dxa"/>
            <w:shd w:val="clear" w:color="auto" w:fill="auto"/>
          </w:tcPr>
          <w:p w14:paraId="28A759AD" w14:textId="77777777" w:rsidR="00A052DC" w:rsidRDefault="009F0A60">
            <w:pPr>
              <w:pStyle w:val="B"/>
              <w:rPr>
                <w:szCs w:val="20"/>
              </w:rPr>
            </w:pPr>
            <w:r>
              <w:rPr>
                <w:rFonts w:hint="eastAsia"/>
                <w:szCs w:val="20"/>
              </w:rPr>
              <w:t>申报主体身份</w:t>
            </w:r>
          </w:p>
        </w:tc>
        <w:tc>
          <w:tcPr>
            <w:tcW w:w="1418" w:type="dxa"/>
            <w:shd w:val="clear" w:color="auto" w:fill="auto"/>
            <w:noWrap/>
          </w:tcPr>
          <w:p w14:paraId="37280FD9" w14:textId="77777777" w:rsidR="00A052DC" w:rsidRDefault="009F0A60">
            <w:pPr>
              <w:pStyle w:val="B"/>
              <w:rPr>
                <w:szCs w:val="20"/>
              </w:rPr>
            </w:pPr>
            <w:r>
              <w:rPr>
                <w:rFonts w:hint="eastAsia"/>
                <w:szCs w:val="20"/>
              </w:rPr>
              <w:t>整数型</w:t>
            </w:r>
          </w:p>
        </w:tc>
        <w:tc>
          <w:tcPr>
            <w:tcW w:w="4137" w:type="dxa"/>
          </w:tcPr>
          <w:p w14:paraId="16F4D50C" w14:textId="77777777" w:rsidR="00A052DC" w:rsidRDefault="009F0A60">
            <w:pPr>
              <w:pStyle w:val="B"/>
              <w:rPr>
                <w:szCs w:val="20"/>
              </w:rPr>
            </w:pPr>
            <w:r>
              <w:rPr>
                <w:rFonts w:hint="eastAsia"/>
                <w:szCs w:val="20"/>
              </w:rPr>
              <w:t>必填项，必须3选</w:t>
            </w:r>
            <w:r>
              <w:rPr>
                <w:szCs w:val="20"/>
              </w:rPr>
              <w:t>1</w:t>
            </w:r>
            <w:r>
              <w:rPr>
                <w:rFonts w:hint="eastAsia"/>
                <w:szCs w:val="20"/>
              </w:rPr>
              <w:t>。</w:t>
            </w:r>
          </w:p>
          <w:p w14:paraId="499DDF56" w14:textId="77777777" w:rsidR="00A052DC" w:rsidRDefault="009F0A60">
            <w:pPr>
              <w:rPr>
                <w:rFonts w:ascii="黑体" w:eastAsia="黑体" w:hAnsi="黑体"/>
                <w:sz w:val="20"/>
                <w:szCs w:val="20"/>
              </w:rPr>
            </w:pPr>
            <w:r>
              <w:rPr>
                <w:rFonts w:ascii="黑体" w:eastAsia="黑体" w:hAnsi="黑体"/>
                <w:sz w:val="20"/>
                <w:szCs w:val="20"/>
              </w:rPr>
              <w:t>1-</w:t>
            </w:r>
            <w:r>
              <w:rPr>
                <w:rFonts w:ascii="黑体" w:eastAsia="黑体" w:hAnsi="黑体" w:hint="eastAsia"/>
                <w:sz w:val="20"/>
                <w:szCs w:val="20"/>
              </w:rPr>
              <w:t>以自身名义投资（无境内托管人、代理人或管理人）；</w:t>
            </w:r>
          </w:p>
          <w:p w14:paraId="488DC600" w14:textId="77777777" w:rsidR="00A052DC" w:rsidRDefault="009F0A60">
            <w:pPr>
              <w:rPr>
                <w:rFonts w:ascii="黑体" w:eastAsia="黑体" w:hAnsi="黑体"/>
                <w:sz w:val="20"/>
                <w:szCs w:val="20"/>
              </w:rPr>
            </w:pPr>
            <w:r>
              <w:rPr>
                <w:rFonts w:ascii="黑体" w:eastAsia="黑体" w:hAnsi="黑体"/>
                <w:sz w:val="20"/>
                <w:szCs w:val="20"/>
              </w:rPr>
              <w:t>2-</w:t>
            </w:r>
            <w:r>
              <w:rPr>
                <w:rFonts w:ascii="黑体" w:eastAsia="黑体" w:hAnsi="黑体" w:hint="eastAsia"/>
                <w:sz w:val="20"/>
                <w:szCs w:val="20"/>
              </w:rPr>
              <w:t>是代理人或管理人，以客户或产品名义投资；</w:t>
            </w:r>
          </w:p>
          <w:p w14:paraId="01F1CD17" w14:textId="77777777" w:rsidR="00A052DC" w:rsidRDefault="009F0A60">
            <w:pPr>
              <w:rPr>
                <w:rFonts w:ascii="黑体" w:eastAsia="黑体" w:hAnsi="黑体"/>
                <w:sz w:val="20"/>
                <w:szCs w:val="20"/>
              </w:rPr>
            </w:pPr>
            <w:r>
              <w:rPr>
                <w:rFonts w:ascii="黑体" w:eastAsia="黑体" w:hAnsi="黑体"/>
                <w:sz w:val="20"/>
                <w:szCs w:val="20"/>
              </w:rPr>
              <w:t>3-是境内结算机构或交易所，从居民投资者角度填报</w:t>
            </w:r>
            <w:r>
              <w:rPr>
                <w:rFonts w:ascii="黑体" w:eastAsia="黑体" w:hAnsi="黑体" w:hint="eastAsia"/>
                <w:sz w:val="20"/>
                <w:szCs w:val="20"/>
              </w:rPr>
              <w:t>。</w:t>
            </w:r>
          </w:p>
        </w:tc>
      </w:tr>
      <w:tr w:rsidR="00A052DC" w14:paraId="11B1F54E" w14:textId="77777777">
        <w:tc>
          <w:tcPr>
            <w:tcW w:w="1101" w:type="dxa"/>
            <w:shd w:val="clear" w:color="auto" w:fill="auto"/>
            <w:noWrap/>
          </w:tcPr>
          <w:p w14:paraId="50DE2408" w14:textId="77777777" w:rsidR="00A052DC" w:rsidRDefault="009F0A60">
            <w:pPr>
              <w:pStyle w:val="B"/>
              <w:rPr>
                <w:szCs w:val="20"/>
              </w:rPr>
            </w:pPr>
            <w:r>
              <w:rPr>
                <w:szCs w:val="20"/>
              </w:rPr>
              <w:t>B0102</w:t>
            </w:r>
          </w:p>
        </w:tc>
        <w:tc>
          <w:tcPr>
            <w:tcW w:w="1957" w:type="dxa"/>
            <w:shd w:val="clear" w:color="auto" w:fill="auto"/>
          </w:tcPr>
          <w:p w14:paraId="75191FFE" w14:textId="77777777" w:rsidR="00A052DC" w:rsidRDefault="009F0A60">
            <w:pPr>
              <w:pStyle w:val="B"/>
              <w:rPr>
                <w:szCs w:val="20"/>
              </w:rPr>
            </w:pPr>
            <w:r>
              <w:rPr>
                <w:rFonts w:hint="eastAsia"/>
                <w:szCs w:val="20"/>
              </w:rPr>
              <w:t>被代理人</w:t>
            </w:r>
            <w:r>
              <w:rPr>
                <w:szCs w:val="20"/>
              </w:rPr>
              <w:t>/</w:t>
            </w:r>
            <w:r>
              <w:rPr>
                <w:rFonts w:hint="eastAsia"/>
                <w:szCs w:val="20"/>
              </w:rPr>
              <w:t>委托人所属国家</w:t>
            </w:r>
            <w:r>
              <w:rPr>
                <w:szCs w:val="20"/>
              </w:rPr>
              <w:t>/</w:t>
            </w:r>
            <w:r>
              <w:rPr>
                <w:rFonts w:hint="eastAsia"/>
                <w:szCs w:val="20"/>
              </w:rPr>
              <w:t>地区</w:t>
            </w:r>
          </w:p>
        </w:tc>
        <w:tc>
          <w:tcPr>
            <w:tcW w:w="1418" w:type="dxa"/>
            <w:shd w:val="clear" w:color="auto" w:fill="auto"/>
            <w:noWrap/>
          </w:tcPr>
          <w:p w14:paraId="5FED525A" w14:textId="77777777" w:rsidR="00A052DC" w:rsidRDefault="009F0A60">
            <w:pPr>
              <w:pStyle w:val="B"/>
              <w:rPr>
                <w:szCs w:val="20"/>
              </w:rPr>
            </w:pPr>
            <w:r>
              <w:rPr>
                <w:rFonts w:hint="eastAsia"/>
                <w:szCs w:val="20"/>
              </w:rPr>
              <w:t>字符型，</w:t>
            </w:r>
            <w:r>
              <w:rPr>
                <w:szCs w:val="20"/>
              </w:rPr>
              <w:t>3</w:t>
            </w:r>
          </w:p>
        </w:tc>
        <w:tc>
          <w:tcPr>
            <w:tcW w:w="4137" w:type="dxa"/>
          </w:tcPr>
          <w:p w14:paraId="2E7D22EF" w14:textId="77777777" w:rsidR="00A052DC" w:rsidRDefault="009F0A60">
            <w:pPr>
              <w:pStyle w:val="B"/>
              <w:rPr>
                <w:szCs w:val="20"/>
              </w:rPr>
            </w:pPr>
            <w:r>
              <w:rPr>
                <w:rFonts w:hint="eastAsia"/>
                <w:szCs w:val="20"/>
              </w:rPr>
              <w:t>非必填项。如</w:t>
            </w:r>
            <w:r>
              <w:rPr>
                <w:szCs w:val="20"/>
              </w:rPr>
              <w:t>B0101</w:t>
            </w:r>
            <w:r>
              <w:rPr>
                <w:rFonts w:hint="eastAsia"/>
                <w:szCs w:val="20"/>
              </w:rPr>
              <w:t>选择</w:t>
            </w:r>
            <w:r>
              <w:rPr>
                <w:szCs w:val="20"/>
              </w:rPr>
              <w:t>1</w:t>
            </w:r>
            <w:r>
              <w:rPr>
                <w:rFonts w:hint="eastAsia"/>
                <w:szCs w:val="20"/>
              </w:rPr>
              <w:t>，则该字段为空；如</w:t>
            </w:r>
            <w:r>
              <w:rPr>
                <w:szCs w:val="20"/>
              </w:rPr>
              <w:t>B0101</w:t>
            </w:r>
            <w:r>
              <w:rPr>
                <w:rFonts w:hint="eastAsia"/>
                <w:szCs w:val="20"/>
              </w:rPr>
              <w:t>选择</w:t>
            </w:r>
            <w:r>
              <w:rPr>
                <w:szCs w:val="20"/>
              </w:rPr>
              <w:t>2</w:t>
            </w:r>
            <w:r>
              <w:rPr>
                <w:rFonts w:hint="eastAsia"/>
                <w:szCs w:val="20"/>
              </w:rPr>
              <w:t>，则该字段必须</w:t>
            </w:r>
            <w:r>
              <w:rPr>
                <w:szCs w:val="20"/>
              </w:rPr>
              <w:t>=CHN</w:t>
            </w:r>
            <w:r>
              <w:rPr>
                <w:rFonts w:hint="eastAsia"/>
                <w:szCs w:val="20"/>
              </w:rPr>
              <w:t>（中国）。</w:t>
            </w:r>
          </w:p>
        </w:tc>
      </w:tr>
      <w:tr w:rsidR="00A052DC" w14:paraId="563F8AB7" w14:textId="77777777">
        <w:tc>
          <w:tcPr>
            <w:tcW w:w="1101" w:type="dxa"/>
            <w:shd w:val="clear" w:color="auto" w:fill="auto"/>
            <w:noWrap/>
          </w:tcPr>
          <w:p w14:paraId="731C79F0" w14:textId="77777777" w:rsidR="00A052DC" w:rsidRDefault="009F0A60">
            <w:pPr>
              <w:pStyle w:val="B"/>
              <w:rPr>
                <w:szCs w:val="20"/>
              </w:rPr>
            </w:pPr>
            <w:r>
              <w:rPr>
                <w:szCs w:val="20"/>
              </w:rPr>
              <w:t>B0103</w:t>
            </w:r>
          </w:p>
        </w:tc>
        <w:tc>
          <w:tcPr>
            <w:tcW w:w="1957" w:type="dxa"/>
            <w:shd w:val="clear" w:color="auto" w:fill="auto"/>
          </w:tcPr>
          <w:p w14:paraId="267EECC4" w14:textId="77777777" w:rsidR="00A052DC" w:rsidRDefault="009F0A60">
            <w:pPr>
              <w:pStyle w:val="B"/>
              <w:rPr>
                <w:szCs w:val="20"/>
              </w:rPr>
            </w:pPr>
            <w:r>
              <w:rPr>
                <w:rFonts w:hint="eastAsia"/>
                <w:szCs w:val="20"/>
              </w:rPr>
              <w:t>被代理人</w:t>
            </w:r>
            <w:r>
              <w:rPr>
                <w:szCs w:val="20"/>
              </w:rPr>
              <w:t>/</w:t>
            </w:r>
            <w:r>
              <w:rPr>
                <w:rFonts w:hint="eastAsia"/>
                <w:szCs w:val="20"/>
              </w:rPr>
              <w:t>委托人所属部门</w:t>
            </w:r>
          </w:p>
        </w:tc>
        <w:tc>
          <w:tcPr>
            <w:tcW w:w="1418" w:type="dxa"/>
            <w:shd w:val="clear" w:color="auto" w:fill="auto"/>
            <w:noWrap/>
          </w:tcPr>
          <w:p w14:paraId="6E4DE95A" w14:textId="77777777" w:rsidR="00A052DC" w:rsidRDefault="009F0A60">
            <w:pPr>
              <w:pStyle w:val="B"/>
              <w:rPr>
                <w:szCs w:val="20"/>
              </w:rPr>
            </w:pPr>
            <w:r>
              <w:rPr>
                <w:rFonts w:hint="eastAsia"/>
                <w:szCs w:val="20"/>
              </w:rPr>
              <w:t>整数型</w:t>
            </w:r>
          </w:p>
        </w:tc>
        <w:tc>
          <w:tcPr>
            <w:tcW w:w="4137" w:type="dxa"/>
          </w:tcPr>
          <w:p w14:paraId="3DFE0CD8" w14:textId="77777777" w:rsidR="00A052DC" w:rsidRDefault="009F0A60">
            <w:pPr>
              <w:pStyle w:val="B"/>
              <w:rPr>
                <w:szCs w:val="20"/>
              </w:rPr>
            </w:pPr>
            <w:r>
              <w:rPr>
                <w:rFonts w:hint="eastAsia"/>
                <w:szCs w:val="20"/>
              </w:rPr>
              <w:t>非必填项，如</w:t>
            </w:r>
            <w:r>
              <w:rPr>
                <w:szCs w:val="20"/>
              </w:rPr>
              <w:t>B0101</w:t>
            </w:r>
            <w:r>
              <w:rPr>
                <w:rFonts w:hint="eastAsia"/>
                <w:szCs w:val="20"/>
              </w:rPr>
              <w:t>选择</w:t>
            </w:r>
            <w:r>
              <w:rPr>
                <w:szCs w:val="20"/>
              </w:rPr>
              <w:t>1</w:t>
            </w:r>
            <w:r>
              <w:rPr>
                <w:rFonts w:hint="eastAsia"/>
                <w:szCs w:val="20"/>
              </w:rPr>
              <w:t>，则该字段为空；如</w:t>
            </w:r>
            <w:r>
              <w:rPr>
                <w:szCs w:val="20"/>
              </w:rPr>
              <w:t>B0101</w:t>
            </w:r>
            <w:r>
              <w:rPr>
                <w:rFonts w:hint="eastAsia"/>
                <w:szCs w:val="20"/>
              </w:rPr>
              <w:t>选择</w:t>
            </w:r>
            <w:r>
              <w:rPr>
                <w:szCs w:val="20"/>
              </w:rPr>
              <w:t>2</w:t>
            </w:r>
            <w:r>
              <w:rPr>
                <w:rFonts w:hint="eastAsia"/>
                <w:szCs w:val="20"/>
              </w:rPr>
              <w:t>，则为必填项，见投资者（被投资者）部门代码表。</w:t>
            </w:r>
          </w:p>
        </w:tc>
      </w:tr>
      <w:tr w:rsidR="00A052DC" w14:paraId="4D1FDE5C" w14:textId="77777777">
        <w:tc>
          <w:tcPr>
            <w:tcW w:w="1101" w:type="dxa"/>
            <w:shd w:val="clear" w:color="auto" w:fill="auto"/>
            <w:noWrap/>
          </w:tcPr>
          <w:p w14:paraId="5EB97CEC" w14:textId="77777777" w:rsidR="00A052DC" w:rsidRDefault="009F0A60">
            <w:pPr>
              <w:pStyle w:val="B"/>
              <w:rPr>
                <w:szCs w:val="20"/>
              </w:rPr>
            </w:pPr>
            <w:bookmarkStart w:id="3053" w:name="OLE_LINK26"/>
            <w:r>
              <w:rPr>
                <w:szCs w:val="20"/>
              </w:rPr>
              <w:t>B0104</w:t>
            </w:r>
            <w:bookmarkEnd w:id="3053"/>
          </w:p>
        </w:tc>
        <w:tc>
          <w:tcPr>
            <w:tcW w:w="1957" w:type="dxa"/>
            <w:shd w:val="clear" w:color="auto" w:fill="auto"/>
          </w:tcPr>
          <w:p w14:paraId="0CFA5FE6" w14:textId="77777777" w:rsidR="00A052DC" w:rsidRDefault="009F0A60">
            <w:pPr>
              <w:pStyle w:val="B"/>
              <w:rPr>
                <w:szCs w:val="20"/>
              </w:rPr>
            </w:pPr>
            <w:r>
              <w:rPr>
                <w:rFonts w:hint="eastAsia"/>
                <w:szCs w:val="20"/>
              </w:rPr>
              <w:t>投资工具类型</w:t>
            </w:r>
          </w:p>
        </w:tc>
        <w:tc>
          <w:tcPr>
            <w:tcW w:w="1418" w:type="dxa"/>
            <w:shd w:val="clear" w:color="auto" w:fill="auto"/>
            <w:noWrap/>
          </w:tcPr>
          <w:p w14:paraId="7C3DBF30" w14:textId="77777777" w:rsidR="00A052DC" w:rsidRDefault="009F0A60">
            <w:pPr>
              <w:pStyle w:val="B"/>
              <w:rPr>
                <w:szCs w:val="20"/>
              </w:rPr>
            </w:pPr>
            <w:r>
              <w:rPr>
                <w:rFonts w:hint="eastAsia"/>
                <w:szCs w:val="20"/>
              </w:rPr>
              <w:t>整数型</w:t>
            </w:r>
          </w:p>
        </w:tc>
        <w:tc>
          <w:tcPr>
            <w:tcW w:w="4137" w:type="dxa"/>
          </w:tcPr>
          <w:p w14:paraId="67DC7CF6" w14:textId="77777777" w:rsidR="00A052DC" w:rsidRDefault="009F0A60">
            <w:pPr>
              <w:pStyle w:val="B"/>
              <w:rPr>
                <w:szCs w:val="20"/>
              </w:rPr>
            </w:pPr>
            <w:r>
              <w:rPr>
                <w:rFonts w:hint="eastAsia"/>
                <w:szCs w:val="20"/>
              </w:rPr>
              <w:t>必填项，必须5选</w:t>
            </w:r>
            <w:r>
              <w:rPr>
                <w:szCs w:val="20"/>
              </w:rPr>
              <w:t>1</w:t>
            </w:r>
            <w:r>
              <w:rPr>
                <w:rFonts w:hint="eastAsia"/>
                <w:szCs w:val="20"/>
              </w:rPr>
              <w:t>。</w:t>
            </w:r>
          </w:p>
          <w:p w14:paraId="10B2D232" w14:textId="77777777" w:rsidR="00A052DC" w:rsidRDefault="009F0A60">
            <w:pPr>
              <w:pStyle w:val="B"/>
              <w:rPr>
                <w:szCs w:val="20"/>
              </w:rPr>
            </w:pPr>
            <w:r>
              <w:rPr>
                <w:szCs w:val="20"/>
              </w:rPr>
              <w:t>1-</w:t>
            </w:r>
            <w:r>
              <w:rPr>
                <w:rFonts w:hint="eastAsia"/>
                <w:szCs w:val="20"/>
              </w:rPr>
              <w:t>上市普通股份；</w:t>
            </w:r>
          </w:p>
          <w:p w14:paraId="37368010" w14:textId="77777777" w:rsidR="00A052DC" w:rsidRDefault="009F0A60">
            <w:pPr>
              <w:pStyle w:val="B"/>
              <w:rPr>
                <w:szCs w:val="20"/>
              </w:rPr>
            </w:pPr>
            <w:r>
              <w:rPr>
                <w:szCs w:val="20"/>
              </w:rPr>
              <w:t>2-</w:t>
            </w:r>
            <w:r>
              <w:rPr>
                <w:rFonts w:hint="eastAsia"/>
                <w:szCs w:val="20"/>
              </w:rPr>
              <w:t>非上市普通股份（但可交易）；</w:t>
            </w:r>
          </w:p>
          <w:p w14:paraId="40DBAC9F" w14:textId="77777777" w:rsidR="00A052DC" w:rsidRDefault="009F0A60">
            <w:pPr>
              <w:pStyle w:val="B"/>
              <w:rPr>
                <w:szCs w:val="20"/>
              </w:rPr>
            </w:pPr>
            <w:r>
              <w:rPr>
                <w:szCs w:val="20"/>
              </w:rPr>
              <w:t>3-</w:t>
            </w:r>
            <w:r>
              <w:rPr>
                <w:rFonts w:hint="eastAsia"/>
                <w:szCs w:val="20"/>
              </w:rPr>
              <w:t>货币市场基金份额</w:t>
            </w:r>
            <w:r>
              <w:rPr>
                <w:szCs w:val="20"/>
              </w:rPr>
              <w:t>/</w:t>
            </w:r>
            <w:r>
              <w:rPr>
                <w:rFonts w:hint="eastAsia"/>
                <w:szCs w:val="20"/>
              </w:rPr>
              <w:t>单位；</w:t>
            </w:r>
          </w:p>
          <w:p w14:paraId="467A1C30" w14:textId="77777777" w:rsidR="00A052DC" w:rsidRDefault="009F0A60">
            <w:pPr>
              <w:pStyle w:val="B"/>
              <w:rPr>
                <w:szCs w:val="20"/>
              </w:rPr>
            </w:pPr>
            <w:r>
              <w:rPr>
                <w:szCs w:val="20"/>
              </w:rPr>
              <w:t>4-</w:t>
            </w:r>
            <w:r>
              <w:rPr>
                <w:rFonts w:hint="eastAsia"/>
                <w:szCs w:val="20"/>
              </w:rPr>
              <w:t>非货币市场基金份额</w:t>
            </w:r>
            <w:r>
              <w:rPr>
                <w:szCs w:val="20"/>
              </w:rPr>
              <w:t>/</w:t>
            </w:r>
            <w:r>
              <w:rPr>
                <w:rFonts w:hint="eastAsia"/>
                <w:szCs w:val="20"/>
              </w:rPr>
              <w:t>单位；</w:t>
            </w:r>
          </w:p>
          <w:p w14:paraId="559841C4" w14:textId="77777777" w:rsidR="00A052DC" w:rsidRDefault="009F0A60">
            <w:pPr>
              <w:pStyle w:val="B"/>
              <w:rPr>
                <w:szCs w:val="20"/>
              </w:rPr>
            </w:pPr>
            <w:r>
              <w:rPr>
                <w:rFonts w:hint="eastAsia"/>
                <w:szCs w:val="20"/>
              </w:rPr>
              <w:t>5-参与性优先股。</w:t>
            </w:r>
          </w:p>
        </w:tc>
      </w:tr>
      <w:tr w:rsidR="00A052DC" w14:paraId="29AA1E08" w14:textId="77777777">
        <w:tc>
          <w:tcPr>
            <w:tcW w:w="1101" w:type="dxa"/>
            <w:shd w:val="clear" w:color="auto" w:fill="auto"/>
            <w:noWrap/>
          </w:tcPr>
          <w:p w14:paraId="5AA24750" w14:textId="77777777" w:rsidR="00A052DC" w:rsidRDefault="009F0A60">
            <w:pPr>
              <w:pStyle w:val="B"/>
              <w:rPr>
                <w:szCs w:val="20"/>
              </w:rPr>
            </w:pPr>
            <w:r>
              <w:rPr>
                <w:rFonts w:hint="eastAsia"/>
                <w:szCs w:val="20"/>
              </w:rPr>
              <w:t>B0104CODE</w:t>
            </w:r>
          </w:p>
        </w:tc>
        <w:tc>
          <w:tcPr>
            <w:tcW w:w="1957" w:type="dxa"/>
            <w:shd w:val="clear" w:color="auto" w:fill="auto"/>
          </w:tcPr>
          <w:p w14:paraId="1E96A460" w14:textId="77777777" w:rsidR="00A052DC" w:rsidRDefault="009F0A60">
            <w:pPr>
              <w:pStyle w:val="B"/>
              <w:rPr>
                <w:szCs w:val="20"/>
              </w:rPr>
            </w:pPr>
            <w:r>
              <w:rPr>
                <w:rFonts w:hint="eastAsia"/>
                <w:szCs w:val="20"/>
              </w:rPr>
              <w:t>业务类型</w:t>
            </w:r>
          </w:p>
        </w:tc>
        <w:tc>
          <w:tcPr>
            <w:tcW w:w="1418" w:type="dxa"/>
            <w:shd w:val="clear" w:color="auto" w:fill="auto"/>
            <w:noWrap/>
          </w:tcPr>
          <w:p w14:paraId="142CC853" w14:textId="77777777" w:rsidR="00A052DC" w:rsidRDefault="009F0A60">
            <w:pPr>
              <w:pStyle w:val="B"/>
              <w:rPr>
                <w:szCs w:val="20"/>
              </w:rPr>
            </w:pPr>
            <w:r>
              <w:rPr>
                <w:rFonts w:hint="eastAsia"/>
                <w:szCs w:val="20"/>
              </w:rPr>
              <w:t>整数型</w:t>
            </w:r>
          </w:p>
        </w:tc>
        <w:tc>
          <w:tcPr>
            <w:tcW w:w="4137" w:type="dxa"/>
          </w:tcPr>
          <w:p w14:paraId="150DDCA4" w14:textId="77777777" w:rsidR="00A052DC" w:rsidRDefault="009F0A60">
            <w:pPr>
              <w:rPr>
                <w:rFonts w:ascii="黑体" w:eastAsia="黑体" w:hAnsi="黑体"/>
                <w:kern w:val="0"/>
                <w:sz w:val="20"/>
                <w:szCs w:val="20"/>
              </w:rPr>
            </w:pPr>
            <w:r>
              <w:rPr>
                <w:rFonts w:ascii="黑体" w:eastAsia="黑体" w:hAnsi="黑体" w:hint="eastAsia"/>
                <w:kern w:val="0"/>
                <w:sz w:val="20"/>
                <w:szCs w:val="20"/>
              </w:rPr>
              <w:t>必填项，必须5选1。</w:t>
            </w:r>
          </w:p>
          <w:p w14:paraId="4FD633CD" w14:textId="77777777" w:rsidR="00A052DC" w:rsidRDefault="009F0A60">
            <w:pPr>
              <w:rPr>
                <w:rFonts w:ascii="黑体" w:eastAsia="黑体" w:hAnsi="黑体"/>
                <w:kern w:val="0"/>
                <w:sz w:val="20"/>
                <w:szCs w:val="20"/>
              </w:rPr>
            </w:pPr>
            <w:r>
              <w:rPr>
                <w:rFonts w:ascii="黑体" w:eastAsia="黑体" w:hAnsi="黑体"/>
                <w:kern w:val="0"/>
                <w:sz w:val="20"/>
                <w:szCs w:val="20"/>
              </w:rPr>
              <w:t>1-</w:t>
            </w:r>
            <w:r>
              <w:rPr>
                <w:rFonts w:ascii="黑体" w:eastAsia="黑体" w:hAnsi="黑体" w:hint="eastAsia"/>
                <w:kern w:val="0"/>
                <w:sz w:val="20"/>
                <w:szCs w:val="20"/>
              </w:rPr>
              <w:t>基金互认；</w:t>
            </w:r>
          </w:p>
          <w:p w14:paraId="678E3076" w14:textId="77777777" w:rsidR="00A052DC" w:rsidRDefault="009F0A60">
            <w:pPr>
              <w:rPr>
                <w:rFonts w:ascii="黑体" w:eastAsia="黑体" w:hAnsi="黑体"/>
                <w:kern w:val="0"/>
                <w:sz w:val="20"/>
                <w:szCs w:val="20"/>
              </w:rPr>
            </w:pPr>
            <w:r>
              <w:rPr>
                <w:rFonts w:ascii="黑体" w:eastAsia="黑体" w:hAnsi="黑体" w:hint="eastAsia"/>
                <w:kern w:val="0"/>
                <w:sz w:val="20"/>
                <w:szCs w:val="20"/>
              </w:rPr>
              <w:t>2</w:t>
            </w:r>
            <w:r>
              <w:rPr>
                <w:rFonts w:ascii="黑体" w:eastAsia="黑体" w:hAnsi="黑体"/>
                <w:kern w:val="0"/>
                <w:sz w:val="20"/>
                <w:szCs w:val="20"/>
              </w:rPr>
              <w:t>-</w:t>
            </w:r>
            <w:r>
              <w:rPr>
                <w:rFonts w:ascii="黑体" w:eastAsia="黑体" w:hAnsi="黑体" w:hint="eastAsia"/>
                <w:kern w:val="0"/>
                <w:sz w:val="20"/>
                <w:szCs w:val="20"/>
              </w:rPr>
              <w:t>沪港通；</w:t>
            </w:r>
          </w:p>
          <w:p w14:paraId="54E61BC6" w14:textId="77777777" w:rsidR="00A052DC" w:rsidRDefault="009F0A60">
            <w:pPr>
              <w:rPr>
                <w:rFonts w:ascii="黑体" w:eastAsia="黑体" w:hAnsi="黑体"/>
                <w:kern w:val="0"/>
                <w:sz w:val="20"/>
                <w:szCs w:val="20"/>
              </w:rPr>
            </w:pPr>
            <w:r>
              <w:rPr>
                <w:rFonts w:ascii="黑体" w:eastAsia="黑体" w:hAnsi="黑体" w:hint="eastAsia"/>
                <w:kern w:val="0"/>
                <w:sz w:val="20"/>
                <w:szCs w:val="20"/>
              </w:rPr>
              <w:t>3</w:t>
            </w:r>
            <w:r>
              <w:rPr>
                <w:rFonts w:ascii="黑体" w:eastAsia="黑体" w:hAnsi="黑体"/>
                <w:kern w:val="0"/>
                <w:sz w:val="20"/>
                <w:szCs w:val="20"/>
              </w:rPr>
              <w:t>-</w:t>
            </w:r>
            <w:r>
              <w:rPr>
                <w:rFonts w:ascii="黑体" w:eastAsia="黑体" w:hAnsi="黑体" w:hint="eastAsia"/>
                <w:kern w:val="0"/>
                <w:sz w:val="20"/>
                <w:szCs w:val="20"/>
              </w:rPr>
              <w:t>深港通；</w:t>
            </w:r>
          </w:p>
          <w:p w14:paraId="1AC44CE7" w14:textId="77777777" w:rsidR="00A052DC" w:rsidRDefault="009F0A60">
            <w:pPr>
              <w:rPr>
                <w:rFonts w:ascii="黑体" w:eastAsia="黑体" w:hAnsi="黑体"/>
                <w:kern w:val="0"/>
                <w:sz w:val="20"/>
                <w:szCs w:val="20"/>
              </w:rPr>
            </w:pPr>
            <w:r>
              <w:rPr>
                <w:rFonts w:ascii="黑体" w:eastAsia="黑体" w:hAnsi="黑体" w:hint="eastAsia"/>
                <w:kern w:val="0"/>
                <w:sz w:val="20"/>
                <w:szCs w:val="20"/>
              </w:rPr>
              <w:t>4-境内居民参与境外企业股权激励计划；</w:t>
            </w:r>
          </w:p>
          <w:p w14:paraId="77C708D0" w14:textId="77777777" w:rsidR="00A052DC" w:rsidRDefault="009F0A60">
            <w:pPr>
              <w:rPr>
                <w:rFonts w:ascii="黑体" w:eastAsia="黑体" w:hAnsi="黑体"/>
                <w:sz w:val="20"/>
                <w:szCs w:val="20"/>
              </w:rPr>
            </w:pPr>
            <w:r>
              <w:rPr>
                <w:rFonts w:ascii="黑体" w:eastAsia="黑体" w:hAnsi="黑体" w:hint="eastAsia"/>
                <w:kern w:val="0"/>
                <w:sz w:val="20"/>
                <w:szCs w:val="20"/>
              </w:rPr>
              <w:t>9-其他。</w:t>
            </w:r>
          </w:p>
        </w:tc>
      </w:tr>
      <w:tr w:rsidR="00A052DC" w14:paraId="24D2D36C" w14:textId="77777777">
        <w:tc>
          <w:tcPr>
            <w:tcW w:w="1101" w:type="dxa"/>
            <w:shd w:val="clear" w:color="auto" w:fill="auto"/>
            <w:noWrap/>
          </w:tcPr>
          <w:p w14:paraId="7E4EE627" w14:textId="77777777" w:rsidR="00A052DC" w:rsidRDefault="009F0A60">
            <w:pPr>
              <w:pStyle w:val="B"/>
              <w:rPr>
                <w:szCs w:val="20"/>
              </w:rPr>
            </w:pPr>
            <w:r>
              <w:rPr>
                <w:szCs w:val="20"/>
              </w:rPr>
              <w:t>B0105</w:t>
            </w:r>
          </w:p>
        </w:tc>
        <w:tc>
          <w:tcPr>
            <w:tcW w:w="1957" w:type="dxa"/>
            <w:shd w:val="clear" w:color="auto" w:fill="auto"/>
          </w:tcPr>
          <w:p w14:paraId="33E070C9" w14:textId="77777777" w:rsidR="00A052DC" w:rsidRDefault="009F0A60">
            <w:pPr>
              <w:pStyle w:val="B"/>
              <w:rPr>
                <w:szCs w:val="20"/>
              </w:rPr>
            </w:pPr>
            <w:r>
              <w:rPr>
                <w:rFonts w:hint="eastAsia"/>
                <w:szCs w:val="20"/>
              </w:rPr>
              <w:t>发行地</w:t>
            </w:r>
          </w:p>
        </w:tc>
        <w:tc>
          <w:tcPr>
            <w:tcW w:w="1418" w:type="dxa"/>
            <w:shd w:val="clear" w:color="auto" w:fill="auto"/>
            <w:noWrap/>
          </w:tcPr>
          <w:p w14:paraId="4453AA5B" w14:textId="77777777" w:rsidR="00A052DC" w:rsidRDefault="009F0A60">
            <w:pPr>
              <w:pStyle w:val="B"/>
              <w:rPr>
                <w:szCs w:val="20"/>
              </w:rPr>
            </w:pPr>
            <w:r>
              <w:rPr>
                <w:rFonts w:hint="eastAsia"/>
                <w:szCs w:val="20"/>
              </w:rPr>
              <w:t>字符型，</w:t>
            </w:r>
            <w:r>
              <w:rPr>
                <w:szCs w:val="20"/>
              </w:rPr>
              <w:t>3</w:t>
            </w:r>
          </w:p>
        </w:tc>
        <w:tc>
          <w:tcPr>
            <w:tcW w:w="4137" w:type="dxa"/>
          </w:tcPr>
          <w:p w14:paraId="58BB4F02" w14:textId="77777777" w:rsidR="00A052DC" w:rsidRDefault="009F0A60">
            <w:pPr>
              <w:pStyle w:val="B"/>
              <w:rPr>
                <w:szCs w:val="20"/>
              </w:rPr>
            </w:pPr>
            <w:r>
              <w:rPr>
                <w:rFonts w:hint="eastAsia"/>
                <w:szCs w:val="20"/>
              </w:rPr>
              <w:t>必填项，见国家和地区代码表的</w:t>
            </w:r>
            <w:r>
              <w:rPr>
                <w:szCs w:val="20"/>
              </w:rPr>
              <w:t>3</w:t>
            </w:r>
            <w:r>
              <w:rPr>
                <w:rFonts w:hint="eastAsia"/>
                <w:szCs w:val="20"/>
              </w:rPr>
              <w:t>位字母代码。当B0104=2时，B0105发行地≠</w:t>
            </w:r>
            <w:r>
              <w:rPr>
                <w:szCs w:val="20"/>
              </w:rPr>
              <w:t>CHN</w:t>
            </w:r>
            <w:r>
              <w:rPr>
                <w:rFonts w:hint="eastAsia"/>
                <w:szCs w:val="20"/>
              </w:rPr>
              <w:t>。</w:t>
            </w:r>
          </w:p>
        </w:tc>
      </w:tr>
      <w:tr w:rsidR="00A052DC" w14:paraId="4D226DEA" w14:textId="77777777">
        <w:tc>
          <w:tcPr>
            <w:tcW w:w="1101" w:type="dxa"/>
            <w:shd w:val="clear" w:color="auto" w:fill="auto"/>
            <w:noWrap/>
          </w:tcPr>
          <w:p w14:paraId="4705ABF4" w14:textId="77777777" w:rsidR="00A052DC" w:rsidRDefault="009F0A60">
            <w:pPr>
              <w:pStyle w:val="B"/>
              <w:rPr>
                <w:szCs w:val="20"/>
              </w:rPr>
            </w:pPr>
            <w:r>
              <w:rPr>
                <w:szCs w:val="20"/>
              </w:rPr>
              <w:t>B0106</w:t>
            </w:r>
          </w:p>
        </w:tc>
        <w:tc>
          <w:tcPr>
            <w:tcW w:w="1957" w:type="dxa"/>
            <w:shd w:val="clear" w:color="auto" w:fill="auto"/>
          </w:tcPr>
          <w:p w14:paraId="3FA281B0" w14:textId="77777777" w:rsidR="00A052DC" w:rsidRDefault="009F0A60">
            <w:pPr>
              <w:pStyle w:val="B"/>
              <w:rPr>
                <w:szCs w:val="20"/>
              </w:rPr>
            </w:pPr>
            <w:r>
              <w:rPr>
                <w:rFonts w:hint="eastAsia"/>
                <w:szCs w:val="20"/>
              </w:rPr>
              <w:t>证券代码（逐支报送使用）</w:t>
            </w:r>
          </w:p>
        </w:tc>
        <w:tc>
          <w:tcPr>
            <w:tcW w:w="1418" w:type="dxa"/>
            <w:shd w:val="clear" w:color="auto" w:fill="auto"/>
            <w:noWrap/>
          </w:tcPr>
          <w:p w14:paraId="585612CE" w14:textId="77777777" w:rsidR="00A052DC" w:rsidRDefault="009F0A60">
            <w:pPr>
              <w:pStyle w:val="B"/>
              <w:rPr>
                <w:szCs w:val="20"/>
              </w:rPr>
            </w:pPr>
            <w:r>
              <w:rPr>
                <w:rFonts w:hint="eastAsia"/>
                <w:szCs w:val="20"/>
              </w:rPr>
              <w:t>字符型，</w:t>
            </w:r>
            <w:r>
              <w:rPr>
                <w:szCs w:val="20"/>
              </w:rPr>
              <w:t>255</w:t>
            </w:r>
          </w:p>
        </w:tc>
        <w:tc>
          <w:tcPr>
            <w:tcW w:w="4137" w:type="dxa"/>
          </w:tcPr>
          <w:p w14:paraId="791C48D1" w14:textId="77777777" w:rsidR="00A052DC" w:rsidRDefault="009F0A60">
            <w:pPr>
              <w:pStyle w:val="B"/>
              <w:rPr>
                <w:szCs w:val="20"/>
              </w:rPr>
            </w:pPr>
            <w:r>
              <w:rPr>
                <w:rFonts w:hint="eastAsia"/>
                <w:szCs w:val="20"/>
              </w:rPr>
              <w:t>必填项。如选择逐支报送，则填写实际代码；如选择汇总报送，则填写“</w:t>
            </w:r>
            <w:r>
              <w:rPr>
                <w:szCs w:val="20"/>
              </w:rPr>
              <w:t>N/A</w:t>
            </w:r>
            <w:r>
              <w:rPr>
                <w:rFonts w:hint="eastAsia"/>
                <w:szCs w:val="20"/>
              </w:rPr>
              <w:t>”。</w:t>
            </w:r>
          </w:p>
        </w:tc>
      </w:tr>
      <w:tr w:rsidR="00A052DC" w14:paraId="6248A7CE" w14:textId="77777777">
        <w:tc>
          <w:tcPr>
            <w:tcW w:w="1101" w:type="dxa"/>
            <w:shd w:val="clear" w:color="auto" w:fill="auto"/>
            <w:noWrap/>
          </w:tcPr>
          <w:p w14:paraId="3CDF8ABE" w14:textId="77777777" w:rsidR="00A052DC" w:rsidRDefault="009F0A60">
            <w:pPr>
              <w:pStyle w:val="B"/>
              <w:rPr>
                <w:szCs w:val="20"/>
              </w:rPr>
            </w:pPr>
            <w:r>
              <w:rPr>
                <w:szCs w:val="20"/>
              </w:rPr>
              <w:t>B0107</w:t>
            </w:r>
          </w:p>
        </w:tc>
        <w:tc>
          <w:tcPr>
            <w:tcW w:w="1957" w:type="dxa"/>
            <w:shd w:val="clear" w:color="auto" w:fill="auto"/>
          </w:tcPr>
          <w:p w14:paraId="66DA619B" w14:textId="77777777" w:rsidR="00A052DC" w:rsidRDefault="009F0A60">
            <w:pPr>
              <w:pStyle w:val="B"/>
              <w:rPr>
                <w:szCs w:val="20"/>
              </w:rPr>
            </w:pPr>
            <w:r>
              <w:rPr>
                <w:rFonts w:hint="eastAsia"/>
                <w:szCs w:val="20"/>
              </w:rPr>
              <w:t>证券发行主体名称（逐支报送使用）</w:t>
            </w:r>
          </w:p>
        </w:tc>
        <w:tc>
          <w:tcPr>
            <w:tcW w:w="1418" w:type="dxa"/>
            <w:shd w:val="clear" w:color="auto" w:fill="auto"/>
            <w:noWrap/>
          </w:tcPr>
          <w:p w14:paraId="62DF5531" w14:textId="77777777" w:rsidR="00A052DC" w:rsidRDefault="009F0A60">
            <w:pPr>
              <w:pStyle w:val="B"/>
              <w:rPr>
                <w:szCs w:val="20"/>
              </w:rPr>
            </w:pPr>
            <w:r>
              <w:rPr>
                <w:rFonts w:hint="eastAsia"/>
                <w:szCs w:val="20"/>
              </w:rPr>
              <w:t>字符型，</w:t>
            </w:r>
            <w:r>
              <w:rPr>
                <w:szCs w:val="20"/>
              </w:rPr>
              <w:t>255</w:t>
            </w:r>
          </w:p>
        </w:tc>
        <w:tc>
          <w:tcPr>
            <w:tcW w:w="4137" w:type="dxa"/>
          </w:tcPr>
          <w:p w14:paraId="2CD4297F" w14:textId="77777777" w:rsidR="00A052DC" w:rsidRDefault="009F0A60">
            <w:pPr>
              <w:pStyle w:val="B"/>
              <w:rPr>
                <w:szCs w:val="20"/>
              </w:rPr>
            </w:pPr>
            <w:r>
              <w:rPr>
                <w:rFonts w:hint="eastAsia"/>
                <w:szCs w:val="20"/>
              </w:rPr>
              <w:t>非必填项。如</w:t>
            </w:r>
            <w:r>
              <w:rPr>
                <w:szCs w:val="20"/>
              </w:rPr>
              <w:t>B0106</w:t>
            </w:r>
            <w:r>
              <w:rPr>
                <w:rFonts w:hint="eastAsia"/>
                <w:szCs w:val="20"/>
              </w:rPr>
              <w:t>≠</w:t>
            </w:r>
            <w:r>
              <w:rPr>
                <w:szCs w:val="20"/>
              </w:rPr>
              <w:t>N/A</w:t>
            </w:r>
            <w:r>
              <w:rPr>
                <w:rFonts w:hint="eastAsia"/>
                <w:szCs w:val="20"/>
              </w:rPr>
              <w:t>，则此项填写实际名称；如</w:t>
            </w:r>
            <w:r>
              <w:rPr>
                <w:szCs w:val="20"/>
              </w:rPr>
              <w:t>B0106=N/A</w:t>
            </w:r>
            <w:r>
              <w:rPr>
                <w:rFonts w:hint="eastAsia"/>
                <w:szCs w:val="20"/>
              </w:rPr>
              <w:t>，此项为空。</w:t>
            </w:r>
          </w:p>
        </w:tc>
      </w:tr>
      <w:tr w:rsidR="00A052DC" w14:paraId="5E9B0972" w14:textId="77777777">
        <w:tc>
          <w:tcPr>
            <w:tcW w:w="1101" w:type="dxa"/>
            <w:shd w:val="clear" w:color="auto" w:fill="auto"/>
            <w:noWrap/>
          </w:tcPr>
          <w:p w14:paraId="185A6C4B" w14:textId="77777777" w:rsidR="00A052DC" w:rsidRDefault="009F0A60">
            <w:pPr>
              <w:pStyle w:val="B"/>
              <w:rPr>
                <w:szCs w:val="20"/>
              </w:rPr>
            </w:pPr>
            <w:r>
              <w:rPr>
                <w:szCs w:val="20"/>
              </w:rPr>
              <w:t>B0108</w:t>
            </w:r>
          </w:p>
        </w:tc>
        <w:tc>
          <w:tcPr>
            <w:tcW w:w="1957" w:type="dxa"/>
            <w:shd w:val="clear" w:color="auto" w:fill="auto"/>
          </w:tcPr>
          <w:p w14:paraId="5FF946A5" w14:textId="77777777" w:rsidR="00A052DC" w:rsidRDefault="009F0A60">
            <w:pPr>
              <w:pStyle w:val="B"/>
              <w:rPr>
                <w:szCs w:val="20"/>
              </w:rPr>
            </w:pPr>
            <w:r>
              <w:rPr>
                <w:rFonts w:hint="eastAsia"/>
                <w:szCs w:val="20"/>
              </w:rPr>
              <w:t>发行主体所属国家</w:t>
            </w:r>
            <w:r>
              <w:rPr>
                <w:szCs w:val="20"/>
              </w:rPr>
              <w:t>/</w:t>
            </w:r>
            <w:r>
              <w:rPr>
                <w:rFonts w:hint="eastAsia"/>
                <w:szCs w:val="20"/>
              </w:rPr>
              <w:t>地区</w:t>
            </w:r>
          </w:p>
        </w:tc>
        <w:tc>
          <w:tcPr>
            <w:tcW w:w="1418" w:type="dxa"/>
            <w:shd w:val="clear" w:color="auto" w:fill="auto"/>
            <w:noWrap/>
          </w:tcPr>
          <w:p w14:paraId="79181A21" w14:textId="77777777" w:rsidR="00A052DC" w:rsidRDefault="009F0A60">
            <w:pPr>
              <w:pStyle w:val="B"/>
              <w:rPr>
                <w:szCs w:val="20"/>
              </w:rPr>
            </w:pPr>
            <w:r>
              <w:rPr>
                <w:rFonts w:hint="eastAsia"/>
                <w:szCs w:val="20"/>
              </w:rPr>
              <w:t>字符型，</w:t>
            </w:r>
            <w:r>
              <w:rPr>
                <w:szCs w:val="20"/>
              </w:rPr>
              <w:t>3</w:t>
            </w:r>
          </w:p>
        </w:tc>
        <w:tc>
          <w:tcPr>
            <w:tcW w:w="4137" w:type="dxa"/>
          </w:tcPr>
          <w:p w14:paraId="2CAF5D4C" w14:textId="77777777" w:rsidR="00A052DC" w:rsidRDefault="009F0A60">
            <w:pPr>
              <w:pStyle w:val="B"/>
              <w:rPr>
                <w:szCs w:val="20"/>
              </w:rPr>
            </w:pPr>
            <w:r>
              <w:rPr>
                <w:rFonts w:hint="eastAsia"/>
                <w:szCs w:val="20"/>
              </w:rPr>
              <w:t>必填项，见国家和地区代码表的</w:t>
            </w:r>
            <w:r>
              <w:rPr>
                <w:szCs w:val="20"/>
              </w:rPr>
              <w:t>3</w:t>
            </w:r>
            <w:r>
              <w:rPr>
                <w:rFonts w:hint="eastAsia"/>
                <w:szCs w:val="20"/>
              </w:rPr>
              <w:t>位字母代码。当B0104=2时，B0108≠</w:t>
            </w:r>
            <w:r>
              <w:rPr>
                <w:szCs w:val="20"/>
              </w:rPr>
              <w:t>CHN</w:t>
            </w:r>
            <w:r>
              <w:rPr>
                <w:rFonts w:hint="eastAsia"/>
                <w:szCs w:val="20"/>
              </w:rPr>
              <w:t>。</w:t>
            </w:r>
          </w:p>
        </w:tc>
      </w:tr>
      <w:tr w:rsidR="00A052DC" w14:paraId="1A7D6FDC" w14:textId="77777777">
        <w:tc>
          <w:tcPr>
            <w:tcW w:w="1101" w:type="dxa"/>
            <w:shd w:val="clear" w:color="auto" w:fill="auto"/>
            <w:noWrap/>
          </w:tcPr>
          <w:p w14:paraId="7CC63646" w14:textId="77777777" w:rsidR="00A052DC" w:rsidRDefault="009F0A60">
            <w:pPr>
              <w:pStyle w:val="B"/>
              <w:rPr>
                <w:szCs w:val="20"/>
              </w:rPr>
            </w:pPr>
            <w:r>
              <w:rPr>
                <w:szCs w:val="20"/>
              </w:rPr>
              <w:t>B0109</w:t>
            </w:r>
          </w:p>
        </w:tc>
        <w:tc>
          <w:tcPr>
            <w:tcW w:w="1957" w:type="dxa"/>
            <w:shd w:val="clear" w:color="auto" w:fill="auto"/>
          </w:tcPr>
          <w:p w14:paraId="5B1D0FCB" w14:textId="77777777" w:rsidR="00A052DC" w:rsidRDefault="009F0A60">
            <w:pPr>
              <w:pStyle w:val="B"/>
              <w:rPr>
                <w:szCs w:val="20"/>
              </w:rPr>
            </w:pPr>
            <w:r>
              <w:rPr>
                <w:rFonts w:hint="eastAsia"/>
                <w:szCs w:val="20"/>
              </w:rPr>
              <w:t>发行主体所属部门</w:t>
            </w:r>
          </w:p>
        </w:tc>
        <w:tc>
          <w:tcPr>
            <w:tcW w:w="1418" w:type="dxa"/>
            <w:shd w:val="clear" w:color="auto" w:fill="auto"/>
            <w:noWrap/>
          </w:tcPr>
          <w:p w14:paraId="04F3BC09" w14:textId="77777777" w:rsidR="00A052DC" w:rsidRDefault="009F0A60">
            <w:pPr>
              <w:pStyle w:val="B"/>
              <w:rPr>
                <w:szCs w:val="20"/>
              </w:rPr>
            </w:pPr>
            <w:r>
              <w:rPr>
                <w:rFonts w:hint="eastAsia"/>
                <w:szCs w:val="20"/>
              </w:rPr>
              <w:t>整数型</w:t>
            </w:r>
          </w:p>
        </w:tc>
        <w:tc>
          <w:tcPr>
            <w:tcW w:w="4137" w:type="dxa"/>
          </w:tcPr>
          <w:p w14:paraId="15815E38" w14:textId="77777777" w:rsidR="00A052DC" w:rsidRDefault="009F0A60">
            <w:pPr>
              <w:pStyle w:val="B"/>
              <w:rPr>
                <w:szCs w:val="20"/>
              </w:rPr>
            </w:pPr>
            <w:r>
              <w:rPr>
                <w:rFonts w:hint="eastAsia"/>
                <w:szCs w:val="20"/>
              </w:rPr>
              <w:t>必填项，见投资者（被投资者）部门代码表。</w:t>
            </w:r>
          </w:p>
          <w:p w14:paraId="1F083F9F" w14:textId="77777777" w:rsidR="00A052DC" w:rsidRDefault="009F0A60">
            <w:pPr>
              <w:rPr>
                <w:rFonts w:ascii="黑体" w:eastAsia="黑体" w:hAnsi="黑体"/>
                <w:sz w:val="20"/>
                <w:szCs w:val="20"/>
              </w:rPr>
            </w:pPr>
            <w:r>
              <w:rPr>
                <w:rFonts w:ascii="黑体" w:eastAsia="黑体" w:hAnsi="黑体" w:hint="eastAsia"/>
                <w:kern w:val="0"/>
                <w:sz w:val="20"/>
                <w:szCs w:val="20"/>
              </w:rPr>
              <w:t>“</w:t>
            </w:r>
            <w:r>
              <w:rPr>
                <w:rFonts w:ascii="黑体" w:eastAsia="黑体" w:hAnsi="黑体"/>
                <w:kern w:val="0"/>
                <w:sz w:val="20"/>
                <w:szCs w:val="20"/>
              </w:rPr>
              <w:t>B0109</w:t>
            </w:r>
            <w:r>
              <w:rPr>
                <w:rFonts w:ascii="黑体" w:eastAsia="黑体" w:hAnsi="黑体" w:hint="eastAsia"/>
                <w:kern w:val="0"/>
                <w:sz w:val="20"/>
                <w:szCs w:val="20"/>
              </w:rPr>
              <w:t>发行主体所属部门”≠</w:t>
            </w:r>
            <w:r>
              <w:rPr>
                <w:rFonts w:ascii="黑体" w:eastAsia="黑体" w:hAnsi="黑体"/>
                <w:kern w:val="0"/>
                <w:sz w:val="20"/>
                <w:szCs w:val="20"/>
              </w:rPr>
              <w:t>1</w:t>
            </w:r>
            <w:r>
              <w:rPr>
                <w:rFonts w:ascii="黑体" w:eastAsia="黑体" w:hAnsi="黑体" w:hint="eastAsia"/>
                <w:kern w:val="0"/>
                <w:sz w:val="20"/>
                <w:szCs w:val="20"/>
              </w:rPr>
              <w:t>（政府）、</w:t>
            </w:r>
            <w:r>
              <w:rPr>
                <w:rFonts w:ascii="黑体" w:eastAsia="黑体" w:hAnsi="黑体"/>
                <w:kern w:val="0"/>
                <w:sz w:val="20"/>
                <w:szCs w:val="20"/>
              </w:rPr>
              <w:t>2</w:t>
            </w:r>
            <w:r>
              <w:rPr>
                <w:rFonts w:ascii="黑体" w:eastAsia="黑体" w:hAnsi="黑体" w:hint="eastAsia"/>
                <w:kern w:val="0"/>
                <w:sz w:val="20"/>
                <w:szCs w:val="20"/>
              </w:rPr>
              <w:t>（中央银行）。</w:t>
            </w:r>
          </w:p>
        </w:tc>
      </w:tr>
      <w:tr w:rsidR="00A052DC" w14:paraId="65EA9554" w14:textId="77777777">
        <w:tc>
          <w:tcPr>
            <w:tcW w:w="1101" w:type="dxa"/>
            <w:shd w:val="clear" w:color="auto" w:fill="auto"/>
            <w:noWrap/>
          </w:tcPr>
          <w:p w14:paraId="59390E22" w14:textId="77777777" w:rsidR="00A052DC" w:rsidRDefault="009F0A60">
            <w:pPr>
              <w:pStyle w:val="B"/>
              <w:rPr>
                <w:szCs w:val="20"/>
              </w:rPr>
            </w:pPr>
            <w:bookmarkStart w:id="3054" w:name="OLE_LINK25"/>
            <w:r>
              <w:rPr>
                <w:szCs w:val="20"/>
              </w:rPr>
              <w:t>B0110</w:t>
            </w:r>
            <w:bookmarkEnd w:id="3054"/>
          </w:p>
        </w:tc>
        <w:tc>
          <w:tcPr>
            <w:tcW w:w="1957" w:type="dxa"/>
            <w:shd w:val="clear" w:color="auto" w:fill="auto"/>
          </w:tcPr>
          <w:p w14:paraId="7CE00591" w14:textId="77777777" w:rsidR="00A052DC" w:rsidRDefault="009F0A60">
            <w:pPr>
              <w:pStyle w:val="B"/>
              <w:rPr>
                <w:szCs w:val="20"/>
              </w:rPr>
            </w:pPr>
            <w:r>
              <w:rPr>
                <w:rFonts w:hint="eastAsia"/>
                <w:szCs w:val="20"/>
              </w:rPr>
              <w:t>发行主体与本机构/被代理人/委托人的关系</w:t>
            </w:r>
          </w:p>
        </w:tc>
        <w:tc>
          <w:tcPr>
            <w:tcW w:w="1418" w:type="dxa"/>
            <w:shd w:val="clear" w:color="auto" w:fill="auto"/>
            <w:noWrap/>
          </w:tcPr>
          <w:p w14:paraId="39427600" w14:textId="77777777" w:rsidR="00A052DC" w:rsidRDefault="009F0A60">
            <w:pPr>
              <w:pStyle w:val="B"/>
              <w:rPr>
                <w:szCs w:val="20"/>
              </w:rPr>
            </w:pPr>
            <w:r>
              <w:rPr>
                <w:rFonts w:hint="eastAsia"/>
                <w:szCs w:val="20"/>
              </w:rPr>
              <w:t>整数型</w:t>
            </w:r>
          </w:p>
        </w:tc>
        <w:tc>
          <w:tcPr>
            <w:tcW w:w="4137" w:type="dxa"/>
          </w:tcPr>
          <w:p w14:paraId="45B5AE40" w14:textId="77777777" w:rsidR="00A052DC" w:rsidRDefault="009F0A60">
            <w:pPr>
              <w:pStyle w:val="B"/>
              <w:rPr>
                <w:szCs w:val="20"/>
              </w:rPr>
            </w:pPr>
            <w:r>
              <w:rPr>
                <w:rFonts w:hint="eastAsia"/>
                <w:szCs w:val="20"/>
              </w:rPr>
              <w:t>必填项，必须</w:t>
            </w:r>
            <w:r>
              <w:rPr>
                <w:szCs w:val="20"/>
              </w:rPr>
              <w:t>4</w:t>
            </w:r>
            <w:r>
              <w:rPr>
                <w:rFonts w:hint="eastAsia"/>
                <w:szCs w:val="20"/>
              </w:rPr>
              <w:t>选</w:t>
            </w:r>
            <w:r>
              <w:rPr>
                <w:szCs w:val="20"/>
              </w:rPr>
              <w:t>1</w:t>
            </w:r>
            <w:r>
              <w:rPr>
                <w:rFonts w:hint="eastAsia"/>
                <w:szCs w:val="20"/>
              </w:rPr>
              <w:t>。见对方与本机构</w:t>
            </w:r>
            <w:r>
              <w:rPr>
                <w:szCs w:val="20"/>
              </w:rPr>
              <w:t>/</w:t>
            </w:r>
            <w:r>
              <w:rPr>
                <w:rFonts w:hint="eastAsia"/>
                <w:szCs w:val="20"/>
              </w:rPr>
              <w:t>被代理居民机构</w:t>
            </w:r>
            <w:r>
              <w:rPr>
                <w:szCs w:val="20"/>
              </w:rPr>
              <w:t>/</w:t>
            </w:r>
            <w:r>
              <w:rPr>
                <w:rFonts w:hint="eastAsia"/>
                <w:szCs w:val="20"/>
              </w:rPr>
              <w:t>委托人的关系代码表。</w:t>
            </w:r>
          </w:p>
        </w:tc>
      </w:tr>
      <w:tr w:rsidR="00A052DC" w14:paraId="6C439878" w14:textId="77777777">
        <w:tc>
          <w:tcPr>
            <w:tcW w:w="1101" w:type="dxa"/>
            <w:shd w:val="clear" w:color="auto" w:fill="auto"/>
            <w:noWrap/>
          </w:tcPr>
          <w:p w14:paraId="736FADAD" w14:textId="77777777" w:rsidR="00A052DC" w:rsidRDefault="009F0A60">
            <w:pPr>
              <w:pStyle w:val="B"/>
              <w:rPr>
                <w:szCs w:val="20"/>
              </w:rPr>
            </w:pPr>
            <w:r>
              <w:rPr>
                <w:szCs w:val="20"/>
              </w:rPr>
              <w:t>B0111</w:t>
            </w:r>
          </w:p>
        </w:tc>
        <w:tc>
          <w:tcPr>
            <w:tcW w:w="1957" w:type="dxa"/>
            <w:shd w:val="clear" w:color="auto" w:fill="auto"/>
          </w:tcPr>
          <w:p w14:paraId="1E66B0D9" w14:textId="77777777" w:rsidR="00A052DC" w:rsidRDefault="009F0A60">
            <w:pPr>
              <w:pStyle w:val="B"/>
              <w:rPr>
                <w:szCs w:val="20"/>
              </w:rPr>
            </w:pPr>
            <w:r>
              <w:rPr>
                <w:rFonts w:hint="eastAsia"/>
                <w:szCs w:val="20"/>
              </w:rPr>
              <w:t>原始币种</w:t>
            </w:r>
          </w:p>
        </w:tc>
        <w:tc>
          <w:tcPr>
            <w:tcW w:w="1418" w:type="dxa"/>
            <w:shd w:val="clear" w:color="auto" w:fill="auto"/>
            <w:noWrap/>
          </w:tcPr>
          <w:p w14:paraId="649B36FE" w14:textId="77777777" w:rsidR="00A052DC" w:rsidRDefault="009F0A60">
            <w:pPr>
              <w:pStyle w:val="B"/>
              <w:rPr>
                <w:szCs w:val="20"/>
              </w:rPr>
            </w:pPr>
            <w:r>
              <w:rPr>
                <w:rFonts w:hint="eastAsia"/>
                <w:szCs w:val="20"/>
              </w:rPr>
              <w:t>字符型，</w:t>
            </w:r>
            <w:r>
              <w:rPr>
                <w:szCs w:val="20"/>
              </w:rPr>
              <w:t>3</w:t>
            </w:r>
          </w:p>
        </w:tc>
        <w:tc>
          <w:tcPr>
            <w:tcW w:w="4137" w:type="dxa"/>
          </w:tcPr>
          <w:p w14:paraId="31999706" w14:textId="77777777" w:rsidR="00A052DC" w:rsidRDefault="009F0A60">
            <w:pPr>
              <w:pStyle w:val="B"/>
              <w:rPr>
                <w:szCs w:val="20"/>
              </w:rPr>
            </w:pPr>
            <w:r>
              <w:rPr>
                <w:rFonts w:hint="eastAsia"/>
                <w:szCs w:val="20"/>
              </w:rPr>
              <w:t>必填项，见币种代码表。</w:t>
            </w:r>
          </w:p>
        </w:tc>
      </w:tr>
      <w:tr w:rsidR="00A052DC" w14:paraId="30E1ABB5" w14:textId="77777777">
        <w:tc>
          <w:tcPr>
            <w:tcW w:w="1101" w:type="dxa"/>
            <w:shd w:val="clear" w:color="auto" w:fill="auto"/>
            <w:noWrap/>
          </w:tcPr>
          <w:p w14:paraId="783D24E2" w14:textId="77777777" w:rsidR="00A052DC" w:rsidRDefault="009F0A60">
            <w:pPr>
              <w:pStyle w:val="B"/>
              <w:rPr>
                <w:szCs w:val="20"/>
              </w:rPr>
            </w:pPr>
            <w:r>
              <w:rPr>
                <w:szCs w:val="20"/>
              </w:rPr>
              <w:t>B0112</w:t>
            </w:r>
          </w:p>
        </w:tc>
        <w:tc>
          <w:tcPr>
            <w:tcW w:w="1957" w:type="dxa"/>
            <w:shd w:val="clear" w:color="auto" w:fill="auto"/>
          </w:tcPr>
          <w:p w14:paraId="5CBCE484" w14:textId="77777777" w:rsidR="00A052DC" w:rsidRDefault="009F0A60">
            <w:pPr>
              <w:pStyle w:val="B"/>
              <w:rPr>
                <w:szCs w:val="20"/>
              </w:rPr>
            </w:pPr>
            <w:r>
              <w:rPr>
                <w:rFonts w:hint="eastAsia"/>
                <w:szCs w:val="20"/>
              </w:rPr>
              <w:t>上月末市值</w:t>
            </w:r>
          </w:p>
        </w:tc>
        <w:tc>
          <w:tcPr>
            <w:tcW w:w="1418" w:type="dxa"/>
            <w:shd w:val="clear" w:color="auto" w:fill="auto"/>
            <w:noWrap/>
          </w:tcPr>
          <w:p w14:paraId="559783E1" w14:textId="77777777" w:rsidR="00A052DC" w:rsidRDefault="009F0A60">
            <w:pPr>
              <w:pStyle w:val="B"/>
              <w:rPr>
                <w:szCs w:val="20"/>
              </w:rPr>
            </w:pPr>
            <w:r>
              <w:rPr>
                <w:rFonts w:hint="eastAsia"/>
                <w:szCs w:val="20"/>
              </w:rPr>
              <w:t>数值型，</w:t>
            </w:r>
            <w:r>
              <w:rPr>
                <w:szCs w:val="20"/>
              </w:rPr>
              <w:t>22.2</w:t>
            </w:r>
          </w:p>
        </w:tc>
        <w:tc>
          <w:tcPr>
            <w:tcW w:w="4137" w:type="dxa"/>
          </w:tcPr>
          <w:p w14:paraId="30AB261B" w14:textId="77777777" w:rsidR="00A052DC" w:rsidRDefault="009F0A60">
            <w:pPr>
              <w:pStyle w:val="B"/>
              <w:rPr>
                <w:szCs w:val="20"/>
              </w:rPr>
            </w:pPr>
            <w:r>
              <w:rPr>
                <w:rFonts w:hint="eastAsia"/>
                <w:szCs w:val="20"/>
              </w:rPr>
              <w:t>必填项。</w:t>
            </w:r>
          </w:p>
        </w:tc>
      </w:tr>
      <w:tr w:rsidR="00A052DC" w14:paraId="24BF3958" w14:textId="77777777">
        <w:tc>
          <w:tcPr>
            <w:tcW w:w="1101" w:type="dxa"/>
            <w:shd w:val="clear" w:color="auto" w:fill="auto"/>
            <w:noWrap/>
          </w:tcPr>
          <w:p w14:paraId="5C8506AF" w14:textId="77777777" w:rsidR="00A052DC" w:rsidRDefault="009F0A60">
            <w:pPr>
              <w:pStyle w:val="B"/>
              <w:rPr>
                <w:szCs w:val="20"/>
              </w:rPr>
            </w:pPr>
            <w:r>
              <w:rPr>
                <w:szCs w:val="20"/>
              </w:rPr>
              <w:t>B0113</w:t>
            </w:r>
          </w:p>
        </w:tc>
        <w:tc>
          <w:tcPr>
            <w:tcW w:w="1957" w:type="dxa"/>
            <w:shd w:val="clear" w:color="auto" w:fill="auto"/>
          </w:tcPr>
          <w:p w14:paraId="765E4FCC" w14:textId="77777777" w:rsidR="00A052DC" w:rsidRDefault="009F0A60">
            <w:pPr>
              <w:pStyle w:val="B"/>
              <w:rPr>
                <w:szCs w:val="20"/>
              </w:rPr>
            </w:pPr>
            <w:r>
              <w:rPr>
                <w:rFonts w:hint="eastAsia"/>
                <w:szCs w:val="20"/>
              </w:rPr>
              <w:t>本月买入金额</w:t>
            </w:r>
          </w:p>
        </w:tc>
        <w:tc>
          <w:tcPr>
            <w:tcW w:w="1418" w:type="dxa"/>
            <w:shd w:val="clear" w:color="auto" w:fill="auto"/>
            <w:noWrap/>
          </w:tcPr>
          <w:p w14:paraId="1B28385A" w14:textId="77777777" w:rsidR="00A052DC" w:rsidRDefault="009F0A60">
            <w:pPr>
              <w:pStyle w:val="B"/>
              <w:rPr>
                <w:szCs w:val="20"/>
              </w:rPr>
            </w:pPr>
            <w:r>
              <w:rPr>
                <w:rFonts w:hint="eastAsia"/>
                <w:szCs w:val="20"/>
              </w:rPr>
              <w:t>数值型，</w:t>
            </w:r>
            <w:r>
              <w:rPr>
                <w:szCs w:val="20"/>
              </w:rPr>
              <w:t>22.2</w:t>
            </w:r>
          </w:p>
        </w:tc>
        <w:tc>
          <w:tcPr>
            <w:tcW w:w="4137" w:type="dxa"/>
          </w:tcPr>
          <w:p w14:paraId="71069641" w14:textId="77777777" w:rsidR="00A052DC" w:rsidRDefault="009F0A60">
            <w:pPr>
              <w:pStyle w:val="B"/>
              <w:rPr>
                <w:szCs w:val="20"/>
              </w:rPr>
            </w:pPr>
            <w:r>
              <w:rPr>
                <w:rFonts w:hint="eastAsia"/>
                <w:szCs w:val="20"/>
              </w:rPr>
              <w:t>必填项，必须≥</w:t>
            </w:r>
            <w:r>
              <w:rPr>
                <w:szCs w:val="20"/>
              </w:rPr>
              <w:t>0</w:t>
            </w:r>
            <w:r>
              <w:rPr>
                <w:rFonts w:hint="eastAsia"/>
                <w:szCs w:val="20"/>
              </w:rPr>
              <w:t>。</w:t>
            </w:r>
          </w:p>
        </w:tc>
      </w:tr>
      <w:tr w:rsidR="00A052DC" w14:paraId="4374E052" w14:textId="77777777">
        <w:tc>
          <w:tcPr>
            <w:tcW w:w="1101" w:type="dxa"/>
            <w:shd w:val="clear" w:color="auto" w:fill="auto"/>
            <w:noWrap/>
          </w:tcPr>
          <w:p w14:paraId="5707B704" w14:textId="77777777" w:rsidR="00A052DC" w:rsidRDefault="009F0A60">
            <w:pPr>
              <w:pStyle w:val="B"/>
              <w:rPr>
                <w:szCs w:val="20"/>
              </w:rPr>
            </w:pPr>
            <w:r>
              <w:rPr>
                <w:szCs w:val="20"/>
              </w:rPr>
              <w:t>B0114</w:t>
            </w:r>
          </w:p>
        </w:tc>
        <w:tc>
          <w:tcPr>
            <w:tcW w:w="1957" w:type="dxa"/>
            <w:shd w:val="clear" w:color="auto" w:fill="auto"/>
          </w:tcPr>
          <w:p w14:paraId="5E04EA52" w14:textId="77777777" w:rsidR="00A052DC" w:rsidRDefault="009F0A60">
            <w:pPr>
              <w:pStyle w:val="B"/>
              <w:rPr>
                <w:szCs w:val="20"/>
              </w:rPr>
            </w:pPr>
            <w:r>
              <w:rPr>
                <w:rFonts w:hint="eastAsia"/>
                <w:szCs w:val="20"/>
              </w:rPr>
              <w:t>本月卖出金额</w:t>
            </w:r>
          </w:p>
        </w:tc>
        <w:tc>
          <w:tcPr>
            <w:tcW w:w="1418" w:type="dxa"/>
            <w:shd w:val="clear" w:color="auto" w:fill="auto"/>
            <w:noWrap/>
          </w:tcPr>
          <w:p w14:paraId="7D9E2BC5" w14:textId="77777777" w:rsidR="00A052DC" w:rsidRDefault="009F0A60">
            <w:pPr>
              <w:pStyle w:val="B"/>
              <w:rPr>
                <w:szCs w:val="20"/>
              </w:rPr>
            </w:pPr>
            <w:r>
              <w:rPr>
                <w:rFonts w:hint="eastAsia"/>
                <w:szCs w:val="20"/>
              </w:rPr>
              <w:t>数值型，</w:t>
            </w:r>
            <w:r>
              <w:rPr>
                <w:szCs w:val="20"/>
              </w:rPr>
              <w:t>22.2</w:t>
            </w:r>
          </w:p>
        </w:tc>
        <w:tc>
          <w:tcPr>
            <w:tcW w:w="4137" w:type="dxa"/>
          </w:tcPr>
          <w:p w14:paraId="3802188E" w14:textId="77777777" w:rsidR="00A052DC" w:rsidRDefault="009F0A60">
            <w:pPr>
              <w:pStyle w:val="B"/>
              <w:rPr>
                <w:szCs w:val="20"/>
              </w:rPr>
            </w:pPr>
            <w:r>
              <w:rPr>
                <w:rFonts w:hint="eastAsia"/>
                <w:szCs w:val="20"/>
              </w:rPr>
              <w:t>必填项，必须≥</w:t>
            </w:r>
            <w:r>
              <w:rPr>
                <w:szCs w:val="20"/>
              </w:rPr>
              <w:t>0</w:t>
            </w:r>
            <w:r>
              <w:rPr>
                <w:rFonts w:hint="eastAsia"/>
                <w:szCs w:val="20"/>
              </w:rPr>
              <w:t>。</w:t>
            </w:r>
          </w:p>
        </w:tc>
      </w:tr>
      <w:tr w:rsidR="00A052DC" w14:paraId="1D61A2A5" w14:textId="77777777">
        <w:tc>
          <w:tcPr>
            <w:tcW w:w="1101" w:type="dxa"/>
            <w:shd w:val="clear" w:color="auto" w:fill="auto"/>
            <w:noWrap/>
          </w:tcPr>
          <w:p w14:paraId="75CE705E" w14:textId="77777777" w:rsidR="00A052DC" w:rsidRDefault="009F0A60">
            <w:pPr>
              <w:pStyle w:val="B"/>
              <w:rPr>
                <w:szCs w:val="20"/>
              </w:rPr>
            </w:pPr>
            <w:r>
              <w:rPr>
                <w:szCs w:val="20"/>
              </w:rPr>
              <w:t>B0115</w:t>
            </w:r>
          </w:p>
        </w:tc>
        <w:tc>
          <w:tcPr>
            <w:tcW w:w="1957" w:type="dxa"/>
            <w:shd w:val="clear" w:color="auto" w:fill="auto"/>
          </w:tcPr>
          <w:p w14:paraId="0BB9CA67" w14:textId="77777777" w:rsidR="00A052DC" w:rsidRDefault="009F0A60">
            <w:pPr>
              <w:pStyle w:val="B"/>
              <w:rPr>
                <w:szCs w:val="20"/>
              </w:rPr>
            </w:pPr>
            <w:r>
              <w:rPr>
                <w:rFonts w:hint="eastAsia"/>
                <w:szCs w:val="20"/>
              </w:rPr>
              <w:t>本月非交易变动</w:t>
            </w:r>
          </w:p>
        </w:tc>
        <w:tc>
          <w:tcPr>
            <w:tcW w:w="1418" w:type="dxa"/>
            <w:shd w:val="clear" w:color="auto" w:fill="auto"/>
            <w:noWrap/>
          </w:tcPr>
          <w:p w14:paraId="71967575" w14:textId="77777777" w:rsidR="00A052DC" w:rsidRDefault="009F0A60">
            <w:pPr>
              <w:pStyle w:val="B"/>
              <w:rPr>
                <w:szCs w:val="20"/>
              </w:rPr>
            </w:pPr>
            <w:r>
              <w:rPr>
                <w:rFonts w:hint="eastAsia"/>
                <w:szCs w:val="20"/>
              </w:rPr>
              <w:t>数值型，</w:t>
            </w:r>
            <w:r>
              <w:rPr>
                <w:szCs w:val="20"/>
              </w:rPr>
              <w:t>22.2</w:t>
            </w:r>
          </w:p>
        </w:tc>
        <w:tc>
          <w:tcPr>
            <w:tcW w:w="4137" w:type="dxa"/>
            <w:shd w:val="clear" w:color="auto" w:fill="auto"/>
            <w:noWrap/>
          </w:tcPr>
          <w:p w14:paraId="3424F181" w14:textId="77777777" w:rsidR="00A052DC" w:rsidRDefault="009F0A60">
            <w:pPr>
              <w:pStyle w:val="B"/>
              <w:rPr>
                <w:szCs w:val="20"/>
              </w:rPr>
            </w:pPr>
            <w:r>
              <w:rPr>
                <w:rFonts w:hint="eastAsia"/>
                <w:szCs w:val="20"/>
              </w:rPr>
              <w:t>必填项。必须满足：</w:t>
            </w:r>
          </w:p>
          <w:p w14:paraId="0851C034" w14:textId="77777777" w:rsidR="00A052DC" w:rsidRDefault="009F0A60">
            <w:pPr>
              <w:pStyle w:val="B"/>
              <w:rPr>
                <w:szCs w:val="20"/>
              </w:rPr>
            </w:pPr>
            <w:r>
              <w:rPr>
                <w:szCs w:val="20"/>
              </w:rPr>
              <w:t>B0115=B0118-B0112-</w:t>
            </w:r>
            <w:r>
              <w:rPr>
                <w:rFonts w:hint="eastAsia"/>
                <w:szCs w:val="20"/>
              </w:rPr>
              <w:t>（</w:t>
            </w:r>
            <w:r>
              <w:rPr>
                <w:szCs w:val="20"/>
              </w:rPr>
              <w:t>B0113-B0114</w:t>
            </w:r>
            <w:r>
              <w:rPr>
                <w:rFonts w:hint="eastAsia"/>
                <w:szCs w:val="20"/>
              </w:rPr>
              <w:t>）。</w:t>
            </w:r>
          </w:p>
          <w:p w14:paraId="4347324E" w14:textId="77777777" w:rsidR="00A052DC" w:rsidRDefault="009F0A60">
            <w:pPr>
              <w:rPr>
                <w:rFonts w:ascii="黑体" w:eastAsia="黑体" w:hAnsi="黑体"/>
                <w:sz w:val="20"/>
                <w:szCs w:val="20"/>
              </w:rPr>
            </w:pPr>
            <w:r>
              <w:rPr>
                <w:rFonts w:ascii="黑体" w:eastAsia="黑体" w:hAnsi="黑体"/>
                <w:kern w:val="0"/>
                <w:sz w:val="20"/>
                <w:szCs w:val="20"/>
              </w:rPr>
              <w:t>B0115=B0116+B0117</w:t>
            </w:r>
            <w:r>
              <w:rPr>
                <w:rFonts w:ascii="黑体" w:eastAsia="黑体" w:hAnsi="黑体" w:hint="eastAsia"/>
                <w:kern w:val="0"/>
                <w:sz w:val="20"/>
                <w:szCs w:val="20"/>
              </w:rPr>
              <w:t>。</w:t>
            </w:r>
          </w:p>
        </w:tc>
      </w:tr>
      <w:tr w:rsidR="00A052DC" w14:paraId="073DA690" w14:textId="77777777">
        <w:tc>
          <w:tcPr>
            <w:tcW w:w="1101" w:type="dxa"/>
            <w:shd w:val="clear" w:color="auto" w:fill="auto"/>
            <w:noWrap/>
          </w:tcPr>
          <w:p w14:paraId="45A95248" w14:textId="77777777" w:rsidR="00A052DC" w:rsidRDefault="009F0A60">
            <w:pPr>
              <w:pStyle w:val="B"/>
              <w:rPr>
                <w:szCs w:val="20"/>
              </w:rPr>
            </w:pPr>
            <w:r>
              <w:rPr>
                <w:szCs w:val="20"/>
              </w:rPr>
              <w:t>B0116</w:t>
            </w:r>
          </w:p>
        </w:tc>
        <w:tc>
          <w:tcPr>
            <w:tcW w:w="1957" w:type="dxa"/>
          </w:tcPr>
          <w:p w14:paraId="0BC672CB" w14:textId="77777777" w:rsidR="00A052DC" w:rsidRDefault="009F0A60">
            <w:pPr>
              <w:pStyle w:val="B"/>
              <w:rPr>
                <w:szCs w:val="20"/>
              </w:rPr>
            </w:pPr>
            <w:r>
              <w:rPr>
                <w:rFonts w:hint="eastAsia"/>
              </w:rPr>
              <w:t>注销、调整或重新分类至其他报表统计的金额</w:t>
            </w:r>
          </w:p>
        </w:tc>
        <w:tc>
          <w:tcPr>
            <w:tcW w:w="1418" w:type="dxa"/>
            <w:shd w:val="clear" w:color="auto" w:fill="auto"/>
            <w:noWrap/>
          </w:tcPr>
          <w:p w14:paraId="572E9908" w14:textId="77777777" w:rsidR="00A052DC" w:rsidRDefault="009F0A60">
            <w:pPr>
              <w:pStyle w:val="B"/>
              <w:rPr>
                <w:szCs w:val="20"/>
              </w:rPr>
            </w:pPr>
            <w:r>
              <w:rPr>
                <w:rFonts w:hint="eastAsia"/>
                <w:szCs w:val="20"/>
              </w:rPr>
              <w:t>数值型，</w:t>
            </w:r>
            <w:r>
              <w:rPr>
                <w:szCs w:val="20"/>
              </w:rPr>
              <w:t>22.2</w:t>
            </w:r>
          </w:p>
        </w:tc>
        <w:tc>
          <w:tcPr>
            <w:tcW w:w="4137" w:type="dxa"/>
            <w:shd w:val="clear" w:color="auto" w:fill="auto"/>
            <w:noWrap/>
          </w:tcPr>
          <w:p w14:paraId="31B1A618" w14:textId="77777777" w:rsidR="00A052DC" w:rsidRDefault="009F0A60">
            <w:pPr>
              <w:pStyle w:val="B"/>
              <w:rPr>
                <w:b/>
                <w:bCs/>
                <w:sz w:val="32"/>
              </w:rPr>
            </w:pPr>
            <w:r>
              <w:rPr>
                <w:rFonts w:hint="eastAsia"/>
                <w:szCs w:val="20"/>
              </w:rPr>
              <w:t>必填项。</w:t>
            </w:r>
          </w:p>
        </w:tc>
      </w:tr>
      <w:tr w:rsidR="00A052DC" w14:paraId="78858CDA" w14:textId="77777777">
        <w:tc>
          <w:tcPr>
            <w:tcW w:w="1101" w:type="dxa"/>
            <w:shd w:val="clear" w:color="auto" w:fill="auto"/>
            <w:noWrap/>
          </w:tcPr>
          <w:p w14:paraId="632B8C7F" w14:textId="77777777" w:rsidR="00A052DC" w:rsidRDefault="009F0A60">
            <w:pPr>
              <w:pStyle w:val="B"/>
              <w:rPr>
                <w:szCs w:val="20"/>
              </w:rPr>
            </w:pPr>
            <w:r>
              <w:rPr>
                <w:szCs w:val="20"/>
              </w:rPr>
              <w:t>B0117</w:t>
            </w:r>
          </w:p>
        </w:tc>
        <w:tc>
          <w:tcPr>
            <w:tcW w:w="1957" w:type="dxa"/>
          </w:tcPr>
          <w:p w14:paraId="18B9C818" w14:textId="77777777" w:rsidR="00A052DC" w:rsidRDefault="009F0A60">
            <w:pPr>
              <w:pStyle w:val="B"/>
              <w:rPr>
                <w:szCs w:val="20"/>
              </w:rPr>
            </w:pPr>
            <w:r>
              <w:rPr>
                <w:rFonts w:hint="eastAsia"/>
              </w:rPr>
              <w:t>价值重估因素</w:t>
            </w:r>
          </w:p>
        </w:tc>
        <w:tc>
          <w:tcPr>
            <w:tcW w:w="1418" w:type="dxa"/>
            <w:shd w:val="clear" w:color="auto" w:fill="auto"/>
            <w:noWrap/>
          </w:tcPr>
          <w:p w14:paraId="2A3E0009" w14:textId="77777777" w:rsidR="00A052DC" w:rsidRDefault="009F0A60">
            <w:pPr>
              <w:pStyle w:val="B"/>
              <w:rPr>
                <w:szCs w:val="20"/>
              </w:rPr>
            </w:pPr>
            <w:r>
              <w:rPr>
                <w:rFonts w:hint="eastAsia"/>
                <w:szCs w:val="20"/>
              </w:rPr>
              <w:t>数值型，</w:t>
            </w:r>
            <w:r>
              <w:rPr>
                <w:szCs w:val="20"/>
              </w:rPr>
              <w:t>22.2</w:t>
            </w:r>
          </w:p>
        </w:tc>
        <w:tc>
          <w:tcPr>
            <w:tcW w:w="4137" w:type="dxa"/>
            <w:shd w:val="clear" w:color="auto" w:fill="auto"/>
            <w:noWrap/>
          </w:tcPr>
          <w:p w14:paraId="27941F67" w14:textId="77777777" w:rsidR="00A052DC" w:rsidRDefault="009F0A60">
            <w:pPr>
              <w:pStyle w:val="B"/>
              <w:rPr>
                <w:szCs w:val="20"/>
              </w:rPr>
            </w:pPr>
            <w:r>
              <w:rPr>
                <w:rFonts w:hint="eastAsia"/>
                <w:szCs w:val="20"/>
              </w:rPr>
              <w:t>必填项。</w:t>
            </w:r>
          </w:p>
        </w:tc>
      </w:tr>
      <w:tr w:rsidR="00A052DC" w14:paraId="64ABBD81" w14:textId="77777777">
        <w:tc>
          <w:tcPr>
            <w:tcW w:w="1101" w:type="dxa"/>
            <w:shd w:val="clear" w:color="auto" w:fill="auto"/>
            <w:noWrap/>
          </w:tcPr>
          <w:p w14:paraId="3679909D" w14:textId="77777777" w:rsidR="00A052DC" w:rsidRDefault="009F0A60">
            <w:pPr>
              <w:pStyle w:val="B"/>
              <w:rPr>
                <w:szCs w:val="20"/>
              </w:rPr>
            </w:pPr>
            <w:r>
              <w:rPr>
                <w:szCs w:val="20"/>
              </w:rPr>
              <w:t>B0118</w:t>
            </w:r>
          </w:p>
        </w:tc>
        <w:tc>
          <w:tcPr>
            <w:tcW w:w="1957" w:type="dxa"/>
            <w:shd w:val="clear" w:color="auto" w:fill="auto"/>
          </w:tcPr>
          <w:p w14:paraId="70ADB5F7" w14:textId="77777777" w:rsidR="00A052DC" w:rsidRDefault="009F0A60">
            <w:pPr>
              <w:pStyle w:val="B"/>
              <w:rPr>
                <w:szCs w:val="20"/>
              </w:rPr>
            </w:pPr>
            <w:r>
              <w:rPr>
                <w:rFonts w:hint="eastAsia"/>
                <w:szCs w:val="20"/>
              </w:rPr>
              <w:t>本月末市值</w:t>
            </w:r>
          </w:p>
        </w:tc>
        <w:tc>
          <w:tcPr>
            <w:tcW w:w="1418" w:type="dxa"/>
            <w:shd w:val="clear" w:color="auto" w:fill="auto"/>
            <w:noWrap/>
          </w:tcPr>
          <w:p w14:paraId="532ACA40" w14:textId="77777777" w:rsidR="00A052DC" w:rsidRDefault="009F0A60">
            <w:pPr>
              <w:pStyle w:val="B"/>
              <w:rPr>
                <w:szCs w:val="20"/>
              </w:rPr>
            </w:pPr>
            <w:r>
              <w:rPr>
                <w:rFonts w:hint="eastAsia"/>
                <w:szCs w:val="20"/>
              </w:rPr>
              <w:t>数值型，</w:t>
            </w:r>
            <w:r>
              <w:rPr>
                <w:szCs w:val="20"/>
              </w:rPr>
              <w:t>22.2</w:t>
            </w:r>
          </w:p>
        </w:tc>
        <w:tc>
          <w:tcPr>
            <w:tcW w:w="4137" w:type="dxa"/>
          </w:tcPr>
          <w:p w14:paraId="2B9DED77" w14:textId="77777777" w:rsidR="00A052DC" w:rsidRDefault="009F0A60">
            <w:pPr>
              <w:pStyle w:val="B"/>
              <w:rPr>
                <w:szCs w:val="20"/>
              </w:rPr>
            </w:pPr>
            <w:r>
              <w:rPr>
                <w:rFonts w:hint="eastAsia"/>
                <w:szCs w:val="20"/>
              </w:rPr>
              <w:t>必填项。原则上，当B0106≠N/A时，“B0120本月末持股（份额）数量”×“B0121本月末每股（每份）市价”应等于“B0118本月末市值”。考虑到报送的小数位，可允许存在少量差异。</w:t>
            </w:r>
          </w:p>
        </w:tc>
      </w:tr>
      <w:tr w:rsidR="00A052DC" w14:paraId="653A8C02" w14:textId="77777777">
        <w:tc>
          <w:tcPr>
            <w:tcW w:w="1101" w:type="dxa"/>
            <w:shd w:val="clear" w:color="auto" w:fill="auto"/>
            <w:noWrap/>
          </w:tcPr>
          <w:p w14:paraId="2B91DE73" w14:textId="77777777" w:rsidR="00A052DC" w:rsidRDefault="009F0A60">
            <w:pPr>
              <w:pStyle w:val="B"/>
              <w:rPr>
                <w:szCs w:val="20"/>
              </w:rPr>
            </w:pPr>
            <w:r>
              <w:rPr>
                <w:szCs w:val="20"/>
              </w:rPr>
              <w:t>B0119</w:t>
            </w:r>
          </w:p>
        </w:tc>
        <w:tc>
          <w:tcPr>
            <w:tcW w:w="1957" w:type="dxa"/>
            <w:shd w:val="clear" w:color="auto" w:fill="auto"/>
          </w:tcPr>
          <w:p w14:paraId="160F9A6D" w14:textId="77777777" w:rsidR="00A052DC" w:rsidRDefault="009F0A60">
            <w:pPr>
              <w:pStyle w:val="B"/>
              <w:rPr>
                <w:szCs w:val="20"/>
              </w:rPr>
            </w:pPr>
            <w:r>
              <w:rPr>
                <w:rFonts w:hint="eastAsia"/>
                <w:szCs w:val="20"/>
              </w:rPr>
              <w:t>本月股息</w:t>
            </w:r>
            <w:r>
              <w:rPr>
                <w:szCs w:val="20"/>
              </w:rPr>
              <w:t>/</w:t>
            </w:r>
            <w:r>
              <w:rPr>
                <w:rFonts w:hint="eastAsia"/>
                <w:szCs w:val="20"/>
              </w:rPr>
              <w:t>红利收入</w:t>
            </w:r>
          </w:p>
        </w:tc>
        <w:tc>
          <w:tcPr>
            <w:tcW w:w="1418" w:type="dxa"/>
            <w:shd w:val="clear" w:color="auto" w:fill="auto"/>
            <w:noWrap/>
          </w:tcPr>
          <w:p w14:paraId="6FA4075C" w14:textId="77777777" w:rsidR="00A052DC" w:rsidRDefault="009F0A60">
            <w:pPr>
              <w:pStyle w:val="B"/>
              <w:rPr>
                <w:szCs w:val="20"/>
              </w:rPr>
            </w:pPr>
            <w:r>
              <w:rPr>
                <w:rFonts w:hint="eastAsia"/>
                <w:szCs w:val="20"/>
              </w:rPr>
              <w:t>数值型，</w:t>
            </w:r>
            <w:r>
              <w:rPr>
                <w:szCs w:val="20"/>
              </w:rPr>
              <w:t>22.2</w:t>
            </w:r>
          </w:p>
        </w:tc>
        <w:tc>
          <w:tcPr>
            <w:tcW w:w="4137" w:type="dxa"/>
          </w:tcPr>
          <w:p w14:paraId="02BB445E" w14:textId="77777777" w:rsidR="00A052DC" w:rsidRDefault="009F0A60">
            <w:pPr>
              <w:pStyle w:val="B"/>
              <w:rPr>
                <w:szCs w:val="20"/>
              </w:rPr>
            </w:pPr>
            <w:r>
              <w:rPr>
                <w:rFonts w:hint="eastAsia"/>
                <w:szCs w:val="20"/>
              </w:rPr>
              <w:t>必填项。</w:t>
            </w:r>
          </w:p>
        </w:tc>
      </w:tr>
      <w:tr w:rsidR="00A052DC" w14:paraId="1B2DB0D0" w14:textId="77777777">
        <w:tc>
          <w:tcPr>
            <w:tcW w:w="1101" w:type="dxa"/>
            <w:shd w:val="clear" w:color="auto" w:fill="auto"/>
            <w:noWrap/>
          </w:tcPr>
          <w:p w14:paraId="121A1BF9" w14:textId="77777777" w:rsidR="00A052DC" w:rsidRDefault="009F0A60">
            <w:pPr>
              <w:pStyle w:val="B"/>
              <w:rPr>
                <w:szCs w:val="20"/>
              </w:rPr>
            </w:pPr>
            <w:r>
              <w:rPr>
                <w:szCs w:val="20"/>
              </w:rPr>
              <w:t>B0120</w:t>
            </w:r>
          </w:p>
        </w:tc>
        <w:tc>
          <w:tcPr>
            <w:tcW w:w="1957" w:type="dxa"/>
            <w:shd w:val="clear" w:color="auto" w:fill="auto"/>
          </w:tcPr>
          <w:p w14:paraId="0EAFD183" w14:textId="77777777" w:rsidR="00A052DC" w:rsidRDefault="009F0A60">
            <w:pPr>
              <w:pStyle w:val="B"/>
              <w:rPr>
                <w:szCs w:val="20"/>
              </w:rPr>
            </w:pPr>
            <w:r>
              <w:rPr>
                <w:rFonts w:hint="eastAsia"/>
                <w:szCs w:val="20"/>
              </w:rPr>
              <w:t>本月末持股（份额）数量（逐支报送使用）</w:t>
            </w:r>
          </w:p>
        </w:tc>
        <w:tc>
          <w:tcPr>
            <w:tcW w:w="1418" w:type="dxa"/>
            <w:shd w:val="clear" w:color="auto" w:fill="auto"/>
            <w:noWrap/>
          </w:tcPr>
          <w:p w14:paraId="0A054EF5" w14:textId="77777777" w:rsidR="00A052DC" w:rsidRDefault="009F0A60">
            <w:pPr>
              <w:pStyle w:val="B"/>
              <w:rPr>
                <w:szCs w:val="20"/>
              </w:rPr>
            </w:pPr>
            <w:r>
              <w:rPr>
                <w:rFonts w:hint="eastAsia"/>
                <w:szCs w:val="20"/>
              </w:rPr>
              <w:t>长整数型</w:t>
            </w:r>
          </w:p>
        </w:tc>
        <w:tc>
          <w:tcPr>
            <w:tcW w:w="4137" w:type="dxa"/>
          </w:tcPr>
          <w:p w14:paraId="08B2C19B" w14:textId="77777777" w:rsidR="00A052DC" w:rsidRDefault="009F0A60">
            <w:pPr>
              <w:pStyle w:val="B"/>
              <w:rPr>
                <w:szCs w:val="20"/>
              </w:rPr>
            </w:pPr>
            <w:r>
              <w:rPr>
                <w:rFonts w:hint="eastAsia"/>
                <w:szCs w:val="20"/>
              </w:rPr>
              <w:t>必填项。</w:t>
            </w:r>
          </w:p>
          <w:p w14:paraId="4CBA1E6A" w14:textId="77777777" w:rsidR="00A052DC" w:rsidRDefault="009F0A60">
            <w:pPr>
              <w:rPr>
                <w:rFonts w:ascii="黑体" w:eastAsia="黑体" w:hAnsi="黑体"/>
                <w:sz w:val="20"/>
                <w:szCs w:val="20"/>
              </w:rPr>
            </w:pPr>
            <w:r>
              <w:rPr>
                <w:rFonts w:ascii="黑体" w:eastAsia="黑体" w:hAnsi="黑体" w:hint="eastAsia"/>
                <w:kern w:val="0"/>
                <w:sz w:val="20"/>
                <w:szCs w:val="20"/>
              </w:rPr>
              <w:t>如果</w:t>
            </w:r>
            <w:r>
              <w:rPr>
                <w:rFonts w:ascii="黑体" w:eastAsia="黑体" w:hAnsi="黑体"/>
                <w:kern w:val="0"/>
                <w:sz w:val="20"/>
                <w:szCs w:val="20"/>
              </w:rPr>
              <w:t>B0106</w:t>
            </w:r>
            <w:r>
              <w:rPr>
                <w:rFonts w:ascii="黑体" w:eastAsia="黑体" w:hAnsi="黑体" w:hint="eastAsia"/>
                <w:kern w:val="0"/>
                <w:sz w:val="20"/>
                <w:szCs w:val="20"/>
              </w:rPr>
              <w:t>≠</w:t>
            </w:r>
            <w:r>
              <w:rPr>
                <w:rFonts w:ascii="黑体" w:eastAsia="黑体" w:hAnsi="黑体"/>
                <w:kern w:val="0"/>
                <w:sz w:val="20"/>
                <w:szCs w:val="20"/>
              </w:rPr>
              <w:t>N/A</w:t>
            </w:r>
            <w:r>
              <w:rPr>
                <w:rFonts w:ascii="黑体" w:eastAsia="黑体" w:hAnsi="黑体" w:hint="eastAsia"/>
                <w:kern w:val="0"/>
                <w:sz w:val="20"/>
                <w:szCs w:val="20"/>
              </w:rPr>
              <w:t>，则当</w:t>
            </w:r>
            <w:r>
              <w:rPr>
                <w:rFonts w:ascii="黑体" w:eastAsia="黑体" w:hAnsi="黑体"/>
                <w:kern w:val="0"/>
                <w:sz w:val="20"/>
                <w:szCs w:val="20"/>
              </w:rPr>
              <w:t>B0118</w:t>
            </w:r>
            <w:r>
              <w:rPr>
                <w:rFonts w:ascii="黑体" w:eastAsia="黑体" w:hAnsi="黑体" w:hint="eastAsia"/>
                <w:kern w:val="0"/>
                <w:sz w:val="20"/>
                <w:szCs w:val="20"/>
              </w:rPr>
              <w:t>＜</w:t>
            </w:r>
            <w:r>
              <w:rPr>
                <w:rFonts w:ascii="黑体" w:eastAsia="黑体" w:hAnsi="黑体"/>
                <w:kern w:val="0"/>
                <w:sz w:val="20"/>
                <w:szCs w:val="20"/>
              </w:rPr>
              <w:t>0</w:t>
            </w:r>
            <w:r>
              <w:rPr>
                <w:rFonts w:ascii="黑体" w:eastAsia="黑体" w:hAnsi="黑体" w:hint="eastAsia"/>
                <w:kern w:val="0"/>
                <w:sz w:val="20"/>
                <w:szCs w:val="20"/>
              </w:rPr>
              <w:t>时，</w:t>
            </w:r>
            <w:r>
              <w:rPr>
                <w:rFonts w:ascii="黑体" w:eastAsia="黑体" w:hAnsi="黑体"/>
                <w:kern w:val="0"/>
                <w:sz w:val="20"/>
                <w:szCs w:val="20"/>
              </w:rPr>
              <w:t>B0120</w:t>
            </w:r>
            <w:r>
              <w:rPr>
                <w:rFonts w:ascii="黑体" w:eastAsia="黑体" w:hAnsi="黑体" w:hint="eastAsia"/>
                <w:kern w:val="0"/>
                <w:sz w:val="20"/>
                <w:szCs w:val="20"/>
              </w:rPr>
              <w:t>＜</w:t>
            </w:r>
            <w:r>
              <w:rPr>
                <w:rFonts w:ascii="黑体" w:eastAsia="黑体" w:hAnsi="黑体"/>
                <w:kern w:val="0"/>
                <w:sz w:val="20"/>
                <w:szCs w:val="20"/>
              </w:rPr>
              <w:t>0</w:t>
            </w:r>
            <w:r>
              <w:rPr>
                <w:rFonts w:ascii="黑体" w:eastAsia="黑体" w:hAnsi="黑体" w:hint="eastAsia"/>
                <w:kern w:val="0"/>
                <w:sz w:val="20"/>
                <w:szCs w:val="20"/>
              </w:rPr>
              <w:t>；当</w:t>
            </w:r>
            <w:r>
              <w:rPr>
                <w:rFonts w:ascii="黑体" w:eastAsia="黑体" w:hAnsi="黑体"/>
                <w:kern w:val="0"/>
                <w:sz w:val="20"/>
                <w:szCs w:val="20"/>
              </w:rPr>
              <w:t>B0118</w:t>
            </w:r>
            <w:r>
              <w:rPr>
                <w:rFonts w:ascii="黑体" w:eastAsia="黑体" w:hAnsi="黑体" w:hint="eastAsia"/>
                <w:kern w:val="0"/>
                <w:sz w:val="20"/>
                <w:szCs w:val="20"/>
              </w:rPr>
              <w:t>＞</w:t>
            </w:r>
            <w:r>
              <w:rPr>
                <w:rFonts w:ascii="黑体" w:eastAsia="黑体" w:hAnsi="黑体"/>
                <w:kern w:val="0"/>
                <w:sz w:val="20"/>
                <w:szCs w:val="20"/>
              </w:rPr>
              <w:t>0</w:t>
            </w:r>
            <w:r>
              <w:rPr>
                <w:rFonts w:ascii="黑体" w:eastAsia="黑体" w:hAnsi="黑体" w:hint="eastAsia"/>
                <w:kern w:val="0"/>
                <w:sz w:val="20"/>
                <w:szCs w:val="20"/>
              </w:rPr>
              <w:t>时，</w:t>
            </w:r>
            <w:r>
              <w:rPr>
                <w:rFonts w:ascii="黑体" w:eastAsia="黑体" w:hAnsi="黑体"/>
                <w:kern w:val="0"/>
                <w:sz w:val="20"/>
                <w:szCs w:val="20"/>
              </w:rPr>
              <w:t>B0120</w:t>
            </w:r>
            <w:r>
              <w:rPr>
                <w:rFonts w:ascii="黑体" w:eastAsia="黑体" w:hAnsi="黑体" w:hint="eastAsia"/>
                <w:kern w:val="0"/>
                <w:sz w:val="20"/>
                <w:szCs w:val="20"/>
              </w:rPr>
              <w:t>＞</w:t>
            </w:r>
            <w:r>
              <w:rPr>
                <w:rFonts w:ascii="黑体" w:eastAsia="黑体" w:hAnsi="黑体"/>
                <w:kern w:val="0"/>
                <w:sz w:val="20"/>
                <w:szCs w:val="20"/>
              </w:rPr>
              <w:t>0</w:t>
            </w:r>
            <w:r>
              <w:rPr>
                <w:rFonts w:ascii="黑体" w:eastAsia="黑体" w:hAnsi="黑体" w:hint="eastAsia"/>
                <w:kern w:val="0"/>
                <w:sz w:val="20"/>
                <w:szCs w:val="20"/>
              </w:rPr>
              <w:t>；当</w:t>
            </w:r>
            <w:r>
              <w:rPr>
                <w:rFonts w:ascii="黑体" w:eastAsia="黑体" w:hAnsi="黑体"/>
                <w:kern w:val="0"/>
                <w:sz w:val="20"/>
                <w:szCs w:val="20"/>
              </w:rPr>
              <w:t>B0118=0</w:t>
            </w:r>
            <w:r>
              <w:rPr>
                <w:rFonts w:ascii="黑体" w:eastAsia="黑体" w:hAnsi="黑体" w:hint="eastAsia"/>
                <w:kern w:val="0"/>
                <w:sz w:val="20"/>
                <w:szCs w:val="20"/>
              </w:rPr>
              <w:t>时，</w:t>
            </w:r>
            <w:r>
              <w:rPr>
                <w:rFonts w:ascii="黑体" w:eastAsia="黑体" w:hAnsi="黑体"/>
                <w:kern w:val="0"/>
                <w:sz w:val="20"/>
                <w:szCs w:val="20"/>
              </w:rPr>
              <w:t>B0120=0</w:t>
            </w:r>
            <w:r>
              <w:rPr>
                <w:rFonts w:ascii="黑体" w:eastAsia="黑体" w:hAnsi="黑体" w:hint="eastAsia"/>
                <w:kern w:val="0"/>
                <w:sz w:val="20"/>
                <w:szCs w:val="20"/>
              </w:rPr>
              <w:t>。当</w:t>
            </w:r>
            <w:r>
              <w:rPr>
                <w:rFonts w:ascii="黑体" w:eastAsia="黑体" w:hAnsi="黑体"/>
                <w:kern w:val="0"/>
                <w:sz w:val="20"/>
                <w:szCs w:val="20"/>
              </w:rPr>
              <w:t>B0106=N/A</w:t>
            </w:r>
            <w:r>
              <w:rPr>
                <w:rFonts w:ascii="黑体" w:eastAsia="黑体" w:hAnsi="黑体" w:hint="eastAsia"/>
                <w:kern w:val="0"/>
                <w:sz w:val="20"/>
                <w:szCs w:val="20"/>
              </w:rPr>
              <w:t>，</w:t>
            </w:r>
            <w:r>
              <w:rPr>
                <w:rFonts w:ascii="黑体" w:eastAsia="黑体" w:hAnsi="黑体"/>
                <w:kern w:val="0"/>
                <w:sz w:val="20"/>
                <w:szCs w:val="20"/>
              </w:rPr>
              <w:t>B0120=0</w:t>
            </w:r>
            <w:r>
              <w:rPr>
                <w:rFonts w:ascii="黑体" w:eastAsia="黑体" w:hAnsi="黑体" w:hint="eastAsia"/>
                <w:kern w:val="0"/>
                <w:sz w:val="20"/>
                <w:szCs w:val="20"/>
              </w:rPr>
              <w:t>。</w:t>
            </w:r>
          </w:p>
        </w:tc>
      </w:tr>
      <w:tr w:rsidR="00A052DC" w14:paraId="106B0E58" w14:textId="77777777">
        <w:tc>
          <w:tcPr>
            <w:tcW w:w="1101" w:type="dxa"/>
            <w:shd w:val="clear" w:color="auto" w:fill="auto"/>
            <w:noWrap/>
          </w:tcPr>
          <w:p w14:paraId="42E4C90B" w14:textId="77777777" w:rsidR="00A052DC" w:rsidRDefault="009F0A60">
            <w:pPr>
              <w:pStyle w:val="B"/>
              <w:rPr>
                <w:szCs w:val="20"/>
              </w:rPr>
            </w:pPr>
            <w:r>
              <w:rPr>
                <w:szCs w:val="20"/>
              </w:rPr>
              <w:t>B0121</w:t>
            </w:r>
          </w:p>
        </w:tc>
        <w:tc>
          <w:tcPr>
            <w:tcW w:w="1957" w:type="dxa"/>
            <w:shd w:val="clear" w:color="auto" w:fill="auto"/>
          </w:tcPr>
          <w:p w14:paraId="5E018EA6" w14:textId="77777777" w:rsidR="00A052DC" w:rsidRDefault="009F0A60">
            <w:pPr>
              <w:pStyle w:val="B"/>
              <w:rPr>
                <w:szCs w:val="20"/>
              </w:rPr>
            </w:pPr>
            <w:r>
              <w:rPr>
                <w:rFonts w:hint="eastAsia"/>
                <w:szCs w:val="20"/>
              </w:rPr>
              <w:t>本月末每股（每份）市价（逐支报送使用）</w:t>
            </w:r>
          </w:p>
        </w:tc>
        <w:tc>
          <w:tcPr>
            <w:tcW w:w="1418" w:type="dxa"/>
            <w:shd w:val="clear" w:color="auto" w:fill="auto"/>
            <w:noWrap/>
          </w:tcPr>
          <w:p w14:paraId="7CCA6678" w14:textId="77777777" w:rsidR="00A052DC" w:rsidRDefault="009F0A60">
            <w:pPr>
              <w:pStyle w:val="B"/>
              <w:rPr>
                <w:szCs w:val="20"/>
              </w:rPr>
            </w:pPr>
            <w:r>
              <w:rPr>
                <w:rFonts w:hint="eastAsia"/>
                <w:szCs w:val="20"/>
              </w:rPr>
              <w:t>数值型，</w:t>
            </w:r>
            <w:r>
              <w:rPr>
                <w:szCs w:val="20"/>
              </w:rPr>
              <w:t>22.2</w:t>
            </w:r>
          </w:p>
        </w:tc>
        <w:tc>
          <w:tcPr>
            <w:tcW w:w="4137" w:type="dxa"/>
          </w:tcPr>
          <w:p w14:paraId="7BCA0692" w14:textId="77777777" w:rsidR="00A052DC" w:rsidRDefault="009F0A60">
            <w:pPr>
              <w:pStyle w:val="B"/>
              <w:rPr>
                <w:szCs w:val="20"/>
              </w:rPr>
            </w:pPr>
            <w:r>
              <w:rPr>
                <w:rFonts w:hint="eastAsia"/>
                <w:szCs w:val="20"/>
              </w:rPr>
              <w:t>必填项，如果</w:t>
            </w:r>
            <w:r>
              <w:rPr>
                <w:szCs w:val="20"/>
              </w:rPr>
              <w:t>B0106</w:t>
            </w:r>
            <w:r>
              <w:rPr>
                <w:rFonts w:hint="eastAsia"/>
                <w:szCs w:val="20"/>
              </w:rPr>
              <w:t>≠</w:t>
            </w:r>
            <w:r>
              <w:rPr>
                <w:szCs w:val="20"/>
              </w:rPr>
              <w:t>N/A</w:t>
            </w:r>
            <w:r>
              <w:rPr>
                <w:rFonts w:hint="eastAsia"/>
                <w:szCs w:val="20"/>
              </w:rPr>
              <w:t>，必须≥</w:t>
            </w:r>
            <w:r>
              <w:rPr>
                <w:szCs w:val="20"/>
              </w:rPr>
              <w:t>0</w:t>
            </w:r>
            <w:r>
              <w:rPr>
                <w:rFonts w:hint="eastAsia"/>
                <w:szCs w:val="20"/>
              </w:rPr>
              <w:t>；</w:t>
            </w:r>
            <w:r>
              <w:rPr>
                <w:szCs w:val="20"/>
              </w:rPr>
              <w:t>B0106=N/A</w:t>
            </w:r>
            <w:r>
              <w:rPr>
                <w:rFonts w:hint="eastAsia"/>
                <w:szCs w:val="20"/>
              </w:rPr>
              <w:t>，则为</w:t>
            </w:r>
            <w:r>
              <w:rPr>
                <w:szCs w:val="20"/>
              </w:rPr>
              <w:t>0</w:t>
            </w:r>
            <w:r>
              <w:rPr>
                <w:rFonts w:hint="eastAsia"/>
                <w:szCs w:val="20"/>
              </w:rPr>
              <w:t>。</w:t>
            </w:r>
          </w:p>
        </w:tc>
      </w:tr>
      <w:tr w:rsidR="00A052DC" w14:paraId="483121AD" w14:textId="77777777">
        <w:tc>
          <w:tcPr>
            <w:tcW w:w="1101" w:type="dxa"/>
            <w:shd w:val="clear" w:color="auto" w:fill="auto"/>
            <w:noWrap/>
          </w:tcPr>
          <w:p w14:paraId="761210D2" w14:textId="77777777" w:rsidR="00A052DC" w:rsidRDefault="009F0A60">
            <w:pPr>
              <w:pStyle w:val="B"/>
              <w:rPr>
                <w:szCs w:val="20"/>
              </w:rPr>
            </w:pPr>
            <w:r>
              <w:rPr>
                <w:szCs w:val="20"/>
              </w:rPr>
              <w:t>REMARK</w:t>
            </w:r>
          </w:p>
        </w:tc>
        <w:tc>
          <w:tcPr>
            <w:tcW w:w="1957" w:type="dxa"/>
            <w:shd w:val="clear" w:color="auto" w:fill="auto"/>
          </w:tcPr>
          <w:p w14:paraId="2E1C33BD" w14:textId="77777777" w:rsidR="00A052DC" w:rsidRDefault="009F0A60">
            <w:pPr>
              <w:pStyle w:val="B"/>
              <w:rPr>
                <w:szCs w:val="20"/>
              </w:rPr>
            </w:pPr>
            <w:r>
              <w:rPr>
                <w:rFonts w:hint="eastAsia"/>
                <w:szCs w:val="20"/>
              </w:rPr>
              <w:t>备注</w:t>
            </w:r>
          </w:p>
        </w:tc>
        <w:tc>
          <w:tcPr>
            <w:tcW w:w="1418" w:type="dxa"/>
            <w:shd w:val="clear" w:color="auto" w:fill="auto"/>
            <w:noWrap/>
          </w:tcPr>
          <w:p w14:paraId="0AF99F6C" w14:textId="77777777" w:rsidR="00A052DC" w:rsidRDefault="009F0A60">
            <w:pPr>
              <w:pStyle w:val="B"/>
              <w:rPr>
                <w:szCs w:val="20"/>
              </w:rPr>
            </w:pPr>
            <w:r>
              <w:rPr>
                <w:rFonts w:hint="eastAsia"/>
                <w:szCs w:val="20"/>
              </w:rPr>
              <w:t>字符型，</w:t>
            </w:r>
            <w:r>
              <w:rPr>
                <w:szCs w:val="20"/>
              </w:rPr>
              <w:t>256</w:t>
            </w:r>
          </w:p>
        </w:tc>
        <w:tc>
          <w:tcPr>
            <w:tcW w:w="4137" w:type="dxa"/>
          </w:tcPr>
          <w:p w14:paraId="2565A9D5" w14:textId="77777777" w:rsidR="00A052DC" w:rsidRDefault="009F0A60">
            <w:pPr>
              <w:pStyle w:val="B"/>
              <w:rPr>
                <w:szCs w:val="20"/>
              </w:rPr>
            </w:pPr>
            <w:r>
              <w:rPr>
                <w:rFonts w:hint="eastAsia"/>
                <w:szCs w:val="20"/>
              </w:rPr>
              <w:t>当</w:t>
            </w:r>
            <w:r>
              <w:rPr>
                <w:szCs w:val="20"/>
              </w:rPr>
              <w:t>B0112</w:t>
            </w:r>
            <w:r>
              <w:rPr>
                <w:rFonts w:hint="eastAsia"/>
                <w:szCs w:val="20"/>
              </w:rPr>
              <w:t>、B0119、</w:t>
            </w:r>
            <w:r>
              <w:rPr>
                <w:szCs w:val="20"/>
              </w:rPr>
              <w:t>B0118</w:t>
            </w:r>
            <w:r>
              <w:rPr>
                <w:rFonts w:hint="eastAsia"/>
                <w:szCs w:val="20"/>
              </w:rPr>
              <w:t>和B0120中任一项</w:t>
            </w:r>
            <w:r>
              <w:rPr>
                <w:szCs w:val="20"/>
              </w:rPr>
              <w:t>为负数</w:t>
            </w:r>
            <w:r>
              <w:rPr>
                <w:rFonts w:hint="eastAsia"/>
                <w:szCs w:val="20"/>
              </w:rPr>
              <w:t>时为必填项。</w:t>
            </w:r>
          </w:p>
        </w:tc>
      </w:tr>
    </w:tbl>
    <w:p w14:paraId="1FE5C6C3" w14:textId="77777777" w:rsidR="00A052DC" w:rsidRDefault="00A052DC"/>
    <w:p w14:paraId="4D06E34E" w14:textId="77777777" w:rsidR="00A052DC" w:rsidRDefault="009F0A60" w:rsidP="0020251D">
      <w:pPr>
        <w:pStyle w:val="3"/>
        <w:ind w:left="0"/>
        <w:rPr>
          <w:rFonts w:ascii="Times New Roman" w:hAnsi="Times New Roman"/>
        </w:rPr>
      </w:pPr>
      <w:bookmarkStart w:id="3055" w:name="_Toc380356283"/>
      <w:bookmarkStart w:id="3056" w:name="_Toc454391259"/>
      <w:bookmarkStart w:id="3057" w:name="_Toc91455310"/>
      <w:bookmarkStart w:id="3058" w:name="_Toc380570927"/>
      <w:bookmarkStart w:id="3059" w:name="_Toc101684483"/>
      <w:r>
        <w:rPr>
          <w:rFonts w:ascii="Times New Roman" w:hAnsi="Times New Roman"/>
        </w:rPr>
        <w:t>B02</w:t>
      </w:r>
      <w:r>
        <w:rPr>
          <w:rFonts w:ascii="Times New Roman" w:hAnsi="Times New Roman" w:hint="eastAsia"/>
        </w:rPr>
        <w:t>表：投资境外债务证券（资产）</w:t>
      </w:r>
      <w:bookmarkEnd w:id="3055"/>
      <w:bookmarkEnd w:id="3056"/>
      <w:bookmarkEnd w:id="3057"/>
      <w:bookmarkEnd w:id="3058"/>
      <w:bookmarkEnd w:id="3059"/>
    </w:p>
    <w:p w14:paraId="1C4B1795" w14:textId="77777777" w:rsidR="00A052DC" w:rsidRDefault="009F0A60" w:rsidP="0020251D">
      <w:pPr>
        <w:pStyle w:val="4"/>
        <w:numPr>
          <w:ilvl w:val="3"/>
          <w:numId w:val="1"/>
        </w:numPr>
        <w:jc w:val="left"/>
      </w:pPr>
      <w:bookmarkStart w:id="3060" w:name="_Toc380570928"/>
      <w:bookmarkStart w:id="3061" w:name="_Toc454391260"/>
      <w:r>
        <w:rPr>
          <w:rFonts w:hint="eastAsia"/>
        </w:rPr>
        <w:t>数据术语解释</w:t>
      </w:r>
      <w:bookmarkEnd w:id="3060"/>
      <w:bookmarkEnd w:id="3061"/>
    </w:p>
    <w:p w14:paraId="07D4665B" w14:textId="77777777" w:rsidR="00A052DC" w:rsidRDefault="00A052DC">
      <w:pPr>
        <w:spacing w:line="240" w:lineRule="exact"/>
        <w:rPr>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3"/>
        <w:gridCol w:w="6489"/>
      </w:tblGrid>
      <w:tr w:rsidR="00A052DC" w14:paraId="1904EAD8" w14:textId="77777777">
        <w:trPr>
          <w:cantSplit/>
          <w:jc w:val="center"/>
        </w:trPr>
        <w:tc>
          <w:tcPr>
            <w:tcW w:w="2033" w:type="dxa"/>
            <w:shd w:val="clear" w:color="auto" w:fill="auto"/>
            <w:noWrap/>
          </w:tcPr>
          <w:p w14:paraId="7A675F83" w14:textId="77777777" w:rsidR="00A052DC" w:rsidRDefault="009F0A60">
            <w:pPr>
              <w:pStyle w:val="B1"/>
            </w:pPr>
            <w:r>
              <w:rPr>
                <w:rFonts w:hint="eastAsia"/>
              </w:rPr>
              <w:t>基础数据项</w:t>
            </w:r>
          </w:p>
        </w:tc>
        <w:tc>
          <w:tcPr>
            <w:tcW w:w="6489" w:type="dxa"/>
            <w:shd w:val="clear" w:color="auto" w:fill="auto"/>
            <w:noWrap/>
          </w:tcPr>
          <w:p w14:paraId="6AC8161B" w14:textId="77777777" w:rsidR="00A052DC" w:rsidRDefault="009F0A60">
            <w:pPr>
              <w:pStyle w:val="B1"/>
            </w:pPr>
            <w:r>
              <w:rPr>
                <w:rFonts w:hint="eastAsia"/>
              </w:rPr>
              <w:t>定义</w:t>
            </w:r>
          </w:p>
        </w:tc>
      </w:tr>
      <w:tr w:rsidR="00A052DC" w14:paraId="39D5DB59" w14:textId="77777777">
        <w:trPr>
          <w:cantSplit/>
          <w:jc w:val="center"/>
        </w:trPr>
        <w:tc>
          <w:tcPr>
            <w:tcW w:w="2033" w:type="dxa"/>
            <w:shd w:val="clear" w:color="auto" w:fill="auto"/>
          </w:tcPr>
          <w:p w14:paraId="6CB21CA2" w14:textId="77777777" w:rsidR="00A052DC" w:rsidRDefault="009F0A60">
            <w:pPr>
              <w:pStyle w:val="B"/>
              <w:rPr>
                <w:szCs w:val="20"/>
              </w:rPr>
            </w:pPr>
            <w:r>
              <w:rPr>
                <w:rFonts w:hint="eastAsia"/>
                <w:szCs w:val="20"/>
              </w:rPr>
              <w:t>数据自编码</w:t>
            </w:r>
          </w:p>
        </w:tc>
        <w:tc>
          <w:tcPr>
            <w:tcW w:w="6489" w:type="dxa"/>
            <w:shd w:val="clear" w:color="auto" w:fill="auto"/>
            <w:noWrap/>
          </w:tcPr>
          <w:p w14:paraId="08016D96" w14:textId="77777777" w:rsidR="00A052DC" w:rsidRDefault="009F0A60">
            <w:pPr>
              <w:pStyle w:val="B"/>
              <w:rPr>
                <w:szCs w:val="20"/>
              </w:rPr>
            </w:pPr>
            <w:r>
              <w:rPr>
                <w:rFonts w:hint="eastAsia"/>
                <w:szCs w:val="20"/>
              </w:rPr>
              <w:t>该编码用于标识金融机构报送的每一条数据，按给定规则编码，便于进行增删改查等操作。建议规则：机构代码（</w:t>
            </w:r>
            <w:r>
              <w:rPr>
                <w:szCs w:val="20"/>
              </w:rPr>
              <w:t>1</w:t>
            </w:r>
            <w:r>
              <w:rPr>
                <w:rFonts w:hint="eastAsia"/>
                <w:szCs w:val="20"/>
              </w:rPr>
              <w:t>8位，不足</w:t>
            </w:r>
            <w:r>
              <w:rPr>
                <w:szCs w:val="20"/>
              </w:rPr>
              <w:t>1</w:t>
            </w:r>
            <w:r>
              <w:rPr>
                <w:rFonts w:hint="eastAsia"/>
                <w:szCs w:val="20"/>
              </w:rPr>
              <w:t>8位补</w:t>
            </w:r>
            <w:r>
              <w:rPr>
                <w:szCs w:val="20"/>
              </w:rPr>
              <w:t>a</w:t>
            </w:r>
            <w:r>
              <w:rPr>
                <w:rFonts w:hint="eastAsia"/>
                <w:szCs w:val="20"/>
              </w:rPr>
              <w:t>）</w:t>
            </w:r>
            <w:r>
              <w:rPr>
                <w:szCs w:val="20"/>
              </w:rPr>
              <w:t>+</w:t>
            </w:r>
            <w:r>
              <w:rPr>
                <w:rFonts w:hint="eastAsia"/>
                <w:szCs w:val="20"/>
              </w:rPr>
              <w:t>报表代码（</w:t>
            </w:r>
            <w:r>
              <w:rPr>
                <w:szCs w:val="20"/>
              </w:rPr>
              <w:t>5</w:t>
            </w:r>
            <w:r>
              <w:rPr>
                <w:rFonts w:hint="eastAsia"/>
                <w:szCs w:val="20"/>
              </w:rPr>
              <w:t>位，不足</w:t>
            </w:r>
            <w:r>
              <w:rPr>
                <w:szCs w:val="20"/>
              </w:rPr>
              <w:t>5</w:t>
            </w:r>
            <w:r>
              <w:rPr>
                <w:rFonts w:hint="eastAsia"/>
                <w:szCs w:val="20"/>
              </w:rPr>
              <w:t>位补</w:t>
            </w:r>
            <w:r>
              <w:rPr>
                <w:szCs w:val="20"/>
              </w:rPr>
              <w:t>a</w:t>
            </w:r>
            <w:r>
              <w:rPr>
                <w:rFonts w:hint="eastAsia"/>
                <w:szCs w:val="20"/>
              </w:rPr>
              <w:t>）</w:t>
            </w:r>
            <w:r>
              <w:rPr>
                <w:szCs w:val="20"/>
              </w:rPr>
              <w:t>+</w:t>
            </w:r>
            <w:r>
              <w:rPr>
                <w:rFonts w:hint="eastAsia"/>
                <w:szCs w:val="20"/>
              </w:rPr>
              <w:t>报送期（</w:t>
            </w:r>
            <w:r>
              <w:rPr>
                <w:szCs w:val="20"/>
              </w:rPr>
              <w:t>6</w:t>
            </w:r>
            <w:r>
              <w:rPr>
                <w:rFonts w:hint="eastAsia"/>
                <w:szCs w:val="20"/>
              </w:rPr>
              <w:t>位）</w:t>
            </w:r>
            <w:r>
              <w:rPr>
                <w:szCs w:val="20"/>
              </w:rPr>
              <w:t>+</w:t>
            </w:r>
            <w:r>
              <w:rPr>
                <w:rFonts w:hint="eastAsia"/>
                <w:szCs w:val="20"/>
              </w:rPr>
              <w:t>顺序号（</w:t>
            </w:r>
            <w:r>
              <w:rPr>
                <w:szCs w:val="20"/>
              </w:rPr>
              <w:t>7</w:t>
            </w:r>
            <w:r>
              <w:rPr>
                <w:rFonts w:hint="eastAsia"/>
                <w:szCs w:val="20"/>
              </w:rPr>
              <w:t>位，从</w:t>
            </w:r>
            <w:r>
              <w:rPr>
                <w:szCs w:val="20"/>
              </w:rPr>
              <w:t>0000001</w:t>
            </w:r>
            <w:r>
              <w:rPr>
                <w:rFonts w:hint="eastAsia"/>
                <w:szCs w:val="20"/>
              </w:rPr>
              <w:t>开始增加）。</w:t>
            </w:r>
          </w:p>
        </w:tc>
      </w:tr>
      <w:tr w:rsidR="00A052DC" w14:paraId="1A491599" w14:textId="77777777">
        <w:trPr>
          <w:cantSplit/>
          <w:jc w:val="center"/>
        </w:trPr>
        <w:tc>
          <w:tcPr>
            <w:tcW w:w="2033" w:type="dxa"/>
            <w:shd w:val="clear" w:color="auto" w:fill="auto"/>
          </w:tcPr>
          <w:p w14:paraId="5C4CC696" w14:textId="77777777" w:rsidR="00A052DC" w:rsidRDefault="009F0A60">
            <w:pPr>
              <w:pStyle w:val="B"/>
              <w:rPr>
                <w:szCs w:val="20"/>
              </w:rPr>
            </w:pPr>
            <w:r>
              <w:rPr>
                <w:rFonts w:hint="eastAsia"/>
                <w:szCs w:val="20"/>
              </w:rPr>
              <w:t>申报主体代码</w:t>
            </w:r>
          </w:p>
        </w:tc>
        <w:tc>
          <w:tcPr>
            <w:tcW w:w="6489" w:type="dxa"/>
            <w:shd w:val="clear" w:color="auto" w:fill="auto"/>
            <w:noWrap/>
          </w:tcPr>
          <w:p w14:paraId="086B5FDB" w14:textId="77777777" w:rsidR="00A052DC" w:rsidRDefault="009F0A60">
            <w:pPr>
              <w:pStyle w:val="B"/>
              <w:rPr>
                <w:szCs w:val="20"/>
              </w:rPr>
            </w:pPr>
            <w:r>
              <w:rPr>
                <w:rFonts w:hint="eastAsia"/>
                <w:szCs w:val="20"/>
              </w:rPr>
              <w:t>申报主体的12位金融机构标识码，如果没有金融机构标识码，则填报统一社会信用代码法定载体（如营业执照）上统一社会信用代码中的第9至17位或国家外汇管理局及其分支局签发的特殊机构代码赋码通知书上的机构代码、个人身份代码。</w:t>
            </w:r>
          </w:p>
        </w:tc>
      </w:tr>
      <w:tr w:rsidR="00A052DC" w14:paraId="4841207A" w14:textId="77777777">
        <w:trPr>
          <w:cantSplit/>
          <w:jc w:val="center"/>
        </w:trPr>
        <w:tc>
          <w:tcPr>
            <w:tcW w:w="2033" w:type="dxa"/>
            <w:shd w:val="clear" w:color="auto" w:fill="auto"/>
          </w:tcPr>
          <w:p w14:paraId="00CE5B8A" w14:textId="77777777" w:rsidR="00A052DC" w:rsidRDefault="009F0A60">
            <w:pPr>
              <w:pStyle w:val="B"/>
              <w:rPr>
                <w:szCs w:val="20"/>
              </w:rPr>
            </w:pPr>
            <w:r>
              <w:rPr>
                <w:rFonts w:hint="eastAsia"/>
                <w:szCs w:val="20"/>
              </w:rPr>
              <w:t>报告期</w:t>
            </w:r>
          </w:p>
        </w:tc>
        <w:tc>
          <w:tcPr>
            <w:tcW w:w="6489" w:type="dxa"/>
            <w:shd w:val="clear" w:color="auto" w:fill="auto"/>
            <w:noWrap/>
          </w:tcPr>
          <w:p w14:paraId="079A5F27" w14:textId="77777777" w:rsidR="00A052DC" w:rsidRDefault="009F0A60">
            <w:pPr>
              <w:pStyle w:val="B"/>
              <w:rPr>
                <w:szCs w:val="20"/>
              </w:rPr>
            </w:pPr>
            <w:r>
              <w:rPr>
                <w:rFonts w:hint="eastAsia"/>
                <w:szCs w:val="20"/>
              </w:rPr>
              <w:t>业务发生月份，格式为</w:t>
            </w:r>
            <w:r>
              <w:rPr>
                <w:szCs w:val="20"/>
              </w:rPr>
              <w:t>YYYYMM</w:t>
            </w:r>
            <w:r>
              <w:rPr>
                <w:rFonts w:hint="eastAsia"/>
                <w:szCs w:val="20"/>
              </w:rPr>
              <w:t>。</w:t>
            </w:r>
          </w:p>
        </w:tc>
      </w:tr>
      <w:tr w:rsidR="00A052DC" w14:paraId="110C0B5E" w14:textId="77777777">
        <w:trPr>
          <w:cantSplit/>
          <w:jc w:val="center"/>
        </w:trPr>
        <w:tc>
          <w:tcPr>
            <w:tcW w:w="2033" w:type="dxa"/>
            <w:shd w:val="clear" w:color="auto" w:fill="auto"/>
          </w:tcPr>
          <w:p w14:paraId="0587CE57" w14:textId="77777777" w:rsidR="00A052DC" w:rsidRDefault="009F0A60">
            <w:pPr>
              <w:pStyle w:val="B"/>
              <w:rPr>
                <w:szCs w:val="20"/>
              </w:rPr>
            </w:pPr>
            <w:r>
              <w:rPr>
                <w:rFonts w:hint="eastAsia"/>
                <w:szCs w:val="20"/>
              </w:rPr>
              <w:t>业务类型</w:t>
            </w:r>
          </w:p>
        </w:tc>
        <w:tc>
          <w:tcPr>
            <w:tcW w:w="6489" w:type="dxa"/>
            <w:shd w:val="clear" w:color="auto" w:fill="auto"/>
            <w:noWrap/>
          </w:tcPr>
          <w:p w14:paraId="46038B83" w14:textId="77777777" w:rsidR="00A052DC" w:rsidRDefault="009F0A60">
            <w:pPr>
              <w:pStyle w:val="B"/>
              <w:rPr>
                <w:szCs w:val="20"/>
              </w:rPr>
            </w:pPr>
            <w:r>
              <w:rPr>
                <w:rFonts w:hint="eastAsia"/>
                <w:szCs w:val="20"/>
              </w:rPr>
              <w:t>请填写：1-债券通；9-其他。</w:t>
            </w:r>
          </w:p>
        </w:tc>
      </w:tr>
      <w:tr w:rsidR="00A052DC" w14:paraId="0117DD94" w14:textId="77777777">
        <w:trPr>
          <w:cantSplit/>
          <w:jc w:val="center"/>
        </w:trPr>
        <w:tc>
          <w:tcPr>
            <w:tcW w:w="2033" w:type="dxa"/>
            <w:shd w:val="clear" w:color="auto" w:fill="auto"/>
          </w:tcPr>
          <w:p w14:paraId="161CC268" w14:textId="77777777" w:rsidR="00A052DC" w:rsidRDefault="009F0A60">
            <w:pPr>
              <w:pStyle w:val="B"/>
              <w:rPr>
                <w:szCs w:val="20"/>
              </w:rPr>
            </w:pPr>
            <w:r>
              <w:rPr>
                <w:rFonts w:hint="eastAsia"/>
                <w:szCs w:val="20"/>
              </w:rPr>
              <w:t>申报主体身份</w:t>
            </w:r>
          </w:p>
        </w:tc>
        <w:tc>
          <w:tcPr>
            <w:tcW w:w="6489" w:type="dxa"/>
            <w:shd w:val="clear" w:color="auto" w:fill="auto"/>
            <w:noWrap/>
          </w:tcPr>
          <w:p w14:paraId="685ADE87" w14:textId="77777777" w:rsidR="00A052DC" w:rsidRDefault="009F0A60">
            <w:pPr>
              <w:pStyle w:val="B"/>
              <w:rPr>
                <w:szCs w:val="20"/>
              </w:rPr>
            </w:pPr>
            <w:r>
              <w:rPr>
                <w:rFonts w:hint="eastAsia"/>
                <w:szCs w:val="20"/>
              </w:rPr>
              <w:t>请按以下三种情况填列：</w:t>
            </w:r>
            <w:r>
              <w:rPr>
                <w:szCs w:val="20"/>
              </w:rPr>
              <w:t>1-</w:t>
            </w:r>
            <w:r>
              <w:rPr>
                <w:rFonts w:hint="eastAsia"/>
                <w:szCs w:val="20"/>
              </w:rPr>
              <w:t>以自身名义投资（无境内托管人、代理人或管理人）；</w:t>
            </w:r>
            <w:r>
              <w:rPr>
                <w:szCs w:val="20"/>
              </w:rPr>
              <w:t>2-</w:t>
            </w:r>
            <w:r>
              <w:rPr>
                <w:rFonts w:hint="eastAsia"/>
                <w:szCs w:val="20"/>
              </w:rPr>
              <w:t>是代理人或管理人，以客户或产品名义投资；3-是境内结算机构或交易所，从居民投资者角度填报。</w:t>
            </w:r>
          </w:p>
        </w:tc>
      </w:tr>
      <w:tr w:rsidR="00A052DC" w14:paraId="7CEF8B65" w14:textId="77777777">
        <w:trPr>
          <w:cantSplit/>
          <w:jc w:val="center"/>
        </w:trPr>
        <w:tc>
          <w:tcPr>
            <w:tcW w:w="2033" w:type="dxa"/>
            <w:shd w:val="clear" w:color="auto" w:fill="auto"/>
          </w:tcPr>
          <w:p w14:paraId="0B9C25E6" w14:textId="77777777" w:rsidR="00A052DC" w:rsidRDefault="009F0A60">
            <w:pPr>
              <w:pStyle w:val="B"/>
              <w:rPr>
                <w:szCs w:val="20"/>
              </w:rPr>
            </w:pPr>
            <w:r>
              <w:rPr>
                <w:rFonts w:hint="eastAsia"/>
                <w:szCs w:val="20"/>
              </w:rPr>
              <w:t>被代理人</w:t>
            </w:r>
            <w:r>
              <w:rPr>
                <w:szCs w:val="20"/>
              </w:rPr>
              <w:t>/</w:t>
            </w:r>
            <w:r>
              <w:rPr>
                <w:rFonts w:hint="eastAsia"/>
                <w:szCs w:val="20"/>
              </w:rPr>
              <w:t>委托人所属国家</w:t>
            </w:r>
            <w:r>
              <w:rPr>
                <w:szCs w:val="20"/>
              </w:rPr>
              <w:t>/</w:t>
            </w:r>
            <w:r>
              <w:rPr>
                <w:rFonts w:hint="eastAsia"/>
                <w:szCs w:val="20"/>
              </w:rPr>
              <w:t>地区</w:t>
            </w:r>
          </w:p>
        </w:tc>
        <w:tc>
          <w:tcPr>
            <w:tcW w:w="6489" w:type="dxa"/>
            <w:shd w:val="clear" w:color="auto" w:fill="auto"/>
            <w:noWrap/>
          </w:tcPr>
          <w:p w14:paraId="0066A5B4" w14:textId="77777777" w:rsidR="00A052DC" w:rsidRDefault="009F0A60">
            <w:pPr>
              <w:pStyle w:val="B"/>
              <w:rPr>
                <w:szCs w:val="20"/>
              </w:rPr>
            </w:pPr>
            <w:r>
              <w:rPr>
                <w:rFonts w:hint="eastAsia"/>
                <w:szCs w:val="20"/>
              </w:rPr>
              <w:t>见国家和地区代码表，被代理人或委托人必须为中国居民，本项应填“</w:t>
            </w:r>
            <w:r>
              <w:rPr>
                <w:szCs w:val="20"/>
              </w:rPr>
              <w:t>CHN</w:t>
            </w:r>
            <w:r>
              <w:rPr>
                <w:rFonts w:hint="eastAsia"/>
                <w:szCs w:val="20"/>
              </w:rPr>
              <w:t>”。</w:t>
            </w:r>
          </w:p>
        </w:tc>
      </w:tr>
      <w:tr w:rsidR="00A052DC" w14:paraId="1558DE10" w14:textId="77777777">
        <w:trPr>
          <w:cantSplit/>
          <w:jc w:val="center"/>
        </w:trPr>
        <w:tc>
          <w:tcPr>
            <w:tcW w:w="2033" w:type="dxa"/>
            <w:shd w:val="clear" w:color="auto" w:fill="auto"/>
          </w:tcPr>
          <w:p w14:paraId="0CC38F34" w14:textId="77777777" w:rsidR="00A052DC" w:rsidRDefault="009F0A60">
            <w:pPr>
              <w:pStyle w:val="B"/>
              <w:rPr>
                <w:szCs w:val="20"/>
              </w:rPr>
            </w:pPr>
            <w:r>
              <w:rPr>
                <w:rFonts w:hint="eastAsia"/>
                <w:szCs w:val="20"/>
              </w:rPr>
              <w:t>被代理人</w:t>
            </w:r>
            <w:r>
              <w:rPr>
                <w:szCs w:val="20"/>
              </w:rPr>
              <w:t>/</w:t>
            </w:r>
            <w:r>
              <w:rPr>
                <w:rFonts w:hint="eastAsia"/>
                <w:szCs w:val="20"/>
              </w:rPr>
              <w:t>委托人所属部门</w:t>
            </w:r>
          </w:p>
        </w:tc>
        <w:tc>
          <w:tcPr>
            <w:tcW w:w="6489" w:type="dxa"/>
            <w:shd w:val="clear" w:color="auto" w:fill="auto"/>
            <w:noWrap/>
          </w:tcPr>
          <w:p w14:paraId="45597E8E" w14:textId="77777777" w:rsidR="00A052DC" w:rsidRDefault="009F0A60">
            <w:pPr>
              <w:pStyle w:val="B"/>
              <w:rPr>
                <w:szCs w:val="20"/>
              </w:rPr>
            </w:pPr>
            <w:r>
              <w:rPr>
                <w:rFonts w:hint="eastAsia"/>
                <w:szCs w:val="20"/>
              </w:rPr>
              <w:t>见投资者（被投资者）部门代码表，指本机构所代理</w:t>
            </w:r>
            <w:r>
              <w:rPr>
                <w:szCs w:val="20"/>
              </w:rPr>
              <w:t>/</w:t>
            </w:r>
            <w:r>
              <w:rPr>
                <w:rFonts w:hint="eastAsia"/>
                <w:szCs w:val="20"/>
              </w:rPr>
              <w:t>托管的客户所属部门</w:t>
            </w:r>
            <w:r>
              <w:rPr>
                <w:szCs w:val="20"/>
              </w:rPr>
              <w:t>,</w:t>
            </w:r>
            <w:r>
              <w:rPr>
                <w:rFonts w:hint="eastAsia"/>
                <w:szCs w:val="20"/>
              </w:rPr>
              <w:t>请按该客户的主营业务归类。</w:t>
            </w:r>
          </w:p>
        </w:tc>
      </w:tr>
      <w:tr w:rsidR="00A052DC" w14:paraId="744ABF61" w14:textId="77777777">
        <w:trPr>
          <w:cantSplit/>
          <w:jc w:val="center"/>
        </w:trPr>
        <w:tc>
          <w:tcPr>
            <w:tcW w:w="2033" w:type="dxa"/>
            <w:shd w:val="clear" w:color="auto" w:fill="auto"/>
          </w:tcPr>
          <w:p w14:paraId="0D4BC270" w14:textId="77777777" w:rsidR="00A052DC" w:rsidRDefault="009F0A60">
            <w:pPr>
              <w:pStyle w:val="B"/>
              <w:rPr>
                <w:szCs w:val="20"/>
              </w:rPr>
            </w:pPr>
            <w:r>
              <w:rPr>
                <w:rFonts w:hint="eastAsia"/>
                <w:szCs w:val="20"/>
              </w:rPr>
              <w:t>发行地</w:t>
            </w:r>
          </w:p>
        </w:tc>
        <w:tc>
          <w:tcPr>
            <w:tcW w:w="6489" w:type="dxa"/>
            <w:shd w:val="clear" w:color="auto" w:fill="auto"/>
            <w:noWrap/>
          </w:tcPr>
          <w:p w14:paraId="2E6F0620" w14:textId="77777777" w:rsidR="00A052DC" w:rsidRDefault="009F0A60">
            <w:pPr>
              <w:pStyle w:val="B"/>
              <w:rPr>
                <w:szCs w:val="20"/>
              </w:rPr>
            </w:pPr>
            <w:r>
              <w:rPr>
                <w:rFonts w:hint="eastAsia"/>
                <w:szCs w:val="20"/>
              </w:rPr>
              <w:t>见国家和地区代码表，填写相关债务证券发行场所所在国家</w:t>
            </w:r>
            <w:r>
              <w:rPr>
                <w:szCs w:val="20"/>
              </w:rPr>
              <w:t>/</w:t>
            </w:r>
            <w:r>
              <w:rPr>
                <w:rFonts w:hint="eastAsia"/>
                <w:szCs w:val="20"/>
              </w:rPr>
              <w:t>地区代码。</w:t>
            </w:r>
          </w:p>
        </w:tc>
      </w:tr>
      <w:tr w:rsidR="00A052DC" w14:paraId="7C0F1E65" w14:textId="77777777">
        <w:trPr>
          <w:cantSplit/>
          <w:jc w:val="center"/>
        </w:trPr>
        <w:tc>
          <w:tcPr>
            <w:tcW w:w="2033" w:type="dxa"/>
            <w:shd w:val="clear" w:color="auto" w:fill="auto"/>
          </w:tcPr>
          <w:p w14:paraId="729CF08F" w14:textId="77777777" w:rsidR="00A052DC" w:rsidRDefault="009F0A60">
            <w:pPr>
              <w:pStyle w:val="B"/>
              <w:rPr>
                <w:szCs w:val="20"/>
              </w:rPr>
            </w:pPr>
            <w:r>
              <w:rPr>
                <w:rFonts w:hint="eastAsia"/>
                <w:szCs w:val="20"/>
              </w:rPr>
              <w:t>证券代码（逐支报送使用）</w:t>
            </w:r>
          </w:p>
        </w:tc>
        <w:tc>
          <w:tcPr>
            <w:tcW w:w="6489" w:type="dxa"/>
            <w:shd w:val="clear" w:color="auto" w:fill="auto"/>
            <w:noWrap/>
          </w:tcPr>
          <w:p w14:paraId="09C595C3" w14:textId="77777777" w:rsidR="00A052DC" w:rsidRDefault="009F0A60">
            <w:pPr>
              <w:pStyle w:val="B"/>
              <w:rPr>
                <w:szCs w:val="20"/>
              </w:rPr>
            </w:pPr>
            <w:r>
              <w:rPr>
                <w:rFonts w:hint="eastAsia"/>
                <w:szCs w:val="20"/>
              </w:rPr>
              <w:t>对于选择报送逐支证券信息的，请填写此项。指相关债务证券代码。应优先填写国际证券代码（</w:t>
            </w:r>
            <w:r>
              <w:rPr>
                <w:szCs w:val="20"/>
              </w:rPr>
              <w:t>International Securities Identification Number,</w:t>
            </w:r>
            <w:r>
              <w:rPr>
                <w:rFonts w:hint="eastAsia"/>
                <w:szCs w:val="20"/>
              </w:rPr>
              <w:t>简称</w:t>
            </w:r>
            <w:r>
              <w:rPr>
                <w:szCs w:val="20"/>
              </w:rPr>
              <w:t>ISIN</w:t>
            </w:r>
            <w:r>
              <w:rPr>
                <w:rFonts w:hint="eastAsia"/>
                <w:szCs w:val="20"/>
              </w:rPr>
              <w:t>码）。如无</w:t>
            </w:r>
            <w:r>
              <w:rPr>
                <w:szCs w:val="20"/>
              </w:rPr>
              <w:t>ISIN</w:t>
            </w:r>
            <w:r>
              <w:rPr>
                <w:rFonts w:hint="eastAsia"/>
                <w:szCs w:val="20"/>
              </w:rPr>
              <w:t>码，按照相关市场唯一通用的编码填列。</w:t>
            </w:r>
          </w:p>
        </w:tc>
      </w:tr>
      <w:tr w:rsidR="00A052DC" w14:paraId="3A9FF43B" w14:textId="77777777">
        <w:trPr>
          <w:cantSplit/>
          <w:jc w:val="center"/>
        </w:trPr>
        <w:tc>
          <w:tcPr>
            <w:tcW w:w="2033" w:type="dxa"/>
            <w:shd w:val="clear" w:color="auto" w:fill="auto"/>
          </w:tcPr>
          <w:p w14:paraId="6B0E109C" w14:textId="77777777" w:rsidR="00A052DC" w:rsidRDefault="009F0A60">
            <w:pPr>
              <w:pStyle w:val="B"/>
              <w:rPr>
                <w:szCs w:val="20"/>
              </w:rPr>
            </w:pPr>
            <w:r>
              <w:rPr>
                <w:rFonts w:hint="eastAsia"/>
                <w:szCs w:val="20"/>
              </w:rPr>
              <w:t>证券发行主体名称（逐支报送使用）</w:t>
            </w:r>
          </w:p>
        </w:tc>
        <w:tc>
          <w:tcPr>
            <w:tcW w:w="6489" w:type="dxa"/>
            <w:shd w:val="clear" w:color="auto" w:fill="auto"/>
            <w:noWrap/>
          </w:tcPr>
          <w:p w14:paraId="15A01DB2" w14:textId="77777777" w:rsidR="00A052DC" w:rsidRDefault="009F0A60">
            <w:pPr>
              <w:pStyle w:val="B"/>
              <w:rPr>
                <w:szCs w:val="20"/>
              </w:rPr>
            </w:pPr>
            <w:r>
              <w:rPr>
                <w:rFonts w:hint="eastAsia"/>
                <w:szCs w:val="20"/>
              </w:rPr>
              <w:t>对于选择报送逐支证券信息的，请填写此项。为发行相关债券的非居民或居民机构的中文名称及当地注册的英文名称。如为其他语言名称，可不填写外文名称，但必须填写中文名称。</w:t>
            </w:r>
          </w:p>
        </w:tc>
      </w:tr>
      <w:tr w:rsidR="00A052DC" w14:paraId="2A3B4750" w14:textId="77777777">
        <w:trPr>
          <w:cantSplit/>
          <w:jc w:val="center"/>
        </w:trPr>
        <w:tc>
          <w:tcPr>
            <w:tcW w:w="2033" w:type="dxa"/>
            <w:shd w:val="clear" w:color="auto" w:fill="auto"/>
          </w:tcPr>
          <w:p w14:paraId="2569489D" w14:textId="77777777" w:rsidR="00A052DC" w:rsidRDefault="009F0A60">
            <w:pPr>
              <w:pStyle w:val="B"/>
              <w:rPr>
                <w:szCs w:val="20"/>
              </w:rPr>
            </w:pPr>
            <w:r>
              <w:rPr>
                <w:rFonts w:hint="eastAsia"/>
                <w:szCs w:val="20"/>
              </w:rPr>
              <w:t>发行主体所属国家</w:t>
            </w:r>
            <w:r>
              <w:rPr>
                <w:szCs w:val="20"/>
              </w:rPr>
              <w:t>/</w:t>
            </w:r>
            <w:r>
              <w:rPr>
                <w:rFonts w:hint="eastAsia"/>
                <w:szCs w:val="20"/>
              </w:rPr>
              <w:t>地区</w:t>
            </w:r>
          </w:p>
        </w:tc>
        <w:tc>
          <w:tcPr>
            <w:tcW w:w="6489" w:type="dxa"/>
            <w:shd w:val="clear" w:color="auto" w:fill="auto"/>
            <w:noWrap/>
          </w:tcPr>
          <w:p w14:paraId="531365F5" w14:textId="77777777" w:rsidR="00A052DC" w:rsidRDefault="009F0A60">
            <w:pPr>
              <w:pStyle w:val="B"/>
              <w:rPr>
                <w:szCs w:val="20"/>
              </w:rPr>
            </w:pPr>
            <w:r>
              <w:rPr>
                <w:rFonts w:hint="eastAsia"/>
                <w:szCs w:val="20"/>
              </w:rPr>
              <w:t>见国家和地区代码表，填写相关债务证券发行主体的注册国家</w:t>
            </w:r>
            <w:r>
              <w:rPr>
                <w:szCs w:val="20"/>
              </w:rPr>
              <w:t>/</w:t>
            </w:r>
            <w:r>
              <w:rPr>
                <w:rFonts w:hint="eastAsia"/>
                <w:szCs w:val="20"/>
              </w:rPr>
              <w:t>地区代码。</w:t>
            </w:r>
          </w:p>
        </w:tc>
      </w:tr>
      <w:tr w:rsidR="00A052DC" w14:paraId="4A91239F" w14:textId="77777777">
        <w:trPr>
          <w:cantSplit/>
          <w:jc w:val="center"/>
        </w:trPr>
        <w:tc>
          <w:tcPr>
            <w:tcW w:w="2033" w:type="dxa"/>
            <w:shd w:val="clear" w:color="auto" w:fill="auto"/>
          </w:tcPr>
          <w:p w14:paraId="3F2BA3B3" w14:textId="77777777" w:rsidR="00A052DC" w:rsidRDefault="009F0A60">
            <w:pPr>
              <w:pStyle w:val="B"/>
              <w:rPr>
                <w:szCs w:val="20"/>
              </w:rPr>
            </w:pPr>
            <w:r>
              <w:rPr>
                <w:rFonts w:hint="eastAsia"/>
                <w:szCs w:val="20"/>
              </w:rPr>
              <w:t>发行主体所属部门</w:t>
            </w:r>
          </w:p>
        </w:tc>
        <w:tc>
          <w:tcPr>
            <w:tcW w:w="6489" w:type="dxa"/>
            <w:shd w:val="clear" w:color="auto" w:fill="auto"/>
            <w:noWrap/>
          </w:tcPr>
          <w:p w14:paraId="0833E97D" w14:textId="77777777" w:rsidR="00A052DC" w:rsidRDefault="009F0A60">
            <w:pPr>
              <w:pStyle w:val="B"/>
              <w:rPr>
                <w:szCs w:val="20"/>
              </w:rPr>
            </w:pPr>
            <w:r>
              <w:rPr>
                <w:rFonts w:hint="eastAsia"/>
                <w:szCs w:val="20"/>
              </w:rPr>
              <w:t>见投资者（被投资者）部门代码表。请按发行主体的主营业务归类。对于政府支持（机构）类债券，应按发行主体本身所属部门归类，如美国两房债券，应选择“</w:t>
            </w:r>
            <w:r>
              <w:rPr>
                <w:szCs w:val="20"/>
              </w:rPr>
              <w:t>4-</w:t>
            </w:r>
            <w:r>
              <w:rPr>
                <w:rFonts w:hint="eastAsia"/>
                <w:szCs w:val="20"/>
              </w:rPr>
              <w:t>非银行金融机构”。</w:t>
            </w:r>
          </w:p>
        </w:tc>
      </w:tr>
      <w:tr w:rsidR="00A052DC" w14:paraId="5F3EC19D" w14:textId="77777777">
        <w:trPr>
          <w:cantSplit/>
          <w:jc w:val="center"/>
        </w:trPr>
        <w:tc>
          <w:tcPr>
            <w:tcW w:w="2033" w:type="dxa"/>
            <w:shd w:val="clear" w:color="auto" w:fill="auto"/>
          </w:tcPr>
          <w:p w14:paraId="3D1061FB" w14:textId="77777777" w:rsidR="00A052DC" w:rsidRDefault="009F0A60">
            <w:pPr>
              <w:pStyle w:val="B"/>
              <w:rPr>
                <w:szCs w:val="20"/>
              </w:rPr>
            </w:pPr>
            <w:r>
              <w:rPr>
                <w:rFonts w:hint="eastAsia"/>
                <w:szCs w:val="20"/>
              </w:rPr>
              <w:t>发行主体与本机构/被代理人/委托人的关系</w:t>
            </w:r>
          </w:p>
        </w:tc>
        <w:tc>
          <w:tcPr>
            <w:tcW w:w="6489" w:type="dxa"/>
            <w:shd w:val="clear" w:color="auto" w:fill="auto"/>
            <w:noWrap/>
          </w:tcPr>
          <w:p w14:paraId="388B9E25" w14:textId="77777777" w:rsidR="00A052DC" w:rsidRDefault="009F0A60">
            <w:pPr>
              <w:pStyle w:val="B"/>
              <w:rPr>
                <w:szCs w:val="20"/>
              </w:rPr>
            </w:pPr>
            <w:r>
              <w:rPr>
                <w:rFonts w:hint="eastAsia"/>
                <w:szCs w:val="20"/>
              </w:rPr>
              <w:t>见对方与本机构</w:t>
            </w:r>
            <w:r>
              <w:rPr>
                <w:szCs w:val="20"/>
              </w:rPr>
              <w:t>/</w:t>
            </w:r>
            <w:r>
              <w:rPr>
                <w:rFonts w:hint="eastAsia"/>
                <w:szCs w:val="20"/>
              </w:rPr>
              <w:t>被代理居民机构</w:t>
            </w:r>
            <w:r>
              <w:rPr>
                <w:szCs w:val="20"/>
              </w:rPr>
              <w:t>/</w:t>
            </w:r>
            <w:r>
              <w:rPr>
                <w:rFonts w:hint="eastAsia"/>
                <w:szCs w:val="20"/>
              </w:rPr>
              <w:t>委托人的关系代码表。按以下四种情况填列：</w:t>
            </w:r>
            <w:r>
              <w:rPr>
                <w:szCs w:val="20"/>
              </w:rPr>
              <w:t>1-</w:t>
            </w:r>
            <w:r>
              <w:rPr>
                <w:rFonts w:hint="eastAsia"/>
                <w:szCs w:val="20"/>
              </w:rPr>
              <w:t>发行主体是投资者的境外直接投资者，即持有本机构表决权≥</w:t>
            </w:r>
            <w:r>
              <w:rPr>
                <w:szCs w:val="20"/>
              </w:rPr>
              <w:t>10%</w:t>
            </w:r>
            <w:r>
              <w:rPr>
                <w:rFonts w:hint="eastAsia"/>
                <w:szCs w:val="20"/>
              </w:rPr>
              <w:t>；</w:t>
            </w:r>
            <w:r>
              <w:rPr>
                <w:szCs w:val="20"/>
              </w:rPr>
              <w:t>2-</w:t>
            </w:r>
            <w:r>
              <w:rPr>
                <w:rFonts w:hint="eastAsia"/>
                <w:szCs w:val="20"/>
              </w:rPr>
              <w:t>发行主体是投资者的境外直接投资企业，即为投资者持有表决权在</w:t>
            </w:r>
            <w:r>
              <w:rPr>
                <w:szCs w:val="20"/>
              </w:rPr>
              <w:t>10%</w:t>
            </w:r>
            <w:r>
              <w:rPr>
                <w:rFonts w:hint="eastAsia"/>
                <w:szCs w:val="20"/>
              </w:rPr>
              <w:t>及以上的境外分支机构、子机构、联营机构或合营机构；</w:t>
            </w:r>
            <w:r>
              <w:rPr>
                <w:szCs w:val="20"/>
              </w:rPr>
              <w:t>3-</w:t>
            </w:r>
            <w:r>
              <w:rPr>
                <w:rFonts w:hint="eastAsia"/>
                <w:szCs w:val="20"/>
              </w:rPr>
              <w:t>发行主体是本机构的境外联属机构，即两机构有共同母公司，但相互持有表决权＜</w:t>
            </w:r>
            <w:r>
              <w:rPr>
                <w:szCs w:val="20"/>
              </w:rPr>
              <w:t>10%</w:t>
            </w:r>
            <w:r>
              <w:rPr>
                <w:rFonts w:hint="eastAsia"/>
                <w:szCs w:val="20"/>
              </w:rPr>
              <w:t>或相互不持有表决权；</w:t>
            </w:r>
            <w:r>
              <w:rPr>
                <w:szCs w:val="20"/>
              </w:rPr>
              <w:t>4-</w:t>
            </w:r>
            <w:r>
              <w:rPr>
                <w:rFonts w:hint="eastAsia"/>
                <w:szCs w:val="20"/>
              </w:rPr>
              <w:t>发行主体与投资者无关联关系，或两机构均位于中国境内。</w:t>
            </w:r>
          </w:p>
        </w:tc>
      </w:tr>
      <w:tr w:rsidR="00A052DC" w14:paraId="041B09DA" w14:textId="77777777">
        <w:trPr>
          <w:cantSplit/>
          <w:jc w:val="center"/>
        </w:trPr>
        <w:tc>
          <w:tcPr>
            <w:tcW w:w="2033" w:type="dxa"/>
            <w:shd w:val="clear" w:color="auto" w:fill="auto"/>
          </w:tcPr>
          <w:p w14:paraId="05968B84" w14:textId="77777777" w:rsidR="00A052DC" w:rsidRDefault="009F0A60">
            <w:pPr>
              <w:pStyle w:val="B"/>
              <w:rPr>
                <w:szCs w:val="20"/>
              </w:rPr>
            </w:pPr>
            <w:r>
              <w:rPr>
                <w:rFonts w:hint="eastAsia"/>
                <w:szCs w:val="20"/>
              </w:rPr>
              <w:t>原始期限</w:t>
            </w:r>
          </w:p>
        </w:tc>
        <w:tc>
          <w:tcPr>
            <w:tcW w:w="6489" w:type="dxa"/>
            <w:shd w:val="clear" w:color="auto" w:fill="auto"/>
            <w:noWrap/>
          </w:tcPr>
          <w:p w14:paraId="7B72F482" w14:textId="77777777" w:rsidR="00A052DC" w:rsidRDefault="009F0A60">
            <w:pPr>
              <w:pStyle w:val="B"/>
              <w:rPr>
                <w:szCs w:val="20"/>
              </w:rPr>
            </w:pPr>
            <w:r>
              <w:rPr>
                <w:rFonts w:hint="eastAsia"/>
                <w:szCs w:val="20"/>
              </w:rPr>
              <w:t>指债务证券从初始发行至最终到期的期限。请按以下两种情况填列：</w:t>
            </w:r>
            <w:r>
              <w:rPr>
                <w:szCs w:val="20"/>
              </w:rPr>
              <w:t>1-</w:t>
            </w:r>
            <w:r>
              <w:rPr>
                <w:rFonts w:hint="eastAsia"/>
                <w:szCs w:val="20"/>
              </w:rPr>
              <w:t>一年及以下；</w:t>
            </w:r>
            <w:r>
              <w:rPr>
                <w:szCs w:val="20"/>
              </w:rPr>
              <w:t>2-</w:t>
            </w:r>
            <w:r>
              <w:rPr>
                <w:rFonts w:hint="eastAsia"/>
                <w:szCs w:val="20"/>
              </w:rPr>
              <w:t>一年以上，含永久性债券和非参与性优先股。如发生债务证券拖欠或展期的，应按照双方确定的期限归类。如双方无安排，应按原期限归类。</w:t>
            </w:r>
          </w:p>
        </w:tc>
      </w:tr>
      <w:tr w:rsidR="00A052DC" w14:paraId="6358F83E" w14:textId="77777777">
        <w:trPr>
          <w:cantSplit/>
          <w:jc w:val="center"/>
        </w:trPr>
        <w:tc>
          <w:tcPr>
            <w:tcW w:w="2033" w:type="dxa"/>
            <w:shd w:val="clear" w:color="auto" w:fill="auto"/>
          </w:tcPr>
          <w:p w14:paraId="1C55B5F5" w14:textId="77777777" w:rsidR="00A052DC" w:rsidRDefault="009F0A60">
            <w:pPr>
              <w:pStyle w:val="B"/>
              <w:rPr>
                <w:szCs w:val="20"/>
              </w:rPr>
            </w:pPr>
            <w:r>
              <w:rPr>
                <w:rFonts w:hint="eastAsia"/>
                <w:szCs w:val="20"/>
              </w:rPr>
              <w:t>原始币种</w:t>
            </w:r>
          </w:p>
        </w:tc>
        <w:tc>
          <w:tcPr>
            <w:tcW w:w="6489" w:type="dxa"/>
            <w:shd w:val="clear" w:color="auto" w:fill="auto"/>
            <w:noWrap/>
          </w:tcPr>
          <w:p w14:paraId="1F322F9A" w14:textId="77777777" w:rsidR="00A052DC" w:rsidRDefault="009F0A60">
            <w:pPr>
              <w:pStyle w:val="B"/>
              <w:rPr>
                <w:szCs w:val="20"/>
              </w:rPr>
            </w:pPr>
            <w:r>
              <w:rPr>
                <w:rFonts w:hint="eastAsia"/>
                <w:szCs w:val="20"/>
              </w:rPr>
              <w:t>见币种代码表，指相关债务证券的计价币种。</w:t>
            </w:r>
          </w:p>
        </w:tc>
      </w:tr>
      <w:tr w:rsidR="00A052DC" w14:paraId="69369069" w14:textId="77777777">
        <w:trPr>
          <w:cantSplit/>
          <w:jc w:val="center"/>
        </w:trPr>
        <w:tc>
          <w:tcPr>
            <w:tcW w:w="2033" w:type="dxa"/>
            <w:shd w:val="clear" w:color="auto" w:fill="auto"/>
          </w:tcPr>
          <w:p w14:paraId="67383F6F" w14:textId="77777777" w:rsidR="00A052DC" w:rsidRDefault="009F0A60">
            <w:pPr>
              <w:pStyle w:val="B"/>
              <w:rPr>
                <w:szCs w:val="20"/>
              </w:rPr>
            </w:pPr>
            <w:r>
              <w:rPr>
                <w:rFonts w:hint="eastAsia"/>
                <w:szCs w:val="20"/>
              </w:rPr>
              <w:t>上月末市值</w:t>
            </w:r>
          </w:p>
        </w:tc>
        <w:tc>
          <w:tcPr>
            <w:tcW w:w="6489" w:type="dxa"/>
            <w:shd w:val="clear" w:color="auto" w:fill="auto"/>
            <w:noWrap/>
          </w:tcPr>
          <w:p w14:paraId="73E66827" w14:textId="77777777" w:rsidR="00A052DC" w:rsidRDefault="009F0A60">
            <w:pPr>
              <w:pStyle w:val="B"/>
              <w:rPr>
                <w:szCs w:val="20"/>
              </w:rPr>
            </w:pPr>
            <w:r>
              <w:rPr>
                <w:rFonts w:hint="eastAsia"/>
                <w:szCs w:val="20"/>
              </w:rPr>
              <w:t>指上月末所持有债务证券的公允价值。应优先使用按上月末公开市场收盘价计算的市场价值。如无市场价值，则按照本机构的记账惯例填报公允价值。债券的市场价值应为“全价”（dirtyprice）。</w:t>
            </w:r>
          </w:p>
        </w:tc>
      </w:tr>
      <w:tr w:rsidR="00A052DC" w14:paraId="51E3AE32" w14:textId="77777777">
        <w:trPr>
          <w:cantSplit/>
          <w:jc w:val="center"/>
        </w:trPr>
        <w:tc>
          <w:tcPr>
            <w:tcW w:w="2033" w:type="dxa"/>
            <w:shd w:val="clear" w:color="auto" w:fill="auto"/>
          </w:tcPr>
          <w:p w14:paraId="6D4EE9E1" w14:textId="77777777" w:rsidR="00A052DC" w:rsidRDefault="009F0A60">
            <w:pPr>
              <w:pStyle w:val="B"/>
              <w:rPr>
                <w:szCs w:val="20"/>
              </w:rPr>
            </w:pPr>
            <w:r>
              <w:rPr>
                <w:rFonts w:hint="eastAsia"/>
                <w:szCs w:val="20"/>
              </w:rPr>
              <w:t>本月买入金额</w:t>
            </w:r>
          </w:p>
        </w:tc>
        <w:tc>
          <w:tcPr>
            <w:tcW w:w="6489" w:type="dxa"/>
            <w:shd w:val="clear" w:color="auto" w:fill="auto"/>
            <w:noWrap/>
          </w:tcPr>
          <w:p w14:paraId="076F3F7F" w14:textId="77777777" w:rsidR="00A052DC" w:rsidRDefault="009F0A60">
            <w:pPr>
              <w:pStyle w:val="B"/>
              <w:rPr>
                <w:szCs w:val="20"/>
              </w:rPr>
            </w:pPr>
            <w:r>
              <w:rPr>
                <w:rFonts w:hint="eastAsia"/>
                <w:szCs w:val="20"/>
              </w:rPr>
              <w:t>指本月内，投资者买入相关债务证券所支付的金额。以正值填列。如出现投资者展期等与债务人重新安排债权事宜，应比照买卖债券的情况统计。</w:t>
            </w:r>
          </w:p>
        </w:tc>
      </w:tr>
      <w:tr w:rsidR="00A052DC" w14:paraId="08F226D8" w14:textId="77777777">
        <w:trPr>
          <w:cantSplit/>
          <w:jc w:val="center"/>
        </w:trPr>
        <w:tc>
          <w:tcPr>
            <w:tcW w:w="2033" w:type="dxa"/>
            <w:shd w:val="clear" w:color="auto" w:fill="auto"/>
          </w:tcPr>
          <w:p w14:paraId="269EA3CF" w14:textId="77777777" w:rsidR="00A052DC" w:rsidRDefault="009F0A60">
            <w:pPr>
              <w:pStyle w:val="B"/>
              <w:rPr>
                <w:szCs w:val="20"/>
              </w:rPr>
            </w:pPr>
            <w:r>
              <w:rPr>
                <w:rFonts w:hint="eastAsia"/>
                <w:szCs w:val="20"/>
              </w:rPr>
              <w:t>本月卖出金额</w:t>
            </w:r>
          </w:p>
        </w:tc>
        <w:tc>
          <w:tcPr>
            <w:tcW w:w="6489" w:type="dxa"/>
            <w:shd w:val="clear" w:color="auto" w:fill="auto"/>
            <w:noWrap/>
          </w:tcPr>
          <w:p w14:paraId="2EFF0867" w14:textId="77777777" w:rsidR="00A052DC" w:rsidRDefault="009F0A60">
            <w:pPr>
              <w:pStyle w:val="B"/>
              <w:rPr>
                <w:szCs w:val="20"/>
              </w:rPr>
            </w:pPr>
            <w:r>
              <w:rPr>
                <w:rFonts w:hint="eastAsia"/>
                <w:szCs w:val="20"/>
              </w:rPr>
              <w:t>指本月内，投资者卖出或持有到期相关债务证券所获得的金额。以正值填列。如出现投资者减免、展期等与债务人重新安排债权回收事宜，应比照买卖债券的情况统计。如出现可转债转换为股本证券的，视为本月卖出相关债券，买入股本证券。</w:t>
            </w:r>
          </w:p>
        </w:tc>
      </w:tr>
      <w:tr w:rsidR="00A052DC" w14:paraId="205A35B5" w14:textId="77777777">
        <w:trPr>
          <w:cantSplit/>
          <w:jc w:val="center"/>
        </w:trPr>
        <w:tc>
          <w:tcPr>
            <w:tcW w:w="2033" w:type="dxa"/>
            <w:shd w:val="clear" w:color="auto" w:fill="auto"/>
          </w:tcPr>
          <w:p w14:paraId="4CC8F4A0" w14:textId="77777777" w:rsidR="00A052DC" w:rsidRDefault="009F0A60">
            <w:pPr>
              <w:pStyle w:val="B"/>
              <w:rPr>
                <w:szCs w:val="20"/>
              </w:rPr>
            </w:pPr>
            <w:r>
              <w:rPr>
                <w:rFonts w:hint="eastAsia"/>
                <w:szCs w:val="20"/>
              </w:rPr>
              <w:t>本月卖出金额</w:t>
            </w:r>
            <w:r>
              <w:rPr>
                <w:rFonts w:hAnsi="宋体" w:hint="eastAsia"/>
                <w:color w:val="000000"/>
              </w:rPr>
              <w:t>其中：债券到期或提前兑付的本息金额</w:t>
            </w:r>
          </w:p>
        </w:tc>
        <w:tc>
          <w:tcPr>
            <w:tcW w:w="6489" w:type="dxa"/>
            <w:shd w:val="clear" w:color="auto" w:fill="auto"/>
            <w:noWrap/>
          </w:tcPr>
          <w:p w14:paraId="545D74E4" w14:textId="77777777" w:rsidR="00A052DC" w:rsidRDefault="009F0A60">
            <w:pPr>
              <w:pStyle w:val="B"/>
              <w:rPr>
                <w:szCs w:val="20"/>
              </w:rPr>
            </w:pPr>
            <w:r>
              <w:rPr>
                <w:rFonts w:hint="eastAsia"/>
                <w:szCs w:val="20"/>
              </w:rPr>
              <w:t>指本月内，债券发行人在债券到期日或到期日之前部分或全部偿还的本金和利息。</w:t>
            </w:r>
          </w:p>
        </w:tc>
      </w:tr>
      <w:tr w:rsidR="00A052DC" w14:paraId="2E852239" w14:textId="77777777">
        <w:trPr>
          <w:cantSplit/>
          <w:jc w:val="center"/>
        </w:trPr>
        <w:tc>
          <w:tcPr>
            <w:tcW w:w="2033" w:type="dxa"/>
            <w:shd w:val="clear" w:color="auto" w:fill="auto"/>
          </w:tcPr>
          <w:p w14:paraId="3FCB234A" w14:textId="77777777" w:rsidR="00A052DC" w:rsidRDefault="009F0A60">
            <w:pPr>
              <w:pStyle w:val="B"/>
              <w:rPr>
                <w:szCs w:val="20"/>
              </w:rPr>
            </w:pPr>
            <w:r>
              <w:rPr>
                <w:rFonts w:hint="eastAsia"/>
                <w:szCs w:val="20"/>
              </w:rPr>
              <w:t>本月非交易变动</w:t>
            </w:r>
          </w:p>
        </w:tc>
        <w:tc>
          <w:tcPr>
            <w:tcW w:w="6489" w:type="dxa"/>
            <w:shd w:val="clear" w:color="auto" w:fill="auto"/>
            <w:noWrap/>
          </w:tcPr>
          <w:p w14:paraId="6F15B31C" w14:textId="77777777" w:rsidR="00A052DC" w:rsidRDefault="009F0A60">
            <w:pPr>
              <w:pStyle w:val="B"/>
              <w:rPr>
                <w:szCs w:val="20"/>
              </w:rPr>
            </w:pPr>
            <w:r>
              <w:rPr>
                <w:rFonts w:hint="eastAsia"/>
                <w:szCs w:val="20"/>
              </w:rPr>
              <w:t>反映本月内证券交易买卖因素以外的非交易因素引起的债券价值变动。计算方法为：本月非交易变动</w:t>
            </w:r>
            <w:r>
              <w:rPr>
                <w:szCs w:val="20"/>
              </w:rPr>
              <w:t>=</w:t>
            </w:r>
            <w:r>
              <w:rPr>
                <w:rFonts w:hint="eastAsia"/>
                <w:szCs w:val="20"/>
              </w:rPr>
              <w:t>本月末市值</w:t>
            </w:r>
            <w:r>
              <w:rPr>
                <w:szCs w:val="20"/>
              </w:rPr>
              <w:t>-</w:t>
            </w:r>
            <w:r>
              <w:rPr>
                <w:rFonts w:hint="eastAsia"/>
                <w:szCs w:val="20"/>
              </w:rPr>
              <w:t>上月末市值</w:t>
            </w:r>
            <w:r>
              <w:rPr>
                <w:szCs w:val="20"/>
              </w:rPr>
              <w:t>-</w:t>
            </w:r>
            <w:r>
              <w:rPr>
                <w:rFonts w:hint="eastAsia"/>
                <w:szCs w:val="20"/>
              </w:rPr>
              <w:t>（本月买入金额</w:t>
            </w:r>
            <w:r>
              <w:rPr>
                <w:szCs w:val="20"/>
              </w:rPr>
              <w:t>-</w:t>
            </w:r>
            <w:r>
              <w:rPr>
                <w:rFonts w:hint="eastAsia"/>
                <w:szCs w:val="20"/>
              </w:rPr>
              <w:t>本月卖出金额）。</w:t>
            </w:r>
          </w:p>
        </w:tc>
      </w:tr>
      <w:tr w:rsidR="00A052DC" w14:paraId="7F2A5F99" w14:textId="77777777">
        <w:trPr>
          <w:cantSplit/>
          <w:jc w:val="center"/>
        </w:trPr>
        <w:tc>
          <w:tcPr>
            <w:tcW w:w="2033" w:type="dxa"/>
            <w:shd w:val="clear" w:color="auto" w:fill="auto"/>
          </w:tcPr>
          <w:p w14:paraId="447EB1A9" w14:textId="77777777" w:rsidR="00A052DC" w:rsidRDefault="009F0A60">
            <w:pPr>
              <w:pStyle w:val="B"/>
              <w:rPr>
                <w:szCs w:val="20"/>
              </w:rPr>
            </w:pPr>
            <w:r>
              <w:rPr>
                <w:rFonts w:hint="eastAsia"/>
              </w:rPr>
              <w:t>注销、调整或重新分类至其他报表统计的金额</w:t>
            </w:r>
          </w:p>
        </w:tc>
        <w:tc>
          <w:tcPr>
            <w:tcW w:w="6489" w:type="dxa"/>
            <w:shd w:val="clear" w:color="auto" w:fill="auto"/>
            <w:noWrap/>
          </w:tcPr>
          <w:p w14:paraId="4B7268C6" w14:textId="77777777" w:rsidR="00A052DC" w:rsidRDefault="009F0A60">
            <w:pPr>
              <w:pStyle w:val="B"/>
              <w:rPr>
                <w:szCs w:val="20"/>
              </w:rPr>
            </w:pPr>
            <w:r>
              <w:rPr>
                <w:rFonts w:hint="eastAsia"/>
                <w:szCs w:val="20"/>
              </w:rPr>
              <w:t>指非买卖因素引起的证券资产数量增减和价值变动。包括但不限于本月本机构注销相关资产，或相关资产从可流通的证券调整为不可流通的证券的金额。</w:t>
            </w:r>
          </w:p>
        </w:tc>
      </w:tr>
      <w:tr w:rsidR="00A052DC" w14:paraId="451438B5" w14:textId="77777777">
        <w:trPr>
          <w:cantSplit/>
          <w:jc w:val="center"/>
        </w:trPr>
        <w:tc>
          <w:tcPr>
            <w:tcW w:w="2033" w:type="dxa"/>
            <w:shd w:val="clear" w:color="auto" w:fill="auto"/>
          </w:tcPr>
          <w:p w14:paraId="17A27176" w14:textId="77777777" w:rsidR="00A052DC" w:rsidRDefault="009F0A60">
            <w:pPr>
              <w:pStyle w:val="B"/>
              <w:rPr>
                <w:szCs w:val="20"/>
              </w:rPr>
            </w:pPr>
            <w:r>
              <w:rPr>
                <w:rFonts w:hint="eastAsia"/>
              </w:rPr>
              <w:t>价值重估因素</w:t>
            </w:r>
          </w:p>
        </w:tc>
        <w:tc>
          <w:tcPr>
            <w:tcW w:w="6489" w:type="dxa"/>
            <w:shd w:val="clear" w:color="auto" w:fill="auto"/>
            <w:noWrap/>
          </w:tcPr>
          <w:p w14:paraId="4DE77F87" w14:textId="77777777" w:rsidR="00A052DC" w:rsidRDefault="009F0A60">
            <w:pPr>
              <w:pStyle w:val="B"/>
              <w:widowControl w:val="0"/>
              <w:rPr>
                <w:szCs w:val="20"/>
              </w:rPr>
            </w:pPr>
            <w:r>
              <w:rPr>
                <w:rFonts w:hint="eastAsia"/>
              </w:rPr>
              <w:t>指剔除买卖因素和注销、调整或重新分类至其他报表统计的金额因素外，本月市场价格或近似参考价格波动带来的资产价值增减。必须满足：本月非交易变动</w:t>
            </w:r>
            <w:r>
              <w:t>=</w:t>
            </w:r>
            <w:r>
              <w:rPr>
                <w:rFonts w:hint="eastAsia"/>
              </w:rPr>
              <w:t>注销、调整或重新分类至其他报表统计的金额</w:t>
            </w:r>
            <w:r>
              <w:t>+</w:t>
            </w:r>
            <w:r>
              <w:rPr>
                <w:rFonts w:hint="eastAsia"/>
              </w:rPr>
              <w:t>价值重估因素。</w:t>
            </w:r>
          </w:p>
        </w:tc>
      </w:tr>
      <w:tr w:rsidR="00A052DC" w14:paraId="46C8553F" w14:textId="77777777">
        <w:trPr>
          <w:cantSplit/>
          <w:jc w:val="center"/>
        </w:trPr>
        <w:tc>
          <w:tcPr>
            <w:tcW w:w="2033" w:type="dxa"/>
            <w:shd w:val="clear" w:color="auto" w:fill="auto"/>
          </w:tcPr>
          <w:p w14:paraId="33D0495A" w14:textId="77777777" w:rsidR="00A052DC" w:rsidRDefault="009F0A60">
            <w:pPr>
              <w:pStyle w:val="B"/>
              <w:widowControl w:val="0"/>
              <w:rPr>
                <w:szCs w:val="20"/>
              </w:rPr>
            </w:pPr>
            <w:r>
              <w:rPr>
                <w:rFonts w:hint="eastAsia"/>
                <w:szCs w:val="20"/>
              </w:rPr>
              <w:t>本月末市值</w:t>
            </w:r>
          </w:p>
        </w:tc>
        <w:tc>
          <w:tcPr>
            <w:tcW w:w="6489" w:type="dxa"/>
            <w:shd w:val="clear" w:color="auto" w:fill="auto"/>
            <w:noWrap/>
          </w:tcPr>
          <w:p w14:paraId="589AD41E" w14:textId="77777777" w:rsidR="00A052DC" w:rsidRDefault="009F0A60">
            <w:pPr>
              <w:pStyle w:val="B"/>
              <w:widowControl w:val="0"/>
              <w:rPr>
                <w:szCs w:val="20"/>
              </w:rPr>
            </w:pPr>
            <w:r>
              <w:rPr>
                <w:rFonts w:hint="eastAsia"/>
                <w:szCs w:val="20"/>
              </w:rPr>
              <w:t>指本月末债务证券的公允价值。应优先使用按本月末公开市场收盘价计算的市场价值。如无市场价值，则按照记账惯例填报公允价值。债券的市场价值应为“全价”（dirtyprice）。</w:t>
            </w:r>
          </w:p>
        </w:tc>
      </w:tr>
      <w:tr w:rsidR="00A052DC" w14:paraId="42825F04" w14:textId="77777777">
        <w:trPr>
          <w:cantSplit/>
          <w:jc w:val="center"/>
        </w:trPr>
        <w:tc>
          <w:tcPr>
            <w:tcW w:w="2033" w:type="dxa"/>
            <w:shd w:val="clear" w:color="auto" w:fill="auto"/>
          </w:tcPr>
          <w:p w14:paraId="0E7B1D45" w14:textId="77777777" w:rsidR="00A052DC" w:rsidRDefault="009F0A60">
            <w:pPr>
              <w:pStyle w:val="B"/>
              <w:widowControl w:val="0"/>
              <w:rPr>
                <w:szCs w:val="20"/>
              </w:rPr>
            </w:pPr>
            <w:r>
              <w:rPr>
                <w:rFonts w:hint="eastAsia"/>
              </w:rPr>
              <w:t>本月末市值其中：剩余期限在一年及以下</w:t>
            </w:r>
          </w:p>
        </w:tc>
        <w:tc>
          <w:tcPr>
            <w:tcW w:w="6489" w:type="dxa"/>
            <w:shd w:val="clear" w:color="auto" w:fill="auto"/>
            <w:noWrap/>
          </w:tcPr>
          <w:p w14:paraId="241E8934" w14:textId="77777777" w:rsidR="00A052DC" w:rsidRDefault="009F0A60">
            <w:pPr>
              <w:pStyle w:val="B"/>
              <w:widowControl w:val="0"/>
              <w:rPr>
                <w:szCs w:val="20"/>
              </w:rPr>
            </w:pPr>
            <w:r>
              <w:rPr>
                <w:rFonts w:hint="eastAsia"/>
                <w:szCs w:val="20"/>
              </w:rPr>
              <w:t>指自本月末至最终到期在一年及以下的债务证券的公允价值。应优先使用按本月末公开市场收盘价计算的市场价值。如无市场价值，则按照记账惯例填报公允价值。</w:t>
            </w:r>
          </w:p>
        </w:tc>
      </w:tr>
      <w:tr w:rsidR="00A052DC" w14:paraId="16D39742" w14:textId="77777777">
        <w:trPr>
          <w:cantSplit/>
          <w:jc w:val="center"/>
        </w:trPr>
        <w:tc>
          <w:tcPr>
            <w:tcW w:w="2033" w:type="dxa"/>
            <w:shd w:val="clear" w:color="auto" w:fill="auto"/>
          </w:tcPr>
          <w:p w14:paraId="1E83EF1A" w14:textId="77777777" w:rsidR="00A052DC" w:rsidRDefault="009F0A60">
            <w:pPr>
              <w:pStyle w:val="B"/>
              <w:widowControl w:val="0"/>
              <w:rPr>
                <w:szCs w:val="20"/>
              </w:rPr>
            </w:pPr>
            <w:r>
              <w:rPr>
                <w:rFonts w:hint="eastAsia"/>
                <w:szCs w:val="20"/>
              </w:rPr>
              <w:t>本月利息收入</w:t>
            </w:r>
          </w:p>
        </w:tc>
        <w:tc>
          <w:tcPr>
            <w:tcW w:w="6489" w:type="dxa"/>
            <w:shd w:val="clear" w:color="auto" w:fill="auto"/>
            <w:noWrap/>
          </w:tcPr>
          <w:p w14:paraId="46787955" w14:textId="77777777" w:rsidR="00A052DC" w:rsidRDefault="009F0A60">
            <w:pPr>
              <w:pStyle w:val="B"/>
              <w:widowControl w:val="0"/>
              <w:rPr>
                <w:szCs w:val="20"/>
              </w:rPr>
            </w:pPr>
            <w:r>
              <w:rPr>
                <w:rFonts w:hint="eastAsia"/>
                <w:szCs w:val="20"/>
              </w:rPr>
              <w:t>指本月发生的、投资者会计账上确认的、持有债务证券的利息收入。</w:t>
            </w:r>
          </w:p>
        </w:tc>
      </w:tr>
      <w:tr w:rsidR="00A052DC" w14:paraId="5206F56B" w14:textId="77777777">
        <w:trPr>
          <w:cantSplit/>
          <w:jc w:val="center"/>
        </w:trPr>
        <w:tc>
          <w:tcPr>
            <w:tcW w:w="2033" w:type="dxa"/>
            <w:shd w:val="clear" w:color="auto" w:fill="auto"/>
          </w:tcPr>
          <w:p w14:paraId="4E5E8F99" w14:textId="77777777" w:rsidR="00A052DC" w:rsidRDefault="009F0A60">
            <w:pPr>
              <w:pStyle w:val="B"/>
              <w:widowControl w:val="0"/>
              <w:rPr>
                <w:szCs w:val="20"/>
              </w:rPr>
            </w:pPr>
            <w:r>
              <w:rPr>
                <w:rFonts w:hint="eastAsia"/>
                <w:szCs w:val="20"/>
              </w:rPr>
              <w:t>本月末未到期/未偿付债券面值</w:t>
            </w:r>
          </w:p>
        </w:tc>
        <w:tc>
          <w:tcPr>
            <w:tcW w:w="6489" w:type="dxa"/>
            <w:shd w:val="clear" w:color="auto" w:fill="auto"/>
            <w:noWrap/>
          </w:tcPr>
          <w:p w14:paraId="1CB7CB82" w14:textId="77777777" w:rsidR="00A052DC" w:rsidRDefault="009F0A60">
            <w:pPr>
              <w:pStyle w:val="B"/>
              <w:widowControl w:val="0"/>
              <w:rPr>
                <w:szCs w:val="20"/>
              </w:rPr>
            </w:pPr>
            <w:r>
              <w:rPr>
                <w:rFonts w:hint="eastAsia"/>
                <w:szCs w:val="20"/>
              </w:rPr>
              <w:t>债券面值为债券发行人在债券到期时需向持有人偿还的本金金额，本项应填报为债券票面金额与本月末投资者持有债券数量的乘积。</w:t>
            </w:r>
          </w:p>
        </w:tc>
      </w:tr>
      <w:tr w:rsidR="00A052DC" w14:paraId="0914C501" w14:textId="77777777">
        <w:trPr>
          <w:cantSplit/>
          <w:jc w:val="center"/>
        </w:trPr>
        <w:tc>
          <w:tcPr>
            <w:tcW w:w="2033" w:type="dxa"/>
            <w:shd w:val="clear" w:color="auto" w:fill="auto"/>
          </w:tcPr>
          <w:p w14:paraId="7001F6BD" w14:textId="77777777" w:rsidR="00A052DC" w:rsidRDefault="009F0A60">
            <w:pPr>
              <w:pStyle w:val="B"/>
              <w:widowControl w:val="0"/>
              <w:rPr>
                <w:szCs w:val="20"/>
              </w:rPr>
            </w:pPr>
            <w:r>
              <w:rPr>
                <w:rFonts w:hint="eastAsia"/>
                <w:szCs w:val="20"/>
              </w:rPr>
              <w:t>备注</w:t>
            </w:r>
          </w:p>
        </w:tc>
        <w:tc>
          <w:tcPr>
            <w:tcW w:w="6489" w:type="dxa"/>
            <w:shd w:val="clear" w:color="auto" w:fill="auto"/>
            <w:noWrap/>
          </w:tcPr>
          <w:p w14:paraId="1663ADF1" w14:textId="77777777" w:rsidR="00A052DC" w:rsidRDefault="009F0A60">
            <w:pPr>
              <w:pStyle w:val="B"/>
              <w:widowControl w:val="0"/>
              <w:rPr>
                <w:szCs w:val="20"/>
              </w:rPr>
            </w:pPr>
            <w:r>
              <w:rPr>
                <w:rFonts w:hint="eastAsia"/>
                <w:szCs w:val="20"/>
              </w:rPr>
              <w:t>需要说明的备注事项。</w:t>
            </w:r>
          </w:p>
        </w:tc>
      </w:tr>
    </w:tbl>
    <w:p w14:paraId="7CD671A7" w14:textId="77777777" w:rsidR="00A052DC" w:rsidRDefault="00A052DC"/>
    <w:p w14:paraId="49D32002" w14:textId="77777777" w:rsidR="00A052DC" w:rsidRDefault="009F0A60" w:rsidP="0020251D">
      <w:pPr>
        <w:pStyle w:val="4"/>
        <w:numPr>
          <w:ilvl w:val="3"/>
          <w:numId w:val="1"/>
        </w:numPr>
        <w:jc w:val="left"/>
      </w:pPr>
      <w:bookmarkStart w:id="3062" w:name="_Toc454391261"/>
      <w:bookmarkStart w:id="3063" w:name="_Toc454391262"/>
      <w:bookmarkStart w:id="3064" w:name="_Toc380570929"/>
      <w:bookmarkEnd w:id="3062"/>
      <w:r>
        <w:rPr>
          <w:rFonts w:hint="eastAsia"/>
        </w:rPr>
        <w:t>数据格式</w:t>
      </w:r>
      <w:bookmarkEnd w:id="3063"/>
      <w:bookmarkEnd w:id="3064"/>
    </w:p>
    <w:p w14:paraId="437FCECF" w14:textId="77777777" w:rsidR="00A052DC" w:rsidRDefault="009F0A60">
      <w:pPr>
        <w:ind w:firstLine="284"/>
      </w:pPr>
      <w:r>
        <w:t>&lt;REC&gt;</w:t>
      </w:r>
    </w:p>
    <w:p w14:paraId="192DAC20" w14:textId="77777777" w:rsidR="00A052DC" w:rsidRDefault="009F0A60">
      <w:pPr>
        <w:ind w:firstLine="284"/>
      </w:pPr>
      <w:r>
        <w:t>&lt;ACTIONTYPE&gt;</w:t>
      </w:r>
      <w:r>
        <w:rPr>
          <w:rFonts w:hAnsi="宋体"/>
        </w:rPr>
        <w:t>操作类型</w:t>
      </w:r>
      <w:r>
        <w:t>&lt;/ACTIONTYPE&gt;</w:t>
      </w:r>
    </w:p>
    <w:p w14:paraId="083101B3" w14:textId="77777777" w:rsidR="00A052DC" w:rsidRDefault="009F0A60">
      <w:pPr>
        <w:ind w:firstLine="284"/>
      </w:pPr>
      <w:r>
        <w:t>&lt;ACTIONDESC&gt;</w:t>
      </w:r>
      <w:r>
        <w:rPr>
          <w:rFonts w:hAnsi="宋体"/>
        </w:rPr>
        <w:t>删除原因</w:t>
      </w:r>
      <w:r>
        <w:t>&lt;/ACTIONDESC&gt;</w:t>
      </w:r>
    </w:p>
    <w:p w14:paraId="5B1ADABC" w14:textId="77777777" w:rsidR="00A052DC" w:rsidRDefault="009F0A60">
      <w:pPr>
        <w:ind w:firstLine="284"/>
      </w:pPr>
      <w:r>
        <w:t>&lt;SNOCODE&gt;</w:t>
      </w:r>
      <w:r>
        <w:rPr>
          <w:rFonts w:hAnsi="宋体"/>
        </w:rPr>
        <w:t>数据自编码</w:t>
      </w:r>
      <w:r>
        <w:t>&lt;/SNOCODE&gt;</w:t>
      </w:r>
    </w:p>
    <w:p w14:paraId="30464CAB" w14:textId="77777777" w:rsidR="00A052DC" w:rsidRDefault="009F0A60">
      <w:pPr>
        <w:ind w:firstLine="284"/>
      </w:pPr>
      <w:r>
        <w:t>&lt;OBJCODE&gt;</w:t>
      </w:r>
      <w:r>
        <w:rPr>
          <w:rFonts w:hAnsi="宋体"/>
        </w:rPr>
        <w:t>申报主体代码</w:t>
      </w:r>
      <w:r>
        <w:t>&lt;/OBJCODE&gt;</w:t>
      </w:r>
    </w:p>
    <w:p w14:paraId="13F804F4" w14:textId="77777777" w:rsidR="00A052DC" w:rsidRDefault="009F0A60">
      <w:pPr>
        <w:ind w:firstLine="284"/>
      </w:pPr>
      <w:r>
        <w:t>&lt;BUOCMONTH&gt;</w:t>
      </w:r>
      <w:r>
        <w:rPr>
          <w:rFonts w:hAnsi="宋体"/>
        </w:rPr>
        <w:t>报告期</w:t>
      </w:r>
      <w:r>
        <w:t>&lt;/BUOCMONTH&gt;</w:t>
      </w:r>
    </w:p>
    <w:p w14:paraId="2CE2CD66" w14:textId="77777777" w:rsidR="00A052DC" w:rsidRDefault="009F0A60">
      <w:pPr>
        <w:ind w:firstLine="284"/>
      </w:pPr>
      <w:r>
        <w:t>&lt;B0201TYPE&gt;</w:t>
      </w:r>
      <w:r>
        <w:rPr>
          <w:rFonts w:hAnsi="宋体"/>
        </w:rPr>
        <w:t>业务类型</w:t>
      </w:r>
      <w:r>
        <w:t>&lt;/B0201TYPE&gt;</w:t>
      </w:r>
    </w:p>
    <w:p w14:paraId="13EE83D8" w14:textId="77777777" w:rsidR="00A052DC" w:rsidRDefault="009F0A60">
      <w:pPr>
        <w:ind w:firstLine="284"/>
      </w:pPr>
      <w:r>
        <w:t>&lt;B0201&gt;</w:t>
      </w:r>
      <w:r>
        <w:rPr>
          <w:rFonts w:hAnsi="宋体"/>
        </w:rPr>
        <w:t>申报主体身份</w:t>
      </w:r>
      <w:r>
        <w:t>&lt;/B0201&gt;</w:t>
      </w:r>
    </w:p>
    <w:p w14:paraId="4044BB61" w14:textId="77777777" w:rsidR="00A052DC" w:rsidRDefault="009F0A60">
      <w:pPr>
        <w:ind w:firstLine="284"/>
      </w:pPr>
      <w:r>
        <w:t>&lt;B0202&gt;</w:t>
      </w:r>
      <w:r>
        <w:rPr>
          <w:rFonts w:hAnsi="宋体"/>
        </w:rPr>
        <w:t>被代理人</w:t>
      </w:r>
      <w:r>
        <w:t>/</w:t>
      </w:r>
      <w:r>
        <w:rPr>
          <w:rFonts w:hAnsi="宋体"/>
        </w:rPr>
        <w:t>委托人所属国家</w:t>
      </w:r>
      <w:r>
        <w:t>/</w:t>
      </w:r>
      <w:r>
        <w:rPr>
          <w:rFonts w:hAnsi="宋体"/>
        </w:rPr>
        <w:t>地区</w:t>
      </w:r>
      <w:r>
        <w:t>&lt;/B0202&gt;</w:t>
      </w:r>
    </w:p>
    <w:p w14:paraId="27D53DC6" w14:textId="77777777" w:rsidR="00A052DC" w:rsidRDefault="009F0A60">
      <w:pPr>
        <w:ind w:firstLine="284"/>
      </w:pPr>
      <w:r>
        <w:t>&lt;B0203&gt;</w:t>
      </w:r>
      <w:r>
        <w:rPr>
          <w:rFonts w:hAnsi="宋体"/>
        </w:rPr>
        <w:t>被代理人</w:t>
      </w:r>
      <w:r>
        <w:t>/</w:t>
      </w:r>
      <w:r>
        <w:rPr>
          <w:rFonts w:hAnsi="宋体"/>
        </w:rPr>
        <w:t>委托人所属部门</w:t>
      </w:r>
      <w:r>
        <w:t>&lt;/B0203&gt;</w:t>
      </w:r>
    </w:p>
    <w:p w14:paraId="3AAF9DFC" w14:textId="77777777" w:rsidR="00A052DC" w:rsidRDefault="009F0A60">
      <w:pPr>
        <w:ind w:firstLine="284"/>
      </w:pPr>
      <w:r>
        <w:t>&lt;B0204&gt;</w:t>
      </w:r>
      <w:r>
        <w:rPr>
          <w:rFonts w:hAnsi="宋体"/>
        </w:rPr>
        <w:t>发行地</w:t>
      </w:r>
      <w:r>
        <w:t>&lt;/B0204&gt;</w:t>
      </w:r>
    </w:p>
    <w:p w14:paraId="7E4CAA34" w14:textId="77777777" w:rsidR="00A052DC" w:rsidRDefault="009F0A60">
      <w:pPr>
        <w:ind w:firstLine="284"/>
      </w:pPr>
      <w:r>
        <w:t>&lt;B0205&gt;</w:t>
      </w:r>
      <w:r>
        <w:rPr>
          <w:rFonts w:hAnsi="宋体"/>
        </w:rPr>
        <w:t>证券代码（逐支报送使用）</w:t>
      </w:r>
      <w:r>
        <w:t>&lt;/B0205&gt;</w:t>
      </w:r>
    </w:p>
    <w:p w14:paraId="5E2A8F0A" w14:textId="77777777" w:rsidR="00A052DC" w:rsidRDefault="009F0A60">
      <w:pPr>
        <w:ind w:firstLine="284"/>
      </w:pPr>
      <w:r>
        <w:t>&lt;B0206&gt;</w:t>
      </w:r>
      <w:r>
        <w:rPr>
          <w:rFonts w:hAnsi="宋体"/>
        </w:rPr>
        <w:t>证券发行主体名称（逐支报送使用）</w:t>
      </w:r>
      <w:r>
        <w:t>&lt;/B0206&gt;</w:t>
      </w:r>
    </w:p>
    <w:p w14:paraId="21BE601B" w14:textId="77777777" w:rsidR="00A052DC" w:rsidRDefault="009F0A60">
      <w:pPr>
        <w:ind w:firstLine="284"/>
      </w:pPr>
      <w:r>
        <w:t>&lt;B0207&gt;</w:t>
      </w:r>
      <w:r>
        <w:rPr>
          <w:rFonts w:hAnsi="宋体"/>
        </w:rPr>
        <w:t>发行主体所属国家</w:t>
      </w:r>
      <w:r>
        <w:t>/</w:t>
      </w:r>
      <w:r>
        <w:rPr>
          <w:rFonts w:hAnsi="宋体"/>
        </w:rPr>
        <w:t>地区</w:t>
      </w:r>
      <w:r>
        <w:t>&lt;/B0207&gt;</w:t>
      </w:r>
    </w:p>
    <w:p w14:paraId="1F79ADBF" w14:textId="77777777" w:rsidR="00A052DC" w:rsidRDefault="009F0A60">
      <w:pPr>
        <w:ind w:firstLine="284"/>
      </w:pPr>
      <w:r>
        <w:t>&lt;B0208&gt;</w:t>
      </w:r>
      <w:r>
        <w:rPr>
          <w:rFonts w:hAnsi="宋体"/>
        </w:rPr>
        <w:t>发行主体所属部门</w:t>
      </w:r>
      <w:r>
        <w:t>&lt;/B0208&gt;</w:t>
      </w:r>
    </w:p>
    <w:p w14:paraId="1A0B4C3C" w14:textId="77777777" w:rsidR="00A052DC" w:rsidRDefault="009F0A60">
      <w:pPr>
        <w:ind w:firstLine="284"/>
      </w:pPr>
      <w:r>
        <w:t>&lt;B0209&gt;</w:t>
      </w:r>
      <w:r>
        <w:rPr>
          <w:rFonts w:hAnsi="宋体"/>
        </w:rPr>
        <w:t>发行主体与本机构</w:t>
      </w:r>
      <w:r>
        <w:t>/</w:t>
      </w:r>
      <w:r>
        <w:rPr>
          <w:rFonts w:hAnsi="宋体"/>
        </w:rPr>
        <w:t>被代理人</w:t>
      </w:r>
      <w:r>
        <w:t>/</w:t>
      </w:r>
      <w:r>
        <w:rPr>
          <w:rFonts w:hAnsi="宋体"/>
        </w:rPr>
        <w:t>委托人的关系</w:t>
      </w:r>
      <w:r>
        <w:t>&lt;/B0209&gt;</w:t>
      </w:r>
    </w:p>
    <w:p w14:paraId="3E785717" w14:textId="77777777" w:rsidR="00A052DC" w:rsidRDefault="009F0A60">
      <w:pPr>
        <w:ind w:firstLine="284"/>
      </w:pPr>
      <w:r>
        <w:t>&lt;B0210&gt;</w:t>
      </w:r>
      <w:r>
        <w:rPr>
          <w:rFonts w:hAnsi="宋体"/>
        </w:rPr>
        <w:t>原始期限</w:t>
      </w:r>
      <w:r>
        <w:t>&lt;/B0210&gt;</w:t>
      </w:r>
    </w:p>
    <w:p w14:paraId="29B1D729" w14:textId="77777777" w:rsidR="00A052DC" w:rsidRDefault="009F0A60">
      <w:pPr>
        <w:ind w:firstLine="284"/>
      </w:pPr>
      <w:r>
        <w:t>&lt;B0211&gt;</w:t>
      </w:r>
      <w:r>
        <w:rPr>
          <w:rFonts w:hAnsi="宋体"/>
        </w:rPr>
        <w:t>原始币种</w:t>
      </w:r>
      <w:r>
        <w:t>&lt;/B0211&gt;</w:t>
      </w:r>
    </w:p>
    <w:p w14:paraId="26981683" w14:textId="77777777" w:rsidR="00A052DC" w:rsidRDefault="009F0A60">
      <w:pPr>
        <w:ind w:firstLine="284"/>
      </w:pPr>
      <w:r>
        <w:t>&lt;B0212&gt;</w:t>
      </w:r>
      <w:r>
        <w:rPr>
          <w:rFonts w:hAnsi="宋体"/>
        </w:rPr>
        <w:t>上月末市值</w:t>
      </w:r>
      <w:r>
        <w:t>&lt;/B0212&gt;</w:t>
      </w:r>
    </w:p>
    <w:p w14:paraId="33A47888" w14:textId="77777777" w:rsidR="00A052DC" w:rsidRDefault="009F0A60">
      <w:pPr>
        <w:ind w:firstLine="284"/>
      </w:pPr>
      <w:r>
        <w:t>&lt;B0213&gt;</w:t>
      </w:r>
      <w:r>
        <w:rPr>
          <w:rFonts w:hAnsi="宋体"/>
        </w:rPr>
        <w:t>本月买入金额</w:t>
      </w:r>
      <w:r>
        <w:t>&lt;/B0213&gt;</w:t>
      </w:r>
    </w:p>
    <w:p w14:paraId="47B0C42F" w14:textId="77777777" w:rsidR="00A052DC" w:rsidRDefault="009F0A60">
      <w:pPr>
        <w:ind w:firstLine="284"/>
      </w:pPr>
      <w:r>
        <w:t>&lt;B0214&gt;</w:t>
      </w:r>
      <w:r>
        <w:rPr>
          <w:rFonts w:hAnsi="宋体"/>
        </w:rPr>
        <w:t>本月卖出金额</w:t>
      </w:r>
      <w:r>
        <w:t>&lt;/B0214&gt;</w:t>
      </w:r>
    </w:p>
    <w:p w14:paraId="6363238D" w14:textId="77777777" w:rsidR="00A052DC" w:rsidRDefault="009F0A60">
      <w:pPr>
        <w:ind w:firstLine="284"/>
      </w:pPr>
      <w:r>
        <w:t>&lt;B0214AMT&gt;</w:t>
      </w:r>
      <w:r>
        <w:rPr>
          <w:rFonts w:hint="eastAsia"/>
        </w:rPr>
        <w:t>本月卖出金额其中：债券到期或提前兑付的本息金额</w:t>
      </w:r>
      <w:r>
        <w:t>&lt;/B0214AMT&gt;</w:t>
      </w:r>
    </w:p>
    <w:p w14:paraId="6D57C850" w14:textId="77777777" w:rsidR="00A052DC" w:rsidRDefault="009F0A60">
      <w:pPr>
        <w:ind w:firstLine="284"/>
      </w:pPr>
      <w:r>
        <w:t>&lt;B0215&gt;</w:t>
      </w:r>
      <w:r>
        <w:rPr>
          <w:rFonts w:hAnsi="宋体"/>
        </w:rPr>
        <w:t>本月非交易变动</w:t>
      </w:r>
      <w:r>
        <w:t>&lt;/B0215&gt;</w:t>
      </w:r>
    </w:p>
    <w:p w14:paraId="5BAC9B13" w14:textId="77777777" w:rsidR="00A052DC" w:rsidRDefault="009F0A60">
      <w:pPr>
        <w:ind w:firstLine="284"/>
      </w:pPr>
      <w:r>
        <w:t>&lt;B0216&gt;</w:t>
      </w:r>
      <w:r>
        <w:rPr>
          <w:rFonts w:hAnsi="宋体"/>
        </w:rPr>
        <w:t>注销、调整或重新分类至其他报表统计的金额</w:t>
      </w:r>
      <w:r>
        <w:t>&lt;/B0216&gt;</w:t>
      </w:r>
    </w:p>
    <w:p w14:paraId="07C6050B" w14:textId="77777777" w:rsidR="00A052DC" w:rsidRDefault="009F0A60">
      <w:pPr>
        <w:ind w:firstLine="284"/>
      </w:pPr>
      <w:r>
        <w:t>&lt;B0217&gt;</w:t>
      </w:r>
      <w:r>
        <w:rPr>
          <w:rFonts w:hAnsi="宋体"/>
        </w:rPr>
        <w:t>价值重估因素</w:t>
      </w:r>
      <w:r>
        <w:t>&lt;/B0217&gt;</w:t>
      </w:r>
    </w:p>
    <w:p w14:paraId="52BC2201" w14:textId="77777777" w:rsidR="00A052DC" w:rsidRDefault="009F0A60">
      <w:pPr>
        <w:ind w:firstLine="284"/>
      </w:pPr>
      <w:r>
        <w:t>&lt;B0218&gt;</w:t>
      </w:r>
      <w:r>
        <w:rPr>
          <w:rFonts w:hAnsi="宋体"/>
        </w:rPr>
        <w:t>本月末市值</w:t>
      </w:r>
      <w:r>
        <w:t>&lt;/B0218&gt;</w:t>
      </w:r>
    </w:p>
    <w:p w14:paraId="1671643F" w14:textId="77777777" w:rsidR="00A052DC" w:rsidRDefault="009F0A60">
      <w:pPr>
        <w:ind w:firstLine="284"/>
      </w:pPr>
      <w:r>
        <w:t>&lt;B0219&gt;</w:t>
      </w:r>
      <w:r>
        <w:rPr>
          <w:rFonts w:hAnsi="宋体"/>
        </w:rPr>
        <w:t>本月末市值其中：剩余期限在一年及以下</w:t>
      </w:r>
      <w:r>
        <w:t>&lt;/B0219&gt;</w:t>
      </w:r>
    </w:p>
    <w:p w14:paraId="171F7D3C" w14:textId="77777777" w:rsidR="00A052DC" w:rsidRDefault="009F0A60">
      <w:pPr>
        <w:ind w:firstLine="284"/>
      </w:pPr>
      <w:r>
        <w:t>&lt;B0220&gt;</w:t>
      </w:r>
      <w:r>
        <w:rPr>
          <w:rFonts w:hAnsi="宋体"/>
        </w:rPr>
        <w:t>本月利息收入</w:t>
      </w:r>
      <w:r>
        <w:t>&lt;/B0220&gt;</w:t>
      </w:r>
    </w:p>
    <w:p w14:paraId="2E14310D" w14:textId="77777777" w:rsidR="00A052DC" w:rsidRDefault="009F0A60">
      <w:pPr>
        <w:ind w:firstLine="284"/>
      </w:pPr>
      <w:r>
        <w:t>&lt;B0221&gt;</w:t>
      </w:r>
      <w:r>
        <w:rPr>
          <w:rFonts w:hint="eastAsia"/>
        </w:rPr>
        <w:t>本月末未到期</w:t>
      </w:r>
      <w:r>
        <w:t>/</w:t>
      </w:r>
      <w:r>
        <w:rPr>
          <w:rFonts w:hint="eastAsia"/>
        </w:rPr>
        <w:t>未偿付债券面值</w:t>
      </w:r>
      <w:r>
        <w:t>&lt;/B0221&gt;</w:t>
      </w:r>
    </w:p>
    <w:p w14:paraId="57AA99C9" w14:textId="77777777" w:rsidR="00A052DC" w:rsidRDefault="009F0A60">
      <w:pPr>
        <w:ind w:firstLine="284"/>
      </w:pPr>
      <w:r>
        <w:t>&lt;REMARK&gt;</w:t>
      </w:r>
      <w:r>
        <w:rPr>
          <w:rFonts w:hAnsi="宋体"/>
        </w:rPr>
        <w:t>备注</w:t>
      </w:r>
      <w:r>
        <w:t>&lt;/REMARK&gt;</w:t>
      </w:r>
    </w:p>
    <w:p w14:paraId="46DA9A99" w14:textId="77777777" w:rsidR="00A052DC" w:rsidRDefault="009F0A60">
      <w:pPr>
        <w:ind w:firstLine="284"/>
      </w:pPr>
      <w:r>
        <w:t>&lt;/REC&gt;</w:t>
      </w:r>
    </w:p>
    <w:p w14:paraId="4B69AC9C" w14:textId="77777777" w:rsidR="00A052DC" w:rsidRDefault="009F0A60" w:rsidP="0020251D">
      <w:pPr>
        <w:pStyle w:val="4"/>
        <w:numPr>
          <w:ilvl w:val="3"/>
          <w:numId w:val="1"/>
        </w:numPr>
        <w:jc w:val="left"/>
      </w:pPr>
      <w:bookmarkStart w:id="3065" w:name="_Toc454391263"/>
      <w:bookmarkStart w:id="3066" w:name="_Toc454391264"/>
      <w:bookmarkStart w:id="3067" w:name="_Toc380570930"/>
      <w:bookmarkEnd w:id="3065"/>
      <w:r>
        <w:rPr>
          <w:rFonts w:hint="eastAsia"/>
        </w:rPr>
        <w:t>数据字典</w:t>
      </w:r>
      <w:bookmarkEnd w:id="3066"/>
      <w:bookmarkEnd w:id="3067"/>
    </w:p>
    <w:tbl>
      <w:tblPr>
        <w:tblW w:w="8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984"/>
        <w:gridCol w:w="1418"/>
        <w:gridCol w:w="4053"/>
      </w:tblGrid>
      <w:tr w:rsidR="00A052DC" w14:paraId="69813CFC" w14:textId="77777777">
        <w:trPr>
          <w:tblHeader/>
          <w:jc w:val="center"/>
        </w:trPr>
        <w:tc>
          <w:tcPr>
            <w:tcW w:w="1135" w:type="dxa"/>
            <w:shd w:val="clear" w:color="auto" w:fill="C0C0C0"/>
            <w:noWrap/>
          </w:tcPr>
          <w:p w14:paraId="300FAC06" w14:textId="77777777" w:rsidR="00A052DC" w:rsidRDefault="009F0A60">
            <w:pPr>
              <w:pStyle w:val="B1"/>
            </w:pPr>
            <w:r>
              <w:rPr>
                <w:rFonts w:hint="eastAsia"/>
              </w:rPr>
              <w:t>字段</w:t>
            </w:r>
          </w:p>
        </w:tc>
        <w:tc>
          <w:tcPr>
            <w:tcW w:w="1984" w:type="dxa"/>
            <w:shd w:val="clear" w:color="auto" w:fill="C0C0C0"/>
            <w:noWrap/>
          </w:tcPr>
          <w:p w14:paraId="6447235E" w14:textId="77777777" w:rsidR="00A052DC" w:rsidRDefault="009F0A60">
            <w:pPr>
              <w:pStyle w:val="B1"/>
            </w:pPr>
            <w:r>
              <w:rPr>
                <w:rFonts w:hint="eastAsia"/>
              </w:rPr>
              <w:t>内容</w:t>
            </w:r>
          </w:p>
        </w:tc>
        <w:tc>
          <w:tcPr>
            <w:tcW w:w="1418" w:type="dxa"/>
            <w:shd w:val="clear" w:color="auto" w:fill="C0C0C0"/>
            <w:noWrap/>
          </w:tcPr>
          <w:p w14:paraId="1824A80A" w14:textId="77777777" w:rsidR="00A052DC" w:rsidRDefault="009F0A60">
            <w:pPr>
              <w:pStyle w:val="B1"/>
            </w:pPr>
            <w:r>
              <w:rPr>
                <w:rFonts w:hint="eastAsia"/>
              </w:rPr>
              <w:t>类型（长度）</w:t>
            </w:r>
          </w:p>
        </w:tc>
        <w:tc>
          <w:tcPr>
            <w:tcW w:w="4053" w:type="dxa"/>
            <w:shd w:val="clear" w:color="auto" w:fill="C0C0C0"/>
          </w:tcPr>
          <w:p w14:paraId="514F47C5" w14:textId="77777777" w:rsidR="00A052DC" w:rsidRDefault="009F0A60">
            <w:pPr>
              <w:pStyle w:val="B1"/>
            </w:pPr>
            <w:r>
              <w:rPr>
                <w:rFonts w:hint="eastAsia"/>
              </w:rPr>
              <w:t>校验</w:t>
            </w:r>
          </w:p>
        </w:tc>
      </w:tr>
      <w:tr w:rsidR="00A052DC" w14:paraId="3434CDB1" w14:textId="77777777">
        <w:trPr>
          <w:jc w:val="center"/>
        </w:trPr>
        <w:tc>
          <w:tcPr>
            <w:tcW w:w="1135" w:type="dxa"/>
            <w:shd w:val="clear" w:color="auto" w:fill="auto"/>
            <w:noWrap/>
          </w:tcPr>
          <w:p w14:paraId="1E0D8962" w14:textId="77777777" w:rsidR="00A052DC" w:rsidRDefault="009F0A60">
            <w:pPr>
              <w:pStyle w:val="B"/>
              <w:rPr>
                <w:szCs w:val="20"/>
              </w:rPr>
            </w:pPr>
            <w:r>
              <w:rPr>
                <w:szCs w:val="20"/>
              </w:rPr>
              <w:t>ACTIONTYPE</w:t>
            </w:r>
          </w:p>
        </w:tc>
        <w:tc>
          <w:tcPr>
            <w:tcW w:w="1984" w:type="dxa"/>
            <w:shd w:val="clear" w:color="auto" w:fill="auto"/>
          </w:tcPr>
          <w:p w14:paraId="085C356B" w14:textId="77777777" w:rsidR="00A052DC" w:rsidRDefault="009F0A60">
            <w:pPr>
              <w:pStyle w:val="B"/>
              <w:rPr>
                <w:szCs w:val="20"/>
              </w:rPr>
            </w:pPr>
            <w:r>
              <w:rPr>
                <w:rFonts w:hint="eastAsia"/>
                <w:szCs w:val="20"/>
              </w:rPr>
              <w:t>操作类型</w:t>
            </w:r>
          </w:p>
        </w:tc>
        <w:tc>
          <w:tcPr>
            <w:tcW w:w="1418" w:type="dxa"/>
            <w:shd w:val="clear" w:color="auto" w:fill="auto"/>
            <w:noWrap/>
          </w:tcPr>
          <w:p w14:paraId="547A01EB" w14:textId="77777777" w:rsidR="00A052DC" w:rsidRDefault="009F0A60">
            <w:pPr>
              <w:pStyle w:val="B"/>
              <w:rPr>
                <w:szCs w:val="20"/>
              </w:rPr>
            </w:pPr>
            <w:r>
              <w:rPr>
                <w:rFonts w:hint="eastAsia"/>
                <w:szCs w:val="20"/>
              </w:rPr>
              <w:t>字符型，</w:t>
            </w:r>
            <w:r>
              <w:rPr>
                <w:szCs w:val="20"/>
              </w:rPr>
              <w:t>1</w:t>
            </w:r>
          </w:p>
        </w:tc>
        <w:tc>
          <w:tcPr>
            <w:tcW w:w="4053" w:type="dxa"/>
          </w:tcPr>
          <w:p w14:paraId="67A8691D" w14:textId="77777777" w:rsidR="00A052DC" w:rsidRDefault="009F0A60">
            <w:pPr>
              <w:pStyle w:val="B"/>
              <w:rPr>
                <w:szCs w:val="20"/>
              </w:rPr>
            </w:pPr>
            <w:r>
              <w:rPr>
                <w:rFonts w:hint="eastAsia"/>
                <w:szCs w:val="20"/>
              </w:rPr>
              <w:t>必填项</w:t>
            </w:r>
            <w:r w:rsidR="00191DE9">
              <w:rPr>
                <w:rFonts w:hint="eastAsia"/>
                <w:szCs w:val="20"/>
              </w:rPr>
              <w:t>。</w:t>
            </w:r>
          </w:p>
          <w:p w14:paraId="42D56815" w14:textId="77777777" w:rsidR="00A052DC" w:rsidRDefault="009F0A60">
            <w:pPr>
              <w:pStyle w:val="B"/>
              <w:rPr>
                <w:szCs w:val="20"/>
              </w:rPr>
            </w:pPr>
            <w:r>
              <w:rPr>
                <w:szCs w:val="20"/>
              </w:rPr>
              <w:t>A</w:t>
            </w:r>
            <w:r w:rsidR="00AE4602">
              <w:rPr>
                <w:rFonts w:hint="eastAsia"/>
                <w:szCs w:val="20"/>
              </w:rPr>
              <w:t>-</w:t>
            </w:r>
            <w:r>
              <w:rPr>
                <w:rFonts w:hint="eastAsia"/>
                <w:szCs w:val="20"/>
              </w:rPr>
              <w:t>新建</w:t>
            </w:r>
          </w:p>
          <w:p w14:paraId="1006D2B6" w14:textId="77777777" w:rsidR="00A052DC" w:rsidRDefault="009F0A60">
            <w:pPr>
              <w:pStyle w:val="B"/>
              <w:rPr>
                <w:szCs w:val="20"/>
              </w:rPr>
            </w:pPr>
            <w:r>
              <w:rPr>
                <w:szCs w:val="20"/>
              </w:rPr>
              <w:t>C</w:t>
            </w:r>
            <w:r w:rsidR="00AE4602">
              <w:rPr>
                <w:rFonts w:hint="eastAsia"/>
                <w:szCs w:val="20"/>
              </w:rPr>
              <w:t>-</w:t>
            </w:r>
            <w:r>
              <w:rPr>
                <w:rFonts w:hint="eastAsia"/>
                <w:szCs w:val="20"/>
              </w:rPr>
              <w:t>修改</w:t>
            </w:r>
          </w:p>
          <w:p w14:paraId="70CE44DD" w14:textId="77777777" w:rsidR="00A052DC" w:rsidRDefault="009F0A60" w:rsidP="00191DE9">
            <w:pPr>
              <w:pStyle w:val="B"/>
              <w:rPr>
                <w:szCs w:val="20"/>
              </w:rPr>
            </w:pPr>
            <w:r>
              <w:rPr>
                <w:szCs w:val="20"/>
              </w:rPr>
              <w:t>D</w:t>
            </w:r>
            <w:r w:rsidR="00AE4602">
              <w:rPr>
                <w:rFonts w:hint="eastAsia"/>
                <w:szCs w:val="20"/>
              </w:rPr>
              <w:t>-</w:t>
            </w:r>
            <w:r>
              <w:rPr>
                <w:rFonts w:hint="eastAsia"/>
                <w:szCs w:val="20"/>
              </w:rPr>
              <w:t>删除</w:t>
            </w:r>
          </w:p>
        </w:tc>
      </w:tr>
      <w:tr w:rsidR="00A052DC" w14:paraId="37DCBC16" w14:textId="77777777">
        <w:trPr>
          <w:jc w:val="center"/>
        </w:trPr>
        <w:tc>
          <w:tcPr>
            <w:tcW w:w="1135" w:type="dxa"/>
            <w:shd w:val="clear" w:color="auto" w:fill="auto"/>
            <w:noWrap/>
          </w:tcPr>
          <w:p w14:paraId="68C3DF6E" w14:textId="77777777" w:rsidR="00A052DC" w:rsidRDefault="009F0A60">
            <w:pPr>
              <w:pStyle w:val="B"/>
              <w:rPr>
                <w:szCs w:val="20"/>
              </w:rPr>
            </w:pPr>
            <w:r>
              <w:rPr>
                <w:szCs w:val="20"/>
              </w:rPr>
              <w:t>ACTIONDESC</w:t>
            </w:r>
          </w:p>
        </w:tc>
        <w:tc>
          <w:tcPr>
            <w:tcW w:w="1984" w:type="dxa"/>
            <w:shd w:val="clear" w:color="auto" w:fill="auto"/>
          </w:tcPr>
          <w:p w14:paraId="3D5F80E3" w14:textId="77777777" w:rsidR="00A052DC" w:rsidRDefault="009F0A60">
            <w:pPr>
              <w:pStyle w:val="B"/>
              <w:rPr>
                <w:szCs w:val="20"/>
              </w:rPr>
            </w:pPr>
            <w:r>
              <w:rPr>
                <w:rFonts w:hint="eastAsia"/>
                <w:szCs w:val="20"/>
              </w:rPr>
              <w:t>删除原因</w:t>
            </w:r>
          </w:p>
        </w:tc>
        <w:tc>
          <w:tcPr>
            <w:tcW w:w="1418" w:type="dxa"/>
            <w:shd w:val="clear" w:color="auto" w:fill="auto"/>
            <w:noWrap/>
          </w:tcPr>
          <w:p w14:paraId="13E05CF5" w14:textId="77777777" w:rsidR="00A052DC" w:rsidRDefault="009F0A60">
            <w:pPr>
              <w:pStyle w:val="B"/>
              <w:rPr>
                <w:szCs w:val="20"/>
              </w:rPr>
            </w:pPr>
            <w:r>
              <w:rPr>
                <w:rFonts w:hint="eastAsia"/>
                <w:szCs w:val="20"/>
              </w:rPr>
              <w:t>字符型，</w:t>
            </w:r>
            <w:r>
              <w:rPr>
                <w:szCs w:val="20"/>
              </w:rPr>
              <w:t>128</w:t>
            </w:r>
          </w:p>
        </w:tc>
        <w:tc>
          <w:tcPr>
            <w:tcW w:w="4053" w:type="dxa"/>
          </w:tcPr>
          <w:p w14:paraId="215AEA56" w14:textId="77777777" w:rsidR="00A052DC" w:rsidRDefault="00DD6AA3">
            <w:pPr>
              <w:pStyle w:val="B"/>
              <w:rPr>
                <w:szCs w:val="20"/>
              </w:rPr>
            </w:pPr>
            <w:r>
              <w:rPr>
                <w:rFonts w:hint="eastAsia"/>
                <w:szCs w:val="20"/>
              </w:rPr>
              <w:t>非必填项，当操作类型（ACTIONTYPE）为删除时必填。</w:t>
            </w:r>
          </w:p>
        </w:tc>
      </w:tr>
      <w:tr w:rsidR="00A052DC" w14:paraId="1657D331" w14:textId="77777777">
        <w:trPr>
          <w:jc w:val="center"/>
        </w:trPr>
        <w:tc>
          <w:tcPr>
            <w:tcW w:w="1135" w:type="dxa"/>
            <w:shd w:val="clear" w:color="auto" w:fill="auto"/>
            <w:noWrap/>
          </w:tcPr>
          <w:p w14:paraId="2A285F7A" w14:textId="77777777" w:rsidR="00A052DC" w:rsidRDefault="009F0A60">
            <w:pPr>
              <w:pStyle w:val="B"/>
              <w:rPr>
                <w:szCs w:val="20"/>
              </w:rPr>
            </w:pPr>
            <w:r>
              <w:rPr>
                <w:szCs w:val="20"/>
              </w:rPr>
              <w:t>SNOCODE</w:t>
            </w:r>
          </w:p>
        </w:tc>
        <w:tc>
          <w:tcPr>
            <w:tcW w:w="1984" w:type="dxa"/>
            <w:shd w:val="clear" w:color="auto" w:fill="auto"/>
          </w:tcPr>
          <w:p w14:paraId="69E389BC" w14:textId="77777777" w:rsidR="00A052DC" w:rsidRDefault="009F0A60">
            <w:pPr>
              <w:pStyle w:val="B"/>
              <w:rPr>
                <w:szCs w:val="20"/>
              </w:rPr>
            </w:pPr>
            <w:r>
              <w:rPr>
                <w:rFonts w:hint="eastAsia"/>
                <w:szCs w:val="20"/>
              </w:rPr>
              <w:t>数据自编码</w:t>
            </w:r>
          </w:p>
        </w:tc>
        <w:tc>
          <w:tcPr>
            <w:tcW w:w="1418" w:type="dxa"/>
            <w:shd w:val="clear" w:color="auto" w:fill="auto"/>
            <w:noWrap/>
          </w:tcPr>
          <w:p w14:paraId="5927D6E6" w14:textId="77777777" w:rsidR="00A052DC" w:rsidRDefault="009F0A60">
            <w:pPr>
              <w:pStyle w:val="B"/>
              <w:rPr>
                <w:szCs w:val="20"/>
              </w:rPr>
            </w:pPr>
            <w:r>
              <w:rPr>
                <w:rFonts w:hint="eastAsia"/>
                <w:szCs w:val="20"/>
              </w:rPr>
              <w:t>字符型，</w:t>
            </w:r>
            <w:r>
              <w:rPr>
                <w:szCs w:val="20"/>
              </w:rPr>
              <w:t>3</w:t>
            </w:r>
            <w:r>
              <w:rPr>
                <w:rFonts w:hint="eastAsia"/>
                <w:szCs w:val="20"/>
              </w:rPr>
              <w:t>6</w:t>
            </w:r>
          </w:p>
        </w:tc>
        <w:tc>
          <w:tcPr>
            <w:tcW w:w="4053" w:type="dxa"/>
          </w:tcPr>
          <w:p w14:paraId="686C1B15" w14:textId="77777777" w:rsidR="00A052DC" w:rsidRDefault="009F0A60">
            <w:pPr>
              <w:pStyle w:val="B"/>
              <w:rPr>
                <w:szCs w:val="20"/>
              </w:rPr>
            </w:pPr>
            <w:r>
              <w:rPr>
                <w:rFonts w:hint="eastAsia"/>
                <w:szCs w:val="20"/>
              </w:rPr>
              <w:t>必填项。</w:t>
            </w:r>
            <w:r>
              <w:rPr>
                <w:szCs w:val="20"/>
              </w:rPr>
              <w:t>对于接口报送的填报主体，数据自编码中的报送期（6位）应与报告期（YYYYMM）一致。</w:t>
            </w:r>
          </w:p>
        </w:tc>
      </w:tr>
      <w:tr w:rsidR="00A052DC" w14:paraId="2700B15B" w14:textId="77777777">
        <w:trPr>
          <w:jc w:val="center"/>
        </w:trPr>
        <w:tc>
          <w:tcPr>
            <w:tcW w:w="1135" w:type="dxa"/>
            <w:shd w:val="clear" w:color="auto" w:fill="auto"/>
            <w:noWrap/>
          </w:tcPr>
          <w:p w14:paraId="424DBB1E" w14:textId="77777777" w:rsidR="00A052DC" w:rsidRDefault="009F0A60">
            <w:pPr>
              <w:pStyle w:val="B"/>
              <w:rPr>
                <w:szCs w:val="20"/>
              </w:rPr>
            </w:pPr>
            <w:r>
              <w:rPr>
                <w:szCs w:val="20"/>
              </w:rPr>
              <w:t>OBJCODE</w:t>
            </w:r>
          </w:p>
        </w:tc>
        <w:tc>
          <w:tcPr>
            <w:tcW w:w="1984" w:type="dxa"/>
            <w:shd w:val="clear" w:color="auto" w:fill="auto"/>
          </w:tcPr>
          <w:p w14:paraId="3B105034" w14:textId="77777777" w:rsidR="00A052DC" w:rsidRDefault="009F0A60">
            <w:pPr>
              <w:pStyle w:val="B"/>
              <w:rPr>
                <w:szCs w:val="20"/>
              </w:rPr>
            </w:pPr>
            <w:r>
              <w:rPr>
                <w:rFonts w:hint="eastAsia"/>
                <w:szCs w:val="20"/>
              </w:rPr>
              <w:t>申报主体代码</w:t>
            </w:r>
          </w:p>
        </w:tc>
        <w:tc>
          <w:tcPr>
            <w:tcW w:w="1418" w:type="dxa"/>
            <w:shd w:val="clear" w:color="auto" w:fill="auto"/>
            <w:noWrap/>
          </w:tcPr>
          <w:p w14:paraId="7BE1C0B7" w14:textId="77777777" w:rsidR="00A052DC" w:rsidRDefault="009F0A60">
            <w:pPr>
              <w:pStyle w:val="B"/>
              <w:rPr>
                <w:szCs w:val="20"/>
              </w:rPr>
            </w:pPr>
            <w:r>
              <w:rPr>
                <w:rFonts w:hint="eastAsia"/>
                <w:szCs w:val="20"/>
              </w:rPr>
              <w:t>字符型，</w:t>
            </w:r>
            <w:r>
              <w:rPr>
                <w:szCs w:val="20"/>
              </w:rPr>
              <w:t>1</w:t>
            </w:r>
            <w:r>
              <w:rPr>
                <w:rFonts w:hint="eastAsia"/>
                <w:szCs w:val="20"/>
              </w:rPr>
              <w:t>8</w:t>
            </w:r>
          </w:p>
        </w:tc>
        <w:tc>
          <w:tcPr>
            <w:tcW w:w="4053" w:type="dxa"/>
          </w:tcPr>
          <w:p w14:paraId="1EAB26EA" w14:textId="77777777" w:rsidR="00A052DC" w:rsidRDefault="009F0A60">
            <w:pPr>
              <w:pStyle w:val="B"/>
              <w:rPr>
                <w:szCs w:val="20"/>
              </w:rPr>
            </w:pPr>
            <w:r>
              <w:rPr>
                <w:rFonts w:hint="eastAsia"/>
                <w:szCs w:val="20"/>
              </w:rPr>
              <w:t>申报主体的12位金融机构标识码，如果没有金融机构标识码，则填报统一社会信用代码法定载体（如营业执照）上统一社会信用代码中的第9至17位或国家外汇管理局及其分支局签发的特殊机构代码赋码通知书上的机构代码、个人身份代码。</w:t>
            </w:r>
          </w:p>
        </w:tc>
      </w:tr>
      <w:tr w:rsidR="00A052DC" w14:paraId="75524F41" w14:textId="77777777">
        <w:trPr>
          <w:jc w:val="center"/>
        </w:trPr>
        <w:tc>
          <w:tcPr>
            <w:tcW w:w="1135" w:type="dxa"/>
            <w:shd w:val="clear" w:color="auto" w:fill="auto"/>
            <w:noWrap/>
          </w:tcPr>
          <w:p w14:paraId="60A0BB6F" w14:textId="77777777" w:rsidR="00A052DC" w:rsidRDefault="009F0A60">
            <w:pPr>
              <w:pStyle w:val="B"/>
              <w:rPr>
                <w:szCs w:val="20"/>
              </w:rPr>
            </w:pPr>
            <w:r>
              <w:rPr>
                <w:szCs w:val="20"/>
              </w:rPr>
              <w:t>BUOCMONTH</w:t>
            </w:r>
          </w:p>
        </w:tc>
        <w:tc>
          <w:tcPr>
            <w:tcW w:w="1984" w:type="dxa"/>
            <w:shd w:val="clear" w:color="auto" w:fill="auto"/>
          </w:tcPr>
          <w:p w14:paraId="11438731" w14:textId="77777777" w:rsidR="00A052DC" w:rsidRDefault="009F0A60">
            <w:pPr>
              <w:pStyle w:val="B"/>
              <w:rPr>
                <w:szCs w:val="20"/>
              </w:rPr>
            </w:pPr>
            <w:r>
              <w:rPr>
                <w:rFonts w:hint="eastAsia"/>
                <w:szCs w:val="20"/>
              </w:rPr>
              <w:t>报告期</w:t>
            </w:r>
          </w:p>
        </w:tc>
        <w:tc>
          <w:tcPr>
            <w:tcW w:w="1418" w:type="dxa"/>
            <w:shd w:val="clear" w:color="auto" w:fill="auto"/>
            <w:noWrap/>
          </w:tcPr>
          <w:p w14:paraId="66A60B8F" w14:textId="77777777" w:rsidR="00A052DC" w:rsidRDefault="009F0A60">
            <w:pPr>
              <w:pStyle w:val="B"/>
              <w:rPr>
                <w:szCs w:val="20"/>
              </w:rPr>
            </w:pPr>
            <w:r>
              <w:rPr>
                <w:rFonts w:hint="eastAsia"/>
                <w:szCs w:val="20"/>
              </w:rPr>
              <w:t>数值型，</w:t>
            </w:r>
            <w:r>
              <w:rPr>
                <w:szCs w:val="20"/>
              </w:rPr>
              <w:t>6</w:t>
            </w:r>
          </w:p>
        </w:tc>
        <w:tc>
          <w:tcPr>
            <w:tcW w:w="4053" w:type="dxa"/>
          </w:tcPr>
          <w:p w14:paraId="0B1665F6" w14:textId="77777777" w:rsidR="00A052DC" w:rsidRDefault="009F0A60">
            <w:pPr>
              <w:pStyle w:val="B"/>
              <w:rPr>
                <w:szCs w:val="20"/>
              </w:rPr>
            </w:pPr>
            <w:r>
              <w:rPr>
                <w:rFonts w:hint="eastAsia"/>
                <w:szCs w:val="20"/>
              </w:rPr>
              <w:t>必填项，格式为</w:t>
            </w:r>
            <w:r>
              <w:rPr>
                <w:szCs w:val="20"/>
              </w:rPr>
              <w:t>YYYYMM</w:t>
            </w:r>
            <w:r>
              <w:rPr>
                <w:rFonts w:hint="eastAsia"/>
                <w:szCs w:val="20"/>
              </w:rPr>
              <w:t>。</w:t>
            </w:r>
          </w:p>
        </w:tc>
      </w:tr>
      <w:tr w:rsidR="00A052DC" w14:paraId="2B011F82" w14:textId="77777777">
        <w:trPr>
          <w:jc w:val="center"/>
        </w:trPr>
        <w:tc>
          <w:tcPr>
            <w:tcW w:w="1135" w:type="dxa"/>
            <w:shd w:val="clear" w:color="auto" w:fill="auto"/>
            <w:noWrap/>
          </w:tcPr>
          <w:p w14:paraId="71B755FD" w14:textId="77777777" w:rsidR="00A052DC" w:rsidRDefault="009F0A60">
            <w:pPr>
              <w:pStyle w:val="B"/>
              <w:rPr>
                <w:szCs w:val="20"/>
              </w:rPr>
            </w:pPr>
            <w:r>
              <w:rPr>
                <w:szCs w:val="20"/>
              </w:rPr>
              <w:t>B0201TYPE</w:t>
            </w:r>
          </w:p>
        </w:tc>
        <w:tc>
          <w:tcPr>
            <w:tcW w:w="1984" w:type="dxa"/>
            <w:shd w:val="clear" w:color="auto" w:fill="auto"/>
          </w:tcPr>
          <w:p w14:paraId="216AC1F9" w14:textId="77777777" w:rsidR="00A052DC" w:rsidRDefault="009F0A60">
            <w:pPr>
              <w:pStyle w:val="B"/>
              <w:rPr>
                <w:szCs w:val="20"/>
              </w:rPr>
            </w:pPr>
            <w:r>
              <w:rPr>
                <w:rFonts w:hint="eastAsia"/>
                <w:szCs w:val="20"/>
              </w:rPr>
              <w:t>业务类型</w:t>
            </w:r>
          </w:p>
        </w:tc>
        <w:tc>
          <w:tcPr>
            <w:tcW w:w="1418" w:type="dxa"/>
            <w:shd w:val="clear" w:color="auto" w:fill="auto"/>
            <w:noWrap/>
          </w:tcPr>
          <w:p w14:paraId="17A03910" w14:textId="77777777" w:rsidR="00A052DC" w:rsidRDefault="009F0A60">
            <w:pPr>
              <w:pStyle w:val="B"/>
              <w:rPr>
                <w:szCs w:val="20"/>
              </w:rPr>
            </w:pPr>
            <w:r>
              <w:rPr>
                <w:rFonts w:hint="eastAsia"/>
                <w:szCs w:val="20"/>
              </w:rPr>
              <w:t>整数型</w:t>
            </w:r>
          </w:p>
        </w:tc>
        <w:tc>
          <w:tcPr>
            <w:tcW w:w="4053" w:type="dxa"/>
          </w:tcPr>
          <w:p w14:paraId="78B9D8DA" w14:textId="77777777" w:rsidR="00A052DC" w:rsidRDefault="009F0A60">
            <w:pPr>
              <w:numPr>
                <w:ilvl w:val="255"/>
                <w:numId w:val="0"/>
              </w:numPr>
              <w:rPr>
                <w:rFonts w:ascii="黑体" w:eastAsia="黑体" w:hAnsi="黑体"/>
                <w:kern w:val="0"/>
                <w:sz w:val="20"/>
                <w:szCs w:val="20"/>
              </w:rPr>
            </w:pPr>
            <w:r>
              <w:rPr>
                <w:rFonts w:ascii="黑体" w:eastAsia="黑体" w:hAnsi="黑体" w:hint="eastAsia"/>
                <w:kern w:val="0"/>
                <w:sz w:val="20"/>
                <w:szCs w:val="20"/>
              </w:rPr>
              <w:t>必填项，必须</w:t>
            </w:r>
            <w:r>
              <w:rPr>
                <w:rFonts w:ascii="黑体" w:eastAsia="黑体" w:hAnsi="黑体"/>
                <w:kern w:val="0"/>
                <w:sz w:val="20"/>
                <w:szCs w:val="20"/>
              </w:rPr>
              <w:t>2</w:t>
            </w:r>
            <w:r>
              <w:rPr>
                <w:rFonts w:ascii="黑体" w:eastAsia="黑体" w:hAnsi="黑体" w:hint="eastAsia"/>
                <w:kern w:val="0"/>
                <w:sz w:val="20"/>
                <w:szCs w:val="20"/>
              </w:rPr>
              <w:t>选</w:t>
            </w:r>
            <w:r>
              <w:rPr>
                <w:rFonts w:ascii="黑体" w:eastAsia="黑体" w:hAnsi="黑体"/>
                <w:kern w:val="0"/>
                <w:sz w:val="20"/>
                <w:szCs w:val="20"/>
              </w:rPr>
              <w:t>1：</w:t>
            </w:r>
          </w:p>
          <w:p w14:paraId="0CC10C53" w14:textId="77777777" w:rsidR="00A052DC" w:rsidRDefault="009F0A60">
            <w:pPr>
              <w:numPr>
                <w:ilvl w:val="0"/>
                <w:numId w:val="15"/>
              </w:numPr>
              <w:rPr>
                <w:rFonts w:ascii="黑体" w:eastAsia="黑体" w:hAnsi="黑体"/>
                <w:kern w:val="0"/>
                <w:sz w:val="20"/>
                <w:szCs w:val="20"/>
              </w:rPr>
            </w:pPr>
            <w:r>
              <w:rPr>
                <w:rFonts w:ascii="黑体" w:eastAsia="黑体" w:hAnsi="黑体"/>
                <w:kern w:val="0"/>
                <w:sz w:val="20"/>
                <w:szCs w:val="20"/>
              </w:rPr>
              <w:t>债券通；</w:t>
            </w:r>
          </w:p>
          <w:p w14:paraId="650279A2" w14:textId="77777777" w:rsidR="00A052DC" w:rsidRDefault="009F0A60">
            <w:pPr>
              <w:pStyle w:val="B"/>
              <w:rPr>
                <w:szCs w:val="20"/>
              </w:rPr>
            </w:pPr>
            <w:r>
              <w:rPr>
                <w:rFonts w:hint="eastAsia"/>
                <w:szCs w:val="20"/>
              </w:rPr>
              <w:t>9-其他。</w:t>
            </w:r>
          </w:p>
        </w:tc>
      </w:tr>
      <w:tr w:rsidR="00A052DC" w14:paraId="5BBA2FA0" w14:textId="77777777">
        <w:trPr>
          <w:jc w:val="center"/>
        </w:trPr>
        <w:tc>
          <w:tcPr>
            <w:tcW w:w="1135" w:type="dxa"/>
            <w:shd w:val="clear" w:color="auto" w:fill="auto"/>
            <w:noWrap/>
          </w:tcPr>
          <w:p w14:paraId="65228807" w14:textId="77777777" w:rsidR="00A052DC" w:rsidRDefault="009F0A60">
            <w:pPr>
              <w:pStyle w:val="B"/>
              <w:rPr>
                <w:szCs w:val="20"/>
              </w:rPr>
            </w:pPr>
            <w:r>
              <w:rPr>
                <w:szCs w:val="20"/>
              </w:rPr>
              <w:t>B0201</w:t>
            </w:r>
          </w:p>
        </w:tc>
        <w:tc>
          <w:tcPr>
            <w:tcW w:w="1984" w:type="dxa"/>
            <w:shd w:val="clear" w:color="auto" w:fill="auto"/>
          </w:tcPr>
          <w:p w14:paraId="78C97185" w14:textId="77777777" w:rsidR="00A052DC" w:rsidRDefault="009F0A60">
            <w:pPr>
              <w:pStyle w:val="B"/>
              <w:rPr>
                <w:szCs w:val="20"/>
              </w:rPr>
            </w:pPr>
            <w:r>
              <w:rPr>
                <w:rFonts w:hint="eastAsia"/>
                <w:szCs w:val="20"/>
              </w:rPr>
              <w:t>申报主体身份</w:t>
            </w:r>
          </w:p>
        </w:tc>
        <w:tc>
          <w:tcPr>
            <w:tcW w:w="1418" w:type="dxa"/>
            <w:shd w:val="clear" w:color="auto" w:fill="auto"/>
            <w:noWrap/>
          </w:tcPr>
          <w:p w14:paraId="6314FA9E" w14:textId="77777777" w:rsidR="00A052DC" w:rsidRDefault="009F0A60">
            <w:pPr>
              <w:pStyle w:val="B"/>
              <w:rPr>
                <w:szCs w:val="20"/>
              </w:rPr>
            </w:pPr>
            <w:r>
              <w:rPr>
                <w:rFonts w:hint="eastAsia"/>
                <w:szCs w:val="20"/>
              </w:rPr>
              <w:t>整数型</w:t>
            </w:r>
          </w:p>
        </w:tc>
        <w:tc>
          <w:tcPr>
            <w:tcW w:w="4053" w:type="dxa"/>
          </w:tcPr>
          <w:p w14:paraId="36DF709E" w14:textId="77777777" w:rsidR="00A052DC" w:rsidRDefault="009F0A60">
            <w:pPr>
              <w:pStyle w:val="B"/>
              <w:rPr>
                <w:szCs w:val="20"/>
              </w:rPr>
            </w:pPr>
            <w:r>
              <w:rPr>
                <w:rFonts w:hint="eastAsia"/>
                <w:szCs w:val="20"/>
              </w:rPr>
              <w:t>必填项，必须3选</w:t>
            </w:r>
            <w:r>
              <w:rPr>
                <w:szCs w:val="20"/>
              </w:rPr>
              <w:t>1</w:t>
            </w:r>
            <w:r>
              <w:rPr>
                <w:rFonts w:hint="eastAsia"/>
                <w:szCs w:val="20"/>
              </w:rPr>
              <w:t>：</w:t>
            </w:r>
          </w:p>
          <w:p w14:paraId="34F0227C" w14:textId="77777777" w:rsidR="00A052DC" w:rsidRDefault="009F0A60">
            <w:pPr>
              <w:pStyle w:val="B"/>
              <w:rPr>
                <w:szCs w:val="20"/>
              </w:rPr>
            </w:pPr>
            <w:r>
              <w:rPr>
                <w:szCs w:val="20"/>
              </w:rPr>
              <w:t>1-</w:t>
            </w:r>
            <w:r>
              <w:rPr>
                <w:rFonts w:hint="eastAsia"/>
                <w:szCs w:val="20"/>
              </w:rPr>
              <w:t>以自身名义投资（无境内托管人、代理人或管理人）；</w:t>
            </w:r>
          </w:p>
          <w:p w14:paraId="7B67B4A7" w14:textId="77777777" w:rsidR="00A052DC" w:rsidRDefault="009F0A60">
            <w:pPr>
              <w:pStyle w:val="B"/>
              <w:rPr>
                <w:szCs w:val="20"/>
              </w:rPr>
            </w:pPr>
            <w:r>
              <w:rPr>
                <w:szCs w:val="20"/>
              </w:rPr>
              <w:t>2-</w:t>
            </w:r>
            <w:r>
              <w:rPr>
                <w:rFonts w:hint="eastAsia"/>
                <w:szCs w:val="20"/>
              </w:rPr>
              <w:t>是代理人或管理人，以客户或产品名义投资；</w:t>
            </w:r>
          </w:p>
          <w:p w14:paraId="548A610E" w14:textId="77777777" w:rsidR="00A052DC" w:rsidRDefault="009F0A60">
            <w:pPr>
              <w:rPr>
                <w:rFonts w:ascii="黑体" w:eastAsia="黑体" w:hAnsi="黑体"/>
                <w:sz w:val="20"/>
                <w:szCs w:val="20"/>
              </w:rPr>
            </w:pPr>
            <w:r>
              <w:rPr>
                <w:rFonts w:ascii="黑体" w:eastAsia="黑体" w:hAnsi="黑体"/>
                <w:kern w:val="0"/>
                <w:sz w:val="20"/>
                <w:szCs w:val="20"/>
              </w:rPr>
              <w:t>3-</w:t>
            </w:r>
            <w:r>
              <w:rPr>
                <w:rFonts w:ascii="黑体" w:eastAsia="黑体" w:hAnsi="黑体" w:hint="eastAsia"/>
                <w:kern w:val="0"/>
                <w:sz w:val="20"/>
                <w:szCs w:val="20"/>
              </w:rPr>
              <w:t>是境内结算机构或交易所，从居民投资者角度填报。</w:t>
            </w:r>
          </w:p>
        </w:tc>
      </w:tr>
      <w:tr w:rsidR="00A052DC" w14:paraId="226953CB" w14:textId="77777777">
        <w:trPr>
          <w:jc w:val="center"/>
        </w:trPr>
        <w:tc>
          <w:tcPr>
            <w:tcW w:w="1135" w:type="dxa"/>
            <w:shd w:val="clear" w:color="auto" w:fill="auto"/>
            <w:noWrap/>
          </w:tcPr>
          <w:p w14:paraId="10C1E94A" w14:textId="77777777" w:rsidR="00A052DC" w:rsidRDefault="009F0A60">
            <w:pPr>
              <w:pStyle w:val="B"/>
              <w:rPr>
                <w:szCs w:val="20"/>
              </w:rPr>
            </w:pPr>
            <w:r>
              <w:rPr>
                <w:szCs w:val="20"/>
              </w:rPr>
              <w:t>B0202</w:t>
            </w:r>
          </w:p>
        </w:tc>
        <w:tc>
          <w:tcPr>
            <w:tcW w:w="1984" w:type="dxa"/>
            <w:shd w:val="clear" w:color="auto" w:fill="auto"/>
          </w:tcPr>
          <w:p w14:paraId="7A1F7F64" w14:textId="77777777" w:rsidR="00A052DC" w:rsidRDefault="009F0A60">
            <w:pPr>
              <w:pStyle w:val="B"/>
              <w:rPr>
                <w:szCs w:val="20"/>
              </w:rPr>
            </w:pPr>
            <w:r>
              <w:rPr>
                <w:rFonts w:hint="eastAsia"/>
                <w:szCs w:val="20"/>
              </w:rPr>
              <w:t>被代理人</w:t>
            </w:r>
            <w:r>
              <w:rPr>
                <w:szCs w:val="20"/>
              </w:rPr>
              <w:t>/</w:t>
            </w:r>
            <w:r>
              <w:rPr>
                <w:rFonts w:hint="eastAsia"/>
                <w:szCs w:val="20"/>
              </w:rPr>
              <w:t>委托人所属国家</w:t>
            </w:r>
            <w:r>
              <w:rPr>
                <w:szCs w:val="20"/>
              </w:rPr>
              <w:t>/</w:t>
            </w:r>
            <w:r>
              <w:rPr>
                <w:rFonts w:hint="eastAsia"/>
                <w:szCs w:val="20"/>
              </w:rPr>
              <w:t>地区</w:t>
            </w:r>
          </w:p>
        </w:tc>
        <w:tc>
          <w:tcPr>
            <w:tcW w:w="1418" w:type="dxa"/>
            <w:shd w:val="clear" w:color="auto" w:fill="auto"/>
            <w:noWrap/>
          </w:tcPr>
          <w:p w14:paraId="2567126C" w14:textId="77777777" w:rsidR="00A052DC" w:rsidRDefault="009F0A60">
            <w:pPr>
              <w:pStyle w:val="B"/>
              <w:rPr>
                <w:szCs w:val="20"/>
              </w:rPr>
            </w:pPr>
            <w:r>
              <w:rPr>
                <w:rFonts w:hint="eastAsia"/>
                <w:szCs w:val="20"/>
              </w:rPr>
              <w:t>字符型，</w:t>
            </w:r>
            <w:r>
              <w:rPr>
                <w:szCs w:val="20"/>
              </w:rPr>
              <w:t>3</w:t>
            </w:r>
          </w:p>
        </w:tc>
        <w:tc>
          <w:tcPr>
            <w:tcW w:w="4053" w:type="dxa"/>
          </w:tcPr>
          <w:p w14:paraId="7E3A6CB5" w14:textId="77777777" w:rsidR="00A052DC" w:rsidRDefault="009F0A60">
            <w:pPr>
              <w:pStyle w:val="B"/>
              <w:rPr>
                <w:szCs w:val="20"/>
              </w:rPr>
            </w:pPr>
            <w:r>
              <w:rPr>
                <w:rFonts w:hint="eastAsia"/>
                <w:szCs w:val="20"/>
              </w:rPr>
              <w:t>非必填项。如</w:t>
            </w:r>
            <w:r>
              <w:rPr>
                <w:szCs w:val="20"/>
              </w:rPr>
              <w:t>B0201</w:t>
            </w:r>
            <w:r>
              <w:rPr>
                <w:rFonts w:hint="eastAsia"/>
                <w:szCs w:val="20"/>
              </w:rPr>
              <w:t>选择</w:t>
            </w:r>
            <w:r>
              <w:rPr>
                <w:szCs w:val="20"/>
              </w:rPr>
              <w:t>1</w:t>
            </w:r>
            <w:r>
              <w:rPr>
                <w:rFonts w:hint="eastAsia"/>
                <w:szCs w:val="20"/>
              </w:rPr>
              <w:t>，则该字段为空；如</w:t>
            </w:r>
            <w:r>
              <w:rPr>
                <w:szCs w:val="20"/>
              </w:rPr>
              <w:t>B0201</w:t>
            </w:r>
            <w:r>
              <w:rPr>
                <w:rFonts w:hint="eastAsia"/>
                <w:szCs w:val="20"/>
              </w:rPr>
              <w:t>选择</w:t>
            </w:r>
            <w:r>
              <w:rPr>
                <w:szCs w:val="20"/>
              </w:rPr>
              <w:t>2</w:t>
            </w:r>
            <w:r>
              <w:rPr>
                <w:rFonts w:hint="eastAsia"/>
                <w:szCs w:val="20"/>
              </w:rPr>
              <w:t>，则该字段必须</w:t>
            </w:r>
            <w:r>
              <w:rPr>
                <w:szCs w:val="20"/>
              </w:rPr>
              <w:t>=CHN</w:t>
            </w:r>
            <w:r>
              <w:rPr>
                <w:rFonts w:hint="eastAsia"/>
                <w:szCs w:val="20"/>
              </w:rPr>
              <w:t>（中国）。</w:t>
            </w:r>
          </w:p>
        </w:tc>
      </w:tr>
      <w:tr w:rsidR="00A052DC" w14:paraId="07AB34C3" w14:textId="77777777">
        <w:trPr>
          <w:jc w:val="center"/>
        </w:trPr>
        <w:tc>
          <w:tcPr>
            <w:tcW w:w="1135" w:type="dxa"/>
            <w:shd w:val="clear" w:color="auto" w:fill="auto"/>
            <w:noWrap/>
          </w:tcPr>
          <w:p w14:paraId="3DC045EC" w14:textId="77777777" w:rsidR="00A052DC" w:rsidRDefault="009F0A60">
            <w:pPr>
              <w:pStyle w:val="B"/>
              <w:rPr>
                <w:szCs w:val="20"/>
              </w:rPr>
            </w:pPr>
            <w:r>
              <w:rPr>
                <w:szCs w:val="20"/>
              </w:rPr>
              <w:t>B0203</w:t>
            </w:r>
          </w:p>
        </w:tc>
        <w:tc>
          <w:tcPr>
            <w:tcW w:w="1984" w:type="dxa"/>
            <w:shd w:val="clear" w:color="auto" w:fill="auto"/>
          </w:tcPr>
          <w:p w14:paraId="14474AE6" w14:textId="77777777" w:rsidR="00A052DC" w:rsidRDefault="009F0A60">
            <w:pPr>
              <w:pStyle w:val="B"/>
              <w:rPr>
                <w:szCs w:val="20"/>
              </w:rPr>
            </w:pPr>
            <w:r>
              <w:rPr>
                <w:rFonts w:hint="eastAsia"/>
                <w:szCs w:val="20"/>
              </w:rPr>
              <w:t>被代理人</w:t>
            </w:r>
            <w:r>
              <w:rPr>
                <w:szCs w:val="20"/>
              </w:rPr>
              <w:t>/</w:t>
            </w:r>
            <w:r>
              <w:rPr>
                <w:rFonts w:hint="eastAsia"/>
                <w:szCs w:val="20"/>
              </w:rPr>
              <w:t>委托人所属部门</w:t>
            </w:r>
          </w:p>
        </w:tc>
        <w:tc>
          <w:tcPr>
            <w:tcW w:w="1418" w:type="dxa"/>
            <w:shd w:val="clear" w:color="auto" w:fill="auto"/>
            <w:noWrap/>
          </w:tcPr>
          <w:p w14:paraId="0E111D12" w14:textId="77777777" w:rsidR="00A052DC" w:rsidRDefault="009F0A60">
            <w:pPr>
              <w:pStyle w:val="B"/>
              <w:rPr>
                <w:szCs w:val="20"/>
              </w:rPr>
            </w:pPr>
            <w:r>
              <w:rPr>
                <w:rFonts w:hint="eastAsia"/>
                <w:szCs w:val="20"/>
              </w:rPr>
              <w:t>整数型</w:t>
            </w:r>
          </w:p>
        </w:tc>
        <w:tc>
          <w:tcPr>
            <w:tcW w:w="4053" w:type="dxa"/>
          </w:tcPr>
          <w:p w14:paraId="4194E1E7" w14:textId="77777777" w:rsidR="00A052DC" w:rsidRDefault="009F0A60">
            <w:pPr>
              <w:pStyle w:val="B"/>
              <w:rPr>
                <w:szCs w:val="20"/>
              </w:rPr>
            </w:pPr>
            <w:r>
              <w:rPr>
                <w:rFonts w:hint="eastAsia"/>
                <w:szCs w:val="20"/>
              </w:rPr>
              <w:t>非必填项，如</w:t>
            </w:r>
            <w:r>
              <w:rPr>
                <w:szCs w:val="20"/>
              </w:rPr>
              <w:t>B0201</w:t>
            </w:r>
            <w:r>
              <w:rPr>
                <w:rFonts w:hint="eastAsia"/>
                <w:szCs w:val="20"/>
              </w:rPr>
              <w:t>选择</w:t>
            </w:r>
            <w:r>
              <w:rPr>
                <w:szCs w:val="20"/>
              </w:rPr>
              <w:t>1</w:t>
            </w:r>
            <w:r>
              <w:rPr>
                <w:rFonts w:hint="eastAsia"/>
                <w:szCs w:val="20"/>
              </w:rPr>
              <w:t>，则该字段为空；如</w:t>
            </w:r>
            <w:r>
              <w:rPr>
                <w:szCs w:val="20"/>
              </w:rPr>
              <w:t>B0201</w:t>
            </w:r>
            <w:r>
              <w:rPr>
                <w:rFonts w:hint="eastAsia"/>
                <w:szCs w:val="20"/>
              </w:rPr>
              <w:t>选择</w:t>
            </w:r>
            <w:r>
              <w:rPr>
                <w:szCs w:val="20"/>
              </w:rPr>
              <w:t>2</w:t>
            </w:r>
            <w:r>
              <w:rPr>
                <w:rFonts w:hint="eastAsia"/>
                <w:szCs w:val="20"/>
              </w:rPr>
              <w:t>，则为必填项，见投资者（被投资者）部门代码表。</w:t>
            </w:r>
          </w:p>
        </w:tc>
      </w:tr>
      <w:tr w:rsidR="00A052DC" w14:paraId="4F76449B" w14:textId="77777777">
        <w:trPr>
          <w:jc w:val="center"/>
        </w:trPr>
        <w:tc>
          <w:tcPr>
            <w:tcW w:w="1135" w:type="dxa"/>
            <w:shd w:val="clear" w:color="auto" w:fill="auto"/>
            <w:noWrap/>
          </w:tcPr>
          <w:p w14:paraId="4E13C826" w14:textId="77777777" w:rsidR="00A052DC" w:rsidRDefault="009F0A60">
            <w:pPr>
              <w:pStyle w:val="B"/>
              <w:rPr>
                <w:szCs w:val="20"/>
              </w:rPr>
            </w:pPr>
            <w:r>
              <w:rPr>
                <w:szCs w:val="20"/>
              </w:rPr>
              <w:t>B0204</w:t>
            </w:r>
          </w:p>
        </w:tc>
        <w:tc>
          <w:tcPr>
            <w:tcW w:w="1984" w:type="dxa"/>
            <w:shd w:val="clear" w:color="auto" w:fill="auto"/>
          </w:tcPr>
          <w:p w14:paraId="67F23331" w14:textId="77777777" w:rsidR="00A052DC" w:rsidRDefault="009F0A60">
            <w:pPr>
              <w:pStyle w:val="B"/>
              <w:rPr>
                <w:szCs w:val="20"/>
              </w:rPr>
            </w:pPr>
            <w:r>
              <w:rPr>
                <w:rFonts w:hint="eastAsia"/>
                <w:szCs w:val="20"/>
              </w:rPr>
              <w:t>发行地</w:t>
            </w:r>
          </w:p>
        </w:tc>
        <w:tc>
          <w:tcPr>
            <w:tcW w:w="1418" w:type="dxa"/>
            <w:shd w:val="clear" w:color="auto" w:fill="auto"/>
            <w:noWrap/>
          </w:tcPr>
          <w:p w14:paraId="51A2D363" w14:textId="77777777" w:rsidR="00A052DC" w:rsidRDefault="009F0A60">
            <w:pPr>
              <w:pStyle w:val="B"/>
              <w:rPr>
                <w:szCs w:val="20"/>
              </w:rPr>
            </w:pPr>
            <w:r>
              <w:rPr>
                <w:rFonts w:hint="eastAsia"/>
                <w:szCs w:val="20"/>
              </w:rPr>
              <w:t>字符型，</w:t>
            </w:r>
            <w:r>
              <w:rPr>
                <w:szCs w:val="20"/>
              </w:rPr>
              <w:t>3</w:t>
            </w:r>
          </w:p>
        </w:tc>
        <w:tc>
          <w:tcPr>
            <w:tcW w:w="4053" w:type="dxa"/>
          </w:tcPr>
          <w:p w14:paraId="6E946F14" w14:textId="77777777" w:rsidR="00A052DC" w:rsidRDefault="009F0A60">
            <w:pPr>
              <w:pStyle w:val="B"/>
              <w:rPr>
                <w:szCs w:val="20"/>
              </w:rPr>
            </w:pPr>
            <w:r>
              <w:rPr>
                <w:rFonts w:hint="eastAsia"/>
                <w:szCs w:val="20"/>
              </w:rPr>
              <w:t>必填项，见国家和地区代码表的</w:t>
            </w:r>
            <w:r>
              <w:rPr>
                <w:szCs w:val="20"/>
              </w:rPr>
              <w:t>3</w:t>
            </w:r>
            <w:r>
              <w:rPr>
                <w:rFonts w:hint="eastAsia"/>
                <w:szCs w:val="20"/>
              </w:rPr>
              <w:t>位字母代码，≠CHN或N/A。</w:t>
            </w:r>
          </w:p>
        </w:tc>
      </w:tr>
      <w:tr w:rsidR="00A052DC" w14:paraId="1361C326" w14:textId="77777777">
        <w:trPr>
          <w:jc w:val="center"/>
        </w:trPr>
        <w:tc>
          <w:tcPr>
            <w:tcW w:w="1135" w:type="dxa"/>
            <w:shd w:val="clear" w:color="auto" w:fill="auto"/>
            <w:noWrap/>
          </w:tcPr>
          <w:p w14:paraId="0732CF58" w14:textId="77777777" w:rsidR="00A052DC" w:rsidRDefault="009F0A60">
            <w:pPr>
              <w:pStyle w:val="B"/>
              <w:rPr>
                <w:szCs w:val="20"/>
              </w:rPr>
            </w:pPr>
            <w:r>
              <w:rPr>
                <w:szCs w:val="20"/>
              </w:rPr>
              <w:t>B0205</w:t>
            </w:r>
          </w:p>
        </w:tc>
        <w:tc>
          <w:tcPr>
            <w:tcW w:w="1984" w:type="dxa"/>
            <w:shd w:val="clear" w:color="auto" w:fill="auto"/>
          </w:tcPr>
          <w:p w14:paraId="43491F10" w14:textId="77777777" w:rsidR="00A052DC" w:rsidRDefault="009F0A60">
            <w:pPr>
              <w:pStyle w:val="B"/>
              <w:rPr>
                <w:szCs w:val="20"/>
              </w:rPr>
            </w:pPr>
            <w:r>
              <w:rPr>
                <w:rFonts w:hint="eastAsia"/>
                <w:szCs w:val="20"/>
              </w:rPr>
              <w:t>证券代码（逐支报送使用）</w:t>
            </w:r>
          </w:p>
        </w:tc>
        <w:tc>
          <w:tcPr>
            <w:tcW w:w="1418" w:type="dxa"/>
            <w:shd w:val="clear" w:color="auto" w:fill="auto"/>
            <w:noWrap/>
          </w:tcPr>
          <w:p w14:paraId="67397636" w14:textId="77777777" w:rsidR="00A052DC" w:rsidRDefault="009F0A60">
            <w:pPr>
              <w:pStyle w:val="B"/>
              <w:rPr>
                <w:szCs w:val="20"/>
              </w:rPr>
            </w:pPr>
            <w:r>
              <w:rPr>
                <w:rFonts w:hint="eastAsia"/>
                <w:szCs w:val="20"/>
              </w:rPr>
              <w:t>字符型，</w:t>
            </w:r>
            <w:r>
              <w:rPr>
                <w:szCs w:val="20"/>
              </w:rPr>
              <w:t>255</w:t>
            </w:r>
          </w:p>
        </w:tc>
        <w:tc>
          <w:tcPr>
            <w:tcW w:w="4053" w:type="dxa"/>
          </w:tcPr>
          <w:p w14:paraId="2278E7CF" w14:textId="77777777" w:rsidR="00A052DC" w:rsidRDefault="009F0A60">
            <w:pPr>
              <w:pStyle w:val="B"/>
              <w:rPr>
                <w:szCs w:val="20"/>
              </w:rPr>
            </w:pPr>
            <w:r>
              <w:rPr>
                <w:rFonts w:hint="eastAsia"/>
                <w:szCs w:val="20"/>
              </w:rPr>
              <w:t>必填项。如选择逐支报送，则填写实际代码；如选择汇总报送，则填写“</w:t>
            </w:r>
            <w:r>
              <w:rPr>
                <w:szCs w:val="20"/>
              </w:rPr>
              <w:t>N/A</w:t>
            </w:r>
            <w:r>
              <w:rPr>
                <w:rFonts w:hint="eastAsia"/>
                <w:szCs w:val="20"/>
              </w:rPr>
              <w:t>”。</w:t>
            </w:r>
          </w:p>
        </w:tc>
      </w:tr>
      <w:tr w:rsidR="00A052DC" w14:paraId="774F4CF1" w14:textId="77777777">
        <w:trPr>
          <w:jc w:val="center"/>
        </w:trPr>
        <w:tc>
          <w:tcPr>
            <w:tcW w:w="1135" w:type="dxa"/>
            <w:shd w:val="clear" w:color="auto" w:fill="auto"/>
            <w:noWrap/>
          </w:tcPr>
          <w:p w14:paraId="28883F34" w14:textId="77777777" w:rsidR="00A052DC" w:rsidRDefault="009F0A60">
            <w:pPr>
              <w:pStyle w:val="B"/>
              <w:rPr>
                <w:szCs w:val="20"/>
              </w:rPr>
            </w:pPr>
            <w:r>
              <w:rPr>
                <w:szCs w:val="20"/>
              </w:rPr>
              <w:t>B0206</w:t>
            </w:r>
          </w:p>
        </w:tc>
        <w:tc>
          <w:tcPr>
            <w:tcW w:w="1984" w:type="dxa"/>
            <w:shd w:val="clear" w:color="auto" w:fill="auto"/>
          </w:tcPr>
          <w:p w14:paraId="0DED82CA" w14:textId="77777777" w:rsidR="00A052DC" w:rsidRDefault="009F0A60">
            <w:pPr>
              <w:pStyle w:val="B"/>
              <w:rPr>
                <w:szCs w:val="20"/>
              </w:rPr>
            </w:pPr>
            <w:r>
              <w:rPr>
                <w:rFonts w:hint="eastAsia"/>
                <w:szCs w:val="20"/>
              </w:rPr>
              <w:t>证券发行主体名称（逐支报送使用）</w:t>
            </w:r>
          </w:p>
        </w:tc>
        <w:tc>
          <w:tcPr>
            <w:tcW w:w="1418" w:type="dxa"/>
            <w:shd w:val="clear" w:color="auto" w:fill="auto"/>
            <w:noWrap/>
          </w:tcPr>
          <w:p w14:paraId="6BBF2B23" w14:textId="77777777" w:rsidR="00A052DC" w:rsidRDefault="009F0A60">
            <w:pPr>
              <w:pStyle w:val="B"/>
              <w:rPr>
                <w:szCs w:val="20"/>
              </w:rPr>
            </w:pPr>
            <w:r>
              <w:rPr>
                <w:rFonts w:hint="eastAsia"/>
                <w:szCs w:val="20"/>
              </w:rPr>
              <w:t>字符型，</w:t>
            </w:r>
            <w:r>
              <w:rPr>
                <w:szCs w:val="20"/>
              </w:rPr>
              <w:t>255</w:t>
            </w:r>
          </w:p>
        </w:tc>
        <w:tc>
          <w:tcPr>
            <w:tcW w:w="4053" w:type="dxa"/>
          </w:tcPr>
          <w:p w14:paraId="1FE6E0EB" w14:textId="77777777" w:rsidR="00A052DC" w:rsidRDefault="009F0A60">
            <w:pPr>
              <w:pStyle w:val="B"/>
              <w:rPr>
                <w:szCs w:val="20"/>
              </w:rPr>
            </w:pPr>
            <w:r>
              <w:rPr>
                <w:rFonts w:hint="eastAsia"/>
                <w:szCs w:val="20"/>
              </w:rPr>
              <w:t>非必填项。如</w:t>
            </w:r>
            <w:r>
              <w:rPr>
                <w:szCs w:val="20"/>
              </w:rPr>
              <w:t>B0205</w:t>
            </w:r>
            <w:r>
              <w:rPr>
                <w:rFonts w:hint="eastAsia"/>
                <w:szCs w:val="20"/>
              </w:rPr>
              <w:t>≠</w:t>
            </w:r>
            <w:r>
              <w:rPr>
                <w:szCs w:val="20"/>
              </w:rPr>
              <w:t>N/A</w:t>
            </w:r>
            <w:r>
              <w:rPr>
                <w:rFonts w:hint="eastAsia"/>
                <w:szCs w:val="20"/>
              </w:rPr>
              <w:t>，则填写实际名称；如</w:t>
            </w:r>
            <w:r>
              <w:rPr>
                <w:szCs w:val="20"/>
              </w:rPr>
              <w:t>B0205=N/A</w:t>
            </w:r>
            <w:r>
              <w:rPr>
                <w:rFonts w:hint="eastAsia"/>
                <w:szCs w:val="20"/>
              </w:rPr>
              <w:t>，则此字段为空。</w:t>
            </w:r>
          </w:p>
        </w:tc>
      </w:tr>
      <w:tr w:rsidR="00A052DC" w14:paraId="77018DAF" w14:textId="77777777">
        <w:trPr>
          <w:jc w:val="center"/>
        </w:trPr>
        <w:tc>
          <w:tcPr>
            <w:tcW w:w="1135" w:type="dxa"/>
            <w:shd w:val="clear" w:color="auto" w:fill="auto"/>
            <w:noWrap/>
          </w:tcPr>
          <w:p w14:paraId="3847B4E2" w14:textId="77777777" w:rsidR="00A052DC" w:rsidRDefault="009F0A60">
            <w:pPr>
              <w:pStyle w:val="B"/>
              <w:rPr>
                <w:szCs w:val="20"/>
              </w:rPr>
            </w:pPr>
            <w:r>
              <w:rPr>
                <w:szCs w:val="20"/>
              </w:rPr>
              <w:t>B0207</w:t>
            </w:r>
          </w:p>
        </w:tc>
        <w:tc>
          <w:tcPr>
            <w:tcW w:w="1984" w:type="dxa"/>
            <w:shd w:val="clear" w:color="auto" w:fill="auto"/>
          </w:tcPr>
          <w:p w14:paraId="31F31B58" w14:textId="77777777" w:rsidR="00A052DC" w:rsidRDefault="009F0A60">
            <w:pPr>
              <w:pStyle w:val="B"/>
              <w:rPr>
                <w:szCs w:val="20"/>
              </w:rPr>
            </w:pPr>
            <w:r>
              <w:rPr>
                <w:rFonts w:hint="eastAsia"/>
                <w:szCs w:val="20"/>
              </w:rPr>
              <w:t>发行主体所属国家</w:t>
            </w:r>
            <w:r>
              <w:rPr>
                <w:szCs w:val="20"/>
              </w:rPr>
              <w:t>/</w:t>
            </w:r>
            <w:r>
              <w:rPr>
                <w:rFonts w:hint="eastAsia"/>
                <w:szCs w:val="20"/>
              </w:rPr>
              <w:t>地区</w:t>
            </w:r>
          </w:p>
        </w:tc>
        <w:tc>
          <w:tcPr>
            <w:tcW w:w="1418" w:type="dxa"/>
            <w:shd w:val="clear" w:color="auto" w:fill="auto"/>
            <w:noWrap/>
          </w:tcPr>
          <w:p w14:paraId="566CBF42" w14:textId="77777777" w:rsidR="00A052DC" w:rsidRDefault="009F0A60">
            <w:pPr>
              <w:pStyle w:val="B"/>
              <w:rPr>
                <w:szCs w:val="20"/>
              </w:rPr>
            </w:pPr>
            <w:r>
              <w:rPr>
                <w:rFonts w:hint="eastAsia"/>
                <w:szCs w:val="20"/>
              </w:rPr>
              <w:t>字符型，</w:t>
            </w:r>
            <w:r>
              <w:rPr>
                <w:szCs w:val="20"/>
              </w:rPr>
              <w:t>3</w:t>
            </w:r>
          </w:p>
        </w:tc>
        <w:tc>
          <w:tcPr>
            <w:tcW w:w="4053" w:type="dxa"/>
          </w:tcPr>
          <w:p w14:paraId="24F21AF9" w14:textId="77777777" w:rsidR="00A052DC" w:rsidRDefault="009F0A60">
            <w:pPr>
              <w:pStyle w:val="B"/>
              <w:rPr>
                <w:szCs w:val="20"/>
              </w:rPr>
            </w:pPr>
            <w:r>
              <w:rPr>
                <w:rFonts w:hint="eastAsia"/>
                <w:szCs w:val="20"/>
              </w:rPr>
              <w:t>必填项，见国家和地区代码表的</w:t>
            </w:r>
            <w:r>
              <w:rPr>
                <w:szCs w:val="20"/>
              </w:rPr>
              <w:t>3</w:t>
            </w:r>
            <w:r>
              <w:rPr>
                <w:rFonts w:hint="eastAsia"/>
                <w:szCs w:val="20"/>
              </w:rPr>
              <w:t>位字母代码。</w:t>
            </w:r>
          </w:p>
        </w:tc>
      </w:tr>
      <w:tr w:rsidR="00A052DC" w14:paraId="1DB0D0D0" w14:textId="77777777">
        <w:trPr>
          <w:jc w:val="center"/>
        </w:trPr>
        <w:tc>
          <w:tcPr>
            <w:tcW w:w="1135" w:type="dxa"/>
            <w:shd w:val="clear" w:color="auto" w:fill="auto"/>
            <w:noWrap/>
          </w:tcPr>
          <w:p w14:paraId="11A55A81" w14:textId="77777777" w:rsidR="00A052DC" w:rsidRDefault="009F0A60">
            <w:pPr>
              <w:pStyle w:val="B"/>
              <w:rPr>
                <w:szCs w:val="20"/>
              </w:rPr>
            </w:pPr>
            <w:r>
              <w:rPr>
                <w:szCs w:val="20"/>
              </w:rPr>
              <w:t>B0208</w:t>
            </w:r>
          </w:p>
        </w:tc>
        <w:tc>
          <w:tcPr>
            <w:tcW w:w="1984" w:type="dxa"/>
            <w:shd w:val="clear" w:color="auto" w:fill="auto"/>
          </w:tcPr>
          <w:p w14:paraId="0F8DB7F2" w14:textId="77777777" w:rsidR="00A052DC" w:rsidRDefault="009F0A60">
            <w:pPr>
              <w:pStyle w:val="B"/>
              <w:rPr>
                <w:szCs w:val="20"/>
              </w:rPr>
            </w:pPr>
            <w:r>
              <w:rPr>
                <w:rFonts w:hint="eastAsia"/>
                <w:szCs w:val="20"/>
              </w:rPr>
              <w:t>发行主体所属部门</w:t>
            </w:r>
          </w:p>
        </w:tc>
        <w:tc>
          <w:tcPr>
            <w:tcW w:w="1418" w:type="dxa"/>
            <w:shd w:val="clear" w:color="auto" w:fill="auto"/>
            <w:noWrap/>
          </w:tcPr>
          <w:p w14:paraId="4AD6716A" w14:textId="77777777" w:rsidR="00A052DC" w:rsidRDefault="009F0A60">
            <w:pPr>
              <w:pStyle w:val="B"/>
              <w:rPr>
                <w:szCs w:val="20"/>
              </w:rPr>
            </w:pPr>
            <w:r>
              <w:rPr>
                <w:rFonts w:hint="eastAsia"/>
                <w:szCs w:val="20"/>
              </w:rPr>
              <w:t>整数型</w:t>
            </w:r>
          </w:p>
        </w:tc>
        <w:tc>
          <w:tcPr>
            <w:tcW w:w="4053" w:type="dxa"/>
          </w:tcPr>
          <w:p w14:paraId="1FC9D9AF" w14:textId="77777777" w:rsidR="00A052DC" w:rsidRDefault="009F0A60">
            <w:pPr>
              <w:pStyle w:val="B"/>
              <w:rPr>
                <w:szCs w:val="20"/>
              </w:rPr>
            </w:pPr>
            <w:r>
              <w:rPr>
                <w:rFonts w:hint="eastAsia"/>
                <w:szCs w:val="20"/>
              </w:rPr>
              <w:t>必填项，见投资者（被投资者）部门代码表。</w:t>
            </w:r>
          </w:p>
        </w:tc>
      </w:tr>
      <w:tr w:rsidR="00A052DC" w14:paraId="1108A39D" w14:textId="77777777">
        <w:trPr>
          <w:jc w:val="center"/>
        </w:trPr>
        <w:tc>
          <w:tcPr>
            <w:tcW w:w="1135" w:type="dxa"/>
            <w:shd w:val="clear" w:color="auto" w:fill="auto"/>
            <w:noWrap/>
          </w:tcPr>
          <w:p w14:paraId="234784EB" w14:textId="77777777" w:rsidR="00A052DC" w:rsidRDefault="009F0A60">
            <w:pPr>
              <w:pStyle w:val="B"/>
              <w:rPr>
                <w:szCs w:val="20"/>
              </w:rPr>
            </w:pPr>
            <w:r>
              <w:rPr>
                <w:szCs w:val="20"/>
              </w:rPr>
              <w:t>B0209</w:t>
            </w:r>
          </w:p>
        </w:tc>
        <w:tc>
          <w:tcPr>
            <w:tcW w:w="1984" w:type="dxa"/>
            <w:shd w:val="clear" w:color="auto" w:fill="auto"/>
          </w:tcPr>
          <w:p w14:paraId="09C2FE8C" w14:textId="77777777" w:rsidR="00A052DC" w:rsidRDefault="009F0A60">
            <w:pPr>
              <w:pStyle w:val="B"/>
              <w:rPr>
                <w:szCs w:val="20"/>
              </w:rPr>
            </w:pPr>
            <w:r>
              <w:rPr>
                <w:rFonts w:hint="eastAsia"/>
                <w:szCs w:val="20"/>
              </w:rPr>
              <w:t>发行主体与本机构/被代理人/委托人的关系</w:t>
            </w:r>
          </w:p>
        </w:tc>
        <w:tc>
          <w:tcPr>
            <w:tcW w:w="1418" w:type="dxa"/>
            <w:shd w:val="clear" w:color="auto" w:fill="auto"/>
            <w:noWrap/>
          </w:tcPr>
          <w:p w14:paraId="18ABE5CD" w14:textId="77777777" w:rsidR="00A052DC" w:rsidRDefault="009F0A60">
            <w:pPr>
              <w:pStyle w:val="B"/>
              <w:rPr>
                <w:szCs w:val="20"/>
              </w:rPr>
            </w:pPr>
            <w:r>
              <w:rPr>
                <w:rFonts w:hint="eastAsia"/>
                <w:szCs w:val="20"/>
              </w:rPr>
              <w:t>整数型</w:t>
            </w:r>
          </w:p>
        </w:tc>
        <w:tc>
          <w:tcPr>
            <w:tcW w:w="4053" w:type="dxa"/>
          </w:tcPr>
          <w:p w14:paraId="159BB202" w14:textId="77777777" w:rsidR="00A052DC" w:rsidRDefault="009F0A60">
            <w:pPr>
              <w:pStyle w:val="B"/>
              <w:rPr>
                <w:szCs w:val="20"/>
              </w:rPr>
            </w:pPr>
            <w:r>
              <w:rPr>
                <w:rFonts w:hint="eastAsia"/>
                <w:szCs w:val="20"/>
              </w:rPr>
              <w:t>必填项，必须</w:t>
            </w:r>
            <w:r>
              <w:rPr>
                <w:szCs w:val="20"/>
              </w:rPr>
              <w:t>4</w:t>
            </w:r>
            <w:r>
              <w:rPr>
                <w:rFonts w:hint="eastAsia"/>
                <w:szCs w:val="20"/>
              </w:rPr>
              <w:t>选</w:t>
            </w:r>
            <w:r>
              <w:rPr>
                <w:szCs w:val="20"/>
              </w:rPr>
              <w:t>1</w:t>
            </w:r>
            <w:r>
              <w:rPr>
                <w:rFonts w:hint="eastAsia"/>
                <w:szCs w:val="20"/>
              </w:rPr>
              <w:t>，见对方与本机构</w:t>
            </w:r>
            <w:r>
              <w:rPr>
                <w:szCs w:val="20"/>
              </w:rPr>
              <w:t>/</w:t>
            </w:r>
            <w:r>
              <w:rPr>
                <w:rFonts w:hint="eastAsia"/>
                <w:szCs w:val="20"/>
              </w:rPr>
              <w:t>被代理居民机构</w:t>
            </w:r>
            <w:r>
              <w:rPr>
                <w:szCs w:val="20"/>
              </w:rPr>
              <w:t>/</w:t>
            </w:r>
            <w:r>
              <w:rPr>
                <w:rFonts w:hint="eastAsia"/>
                <w:szCs w:val="20"/>
              </w:rPr>
              <w:t>委托人的关系代码表。</w:t>
            </w:r>
          </w:p>
        </w:tc>
      </w:tr>
      <w:tr w:rsidR="00A052DC" w14:paraId="0CCE7E42" w14:textId="77777777">
        <w:trPr>
          <w:jc w:val="center"/>
        </w:trPr>
        <w:tc>
          <w:tcPr>
            <w:tcW w:w="1135" w:type="dxa"/>
            <w:shd w:val="clear" w:color="auto" w:fill="auto"/>
            <w:noWrap/>
          </w:tcPr>
          <w:p w14:paraId="137969F2" w14:textId="77777777" w:rsidR="00A052DC" w:rsidRDefault="009F0A60">
            <w:pPr>
              <w:pStyle w:val="B"/>
              <w:rPr>
                <w:szCs w:val="20"/>
              </w:rPr>
            </w:pPr>
            <w:r>
              <w:rPr>
                <w:szCs w:val="20"/>
              </w:rPr>
              <w:t>B0210</w:t>
            </w:r>
          </w:p>
        </w:tc>
        <w:tc>
          <w:tcPr>
            <w:tcW w:w="1984" w:type="dxa"/>
            <w:shd w:val="clear" w:color="auto" w:fill="auto"/>
          </w:tcPr>
          <w:p w14:paraId="33E22D53" w14:textId="77777777" w:rsidR="00A052DC" w:rsidRDefault="009F0A60">
            <w:pPr>
              <w:pStyle w:val="B"/>
              <w:rPr>
                <w:szCs w:val="20"/>
              </w:rPr>
            </w:pPr>
            <w:r>
              <w:rPr>
                <w:rFonts w:hint="eastAsia"/>
                <w:szCs w:val="20"/>
              </w:rPr>
              <w:t>原始期限</w:t>
            </w:r>
          </w:p>
        </w:tc>
        <w:tc>
          <w:tcPr>
            <w:tcW w:w="1418" w:type="dxa"/>
            <w:shd w:val="clear" w:color="auto" w:fill="auto"/>
            <w:noWrap/>
          </w:tcPr>
          <w:p w14:paraId="06F19CC7" w14:textId="77777777" w:rsidR="00A052DC" w:rsidRDefault="009F0A60">
            <w:pPr>
              <w:pStyle w:val="B"/>
              <w:rPr>
                <w:szCs w:val="20"/>
              </w:rPr>
            </w:pPr>
            <w:r>
              <w:rPr>
                <w:rFonts w:hint="eastAsia"/>
                <w:szCs w:val="20"/>
              </w:rPr>
              <w:t>整数型</w:t>
            </w:r>
          </w:p>
        </w:tc>
        <w:tc>
          <w:tcPr>
            <w:tcW w:w="4053" w:type="dxa"/>
          </w:tcPr>
          <w:p w14:paraId="7E1826AD" w14:textId="77777777" w:rsidR="00A052DC" w:rsidRDefault="009F0A60">
            <w:pPr>
              <w:pStyle w:val="B"/>
              <w:rPr>
                <w:szCs w:val="20"/>
              </w:rPr>
            </w:pPr>
            <w:r>
              <w:rPr>
                <w:rFonts w:hint="eastAsia"/>
                <w:szCs w:val="20"/>
              </w:rPr>
              <w:t>必填项，必须</w:t>
            </w:r>
            <w:r>
              <w:rPr>
                <w:szCs w:val="20"/>
              </w:rPr>
              <w:t>2</w:t>
            </w:r>
            <w:r>
              <w:rPr>
                <w:rFonts w:hint="eastAsia"/>
                <w:szCs w:val="20"/>
              </w:rPr>
              <w:t>选</w:t>
            </w:r>
            <w:r>
              <w:rPr>
                <w:szCs w:val="20"/>
              </w:rPr>
              <w:t>1</w:t>
            </w:r>
            <w:r>
              <w:rPr>
                <w:rFonts w:hint="eastAsia"/>
                <w:szCs w:val="20"/>
              </w:rPr>
              <w:t>：</w:t>
            </w:r>
          </w:p>
          <w:p w14:paraId="7F90B760" w14:textId="77777777" w:rsidR="00A052DC" w:rsidRDefault="009F0A60">
            <w:pPr>
              <w:rPr>
                <w:rFonts w:ascii="黑体" w:eastAsia="黑体" w:hAnsi="黑体"/>
                <w:sz w:val="20"/>
                <w:szCs w:val="20"/>
              </w:rPr>
            </w:pPr>
            <w:r>
              <w:rPr>
                <w:rFonts w:ascii="黑体" w:eastAsia="黑体" w:hAnsi="黑体"/>
                <w:sz w:val="20"/>
                <w:szCs w:val="20"/>
              </w:rPr>
              <w:t>1</w:t>
            </w:r>
            <w:r>
              <w:rPr>
                <w:rFonts w:ascii="黑体" w:eastAsia="黑体" w:hAnsi="黑体" w:hint="eastAsia"/>
                <w:sz w:val="20"/>
                <w:szCs w:val="20"/>
              </w:rPr>
              <w:t>-一年及以下；</w:t>
            </w:r>
          </w:p>
          <w:p w14:paraId="6DD7D9E1" w14:textId="77777777" w:rsidR="00A052DC" w:rsidRDefault="009F0A60">
            <w:pPr>
              <w:rPr>
                <w:rFonts w:ascii="黑体" w:eastAsia="黑体" w:hAnsi="黑体"/>
                <w:sz w:val="20"/>
                <w:szCs w:val="20"/>
              </w:rPr>
            </w:pPr>
            <w:r>
              <w:rPr>
                <w:rFonts w:ascii="黑体" w:eastAsia="黑体" w:hAnsi="黑体" w:hint="eastAsia"/>
                <w:sz w:val="20"/>
                <w:szCs w:val="20"/>
              </w:rPr>
              <w:t>2-一年以上，含永久性债券和非参与性优先股。</w:t>
            </w:r>
          </w:p>
        </w:tc>
      </w:tr>
      <w:tr w:rsidR="00A052DC" w14:paraId="7D3909D2" w14:textId="77777777">
        <w:trPr>
          <w:jc w:val="center"/>
        </w:trPr>
        <w:tc>
          <w:tcPr>
            <w:tcW w:w="1135" w:type="dxa"/>
            <w:shd w:val="clear" w:color="auto" w:fill="auto"/>
            <w:noWrap/>
          </w:tcPr>
          <w:p w14:paraId="68CE64A5" w14:textId="77777777" w:rsidR="00A052DC" w:rsidRDefault="009F0A60">
            <w:pPr>
              <w:pStyle w:val="B"/>
              <w:rPr>
                <w:szCs w:val="20"/>
              </w:rPr>
            </w:pPr>
            <w:r>
              <w:rPr>
                <w:szCs w:val="20"/>
              </w:rPr>
              <w:t>B0211</w:t>
            </w:r>
          </w:p>
        </w:tc>
        <w:tc>
          <w:tcPr>
            <w:tcW w:w="1984" w:type="dxa"/>
            <w:shd w:val="clear" w:color="auto" w:fill="auto"/>
          </w:tcPr>
          <w:p w14:paraId="50F7F065" w14:textId="77777777" w:rsidR="00A052DC" w:rsidRDefault="009F0A60">
            <w:pPr>
              <w:pStyle w:val="B"/>
              <w:rPr>
                <w:szCs w:val="20"/>
              </w:rPr>
            </w:pPr>
            <w:r>
              <w:rPr>
                <w:rFonts w:hint="eastAsia"/>
                <w:szCs w:val="20"/>
              </w:rPr>
              <w:t>原始币种</w:t>
            </w:r>
          </w:p>
        </w:tc>
        <w:tc>
          <w:tcPr>
            <w:tcW w:w="1418" w:type="dxa"/>
            <w:shd w:val="clear" w:color="auto" w:fill="auto"/>
            <w:noWrap/>
          </w:tcPr>
          <w:p w14:paraId="52CE4674" w14:textId="77777777" w:rsidR="00A052DC" w:rsidRDefault="009F0A60">
            <w:pPr>
              <w:pStyle w:val="B"/>
              <w:rPr>
                <w:szCs w:val="20"/>
              </w:rPr>
            </w:pPr>
            <w:r>
              <w:rPr>
                <w:rFonts w:hint="eastAsia"/>
                <w:szCs w:val="20"/>
              </w:rPr>
              <w:t>字符型，</w:t>
            </w:r>
            <w:r>
              <w:rPr>
                <w:szCs w:val="20"/>
              </w:rPr>
              <w:t>3</w:t>
            </w:r>
          </w:p>
        </w:tc>
        <w:tc>
          <w:tcPr>
            <w:tcW w:w="4053" w:type="dxa"/>
          </w:tcPr>
          <w:p w14:paraId="4E71C255" w14:textId="77777777" w:rsidR="00A052DC" w:rsidRDefault="009F0A60">
            <w:pPr>
              <w:pStyle w:val="B"/>
              <w:rPr>
                <w:szCs w:val="20"/>
              </w:rPr>
            </w:pPr>
            <w:r>
              <w:rPr>
                <w:rFonts w:hint="eastAsia"/>
                <w:szCs w:val="20"/>
              </w:rPr>
              <w:t>必填项，见币种代码表。</w:t>
            </w:r>
          </w:p>
        </w:tc>
      </w:tr>
      <w:tr w:rsidR="00A052DC" w14:paraId="4A60245C" w14:textId="77777777">
        <w:trPr>
          <w:jc w:val="center"/>
        </w:trPr>
        <w:tc>
          <w:tcPr>
            <w:tcW w:w="1135" w:type="dxa"/>
            <w:shd w:val="clear" w:color="auto" w:fill="auto"/>
            <w:noWrap/>
          </w:tcPr>
          <w:p w14:paraId="103AC06B" w14:textId="77777777" w:rsidR="00A052DC" w:rsidRDefault="009F0A60">
            <w:pPr>
              <w:pStyle w:val="B"/>
              <w:rPr>
                <w:szCs w:val="20"/>
              </w:rPr>
            </w:pPr>
            <w:r>
              <w:rPr>
                <w:szCs w:val="20"/>
              </w:rPr>
              <w:t>B0212</w:t>
            </w:r>
          </w:p>
        </w:tc>
        <w:tc>
          <w:tcPr>
            <w:tcW w:w="1984" w:type="dxa"/>
            <w:shd w:val="clear" w:color="auto" w:fill="auto"/>
          </w:tcPr>
          <w:p w14:paraId="38F4778D" w14:textId="77777777" w:rsidR="00A052DC" w:rsidRDefault="009F0A60">
            <w:pPr>
              <w:pStyle w:val="B"/>
              <w:rPr>
                <w:szCs w:val="20"/>
              </w:rPr>
            </w:pPr>
            <w:r>
              <w:rPr>
                <w:rFonts w:hint="eastAsia"/>
                <w:szCs w:val="20"/>
              </w:rPr>
              <w:t>上月末市值</w:t>
            </w:r>
          </w:p>
        </w:tc>
        <w:tc>
          <w:tcPr>
            <w:tcW w:w="1418" w:type="dxa"/>
            <w:shd w:val="clear" w:color="auto" w:fill="auto"/>
            <w:noWrap/>
          </w:tcPr>
          <w:p w14:paraId="159B3C49" w14:textId="77777777" w:rsidR="00A052DC" w:rsidRDefault="009F0A60">
            <w:pPr>
              <w:pStyle w:val="B"/>
              <w:rPr>
                <w:szCs w:val="20"/>
              </w:rPr>
            </w:pPr>
            <w:r>
              <w:rPr>
                <w:rFonts w:hint="eastAsia"/>
                <w:szCs w:val="20"/>
              </w:rPr>
              <w:t>数值型，</w:t>
            </w:r>
            <w:r>
              <w:rPr>
                <w:szCs w:val="20"/>
              </w:rPr>
              <w:t>22.2</w:t>
            </w:r>
          </w:p>
        </w:tc>
        <w:tc>
          <w:tcPr>
            <w:tcW w:w="4053" w:type="dxa"/>
          </w:tcPr>
          <w:p w14:paraId="7F646ABF" w14:textId="77777777" w:rsidR="00A052DC" w:rsidRDefault="009F0A60">
            <w:pPr>
              <w:pStyle w:val="B"/>
              <w:rPr>
                <w:szCs w:val="20"/>
              </w:rPr>
            </w:pPr>
            <w:r>
              <w:rPr>
                <w:rFonts w:hint="eastAsia"/>
                <w:szCs w:val="20"/>
              </w:rPr>
              <w:t>必填项。</w:t>
            </w:r>
          </w:p>
        </w:tc>
      </w:tr>
      <w:tr w:rsidR="00A052DC" w14:paraId="736F9D55" w14:textId="77777777">
        <w:trPr>
          <w:jc w:val="center"/>
        </w:trPr>
        <w:tc>
          <w:tcPr>
            <w:tcW w:w="1135" w:type="dxa"/>
            <w:shd w:val="clear" w:color="auto" w:fill="auto"/>
            <w:noWrap/>
          </w:tcPr>
          <w:p w14:paraId="655FCABE" w14:textId="77777777" w:rsidR="00A052DC" w:rsidRDefault="009F0A60">
            <w:pPr>
              <w:pStyle w:val="B"/>
              <w:rPr>
                <w:szCs w:val="20"/>
              </w:rPr>
            </w:pPr>
            <w:r>
              <w:rPr>
                <w:szCs w:val="20"/>
              </w:rPr>
              <w:t>B0213</w:t>
            </w:r>
          </w:p>
        </w:tc>
        <w:tc>
          <w:tcPr>
            <w:tcW w:w="1984" w:type="dxa"/>
            <w:shd w:val="clear" w:color="auto" w:fill="auto"/>
          </w:tcPr>
          <w:p w14:paraId="26F1B564" w14:textId="77777777" w:rsidR="00A052DC" w:rsidRDefault="009F0A60">
            <w:pPr>
              <w:pStyle w:val="B"/>
              <w:rPr>
                <w:szCs w:val="20"/>
              </w:rPr>
            </w:pPr>
            <w:r>
              <w:rPr>
                <w:rFonts w:hint="eastAsia"/>
                <w:szCs w:val="20"/>
              </w:rPr>
              <w:t>本月买入金额</w:t>
            </w:r>
          </w:p>
        </w:tc>
        <w:tc>
          <w:tcPr>
            <w:tcW w:w="1418" w:type="dxa"/>
            <w:shd w:val="clear" w:color="auto" w:fill="auto"/>
            <w:noWrap/>
          </w:tcPr>
          <w:p w14:paraId="21C8730E" w14:textId="77777777" w:rsidR="00A052DC" w:rsidRDefault="009F0A60">
            <w:pPr>
              <w:pStyle w:val="B"/>
              <w:rPr>
                <w:szCs w:val="20"/>
              </w:rPr>
            </w:pPr>
            <w:r>
              <w:rPr>
                <w:rFonts w:hint="eastAsia"/>
                <w:szCs w:val="20"/>
              </w:rPr>
              <w:t>数值型，</w:t>
            </w:r>
            <w:r>
              <w:rPr>
                <w:szCs w:val="20"/>
              </w:rPr>
              <w:t>22.2</w:t>
            </w:r>
          </w:p>
        </w:tc>
        <w:tc>
          <w:tcPr>
            <w:tcW w:w="4053" w:type="dxa"/>
          </w:tcPr>
          <w:p w14:paraId="21F29CA1" w14:textId="77777777" w:rsidR="00A052DC" w:rsidRDefault="009F0A60">
            <w:pPr>
              <w:pStyle w:val="B"/>
              <w:rPr>
                <w:szCs w:val="20"/>
              </w:rPr>
            </w:pPr>
            <w:r>
              <w:rPr>
                <w:rFonts w:hint="eastAsia"/>
                <w:szCs w:val="20"/>
              </w:rPr>
              <w:t>必填项，必须≥</w:t>
            </w:r>
            <w:r>
              <w:rPr>
                <w:szCs w:val="20"/>
              </w:rPr>
              <w:t>0</w:t>
            </w:r>
            <w:r>
              <w:rPr>
                <w:rFonts w:hint="eastAsia"/>
                <w:szCs w:val="20"/>
              </w:rPr>
              <w:t>。</w:t>
            </w:r>
          </w:p>
        </w:tc>
      </w:tr>
      <w:tr w:rsidR="00A052DC" w14:paraId="31A5A425" w14:textId="77777777">
        <w:trPr>
          <w:jc w:val="center"/>
        </w:trPr>
        <w:tc>
          <w:tcPr>
            <w:tcW w:w="1135" w:type="dxa"/>
            <w:shd w:val="clear" w:color="auto" w:fill="auto"/>
            <w:noWrap/>
          </w:tcPr>
          <w:p w14:paraId="1BF3C5B6" w14:textId="77777777" w:rsidR="00A052DC" w:rsidRDefault="009F0A60">
            <w:pPr>
              <w:pStyle w:val="B"/>
              <w:rPr>
                <w:szCs w:val="20"/>
              </w:rPr>
            </w:pPr>
            <w:r>
              <w:rPr>
                <w:szCs w:val="20"/>
              </w:rPr>
              <w:t>B0214</w:t>
            </w:r>
          </w:p>
        </w:tc>
        <w:tc>
          <w:tcPr>
            <w:tcW w:w="1984" w:type="dxa"/>
            <w:shd w:val="clear" w:color="auto" w:fill="auto"/>
          </w:tcPr>
          <w:p w14:paraId="71F48618" w14:textId="77777777" w:rsidR="00A052DC" w:rsidRDefault="009F0A60">
            <w:pPr>
              <w:pStyle w:val="B"/>
              <w:rPr>
                <w:szCs w:val="20"/>
              </w:rPr>
            </w:pPr>
            <w:r>
              <w:rPr>
                <w:rFonts w:hint="eastAsia"/>
                <w:szCs w:val="20"/>
              </w:rPr>
              <w:t>本月卖出金额</w:t>
            </w:r>
          </w:p>
        </w:tc>
        <w:tc>
          <w:tcPr>
            <w:tcW w:w="1418" w:type="dxa"/>
            <w:shd w:val="clear" w:color="auto" w:fill="auto"/>
            <w:noWrap/>
          </w:tcPr>
          <w:p w14:paraId="4CC942A6" w14:textId="77777777" w:rsidR="00A052DC" w:rsidRDefault="009F0A60">
            <w:pPr>
              <w:pStyle w:val="B"/>
              <w:rPr>
                <w:szCs w:val="20"/>
              </w:rPr>
            </w:pPr>
            <w:r>
              <w:rPr>
                <w:rFonts w:hint="eastAsia"/>
                <w:szCs w:val="20"/>
              </w:rPr>
              <w:t>数值型，</w:t>
            </w:r>
            <w:r>
              <w:rPr>
                <w:szCs w:val="20"/>
              </w:rPr>
              <w:t>22.2</w:t>
            </w:r>
          </w:p>
        </w:tc>
        <w:tc>
          <w:tcPr>
            <w:tcW w:w="4053" w:type="dxa"/>
          </w:tcPr>
          <w:p w14:paraId="600EC4ED" w14:textId="77777777" w:rsidR="00A052DC" w:rsidRDefault="009F0A60">
            <w:pPr>
              <w:pStyle w:val="B"/>
              <w:rPr>
                <w:szCs w:val="20"/>
              </w:rPr>
            </w:pPr>
            <w:r>
              <w:rPr>
                <w:rFonts w:hint="eastAsia"/>
                <w:szCs w:val="20"/>
              </w:rPr>
              <w:t>必填项，必须≥</w:t>
            </w:r>
            <w:r>
              <w:rPr>
                <w:szCs w:val="20"/>
              </w:rPr>
              <w:t>0</w:t>
            </w:r>
            <w:r>
              <w:rPr>
                <w:rFonts w:hint="eastAsia"/>
                <w:szCs w:val="20"/>
              </w:rPr>
              <w:t>。</w:t>
            </w:r>
          </w:p>
        </w:tc>
      </w:tr>
      <w:tr w:rsidR="00A052DC" w14:paraId="4501D275" w14:textId="77777777">
        <w:trPr>
          <w:jc w:val="center"/>
        </w:trPr>
        <w:tc>
          <w:tcPr>
            <w:tcW w:w="1135" w:type="dxa"/>
            <w:shd w:val="clear" w:color="auto" w:fill="auto"/>
            <w:noWrap/>
          </w:tcPr>
          <w:p w14:paraId="3A96F66F" w14:textId="77777777" w:rsidR="00A052DC" w:rsidRDefault="009F0A60">
            <w:pPr>
              <w:pStyle w:val="B"/>
              <w:rPr>
                <w:szCs w:val="20"/>
              </w:rPr>
            </w:pPr>
            <w:r>
              <w:rPr>
                <w:szCs w:val="20"/>
              </w:rPr>
              <w:t>B0214AMT</w:t>
            </w:r>
          </w:p>
        </w:tc>
        <w:tc>
          <w:tcPr>
            <w:tcW w:w="1984" w:type="dxa"/>
            <w:shd w:val="clear" w:color="auto" w:fill="auto"/>
          </w:tcPr>
          <w:p w14:paraId="4C78D5BE" w14:textId="77777777" w:rsidR="00A052DC" w:rsidRDefault="009F0A60">
            <w:pPr>
              <w:pStyle w:val="B"/>
              <w:rPr>
                <w:szCs w:val="20"/>
              </w:rPr>
            </w:pPr>
            <w:r>
              <w:rPr>
                <w:rFonts w:hint="eastAsia"/>
                <w:szCs w:val="20"/>
              </w:rPr>
              <w:t>本月卖出金额</w:t>
            </w:r>
            <w:r>
              <w:rPr>
                <w:rFonts w:hAnsi="宋体" w:hint="eastAsia"/>
                <w:color w:val="000000"/>
              </w:rPr>
              <w:t>其中：债券到期或提前兑付的本息金额</w:t>
            </w:r>
          </w:p>
        </w:tc>
        <w:tc>
          <w:tcPr>
            <w:tcW w:w="1418" w:type="dxa"/>
            <w:shd w:val="clear" w:color="auto" w:fill="auto"/>
            <w:noWrap/>
          </w:tcPr>
          <w:p w14:paraId="52ACB68F" w14:textId="77777777" w:rsidR="00A052DC" w:rsidRDefault="009F0A60">
            <w:pPr>
              <w:pStyle w:val="B"/>
              <w:rPr>
                <w:szCs w:val="20"/>
              </w:rPr>
            </w:pPr>
            <w:r>
              <w:rPr>
                <w:rFonts w:hint="eastAsia"/>
                <w:szCs w:val="20"/>
              </w:rPr>
              <w:t>数值型，</w:t>
            </w:r>
            <w:r>
              <w:rPr>
                <w:szCs w:val="20"/>
              </w:rPr>
              <w:t>22.2</w:t>
            </w:r>
          </w:p>
        </w:tc>
        <w:tc>
          <w:tcPr>
            <w:tcW w:w="4053" w:type="dxa"/>
          </w:tcPr>
          <w:p w14:paraId="46E4724D" w14:textId="77777777" w:rsidR="00A052DC" w:rsidRDefault="009F0A60">
            <w:pPr>
              <w:pStyle w:val="B"/>
              <w:rPr>
                <w:szCs w:val="20"/>
              </w:rPr>
            </w:pPr>
            <w:r>
              <w:rPr>
                <w:rFonts w:hint="eastAsia"/>
                <w:szCs w:val="20"/>
              </w:rPr>
              <w:t>必填项，必须≥</w:t>
            </w:r>
            <w:r>
              <w:rPr>
                <w:szCs w:val="20"/>
              </w:rPr>
              <w:t>0</w:t>
            </w:r>
            <w:r>
              <w:rPr>
                <w:rFonts w:hint="eastAsia"/>
                <w:szCs w:val="20"/>
              </w:rPr>
              <w:t>，且必须满足</w:t>
            </w:r>
            <w:r>
              <w:rPr>
                <w:szCs w:val="20"/>
              </w:rPr>
              <w:t>B0214AMT</w:t>
            </w:r>
            <w:r>
              <w:rPr>
                <w:rFonts w:hint="eastAsia"/>
                <w:szCs w:val="20"/>
              </w:rPr>
              <w:t>≤</w:t>
            </w:r>
            <w:r>
              <w:rPr>
                <w:szCs w:val="20"/>
              </w:rPr>
              <w:t>B0214</w:t>
            </w:r>
            <w:r>
              <w:rPr>
                <w:rFonts w:hint="eastAsia"/>
                <w:szCs w:val="20"/>
              </w:rPr>
              <w:t>。</w:t>
            </w:r>
          </w:p>
        </w:tc>
      </w:tr>
      <w:tr w:rsidR="00A052DC" w14:paraId="7E08D7F0" w14:textId="77777777">
        <w:trPr>
          <w:jc w:val="center"/>
        </w:trPr>
        <w:tc>
          <w:tcPr>
            <w:tcW w:w="1135" w:type="dxa"/>
            <w:shd w:val="clear" w:color="auto" w:fill="auto"/>
            <w:noWrap/>
          </w:tcPr>
          <w:p w14:paraId="71F3AE37" w14:textId="77777777" w:rsidR="00A052DC" w:rsidRDefault="009F0A60">
            <w:pPr>
              <w:pStyle w:val="B"/>
              <w:rPr>
                <w:szCs w:val="20"/>
              </w:rPr>
            </w:pPr>
            <w:r>
              <w:rPr>
                <w:szCs w:val="20"/>
              </w:rPr>
              <w:t>B0215</w:t>
            </w:r>
          </w:p>
        </w:tc>
        <w:tc>
          <w:tcPr>
            <w:tcW w:w="1984" w:type="dxa"/>
            <w:shd w:val="clear" w:color="auto" w:fill="auto"/>
          </w:tcPr>
          <w:p w14:paraId="2C6F5A69" w14:textId="77777777" w:rsidR="00A052DC" w:rsidRDefault="009F0A60">
            <w:pPr>
              <w:pStyle w:val="B"/>
              <w:rPr>
                <w:szCs w:val="20"/>
              </w:rPr>
            </w:pPr>
            <w:r>
              <w:rPr>
                <w:rFonts w:hint="eastAsia"/>
                <w:szCs w:val="20"/>
              </w:rPr>
              <w:t>本月非交易变动</w:t>
            </w:r>
          </w:p>
        </w:tc>
        <w:tc>
          <w:tcPr>
            <w:tcW w:w="1418" w:type="dxa"/>
            <w:shd w:val="clear" w:color="auto" w:fill="auto"/>
            <w:noWrap/>
          </w:tcPr>
          <w:p w14:paraId="46EC2D4F" w14:textId="77777777" w:rsidR="00A052DC" w:rsidRDefault="009F0A60">
            <w:pPr>
              <w:pStyle w:val="B"/>
              <w:rPr>
                <w:szCs w:val="20"/>
              </w:rPr>
            </w:pPr>
            <w:r>
              <w:rPr>
                <w:rFonts w:hint="eastAsia"/>
                <w:szCs w:val="20"/>
              </w:rPr>
              <w:t>数值型，</w:t>
            </w:r>
            <w:r>
              <w:rPr>
                <w:szCs w:val="20"/>
              </w:rPr>
              <w:t>22.2</w:t>
            </w:r>
          </w:p>
        </w:tc>
        <w:tc>
          <w:tcPr>
            <w:tcW w:w="4053" w:type="dxa"/>
            <w:shd w:val="clear" w:color="auto" w:fill="auto"/>
            <w:noWrap/>
          </w:tcPr>
          <w:p w14:paraId="6D930E42" w14:textId="77777777" w:rsidR="00A052DC" w:rsidRDefault="009F0A60">
            <w:pPr>
              <w:pStyle w:val="B"/>
              <w:rPr>
                <w:szCs w:val="20"/>
              </w:rPr>
            </w:pPr>
            <w:r>
              <w:rPr>
                <w:rFonts w:hint="eastAsia"/>
                <w:szCs w:val="20"/>
              </w:rPr>
              <w:t>必填项。必须满足：</w:t>
            </w:r>
          </w:p>
          <w:p w14:paraId="3D96DCA8" w14:textId="77777777" w:rsidR="00A052DC" w:rsidRDefault="009F0A60">
            <w:pPr>
              <w:pStyle w:val="B"/>
              <w:rPr>
                <w:szCs w:val="20"/>
              </w:rPr>
            </w:pPr>
            <w:r>
              <w:rPr>
                <w:szCs w:val="20"/>
              </w:rPr>
              <w:t>B0215=B0218-B0212-</w:t>
            </w:r>
            <w:r>
              <w:rPr>
                <w:rFonts w:hint="eastAsia"/>
                <w:szCs w:val="20"/>
              </w:rPr>
              <w:t>（</w:t>
            </w:r>
            <w:r>
              <w:rPr>
                <w:szCs w:val="20"/>
              </w:rPr>
              <w:t>B0213-B0214</w:t>
            </w:r>
            <w:r>
              <w:rPr>
                <w:rFonts w:hint="eastAsia"/>
                <w:szCs w:val="20"/>
              </w:rPr>
              <w:t>）。</w:t>
            </w:r>
          </w:p>
          <w:p w14:paraId="5F9BFB69" w14:textId="77777777" w:rsidR="00A052DC" w:rsidRDefault="009F0A60">
            <w:pPr>
              <w:rPr>
                <w:rFonts w:ascii="黑体" w:eastAsia="黑体" w:hAnsi="黑体"/>
                <w:sz w:val="20"/>
                <w:szCs w:val="20"/>
              </w:rPr>
            </w:pPr>
            <w:r>
              <w:rPr>
                <w:rFonts w:ascii="黑体" w:eastAsia="黑体" w:hAnsi="黑体"/>
                <w:kern w:val="0"/>
                <w:sz w:val="20"/>
                <w:szCs w:val="20"/>
              </w:rPr>
              <w:t>B0215=B0216+B0217</w:t>
            </w:r>
            <w:r>
              <w:rPr>
                <w:rFonts w:ascii="黑体" w:eastAsia="黑体" w:hAnsi="黑体" w:hint="eastAsia"/>
                <w:kern w:val="0"/>
                <w:sz w:val="20"/>
                <w:szCs w:val="20"/>
              </w:rPr>
              <w:t>。</w:t>
            </w:r>
          </w:p>
        </w:tc>
      </w:tr>
      <w:tr w:rsidR="00A052DC" w14:paraId="6BC7D1D5" w14:textId="77777777">
        <w:trPr>
          <w:jc w:val="center"/>
        </w:trPr>
        <w:tc>
          <w:tcPr>
            <w:tcW w:w="1135" w:type="dxa"/>
            <w:shd w:val="clear" w:color="auto" w:fill="auto"/>
            <w:noWrap/>
          </w:tcPr>
          <w:p w14:paraId="34510880" w14:textId="77777777" w:rsidR="00A052DC" w:rsidRDefault="009F0A60">
            <w:pPr>
              <w:pStyle w:val="B"/>
              <w:rPr>
                <w:szCs w:val="20"/>
              </w:rPr>
            </w:pPr>
            <w:r>
              <w:rPr>
                <w:szCs w:val="20"/>
              </w:rPr>
              <w:t>B0216</w:t>
            </w:r>
          </w:p>
        </w:tc>
        <w:tc>
          <w:tcPr>
            <w:tcW w:w="1984" w:type="dxa"/>
          </w:tcPr>
          <w:p w14:paraId="23BFE926" w14:textId="77777777" w:rsidR="00A052DC" w:rsidRDefault="009F0A60">
            <w:pPr>
              <w:pStyle w:val="B"/>
              <w:rPr>
                <w:szCs w:val="20"/>
              </w:rPr>
            </w:pPr>
            <w:r>
              <w:rPr>
                <w:rFonts w:hint="eastAsia"/>
              </w:rPr>
              <w:t>注销、调整或重新分类至其他报表统计的金额</w:t>
            </w:r>
          </w:p>
        </w:tc>
        <w:tc>
          <w:tcPr>
            <w:tcW w:w="1418" w:type="dxa"/>
            <w:shd w:val="clear" w:color="auto" w:fill="auto"/>
            <w:noWrap/>
          </w:tcPr>
          <w:p w14:paraId="146017B2" w14:textId="77777777" w:rsidR="00A052DC" w:rsidRDefault="009F0A60">
            <w:pPr>
              <w:pStyle w:val="B"/>
              <w:rPr>
                <w:szCs w:val="20"/>
              </w:rPr>
            </w:pPr>
            <w:r>
              <w:rPr>
                <w:rFonts w:hint="eastAsia"/>
                <w:szCs w:val="20"/>
              </w:rPr>
              <w:t>数值型，</w:t>
            </w:r>
            <w:r>
              <w:rPr>
                <w:szCs w:val="20"/>
              </w:rPr>
              <w:t>22.2</w:t>
            </w:r>
          </w:p>
        </w:tc>
        <w:tc>
          <w:tcPr>
            <w:tcW w:w="4053" w:type="dxa"/>
            <w:shd w:val="clear" w:color="auto" w:fill="auto"/>
            <w:noWrap/>
          </w:tcPr>
          <w:p w14:paraId="4579C6AE" w14:textId="77777777" w:rsidR="00A052DC" w:rsidRDefault="009F0A60">
            <w:pPr>
              <w:pStyle w:val="B"/>
              <w:rPr>
                <w:szCs w:val="20"/>
              </w:rPr>
            </w:pPr>
            <w:r>
              <w:rPr>
                <w:rFonts w:hint="eastAsia"/>
                <w:szCs w:val="20"/>
              </w:rPr>
              <w:t>必填项。</w:t>
            </w:r>
          </w:p>
        </w:tc>
      </w:tr>
      <w:tr w:rsidR="00A052DC" w14:paraId="4285E0A4" w14:textId="77777777">
        <w:trPr>
          <w:jc w:val="center"/>
        </w:trPr>
        <w:tc>
          <w:tcPr>
            <w:tcW w:w="1135" w:type="dxa"/>
            <w:shd w:val="clear" w:color="auto" w:fill="auto"/>
            <w:noWrap/>
          </w:tcPr>
          <w:p w14:paraId="6BC9C34D" w14:textId="77777777" w:rsidR="00A052DC" w:rsidRDefault="009F0A60">
            <w:pPr>
              <w:pStyle w:val="B"/>
              <w:rPr>
                <w:szCs w:val="20"/>
              </w:rPr>
            </w:pPr>
            <w:r>
              <w:rPr>
                <w:szCs w:val="20"/>
              </w:rPr>
              <w:t>B0217</w:t>
            </w:r>
          </w:p>
        </w:tc>
        <w:tc>
          <w:tcPr>
            <w:tcW w:w="1984" w:type="dxa"/>
          </w:tcPr>
          <w:p w14:paraId="3656429B" w14:textId="77777777" w:rsidR="00A052DC" w:rsidRDefault="009F0A60">
            <w:pPr>
              <w:pStyle w:val="B"/>
              <w:rPr>
                <w:szCs w:val="20"/>
              </w:rPr>
            </w:pPr>
            <w:r>
              <w:rPr>
                <w:rFonts w:hint="eastAsia"/>
              </w:rPr>
              <w:t>价值重估因素</w:t>
            </w:r>
          </w:p>
        </w:tc>
        <w:tc>
          <w:tcPr>
            <w:tcW w:w="1418" w:type="dxa"/>
            <w:shd w:val="clear" w:color="auto" w:fill="auto"/>
            <w:noWrap/>
          </w:tcPr>
          <w:p w14:paraId="264601DC" w14:textId="77777777" w:rsidR="00A052DC" w:rsidRDefault="009F0A60">
            <w:pPr>
              <w:pStyle w:val="B"/>
              <w:rPr>
                <w:szCs w:val="20"/>
              </w:rPr>
            </w:pPr>
            <w:r>
              <w:rPr>
                <w:rFonts w:hint="eastAsia"/>
                <w:szCs w:val="20"/>
              </w:rPr>
              <w:t>数值型，</w:t>
            </w:r>
            <w:r>
              <w:rPr>
                <w:szCs w:val="20"/>
              </w:rPr>
              <w:t>22.2</w:t>
            </w:r>
          </w:p>
        </w:tc>
        <w:tc>
          <w:tcPr>
            <w:tcW w:w="4053" w:type="dxa"/>
            <w:shd w:val="clear" w:color="auto" w:fill="auto"/>
            <w:noWrap/>
          </w:tcPr>
          <w:p w14:paraId="66C22EAF" w14:textId="77777777" w:rsidR="00A052DC" w:rsidRDefault="009F0A60">
            <w:pPr>
              <w:pStyle w:val="B"/>
              <w:rPr>
                <w:szCs w:val="20"/>
              </w:rPr>
            </w:pPr>
            <w:r>
              <w:rPr>
                <w:rFonts w:hint="eastAsia"/>
                <w:szCs w:val="20"/>
              </w:rPr>
              <w:t>必填项。</w:t>
            </w:r>
          </w:p>
        </w:tc>
      </w:tr>
      <w:tr w:rsidR="00A052DC" w14:paraId="2F024923" w14:textId="77777777">
        <w:trPr>
          <w:jc w:val="center"/>
        </w:trPr>
        <w:tc>
          <w:tcPr>
            <w:tcW w:w="1135" w:type="dxa"/>
            <w:shd w:val="clear" w:color="auto" w:fill="auto"/>
            <w:noWrap/>
          </w:tcPr>
          <w:p w14:paraId="2507D117" w14:textId="77777777" w:rsidR="00A052DC" w:rsidRDefault="009F0A60">
            <w:pPr>
              <w:pStyle w:val="B"/>
              <w:rPr>
                <w:szCs w:val="20"/>
              </w:rPr>
            </w:pPr>
            <w:r>
              <w:rPr>
                <w:szCs w:val="20"/>
              </w:rPr>
              <w:t>B0218</w:t>
            </w:r>
          </w:p>
        </w:tc>
        <w:tc>
          <w:tcPr>
            <w:tcW w:w="1984" w:type="dxa"/>
            <w:shd w:val="clear" w:color="auto" w:fill="auto"/>
          </w:tcPr>
          <w:p w14:paraId="37ED2D35" w14:textId="77777777" w:rsidR="00A052DC" w:rsidRDefault="009F0A60">
            <w:pPr>
              <w:pStyle w:val="B"/>
              <w:rPr>
                <w:szCs w:val="20"/>
              </w:rPr>
            </w:pPr>
            <w:r>
              <w:rPr>
                <w:rFonts w:hint="eastAsia"/>
                <w:szCs w:val="20"/>
              </w:rPr>
              <w:t>本月末市值</w:t>
            </w:r>
          </w:p>
        </w:tc>
        <w:tc>
          <w:tcPr>
            <w:tcW w:w="1418" w:type="dxa"/>
            <w:shd w:val="clear" w:color="auto" w:fill="auto"/>
            <w:noWrap/>
          </w:tcPr>
          <w:p w14:paraId="20EC1988" w14:textId="77777777" w:rsidR="00A052DC" w:rsidRDefault="009F0A60">
            <w:pPr>
              <w:pStyle w:val="B"/>
              <w:rPr>
                <w:szCs w:val="20"/>
              </w:rPr>
            </w:pPr>
            <w:r>
              <w:rPr>
                <w:rFonts w:hint="eastAsia"/>
                <w:szCs w:val="20"/>
              </w:rPr>
              <w:t>数值型，</w:t>
            </w:r>
            <w:r>
              <w:rPr>
                <w:szCs w:val="20"/>
              </w:rPr>
              <w:t>22.2</w:t>
            </w:r>
          </w:p>
        </w:tc>
        <w:tc>
          <w:tcPr>
            <w:tcW w:w="4053" w:type="dxa"/>
            <w:shd w:val="clear" w:color="auto" w:fill="auto"/>
            <w:noWrap/>
          </w:tcPr>
          <w:p w14:paraId="1C9C30A1" w14:textId="77777777" w:rsidR="00A052DC" w:rsidRDefault="009F0A60">
            <w:pPr>
              <w:pStyle w:val="B"/>
              <w:rPr>
                <w:szCs w:val="20"/>
              </w:rPr>
            </w:pPr>
            <w:r>
              <w:rPr>
                <w:rFonts w:hint="eastAsia"/>
                <w:szCs w:val="20"/>
              </w:rPr>
              <w:t>必填项。</w:t>
            </w:r>
          </w:p>
        </w:tc>
      </w:tr>
      <w:tr w:rsidR="00A052DC" w14:paraId="6A2F3D06" w14:textId="77777777">
        <w:trPr>
          <w:jc w:val="center"/>
        </w:trPr>
        <w:tc>
          <w:tcPr>
            <w:tcW w:w="1135" w:type="dxa"/>
            <w:shd w:val="clear" w:color="auto" w:fill="auto"/>
            <w:noWrap/>
          </w:tcPr>
          <w:p w14:paraId="05BC837C" w14:textId="77777777" w:rsidR="00A052DC" w:rsidRDefault="009F0A60">
            <w:pPr>
              <w:pStyle w:val="B"/>
              <w:rPr>
                <w:szCs w:val="20"/>
              </w:rPr>
            </w:pPr>
            <w:r>
              <w:rPr>
                <w:szCs w:val="20"/>
              </w:rPr>
              <w:t>B0219</w:t>
            </w:r>
          </w:p>
        </w:tc>
        <w:tc>
          <w:tcPr>
            <w:tcW w:w="1984" w:type="dxa"/>
          </w:tcPr>
          <w:p w14:paraId="2C0CCF44" w14:textId="77777777" w:rsidR="00A052DC" w:rsidRDefault="009F0A60">
            <w:pPr>
              <w:pStyle w:val="B"/>
              <w:rPr>
                <w:szCs w:val="20"/>
              </w:rPr>
            </w:pPr>
            <w:r>
              <w:rPr>
                <w:rFonts w:hint="eastAsia"/>
              </w:rPr>
              <w:t>本月末市值其中：剩余期限在一年及以下</w:t>
            </w:r>
          </w:p>
        </w:tc>
        <w:tc>
          <w:tcPr>
            <w:tcW w:w="1418" w:type="dxa"/>
            <w:shd w:val="clear" w:color="auto" w:fill="auto"/>
            <w:noWrap/>
          </w:tcPr>
          <w:p w14:paraId="0278256B" w14:textId="77777777" w:rsidR="00A052DC" w:rsidRDefault="009F0A60">
            <w:pPr>
              <w:pStyle w:val="B"/>
              <w:rPr>
                <w:szCs w:val="20"/>
              </w:rPr>
            </w:pPr>
            <w:r>
              <w:rPr>
                <w:rFonts w:hint="eastAsia"/>
                <w:szCs w:val="20"/>
              </w:rPr>
              <w:t>数值型，</w:t>
            </w:r>
            <w:r>
              <w:rPr>
                <w:szCs w:val="20"/>
              </w:rPr>
              <w:t>22.2</w:t>
            </w:r>
          </w:p>
        </w:tc>
        <w:tc>
          <w:tcPr>
            <w:tcW w:w="4053" w:type="dxa"/>
            <w:shd w:val="clear" w:color="auto" w:fill="auto"/>
            <w:noWrap/>
          </w:tcPr>
          <w:p w14:paraId="564038CF" w14:textId="77777777" w:rsidR="00A052DC" w:rsidRDefault="009F0A60">
            <w:pPr>
              <w:pStyle w:val="B"/>
              <w:rPr>
                <w:szCs w:val="20"/>
              </w:rPr>
            </w:pPr>
            <w:r>
              <w:rPr>
                <w:rFonts w:hint="eastAsia"/>
                <w:szCs w:val="20"/>
              </w:rPr>
              <w:t>必填项，且满足：</w:t>
            </w:r>
          </w:p>
          <w:p w14:paraId="78D04D37" w14:textId="77777777" w:rsidR="00A052DC" w:rsidRDefault="009F0A60">
            <w:pPr>
              <w:pStyle w:val="B"/>
              <w:rPr>
                <w:szCs w:val="20"/>
              </w:rPr>
            </w:pPr>
            <w:r>
              <w:rPr>
                <w:rFonts w:hint="eastAsia"/>
                <w:szCs w:val="20"/>
              </w:rPr>
              <w:t>当</w:t>
            </w:r>
            <w:r>
              <w:rPr>
                <w:szCs w:val="20"/>
              </w:rPr>
              <w:t>B0210=1</w:t>
            </w:r>
            <w:r>
              <w:rPr>
                <w:rFonts w:hint="eastAsia"/>
                <w:szCs w:val="20"/>
              </w:rPr>
              <w:t>时，</w:t>
            </w:r>
            <w:r>
              <w:rPr>
                <w:szCs w:val="20"/>
              </w:rPr>
              <w:t>B0218=B0219</w:t>
            </w:r>
            <w:r>
              <w:rPr>
                <w:rFonts w:hint="eastAsia"/>
                <w:szCs w:val="20"/>
              </w:rPr>
              <w:t>。</w:t>
            </w:r>
          </w:p>
        </w:tc>
      </w:tr>
      <w:tr w:rsidR="00A052DC" w14:paraId="5E53C9BC" w14:textId="77777777">
        <w:trPr>
          <w:jc w:val="center"/>
        </w:trPr>
        <w:tc>
          <w:tcPr>
            <w:tcW w:w="1135" w:type="dxa"/>
            <w:shd w:val="clear" w:color="auto" w:fill="auto"/>
            <w:noWrap/>
          </w:tcPr>
          <w:p w14:paraId="31450DBC" w14:textId="77777777" w:rsidR="00A052DC" w:rsidRDefault="009F0A60">
            <w:pPr>
              <w:pStyle w:val="B"/>
              <w:rPr>
                <w:szCs w:val="20"/>
              </w:rPr>
            </w:pPr>
            <w:r>
              <w:rPr>
                <w:szCs w:val="20"/>
              </w:rPr>
              <w:t>B0220</w:t>
            </w:r>
          </w:p>
        </w:tc>
        <w:tc>
          <w:tcPr>
            <w:tcW w:w="1984" w:type="dxa"/>
            <w:shd w:val="clear" w:color="auto" w:fill="auto"/>
          </w:tcPr>
          <w:p w14:paraId="412CB71E" w14:textId="77777777" w:rsidR="00A052DC" w:rsidRDefault="009F0A60">
            <w:pPr>
              <w:pStyle w:val="B"/>
              <w:rPr>
                <w:szCs w:val="20"/>
              </w:rPr>
            </w:pPr>
            <w:r>
              <w:rPr>
                <w:rFonts w:hint="eastAsia"/>
                <w:szCs w:val="20"/>
              </w:rPr>
              <w:t>本月利息收入</w:t>
            </w:r>
          </w:p>
        </w:tc>
        <w:tc>
          <w:tcPr>
            <w:tcW w:w="1418" w:type="dxa"/>
            <w:shd w:val="clear" w:color="auto" w:fill="auto"/>
            <w:noWrap/>
          </w:tcPr>
          <w:p w14:paraId="6B79E139" w14:textId="77777777" w:rsidR="00A052DC" w:rsidRDefault="009F0A60">
            <w:pPr>
              <w:pStyle w:val="B"/>
              <w:rPr>
                <w:szCs w:val="20"/>
              </w:rPr>
            </w:pPr>
            <w:r>
              <w:rPr>
                <w:rFonts w:hint="eastAsia"/>
                <w:szCs w:val="20"/>
              </w:rPr>
              <w:t>数值型，</w:t>
            </w:r>
            <w:r>
              <w:rPr>
                <w:szCs w:val="20"/>
              </w:rPr>
              <w:t>22.2</w:t>
            </w:r>
          </w:p>
        </w:tc>
        <w:tc>
          <w:tcPr>
            <w:tcW w:w="4053" w:type="dxa"/>
          </w:tcPr>
          <w:p w14:paraId="3DC2340E" w14:textId="77777777" w:rsidR="00A052DC" w:rsidRDefault="009F0A60">
            <w:pPr>
              <w:pStyle w:val="B"/>
              <w:rPr>
                <w:szCs w:val="20"/>
              </w:rPr>
            </w:pPr>
            <w:r>
              <w:rPr>
                <w:rFonts w:hint="eastAsia"/>
                <w:szCs w:val="20"/>
              </w:rPr>
              <w:t>必填项。</w:t>
            </w:r>
          </w:p>
        </w:tc>
      </w:tr>
      <w:tr w:rsidR="00A052DC" w14:paraId="3E97FAE2" w14:textId="77777777">
        <w:trPr>
          <w:jc w:val="center"/>
        </w:trPr>
        <w:tc>
          <w:tcPr>
            <w:tcW w:w="1135" w:type="dxa"/>
            <w:shd w:val="clear" w:color="auto" w:fill="auto"/>
            <w:noWrap/>
          </w:tcPr>
          <w:p w14:paraId="4F6F2A88" w14:textId="77777777" w:rsidR="00A052DC" w:rsidRDefault="009F0A60">
            <w:pPr>
              <w:pStyle w:val="B"/>
              <w:rPr>
                <w:szCs w:val="20"/>
              </w:rPr>
            </w:pPr>
            <w:r>
              <w:rPr>
                <w:szCs w:val="20"/>
              </w:rPr>
              <w:t>B0221</w:t>
            </w:r>
          </w:p>
        </w:tc>
        <w:tc>
          <w:tcPr>
            <w:tcW w:w="1984" w:type="dxa"/>
            <w:shd w:val="clear" w:color="auto" w:fill="auto"/>
          </w:tcPr>
          <w:p w14:paraId="76BF7932" w14:textId="77777777" w:rsidR="00A052DC" w:rsidRDefault="009F0A60">
            <w:pPr>
              <w:pStyle w:val="B"/>
              <w:rPr>
                <w:szCs w:val="20"/>
              </w:rPr>
            </w:pPr>
            <w:r>
              <w:rPr>
                <w:rFonts w:hint="eastAsia"/>
                <w:szCs w:val="20"/>
              </w:rPr>
              <w:t>本月末</w:t>
            </w:r>
            <w:r>
              <w:rPr>
                <w:szCs w:val="20"/>
              </w:rPr>
              <w:t>未到期/未偿付</w:t>
            </w:r>
            <w:r>
              <w:rPr>
                <w:rFonts w:hint="eastAsia"/>
                <w:szCs w:val="20"/>
              </w:rPr>
              <w:t>债券面值</w:t>
            </w:r>
          </w:p>
        </w:tc>
        <w:tc>
          <w:tcPr>
            <w:tcW w:w="1418" w:type="dxa"/>
            <w:shd w:val="clear" w:color="auto" w:fill="auto"/>
            <w:noWrap/>
          </w:tcPr>
          <w:p w14:paraId="2A99728B" w14:textId="77777777" w:rsidR="00A052DC" w:rsidRDefault="009F0A60">
            <w:pPr>
              <w:pStyle w:val="B"/>
              <w:rPr>
                <w:szCs w:val="20"/>
              </w:rPr>
            </w:pPr>
            <w:r>
              <w:rPr>
                <w:rFonts w:hint="eastAsia"/>
                <w:szCs w:val="20"/>
              </w:rPr>
              <w:t>数值型，</w:t>
            </w:r>
            <w:r>
              <w:rPr>
                <w:szCs w:val="20"/>
              </w:rPr>
              <w:t>22.2</w:t>
            </w:r>
          </w:p>
        </w:tc>
        <w:tc>
          <w:tcPr>
            <w:tcW w:w="4053" w:type="dxa"/>
          </w:tcPr>
          <w:p w14:paraId="5BCC103E" w14:textId="77777777" w:rsidR="00A052DC" w:rsidRDefault="009F0A60">
            <w:pPr>
              <w:pStyle w:val="B"/>
              <w:rPr>
                <w:szCs w:val="20"/>
              </w:rPr>
            </w:pPr>
            <w:r>
              <w:rPr>
                <w:rFonts w:hint="eastAsia"/>
                <w:szCs w:val="20"/>
              </w:rPr>
              <w:t>必填项。</w:t>
            </w:r>
          </w:p>
        </w:tc>
      </w:tr>
      <w:tr w:rsidR="00A052DC" w14:paraId="367437F7" w14:textId="77777777">
        <w:trPr>
          <w:jc w:val="center"/>
        </w:trPr>
        <w:tc>
          <w:tcPr>
            <w:tcW w:w="1135" w:type="dxa"/>
            <w:shd w:val="clear" w:color="auto" w:fill="auto"/>
            <w:noWrap/>
          </w:tcPr>
          <w:p w14:paraId="67807A34" w14:textId="77777777" w:rsidR="00A052DC" w:rsidRDefault="009F0A60">
            <w:pPr>
              <w:pStyle w:val="B"/>
              <w:rPr>
                <w:szCs w:val="20"/>
              </w:rPr>
            </w:pPr>
            <w:r>
              <w:rPr>
                <w:szCs w:val="20"/>
              </w:rPr>
              <w:t>REMARK</w:t>
            </w:r>
          </w:p>
        </w:tc>
        <w:tc>
          <w:tcPr>
            <w:tcW w:w="1984" w:type="dxa"/>
            <w:shd w:val="clear" w:color="auto" w:fill="auto"/>
          </w:tcPr>
          <w:p w14:paraId="46DD0F62" w14:textId="77777777" w:rsidR="00A052DC" w:rsidRDefault="009F0A60">
            <w:pPr>
              <w:pStyle w:val="B"/>
              <w:rPr>
                <w:szCs w:val="20"/>
              </w:rPr>
            </w:pPr>
            <w:r>
              <w:rPr>
                <w:rFonts w:hint="eastAsia"/>
                <w:szCs w:val="20"/>
              </w:rPr>
              <w:t>备注</w:t>
            </w:r>
          </w:p>
        </w:tc>
        <w:tc>
          <w:tcPr>
            <w:tcW w:w="1418" w:type="dxa"/>
            <w:shd w:val="clear" w:color="auto" w:fill="auto"/>
            <w:noWrap/>
          </w:tcPr>
          <w:p w14:paraId="29A3EB0F" w14:textId="77777777" w:rsidR="00A052DC" w:rsidRDefault="009F0A60">
            <w:pPr>
              <w:pStyle w:val="B"/>
              <w:rPr>
                <w:szCs w:val="20"/>
              </w:rPr>
            </w:pPr>
            <w:r>
              <w:rPr>
                <w:rFonts w:hint="eastAsia"/>
                <w:szCs w:val="20"/>
              </w:rPr>
              <w:t>字符型，</w:t>
            </w:r>
            <w:r>
              <w:rPr>
                <w:szCs w:val="20"/>
              </w:rPr>
              <w:t>256</w:t>
            </w:r>
          </w:p>
        </w:tc>
        <w:tc>
          <w:tcPr>
            <w:tcW w:w="4053" w:type="dxa"/>
          </w:tcPr>
          <w:p w14:paraId="107D6ABB" w14:textId="77777777" w:rsidR="00A052DC" w:rsidRDefault="009F0A60">
            <w:pPr>
              <w:pStyle w:val="B"/>
              <w:rPr>
                <w:szCs w:val="20"/>
              </w:rPr>
            </w:pPr>
            <w:r>
              <w:rPr>
                <w:rFonts w:hint="eastAsia"/>
                <w:szCs w:val="20"/>
              </w:rPr>
              <w:t>当</w:t>
            </w:r>
            <w:r>
              <w:rPr>
                <w:szCs w:val="20"/>
              </w:rPr>
              <w:t>B0212、B0218、B0219和B0220中任一项为负数</w:t>
            </w:r>
            <w:r>
              <w:rPr>
                <w:rFonts w:hint="eastAsia"/>
                <w:szCs w:val="20"/>
              </w:rPr>
              <w:t>时为必填项。</w:t>
            </w:r>
          </w:p>
        </w:tc>
      </w:tr>
    </w:tbl>
    <w:p w14:paraId="2393C2C4" w14:textId="77777777" w:rsidR="00A052DC" w:rsidRDefault="00A052DC"/>
    <w:p w14:paraId="76A3B057" w14:textId="77777777" w:rsidR="00A052DC" w:rsidRDefault="009F0A60" w:rsidP="0020251D">
      <w:pPr>
        <w:pStyle w:val="3"/>
        <w:ind w:left="0"/>
        <w:rPr>
          <w:rFonts w:ascii="Times New Roman" w:hAnsi="Times New Roman"/>
        </w:rPr>
      </w:pPr>
      <w:bookmarkStart w:id="3068" w:name="_Toc380356284"/>
      <w:bookmarkStart w:id="3069" w:name="_Toc454391265"/>
      <w:bookmarkStart w:id="3070" w:name="_Toc380570931"/>
      <w:bookmarkStart w:id="3071" w:name="_Toc91455311"/>
      <w:bookmarkStart w:id="3072" w:name="_Toc101684484"/>
      <w:r>
        <w:rPr>
          <w:rFonts w:ascii="Times New Roman" w:hAnsi="Times New Roman"/>
        </w:rPr>
        <w:t>B03</w:t>
      </w:r>
      <w:r>
        <w:rPr>
          <w:rFonts w:ascii="Times New Roman" w:hAnsi="Times New Roman" w:hint="eastAsia"/>
        </w:rPr>
        <w:t>表：投资非居民境内发行股本证券和债务证券</w:t>
      </w:r>
      <w:bookmarkEnd w:id="3068"/>
      <w:bookmarkEnd w:id="3069"/>
      <w:bookmarkEnd w:id="3070"/>
      <w:r>
        <w:rPr>
          <w:rFonts w:ascii="Times New Roman" w:hAnsi="Times New Roman" w:hint="eastAsia"/>
        </w:rPr>
        <w:t>（资产）</w:t>
      </w:r>
      <w:bookmarkEnd w:id="3071"/>
      <w:bookmarkEnd w:id="3072"/>
    </w:p>
    <w:p w14:paraId="00B10354" w14:textId="77777777" w:rsidR="00A052DC" w:rsidRDefault="009F0A60" w:rsidP="0020251D">
      <w:pPr>
        <w:pStyle w:val="4"/>
        <w:numPr>
          <w:ilvl w:val="3"/>
          <w:numId w:val="1"/>
        </w:numPr>
        <w:jc w:val="left"/>
      </w:pPr>
      <w:bookmarkStart w:id="3073" w:name="_Toc380570932"/>
      <w:bookmarkStart w:id="3074" w:name="_Toc454391266"/>
      <w:r>
        <w:rPr>
          <w:rFonts w:hint="eastAsia"/>
        </w:rPr>
        <w:t>数据术语解释</w:t>
      </w:r>
      <w:bookmarkEnd w:id="3073"/>
      <w:bookmarkEnd w:id="3074"/>
    </w:p>
    <w:p w14:paraId="21D95B99" w14:textId="77777777" w:rsidR="00A052DC" w:rsidRDefault="00A052DC">
      <w:pPr>
        <w:spacing w:line="240" w:lineRule="exact"/>
        <w:rPr>
          <w:sz w:val="18"/>
        </w:rPr>
      </w:pPr>
    </w:p>
    <w:tbl>
      <w:tblPr>
        <w:tblW w:w="8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7"/>
        <w:gridCol w:w="7025"/>
      </w:tblGrid>
      <w:tr w:rsidR="00A052DC" w14:paraId="40CF3E1C" w14:textId="77777777">
        <w:trPr>
          <w:cantSplit/>
          <w:jc w:val="center"/>
        </w:trPr>
        <w:tc>
          <w:tcPr>
            <w:tcW w:w="1467" w:type="dxa"/>
            <w:shd w:val="clear" w:color="auto" w:fill="auto"/>
            <w:noWrap/>
          </w:tcPr>
          <w:p w14:paraId="2A9BCB42" w14:textId="77777777" w:rsidR="00A052DC" w:rsidRDefault="009F0A60">
            <w:pPr>
              <w:pStyle w:val="B1"/>
            </w:pPr>
            <w:r>
              <w:rPr>
                <w:rFonts w:hint="eastAsia"/>
              </w:rPr>
              <w:t>基础数据项</w:t>
            </w:r>
          </w:p>
        </w:tc>
        <w:tc>
          <w:tcPr>
            <w:tcW w:w="7025" w:type="dxa"/>
            <w:shd w:val="clear" w:color="auto" w:fill="auto"/>
            <w:noWrap/>
          </w:tcPr>
          <w:p w14:paraId="35D17DAE" w14:textId="77777777" w:rsidR="00A052DC" w:rsidRDefault="009F0A60">
            <w:pPr>
              <w:pStyle w:val="B1"/>
            </w:pPr>
            <w:r>
              <w:rPr>
                <w:rFonts w:hint="eastAsia"/>
              </w:rPr>
              <w:t>定义</w:t>
            </w:r>
          </w:p>
        </w:tc>
      </w:tr>
      <w:tr w:rsidR="00A052DC" w14:paraId="0949C421" w14:textId="77777777">
        <w:trPr>
          <w:cantSplit/>
          <w:jc w:val="center"/>
        </w:trPr>
        <w:tc>
          <w:tcPr>
            <w:tcW w:w="1467" w:type="dxa"/>
            <w:shd w:val="clear" w:color="auto" w:fill="auto"/>
          </w:tcPr>
          <w:p w14:paraId="698E9BAD" w14:textId="77777777" w:rsidR="00A052DC" w:rsidRDefault="009F0A60">
            <w:pPr>
              <w:pStyle w:val="B"/>
              <w:rPr>
                <w:szCs w:val="20"/>
              </w:rPr>
            </w:pPr>
            <w:r>
              <w:rPr>
                <w:rFonts w:hint="eastAsia"/>
                <w:szCs w:val="20"/>
              </w:rPr>
              <w:t>数据自编码</w:t>
            </w:r>
          </w:p>
        </w:tc>
        <w:tc>
          <w:tcPr>
            <w:tcW w:w="7025" w:type="dxa"/>
            <w:shd w:val="clear" w:color="auto" w:fill="auto"/>
            <w:noWrap/>
          </w:tcPr>
          <w:p w14:paraId="1EF71E15" w14:textId="77777777" w:rsidR="00A052DC" w:rsidRDefault="009F0A60">
            <w:pPr>
              <w:pStyle w:val="B"/>
              <w:rPr>
                <w:szCs w:val="20"/>
              </w:rPr>
            </w:pPr>
            <w:r>
              <w:rPr>
                <w:rFonts w:hint="eastAsia"/>
                <w:szCs w:val="20"/>
              </w:rPr>
              <w:t>该编码用于标识金融机构报送的每一条数据，按给定规则编码，便于进行增删改查等操作。建议规则：机构代码（</w:t>
            </w:r>
            <w:r>
              <w:rPr>
                <w:szCs w:val="20"/>
              </w:rPr>
              <w:t>1</w:t>
            </w:r>
            <w:r>
              <w:rPr>
                <w:rFonts w:hint="eastAsia"/>
                <w:szCs w:val="20"/>
              </w:rPr>
              <w:t>8位，不足</w:t>
            </w:r>
            <w:r>
              <w:rPr>
                <w:szCs w:val="20"/>
              </w:rPr>
              <w:t>1</w:t>
            </w:r>
            <w:r>
              <w:rPr>
                <w:rFonts w:hint="eastAsia"/>
                <w:szCs w:val="20"/>
              </w:rPr>
              <w:t>8位补</w:t>
            </w:r>
            <w:r>
              <w:rPr>
                <w:szCs w:val="20"/>
              </w:rPr>
              <w:t>a</w:t>
            </w:r>
            <w:r>
              <w:rPr>
                <w:rFonts w:hint="eastAsia"/>
                <w:szCs w:val="20"/>
              </w:rPr>
              <w:t>）</w:t>
            </w:r>
            <w:r>
              <w:rPr>
                <w:szCs w:val="20"/>
              </w:rPr>
              <w:t>+</w:t>
            </w:r>
            <w:r>
              <w:rPr>
                <w:rFonts w:hint="eastAsia"/>
                <w:szCs w:val="20"/>
              </w:rPr>
              <w:t>报表代码（</w:t>
            </w:r>
            <w:r>
              <w:rPr>
                <w:szCs w:val="20"/>
              </w:rPr>
              <w:t>5</w:t>
            </w:r>
            <w:r>
              <w:rPr>
                <w:rFonts w:hint="eastAsia"/>
                <w:szCs w:val="20"/>
              </w:rPr>
              <w:t>位，不足</w:t>
            </w:r>
            <w:r>
              <w:rPr>
                <w:szCs w:val="20"/>
              </w:rPr>
              <w:t>5</w:t>
            </w:r>
            <w:r>
              <w:rPr>
                <w:rFonts w:hint="eastAsia"/>
                <w:szCs w:val="20"/>
              </w:rPr>
              <w:t>位补</w:t>
            </w:r>
            <w:r>
              <w:rPr>
                <w:szCs w:val="20"/>
              </w:rPr>
              <w:t>a</w:t>
            </w:r>
            <w:r>
              <w:rPr>
                <w:rFonts w:hint="eastAsia"/>
                <w:szCs w:val="20"/>
              </w:rPr>
              <w:t>）</w:t>
            </w:r>
            <w:r>
              <w:rPr>
                <w:szCs w:val="20"/>
              </w:rPr>
              <w:t>+</w:t>
            </w:r>
            <w:r>
              <w:rPr>
                <w:rFonts w:hint="eastAsia"/>
                <w:szCs w:val="20"/>
              </w:rPr>
              <w:t>报送期（</w:t>
            </w:r>
            <w:r>
              <w:rPr>
                <w:szCs w:val="20"/>
              </w:rPr>
              <w:t>6</w:t>
            </w:r>
            <w:r>
              <w:rPr>
                <w:rFonts w:hint="eastAsia"/>
                <w:szCs w:val="20"/>
              </w:rPr>
              <w:t>位）</w:t>
            </w:r>
            <w:r>
              <w:rPr>
                <w:szCs w:val="20"/>
              </w:rPr>
              <w:t>+</w:t>
            </w:r>
            <w:r>
              <w:rPr>
                <w:rFonts w:hint="eastAsia"/>
                <w:szCs w:val="20"/>
              </w:rPr>
              <w:t>顺序号（</w:t>
            </w:r>
            <w:r>
              <w:rPr>
                <w:szCs w:val="20"/>
              </w:rPr>
              <w:t>7</w:t>
            </w:r>
            <w:r>
              <w:rPr>
                <w:rFonts w:hint="eastAsia"/>
                <w:szCs w:val="20"/>
              </w:rPr>
              <w:t>位，从</w:t>
            </w:r>
            <w:r>
              <w:rPr>
                <w:szCs w:val="20"/>
              </w:rPr>
              <w:t>0000001</w:t>
            </w:r>
            <w:r>
              <w:rPr>
                <w:rFonts w:hint="eastAsia"/>
                <w:szCs w:val="20"/>
              </w:rPr>
              <w:t>开始增加）。</w:t>
            </w:r>
          </w:p>
        </w:tc>
      </w:tr>
      <w:tr w:rsidR="00A052DC" w14:paraId="46250CB6" w14:textId="77777777">
        <w:trPr>
          <w:cantSplit/>
          <w:jc w:val="center"/>
        </w:trPr>
        <w:tc>
          <w:tcPr>
            <w:tcW w:w="1467" w:type="dxa"/>
            <w:shd w:val="clear" w:color="auto" w:fill="auto"/>
          </w:tcPr>
          <w:p w14:paraId="6DF5D7D0" w14:textId="77777777" w:rsidR="00A052DC" w:rsidRDefault="009F0A60">
            <w:pPr>
              <w:pStyle w:val="B"/>
              <w:rPr>
                <w:szCs w:val="20"/>
              </w:rPr>
            </w:pPr>
            <w:r>
              <w:rPr>
                <w:rFonts w:hint="eastAsia"/>
                <w:szCs w:val="20"/>
              </w:rPr>
              <w:t>申报主体代码</w:t>
            </w:r>
          </w:p>
        </w:tc>
        <w:tc>
          <w:tcPr>
            <w:tcW w:w="7025" w:type="dxa"/>
            <w:shd w:val="clear" w:color="auto" w:fill="auto"/>
            <w:noWrap/>
          </w:tcPr>
          <w:p w14:paraId="0B653EC0" w14:textId="77777777" w:rsidR="00A052DC" w:rsidRDefault="009F0A60">
            <w:pPr>
              <w:pStyle w:val="B"/>
              <w:rPr>
                <w:szCs w:val="20"/>
              </w:rPr>
            </w:pPr>
            <w:r>
              <w:rPr>
                <w:rFonts w:hint="eastAsia"/>
                <w:szCs w:val="20"/>
              </w:rPr>
              <w:t>申报主体的12位金融机构标识码，如果没有金融机构标识码，则填报统一社会信用代码法定载体（如营业执照）上统一社会信用代码中的第9至17位或国家外汇管理局及其分支局签发的特殊机构代码赋码通知书上的机构代码、个人身份代码。</w:t>
            </w:r>
          </w:p>
        </w:tc>
      </w:tr>
      <w:tr w:rsidR="00A052DC" w14:paraId="02C1EC3C" w14:textId="77777777">
        <w:trPr>
          <w:cantSplit/>
          <w:jc w:val="center"/>
        </w:trPr>
        <w:tc>
          <w:tcPr>
            <w:tcW w:w="1467" w:type="dxa"/>
            <w:shd w:val="clear" w:color="auto" w:fill="auto"/>
          </w:tcPr>
          <w:p w14:paraId="16658E77" w14:textId="77777777" w:rsidR="00A052DC" w:rsidRDefault="009F0A60">
            <w:pPr>
              <w:pStyle w:val="B"/>
              <w:rPr>
                <w:szCs w:val="20"/>
              </w:rPr>
            </w:pPr>
            <w:r>
              <w:rPr>
                <w:rFonts w:hint="eastAsia"/>
                <w:szCs w:val="20"/>
              </w:rPr>
              <w:t>报告期</w:t>
            </w:r>
          </w:p>
        </w:tc>
        <w:tc>
          <w:tcPr>
            <w:tcW w:w="7025" w:type="dxa"/>
            <w:shd w:val="clear" w:color="auto" w:fill="auto"/>
            <w:noWrap/>
          </w:tcPr>
          <w:p w14:paraId="511737BB" w14:textId="77777777" w:rsidR="00A052DC" w:rsidRDefault="009F0A60">
            <w:pPr>
              <w:pStyle w:val="B"/>
              <w:rPr>
                <w:szCs w:val="20"/>
              </w:rPr>
            </w:pPr>
            <w:r>
              <w:rPr>
                <w:rFonts w:hint="eastAsia"/>
                <w:szCs w:val="20"/>
              </w:rPr>
              <w:t>业务发生月份，格式为</w:t>
            </w:r>
            <w:r>
              <w:rPr>
                <w:szCs w:val="20"/>
              </w:rPr>
              <w:t>YYYYMM</w:t>
            </w:r>
            <w:r>
              <w:rPr>
                <w:rFonts w:hint="eastAsia"/>
                <w:szCs w:val="20"/>
              </w:rPr>
              <w:t>。</w:t>
            </w:r>
          </w:p>
        </w:tc>
      </w:tr>
      <w:tr w:rsidR="00A052DC" w14:paraId="708847B6" w14:textId="77777777">
        <w:trPr>
          <w:cantSplit/>
          <w:jc w:val="center"/>
        </w:trPr>
        <w:tc>
          <w:tcPr>
            <w:tcW w:w="1467" w:type="dxa"/>
            <w:shd w:val="clear" w:color="auto" w:fill="auto"/>
          </w:tcPr>
          <w:p w14:paraId="64907177" w14:textId="77777777" w:rsidR="00A052DC" w:rsidRDefault="009F0A60">
            <w:pPr>
              <w:pStyle w:val="B"/>
              <w:rPr>
                <w:szCs w:val="20"/>
              </w:rPr>
            </w:pPr>
            <w:r>
              <w:rPr>
                <w:rFonts w:hint="eastAsia"/>
                <w:szCs w:val="20"/>
              </w:rPr>
              <w:t>投资者所属国家</w:t>
            </w:r>
            <w:r>
              <w:rPr>
                <w:szCs w:val="20"/>
              </w:rPr>
              <w:t>/</w:t>
            </w:r>
            <w:r>
              <w:rPr>
                <w:rFonts w:hint="eastAsia"/>
                <w:szCs w:val="20"/>
              </w:rPr>
              <w:t>地区</w:t>
            </w:r>
          </w:p>
        </w:tc>
        <w:tc>
          <w:tcPr>
            <w:tcW w:w="7025" w:type="dxa"/>
            <w:shd w:val="clear" w:color="auto" w:fill="auto"/>
            <w:noWrap/>
          </w:tcPr>
          <w:p w14:paraId="145DE0DD" w14:textId="77777777" w:rsidR="00A052DC" w:rsidRDefault="009F0A60">
            <w:pPr>
              <w:pStyle w:val="B"/>
              <w:rPr>
                <w:szCs w:val="20"/>
              </w:rPr>
            </w:pPr>
            <w:r>
              <w:rPr>
                <w:rFonts w:hint="eastAsia"/>
                <w:szCs w:val="20"/>
              </w:rPr>
              <w:t>见国家和地区代码表，请填报购买非居民境内发行的相关产品的投资者注册（机构）或常住（个人）国家/地区代码。非居民投资者如通过QFII、RQFII等特定市场开放渠道购买非居民境内发行产品不属于本表统计范畴</w:t>
            </w:r>
          </w:p>
        </w:tc>
      </w:tr>
      <w:tr w:rsidR="00A052DC" w14:paraId="5DCA37B0" w14:textId="77777777">
        <w:trPr>
          <w:cantSplit/>
          <w:jc w:val="center"/>
        </w:trPr>
        <w:tc>
          <w:tcPr>
            <w:tcW w:w="1467" w:type="dxa"/>
            <w:shd w:val="clear" w:color="auto" w:fill="auto"/>
          </w:tcPr>
          <w:p w14:paraId="3734119F" w14:textId="77777777" w:rsidR="00A052DC" w:rsidRDefault="009F0A60">
            <w:pPr>
              <w:pStyle w:val="B"/>
              <w:rPr>
                <w:szCs w:val="20"/>
              </w:rPr>
            </w:pPr>
            <w:r>
              <w:rPr>
                <w:rFonts w:hint="eastAsia"/>
                <w:szCs w:val="20"/>
              </w:rPr>
              <w:t>投资者所属部门</w:t>
            </w:r>
          </w:p>
        </w:tc>
        <w:tc>
          <w:tcPr>
            <w:tcW w:w="7025" w:type="dxa"/>
            <w:shd w:val="clear" w:color="auto" w:fill="auto"/>
            <w:noWrap/>
          </w:tcPr>
          <w:p w14:paraId="6394C804" w14:textId="77777777" w:rsidR="00A052DC" w:rsidRDefault="009F0A60">
            <w:pPr>
              <w:pStyle w:val="B"/>
              <w:rPr>
                <w:szCs w:val="20"/>
              </w:rPr>
            </w:pPr>
            <w:r>
              <w:rPr>
                <w:rFonts w:hint="eastAsia"/>
                <w:szCs w:val="20"/>
              </w:rPr>
              <w:t>见投资者（被投资者）部门代码表。请按投资者的主营业务归类。</w:t>
            </w:r>
          </w:p>
        </w:tc>
      </w:tr>
      <w:tr w:rsidR="00A052DC" w14:paraId="753E18E9" w14:textId="77777777">
        <w:trPr>
          <w:cantSplit/>
          <w:jc w:val="center"/>
        </w:trPr>
        <w:tc>
          <w:tcPr>
            <w:tcW w:w="1467" w:type="dxa"/>
            <w:shd w:val="clear" w:color="auto" w:fill="auto"/>
          </w:tcPr>
          <w:p w14:paraId="31C74CE8" w14:textId="77777777" w:rsidR="00A052DC" w:rsidRDefault="009F0A60">
            <w:pPr>
              <w:pStyle w:val="B"/>
              <w:rPr>
                <w:szCs w:val="20"/>
              </w:rPr>
            </w:pPr>
            <w:r>
              <w:rPr>
                <w:rFonts w:hint="eastAsia"/>
                <w:szCs w:val="20"/>
              </w:rPr>
              <w:t>投资工具类型</w:t>
            </w:r>
          </w:p>
        </w:tc>
        <w:tc>
          <w:tcPr>
            <w:tcW w:w="7025" w:type="dxa"/>
            <w:shd w:val="clear" w:color="auto" w:fill="auto"/>
            <w:noWrap/>
          </w:tcPr>
          <w:p w14:paraId="45DE1E52" w14:textId="77777777" w:rsidR="00A052DC" w:rsidRDefault="009F0A60">
            <w:pPr>
              <w:pStyle w:val="B"/>
              <w:rPr>
                <w:szCs w:val="20"/>
              </w:rPr>
            </w:pPr>
            <w:r>
              <w:rPr>
                <w:rFonts w:hint="eastAsia"/>
                <w:szCs w:val="20"/>
              </w:rPr>
              <w:t>指非居民发行主体在境内发行金融产品的类型。划分为七类，按以下序号填列：1-股票；2-投资基金份额/单位；3-债券；4</w:t>
            </w:r>
            <w:r w:rsidR="00891512">
              <w:rPr>
                <w:rFonts w:hint="eastAsia"/>
                <w:szCs w:val="20"/>
              </w:rPr>
              <w:t>-</w:t>
            </w:r>
            <w:r>
              <w:rPr>
                <w:rFonts w:hint="eastAsia"/>
                <w:szCs w:val="20"/>
              </w:rPr>
              <w:t>非上市普通股；5-参与性优先股；6-非参与性优先股；7-存托凭证。其中，普通股、参与性优先股和存托凭证属于股票或股权类产品（股本证券），非参与性优先股为债务类工具（债务证券）。可转债在转换前，统计为债务证券；转换后，统计为股本证券。</w:t>
            </w:r>
          </w:p>
        </w:tc>
      </w:tr>
      <w:tr w:rsidR="00A052DC" w14:paraId="3471DCDA" w14:textId="77777777">
        <w:trPr>
          <w:cantSplit/>
          <w:jc w:val="center"/>
        </w:trPr>
        <w:tc>
          <w:tcPr>
            <w:tcW w:w="1467" w:type="dxa"/>
            <w:shd w:val="clear" w:color="auto" w:fill="auto"/>
          </w:tcPr>
          <w:p w14:paraId="6A4E9CC7" w14:textId="77777777" w:rsidR="00A052DC" w:rsidRDefault="009F0A60">
            <w:pPr>
              <w:pStyle w:val="B"/>
              <w:rPr>
                <w:szCs w:val="20"/>
              </w:rPr>
            </w:pPr>
            <w:r>
              <w:rPr>
                <w:rFonts w:hint="eastAsia"/>
                <w:szCs w:val="20"/>
              </w:rPr>
              <w:t>所投资产品代码（逐支报送使用）</w:t>
            </w:r>
          </w:p>
        </w:tc>
        <w:tc>
          <w:tcPr>
            <w:tcW w:w="7025" w:type="dxa"/>
            <w:shd w:val="clear" w:color="auto" w:fill="auto"/>
            <w:noWrap/>
          </w:tcPr>
          <w:p w14:paraId="64E15B21" w14:textId="77777777" w:rsidR="00A052DC" w:rsidRDefault="009F0A60">
            <w:pPr>
              <w:pStyle w:val="B"/>
              <w:rPr>
                <w:szCs w:val="20"/>
              </w:rPr>
            </w:pPr>
            <w:r>
              <w:rPr>
                <w:rFonts w:hint="eastAsia"/>
                <w:szCs w:val="20"/>
              </w:rPr>
              <w:t>对于选择报送逐支证券信息的，请填写此项。指非居民发行主体所发行产品的代码（带有上市地信息的代码）。如该金融产品有</w:t>
            </w:r>
            <w:r>
              <w:rPr>
                <w:szCs w:val="20"/>
              </w:rPr>
              <w:t>ISIN</w:t>
            </w:r>
            <w:r>
              <w:rPr>
                <w:rFonts w:hint="eastAsia"/>
                <w:szCs w:val="20"/>
              </w:rPr>
              <w:t>码，应优先填写</w:t>
            </w:r>
            <w:r>
              <w:rPr>
                <w:szCs w:val="20"/>
              </w:rPr>
              <w:t>ISIN</w:t>
            </w:r>
            <w:r>
              <w:rPr>
                <w:rFonts w:hint="eastAsia"/>
                <w:szCs w:val="20"/>
              </w:rPr>
              <w:t>码。如无</w:t>
            </w:r>
            <w:r>
              <w:rPr>
                <w:szCs w:val="20"/>
              </w:rPr>
              <w:t>ISIN</w:t>
            </w:r>
            <w:r>
              <w:rPr>
                <w:rFonts w:hint="eastAsia"/>
                <w:szCs w:val="20"/>
              </w:rPr>
              <w:t>码，应填写该金融产品市场唯一通用代码。</w:t>
            </w:r>
          </w:p>
        </w:tc>
      </w:tr>
      <w:tr w:rsidR="00A052DC" w14:paraId="75249736" w14:textId="77777777">
        <w:trPr>
          <w:cantSplit/>
          <w:jc w:val="center"/>
        </w:trPr>
        <w:tc>
          <w:tcPr>
            <w:tcW w:w="1467" w:type="dxa"/>
            <w:shd w:val="clear" w:color="auto" w:fill="auto"/>
          </w:tcPr>
          <w:p w14:paraId="0F326533" w14:textId="77777777" w:rsidR="00A052DC" w:rsidRDefault="009F0A60">
            <w:pPr>
              <w:pStyle w:val="B"/>
              <w:rPr>
                <w:szCs w:val="20"/>
              </w:rPr>
            </w:pPr>
            <w:r>
              <w:rPr>
                <w:rFonts w:hint="eastAsia"/>
                <w:szCs w:val="20"/>
              </w:rPr>
              <w:t>非居民发行主体名称（逐支报送使用）</w:t>
            </w:r>
          </w:p>
        </w:tc>
        <w:tc>
          <w:tcPr>
            <w:tcW w:w="7025" w:type="dxa"/>
            <w:shd w:val="clear" w:color="auto" w:fill="auto"/>
            <w:noWrap/>
          </w:tcPr>
          <w:p w14:paraId="1B610C61" w14:textId="77777777" w:rsidR="00A052DC" w:rsidRDefault="009F0A60">
            <w:pPr>
              <w:pStyle w:val="B"/>
              <w:rPr>
                <w:szCs w:val="20"/>
              </w:rPr>
            </w:pPr>
            <w:r>
              <w:rPr>
                <w:rFonts w:hint="eastAsia"/>
                <w:szCs w:val="20"/>
              </w:rPr>
              <w:t>对于选择报送逐支证券信息的，请填写此项。指发行相关金融产品的非居民机构（或产品）的英文或中文全称。</w:t>
            </w:r>
          </w:p>
        </w:tc>
      </w:tr>
      <w:tr w:rsidR="00A052DC" w14:paraId="6817AADC" w14:textId="77777777">
        <w:trPr>
          <w:cantSplit/>
          <w:jc w:val="center"/>
        </w:trPr>
        <w:tc>
          <w:tcPr>
            <w:tcW w:w="1467" w:type="dxa"/>
            <w:shd w:val="clear" w:color="auto" w:fill="auto"/>
          </w:tcPr>
          <w:p w14:paraId="17C9F8BE" w14:textId="77777777" w:rsidR="00A052DC" w:rsidRDefault="009F0A60">
            <w:pPr>
              <w:pStyle w:val="B"/>
              <w:rPr>
                <w:szCs w:val="20"/>
              </w:rPr>
            </w:pPr>
            <w:r>
              <w:rPr>
                <w:rFonts w:hint="eastAsia"/>
                <w:szCs w:val="20"/>
              </w:rPr>
              <w:t>非居民发行主体所属国家</w:t>
            </w:r>
            <w:r>
              <w:rPr>
                <w:szCs w:val="20"/>
              </w:rPr>
              <w:t>/</w:t>
            </w:r>
            <w:r>
              <w:rPr>
                <w:rFonts w:hint="eastAsia"/>
                <w:szCs w:val="20"/>
              </w:rPr>
              <w:t>地区</w:t>
            </w:r>
          </w:p>
        </w:tc>
        <w:tc>
          <w:tcPr>
            <w:tcW w:w="7025" w:type="dxa"/>
            <w:shd w:val="clear" w:color="auto" w:fill="auto"/>
            <w:noWrap/>
          </w:tcPr>
          <w:p w14:paraId="3A5849E5" w14:textId="77777777" w:rsidR="00A052DC" w:rsidRDefault="009F0A60">
            <w:pPr>
              <w:pStyle w:val="B"/>
              <w:rPr>
                <w:szCs w:val="20"/>
              </w:rPr>
            </w:pPr>
            <w:r>
              <w:rPr>
                <w:rFonts w:hint="eastAsia"/>
                <w:szCs w:val="20"/>
              </w:rPr>
              <w:t>见国家和地区代码表，填报相关非居民机构注册国家</w:t>
            </w:r>
            <w:r>
              <w:rPr>
                <w:szCs w:val="20"/>
              </w:rPr>
              <w:t>/</w:t>
            </w:r>
            <w:r>
              <w:rPr>
                <w:rFonts w:hint="eastAsia"/>
                <w:szCs w:val="20"/>
              </w:rPr>
              <w:t>地区代码。对于无法确定其注册地的，应按非居民机构的经营所在地记录。</w:t>
            </w:r>
          </w:p>
        </w:tc>
      </w:tr>
      <w:tr w:rsidR="00A052DC" w14:paraId="73304DC3" w14:textId="77777777">
        <w:trPr>
          <w:cantSplit/>
          <w:jc w:val="center"/>
        </w:trPr>
        <w:tc>
          <w:tcPr>
            <w:tcW w:w="1467" w:type="dxa"/>
            <w:shd w:val="clear" w:color="auto" w:fill="auto"/>
          </w:tcPr>
          <w:p w14:paraId="6F029D80" w14:textId="77777777" w:rsidR="00A052DC" w:rsidRDefault="009F0A60">
            <w:pPr>
              <w:pStyle w:val="B"/>
              <w:rPr>
                <w:szCs w:val="20"/>
              </w:rPr>
            </w:pPr>
            <w:r>
              <w:rPr>
                <w:rFonts w:hint="eastAsia"/>
                <w:szCs w:val="20"/>
              </w:rPr>
              <w:t>非居民发行主体所属部门</w:t>
            </w:r>
          </w:p>
        </w:tc>
        <w:tc>
          <w:tcPr>
            <w:tcW w:w="7025" w:type="dxa"/>
            <w:shd w:val="clear" w:color="auto" w:fill="auto"/>
            <w:noWrap/>
          </w:tcPr>
          <w:p w14:paraId="526120B3" w14:textId="77777777" w:rsidR="00A052DC" w:rsidRDefault="009F0A60">
            <w:pPr>
              <w:pStyle w:val="B"/>
              <w:rPr>
                <w:szCs w:val="20"/>
              </w:rPr>
            </w:pPr>
            <w:r>
              <w:rPr>
                <w:rFonts w:hint="eastAsia"/>
              </w:rPr>
              <w:t>见投资者（被投资者）部门代码表。请按非居民发行主体的主营业务归类。对于政府支持（机构）类债券，应按发行主体本身所属部门归类。</w:t>
            </w:r>
          </w:p>
        </w:tc>
      </w:tr>
      <w:tr w:rsidR="00A052DC" w14:paraId="3CBFAE1C" w14:textId="77777777">
        <w:trPr>
          <w:cantSplit/>
          <w:jc w:val="center"/>
        </w:trPr>
        <w:tc>
          <w:tcPr>
            <w:tcW w:w="1467" w:type="dxa"/>
            <w:shd w:val="clear" w:color="auto" w:fill="auto"/>
          </w:tcPr>
          <w:p w14:paraId="1F2430C5" w14:textId="77777777" w:rsidR="00A052DC" w:rsidRDefault="009F0A60">
            <w:pPr>
              <w:pStyle w:val="B"/>
              <w:rPr>
                <w:szCs w:val="20"/>
              </w:rPr>
            </w:pPr>
            <w:r>
              <w:rPr>
                <w:rFonts w:hint="eastAsia"/>
                <w:szCs w:val="20"/>
              </w:rPr>
              <w:t>债务证券原始期限</w:t>
            </w:r>
          </w:p>
        </w:tc>
        <w:tc>
          <w:tcPr>
            <w:tcW w:w="7025" w:type="dxa"/>
            <w:shd w:val="clear" w:color="auto" w:fill="auto"/>
            <w:noWrap/>
          </w:tcPr>
          <w:p w14:paraId="4A6FC404" w14:textId="77777777" w:rsidR="00A052DC" w:rsidRDefault="009F0A60">
            <w:pPr>
              <w:pStyle w:val="B"/>
              <w:rPr>
                <w:szCs w:val="20"/>
              </w:rPr>
            </w:pPr>
            <w:r>
              <w:rPr>
                <w:rFonts w:hint="eastAsia"/>
                <w:szCs w:val="20"/>
              </w:rPr>
              <w:t>指非居民发行主体相关债务证券从初始发行至到期的期限。请按以下两种情况填列：</w:t>
            </w:r>
            <w:r>
              <w:rPr>
                <w:szCs w:val="20"/>
              </w:rPr>
              <w:t>1-</w:t>
            </w:r>
            <w:r>
              <w:rPr>
                <w:rFonts w:hint="eastAsia"/>
                <w:szCs w:val="20"/>
              </w:rPr>
              <w:t>一年及以下；</w:t>
            </w:r>
            <w:r>
              <w:rPr>
                <w:szCs w:val="20"/>
              </w:rPr>
              <w:t>2-</w:t>
            </w:r>
            <w:r>
              <w:rPr>
                <w:rFonts w:hint="eastAsia"/>
                <w:szCs w:val="20"/>
              </w:rPr>
              <w:t>一年以上，含永久性债券。本项仅限债务证券使用，非债务性工具不填报此项。</w:t>
            </w:r>
          </w:p>
        </w:tc>
      </w:tr>
      <w:tr w:rsidR="00A052DC" w14:paraId="538F9A84" w14:textId="77777777">
        <w:trPr>
          <w:cantSplit/>
          <w:jc w:val="center"/>
        </w:trPr>
        <w:tc>
          <w:tcPr>
            <w:tcW w:w="1467" w:type="dxa"/>
            <w:shd w:val="clear" w:color="auto" w:fill="auto"/>
          </w:tcPr>
          <w:p w14:paraId="20874E27" w14:textId="77777777" w:rsidR="00A052DC" w:rsidRDefault="009F0A60">
            <w:pPr>
              <w:pStyle w:val="B"/>
              <w:rPr>
                <w:szCs w:val="20"/>
              </w:rPr>
            </w:pPr>
            <w:r>
              <w:rPr>
                <w:rFonts w:hint="eastAsia"/>
                <w:szCs w:val="20"/>
              </w:rPr>
              <w:t>原始币种</w:t>
            </w:r>
          </w:p>
        </w:tc>
        <w:tc>
          <w:tcPr>
            <w:tcW w:w="7025" w:type="dxa"/>
            <w:shd w:val="clear" w:color="auto" w:fill="auto"/>
            <w:noWrap/>
          </w:tcPr>
          <w:p w14:paraId="01CDE9D1" w14:textId="77777777" w:rsidR="00A052DC" w:rsidRDefault="009F0A60">
            <w:pPr>
              <w:pStyle w:val="B"/>
              <w:rPr>
                <w:szCs w:val="20"/>
              </w:rPr>
            </w:pPr>
            <w:r>
              <w:rPr>
                <w:rFonts w:hint="eastAsia"/>
                <w:szCs w:val="20"/>
              </w:rPr>
              <w:t>见币种代码表，指非居民发行主体在境内发行产品的计价币种。</w:t>
            </w:r>
          </w:p>
        </w:tc>
      </w:tr>
      <w:tr w:rsidR="00A052DC" w14:paraId="444114EC" w14:textId="77777777">
        <w:trPr>
          <w:cantSplit/>
          <w:jc w:val="center"/>
        </w:trPr>
        <w:tc>
          <w:tcPr>
            <w:tcW w:w="1467" w:type="dxa"/>
            <w:shd w:val="clear" w:color="auto" w:fill="auto"/>
          </w:tcPr>
          <w:p w14:paraId="47279E82" w14:textId="77777777" w:rsidR="00A052DC" w:rsidRDefault="009F0A60">
            <w:pPr>
              <w:pStyle w:val="B"/>
              <w:rPr>
                <w:szCs w:val="20"/>
              </w:rPr>
            </w:pPr>
            <w:r>
              <w:rPr>
                <w:rFonts w:hint="eastAsia"/>
                <w:szCs w:val="20"/>
              </w:rPr>
              <w:t>上月末市值</w:t>
            </w:r>
          </w:p>
        </w:tc>
        <w:tc>
          <w:tcPr>
            <w:tcW w:w="7025" w:type="dxa"/>
            <w:shd w:val="clear" w:color="auto" w:fill="auto"/>
            <w:noWrap/>
          </w:tcPr>
          <w:p w14:paraId="55F8C8ED" w14:textId="77777777" w:rsidR="00A052DC" w:rsidRDefault="009F0A60">
            <w:pPr>
              <w:pStyle w:val="B"/>
              <w:rPr>
                <w:szCs w:val="20"/>
              </w:rPr>
            </w:pPr>
            <w:r>
              <w:rPr>
                <w:rFonts w:hint="eastAsia"/>
                <w:szCs w:val="20"/>
              </w:rPr>
              <w:t>指非居民发行主体上月末发行在外相关金融产品的市值。按上月末最后一个交易日收盘价计算（债券类工具应按全价计值）。</w:t>
            </w:r>
          </w:p>
        </w:tc>
      </w:tr>
      <w:tr w:rsidR="00A052DC" w14:paraId="308481D8" w14:textId="77777777">
        <w:trPr>
          <w:cantSplit/>
          <w:jc w:val="center"/>
        </w:trPr>
        <w:tc>
          <w:tcPr>
            <w:tcW w:w="1467" w:type="dxa"/>
            <w:shd w:val="clear" w:color="auto" w:fill="auto"/>
          </w:tcPr>
          <w:p w14:paraId="0FCC7FFF" w14:textId="77777777" w:rsidR="00A052DC" w:rsidRDefault="009F0A60">
            <w:pPr>
              <w:pStyle w:val="B"/>
              <w:rPr>
                <w:szCs w:val="20"/>
              </w:rPr>
            </w:pPr>
            <w:r>
              <w:rPr>
                <w:rFonts w:hint="eastAsia"/>
                <w:szCs w:val="20"/>
              </w:rPr>
              <w:t>本月买入（申购）金额</w:t>
            </w:r>
          </w:p>
        </w:tc>
        <w:tc>
          <w:tcPr>
            <w:tcW w:w="7025" w:type="dxa"/>
            <w:shd w:val="clear" w:color="auto" w:fill="auto"/>
            <w:noWrap/>
          </w:tcPr>
          <w:p w14:paraId="33572072" w14:textId="77777777" w:rsidR="00A052DC" w:rsidRDefault="009F0A60">
            <w:pPr>
              <w:pStyle w:val="B"/>
              <w:rPr>
                <w:szCs w:val="20"/>
              </w:rPr>
            </w:pPr>
            <w:r>
              <w:rPr>
                <w:rFonts w:hint="eastAsia"/>
              </w:rPr>
              <w:t>指本月内，投资者买入（申购）非居民相关产品所支付的成本（债券类工具应按全价计值）。此外，投资者以过户、继承、法院裁定、大宗交易（协议定价交易）等方式发生相关产品所有权转移，但资金未经清算或结算机构集中清算的，视同证券买卖处理。其中，获得非居民相关产品所有权的一方为买入者（填入本项），转出相关产品所有权的一方为卖出者（填入</w:t>
            </w:r>
            <w:r>
              <w:t>B0312</w:t>
            </w:r>
            <w:r>
              <w:rPr>
                <w:rFonts w:hint="eastAsia"/>
              </w:rPr>
              <w:t>项）。非居民发行的股票因股票分割出现的新股票，不纳入本项统计。与发行新股获得融资不同，股票分割不发生新的融资。</w:t>
            </w:r>
          </w:p>
        </w:tc>
      </w:tr>
      <w:tr w:rsidR="00A052DC" w14:paraId="28E5BB94" w14:textId="77777777">
        <w:trPr>
          <w:cantSplit/>
          <w:jc w:val="center"/>
        </w:trPr>
        <w:tc>
          <w:tcPr>
            <w:tcW w:w="1467" w:type="dxa"/>
            <w:shd w:val="clear" w:color="auto" w:fill="auto"/>
          </w:tcPr>
          <w:p w14:paraId="6675F96F" w14:textId="77777777" w:rsidR="00A052DC" w:rsidRDefault="009F0A60">
            <w:pPr>
              <w:pStyle w:val="B"/>
              <w:rPr>
                <w:szCs w:val="20"/>
              </w:rPr>
            </w:pPr>
            <w:r>
              <w:rPr>
                <w:rFonts w:hint="eastAsia"/>
                <w:szCs w:val="20"/>
              </w:rPr>
              <w:t>本月卖出（赎回）金额</w:t>
            </w:r>
          </w:p>
        </w:tc>
        <w:tc>
          <w:tcPr>
            <w:tcW w:w="7025" w:type="dxa"/>
            <w:shd w:val="clear" w:color="auto" w:fill="auto"/>
            <w:noWrap/>
          </w:tcPr>
          <w:p w14:paraId="56EEF97B" w14:textId="77777777" w:rsidR="00A052DC" w:rsidRDefault="009F0A60">
            <w:pPr>
              <w:pStyle w:val="B"/>
              <w:rPr>
                <w:szCs w:val="20"/>
              </w:rPr>
            </w:pPr>
            <w:r>
              <w:rPr>
                <w:rFonts w:hint="eastAsia"/>
              </w:rPr>
              <w:t>指本月内，投资者卖出（赎回或持有到期）非居民相关产品所获得的金额（债券类工具应按全价计值）。此外，投资者以过户、继承、法院裁定、大宗交易（协议定价交易）等方式发生相关产品所有权转移，但资金未经清算</w:t>
            </w:r>
            <w:r>
              <w:rPr>
                <w:rFonts w:hint="eastAsia"/>
                <w:szCs w:val="20"/>
              </w:rPr>
              <w:t>或</w:t>
            </w:r>
            <w:r>
              <w:rPr>
                <w:rFonts w:hint="eastAsia"/>
              </w:rPr>
              <w:t>结算机构集中清算的，视同</w:t>
            </w:r>
            <w:r>
              <w:rPr>
                <w:rFonts w:hint="eastAsia"/>
                <w:szCs w:val="20"/>
              </w:rPr>
              <w:t>证券</w:t>
            </w:r>
            <w:r>
              <w:rPr>
                <w:rFonts w:hint="eastAsia"/>
              </w:rPr>
              <w:t>买卖处理。其中，居民投资者获得非居民相关产品所有权视为买入（填入</w:t>
            </w:r>
            <w:r>
              <w:rPr>
                <w:szCs w:val="20"/>
              </w:rPr>
              <w:t>B0311项</w:t>
            </w:r>
            <w:r>
              <w:t>），转出相关产品所有权视为卖出（填入本</w:t>
            </w:r>
            <w:r>
              <w:rPr>
                <w:szCs w:val="20"/>
              </w:rPr>
              <w:t>项</w:t>
            </w:r>
            <w:r>
              <w:t>）。</w:t>
            </w:r>
          </w:p>
        </w:tc>
      </w:tr>
      <w:tr w:rsidR="00A052DC" w14:paraId="466C79F2" w14:textId="77777777">
        <w:trPr>
          <w:cantSplit/>
          <w:jc w:val="center"/>
        </w:trPr>
        <w:tc>
          <w:tcPr>
            <w:tcW w:w="1467" w:type="dxa"/>
            <w:shd w:val="clear" w:color="auto" w:fill="auto"/>
          </w:tcPr>
          <w:p w14:paraId="1059D2B8" w14:textId="77777777" w:rsidR="00A052DC" w:rsidRDefault="009F0A60">
            <w:pPr>
              <w:pStyle w:val="B"/>
              <w:rPr>
                <w:szCs w:val="20"/>
              </w:rPr>
            </w:pPr>
            <w:r>
              <w:rPr>
                <w:rFonts w:hint="eastAsia"/>
                <w:szCs w:val="20"/>
              </w:rPr>
              <w:t>本月卖出（赎回）金额</w:t>
            </w:r>
            <w:r>
              <w:rPr>
                <w:rFonts w:hAnsi="宋体" w:hint="eastAsia"/>
                <w:color w:val="000000"/>
              </w:rPr>
              <w:t>其中：债券到期或提前兑付的本息金额</w:t>
            </w:r>
          </w:p>
        </w:tc>
        <w:tc>
          <w:tcPr>
            <w:tcW w:w="7025" w:type="dxa"/>
            <w:shd w:val="clear" w:color="auto" w:fill="auto"/>
            <w:noWrap/>
          </w:tcPr>
          <w:p w14:paraId="60F587ED" w14:textId="77777777" w:rsidR="00A052DC" w:rsidRDefault="009F0A60">
            <w:pPr>
              <w:pStyle w:val="B"/>
            </w:pPr>
            <w:r>
              <w:rPr>
                <w:rFonts w:hint="eastAsia"/>
                <w:szCs w:val="20"/>
              </w:rPr>
              <w:t>指本月内，债券发行人在到期日或到期日之前部分或全部偿还的本金和利息。本项仅限债务证券使用，非债务性工具不填报此项。</w:t>
            </w:r>
          </w:p>
        </w:tc>
      </w:tr>
      <w:tr w:rsidR="00A052DC" w14:paraId="12C1E652" w14:textId="77777777">
        <w:trPr>
          <w:cantSplit/>
          <w:jc w:val="center"/>
        </w:trPr>
        <w:tc>
          <w:tcPr>
            <w:tcW w:w="1467" w:type="dxa"/>
            <w:shd w:val="clear" w:color="auto" w:fill="auto"/>
          </w:tcPr>
          <w:p w14:paraId="4A8F1381" w14:textId="77777777" w:rsidR="00A052DC" w:rsidRDefault="009F0A60">
            <w:pPr>
              <w:pStyle w:val="B"/>
              <w:rPr>
                <w:szCs w:val="20"/>
              </w:rPr>
            </w:pPr>
            <w:r>
              <w:rPr>
                <w:rFonts w:hint="eastAsia"/>
              </w:rPr>
              <w:t>本月非交易变动</w:t>
            </w:r>
          </w:p>
        </w:tc>
        <w:tc>
          <w:tcPr>
            <w:tcW w:w="7025" w:type="dxa"/>
            <w:shd w:val="clear" w:color="auto" w:fill="auto"/>
            <w:noWrap/>
          </w:tcPr>
          <w:p w14:paraId="6DEC067D" w14:textId="77777777" w:rsidR="00A052DC" w:rsidRDefault="009F0A60">
            <w:pPr>
              <w:pStyle w:val="B"/>
              <w:rPr>
                <w:szCs w:val="20"/>
              </w:rPr>
            </w:pPr>
            <w:r>
              <w:rPr>
                <w:rFonts w:hint="eastAsia"/>
              </w:rPr>
              <w:t>反映</w:t>
            </w:r>
            <w:r>
              <w:rPr>
                <w:rFonts w:ascii="宋体" w:hAnsi="宋体" w:hint="eastAsia"/>
                <w:color w:val="000000"/>
              </w:rPr>
              <w:t>统计期间除投资产品买卖因素以外的非交易因素引起的价值变动。</w:t>
            </w:r>
            <w:r>
              <w:rPr>
                <w:rFonts w:hint="eastAsia"/>
              </w:rPr>
              <w:t>计算方法为：本月非交易变动</w:t>
            </w:r>
            <w:r>
              <w:t>=</w:t>
            </w:r>
            <w:r>
              <w:rPr>
                <w:rFonts w:hint="eastAsia"/>
              </w:rPr>
              <w:t>本月末市值</w:t>
            </w:r>
            <w:r>
              <w:t>-</w:t>
            </w:r>
            <w:r>
              <w:rPr>
                <w:rFonts w:hint="eastAsia"/>
              </w:rPr>
              <w:t>上月末市值</w:t>
            </w:r>
            <w:r>
              <w:t>-</w:t>
            </w:r>
            <w:r>
              <w:rPr>
                <w:rFonts w:hint="eastAsia"/>
              </w:rPr>
              <w:t>（本月买入（申购）金额</w:t>
            </w:r>
            <w:r>
              <w:t>-</w:t>
            </w:r>
            <w:r>
              <w:rPr>
                <w:rFonts w:hint="eastAsia"/>
              </w:rPr>
              <w:t>本月卖出（赎回）金额）。</w:t>
            </w:r>
          </w:p>
        </w:tc>
      </w:tr>
      <w:tr w:rsidR="00A052DC" w14:paraId="780914A2" w14:textId="77777777">
        <w:trPr>
          <w:cantSplit/>
          <w:jc w:val="center"/>
        </w:trPr>
        <w:tc>
          <w:tcPr>
            <w:tcW w:w="1467" w:type="dxa"/>
          </w:tcPr>
          <w:p w14:paraId="33AD8379" w14:textId="77777777" w:rsidR="00A052DC" w:rsidRDefault="009F0A60">
            <w:pPr>
              <w:pStyle w:val="B"/>
              <w:rPr>
                <w:szCs w:val="20"/>
              </w:rPr>
            </w:pPr>
            <w:r>
              <w:rPr>
                <w:rFonts w:hAnsi="宋体" w:hint="eastAsia"/>
                <w:color w:val="000000"/>
              </w:rPr>
              <w:t>注销、调整或重新分类至其他报表统计的金额</w:t>
            </w:r>
          </w:p>
        </w:tc>
        <w:tc>
          <w:tcPr>
            <w:tcW w:w="7025" w:type="dxa"/>
            <w:shd w:val="clear" w:color="auto" w:fill="auto"/>
            <w:noWrap/>
          </w:tcPr>
          <w:p w14:paraId="22998ED4" w14:textId="77777777" w:rsidR="00A052DC" w:rsidRDefault="009F0A60">
            <w:pPr>
              <w:pStyle w:val="B"/>
              <w:rPr>
                <w:szCs w:val="20"/>
              </w:rPr>
            </w:pPr>
            <w:r>
              <w:rPr>
                <w:rFonts w:hint="eastAsia"/>
              </w:rPr>
              <w:t>指</w:t>
            </w:r>
            <w:r>
              <w:rPr>
                <w:rFonts w:hint="eastAsia"/>
                <w:szCs w:val="20"/>
              </w:rPr>
              <w:t>非买卖（买卖含过户、继承、法院裁定、大宗交易等）因素和非价值重估因素引起的证券资产数量增减和价值变动。包括但不限于相关债权注销，或相关资产从可流通的证券调整为不可流通的证券金额。</w:t>
            </w:r>
            <w:r>
              <w:rPr>
                <w:rFonts w:hint="eastAsia"/>
              </w:rPr>
              <w:t>必须满足：本月非交易变动</w:t>
            </w:r>
            <w:r>
              <w:t>=</w:t>
            </w:r>
            <w:r w:rsidR="00F719F7" w:rsidRPr="00F719F7">
              <w:rPr>
                <w:rFonts w:hint="eastAsia"/>
              </w:rPr>
              <w:t>注销、调整或重新分类至其他报表统计的金额</w:t>
            </w:r>
            <w:r>
              <w:t>+</w:t>
            </w:r>
            <w:r>
              <w:rPr>
                <w:rFonts w:hint="eastAsia"/>
              </w:rPr>
              <w:t>价值重估因素。</w:t>
            </w:r>
          </w:p>
        </w:tc>
      </w:tr>
      <w:tr w:rsidR="00A052DC" w14:paraId="29F8A4B1" w14:textId="77777777">
        <w:trPr>
          <w:cantSplit/>
          <w:jc w:val="center"/>
        </w:trPr>
        <w:tc>
          <w:tcPr>
            <w:tcW w:w="1467" w:type="dxa"/>
          </w:tcPr>
          <w:p w14:paraId="0F697ED8" w14:textId="77777777" w:rsidR="00A052DC" w:rsidRDefault="009F0A60">
            <w:pPr>
              <w:pStyle w:val="B"/>
              <w:rPr>
                <w:szCs w:val="20"/>
              </w:rPr>
            </w:pPr>
            <w:r>
              <w:rPr>
                <w:rFonts w:hint="eastAsia"/>
              </w:rPr>
              <w:t>价值重估因素</w:t>
            </w:r>
          </w:p>
        </w:tc>
        <w:tc>
          <w:tcPr>
            <w:tcW w:w="7025" w:type="dxa"/>
            <w:shd w:val="clear" w:color="auto" w:fill="auto"/>
            <w:noWrap/>
          </w:tcPr>
          <w:p w14:paraId="5D33DED6" w14:textId="77777777" w:rsidR="00A052DC" w:rsidRDefault="009F0A60">
            <w:pPr>
              <w:pStyle w:val="B"/>
              <w:widowControl w:val="0"/>
              <w:rPr>
                <w:szCs w:val="20"/>
              </w:rPr>
            </w:pPr>
            <w:r>
              <w:rPr>
                <w:rFonts w:hint="eastAsia"/>
              </w:rPr>
              <w:t>指剔除买卖因素和</w:t>
            </w:r>
            <w:r w:rsidR="005736AC">
              <w:rPr>
                <w:rFonts w:cs="宋体" w:hint="eastAsia"/>
                <w:color w:val="000000"/>
                <w:szCs w:val="20"/>
              </w:rPr>
              <w:t>注销、调整或重新分类至其他报表统计的金额</w:t>
            </w:r>
            <w:r>
              <w:rPr>
                <w:rFonts w:hint="eastAsia"/>
              </w:rPr>
              <w:t>因素外，本月市场价格或近似参考价格波动带来的相关工具价值增减。必须满足：本月非交易变动</w:t>
            </w:r>
            <w:r>
              <w:t>=</w:t>
            </w:r>
            <w:r w:rsidR="00F719F7" w:rsidRPr="00F719F7">
              <w:rPr>
                <w:rFonts w:hint="eastAsia"/>
              </w:rPr>
              <w:t>注销、调整或重新分类至其他报表统计的金额</w:t>
            </w:r>
            <w:r>
              <w:t>+</w:t>
            </w:r>
            <w:r>
              <w:rPr>
                <w:rFonts w:hint="eastAsia"/>
              </w:rPr>
              <w:t>价值重估因素。</w:t>
            </w:r>
          </w:p>
        </w:tc>
      </w:tr>
      <w:tr w:rsidR="00A052DC" w14:paraId="1C975F38" w14:textId="77777777">
        <w:trPr>
          <w:cantSplit/>
          <w:jc w:val="center"/>
        </w:trPr>
        <w:tc>
          <w:tcPr>
            <w:tcW w:w="1467" w:type="dxa"/>
            <w:shd w:val="clear" w:color="auto" w:fill="auto"/>
          </w:tcPr>
          <w:p w14:paraId="42D2D1D3" w14:textId="77777777" w:rsidR="00A052DC" w:rsidRDefault="009F0A60">
            <w:pPr>
              <w:pStyle w:val="B"/>
              <w:widowControl w:val="0"/>
              <w:rPr>
                <w:szCs w:val="20"/>
              </w:rPr>
            </w:pPr>
            <w:r>
              <w:rPr>
                <w:rFonts w:hint="eastAsia"/>
                <w:szCs w:val="20"/>
              </w:rPr>
              <w:t>本月末市值</w:t>
            </w:r>
          </w:p>
        </w:tc>
        <w:tc>
          <w:tcPr>
            <w:tcW w:w="7025" w:type="dxa"/>
            <w:shd w:val="clear" w:color="auto" w:fill="auto"/>
            <w:noWrap/>
          </w:tcPr>
          <w:p w14:paraId="2CC855FC" w14:textId="77777777" w:rsidR="00A052DC" w:rsidRDefault="009F0A60">
            <w:pPr>
              <w:pStyle w:val="B"/>
              <w:widowControl w:val="0"/>
              <w:rPr>
                <w:szCs w:val="20"/>
              </w:rPr>
            </w:pPr>
            <w:r>
              <w:rPr>
                <w:rFonts w:hint="eastAsia"/>
                <w:szCs w:val="20"/>
              </w:rPr>
              <w:t>指非居民发行主体本月末发行在外相关金融产品的市值。按本月末最后一个交易日收盘价计算（债券类工具应按全价计值）。</w:t>
            </w:r>
          </w:p>
        </w:tc>
      </w:tr>
      <w:tr w:rsidR="00A052DC" w14:paraId="3376B742" w14:textId="77777777">
        <w:trPr>
          <w:cantSplit/>
          <w:jc w:val="center"/>
        </w:trPr>
        <w:tc>
          <w:tcPr>
            <w:tcW w:w="1467" w:type="dxa"/>
          </w:tcPr>
          <w:p w14:paraId="762CA36F" w14:textId="77777777" w:rsidR="00A052DC" w:rsidRDefault="009F0A60">
            <w:pPr>
              <w:pStyle w:val="B"/>
              <w:widowControl w:val="0"/>
              <w:rPr>
                <w:szCs w:val="20"/>
              </w:rPr>
            </w:pPr>
            <w:r>
              <w:rPr>
                <w:rFonts w:hint="eastAsia"/>
              </w:rPr>
              <w:t>本月末市值其中</w:t>
            </w:r>
            <w:r>
              <w:rPr>
                <w:rFonts w:hint="eastAsia"/>
                <w:szCs w:val="20"/>
              </w:rPr>
              <w:t>：</w:t>
            </w:r>
            <w:r>
              <w:rPr>
                <w:rFonts w:hint="eastAsia"/>
              </w:rPr>
              <w:t>剩余期限在一年及以下</w:t>
            </w:r>
          </w:p>
        </w:tc>
        <w:tc>
          <w:tcPr>
            <w:tcW w:w="7025" w:type="dxa"/>
            <w:shd w:val="clear" w:color="auto" w:fill="auto"/>
            <w:noWrap/>
          </w:tcPr>
          <w:p w14:paraId="2986CD17" w14:textId="77777777" w:rsidR="00A052DC" w:rsidRDefault="009F0A60">
            <w:pPr>
              <w:pStyle w:val="B"/>
              <w:widowControl w:val="0"/>
              <w:rPr>
                <w:szCs w:val="20"/>
              </w:rPr>
            </w:pPr>
            <w:r>
              <w:rPr>
                <w:rFonts w:hint="eastAsia"/>
              </w:rPr>
              <w:t>指非居民发行主体发行在外的、自本月末至最终到期在一年及以下的债务类金融产品（如债券）的市值。按本月末最后一个交易日该类债券工具的全价计值。</w:t>
            </w:r>
            <w:r>
              <w:rPr>
                <w:rFonts w:hint="eastAsia"/>
                <w:szCs w:val="20"/>
              </w:rPr>
              <w:t>本项仅限债务证券使用，非债务性工具不填报此项。</w:t>
            </w:r>
          </w:p>
        </w:tc>
      </w:tr>
      <w:tr w:rsidR="00A052DC" w14:paraId="1C51DFF1" w14:textId="77777777">
        <w:trPr>
          <w:cantSplit/>
          <w:jc w:val="center"/>
        </w:trPr>
        <w:tc>
          <w:tcPr>
            <w:tcW w:w="1467" w:type="dxa"/>
            <w:shd w:val="clear" w:color="auto" w:fill="auto"/>
          </w:tcPr>
          <w:p w14:paraId="6C6138E3" w14:textId="77777777" w:rsidR="00A052DC" w:rsidRDefault="009F0A60">
            <w:pPr>
              <w:pStyle w:val="B"/>
              <w:widowControl w:val="0"/>
              <w:rPr>
                <w:szCs w:val="20"/>
              </w:rPr>
            </w:pPr>
            <w:r>
              <w:rPr>
                <w:rFonts w:hint="eastAsia"/>
              </w:rPr>
              <w:t>本月投资者红利或利息收入</w:t>
            </w:r>
          </w:p>
        </w:tc>
        <w:tc>
          <w:tcPr>
            <w:tcW w:w="7025" w:type="dxa"/>
            <w:shd w:val="clear" w:color="auto" w:fill="auto"/>
            <w:noWrap/>
          </w:tcPr>
          <w:p w14:paraId="68D05B77" w14:textId="77777777" w:rsidR="00A052DC" w:rsidRDefault="009F0A60">
            <w:pPr>
              <w:pStyle w:val="B"/>
              <w:widowControl w:val="0"/>
              <w:rPr>
                <w:szCs w:val="20"/>
              </w:rPr>
            </w:pPr>
            <w:r>
              <w:rPr>
                <w:rFonts w:hint="eastAsia"/>
              </w:rPr>
              <w:t>指本月非居民发行主体分配给投资者的红利、股息，以及利息。其中，红利、股息按股票除息日统计。利息按利息分发日统计。相关红利或利息收入应为税前收入。对于股票股息，按照除息日</w:t>
            </w:r>
            <w:r>
              <w:rPr>
                <w:rFonts w:hint="eastAsia"/>
                <w:szCs w:val="20"/>
              </w:rPr>
              <w:t>当日投资者持有的</w:t>
            </w:r>
            <w:r>
              <w:rPr>
                <w:rFonts w:hint="eastAsia"/>
              </w:rPr>
              <w:t>股票份数</w:t>
            </w:r>
            <w:r>
              <w:rPr>
                <w:rFonts w:hint="eastAsia"/>
                <w:szCs w:val="20"/>
              </w:rPr>
              <w:t>乘每股派息金额</w:t>
            </w:r>
            <w:r>
              <w:rPr>
                <w:rFonts w:hint="eastAsia"/>
              </w:rPr>
              <w:t>填报。</w:t>
            </w:r>
          </w:p>
        </w:tc>
      </w:tr>
      <w:tr w:rsidR="00A052DC" w14:paraId="13D79D9B" w14:textId="77777777">
        <w:trPr>
          <w:cantSplit/>
          <w:jc w:val="center"/>
        </w:trPr>
        <w:tc>
          <w:tcPr>
            <w:tcW w:w="1467" w:type="dxa"/>
            <w:shd w:val="clear" w:color="auto" w:fill="auto"/>
          </w:tcPr>
          <w:p w14:paraId="0C08CFC2" w14:textId="77777777" w:rsidR="00A052DC" w:rsidRDefault="009F0A60">
            <w:pPr>
              <w:pStyle w:val="B"/>
              <w:widowControl w:val="0"/>
              <w:rPr>
                <w:szCs w:val="20"/>
              </w:rPr>
            </w:pPr>
            <w:r>
              <w:rPr>
                <w:rFonts w:hint="eastAsia"/>
                <w:szCs w:val="20"/>
              </w:rPr>
              <w:t>本月末未到期</w:t>
            </w:r>
            <w:r>
              <w:rPr>
                <w:szCs w:val="20"/>
              </w:rPr>
              <w:t>/未偿付</w:t>
            </w:r>
            <w:r>
              <w:rPr>
                <w:rFonts w:hint="eastAsia"/>
                <w:szCs w:val="20"/>
              </w:rPr>
              <w:t>债券面值</w:t>
            </w:r>
          </w:p>
        </w:tc>
        <w:tc>
          <w:tcPr>
            <w:tcW w:w="7025" w:type="dxa"/>
            <w:shd w:val="clear" w:color="auto" w:fill="auto"/>
            <w:noWrap/>
          </w:tcPr>
          <w:p w14:paraId="49170996" w14:textId="77777777" w:rsidR="00A052DC" w:rsidRDefault="009F0A60">
            <w:pPr>
              <w:pStyle w:val="B"/>
              <w:widowControl w:val="0"/>
              <w:rPr>
                <w:szCs w:val="20"/>
              </w:rPr>
            </w:pPr>
            <w:r>
              <w:rPr>
                <w:szCs w:val="20"/>
              </w:rPr>
              <w:t>债券面值为</w:t>
            </w:r>
            <w:r>
              <w:rPr>
                <w:rFonts w:hint="eastAsia"/>
                <w:szCs w:val="20"/>
              </w:rPr>
              <w:t>在</w:t>
            </w:r>
            <w:r>
              <w:rPr>
                <w:szCs w:val="20"/>
              </w:rPr>
              <w:t>债券发行人在</w:t>
            </w:r>
            <w:r>
              <w:rPr>
                <w:rFonts w:hint="eastAsia"/>
                <w:szCs w:val="20"/>
              </w:rPr>
              <w:t>债券到期时需向持有人偿还的本金金额，</w:t>
            </w:r>
            <w:r>
              <w:rPr>
                <w:szCs w:val="20"/>
              </w:rPr>
              <w:t>本项应填报为债券</w:t>
            </w:r>
            <w:r>
              <w:rPr>
                <w:rFonts w:hint="eastAsia"/>
                <w:szCs w:val="20"/>
              </w:rPr>
              <w:t>票面金额与</w:t>
            </w:r>
            <w:r>
              <w:rPr>
                <w:szCs w:val="20"/>
              </w:rPr>
              <w:t>本月末投资者</w:t>
            </w:r>
            <w:r>
              <w:rPr>
                <w:rFonts w:hint="eastAsia"/>
                <w:szCs w:val="20"/>
              </w:rPr>
              <w:t>持有</w:t>
            </w:r>
            <w:r>
              <w:rPr>
                <w:szCs w:val="20"/>
              </w:rPr>
              <w:t>债券</w:t>
            </w:r>
            <w:r>
              <w:rPr>
                <w:rFonts w:hint="eastAsia"/>
                <w:szCs w:val="20"/>
              </w:rPr>
              <w:t>数量的乘积。</w:t>
            </w:r>
          </w:p>
        </w:tc>
      </w:tr>
      <w:tr w:rsidR="00A052DC" w14:paraId="423A7DD1" w14:textId="77777777">
        <w:trPr>
          <w:cantSplit/>
          <w:jc w:val="center"/>
        </w:trPr>
        <w:tc>
          <w:tcPr>
            <w:tcW w:w="1467" w:type="dxa"/>
            <w:shd w:val="clear" w:color="auto" w:fill="auto"/>
          </w:tcPr>
          <w:p w14:paraId="51C5FC2E" w14:textId="77777777" w:rsidR="00A052DC" w:rsidRDefault="009F0A60">
            <w:pPr>
              <w:pStyle w:val="B"/>
              <w:widowControl w:val="0"/>
              <w:rPr>
                <w:szCs w:val="20"/>
              </w:rPr>
            </w:pPr>
            <w:r>
              <w:rPr>
                <w:rFonts w:hint="eastAsia"/>
                <w:szCs w:val="20"/>
              </w:rPr>
              <w:t>备注</w:t>
            </w:r>
          </w:p>
        </w:tc>
        <w:tc>
          <w:tcPr>
            <w:tcW w:w="7025" w:type="dxa"/>
            <w:shd w:val="clear" w:color="auto" w:fill="auto"/>
            <w:noWrap/>
          </w:tcPr>
          <w:p w14:paraId="33684562" w14:textId="77777777" w:rsidR="00A052DC" w:rsidRDefault="009F0A60">
            <w:pPr>
              <w:pStyle w:val="B"/>
              <w:widowControl w:val="0"/>
              <w:rPr>
                <w:szCs w:val="20"/>
              </w:rPr>
            </w:pPr>
            <w:r>
              <w:rPr>
                <w:rFonts w:hint="eastAsia"/>
                <w:szCs w:val="20"/>
              </w:rPr>
              <w:t>需要说明的备注事项。</w:t>
            </w:r>
          </w:p>
        </w:tc>
      </w:tr>
    </w:tbl>
    <w:p w14:paraId="58F9A420" w14:textId="77777777" w:rsidR="00A052DC" w:rsidRDefault="00A052DC"/>
    <w:p w14:paraId="7C1A3A5C" w14:textId="77777777" w:rsidR="00A052DC" w:rsidRDefault="009F0A60" w:rsidP="0020251D">
      <w:pPr>
        <w:pStyle w:val="4"/>
        <w:numPr>
          <w:ilvl w:val="3"/>
          <w:numId w:val="1"/>
        </w:numPr>
        <w:jc w:val="left"/>
      </w:pPr>
      <w:bookmarkStart w:id="3075" w:name="_Toc454391267"/>
      <w:bookmarkStart w:id="3076" w:name="_Toc380570933"/>
      <w:bookmarkStart w:id="3077" w:name="_Toc454391268"/>
      <w:bookmarkEnd w:id="3075"/>
      <w:r>
        <w:rPr>
          <w:rFonts w:hint="eastAsia"/>
        </w:rPr>
        <w:t>数据格式</w:t>
      </w:r>
      <w:bookmarkEnd w:id="3076"/>
      <w:bookmarkEnd w:id="3077"/>
    </w:p>
    <w:p w14:paraId="153DDA5A" w14:textId="77777777" w:rsidR="00A052DC" w:rsidRDefault="009F0A60">
      <w:pPr>
        <w:ind w:firstLine="426"/>
      </w:pPr>
      <w:r>
        <w:t>&lt;REC&gt;</w:t>
      </w:r>
    </w:p>
    <w:p w14:paraId="00EE7D26" w14:textId="77777777" w:rsidR="00A052DC" w:rsidRDefault="009F0A60">
      <w:pPr>
        <w:ind w:firstLine="426"/>
      </w:pPr>
      <w:r>
        <w:t>&lt;ACTIONTYPE&gt;</w:t>
      </w:r>
      <w:r>
        <w:rPr>
          <w:rFonts w:hAnsi="宋体"/>
        </w:rPr>
        <w:t>操作类型</w:t>
      </w:r>
      <w:r>
        <w:t>&lt;/ACTIONTYPE&gt;</w:t>
      </w:r>
    </w:p>
    <w:p w14:paraId="5843D519" w14:textId="77777777" w:rsidR="00A052DC" w:rsidRDefault="009F0A60">
      <w:pPr>
        <w:ind w:firstLine="426"/>
      </w:pPr>
      <w:r>
        <w:t>&lt;ACTIONDESC&gt;</w:t>
      </w:r>
      <w:r>
        <w:rPr>
          <w:rFonts w:hAnsi="宋体"/>
        </w:rPr>
        <w:t>删除原因</w:t>
      </w:r>
      <w:r>
        <w:t>&lt;/ACTIONDESC&gt;</w:t>
      </w:r>
    </w:p>
    <w:p w14:paraId="3D530610" w14:textId="77777777" w:rsidR="00A052DC" w:rsidRDefault="009F0A60">
      <w:pPr>
        <w:ind w:firstLine="426"/>
      </w:pPr>
      <w:r>
        <w:t>&lt;SNOCODE&gt;</w:t>
      </w:r>
      <w:r>
        <w:rPr>
          <w:rFonts w:hAnsi="宋体"/>
        </w:rPr>
        <w:t>数据自编码</w:t>
      </w:r>
      <w:r>
        <w:t>&lt;/SNOCODE&gt;</w:t>
      </w:r>
    </w:p>
    <w:p w14:paraId="351C5AEC" w14:textId="77777777" w:rsidR="00A052DC" w:rsidRDefault="009F0A60">
      <w:pPr>
        <w:ind w:firstLine="426"/>
      </w:pPr>
      <w:r>
        <w:t>&lt;OBJCODE&gt;</w:t>
      </w:r>
      <w:r>
        <w:rPr>
          <w:rFonts w:hAnsi="宋体"/>
        </w:rPr>
        <w:t>申报主体代码</w:t>
      </w:r>
      <w:r>
        <w:t>&lt;/OBJCODE&gt;</w:t>
      </w:r>
    </w:p>
    <w:p w14:paraId="1BD8D1AC" w14:textId="77777777" w:rsidR="00A052DC" w:rsidRDefault="009F0A60">
      <w:pPr>
        <w:ind w:firstLine="426"/>
      </w:pPr>
      <w:r>
        <w:t>&lt;BUOCMONTH&gt;</w:t>
      </w:r>
      <w:r>
        <w:rPr>
          <w:rFonts w:hAnsi="宋体"/>
        </w:rPr>
        <w:t>报告期</w:t>
      </w:r>
      <w:r>
        <w:t>&lt;/BUOCMONTH&gt;</w:t>
      </w:r>
    </w:p>
    <w:p w14:paraId="67F08754" w14:textId="77777777" w:rsidR="00A052DC" w:rsidRDefault="009F0A60">
      <w:pPr>
        <w:ind w:firstLineChars="202" w:firstLine="424"/>
      </w:pPr>
      <w:r>
        <w:t>&lt;B0301&gt;</w:t>
      </w:r>
      <w:r>
        <w:rPr>
          <w:rFonts w:hAnsi="宋体"/>
        </w:rPr>
        <w:t>投资者所属国家</w:t>
      </w:r>
      <w:r>
        <w:t>/</w:t>
      </w:r>
      <w:r>
        <w:rPr>
          <w:rFonts w:hAnsi="宋体"/>
        </w:rPr>
        <w:t>地区</w:t>
      </w:r>
      <w:r>
        <w:t>&lt;/B0301&gt;</w:t>
      </w:r>
    </w:p>
    <w:p w14:paraId="1184852C" w14:textId="77777777" w:rsidR="00A052DC" w:rsidRDefault="009F0A60">
      <w:pPr>
        <w:ind w:firstLineChars="202" w:firstLine="424"/>
      </w:pPr>
      <w:r>
        <w:t>&lt;B0302&gt;</w:t>
      </w:r>
      <w:r>
        <w:rPr>
          <w:rFonts w:hAnsi="宋体"/>
        </w:rPr>
        <w:t>投资者所属部门</w:t>
      </w:r>
      <w:r>
        <w:t>&lt;/B0302&gt;</w:t>
      </w:r>
    </w:p>
    <w:p w14:paraId="23F5B2CA" w14:textId="77777777" w:rsidR="00A052DC" w:rsidRDefault="009F0A60">
      <w:pPr>
        <w:ind w:firstLineChars="202" w:firstLine="424"/>
      </w:pPr>
      <w:r>
        <w:t>&lt;B0303&gt;</w:t>
      </w:r>
      <w:r>
        <w:rPr>
          <w:rFonts w:hAnsi="宋体"/>
        </w:rPr>
        <w:t>投资工具类型</w:t>
      </w:r>
      <w:r>
        <w:t>&lt;/B0303&gt;</w:t>
      </w:r>
    </w:p>
    <w:p w14:paraId="23D8C601" w14:textId="77777777" w:rsidR="00A052DC" w:rsidRDefault="009F0A60">
      <w:pPr>
        <w:ind w:firstLineChars="202" w:firstLine="424"/>
      </w:pPr>
      <w:r>
        <w:t>&lt;B0304&gt;</w:t>
      </w:r>
      <w:r>
        <w:rPr>
          <w:rFonts w:hAnsi="宋体"/>
        </w:rPr>
        <w:t>所投资产品代码（逐支报送使用）</w:t>
      </w:r>
      <w:r>
        <w:t>&lt;/B0304&gt;</w:t>
      </w:r>
    </w:p>
    <w:p w14:paraId="4E30C6F0" w14:textId="77777777" w:rsidR="00A052DC" w:rsidRDefault="009F0A60">
      <w:pPr>
        <w:ind w:firstLineChars="202" w:firstLine="424"/>
      </w:pPr>
      <w:r>
        <w:t>&lt;B0305&gt;</w:t>
      </w:r>
      <w:r>
        <w:rPr>
          <w:rFonts w:hAnsi="宋体"/>
        </w:rPr>
        <w:t>非居民发行主体名称（逐支报送使用）</w:t>
      </w:r>
      <w:r>
        <w:t>&lt;/B0305&gt;</w:t>
      </w:r>
    </w:p>
    <w:p w14:paraId="404CD654" w14:textId="77777777" w:rsidR="00A052DC" w:rsidRDefault="009F0A60">
      <w:pPr>
        <w:ind w:firstLineChars="202" w:firstLine="424"/>
      </w:pPr>
      <w:r>
        <w:t>&lt;B0306&gt;</w:t>
      </w:r>
      <w:r>
        <w:rPr>
          <w:rFonts w:hAnsi="宋体"/>
        </w:rPr>
        <w:t>非居民发行主体所属国家</w:t>
      </w:r>
      <w:r>
        <w:t>/</w:t>
      </w:r>
      <w:r>
        <w:rPr>
          <w:rFonts w:hAnsi="宋体"/>
        </w:rPr>
        <w:t>地区</w:t>
      </w:r>
      <w:r>
        <w:t>&lt;/B0306&gt;</w:t>
      </w:r>
    </w:p>
    <w:p w14:paraId="5EC738FE" w14:textId="77777777" w:rsidR="00A052DC" w:rsidRDefault="009F0A60">
      <w:pPr>
        <w:ind w:firstLineChars="202" w:firstLine="424"/>
      </w:pPr>
      <w:r>
        <w:t>&lt;B0307&gt;</w:t>
      </w:r>
      <w:r>
        <w:rPr>
          <w:rFonts w:hAnsi="宋体"/>
        </w:rPr>
        <w:t>非居民发行主体所属部门</w:t>
      </w:r>
      <w:r>
        <w:t>&lt;/B0307&gt;</w:t>
      </w:r>
    </w:p>
    <w:p w14:paraId="1BE2585E" w14:textId="77777777" w:rsidR="00A052DC" w:rsidRDefault="009F0A60">
      <w:pPr>
        <w:ind w:firstLineChars="202" w:firstLine="424"/>
      </w:pPr>
      <w:r>
        <w:t>&lt;B0308&gt;</w:t>
      </w:r>
      <w:r>
        <w:rPr>
          <w:rFonts w:hAnsi="宋体"/>
        </w:rPr>
        <w:t>债务证券原始期限</w:t>
      </w:r>
      <w:r>
        <w:t>&lt;/B0308&gt;</w:t>
      </w:r>
    </w:p>
    <w:p w14:paraId="5564DDCC" w14:textId="77777777" w:rsidR="00A052DC" w:rsidRDefault="009F0A60">
      <w:pPr>
        <w:ind w:firstLineChars="202" w:firstLine="424"/>
      </w:pPr>
      <w:r>
        <w:t>&lt;B0309&gt;</w:t>
      </w:r>
      <w:r>
        <w:rPr>
          <w:rFonts w:hAnsi="宋体"/>
        </w:rPr>
        <w:t>原始币种</w:t>
      </w:r>
      <w:r>
        <w:t>&lt;/B0309&gt;</w:t>
      </w:r>
    </w:p>
    <w:p w14:paraId="199DB82C" w14:textId="77777777" w:rsidR="00A052DC" w:rsidRDefault="009F0A60">
      <w:pPr>
        <w:ind w:firstLineChars="202" w:firstLine="424"/>
      </w:pPr>
      <w:r>
        <w:t>&lt;B0310&gt;</w:t>
      </w:r>
      <w:r>
        <w:rPr>
          <w:rFonts w:hAnsi="宋体"/>
        </w:rPr>
        <w:t>上月末市值</w:t>
      </w:r>
      <w:r>
        <w:t>&lt;/B0310&gt;</w:t>
      </w:r>
    </w:p>
    <w:p w14:paraId="52AF3A63" w14:textId="77777777" w:rsidR="00A052DC" w:rsidRDefault="009F0A60">
      <w:pPr>
        <w:ind w:firstLineChars="202" w:firstLine="424"/>
      </w:pPr>
      <w:r>
        <w:t>&lt;B0311&gt;</w:t>
      </w:r>
      <w:r>
        <w:rPr>
          <w:rFonts w:hAnsi="宋体"/>
        </w:rPr>
        <w:t>本月买入（申购）金额</w:t>
      </w:r>
      <w:r>
        <w:t>&lt;/B0311&gt;</w:t>
      </w:r>
    </w:p>
    <w:p w14:paraId="275FCFF8" w14:textId="77777777" w:rsidR="00A052DC" w:rsidRDefault="009F0A60">
      <w:pPr>
        <w:ind w:firstLineChars="202" w:firstLine="424"/>
      </w:pPr>
      <w:r>
        <w:t>&lt;B0312&gt;</w:t>
      </w:r>
      <w:r>
        <w:rPr>
          <w:rFonts w:hAnsi="宋体"/>
        </w:rPr>
        <w:t>本月卖出（赎回）金额</w:t>
      </w:r>
      <w:r>
        <w:t>&lt;/B0312&gt;</w:t>
      </w:r>
    </w:p>
    <w:p w14:paraId="21BA1511" w14:textId="77777777" w:rsidR="00A052DC" w:rsidRDefault="009F0A60">
      <w:pPr>
        <w:ind w:firstLineChars="202" w:firstLine="424"/>
      </w:pPr>
      <w:r>
        <w:t>&lt;B0312AMT&gt;</w:t>
      </w:r>
      <w:r>
        <w:rPr>
          <w:rFonts w:hint="eastAsia"/>
        </w:rPr>
        <w:t>本月卖出（赎回）金额其中：债券到期或提前兑付的本息金额</w:t>
      </w:r>
      <w:r>
        <w:t>&lt;/B0312AMT&gt;</w:t>
      </w:r>
    </w:p>
    <w:p w14:paraId="7AC6FAF3" w14:textId="77777777" w:rsidR="00A052DC" w:rsidRDefault="009F0A60">
      <w:pPr>
        <w:ind w:firstLineChars="202" w:firstLine="424"/>
      </w:pPr>
      <w:r>
        <w:t>&lt;B0313&gt;</w:t>
      </w:r>
      <w:r>
        <w:rPr>
          <w:rFonts w:hAnsi="宋体"/>
        </w:rPr>
        <w:t>本月非交易变动</w:t>
      </w:r>
      <w:r>
        <w:t>&lt;/B0313&gt;</w:t>
      </w:r>
    </w:p>
    <w:p w14:paraId="3E962AF2" w14:textId="77777777" w:rsidR="00A052DC" w:rsidRDefault="009F0A60">
      <w:pPr>
        <w:ind w:firstLineChars="202" w:firstLine="424"/>
      </w:pPr>
      <w:r>
        <w:rPr>
          <w:rFonts w:hint="eastAsia"/>
        </w:rPr>
        <w:t>&lt;B0314&gt;</w:t>
      </w:r>
      <w:r>
        <w:rPr>
          <w:rFonts w:hint="eastAsia"/>
        </w:rPr>
        <w:t>注销、调整或重新分类至其他报表统计的金额</w:t>
      </w:r>
      <w:r>
        <w:rPr>
          <w:rFonts w:hint="eastAsia"/>
        </w:rPr>
        <w:t>&lt;/B0314&gt;</w:t>
      </w:r>
    </w:p>
    <w:p w14:paraId="21FA6AB2" w14:textId="77777777" w:rsidR="00A052DC" w:rsidRDefault="009F0A60">
      <w:pPr>
        <w:ind w:firstLineChars="202" w:firstLine="424"/>
      </w:pPr>
      <w:r>
        <w:rPr>
          <w:rFonts w:hint="eastAsia"/>
        </w:rPr>
        <w:t>&lt;B0315&gt;</w:t>
      </w:r>
      <w:r>
        <w:rPr>
          <w:rFonts w:hint="eastAsia"/>
        </w:rPr>
        <w:t>价值重估因素</w:t>
      </w:r>
      <w:r>
        <w:rPr>
          <w:rFonts w:hint="eastAsia"/>
        </w:rPr>
        <w:t>&lt;/B0315&gt;</w:t>
      </w:r>
    </w:p>
    <w:p w14:paraId="1EDBEDE8" w14:textId="77777777" w:rsidR="00A052DC" w:rsidRDefault="009F0A60">
      <w:pPr>
        <w:ind w:firstLineChars="202" w:firstLine="424"/>
      </w:pPr>
      <w:r>
        <w:t>&lt;B0316&gt;</w:t>
      </w:r>
      <w:r>
        <w:rPr>
          <w:rFonts w:hAnsi="宋体"/>
        </w:rPr>
        <w:t>本月末市值</w:t>
      </w:r>
      <w:r>
        <w:t>&lt;/B0316&gt;</w:t>
      </w:r>
    </w:p>
    <w:p w14:paraId="76429C71" w14:textId="77777777" w:rsidR="00A052DC" w:rsidRDefault="009F0A60">
      <w:pPr>
        <w:ind w:firstLineChars="202" w:firstLine="424"/>
      </w:pPr>
      <w:r>
        <w:t>&lt;B0317&gt;</w:t>
      </w:r>
      <w:r>
        <w:rPr>
          <w:rFonts w:hAnsi="宋体"/>
        </w:rPr>
        <w:t>本月末市值其中</w:t>
      </w:r>
      <w:r>
        <w:rPr>
          <w:rFonts w:hAnsi="宋体" w:hint="eastAsia"/>
        </w:rPr>
        <w:t>：</w:t>
      </w:r>
      <w:r>
        <w:rPr>
          <w:rFonts w:hAnsi="宋体"/>
        </w:rPr>
        <w:t>剩余期限在一年及以下</w:t>
      </w:r>
      <w:r>
        <w:t>&lt;/B0317&gt;</w:t>
      </w:r>
    </w:p>
    <w:p w14:paraId="74789FF9" w14:textId="77777777" w:rsidR="00A052DC" w:rsidRDefault="009F0A60">
      <w:pPr>
        <w:ind w:firstLineChars="202" w:firstLine="424"/>
      </w:pPr>
      <w:r>
        <w:t>&lt;B0318&gt;</w:t>
      </w:r>
      <w:r>
        <w:rPr>
          <w:rFonts w:hAnsi="宋体"/>
        </w:rPr>
        <w:t>本月投资者红利或利息收入</w:t>
      </w:r>
      <w:r>
        <w:t>&lt;/B0318&gt;</w:t>
      </w:r>
    </w:p>
    <w:p w14:paraId="529DF649" w14:textId="77777777" w:rsidR="00A052DC" w:rsidRDefault="009F0A60">
      <w:pPr>
        <w:ind w:firstLineChars="202" w:firstLine="424"/>
      </w:pPr>
      <w:r>
        <w:t>&lt;B0319&gt;</w:t>
      </w:r>
      <w:r>
        <w:rPr>
          <w:rFonts w:hint="eastAsia"/>
        </w:rPr>
        <w:t>本月末未到期</w:t>
      </w:r>
      <w:r>
        <w:t>/</w:t>
      </w:r>
      <w:r>
        <w:rPr>
          <w:rFonts w:hint="eastAsia"/>
        </w:rPr>
        <w:t>未偿付债债券面值</w:t>
      </w:r>
      <w:r>
        <w:t>&lt;/B0319&gt;</w:t>
      </w:r>
    </w:p>
    <w:p w14:paraId="10FE3ED7" w14:textId="77777777" w:rsidR="00A052DC" w:rsidRDefault="009F0A60">
      <w:pPr>
        <w:ind w:firstLineChars="202" w:firstLine="424"/>
      </w:pPr>
      <w:r>
        <w:t>&lt;REMARK&gt;</w:t>
      </w:r>
      <w:r>
        <w:rPr>
          <w:rFonts w:hAnsi="宋体"/>
        </w:rPr>
        <w:t>备注</w:t>
      </w:r>
      <w:r>
        <w:t>&lt;/REMARK&gt;</w:t>
      </w:r>
    </w:p>
    <w:p w14:paraId="04BD7C4D" w14:textId="77777777" w:rsidR="00A052DC" w:rsidRDefault="009F0A60">
      <w:pPr>
        <w:ind w:firstLineChars="200" w:firstLine="420"/>
      </w:pPr>
      <w:r>
        <w:t>&lt;/REC&gt;</w:t>
      </w:r>
    </w:p>
    <w:p w14:paraId="7456404E" w14:textId="77777777" w:rsidR="00A052DC" w:rsidRDefault="009F0A60" w:rsidP="0020251D">
      <w:pPr>
        <w:pStyle w:val="4"/>
        <w:numPr>
          <w:ilvl w:val="3"/>
          <w:numId w:val="1"/>
        </w:numPr>
        <w:jc w:val="left"/>
      </w:pPr>
      <w:bookmarkStart w:id="3078" w:name="_Toc454391269"/>
      <w:bookmarkStart w:id="3079" w:name="_Toc454391270"/>
      <w:bookmarkStart w:id="3080" w:name="_Toc380570934"/>
      <w:bookmarkEnd w:id="3078"/>
      <w:r>
        <w:rPr>
          <w:rFonts w:hint="eastAsia"/>
        </w:rPr>
        <w:t>数据字典</w:t>
      </w:r>
      <w:bookmarkEnd w:id="3079"/>
      <w:bookmarkEnd w:id="3080"/>
    </w:p>
    <w:tbl>
      <w:tblPr>
        <w:tblW w:w="8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7"/>
        <w:gridCol w:w="2177"/>
        <w:gridCol w:w="1417"/>
        <w:gridCol w:w="3686"/>
      </w:tblGrid>
      <w:tr w:rsidR="00A052DC" w14:paraId="0D9C85E3" w14:textId="77777777">
        <w:trPr>
          <w:tblHeader/>
          <w:jc w:val="center"/>
        </w:trPr>
        <w:tc>
          <w:tcPr>
            <w:tcW w:w="1347" w:type="dxa"/>
            <w:shd w:val="clear" w:color="auto" w:fill="C0C0C0"/>
            <w:noWrap/>
          </w:tcPr>
          <w:p w14:paraId="2BEDE23A" w14:textId="77777777" w:rsidR="00A052DC" w:rsidRDefault="009F0A60">
            <w:pPr>
              <w:pStyle w:val="B1"/>
            </w:pPr>
            <w:r>
              <w:rPr>
                <w:rFonts w:hint="eastAsia"/>
              </w:rPr>
              <w:t>字段</w:t>
            </w:r>
          </w:p>
        </w:tc>
        <w:tc>
          <w:tcPr>
            <w:tcW w:w="2177" w:type="dxa"/>
            <w:shd w:val="clear" w:color="auto" w:fill="C0C0C0"/>
            <w:noWrap/>
          </w:tcPr>
          <w:p w14:paraId="600CA881" w14:textId="77777777" w:rsidR="00A052DC" w:rsidRDefault="009F0A60">
            <w:pPr>
              <w:pStyle w:val="B1"/>
            </w:pPr>
            <w:r>
              <w:rPr>
                <w:rFonts w:hint="eastAsia"/>
              </w:rPr>
              <w:t>内容</w:t>
            </w:r>
          </w:p>
        </w:tc>
        <w:tc>
          <w:tcPr>
            <w:tcW w:w="1417" w:type="dxa"/>
            <w:shd w:val="clear" w:color="auto" w:fill="C0C0C0"/>
            <w:noWrap/>
          </w:tcPr>
          <w:p w14:paraId="60A94A1B" w14:textId="77777777" w:rsidR="00A052DC" w:rsidRDefault="009F0A60">
            <w:pPr>
              <w:pStyle w:val="B1"/>
            </w:pPr>
            <w:r>
              <w:rPr>
                <w:rFonts w:hint="eastAsia"/>
              </w:rPr>
              <w:t>类型（长度）</w:t>
            </w:r>
          </w:p>
        </w:tc>
        <w:tc>
          <w:tcPr>
            <w:tcW w:w="3686" w:type="dxa"/>
            <w:shd w:val="clear" w:color="auto" w:fill="C0C0C0"/>
          </w:tcPr>
          <w:p w14:paraId="598CE791" w14:textId="77777777" w:rsidR="00A052DC" w:rsidRDefault="009F0A60">
            <w:pPr>
              <w:pStyle w:val="B1"/>
            </w:pPr>
            <w:r>
              <w:rPr>
                <w:rFonts w:hint="eastAsia"/>
              </w:rPr>
              <w:t>校验</w:t>
            </w:r>
          </w:p>
        </w:tc>
      </w:tr>
      <w:tr w:rsidR="00A052DC" w14:paraId="5F110D4B" w14:textId="77777777">
        <w:trPr>
          <w:jc w:val="center"/>
        </w:trPr>
        <w:tc>
          <w:tcPr>
            <w:tcW w:w="1347" w:type="dxa"/>
            <w:shd w:val="clear" w:color="auto" w:fill="auto"/>
            <w:noWrap/>
          </w:tcPr>
          <w:p w14:paraId="48C911A2" w14:textId="77777777" w:rsidR="00A052DC" w:rsidRDefault="009F0A60">
            <w:pPr>
              <w:pStyle w:val="B"/>
              <w:rPr>
                <w:szCs w:val="20"/>
              </w:rPr>
            </w:pPr>
            <w:r>
              <w:rPr>
                <w:szCs w:val="20"/>
              </w:rPr>
              <w:t>ACTIONTYPE</w:t>
            </w:r>
          </w:p>
        </w:tc>
        <w:tc>
          <w:tcPr>
            <w:tcW w:w="2177" w:type="dxa"/>
            <w:shd w:val="clear" w:color="auto" w:fill="auto"/>
          </w:tcPr>
          <w:p w14:paraId="64B64838" w14:textId="77777777" w:rsidR="00A052DC" w:rsidRDefault="009F0A60">
            <w:pPr>
              <w:pStyle w:val="B"/>
              <w:rPr>
                <w:szCs w:val="20"/>
              </w:rPr>
            </w:pPr>
            <w:r>
              <w:rPr>
                <w:rFonts w:hint="eastAsia"/>
                <w:szCs w:val="20"/>
              </w:rPr>
              <w:t>操作类型</w:t>
            </w:r>
          </w:p>
        </w:tc>
        <w:tc>
          <w:tcPr>
            <w:tcW w:w="1417" w:type="dxa"/>
            <w:shd w:val="clear" w:color="auto" w:fill="auto"/>
            <w:noWrap/>
          </w:tcPr>
          <w:p w14:paraId="3FFD7A6A" w14:textId="77777777" w:rsidR="00A052DC" w:rsidRDefault="009F0A60">
            <w:pPr>
              <w:pStyle w:val="B"/>
              <w:rPr>
                <w:szCs w:val="20"/>
              </w:rPr>
            </w:pPr>
            <w:r>
              <w:rPr>
                <w:rFonts w:hint="eastAsia"/>
                <w:szCs w:val="20"/>
              </w:rPr>
              <w:t>字符型，</w:t>
            </w:r>
            <w:r>
              <w:rPr>
                <w:szCs w:val="20"/>
              </w:rPr>
              <w:t>1</w:t>
            </w:r>
          </w:p>
        </w:tc>
        <w:tc>
          <w:tcPr>
            <w:tcW w:w="3686" w:type="dxa"/>
          </w:tcPr>
          <w:p w14:paraId="7A4E07D3" w14:textId="77777777" w:rsidR="00A052DC" w:rsidRDefault="009F0A60">
            <w:pPr>
              <w:pStyle w:val="B"/>
              <w:rPr>
                <w:szCs w:val="20"/>
              </w:rPr>
            </w:pPr>
            <w:r>
              <w:rPr>
                <w:rFonts w:hint="eastAsia"/>
                <w:szCs w:val="20"/>
              </w:rPr>
              <w:t>必填项</w:t>
            </w:r>
            <w:r w:rsidR="00191DE9">
              <w:rPr>
                <w:rFonts w:hint="eastAsia"/>
                <w:szCs w:val="20"/>
              </w:rPr>
              <w:t>。</w:t>
            </w:r>
          </w:p>
          <w:p w14:paraId="1E8F2942" w14:textId="77777777" w:rsidR="00A052DC" w:rsidRDefault="009F0A60">
            <w:pPr>
              <w:pStyle w:val="B"/>
              <w:rPr>
                <w:szCs w:val="20"/>
              </w:rPr>
            </w:pPr>
            <w:r>
              <w:rPr>
                <w:szCs w:val="20"/>
              </w:rPr>
              <w:t>A</w:t>
            </w:r>
            <w:r w:rsidR="00AE4602">
              <w:rPr>
                <w:rFonts w:hint="eastAsia"/>
                <w:szCs w:val="20"/>
              </w:rPr>
              <w:t>-</w:t>
            </w:r>
            <w:r>
              <w:rPr>
                <w:rFonts w:hint="eastAsia"/>
                <w:szCs w:val="20"/>
              </w:rPr>
              <w:t>新建</w:t>
            </w:r>
          </w:p>
          <w:p w14:paraId="752E8956" w14:textId="77777777" w:rsidR="00A052DC" w:rsidRDefault="009F0A60">
            <w:pPr>
              <w:pStyle w:val="B"/>
              <w:rPr>
                <w:szCs w:val="20"/>
              </w:rPr>
            </w:pPr>
            <w:r>
              <w:rPr>
                <w:szCs w:val="20"/>
              </w:rPr>
              <w:t>C</w:t>
            </w:r>
            <w:r w:rsidR="00AE4602">
              <w:rPr>
                <w:rFonts w:hint="eastAsia"/>
                <w:szCs w:val="20"/>
              </w:rPr>
              <w:t>-</w:t>
            </w:r>
            <w:r>
              <w:rPr>
                <w:rFonts w:hint="eastAsia"/>
                <w:szCs w:val="20"/>
              </w:rPr>
              <w:t>修改</w:t>
            </w:r>
          </w:p>
          <w:p w14:paraId="1557A992" w14:textId="77777777" w:rsidR="00A052DC" w:rsidRDefault="009F0A60">
            <w:pPr>
              <w:pStyle w:val="B"/>
              <w:rPr>
                <w:szCs w:val="20"/>
              </w:rPr>
            </w:pPr>
            <w:r>
              <w:rPr>
                <w:szCs w:val="20"/>
              </w:rPr>
              <w:t>D</w:t>
            </w:r>
            <w:r w:rsidR="00AE4602">
              <w:rPr>
                <w:rFonts w:hint="eastAsia"/>
                <w:szCs w:val="20"/>
              </w:rPr>
              <w:t>-</w:t>
            </w:r>
            <w:r>
              <w:rPr>
                <w:rFonts w:hint="eastAsia"/>
                <w:szCs w:val="20"/>
              </w:rPr>
              <w:t>删除</w:t>
            </w:r>
          </w:p>
        </w:tc>
      </w:tr>
      <w:tr w:rsidR="00A052DC" w14:paraId="1C7CE383" w14:textId="77777777">
        <w:trPr>
          <w:jc w:val="center"/>
        </w:trPr>
        <w:tc>
          <w:tcPr>
            <w:tcW w:w="1347" w:type="dxa"/>
            <w:shd w:val="clear" w:color="auto" w:fill="auto"/>
            <w:noWrap/>
          </w:tcPr>
          <w:p w14:paraId="2C37EC7C" w14:textId="77777777" w:rsidR="00A052DC" w:rsidRDefault="009F0A60">
            <w:pPr>
              <w:pStyle w:val="B"/>
              <w:rPr>
                <w:szCs w:val="20"/>
              </w:rPr>
            </w:pPr>
            <w:r>
              <w:rPr>
                <w:szCs w:val="20"/>
              </w:rPr>
              <w:t>ACTIONDESC</w:t>
            </w:r>
          </w:p>
        </w:tc>
        <w:tc>
          <w:tcPr>
            <w:tcW w:w="2177" w:type="dxa"/>
            <w:shd w:val="clear" w:color="auto" w:fill="auto"/>
          </w:tcPr>
          <w:p w14:paraId="78781CA5" w14:textId="77777777" w:rsidR="00A052DC" w:rsidRDefault="009F0A60">
            <w:pPr>
              <w:pStyle w:val="B"/>
              <w:rPr>
                <w:szCs w:val="20"/>
              </w:rPr>
            </w:pPr>
            <w:r>
              <w:rPr>
                <w:rFonts w:hint="eastAsia"/>
                <w:szCs w:val="20"/>
              </w:rPr>
              <w:t>删除原因</w:t>
            </w:r>
          </w:p>
        </w:tc>
        <w:tc>
          <w:tcPr>
            <w:tcW w:w="1417" w:type="dxa"/>
            <w:shd w:val="clear" w:color="auto" w:fill="auto"/>
            <w:noWrap/>
          </w:tcPr>
          <w:p w14:paraId="32EFF0B6" w14:textId="77777777" w:rsidR="00A052DC" w:rsidRDefault="009F0A60">
            <w:pPr>
              <w:pStyle w:val="B"/>
              <w:rPr>
                <w:szCs w:val="20"/>
              </w:rPr>
            </w:pPr>
            <w:r>
              <w:rPr>
                <w:rFonts w:hint="eastAsia"/>
                <w:szCs w:val="20"/>
              </w:rPr>
              <w:t>字符型，</w:t>
            </w:r>
            <w:r>
              <w:rPr>
                <w:szCs w:val="20"/>
              </w:rPr>
              <w:t>128</w:t>
            </w:r>
          </w:p>
        </w:tc>
        <w:tc>
          <w:tcPr>
            <w:tcW w:w="3686" w:type="dxa"/>
          </w:tcPr>
          <w:p w14:paraId="39F238E1" w14:textId="77777777" w:rsidR="00A052DC" w:rsidRDefault="00DD6AA3">
            <w:pPr>
              <w:pStyle w:val="B"/>
              <w:rPr>
                <w:szCs w:val="20"/>
              </w:rPr>
            </w:pPr>
            <w:r>
              <w:rPr>
                <w:rFonts w:hint="eastAsia"/>
                <w:szCs w:val="20"/>
              </w:rPr>
              <w:t>非必填项，当操作类型（ACTIONTYPE）为删除时必填。</w:t>
            </w:r>
          </w:p>
        </w:tc>
      </w:tr>
      <w:tr w:rsidR="00A052DC" w14:paraId="66C5B799" w14:textId="77777777">
        <w:trPr>
          <w:jc w:val="center"/>
        </w:trPr>
        <w:tc>
          <w:tcPr>
            <w:tcW w:w="1347" w:type="dxa"/>
            <w:shd w:val="clear" w:color="auto" w:fill="auto"/>
            <w:noWrap/>
          </w:tcPr>
          <w:p w14:paraId="7E30CEE9" w14:textId="77777777" w:rsidR="00A052DC" w:rsidRDefault="009F0A60">
            <w:pPr>
              <w:pStyle w:val="B"/>
              <w:rPr>
                <w:szCs w:val="20"/>
              </w:rPr>
            </w:pPr>
            <w:r>
              <w:rPr>
                <w:szCs w:val="20"/>
              </w:rPr>
              <w:t>SNOCODE</w:t>
            </w:r>
          </w:p>
        </w:tc>
        <w:tc>
          <w:tcPr>
            <w:tcW w:w="2177" w:type="dxa"/>
            <w:shd w:val="clear" w:color="auto" w:fill="auto"/>
          </w:tcPr>
          <w:p w14:paraId="317EB4EF" w14:textId="77777777" w:rsidR="00A052DC" w:rsidRDefault="009F0A60">
            <w:pPr>
              <w:pStyle w:val="B"/>
              <w:rPr>
                <w:szCs w:val="20"/>
              </w:rPr>
            </w:pPr>
            <w:r>
              <w:rPr>
                <w:rFonts w:hint="eastAsia"/>
                <w:szCs w:val="20"/>
              </w:rPr>
              <w:t>数据自编码</w:t>
            </w:r>
          </w:p>
        </w:tc>
        <w:tc>
          <w:tcPr>
            <w:tcW w:w="1417" w:type="dxa"/>
            <w:shd w:val="clear" w:color="auto" w:fill="auto"/>
            <w:noWrap/>
          </w:tcPr>
          <w:p w14:paraId="64F00B11" w14:textId="77777777" w:rsidR="00A052DC" w:rsidRDefault="009F0A60">
            <w:pPr>
              <w:pStyle w:val="B"/>
              <w:rPr>
                <w:szCs w:val="20"/>
              </w:rPr>
            </w:pPr>
            <w:r>
              <w:rPr>
                <w:rFonts w:hint="eastAsia"/>
                <w:szCs w:val="20"/>
              </w:rPr>
              <w:t>字符型，</w:t>
            </w:r>
            <w:r>
              <w:rPr>
                <w:szCs w:val="20"/>
              </w:rPr>
              <w:t>3</w:t>
            </w:r>
            <w:r>
              <w:rPr>
                <w:rFonts w:hint="eastAsia"/>
                <w:szCs w:val="20"/>
              </w:rPr>
              <w:t>6</w:t>
            </w:r>
          </w:p>
        </w:tc>
        <w:tc>
          <w:tcPr>
            <w:tcW w:w="3686" w:type="dxa"/>
          </w:tcPr>
          <w:p w14:paraId="67E567A3" w14:textId="77777777" w:rsidR="00A052DC" w:rsidRDefault="009F0A60">
            <w:pPr>
              <w:pStyle w:val="B"/>
              <w:rPr>
                <w:szCs w:val="20"/>
              </w:rPr>
            </w:pPr>
            <w:r>
              <w:rPr>
                <w:rFonts w:hint="eastAsia"/>
                <w:szCs w:val="20"/>
              </w:rPr>
              <w:t>必填项。</w:t>
            </w:r>
            <w:r>
              <w:rPr>
                <w:szCs w:val="20"/>
              </w:rPr>
              <w:t>对于接口报送的填报主体，数据自编码中的报送期（6位）应与报告期（YYYYMM）一致。</w:t>
            </w:r>
          </w:p>
        </w:tc>
      </w:tr>
      <w:tr w:rsidR="00A052DC" w14:paraId="323D2AC9" w14:textId="77777777">
        <w:trPr>
          <w:jc w:val="center"/>
        </w:trPr>
        <w:tc>
          <w:tcPr>
            <w:tcW w:w="1347" w:type="dxa"/>
            <w:shd w:val="clear" w:color="auto" w:fill="auto"/>
            <w:noWrap/>
          </w:tcPr>
          <w:p w14:paraId="4A214B30" w14:textId="77777777" w:rsidR="00A052DC" w:rsidRDefault="009F0A60">
            <w:pPr>
              <w:pStyle w:val="B"/>
              <w:rPr>
                <w:szCs w:val="20"/>
              </w:rPr>
            </w:pPr>
            <w:r>
              <w:rPr>
                <w:szCs w:val="20"/>
              </w:rPr>
              <w:t>OBJCODE</w:t>
            </w:r>
          </w:p>
        </w:tc>
        <w:tc>
          <w:tcPr>
            <w:tcW w:w="2177" w:type="dxa"/>
            <w:shd w:val="clear" w:color="auto" w:fill="auto"/>
          </w:tcPr>
          <w:p w14:paraId="7A4E4BC6" w14:textId="77777777" w:rsidR="00A052DC" w:rsidRDefault="009F0A60">
            <w:pPr>
              <w:pStyle w:val="B"/>
              <w:rPr>
                <w:szCs w:val="20"/>
              </w:rPr>
            </w:pPr>
            <w:r>
              <w:rPr>
                <w:rFonts w:hint="eastAsia"/>
                <w:szCs w:val="20"/>
              </w:rPr>
              <w:t>申报主体代码</w:t>
            </w:r>
          </w:p>
        </w:tc>
        <w:tc>
          <w:tcPr>
            <w:tcW w:w="1417" w:type="dxa"/>
            <w:shd w:val="clear" w:color="auto" w:fill="auto"/>
            <w:noWrap/>
          </w:tcPr>
          <w:p w14:paraId="28BDD4E1" w14:textId="77777777" w:rsidR="00A052DC" w:rsidRDefault="009F0A60">
            <w:pPr>
              <w:pStyle w:val="B"/>
              <w:rPr>
                <w:szCs w:val="20"/>
              </w:rPr>
            </w:pPr>
            <w:r>
              <w:rPr>
                <w:rFonts w:hint="eastAsia"/>
                <w:szCs w:val="20"/>
              </w:rPr>
              <w:t>字符型，</w:t>
            </w:r>
            <w:r>
              <w:rPr>
                <w:szCs w:val="20"/>
              </w:rPr>
              <w:t>1</w:t>
            </w:r>
            <w:r>
              <w:rPr>
                <w:rFonts w:hint="eastAsia"/>
                <w:szCs w:val="20"/>
              </w:rPr>
              <w:t>8</w:t>
            </w:r>
          </w:p>
        </w:tc>
        <w:tc>
          <w:tcPr>
            <w:tcW w:w="3686" w:type="dxa"/>
          </w:tcPr>
          <w:p w14:paraId="159C8F96" w14:textId="77777777" w:rsidR="00A052DC" w:rsidRDefault="009F0A60">
            <w:pPr>
              <w:pStyle w:val="B"/>
              <w:rPr>
                <w:szCs w:val="20"/>
              </w:rPr>
            </w:pPr>
            <w:r>
              <w:rPr>
                <w:rFonts w:hint="eastAsia"/>
                <w:szCs w:val="20"/>
              </w:rPr>
              <w:t>申报主体的12位金融机构标识码，如果没有金融机构标识码，则填报统一社会信用代码法定载体（如营业执照）上统一社会信用代码中的第9至17位或国家外汇管理局及其分支局签发的特殊机构代码赋码通知书上的机构代码、个人身份代码。</w:t>
            </w:r>
          </w:p>
        </w:tc>
      </w:tr>
      <w:tr w:rsidR="00A052DC" w14:paraId="310DD758" w14:textId="77777777">
        <w:trPr>
          <w:jc w:val="center"/>
        </w:trPr>
        <w:tc>
          <w:tcPr>
            <w:tcW w:w="1347" w:type="dxa"/>
            <w:shd w:val="clear" w:color="auto" w:fill="auto"/>
            <w:noWrap/>
          </w:tcPr>
          <w:p w14:paraId="6F9F2AD2" w14:textId="77777777" w:rsidR="00A052DC" w:rsidRDefault="009F0A60">
            <w:pPr>
              <w:pStyle w:val="B"/>
              <w:rPr>
                <w:szCs w:val="20"/>
              </w:rPr>
            </w:pPr>
            <w:r>
              <w:rPr>
                <w:szCs w:val="20"/>
              </w:rPr>
              <w:t>BUOCMONTH</w:t>
            </w:r>
          </w:p>
        </w:tc>
        <w:tc>
          <w:tcPr>
            <w:tcW w:w="2177" w:type="dxa"/>
            <w:shd w:val="clear" w:color="auto" w:fill="auto"/>
          </w:tcPr>
          <w:p w14:paraId="483AB745" w14:textId="77777777" w:rsidR="00A052DC" w:rsidRDefault="009F0A60">
            <w:pPr>
              <w:pStyle w:val="B"/>
              <w:rPr>
                <w:szCs w:val="20"/>
              </w:rPr>
            </w:pPr>
            <w:r>
              <w:rPr>
                <w:rFonts w:hint="eastAsia"/>
                <w:szCs w:val="20"/>
              </w:rPr>
              <w:t>报告期</w:t>
            </w:r>
          </w:p>
        </w:tc>
        <w:tc>
          <w:tcPr>
            <w:tcW w:w="1417" w:type="dxa"/>
            <w:shd w:val="clear" w:color="auto" w:fill="auto"/>
            <w:noWrap/>
          </w:tcPr>
          <w:p w14:paraId="0F95AB02" w14:textId="77777777" w:rsidR="00A052DC" w:rsidRDefault="009F0A60">
            <w:pPr>
              <w:pStyle w:val="B"/>
              <w:rPr>
                <w:szCs w:val="20"/>
              </w:rPr>
            </w:pPr>
            <w:r>
              <w:rPr>
                <w:rFonts w:hint="eastAsia"/>
                <w:szCs w:val="20"/>
              </w:rPr>
              <w:t>数值型，</w:t>
            </w:r>
            <w:r>
              <w:rPr>
                <w:szCs w:val="20"/>
              </w:rPr>
              <w:t>6</w:t>
            </w:r>
          </w:p>
        </w:tc>
        <w:tc>
          <w:tcPr>
            <w:tcW w:w="3686" w:type="dxa"/>
          </w:tcPr>
          <w:p w14:paraId="7BCE3680" w14:textId="77777777" w:rsidR="00A052DC" w:rsidRDefault="009F0A60">
            <w:pPr>
              <w:pStyle w:val="B"/>
              <w:rPr>
                <w:szCs w:val="20"/>
              </w:rPr>
            </w:pPr>
            <w:r>
              <w:rPr>
                <w:rFonts w:hint="eastAsia"/>
                <w:szCs w:val="20"/>
              </w:rPr>
              <w:t>必填项，格式为</w:t>
            </w:r>
            <w:r>
              <w:rPr>
                <w:szCs w:val="20"/>
              </w:rPr>
              <w:t>YYYYMM</w:t>
            </w:r>
            <w:r>
              <w:rPr>
                <w:rFonts w:hint="eastAsia"/>
                <w:szCs w:val="20"/>
              </w:rPr>
              <w:t>。</w:t>
            </w:r>
          </w:p>
        </w:tc>
      </w:tr>
      <w:tr w:rsidR="00A052DC" w14:paraId="6F2B7BAC" w14:textId="77777777">
        <w:trPr>
          <w:jc w:val="center"/>
        </w:trPr>
        <w:tc>
          <w:tcPr>
            <w:tcW w:w="1347" w:type="dxa"/>
            <w:shd w:val="clear" w:color="auto" w:fill="auto"/>
            <w:noWrap/>
          </w:tcPr>
          <w:p w14:paraId="7B0B14C5" w14:textId="77777777" w:rsidR="00A052DC" w:rsidRDefault="009F0A60">
            <w:pPr>
              <w:pStyle w:val="B"/>
              <w:rPr>
                <w:szCs w:val="20"/>
              </w:rPr>
            </w:pPr>
            <w:r>
              <w:rPr>
                <w:szCs w:val="20"/>
              </w:rPr>
              <w:t>B0301</w:t>
            </w:r>
          </w:p>
        </w:tc>
        <w:tc>
          <w:tcPr>
            <w:tcW w:w="2177" w:type="dxa"/>
            <w:shd w:val="clear" w:color="auto" w:fill="auto"/>
          </w:tcPr>
          <w:p w14:paraId="7328C68B" w14:textId="77777777" w:rsidR="00A052DC" w:rsidRDefault="009F0A60">
            <w:pPr>
              <w:pStyle w:val="B"/>
              <w:rPr>
                <w:szCs w:val="20"/>
              </w:rPr>
            </w:pPr>
            <w:r>
              <w:rPr>
                <w:rFonts w:hint="eastAsia"/>
                <w:szCs w:val="20"/>
              </w:rPr>
              <w:t>投资者所属国家</w:t>
            </w:r>
            <w:r>
              <w:rPr>
                <w:szCs w:val="20"/>
              </w:rPr>
              <w:t>/</w:t>
            </w:r>
            <w:r>
              <w:rPr>
                <w:rFonts w:hint="eastAsia"/>
                <w:szCs w:val="20"/>
              </w:rPr>
              <w:t>地区</w:t>
            </w:r>
          </w:p>
        </w:tc>
        <w:tc>
          <w:tcPr>
            <w:tcW w:w="1417" w:type="dxa"/>
            <w:shd w:val="clear" w:color="auto" w:fill="auto"/>
            <w:noWrap/>
          </w:tcPr>
          <w:p w14:paraId="7E55C1CC" w14:textId="77777777" w:rsidR="00A052DC" w:rsidRDefault="009F0A60">
            <w:pPr>
              <w:pStyle w:val="B"/>
              <w:rPr>
                <w:szCs w:val="20"/>
              </w:rPr>
            </w:pPr>
            <w:r>
              <w:rPr>
                <w:rFonts w:hint="eastAsia"/>
                <w:szCs w:val="20"/>
              </w:rPr>
              <w:t>字符型，</w:t>
            </w:r>
            <w:r>
              <w:rPr>
                <w:szCs w:val="20"/>
              </w:rPr>
              <w:t>3</w:t>
            </w:r>
          </w:p>
        </w:tc>
        <w:tc>
          <w:tcPr>
            <w:tcW w:w="3686" w:type="dxa"/>
          </w:tcPr>
          <w:p w14:paraId="3AF8A054" w14:textId="77777777" w:rsidR="00A052DC" w:rsidRDefault="009F0A60">
            <w:pPr>
              <w:pStyle w:val="B"/>
              <w:rPr>
                <w:szCs w:val="20"/>
              </w:rPr>
            </w:pPr>
            <w:r>
              <w:rPr>
                <w:rFonts w:hint="eastAsia"/>
                <w:szCs w:val="20"/>
              </w:rPr>
              <w:t>必填项，见国家和地区代码表的</w:t>
            </w:r>
            <w:r>
              <w:rPr>
                <w:szCs w:val="20"/>
              </w:rPr>
              <w:t>3</w:t>
            </w:r>
            <w:r>
              <w:rPr>
                <w:rFonts w:hint="eastAsia"/>
                <w:szCs w:val="20"/>
              </w:rPr>
              <w:t>位字母代码。</w:t>
            </w:r>
          </w:p>
        </w:tc>
      </w:tr>
      <w:tr w:rsidR="00A052DC" w14:paraId="662C555E" w14:textId="77777777">
        <w:trPr>
          <w:jc w:val="center"/>
        </w:trPr>
        <w:tc>
          <w:tcPr>
            <w:tcW w:w="1347" w:type="dxa"/>
            <w:shd w:val="clear" w:color="auto" w:fill="auto"/>
            <w:noWrap/>
          </w:tcPr>
          <w:p w14:paraId="7234686C" w14:textId="77777777" w:rsidR="00A052DC" w:rsidRDefault="009F0A60">
            <w:pPr>
              <w:pStyle w:val="B"/>
              <w:rPr>
                <w:szCs w:val="20"/>
              </w:rPr>
            </w:pPr>
            <w:r>
              <w:rPr>
                <w:szCs w:val="20"/>
              </w:rPr>
              <w:t>B0302</w:t>
            </w:r>
          </w:p>
        </w:tc>
        <w:tc>
          <w:tcPr>
            <w:tcW w:w="2177" w:type="dxa"/>
            <w:shd w:val="clear" w:color="auto" w:fill="auto"/>
          </w:tcPr>
          <w:p w14:paraId="5F96E9A6" w14:textId="77777777" w:rsidR="00A052DC" w:rsidRDefault="009F0A60">
            <w:pPr>
              <w:pStyle w:val="B"/>
              <w:rPr>
                <w:szCs w:val="20"/>
              </w:rPr>
            </w:pPr>
            <w:r>
              <w:rPr>
                <w:rFonts w:hint="eastAsia"/>
                <w:szCs w:val="20"/>
              </w:rPr>
              <w:t>投资者所属部门</w:t>
            </w:r>
          </w:p>
        </w:tc>
        <w:tc>
          <w:tcPr>
            <w:tcW w:w="1417" w:type="dxa"/>
            <w:shd w:val="clear" w:color="auto" w:fill="auto"/>
            <w:noWrap/>
          </w:tcPr>
          <w:p w14:paraId="3B8E6D3B" w14:textId="77777777" w:rsidR="00A052DC" w:rsidRDefault="009F0A60">
            <w:pPr>
              <w:pStyle w:val="B"/>
              <w:rPr>
                <w:szCs w:val="20"/>
              </w:rPr>
            </w:pPr>
            <w:r>
              <w:rPr>
                <w:rFonts w:hint="eastAsia"/>
                <w:szCs w:val="20"/>
              </w:rPr>
              <w:t>整数型</w:t>
            </w:r>
          </w:p>
        </w:tc>
        <w:tc>
          <w:tcPr>
            <w:tcW w:w="3686" w:type="dxa"/>
          </w:tcPr>
          <w:p w14:paraId="620147CC" w14:textId="77777777" w:rsidR="00A052DC" w:rsidRDefault="009F0A60">
            <w:pPr>
              <w:pStyle w:val="B"/>
              <w:rPr>
                <w:szCs w:val="20"/>
              </w:rPr>
            </w:pPr>
            <w:r>
              <w:rPr>
                <w:rFonts w:hint="eastAsia"/>
                <w:szCs w:val="20"/>
              </w:rPr>
              <w:t>必填项，见投资者（被投资者）部门代码表。</w:t>
            </w:r>
          </w:p>
        </w:tc>
      </w:tr>
      <w:tr w:rsidR="00A052DC" w14:paraId="6DFEA544" w14:textId="77777777">
        <w:trPr>
          <w:jc w:val="center"/>
        </w:trPr>
        <w:tc>
          <w:tcPr>
            <w:tcW w:w="1347" w:type="dxa"/>
            <w:shd w:val="clear" w:color="auto" w:fill="auto"/>
            <w:noWrap/>
          </w:tcPr>
          <w:p w14:paraId="4DD3E571" w14:textId="77777777" w:rsidR="00A052DC" w:rsidRDefault="009F0A60">
            <w:pPr>
              <w:pStyle w:val="B"/>
              <w:rPr>
                <w:szCs w:val="20"/>
              </w:rPr>
            </w:pPr>
            <w:bookmarkStart w:id="3081" w:name="OLE_LINK27"/>
            <w:bookmarkStart w:id="3082" w:name="OLE_LINK31"/>
            <w:bookmarkStart w:id="3083" w:name="OLE_LINK32"/>
            <w:r>
              <w:rPr>
                <w:szCs w:val="20"/>
              </w:rPr>
              <w:t>B0303</w:t>
            </w:r>
            <w:bookmarkEnd w:id="3081"/>
            <w:bookmarkEnd w:id="3082"/>
            <w:bookmarkEnd w:id="3083"/>
          </w:p>
        </w:tc>
        <w:tc>
          <w:tcPr>
            <w:tcW w:w="2177" w:type="dxa"/>
            <w:shd w:val="clear" w:color="auto" w:fill="auto"/>
          </w:tcPr>
          <w:p w14:paraId="55160846" w14:textId="77777777" w:rsidR="00A052DC" w:rsidRDefault="009F0A60">
            <w:pPr>
              <w:pStyle w:val="B"/>
              <w:rPr>
                <w:szCs w:val="20"/>
              </w:rPr>
            </w:pPr>
            <w:r>
              <w:rPr>
                <w:rFonts w:hint="eastAsia"/>
                <w:szCs w:val="20"/>
              </w:rPr>
              <w:t>投资工具类型</w:t>
            </w:r>
          </w:p>
        </w:tc>
        <w:tc>
          <w:tcPr>
            <w:tcW w:w="1417" w:type="dxa"/>
            <w:shd w:val="clear" w:color="auto" w:fill="auto"/>
            <w:noWrap/>
          </w:tcPr>
          <w:p w14:paraId="494858AB" w14:textId="77777777" w:rsidR="00A052DC" w:rsidRDefault="009F0A60">
            <w:pPr>
              <w:pStyle w:val="B"/>
              <w:rPr>
                <w:szCs w:val="20"/>
              </w:rPr>
            </w:pPr>
            <w:r>
              <w:rPr>
                <w:rFonts w:hint="eastAsia"/>
                <w:szCs w:val="20"/>
              </w:rPr>
              <w:t>整数型</w:t>
            </w:r>
          </w:p>
        </w:tc>
        <w:tc>
          <w:tcPr>
            <w:tcW w:w="3686" w:type="dxa"/>
          </w:tcPr>
          <w:p w14:paraId="777E7FE5" w14:textId="77777777" w:rsidR="00A052DC" w:rsidRDefault="009F0A60">
            <w:pPr>
              <w:pStyle w:val="B"/>
              <w:rPr>
                <w:szCs w:val="20"/>
              </w:rPr>
            </w:pPr>
            <w:r>
              <w:rPr>
                <w:rFonts w:hint="eastAsia"/>
                <w:szCs w:val="20"/>
              </w:rPr>
              <w:t>必填项，必须7选</w:t>
            </w:r>
            <w:r>
              <w:rPr>
                <w:szCs w:val="20"/>
              </w:rPr>
              <w:t>1</w:t>
            </w:r>
            <w:r>
              <w:rPr>
                <w:rFonts w:hint="eastAsia"/>
                <w:szCs w:val="20"/>
              </w:rPr>
              <w:t>。</w:t>
            </w:r>
          </w:p>
          <w:p w14:paraId="4AFD63FC" w14:textId="77777777" w:rsidR="00A052DC" w:rsidRDefault="009F0A60">
            <w:pPr>
              <w:pStyle w:val="B"/>
              <w:rPr>
                <w:szCs w:val="20"/>
              </w:rPr>
            </w:pPr>
            <w:bookmarkStart w:id="3084" w:name="OLE_LINK30"/>
            <w:bookmarkStart w:id="3085" w:name="OLE_LINK29"/>
            <w:r>
              <w:rPr>
                <w:szCs w:val="20"/>
              </w:rPr>
              <w:t>1-</w:t>
            </w:r>
            <w:bookmarkStart w:id="3086" w:name="OLE_LINK37"/>
            <w:r>
              <w:rPr>
                <w:szCs w:val="20"/>
              </w:rPr>
              <w:t>上市普通股</w:t>
            </w:r>
            <w:bookmarkEnd w:id="3086"/>
            <w:r>
              <w:rPr>
                <w:rFonts w:hint="eastAsia"/>
                <w:szCs w:val="20"/>
              </w:rPr>
              <w:t>；</w:t>
            </w:r>
          </w:p>
          <w:p w14:paraId="75F194AF" w14:textId="77777777" w:rsidR="00A052DC" w:rsidRDefault="009F0A60">
            <w:pPr>
              <w:pStyle w:val="B"/>
              <w:rPr>
                <w:szCs w:val="20"/>
              </w:rPr>
            </w:pPr>
            <w:r>
              <w:rPr>
                <w:szCs w:val="20"/>
              </w:rPr>
              <w:t>2-</w:t>
            </w:r>
            <w:r>
              <w:rPr>
                <w:rFonts w:hint="eastAsia"/>
                <w:szCs w:val="20"/>
              </w:rPr>
              <w:t>投资基金份额</w:t>
            </w:r>
            <w:r>
              <w:rPr>
                <w:szCs w:val="20"/>
              </w:rPr>
              <w:t>/</w:t>
            </w:r>
            <w:r>
              <w:rPr>
                <w:rFonts w:hint="eastAsia"/>
                <w:szCs w:val="20"/>
              </w:rPr>
              <w:t>单位；</w:t>
            </w:r>
          </w:p>
          <w:p w14:paraId="4FE1EB1E" w14:textId="77777777" w:rsidR="00A052DC" w:rsidRDefault="009F0A60">
            <w:pPr>
              <w:rPr>
                <w:rFonts w:ascii="黑体" w:eastAsia="黑体" w:hAnsi="黑体"/>
                <w:sz w:val="20"/>
                <w:szCs w:val="20"/>
              </w:rPr>
            </w:pPr>
            <w:r>
              <w:rPr>
                <w:rFonts w:ascii="黑体" w:eastAsia="黑体" w:hAnsi="黑体"/>
                <w:kern w:val="0"/>
                <w:sz w:val="20"/>
                <w:szCs w:val="20"/>
              </w:rPr>
              <w:t>3-</w:t>
            </w:r>
            <w:r>
              <w:rPr>
                <w:rFonts w:ascii="黑体" w:eastAsia="黑体" w:hAnsi="黑体" w:hint="eastAsia"/>
                <w:kern w:val="0"/>
                <w:sz w:val="20"/>
                <w:szCs w:val="20"/>
              </w:rPr>
              <w:t>债券；</w:t>
            </w:r>
          </w:p>
          <w:p w14:paraId="2905CD52" w14:textId="77777777" w:rsidR="00A052DC" w:rsidRDefault="009F0A60">
            <w:pPr>
              <w:rPr>
                <w:rFonts w:ascii="黑体" w:eastAsia="黑体" w:hAnsi="黑体"/>
                <w:kern w:val="0"/>
                <w:sz w:val="20"/>
                <w:szCs w:val="20"/>
              </w:rPr>
            </w:pPr>
            <w:bookmarkStart w:id="3087" w:name="OLE_LINK28"/>
            <w:r>
              <w:rPr>
                <w:rFonts w:ascii="黑体" w:eastAsia="黑体" w:hAnsi="黑体"/>
                <w:kern w:val="0"/>
                <w:sz w:val="20"/>
                <w:szCs w:val="20"/>
              </w:rPr>
              <w:t>4-</w:t>
            </w:r>
            <w:bookmarkStart w:id="3088" w:name="OLE_LINK33"/>
            <w:bookmarkStart w:id="3089" w:name="OLE_LINK34"/>
            <w:r>
              <w:rPr>
                <w:rFonts w:ascii="黑体" w:eastAsia="黑体" w:hAnsi="黑体"/>
                <w:kern w:val="0"/>
                <w:sz w:val="20"/>
                <w:szCs w:val="20"/>
              </w:rPr>
              <w:t>非上市普通股</w:t>
            </w:r>
            <w:bookmarkEnd w:id="3088"/>
            <w:bookmarkEnd w:id="3089"/>
            <w:r>
              <w:rPr>
                <w:rFonts w:ascii="黑体" w:eastAsia="黑体" w:hAnsi="黑体" w:hint="eastAsia"/>
                <w:kern w:val="0"/>
                <w:sz w:val="20"/>
                <w:szCs w:val="20"/>
              </w:rPr>
              <w:t>;</w:t>
            </w:r>
          </w:p>
          <w:p w14:paraId="5EA27A16" w14:textId="77777777" w:rsidR="00A052DC" w:rsidRDefault="009F0A60">
            <w:pPr>
              <w:rPr>
                <w:rFonts w:ascii="黑体" w:eastAsia="黑体" w:hAnsi="黑体"/>
                <w:kern w:val="0"/>
                <w:sz w:val="20"/>
                <w:szCs w:val="20"/>
              </w:rPr>
            </w:pPr>
            <w:r>
              <w:rPr>
                <w:rFonts w:ascii="黑体" w:eastAsia="黑体" w:hAnsi="黑体"/>
                <w:kern w:val="0"/>
                <w:sz w:val="20"/>
                <w:szCs w:val="20"/>
              </w:rPr>
              <w:t>5-</w:t>
            </w:r>
            <w:bookmarkStart w:id="3090" w:name="OLE_LINK35"/>
            <w:r>
              <w:rPr>
                <w:rFonts w:ascii="黑体" w:eastAsia="黑体" w:hAnsi="黑体"/>
                <w:kern w:val="0"/>
                <w:sz w:val="20"/>
                <w:szCs w:val="20"/>
              </w:rPr>
              <w:t>参与性优先股</w:t>
            </w:r>
            <w:bookmarkEnd w:id="3090"/>
            <w:r>
              <w:rPr>
                <w:rFonts w:ascii="黑体" w:eastAsia="黑体" w:hAnsi="黑体" w:hint="eastAsia"/>
                <w:kern w:val="0"/>
                <w:sz w:val="20"/>
                <w:szCs w:val="20"/>
              </w:rPr>
              <w:t>;</w:t>
            </w:r>
          </w:p>
          <w:p w14:paraId="1A3279C8" w14:textId="77777777" w:rsidR="00A052DC" w:rsidRDefault="009F0A60">
            <w:pPr>
              <w:rPr>
                <w:rFonts w:ascii="黑体" w:eastAsia="黑体" w:hAnsi="黑体"/>
                <w:kern w:val="0"/>
                <w:sz w:val="20"/>
                <w:szCs w:val="20"/>
              </w:rPr>
            </w:pPr>
            <w:r>
              <w:rPr>
                <w:rFonts w:ascii="黑体" w:eastAsia="黑体" w:hAnsi="黑体"/>
                <w:kern w:val="0"/>
                <w:sz w:val="20"/>
                <w:szCs w:val="20"/>
              </w:rPr>
              <w:t>6-</w:t>
            </w:r>
            <w:bookmarkStart w:id="3091" w:name="OLE_LINK36"/>
            <w:r>
              <w:rPr>
                <w:rFonts w:ascii="黑体" w:eastAsia="黑体" w:hAnsi="黑体"/>
                <w:kern w:val="0"/>
                <w:sz w:val="20"/>
                <w:szCs w:val="20"/>
              </w:rPr>
              <w:t>非参与性优先股</w:t>
            </w:r>
            <w:bookmarkEnd w:id="3084"/>
            <w:bookmarkEnd w:id="3085"/>
            <w:bookmarkEnd w:id="3087"/>
            <w:bookmarkEnd w:id="3091"/>
            <w:r>
              <w:rPr>
                <w:rFonts w:ascii="黑体" w:eastAsia="黑体" w:hAnsi="黑体" w:hint="eastAsia"/>
                <w:kern w:val="0"/>
                <w:sz w:val="20"/>
                <w:szCs w:val="20"/>
              </w:rPr>
              <w:t>；</w:t>
            </w:r>
          </w:p>
          <w:p w14:paraId="1D76B4B1" w14:textId="77777777" w:rsidR="00A052DC" w:rsidRDefault="009F0A60">
            <w:pPr>
              <w:rPr>
                <w:rFonts w:ascii="黑体" w:eastAsia="黑体" w:hAnsi="黑体"/>
                <w:sz w:val="20"/>
                <w:szCs w:val="20"/>
              </w:rPr>
            </w:pPr>
            <w:r>
              <w:rPr>
                <w:rFonts w:ascii="黑体" w:eastAsia="黑体" w:hAnsi="黑体"/>
                <w:kern w:val="0"/>
                <w:sz w:val="20"/>
                <w:szCs w:val="20"/>
              </w:rPr>
              <w:t>7-存托凭证</w:t>
            </w:r>
            <w:r>
              <w:rPr>
                <w:rFonts w:ascii="黑体" w:eastAsia="黑体" w:hAnsi="黑体" w:hint="eastAsia"/>
                <w:kern w:val="0"/>
                <w:sz w:val="20"/>
                <w:szCs w:val="20"/>
              </w:rPr>
              <w:t>。</w:t>
            </w:r>
          </w:p>
        </w:tc>
      </w:tr>
      <w:tr w:rsidR="00A052DC" w14:paraId="40BEED49" w14:textId="77777777">
        <w:trPr>
          <w:jc w:val="center"/>
        </w:trPr>
        <w:tc>
          <w:tcPr>
            <w:tcW w:w="1347" w:type="dxa"/>
            <w:shd w:val="clear" w:color="auto" w:fill="auto"/>
            <w:noWrap/>
          </w:tcPr>
          <w:p w14:paraId="5D172008" w14:textId="77777777" w:rsidR="00A052DC" w:rsidRDefault="009F0A60">
            <w:pPr>
              <w:pStyle w:val="B"/>
              <w:rPr>
                <w:szCs w:val="20"/>
              </w:rPr>
            </w:pPr>
            <w:r>
              <w:rPr>
                <w:szCs w:val="20"/>
              </w:rPr>
              <w:t>B0304</w:t>
            </w:r>
          </w:p>
        </w:tc>
        <w:tc>
          <w:tcPr>
            <w:tcW w:w="2177" w:type="dxa"/>
            <w:shd w:val="clear" w:color="auto" w:fill="auto"/>
          </w:tcPr>
          <w:p w14:paraId="5B34B656" w14:textId="77777777" w:rsidR="00A052DC" w:rsidRDefault="009F0A60">
            <w:pPr>
              <w:pStyle w:val="B"/>
              <w:rPr>
                <w:szCs w:val="20"/>
              </w:rPr>
            </w:pPr>
            <w:r>
              <w:rPr>
                <w:rFonts w:hint="eastAsia"/>
                <w:szCs w:val="20"/>
              </w:rPr>
              <w:t>所投资产品代码（逐支报送使用）</w:t>
            </w:r>
          </w:p>
        </w:tc>
        <w:tc>
          <w:tcPr>
            <w:tcW w:w="1417" w:type="dxa"/>
            <w:shd w:val="clear" w:color="auto" w:fill="auto"/>
            <w:noWrap/>
          </w:tcPr>
          <w:p w14:paraId="1043DC82" w14:textId="77777777" w:rsidR="00A052DC" w:rsidRDefault="009F0A60">
            <w:pPr>
              <w:pStyle w:val="B"/>
              <w:rPr>
                <w:szCs w:val="20"/>
              </w:rPr>
            </w:pPr>
            <w:r>
              <w:rPr>
                <w:rFonts w:hint="eastAsia"/>
                <w:szCs w:val="20"/>
              </w:rPr>
              <w:t>字符型，</w:t>
            </w:r>
            <w:r>
              <w:rPr>
                <w:szCs w:val="20"/>
              </w:rPr>
              <w:t>255</w:t>
            </w:r>
          </w:p>
        </w:tc>
        <w:tc>
          <w:tcPr>
            <w:tcW w:w="3686" w:type="dxa"/>
          </w:tcPr>
          <w:p w14:paraId="166F23D9" w14:textId="77777777" w:rsidR="00A052DC" w:rsidRDefault="009F0A60">
            <w:pPr>
              <w:pStyle w:val="B"/>
              <w:rPr>
                <w:szCs w:val="20"/>
              </w:rPr>
            </w:pPr>
            <w:r>
              <w:rPr>
                <w:rFonts w:hint="eastAsia"/>
                <w:szCs w:val="20"/>
              </w:rPr>
              <w:t>必填项。如选择逐支报送，则填写实际代码；如选择汇总报送，则填写“</w:t>
            </w:r>
            <w:r>
              <w:rPr>
                <w:szCs w:val="20"/>
              </w:rPr>
              <w:t>N/A</w:t>
            </w:r>
            <w:r>
              <w:rPr>
                <w:rFonts w:hint="eastAsia"/>
                <w:szCs w:val="20"/>
              </w:rPr>
              <w:t>”。</w:t>
            </w:r>
          </w:p>
        </w:tc>
      </w:tr>
      <w:tr w:rsidR="00A052DC" w14:paraId="76534A72" w14:textId="77777777">
        <w:trPr>
          <w:jc w:val="center"/>
        </w:trPr>
        <w:tc>
          <w:tcPr>
            <w:tcW w:w="1347" w:type="dxa"/>
            <w:shd w:val="clear" w:color="auto" w:fill="auto"/>
            <w:noWrap/>
          </w:tcPr>
          <w:p w14:paraId="77A1DEDC" w14:textId="77777777" w:rsidR="00A052DC" w:rsidRDefault="009F0A60">
            <w:pPr>
              <w:pStyle w:val="B"/>
              <w:rPr>
                <w:szCs w:val="20"/>
              </w:rPr>
            </w:pPr>
            <w:r>
              <w:rPr>
                <w:szCs w:val="20"/>
              </w:rPr>
              <w:t>B0305</w:t>
            </w:r>
          </w:p>
        </w:tc>
        <w:tc>
          <w:tcPr>
            <w:tcW w:w="2177" w:type="dxa"/>
            <w:shd w:val="clear" w:color="auto" w:fill="auto"/>
          </w:tcPr>
          <w:p w14:paraId="17EF99DB" w14:textId="77777777" w:rsidR="00A052DC" w:rsidRDefault="009F0A60">
            <w:pPr>
              <w:pStyle w:val="B"/>
              <w:rPr>
                <w:szCs w:val="20"/>
              </w:rPr>
            </w:pPr>
            <w:r>
              <w:rPr>
                <w:rFonts w:hint="eastAsia"/>
                <w:szCs w:val="20"/>
              </w:rPr>
              <w:t>非居民发行主体名称（逐支报送使用）</w:t>
            </w:r>
          </w:p>
        </w:tc>
        <w:tc>
          <w:tcPr>
            <w:tcW w:w="1417" w:type="dxa"/>
            <w:shd w:val="clear" w:color="auto" w:fill="auto"/>
            <w:noWrap/>
          </w:tcPr>
          <w:p w14:paraId="5DEE2AD1" w14:textId="77777777" w:rsidR="00A052DC" w:rsidRDefault="009F0A60">
            <w:pPr>
              <w:pStyle w:val="B"/>
              <w:rPr>
                <w:szCs w:val="20"/>
              </w:rPr>
            </w:pPr>
            <w:r>
              <w:rPr>
                <w:rFonts w:hint="eastAsia"/>
                <w:szCs w:val="20"/>
              </w:rPr>
              <w:t>字符型，</w:t>
            </w:r>
            <w:r>
              <w:rPr>
                <w:szCs w:val="20"/>
              </w:rPr>
              <w:t>255</w:t>
            </w:r>
          </w:p>
        </w:tc>
        <w:tc>
          <w:tcPr>
            <w:tcW w:w="3686" w:type="dxa"/>
          </w:tcPr>
          <w:p w14:paraId="14ED7FFA" w14:textId="77777777" w:rsidR="00A052DC" w:rsidRDefault="009F0A60">
            <w:pPr>
              <w:pStyle w:val="B"/>
              <w:rPr>
                <w:szCs w:val="20"/>
              </w:rPr>
            </w:pPr>
            <w:r>
              <w:rPr>
                <w:rFonts w:hint="eastAsia"/>
                <w:szCs w:val="20"/>
              </w:rPr>
              <w:t>非必填项。如</w:t>
            </w:r>
            <w:r>
              <w:rPr>
                <w:szCs w:val="20"/>
              </w:rPr>
              <w:t>B0304</w:t>
            </w:r>
            <w:r>
              <w:rPr>
                <w:rFonts w:hint="eastAsia"/>
                <w:szCs w:val="20"/>
              </w:rPr>
              <w:t>≠</w:t>
            </w:r>
            <w:r>
              <w:rPr>
                <w:szCs w:val="20"/>
              </w:rPr>
              <w:t>N/A</w:t>
            </w:r>
            <w:r>
              <w:rPr>
                <w:rFonts w:hint="eastAsia"/>
                <w:szCs w:val="20"/>
              </w:rPr>
              <w:t>，则据实填写名称；如</w:t>
            </w:r>
            <w:r>
              <w:rPr>
                <w:szCs w:val="20"/>
              </w:rPr>
              <w:t>B0304=N/A</w:t>
            </w:r>
            <w:r>
              <w:rPr>
                <w:rFonts w:hint="eastAsia"/>
                <w:szCs w:val="20"/>
              </w:rPr>
              <w:t>，此字段为空。</w:t>
            </w:r>
          </w:p>
        </w:tc>
      </w:tr>
      <w:tr w:rsidR="00A052DC" w14:paraId="19FECFD1" w14:textId="77777777">
        <w:trPr>
          <w:jc w:val="center"/>
        </w:trPr>
        <w:tc>
          <w:tcPr>
            <w:tcW w:w="1347" w:type="dxa"/>
            <w:shd w:val="clear" w:color="auto" w:fill="auto"/>
            <w:noWrap/>
          </w:tcPr>
          <w:p w14:paraId="745BF331" w14:textId="77777777" w:rsidR="00A052DC" w:rsidRDefault="009F0A60">
            <w:pPr>
              <w:pStyle w:val="B"/>
              <w:rPr>
                <w:szCs w:val="20"/>
              </w:rPr>
            </w:pPr>
            <w:r>
              <w:rPr>
                <w:szCs w:val="20"/>
              </w:rPr>
              <w:t>B0306</w:t>
            </w:r>
          </w:p>
        </w:tc>
        <w:tc>
          <w:tcPr>
            <w:tcW w:w="2177" w:type="dxa"/>
            <w:shd w:val="clear" w:color="auto" w:fill="auto"/>
          </w:tcPr>
          <w:p w14:paraId="068DA1B4" w14:textId="77777777" w:rsidR="00A052DC" w:rsidRDefault="009F0A60">
            <w:pPr>
              <w:pStyle w:val="B"/>
              <w:rPr>
                <w:szCs w:val="20"/>
              </w:rPr>
            </w:pPr>
            <w:r>
              <w:rPr>
                <w:rFonts w:hint="eastAsia"/>
                <w:szCs w:val="20"/>
              </w:rPr>
              <w:t>非居民发行主体所属国家</w:t>
            </w:r>
            <w:r>
              <w:rPr>
                <w:szCs w:val="20"/>
              </w:rPr>
              <w:t>/</w:t>
            </w:r>
            <w:r>
              <w:rPr>
                <w:rFonts w:hint="eastAsia"/>
                <w:szCs w:val="20"/>
              </w:rPr>
              <w:t>地区</w:t>
            </w:r>
          </w:p>
        </w:tc>
        <w:tc>
          <w:tcPr>
            <w:tcW w:w="1417" w:type="dxa"/>
            <w:shd w:val="clear" w:color="auto" w:fill="auto"/>
            <w:noWrap/>
          </w:tcPr>
          <w:p w14:paraId="02813675" w14:textId="77777777" w:rsidR="00A052DC" w:rsidRDefault="009F0A60">
            <w:pPr>
              <w:pStyle w:val="B"/>
              <w:rPr>
                <w:szCs w:val="20"/>
              </w:rPr>
            </w:pPr>
            <w:r>
              <w:rPr>
                <w:rFonts w:hint="eastAsia"/>
                <w:szCs w:val="20"/>
              </w:rPr>
              <w:t>字符型，</w:t>
            </w:r>
            <w:r>
              <w:rPr>
                <w:szCs w:val="20"/>
              </w:rPr>
              <w:t>3</w:t>
            </w:r>
          </w:p>
        </w:tc>
        <w:tc>
          <w:tcPr>
            <w:tcW w:w="3686" w:type="dxa"/>
          </w:tcPr>
          <w:p w14:paraId="3212E598" w14:textId="77777777" w:rsidR="00A052DC" w:rsidRDefault="009F0A60">
            <w:pPr>
              <w:pStyle w:val="B"/>
              <w:widowControl w:val="0"/>
              <w:rPr>
                <w:szCs w:val="20"/>
              </w:rPr>
            </w:pPr>
            <w:r>
              <w:rPr>
                <w:rFonts w:hint="eastAsia"/>
                <w:szCs w:val="20"/>
              </w:rPr>
              <w:t>必填项，见国家和地区代码表的</w:t>
            </w:r>
            <w:r>
              <w:rPr>
                <w:szCs w:val="20"/>
              </w:rPr>
              <w:t>3</w:t>
            </w:r>
            <w:r>
              <w:rPr>
                <w:rFonts w:hint="eastAsia"/>
                <w:szCs w:val="20"/>
              </w:rPr>
              <w:t>位字母代码，必须≠</w:t>
            </w:r>
            <w:r>
              <w:rPr>
                <w:szCs w:val="20"/>
              </w:rPr>
              <w:t>CHN</w:t>
            </w:r>
            <w:r>
              <w:rPr>
                <w:rFonts w:hint="eastAsia"/>
                <w:szCs w:val="20"/>
              </w:rPr>
              <w:t>或N/A。</w:t>
            </w:r>
          </w:p>
        </w:tc>
      </w:tr>
      <w:tr w:rsidR="00A052DC" w14:paraId="1CA2BFDA" w14:textId="77777777">
        <w:trPr>
          <w:jc w:val="center"/>
        </w:trPr>
        <w:tc>
          <w:tcPr>
            <w:tcW w:w="1347" w:type="dxa"/>
            <w:shd w:val="clear" w:color="auto" w:fill="auto"/>
            <w:noWrap/>
          </w:tcPr>
          <w:p w14:paraId="5F773601" w14:textId="77777777" w:rsidR="00A052DC" w:rsidRDefault="009F0A60">
            <w:pPr>
              <w:pStyle w:val="B"/>
              <w:rPr>
                <w:szCs w:val="20"/>
              </w:rPr>
            </w:pPr>
            <w:r>
              <w:rPr>
                <w:szCs w:val="20"/>
              </w:rPr>
              <w:t>B0307</w:t>
            </w:r>
          </w:p>
        </w:tc>
        <w:tc>
          <w:tcPr>
            <w:tcW w:w="2177" w:type="dxa"/>
            <w:shd w:val="clear" w:color="auto" w:fill="auto"/>
          </w:tcPr>
          <w:p w14:paraId="7B5F9D3A" w14:textId="77777777" w:rsidR="00A052DC" w:rsidRDefault="009F0A60">
            <w:pPr>
              <w:pStyle w:val="B"/>
              <w:rPr>
                <w:szCs w:val="20"/>
              </w:rPr>
            </w:pPr>
            <w:r>
              <w:rPr>
                <w:rFonts w:hint="eastAsia"/>
                <w:szCs w:val="20"/>
              </w:rPr>
              <w:t>非居民发行主体所属部门</w:t>
            </w:r>
          </w:p>
        </w:tc>
        <w:tc>
          <w:tcPr>
            <w:tcW w:w="1417" w:type="dxa"/>
            <w:shd w:val="clear" w:color="auto" w:fill="auto"/>
            <w:noWrap/>
          </w:tcPr>
          <w:p w14:paraId="1E1FA43F" w14:textId="77777777" w:rsidR="00A052DC" w:rsidRDefault="009F0A60">
            <w:pPr>
              <w:pStyle w:val="B"/>
              <w:rPr>
                <w:szCs w:val="20"/>
              </w:rPr>
            </w:pPr>
            <w:r>
              <w:rPr>
                <w:rFonts w:hint="eastAsia"/>
                <w:szCs w:val="20"/>
              </w:rPr>
              <w:t>整数型</w:t>
            </w:r>
          </w:p>
        </w:tc>
        <w:tc>
          <w:tcPr>
            <w:tcW w:w="3686" w:type="dxa"/>
          </w:tcPr>
          <w:p w14:paraId="3EECC733" w14:textId="77777777" w:rsidR="00A052DC" w:rsidRDefault="009F0A60">
            <w:pPr>
              <w:pStyle w:val="B"/>
              <w:rPr>
                <w:szCs w:val="20"/>
              </w:rPr>
            </w:pPr>
            <w:r>
              <w:rPr>
                <w:rFonts w:hint="eastAsia"/>
                <w:szCs w:val="20"/>
              </w:rPr>
              <w:t>必填项，见投资者（被投资者）部门代码表。</w:t>
            </w:r>
          </w:p>
        </w:tc>
      </w:tr>
      <w:tr w:rsidR="00A052DC" w14:paraId="6FA7EAE1" w14:textId="77777777">
        <w:trPr>
          <w:jc w:val="center"/>
        </w:trPr>
        <w:tc>
          <w:tcPr>
            <w:tcW w:w="1347" w:type="dxa"/>
            <w:shd w:val="clear" w:color="auto" w:fill="auto"/>
            <w:noWrap/>
          </w:tcPr>
          <w:p w14:paraId="2AA6DD3F" w14:textId="77777777" w:rsidR="00A052DC" w:rsidRDefault="009F0A60">
            <w:pPr>
              <w:pStyle w:val="B"/>
              <w:rPr>
                <w:szCs w:val="20"/>
              </w:rPr>
            </w:pPr>
            <w:r>
              <w:rPr>
                <w:szCs w:val="20"/>
              </w:rPr>
              <w:t>B0308</w:t>
            </w:r>
          </w:p>
        </w:tc>
        <w:tc>
          <w:tcPr>
            <w:tcW w:w="2177" w:type="dxa"/>
            <w:shd w:val="clear" w:color="auto" w:fill="auto"/>
          </w:tcPr>
          <w:p w14:paraId="5E828590" w14:textId="77777777" w:rsidR="00A052DC" w:rsidRDefault="009F0A60">
            <w:pPr>
              <w:pStyle w:val="B"/>
              <w:rPr>
                <w:szCs w:val="20"/>
              </w:rPr>
            </w:pPr>
            <w:r>
              <w:rPr>
                <w:rFonts w:hint="eastAsia"/>
                <w:szCs w:val="20"/>
              </w:rPr>
              <w:t>债务证券原始期限</w:t>
            </w:r>
          </w:p>
        </w:tc>
        <w:tc>
          <w:tcPr>
            <w:tcW w:w="1417" w:type="dxa"/>
            <w:shd w:val="clear" w:color="auto" w:fill="auto"/>
            <w:noWrap/>
          </w:tcPr>
          <w:p w14:paraId="504AD0AF" w14:textId="77777777" w:rsidR="00A052DC" w:rsidRDefault="009F0A60">
            <w:pPr>
              <w:pStyle w:val="B"/>
              <w:rPr>
                <w:szCs w:val="20"/>
              </w:rPr>
            </w:pPr>
            <w:r>
              <w:rPr>
                <w:rFonts w:hint="eastAsia"/>
                <w:szCs w:val="20"/>
              </w:rPr>
              <w:t>整数型</w:t>
            </w:r>
          </w:p>
        </w:tc>
        <w:tc>
          <w:tcPr>
            <w:tcW w:w="3686" w:type="dxa"/>
          </w:tcPr>
          <w:p w14:paraId="6134AE93" w14:textId="77777777" w:rsidR="00A052DC" w:rsidRDefault="009F0A60">
            <w:pPr>
              <w:pStyle w:val="B"/>
              <w:widowControl w:val="0"/>
            </w:pPr>
            <w:r>
              <w:rPr>
                <w:rFonts w:hint="eastAsia"/>
              </w:rPr>
              <w:t>非必填项。如</w:t>
            </w:r>
            <w:r>
              <w:t>B0303=1</w:t>
            </w:r>
            <w:r>
              <w:rPr>
                <w:rFonts w:hint="eastAsia"/>
                <w:szCs w:val="20"/>
              </w:rPr>
              <w:t>，</w:t>
            </w:r>
            <w:r>
              <w:t>2</w:t>
            </w:r>
            <w:r>
              <w:rPr>
                <w:rFonts w:hint="eastAsia"/>
              </w:rPr>
              <w:t>，</w:t>
            </w:r>
            <w:r>
              <w:t>4</w:t>
            </w:r>
            <w:r>
              <w:rPr>
                <w:rFonts w:hint="eastAsia"/>
                <w:szCs w:val="20"/>
              </w:rPr>
              <w:t>，</w:t>
            </w:r>
            <w:r>
              <w:rPr>
                <w:szCs w:val="20"/>
              </w:rPr>
              <w:t>5</w:t>
            </w:r>
            <w:r>
              <w:rPr>
                <w:rFonts w:hint="eastAsia"/>
              </w:rPr>
              <w:t>或</w:t>
            </w:r>
            <w:r>
              <w:rPr>
                <w:szCs w:val="20"/>
              </w:rPr>
              <w:t>7</w:t>
            </w:r>
            <w:r>
              <w:rPr>
                <w:rFonts w:hint="eastAsia"/>
              </w:rPr>
              <w:t>则本字段为空；如</w:t>
            </w:r>
            <w:r>
              <w:t>B0303=3</w:t>
            </w:r>
            <w:r>
              <w:rPr>
                <w:rFonts w:hint="eastAsia"/>
              </w:rPr>
              <w:t>，</w:t>
            </w:r>
            <w:r>
              <w:t>6</w:t>
            </w:r>
            <w:r>
              <w:rPr>
                <w:rFonts w:hint="eastAsia"/>
              </w:rPr>
              <w:t>则为必填项，必须</w:t>
            </w:r>
            <w:r>
              <w:t>2</w:t>
            </w:r>
            <w:r>
              <w:rPr>
                <w:rFonts w:hint="eastAsia"/>
              </w:rPr>
              <w:t>选</w:t>
            </w:r>
            <w:r>
              <w:t>1</w:t>
            </w:r>
            <w:r>
              <w:rPr>
                <w:rFonts w:hint="eastAsia"/>
              </w:rPr>
              <w:t>：</w:t>
            </w:r>
          </w:p>
          <w:p w14:paraId="3D1A37E9" w14:textId="77777777" w:rsidR="00A052DC" w:rsidRDefault="009F0A60">
            <w:pPr>
              <w:rPr>
                <w:rFonts w:ascii="黑体" w:eastAsia="黑体" w:hAnsi="黑体"/>
                <w:sz w:val="20"/>
                <w:szCs w:val="20"/>
              </w:rPr>
            </w:pPr>
            <w:r>
              <w:rPr>
                <w:rFonts w:ascii="黑体" w:eastAsia="黑体" w:hAnsi="黑体"/>
                <w:sz w:val="20"/>
                <w:szCs w:val="20"/>
              </w:rPr>
              <w:t>1-一年及以下；</w:t>
            </w:r>
          </w:p>
          <w:p w14:paraId="31DFBECF" w14:textId="77777777" w:rsidR="00A052DC" w:rsidRDefault="009F0A60">
            <w:pPr>
              <w:rPr>
                <w:rFonts w:ascii="黑体" w:eastAsia="黑体" w:hAnsi="黑体"/>
                <w:b/>
                <w:sz w:val="20"/>
                <w:szCs w:val="20"/>
              </w:rPr>
            </w:pPr>
            <w:r>
              <w:rPr>
                <w:szCs w:val="20"/>
              </w:rPr>
              <w:t>2</w:t>
            </w:r>
            <w:r>
              <w:rPr>
                <w:rFonts w:ascii="黑体" w:eastAsia="黑体" w:hAnsi="黑体"/>
                <w:sz w:val="20"/>
                <w:szCs w:val="20"/>
              </w:rPr>
              <w:t>-</w:t>
            </w:r>
            <w:r w:rsidR="00A052DC" w:rsidRPr="00A052DC">
              <w:rPr>
                <w:rFonts w:ascii="黑体" w:eastAsia="黑体" w:hAnsi="黑体" w:hint="eastAsia"/>
                <w:sz w:val="20"/>
                <w:szCs w:val="20"/>
              </w:rPr>
              <w:t>一年以上，含永久性债券</w:t>
            </w:r>
            <w:r>
              <w:rPr>
                <w:rFonts w:ascii="黑体" w:eastAsia="黑体" w:hAnsi="黑体" w:hint="eastAsia"/>
                <w:sz w:val="20"/>
                <w:szCs w:val="20"/>
              </w:rPr>
              <w:t>。</w:t>
            </w:r>
          </w:p>
        </w:tc>
      </w:tr>
      <w:tr w:rsidR="00A052DC" w14:paraId="4DF2BA0A" w14:textId="77777777">
        <w:trPr>
          <w:jc w:val="center"/>
        </w:trPr>
        <w:tc>
          <w:tcPr>
            <w:tcW w:w="1347" w:type="dxa"/>
            <w:shd w:val="clear" w:color="auto" w:fill="auto"/>
            <w:noWrap/>
          </w:tcPr>
          <w:p w14:paraId="17EAB838" w14:textId="77777777" w:rsidR="00A052DC" w:rsidRDefault="009F0A60">
            <w:pPr>
              <w:pStyle w:val="B"/>
              <w:rPr>
                <w:szCs w:val="20"/>
              </w:rPr>
            </w:pPr>
            <w:r>
              <w:rPr>
                <w:szCs w:val="20"/>
              </w:rPr>
              <w:t>B0309</w:t>
            </w:r>
          </w:p>
        </w:tc>
        <w:tc>
          <w:tcPr>
            <w:tcW w:w="2177" w:type="dxa"/>
            <w:shd w:val="clear" w:color="auto" w:fill="auto"/>
          </w:tcPr>
          <w:p w14:paraId="22AA0733" w14:textId="77777777" w:rsidR="00A052DC" w:rsidRDefault="009F0A60">
            <w:pPr>
              <w:pStyle w:val="B"/>
              <w:rPr>
                <w:szCs w:val="20"/>
              </w:rPr>
            </w:pPr>
            <w:r>
              <w:rPr>
                <w:rFonts w:hint="eastAsia"/>
                <w:szCs w:val="20"/>
              </w:rPr>
              <w:t>原始币种</w:t>
            </w:r>
          </w:p>
        </w:tc>
        <w:tc>
          <w:tcPr>
            <w:tcW w:w="1417" w:type="dxa"/>
            <w:shd w:val="clear" w:color="auto" w:fill="auto"/>
            <w:noWrap/>
          </w:tcPr>
          <w:p w14:paraId="6FE2F49C" w14:textId="77777777" w:rsidR="00A052DC" w:rsidRDefault="009F0A60">
            <w:pPr>
              <w:pStyle w:val="B"/>
              <w:rPr>
                <w:szCs w:val="20"/>
              </w:rPr>
            </w:pPr>
            <w:r>
              <w:rPr>
                <w:rFonts w:hint="eastAsia"/>
                <w:szCs w:val="20"/>
              </w:rPr>
              <w:t>字符型，</w:t>
            </w:r>
            <w:r>
              <w:rPr>
                <w:szCs w:val="20"/>
              </w:rPr>
              <w:t>3</w:t>
            </w:r>
          </w:p>
        </w:tc>
        <w:tc>
          <w:tcPr>
            <w:tcW w:w="3686" w:type="dxa"/>
          </w:tcPr>
          <w:p w14:paraId="70CEF0A4" w14:textId="77777777" w:rsidR="00A052DC" w:rsidRDefault="009F0A60">
            <w:pPr>
              <w:pStyle w:val="B"/>
              <w:rPr>
                <w:szCs w:val="20"/>
              </w:rPr>
            </w:pPr>
            <w:r>
              <w:rPr>
                <w:rFonts w:hint="eastAsia"/>
                <w:szCs w:val="20"/>
              </w:rPr>
              <w:t>必填项，见币种代码表。</w:t>
            </w:r>
          </w:p>
        </w:tc>
      </w:tr>
      <w:tr w:rsidR="00A052DC" w14:paraId="6B84F2B1" w14:textId="77777777">
        <w:trPr>
          <w:jc w:val="center"/>
        </w:trPr>
        <w:tc>
          <w:tcPr>
            <w:tcW w:w="1347" w:type="dxa"/>
            <w:shd w:val="clear" w:color="auto" w:fill="auto"/>
            <w:noWrap/>
          </w:tcPr>
          <w:p w14:paraId="73D7F236" w14:textId="77777777" w:rsidR="00A052DC" w:rsidRDefault="009F0A60">
            <w:pPr>
              <w:pStyle w:val="B"/>
              <w:rPr>
                <w:szCs w:val="20"/>
              </w:rPr>
            </w:pPr>
            <w:r>
              <w:rPr>
                <w:szCs w:val="20"/>
              </w:rPr>
              <w:t>B0310</w:t>
            </w:r>
          </w:p>
        </w:tc>
        <w:tc>
          <w:tcPr>
            <w:tcW w:w="2177" w:type="dxa"/>
            <w:shd w:val="clear" w:color="auto" w:fill="auto"/>
          </w:tcPr>
          <w:p w14:paraId="3E7406FD" w14:textId="77777777" w:rsidR="00A052DC" w:rsidRDefault="009F0A60">
            <w:pPr>
              <w:pStyle w:val="B"/>
              <w:rPr>
                <w:szCs w:val="20"/>
              </w:rPr>
            </w:pPr>
            <w:r>
              <w:rPr>
                <w:rFonts w:hint="eastAsia"/>
                <w:szCs w:val="20"/>
              </w:rPr>
              <w:t>上月末市值</w:t>
            </w:r>
          </w:p>
        </w:tc>
        <w:tc>
          <w:tcPr>
            <w:tcW w:w="1417" w:type="dxa"/>
            <w:shd w:val="clear" w:color="auto" w:fill="auto"/>
            <w:noWrap/>
          </w:tcPr>
          <w:p w14:paraId="043CFE0B" w14:textId="77777777" w:rsidR="00A052DC" w:rsidRDefault="009F0A60">
            <w:pPr>
              <w:pStyle w:val="B"/>
              <w:rPr>
                <w:szCs w:val="20"/>
              </w:rPr>
            </w:pPr>
            <w:r>
              <w:rPr>
                <w:rFonts w:hint="eastAsia"/>
                <w:szCs w:val="20"/>
              </w:rPr>
              <w:t>数值型，</w:t>
            </w:r>
            <w:r>
              <w:rPr>
                <w:szCs w:val="20"/>
              </w:rPr>
              <w:t>22.2</w:t>
            </w:r>
          </w:p>
        </w:tc>
        <w:tc>
          <w:tcPr>
            <w:tcW w:w="3686" w:type="dxa"/>
          </w:tcPr>
          <w:p w14:paraId="32EA8F37" w14:textId="77777777" w:rsidR="00A052DC" w:rsidRDefault="009F0A60">
            <w:pPr>
              <w:pStyle w:val="B"/>
              <w:rPr>
                <w:szCs w:val="20"/>
              </w:rPr>
            </w:pPr>
            <w:r>
              <w:rPr>
                <w:rFonts w:hint="eastAsia"/>
                <w:szCs w:val="20"/>
              </w:rPr>
              <w:t>必填项。</w:t>
            </w:r>
          </w:p>
        </w:tc>
      </w:tr>
      <w:tr w:rsidR="00A052DC" w14:paraId="379AC95D" w14:textId="77777777">
        <w:trPr>
          <w:jc w:val="center"/>
        </w:trPr>
        <w:tc>
          <w:tcPr>
            <w:tcW w:w="1347" w:type="dxa"/>
            <w:shd w:val="clear" w:color="auto" w:fill="auto"/>
            <w:noWrap/>
          </w:tcPr>
          <w:p w14:paraId="665F559A" w14:textId="77777777" w:rsidR="00A052DC" w:rsidRDefault="009F0A60">
            <w:pPr>
              <w:pStyle w:val="B"/>
              <w:rPr>
                <w:szCs w:val="20"/>
              </w:rPr>
            </w:pPr>
            <w:r>
              <w:rPr>
                <w:szCs w:val="20"/>
              </w:rPr>
              <w:t>B0311</w:t>
            </w:r>
          </w:p>
        </w:tc>
        <w:tc>
          <w:tcPr>
            <w:tcW w:w="2177" w:type="dxa"/>
            <w:shd w:val="clear" w:color="auto" w:fill="auto"/>
          </w:tcPr>
          <w:p w14:paraId="7263E4F6" w14:textId="77777777" w:rsidR="00A052DC" w:rsidRDefault="009F0A60">
            <w:pPr>
              <w:pStyle w:val="B"/>
              <w:rPr>
                <w:szCs w:val="20"/>
              </w:rPr>
            </w:pPr>
            <w:r>
              <w:rPr>
                <w:rFonts w:hint="eastAsia"/>
                <w:szCs w:val="20"/>
              </w:rPr>
              <w:t>本月买入（申购）金额</w:t>
            </w:r>
          </w:p>
        </w:tc>
        <w:tc>
          <w:tcPr>
            <w:tcW w:w="1417" w:type="dxa"/>
            <w:shd w:val="clear" w:color="auto" w:fill="auto"/>
            <w:noWrap/>
          </w:tcPr>
          <w:p w14:paraId="7D53A068" w14:textId="77777777" w:rsidR="00A052DC" w:rsidRDefault="009F0A60">
            <w:pPr>
              <w:pStyle w:val="B"/>
              <w:rPr>
                <w:szCs w:val="20"/>
              </w:rPr>
            </w:pPr>
            <w:r>
              <w:rPr>
                <w:rFonts w:hint="eastAsia"/>
                <w:szCs w:val="20"/>
              </w:rPr>
              <w:t>数值型，</w:t>
            </w:r>
            <w:r>
              <w:rPr>
                <w:szCs w:val="20"/>
              </w:rPr>
              <w:t>22.2</w:t>
            </w:r>
          </w:p>
        </w:tc>
        <w:tc>
          <w:tcPr>
            <w:tcW w:w="3686" w:type="dxa"/>
          </w:tcPr>
          <w:p w14:paraId="0C3DBD7B" w14:textId="77777777" w:rsidR="00A052DC" w:rsidRDefault="009F0A60">
            <w:pPr>
              <w:pStyle w:val="B"/>
              <w:rPr>
                <w:szCs w:val="20"/>
              </w:rPr>
            </w:pPr>
            <w:r>
              <w:rPr>
                <w:rFonts w:hint="eastAsia"/>
                <w:szCs w:val="20"/>
              </w:rPr>
              <w:t>必填项，必须≥</w:t>
            </w:r>
            <w:r>
              <w:rPr>
                <w:szCs w:val="20"/>
              </w:rPr>
              <w:t>0</w:t>
            </w:r>
            <w:r>
              <w:rPr>
                <w:rFonts w:hint="eastAsia"/>
                <w:szCs w:val="20"/>
              </w:rPr>
              <w:t>。</w:t>
            </w:r>
          </w:p>
        </w:tc>
      </w:tr>
      <w:tr w:rsidR="00A052DC" w14:paraId="3A23E035" w14:textId="77777777">
        <w:trPr>
          <w:jc w:val="center"/>
        </w:trPr>
        <w:tc>
          <w:tcPr>
            <w:tcW w:w="1347" w:type="dxa"/>
            <w:shd w:val="clear" w:color="auto" w:fill="auto"/>
            <w:noWrap/>
          </w:tcPr>
          <w:p w14:paraId="482BB8AC" w14:textId="77777777" w:rsidR="00A052DC" w:rsidRDefault="009F0A60">
            <w:pPr>
              <w:pStyle w:val="B"/>
              <w:rPr>
                <w:szCs w:val="20"/>
              </w:rPr>
            </w:pPr>
            <w:r>
              <w:rPr>
                <w:szCs w:val="20"/>
              </w:rPr>
              <w:t>B0312</w:t>
            </w:r>
          </w:p>
        </w:tc>
        <w:tc>
          <w:tcPr>
            <w:tcW w:w="2177" w:type="dxa"/>
            <w:shd w:val="clear" w:color="auto" w:fill="auto"/>
          </w:tcPr>
          <w:p w14:paraId="505867B0" w14:textId="77777777" w:rsidR="00A052DC" w:rsidRDefault="009F0A60">
            <w:pPr>
              <w:pStyle w:val="B"/>
              <w:rPr>
                <w:szCs w:val="20"/>
              </w:rPr>
            </w:pPr>
            <w:r>
              <w:rPr>
                <w:rFonts w:hint="eastAsia"/>
                <w:szCs w:val="20"/>
              </w:rPr>
              <w:t>本月卖出（赎回）金额</w:t>
            </w:r>
          </w:p>
        </w:tc>
        <w:tc>
          <w:tcPr>
            <w:tcW w:w="1417" w:type="dxa"/>
            <w:shd w:val="clear" w:color="auto" w:fill="auto"/>
            <w:noWrap/>
          </w:tcPr>
          <w:p w14:paraId="6A8EB688" w14:textId="77777777" w:rsidR="00A052DC" w:rsidRDefault="009F0A60">
            <w:pPr>
              <w:pStyle w:val="B"/>
              <w:rPr>
                <w:szCs w:val="20"/>
              </w:rPr>
            </w:pPr>
            <w:r>
              <w:rPr>
                <w:rFonts w:hint="eastAsia"/>
                <w:szCs w:val="20"/>
              </w:rPr>
              <w:t>数值型，</w:t>
            </w:r>
            <w:r>
              <w:rPr>
                <w:szCs w:val="20"/>
              </w:rPr>
              <w:t>22.2</w:t>
            </w:r>
          </w:p>
        </w:tc>
        <w:tc>
          <w:tcPr>
            <w:tcW w:w="3686" w:type="dxa"/>
          </w:tcPr>
          <w:p w14:paraId="7FFD7950" w14:textId="77777777" w:rsidR="00A052DC" w:rsidRDefault="009F0A60">
            <w:pPr>
              <w:pStyle w:val="B"/>
              <w:rPr>
                <w:szCs w:val="20"/>
              </w:rPr>
            </w:pPr>
            <w:r>
              <w:rPr>
                <w:rFonts w:hint="eastAsia"/>
                <w:szCs w:val="20"/>
              </w:rPr>
              <w:t>必填项，必须≥</w:t>
            </w:r>
            <w:r>
              <w:rPr>
                <w:szCs w:val="20"/>
              </w:rPr>
              <w:t>0</w:t>
            </w:r>
            <w:r>
              <w:rPr>
                <w:rFonts w:hint="eastAsia"/>
                <w:szCs w:val="20"/>
              </w:rPr>
              <w:t>。</w:t>
            </w:r>
          </w:p>
        </w:tc>
      </w:tr>
      <w:tr w:rsidR="00A052DC" w14:paraId="69C1E03E" w14:textId="77777777">
        <w:trPr>
          <w:jc w:val="center"/>
        </w:trPr>
        <w:tc>
          <w:tcPr>
            <w:tcW w:w="1347" w:type="dxa"/>
            <w:shd w:val="clear" w:color="auto" w:fill="auto"/>
            <w:noWrap/>
          </w:tcPr>
          <w:p w14:paraId="0D5D2BB2" w14:textId="77777777" w:rsidR="00A052DC" w:rsidRDefault="009F0A60">
            <w:pPr>
              <w:pStyle w:val="B"/>
              <w:rPr>
                <w:szCs w:val="20"/>
              </w:rPr>
            </w:pPr>
            <w:r>
              <w:rPr>
                <w:szCs w:val="20"/>
              </w:rPr>
              <w:t>B0312AMT</w:t>
            </w:r>
          </w:p>
        </w:tc>
        <w:tc>
          <w:tcPr>
            <w:tcW w:w="2177" w:type="dxa"/>
            <w:shd w:val="clear" w:color="auto" w:fill="auto"/>
          </w:tcPr>
          <w:p w14:paraId="4A62085B" w14:textId="77777777" w:rsidR="00A052DC" w:rsidRDefault="009F0A60">
            <w:pPr>
              <w:pStyle w:val="B"/>
              <w:rPr>
                <w:szCs w:val="20"/>
              </w:rPr>
            </w:pPr>
            <w:r>
              <w:rPr>
                <w:rFonts w:hint="eastAsia"/>
                <w:szCs w:val="20"/>
              </w:rPr>
              <w:t>本月卖出（赎回）金额</w:t>
            </w:r>
            <w:r>
              <w:rPr>
                <w:rFonts w:hAnsi="宋体" w:hint="eastAsia"/>
                <w:color w:val="000000"/>
              </w:rPr>
              <w:t>其中：债券到期或提前兑付的本息金额</w:t>
            </w:r>
          </w:p>
        </w:tc>
        <w:tc>
          <w:tcPr>
            <w:tcW w:w="1417" w:type="dxa"/>
            <w:shd w:val="clear" w:color="auto" w:fill="auto"/>
            <w:noWrap/>
          </w:tcPr>
          <w:p w14:paraId="2DE769D8" w14:textId="77777777" w:rsidR="00A052DC" w:rsidRDefault="009F0A60">
            <w:pPr>
              <w:pStyle w:val="B"/>
              <w:rPr>
                <w:szCs w:val="20"/>
              </w:rPr>
            </w:pPr>
            <w:r>
              <w:rPr>
                <w:rFonts w:hint="eastAsia"/>
                <w:szCs w:val="20"/>
              </w:rPr>
              <w:t>数值型，</w:t>
            </w:r>
            <w:r>
              <w:rPr>
                <w:szCs w:val="20"/>
              </w:rPr>
              <w:t>22.2</w:t>
            </w:r>
          </w:p>
        </w:tc>
        <w:tc>
          <w:tcPr>
            <w:tcW w:w="3686" w:type="dxa"/>
          </w:tcPr>
          <w:p w14:paraId="21D454B1" w14:textId="77777777" w:rsidR="00A052DC" w:rsidRDefault="009F0A60">
            <w:pPr>
              <w:pStyle w:val="B"/>
              <w:rPr>
                <w:szCs w:val="20"/>
              </w:rPr>
            </w:pPr>
            <w:r>
              <w:rPr>
                <w:rFonts w:hint="eastAsia"/>
                <w:szCs w:val="20"/>
              </w:rPr>
              <w:t>非必填项，如</w:t>
            </w:r>
            <w:r>
              <w:rPr>
                <w:szCs w:val="20"/>
              </w:rPr>
              <w:t>B0303=1,2,4,5或7则本字段为空；如B0303=3,6则为必填项，必须≥0</w:t>
            </w:r>
            <w:r>
              <w:rPr>
                <w:rFonts w:hint="eastAsia"/>
                <w:szCs w:val="20"/>
              </w:rPr>
              <w:t>，且必须满足</w:t>
            </w:r>
            <w:r>
              <w:rPr>
                <w:szCs w:val="20"/>
              </w:rPr>
              <w:t>B0312AMT≤B0312。</w:t>
            </w:r>
          </w:p>
        </w:tc>
      </w:tr>
      <w:tr w:rsidR="00A052DC" w14:paraId="61564A3F" w14:textId="77777777">
        <w:trPr>
          <w:jc w:val="center"/>
        </w:trPr>
        <w:tc>
          <w:tcPr>
            <w:tcW w:w="1347" w:type="dxa"/>
            <w:shd w:val="clear" w:color="auto" w:fill="auto"/>
            <w:noWrap/>
          </w:tcPr>
          <w:p w14:paraId="4DC49179" w14:textId="77777777" w:rsidR="00A052DC" w:rsidRDefault="009F0A60">
            <w:pPr>
              <w:pStyle w:val="B"/>
              <w:rPr>
                <w:szCs w:val="20"/>
              </w:rPr>
            </w:pPr>
            <w:r>
              <w:rPr>
                <w:szCs w:val="20"/>
              </w:rPr>
              <w:t>B0313</w:t>
            </w:r>
          </w:p>
        </w:tc>
        <w:tc>
          <w:tcPr>
            <w:tcW w:w="2177" w:type="dxa"/>
            <w:shd w:val="clear" w:color="auto" w:fill="auto"/>
          </w:tcPr>
          <w:p w14:paraId="090DBED4" w14:textId="77777777" w:rsidR="00A052DC" w:rsidRDefault="009F0A60">
            <w:pPr>
              <w:pStyle w:val="B"/>
              <w:rPr>
                <w:szCs w:val="20"/>
              </w:rPr>
            </w:pPr>
            <w:r>
              <w:rPr>
                <w:rFonts w:hint="eastAsia"/>
                <w:szCs w:val="20"/>
              </w:rPr>
              <w:t>本月非交易变动</w:t>
            </w:r>
          </w:p>
        </w:tc>
        <w:tc>
          <w:tcPr>
            <w:tcW w:w="1417" w:type="dxa"/>
            <w:shd w:val="clear" w:color="auto" w:fill="auto"/>
            <w:noWrap/>
          </w:tcPr>
          <w:p w14:paraId="6F5E85C2" w14:textId="77777777" w:rsidR="00A052DC" w:rsidRDefault="009F0A60">
            <w:pPr>
              <w:pStyle w:val="B"/>
              <w:rPr>
                <w:szCs w:val="20"/>
              </w:rPr>
            </w:pPr>
            <w:r>
              <w:rPr>
                <w:rFonts w:hint="eastAsia"/>
                <w:szCs w:val="20"/>
              </w:rPr>
              <w:t>数值型，</w:t>
            </w:r>
            <w:r>
              <w:rPr>
                <w:szCs w:val="20"/>
              </w:rPr>
              <w:t>22.2</w:t>
            </w:r>
          </w:p>
        </w:tc>
        <w:tc>
          <w:tcPr>
            <w:tcW w:w="3686" w:type="dxa"/>
            <w:shd w:val="clear" w:color="auto" w:fill="auto"/>
            <w:noWrap/>
          </w:tcPr>
          <w:p w14:paraId="183E4CE7" w14:textId="77777777" w:rsidR="00A052DC" w:rsidRDefault="009F0A60">
            <w:pPr>
              <w:pStyle w:val="B"/>
              <w:rPr>
                <w:szCs w:val="20"/>
              </w:rPr>
            </w:pPr>
            <w:r>
              <w:rPr>
                <w:rFonts w:hint="eastAsia"/>
                <w:szCs w:val="20"/>
              </w:rPr>
              <w:t>必填项，必须满足：</w:t>
            </w:r>
          </w:p>
          <w:p w14:paraId="29190346" w14:textId="77777777" w:rsidR="00A052DC" w:rsidRDefault="009F0A60">
            <w:pPr>
              <w:pStyle w:val="B"/>
              <w:rPr>
                <w:szCs w:val="20"/>
              </w:rPr>
            </w:pPr>
            <w:r>
              <w:rPr>
                <w:szCs w:val="20"/>
              </w:rPr>
              <w:t>B0313=B0316-B0310-</w:t>
            </w:r>
            <w:r>
              <w:rPr>
                <w:rFonts w:hint="eastAsia"/>
                <w:szCs w:val="20"/>
              </w:rPr>
              <w:t>（</w:t>
            </w:r>
            <w:r>
              <w:rPr>
                <w:szCs w:val="20"/>
              </w:rPr>
              <w:t>B0311-B0312</w:t>
            </w:r>
            <w:r>
              <w:rPr>
                <w:rFonts w:hint="eastAsia"/>
                <w:szCs w:val="20"/>
              </w:rPr>
              <w:t>）。</w:t>
            </w:r>
          </w:p>
          <w:p w14:paraId="3F9F679A" w14:textId="77777777" w:rsidR="00A052DC" w:rsidRDefault="009F0A60">
            <w:pPr>
              <w:rPr>
                <w:rFonts w:ascii="黑体" w:eastAsia="黑体" w:hAnsi="黑体"/>
                <w:sz w:val="20"/>
                <w:szCs w:val="20"/>
              </w:rPr>
            </w:pPr>
            <w:r>
              <w:rPr>
                <w:rFonts w:ascii="黑体" w:eastAsia="黑体" w:hAnsi="黑体"/>
                <w:kern w:val="0"/>
                <w:sz w:val="20"/>
                <w:szCs w:val="20"/>
              </w:rPr>
              <w:t>B0313=B0314+B0315</w:t>
            </w:r>
            <w:r>
              <w:rPr>
                <w:rFonts w:ascii="黑体" w:eastAsia="黑体" w:hAnsi="黑体" w:hint="eastAsia"/>
                <w:kern w:val="0"/>
                <w:sz w:val="20"/>
                <w:szCs w:val="20"/>
              </w:rPr>
              <w:t>。</w:t>
            </w:r>
          </w:p>
        </w:tc>
      </w:tr>
      <w:tr w:rsidR="00A052DC" w14:paraId="679F0F3C" w14:textId="77777777">
        <w:trPr>
          <w:jc w:val="center"/>
        </w:trPr>
        <w:tc>
          <w:tcPr>
            <w:tcW w:w="1347" w:type="dxa"/>
            <w:shd w:val="clear" w:color="auto" w:fill="auto"/>
            <w:noWrap/>
          </w:tcPr>
          <w:p w14:paraId="466B41C8" w14:textId="77777777" w:rsidR="00A052DC" w:rsidRDefault="009F0A60">
            <w:pPr>
              <w:pStyle w:val="B"/>
              <w:rPr>
                <w:szCs w:val="20"/>
              </w:rPr>
            </w:pPr>
            <w:r>
              <w:rPr>
                <w:szCs w:val="20"/>
              </w:rPr>
              <w:t>B0314</w:t>
            </w:r>
          </w:p>
        </w:tc>
        <w:tc>
          <w:tcPr>
            <w:tcW w:w="2177" w:type="dxa"/>
          </w:tcPr>
          <w:p w14:paraId="1BC768E7" w14:textId="77777777" w:rsidR="00A052DC" w:rsidRDefault="009F0A60">
            <w:pPr>
              <w:pStyle w:val="B"/>
              <w:rPr>
                <w:szCs w:val="20"/>
              </w:rPr>
            </w:pPr>
            <w:r>
              <w:rPr>
                <w:rFonts w:hAnsi="宋体" w:hint="eastAsia"/>
                <w:color w:val="000000"/>
              </w:rPr>
              <w:t>注销、调整或重新分类至其他报表统计的金额</w:t>
            </w:r>
          </w:p>
        </w:tc>
        <w:tc>
          <w:tcPr>
            <w:tcW w:w="1417" w:type="dxa"/>
            <w:shd w:val="clear" w:color="auto" w:fill="auto"/>
            <w:noWrap/>
          </w:tcPr>
          <w:p w14:paraId="4C103830" w14:textId="77777777" w:rsidR="00A052DC" w:rsidRDefault="009F0A60">
            <w:pPr>
              <w:pStyle w:val="B"/>
              <w:rPr>
                <w:szCs w:val="20"/>
              </w:rPr>
            </w:pPr>
            <w:r>
              <w:rPr>
                <w:rFonts w:hint="eastAsia"/>
                <w:szCs w:val="20"/>
              </w:rPr>
              <w:t>数值型，</w:t>
            </w:r>
            <w:r>
              <w:rPr>
                <w:szCs w:val="20"/>
              </w:rPr>
              <w:t>22.2</w:t>
            </w:r>
          </w:p>
        </w:tc>
        <w:tc>
          <w:tcPr>
            <w:tcW w:w="3686" w:type="dxa"/>
            <w:shd w:val="clear" w:color="auto" w:fill="auto"/>
            <w:noWrap/>
          </w:tcPr>
          <w:p w14:paraId="25487436" w14:textId="77777777" w:rsidR="00A052DC" w:rsidRDefault="009F0A60">
            <w:pPr>
              <w:pStyle w:val="B"/>
              <w:rPr>
                <w:szCs w:val="20"/>
              </w:rPr>
            </w:pPr>
            <w:r>
              <w:rPr>
                <w:rFonts w:hint="eastAsia"/>
                <w:szCs w:val="20"/>
              </w:rPr>
              <w:t>必填项。</w:t>
            </w:r>
          </w:p>
        </w:tc>
      </w:tr>
      <w:tr w:rsidR="00A052DC" w14:paraId="70C30D15" w14:textId="77777777">
        <w:trPr>
          <w:jc w:val="center"/>
        </w:trPr>
        <w:tc>
          <w:tcPr>
            <w:tcW w:w="1347" w:type="dxa"/>
            <w:shd w:val="clear" w:color="auto" w:fill="auto"/>
            <w:noWrap/>
          </w:tcPr>
          <w:p w14:paraId="5C1865E9" w14:textId="77777777" w:rsidR="00A052DC" w:rsidRDefault="009F0A60">
            <w:pPr>
              <w:pStyle w:val="B"/>
              <w:rPr>
                <w:szCs w:val="20"/>
              </w:rPr>
            </w:pPr>
            <w:r>
              <w:rPr>
                <w:szCs w:val="20"/>
              </w:rPr>
              <w:t>B0315</w:t>
            </w:r>
          </w:p>
        </w:tc>
        <w:tc>
          <w:tcPr>
            <w:tcW w:w="2177" w:type="dxa"/>
          </w:tcPr>
          <w:p w14:paraId="2F0A71D0" w14:textId="77777777" w:rsidR="00A052DC" w:rsidRDefault="009F0A60">
            <w:pPr>
              <w:pStyle w:val="B"/>
              <w:rPr>
                <w:szCs w:val="20"/>
              </w:rPr>
            </w:pPr>
            <w:r>
              <w:rPr>
                <w:rFonts w:hint="eastAsia"/>
              </w:rPr>
              <w:t>价值重估因素</w:t>
            </w:r>
          </w:p>
        </w:tc>
        <w:tc>
          <w:tcPr>
            <w:tcW w:w="1417" w:type="dxa"/>
            <w:shd w:val="clear" w:color="auto" w:fill="auto"/>
            <w:noWrap/>
          </w:tcPr>
          <w:p w14:paraId="3EBD0E0E" w14:textId="77777777" w:rsidR="00A052DC" w:rsidRDefault="009F0A60">
            <w:pPr>
              <w:pStyle w:val="B"/>
              <w:rPr>
                <w:szCs w:val="20"/>
              </w:rPr>
            </w:pPr>
            <w:r>
              <w:rPr>
                <w:rFonts w:hint="eastAsia"/>
                <w:szCs w:val="20"/>
              </w:rPr>
              <w:t>数值型，</w:t>
            </w:r>
            <w:r>
              <w:rPr>
                <w:szCs w:val="20"/>
              </w:rPr>
              <w:t>22.2</w:t>
            </w:r>
          </w:p>
        </w:tc>
        <w:tc>
          <w:tcPr>
            <w:tcW w:w="3686" w:type="dxa"/>
            <w:shd w:val="clear" w:color="auto" w:fill="auto"/>
            <w:noWrap/>
          </w:tcPr>
          <w:p w14:paraId="75D11296" w14:textId="77777777" w:rsidR="00A052DC" w:rsidRDefault="009F0A60">
            <w:pPr>
              <w:pStyle w:val="B"/>
              <w:rPr>
                <w:szCs w:val="20"/>
              </w:rPr>
            </w:pPr>
            <w:r>
              <w:rPr>
                <w:rFonts w:hint="eastAsia"/>
                <w:szCs w:val="20"/>
              </w:rPr>
              <w:t>必填项。</w:t>
            </w:r>
          </w:p>
        </w:tc>
      </w:tr>
      <w:tr w:rsidR="00A052DC" w14:paraId="130072F7" w14:textId="77777777">
        <w:trPr>
          <w:jc w:val="center"/>
        </w:trPr>
        <w:tc>
          <w:tcPr>
            <w:tcW w:w="1347" w:type="dxa"/>
            <w:shd w:val="clear" w:color="auto" w:fill="auto"/>
            <w:noWrap/>
          </w:tcPr>
          <w:p w14:paraId="05D9E3EE" w14:textId="77777777" w:rsidR="00A052DC" w:rsidRDefault="009F0A60">
            <w:pPr>
              <w:pStyle w:val="B"/>
              <w:rPr>
                <w:szCs w:val="20"/>
              </w:rPr>
            </w:pPr>
            <w:r>
              <w:rPr>
                <w:szCs w:val="20"/>
              </w:rPr>
              <w:t>B0316</w:t>
            </w:r>
          </w:p>
        </w:tc>
        <w:tc>
          <w:tcPr>
            <w:tcW w:w="2177" w:type="dxa"/>
            <w:shd w:val="clear" w:color="auto" w:fill="auto"/>
          </w:tcPr>
          <w:p w14:paraId="1309DA56" w14:textId="77777777" w:rsidR="00A052DC" w:rsidRDefault="009F0A60">
            <w:pPr>
              <w:pStyle w:val="B"/>
              <w:rPr>
                <w:szCs w:val="20"/>
              </w:rPr>
            </w:pPr>
            <w:r>
              <w:rPr>
                <w:rFonts w:hint="eastAsia"/>
                <w:szCs w:val="20"/>
              </w:rPr>
              <w:t>本月末市值</w:t>
            </w:r>
          </w:p>
        </w:tc>
        <w:tc>
          <w:tcPr>
            <w:tcW w:w="1417" w:type="dxa"/>
            <w:shd w:val="clear" w:color="auto" w:fill="auto"/>
            <w:noWrap/>
          </w:tcPr>
          <w:p w14:paraId="7C09C38B" w14:textId="77777777" w:rsidR="00A052DC" w:rsidRDefault="009F0A60">
            <w:pPr>
              <w:pStyle w:val="B"/>
              <w:rPr>
                <w:szCs w:val="20"/>
              </w:rPr>
            </w:pPr>
            <w:r>
              <w:rPr>
                <w:rFonts w:hint="eastAsia"/>
                <w:szCs w:val="20"/>
              </w:rPr>
              <w:t>数值型，</w:t>
            </w:r>
            <w:r>
              <w:rPr>
                <w:szCs w:val="20"/>
              </w:rPr>
              <w:t>22.2</w:t>
            </w:r>
          </w:p>
        </w:tc>
        <w:tc>
          <w:tcPr>
            <w:tcW w:w="3686" w:type="dxa"/>
            <w:shd w:val="clear" w:color="auto" w:fill="auto"/>
            <w:noWrap/>
          </w:tcPr>
          <w:p w14:paraId="1D9FB571" w14:textId="77777777" w:rsidR="00A052DC" w:rsidRDefault="009F0A60">
            <w:pPr>
              <w:pStyle w:val="B"/>
              <w:rPr>
                <w:szCs w:val="20"/>
              </w:rPr>
            </w:pPr>
            <w:r>
              <w:rPr>
                <w:rFonts w:hint="eastAsia"/>
                <w:szCs w:val="20"/>
              </w:rPr>
              <w:t>必填项。</w:t>
            </w:r>
          </w:p>
        </w:tc>
      </w:tr>
      <w:tr w:rsidR="00A052DC" w14:paraId="50CC26B7" w14:textId="77777777">
        <w:trPr>
          <w:jc w:val="center"/>
        </w:trPr>
        <w:tc>
          <w:tcPr>
            <w:tcW w:w="1347" w:type="dxa"/>
            <w:shd w:val="clear" w:color="auto" w:fill="auto"/>
            <w:noWrap/>
          </w:tcPr>
          <w:p w14:paraId="13472914" w14:textId="77777777" w:rsidR="00A052DC" w:rsidRDefault="009F0A60">
            <w:pPr>
              <w:pStyle w:val="B"/>
              <w:rPr>
                <w:szCs w:val="20"/>
              </w:rPr>
            </w:pPr>
            <w:r>
              <w:rPr>
                <w:szCs w:val="20"/>
              </w:rPr>
              <w:t>B0317</w:t>
            </w:r>
          </w:p>
        </w:tc>
        <w:tc>
          <w:tcPr>
            <w:tcW w:w="2177" w:type="dxa"/>
          </w:tcPr>
          <w:p w14:paraId="2BFF9259" w14:textId="77777777" w:rsidR="00A052DC" w:rsidRDefault="009F0A60">
            <w:pPr>
              <w:pStyle w:val="B"/>
              <w:rPr>
                <w:szCs w:val="20"/>
              </w:rPr>
            </w:pPr>
            <w:r>
              <w:rPr>
                <w:rFonts w:hint="eastAsia"/>
              </w:rPr>
              <w:t>本月末市值其中</w:t>
            </w:r>
            <w:r>
              <w:rPr>
                <w:rFonts w:hint="eastAsia"/>
                <w:szCs w:val="20"/>
              </w:rPr>
              <w:t>：</w:t>
            </w:r>
            <w:r>
              <w:rPr>
                <w:rFonts w:hint="eastAsia"/>
              </w:rPr>
              <w:t>剩余期限在一年及以下</w:t>
            </w:r>
          </w:p>
        </w:tc>
        <w:tc>
          <w:tcPr>
            <w:tcW w:w="1417" w:type="dxa"/>
            <w:shd w:val="clear" w:color="auto" w:fill="auto"/>
            <w:noWrap/>
          </w:tcPr>
          <w:p w14:paraId="069E2F03" w14:textId="77777777" w:rsidR="00A052DC" w:rsidRDefault="009F0A60">
            <w:pPr>
              <w:pStyle w:val="B"/>
              <w:rPr>
                <w:szCs w:val="20"/>
              </w:rPr>
            </w:pPr>
            <w:r>
              <w:rPr>
                <w:rFonts w:hint="eastAsia"/>
              </w:rPr>
              <w:t>数值型，</w:t>
            </w:r>
            <w:r>
              <w:t>22.2</w:t>
            </w:r>
          </w:p>
        </w:tc>
        <w:tc>
          <w:tcPr>
            <w:tcW w:w="3686" w:type="dxa"/>
            <w:shd w:val="clear" w:color="auto" w:fill="auto"/>
            <w:noWrap/>
          </w:tcPr>
          <w:p w14:paraId="7D7E2EEC" w14:textId="77777777" w:rsidR="00A052DC" w:rsidRDefault="009F0A60">
            <w:pPr>
              <w:pStyle w:val="B"/>
              <w:widowControl w:val="0"/>
            </w:pPr>
            <w:r>
              <w:rPr>
                <w:rFonts w:hint="eastAsia"/>
              </w:rPr>
              <w:t>必填项。</w:t>
            </w:r>
          </w:p>
          <w:p w14:paraId="6CDB13B6" w14:textId="77777777" w:rsidR="00A052DC" w:rsidRDefault="009F0A60">
            <w:pPr>
              <w:pStyle w:val="B"/>
              <w:widowControl w:val="0"/>
            </w:pPr>
            <w:r>
              <w:rPr>
                <w:rFonts w:hint="eastAsia"/>
              </w:rPr>
              <w:t>当</w:t>
            </w:r>
            <w:r>
              <w:t>B0303=1,2,4</w:t>
            </w:r>
            <w:r>
              <w:rPr>
                <w:szCs w:val="20"/>
              </w:rPr>
              <w:t>,5</w:t>
            </w:r>
            <w:r>
              <w:rPr>
                <w:rFonts w:hint="eastAsia"/>
              </w:rPr>
              <w:t>或</w:t>
            </w:r>
            <w:r>
              <w:rPr>
                <w:szCs w:val="20"/>
              </w:rPr>
              <w:t>7</w:t>
            </w:r>
            <w:r>
              <w:rPr>
                <w:rFonts w:hint="eastAsia"/>
              </w:rPr>
              <w:t>时，本项为</w:t>
            </w:r>
            <w:r>
              <w:t>0</w:t>
            </w:r>
            <w:r>
              <w:rPr>
                <w:rFonts w:hint="eastAsia"/>
              </w:rPr>
              <w:t>。</w:t>
            </w:r>
          </w:p>
          <w:p w14:paraId="2B901040" w14:textId="77777777" w:rsidR="00A052DC" w:rsidRDefault="009F0A60">
            <w:pPr>
              <w:pStyle w:val="B"/>
              <w:rPr>
                <w:szCs w:val="20"/>
              </w:rPr>
            </w:pPr>
            <w:r>
              <w:rPr>
                <w:rFonts w:hint="eastAsia"/>
              </w:rPr>
              <w:t>当</w:t>
            </w:r>
            <w:r>
              <w:t>B0303=3</w:t>
            </w:r>
            <w:r>
              <w:rPr>
                <w:rFonts w:hint="eastAsia"/>
                <w:szCs w:val="20"/>
              </w:rPr>
              <w:t>或</w:t>
            </w:r>
            <w:r>
              <w:t>6</w:t>
            </w:r>
            <w:r>
              <w:rPr>
                <w:rFonts w:hint="eastAsia"/>
              </w:rPr>
              <w:t>，且</w:t>
            </w:r>
            <w:r>
              <w:t>B0308=1</w:t>
            </w:r>
            <w:r>
              <w:rPr>
                <w:rFonts w:hint="eastAsia"/>
              </w:rPr>
              <w:t>时，</w:t>
            </w:r>
            <w:r>
              <w:t>B0316=B0317</w:t>
            </w:r>
            <w:r>
              <w:rPr>
                <w:rFonts w:hint="eastAsia"/>
              </w:rPr>
              <w:t>；</w:t>
            </w:r>
            <w:r>
              <w:t>B0308=2</w:t>
            </w:r>
            <w:r>
              <w:rPr>
                <w:rFonts w:hint="eastAsia"/>
              </w:rPr>
              <w:t>时，</w:t>
            </w:r>
            <w:r>
              <w:t>|B0316|</w:t>
            </w:r>
            <w:r>
              <w:rPr>
                <w:rFonts w:hint="eastAsia"/>
              </w:rPr>
              <w:t>≥</w:t>
            </w:r>
            <w:r>
              <w:t>|B0317|</w:t>
            </w:r>
            <w:r>
              <w:rPr>
                <w:rFonts w:hint="eastAsia"/>
              </w:rPr>
              <w:t>。</w:t>
            </w:r>
          </w:p>
        </w:tc>
      </w:tr>
      <w:tr w:rsidR="00A052DC" w14:paraId="32471C3B" w14:textId="77777777">
        <w:trPr>
          <w:jc w:val="center"/>
        </w:trPr>
        <w:tc>
          <w:tcPr>
            <w:tcW w:w="1347" w:type="dxa"/>
            <w:shd w:val="clear" w:color="auto" w:fill="auto"/>
            <w:noWrap/>
          </w:tcPr>
          <w:p w14:paraId="42F60E8D" w14:textId="77777777" w:rsidR="00A052DC" w:rsidRDefault="009F0A60">
            <w:pPr>
              <w:pStyle w:val="B"/>
              <w:rPr>
                <w:szCs w:val="20"/>
              </w:rPr>
            </w:pPr>
            <w:r>
              <w:rPr>
                <w:szCs w:val="20"/>
              </w:rPr>
              <w:t>B0318</w:t>
            </w:r>
          </w:p>
        </w:tc>
        <w:tc>
          <w:tcPr>
            <w:tcW w:w="2177" w:type="dxa"/>
            <w:shd w:val="clear" w:color="auto" w:fill="auto"/>
          </w:tcPr>
          <w:p w14:paraId="7499096B" w14:textId="77777777" w:rsidR="00A052DC" w:rsidRDefault="009F0A60">
            <w:pPr>
              <w:pStyle w:val="B"/>
              <w:rPr>
                <w:szCs w:val="20"/>
              </w:rPr>
            </w:pPr>
            <w:r>
              <w:rPr>
                <w:rFonts w:hint="eastAsia"/>
                <w:szCs w:val="20"/>
              </w:rPr>
              <w:t>本月投资者红利或利息收入</w:t>
            </w:r>
          </w:p>
        </w:tc>
        <w:tc>
          <w:tcPr>
            <w:tcW w:w="1417" w:type="dxa"/>
            <w:shd w:val="clear" w:color="auto" w:fill="auto"/>
            <w:noWrap/>
          </w:tcPr>
          <w:p w14:paraId="2E0B31AD" w14:textId="77777777" w:rsidR="00A052DC" w:rsidRDefault="009F0A60">
            <w:pPr>
              <w:pStyle w:val="B"/>
              <w:rPr>
                <w:szCs w:val="20"/>
              </w:rPr>
            </w:pPr>
            <w:r>
              <w:rPr>
                <w:rFonts w:hint="eastAsia"/>
                <w:szCs w:val="20"/>
              </w:rPr>
              <w:t>数值型，</w:t>
            </w:r>
            <w:r>
              <w:rPr>
                <w:szCs w:val="20"/>
              </w:rPr>
              <w:t>22.2</w:t>
            </w:r>
          </w:p>
        </w:tc>
        <w:tc>
          <w:tcPr>
            <w:tcW w:w="3686" w:type="dxa"/>
          </w:tcPr>
          <w:p w14:paraId="7E7D9196" w14:textId="77777777" w:rsidR="00A052DC" w:rsidRDefault="009F0A60">
            <w:pPr>
              <w:pStyle w:val="B"/>
              <w:rPr>
                <w:szCs w:val="20"/>
              </w:rPr>
            </w:pPr>
            <w:r>
              <w:rPr>
                <w:rFonts w:hint="eastAsia"/>
                <w:szCs w:val="20"/>
              </w:rPr>
              <w:t>必填项。</w:t>
            </w:r>
          </w:p>
        </w:tc>
      </w:tr>
      <w:tr w:rsidR="00A052DC" w14:paraId="7C0EF2A0" w14:textId="77777777">
        <w:trPr>
          <w:jc w:val="center"/>
        </w:trPr>
        <w:tc>
          <w:tcPr>
            <w:tcW w:w="1347" w:type="dxa"/>
            <w:shd w:val="clear" w:color="auto" w:fill="auto"/>
            <w:noWrap/>
          </w:tcPr>
          <w:p w14:paraId="6D12DD45" w14:textId="77777777" w:rsidR="00A052DC" w:rsidRDefault="009F0A60">
            <w:pPr>
              <w:pStyle w:val="B"/>
              <w:rPr>
                <w:szCs w:val="20"/>
              </w:rPr>
            </w:pPr>
            <w:r>
              <w:rPr>
                <w:szCs w:val="20"/>
              </w:rPr>
              <w:t>B0319</w:t>
            </w:r>
          </w:p>
        </w:tc>
        <w:tc>
          <w:tcPr>
            <w:tcW w:w="2177" w:type="dxa"/>
            <w:shd w:val="clear" w:color="auto" w:fill="auto"/>
          </w:tcPr>
          <w:p w14:paraId="07BF981B" w14:textId="77777777" w:rsidR="00A052DC" w:rsidRDefault="009F0A60">
            <w:pPr>
              <w:pStyle w:val="B"/>
              <w:rPr>
                <w:szCs w:val="20"/>
              </w:rPr>
            </w:pPr>
            <w:r>
              <w:rPr>
                <w:rFonts w:hAnsi="宋体" w:hint="eastAsia"/>
                <w:color w:val="000000"/>
              </w:rPr>
              <w:t>本月末未到期</w:t>
            </w:r>
            <w:r>
              <w:rPr>
                <w:rFonts w:hAnsi="宋体"/>
                <w:color w:val="000000"/>
              </w:rPr>
              <w:t>/</w:t>
            </w:r>
            <w:r>
              <w:rPr>
                <w:rFonts w:hAnsi="宋体" w:hint="eastAsia"/>
                <w:color w:val="000000"/>
              </w:rPr>
              <w:t>未偿付债券面值</w:t>
            </w:r>
          </w:p>
        </w:tc>
        <w:tc>
          <w:tcPr>
            <w:tcW w:w="1417" w:type="dxa"/>
            <w:shd w:val="clear" w:color="auto" w:fill="auto"/>
            <w:noWrap/>
          </w:tcPr>
          <w:p w14:paraId="5C3AF6FC" w14:textId="77777777" w:rsidR="00A052DC" w:rsidRDefault="009F0A60">
            <w:pPr>
              <w:pStyle w:val="B"/>
              <w:rPr>
                <w:szCs w:val="20"/>
              </w:rPr>
            </w:pPr>
            <w:r>
              <w:rPr>
                <w:rFonts w:hint="eastAsia"/>
                <w:szCs w:val="20"/>
              </w:rPr>
              <w:t>数值型，</w:t>
            </w:r>
            <w:r>
              <w:rPr>
                <w:szCs w:val="20"/>
              </w:rPr>
              <w:t>22.2</w:t>
            </w:r>
          </w:p>
        </w:tc>
        <w:tc>
          <w:tcPr>
            <w:tcW w:w="3686" w:type="dxa"/>
          </w:tcPr>
          <w:p w14:paraId="5D21FDB5" w14:textId="77777777" w:rsidR="00A052DC" w:rsidRDefault="009F0A60">
            <w:pPr>
              <w:pStyle w:val="B"/>
              <w:rPr>
                <w:szCs w:val="20"/>
              </w:rPr>
            </w:pPr>
            <w:r>
              <w:rPr>
                <w:rFonts w:hint="eastAsia"/>
                <w:szCs w:val="20"/>
              </w:rPr>
              <w:t>非必填项，如</w:t>
            </w:r>
            <w:r>
              <w:rPr>
                <w:szCs w:val="20"/>
              </w:rPr>
              <w:t>B0303=1,2,4,5或7则本字段为空；如B0303=3</w:t>
            </w:r>
            <w:r>
              <w:rPr>
                <w:rFonts w:hint="eastAsia"/>
                <w:szCs w:val="20"/>
              </w:rPr>
              <w:t>或</w:t>
            </w:r>
            <w:r>
              <w:rPr>
                <w:szCs w:val="20"/>
              </w:rPr>
              <w:t>6则为必填项。</w:t>
            </w:r>
          </w:p>
        </w:tc>
      </w:tr>
      <w:tr w:rsidR="00A052DC" w14:paraId="465D0971" w14:textId="77777777">
        <w:trPr>
          <w:jc w:val="center"/>
        </w:trPr>
        <w:tc>
          <w:tcPr>
            <w:tcW w:w="1347" w:type="dxa"/>
            <w:shd w:val="clear" w:color="auto" w:fill="auto"/>
            <w:noWrap/>
          </w:tcPr>
          <w:p w14:paraId="647ED737" w14:textId="77777777" w:rsidR="00A052DC" w:rsidRDefault="009F0A60">
            <w:pPr>
              <w:pStyle w:val="B"/>
              <w:rPr>
                <w:szCs w:val="20"/>
              </w:rPr>
            </w:pPr>
            <w:r>
              <w:rPr>
                <w:szCs w:val="20"/>
              </w:rPr>
              <w:t>REMARK</w:t>
            </w:r>
          </w:p>
        </w:tc>
        <w:tc>
          <w:tcPr>
            <w:tcW w:w="2177" w:type="dxa"/>
            <w:shd w:val="clear" w:color="auto" w:fill="auto"/>
          </w:tcPr>
          <w:p w14:paraId="711332D1" w14:textId="77777777" w:rsidR="00A052DC" w:rsidRDefault="009F0A60">
            <w:pPr>
              <w:pStyle w:val="B"/>
              <w:rPr>
                <w:szCs w:val="20"/>
              </w:rPr>
            </w:pPr>
            <w:r>
              <w:rPr>
                <w:rFonts w:hint="eastAsia"/>
                <w:szCs w:val="20"/>
              </w:rPr>
              <w:t>备注</w:t>
            </w:r>
          </w:p>
        </w:tc>
        <w:tc>
          <w:tcPr>
            <w:tcW w:w="1417" w:type="dxa"/>
            <w:shd w:val="clear" w:color="auto" w:fill="auto"/>
            <w:noWrap/>
          </w:tcPr>
          <w:p w14:paraId="089173F7" w14:textId="77777777" w:rsidR="00A052DC" w:rsidRDefault="009F0A60">
            <w:pPr>
              <w:pStyle w:val="B"/>
              <w:rPr>
                <w:szCs w:val="20"/>
              </w:rPr>
            </w:pPr>
            <w:r>
              <w:rPr>
                <w:rFonts w:hint="eastAsia"/>
                <w:szCs w:val="20"/>
              </w:rPr>
              <w:t>字符型，</w:t>
            </w:r>
            <w:r>
              <w:rPr>
                <w:szCs w:val="20"/>
              </w:rPr>
              <w:t>256</w:t>
            </w:r>
          </w:p>
        </w:tc>
        <w:tc>
          <w:tcPr>
            <w:tcW w:w="3686" w:type="dxa"/>
          </w:tcPr>
          <w:p w14:paraId="4F1A7DE8" w14:textId="77777777" w:rsidR="00A052DC" w:rsidRDefault="009F0A60">
            <w:pPr>
              <w:pStyle w:val="B"/>
              <w:rPr>
                <w:szCs w:val="20"/>
              </w:rPr>
            </w:pPr>
            <w:r>
              <w:rPr>
                <w:rFonts w:hint="eastAsia"/>
                <w:szCs w:val="20"/>
              </w:rPr>
              <w:t>当B0310、B0316、B0318任一项为负数时，为必填项。</w:t>
            </w:r>
          </w:p>
        </w:tc>
      </w:tr>
    </w:tbl>
    <w:p w14:paraId="7A401DEC" w14:textId="77777777" w:rsidR="00A052DC" w:rsidRDefault="009F0A60">
      <w:pPr>
        <w:pStyle w:val="3"/>
        <w:ind w:left="0"/>
        <w:rPr>
          <w:rFonts w:ascii="Times New Roman" w:hAnsi="Times New Roman"/>
        </w:rPr>
      </w:pPr>
      <w:bookmarkStart w:id="3092" w:name="_Toc99611194"/>
      <w:bookmarkStart w:id="3093" w:name="_Toc99611613"/>
      <w:bookmarkStart w:id="3094" w:name="_Toc97821476"/>
      <w:bookmarkStart w:id="3095" w:name="_Toc98764375"/>
      <w:bookmarkStart w:id="3096" w:name="_Toc98754181"/>
      <w:bookmarkStart w:id="3097" w:name="_Toc97660722"/>
      <w:bookmarkStart w:id="3098" w:name="_Toc97821048"/>
      <w:bookmarkStart w:id="3099" w:name="_Toc97660293"/>
      <w:bookmarkStart w:id="3100" w:name="_Toc97661144"/>
      <w:bookmarkStart w:id="3101" w:name="_Toc95224078"/>
      <w:bookmarkStart w:id="3102" w:name="_Toc95223232"/>
      <w:bookmarkStart w:id="3103" w:name="_Toc95223657"/>
      <w:bookmarkStart w:id="3104" w:name="_Toc95222801"/>
      <w:bookmarkStart w:id="3105" w:name="_Toc93933424"/>
      <w:bookmarkStart w:id="3106" w:name="_Toc91582500"/>
      <w:bookmarkStart w:id="3107" w:name="_Toc93932999"/>
      <w:bookmarkStart w:id="3108" w:name="_Toc91493637"/>
      <w:bookmarkStart w:id="3109" w:name="_Toc93935107"/>
      <w:bookmarkStart w:id="3110" w:name="_Toc454391271"/>
      <w:bookmarkStart w:id="3111" w:name="_Toc91455312"/>
      <w:bookmarkStart w:id="3112" w:name="_Toc380356285"/>
      <w:bookmarkStart w:id="3113" w:name="_Toc380570935"/>
      <w:bookmarkStart w:id="3114" w:name="_Toc101684485"/>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r>
        <w:rPr>
          <w:rFonts w:ascii="Times New Roman" w:hAnsi="Times New Roman"/>
        </w:rPr>
        <w:t>B04</w:t>
      </w:r>
      <w:r>
        <w:rPr>
          <w:rFonts w:ascii="Times New Roman" w:hAnsi="Times New Roman" w:hint="eastAsia"/>
        </w:rPr>
        <w:t>表：吸收境外股权和基金份额投资（负债）</w:t>
      </w:r>
      <w:bookmarkEnd w:id="3110"/>
      <w:bookmarkEnd w:id="3111"/>
      <w:bookmarkEnd w:id="3112"/>
      <w:bookmarkEnd w:id="3113"/>
      <w:bookmarkEnd w:id="3114"/>
    </w:p>
    <w:p w14:paraId="08C8D9D4" w14:textId="77777777" w:rsidR="00A052DC" w:rsidRDefault="009F0A60" w:rsidP="0020251D">
      <w:pPr>
        <w:pStyle w:val="4"/>
        <w:numPr>
          <w:ilvl w:val="3"/>
          <w:numId w:val="1"/>
        </w:numPr>
        <w:jc w:val="left"/>
      </w:pPr>
      <w:bookmarkStart w:id="3115" w:name="_Toc380570936"/>
      <w:bookmarkStart w:id="3116" w:name="_Toc454391272"/>
      <w:r>
        <w:rPr>
          <w:rFonts w:hint="eastAsia"/>
        </w:rPr>
        <w:t>数据术语解释</w:t>
      </w:r>
      <w:bookmarkEnd w:id="3115"/>
      <w:bookmarkEnd w:id="311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6"/>
        <w:gridCol w:w="27"/>
        <w:gridCol w:w="6526"/>
      </w:tblGrid>
      <w:tr w:rsidR="00A052DC" w14:paraId="4D2A6ACE" w14:textId="77777777">
        <w:trPr>
          <w:cantSplit/>
          <w:jc w:val="center"/>
        </w:trPr>
        <w:tc>
          <w:tcPr>
            <w:tcW w:w="1676" w:type="dxa"/>
          </w:tcPr>
          <w:p w14:paraId="1C594D7E" w14:textId="77777777" w:rsidR="00A052DC" w:rsidRDefault="009F0A60">
            <w:pPr>
              <w:pStyle w:val="B1"/>
            </w:pPr>
            <w:r>
              <w:rPr>
                <w:rFonts w:hint="eastAsia"/>
              </w:rPr>
              <w:t>基础数据项</w:t>
            </w:r>
          </w:p>
        </w:tc>
        <w:tc>
          <w:tcPr>
            <w:tcW w:w="6553" w:type="dxa"/>
            <w:gridSpan w:val="2"/>
          </w:tcPr>
          <w:p w14:paraId="28FEAC72" w14:textId="77777777" w:rsidR="00A052DC" w:rsidRDefault="009F0A60">
            <w:pPr>
              <w:pStyle w:val="B1"/>
            </w:pPr>
            <w:r>
              <w:rPr>
                <w:rFonts w:hint="eastAsia"/>
              </w:rPr>
              <w:t>定义</w:t>
            </w:r>
          </w:p>
        </w:tc>
      </w:tr>
      <w:tr w:rsidR="00A052DC" w14:paraId="5A953ABA" w14:textId="77777777">
        <w:trPr>
          <w:cantSplit/>
          <w:jc w:val="center"/>
        </w:trPr>
        <w:tc>
          <w:tcPr>
            <w:tcW w:w="1676" w:type="dxa"/>
          </w:tcPr>
          <w:p w14:paraId="6F502F0F" w14:textId="77777777" w:rsidR="00A052DC" w:rsidRDefault="009F0A60">
            <w:pPr>
              <w:pStyle w:val="B"/>
              <w:rPr>
                <w:szCs w:val="20"/>
              </w:rPr>
            </w:pPr>
            <w:r>
              <w:rPr>
                <w:rFonts w:hint="eastAsia"/>
                <w:szCs w:val="20"/>
              </w:rPr>
              <w:t>数据自编码</w:t>
            </w:r>
          </w:p>
        </w:tc>
        <w:tc>
          <w:tcPr>
            <w:tcW w:w="6553" w:type="dxa"/>
            <w:gridSpan w:val="2"/>
          </w:tcPr>
          <w:p w14:paraId="722A4490" w14:textId="77777777" w:rsidR="00A052DC" w:rsidRDefault="009F0A60">
            <w:pPr>
              <w:pStyle w:val="B"/>
              <w:rPr>
                <w:szCs w:val="20"/>
              </w:rPr>
            </w:pPr>
            <w:r>
              <w:rPr>
                <w:rFonts w:hint="eastAsia"/>
                <w:szCs w:val="20"/>
              </w:rPr>
              <w:t>该编码用于标识金融机构报送的每一条数据，按给定规则编码，便于进行增删改查等操作。建议规则：机构代码（</w:t>
            </w:r>
            <w:r>
              <w:rPr>
                <w:szCs w:val="20"/>
              </w:rPr>
              <w:t>1</w:t>
            </w:r>
            <w:r>
              <w:rPr>
                <w:rFonts w:hint="eastAsia"/>
                <w:szCs w:val="20"/>
              </w:rPr>
              <w:t>8位，不足</w:t>
            </w:r>
            <w:r>
              <w:rPr>
                <w:szCs w:val="20"/>
              </w:rPr>
              <w:t>1</w:t>
            </w:r>
            <w:r>
              <w:rPr>
                <w:rFonts w:hint="eastAsia"/>
                <w:szCs w:val="20"/>
              </w:rPr>
              <w:t>8位补</w:t>
            </w:r>
            <w:r>
              <w:rPr>
                <w:szCs w:val="20"/>
              </w:rPr>
              <w:t>a</w:t>
            </w:r>
            <w:r>
              <w:rPr>
                <w:rFonts w:hint="eastAsia"/>
                <w:szCs w:val="20"/>
              </w:rPr>
              <w:t>）</w:t>
            </w:r>
            <w:r>
              <w:rPr>
                <w:szCs w:val="20"/>
              </w:rPr>
              <w:t>+</w:t>
            </w:r>
            <w:r>
              <w:rPr>
                <w:rFonts w:hint="eastAsia"/>
                <w:szCs w:val="20"/>
              </w:rPr>
              <w:t>报表代码（</w:t>
            </w:r>
            <w:r>
              <w:rPr>
                <w:szCs w:val="20"/>
              </w:rPr>
              <w:t>5</w:t>
            </w:r>
            <w:r>
              <w:rPr>
                <w:rFonts w:hint="eastAsia"/>
                <w:szCs w:val="20"/>
              </w:rPr>
              <w:t>位，不足</w:t>
            </w:r>
            <w:r>
              <w:rPr>
                <w:szCs w:val="20"/>
              </w:rPr>
              <w:t>5</w:t>
            </w:r>
            <w:r>
              <w:rPr>
                <w:rFonts w:hint="eastAsia"/>
                <w:szCs w:val="20"/>
              </w:rPr>
              <w:t>位补</w:t>
            </w:r>
            <w:r>
              <w:rPr>
                <w:szCs w:val="20"/>
              </w:rPr>
              <w:t>a</w:t>
            </w:r>
            <w:r>
              <w:rPr>
                <w:rFonts w:hint="eastAsia"/>
                <w:szCs w:val="20"/>
              </w:rPr>
              <w:t>）</w:t>
            </w:r>
            <w:r>
              <w:rPr>
                <w:szCs w:val="20"/>
              </w:rPr>
              <w:t>+</w:t>
            </w:r>
            <w:r>
              <w:rPr>
                <w:rFonts w:hint="eastAsia"/>
                <w:szCs w:val="20"/>
              </w:rPr>
              <w:t>报送期（</w:t>
            </w:r>
            <w:r>
              <w:rPr>
                <w:szCs w:val="20"/>
              </w:rPr>
              <w:t>6</w:t>
            </w:r>
            <w:r>
              <w:rPr>
                <w:rFonts w:hint="eastAsia"/>
                <w:szCs w:val="20"/>
              </w:rPr>
              <w:t>位）</w:t>
            </w:r>
            <w:r>
              <w:rPr>
                <w:szCs w:val="20"/>
              </w:rPr>
              <w:t>+</w:t>
            </w:r>
            <w:r>
              <w:rPr>
                <w:rFonts w:hint="eastAsia"/>
                <w:szCs w:val="20"/>
              </w:rPr>
              <w:t>顺序号（</w:t>
            </w:r>
            <w:r>
              <w:rPr>
                <w:szCs w:val="20"/>
              </w:rPr>
              <w:t>7</w:t>
            </w:r>
            <w:r>
              <w:rPr>
                <w:rFonts w:hint="eastAsia"/>
                <w:szCs w:val="20"/>
              </w:rPr>
              <w:t>位，从</w:t>
            </w:r>
            <w:r>
              <w:rPr>
                <w:szCs w:val="20"/>
              </w:rPr>
              <w:t>0000001</w:t>
            </w:r>
            <w:r>
              <w:rPr>
                <w:rFonts w:hint="eastAsia"/>
                <w:szCs w:val="20"/>
              </w:rPr>
              <w:t>开始增加）。</w:t>
            </w:r>
          </w:p>
        </w:tc>
      </w:tr>
      <w:tr w:rsidR="00A052DC" w14:paraId="3FF78AC3" w14:textId="77777777">
        <w:trPr>
          <w:cantSplit/>
          <w:jc w:val="center"/>
        </w:trPr>
        <w:tc>
          <w:tcPr>
            <w:tcW w:w="1676" w:type="dxa"/>
          </w:tcPr>
          <w:p w14:paraId="29FAD97F" w14:textId="77777777" w:rsidR="00A052DC" w:rsidRDefault="009F0A60">
            <w:pPr>
              <w:pStyle w:val="B"/>
              <w:rPr>
                <w:szCs w:val="20"/>
              </w:rPr>
            </w:pPr>
            <w:r>
              <w:rPr>
                <w:rFonts w:hint="eastAsia"/>
                <w:szCs w:val="20"/>
              </w:rPr>
              <w:t>申报主体代码</w:t>
            </w:r>
          </w:p>
        </w:tc>
        <w:tc>
          <w:tcPr>
            <w:tcW w:w="6553" w:type="dxa"/>
            <w:gridSpan w:val="2"/>
          </w:tcPr>
          <w:p w14:paraId="1776B482" w14:textId="77777777" w:rsidR="00A052DC" w:rsidRDefault="009F0A60">
            <w:pPr>
              <w:pStyle w:val="B"/>
              <w:rPr>
                <w:szCs w:val="20"/>
              </w:rPr>
            </w:pPr>
            <w:r>
              <w:rPr>
                <w:rFonts w:hint="eastAsia"/>
                <w:szCs w:val="20"/>
              </w:rPr>
              <w:t>申报主体的12位金融机构标识码，如果没有金融机构标识码，则填报统一社会信用代码法定载体（如营业执照）上统一社会信用代码中的第9至17位或国家外汇管理局及其分支局签发的特殊机构代码赋码通知书上的机构代码、个人身份代码。</w:t>
            </w:r>
          </w:p>
        </w:tc>
      </w:tr>
      <w:tr w:rsidR="00A052DC" w14:paraId="7D62839E" w14:textId="77777777">
        <w:trPr>
          <w:cantSplit/>
          <w:jc w:val="center"/>
        </w:trPr>
        <w:tc>
          <w:tcPr>
            <w:tcW w:w="1676" w:type="dxa"/>
          </w:tcPr>
          <w:p w14:paraId="169322C6" w14:textId="77777777" w:rsidR="00A052DC" w:rsidRDefault="009F0A60">
            <w:pPr>
              <w:pStyle w:val="B"/>
              <w:rPr>
                <w:szCs w:val="20"/>
              </w:rPr>
            </w:pPr>
            <w:r>
              <w:rPr>
                <w:rFonts w:hint="eastAsia"/>
                <w:szCs w:val="20"/>
              </w:rPr>
              <w:t>报告期</w:t>
            </w:r>
          </w:p>
        </w:tc>
        <w:tc>
          <w:tcPr>
            <w:tcW w:w="6553" w:type="dxa"/>
            <w:gridSpan w:val="2"/>
          </w:tcPr>
          <w:p w14:paraId="25A9C7CB" w14:textId="77777777" w:rsidR="00A052DC" w:rsidRDefault="009F0A60">
            <w:pPr>
              <w:pStyle w:val="B"/>
              <w:rPr>
                <w:szCs w:val="20"/>
              </w:rPr>
            </w:pPr>
            <w:r>
              <w:rPr>
                <w:rFonts w:hint="eastAsia"/>
                <w:szCs w:val="20"/>
              </w:rPr>
              <w:t>业务发生月份，格式为</w:t>
            </w:r>
            <w:r>
              <w:rPr>
                <w:szCs w:val="20"/>
              </w:rPr>
              <w:t>YYYYMM</w:t>
            </w:r>
            <w:r>
              <w:rPr>
                <w:rFonts w:hint="eastAsia"/>
                <w:szCs w:val="20"/>
              </w:rPr>
              <w:t>。</w:t>
            </w:r>
          </w:p>
        </w:tc>
      </w:tr>
      <w:tr w:rsidR="00A052DC" w14:paraId="4321EB52" w14:textId="77777777">
        <w:trPr>
          <w:cantSplit/>
          <w:jc w:val="center"/>
        </w:trPr>
        <w:tc>
          <w:tcPr>
            <w:tcW w:w="1676" w:type="dxa"/>
          </w:tcPr>
          <w:p w14:paraId="4760528A" w14:textId="77777777" w:rsidR="00A052DC" w:rsidRDefault="009F0A60">
            <w:pPr>
              <w:pStyle w:val="B"/>
              <w:rPr>
                <w:szCs w:val="20"/>
              </w:rPr>
            </w:pPr>
            <w:r>
              <w:rPr>
                <w:rFonts w:hint="eastAsia"/>
                <w:szCs w:val="20"/>
              </w:rPr>
              <w:t>投资工具类型</w:t>
            </w:r>
          </w:p>
        </w:tc>
        <w:tc>
          <w:tcPr>
            <w:tcW w:w="6553" w:type="dxa"/>
            <w:gridSpan w:val="2"/>
          </w:tcPr>
          <w:p w14:paraId="554B41A3" w14:textId="77777777" w:rsidR="00A052DC" w:rsidRDefault="009F0A60">
            <w:pPr>
              <w:pStyle w:val="B"/>
              <w:rPr>
                <w:szCs w:val="20"/>
              </w:rPr>
            </w:pPr>
            <w:r>
              <w:rPr>
                <w:rFonts w:hint="eastAsia"/>
                <w:szCs w:val="20"/>
              </w:rPr>
              <w:t>请按以下五种类型填列：1-上市普通股；2-非上市普通股（但可交易）；</w:t>
            </w:r>
            <w:r>
              <w:rPr>
                <w:szCs w:val="20"/>
              </w:rPr>
              <w:t>3-</w:t>
            </w:r>
            <w:r>
              <w:rPr>
                <w:rFonts w:hint="eastAsia"/>
                <w:szCs w:val="20"/>
              </w:rPr>
              <w:t>货币市场基金份额</w:t>
            </w:r>
            <w:r>
              <w:rPr>
                <w:szCs w:val="20"/>
              </w:rPr>
              <w:t>/</w:t>
            </w:r>
            <w:r>
              <w:rPr>
                <w:rFonts w:hint="eastAsia"/>
                <w:szCs w:val="20"/>
              </w:rPr>
              <w:t>单位；</w:t>
            </w:r>
            <w:r>
              <w:rPr>
                <w:szCs w:val="20"/>
              </w:rPr>
              <w:t>4-</w:t>
            </w:r>
            <w:r>
              <w:rPr>
                <w:rFonts w:hint="eastAsia"/>
                <w:szCs w:val="20"/>
              </w:rPr>
              <w:t>非货币市场基金份额</w:t>
            </w:r>
            <w:r>
              <w:rPr>
                <w:szCs w:val="20"/>
              </w:rPr>
              <w:t>/</w:t>
            </w:r>
            <w:r>
              <w:rPr>
                <w:rFonts w:hint="eastAsia"/>
                <w:szCs w:val="20"/>
              </w:rPr>
              <w:t>单位；5-参与性优先股。其中，参与性优先股属于股本证券，纳入本表统计；非参与性优先股为债务类工具，不应纳入本表统计，应纳入债务证券统计。</w:t>
            </w:r>
          </w:p>
        </w:tc>
      </w:tr>
      <w:tr w:rsidR="00A052DC" w14:paraId="7F76038A" w14:textId="77777777">
        <w:trPr>
          <w:cantSplit/>
          <w:jc w:val="center"/>
        </w:trPr>
        <w:tc>
          <w:tcPr>
            <w:tcW w:w="1676" w:type="dxa"/>
          </w:tcPr>
          <w:p w14:paraId="074D9238" w14:textId="77777777" w:rsidR="00A052DC" w:rsidRDefault="009F0A60">
            <w:pPr>
              <w:pStyle w:val="B"/>
              <w:rPr>
                <w:szCs w:val="20"/>
              </w:rPr>
            </w:pPr>
            <w:r>
              <w:rPr>
                <w:rFonts w:hint="eastAsia"/>
                <w:szCs w:val="20"/>
              </w:rPr>
              <w:t>业务类型</w:t>
            </w:r>
          </w:p>
        </w:tc>
        <w:tc>
          <w:tcPr>
            <w:tcW w:w="6553" w:type="dxa"/>
            <w:gridSpan w:val="2"/>
          </w:tcPr>
          <w:p w14:paraId="45EF1143" w14:textId="77777777" w:rsidR="00A052DC" w:rsidRDefault="009F0A60">
            <w:pPr>
              <w:pStyle w:val="B"/>
              <w:rPr>
                <w:szCs w:val="20"/>
              </w:rPr>
            </w:pPr>
            <w:r>
              <w:rPr>
                <w:rFonts w:hint="eastAsia"/>
              </w:rPr>
              <w:t>业务类型包括：</w:t>
            </w:r>
            <w:r>
              <w:t>1-基金互认；</w:t>
            </w:r>
            <w:r>
              <w:rPr>
                <w:szCs w:val="20"/>
              </w:rPr>
              <w:t>2-上市</w:t>
            </w:r>
            <w:r>
              <w:rPr>
                <w:rFonts w:hint="eastAsia"/>
                <w:szCs w:val="20"/>
              </w:rPr>
              <w:t>股份或投资基金份额；</w:t>
            </w:r>
            <w:r>
              <w:rPr>
                <w:szCs w:val="20"/>
              </w:rPr>
              <w:t>3-非上市</w:t>
            </w:r>
            <w:r>
              <w:rPr>
                <w:rFonts w:hint="eastAsia"/>
                <w:szCs w:val="20"/>
              </w:rPr>
              <w:t>股份或投资基金份额；</w:t>
            </w:r>
            <w:r>
              <w:rPr>
                <w:rFonts w:ascii="宋体" w:hAnsi="宋体" w:hint="eastAsia"/>
                <w:color w:val="000000"/>
              </w:rPr>
              <w:t>除</w:t>
            </w:r>
            <w:r>
              <w:rPr>
                <w:rFonts w:cs="黑体"/>
                <w:color w:val="000000"/>
              </w:rPr>
              <w:t>1</w:t>
            </w:r>
            <w:r>
              <w:rPr>
                <w:rFonts w:ascii="宋体" w:hAnsi="宋体" w:hint="eastAsia"/>
                <w:color w:val="000000"/>
              </w:rPr>
              <w:t>以外的业务类型请根据投资工具是否上市选择。</w:t>
            </w:r>
          </w:p>
        </w:tc>
      </w:tr>
      <w:tr w:rsidR="00A052DC" w14:paraId="09907CAC" w14:textId="77777777">
        <w:trPr>
          <w:cantSplit/>
          <w:jc w:val="center"/>
        </w:trPr>
        <w:tc>
          <w:tcPr>
            <w:tcW w:w="1676" w:type="dxa"/>
          </w:tcPr>
          <w:p w14:paraId="6D72BAEB" w14:textId="77777777" w:rsidR="00A052DC" w:rsidRDefault="009F0A60">
            <w:pPr>
              <w:pStyle w:val="B"/>
              <w:rPr>
                <w:szCs w:val="20"/>
              </w:rPr>
            </w:pPr>
            <w:r>
              <w:rPr>
                <w:rFonts w:hint="eastAsia"/>
                <w:szCs w:val="20"/>
              </w:rPr>
              <w:t>证券代码</w:t>
            </w:r>
          </w:p>
        </w:tc>
        <w:tc>
          <w:tcPr>
            <w:tcW w:w="6553" w:type="dxa"/>
            <w:gridSpan w:val="2"/>
          </w:tcPr>
          <w:p w14:paraId="6579B7E3" w14:textId="77777777" w:rsidR="00A052DC" w:rsidRPr="00191DE9" w:rsidRDefault="00A412F6">
            <w:pPr>
              <w:pStyle w:val="B"/>
              <w:rPr>
                <w:szCs w:val="20"/>
              </w:rPr>
            </w:pPr>
            <w:r w:rsidRPr="00A412F6">
              <w:rPr>
                <w:rFonts w:hint="eastAsia"/>
                <w:color w:val="000000"/>
              </w:rPr>
              <w:t>指本机构上市股份（股票）的代码，应优先填写国际证券代码（</w:t>
            </w:r>
            <w:r w:rsidRPr="00A412F6">
              <w:rPr>
                <w:color w:val="000000"/>
              </w:rPr>
              <w:t>International Securities Identification Number,</w:t>
            </w:r>
            <w:r w:rsidRPr="00A412F6">
              <w:rPr>
                <w:rFonts w:hint="eastAsia"/>
                <w:color w:val="000000"/>
              </w:rPr>
              <w:t>简称</w:t>
            </w:r>
            <w:r w:rsidRPr="00A412F6">
              <w:rPr>
                <w:color w:val="000000"/>
              </w:rPr>
              <w:t>ISIN</w:t>
            </w:r>
            <w:r w:rsidRPr="00A412F6">
              <w:rPr>
                <w:rFonts w:hint="eastAsia"/>
                <w:color w:val="000000"/>
              </w:rPr>
              <w:t>码）；以及内部使用的非上市股份和私募股权（基金）编码。</w:t>
            </w:r>
          </w:p>
        </w:tc>
      </w:tr>
      <w:tr w:rsidR="00A052DC" w14:paraId="23C1C9D5" w14:textId="77777777">
        <w:trPr>
          <w:cantSplit/>
          <w:jc w:val="center"/>
        </w:trPr>
        <w:tc>
          <w:tcPr>
            <w:tcW w:w="1676" w:type="dxa"/>
          </w:tcPr>
          <w:p w14:paraId="070B99F8" w14:textId="77777777" w:rsidR="00A052DC" w:rsidRDefault="009F0A60">
            <w:pPr>
              <w:pStyle w:val="B"/>
              <w:rPr>
                <w:szCs w:val="20"/>
              </w:rPr>
            </w:pPr>
            <w:r>
              <w:rPr>
                <w:rFonts w:hint="eastAsia"/>
                <w:szCs w:val="20"/>
              </w:rPr>
              <w:t>发行地</w:t>
            </w:r>
          </w:p>
        </w:tc>
        <w:tc>
          <w:tcPr>
            <w:tcW w:w="6553" w:type="dxa"/>
            <w:gridSpan w:val="2"/>
          </w:tcPr>
          <w:p w14:paraId="631E7D82" w14:textId="77777777" w:rsidR="00A052DC" w:rsidRDefault="009F0A60">
            <w:pPr>
              <w:pStyle w:val="B"/>
              <w:rPr>
                <w:szCs w:val="20"/>
              </w:rPr>
            </w:pPr>
            <w:r>
              <w:rPr>
                <w:rFonts w:hint="eastAsia"/>
              </w:rPr>
              <w:t>见国家和地区代码表，填写上市股份和投资基金份额</w:t>
            </w:r>
            <w:r>
              <w:t>/</w:t>
            </w:r>
            <w:r>
              <w:rPr>
                <w:rFonts w:hint="eastAsia"/>
              </w:rPr>
              <w:t>单位发行场所所在的国家</w:t>
            </w:r>
            <w:r>
              <w:t>/</w:t>
            </w:r>
            <w:r>
              <w:rPr>
                <w:rFonts w:hint="eastAsia"/>
              </w:rPr>
              <w:t>地区代码。对于非上市股份和私募股权（基金</w:t>
            </w:r>
            <w:r>
              <w:rPr>
                <w:rFonts w:hint="eastAsia"/>
                <w:szCs w:val="20"/>
              </w:rPr>
              <w:t>）等，</w:t>
            </w:r>
            <w:r>
              <w:rPr>
                <w:rFonts w:hint="eastAsia"/>
              </w:rPr>
              <w:t>应填列发行人注册地国家</w:t>
            </w:r>
            <w:r>
              <w:t>/</w:t>
            </w:r>
            <w:r>
              <w:rPr>
                <w:rFonts w:hint="eastAsia"/>
              </w:rPr>
              <w:t>地区代码。</w:t>
            </w:r>
          </w:p>
        </w:tc>
      </w:tr>
      <w:tr w:rsidR="00A052DC" w14:paraId="5F4369C4" w14:textId="77777777">
        <w:trPr>
          <w:cantSplit/>
          <w:jc w:val="center"/>
        </w:trPr>
        <w:tc>
          <w:tcPr>
            <w:tcW w:w="1676" w:type="dxa"/>
          </w:tcPr>
          <w:p w14:paraId="5C68AF8B" w14:textId="77777777" w:rsidR="00A052DC" w:rsidRDefault="009F0A60">
            <w:pPr>
              <w:pStyle w:val="B"/>
              <w:rPr>
                <w:szCs w:val="20"/>
              </w:rPr>
            </w:pPr>
            <w:r>
              <w:rPr>
                <w:rFonts w:hint="eastAsia"/>
                <w:szCs w:val="20"/>
              </w:rPr>
              <w:t>投资者名称</w:t>
            </w:r>
          </w:p>
        </w:tc>
        <w:tc>
          <w:tcPr>
            <w:tcW w:w="6553" w:type="dxa"/>
            <w:gridSpan w:val="2"/>
          </w:tcPr>
          <w:p w14:paraId="3723460E" w14:textId="77777777" w:rsidR="00A052DC" w:rsidRDefault="009F0A60">
            <w:pPr>
              <w:pStyle w:val="B"/>
              <w:rPr>
                <w:szCs w:val="20"/>
              </w:rPr>
            </w:pPr>
            <w:r>
              <w:rPr>
                <w:rFonts w:hint="eastAsia"/>
              </w:rPr>
              <w:t>持有本机构境外发行的上市股份、投资基金份额</w:t>
            </w:r>
            <w:r>
              <w:t>/</w:t>
            </w:r>
            <w:r>
              <w:rPr>
                <w:rFonts w:hint="eastAsia"/>
              </w:rPr>
              <w:t>单位的居民或非居民投资者以及持有本机构非上市股份和私募股权（基金）的非居民投资者的全称，按其英文全称和中文全称（如果有的话）填列。具体填报方法为：①上市股份和投资基金份额</w:t>
            </w:r>
            <w:r w:rsidR="00010212">
              <w:rPr>
                <w:rFonts w:hint="eastAsia"/>
              </w:rPr>
              <w:t>/</w:t>
            </w:r>
            <w:r>
              <w:rPr>
                <w:rFonts w:hint="eastAsia"/>
              </w:rPr>
              <w:t>单位。对于由代理人集中持有的，统一填列相关结算代理机构的名称</w:t>
            </w:r>
            <w:r>
              <w:rPr>
                <w:szCs w:val="20"/>
              </w:rPr>
              <w:t>[</w:t>
            </w:r>
            <w:r>
              <w:rPr>
                <w:rFonts w:hint="eastAsia"/>
              </w:rPr>
              <w:t>如香港中央结算（代理人）有限公司</w:t>
            </w:r>
            <w:r>
              <w:rPr>
                <w:szCs w:val="20"/>
              </w:rPr>
              <w:t>]</w:t>
            </w:r>
            <w:r>
              <w:rPr>
                <w:rFonts w:hint="eastAsia"/>
              </w:rPr>
              <w:t>。对于非由代理人集中持有的，应按照投资比例从大到小依次填列前</w:t>
            </w:r>
            <w:r>
              <w:t>10</w:t>
            </w:r>
            <w:r>
              <w:rPr>
                <w:rFonts w:hint="eastAsia"/>
              </w:rPr>
              <w:t>位投资者或投资比例≥</w:t>
            </w:r>
            <w:r>
              <w:t>5%</w:t>
            </w:r>
            <w:r>
              <w:rPr>
                <w:rFonts w:hint="eastAsia"/>
              </w:rPr>
              <w:t>的投资者名称（以数量较多者为准）；对于其他中小投资者，投资者名称填列为“其他小投资者”；②非上市股份，应按照非居民投资比例从大到小依次填写全部非居民投资者名称。</w:t>
            </w:r>
          </w:p>
        </w:tc>
      </w:tr>
      <w:tr w:rsidR="00A052DC" w14:paraId="5ABB4027" w14:textId="77777777">
        <w:trPr>
          <w:cantSplit/>
          <w:jc w:val="center"/>
        </w:trPr>
        <w:tc>
          <w:tcPr>
            <w:tcW w:w="1676" w:type="dxa"/>
          </w:tcPr>
          <w:p w14:paraId="383D6683" w14:textId="77777777" w:rsidR="00A052DC" w:rsidRDefault="009F0A60">
            <w:pPr>
              <w:pStyle w:val="B"/>
              <w:rPr>
                <w:szCs w:val="20"/>
              </w:rPr>
            </w:pPr>
            <w:r>
              <w:rPr>
                <w:rFonts w:hint="eastAsia"/>
                <w:szCs w:val="20"/>
              </w:rPr>
              <w:t>投资者所属国家</w:t>
            </w:r>
            <w:r>
              <w:rPr>
                <w:szCs w:val="20"/>
              </w:rPr>
              <w:t>/</w:t>
            </w:r>
            <w:r>
              <w:rPr>
                <w:rFonts w:hint="eastAsia"/>
                <w:szCs w:val="20"/>
              </w:rPr>
              <w:t>地区</w:t>
            </w:r>
          </w:p>
        </w:tc>
        <w:tc>
          <w:tcPr>
            <w:tcW w:w="6553" w:type="dxa"/>
            <w:gridSpan w:val="2"/>
          </w:tcPr>
          <w:p w14:paraId="26926F0E" w14:textId="77777777" w:rsidR="00A052DC" w:rsidRDefault="009F0A60">
            <w:pPr>
              <w:pStyle w:val="B"/>
              <w:rPr>
                <w:szCs w:val="20"/>
              </w:rPr>
            </w:pPr>
            <w:r>
              <w:rPr>
                <w:rFonts w:hint="eastAsia"/>
                <w:szCs w:val="20"/>
              </w:rPr>
              <w:t>见国家和地区代码表，填报投资者或结算代理机构的注册国家</w:t>
            </w:r>
            <w:r>
              <w:rPr>
                <w:szCs w:val="20"/>
              </w:rPr>
              <w:t>/</w:t>
            </w:r>
            <w:r>
              <w:rPr>
                <w:rFonts w:hint="eastAsia"/>
                <w:szCs w:val="20"/>
              </w:rPr>
              <w:t>地区代码。其中，①对于公开上市股份或投资基金份额，如填列了具体投资者名称，应按照投资者的注册或常驻（住）国家</w:t>
            </w:r>
            <w:r>
              <w:rPr>
                <w:szCs w:val="20"/>
              </w:rPr>
              <w:t>/</w:t>
            </w:r>
            <w:r>
              <w:rPr>
                <w:rFonts w:hint="eastAsia"/>
                <w:szCs w:val="20"/>
              </w:rPr>
              <w:t>地区填列；对于将结算代理机构列为投资者的，应按照该结算代理机构所在国家</w:t>
            </w:r>
            <w:r w:rsidR="00010212">
              <w:rPr>
                <w:rFonts w:hint="eastAsia"/>
                <w:szCs w:val="20"/>
              </w:rPr>
              <w:t>/</w:t>
            </w:r>
            <w:r>
              <w:rPr>
                <w:rFonts w:hint="eastAsia"/>
                <w:szCs w:val="20"/>
              </w:rPr>
              <w:t>地区填列；对于填列“其他小投资者”的，为发行地国家</w:t>
            </w:r>
            <w:r>
              <w:rPr>
                <w:szCs w:val="20"/>
              </w:rPr>
              <w:t>/</w:t>
            </w:r>
            <w:r>
              <w:rPr>
                <w:rFonts w:hint="eastAsia"/>
                <w:szCs w:val="20"/>
              </w:rPr>
              <w:t>地区。②对于非公开上市股份，应根据非居民投资者的注册或常驻（住）国家</w:t>
            </w:r>
            <w:r>
              <w:rPr>
                <w:szCs w:val="20"/>
              </w:rPr>
              <w:t>/</w:t>
            </w:r>
            <w:r>
              <w:rPr>
                <w:rFonts w:hint="eastAsia"/>
                <w:szCs w:val="20"/>
              </w:rPr>
              <w:t>地区填列。</w:t>
            </w:r>
          </w:p>
        </w:tc>
      </w:tr>
      <w:tr w:rsidR="00A052DC" w14:paraId="2AD9A19E" w14:textId="77777777">
        <w:trPr>
          <w:cantSplit/>
          <w:jc w:val="center"/>
        </w:trPr>
        <w:tc>
          <w:tcPr>
            <w:tcW w:w="1676" w:type="dxa"/>
          </w:tcPr>
          <w:p w14:paraId="5C9910BA" w14:textId="77777777" w:rsidR="00A052DC" w:rsidRDefault="009F0A60">
            <w:pPr>
              <w:pStyle w:val="B"/>
              <w:rPr>
                <w:szCs w:val="20"/>
              </w:rPr>
            </w:pPr>
            <w:r>
              <w:rPr>
                <w:rFonts w:hint="eastAsia"/>
                <w:szCs w:val="20"/>
              </w:rPr>
              <w:t>投资者所属部门</w:t>
            </w:r>
          </w:p>
        </w:tc>
        <w:tc>
          <w:tcPr>
            <w:tcW w:w="6553" w:type="dxa"/>
            <w:gridSpan w:val="2"/>
          </w:tcPr>
          <w:p w14:paraId="7723935F" w14:textId="77777777" w:rsidR="00A052DC" w:rsidRDefault="009F0A60">
            <w:pPr>
              <w:pStyle w:val="B"/>
              <w:rPr>
                <w:szCs w:val="20"/>
              </w:rPr>
            </w:pPr>
            <w:r>
              <w:rPr>
                <w:rFonts w:hint="eastAsia"/>
                <w:szCs w:val="20"/>
              </w:rPr>
              <w:t>见投资者（被投资者）部门码表。应按持有人的主营业务归类。</w:t>
            </w:r>
            <w:r>
              <w:rPr>
                <w:rFonts w:hint="eastAsia"/>
                <w:color w:val="000000"/>
              </w:rPr>
              <w:t>对于将结算代理机构列为投资者的，所属部门选择</w:t>
            </w:r>
            <w:r>
              <w:rPr>
                <w:color w:val="000000"/>
              </w:rPr>
              <w:t>5-非金融企业</w:t>
            </w:r>
            <w:r>
              <w:rPr>
                <w:rFonts w:hint="eastAsia"/>
                <w:color w:val="000000"/>
              </w:rPr>
              <w:t>；对于将“其他小投资者”列为投资者的，应尽量区分为非金融企业和个人，所属部门选择</w:t>
            </w:r>
            <w:r>
              <w:rPr>
                <w:color w:val="000000"/>
              </w:rPr>
              <w:t>5-非金融企业或6-个人</w:t>
            </w:r>
            <w:r>
              <w:rPr>
                <w:rFonts w:hint="eastAsia"/>
                <w:color w:val="000000"/>
              </w:rPr>
              <w:t>；若无法区分，应统一归类为</w:t>
            </w:r>
            <w:r>
              <w:rPr>
                <w:color w:val="000000"/>
              </w:rPr>
              <w:t>5-</w:t>
            </w:r>
            <w:r>
              <w:rPr>
                <w:rFonts w:hint="eastAsia"/>
                <w:color w:val="000000"/>
              </w:rPr>
              <w:t>非金融企业。</w:t>
            </w:r>
          </w:p>
        </w:tc>
      </w:tr>
      <w:tr w:rsidR="00A052DC" w14:paraId="4A170A8A" w14:textId="77777777">
        <w:trPr>
          <w:cantSplit/>
          <w:jc w:val="center"/>
        </w:trPr>
        <w:tc>
          <w:tcPr>
            <w:tcW w:w="1676" w:type="dxa"/>
          </w:tcPr>
          <w:p w14:paraId="7A19F8D8" w14:textId="77777777" w:rsidR="00A052DC" w:rsidRDefault="009F0A60">
            <w:pPr>
              <w:pStyle w:val="B"/>
              <w:rPr>
                <w:szCs w:val="20"/>
              </w:rPr>
            </w:pPr>
            <w:r>
              <w:rPr>
                <w:rFonts w:hint="eastAsia"/>
                <w:szCs w:val="20"/>
              </w:rPr>
              <w:t>投资者与本机构的关系</w:t>
            </w:r>
          </w:p>
        </w:tc>
        <w:tc>
          <w:tcPr>
            <w:tcW w:w="6553" w:type="dxa"/>
            <w:gridSpan w:val="2"/>
          </w:tcPr>
          <w:p w14:paraId="516C7D7D" w14:textId="77777777" w:rsidR="00A052DC" w:rsidRDefault="009F0A60">
            <w:pPr>
              <w:pStyle w:val="B"/>
              <w:rPr>
                <w:szCs w:val="20"/>
              </w:rPr>
            </w:pPr>
            <w:r>
              <w:rPr>
                <w:rFonts w:hint="eastAsia"/>
                <w:szCs w:val="20"/>
              </w:rPr>
              <w:t>见对方与本机构</w:t>
            </w:r>
            <w:r>
              <w:rPr>
                <w:szCs w:val="20"/>
              </w:rPr>
              <w:t>/</w:t>
            </w:r>
            <w:r>
              <w:rPr>
                <w:rFonts w:hint="eastAsia"/>
                <w:szCs w:val="20"/>
              </w:rPr>
              <w:t>被代理居民机构</w:t>
            </w:r>
            <w:r>
              <w:rPr>
                <w:szCs w:val="20"/>
              </w:rPr>
              <w:t>/</w:t>
            </w:r>
            <w:r>
              <w:rPr>
                <w:rFonts w:hint="eastAsia"/>
                <w:szCs w:val="20"/>
              </w:rPr>
              <w:t>委托人的关系代码表。请按以下四种情况填列：</w:t>
            </w:r>
            <w:r>
              <w:rPr>
                <w:szCs w:val="20"/>
              </w:rPr>
              <w:t>1-</w:t>
            </w:r>
            <w:r>
              <w:rPr>
                <w:rFonts w:hint="eastAsia"/>
                <w:szCs w:val="20"/>
              </w:rPr>
              <w:t>投资者是本机构的境外直接投资者，即持有本机构表决权≥</w:t>
            </w:r>
            <w:r>
              <w:rPr>
                <w:szCs w:val="20"/>
              </w:rPr>
              <w:t>10%</w:t>
            </w:r>
            <w:r>
              <w:rPr>
                <w:rFonts w:hint="eastAsia"/>
                <w:szCs w:val="20"/>
              </w:rPr>
              <w:t>；</w:t>
            </w:r>
            <w:r>
              <w:rPr>
                <w:szCs w:val="20"/>
              </w:rPr>
              <w:t>2-</w:t>
            </w:r>
            <w:r>
              <w:rPr>
                <w:rFonts w:hint="eastAsia"/>
                <w:szCs w:val="20"/>
              </w:rPr>
              <w:t>投资者是本机构的境外直接投资企业，即为本机构持有表决权≥</w:t>
            </w:r>
            <w:r>
              <w:rPr>
                <w:szCs w:val="20"/>
              </w:rPr>
              <w:t>10%</w:t>
            </w:r>
            <w:r>
              <w:rPr>
                <w:rFonts w:hint="eastAsia"/>
                <w:szCs w:val="20"/>
              </w:rPr>
              <w:t>的境外分支机构、子机构、联营机构或合营机构；</w:t>
            </w:r>
            <w:r>
              <w:rPr>
                <w:szCs w:val="20"/>
              </w:rPr>
              <w:t>3-</w:t>
            </w:r>
            <w:r>
              <w:rPr>
                <w:rFonts w:hint="eastAsia"/>
                <w:szCs w:val="20"/>
              </w:rPr>
              <w:t>投资者是本机构的境外联属机构，即两机构有共同母公司，且相互持有表决权＜</w:t>
            </w:r>
            <w:r>
              <w:rPr>
                <w:szCs w:val="20"/>
              </w:rPr>
              <w:t>10%</w:t>
            </w:r>
            <w:r>
              <w:rPr>
                <w:rFonts w:hint="eastAsia"/>
                <w:szCs w:val="20"/>
              </w:rPr>
              <w:t>或相互不持有表决权；</w:t>
            </w:r>
            <w:r>
              <w:rPr>
                <w:szCs w:val="20"/>
              </w:rPr>
              <w:t>4-</w:t>
            </w:r>
            <w:r>
              <w:rPr>
                <w:rFonts w:hint="eastAsia"/>
                <w:szCs w:val="20"/>
              </w:rPr>
              <w:t>投资者与本机构无关联关系，或两机构均处于中国境内。本表不应存在</w:t>
            </w:r>
            <w:r>
              <w:rPr>
                <w:szCs w:val="20"/>
              </w:rPr>
              <w:t>1</w:t>
            </w:r>
            <w:r>
              <w:rPr>
                <w:rFonts w:hint="eastAsia"/>
                <w:szCs w:val="20"/>
              </w:rPr>
              <w:t>类投资者，如出现，应将相关信息填列在</w:t>
            </w:r>
            <w:r>
              <w:rPr>
                <w:szCs w:val="20"/>
              </w:rPr>
              <w:t>A02-2</w:t>
            </w:r>
            <w:r>
              <w:rPr>
                <w:rFonts w:hint="eastAsia"/>
                <w:szCs w:val="20"/>
              </w:rPr>
              <w:t>表或</w:t>
            </w:r>
            <w:r>
              <w:rPr>
                <w:szCs w:val="20"/>
              </w:rPr>
              <w:t>A02-3</w:t>
            </w:r>
            <w:r>
              <w:rPr>
                <w:rFonts w:hint="eastAsia"/>
                <w:szCs w:val="20"/>
              </w:rPr>
              <w:t>表（来华直接投资）中，而非本表下。</w:t>
            </w:r>
          </w:p>
        </w:tc>
      </w:tr>
      <w:tr w:rsidR="00A052DC" w14:paraId="6AE5942D" w14:textId="77777777">
        <w:trPr>
          <w:cantSplit/>
          <w:jc w:val="center"/>
        </w:trPr>
        <w:tc>
          <w:tcPr>
            <w:tcW w:w="1676" w:type="dxa"/>
          </w:tcPr>
          <w:p w14:paraId="70FC19B6" w14:textId="77777777" w:rsidR="00A052DC" w:rsidRDefault="009F0A60">
            <w:pPr>
              <w:pStyle w:val="B"/>
              <w:rPr>
                <w:szCs w:val="20"/>
              </w:rPr>
            </w:pPr>
            <w:r>
              <w:rPr>
                <w:rFonts w:hint="eastAsia"/>
                <w:szCs w:val="20"/>
              </w:rPr>
              <w:t>原始币种</w:t>
            </w:r>
          </w:p>
        </w:tc>
        <w:tc>
          <w:tcPr>
            <w:tcW w:w="6553" w:type="dxa"/>
            <w:gridSpan w:val="2"/>
          </w:tcPr>
          <w:p w14:paraId="12734332" w14:textId="77777777" w:rsidR="00A052DC" w:rsidRDefault="009F0A60">
            <w:pPr>
              <w:pStyle w:val="B"/>
              <w:rPr>
                <w:szCs w:val="20"/>
              </w:rPr>
            </w:pPr>
            <w:r>
              <w:rPr>
                <w:rFonts w:hint="eastAsia"/>
                <w:szCs w:val="20"/>
              </w:rPr>
              <w:t>见币种代码表，指本机构发行的股本证券或投资基金份额</w:t>
            </w:r>
            <w:r>
              <w:rPr>
                <w:szCs w:val="20"/>
              </w:rPr>
              <w:t>/</w:t>
            </w:r>
            <w:r>
              <w:rPr>
                <w:rFonts w:hint="eastAsia"/>
                <w:szCs w:val="20"/>
              </w:rPr>
              <w:t>单位的计价币种。</w:t>
            </w:r>
            <w:r>
              <w:rPr>
                <w:szCs w:val="20"/>
              </w:rPr>
              <w:t>适用于上月末市值至本月末每股（每份）市价各项</w:t>
            </w:r>
            <w:r>
              <w:rPr>
                <w:rFonts w:cs="黑体" w:hint="eastAsia"/>
                <w:szCs w:val="20"/>
              </w:rPr>
              <w:t>［</w:t>
            </w:r>
            <w:r>
              <w:rPr>
                <w:rFonts w:hint="eastAsia"/>
                <w:szCs w:val="20"/>
              </w:rPr>
              <w:t>本月末投资者持股（份额）数量</w:t>
            </w:r>
            <w:r>
              <w:rPr>
                <w:szCs w:val="20"/>
              </w:rPr>
              <w:t>除外</w:t>
            </w:r>
            <w:r>
              <w:rPr>
                <w:rFonts w:cs="黑体" w:hint="eastAsia"/>
                <w:szCs w:val="20"/>
              </w:rPr>
              <w:t>］</w:t>
            </w:r>
            <w:r>
              <w:rPr>
                <w:rFonts w:cs="黑体"/>
                <w:szCs w:val="20"/>
              </w:rPr>
              <w:t>。</w:t>
            </w:r>
          </w:p>
        </w:tc>
      </w:tr>
      <w:tr w:rsidR="00A052DC" w14:paraId="0A7D4608" w14:textId="77777777">
        <w:trPr>
          <w:cantSplit/>
          <w:jc w:val="center"/>
        </w:trPr>
        <w:tc>
          <w:tcPr>
            <w:tcW w:w="1676" w:type="dxa"/>
          </w:tcPr>
          <w:p w14:paraId="04727956" w14:textId="77777777" w:rsidR="00A052DC" w:rsidRDefault="009F0A60">
            <w:pPr>
              <w:pStyle w:val="B"/>
              <w:rPr>
                <w:szCs w:val="20"/>
              </w:rPr>
            </w:pPr>
            <w:r>
              <w:rPr>
                <w:rFonts w:hint="eastAsia"/>
                <w:szCs w:val="20"/>
              </w:rPr>
              <w:t>上月末市值</w:t>
            </w:r>
          </w:p>
        </w:tc>
        <w:tc>
          <w:tcPr>
            <w:tcW w:w="6553" w:type="dxa"/>
            <w:gridSpan w:val="2"/>
          </w:tcPr>
          <w:p w14:paraId="36A59CCD" w14:textId="77777777" w:rsidR="00A052DC" w:rsidRDefault="009F0A60">
            <w:pPr>
              <w:pStyle w:val="B"/>
              <w:rPr>
                <w:szCs w:val="20"/>
              </w:rPr>
            </w:pPr>
            <w:r>
              <w:rPr>
                <w:rFonts w:hint="eastAsia"/>
                <w:szCs w:val="20"/>
              </w:rPr>
              <w:t>指上月末股本证券或投资基金份额</w:t>
            </w:r>
            <w:r>
              <w:rPr>
                <w:szCs w:val="20"/>
              </w:rPr>
              <w:t>/</w:t>
            </w:r>
            <w:r>
              <w:rPr>
                <w:rFonts w:hint="eastAsia"/>
                <w:szCs w:val="20"/>
              </w:rPr>
              <w:t>单位的公允价值。应优先使用按上月末公开市场收盘价计算的市场价值。如无市场价值，则按照本机构的记账惯例填报公允价值。</w:t>
            </w:r>
          </w:p>
        </w:tc>
      </w:tr>
      <w:tr w:rsidR="00A052DC" w14:paraId="52F2380D" w14:textId="77777777">
        <w:trPr>
          <w:cantSplit/>
          <w:jc w:val="center"/>
        </w:trPr>
        <w:tc>
          <w:tcPr>
            <w:tcW w:w="1676" w:type="dxa"/>
          </w:tcPr>
          <w:p w14:paraId="02F4676B" w14:textId="77777777" w:rsidR="00A052DC" w:rsidRDefault="009F0A60">
            <w:pPr>
              <w:pStyle w:val="B"/>
              <w:rPr>
                <w:szCs w:val="20"/>
              </w:rPr>
            </w:pPr>
            <w:r>
              <w:rPr>
                <w:rFonts w:hint="eastAsia"/>
                <w:szCs w:val="20"/>
              </w:rPr>
              <w:t>本月发行金额</w:t>
            </w:r>
          </w:p>
        </w:tc>
        <w:tc>
          <w:tcPr>
            <w:tcW w:w="6553" w:type="dxa"/>
            <w:gridSpan w:val="2"/>
          </w:tcPr>
          <w:p w14:paraId="7530246C" w14:textId="77777777" w:rsidR="00A052DC" w:rsidRDefault="009F0A60">
            <w:pPr>
              <w:pStyle w:val="B"/>
              <w:rPr>
                <w:szCs w:val="20"/>
              </w:rPr>
            </w:pPr>
            <w:r>
              <w:rPr>
                <w:rFonts w:hint="eastAsia"/>
                <w:szCs w:val="20"/>
              </w:rPr>
              <w:t>指本月内，向相关投资者新发或增发相关股本证券或投资基金份额</w:t>
            </w:r>
            <w:r>
              <w:rPr>
                <w:szCs w:val="20"/>
              </w:rPr>
              <w:t>/</w:t>
            </w:r>
            <w:r>
              <w:rPr>
                <w:rFonts w:hint="eastAsia"/>
                <w:szCs w:val="20"/>
              </w:rPr>
              <w:t>单位的金额。如出现可转债转换为股本证券的，视为本月回购相关债券，发行股本证券。</w:t>
            </w:r>
          </w:p>
        </w:tc>
      </w:tr>
      <w:tr w:rsidR="00A052DC" w14:paraId="58096A66" w14:textId="77777777">
        <w:trPr>
          <w:cantSplit/>
          <w:jc w:val="center"/>
        </w:trPr>
        <w:tc>
          <w:tcPr>
            <w:tcW w:w="1676" w:type="dxa"/>
          </w:tcPr>
          <w:p w14:paraId="315D1C05" w14:textId="77777777" w:rsidR="00A052DC" w:rsidRDefault="009F0A60">
            <w:pPr>
              <w:pStyle w:val="B"/>
              <w:rPr>
                <w:szCs w:val="20"/>
              </w:rPr>
            </w:pPr>
            <w:r>
              <w:rPr>
                <w:rFonts w:hint="eastAsia"/>
                <w:szCs w:val="20"/>
              </w:rPr>
              <w:t>本月回购（赎回）金额</w:t>
            </w:r>
          </w:p>
        </w:tc>
        <w:tc>
          <w:tcPr>
            <w:tcW w:w="6553" w:type="dxa"/>
            <w:gridSpan w:val="2"/>
          </w:tcPr>
          <w:p w14:paraId="5C08C8BA" w14:textId="77777777" w:rsidR="00A052DC" w:rsidRDefault="009F0A60">
            <w:pPr>
              <w:pStyle w:val="B"/>
              <w:rPr>
                <w:szCs w:val="20"/>
              </w:rPr>
            </w:pPr>
            <w:r>
              <w:rPr>
                <w:rFonts w:hint="eastAsia"/>
                <w:szCs w:val="20"/>
              </w:rPr>
              <w:t>指本月内，从相关投资者处回购或赎回本机构的股本证券或投资基金份额</w:t>
            </w:r>
            <w:r>
              <w:rPr>
                <w:szCs w:val="20"/>
              </w:rPr>
              <w:t>/</w:t>
            </w:r>
            <w:r>
              <w:rPr>
                <w:rFonts w:hint="eastAsia"/>
                <w:szCs w:val="20"/>
              </w:rPr>
              <w:t>单位的金额。</w:t>
            </w:r>
          </w:p>
        </w:tc>
      </w:tr>
      <w:tr w:rsidR="00A052DC" w14:paraId="23C6C30F" w14:textId="77777777">
        <w:trPr>
          <w:cantSplit/>
          <w:jc w:val="center"/>
        </w:trPr>
        <w:tc>
          <w:tcPr>
            <w:tcW w:w="1703" w:type="dxa"/>
            <w:gridSpan w:val="2"/>
          </w:tcPr>
          <w:p w14:paraId="7C43BB4B" w14:textId="77777777" w:rsidR="00A052DC" w:rsidRDefault="009F0A60">
            <w:pPr>
              <w:pStyle w:val="B"/>
              <w:rPr>
                <w:szCs w:val="20"/>
              </w:rPr>
            </w:pPr>
            <w:r>
              <w:rPr>
                <w:rFonts w:hint="eastAsia"/>
                <w:szCs w:val="20"/>
              </w:rPr>
              <w:t>本月非交易变动</w:t>
            </w:r>
          </w:p>
        </w:tc>
        <w:tc>
          <w:tcPr>
            <w:tcW w:w="6526" w:type="dxa"/>
          </w:tcPr>
          <w:p w14:paraId="4D753032" w14:textId="77777777" w:rsidR="00A052DC" w:rsidRDefault="009F0A60">
            <w:pPr>
              <w:pStyle w:val="B"/>
              <w:rPr>
                <w:szCs w:val="20"/>
              </w:rPr>
            </w:pPr>
            <w:r>
              <w:rPr>
                <w:rFonts w:hint="eastAsia"/>
                <w:szCs w:val="20"/>
              </w:rPr>
              <w:t>反映本月内证券交易买卖因素以外的非交易因素引起的价值变动。计算方法为：本月非交易变动</w:t>
            </w:r>
            <w:r>
              <w:rPr>
                <w:szCs w:val="20"/>
              </w:rPr>
              <w:t>=</w:t>
            </w:r>
            <w:r>
              <w:rPr>
                <w:rFonts w:hint="eastAsia"/>
                <w:szCs w:val="20"/>
              </w:rPr>
              <w:t>本月末市值</w:t>
            </w:r>
            <w:r>
              <w:rPr>
                <w:szCs w:val="20"/>
              </w:rPr>
              <w:t>-</w:t>
            </w:r>
            <w:r>
              <w:rPr>
                <w:rFonts w:hint="eastAsia"/>
                <w:szCs w:val="20"/>
              </w:rPr>
              <w:t>上月末市值</w:t>
            </w:r>
            <w:r>
              <w:rPr>
                <w:szCs w:val="20"/>
              </w:rPr>
              <w:t>-</w:t>
            </w:r>
            <w:r>
              <w:rPr>
                <w:rFonts w:hint="eastAsia"/>
                <w:szCs w:val="20"/>
              </w:rPr>
              <w:t>（本月发行金额</w:t>
            </w:r>
            <w:r>
              <w:rPr>
                <w:szCs w:val="20"/>
              </w:rPr>
              <w:t>-</w:t>
            </w:r>
            <w:r>
              <w:rPr>
                <w:rFonts w:hint="eastAsia"/>
                <w:szCs w:val="20"/>
              </w:rPr>
              <w:t>本月回购（赎回）金额）。</w:t>
            </w:r>
          </w:p>
        </w:tc>
      </w:tr>
      <w:tr w:rsidR="00A052DC" w14:paraId="60763E3C" w14:textId="77777777">
        <w:trPr>
          <w:cantSplit/>
          <w:jc w:val="center"/>
        </w:trPr>
        <w:tc>
          <w:tcPr>
            <w:tcW w:w="1703" w:type="dxa"/>
            <w:gridSpan w:val="2"/>
          </w:tcPr>
          <w:p w14:paraId="1B35E893" w14:textId="77777777" w:rsidR="00A052DC" w:rsidRDefault="009F0A60">
            <w:pPr>
              <w:pStyle w:val="B"/>
              <w:rPr>
                <w:szCs w:val="20"/>
              </w:rPr>
            </w:pPr>
            <w:r>
              <w:rPr>
                <w:rFonts w:hint="eastAsia"/>
              </w:rPr>
              <w:t>调整</w:t>
            </w:r>
            <w:r>
              <w:rPr>
                <w:rFonts w:hint="eastAsia"/>
                <w:szCs w:val="20"/>
              </w:rPr>
              <w:t>或</w:t>
            </w:r>
            <w:r>
              <w:rPr>
                <w:rFonts w:hint="eastAsia"/>
              </w:rPr>
              <w:t>重新分类至其他报表统计的金额</w:t>
            </w:r>
          </w:p>
        </w:tc>
        <w:tc>
          <w:tcPr>
            <w:tcW w:w="6526" w:type="dxa"/>
          </w:tcPr>
          <w:p w14:paraId="7E2805DF" w14:textId="77777777" w:rsidR="00A052DC" w:rsidRDefault="009F0A60">
            <w:pPr>
              <w:pStyle w:val="B"/>
              <w:rPr>
                <w:szCs w:val="20"/>
              </w:rPr>
            </w:pPr>
            <w:r>
              <w:rPr>
                <w:rFonts w:hint="eastAsia"/>
              </w:rPr>
              <w:t>指非买卖因素引起的证券资产数量增减和价值变动。包括但不限于本月因相关投资者期末持有本机构表决权比例≥</w:t>
            </w:r>
            <w:r>
              <w:t>10%</w:t>
            </w:r>
            <w:r>
              <w:rPr>
                <w:rFonts w:hint="eastAsia"/>
              </w:rPr>
              <w:t>而被重新分类至来华直接投资统计的金额。必须满足：本月非交易变动</w:t>
            </w:r>
            <w:r>
              <w:t>=</w:t>
            </w:r>
            <w:r w:rsidR="00F719F7" w:rsidRPr="00F719F7">
              <w:rPr>
                <w:rFonts w:hint="eastAsia"/>
              </w:rPr>
              <w:t>调整或重新分类至其他报表统计的金额</w:t>
            </w:r>
            <w:r>
              <w:t>+</w:t>
            </w:r>
            <w:r>
              <w:rPr>
                <w:rFonts w:hint="eastAsia"/>
              </w:rPr>
              <w:t>价值重估因素。</w:t>
            </w:r>
          </w:p>
        </w:tc>
      </w:tr>
      <w:tr w:rsidR="00A052DC" w14:paraId="0275A9EF" w14:textId="77777777">
        <w:trPr>
          <w:cantSplit/>
          <w:jc w:val="center"/>
        </w:trPr>
        <w:tc>
          <w:tcPr>
            <w:tcW w:w="1703" w:type="dxa"/>
            <w:gridSpan w:val="2"/>
          </w:tcPr>
          <w:p w14:paraId="333E7850" w14:textId="77777777" w:rsidR="00A052DC" w:rsidRDefault="009F0A60">
            <w:pPr>
              <w:pStyle w:val="B"/>
              <w:rPr>
                <w:szCs w:val="20"/>
              </w:rPr>
            </w:pPr>
            <w:r>
              <w:rPr>
                <w:rFonts w:hint="eastAsia"/>
              </w:rPr>
              <w:t>价值重估因素</w:t>
            </w:r>
          </w:p>
        </w:tc>
        <w:tc>
          <w:tcPr>
            <w:tcW w:w="6526" w:type="dxa"/>
          </w:tcPr>
          <w:p w14:paraId="7E9A59D8" w14:textId="77777777" w:rsidR="00A052DC" w:rsidRDefault="009F0A60" w:rsidP="00F719F7">
            <w:pPr>
              <w:pStyle w:val="B"/>
              <w:rPr>
                <w:szCs w:val="20"/>
              </w:rPr>
            </w:pPr>
            <w:r>
              <w:rPr>
                <w:rFonts w:hint="eastAsia"/>
              </w:rPr>
              <w:t>剔除买卖因素和调整</w:t>
            </w:r>
            <w:r w:rsidR="00F719F7">
              <w:rPr>
                <w:rFonts w:hint="eastAsia"/>
              </w:rPr>
              <w:t>或</w:t>
            </w:r>
            <w:r>
              <w:rPr>
                <w:rFonts w:hint="eastAsia"/>
              </w:rPr>
              <w:t>重新分类至其他报表统计的金额因素外，本月市场价格或近似参考价格波动带来的相关工具价值增减。必须满足：本月非交易变动</w:t>
            </w:r>
            <w:r>
              <w:t>=</w:t>
            </w:r>
            <w:r>
              <w:rPr>
                <w:rFonts w:hint="eastAsia"/>
              </w:rPr>
              <w:t>调整</w:t>
            </w:r>
            <w:r w:rsidR="00F719F7">
              <w:rPr>
                <w:rFonts w:hint="eastAsia"/>
              </w:rPr>
              <w:t>或</w:t>
            </w:r>
            <w:r>
              <w:rPr>
                <w:rFonts w:hint="eastAsia"/>
              </w:rPr>
              <w:t>重新分类至其他报表统计的金额</w:t>
            </w:r>
            <w:r>
              <w:t>+</w:t>
            </w:r>
            <w:r>
              <w:rPr>
                <w:rFonts w:hint="eastAsia"/>
              </w:rPr>
              <w:t>价值重估因素。</w:t>
            </w:r>
          </w:p>
        </w:tc>
      </w:tr>
      <w:tr w:rsidR="00A052DC" w14:paraId="3F21E492" w14:textId="77777777">
        <w:trPr>
          <w:cantSplit/>
          <w:jc w:val="center"/>
        </w:trPr>
        <w:tc>
          <w:tcPr>
            <w:tcW w:w="1676" w:type="dxa"/>
          </w:tcPr>
          <w:p w14:paraId="7704F00A" w14:textId="77777777" w:rsidR="00A052DC" w:rsidRDefault="009F0A60">
            <w:pPr>
              <w:pStyle w:val="B"/>
              <w:rPr>
                <w:szCs w:val="20"/>
              </w:rPr>
            </w:pPr>
            <w:r>
              <w:rPr>
                <w:rFonts w:hint="eastAsia"/>
                <w:szCs w:val="20"/>
              </w:rPr>
              <w:t>本月末市值</w:t>
            </w:r>
          </w:p>
        </w:tc>
        <w:tc>
          <w:tcPr>
            <w:tcW w:w="6553" w:type="dxa"/>
            <w:gridSpan w:val="2"/>
          </w:tcPr>
          <w:p w14:paraId="1379B503" w14:textId="77777777" w:rsidR="00A052DC" w:rsidRDefault="009F0A60">
            <w:pPr>
              <w:pStyle w:val="B"/>
              <w:rPr>
                <w:szCs w:val="20"/>
              </w:rPr>
            </w:pPr>
            <w:r>
              <w:rPr>
                <w:rFonts w:hint="eastAsia"/>
                <w:szCs w:val="20"/>
              </w:rPr>
              <w:t>指本月末股本证券或投资基金份额</w:t>
            </w:r>
            <w:r>
              <w:rPr>
                <w:szCs w:val="20"/>
              </w:rPr>
              <w:t>/</w:t>
            </w:r>
            <w:r>
              <w:rPr>
                <w:rFonts w:hint="eastAsia"/>
                <w:szCs w:val="20"/>
              </w:rPr>
              <w:t>单位的公允价值。应优先使用按上月末公开市场收盘价计算的市场价值。如无市场价值，则按照本机构的记账惯例填报公允价值。</w:t>
            </w:r>
          </w:p>
        </w:tc>
      </w:tr>
      <w:tr w:rsidR="00A052DC" w14:paraId="33568153" w14:textId="77777777">
        <w:trPr>
          <w:cantSplit/>
          <w:jc w:val="center"/>
        </w:trPr>
        <w:tc>
          <w:tcPr>
            <w:tcW w:w="1676" w:type="dxa"/>
          </w:tcPr>
          <w:p w14:paraId="124A7C86" w14:textId="77777777" w:rsidR="00A052DC" w:rsidRDefault="009F0A60">
            <w:pPr>
              <w:pStyle w:val="B"/>
              <w:rPr>
                <w:szCs w:val="20"/>
              </w:rPr>
            </w:pPr>
            <w:r>
              <w:rPr>
                <w:rFonts w:hint="eastAsia"/>
                <w:szCs w:val="20"/>
              </w:rPr>
              <w:t>本月宣告分配投资者的股息</w:t>
            </w:r>
            <w:r>
              <w:rPr>
                <w:szCs w:val="20"/>
              </w:rPr>
              <w:t>/</w:t>
            </w:r>
            <w:r>
              <w:rPr>
                <w:rFonts w:hint="eastAsia"/>
                <w:szCs w:val="20"/>
              </w:rPr>
              <w:t>红利</w:t>
            </w:r>
          </w:p>
        </w:tc>
        <w:tc>
          <w:tcPr>
            <w:tcW w:w="6553" w:type="dxa"/>
            <w:gridSpan w:val="2"/>
          </w:tcPr>
          <w:p w14:paraId="4E97DF18" w14:textId="77777777" w:rsidR="00A052DC" w:rsidRDefault="009F0A60">
            <w:pPr>
              <w:pStyle w:val="B"/>
              <w:rPr>
                <w:szCs w:val="20"/>
              </w:rPr>
            </w:pPr>
            <w:r>
              <w:rPr>
                <w:rFonts w:hint="eastAsia"/>
                <w:szCs w:val="20"/>
              </w:rPr>
              <w:t>指本月本机构宣告向股本证券或投资基金份额</w:t>
            </w:r>
            <w:r>
              <w:rPr>
                <w:szCs w:val="20"/>
              </w:rPr>
              <w:t>/</w:t>
            </w:r>
            <w:r>
              <w:rPr>
                <w:rFonts w:hint="eastAsia"/>
                <w:szCs w:val="20"/>
              </w:rPr>
              <w:t>单位持有者分配的股息</w:t>
            </w:r>
            <w:r>
              <w:rPr>
                <w:szCs w:val="20"/>
              </w:rPr>
              <w:t>/</w:t>
            </w:r>
            <w:r>
              <w:rPr>
                <w:rFonts w:hint="eastAsia"/>
                <w:szCs w:val="20"/>
              </w:rPr>
              <w:t>红利。</w:t>
            </w:r>
          </w:p>
        </w:tc>
      </w:tr>
      <w:tr w:rsidR="00A052DC" w14:paraId="015F6F3B" w14:textId="77777777">
        <w:trPr>
          <w:cantSplit/>
          <w:jc w:val="center"/>
        </w:trPr>
        <w:tc>
          <w:tcPr>
            <w:tcW w:w="1676" w:type="dxa"/>
          </w:tcPr>
          <w:p w14:paraId="18AC0C52" w14:textId="77777777" w:rsidR="00A052DC" w:rsidRDefault="009F0A60">
            <w:pPr>
              <w:pStyle w:val="B"/>
              <w:rPr>
                <w:szCs w:val="20"/>
              </w:rPr>
            </w:pPr>
            <w:r>
              <w:rPr>
                <w:rFonts w:hint="eastAsia"/>
                <w:szCs w:val="20"/>
              </w:rPr>
              <w:t>本月末未实现收益（仅限发行产品为货币市场投资基金份额</w:t>
            </w:r>
            <w:r>
              <w:rPr>
                <w:szCs w:val="20"/>
              </w:rPr>
              <w:t>/</w:t>
            </w:r>
            <w:r>
              <w:rPr>
                <w:rFonts w:hint="eastAsia"/>
                <w:szCs w:val="20"/>
              </w:rPr>
              <w:t>单位）</w:t>
            </w:r>
          </w:p>
        </w:tc>
        <w:tc>
          <w:tcPr>
            <w:tcW w:w="6553" w:type="dxa"/>
            <w:gridSpan w:val="2"/>
          </w:tcPr>
          <w:p w14:paraId="1B615DFD" w14:textId="77777777" w:rsidR="00A052DC" w:rsidRDefault="009F0A60">
            <w:pPr>
              <w:pStyle w:val="B"/>
              <w:rPr>
                <w:szCs w:val="20"/>
              </w:rPr>
            </w:pPr>
            <w:r>
              <w:rPr>
                <w:rFonts w:hint="eastAsia"/>
                <w:szCs w:val="20"/>
              </w:rPr>
              <w:t>仅限于发行货币市场基金份额</w:t>
            </w:r>
            <w:r>
              <w:rPr>
                <w:szCs w:val="20"/>
              </w:rPr>
              <w:t>/</w:t>
            </w:r>
            <w:r>
              <w:rPr>
                <w:rFonts w:hint="eastAsia"/>
                <w:szCs w:val="20"/>
              </w:rPr>
              <w:t>单位的情况，指本机构发行的基金份额</w:t>
            </w:r>
            <w:r>
              <w:rPr>
                <w:szCs w:val="20"/>
              </w:rPr>
              <w:t>/</w:t>
            </w:r>
            <w:r>
              <w:rPr>
                <w:rFonts w:hint="eastAsia"/>
                <w:szCs w:val="20"/>
              </w:rPr>
              <w:t>单位中归属于份额持有者的未分配利润。</w:t>
            </w:r>
          </w:p>
        </w:tc>
      </w:tr>
      <w:tr w:rsidR="00A052DC" w14:paraId="71CD96EC" w14:textId="77777777">
        <w:trPr>
          <w:cantSplit/>
          <w:jc w:val="center"/>
        </w:trPr>
        <w:tc>
          <w:tcPr>
            <w:tcW w:w="1676" w:type="dxa"/>
          </w:tcPr>
          <w:p w14:paraId="453AE660" w14:textId="77777777" w:rsidR="00A052DC" w:rsidRDefault="009F0A60">
            <w:pPr>
              <w:pStyle w:val="B"/>
              <w:rPr>
                <w:szCs w:val="20"/>
              </w:rPr>
            </w:pPr>
            <w:r>
              <w:rPr>
                <w:rFonts w:hint="eastAsia"/>
                <w:szCs w:val="20"/>
              </w:rPr>
              <w:t>本月末投资者持股（份额）数量</w:t>
            </w:r>
          </w:p>
        </w:tc>
        <w:tc>
          <w:tcPr>
            <w:tcW w:w="6553" w:type="dxa"/>
            <w:gridSpan w:val="2"/>
          </w:tcPr>
          <w:p w14:paraId="7FA4D6B3" w14:textId="77777777" w:rsidR="00A052DC" w:rsidRDefault="009F0A60">
            <w:pPr>
              <w:pStyle w:val="B"/>
              <w:rPr>
                <w:szCs w:val="20"/>
              </w:rPr>
            </w:pPr>
            <w:r>
              <w:rPr>
                <w:rFonts w:hint="eastAsia"/>
                <w:szCs w:val="20"/>
              </w:rPr>
              <w:t>指本月末投资者持有的本机构股本证券和投资基金份额</w:t>
            </w:r>
            <w:r>
              <w:rPr>
                <w:szCs w:val="20"/>
              </w:rPr>
              <w:t>/</w:t>
            </w:r>
            <w:r>
              <w:rPr>
                <w:rFonts w:hint="eastAsia"/>
                <w:szCs w:val="20"/>
              </w:rPr>
              <w:t>单位的数量，按股</w:t>
            </w:r>
            <w:r>
              <w:rPr>
                <w:szCs w:val="20"/>
              </w:rPr>
              <w:t>/</w:t>
            </w:r>
            <w:r>
              <w:rPr>
                <w:rFonts w:hint="eastAsia"/>
                <w:szCs w:val="20"/>
              </w:rPr>
              <w:t>份填列。</w:t>
            </w:r>
          </w:p>
        </w:tc>
      </w:tr>
      <w:tr w:rsidR="00A052DC" w14:paraId="09394301" w14:textId="77777777">
        <w:trPr>
          <w:cantSplit/>
          <w:jc w:val="center"/>
        </w:trPr>
        <w:tc>
          <w:tcPr>
            <w:tcW w:w="1676" w:type="dxa"/>
          </w:tcPr>
          <w:p w14:paraId="7723CC59" w14:textId="77777777" w:rsidR="00A052DC" w:rsidRDefault="009F0A60">
            <w:pPr>
              <w:pStyle w:val="B"/>
              <w:rPr>
                <w:szCs w:val="20"/>
              </w:rPr>
            </w:pPr>
            <w:r>
              <w:rPr>
                <w:rFonts w:hint="eastAsia"/>
                <w:szCs w:val="20"/>
              </w:rPr>
              <w:t>本月末每股（每份）市价</w:t>
            </w:r>
          </w:p>
        </w:tc>
        <w:tc>
          <w:tcPr>
            <w:tcW w:w="6553" w:type="dxa"/>
            <w:gridSpan w:val="2"/>
          </w:tcPr>
          <w:p w14:paraId="336372D6" w14:textId="77777777" w:rsidR="00A052DC" w:rsidRDefault="009F0A60">
            <w:pPr>
              <w:pStyle w:val="B"/>
              <w:rPr>
                <w:szCs w:val="20"/>
              </w:rPr>
            </w:pPr>
            <w:r>
              <w:rPr>
                <w:rFonts w:hint="eastAsia"/>
                <w:szCs w:val="20"/>
              </w:rPr>
              <w:t>指本月末，投资者持有的本机构对外股本证券和投资基金份额</w:t>
            </w:r>
            <w:r>
              <w:rPr>
                <w:szCs w:val="20"/>
              </w:rPr>
              <w:t>/</w:t>
            </w:r>
            <w:r>
              <w:rPr>
                <w:rFonts w:hint="eastAsia"/>
                <w:szCs w:val="20"/>
              </w:rPr>
              <w:t>单位的收盘价。</w:t>
            </w:r>
          </w:p>
        </w:tc>
      </w:tr>
      <w:tr w:rsidR="00A052DC" w14:paraId="23099D4D" w14:textId="77777777">
        <w:trPr>
          <w:cantSplit/>
          <w:jc w:val="center"/>
        </w:trPr>
        <w:tc>
          <w:tcPr>
            <w:tcW w:w="1676" w:type="dxa"/>
          </w:tcPr>
          <w:p w14:paraId="74CC26DF" w14:textId="77777777" w:rsidR="00A052DC" w:rsidRDefault="009F0A60">
            <w:pPr>
              <w:pStyle w:val="B"/>
              <w:rPr>
                <w:szCs w:val="20"/>
              </w:rPr>
            </w:pPr>
            <w:r>
              <w:rPr>
                <w:rFonts w:hint="eastAsia"/>
                <w:szCs w:val="20"/>
              </w:rPr>
              <w:t>本月末投资者持股（份额）比例</w:t>
            </w:r>
          </w:p>
        </w:tc>
        <w:tc>
          <w:tcPr>
            <w:tcW w:w="6553" w:type="dxa"/>
            <w:gridSpan w:val="2"/>
          </w:tcPr>
          <w:p w14:paraId="56FC2AFA" w14:textId="77777777" w:rsidR="00A052DC" w:rsidRDefault="009F0A60">
            <w:pPr>
              <w:pStyle w:val="B"/>
              <w:rPr>
                <w:szCs w:val="20"/>
              </w:rPr>
            </w:pPr>
            <w:r>
              <w:rPr>
                <w:rFonts w:ascii="宋体" w:hAnsi="宋体" w:hint="eastAsia"/>
                <w:color w:val="000000"/>
              </w:rPr>
              <w:t>指截至本月末，投资者持有本机构股本证券或投资基金份额</w:t>
            </w:r>
            <w:r>
              <w:rPr>
                <w:rFonts w:ascii="宋体" w:hAnsi="宋体"/>
                <w:color w:val="000000"/>
              </w:rPr>
              <w:t>/</w:t>
            </w:r>
            <w:r>
              <w:rPr>
                <w:rFonts w:ascii="宋体" w:hAnsi="宋体" w:hint="eastAsia"/>
                <w:color w:val="000000"/>
              </w:rPr>
              <w:t>单位所占本机构境内外上市及非上市所有股本证券或投资基金份额</w:t>
            </w:r>
            <w:r>
              <w:rPr>
                <w:rFonts w:ascii="宋体" w:hAnsi="宋体"/>
                <w:color w:val="000000"/>
              </w:rPr>
              <w:t>/</w:t>
            </w:r>
            <w:r>
              <w:rPr>
                <w:rFonts w:ascii="宋体" w:hAnsi="宋体" w:hint="eastAsia"/>
                <w:color w:val="000000"/>
              </w:rPr>
              <w:t>单位的比例。</w:t>
            </w:r>
          </w:p>
        </w:tc>
      </w:tr>
      <w:tr w:rsidR="00A052DC" w14:paraId="21909DB2" w14:textId="77777777">
        <w:trPr>
          <w:cantSplit/>
          <w:jc w:val="center"/>
        </w:trPr>
        <w:tc>
          <w:tcPr>
            <w:tcW w:w="1676" w:type="dxa"/>
          </w:tcPr>
          <w:p w14:paraId="42E45CB4" w14:textId="77777777" w:rsidR="00A052DC" w:rsidRDefault="009F0A60">
            <w:pPr>
              <w:pStyle w:val="B"/>
              <w:rPr>
                <w:szCs w:val="20"/>
              </w:rPr>
            </w:pPr>
            <w:r>
              <w:rPr>
                <w:rFonts w:hint="eastAsia"/>
                <w:szCs w:val="20"/>
              </w:rPr>
              <w:t>备注</w:t>
            </w:r>
          </w:p>
        </w:tc>
        <w:tc>
          <w:tcPr>
            <w:tcW w:w="6553" w:type="dxa"/>
            <w:gridSpan w:val="2"/>
          </w:tcPr>
          <w:p w14:paraId="4DC5350A" w14:textId="77777777" w:rsidR="00A052DC" w:rsidRDefault="009F0A60">
            <w:pPr>
              <w:pStyle w:val="B"/>
              <w:rPr>
                <w:szCs w:val="20"/>
              </w:rPr>
            </w:pPr>
            <w:r>
              <w:rPr>
                <w:rFonts w:hint="eastAsia"/>
                <w:szCs w:val="20"/>
              </w:rPr>
              <w:t>需要说明的备注事项。</w:t>
            </w:r>
          </w:p>
        </w:tc>
      </w:tr>
    </w:tbl>
    <w:p w14:paraId="43FE8011" w14:textId="77777777" w:rsidR="00A052DC" w:rsidRDefault="00A052DC"/>
    <w:p w14:paraId="1583F42E" w14:textId="77777777" w:rsidR="00A052DC" w:rsidRDefault="00A052DC"/>
    <w:p w14:paraId="023B40B0" w14:textId="77777777" w:rsidR="00A052DC" w:rsidRDefault="009F0A60" w:rsidP="0020251D">
      <w:pPr>
        <w:pStyle w:val="4"/>
        <w:numPr>
          <w:ilvl w:val="3"/>
          <w:numId w:val="1"/>
        </w:numPr>
        <w:jc w:val="left"/>
      </w:pPr>
      <w:bookmarkStart w:id="3117" w:name="_Toc380570937"/>
      <w:bookmarkStart w:id="3118" w:name="_Toc454391273"/>
      <w:r>
        <w:rPr>
          <w:rFonts w:hint="eastAsia"/>
        </w:rPr>
        <w:t>数据格式</w:t>
      </w:r>
      <w:bookmarkEnd w:id="3117"/>
      <w:bookmarkEnd w:id="3118"/>
    </w:p>
    <w:p w14:paraId="362D475A" w14:textId="77777777" w:rsidR="00A052DC" w:rsidRDefault="009F0A60">
      <w:pPr>
        <w:ind w:firstLineChars="270" w:firstLine="567"/>
        <w:jc w:val="left"/>
        <w:rPr>
          <w:szCs w:val="21"/>
        </w:rPr>
      </w:pPr>
      <w:r>
        <w:rPr>
          <w:szCs w:val="21"/>
        </w:rPr>
        <w:t>&lt;REC&gt;</w:t>
      </w:r>
    </w:p>
    <w:p w14:paraId="02171002" w14:textId="77777777" w:rsidR="00A052DC" w:rsidRDefault="009F0A60">
      <w:pPr>
        <w:ind w:firstLineChars="270" w:firstLine="567"/>
        <w:jc w:val="left"/>
      </w:pPr>
      <w:r>
        <w:t>&lt;ACTIONTYPE&gt;</w:t>
      </w:r>
      <w:r>
        <w:rPr>
          <w:rFonts w:hAnsi="宋体"/>
        </w:rPr>
        <w:t>操作类型</w:t>
      </w:r>
      <w:r>
        <w:t>&lt;/ACTIONTYPE&gt;</w:t>
      </w:r>
    </w:p>
    <w:p w14:paraId="49CDCBB5" w14:textId="77777777" w:rsidR="00A052DC" w:rsidRDefault="009F0A60">
      <w:pPr>
        <w:ind w:firstLineChars="270" w:firstLine="567"/>
        <w:jc w:val="left"/>
      </w:pPr>
      <w:r>
        <w:t>&lt;ACTIONDESC&gt;</w:t>
      </w:r>
      <w:r>
        <w:rPr>
          <w:rFonts w:hAnsi="宋体"/>
        </w:rPr>
        <w:t>删除原因</w:t>
      </w:r>
      <w:r>
        <w:t>&lt;/ACTIONDESC&gt;</w:t>
      </w:r>
    </w:p>
    <w:p w14:paraId="770CB452" w14:textId="77777777" w:rsidR="00A052DC" w:rsidRDefault="009F0A60">
      <w:pPr>
        <w:ind w:firstLineChars="270" w:firstLine="567"/>
        <w:jc w:val="left"/>
      </w:pPr>
      <w:r>
        <w:t>&lt;SNOCODE&gt;</w:t>
      </w:r>
      <w:r>
        <w:rPr>
          <w:rFonts w:hAnsi="宋体"/>
        </w:rPr>
        <w:t>数据自编码</w:t>
      </w:r>
      <w:r>
        <w:t>&lt;/SNOCODE&gt;</w:t>
      </w:r>
    </w:p>
    <w:p w14:paraId="3D6EAF44" w14:textId="77777777" w:rsidR="00A052DC" w:rsidRDefault="009F0A60">
      <w:pPr>
        <w:ind w:firstLineChars="270" w:firstLine="567"/>
        <w:jc w:val="left"/>
      </w:pPr>
      <w:r>
        <w:t>&lt;OBJCODE&gt;</w:t>
      </w:r>
      <w:r>
        <w:rPr>
          <w:rFonts w:hAnsi="宋体"/>
        </w:rPr>
        <w:t>申报主体代码</w:t>
      </w:r>
      <w:r>
        <w:t>&lt;/OBJCODE&gt;</w:t>
      </w:r>
    </w:p>
    <w:p w14:paraId="5A4698BF" w14:textId="77777777" w:rsidR="00A052DC" w:rsidRDefault="009F0A60">
      <w:pPr>
        <w:ind w:firstLineChars="270" w:firstLine="567"/>
        <w:jc w:val="left"/>
      </w:pPr>
      <w:r>
        <w:t>&lt;BUOCMONTH&gt;</w:t>
      </w:r>
      <w:r>
        <w:rPr>
          <w:rFonts w:hAnsi="宋体"/>
        </w:rPr>
        <w:t>报告期</w:t>
      </w:r>
      <w:r>
        <w:t>&lt;/BUOCMONTH&gt;</w:t>
      </w:r>
    </w:p>
    <w:p w14:paraId="615EB771" w14:textId="77777777" w:rsidR="00A052DC" w:rsidRDefault="009F0A60">
      <w:pPr>
        <w:ind w:firstLineChars="270" w:firstLine="567"/>
        <w:jc w:val="left"/>
        <w:rPr>
          <w:szCs w:val="21"/>
        </w:rPr>
      </w:pPr>
      <w:r>
        <w:rPr>
          <w:szCs w:val="21"/>
        </w:rPr>
        <w:t>&lt;B0401&gt;</w:t>
      </w:r>
      <w:r>
        <w:rPr>
          <w:rFonts w:hAnsi="宋体"/>
          <w:szCs w:val="21"/>
        </w:rPr>
        <w:t>投资工具类型</w:t>
      </w:r>
      <w:r>
        <w:rPr>
          <w:szCs w:val="21"/>
        </w:rPr>
        <w:t>&lt;/B0401&gt;</w:t>
      </w:r>
    </w:p>
    <w:p w14:paraId="09B06503" w14:textId="77777777" w:rsidR="00A052DC" w:rsidRDefault="009F0A60">
      <w:pPr>
        <w:ind w:firstLineChars="270" w:firstLine="567"/>
        <w:jc w:val="left"/>
        <w:rPr>
          <w:szCs w:val="21"/>
        </w:rPr>
      </w:pPr>
      <w:r>
        <w:rPr>
          <w:szCs w:val="21"/>
        </w:rPr>
        <w:t>&lt;B0401CODE&gt;</w:t>
      </w:r>
      <w:r>
        <w:rPr>
          <w:rFonts w:hAnsi="宋体"/>
          <w:szCs w:val="21"/>
        </w:rPr>
        <w:t>业务类型</w:t>
      </w:r>
      <w:r>
        <w:rPr>
          <w:szCs w:val="21"/>
        </w:rPr>
        <w:t>&lt;/B0401CODE&gt;</w:t>
      </w:r>
    </w:p>
    <w:p w14:paraId="4F1FDA56" w14:textId="77777777" w:rsidR="00A052DC" w:rsidRDefault="009F0A60">
      <w:pPr>
        <w:ind w:firstLineChars="270" w:firstLine="567"/>
        <w:jc w:val="left"/>
        <w:rPr>
          <w:szCs w:val="21"/>
        </w:rPr>
      </w:pPr>
      <w:r>
        <w:rPr>
          <w:szCs w:val="21"/>
        </w:rPr>
        <w:t>&lt;B0402&gt;</w:t>
      </w:r>
      <w:r>
        <w:rPr>
          <w:rFonts w:hAnsi="宋体"/>
          <w:szCs w:val="21"/>
        </w:rPr>
        <w:t>证券代码</w:t>
      </w:r>
      <w:r>
        <w:rPr>
          <w:szCs w:val="21"/>
        </w:rPr>
        <w:t>&lt;/B0402&gt;</w:t>
      </w:r>
    </w:p>
    <w:p w14:paraId="14080291" w14:textId="77777777" w:rsidR="00A052DC" w:rsidRDefault="009F0A60">
      <w:pPr>
        <w:ind w:firstLineChars="270" w:firstLine="567"/>
        <w:jc w:val="left"/>
        <w:rPr>
          <w:szCs w:val="21"/>
        </w:rPr>
      </w:pPr>
      <w:r>
        <w:rPr>
          <w:szCs w:val="21"/>
        </w:rPr>
        <w:t>&lt;B0403&gt;</w:t>
      </w:r>
      <w:r>
        <w:rPr>
          <w:rFonts w:hAnsi="宋体"/>
          <w:szCs w:val="21"/>
        </w:rPr>
        <w:t>发行地</w:t>
      </w:r>
      <w:r>
        <w:rPr>
          <w:szCs w:val="21"/>
        </w:rPr>
        <w:t>&lt;/B0403&gt;</w:t>
      </w:r>
    </w:p>
    <w:p w14:paraId="125728AE" w14:textId="77777777" w:rsidR="00A052DC" w:rsidRDefault="009F0A60">
      <w:pPr>
        <w:ind w:firstLineChars="270" w:firstLine="567"/>
        <w:jc w:val="left"/>
        <w:rPr>
          <w:szCs w:val="21"/>
        </w:rPr>
      </w:pPr>
      <w:r>
        <w:rPr>
          <w:szCs w:val="21"/>
        </w:rPr>
        <w:t>&lt;B0404&gt;</w:t>
      </w:r>
      <w:r>
        <w:rPr>
          <w:rFonts w:hAnsi="宋体"/>
          <w:szCs w:val="21"/>
        </w:rPr>
        <w:t>投资者名称</w:t>
      </w:r>
      <w:r>
        <w:rPr>
          <w:szCs w:val="21"/>
        </w:rPr>
        <w:t>&lt;/B0404&gt;</w:t>
      </w:r>
    </w:p>
    <w:p w14:paraId="34C050EF" w14:textId="77777777" w:rsidR="00A052DC" w:rsidRDefault="009F0A60">
      <w:pPr>
        <w:ind w:firstLineChars="270" w:firstLine="567"/>
        <w:jc w:val="left"/>
        <w:rPr>
          <w:szCs w:val="21"/>
        </w:rPr>
      </w:pPr>
      <w:r>
        <w:rPr>
          <w:szCs w:val="21"/>
        </w:rPr>
        <w:t>&lt;B0405&gt;</w:t>
      </w:r>
      <w:r>
        <w:rPr>
          <w:rFonts w:hAnsi="宋体"/>
          <w:szCs w:val="21"/>
        </w:rPr>
        <w:t>投资者所属国家</w:t>
      </w:r>
      <w:r>
        <w:rPr>
          <w:szCs w:val="21"/>
        </w:rPr>
        <w:t>/</w:t>
      </w:r>
      <w:r>
        <w:rPr>
          <w:rFonts w:hAnsi="宋体"/>
          <w:szCs w:val="21"/>
        </w:rPr>
        <w:t>地区</w:t>
      </w:r>
      <w:r>
        <w:rPr>
          <w:szCs w:val="21"/>
        </w:rPr>
        <w:t>&lt;/B0405&gt;</w:t>
      </w:r>
    </w:p>
    <w:p w14:paraId="50EDC3BB" w14:textId="77777777" w:rsidR="00A052DC" w:rsidRDefault="009F0A60">
      <w:pPr>
        <w:ind w:firstLineChars="270" w:firstLine="567"/>
        <w:jc w:val="left"/>
        <w:rPr>
          <w:szCs w:val="21"/>
        </w:rPr>
      </w:pPr>
      <w:r>
        <w:rPr>
          <w:szCs w:val="21"/>
        </w:rPr>
        <w:t>&lt;B0406&gt;</w:t>
      </w:r>
      <w:r>
        <w:rPr>
          <w:rFonts w:hAnsi="宋体"/>
          <w:szCs w:val="21"/>
        </w:rPr>
        <w:t>投资者所属部门</w:t>
      </w:r>
      <w:r>
        <w:rPr>
          <w:szCs w:val="21"/>
        </w:rPr>
        <w:t>&lt;/B0406&gt;</w:t>
      </w:r>
    </w:p>
    <w:p w14:paraId="4C7AADC8" w14:textId="77777777" w:rsidR="00A052DC" w:rsidRDefault="009F0A60">
      <w:pPr>
        <w:ind w:firstLineChars="270" w:firstLine="567"/>
        <w:jc w:val="left"/>
        <w:rPr>
          <w:szCs w:val="21"/>
        </w:rPr>
      </w:pPr>
      <w:r>
        <w:rPr>
          <w:szCs w:val="21"/>
        </w:rPr>
        <w:t>&lt;B0407&gt;</w:t>
      </w:r>
      <w:r>
        <w:rPr>
          <w:rFonts w:hAnsi="宋体"/>
          <w:szCs w:val="21"/>
        </w:rPr>
        <w:t>投资者与本机构的关系</w:t>
      </w:r>
      <w:r>
        <w:rPr>
          <w:szCs w:val="21"/>
        </w:rPr>
        <w:t>&lt;/B0407&gt;</w:t>
      </w:r>
    </w:p>
    <w:p w14:paraId="1969AB20" w14:textId="77777777" w:rsidR="00A052DC" w:rsidRDefault="009F0A60">
      <w:pPr>
        <w:ind w:firstLineChars="270" w:firstLine="567"/>
        <w:jc w:val="left"/>
        <w:rPr>
          <w:szCs w:val="21"/>
        </w:rPr>
      </w:pPr>
      <w:r>
        <w:rPr>
          <w:szCs w:val="21"/>
        </w:rPr>
        <w:t>&lt;B0408&gt;</w:t>
      </w:r>
      <w:r>
        <w:rPr>
          <w:rFonts w:hAnsi="宋体"/>
          <w:szCs w:val="21"/>
        </w:rPr>
        <w:t>原始币种</w:t>
      </w:r>
      <w:r>
        <w:rPr>
          <w:szCs w:val="21"/>
        </w:rPr>
        <w:t>&lt;</w:t>
      </w:r>
      <w:r>
        <w:rPr>
          <w:rFonts w:hint="eastAsia"/>
          <w:szCs w:val="21"/>
        </w:rPr>
        <w:t>/</w:t>
      </w:r>
      <w:r>
        <w:rPr>
          <w:szCs w:val="21"/>
        </w:rPr>
        <w:t>B0408&gt;</w:t>
      </w:r>
    </w:p>
    <w:p w14:paraId="05D69976" w14:textId="77777777" w:rsidR="00A052DC" w:rsidRDefault="009F0A60">
      <w:pPr>
        <w:ind w:firstLineChars="270" w:firstLine="567"/>
        <w:jc w:val="left"/>
        <w:rPr>
          <w:szCs w:val="21"/>
        </w:rPr>
      </w:pPr>
      <w:r>
        <w:rPr>
          <w:szCs w:val="21"/>
        </w:rPr>
        <w:t>&lt;B0409&gt;</w:t>
      </w:r>
      <w:r>
        <w:rPr>
          <w:rFonts w:hAnsi="宋体"/>
          <w:szCs w:val="21"/>
        </w:rPr>
        <w:t>上月末市值</w:t>
      </w:r>
      <w:r>
        <w:rPr>
          <w:szCs w:val="21"/>
        </w:rPr>
        <w:t>&lt;/B0409&gt;</w:t>
      </w:r>
    </w:p>
    <w:p w14:paraId="14C9E523" w14:textId="77777777" w:rsidR="00A052DC" w:rsidRDefault="009F0A60">
      <w:pPr>
        <w:ind w:firstLineChars="270" w:firstLine="567"/>
        <w:jc w:val="left"/>
        <w:rPr>
          <w:szCs w:val="21"/>
        </w:rPr>
      </w:pPr>
      <w:r>
        <w:rPr>
          <w:szCs w:val="21"/>
        </w:rPr>
        <w:t>&lt;B0410&gt;</w:t>
      </w:r>
      <w:r>
        <w:rPr>
          <w:rFonts w:hAnsi="宋体" w:hint="eastAsia"/>
          <w:szCs w:val="21"/>
        </w:rPr>
        <w:t>本月发行金额</w:t>
      </w:r>
      <w:r>
        <w:rPr>
          <w:szCs w:val="21"/>
        </w:rPr>
        <w:t>&lt;/B0410&gt;</w:t>
      </w:r>
    </w:p>
    <w:p w14:paraId="20683C12" w14:textId="77777777" w:rsidR="00A052DC" w:rsidRDefault="009F0A60">
      <w:pPr>
        <w:ind w:firstLineChars="270" w:firstLine="567"/>
        <w:jc w:val="left"/>
        <w:rPr>
          <w:szCs w:val="21"/>
        </w:rPr>
      </w:pPr>
      <w:r>
        <w:rPr>
          <w:szCs w:val="21"/>
        </w:rPr>
        <w:t>&lt;B0411&gt;</w:t>
      </w:r>
      <w:r>
        <w:rPr>
          <w:rFonts w:hAnsi="宋体"/>
          <w:szCs w:val="21"/>
        </w:rPr>
        <w:t>本月回购（赎回）金额</w:t>
      </w:r>
      <w:r>
        <w:rPr>
          <w:szCs w:val="21"/>
        </w:rPr>
        <w:t>&lt;/B0411&gt;</w:t>
      </w:r>
    </w:p>
    <w:p w14:paraId="59D53589" w14:textId="77777777" w:rsidR="00A052DC" w:rsidRDefault="009F0A60">
      <w:pPr>
        <w:ind w:firstLineChars="270" w:firstLine="567"/>
        <w:jc w:val="left"/>
        <w:rPr>
          <w:szCs w:val="21"/>
        </w:rPr>
      </w:pPr>
      <w:r>
        <w:rPr>
          <w:szCs w:val="21"/>
        </w:rPr>
        <w:t>&lt;B0412&gt;</w:t>
      </w:r>
      <w:r>
        <w:rPr>
          <w:rFonts w:hAnsi="宋体"/>
          <w:szCs w:val="21"/>
        </w:rPr>
        <w:t>本月非交易变动</w:t>
      </w:r>
      <w:r>
        <w:rPr>
          <w:szCs w:val="21"/>
        </w:rPr>
        <w:t>&lt;/B0412&gt;</w:t>
      </w:r>
    </w:p>
    <w:p w14:paraId="6373AF0B" w14:textId="77777777" w:rsidR="00A052DC" w:rsidRDefault="009F0A60">
      <w:pPr>
        <w:ind w:firstLineChars="270" w:firstLine="567"/>
        <w:jc w:val="left"/>
        <w:rPr>
          <w:szCs w:val="21"/>
        </w:rPr>
      </w:pPr>
      <w:r>
        <w:rPr>
          <w:rFonts w:hint="eastAsia"/>
          <w:szCs w:val="21"/>
        </w:rPr>
        <w:t>&lt;B0413&gt;</w:t>
      </w:r>
      <w:r>
        <w:rPr>
          <w:rFonts w:hint="eastAsia"/>
          <w:szCs w:val="21"/>
        </w:rPr>
        <w:t>调整或重新分类至其他报表统计的金额</w:t>
      </w:r>
      <w:r>
        <w:rPr>
          <w:rFonts w:hint="eastAsia"/>
          <w:szCs w:val="21"/>
        </w:rPr>
        <w:t>&lt;/B0413&gt;</w:t>
      </w:r>
    </w:p>
    <w:p w14:paraId="680F36E0" w14:textId="77777777" w:rsidR="00A052DC" w:rsidRDefault="009F0A60">
      <w:pPr>
        <w:ind w:firstLineChars="270" w:firstLine="567"/>
        <w:jc w:val="left"/>
        <w:rPr>
          <w:szCs w:val="21"/>
        </w:rPr>
      </w:pPr>
      <w:r>
        <w:rPr>
          <w:rFonts w:hint="eastAsia"/>
          <w:szCs w:val="21"/>
        </w:rPr>
        <w:t>&lt;B0414&gt;</w:t>
      </w:r>
      <w:r>
        <w:rPr>
          <w:rFonts w:hint="eastAsia"/>
          <w:szCs w:val="21"/>
        </w:rPr>
        <w:t>价值重估因素</w:t>
      </w:r>
      <w:r>
        <w:rPr>
          <w:rFonts w:hint="eastAsia"/>
          <w:szCs w:val="21"/>
        </w:rPr>
        <w:t>&lt;/B0414&gt;</w:t>
      </w:r>
    </w:p>
    <w:p w14:paraId="2AB90F36" w14:textId="77777777" w:rsidR="00A052DC" w:rsidRDefault="009F0A60">
      <w:pPr>
        <w:ind w:firstLineChars="270" w:firstLine="567"/>
        <w:jc w:val="left"/>
        <w:rPr>
          <w:szCs w:val="21"/>
        </w:rPr>
      </w:pPr>
      <w:r>
        <w:rPr>
          <w:szCs w:val="21"/>
        </w:rPr>
        <w:t>&lt;B0415&gt;</w:t>
      </w:r>
      <w:r>
        <w:rPr>
          <w:rFonts w:hAnsi="宋体"/>
          <w:szCs w:val="21"/>
        </w:rPr>
        <w:t>本月末市值</w:t>
      </w:r>
      <w:r>
        <w:rPr>
          <w:szCs w:val="21"/>
        </w:rPr>
        <w:t>&lt;/B0415&gt;</w:t>
      </w:r>
    </w:p>
    <w:p w14:paraId="18894A4F" w14:textId="77777777" w:rsidR="00A052DC" w:rsidRDefault="009F0A60">
      <w:pPr>
        <w:ind w:firstLineChars="270" w:firstLine="567"/>
        <w:jc w:val="left"/>
        <w:rPr>
          <w:szCs w:val="21"/>
        </w:rPr>
      </w:pPr>
      <w:r>
        <w:rPr>
          <w:szCs w:val="21"/>
        </w:rPr>
        <w:t>&lt;B0416&gt;</w:t>
      </w:r>
      <w:r>
        <w:rPr>
          <w:rFonts w:hAnsi="宋体"/>
          <w:szCs w:val="21"/>
        </w:rPr>
        <w:t>本月宣告分配投资者的股息</w:t>
      </w:r>
      <w:r>
        <w:rPr>
          <w:szCs w:val="21"/>
        </w:rPr>
        <w:t>/</w:t>
      </w:r>
      <w:r>
        <w:rPr>
          <w:rFonts w:hAnsi="宋体"/>
          <w:szCs w:val="21"/>
        </w:rPr>
        <w:t>红利</w:t>
      </w:r>
      <w:r>
        <w:rPr>
          <w:szCs w:val="21"/>
        </w:rPr>
        <w:t>&lt;/B0416&gt;</w:t>
      </w:r>
    </w:p>
    <w:p w14:paraId="65F47B4F" w14:textId="77777777" w:rsidR="00A052DC" w:rsidRDefault="009F0A60">
      <w:pPr>
        <w:ind w:firstLineChars="270" w:firstLine="567"/>
        <w:jc w:val="left"/>
        <w:rPr>
          <w:szCs w:val="21"/>
        </w:rPr>
      </w:pPr>
      <w:r>
        <w:rPr>
          <w:szCs w:val="21"/>
        </w:rPr>
        <w:t>&lt;B0417&gt;</w:t>
      </w:r>
      <w:r>
        <w:rPr>
          <w:rFonts w:hAnsi="宋体"/>
          <w:szCs w:val="21"/>
        </w:rPr>
        <w:t>本月末未实现收益（仅限发行产品为货币市场投资基金份额</w:t>
      </w:r>
      <w:r>
        <w:rPr>
          <w:szCs w:val="21"/>
        </w:rPr>
        <w:t>/</w:t>
      </w:r>
      <w:r>
        <w:rPr>
          <w:rFonts w:hAnsi="宋体"/>
          <w:szCs w:val="21"/>
        </w:rPr>
        <w:t>单位）</w:t>
      </w:r>
      <w:r>
        <w:rPr>
          <w:szCs w:val="21"/>
        </w:rPr>
        <w:t>&lt;/B0417&gt;</w:t>
      </w:r>
    </w:p>
    <w:p w14:paraId="6F2B71E5" w14:textId="77777777" w:rsidR="00A052DC" w:rsidRDefault="009F0A60">
      <w:pPr>
        <w:ind w:firstLineChars="270" w:firstLine="567"/>
        <w:jc w:val="left"/>
        <w:rPr>
          <w:szCs w:val="21"/>
        </w:rPr>
      </w:pPr>
      <w:r>
        <w:rPr>
          <w:szCs w:val="21"/>
        </w:rPr>
        <w:t>&lt;B0418&gt;</w:t>
      </w:r>
      <w:r>
        <w:rPr>
          <w:rFonts w:hAnsi="宋体"/>
          <w:szCs w:val="21"/>
        </w:rPr>
        <w:t>本月末投资者持股（份额）数量</w:t>
      </w:r>
      <w:r>
        <w:rPr>
          <w:szCs w:val="21"/>
        </w:rPr>
        <w:t>&lt;/B0418&gt;</w:t>
      </w:r>
    </w:p>
    <w:p w14:paraId="70BD431E" w14:textId="77777777" w:rsidR="00A052DC" w:rsidRDefault="009F0A60">
      <w:pPr>
        <w:ind w:firstLineChars="270" w:firstLine="567"/>
        <w:jc w:val="left"/>
        <w:rPr>
          <w:szCs w:val="21"/>
        </w:rPr>
      </w:pPr>
      <w:r>
        <w:rPr>
          <w:szCs w:val="21"/>
        </w:rPr>
        <w:t>&lt;B0419&gt;</w:t>
      </w:r>
      <w:r>
        <w:rPr>
          <w:rFonts w:hAnsi="宋体"/>
          <w:szCs w:val="21"/>
        </w:rPr>
        <w:t>本月末每股（每份）市价</w:t>
      </w:r>
      <w:r>
        <w:rPr>
          <w:szCs w:val="21"/>
        </w:rPr>
        <w:t>&lt;/B0419&gt;</w:t>
      </w:r>
    </w:p>
    <w:p w14:paraId="27C4C984" w14:textId="77777777" w:rsidR="00A052DC" w:rsidRDefault="009F0A60">
      <w:pPr>
        <w:ind w:firstLineChars="270" w:firstLine="567"/>
        <w:jc w:val="left"/>
        <w:rPr>
          <w:szCs w:val="21"/>
        </w:rPr>
      </w:pPr>
      <w:r>
        <w:rPr>
          <w:szCs w:val="21"/>
        </w:rPr>
        <w:t>&lt;B0420&gt;</w:t>
      </w:r>
      <w:r>
        <w:rPr>
          <w:rFonts w:hAnsi="宋体"/>
          <w:szCs w:val="21"/>
        </w:rPr>
        <w:t>本月末投资者持股（份额）比例</w:t>
      </w:r>
      <w:r>
        <w:rPr>
          <w:szCs w:val="21"/>
        </w:rPr>
        <w:t>&lt;/B0420&gt;</w:t>
      </w:r>
    </w:p>
    <w:p w14:paraId="43738AEB" w14:textId="77777777" w:rsidR="00A052DC" w:rsidRDefault="009F0A60">
      <w:pPr>
        <w:ind w:firstLineChars="270" w:firstLine="567"/>
      </w:pPr>
      <w:r>
        <w:t>&lt;REMARK&gt;</w:t>
      </w:r>
      <w:r>
        <w:rPr>
          <w:rFonts w:hAnsi="宋体"/>
        </w:rPr>
        <w:t>备注</w:t>
      </w:r>
      <w:r>
        <w:t>&lt;/REMARK&gt;</w:t>
      </w:r>
    </w:p>
    <w:p w14:paraId="42A53B87" w14:textId="77777777" w:rsidR="00A052DC" w:rsidRDefault="009F0A60">
      <w:pPr>
        <w:ind w:firstLineChars="270" w:firstLine="567"/>
        <w:jc w:val="left"/>
        <w:rPr>
          <w:szCs w:val="21"/>
        </w:rPr>
      </w:pPr>
      <w:r>
        <w:rPr>
          <w:szCs w:val="21"/>
        </w:rPr>
        <w:t>&lt;/REC&gt;</w:t>
      </w:r>
    </w:p>
    <w:p w14:paraId="57E981EF" w14:textId="77777777" w:rsidR="00A052DC" w:rsidRDefault="009F0A60" w:rsidP="0020251D">
      <w:pPr>
        <w:pStyle w:val="4"/>
        <w:numPr>
          <w:ilvl w:val="3"/>
          <w:numId w:val="1"/>
        </w:numPr>
        <w:jc w:val="left"/>
      </w:pPr>
      <w:bookmarkStart w:id="3119" w:name="_Toc454391274"/>
      <w:bookmarkStart w:id="3120" w:name="_Toc380570938"/>
      <w:bookmarkStart w:id="3121" w:name="_Toc454391275"/>
      <w:bookmarkEnd w:id="3119"/>
      <w:r>
        <w:rPr>
          <w:rFonts w:hint="eastAsia"/>
        </w:rPr>
        <w:t>数据字典</w:t>
      </w:r>
      <w:bookmarkEnd w:id="3120"/>
      <w:bookmarkEnd w:id="3121"/>
    </w:p>
    <w:tbl>
      <w:tblPr>
        <w:tblW w:w="8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126"/>
        <w:gridCol w:w="1417"/>
        <w:gridCol w:w="3911"/>
      </w:tblGrid>
      <w:tr w:rsidR="00A052DC" w14:paraId="689E39BD" w14:textId="77777777">
        <w:trPr>
          <w:tblHeader/>
          <w:jc w:val="center"/>
        </w:trPr>
        <w:tc>
          <w:tcPr>
            <w:tcW w:w="1134" w:type="dxa"/>
            <w:shd w:val="clear" w:color="auto" w:fill="C0C0C0"/>
          </w:tcPr>
          <w:p w14:paraId="342A8A23" w14:textId="77777777" w:rsidR="00A052DC" w:rsidRDefault="009F0A60">
            <w:pPr>
              <w:pStyle w:val="B1"/>
            </w:pPr>
            <w:r>
              <w:rPr>
                <w:rFonts w:hint="eastAsia"/>
              </w:rPr>
              <w:t>字段</w:t>
            </w:r>
          </w:p>
        </w:tc>
        <w:tc>
          <w:tcPr>
            <w:tcW w:w="2126" w:type="dxa"/>
            <w:shd w:val="clear" w:color="auto" w:fill="C0C0C0"/>
          </w:tcPr>
          <w:p w14:paraId="5F023229" w14:textId="77777777" w:rsidR="00A052DC" w:rsidRDefault="009F0A60">
            <w:pPr>
              <w:pStyle w:val="B1"/>
            </w:pPr>
            <w:r>
              <w:rPr>
                <w:rFonts w:hint="eastAsia"/>
              </w:rPr>
              <w:t>内容</w:t>
            </w:r>
          </w:p>
        </w:tc>
        <w:tc>
          <w:tcPr>
            <w:tcW w:w="1417" w:type="dxa"/>
            <w:shd w:val="clear" w:color="auto" w:fill="C0C0C0"/>
          </w:tcPr>
          <w:p w14:paraId="724B39BD" w14:textId="77777777" w:rsidR="00A052DC" w:rsidRDefault="009F0A60">
            <w:pPr>
              <w:pStyle w:val="B1"/>
            </w:pPr>
            <w:r>
              <w:rPr>
                <w:rFonts w:hint="eastAsia"/>
              </w:rPr>
              <w:t>类型（长度）</w:t>
            </w:r>
          </w:p>
        </w:tc>
        <w:tc>
          <w:tcPr>
            <w:tcW w:w="3911" w:type="dxa"/>
            <w:shd w:val="clear" w:color="auto" w:fill="C0C0C0"/>
          </w:tcPr>
          <w:p w14:paraId="4AF3089D" w14:textId="77777777" w:rsidR="00A052DC" w:rsidRDefault="009F0A60">
            <w:pPr>
              <w:pStyle w:val="B1"/>
            </w:pPr>
            <w:r>
              <w:rPr>
                <w:rFonts w:hint="eastAsia"/>
              </w:rPr>
              <w:t>校验</w:t>
            </w:r>
          </w:p>
        </w:tc>
      </w:tr>
      <w:tr w:rsidR="00A052DC" w14:paraId="22E0344B" w14:textId="77777777">
        <w:trPr>
          <w:jc w:val="center"/>
        </w:trPr>
        <w:tc>
          <w:tcPr>
            <w:tcW w:w="1134" w:type="dxa"/>
          </w:tcPr>
          <w:p w14:paraId="1919E52C" w14:textId="77777777" w:rsidR="00A052DC" w:rsidRDefault="009F0A60">
            <w:pPr>
              <w:pStyle w:val="B"/>
              <w:rPr>
                <w:szCs w:val="20"/>
              </w:rPr>
            </w:pPr>
            <w:r>
              <w:rPr>
                <w:szCs w:val="20"/>
              </w:rPr>
              <w:t>ACTIONTYPE</w:t>
            </w:r>
          </w:p>
        </w:tc>
        <w:tc>
          <w:tcPr>
            <w:tcW w:w="2126" w:type="dxa"/>
          </w:tcPr>
          <w:p w14:paraId="117996D7" w14:textId="77777777" w:rsidR="00A052DC" w:rsidRDefault="009F0A60">
            <w:pPr>
              <w:pStyle w:val="B"/>
              <w:rPr>
                <w:szCs w:val="20"/>
              </w:rPr>
            </w:pPr>
            <w:r>
              <w:rPr>
                <w:rFonts w:hint="eastAsia"/>
                <w:szCs w:val="20"/>
              </w:rPr>
              <w:t>操作类型</w:t>
            </w:r>
          </w:p>
        </w:tc>
        <w:tc>
          <w:tcPr>
            <w:tcW w:w="1417" w:type="dxa"/>
          </w:tcPr>
          <w:p w14:paraId="009C5F05" w14:textId="77777777" w:rsidR="00A052DC" w:rsidRDefault="009F0A60">
            <w:pPr>
              <w:pStyle w:val="B"/>
              <w:rPr>
                <w:szCs w:val="20"/>
              </w:rPr>
            </w:pPr>
            <w:r>
              <w:rPr>
                <w:rFonts w:hint="eastAsia"/>
                <w:szCs w:val="20"/>
              </w:rPr>
              <w:t>字符型，</w:t>
            </w:r>
            <w:r>
              <w:rPr>
                <w:szCs w:val="20"/>
              </w:rPr>
              <w:t>1</w:t>
            </w:r>
          </w:p>
        </w:tc>
        <w:tc>
          <w:tcPr>
            <w:tcW w:w="3911" w:type="dxa"/>
          </w:tcPr>
          <w:p w14:paraId="09F5FD0A" w14:textId="77777777" w:rsidR="00A052DC" w:rsidRDefault="009F0A60">
            <w:pPr>
              <w:pStyle w:val="B"/>
              <w:rPr>
                <w:szCs w:val="20"/>
              </w:rPr>
            </w:pPr>
            <w:r>
              <w:rPr>
                <w:rFonts w:hint="eastAsia"/>
                <w:szCs w:val="20"/>
              </w:rPr>
              <w:t>必填项</w:t>
            </w:r>
            <w:r w:rsidR="00191DE9">
              <w:rPr>
                <w:rFonts w:hint="eastAsia"/>
                <w:szCs w:val="20"/>
              </w:rPr>
              <w:t>。</w:t>
            </w:r>
          </w:p>
          <w:p w14:paraId="3CF92148" w14:textId="77777777" w:rsidR="00A052DC" w:rsidRDefault="009F0A60">
            <w:pPr>
              <w:pStyle w:val="B"/>
              <w:rPr>
                <w:szCs w:val="20"/>
              </w:rPr>
            </w:pPr>
            <w:r>
              <w:rPr>
                <w:szCs w:val="20"/>
              </w:rPr>
              <w:t>A</w:t>
            </w:r>
            <w:r w:rsidR="00AE4602">
              <w:rPr>
                <w:rFonts w:hint="eastAsia"/>
                <w:szCs w:val="20"/>
              </w:rPr>
              <w:t>-</w:t>
            </w:r>
            <w:r>
              <w:rPr>
                <w:rFonts w:hint="eastAsia"/>
                <w:szCs w:val="20"/>
              </w:rPr>
              <w:t>新建</w:t>
            </w:r>
          </w:p>
          <w:p w14:paraId="3C7E926C" w14:textId="77777777" w:rsidR="00A052DC" w:rsidRDefault="009F0A60">
            <w:pPr>
              <w:pStyle w:val="B"/>
              <w:rPr>
                <w:szCs w:val="20"/>
              </w:rPr>
            </w:pPr>
            <w:r>
              <w:rPr>
                <w:szCs w:val="20"/>
              </w:rPr>
              <w:t>C</w:t>
            </w:r>
            <w:r w:rsidR="00AE4602">
              <w:rPr>
                <w:rFonts w:hint="eastAsia"/>
                <w:szCs w:val="20"/>
              </w:rPr>
              <w:t>-</w:t>
            </w:r>
            <w:r>
              <w:rPr>
                <w:rFonts w:hint="eastAsia"/>
                <w:szCs w:val="20"/>
              </w:rPr>
              <w:t>修改</w:t>
            </w:r>
          </w:p>
          <w:p w14:paraId="5EC41180" w14:textId="77777777" w:rsidR="00A052DC" w:rsidRDefault="009F0A60">
            <w:pPr>
              <w:pStyle w:val="B"/>
              <w:rPr>
                <w:szCs w:val="20"/>
              </w:rPr>
            </w:pPr>
            <w:r>
              <w:rPr>
                <w:szCs w:val="20"/>
              </w:rPr>
              <w:t>D</w:t>
            </w:r>
            <w:r w:rsidR="00AE4602">
              <w:rPr>
                <w:rFonts w:hint="eastAsia"/>
                <w:szCs w:val="20"/>
              </w:rPr>
              <w:t>-</w:t>
            </w:r>
            <w:r>
              <w:rPr>
                <w:rFonts w:hint="eastAsia"/>
                <w:szCs w:val="20"/>
              </w:rPr>
              <w:t>删除</w:t>
            </w:r>
          </w:p>
        </w:tc>
      </w:tr>
      <w:tr w:rsidR="00A052DC" w14:paraId="30A391DC" w14:textId="77777777">
        <w:trPr>
          <w:jc w:val="center"/>
        </w:trPr>
        <w:tc>
          <w:tcPr>
            <w:tcW w:w="1134" w:type="dxa"/>
          </w:tcPr>
          <w:p w14:paraId="0E42DE17" w14:textId="77777777" w:rsidR="00A052DC" w:rsidRDefault="009F0A60">
            <w:pPr>
              <w:pStyle w:val="B"/>
              <w:rPr>
                <w:szCs w:val="20"/>
              </w:rPr>
            </w:pPr>
            <w:r>
              <w:rPr>
                <w:szCs w:val="20"/>
              </w:rPr>
              <w:t>ACTIONDESC</w:t>
            </w:r>
          </w:p>
        </w:tc>
        <w:tc>
          <w:tcPr>
            <w:tcW w:w="2126" w:type="dxa"/>
          </w:tcPr>
          <w:p w14:paraId="364EDEB7" w14:textId="77777777" w:rsidR="00A052DC" w:rsidRDefault="009F0A60">
            <w:pPr>
              <w:pStyle w:val="B"/>
              <w:rPr>
                <w:szCs w:val="20"/>
              </w:rPr>
            </w:pPr>
            <w:r>
              <w:rPr>
                <w:rFonts w:hint="eastAsia"/>
                <w:szCs w:val="20"/>
              </w:rPr>
              <w:t>删除原因</w:t>
            </w:r>
          </w:p>
        </w:tc>
        <w:tc>
          <w:tcPr>
            <w:tcW w:w="1417" w:type="dxa"/>
          </w:tcPr>
          <w:p w14:paraId="0AC2DB77" w14:textId="77777777" w:rsidR="00A052DC" w:rsidRDefault="009F0A60">
            <w:pPr>
              <w:pStyle w:val="B"/>
              <w:rPr>
                <w:szCs w:val="20"/>
              </w:rPr>
            </w:pPr>
            <w:r>
              <w:rPr>
                <w:rFonts w:hint="eastAsia"/>
                <w:szCs w:val="20"/>
              </w:rPr>
              <w:t>字符型，</w:t>
            </w:r>
            <w:r>
              <w:rPr>
                <w:szCs w:val="20"/>
              </w:rPr>
              <w:t>128</w:t>
            </w:r>
          </w:p>
        </w:tc>
        <w:tc>
          <w:tcPr>
            <w:tcW w:w="3911" w:type="dxa"/>
          </w:tcPr>
          <w:p w14:paraId="706A148E" w14:textId="77777777" w:rsidR="00A052DC" w:rsidRDefault="00DD6AA3">
            <w:pPr>
              <w:pStyle w:val="B"/>
              <w:rPr>
                <w:szCs w:val="20"/>
              </w:rPr>
            </w:pPr>
            <w:r>
              <w:rPr>
                <w:rFonts w:hint="eastAsia"/>
                <w:szCs w:val="20"/>
              </w:rPr>
              <w:t>非必填项，当操作类型（ACTIONTYPE）为删除时必填。</w:t>
            </w:r>
          </w:p>
        </w:tc>
      </w:tr>
      <w:tr w:rsidR="00A052DC" w14:paraId="3513E26F" w14:textId="77777777">
        <w:trPr>
          <w:jc w:val="center"/>
        </w:trPr>
        <w:tc>
          <w:tcPr>
            <w:tcW w:w="1134" w:type="dxa"/>
          </w:tcPr>
          <w:p w14:paraId="0E1F6B95" w14:textId="77777777" w:rsidR="00A052DC" w:rsidRDefault="009F0A60">
            <w:pPr>
              <w:pStyle w:val="B"/>
              <w:rPr>
                <w:szCs w:val="20"/>
              </w:rPr>
            </w:pPr>
            <w:r>
              <w:rPr>
                <w:szCs w:val="20"/>
              </w:rPr>
              <w:t>SNOCODE</w:t>
            </w:r>
          </w:p>
        </w:tc>
        <w:tc>
          <w:tcPr>
            <w:tcW w:w="2126" w:type="dxa"/>
          </w:tcPr>
          <w:p w14:paraId="666EF19E" w14:textId="77777777" w:rsidR="00A052DC" w:rsidRDefault="009F0A60">
            <w:pPr>
              <w:pStyle w:val="B"/>
              <w:rPr>
                <w:szCs w:val="20"/>
              </w:rPr>
            </w:pPr>
            <w:r>
              <w:rPr>
                <w:rFonts w:hint="eastAsia"/>
                <w:szCs w:val="20"/>
              </w:rPr>
              <w:t>数据自编码</w:t>
            </w:r>
          </w:p>
        </w:tc>
        <w:tc>
          <w:tcPr>
            <w:tcW w:w="1417" w:type="dxa"/>
          </w:tcPr>
          <w:p w14:paraId="493826F8" w14:textId="77777777" w:rsidR="00A052DC" w:rsidRDefault="009F0A60">
            <w:pPr>
              <w:pStyle w:val="B"/>
              <w:rPr>
                <w:szCs w:val="20"/>
              </w:rPr>
            </w:pPr>
            <w:r>
              <w:rPr>
                <w:rFonts w:hint="eastAsia"/>
                <w:szCs w:val="20"/>
              </w:rPr>
              <w:t>字符型，36</w:t>
            </w:r>
          </w:p>
        </w:tc>
        <w:tc>
          <w:tcPr>
            <w:tcW w:w="3911" w:type="dxa"/>
          </w:tcPr>
          <w:p w14:paraId="0A3BD981" w14:textId="77777777" w:rsidR="00A052DC" w:rsidRDefault="009F0A60">
            <w:pPr>
              <w:pStyle w:val="B"/>
              <w:rPr>
                <w:szCs w:val="20"/>
              </w:rPr>
            </w:pPr>
            <w:r>
              <w:rPr>
                <w:rFonts w:hint="eastAsia"/>
                <w:szCs w:val="20"/>
              </w:rPr>
              <w:t>必填项。</w:t>
            </w:r>
            <w:r>
              <w:rPr>
                <w:szCs w:val="20"/>
              </w:rPr>
              <w:t>对于接口报送的填报主体，数据自编码中的报送期（6位）应与报告期（YYYYMM）一致。</w:t>
            </w:r>
          </w:p>
        </w:tc>
      </w:tr>
      <w:tr w:rsidR="00A052DC" w14:paraId="5A97882F" w14:textId="77777777">
        <w:trPr>
          <w:jc w:val="center"/>
        </w:trPr>
        <w:tc>
          <w:tcPr>
            <w:tcW w:w="1134" w:type="dxa"/>
          </w:tcPr>
          <w:p w14:paraId="56E29B7B" w14:textId="77777777" w:rsidR="00A052DC" w:rsidRDefault="009F0A60">
            <w:pPr>
              <w:pStyle w:val="B"/>
              <w:rPr>
                <w:szCs w:val="20"/>
              </w:rPr>
            </w:pPr>
            <w:r>
              <w:rPr>
                <w:szCs w:val="20"/>
              </w:rPr>
              <w:t>OBJCODE</w:t>
            </w:r>
          </w:p>
        </w:tc>
        <w:tc>
          <w:tcPr>
            <w:tcW w:w="2126" w:type="dxa"/>
          </w:tcPr>
          <w:p w14:paraId="4E73B1BF" w14:textId="77777777" w:rsidR="00A052DC" w:rsidRDefault="009F0A60">
            <w:pPr>
              <w:pStyle w:val="B"/>
              <w:rPr>
                <w:szCs w:val="20"/>
              </w:rPr>
            </w:pPr>
            <w:r>
              <w:rPr>
                <w:rFonts w:hint="eastAsia"/>
                <w:szCs w:val="20"/>
              </w:rPr>
              <w:t>申报主体代码</w:t>
            </w:r>
          </w:p>
        </w:tc>
        <w:tc>
          <w:tcPr>
            <w:tcW w:w="1417" w:type="dxa"/>
          </w:tcPr>
          <w:p w14:paraId="4776D416" w14:textId="77777777" w:rsidR="00A052DC" w:rsidRDefault="009F0A60">
            <w:pPr>
              <w:pStyle w:val="B"/>
              <w:rPr>
                <w:szCs w:val="20"/>
              </w:rPr>
            </w:pPr>
            <w:r>
              <w:rPr>
                <w:rFonts w:hint="eastAsia"/>
                <w:szCs w:val="20"/>
              </w:rPr>
              <w:t>字符型，</w:t>
            </w:r>
            <w:r>
              <w:rPr>
                <w:szCs w:val="20"/>
              </w:rPr>
              <w:t>1</w:t>
            </w:r>
            <w:r>
              <w:rPr>
                <w:rFonts w:hint="eastAsia"/>
                <w:szCs w:val="20"/>
              </w:rPr>
              <w:t>8</w:t>
            </w:r>
          </w:p>
        </w:tc>
        <w:tc>
          <w:tcPr>
            <w:tcW w:w="3911" w:type="dxa"/>
          </w:tcPr>
          <w:p w14:paraId="34B338D1" w14:textId="77777777" w:rsidR="00A052DC" w:rsidRDefault="009F0A60">
            <w:pPr>
              <w:pStyle w:val="B"/>
              <w:rPr>
                <w:szCs w:val="20"/>
              </w:rPr>
            </w:pPr>
            <w:r>
              <w:rPr>
                <w:rFonts w:hint="eastAsia"/>
                <w:szCs w:val="20"/>
              </w:rPr>
              <w:t>申报主体的12位金融机构标识码，如果没有金融机构标识码，则填报统一社会信用代码法定载体（如营业执照）上统一社会信用代码中的第9至17位或国家外汇管理局及其分支局签发的特殊机构代码赋码通知书上的机构代码、个人身份代码。</w:t>
            </w:r>
          </w:p>
        </w:tc>
      </w:tr>
      <w:tr w:rsidR="00A052DC" w14:paraId="06A0C53D" w14:textId="77777777">
        <w:trPr>
          <w:jc w:val="center"/>
        </w:trPr>
        <w:tc>
          <w:tcPr>
            <w:tcW w:w="1134" w:type="dxa"/>
          </w:tcPr>
          <w:p w14:paraId="02506040" w14:textId="77777777" w:rsidR="00A052DC" w:rsidRDefault="009F0A60">
            <w:pPr>
              <w:pStyle w:val="B"/>
              <w:rPr>
                <w:szCs w:val="20"/>
              </w:rPr>
            </w:pPr>
            <w:r>
              <w:rPr>
                <w:szCs w:val="20"/>
              </w:rPr>
              <w:t>BUOCMONTH</w:t>
            </w:r>
          </w:p>
        </w:tc>
        <w:tc>
          <w:tcPr>
            <w:tcW w:w="2126" w:type="dxa"/>
          </w:tcPr>
          <w:p w14:paraId="60891D50" w14:textId="77777777" w:rsidR="00A052DC" w:rsidRDefault="009F0A60">
            <w:pPr>
              <w:pStyle w:val="B"/>
              <w:rPr>
                <w:szCs w:val="20"/>
              </w:rPr>
            </w:pPr>
            <w:r>
              <w:rPr>
                <w:rFonts w:hint="eastAsia"/>
                <w:szCs w:val="20"/>
              </w:rPr>
              <w:t>报告期</w:t>
            </w:r>
          </w:p>
        </w:tc>
        <w:tc>
          <w:tcPr>
            <w:tcW w:w="1417" w:type="dxa"/>
          </w:tcPr>
          <w:p w14:paraId="07366A66" w14:textId="77777777" w:rsidR="00A052DC" w:rsidRDefault="009F0A60">
            <w:pPr>
              <w:pStyle w:val="B"/>
              <w:rPr>
                <w:szCs w:val="20"/>
              </w:rPr>
            </w:pPr>
            <w:r>
              <w:rPr>
                <w:rFonts w:hint="eastAsia"/>
                <w:szCs w:val="20"/>
              </w:rPr>
              <w:t>数值型，</w:t>
            </w:r>
            <w:r>
              <w:rPr>
                <w:szCs w:val="20"/>
              </w:rPr>
              <w:t>6</w:t>
            </w:r>
          </w:p>
        </w:tc>
        <w:tc>
          <w:tcPr>
            <w:tcW w:w="3911" w:type="dxa"/>
          </w:tcPr>
          <w:p w14:paraId="4D9C777D" w14:textId="77777777" w:rsidR="00A052DC" w:rsidRDefault="009F0A60">
            <w:pPr>
              <w:pStyle w:val="B"/>
              <w:rPr>
                <w:szCs w:val="20"/>
              </w:rPr>
            </w:pPr>
            <w:r>
              <w:rPr>
                <w:rFonts w:hint="eastAsia"/>
                <w:szCs w:val="20"/>
              </w:rPr>
              <w:t>必填项，格式为</w:t>
            </w:r>
            <w:r>
              <w:rPr>
                <w:szCs w:val="20"/>
              </w:rPr>
              <w:t>YYYYMM</w:t>
            </w:r>
            <w:r>
              <w:rPr>
                <w:rFonts w:hint="eastAsia"/>
                <w:szCs w:val="20"/>
              </w:rPr>
              <w:t>。</w:t>
            </w:r>
          </w:p>
        </w:tc>
      </w:tr>
      <w:tr w:rsidR="00A052DC" w14:paraId="0C0FC314" w14:textId="77777777">
        <w:trPr>
          <w:jc w:val="center"/>
        </w:trPr>
        <w:tc>
          <w:tcPr>
            <w:tcW w:w="1134" w:type="dxa"/>
          </w:tcPr>
          <w:p w14:paraId="60BB6BEE" w14:textId="77777777" w:rsidR="00A052DC" w:rsidRDefault="009F0A60">
            <w:pPr>
              <w:pStyle w:val="B"/>
              <w:rPr>
                <w:szCs w:val="20"/>
              </w:rPr>
            </w:pPr>
            <w:r>
              <w:rPr>
                <w:szCs w:val="20"/>
              </w:rPr>
              <w:t>B0401</w:t>
            </w:r>
          </w:p>
        </w:tc>
        <w:tc>
          <w:tcPr>
            <w:tcW w:w="2126" w:type="dxa"/>
          </w:tcPr>
          <w:p w14:paraId="11288133" w14:textId="77777777" w:rsidR="00A052DC" w:rsidRDefault="009F0A60">
            <w:pPr>
              <w:pStyle w:val="B"/>
              <w:rPr>
                <w:szCs w:val="20"/>
              </w:rPr>
            </w:pPr>
            <w:r>
              <w:rPr>
                <w:rFonts w:hint="eastAsia"/>
                <w:szCs w:val="20"/>
              </w:rPr>
              <w:t>投资工具类型</w:t>
            </w:r>
          </w:p>
        </w:tc>
        <w:tc>
          <w:tcPr>
            <w:tcW w:w="1417" w:type="dxa"/>
          </w:tcPr>
          <w:p w14:paraId="59F13F0B" w14:textId="77777777" w:rsidR="00A052DC" w:rsidRDefault="009F0A60">
            <w:pPr>
              <w:pStyle w:val="B"/>
              <w:rPr>
                <w:szCs w:val="20"/>
              </w:rPr>
            </w:pPr>
            <w:r>
              <w:rPr>
                <w:rFonts w:hint="eastAsia"/>
                <w:szCs w:val="20"/>
              </w:rPr>
              <w:t>整数型</w:t>
            </w:r>
          </w:p>
        </w:tc>
        <w:tc>
          <w:tcPr>
            <w:tcW w:w="3911" w:type="dxa"/>
          </w:tcPr>
          <w:p w14:paraId="170C67B5" w14:textId="77777777" w:rsidR="00A052DC" w:rsidRDefault="009F0A60">
            <w:pPr>
              <w:pStyle w:val="B"/>
              <w:rPr>
                <w:szCs w:val="20"/>
              </w:rPr>
            </w:pPr>
            <w:r>
              <w:rPr>
                <w:rFonts w:hint="eastAsia"/>
                <w:szCs w:val="20"/>
              </w:rPr>
              <w:t>必填项，必须5选</w:t>
            </w:r>
            <w:r>
              <w:rPr>
                <w:szCs w:val="20"/>
              </w:rPr>
              <w:t>1</w:t>
            </w:r>
            <w:r w:rsidR="00191DE9">
              <w:rPr>
                <w:rFonts w:hint="eastAsia"/>
                <w:szCs w:val="20"/>
              </w:rPr>
              <w:t>：</w:t>
            </w:r>
          </w:p>
          <w:p w14:paraId="51F35502" w14:textId="77777777" w:rsidR="00A052DC" w:rsidRDefault="009F0A60">
            <w:pPr>
              <w:pStyle w:val="B"/>
              <w:rPr>
                <w:szCs w:val="20"/>
              </w:rPr>
            </w:pPr>
            <w:r>
              <w:rPr>
                <w:szCs w:val="20"/>
              </w:rPr>
              <w:t>1-</w:t>
            </w:r>
            <w:r>
              <w:rPr>
                <w:rFonts w:hint="eastAsia"/>
                <w:szCs w:val="20"/>
              </w:rPr>
              <w:t>上市普通股份；</w:t>
            </w:r>
          </w:p>
          <w:p w14:paraId="7F1107C9" w14:textId="77777777" w:rsidR="00A052DC" w:rsidRDefault="009F0A60">
            <w:pPr>
              <w:pStyle w:val="B"/>
              <w:rPr>
                <w:szCs w:val="20"/>
              </w:rPr>
            </w:pPr>
            <w:r>
              <w:rPr>
                <w:szCs w:val="20"/>
              </w:rPr>
              <w:t>2-</w:t>
            </w:r>
            <w:r>
              <w:rPr>
                <w:rFonts w:hint="eastAsia"/>
                <w:szCs w:val="20"/>
              </w:rPr>
              <w:t>非上市普通股份（但可交易）；</w:t>
            </w:r>
          </w:p>
          <w:p w14:paraId="4B64B6F6" w14:textId="77777777" w:rsidR="00A052DC" w:rsidRDefault="009F0A60">
            <w:pPr>
              <w:pStyle w:val="B"/>
              <w:rPr>
                <w:szCs w:val="20"/>
              </w:rPr>
            </w:pPr>
            <w:r>
              <w:rPr>
                <w:szCs w:val="20"/>
              </w:rPr>
              <w:t>3-</w:t>
            </w:r>
            <w:r>
              <w:rPr>
                <w:rFonts w:hint="eastAsia"/>
                <w:szCs w:val="20"/>
              </w:rPr>
              <w:t>货币市场基金份额</w:t>
            </w:r>
            <w:r>
              <w:rPr>
                <w:szCs w:val="20"/>
              </w:rPr>
              <w:t>/</w:t>
            </w:r>
            <w:r>
              <w:rPr>
                <w:rFonts w:hint="eastAsia"/>
                <w:szCs w:val="20"/>
              </w:rPr>
              <w:t>单位；</w:t>
            </w:r>
          </w:p>
          <w:p w14:paraId="71CBC877" w14:textId="77777777" w:rsidR="00A052DC" w:rsidRDefault="009F0A60">
            <w:pPr>
              <w:rPr>
                <w:rFonts w:ascii="黑体" w:eastAsia="黑体" w:hAnsi="黑体"/>
                <w:kern w:val="0"/>
                <w:sz w:val="20"/>
                <w:szCs w:val="20"/>
              </w:rPr>
            </w:pPr>
            <w:r>
              <w:rPr>
                <w:rFonts w:ascii="黑体" w:eastAsia="黑体" w:hAnsi="黑体"/>
                <w:kern w:val="0"/>
                <w:sz w:val="20"/>
                <w:szCs w:val="20"/>
              </w:rPr>
              <w:t>4-</w:t>
            </w:r>
            <w:r>
              <w:rPr>
                <w:rFonts w:ascii="黑体" w:eastAsia="黑体" w:hAnsi="黑体" w:hint="eastAsia"/>
                <w:kern w:val="0"/>
                <w:sz w:val="20"/>
                <w:szCs w:val="20"/>
              </w:rPr>
              <w:t>非货币市场基金份额</w:t>
            </w:r>
            <w:r>
              <w:rPr>
                <w:rFonts w:ascii="黑体" w:eastAsia="黑体" w:hAnsi="黑体"/>
                <w:kern w:val="0"/>
                <w:sz w:val="20"/>
                <w:szCs w:val="20"/>
              </w:rPr>
              <w:t>/</w:t>
            </w:r>
            <w:r>
              <w:rPr>
                <w:rFonts w:ascii="黑体" w:eastAsia="黑体" w:hAnsi="黑体" w:hint="eastAsia"/>
                <w:kern w:val="0"/>
                <w:sz w:val="20"/>
                <w:szCs w:val="20"/>
              </w:rPr>
              <w:t>单位；</w:t>
            </w:r>
          </w:p>
          <w:p w14:paraId="31D679EA" w14:textId="77777777" w:rsidR="00A052DC" w:rsidRDefault="009F0A60">
            <w:pPr>
              <w:rPr>
                <w:rFonts w:ascii="黑体" w:eastAsia="黑体" w:hAnsi="黑体"/>
                <w:kern w:val="0"/>
                <w:sz w:val="20"/>
                <w:szCs w:val="20"/>
              </w:rPr>
            </w:pPr>
            <w:r>
              <w:rPr>
                <w:rFonts w:ascii="黑体" w:eastAsia="黑体" w:hAnsi="黑体" w:hint="eastAsia"/>
                <w:kern w:val="0"/>
                <w:sz w:val="20"/>
                <w:szCs w:val="20"/>
              </w:rPr>
              <w:t>5-参与性优先股。</w:t>
            </w:r>
          </w:p>
        </w:tc>
      </w:tr>
      <w:tr w:rsidR="00A052DC" w14:paraId="76FDF187" w14:textId="77777777">
        <w:trPr>
          <w:jc w:val="center"/>
        </w:trPr>
        <w:tc>
          <w:tcPr>
            <w:tcW w:w="1134" w:type="dxa"/>
          </w:tcPr>
          <w:p w14:paraId="53BB8B2A" w14:textId="77777777" w:rsidR="00A052DC" w:rsidRDefault="009F0A60">
            <w:pPr>
              <w:pStyle w:val="B"/>
              <w:rPr>
                <w:szCs w:val="20"/>
              </w:rPr>
            </w:pPr>
            <w:r>
              <w:rPr>
                <w:rFonts w:hint="eastAsia"/>
                <w:szCs w:val="20"/>
              </w:rPr>
              <w:t>B0401CODE</w:t>
            </w:r>
          </w:p>
        </w:tc>
        <w:tc>
          <w:tcPr>
            <w:tcW w:w="2126" w:type="dxa"/>
          </w:tcPr>
          <w:p w14:paraId="5CD6AD3D" w14:textId="77777777" w:rsidR="00A052DC" w:rsidRDefault="009F0A60">
            <w:pPr>
              <w:pStyle w:val="B"/>
              <w:rPr>
                <w:szCs w:val="20"/>
              </w:rPr>
            </w:pPr>
            <w:r>
              <w:rPr>
                <w:rFonts w:hint="eastAsia"/>
                <w:szCs w:val="20"/>
              </w:rPr>
              <w:t>业务类型</w:t>
            </w:r>
          </w:p>
        </w:tc>
        <w:tc>
          <w:tcPr>
            <w:tcW w:w="1417" w:type="dxa"/>
          </w:tcPr>
          <w:p w14:paraId="32C0D4FA" w14:textId="77777777" w:rsidR="00A052DC" w:rsidRDefault="009F0A60">
            <w:pPr>
              <w:pStyle w:val="B"/>
              <w:rPr>
                <w:szCs w:val="20"/>
              </w:rPr>
            </w:pPr>
            <w:r>
              <w:rPr>
                <w:rFonts w:hint="eastAsia"/>
                <w:szCs w:val="20"/>
              </w:rPr>
              <w:t>整数型</w:t>
            </w:r>
          </w:p>
        </w:tc>
        <w:tc>
          <w:tcPr>
            <w:tcW w:w="3911" w:type="dxa"/>
          </w:tcPr>
          <w:p w14:paraId="2AB7502A" w14:textId="77777777" w:rsidR="00A052DC" w:rsidRDefault="009F0A60">
            <w:pPr>
              <w:pStyle w:val="B"/>
              <w:rPr>
                <w:szCs w:val="20"/>
              </w:rPr>
            </w:pPr>
            <w:r>
              <w:rPr>
                <w:rFonts w:hint="eastAsia"/>
                <w:szCs w:val="20"/>
              </w:rPr>
              <w:t>必填项，必须3选1</w:t>
            </w:r>
            <w:r w:rsidR="00191DE9">
              <w:rPr>
                <w:rFonts w:hint="eastAsia"/>
                <w:szCs w:val="20"/>
              </w:rPr>
              <w:t>：</w:t>
            </w:r>
          </w:p>
          <w:p w14:paraId="558B30D3" w14:textId="77777777" w:rsidR="00A052DC" w:rsidRDefault="009F0A60">
            <w:pPr>
              <w:pStyle w:val="B"/>
              <w:rPr>
                <w:szCs w:val="20"/>
              </w:rPr>
            </w:pPr>
            <w:r>
              <w:rPr>
                <w:rFonts w:hint="eastAsia"/>
                <w:szCs w:val="20"/>
              </w:rPr>
              <w:t>1-基金互认；</w:t>
            </w:r>
          </w:p>
          <w:p w14:paraId="57DCF920" w14:textId="77777777" w:rsidR="00A052DC" w:rsidRDefault="009F0A60">
            <w:pPr>
              <w:pStyle w:val="B"/>
              <w:rPr>
                <w:szCs w:val="20"/>
              </w:rPr>
            </w:pPr>
            <w:r>
              <w:rPr>
                <w:rFonts w:hint="eastAsia"/>
                <w:szCs w:val="20"/>
              </w:rPr>
              <w:t>2-上市股份或投资基金份额；</w:t>
            </w:r>
          </w:p>
          <w:p w14:paraId="534E1EBC" w14:textId="77777777" w:rsidR="00A052DC" w:rsidRDefault="009F0A60">
            <w:pPr>
              <w:rPr>
                <w:rFonts w:ascii="黑体" w:eastAsia="黑体" w:hAnsi="黑体"/>
                <w:sz w:val="20"/>
                <w:szCs w:val="20"/>
              </w:rPr>
            </w:pPr>
            <w:r>
              <w:rPr>
                <w:rFonts w:ascii="黑体" w:eastAsia="黑体" w:hAnsi="黑体" w:hint="eastAsia"/>
                <w:kern w:val="0"/>
                <w:sz w:val="20"/>
                <w:szCs w:val="20"/>
              </w:rPr>
              <w:t>3-非上市股份或投资基金份额。</w:t>
            </w:r>
          </w:p>
        </w:tc>
      </w:tr>
      <w:tr w:rsidR="00A052DC" w14:paraId="45FEB714" w14:textId="77777777">
        <w:trPr>
          <w:jc w:val="center"/>
        </w:trPr>
        <w:tc>
          <w:tcPr>
            <w:tcW w:w="1134" w:type="dxa"/>
          </w:tcPr>
          <w:p w14:paraId="0727C314" w14:textId="77777777" w:rsidR="00A052DC" w:rsidRDefault="009F0A60">
            <w:pPr>
              <w:pStyle w:val="B"/>
              <w:rPr>
                <w:szCs w:val="20"/>
              </w:rPr>
            </w:pPr>
            <w:r>
              <w:rPr>
                <w:szCs w:val="20"/>
              </w:rPr>
              <w:t>B0402</w:t>
            </w:r>
          </w:p>
        </w:tc>
        <w:tc>
          <w:tcPr>
            <w:tcW w:w="2126" w:type="dxa"/>
          </w:tcPr>
          <w:p w14:paraId="1B7393A2" w14:textId="77777777" w:rsidR="00A052DC" w:rsidRDefault="009F0A60">
            <w:pPr>
              <w:pStyle w:val="B"/>
              <w:rPr>
                <w:szCs w:val="20"/>
              </w:rPr>
            </w:pPr>
            <w:r>
              <w:rPr>
                <w:rFonts w:hint="eastAsia"/>
                <w:szCs w:val="20"/>
              </w:rPr>
              <w:t>证券代码</w:t>
            </w:r>
          </w:p>
        </w:tc>
        <w:tc>
          <w:tcPr>
            <w:tcW w:w="1417" w:type="dxa"/>
          </w:tcPr>
          <w:p w14:paraId="3BF37EA0" w14:textId="77777777" w:rsidR="00A052DC" w:rsidRDefault="009F0A60">
            <w:pPr>
              <w:pStyle w:val="B"/>
              <w:rPr>
                <w:szCs w:val="20"/>
              </w:rPr>
            </w:pPr>
            <w:r>
              <w:rPr>
                <w:rFonts w:hint="eastAsia"/>
                <w:szCs w:val="20"/>
              </w:rPr>
              <w:t>字符型，</w:t>
            </w:r>
            <w:r>
              <w:rPr>
                <w:szCs w:val="20"/>
              </w:rPr>
              <w:t>12</w:t>
            </w:r>
          </w:p>
        </w:tc>
        <w:tc>
          <w:tcPr>
            <w:tcW w:w="3911" w:type="dxa"/>
          </w:tcPr>
          <w:p w14:paraId="074D92A0" w14:textId="77777777" w:rsidR="00A052DC" w:rsidRDefault="009F0A60">
            <w:pPr>
              <w:pStyle w:val="B"/>
              <w:rPr>
                <w:szCs w:val="20"/>
              </w:rPr>
            </w:pPr>
            <w:r>
              <w:rPr>
                <w:rFonts w:hint="eastAsia"/>
                <w:szCs w:val="20"/>
              </w:rPr>
              <w:t>必填项。</w:t>
            </w:r>
          </w:p>
        </w:tc>
      </w:tr>
      <w:tr w:rsidR="00A052DC" w14:paraId="22E1323B" w14:textId="77777777">
        <w:trPr>
          <w:jc w:val="center"/>
        </w:trPr>
        <w:tc>
          <w:tcPr>
            <w:tcW w:w="1134" w:type="dxa"/>
          </w:tcPr>
          <w:p w14:paraId="57C24185" w14:textId="77777777" w:rsidR="00A052DC" w:rsidRDefault="009F0A60">
            <w:pPr>
              <w:pStyle w:val="B"/>
              <w:rPr>
                <w:szCs w:val="20"/>
              </w:rPr>
            </w:pPr>
            <w:r>
              <w:rPr>
                <w:szCs w:val="20"/>
              </w:rPr>
              <w:t>B0403</w:t>
            </w:r>
          </w:p>
        </w:tc>
        <w:tc>
          <w:tcPr>
            <w:tcW w:w="2126" w:type="dxa"/>
          </w:tcPr>
          <w:p w14:paraId="5258818D" w14:textId="77777777" w:rsidR="00A052DC" w:rsidRDefault="009F0A60">
            <w:pPr>
              <w:pStyle w:val="B"/>
              <w:rPr>
                <w:szCs w:val="20"/>
              </w:rPr>
            </w:pPr>
            <w:r>
              <w:rPr>
                <w:rFonts w:hint="eastAsia"/>
                <w:szCs w:val="20"/>
              </w:rPr>
              <w:t>发行地</w:t>
            </w:r>
          </w:p>
        </w:tc>
        <w:tc>
          <w:tcPr>
            <w:tcW w:w="1417" w:type="dxa"/>
          </w:tcPr>
          <w:p w14:paraId="286EF031" w14:textId="77777777" w:rsidR="00A052DC" w:rsidRDefault="009F0A60">
            <w:pPr>
              <w:pStyle w:val="B"/>
              <w:rPr>
                <w:szCs w:val="20"/>
              </w:rPr>
            </w:pPr>
            <w:r>
              <w:rPr>
                <w:rFonts w:hint="eastAsia"/>
                <w:szCs w:val="20"/>
              </w:rPr>
              <w:t>字符型，</w:t>
            </w:r>
            <w:r>
              <w:rPr>
                <w:szCs w:val="20"/>
              </w:rPr>
              <w:t>3</w:t>
            </w:r>
          </w:p>
        </w:tc>
        <w:tc>
          <w:tcPr>
            <w:tcW w:w="3911" w:type="dxa"/>
          </w:tcPr>
          <w:p w14:paraId="430145D7" w14:textId="77777777" w:rsidR="00A052DC" w:rsidRDefault="009F0A60">
            <w:pPr>
              <w:pStyle w:val="B"/>
              <w:rPr>
                <w:szCs w:val="20"/>
              </w:rPr>
            </w:pPr>
            <w:r>
              <w:rPr>
                <w:rFonts w:hint="eastAsia"/>
                <w:szCs w:val="20"/>
              </w:rPr>
              <w:t>必填项，见国家和地区代码表的3位字母代码。B0401CODE≠3时，国家地区≠CHN或N/A。</w:t>
            </w:r>
          </w:p>
        </w:tc>
      </w:tr>
      <w:tr w:rsidR="00A052DC" w14:paraId="616C57F5" w14:textId="77777777">
        <w:trPr>
          <w:jc w:val="center"/>
        </w:trPr>
        <w:tc>
          <w:tcPr>
            <w:tcW w:w="1134" w:type="dxa"/>
          </w:tcPr>
          <w:p w14:paraId="3450D534" w14:textId="77777777" w:rsidR="00A052DC" w:rsidRDefault="009F0A60">
            <w:pPr>
              <w:pStyle w:val="B"/>
              <w:rPr>
                <w:szCs w:val="20"/>
              </w:rPr>
            </w:pPr>
            <w:r>
              <w:rPr>
                <w:szCs w:val="20"/>
              </w:rPr>
              <w:t>B0404</w:t>
            </w:r>
          </w:p>
        </w:tc>
        <w:tc>
          <w:tcPr>
            <w:tcW w:w="2126" w:type="dxa"/>
          </w:tcPr>
          <w:p w14:paraId="1C100894" w14:textId="77777777" w:rsidR="00A052DC" w:rsidRDefault="009F0A60">
            <w:pPr>
              <w:pStyle w:val="B"/>
              <w:rPr>
                <w:szCs w:val="20"/>
              </w:rPr>
            </w:pPr>
            <w:r>
              <w:rPr>
                <w:rFonts w:hint="eastAsia"/>
                <w:szCs w:val="20"/>
              </w:rPr>
              <w:t>投资者名称</w:t>
            </w:r>
          </w:p>
        </w:tc>
        <w:tc>
          <w:tcPr>
            <w:tcW w:w="1417" w:type="dxa"/>
          </w:tcPr>
          <w:p w14:paraId="2E25E3B1" w14:textId="77777777" w:rsidR="00A052DC" w:rsidRDefault="009F0A60">
            <w:pPr>
              <w:pStyle w:val="B"/>
              <w:rPr>
                <w:szCs w:val="20"/>
              </w:rPr>
            </w:pPr>
            <w:r>
              <w:rPr>
                <w:rFonts w:hint="eastAsia"/>
                <w:szCs w:val="20"/>
              </w:rPr>
              <w:t>字符型，</w:t>
            </w:r>
            <w:r>
              <w:rPr>
                <w:szCs w:val="20"/>
              </w:rPr>
              <w:t>256</w:t>
            </w:r>
          </w:p>
        </w:tc>
        <w:tc>
          <w:tcPr>
            <w:tcW w:w="3911" w:type="dxa"/>
          </w:tcPr>
          <w:p w14:paraId="7E9CD38A" w14:textId="77777777" w:rsidR="00A052DC" w:rsidRDefault="009F0A60">
            <w:pPr>
              <w:pStyle w:val="B"/>
              <w:rPr>
                <w:szCs w:val="20"/>
              </w:rPr>
            </w:pPr>
            <w:r>
              <w:rPr>
                <w:rFonts w:hint="eastAsia"/>
                <w:szCs w:val="20"/>
              </w:rPr>
              <w:t>必填项。</w:t>
            </w:r>
          </w:p>
        </w:tc>
      </w:tr>
      <w:tr w:rsidR="00A052DC" w14:paraId="6702F215" w14:textId="77777777">
        <w:trPr>
          <w:jc w:val="center"/>
        </w:trPr>
        <w:tc>
          <w:tcPr>
            <w:tcW w:w="1134" w:type="dxa"/>
          </w:tcPr>
          <w:p w14:paraId="1477318A" w14:textId="77777777" w:rsidR="00A052DC" w:rsidRDefault="009F0A60">
            <w:pPr>
              <w:pStyle w:val="B"/>
              <w:rPr>
                <w:szCs w:val="20"/>
              </w:rPr>
            </w:pPr>
            <w:r>
              <w:rPr>
                <w:szCs w:val="20"/>
              </w:rPr>
              <w:t>B0405</w:t>
            </w:r>
          </w:p>
        </w:tc>
        <w:tc>
          <w:tcPr>
            <w:tcW w:w="2126" w:type="dxa"/>
          </w:tcPr>
          <w:p w14:paraId="3BB44550" w14:textId="77777777" w:rsidR="00A052DC" w:rsidRDefault="009F0A60">
            <w:pPr>
              <w:pStyle w:val="B"/>
              <w:rPr>
                <w:szCs w:val="20"/>
              </w:rPr>
            </w:pPr>
            <w:r>
              <w:rPr>
                <w:rFonts w:hint="eastAsia"/>
                <w:szCs w:val="20"/>
              </w:rPr>
              <w:t>投资者所属国家</w:t>
            </w:r>
            <w:r>
              <w:rPr>
                <w:szCs w:val="20"/>
              </w:rPr>
              <w:t>/</w:t>
            </w:r>
            <w:r>
              <w:rPr>
                <w:rFonts w:hint="eastAsia"/>
                <w:szCs w:val="20"/>
              </w:rPr>
              <w:t>地区</w:t>
            </w:r>
          </w:p>
        </w:tc>
        <w:tc>
          <w:tcPr>
            <w:tcW w:w="1417" w:type="dxa"/>
          </w:tcPr>
          <w:p w14:paraId="0DD3E129" w14:textId="77777777" w:rsidR="00A052DC" w:rsidRDefault="009F0A60">
            <w:pPr>
              <w:pStyle w:val="B"/>
              <w:rPr>
                <w:szCs w:val="20"/>
              </w:rPr>
            </w:pPr>
            <w:r>
              <w:rPr>
                <w:rFonts w:hint="eastAsia"/>
                <w:szCs w:val="20"/>
              </w:rPr>
              <w:t>字符型，</w:t>
            </w:r>
            <w:r>
              <w:rPr>
                <w:szCs w:val="20"/>
              </w:rPr>
              <w:t>3</w:t>
            </w:r>
          </w:p>
        </w:tc>
        <w:tc>
          <w:tcPr>
            <w:tcW w:w="3911" w:type="dxa"/>
          </w:tcPr>
          <w:p w14:paraId="1471A63B" w14:textId="77777777" w:rsidR="00A052DC" w:rsidRDefault="009F0A60">
            <w:pPr>
              <w:pStyle w:val="B"/>
              <w:rPr>
                <w:szCs w:val="20"/>
              </w:rPr>
            </w:pPr>
            <w:r>
              <w:rPr>
                <w:rFonts w:hint="eastAsia"/>
                <w:szCs w:val="20"/>
              </w:rPr>
              <w:t>必填项，见国家和地区代码表的3位字母代码。当B0401CODE=3，且B0403=CHN时，B0405投资者所属国家/地区≠CHN或N/A。</w:t>
            </w:r>
          </w:p>
        </w:tc>
      </w:tr>
      <w:tr w:rsidR="00A052DC" w14:paraId="5E28FB09" w14:textId="77777777">
        <w:trPr>
          <w:jc w:val="center"/>
        </w:trPr>
        <w:tc>
          <w:tcPr>
            <w:tcW w:w="1134" w:type="dxa"/>
          </w:tcPr>
          <w:p w14:paraId="770E08DC" w14:textId="77777777" w:rsidR="00A052DC" w:rsidRDefault="009F0A60">
            <w:pPr>
              <w:pStyle w:val="B"/>
              <w:rPr>
                <w:szCs w:val="20"/>
              </w:rPr>
            </w:pPr>
            <w:r>
              <w:rPr>
                <w:szCs w:val="20"/>
              </w:rPr>
              <w:t>B0406</w:t>
            </w:r>
          </w:p>
        </w:tc>
        <w:tc>
          <w:tcPr>
            <w:tcW w:w="2126" w:type="dxa"/>
          </w:tcPr>
          <w:p w14:paraId="7076DC13" w14:textId="77777777" w:rsidR="00A052DC" w:rsidRDefault="009F0A60">
            <w:pPr>
              <w:pStyle w:val="B"/>
              <w:rPr>
                <w:szCs w:val="20"/>
              </w:rPr>
            </w:pPr>
            <w:r>
              <w:rPr>
                <w:rFonts w:hint="eastAsia"/>
                <w:szCs w:val="20"/>
              </w:rPr>
              <w:t>投资者所属部门</w:t>
            </w:r>
          </w:p>
        </w:tc>
        <w:tc>
          <w:tcPr>
            <w:tcW w:w="1417" w:type="dxa"/>
          </w:tcPr>
          <w:p w14:paraId="1AE5C45C" w14:textId="77777777" w:rsidR="00A052DC" w:rsidRDefault="009F0A60">
            <w:pPr>
              <w:pStyle w:val="B"/>
              <w:rPr>
                <w:szCs w:val="20"/>
              </w:rPr>
            </w:pPr>
            <w:r>
              <w:rPr>
                <w:rFonts w:hint="eastAsia"/>
                <w:szCs w:val="20"/>
              </w:rPr>
              <w:t>整数型</w:t>
            </w:r>
          </w:p>
        </w:tc>
        <w:tc>
          <w:tcPr>
            <w:tcW w:w="3911" w:type="dxa"/>
          </w:tcPr>
          <w:p w14:paraId="7BAAAFD8" w14:textId="77777777" w:rsidR="00A052DC" w:rsidRDefault="009F0A60">
            <w:pPr>
              <w:pStyle w:val="B"/>
              <w:rPr>
                <w:szCs w:val="20"/>
              </w:rPr>
            </w:pPr>
            <w:r>
              <w:rPr>
                <w:rFonts w:hint="eastAsia"/>
                <w:szCs w:val="20"/>
              </w:rPr>
              <w:t>必填项，必须9选</w:t>
            </w:r>
            <w:r>
              <w:rPr>
                <w:szCs w:val="20"/>
              </w:rPr>
              <w:t>1</w:t>
            </w:r>
            <w:r>
              <w:rPr>
                <w:rFonts w:hint="eastAsia"/>
                <w:szCs w:val="20"/>
              </w:rPr>
              <w:t>。见投资者（被投资者）部门代码表。</w:t>
            </w:r>
          </w:p>
        </w:tc>
      </w:tr>
      <w:tr w:rsidR="00A052DC" w14:paraId="6394C389" w14:textId="77777777">
        <w:trPr>
          <w:jc w:val="center"/>
        </w:trPr>
        <w:tc>
          <w:tcPr>
            <w:tcW w:w="1134" w:type="dxa"/>
          </w:tcPr>
          <w:p w14:paraId="653374FD" w14:textId="77777777" w:rsidR="00A052DC" w:rsidRDefault="009F0A60">
            <w:pPr>
              <w:pStyle w:val="B"/>
              <w:rPr>
                <w:szCs w:val="20"/>
              </w:rPr>
            </w:pPr>
            <w:r>
              <w:rPr>
                <w:szCs w:val="20"/>
              </w:rPr>
              <w:t>B0407</w:t>
            </w:r>
          </w:p>
        </w:tc>
        <w:tc>
          <w:tcPr>
            <w:tcW w:w="2126" w:type="dxa"/>
          </w:tcPr>
          <w:p w14:paraId="021BFD42" w14:textId="77777777" w:rsidR="00A052DC" w:rsidRDefault="009F0A60">
            <w:pPr>
              <w:pStyle w:val="B"/>
              <w:rPr>
                <w:szCs w:val="20"/>
              </w:rPr>
            </w:pPr>
            <w:r>
              <w:rPr>
                <w:rFonts w:hint="eastAsia"/>
                <w:szCs w:val="20"/>
              </w:rPr>
              <w:t>投资者与本机构的关系</w:t>
            </w:r>
          </w:p>
        </w:tc>
        <w:tc>
          <w:tcPr>
            <w:tcW w:w="1417" w:type="dxa"/>
          </w:tcPr>
          <w:p w14:paraId="06CF7D4F" w14:textId="77777777" w:rsidR="00A052DC" w:rsidRDefault="009F0A60">
            <w:pPr>
              <w:pStyle w:val="B"/>
              <w:rPr>
                <w:szCs w:val="20"/>
              </w:rPr>
            </w:pPr>
            <w:r>
              <w:rPr>
                <w:rFonts w:hint="eastAsia"/>
                <w:szCs w:val="20"/>
              </w:rPr>
              <w:t>整数型</w:t>
            </w:r>
          </w:p>
        </w:tc>
        <w:tc>
          <w:tcPr>
            <w:tcW w:w="3911" w:type="dxa"/>
          </w:tcPr>
          <w:p w14:paraId="6106F93F" w14:textId="77777777" w:rsidR="00A052DC" w:rsidRDefault="009F0A60">
            <w:pPr>
              <w:pStyle w:val="B"/>
              <w:rPr>
                <w:szCs w:val="20"/>
              </w:rPr>
            </w:pPr>
            <w:r>
              <w:rPr>
                <w:rFonts w:hint="eastAsia"/>
                <w:szCs w:val="20"/>
              </w:rPr>
              <w:t>必填项，必须</w:t>
            </w:r>
            <w:r>
              <w:rPr>
                <w:szCs w:val="20"/>
              </w:rPr>
              <w:t>4</w:t>
            </w:r>
            <w:r>
              <w:rPr>
                <w:rFonts w:hint="eastAsia"/>
                <w:szCs w:val="20"/>
              </w:rPr>
              <w:t>选</w:t>
            </w:r>
            <w:r>
              <w:rPr>
                <w:szCs w:val="20"/>
              </w:rPr>
              <w:t>1</w:t>
            </w:r>
            <w:r>
              <w:rPr>
                <w:rFonts w:hint="eastAsia"/>
                <w:szCs w:val="20"/>
              </w:rPr>
              <w:t>。见对方与本机构</w:t>
            </w:r>
            <w:r>
              <w:rPr>
                <w:szCs w:val="20"/>
              </w:rPr>
              <w:t>/</w:t>
            </w:r>
            <w:r>
              <w:rPr>
                <w:rFonts w:hint="eastAsia"/>
                <w:szCs w:val="20"/>
              </w:rPr>
              <w:t>被代理居民机构</w:t>
            </w:r>
            <w:r>
              <w:rPr>
                <w:szCs w:val="20"/>
              </w:rPr>
              <w:t>/</w:t>
            </w:r>
            <w:r>
              <w:rPr>
                <w:rFonts w:hint="eastAsia"/>
                <w:szCs w:val="20"/>
              </w:rPr>
              <w:t>委托人的关系代码表。</w:t>
            </w:r>
            <w:r>
              <w:rPr>
                <w:szCs w:val="20"/>
              </w:rPr>
              <w:t>B0407</w:t>
            </w:r>
            <w:r>
              <w:rPr>
                <w:rFonts w:hint="eastAsia"/>
                <w:szCs w:val="20"/>
              </w:rPr>
              <w:t>投资者与本机构的关系≠</w:t>
            </w:r>
            <w:r>
              <w:rPr>
                <w:szCs w:val="20"/>
              </w:rPr>
              <w:t>1</w:t>
            </w:r>
            <w:r>
              <w:rPr>
                <w:rFonts w:hint="eastAsia"/>
                <w:szCs w:val="20"/>
              </w:rPr>
              <w:t>。</w:t>
            </w:r>
          </w:p>
        </w:tc>
      </w:tr>
      <w:tr w:rsidR="00A052DC" w14:paraId="7623272B" w14:textId="77777777">
        <w:trPr>
          <w:jc w:val="center"/>
        </w:trPr>
        <w:tc>
          <w:tcPr>
            <w:tcW w:w="1134" w:type="dxa"/>
          </w:tcPr>
          <w:p w14:paraId="5D1E51A2" w14:textId="77777777" w:rsidR="00A052DC" w:rsidRDefault="009F0A60">
            <w:pPr>
              <w:pStyle w:val="B"/>
              <w:rPr>
                <w:szCs w:val="20"/>
              </w:rPr>
            </w:pPr>
            <w:r>
              <w:rPr>
                <w:szCs w:val="20"/>
              </w:rPr>
              <w:t>B0408</w:t>
            </w:r>
          </w:p>
        </w:tc>
        <w:tc>
          <w:tcPr>
            <w:tcW w:w="2126" w:type="dxa"/>
          </w:tcPr>
          <w:p w14:paraId="6F2E9F25" w14:textId="77777777" w:rsidR="00A052DC" w:rsidRDefault="009F0A60">
            <w:pPr>
              <w:pStyle w:val="B"/>
              <w:rPr>
                <w:szCs w:val="20"/>
              </w:rPr>
            </w:pPr>
            <w:r>
              <w:rPr>
                <w:rFonts w:hint="eastAsia"/>
                <w:szCs w:val="20"/>
              </w:rPr>
              <w:t>原始币种</w:t>
            </w:r>
          </w:p>
        </w:tc>
        <w:tc>
          <w:tcPr>
            <w:tcW w:w="1417" w:type="dxa"/>
          </w:tcPr>
          <w:p w14:paraId="6A9C52D6" w14:textId="77777777" w:rsidR="00A052DC" w:rsidRDefault="009F0A60">
            <w:pPr>
              <w:pStyle w:val="B"/>
              <w:rPr>
                <w:szCs w:val="20"/>
              </w:rPr>
            </w:pPr>
            <w:r>
              <w:rPr>
                <w:rFonts w:hint="eastAsia"/>
                <w:szCs w:val="20"/>
              </w:rPr>
              <w:t>字符型，</w:t>
            </w:r>
            <w:r>
              <w:rPr>
                <w:szCs w:val="20"/>
              </w:rPr>
              <w:t>3</w:t>
            </w:r>
          </w:p>
        </w:tc>
        <w:tc>
          <w:tcPr>
            <w:tcW w:w="3911" w:type="dxa"/>
          </w:tcPr>
          <w:p w14:paraId="0A22DA73" w14:textId="77777777" w:rsidR="00A052DC" w:rsidRDefault="009F0A60">
            <w:pPr>
              <w:pStyle w:val="B"/>
              <w:rPr>
                <w:szCs w:val="20"/>
              </w:rPr>
            </w:pPr>
            <w:r>
              <w:rPr>
                <w:rFonts w:hint="eastAsia"/>
                <w:szCs w:val="20"/>
              </w:rPr>
              <w:t>必填项，见币种代码表。</w:t>
            </w:r>
          </w:p>
        </w:tc>
      </w:tr>
      <w:tr w:rsidR="00A052DC" w14:paraId="7E566FFD" w14:textId="77777777">
        <w:trPr>
          <w:jc w:val="center"/>
        </w:trPr>
        <w:tc>
          <w:tcPr>
            <w:tcW w:w="1134" w:type="dxa"/>
          </w:tcPr>
          <w:p w14:paraId="3DA2A212" w14:textId="77777777" w:rsidR="00A052DC" w:rsidRDefault="009F0A60">
            <w:pPr>
              <w:pStyle w:val="B"/>
              <w:rPr>
                <w:szCs w:val="20"/>
              </w:rPr>
            </w:pPr>
            <w:r>
              <w:rPr>
                <w:szCs w:val="20"/>
              </w:rPr>
              <w:t>B0409</w:t>
            </w:r>
          </w:p>
        </w:tc>
        <w:tc>
          <w:tcPr>
            <w:tcW w:w="2126" w:type="dxa"/>
          </w:tcPr>
          <w:p w14:paraId="23305359" w14:textId="77777777" w:rsidR="00A052DC" w:rsidRDefault="009F0A60">
            <w:pPr>
              <w:pStyle w:val="B"/>
              <w:rPr>
                <w:szCs w:val="20"/>
              </w:rPr>
            </w:pPr>
            <w:r>
              <w:rPr>
                <w:rFonts w:hint="eastAsia"/>
                <w:szCs w:val="20"/>
              </w:rPr>
              <w:t>上月末市值</w:t>
            </w:r>
          </w:p>
        </w:tc>
        <w:tc>
          <w:tcPr>
            <w:tcW w:w="1417" w:type="dxa"/>
          </w:tcPr>
          <w:p w14:paraId="0FFA49C3" w14:textId="77777777" w:rsidR="00A052DC" w:rsidRDefault="009F0A60">
            <w:pPr>
              <w:pStyle w:val="B"/>
              <w:rPr>
                <w:szCs w:val="20"/>
              </w:rPr>
            </w:pPr>
            <w:r>
              <w:rPr>
                <w:rFonts w:hint="eastAsia"/>
                <w:szCs w:val="20"/>
              </w:rPr>
              <w:t>数值型，</w:t>
            </w:r>
            <w:r>
              <w:rPr>
                <w:szCs w:val="20"/>
              </w:rPr>
              <w:t>22.2</w:t>
            </w:r>
          </w:p>
        </w:tc>
        <w:tc>
          <w:tcPr>
            <w:tcW w:w="3911" w:type="dxa"/>
          </w:tcPr>
          <w:p w14:paraId="0FEC7BCF" w14:textId="77777777" w:rsidR="00A052DC" w:rsidRDefault="009F0A60">
            <w:pPr>
              <w:pStyle w:val="B"/>
              <w:rPr>
                <w:szCs w:val="20"/>
              </w:rPr>
            </w:pPr>
            <w:r>
              <w:rPr>
                <w:rFonts w:hint="eastAsia"/>
                <w:szCs w:val="20"/>
              </w:rPr>
              <w:t>必填项。</w:t>
            </w:r>
          </w:p>
        </w:tc>
      </w:tr>
      <w:tr w:rsidR="00A052DC" w14:paraId="13B64EFC" w14:textId="77777777">
        <w:trPr>
          <w:jc w:val="center"/>
        </w:trPr>
        <w:tc>
          <w:tcPr>
            <w:tcW w:w="1134" w:type="dxa"/>
          </w:tcPr>
          <w:p w14:paraId="55133B2A" w14:textId="77777777" w:rsidR="00A052DC" w:rsidRDefault="009F0A60">
            <w:pPr>
              <w:pStyle w:val="B"/>
              <w:rPr>
                <w:szCs w:val="20"/>
              </w:rPr>
            </w:pPr>
            <w:r>
              <w:rPr>
                <w:szCs w:val="20"/>
              </w:rPr>
              <w:t>B0410</w:t>
            </w:r>
          </w:p>
        </w:tc>
        <w:tc>
          <w:tcPr>
            <w:tcW w:w="2126" w:type="dxa"/>
          </w:tcPr>
          <w:p w14:paraId="5DD196A5" w14:textId="77777777" w:rsidR="00A052DC" w:rsidRDefault="009F0A60">
            <w:pPr>
              <w:pStyle w:val="B"/>
              <w:rPr>
                <w:szCs w:val="20"/>
              </w:rPr>
            </w:pPr>
            <w:r>
              <w:rPr>
                <w:rFonts w:hint="eastAsia"/>
                <w:szCs w:val="20"/>
              </w:rPr>
              <w:t>本月发行金额</w:t>
            </w:r>
          </w:p>
        </w:tc>
        <w:tc>
          <w:tcPr>
            <w:tcW w:w="1417" w:type="dxa"/>
          </w:tcPr>
          <w:p w14:paraId="4C8D105B" w14:textId="77777777" w:rsidR="00A052DC" w:rsidRDefault="009F0A60">
            <w:pPr>
              <w:pStyle w:val="B"/>
              <w:rPr>
                <w:szCs w:val="20"/>
              </w:rPr>
            </w:pPr>
            <w:r>
              <w:rPr>
                <w:rFonts w:hint="eastAsia"/>
                <w:szCs w:val="20"/>
              </w:rPr>
              <w:t>数值型，</w:t>
            </w:r>
            <w:r>
              <w:rPr>
                <w:szCs w:val="20"/>
              </w:rPr>
              <w:t>22.2</w:t>
            </w:r>
          </w:p>
        </w:tc>
        <w:tc>
          <w:tcPr>
            <w:tcW w:w="3911" w:type="dxa"/>
          </w:tcPr>
          <w:p w14:paraId="5AB959C9" w14:textId="77777777" w:rsidR="00A052DC" w:rsidRDefault="009F0A60">
            <w:pPr>
              <w:pStyle w:val="B"/>
              <w:rPr>
                <w:szCs w:val="20"/>
              </w:rPr>
            </w:pPr>
            <w:r>
              <w:rPr>
                <w:rFonts w:hint="eastAsia"/>
                <w:szCs w:val="20"/>
              </w:rPr>
              <w:t>必填项，必须≥</w:t>
            </w:r>
            <w:r>
              <w:rPr>
                <w:szCs w:val="20"/>
              </w:rPr>
              <w:t>0</w:t>
            </w:r>
            <w:r>
              <w:rPr>
                <w:rFonts w:hint="eastAsia"/>
                <w:szCs w:val="20"/>
              </w:rPr>
              <w:t>。</w:t>
            </w:r>
          </w:p>
        </w:tc>
      </w:tr>
      <w:tr w:rsidR="00A052DC" w14:paraId="03D58547" w14:textId="77777777">
        <w:trPr>
          <w:jc w:val="center"/>
        </w:trPr>
        <w:tc>
          <w:tcPr>
            <w:tcW w:w="1134" w:type="dxa"/>
          </w:tcPr>
          <w:p w14:paraId="5400E0A7" w14:textId="77777777" w:rsidR="00A052DC" w:rsidRDefault="009F0A60">
            <w:pPr>
              <w:pStyle w:val="B"/>
              <w:rPr>
                <w:szCs w:val="20"/>
              </w:rPr>
            </w:pPr>
            <w:r>
              <w:rPr>
                <w:szCs w:val="20"/>
              </w:rPr>
              <w:t>B0411</w:t>
            </w:r>
          </w:p>
        </w:tc>
        <w:tc>
          <w:tcPr>
            <w:tcW w:w="2126" w:type="dxa"/>
          </w:tcPr>
          <w:p w14:paraId="40B74EF8" w14:textId="77777777" w:rsidR="00A052DC" w:rsidRDefault="009F0A60">
            <w:pPr>
              <w:pStyle w:val="B"/>
              <w:rPr>
                <w:szCs w:val="20"/>
              </w:rPr>
            </w:pPr>
            <w:r>
              <w:rPr>
                <w:rFonts w:hint="eastAsia"/>
                <w:szCs w:val="20"/>
              </w:rPr>
              <w:t>本月回购（赎回）金额</w:t>
            </w:r>
          </w:p>
        </w:tc>
        <w:tc>
          <w:tcPr>
            <w:tcW w:w="1417" w:type="dxa"/>
          </w:tcPr>
          <w:p w14:paraId="535D53F0" w14:textId="77777777" w:rsidR="00A052DC" w:rsidRDefault="009F0A60">
            <w:pPr>
              <w:pStyle w:val="B"/>
              <w:rPr>
                <w:szCs w:val="20"/>
              </w:rPr>
            </w:pPr>
            <w:r>
              <w:rPr>
                <w:rFonts w:hint="eastAsia"/>
                <w:szCs w:val="20"/>
              </w:rPr>
              <w:t>数值型，</w:t>
            </w:r>
            <w:r>
              <w:rPr>
                <w:szCs w:val="20"/>
              </w:rPr>
              <w:t>22.2</w:t>
            </w:r>
          </w:p>
        </w:tc>
        <w:tc>
          <w:tcPr>
            <w:tcW w:w="3911" w:type="dxa"/>
          </w:tcPr>
          <w:p w14:paraId="3E6A01D8" w14:textId="77777777" w:rsidR="00A052DC" w:rsidRDefault="009F0A60">
            <w:pPr>
              <w:pStyle w:val="B"/>
              <w:rPr>
                <w:szCs w:val="20"/>
              </w:rPr>
            </w:pPr>
            <w:r>
              <w:rPr>
                <w:rFonts w:hint="eastAsia"/>
                <w:szCs w:val="20"/>
              </w:rPr>
              <w:t>必填项，必须≥</w:t>
            </w:r>
            <w:r>
              <w:rPr>
                <w:szCs w:val="20"/>
              </w:rPr>
              <w:t>0</w:t>
            </w:r>
            <w:r>
              <w:rPr>
                <w:rFonts w:hint="eastAsia"/>
                <w:szCs w:val="20"/>
              </w:rPr>
              <w:t>。</w:t>
            </w:r>
          </w:p>
        </w:tc>
      </w:tr>
      <w:tr w:rsidR="00A052DC" w14:paraId="22EE4058" w14:textId="77777777">
        <w:trPr>
          <w:jc w:val="center"/>
        </w:trPr>
        <w:tc>
          <w:tcPr>
            <w:tcW w:w="1134" w:type="dxa"/>
          </w:tcPr>
          <w:p w14:paraId="3166A50C" w14:textId="77777777" w:rsidR="00A052DC" w:rsidRDefault="009F0A60">
            <w:pPr>
              <w:pStyle w:val="B"/>
              <w:rPr>
                <w:szCs w:val="20"/>
              </w:rPr>
            </w:pPr>
            <w:r>
              <w:rPr>
                <w:szCs w:val="20"/>
              </w:rPr>
              <w:t>B0412</w:t>
            </w:r>
          </w:p>
        </w:tc>
        <w:tc>
          <w:tcPr>
            <w:tcW w:w="2126" w:type="dxa"/>
          </w:tcPr>
          <w:p w14:paraId="49D6964D" w14:textId="77777777" w:rsidR="00A052DC" w:rsidRDefault="009F0A60">
            <w:pPr>
              <w:pStyle w:val="B"/>
              <w:rPr>
                <w:szCs w:val="20"/>
              </w:rPr>
            </w:pPr>
            <w:r>
              <w:rPr>
                <w:rFonts w:hint="eastAsia"/>
                <w:szCs w:val="20"/>
              </w:rPr>
              <w:t>本月非交易变动</w:t>
            </w:r>
          </w:p>
        </w:tc>
        <w:tc>
          <w:tcPr>
            <w:tcW w:w="1417" w:type="dxa"/>
          </w:tcPr>
          <w:p w14:paraId="4850D2C0" w14:textId="77777777" w:rsidR="00A052DC" w:rsidRDefault="009F0A60">
            <w:pPr>
              <w:pStyle w:val="B"/>
              <w:rPr>
                <w:szCs w:val="20"/>
              </w:rPr>
            </w:pPr>
            <w:r>
              <w:rPr>
                <w:rFonts w:hint="eastAsia"/>
                <w:szCs w:val="20"/>
              </w:rPr>
              <w:t>数值型，</w:t>
            </w:r>
            <w:r>
              <w:rPr>
                <w:szCs w:val="20"/>
              </w:rPr>
              <w:t>22.2</w:t>
            </w:r>
          </w:p>
        </w:tc>
        <w:tc>
          <w:tcPr>
            <w:tcW w:w="3911" w:type="dxa"/>
          </w:tcPr>
          <w:p w14:paraId="5FB1F43A" w14:textId="77777777" w:rsidR="00A052DC" w:rsidRDefault="009F0A60">
            <w:pPr>
              <w:pStyle w:val="B"/>
              <w:rPr>
                <w:szCs w:val="20"/>
              </w:rPr>
            </w:pPr>
            <w:r>
              <w:rPr>
                <w:rFonts w:hint="eastAsia"/>
                <w:szCs w:val="20"/>
              </w:rPr>
              <w:t>必填项，必须满足：</w:t>
            </w:r>
          </w:p>
          <w:p w14:paraId="48F3452A" w14:textId="77777777" w:rsidR="00A052DC" w:rsidRDefault="009F0A60">
            <w:pPr>
              <w:pStyle w:val="B"/>
              <w:rPr>
                <w:szCs w:val="20"/>
              </w:rPr>
            </w:pPr>
            <w:r>
              <w:rPr>
                <w:szCs w:val="20"/>
              </w:rPr>
              <w:t>B0412=B0415-B0409-</w:t>
            </w:r>
            <w:r>
              <w:rPr>
                <w:rFonts w:hint="eastAsia"/>
                <w:szCs w:val="20"/>
              </w:rPr>
              <w:t>（</w:t>
            </w:r>
            <w:r>
              <w:rPr>
                <w:szCs w:val="20"/>
              </w:rPr>
              <w:t>B0410-B0411</w:t>
            </w:r>
            <w:r>
              <w:rPr>
                <w:rFonts w:hint="eastAsia"/>
                <w:szCs w:val="20"/>
              </w:rPr>
              <w:t>）。</w:t>
            </w:r>
          </w:p>
          <w:p w14:paraId="37B12BE8" w14:textId="77777777" w:rsidR="00A052DC" w:rsidRDefault="009F0A60">
            <w:pPr>
              <w:rPr>
                <w:rFonts w:ascii="黑体" w:eastAsia="黑体" w:hAnsi="黑体"/>
                <w:sz w:val="20"/>
                <w:szCs w:val="20"/>
              </w:rPr>
            </w:pPr>
            <w:r>
              <w:rPr>
                <w:rFonts w:ascii="黑体" w:eastAsia="黑体" w:hAnsi="黑体"/>
                <w:kern w:val="0"/>
                <w:sz w:val="20"/>
                <w:szCs w:val="20"/>
              </w:rPr>
              <w:t>B0412=B0413+B0414</w:t>
            </w:r>
            <w:r>
              <w:rPr>
                <w:rFonts w:ascii="黑体" w:eastAsia="黑体" w:hAnsi="黑体" w:hint="eastAsia"/>
                <w:kern w:val="0"/>
                <w:sz w:val="20"/>
                <w:szCs w:val="20"/>
              </w:rPr>
              <w:t>。</w:t>
            </w:r>
          </w:p>
        </w:tc>
      </w:tr>
      <w:tr w:rsidR="00A052DC" w14:paraId="3C0C8BAE" w14:textId="77777777">
        <w:trPr>
          <w:jc w:val="center"/>
        </w:trPr>
        <w:tc>
          <w:tcPr>
            <w:tcW w:w="1134" w:type="dxa"/>
          </w:tcPr>
          <w:p w14:paraId="29273A60" w14:textId="77777777" w:rsidR="00A052DC" w:rsidRDefault="009F0A60">
            <w:pPr>
              <w:pStyle w:val="B"/>
              <w:rPr>
                <w:szCs w:val="20"/>
              </w:rPr>
            </w:pPr>
            <w:r>
              <w:rPr>
                <w:szCs w:val="20"/>
              </w:rPr>
              <w:t>B0413</w:t>
            </w:r>
          </w:p>
        </w:tc>
        <w:tc>
          <w:tcPr>
            <w:tcW w:w="2126" w:type="dxa"/>
          </w:tcPr>
          <w:p w14:paraId="60F73683" w14:textId="77777777" w:rsidR="00A052DC" w:rsidRDefault="009F0A60">
            <w:pPr>
              <w:pStyle w:val="B"/>
              <w:rPr>
                <w:szCs w:val="20"/>
              </w:rPr>
            </w:pPr>
            <w:r>
              <w:rPr>
                <w:rFonts w:hint="eastAsia"/>
              </w:rPr>
              <w:t>调整</w:t>
            </w:r>
            <w:r>
              <w:rPr>
                <w:rFonts w:hint="eastAsia"/>
                <w:szCs w:val="20"/>
              </w:rPr>
              <w:t>或</w:t>
            </w:r>
            <w:r>
              <w:rPr>
                <w:rFonts w:hint="eastAsia"/>
              </w:rPr>
              <w:t>重新分类至其他报表统计的金额</w:t>
            </w:r>
          </w:p>
        </w:tc>
        <w:tc>
          <w:tcPr>
            <w:tcW w:w="1417" w:type="dxa"/>
          </w:tcPr>
          <w:p w14:paraId="06F31DEE" w14:textId="77777777" w:rsidR="00A052DC" w:rsidRDefault="009F0A60">
            <w:pPr>
              <w:pStyle w:val="B"/>
              <w:rPr>
                <w:szCs w:val="20"/>
              </w:rPr>
            </w:pPr>
            <w:r>
              <w:rPr>
                <w:rFonts w:hint="eastAsia"/>
                <w:szCs w:val="20"/>
              </w:rPr>
              <w:t>数值型，</w:t>
            </w:r>
            <w:r>
              <w:rPr>
                <w:szCs w:val="20"/>
              </w:rPr>
              <w:t>22.2</w:t>
            </w:r>
          </w:p>
        </w:tc>
        <w:tc>
          <w:tcPr>
            <w:tcW w:w="3911" w:type="dxa"/>
          </w:tcPr>
          <w:p w14:paraId="37CFDAE0" w14:textId="77777777" w:rsidR="00A052DC" w:rsidRDefault="009F0A60">
            <w:pPr>
              <w:pStyle w:val="B"/>
              <w:rPr>
                <w:szCs w:val="20"/>
              </w:rPr>
            </w:pPr>
            <w:r>
              <w:rPr>
                <w:rFonts w:hint="eastAsia"/>
                <w:szCs w:val="20"/>
              </w:rPr>
              <w:t>必填项。</w:t>
            </w:r>
          </w:p>
        </w:tc>
      </w:tr>
      <w:tr w:rsidR="00A052DC" w14:paraId="5D66BCD1" w14:textId="77777777">
        <w:trPr>
          <w:jc w:val="center"/>
        </w:trPr>
        <w:tc>
          <w:tcPr>
            <w:tcW w:w="1134" w:type="dxa"/>
          </w:tcPr>
          <w:p w14:paraId="485776EA" w14:textId="77777777" w:rsidR="00A052DC" w:rsidRDefault="009F0A60">
            <w:pPr>
              <w:pStyle w:val="B"/>
              <w:rPr>
                <w:szCs w:val="20"/>
              </w:rPr>
            </w:pPr>
            <w:r>
              <w:rPr>
                <w:szCs w:val="20"/>
              </w:rPr>
              <w:t>B0414</w:t>
            </w:r>
          </w:p>
        </w:tc>
        <w:tc>
          <w:tcPr>
            <w:tcW w:w="2126" w:type="dxa"/>
          </w:tcPr>
          <w:p w14:paraId="5E79CDA4" w14:textId="77777777" w:rsidR="00A052DC" w:rsidRDefault="009F0A60">
            <w:pPr>
              <w:pStyle w:val="B"/>
              <w:rPr>
                <w:szCs w:val="20"/>
              </w:rPr>
            </w:pPr>
            <w:r>
              <w:rPr>
                <w:rFonts w:hint="eastAsia"/>
              </w:rPr>
              <w:t>价值重估因素</w:t>
            </w:r>
          </w:p>
        </w:tc>
        <w:tc>
          <w:tcPr>
            <w:tcW w:w="1417" w:type="dxa"/>
          </w:tcPr>
          <w:p w14:paraId="01D2F63B" w14:textId="77777777" w:rsidR="00A052DC" w:rsidRDefault="009F0A60">
            <w:pPr>
              <w:pStyle w:val="B"/>
              <w:rPr>
                <w:szCs w:val="20"/>
              </w:rPr>
            </w:pPr>
            <w:r>
              <w:rPr>
                <w:rFonts w:hint="eastAsia"/>
                <w:szCs w:val="20"/>
              </w:rPr>
              <w:t>数值型，</w:t>
            </w:r>
            <w:r>
              <w:rPr>
                <w:szCs w:val="20"/>
              </w:rPr>
              <w:t>22.2</w:t>
            </w:r>
          </w:p>
        </w:tc>
        <w:tc>
          <w:tcPr>
            <w:tcW w:w="3911" w:type="dxa"/>
          </w:tcPr>
          <w:p w14:paraId="153CED42" w14:textId="77777777" w:rsidR="00A052DC" w:rsidRDefault="009F0A60">
            <w:pPr>
              <w:pStyle w:val="B"/>
              <w:rPr>
                <w:szCs w:val="20"/>
              </w:rPr>
            </w:pPr>
            <w:r>
              <w:rPr>
                <w:rFonts w:hint="eastAsia"/>
                <w:szCs w:val="20"/>
              </w:rPr>
              <w:t>必填项。</w:t>
            </w:r>
          </w:p>
        </w:tc>
      </w:tr>
      <w:tr w:rsidR="00A052DC" w14:paraId="3EA5E63D" w14:textId="77777777">
        <w:trPr>
          <w:jc w:val="center"/>
        </w:trPr>
        <w:tc>
          <w:tcPr>
            <w:tcW w:w="1134" w:type="dxa"/>
          </w:tcPr>
          <w:p w14:paraId="4966857A" w14:textId="77777777" w:rsidR="00A052DC" w:rsidRDefault="009F0A60">
            <w:pPr>
              <w:pStyle w:val="B"/>
              <w:rPr>
                <w:szCs w:val="20"/>
              </w:rPr>
            </w:pPr>
            <w:r>
              <w:rPr>
                <w:szCs w:val="20"/>
              </w:rPr>
              <w:t>B0415</w:t>
            </w:r>
          </w:p>
        </w:tc>
        <w:tc>
          <w:tcPr>
            <w:tcW w:w="2126" w:type="dxa"/>
          </w:tcPr>
          <w:p w14:paraId="7D1B7434" w14:textId="77777777" w:rsidR="00A052DC" w:rsidRDefault="009F0A60">
            <w:pPr>
              <w:pStyle w:val="B"/>
              <w:rPr>
                <w:szCs w:val="20"/>
              </w:rPr>
            </w:pPr>
            <w:r>
              <w:rPr>
                <w:rFonts w:hint="eastAsia"/>
                <w:szCs w:val="20"/>
              </w:rPr>
              <w:t>本月末市值</w:t>
            </w:r>
          </w:p>
        </w:tc>
        <w:tc>
          <w:tcPr>
            <w:tcW w:w="1417" w:type="dxa"/>
          </w:tcPr>
          <w:p w14:paraId="2145FBC2" w14:textId="77777777" w:rsidR="00A052DC" w:rsidRDefault="009F0A60">
            <w:pPr>
              <w:pStyle w:val="B"/>
              <w:rPr>
                <w:szCs w:val="20"/>
              </w:rPr>
            </w:pPr>
            <w:r>
              <w:rPr>
                <w:rFonts w:hint="eastAsia"/>
                <w:szCs w:val="20"/>
              </w:rPr>
              <w:t>数值型，</w:t>
            </w:r>
            <w:r>
              <w:rPr>
                <w:szCs w:val="20"/>
              </w:rPr>
              <w:t>22.2</w:t>
            </w:r>
          </w:p>
        </w:tc>
        <w:tc>
          <w:tcPr>
            <w:tcW w:w="3911" w:type="dxa"/>
          </w:tcPr>
          <w:p w14:paraId="14D8078A" w14:textId="77777777" w:rsidR="00A052DC" w:rsidRDefault="009F0A60">
            <w:pPr>
              <w:pStyle w:val="B"/>
              <w:rPr>
                <w:szCs w:val="20"/>
              </w:rPr>
            </w:pPr>
            <w:r>
              <w:rPr>
                <w:rFonts w:hint="eastAsia"/>
                <w:szCs w:val="20"/>
              </w:rPr>
              <w:t>必填项。原则上，</w:t>
            </w:r>
            <w:r>
              <w:rPr>
                <w:szCs w:val="20"/>
              </w:rPr>
              <w:t>“</w:t>
            </w:r>
            <w:r>
              <w:rPr>
                <w:rFonts w:hint="eastAsia"/>
                <w:szCs w:val="20"/>
              </w:rPr>
              <w:t>B0418本月末投资者持股（份额）数量</w:t>
            </w:r>
            <w:r>
              <w:rPr>
                <w:szCs w:val="20"/>
              </w:rPr>
              <w:t>”×“</w:t>
            </w:r>
            <w:r>
              <w:rPr>
                <w:rFonts w:hint="eastAsia"/>
                <w:szCs w:val="20"/>
              </w:rPr>
              <w:t>B0419本月末每股（每份）市价</w:t>
            </w:r>
            <w:r>
              <w:rPr>
                <w:szCs w:val="20"/>
              </w:rPr>
              <w:t>”=“</w:t>
            </w:r>
            <w:r>
              <w:rPr>
                <w:rFonts w:hint="eastAsia"/>
                <w:szCs w:val="20"/>
              </w:rPr>
              <w:t>B0415本月末市值</w:t>
            </w:r>
            <w:r>
              <w:rPr>
                <w:szCs w:val="20"/>
              </w:rPr>
              <w:t>”</w:t>
            </w:r>
            <w:r>
              <w:rPr>
                <w:rFonts w:hint="eastAsia"/>
                <w:szCs w:val="20"/>
              </w:rPr>
              <w:t>。考虑到报送的小数位，可允许存在少量差异。</w:t>
            </w:r>
          </w:p>
        </w:tc>
      </w:tr>
      <w:tr w:rsidR="00A052DC" w14:paraId="1AD13A54" w14:textId="77777777">
        <w:trPr>
          <w:jc w:val="center"/>
        </w:trPr>
        <w:tc>
          <w:tcPr>
            <w:tcW w:w="1134" w:type="dxa"/>
          </w:tcPr>
          <w:p w14:paraId="7D7E9955" w14:textId="77777777" w:rsidR="00A052DC" w:rsidRDefault="009F0A60">
            <w:pPr>
              <w:pStyle w:val="B"/>
              <w:rPr>
                <w:szCs w:val="20"/>
              </w:rPr>
            </w:pPr>
            <w:r>
              <w:rPr>
                <w:szCs w:val="20"/>
              </w:rPr>
              <w:t>B0416</w:t>
            </w:r>
          </w:p>
        </w:tc>
        <w:tc>
          <w:tcPr>
            <w:tcW w:w="2126" w:type="dxa"/>
          </w:tcPr>
          <w:p w14:paraId="7CCD56A6" w14:textId="77777777" w:rsidR="00A052DC" w:rsidRDefault="009F0A60">
            <w:pPr>
              <w:pStyle w:val="B"/>
              <w:rPr>
                <w:szCs w:val="20"/>
              </w:rPr>
            </w:pPr>
            <w:r>
              <w:rPr>
                <w:rFonts w:hint="eastAsia"/>
                <w:szCs w:val="20"/>
              </w:rPr>
              <w:t>本月宣告分配投资者的股息</w:t>
            </w:r>
            <w:r>
              <w:rPr>
                <w:szCs w:val="20"/>
              </w:rPr>
              <w:t>/</w:t>
            </w:r>
            <w:r>
              <w:rPr>
                <w:rFonts w:hint="eastAsia"/>
                <w:szCs w:val="20"/>
              </w:rPr>
              <w:t>红利</w:t>
            </w:r>
          </w:p>
        </w:tc>
        <w:tc>
          <w:tcPr>
            <w:tcW w:w="1417" w:type="dxa"/>
          </w:tcPr>
          <w:p w14:paraId="6C821969" w14:textId="77777777" w:rsidR="00A052DC" w:rsidRDefault="009F0A60">
            <w:pPr>
              <w:pStyle w:val="B"/>
              <w:rPr>
                <w:szCs w:val="20"/>
              </w:rPr>
            </w:pPr>
            <w:r>
              <w:rPr>
                <w:rFonts w:hint="eastAsia"/>
                <w:szCs w:val="20"/>
              </w:rPr>
              <w:t>数值型，</w:t>
            </w:r>
            <w:r>
              <w:rPr>
                <w:szCs w:val="20"/>
              </w:rPr>
              <w:t>22.2</w:t>
            </w:r>
          </w:p>
        </w:tc>
        <w:tc>
          <w:tcPr>
            <w:tcW w:w="3911" w:type="dxa"/>
          </w:tcPr>
          <w:p w14:paraId="5615BBC4" w14:textId="77777777" w:rsidR="00A052DC" w:rsidRDefault="009F0A60">
            <w:pPr>
              <w:pStyle w:val="B"/>
              <w:rPr>
                <w:szCs w:val="20"/>
              </w:rPr>
            </w:pPr>
            <w:r>
              <w:rPr>
                <w:rFonts w:hint="eastAsia"/>
                <w:szCs w:val="20"/>
              </w:rPr>
              <w:t>必填项。</w:t>
            </w:r>
          </w:p>
        </w:tc>
      </w:tr>
      <w:tr w:rsidR="00A052DC" w14:paraId="4E57EBF9" w14:textId="77777777">
        <w:trPr>
          <w:jc w:val="center"/>
        </w:trPr>
        <w:tc>
          <w:tcPr>
            <w:tcW w:w="1134" w:type="dxa"/>
          </w:tcPr>
          <w:p w14:paraId="67B7601C" w14:textId="77777777" w:rsidR="00A052DC" w:rsidRDefault="009F0A60">
            <w:pPr>
              <w:pStyle w:val="B"/>
              <w:rPr>
                <w:szCs w:val="20"/>
              </w:rPr>
            </w:pPr>
            <w:r>
              <w:rPr>
                <w:szCs w:val="20"/>
              </w:rPr>
              <w:t>B0417</w:t>
            </w:r>
          </w:p>
        </w:tc>
        <w:tc>
          <w:tcPr>
            <w:tcW w:w="2126" w:type="dxa"/>
          </w:tcPr>
          <w:p w14:paraId="00EF09D6" w14:textId="77777777" w:rsidR="00A052DC" w:rsidRDefault="009F0A60">
            <w:pPr>
              <w:pStyle w:val="B"/>
              <w:rPr>
                <w:szCs w:val="20"/>
              </w:rPr>
            </w:pPr>
            <w:r>
              <w:rPr>
                <w:rFonts w:hint="eastAsia"/>
                <w:szCs w:val="20"/>
              </w:rPr>
              <w:t>本月末未实现收益（仅限发行产品为货币市场投资基金份额</w:t>
            </w:r>
            <w:r>
              <w:rPr>
                <w:szCs w:val="20"/>
              </w:rPr>
              <w:t>/</w:t>
            </w:r>
            <w:r>
              <w:rPr>
                <w:rFonts w:hint="eastAsia"/>
                <w:szCs w:val="20"/>
              </w:rPr>
              <w:t>单位）</w:t>
            </w:r>
          </w:p>
        </w:tc>
        <w:tc>
          <w:tcPr>
            <w:tcW w:w="1417" w:type="dxa"/>
          </w:tcPr>
          <w:p w14:paraId="6D590D4A" w14:textId="77777777" w:rsidR="00A052DC" w:rsidRDefault="009F0A60">
            <w:pPr>
              <w:pStyle w:val="B"/>
              <w:rPr>
                <w:szCs w:val="20"/>
              </w:rPr>
            </w:pPr>
            <w:r>
              <w:rPr>
                <w:rFonts w:hint="eastAsia"/>
                <w:szCs w:val="20"/>
              </w:rPr>
              <w:t>数值型，</w:t>
            </w:r>
            <w:r>
              <w:rPr>
                <w:szCs w:val="20"/>
              </w:rPr>
              <w:t>22.2</w:t>
            </w:r>
          </w:p>
        </w:tc>
        <w:tc>
          <w:tcPr>
            <w:tcW w:w="3911" w:type="dxa"/>
          </w:tcPr>
          <w:p w14:paraId="0C5FB2B8" w14:textId="77777777" w:rsidR="00A052DC" w:rsidRDefault="009F0A60">
            <w:pPr>
              <w:pStyle w:val="B"/>
              <w:rPr>
                <w:szCs w:val="20"/>
              </w:rPr>
            </w:pPr>
            <w:r>
              <w:rPr>
                <w:rFonts w:hint="eastAsia"/>
                <w:szCs w:val="20"/>
              </w:rPr>
              <w:t>当</w:t>
            </w:r>
            <w:r>
              <w:rPr>
                <w:szCs w:val="20"/>
              </w:rPr>
              <w:t>B0401=3</w:t>
            </w:r>
            <w:r>
              <w:rPr>
                <w:rFonts w:hint="eastAsia"/>
                <w:szCs w:val="20"/>
              </w:rPr>
              <w:t>时，为必填项，且必须≥</w:t>
            </w:r>
            <w:r>
              <w:rPr>
                <w:szCs w:val="20"/>
              </w:rPr>
              <w:t>0</w:t>
            </w:r>
            <w:r>
              <w:rPr>
                <w:rFonts w:hint="eastAsia"/>
                <w:szCs w:val="20"/>
              </w:rPr>
              <w:t>。当</w:t>
            </w:r>
            <w:r>
              <w:rPr>
                <w:szCs w:val="20"/>
              </w:rPr>
              <w:t>B0401</w:t>
            </w:r>
            <w:r>
              <w:rPr>
                <w:rFonts w:hint="eastAsia"/>
                <w:szCs w:val="20"/>
              </w:rPr>
              <w:t>≠</w:t>
            </w:r>
            <w:r>
              <w:rPr>
                <w:szCs w:val="20"/>
              </w:rPr>
              <w:t>3</w:t>
            </w:r>
            <w:r>
              <w:rPr>
                <w:rFonts w:hint="eastAsia"/>
                <w:szCs w:val="20"/>
              </w:rPr>
              <w:t>时，则为</w:t>
            </w:r>
            <w:r>
              <w:rPr>
                <w:szCs w:val="20"/>
              </w:rPr>
              <w:t>0</w:t>
            </w:r>
            <w:r>
              <w:rPr>
                <w:rFonts w:hint="eastAsia"/>
                <w:szCs w:val="20"/>
              </w:rPr>
              <w:t>。</w:t>
            </w:r>
          </w:p>
        </w:tc>
      </w:tr>
      <w:tr w:rsidR="00A052DC" w14:paraId="3BD28059" w14:textId="77777777">
        <w:trPr>
          <w:jc w:val="center"/>
        </w:trPr>
        <w:tc>
          <w:tcPr>
            <w:tcW w:w="1134" w:type="dxa"/>
          </w:tcPr>
          <w:p w14:paraId="1E0492F7" w14:textId="77777777" w:rsidR="00A052DC" w:rsidRDefault="009F0A60">
            <w:pPr>
              <w:pStyle w:val="B"/>
              <w:rPr>
                <w:szCs w:val="20"/>
              </w:rPr>
            </w:pPr>
            <w:r>
              <w:rPr>
                <w:szCs w:val="20"/>
              </w:rPr>
              <w:t>B0418</w:t>
            </w:r>
          </w:p>
        </w:tc>
        <w:tc>
          <w:tcPr>
            <w:tcW w:w="2126" w:type="dxa"/>
          </w:tcPr>
          <w:p w14:paraId="3086C999" w14:textId="77777777" w:rsidR="00A052DC" w:rsidRDefault="009F0A60">
            <w:pPr>
              <w:pStyle w:val="B"/>
              <w:rPr>
                <w:szCs w:val="20"/>
              </w:rPr>
            </w:pPr>
            <w:r>
              <w:rPr>
                <w:rFonts w:hint="eastAsia"/>
                <w:szCs w:val="20"/>
              </w:rPr>
              <w:t>本月末投资者持股（份额）数量</w:t>
            </w:r>
          </w:p>
        </w:tc>
        <w:tc>
          <w:tcPr>
            <w:tcW w:w="1417" w:type="dxa"/>
          </w:tcPr>
          <w:p w14:paraId="3DF0D171" w14:textId="77777777" w:rsidR="00A052DC" w:rsidRDefault="009F0A60">
            <w:pPr>
              <w:pStyle w:val="B"/>
              <w:rPr>
                <w:szCs w:val="20"/>
              </w:rPr>
            </w:pPr>
            <w:r>
              <w:rPr>
                <w:rFonts w:hint="eastAsia"/>
                <w:szCs w:val="20"/>
              </w:rPr>
              <w:t>长整数型</w:t>
            </w:r>
          </w:p>
        </w:tc>
        <w:tc>
          <w:tcPr>
            <w:tcW w:w="3911" w:type="dxa"/>
          </w:tcPr>
          <w:p w14:paraId="5A9FB43D" w14:textId="77777777" w:rsidR="00A052DC" w:rsidRDefault="009F0A60">
            <w:pPr>
              <w:pStyle w:val="B"/>
              <w:rPr>
                <w:szCs w:val="20"/>
              </w:rPr>
            </w:pPr>
            <w:r>
              <w:rPr>
                <w:rFonts w:hint="eastAsia"/>
                <w:szCs w:val="20"/>
              </w:rPr>
              <w:t>必填项。</w:t>
            </w:r>
          </w:p>
        </w:tc>
      </w:tr>
      <w:tr w:rsidR="00A052DC" w14:paraId="14D298CE" w14:textId="77777777">
        <w:trPr>
          <w:jc w:val="center"/>
        </w:trPr>
        <w:tc>
          <w:tcPr>
            <w:tcW w:w="1134" w:type="dxa"/>
          </w:tcPr>
          <w:p w14:paraId="1592974C" w14:textId="77777777" w:rsidR="00A052DC" w:rsidRDefault="009F0A60">
            <w:pPr>
              <w:pStyle w:val="B"/>
              <w:rPr>
                <w:szCs w:val="20"/>
              </w:rPr>
            </w:pPr>
            <w:r>
              <w:rPr>
                <w:szCs w:val="20"/>
              </w:rPr>
              <w:t>B0419</w:t>
            </w:r>
          </w:p>
        </w:tc>
        <w:tc>
          <w:tcPr>
            <w:tcW w:w="2126" w:type="dxa"/>
          </w:tcPr>
          <w:p w14:paraId="33C30498" w14:textId="77777777" w:rsidR="00A052DC" w:rsidRDefault="009F0A60">
            <w:pPr>
              <w:pStyle w:val="B"/>
              <w:rPr>
                <w:szCs w:val="20"/>
              </w:rPr>
            </w:pPr>
            <w:r>
              <w:rPr>
                <w:rFonts w:hint="eastAsia"/>
                <w:szCs w:val="20"/>
              </w:rPr>
              <w:t>本月末每股（每份）市价</w:t>
            </w:r>
          </w:p>
        </w:tc>
        <w:tc>
          <w:tcPr>
            <w:tcW w:w="1417" w:type="dxa"/>
          </w:tcPr>
          <w:p w14:paraId="5B9407B8" w14:textId="77777777" w:rsidR="00A052DC" w:rsidRDefault="009F0A60">
            <w:pPr>
              <w:pStyle w:val="B"/>
              <w:rPr>
                <w:szCs w:val="20"/>
              </w:rPr>
            </w:pPr>
            <w:r>
              <w:rPr>
                <w:rFonts w:hint="eastAsia"/>
                <w:szCs w:val="20"/>
              </w:rPr>
              <w:t>数值型，</w:t>
            </w:r>
            <w:r>
              <w:rPr>
                <w:szCs w:val="20"/>
              </w:rPr>
              <w:t>22.2</w:t>
            </w:r>
          </w:p>
        </w:tc>
        <w:tc>
          <w:tcPr>
            <w:tcW w:w="3911" w:type="dxa"/>
          </w:tcPr>
          <w:p w14:paraId="58F90924" w14:textId="77777777" w:rsidR="00A052DC" w:rsidRDefault="009F0A60">
            <w:pPr>
              <w:pStyle w:val="B"/>
              <w:rPr>
                <w:szCs w:val="20"/>
              </w:rPr>
            </w:pPr>
            <w:r>
              <w:rPr>
                <w:rFonts w:hint="eastAsia"/>
                <w:szCs w:val="20"/>
              </w:rPr>
              <w:t>必填项。</w:t>
            </w:r>
          </w:p>
          <w:p w14:paraId="64E0881C" w14:textId="77777777" w:rsidR="00A052DC" w:rsidRDefault="009F0A60">
            <w:pPr>
              <w:rPr>
                <w:rFonts w:ascii="黑体" w:eastAsia="黑体" w:hAnsi="黑体"/>
                <w:sz w:val="20"/>
                <w:szCs w:val="20"/>
              </w:rPr>
            </w:pPr>
            <w:r>
              <w:rPr>
                <w:rFonts w:ascii="黑体" w:eastAsia="黑体" w:hAnsi="黑体" w:hint="eastAsia"/>
                <w:kern w:val="0"/>
                <w:sz w:val="20"/>
                <w:szCs w:val="20"/>
              </w:rPr>
              <w:t>原则上，“B0418本月末投资者持股（份额）数量”×“B0419本月末每股（每份）市价”=“B0415本月末市值”。考虑到报送的小数位，可允许存在少量差异。</w:t>
            </w:r>
          </w:p>
        </w:tc>
      </w:tr>
      <w:tr w:rsidR="00A052DC" w14:paraId="2A8FE2D9" w14:textId="77777777">
        <w:trPr>
          <w:jc w:val="center"/>
        </w:trPr>
        <w:tc>
          <w:tcPr>
            <w:tcW w:w="1134" w:type="dxa"/>
          </w:tcPr>
          <w:p w14:paraId="6E3CC943" w14:textId="77777777" w:rsidR="00A052DC" w:rsidRDefault="009F0A60">
            <w:pPr>
              <w:pStyle w:val="B"/>
              <w:rPr>
                <w:szCs w:val="20"/>
              </w:rPr>
            </w:pPr>
            <w:r>
              <w:rPr>
                <w:szCs w:val="20"/>
              </w:rPr>
              <w:t>B0420</w:t>
            </w:r>
          </w:p>
        </w:tc>
        <w:tc>
          <w:tcPr>
            <w:tcW w:w="2126" w:type="dxa"/>
          </w:tcPr>
          <w:p w14:paraId="2D01F28C" w14:textId="77777777" w:rsidR="00A052DC" w:rsidRDefault="009F0A60">
            <w:pPr>
              <w:pStyle w:val="B"/>
              <w:rPr>
                <w:szCs w:val="20"/>
              </w:rPr>
            </w:pPr>
            <w:r>
              <w:rPr>
                <w:rFonts w:hint="eastAsia"/>
                <w:szCs w:val="20"/>
              </w:rPr>
              <w:t>本月末投资者持股（份额）比例</w:t>
            </w:r>
          </w:p>
        </w:tc>
        <w:tc>
          <w:tcPr>
            <w:tcW w:w="1417" w:type="dxa"/>
          </w:tcPr>
          <w:p w14:paraId="3EC2AB38" w14:textId="77777777" w:rsidR="00A052DC" w:rsidRDefault="009F0A60">
            <w:pPr>
              <w:pStyle w:val="B"/>
              <w:rPr>
                <w:szCs w:val="20"/>
              </w:rPr>
            </w:pPr>
            <w:r>
              <w:rPr>
                <w:rFonts w:hint="eastAsia"/>
                <w:szCs w:val="20"/>
              </w:rPr>
              <w:t>数值型，</w:t>
            </w:r>
            <w:r>
              <w:rPr>
                <w:szCs w:val="20"/>
              </w:rPr>
              <w:t>22.2</w:t>
            </w:r>
          </w:p>
        </w:tc>
        <w:tc>
          <w:tcPr>
            <w:tcW w:w="3911" w:type="dxa"/>
          </w:tcPr>
          <w:p w14:paraId="4D2F4C53" w14:textId="77777777" w:rsidR="00A052DC" w:rsidRDefault="009F0A60">
            <w:pPr>
              <w:pStyle w:val="B"/>
              <w:rPr>
                <w:szCs w:val="20"/>
              </w:rPr>
            </w:pPr>
            <w:r>
              <w:rPr>
                <w:rFonts w:hint="eastAsia"/>
                <w:szCs w:val="20"/>
              </w:rPr>
              <w:t>必填项，</w:t>
            </w:r>
            <w:r>
              <w:rPr>
                <w:szCs w:val="20"/>
              </w:rPr>
              <w:t>0</w:t>
            </w:r>
            <w:r>
              <w:rPr>
                <w:rFonts w:hint="eastAsia"/>
                <w:szCs w:val="20"/>
              </w:rPr>
              <w:t>≤</w:t>
            </w:r>
            <w:r>
              <w:rPr>
                <w:szCs w:val="20"/>
              </w:rPr>
              <w:t>B0420</w:t>
            </w:r>
            <w:r>
              <w:rPr>
                <w:rFonts w:hint="eastAsia"/>
                <w:szCs w:val="20"/>
              </w:rPr>
              <w:t>≤</w:t>
            </w:r>
            <w:r>
              <w:rPr>
                <w:szCs w:val="20"/>
              </w:rPr>
              <w:t>100</w:t>
            </w:r>
            <w:r>
              <w:rPr>
                <w:rFonts w:hint="eastAsia"/>
                <w:szCs w:val="20"/>
              </w:rPr>
              <w:t>，精确到小数点后</w:t>
            </w:r>
            <w:r>
              <w:rPr>
                <w:szCs w:val="20"/>
              </w:rPr>
              <w:t>2</w:t>
            </w:r>
            <w:r>
              <w:rPr>
                <w:rFonts w:hint="eastAsia"/>
                <w:szCs w:val="20"/>
              </w:rPr>
              <w:t>位。</w:t>
            </w:r>
          </w:p>
        </w:tc>
      </w:tr>
      <w:tr w:rsidR="00A052DC" w14:paraId="4FA0B8D8" w14:textId="77777777">
        <w:trPr>
          <w:jc w:val="center"/>
        </w:trPr>
        <w:tc>
          <w:tcPr>
            <w:tcW w:w="1134" w:type="dxa"/>
          </w:tcPr>
          <w:p w14:paraId="6CFE5860" w14:textId="77777777" w:rsidR="00A052DC" w:rsidRDefault="009F0A60">
            <w:pPr>
              <w:pStyle w:val="B"/>
              <w:rPr>
                <w:szCs w:val="20"/>
              </w:rPr>
            </w:pPr>
            <w:r>
              <w:rPr>
                <w:szCs w:val="20"/>
              </w:rPr>
              <w:t>REMARK</w:t>
            </w:r>
          </w:p>
        </w:tc>
        <w:tc>
          <w:tcPr>
            <w:tcW w:w="2126" w:type="dxa"/>
          </w:tcPr>
          <w:p w14:paraId="749147E5" w14:textId="77777777" w:rsidR="00A052DC" w:rsidRDefault="009F0A60">
            <w:pPr>
              <w:pStyle w:val="B"/>
              <w:rPr>
                <w:szCs w:val="20"/>
              </w:rPr>
            </w:pPr>
            <w:r>
              <w:rPr>
                <w:rFonts w:hint="eastAsia"/>
                <w:szCs w:val="20"/>
              </w:rPr>
              <w:t>备注</w:t>
            </w:r>
          </w:p>
        </w:tc>
        <w:tc>
          <w:tcPr>
            <w:tcW w:w="1417" w:type="dxa"/>
          </w:tcPr>
          <w:p w14:paraId="04800120" w14:textId="77777777" w:rsidR="00A052DC" w:rsidRDefault="009F0A60">
            <w:pPr>
              <w:pStyle w:val="B"/>
              <w:rPr>
                <w:szCs w:val="20"/>
              </w:rPr>
            </w:pPr>
            <w:r>
              <w:rPr>
                <w:rFonts w:hint="eastAsia"/>
                <w:szCs w:val="20"/>
              </w:rPr>
              <w:t>字符型，</w:t>
            </w:r>
            <w:r>
              <w:rPr>
                <w:szCs w:val="20"/>
              </w:rPr>
              <w:t>256</w:t>
            </w:r>
          </w:p>
        </w:tc>
        <w:tc>
          <w:tcPr>
            <w:tcW w:w="3911" w:type="dxa"/>
          </w:tcPr>
          <w:p w14:paraId="3DB7CF83" w14:textId="77777777" w:rsidR="00A052DC" w:rsidRDefault="009F0A60">
            <w:pPr>
              <w:pStyle w:val="B"/>
              <w:rPr>
                <w:szCs w:val="20"/>
              </w:rPr>
            </w:pPr>
            <w:r>
              <w:rPr>
                <w:rFonts w:hint="eastAsia"/>
                <w:szCs w:val="20"/>
              </w:rPr>
              <w:t>当B0420≥10（%）时或B0409、B0415、B0416任一项为负数时为必填项。</w:t>
            </w:r>
          </w:p>
        </w:tc>
      </w:tr>
    </w:tbl>
    <w:p w14:paraId="63E011A8" w14:textId="77777777" w:rsidR="00A052DC" w:rsidRDefault="00A052DC"/>
    <w:p w14:paraId="2612360C" w14:textId="77777777" w:rsidR="00A052DC" w:rsidRDefault="009F0A60" w:rsidP="0020251D">
      <w:pPr>
        <w:pStyle w:val="3"/>
        <w:ind w:left="0"/>
        <w:rPr>
          <w:rFonts w:ascii="Times New Roman" w:hAnsi="Times New Roman"/>
        </w:rPr>
      </w:pPr>
      <w:bookmarkStart w:id="3122" w:name="_Toc91455313"/>
      <w:bookmarkStart w:id="3123" w:name="_Toc380356286"/>
      <w:bookmarkStart w:id="3124" w:name="_Toc380570939"/>
      <w:bookmarkStart w:id="3125" w:name="_Toc454391276"/>
      <w:bookmarkStart w:id="3126" w:name="_Toc101684486"/>
      <w:r>
        <w:rPr>
          <w:rFonts w:ascii="Times New Roman" w:hAnsi="Times New Roman"/>
        </w:rPr>
        <w:t>B05</w:t>
      </w:r>
      <w:r>
        <w:rPr>
          <w:rFonts w:ascii="Times New Roman" w:hAnsi="Times New Roman" w:hint="eastAsia"/>
        </w:rPr>
        <w:t>表：境外发行债务证券（负债）</w:t>
      </w:r>
      <w:bookmarkEnd w:id="3122"/>
      <w:bookmarkEnd w:id="3123"/>
      <w:bookmarkEnd w:id="3124"/>
      <w:bookmarkEnd w:id="3125"/>
      <w:bookmarkEnd w:id="3126"/>
    </w:p>
    <w:p w14:paraId="23B01FEF" w14:textId="77777777" w:rsidR="00A052DC" w:rsidRDefault="009F0A60" w:rsidP="0020251D">
      <w:pPr>
        <w:pStyle w:val="4"/>
        <w:numPr>
          <w:ilvl w:val="3"/>
          <w:numId w:val="1"/>
        </w:numPr>
        <w:jc w:val="left"/>
      </w:pPr>
      <w:bookmarkStart w:id="3127" w:name="_Toc454391277"/>
      <w:bookmarkStart w:id="3128" w:name="_Toc380570940"/>
      <w:r>
        <w:rPr>
          <w:rFonts w:hint="eastAsia"/>
        </w:rPr>
        <w:t>数据术语解释</w:t>
      </w:r>
      <w:bookmarkEnd w:id="3127"/>
      <w:bookmarkEnd w:id="3128"/>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7087"/>
      </w:tblGrid>
      <w:tr w:rsidR="00A052DC" w14:paraId="1BA7C676" w14:textId="77777777">
        <w:trPr>
          <w:cantSplit/>
        </w:trPr>
        <w:tc>
          <w:tcPr>
            <w:tcW w:w="1526" w:type="dxa"/>
          </w:tcPr>
          <w:p w14:paraId="36C5E8CB" w14:textId="77777777" w:rsidR="00A052DC" w:rsidRDefault="009F0A60">
            <w:pPr>
              <w:pStyle w:val="B1"/>
            </w:pPr>
            <w:r>
              <w:rPr>
                <w:rFonts w:hint="eastAsia"/>
              </w:rPr>
              <w:t>基础数据项</w:t>
            </w:r>
          </w:p>
        </w:tc>
        <w:tc>
          <w:tcPr>
            <w:tcW w:w="7087" w:type="dxa"/>
          </w:tcPr>
          <w:p w14:paraId="61808CD6" w14:textId="77777777" w:rsidR="00A052DC" w:rsidRDefault="009F0A60">
            <w:pPr>
              <w:pStyle w:val="B1"/>
            </w:pPr>
            <w:r>
              <w:rPr>
                <w:rFonts w:hint="eastAsia"/>
              </w:rPr>
              <w:t>定义</w:t>
            </w:r>
          </w:p>
        </w:tc>
      </w:tr>
      <w:tr w:rsidR="00A052DC" w14:paraId="3EB6D678" w14:textId="77777777">
        <w:trPr>
          <w:cantSplit/>
        </w:trPr>
        <w:tc>
          <w:tcPr>
            <w:tcW w:w="1526" w:type="dxa"/>
          </w:tcPr>
          <w:p w14:paraId="0E7552BE" w14:textId="77777777" w:rsidR="00A052DC" w:rsidRDefault="009F0A60">
            <w:pPr>
              <w:pStyle w:val="B"/>
              <w:rPr>
                <w:szCs w:val="20"/>
              </w:rPr>
            </w:pPr>
            <w:r>
              <w:rPr>
                <w:rFonts w:hint="eastAsia"/>
                <w:szCs w:val="20"/>
              </w:rPr>
              <w:t>数据自编码</w:t>
            </w:r>
          </w:p>
        </w:tc>
        <w:tc>
          <w:tcPr>
            <w:tcW w:w="7087" w:type="dxa"/>
          </w:tcPr>
          <w:p w14:paraId="45F40D81" w14:textId="77777777" w:rsidR="00A052DC" w:rsidRDefault="009F0A60">
            <w:pPr>
              <w:pStyle w:val="B"/>
              <w:rPr>
                <w:szCs w:val="20"/>
              </w:rPr>
            </w:pPr>
            <w:r>
              <w:rPr>
                <w:rFonts w:hint="eastAsia"/>
                <w:szCs w:val="20"/>
              </w:rPr>
              <w:t>该编码用于标识金融机构报送的每一条数据，按给定规则编码，便于进行增删改查等操作。建议规则：机构代码（18位，不足18位补</w:t>
            </w:r>
            <w:r>
              <w:rPr>
                <w:szCs w:val="20"/>
              </w:rPr>
              <w:t>a</w:t>
            </w:r>
            <w:r>
              <w:rPr>
                <w:rFonts w:hint="eastAsia"/>
                <w:szCs w:val="20"/>
              </w:rPr>
              <w:t>）</w:t>
            </w:r>
            <w:r>
              <w:rPr>
                <w:szCs w:val="20"/>
              </w:rPr>
              <w:t>+</w:t>
            </w:r>
            <w:r>
              <w:rPr>
                <w:rFonts w:hint="eastAsia"/>
                <w:szCs w:val="20"/>
              </w:rPr>
              <w:t>报表代码（</w:t>
            </w:r>
            <w:r>
              <w:rPr>
                <w:szCs w:val="20"/>
              </w:rPr>
              <w:t>5</w:t>
            </w:r>
            <w:r>
              <w:rPr>
                <w:rFonts w:hint="eastAsia"/>
                <w:szCs w:val="20"/>
              </w:rPr>
              <w:t>位，不足</w:t>
            </w:r>
            <w:r>
              <w:rPr>
                <w:szCs w:val="20"/>
              </w:rPr>
              <w:t>5</w:t>
            </w:r>
            <w:r>
              <w:rPr>
                <w:rFonts w:hint="eastAsia"/>
                <w:szCs w:val="20"/>
              </w:rPr>
              <w:t>位补</w:t>
            </w:r>
            <w:r>
              <w:rPr>
                <w:szCs w:val="20"/>
              </w:rPr>
              <w:t>a</w:t>
            </w:r>
            <w:r>
              <w:rPr>
                <w:rFonts w:hint="eastAsia"/>
                <w:szCs w:val="20"/>
              </w:rPr>
              <w:t>）</w:t>
            </w:r>
            <w:r>
              <w:rPr>
                <w:szCs w:val="20"/>
              </w:rPr>
              <w:t>+</w:t>
            </w:r>
            <w:r>
              <w:rPr>
                <w:rFonts w:hint="eastAsia"/>
                <w:szCs w:val="20"/>
              </w:rPr>
              <w:t>报送期（</w:t>
            </w:r>
            <w:r>
              <w:rPr>
                <w:szCs w:val="20"/>
              </w:rPr>
              <w:t>6</w:t>
            </w:r>
            <w:r>
              <w:rPr>
                <w:rFonts w:hint="eastAsia"/>
                <w:szCs w:val="20"/>
              </w:rPr>
              <w:t>位）</w:t>
            </w:r>
            <w:r>
              <w:rPr>
                <w:szCs w:val="20"/>
              </w:rPr>
              <w:t>+</w:t>
            </w:r>
            <w:r>
              <w:rPr>
                <w:rFonts w:hint="eastAsia"/>
                <w:szCs w:val="20"/>
              </w:rPr>
              <w:t>顺序号（</w:t>
            </w:r>
            <w:r>
              <w:rPr>
                <w:szCs w:val="20"/>
              </w:rPr>
              <w:t>7</w:t>
            </w:r>
            <w:r>
              <w:rPr>
                <w:rFonts w:hint="eastAsia"/>
                <w:szCs w:val="20"/>
              </w:rPr>
              <w:t>位，从</w:t>
            </w:r>
            <w:r>
              <w:rPr>
                <w:szCs w:val="20"/>
              </w:rPr>
              <w:t>0000001</w:t>
            </w:r>
            <w:r>
              <w:rPr>
                <w:rFonts w:hint="eastAsia"/>
                <w:szCs w:val="20"/>
              </w:rPr>
              <w:t>开始增加）。</w:t>
            </w:r>
          </w:p>
        </w:tc>
      </w:tr>
      <w:tr w:rsidR="00A052DC" w14:paraId="6790537A" w14:textId="77777777">
        <w:trPr>
          <w:cantSplit/>
        </w:trPr>
        <w:tc>
          <w:tcPr>
            <w:tcW w:w="1526" w:type="dxa"/>
          </w:tcPr>
          <w:p w14:paraId="074E93D0" w14:textId="77777777" w:rsidR="00A052DC" w:rsidRDefault="009F0A60">
            <w:pPr>
              <w:pStyle w:val="B"/>
              <w:rPr>
                <w:szCs w:val="20"/>
              </w:rPr>
            </w:pPr>
            <w:r>
              <w:rPr>
                <w:rFonts w:hint="eastAsia"/>
                <w:szCs w:val="20"/>
              </w:rPr>
              <w:t>申报主体代码</w:t>
            </w:r>
          </w:p>
        </w:tc>
        <w:tc>
          <w:tcPr>
            <w:tcW w:w="7087" w:type="dxa"/>
          </w:tcPr>
          <w:p w14:paraId="6C893A59" w14:textId="77777777" w:rsidR="00A052DC" w:rsidRDefault="009F0A60">
            <w:pPr>
              <w:pStyle w:val="B"/>
              <w:rPr>
                <w:szCs w:val="20"/>
              </w:rPr>
            </w:pPr>
            <w:r>
              <w:rPr>
                <w:rFonts w:hint="eastAsia"/>
                <w:szCs w:val="20"/>
              </w:rPr>
              <w:t>申报主体的12位金融机构标识码，如果没有金融机构标识码，则填报统一社会信用代码法定载体（如营业执照）上统一社会信用代码中的第9至17位或国家外汇管理局及其分支局签发的特殊机构代码赋码通知书上的机构代码、个人身份代码。</w:t>
            </w:r>
          </w:p>
        </w:tc>
      </w:tr>
      <w:tr w:rsidR="00A052DC" w14:paraId="005E1916" w14:textId="77777777">
        <w:trPr>
          <w:cantSplit/>
        </w:trPr>
        <w:tc>
          <w:tcPr>
            <w:tcW w:w="1526" w:type="dxa"/>
          </w:tcPr>
          <w:p w14:paraId="26DF65EF" w14:textId="77777777" w:rsidR="00A052DC" w:rsidRDefault="009F0A60">
            <w:pPr>
              <w:pStyle w:val="B"/>
              <w:rPr>
                <w:szCs w:val="20"/>
              </w:rPr>
            </w:pPr>
            <w:r>
              <w:rPr>
                <w:rFonts w:hint="eastAsia"/>
                <w:szCs w:val="20"/>
              </w:rPr>
              <w:t>报告期</w:t>
            </w:r>
          </w:p>
        </w:tc>
        <w:tc>
          <w:tcPr>
            <w:tcW w:w="7087" w:type="dxa"/>
          </w:tcPr>
          <w:p w14:paraId="635649E7" w14:textId="77777777" w:rsidR="00A052DC" w:rsidRDefault="009F0A60">
            <w:pPr>
              <w:pStyle w:val="B"/>
              <w:rPr>
                <w:szCs w:val="20"/>
              </w:rPr>
            </w:pPr>
            <w:r>
              <w:rPr>
                <w:rFonts w:hint="eastAsia"/>
                <w:szCs w:val="20"/>
              </w:rPr>
              <w:t>业务发生月份，格式为</w:t>
            </w:r>
            <w:r>
              <w:rPr>
                <w:szCs w:val="20"/>
              </w:rPr>
              <w:t>YYYYMM</w:t>
            </w:r>
            <w:r>
              <w:rPr>
                <w:rFonts w:hint="eastAsia"/>
                <w:szCs w:val="20"/>
              </w:rPr>
              <w:t>。</w:t>
            </w:r>
          </w:p>
        </w:tc>
      </w:tr>
      <w:tr w:rsidR="00A052DC" w14:paraId="100F366D" w14:textId="77777777">
        <w:trPr>
          <w:cantSplit/>
        </w:trPr>
        <w:tc>
          <w:tcPr>
            <w:tcW w:w="1526" w:type="dxa"/>
          </w:tcPr>
          <w:p w14:paraId="34F4FF44" w14:textId="77777777" w:rsidR="00A052DC" w:rsidRDefault="009F0A60">
            <w:pPr>
              <w:pStyle w:val="B"/>
              <w:rPr>
                <w:szCs w:val="20"/>
              </w:rPr>
            </w:pPr>
            <w:r>
              <w:rPr>
                <w:rFonts w:hint="eastAsia"/>
                <w:szCs w:val="20"/>
              </w:rPr>
              <w:t>外债编号</w:t>
            </w:r>
          </w:p>
        </w:tc>
        <w:tc>
          <w:tcPr>
            <w:tcW w:w="7087" w:type="dxa"/>
          </w:tcPr>
          <w:p w14:paraId="35F195DE" w14:textId="77777777" w:rsidR="00A052DC" w:rsidRDefault="009F0A60">
            <w:pPr>
              <w:pStyle w:val="B"/>
              <w:rPr>
                <w:szCs w:val="20"/>
              </w:rPr>
            </w:pPr>
            <w:r>
              <w:rPr>
                <w:rFonts w:hint="eastAsia"/>
                <w:szCs w:val="20"/>
              </w:rPr>
              <w:t>该笔债务证券业务对应的银行自身外债（或非银行金融机构外债）的货币市场工具、债券和票据类业务的外债编号。此外债编号必须为银行自身外债签约信息中已经报送的外债编号，或非银行金融机构已在外汇局登记的外债签约信息中的外债编号。</w:t>
            </w:r>
          </w:p>
        </w:tc>
      </w:tr>
      <w:tr w:rsidR="00A052DC" w14:paraId="31083882" w14:textId="77777777">
        <w:trPr>
          <w:cantSplit/>
        </w:trPr>
        <w:tc>
          <w:tcPr>
            <w:tcW w:w="1526" w:type="dxa"/>
          </w:tcPr>
          <w:p w14:paraId="32A79FBB" w14:textId="77777777" w:rsidR="00A052DC" w:rsidRDefault="009F0A60">
            <w:pPr>
              <w:pStyle w:val="B"/>
              <w:widowControl w:val="0"/>
              <w:rPr>
                <w:szCs w:val="20"/>
              </w:rPr>
            </w:pPr>
            <w:r>
              <w:rPr>
                <w:rFonts w:hint="eastAsia"/>
                <w:szCs w:val="20"/>
              </w:rPr>
              <w:t>证券代码</w:t>
            </w:r>
          </w:p>
        </w:tc>
        <w:tc>
          <w:tcPr>
            <w:tcW w:w="7087" w:type="dxa"/>
          </w:tcPr>
          <w:p w14:paraId="63A7A23F" w14:textId="77777777" w:rsidR="00A052DC" w:rsidRDefault="009F0A60">
            <w:pPr>
              <w:pStyle w:val="B"/>
              <w:widowControl w:val="0"/>
              <w:rPr>
                <w:szCs w:val="20"/>
              </w:rPr>
            </w:pPr>
            <w:r>
              <w:rPr>
                <w:rFonts w:hint="eastAsia"/>
                <w:szCs w:val="20"/>
              </w:rPr>
              <w:t>指本机构在境外发行的债务证券代码。如有国际证券代码（</w:t>
            </w:r>
            <w:r>
              <w:rPr>
                <w:szCs w:val="20"/>
              </w:rPr>
              <w:t>International Securities Identification Number,</w:t>
            </w:r>
            <w:r>
              <w:rPr>
                <w:rFonts w:hint="eastAsia"/>
                <w:szCs w:val="20"/>
              </w:rPr>
              <w:t>简称</w:t>
            </w:r>
            <w:r>
              <w:rPr>
                <w:szCs w:val="20"/>
              </w:rPr>
              <w:t>ISIN</w:t>
            </w:r>
            <w:r>
              <w:rPr>
                <w:rFonts w:hint="eastAsia"/>
                <w:szCs w:val="20"/>
              </w:rPr>
              <w:t>码），应优先填写该代码。如无</w:t>
            </w:r>
            <w:r>
              <w:rPr>
                <w:szCs w:val="20"/>
              </w:rPr>
              <w:t>ISIN</w:t>
            </w:r>
            <w:r>
              <w:rPr>
                <w:rFonts w:hint="eastAsia"/>
                <w:szCs w:val="20"/>
              </w:rPr>
              <w:t>码，应按照相关市场唯一通用的编码填列。</w:t>
            </w:r>
          </w:p>
        </w:tc>
      </w:tr>
      <w:tr w:rsidR="00A052DC" w14:paraId="0C07F8C4" w14:textId="77777777">
        <w:trPr>
          <w:cantSplit/>
        </w:trPr>
        <w:tc>
          <w:tcPr>
            <w:tcW w:w="1526" w:type="dxa"/>
          </w:tcPr>
          <w:p w14:paraId="236CA31A" w14:textId="77777777" w:rsidR="00A052DC" w:rsidRDefault="009F0A60">
            <w:pPr>
              <w:pStyle w:val="B"/>
              <w:widowControl w:val="0"/>
              <w:rPr>
                <w:szCs w:val="20"/>
              </w:rPr>
            </w:pPr>
            <w:r>
              <w:rPr>
                <w:rFonts w:hint="eastAsia"/>
                <w:szCs w:val="20"/>
              </w:rPr>
              <w:t>发行地</w:t>
            </w:r>
          </w:p>
        </w:tc>
        <w:tc>
          <w:tcPr>
            <w:tcW w:w="7087" w:type="dxa"/>
          </w:tcPr>
          <w:p w14:paraId="19B9E80D" w14:textId="77777777" w:rsidR="00A052DC" w:rsidRDefault="009F0A60">
            <w:pPr>
              <w:pStyle w:val="B"/>
              <w:widowControl w:val="0"/>
              <w:rPr>
                <w:szCs w:val="20"/>
              </w:rPr>
            </w:pPr>
            <w:r>
              <w:rPr>
                <w:rFonts w:hint="eastAsia"/>
                <w:szCs w:val="20"/>
              </w:rPr>
              <w:t>见国别和地区代码表，相关债务证券发行场所所在的国家</w:t>
            </w:r>
            <w:r>
              <w:rPr>
                <w:szCs w:val="20"/>
              </w:rPr>
              <w:t>/</w:t>
            </w:r>
            <w:r>
              <w:rPr>
                <w:rFonts w:hint="eastAsia"/>
                <w:szCs w:val="20"/>
              </w:rPr>
              <w:t>地区代码，即债券和票据发行地的国家（地区）代码。</w:t>
            </w:r>
          </w:p>
        </w:tc>
      </w:tr>
      <w:tr w:rsidR="00A052DC" w14:paraId="4D7DE730" w14:textId="77777777">
        <w:trPr>
          <w:cantSplit/>
        </w:trPr>
        <w:tc>
          <w:tcPr>
            <w:tcW w:w="1526" w:type="dxa"/>
          </w:tcPr>
          <w:p w14:paraId="28DF39F7" w14:textId="77777777" w:rsidR="00A052DC" w:rsidRDefault="009F0A60">
            <w:pPr>
              <w:pStyle w:val="B"/>
              <w:widowControl w:val="0"/>
              <w:rPr>
                <w:szCs w:val="20"/>
              </w:rPr>
            </w:pPr>
            <w:r>
              <w:rPr>
                <w:rFonts w:hint="eastAsia"/>
                <w:szCs w:val="20"/>
              </w:rPr>
              <w:t>原始期限</w:t>
            </w:r>
          </w:p>
        </w:tc>
        <w:tc>
          <w:tcPr>
            <w:tcW w:w="7087" w:type="dxa"/>
          </w:tcPr>
          <w:p w14:paraId="16BF8C81" w14:textId="77777777" w:rsidR="00A052DC" w:rsidRDefault="009F0A60">
            <w:pPr>
              <w:pStyle w:val="B"/>
              <w:widowControl w:val="0"/>
              <w:rPr>
                <w:szCs w:val="20"/>
              </w:rPr>
            </w:pPr>
            <w:r>
              <w:rPr>
                <w:rFonts w:hint="eastAsia"/>
                <w:szCs w:val="20"/>
              </w:rPr>
              <w:t>债务证券从初始发行至最终到期的期限。请按以下两种情况填列：</w:t>
            </w:r>
            <w:r>
              <w:rPr>
                <w:szCs w:val="20"/>
              </w:rPr>
              <w:t>1-</w:t>
            </w:r>
            <w:r>
              <w:rPr>
                <w:rFonts w:hint="eastAsia"/>
                <w:szCs w:val="20"/>
              </w:rPr>
              <w:t>一年及以下、</w:t>
            </w:r>
            <w:r>
              <w:rPr>
                <w:szCs w:val="20"/>
              </w:rPr>
              <w:t>2-</w:t>
            </w:r>
            <w:r>
              <w:rPr>
                <w:rFonts w:hint="eastAsia"/>
                <w:szCs w:val="20"/>
              </w:rPr>
              <w:t>一年以上。如发生债务证券拖欠或展期的，应按照双方确定的期限计算。如双方无安排，应按原期限归类。</w:t>
            </w:r>
          </w:p>
        </w:tc>
      </w:tr>
      <w:tr w:rsidR="00A052DC" w14:paraId="653D929E" w14:textId="77777777">
        <w:trPr>
          <w:cantSplit/>
        </w:trPr>
        <w:tc>
          <w:tcPr>
            <w:tcW w:w="1526" w:type="dxa"/>
          </w:tcPr>
          <w:p w14:paraId="721AEA5C" w14:textId="77777777" w:rsidR="00A052DC" w:rsidRDefault="009F0A60">
            <w:pPr>
              <w:pStyle w:val="B"/>
              <w:widowControl w:val="0"/>
              <w:rPr>
                <w:szCs w:val="20"/>
              </w:rPr>
            </w:pPr>
            <w:r>
              <w:rPr>
                <w:rFonts w:hint="eastAsia"/>
                <w:szCs w:val="20"/>
              </w:rPr>
              <w:t>投资者名称</w:t>
            </w:r>
          </w:p>
        </w:tc>
        <w:tc>
          <w:tcPr>
            <w:tcW w:w="7087" w:type="dxa"/>
          </w:tcPr>
          <w:p w14:paraId="0D9DC808" w14:textId="77777777" w:rsidR="00A052DC" w:rsidRDefault="009F0A60">
            <w:pPr>
              <w:pStyle w:val="B"/>
              <w:widowControl w:val="0"/>
              <w:rPr>
                <w:szCs w:val="20"/>
              </w:rPr>
            </w:pPr>
            <w:r>
              <w:rPr>
                <w:rFonts w:hint="eastAsia"/>
                <w:szCs w:val="20"/>
              </w:rPr>
              <w:t>持有相关债券的投资者的全称，按其英文全称和中文全称（如果有的话）填列。</w:t>
            </w:r>
          </w:p>
          <w:p w14:paraId="790F9114" w14:textId="77777777" w:rsidR="00A052DC" w:rsidRDefault="009F0A60">
            <w:pPr>
              <w:pStyle w:val="B"/>
              <w:widowControl w:val="0"/>
              <w:rPr>
                <w:szCs w:val="20"/>
              </w:rPr>
            </w:pPr>
            <w:r>
              <w:rPr>
                <w:rFonts w:hint="eastAsia"/>
                <w:szCs w:val="20"/>
              </w:rPr>
              <w:t>对于“投资者与本机构的关系”字段取值为</w:t>
            </w:r>
            <w:r>
              <w:rPr>
                <w:szCs w:val="20"/>
              </w:rPr>
              <w:t>1</w:t>
            </w:r>
            <w:r>
              <w:rPr>
                <w:rFonts w:hint="eastAsia"/>
                <w:szCs w:val="20"/>
              </w:rPr>
              <w:t>或</w:t>
            </w:r>
            <w:r>
              <w:rPr>
                <w:szCs w:val="20"/>
              </w:rPr>
              <w:t>2</w:t>
            </w:r>
            <w:r>
              <w:rPr>
                <w:rFonts w:hint="eastAsia"/>
                <w:szCs w:val="20"/>
              </w:rPr>
              <w:t>或</w:t>
            </w:r>
            <w:r>
              <w:rPr>
                <w:szCs w:val="20"/>
              </w:rPr>
              <w:t>3</w:t>
            </w:r>
            <w:r>
              <w:rPr>
                <w:rFonts w:hint="eastAsia"/>
                <w:szCs w:val="20"/>
              </w:rPr>
              <w:t>的投资者，请分别填列其名称；对于“投资者与本机构的关系”字段取值为</w:t>
            </w:r>
            <w:r>
              <w:rPr>
                <w:szCs w:val="20"/>
              </w:rPr>
              <w:t>4</w:t>
            </w:r>
            <w:r>
              <w:rPr>
                <w:rFonts w:hint="eastAsia"/>
                <w:szCs w:val="20"/>
              </w:rPr>
              <w:t>的投资者，如能够获得其名称，则填列其名称。如无法获得其名称，则统一填列为“无法识别的投资者”。</w:t>
            </w:r>
          </w:p>
        </w:tc>
      </w:tr>
      <w:tr w:rsidR="00A052DC" w14:paraId="30BC17C6" w14:textId="77777777">
        <w:trPr>
          <w:cantSplit/>
        </w:trPr>
        <w:tc>
          <w:tcPr>
            <w:tcW w:w="1526" w:type="dxa"/>
          </w:tcPr>
          <w:p w14:paraId="062E9609" w14:textId="77777777" w:rsidR="00A052DC" w:rsidRDefault="009F0A60">
            <w:pPr>
              <w:pStyle w:val="B"/>
              <w:widowControl w:val="0"/>
              <w:rPr>
                <w:szCs w:val="20"/>
              </w:rPr>
            </w:pPr>
            <w:r>
              <w:rPr>
                <w:rFonts w:hint="eastAsia"/>
                <w:szCs w:val="20"/>
              </w:rPr>
              <w:t>投资者所属国家</w:t>
            </w:r>
            <w:r>
              <w:rPr>
                <w:szCs w:val="20"/>
              </w:rPr>
              <w:t>/</w:t>
            </w:r>
            <w:r>
              <w:rPr>
                <w:rFonts w:hint="eastAsia"/>
                <w:szCs w:val="20"/>
              </w:rPr>
              <w:t>地区</w:t>
            </w:r>
          </w:p>
        </w:tc>
        <w:tc>
          <w:tcPr>
            <w:tcW w:w="7087" w:type="dxa"/>
          </w:tcPr>
          <w:p w14:paraId="443E9A8E" w14:textId="77777777" w:rsidR="00A052DC" w:rsidRDefault="009F0A60">
            <w:pPr>
              <w:pStyle w:val="B"/>
              <w:widowControl w:val="0"/>
              <w:rPr>
                <w:szCs w:val="20"/>
              </w:rPr>
            </w:pPr>
            <w:r>
              <w:rPr>
                <w:rFonts w:hint="eastAsia"/>
                <w:szCs w:val="20"/>
              </w:rPr>
              <w:t>见国家和地区代码表。相关投资者的注册或常驻（住）国家</w:t>
            </w:r>
            <w:r>
              <w:rPr>
                <w:szCs w:val="20"/>
              </w:rPr>
              <w:t>/</w:t>
            </w:r>
            <w:r>
              <w:rPr>
                <w:rFonts w:hint="eastAsia"/>
                <w:szCs w:val="20"/>
              </w:rPr>
              <w:t>地区代码，对于“无法识别的投资者”，应按照该证券发行场所所在国家</w:t>
            </w:r>
            <w:r>
              <w:rPr>
                <w:szCs w:val="20"/>
              </w:rPr>
              <w:t>/</w:t>
            </w:r>
            <w:r>
              <w:rPr>
                <w:rFonts w:hint="eastAsia"/>
                <w:szCs w:val="20"/>
              </w:rPr>
              <w:t>地区填列。</w:t>
            </w:r>
          </w:p>
        </w:tc>
      </w:tr>
      <w:tr w:rsidR="00A052DC" w14:paraId="1727F07E" w14:textId="77777777">
        <w:trPr>
          <w:cantSplit/>
        </w:trPr>
        <w:tc>
          <w:tcPr>
            <w:tcW w:w="1526" w:type="dxa"/>
          </w:tcPr>
          <w:p w14:paraId="3AE8C6C5" w14:textId="77777777" w:rsidR="00A052DC" w:rsidRDefault="009F0A60">
            <w:pPr>
              <w:pStyle w:val="B"/>
              <w:widowControl w:val="0"/>
              <w:rPr>
                <w:szCs w:val="20"/>
              </w:rPr>
            </w:pPr>
            <w:r>
              <w:rPr>
                <w:rFonts w:hint="eastAsia"/>
                <w:szCs w:val="20"/>
              </w:rPr>
              <w:t>投资者所属部门</w:t>
            </w:r>
          </w:p>
        </w:tc>
        <w:tc>
          <w:tcPr>
            <w:tcW w:w="7087" w:type="dxa"/>
          </w:tcPr>
          <w:p w14:paraId="0F1E441E" w14:textId="77777777" w:rsidR="00A052DC" w:rsidRDefault="009F0A60">
            <w:pPr>
              <w:pStyle w:val="B"/>
              <w:widowControl w:val="0"/>
              <w:rPr>
                <w:szCs w:val="20"/>
              </w:rPr>
            </w:pPr>
            <w:r>
              <w:rPr>
                <w:rFonts w:hint="eastAsia"/>
                <w:szCs w:val="20"/>
              </w:rPr>
              <w:t>投资者所属部门代码，见投资者（被投资者）部门代码表。</w:t>
            </w:r>
          </w:p>
        </w:tc>
      </w:tr>
      <w:tr w:rsidR="00A052DC" w14:paraId="144E06DA" w14:textId="77777777">
        <w:trPr>
          <w:cantSplit/>
        </w:trPr>
        <w:tc>
          <w:tcPr>
            <w:tcW w:w="1526" w:type="dxa"/>
          </w:tcPr>
          <w:p w14:paraId="7241D116" w14:textId="77777777" w:rsidR="00A052DC" w:rsidRDefault="009F0A60">
            <w:pPr>
              <w:pStyle w:val="B"/>
              <w:widowControl w:val="0"/>
              <w:rPr>
                <w:szCs w:val="20"/>
              </w:rPr>
            </w:pPr>
            <w:r>
              <w:rPr>
                <w:rFonts w:hint="eastAsia"/>
                <w:szCs w:val="20"/>
              </w:rPr>
              <w:t>投资者与本机构的关系</w:t>
            </w:r>
          </w:p>
        </w:tc>
        <w:tc>
          <w:tcPr>
            <w:tcW w:w="7087" w:type="dxa"/>
          </w:tcPr>
          <w:p w14:paraId="61FF257D" w14:textId="77777777" w:rsidR="00A052DC" w:rsidRDefault="009F0A60">
            <w:pPr>
              <w:pStyle w:val="B"/>
              <w:widowControl w:val="0"/>
              <w:rPr>
                <w:szCs w:val="20"/>
              </w:rPr>
            </w:pPr>
            <w:r>
              <w:rPr>
                <w:rFonts w:hint="eastAsia"/>
                <w:szCs w:val="20"/>
              </w:rPr>
              <w:t>投资者与本机构的关系，见对方与本机构</w:t>
            </w:r>
            <w:r>
              <w:rPr>
                <w:szCs w:val="20"/>
              </w:rPr>
              <w:t>/</w:t>
            </w:r>
            <w:r>
              <w:rPr>
                <w:rFonts w:hint="eastAsia"/>
                <w:szCs w:val="20"/>
              </w:rPr>
              <w:t>被代理居民机构</w:t>
            </w:r>
            <w:r>
              <w:rPr>
                <w:szCs w:val="20"/>
              </w:rPr>
              <w:t>/</w:t>
            </w:r>
            <w:r>
              <w:rPr>
                <w:rFonts w:hint="eastAsia"/>
                <w:szCs w:val="20"/>
              </w:rPr>
              <w:t>委托人的关系代码表。</w:t>
            </w:r>
          </w:p>
        </w:tc>
      </w:tr>
      <w:tr w:rsidR="00A052DC" w14:paraId="71B7DC78" w14:textId="77777777">
        <w:trPr>
          <w:cantSplit/>
        </w:trPr>
        <w:tc>
          <w:tcPr>
            <w:tcW w:w="1526" w:type="dxa"/>
          </w:tcPr>
          <w:p w14:paraId="106995E4" w14:textId="77777777" w:rsidR="00A052DC" w:rsidRDefault="009F0A60">
            <w:pPr>
              <w:pStyle w:val="B"/>
              <w:widowControl w:val="0"/>
              <w:rPr>
                <w:szCs w:val="20"/>
              </w:rPr>
            </w:pPr>
            <w:r>
              <w:rPr>
                <w:rFonts w:hint="eastAsia"/>
                <w:szCs w:val="20"/>
              </w:rPr>
              <w:t>原始币种</w:t>
            </w:r>
          </w:p>
        </w:tc>
        <w:tc>
          <w:tcPr>
            <w:tcW w:w="7087" w:type="dxa"/>
          </w:tcPr>
          <w:p w14:paraId="3DA80440" w14:textId="77777777" w:rsidR="00A052DC" w:rsidRDefault="009F0A60">
            <w:pPr>
              <w:pStyle w:val="B"/>
              <w:widowControl w:val="0"/>
              <w:rPr>
                <w:szCs w:val="20"/>
              </w:rPr>
            </w:pPr>
            <w:r>
              <w:rPr>
                <w:rFonts w:hint="eastAsia"/>
                <w:szCs w:val="20"/>
              </w:rPr>
              <w:t>指所发行的债务证券的计价币种，见币种代码表。</w:t>
            </w:r>
          </w:p>
        </w:tc>
      </w:tr>
      <w:tr w:rsidR="00A052DC" w14:paraId="246E859B" w14:textId="77777777">
        <w:trPr>
          <w:cantSplit/>
        </w:trPr>
        <w:tc>
          <w:tcPr>
            <w:tcW w:w="1526" w:type="dxa"/>
          </w:tcPr>
          <w:p w14:paraId="3591E3E7" w14:textId="77777777" w:rsidR="00A052DC" w:rsidRDefault="009F0A60">
            <w:pPr>
              <w:pStyle w:val="B"/>
              <w:widowControl w:val="0"/>
              <w:rPr>
                <w:szCs w:val="20"/>
              </w:rPr>
            </w:pPr>
            <w:r>
              <w:rPr>
                <w:rFonts w:hint="eastAsia"/>
                <w:szCs w:val="20"/>
              </w:rPr>
              <w:t>上月末市值</w:t>
            </w:r>
          </w:p>
        </w:tc>
        <w:tc>
          <w:tcPr>
            <w:tcW w:w="7087" w:type="dxa"/>
          </w:tcPr>
          <w:p w14:paraId="38E0D595" w14:textId="77777777" w:rsidR="00A052DC" w:rsidRDefault="009F0A60">
            <w:pPr>
              <w:pStyle w:val="B"/>
              <w:widowControl w:val="0"/>
              <w:rPr>
                <w:szCs w:val="20"/>
              </w:rPr>
            </w:pPr>
            <w:r>
              <w:rPr>
                <w:rFonts w:hint="eastAsia"/>
                <w:szCs w:val="20"/>
              </w:rPr>
              <w:t>指上月末相关债务证券的公允价值。应优先使用按上月末公开市场收盘价计算的市场价值。如无市场价值，则按照本机构的记账惯例填报公允价值。</w:t>
            </w:r>
          </w:p>
        </w:tc>
      </w:tr>
      <w:tr w:rsidR="00A052DC" w14:paraId="462C9D19" w14:textId="77777777">
        <w:trPr>
          <w:cantSplit/>
        </w:trPr>
        <w:tc>
          <w:tcPr>
            <w:tcW w:w="1526" w:type="dxa"/>
          </w:tcPr>
          <w:p w14:paraId="3F0841EF" w14:textId="77777777" w:rsidR="00A052DC" w:rsidRDefault="009F0A60">
            <w:pPr>
              <w:pStyle w:val="B"/>
              <w:widowControl w:val="0"/>
              <w:rPr>
                <w:szCs w:val="20"/>
              </w:rPr>
            </w:pPr>
            <w:r>
              <w:rPr>
                <w:rFonts w:hint="eastAsia"/>
                <w:szCs w:val="20"/>
              </w:rPr>
              <w:t>本月发行金额</w:t>
            </w:r>
          </w:p>
        </w:tc>
        <w:tc>
          <w:tcPr>
            <w:tcW w:w="7087" w:type="dxa"/>
          </w:tcPr>
          <w:p w14:paraId="3AD63143" w14:textId="77777777" w:rsidR="00A052DC" w:rsidRDefault="009F0A60">
            <w:pPr>
              <w:pStyle w:val="B"/>
              <w:widowControl w:val="0"/>
              <w:rPr>
                <w:szCs w:val="20"/>
              </w:rPr>
            </w:pPr>
            <w:r>
              <w:rPr>
                <w:rFonts w:hint="eastAsia"/>
                <w:szCs w:val="20"/>
              </w:rPr>
              <w:t>指本月内，在境外向相关投资者发行相关债务证券的金额。如出现投资者减免、展期等与债务人重新安排债权回收事宜，应比照买卖债券的情况统计。</w:t>
            </w:r>
          </w:p>
        </w:tc>
      </w:tr>
      <w:tr w:rsidR="00A052DC" w14:paraId="5C7EAB28" w14:textId="77777777">
        <w:trPr>
          <w:cantSplit/>
        </w:trPr>
        <w:tc>
          <w:tcPr>
            <w:tcW w:w="1526" w:type="dxa"/>
          </w:tcPr>
          <w:p w14:paraId="3893A60B" w14:textId="77777777" w:rsidR="00A052DC" w:rsidRDefault="009F0A60">
            <w:pPr>
              <w:pStyle w:val="B"/>
              <w:widowControl w:val="0"/>
              <w:rPr>
                <w:szCs w:val="20"/>
              </w:rPr>
            </w:pPr>
            <w:r>
              <w:rPr>
                <w:rFonts w:hint="eastAsia"/>
                <w:szCs w:val="20"/>
              </w:rPr>
              <w:t>本月赎回金额</w:t>
            </w:r>
          </w:p>
        </w:tc>
        <w:tc>
          <w:tcPr>
            <w:tcW w:w="7087" w:type="dxa"/>
          </w:tcPr>
          <w:p w14:paraId="1355C54C" w14:textId="77777777" w:rsidR="00A052DC" w:rsidRDefault="009F0A60">
            <w:pPr>
              <w:pStyle w:val="B"/>
              <w:widowControl w:val="0"/>
              <w:rPr>
                <w:szCs w:val="20"/>
              </w:rPr>
            </w:pPr>
            <w:r>
              <w:rPr>
                <w:rFonts w:hint="eastAsia"/>
                <w:szCs w:val="20"/>
              </w:rPr>
              <w:t>指本月内，从相关投资者赎回本机构债务证券的金额。如出现投资者减免、展期等与债务人重新安排债权回收事宜，应比照买卖债券的情况统计。如出现可转债转换为股本证券的，视为本月回购相关债券，发行股本证券。</w:t>
            </w:r>
          </w:p>
        </w:tc>
      </w:tr>
      <w:tr w:rsidR="00A052DC" w14:paraId="31528C59" w14:textId="77777777">
        <w:trPr>
          <w:cantSplit/>
        </w:trPr>
        <w:tc>
          <w:tcPr>
            <w:tcW w:w="1526" w:type="dxa"/>
          </w:tcPr>
          <w:p w14:paraId="0279005E" w14:textId="77777777" w:rsidR="00A052DC" w:rsidRDefault="009F0A60">
            <w:pPr>
              <w:pStyle w:val="B"/>
              <w:widowControl w:val="0"/>
              <w:rPr>
                <w:szCs w:val="20"/>
              </w:rPr>
            </w:pPr>
            <w:r>
              <w:rPr>
                <w:rFonts w:hint="eastAsia"/>
                <w:szCs w:val="20"/>
              </w:rPr>
              <w:t>本月非交易变动</w:t>
            </w:r>
          </w:p>
        </w:tc>
        <w:tc>
          <w:tcPr>
            <w:tcW w:w="7087" w:type="dxa"/>
          </w:tcPr>
          <w:p w14:paraId="770FB9A9" w14:textId="77777777" w:rsidR="00A052DC" w:rsidRDefault="009F0A60">
            <w:pPr>
              <w:pStyle w:val="B"/>
              <w:widowControl w:val="0"/>
              <w:rPr>
                <w:szCs w:val="20"/>
              </w:rPr>
            </w:pPr>
            <w:r>
              <w:rPr>
                <w:rFonts w:hint="eastAsia"/>
                <w:szCs w:val="20"/>
              </w:rPr>
              <w:t>反映本月内债券交易买卖因素以外的非交易因素引起的变动。计算方法为：本月非交易变动</w:t>
            </w:r>
            <w:r>
              <w:rPr>
                <w:szCs w:val="20"/>
              </w:rPr>
              <w:t>=</w:t>
            </w:r>
            <w:r>
              <w:rPr>
                <w:rFonts w:hint="eastAsia"/>
                <w:szCs w:val="20"/>
              </w:rPr>
              <w:t>本月末市值</w:t>
            </w:r>
            <w:r>
              <w:rPr>
                <w:szCs w:val="20"/>
              </w:rPr>
              <w:t>-</w:t>
            </w:r>
            <w:r>
              <w:rPr>
                <w:rFonts w:hint="eastAsia"/>
                <w:szCs w:val="20"/>
              </w:rPr>
              <w:t>上月末市值</w:t>
            </w:r>
            <w:r>
              <w:rPr>
                <w:szCs w:val="20"/>
              </w:rPr>
              <w:t>-</w:t>
            </w:r>
            <w:r>
              <w:rPr>
                <w:rFonts w:hint="eastAsia"/>
                <w:szCs w:val="20"/>
              </w:rPr>
              <w:t>（本月发行金额</w:t>
            </w:r>
            <w:r>
              <w:rPr>
                <w:szCs w:val="20"/>
              </w:rPr>
              <w:t>-</w:t>
            </w:r>
            <w:r>
              <w:rPr>
                <w:rFonts w:hint="eastAsia"/>
                <w:szCs w:val="20"/>
              </w:rPr>
              <w:t>本月赎回金额）。</w:t>
            </w:r>
          </w:p>
        </w:tc>
      </w:tr>
      <w:tr w:rsidR="00A052DC" w14:paraId="6CF51528" w14:textId="77777777">
        <w:trPr>
          <w:cantSplit/>
        </w:trPr>
        <w:tc>
          <w:tcPr>
            <w:tcW w:w="1526" w:type="dxa"/>
          </w:tcPr>
          <w:p w14:paraId="46DEF7CA" w14:textId="77777777" w:rsidR="00A052DC" w:rsidRDefault="009F0A60">
            <w:pPr>
              <w:pStyle w:val="B"/>
              <w:widowControl w:val="0"/>
              <w:rPr>
                <w:szCs w:val="20"/>
              </w:rPr>
            </w:pPr>
            <w:r>
              <w:rPr>
                <w:rFonts w:hAnsi="宋体" w:hint="eastAsia"/>
                <w:color w:val="000000"/>
              </w:rPr>
              <w:t>调整或重新分类至其他报表统计的金额</w:t>
            </w:r>
          </w:p>
        </w:tc>
        <w:tc>
          <w:tcPr>
            <w:tcW w:w="7087" w:type="dxa"/>
          </w:tcPr>
          <w:p w14:paraId="72D4E8D4" w14:textId="77777777" w:rsidR="00A052DC" w:rsidRDefault="009F0A60">
            <w:pPr>
              <w:pStyle w:val="B"/>
              <w:widowControl w:val="0"/>
              <w:rPr>
                <w:szCs w:val="20"/>
              </w:rPr>
            </w:pPr>
            <w:r>
              <w:rPr>
                <w:rFonts w:hint="eastAsia"/>
              </w:rPr>
              <w:t>指非买卖因素引起的债券负债数量增减和价值变动。必须满足：本月非交易变动</w:t>
            </w:r>
            <w:r>
              <w:t>=</w:t>
            </w:r>
            <w:r w:rsidR="00F719F7" w:rsidRPr="00F719F7">
              <w:rPr>
                <w:rFonts w:hint="eastAsia"/>
              </w:rPr>
              <w:t>调整或重新分类至其他报表统计的金额</w:t>
            </w:r>
            <w:r>
              <w:t>+</w:t>
            </w:r>
            <w:r>
              <w:rPr>
                <w:rFonts w:hint="eastAsia"/>
              </w:rPr>
              <w:t>价值重估因素。</w:t>
            </w:r>
          </w:p>
        </w:tc>
      </w:tr>
      <w:tr w:rsidR="00A052DC" w14:paraId="3A54BCF3" w14:textId="77777777">
        <w:trPr>
          <w:cantSplit/>
        </w:trPr>
        <w:tc>
          <w:tcPr>
            <w:tcW w:w="1526" w:type="dxa"/>
          </w:tcPr>
          <w:p w14:paraId="1139A163" w14:textId="77777777" w:rsidR="00A052DC" w:rsidRDefault="009F0A60">
            <w:pPr>
              <w:pStyle w:val="B"/>
              <w:widowControl w:val="0"/>
              <w:rPr>
                <w:szCs w:val="20"/>
              </w:rPr>
            </w:pPr>
            <w:r>
              <w:rPr>
                <w:rFonts w:hint="eastAsia"/>
              </w:rPr>
              <w:t>价值重估因素</w:t>
            </w:r>
          </w:p>
        </w:tc>
        <w:tc>
          <w:tcPr>
            <w:tcW w:w="7087" w:type="dxa"/>
          </w:tcPr>
          <w:p w14:paraId="6AF0FE32" w14:textId="77777777" w:rsidR="00A052DC" w:rsidRDefault="009F0A60">
            <w:pPr>
              <w:pStyle w:val="B"/>
              <w:rPr>
                <w:szCs w:val="20"/>
              </w:rPr>
            </w:pPr>
            <w:r>
              <w:rPr>
                <w:rFonts w:hint="eastAsia"/>
              </w:rPr>
              <w:t>指剔除买卖因素和重新分类等非买卖因素引起的变动因素外，本月市场价格或近似参考价格波动带来的相关工具价值增减。必须满足：本月非交易变动</w:t>
            </w:r>
            <w:r>
              <w:t>=</w:t>
            </w:r>
            <w:r w:rsidR="00F719F7">
              <w:rPr>
                <w:rFonts w:hAnsi="宋体" w:hint="eastAsia"/>
                <w:color w:val="000000"/>
              </w:rPr>
              <w:t>调整或重新分类至其他报表统计的金额</w:t>
            </w:r>
            <w:r>
              <w:t>+</w:t>
            </w:r>
            <w:r>
              <w:rPr>
                <w:rFonts w:hint="eastAsia"/>
              </w:rPr>
              <w:t>价值重估因素。</w:t>
            </w:r>
          </w:p>
        </w:tc>
      </w:tr>
      <w:tr w:rsidR="00A052DC" w14:paraId="2E357D5D" w14:textId="77777777">
        <w:trPr>
          <w:cantSplit/>
        </w:trPr>
        <w:tc>
          <w:tcPr>
            <w:tcW w:w="1526" w:type="dxa"/>
          </w:tcPr>
          <w:p w14:paraId="5FE1889F" w14:textId="77777777" w:rsidR="00A052DC" w:rsidRDefault="009F0A60">
            <w:pPr>
              <w:pStyle w:val="B"/>
              <w:widowControl w:val="0"/>
              <w:rPr>
                <w:szCs w:val="20"/>
              </w:rPr>
            </w:pPr>
            <w:r>
              <w:rPr>
                <w:rFonts w:hint="eastAsia"/>
                <w:szCs w:val="20"/>
              </w:rPr>
              <w:t>本月末市值</w:t>
            </w:r>
          </w:p>
        </w:tc>
        <w:tc>
          <w:tcPr>
            <w:tcW w:w="7087" w:type="dxa"/>
          </w:tcPr>
          <w:p w14:paraId="6A432D80" w14:textId="77777777" w:rsidR="00A052DC" w:rsidRDefault="009F0A60">
            <w:pPr>
              <w:pStyle w:val="B"/>
              <w:widowControl w:val="0"/>
              <w:rPr>
                <w:szCs w:val="20"/>
              </w:rPr>
            </w:pPr>
            <w:r>
              <w:rPr>
                <w:rFonts w:hint="eastAsia"/>
                <w:szCs w:val="20"/>
              </w:rPr>
              <w:t>指本月末相关债务证券的公允价值。应优先使用按本月末公开市场收盘价计算的市场价值。如无市场价值，则按照本机构的记账惯例填报公允价值。</w:t>
            </w:r>
          </w:p>
        </w:tc>
      </w:tr>
      <w:tr w:rsidR="00A052DC" w14:paraId="11764623" w14:textId="77777777">
        <w:trPr>
          <w:cantSplit/>
        </w:trPr>
        <w:tc>
          <w:tcPr>
            <w:tcW w:w="1526" w:type="dxa"/>
          </w:tcPr>
          <w:p w14:paraId="551727E9" w14:textId="77777777" w:rsidR="00A052DC" w:rsidRDefault="009F0A60">
            <w:pPr>
              <w:pStyle w:val="B"/>
              <w:widowControl w:val="0"/>
              <w:rPr>
                <w:szCs w:val="20"/>
              </w:rPr>
            </w:pPr>
            <w:r>
              <w:rPr>
                <w:rFonts w:hint="eastAsia"/>
              </w:rPr>
              <w:t>本月末市值其中</w:t>
            </w:r>
            <w:r>
              <w:rPr>
                <w:rFonts w:hint="eastAsia"/>
                <w:szCs w:val="20"/>
              </w:rPr>
              <w:t>：</w:t>
            </w:r>
            <w:r>
              <w:rPr>
                <w:rFonts w:hint="eastAsia"/>
              </w:rPr>
              <w:t>剩余期限在一年及以下</w:t>
            </w:r>
          </w:p>
        </w:tc>
        <w:tc>
          <w:tcPr>
            <w:tcW w:w="7087" w:type="dxa"/>
          </w:tcPr>
          <w:p w14:paraId="7462E84A" w14:textId="77777777" w:rsidR="00A052DC" w:rsidRDefault="009F0A60">
            <w:pPr>
              <w:pStyle w:val="B"/>
              <w:widowControl w:val="0"/>
              <w:rPr>
                <w:szCs w:val="20"/>
              </w:rPr>
            </w:pPr>
            <w:r>
              <w:rPr>
                <w:rFonts w:hint="eastAsia"/>
                <w:szCs w:val="20"/>
              </w:rPr>
              <w:t>指自本月末至最终到期的期限在一年及以下的相关债务证券的公允价值。应优先使用按本月末公开市场收盘价计算的市场价值。如无市场价值，则按照本机构的记账惯例填报公允价值。</w:t>
            </w:r>
          </w:p>
        </w:tc>
      </w:tr>
      <w:tr w:rsidR="00A052DC" w14:paraId="2130C74B" w14:textId="77777777">
        <w:trPr>
          <w:cantSplit/>
        </w:trPr>
        <w:tc>
          <w:tcPr>
            <w:tcW w:w="1526" w:type="dxa"/>
          </w:tcPr>
          <w:p w14:paraId="016D6BE2" w14:textId="77777777" w:rsidR="00A052DC" w:rsidRDefault="009F0A60">
            <w:pPr>
              <w:pStyle w:val="B"/>
              <w:widowControl w:val="0"/>
              <w:rPr>
                <w:szCs w:val="20"/>
              </w:rPr>
            </w:pPr>
            <w:r>
              <w:rPr>
                <w:rFonts w:hint="eastAsia"/>
                <w:szCs w:val="20"/>
              </w:rPr>
              <w:t>本月利息支出</w:t>
            </w:r>
          </w:p>
        </w:tc>
        <w:tc>
          <w:tcPr>
            <w:tcW w:w="7087" w:type="dxa"/>
          </w:tcPr>
          <w:p w14:paraId="5DD0754C" w14:textId="77777777" w:rsidR="00A052DC" w:rsidRDefault="009F0A60">
            <w:pPr>
              <w:pStyle w:val="B"/>
              <w:widowControl w:val="0"/>
              <w:rPr>
                <w:szCs w:val="20"/>
              </w:rPr>
            </w:pPr>
            <w:r>
              <w:rPr>
                <w:rFonts w:hint="eastAsia"/>
                <w:szCs w:val="20"/>
              </w:rPr>
              <w:t>指本月发生的、本机构会计账上确认的、所发行债务证券的利息支出。</w:t>
            </w:r>
          </w:p>
        </w:tc>
      </w:tr>
      <w:tr w:rsidR="00A052DC" w14:paraId="5AF60D0B" w14:textId="77777777">
        <w:trPr>
          <w:cantSplit/>
        </w:trPr>
        <w:tc>
          <w:tcPr>
            <w:tcW w:w="1526" w:type="dxa"/>
          </w:tcPr>
          <w:p w14:paraId="675A4FA7" w14:textId="77777777" w:rsidR="00A052DC" w:rsidRDefault="009F0A60">
            <w:pPr>
              <w:pStyle w:val="B"/>
              <w:widowControl w:val="0"/>
              <w:rPr>
                <w:szCs w:val="20"/>
              </w:rPr>
            </w:pPr>
            <w:r>
              <w:rPr>
                <w:rFonts w:hint="eastAsia"/>
                <w:szCs w:val="20"/>
              </w:rPr>
              <w:t>本月末</w:t>
            </w:r>
            <w:r>
              <w:rPr>
                <w:rFonts w:hAnsi="宋体" w:hint="eastAsia"/>
                <w:color w:val="000000"/>
              </w:rPr>
              <w:t>未到期/未偿付</w:t>
            </w:r>
            <w:r>
              <w:rPr>
                <w:rFonts w:hint="eastAsia"/>
                <w:szCs w:val="20"/>
              </w:rPr>
              <w:t>债券面值</w:t>
            </w:r>
          </w:p>
        </w:tc>
        <w:tc>
          <w:tcPr>
            <w:tcW w:w="7087" w:type="dxa"/>
          </w:tcPr>
          <w:p w14:paraId="0EAE977B" w14:textId="77777777" w:rsidR="00A052DC" w:rsidRDefault="009F0A60">
            <w:pPr>
              <w:pStyle w:val="B"/>
              <w:widowControl w:val="0"/>
              <w:rPr>
                <w:szCs w:val="20"/>
              </w:rPr>
            </w:pPr>
            <w:r>
              <w:rPr>
                <w:szCs w:val="20"/>
              </w:rPr>
              <w:t>债券面值为</w:t>
            </w:r>
            <w:r>
              <w:rPr>
                <w:rFonts w:hint="eastAsia"/>
                <w:szCs w:val="20"/>
              </w:rPr>
              <w:t>在</w:t>
            </w:r>
            <w:r>
              <w:rPr>
                <w:szCs w:val="20"/>
              </w:rPr>
              <w:t>债券发行人在</w:t>
            </w:r>
            <w:r>
              <w:rPr>
                <w:rFonts w:hint="eastAsia"/>
                <w:szCs w:val="20"/>
              </w:rPr>
              <w:t>债券到期时需向持有人偿还的本金金额，本项应填报为债券票面金额与本月末未偿付债券数量的乘积。</w:t>
            </w:r>
          </w:p>
        </w:tc>
      </w:tr>
      <w:tr w:rsidR="00A052DC" w14:paraId="1AC0A064" w14:textId="77777777">
        <w:trPr>
          <w:cantSplit/>
        </w:trPr>
        <w:tc>
          <w:tcPr>
            <w:tcW w:w="1526" w:type="dxa"/>
          </w:tcPr>
          <w:p w14:paraId="2C5F4427" w14:textId="77777777" w:rsidR="00A052DC" w:rsidRDefault="009F0A60">
            <w:pPr>
              <w:pStyle w:val="B"/>
              <w:widowControl w:val="0"/>
              <w:rPr>
                <w:szCs w:val="20"/>
              </w:rPr>
            </w:pPr>
            <w:r>
              <w:rPr>
                <w:rFonts w:hint="eastAsia"/>
                <w:szCs w:val="20"/>
              </w:rPr>
              <w:t>备注</w:t>
            </w:r>
          </w:p>
        </w:tc>
        <w:tc>
          <w:tcPr>
            <w:tcW w:w="7087" w:type="dxa"/>
          </w:tcPr>
          <w:p w14:paraId="5DC647E2" w14:textId="77777777" w:rsidR="00A052DC" w:rsidRDefault="009F0A60">
            <w:pPr>
              <w:pStyle w:val="B"/>
              <w:widowControl w:val="0"/>
              <w:rPr>
                <w:szCs w:val="20"/>
              </w:rPr>
            </w:pPr>
            <w:r>
              <w:rPr>
                <w:rFonts w:hint="eastAsia"/>
                <w:szCs w:val="20"/>
              </w:rPr>
              <w:t>需要说明的备注事项。</w:t>
            </w:r>
          </w:p>
        </w:tc>
      </w:tr>
    </w:tbl>
    <w:p w14:paraId="6AD5D665" w14:textId="77777777" w:rsidR="00A052DC" w:rsidRDefault="009F0A60">
      <w:pPr>
        <w:pStyle w:val="4"/>
        <w:numPr>
          <w:ilvl w:val="3"/>
          <w:numId w:val="1"/>
        </w:numPr>
        <w:jc w:val="left"/>
      </w:pPr>
      <w:bookmarkStart w:id="3129" w:name="_Toc380570941"/>
      <w:bookmarkStart w:id="3130" w:name="_Toc454391278"/>
      <w:r>
        <w:rPr>
          <w:rFonts w:hint="eastAsia"/>
        </w:rPr>
        <w:t>数据格式</w:t>
      </w:r>
      <w:bookmarkEnd w:id="3129"/>
      <w:bookmarkEnd w:id="3130"/>
    </w:p>
    <w:p w14:paraId="288ED821" w14:textId="77777777" w:rsidR="00A052DC" w:rsidRDefault="009F0A60">
      <w:pPr>
        <w:ind w:firstLine="480"/>
      </w:pPr>
      <w:r>
        <w:t>&lt;REC&gt;</w:t>
      </w:r>
    </w:p>
    <w:p w14:paraId="0B063226" w14:textId="77777777" w:rsidR="00A052DC" w:rsidRDefault="009F0A60">
      <w:pPr>
        <w:ind w:firstLine="480"/>
      </w:pPr>
      <w:r>
        <w:t>&lt;ACTIONTYPE&gt;</w:t>
      </w:r>
      <w:r>
        <w:rPr>
          <w:rFonts w:hAnsi="宋体"/>
        </w:rPr>
        <w:t>操作类型</w:t>
      </w:r>
      <w:r>
        <w:t>&lt;/ACTIONTYPE&gt;</w:t>
      </w:r>
    </w:p>
    <w:p w14:paraId="07BE8C36" w14:textId="77777777" w:rsidR="00A052DC" w:rsidRDefault="009F0A60">
      <w:pPr>
        <w:ind w:firstLine="480"/>
      </w:pPr>
      <w:r>
        <w:t>&lt;ACTIONDESC&gt;</w:t>
      </w:r>
      <w:r>
        <w:rPr>
          <w:rFonts w:hAnsi="宋体"/>
        </w:rPr>
        <w:t>删除原因</w:t>
      </w:r>
      <w:r>
        <w:t>&lt;/ACTIONDESC&gt;</w:t>
      </w:r>
    </w:p>
    <w:p w14:paraId="3415B422" w14:textId="77777777" w:rsidR="00A052DC" w:rsidRDefault="009F0A60">
      <w:pPr>
        <w:ind w:firstLine="480"/>
      </w:pPr>
      <w:r>
        <w:t>&lt;SNOCODE&gt;</w:t>
      </w:r>
      <w:r>
        <w:rPr>
          <w:rFonts w:hAnsi="宋体"/>
        </w:rPr>
        <w:t>数据自编码</w:t>
      </w:r>
      <w:r>
        <w:t>&lt;/SNOCODE&gt;</w:t>
      </w:r>
    </w:p>
    <w:p w14:paraId="3FAC3EE3" w14:textId="77777777" w:rsidR="00A052DC" w:rsidRDefault="009F0A60">
      <w:pPr>
        <w:ind w:firstLine="480"/>
      </w:pPr>
      <w:r>
        <w:t>&lt;OBJCODE&gt;</w:t>
      </w:r>
      <w:r>
        <w:rPr>
          <w:rFonts w:hAnsi="宋体"/>
        </w:rPr>
        <w:t>申报主体代码</w:t>
      </w:r>
      <w:r>
        <w:t>&lt;/OBJCODE&gt;</w:t>
      </w:r>
    </w:p>
    <w:p w14:paraId="4DF56FB1" w14:textId="77777777" w:rsidR="00A052DC" w:rsidRDefault="009F0A60">
      <w:pPr>
        <w:ind w:firstLine="480"/>
      </w:pPr>
      <w:r>
        <w:t>&lt;BUOCMONTH&gt;</w:t>
      </w:r>
      <w:r>
        <w:rPr>
          <w:rFonts w:hAnsi="宋体"/>
        </w:rPr>
        <w:t>报告期</w:t>
      </w:r>
      <w:r>
        <w:t>&lt;/BUOCMONTH&gt;</w:t>
      </w:r>
    </w:p>
    <w:p w14:paraId="5BCAC259" w14:textId="77777777" w:rsidR="00A052DC" w:rsidRDefault="009F0A60">
      <w:pPr>
        <w:ind w:firstLine="567"/>
      </w:pPr>
      <w:r>
        <w:t>&lt;EXDEBTCODE&gt;</w:t>
      </w:r>
      <w:r>
        <w:rPr>
          <w:rFonts w:hAnsi="宋体"/>
        </w:rPr>
        <w:t>外债编号</w:t>
      </w:r>
      <w:r>
        <w:t>&lt;/EXDEBTCODE&gt;</w:t>
      </w:r>
    </w:p>
    <w:p w14:paraId="0C8EC380" w14:textId="77777777" w:rsidR="00A052DC" w:rsidRDefault="009F0A60">
      <w:pPr>
        <w:ind w:firstLine="567"/>
      </w:pPr>
      <w:r>
        <w:t>&lt;B0501&gt;</w:t>
      </w:r>
      <w:r>
        <w:rPr>
          <w:rFonts w:hAnsi="宋体"/>
        </w:rPr>
        <w:t>证券代码</w:t>
      </w:r>
      <w:r>
        <w:t>&lt;/B0501&gt;</w:t>
      </w:r>
    </w:p>
    <w:p w14:paraId="5BEEBFF1" w14:textId="77777777" w:rsidR="00A052DC" w:rsidRDefault="009F0A60">
      <w:pPr>
        <w:ind w:firstLine="567"/>
      </w:pPr>
      <w:r>
        <w:t>&lt;B0502&gt;</w:t>
      </w:r>
      <w:r>
        <w:rPr>
          <w:rFonts w:hAnsi="宋体"/>
        </w:rPr>
        <w:t>发行地</w:t>
      </w:r>
      <w:r>
        <w:t>&lt;/B0502&gt;</w:t>
      </w:r>
    </w:p>
    <w:p w14:paraId="71467476" w14:textId="77777777" w:rsidR="00A052DC" w:rsidRDefault="009F0A60">
      <w:pPr>
        <w:ind w:firstLine="567"/>
      </w:pPr>
      <w:r>
        <w:t>&lt;B0503&gt;</w:t>
      </w:r>
      <w:r>
        <w:rPr>
          <w:rFonts w:hAnsi="宋体"/>
        </w:rPr>
        <w:t>原始期限</w:t>
      </w:r>
      <w:r>
        <w:t>&lt;/B0503&gt;</w:t>
      </w:r>
    </w:p>
    <w:p w14:paraId="36EED2FF" w14:textId="77777777" w:rsidR="00A052DC" w:rsidRDefault="009F0A60">
      <w:pPr>
        <w:ind w:firstLine="567"/>
      </w:pPr>
      <w:r>
        <w:t>&lt;B0504&gt;</w:t>
      </w:r>
      <w:r>
        <w:rPr>
          <w:rFonts w:hAnsi="宋体"/>
        </w:rPr>
        <w:t>投资者名称</w:t>
      </w:r>
      <w:r>
        <w:t>&lt;/B0504&gt;</w:t>
      </w:r>
    </w:p>
    <w:p w14:paraId="03214B7E" w14:textId="77777777" w:rsidR="00A052DC" w:rsidRDefault="009F0A60">
      <w:pPr>
        <w:ind w:firstLine="567"/>
      </w:pPr>
      <w:r>
        <w:t>&lt;B0505&gt;</w:t>
      </w:r>
      <w:r>
        <w:rPr>
          <w:rFonts w:hAnsi="宋体"/>
        </w:rPr>
        <w:t>投资者所属国家</w:t>
      </w:r>
      <w:r>
        <w:t>/</w:t>
      </w:r>
      <w:r>
        <w:rPr>
          <w:rFonts w:hAnsi="宋体"/>
        </w:rPr>
        <w:t>地区</w:t>
      </w:r>
      <w:r>
        <w:t>&lt;/B0505&gt;</w:t>
      </w:r>
    </w:p>
    <w:p w14:paraId="2F59E5DC" w14:textId="77777777" w:rsidR="00A052DC" w:rsidRDefault="009F0A60">
      <w:pPr>
        <w:ind w:firstLine="567"/>
      </w:pPr>
      <w:r>
        <w:t>&lt;B0506&gt;</w:t>
      </w:r>
      <w:r>
        <w:rPr>
          <w:rFonts w:hAnsi="宋体"/>
        </w:rPr>
        <w:t>投资者所属部门</w:t>
      </w:r>
      <w:r>
        <w:t>&lt;/B0506&gt;</w:t>
      </w:r>
    </w:p>
    <w:p w14:paraId="26D3EE89" w14:textId="77777777" w:rsidR="00A052DC" w:rsidRDefault="009F0A60">
      <w:pPr>
        <w:ind w:firstLine="567"/>
      </w:pPr>
      <w:r>
        <w:t>&lt;B0507&gt;</w:t>
      </w:r>
      <w:r>
        <w:rPr>
          <w:rFonts w:hAnsi="宋体"/>
        </w:rPr>
        <w:t>投资者与本机构的关系</w:t>
      </w:r>
      <w:r>
        <w:t>&lt;/B0507&gt;</w:t>
      </w:r>
    </w:p>
    <w:p w14:paraId="2B72BE6F" w14:textId="77777777" w:rsidR="00A052DC" w:rsidRDefault="009F0A60">
      <w:pPr>
        <w:ind w:firstLine="567"/>
      </w:pPr>
      <w:r>
        <w:t>&lt;B0508&gt;</w:t>
      </w:r>
      <w:r>
        <w:rPr>
          <w:rFonts w:hAnsi="宋体"/>
        </w:rPr>
        <w:t>原始币种</w:t>
      </w:r>
      <w:r>
        <w:t>&lt;/B0508&gt;</w:t>
      </w:r>
    </w:p>
    <w:p w14:paraId="6C0078CB" w14:textId="77777777" w:rsidR="00A052DC" w:rsidRDefault="009F0A60">
      <w:pPr>
        <w:ind w:firstLine="567"/>
      </w:pPr>
      <w:r>
        <w:t>&lt;B0509&gt;</w:t>
      </w:r>
      <w:r>
        <w:rPr>
          <w:rFonts w:hAnsi="宋体"/>
        </w:rPr>
        <w:t>上月末市值</w:t>
      </w:r>
      <w:r>
        <w:t>&lt;/B0509&gt;</w:t>
      </w:r>
    </w:p>
    <w:p w14:paraId="69270718" w14:textId="77777777" w:rsidR="00A052DC" w:rsidRDefault="009F0A60">
      <w:pPr>
        <w:ind w:firstLine="567"/>
      </w:pPr>
      <w:r>
        <w:t>&lt;B0510&gt;</w:t>
      </w:r>
      <w:r>
        <w:rPr>
          <w:rFonts w:hAnsi="宋体"/>
        </w:rPr>
        <w:t>本月发行金额</w:t>
      </w:r>
      <w:r>
        <w:t>&lt;/B0510&gt;</w:t>
      </w:r>
    </w:p>
    <w:p w14:paraId="19480D98" w14:textId="77777777" w:rsidR="00A052DC" w:rsidRDefault="009F0A60">
      <w:pPr>
        <w:ind w:firstLine="567"/>
      </w:pPr>
      <w:r>
        <w:t>&lt;B0511&gt;</w:t>
      </w:r>
      <w:r>
        <w:rPr>
          <w:rFonts w:hAnsi="宋体"/>
        </w:rPr>
        <w:t>本</w:t>
      </w:r>
      <w:r>
        <w:rPr>
          <w:rFonts w:hAnsi="宋体"/>
          <w:szCs w:val="21"/>
        </w:rPr>
        <w:t>月赎回金</w:t>
      </w:r>
      <w:r>
        <w:rPr>
          <w:rFonts w:hAnsi="宋体"/>
        </w:rPr>
        <w:t>额</w:t>
      </w:r>
      <w:r>
        <w:t>&lt;/B0511&gt;</w:t>
      </w:r>
    </w:p>
    <w:p w14:paraId="7C3E4CF1" w14:textId="77777777" w:rsidR="00A052DC" w:rsidRDefault="009F0A60">
      <w:pPr>
        <w:ind w:firstLine="567"/>
      </w:pPr>
      <w:r>
        <w:t>&lt;B0512&gt;</w:t>
      </w:r>
      <w:r>
        <w:rPr>
          <w:rFonts w:hAnsi="宋体"/>
        </w:rPr>
        <w:t>本月非交易变动</w:t>
      </w:r>
      <w:r>
        <w:t>&lt;/B0512&gt;</w:t>
      </w:r>
    </w:p>
    <w:p w14:paraId="7D1AB9C0" w14:textId="77777777" w:rsidR="00A052DC" w:rsidRDefault="009F0A60">
      <w:pPr>
        <w:ind w:firstLine="567"/>
      </w:pPr>
      <w:r>
        <w:t>&lt;B0513&gt;</w:t>
      </w:r>
      <w:r>
        <w:rPr>
          <w:rFonts w:hAnsi="宋体" w:hint="eastAsia"/>
        </w:rPr>
        <w:t>调整或重新分类至其他报表统计的金额</w:t>
      </w:r>
      <w:r>
        <w:t>&lt;/B0513&gt;</w:t>
      </w:r>
    </w:p>
    <w:p w14:paraId="0554F2DD" w14:textId="77777777" w:rsidR="00A052DC" w:rsidRDefault="009F0A60">
      <w:pPr>
        <w:ind w:firstLine="567"/>
      </w:pPr>
      <w:r>
        <w:t>&lt;B0514&gt;</w:t>
      </w:r>
      <w:r>
        <w:rPr>
          <w:rFonts w:hAnsi="宋体"/>
        </w:rPr>
        <w:t>价值重估因素</w:t>
      </w:r>
      <w:r>
        <w:t>&lt;/B0514&gt;</w:t>
      </w:r>
    </w:p>
    <w:p w14:paraId="26F5C25B" w14:textId="77777777" w:rsidR="00A052DC" w:rsidRDefault="009F0A60">
      <w:pPr>
        <w:ind w:firstLine="567"/>
      </w:pPr>
      <w:r>
        <w:t>&lt;B0515&gt;</w:t>
      </w:r>
      <w:r>
        <w:rPr>
          <w:rFonts w:hAnsi="宋体"/>
        </w:rPr>
        <w:t>本月末市值</w:t>
      </w:r>
      <w:r>
        <w:t>&lt;/B0515&gt;</w:t>
      </w:r>
    </w:p>
    <w:p w14:paraId="3D2DEE22" w14:textId="77777777" w:rsidR="00A052DC" w:rsidRDefault="009F0A60">
      <w:pPr>
        <w:ind w:firstLine="567"/>
      </w:pPr>
      <w:r>
        <w:t>&lt;B0516&gt;</w:t>
      </w:r>
      <w:r>
        <w:rPr>
          <w:rFonts w:hAnsi="宋体"/>
        </w:rPr>
        <w:t>本月末市值其中</w:t>
      </w:r>
      <w:r>
        <w:rPr>
          <w:rFonts w:hAnsi="宋体" w:hint="eastAsia"/>
        </w:rPr>
        <w:t>：</w:t>
      </w:r>
      <w:r>
        <w:rPr>
          <w:rFonts w:hAnsi="宋体"/>
        </w:rPr>
        <w:t>剩余期限在一年及以下</w:t>
      </w:r>
      <w:r>
        <w:t>&lt;/B0516&gt;</w:t>
      </w:r>
    </w:p>
    <w:p w14:paraId="2615565C" w14:textId="77777777" w:rsidR="00A052DC" w:rsidRDefault="009F0A60">
      <w:pPr>
        <w:ind w:firstLine="567"/>
      </w:pPr>
      <w:r>
        <w:t>&lt;B0517&gt;</w:t>
      </w:r>
      <w:r>
        <w:rPr>
          <w:rFonts w:hAnsi="宋体"/>
        </w:rPr>
        <w:t>本月利息支出</w:t>
      </w:r>
      <w:r>
        <w:t>&lt;/B0517&gt;</w:t>
      </w:r>
    </w:p>
    <w:p w14:paraId="1B9ED041" w14:textId="77777777" w:rsidR="00A052DC" w:rsidRDefault="009F0A60">
      <w:pPr>
        <w:ind w:firstLine="567"/>
      </w:pPr>
      <w:r>
        <w:t>&lt;B0518&gt;</w:t>
      </w:r>
      <w:r>
        <w:rPr>
          <w:rFonts w:hint="eastAsia"/>
        </w:rPr>
        <w:t>本月末</w:t>
      </w:r>
      <w:r>
        <w:rPr>
          <w:rFonts w:ascii="黑体"/>
          <w:color w:val="000000"/>
        </w:rPr>
        <w:t>未到期</w:t>
      </w:r>
      <w:r>
        <w:rPr>
          <w:rFonts w:ascii="黑体"/>
          <w:color w:val="000000"/>
        </w:rPr>
        <w:t>/</w:t>
      </w:r>
      <w:r>
        <w:rPr>
          <w:rFonts w:ascii="黑体"/>
          <w:color w:val="000000"/>
        </w:rPr>
        <w:t>未偿付</w:t>
      </w:r>
      <w:r>
        <w:rPr>
          <w:rFonts w:hint="eastAsia"/>
        </w:rPr>
        <w:t>债券面值</w:t>
      </w:r>
      <w:r>
        <w:t>&lt;/B0518&gt;</w:t>
      </w:r>
    </w:p>
    <w:p w14:paraId="36A8165F" w14:textId="77777777" w:rsidR="00A052DC" w:rsidRDefault="009F0A60">
      <w:pPr>
        <w:ind w:firstLine="567"/>
      </w:pPr>
      <w:r>
        <w:t>&lt;REMARK&gt;</w:t>
      </w:r>
      <w:r>
        <w:rPr>
          <w:rFonts w:hAnsi="宋体"/>
        </w:rPr>
        <w:t>备注</w:t>
      </w:r>
      <w:r>
        <w:t>&lt;/REMARK&gt;</w:t>
      </w:r>
    </w:p>
    <w:p w14:paraId="696EFC4C" w14:textId="77777777" w:rsidR="00A052DC" w:rsidRDefault="009F0A60">
      <w:pPr>
        <w:ind w:firstLine="480"/>
      </w:pPr>
      <w:r>
        <w:t>&lt;/REC&gt;</w:t>
      </w:r>
    </w:p>
    <w:p w14:paraId="61D1DBE1" w14:textId="77777777" w:rsidR="00A052DC" w:rsidRDefault="009F0A60" w:rsidP="0020251D">
      <w:pPr>
        <w:pStyle w:val="4"/>
        <w:numPr>
          <w:ilvl w:val="3"/>
          <w:numId w:val="1"/>
        </w:numPr>
        <w:jc w:val="left"/>
      </w:pPr>
      <w:bookmarkStart w:id="3131" w:name="_Toc454391279"/>
      <w:bookmarkStart w:id="3132" w:name="_Toc380570942"/>
      <w:r>
        <w:rPr>
          <w:rFonts w:hint="eastAsia"/>
        </w:rPr>
        <w:t>数据字典</w:t>
      </w:r>
      <w:bookmarkEnd w:id="3131"/>
      <w:bookmarkEnd w:id="3132"/>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268"/>
        <w:gridCol w:w="1418"/>
        <w:gridCol w:w="3685"/>
      </w:tblGrid>
      <w:tr w:rsidR="00A052DC" w14:paraId="2DF23375" w14:textId="77777777">
        <w:trPr>
          <w:tblHeader/>
        </w:trPr>
        <w:tc>
          <w:tcPr>
            <w:tcW w:w="1242" w:type="dxa"/>
            <w:shd w:val="clear" w:color="000000" w:fill="C0C0C0"/>
          </w:tcPr>
          <w:p w14:paraId="4AED32A2" w14:textId="77777777" w:rsidR="00A052DC" w:rsidRDefault="009F0A60">
            <w:pPr>
              <w:jc w:val="center"/>
              <w:rPr>
                <w:rFonts w:ascii="黑体" w:eastAsia="黑体" w:hAnsi="黑体"/>
                <w:b/>
                <w:sz w:val="20"/>
                <w:szCs w:val="20"/>
              </w:rPr>
            </w:pPr>
            <w:r>
              <w:rPr>
                <w:rFonts w:ascii="黑体" w:eastAsia="黑体" w:hAnsi="黑体" w:hint="eastAsia"/>
                <w:b/>
                <w:sz w:val="20"/>
                <w:szCs w:val="20"/>
              </w:rPr>
              <w:t>字段</w:t>
            </w:r>
          </w:p>
        </w:tc>
        <w:tc>
          <w:tcPr>
            <w:tcW w:w="2268" w:type="dxa"/>
            <w:shd w:val="clear" w:color="000000" w:fill="C0C0C0"/>
          </w:tcPr>
          <w:p w14:paraId="08BC6046" w14:textId="77777777" w:rsidR="00A052DC" w:rsidRDefault="009F0A60">
            <w:pPr>
              <w:jc w:val="center"/>
              <w:rPr>
                <w:rFonts w:ascii="黑体" w:eastAsia="黑体" w:hAnsi="黑体"/>
                <w:b/>
                <w:sz w:val="20"/>
                <w:szCs w:val="20"/>
              </w:rPr>
            </w:pPr>
            <w:r>
              <w:rPr>
                <w:rFonts w:ascii="黑体" w:eastAsia="黑体" w:hAnsi="黑体" w:hint="eastAsia"/>
                <w:b/>
                <w:sz w:val="20"/>
                <w:szCs w:val="20"/>
              </w:rPr>
              <w:t>内容</w:t>
            </w:r>
          </w:p>
        </w:tc>
        <w:tc>
          <w:tcPr>
            <w:tcW w:w="1418" w:type="dxa"/>
            <w:shd w:val="clear" w:color="000000" w:fill="C0C0C0"/>
          </w:tcPr>
          <w:p w14:paraId="3DC614BA" w14:textId="77777777" w:rsidR="00A052DC" w:rsidRDefault="009F0A60">
            <w:pPr>
              <w:jc w:val="center"/>
              <w:rPr>
                <w:rFonts w:ascii="黑体" w:eastAsia="黑体" w:hAnsi="黑体"/>
                <w:b/>
                <w:sz w:val="20"/>
                <w:szCs w:val="20"/>
              </w:rPr>
            </w:pPr>
            <w:r>
              <w:rPr>
                <w:rFonts w:ascii="黑体" w:eastAsia="黑体" w:hAnsi="黑体" w:hint="eastAsia"/>
                <w:b/>
                <w:sz w:val="20"/>
                <w:szCs w:val="20"/>
              </w:rPr>
              <w:t>类型（长度）</w:t>
            </w:r>
          </w:p>
        </w:tc>
        <w:tc>
          <w:tcPr>
            <w:tcW w:w="3685" w:type="dxa"/>
            <w:shd w:val="clear" w:color="000000" w:fill="C0C0C0"/>
          </w:tcPr>
          <w:p w14:paraId="7315FF5B" w14:textId="77777777" w:rsidR="00A052DC" w:rsidRDefault="009F0A60">
            <w:pPr>
              <w:jc w:val="center"/>
              <w:rPr>
                <w:rFonts w:ascii="黑体" w:eastAsia="黑体" w:hAnsi="黑体"/>
                <w:b/>
                <w:sz w:val="20"/>
                <w:szCs w:val="20"/>
              </w:rPr>
            </w:pPr>
            <w:r>
              <w:rPr>
                <w:rFonts w:ascii="黑体" w:eastAsia="黑体" w:hAnsi="黑体" w:hint="eastAsia"/>
                <w:b/>
                <w:sz w:val="20"/>
                <w:szCs w:val="20"/>
              </w:rPr>
              <w:t>校验</w:t>
            </w:r>
          </w:p>
        </w:tc>
      </w:tr>
      <w:tr w:rsidR="00A052DC" w14:paraId="65E72D4E" w14:textId="77777777">
        <w:tc>
          <w:tcPr>
            <w:tcW w:w="1242" w:type="dxa"/>
            <w:shd w:val="clear" w:color="auto" w:fill="auto"/>
          </w:tcPr>
          <w:p w14:paraId="3FACCA79" w14:textId="77777777" w:rsidR="00A052DC" w:rsidRDefault="009F0A60">
            <w:pPr>
              <w:rPr>
                <w:rFonts w:ascii="黑体" w:eastAsia="黑体" w:hAnsi="黑体"/>
                <w:sz w:val="20"/>
                <w:szCs w:val="20"/>
              </w:rPr>
            </w:pPr>
            <w:r>
              <w:rPr>
                <w:rFonts w:ascii="黑体" w:eastAsia="黑体" w:hAnsi="黑体" w:hint="eastAsia"/>
                <w:sz w:val="20"/>
                <w:szCs w:val="20"/>
              </w:rPr>
              <w:t>ACTIONTYPE</w:t>
            </w:r>
          </w:p>
        </w:tc>
        <w:tc>
          <w:tcPr>
            <w:tcW w:w="2268" w:type="dxa"/>
            <w:shd w:val="clear" w:color="auto" w:fill="auto"/>
          </w:tcPr>
          <w:p w14:paraId="62E05BEC" w14:textId="77777777" w:rsidR="00A052DC" w:rsidRDefault="009F0A60">
            <w:pPr>
              <w:rPr>
                <w:rFonts w:ascii="黑体" w:eastAsia="黑体" w:hAnsi="黑体"/>
                <w:sz w:val="20"/>
                <w:szCs w:val="20"/>
              </w:rPr>
            </w:pPr>
            <w:r>
              <w:rPr>
                <w:rFonts w:ascii="黑体" w:eastAsia="黑体" w:hAnsi="黑体" w:hint="eastAsia"/>
                <w:sz w:val="20"/>
                <w:szCs w:val="20"/>
              </w:rPr>
              <w:t>操作类型</w:t>
            </w:r>
          </w:p>
        </w:tc>
        <w:tc>
          <w:tcPr>
            <w:tcW w:w="1418" w:type="dxa"/>
            <w:shd w:val="clear" w:color="auto" w:fill="auto"/>
          </w:tcPr>
          <w:p w14:paraId="54335003" w14:textId="77777777" w:rsidR="00A052DC" w:rsidRDefault="009F0A60">
            <w:pPr>
              <w:rPr>
                <w:rFonts w:ascii="黑体" w:eastAsia="黑体" w:hAnsi="黑体"/>
                <w:sz w:val="20"/>
                <w:szCs w:val="20"/>
              </w:rPr>
            </w:pPr>
            <w:r>
              <w:rPr>
                <w:rFonts w:ascii="黑体" w:eastAsia="黑体" w:hAnsi="黑体" w:hint="eastAsia"/>
                <w:sz w:val="20"/>
                <w:szCs w:val="20"/>
              </w:rPr>
              <w:t>字符型，1</w:t>
            </w:r>
          </w:p>
        </w:tc>
        <w:tc>
          <w:tcPr>
            <w:tcW w:w="3685" w:type="dxa"/>
            <w:shd w:val="clear" w:color="auto" w:fill="auto"/>
          </w:tcPr>
          <w:p w14:paraId="4F9176C7" w14:textId="77777777" w:rsidR="00A052DC" w:rsidRDefault="009F0A60">
            <w:pPr>
              <w:rPr>
                <w:rFonts w:ascii="黑体" w:eastAsia="黑体" w:hAnsi="黑体"/>
                <w:sz w:val="20"/>
                <w:szCs w:val="20"/>
              </w:rPr>
            </w:pPr>
            <w:r>
              <w:rPr>
                <w:rFonts w:ascii="黑体" w:eastAsia="黑体" w:hAnsi="黑体" w:hint="eastAsia"/>
                <w:sz w:val="20"/>
                <w:szCs w:val="20"/>
              </w:rPr>
              <w:t>必填项</w:t>
            </w:r>
            <w:r w:rsidR="00191DE9">
              <w:rPr>
                <w:rFonts w:ascii="黑体" w:eastAsia="黑体" w:hAnsi="黑体" w:hint="eastAsia"/>
                <w:sz w:val="20"/>
                <w:szCs w:val="20"/>
              </w:rPr>
              <w:t>。</w:t>
            </w:r>
          </w:p>
          <w:p w14:paraId="1A869B85" w14:textId="77777777" w:rsidR="00A052DC" w:rsidRDefault="009F0A60">
            <w:pPr>
              <w:rPr>
                <w:rFonts w:ascii="黑体" w:eastAsia="黑体" w:hAnsi="黑体"/>
                <w:sz w:val="20"/>
                <w:szCs w:val="20"/>
              </w:rPr>
            </w:pPr>
            <w:r>
              <w:rPr>
                <w:rFonts w:ascii="黑体" w:eastAsia="黑体" w:hAnsi="黑体" w:hint="eastAsia"/>
                <w:sz w:val="20"/>
                <w:szCs w:val="20"/>
              </w:rPr>
              <w:t>A</w:t>
            </w:r>
            <w:r w:rsidR="00AE4602">
              <w:rPr>
                <w:rFonts w:ascii="黑体" w:eastAsia="黑体" w:hAnsi="黑体" w:hint="eastAsia"/>
                <w:sz w:val="20"/>
                <w:szCs w:val="20"/>
              </w:rPr>
              <w:t>-</w:t>
            </w:r>
            <w:r>
              <w:rPr>
                <w:rFonts w:ascii="黑体" w:eastAsia="黑体" w:hAnsi="黑体" w:hint="eastAsia"/>
                <w:sz w:val="20"/>
                <w:szCs w:val="20"/>
              </w:rPr>
              <w:t>新建</w:t>
            </w:r>
          </w:p>
          <w:p w14:paraId="3908EE05" w14:textId="77777777" w:rsidR="00A052DC" w:rsidRDefault="009F0A60">
            <w:pPr>
              <w:rPr>
                <w:rFonts w:ascii="黑体" w:eastAsia="黑体" w:hAnsi="黑体"/>
                <w:sz w:val="20"/>
                <w:szCs w:val="20"/>
              </w:rPr>
            </w:pPr>
            <w:r>
              <w:rPr>
                <w:rFonts w:ascii="黑体" w:eastAsia="黑体" w:hAnsi="黑体" w:hint="eastAsia"/>
                <w:sz w:val="20"/>
                <w:szCs w:val="20"/>
              </w:rPr>
              <w:t>C</w:t>
            </w:r>
            <w:r w:rsidR="00AE4602">
              <w:rPr>
                <w:rFonts w:ascii="黑体" w:eastAsia="黑体" w:hAnsi="黑体" w:hint="eastAsia"/>
                <w:sz w:val="20"/>
                <w:szCs w:val="20"/>
              </w:rPr>
              <w:t>-</w:t>
            </w:r>
            <w:r>
              <w:rPr>
                <w:rFonts w:ascii="黑体" w:eastAsia="黑体" w:hAnsi="黑体" w:hint="eastAsia"/>
                <w:sz w:val="20"/>
                <w:szCs w:val="20"/>
              </w:rPr>
              <w:t>修改</w:t>
            </w:r>
          </w:p>
          <w:p w14:paraId="26A01234" w14:textId="77777777" w:rsidR="00A052DC" w:rsidRDefault="009F0A60">
            <w:pPr>
              <w:rPr>
                <w:rFonts w:ascii="黑体" w:eastAsia="黑体" w:hAnsi="黑体"/>
                <w:sz w:val="20"/>
                <w:szCs w:val="20"/>
              </w:rPr>
            </w:pPr>
            <w:r>
              <w:rPr>
                <w:rFonts w:ascii="黑体" w:eastAsia="黑体" w:hAnsi="黑体" w:hint="eastAsia"/>
                <w:sz w:val="20"/>
                <w:szCs w:val="20"/>
              </w:rPr>
              <w:t>D</w:t>
            </w:r>
            <w:r w:rsidR="00AE4602">
              <w:rPr>
                <w:rFonts w:ascii="黑体" w:eastAsia="黑体" w:hAnsi="黑体" w:hint="eastAsia"/>
                <w:sz w:val="20"/>
                <w:szCs w:val="20"/>
              </w:rPr>
              <w:t>-</w:t>
            </w:r>
            <w:r>
              <w:rPr>
                <w:rFonts w:ascii="黑体" w:eastAsia="黑体" w:hAnsi="黑体" w:hint="eastAsia"/>
                <w:sz w:val="20"/>
                <w:szCs w:val="20"/>
              </w:rPr>
              <w:t>删除</w:t>
            </w:r>
          </w:p>
        </w:tc>
      </w:tr>
      <w:tr w:rsidR="00A052DC" w14:paraId="35C368D6" w14:textId="77777777">
        <w:tc>
          <w:tcPr>
            <w:tcW w:w="1242" w:type="dxa"/>
            <w:shd w:val="clear" w:color="auto" w:fill="auto"/>
          </w:tcPr>
          <w:p w14:paraId="70C1F00F" w14:textId="77777777" w:rsidR="00A052DC" w:rsidRDefault="009F0A60">
            <w:pPr>
              <w:rPr>
                <w:rFonts w:ascii="黑体" w:eastAsia="黑体" w:hAnsi="黑体"/>
                <w:sz w:val="20"/>
                <w:szCs w:val="20"/>
              </w:rPr>
            </w:pPr>
            <w:r>
              <w:rPr>
                <w:rFonts w:ascii="黑体" w:eastAsia="黑体" w:hAnsi="黑体" w:hint="eastAsia"/>
                <w:sz w:val="20"/>
                <w:szCs w:val="20"/>
              </w:rPr>
              <w:t>ACTIONDESC</w:t>
            </w:r>
          </w:p>
        </w:tc>
        <w:tc>
          <w:tcPr>
            <w:tcW w:w="2268" w:type="dxa"/>
            <w:shd w:val="clear" w:color="auto" w:fill="auto"/>
          </w:tcPr>
          <w:p w14:paraId="5B2370C6" w14:textId="77777777" w:rsidR="00A052DC" w:rsidRDefault="009F0A60">
            <w:pPr>
              <w:rPr>
                <w:rFonts w:ascii="黑体" w:eastAsia="黑体" w:hAnsi="黑体"/>
                <w:sz w:val="20"/>
                <w:szCs w:val="20"/>
              </w:rPr>
            </w:pPr>
            <w:r>
              <w:rPr>
                <w:rFonts w:ascii="黑体" w:eastAsia="黑体" w:hAnsi="黑体" w:hint="eastAsia"/>
                <w:sz w:val="20"/>
                <w:szCs w:val="20"/>
              </w:rPr>
              <w:t>删除原因</w:t>
            </w:r>
          </w:p>
        </w:tc>
        <w:tc>
          <w:tcPr>
            <w:tcW w:w="1418" w:type="dxa"/>
            <w:shd w:val="clear" w:color="auto" w:fill="auto"/>
          </w:tcPr>
          <w:p w14:paraId="79AA498C"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3685" w:type="dxa"/>
            <w:shd w:val="clear" w:color="auto" w:fill="auto"/>
          </w:tcPr>
          <w:p w14:paraId="14D47619" w14:textId="77777777" w:rsidR="00A052DC" w:rsidRDefault="00DD6AA3">
            <w:pPr>
              <w:rPr>
                <w:rFonts w:ascii="黑体" w:eastAsia="黑体" w:hAnsi="黑体"/>
                <w:sz w:val="20"/>
                <w:szCs w:val="20"/>
              </w:rPr>
            </w:pPr>
            <w:r>
              <w:rPr>
                <w:rFonts w:ascii="黑体" w:eastAsia="黑体" w:hAnsi="黑体" w:hint="eastAsia"/>
                <w:sz w:val="20"/>
                <w:szCs w:val="20"/>
              </w:rPr>
              <w:t>非必填项，当操作类型（ACTIONTYPE）为删除时必填。</w:t>
            </w:r>
          </w:p>
        </w:tc>
      </w:tr>
      <w:tr w:rsidR="00A052DC" w14:paraId="43F53B14" w14:textId="77777777">
        <w:tc>
          <w:tcPr>
            <w:tcW w:w="1242" w:type="dxa"/>
            <w:shd w:val="clear" w:color="auto" w:fill="auto"/>
          </w:tcPr>
          <w:p w14:paraId="2499A5B9" w14:textId="77777777" w:rsidR="00A052DC" w:rsidRDefault="009F0A60">
            <w:pPr>
              <w:rPr>
                <w:rFonts w:ascii="黑体" w:eastAsia="黑体" w:hAnsi="黑体"/>
                <w:sz w:val="20"/>
                <w:szCs w:val="20"/>
              </w:rPr>
            </w:pPr>
            <w:r>
              <w:rPr>
                <w:rFonts w:ascii="黑体" w:eastAsia="黑体" w:hAnsi="黑体" w:hint="eastAsia"/>
                <w:sz w:val="20"/>
                <w:szCs w:val="20"/>
              </w:rPr>
              <w:t>SNOCODE</w:t>
            </w:r>
          </w:p>
        </w:tc>
        <w:tc>
          <w:tcPr>
            <w:tcW w:w="2268" w:type="dxa"/>
            <w:shd w:val="clear" w:color="auto" w:fill="auto"/>
          </w:tcPr>
          <w:p w14:paraId="357764BA" w14:textId="77777777" w:rsidR="00A052DC" w:rsidRDefault="009F0A60">
            <w:pPr>
              <w:rPr>
                <w:rFonts w:ascii="黑体" w:eastAsia="黑体" w:hAnsi="黑体"/>
                <w:sz w:val="20"/>
                <w:szCs w:val="20"/>
              </w:rPr>
            </w:pPr>
            <w:r>
              <w:rPr>
                <w:rFonts w:ascii="黑体" w:eastAsia="黑体" w:hAnsi="黑体" w:hint="eastAsia"/>
                <w:sz w:val="20"/>
                <w:szCs w:val="20"/>
              </w:rPr>
              <w:t>数据自编码</w:t>
            </w:r>
          </w:p>
        </w:tc>
        <w:tc>
          <w:tcPr>
            <w:tcW w:w="1418" w:type="dxa"/>
            <w:shd w:val="clear" w:color="auto" w:fill="auto"/>
          </w:tcPr>
          <w:p w14:paraId="40600817" w14:textId="77777777" w:rsidR="00A052DC" w:rsidRDefault="009F0A60">
            <w:pPr>
              <w:rPr>
                <w:rFonts w:ascii="黑体" w:eastAsia="黑体" w:hAnsi="黑体"/>
                <w:sz w:val="20"/>
                <w:szCs w:val="20"/>
              </w:rPr>
            </w:pPr>
            <w:r>
              <w:rPr>
                <w:rFonts w:ascii="黑体" w:eastAsia="黑体" w:hAnsi="黑体" w:hint="eastAsia"/>
                <w:sz w:val="20"/>
                <w:szCs w:val="20"/>
              </w:rPr>
              <w:t>字符型，36</w:t>
            </w:r>
          </w:p>
        </w:tc>
        <w:tc>
          <w:tcPr>
            <w:tcW w:w="3685" w:type="dxa"/>
            <w:shd w:val="clear" w:color="auto" w:fill="auto"/>
          </w:tcPr>
          <w:p w14:paraId="3F233000" w14:textId="77777777" w:rsidR="00A052DC" w:rsidRDefault="009F0A60">
            <w:pPr>
              <w:rPr>
                <w:rFonts w:ascii="黑体" w:eastAsia="黑体" w:hAnsi="黑体"/>
                <w:sz w:val="20"/>
                <w:szCs w:val="20"/>
              </w:rPr>
            </w:pPr>
            <w:r>
              <w:rPr>
                <w:rFonts w:ascii="黑体" w:eastAsia="黑体" w:hAnsi="黑体" w:hint="eastAsia"/>
                <w:sz w:val="20"/>
                <w:szCs w:val="20"/>
              </w:rPr>
              <w:t>必填项。</w:t>
            </w:r>
            <w:r>
              <w:rPr>
                <w:rFonts w:ascii="黑体" w:eastAsia="黑体" w:hAnsi="黑体"/>
                <w:sz w:val="20"/>
                <w:szCs w:val="20"/>
              </w:rPr>
              <w:t>对于接口报送的填报主体，数据自编码中的报送期（6位）应与报告期（YYYYMM）一致。</w:t>
            </w:r>
          </w:p>
        </w:tc>
      </w:tr>
      <w:tr w:rsidR="00A052DC" w14:paraId="7A1BB87A" w14:textId="77777777">
        <w:tc>
          <w:tcPr>
            <w:tcW w:w="1242" w:type="dxa"/>
            <w:shd w:val="clear" w:color="auto" w:fill="auto"/>
          </w:tcPr>
          <w:p w14:paraId="31E84841" w14:textId="77777777" w:rsidR="00A052DC" w:rsidRDefault="009F0A60">
            <w:pPr>
              <w:rPr>
                <w:rFonts w:ascii="黑体" w:eastAsia="黑体" w:hAnsi="黑体"/>
                <w:sz w:val="20"/>
                <w:szCs w:val="20"/>
              </w:rPr>
            </w:pPr>
            <w:r>
              <w:rPr>
                <w:rFonts w:ascii="黑体" w:eastAsia="黑体" w:hAnsi="黑体" w:hint="eastAsia"/>
                <w:sz w:val="20"/>
                <w:szCs w:val="20"/>
              </w:rPr>
              <w:t>OBJCODE</w:t>
            </w:r>
          </w:p>
        </w:tc>
        <w:tc>
          <w:tcPr>
            <w:tcW w:w="2268" w:type="dxa"/>
            <w:shd w:val="clear" w:color="auto" w:fill="auto"/>
          </w:tcPr>
          <w:p w14:paraId="3728C539" w14:textId="77777777" w:rsidR="00A052DC" w:rsidRDefault="009F0A60">
            <w:pPr>
              <w:rPr>
                <w:rFonts w:ascii="黑体" w:eastAsia="黑体" w:hAnsi="黑体"/>
                <w:sz w:val="20"/>
                <w:szCs w:val="20"/>
              </w:rPr>
            </w:pPr>
            <w:r>
              <w:rPr>
                <w:rFonts w:ascii="黑体" w:eastAsia="黑体" w:hAnsi="黑体" w:hint="eastAsia"/>
                <w:sz w:val="20"/>
                <w:szCs w:val="20"/>
              </w:rPr>
              <w:t>申报主体代码</w:t>
            </w:r>
          </w:p>
        </w:tc>
        <w:tc>
          <w:tcPr>
            <w:tcW w:w="1418" w:type="dxa"/>
            <w:shd w:val="clear" w:color="auto" w:fill="auto"/>
          </w:tcPr>
          <w:p w14:paraId="3222ECDB" w14:textId="77777777" w:rsidR="00A052DC" w:rsidRDefault="009F0A60">
            <w:pPr>
              <w:rPr>
                <w:rFonts w:ascii="黑体" w:eastAsia="黑体" w:hAnsi="黑体"/>
                <w:sz w:val="20"/>
                <w:szCs w:val="20"/>
              </w:rPr>
            </w:pPr>
            <w:r>
              <w:rPr>
                <w:rFonts w:ascii="黑体" w:eastAsia="黑体" w:hAnsi="黑体" w:hint="eastAsia"/>
                <w:sz w:val="20"/>
                <w:szCs w:val="20"/>
              </w:rPr>
              <w:t>字符型，18</w:t>
            </w:r>
          </w:p>
        </w:tc>
        <w:tc>
          <w:tcPr>
            <w:tcW w:w="3685" w:type="dxa"/>
            <w:shd w:val="clear" w:color="auto" w:fill="auto"/>
          </w:tcPr>
          <w:p w14:paraId="00E55C8A" w14:textId="77777777" w:rsidR="00A052DC" w:rsidRDefault="009F0A60">
            <w:pPr>
              <w:rPr>
                <w:rFonts w:ascii="黑体" w:eastAsia="黑体" w:hAnsi="黑体"/>
                <w:sz w:val="20"/>
                <w:szCs w:val="20"/>
              </w:rPr>
            </w:pPr>
            <w:r>
              <w:rPr>
                <w:rFonts w:ascii="黑体" w:eastAsia="黑体" w:hAnsi="黑体" w:hint="eastAsia"/>
                <w:sz w:val="20"/>
                <w:szCs w:val="20"/>
              </w:rPr>
              <w:t>申报主体的12位金融机构标识码，如果没有金融机构标识码，则填报统一社会信用代码法定载体（如营业执照）上统一社会信用代码中的第9至17位或国家外汇管理局及其分支局签发的特殊机构代码赋码通知书上的机构代码、个人身份代码。</w:t>
            </w:r>
          </w:p>
        </w:tc>
      </w:tr>
      <w:tr w:rsidR="00A052DC" w14:paraId="6B626A09" w14:textId="77777777">
        <w:tc>
          <w:tcPr>
            <w:tcW w:w="1242" w:type="dxa"/>
            <w:shd w:val="clear" w:color="auto" w:fill="auto"/>
          </w:tcPr>
          <w:p w14:paraId="14810FD1" w14:textId="77777777" w:rsidR="00A052DC" w:rsidRDefault="009F0A60">
            <w:pPr>
              <w:rPr>
                <w:rFonts w:ascii="黑体" w:eastAsia="黑体" w:hAnsi="黑体"/>
                <w:sz w:val="20"/>
                <w:szCs w:val="20"/>
              </w:rPr>
            </w:pPr>
            <w:r>
              <w:rPr>
                <w:rFonts w:ascii="黑体" w:eastAsia="黑体" w:hAnsi="黑体" w:hint="eastAsia"/>
                <w:sz w:val="20"/>
                <w:szCs w:val="20"/>
              </w:rPr>
              <w:t>BUOCMONTH</w:t>
            </w:r>
          </w:p>
        </w:tc>
        <w:tc>
          <w:tcPr>
            <w:tcW w:w="2268" w:type="dxa"/>
            <w:shd w:val="clear" w:color="auto" w:fill="auto"/>
          </w:tcPr>
          <w:p w14:paraId="36488EBB" w14:textId="77777777" w:rsidR="00A052DC" w:rsidRDefault="009F0A60">
            <w:pPr>
              <w:rPr>
                <w:rFonts w:ascii="黑体" w:eastAsia="黑体" w:hAnsi="黑体"/>
                <w:sz w:val="20"/>
                <w:szCs w:val="20"/>
              </w:rPr>
            </w:pPr>
            <w:r>
              <w:rPr>
                <w:rFonts w:ascii="黑体" w:eastAsia="黑体" w:hAnsi="黑体" w:hint="eastAsia"/>
                <w:sz w:val="20"/>
                <w:szCs w:val="20"/>
              </w:rPr>
              <w:t>报告期</w:t>
            </w:r>
          </w:p>
        </w:tc>
        <w:tc>
          <w:tcPr>
            <w:tcW w:w="1418" w:type="dxa"/>
            <w:shd w:val="clear" w:color="auto" w:fill="auto"/>
          </w:tcPr>
          <w:p w14:paraId="1898728E" w14:textId="77777777" w:rsidR="00A052DC" w:rsidRDefault="009F0A60">
            <w:pPr>
              <w:rPr>
                <w:rFonts w:ascii="黑体" w:eastAsia="黑体" w:hAnsi="黑体"/>
                <w:sz w:val="20"/>
                <w:szCs w:val="20"/>
              </w:rPr>
            </w:pPr>
            <w:r>
              <w:rPr>
                <w:rFonts w:ascii="黑体" w:eastAsia="黑体" w:hAnsi="黑体" w:hint="eastAsia"/>
                <w:sz w:val="20"/>
                <w:szCs w:val="20"/>
              </w:rPr>
              <w:t>数值型，6</w:t>
            </w:r>
          </w:p>
        </w:tc>
        <w:tc>
          <w:tcPr>
            <w:tcW w:w="3685" w:type="dxa"/>
            <w:shd w:val="clear" w:color="auto" w:fill="auto"/>
          </w:tcPr>
          <w:p w14:paraId="2B6F642A" w14:textId="77777777" w:rsidR="00A052DC" w:rsidRDefault="009F0A60">
            <w:pPr>
              <w:rPr>
                <w:rFonts w:ascii="黑体" w:eastAsia="黑体" w:hAnsi="黑体"/>
                <w:sz w:val="20"/>
                <w:szCs w:val="20"/>
              </w:rPr>
            </w:pPr>
            <w:r>
              <w:rPr>
                <w:rFonts w:ascii="黑体" w:eastAsia="黑体" w:hAnsi="黑体" w:hint="eastAsia"/>
                <w:sz w:val="20"/>
                <w:szCs w:val="20"/>
              </w:rPr>
              <w:t>必填项，格式为YYYYMM。</w:t>
            </w:r>
          </w:p>
        </w:tc>
      </w:tr>
      <w:tr w:rsidR="00A052DC" w14:paraId="64282402" w14:textId="77777777">
        <w:tc>
          <w:tcPr>
            <w:tcW w:w="1242" w:type="dxa"/>
            <w:shd w:val="clear" w:color="auto" w:fill="auto"/>
          </w:tcPr>
          <w:p w14:paraId="398ABFC0" w14:textId="77777777" w:rsidR="00A052DC" w:rsidRDefault="009F0A60">
            <w:pPr>
              <w:rPr>
                <w:rFonts w:ascii="黑体" w:eastAsia="黑体" w:hAnsi="黑体"/>
                <w:sz w:val="20"/>
                <w:szCs w:val="20"/>
              </w:rPr>
            </w:pPr>
            <w:r>
              <w:rPr>
                <w:rFonts w:ascii="黑体" w:eastAsia="黑体" w:hAnsi="黑体" w:hint="eastAsia"/>
                <w:sz w:val="20"/>
                <w:szCs w:val="20"/>
              </w:rPr>
              <w:t>EXDEBTCODE</w:t>
            </w:r>
          </w:p>
        </w:tc>
        <w:tc>
          <w:tcPr>
            <w:tcW w:w="2268" w:type="dxa"/>
            <w:shd w:val="clear" w:color="auto" w:fill="auto"/>
          </w:tcPr>
          <w:p w14:paraId="1AEAF28F" w14:textId="77777777" w:rsidR="00A052DC" w:rsidRDefault="009F0A60">
            <w:pPr>
              <w:rPr>
                <w:rFonts w:ascii="黑体" w:eastAsia="黑体" w:hAnsi="黑体"/>
                <w:sz w:val="20"/>
                <w:szCs w:val="20"/>
              </w:rPr>
            </w:pPr>
            <w:r>
              <w:rPr>
                <w:rFonts w:ascii="黑体" w:eastAsia="黑体" w:hAnsi="黑体" w:hint="eastAsia"/>
                <w:sz w:val="20"/>
                <w:szCs w:val="20"/>
              </w:rPr>
              <w:t>外债编号</w:t>
            </w:r>
          </w:p>
        </w:tc>
        <w:tc>
          <w:tcPr>
            <w:tcW w:w="1418" w:type="dxa"/>
            <w:shd w:val="clear" w:color="auto" w:fill="auto"/>
          </w:tcPr>
          <w:p w14:paraId="42680834" w14:textId="77777777" w:rsidR="00A052DC" w:rsidRDefault="009F0A60">
            <w:pPr>
              <w:rPr>
                <w:rFonts w:ascii="黑体" w:eastAsia="黑体" w:hAnsi="黑体"/>
                <w:sz w:val="20"/>
                <w:szCs w:val="20"/>
              </w:rPr>
            </w:pPr>
            <w:r>
              <w:rPr>
                <w:rFonts w:ascii="黑体" w:eastAsia="黑体" w:hAnsi="黑体" w:hint="eastAsia"/>
                <w:sz w:val="20"/>
                <w:szCs w:val="20"/>
              </w:rPr>
              <w:t>字符型，28</w:t>
            </w:r>
          </w:p>
        </w:tc>
        <w:tc>
          <w:tcPr>
            <w:tcW w:w="3685" w:type="dxa"/>
            <w:shd w:val="clear" w:color="auto" w:fill="auto"/>
          </w:tcPr>
          <w:p w14:paraId="2C0F8BD5" w14:textId="77777777" w:rsidR="00A052DC" w:rsidRDefault="009F0A60">
            <w:pPr>
              <w:rPr>
                <w:rFonts w:ascii="黑体" w:eastAsia="黑体" w:hAnsi="黑体"/>
                <w:sz w:val="20"/>
                <w:szCs w:val="20"/>
              </w:rPr>
            </w:pPr>
            <w:r>
              <w:rPr>
                <w:rFonts w:ascii="黑体" w:eastAsia="黑体" w:hAnsi="黑体" w:hint="eastAsia"/>
                <w:sz w:val="20"/>
                <w:szCs w:val="20"/>
              </w:rPr>
              <w:t>必填项，外债唯一性编码。</w:t>
            </w:r>
          </w:p>
          <w:p w14:paraId="6B743528" w14:textId="77777777" w:rsidR="00A052DC" w:rsidRDefault="009F0A60">
            <w:pPr>
              <w:rPr>
                <w:rFonts w:ascii="黑体" w:eastAsia="黑体" w:hAnsi="黑体"/>
                <w:sz w:val="20"/>
                <w:szCs w:val="20"/>
              </w:rPr>
            </w:pPr>
            <w:r>
              <w:rPr>
                <w:rFonts w:ascii="黑体" w:eastAsia="黑体" w:hAnsi="黑体" w:hint="eastAsia"/>
                <w:sz w:val="20"/>
                <w:szCs w:val="20"/>
              </w:rPr>
              <w:t>当</w:t>
            </w:r>
            <w:r>
              <w:rPr>
                <w:rFonts w:ascii="黑体" w:eastAsia="黑体" w:hAnsi="黑体"/>
                <w:sz w:val="20"/>
                <w:szCs w:val="20"/>
              </w:rPr>
              <w:t>企业登记外债编号长度为20位时，请按照20位长度填报</w:t>
            </w:r>
            <w:r>
              <w:rPr>
                <w:rFonts w:ascii="黑体" w:eastAsia="黑体" w:hAnsi="黑体" w:hint="eastAsia"/>
                <w:sz w:val="20"/>
                <w:szCs w:val="20"/>
              </w:rPr>
              <w:t>，</w:t>
            </w:r>
            <w:r>
              <w:rPr>
                <w:rFonts w:ascii="黑体" w:eastAsia="黑体" w:hAnsi="黑体"/>
                <w:sz w:val="20"/>
                <w:szCs w:val="20"/>
              </w:rPr>
              <w:t>不需</w:t>
            </w:r>
            <w:r>
              <w:rPr>
                <w:rFonts w:ascii="黑体" w:eastAsia="黑体" w:hAnsi="黑体" w:hint="eastAsia"/>
                <w:sz w:val="20"/>
                <w:szCs w:val="20"/>
              </w:rPr>
              <w:t>要补足</w:t>
            </w:r>
            <w:r>
              <w:rPr>
                <w:rFonts w:ascii="黑体" w:eastAsia="黑体" w:hAnsi="黑体"/>
                <w:sz w:val="20"/>
                <w:szCs w:val="20"/>
              </w:rPr>
              <w:t>28位。</w:t>
            </w:r>
          </w:p>
        </w:tc>
      </w:tr>
      <w:tr w:rsidR="00A052DC" w14:paraId="16092A0A" w14:textId="77777777">
        <w:tc>
          <w:tcPr>
            <w:tcW w:w="1242" w:type="dxa"/>
            <w:shd w:val="clear" w:color="auto" w:fill="auto"/>
          </w:tcPr>
          <w:p w14:paraId="72FA50E4" w14:textId="77777777" w:rsidR="00A052DC" w:rsidRDefault="009F0A60">
            <w:pPr>
              <w:rPr>
                <w:rFonts w:ascii="黑体" w:eastAsia="黑体" w:hAnsi="黑体"/>
                <w:sz w:val="20"/>
                <w:szCs w:val="20"/>
              </w:rPr>
            </w:pPr>
            <w:r>
              <w:rPr>
                <w:rFonts w:ascii="黑体" w:eastAsia="黑体" w:hAnsi="黑体" w:hint="eastAsia"/>
                <w:sz w:val="20"/>
                <w:szCs w:val="20"/>
              </w:rPr>
              <w:t>B0501</w:t>
            </w:r>
          </w:p>
        </w:tc>
        <w:tc>
          <w:tcPr>
            <w:tcW w:w="2268" w:type="dxa"/>
            <w:shd w:val="clear" w:color="auto" w:fill="auto"/>
          </w:tcPr>
          <w:p w14:paraId="07FE37D0" w14:textId="77777777" w:rsidR="00A052DC" w:rsidRDefault="009F0A60">
            <w:pPr>
              <w:rPr>
                <w:rFonts w:ascii="黑体" w:eastAsia="黑体" w:hAnsi="黑体"/>
                <w:sz w:val="20"/>
                <w:szCs w:val="20"/>
              </w:rPr>
            </w:pPr>
            <w:r>
              <w:rPr>
                <w:rFonts w:ascii="黑体" w:eastAsia="黑体" w:hAnsi="黑体" w:hint="eastAsia"/>
                <w:sz w:val="20"/>
                <w:szCs w:val="20"/>
              </w:rPr>
              <w:t>证券代码</w:t>
            </w:r>
          </w:p>
        </w:tc>
        <w:tc>
          <w:tcPr>
            <w:tcW w:w="1418" w:type="dxa"/>
            <w:shd w:val="clear" w:color="auto" w:fill="auto"/>
          </w:tcPr>
          <w:p w14:paraId="3EAFD924" w14:textId="77777777" w:rsidR="00A052DC" w:rsidRDefault="009F0A60">
            <w:pPr>
              <w:rPr>
                <w:rFonts w:ascii="黑体" w:eastAsia="黑体" w:hAnsi="黑体"/>
                <w:sz w:val="20"/>
                <w:szCs w:val="20"/>
              </w:rPr>
            </w:pPr>
            <w:r>
              <w:rPr>
                <w:rFonts w:ascii="黑体" w:eastAsia="黑体" w:hAnsi="黑体" w:hint="eastAsia"/>
                <w:sz w:val="20"/>
                <w:szCs w:val="20"/>
              </w:rPr>
              <w:t>字符型，12</w:t>
            </w:r>
          </w:p>
        </w:tc>
        <w:tc>
          <w:tcPr>
            <w:tcW w:w="3685" w:type="dxa"/>
            <w:shd w:val="clear" w:color="auto" w:fill="auto"/>
          </w:tcPr>
          <w:p w14:paraId="7B2A04DA"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r w:rsidR="00A052DC" w14:paraId="638DC263" w14:textId="77777777">
        <w:tc>
          <w:tcPr>
            <w:tcW w:w="1242" w:type="dxa"/>
            <w:shd w:val="clear" w:color="auto" w:fill="auto"/>
          </w:tcPr>
          <w:p w14:paraId="789E8B6F" w14:textId="77777777" w:rsidR="00A052DC" w:rsidRDefault="009F0A60">
            <w:pPr>
              <w:rPr>
                <w:rFonts w:ascii="黑体" w:eastAsia="黑体" w:hAnsi="黑体"/>
                <w:sz w:val="20"/>
                <w:szCs w:val="20"/>
              </w:rPr>
            </w:pPr>
            <w:r>
              <w:rPr>
                <w:rFonts w:ascii="黑体" w:eastAsia="黑体" w:hAnsi="黑体" w:hint="eastAsia"/>
                <w:sz w:val="20"/>
                <w:szCs w:val="20"/>
              </w:rPr>
              <w:t>B0502</w:t>
            </w:r>
          </w:p>
        </w:tc>
        <w:tc>
          <w:tcPr>
            <w:tcW w:w="2268" w:type="dxa"/>
            <w:shd w:val="clear" w:color="auto" w:fill="auto"/>
          </w:tcPr>
          <w:p w14:paraId="75581E4D" w14:textId="77777777" w:rsidR="00A052DC" w:rsidRDefault="009F0A60">
            <w:pPr>
              <w:rPr>
                <w:rFonts w:ascii="黑体" w:eastAsia="黑体" w:hAnsi="黑体"/>
                <w:sz w:val="20"/>
                <w:szCs w:val="20"/>
              </w:rPr>
            </w:pPr>
            <w:r>
              <w:rPr>
                <w:rFonts w:ascii="黑体" w:eastAsia="黑体" w:hAnsi="黑体" w:hint="eastAsia"/>
                <w:sz w:val="20"/>
                <w:szCs w:val="20"/>
              </w:rPr>
              <w:t>发行地</w:t>
            </w:r>
          </w:p>
        </w:tc>
        <w:tc>
          <w:tcPr>
            <w:tcW w:w="1418" w:type="dxa"/>
            <w:shd w:val="clear" w:color="auto" w:fill="auto"/>
          </w:tcPr>
          <w:p w14:paraId="508F6F46" w14:textId="77777777" w:rsidR="00A052DC" w:rsidRDefault="009F0A60">
            <w:pPr>
              <w:rPr>
                <w:rFonts w:ascii="黑体" w:eastAsia="黑体" w:hAnsi="黑体"/>
                <w:sz w:val="20"/>
                <w:szCs w:val="20"/>
              </w:rPr>
            </w:pPr>
            <w:r>
              <w:rPr>
                <w:rFonts w:ascii="黑体" w:eastAsia="黑体" w:hAnsi="黑体" w:hint="eastAsia"/>
                <w:sz w:val="20"/>
                <w:szCs w:val="20"/>
              </w:rPr>
              <w:t>字符型，3</w:t>
            </w:r>
          </w:p>
        </w:tc>
        <w:tc>
          <w:tcPr>
            <w:tcW w:w="3685" w:type="dxa"/>
            <w:shd w:val="clear" w:color="auto" w:fill="auto"/>
          </w:tcPr>
          <w:p w14:paraId="29ACC1A6" w14:textId="77777777" w:rsidR="00A052DC" w:rsidRDefault="009F0A60">
            <w:pPr>
              <w:rPr>
                <w:rFonts w:ascii="黑体" w:eastAsia="黑体" w:hAnsi="黑体"/>
                <w:sz w:val="20"/>
                <w:szCs w:val="20"/>
              </w:rPr>
            </w:pPr>
            <w:r>
              <w:rPr>
                <w:rFonts w:ascii="黑体" w:eastAsia="黑体" w:hAnsi="黑体" w:hint="eastAsia"/>
                <w:sz w:val="20"/>
                <w:szCs w:val="20"/>
              </w:rPr>
              <w:t>必填项。见国家和地区代码表的3位字母代码，且发行地≠CHN或N/A。</w:t>
            </w:r>
          </w:p>
        </w:tc>
      </w:tr>
      <w:tr w:rsidR="00A052DC" w14:paraId="118122BF" w14:textId="77777777">
        <w:tc>
          <w:tcPr>
            <w:tcW w:w="1242" w:type="dxa"/>
            <w:shd w:val="clear" w:color="auto" w:fill="auto"/>
          </w:tcPr>
          <w:p w14:paraId="50673BF0" w14:textId="77777777" w:rsidR="00A052DC" w:rsidRDefault="009F0A60">
            <w:pPr>
              <w:rPr>
                <w:rFonts w:ascii="黑体" w:eastAsia="黑体" w:hAnsi="黑体"/>
                <w:sz w:val="20"/>
                <w:szCs w:val="20"/>
              </w:rPr>
            </w:pPr>
            <w:r>
              <w:rPr>
                <w:rFonts w:ascii="黑体" w:eastAsia="黑体" w:hAnsi="黑体" w:hint="eastAsia"/>
                <w:sz w:val="20"/>
                <w:szCs w:val="20"/>
              </w:rPr>
              <w:t>B0503</w:t>
            </w:r>
          </w:p>
        </w:tc>
        <w:tc>
          <w:tcPr>
            <w:tcW w:w="2268" w:type="dxa"/>
            <w:shd w:val="clear" w:color="auto" w:fill="auto"/>
          </w:tcPr>
          <w:p w14:paraId="23733637" w14:textId="77777777" w:rsidR="00A052DC" w:rsidRDefault="009F0A60">
            <w:pPr>
              <w:rPr>
                <w:rFonts w:ascii="黑体" w:eastAsia="黑体" w:hAnsi="黑体"/>
                <w:sz w:val="20"/>
                <w:szCs w:val="20"/>
              </w:rPr>
            </w:pPr>
            <w:r>
              <w:rPr>
                <w:rFonts w:ascii="黑体" w:eastAsia="黑体" w:hAnsi="黑体" w:hint="eastAsia"/>
                <w:sz w:val="20"/>
                <w:szCs w:val="20"/>
              </w:rPr>
              <w:t>原始期限</w:t>
            </w:r>
          </w:p>
        </w:tc>
        <w:tc>
          <w:tcPr>
            <w:tcW w:w="1418" w:type="dxa"/>
            <w:shd w:val="clear" w:color="auto" w:fill="auto"/>
          </w:tcPr>
          <w:p w14:paraId="15F38F29" w14:textId="77777777" w:rsidR="00A052DC" w:rsidRDefault="009F0A60">
            <w:pPr>
              <w:rPr>
                <w:rFonts w:ascii="黑体" w:eastAsia="黑体" w:hAnsi="黑体"/>
                <w:sz w:val="20"/>
                <w:szCs w:val="20"/>
              </w:rPr>
            </w:pPr>
            <w:r>
              <w:rPr>
                <w:rFonts w:ascii="黑体" w:eastAsia="黑体" w:hAnsi="黑体" w:hint="eastAsia"/>
                <w:sz w:val="20"/>
                <w:szCs w:val="20"/>
              </w:rPr>
              <w:t>整数型</w:t>
            </w:r>
          </w:p>
        </w:tc>
        <w:tc>
          <w:tcPr>
            <w:tcW w:w="3685" w:type="dxa"/>
            <w:shd w:val="clear" w:color="auto" w:fill="auto"/>
          </w:tcPr>
          <w:p w14:paraId="3BC7CDB2" w14:textId="77777777" w:rsidR="00A052DC" w:rsidRDefault="009F0A60">
            <w:pPr>
              <w:rPr>
                <w:rFonts w:ascii="黑体" w:eastAsia="黑体" w:hAnsi="黑体"/>
                <w:sz w:val="20"/>
                <w:szCs w:val="20"/>
              </w:rPr>
            </w:pPr>
            <w:r>
              <w:rPr>
                <w:rFonts w:ascii="黑体" w:eastAsia="黑体" w:hAnsi="黑体" w:hint="eastAsia"/>
                <w:sz w:val="20"/>
                <w:szCs w:val="20"/>
              </w:rPr>
              <w:t>必填项，必须2选1</w:t>
            </w:r>
            <w:r w:rsidR="00191DE9">
              <w:rPr>
                <w:rFonts w:ascii="黑体" w:eastAsia="黑体" w:hAnsi="黑体" w:hint="eastAsia"/>
                <w:sz w:val="20"/>
                <w:szCs w:val="20"/>
              </w:rPr>
              <w:t>：</w:t>
            </w:r>
          </w:p>
          <w:p w14:paraId="7B2AE92C" w14:textId="77777777" w:rsidR="00A052DC" w:rsidRDefault="009F0A60">
            <w:pPr>
              <w:rPr>
                <w:rFonts w:ascii="黑体" w:eastAsia="黑体" w:hAnsi="黑体"/>
                <w:sz w:val="20"/>
                <w:szCs w:val="20"/>
              </w:rPr>
            </w:pPr>
            <w:r>
              <w:rPr>
                <w:rFonts w:ascii="黑体" w:eastAsia="黑体" w:hAnsi="黑体" w:hint="eastAsia"/>
                <w:sz w:val="20"/>
                <w:szCs w:val="20"/>
              </w:rPr>
              <w:t>1-一年及以下；</w:t>
            </w:r>
          </w:p>
          <w:p w14:paraId="38403013" w14:textId="77777777" w:rsidR="00A052DC" w:rsidRDefault="009F0A60">
            <w:pPr>
              <w:rPr>
                <w:rFonts w:ascii="黑体" w:eastAsia="黑体" w:hAnsi="黑体"/>
                <w:sz w:val="20"/>
                <w:szCs w:val="20"/>
              </w:rPr>
            </w:pPr>
            <w:r>
              <w:rPr>
                <w:rFonts w:ascii="黑体" w:eastAsia="黑体" w:hAnsi="黑体" w:hint="eastAsia"/>
                <w:sz w:val="20"/>
                <w:szCs w:val="20"/>
              </w:rPr>
              <w:t>2-一年以上。</w:t>
            </w:r>
          </w:p>
        </w:tc>
      </w:tr>
      <w:tr w:rsidR="00A052DC" w14:paraId="4290A6E7" w14:textId="77777777">
        <w:tc>
          <w:tcPr>
            <w:tcW w:w="1242" w:type="dxa"/>
            <w:shd w:val="clear" w:color="auto" w:fill="auto"/>
          </w:tcPr>
          <w:p w14:paraId="221EA4B3" w14:textId="77777777" w:rsidR="00A052DC" w:rsidRDefault="009F0A60">
            <w:pPr>
              <w:rPr>
                <w:rFonts w:ascii="黑体" w:eastAsia="黑体" w:hAnsi="黑体"/>
                <w:sz w:val="20"/>
                <w:szCs w:val="20"/>
              </w:rPr>
            </w:pPr>
            <w:r>
              <w:rPr>
                <w:rFonts w:ascii="黑体" w:eastAsia="黑体" w:hAnsi="黑体" w:hint="eastAsia"/>
                <w:sz w:val="20"/>
                <w:szCs w:val="20"/>
              </w:rPr>
              <w:t>B0504</w:t>
            </w:r>
          </w:p>
        </w:tc>
        <w:tc>
          <w:tcPr>
            <w:tcW w:w="2268" w:type="dxa"/>
            <w:shd w:val="clear" w:color="auto" w:fill="auto"/>
          </w:tcPr>
          <w:p w14:paraId="0CA11A0F" w14:textId="77777777" w:rsidR="00A052DC" w:rsidRDefault="009F0A60">
            <w:pPr>
              <w:rPr>
                <w:rFonts w:ascii="黑体" w:eastAsia="黑体" w:hAnsi="黑体"/>
                <w:sz w:val="20"/>
                <w:szCs w:val="20"/>
              </w:rPr>
            </w:pPr>
            <w:r>
              <w:rPr>
                <w:rFonts w:ascii="黑体" w:eastAsia="黑体" w:hAnsi="黑体" w:hint="eastAsia"/>
                <w:sz w:val="20"/>
                <w:szCs w:val="20"/>
              </w:rPr>
              <w:t>投资者名称</w:t>
            </w:r>
          </w:p>
        </w:tc>
        <w:tc>
          <w:tcPr>
            <w:tcW w:w="1418" w:type="dxa"/>
            <w:shd w:val="clear" w:color="auto" w:fill="auto"/>
          </w:tcPr>
          <w:p w14:paraId="1B715950" w14:textId="77777777" w:rsidR="00A052DC" w:rsidRDefault="009F0A60">
            <w:pPr>
              <w:rPr>
                <w:rFonts w:ascii="黑体" w:eastAsia="黑体" w:hAnsi="黑体"/>
                <w:sz w:val="20"/>
                <w:szCs w:val="20"/>
              </w:rPr>
            </w:pPr>
            <w:r>
              <w:rPr>
                <w:rFonts w:ascii="黑体" w:eastAsia="黑体" w:hAnsi="黑体" w:hint="eastAsia"/>
                <w:sz w:val="20"/>
                <w:szCs w:val="20"/>
              </w:rPr>
              <w:t>字符型，255</w:t>
            </w:r>
          </w:p>
        </w:tc>
        <w:tc>
          <w:tcPr>
            <w:tcW w:w="3685" w:type="dxa"/>
            <w:shd w:val="clear" w:color="auto" w:fill="auto"/>
          </w:tcPr>
          <w:p w14:paraId="667C1DD0"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r w:rsidR="00A052DC" w14:paraId="1167C4B7" w14:textId="77777777">
        <w:tc>
          <w:tcPr>
            <w:tcW w:w="1242" w:type="dxa"/>
            <w:shd w:val="clear" w:color="auto" w:fill="auto"/>
          </w:tcPr>
          <w:p w14:paraId="425FCCCD" w14:textId="77777777" w:rsidR="00A052DC" w:rsidRDefault="009F0A60">
            <w:pPr>
              <w:rPr>
                <w:rFonts w:ascii="黑体" w:eastAsia="黑体" w:hAnsi="黑体"/>
                <w:sz w:val="20"/>
                <w:szCs w:val="20"/>
              </w:rPr>
            </w:pPr>
            <w:r>
              <w:rPr>
                <w:rFonts w:ascii="黑体" w:eastAsia="黑体" w:hAnsi="黑体" w:hint="eastAsia"/>
                <w:sz w:val="20"/>
                <w:szCs w:val="20"/>
              </w:rPr>
              <w:t>B0505</w:t>
            </w:r>
          </w:p>
        </w:tc>
        <w:tc>
          <w:tcPr>
            <w:tcW w:w="2268" w:type="dxa"/>
            <w:shd w:val="clear" w:color="auto" w:fill="auto"/>
          </w:tcPr>
          <w:p w14:paraId="7040A8FD" w14:textId="77777777" w:rsidR="00A052DC" w:rsidRDefault="009F0A60">
            <w:pPr>
              <w:rPr>
                <w:rFonts w:ascii="黑体" w:eastAsia="黑体" w:hAnsi="黑体"/>
                <w:sz w:val="20"/>
                <w:szCs w:val="20"/>
              </w:rPr>
            </w:pPr>
            <w:r>
              <w:rPr>
                <w:rFonts w:ascii="黑体" w:eastAsia="黑体" w:hAnsi="黑体" w:hint="eastAsia"/>
                <w:sz w:val="20"/>
                <w:szCs w:val="20"/>
              </w:rPr>
              <w:t>投资者所属国家/地区</w:t>
            </w:r>
          </w:p>
        </w:tc>
        <w:tc>
          <w:tcPr>
            <w:tcW w:w="1418" w:type="dxa"/>
            <w:shd w:val="clear" w:color="auto" w:fill="auto"/>
          </w:tcPr>
          <w:p w14:paraId="7B9FEDEA" w14:textId="77777777" w:rsidR="00A052DC" w:rsidRDefault="009F0A60">
            <w:pPr>
              <w:rPr>
                <w:rFonts w:ascii="黑体" w:eastAsia="黑体" w:hAnsi="黑体"/>
                <w:sz w:val="20"/>
                <w:szCs w:val="20"/>
              </w:rPr>
            </w:pPr>
            <w:r>
              <w:rPr>
                <w:rFonts w:ascii="黑体" w:eastAsia="黑体" w:hAnsi="黑体" w:hint="eastAsia"/>
                <w:sz w:val="20"/>
                <w:szCs w:val="20"/>
              </w:rPr>
              <w:t>字符型，3</w:t>
            </w:r>
          </w:p>
        </w:tc>
        <w:tc>
          <w:tcPr>
            <w:tcW w:w="3685" w:type="dxa"/>
            <w:shd w:val="clear" w:color="auto" w:fill="auto"/>
          </w:tcPr>
          <w:p w14:paraId="41771B86" w14:textId="77777777" w:rsidR="00A052DC" w:rsidRDefault="009F0A60">
            <w:pPr>
              <w:rPr>
                <w:rFonts w:ascii="黑体" w:eastAsia="黑体" w:hAnsi="黑体"/>
                <w:sz w:val="20"/>
                <w:szCs w:val="20"/>
              </w:rPr>
            </w:pPr>
            <w:r>
              <w:rPr>
                <w:rFonts w:ascii="黑体" w:eastAsia="黑体" w:hAnsi="黑体" w:hint="eastAsia"/>
                <w:sz w:val="20"/>
                <w:szCs w:val="20"/>
              </w:rPr>
              <w:t>必填项，见国家和地区代码表的3位字母代码。</w:t>
            </w:r>
          </w:p>
        </w:tc>
      </w:tr>
      <w:tr w:rsidR="00A052DC" w14:paraId="65532C26" w14:textId="77777777">
        <w:tc>
          <w:tcPr>
            <w:tcW w:w="1242" w:type="dxa"/>
            <w:shd w:val="clear" w:color="auto" w:fill="auto"/>
          </w:tcPr>
          <w:p w14:paraId="54F25C92" w14:textId="77777777" w:rsidR="00A052DC" w:rsidRDefault="009F0A60">
            <w:pPr>
              <w:rPr>
                <w:rFonts w:ascii="黑体" w:eastAsia="黑体" w:hAnsi="黑体"/>
                <w:sz w:val="20"/>
                <w:szCs w:val="20"/>
              </w:rPr>
            </w:pPr>
            <w:r>
              <w:rPr>
                <w:rFonts w:ascii="黑体" w:eastAsia="黑体" w:hAnsi="黑体" w:hint="eastAsia"/>
                <w:sz w:val="20"/>
                <w:szCs w:val="20"/>
              </w:rPr>
              <w:t>B0506</w:t>
            </w:r>
          </w:p>
        </w:tc>
        <w:tc>
          <w:tcPr>
            <w:tcW w:w="2268" w:type="dxa"/>
            <w:shd w:val="clear" w:color="auto" w:fill="auto"/>
          </w:tcPr>
          <w:p w14:paraId="70D640CD" w14:textId="77777777" w:rsidR="00A052DC" w:rsidRDefault="009F0A60">
            <w:pPr>
              <w:rPr>
                <w:rFonts w:ascii="黑体" w:eastAsia="黑体" w:hAnsi="黑体"/>
                <w:sz w:val="20"/>
                <w:szCs w:val="20"/>
              </w:rPr>
            </w:pPr>
            <w:r>
              <w:rPr>
                <w:rFonts w:ascii="黑体" w:eastAsia="黑体" w:hAnsi="黑体" w:hint="eastAsia"/>
                <w:sz w:val="20"/>
                <w:szCs w:val="20"/>
              </w:rPr>
              <w:t>投资者所属部门</w:t>
            </w:r>
          </w:p>
        </w:tc>
        <w:tc>
          <w:tcPr>
            <w:tcW w:w="1418" w:type="dxa"/>
            <w:shd w:val="clear" w:color="auto" w:fill="auto"/>
          </w:tcPr>
          <w:p w14:paraId="6680EAA9" w14:textId="77777777" w:rsidR="00A052DC" w:rsidRDefault="009F0A60">
            <w:pPr>
              <w:rPr>
                <w:rFonts w:ascii="黑体" w:eastAsia="黑体" w:hAnsi="黑体"/>
                <w:sz w:val="20"/>
                <w:szCs w:val="20"/>
              </w:rPr>
            </w:pPr>
            <w:r>
              <w:rPr>
                <w:rFonts w:ascii="黑体" w:eastAsia="黑体" w:hAnsi="黑体" w:hint="eastAsia"/>
                <w:sz w:val="20"/>
                <w:szCs w:val="20"/>
              </w:rPr>
              <w:t>整数型</w:t>
            </w:r>
          </w:p>
        </w:tc>
        <w:tc>
          <w:tcPr>
            <w:tcW w:w="3685" w:type="dxa"/>
            <w:shd w:val="clear" w:color="auto" w:fill="auto"/>
          </w:tcPr>
          <w:p w14:paraId="7AB74EB3" w14:textId="77777777" w:rsidR="00A052DC" w:rsidRDefault="009F0A60">
            <w:pPr>
              <w:rPr>
                <w:rFonts w:ascii="黑体" w:eastAsia="黑体" w:hAnsi="黑体"/>
                <w:sz w:val="20"/>
                <w:szCs w:val="20"/>
              </w:rPr>
            </w:pPr>
            <w:r>
              <w:rPr>
                <w:rFonts w:ascii="黑体" w:eastAsia="黑体" w:hAnsi="黑体" w:hint="eastAsia"/>
                <w:sz w:val="20"/>
                <w:szCs w:val="20"/>
              </w:rPr>
              <w:t>必填项，见投资者（被投资者）部门代码表。</w:t>
            </w:r>
          </w:p>
        </w:tc>
      </w:tr>
      <w:tr w:rsidR="00A052DC" w14:paraId="5390631A" w14:textId="77777777">
        <w:tc>
          <w:tcPr>
            <w:tcW w:w="1242" w:type="dxa"/>
            <w:shd w:val="clear" w:color="auto" w:fill="auto"/>
          </w:tcPr>
          <w:p w14:paraId="42D1A936" w14:textId="77777777" w:rsidR="00A052DC" w:rsidRDefault="009F0A60">
            <w:pPr>
              <w:rPr>
                <w:rFonts w:ascii="黑体" w:eastAsia="黑体" w:hAnsi="黑体"/>
                <w:sz w:val="20"/>
                <w:szCs w:val="20"/>
              </w:rPr>
            </w:pPr>
            <w:r>
              <w:rPr>
                <w:rFonts w:ascii="黑体" w:eastAsia="黑体" w:hAnsi="黑体" w:hint="eastAsia"/>
                <w:sz w:val="20"/>
                <w:szCs w:val="20"/>
              </w:rPr>
              <w:t>B0507</w:t>
            </w:r>
          </w:p>
        </w:tc>
        <w:tc>
          <w:tcPr>
            <w:tcW w:w="2268" w:type="dxa"/>
            <w:shd w:val="clear" w:color="auto" w:fill="auto"/>
          </w:tcPr>
          <w:p w14:paraId="00555CAE" w14:textId="77777777" w:rsidR="00A052DC" w:rsidRDefault="009F0A60">
            <w:pPr>
              <w:rPr>
                <w:rFonts w:ascii="黑体" w:eastAsia="黑体" w:hAnsi="黑体"/>
                <w:sz w:val="20"/>
                <w:szCs w:val="20"/>
              </w:rPr>
            </w:pPr>
            <w:r>
              <w:rPr>
                <w:rFonts w:ascii="黑体" w:eastAsia="黑体" w:hAnsi="黑体" w:hint="eastAsia"/>
                <w:sz w:val="20"/>
                <w:szCs w:val="20"/>
              </w:rPr>
              <w:t>投资者与本机构的关系</w:t>
            </w:r>
          </w:p>
        </w:tc>
        <w:tc>
          <w:tcPr>
            <w:tcW w:w="1418" w:type="dxa"/>
            <w:shd w:val="clear" w:color="auto" w:fill="auto"/>
          </w:tcPr>
          <w:p w14:paraId="65D12D71" w14:textId="77777777" w:rsidR="00A052DC" w:rsidRDefault="009F0A60">
            <w:pPr>
              <w:rPr>
                <w:rFonts w:ascii="黑体" w:eastAsia="黑体" w:hAnsi="黑体"/>
                <w:sz w:val="20"/>
                <w:szCs w:val="20"/>
              </w:rPr>
            </w:pPr>
            <w:r>
              <w:rPr>
                <w:rFonts w:ascii="黑体" w:eastAsia="黑体" w:hAnsi="黑体" w:hint="eastAsia"/>
                <w:sz w:val="20"/>
                <w:szCs w:val="20"/>
              </w:rPr>
              <w:t>整数型</w:t>
            </w:r>
          </w:p>
        </w:tc>
        <w:tc>
          <w:tcPr>
            <w:tcW w:w="3685" w:type="dxa"/>
            <w:shd w:val="clear" w:color="auto" w:fill="auto"/>
          </w:tcPr>
          <w:p w14:paraId="24C924AA" w14:textId="77777777" w:rsidR="00A052DC" w:rsidRDefault="009F0A60">
            <w:pPr>
              <w:rPr>
                <w:rFonts w:ascii="黑体" w:eastAsia="黑体" w:hAnsi="黑体"/>
                <w:sz w:val="20"/>
                <w:szCs w:val="20"/>
              </w:rPr>
            </w:pPr>
            <w:r>
              <w:rPr>
                <w:rFonts w:ascii="黑体" w:eastAsia="黑体" w:hAnsi="黑体" w:hint="eastAsia"/>
                <w:sz w:val="20"/>
                <w:szCs w:val="20"/>
              </w:rPr>
              <w:t>必填项，见对方与本机构/被代理居民机构/委托人的关系代码表。</w:t>
            </w:r>
          </w:p>
        </w:tc>
      </w:tr>
      <w:tr w:rsidR="00A052DC" w14:paraId="11268B44" w14:textId="77777777">
        <w:tc>
          <w:tcPr>
            <w:tcW w:w="1242" w:type="dxa"/>
            <w:shd w:val="clear" w:color="auto" w:fill="auto"/>
          </w:tcPr>
          <w:p w14:paraId="6536B203" w14:textId="77777777" w:rsidR="00A052DC" w:rsidRDefault="009F0A60">
            <w:pPr>
              <w:rPr>
                <w:rFonts w:ascii="黑体" w:eastAsia="黑体" w:hAnsi="黑体"/>
                <w:sz w:val="20"/>
                <w:szCs w:val="20"/>
              </w:rPr>
            </w:pPr>
            <w:r>
              <w:rPr>
                <w:rFonts w:ascii="黑体" w:eastAsia="黑体" w:hAnsi="黑体" w:hint="eastAsia"/>
                <w:sz w:val="20"/>
                <w:szCs w:val="20"/>
              </w:rPr>
              <w:t>B0508</w:t>
            </w:r>
          </w:p>
        </w:tc>
        <w:tc>
          <w:tcPr>
            <w:tcW w:w="2268" w:type="dxa"/>
            <w:shd w:val="clear" w:color="auto" w:fill="auto"/>
          </w:tcPr>
          <w:p w14:paraId="7E58078F" w14:textId="77777777" w:rsidR="00A052DC" w:rsidRDefault="009F0A60">
            <w:pPr>
              <w:rPr>
                <w:rFonts w:ascii="黑体" w:eastAsia="黑体" w:hAnsi="黑体"/>
                <w:sz w:val="20"/>
                <w:szCs w:val="20"/>
              </w:rPr>
            </w:pPr>
            <w:r>
              <w:rPr>
                <w:rFonts w:ascii="黑体" w:eastAsia="黑体" w:hAnsi="黑体" w:hint="eastAsia"/>
                <w:sz w:val="20"/>
                <w:szCs w:val="20"/>
              </w:rPr>
              <w:t>原始币种</w:t>
            </w:r>
          </w:p>
        </w:tc>
        <w:tc>
          <w:tcPr>
            <w:tcW w:w="1418" w:type="dxa"/>
            <w:shd w:val="clear" w:color="auto" w:fill="auto"/>
          </w:tcPr>
          <w:p w14:paraId="1226FD6D" w14:textId="77777777" w:rsidR="00A052DC" w:rsidRDefault="009F0A60">
            <w:pPr>
              <w:rPr>
                <w:rFonts w:ascii="黑体" w:eastAsia="黑体" w:hAnsi="黑体"/>
                <w:sz w:val="20"/>
                <w:szCs w:val="20"/>
              </w:rPr>
            </w:pPr>
            <w:r>
              <w:rPr>
                <w:rFonts w:ascii="黑体" w:eastAsia="黑体" w:hAnsi="黑体" w:hint="eastAsia"/>
                <w:sz w:val="20"/>
                <w:szCs w:val="20"/>
              </w:rPr>
              <w:t>字符型，3</w:t>
            </w:r>
          </w:p>
        </w:tc>
        <w:tc>
          <w:tcPr>
            <w:tcW w:w="3685" w:type="dxa"/>
            <w:shd w:val="clear" w:color="auto" w:fill="auto"/>
          </w:tcPr>
          <w:p w14:paraId="7CD4F777" w14:textId="77777777" w:rsidR="00A052DC" w:rsidRDefault="009F0A60">
            <w:pPr>
              <w:rPr>
                <w:rFonts w:ascii="黑体" w:eastAsia="黑体" w:hAnsi="黑体"/>
                <w:sz w:val="20"/>
                <w:szCs w:val="20"/>
              </w:rPr>
            </w:pPr>
            <w:r>
              <w:rPr>
                <w:rFonts w:ascii="黑体" w:eastAsia="黑体" w:hAnsi="黑体" w:hint="eastAsia"/>
                <w:sz w:val="20"/>
                <w:szCs w:val="20"/>
              </w:rPr>
              <w:t>必填项，见币种代码表。</w:t>
            </w:r>
          </w:p>
        </w:tc>
      </w:tr>
      <w:tr w:rsidR="00A052DC" w14:paraId="7447B5D4" w14:textId="77777777">
        <w:tc>
          <w:tcPr>
            <w:tcW w:w="1242" w:type="dxa"/>
            <w:shd w:val="clear" w:color="auto" w:fill="auto"/>
          </w:tcPr>
          <w:p w14:paraId="0EB96D13" w14:textId="77777777" w:rsidR="00A052DC" w:rsidRDefault="009F0A60">
            <w:pPr>
              <w:rPr>
                <w:rFonts w:ascii="黑体" w:eastAsia="黑体" w:hAnsi="黑体"/>
                <w:sz w:val="20"/>
                <w:szCs w:val="20"/>
              </w:rPr>
            </w:pPr>
            <w:r>
              <w:rPr>
                <w:rFonts w:ascii="黑体" w:eastAsia="黑体" w:hAnsi="黑体" w:hint="eastAsia"/>
                <w:sz w:val="20"/>
                <w:szCs w:val="20"/>
              </w:rPr>
              <w:t>B0509</w:t>
            </w:r>
          </w:p>
        </w:tc>
        <w:tc>
          <w:tcPr>
            <w:tcW w:w="2268" w:type="dxa"/>
            <w:shd w:val="clear" w:color="auto" w:fill="auto"/>
          </w:tcPr>
          <w:p w14:paraId="7A9A1C4F" w14:textId="77777777" w:rsidR="00A052DC" w:rsidRDefault="009F0A60">
            <w:pPr>
              <w:rPr>
                <w:rFonts w:ascii="黑体" w:eastAsia="黑体" w:hAnsi="黑体"/>
                <w:sz w:val="20"/>
                <w:szCs w:val="20"/>
              </w:rPr>
            </w:pPr>
            <w:r>
              <w:rPr>
                <w:rFonts w:ascii="黑体" w:eastAsia="黑体" w:hAnsi="黑体" w:hint="eastAsia"/>
                <w:sz w:val="20"/>
                <w:szCs w:val="20"/>
              </w:rPr>
              <w:t>上月末市值</w:t>
            </w:r>
          </w:p>
        </w:tc>
        <w:tc>
          <w:tcPr>
            <w:tcW w:w="1418" w:type="dxa"/>
            <w:shd w:val="clear" w:color="auto" w:fill="auto"/>
          </w:tcPr>
          <w:p w14:paraId="053CFB90"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3685" w:type="dxa"/>
            <w:shd w:val="clear" w:color="auto" w:fill="auto"/>
          </w:tcPr>
          <w:p w14:paraId="0F8B7658"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r w:rsidR="00A052DC" w14:paraId="3EFDFB4A" w14:textId="77777777">
        <w:tc>
          <w:tcPr>
            <w:tcW w:w="1242" w:type="dxa"/>
            <w:shd w:val="clear" w:color="auto" w:fill="auto"/>
          </w:tcPr>
          <w:p w14:paraId="7E177821" w14:textId="77777777" w:rsidR="00A052DC" w:rsidRDefault="009F0A60">
            <w:pPr>
              <w:rPr>
                <w:rFonts w:ascii="黑体" w:eastAsia="黑体" w:hAnsi="黑体"/>
                <w:sz w:val="20"/>
                <w:szCs w:val="20"/>
              </w:rPr>
            </w:pPr>
            <w:r>
              <w:rPr>
                <w:rFonts w:ascii="黑体" w:eastAsia="黑体" w:hAnsi="黑体" w:hint="eastAsia"/>
                <w:sz w:val="20"/>
                <w:szCs w:val="20"/>
              </w:rPr>
              <w:t>B0510</w:t>
            </w:r>
          </w:p>
        </w:tc>
        <w:tc>
          <w:tcPr>
            <w:tcW w:w="2268" w:type="dxa"/>
            <w:shd w:val="clear" w:color="auto" w:fill="auto"/>
          </w:tcPr>
          <w:p w14:paraId="65687C67" w14:textId="77777777" w:rsidR="00A052DC" w:rsidRDefault="009F0A60">
            <w:pPr>
              <w:rPr>
                <w:rFonts w:ascii="黑体" w:eastAsia="黑体" w:hAnsi="黑体"/>
                <w:sz w:val="20"/>
                <w:szCs w:val="20"/>
              </w:rPr>
            </w:pPr>
            <w:r>
              <w:rPr>
                <w:rFonts w:ascii="黑体" w:eastAsia="黑体" w:hAnsi="黑体" w:hint="eastAsia"/>
                <w:sz w:val="20"/>
                <w:szCs w:val="20"/>
              </w:rPr>
              <w:t>本月发行金额</w:t>
            </w:r>
          </w:p>
        </w:tc>
        <w:tc>
          <w:tcPr>
            <w:tcW w:w="1418" w:type="dxa"/>
            <w:shd w:val="clear" w:color="auto" w:fill="auto"/>
          </w:tcPr>
          <w:p w14:paraId="74796357"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3685" w:type="dxa"/>
            <w:shd w:val="clear" w:color="auto" w:fill="auto"/>
          </w:tcPr>
          <w:p w14:paraId="6FE4FE55" w14:textId="77777777" w:rsidR="00A052DC" w:rsidRDefault="009F0A60">
            <w:pPr>
              <w:rPr>
                <w:rFonts w:ascii="黑体" w:eastAsia="黑体" w:hAnsi="黑体"/>
                <w:sz w:val="20"/>
                <w:szCs w:val="20"/>
              </w:rPr>
            </w:pPr>
            <w:r>
              <w:rPr>
                <w:rFonts w:ascii="黑体" w:eastAsia="黑体" w:hAnsi="黑体" w:hint="eastAsia"/>
                <w:sz w:val="20"/>
                <w:szCs w:val="20"/>
              </w:rPr>
              <w:t>必填项，必须≥0。</w:t>
            </w:r>
          </w:p>
        </w:tc>
      </w:tr>
      <w:tr w:rsidR="00A052DC" w14:paraId="4323E48C" w14:textId="77777777">
        <w:tc>
          <w:tcPr>
            <w:tcW w:w="1242" w:type="dxa"/>
            <w:shd w:val="clear" w:color="auto" w:fill="auto"/>
          </w:tcPr>
          <w:p w14:paraId="309E1BD4" w14:textId="77777777" w:rsidR="00A052DC" w:rsidRDefault="009F0A60">
            <w:pPr>
              <w:rPr>
                <w:rFonts w:ascii="黑体" w:eastAsia="黑体" w:hAnsi="黑体"/>
                <w:sz w:val="20"/>
                <w:szCs w:val="20"/>
              </w:rPr>
            </w:pPr>
            <w:r>
              <w:rPr>
                <w:rFonts w:ascii="黑体" w:eastAsia="黑体" w:hAnsi="黑体" w:hint="eastAsia"/>
                <w:sz w:val="20"/>
                <w:szCs w:val="20"/>
              </w:rPr>
              <w:t>B0511</w:t>
            </w:r>
          </w:p>
        </w:tc>
        <w:tc>
          <w:tcPr>
            <w:tcW w:w="2268" w:type="dxa"/>
            <w:shd w:val="clear" w:color="auto" w:fill="auto"/>
          </w:tcPr>
          <w:p w14:paraId="3C9E549B" w14:textId="77777777" w:rsidR="00A052DC" w:rsidRDefault="009F0A60">
            <w:pPr>
              <w:rPr>
                <w:rFonts w:ascii="黑体" w:eastAsia="黑体" w:hAnsi="黑体"/>
                <w:sz w:val="20"/>
                <w:szCs w:val="20"/>
              </w:rPr>
            </w:pPr>
            <w:r>
              <w:rPr>
                <w:rFonts w:ascii="黑体" w:eastAsia="黑体" w:hAnsi="黑体" w:hint="eastAsia"/>
                <w:sz w:val="20"/>
                <w:szCs w:val="20"/>
              </w:rPr>
              <w:t>本月赎回金额</w:t>
            </w:r>
          </w:p>
        </w:tc>
        <w:tc>
          <w:tcPr>
            <w:tcW w:w="1418" w:type="dxa"/>
            <w:shd w:val="clear" w:color="auto" w:fill="auto"/>
          </w:tcPr>
          <w:p w14:paraId="212087D1"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3685" w:type="dxa"/>
            <w:shd w:val="clear" w:color="auto" w:fill="auto"/>
          </w:tcPr>
          <w:p w14:paraId="780717AB" w14:textId="77777777" w:rsidR="00A052DC" w:rsidRDefault="009F0A60">
            <w:pPr>
              <w:rPr>
                <w:rFonts w:ascii="黑体" w:eastAsia="黑体" w:hAnsi="黑体"/>
                <w:sz w:val="20"/>
                <w:szCs w:val="20"/>
              </w:rPr>
            </w:pPr>
            <w:r>
              <w:rPr>
                <w:rFonts w:ascii="黑体" w:eastAsia="黑体" w:hAnsi="黑体" w:hint="eastAsia"/>
                <w:sz w:val="20"/>
                <w:szCs w:val="20"/>
              </w:rPr>
              <w:t>必填项，必须≥0。</w:t>
            </w:r>
          </w:p>
        </w:tc>
      </w:tr>
      <w:tr w:rsidR="00A052DC" w14:paraId="436CAF9E" w14:textId="77777777">
        <w:tc>
          <w:tcPr>
            <w:tcW w:w="1242" w:type="dxa"/>
            <w:shd w:val="clear" w:color="auto" w:fill="auto"/>
          </w:tcPr>
          <w:p w14:paraId="53039837" w14:textId="77777777" w:rsidR="00A052DC" w:rsidRDefault="009F0A60">
            <w:pPr>
              <w:rPr>
                <w:rFonts w:ascii="黑体" w:eastAsia="黑体" w:hAnsi="黑体"/>
                <w:sz w:val="20"/>
                <w:szCs w:val="20"/>
              </w:rPr>
            </w:pPr>
            <w:r>
              <w:rPr>
                <w:rFonts w:ascii="黑体" w:eastAsia="黑体" w:hAnsi="黑体" w:hint="eastAsia"/>
                <w:sz w:val="20"/>
                <w:szCs w:val="20"/>
              </w:rPr>
              <w:t>B0512</w:t>
            </w:r>
          </w:p>
        </w:tc>
        <w:tc>
          <w:tcPr>
            <w:tcW w:w="2268" w:type="dxa"/>
            <w:shd w:val="clear" w:color="auto" w:fill="auto"/>
          </w:tcPr>
          <w:p w14:paraId="4BF34927" w14:textId="77777777" w:rsidR="00A052DC" w:rsidRDefault="009F0A60">
            <w:pPr>
              <w:rPr>
                <w:rFonts w:ascii="黑体" w:eastAsia="黑体" w:hAnsi="黑体"/>
                <w:sz w:val="20"/>
                <w:szCs w:val="20"/>
              </w:rPr>
            </w:pPr>
            <w:r>
              <w:rPr>
                <w:rFonts w:ascii="黑体" w:eastAsia="黑体" w:hAnsi="黑体" w:hint="eastAsia"/>
                <w:sz w:val="20"/>
                <w:szCs w:val="20"/>
              </w:rPr>
              <w:t>本月非交易变动</w:t>
            </w:r>
          </w:p>
        </w:tc>
        <w:tc>
          <w:tcPr>
            <w:tcW w:w="1418" w:type="dxa"/>
            <w:shd w:val="clear" w:color="auto" w:fill="auto"/>
          </w:tcPr>
          <w:p w14:paraId="4F4A2878"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3685" w:type="dxa"/>
            <w:shd w:val="clear" w:color="auto" w:fill="auto"/>
          </w:tcPr>
          <w:p w14:paraId="6AFF727C" w14:textId="77777777" w:rsidR="00A052DC" w:rsidRDefault="009F0A60">
            <w:pPr>
              <w:rPr>
                <w:rFonts w:ascii="黑体" w:eastAsia="黑体" w:hAnsi="黑体"/>
                <w:sz w:val="20"/>
                <w:szCs w:val="20"/>
              </w:rPr>
            </w:pPr>
            <w:r>
              <w:rPr>
                <w:rFonts w:ascii="黑体" w:eastAsia="黑体" w:hAnsi="黑体" w:hint="eastAsia"/>
                <w:sz w:val="20"/>
                <w:szCs w:val="20"/>
              </w:rPr>
              <w:t>必填项，必须满足：</w:t>
            </w:r>
          </w:p>
          <w:p w14:paraId="64D7F8A7" w14:textId="77777777" w:rsidR="00A052DC" w:rsidRDefault="009F0A60">
            <w:pPr>
              <w:rPr>
                <w:rFonts w:ascii="黑体" w:eastAsia="黑体" w:hAnsi="黑体"/>
                <w:sz w:val="20"/>
                <w:szCs w:val="20"/>
              </w:rPr>
            </w:pPr>
            <w:r>
              <w:rPr>
                <w:rFonts w:ascii="黑体" w:eastAsia="黑体" w:hAnsi="黑体" w:hint="eastAsia"/>
                <w:sz w:val="20"/>
                <w:szCs w:val="20"/>
              </w:rPr>
              <w:t>B0512=B0515-B0509-（B0510-B0511）。</w:t>
            </w:r>
          </w:p>
          <w:p w14:paraId="4C6B1761" w14:textId="77777777" w:rsidR="00A052DC" w:rsidRDefault="009F0A60">
            <w:pPr>
              <w:rPr>
                <w:rFonts w:ascii="黑体" w:eastAsia="黑体" w:hAnsi="黑体"/>
                <w:sz w:val="20"/>
                <w:szCs w:val="20"/>
              </w:rPr>
            </w:pPr>
            <w:r>
              <w:rPr>
                <w:rFonts w:ascii="黑体" w:eastAsia="黑体" w:hAnsi="黑体" w:hint="eastAsia"/>
                <w:kern w:val="0"/>
                <w:sz w:val="20"/>
                <w:szCs w:val="20"/>
              </w:rPr>
              <w:t>B0512=B0513+B0514。</w:t>
            </w:r>
          </w:p>
        </w:tc>
      </w:tr>
      <w:tr w:rsidR="00A052DC" w14:paraId="551E2C94" w14:textId="77777777">
        <w:tc>
          <w:tcPr>
            <w:tcW w:w="1242" w:type="dxa"/>
            <w:shd w:val="clear" w:color="auto" w:fill="auto"/>
          </w:tcPr>
          <w:p w14:paraId="3B9A0FE6" w14:textId="77777777" w:rsidR="00A052DC" w:rsidRDefault="009F0A60">
            <w:pPr>
              <w:rPr>
                <w:rFonts w:ascii="黑体" w:eastAsia="黑体" w:hAnsi="黑体"/>
                <w:sz w:val="20"/>
                <w:szCs w:val="20"/>
              </w:rPr>
            </w:pPr>
            <w:r>
              <w:rPr>
                <w:rFonts w:ascii="黑体" w:eastAsia="黑体" w:hAnsi="黑体" w:hint="eastAsia"/>
                <w:sz w:val="20"/>
                <w:szCs w:val="20"/>
              </w:rPr>
              <w:t>B0513</w:t>
            </w:r>
          </w:p>
        </w:tc>
        <w:tc>
          <w:tcPr>
            <w:tcW w:w="2268" w:type="dxa"/>
            <w:shd w:val="clear" w:color="auto" w:fill="auto"/>
          </w:tcPr>
          <w:p w14:paraId="2060B9AE" w14:textId="77777777" w:rsidR="00A052DC" w:rsidRDefault="009F0A60">
            <w:pPr>
              <w:rPr>
                <w:rFonts w:ascii="黑体" w:eastAsia="黑体" w:hAnsi="黑体"/>
                <w:sz w:val="20"/>
                <w:szCs w:val="20"/>
              </w:rPr>
            </w:pPr>
            <w:r>
              <w:rPr>
                <w:rFonts w:ascii="黑体" w:eastAsia="黑体" w:hAnsi="黑体" w:hint="eastAsia"/>
                <w:sz w:val="20"/>
                <w:szCs w:val="20"/>
              </w:rPr>
              <w:t>调整或重新分类至其他报表统计的金额</w:t>
            </w:r>
          </w:p>
        </w:tc>
        <w:tc>
          <w:tcPr>
            <w:tcW w:w="1418" w:type="dxa"/>
            <w:shd w:val="clear" w:color="auto" w:fill="auto"/>
          </w:tcPr>
          <w:p w14:paraId="39C01ADC"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3685" w:type="dxa"/>
            <w:shd w:val="clear" w:color="auto" w:fill="auto"/>
          </w:tcPr>
          <w:p w14:paraId="19D32AD0"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r w:rsidR="00A052DC" w14:paraId="4283E829" w14:textId="77777777">
        <w:tc>
          <w:tcPr>
            <w:tcW w:w="1242" w:type="dxa"/>
            <w:shd w:val="clear" w:color="auto" w:fill="auto"/>
          </w:tcPr>
          <w:p w14:paraId="01A0FA65" w14:textId="77777777" w:rsidR="00A052DC" w:rsidRDefault="009F0A60">
            <w:pPr>
              <w:rPr>
                <w:rFonts w:ascii="黑体" w:eastAsia="黑体" w:hAnsi="黑体"/>
                <w:sz w:val="20"/>
                <w:szCs w:val="20"/>
              </w:rPr>
            </w:pPr>
            <w:r>
              <w:rPr>
                <w:rFonts w:ascii="黑体" w:eastAsia="黑体" w:hAnsi="黑体" w:hint="eastAsia"/>
                <w:sz w:val="20"/>
                <w:szCs w:val="20"/>
              </w:rPr>
              <w:t>B0514</w:t>
            </w:r>
          </w:p>
        </w:tc>
        <w:tc>
          <w:tcPr>
            <w:tcW w:w="2268" w:type="dxa"/>
            <w:shd w:val="clear" w:color="auto" w:fill="auto"/>
          </w:tcPr>
          <w:p w14:paraId="17B292E4" w14:textId="77777777" w:rsidR="00A052DC" w:rsidRDefault="009F0A60">
            <w:pPr>
              <w:rPr>
                <w:rFonts w:ascii="黑体" w:eastAsia="黑体" w:hAnsi="黑体"/>
                <w:sz w:val="20"/>
                <w:szCs w:val="20"/>
              </w:rPr>
            </w:pPr>
            <w:r>
              <w:rPr>
                <w:rFonts w:ascii="黑体" w:eastAsia="黑体" w:hAnsi="黑体" w:hint="eastAsia"/>
                <w:sz w:val="20"/>
                <w:szCs w:val="20"/>
              </w:rPr>
              <w:t>价值重估因素</w:t>
            </w:r>
          </w:p>
        </w:tc>
        <w:tc>
          <w:tcPr>
            <w:tcW w:w="1418" w:type="dxa"/>
            <w:shd w:val="clear" w:color="auto" w:fill="auto"/>
          </w:tcPr>
          <w:p w14:paraId="38B9F006"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3685" w:type="dxa"/>
            <w:shd w:val="clear" w:color="auto" w:fill="auto"/>
          </w:tcPr>
          <w:p w14:paraId="5039E830" w14:textId="77777777" w:rsidR="00A052DC" w:rsidRDefault="009F0A60">
            <w:pPr>
              <w:rPr>
                <w:rFonts w:ascii="黑体" w:eastAsia="黑体" w:hAnsi="黑体"/>
                <w:sz w:val="20"/>
                <w:szCs w:val="20"/>
              </w:rPr>
            </w:pPr>
            <w:r>
              <w:rPr>
                <w:rFonts w:ascii="黑体" w:eastAsia="黑体" w:hAnsi="黑体" w:hint="eastAsia"/>
                <w:sz w:val="20"/>
                <w:szCs w:val="20"/>
              </w:rPr>
              <w:t>必填项。</w:t>
            </w:r>
          </w:p>
          <w:p w14:paraId="588D5F0A" w14:textId="77777777" w:rsidR="00A052DC" w:rsidRDefault="00A052DC">
            <w:pPr>
              <w:rPr>
                <w:rFonts w:ascii="黑体" w:eastAsia="黑体" w:hAnsi="黑体"/>
                <w:b/>
                <w:bCs/>
                <w:sz w:val="20"/>
                <w:szCs w:val="20"/>
              </w:rPr>
            </w:pPr>
          </w:p>
        </w:tc>
      </w:tr>
      <w:tr w:rsidR="00A052DC" w14:paraId="78E6B26D" w14:textId="77777777">
        <w:tc>
          <w:tcPr>
            <w:tcW w:w="1242" w:type="dxa"/>
            <w:shd w:val="clear" w:color="auto" w:fill="auto"/>
          </w:tcPr>
          <w:p w14:paraId="596E4B74" w14:textId="77777777" w:rsidR="00A052DC" w:rsidRDefault="009F0A60">
            <w:pPr>
              <w:rPr>
                <w:rFonts w:ascii="黑体" w:eastAsia="黑体" w:hAnsi="黑体"/>
                <w:sz w:val="20"/>
                <w:szCs w:val="20"/>
              </w:rPr>
            </w:pPr>
            <w:r>
              <w:rPr>
                <w:rFonts w:ascii="黑体" w:eastAsia="黑体" w:hAnsi="黑体" w:hint="eastAsia"/>
                <w:sz w:val="20"/>
                <w:szCs w:val="20"/>
              </w:rPr>
              <w:t>B0515</w:t>
            </w:r>
          </w:p>
        </w:tc>
        <w:tc>
          <w:tcPr>
            <w:tcW w:w="2268" w:type="dxa"/>
            <w:shd w:val="clear" w:color="auto" w:fill="auto"/>
          </w:tcPr>
          <w:p w14:paraId="775183D1" w14:textId="77777777" w:rsidR="00A052DC" w:rsidRDefault="009F0A60">
            <w:pPr>
              <w:rPr>
                <w:rFonts w:ascii="黑体" w:eastAsia="黑体" w:hAnsi="黑体"/>
                <w:sz w:val="20"/>
                <w:szCs w:val="20"/>
              </w:rPr>
            </w:pPr>
            <w:r>
              <w:rPr>
                <w:rFonts w:ascii="黑体" w:eastAsia="黑体" w:hAnsi="黑体" w:hint="eastAsia"/>
                <w:sz w:val="20"/>
                <w:szCs w:val="20"/>
              </w:rPr>
              <w:t>本月末市值</w:t>
            </w:r>
          </w:p>
        </w:tc>
        <w:tc>
          <w:tcPr>
            <w:tcW w:w="1418" w:type="dxa"/>
            <w:shd w:val="clear" w:color="auto" w:fill="auto"/>
          </w:tcPr>
          <w:p w14:paraId="0D3AF199"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3685" w:type="dxa"/>
            <w:shd w:val="clear" w:color="auto" w:fill="auto"/>
          </w:tcPr>
          <w:p w14:paraId="29533A0C"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r w:rsidR="00A052DC" w14:paraId="70E451EA" w14:textId="77777777">
        <w:tc>
          <w:tcPr>
            <w:tcW w:w="1242" w:type="dxa"/>
            <w:shd w:val="clear" w:color="auto" w:fill="auto"/>
          </w:tcPr>
          <w:p w14:paraId="4557F828" w14:textId="77777777" w:rsidR="00A052DC" w:rsidRDefault="009F0A60">
            <w:pPr>
              <w:rPr>
                <w:rFonts w:ascii="黑体" w:eastAsia="黑体" w:hAnsi="黑体"/>
                <w:sz w:val="20"/>
                <w:szCs w:val="20"/>
              </w:rPr>
            </w:pPr>
            <w:r>
              <w:rPr>
                <w:rFonts w:ascii="黑体" w:eastAsia="黑体" w:hAnsi="黑体" w:hint="eastAsia"/>
                <w:sz w:val="20"/>
                <w:szCs w:val="20"/>
              </w:rPr>
              <w:t>B0516</w:t>
            </w:r>
          </w:p>
        </w:tc>
        <w:tc>
          <w:tcPr>
            <w:tcW w:w="2268" w:type="dxa"/>
            <w:shd w:val="clear" w:color="auto" w:fill="auto"/>
          </w:tcPr>
          <w:p w14:paraId="5AD7FA69" w14:textId="77777777" w:rsidR="00A052DC" w:rsidRDefault="009F0A60">
            <w:pPr>
              <w:rPr>
                <w:rFonts w:ascii="黑体" w:eastAsia="黑体" w:hAnsi="黑体"/>
                <w:sz w:val="20"/>
                <w:szCs w:val="20"/>
              </w:rPr>
            </w:pPr>
            <w:r>
              <w:rPr>
                <w:rFonts w:ascii="黑体" w:eastAsia="黑体" w:hAnsi="黑体" w:hint="eastAsia"/>
                <w:sz w:val="20"/>
                <w:szCs w:val="20"/>
              </w:rPr>
              <w:t>本月末市值其中：剩余期限在一年及以下</w:t>
            </w:r>
          </w:p>
        </w:tc>
        <w:tc>
          <w:tcPr>
            <w:tcW w:w="1418" w:type="dxa"/>
            <w:shd w:val="clear" w:color="auto" w:fill="auto"/>
          </w:tcPr>
          <w:p w14:paraId="2AAE6CDB"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3685" w:type="dxa"/>
            <w:shd w:val="clear" w:color="auto" w:fill="auto"/>
          </w:tcPr>
          <w:p w14:paraId="0092D7D1" w14:textId="77777777" w:rsidR="00A052DC" w:rsidRDefault="009F0A60">
            <w:pPr>
              <w:rPr>
                <w:rFonts w:ascii="黑体" w:eastAsia="黑体" w:hAnsi="黑体"/>
                <w:sz w:val="20"/>
                <w:szCs w:val="20"/>
              </w:rPr>
            </w:pPr>
            <w:r>
              <w:rPr>
                <w:rFonts w:ascii="黑体" w:eastAsia="黑体" w:hAnsi="黑体" w:hint="eastAsia"/>
                <w:sz w:val="20"/>
                <w:szCs w:val="20"/>
              </w:rPr>
              <w:t>必填项。</w:t>
            </w:r>
          </w:p>
          <w:p w14:paraId="1C6E20A1" w14:textId="77777777" w:rsidR="00A052DC" w:rsidRDefault="009F0A60">
            <w:pPr>
              <w:rPr>
                <w:rFonts w:ascii="黑体" w:eastAsia="黑体" w:hAnsi="黑体"/>
                <w:sz w:val="20"/>
                <w:szCs w:val="20"/>
              </w:rPr>
            </w:pPr>
            <w:r>
              <w:rPr>
                <w:rFonts w:ascii="黑体" w:eastAsia="黑体" w:hAnsi="黑体" w:hint="eastAsia"/>
                <w:sz w:val="20"/>
                <w:szCs w:val="20"/>
              </w:rPr>
              <w:t>当B0503=1时，B0515=B0516；</w:t>
            </w:r>
          </w:p>
          <w:p w14:paraId="47E680B4" w14:textId="77777777" w:rsidR="00A052DC" w:rsidRDefault="009F0A60">
            <w:pPr>
              <w:rPr>
                <w:rFonts w:ascii="黑体" w:eastAsia="黑体" w:hAnsi="黑体"/>
                <w:sz w:val="20"/>
                <w:szCs w:val="20"/>
              </w:rPr>
            </w:pPr>
            <w:r>
              <w:rPr>
                <w:rFonts w:ascii="黑体" w:eastAsia="黑体" w:hAnsi="黑体" w:hint="eastAsia"/>
                <w:sz w:val="20"/>
                <w:szCs w:val="20"/>
              </w:rPr>
              <w:t>当B0503=2时，|B0515|≥|B0516|。</w:t>
            </w:r>
          </w:p>
        </w:tc>
      </w:tr>
      <w:tr w:rsidR="00A052DC" w14:paraId="2EB370C8" w14:textId="77777777">
        <w:tc>
          <w:tcPr>
            <w:tcW w:w="1242" w:type="dxa"/>
            <w:shd w:val="clear" w:color="auto" w:fill="auto"/>
          </w:tcPr>
          <w:p w14:paraId="02278256" w14:textId="77777777" w:rsidR="00A052DC" w:rsidRDefault="009F0A60">
            <w:pPr>
              <w:rPr>
                <w:rFonts w:ascii="黑体" w:eastAsia="黑体" w:hAnsi="黑体"/>
                <w:sz w:val="20"/>
                <w:szCs w:val="20"/>
              </w:rPr>
            </w:pPr>
            <w:r>
              <w:rPr>
                <w:rFonts w:ascii="黑体" w:eastAsia="黑体" w:hAnsi="黑体" w:hint="eastAsia"/>
                <w:sz w:val="20"/>
                <w:szCs w:val="20"/>
              </w:rPr>
              <w:t>B0517</w:t>
            </w:r>
          </w:p>
        </w:tc>
        <w:tc>
          <w:tcPr>
            <w:tcW w:w="2268" w:type="dxa"/>
            <w:shd w:val="clear" w:color="auto" w:fill="auto"/>
          </w:tcPr>
          <w:p w14:paraId="40BFC854" w14:textId="77777777" w:rsidR="00A052DC" w:rsidRDefault="009F0A60">
            <w:pPr>
              <w:rPr>
                <w:rFonts w:ascii="黑体" w:eastAsia="黑体" w:hAnsi="黑体"/>
                <w:sz w:val="20"/>
                <w:szCs w:val="20"/>
              </w:rPr>
            </w:pPr>
            <w:r>
              <w:rPr>
                <w:rFonts w:ascii="黑体" w:eastAsia="黑体" w:hAnsi="黑体" w:hint="eastAsia"/>
                <w:sz w:val="20"/>
                <w:szCs w:val="20"/>
              </w:rPr>
              <w:t>本月利息支出</w:t>
            </w:r>
          </w:p>
        </w:tc>
        <w:tc>
          <w:tcPr>
            <w:tcW w:w="1418" w:type="dxa"/>
            <w:shd w:val="clear" w:color="auto" w:fill="auto"/>
          </w:tcPr>
          <w:p w14:paraId="18750301"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3685" w:type="dxa"/>
            <w:shd w:val="clear" w:color="auto" w:fill="auto"/>
          </w:tcPr>
          <w:p w14:paraId="5C010897"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r w:rsidR="00A052DC" w14:paraId="47FE2E35" w14:textId="77777777">
        <w:tc>
          <w:tcPr>
            <w:tcW w:w="1242" w:type="dxa"/>
            <w:shd w:val="clear" w:color="auto" w:fill="auto"/>
          </w:tcPr>
          <w:p w14:paraId="34FA8006" w14:textId="77777777" w:rsidR="00A052DC" w:rsidRDefault="009F0A60">
            <w:pPr>
              <w:rPr>
                <w:rFonts w:ascii="黑体" w:eastAsia="黑体" w:hAnsi="黑体"/>
                <w:sz w:val="20"/>
                <w:szCs w:val="20"/>
              </w:rPr>
            </w:pPr>
            <w:r>
              <w:rPr>
                <w:rFonts w:ascii="黑体" w:eastAsia="黑体" w:hAnsi="黑体"/>
                <w:sz w:val="20"/>
                <w:szCs w:val="20"/>
              </w:rPr>
              <w:t>B0518</w:t>
            </w:r>
          </w:p>
        </w:tc>
        <w:tc>
          <w:tcPr>
            <w:tcW w:w="2268" w:type="dxa"/>
            <w:shd w:val="clear" w:color="auto" w:fill="auto"/>
          </w:tcPr>
          <w:p w14:paraId="090E3814" w14:textId="77777777" w:rsidR="00A052DC" w:rsidRDefault="009F0A60">
            <w:pPr>
              <w:rPr>
                <w:rFonts w:ascii="黑体" w:eastAsia="黑体" w:hAnsi="黑体"/>
                <w:sz w:val="20"/>
                <w:szCs w:val="20"/>
              </w:rPr>
            </w:pPr>
            <w:r>
              <w:rPr>
                <w:rFonts w:ascii="黑体" w:eastAsia="黑体" w:hAnsi="宋体" w:hint="eastAsia"/>
                <w:color w:val="000000"/>
                <w:szCs w:val="21"/>
              </w:rPr>
              <w:t>本月末未到期</w:t>
            </w:r>
            <w:r>
              <w:rPr>
                <w:rFonts w:ascii="黑体" w:eastAsia="黑体" w:hAnsi="宋体"/>
                <w:color w:val="000000"/>
                <w:szCs w:val="21"/>
              </w:rPr>
              <w:t>/未偿付</w:t>
            </w:r>
            <w:r>
              <w:rPr>
                <w:rFonts w:ascii="黑体" w:eastAsia="黑体" w:hAnsi="宋体" w:hint="eastAsia"/>
                <w:color w:val="000000"/>
                <w:szCs w:val="21"/>
              </w:rPr>
              <w:t>债券面值</w:t>
            </w:r>
          </w:p>
        </w:tc>
        <w:tc>
          <w:tcPr>
            <w:tcW w:w="1418" w:type="dxa"/>
            <w:shd w:val="clear" w:color="auto" w:fill="auto"/>
          </w:tcPr>
          <w:p w14:paraId="018A1F33" w14:textId="77777777" w:rsidR="00A052DC" w:rsidRDefault="009F0A60">
            <w:pPr>
              <w:rPr>
                <w:rFonts w:ascii="黑体" w:eastAsia="黑体" w:hAnsi="黑体"/>
                <w:sz w:val="20"/>
                <w:szCs w:val="20"/>
              </w:rPr>
            </w:pPr>
            <w:r>
              <w:rPr>
                <w:rFonts w:ascii="黑体" w:eastAsia="黑体" w:hAnsi="黑体" w:hint="eastAsia"/>
                <w:sz w:val="20"/>
                <w:szCs w:val="20"/>
              </w:rPr>
              <w:t>数值型，</w:t>
            </w:r>
            <w:r>
              <w:rPr>
                <w:rFonts w:ascii="黑体" w:eastAsia="黑体" w:hAnsi="黑体"/>
                <w:sz w:val="20"/>
                <w:szCs w:val="20"/>
              </w:rPr>
              <w:t>22.2</w:t>
            </w:r>
          </w:p>
        </w:tc>
        <w:tc>
          <w:tcPr>
            <w:tcW w:w="3685" w:type="dxa"/>
            <w:shd w:val="clear" w:color="auto" w:fill="auto"/>
          </w:tcPr>
          <w:p w14:paraId="2ADBA964"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r w:rsidR="00A052DC" w14:paraId="2762643E" w14:textId="77777777">
        <w:tc>
          <w:tcPr>
            <w:tcW w:w="1242" w:type="dxa"/>
            <w:shd w:val="clear" w:color="auto" w:fill="auto"/>
          </w:tcPr>
          <w:p w14:paraId="7D3F742A" w14:textId="77777777" w:rsidR="00A052DC" w:rsidRDefault="009F0A60">
            <w:pPr>
              <w:rPr>
                <w:rFonts w:ascii="黑体" w:eastAsia="黑体" w:hAnsi="黑体"/>
                <w:sz w:val="20"/>
                <w:szCs w:val="20"/>
              </w:rPr>
            </w:pPr>
            <w:r>
              <w:rPr>
                <w:rFonts w:ascii="黑体" w:eastAsia="黑体" w:hAnsi="黑体" w:hint="eastAsia"/>
                <w:sz w:val="20"/>
                <w:szCs w:val="20"/>
              </w:rPr>
              <w:t>REMARK</w:t>
            </w:r>
          </w:p>
        </w:tc>
        <w:tc>
          <w:tcPr>
            <w:tcW w:w="2268" w:type="dxa"/>
            <w:shd w:val="clear" w:color="auto" w:fill="auto"/>
          </w:tcPr>
          <w:p w14:paraId="06586DBE" w14:textId="77777777" w:rsidR="00A052DC" w:rsidRDefault="009F0A60">
            <w:pPr>
              <w:rPr>
                <w:rFonts w:ascii="黑体" w:eastAsia="黑体" w:hAnsi="黑体"/>
                <w:sz w:val="20"/>
                <w:szCs w:val="20"/>
              </w:rPr>
            </w:pPr>
            <w:r>
              <w:rPr>
                <w:rFonts w:ascii="黑体" w:eastAsia="黑体" w:hAnsi="黑体" w:hint="eastAsia"/>
                <w:sz w:val="20"/>
                <w:szCs w:val="20"/>
              </w:rPr>
              <w:t>备注</w:t>
            </w:r>
          </w:p>
        </w:tc>
        <w:tc>
          <w:tcPr>
            <w:tcW w:w="1418" w:type="dxa"/>
            <w:shd w:val="clear" w:color="auto" w:fill="auto"/>
          </w:tcPr>
          <w:p w14:paraId="0976B684" w14:textId="77777777" w:rsidR="00A052DC" w:rsidRDefault="009F0A60">
            <w:pPr>
              <w:rPr>
                <w:rFonts w:ascii="黑体" w:eastAsia="黑体" w:hAnsi="黑体"/>
                <w:sz w:val="20"/>
                <w:szCs w:val="20"/>
              </w:rPr>
            </w:pPr>
            <w:r>
              <w:rPr>
                <w:rFonts w:ascii="黑体" w:eastAsia="黑体" w:hAnsi="黑体" w:hint="eastAsia"/>
                <w:sz w:val="20"/>
                <w:szCs w:val="20"/>
              </w:rPr>
              <w:t>字符型，256</w:t>
            </w:r>
          </w:p>
        </w:tc>
        <w:tc>
          <w:tcPr>
            <w:tcW w:w="3685" w:type="dxa"/>
            <w:shd w:val="clear" w:color="auto" w:fill="auto"/>
          </w:tcPr>
          <w:p w14:paraId="2A44AB0A" w14:textId="77777777" w:rsidR="00A052DC" w:rsidRDefault="009F0A60">
            <w:pPr>
              <w:rPr>
                <w:rFonts w:ascii="黑体" w:eastAsia="黑体" w:hAnsi="黑体"/>
                <w:sz w:val="20"/>
                <w:szCs w:val="20"/>
              </w:rPr>
            </w:pPr>
            <w:r>
              <w:rPr>
                <w:rFonts w:ascii="黑体" w:eastAsia="黑体" w:hAnsi="黑体" w:hint="eastAsia"/>
                <w:sz w:val="20"/>
                <w:szCs w:val="20"/>
              </w:rPr>
              <w:t>当</w:t>
            </w:r>
            <w:r>
              <w:rPr>
                <w:rFonts w:ascii="黑体" w:eastAsia="黑体" w:hAnsi="黑体"/>
                <w:sz w:val="20"/>
                <w:szCs w:val="20"/>
              </w:rPr>
              <w:t>B0509、B0515、B0517任一项为负数时，为必填项。</w:t>
            </w:r>
          </w:p>
        </w:tc>
      </w:tr>
    </w:tbl>
    <w:p w14:paraId="04AC6E8D" w14:textId="77777777" w:rsidR="00A052DC" w:rsidRDefault="009F0A60" w:rsidP="0020251D">
      <w:pPr>
        <w:pStyle w:val="3"/>
        <w:ind w:left="0"/>
        <w:rPr>
          <w:rFonts w:ascii="Times New Roman" w:hAnsi="Times New Roman"/>
        </w:rPr>
      </w:pPr>
      <w:bookmarkStart w:id="3133" w:name="_Toc455164005"/>
      <w:bookmarkStart w:id="3134" w:name="_Toc455156552"/>
      <w:bookmarkStart w:id="3135" w:name="_Toc454391280"/>
      <w:bookmarkStart w:id="3136" w:name="_Toc454459082"/>
      <w:bookmarkStart w:id="3137" w:name="_Toc454464805"/>
      <w:bookmarkStart w:id="3138" w:name="_Toc454382387"/>
      <w:bookmarkStart w:id="3139" w:name="_Toc455164003"/>
      <w:bookmarkStart w:id="3140" w:name="_Toc454391281"/>
      <w:bookmarkStart w:id="3141" w:name="_Toc455167728"/>
      <w:bookmarkStart w:id="3142" w:name="_Toc454382388"/>
      <w:bookmarkStart w:id="3143" w:name="_Toc455167729"/>
      <w:bookmarkStart w:id="3144" w:name="_Toc455152825"/>
      <w:bookmarkStart w:id="3145" w:name="_Toc455152824"/>
      <w:bookmarkStart w:id="3146" w:name="_Toc454464806"/>
      <w:bookmarkStart w:id="3147" w:name="_Toc455164004"/>
      <w:bookmarkStart w:id="3148" w:name="_Toc454399307"/>
      <w:bookmarkStart w:id="3149" w:name="_Toc454780182"/>
      <w:bookmarkStart w:id="3150" w:name="_Toc454382389"/>
      <w:bookmarkStart w:id="3151" w:name="_Toc454459083"/>
      <w:bookmarkStart w:id="3152" w:name="_Toc455156553"/>
      <w:bookmarkStart w:id="3153" w:name="_Toc454780183"/>
      <w:bookmarkStart w:id="3154" w:name="_Toc455167730"/>
      <w:bookmarkStart w:id="3155" w:name="_Toc455152826"/>
      <w:bookmarkStart w:id="3156" w:name="_Toc455156554"/>
      <w:bookmarkStart w:id="3157" w:name="_Toc454399308"/>
      <w:bookmarkStart w:id="3158" w:name="_Toc454459084"/>
      <w:bookmarkStart w:id="3159" w:name="_Toc454391282"/>
      <w:bookmarkStart w:id="3160" w:name="_Toc454780184"/>
      <w:bookmarkStart w:id="3161" w:name="_Toc454464807"/>
      <w:bookmarkStart w:id="3162" w:name="_Toc454399306"/>
      <w:bookmarkStart w:id="3163" w:name="_Toc454391283"/>
      <w:bookmarkStart w:id="3164" w:name="_Toc380356287"/>
      <w:bookmarkStart w:id="3165" w:name="_Toc380570943"/>
      <w:bookmarkStart w:id="3166" w:name="_Toc91455314"/>
      <w:bookmarkStart w:id="3167" w:name="_Toc101684487"/>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r>
        <w:rPr>
          <w:rFonts w:ascii="Times New Roman" w:hAnsi="Times New Roman"/>
        </w:rPr>
        <w:t>B06</w:t>
      </w:r>
      <w:r>
        <w:rPr>
          <w:rFonts w:ascii="Times New Roman" w:hAnsi="Times New Roman" w:hint="eastAsia"/>
        </w:rPr>
        <w:t>表：非居民投资境内发行股本证券和债务证券</w:t>
      </w:r>
      <w:bookmarkEnd w:id="3163"/>
      <w:bookmarkEnd w:id="3164"/>
      <w:bookmarkEnd w:id="3165"/>
      <w:r>
        <w:rPr>
          <w:rFonts w:ascii="Times New Roman" w:hAnsi="Times New Roman" w:hint="eastAsia"/>
        </w:rPr>
        <w:t>（负债）</w:t>
      </w:r>
      <w:bookmarkEnd w:id="3166"/>
      <w:bookmarkEnd w:id="3167"/>
    </w:p>
    <w:p w14:paraId="6619CA66" w14:textId="77777777" w:rsidR="00A052DC" w:rsidRDefault="009F0A60" w:rsidP="0020251D">
      <w:pPr>
        <w:pStyle w:val="4"/>
        <w:numPr>
          <w:ilvl w:val="3"/>
          <w:numId w:val="1"/>
        </w:numPr>
        <w:jc w:val="left"/>
      </w:pPr>
      <w:bookmarkStart w:id="3168" w:name="_Toc380570944"/>
      <w:bookmarkStart w:id="3169" w:name="_Toc454391284"/>
      <w:r>
        <w:rPr>
          <w:rFonts w:hint="eastAsia"/>
        </w:rPr>
        <w:t>数据术语解释</w:t>
      </w:r>
      <w:bookmarkEnd w:id="3168"/>
      <w:bookmarkEnd w:id="3169"/>
    </w:p>
    <w:p w14:paraId="06768738" w14:textId="77777777" w:rsidR="00A052DC" w:rsidRDefault="00A052DC">
      <w:pPr>
        <w:spacing w:line="240" w:lineRule="exact"/>
        <w:rPr>
          <w:sz w:val="18"/>
        </w:rPr>
      </w:pPr>
    </w:p>
    <w:tbl>
      <w:tblPr>
        <w:tblW w:w="8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8"/>
        <w:gridCol w:w="6801"/>
      </w:tblGrid>
      <w:tr w:rsidR="00A052DC" w14:paraId="394D725C" w14:textId="77777777">
        <w:trPr>
          <w:cantSplit/>
          <w:jc w:val="center"/>
        </w:trPr>
        <w:tc>
          <w:tcPr>
            <w:tcW w:w="1898" w:type="dxa"/>
          </w:tcPr>
          <w:p w14:paraId="0C2E32DC" w14:textId="77777777" w:rsidR="00A052DC" w:rsidRDefault="009F0A60">
            <w:pPr>
              <w:pStyle w:val="B1"/>
            </w:pPr>
            <w:r>
              <w:rPr>
                <w:rFonts w:hint="eastAsia"/>
              </w:rPr>
              <w:t>基础数据项</w:t>
            </w:r>
          </w:p>
        </w:tc>
        <w:tc>
          <w:tcPr>
            <w:tcW w:w="6801" w:type="dxa"/>
          </w:tcPr>
          <w:p w14:paraId="6361C849" w14:textId="77777777" w:rsidR="00A052DC" w:rsidRDefault="009F0A60">
            <w:pPr>
              <w:pStyle w:val="B1"/>
            </w:pPr>
            <w:r>
              <w:rPr>
                <w:rFonts w:hint="eastAsia"/>
              </w:rPr>
              <w:t>定义</w:t>
            </w:r>
          </w:p>
        </w:tc>
      </w:tr>
      <w:tr w:rsidR="00A052DC" w14:paraId="07DC577A" w14:textId="77777777">
        <w:trPr>
          <w:cantSplit/>
          <w:jc w:val="center"/>
        </w:trPr>
        <w:tc>
          <w:tcPr>
            <w:tcW w:w="1898" w:type="dxa"/>
          </w:tcPr>
          <w:p w14:paraId="6B290517" w14:textId="77777777" w:rsidR="00A052DC" w:rsidRDefault="009F0A60">
            <w:pPr>
              <w:pStyle w:val="B"/>
              <w:rPr>
                <w:szCs w:val="20"/>
              </w:rPr>
            </w:pPr>
            <w:r>
              <w:rPr>
                <w:rFonts w:hint="eastAsia"/>
                <w:szCs w:val="20"/>
              </w:rPr>
              <w:t>数据自编码</w:t>
            </w:r>
          </w:p>
        </w:tc>
        <w:tc>
          <w:tcPr>
            <w:tcW w:w="6801" w:type="dxa"/>
          </w:tcPr>
          <w:p w14:paraId="1FB5431C" w14:textId="77777777" w:rsidR="00A052DC" w:rsidRDefault="009F0A60">
            <w:pPr>
              <w:pStyle w:val="B"/>
              <w:rPr>
                <w:szCs w:val="20"/>
              </w:rPr>
            </w:pPr>
            <w:r>
              <w:rPr>
                <w:rFonts w:hint="eastAsia"/>
                <w:szCs w:val="20"/>
              </w:rPr>
              <w:t>该编码用于标识金融机构报送的每一条数据，按给定规则编码，便于进行增删改查等操作。建议规则：机构代码（18位，不足18位补</w:t>
            </w:r>
            <w:r>
              <w:rPr>
                <w:szCs w:val="20"/>
              </w:rPr>
              <w:t>a</w:t>
            </w:r>
            <w:r>
              <w:rPr>
                <w:rFonts w:hint="eastAsia"/>
                <w:szCs w:val="20"/>
              </w:rPr>
              <w:t>）</w:t>
            </w:r>
            <w:r>
              <w:rPr>
                <w:szCs w:val="20"/>
              </w:rPr>
              <w:t>+</w:t>
            </w:r>
            <w:r>
              <w:rPr>
                <w:rFonts w:hint="eastAsia"/>
                <w:szCs w:val="20"/>
              </w:rPr>
              <w:t>报表代码（</w:t>
            </w:r>
            <w:r>
              <w:rPr>
                <w:szCs w:val="20"/>
              </w:rPr>
              <w:t>5</w:t>
            </w:r>
            <w:r>
              <w:rPr>
                <w:rFonts w:hint="eastAsia"/>
                <w:szCs w:val="20"/>
              </w:rPr>
              <w:t>位，不足</w:t>
            </w:r>
            <w:r>
              <w:rPr>
                <w:szCs w:val="20"/>
              </w:rPr>
              <w:t>5</w:t>
            </w:r>
            <w:r>
              <w:rPr>
                <w:rFonts w:hint="eastAsia"/>
                <w:szCs w:val="20"/>
              </w:rPr>
              <w:t>位补</w:t>
            </w:r>
            <w:r>
              <w:rPr>
                <w:szCs w:val="20"/>
              </w:rPr>
              <w:t>a</w:t>
            </w:r>
            <w:r>
              <w:rPr>
                <w:rFonts w:hint="eastAsia"/>
                <w:szCs w:val="20"/>
              </w:rPr>
              <w:t>）</w:t>
            </w:r>
            <w:r>
              <w:rPr>
                <w:szCs w:val="20"/>
              </w:rPr>
              <w:t>+</w:t>
            </w:r>
            <w:r>
              <w:rPr>
                <w:rFonts w:hint="eastAsia"/>
                <w:szCs w:val="20"/>
              </w:rPr>
              <w:t>报送期（</w:t>
            </w:r>
            <w:r>
              <w:rPr>
                <w:szCs w:val="20"/>
              </w:rPr>
              <w:t>6</w:t>
            </w:r>
            <w:r>
              <w:rPr>
                <w:rFonts w:hint="eastAsia"/>
                <w:szCs w:val="20"/>
              </w:rPr>
              <w:t>位）</w:t>
            </w:r>
            <w:r>
              <w:rPr>
                <w:szCs w:val="20"/>
              </w:rPr>
              <w:t>+</w:t>
            </w:r>
            <w:r>
              <w:rPr>
                <w:rFonts w:hint="eastAsia"/>
                <w:szCs w:val="20"/>
              </w:rPr>
              <w:t>顺序号（</w:t>
            </w:r>
            <w:r>
              <w:rPr>
                <w:szCs w:val="20"/>
              </w:rPr>
              <w:t>7</w:t>
            </w:r>
            <w:r>
              <w:rPr>
                <w:rFonts w:hint="eastAsia"/>
                <w:szCs w:val="20"/>
              </w:rPr>
              <w:t>位，从</w:t>
            </w:r>
            <w:r>
              <w:rPr>
                <w:szCs w:val="20"/>
              </w:rPr>
              <w:t>0000001</w:t>
            </w:r>
            <w:r>
              <w:rPr>
                <w:rFonts w:hint="eastAsia"/>
                <w:szCs w:val="20"/>
              </w:rPr>
              <w:t>开始增加）。</w:t>
            </w:r>
          </w:p>
        </w:tc>
      </w:tr>
      <w:tr w:rsidR="00A052DC" w14:paraId="6E66436E" w14:textId="77777777">
        <w:trPr>
          <w:cantSplit/>
          <w:jc w:val="center"/>
        </w:trPr>
        <w:tc>
          <w:tcPr>
            <w:tcW w:w="1898" w:type="dxa"/>
          </w:tcPr>
          <w:p w14:paraId="2B148FAE" w14:textId="77777777" w:rsidR="00A052DC" w:rsidRDefault="009F0A60">
            <w:pPr>
              <w:pStyle w:val="B"/>
              <w:rPr>
                <w:szCs w:val="20"/>
              </w:rPr>
            </w:pPr>
            <w:r>
              <w:rPr>
                <w:rFonts w:hint="eastAsia"/>
                <w:szCs w:val="20"/>
              </w:rPr>
              <w:t>申报主体代码</w:t>
            </w:r>
          </w:p>
        </w:tc>
        <w:tc>
          <w:tcPr>
            <w:tcW w:w="6801" w:type="dxa"/>
          </w:tcPr>
          <w:p w14:paraId="4ED8CE11" w14:textId="77777777" w:rsidR="00A052DC" w:rsidRDefault="009F0A60">
            <w:pPr>
              <w:pStyle w:val="B"/>
              <w:rPr>
                <w:szCs w:val="20"/>
              </w:rPr>
            </w:pPr>
            <w:r>
              <w:rPr>
                <w:rFonts w:hint="eastAsia"/>
                <w:szCs w:val="20"/>
              </w:rPr>
              <w:t>申报主体的12位金融机构标识码，如果没有金融机构标识码，则填报统一社会信用代码法定载体（如营业执照）上统一社会信用代码中的第9至17位或国家外汇管理局及其分支局签发的特殊机构代码赋码通知书上的机构代码、个人身份代码。</w:t>
            </w:r>
          </w:p>
        </w:tc>
      </w:tr>
      <w:tr w:rsidR="00A052DC" w14:paraId="4AE16B9F" w14:textId="77777777">
        <w:trPr>
          <w:cantSplit/>
          <w:jc w:val="center"/>
        </w:trPr>
        <w:tc>
          <w:tcPr>
            <w:tcW w:w="1898" w:type="dxa"/>
          </w:tcPr>
          <w:p w14:paraId="6435CA52" w14:textId="77777777" w:rsidR="00A052DC" w:rsidRDefault="009F0A60">
            <w:pPr>
              <w:pStyle w:val="B"/>
              <w:rPr>
                <w:szCs w:val="20"/>
              </w:rPr>
            </w:pPr>
            <w:r>
              <w:rPr>
                <w:rFonts w:hint="eastAsia"/>
                <w:szCs w:val="20"/>
              </w:rPr>
              <w:t>报告期</w:t>
            </w:r>
          </w:p>
        </w:tc>
        <w:tc>
          <w:tcPr>
            <w:tcW w:w="6801" w:type="dxa"/>
          </w:tcPr>
          <w:p w14:paraId="7E9F9343" w14:textId="77777777" w:rsidR="00A052DC" w:rsidRDefault="009F0A60">
            <w:pPr>
              <w:pStyle w:val="B"/>
              <w:rPr>
                <w:szCs w:val="20"/>
              </w:rPr>
            </w:pPr>
            <w:r>
              <w:rPr>
                <w:rFonts w:hint="eastAsia"/>
                <w:szCs w:val="20"/>
              </w:rPr>
              <w:t>业务发生月份，格式为</w:t>
            </w:r>
            <w:r>
              <w:rPr>
                <w:szCs w:val="20"/>
              </w:rPr>
              <w:t>YYYYMM</w:t>
            </w:r>
            <w:r>
              <w:rPr>
                <w:rFonts w:hint="eastAsia"/>
                <w:szCs w:val="20"/>
              </w:rPr>
              <w:t>。</w:t>
            </w:r>
          </w:p>
        </w:tc>
      </w:tr>
      <w:tr w:rsidR="00A052DC" w14:paraId="024D4B4D" w14:textId="77777777">
        <w:trPr>
          <w:cantSplit/>
          <w:jc w:val="center"/>
        </w:trPr>
        <w:tc>
          <w:tcPr>
            <w:tcW w:w="1898" w:type="dxa"/>
          </w:tcPr>
          <w:p w14:paraId="44EA9D62" w14:textId="77777777" w:rsidR="00A052DC" w:rsidRDefault="009F0A60">
            <w:pPr>
              <w:pStyle w:val="B"/>
              <w:widowControl w:val="0"/>
              <w:rPr>
                <w:szCs w:val="20"/>
              </w:rPr>
            </w:pPr>
            <w:r>
              <w:rPr>
                <w:rFonts w:hint="eastAsia"/>
                <w:szCs w:val="20"/>
              </w:rPr>
              <w:t>非居民投资者名称</w:t>
            </w:r>
          </w:p>
        </w:tc>
        <w:tc>
          <w:tcPr>
            <w:tcW w:w="6801" w:type="dxa"/>
          </w:tcPr>
          <w:p w14:paraId="77A4A4A5" w14:textId="77777777" w:rsidR="00A052DC" w:rsidRDefault="009F0A60">
            <w:pPr>
              <w:pStyle w:val="B"/>
              <w:rPr>
                <w:szCs w:val="20"/>
              </w:rPr>
            </w:pPr>
            <w:r>
              <w:rPr>
                <w:rFonts w:hint="eastAsia"/>
                <w:szCs w:val="20"/>
              </w:rPr>
              <w:t>非居民投资者的中文或英文名称。</w:t>
            </w:r>
          </w:p>
        </w:tc>
      </w:tr>
      <w:tr w:rsidR="00A052DC" w14:paraId="5C2E4383" w14:textId="77777777">
        <w:trPr>
          <w:cantSplit/>
          <w:jc w:val="center"/>
        </w:trPr>
        <w:tc>
          <w:tcPr>
            <w:tcW w:w="1898" w:type="dxa"/>
          </w:tcPr>
          <w:p w14:paraId="6A4E781A" w14:textId="77777777" w:rsidR="00A052DC" w:rsidRDefault="009F0A60">
            <w:pPr>
              <w:pStyle w:val="B"/>
              <w:rPr>
                <w:szCs w:val="20"/>
              </w:rPr>
            </w:pPr>
            <w:r>
              <w:rPr>
                <w:rFonts w:hint="eastAsia"/>
                <w:szCs w:val="20"/>
              </w:rPr>
              <w:t>业务类型</w:t>
            </w:r>
          </w:p>
        </w:tc>
        <w:tc>
          <w:tcPr>
            <w:tcW w:w="6801" w:type="dxa"/>
          </w:tcPr>
          <w:p w14:paraId="5F6260F3" w14:textId="77777777" w:rsidR="00A052DC" w:rsidRDefault="009F0A60">
            <w:pPr>
              <w:pStyle w:val="B"/>
              <w:rPr>
                <w:szCs w:val="20"/>
              </w:rPr>
            </w:pPr>
            <w:r>
              <w:rPr>
                <w:rFonts w:hint="eastAsia"/>
                <w:szCs w:val="20"/>
              </w:rPr>
              <w:t>包括：QFII、RQFII、沪港通、深港通、境外机构投资者投资银行间债券市场、债券通</w:t>
            </w:r>
            <w:r>
              <w:t>、</w:t>
            </w:r>
            <w:r>
              <w:rPr>
                <w:rFonts w:hint="eastAsia"/>
                <w:szCs w:val="20"/>
              </w:rPr>
              <w:t>沪伦通、其他。</w:t>
            </w:r>
          </w:p>
        </w:tc>
      </w:tr>
      <w:tr w:rsidR="00A052DC" w14:paraId="41ECA525" w14:textId="77777777">
        <w:trPr>
          <w:cantSplit/>
          <w:jc w:val="center"/>
        </w:trPr>
        <w:tc>
          <w:tcPr>
            <w:tcW w:w="1898" w:type="dxa"/>
          </w:tcPr>
          <w:p w14:paraId="75E0CE61" w14:textId="77777777" w:rsidR="00A052DC" w:rsidRDefault="009F0A60">
            <w:pPr>
              <w:pStyle w:val="B"/>
              <w:rPr>
                <w:szCs w:val="20"/>
              </w:rPr>
            </w:pPr>
            <w:r>
              <w:rPr>
                <w:rFonts w:hint="eastAsia"/>
                <w:szCs w:val="20"/>
              </w:rPr>
              <w:t>非居民投资者所属国家</w:t>
            </w:r>
            <w:r>
              <w:rPr>
                <w:szCs w:val="20"/>
              </w:rPr>
              <w:t>/</w:t>
            </w:r>
            <w:r>
              <w:rPr>
                <w:rFonts w:hint="eastAsia"/>
                <w:szCs w:val="20"/>
              </w:rPr>
              <w:t>地区</w:t>
            </w:r>
          </w:p>
        </w:tc>
        <w:tc>
          <w:tcPr>
            <w:tcW w:w="6801" w:type="dxa"/>
          </w:tcPr>
          <w:p w14:paraId="4C5A5E9E" w14:textId="77777777" w:rsidR="00A052DC" w:rsidRDefault="009F0A60">
            <w:pPr>
              <w:pStyle w:val="B"/>
              <w:rPr>
                <w:szCs w:val="20"/>
              </w:rPr>
            </w:pPr>
            <w:r>
              <w:rPr>
                <w:rFonts w:hint="eastAsia"/>
                <w:szCs w:val="20"/>
              </w:rPr>
              <w:t>见国家和地区代码表，填报相关非居民机构注册或非居民个人投资者常住的国家</w:t>
            </w:r>
            <w:r>
              <w:rPr>
                <w:szCs w:val="20"/>
              </w:rPr>
              <w:t>/</w:t>
            </w:r>
            <w:r>
              <w:rPr>
                <w:rFonts w:hint="eastAsia"/>
                <w:szCs w:val="20"/>
              </w:rPr>
              <w:t>地区代码。对于无法确定其注册地的，按非居民机构的经营所在地填报。</w:t>
            </w:r>
          </w:p>
        </w:tc>
      </w:tr>
      <w:tr w:rsidR="00A052DC" w14:paraId="48396FE5" w14:textId="77777777">
        <w:trPr>
          <w:cantSplit/>
          <w:jc w:val="center"/>
        </w:trPr>
        <w:tc>
          <w:tcPr>
            <w:tcW w:w="1898" w:type="dxa"/>
          </w:tcPr>
          <w:p w14:paraId="2E885CCD" w14:textId="77777777" w:rsidR="00A052DC" w:rsidRDefault="009F0A60">
            <w:pPr>
              <w:pStyle w:val="B"/>
              <w:rPr>
                <w:szCs w:val="20"/>
              </w:rPr>
            </w:pPr>
            <w:r>
              <w:rPr>
                <w:rFonts w:hint="eastAsia"/>
                <w:szCs w:val="20"/>
              </w:rPr>
              <w:t>非居民投资者所属部门</w:t>
            </w:r>
          </w:p>
        </w:tc>
        <w:tc>
          <w:tcPr>
            <w:tcW w:w="6801" w:type="dxa"/>
          </w:tcPr>
          <w:p w14:paraId="405CEE94" w14:textId="77777777" w:rsidR="00A052DC" w:rsidRDefault="009F0A60">
            <w:pPr>
              <w:pStyle w:val="B"/>
              <w:rPr>
                <w:szCs w:val="20"/>
              </w:rPr>
            </w:pPr>
            <w:r>
              <w:rPr>
                <w:rFonts w:hint="eastAsia"/>
                <w:szCs w:val="20"/>
              </w:rPr>
              <w:t>见投资者（被投资者）部门代码表，请按非居民投资者的主营业务归类。</w:t>
            </w:r>
          </w:p>
        </w:tc>
      </w:tr>
      <w:tr w:rsidR="00A052DC" w14:paraId="18A17286" w14:textId="77777777">
        <w:trPr>
          <w:cantSplit/>
          <w:jc w:val="center"/>
        </w:trPr>
        <w:tc>
          <w:tcPr>
            <w:tcW w:w="1898" w:type="dxa"/>
          </w:tcPr>
          <w:p w14:paraId="5E866CA5" w14:textId="77777777" w:rsidR="00A052DC" w:rsidRDefault="009F0A60">
            <w:pPr>
              <w:pStyle w:val="B"/>
              <w:rPr>
                <w:szCs w:val="20"/>
              </w:rPr>
            </w:pPr>
            <w:r>
              <w:rPr>
                <w:rFonts w:hint="eastAsia"/>
                <w:szCs w:val="20"/>
              </w:rPr>
              <w:t>投资工具类型</w:t>
            </w:r>
          </w:p>
        </w:tc>
        <w:tc>
          <w:tcPr>
            <w:tcW w:w="6801" w:type="dxa"/>
          </w:tcPr>
          <w:p w14:paraId="6602E894" w14:textId="77777777" w:rsidR="00A052DC" w:rsidRDefault="009F0A60">
            <w:pPr>
              <w:pStyle w:val="B"/>
              <w:rPr>
                <w:szCs w:val="20"/>
              </w:rPr>
            </w:pPr>
            <w:r>
              <w:rPr>
                <w:rFonts w:hint="eastAsia"/>
                <w:szCs w:val="20"/>
              </w:rPr>
              <w:t>指非居民投资者买卖或持有境内相关金融产品的类型。划分为七类，按以下序号填列：1-上市普通股；2-投资基金份额/单位；3-债券；4-非上市普通股；5-参与性优先股；6-非参与性优先股；7-存托凭证。其中，普通股、参与性优先股和存托凭证属于股票或股权类产品，非参与性优先股为债务类工具。可转债在转换前，统计为债务证券；转换后，统计为股本证券。资产证券化工具根据其是否具有债权债务性质（如是否支付固定或浮动利息，是否约定到期支付固定本金等）确定，一般情况下属于债券。如资产证券化产品为权益性（如赋予表决权、支付的是股利、无到期期限且无约定的本金收回等），归入股票统计。</w:t>
            </w:r>
          </w:p>
        </w:tc>
      </w:tr>
      <w:tr w:rsidR="00A052DC" w14:paraId="392FE01E" w14:textId="77777777">
        <w:trPr>
          <w:cantSplit/>
          <w:jc w:val="center"/>
        </w:trPr>
        <w:tc>
          <w:tcPr>
            <w:tcW w:w="1898" w:type="dxa"/>
          </w:tcPr>
          <w:p w14:paraId="04B342B8" w14:textId="77777777" w:rsidR="00A052DC" w:rsidRDefault="009F0A60">
            <w:pPr>
              <w:pStyle w:val="B"/>
              <w:rPr>
                <w:szCs w:val="20"/>
              </w:rPr>
            </w:pPr>
            <w:r>
              <w:rPr>
                <w:rFonts w:hint="eastAsia"/>
                <w:szCs w:val="20"/>
              </w:rPr>
              <w:t>投资产品代码（逐支报送使用）</w:t>
            </w:r>
          </w:p>
        </w:tc>
        <w:tc>
          <w:tcPr>
            <w:tcW w:w="6801" w:type="dxa"/>
          </w:tcPr>
          <w:p w14:paraId="6C133D9F" w14:textId="77777777" w:rsidR="00A052DC" w:rsidRDefault="009F0A60">
            <w:pPr>
              <w:pStyle w:val="B"/>
              <w:rPr>
                <w:szCs w:val="20"/>
              </w:rPr>
            </w:pPr>
            <w:r>
              <w:rPr>
                <w:rFonts w:hint="eastAsia"/>
                <w:szCs w:val="20"/>
              </w:rPr>
              <w:t>对于选择报送逐支投资产品信息的，请填写此项。指非居民投资者所投资金融产品的代码（应带有上市地信息）。如该金融产品有</w:t>
            </w:r>
            <w:r>
              <w:rPr>
                <w:szCs w:val="20"/>
              </w:rPr>
              <w:t>ISIN</w:t>
            </w:r>
            <w:r>
              <w:rPr>
                <w:rFonts w:hint="eastAsia"/>
                <w:szCs w:val="20"/>
              </w:rPr>
              <w:t>码，应优先填写</w:t>
            </w:r>
            <w:r>
              <w:rPr>
                <w:szCs w:val="20"/>
              </w:rPr>
              <w:t>ISIN</w:t>
            </w:r>
            <w:r>
              <w:rPr>
                <w:rFonts w:hint="eastAsia"/>
                <w:szCs w:val="20"/>
              </w:rPr>
              <w:t>码。如无</w:t>
            </w:r>
            <w:r>
              <w:rPr>
                <w:szCs w:val="20"/>
              </w:rPr>
              <w:t>ISIN</w:t>
            </w:r>
            <w:r>
              <w:rPr>
                <w:rFonts w:hint="eastAsia"/>
                <w:szCs w:val="20"/>
              </w:rPr>
              <w:t>码，应填写该金融产品所在市场唯一通用代码。</w:t>
            </w:r>
          </w:p>
        </w:tc>
      </w:tr>
      <w:tr w:rsidR="00A052DC" w14:paraId="6C1B5A4A" w14:textId="77777777">
        <w:trPr>
          <w:cantSplit/>
          <w:jc w:val="center"/>
        </w:trPr>
        <w:tc>
          <w:tcPr>
            <w:tcW w:w="1898" w:type="dxa"/>
          </w:tcPr>
          <w:p w14:paraId="7CB5B357" w14:textId="77777777" w:rsidR="00A052DC" w:rsidRDefault="009F0A60">
            <w:pPr>
              <w:pStyle w:val="B"/>
              <w:rPr>
                <w:szCs w:val="20"/>
              </w:rPr>
            </w:pPr>
            <w:r>
              <w:rPr>
                <w:rFonts w:hint="eastAsia"/>
                <w:szCs w:val="20"/>
              </w:rPr>
              <w:t>发行主体名称（逐支报送使用）</w:t>
            </w:r>
          </w:p>
        </w:tc>
        <w:tc>
          <w:tcPr>
            <w:tcW w:w="6801" w:type="dxa"/>
          </w:tcPr>
          <w:p w14:paraId="61AE05A4" w14:textId="77777777" w:rsidR="00A052DC" w:rsidRDefault="009F0A60">
            <w:pPr>
              <w:pStyle w:val="B"/>
              <w:rPr>
                <w:szCs w:val="20"/>
              </w:rPr>
            </w:pPr>
            <w:r>
              <w:rPr>
                <w:rFonts w:hint="eastAsia"/>
                <w:szCs w:val="20"/>
              </w:rPr>
              <w:t>对于选择报送逐支投资产品信息的，请填写此项。指相关投资产品的发行主体全称，按其中文全称填列。</w:t>
            </w:r>
          </w:p>
        </w:tc>
      </w:tr>
      <w:tr w:rsidR="00A052DC" w14:paraId="7C9456EF" w14:textId="77777777">
        <w:trPr>
          <w:cantSplit/>
          <w:jc w:val="center"/>
        </w:trPr>
        <w:tc>
          <w:tcPr>
            <w:tcW w:w="1898" w:type="dxa"/>
          </w:tcPr>
          <w:p w14:paraId="7063B06E" w14:textId="77777777" w:rsidR="00A052DC" w:rsidRDefault="009F0A60">
            <w:pPr>
              <w:pStyle w:val="B"/>
              <w:rPr>
                <w:szCs w:val="20"/>
              </w:rPr>
            </w:pPr>
            <w:r>
              <w:rPr>
                <w:rFonts w:hint="eastAsia"/>
                <w:szCs w:val="20"/>
              </w:rPr>
              <w:t>发行主体所属国家</w:t>
            </w:r>
            <w:r>
              <w:rPr>
                <w:szCs w:val="20"/>
              </w:rPr>
              <w:t>/</w:t>
            </w:r>
            <w:r>
              <w:rPr>
                <w:rFonts w:hint="eastAsia"/>
                <w:szCs w:val="20"/>
              </w:rPr>
              <w:t>地区</w:t>
            </w:r>
          </w:p>
        </w:tc>
        <w:tc>
          <w:tcPr>
            <w:tcW w:w="6801" w:type="dxa"/>
          </w:tcPr>
          <w:p w14:paraId="3B746D5D" w14:textId="77777777" w:rsidR="00A052DC" w:rsidRDefault="009F0A60">
            <w:pPr>
              <w:pStyle w:val="B"/>
              <w:rPr>
                <w:szCs w:val="20"/>
              </w:rPr>
            </w:pPr>
            <w:r>
              <w:rPr>
                <w:rFonts w:hint="eastAsia"/>
                <w:szCs w:val="20"/>
              </w:rPr>
              <w:t>即发行主体注册国家</w:t>
            </w:r>
            <w:r>
              <w:rPr>
                <w:szCs w:val="20"/>
              </w:rPr>
              <w:t>/</w:t>
            </w:r>
            <w:r>
              <w:rPr>
                <w:rFonts w:hint="eastAsia"/>
                <w:szCs w:val="20"/>
              </w:rPr>
              <w:t>地区代码</w:t>
            </w:r>
            <w:r>
              <w:rPr>
                <w:szCs w:val="20"/>
              </w:rPr>
              <w:t>,</w:t>
            </w:r>
            <w:r>
              <w:rPr>
                <w:rFonts w:hint="eastAsia"/>
                <w:szCs w:val="20"/>
              </w:rPr>
              <w:t>见国家和地区代码表。本表中，发行主体应为中国境内机构，国家</w:t>
            </w:r>
            <w:r>
              <w:rPr>
                <w:szCs w:val="20"/>
              </w:rPr>
              <w:t>/</w:t>
            </w:r>
            <w:r>
              <w:rPr>
                <w:rFonts w:hint="eastAsia"/>
                <w:szCs w:val="20"/>
              </w:rPr>
              <w:t>地区为中国</w:t>
            </w:r>
            <w:r>
              <w:rPr>
                <w:rFonts w:hint="eastAsia"/>
              </w:rPr>
              <w:t>（不含中国香港、</w:t>
            </w:r>
            <w:r>
              <w:rPr>
                <w:rFonts w:hint="eastAsia"/>
                <w:szCs w:val="20"/>
              </w:rPr>
              <w:t>中国</w:t>
            </w:r>
            <w:r>
              <w:rPr>
                <w:rFonts w:hint="eastAsia"/>
              </w:rPr>
              <w:t>澳门和</w:t>
            </w:r>
            <w:r>
              <w:rPr>
                <w:rFonts w:hint="eastAsia"/>
                <w:szCs w:val="20"/>
              </w:rPr>
              <w:t>中国</w:t>
            </w:r>
            <w:r>
              <w:rPr>
                <w:rFonts w:hint="eastAsia"/>
              </w:rPr>
              <w:t>台湾）。</w:t>
            </w:r>
          </w:p>
        </w:tc>
      </w:tr>
      <w:tr w:rsidR="00A052DC" w14:paraId="798508D5" w14:textId="77777777">
        <w:trPr>
          <w:cantSplit/>
          <w:jc w:val="center"/>
        </w:trPr>
        <w:tc>
          <w:tcPr>
            <w:tcW w:w="1898" w:type="dxa"/>
          </w:tcPr>
          <w:p w14:paraId="61D7F9F8" w14:textId="77777777" w:rsidR="00A052DC" w:rsidRDefault="009F0A60">
            <w:pPr>
              <w:pStyle w:val="B"/>
              <w:rPr>
                <w:szCs w:val="20"/>
              </w:rPr>
            </w:pPr>
            <w:r>
              <w:rPr>
                <w:rFonts w:hint="eastAsia"/>
                <w:szCs w:val="20"/>
              </w:rPr>
              <w:t>发行主体所属部门</w:t>
            </w:r>
          </w:p>
        </w:tc>
        <w:tc>
          <w:tcPr>
            <w:tcW w:w="6801" w:type="dxa"/>
          </w:tcPr>
          <w:p w14:paraId="359D95B5" w14:textId="77777777" w:rsidR="00A052DC" w:rsidRDefault="009F0A60">
            <w:pPr>
              <w:pStyle w:val="B"/>
              <w:rPr>
                <w:szCs w:val="20"/>
              </w:rPr>
            </w:pPr>
            <w:r>
              <w:rPr>
                <w:rFonts w:hint="eastAsia"/>
                <w:szCs w:val="20"/>
              </w:rPr>
              <w:t>见投资者（被投资者）部门代码表，请按证券发行主体的主营业务归类。对于政府支持（机构）类债券，应按其发行主体自身所属部门归类。如为公司制或非公司制机构，应确定为</w:t>
            </w:r>
            <w:r>
              <w:rPr>
                <w:szCs w:val="20"/>
              </w:rPr>
              <w:t>3-5</w:t>
            </w:r>
            <w:r>
              <w:rPr>
                <w:rFonts w:hint="eastAsia"/>
                <w:color w:val="000000"/>
                <w:szCs w:val="20"/>
              </w:rPr>
              <w:t>或8、9</w:t>
            </w:r>
            <w:r>
              <w:rPr>
                <w:rFonts w:hint="eastAsia"/>
                <w:szCs w:val="20"/>
              </w:rPr>
              <w:t>中的一类。</w:t>
            </w:r>
          </w:p>
        </w:tc>
      </w:tr>
      <w:tr w:rsidR="00A052DC" w14:paraId="30322076" w14:textId="77777777">
        <w:trPr>
          <w:cantSplit/>
          <w:jc w:val="center"/>
        </w:trPr>
        <w:tc>
          <w:tcPr>
            <w:tcW w:w="1898" w:type="dxa"/>
          </w:tcPr>
          <w:p w14:paraId="7FB0C98A" w14:textId="77777777" w:rsidR="00A052DC" w:rsidRDefault="009F0A60">
            <w:pPr>
              <w:pStyle w:val="B"/>
              <w:rPr>
                <w:szCs w:val="20"/>
              </w:rPr>
            </w:pPr>
            <w:r>
              <w:rPr>
                <w:rFonts w:hint="eastAsia"/>
                <w:szCs w:val="20"/>
              </w:rPr>
              <w:t>债务证券原始期限</w:t>
            </w:r>
          </w:p>
        </w:tc>
        <w:tc>
          <w:tcPr>
            <w:tcW w:w="6801" w:type="dxa"/>
          </w:tcPr>
          <w:p w14:paraId="3C309E35" w14:textId="77777777" w:rsidR="00A052DC" w:rsidRDefault="009F0A60">
            <w:pPr>
              <w:pStyle w:val="B"/>
              <w:rPr>
                <w:szCs w:val="20"/>
              </w:rPr>
            </w:pPr>
            <w:r>
              <w:rPr>
                <w:rFonts w:hint="eastAsia"/>
                <w:szCs w:val="20"/>
              </w:rPr>
              <w:t>指相关债务证券从初始发行至最终到期的期限。划分为两类：</w:t>
            </w:r>
            <w:r>
              <w:rPr>
                <w:szCs w:val="20"/>
              </w:rPr>
              <w:t>1-</w:t>
            </w:r>
            <w:r>
              <w:rPr>
                <w:rFonts w:hint="eastAsia"/>
                <w:szCs w:val="20"/>
              </w:rPr>
              <w:t>一年及以下；</w:t>
            </w:r>
            <w:r>
              <w:rPr>
                <w:szCs w:val="20"/>
              </w:rPr>
              <w:t>2-</w:t>
            </w:r>
            <w:r>
              <w:rPr>
                <w:rFonts w:hint="eastAsia"/>
                <w:szCs w:val="20"/>
              </w:rPr>
              <w:t>一年以上，含永久性债券和非参与性优先股。如无初始发行日期，请按相关债务证券在本市场登记日至最终到期期限计算原始期限。</w:t>
            </w:r>
          </w:p>
        </w:tc>
      </w:tr>
      <w:tr w:rsidR="00A052DC" w14:paraId="381D640E" w14:textId="77777777">
        <w:trPr>
          <w:cantSplit/>
          <w:jc w:val="center"/>
        </w:trPr>
        <w:tc>
          <w:tcPr>
            <w:tcW w:w="1898" w:type="dxa"/>
          </w:tcPr>
          <w:p w14:paraId="0E14141B" w14:textId="77777777" w:rsidR="00A052DC" w:rsidRDefault="009F0A60">
            <w:pPr>
              <w:pStyle w:val="B"/>
              <w:rPr>
                <w:szCs w:val="20"/>
              </w:rPr>
            </w:pPr>
            <w:r>
              <w:rPr>
                <w:rFonts w:hint="eastAsia"/>
                <w:szCs w:val="20"/>
              </w:rPr>
              <w:t>原始币种</w:t>
            </w:r>
          </w:p>
        </w:tc>
        <w:tc>
          <w:tcPr>
            <w:tcW w:w="6801" w:type="dxa"/>
          </w:tcPr>
          <w:p w14:paraId="3353FCFE" w14:textId="77777777" w:rsidR="00A052DC" w:rsidRDefault="009F0A60">
            <w:pPr>
              <w:pStyle w:val="B"/>
              <w:rPr>
                <w:szCs w:val="20"/>
              </w:rPr>
            </w:pPr>
            <w:r>
              <w:rPr>
                <w:rFonts w:hint="eastAsia"/>
                <w:szCs w:val="20"/>
              </w:rPr>
              <w:t>指非居民投资者交易和持有产品的计价币种，见货币代码表。如，所持有产品的计价币种为人民币的，填入人民币代码。</w:t>
            </w:r>
          </w:p>
        </w:tc>
      </w:tr>
      <w:tr w:rsidR="00A052DC" w14:paraId="0E16B14E" w14:textId="77777777">
        <w:trPr>
          <w:cantSplit/>
          <w:jc w:val="center"/>
        </w:trPr>
        <w:tc>
          <w:tcPr>
            <w:tcW w:w="1898" w:type="dxa"/>
          </w:tcPr>
          <w:p w14:paraId="5A944760" w14:textId="77777777" w:rsidR="00A052DC" w:rsidRDefault="009F0A60">
            <w:pPr>
              <w:pStyle w:val="B"/>
              <w:rPr>
                <w:szCs w:val="20"/>
              </w:rPr>
            </w:pPr>
            <w:r>
              <w:rPr>
                <w:rFonts w:hint="eastAsia"/>
                <w:szCs w:val="20"/>
              </w:rPr>
              <w:t>上月末市值</w:t>
            </w:r>
          </w:p>
        </w:tc>
        <w:tc>
          <w:tcPr>
            <w:tcW w:w="6801" w:type="dxa"/>
          </w:tcPr>
          <w:p w14:paraId="058302FF" w14:textId="77777777" w:rsidR="00A052DC" w:rsidRDefault="009F0A60">
            <w:pPr>
              <w:pStyle w:val="B"/>
              <w:rPr>
                <w:szCs w:val="20"/>
              </w:rPr>
            </w:pPr>
            <w:r>
              <w:rPr>
                <w:rFonts w:hint="eastAsia"/>
                <w:szCs w:val="20"/>
              </w:rPr>
              <w:t>指上月末非居民投资者所持有相关金融产品的市值，按上月末最后一个交易日收盘价计算（债券类工具应按全价计值）。</w:t>
            </w:r>
          </w:p>
        </w:tc>
      </w:tr>
      <w:tr w:rsidR="00A052DC" w14:paraId="31333BDB" w14:textId="77777777">
        <w:trPr>
          <w:cantSplit/>
          <w:jc w:val="center"/>
        </w:trPr>
        <w:tc>
          <w:tcPr>
            <w:tcW w:w="1898" w:type="dxa"/>
          </w:tcPr>
          <w:p w14:paraId="179CA773" w14:textId="77777777" w:rsidR="00A052DC" w:rsidRDefault="009F0A60">
            <w:pPr>
              <w:pStyle w:val="B"/>
              <w:rPr>
                <w:szCs w:val="20"/>
              </w:rPr>
            </w:pPr>
            <w:r>
              <w:rPr>
                <w:rFonts w:hint="eastAsia"/>
                <w:szCs w:val="20"/>
              </w:rPr>
              <w:t>本月买入金额</w:t>
            </w:r>
          </w:p>
        </w:tc>
        <w:tc>
          <w:tcPr>
            <w:tcW w:w="6801" w:type="dxa"/>
          </w:tcPr>
          <w:p w14:paraId="6FD09D66" w14:textId="77777777" w:rsidR="00A052DC" w:rsidRDefault="009F0A60">
            <w:pPr>
              <w:pStyle w:val="B"/>
              <w:rPr>
                <w:szCs w:val="20"/>
              </w:rPr>
            </w:pPr>
            <w:r>
              <w:rPr>
                <w:rFonts w:ascii="宋体" w:hAnsi="宋体" w:hint="eastAsia"/>
                <w:color w:val="000000"/>
              </w:rPr>
              <w:t>指本月内，非居民投资者买入相关金融产品所支付的金额（债券类工具应为全价），对于基金，专指申购金额。此外，非居民投资者以过户、继承、法院裁定、大宗交易（协议定价交易）等方式发生相关产品所有权转移，但资金未经清算或结算机构集中清算的，视同买卖处理。其中，非居民投资者获得居民相关产品所有权视为买入（填入本栏），转出相关产品所有权视为卖出（填入本月卖出金额栏）。不过，如果股票发行主体因股票分割或发行红利股（即公司重组其股票）而向股东提供的新股票，不纳入本栏统计。与发行新股获得融资不同，股票分割和红利股不产生新的融资。</w:t>
            </w:r>
          </w:p>
        </w:tc>
      </w:tr>
      <w:tr w:rsidR="00A052DC" w14:paraId="6EB5BA42" w14:textId="77777777">
        <w:trPr>
          <w:cantSplit/>
          <w:jc w:val="center"/>
        </w:trPr>
        <w:tc>
          <w:tcPr>
            <w:tcW w:w="1898" w:type="dxa"/>
          </w:tcPr>
          <w:p w14:paraId="158C0652" w14:textId="77777777" w:rsidR="00A052DC" w:rsidRDefault="009F0A60">
            <w:pPr>
              <w:pStyle w:val="B"/>
              <w:rPr>
                <w:szCs w:val="20"/>
              </w:rPr>
            </w:pPr>
            <w:r>
              <w:rPr>
                <w:rFonts w:hint="eastAsia"/>
                <w:szCs w:val="20"/>
              </w:rPr>
              <w:t>本月卖出金额</w:t>
            </w:r>
          </w:p>
        </w:tc>
        <w:tc>
          <w:tcPr>
            <w:tcW w:w="6801" w:type="dxa"/>
          </w:tcPr>
          <w:p w14:paraId="37DB2F63" w14:textId="77777777" w:rsidR="00A052DC" w:rsidRDefault="009F0A60">
            <w:pPr>
              <w:pStyle w:val="B"/>
              <w:rPr>
                <w:szCs w:val="20"/>
              </w:rPr>
            </w:pPr>
            <w:r>
              <w:rPr>
                <w:rFonts w:hint="eastAsia"/>
                <w:szCs w:val="20"/>
              </w:rPr>
              <w:t>指本月内，非居民投资者卖出、赎回或持有到期相关金融产品所获得的金额（债券类工具应按全价计值），对于基金，专指赎回金额。非居民投资者以过户、继承、法院裁定、大宗交易（协议定价交易）等方式发生相关产品所有权转移，但资金未经清算或结算机构集中清算的，视同买卖处理。其中，非居民获得居民相关产品所有权视为买入（填入本月买入金额栏），转出相关产品所有权视为卖出（填入本栏）。</w:t>
            </w:r>
          </w:p>
        </w:tc>
      </w:tr>
      <w:tr w:rsidR="00A052DC" w14:paraId="3FB94282" w14:textId="77777777">
        <w:trPr>
          <w:cantSplit/>
          <w:jc w:val="center"/>
        </w:trPr>
        <w:tc>
          <w:tcPr>
            <w:tcW w:w="1898" w:type="dxa"/>
          </w:tcPr>
          <w:p w14:paraId="4CB77940" w14:textId="77777777" w:rsidR="00A052DC" w:rsidRDefault="009F0A60">
            <w:pPr>
              <w:pStyle w:val="B"/>
              <w:rPr>
                <w:szCs w:val="20"/>
              </w:rPr>
            </w:pPr>
            <w:r>
              <w:rPr>
                <w:rFonts w:hint="eastAsia"/>
                <w:szCs w:val="20"/>
              </w:rPr>
              <w:t>本月卖出金额</w:t>
            </w:r>
            <w:r>
              <w:rPr>
                <w:rFonts w:hAnsi="宋体" w:hint="eastAsia"/>
                <w:color w:val="000000"/>
              </w:rPr>
              <w:t>其中：债券到期或提前兑付的本息金额</w:t>
            </w:r>
          </w:p>
        </w:tc>
        <w:tc>
          <w:tcPr>
            <w:tcW w:w="6801" w:type="dxa"/>
          </w:tcPr>
          <w:p w14:paraId="35B36F15" w14:textId="77777777" w:rsidR="00A052DC" w:rsidRDefault="009F0A60">
            <w:pPr>
              <w:pStyle w:val="B"/>
              <w:rPr>
                <w:szCs w:val="20"/>
              </w:rPr>
            </w:pPr>
            <w:r>
              <w:rPr>
                <w:rFonts w:hint="eastAsia"/>
                <w:szCs w:val="20"/>
              </w:rPr>
              <w:t>指本月内，债券发行人在债券到期日或到期日之前部分或全部偿还的本金和利息。本项仅限债务证券使用，非债务性工具不填报此项。</w:t>
            </w:r>
          </w:p>
        </w:tc>
      </w:tr>
      <w:tr w:rsidR="00A052DC" w14:paraId="37A2DCC1" w14:textId="77777777">
        <w:trPr>
          <w:cantSplit/>
          <w:jc w:val="center"/>
        </w:trPr>
        <w:tc>
          <w:tcPr>
            <w:tcW w:w="1898" w:type="dxa"/>
          </w:tcPr>
          <w:p w14:paraId="413952D0" w14:textId="77777777" w:rsidR="00A052DC" w:rsidRDefault="009F0A60">
            <w:pPr>
              <w:pStyle w:val="B"/>
              <w:rPr>
                <w:szCs w:val="20"/>
              </w:rPr>
            </w:pPr>
            <w:r>
              <w:rPr>
                <w:rFonts w:hint="eastAsia"/>
                <w:szCs w:val="20"/>
              </w:rPr>
              <w:t>本月非交易变动</w:t>
            </w:r>
          </w:p>
        </w:tc>
        <w:tc>
          <w:tcPr>
            <w:tcW w:w="6801" w:type="dxa"/>
          </w:tcPr>
          <w:p w14:paraId="4F2ACA61" w14:textId="77777777" w:rsidR="00A052DC" w:rsidRDefault="009F0A60">
            <w:pPr>
              <w:pStyle w:val="B"/>
              <w:rPr>
                <w:szCs w:val="20"/>
              </w:rPr>
            </w:pPr>
            <w:r>
              <w:rPr>
                <w:rFonts w:hint="eastAsia"/>
                <w:szCs w:val="20"/>
              </w:rPr>
              <w:t>指统计期间投资产品交易净值变化以外的非交易因素引起的变动。必须满足：本月非交易变动</w:t>
            </w:r>
            <w:r>
              <w:rPr>
                <w:szCs w:val="20"/>
              </w:rPr>
              <w:t>=</w:t>
            </w:r>
            <w:r>
              <w:rPr>
                <w:rFonts w:hint="eastAsia"/>
                <w:szCs w:val="20"/>
              </w:rPr>
              <w:t>本月末市值</w:t>
            </w:r>
            <w:r>
              <w:rPr>
                <w:szCs w:val="20"/>
              </w:rPr>
              <w:t>-</w:t>
            </w:r>
            <w:r>
              <w:rPr>
                <w:rFonts w:hint="eastAsia"/>
                <w:szCs w:val="20"/>
              </w:rPr>
              <w:t>上月末市值</w:t>
            </w:r>
            <w:r>
              <w:rPr>
                <w:szCs w:val="20"/>
              </w:rPr>
              <w:t>-</w:t>
            </w:r>
            <w:r>
              <w:rPr>
                <w:rFonts w:hint="eastAsia"/>
                <w:szCs w:val="20"/>
              </w:rPr>
              <w:t>（本月买入金额</w:t>
            </w:r>
            <w:r>
              <w:rPr>
                <w:szCs w:val="20"/>
              </w:rPr>
              <w:t>-</w:t>
            </w:r>
            <w:r>
              <w:rPr>
                <w:rFonts w:hint="eastAsia"/>
                <w:szCs w:val="20"/>
              </w:rPr>
              <w:t>本月卖出金额）。</w:t>
            </w:r>
          </w:p>
        </w:tc>
      </w:tr>
      <w:tr w:rsidR="00A052DC" w14:paraId="0801B525" w14:textId="77777777">
        <w:trPr>
          <w:cantSplit/>
          <w:jc w:val="center"/>
        </w:trPr>
        <w:tc>
          <w:tcPr>
            <w:tcW w:w="1898" w:type="dxa"/>
          </w:tcPr>
          <w:p w14:paraId="7DFBB911" w14:textId="77777777" w:rsidR="00A052DC" w:rsidRDefault="009F0A60">
            <w:pPr>
              <w:pStyle w:val="B"/>
              <w:rPr>
                <w:szCs w:val="20"/>
              </w:rPr>
            </w:pPr>
            <w:r>
              <w:rPr>
                <w:rFonts w:hint="eastAsia"/>
              </w:rPr>
              <w:t>注销</w:t>
            </w:r>
            <w:r>
              <w:rPr>
                <w:rFonts w:hint="eastAsia"/>
                <w:szCs w:val="20"/>
              </w:rPr>
              <w:t>、调整或重新分类至其他报表统计的</w:t>
            </w:r>
            <w:r>
              <w:rPr>
                <w:rFonts w:hint="eastAsia"/>
              </w:rPr>
              <w:t>金额</w:t>
            </w:r>
          </w:p>
        </w:tc>
        <w:tc>
          <w:tcPr>
            <w:tcW w:w="6801" w:type="dxa"/>
          </w:tcPr>
          <w:p w14:paraId="3CF7C307" w14:textId="77777777" w:rsidR="00A052DC" w:rsidRDefault="009F0A60">
            <w:pPr>
              <w:pStyle w:val="B"/>
              <w:rPr>
                <w:szCs w:val="20"/>
              </w:rPr>
            </w:pPr>
            <w:r>
              <w:rPr>
                <w:rFonts w:hint="eastAsia"/>
              </w:rPr>
              <w:t>指非买卖因素引起的证券资产数量增减和价值变动。包括但不限于本月相关投资者单方面放弃（或注销）债权的金额。必须满足：本月非交易变动</w:t>
            </w:r>
            <w:r>
              <w:t>=</w:t>
            </w:r>
            <w:r w:rsidR="009E4A3E">
              <w:rPr>
                <w:rFonts w:hint="eastAsia"/>
                <w:szCs w:val="20"/>
              </w:rPr>
              <w:t>注销、调整或重新分类至其他报表统计的金额</w:t>
            </w:r>
            <w:r>
              <w:t>+</w:t>
            </w:r>
            <w:r>
              <w:rPr>
                <w:rFonts w:hint="eastAsia"/>
              </w:rPr>
              <w:t>价值重估因素。</w:t>
            </w:r>
          </w:p>
        </w:tc>
      </w:tr>
      <w:tr w:rsidR="00A052DC" w14:paraId="1F260836" w14:textId="77777777">
        <w:trPr>
          <w:cantSplit/>
          <w:jc w:val="center"/>
        </w:trPr>
        <w:tc>
          <w:tcPr>
            <w:tcW w:w="1898" w:type="dxa"/>
          </w:tcPr>
          <w:p w14:paraId="448EF880" w14:textId="77777777" w:rsidR="00A052DC" w:rsidRDefault="009F0A60">
            <w:pPr>
              <w:pStyle w:val="B"/>
              <w:rPr>
                <w:szCs w:val="20"/>
              </w:rPr>
            </w:pPr>
            <w:r>
              <w:rPr>
                <w:rFonts w:hint="eastAsia"/>
              </w:rPr>
              <w:t>价值重估因素</w:t>
            </w:r>
          </w:p>
        </w:tc>
        <w:tc>
          <w:tcPr>
            <w:tcW w:w="6801" w:type="dxa"/>
          </w:tcPr>
          <w:p w14:paraId="3BE018D9" w14:textId="77777777" w:rsidR="00A052DC" w:rsidRDefault="009F0A60">
            <w:pPr>
              <w:pStyle w:val="B"/>
              <w:widowControl w:val="0"/>
              <w:rPr>
                <w:szCs w:val="20"/>
              </w:rPr>
            </w:pPr>
            <w:r>
              <w:rPr>
                <w:rFonts w:hint="eastAsia"/>
              </w:rPr>
              <w:t>指剔除买卖因素和</w:t>
            </w:r>
            <w:r w:rsidR="000767B8">
              <w:rPr>
                <w:rFonts w:cs="宋体" w:hint="eastAsia"/>
                <w:color w:val="000000"/>
                <w:szCs w:val="20"/>
              </w:rPr>
              <w:t>注销、调整或重新分类至其他报表统计的金额</w:t>
            </w:r>
            <w:r>
              <w:rPr>
                <w:rFonts w:hint="eastAsia"/>
              </w:rPr>
              <w:t>因素外，本月市场价格或近似参考价格波动带来的相关工具价值增减。必须满足：本月非交易变动</w:t>
            </w:r>
            <w:r>
              <w:t>=</w:t>
            </w:r>
            <w:r>
              <w:rPr>
                <w:rFonts w:hint="eastAsia"/>
                <w:szCs w:val="20"/>
              </w:rPr>
              <w:t>注销、调整或重新分类至其他报表统计的金额</w:t>
            </w:r>
            <w:r>
              <w:t>+</w:t>
            </w:r>
            <w:r>
              <w:rPr>
                <w:rFonts w:hint="eastAsia"/>
              </w:rPr>
              <w:t>价值重估因素。</w:t>
            </w:r>
          </w:p>
        </w:tc>
      </w:tr>
      <w:tr w:rsidR="00A052DC" w14:paraId="76DD95D3" w14:textId="77777777">
        <w:trPr>
          <w:cantSplit/>
          <w:jc w:val="center"/>
        </w:trPr>
        <w:tc>
          <w:tcPr>
            <w:tcW w:w="1898" w:type="dxa"/>
          </w:tcPr>
          <w:p w14:paraId="1115CF1F" w14:textId="77777777" w:rsidR="00A052DC" w:rsidRDefault="009F0A60">
            <w:pPr>
              <w:pStyle w:val="B"/>
              <w:widowControl w:val="0"/>
              <w:rPr>
                <w:szCs w:val="20"/>
              </w:rPr>
            </w:pPr>
            <w:r>
              <w:rPr>
                <w:rFonts w:hint="eastAsia"/>
                <w:szCs w:val="20"/>
              </w:rPr>
              <w:t>本月末市值</w:t>
            </w:r>
          </w:p>
        </w:tc>
        <w:tc>
          <w:tcPr>
            <w:tcW w:w="6801" w:type="dxa"/>
          </w:tcPr>
          <w:p w14:paraId="0CB78107" w14:textId="77777777" w:rsidR="00A052DC" w:rsidRDefault="009F0A60">
            <w:pPr>
              <w:pStyle w:val="B"/>
              <w:widowControl w:val="0"/>
              <w:rPr>
                <w:szCs w:val="20"/>
              </w:rPr>
            </w:pPr>
            <w:r>
              <w:rPr>
                <w:rFonts w:hint="eastAsia"/>
                <w:szCs w:val="20"/>
              </w:rPr>
              <w:t>指本月末非居民投资者所持有相关金融产品的市值，按本月末最后一个交易日收盘价计算（债券类工具应按全价计值）。</w:t>
            </w:r>
          </w:p>
        </w:tc>
      </w:tr>
      <w:tr w:rsidR="00A052DC" w14:paraId="35B3E0F9" w14:textId="77777777">
        <w:trPr>
          <w:cantSplit/>
          <w:jc w:val="center"/>
        </w:trPr>
        <w:tc>
          <w:tcPr>
            <w:tcW w:w="1898" w:type="dxa"/>
          </w:tcPr>
          <w:p w14:paraId="2DC9A6E8" w14:textId="77777777" w:rsidR="00A052DC" w:rsidRDefault="009F0A60">
            <w:pPr>
              <w:pStyle w:val="B"/>
              <w:widowControl w:val="0"/>
              <w:rPr>
                <w:szCs w:val="20"/>
              </w:rPr>
            </w:pPr>
            <w:r>
              <w:rPr>
                <w:rFonts w:hint="eastAsia"/>
              </w:rPr>
              <w:t>本月末市值其中</w:t>
            </w:r>
            <w:r>
              <w:rPr>
                <w:rFonts w:hint="eastAsia"/>
                <w:szCs w:val="20"/>
              </w:rPr>
              <w:t>：</w:t>
            </w:r>
            <w:r>
              <w:rPr>
                <w:rFonts w:hint="eastAsia"/>
              </w:rPr>
              <w:t>剩余期限在一年及以下</w:t>
            </w:r>
          </w:p>
        </w:tc>
        <w:tc>
          <w:tcPr>
            <w:tcW w:w="6801" w:type="dxa"/>
          </w:tcPr>
          <w:p w14:paraId="2C14D173" w14:textId="77777777" w:rsidR="00A052DC" w:rsidRDefault="009F0A60">
            <w:pPr>
              <w:pStyle w:val="B"/>
              <w:widowControl w:val="0"/>
              <w:rPr>
                <w:szCs w:val="20"/>
              </w:rPr>
            </w:pPr>
            <w:r>
              <w:rPr>
                <w:rFonts w:hint="eastAsia"/>
              </w:rPr>
              <w:t>仅适用于“投资工具类型”下</w:t>
            </w:r>
            <w:r>
              <w:t>3</w:t>
            </w:r>
            <w:r>
              <w:rPr>
                <w:rFonts w:hint="eastAsia"/>
                <w:szCs w:val="20"/>
              </w:rPr>
              <w:t>或</w:t>
            </w:r>
            <w:r>
              <w:rPr>
                <w:szCs w:val="20"/>
              </w:rPr>
              <w:t>6</w:t>
            </w:r>
            <w:r>
              <w:rPr>
                <w:rFonts w:hint="eastAsia"/>
              </w:rPr>
              <w:t>（债券）类工具，指自本月末</w:t>
            </w:r>
            <w:r>
              <w:rPr>
                <w:rFonts w:hint="eastAsia"/>
                <w:szCs w:val="20"/>
              </w:rPr>
              <w:t>至</w:t>
            </w:r>
            <w:r>
              <w:rPr>
                <w:rFonts w:hint="eastAsia"/>
              </w:rPr>
              <w:t>最终到期在一年及以下的相关债务类工具的市值，按本月末最后一个工作日债券的全价计值。</w:t>
            </w:r>
          </w:p>
        </w:tc>
      </w:tr>
      <w:tr w:rsidR="00A052DC" w14:paraId="4C1E0DA5" w14:textId="77777777">
        <w:trPr>
          <w:cantSplit/>
          <w:jc w:val="center"/>
        </w:trPr>
        <w:tc>
          <w:tcPr>
            <w:tcW w:w="1898" w:type="dxa"/>
          </w:tcPr>
          <w:p w14:paraId="50CA9323" w14:textId="77777777" w:rsidR="00A052DC" w:rsidRDefault="009F0A60">
            <w:pPr>
              <w:pStyle w:val="B"/>
              <w:widowControl w:val="0"/>
              <w:rPr>
                <w:szCs w:val="20"/>
              </w:rPr>
            </w:pPr>
            <w:r>
              <w:rPr>
                <w:rFonts w:hint="eastAsia"/>
              </w:rPr>
              <w:t>本月非居民投资者红利或利息收入</w:t>
            </w:r>
          </w:p>
        </w:tc>
        <w:tc>
          <w:tcPr>
            <w:tcW w:w="6801" w:type="dxa"/>
          </w:tcPr>
          <w:p w14:paraId="067B8806" w14:textId="77777777" w:rsidR="00A052DC" w:rsidRDefault="009F0A60">
            <w:pPr>
              <w:pStyle w:val="B"/>
              <w:widowControl w:val="0"/>
              <w:rPr>
                <w:szCs w:val="20"/>
              </w:rPr>
            </w:pPr>
            <w:r>
              <w:rPr>
                <w:rFonts w:hint="eastAsia"/>
              </w:rPr>
              <w:t>指本月非居民因持有境内发行的股权、股票、投资基金份额、债券而</w:t>
            </w:r>
            <w:r>
              <w:rPr>
                <w:rFonts w:hint="eastAsia"/>
                <w:szCs w:val="20"/>
              </w:rPr>
              <w:t>获得</w:t>
            </w:r>
            <w:r>
              <w:rPr>
                <w:rFonts w:hint="eastAsia"/>
              </w:rPr>
              <w:t>的红利、股息或利息。其中，红利、股息按股票除息日统计。利息按利息分发日统计。相关红利或利息收入应为税前收入。对于股票股息，按照除息日</w:t>
            </w:r>
            <w:r>
              <w:rPr>
                <w:rFonts w:hint="eastAsia"/>
                <w:szCs w:val="20"/>
              </w:rPr>
              <w:t>当日投资者持有的</w:t>
            </w:r>
            <w:r>
              <w:rPr>
                <w:rFonts w:hint="eastAsia"/>
              </w:rPr>
              <w:t>股票份数</w:t>
            </w:r>
            <w:r>
              <w:rPr>
                <w:rFonts w:hint="eastAsia"/>
                <w:szCs w:val="20"/>
              </w:rPr>
              <w:t>乘每股派息金额</w:t>
            </w:r>
            <w:r>
              <w:rPr>
                <w:rFonts w:hint="eastAsia"/>
              </w:rPr>
              <w:t>填报。</w:t>
            </w:r>
          </w:p>
        </w:tc>
      </w:tr>
      <w:tr w:rsidR="00A052DC" w14:paraId="1138A454" w14:textId="77777777">
        <w:trPr>
          <w:cantSplit/>
          <w:jc w:val="center"/>
        </w:trPr>
        <w:tc>
          <w:tcPr>
            <w:tcW w:w="1898" w:type="dxa"/>
          </w:tcPr>
          <w:p w14:paraId="37FE4703" w14:textId="77777777" w:rsidR="00A052DC" w:rsidRDefault="009F0A60">
            <w:pPr>
              <w:pStyle w:val="B"/>
              <w:widowControl w:val="0"/>
              <w:rPr>
                <w:szCs w:val="20"/>
              </w:rPr>
            </w:pPr>
            <w:r>
              <w:rPr>
                <w:rFonts w:hint="eastAsia"/>
                <w:szCs w:val="20"/>
              </w:rPr>
              <w:t>本月末未到期/未偿付债券面值</w:t>
            </w:r>
          </w:p>
        </w:tc>
        <w:tc>
          <w:tcPr>
            <w:tcW w:w="6801" w:type="dxa"/>
          </w:tcPr>
          <w:p w14:paraId="30F7104A" w14:textId="77777777" w:rsidR="00A052DC" w:rsidRDefault="009F0A60">
            <w:pPr>
              <w:pStyle w:val="B"/>
              <w:widowControl w:val="0"/>
              <w:rPr>
                <w:szCs w:val="20"/>
              </w:rPr>
            </w:pPr>
            <w:r>
              <w:rPr>
                <w:rFonts w:hint="eastAsia"/>
                <w:szCs w:val="20"/>
              </w:rPr>
              <w:t>债券面值为在债券发行人在债券到期时需向持有人偿还的本金金额，本项应填报为债券票面金额与本月末投资者持有债券数量的乘积。本项仅限债务证券使用，非债务性工具不填报此项。</w:t>
            </w:r>
          </w:p>
        </w:tc>
      </w:tr>
      <w:tr w:rsidR="00A052DC" w14:paraId="2559CA5E" w14:textId="77777777">
        <w:trPr>
          <w:cantSplit/>
          <w:jc w:val="center"/>
        </w:trPr>
        <w:tc>
          <w:tcPr>
            <w:tcW w:w="1898" w:type="dxa"/>
          </w:tcPr>
          <w:p w14:paraId="4504DBE5" w14:textId="77777777" w:rsidR="00A052DC" w:rsidRDefault="009F0A60">
            <w:pPr>
              <w:pStyle w:val="B"/>
              <w:widowControl w:val="0"/>
              <w:rPr>
                <w:szCs w:val="20"/>
              </w:rPr>
            </w:pPr>
            <w:r>
              <w:rPr>
                <w:rFonts w:hint="eastAsia"/>
                <w:szCs w:val="20"/>
              </w:rPr>
              <w:t>备注</w:t>
            </w:r>
          </w:p>
        </w:tc>
        <w:tc>
          <w:tcPr>
            <w:tcW w:w="6801" w:type="dxa"/>
          </w:tcPr>
          <w:p w14:paraId="6674AE90" w14:textId="77777777" w:rsidR="00A052DC" w:rsidRDefault="009F0A60">
            <w:pPr>
              <w:pStyle w:val="B"/>
              <w:widowControl w:val="0"/>
              <w:rPr>
                <w:szCs w:val="20"/>
              </w:rPr>
            </w:pPr>
            <w:r>
              <w:rPr>
                <w:rFonts w:hint="eastAsia"/>
                <w:szCs w:val="20"/>
              </w:rPr>
              <w:t>其他需要说明的情况。</w:t>
            </w:r>
          </w:p>
        </w:tc>
      </w:tr>
    </w:tbl>
    <w:p w14:paraId="00B53BE3" w14:textId="77777777" w:rsidR="00A052DC" w:rsidRDefault="00A052DC"/>
    <w:p w14:paraId="43C72EBC" w14:textId="77777777" w:rsidR="00A052DC" w:rsidRDefault="00A052DC"/>
    <w:p w14:paraId="4B58AFC6" w14:textId="77777777" w:rsidR="00A052DC" w:rsidRDefault="009F0A60" w:rsidP="0020251D">
      <w:pPr>
        <w:pStyle w:val="4"/>
        <w:numPr>
          <w:ilvl w:val="3"/>
          <w:numId w:val="1"/>
        </w:numPr>
        <w:jc w:val="left"/>
      </w:pPr>
      <w:bookmarkStart w:id="3170" w:name="_Toc454391285"/>
      <w:bookmarkStart w:id="3171" w:name="_Toc380570945"/>
      <w:r>
        <w:rPr>
          <w:rFonts w:hint="eastAsia"/>
        </w:rPr>
        <w:t>数据格式</w:t>
      </w:r>
      <w:bookmarkEnd w:id="3170"/>
      <w:bookmarkEnd w:id="3171"/>
    </w:p>
    <w:p w14:paraId="245C1D31" w14:textId="77777777" w:rsidR="00A052DC" w:rsidRDefault="009F0A60">
      <w:pPr>
        <w:ind w:firstLine="284"/>
      </w:pPr>
      <w:r>
        <w:t>&lt;REC&gt;</w:t>
      </w:r>
    </w:p>
    <w:p w14:paraId="7CD8A79B" w14:textId="77777777" w:rsidR="00A052DC" w:rsidRDefault="009F0A60">
      <w:pPr>
        <w:ind w:firstLine="284"/>
      </w:pPr>
      <w:r>
        <w:t>&lt;ACTIONTYPE&gt;</w:t>
      </w:r>
      <w:r>
        <w:rPr>
          <w:rFonts w:hAnsi="宋体"/>
        </w:rPr>
        <w:t>操作类型</w:t>
      </w:r>
      <w:r>
        <w:t>&lt;/ACTIONTYPE&gt;</w:t>
      </w:r>
    </w:p>
    <w:p w14:paraId="1EA2D81A" w14:textId="77777777" w:rsidR="00A052DC" w:rsidRDefault="009F0A60">
      <w:pPr>
        <w:ind w:firstLine="284"/>
      </w:pPr>
      <w:r>
        <w:t>&lt;ACTIONDESC&gt;</w:t>
      </w:r>
      <w:r>
        <w:rPr>
          <w:rFonts w:hAnsi="宋体"/>
        </w:rPr>
        <w:t>删除原因</w:t>
      </w:r>
      <w:r>
        <w:t>&lt;/ACTIONDESC&gt;</w:t>
      </w:r>
    </w:p>
    <w:p w14:paraId="68491B69" w14:textId="77777777" w:rsidR="00A052DC" w:rsidRDefault="009F0A60">
      <w:pPr>
        <w:ind w:firstLine="284"/>
      </w:pPr>
      <w:r>
        <w:t>&lt;SNOCODE&gt;</w:t>
      </w:r>
      <w:r>
        <w:rPr>
          <w:rFonts w:hAnsi="宋体"/>
        </w:rPr>
        <w:t>数据自编码</w:t>
      </w:r>
      <w:r>
        <w:t>&lt;/SNOCODE&gt;</w:t>
      </w:r>
    </w:p>
    <w:p w14:paraId="57AD6D4D" w14:textId="77777777" w:rsidR="00A052DC" w:rsidRDefault="009F0A60">
      <w:pPr>
        <w:ind w:firstLine="284"/>
      </w:pPr>
      <w:r>
        <w:t>&lt;OBJCODE&gt;</w:t>
      </w:r>
      <w:r>
        <w:rPr>
          <w:rFonts w:hAnsi="宋体"/>
        </w:rPr>
        <w:t>申报主体代码</w:t>
      </w:r>
      <w:r>
        <w:t>&lt;/OBJCODE&gt;</w:t>
      </w:r>
    </w:p>
    <w:p w14:paraId="3346FADD" w14:textId="77777777" w:rsidR="00A052DC" w:rsidRDefault="009F0A60">
      <w:pPr>
        <w:ind w:firstLine="284"/>
      </w:pPr>
      <w:r>
        <w:t>&lt;BUOCMONTH&gt;</w:t>
      </w:r>
      <w:r>
        <w:rPr>
          <w:rFonts w:hAnsi="宋体"/>
        </w:rPr>
        <w:t>报告期</w:t>
      </w:r>
      <w:r>
        <w:t>&lt;/BUOCMONTH&gt;</w:t>
      </w:r>
    </w:p>
    <w:p w14:paraId="4512CC99" w14:textId="77777777" w:rsidR="00A052DC" w:rsidRDefault="009F0A60">
      <w:pPr>
        <w:ind w:firstLine="284"/>
      </w:pPr>
      <w:r>
        <w:t>&lt;B0601&gt;</w:t>
      </w:r>
      <w:r>
        <w:rPr>
          <w:rFonts w:hAnsi="宋体"/>
        </w:rPr>
        <w:t>非居民投资者名称</w:t>
      </w:r>
      <w:r>
        <w:t>&lt;/B0601&gt;</w:t>
      </w:r>
    </w:p>
    <w:p w14:paraId="7D3FDB07" w14:textId="77777777" w:rsidR="00A052DC" w:rsidRDefault="009F0A60">
      <w:pPr>
        <w:ind w:firstLine="284"/>
      </w:pPr>
      <w:r>
        <w:t>&lt;</w:t>
      </w:r>
      <w:r>
        <w:rPr>
          <w:rFonts w:eastAsia="黑体"/>
          <w:sz w:val="20"/>
          <w:szCs w:val="20"/>
        </w:rPr>
        <w:t>B0601TYPE</w:t>
      </w:r>
      <w:r>
        <w:t>&gt;</w:t>
      </w:r>
      <w:r>
        <w:rPr>
          <w:rFonts w:hAnsi="宋体"/>
        </w:rPr>
        <w:t>业务类型</w:t>
      </w:r>
      <w:r>
        <w:t>&lt;/</w:t>
      </w:r>
      <w:r>
        <w:rPr>
          <w:rFonts w:eastAsia="黑体"/>
          <w:sz w:val="20"/>
          <w:szCs w:val="20"/>
        </w:rPr>
        <w:t>B0601TYPE</w:t>
      </w:r>
      <w:r>
        <w:t>&gt;</w:t>
      </w:r>
    </w:p>
    <w:p w14:paraId="15C28665" w14:textId="77777777" w:rsidR="00A052DC" w:rsidRDefault="009F0A60">
      <w:pPr>
        <w:ind w:firstLine="284"/>
      </w:pPr>
      <w:r>
        <w:t>&lt;B0602&gt;</w:t>
      </w:r>
      <w:r>
        <w:rPr>
          <w:rFonts w:hAnsi="宋体"/>
        </w:rPr>
        <w:t>非居民投资者所属国家</w:t>
      </w:r>
      <w:r>
        <w:t>/</w:t>
      </w:r>
      <w:r>
        <w:rPr>
          <w:rFonts w:hAnsi="宋体"/>
        </w:rPr>
        <w:t>地区</w:t>
      </w:r>
      <w:r>
        <w:t>&lt;/B0602&gt;</w:t>
      </w:r>
    </w:p>
    <w:p w14:paraId="62AA8511" w14:textId="77777777" w:rsidR="00A052DC" w:rsidRDefault="009F0A60">
      <w:pPr>
        <w:ind w:firstLine="284"/>
      </w:pPr>
      <w:r>
        <w:t>&lt;B0603&gt;</w:t>
      </w:r>
      <w:r>
        <w:rPr>
          <w:rFonts w:hAnsi="宋体"/>
        </w:rPr>
        <w:t>非居民投资者所属部门</w:t>
      </w:r>
      <w:r>
        <w:t>&lt;/B0603&gt;</w:t>
      </w:r>
    </w:p>
    <w:p w14:paraId="42BFB5BE" w14:textId="77777777" w:rsidR="00A052DC" w:rsidRDefault="009F0A60">
      <w:pPr>
        <w:ind w:firstLine="284"/>
      </w:pPr>
      <w:r>
        <w:t>&lt;B0604&gt;</w:t>
      </w:r>
      <w:r>
        <w:rPr>
          <w:rFonts w:hAnsi="宋体"/>
        </w:rPr>
        <w:t>投资工具类型</w:t>
      </w:r>
      <w:r>
        <w:t>&lt;/B0604&gt;</w:t>
      </w:r>
    </w:p>
    <w:p w14:paraId="4FAC0853" w14:textId="77777777" w:rsidR="00A052DC" w:rsidRDefault="009F0A60">
      <w:pPr>
        <w:ind w:firstLine="284"/>
      </w:pPr>
      <w:r>
        <w:t>&lt;B0605&gt;</w:t>
      </w:r>
      <w:r>
        <w:rPr>
          <w:rFonts w:hAnsi="宋体"/>
        </w:rPr>
        <w:t>投资产品代码（逐支报送使用）</w:t>
      </w:r>
      <w:r>
        <w:t>&lt;/B0605&gt;</w:t>
      </w:r>
    </w:p>
    <w:p w14:paraId="15C82AE0" w14:textId="77777777" w:rsidR="00A052DC" w:rsidRDefault="009F0A60">
      <w:pPr>
        <w:ind w:firstLine="284"/>
      </w:pPr>
      <w:r>
        <w:t>&lt;B0606&gt;</w:t>
      </w:r>
      <w:r>
        <w:rPr>
          <w:rFonts w:hAnsi="宋体"/>
        </w:rPr>
        <w:t>发行主体名称（逐支报送使用）</w:t>
      </w:r>
      <w:r>
        <w:t>&lt;/B0606&gt;</w:t>
      </w:r>
    </w:p>
    <w:p w14:paraId="3B219B3B" w14:textId="77777777" w:rsidR="00A052DC" w:rsidRDefault="009F0A60">
      <w:pPr>
        <w:ind w:firstLine="284"/>
      </w:pPr>
      <w:r>
        <w:t>&lt;B0607&gt;</w:t>
      </w:r>
      <w:r>
        <w:rPr>
          <w:rFonts w:hAnsi="宋体"/>
        </w:rPr>
        <w:t>发行主体所属国家</w:t>
      </w:r>
      <w:r>
        <w:t>/</w:t>
      </w:r>
      <w:r>
        <w:rPr>
          <w:rFonts w:hAnsi="宋体"/>
        </w:rPr>
        <w:t>地区（必须为中国）</w:t>
      </w:r>
      <w:r>
        <w:t>&lt;/B0607&gt;</w:t>
      </w:r>
    </w:p>
    <w:p w14:paraId="134D07B2" w14:textId="77777777" w:rsidR="00A052DC" w:rsidRDefault="009F0A60">
      <w:pPr>
        <w:ind w:firstLine="284"/>
      </w:pPr>
      <w:r>
        <w:t>&lt;B0608&gt;</w:t>
      </w:r>
      <w:r>
        <w:rPr>
          <w:rFonts w:hAnsi="宋体"/>
        </w:rPr>
        <w:t>发行主体所属部门</w:t>
      </w:r>
      <w:r>
        <w:t>&lt;/B0608&gt;</w:t>
      </w:r>
    </w:p>
    <w:p w14:paraId="0D2CE24D" w14:textId="77777777" w:rsidR="00A052DC" w:rsidRDefault="009F0A60">
      <w:pPr>
        <w:ind w:firstLine="284"/>
      </w:pPr>
      <w:r>
        <w:t>&lt;B0609&gt;</w:t>
      </w:r>
      <w:r>
        <w:rPr>
          <w:rFonts w:hAnsi="宋体"/>
        </w:rPr>
        <w:t>债务证券原始期限</w:t>
      </w:r>
      <w:r>
        <w:t>&lt;/B0609&gt;</w:t>
      </w:r>
    </w:p>
    <w:p w14:paraId="0DF26504" w14:textId="77777777" w:rsidR="00A052DC" w:rsidRDefault="009F0A60">
      <w:pPr>
        <w:ind w:firstLine="284"/>
      </w:pPr>
      <w:r>
        <w:t>&lt;B0610&gt;</w:t>
      </w:r>
      <w:r>
        <w:rPr>
          <w:rFonts w:hAnsi="宋体"/>
        </w:rPr>
        <w:t>原始币种</w:t>
      </w:r>
      <w:r>
        <w:t>&lt;/B0610&gt;</w:t>
      </w:r>
    </w:p>
    <w:p w14:paraId="2719F10B" w14:textId="77777777" w:rsidR="00A052DC" w:rsidRDefault="009F0A60">
      <w:pPr>
        <w:ind w:firstLine="284"/>
      </w:pPr>
      <w:r>
        <w:t>&lt;B0611&gt;</w:t>
      </w:r>
      <w:r>
        <w:rPr>
          <w:rFonts w:hAnsi="宋体"/>
        </w:rPr>
        <w:t>上月末市值</w:t>
      </w:r>
      <w:r>
        <w:t>&lt;/B0611&gt;</w:t>
      </w:r>
    </w:p>
    <w:p w14:paraId="2940FB61" w14:textId="77777777" w:rsidR="00A052DC" w:rsidRDefault="009F0A60">
      <w:pPr>
        <w:ind w:firstLine="284"/>
      </w:pPr>
      <w:r>
        <w:t>&lt;B0612&gt;</w:t>
      </w:r>
      <w:r>
        <w:rPr>
          <w:rFonts w:hAnsi="宋体"/>
        </w:rPr>
        <w:t>本月买入金额</w:t>
      </w:r>
      <w:r>
        <w:t>&lt;/B0612&gt;</w:t>
      </w:r>
    </w:p>
    <w:p w14:paraId="3CF87D8C" w14:textId="77777777" w:rsidR="00A052DC" w:rsidRDefault="009F0A60">
      <w:pPr>
        <w:ind w:firstLine="284"/>
      </w:pPr>
      <w:r>
        <w:t>&lt;B0613&gt;</w:t>
      </w:r>
      <w:r>
        <w:rPr>
          <w:rFonts w:hAnsi="宋体"/>
        </w:rPr>
        <w:t>本月卖出金额</w:t>
      </w:r>
      <w:r>
        <w:t>&lt;/B0613&gt;</w:t>
      </w:r>
    </w:p>
    <w:p w14:paraId="23F53E60" w14:textId="77777777" w:rsidR="00A052DC" w:rsidRDefault="009F0A60">
      <w:pPr>
        <w:ind w:firstLine="284"/>
      </w:pPr>
      <w:r>
        <w:t>&lt;B0613AMT&gt;</w:t>
      </w:r>
      <w:r>
        <w:rPr>
          <w:rFonts w:hint="eastAsia"/>
        </w:rPr>
        <w:t>本月卖出金额其中：债券到期或提前兑付的本息金额</w:t>
      </w:r>
      <w:r>
        <w:t>&lt;/B0613AMT&gt;</w:t>
      </w:r>
    </w:p>
    <w:p w14:paraId="1266AC8A" w14:textId="77777777" w:rsidR="00A052DC" w:rsidRDefault="009F0A60">
      <w:pPr>
        <w:ind w:firstLine="284"/>
      </w:pPr>
      <w:r>
        <w:t>&lt;B0614&gt;</w:t>
      </w:r>
      <w:r>
        <w:rPr>
          <w:rFonts w:hAnsi="宋体"/>
        </w:rPr>
        <w:t>本月非交易变动</w:t>
      </w:r>
      <w:r>
        <w:t>&lt;/B0614&gt;</w:t>
      </w:r>
    </w:p>
    <w:p w14:paraId="07F5DE70" w14:textId="77777777" w:rsidR="00A052DC" w:rsidRDefault="009F0A60">
      <w:pPr>
        <w:ind w:firstLine="284"/>
      </w:pPr>
      <w:r>
        <w:rPr>
          <w:rFonts w:hint="eastAsia"/>
        </w:rPr>
        <w:t>&lt;B0615&gt;</w:t>
      </w:r>
      <w:r>
        <w:rPr>
          <w:rFonts w:hint="eastAsia"/>
        </w:rPr>
        <w:t>注销、调整或重新分类至其他报表统计的金额</w:t>
      </w:r>
      <w:r>
        <w:rPr>
          <w:rFonts w:hint="eastAsia"/>
        </w:rPr>
        <w:t>&lt;/B0615&gt;</w:t>
      </w:r>
    </w:p>
    <w:p w14:paraId="7E6319EB" w14:textId="77777777" w:rsidR="00A052DC" w:rsidRDefault="009F0A60">
      <w:pPr>
        <w:ind w:firstLine="284"/>
      </w:pPr>
      <w:r>
        <w:rPr>
          <w:rFonts w:hint="eastAsia"/>
        </w:rPr>
        <w:t>&lt;B0616&gt;</w:t>
      </w:r>
      <w:r>
        <w:rPr>
          <w:rFonts w:hint="eastAsia"/>
        </w:rPr>
        <w:t>价值重估因素</w:t>
      </w:r>
      <w:r>
        <w:rPr>
          <w:rFonts w:hint="eastAsia"/>
        </w:rPr>
        <w:t>&lt;/B0616&gt;</w:t>
      </w:r>
    </w:p>
    <w:p w14:paraId="3AE64528" w14:textId="77777777" w:rsidR="00A052DC" w:rsidRDefault="009F0A60">
      <w:pPr>
        <w:ind w:firstLine="284"/>
      </w:pPr>
      <w:r>
        <w:t>&lt;B0617&gt;</w:t>
      </w:r>
      <w:r>
        <w:rPr>
          <w:rFonts w:hAnsi="宋体"/>
        </w:rPr>
        <w:t>本月末市值</w:t>
      </w:r>
      <w:r>
        <w:t>&lt;/B0617&gt;</w:t>
      </w:r>
    </w:p>
    <w:p w14:paraId="2EF7E1E1" w14:textId="77777777" w:rsidR="00A052DC" w:rsidRDefault="009F0A60">
      <w:pPr>
        <w:ind w:firstLine="284"/>
      </w:pPr>
      <w:r>
        <w:t>&lt;B0618&gt;</w:t>
      </w:r>
      <w:r>
        <w:rPr>
          <w:rFonts w:hAnsi="宋体"/>
        </w:rPr>
        <w:t>本月末市值其中：剩余期限在一年及以下</w:t>
      </w:r>
      <w:r>
        <w:t>&lt;/B0618&gt;</w:t>
      </w:r>
    </w:p>
    <w:p w14:paraId="76A1401D" w14:textId="77777777" w:rsidR="00A052DC" w:rsidRDefault="009F0A60">
      <w:pPr>
        <w:ind w:firstLine="284"/>
      </w:pPr>
      <w:r>
        <w:t>&lt;B0619&gt;</w:t>
      </w:r>
      <w:r>
        <w:rPr>
          <w:rFonts w:hAnsi="宋体"/>
        </w:rPr>
        <w:t>本月非居民投资者红利或利息收入</w:t>
      </w:r>
      <w:r>
        <w:t>&lt;/B0619&gt;</w:t>
      </w:r>
    </w:p>
    <w:p w14:paraId="23258E66" w14:textId="77777777" w:rsidR="00A052DC" w:rsidRDefault="009F0A60">
      <w:pPr>
        <w:ind w:firstLine="284"/>
      </w:pPr>
      <w:r>
        <w:t>&lt;B0620&gt;</w:t>
      </w:r>
      <w:r>
        <w:rPr>
          <w:rFonts w:hint="eastAsia"/>
        </w:rPr>
        <w:t>本月末</w:t>
      </w:r>
      <w:r>
        <w:rPr>
          <w:rFonts w:ascii="黑体" w:hAnsi="黑体"/>
          <w:szCs w:val="20"/>
        </w:rPr>
        <w:t>未到期</w:t>
      </w:r>
      <w:r>
        <w:rPr>
          <w:rFonts w:ascii="黑体" w:hAnsi="黑体"/>
          <w:szCs w:val="20"/>
        </w:rPr>
        <w:t>/</w:t>
      </w:r>
      <w:r>
        <w:rPr>
          <w:rFonts w:ascii="黑体" w:hAnsi="黑体"/>
          <w:szCs w:val="20"/>
        </w:rPr>
        <w:t>未偿付</w:t>
      </w:r>
      <w:r>
        <w:rPr>
          <w:rFonts w:hint="eastAsia"/>
        </w:rPr>
        <w:t>债券面值</w:t>
      </w:r>
      <w:r>
        <w:t>&lt;/B0620&gt;</w:t>
      </w:r>
    </w:p>
    <w:p w14:paraId="72D4AE40" w14:textId="77777777" w:rsidR="00A052DC" w:rsidRDefault="009F0A60">
      <w:pPr>
        <w:ind w:firstLine="284"/>
      </w:pPr>
      <w:r>
        <w:t>&lt;B0621&gt;</w:t>
      </w:r>
      <w:r>
        <w:rPr>
          <w:rFonts w:hAnsi="宋体"/>
        </w:rPr>
        <w:t>备注</w:t>
      </w:r>
      <w:r>
        <w:t>&lt;/B0621&gt;</w:t>
      </w:r>
    </w:p>
    <w:p w14:paraId="642DCD3A" w14:textId="77777777" w:rsidR="00A052DC" w:rsidRDefault="009F0A60">
      <w:pPr>
        <w:ind w:firstLine="284"/>
        <w:rPr>
          <w:rFonts w:ascii="宋体" w:hAnsi="宋体"/>
        </w:rPr>
      </w:pPr>
      <w:r>
        <w:t>&lt;/REC&gt;</w:t>
      </w:r>
    </w:p>
    <w:p w14:paraId="4C270D33" w14:textId="77777777" w:rsidR="00A052DC" w:rsidRDefault="009F0A60" w:rsidP="0020251D">
      <w:pPr>
        <w:pStyle w:val="4"/>
        <w:numPr>
          <w:ilvl w:val="3"/>
          <w:numId w:val="1"/>
        </w:numPr>
        <w:jc w:val="left"/>
      </w:pPr>
      <w:bookmarkStart w:id="3172" w:name="_Toc454391286"/>
      <w:bookmarkStart w:id="3173" w:name="_Toc380570946"/>
      <w:bookmarkStart w:id="3174" w:name="_Toc454391287"/>
      <w:bookmarkEnd w:id="3172"/>
      <w:r>
        <w:rPr>
          <w:rFonts w:hint="eastAsia"/>
        </w:rPr>
        <w:t>数据字典</w:t>
      </w:r>
      <w:bookmarkEnd w:id="3173"/>
      <w:bookmarkEnd w:id="3174"/>
    </w:p>
    <w:tbl>
      <w:tblPr>
        <w:tblW w:w="8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8"/>
        <w:gridCol w:w="1843"/>
        <w:gridCol w:w="1418"/>
        <w:gridCol w:w="4045"/>
      </w:tblGrid>
      <w:tr w:rsidR="00A052DC" w14:paraId="6740181C" w14:textId="77777777">
        <w:trPr>
          <w:tblHeader/>
          <w:jc w:val="center"/>
        </w:trPr>
        <w:tc>
          <w:tcPr>
            <w:tcW w:w="1268" w:type="dxa"/>
            <w:shd w:val="clear" w:color="auto" w:fill="C0C0C0"/>
          </w:tcPr>
          <w:p w14:paraId="11324348" w14:textId="77777777" w:rsidR="00A052DC" w:rsidRDefault="009F0A60">
            <w:pPr>
              <w:jc w:val="center"/>
              <w:rPr>
                <w:rFonts w:ascii="黑体" w:eastAsia="黑体" w:hAnsi="黑体"/>
                <w:b/>
                <w:sz w:val="20"/>
                <w:szCs w:val="20"/>
              </w:rPr>
            </w:pPr>
            <w:r>
              <w:rPr>
                <w:rFonts w:ascii="黑体" w:eastAsia="黑体" w:hAnsi="黑体" w:hint="eastAsia"/>
                <w:b/>
                <w:sz w:val="20"/>
                <w:szCs w:val="20"/>
              </w:rPr>
              <w:t>字段</w:t>
            </w:r>
          </w:p>
        </w:tc>
        <w:tc>
          <w:tcPr>
            <w:tcW w:w="1843" w:type="dxa"/>
            <w:shd w:val="clear" w:color="auto" w:fill="C0C0C0"/>
          </w:tcPr>
          <w:p w14:paraId="504BEE42" w14:textId="77777777" w:rsidR="00A052DC" w:rsidRDefault="009F0A60">
            <w:pPr>
              <w:jc w:val="center"/>
              <w:rPr>
                <w:rFonts w:ascii="黑体" w:eastAsia="黑体" w:hAnsi="黑体"/>
                <w:b/>
                <w:sz w:val="20"/>
                <w:szCs w:val="20"/>
              </w:rPr>
            </w:pPr>
            <w:r>
              <w:rPr>
                <w:rFonts w:ascii="黑体" w:eastAsia="黑体" w:hAnsi="黑体" w:hint="eastAsia"/>
                <w:b/>
                <w:sz w:val="20"/>
                <w:szCs w:val="20"/>
              </w:rPr>
              <w:t>内容</w:t>
            </w:r>
          </w:p>
        </w:tc>
        <w:tc>
          <w:tcPr>
            <w:tcW w:w="1418" w:type="dxa"/>
            <w:shd w:val="clear" w:color="auto" w:fill="C0C0C0"/>
          </w:tcPr>
          <w:p w14:paraId="0C00304C" w14:textId="77777777" w:rsidR="00A052DC" w:rsidRDefault="009F0A60">
            <w:pPr>
              <w:jc w:val="center"/>
              <w:rPr>
                <w:rFonts w:ascii="黑体" w:eastAsia="黑体" w:hAnsi="黑体"/>
                <w:b/>
                <w:sz w:val="20"/>
                <w:szCs w:val="20"/>
              </w:rPr>
            </w:pPr>
            <w:r>
              <w:rPr>
                <w:rFonts w:ascii="黑体" w:eastAsia="黑体" w:hAnsi="黑体" w:hint="eastAsia"/>
                <w:b/>
                <w:sz w:val="20"/>
                <w:szCs w:val="20"/>
              </w:rPr>
              <w:t>类型（长度）</w:t>
            </w:r>
          </w:p>
        </w:tc>
        <w:tc>
          <w:tcPr>
            <w:tcW w:w="4045" w:type="dxa"/>
            <w:shd w:val="clear" w:color="auto" w:fill="C0C0C0"/>
          </w:tcPr>
          <w:p w14:paraId="7E4990AC" w14:textId="77777777" w:rsidR="00A052DC" w:rsidRDefault="009F0A60">
            <w:pPr>
              <w:jc w:val="center"/>
              <w:rPr>
                <w:rFonts w:ascii="黑体" w:eastAsia="黑体" w:hAnsi="黑体"/>
                <w:b/>
                <w:sz w:val="20"/>
                <w:szCs w:val="20"/>
              </w:rPr>
            </w:pPr>
            <w:r>
              <w:rPr>
                <w:rFonts w:ascii="黑体" w:eastAsia="黑体" w:hAnsi="黑体" w:hint="eastAsia"/>
                <w:b/>
                <w:sz w:val="20"/>
                <w:szCs w:val="20"/>
              </w:rPr>
              <w:t>校验</w:t>
            </w:r>
          </w:p>
        </w:tc>
      </w:tr>
      <w:tr w:rsidR="00A052DC" w14:paraId="08B1F11F" w14:textId="77777777">
        <w:trPr>
          <w:jc w:val="center"/>
        </w:trPr>
        <w:tc>
          <w:tcPr>
            <w:tcW w:w="1268" w:type="dxa"/>
          </w:tcPr>
          <w:p w14:paraId="20E9CD4E" w14:textId="77777777" w:rsidR="00A052DC" w:rsidRDefault="009F0A60">
            <w:pPr>
              <w:rPr>
                <w:rFonts w:ascii="黑体" w:eastAsia="黑体" w:hAnsi="黑体"/>
                <w:sz w:val="20"/>
                <w:szCs w:val="20"/>
              </w:rPr>
            </w:pPr>
            <w:r>
              <w:rPr>
                <w:rFonts w:ascii="黑体" w:eastAsia="黑体" w:hAnsi="黑体" w:hint="eastAsia"/>
                <w:sz w:val="20"/>
                <w:szCs w:val="20"/>
              </w:rPr>
              <w:t>ACTIONTYPE</w:t>
            </w:r>
          </w:p>
        </w:tc>
        <w:tc>
          <w:tcPr>
            <w:tcW w:w="1843" w:type="dxa"/>
          </w:tcPr>
          <w:p w14:paraId="4475E8BA" w14:textId="77777777" w:rsidR="00A052DC" w:rsidRDefault="009F0A60">
            <w:pPr>
              <w:rPr>
                <w:rFonts w:ascii="黑体" w:eastAsia="黑体" w:hAnsi="黑体"/>
                <w:sz w:val="20"/>
                <w:szCs w:val="20"/>
              </w:rPr>
            </w:pPr>
            <w:r>
              <w:rPr>
                <w:rFonts w:ascii="黑体" w:eastAsia="黑体" w:hAnsi="黑体" w:hint="eastAsia"/>
                <w:sz w:val="20"/>
                <w:szCs w:val="20"/>
              </w:rPr>
              <w:t>操作类型</w:t>
            </w:r>
          </w:p>
        </w:tc>
        <w:tc>
          <w:tcPr>
            <w:tcW w:w="1418" w:type="dxa"/>
          </w:tcPr>
          <w:p w14:paraId="7A6DF4AB" w14:textId="77777777" w:rsidR="00A052DC" w:rsidRDefault="009F0A60">
            <w:pPr>
              <w:rPr>
                <w:rFonts w:ascii="黑体" w:eastAsia="黑体" w:hAnsi="黑体"/>
                <w:sz w:val="20"/>
                <w:szCs w:val="20"/>
              </w:rPr>
            </w:pPr>
            <w:r>
              <w:rPr>
                <w:rFonts w:ascii="黑体" w:eastAsia="黑体" w:hAnsi="黑体" w:hint="eastAsia"/>
                <w:sz w:val="20"/>
                <w:szCs w:val="20"/>
              </w:rPr>
              <w:t>字符型，1</w:t>
            </w:r>
          </w:p>
        </w:tc>
        <w:tc>
          <w:tcPr>
            <w:tcW w:w="4045" w:type="dxa"/>
          </w:tcPr>
          <w:p w14:paraId="675040CD" w14:textId="77777777" w:rsidR="00A052DC" w:rsidRDefault="009F0A60">
            <w:pPr>
              <w:rPr>
                <w:rFonts w:ascii="黑体" w:eastAsia="黑体" w:hAnsi="黑体"/>
                <w:sz w:val="20"/>
                <w:szCs w:val="20"/>
              </w:rPr>
            </w:pPr>
            <w:r>
              <w:rPr>
                <w:rFonts w:ascii="黑体" w:eastAsia="黑体" w:hAnsi="黑体" w:hint="eastAsia"/>
                <w:sz w:val="20"/>
                <w:szCs w:val="20"/>
              </w:rPr>
              <w:t>必填项</w:t>
            </w:r>
            <w:r w:rsidR="00191DE9">
              <w:rPr>
                <w:rFonts w:ascii="黑体" w:eastAsia="黑体" w:hAnsi="黑体" w:hint="eastAsia"/>
                <w:sz w:val="20"/>
                <w:szCs w:val="20"/>
              </w:rPr>
              <w:t>。</w:t>
            </w:r>
          </w:p>
          <w:p w14:paraId="0CD2DBE8" w14:textId="77777777" w:rsidR="00A052DC" w:rsidRDefault="009F0A60">
            <w:pPr>
              <w:rPr>
                <w:rFonts w:ascii="黑体" w:eastAsia="黑体" w:hAnsi="黑体"/>
                <w:sz w:val="20"/>
                <w:szCs w:val="20"/>
              </w:rPr>
            </w:pPr>
            <w:r>
              <w:rPr>
                <w:rFonts w:ascii="黑体" w:eastAsia="黑体" w:hAnsi="黑体" w:hint="eastAsia"/>
                <w:sz w:val="20"/>
                <w:szCs w:val="20"/>
              </w:rPr>
              <w:t>A</w:t>
            </w:r>
            <w:r w:rsidR="00AE4602">
              <w:rPr>
                <w:rFonts w:ascii="黑体" w:eastAsia="黑体" w:hAnsi="黑体" w:hint="eastAsia"/>
                <w:sz w:val="20"/>
                <w:szCs w:val="20"/>
              </w:rPr>
              <w:t>-</w:t>
            </w:r>
            <w:r>
              <w:rPr>
                <w:rFonts w:ascii="黑体" w:eastAsia="黑体" w:hAnsi="黑体" w:hint="eastAsia"/>
                <w:sz w:val="20"/>
                <w:szCs w:val="20"/>
              </w:rPr>
              <w:t>新建</w:t>
            </w:r>
          </w:p>
          <w:p w14:paraId="104B082F" w14:textId="77777777" w:rsidR="00A052DC" w:rsidRDefault="009F0A60">
            <w:pPr>
              <w:rPr>
                <w:rFonts w:ascii="黑体" w:eastAsia="黑体" w:hAnsi="黑体"/>
                <w:sz w:val="20"/>
                <w:szCs w:val="20"/>
              </w:rPr>
            </w:pPr>
            <w:r>
              <w:rPr>
                <w:rFonts w:ascii="黑体" w:eastAsia="黑体" w:hAnsi="黑体" w:hint="eastAsia"/>
                <w:sz w:val="20"/>
                <w:szCs w:val="20"/>
              </w:rPr>
              <w:t>C</w:t>
            </w:r>
            <w:r w:rsidR="00AE4602">
              <w:rPr>
                <w:rFonts w:ascii="黑体" w:eastAsia="黑体" w:hAnsi="黑体" w:hint="eastAsia"/>
                <w:sz w:val="20"/>
                <w:szCs w:val="20"/>
              </w:rPr>
              <w:t>-</w:t>
            </w:r>
            <w:r>
              <w:rPr>
                <w:rFonts w:ascii="黑体" w:eastAsia="黑体" w:hAnsi="黑体" w:hint="eastAsia"/>
                <w:sz w:val="20"/>
                <w:szCs w:val="20"/>
              </w:rPr>
              <w:t>修改</w:t>
            </w:r>
          </w:p>
          <w:p w14:paraId="2985AFB1" w14:textId="77777777" w:rsidR="00A052DC" w:rsidRDefault="009F0A60">
            <w:pPr>
              <w:rPr>
                <w:rFonts w:ascii="黑体" w:eastAsia="黑体" w:hAnsi="黑体"/>
                <w:sz w:val="20"/>
                <w:szCs w:val="20"/>
              </w:rPr>
            </w:pPr>
            <w:r>
              <w:rPr>
                <w:rFonts w:ascii="黑体" w:eastAsia="黑体" w:hAnsi="黑体" w:hint="eastAsia"/>
                <w:sz w:val="20"/>
                <w:szCs w:val="20"/>
              </w:rPr>
              <w:t>D</w:t>
            </w:r>
            <w:r w:rsidR="00AE4602">
              <w:rPr>
                <w:rFonts w:ascii="黑体" w:eastAsia="黑体" w:hAnsi="黑体" w:hint="eastAsia"/>
                <w:sz w:val="20"/>
                <w:szCs w:val="20"/>
              </w:rPr>
              <w:t>-</w:t>
            </w:r>
            <w:r>
              <w:rPr>
                <w:rFonts w:ascii="黑体" w:eastAsia="黑体" w:hAnsi="黑体" w:hint="eastAsia"/>
                <w:sz w:val="20"/>
                <w:szCs w:val="20"/>
              </w:rPr>
              <w:t>删除</w:t>
            </w:r>
          </w:p>
        </w:tc>
      </w:tr>
      <w:tr w:rsidR="00A052DC" w14:paraId="5C576EDC" w14:textId="77777777">
        <w:trPr>
          <w:jc w:val="center"/>
        </w:trPr>
        <w:tc>
          <w:tcPr>
            <w:tcW w:w="1268" w:type="dxa"/>
          </w:tcPr>
          <w:p w14:paraId="2D7BE13E" w14:textId="77777777" w:rsidR="00A052DC" w:rsidRDefault="009F0A60">
            <w:pPr>
              <w:rPr>
                <w:rFonts w:ascii="黑体" w:eastAsia="黑体" w:hAnsi="黑体"/>
                <w:sz w:val="20"/>
                <w:szCs w:val="20"/>
              </w:rPr>
            </w:pPr>
            <w:r>
              <w:rPr>
                <w:rFonts w:ascii="黑体" w:eastAsia="黑体" w:hAnsi="黑体" w:hint="eastAsia"/>
                <w:sz w:val="20"/>
                <w:szCs w:val="20"/>
              </w:rPr>
              <w:t>ACTIONDESC</w:t>
            </w:r>
          </w:p>
        </w:tc>
        <w:tc>
          <w:tcPr>
            <w:tcW w:w="1843" w:type="dxa"/>
          </w:tcPr>
          <w:p w14:paraId="047CDD18" w14:textId="77777777" w:rsidR="00A052DC" w:rsidRDefault="009F0A60">
            <w:pPr>
              <w:rPr>
                <w:rFonts w:ascii="黑体" w:eastAsia="黑体" w:hAnsi="黑体"/>
                <w:sz w:val="20"/>
                <w:szCs w:val="20"/>
              </w:rPr>
            </w:pPr>
            <w:r>
              <w:rPr>
                <w:rFonts w:ascii="黑体" w:eastAsia="黑体" w:hAnsi="黑体" w:hint="eastAsia"/>
                <w:sz w:val="20"/>
                <w:szCs w:val="20"/>
              </w:rPr>
              <w:t>删除原因</w:t>
            </w:r>
          </w:p>
        </w:tc>
        <w:tc>
          <w:tcPr>
            <w:tcW w:w="1418" w:type="dxa"/>
          </w:tcPr>
          <w:p w14:paraId="453AA5D4"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4045" w:type="dxa"/>
          </w:tcPr>
          <w:p w14:paraId="75F8941F" w14:textId="77777777" w:rsidR="00A052DC" w:rsidRDefault="00DD6AA3">
            <w:pPr>
              <w:rPr>
                <w:rFonts w:ascii="黑体" w:eastAsia="黑体" w:hAnsi="黑体"/>
                <w:sz w:val="20"/>
                <w:szCs w:val="20"/>
              </w:rPr>
            </w:pPr>
            <w:r>
              <w:rPr>
                <w:rFonts w:ascii="黑体" w:eastAsia="黑体" w:hAnsi="黑体" w:hint="eastAsia"/>
                <w:sz w:val="20"/>
                <w:szCs w:val="20"/>
              </w:rPr>
              <w:t>非必填项，当操作类型（ACTIONTYPE）为删除时必填。</w:t>
            </w:r>
          </w:p>
        </w:tc>
      </w:tr>
      <w:tr w:rsidR="00A052DC" w14:paraId="5501A4CE" w14:textId="77777777">
        <w:trPr>
          <w:jc w:val="center"/>
        </w:trPr>
        <w:tc>
          <w:tcPr>
            <w:tcW w:w="1268" w:type="dxa"/>
          </w:tcPr>
          <w:p w14:paraId="2144C2AB" w14:textId="77777777" w:rsidR="00A052DC" w:rsidRDefault="009F0A60">
            <w:pPr>
              <w:rPr>
                <w:rFonts w:ascii="黑体" w:eastAsia="黑体" w:hAnsi="黑体"/>
                <w:sz w:val="20"/>
                <w:szCs w:val="20"/>
              </w:rPr>
            </w:pPr>
            <w:r>
              <w:rPr>
                <w:rFonts w:ascii="黑体" w:eastAsia="黑体" w:hAnsi="黑体" w:hint="eastAsia"/>
                <w:sz w:val="20"/>
                <w:szCs w:val="20"/>
              </w:rPr>
              <w:t>SNOCODE</w:t>
            </w:r>
          </w:p>
        </w:tc>
        <w:tc>
          <w:tcPr>
            <w:tcW w:w="1843" w:type="dxa"/>
          </w:tcPr>
          <w:p w14:paraId="65ECDE4E" w14:textId="77777777" w:rsidR="00A052DC" w:rsidRDefault="009F0A60">
            <w:pPr>
              <w:rPr>
                <w:rFonts w:ascii="黑体" w:eastAsia="黑体" w:hAnsi="黑体"/>
                <w:sz w:val="20"/>
                <w:szCs w:val="20"/>
              </w:rPr>
            </w:pPr>
            <w:r>
              <w:rPr>
                <w:rFonts w:ascii="黑体" w:eastAsia="黑体" w:hAnsi="黑体" w:hint="eastAsia"/>
                <w:sz w:val="20"/>
                <w:szCs w:val="20"/>
              </w:rPr>
              <w:t>数据自编码</w:t>
            </w:r>
          </w:p>
        </w:tc>
        <w:tc>
          <w:tcPr>
            <w:tcW w:w="1418" w:type="dxa"/>
          </w:tcPr>
          <w:p w14:paraId="4B193B6A" w14:textId="77777777" w:rsidR="00A052DC" w:rsidRDefault="009F0A60">
            <w:pPr>
              <w:rPr>
                <w:rFonts w:ascii="黑体" w:eastAsia="黑体" w:hAnsi="黑体"/>
                <w:sz w:val="20"/>
                <w:szCs w:val="20"/>
              </w:rPr>
            </w:pPr>
            <w:r>
              <w:rPr>
                <w:rFonts w:ascii="黑体" w:eastAsia="黑体" w:hAnsi="黑体" w:hint="eastAsia"/>
                <w:sz w:val="20"/>
                <w:szCs w:val="20"/>
              </w:rPr>
              <w:t>字符型，36</w:t>
            </w:r>
          </w:p>
        </w:tc>
        <w:tc>
          <w:tcPr>
            <w:tcW w:w="4045" w:type="dxa"/>
          </w:tcPr>
          <w:p w14:paraId="22092C9F" w14:textId="77777777" w:rsidR="00A052DC" w:rsidRDefault="009F0A60">
            <w:pPr>
              <w:rPr>
                <w:rFonts w:ascii="黑体" w:eastAsia="黑体" w:hAnsi="黑体"/>
                <w:sz w:val="20"/>
                <w:szCs w:val="20"/>
              </w:rPr>
            </w:pPr>
            <w:r>
              <w:rPr>
                <w:rFonts w:ascii="黑体" w:eastAsia="黑体" w:hAnsi="黑体" w:hint="eastAsia"/>
                <w:sz w:val="20"/>
                <w:szCs w:val="20"/>
              </w:rPr>
              <w:t>必填项。</w:t>
            </w:r>
            <w:r>
              <w:rPr>
                <w:rFonts w:ascii="黑体" w:eastAsia="黑体" w:hAnsi="黑体"/>
                <w:sz w:val="20"/>
                <w:szCs w:val="20"/>
              </w:rPr>
              <w:t>对于接口报送的填报主体，数据自编码中的报送期（6位）应与报告期（YYYYMM）一致。</w:t>
            </w:r>
          </w:p>
        </w:tc>
      </w:tr>
      <w:tr w:rsidR="00A052DC" w14:paraId="0F8E56A4" w14:textId="77777777">
        <w:trPr>
          <w:jc w:val="center"/>
        </w:trPr>
        <w:tc>
          <w:tcPr>
            <w:tcW w:w="1268" w:type="dxa"/>
          </w:tcPr>
          <w:p w14:paraId="3B1C52E5" w14:textId="77777777" w:rsidR="00A052DC" w:rsidRDefault="009F0A60">
            <w:pPr>
              <w:rPr>
                <w:rFonts w:ascii="黑体" w:eastAsia="黑体" w:hAnsi="黑体"/>
                <w:sz w:val="20"/>
                <w:szCs w:val="20"/>
              </w:rPr>
            </w:pPr>
            <w:r>
              <w:rPr>
                <w:rFonts w:ascii="黑体" w:eastAsia="黑体" w:hAnsi="黑体" w:hint="eastAsia"/>
                <w:sz w:val="20"/>
                <w:szCs w:val="20"/>
              </w:rPr>
              <w:t>OBJCODE</w:t>
            </w:r>
          </w:p>
        </w:tc>
        <w:tc>
          <w:tcPr>
            <w:tcW w:w="1843" w:type="dxa"/>
          </w:tcPr>
          <w:p w14:paraId="48A4EFC9" w14:textId="77777777" w:rsidR="00A052DC" w:rsidRDefault="009F0A60">
            <w:pPr>
              <w:rPr>
                <w:rFonts w:ascii="黑体" w:eastAsia="黑体" w:hAnsi="黑体"/>
                <w:sz w:val="20"/>
                <w:szCs w:val="20"/>
              </w:rPr>
            </w:pPr>
            <w:r>
              <w:rPr>
                <w:rFonts w:ascii="黑体" w:eastAsia="黑体" w:hAnsi="黑体" w:hint="eastAsia"/>
                <w:sz w:val="20"/>
                <w:szCs w:val="20"/>
              </w:rPr>
              <w:t>申报主体代码</w:t>
            </w:r>
          </w:p>
        </w:tc>
        <w:tc>
          <w:tcPr>
            <w:tcW w:w="1418" w:type="dxa"/>
          </w:tcPr>
          <w:p w14:paraId="7A8FCEA1" w14:textId="77777777" w:rsidR="00A052DC" w:rsidRDefault="009F0A60">
            <w:pPr>
              <w:rPr>
                <w:rFonts w:ascii="黑体" w:eastAsia="黑体" w:hAnsi="黑体"/>
                <w:sz w:val="20"/>
                <w:szCs w:val="20"/>
              </w:rPr>
            </w:pPr>
            <w:r>
              <w:rPr>
                <w:rFonts w:ascii="黑体" w:eastAsia="黑体" w:hAnsi="黑体" w:hint="eastAsia"/>
                <w:sz w:val="20"/>
                <w:szCs w:val="20"/>
              </w:rPr>
              <w:t>字符型，18</w:t>
            </w:r>
          </w:p>
        </w:tc>
        <w:tc>
          <w:tcPr>
            <w:tcW w:w="4045" w:type="dxa"/>
          </w:tcPr>
          <w:p w14:paraId="79F6E3CE" w14:textId="77777777" w:rsidR="00A052DC" w:rsidRDefault="009F0A60">
            <w:pPr>
              <w:rPr>
                <w:rFonts w:ascii="黑体" w:eastAsia="黑体" w:hAnsi="黑体"/>
                <w:sz w:val="20"/>
                <w:szCs w:val="20"/>
              </w:rPr>
            </w:pPr>
            <w:r>
              <w:rPr>
                <w:rFonts w:ascii="黑体" w:eastAsia="黑体" w:hAnsi="黑体" w:hint="eastAsia"/>
                <w:sz w:val="20"/>
                <w:szCs w:val="20"/>
              </w:rPr>
              <w:t>申报主体的12位金融机构标识码，如果没有金融机构标识码，则填报统一社会信用代码法定载体（如营业执照）上统一社会信用代码中的第9至17位或国家外汇管理局及其分支局签发的特殊机构代码赋码通知书上的机构代码、个人身份代码。</w:t>
            </w:r>
          </w:p>
        </w:tc>
      </w:tr>
      <w:tr w:rsidR="00A052DC" w14:paraId="19F2C2C2" w14:textId="77777777">
        <w:trPr>
          <w:jc w:val="center"/>
        </w:trPr>
        <w:tc>
          <w:tcPr>
            <w:tcW w:w="1268" w:type="dxa"/>
          </w:tcPr>
          <w:p w14:paraId="629E8E58" w14:textId="77777777" w:rsidR="00A052DC" w:rsidRDefault="009F0A60">
            <w:pPr>
              <w:rPr>
                <w:rFonts w:ascii="黑体" w:eastAsia="黑体" w:hAnsi="黑体"/>
                <w:sz w:val="20"/>
                <w:szCs w:val="20"/>
              </w:rPr>
            </w:pPr>
            <w:r>
              <w:rPr>
                <w:rFonts w:ascii="黑体" w:eastAsia="黑体" w:hAnsi="黑体" w:hint="eastAsia"/>
                <w:sz w:val="20"/>
                <w:szCs w:val="20"/>
              </w:rPr>
              <w:t>BUOCMONTH</w:t>
            </w:r>
          </w:p>
        </w:tc>
        <w:tc>
          <w:tcPr>
            <w:tcW w:w="1843" w:type="dxa"/>
          </w:tcPr>
          <w:p w14:paraId="77C7ABB8" w14:textId="77777777" w:rsidR="00A052DC" w:rsidRDefault="009F0A60">
            <w:pPr>
              <w:rPr>
                <w:rFonts w:ascii="黑体" w:eastAsia="黑体" w:hAnsi="黑体"/>
                <w:sz w:val="20"/>
                <w:szCs w:val="20"/>
              </w:rPr>
            </w:pPr>
            <w:r>
              <w:rPr>
                <w:rFonts w:ascii="黑体" w:eastAsia="黑体" w:hAnsi="黑体" w:hint="eastAsia"/>
                <w:sz w:val="20"/>
                <w:szCs w:val="20"/>
              </w:rPr>
              <w:t>报告期</w:t>
            </w:r>
          </w:p>
        </w:tc>
        <w:tc>
          <w:tcPr>
            <w:tcW w:w="1418" w:type="dxa"/>
          </w:tcPr>
          <w:p w14:paraId="4213A54F" w14:textId="77777777" w:rsidR="00A052DC" w:rsidRDefault="009F0A60">
            <w:pPr>
              <w:rPr>
                <w:rFonts w:ascii="黑体" w:eastAsia="黑体" w:hAnsi="黑体"/>
                <w:sz w:val="20"/>
                <w:szCs w:val="20"/>
              </w:rPr>
            </w:pPr>
            <w:r>
              <w:rPr>
                <w:rFonts w:ascii="黑体" w:eastAsia="黑体" w:hAnsi="黑体" w:hint="eastAsia"/>
                <w:sz w:val="20"/>
                <w:szCs w:val="20"/>
              </w:rPr>
              <w:t>数值型，6</w:t>
            </w:r>
          </w:p>
        </w:tc>
        <w:tc>
          <w:tcPr>
            <w:tcW w:w="4045" w:type="dxa"/>
          </w:tcPr>
          <w:p w14:paraId="06B99E18" w14:textId="77777777" w:rsidR="00A052DC" w:rsidRDefault="009F0A60">
            <w:pPr>
              <w:rPr>
                <w:rFonts w:ascii="黑体" w:eastAsia="黑体" w:hAnsi="黑体"/>
                <w:sz w:val="20"/>
                <w:szCs w:val="20"/>
              </w:rPr>
            </w:pPr>
            <w:r>
              <w:rPr>
                <w:rFonts w:ascii="黑体" w:eastAsia="黑体" w:hAnsi="黑体" w:hint="eastAsia"/>
                <w:sz w:val="20"/>
                <w:szCs w:val="20"/>
              </w:rPr>
              <w:t>必填项，格式为YYYYMM。</w:t>
            </w:r>
          </w:p>
        </w:tc>
      </w:tr>
      <w:tr w:rsidR="00A052DC" w14:paraId="6E2B7E9D" w14:textId="77777777">
        <w:trPr>
          <w:jc w:val="center"/>
        </w:trPr>
        <w:tc>
          <w:tcPr>
            <w:tcW w:w="1268" w:type="dxa"/>
          </w:tcPr>
          <w:p w14:paraId="11263D42" w14:textId="77777777" w:rsidR="00A052DC" w:rsidRDefault="009F0A60">
            <w:pPr>
              <w:rPr>
                <w:rFonts w:ascii="黑体" w:eastAsia="黑体" w:hAnsi="黑体"/>
                <w:sz w:val="20"/>
                <w:szCs w:val="20"/>
              </w:rPr>
            </w:pPr>
            <w:r>
              <w:rPr>
                <w:rFonts w:ascii="黑体" w:eastAsia="黑体" w:hAnsi="黑体" w:hint="eastAsia"/>
                <w:sz w:val="20"/>
                <w:szCs w:val="20"/>
              </w:rPr>
              <w:t>B0601</w:t>
            </w:r>
          </w:p>
        </w:tc>
        <w:tc>
          <w:tcPr>
            <w:tcW w:w="1843" w:type="dxa"/>
          </w:tcPr>
          <w:p w14:paraId="0308C9F9" w14:textId="77777777" w:rsidR="00A052DC" w:rsidRDefault="009F0A60">
            <w:pPr>
              <w:rPr>
                <w:rFonts w:ascii="黑体" w:eastAsia="黑体" w:hAnsi="黑体"/>
                <w:sz w:val="20"/>
                <w:szCs w:val="20"/>
              </w:rPr>
            </w:pPr>
            <w:r>
              <w:rPr>
                <w:rFonts w:ascii="黑体" w:eastAsia="黑体" w:hAnsi="黑体" w:hint="eastAsia"/>
                <w:sz w:val="20"/>
                <w:szCs w:val="20"/>
              </w:rPr>
              <w:t>非居民投资者名称</w:t>
            </w:r>
          </w:p>
        </w:tc>
        <w:tc>
          <w:tcPr>
            <w:tcW w:w="1418" w:type="dxa"/>
          </w:tcPr>
          <w:p w14:paraId="03390364" w14:textId="77777777" w:rsidR="00A052DC" w:rsidRDefault="009F0A60">
            <w:pPr>
              <w:rPr>
                <w:rFonts w:ascii="黑体" w:eastAsia="黑体" w:hAnsi="黑体"/>
                <w:sz w:val="20"/>
                <w:szCs w:val="20"/>
              </w:rPr>
            </w:pPr>
            <w:r>
              <w:rPr>
                <w:rFonts w:ascii="黑体" w:eastAsia="黑体" w:hAnsi="黑体" w:hint="eastAsia"/>
                <w:sz w:val="20"/>
                <w:szCs w:val="20"/>
              </w:rPr>
              <w:t>字符型，256</w:t>
            </w:r>
          </w:p>
        </w:tc>
        <w:tc>
          <w:tcPr>
            <w:tcW w:w="4045" w:type="dxa"/>
          </w:tcPr>
          <w:p w14:paraId="3D43D412" w14:textId="77777777" w:rsidR="00A052DC" w:rsidRDefault="009F0A60">
            <w:pPr>
              <w:rPr>
                <w:rFonts w:ascii="黑体" w:eastAsia="黑体" w:hAnsi="黑体"/>
                <w:sz w:val="20"/>
                <w:szCs w:val="20"/>
              </w:rPr>
            </w:pPr>
            <w:r>
              <w:rPr>
                <w:rFonts w:ascii="黑体" w:eastAsia="黑体" w:hAnsi="黑体" w:hint="eastAsia"/>
                <w:sz w:val="20"/>
                <w:szCs w:val="20"/>
              </w:rPr>
              <w:t>非必填项。</w:t>
            </w:r>
          </w:p>
        </w:tc>
      </w:tr>
      <w:tr w:rsidR="00A052DC" w14:paraId="34607D43" w14:textId="77777777">
        <w:trPr>
          <w:jc w:val="center"/>
        </w:trPr>
        <w:tc>
          <w:tcPr>
            <w:tcW w:w="1268" w:type="dxa"/>
          </w:tcPr>
          <w:p w14:paraId="15A53B8F" w14:textId="77777777" w:rsidR="00A052DC" w:rsidRDefault="009F0A60">
            <w:pPr>
              <w:rPr>
                <w:rFonts w:ascii="黑体" w:eastAsia="黑体" w:hAnsi="黑体"/>
                <w:sz w:val="20"/>
                <w:szCs w:val="20"/>
              </w:rPr>
            </w:pPr>
            <w:bookmarkStart w:id="3175" w:name="OLE_LINK20"/>
            <w:r>
              <w:rPr>
                <w:rFonts w:ascii="黑体" w:eastAsia="黑体" w:hAnsi="黑体" w:hint="eastAsia"/>
                <w:sz w:val="20"/>
                <w:szCs w:val="20"/>
              </w:rPr>
              <w:t>B0601TYPE</w:t>
            </w:r>
            <w:bookmarkEnd w:id="3175"/>
          </w:p>
        </w:tc>
        <w:tc>
          <w:tcPr>
            <w:tcW w:w="1843" w:type="dxa"/>
          </w:tcPr>
          <w:p w14:paraId="7EEA8D6D" w14:textId="77777777" w:rsidR="00A052DC" w:rsidRDefault="009F0A60">
            <w:pPr>
              <w:rPr>
                <w:rFonts w:ascii="黑体" w:eastAsia="黑体" w:hAnsi="黑体"/>
                <w:sz w:val="20"/>
                <w:szCs w:val="20"/>
              </w:rPr>
            </w:pPr>
            <w:r>
              <w:rPr>
                <w:rFonts w:ascii="黑体" w:eastAsia="黑体" w:hAnsi="黑体" w:hint="eastAsia"/>
                <w:sz w:val="20"/>
                <w:szCs w:val="20"/>
              </w:rPr>
              <w:t>业务类型</w:t>
            </w:r>
          </w:p>
        </w:tc>
        <w:tc>
          <w:tcPr>
            <w:tcW w:w="1418" w:type="dxa"/>
          </w:tcPr>
          <w:p w14:paraId="07407C72" w14:textId="77777777" w:rsidR="00A052DC" w:rsidRDefault="009F0A60">
            <w:pPr>
              <w:rPr>
                <w:rFonts w:ascii="黑体" w:eastAsia="黑体" w:hAnsi="黑体"/>
                <w:sz w:val="20"/>
                <w:szCs w:val="20"/>
              </w:rPr>
            </w:pPr>
            <w:r>
              <w:rPr>
                <w:rFonts w:ascii="黑体" w:eastAsia="黑体" w:hAnsi="黑体" w:hint="eastAsia"/>
                <w:sz w:val="20"/>
                <w:szCs w:val="20"/>
              </w:rPr>
              <w:t>整数型</w:t>
            </w:r>
          </w:p>
        </w:tc>
        <w:tc>
          <w:tcPr>
            <w:tcW w:w="4045" w:type="dxa"/>
          </w:tcPr>
          <w:p w14:paraId="4FF2DFFB" w14:textId="77777777" w:rsidR="00A052DC" w:rsidRDefault="009F0A60">
            <w:pPr>
              <w:rPr>
                <w:rFonts w:ascii="黑体" w:eastAsia="黑体" w:hAnsi="黑体"/>
                <w:sz w:val="20"/>
                <w:szCs w:val="20"/>
              </w:rPr>
            </w:pPr>
            <w:r>
              <w:rPr>
                <w:rFonts w:ascii="黑体" w:eastAsia="黑体" w:hAnsi="黑体" w:hint="eastAsia"/>
                <w:sz w:val="20"/>
                <w:szCs w:val="20"/>
              </w:rPr>
              <w:t>必填项，包括：</w:t>
            </w:r>
          </w:p>
          <w:p w14:paraId="33876D5C" w14:textId="77777777" w:rsidR="00A052DC" w:rsidRDefault="009F0A60">
            <w:pPr>
              <w:rPr>
                <w:rFonts w:ascii="黑体" w:eastAsia="黑体" w:hAnsi="黑体"/>
                <w:sz w:val="20"/>
                <w:szCs w:val="20"/>
              </w:rPr>
            </w:pPr>
            <w:r>
              <w:rPr>
                <w:rFonts w:ascii="黑体" w:eastAsia="黑体" w:hAnsi="黑体"/>
                <w:sz w:val="20"/>
                <w:szCs w:val="20"/>
              </w:rPr>
              <w:t>1.QFII</w:t>
            </w:r>
            <w:r>
              <w:rPr>
                <w:rFonts w:ascii="黑体" w:eastAsia="黑体" w:hAnsi="黑体" w:hint="eastAsia"/>
                <w:sz w:val="20"/>
                <w:szCs w:val="20"/>
              </w:rPr>
              <w:t>；</w:t>
            </w:r>
          </w:p>
          <w:p w14:paraId="6D7B3FB5" w14:textId="77777777" w:rsidR="00A052DC" w:rsidRDefault="009F0A60">
            <w:pPr>
              <w:rPr>
                <w:rFonts w:ascii="黑体" w:eastAsia="黑体" w:hAnsi="黑体"/>
                <w:sz w:val="20"/>
                <w:szCs w:val="20"/>
              </w:rPr>
            </w:pPr>
            <w:r>
              <w:rPr>
                <w:rFonts w:ascii="黑体" w:eastAsia="黑体" w:hAnsi="黑体"/>
                <w:sz w:val="20"/>
                <w:szCs w:val="20"/>
              </w:rPr>
              <w:t>2.RQFII</w:t>
            </w:r>
            <w:r>
              <w:rPr>
                <w:rFonts w:ascii="黑体" w:eastAsia="黑体" w:hAnsi="黑体" w:hint="eastAsia"/>
                <w:sz w:val="20"/>
                <w:szCs w:val="20"/>
              </w:rPr>
              <w:t>；</w:t>
            </w:r>
          </w:p>
          <w:p w14:paraId="2C47E210" w14:textId="77777777" w:rsidR="00A052DC" w:rsidRDefault="009F0A60">
            <w:pPr>
              <w:rPr>
                <w:rFonts w:ascii="黑体" w:eastAsia="黑体" w:hAnsi="黑体"/>
                <w:sz w:val="20"/>
                <w:szCs w:val="20"/>
              </w:rPr>
            </w:pPr>
            <w:r>
              <w:rPr>
                <w:rFonts w:ascii="黑体" w:eastAsia="黑体" w:hAnsi="黑体" w:hint="eastAsia"/>
                <w:sz w:val="20"/>
                <w:szCs w:val="20"/>
              </w:rPr>
              <w:t>3.沪港通；</w:t>
            </w:r>
          </w:p>
          <w:p w14:paraId="5CB85B73" w14:textId="77777777" w:rsidR="00A052DC" w:rsidRDefault="009F0A60">
            <w:pPr>
              <w:rPr>
                <w:rFonts w:ascii="黑体" w:eastAsia="黑体" w:hAnsi="黑体"/>
                <w:sz w:val="20"/>
                <w:szCs w:val="20"/>
              </w:rPr>
            </w:pPr>
            <w:r>
              <w:rPr>
                <w:rFonts w:ascii="黑体" w:eastAsia="黑体" w:hAnsi="黑体"/>
                <w:sz w:val="20"/>
                <w:szCs w:val="20"/>
              </w:rPr>
              <w:t>4.</w:t>
            </w:r>
            <w:r>
              <w:rPr>
                <w:rFonts w:ascii="黑体" w:eastAsia="黑体" w:hAnsi="黑体" w:hint="eastAsia"/>
                <w:sz w:val="20"/>
                <w:szCs w:val="20"/>
              </w:rPr>
              <w:t>深港通；</w:t>
            </w:r>
          </w:p>
          <w:p w14:paraId="27992A3D" w14:textId="77777777" w:rsidR="00A052DC" w:rsidRDefault="009F0A60">
            <w:pPr>
              <w:rPr>
                <w:rFonts w:ascii="黑体" w:eastAsia="黑体" w:hAnsi="黑体"/>
                <w:sz w:val="20"/>
                <w:szCs w:val="20"/>
              </w:rPr>
            </w:pPr>
            <w:r>
              <w:rPr>
                <w:rFonts w:ascii="黑体" w:eastAsia="黑体" w:hAnsi="黑体" w:hint="eastAsia"/>
                <w:sz w:val="20"/>
                <w:szCs w:val="20"/>
              </w:rPr>
              <w:t>5.境外机构投资者投资银行间债券市场；</w:t>
            </w:r>
          </w:p>
          <w:p w14:paraId="39F6295F" w14:textId="77777777" w:rsidR="00A052DC" w:rsidRDefault="009F0A60">
            <w:pPr>
              <w:rPr>
                <w:rFonts w:ascii="黑体" w:eastAsia="黑体" w:hAnsi="黑体"/>
                <w:sz w:val="20"/>
                <w:szCs w:val="20"/>
              </w:rPr>
            </w:pPr>
            <w:r>
              <w:rPr>
                <w:rFonts w:ascii="黑体" w:eastAsia="黑体" w:hAnsi="黑体" w:hint="eastAsia"/>
                <w:sz w:val="20"/>
                <w:szCs w:val="20"/>
              </w:rPr>
              <w:t>6.债券通；</w:t>
            </w:r>
          </w:p>
          <w:p w14:paraId="339DF8BB" w14:textId="77777777" w:rsidR="00A052DC" w:rsidRDefault="009F0A60">
            <w:pPr>
              <w:rPr>
                <w:rFonts w:ascii="黑体" w:eastAsia="黑体" w:hAnsi="黑体"/>
                <w:sz w:val="20"/>
                <w:szCs w:val="20"/>
              </w:rPr>
            </w:pPr>
            <w:r>
              <w:rPr>
                <w:rFonts w:ascii="黑体" w:eastAsia="黑体" w:hAnsi="黑体"/>
                <w:sz w:val="20"/>
                <w:szCs w:val="20"/>
              </w:rPr>
              <w:t>7.沪伦通</w:t>
            </w:r>
            <w:r>
              <w:rPr>
                <w:rFonts w:ascii="黑体" w:eastAsia="黑体" w:hAnsi="黑体" w:hint="eastAsia"/>
                <w:sz w:val="20"/>
                <w:szCs w:val="20"/>
              </w:rPr>
              <w:t>；</w:t>
            </w:r>
          </w:p>
          <w:p w14:paraId="4E5BE1E5" w14:textId="77777777" w:rsidR="00A052DC" w:rsidRDefault="009F0A60">
            <w:pPr>
              <w:rPr>
                <w:rFonts w:ascii="黑体" w:eastAsia="黑体" w:hAnsi="黑体"/>
                <w:sz w:val="20"/>
                <w:szCs w:val="20"/>
              </w:rPr>
            </w:pPr>
            <w:r>
              <w:rPr>
                <w:rFonts w:ascii="黑体" w:eastAsia="黑体" w:hAnsi="黑体"/>
                <w:sz w:val="20"/>
                <w:szCs w:val="20"/>
              </w:rPr>
              <w:t>9</w:t>
            </w:r>
            <w:r>
              <w:rPr>
                <w:rFonts w:ascii="黑体" w:eastAsia="黑体" w:hAnsi="黑体" w:hint="eastAsia"/>
                <w:sz w:val="20"/>
                <w:szCs w:val="20"/>
              </w:rPr>
              <w:t>.其他。</w:t>
            </w:r>
          </w:p>
          <w:p w14:paraId="35F5DE5E" w14:textId="77777777" w:rsidR="00A052DC" w:rsidRDefault="009F0A60">
            <w:pPr>
              <w:rPr>
                <w:rFonts w:ascii="黑体" w:eastAsia="黑体" w:hAnsi="黑体"/>
                <w:sz w:val="20"/>
                <w:szCs w:val="20"/>
              </w:rPr>
            </w:pPr>
            <w:r>
              <w:rPr>
                <w:rFonts w:ascii="黑体" w:eastAsia="黑体" w:hAnsi="黑体" w:hint="eastAsia"/>
                <w:sz w:val="20"/>
                <w:szCs w:val="20"/>
              </w:rPr>
              <w:t>如B0604=7，B0601TYPE必须=7。</w:t>
            </w:r>
          </w:p>
        </w:tc>
      </w:tr>
      <w:tr w:rsidR="00A052DC" w14:paraId="1259A6DE" w14:textId="77777777">
        <w:trPr>
          <w:jc w:val="center"/>
        </w:trPr>
        <w:tc>
          <w:tcPr>
            <w:tcW w:w="1268" w:type="dxa"/>
          </w:tcPr>
          <w:p w14:paraId="74B24742" w14:textId="77777777" w:rsidR="00A052DC" w:rsidRDefault="009F0A60">
            <w:pPr>
              <w:rPr>
                <w:rFonts w:ascii="黑体" w:eastAsia="黑体" w:hAnsi="黑体"/>
                <w:sz w:val="20"/>
                <w:szCs w:val="20"/>
              </w:rPr>
            </w:pPr>
            <w:r>
              <w:rPr>
                <w:rFonts w:ascii="黑体" w:eastAsia="黑体" w:hAnsi="黑体" w:hint="eastAsia"/>
                <w:sz w:val="20"/>
                <w:szCs w:val="20"/>
              </w:rPr>
              <w:t>B0602</w:t>
            </w:r>
          </w:p>
        </w:tc>
        <w:tc>
          <w:tcPr>
            <w:tcW w:w="1843" w:type="dxa"/>
          </w:tcPr>
          <w:p w14:paraId="76649999" w14:textId="77777777" w:rsidR="00A052DC" w:rsidRDefault="009F0A60">
            <w:pPr>
              <w:rPr>
                <w:rFonts w:ascii="黑体" w:eastAsia="黑体" w:hAnsi="黑体"/>
                <w:sz w:val="20"/>
                <w:szCs w:val="20"/>
              </w:rPr>
            </w:pPr>
            <w:r>
              <w:rPr>
                <w:rFonts w:ascii="黑体" w:eastAsia="黑体" w:hAnsi="黑体" w:hint="eastAsia"/>
                <w:sz w:val="20"/>
                <w:szCs w:val="20"/>
              </w:rPr>
              <w:t>非居民投资者所属国家/地区</w:t>
            </w:r>
          </w:p>
        </w:tc>
        <w:tc>
          <w:tcPr>
            <w:tcW w:w="1418" w:type="dxa"/>
          </w:tcPr>
          <w:p w14:paraId="0C656EB5" w14:textId="77777777" w:rsidR="00A052DC" w:rsidRDefault="009F0A60">
            <w:pPr>
              <w:rPr>
                <w:rFonts w:ascii="黑体" w:eastAsia="黑体" w:hAnsi="黑体"/>
                <w:sz w:val="20"/>
                <w:szCs w:val="20"/>
              </w:rPr>
            </w:pPr>
            <w:r>
              <w:rPr>
                <w:rFonts w:ascii="黑体" w:eastAsia="黑体" w:hAnsi="黑体" w:hint="eastAsia"/>
                <w:sz w:val="20"/>
                <w:szCs w:val="20"/>
              </w:rPr>
              <w:t>字符型，3</w:t>
            </w:r>
          </w:p>
        </w:tc>
        <w:tc>
          <w:tcPr>
            <w:tcW w:w="4045" w:type="dxa"/>
          </w:tcPr>
          <w:p w14:paraId="2A54CD6D" w14:textId="77777777" w:rsidR="00A052DC" w:rsidRDefault="009F0A60">
            <w:pPr>
              <w:rPr>
                <w:rFonts w:ascii="黑体" w:eastAsia="黑体" w:hAnsi="黑体"/>
                <w:sz w:val="20"/>
                <w:szCs w:val="20"/>
              </w:rPr>
            </w:pPr>
            <w:r>
              <w:rPr>
                <w:rFonts w:ascii="黑体" w:eastAsia="黑体" w:hAnsi="黑体" w:hint="eastAsia"/>
                <w:sz w:val="20"/>
                <w:szCs w:val="20"/>
              </w:rPr>
              <w:t>必填项，见国家和地区代码表的3位字母代码，必须≠CHN或≠N/A。</w:t>
            </w:r>
          </w:p>
        </w:tc>
      </w:tr>
      <w:tr w:rsidR="00A052DC" w14:paraId="2DCBA7A9" w14:textId="77777777">
        <w:trPr>
          <w:jc w:val="center"/>
        </w:trPr>
        <w:tc>
          <w:tcPr>
            <w:tcW w:w="1268" w:type="dxa"/>
          </w:tcPr>
          <w:p w14:paraId="14634514" w14:textId="77777777" w:rsidR="00A052DC" w:rsidRDefault="009F0A60">
            <w:pPr>
              <w:rPr>
                <w:rFonts w:ascii="黑体" w:eastAsia="黑体" w:hAnsi="黑体"/>
                <w:sz w:val="20"/>
                <w:szCs w:val="20"/>
              </w:rPr>
            </w:pPr>
            <w:r>
              <w:rPr>
                <w:rFonts w:ascii="黑体" w:eastAsia="黑体" w:hAnsi="黑体" w:hint="eastAsia"/>
                <w:sz w:val="20"/>
                <w:szCs w:val="20"/>
              </w:rPr>
              <w:t>B0603</w:t>
            </w:r>
          </w:p>
        </w:tc>
        <w:tc>
          <w:tcPr>
            <w:tcW w:w="1843" w:type="dxa"/>
          </w:tcPr>
          <w:p w14:paraId="3F5DCD1C" w14:textId="77777777" w:rsidR="00A052DC" w:rsidRDefault="009F0A60">
            <w:pPr>
              <w:rPr>
                <w:rFonts w:ascii="黑体" w:eastAsia="黑体" w:hAnsi="黑体"/>
                <w:sz w:val="20"/>
                <w:szCs w:val="20"/>
              </w:rPr>
            </w:pPr>
            <w:r>
              <w:rPr>
                <w:rFonts w:ascii="黑体" w:eastAsia="黑体" w:hAnsi="黑体" w:hint="eastAsia"/>
                <w:sz w:val="20"/>
                <w:szCs w:val="20"/>
              </w:rPr>
              <w:t>非居民投资者所属部门</w:t>
            </w:r>
          </w:p>
        </w:tc>
        <w:tc>
          <w:tcPr>
            <w:tcW w:w="1418" w:type="dxa"/>
          </w:tcPr>
          <w:p w14:paraId="0C927188" w14:textId="77777777" w:rsidR="00A052DC" w:rsidRDefault="009F0A60">
            <w:pPr>
              <w:rPr>
                <w:rFonts w:ascii="黑体" w:eastAsia="黑体" w:hAnsi="黑体"/>
                <w:sz w:val="20"/>
                <w:szCs w:val="20"/>
              </w:rPr>
            </w:pPr>
            <w:r>
              <w:rPr>
                <w:rFonts w:ascii="黑体" w:eastAsia="黑体" w:hAnsi="黑体" w:hint="eastAsia"/>
                <w:sz w:val="20"/>
                <w:szCs w:val="20"/>
              </w:rPr>
              <w:t>整数型</w:t>
            </w:r>
          </w:p>
        </w:tc>
        <w:tc>
          <w:tcPr>
            <w:tcW w:w="4045" w:type="dxa"/>
          </w:tcPr>
          <w:p w14:paraId="691A3762" w14:textId="77777777" w:rsidR="00A052DC" w:rsidRDefault="009F0A60">
            <w:pPr>
              <w:rPr>
                <w:rFonts w:ascii="黑体" w:eastAsia="黑体" w:hAnsi="黑体"/>
                <w:sz w:val="20"/>
                <w:szCs w:val="20"/>
              </w:rPr>
            </w:pPr>
            <w:r>
              <w:rPr>
                <w:rFonts w:ascii="黑体" w:eastAsia="黑体" w:hAnsi="黑体" w:hint="eastAsia"/>
                <w:sz w:val="20"/>
                <w:szCs w:val="20"/>
              </w:rPr>
              <w:t>必填项，必须9选1，见投资者（被投资者）部门代码表。</w:t>
            </w:r>
          </w:p>
        </w:tc>
      </w:tr>
      <w:tr w:rsidR="00A052DC" w14:paraId="48883C96" w14:textId="77777777">
        <w:trPr>
          <w:jc w:val="center"/>
        </w:trPr>
        <w:tc>
          <w:tcPr>
            <w:tcW w:w="1268" w:type="dxa"/>
          </w:tcPr>
          <w:p w14:paraId="78EBB7F0" w14:textId="77777777" w:rsidR="00A052DC" w:rsidRDefault="009F0A60">
            <w:pPr>
              <w:rPr>
                <w:rFonts w:ascii="黑体" w:eastAsia="黑体" w:hAnsi="黑体"/>
                <w:sz w:val="20"/>
                <w:szCs w:val="20"/>
              </w:rPr>
            </w:pPr>
            <w:r>
              <w:rPr>
                <w:rFonts w:ascii="黑体" w:eastAsia="黑体" w:hAnsi="黑体" w:hint="eastAsia"/>
                <w:sz w:val="20"/>
                <w:szCs w:val="20"/>
              </w:rPr>
              <w:t>B0604</w:t>
            </w:r>
          </w:p>
        </w:tc>
        <w:tc>
          <w:tcPr>
            <w:tcW w:w="1843" w:type="dxa"/>
          </w:tcPr>
          <w:p w14:paraId="05FC5F36" w14:textId="77777777" w:rsidR="00A052DC" w:rsidRDefault="009F0A60">
            <w:pPr>
              <w:rPr>
                <w:rFonts w:ascii="黑体" w:eastAsia="黑体" w:hAnsi="黑体"/>
                <w:sz w:val="20"/>
                <w:szCs w:val="20"/>
              </w:rPr>
            </w:pPr>
            <w:r>
              <w:rPr>
                <w:rFonts w:ascii="黑体" w:eastAsia="黑体" w:hAnsi="黑体" w:hint="eastAsia"/>
                <w:sz w:val="20"/>
                <w:szCs w:val="20"/>
              </w:rPr>
              <w:t>投资工具类型</w:t>
            </w:r>
          </w:p>
        </w:tc>
        <w:tc>
          <w:tcPr>
            <w:tcW w:w="1418" w:type="dxa"/>
          </w:tcPr>
          <w:p w14:paraId="3DDD592F" w14:textId="77777777" w:rsidR="00A052DC" w:rsidRDefault="009F0A60">
            <w:pPr>
              <w:rPr>
                <w:rFonts w:ascii="黑体" w:eastAsia="黑体" w:hAnsi="黑体"/>
                <w:sz w:val="20"/>
                <w:szCs w:val="20"/>
              </w:rPr>
            </w:pPr>
            <w:r>
              <w:rPr>
                <w:rFonts w:ascii="黑体" w:eastAsia="黑体" w:hAnsi="黑体" w:hint="eastAsia"/>
                <w:sz w:val="20"/>
                <w:szCs w:val="20"/>
              </w:rPr>
              <w:t>整数型</w:t>
            </w:r>
          </w:p>
        </w:tc>
        <w:tc>
          <w:tcPr>
            <w:tcW w:w="4045" w:type="dxa"/>
          </w:tcPr>
          <w:p w14:paraId="6FB32D3F" w14:textId="77777777" w:rsidR="00A052DC" w:rsidRDefault="009F0A60">
            <w:pPr>
              <w:rPr>
                <w:rFonts w:ascii="黑体" w:eastAsia="黑体" w:hAnsi="黑体"/>
                <w:sz w:val="20"/>
                <w:szCs w:val="20"/>
              </w:rPr>
            </w:pPr>
            <w:r>
              <w:rPr>
                <w:rFonts w:ascii="黑体" w:eastAsia="黑体" w:hAnsi="黑体" w:hint="eastAsia"/>
                <w:sz w:val="20"/>
                <w:szCs w:val="20"/>
              </w:rPr>
              <w:t>必填项，必须7选1：</w:t>
            </w:r>
          </w:p>
          <w:p w14:paraId="47DBCD89" w14:textId="77777777" w:rsidR="00A052DC" w:rsidRDefault="009F0A60">
            <w:pPr>
              <w:rPr>
                <w:rFonts w:ascii="黑体" w:eastAsia="黑体" w:hAnsi="黑体"/>
                <w:sz w:val="20"/>
                <w:szCs w:val="20"/>
              </w:rPr>
            </w:pPr>
            <w:r>
              <w:rPr>
                <w:rFonts w:ascii="黑体" w:eastAsia="黑体" w:hAnsi="黑体" w:hint="eastAsia"/>
                <w:sz w:val="20"/>
                <w:szCs w:val="20"/>
              </w:rPr>
              <w:t>1-股票；</w:t>
            </w:r>
          </w:p>
          <w:p w14:paraId="5668E027" w14:textId="77777777" w:rsidR="00A052DC" w:rsidRDefault="009F0A60">
            <w:pPr>
              <w:rPr>
                <w:rFonts w:ascii="黑体" w:eastAsia="黑体" w:hAnsi="黑体"/>
                <w:sz w:val="20"/>
                <w:szCs w:val="20"/>
              </w:rPr>
            </w:pPr>
            <w:r>
              <w:rPr>
                <w:rFonts w:ascii="黑体" w:eastAsia="黑体" w:hAnsi="黑体" w:hint="eastAsia"/>
                <w:sz w:val="20"/>
                <w:szCs w:val="20"/>
              </w:rPr>
              <w:t>2-投资基金份额/单位；</w:t>
            </w:r>
          </w:p>
          <w:p w14:paraId="106C1AC7" w14:textId="77777777" w:rsidR="00A052DC" w:rsidRDefault="009F0A60">
            <w:pPr>
              <w:rPr>
                <w:rFonts w:ascii="黑体" w:eastAsia="黑体" w:hAnsi="黑体"/>
                <w:sz w:val="20"/>
                <w:szCs w:val="20"/>
              </w:rPr>
            </w:pPr>
            <w:r>
              <w:rPr>
                <w:rFonts w:ascii="黑体" w:eastAsia="黑体" w:hAnsi="黑体" w:hint="eastAsia"/>
                <w:sz w:val="20"/>
                <w:szCs w:val="20"/>
              </w:rPr>
              <w:t>3-债券；</w:t>
            </w:r>
          </w:p>
          <w:p w14:paraId="1E4BF945" w14:textId="77777777" w:rsidR="00A052DC" w:rsidRDefault="009F0A60">
            <w:pPr>
              <w:rPr>
                <w:rFonts w:ascii="黑体" w:eastAsia="黑体" w:hAnsi="黑体"/>
                <w:sz w:val="20"/>
                <w:szCs w:val="20"/>
              </w:rPr>
            </w:pPr>
            <w:r>
              <w:rPr>
                <w:rFonts w:ascii="黑体" w:eastAsia="黑体" w:hAnsi="黑体" w:hint="eastAsia"/>
                <w:sz w:val="20"/>
                <w:szCs w:val="20"/>
              </w:rPr>
              <w:t>4-非上市普通股；</w:t>
            </w:r>
          </w:p>
          <w:p w14:paraId="63A68FA6" w14:textId="77777777" w:rsidR="00A052DC" w:rsidRDefault="009F0A60">
            <w:pPr>
              <w:rPr>
                <w:rFonts w:ascii="黑体" w:eastAsia="黑体" w:hAnsi="黑体"/>
                <w:sz w:val="20"/>
                <w:szCs w:val="20"/>
              </w:rPr>
            </w:pPr>
            <w:r>
              <w:rPr>
                <w:rFonts w:ascii="黑体" w:eastAsia="黑体" w:hAnsi="黑体" w:hint="eastAsia"/>
                <w:sz w:val="20"/>
                <w:szCs w:val="20"/>
              </w:rPr>
              <w:t>5-参与性优先股；</w:t>
            </w:r>
          </w:p>
          <w:p w14:paraId="07E1CD5E" w14:textId="77777777" w:rsidR="00A052DC" w:rsidRDefault="009F0A60">
            <w:pPr>
              <w:rPr>
                <w:rFonts w:ascii="黑体" w:eastAsia="黑体" w:hAnsi="黑体"/>
                <w:sz w:val="20"/>
                <w:szCs w:val="20"/>
              </w:rPr>
            </w:pPr>
            <w:r>
              <w:rPr>
                <w:rFonts w:ascii="黑体" w:eastAsia="黑体" w:hAnsi="黑体" w:hint="eastAsia"/>
                <w:sz w:val="20"/>
                <w:szCs w:val="20"/>
              </w:rPr>
              <w:t>6-非参与性优先股；</w:t>
            </w:r>
          </w:p>
          <w:p w14:paraId="7C903E80" w14:textId="77777777" w:rsidR="00A052DC" w:rsidRDefault="009F0A60">
            <w:pPr>
              <w:rPr>
                <w:rFonts w:ascii="黑体" w:eastAsia="黑体" w:hAnsi="黑体"/>
                <w:sz w:val="20"/>
                <w:szCs w:val="20"/>
              </w:rPr>
            </w:pPr>
            <w:r>
              <w:rPr>
                <w:rFonts w:ascii="黑体" w:eastAsia="黑体" w:hAnsi="黑体"/>
                <w:sz w:val="20"/>
                <w:szCs w:val="20"/>
              </w:rPr>
              <w:t>7-存托凭证</w:t>
            </w:r>
            <w:r>
              <w:rPr>
                <w:rFonts w:ascii="黑体" w:eastAsia="黑体" w:hAnsi="黑体" w:hint="eastAsia"/>
                <w:sz w:val="20"/>
                <w:szCs w:val="20"/>
              </w:rPr>
              <w:t>。</w:t>
            </w:r>
          </w:p>
          <w:p w14:paraId="44BAACE9" w14:textId="77777777" w:rsidR="00A052DC" w:rsidRDefault="009F0A60">
            <w:pPr>
              <w:rPr>
                <w:rFonts w:ascii="黑体" w:eastAsia="黑体" w:hAnsi="黑体"/>
                <w:sz w:val="20"/>
                <w:szCs w:val="20"/>
              </w:rPr>
            </w:pPr>
            <w:r>
              <w:rPr>
                <w:rFonts w:ascii="黑体" w:eastAsia="黑体" w:hAnsi="黑体" w:hint="eastAsia"/>
                <w:sz w:val="20"/>
                <w:szCs w:val="20"/>
              </w:rPr>
              <w:t>如B0601TYPE=7，B0604必须=7。</w:t>
            </w:r>
          </w:p>
        </w:tc>
      </w:tr>
      <w:tr w:rsidR="00A052DC" w14:paraId="492D849F" w14:textId="77777777">
        <w:trPr>
          <w:jc w:val="center"/>
        </w:trPr>
        <w:tc>
          <w:tcPr>
            <w:tcW w:w="1268" w:type="dxa"/>
          </w:tcPr>
          <w:p w14:paraId="2D892D72" w14:textId="77777777" w:rsidR="00A052DC" w:rsidRDefault="009F0A60">
            <w:pPr>
              <w:rPr>
                <w:rFonts w:ascii="黑体" w:eastAsia="黑体" w:hAnsi="黑体"/>
                <w:sz w:val="20"/>
                <w:szCs w:val="20"/>
              </w:rPr>
            </w:pPr>
            <w:r>
              <w:rPr>
                <w:rFonts w:ascii="黑体" w:eastAsia="黑体" w:hAnsi="黑体" w:hint="eastAsia"/>
                <w:sz w:val="20"/>
                <w:szCs w:val="20"/>
              </w:rPr>
              <w:t>B0605</w:t>
            </w:r>
          </w:p>
        </w:tc>
        <w:tc>
          <w:tcPr>
            <w:tcW w:w="1843" w:type="dxa"/>
          </w:tcPr>
          <w:p w14:paraId="02A137EC" w14:textId="77777777" w:rsidR="00A052DC" w:rsidRDefault="009F0A60">
            <w:pPr>
              <w:rPr>
                <w:rFonts w:ascii="黑体" w:eastAsia="黑体" w:hAnsi="黑体"/>
                <w:sz w:val="20"/>
                <w:szCs w:val="20"/>
              </w:rPr>
            </w:pPr>
            <w:r>
              <w:rPr>
                <w:rFonts w:ascii="黑体" w:eastAsia="黑体" w:hAnsi="黑体" w:hint="eastAsia"/>
                <w:sz w:val="20"/>
                <w:szCs w:val="20"/>
              </w:rPr>
              <w:t>投资产品代码（逐支报送使用）</w:t>
            </w:r>
          </w:p>
        </w:tc>
        <w:tc>
          <w:tcPr>
            <w:tcW w:w="1418" w:type="dxa"/>
          </w:tcPr>
          <w:p w14:paraId="7DEB137A" w14:textId="77777777" w:rsidR="00A052DC" w:rsidRDefault="009F0A60">
            <w:pPr>
              <w:rPr>
                <w:rFonts w:ascii="黑体" w:eastAsia="黑体" w:hAnsi="黑体"/>
                <w:sz w:val="20"/>
                <w:szCs w:val="20"/>
              </w:rPr>
            </w:pPr>
            <w:r>
              <w:rPr>
                <w:rFonts w:ascii="黑体" w:eastAsia="黑体" w:hAnsi="黑体" w:hint="eastAsia"/>
                <w:sz w:val="20"/>
                <w:szCs w:val="20"/>
              </w:rPr>
              <w:t>字符型，256</w:t>
            </w:r>
          </w:p>
          <w:p w14:paraId="3E5718BF" w14:textId="77777777" w:rsidR="00A052DC" w:rsidRDefault="00A052DC">
            <w:pPr>
              <w:rPr>
                <w:rFonts w:ascii="黑体" w:eastAsia="黑体" w:hAnsi="黑体"/>
                <w:b/>
                <w:bCs/>
                <w:sz w:val="20"/>
                <w:szCs w:val="20"/>
              </w:rPr>
            </w:pPr>
          </w:p>
        </w:tc>
        <w:tc>
          <w:tcPr>
            <w:tcW w:w="4045" w:type="dxa"/>
          </w:tcPr>
          <w:p w14:paraId="2E5D37AC" w14:textId="77777777" w:rsidR="00A052DC" w:rsidRDefault="009F0A60">
            <w:pPr>
              <w:rPr>
                <w:rFonts w:ascii="黑体" w:eastAsia="黑体" w:hAnsi="黑体"/>
                <w:sz w:val="20"/>
                <w:szCs w:val="20"/>
              </w:rPr>
            </w:pPr>
            <w:r>
              <w:rPr>
                <w:rFonts w:ascii="黑体" w:eastAsia="黑体" w:hAnsi="黑体" w:hint="eastAsia"/>
                <w:sz w:val="20"/>
                <w:szCs w:val="20"/>
              </w:rPr>
              <w:t>必填项。如选择逐支报送，则据实填写代码；如选择汇总报送，则填写“N/A”。</w:t>
            </w:r>
          </w:p>
        </w:tc>
      </w:tr>
      <w:tr w:rsidR="00A052DC" w14:paraId="6B9637D8" w14:textId="77777777">
        <w:trPr>
          <w:jc w:val="center"/>
        </w:trPr>
        <w:tc>
          <w:tcPr>
            <w:tcW w:w="1268" w:type="dxa"/>
          </w:tcPr>
          <w:p w14:paraId="72459802" w14:textId="77777777" w:rsidR="00A052DC" w:rsidRDefault="009F0A60">
            <w:pPr>
              <w:rPr>
                <w:rFonts w:ascii="黑体" w:eastAsia="黑体" w:hAnsi="黑体"/>
                <w:sz w:val="20"/>
                <w:szCs w:val="20"/>
              </w:rPr>
            </w:pPr>
            <w:r>
              <w:rPr>
                <w:rFonts w:ascii="黑体" w:eastAsia="黑体" w:hAnsi="黑体" w:hint="eastAsia"/>
                <w:sz w:val="20"/>
                <w:szCs w:val="20"/>
              </w:rPr>
              <w:t>B0606</w:t>
            </w:r>
          </w:p>
        </w:tc>
        <w:tc>
          <w:tcPr>
            <w:tcW w:w="1843" w:type="dxa"/>
          </w:tcPr>
          <w:p w14:paraId="72E5732B" w14:textId="77777777" w:rsidR="00A052DC" w:rsidRDefault="009F0A60">
            <w:pPr>
              <w:rPr>
                <w:rFonts w:ascii="黑体" w:eastAsia="黑体" w:hAnsi="黑体"/>
                <w:sz w:val="20"/>
                <w:szCs w:val="20"/>
              </w:rPr>
            </w:pPr>
            <w:r>
              <w:rPr>
                <w:rFonts w:ascii="黑体" w:eastAsia="黑体" w:hAnsi="黑体" w:hint="eastAsia"/>
                <w:sz w:val="20"/>
                <w:szCs w:val="20"/>
              </w:rPr>
              <w:t>发行主体名称（逐支报送使用）</w:t>
            </w:r>
          </w:p>
        </w:tc>
        <w:tc>
          <w:tcPr>
            <w:tcW w:w="1418" w:type="dxa"/>
          </w:tcPr>
          <w:p w14:paraId="67802EEE" w14:textId="77777777" w:rsidR="00A052DC" w:rsidRDefault="009F0A60">
            <w:pPr>
              <w:rPr>
                <w:rFonts w:ascii="黑体" w:eastAsia="黑体" w:hAnsi="黑体"/>
                <w:sz w:val="20"/>
                <w:szCs w:val="20"/>
              </w:rPr>
            </w:pPr>
            <w:r>
              <w:rPr>
                <w:rFonts w:ascii="黑体" w:eastAsia="黑体" w:hAnsi="黑体" w:hint="eastAsia"/>
                <w:sz w:val="20"/>
                <w:szCs w:val="20"/>
              </w:rPr>
              <w:t>字符型，256</w:t>
            </w:r>
          </w:p>
        </w:tc>
        <w:tc>
          <w:tcPr>
            <w:tcW w:w="4045" w:type="dxa"/>
          </w:tcPr>
          <w:p w14:paraId="3B955979" w14:textId="77777777" w:rsidR="00A052DC" w:rsidRDefault="009F0A60">
            <w:pPr>
              <w:rPr>
                <w:rFonts w:ascii="黑体" w:eastAsia="黑体" w:hAnsi="黑体"/>
                <w:sz w:val="20"/>
                <w:szCs w:val="20"/>
              </w:rPr>
            </w:pPr>
            <w:r>
              <w:rPr>
                <w:rFonts w:ascii="黑体" w:eastAsia="黑体" w:hAnsi="黑体" w:hint="eastAsia"/>
                <w:sz w:val="20"/>
                <w:szCs w:val="20"/>
              </w:rPr>
              <w:t>非必填项。如B0605≠N/A，则据实填写名称；如B0605=N/A，此字段为空。</w:t>
            </w:r>
          </w:p>
        </w:tc>
      </w:tr>
      <w:tr w:rsidR="00A052DC" w14:paraId="5610441D" w14:textId="77777777">
        <w:trPr>
          <w:jc w:val="center"/>
        </w:trPr>
        <w:tc>
          <w:tcPr>
            <w:tcW w:w="1268" w:type="dxa"/>
          </w:tcPr>
          <w:p w14:paraId="7CE93ED8" w14:textId="77777777" w:rsidR="00A052DC" w:rsidRDefault="009F0A60">
            <w:pPr>
              <w:rPr>
                <w:rFonts w:ascii="黑体" w:eastAsia="黑体" w:hAnsi="黑体"/>
                <w:sz w:val="20"/>
                <w:szCs w:val="20"/>
              </w:rPr>
            </w:pPr>
            <w:r>
              <w:rPr>
                <w:rFonts w:ascii="黑体" w:eastAsia="黑体" w:hAnsi="黑体" w:hint="eastAsia"/>
                <w:sz w:val="20"/>
                <w:szCs w:val="20"/>
              </w:rPr>
              <w:t>B0607</w:t>
            </w:r>
          </w:p>
        </w:tc>
        <w:tc>
          <w:tcPr>
            <w:tcW w:w="1843" w:type="dxa"/>
          </w:tcPr>
          <w:p w14:paraId="1B1CDB88" w14:textId="77777777" w:rsidR="00A052DC" w:rsidRDefault="009F0A60">
            <w:pPr>
              <w:rPr>
                <w:rFonts w:ascii="黑体" w:eastAsia="黑体" w:hAnsi="黑体"/>
                <w:sz w:val="20"/>
                <w:szCs w:val="20"/>
              </w:rPr>
            </w:pPr>
            <w:r>
              <w:rPr>
                <w:rFonts w:ascii="黑体" w:eastAsia="黑体" w:hAnsi="黑体" w:hint="eastAsia"/>
                <w:sz w:val="20"/>
                <w:szCs w:val="20"/>
              </w:rPr>
              <w:t>发行主体所属国家</w:t>
            </w:r>
            <w:r>
              <w:rPr>
                <w:rFonts w:ascii="黑体" w:eastAsia="黑体" w:hAnsi="黑体"/>
                <w:sz w:val="20"/>
                <w:szCs w:val="20"/>
              </w:rPr>
              <w:t>/地区</w:t>
            </w:r>
          </w:p>
        </w:tc>
        <w:tc>
          <w:tcPr>
            <w:tcW w:w="1418" w:type="dxa"/>
          </w:tcPr>
          <w:p w14:paraId="3D1EBC02" w14:textId="77777777" w:rsidR="00A052DC" w:rsidRDefault="009F0A60">
            <w:pPr>
              <w:rPr>
                <w:rFonts w:ascii="黑体" w:eastAsia="黑体" w:hAnsi="黑体"/>
                <w:sz w:val="20"/>
                <w:szCs w:val="20"/>
              </w:rPr>
            </w:pPr>
            <w:r>
              <w:rPr>
                <w:rFonts w:ascii="黑体" w:eastAsia="黑体" w:hAnsi="黑体" w:hint="eastAsia"/>
                <w:sz w:val="20"/>
                <w:szCs w:val="20"/>
              </w:rPr>
              <w:t>字符型，3</w:t>
            </w:r>
          </w:p>
        </w:tc>
        <w:tc>
          <w:tcPr>
            <w:tcW w:w="4045" w:type="dxa"/>
          </w:tcPr>
          <w:p w14:paraId="5F1F7D21" w14:textId="77777777" w:rsidR="00A052DC" w:rsidRDefault="009F0A60">
            <w:pPr>
              <w:rPr>
                <w:rFonts w:ascii="黑体" w:eastAsia="黑体" w:hAnsi="黑体"/>
                <w:sz w:val="20"/>
                <w:szCs w:val="20"/>
              </w:rPr>
            </w:pPr>
            <w:r>
              <w:rPr>
                <w:rFonts w:ascii="黑体" w:eastAsia="黑体" w:hAnsi="黑体" w:hint="eastAsia"/>
                <w:sz w:val="20"/>
                <w:szCs w:val="20"/>
              </w:rPr>
              <w:t>必填项，见国家和地区代码表的3位字母代码，必须=CHN。</w:t>
            </w:r>
          </w:p>
        </w:tc>
      </w:tr>
      <w:tr w:rsidR="00A052DC" w14:paraId="5EBDDE2F" w14:textId="77777777">
        <w:trPr>
          <w:jc w:val="center"/>
        </w:trPr>
        <w:tc>
          <w:tcPr>
            <w:tcW w:w="1268" w:type="dxa"/>
          </w:tcPr>
          <w:p w14:paraId="4911E04E" w14:textId="77777777" w:rsidR="00A052DC" w:rsidRDefault="009F0A60">
            <w:pPr>
              <w:rPr>
                <w:rFonts w:ascii="黑体" w:eastAsia="黑体" w:hAnsi="黑体"/>
                <w:sz w:val="20"/>
                <w:szCs w:val="20"/>
              </w:rPr>
            </w:pPr>
            <w:r>
              <w:rPr>
                <w:rFonts w:ascii="黑体" w:eastAsia="黑体" w:hAnsi="黑体" w:hint="eastAsia"/>
                <w:sz w:val="20"/>
                <w:szCs w:val="20"/>
              </w:rPr>
              <w:t>B0608</w:t>
            </w:r>
          </w:p>
        </w:tc>
        <w:tc>
          <w:tcPr>
            <w:tcW w:w="1843" w:type="dxa"/>
          </w:tcPr>
          <w:p w14:paraId="4DD6ED06" w14:textId="77777777" w:rsidR="00A052DC" w:rsidRDefault="009F0A60">
            <w:pPr>
              <w:rPr>
                <w:rFonts w:ascii="黑体" w:eastAsia="黑体" w:hAnsi="黑体"/>
                <w:sz w:val="20"/>
                <w:szCs w:val="20"/>
              </w:rPr>
            </w:pPr>
            <w:r>
              <w:rPr>
                <w:rFonts w:ascii="黑体" w:eastAsia="黑体" w:hAnsi="黑体" w:hint="eastAsia"/>
                <w:sz w:val="20"/>
                <w:szCs w:val="20"/>
              </w:rPr>
              <w:t>发行主体所属部门</w:t>
            </w:r>
          </w:p>
        </w:tc>
        <w:tc>
          <w:tcPr>
            <w:tcW w:w="1418" w:type="dxa"/>
          </w:tcPr>
          <w:p w14:paraId="494FCD1B" w14:textId="77777777" w:rsidR="00A052DC" w:rsidRDefault="009F0A60">
            <w:pPr>
              <w:rPr>
                <w:rFonts w:ascii="黑体" w:eastAsia="黑体" w:hAnsi="黑体"/>
                <w:sz w:val="20"/>
                <w:szCs w:val="20"/>
              </w:rPr>
            </w:pPr>
            <w:r>
              <w:rPr>
                <w:rFonts w:ascii="黑体" w:eastAsia="黑体" w:hAnsi="黑体" w:hint="eastAsia"/>
                <w:sz w:val="20"/>
                <w:szCs w:val="20"/>
              </w:rPr>
              <w:t>整数型</w:t>
            </w:r>
          </w:p>
        </w:tc>
        <w:tc>
          <w:tcPr>
            <w:tcW w:w="4045" w:type="dxa"/>
          </w:tcPr>
          <w:p w14:paraId="157C5B0E" w14:textId="77777777" w:rsidR="00A052DC" w:rsidRDefault="009F0A60">
            <w:pPr>
              <w:rPr>
                <w:rFonts w:ascii="黑体" w:eastAsia="黑体" w:hAnsi="黑体"/>
                <w:sz w:val="20"/>
                <w:szCs w:val="20"/>
              </w:rPr>
            </w:pPr>
            <w:r>
              <w:rPr>
                <w:rFonts w:ascii="黑体" w:eastAsia="黑体" w:hAnsi="黑体" w:hint="eastAsia"/>
                <w:sz w:val="20"/>
                <w:szCs w:val="20"/>
              </w:rPr>
              <w:t>必填项，见投资者（被投资者）部门代码表。</w:t>
            </w:r>
          </w:p>
        </w:tc>
      </w:tr>
      <w:tr w:rsidR="00A052DC" w14:paraId="40B94ED5" w14:textId="77777777">
        <w:trPr>
          <w:jc w:val="center"/>
        </w:trPr>
        <w:tc>
          <w:tcPr>
            <w:tcW w:w="1268" w:type="dxa"/>
          </w:tcPr>
          <w:p w14:paraId="35019075" w14:textId="77777777" w:rsidR="00A052DC" w:rsidRDefault="009F0A60">
            <w:pPr>
              <w:rPr>
                <w:rFonts w:ascii="黑体" w:eastAsia="黑体" w:hAnsi="黑体"/>
                <w:sz w:val="20"/>
                <w:szCs w:val="20"/>
              </w:rPr>
            </w:pPr>
            <w:r>
              <w:rPr>
                <w:rFonts w:ascii="黑体" w:eastAsia="黑体" w:hAnsi="黑体" w:hint="eastAsia"/>
                <w:sz w:val="20"/>
                <w:szCs w:val="20"/>
              </w:rPr>
              <w:t>B0609</w:t>
            </w:r>
          </w:p>
        </w:tc>
        <w:tc>
          <w:tcPr>
            <w:tcW w:w="1843" w:type="dxa"/>
          </w:tcPr>
          <w:p w14:paraId="180FBB1D" w14:textId="77777777" w:rsidR="00A052DC" w:rsidRDefault="009F0A60">
            <w:pPr>
              <w:rPr>
                <w:rFonts w:ascii="黑体" w:eastAsia="黑体" w:hAnsi="黑体"/>
                <w:sz w:val="20"/>
                <w:szCs w:val="20"/>
              </w:rPr>
            </w:pPr>
            <w:r>
              <w:rPr>
                <w:rFonts w:ascii="黑体" w:eastAsia="黑体" w:hAnsi="黑体" w:hint="eastAsia"/>
                <w:sz w:val="20"/>
                <w:szCs w:val="20"/>
              </w:rPr>
              <w:t>债务证券原始期限</w:t>
            </w:r>
          </w:p>
        </w:tc>
        <w:tc>
          <w:tcPr>
            <w:tcW w:w="1418" w:type="dxa"/>
          </w:tcPr>
          <w:p w14:paraId="2E89FC83" w14:textId="77777777" w:rsidR="00A052DC" w:rsidRDefault="009F0A60">
            <w:pPr>
              <w:rPr>
                <w:rFonts w:ascii="黑体" w:eastAsia="黑体" w:hAnsi="黑体"/>
                <w:sz w:val="20"/>
                <w:szCs w:val="20"/>
              </w:rPr>
            </w:pPr>
            <w:r>
              <w:rPr>
                <w:rFonts w:ascii="黑体" w:eastAsia="黑体" w:hAnsi="黑体" w:hint="eastAsia"/>
                <w:sz w:val="20"/>
                <w:szCs w:val="20"/>
              </w:rPr>
              <w:t>整数型</w:t>
            </w:r>
          </w:p>
        </w:tc>
        <w:tc>
          <w:tcPr>
            <w:tcW w:w="4045" w:type="dxa"/>
          </w:tcPr>
          <w:p w14:paraId="7EA8F12C" w14:textId="77777777" w:rsidR="00A052DC" w:rsidRDefault="009F0A60">
            <w:pPr>
              <w:rPr>
                <w:rFonts w:ascii="黑体" w:eastAsia="黑体" w:hAnsi="黑体"/>
                <w:sz w:val="20"/>
                <w:szCs w:val="20"/>
              </w:rPr>
            </w:pPr>
            <w:r>
              <w:rPr>
                <w:rFonts w:ascii="黑体" w:eastAsia="黑体" w:hAnsi="黑体" w:hint="eastAsia"/>
                <w:sz w:val="20"/>
                <w:szCs w:val="20"/>
              </w:rPr>
              <w:t>非必填项。</w:t>
            </w:r>
          </w:p>
          <w:p w14:paraId="32391F0B" w14:textId="77777777" w:rsidR="00A052DC" w:rsidRDefault="009F0A60">
            <w:pPr>
              <w:rPr>
                <w:rFonts w:ascii="黑体" w:eastAsia="黑体" w:hAnsi="黑体"/>
                <w:sz w:val="20"/>
                <w:szCs w:val="20"/>
              </w:rPr>
            </w:pPr>
            <w:r>
              <w:rPr>
                <w:rFonts w:ascii="黑体" w:eastAsia="黑体" w:hAnsi="黑体" w:hint="eastAsia"/>
                <w:sz w:val="20"/>
                <w:szCs w:val="20"/>
              </w:rPr>
              <w:t>如果</w:t>
            </w:r>
            <w:r>
              <w:rPr>
                <w:rFonts w:ascii="黑体" w:eastAsia="黑体" w:hAnsi="黑体"/>
                <w:sz w:val="20"/>
                <w:szCs w:val="20"/>
              </w:rPr>
              <w:t>B0604=1</w:t>
            </w:r>
            <w:r>
              <w:rPr>
                <w:rFonts w:ascii="黑体" w:eastAsia="黑体" w:hAnsi="黑体" w:hint="eastAsia"/>
                <w:sz w:val="20"/>
                <w:szCs w:val="20"/>
              </w:rPr>
              <w:t>、</w:t>
            </w:r>
            <w:r>
              <w:rPr>
                <w:rFonts w:ascii="黑体" w:eastAsia="黑体" w:hAnsi="黑体"/>
                <w:sz w:val="20"/>
                <w:szCs w:val="20"/>
              </w:rPr>
              <w:t>2</w:t>
            </w:r>
            <w:r>
              <w:rPr>
                <w:rFonts w:ascii="黑体" w:eastAsia="黑体" w:hAnsi="黑体" w:hint="eastAsia"/>
                <w:sz w:val="20"/>
                <w:szCs w:val="20"/>
              </w:rPr>
              <w:t>、5或7，则此项为空。</w:t>
            </w:r>
          </w:p>
          <w:p w14:paraId="5468BECA" w14:textId="77777777" w:rsidR="00A052DC" w:rsidRDefault="009F0A60">
            <w:pPr>
              <w:rPr>
                <w:rFonts w:ascii="黑体" w:eastAsia="黑体" w:hAnsi="黑体"/>
                <w:sz w:val="20"/>
                <w:szCs w:val="20"/>
              </w:rPr>
            </w:pPr>
            <w:r>
              <w:rPr>
                <w:rFonts w:ascii="黑体" w:eastAsia="黑体" w:hAnsi="黑体" w:hint="eastAsia"/>
                <w:sz w:val="20"/>
                <w:szCs w:val="20"/>
              </w:rPr>
              <w:t>如果</w:t>
            </w:r>
            <w:r>
              <w:rPr>
                <w:rFonts w:ascii="黑体" w:eastAsia="黑体" w:hAnsi="黑体"/>
                <w:sz w:val="20"/>
                <w:szCs w:val="20"/>
              </w:rPr>
              <w:t>B0604=3</w:t>
            </w:r>
            <w:r>
              <w:rPr>
                <w:rFonts w:ascii="黑体" w:eastAsia="黑体" w:hAnsi="黑体" w:hint="eastAsia"/>
                <w:sz w:val="20"/>
                <w:szCs w:val="20"/>
              </w:rPr>
              <w:t>或6</w:t>
            </w:r>
            <w:r>
              <w:rPr>
                <w:rFonts w:ascii="黑体" w:eastAsia="黑体" w:hAnsi="黑体"/>
                <w:sz w:val="20"/>
                <w:szCs w:val="20"/>
              </w:rPr>
              <w:t>，为必填项，必须2选1：</w:t>
            </w:r>
          </w:p>
          <w:p w14:paraId="516C2466" w14:textId="77777777" w:rsidR="00A052DC" w:rsidRDefault="009F0A60">
            <w:pPr>
              <w:rPr>
                <w:rFonts w:ascii="黑体" w:eastAsia="黑体" w:hAnsi="黑体"/>
                <w:sz w:val="20"/>
                <w:szCs w:val="20"/>
              </w:rPr>
            </w:pPr>
            <w:r>
              <w:rPr>
                <w:rFonts w:ascii="黑体" w:eastAsia="黑体" w:hAnsi="黑体"/>
                <w:sz w:val="20"/>
                <w:szCs w:val="20"/>
              </w:rPr>
              <w:t>1-一年及以下；</w:t>
            </w:r>
          </w:p>
          <w:p w14:paraId="3CBD2ECD" w14:textId="77777777" w:rsidR="00A052DC" w:rsidRDefault="009F0A60">
            <w:pPr>
              <w:rPr>
                <w:rFonts w:ascii="黑体" w:eastAsia="黑体" w:hAnsi="黑体"/>
                <w:sz w:val="20"/>
                <w:szCs w:val="20"/>
              </w:rPr>
            </w:pPr>
            <w:r>
              <w:rPr>
                <w:rFonts w:ascii="黑体" w:eastAsia="黑体" w:hAnsi="黑体"/>
                <w:sz w:val="20"/>
                <w:szCs w:val="20"/>
              </w:rPr>
              <w:t>2-一年以上，含永久性债券</w:t>
            </w:r>
            <w:r>
              <w:rPr>
                <w:rFonts w:ascii="黑体" w:eastAsia="黑体" w:hAnsi="黑体" w:hint="eastAsia"/>
                <w:sz w:val="20"/>
                <w:szCs w:val="20"/>
              </w:rPr>
              <w:t>和非参与性优先股。</w:t>
            </w:r>
          </w:p>
        </w:tc>
      </w:tr>
      <w:tr w:rsidR="00A052DC" w14:paraId="6B2243CC" w14:textId="77777777">
        <w:trPr>
          <w:jc w:val="center"/>
        </w:trPr>
        <w:tc>
          <w:tcPr>
            <w:tcW w:w="1268" w:type="dxa"/>
          </w:tcPr>
          <w:p w14:paraId="20120B7C" w14:textId="77777777" w:rsidR="00A052DC" w:rsidRDefault="009F0A60">
            <w:pPr>
              <w:rPr>
                <w:rFonts w:ascii="黑体" w:eastAsia="黑体" w:hAnsi="黑体"/>
                <w:sz w:val="20"/>
                <w:szCs w:val="20"/>
              </w:rPr>
            </w:pPr>
            <w:r>
              <w:rPr>
                <w:rFonts w:ascii="黑体" w:eastAsia="黑体" w:hAnsi="黑体" w:hint="eastAsia"/>
                <w:sz w:val="20"/>
                <w:szCs w:val="20"/>
              </w:rPr>
              <w:t>B0610</w:t>
            </w:r>
          </w:p>
        </w:tc>
        <w:tc>
          <w:tcPr>
            <w:tcW w:w="1843" w:type="dxa"/>
          </w:tcPr>
          <w:p w14:paraId="6F4F602C" w14:textId="77777777" w:rsidR="00A052DC" w:rsidRDefault="009F0A60">
            <w:pPr>
              <w:rPr>
                <w:rFonts w:ascii="黑体" w:eastAsia="黑体" w:hAnsi="黑体"/>
                <w:sz w:val="20"/>
                <w:szCs w:val="20"/>
              </w:rPr>
            </w:pPr>
            <w:r>
              <w:rPr>
                <w:rFonts w:ascii="黑体" w:eastAsia="黑体" w:hAnsi="黑体" w:hint="eastAsia"/>
                <w:sz w:val="20"/>
                <w:szCs w:val="20"/>
              </w:rPr>
              <w:t>原始币种</w:t>
            </w:r>
          </w:p>
        </w:tc>
        <w:tc>
          <w:tcPr>
            <w:tcW w:w="1418" w:type="dxa"/>
          </w:tcPr>
          <w:p w14:paraId="532966CD" w14:textId="77777777" w:rsidR="00A052DC" w:rsidRDefault="009F0A60">
            <w:pPr>
              <w:rPr>
                <w:rFonts w:ascii="黑体" w:eastAsia="黑体" w:hAnsi="黑体"/>
                <w:sz w:val="20"/>
                <w:szCs w:val="20"/>
              </w:rPr>
            </w:pPr>
            <w:r>
              <w:rPr>
                <w:rFonts w:ascii="黑体" w:eastAsia="黑体" w:hAnsi="黑体" w:hint="eastAsia"/>
                <w:sz w:val="20"/>
                <w:szCs w:val="20"/>
              </w:rPr>
              <w:t>字符型，3</w:t>
            </w:r>
          </w:p>
        </w:tc>
        <w:tc>
          <w:tcPr>
            <w:tcW w:w="4045" w:type="dxa"/>
          </w:tcPr>
          <w:p w14:paraId="7659B92F" w14:textId="77777777" w:rsidR="00A052DC" w:rsidRDefault="009F0A60">
            <w:pPr>
              <w:rPr>
                <w:rFonts w:ascii="黑体" w:eastAsia="黑体" w:hAnsi="黑体"/>
                <w:sz w:val="20"/>
                <w:szCs w:val="20"/>
              </w:rPr>
            </w:pPr>
            <w:r>
              <w:rPr>
                <w:rFonts w:ascii="黑体" w:eastAsia="黑体" w:hAnsi="黑体" w:hint="eastAsia"/>
                <w:sz w:val="20"/>
                <w:szCs w:val="20"/>
              </w:rPr>
              <w:t>必填项，见币种代码表。</w:t>
            </w:r>
          </w:p>
        </w:tc>
      </w:tr>
      <w:tr w:rsidR="00A052DC" w14:paraId="45DBE25A" w14:textId="77777777">
        <w:trPr>
          <w:jc w:val="center"/>
        </w:trPr>
        <w:tc>
          <w:tcPr>
            <w:tcW w:w="1268" w:type="dxa"/>
          </w:tcPr>
          <w:p w14:paraId="1C8FCF8A" w14:textId="77777777" w:rsidR="00A052DC" w:rsidRDefault="009F0A60">
            <w:pPr>
              <w:rPr>
                <w:rFonts w:ascii="黑体" w:eastAsia="黑体" w:hAnsi="黑体"/>
                <w:sz w:val="20"/>
                <w:szCs w:val="20"/>
              </w:rPr>
            </w:pPr>
            <w:r>
              <w:rPr>
                <w:rFonts w:ascii="黑体" w:eastAsia="黑体" w:hAnsi="黑体" w:hint="eastAsia"/>
                <w:sz w:val="20"/>
                <w:szCs w:val="20"/>
              </w:rPr>
              <w:t>B0611</w:t>
            </w:r>
          </w:p>
        </w:tc>
        <w:tc>
          <w:tcPr>
            <w:tcW w:w="1843" w:type="dxa"/>
          </w:tcPr>
          <w:p w14:paraId="5419A04C" w14:textId="77777777" w:rsidR="00A052DC" w:rsidRDefault="009F0A60">
            <w:pPr>
              <w:rPr>
                <w:rFonts w:ascii="黑体" w:eastAsia="黑体" w:hAnsi="黑体"/>
                <w:sz w:val="20"/>
                <w:szCs w:val="20"/>
              </w:rPr>
            </w:pPr>
            <w:r>
              <w:rPr>
                <w:rFonts w:ascii="黑体" w:eastAsia="黑体" w:hAnsi="黑体" w:hint="eastAsia"/>
                <w:sz w:val="20"/>
                <w:szCs w:val="20"/>
              </w:rPr>
              <w:t>上月末市值</w:t>
            </w:r>
          </w:p>
        </w:tc>
        <w:tc>
          <w:tcPr>
            <w:tcW w:w="1418" w:type="dxa"/>
          </w:tcPr>
          <w:p w14:paraId="7627622A"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4045" w:type="dxa"/>
          </w:tcPr>
          <w:p w14:paraId="5FEDEE4D"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r w:rsidR="00A052DC" w14:paraId="16C325E7" w14:textId="77777777">
        <w:trPr>
          <w:jc w:val="center"/>
        </w:trPr>
        <w:tc>
          <w:tcPr>
            <w:tcW w:w="1268" w:type="dxa"/>
          </w:tcPr>
          <w:p w14:paraId="1F87837E" w14:textId="77777777" w:rsidR="00A052DC" w:rsidRDefault="009F0A60">
            <w:pPr>
              <w:rPr>
                <w:rFonts w:ascii="黑体" w:eastAsia="黑体" w:hAnsi="黑体"/>
                <w:sz w:val="20"/>
                <w:szCs w:val="20"/>
              </w:rPr>
            </w:pPr>
            <w:r>
              <w:rPr>
                <w:rFonts w:ascii="黑体" w:eastAsia="黑体" w:hAnsi="黑体" w:hint="eastAsia"/>
                <w:sz w:val="20"/>
                <w:szCs w:val="20"/>
              </w:rPr>
              <w:t>B0612</w:t>
            </w:r>
          </w:p>
        </w:tc>
        <w:tc>
          <w:tcPr>
            <w:tcW w:w="1843" w:type="dxa"/>
          </w:tcPr>
          <w:p w14:paraId="2CCC48B9" w14:textId="77777777" w:rsidR="00A052DC" w:rsidRDefault="009F0A60">
            <w:pPr>
              <w:rPr>
                <w:rFonts w:ascii="黑体" w:eastAsia="黑体" w:hAnsi="黑体"/>
                <w:sz w:val="20"/>
                <w:szCs w:val="20"/>
              </w:rPr>
            </w:pPr>
            <w:r>
              <w:rPr>
                <w:rFonts w:ascii="黑体" w:eastAsia="黑体" w:hAnsi="黑体" w:hint="eastAsia"/>
                <w:sz w:val="20"/>
                <w:szCs w:val="20"/>
              </w:rPr>
              <w:t>本月买入金额</w:t>
            </w:r>
          </w:p>
        </w:tc>
        <w:tc>
          <w:tcPr>
            <w:tcW w:w="1418" w:type="dxa"/>
          </w:tcPr>
          <w:p w14:paraId="340EB3C7"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4045" w:type="dxa"/>
          </w:tcPr>
          <w:p w14:paraId="3313B994" w14:textId="77777777" w:rsidR="00A052DC" w:rsidRDefault="009F0A60">
            <w:pPr>
              <w:rPr>
                <w:rFonts w:ascii="黑体" w:eastAsia="黑体" w:hAnsi="黑体"/>
                <w:sz w:val="20"/>
                <w:szCs w:val="20"/>
              </w:rPr>
            </w:pPr>
            <w:r>
              <w:rPr>
                <w:rFonts w:ascii="黑体" w:eastAsia="黑体" w:hAnsi="黑体" w:hint="eastAsia"/>
                <w:sz w:val="20"/>
                <w:szCs w:val="20"/>
              </w:rPr>
              <w:t>必填项，必须≥0。</w:t>
            </w:r>
          </w:p>
        </w:tc>
      </w:tr>
      <w:tr w:rsidR="00A052DC" w14:paraId="2BEDB3DA" w14:textId="77777777">
        <w:trPr>
          <w:jc w:val="center"/>
        </w:trPr>
        <w:tc>
          <w:tcPr>
            <w:tcW w:w="1268" w:type="dxa"/>
          </w:tcPr>
          <w:p w14:paraId="5791DF2A" w14:textId="77777777" w:rsidR="00A052DC" w:rsidRDefault="009F0A60">
            <w:pPr>
              <w:rPr>
                <w:rFonts w:ascii="黑体" w:eastAsia="黑体" w:hAnsi="黑体"/>
                <w:sz w:val="20"/>
                <w:szCs w:val="20"/>
              </w:rPr>
            </w:pPr>
            <w:r>
              <w:rPr>
                <w:rFonts w:ascii="黑体" w:eastAsia="黑体" w:hAnsi="黑体" w:hint="eastAsia"/>
                <w:sz w:val="20"/>
                <w:szCs w:val="20"/>
              </w:rPr>
              <w:t>B0613</w:t>
            </w:r>
          </w:p>
        </w:tc>
        <w:tc>
          <w:tcPr>
            <w:tcW w:w="1843" w:type="dxa"/>
          </w:tcPr>
          <w:p w14:paraId="122B3CB5" w14:textId="77777777" w:rsidR="00A052DC" w:rsidRDefault="009F0A60">
            <w:pPr>
              <w:rPr>
                <w:rFonts w:ascii="黑体" w:eastAsia="黑体" w:hAnsi="黑体"/>
                <w:sz w:val="20"/>
                <w:szCs w:val="20"/>
              </w:rPr>
            </w:pPr>
            <w:r>
              <w:rPr>
                <w:rFonts w:ascii="黑体" w:eastAsia="黑体" w:hAnsi="黑体" w:hint="eastAsia"/>
                <w:sz w:val="20"/>
                <w:szCs w:val="20"/>
              </w:rPr>
              <w:t>本月卖出金额</w:t>
            </w:r>
          </w:p>
        </w:tc>
        <w:tc>
          <w:tcPr>
            <w:tcW w:w="1418" w:type="dxa"/>
          </w:tcPr>
          <w:p w14:paraId="1FC49531"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4045" w:type="dxa"/>
          </w:tcPr>
          <w:p w14:paraId="539C3D6F" w14:textId="77777777" w:rsidR="00A052DC" w:rsidRDefault="009F0A60">
            <w:pPr>
              <w:rPr>
                <w:rFonts w:ascii="黑体" w:eastAsia="黑体" w:hAnsi="黑体"/>
                <w:sz w:val="20"/>
                <w:szCs w:val="20"/>
              </w:rPr>
            </w:pPr>
            <w:r>
              <w:rPr>
                <w:rFonts w:ascii="黑体" w:eastAsia="黑体" w:hAnsi="黑体" w:hint="eastAsia"/>
                <w:sz w:val="20"/>
                <w:szCs w:val="20"/>
              </w:rPr>
              <w:t>必填项，必须≥0。</w:t>
            </w:r>
          </w:p>
        </w:tc>
      </w:tr>
      <w:tr w:rsidR="00A052DC" w14:paraId="687FEE9F" w14:textId="77777777">
        <w:trPr>
          <w:jc w:val="center"/>
        </w:trPr>
        <w:tc>
          <w:tcPr>
            <w:tcW w:w="1268" w:type="dxa"/>
          </w:tcPr>
          <w:p w14:paraId="59197495" w14:textId="77777777" w:rsidR="00A052DC" w:rsidRDefault="009F0A60">
            <w:pPr>
              <w:rPr>
                <w:rFonts w:ascii="黑体" w:eastAsia="黑体" w:hAnsi="黑体"/>
                <w:sz w:val="20"/>
                <w:szCs w:val="20"/>
              </w:rPr>
            </w:pPr>
            <w:r>
              <w:rPr>
                <w:rFonts w:ascii="黑体" w:eastAsia="黑体" w:hAnsi="黑体"/>
                <w:sz w:val="20"/>
                <w:szCs w:val="20"/>
              </w:rPr>
              <w:t>B0613AMT</w:t>
            </w:r>
          </w:p>
        </w:tc>
        <w:tc>
          <w:tcPr>
            <w:tcW w:w="1843" w:type="dxa"/>
          </w:tcPr>
          <w:p w14:paraId="409A4F6C" w14:textId="77777777" w:rsidR="00A052DC" w:rsidRDefault="009F0A60">
            <w:pPr>
              <w:rPr>
                <w:rFonts w:ascii="黑体" w:eastAsia="黑体" w:hAnsi="黑体"/>
                <w:sz w:val="20"/>
                <w:szCs w:val="20"/>
              </w:rPr>
            </w:pPr>
            <w:r>
              <w:rPr>
                <w:rFonts w:ascii="黑体" w:eastAsia="黑体" w:hAnsi="黑体" w:hint="eastAsia"/>
                <w:sz w:val="20"/>
                <w:szCs w:val="20"/>
              </w:rPr>
              <w:t>本月卖出金额其中：债券到期或提前兑付的本息金额</w:t>
            </w:r>
          </w:p>
        </w:tc>
        <w:tc>
          <w:tcPr>
            <w:tcW w:w="1418" w:type="dxa"/>
          </w:tcPr>
          <w:p w14:paraId="7AE5AD29" w14:textId="77777777" w:rsidR="00A052DC" w:rsidRDefault="009F0A60">
            <w:pPr>
              <w:rPr>
                <w:rFonts w:ascii="黑体" w:eastAsia="黑体" w:hAnsi="黑体"/>
                <w:sz w:val="20"/>
                <w:szCs w:val="20"/>
              </w:rPr>
            </w:pPr>
            <w:r>
              <w:rPr>
                <w:rFonts w:ascii="黑体" w:eastAsia="黑体" w:hAnsi="黑体" w:hint="eastAsia"/>
                <w:sz w:val="20"/>
                <w:szCs w:val="20"/>
              </w:rPr>
              <w:t>数值型，</w:t>
            </w:r>
            <w:r>
              <w:rPr>
                <w:rFonts w:ascii="黑体" w:eastAsia="黑体" w:hAnsi="黑体"/>
                <w:sz w:val="20"/>
                <w:szCs w:val="20"/>
              </w:rPr>
              <w:t>22.2</w:t>
            </w:r>
          </w:p>
        </w:tc>
        <w:tc>
          <w:tcPr>
            <w:tcW w:w="4045" w:type="dxa"/>
          </w:tcPr>
          <w:p w14:paraId="5830F04F" w14:textId="77777777" w:rsidR="00A052DC" w:rsidRDefault="009F0A60">
            <w:pPr>
              <w:rPr>
                <w:rFonts w:ascii="黑体" w:eastAsia="黑体" w:hAnsi="黑体"/>
                <w:sz w:val="20"/>
                <w:szCs w:val="20"/>
              </w:rPr>
            </w:pPr>
            <w:r>
              <w:rPr>
                <w:rFonts w:ascii="黑体" w:eastAsia="黑体" w:hAnsi="黑体" w:hint="eastAsia"/>
                <w:sz w:val="20"/>
                <w:szCs w:val="20"/>
              </w:rPr>
              <w:t>非必填项，如</w:t>
            </w:r>
            <w:r>
              <w:rPr>
                <w:rFonts w:ascii="黑体" w:eastAsia="黑体" w:hAnsi="黑体"/>
                <w:sz w:val="20"/>
                <w:szCs w:val="20"/>
              </w:rPr>
              <w:t>B0604=1,2,4,5或7则本字段为空；如B0604=3</w:t>
            </w:r>
            <w:r>
              <w:rPr>
                <w:rFonts w:ascii="黑体" w:eastAsia="黑体" w:hAnsi="黑体" w:hint="eastAsia"/>
                <w:sz w:val="20"/>
                <w:szCs w:val="20"/>
              </w:rPr>
              <w:t>或</w:t>
            </w:r>
            <w:r>
              <w:rPr>
                <w:rFonts w:ascii="黑体" w:eastAsia="黑体" w:hAnsi="黑体"/>
                <w:sz w:val="20"/>
                <w:szCs w:val="20"/>
              </w:rPr>
              <w:t>6则为必填项，必须≥0，且必须满足B0613AMT≤B0613。</w:t>
            </w:r>
          </w:p>
        </w:tc>
      </w:tr>
      <w:tr w:rsidR="00A052DC" w14:paraId="613B2C45" w14:textId="77777777">
        <w:trPr>
          <w:jc w:val="center"/>
        </w:trPr>
        <w:tc>
          <w:tcPr>
            <w:tcW w:w="1268" w:type="dxa"/>
          </w:tcPr>
          <w:p w14:paraId="0EF2477F" w14:textId="77777777" w:rsidR="00A052DC" w:rsidRDefault="009F0A60">
            <w:pPr>
              <w:rPr>
                <w:rFonts w:ascii="黑体" w:eastAsia="黑体" w:hAnsi="黑体"/>
                <w:sz w:val="20"/>
                <w:szCs w:val="20"/>
              </w:rPr>
            </w:pPr>
            <w:r>
              <w:rPr>
                <w:rFonts w:ascii="黑体" w:eastAsia="黑体" w:hAnsi="黑体" w:hint="eastAsia"/>
                <w:sz w:val="20"/>
                <w:szCs w:val="20"/>
              </w:rPr>
              <w:t>B0614</w:t>
            </w:r>
          </w:p>
        </w:tc>
        <w:tc>
          <w:tcPr>
            <w:tcW w:w="1843" w:type="dxa"/>
          </w:tcPr>
          <w:p w14:paraId="7FAD7EAB" w14:textId="77777777" w:rsidR="00A052DC" w:rsidRDefault="009F0A60">
            <w:pPr>
              <w:rPr>
                <w:rFonts w:ascii="黑体" w:eastAsia="黑体" w:hAnsi="黑体"/>
                <w:sz w:val="20"/>
                <w:szCs w:val="20"/>
              </w:rPr>
            </w:pPr>
            <w:r>
              <w:rPr>
                <w:rFonts w:ascii="黑体" w:eastAsia="黑体" w:hAnsi="黑体" w:hint="eastAsia"/>
                <w:sz w:val="20"/>
                <w:szCs w:val="20"/>
              </w:rPr>
              <w:t>本月非交易变动</w:t>
            </w:r>
          </w:p>
        </w:tc>
        <w:tc>
          <w:tcPr>
            <w:tcW w:w="1418" w:type="dxa"/>
          </w:tcPr>
          <w:p w14:paraId="3DE1546A"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4045" w:type="dxa"/>
          </w:tcPr>
          <w:p w14:paraId="08704EBD" w14:textId="77777777" w:rsidR="00A052DC" w:rsidRDefault="009F0A60">
            <w:pPr>
              <w:rPr>
                <w:rFonts w:ascii="黑体" w:eastAsia="黑体" w:hAnsi="黑体"/>
                <w:sz w:val="20"/>
                <w:szCs w:val="20"/>
              </w:rPr>
            </w:pPr>
            <w:r>
              <w:rPr>
                <w:rFonts w:ascii="黑体" w:eastAsia="黑体" w:hAnsi="黑体" w:hint="eastAsia"/>
                <w:sz w:val="20"/>
                <w:szCs w:val="20"/>
              </w:rPr>
              <w:t>必填项，必须满足：</w:t>
            </w:r>
          </w:p>
          <w:p w14:paraId="57894F2C" w14:textId="77777777" w:rsidR="00A052DC" w:rsidRDefault="009F0A60">
            <w:pPr>
              <w:rPr>
                <w:rFonts w:ascii="黑体" w:eastAsia="黑体" w:hAnsi="黑体"/>
                <w:sz w:val="20"/>
                <w:szCs w:val="20"/>
              </w:rPr>
            </w:pPr>
            <w:r>
              <w:rPr>
                <w:rFonts w:ascii="黑体" w:eastAsia="黑体" w:hAnsi="黑体" w:hint="eastAsia"/>
                <w:sz w:val="20"/>
                <w:szCs w:val="20"/>
              </w:rPr>
              <w:t>B0614=B0617-B0611-（B0612-B0613）。</w:t>
            </w:r>
          </w:p>
          <w:p w14:paraId="49AF32C3" w14:textId="77777777" w:rsidR="00A052DC" w:rsidRDefault="009F0A60">
            <w:pPr>
              <w:rPr>
                <w:rFonts w:ascii="黑体" w:eastAsia="黑体" w:hAnsi="黑体"/>
                <w:sz w:val="20"/>
                <w:szCs w:val="20"/>
              </w:rPr>
            </w:pPr>
            <w:r>
              <w:rPr>
                <w:rFonts w:ascii="黑体" w:eastAsia="黑体" w:hAnsi="黑体" w:hint="eastAsia"/>
                <w:sz w:val="20"/>
                <w:szCs w:val="20"/>
              </w:rPr>
              <w:t>B0614=B0615+B0616。</w:t>
            </w:r>
          </w:p>
        </w:tc>
      </w:tr>
      <w:tr w:rsidR="00A052DC" w14:paraId="5E8BAD94" w14:textId="77777777">
        <w:trPr>
          <w:jc w:val="center"/>
        </w:trPr>
        <w:tc>
          <w:tcPr>
            <w:tcW w:w="1268" w:type="dxa"/>
          </w:tcPr>
          <w:p w14:paraId="361E2D35" w14:textId="77777777" w:rsidR="00A052DC" w:rsidRDefault="009F0A60">
            <w:pPr>
              <w:rPr>
                <w:rFonts w:ascii="黑体" w:eastAsia="黑体" w:hAnsi="黑体"/>
                <w:sz w:val="20"/>
                <w:szCs w:val="20"/>
              </w:rPr>
            </w:pPr>
            <w:r>
              <w:rPr>
                <w:rFonts w:ascii="黑体" w:eastAsia="黑体" w:hAnsi="黑体" w:hint="eastAsia"/>
                <w:sz w:val="20"/>
                <w:szCs w:val="20"/>
              </w:rPr>
              <w:t>B0615</w:t>
            </w:r>
          </w:p>
        </w:tc>
        <w:tc>
          <w:tcPr>
            <w:tcW w:w="1843" w:type="dxa"/>
          </w:tcPr>
          <w:p w14:paraId="3EB91170" w14:textId="77777777" w:rsidR="00A052DC" w:rsidRDefault="009F0A60">
            <w:pPr>
              <w:rPr>
                <w:rFonts w:ascii="黑体" w:eastAsia="黑体" w:hAnsi="黑体"/>
                <w:sz w:val="20"/>
                <w:szCs w:val="20"/>
              </w:rPr>
            </w:pPr>
            <w:r>
              <w:rPr>
                <w:rFonts w:ascii="黑体" w:eastAsia="黑体" w:hAnsi="黑体" w:hint="eastAsia"/>
                <w:sz w:val="20"/>
                <w:szCs w:val="20"/>
              </w:rPr>
              <w:t>注销、调整或重新分类至其他报表统计的金额</w:t>
            </w:r>
          </w:p>
        </w:tc>
        <w:tc>
          <w:tcPr>
            <w:tcW w:w="1418" w:type="dxa"/>
          </w:tcPr>
          <w:p w14:paraId="5CDEBE97"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4045" w:type="dxa"/>
          </w:tcPr>
          <w:p w14:paraId="68429CF1"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r w:rsidR="00A052DC" w14:paraId="58EB33DC" w14:textId="77777777">
        <w:trPr>
          <w:jc w:val="center"/>
        </w:trPr>
        <w:tc>
          <w:tcPr>
            <w:tcW w:w="1268" w:type="dxa"/>
          </w:tcPr>
          <w:p w14:paraId="2F8EF36A" w14:textId="77777777" w:rsidR="00A052DC" w:rsidRDefault="009F0A60">
            <w:pPr>
              <w:rPr>
                <w:rFonts w:ascii="黑体" w:eastAsia="黑体" w:hAnsi="黑体"/>
                <w:sz w:val="20"/>
                <w:szCs w:val="20"/>
              </w:rPr>
            </w:pPr>
            <w:r>
              <w:rPr>
                <w:rFonts w:ascii="黑体" w:eastAsia="黑体" w:hAnsi="黑体" w:hint="eastAsia"/>
                <w:sz w:val="20"/>
                <w:szCs w:val="20"/>
              </w:rPr>
              <w:t>B0616</w:t>
            </w:r>
          </w:p>
        </w:tc>
        <w:tc>
          <w:tcPr>
            <w:tcW w:w="1843" w:type="dxa"/>
          </w:tcPr>
          <w:p w14:paraId="1A1CEB86" w14:textId="77777777" w:rsidR="00A052DC" w:rsidRDefault="009F0A60">
            <w:pPr>
              <w:rPr>
                <w:rFonts w:ascii="黑体" w:eastAsia="黑体" w:hAnsi="黑体"/>
                <w:sz w:val="20"/>
                <w:szCs w:val="20"/>
              </w:rPr>
            </w:pPr>
            <w:r>
              <w:rPr>
                <w:rFonts w:ascii="黑体" w:eastAsia="黑体" w:hAnsi="黑体" w:hint="eastAsia"/>
                <w:sz w:val="20"/>
                <w:szCs w:val="20"/>
              </w:rPr>
              <w:t>价值重估因素</w:t>
            </w:r>
          </w:p>
        </w:tc>
        <w:tc>
          <w:tcPr>
            <w:tcW w:w="1418" w:type="dxa"/>
          </w:tcPr>
          <w:p w14:paraId="62842821"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4045" w:type="dxa"/>
          </w:tcPr>
          <w:p w14:paraId="03045987"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r w:rsidR="00A052DC" w14:paraId="772CB1EF" w14:textId="77777777">
        <w:trPr>
          <w:jc w:val="center"/>
        </w:trPr>
        <w:tc>
          <w:tcPr>
            <w:tcW w:w="1268" w:type="dxa"/>
          </w:tcPr>
          <w:p w14:paraId="52315205" w14:textId="77777777" w:rsidR="00A052DC" w:rsidRDefault="009F0A60">
            <w:pPr>
              <w:rPr>
                <w:rFonts w:ascii="黑体" w:eastAsia="黑体" w:hAnsi="黑体"/>
                <w:sz w:val="20"/>
                <w:szCs w:val="20"/>
              </w:rPr>
            </w:pPr>
            <w:r>
              <w:rPr>
                <w:rFonts w:ascii="黑体" w:eastAsia="黑体" w:hAnsi="黑体" w:hint="eastAsia"/>
                <w:sz w:val="20"/>
                <w:szCs w:val="20"/>
              </w:rPr>
              <w:t>B0617</w:t>
            </w:r>
          </w:p>
        </w:tc>
        <w:tc>
          <w:tcPr>
            <w:tcW w:w="1843" w:type="dxa"/>
          </w:tcPr>
          <w:p w14:paraId="49246527" w14:textId="77777777" w:rsidR="00A052DC" w:rsidRDefault="009F0A60">
            <w:pPr>
              <w:rPr>
                <w:rFonts w:ascii="黑体" w:eastAsia="黑体" w:hAnsi="黑体"/>
                <w:sz w:val="20"/>
                <w:szCs w:val="20"/>
              </w:rPr>
            </w:pPr>
            <w:r>
              <w:rPr>
                <w:rFonts w:ascii="黑体" w:eastAsia="黑体" w:hAnsi="黑体" w:hint="eastAsia"/>
                <w:sz w:val="20"/>
                <w:szCs w:val="20"/>
              </w:rPr>
              <w:t>本月末市值</w:t>
            </w:r>
          </w:p>
        </w:tc>
        <w:tc>
          <w:tcPr>
            <w:tcW w:w="1418" w:type="dxa"/>
          </w:tcPr>
          <w:p w14:paraId="1449731F"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4045" w:type="dxa"/>
          </w:tcPr>
          <w:p w14:paraId="60D21997"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r w:rsidR="00A052DC" w14:paraId="0351D9C7" w14:textId="77777777">
        <w:trPr>
          <w:jc w:val="center"/>
        </w:trPr>
        <w:tc>
          <w:tcPr>
            <w:tcW w:w="1268" w:type="dxa"/>
          </w:tcPr>
          <w:p w14:paraId="08B3163D" w14:textId="77777777" w:rsidR="00A052DC" w:rsidRDefault="009F0A60">
            <w:pPr>
              <w:rPr>
                <w:rFonts w:ascii="黑体" w:eastAsia="黑体" w:hAnsi="黑体"/>
                <w:sz w:val="20"/>
                <w:szCs w:val="20"/>
              </w:rPr>
            </w:pPr>
            <w:r>
              <w:rPr>
                <w:rFonts w:ascii="黑体" w:eastAsia="黑体" w:hAnsi="黑体" w:hint="eastAsia"/>
                <w:sz w:val="20"/>
                <w:szCs w:val="20"/>
              </w:rPr>
              <w:t>B0618</w:t>
            </w:r>
          </w:p>
        </w:tc>
        <w:tc>
          <w:tcPr>
            <w:tcW w:w="1843" w:type="dxa"/>
          </w:tcPr>
          <w:p w14:paraId="5968D1BD" w14:textId="77777777" w:rsidR="00A052DC" w:rsidRDefault="009F0A60">
            <w:pPr>
              <w:rPr>
                <w:rFonts w:ascii="黑体" w:eastAsia="黑体" w:hAnsi="黑体"/>
                <w:sz w:val="20"/>
                <w:szCs w:val="20"/>
              </w:rPr>
            </w:pPr>
            <w:r>
              <w:rPr>
                <w:rFonts w:ascii="黑体" w:eastAsia="黑体" w:hAnsi="黑体" w:hint="eastAsia"/>
                <w:sz w:val="20"/>
                <w:szCs w:val="20"/>
              </w:rPr>
              <w:t>本月末市值其中：剩余期限在一年及以下</w:t>
            </w:r>
          </w:p>
        </w:tc>
        <w:tc>
          <w:tcPr>
            <w:tcW w:w="1418" w:type="dxa"/>
          </w:tcPr>
          <w:p w14:paraId="2543269D"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4045" w:type="dxa"/>
          </w:tcPr>
          <w:p w14:paraId="1C2D1E8B" w14:textId="77777777" w:rsidR="00A052DC" w:rsidRDefault="009F0A60">
            <w:pPr>
              <w:rPr>
                <w:rFonts w:ascii="黑体" w:eastAsia="黑体" w:hAnsi="黑体"/>
                <w:sz w:val="20"/>
                <w:szCs w:val="20"/>
              </w:rPr>
            </w:pPr>
            <w:r>
              <w:rPr>
                <w:rFonts w:ascii="黑体" w:eastAsia="黑体" w:hAnsi="黑体" w:hint="eastAsia"/>
                <w:sz w:val="20"/>
                <w:szCs w:val="20"/>
              </w:rPr>
              <w:t>必填项。</w:t>
            </w:r>
          </w:p>
          <w:p w14:paraId="09F9753E" w14:textId="77777777" w:rsidR="00A052DC" w:rsidRDefault="009F0A60">
            <w:pPr>
              <w:rPr>
                <w:rFonts w:ascii="黑体" w:eastAsia="黑体" w:hAnsi="黑体"/>
                <w:sz w:val="20"/>
                <w:szCs w:val="20"/>
              </w:rPr>
            </w:pPr>
            <w:r>
              <w:rPr>
                <w:rFonts w:ascii="黑体" w:eastAsia="黑体" w:hAnsi="黑体" w:hint="eastAsia"/>
                <w:sz w:val="20"/>
                <w:szCs w:val="20"/>
              </w:rPr>
              <w:t>如果</w:t>
            </w:r>
            <w:r>
              <w:rPr>
                <w:rFonts w:ascii="黑体" w:eastAsia="黑体" w:hAnsi="黑体"/>
                <w:sz w:val="20"/>
                <w:szCs w:val="20"/>
              </w:rPr>
              <w:t>B0604=1</w:t>
            </w:r>
            <w:r>
              <w:rPr>
                <w:rFonts w:ascii="黑体" w:eastAsia="黑体" w:hAnsi="黑体" w:hint="eastAsia"/>
                <w:sz w:val="20"/>
                <w:szCs w:val="20"/>
              </w:rPr>
              <w:t>、</w:t>
            </w:r>
            <w:r>
              <w:rPr>
                <w:rFonts w:ascii="黑体" w:eastAsia="黑体" w:hAnsi="黑体"/>
                <w:sz w:val="20"/>
                <w:szCs w:val="20"/>
              </w:rPr>
              <w:t>2、4</w:t>
            </w:r>
            <w:r>
              <w:rPr>
                <w:rFonts w:ascii="黑体" w:eastAsia="黑体" w:hAnsi="黑体" w:hint="eastAsia"/>
                <w:sz w:val="20"/>
                <w:szCs w:val="20"/>
              </w:rPr>
              <w:t>、</w:t>
            </w:r>
            <w:r>
              <w:rPr>
                <w:rFonts w:ascii="黑体" w:eastAsia="黑体" w:hAnsi="黑体"/>
                <w:sz w:val="20"/>
                <w:szCs w:val="20"/>
              </w:rPr>
              <w:t>5</w:t>
            </w:r>
            <w:r>
              <w:rPr>
                <w:rFonts w:ascii="黑体" w:eastAsia="黑体" w:hAnsi="黑体" w:hint="eastAsia"/>
                <w:sz w:val="20"/>
                <w:szCs w:val="20"/>
              </w:rPr>
              <w:t>或7，本项为</w:t>
            </w:r>
            <w:r>
              <w:rPr>
                <w:rFonts w:ascii="黑体" w:eastAsia="黑体" w:hAnsi="黑体"/>
                <w:sz w:val="20"/>
                <w:szCs w:val="20"/>
              </w:rPr>
              <w:t>0。</w:t>
            </w:r>
          </w:p>
          <w:p w14:paraId="42138E96" w14:textId="77777777" w:rsidR="00A052DC" w:rsidRDefault="009F0A60">
            <w:pPr>
              <w:rPr>
                <w:rFonts w:ascii="黑体" w:eastAsia="黑体" w:hAnsi="黑体"/>
                <w:sz w:val="20"/>
                <w:szCs w:val="20"/>
              </w:rPr>
            </w:pPr>
            <w:r>
              <w:rPr>
                <w:rFonts w:ascii="黑体" w:eastAsia="黑体" w:hAnsi="黑体" w:hint="eastAsia"/>
                <w:sz w:val="20"/>
                <w:szCs w:val="20"/>
              </w:rPr>
              <w:t>如果</w:t>
            </w:r>
            <w:r>
              <w:rPr>
                <w:rFonts w:ascii="黑体" w:eastAsia="黑体" w:hAnsi="黑体"/>
                <w:sz w:val="20"/>
                <w:szCs w:val="20"/>
              </w:rPr>
              <w:t>B0604=3</w:t>
            </w:r>
            <w:r>
              <w:rPr>
                <w:rFonts w:ascii="黑体" w:eastAsia="黑体" w:hAnsi="黑体" w:hint="eastAsia"/>
                <w:sz w:val="20"/>
                <w:szCs w:val="20"/>
              </w:rPr>
              <w:t>或</w:t>
            </w:r>
            <w:r>
              <w:rPr>
                <w:rFonts w:ascii="黑体" w:eastAsia="黑体" w:hAnsi="黑体"/>
                <w:sz w:val="20"/>
                <w:szCs w:val="20"/>
              </w:rPr>
              <w:t>6</w:t>
            </w:r>
            <w:r>
              <w:rPr>
                <w:rFonts w:ascii="黑体" w:eastAsia="黑体" w:hAnsi="黑体" w:hint="eastAsia"/>
                <w:sz w:val="20"/>
                <w:szCs w:val="20"/>
              </w:rPr>
              <w:t>，且当</w:t>
            </w:r>
            <w:r>
              <w:rPr>
                <w:rFonts w:ascii="黑体" w:eastAsia="黑体" w:hAnsi="黑体"/>
                <w:sz w:val="20"/>
                <w:szCs w:val="20"/>
              </w:rPr>
              <w:t>B0609=1时，B0617=B0618；当B0609=2时，|B0617|</w:t>
            </w:r>
            <w:r>
              <w:rPr>
                <w:rFonts w:ascii="黑体" w:eastAsia="黑体" w:hAnsi="黑体" w:hint="eastAsia"/>
                <w:sz w:val="20"/>
                <w:szCs w:val="20"/>
              </w:rPr>
              <w:t>≥</w:t>
            </w:r>
            <w:r>
              <w:rPr>
                <w:rFonts w:ascii="黑体" w:eastAsia="黑体" w:hAnsi="黑体"/>
                <w:sz w:val="20"/>
                <w:szCs w:val="20"/>
              </w:rPr>
              <w:t>|B0618|</w:t>
            </w:r>
            <w:r>
              <w:rPr>
                <w:rFonts w:ascii="黑体" w:eastAsia="黑体" w:hAnsi="黑体" w:hint="eastAsia"/>
                <w:sz w:val="20"/>
                <w:szCs w:val="20"/>
              </w:rPr>
              <w:t>。</w:t>
            </w:r>
          </w:p>
        </w:tc>
      </w:tr>
      <w:tr w:rsidR="00A052DC" w14:paraId="1F7DF5B3" w14:textId="77777777">
        <w:trPr>
          <w:jc w:val="center"/>
        </w:trPr>
        <w:tc>
          <w:tcPr>
            <w:tcW w:w="1268" w:type="dxa"/>
          </w:tcPr>
          <w:p w14:paraId="761C4D21" w14:textId="77777777" w:rsidR="00A052DC" w:rsidRDefault="009F0A60">
            <w:pPr>
              <w:rPr>
                <w:rFonts w:ascii="黑体" w:eastAsia="黑体" w:hAnsi="黑体"/>
                <w:sz w:val="20"/>
                <w:szCs w:val="20"/>
              </w:rPr>
            </w:pPr>
            <w:r>
              <w:rPr>
                <w:rFonts w:ascii="黑体" w:eastAsia="黑体" w:hAnsi="黑体" w:hint="eastAsia"/>
                <w:sz w:val="20"/>
                <w:szCs w:val="20"/>
              </w:rPr>
              <w:t>B0619</w:t>
            </w:r>
          </w:p>
        </w:tc>
        <w:tc>
          <w:tcPr>
            <w:tcW w:w="1843" w:type="dxa"/>
          </w:tcPr>
          <w:p w14:paraId="36C7E0C7" w14:textId="77777777" w:rsidR="00A052DC" w:rsidRDefault="009F0A60">
            <w:pPr>
              <w:rPr>
                <w:rFonts w:ascii="黑体" w:eastAsia="黑体" w:hAnsi="黑体"/>
                <w:sz w:val="20"/>
                <w:szCs w:val="20"/>
              </w:rPr>
            </w:pPr>
            <w:r>
              <w:rPr>
                <w:rFonts w:ascii="黑体" w:eastAsia="黑体" w:hAnsi="黑体" w:hint="eastAsia"/>
                <w:sz w:val="20"/>
                <w:szCs w:val="20"/>
              </w:rPr>
              <w:t>本月非居民投资者红利或利息收入</w:t>
            </w:r>
          </w:p>
        </w:tc>
        <w:tc>
          <w:tcPr>
            <w:tcW w:w="1418" w:type="dxa"/>
          </w:tcPr>
          <w:p w14:paraId="2D071187"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4045" w:type="dxa"/>
          </w:tcPr>
          <w:p w14:paraId="03383CB7"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r w:rsidR="00A052DC" w14:paraId="4C2F7AE8" w14:textId="77777777">
        <w:trPr>
          <w:jc w:val="center"/>
        </w:trPr>
        <w:tc>
          <w:tcPr>
            <w:tcW w:w="1268" w:type="dxa"/>
          </w:tcPr>
          <w:p w14:paraId="3E4796DE" w14:textId="77777777" w:rsidR="00A052DC" w:rsidRDefault="009F0A60">
            <w:pPr>
              <w:rPr>
                <w:rFonts w:ascii="黑体" w:eastAsia="黑体" w:hAnsi="黑体"/>
                <w:sz w:val="20"/>
                <w:szCs w:val="20"/>
              </w:rPr>
            </w:pPr>
            <w:r>
              <w:rPr>
                <w:rFonts w:ascii="黑体" w:eastAsia="黑体" w:hAnsi="黑体"/>
                <w:sz w:val="20"/>
                <w:szCs w:val="20"/>
              </w:rPr>
              <w:t>B0620</w:t>
            </w:r>
          </w:p>
        </w:tc>
        <w:tc>
          <w:tcPr>
            <w:tcW w:w="1843" w:type="dxa"/>
          </w:tcPr>
          <w:p w14:paraId="5B738E06" w14:textId="77777777" w:rsidR="00A052DC" w:rsidRDefault="009F0A60">
            <w:pPr>
              <w:rPr>
                <w:rFonts w:ascii="黑体" w:eastAsia="黑体" w:hAnsi="黑体"/>
                <w:sz w:val="20"/>
                <w:szCs w:val="20"/>
              </w:rPr>
            </w:pPr>
            <w:r>
              <w:rPr>
                <w:rFonts w:ascii="黑体" w:eastAsia="黑体" w:hAnsi="黑体" w:hint="eastAsia"/>
                <w:sz w:val="20"/>
                <w:szCs w:val="20"/>
              </w:rPr>
              <w:t>本月末</w:t>
            </w:r>
            <w:r>
              <w:rPr>
                <w:rFonts w:ascii="黑体" w:eastAsia="黑体" w:hAnsi="黑体"/>
                <w:sz w:val="20"/>
                <w:szCs w:val="20"/>
              </w:rPr>
              <w:t>未到期/未偿付</w:t>
            </w:r>
            <w:r>
              <w:rPr>
                <w:rFonts w:ascii="黑体" w:eastAsia="黑体" w:hAnsi="黑体" w:hint="eastAsia"/>
                <w:sz w:val="20"/>
                <w:szCs w:val="20"/>
              </w:rPr>
              <w:t>债券面值</w:t>
            </w:r>
          </w:p>
        </w:tc>
        <w:tc>
          <w:tcPr>
            <w:tcW w:w="1418" w:type="dxa"/>
          </w:tcPr>
          <w:p w14:paraId="7B1C720A" w14:textId="77777777" w:rsidR="00A052DC" w:rsidRDefault="009F0A60">
            <w:pPr>
              <w:rPr>
                <w:rFonts w:ascii="黑体" w:eastAsia="黑体" w:hAnsi="黑体"/>
                <w:sz w:val="20"/>
                <w:szCs w:val="20"/>
              </w:rPr>
            </w:pPr>
            <w:r>
              <w:rPr>
                <w:rFonts w:ascii="黑体" w:eastAsia="黑体" w:hAnsi="黑体" w:hint="eastAsia"/>
                <w:sz w:val="20"/>
                <w:szCs w:val="20"/>
              </w:rPr>
              <w:t>数值型，</w:t>
            </w:r>
            <w:r>
              <w:rPr>
                <w:rFonts w:ascii="黑体" w:eastAsia="黑体" w:hAnsi="黑体"/>
                <w:sz w:val="20"/>
                <w:szCs w:val="20"/>
              </w:rPr>
              <w:t>22.2</w:t>
            </w:r>
          </w:p>
        </w:tc>
        <w:tc>
          <w:tcPr>
            <w:tcW w:w="4045" w:type="dxa"/>
          </w:tcPr>
          <w:p w14:paraId="0D4FDF20"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r w:rsidR="00A052DC" w14:paraId="2A35680F" w14:textId="77777777">
        <w:trPr>
          <w:jc w:val="center"/>
        </w:trPr>
        <w:tc>
          <w:tcPr>
            <w:tcW w:w="1268" w:type="dxa"/>
          </w:tcPr>
          <w:p w14:paraId="548AFD88" w14:textId="77777777" w:rsidR="00A052DC" w:rsidRDefault="009F0A60">
            <w:pPr>
              <w:rPr>
                <w:rFonts w:ascii="黑体" w:eastAsia="黑体" w:hAnsi="黑体"/>
                <w:sz w:val="20"/>
                <w:szCs w:val="20"/>
              </w:rPr>
            </w:pPr>
            <w:r>
              <w:rPr>
                <w:rFonts w:ascii="黑体" w:eastAsia="黑体" w:hAnsi="黑体" w:hint="eastAsia"/>
                <w:sz w:val="20"/>
                <w:szCs w:val="20"/>
              </w:rPr>
              <w:t>B0621</w:t>
            </w:r>
          </w:p>
        </w:tc>
        <w:tc>
          <w:tcPr>
            <w:tcW w:w="1843" w:type="dxa"/>
          </w:tcPr>
          <w:p w14:paraId="732D2FC8" w14:textId="77777777" w:rsidR="00A052DC" w:rsidRDefault="009F0A60">
            <w:pPr>
              <w:rPr>
                <w:rFonts w:ascii="黑体" w:eastAsia="黑体" w:hAnsi="黑体"/>
                <w:sz w:val="20"/>
                <w:szCs w:val="20"/>
              </w:rPr>
            </w:pPr>
            <w:r>
              <w:rPr>
                <w:rFonts w:ascii="黑体" w:eastAsia="黑体" w:hAnsi="黑体" w:hint="eastAsia"/>
                <w:sz w:val="20"/>
                <w:szCs w:val="20"/>
              </w:rPr>
              <w:t>备注</w:t>
            </w:r>
          </w:p>
        </w:tc>
        <w:tc>
          <w:tcPr>
            <w:tcW w:w="1418" w:type="dxa"/>
          </w:tcPr>
          <w:p w14:paraId="278F02A5" w14:textId="77777777" w:rsidR="00A052DC" w:rsidRDefault="009F0A60">
            <w:pPr>
              <w:rPr>
                <w:rFonts w:ascii="黑体" w:eastAsia="黑体" w:hAnsi="黑体"/>
                <w:sz w:val="20"/>
                <w:szCs w:val="20"/>
              </w:rPr>
            </w:pPr>
            <w:r>
              <w:rPr>
                <w:rFonts w:ascii="黑体" w:eastAsia="黑体" w:hAnsi="黑体" w:hint="eastAsia"/>
                <w:sz w:val="20"/>
                <w:szCs w:val="20"/>
              </w:rPr>
              <w:t>字符型，256</w:t>
            </w:r>
          </w:p>
        </w:tc>
        <w:tc>
          <w:tcPr>
            <w:tcW w:w="4045" w:type="dxa"/>
          </w:tcPr>
          <w:p w14:paraId="34653880" w14:textId="77777777" w:rsidR="00A052DC" w:rsidRDefault="009F0A60">
            <w:pPr>
              <w:rPr>
                <w:rFonts w:ascii="黑体" w:eastAsia="黑体" w:hAnsi="黑体"/>
                <w:sz w:val="20"/>
                <w:szCs w:val="20"/>
              </w:rPr>
            </w:pPr>
            <w:r>
              <w:rPr>
                <w:rFonts w:ascii="黑体" w:eastAsia="黑体" w:hAnsi="黑体" w:hint="eastAsia"/>
                <w:sz w:val="20"/>
                <w:szCs w:val="20"/>
              </w:rPr>
              <w:t>当B0611、B0617、B0619任一项为负数时，为必填项。</w:t>
            </w:r>
          </w:p>
        </w:tc>
      </w:tr>
    </w:tbl>
    <w:p w14:paraId="5DE5CDF5" w14:textId="77777777" w:rsidR="00A052DC" w:rsidRDefault="00A052DC"/>
    <w:p w14:paraId="541B06EB" w14:textId="77777777" w:rsidR="00A052DC" w:rsidRDefault="009F0A60" w:rsidP="0020251D">
      <w:pPr>
        <w:pStyle w:val="3"/>
        <w:ind w:left="0"/>
        <w:rPr>
          <w:rFonts w:ascii="Times New Roman" w:hAnsi="Times New Roman"/>
        </w:rPr>
      </w:pPr>
      <w:bookmarkStart w:id="3176" w:name="_Toc455156556"/>
      <w:bookmarkStart w:id="3177" w:name="_Toc454459086"/>
      <w:bookmarkStart w:id="3178" w:name="_Toc455167732"/>
      <w:bookmarkStart w:id="3179" w:name="_Toc454391288"/>
      <w:bookmarkStart w:id="3180" w:name="_Toc455164007"/>
      <w:bookmarkStart w:id="3181" w:name="_Toc455152828"/>
      <w:bookmarkStart w:id="3182" w:name="_Toc454780186"/>
      <w:bookmarkStart w:id="3183" w:name="_Toc454382391"/>
      <w:bookmarkStart w:id="3184" w:name="_Toc454464809"/>
      <w:bookmarkStart w:id="3185" w:name="_Toc454399310"/>
      <w:bookmarkStart w:id="3186" w:name="_Toc454391289"/>
      <w:bookmarkStart w:id="3187" w:name="_Toc380570947"/>
      <w:bookmarkStart w:id="3188" w:name="_Toc91455315"/>
      <w:bookmarkStart w:id="3189" w:name="_Toc380356288"/>
      <w:bookmarkStart w:id="3190" w:name="_Toc101684488"/>
      <w:bookmarkEnd w:id="3176"/>
      <w:bookmarkEnd w:id="3177"/>
      <w:bookmarkEnd w:id="3178"/>
      <w:bookmarkEnd w:id="3179"/>
      <w:bookmarkEnd w:id="3180"/>
      <w:bookmarkEnd w:id="3181"/>
      <w:bookmarkEnd w:id="3182"/>
      <w:bookmarkEnd w:id="3183"/>
      <w:bookmarkEnd w:id="3184"/>
      <w:bookmarkEnd w:id="3185"/>
      <w:r>
        <w:rPr>
          <w:rFonts w:ascii="Times New Roman" w:hAnsi="Times New Roman"/>
        </w:rPr>
        <w:t>C01</w:t>
      </w:r>
      <w:r>
        <w:rPr>
          <w:rFonts w:ascii="Times New Roman" w:hAnsi="Times New Roman" w:hint="eastAsia"/>
        </w:rPr>
        <w:t>表：金融衍生产品及雇员认股权</w:t>
      </w:r>
      <w:bookmarkEnd w:id="3186"/>
      <w:bookmarkEnd w:id="3187"/>
      <w:bookmarkEnd w:id="3188"/>
      <w:bookmarkEnd w:id="3189"/>
      <w:bookmarkEnd w:id="3190"/>
    </w:p>
    <w:p w14:paraId="2BE55A30" w14:textId="77777777" w:rsidR="00A052DC" w:rsidRDefault="009F0A60" w:rsidP="0020251D">
      <w:pPr>
        <w:pStyle w:val="4"/>
        <w:numPr>
          <w:ilvl w:val="3"/>
          <w:numId w:val="1"/>
        </w:numPr>
        <w:jc w:val="left"/>
      </w:pPr>
      <w:bookmarkStart w:id="3191" w:name="_Toc454391290"/>
      <w:bookmarkStart w:id="3192" w:name="_Toc380570948"/>
      <w:r>
        <w:rPr>
          <w:rFonts w:hint="eastAsia"/>
        </w:rPr>
        <w:t>数据术语解释</w:t>
      </w:r>
      <w:bookmarkEnd w:id="3191"/>
      <w:bookmarkEnd w:id="3192"/>
    </w:p>
    <w:p w14:paraId="18C19DBC" w14:textId="77777777" w:rsidR="00A052DC" w:rsidRDefault="00A052DC">
      <w:pPr>
        <w:spacing w:line="240" w:lineRule="exact"/>
        <w:rPr>
          <w:sz w:val="18"/>
        </w:rPr>
      </w:pPr>
    </w:p>
    <w:tbl>
      <w:tblPr>
        <w:tblW w:w="8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8"/>
        <w:gridCol w:w="6577"/>
      </w:tblGrid>
      <w:tr w:rsidR="00A052DC" w14:paraId="16DA80A0" w14:textId="77777777">
        <w:trPr>
          <w:cantSplit/>
          <w:jc w:val="center"/>
        </w:trPr>
        <w:tc>
          <w:tcPr>
            <w:tcW w:w="1958" w:type="dxa"/>
          </w:tcPr>
          <w:p w14:paraId="56CCF4E9" w14:textId="77777777" w:rsidR="00A052DC" w:rsidRDefault="009F0A60">
            <w:pPr>
              <w:pStyle w:val="B1"/>
            </w:pPr>
            <w:r>
              <w:rPr>
                <w:rFonts w:hint="eastAsia"/>
              </w:rPr>
              <w:t>基础数据项</w:t>
            </w:r>
          </w:p>
        </w:tc>
        <w:tc>
          <w:tcPr>
            <w:tcW w:w="6577" w:type="dxa"/>
          </w:tcPr>
          <w:p w14:paraId="0FDC70A7" w14:textId="77777777" w:rsidR="00A052DC" w:rsidRDefault="009F0A60">
            <w:pPr>
              <w:pStyle w:val="B1"/>
            </w:pPr>
            <w:r>
              <w:rPr>
                <w:rFonts w:hint="eastAsia"/>
              </w:rPr>
              <w:t>定义</w:t>
            </w:r>
          </w:p>
        </w:tc>
      </w:tr>
      <w:tr w:rsidR="00A052DC" w14:paraId="014B3328" w14:textId="77777777">
        <w:trPr>
          <w:cantSplit/>
          <w:jc w:val="center"/>
        </w:trPr>
        <w:tc>
          <w:tcPr>
            <w:tcW w:w="1958" w:type="dxa"/>
          </w:tcPr>
          <w:p w14:paraId="57853850" w14:textId="77777777" w:rsidR="00A052DC" w:rsidRDefault="009F0A60">
            <w:pPr>
              <w:pStyle w:val="B"/>
              <w:rPr>
                <w:szCs w:val="20"/>
              </w:rPr>
            </w:pPr>
            <w:r>
              <w:rPr>
                <w:rFonts w:hint="eastAsia"/>
                <w:szCs w:val="20"/>
              </w:rPr>
              <w:t>数据自编码</w:t>
            </w:r>
          </w:p>
        </w:tc>
        <w:tc>
          <w:tcPr>
            <w:tcW w:w="6577" w:type="dxa"/>
          </w:tcPr>
          <w:p w14:paraId="2CCE4C20" w14:textId="77777777" w:rsidR="00A052DC" w:rsidRDefault="009F0A60">
            <w:pPr>
              <w:pStyle w:val="B"/>
              <w:rPr>
                <w:szCs w:val="20"/>
              </w:rPr>
            </w:pPr>
            <w:r>
              <w:rPr>
                <w:rFonts w:hint="eastAsia"/>
                <w:szCs w:val="20"/>
              </w:rPr>
              <w:t>该编码用于标识金融机构报送的每一条数据，按给定规则编码，便于进行增删改查等操作。建议规则：机构代码（18位，不足18位补</w:t>
            </w:r>
            <w:r>
              <w:rPr>
                <w:szCs w:val="20"/>
              </w:rPr>
              <w:t>a</w:t>
            </w:r>
            <w:r>
              <w:rPr>
                <w:rFonts w:hint="eastAsia"/>
                <w:szCs w:val="20"/>
              </w:rPr>
              <w:t>）</w:t>
            </w:r>
            <w:r>
              <w:rPr>
                <w:szCs w:val="20"/>
              </w:rPr>
              <w:t>+</w:t>
            </w:r>
            <w:r>
              <w:rPr>
                <w:rFonts w:hint="eastAsia"/>
                <w:szCs w:val="20"/>
              </w:rPr>
              <w:t>报表代码（</w:t>
            </w:r>
            <w:r>
              <w:rPr>
                <w:szCs w:val="20"/>
              </w:rPr>
              <w:t>5</w:t>
            </w:r>
            <w:r>
              <w:rPr>
                <w:rFonts w:hint="eastAsia"/>
                <w:szCs w:val="20"/>
              </w:rPr>
              <w:t>位，不足</w:t>
            </w:r>
            <w:r>
              <w:rPr>
                <w:szCs w:val="20"/>
              </w:rPr>
              <w:t>5</w:t>
            </w:r>
            <w:r>
              <w:rPr>
                <w:rFonts w:hint="eastAsia"/>
                <w:szCs w:val="20"/>
              </w:rPr>
              <w:t>位补</w:t>
            </w:r>
            <w:r>
              <w:rPr>
                <w:szCs w:val="20"/>
              </w:rPr>
              <w:t>a</w:t>
            </w:r>
            <w:r>
              <w:rPr>
                <w:rFonts w:hint="eastAsia"/>
                <w:szCs w:val="20"/>
              </w:rPr>
              <w:t>）</w:t>
            </w:r>
            <w:r>
              <w:rPr>
                <w:szCs w:val="20"/>
              </w:rPr>
              <w:t>+</w:t>
            </w:r>
            <w:r>
              <w:rPr>
                <w:rFonts w:hint="eastAsia"/>
                <w:szCs w:val="20"/>
              </w:rPr>
              <w:t>报送期（</w:t>
            </w:r>
            <w:r>
              <w:rPr>
                <w:szCs w:val="20"/>
              </w:rPr>
              <w:t>6</w:t>
            </w:r>
            <w:r>
              <w:rPr>
                <w:rFonts w:hint="eastAsia"/>
                <w:szCs w:val="20"/>
              </w:rPr>
              <w:t>位）</w:t>
            </w:r>
            <w:r>
              <w:rPr>
                <w:szCs w:val="20"/>
              </w:rPr>
              <w:t>+</w:t>
            </w:r>
            <w:r>
              <w:rPr>
                <w:rFonts w:hint="eastAsia"/>
                <w:szCs w:val="20"/>
              </w:rPr>
              <w:t>顺序号（</w:t>
            </w:r>
            <w:r>
              <w:rPr>
                <w:szCs w:val="20"/>
              </w:rPr>
              <w:t>7</w:t>
            </w:r>
            <w:r>
              <w:rPr>
                <w:rFonts w:hint="eastAsia"/>
                <w:szCs w:val="20"/>
              </w:rPr>
              <w:t>位，从</w:t>
            </w:r>
            <w:r>
              <w:rPr>
                <w:szCs w:val="20"/>
              </w:rPr>
              <w:t>0000001</w:t>
            </w:r>
            <w:r>
              <w:rPr>
                <w:rFonts w:hint="eastAsia"/>
                <w:szCs w:val="20"/>
              </w:rPr>
              <w:t>开始增加）。</w:t>
            </w:r>
          </w:p>
        </w:tc>
      </w:tr>
      <w:tr w:rsidR="00A052DC" w14:paraId="3AEFAFA9" w14:textId="77777777">
        <w:trPr>
          <w:cantSplit/>
          <w:jc w:val="center"/>
        </w:trPr>
        <w:tc>
          <w:tcPr>
            <w:tcW w:w="1958" w:type="dxa"/>
          </w:tcPr>
          <w:p w14:paraId="3CF63C9B" w14:textId="77777777" w:rsidR="00A052DC" w:rsidRDefault="009F0A60">
            <w:pPr>
              <w:pStyle w:val="B"/>
              <w:rPr>
                <w:szCs w:val="20"/>
              </w:rPr>
            </w:pPr>
            <w:r>
              <w:rPr>
                <w:rFonts w:hint="eastAsia"/>
                <w:szCs w:val="20"/>
              </w:rPr>
              <w:t>申报主体代码</w:t>
            </w:r>
          </w:p>
        </w:tc>
        <w:tc>
          <w:tcPr>
            <w:tcW w:w="6577" w:type="dxa"/>
          </w:tcPr>
          <w:p w14:paraId="4D7FCD31" w14:textId="77777777" w:rsidR="00A052DC" w:rsidRDefault="009F0A60">
            <w:pPr>
              <w:pStyle w:val="B"/>
              <w:rPr>
                <w:szCs w:val="20"/>
              </w:rPr>
            </w:pPr>
            <w:r>
              <w:rPr>
                <w:rFonts w:hint="eastAsia"/>
                <w:szCs w:val="20"/>
              </w:rPr>
              <w:t>申报主体的12位金融机构标识码，如果没有金融机构标识码，则填报统一社会信用代码法定载体（如营业执照）上统一社会信用代码中的第9至17位或国家外汇管理局及其分支局签发的特殊机构代码赋码通知书上的机构代码、个人身份代码。</w:t>
            </w:r>
          </w:p>
        </w:tc>
      </w:tr>
      <w:tr w:rsidR="00A052DC" w14:paraId="6C50AE63" w14:textId="77777777">
        <w:trPr>
          <w:cantSplit/>
          <w:jc w:val="center"/>
        </w:trPr>
        <w:tc>
          <w:tcPr>
            <w:tcW w:w="1958" w:type="dxa"/>
          </w:tcPr>
          <w:p w14:paraId="1832BE96" w14:textId="77777777" w:rsidR="00A052DC" w:rsidRDefault="009F0A60">
            <w:pPr>
              <w:pStyle w:val="B"/>
              <w:rPr>
                <w:szCs w:val="20"/>
              </w:rPr>
            </w:pPr>
            <w:r>
              <w:rPr>
                <w:rFonts w:hint="eastAsia"/>
                <w:szCs w:val="20"/>
              </w:rPr>
              <w:t>报告期</w:t>
            </w:r>
          </w:p>
        </w:tc>
        <w:tc>
          <w:tcPr>
            <w:tcW w:w="6577" w:type="dxa"/>
          </w:tcPr>
          <w:p w14:paraId="6DC65250" w14:textId="77777777" w:rsidR="00A052DC" w:rsidRDefault="009F0A60">
            <w:pPr>
              <w:pStyle w:val="B"/>
              <w:rPr>
                <w:szCs w:val="20"/>
              </w:rPr>
            </w:pPr>
            <w:r>
              <w:rPr>
                <w:rFonts w:hint="eastAsia"/>
                <w:szCs w:val="20"/>
              </w:rPr>
              <w:t>业务发生月份，格式为</w:t>
            </w:r>
            <w:r>
              <w:rPr>
                <w:szCs w:val="20"/>
              </w:rPr>
              <w:t>YYYYMM</w:t>
            </w:r>
            <w:r>
              <w:rPr>
                <w:rFonts w:hint="eastAsia"/>
                <w:szCs w:val="20"/>
              </w:rPr>
              <w:t>。</w:t>
            </w:r>
          </w:p>
        </w:tc>
      </w:tr>
      <w:tr w:rsidR="00A052DC" w14:paraId="23CB8673" w14:textId="77777777">
        <w:trPr>
          <w:cantSplit/>
          <w:jc w:val="center"/>
        </w:trPr>
        <w:tc>
          <w:tcPr>
            <w:tcW w:w="1958" w:type="dxa"/>
          </w:tcPr>
          <w:p w14:paraId="6E3EF862" w14:textId="77777777" w:rsidR="00A052DC" w:rsidRDefault="009F0A60">
            <w:pPr>
              <w:pStyle w:val="B"/>
              <w:rPr>
                <w:szCs w:val="20"/>
              </w:rPr>
            </w:pPr>
            <w:r>
              <w:rPr>
                <w:rFonts w:hint="eastAsia"/>
                <w:szCs w:val="20"/>
              </w:rPr>
              <w:t>申报主体身份</w:t>
            </w:r>
          </w:p>
        </w:tc>
        <w:tc>
          <w:tcPr>
            <w:tcW w:w="6577" w:type="dxa"/>
          </w:tcPr>
          <w:p w14:paraId="00CBC184" w14:textId="77777777" w:rsidR="00A052DC" w:rsidRDefault="009F0A60">
            <w:pPr>
              <w:pStyle w:val="B"/>
              <w:rPr>
                <w:szCs w:val="20"/>
              </w:rPr>
            </w:pPr>
            <w:r>
              <w:rPr>
                <w:rFonts w:hint="eastAsia"/>
                <w:szCs w:val="20"/>
              </w:rPr>
              <w:t>请按以下三种情况填列：</w:t>
            </w:r>
            <w:r>
              <w:rPr>
                <w:szCs w:val="20"/>
              </w:rPr>
              <w:t>1-</w:t>
            </w:r>
            <w:r>
              <w:rPr>
                <w:rFonts w:hint="eastAsia"/>
                <w:szCs w:val="20"/>
              </w:rPr>
              <w:t>以自身名义投资（无境内托管人、代理人或管理人）；</w:t>
            </w:r>
            <w:r>
              <w:rPr>
                <w:szCs w:val="20"/>
              </w:rPr>
              <w:t>2-</w:t>
            </w:r>
            <w:r>
              <w:rPr>
                <w:rFonts w:hint="eastAsia"/>
                <w:szCs w:val="20"/>
              </w:rPr>
              <w:t>是代理人或管理人，以客户或产品名义投资；</w:t>
            </w:r>
            <w:r>
              <w:rPr>
                <w:szCs w:val="20"/>
              </w:rPr>
              <w:t>3-</w:t>
            </w:r>
            <w:r>
              <w:rPr>
                <w:rFonts w:hint="eastAsia"/>
                <w:szCs w:val="20"/>
              </w:rPr>
              <w:t>是境内结算机构或交易所，从居民投资者角度填报。</w:t>
            </w:r>
          </w:p>
        </w:tc>
      </w:tr>
      <w:tr w:rsidR="00A052DC" w14:paraId="4D153145" w14:textId="77777777">
        <w:trPr>
          <w:cantSplit/>
          <w:jc w:val="center"/>
        </w:trPr>
        <w:tc>
          <w:tcPr>
            <w:tcW w:w="1958" w:type="dxa"/>
          </w:tcPr>
          <w:p w14:paraId="51F1A4AC" w14:textId="77777777" w:rsidR="00A052DC" w:rsidRDefault="009F0A60">
            <w:pPr>
              <w:pStyle w:val="B"/>
              <w:rPr>
                <w:szCs w:val="20"/>
              </w:rPr>
            </w:pPr>
            <w:r>
              <w:rPr>
                <w:rFonts w:hint="eastAsia"/>
                <w:szCs w:val="20"/>
              </w:rPr>
              <w:t>居民被代理人</w:t>
            </w:r>
            <w:r>
              <w:rPr>
                <w:szCs w:val="20"/>
              </w:rPr>
              <w:t>/</w:t>
            </w:r>
            <w:r>
              <w:rPr>
                <w:rFonts w:hint="eastAsia"/>
                <w:szCs w:val="20"/>
              </w:rPr>
              <w:t>委托人所属国家</w:t>
            </w:r>
            <w:r>
              <w:rPr>
                <w:szCs w:val="20"/>
              </w:rPr>
              <w:t>/</w:t>
            </w:r>
            <w:r>
              <w:rPr>
                <w:rFonts w:hint="eastAsia"/>
                <w:szCs w:val="20"/>
              </w:rPr>
              <w:t>地区</w:t>
            </w:r>
          </w:p>
        </w:tc>
        <w:tc>
          <w:tcPr>
            <w:tcW w:w="6577" w:type="dxa"/>
          </w:tcPr>
          <w:p w14:paraId="3E4736FC" w14:textId="77777777" w:rsidR="00A052DC" w:rsidRDefault="009F0A60">
            <w:pPr>
              <w:pStyle w:val="B"/>
              <w:rPr>
                <w:szCs w:val="20"/>
              </w:rPr>
            </w:pPr>
            <w:r>
              <w:rPr>
                <w:rFonts w:hint="eastAsia"/>
                <w:szCs w:val="20"/>
              </w:rPr>
              <w:t>见国家和地区代码表。应是中国居民，所属国家</w:t>
            </w:r>
            <w:r>
              <w:rPr>
                <w:szCs w:val="20"/>
              </w:rPr>
              <w:t>/</w:t>
            </w:r>
            <w:r>
              <w:rPr>
                <w:rFonts w:hint="eastAsia"/>
                <w:szCs w:val="20"/>
              </w:rPr>
              <w:t>地区为中国</w:t>
            </w:r>
            <w:r>
              <w:rPr>
                <w:rFonts w:hint="eastAsia"/>
              </w:rPr>
              <w:t>（</w:t>
            </w:r>
            <w:r>
              <w:rPr>
                <w:rFonts w:ascii="宋体" w:hAnsi="宋体" w:hint="eastAsia"/>
                <w:color w:val="000000"/>
              </w:rPr>
              <w:t>不含中国香港、中国澳门和中国台湾</w:t>
            </w:r>
            <w:r>
              <w:rPr>
                <w:rFonts w:hint="eastAsia"/>
              </w:rPr>
              <w:t>）</w:t>
            </w:r>
            <w:r>
              <w:rPr>
                <w:rFonts w:hint="eastAsia"/>
                <w:szCs w:val="20"/>
              </w:rPr>
              <w:t>。</w:t>
            </w:r>
          </w:p>
        </w:tc>
      </w:tr>
      <w:tr w:rsidR="00A052DC" w14:paraId="47577129" w14:textId="77777777">
        <w:trPr>
          <w:cantSplit/>
          <w:jc w:val="center"/>
        </w:trPr>
        <w:tc>
          <w:tcPr>
            <w:tcW w:w="1958" w:type="dxa"/>
          </w:tcPr>
          <w:p w14:paraId="41100819" w14:textId="77777777" w:rsidR="00A052DC" w:rsidRDefault="009F0A60">
            <w:pPr>
              <w:pStyle w:val="B"/>
              <w:rPr>
                <w:szCs w:val="20"/>
              </w:rPr>
            </w:pPr>
            <w:r>
              <w:rPr>
                <w:rFonts w:hint="eastAsia"/>
                <w:szCs w:val="20"/>
              </w:rPr>
              <w:t>居民被代理人</w:t>
            </w:r>
            <w:r>
              <w:rPr>
                <w:szCs w:val="20"/>
              </w:rPr>
              <w:t>/</w:t>
            </w:r>
            <w:r>
              <w:rPr>
                <w:rFonts w:hint="eastAsia"/>
                <w:szCs w:val="20"/>
              </w:rPr>
              <w:t>委托人所属部门</w:t>
            </w:r>
          </w:p>
        </w:tc>
        <w:tc>
          <w:tcPr>
            <w:tcW w:w="6577" w:type="dxa"/>
          </w:tcPr>
          <w:p w14:paraId="1F136D5E" w14:textId="77777777" w:rsidR="00A052DC" w:rsidRDefault="009F0A60">
            <w:pPr>
              <w:pStyle w:val="B"/>
              <w:rPr>
                <w:szCs w:val="20"/>
              </w:rPr>
            </w:pPr>
            <w:r>
              <w:rPr>
                <w:rFonts w:hint="eastAsia"/>
                <w:szCs w:val="20"/>
              </w:rPr>
              <w:t>指本机构所代理的客户所属部门，见投资者（被投资者）部门代码表。请按该客户的主营业务归类。</w:t>
            </w:r>
          </w:p>
        </w:tc>
      </w:tr>
      <w:tr w:rsidR="00A052DC" w14:paraId="49A3F010" w14:textId="77777777">
        <w:trPr>
          <w:cantSplit/>
          <w:jc w:val="center"/>
        </w:trPr>
        <w:tc>
          <w:tcPr>
            <w:tcW w:w="1958" w:type="dxa"/>
          </w:tcPr>
          <w:p w14:paraId="009D0CB6" w14:textId="77777777" w:rsidR="00A052DC" w:rsidRDefault="009F0A60">
            <w:pPr>
              <w:pStyle w:val="B"/>
              <w:rPr>
                <w:szCs w:val="20"/>
              </w:rPr>
            </w:pPr>
            <w:r>
              <w:rPr>
                <w:rFonts w:hint="eastAsia"/>
                <w:szCs w:val="20"/>
              </w:rPr>
              <w:t>合约类别</w:t>
            </w:r>
          </w:p>
        </w:tc>
        <w:tc>
          <w:tcPr>
            <w:tcW w:w="6577" w:type="dxa"/>
          </w:tcPr>
          <w:p w14:paraId="23FD5B4A" w14:textId="77777777" w:rsidR="00A052DC" w:rsidRDefault="009F0A60">
            <w:pPr>
              <w:pStyle w:val="B"/>
              <w:rPr>
                <w:szCs w:val="20"/>
              </w:rPr>
            </w:pPr>
            <w:r>
              <w:rPr>
                <w:rFonts w:hint="eastAsia"/>
                <w:szCs w:val="20"/>
              </w:rPr>
              <w:t>见金融衍生产品的合约类别代码表。对于结构复杂的产品，应根据其核心特征进行归类。</w:t>
            </w:r>
          </w:p>
        </w:tc>
      </w:tr>
      <w:tr w:rsidR="00A052DC" w14:paraId="6ED0FBAE" w14:textId="77777777">
        <w:trPr>
          <w:cantSplit/>
          <w:jc w:val="center"/>
        </w:trPr>
        <w:tc>
          <w:tcPr>
            <w:tcW w:w="1958" w:type="dxa"/>
          </w:tcPr>
          <w:p w14:paraId="313D7469" w14:textId="77777777" w:rsidR="00A052DC" w:rsidRDefault="009F0A60">
            <w:pPr>
              <w:pStyle w:val="B"/>
              <w:rPr>
                <w:szCs w:val="20"/>
              </w:rPr>
            </w:pPr>
            <w:r>
              <w:rPr>
                <w:rFonts w:hint="eastAsia"/>
                <w:szCs w:val="20"/>
              </w:rPr>
              <w:t>金融风险类别</w:t>
            </w:r>
          </w:p>
        </w:tc>
        <w:tc>
          <w:tcPr>
            <w:tcW w:w="6577" w:type="dxa"/>
          </w:tcPr>
          <w:p w14:paraId="1DA7B32B" w14:textId="77777777" w:rsidR="00A052DC" w:rsidRDefault="009F0A60">
            <w:pPr>
              <w:pStyle w:val="B"/>
              <w:rPr>
                <w:szCs w:val="20"/>
              </w:rPr>
            </w:pPr>
            <w:r>
              <w:rPr>
                <w:rFonts w:hint="eastAsia"/>
                <w:szCs w:val="20"/>
              </w:rPr>
              <w:t>金融衍生产品按金融风险主要挂钩指标进行分类，见金融衍生产品的风险类别代码表。如，权证的金融风险类别为股权类产品，商品期货的金融风险类别为商品类产品。</w:t>
            </w:r>
          </w:p>
          <w:p w14:paraId="459135FD" w14:textId="77777777" w:rsidR="00A052DC" w:rsidRDefault="009F0A60">
            <w:pPr>
              <w:pStyle w:val="B"/>
              <w:rPr>
                <w:szCs w:val="20"/>
              </w:rPr>
            </w:pPr>
            <w:r>
              <w:rPr>
                <w:rFonts w:hint="eastAsia"/>
                <w:szCs w:val="20"/>
              </w:rPr>
              <w:t>对于具有一个以上风险类别的产品，如果产品为敞口风险的简单组合，应按照各风险细项分别记录；如果难以分离风险细项，则按照最重要原则在单一风险细目项记录，无法辨别重要性的，则按照商品、股权、外汇、单一货币利率和信用的序列记录。</w:t>
            </w:r>
          </w:p>
        </w:tc>
      </w:tr>
      <w:tr w:rsidR="00A052DC" w14:paraId="27294AB0" w14:textId="77777777">
        <w:trPr>
          <w:cantSplit/>
          <w:jc w:val="center"/>
        </w:trPr>
        <w:tc>
          <w:tcPr>
            <w:tcW w:w="1958" w:type="dxa"/>
          </w:tcPr>
          <w:p w14:paraId="62543B12" w14:textId="77777777" w:rsidR="00A052DC" w:rsidRDefault="009F0A60">
            <w:pPr>
              <w:pStyle w:val="B"/>
              <w:rPr>
                <w:szCs w:val="20"/>
              </w:rPr>
            </w:pPr>
            <w:r>
              <w:rPr>
                <w:rFonts w:hint="eastAsia"/>
                <w:szCs w:val="20"/>
              </w:rPr>
              <w:t>非居民交易对手所属国家</w:t>
            </w:r>
            <w:r>
              <w:rPr>
                <w:szCs w:val="20"/>
              </w:rPr>
              <w:t>/</w:t>
            </w:r>
            <w:r>
              <w:rPr>
                <w:rFonts w:hint="eastAsia"/>
                <w:szCs w:val="20"/>
              </w:rPr>
              <w:t>地区</w:t>
            </w:r>
          </w:p>
        </w:tc>
        <w:tc>
          <w:tcPr>
            <w:tcW w:w="6577" w:type="dxa"/>
          </w:tcPr>
          <w:p w14:paraId="546AFAED" w14:textId="77777777" w:rsidR="00A052DC" w:rsidRDefault="009F0A60">
            <w:pPr>
              <w:pStyle w:val="B"/>
              <w:rPr>
                <w:szCs w:val="20"/>
              </w:rPr>
            </w:pPr>
            <w:r>
              <w:rPr>
                <w:rFonts w:hint="eastAsia"/>
                <w:szCs w:val="20"/>
              </w:rPr>
              <w:t>参见国家和地区代码表，指对应金融衍生产品交易的非居民交易主体注册地所属国家（或地区）。如果交易主体是境外准公司（如分支机构等）的，应填写该分支机构所在的国家或地区，而非其总部所在的国家或地区。</w:t>
            </w:r>
          </w:p>
        </w:tc>
      </w:tr>
      <w:tr w:rsidR="00A052DC" w14:paraId="23AA83D4" w14:textId="77777777">
        <w:trPr>
          <w:cantSplit/>
          <w:jc w:val="center"/>
        </w:trPr>
        <w:tc>
          <w:tcPr>
            <w:tcW w:w="1958" w:type="dxa"/>
          </w:tcPr>
          <w:p w14:paraId="76230DB0" w14:textId="77777777" w:rsidR="00A052DC" w:rsidRDefault="009F0A60">
            <w:pPr>
              <w:pStyle w:val="B"/>
              <w:rPr>
                <w:szCs w:val="20"/>
              </w:rPr>
            </w:pPr>
            <w:r>
              <w:rPr>
                <w:rFonts w:hint="eastAsia"/>
                <w:szCs w:val="20"/>
              </w:rPr>
              <w:t>非居民交易对手所属部门</w:t>
            </w:r>
          </w:p>
        </w:tc>
        <w:tc>
          <w:tcPr>
            <w:tcW w:w="6577" w:type="dxa"/>
          </w:tcPr>
          <w:p w14:paraId="39D10B47" w14:textId="77777777" w:rsidR="00A052DC" w:rsidRDefault="009F0A60">
            <w:pPr>
              <w:pStyle w:val="B"/>
              <w:rPr>
                <w:szCs w:val="20"/>
              </w:rPr>
            </w:pPr>
            <w:r>
              <w:rPr>
                <w:rFonts w:hint="eastAsia"/>
                <w:szCs w:val="20"/>
              </w:rPr>
              <w:t>见投资者（被投资者）部门代码表。请按非居民交易对手的主营业务归类。</w:t>
            </w:r>
          </w:p>
        </w:tc>
      </w:tr>
      <w:tr w:rsidR="00A052DC" w14:paraId="48044E3B" w14:textId="77777777">
        <w:trPr>
          <w:cantSplit/>
          <w:jc w:val="center"/>
        </w:trPr>
        <w:tc>
          <w:tcPr>
            <w:tcW w:w="1958" w:type="dxa"/>
          </w:tcPr>
          <w:p w14:paraId="5F90181B" w14:textId="77777777" w:rsidR="00A052DC" w:rsidRDefault="009F0A60">
            <w:pPr>
              <w:pStyle w:val="B"/>
              <w:rPr>
                <w:szCs w:val="20"/>
              </w:rPr>
            </w:pPr>
            <w:r>
              <w:rPr>
                <w:rFonts w:hint="eastAsia"/>
                <w:szCs w:val="20"/>
              </w:rPr>
              <w:t>非居民交易对手与本机构</w:t>
            </w:r>
            <w:r>
              <w:rPr>
                <w:szCs w:val="20"/>
              </w:rPr>
              <w:t>/</w:t>
            </w:r>
            <w:r>
              <w:rPr>
                <w:rFonts w:hint="eastAsia"/>
                <w:szCs w:val="20"/>
              </w:rPr>
              <w:t>居民机构的关系</w:t>
            </w:r>
          </w:p>
        </w:tc>
        <w:tc>
          <w:tcPr>
            <w:tcW w:w="6577" w:type="dxa"/>
          </w:tcPr>
          <w:p w14:paraId="35F9B793" w14:textId="77777777" w:rsidR="00A052DC" w:rsidRDefault="009F0A60">
            <w:pPr>
              <w:pStyle w:val="B"/>
              <w:rPr>
                <w:szCs w:val="20"/>
              </w:rPr>
            </w:pPr>
            <w:r>
              <w:rPr>
                <w:rFonts w:hint="eastAsia"/>
                <w:szCs w:val="20"/>
              </w:rPr>
              <w:t>见对方与本机构</w:t>
            </w:r>
            <w:r>
              <w:rPr>
                <w:szCs w:val="20"/>
              </w:rPr>
              <w:t>/</w:t>
            </w:r>
            <w:r>
              <w:rPr>
                <w:rFonts w:hint="eastAsia"/>
                <w:szCs w:val="20"/>
              </w:rPr>
              <w:t>被代理居民机构</w:t>
            </w:r>
            <w:r>
              <w:rPr>
                <w:szCs w:val="20"/>
              </w:rPr>
              <w:t>/</w:t>
            </w:r>
            <w:r>
              <w:rPr>
                <w:rFonts w:hint="eastAsia"/>
                <w:szCs w:val="20"/>
              </w:rPr>
              <w:t>委托人的关系代码表。请按以下四种情况填列：</w:t>
            </w:r>
            <w:r>
              <w:rPr>
                <w:szCs w:val="20"/>
              </w:rPr>
              <w:t>1-</w:t>
            </w:r>
            <w:r>
              <w:rPr>
                <w:rFonts w:hint="eastAsia"/>
                <w:szCs w:val="20"/>
              </w:rPr>
              <w:t>交易对手方是本机构</w:t>
            </w:r>
            <w:r>
              <w:rPr>
                <w:szCs w:val="20"/>
              </w:rPr>
              <w:t>/</w:t>
            </w:r>
            <w:r>
              <w:rPr>
                <w:rFonts w:hint="eastAsia"/>
                <w:szCs w:val="20"/>
              </w:rPr>
              <w:t>被代理居民机构的境外直接投资者，即持有本机构</w:t>
            </w:r>
            <w:r>
              <w:rPr>
                <w:szCs w:val="20"/>
              </w:rPr>
              <w:t>/</w:t>
            </w:r>
            <w:r>
              <w:rPr>
                <w:rFonts w:hint="eastAsia"/>
                <w:szCs w:val="20"/>
              </w:rPr>
              <w:t>居民机构表决权≥</w:t>
            </w:r>
            <w:r>
              <w:rPr>
                <w:szCs w:val="20"/>
              </w:rPr>
              <w:t>10%</w:t>
            </w:r>
            <w:r>
              <w:rPr>
                <w:rFonts w:hint="eastAsia"/>
                <w:szCs w:val="20"/>
              </w:rPr>
              <w:t>；</w:t>
            </w:r>
            <w:r>
              <w:rPr>
                <w:szCs w:val="20"/>
              </w:rPr>
              <w:t>2-</w:t>
            </w:r>
            <w:r>
              <w:rPr>
                <w:rFonts w:hint="eastAsia"/>
                <w:szCs w:val="20"/>
              </w:rPr>
              <w:t>交易对手方是本机构</w:t>
            </w:r>
            <w:r>
              <w:rPr>
                <w:szCs w:val="20"/>
              </w:rPr>
              <w:t>/</w:t>
            </w:r>
            <w:r>
              <w:rPr>
                <w:rFonts w:hint="eastAsia"/>
                <w:szCs w:val="20"/>
              </w:rPr>
              <w:t>被代理居民机构的境外直接投资企业，即本机构</w:t>
            </w:r>
            <w:r>
              <w:rPr>
                <w:szCs w:val="20"/>
              </w:rPr>
              <w:t>/</w:t>
            </w:r>
            <w:r>
              <w:rPr>
                <w:rFonts w:hint="eastAsia"/>
                <w:szCs w:val="20"/>
              </w:rPr>
              <w:t>被代理居民机构持有表决权在</w:t>
            </w:r>
            <w:r>
              <w:rPr>
                <w:szCs w:val="20"/>
              </w:rPr>
              <w:t>10%</w:t>
            </w:r>
            <w:r>
              <w:rPr>
                <w:rFonts w:hint="eastAsia"/>
                <w:szCs w:val="20"/>
              </w:rPr>
              <w:t>及以上的境外分支机构、子机构、联营机构或合营机构；</w:t>
            </w:r>
            <w:r>
              <w:rPr>
                <w:szCs w:val="20"/>
              </w:rPr>
              <w:t>3-</w:t>
            </w:r>
            <w:r>
              <w:rPr>
                <w:rFonts w:hint="eastAsia"/>
                <w:szCs w:val="20"/>
              </w:rPr>
              <w:t>交易对手方是本机构</w:t>
            </w:r>
            <w:r>
              <w:rPr>
                <w:szCs w:val="20"/>
              </w:rPr>
              <w:t>/</w:t>
            </w:r>
            <w:r>
              <w:rPr>
                <w:rFonts w:hint="eastAsia"/>
                <w:szCs w:val="20"/>
              </w:rPr>
              <w:t>被代理居民机构的境外联属机构，即两机构有共同母公司，且相互持有表决权＜</w:t>
            </w:r>
            <w:r>
              <w:rPr>
                <w:szCs w:val="20"/>
              </w:rPr>
              <w:t>10%</w:t>
            </w:r>
            <w:r>
              <w:rPr>
                <w:rFonts w:hint="eastAsia"/>
                <w:szCs w:val="20"/>
              </w:rPr>
              <w:t>或相互不持有表决权；</w:t>
            </w:r>
            <w:r>
              <w:rPr>
                <w:szCs w:val="20"/>
              </w:rPr>
              <w:t>4-</w:t>
            </w:r>
            <w:r>
              <w:rPr>
                <w:rFonts w:hint="eastAsia"/>
                <w:szCs w:val="20"/>
              </w:rPr>
              <w:t>交易对手方与本机构</w:t>
            </w:r>
            <w:r>
              <w:rPr>
                <w:szCs w:val="20"/>
              </w:rPr>
              <w:t>/</w:t>
            </w:r>
            <w:r>
              <w:rPr>
                <w:rFonts w:hint="eastAsia"/>
                <w:szCs w:val="20"/>
              </w:rPr>
              <w:t>被代理居民机构无关联关系。</w:t>
            </w:r>
          </w:p>
        </w:tc>
      </w:tr>
      <w:tr w:rsidR="00A052DC" w14:paraId="2CAEE2E5" w14:textId="77777777">
        <w:trPr>
          <w:cantSplit/>
          <w:jc w:val="center"/>
        </w:trPr>
        <w:tc>
          <w:tcPr>
            <w:tcW w:w="1958" w:type="dxa"/>
          </w:tcPr>
          <w:p w14:paraId="683A0061" w14:textId="77777777" w:rsidR="00A052DC" w:rsidRDefault="009F0A60">
            <w:pPr>
              <w:pStyle w:val="B"/>
              <w:rPr>
                <w:szCs w:val="20"/>
              </w:rPr>
            </w:pPr>
            <w:r>
              <w:rPr>
                <w:rFonts w:hint="eastAsia"/>
                <w:szCs w:val="20"/>
              </w:rPr>
              <w:t>结算的原始币种</w:t>
            </w:r>
          </w:p>
        </w:tc>
        <w:tc>
          <w:tcPr>
            <w:tcW w:w="6577" w:type="dxa"/>
          </w:tcPr>
          <w:p w14:paraId="142D6601" w14:textId="77777777" w:rsidR="00A052DC" w:rsidRDefault="009F0A60">
            <w:pPr>
              <w:pStyle w:val="B"/>
              <w:rPr>
                <w:szCs w:val="20"/>
              </w:rPr>
            </w:pPr>
            <w:r>
              <w:rPr>
                <w:rFonts w:hint="eastAsia"/>
                <w:szCs w:val="20"/>
              </w:rPr>
              <w:t>参见币种代码表，指相关合约的计价币种，如涉及双币种，可选取基础币种或按本机构惯例。</w:t>
            </w:r>
          </w:p>
        </w:tc>
      </w:tr>
      <w:tr w:rsidR="00A052DC" w14:paraId="2B400D6B" w14:textId="77777777">
        <w:trPr>
          <w:cantSplit/>
          <w:jc w:val="center"/>
        </w:trPr>
        <w:tc>
          <w:tcPr>
            <w:tcW w:w="1958" w:type="dxa"/>
          </w:tcPr>
          <w:p w14:paraId="4C433D50" w14:textId="77777777" w:rsidR="00A052DC" w:rsidRDefault="009F0A60">
            <w:pPr>
              <w:pStyle w:val="B"/>
              <w:rPr>
                <w:szCs w:val="20"/>
              </w:rPr>
            </w:pPr>
            <w:r>
              <w:rPr>
                <w:rFonts w:hint="eastAsia"/>
                <w:szCs w:val="20"/>
              </w:rPr>
              <w:t>上月末头寸市值</w:t>
            </w:r>
          </w:p>
        </w:tc>
        <w:tc>
          <w:tcPr>
            <w:tcW w:w="6577" w:type="dxa"/>
          </w:tcPr>
          <w:p w14:paraId="4A9402E6" w14:textId="77777777" w:rsidR="00A052DC" w:rsidRDefault="009F0A60">
            <w:pPr>
              <w:pStyle w:val="B"/>
              <w:rPr>
                <w:szCs w:val="20"/>
              </w:rPr>
            </w:pPr>
            <w:r>
              <w:rPr>
                <w:rFonts w:hint="eastAsia"/>
                <w:szCs w:val="20"/>
              </w:rPr>
              <w:t>指上月末仍存续的金融衍生产品合约的公允价值。应优先使用市场价值。如无市场价值，则按照记账惯例填报公允价值。在汇总填报数据时，则公允价值为正值的合约，不得与公允价值为负值的合约进行轧差合并。</w:t>
            </w:r>
          </w:p>
        </w:tc>
      </w:tr>
      <w:tr w:rsidR="00A052DC" w14:paraId="309FD20C" w14:textId="77777777">
        <w:trPr>
          <w:cantSplit/>
          <w:jc w:val="center"/>
        </w:trPr>
        <w:tc>
          <w:tcPr>
            <w:tcW w:w="1958" w:type="dxa"/>
          </w:tcPr>
          <w:p w14:paraId="534F8FDF" w14:textId="77777777" w:rsidR="00A052DC" w:rsidRDefault="009F0A60">
            <w:pPr>
              <w:pStyle w:val="B"/>
              <w:rPr>
                <w:szCs w:val="20"/>
              </w:rPr>
            </w:pPr>
            <w:r>
              <w:rPr>
                <w:rFonts w:hint="eastAsia"/>
                <w:szCs w:val="20"/>
              </w:rPr>
              <w:t>本月（现金）结算付款额</w:t>
            </w:r>
          </w:p>
        </w:tc>
        <w:tc>
          <w:tcPr>
            <w:tcW w:w="6577" w:type="dxa"/>
          </w:tcPr>
          <w:p w14:paraId="2E4F3B39" w14:textId="77777777" w:rsidR="00A052DC" w:rsidRDefault="009F0A60">
            <w:pPr>
              <w:pStyle w:val="B"/>
              <w:rPr>
                <w:szCs w:val="20"/>
              </w:rPr>
            </w:pPr>
            <w:r>
              <w:rPr>
                <w:rFonts w:hint="eastAsia"/>
                <w:szCs w:val="20"/>
              </w:rPr>
              <w:t>指本月内，本机构</w:t>
            </w:r>
            <w:r>
              <w:rPr>
                <w:szCs w:val="20"/>
              </w:rPr>
              <w:t>/</w:t>
            </w:r>
            <w:r>
              <w:rPr>
                <w:rFonts w:hint="eastAsia"/>
                <w:szCs w:val="20"/>
              </w:rPr>
              <w:t>被代理居民机构作为期权的购买方向期权的出售方支付的期权费，或与非居民进行金融衍生品合约结算时支付的款项，以正值填列。为已实现损益，而非交易的基础资产价值。对于月内交易并结算的金融衍生产品，即使期末余额为零，也应填报相关结算付款金额。</w:t>
            </w:r>
          </w:p>
        </w:tc>
      </w:tr>
      <w:tr w:rsidR="00A052DC" w14:paraId="50FF795A" w14:textId="77777777">
        <w:trPr>
          <w:cantSplit/>
          <w:jc w:val="center"/>
        </w:trPr>
        <w:tc>
          <w:tcPr>
            <w:tcW w:w="1958" w:type="dxa"/>
          </w:tcPr>
          <w:p w14:paraId="7E49F61D" w14:textId="77777777" w:rsidR="00A052DC" w:rsidRDefault="009F0A60">
            <w:pPr>
              <w:pStyle w:val="B"/>
              <w:rPr>
                <w:szCs w:val="20"/>
              </w:rPr>
            </w:pPr>
            <w:r>
              <w:rPr>
                <w:rFonts w:hint="eastAsia"/>
                <w:szCs w:val="20"/>
              </w:rPr>
              <w:t>本月（现金）结算收款额</w:t>
            </w:r>
          </w:p>
        </w:tc>
        <w:tc>
          <w:tcPr>
            <w:tcW w:w="6577" w:type="dxa"/>
          </w:tcPr>
          <w:p w14:paraId="7673BBFB" w14:textId="77777777" w:rsidR="00A052DC" w:rsidRDefault="009F0A60">
            <w:pPr>
              <w:pStyle w:val="B"/>
              <w:rPr>
                <w:szCs w:val="20"/>
              </w:rPr>
            </w:pPr>
            <w:r>
              <w:rPr>
                <w:rFonts w:hint="eastAsia"/>
                <w:szCs w:val="20"/>
              </w:rPr>
              <w:t>指本月内，本机构</w:t>
            </w:r>
            <w:r>
              <w:rPr>
                <w:szCs w:val="20"/>
              </w:rPr>
              <w:t>/</w:t>
            </w:r>
            <w:r>
              <w:rPr>
                <w:rFonts w:hint="eastAsia"/>
                <w:szCs w:val="20"/>
              </w:rPr>
              <w:t>被代理居民机构作为期权的出售方收到的期权费，或与非居民进行金融衍生品合约结算时收到的款项，以正值填列。为已实现损益，而非交易的基础资产价值。对于月内交易并结算的金融衍生产品，即使期末余额为零，也应填报相关结算收款金额。</w:t>
            </w:r>
          </w:p>
        </w:tc>
      </w:tr>
      <w:tr w:rsidR="00A052DC" w14:paraId="130027ED" w14:textId="77777777">
        <w:trPr>
          <w:cantSplit/>
          <w:jc w:val="center"/>
        </w:trPr>
        <w:tc>
          <w:tcPr>
            <w:tcW w:w="1958" w:type="dxa"/>
          </w:tcPr>
          <w:p w14:paraId="73DF648F" w14:textId="77777777" w:rsidR="00A052DC" w:rsidRDefault="009F0A60">
            <w:pPr>
              <w:pStyle w:val="B"/>
              <w:rPr>
                <w:szCs w:val="20"/>
              </w:rPr>
            </w:pPr>
            <w:r>
              <w:rPr>
                <w:rFonts w:hint="eastAsia"/>
                <w:szCs w:val="20"/>
              </w:rPr>
              <w:t>本月非交易变动</w:t>
            </w:r>
          </w:p>
        </w:tc>
        <w:tc>
          <w:tcPr>
            <w:tcW w:w="6577" w:type="dxa"/>
          </w:tcPr>
          <w:p w14:paraId="5C21AD3F" w14:textId="77777777" w:rsidR="00A052DC" w:rsidRDefault="009F0A60">
            <w:pPr>
              <w:pStyle w:val="B"/>
              <w:rPr>
                <w:szCs w:val="20"/>
              </w:rPr>
            </w:pPr>
            <w:r>
              <w:rPr>
                <w:rFonts w:hint="eastAsia"/>
                <w:szCs w:val="20"/>
              </w:rPr>
              <w:t>由于数量、价格等非交易因素引起的金融衍生产品重新估值，导致市场价格与金融衍生产品履约价格的差异。必须满足：</w:t>
            </w:r>
            <w:r>
              <w:rPr>
                <w:rFonts w:hint="eastAsia"/>
              </w:rPr>
              <w:t>本月非交易变动</w:t>
            </w:r>
            <w:r>
              <w:t>=</w:t>
            </w:r>
            <w:r>
              <w:rPr>
                <w:rFonts w:hint="eastAsia"/>
              </w:rPr>
              <w:t>本月末头寸市值</w:t>
            </w:r>
            <w:r>
              <w:t>–</w:t>
            </w:r>
            <w:r>
              <w:rPr>
                <w:rFonts w:hint="eastAsia"/>
              </w:rPr>
              <w:t>上月末头寸市值</w:t>
            </w:r>
            <w:r>
              <w:t>–</w:t>
            </w:r>
            <w:r>
              <w:rPr>
                <w:szCs w:val="20"/>
              </w:rPr>
              <w:t>[</w:t>
            </w:r>
            <w:r>
              <w:rPr>
                <w:rFonts w:hint="eastAsia"/>
              </w:rPr>
              <w:t>本月（现金）结算付款额</w:t>
            </w:r>
            <w:r>
              <w:t>–</w:t>
            </w:r>
            <w:r>
              <w:rPr>
                <w:rFonts w:hint="eastAsia"/>
              </w:rPr>
              <w:t>本月（现金）结算收款额</w:t>
            </w:r>
            <w:r>
              <w:rPr>
                <w:szCs w:val="20"/>
              </w:rPr>
              <w:t>]</w:t>
            </w:r>
            <w:r>
              <w:rPr>
                <w:rFonts w:hint="eastAsia"/>
              </w:rPr>
              <w:t>。</w:t>
            </w:r>
          </w:p>
        </w:tc>
      </w:tr>
      <w:tr w:rsidR="00A052DC" w14:paraId="3416C997" w14:textId="77777777">
        <w:trPr>
          <w:cantSplit/>
          <w:jc w:val="center"/>
        </w:trPr>
        <w:tc>
          <w:tcPr>
            <w:tcW w:w="1958" w:type="dxa"/>
          </w:tcPr>
          <w:p w14:paraId="08086101" w14:textId="77777777" w:rsidR="00A052DC" w:rsidRDefault="009F0A60">
            <w:pPr>
              <w:pStyle w:val="B"/>
              <w:rPr>
                <w:szCs w:val="20"/>
              </w:rPr>
            </w:pPr>
            <w:r>
              <w:rPr>
                <w:rFonts w:hint="eastAsia"/>
              </w:rPr>
              <w:t>注销、调整</w:t>
            </w:r>
            <w:r>
              <w:rPr>
                <w:rFonts w:hint="eastAsia"/>
                <w:szCs w:val="20"/>
              </w:rPr>
              <w:t>或</w:t>
            </w:r>
            <w:r>
              <w:rPr>
                <w:rFonts w:hint="eastAsia"/>
              </w:rPr>
              <w:t>重新分类至其他报表统计的金额</w:t>
            </w:r>
          </w:p>
        </w:tc>
        <w:tc>
          <w:tcPr>
            <w:tcW w:w="6577" w:type="dxa"/>
          </w:tcPr>
          <w:p w14:paraId="447E15CA" w14:textId="77777777" w:rsidR="00A052DC" w:rsidRDefault="009F0A60">
            <w:pPr>
              <w:pStyle w:val="B"/>
              <w:rPr>
                <w:szCs w:val="20"/>
              </w:rPr>
            </w:pPr>
            <w:r>
              <w:rPr>
                <w:rFonts w:hint="eastAsia"/>
              </w:rPr>
              <w:t>因债务人拖欠、破产等导致非正常偿还等其他变化引起金融衍生产品头寸重新分类，导致头寸变化。必须满足：注销、调整或重新分类至其他报表统计的金额</w:t>
            </w:r>
            <w:r>
              <w:t>=</w:t>
            </w:r>
            <w:r>
              <w:rPr>
                <w:rFonts w:hint="eastAsia"/>
              </w:rPr>
              <w:t>本月非交易变动</w:t>
            </w:r>
            <w:r>
              <w:t>-</w:t>
            </w:r>
            <w:r>
              <w:rPr>
                <w:rFonts w:hint="eastAsia"/>
              </w:rPr>
              <w:t>价值重估因素。</w:t>
            </w:r>
          </w:p>
        </w:tc>
      </w:tr>
      <w:tr w:rsidR="00A052DC" w14:paraId="5809AE0F" w14:textId="77777777">
        <w:trPr>
          <w:cantSplit/>
          <w:jc w:val="center"/>
        </w:trPr>
        <w:tc>
          <w:tcPr>
            <w:tcW w:w="1958" w:type="dxa"/>
          </w:tcPr>
          <w:p w14:paraId="69406C36" w14:textId="77777777" w:rsidR="00A052DC" w:rsidRDefault="009F0A60">
            <w:pPr>
              <w:pStyle w:val="B"/>
              <w:rPr>
                <w:szCs w:val="20"/>
              </w:rPr>
            </w:pPr>
            <w:r>
              <w:rPr>
                <w:rFonts w:hint="eastAsia"/>
              </w:rPr>
              <w:t>价值重估因素</w:t>
            </w:r>
          </w:p>
        </w:tc>
        <w:tc>
          <w:tcPr>
            <w:tcW w:w="6577" w:type="dxa"/>
          </w:tcPr>
          <w:p w14:paraId="678442F5" w14:textId="77777777" w:rsidR="00A052DC" w:rsidRDefault="009F0A60">
            <w:pPr>
              <w:pStyle w:val="B"/>
              <w:rPr>
                <w:szCs w:val="20"/>
              </w:rPr>
            </w:pPr>
            <w:r>
              <w:rPr>
                <w:rFonts w:hint="eastAsia"/>
              </w:rPr>
              <w:t>填报因基础产品价格变化导致市场价格与金融衍生产品履约价格的差异，为未结算（交易）的部分，即未实现损益。</w:t>
            </w:r>
          </w:p>
        </w:tc>
      </w:tr>
      <w:tr w:rsidR="00A052DC" w14:paraId="20F8F11F" w14:textId="77777777">
        <w:trPr>
          <w:cantSplit/>
          <w:jc w:val="center"/>
        </w:trPr>
        <w:tc>
          <w:tcPr>
            <w:tcW w:w="1958" w:type="dxa"/>
          </w:tcPr>
          <w:p w14:paraId="0667555C" w14:textId="77777777" w:rsidR="00A052DC" w:rsidRDefault="009F0A60">
            <w:pPr>
              <w:pStyle w:val="B"/>
              <w:rPr>
                <w:szCs w:val="20"/>
              </w:rPr>
            </w:pPr>
            <w:r>
              <w:rPr>
                <w:rFonts w:hint="eastAsia"/>
                <w:szCs w:val="20"/>
              </w:rPr>
              <w:t>本月末头寸市值</w:t>
            </w:r>
          </w:p>
        </w:tc>
        <w:tc>
          <w:tcPr>
            <w:tcW w:w="6577" w:type="dxa"/>
          </w:tcPr>
          <w:p w14:paraId="45427114" w14:textId="77777777" w:rsidR="00A052DC" w:rsidRDefault="009F0A60">
            <w:pPr>
              <w:pStyle w:val="B"/>
              <w:rPr>
                <w:szCs w:val="20"/>
              </w:rPr>
            </w:pPr>
            <w:r>
              <w:rPr>
                <w:rFonts w:hint="eastAsia"/>
                <w:szCs w:val="20"/>
              </w:rPr>
              <w:t>指本月末仍存续的金融衍生产品合约的公允价值。应优先使用市场价值。如无市场价值，则按照记账惯例填报公允价值。在汇总填报数据时，不得将公允价值为正值的合约与公允价值为负值的合约进行轧差合并。</w:t>
            </w:r>
          </w:p>
        </w:tc>
      </w:tr>
      <w:tr w:rsidR="00A052DC" w14:paraId="3FE1DFEF" w14:textId="77777777">
        <w:trPr>
          <w:cantSplit/>
          <w:jc w:val="center"/>
        </w:trPr>
        <w:tc>
          <w:tcPr>
            <w:tcW w:w="1958" w:type="dxa"/>
          </w:tcPr>
          <w:p w14:paraId="0946F879" w14:textId="77777777" w:rsidR="00A052DC" w:rsidRDefault="009F0A60">
            <w:pPr>
              <w:pStyle w:val="B"/>
              <w:rPr>
                <w:szCs w:val="20"/>
              </w:rPr>
            </w:pPr>
            <w:r>
              <w:rPr>
                <w:rFonts w:hint="eastAsia"/>
                <w:szCs w:val="20"/>
              </w:rPr>
              <w:t>名义本金币种</w:t>
            </w:r>
          </w:p>
        </w:tc>
        <w:tc>
          <w:tcPr>
            <w:tcW w:w="6577" w:type="dxa"/>
          </w:tcPr>
          <w:p w14:paraId="02B6F501" w14:textId="77777777" w:rsidR="00A052DC" w:rsidRDefault="009F0A60">
            <w:pPr>
              <w:pStyle w:val="B"/>
              <w:rPr>
                <w:szCs w:val="20"/>
              </w:rPr>
            </w:pPr>
            <w:r>
              <w:rPr>
                <w:rFonts w:hint="eastAsia"/>
                <w:szCs w:val="20"/>
              </w:rPr>
              <w:t>参见币种代码表，指本月末仍存续的金融衍生品名义本金的计价币种。如涉及双币种，可选取基础币种或按本机构惯例。</w:t>
            </w:r>
          </w:p>
        </w:tc>
      </w:tr>
      <w:tr w:rsidR="00A052DC" w14:paraId="5F7B3FE2" w14:textId="77777777">
        <w:trPr>
          <w:cantSplit/>
          <w:jc w:val="center"/>
        </w:trPr>
        <w:tc>
          <w:tcPr>
            <w:tcW w:w="1958" w:type="dxa"/>
          </w:tcPr>
          <w:p w14:paraId="5758B2FC" w14:textId="77777777" w:rsidR="00A052DC" w:rsidRDefault="009F0A60">
            <w:pPr>
              <w:pStyle w:val="B"/>
              <w:rPr>
                <w:szCs w:val="20"/>
              </w:rPr>
            </w:pPr>
            <w:r>
              <w:rPr>
                <w:rFonts w:hint="eastAsia"/>
                <w:szCs w:val="20"/>
              </w:rPr>
              <w:t>本月末名义本金金额</w:t>
            </w:r>
          </w:p>
        </w:tc>
        <w:tc>
          <w:tcPr>
            <w:tcW w:w="6577" w:type="dxa"/>
          </w:tcPr>
          <w:p w14:paraId="00D75241" w14:textId="77777777" w:rsidR="00A052DC" w:rsidRDefault="009F0A60">
            <w:pPr>
              <w:pStyle w:val="B"/>
              <w:rPr>
                <w:szCs w:val="20"/>
              </w:rPr>
            </w:pPr>
            <w:r>
              <w:rPr>
                <w:rFonts w:hint="eastAsia"/>
                <w:szCs w:val="20"/>
              </w:rPr>
              <w:t>指本月末仍存续的金融衍生品合约的名义本金价值。对于本金价值可变的合约，填报本月末合约本金。</w:t>
            </w:r>
          </w:p>
        </w:tc>
      </w:tr>
      <w:tr w:rsidR="00A052DC" w14:paraId="1680343E" w14:textId="77777777">
        <w:trPr>
          <w:cantSplit/>
          <w:jc w:val="center"/>
        </w:trPr>
        <w:tc>
          <w:tcPr>
            <w:tcW w:w="1958" w:type="dxa"/>
          </w:tcPr>
          <w:p w14:paraId="164EAAC1" w14:textId="77777777" w:rsidR="00A052DC" w:rsidRDefault="009F0A60">
            <w:pPr>
              <w:pStyle w:val="B"/>
              <w:rPr>
                <w:szCs w:val="20"/>
              </w:rPr>
            </w:pPr>
            <w:r>
              <w:rPr>
                <w:rFonts w:hint="eastAsia"/>
                <w:szCs w:val="20"/>
              </w:rPr>
              <w:t>备注</w:t>
            </w:r>
          </w:p>
        </w:tc>
        <w:tc>
          <w:tcPr>
            <w:tcW w:w="6577" w:type="dxa"/>
          </w:tcPr>
          <w:p w14:paraId="62F97166" w14:textId="77777777" w:rsidR="00A052DC" w:rsidRDefault="009F0A60">
            <w:pPr>
              <w:pStyle w:val="B"/>
              <w:rPr>
                <w:szCs w:val="20"/>
              </w:rPr>
            </w:pPr>
            <w:r>
              <w:rPr>
                <w:rFonts w:hint="eastAsia"/>
                <w:szCs w:val="20"/>
              </w:rPr>
              <w:t>其他需要说明的情况</w:t>
            </w:r>
          </w:p>
        </w:tc>
      </w:tr>
    </w:tbl>
    <w:p w14:paraId="4F60EE5D" w14:textId="77777777" w:rsidR="00A052DC" w:rsidRDefault="00A052DC"/>
    <w:p w14:paraId="54A53655" w14:textId="77777777" w:rsidR="00A052DC" w:rsidRDefault="009F0A60" w:rsidP="0020251D">
      <w:pPr>
        <w:pStyle w:val="4"/>
        <w:numPr>
          <w:ilvl w:val="3"/>
          <w:numId w:val="1"/>
        </w:numPr>
        <w:jc w:val="left"/>
      </w:pPr>
      <w:bookmarkStart w:id="3193" w:name="_Toc454391291"/>
      <w:bookmarkStart w:id="3194" w:name="_Toc380570949"/>
      <w:bookmarkStart w:id="3195" w:name="_Toc454391292"/>
      <w:bookmarkEnd w:id="3193"/>
      <w:r>
        <w:rPr>
          <w:rFonts w:hint="eastAsia"/>
        </w:rPr>
        <w:t>数据格式</w:t>
      </w:r>
      <w:bookmarkEnd w:id="3194"/>
      <w:bookmarkEnd w:id="3195"/>
    </w:p>
    <w:p w14:paraId="61223ED5" w14:textId="77777777" w:rsidR="00A052DC" w:rsidRDefault="009F0A60">
      <w:pPr>
        <w:ind w:firstLine="284"/>
      </w:pPr>
      <w:r>
        <w:t>&lt;REC&gt;</w:t>
      </w:r>
    </w:p>
    <w:p w14:paraId="79D1570E" w14:textId="77777777" w:rsidR="00A052DC" w:rsidRDefault="009F0A60">
      <w:pPr>
        <w:ind w:firstLine="284"/>
      </w:pPr>
      <w:r>
        <w:t>&lt;ACTIONTYPE&gt;</w:t>
      </w:r>
      <w:r>
        <w:rPr>
          <w:rFonts w:hAnsi="宋体"/>
        </w:rPr>
        <w:t>操作类型</w:t>
      </w:r>
      <w:r>
        <w:t>&lt;/ACTIONTYPE&gt;</w:t>
      </w:r>
    </w:p>
    <w:p w14:paraId="6F05A094" w14:textId="77777777" w:rsidR="00A052DC" w:rsidRDefault="009F0A60">
      <w:pPr>
        <w:ind w:firstLine="284"/>
      </w:pPr>
      <w:r>
        <w:t>&lt;ACTIONDESC&gt;</w:t>
      </w:r>
      <w:r>
        <w:rPr>
          <w:rFonts w:hAnsi="宋体"/>
        </w:rPr>
        <w:t>删除原因</w:t>
      </w:r>
      <w:r>
        <w:t>&lt;/ACTIONDESC&gt;</w:t>
      </w:r>
    </w:p>
    <w:p w14:paraId="45EE4E91" w14:textId="77777777" w:rsidR="00A052DC" w:rsidRDefault="009F0A60">
      <w:pPr>
        <w:ind w:firstLine="284"/>
      </w:pPr>
      <w:r>
        <w:t>&lt;SNOCODE&gt;</w:t>
      </w:r>
      <w:r>
        <w:rPr>
          <w:rFonts w:hAnsi="宋体"/>
        </w:rPr>
        <w:t>数据自编码</w:t>
      </w:r>
      <w:r>
        <w:t>&lt;/SNOCODE&gt;</w:t>
      </w:r>
    </w:p>
    <w:p w14:paraId="6248F3CE" w14:textId="77777777" w:rsidR="00A052DC" w:rsidRDefault="009F0A60">
      <w:pPr>
        <w:ind w:firstLine="284"/>
      </w:pPr>
      <w:r>
        <w:t>&lt;OBJCODE&gt;</w:t>
      </w:r>
      <w:r>
        <w:rPr>
          <w:rFonts w:hAnsi="宋体"/>
        </w:rPr>
        <w:t>申报主体代码</w:t>
      </w:r>
      <w:r>
        <w:t>&lt;/OBJCODE&gt;</w:t>
      </w:r>
    </w:p>
    <w:p w14:paraId="23BE0B97" w14:textId="77777777" w:rsidR="00A052DC" w:rsidRDefault="009F0A60">
      <w:pPr>
        <w:ind w:firstLine="284"/>
      </w:pPr>
      <w:r>
        <w:t>&lt;BUOCMONTH&gt;</w:t>
      </w:r>
      <w:r>
        <w:rPr>
          <w:rFonts w:hAnsi="宋体"/>
        </w:rPr>
        <w:t>报告期</w:t>
      </w:r>
      <w:r>
        <w:t>&lt;/BUOCMONTH&gt;</w:t>
      </w:r>
    </w:p>
    <w:p w14:paraId="4CCF6CF5" w14:textId="77777777" w:rsidR="00A052DC" w:rsidRDefault="009F0A60">
      <w:pPr>
        <w:ind w:firstLine="284"/>
      </w:pPr>
      <w:r>
        <w:t>&lt;C0101&gt;</w:t>
      </w:r>
      <w:r>
        <w:rPr>
          <w:rFonts w:hAnsi="宋体"/>
        </w:rPr>
        <w:t>申报主体身份</w:t>
      </w:r>
      <w:r>
        <w:t>&lt;/C0101&gt;</w:t>
      </w:r>
    </w:p>
    <w:p w14:paraId="4C93C952" w14:textId="77777777" w:rsidR="00A052DC" w:rsidRDefault="009F0A60">
      <w:pPr>
        <w:ind w:firstLine="284"/>
      </w:pPr>
      <w:r>
        <w:t>&lt;C0102&gt;</w:t>
      </w:r>
      <w:r>
        <w:rPr>
          <w:rFonts w:hAnsi="宋体"/>
        </w:rPr>
        <w:t>居民被代理人</w:t>
      </w:r>
      <w:r>
        <w:t>/</w:t>
      </w:r>
      <w:r>
        <w:rPr>
          <w:rFonts w:hAnsi="宋体"/>
        </w:rPr>
        <w:t>委托人所属国家</w:t>
      </w:r>
      <w:r>
        <w:t>/</w:t>
      </w:r>
      <w:r>
        <w:rPr>
          <w:rFonts w:hAnsi="宋体"/>
        </w:rPr>
        <w:t>地区</w:t>
      </w:r>
      <w:r>
        <w:t>&lt;/C0102&gt;</w:t>
      </w:r>
    </w:p>
    <w:p w14:paraId="5C9F3238" w14:textId="77777777" w:rsidR="00A052DC" w:rsidRDefault="009F0A60">
      <w:pPr>
        <w:ind w:firstLine="284"/>
      </w:pPr>
      <w:r>
        <w:t>&lt;C0103&gt;</w:t>
      </w:r>
      <w:r>
        <w:rPr>
          <w:rFonts w:hAnsi="宋体"/>
        </w:rPr>
        <w:t>居民被代理人</w:t>
      </w:r>
      <w:r>
        <w:t>/</w:t>
      </w:r>
      <w:r>
        <w:rPr>
          <w:rFonts w:hAnsi="宋体"/>
        </w:rPr>
        <w:t>委托人所属部门</w:t>
      </w:r>
      <w:r>
        <w:t>&lt;/C0103&gt;</w:t>
      </w:r>
    </w:p>
    <w:p w14:paraId="6256699B" w14:textId="77777777" w:rsidR="00A052DC" w:rsidRDefault="009F0A60">
      <w:pPr>
        <w:ind w:firstLine="284"/>
      </w:pPr>
      <w:r>
        <w:t>&lt;C0104&gt;</w:t>
      </w:r>
      <w:r>
        <w:rPr>
          <w:rFonts w:hAnsi="宋体"/>
        </w:rPr>
        <w:t>合约类别</w:t>
      </w:r>
      <w:r>
        <w:t>&lt;/C0104&gt;</w:t>
      </w:r>
    </w:p>
    <w:p w14:paraId="281E424A" w14:textId="77777777" w:rsidR="00A052DC" w:rsidRDefault="009F0A60">
      <w:pPr>
        <w:ind w:firstLine="284"/>
      </w:pPr>
      <w:r>
        <w:t>&lt;C0105&gt;</w:t>
      </w:r>
      <w:r>
        <w:rPr>
          <w:rFonts w:hAnsi="宋体"/>
        </w:rPr>
        <w:t>金融风险类别</w:t>
      </w:r>
      <w:r>
        <w:t>&lt;/C0105&gt;</w:t>
      </w:r>
    </w:p>
    <w:p w14:paraId="2BE1E8B3" w14:textId="77777777" w:rsidR="00A052DC" w:rsidRDefault="009F0A60">
      <w:pPr>
        <w:ind w:firstLine="284"/>
      </w:pPr>
      <w:r>
        <w:t>&lt;C0106&gt;</w:t>
      </w:r>
      <w:r>
        <w:rPr>
          <w:rFonts w:hAnsi="宋体"/>
        </w:rPr>
        <w:t>非居民交易对手所属国家</w:t>
      </w:r>
      <w:r>
        <w:t>/</w:t>
      </w:r>
      <w:r>
        <w:rPr>
          <w:rFonts w:hAnsi="宋体"/>
        </w:rPr>
        <w:t>地区</w:t>
      </w:r>
      <w:r>
        <w:t>&lt;/C0106&gt;</w:t>
      </w:r>
    </w:p>
    <w:p w14:paraId="14A8F060" w14:textId="77777777" w:rsidR="00A052DC" w:rsidRDefault="009F0A60">
      <w:pPr>
        <w:ind w:firstLine="284"/>
      </w:pPr>
      <w:r>
        <w:t>&lt;C0107&gt;</w:t>
      </w:r>
      <w:r>
        <w:rPr>
          <w:rFonts w:hAnsi="宋体"/>
        </w:rPr>
        <w:t>非居民交易对手所属部门</w:t>
      </w:r>
      <w:r>
        <w:t>&lt;/C0107&gt;</w:t>
      </w:r>
    </w:p>
    <w:p w14:paraId="301A4215" w14:textId="77777777" w:rsidR="00A052DC" w:rsidRDefault="009F0A60">
      <w:pPr>
        <w:ind w:firstLine="284"/>
      </w:pPr>
      <w:r>
        <w:t>&lt;C0108&gt;</w:t>
      </w:r>
      <w:r>
        <w:rPr>
          <w:rFonts w:hAnsi="宋体"/>
        </w:rPr>
        <w:t>非居民交易对手与本机构</w:t>
      </w:r>
      <w:r>
        <w:t>/</w:t>
      </w:r>
      <w:r>
        <w:rPr>
          <w:rFonts w:hAnsi="宋体"/>
        </w:rPr>
        <w:t>居民机构的关系</w:t>
      </w:r>
      <w:r>
        <w:t>&lt;/C0108&gt;</w:t>
      </w:r>
    </w:p>
    <w:p w14:paraId="7A65E3BC" w14:textId="77777777" w:rsidR="00A052DC" w:rsidRDefault="009F0A60">
      <w:pPr>
        <w:ind w:firstLine="284"/>
      </w:pPr>
      <w:r>
        <w:t>&lt;C0109&gt;</w:t>
      </w:r>
      <w:r>
        <w:rPr>
          <w:rFonts w:hAnsi="宋体"/>
        </w:rPr>
        <w:t>结算的原始币种</w:t>
      </w:r>
      <w:r>
        <w:t>&lt;/C0109&gt;</w:t>
      </w:r>
    </w:p>
    <w:p w14:paraId="31DEA7C5" w14:textId="77777777" w:rsidR="00A052DC" w:rsidRDefault="009F0A60">
      <w:pPr>
        <w:ind w:firstLine="284"/>
      </w:pPr>
      <w:r>
        <w:t>&lt;C0110&gt;</w:t>
      </w:r>
      <w:r>
        <w:rPr>
          <w:rFonts w:hAnsi="宋体"/>
        </w:rPr>
        <w:t>上月末头寸市值</w:t>
      </w:r>
      <w:r>
        <w:t>&lt;/C0110&gt;</w:t>
      </w:r>
    </w:p>
    <w:p w14:paraId="45D70FCD" w14:textId="77777777" w:rsidR="00A052DC" w:rsidRDefault="009F0A60">
      <w:pPr>
        <w:ind w:firstLine="284"/>
      </w:pPr>
      <w:r>
        <w:t>&lt;C0111&gt;</w:t>
      </w:r>
      <w:r>
        <w:rPr>
          <w:rFonts w:hAnsi="宋体"/>
        </w:rPr>
        <w:t>本月（现金）结算付款额</w:t>
      </w:r>
      <w:r>
        <w:t>&lt;/C0111&gt;</w:t>
      </w:r>
    </w:p>
    <w:p w14:paraId="66860024" w14:textId="77777777" w:rsidR="00A052DC" w:rsidRDefault="009F0A60">
      <w:pPr>
        <w:ind w:firstLine="284"/>
      </w:pPr>
      <w:r>
        <w:t>&lt;C0112&gt;</w:t>
      </w:r>
      <w:r>
        <w:rPr>
          <w:rFonts w:hAnsi="宋体"/>
        </w:rPr>
        <w:t>本月（现金）结算收款额</w:t>
      </w:r>
      <w:r>
        <w:t>&lt;/C0112&gt;</w:t>
      </w:r>
    </w:p>
    <w:p w14:paraId="3DC048A9" w14:textId="77777777" w:rsidR="00A052DC" w:rsidRDefault="009F0A60">
      <w:pPr>
        <w:ind w:firstLine="284"/>
      </w:pPr>
      <w:r>
        <w:t>&lt;C0113&gt;</w:t>
      </w:r>
      <w:r>
        <w:rPr>
          <w:rFonts w:hAnsi="宋体"/>
        </w:rPr>
        <w:t>本月非交易变动</w:t>
      </w:r>
      <w:r>
        <w:t>&lt;/C0113&gt;</w:t>
      </w:r>
    </w:p>
    <w:p w14:paraId="14B03E3C" w14:textId="77777777" w:rsidR="00A052DC" w:rsidRDefault="009F0A60">
      <w:pPr>
        <w:ind w:firstLine="284"/>
      </w:pPr>
      <w:r>
        <w:rPr>
          <w:rFonts w:hint="eastAsia"/>
        </w:rPr>
        <w:t>&lt;C0114&gt;</w:t>
      </w:r>
      <w:r>
        <w:rPr>
          <w:rFonts w:hint="eastAsia"/>
        </w:rPr>
        <w:t>注销、调整或重新分类至其他报表统计的金额</w:t>
      </w:r>
      <w:r>
        <w:rPr>
          <w:rFonts w:hint="eastAsia"/>
        </w:rPr>
        <w:t>&lt;/C0114&gt;</w:t>
      </w:r>
    </w:p>
    <w:p w14:paraId="4850382C" w14:textId="77777777" w:rsidR="00A052DC" w:rsidRDefault="009F0A60">
      <w:pPr>
        <w:ind w:firstLine="284"/>
      </w:pPr>
      <w:r>
        <w:rPr>
          <w:rFonts w:hint="eastAsia"/>
        </w:rPr>
        <w:t>&lt;C0115&gt;</w:t>
      </w:r>
      <w:r>
        <w:rPr>
          <w:rFonts w:hint="eastAsia"/>
        </w:rPr>
        <w:t>价值重估因素</w:t>
      </w:r>
      <w:r>
        <w:rPr>
          <w:rFonts w:hint="eastAsia"/>
        </w:rPr>
        <w:t>&lt;/C0115&gt;</w:t>
      </w:r>
    </w:p>
    <w:p w14:paraId="4887C88D" w14:textId="77777777" w:rsidR="00A052DC" w:rsidRDefault="009F0A60">
      <w:pPr>
        <w:ind w:firstLine="284"/>
      </w:pPr>
      <w:r>
        <w:t>&lt;C0116&gt;</w:t>
      </w:r>
      <w:r>
        <w:rPr>
          <w:rFonts w:hAnsi="宋体"/>
        </w:rPr>
        <w:t>本月末头寸市值</w:t>
      </w:r>
      <w:r>
        <w:t>&lt;/C0116&gt;</w:t>
      </w:r>
    </w:p>
    <w:p w14:paraId="1C259786" w14:textId="77777777" w:rsidR="00A052DC" w:rsidRDefault="009F0A60">
      <w:pPr>
        <w:ind w:firstLine="284"/>
      </w:pPr>
      <w:r>
        <w:t>&lt;C0117&gt;</w:t>
      </w:r>
      <w:r>
        <w:rPr>
          <w:rFonts w:hAnsi="宋体"/>
        </w:rPr>
        <w:t>名义本金币种</w:t>
      </w:r>
      <w:r>
        <w:t>&lt;/C0117&gt;</w:t>
      </w:r>
    </w:p>
    <w:p w14:paraId="6932C266" w14:textId="77777777" w:rsidR="00A052DC" w:rsidRDefault="009F0A60">
      <w:pPr>
        <w:ind w:firstLine="284"/>
      </w:pPr>
      <w:r>
        <w:t>&lt;C0118&gt;</w:t>
      </w:r>
      <w:r>
        <w:rPr>
          <w:rFonts w:hAnsi="宋体"/>
        </w:rPr>
        <w:t>本月末名义本金金额</w:t>
      </w:r>
      <w:r>
        <w:t>&lt;/C0118&gt;</w:t>
      </w:r>
    </w:p>
    <w:p w14:paraId="5B58B146" w14:textId="77777777" w:rsidR="00A052DC" w:rsidRDefault="009F0A60">
      <w:pPr>
        <w:ind w:firstLine="284"/>
      </w:pPr>
      <w:r>
        <w:t>&lt;REMARK&gt;</w:t>
      </w:r>
      <w:r>
        <w:rPr>
          <w:rFonts w:hAnsi="宋体"/>
        </w:rPr>
        <w:t>备注</w:t>
      </w:r>
      <w:r>
        <w:t>&lt;/REMARK&gt;</w:t>
      </w:r>
    </w:p>
    <w:p w14:paraId="7495ABAF" w14:textId="77777777" w:rsidR="00A052DC" w:rsidRDefault="009F0A60">
      <w:pPr>
        <w:ind w:firstLine="284"/>
      </w:pPr>
      <w:r>
        <w:t>&lt;/REC&gt;</w:t>
      </w:r>
    </w:p>
    <w:p w14:paraId="2CE84FF0" w14:textId="77777777" w:rsidR="00A052DC" w:rsidRDefault="00A052DC">
      <w:pPr>
        <w:ind w:firstLine="284"/>
        <w:rPr>
          <w:rFonts w:ascii="宋体" w:hAnsi="宋体"/>
        </w:rPr>
      </w:pPr>
    </w:p>
    <w:p w14:paraId="674F6B4C" w14:textId="77777777" w:rsidR="00A052DC" w:rsidRDefault="009F0A60" w:rsidP="0020251D">
      <w:pPr>
        <w:pStyle w:val="4"/>
        <w:numPr>
          <w:ilvl w:val="3"/>
          <w:numId w:val="1"/>
        </w:numPr>
        <w:jc w:val="left"/>
      </w:pPr>
      <w:bookmarkStart w:id="3196" w:name="_Toc454391293"/>
      <w:bookmarkStart w:id="3197" w:name="_Toc454391294"/>
      <w:bookmarkStart w:id="3198" w:name="_Toc380570950"/>
      <w:bookmarkEnd w:id="3196"/>
      <w:r>
        <w:rPr>
          <w:rFonts w:hint="eastAsia"/>
        </w:rPr>
        <w:t>数据字典</w:t>
      </w:r>
      <w:bookmarkEnd w:id="3197"/>
      <w:bookmarkEnd w:id="3198"/>
    </w:p>
    <w:tbl>
      <w:tblPr>
        <w:tblW w:w="8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8"/>
        <w:gridCol w:w="1701"/>
        <w:gridCol w:w="1417"/>
        <w:gridCol w:w="4310"/>
      </w:tblGrid>
      <w:tr w:rsidR="00A052DC" w14:paraId="05247E41" w14:textId="77777777">
        <w:trPr>
          <w:tblHeader/>
          <w:jc w:val="center"/>
        </w:trPr>
        <w:tc>
          <w:tcPr>
            <w:tcW w:w="1108" w:type="dxa"/>
            <w:shd w:val="clear" w:color="auto" w:fill="C0C0C0"/>
          </w:tcPr>
          <w:p w14:paraId="6CD43CE4" w14:textId="77777777" w:rsidR="00A052DC" w:rsidRDefault="009F0A60">
            <w:pPr>
              <w:rPr>
                <w:rFonts w:ascii="黑体" w:eastAsia="黑体" w:hAnsi="黑体"/>
                <w:sz w:val="20"/>
                <w:szCs w:val="20"/>
              </w:rPr>
            </w:pPr>
            <w:r>
              <w:rPr>
                <w:rFonts w:ascii="黑体" w:eastAsia="黑体" w:hAnsi="黑体" w:hint="eastAsia"/>
                <w:sz w:val="20"/>
                <w:szCs w:val="20"/>
              </w:rPr>
              <w:t>字段</w:t>
            </w:r>
          </w:p>
        </w:tc>
        <w:tc>
          <w:tcPr>
            <w:tcW w:w="1701" w:type="dxa"/>
            <w:shd w:val="clear" w:color="auto" w:fill="C0C0C0"/>
          </w:tcPr>
          <w:p w14:paraId="2530E174" w14:textId="77777777" w:rsidR="00A052DC" w:rsidRDefault="009F0A60">
            <w:pPr>
              <w:rPr>
                <w:rFonts w:ascii="黑体" w:eastAsia="黑体" w:hAnsi="黑体"/>
                <w:sz w:val="20"/>
                <w:szCs w:val="20"/>
              </w:rPr>
            </w:pPr>
            <w:r>
              <w:rPr>
                <w:rFonts w:ascii="黑体" w:eastAsia="黑体" w:hAnsi="黑体" w:hint="eastAsia"/>
                <w:sz w:val="20"/>
                <w:szCs w:val="20"/>
              </w:rPr>
              <w:t>内容</w:t>
            </w:r>
          </w:p>
        </w:tc>
        <w:tc>
          <w:tcPr>
            <w:tcW w:w="1417" w:type="dxa"/>
            <w:shd w:val="clear" w:color="auto" w:fill="C0C0C0"/>
          </w:tcPr>
          <w:p w14:paraId="5F45E4E6" w14:textId="77777777" w:rsidR="00A052DC" w:rsidRDefault="009F0A60">
            <w:pPr>
              <w:rPr>
                <w:rFonts w:ascii="黑体" w:eastAsia="黑体" w:hAnsi="黑体"/>
                <w:sz w:val="20"/>
                <w:szCs w:val="20"/>
              </w:rPr>
            </w:pPr>
            <w:r>
              <w:rPr>
                <w:rFonts w:ascii="黑体" w:eastAsia="黑体" w:hAnsi="黑体" w:hint="eastAsia"/>
                <w:sz w:val="20"/>
                <w:szCs w:val="20"/>
              </w:rPr>
              <w:t>类型（长度）</w:t>
            </w:r>
          </w:p>
        </w:tc>
        <w:tc>
          <w:tcPr>
            <w:tcW w:w="4310" w:type="dxa"/>
            <w:shd w:val="clear" w:color="auto" w:fill="C0C0C0"/>
          </w:tcPr>
          <w:p w14:paraId="176B2984" w14:textId="77777777" w:rsidR="00A052DC" w:rsidRDefault="009F0A60">
            <w:pPr>
              <w:rPr>
                <w:rFonts w:ascii="黑体" w:eastAsia="黑体" w:hAnsi="黑体"/>
                <w:sz w:val="20"/>
                <w:szCs w:val="20"/>
              </w:rPr>
            </w:pPr>
            <w:r>
              <w:rPr>
                <w:rFonts w:ascii="黑体" w:eastAsia="黑体" w:hAnsi="黑体" w:hint="eastAsia"/>
                <w:sz w:val="20"/>
                <w:szCs w:val="20"/>
              </w:rPr>
              <w:t>校验</w:t>
            </w:r>
          </w:p>
        </w:tc>
      </w:tr>
      <w:tr w:rsidR="00A052DC" w14:paraId="13F37D25" w14:textId="77777777">
        <w:trPr>
          <w:jc w:val="center"/>
        </w:trPr>
        <w:tc>
          <w:tcPr>
            <w:tcW w:w="1108" w:type="dxa"/>
          </w:tcPr>
          <w:p w14:paraId="640C3A29" w14:textId="77777777" w:rsidR="00A052DC" w:rsidRDefault="009F0A60">
            <w:pPr>
              <w:rPr>
                <w:rFonts w:ascii="黑体" w:eastAsia="黑体" w:hAnsi="黑体"/>
                <w:sz w:val="20"/>
                <w:szCs w:val="20"/>
              </w:rPr>
            </w:pPr>
            <w:r>
              <w:rPr>
                <w:rFonts w:ascii="黑体" w:eastAsia="黑体" w:hAnsi="黑体" w:hint="eastAsia"/>
                <w:sz w:val="20"/>
                <w:szCs w:val="20"/>
              </w:rPr>
              <w:t>ACTIONTYPE</w:t>
            </w:r>
          </w:p>
        </w:tc>
        <w:tc>
          <w:tcPr>
            <w:tcW w:w="1701" w:type="dxa"/>
          </w:tcPr>
          <w:p w14:paraId="442019BA" w14:textId="77777777" w:rsidR="00A052DC" w:rsidRDefault="009F0A60">
            <w:pPr>
              <w:rPr>
                <w:rFonts w:ascii="黑体" w:eastAsia="黑体" w:hAnsi="黑体"/>
                <w:sz w:val="20"/>
                <w:szCs w:val="20"/>
              </w:rPr>
            </w:pPr>
            <w:r>
              <w:rPr>
                <w:rFonts w:ascii="黑体" w:eastAsia="黑体" w:hAnsi="黑体" w:hint="eastAsia"/>
                <w:sz w:val="20"/>
                <w:szCs w:val="20"/>
              </w:rPr>
              <w:t>操作类型</w:t>
            </w:r>
          </w:p>
        </w:tc>
        <w:tc>
          <w:tcPr>
            <w:tcW w:w="1417" w:type="dxa"/>
          </w:tcPr>
          <w:p w14:paraId="1E87BE74" w14:textId="77777777" w:rsidR="00A052DC" w:rsidRDefault="009F0A60">
            <w:pPr>
              <w:rPr>
                <w:rFonts w:ascii="黑体" w:eastAsia="黑体" w:hAnsi="黑体"/>
                <w:sz w:val="20"/>
                <w:szCs w:val="20"/>
              </w:rPr>
            </w:pPr>
            <w:r>
              <w:rPr>
                <w:rFonts w:ascii="黑体" w:eastAsia="黑体" w:hAnsi="黑体" w:hint="eastAsia"/>
                <w:sz w:val="20"/>
                <w:szCs w:val="20"/>
              </w:rPr>
              <w:t>字符型，1</w:t>
            </w:r>
          </w:p>
        </w:tc>
        <w:tc>
          <w:tcPr>
            <w:tcW w:w="4310" w:type="dxa"/>
          </w:tcPr>
          <w:p w14:paraId="58A21F5D" w14:textId="77777777" w:rsidR="00A052DC" w:rsidRDefault="009F0A60">
            <w:pPr>
              <w:rPr>
                <w:rFonts w:ascii="黑体" w:eastAsia="黑体" w:hAnsi="黑体"/>
                <w:sz w:val="20"/>
                <w:szCs w:val="20"/>
              </w:rPr>
            </w:pPr>
            <w:r>
              <w:rPr>
                <w:rFonts w:ascii="黑体" w:eastAsia="黑体" w:hAnsi="黑体" w:hint="eastAsia"/>
                <w:sz w:val="20"/>
                <w:szCs w:val="20"/>
              </w:rPr>
              <w:t>必填项</w:t>
            </w:r>
            <w:r w:rsidR="00191DE9">
              <w:rPr>
                <w:rFonts w:ascii="黑体" w:eastAsia="黑体" w:hAnsi="黑体" w:hint="eastAsia"/>
                <w:sz w:val="20"/>
                <w:szCs w:val="20"/>
              </w:rPr>
              <w:t>。</w:t>
            </w:r>
          </w:p>
          <w:p w14:paraId="5E9A079A" w14:textId="77777777" w:rsidR="00A052DC" w:rsidRDefault="009F0A60">
            <w:pPr>
              <w:rPr>
                <w:rFonts w:ascii="黑体" w:eastAsia="黑体" w:hAnsi="黑体"/>
                <w:sz w:val="20"/>
                <w:szCs w:val="20"/>
              </w:rPr>
            </w:pPr>
            <w:r>
              <w:rPr>
                <w:rFonts w:ascii="黑体" w:eastAsia="黑体" w:hAnsi="黑体" w:hint="eastAsia"/>
                <w:sz w:val="20"/>
                <w:szCs w:val="20"/>
              </w:rPr>
              <w:t>A</w:t>
            </w:r>
            <w:r w:rsidR="00AE4602">
              <w:rPr>
                <w:rFonts w:ascii="黑体" w:eastAsia="黑体" w:hAnsi="黑体" w:hint="eastAsia"/>
                <w:sz w:val="20"/>
                <w:szCs w:val="20"/>
              </w:rPr>
              <w:t>-</w:t>
            </w:r>
            <w:r>
              <w:rPr>
                <w:rFonts w:ascii="黑体" w:eastAsia="黑体" w:hAnsi="黑体" w:hint="eastAsia"/>
                <w:sz w:val="20"/>
                <w:szCs w:val="20"/>
              </w:rPr>
              <w:t>新建</w:t>
            </w:r>
          </w:p>
          <w:p w14:paraId="56229076" w14:textId="77777777" w:rsidR="00A052DC" w:rsidRDefault="009F0A60">
            <w:pPr>
              <w:rPr>
                <w:rFonts w:ascii="黑体" w:eastAsia="黑体" w:hAnsi="黑体"/>
                <w:sz w:val="20"/>
                <w:szCs w:val="20"/>
              </w:rPr>
            </w:pPr>
            <w:r>
              <w:rPr>
                <w:rFonts w:ascii="黑体" w:eastAsia="黑体" w:hAnsi="黑体" w:hint="eastAsia"/>
                <w:sz w:val="20"/>
                <w:szCs w:val="20"/>
              </w:rPr>
              <w:t>C</w:t>
            </w:r>
            <w:r w:rsidR="00AE4602">
              <w:rPr>
                <w:rFonts w:ascii="黑体" w:eastAsia="黑体" w:hAnsi="黑体" w:hint="eastAsia"/>
                <w:sz w:val="20"/>
                <w:szCs w:val="20"/>
              </w:rPr>
              <w:t>-</w:t>
            </w:r>
            <w:r>
              <w:rPr>
                <w:rFonts w:ascii="黑体" w:eastAsia="黑体" w:hAnsi="黑体" w:hint="eastAsia"/>
                <w:sz w:val="20"/>
                <w:szCs w:val="20"/>
              </w:rPr>
              <w:t>修改</w:t>
            </w:r>
          </w:p>
          <w:p w14:paraId="070CDFD4" w14:textId="77777777" w:rsidR="00A052DC" w:rsidRDefault="009F0A60">
            <w:pPr>
              <w:rPr>
                <w:rFonts w:ascii="黑体" w:eastAsia="黑体" w:hAnsi="黑体"/>
                <w:sz w:val="20"/>
                <w:szCs w:val="20"/>
              </w:rPr>
            </w:pPr>
            <w:r>
              <w:rPr>
                <w:rFonts w:ascii="黑体" w:eastAsia="黑体" w:hAnsi="黑体" w:hint="eastAsia"/>
                <w:sz w:val="20"/>
                <w:szCs w:val="20"/>
              </w:rPr>
              <w:t>D</w:t>
            </w:r>
            <w:r w:rsidR="00AE4602">
              <w:rPr>
                <w:rFonts w:ascii="黑体" w:eastAsia="黑体" w:hAnsi="黑体" w:hint="eastAsia"/>
                <w:sz w:val="20"/>
                <w:szCs w:val="20"/>
              </w:rPr>
              <w:t>-</w:t>
            </w:r>
            <w:r>
              <w:rPr>
                <w:rFonts w:ascii="黑体" w:eastAsia="黑体" w:hAnsi="黑体" w:hint="eastAsia"/>
                <w:sz w:val="20"/>
                <w:szCs w:val="20"/>
              </w:rPr>
              <w:t>删除</w:t>
            </w:r>
          </w:p>
        </w:tc>
      </w:tr>
      <w:tr w:rsidR="00A052DC" w14:paraId="3929FAA3" w14:textId="77777777">
        <w:trPr>
          <w:jc w:val="center"/>
        </w:trPr>
        <w:tc>
          <w:tcPr>
            <w:tcW w:w="1108" w:type="dxa"/>
          </w:tcPr>
          <w:p w14:paraId="7F149F99" w14:textId="77777777" w:rsidR="00A052DC" w:rsidRDefault="009F0A60">
            <w:pPr>
              <w:rPr>
                <w:rFonts w:ascii="黑体" w:eastAsia="黑体" w:hAnsi="黑体"/>
                <w:sz w:val="20"/>
                <w:szCs w:val="20"/>
              </w:rPr>
            </w:pPr>
            <w:r>
              <w:rPr>
                <w:rFonts w:ascii="黑体" w:eastAsia="黑体" w:hAnsi="黑体" w:hint="eastAsia"/>
                <w:sz w:val="20"/>
                <w:szCs w:val="20"/>
              </w:rPr>
              <w:t>ACTIONDESC</w:t>
            </w:r>
          </w:p>
        </w:tc>
        <w:tc>
          <w:tcPr>
            <w:tcW w:w="1701" w:type="dxa"/>
          </w:tcPr>
          <w:p w14:paraId="553BA266" w14:textId="77777777" w:rsidR="00A052DC" w:rsidRDefault="009F0A60">
            <w:pPr>
              <w:rPr>
                <w:rFonts w:ascii="黑体" w:eastAsia="黑体" w:hAnsi="黑体"/>
                <w:sz w:val="20"/>
                <w:szCs w:val="20"/>
              </w:rPr>
            </w:pPr>
            <w:r>
              <w:rPr>
                <w:rFonts w:ascii="黑体" w:eastAsia="黑体" w:hAnsi="黑体" w:hint="eastAsia"/>
                <w:sz w:val="20"/>
                <w:szCs w:val="20"/>
              </w:rPr>
              <w:t>删除原因</w:t>
            </w:r>
          </w:p>
        </w:tc>
        <w:tc>
          <w:tcPr>
            <w:tcW w:w="1417" w:type="dxa"/>
          </w:tcPr>
          <w:p w14:paraId="6BD1F998"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4310" w:type="dxa"/>
          </w:tcPr>
          <w:p w14:paraId="7161348D" w14:textId="77777777" w:rsidR="00A052DC" w:rsidRDefault="00DD6AA3">
            <w:pPr>
              <w:rPr>
                <w:rFonts w:ascii="黑体" w:eastAsia="黑体" w:hAnsi="黑体"/>
                <w:sz w:val="20"/>
                <w:szCs w:val="20"/>
              </w:rPr>
            </w:pPr>
            <w:r>
              <w:rPr>
                <w:rFonts w:ascii="黑体" w:eastAsia="黑体" w:hAnsi="黑体" w:hint="eastAsia"/>
                <w:sz w:val="20"/>
                <w:szCs w:val="20"/>
              </w:rPr>
              <w:t>非必填项，当操作类型（ACTIONTYPE）为删除时必填。</w:t>
            </w:r>
          </w:p>
        </w:tc>
      </w:tr>
      <w:tr w:rsidR="00A052DC" w14:paraId="4F703BC1" w14:textId="77777777">
        <w:trPr>
          <w:jc w:val="center"/>
        </w:trPr>
        <w:tc>
          <w:tcPr>
            <w:tcW w:w="1108" w:type="dxa"/>
          </w:tcPr>
          <w:p w14:paraId="1A810AF8" w14:textId="77777777" w:rsidR="00A052DC" w:rsidRDefault="009F0A60">
            <w:pPr>
              <w:rPr>
                <w:rFonts w:ascii="黑体" w:eastAsia="黑体" w:hAnsi="黑体"/>
                <w:sz w:val="20"/>
                <w:szCs w:val="20"/>
              </w:rPr>
            </w:pPr>
            <w:r>
              <w:rPr>
                <w:rFonts w:ascii="黑体" w:eastAsia="黑体" w:hAnsi="黑体" w:hint="eastAsia"/>
                <w:sz w:val="20"/>
                <w:szCs w:val="20"/>
              </w:rPr>
              <w:t>SNOCODE</w:t>
            </w:r>
          </w:p>
        </w:tc>
        <w:tc>
          <w:tcPr>
            <w:tcW w:w="1701" w:type="dxa"/>
          </w:tcPr>
          <w:p w14:paraId="638E9812" w14:textId="77777777" w:rsidR="00A052DC" w:rsidRDefault="009F0A60">
            <w:pPr>
              <w:rPr>
                <w:rFonts w:ascii="黑体" w:eastAsia="黑体" w:hAnsi="黑体"/>
                <w:sz w:val="20"/>
                <w:szCs w:val="20"/>
              </w:rPr>
            </w:pPr>
            <w:r>
              <w:rPr>
                <w:rFonts w:ascii="黑体" w:eastAsia="黑体" w:hAnsi="黑体" w:hint="eastAsia"/>
                <w:sz w:val="20"/>
                <w:szCs w:val="20"/>
              </w:rPr>
              <w:t>数据自编码</w:t>
            </w:r>
          </w:p>
        </w:tc>
        <w:tc>
          <w:tcPr>
            <w:tcW w:w="1417" w:type="dxa"/>
          </w:tcPr>
          <w:p w14:paraId="706CCB6B" w14:textId="77777777" w:rsidR="00A052DC" w:rsidRDefault="009F0A60">
            <w:pPr>
              <w:rPr>
                <w:rFonts w:ascii="黑体" w:eastAsia="黑体" w:hAnsi="黑体"/>
                <w:sz w:val="20"/>
                <w:szCs w:val="20"/>
              </w:rPr>
            </w:pPr>
            <w:r>
              <w:rPr>
                <w:rFonts w:ascii="黑体" w:eastAsia="黑体" w:hAnsi="黑体" w:hint="eastAsia"/>
                <w:sz w:val="20"/>
                <w:szCs w:val="20"/>
              </w:rPr>
              <w:t>字符型，36</w:t>
            </w:r>
          </w:p>
        </w:tc>
        <w:tc>
          <w:tcPr>
            <w:tcW w:w="4310" w:type="dxa"/>
          </w:tcPr>
          <w:p w14:paraId="18C4C2C2" w14:textId="77777777" w:rsidR="00A052DC" w:rsidRDefault="009F0A60">
            <w:pPr>
              <w:rPr>
                <w:rFonts w:ascii="黑体" w:eastAsia="黑体" w:hAnsi="黑体"/>
                <w:sz w:val="20"/>
                <w:szCs w:val="20"/>
              </w:rPr>
            </w:pPr>
            <w:r>
              <w:rPr>
                <w:rFonts w:ascii="黑体" w:eastAsia="黑体" w:hAnsi="黑体" w:hint="eastAsia"/>
                <w:sz w:val="20"/>
                <w:szCs w:val="20"/>
              </w:rPr>
              <w:t>必填项，</w:t>
            </w:r>
            <w:r>
              <w:rPr>
                <w:rFonts w:ascii="黑体" w:eastAsia="黑体" w:hAnsi="黑体"/>
                <w:sz w:val="20"/>
                <w:szCs w:val="20"/>
              </w:rPr>
              <w:t>对于接口报送的填报主体，数据自编码中的报送期（6位）应与报告期（YYYYMM）一致。</w:t>
            </w:r>
          </w:p>
        </w:tc>
      </w:tr>
      <w:tr w:rsidR="00A052DC" w14:paraId="6CB7B722" w14:textId="77777777">
        <w:trPr>
          <w:jc w:val="center"/>
        </w:trPr>
        <w:tc>
          <w:tcPr>
            <w:tcW w:w="1108" w:type="dxa"/>
          </w:tcPr>
          <w:p w14:paraId="1FB14C8F" w14:textId="77777777" w:rsidR="00A052DC" w:rsidRDefault="009F0A60">
            <w:pPr>
              <w:rPr>
                <w:rFonts w:ascii="黑体" w:eastAsia="黑体" w:hAnsi="黑体"/>
                <w:sz w:val="20"/>
                <w:szCs w:val="20"/>
              </w:rPr>
            </w:pPr>
            <w:r>
              <w:rPr>
                <w:rFonts w:ascii="黑体" w:eastAsia="黑体" w:hAnsi="黑体" w:hint="eastAsia"/>
                <w:sz w:val="20"/>
                <w:szCs w:val="20"/>
              </w:rPr>
              <w:t>OBJCODE</w:t>
            </w:r>
          </w:p>
        </w:tc>
        <w:tc>
          <w:tcPr>
            <w:tcW w:w="1701" w:type="dxa"/>
          </w:tcPr>
          <w:p w14:paraId="6FD2BD92" w14:textId="77777777" w:rsidR="00A052DC" w:rsidRDefault="009F0A60">
            <w:pPr>
              <w:rPr>
                <w:rFonts w:ascii="黑体" w:eastAsia="黑体" w:hAnsi="黑体"/>
                <w:sz w:val="20"/>
                <w:szCs w:val="20"/>
              </w:rPr>
            </w:pPr>
            <w:r>
              <w:rPr>
                <w:rFonts w:ascii="黑体" w:eastAsia="黑体" w:hAnsi="黑体" w:hint="eastAsia"/>
                <w:sz w:val="20"/>
                <w:szCs w:val="20"/>
              </w:rPr>
              <w:t>申报主体代码</w:t>
            </w:r>
          </w:p>
        </w:tc>
        <w:tc>
          <w:tcPr>
            <w:tcW w:w="1417" w:type="dxa"/>
          </w:tcPr>
          <w:p w14:paraId="02BF9004" w14:textId="77777777" w:rsidR="00A052DC" w:rsidRDefault="009F0A60">
            <w:pPr>
              <w:rPr>
                <w:rFonts w:ascii="黑体" w:eastAsia="黑体" w:hAnsi="黑体"/>
                <w:sz w:val="20"/>
                <w:szCs w:val="20"/>
              </w:rPr>
            </w:pPr>
            <w:r>
              <w:rPr>
                <w:rFonts w:ascii="黑体" w:eastAsia="黑体" w:hAnsi="黑体" w:hint="eastAsia"/>
                <w:sz w:val="20"/>
                <w:szCs w:val="20"/>
              </w:rPr>
              <w:t>字符型，18</w:t>
            </w:r>
          </w:p>
        </w:tc>
        <w:tc>
          <w:tcPr>
            <w:tcW w:w="4310" w:type="dxa"/>
          </w:tcPr>
          <w:p w14:paraId="0A04943E" w14:textId="77777777" w:rsidR="00A052DC" w:rsidRDefault="009F0A60">
            <w:pPr>
              <w:rPr>
                <w:rFonts w:ascii="黑体" w:eastAsia="黑体" w:hAnsi="黑体"/>
                <w:sz w:val="20"/>
                <w:szCs w:val="20"/>
              </w:rPr>
            </w:pPr>
            <w:r>
              <w:rPr>
                <w:rFonts w:ascii="黑体" w:eastAsia="黑体" w:hAnsi="黑体" w:hint="eastAsia"/>
                <w:sz w:val="20"/>
                <w:szCs w:val="20"/>
              </w:rPr>
              <w:t>申报主体的12位金融机构标识码，如果没有金融机构标识码，则填报统一社会信用代码法定载体（如营业执照）上统一社会信用代码中的第9至17位或国家外汇管理局及其分支局签发的特殊机构代码赋码通知书上的机构代码、个人身份代码。</w:t>
            </w:r>
          </w:p>
        </w:tc>
      </w:tr>
      <w:tr w:rsidR="00A052DC" w14:paraId="7770D742" w14:textId="77777777">
        <w:trPr>
          <w:jc w:val="center"/>
        </w:trPr>
        <w:tc>
          <w:tcPr>
            <w:tcW w:w="1108" w:type="dxa"/>
          </w:tcPr>
          <w:p w14:paraId="5EF9956B" w14:textId="77777777" w:rsidR="00A052DC" w:rsidRDefault="009F0A60">
            <w:pPr>
              <w:rPr>
                <w:rFonts w:ascii="黑体" w:eastAsia="黑体" w:hAnsi="黑体"/>
                <w:sz w:val="20"/>
                <w:szCs w:val="20"/>
              </w:rPr>
            </w:pPr>
            <w:r>
              <w:rPr>
                <w:rFonts w:ascii="黑体" w:eastAsia="黑体" w:hAnsi="黑体" w:hint="eastAsia"/>
                <w:sz w:val="20"/>
                <w:szCs w:val="20"/>
              </w:rPr>
              <w:t>BUOCMONTH</w:t>
            </w:r>
          </w:p>
        </w:tc>
        <w:tc>
          <w:tcPr>
            <w:tcW w:w="1701" w:type="dxa"/>
          </w:tcPr>
          <w:p w14:paraId="27E6012A" w14:textId="77777777" w:rsidR="00A052DC" w:rsidRDefault="009F0A60">
            <w:pPr>
              <w:rPr>
                <w:rFonts w:ascii="黑体" w:eastAsia="黑体" w:hAnsi="黑体"/>
                <w:sz w:val="20"/>
                <w:szCs w:val="20"/>
              </w:rPr>
            </w:pPr>
            <w:r>
              <w:rPr>
                <w:rFonts w:ascii="黑体" w:eastAsia="黑体" w:hAnsi="黑体" w:hint="eastAsia"/>
                <w:sz w:val="20"/>
                <w:szCs w:val="20"/>
              </w:rPr>
              <w:t>报告期</w:t>
            </w:r>
          </w:p>
        </w:tc>
        <w:tc>
          <w:tcPr>
            <w:tcW w:w="1417" w:type="dxa"/>
          </w:tcPr>
          <w:p w14:paraId="3DC77330" w14:textId="77777777" w:rsidR="00A052DC" w:rsidRDefault="009F0A60">
            <w:pPr>
              <w:rPr>
                <w:rFonts w:ascii="黑体" w:eastAsia="黑体" w:hAnsi="黑体"/>
                <w:sz w:val="20"/>
                <w:szCs w:val="20"/>
              </w:rPr>
            </w:pPr>
            <w:r>
              <w:rPr>
                <w:rFonts w:ascii="黑体" w:eastAsia="黑体" w:hAnsi="黑体" w:hint="eastAsia"/>
                <w:sz w:val="20"/>
                <w:szCs w:val="20"/>
              </w:rPr>
              <w:t>数值型，6</w:t>
            </w:r>
          </w:p>
        </w:tc>
        <w:tc>
          <w:tcPr>
            <w:tcW w:w="4310" w:type="dxa"/>
          </w:tcPr>
          <w:p w14:paraId="279AC47E" w14:textId="77777777" w:rsidR="00A052DC" w:rsidRDefault="009F0A60">
            <w:pPr>
              <w:rPr>
                <w:rFonts w:ascii="黑体" w:eastAsia="黑体" w:hAnsi="黑体"/>
                <w:sz w:val="20"/>
                <w:szCs w:val="20"/>
              </w:rPr>
            </w:pPr>
            <w:r>
              <w:rPr>
                <w:rFonts w:ascii="黑体" w:eastAsia="黑体" w:hAnsi="黑体" w:hint="eastAsia"/>
                <w:sz w:val="20"/>
                <w:szCs w:val="20"/>
              </w:rPr>
              <w:t>必填项，格式为YYYYMM。</w:t>
            </w:r>
          </w:p>
        </w:tc>
      </w:tr>
      <w:tr w:rsidR="00A052DC" w14:paraId="33F7F206" w14:textId="77777777">
        <w:trPr>
          <w:jc w:val="center"/>
        </w:trPr>
        <w:tc>
          <w:tcPr>
            <w:tcW w:w="1108" w:type="dxa"/>
          </w:tcPr>
          <w:p w14:paraId="3EFEF5BD" w14:textId="77777777" w:rsidR="00A052DC" w:rsidRDefault="009F0A60">
            <w:pPr>
              <w:rPr>
                <w:rFonts w:ascii="黑体" w:eastAsia="黑体" w:hAnsi="黑体"/>
                <w:sz w:val="20"/>
                <w:szCs w:val="20"/>
              </w:rPr>
            </w:pPr>
            <w:r>
              <w:rPr>
                <w:rFonts w:ascii="黑体" w:eastAsia="黑体" w:hAnsi="黑体" w:hint="eastAsia"/>
                <w:sz w:val="20"/>
                <w:szCs w:val="20"/>
              </w:rPr>
              <w:t>C0101</w:t>
            </w:r>
          </w:p>
        </w:tc>
        <w:tc>
          <w:tcPr>
            <w:tcW w:w="1701" w:type="dxa"/>
          </w:tcPr>
          <w:p w14:paraId="562629C0" w14:textId="77777777" w:rsidR="00A052DC" w:rsidRDefault="009F0A60">
            <w:pPr>
              <w:rPr>
                <w:rFonts w:ascii="黑体" w:eastAsia="黑体" w:hAnsi="黑体"/>
                <w:sz w:val="20"/>
                <w:szCs w:val="20"/>
              </w:rPr>
            </w:pPr>
            <w:r>
              <w:rPr>
                <w:rFonts w:ascii="黑体" w:eastAsia="黑体" w:hAnsi="黑体" w:hint="eastAsia"/>
                <w:sz w:val="20"/>
                <w:szCs w:val="20"/>
              </w:rPr>
              <w:t>申报主体身份</w:t>
            </w:r>
          </w:p>
        </w:tc>
        <w:tc>
          <w:tcPr>
            <w:tcW w:w="1417" w:type="dxa"/>
          </w:tcPr>
          <w:p w14:paraId="111C9FA4" w14:textId="77777777" w:rsidR="00A052DC" w:rsidRDefault="009F0A60">
            <w:pPr>
              <w:rPr>
                <w:rFonts w:ascii="黑体" w:eastAsia="黑体" w:hAnsi="黑体"/>
                <w:sz w:val="20"/>
                <w:szCs w:val="20"/>
              </w:rPr>
            </w:pPr>
            <w:r>
              <w:rPr>
                <w:rFonts w:ascii="黑体" w:eastAsia="黑体" w:hAnsi="黑体" w:hint="eastAsia"/>
                <w:sz w:val="20"/>
                <w:szCs w:val="20"/>
              </w:rPr>
              <w:t>整数型</w:t>
            </w:r>
          </w:p>
        </w:tc>
        <w:tc>
          <w:tcPr>
            <w:tcW w:w="4310" w:type="dxa"/>
          </w:tcPr>
          <w:p w14:paraId="122517D8" w14:textId="77777777" w:rsidR="00A052DC" w:rsidRDefault="009F0A60">
            <w:pPr>
              <w:rPr>
                <w:rFonts w:ascii="黑体" w:eastAsia="黑体" w:hAnsi="黑体"/>
                <w:sz w:val="20"/>
                <w:szCs w:val="20"/>
              </w:rPr>
            </w:pPr>
            <w:r>
              <w:rPr>
                <w:rFonts w:ascii="黑体" w:eastAsia="黑体" w:hAnsi="黑体" w:hint="eastAsia"/>
                <w:sz w:val="20"/>
                <w:szCs w:val="20"/>
              </w:rPr>
              <w:t>必填项，必须3选1</w:t>
            </w:r>
            <w:r w:rsidR="00191DE9">
              <w:rPr>
                <w:rFonts w:ascii="黑体" w:eastAsia="黑体" w:hAnsi="黑体" w:hint="eastAsia"/>
                <w:sz w:val="20"/>
                <w:szCs w:val="20"/>
              </w:rPr>
              <w:t>：</w:t>
            </w:r>
          </w:p>
          <w:p w14:paraId="341074F6" w14:textId="77777777" w:rsidR="00A052DC" w:rsidRDefault="009F0A60">
            <w:pPr>
              <w:rPr>
                <w:rFonts w:ascii="黑体" w:eastAsia="黑体" w:hAnsi="黑体"/>
                <w:sz w:val="20"/>
                <w:szCs w:val="20"/>
              </w:rPr>
            </w:pPr>
            <w:r>
              <w:rPr>
                <w:rFonts w:ascii="黑体" w:eastAsia="黑体" w:hAnsi="黑体" w:hint="eastAsia"/>
                <w:sz w:val="20"/>
                <w:szCs w:val="20"/>
              </w:rPr>
              <w:t>1-以自身名义投资（无境内托管人、代理人或管理人）；</w:t>
            </w:r>
          </w:p>
          <w:p w14:paraId="7663E3BF" w14:textId="77777777" w:rsidR="00A052DC" w:rsidRDefault="009F0A60">
            <w:pPr>
              <w:rPr>
                <w:rFonts w:ascii="黑体" w:eastAsia="黑体" w:hAnsi="黑体"/>
                <w:sz w:val="20"/>
                <w:szCs w:val="20"/>
              </w:rPr>
            </w:pPr>
            <w:r>
              <w:rPr>
                <w:rFonts w:ascii="黑体" w:eastAsia="黑体" w:hAnsi="黑体" w:hint="eastAsia"/>
                <w:sz w:val="20"/>
                <w:szCs w:val="20"/>
              </w:rPr>
              <w:t>2-是代理人或管理人，以客户或产品名义投资；</w:t>
            </w:r>
          </w:p>
          <w:p w14:paraId="7125032E" w14:textId="77777777" w:rsidR="00A052DC" w:rsidRDefault="009F0A60">
            <w:pPr>
              <w:rPr>
                <w:rFonts w:ascii="黑体" w:eastAsia="黑体" w:hAnsi="黑体"/>
                <w:sz w:val="20"/>
                <w:szCs w:val="20"/>
              </w:rPr>
            </w:pPr>
            <w:r>
              <w:rPr>
                <w:rFonts w:ascii="黑体" w:eastAsia="黑体" w:hAnsi="黑体" w:hint="eastAsia"/>
                <w:sz w:val="20"/>
                <w:szCs w:val="20"/>
              </w:rPr>
              <w:t>3-是境内结算机构或交易所，从居民投资者角度填报。</w:t>
            </w:r>
          </w:p>
        </w:tc>
      </w:tr>
      <w:tr w:rsidR="00A052DC" w14:paraId="6BE25C5B" w14:textId="77777777">
        <w:trPr>
          <w:jc w:val="center"/>
        </w:trPr>
        <w:tc>
          <w:tcPr>
            <w:tcW w:w="1108" w:type="dxa"/>
          </w:tcPr>
          <w:p w14:paraId="4A0CA2D3" w14:textId="77777777" w:rsidR="00A052DC" w:rsidRDefault="009F0A60">
            <w:pPr>
              <w:rPr>
                <w:rFonts w:ascii="黑体" w:eastAsia="黑体" w:hAnsi="黑体"/>
                <w:sz w:val="20"/>
                <w:szCs w:val="20"/>
              </w:rPr>
            </w:pPr>
            <w:r>
              <w:rPr>
                <w:rFonts w:ascii="黑体" w:eastAsia="黑体" w:hAnsi="黑体" w:hint="eastAsia"/>
                <w:sz w:val="20"/>
                <w:szCs w:val="20"/>
              </w:rPr>
              <w:t>C0102</w:t>
            </w:r>
          </w:p>
        </w:tc>
        <w:tc>
          <w:tcPr>
            <w:tcW w:w="1701" w:type="dxa"/>
          </w:tcPr>
          <w:p w14:paraId="61CF5FE7" w14:textId="77777777" w:rsidR="00A052DC" w:rsidRDefault="009F0A60">
            <w:pPr>
              <w:rPr>
                <w:rFonts w:ascii="黑体" w:eastAsia="黑体" w:hAnsi="黑体"/>
                <w:sz w:val="20"/>
                <w:szCs w:val="20"/>
              </w:rPr>
            </w:pPr>
            <w:r>
              <w:rPr>
                <w:rFonts w:ascii="黑体" w:eastAsia="黑体" w:hAnsi="黑体" w:hint="eastAsia"/>
                <w:sz w:val="20"/>
                <w:szCs w:val="20"/>
              </w:rPr>
              <w:t>居民被代理人/委托人所属国家/地区</w:t>
            </w:r>
          </w:p>
        </w:tc>
        <w:tc>
          <w:tcPr>
            <w:tcW w:w="1417" w:type="dxa"/>
          </w:tcPr>
          <w:p w14:paraId="6B9F064B" w14:textId="77777777" w:rsidR="00A052DC" w:rsidRDefault="009F0A60">
            <w:pPr>
              <w:rPr>
                <w:rFonts w:ascii="黑体" w:eastAsia="黑体" w:hAnsi="黑体"/>
                <w:sz w:val="20"/>
                <w:szCs w:val="20"/>
              </w:rPr>
            </w:pPr>
            <w:r>
              <w:rPr>
                <w:rFonts w:ascii="黑体" w:eastAsia="黑体" w:hAnsi="黑体" w:hint="eastAsia"/>
                <w:sz w:val="20"/>
                <w:szCs w:val="20"/>
              </w:rPr>
              <w:t>字符型，3</w:t>
            </w:r>
          </w:p>
        </w:tc>
        <w:tc>
          <w:tcPr>
            <w:tcW w:w="4310" w:type="dxa"/>
          </w:tcPr>
          <w:p w14:paraId="4EC1623B" w14:textId="77777777" w:rsidR="00A052DC" w:rsidRDefault="009F0A60">
            <w:pPr>
              <w:rPr>
                <w:rFonts w:ascii="黑体" w:eastAsia="黑体" w:hAnsi="黑体"/>
                <w:sz w:val="20"/>
                <w:szCs w:val="20"/>
              </w:rPr>
            </w:pPr>
            <w:r>
              <w:rPr>
                <w:rFonts w:ascii="黑体" w:eastAsia="黑体" w:hAnsi="黑体" w:hint="eastAsia"/>
                <w:sz w:val="20"/>
                <w:szCs w:val="20"/>
              </w:rPr>
              <w:t>非必填项。如C0101=1，则该字段为空；如C0101=2或3，则该字段必须=CHN（中国），见国家和地区代码的3位字母代码。</w:t>
            </w:r>
          </w:p>
        </w:tc>
      </w:tr>
      <w:tr w:rsidR="00A052DC" w14:paraId="5E6343F5" w14:textId="77777777">
        <w:trPr>
          <w:jc w:val="center"/>
        </w:trPr>
        <w:tc>
          <w:tcPr>
            <w:tcW w:w="1108" w:type="dxa"/>
          </w:tcPr>
          <w:p w14:paraId="65FDF09D" w14:textId="77777777" w:rsidR="00A052DC" w:rsidRDefault="009F0A60">
            <w:pPr>
              <w:rPr>
                <w:rFonts w:ascii="黑体" w:eastAsia="黑体" w:hAnsi="黑体"/>
                <w:sz w:val="20"/>
                <w:szCs w:val="20"/>
              </w:rPr>
            </w:pPr>
            <w:r>
              <w:rPr>
                <w:rFonts w:ascii="黑体" w:eastAsia="黑体" w:hAnsi="黑体" w:hint="eastAsia"/>
                <w:sz w:val="20"/>
                <w:szCs w:val="20"/>
              </w:rPr>
              <w:t>C0103</w:t>
            </w:r>
          </w:p>
        </w:tc>
        <w:tc>
          <w:tcPr>
            <w:tcW w:w="1701" w:type="dxa"/>
          </w:tcPr>
          <w:p w14:paraId="5A04A40E" w14:textId="77777777" w:rsidR="00A052DC" w:rsidRDefault="009F0A60">
            <w:pPr>
              <w:rPr>
                <w:rFonts w:ascii="黑体" w:eastAsia="黑体" w:hAnsi="黑体"/>
                <w:sz w:val="20"/>
                <w:szCs w:val="20"/>
              </w:rPr>
            </w:pPr>
            <w:r>
              <w:rPr>
                <w:rFonts w:ascii="黑体" w:eastAsia="黑体" w:hAnsi="黑体" w:hint="eastAsia"/>
                <w:sz w:val="20"/>
                <w:szCs w:val="20"/>
              </w:rPr>
              <w:t>居民被代理人/委托人所属部门</w:t>
            </w:r>
          </w:p>
        </w:tc>
        <w:tc>
          <w:tcPr>
            <w:tcW w:w="1417" w:type="dxa"/>
          </w:tcPr>
          <w:p w14:paraId="7F1691F0" w14:textId="77777777" w:rsidR="00A052DC" w:rsidRDefault="009F0A60">
            <w:pPr>
              <w:rPr>
                <w:rFonts w:ascii="黑体" w:eastAsia="黑体" w:hAnsi="黑体"/>
                <w:sz w:val="20"/>
                <w:szCs w:val="20"/>
              </w:rPr>
            </w:pPr>
            <w:r>
              <w:rPr>
                <w:rFonts w:ascii="黑体" w:eastAsia="黑体" w:hAnsi="黑体" w:hint="eastAsia"/>
                <w:sz w:val="20"/>
                <w:szCs w:val="20"/>
              </w:rPr>
              <w:t>整数型</w:t>
            </w:r>
          </w:p>
        </w:tc>
        <w:tc>
          <w:tcPr>
            <w:tcW w:w="4310" w:type="dxa"/>
          </w:tcPr>
          <w:p w14:paraId="1FE990C3" w14:textId="77777777" w:rsidR="00A052DC" w:rsidRDefault="009F0A60">
            <w:pPr>
              <w:rPr>
                <w:rFonts w:ascii="黑体" w:eastAsia="黑体" w:hAnsi="黑体"/>
                <w:sz w:val="20"/>
                <w:szCs w:val="20"/>
              </w:rPr>
            </w:pPr>
            <w:r>
              <w:rPr>
                <w:rFonts w:ascii="黑体" w:eastAsia="黑体" w:hAnsi="黑体" w:hint="eastAsia"/>
                <w:sz w:val="20"/>
                <w:szCs w:val="20"/>
              </w:rPr>
              <w:t>非必填项。如C0101=1，则该字段为空；如C0101=2或3，则参见投资者（被投资者）部门代码表。</w:t>
            </w:r>
          </w:p>
        </w:tc>
      </w:tr>
      <w:tr w:rsidR="00A052DC" w14:paraId="0852F074" w14:textId="77777777">
        <w:trPr>
          <w:jc w:val="center"/>
        </w:trPr>
        <w:tc>
          <w:tcPr>
            <w:tcW w:w="1108" w:type="dxa"/>
          </w:tcPr>
          <w:p w14:paraId="2132F3E9" w14:textId="77777777" w:rsidR="00A052DC" w:rsidRDefault="009F0A60">
            <w:pPr>
              <w:rPr>
                <w:rFonts w:ascii="黑体" w:eastAsia="黑体" w:hAnsi="黑体"/>
                <w:sz w:val="20"/>
                <w:szCs w:val="20"/>
              </w:rPr>
            </w:pPr>
            <w:r>
              <w:rPr>
                <w:rFonts w:ascii="黑体" w:eastAsia="黑体" w:hAnsi="黑体" w:hint="eastAsia"/>
                <w:sz w:val="20"/>
                <w:szCs w:val="20"/>
              </w:rPr>
              <w:t>C0104</w:t>
            </w:r>
          </w:p>
        </w:tc>
        <w:tc>
          <w:tcPr>
            <w:tcW w:w="1701" w:type="dxa"/>
          </w:tcPr>
          <w:p w14:paraId="3AC3E652" w14:textId="77777777" w:rsidR="00A052DC" w:rsidRDefault="009F0A60">
            <w:pPr>
              <w:rPr>
                <w:rFonts w:ascii="黑体" w:eastAsia="黑体" w:hAnsi="黑体"/>
                <w:sz w:val="20"/>
                <w:szCs w:val="20"/>
              </w:rPr>
            </w:pPr>
            <w:r>
              <w:rPr>
                <w:rFonts w:ascii="黑体" w:eastAsia="黑体" w:hAnsi="黑体" w:hint="eastAsia"/>
                <w:sz w:val="20"/>
                <w:szCs w:val="20"/>
              </w:rPr>
              <w:t>合约类别</w:t>
            </w:r>
          </w:p>
        </w:tc>
        <w:tc>
          <w:tcPr>
            <w:tcW w:w="1417" w:type="dxa"/>
          </w:tcPr>
          <w:p w14:paraId="0867A5DE" w14:textId="77777777" w:rsidR="00A052DC" w:rsidRDefault="009F0A60">
            <w:pPr>
              <w:rPr>
                <w:rFonts w:ascii="黑体" w:eastAsia="黑体" w:hAnsi="黑体"/>
                <w:sz w:val="20"/>
                <w:szCs w:val="20"/>
              </w:rPr>
            </w:pPr>
            <w:r>
              <w:rPr>
                <w:rFonts w:ascii="黑体" w:eastAsia="黑体" w:hAnsi="黑体" w:hint="eastAsia"/>
                <w:sz w:val="20"/>
                <w:szCs w:val="20"/>
              </w:rPr>
              <w:t>整数型</w:t>
            </w:r>
          </w:p>
        </w:tc>
        <w:tc>
          <w:tcPr>
            <w:tcW w:w="4310" w:type="dxa"/>
          </w:tcPr>
          <w:p w14:paraId="0B52F378" w14:textId="77777777" w:rsidR="00A052DC" w:rsidRDefault="009F0A60">
            <w:pPr>
              <w:rPr>
                <w:rFonts w:ascii="黑体" w:eastAsia="黑体" w:hAnsi="黑体"/>
                <w:b/>
                <w:bCs/>
                <w:sz w:val="20"/>
                <w:szCs w:val="20"/>
              </w:rPr>
            </w:pPr>
            <w:r>
              <w:rPr>
                <w:rFonts w:ascii="黑体" w:eastAsia="黑体" w:hAnsi="黑体" w:hint="eastAsia"/>
                <w:sz w:val="20"/>
                <w:szCs w:val="20"/>
              </w:rPr>
              <w:t>必填项，必须8选1。见金融衍生产品的合约类别代码表。</w:t>
            </w:r>
          </w:p>
        </w:tc>
      </w:tr>
      <w:tr w:rsidR="00A052DC" w14:paraId="77B23577" w14:textId="77777777">
        <w:trPr>
          <w:jc w:val="center"/>
        </w:trPr>
        <w:tc>
          <w:tcPr>
            <w:tcW w:w="1108" w:type="dxa"/>
          </w:tcPr>
          <w:p w14:paraId="70DF4BE8" w14:textId="77777777" w:rsidR="00A052DC" w:rsidRDefault="009F0A60">
            <w:pPr>
              <w:rPr>
                <w:rFonts w:ascii="黑体" w:eastAsia="黑体" w:hAnsi="黑体"/>
                <w:sz w:val="20"/>
                <w:szCs w:val="20"/>
              </w:rPr>
            </w:pPr>
            <w:r>
              <w:rPr>
                <w:rFonts w:ascii="黑体" w:eastAsia="黑体" w:hAnsi="黑体" w:hint="eastAsia"/>
                <w:sz w:val="20"/>
                <w:szCs w:val="20"/>
              </w:rPr>
              <w:t>C0105</w:t>
            </w:r>
          </w:p>
        </w:tc>
        <w:tc>
          <w:tcPr>
            <w:tcW w:w="1701" w:type="dxa"/>
          </w:tcPr>
          <w:p w14:paraId="41700535" w14:textId="77777777" w:rsidR="00A052DC" w:rsidRDefault="009F0A60">
            <w:pPr>
              <w:rPr>
                <w:rFonts w:ascii="黑体" w:eastAsia="黑体" w:hAnsi="黑体"/>
                <w:sz w:val="20"/>
                <w:szCs w:val="20"/>
              </w:rPr>
            </w:pPr>
            <w:r>
              <w:rPr>
                <w:rFonts w:ascii="黑体" w:eastAsia="黑体" w:hAnsi="黑体" w:hint="eastAsia"/>
                <w:sz w:val="20"/>
                <w:szCs w:val="20"/>
              </w:rPr>
              <w:t>金融风险类别</w:t>
            </w:r>
          </w:p>
        </w:tc>
        <w:tc>
          <w:tcPr>
            <w:tcW w:w="1417" w:type="dxa"/>
          </w:tcPr>
          <w:p w14:paraId="01849AE6" w14:textId="77777777" w:rsidR="00A052DC" w:rsidRDefault="009F0A60">
            <w:pPr>
              <w:rPr>
                <w:rFonts w:ascii="黑体" w:eastAsia="黑体" w:hAnsi="黑体"/>
                <w:sz w:val="20"/>
                <w:szCs w:val="20"/>
              </w:rPr>
            </w:pPr>
            <w:r>
              <w:rPr>
                <w:rFonts w:ascii="黑体" w:eastAsia="黑体" w:hAnsi="黑体" w:hint="eastAsia"/>
                <w:sz w:val="20"/>
                <w:szCs w:val="20"/>
              </w:rPr>
              <w:t>整数型</w:t>
            </w:r>
          </w:p>
        </w:tc>
        <w:tc>
          <w:tcPr>
            <w:tcW w:w="4310" w:type="dxa"/>
          </w:tcPr>
          <w:p w14:paraId="57371875" w14:textId="77777777" w:rsidR="00A052DC" w:rsidRDefault="009F0A60">
            <w:pPr>
              <w:rPr>
                <w:rFonts w:ascii="黑体" w:eastAsia="黑体" w:hAnsi="黑体"/>
                <w:sz w:val="20"/>
                <w:szCs w:val="20"/>
              </w:rPr>
            </w:pPr>
            <w:r>
              <w:rPr>
                <w:rFonts w:ascii="黑体" w:eastAsia="黑体" w:hAnsi="黑体" w:hint="eastAsia"/>
                <w:sz w:val="20"/>
                <w:szCs w:val="20"/>
              </w:rPr>
              <w:t>必填项，必须7选1。见金融衍生产品的风险类别代码表。</w:t>
            </w:r>
          </w:p>
        </w:tc>
      </w:tr>
      <w:tr w:rsidR="00A052DC" w14:paraId="126E9C44" w14:textId="77777777">
        <w:trPr>
          <w:jc w:val="center"/>
        </w:trPr>
        <w:tc>
          <w:tcPr>
            <w:tcW w:w="1108" w:type="dxa"/>
          </w:tcPr>
          <w:p w14:paraId="0ABA104B" w14:textId="77777777" w:rsidR="00A052DC" w:rsidRDefault="009F0A60">
            <w:pPr>
              <w:rPr>
                <w:rFonts w:ascii="黑体" w:eastAsia="黑体" w:hAnsi="黑体"/>
                <w:sz w:val="20"/>
                <w:szCs w:val="20"/>
              </w:rPr>
            </w:pPr>
            <w:r>
              <w:rPr>
                <w:rFonts w:ascii="黑体" w:eastAsia="黑体" w:hAnsi="黑体" w:hint="eastAsia"/>
                <w:sz w:val="20"/>
                <w:szCs w:val="20"/>
              </w:rPr>
              <w:t>C0106</w:t>
            </w:r>
          </w:p>
        </w:tc>
        <w:tc>
          <w:tcPr>
            <w:tcW w:w="1701" w:type="dxa"/>
          </w:tcPr>
          <w:p w14:paraId="1F0FBCAE" w14:textId="77777777" w:rsidR="00A052DC" w:rsidRDefault="009F0A60">
            <w:pPr>
              <w:rPr>
                <w:rFonts w:ascii="黑体" w:eastAsia="黑体" w:hAnsi="黑体"/>
                <w:sz w:val="20"/>
                <w:szCs w:val="20"/>
              </w:rPr>
            </w:pPr>
            <w:r>
              <w:rPr>
                <w:rFonts w:ascii="黑体" w:eastAsia="黑体" w:hAnsi="黑体" w:hint="eastAsia"/>
                <w:sz w:val="20"/>
                <w:szCs w:val="20"/>
              </w:rPr>
              <w:t>非居民交易对手所属国家/地区</w:t>
            </w:r>
          </w:p>
        </w:tc>
        <w:tc>
          <w:tcPr>
            <w:tcW w:w="1417" w:type="dxa"/>
          </w:tcPr>
          <w:p w14:paraId="39C611DD" w14:textId="77777777" w:rsidR="00A052DC" w:rsidRDefault="009F0A60">
            <w:pPr>
              <w:rPr>
                <w:rFonts w:ascii="黑体" w:eastAsia="黑体" w:hAnsi="黑体"/>
                <w:sz w:val="20"/>
                <w:szCs w:val="20"/>
              </w:rPr>
            </w:pPr>
            <w:r>
              <w:rPr>
                <w:rFonts w:ascii="黑体" w:eastAsia="黑体" w:hAnsi="黑体" w:hint="eastAsia"/>
                <w:sz w:val="20"/>
                <w:szCs w:val="20"/>
              </w:rPr>
              <w:t>字符型，3</w:t>
            </w:r>
          </w:p>
        </w:tc>
        <w:tc>
          <w:tcPr>
            <w:tcW w:w="4310" w:type="dxa"/>
          </w:tcPr>
          <w:p w14:paraId="7EA81D07" w14:textId="77777777" w:rsidR="00A052DC" w:rsidRDefault="009F0A60">
            <w:pPr>
              <w:rPr>
                <w:rFonts w:ascii="黑体" w:eastAsia="黑体" w:hAnsi="黑体"/>
                <w:sz w:val="20"/>
                <w:szCs w:val="20"/>
              </w:rPr>
            </w:pPr>
            <w:r>
              <w:rPr>
                <w:rFonts w:ascii="黑体" w:eastAsia="黑体" w:hAnsi="黑体" w:hint="eastAsia"/>
                <w:sz w:val="20"/>
                <w:szCs w:val="20"/>
              </w:rPr>
              <w:t>必填项，必须≠CHN或N/A。见国家和地区代码表的3位字母代码。</w:t>
            </w:r>
          </w:p>
        </w:tc>
      </w:tr>
      <w:tr w:rsidR="00A052DC" w14:paraId="1289466E" w14:textId="77777777">
        <w:trPr>
          <w:jc w:val="center"/>
        </w:trPr>
        <w:tc>
          <w:tcPr>
            <w:tcW w:w="1108" w:type="dxa"/>
          </w:tcPr>
          <w:p w14:paraId="386DA6F5" w14:textId="77777777" w:rsidR="00A052DC" w:rsidRDefault="009F0A60">
            <w:pPr>
              <w:rPr>
                <w:rFonts w:ascii="黑体" w:eastAsia="黑体" w:hAnsi="黑体"/>
                <w:sz w:val="20"/>
                <w:szCs w:val="20"/>
              </w:rPr>
            </w:pPr>
            <w:r>
              <w:rPr>
                <w:rFonts w:ascii="黑体" w:eastAsia="黑体" w:hAnsi="黑体" w:hint="eastAsia"/>
                <w:sz w:val="20"/>
                <w:szCs w:val="20"/>
              </w:rPr>
              <w:t>C0107</w:t>
            </w:r>
          </w:p>
        </w:tc>
        <w:tc>
          <w:tcPr>
            <w:tcW w:w="1701" w:type="dxa"/>
          </w:tcPr>
          <w:p w14:paraId="61AADF11" w14:textId="77777777" w:rsidR="00A052DC" w:rsidRDefault="009F0A60">
            <w:pPr>
              <w:rPr>
                <w:rFonts w:ascii="黑体" w:eastAsia="黑体" w:hAnsi="黑体"/>
                <w:sz w:val="20"/>
                <w:szCs w:val="20"/>
              </w:rPr>
            </w:pPr>
            <w:r>
              <w:rPr>
                <w:rFonts w:ascii="黑体" w:eastAsia="黑体" w:hAnsi="黑体" w:hint="eastAsia"/>
                <w:sz w:val="20"/>
                <w:szCs w:val="20"/>
              </w:rPr>
              <w:t>非居民交易对手所属部门</w:t>
            </w:r>
          </w:p>
        </w:tc>
        <w:tc>
          <w:tcPr>
            <w:tcW w:w="1417" w:type="dxa"/>
          </w:tcPr>
          <w:p w14:paraId="733C75C0" w14:textId="77777777" w:rsidR="00A052DC" w:rsidRDefault="009F0A60">
            <w:pPr>
              <w:rPr>
                <w:rFonts w:ascii="黑体" w:eastAsia="黑体" w:hAnsi="黑体"/>
                <w:sz w:val="20"/>
                <w:szCs w:val="20"/>
              </w:rPr>
            </w:pPr>
            <w:r>
              <w:rPr>
                <w:rFonts w:ascii="黑体" w:eastAsia="黑体" w:hAnsi="黑体" w:hint="eastAsia"/>
                <w:sz w:val="20"/>
                <w:szCs w:val="20"/>
              </w:rPr>
              <w:t>整数型</w:t>
            </w:r>
          </w:p>
        </w:tc>
        <w:tc>
          <w:tcPr>
            <w:tcW w:w="4310" w:type="dxa"/>
          </w:tcPr>
          <w:p w14:paraId="717E3A23" w14:textId="77777777" w:rsidR="00A052DC" w:rsidRDefault="009F0A60">
            <w:pPr>
              <w:rPr>
                <w:rFonts w:ascii="黑体" w:eastAsia="黑体" w:hAnsi="黑体"/>
                <w:sz w:val="20"/>
                <w:szCs w:val="20"/>
              </w:rPr>
            </w:pPr>
            <w:r>
              <w:rPr>
                <w:rFonts w:ascii="黑体" w:eastAsia="黑体" w:hAnsi="黑体" w:hint="eastAsia"/>
                <w:sz w:val="20"/>
                <w:szCs w:val="20"/>
              </w:rPr>
              <w:t>必填项，必须9选1。见投资者（被投资者）部门代码表。</w:t>
            </w:r>
          </w:p>
        </w:tc>
      </w:tr>
      <w:tr w:rsidR="00A052DC" w14:paraId="775992E6" w14:textId="77777777">
        <w:trPr>
          <w:jc w:val="center"/>
        </w:trPr>
        <w:tc>
          <w:tcPr>
            <w:tcW w:w="1108" w:type="dxa"/>
          </w:tcPr>
          <w:p w14:paraId="375FAB39" w14:textId="77777777" w:rsidR="00A052DC" w:rsidRDefault="009F0A60">
            <w:pPr>
              <w:rPr>
                <w:rFonts w:ascii="黑体" w:eastAsia="黑体" w:hAnsi="黑体"/>
                <w:sz w:val="20"/>
                <w:szCs w:val="20"/>
              </w:rPr>
            </w:pPr>
            <w:r>
              <w:rPr>
                <w:rFonts w:ascii="黑体" w:eastAsia="黑体" w:hAnsi="黑体" w:hint="eastAsia"/>
                <w:sz w:val="20"/>
                <w:szCs w:val="20"/>
              </w:rPr>
              <w:t>C0108</w:t>
            </w:r>
          </w:p>
        </w:tc>
        <w:tc>
          <w:tcPr>
            <w:tcW w:w="1701" w:type="dxa"/>
          </w:tcPr>
          <w:p w14:paraId="6C388B90" w14:textId="77777777" w:rsidR="00A052DC" w:rsidRDefault="009F0A60">
            <w:pPr>
              <w:rPr>
                <w:rFonts w:ascii="黑体" w:eastAsia="黑体" w:hAnsi="黑体"/>
                <w:sz w:val="20"/>
                <w:szCs w:val="20"/>
              </w:rPr>
            </w:pPr>
            <w:r>
              <w:rPr>
                <w:rFonts w:ascii="黑体" w:eastAsia="黑体" w:hAnsi="黑体" w:hint="eastAsia"/>
                <w:sz w:val="20"/>
                <w:szCs w:val="20"/>
              </w:rPr>
              <w:t>非居民交易对手与本机构/居民机构的关系</w:t>
            </w:r>
          </w:p>
        </w:tc>
        <w:tc>
          <w:tcPr>
            <w:tcW w:w="1417" w:type="dxa"/>
          </w:tcPr>
          <w:p w14:paraId="504EF5B1" w14:textId="77777777" w:rsidR="00A052DC" w:rsidRDefault="009F0A60">
            <w:pPr>
              <w:rPr>
                <w:rFonts w:ascii="黑体" w:eastAsia="黑体" w:hAnsi="黑体"/>
                <w:sz w:val="20"/>
                <w:szCs w:val="20"/>
              </w:rPr>
            </w:pPr>
            <w:r>
              <w:rPr>
                <w:rFonts w:ascii="黑体" w:eastAsia="黑体" w:hAnsi="黑体" w:hint="eastAsia"/>
                <w:sz w:val="20"/>
                <w:szCs w:val="20"/>
              </w:rPr>
              <w:t>整数型</w:t>
            </w:r>
          </w:p>
        </w:tc>
        <w:tc>
          <w:tcPr>
            <w:tcW w:w="4310" w:type="dxa"/>
          </w:tcPr>
          <w:p w14:paraId="0034742D" w14:textId="77777777" w:rsidR="00A052DC" w:rsidRDefault="009F0A60">
            <w:pPr>
              <w:rPr>
                <w:rFonts w:ascii="黑体" w:eastAsia="黑体" w:hAnsi="黑体"/>
                <w:sz w:val="20"/>
                <w:szCs w:val="20"/>
              </w:rPr>
            </w:pPr>
            <w:r>
              <w:rPr>
                <w:rFonts w:ascii="黑体" w:eastAsia="黑体" w:hAnsi="黑体" w:hint="eastAsia"/>
                <w:sz w:val="20"/>
                <w:szCs w:val="20"/>
              </w:rPr>
              <w:t>必填项，必须4选1。参见对方与本机构/被代理居民机构/委托人的关系代码表。</w:t>
            </w:r>
          </w:p>
        </w:tc>
      </w:tr>
      <w:tr w:rsidR="00A052DC" w14:paraId="02B0E322" w14:textId="77777777">
        <w:trPr>
          <w:jc w:val="center"/>
        </w:trPr>
        <w:tc>
          <w:tcPr>
            <w:tcW w:w="1108" w:type="dxa"/>
          </w:tcPr>
          <w:p w14:paraId="4265765F" w14:textId="77777777" w:rsidR="00A052DC" w:rsidRDefault="009F0A60">
            <w:pPr>
              <w:rPr>
                <w:rFonts w:ascii="黑体" w:eastAsia="黑体" w:hAnsi="黑体"/>
                <w:sz w:val="20"/>
                <w:szCs w:val="20"/>
              </w:rPr>
            </w:pPr>
            <w:r>
              <w:rPr>
                <w:rFonts w:ascii="黑体" w:eastAsia="黑体" w:hAnsi="黑体" w:hint="eastAsia"/>
                <w:sz w:val="20"/>
                <w:szCs w:val="20"/>
              </w:rPr>
              <w:t>C0109</w:t>
            </w:r>
          </w:p>
        </w:tc>
        <w:tc>
          <w:tcPr>
            <w:tcW w:w="1701" w:type="dxa"/>
          </w:tcPr>
          <w:p w14:paraId="497AE344" w14:textId="77777777" w:rsidR="00A052DC" w:rsidRDefault="009F0A60">
            <w:pPr>
              <w:rPr>
                <w:rFonts w:ascii="黑体" w:eastAsia="黑体" w:hAnsi="黑体"/>
                <w:sz w:val="20"/>
                <w:szCs w:val="20"/>
              </w:rPr>
            </w:pPr>
            <w:r>
              <w:rPr>
                <w:rFonts w:ascii="黑体" w:eastAsia="黑体" w:hAnsi="黑体" w:hint="eastAsia"/>
                <w:sz w:val="20"/>
                <w:szCs w:val="20"/>
              </w:rPr>
              <w:t>结算的原始币种</w:t>
            </w:r>
          </w:p>
        </w:tc>
        <w:tc>
          <w:tcPr>
            <w:tcW w:w="1417" w:type="dxa"/>
          </w:tcPr>
          <w:p w14:paraId="0A6D8FDB" w14:textId="77777777" w:rsidR="00A052DC" w:rsidRDefault="009F0A60">
            <w:pPr>
              <w:rPr>
                <w:rFonts w:ascii="黑体" w:eastAsia="黑体" w:hAnsi="黑体"/>
                <w:sz w:val="20"/>
                <w:szCs w:val="20"/>
              </w:rPr>
            </w:pPr>
            <w:r>
              <w:rPr>
                <w:rFonts w:ascii="黑体" w:eastAsia="黑体" w:hAnsi="黑体" w:hint="eastAsia"/>
                <w:sz w:val="20"/>
                <w:szCs w:val="20"/>
              </w:rPr>
              <w:t>字符型，3</w:t>
            </w:r>
          </w:p>
        </w:tc>
        <w:tc>
          <w:tcPr>
            <w:tcW w:w="4310" w:type="dxa"/>
          </w:tcPr>
          <w:p w14:paraId="28348A78" w14:textId="77777777" w:rsidR="00A052DC" w:rsidRDefault="009F0A60">
            <w:pPr>
              <w:rPr>
                <w:rFonts w:ascii="黑体" w:eastAsia="黑体" w:hAnsi="黑体"/>
                <w:sz w:val="20"/>
                <w:szCs w:val="20"/>
              </w:rPr>
            </w:pPr>
            <w:r>
              <w:rPr>
                <w:rFonts w:ascii="黑体" w:eastAsia="黑体" w:hAnsi="黑体" w:hint="eastAsia"/>
                <w:sz w:val="20"/>
                <w:szCs w:val="20"/>
              </w:rPr>
              <w:t>必填项，参见币种代码表。</w:t>
            </w:r>
          </w:p>
        </w:tc>
      </w:tr>
      <w:tr w:rsidR="00A052DC" w14:paraId="4788B38E" w14:textId="77777777">
        <w:trPr>
          <w:jc w:val="center"/>
        </w:trPr>
        <w:tc>
          <w:tcPr>
            <w:tcW w:w="1108" w:type="dxa"/>
          </w:tcPr>
          <w:p w14:paraId="5706320B" w14:textId="77777777" w:rsidR="00A052DC" w:rsidRDefault="009F0A60">
            <w:pPr>
              <w:rPr>
                <w:rFonts w:ascii="黑体" w:eastAsia="黑体" w:hAnsi="黑体"/>
                <w:sz w:val="20"/>
                <w:szCs w:val="20"/>
              </w:rPr>
            </w:pPr>
            <w:r>
              <w:rPr>
                <w:rFonts w:ascii="黑体" w:eastAsia="黑体" w:hAnsi="黑体" w:hint="eastAsia"/>
                <w:sz w:val="20"/>
                <w:szCs w:val="20"/>
              </w:rPr>
              <w:t>C0110</w:t>
            </w:r>
          </w:p>
        </w:tc>
        <w:tc>
          <w:tcPr>
            <w:tcW w:w="1701" w:type="dxa"/>
          </w:tcPr>
          <w:p w14:paraId="23BAADA9" w14:textId="77777777" w:rsidR="00A052DC" w:rsidRDefault="009F0A60">
            <w:pPr>
              <w:rPr>
                <w:rFonts w:ascii="黑体" w:eastAsia="黑体" w:hAnsi="黑体"/>
                <w:sz w:val="20"/>
                <w:szCs w:val="20"/>
              </w:rPr>
            </w:pPr>
            <w:r>
              <w:rPr>
                <w:rFonts w:ascii="黑体" w:eastAsia="黑体" w:hAnsi="黑体" w:hint="eastAsia"/>
                <w:sz w:val="20"/>
                <w:szCs w:val="20"/>
              </w:rPr>
              <w:t>上月末头寸市值</w:t>
            </w:r>
          </w:p>
        </w:tc>
        <w:tc>
          <w:tcPr>
            <w:tcW w:w="1417" w:type="dxa"/>
          </w:tcPr>
          <w:p w14:paraId="4BA4F8D2"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4310" w:type="dxa"/>
          </w:tcPr>
          <w:p w14:paraId="12EA749F"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r w:rsidR="00A052DC" w14:paraId="39704B3E" w14:textId="77777777">
        <w:trPr>
          <w:jc w:val="center"/>
        </w:trPr>
        <w:tc>
          <w:tcPr>
            <w:tcW w:w="1108" w:type="dxa"/>
          </w:tcPr>
          <w:p w14:paraId="625D267A" w14:textId="77777777" w:rsidR="00A052DC" w:rsidRDefault="009F0A60">
            <w:pPr>
              <w:rPr>
                <w:rFonts w:ascii="黑体" w:eastAsia="黑体" w:hAnsi="黑体"/>
                <w:sz w:val="20"/>
                <w:szCs w:val="20"/>
              </w:rPr>
            </w:pPr>
            <w:r>
              <w:rPr>
                <w:rFonts w:ascii="黑体" w:eastAsia="黑体" w:hAnsi="黑体" w:hint="eastAsia"/>
                <w:sz w:val="20"/>
                <w:szCs w:val="20"/>
              </w:rPr>
              <w:t>C0111</w:t>
            </w:r>
          </w:p>
        </w:tc>
        <w:tc>
          <w:tcPr>
            <w:tcW w:w="1701" w:type="dxa"/>
          </w:tcPr>
          <w:p w14:paraId="2A99F2A2" w14:textId="77777777" w:rsidR="00A052DC" w:rsidRDefault="009F0A60">
            <w:pPr>
              <w:rPr>
                <w:rFonts w:ascii="黑体" w:eastAsia="黑体" w:hAnsi="黑体"/>
                <w:sz w:val="20"/>
                <w:szCs w:val="20"/>
              </w:rPr>
            </w:pPr>
            <w:r>
              <w:rPr>
                <w:rFonts w:ascii="黑体" w:eastAsia="黑体" w:hAnsi="黑体" w:hint="eastAsia"/>
                <w:sz w:val="20"/>
                <w:szCs w:val="20"/>
              </w:rPr>
              <w:t>本月（现金）结算付款额</w:t>
            </w:r>
          </w:p>
        </w:tc>
        <w:tc>
          <w:tcPr>
            <w:tcW w:w="1417" w:type="dxa"/>
          </w:tcPr>
          <w:p w14:paraId="6EFE024C"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4310" w:type="dxa"/>
          </w:tcPr>
          <w:p w14:paraId="21AB0876" w14:textId="77777777" w:rsidR="00A052DC" w:rsidRDefault="009F0A60">
            <w:pPr>
              <w:rPr>
                <w:rFonts w:ascii="黑体" w:eastAsia="黑体" w:hAnsi="黑体"/>
                <w:sz w:val="20"/>
                <w:szCs w:val="20"/>
              </w:rPr>
            </w:pPr>
            <w:r>
              <w:rPr>
                <w:rFonts w:ascii="黑体" w:eastAsia="黑体" w:hAnsi="黑体" w:hint="eastAsia"/>
                <w:sz w:val="20"/>
                <w:szCs w:val="20"/>
              </w:rPr>
              <w:t>必填项，必须≥0。</w:t>
            </w:r>
          </w:p>
        </w:tc>
      </w:tr>
      <w:tr w:rsidR="00A052DC" w14:paraId="45848B5A" w14:textId="77777777">
        <w:trPr>
          <w:jc w:val="center"/>
        </w:trPr>
        <w:tc>
          <w:tcPr>
            <w:tcW w:w="1108" w:type="dxa"/>
          </w:tcPr>
          <w:p w14:paraId="24036217" w14:textId="77777777" w:rsidR="00A052DC" w:rsidRDefault="009F0A60">
            <w:pPr>
              <w:rPr>
                <w:rFonts w:ascii="黑体" w:eastAsia="黑体" w:hAnsi="黑体"/>
                <w:sz w:val="20"/>
                <w:szCs w:val="20"/>
              </w:rPr>
            </w:pPr>
            <w:r>
              <w:rPr>
                <w:rFonts w:ascii="黑体" w:eastAsia="黑体" w:hAnsi="黑体" w:hint="eastAsia"/>
                <w:sz w:val="20"/>
                <w:szCs w:val="20"/>
              </w:rPr>
              <w:t>C0112</w:t>
            </w:r>
          </w:p>
        </w:tc>
        <w:tc>
          <w:tcPr>
            <w:tcW w:w="1701" w:type="dxa"/>
          </w:tcPr>
          <w:p w14:paraId="30D6DAA8" w14:textId="77777777" w:rsidR="00A052DC" w:rsidRDefault="009F0A60">
            <w:pPr>
              <w:rPr>
                <w:rFonts w:ascii="黑体" w:eastAsia="黑体" w:hAnsi="黑体"/>
                <w:sz w:val="20"/>
                <w:szCs w:val="20"/>
              </w:rPr>
            </w:pPr>
            <w:r>
              <w:rPr>
                <w:rFonts w:ascii="黑体" w:eastAsia="黑体" w:hAnsi="黑体" w:hint="eastAsia"/>
                <w:sz w:val="20"/>
                <w:szCs w:val="20"/>
              </w:rPr>
              <w:t>本月（现金）结算收款额</w:t>
            </w:r>
          </w:p>
        </w:tc>
        <w:tc>
          <w:tcPr>
            <w:tcW w:w="1417" w:type="dxa"/>
          </w:tcPr>
          <w:p w14:paraId="3D8F31C1"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4310" w:type="dxa"/>
          </w:tcPr>
          <w:p w14:paraId="397480F8" w14:textId="77777777" w:rsidR="00A052DC" w:rsidRDefault="009F0A60">
            <w:pPr>
              <w:rPr>
                <w:rFonts w:ascii="黑体" w:eastAsia="黑体" w:hAnsi="黑体"/>
                <w:sz w:val="20"/>
                <w:szCs w:val="20"/>
              </w:rPr>
            </w:pPr>
            <w:r>
              <w:rPr>
                <w:rFonts w:ascii="黑体" w:eastAsia="黑体" w:hAnsi="黑体" w:hint="eastAsia"/>
                <w:sz w:val="20"/>
                <w:szCs w:val="20"/>
              </w:rPr>
              <w:t>必填项，必须≥0。</w:t>
            </w:r>
          </w:p>
        </w:tc>
      </w:tr>
      <w:tr w:rsidR="00A052DC" w14:paraId="29A85A7E" w14:textId="77777777">
        <w:trPr>
          <w:jc w:val="center"/>
        </w:trPr>
        <w:tc>
          <w:tcPr>
            <w:tcW w:w="1108" w:type="dxa"/>
          </w:tcPr>
          <w:p w14:paraId="08E2CCB2" w14:textId="77777777" w:rsidR="00A052DC" w:rsidRDefault="009F0A60">
            <w:pPr>
              <w:rPr>
                <w:rFonts w:ascii="黑体" w:eastAsia="黑体" w:hAnsi="黑体"/>
                <w:sz w:val="20"/>
                <w:szCs w:val="20"/>
              </w:rPr>
            </w:pPr>
            <w:r>
              <w:rPr>
                <w:rFonts w:ascii="黑体" w:eastAsia="黑体" w:hAnsi="黑体" w:hint="eastAsia"/>
                <w:sz w:val="20"/>
                <w:szCs w:val="20"/>
              </w:rPr>
              <w:t>C0113</w:t>
            </w:r>
          </w:p>
        </w:tc>
        <w:tc>
          <w:tcPr>
            <w:tcW w:w="1701" w:type="dxa"/>
          </w:tcPr>
          <w:p w14:paraId="7FD389B3" w14:textId="77777777" w:rsidR="00A052DC" w:rsidRDefault="009F0A60">
            <w:pPr>
              <w:rPr>
                <w:rFonts w:ascii="黑体" w:eastAsia="黑体" w:hAnsi="黑体"/>
                <w:sz w:val="20"/>
                <w:szCs w:val="20"/>
              </w:rPr>
            </w:pPr>
            <w:r>
              <w:rPr>
                <w:rFonts w:ascii="黑体" w:eastAsia="黑体" w:hAnsi="黑体" w:hint="eastAsia"/>
                <w:sz w:val="20"/>
                <w:szCs w:val="20"/>
              </w:rPr>
              <w:t>本月非交易变动</w:t>
            </w:r>
          </w:p>
        </w:tc>
        <w:tc>
          <w:tcPr>
            <w:tcW w:w="1417" w:type="dxa"/>
          </w:tcPr>
          <w:p w14:paraId="71568B57"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4310" w:type="dxa"/>
          </w:tcPr>
          <w:p w14:paraId="202C776D" w14:textId="77777777" w:rsidR="00A052DC" w:rsidRDefault="009F0A60">
            <w:pPr>
              <w:rPr>
                <w:rFonts w:ascii="黑体" w:eastAsia="黑体" w:hAnsi="黑体"/>
                <w:sz w:val="20"/>
                <w:szCs w:val="20"/>
              </w:rPr>
            </w:pPr>
            <w:r>
              <w:rPr>
                <w:rFonts w:ascii="黑体" w:eastAsia="黑体" w:hAnsi="黑体" w:hint="eastAsia"/>
                <w:sz w:val="20"/>
                <w:szCs w:val="20"/>
              </w:rPr>
              <w:t>必填项，必须满足：</w:t>
            </w:r>
          </w:p>
          <w:p w14:paraId="64EE5CF3" w14:textId="77777777" w:rsidR="00A052DC" w:rsidRDefault="009F0A60">
            <w:pPr>
              <w:rPr>
                <w:rFonts w:ascii="黑体" w:eastAsia="黑体" w:hAnsi="黑体"/>
                <w:sz w:val="20"/>
                <w:szCs w:val="20"/>
              </w:rPr>
            </w:pPr>
            <w:r>
              <w:rPr>
                <w:rFonts w:ascii="黑体" w:eastAsia="黑体" w:hAnsi="黑体" w:hint="eastAsia"/>
                <w:sz w:val="20"/>
                <w:szCs w:val="20"/>
              </w:rPr>
              <w:t>C0113=C0116–C0110–(C0111–C0112)。</w:t>
            </w:r>
          </w:p>
          <w:p w14:paraId="2770B3A4" w14:textId="77777777" w:rsidR="00A052DC" w:rsidRDefault="009F0A60">
            <w:pPr>
              <w:rPr>
                <w:rFonts w:ascii="黑体" w:eastAsia="黑体" w:hAnsi="黑体"/>
                <w:kern w:val="0"/>
                <w:sz w:val="20"/>
                <w:szCs w:val="20"/>
              </w:rPr>
            </w:pPr>
            <w:r>
              <w:rPr>
                <w:rFonts w:ascii="黑体" w:eastAsia="黑体" w:hAnsi="黑体" w:hint="eastAsia"/>
                <w:kern w:val="0"/>
                <w:sz w:val="20"/>
                <w:szCs w:val="20"/>
              </w:rPr>
              <w:t>C0113=C0114+C0115。</w:t>
            </w:r>
          </w:p>
        </w:tc>
      </w:tr>
      <w:tr w:rsidR="00A052DC" w14:paraId="1551E270" w14:textId="77777777">
        <w:trPr>
          <w:jc w:val="center"/>
        </w:trPr>
        <w:tc>
          <w:tcPr>
            <w:tcW w:w="1108" w:type="dxa"/>
          </w:tcPr>
          <w:p w14:paraId="3AA46B4A" w14:textId="77777777" w:rsidR="00A052DC" w:rsidRDefault="009F0A60">
            <w:pPr>
              <w:rPr>
                <w:rFonts w:ascii="黑体" w:eastAsia="黑体" w:hAnsi="黑体"/>
                <w:sz w:val="20"/>
                <w:szCs w:val="20"/>
              </w:rPr>
            </w:pPr>
            <w:r>
              <w:rPr>
                <w:rFonts w:ascii="黑体" w:eastAsia="黑体" w:hAnsi="黑体"/>
                <w:sz w:val="20"/>
                <w:szCs w:val="20"/>
              </w:rPr>
              <w:t>C0114</w:t>
            </w:r>
          </w:p>
        </w:tc>
        <w:tc>
          <w:tcPr>
            <w:tcW w:w="1701" w:type="dxa"/>
          </w:tcPr>
          <w:p w14:paraId="50B4D5B7" w14:textId="77777777" w:rsidR="00A052DC" w:rsidRDefault="009F0A60">
            <w:pPr>
              <w:rPr>
                <w:rFonts w:ascii="黑体" w:eastAsia="黑体" w:hAnsi="黑体"/>
                <w:sz w:val="20"/>
                <w:szCs w:val="20"/>
              </w:rPr>
            </w:pPr>
            <w:r>
              <w:rPr>
                <w:rFonts w:ascii="黑体" w:eastAsia="黑体" w:hAnsi="黑体" w:hint="eastAsia"/>
                <w:sz w:val="20"/>
                <w:szCs w:val="20"/>
              </w:rPr>
              <w:t>注销、调整或重新分类至其他报表统计的金额</w:t>
            </w:r>
          </w:p>
        </w:tc>
        <w:tc>
          <w:tcPr>
            <w:tcW w:w="1417" w:type="dxa"/>
          </w:tcPr>
          <w:p w14:paraId="4477B388"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4310" w:type="dxa"/>
          </w:tcPr>
          <w:p w14:paraId="3F2F5162"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r w:rsidR="00A052DC" w14:paraId="7C178BB5" w14:textId="77777777">
        <w:trPr>
          <w:jc w:val="center"/>
        </w:trPr>
        <w:tc>
          <w:tcPr>
            <w:tcW w:w="1108" w:type="dxa"/>
          </w:tcPr>
          <w:p w14:paraId="0168A142" w14:textId="77777777" w:rsidR="00A052DC" w:rsidRDefault="009F0A60">
            <w:pPr>
              <w:rPr>
                <w:rFonts w:ascii="黑体" w:eastAsia="黑体" w:hAnsi="黑体"/>
                <w:sz w:val="20"/>
                <w:szCs w:val="20"/>
              </w:rPr>
            </w:pPr>
            <w:r>
              <w:rPr>
                <w:rFonts w:ascii="黑体" w:eastAsia="黑体" w:hAnsi="黑体"/>
                <w:sz w:val="20"/>
                <w:szCs w:val="20"/>
              </w:rPr>
              <w:t>C0115</w:t>
            </w:r>
          </w:p>
        </w:tc>
        <w:tc>
          <w:tcPr>
            <w:tcW w:w="1701" w:type="dxa"/>
          </w:tcPr>
          <w:p w14:paraId="25FF07CB" w14:textId="77777777" w:rsidR="00A052DC" w:rsidRDefault="009F0A60">
            <w:pPr>
              <w:rPr>
                <w:rFonts w:ascii="黑体" w:eastAsia="黑体" w:hAnsi="黑体"/>
                <w:sz w:val="20"/>
                <w:szCs w:val="20"/>
              </w:rPr>
            </w:pPr>
            <w:r>
              <w:rPr>
                <w:rFonts w:ascii="黑体" w:eastAsia="黑体" w:hAnsi="黑体" w:hint="eastAsia"/>
                <w:sz w:val="20"/>
                <w:szCs w:val="20"/>
              </w:rPr>
              <w:t>价值重估因素</w:t>
            </w:r>
          </w:p>
        </w:tc>
        <w:tc>
          <w:tcPr>
            <w:tcW w:w="1417" w:type="dxa"/>
          </w:tcPr>
          <w:p w14:paraId="43DAADAB"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4310" w:type="dxa"/>
          </w:tcPr>
          <w:p w14:paraId="374563EF"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r w:rsidR="00A052DC" w14:paraId="4BC33401" w14:textId="77777777">
        <w:trPr>
          <w:jc w:val="center"/>
        </w:trPr>
        <w:tc>
          <w:tcPr>
            <w:tcW w:w="1108" w:type="dxa"/>
          </w:tcPr>
          <w:p w14:paraId="2E578E53" w14:textId="77777777" w:rsidR="00A052DC" w:rsidRDefault="009F0A60">
            <w:pPr>
              <w:rPr>
                <w:rFonts w:ascii="黑体" w:eastAsia="黑体" w:hAnsi="黑体"/>
                <w:sz w:val="20"/>
                <w:szCs w:val="20"/>
              </w:rPr>
            </w:pPr>
            <w:r>
              <w:rPr>
                <w:rFonts w:ascii="黑体" w:eastAsia="黑体" w:hAnsi="黑体" w:hint="eastAsia"/>
                <w:sz w:val="20"/>
                <w:szCs w:val="20"/>
              </w:rPr>
              <w:t>C0116</w:t>
            </w:r>
          </w:p>
        </w:tc>
        <w:tc>
          <w:tcPr>
            <w:tcW w:w="1701" w:type="dxa"/>
          </w:tcPr>
          <w:p w14:paraId="6FFBCB75" w14:textId="77777777" w:rsidR="00A052DC" w:rsidRDefault="009F0A60">
            <w:pPr>
              <w:rPr>
                <w:rFonts w:ascii="黑体" w:eastAsia="黑体" w:hAnsi="黑体"/>
                <w:sz w:val="20"/>
                <w:szCs w:val="20"/>
              </w:rPr>
            </w:pPr>
            <w:r>
              <w:rPr>
                <w:rFonts w:ascii="黑体" w:eastAsia="黑体" w:hAnsi="黑体" w:hint="eastAsia"/>
                <w:sz w:val="20"/>
                <w:szCs w:val="20"/>
              </w:rPr>
              <w:t>本月末头寸市值</w:t>
            </w:r>
          </w:p>
        </w:tc>
        <w:tc>
          <w:tcPr>
            <w:tcW w:w="1417" w:type="dxa"/>
          </w:tcPr>
          <w:p w14:paraId="29B94862"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4310" w:type="dxa"/>
          </w:tcPr>
          <w:p w14:paraId="441A9B43"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r w:rsidR="00A052DC" w14:paraId="6E50FE8F" w14:textId="77777777">
        <w:trPr>
          <w:jc w:val="center"/>
        </w:trPr>
        <w:tc>
          <w:tcPr>
            <w:tcW w:w="1108" w:type="dxa"/>
          </w:tcPr>
          <w:p w14:paraId="1AAEDBF6" w14:textId="77777777" w:rsidR="00A052DC" w:rsidRDefault="009F0A60">
            <w:pPr>
              <w:rPr>
                <w:rFonts w:ascii="黑体" w:eastAsia="黑体" w:hAnsi="黑体"/>
                <w:sz w:val="20"/>
                <w:szCs w:val="20"/>
              </w:rPr>
            </w:pPr>
            <w:r>
              <w:rPr>
                <w:rFonts w:ascii="黑体" w:eastAsia="黑体" w:hAnsi="黑体" w:hint="eastAsia"/>
                <w:sz w:val="20"/>
                <w:szCs w:val="20"/>
              </w:rPr>
              <w:t>C0117</w:t>
            </w:r>
          </w:p>
        </w:tc>
        <w:tc>
          <w:tcPr>
            <w:tcW w:w="1701" w:type="dxa"/>
          </w:tcPr>
          <w:p w14:paraId="41393ECA" w14:textId="77777777" w:rsidR="00A052DC" w:rsidRDefault="009F0A60">
            <w:pPr>
              <w:rPr>
                <w:rFonts w:ascii="黑体" w:eastAsia="黑体" w:hAnsi="黑体"/>
                <w:sz w:val="20"/>
                <w:szCs w:val="20"/>
              </w:rPr>
            </w:pPr>
            <w:r>
              <w:rPr>
                <w:rFonts w:ascii="黑体" w:eastAsia="黑体" w:hAnsi="黑体" w:hint="eastAsia"/>
                <w:sz w:val="20"/>
                <w:szCs w:val="20"/>
              </w:rPr>
              <w:t>名义本金币种</w:t>
            </w:r>
          </w:p>
        </w:tc>
        <w:tc>
          <w:tcPr>
            <w:tcW w:w="1417" w:type="dxa"/>
          </w:tcPr>
          <w:p w14:paraId="4C2A9DBB" w14:textId="77777777" w:rsidR="00A052DC" w:rsidRDefault="009F0A60">
            <w:pPr>
              <w:rPr>
                <w:rFonts w:ascii="黑体" w:eastAsia="黑体" w:hAnsi="黑体"/>
                <w:sz w:val="20"/>
                <w:szCs w:val="20"/>
              </w:rPr>
            </w:pPr>
            <w:r>
              <w:rPr>
                <w:rFonts w:ascii="黑体" w:eastAsia="黑体" w:hAnsi="黑体" w:hint="eastAsia"/>
                <w:sz w:val="20"/>
                <w:szCs w:val="20"/>
              </w:rPr>
              <w:t>字符型，3</w:t>
            </w:r>
          </w:p>
        </w:tc>
        <w:tc>
          <w:tcPr>
            <w:tcW w:w="4310" w:type="dxa"/>
          </w:tcPr>
          <w:p w14:paraId="19F1DA50" w14:textId="77777777" w:rsidR="00A052DC" w:rsidRDefault="009F0A60">
            <w:pPr>
              <w:rPr>
                <w:rFonts w:ascii="黑体" w:eastAsia="黑体" w:hAnsi="黑体"/>
                <w:sz w:val="20"/>
                <w:szCs w:val="20"/>
              </w:rPr>
            </w:pPr>
            <w:r>
              <w:rPr>
                <w:rFonts w:ascii="黑体" w:eastAsia="黑体" w:hAnsi="黑体" w:hint="eastAsia"/>
                <w:sz w:val="20"/>
                <w:szCs w:val="20"/>
              </w:rPr>
              <w:t>必填项，参见币种代码表。</w:t>
            </w:r>
          </w:p>
        </w:tc>
      </w:tr>
      <w:tr w:rsidR="00A052DC" w14:paraId="2DD28584" w14:textId="77777777">
        <w:trPr>
          <w:jc w:val="center"/>
        </w:trPr>
        <w:tc>
          <w:tcPr>
            <w:tcW w:w="1108" w:type="dxa"/>
          </w:tcPr>
          <w:p w14:paraId="3442A970" w14:textId="77777777" w:rsidR="00A052DC" w:rsidRDefault="009F0A60">
            <w:pPr>
              <w:rPr>
                <w:rFonts w:ascii="黑体" w:eastAsia="黑体" w:hAnsi="黑体"/>
                <w:sz w:val="20"/>
                <w:szCs w:val="20"/>
              </w:rPr>
            </w:pPr>
            <w:r>
              <w:rPr>
                <w:rFonts w:ascii="黑体" w:eastAsia="黑体" w:hAnsi="黑体" w:hint="eastAsia"/>
                <w:sz w:val="20"/>
                <w:szCs w:val="20"/>
              </w:rPr>
              <w:t>C0118</w:t>
            </w:r>
          </w:p>
        </w:tc>
        <w:tc>
          <w:tcPr>
            <w:tcW w:w="1701" w:type="dxa"/>
          </w:tcPr>
          <w:p w14:paraId="7C6B0054" w14:textId="77777777" w:rsidR="00A052DC" w:rsidRDefault="009F0A60">
            <w:pPr>
              <w:rPr>
                <w:rFonts w:ascii="黑体" w:eastAsia="黑体" w:hAnsi="黑体"/>
                <w:sz w:val="20"/>
                <w:szCs w:val="20"/>
              </w:rPr>
            </w:pPr>
            <w:r>
              <w:rPr>
                <w:rFonts w:ascii="黑体" w:eastAsia="黑体" w:hAnsi="黑体" w:hint="eastAsia"/>
                <w:sz w:val="20"/>
                <w:szCs w:val="20"/>
              </w:rPr>
              <w:t>本月末名义本金金额</w:t>
            </w:r>
          </w:p>
        </w:tc>
        <w:tc>
          <w:tcPr>
            <w:tcW w:w="1417" w:type="dxa"/>
          </w:tcPr>
          <w:p w14:paraId="2FF8A422"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4310" w:type="dxa"/>
          </w:tcPr>
          <w:p w14:paraId="70BD6B83" w14:textId="77777777" w:rsidR="00A052DC" w:rsidRDefault="009F0A60">
            <w:pPr>
              <w:rPr>
                <w:rFonts w:ascii="黑体" w:eastAsia="黑体" w:hAnsi="黑体"/>
                <w:sz w:val="20"/>
                <w:szCs w:val="20"/>
              </w:rPr>
            </w:pPr>
            <w:r>
              <w:rPr>
                <w:rFonts w:ascii="黑体" w:eastAsia="黑体" w:hAnsi="黑体" w:hint="eastAsia"/>
                <w:sz w:val="20"/>
                <w:szCs w:val="20"/>
              </w:rPr>
              <w:t>必填项，必须≥0。</w:t>
            </w:r>
          </w:p>
        </w:tc>
      </w:tr>
      <w:tr w:rsidR="00A052DC" w14:paraId="556331D2" w14:textId="77777777">
        <w:trPr>
          <w:jc w:val="center"/>
        </w:trPr>
        <w:tc>
          <w:tcPr>
            <w:tcW w:w="1108" w:type="dxa"/>
          </w:tcPr>
          <w:p w14:paraId="0058D56D" w14:textId="77777777" w:rsidR="00A052DC" w:rsidRDefault="009F0A60">
            <w:pPr>
              <w:rPr>
                <w:rFonts w:ascii="黑体" w:eastAsia="黑体" w:hAnsi="黑体"/>
                <w:sz w:val="20"/>
                <w:szCs w:val="20"/>
              </w:rPr>
            </w:pPr>
            <w:r>
              <w:rPr>
                <w:rFonts w:ascii="黑体" w:eastAsia="黑体" w:hAnsi="黑体" w:hint="eastAsia"/>
                <w:sz w:val="20"/>
                <w:szCs w:val="20"/>
              </w:rPr>
              <w:t>REMARK</w:t>
            </w:r>
          </w:p>
        </w:tc>
        <w:tc>
          <w:tcPr>
            <w:tcW w:w="1701" w:type="dxa"/>
          </w:tcPr>
          <w:p w14:paraId="6B005A1D" w14:textId="77777777" w:rsidR="00A052DC" w:rsidRDefault="009F0A60">
            <w:pPr>
              <w:rPr>
                <w:rFonts w:ascii="黑体" w:eastAsia="黑体" w:hAnsi="黑体"/>
                <w:sz w:val="20"/>
                <w:szCs w:val="20"/>
              </w:rPr>
            </w:pPr>
            <w:r>
              <w:rPr>
                <w:rFonts w:ascii="黑体" w:eastAsia="黑体" w:hAnsi="黑体" w:hint="eastAsia"/>
                <w:sz w:val="20"/>
                <w:szCs w:val="20"/>
              </w:rPr>
              <w:t>备注</w:t>
            </w:r>
          </w:p>
        </w:tc>
        <w:tc>
          <w:tcPr>
            <w:tcW w:w="1417" w:type="dxa"/>
          </w:tcPr>
          <w:p w14:paraId="078DE820" w14:textId="77777777" w:rsidR="00A052DC" w:rsidRDefault="009F0A60">
            <w:pPr>
              <w:rPr>
                <w:rFonts w:ascii="黑体" w:eastAsia="黑体" w:hAnsi="黑体"/>
                <w:sz w:val="20"/>
                <w:szCs w:val="20"/>
              </w:rPr>
            </w:pPr>
            <w:r>
              <w:rPr>
                <w:rFonts w:ascii="黑体" w:eastAsia="黑体" w:hAnsi="黑体" w:hint="eastAsia"/>
                <w:sz w:val="20"/>
                <w:szCs w:val="20"/>
              </w:rPr>
              <w:t>字符型，256</w:t>
            </w:r>
          </w:p>
        </w:tc>
        <w:tc>
          <w:tcPr>
            <w:tcW w:w="4310" w:type="dxa"/>
          </w:tcPr>
          <w:p w14:paraId="6A0ED08A" w14:textId="77777777" w:rsidR="00A052DC" w:rsidRDefault="009F0A60">
            <w:pPr>
              <w:rPr>
                <w:rFonts w:ascii="黑体" w:eastAsia="黑体" w:hAnsi="黑体"/>
                <w:sz w:val="20"/>
                <w:szCs w:val="20"/>
              </w:rPr>
            </w:pPr>
            <w:r>
              <w:rPr>
                <w:rFonts w:ascii="黑体" w:eastAsia="黑体" w:hAnsi="黑体" w:hint="eastAsia"/>
                <w:sz w:val="20"/>
                <w:szCs w:val="20"/>
              </w:rPr>
              <w:t>非必填项。</w:t>
            </w:r>
          </w:p>
        </w:tc>
      </w:tr>
    </w:tbl>
    <w:p w14:paraId="597B3083" w14:textId="77777777" w:rsidR="00A052DC" w:rsidRDefault="00A052DC"/>
    <w:p w14:paraId="6600E8A8" w14:textId="77777777" w:rsidR="00A052DC" w:rsidRDefault="009F0A60" w:rsidP="0020251D">
      <w:pPr>
        <w:pStyle w:val="3"/>
        <w:ind w:left="0"/>
        <w:rPr>
          <w:rFonts w:ascii="Times New Roman" w:hAnsi="Times New Roman"/>
        </w:rPr>
      </w:pPr>
      <w:bookmarkStart w:id="3199" w:name="_Toc454391295"/>
      <w:bookmarkStart w:id="3200" w:name="_Toc91455316"/>
      <w:bookmarkStart w:id="3201" w:name="_Toc380570951"/>
      <w:bookmarkStart w:id="3202" w:name="_Toc101684489"/>
      <w:r>
        <w:rPr>
          <w:rFonts w:ascii="Times New Roman" w:hAnsi="Times New Roman"/>
        </w:rPr>
        <w:t>D01</w:t>
      </w:r>
      <w:r>
        <w:rPr>
          <w:rFonts w:ascii="Times New Roman" w:hAnsi="Times New Roman" w:hint="eastAsia"/>
        </w:rPr>
        <w:t>表：货币与存款（含存放银行同业和联行）（资产）</w:t>
      </w:r>
      <w:bookmarkEnd w:id="3199"/>
      <w:bookmarkEnd w:id="3200"/>
      <w:bookmarkEnd w:id="3201"/>
      <w:bookmarkEnd w:id="3202"/>
    </w:p>
    <w:p w14:paraId="4BEA516B" w14:textId="77777777" w:rsidR="00A052DC" w:rsidRDefault="009F0A60" w:rsidP="0020251D">
      <w:pPr>
        <w:pStyle w:val="4"/>
        <w:numPr>
          <w:ilvl w:val="3"/>
          <w:numId w:val="1"/>
        </w:numPr>
        <w:jc w:val="left"/>
      </w:pPr>
      <w:bookmarkStart w:id="3203" w:name="_Toc380570952"/>
      <w:bookmarkStart w:id="3204" w:name="_Toc454391296"/>
      <w:r>
        <w:rPr>
          <w:rFonts w:hint="eastAsia"/>
        </w:rPr>
        <w:t>数据术语解释</w:t>
      </w:r>
      <w:bookmarkEnd w:id="3203"/>
      <w:bookmarkEnd w:id="3204"/>
    </w:p>
    <w:p w14:paraId="77424E49" w14:textId="77777777" w:rsidR="00A052DC" w:rsidRDefault="00A052DC">
      <w:pPr>
        <w:spacing w:line="240" w:lineRule="exact"/>
        <w:rPr>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6521"/>
      </w:tblGrid>
      <w:tr w:rsidR="00A052DC" w14:paraId="7519E62C" w14:textId="77777777">
        <w:trPr>
          <w:cantSplit/>
        </w:trPr>
        <w:tc>
          <w:tcPr>
            <w:tcW w:w="1809" w:type="dxa"/>
          </w:tcPr>
          <w:p w14:paraId="45C22D3F" w14:textId="77777777" w:rsidR="00A052DC" w:rsidRDefault="009F0A60">
            <w:pPr>
              <w:pStyle w:val="B1"/>
            </w:pPr>
            <w:r>
              <w:rPr>
                <w:rFonts w:hint="eastAsia"/>
              </w:rPr>
              <w:t>基础数据项</w:t>
            </w:r>
          </w:p>
        </w:tc>
        <w:tc>
          <w:tcPr>
            <w:tcW w:w="6521" w:type="dxa"/>
          </w:tcPr>
          <w:p w14:paraId="454EA4ED" w14:textId="77777777" w:rsidR="00A052DC" w:rsidRDefault="009F0A60">
            <w:pPr>
              <w:pStyle w:val="B1"/>
            </w:pPr>
            <w:r>
              <w:rPr>
                <w:rFonts w:hint="eastAsia"/>
              </w:rPr>
              <w:t>定义</w:t>
            </w:r>
          </w:p>
        </w:tc>
      </w:tr>
      <w:tr w:rsidR="00A052DC" w14:paraId="07B82567" w14:textId="77777777">
        <w:trPr>
          <w:cantSplit/>
        </w:trPr>
        <w:tc>
          <w:tcPr>
            <w:tcW w:w="1809" w:type="dxa"/>
          </w:tcPr>
          <w:p w14:paraId="7DA00A29" w14:textId="77777777" w:rsidR="00A052DC" w:rsidRDefault="009F0A60">
            <w:pPr>
              <w:pStyle w:val="B"/>
              <w:rPr>
                <w:szCs w:val="20"/>
              </w:rPr>
            </w:pPr>
            <w:r>
              <w:rPr>
                <w:rFonts w:hint="eastAsia"/>
                <w:szCs w:val="20"/>
              </w:rPr>
              <w:t>数据自编码</w:t>
            </w:r>
          </w:p>
        </w:tc>
        <w:tc>
          <w:tcPr>
            <w:tcW w:w="6521" w:type="dxa"/>
          </w:tcPr>
          <w:p w14:paraId="7FB2C18C" w14:textId="77777777" w:rsidR="00A052DC" w:rsidRDefault="009F0A60">
            <w:pPr>
              <w:pStyle w:val="B"/>
              <w:rPr>
                <w:szCs w:val="20"/>
              </w:rPr>
            </w:pPr>
            <w:r>
              <w:rPr>
                <w:rFonts w:hint="eastAsia"/>
                <w:szCs w:val="20"/>
              </w:rPr>
              <w:t>该编码用于标识金融机构报送的每一条数据，按给定规则编码，便于进行增删改查等操作。建议规则：机构代码（18位，不足18位补</w:t>
            </w:r>
            <w:r>
              <w:rPr>
                <w:szCs w:val="20"/>
              </w:rPr>
              <w:t>a</w:t>
            </w:r>
            <w:r>
              <w:rPr>
                <w:rFonts w:hint="eastAsia"/>
                <w:szCs w:val="20"/>
              </w:rPr>
              <w:t>）</w:t>
            </w:r>
            <w:r>
              <w:rPr>
                <w:szCs w:val="20"/>
              </w:rPr>
              <w:t>+</w:t>
            </w:r>
            <w:r>
              <w:rPr>
                <w:rFonts w:hint="eastAsia"/>
                <w:szCs w:val="20"/>
              </w:rPr>
              <w:t>报表代码（</w:t>
            </w:r>
            <w:r>
              <w:rPr>
                <w:szCs w:val="20"/>
              </w:rPr>
              <w:t>5</w:t>
            </w:r>
            <w:r>
              <w:rPr>
                <w:rFonts w:hint="eastAsia"/>
                <w:szCs w:val="20"/>
              </w:rPr>
              <w:t>位，不足</w:t>
            </w:r>
            <w:r>
              <w:rPr>
                <w:szCs w:val="20"/>
              </w:rPr>
              <w:t>5</w:t>
            </w:r>
            <w:r>
              <w:rPr>
                <w:rFonts w:hint="eastAsia"/>
                <w:szCs w:val="20"/>
              </w:rPr>
              <w:t>位补</w:t>
            </w:r>
            <w:r>
              <w:rPr>
                <w:szCs w:val="20"/>
              </w:rPr>
              <w:t>a</w:t>
            </w:r>
            <w:r>
              <w:rPr>
                <w:rFonts w:hint="eastAsia"/>
                <w:szCs w:val="20"/>
              </w:rPr>
              <w:t>）</w:t>
            </w:r>
            <w:r>
              <w:rPr>
                <w:szCs w:val="20"/>
              </w:rPr>
              <w:t>+</w:t>
            </w:r>
            <w:r>
              <w:rPr>
                <w:rFonts w:hint="eastAsia"/>
                <w:szCs w:val="20"/>
              </w:rPr>
              <w:t>报送期（</w:t>
            </w:r>
            <w:r>
              <w:rPr>
                <w:szCs w:val="20"/>
              </w:rPr>
              <w:t>6</w:t>
            </w:r>
            <w:r>
              <w:rPr>
                <w:rFonts w:hint="eastAsia"/>
                <w:szCs w:val="20"/>
              </w:rPr>
              <w:t>位）</w:t>
            </w:r>
            <w:r>
              <w:rPr>
                <w:szCs w:val="20"/>
              </w:rPr>
              <w:t>+</w:t>
            </w:r>
            <w:r>
              <w:rPr>
                <w:rFonts w:hint="eastAsia"/>
                <w:szCs w:val="20"/>
              </w:rPr>
              <w:t>顺序号（</w:t>
            </w:r>
            <w:r>
              <w:rPr>
                <w:szCs w:val="20"/>
              </w:rPr>
              <w:t>7</w:t>
            </w:r>
            <w:r>
              <w:rPr>
                <w:rFonts w:hint="eastAsia"/>
                <w:szCs w:val="20"/>
              </w:rPr>
              <w:t>位，从</w:t>
            </w:r>
            <w:r>
              <w:rPr>
                <w:szCs w:val="20"/>
              </w:rPr>
              <w:t>0000001</w:t>
            </w:r>
            <w:r>
              <w:rPr>
                <w:rFonts w:hint="eastAsia"/>
                <w:szCs w:val="20"/>
              </w:rPr>
              <w:t>开始增加）。</w:t>
            </w:r>
          </w:p>
        </w:tc>
      </w:tr>
      <w:tr w:rsidR="00A052DC" w14:paraId="1E1861E6" w14:textId="77777777">
        <w:trPr>
          <w:cantSplit/>
        </w:trPr>
        <w:tc>
          <w:tcPr>
            <w:tcW w:w="1809" w:type="dxa"/>
          </w:tcPr>
          <w:p w14:paraId="3E7F988A" w14:textId="77777777" w:rsidR="00A052DC" w:rsidRDefault="009F0A60">
            <w:pPr>
              <w:pStyle w:val="B"/>
              <w:rPr>
                <w:szCs w:val="20"/>
              </w:rPr>
            </w:pPr>
            <w:r>
              <w:rPr>
                <w:rFonts w:hint="eastAsia"/>
                <w:szCs w:val="20"/>
              </w:rPr>
              <w:t>申报主体代码</w:t>
            </w:r>
          </w:p>
        </w:tc>
        <w:tc>
          <w:tcPr>
            <w:tcW w:w="6521" w:type="dxa"/>
          </w:tcPr>
          <w:p w14:paraId="400BC1D8" w14:textId="77777777" w:rsidR="00A052DC" w:rsidRDefault="009F0A60">
            <w:pPr>
              <w:pStyle w:val="B"/>
              <w:rPr>
                <w:szCs w:val="20"/>
              </w:rPr>
            </w:pPr>
            <w:r>
              <w:rPr>
                <w:rFonts w:hint="eastAsia"/>
                <w:szCs w:val="20"/>
              </w:rPr>
              <w:t>申报主体的12位金融机构标识码，如果没有金融机构标识码，则填报统一社会信用代码法定载体（如营业执照）上统一社会信用代码中的第9至17位或国家外汇管理局及其分支局签发的特殊机构代码赋码通知书上的机构代码、个人身份代码。</w:t>
            </w:r>
          </w:p>
        </w:tc>
      </w:tr>
      <w:tr w:rsidR="00A052DC" w14:paraId="1D7E4036" w14:textId="77777777">
        <w:trPr>
          <w:cantSplit/>
        </w:trPr>
        <w:tc>
          <w:tcPr>
            <w:tcW w:w="1809" w:type="dxa"/>
          </w:tcPr>
          <w:p w14:paraId="287073A5" w14:textId="77777777" w:rsidR="00A052DC" w:rsidRDefault="009F0A60">
            <w:pPr>
              <w:pStyle w:val="B"/>
              <w:rPr>
                <w:szCs w:val="20"/>
              </w:rPr>
            </w:pPr>
            <w:r>
              <w:rPr>
                <w:rFonts w:hint="eastAsia"/>
                <w:szCs w:val="20"/>
              </w:rPr>
              <w:t>报告期</w:t>
            </w:r>
          </w:p>
        </w:tc>
        <w:tc>
          <w:tcPr>
            <w:tcW w:w="6521" w:type="dxa"/>
          </w:tcPr>
          <w:p w14:paraId="7D115887" w14:textId="77777777" w:rsidR="00A052DC" w:rsidRDefault="009F0A60">
            <w:pPr>
              <w:pStyle w:val="B"/>
              <w:rPr>
                <w:szCs w:val="20"/>
              </w:rPr>
            </w:pPr>
            <w:r>
              <w:rPr>
                <w:rFonts w:hint="eastAsia"/>
                <w:szCs w:val="20"/>
              </w:rPr>
              <w:t>业务发生月份，格式为</w:t>
            </w:r>
            <w:r>
              <w:rPr>
                <w:szCs w:val="20"/>
              </w:rPr>
              <w:t>YYYYMM</w:t>
            </w:r>
            <w:r>
              <w:rPr>
                <w:rFonts w:hint="eastAsia"/>
                <w:szCs w:val="20"/>
              </w:rPr>
              <w:t>。</w:t>
            </w:r>
          </w:p>
        </w:tc>
      </w:tr>
      <w:tr w:rsidR="00A052DC" w14:paraId="6D2CA6E8" w14:textId="77777777">
        <w:trPr>
          <w:cantSplit/>
        </w:trPr>
        <w:tc>
          <w:tcPr>
            <w:tcW w:w="1809" w:type="dxa"/>
          </w:tcPr>
          <w:p w14:paraId="0F721330" w14:textId="77777777" w:rsidR="00A052DC" w:rsidRDefault="009F0A60">
            <w:pPr>
              <w:pStyle w:val="B"/>
              <w:rPr>
                <w:szCs w:val="20"/>
              </w:rPr>
            </w:pPr>
            <w:r>
              <w:rPr>
                <w:rFonts w:hint="eastAsia"/>
                <w:szCs w:val="20"/>
              </w:rPr>
              <w:t>业务类别</w:t>
            </w:r>
          </w:p>
        </w:tc>
        <w:tc>
          <w:tcPr>
            <w:tcW w:w="6521" w:type="dxa"/>
          </w:tcPr>
          <w:p w14:paraId="2656DB6D" w14:textId="77777777" w:rsidR="00A052DC" w:rsidRDefault="009F0A60">
            <w:pPr>
              <w:pStyle w:val="B"/>
              <w:rPr>
                <w:szCs w:val="20"/>
              </w:rPr>
            </w:pPr>
            <w:r>
              <w:rPr>
                <w:color w:val="000000"/>
              </w:rPr>
              <w:t>0-</w:t>
            </w:r>
            <w:r>
              <w:rPr>
                <w:rFonts w:hint="eastAsia"/>
                <w:color w:val="000000"/>
              </w:rPr>
              <w:t>外币现金（硬币与纸币）；</w:t>
            </w:r>
            <w:r>
              <w:rPr>
                <w:color w:val="000000"/>
              </w:rPr>
              <w:t>1-</w:t>
            </w:r>
            <w:r>
              <w:rPr>
                <w:rFonts w:hint="eastAsia"/>
                <w:color w:val="000000"/>
              </w:rPr>
              <w:t>存款</w:t>
            </w:r>
            <w:r>
              <w:rPr>
                <w:rFonts w:cs="黑体" w:hint="eastAsia"/>
                <w:color w:val="000000"/>
              </w:rPr>
              <w:t>（存放境外同业）</w:t>
            </w:r>
            <w:r>
              <w:rPr>
                <w:rFonts w:hint="eastAsia"/>
                <w:color w:val="000000"/>
              </w:rPr>
              <w:t>；</w:t>
            </w:r>
            <w:r>
              <w:rPr>
                <w:color w:val="000000"/>
              </w:rPr>
              <w:t>2-账户金（或存放境外的其他贵金属）</w:t>
            </w:r>
            <w:r>
              <w:rPr>
                <w:rFonts w:cs="黑体" w:hint="eastAsia"/>
                <w:color w:val="000000"/>
              </w:rPr>
              <w:t>；</w:t>
            </w:r>
            <w:r>
              <w:rPr>
                <w:rFonts w:cs="黑体"/>
                <w:color w:val="000000"/>
              </w:rPr>
              <w:t>3-</w:t>
            </w:r>
            <w:r>
              <w:rPr>
                <w:rFonts w:cs="黑体" w:hint="eastAsia"/>
                <w:color w:val="000000"/>
              </w:rPr>
              <w:t>存款（联行往来）；4-其他存款</w:t>
            </w:r>
            <w:r>
              <w:rPr>
                <w:rFonts w:hint="eastAsia"/>
                <w:color w:val="000000"/>
              </w:rPr>
              <w:t>。</w:t>
            </w:r>
          </w:p>
        </w:tc>
      </w:tr>
      <w:tr w:rsidR="00A052DC" w14:paraId="178A141F" w14:textId="77777777">
        <w:trPr>
          <w:cantSplit/>
        </w:trPr>
        <w:tc>
          <w:tcPr>
            <w:tcW w:w="1809" w:type="dxa"/>
          </w:tcPr>
          <w:p w14:paraId="650C08F7" w14:textId="77777777" w:rsidR="00A052DC" w:rsidRDefault="009F0A60">
            <w:pPr>
              <w:pStyle w:val="B"/>
              <w:rPr>
                <w:szCs w:val="20"/>
              </w:rPr>
            </w:pPr>
            <w:r>
              <w:rPr>
                <w:rFonts w:hint="eastAsia"/>
                <w:szCs w:val="20"/>
              </w:rPr>
              <w:t>对方国家</w:t>
            </w:r>
            <w:r>
              <w:rPr>
                <w:szCs w:val="20"/>
              </w:rPr>
              <w:t>/</w:t>
            </w:r>
            <w:r>
              <w:rPr>
                <w:rFonts w:hint="eastAsia"/>
                <w:szCs w:val="20"/>
              </w:rPr>
              <w:t>地区</w:t>
            </w:r>
          </w:p>
        </w:tc>
        <w:tc>
          <w:tcPr>
            <w:tcW w:w="6521" w:type="dxa"/>
          </w:tcPr>
          <w:p w14:paraId="19C0E125" w14:textId="77777777" w:rsidR="00A052DC" w:rsidRDefault="009F0A60">
            <w:pPr>
              <w:pStyle w:val="B"/>
              <w:rPr>
                <w:szCs w:val="20"/>
              </w:rPr>
            </w:pPr>
            <w:r>
              <w:rPr>
                <w:rFonts w:hint="eastAsia"/>
                <w:szCs w:val="20"/>
              </w:rPr>
              <w:t>外币现钞项下根据现金（含硬币与纸币）发行国家</w:t>
            </w:r>
            <w:r>
              <w:rPr>
                <w:szCs w:val="20"/>
              </w:rPr>
              <w:t>/</w:t>
            </w:r>
            <w:r>
              <w:rPr>
                <w:rFonts w:hint="eastAsia"/>
                <w:szCs w:val="20"/>
              </w:rPr>
              <w:t>地区填写，其中，欧元现金暂申报为德国。存款和账户金项下根据账户行所在地填写国别。见国家和地区代码表。</w:t>
            </w:r>
          </w:p>
        </w:tc>
      </w:tr>
      <w:tr w:rsidR="00A052DC" w14:paraId="68A8F0AE" w14:textId="77777777">
        <w:trPr>
          <w:cantSplit/>
        </w:trPr>
        <w:tc>
          <w:tcPr>
            <w:tcW w:w="1809" w:type="dxa"/>
          </w:tcPr>
          <w:p w14:paraId="2732AE46" w14:textId="77777777" w:rsidR="00A052DC" w:rsidRDefault="009F0A60">
            <w:pPr>
              <w:pStyle w:val="B"/>
              <w:rPr>
                <w:szCs w:val="20"/>
              </w:rPr>
            </w:pPr>
            <w:r>
              <w:rPr>
                <w:rFonts w:hint="eastAsia"/>
                <w:szCs w:val="20"/>
              </w:rPr>
              <w:t>对方部门</w:t>
            </w:r>
          </w:p>
        </w:tc>
        <w:tc>
          <w:tcPr>
            <w:tcW w:w="6521" w:type="dxa"/>
          </w:tcPr>
          <w:p w14:paraId="5E547211" w14:textId="77777777" w:rsidR="00A052DC" w:rsidRDefault="009F0A60">
            <w:pPr>
              <w:pStyle w:val="B"/>
              <w:rPr>
                <w:szCs w:val="20"/>
              </w:rPr>
            </w:pPr>
            <w:r>
              <w:rPr>
                <w:rFonts w:hint="eastAsia"/>
                <w:szCs w:val="20"/>
              </w:rPr>
              <w:t>见投资者（被投资者）部门代码表，如持有外币现钞，对方部门填写为</w:t>
            </w:r>
            <w:r>
              <w:rPr>
                <w:szCs w:val="20"/>
              </w:rPr>
              <w:t>2</w:t>
            </w:r>
            <w:r>
              <w:rPr>
                <w:rFonts w:hint="eastAsia"/>
                <w:szCs w:val="20"/>
              </w:rPr>
              <w:t>。</w:t>
            </w:r>
          </w:p>
        </w:tc>
      </w:tr>
      <w:tr w:rsidR="00A052DC" w14:paraId="05410417" w14:textId="77777777">
        <w:trPr>
          <w:cantSplit/>
        </w:trPr>
        <w:tc>
          <w:tcPr>
            <w:tcW w:w="1809" w:type="dxa"/>
          </w:tcPr>
          <w:p w14:paraId="342642BD" w14:textId="77777777" w:rsidR="00A052DC" w:rsidRDefault="009F0A60">
            <w:pPr>
              <w:pStyle w:val="B"/>
              <w:rPr>
                <w:szCs w:val="20"/>
              </w:rPr>
            </w:pPr>
            <w:r>
              <w:rPr>
                <w:rFonts w:hint="eastAsia"/>
                <w:szCs w:val="20"/>
              </w:rPr>
              <w:t>对方与本机构的关系</w:t>
            </w:r>
          </w:p>
        </w:tc>
        <w:tc>
          <w:tcPr>
            <w:tcW w:w="6521" w:type="dxa"/>
          </w:tcPr>
          <w:p w14:paraId="3ADB2C58" w14:textId="77777777" w:rsidR="00A052DC" w:rsidRDefault="009F0A60">
            <w:pPr>
              <w:pStyle w:val="B"/>
              <w:rPr>
                <w:szCs w:val="20"/>
              </w:rPr>
            </w:pPr>
            <w:r>
              <w:rPr>
                <w:rFonts w:hint="eastAsia"/>
                <w:szCs w:val="20"/>
              </w:rPr>
              <w:t>见对方与本机构</w:t>
            </w:r>
            <w:r>
              <w:rPr>
                <w:szCs w:val="20"/>
              </w:rPr>
              <w:t>/</w:t>
            </w:r>
            <w:r>
              <w:rPr>
                <w:rFonts w:hint="eastAsia"/>
                <w:szCs w:val="20"/>
              </w:rPr>
              <w:t>被代理居民机构</w:t>
            </w:r>
            <w:r>
              <w:rPr>
                <w:szCs w:val="20"/>
              </w:rPr>
              <w:t>/</w:t>
            </w:r>
            <w:r>
              <w:rPr>
                <w:rFonts w:hint="eastAsia"/>
                <w:szCs w:val="20"/>
              </w:rPr>
              <w:t>委托人的关系代码表。分为以下四种情况：</w:t>
            </w:r>
            <w:r>
              <w:rPr>
                <w:szCs w:val="20"/>
              </w:rPr>
              <w:t>1-</w:t>
            </w:r>
            <w:r>
              <w:rPr>
                <w:rFonts w:hint="eastAsia"/>
                <w:szCs w:val="20"/>
              </w:rPr>
              <w:t>对方是本机构的境外直接投资者，即持有本机构表决权≥</w:t>
            </w:r>
            <w:r>
              <w:rPr>
                <w:szCs w:val="20"/>
              </w:rPr>
              <w:t>10%</w:t>
            </w:r>
            <w:r>
              <w:rPr>
                <w:rFonts w:hint="eastAsia"/>
                <w:szCs w:val="20"/>
              </w:rPr>
              <w:t>；</w:t>
            </w:r>
            <w:r>
              <w:rPr>
                <w:szCs w:val="20"/>
              </w:rPr>
              <w:t>2-</w:t>
            </w:r>
            <w:r>
              <w:rPr>
                <w:rFonts w:hint="eastAsia"/>
                <w:szCs w:val="20"/>
              </w:rPr>
              <w:t>对方是本机构的境外直接投资企业，即本机构持有表决权在</w:t>
            </w:r>
            <w:r>
              <w:rPr>
                <w:szCs w:val="20"/>
              </w:rPr>
              <w:t>10%</w:t>
            </w:r>
            <w:r>
              <w:rPr>
                <w:rFonts w:hint="eastAsia"/>
                <w:szCs w:val="20"/>
              </w:rPr>
              <w:t>及以上的境外分支机构、子机构、联营机构或合营机构；</w:t>
            </w:r>
            <w:r>
              <w:rPr>
                <w:szCs w:val="20"/>
              </w:rPr>
              <w:t>3-</w:t>
            </w:r>
            <w:r>
              <w:rPr>
                <w:rFonts w:hint="eastAsia"/>
                <w:szCs w:val="20"/>
              </w:rPr>
              <w:t>对方是本机构的境外联属机构，即双方有共同母公司，但相互持有表决权＜</w:t>
            </w:r>
            <w:r>
              <w:rPr>
                <w:szCs w:val="20"/>
              </w:rPr>
              <w:t>10%</w:t>
            </w:r>
            <w:r>
              <w:rPr>
                <w:rFonts w:hint="eastAsia"/>
                <w:szCs w:val="20"/>
              </w:rPr>
              <w:t>或相互不持有表决权；</w:t>
            </w:r>
            <w:r>
              <w:rPr>
                <w:szCs w:val="20"/>
              </w:rPr>
              <w:t>4-</w:t>
            </w:r>
            <w:r>
              <w:rPr>
                <w:rFonts w:hint="eastAsia"/>
                <w:szCs w:val="20"/>
              </w:rPr>
              <w:t>对方与本机构无关联关系。</w:t>
            </w:r>
          </w:p>
        </w:tc>
      </w:tr>
      <w:tr w:rsidR="00A052DC" w14:paraId="6EBDDBFA" w14:textId="77777777">
        <w:trPr>
          <w:cantSplit/>
        </w:trPr>
        <w:tc>
          <w:tcPr>
            <w:tcW w:w="1809" w:type="dxa"/>
          </w:tcPr>
          <w:p w14:paraId="2A468AD9" w14:textId="77777777" w:rsidR="00A052DC" w:rsidRDefault="009F0A60">
            <w:pPr>
              <w:pStyle w:val="B"/>
              <w:rPr>
                <w:szCs w:val="20"/>
              </w:rPr>
            </w:pPr>
            <w:r>
              <w:rPr>
                <w:rFonts w:hint="eastAsia"/>
                <w:szCs w:val="20"/>
              </w:rPr>
              <w:t>原始期限</w:t>
            </w:r>
          </w:p>
        </w:tc>
        <w:tc>
          <w:tcPr>
            <w:tcW w:w="6521" w:type="dxa"/>
          </w:tcPr>
          <w:p w14:paraId="6F496BEA" w14:textId="77777777" w:rsidR="00A052DC" w:rsidRDefault="009F0A60">
            <w:pPr>
              <w:pStyle w:val="B"/>
              <w:rPr>
                <w:szCs w:val="20"/>
              </w:rPr>
            </w:pPr>
            <w:r>
              <w:rPr>
                <w:rFonts w:hint="eastAsia"/>
                <w:szCs w:val="20"/>
              </w:rPr>
              <w:t>指相关资产自持有至到期的期限，请按以下两种情况填列：</w:t>
            </w:r>
            <w:r>
              <w:rPr>
                <w:szCs w:val="20"/>
              </w:rPr>
              <w:t>1-</w:t>
            </w:r>
            <w:r>
              <w:rPr>
                <w:rFonts w:hint="eastAsia"/>
                <w:szCs w:val="20"/>
              </w:rPr>
              <w:t>一年及以下，含活期或不定期；</w:t>
            </w:r>
            <w:r>
              <w:rPr>
                <w:szCs w:val="20"/>
              </w:rPr>
              <w:t>2-</w:t>
            </w:r>
            <w:r>
              <w:rPr>
                <w:rFonts w:hint="eastAsia"/>
                <w:szCs w:val="20"/>
              </w:rPr>
              <w:t>一年以上。持有的外币现钞，原始期限填写为</w:t>
            </w:r>
            <w:r>
              <w:rPr>
                <w:szCs w:val="20"/>
              </w:rPr>
              <w:t>1</w:t>
            </w:r>
            <w:r>
              <w:rPr>
                <w:rFonts w:hint="eastAsia"/>
                <w:szCs w:val="20"/>
              </w:rPr>
              <w:t>。</w:t>
            </w:r>
          </w:p>
        </w:tc>
      </w:tr>
      <w:tr w:rsidR="00A052DC" w14:paraId="5BDBCFAB" w14:textId="77777777">
        <w:trPr>
          <w:cantSplit/>
        </w:trPr>
        <w:tc>
          <w:tcPr>
            <w:tcW w:w="1809" w:type="dxa"/>
          </w:tcPr>
          <w:p w14:paraId="04ACFC49" w14:textId="77777777" w:rsidR="00A052DC" w:rsidRDefault="009F0A60">
            <w:pPr>
              <w:pStyle w:val="B"/>
              <w:rPr>
                <w:szCs w:val="20"/>
              </w:rPr>
            </w:pPr>
            <w:r>
              <w:rPr>
                <w:rFonts w:hint="eastAsia"/>
                <w:szCs w:val="20"/>
              </w:rPr>
              <w:t>原始币种</w:t>
            </w:r>
          </w:p>
        </w:tc>
        <w:tc>
          <w:tcPr>
            <w:tcW w:w="6521" w:type="dxa"/>
          </w:tcPr>
          <w:p w14:paraId="7B5736BC" w14:textId="77777777" w:rsidR="00A052DC" w:rsidRDefault="009F0A60">
            <w:pPr>
              <w:pStyle w:val="B"/>
              <w:rPr>
                <w:szCs w:val="20"/>
              </w:rPr>
            </w:pPr>
            <w:r>
              <w:rPr>
                <w:rFonts w:hint="eastAsia"/>
                <w:szCs w:val="20"/>
              </w:rPr>
              <w:t>指外币现金的币种或存款的记账币种（入账币种），见币种代码表，适用于从上月末本金余额至本月利息收入各项。其中，存放境外贵金属币种按相关贵金属或美元代码填写。</w:t>
            </w:r>
          </w:p>
        </w:tc>
      </w:tr>
      <w:tr w:rsidR="00A052DC" w14:paraId="22BDCE18" w14:textId="77777777">
        <w:trPr>
          <w:cantSplit/>
        </w:trPr>
        <w:tc>
          <w:tcPr>
            <w:tcW w:w="1809" w:type="dxa"/>
          </w:tcPr>
          <w:p w14:paraId="1ABAB940" w14:textId="77777777" w:rsidR="00A052DC" w:rsidRDefault="009F0A60">
            <w:pPr>
              <w:pStyle w:val="B"/>
              <w:rPr>
                <w:szCs w:val="20"/>
              </w:rPr>
            </w:pPr>
            <w:r>
              <w:rPr>
                <w:rFonts w:hint="eastAsia"/>
                <w:szCs w:val="20"/>
              </w:rPr>
              <w:t>上月末本金余额</w:t>
            </w:r>
          </w:p>
        </w:tc>
        <w:tc>
          <w:tcPr>
            <w:tcW w:w="6521" w:type="dxa"/>
          </w:tcPr>
          <w:p w14:paraId="086195D5" w14:textId="77777777" w:rsidR="00A052DC" w:rsidRDefault="009F0A60">
            <w:pPr>
              <w:pStyle w:val="B"/>
              <w:rPr>
                <w:szCs w:val="20"/>
              </w:rPr>
            </w:pPr>
            <w:r>
              <w:rPr>
                <w:rFonts w:hint="eastAsia"/>
                <w:szCs w:val="20"/>
              </w:rPr>
              <w:t>指上月末相关资产的本金余额，包括已结转为本金的利息部分。对于存放境外同业账户发生的透支款项及利息，如无法单独区分，可合并在同业存款余额中填报。</w:t>
            </w:r>
            <w:r>
              <w:rPr>
                <w:rFonts w:ascii="宋体" w:hAnsi="宋体" w:hint="eastAsia"/>
                <w:color w:val="000000"/>
              </w:rPr>
              <w:t>对于存放境外贵金属，应填写与原始币种相协调的金额，如原始币种为贵金属且以盎司计量，则填写盎司数量。</w:t>
            </w:r>
          </w:p>
        </w:tc>
      </w:tr>
      <w:tr w:rsidR="00A052DC" w14:paraId="19E99968" w14:textId="77777777">
        <w:trPr>
          <w:cantSplit/>
        </w:trPr>
        <w:tc>
          <w:tcPr>
            <w:tcW w:w="1809" w:type="dxa"/>
          </w:tcPr>
          <w:p w14:paraId="66982DA8" w14:textId="77777777" w:rsidR="00A052DC" w:rsidRDefault="009F0A60">
            <w:pPr>
              <w:pStyle w:val="B"/>
              <w:rPr>
                <w:szCs w:val="20"/>
              </w:rPr>
            </w:pPr>
            <w:r>
              <w:rPr>
                <w:rFonts w:hint="eastAsia"/>
                <w:szCs w:val="20"/>
              </w:rPr>
              <w:t>上月末应收利息余额</w:t>
            </w:r>
          </w:p>
        </w:tc>
        <w:tc>
          <w:tcPr>
            <w:tcW w:w="6521" w:type="dxa"/>
          </w:tcPr>
          <w:p w14:paraId="771C760C" w14:textId="77777777" w:rsidR="00A052DC" w:rsidRDefault="009F0A60">
            <w:pPr>
              <w:pStyle w:val="B"/>
              <w:rPr>
                <w:szCs w:val="20"/>
              </w:rPr>
            </w:pPr>
            <w:r>
              <w:rPr>
                <w:rFonts w:hint="eastAsia"/>
                <w:szCs w:val="20"/>
              </w:rPr>
              <w:t>指上月末相关资产产生的应收未收利息余额。对于已结转为本金的利息，应纳入本金余额统计。</w:t>
            </w:r>
          </w:p>
        </w:tc>
      </w:tr>
      <w:tr w:rsidR="00A052DC" w14:paraId="22F725C3" w14:textId="77777777">
        <w:trPr>
          <w:cantSplit/>
        </w:trPr>
        <w:tc>
          <w:tcPr>
            <w:tcW w:w="1809" w:type="dxa"/>
          </w:tcPr>
          <w:p w14:paraId="31AEE5C0" w14:textId="77777777" w:rsidR="00A052DC" w:rsidRDefault="009F0A60">
            <w:pPr>
              <w:pStyle w:val="B"/>
              <w:rPr>
                <w:szCs w:val="20"/>
              </w:rPr>
            </w:pPr>
            <w:r>
              <w:rPr>
                <w:rFonts w:hint="eastAsia"/>
                <w:szCs w:val="20"/>
              </w:rPr>
              <w:t>本月末本金余额</w:t>
            </w:r>
          </w:p>
        </w:tc>
        <w:tc>
          <w:tcPr>
            <w:tcW w:w="6521" w:type="dxa"/>
          </w:tcPr>
          <w:p w14:paraId="1DB0CEB8" w14:textId="77777777" w:rsidR="00A052DC" w:rsidRDefault="009F0A60">
            <w:pPr>
              <w:pStyle w:val="B"/>
              <w:rPr>
                <w:szCs w:val="20"/>
              </w:rPr>
            </w:pPr>
            <w:r>
              <w:rPr>
                <w:rFonts w:ascii="宋体" w:hAnsi="宋体" w:hint="eastAsia"/>
                <w:color w:val="000000"/>
              </w:rPr>
              <w:t>指本月末相关资产的本金余额，包括已结转为本金的利息部分。对于存放境外同业账户发生的透支款项及利息，如无法单独区分，可合并在同业存款余额中填报。对于存放境外贵金属，应填写与原始币种相协调的金额，如原始币种为贵金属且以盎司计量，则填写盎司数量。对应利息数据的货币单位应与原始币种保持一致。</w:t>
            </w:r>
          </w:p>
        </w:tc>
      </w:tr>
      <w:tr w:rsidR="00A052DC" w14:paraId="624652D3" w14:textId="77777777">
        <w:trPr>
          <w:cantSplit/>
        </w:trPr>
        <w:tc>
          <w:tcPr>
            <w:tcW w:w="1809" w:type="dxa"/>
          </w:tcPr>
          <w:p w14:paraId="7E70772A" w14:textId="77777777" w:rsidR="00A052DC" w:rsidRDefault="009F0A60">
            <w:pPr>
              <w:pStyle w:val="B"/>
              <w:rPr>
                <w:szCs w:val="20"/>
              </w:rPr>
            </w:pPr>
            <w:r>
              <w:rPr>
                <w:rFonts w:hint="eastAsia"/>
                <w:szCs w:val="20"/>
              </w:rPr>
              <w:t>本月末本金余额其中：剩余期限在一年及以下</w:t>
            </w:r>
          </w:p>
        </w:tc>
        <w:tc>
          <w:tcPr>
            <w:tcW w:w="6521" w:type="dxa"/>
          </w:tcPr>
          <w:p w14:paraId="3B98717B" w14:textId="77777777" w:rsidR="00A052DC" w:rsidRDefault="009F0A60">
            <w:pPr>
              <w:pStyle w:val="B"/>
              <w:rPr>
                <w:szCs w:val="20"/>
              </w:rPr>
            </w:pPr>
            <w:r>
              <w:rPr>
                <w:rFonts w:ascii="宋体" w:hAnsi="宋体" w:hint="eastAsia"/>
                <w:color w:val="000000"/>
              </w:rPr>
              <w:t>指自本月末至最终到期在一年及以下的相关资产的余额，包括已结转为本金的利息部分。对于存放境外同业账户发生的透支款项及利息，如无法单独区分，可合并在同业存款余额中填报。对于存放境外贵金属，应填写与原始币种相协调的金额，如原始币种为贵金属且以盎司计量，则填写盎司数量。对应利息数据的货币单位应与原始币种保持一致。</w:t>
            </w:r>
          </w:p>
        </w:tc>
      </w:tr>
      <w:tr w:rsidR="00A052DC" w14:paraId="03144FEC" w14:textId="77777777">
        <w:trPr>
          <w:cantSplit/>
        </w:trPr>
        <w:tc>
          <w:tcPr>
            <w:tcW w:w="1809" w:type="dxa"/>
          </w:tcPr>
          <w:p w14:paraId="3EE44C02" w14:textId="77777777" w:rsidR="00A052DC" w:rsidRDefault="009F0A60">
            <w:pPr>
              <w:pStyle w:val="B"/>
              <w:rPr>
                <w:szCs w:val="20"/>
              </w:rPr>
            </w:pPr>
            <w:r>
              <w:rPr>
                <w:rFonts w:hint="eastAsia"/>
                <w:szCs w:val="20"/>
              </w:rPr>
              <w:t>本月末应收利息余额</w:t>
            </w:r>
          </w:p>
        </w:tc>
        <w:tc>
          <w:tcPr>
            <w:tcW w:w="6521" w:type="dxa"/>
          </w:tcPr>
          <w:p w14:paraId="5744BD05" w14:textId="77777777" w:rsidR="00A052DC" w:rsidRDefault="009F0A60">
            <w:pPr>
              <w:pStyle w:val="B"/>
              <w:rPr>
                <w:szCs w:val="20"/>
              </w:rPr>
            </w:pPr>
            <w:r>
              <w:rPr>
                <w:rFonts w:hint="eastAsia"/>
                <w:szCs w:val="20"/>
              </w:rPr>
              <w:t>指本月末相关资产的应收未收利息余额。对于已结转为本金的利息，应纳入本金余额统计。</w:t>
            </w:r>
          </w:p>
        </w:tc>
      </w:tr>
      <w:tr w:rsidR="00A052DC" w14:paraId="51E153C6" w14:textId="77777777">
        <w:trPr>
          <w:cantSplit/>
        </w:trPr>
        <w:tc>
          <w:tcPr>
            <w:tcW w:w="1809" w:type="dxa"/>
          </w:tcPr>
          <w:p w14:paraId="3D4AC1D0" w14:textId="77777777" w:rsidR="00A052DC" w:rsidRDefault="009F0A60">
            <w:pPr>
              <w:pStyle w:val="B"/>
              <w:rPr>
                <w:szCs w:val="20"/>
              </w:rPr>
            </w:pPr>
            <w:r>
              <w:rPr>
                <w:rFonts w:hint="eastAsia"/>
                <w:szCs w:val="20"/>
              </w:rPr>
              <w:t>本月非交易变动</w:t>
            </w:r>
          </w:p>
        </w:tc>
        <w:tc>
          <w:tcPr>
            <w:tcW w:w="6521" w:type="dxa"/>
          </w:tcPr>
          <w:p w14:paraId="77FA216D" w14:textId="77777777" w:rsidR="00A052DC" w:rsidRDefault="009F0A60">
            <w:pPr>
              <w:pStyle w:val="B"/>
              <w:rPr>
                <w:szCs w:val="20"/>
              </w:rPr>
            </w:pPr>
            <w:r>
              <w:rPr>
                <w:rFonts w:hint="eastAsia"/>
                <w:szCs w:val="20"/>
              </w:rPr>
              <w:t>指本月因撤销或注销、重新分类以及所涉主体居民地位改变等因素导致持有外币现金及存放境外款项变动的净额。</w:t>
            </w:r>
          </w:p>
        </w:tc>
      </w:tr>
      <w:tr w:rsidR="00A052DC" w14:paraId="7E1B143D" w14:textId="77777777">
        <w:trPr>
          <w:cantSplit/>
        </w:trPr>
        <w:tc>
          <w:tcPr>
            <w:tcW w:w="1809" w:type="dxa"/>
          </w:tcPr>
          <w:p w14:paraId="4C57B276" w14:textId="77777777" w:rsidR="00A052DC" w:rsidRDefault="009F0A60">
            <w:pPr>
              <w:pStyle w:val="B"/>
              <w:rPr>
                <w:szCs w:val="20"/>
              </w:rPr>
            </w:pPr>
            <w:r>
              <w:rPr>
                <w:rFonts w:hint="eastAsia"/>
                <w:szCs w:val="20"/>
              </w:rPr>
              <w:t>本月净发生额</w:t>
            </w:r>
          </w:p>
        </w:tc>
        <w:tc>
          <w:tcPr>
            <w:tcW w:w="6521" w:type="dxa"/>
          </w:tcPr>
          <w:p w14:paraId="5B664968" w14:textId="77777777" w:rsidR="00A052DC" w:rsidRDefault="009F0A60">
            <w:pPr>
              <w:pStyle w:val="B"/>
              <w:rPr>
                <w:szCs w:val="20"/>
              </w:rPr>
            </w:pPr>
            <w:r>
              <w:rPr>
                <w:rFonts w:ascii="宋体" w:hAnsi="宋体" w:hint="eastAsia"/>
                <w:color w:val="000000"/>
              </w:rPr>
              <w:t>指本月持有外币现金的净变动值，存放境外款项的净发生额，以及应计利息的净发生额。正值代表资产的增加，负值代表资产的减少。</w:t>
            </w:r>
            <w:r>
              <w:rPr>
                <w:rFonts w:hint="eastAsia"/>
              </w:rPr>
              <w:t>计算公式为：本月净发生额</w:t>
            </w:r>
            <w:r>
              <w:t>=</w:t>
            </w:r>
            <w:r>
              <w:rPr>
                <w:rFonts w:hint="eastAsia"/>
              </w:rPr>
              <w:t>（本月末本金余额</w:t>
            </w:r>
            <w:r>
              <w:t>+</w:t>
            </w:r>
            <w:r>
              <w:rPr>
                <w:rFonts w:hint="eastAsia"/>
              </w:rPr>
              <w:t>本月末应收利息余额）</w:t>
            </w:r>
            <w:r>
              <w:t>-</w:t>
            </w:r>
            <w:r>
              <w:rPr>
                <w:rFonts w:hint="eastAsia"/>
              </w:rPr>
              <w:t>（上月末本金余额</w:t>
            </w:r>
            <w:r>
              <w:t>+</w:t>
            </w:r>
            <w:r>
              <w:rPr>
                <w:rFonts w:hint="eastAsia"/>
              </w:rPr>
              <w:t>上月末应收利息余额）</w:t>
            </w:r>
            <w:r>
              <w:t>-</w:t>
            </w:r>
            <w:r>
              <w:rPr>
                <w:rFonts w:hint="eastAsia"/>
              </w:rPr>
              <w:t>本月非交易变动。</w:t>
            </w:r>
          </w:p>
        </w:tc>
      </w:tr>
      <w:tr w:rsidR="00A052DC" w14:paraId="5EA97059" w14:textId="77777777">
        <w:trPr>
          <w:cantSplit/>
        </w:trPr>
        <w:tc>
          <w:tcPr>
            <w:tcW w:w="1809" w:type="dxa"/>
          </w:tcPr>
          <w:p w14:paraId="6FE452DB" w14:textId="77777777" w:rsidR="00A052DC" w:rsidRDefault="009F0A60">
            <w:pPr>
              <w:pStyle w:val="B"/>
              <w:rPr>
                <w:szCs w:val="20"/>
              </w:rPr>
            </w:pPr>
            <w:r>
              <w:rPr>
                <w:rFonts w:hint="eastAsia"/>
                <w:szCs w:val="20"/>
              </w:rPr>
              <w:t>本月利息收入</w:t>
            </w:r>
          </w:p>
        </w:tc>
        <w:tc>
          <w:tcPr>
            <w:tcW w:w="6521" w:type="dxa"/>
          </w:tcPr>
          <w:p w14:paraId="254B8E93" w14:textId="77777777" w:rsidR="00A052DC" w:rsidRDefault="009F0A60">
            <w:pPr>
              <w:pStyle w:val="B"/>
              <w:rPr>
                <w:szCs w:val="20"/>
              </w:rPr>
            </w:pPr>
            <w:r>
              <w:rPr>
                <w:rFonts w:hint="eastAsia"/>
                <w:szCs w:val="20"/>
              </w:rPr>
              <w:t>指本机构本月会计账上确认的存款利息收入。</w:t>
            </w:r>
          </w:p>
        </w:tc>
      </w:tr>
      <w:tr w:rsidR="00A052DC" w14:paraId="15522D29" w14:textId="77777777">
        <w:trPr>
          <w:cantSplit/>
        </w:trPr>
        <w:tc>
          <w:tcPr>
            <w:tcW w:w="1809" w:type="dxa"/>
          </w:tcPr>
          <w:p w14:paraId="2547E318" w14:textId="77777777" w:rsidR="00A052DC" w:rsidRDefault="009F0A60">
            <w:pPr>
              <w:pStyle w:val="B"/>
              <w:rPr>
                <w:szCs w:val="20"/>
              </w:rPr>
            </w:pPr>
            <w:r>
              <w:rPr>
                <w:rFonts w:hint="eastAsia"/>
                <w:szCs w:val="20"/>
              </w:rPr>
              <w:t>备注</w:t>
            </w:r>
          </w:p>
        </w:tc>
        <w:tc>
          <w:tcPr>
            <w:tcW w:w="6521" w:type="dxa"/>
          </w:tcPr>
          <w:p w14:paraId="51DFE49D" w14:textId="77777777" w:rsidR="00A052DC" w:rsidRDefault="009F0A60">
            <w:pPr>
              <w:pStyle w:val="B"/>
              <w:rPr>
                <w:szCs w:val="20"/>
              </w:rPr>
            </w:pPr>
            <w:r>
              <w:rPr>
                <w:rFonts w:hint="eastAsia"/>
                <w:szCs w:val="20"/>
              </w:rPr>
              <w:t>其他需要说明的情况</w:t>
            </w:r>
          </w:p>
        </w:tc>
      </w:tr>
    </w:tbl>
    <w:p w14:paraId="0C9B345F" w14:textId="77777777" w:rsidR="00A052DC" w:rsidRDefault="00A052DC"/>
    <w:p w14:paraId="3934D603" w14:textId="77777777" w:rsidR="00A052DC" w:rsidRDefault="00A052DC"/>
    <w:p w14:paraId="3B02FF17" w14:textId="77777777" w:rsidR="00A052DC" w:rsidRDefault="009F0A60" w:rsidP="0020251D">
      <w:pPr>
        <w:pStyle w:val="4"/>
        <w:numPr>
          <w:ilvl w:val="3"/>
          <w:numId w:val="1"/>
        </w:numPr>
        <w:jc w:val="left"/>
      </w:pPr>
      <w:bookmarkStart w:id="3205" w:name="_Toc454391297"/>
      <w:bookmarkStart w:id="3206" w:name="_Toc380570953"/>
      <w:r>
        <w:rPr>
          <w:rFonts w:hint="eastAsia"/>
        </w:rPr>
        <w:t>数据格式</w:t>
      </w:r>
      <w:bookmarkEnd w:id="3205"/>
      <w:bookmarkEnd w:id="3206"/>
    </w:p>
    <w:p w14:paraId="7D00F290" w14:textId="77777777" w:rsidR="00A052DC" w:rsidRDefault="009F0A60">
      <w:pPr>
        <w:ind w:firstLine="284"/>
      </w:pPr>
      <w:r>
        <w:t>&lt;REC&gt;</w:t>
      </w:r>
    </w:p>
    <w:p w14:paraId="28667D05" w14:textId="77777777" w:rsidR="00A052DC" w:rsidRDefault="009F0A60">
      <w:pPr>
        <w:ind w:firstLine="284"/>
      </w:pPr>
      <w:r>
        <w:t>&lt;ACTIONTYPE&gt;</w:t>
      </w:r>
      <w:r>
        <w:rPr>
          <w:rFonts w:hAnsi="宋体"/>
        </w:rPr>
        <w:t>操作类型</w:t>
      </w:r>
      <w:r>
        <w:t>&lt;/ACTIONTYPE&gt;</w:t>
      </w:r>
    </w:p>
    <w:p w14:paraId="7ED6E248" w14:textId="77777777" w:rsidR="00A052DC" w:rsidRDefault="009F0A60">
      <w:pPr>
        <w:ind w:firstLine="284"/>
      </w:pPr>
      <w:r>
        <w:t>&lt;ACTIONDESC&gt;</w:t>
      </w:r>
      <w:r>
        <w:rPr>
          <w:rFonts w:hAnsi="宋体"/>
        </w:rPr>
        <w:t>删除原因</w:t>
      </w:r>
      <w:r>
        <w:t>&lt;/ACTIONDESC&gt;</w:t>
      </w:r>
    </w:p>
    <w:p w14:paraId="14B3F093" w14:textId="77777777" w:rsidR="00A052DC" w:rsidRDefault="009F0A60">
      <w:pPr>
        <w:ind w:firstLine="284"/>
      </w:pPr>
      <w:r>
        <w:t>&lt;SNOCODE&gt;</w:t>
      </w:r>
      <w:r>
        <w:rPr>
          <w:rFonts w:hAnsi="宋体"/>
        </w:rPr>
        <w:t>数据自编码</w:t>
      </w:r>
      <w:r>
        <w:t>&lt;/SNOCODE&gt;</w:t>
      </w:r>
    </w:p>
    <w:p w14:paraId="5620FA2A" w14:textId="77777777" w:rsidR="00A052DC" w:rsidRDefault="009F0A60">
      <w:pPr>
        <w:ind w:firstLine="284"/>
      </w:pPr>
      <w:r>
        <w:t>&lt;OBJCODE&gt;</w:t>
      </w:r>
      <w:r>
        <w:rPr>
          <w:rFonts w:hAnsi="宋体"/>
        </w:rPr>
        <w:t>申报主体代码</w:t>
      </w:r>
      <w:r>
        <w:t>&lt;/OBJCODE&gt;</w:t>
      </w:r>
    </w:p>
    <w:p w14:paraId="4A29F107" w14:textId="77777777" w:rsidR="00A052DC" w:rsidRDefault="009F0A60">
      <w:pPr>
        <w:ind w:firstLine="284"/>
      </w:pPr>
      <w:r>
        <w:t>&lt;BUOCMONTH&gt;</w:t>
      </w:r>
      <w:r>
        <w:rPr>
          <w:rFonts w:hAnsi="宋体"/>
        </w:rPr>
        <w:t>报告期</w:t>
      </w:r>
      <w:r>
        <w:t>&lt;/BUOCMONTH&gt;</w:t>
      </w:r>
    </w:p>
    <w:p w14:paraId="4610763B" w14:textId="77777777" w:rsidR="00A052DC" w:rsidRDefault="009F0A60">
      <w:pPr>
        <w:ind w:firstLine="284"/>
      </w:pPr>
      <w:r>
        <w:t>&lt;D0101&gt;</w:t>
      </w:r>
      <w:r>
        <w:rPr>
          <w:rFonts w:hAnsi="宋体"/>
        </w:rPr>
        <w:t>业务类别</w:t>
      </w:r>
      <w:r>
        <w:t>&lt;/D0101&gt;</w:t>
      </w:r>
    </w:p>
    <w:p w14:paraId="0094835D" w14:textId="77777777" w:rsidR="00A052DC" w:rsidRDefault="009F0A60">
      <w:pPr>
        <w:ind w:firstLine="284"/>
      </w:pPr>
      <w:r>
        <w:t>&lt;D0102&gt;</w:t>
      </w:r>
      <w:r>
        <w:rPr>
          <w:rFonts w:hAnsi="宋体"/>
        </w:rPr>
        <w:t>对方国家</w:t>
      </w:r>
      <w:r>
        <w:t>/</w:t>
      </w:r>
      <w:r>
        <w:rPr>
          <w:rFonts w:hAnsi="宋体"/>
        </w:rPr>
        <w:t>地区</w:t>
      </w:r>
      <w:r>
        <w:t>&lt;/D0102&gt;</w:t>
      </w:r>
    </w:p>
    <w:p w14:paraId="5C8036AA" w14:textId="77777777" w:rsidR="00A052DC" w:rsidRDefault="009F0A60">
      <w:pPr>
        <w:ind w:firstLine="284"/>
      </w:pPr>
      <w:r>
        <w:t>&lt;D0103&gt;</w:t>
      </w:r>
      <w:r>
        <w:rPr>
          <w:rFonts w:hAnsi="宋体"/>
        </w:rPr>
        <w:t>对方部门</w:t>
      </w:r>
      <w:r>
        <w:t>&lt;/D0103&gt;</w:t>
      </w:r>
    </w:p>
    <w:p w14:paraId="3DBDF439" w14:textId="77777777" w:rsidR="00A052DC" w:rsidRDefault="009F0A60">
      <w:pPr>
        <w:ind w:firstLine="284"/>
      </w:pPr>
      <w:r>
        <w:t>&lt;D0104&gt;</w:t>
      </w:r>
      <w:r>
        <w:rPr>
          <w:rFonts w:hAnsi="宋体"/>
        </w:rPr>
        <w:t>对方与本机构的关系</w:t>
      </w:r>
      <w:r>
        <w:t>&lt;/D0104&gt;</w:t>
      </w:r>
    </w:p>
    <w:p w14:paraId="3B4EF331" w14:textId="77777777" w:rsidR="00A052DC" w:rsidRDefault="009F0A60">
      <w:pPr>
        <w:ind w:firstLine="284"/>
      </w:pPr>
      <w:r>
        <w:t>&lt;D0105&gt;</w:t>
      </w:r>
      <w:r>
        <w:rPr>
          <w:rFonts w:hAnsi="宋体"/>
        </w:rPr>
        <w:t>原始期限</w:t>
      </w:r>
      <w:r>
        <w:t>&lt;/D0105&gt;</w:t>
      </w:r>
    </w:p>
    <w:p w14:paraId="5ED47963" w14:textId="77777777" w:rsidR="00A052DC" w:rsidRDefault="009F0A60">
      <w:pPr>
        <w:ind w:firstLine="284"/>
      </w:pPr>
      <w:r>
        <w:t>&lt;D0106&gt;</w:t>
      </w:r>
      <w:r>
        <w:rPr>
          <w:rFonts w:hAnsi="宋体"/>
        </w:rPr>
        <w:t>原始币种</w:t>
      </w:r>
      <w:r>
        <w:t>&lt;/D0106&gt;</w:t>
      </w:r>
    </w:p>
    <w:p w14:paraId="1841BBF6" w14:textId="77777777" w:rsidR="00A052DC" w:rsidRDefault="009F0A60">
      <w:pPr>
        <w:ind w:firstLine="284"/>
      </w:pPr>
      <w:r>
        <w:t>&lt;D0107&gt;</w:t>
      </w:r>
      <w:r>
        <w:rPr>
          <w:rFonts w:hAnsi="宋体"/>
        </w:rPr>
        <w:t>上月末本金余额</w:t>
      </w:r>
      <w:r>
        <w:t>&lt;/D0107&gt;</w:t>
      </w:r>
    </w:p>
    <w:p w14:paraId="2CD47C8C" w14:textId="77777777" w:rsidR="00A052DC" w:rsidRDefault="009F0A60">
      <w:pPr>
        <w:ind w:firstLine="284"/>
      </w:pPr>
      <w:r>
        <w:t>&lt;D0108&gt;</w:t>
      </w:r>
      <w:r>
        <w:rPr>
          <w:rFonts w:hAnsi="宋体"/>
        </w:rPr>
        <w:t>上月末应收利息余额</w:t>
      </w:r>
      <w:r>
        <w:t>&lt;/D0108&gt;</w:t>
      </w:r>
    </w:p>
    <w:p w14:paraId="6EBAD8D4" w14:textId="77777777" w:rsidR="00A052DC" w:rsidRDefault="009F0A60">
      <w:pPr>
        <w:ind w:firstLine="284"/>
      </w:pPr>
      <w:r>
        <w:t>&lt;D0109&gt;</w:t>
      </w:r>
      <w:r>
        <w:rPr>
          <w:rFonts w:hAnsi="宋体"/>
        </w:rPr>
        <w:t>本月末本金余额</w:t>
      </w:r>
      <w:r>
        <w:t>&lt;/D0109&gt;</w:t>
      </w:r>
    </w:p>
    <w:p w14:paraId="111D3248" w14:textId="77777777" w:rsidR="00A052DC" w:rsidRDefault="009F0A60">
      <w:pPr>
        <w:ind w:firstLine="284"/>
      </w:pPr>
      <w:r>
        <w:t>&lt;D0110&gt;</w:t>
      </w:r>
      <w:r>
        <w:rPr>
          <w:rFonts w:hAnsi="宋体"/>
        </w:rPr>
        <w:t>本月末本金余额其中：剩余期限在一年及以下</w:t>
      </w:r>
      <w:r>
        <w:t>&lt;/D0110&gt;</w:t>
      </w:r>
    </w:p>
    <w:p w14:paraId="281EB1F9" w14:textId="77777777" w:rsidR="00A052DC" w:rsidRDefault="009F0A60">
      <w:pPr>
        <w:ind w:firstLine="284"/>
      </w:pPr>
      <w:r>
        <w:t>&lt;D0111&gt;</w:t>
      </w:r>
      <w:r>
        <w:rPr>
          <w:rFonts w:hAnsi="宋体"/>
        </w:rPr>
        <w:t>本月末应收利息余额</w:t>
      </w:r>
      <w:r>
        <w:t>&lt;/D0111&gt;</w:t>
      </w:r>
    </w:p>
    <w:p w14:paraId="3C9E71AD" w14:textId="77777777" w:rsidR="00A052DC" w:rsidRDefault="009F0A60">
      <w:pPr>
        <w:ind w:firstLine="284"/>
      </w:pPr>
      <w:r>
        <w:t>&lt;D0112&gt;</w:t>
      </w:r>
      <w:r>
        <w:rPr>
          <w:rFonts w:hAnsi="宋体"/>
        </w:rPr>
        <w:t>本月非交易变动</w:t>
      </w:r>
      <w:r>
        <w:t>&lt;/D0112&gt;</w:t>
      </w:r>
    </w:p>
    <w:p w14:paraId="257BD9FC" w14:textId="77777777" w:rsidR="00A052DC" w:rsidRDefault="009F0A60">
      <w:pPr>
        <w:ind w:firstLine="284"/>
      </w:pPr>
      <w:r>
        <w:t>&lt;D0113&gt;</w:t>
      </w:r>
      <w:r>
        <w:rPr>
          <w:rFonts w:hAnsi="宋体"/>
        </w:rPr>
        <w:t>本月净发生额</w:t>
      </w:r>
      <w:r>
        <w:t>&lt;/D0113&gt;</w:t>
      </w:r>
    </w:p>
    <w:p w14:paraId="1B664DC0" w14:textId="77777777" w:rsidR="00A052DC" w:rsidRDefault="009F0A60">
      <w:pPr>
        <w:ind w:firstLine="284"/>
      </w:pPr>
      <w:r>
        <w:t>&lt;D0114&gt;</w:t>
      </w:r>
      <w:r>
        <w:rPr>
          <w:rFonts w:hAnsi="宋体"/>
        </w:rPr>
        <w:t>本月利息收入</w:t>
      </w:r>
      <w:r>
        <w:t>&lt;/D0114&gt;</w:t>
      </w:r>
    </w:p>
    <w:p w14:paraId="3EC170E1" w14:textId="77777777" w:rsidR="00A052DC" w:rsidRDefault="009F0A60">
      <w:pPr>
        <w:ind w:firstLine="284"/>
      </w:pPr>
      <w:r>
        <w:t>&lt;REMARK&gt;</w:t>
      </w:r>
      <w:r>
        <w:rPr>
          <w:rFonts w:hAnsi="宋体"/>
        </w:rPr>
        <w:t>备注</w:t>
      </w:r>
      <w:r>
        <w:t>&lt;/REMARK&gt;</w:t>
      </w:r>
    </w:p>
    <w:p w14:paraId="1E142F13" w14:textId="77777777" w:rsidR="00A052DC" w:rsidRDefault="009F0A60">
      <w:pPr>
        <w:ind w:firstLine="284"/>
        <w:rPr>
          <w:rFonts w:ascii="宋体" w:hAnsi="宋体"/>
        </w:rPr>
      </w:pPr>
      <w:r>
        <w:t>&lt;/REC&gt;</w:t>
      </w:r>
    </w:p>
    <w:p w14:paraId="075E9C62" w14:textId="77777777" w:rsidR="00A052DC" w:rsidRDefault="009F0A60" w:rsidP="0020251D">
      <w:pPr>
        <w:pStyle w:val="4"/>
        <w:numPr>
          <w:ilvl w:val="3"/>
          <w:numId w:val="1"/>
        </w:numPr>
        <w:jc w:val="left"/>
      </w:pPr>
      <w:bookmarkStart w:id="3207" w:name="_Toc454391298"/>
      <w:bookmarkStart w:id="3208" w:name="_Toc454391299"/>
      <w:bookmarkStart w:id="3209" w:name="_Toc380570954"/>
      <w:bookmarkEnd w:id="3207"/>
      <w:r>
        <w:rPr>
          <w:rFonts w:hint="eastAsia"/>
        </w:rPr>
        <w:t>数据字典</w:t>
      </w:r>
      <w:bookmarkEnd w:id="3208"/>
      <w:bookmarkEnd w:id="3209"/>
    </w:p>
    <w:tbl>
      <w:tblPr>
        <w:tblW w:w="8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4"/>
        <w:gridCol w:w="2268"/>
        <w:gridCol w:w="1418"/>
        <w:gridCol w:w="3676"/>
      </w:tblGrid>
      <w:tr w:rsidR="00A052DC" w14:paraId="51F4498C" w14:textId="77777777">
        <w:trPr>
          <w:tblHeader/>
          <w:jc w:val="center"/>
        </w:trPr>
        <w:tc>
          <w:tcPr>
            <w:tcW w:w="1324" w:type="dxa"/>
            <w:shd w:val="clear" w:color="auto" w:fill="C0C0C0"/>
          </w:tcPr>
          <w:p w14:paraId="53A22315" w14:textId="77777777" w:rsidR="00A052DC" w:rsidRDefault="009F0A60">
            <w:pPr>
              <w:pStyle w:val="B1"/>
            </w:pPr>
            <w:r>
              <w:rPr>
                <w:rFonts w:hint="eastAsia"/>
              </w:rPr>
              <w:t>字段</w:t>
            </w:r>
          </w:p>
        </w:tc>
        <w:tc>
          <w:tcPr>
            <w:tcW w:w="2268" w:type="dxa"/>
            <w:shd w:val="clear" w:color="auto" w:fill="C0C0C0"/>
          </w:tcPr>
          <w:p w14:paraId="0E28C169" w14:textId="77777777" w:rsidR="00A052DC" w:rsidRDefault="009F0A60">
            <w:pPr>
              <w:pStyle w:val="B1"/>
            </w:pPr>
            <w:r>
              <w:rPr>
                <w:rFonts w:hint="eastAsia"/>
              </w:rPr>
              <w:t>内容</w:t>
            </w:r>
          </w:p>
        </w:tc>
        <w:tc>
          <w:tcPr>
            <w:tcW w:w="1418" w:type="dxa"/>
            <w:shd w:val="clear" w:color="auto" w:fill="C0C0C0"/>
          </w:tcPr>
          <w:p w14:paraId="4C909862" w14:textId="77777777" w:rsidR="00A052DC" w:rsidRDefault="009F0A60">
            <w:pPr>
              <w:pStyle w:val="B1"/>
            </w:pPr>
            <w:r>
              <w:rPr>
                <w:rFonts w:hint="eastAsia"/>
              </w:rPr>
              <w:t>类型（长度）</w:t>
            </w:r>
          </w:p>
        </w:tc>
        <w:tc>
          <w:tcPr>
            <w:tcW w:w="3676" w:type="dxa"/>
            <w:shd w:val="clear" w:color="auto" w:fill="C0C0C0"/>
          </w:tcPr>
          <w:p w14:paraId="6232CD21" w14:textId="77777777" w:rsidR="00A052DC" w:rsidRDefault="009F0A60">
            <w:pPr>
              <w:pStyle w:val="B1"/>
            </w:pPr>
            <w:r>
              <w:rPr>
                <w:rFonts w:hint="eastAsia"/>
              </w:rPr>
              <w:t>校验</w:t>
            </w:r>
          </w:p>
        </w:tc>
      </w:tr>
      <w:tr w:rsidR="00A052DC" w14:paraId="2B4D7B04" w14:textId="77777777">
        <w:trPr>
          <w:jc w:val="center"/>
        </w:trPr>
        <w:tc>
          <w:tcPr>
            <w:tcW w:w="1324" w:type="dxa"/>
          </w:tcPr>
          <w:p w14:paraId="23B6628B" w14:textId="77777777" w:rsidR="00A052DC" w:rsidRDefault="009F0A60">
            <w:pPr>
              <w:pStyle w:val="B"/>
              <w:rPr>
                <w:szCs w:val="20"/>
              </w:rPr>
            </w:pPr>
            <w:r>
              <w:rPr>
                <w:szCs w:val="20"/>
              </w:rPr>
              <w:t>ACTIONTYPE</w:t>
            </w:r>
          </w:p>
        </w:tc>
        <w:tc>
          <w:tcPr>
            <w:tcW w:w="2268" w:type="dxa"/>
          </w:tcPr>
          <w:p w14:paraId="26EF2A71" w14:textId="77777777" w:rsidR="00A052DC" w:rsidRDefault="009F0A60">
            <w:pPr>
              <w:pStyle w:val="B"/>
              <w:rPr>
                <w:szCs w:val="20"/>
              </w:rPr>
            </w:pPr>
            <w:r>
              <w:rPr>
                <w:rFonts w:hint="eastAsia"/>
                <w:szCs w:val="20"/>
              </w:rPr>
              <w:t>操作类型</w:t>
            </w:r>
          </w:p>
        </w:tc>
        <w:tc>
          <w:tcPr>
            <w:tcW w:w="1418" w:type="dxa"/>
          </w:tcPr>
          <w:p w14:paraId="403BF084" w14:textId="77777777" w:rsidR="00A052DC" w:rsidRDefault="009F0A60">
            <w:pPr>
              <w:pStyle w:val="B"/>
              <w:rPr>
                <w:szCs w:val="20"/>
              </w:rPr>
            </w:pPr>
            <w:r>
              <w:rPr>
                <w:rFonts w:hint="eastAsia"/>
                <w:szCs w:val="20"/>
              </w:rPr>
              <w:t>字符型，</w:t>
            </w:r>
            <w:r>
              <w:rPr>
                <w:szCs w:val="20"/>
              </w:rPr>
              <w:t>1</w:t>
            </w:r>
          </w:p>
        </w:tc>
        <w:tc>
          <w:tcPr>
            <w:tcW w:w="3676" w:type="dxa"/>
          </w:tcPr>
          <w:p w14:paraId="5686CC06" w14:textId="77777777" w:rsidR="00A052DC" w:rsidRDefault="009F0A60">
            <w:pPr>
              <w:pStyle w:val="B"/>
              <w:rPr>
                <w:szCs w:val="20"/>
              </w:rPr>
            </w:pPr>
            <w:r>
              <w:rPr>
                <w:rFonts w:hint="eastAsia"/>
                <w:szCs w:val="20"/>
              </w:rPr>
              <w:t>必填项</w:t>
            </w:r>
            <w:r w:rsidR="00191DE9">
              <w:rPr>
                <w:rFonts w:hint="eastAsia"/>
                <w:szCs w:val="20"/>
              </w:rPr>
              <w:t>。</w:t>
            </w:r>
          </w:p>
          <w:p w14:paraId="0C4DD461" w14:textId="77777777" w:rsidR="00A052DC" w:rsidRDefault="009F0A60">
            <w:pPr>
              <w:pStyle w:val="B"/>
              <w:rPr>
                <w:szCs w:val="20"/>
              </w:rPr>
            </w:pPr>
            <w:r>
              <w:rPr>
                <w:szCs w:val="20"/>
              </w:rPr>
              <w:t>A</w:t>
            </w:r>
            <w:r w:rsidR="00AE4602">
              <w:rPr>
                <w:rFonts w:hint="eastAsia"/>
                <w:szCs w:val="20"/>
              </w:rPr>
              <w:t>-</w:t>
            </w:r>
            <w:r>
              <w:rPr>
                <w:rFonts w:hint="eastAsia"/>
                <w:szCs w:val="20"/>
              </w:rPr>
              <w:t>新建</w:t>
            </w:r>
          </w:p>
          <w:p w14:paraId="20D94AAF" w14:textId="77777777" w:rsidR="00A052DC" w:rsidRDefault="009F0A60">
            <w:pPr>
              <w:pStyle w:val="B"/>
              <w:rPr>
                <w:szCs w:val="20"/>
              </w:rPr>
            </w:pPr>
            <w:r>
              <w:rPr>
                <w:szCs w:val="20"/>
              </w:rPr>
              <w:t>C</w:t>
            </w:r>
            <w:r w:rsidR="00AE4602">
              <w:rPr>
                <w:rFonts w:hint="eastAsia"/>
                <w:szCs w:val="20"/>
              </w:rPr>
              <w:t>-</w:t>
            </w:r>
            <w:r>
              <w:rPr>
                <w:rFonts w:hint="eastAsia"/>
                <w:szCs w:val="20"/>
              </w:rPr>
              <w:t>修改</w:t>
            </w:r>
          </w:p>
          <w:p w14:paraId="4B12CCF4" w14:textId="77777777" w:rsidR="00A052DC" w:rsidRDefault="009F0A60">
            <w:pPr>
              <w:pStyle w:val="B"/>
              <w:rPr>
                <w:szCs w:val="20"/>
              </w:rPr>
            </w:pPr>
            <w:r>
              <w:rPr>
                <w:szCs w:val="20"/>
              </w:rPr>
              <w:t>D</w:t>
            </w:r>
            <w:r w:rsidR="00AE4602">
              <w:rPr>
                <w:rFonts w:hint="eastAsia"/>
                <w:szCs w:val="20"/>
              </w:rPr>
              <w:t>-</w:t>
            </w:r>
            <w:r>
              <w:rPr>
                <w:rFonts w:hint="eastAsia"/>
                <w:szCs w:val="20"/>
              </w:rPr>
              <w:t>删除</w:t>
            </w:r>
          </w:p>
        </w:tc>
      </w:tr>
      <w:tr w:rsidR="00A052DC" w14:paraId="405FCC31" w14:textId="77777777">
        <w:trPr>
          <w:jc w:val="center"/>
        </w:trPr>
        <w:tc>
          <w:tcPr>
            <w:tcW w:w="1324" w:type="dxa"/>
          </w:tcPr>
          <w:p w14:paraId="56752224" w14:textId="77777777" w:rsidR="00A052DC" w:rsidRDefault="009F0A60">
            <w:pPr>
              <w:pStyle w:val="B"/>
              <w:rPr>
                <w:szCs w:val="20"/>
              </w:rPr>
            </w:pPr>
            <w:r>
              <w:rPr>
                <w:szCs w:val="20"/>
              </w:rPr>
              <w:t>ACTIONDESC</w:t>
            </w:r>
          </w:p>
        </w:tc>
        <w:tc>
          <w:tcPr>
            <w:tcW w:w="2268" w:type="dxa"/>
          </w:tcPr>
          <w:p w14:paraId="66ABA92D" w14:textId="77777777" w:rsidR="00A052DC" w:rsidRDefault="009F0A60">
            <w:pPr>
              <w:pStyle w:val="B"/>
              <w:rPr>
                <w:szCs w:val="20"/>
              </w:rPr>
            </w:pPr>
            <w:r>
              <w:rPr>
                <w:rFonts w:hint="eastAsia"/>
                <w:szCs w:val="20"/>
              </w:rPr>
              <w:t>删除原因</w:t>
            </w:r>
          </w:p>
        </w:tc>
        <w:tc>
          <w:tcPr>
            <w:tcW w:w="1418" w:type="dxa"/>
          </w:tcPr>
          <w:p w14:paraId="628604FA" w14:textId="77777777" w:rsidR="00A052DC" w:rsidRDefault="009F0A60">
            <w:pPr>
              <w:pStyle w:val="B"/>
              <w:rPr>
                <w:szCs w:val="20"/>
              </w:rPr>
            </w:pPr>
            <w:r>
              <w:rPr>
                <w:rFonts w:hint="eastAsia"/>
                <w:szCs w:val="20"/>
              </w:rPr>
              <w:t>字符型，</w:t>
            </w:r>
            <w:r>
              <w:rPr>
                <w:szCs w:val="20"/>
              </w:rPr>
              <w:t>128</w:t>
            </w:r>
          </w:p>
        </w:tc>
        <w:tc>
          <w:tcPr>
            <w:tcW w:w="3676" w:type="dxa"/>
          </w:tcPr>
          <w:p w14:paraId="4A79DEA9" w14:textId="77777777" w:rsidR="00A052DC" w:rsidRDefault="00DD6AA3">
            <w:pPr>
              <w:pStyle w:val="B"/>
              <w:rPr>
                <w:szCs w:val="20"/>
              </w:rPr>
            </w:pPr>
            <w:r>
              <w:rPr>
                <w:rFonts w:hint="eastAsia"/>
                <w:szCs w:val="20"/>
              </w:rPr>
              <w:t>非必填项，当操作类型（ACTIONTYPE）为删除时必填。</w:t>
            </w:r>
          </w:p>
        </w:tc>
      </w:tr>
      <w:tr w:rsidR="00A052DC" w14:paraId="0E6E0259" w14:textId="77777777">
        <w:trPr>
          <w:jc w:val="center"/>
        </w:trPr>
        <w:tc>
          <w:tcPr>
            <w:tcW w:w="1324" w:type="dxa"/>
          </w:tcPr>
          <w:p w14:paraId="362942A0" w14:textId="77777777" w:rsidR="00A052DC" w:rsidRDefault="009F0A60">
            <w:pPr>
              <w:pStyle w:val="B"/>
              <w:rPr>
                <w:szCs w:val="20"/>
              </w:rPr>
            </w:pPr>
            <w:r>
              <w:rPr>
                <w:szCs w:val="20"/>
              </w:rPr>
              <w:t>SNOCODE</w:t>
            </w:r>
          </w:p>
        </w:tc>
        <w:tc>
          <w:tcPr>
            <w:tcW w:w="2268" w:type="dxa"/>
          </w:tcPr>
          <w:p w14:paraId="67EDD142" w14:textId="77777777" w:rsidR="00A052DC" w:rsidRDefault="009F0A60">
            <w:pPr>
              <w:pStyle w:val="B"/>
              <w:rPr>
                <w:szCs w:val="20"/>
              </w:rPr>
            </w:pPr>
            <w:r>
              <w:rPr>
                <w:rFonts w:hint="eastAsia"/>
                <w:szCs w:val="20"/>
              </w:rPr>
              <w:t>数据自编码</w:t>
            </w:r>
          </w:p>
        </w:tc>
        <w:tc>
          <w:tcPr>
            <w:tcW w:w="1418" w:type="dxa"/>
          </w:tcPr>
          <w:p w14:paraId="2981C8B7" w14:textId="77777777" w:rsidR="00A052DC" w:rsidRDefault="009F0A60">
            <w:pPr>
              <w:pStyle w:val="B"/>
              <w:rPr>
                <w:szCs w:val="20"/>
              </w:rPr>
            </w:pPr>
            <w:r>
              <w:rPr>
                <w:rFonts w:hint="eastAsia"/>
                <w:szCs w:val="20"/>
              </w:rPr>
              <w:t>字符型，36</w:t>
            </w:r>
          </w:p>
        </w:tc>
        <w:tc>
          <w:tcPr>
            <w:tcW w:w="3676" w:type="dxa"/>
          </w:tcPr>
          <w:p w14:paraId="72FDD1FE" w14:textId="77777777" w:rsidR="00A052DC" w:rsidRDefault="009F0A60">
            <w:pPr>
              <w:pStyle w:val="B"/>
              <w:rPr>
                <w:szCs w:val="20"/>
              </w:rPr>
            </w:pPr>
            <w:r>
              <w:rPr>
                <w:rFonts w:hint="eastAsia"/>
                <w:szCs w:val="20"/>
              </w:rPr>
              <w:t>必填项。</w:t>
            </w:r>
            <w:r>
              <w:rPr>
                <w:szCs w:val="20"/>
              </w:rPr>
              <w:t>对于接口报送的填报主体，数据自编码中的报送期（6位）应与报告期（YYYYMM）一致。</w:t>
            </w:r>
          </w:p>
        </w:tc>
      </w:tr>
      <w:tr w:rsidR="00A052DC" w14:paraId="243833DF" w14:textId="77777777">
        <w:trPr>
          <w:jc w:val="center"/>
        </w:trPr>
        <w:tc>
          <w:tcPr>
            <w:tcW w:w="1324" w:type="dxa"/>
          </w:tcPr>
          <w:p w14:paraId="2D5CDA96" w14:textId="77777777" w:rsidR="00A052DC" w:rsidRDefault="009F0A60">
            <w:pPr>
              <w:pStyle w:val="B"/>
              <w:rPr>
                <w:szCs w:val="20"/>
              </w:rPr>
            </w:pPr>
            <w:r>
              <w:rPr>
                <w:szCs w:val="20"/>
              </w:rPr>
              <w:t>OBJCODE</w:t>
            </w:r>
          </w:p>
        </w:tc>
        <w:tc>
          <w:tcPr>
            <w:tcW w:w="2268" w:type="dxa"/>
          </w:tcPr>
          <w:p w14:paraId="5E3A868E" w14:textId="77777777" w:rsidR="00A052DC" w:rsidRDefault="009F0A60">
            <w:pPr>
              <w:pStyle w:val="B"/>
              <w:rPr>
                <w:szCs w:val="20"/>
              </w:rPr>
            </w:pPr>
            <w:r>
              <w:rPr>
                <w:rFonts w:hint="eastAsia"/>
                <w:szCs w:val="20"/>
              </w:rPr>
              <w:t>申报主体代码</w:t>
            </w:r>
          </w:p>
        </w:tc>
        <w:tc>
          <w:tcPr>
            <w:tcW w:w="1418" w:type="dxa"/>
          </w:tcPr>
          <w:p w14:paraId="0648DC2B" w14:textId="77777777" w:rsidR="00A052DC" w:rsidRDefault="009F0A60">
            <w:pPr>
              <w:pStyle w:val="B"/>
              <w:rPr>
                <w:szCs w:val="20"/>
              </w:rPr>
            </w:pPr>
            <w:r>
              <w:rPr>
                <w:rFonts w:hint="eastAsia"/>
                <w:szCs w:val="20"/>
              </w:rPr>
              <w:t>字符型，</w:t>
            </w:r>
            <w:r>
              <w:rPr>
                <w:szCs w:val="20"/>
              </w:rPr>
              <w:t>1</w:t>
            </w:r>
            <w:r>
              <w:rPr>
                <w:rFonts w:hint="eastAsia"/>
                <w:szCs w:val="20"/>
              </w:rPr>
              <w:t>8</w:t>
            </w:r>
          </w:p>
        </w:tc>
        <w:tc>
          <w:tcPr>
            <w:tcW w:w="3676" w:type="dxa"/>
          </w:tcPr>
          <w:p w14:paraId="34330449" w14:textId="77777777" w:rsidR="00A052DC" w:rsidRDefault="009F0A60">
            <w:pPr>
              <w:pStyle w:val="B"/>
              <w:rPr>
                <w:szCs w:val="20"/>
              </w:rPr>
            </w:pPr>
            <w:r>
              <w:rPr>
                <w:rFonts w:hint="eastAsia"/>
                <w:szCs w:val="20"/>
              </w:rPr>
              <w:t>申报主体的12位金融机构标识码，如果没有金融机构标识码，则填报统一社会信用代码法定载体（如营业执照）上统一社会信用代码中的第9至17位或国家外汇管理局及其分支局签发的特殊机构代码赋码通知书上的机构代码、个人身份代码。</w:t>
            </w:r>
          </w:p>
        </w:tc>
      </w:tr>
      <w:tr w:rsidR="00A052DC" w14:paraId="59D4A946" w14:textId="77777777">
        <w:trPr>
          <w:jc w:val="center"/>
        </w:trPr>
        <w:tc>
          <w:tcPr>
            <w:tcW w:w="1324" w:type="dxa"/>
          </w:tcPr>
          <w:p w14:paraId="1B2AB334" w14:textId="77777777" w:rsidR="00A052DC" w:rsidRDefault="009F0A60">
            <w:pPr>
              <w:pStyle w:val="B"/>
              <w:rPr>
                <w:szCs w:val="20"/>
              </w:rPr>
            </w:pPr>
            <w:r>
              <w:rPr>
                <w:szCs w:val="20"/>
              </w:rPr>
              <w:t>BUOCMONTH</w:t>
            </w:r>
          </w:p>
        </w:tc>
        <w:tc>
          <w:tcPr>
            <w:tcW w:w="2268" w:type="dxa"/>
          </w:tcPr>
          <w:p w14:paraId="5029866A" w14:textId="77777777" w:rsidR="00A052DC" w:rsidRDefault="009F0A60">
            <w:pPr>
              <w:pStyle w:val="B"/>
              <w:rPr>
                <w:szCs w:val="20"/>
              </w:rPr>
            </w:pPr>
            <w:r>
              <w:rPr>
                <w:rFonts w:hint="eastAsia"/>
                <w:szCs w:val="20"/>
              </w:rPr>
              <w:t>报告期</w:t>
            </w:r>
          </w:p>
        </w:tc>
        <w:tc>
          <w:tcPr>
            <w:tcW w:w="1418" w:type="dxa"/>
          </w:tcPr>
          <w:p w14:paraId="64167702" w14:textId="77777777" w:rsidR="00A052DC" w:rsidRDefault="009F0A60">
            <w:pPr>
              <w:pStyle w:val="B"/>
              <w:rPr>
                <w:szCs w:val="20"/>
              </w:rPr>
            </w:pPr>
            <w:r>
              <w:rPr>
                <w:rFonts w:hint="eastAsia"/>
                <w:szCs w:val="20"/>
              </w:rPr>
              <w:t>数值型，</w:t>
            </w:r>
            <w:r>
              <w:rPr>
                <w:szCs w:val="20"/>
              </w:rPr>
              <w:t>6</w:t>
            </w:r>
          </w:p>
        </w:tc>
        <w:tc>
          <w:tcPr>
            <w:tcW w:w="3676" w:type="dxa"/>
          </w:tcPr>
          <w:p w14:paraId="4CE07426" w14:textId="77777777" w:rsidR="00A052DC" w:rsidRDefault="009F0A60">
            <w:pPr>
              <w:pStyle w:val="B"/>
              <w:rPr>
                <w:szCs w:val="20"/>
              </w:rPr>
            </w:pPr>
            <w:r>
              <w:rPr>
                <w:rFonts w:hint="eastAsia"/>
                <w:szCs w:val="20"/>
              </w:rPr>
              <w:t>必填项，格式为</w:t>
            </w:r>
            <w:r>
              <w:rPr>
                <w:szCs w:val="20"/>
              </w:rPr>
              <w:t>YYYYMM</w:t>
            </w:r>
            <w:r>
              <w:rPr>
                <w:rFonts w:hint="eastAsia"/>
                <w:szCs w:val="20"/>
              </w:rPr>
              <w:t>。</w:t>
            </w:r>
          </w:p>
        </w:tc>
      </w:tr>
      <w:tr w:rsidR="00A052DC" w14:paraId="026FE53C" w14:textId="77777777">
        <w:trPr>
          <w:jc w:val="center"/>
        </w:trPr>
        <w:tc>
          <w:tcPr>
            <w:tcW w:w="1324" w:type="dxa"/>
          </w:tcPr>
          <w:p w14:paraId="4E6EC99B" w14:textId="77777777" w:rsidR="00A052DC" w:rsidRDefault="009F0A60">
            <w:pPr>
              <w:pStyle w:val="B"/>
              <w:rPr>
                <w:szCs w:val="20"/>
              </w:rPr>
            </w:pPr>
            <w:r>
              <w:rPr>
                <w:szCs w:val="20"/>
              </w:rPr>
              <w:t>D0101</w:t>
            </w:r>
          </w:p>
        </w:tc>
        <w:tc>
          <w:tcPr>
            <w:tcW w:w="2268" w:type="dxa"/>
          </w:tcPr>
          <w:p w14:paraId="0B391DB9" w14:textId="77777777" w:rsidR="00A052DC" w:rsidRDefault="009F0A60">
            <w:pPr>
              <w:pStyle w:val="B"/>
              <w:rPr>
                <w:szCs w:val="20"/>
              </w:rPr>
            </w:pPr>
            <w:r>
              <w:rPr>
                <w:rFonts w:hint="eastAsia"/>
                <w:szCs w:val="20"/>
              </w:rPr>
              <w:t>业务类别</w:t>
            </w:r>
          </w:p>
        </w:tc>
        <w:tc>
          <w:tcPr>
            <w:tcW w:w="1418" w:type="dxa"/>
          </w:tcPr>
          <w:p w14:paraId="2935F097" w14:textId="77777777" w:rsidR="00A052DC" w:rsidRDefault="009F0A60">
            <w:pPr>
              <w:pStyle w:val="B"/>
              <w:rPr>
                <w:szCs w:val="20"/>
              </w:rPr>
            </w:pPr>
            <w:r>
              <w:rPr>
                <w:rFonts w:hint="eastAsia"/>
                <w:szCs w:val="20"/>
              </w:rPr>
              <w:t>整数型</w:t>
            </w:r>
          </w:p>
        </w:tc>
        <w:tc>
          <w:tcPr>
            <w:tcW w:w="3676" w:type="dxa"/>
          </w:tcPr>
          <w:p w14:paraId="155B950B" w14:textId="77777777" w:rsidR="00A052DC" w:rsidRDefault="009F0A60">
            <w:pPr>
              <w:pStyle w:val="B"/>
              <w:rPr>
                <w:szCs w:val="20"/>
              </w:rPr>
            </w:pPr>
            <w:r>
              <w:rPr>
                <w:rFonts w:hint="eastAsia"/>
                <w:szCs w:val="20"/>
              </w:rPr>
              <w:t>必填项，必须5选1</w:t>
            </w:r>
            <w:r w:rsidR="00191DE9">
              <w:rPr>
                <w:rFonts w:hint="eastAsia"/>
                <w:szCs w:val="20"/>
              </w:rPr>
              <w:t>：</w:t>
            </w:r>
          </w:p>
          <w:p w14:paraId="757185B5" w14:textId="77777777" w:rsidR="00A052DC" w:rsidRDefault="009F0A60">
            <w:pPr>
              <w:pStyle w:val="B"/>
              <w:rPr>
                <w:szCs w:val="20"/>
              </w:rPr>
            </w:pPr>
            <w:r>
              <w:rPr>
                <w:rFonts w:hint="eastAsia"/>
                <w:szCs w:val="20"/>
              </w:rPr>
              <w:t>0-外币现金（硬币与纸币）；</w:t>
            </w:r>
          </w:p>
          <w:p w14:paraId="1F23723B" w14:textId="77777777" w:rsidR="00A052DC" w:rsidRDefault="009F0A60">
            <w:pPr>
              <w:pStyle w:val="B"/>
              <w:rPr>
                <w:szCs w:val="20"/>
              </w:rPr>
            </w:pPr>
            <w:r>
              <w:rPr>
                <w:rFonts w:hint="eastAsia"/>
                <w:szCs w:val="20"/>
              </w:rPr>
              <w:t>1-存款（存放境外同业）；</w:t>
            </w:r>
          </w:p>
          <w:p w14:paraId="2DE2167B" w14:textId="77777777" w:rsidR="00A052DC" w:rsidRDefault="009F0A60">
            <w:pPr>
              <w:pStyle w:val="B"/>
              <w:rPr>
                <w:szCs w:val="20"/>
              </w:rPr>
            </w:pPr>
            <w:r>
              <w:rPr>
                <w:rFonts w:hint="eastAsia"/>
                <w:szCs w:val="20"/>
              </w:rPr>
              <w:t>2-账户金（或存放境外的其他贵金属）；</w:t>
            </w:r>
          </w:p>
          <w:p w14:paraId="55852661" w14:textId="77777777" w:rsidR="00A052DC" w:rsidRDefault="009F0A60">
            <w:pPr>
              <w:pStyle w:val="B"/>
              <w:rPr>
                <w:szCs w:val="20"/>
              </w:rPr>
            </w:pPr>
            <w:r>
              <w:rPr>
                <w:rFonts w:hint="eastAsia"/>
                <w:szCs w:val="20"/>
              </w:rPr>
              <w:t>3-存款（联行往来）；</w:t>
            </w:r>
          </w:p>
          <w:p w14:paraId="701E2BD4" w14:textId="77777777" w:rsidR="00A052DC" w:rsidRDefault="009F0A60">
            <w:pPr>
              <w:pStyle w:val="B"/>
              <w:rPr>
                <w:szCs w:val="20"/>
              </w:rPr>
            </w:pPr>
            <w:r>
              <w:rPr>
                <w:rFonts w:hint="eastAsia"/>
                <w:szCs w:val="20"/>
              </w:rPr>
              <w:t>4-其他存款。</w:t>
            </w:r>
          </w:p>
          <w:p w14:paraId="508466FD" w14:textId="77777777" w:rsidR="00A052DC" w:rsidRDefault="009F0A60">
            <w:pPr>
              <w:pStyle w:val="B"/>
              <w:rPr>
                <w:b/>
                <w:bCs/>
                <w:szCs w:val="20"/>
              </w:rPr>
            </w:pPr>
            <w:r>
              <w:rPr>
                <w:rFonts w:hint="eastAsia"/>
                <w:szCs w:val="20"/>
              </w:rPr>
              <w:t>当D0101业务类别=0时，则D0103=2（中央银行），D0104=4，D0105=1。</w:t>
            </w:r>
          </w:p>
        </w:tc>
      </w:tr>
      <w:tr w:rsidR="00A052DC" w14:paraId="31879A39" w14:textId="77777777">
        <w:trPr>
          <w:jc w:val="center"/>
        </w:trPr>
        <w:tc>
          <w:tcPr>
            <w:tcW w:w="1324" w:type="dxa"/>
          </w:tcPr>
          <w:p w14:paraId="19B9E2CD" w14:textId="77777777" w:rsidR="00A052DC" w:rsidRDefault="009F0A60">
            <w:pPr>
              <w:pStyle w:val="B"/>
              <w:rPr>
                <w:szCs w:val="20"/>
              </w:rPr>
            </w:pPr>
            <w:r>
              <w:rPr>
                <w:szCs w:val="20"/>
              </w:rPr>
              <w:t>D0102</w:t>
            </w:r>
          </w:p>
        </w:tc>
        <w:tc>
          <w:tcPr>
            <w:tcW w:w="2268" w:type="dxa"/>
          </w:tcPr>
          <w:p w14:paraId="0B3E8834" w14:textId="77777777" w:rsidR="00A052DC" w:rsidRDefault="009F0A60">
            <w:pPr>
              <w:pStyle w:val="B"/>
              <w:rPr>
                <w:szCs w:val="20"/>
              </w:rPr>
            </w:pPr>
            <w:r>
              <w:rPr>
                <w:rFonts w:hint="eastAsia"/>
                <w:szCs w:val="20"/>
              </w:rPr>
              <w:t>对方国家</w:t>
            </w:r>
            <w:r>
              <w:rPr>
                <w:szCs w:val="20"/>
              </w:rPr>
              <w:t>/</w:t>
            </w:r>
            <w:r>
              <w:rPr>
                <w:rFonts w:hint="eastAsia"/>
                <w:szCs w:val="20"/>
              </w:rPr>
              <w:t>地区</w:t>
            </w:r>
          </w:p>
        </w:tc>
        <w:tc>
          <w:tcPr>
            <w:tcW w:w="1418" w:type="dxa"/>
          </w:tcPr>
          <w:p w14:paraId="78FBE012" w14:textId="77777777" w:rsidR="00A052DC" w:rsidRDefault="009F0A60">
            <w:pPr>
              <w:pStyle w:val="B"/>
              <w:rPr>
                <w:szCs w:val="20"/>
              </w:rPr>
            </w:pPr>
            <w:r>
              <w:rPr>
                <w:rFonts w:hint="eastAsia"/>
                <w:szCs w:val="20"/>
              </w:rPr>
              <w:t>字符型，</w:t>
            </w:r>
            <w:r>
              <w:rPr>
                <w:szCs w:val="20"/>
              </w:rPr>
              <w:t>3</w:t>
            </w:r>
          </w:p>
        </w:tc>
        <w:tc>
          <w:tcPr>
            <w:tcW w:w="3676" w:type="dxa"/>
          </w:tcPr>
          <w:p w14:paraId="71D000AE" w14:textId="77777777" w:rsidR="00A052DC" w:rsidRDefault="009F0A60">
            <w:pPr>
              <w:pStyle w:val="B"/>
              <w:rPr>
                <w:szCs w:val="20"/>
              </w:rPr>
            </w:pPr>
            <w:r>
              <w:rPr>
                <w:rFonts w:hint="eastAsia"/>
                <w:szCs w:val="20"/>
              </w:rPr>
              <w:t>必填项，必须≠</w:t>
            </w:r>
            <w:r>
              <w:rPr>
                <w:szCs w:val="20"/>
              </w:rPr>
              <w:t>CHN</w:t>
            </w:r>
            <w:r>
              <w:rPr>
                <w:rFonts w:hint="eastAsia"/>
                <w:szCs w:val="20"/>
              </w:rPr>
              <w:t>或N/A，见国家和地区代码的</w:t>
            </w:r>
            <w:r>
              <w:rPr>
                <w:szCs w:val="20"/>
              </w:rPr>
              <w:t>3</w:t>
            </w:r>
            <w:r>
              <w:rPr>
                <w:rFonts w:hint="eastAsia"/>
                <w:szCs w:val="20"/>
              </w:rPr>
              <w:t>位字母代码。</w:t>
            </w:r>
          </w:p>
          <w:p w14:paraId="53B71403" w14:textId="77777777" w:rsidR="00A052DC" w:rsidRDefault="009F0A60">
            <w:pPr>
              <w:rPr>
                <w:rFonts w:ascii="黑体" w:eastAsia="黑体" w:hAnsi="黑体"/>
                <w:b/>
                <w:bCs/>
                <w:sz w:val="20"/>
                <w:szCs w:val="20"/>
              </w:rPr>
            </w:pPr>
            <w:r>
              <w:rPr>
                <w:rFonts w:ascii="黑体" w:eastAsia="黑体" w:hAnsi="黑体" w:hint="eastAsia"/>
                <w:kern w:val="0"/>
                <w:sz w:val="20"/>
                <w:szCs w:val="20"/>
              </w:rPr>
              <w:t>当</w:t>
            </w:r>
            <w:r>
              <w:rPr>
                <w:rFonts w:ascii="黑体" w:eastAsia="黑体" w:hAnsi="黑体"/>
                <w:kern w:val="0"/>
                <w:sz w:val="20"/>
                <w:szCs w:val="20"/>
              </w:rPr>
              <w:t>D0101</w:t>
            </w:r>
            <w:r>
              <w:rPr>
                <w:rFonts w:ascii="黑体" w:eastAsia="黑体" w:hAnsi="黑体" w:hint="eastAsia"/>
                <w:kern w:val="0"/>
                <w:sz w:val="20"/>
                <w:szCs w:val="20"/>
              </w:rPr>
              <w:t>业务类别</w:t>
            </w:r>
            <w:r>
              <w:rPr>
                <w:rFonts w:ascii="黑体" w:eastAsia="黑体" w:hAnsi="黑体"/>
                <w:kern w:val="0"/>
                <w:sz w:val="20"/>
                <w:szCs w:val="20"/>
              </w:rPr>
              <w:t>=0</w:t>
            </w:r>
            <w:r>
              <w:rPr>
                <w:rFonts w:ascii="黑体" w:eastAsia="黑体" w:hAnsi="黑体" w:hint="eastAsia"/>
                <w:kern w:val="0"/>
                <w:sz w:val="20"/>
                <w:szCs w:val="20"/>
              </w:rPr>
              <w:t>且</w:t>
            </w:r>
            <w:r>
              <w:rPr>
                <w:rFonts w:ascii="黑体" w:eastAsia="黑体" w:hAnsi="黑体"/>
                <w:kern w:val="0"/>
                <w:sz w:val="20"/>
                <w:szCs w:val="20"/>
              </w:rPr>
              <w:t>D0106</w:t>
            </w:r>
            <w:r>
              <w:rPr>
                <w:rFonts w:ascii="黑体" w:eastAsia="黑体" w:hAnsi="黑体" w:hint="eastAsia"/>
                <w:kern w:val="0"/>
                <w:sz w:val="20"/>
                <w:szCs w:val="20"/>
              </w:rPr>
              <w:t>原始币种为</w:t>
            </w:r>
            <w:r>
              <w:rPr>
                <w:rFonts w:ascii="黑体" w:eastAsia="黑体" w:hAnsi="黑体"/>
                <w:kern w:val="0"/>
                <w:sz w:val="20"/>
                <w:szCs w:val="20"/>
              </w:rPr>
              <w:t>EUR</w:t>
            </w:r>
            <w:r>
              <w:rPr>
                <w:rFonts w:ascii="黑体" w:eastAsia="黑体" w:hAnsi="黑体" w:hint="eastAsia"/>
                <w:kern w:val="0"/>
                <w:sz w:val="20"/>
                <w:szCs w:val="20"/>
              </w:rPr>
              <w:t>（欧元），则</w:t>
            </w:r>
            <w:r>
              <w:rPr>
                <w:rFonts w:ascii="黑体" w:eastAsia="黑体" w:hAnsi="黑体"/>
                <w:kern w:val="0"/>
                <w:sz w:val="20"/>
                <w:szCs w:val="20"/>
              </w:rPr>
              <w:t>D0102</w:t>
            </w:r>
            <w:r>
              <w:rPr>
                <w:rFonts w:ascii="黑体" w:eastAsia="黑体" w:hAnsi="黑体" w:hint="eastAsia"/>
                <w:kern w:val="0"/>
                <w:sz w:val="20"/>
                <w:szCs w:val="20"/>
              </w:rPr>
              <w:t>对方国家</w:t>
            </w:r>
            <w:r>
              <w:rPr>
                <w:rFonts w:ascii="黑体" w:eastAsia="黑体" w:hAnsi="黑体"/>
                <w:kern w:val="0"/>
                <w:sz w:val="20"/>
                <w:szCs w:val="20"/>
              </w:rPr>
              <w:t>/</w:t>
            </w:r>
            <w:r>
              <w:rPr>
                <w:rFonts w:ascii="黑体" w:eastAsia="黑体" w:hAnsi="黑体" w:hint="eastAsia"/>
                <w:kern w:val="0"/>
                <w:sz w:val="20"/>
                <w:szCs w:val="20"/>
              </w:rPr>
              <w:t>地区必须</w:t>
            </w:r>
            <w:r>
              <w:rPr>
                <w:rFonts w:ascii="黑体" w:eastAsia="黑体" w:hAnsi="黑体"/>
                <w:kern w:val="0"/>
                <w:sz w:val="20"/>
                <w:szCs w:val="20"/>
              </w:rPr>
              <w:t>=DEU</w:t>
            </w:r>
            <w:r>
              <w:rPr>
                <w:rFonts w:ascii="黑体" w:eastAsia="黑体" w:hAnsi="黑体" w:hint="eastAsia"/>
                <w:kern w:val="0"/>
                <w:sz w:val="20"/>
                <w:szCs w:val="20"/>
              </w:rPr>
              <w:t>（德国）。</w:t>
            </w:r>
          </w:p>
        </w:tc>
      </w:tr>
      <w:tr w:rsidR="00A052DC" w14:paraId="47985D5A" w14:textId="77777777">
        <w:trPr>
          <w:jc w:val="center"/>
        </w:trPr>
        <w:tc>
          <w:tcPr>
            <w:tcW w:w="1324" w:type="dxa"/>
          </w:tcPr>
          <w:p w14:paraId="3A343C19" w14:textId="77777777" w:rsidR="00A052DC" w:rsidRDefault="009F0A60">
            <w:pPr>
              <w:pStyle w:val="B"/>
              <w:rPr>
                <w:szCs w:val="20"/>
              </w:rPr>
            </w:pPr>
            <w:r>
              <w:rPr>
                <w:szCs w:val="20"/>
              </w:rPr>
              <w:t>D0103</w:t>
            </w:r>
          </w:p>
        </w:tc>
        <w:tc>
          <w:tcPr>
            <w:tcW w:w="2268" w:type="dxa"/>
          </w:tcPr>
          <w:p w14:paraId="00F25830" w14:textId="77777777" w:rsidR="00A052DC" w:rsidRDefault="009F0A60">
            <w:pPr>
              <w:pStyle w:val="B"/>
              <w:rPr>
                <w:szCs w:val="20"/>
              </w:rPr>
            </w:pPr>
            <w:r>
              <w:rPr>
                <w:rFonts w:hint="eastAsia"/>
                <w:szCs w:val="20"/>
              </w:rPr>
              <w:t>对方部门</w:t>
            </w:r>
          </w:p>
        </w:tc>
        <w:tc>
          <w:tcPr>
            <w:tcW w:w="1418" w:type="dxa"/>
          </w:tcPr>
          <w:p w14:paraId="6C2DD964" w14:textId="77777777" w:rsidR="00A052DC" w:rsidRDefault="009F0A60">
            <w:pPr>
              <w:pStyle w:val="B"/>
              <w:rPr>
                <w:szCs w:val="20"/>
              </w:rPr>
            </w:pPr>
            <w:r>
              <w:rPr>
                <w:rFonts w:hint="eastAsia"/>
                <w:szCs w:val="20"/>
              </w:rPr>
              <w:t>整数型</w:t>
            </w:r>
          </w:p>
        </w:tc>
        <w:tc>
          <w:tcPr>
            <w:tcW w:w="3676" w:type="dxa"/>
          </w:tcPr>
          <w:p w14:paraId="35F9B4C3" w14:textId="77777777" w:rsidR="00A052DC" w:rsidRDefault="009F0A60">
            <w:pPr>
              <w:pStyle w:val="B"/>
              <w:rPr>
                <w:szCs w:val="20"/>
              </w:rPr>
            </w:pPr>
            <w:r>
              <w:rPr>
                <w:rFonts w:hint="eastAsia"/>
                <w:szCs w:val="20"/>
              </w:rPr>
              <w:t>必填项，必须9选</w:t>
            </w:r>
            <w:r>
              <w:rPr>
                <w:szCs w:val="20"/>
              </w:rPr>
              <w:t>1</w:t>
            </w:r>
            <w:r>
              <w:rPr>
                <w:rFonts w:hint="eastAsia"/>
                <w:szCs w:val="20"/>
              </w:rPr>
              <w:t>，见投资者（被投资者）部门代码表。</w:t>
            </w:r>
          </w:p>
        </w:tc>
      </w:tr>
      <w:tr w:rsidR="00A052DC" w14:paraId="5DEF0587" w14:textId="77777777">
        <w:trPr>
          <w:jc w:val="center"/>
        </w:trPr>
        <w:tc>
          <w:tcPr>
            <w:tcW w:w="1324" w:type="dxa"/>
          </w:tcPr>
          <w:p w14:paraId="3B422E98" w14:textId="77777777" w:rsidR="00A052DC" w:rsidRDefault="009F0A60">
            <w:pPr>
              <w:pStyle w:val="B"/>
              <w:rPr>
                <w:szCs w:val="20"/>
              </w:rPr>
            </w:pPr>
            <w:r>
              <w:rPr>
                <w:szCs w:val="20"/>
              </w:rPr>
              <w:t>D0104</w:t>
            </w:r>
          </w:p>
        </w:tc>
        <w:tc>
          <w:tcPr>
            <w:tcW w:w="2268" w:type="dxa"/>
          </w:tcPr>
          <w:p w14:paraId="75026272" w14:textId="77777777" w:rsidR="00A052DC" w:rsidRDefault="009F0A60">
            <w:pPr>
              <w:pStyle w:val="B"/>
              <w:rPr>
                <w:szCs w:val="20"/>
              </w:rPr>
            </w:pPr>
            <w:r>
              <w:rPr>
                <w:rFonts w:hint="eastAsia"/>
                <w:szCs w:val="20"/>
              </w:rPr>
              <w:t>对方与本机构的关系</w:t>
            </w:r>
          </w:p>
        </w:tc>
        <w:tc>
          <w:tcPr>
            <w:tcW w:w="1418" w:type="dxa"/>
          </w:tcPr>
          <w:p w14:paraId="77879876" w14:textId="77777777" w:rsidR="00A052DC" w:rsidRDefault="009F0A60">
            <w:pPr>
              <w:pStyle w:val="B"/>
              <w:rPr>
                <w:szCs w:val="20"/>
              </w:rPr>
            </w:pPr>
            <w:r>
              <w:rPr>
                <w:rFonts w:hint="eastAsia"/>
                <w:szCs w:val="20"/>
              </w:rPr>
              <w:t>整数型</w:t>
            </w:r>
          </w:p>
        </w:tc>
        <w:tc>
          <w:tcPr>
            <w:tcW w:w="3676" w:type="dxa"/>
          </w:tcPr>
          <w:p w14:paraId="27F0DA2F" w14:textId="77777777" w:rsidR="00A052DC" w:rsidRDefault="009F0A60">
            <w:pPr>
              <w:pStyle w:val="B"/>
              <w:rPr>
                <w:szCs w:val="20"/>
              </w:rPr>
            </w:pPr>
            <w:r>
              <w:rPr>
                <w:rFonts w:hint="eastAsia"/>
                <w:szCs w:val="20"/>
              </w:rPr>
              <w:t>必填项，必须</w:t>
            </w:r>
            <w:r>
              <w:rPr>
                <w:szCs w:val="20"/>
              </w:rPr>
              <w:t>4</w:t>
            </w:r>
            <w:r>
              <w:rPr>
                <w:rFonts w:hint="eastAsia"/>
                <w:szCs w:val="20"/>
              </w:rPr>
              <w:t>选</w:t>
            </w:r>
            <w:r>
              <w:rPr>
                <w:szCs w:val="20"/>
              </w:rPr>
              <w:t>1</w:t>
            </w:r>
            <w:r>
              <w:rPr>
                <w:rFonts w:hint="eastAsia"/>
                <w:szCs w:val="20"/>
              </w:rPr>
              <w:t>，见对方与本机构</w:t>
            </w:r>
            <w:r>
              <w:rPr>
                <w:szCs w:val="20"/>
              </w:rPr>
              <w:t>/</w:t>
            </w:r>
            <w:r>
              <w:rPr>
                <w:rFonts w:hint="eastAsia"/>
                <w:szCs w:val="20"/>
              </w:rPr>
              <w:t>被代理居民机构</w:t>
            </w:r>
            <w:r>
              <w:rPr>
                <w:szCs w:val="20"/>
              </w:rPr>
              <w:t>/</w:t>
            </w:r>
            <w:r>
              <w:rPr>
                <w:rFonts w:hint="eastAsia"/>
                <w:szCs w:val="20"/>
              </w:rPr>
              <w:t>委托人的关系代码表。</w:t>
            </w:r>
          </w:p>
        </w:tc>
      </w:tr>
      <w:tr w:rsidR="00A052DC" w14:paraId="3F6A8E71" w14:textId="77777777">
        <w:trPr>
          <w:jc w:val="center"/>
        </w:trPr>
        <w:tc>
          <w:tcPr>
            <w:tcW w:w="1324" w:type="dxa"/>
          </w:tcPr>
          <w:p w14:paraId="35B3FEAF" w14:textId="77777777" w:rsidR="00A052DC" w:rsidRDefault="009F0A60">
            <w:pPr>
              <w:pStyle w:val="B"/>
              <w:rPr>
                <w:szCs w:val="20"/>
              </w:rPr>
            </w:pPr>
            <w:r>
              <w:rPr>
                <w:szCs w:val="20"/>
              </w:rPr>
              <w:t>D0105</w:t>
            </w:r>
          </w:p>
        </w:tc>
        <w:tc>
          <w:tcPr>
            <w:tcW w:w="2268" w:type="dxa"/>
          </w:tcPr>
          <w:p w14:paraId="553E55F7" w14:textId="77777777" w:rsidR="00A052DC" w:rsidRDefault="009F0A60">
            <w:pPr>
              <w:pStyle w:val="B"/>
              <w:rPr>
                <w:szCs w:val="20"/>
              </w:rPr>
            </w:pPr>
            <w:r>
              <w:rPr>
                <w:rFonts w:hint="eastAsia"/>
                <w:szCs w:val="20"/>
              </w:rPr>
              <w:t>原始期限</w:t>
            </w:r>
          </w:p>
        </w:tc>
        <w:tc>
          <w:tcPr>
            <w:tcW w:w="1418" w:type="dxa"/>
          </w:tcPr>
          <w:p w14:paraId="5374CF21" w14:textId="77777777" w:rsidR="00A052DC" w:rsidRDefault="009F0A60">
            <w:pPr>
              <w:pStyle w:val="B"/>
              <w:rPr>
                <w:szCs w:val="20"/>
              </w:rPr>
            </w:pPr>
            <w:r>
              <w:rPr>
                <w:rFonts w:hint="eastAsia"/>
                <w:szCs w:val="20"/>
              </w:rPr>
              <w:t>整数型</w:t>
            </w:r>
          </w:p>
        </w:tc>
        <w:tc>
          <w:tcPr>
            <w:tcW w:w="3676" w:type="dxa"/>
          </w:tcPr>
          <w:p w14:paraId="433AFC21" w14:textId="77777777" w:rsidR="00A052DC" w:rsidRDefault="009F0A60">
            <w:pPr>
              <w:pStyle w:val="B"/>
              <w:rPr>
                <w:szCs w:val="20"/>
              </w:rPr>
            </w:pPr>
            <w:r>
              <w:rPr>
                <w:rFonts w:hint="eastAsia"/>
                <w:szCs w:val="20"/>
              </w:rPr>
              <w:t>必填项，必须</w:t>
            </w:r>
            <w:r>
              <w:rPr>
                <w:szCs w:val="20"/>
              </w:rPr>
              <w:t>2</w:t>
            </w:r>
            <w:r>
              <w:rPr>
                <w:rFonts w:hint="eastAsia"/>
                <w:szCs w:val="20"/>
              </w:rPr>
              <w:t>选</w:t>
            </w:r>
            <w:r>
              <w:rPr>
                <w:szCs w:val="20"/>
              </w:rPr>
              <w:t>1</w:t>
            </w:r>
            <w:r>
              <w:rPr>
                <w:rFonts w:hint="eastAsia"/>
                <w:szCs w:val="20"/>
              </w:rPr>
              <w:t>：</w:t>
            </w:r>
          </w:p>
          <w:p w14:paraId="48E76158" w14:textId="77777777" w:rsidR="00A052DC" w:rsidRDefault="009F0A60">
            <w:pPr>
              <w:pStyle w:val="B"/>
              <w:rPr>
                <w:szCs w:val="20"/>
              </w:rPr>
            </w:pPr>
            <w:r>
              <w:rPr>
                <w:szCs w:val="20"/>
              </w:rPr>
              <w:t>1-</w:t>
            </w:r>
            <w:r>
              <w:rPr>
                <w:rFonts w:hint="eastAsia"/>
                <w:szCs w:val="20"/>
              </w:rPr>
              <w:t>一年及以下；</w:t>
            </w:r>
          </w:p>
          <w:p w14:paraId="6F8E4143" w14:textId="77777777" w:rsidR="00A052DC" w:rsidRDefault="009F0A60">
            <w:pPr>
              <w:rPr>
                <w:rFonts w:ascii="黑体" w:eastAsia="黑体" w:hAnsi="黑体"/>
                <w:sz w:val="20"/>
                <w:szCs w:val="20"/>
              </w:rPr>
            </w:pPr>
            <w:r>
              <w:rPr>
                <w:rFonts w:ascii="黑体" w:eastAsia="黑体" w:hAnsi="黑体"/>
                <w:sz w:val="20"/>
                <w:szCs w:val="20"/>
              </w:rPr>
              <w:t>2-</w:t>
            </w:r>
            <w:r>
              <w:rPr>
                <w:rFonts w:ascii="黑体" w:eastAsia="黑体" w:hAnsi="黑体" w:hint="eastAsia"/>
                <w:kern w:val="0"/>
                <w:sz w:val="20"/>
                <w:szCs w:val="20"/>
              </w:rPr>
              <w:t>一年以上。</w:t>
            </w:r>
          </w:p>
        </w:tc>
      </w:tr>
      <w:tr w:rsidR="00A052DC" w14:paraId="30586AD0" w14:textId="77777777">
        <w:trPr>
          <w:jc w:val="center"/>
        </w:trPr>
        <w:tc>
          <w:tcPr>
            <w:tcW w:w="1324" w:type="dxa"/>
          </w:tcPr>
          <w:p w14:paraId="75E75C7D" w14:textId="77777777" w:rsidR="00A052DC" w:rsidRDefault="009F0A60">
            <w:pPr>
              <w:pStyle w:val="B"/>
              <w:rPr>
                <w:szCs w:val="20"/>
              </w:rPr>
            </w:pPr>
            <w:r>
              <w:rPr>
                <w:szCs w:val="20"/>
              </w:rPr>
              <w:t>D0106</w:t>
            </w:r>
          </w:p>
        </w:tc>
        <w:tc>
          <w:tcPr>
            <w:tcW w:w="2268" w:type="dxa"/>
          </w:tcPr>
          <w:p w14:paraId="47D426A3" w14:textId="77777777" w:rsidR="00A052DC" w:rsidRDefault="009F0A60">
            <w:pPr>
              <w:pStyle w:val="B"/>
              <w:rPr>
                <w:szCs w:val="20"/>
              </w:rPr>
            </w:pPr>
            <w:r>
              <w:rPr>
                <w:rFonts w:hint="eastAsia"/>
                <w:szCs w:val="20"/>
              </w:rPr>
              <w:t>原始币种</w:t>
            </w:r>
          </w:p>
        </w:tc>
        <w:tc>
          <w:tcPr>
            <w:tcW w:w="1418" w:type="dxa"/>
          </w:tcPr>
          <w:p w14:paraId="30DB258A" w14:textId="77777777" w:rsidR="00A052DC" w:rsidRDefault="009F0A60">
            <w:pPr>
              <w:pStyle w:val="B"/>
              <w:rPr>
                <w:szCs w:val="20"/>
              </w:rPr>
            </w:pPr>
            <w:r>
              <w:rPr>
                <w:rFonts w:hint="eastAsia"/>
                <w:szCs w:val="20"/>
              </w:rPr>
              <w:t>字符型，</w:t>
            </w:r>
            <w:r>
              <w:rPr>
                <w:szCs w:val="20"/>
              </w:rPr>
              <w:t>3</w:t>
            </w:r>
          </w:p>
        </w:tc>
        <w:tc>
          <w:tcPr>
            <w:tcW w:w="3676" w:type="dxa"/>
          </w:tcPr>
          <w:p w14:paraId="623BEF4E" w14:textId="77777777" w:rsidR="00A052DC" w:rsidRDefault="009F0A60">
            <w:pPr>
              <w:pStyle w:val="B"/>
              <w:rPr>
                <w:szCs w:val="20"/>
              </w:rPr>
            </w:pPr>
            <w:r>
              <w:rPr>
                <w:rFonts w:hint="eastAsia"/>
                <w:szCs w:val="20"/>
              </w:rPr>
              <w:t>必填项，见币种代码表。</w:t>
            </w:r>
          </w:p>
        </w:tc>
      </w:tr>
      <w:tr w:rsidR="00A052DC" w14:paraId="3DE0D4A3" w14:textId="77777777">
        <w:trPr>
          <w:jc w:val="center"/>
        </w:trPr>
        <w:tc>
          <w:tcPr>
            <w:tcW w:w="1324" w:type="dxa"/>
          </w:tcPr>
          <w:p w14:paraId="4B06817B" w14:textId="77777777" w:rsidR="00A052DC" w:rsidRDefault="009F0A60">
            <w:pPr>
              <w:pStyle w:val="B"/>
              <w:rPr>
                <w:szCs w:val="20"/>
              </w:rPr>
            </w:pPr>
            <w:r>
              <w:rPr>
                <w:szCs w:val="20"/>
              </w:rPr>
              <w:t>D0107</w:t>
            </w:r>
          </w:p>
        </w:tc>
        <w:tc>
          <w:tcPr>
            <w:tcW w:w="2268" w:type="dxa"/>
          </w:tcPr>
          <w:p w14:paraId="53A2364E" w14:textId="77777777" w:rsidR="00A052DC" w:rsidRDefault="009F0A60">
            <w:pPr>
              <w:pStyle w:val="B"/>
              <w:rPr>
                <w:szCs w:val="20"/>
              </w:rPr>
            </w:pPr>
            <w:r>
              <w:rPr>
                <w:rFonts w:hint="eastAsia"/>
                <w:szCs w:val="20"/>
              </w:rPr>
              <w:t>上月末本金余额</w:t>
            </w:r>
          </w:p>
        </w:tc>
        <w:tc>
          <w:tcPr>
            <w:tcW w:w="1418" w:type="dxa"/>
          </w:tcPr>
          <w:p w14:paraId="110A3A63" w14:textId="77777777" w:rsidR="00A052DC" w:rsidRDefault="009F0A60">
            <w:pPr>
              <w:pStyle w:val="B"/>
              <w:rPr>
                <w:szCs w:val="20"/>
              </w:rPr>
            </w:pPr>
            <w:r>
              <w:rPr>
                <w:rFonts w:hint="eastAsia"/>
                <w:szCs w:val="20"/>
              </w:rPr>
              <w:t>数值型，</w:t>
            </w:r>
            <w:r>
              <w:rPr>
                <w:szCs w:val="20"/>
              </w:rPr>
              <w:t>22.2</w:t>
            </w:r>
          </w:p>
        </w:tc>
        <w:tc>
          <w:tcPr>
            <w:tcW w:w="3676" w:type="dxa"/>
          </w:tcPr>
          <w:p w14:paraId="506E9898" w14:textId="77777777" w:rsidR="00A052DC" w:rsidRDefault="009F0A60">
            <w:pPr>
              <w:pStyle w:val="B"/>
              <w:rPr>
                <w:szCs w:val="20"/>
              </w:rPr>
            </w:pPr>
            <w:r>
              <w:rPr>
                <w:rFonts w:hint="eastAsia"/>
                <w:szCs w:val="20"/>
              </w:rPr>
              <w:t>必填项。</w:t>
            </w:r>
          </w:p>
        </w:tc>
      </w:tr>
      <w:tr w:rsidR="00A052DC" w14:paraId="4A195431" w14:textId="77777777">
        <w:trPr>
          <w:jc w:val="center"/>
        </w:trPr>
        <w:tc>
          <w:tcPr>
            <w:tcW w:w="1324" w:type="dxa"/>
          </w:tcPr>
          <w:p w14:paraId="754A4DC0" w14:textId="77777777" w:rsidR="00A052DC" w:rsidRDefault="009F0A60">
            <w:pPr>
              <w:pStyle w:val="B"/>
              <w:rPr>
                <w:szCs w:val="20"/>
              </w:rPr>
            </w:pPr>
            <w:r>
              <w:rPr>
                <w:szCs w:val="20"/>
              </w:rPr>
              <w:t>D0108</w:t>
            </w:r>
          </w:p>
        </w:tc>
        <w:tc>
          <w:tcPr>
            <w:tcW w:w="2268" w:type="dxa"/>
          </w:tcPr>
          <w:p w14:paraId="3E95A51A" w14:textId="77777777" w:rsidR="00A052DC" w:rsidRDefault="009F0A60">
            <w:pPr>
              <w:pStyle w:val="B"/>
              <w:rPr>
                <w:szCs w:val="20"/>
              </w:rPr>
            </w:pPr>
            <w:r>
              <w:rPr>
                <w:rFonts w:hint="eastAsia"/>
                <w:szCs w:val="20"/>
              </w:rPr>
              <w:t>上月末应收利息余额</w:t>
            </w:r>
          </w:p>
        </w:tc>
        <w:tc>
          <w:tcPr>
            <w:tcW w:w="1418" w:type="dxa"/>
          </w:tcPr>
          <w:p w14:paraId="0DEBB515" w14:textId="77777777" w:rsidR="00A052DC" w:rsidRDefault="009F0A60">
            <w:pPr>
              <w:pStyle w:val="B"/>
              <w:rPr>
                <w:szCs w:val="20"/>
              </w:rPr>
            </w:pPr>
            <w:r>
              <w:rPr>
                <w:rFonts w:hint="eastAsia"/>
                <w:szCs w:val="20"/>
              </w:rPr>
              <w:t>数值型，</w:t>
            </w:r>
            <w:r>
              <w:rPr>
                <w:szCs w:val="20"/>
              </w:rPr>
              <w:t>22.2</w:t>
            </w:r>
          </w:p>
        </w:tc>
        <w:tc>
          <w:tcPr>
            <w:tcW w:w="3676" w:type="dxa"/>
          </w:tcPr>
          <w:p w14:paraId="268EA9EB" w14:textId="77777777" w:rsidR="00A052DC" w:rsidRDefault="009F0A60">
            <w:pPr>
              <w:pStyle w:val="B"/>
              <w:rPr>
                <w:szCs w:val="20"/>
              </w:rPr>
            </w:pPr>
            <w:r>
              <w:rPr>
                <w:rFonts w:hint="eastAsia"/>
                <w:szCs w:val="20"/>
              </w:rPr>
              <w:t>必填项。</w:t>
            </w:r>
          </w:p>
        </w:tc>
      </w:tr>
      <w:tr w:rsidR="00A052DC" w14:paraId="531D2537" w14:textId="77777777">
        <w:trPr>
          <w:jc w:val="center"/>
        </w:trPr>
        <w:tc>
          <w:tcPr>
            <w:tcW w:w="1324" w:type="dxa"/>
          </w:tcPr>
          <w:p w14:paraId="48BFC201" w14:textId="77777777" w:rsidR="00A052DC" w:rsidRDefault="009F0A60">
            <w:pPr>
              <w:pStyle w:val="B"/>
              <w:rPr>
                <w:szCs w:val="20"/>
              </w:rPr>
            </w:pPr>
            <w:r>
              <w:rPr>
                <w:szCs w:val="20"/>
              </w:rPr>
              <w:t>D0109</w:t>
            </w:r>
          </w:p>
        </w:tc>
        <w:tc>
          <w:tcPr>
            <w:tcW w:w="2268" w:type="dxa"/>
          </w:tcPr>
          <w:p w14:paraId="7F8270E8" w14:textId="77777777" w:rsidR="00A052DC" w:rsidRDefault="009F0A60">
            <w:pPr>
              <w:pStyle w:val="B"/>
              <w:rPr>
                <w:szCs w:val="20"/>
              </w:rPr>
            </w:pPr>
            <w:r>
              <w:rPr>
                <w:rFonts w:hint="eastAsia"/>
                <w:szCs w:val="20"/>
              </w:rPr>
              <w:t>本月末本金余额</w:t>
            </w:r>
          </w:p>
        </w:tc>
        <w:tc>
          <w:tcPr>
            <w:tcW w:w="1418" w:type="dxa"/>
          </w:tcPr>
          <w:p w14:paraId="4A327E99" w14:textId="77777777" w:rsidR="00A052DC" w:rsidRDefault="009F0A60">
            <w:pPr>
              <w:pStyle w:val="B"/>
              <w:rPr>
                <w:szCs w:val="20"/>
              </w:rPr>
            </w:pPr>
            <w:r>
              <w:rPr>
                <w:rFonts w:hint="eastAsia"/>
                <w:szCs w:val="20"/>
              </w:rPr>
              <w:t>数值型，</w:t>
            </w:r>
            <w:r>
              <w:rPr>
                <w:szCs w:val="20"/>
              </w:rPr>
              <w:t>22.2</w:t>
            </w:r>
          </w:p>
        </w:tc>
        <w:tc>
          <w:tcPr>
            <w:tcW w:w="3676" w:type="dxa"/>
          </w:tcPr>
          <w:p w14:paraId="0E2F996A" w14:textId="77777777" w:rsidR="00A052DC" w:rsidRDefault="009F0A60">
            <w:pPr>
              <w:pStyle w:val="B"/>
              <w:rPr>
                <w:szCs w:val="20"/>
              </w:rPr>
            </w:pPr>
            <w:r>
              <w:rPr>
                <w:rFonts w:hint="eastAsia"/>
                <w:szCs w:val="20"/>
              </w:rPr>
              <w:t>必填项。</w:t>
            </w:r>
          </w:p>
        </w:tc>
      </w:tr>
      <w:tr w:rsidR="00A052DC" w14:paraId="0A9078BA" w14:textId="77777777">
        <w:trPr>
          <w:jc w:val="center"/>
        </w:trPr>
        <w:tc>
          <w:tcPr>
            <w:tcW w:w="1324" w:type="dxa"/>
          </w:tcPr>
          <w:p w14:paraId="2029812E" w14:textId="77777777" w:rsidR="00A052DC" w:rsidRDefault="009F0A60">
            <w:pPr>
              <w:pStyle w:val="B"/>
              <w:rPr>
                <w:szCs w:val="20"/>
              </w:rPr>
            </w:pPr>
            <w:r>
              <w:rPr>
                <w:szCs w:val="20"/>
              </w:rPr>
              <w:t>D0110</w:t>
            </w:r>
          </w:p>
        </w:tc>
        <w:tc>
          <w:tcPr>
            <w:tcW w:w="2268" w:type="dxa"/>
          </w:tcPr>
          <w:p w14:paraId="734D7F26" w14:textId="77777777" w:rsidR="00A052DC" w:rsidRDefault="009F0A60">
            <w:pPr>
              <w:pStyle w:val="B"/>
              <w:rPr>
                <w:szCs w:val="20"/>
              </w:rPr>
            </w:pPr>
            <w:r>
              <w:rPr>
                <w:rFonts w:hint="eastAsia"/>
                <w:szCs w:val="20"/>
              </w:rPr>
              <w:t>本月末本金余额其中：剩余期限在一年及以下</w:t>
            </w:r>
          </w:p>
        </w:tc>
        <w:tc>
          <w:tcPr>
            <w:tcW w:w="1418" w:type="dxa"/>
          </w:tcPr>
          <w:p w14:paraId="7F13D2E8" w14:textId="77777777" w:rsidR="00A052DC" w:rsidRDefault="009F0A60">
            <w:pPr>
              <w:pStyle w:val="B"/>
              <w:rPr>
                <w:szCs w:val="20"/>
              </w:rPr>
            </w:pPr>
            <w:r>
              <w:rPr>
                <w:rFonts w:hint="eastAsia"/>
                <w:szCs w:val="20"/>
              </w:rPr>
              <w:t>数值型，</w:t>
            </w:r>
            <w:r>
              <w:rPr>
                <w:szCs w:val="20"/>
              </w:rPr>
              <w:t>22.2</w:t>
            </w:r>
          </w:p>
        </w:tc>
        <w:tc>
          <w:tcPr>
            <w:tcW w:w="3676" w:type="dxa"/>
          </w:tcPr>
          <w:p w14:paraId="368F0318" w14:textId="77777777" w:rsidR="00A052DC" w:rsidRDefault="009F0A60">
            <w:pPr>
              <w:pStyle w:val="B"/>
              <w:rPr>
                <w:szCs w:val="20"/>
              </w:rPr>
            </w:pPr>
            <w:r>
              <w:rPr>
                <w:rFonts w:hint="eastAsia"/>
                <w:szCs w:val="20"/>
              </w:rPr>
              <w:t>必填项，且当</w:t>
            </w:r>
            <w:r>
              <w:rPr>
                <w:szCs w:val="20"/>
              </w:rPr>
              <w:t>D0105=1</w:t>
            </w:r>
            <w:r>
              <w:rPr>
                <w:rFonts w:hint="eastAsia"/>
                <w:szCs w:val="20"/>
              </w:rPr>
              <w:t>时，</w:t>
            </w:r>
            <w:r>
              <w:rPr>
                <w:szCs w:val="20"/>
              </w:rPr>
              <w:t>D0109=D0110</w:t>
            </w:r>
            <w:r>
              <w:rPr>
                <w:rFonts w:hint="eastAsia"/>
                <w:szCs w:val="20"/>
              </w:rPr>
              <w:t>；</w:t>
            </w:r>
          </w:p>
          <w:p w14:paraId="27769074" w14:textId="77777777" w:rsidR="00A052DC" w:rsidRDefault="009F0A60">
            <w:pPr>
              <w:pStyle w:val="B"/>
              <w:rPr>
                <w:szCs w:val="20"/>
              </w:rPr>
            </w:pPr>
            <w:r>
              <w:rPr>
                <w:rFonts w:hint="eastAsia"/>
                <w:szCs w:val="20"/>
              </w:rPr>
              <w:t>当</w:t>
            </w:r>
            <w:r>
              <w:rPr>
                <w:szCs w:val="20"/>
              </w:rPr>
              <w:t>D0105=2</w:t>
            </w:r>
            <w:r>
              <w:rPr>
                <w:rFonts w:hint="eastAsia"/>
                <w:szCs w:val="20"/>
              </w:rPr>
              <w:t>时，</w:t>
            </w:r>
            <w:r>
              <w:rPr>
                <w:szCs w:val="20"/>
              </w:rPr>
              <w:t>D0109</w:t>
            </w:r>
            <w:r>
              <w:rPr>
                <w:rFonts w:hint="eastAsia"/>
                <w:szCs w:val="20"/>
              </w:rPr>
              <w:t>≥</w:t>
            </w:r>
            <w:r>
              <w:rPr>
                <w:szCs w:val="20"/>
              </w:rPr>
              <w:t>D0110</w:t>
            </w:r>
            <w:r>
              <w:rPr>
                <w:rFonts w:hint="eastAsia"/>
                <w:szCs w:val="20"/>
              </w:rPr>
              <w:t>。</w:t>
            </w:r>
          </w:p>
        </w:tc>
      </w:tr>
      <w:tr w:rsidR="00A052DC" w14:paraId="7CED954A" w14:textId="77777777">
        <w:trPr>
          <w:jc w:val="center"/>
        </w:trPr>
        <w:tc>
          <w:tcPr>
            <w:tcW w:w="1324" w:type="dxa"/>
          </w:tcPr>
          <w:p w14:paraId="63742F17" w14:textId="77777777" w:rsidR="00A052DC" w:rsidRDefault="009F0A60">
            <w:pPr>
              <w:pStyle w:val="B"/>
              <w:rPr>
                <w:szCs w:val="20"/>
              </w:rPr>
            </w:pPr>
            <w:r>
              <w:rPr>
                <w:szCs w:val="20"/>
              </w:rPr>
              <w:t>D0111</w:t>
            </w:r>
          </w:p>
        </w:tc>
        <w:tc>
          <w:tcPr>
            <w:tcW w:w="2268" w:type="dxa"/>
          </w:tcPr>
          <w:p w14:paraId="7B3F760B" w14:textId="77777777" w:rsidR="00A052DC" w:rsidRDefault="009F0A60">
            <w:pPr>
              <w:pStyle w:val="B"/>
              <w:rPr>
                <w:szCs w:val="20"/>
              </w:rPr>
            </w:pPr>
            <w:r>
              <w:rPr>
                <w:rFonts w:hint="eastAsia"/>
                <w:szCs w:val="20"/>
              </w:rPr>
              <w:t>本月末应收利息余额</w:t>
            </w:r>
          </w:p>
        </w:tc>
        <w:tc>
          <w:tcPr>
            <w:tcW w:w="1418" w:type="dxa"/>
          </w:tcPr>
          <w:p w14:paraId="4CA08B64" w14:textId="77777777" w:rsidR="00A052DC" w:rsidRDefault="009F0A60">
            <w:pPr>
              <w:pStyle w:val="B"/>
              <w:rPr>
                <w:szCs w:val="20"/>
              </w:rPr>
            </w:pPr>
            <w:r>
              <w:rPr>
                <w:rFonts w:hint="eastAsia"/>
                <w:szCs w:val="20"/>
              </w:rPr>
              <w:t>数值型，</w:t>
            </w:r>
            <w:r>
              <w:rPr>
                <w:szCs w:val="20"/>
              </w:rPr>
              <w:t>22.2</w:t>
            </w:r>
          </w:p>
        </w:tc>
        <w:tc>
          <w:tcPr>
            <w:tcW w:w="3676" w:type="dxa"/>
          </w:tcPr>
          <w:p w14:paraId="46105DDC" w14:textId="77777777" w:rsidR="00A052DC" w:rsidRDefault="009F0A60">
            <w:pPr>
              <w:pStyle w:val="B"/>
              <w:rPr>
                <w:szCs w:val="20"/>
              </w:rPr>
            </w:pPr>
            <w:r>
              <w:rPr>
                <w:rFonts w:hint="eastAsia"/>
                <w:szCs w:val="20"/>
              </w:rPr>
              <w:t>必填项。</w:t>
            </w:r>
          </w:p>
        </w:tc>
      </w:tr>
      <w:tr w:rsidR="00A052DC" w14:paraId="14A8AB91" w14:textId="77777777">
        <w:trPr>
          <w:jc w:val="center"/>
        </w:trPr>
        <w:tc>
          <w:tcPr>
            <w:tcW w:w="1324" w:type="dxa"/>
          </w:tcPr>
          <w:p w14:paraId="418525F4" w14:textId="77777777" w:rsidR="00A052DC" w:rsidRDefault="009F0A60">
            <w:pPr>
              <w:pStyle w:val="B"/>
              <w:rPr>
                <w:szCs w:val="20"/>
              </w:rPr>
            </w:pPr>
            <w:r>
              <w:rPr>
                <w:szCs w:val="20"/>
              </w:rPr>
              <w:t>D0112</w:t>
            </w:r>
          </w:p>
        </w:tc>
        <w:tc>
          <w:tcPr>
            <w:tcW w:w="2268" w:type="dxa"/>
          </w:tcPr>
          <w:p w14:paraId="2C0DD50A" w14:textId="77777777" w:rsidR="00A052DC" w:rsidRDefault="009F0A60">
            <w:pPr>
              <w:pStyle w:val="B"/>
              <w:rPr>
                <w:szCs w:val="20"/>
              </w:rPr>
            </w:pPr>
            <w:r>
              <w:rPr>
                <w:rFonts w:hint="eastAsia"/>
                <w:szCs w:val="20"/>
              </w:rPr>
              <w:t>本月非交易变动</w:t>
            </w:r>
          </w:p>
        </w:tc>
        <w:tc>
          <w:tcPr>
            <w:tcW w:w="1418" w:type="dxa"/>
          </w:tcPr>
          <w:p w14:paraId="29B29A7B" w14:textId="77777777" w:rsidR="00A052DC" w:rsidRDefault="009F0A60">
            <w:pPr>
              <w:pStyle w:val="B"/>
              <w:rPr>
                <w:szCs w:val="20"/>
              </w:rPr>
            </w:pPr>
            <w:r>
              <w:rPr>
                <w:rFonts w:hint="eastAsia"/>
                <w:szCs w:val="20"/>
              </w:rPr>
              <w:t>数值型，</w:t>
            </w:r>
            <w:r>
              <w:rPr>
                <w:szCs w:val="20"/>
              </w:rPr>
              <w:t>22.2</w:t>
            </w:r>
          </w:p>
        </w:tc>
        <w:tc>
          <w:tcPr>
            <w:tcW w:w="3676" w:type="dxa"/>
          </w:tcPr>
          <w:p w14:paraId="43DD1CDA" w14:textId="77777777" w:rsidR="00A052DC" w:rsidRDefault="009F0A60">
            <w:pPr>
              <w:pStyle w:val="B"/>
              <w:rPr>
                <w:szCs w:val="20"/>
              </w:rPr>
            </w:pPr>
            <w:r>
              <w:rPr>
                <w:rFonts w:hint="eastAsia"/>
                <w:szCs w:val="20"/>
              </w:rPr>
              <w:t>必填项。</w:t>
            </w:r>
          </w:p>
        </w:tc>
      </w:tr>
      <w:tr w:rsidR="00A052DC" w14:paraId="4CEB96AA" w14:textId="77777777">
        <w:trPr>
          <w:jc w:val="center"/>
        </w:trPr>
        <w:tc>
          <w:tcPr>
            <w:tcW w:w="1324" w:type="dxa"/>
          </w:tcPr>
          <w:p w14:paraId="25CAA162" w14:textId="77777777" w:rsidR="00A052DC" w:rsidRDefault="009F0A60">
            <w:pPr>
              <w:pStyle w:val="B"/>
              <w:rPr>
                <w:szCs w:val="20"/>
              </w:rPr>
            </w:pPr>
            <w:r>
              <w:rPr>
                <w:szCs w:val="20"/>
              </w:rPr>
              <w:t>D0113</w:t>
            </w:r>
          </w:p>
        </w:tc>
        <w:tc>
          <w:tcPr>
            <w:tcW w:w="2268" w:type="dxa"/>
          </w:tcPr>
          <w:p w14:paraId="699DFFEB" w14:textId="77777777" w:rsidR="00A052DC" w:rsidRDefault="009F0A60">
            <w:pPr>
              <w:pStyle w:val="B"/>
              <w:rPr>
                <w:szCs w:val="20"/>
              </w:rPr>
            </w:pPr>
            <w:r>
              <w:rPr>
                <w:rFonts w:hint="eastAsia"/>
                <w:szCs w:val="20"/>
              </w:rPr>
              <w:t>本月净发生额</w:t>
            </w:r>
          </w:p>
        </w:tc>
        <w:tc>
          <w:tcPr>
            <w:tcW w:w="1418" w:type="dxa"/>
          </w:tcPr>
          <w:p w14:paraId="6D6FD9F9" w14:textId="77777777" w:rsidR="00A052DC" w:rsidRDefault="009F0A60">
            <w:pPr>
              <w:pStyle w:val="B"/>
              <w:rPr>
                <w:szCs w:val="20"/>
              </w:rPr>
            </w:pPr>
            <w:r>
              <w:rPr>
                <w:rFonts w:hint="eastAsia"/>
                <w:szCs w:val="20"/>
              </w:rPr>
              <w:t>数值型，</w:t>
            </w:r>
            <w:r>
              <w:rPr>
                <w:szCs w:val="20"/>
              </w:rPr>
              <w:t>22.2</w:t>
            </w:r>
          </w:p>
        </w:tc>
        <w:tc>
          <w:tcPr>
            <w:tcW w:w="3676" w:type="dxa"/>
          </w:tcPr>
          <w:p w14:paraId="770A0C1B" w14:textId="77777777" w:rsidR="00A052DC" w:rsidRDefault="009F0A60">
            <w:pPr>
              <w:pStyle w:val="B"/>
              <w:rPr>
                <w:szCs w:val="20"/>
              </w:rPr>
            </w:pPr>
            <w:r>
              <w:rPr>
                <w:rFonts w:hint="eastAsia"/>
                <w:szCs w:val="20"/>
              </w:rPr>
              <w:t>必填项，必须满足：</w:t>
            </w:r>
          </w:p>
          <w:p w14:paraId="577F6251" w14:textId="77777777" w:rsidR="00A052DC" w:rsidRDefault="009F0A60">
            <w:pPr>
              <w:pStyle w:val="B"/>
              <w:rPr>
                <w:szCs w:val="20"/>
              </w:rPr>
            </w:pPr>
            <w:r>
              <w:rPr>
                <w:szCs w:val="20"/>
              </w:rPr>
              <w:t>D0113+D0112=(D0109+D0111)-(D0107+D0108</w:t>
            </w:r>
            <w:r>
              <w:rPr>
                <w:rFonts w:hint="eastAsia"/>
                <w:szCs w:val="20"/>
              </w:rPr>
              <w:t>）。</w:t>
            </w:r>
          </w:p>
        </w:tc>
      </w:tr>
      <w:tr w:rsidR="00A052DC" w14:paraId="6792D7B4" w14:textId="77777777">
        <w:trPr>
          <w:jc w:val="center"/>
        </w:trPr>
        <w:tc>
          <w:tcPr>
            <w:tcW w:w="1324" w:type="dxa"/>
          </w:tcPr>
          <w:p w14:paraId="04FFDE6A" w14:textId="77777777" w:rsidR="00A052DC" w:rsidRDefault="009F0A60">
            <w:pPr>
              <w:pStyle w:val="B"/>
              <w:rPr>
                <w:szCs w:val="20"/>
              </w:rPr>
            </w:pPr>
            <w:r>
              <w:rPr>
                <w:szCs w:val="20"/>
              </w:rPr>
              <w:t>D0114</w:t>
            </w:r>
          </w:p>
        </w:tc>
        <w:tc>
          <w:tcPr>
            <w:tcW w:w="2268" w:type="dxa"/>
          </w:tcPr>
          <w:p w14:paraId="67043623" w14:textId="77777777" w:rsidR="00A052DC" w:rsidRDefault="009F0A60">
            <w:pPr>
              <w:pStyle w:val="B"/>
              <w:rPr>
                <w:szCs w:val="20"/>
              </w:rPr>
            </w:pPr>
            <w:r>
              <w:rPr>
                <w:rFonts w:hint="eastAsia"/>
                <w:szCs w:val="20"/>
              </w:rPr>
              <w:t>本月利息收入</w:t>
            </w:r>
          </w:p>
        </w:tc>
        <w:tc>
          <w:tcPr>
            <w:tcW w:w="1418" w:type="dxa"/>
          </w:tcPr>
          <w:p w14:paraId="279DCE4F" w14:textId="77777777" w:rsidR="00A052DC" w:rsidRDefault="009F0A60">
            <w:pPr>
              <w:pStyle w:val="B"/>
              <w:rPr>
                <w:szCs w:val="20"/>
              </w:rPr>
            </w:pPr>
            <w:r>
              <w:rPr>
                <w:rFonts w:hint="eastAsia"/>
                <w:szCs w:val="20"/>
              </w:rPr>
              <w:t>数值型，</w:t>
            </w:r>
            <w:r>
              <w:rPr>
                <w:szCs w:val="20"/>
              </w:rPr>
              <w:t>22.2</w:t>
            </w:r>
          </w:p>
        </w:tc>
        <w:tc>
          <w:tcPr>
            <w:tcW w:w="3676" w:type="dxa"/>
          </w:tcPr>
          <w:p w14:paraId="6C006E42" w14:textId="77777777" w:rsidR="00A052DC" w:rsidRDefault="009F0A60">
            <w:pPr>
              <w:pStyle w:val="B"/>
              <w:rPr>
                <w:szCs w:val="20"/>
              </w:rPr>
            </w:pPr>
            <w:r>
              <w:rPr>
                <w:rFonts w:hint="eastAsia"/>
                <w:szCs w:val="20"/>
              </w:rPr>
              <w:t>必填项。</w:t>
            </w:r>
          </w:p>
        </w:tc>
      </w:tr>
      <w:tr w:rsidR="00A052DC" w14:paraId="49E0C86B" w14:textId="77777777">
        <w:trPr>
          <w:jc w:val="center"/>
        </w:trPr>
        <w:tc>
          <w:tcPr>
            <w:tcW w:w="1324" w:type="dxa"/>
          </w:tcPr>
          <w:p w14:paraId="076A0CCE" w14:textId="77777777" w:rsidR="00A052DC" w:rsidRDefault="009F0A60">
            <w:pPr>
              <w:pStyle w:val="B"/>
              <w:rPr>
                <w:szCs w:val="20"/>
              </w:rPr>
            </w:pPr>
            <w:r>
              <w:rPr>
                <w:szCs w:val="20"/>
              </w:rPr>
              <w:t>REMARK</w:t>
            </w:r>
          </w:p>
        </w:tc>
        <w:tc>
          <w:tcPr>
            <w:tcW w:w="2268" w:type="dxa"/>
          </w:tcPr>
          <w:p w14:paraId="0A79EA58" w14:textId="77777777" w:rsidR="00A052DC" w:rsidRDefault="009F0A60">
            <w:pPr>
              <w:pStyle w:val="B"/>
              <w:rPr>
                <w:szCs w:val="20"/>
              </w:rPr>
            </w:pPr>
            <w:r>
              <w:rPr>
                <w:rFonts w:hint="eastAsia"/>
                <w:szCs w:val="20"/>
              </w:rPr>
              <w:t>备注</w:t>
            </w:r>
          </w:p>
        </w:tc>
        <w:tc>
          <w:tcPr>
            <w:tcW w:w="1418" w:type="dxa"/>
          </w:tcPr>
          <w:p w14:paraId="021FEB98" w14:textId="77777777" w:rsidR="00A052DC" w:rsidRDefault="009F0A60">
            <w:pPr>
              <w:pStyle w:val="B"/>
              <w:rPr>
                <w:szCs w:val="20"/>
              </w:rPr>
            </w:pPr>
            <w:r>
              <w:rPr>
                <w:rFonts w:hint="eastAsia"/>
                <w:szCs w:val="20"/>
              </w:rPr>
              <w:t>字符型，</w:t>
            </w:r>
            <w:r>
              <w:rPr>
                <w:szCs w:val="20"/>
              </w:rPr>
              <w:t>512</w:t>
            </w:r>
          </w:p>
        </w:tc>
        <w:tc>
          <w:tcPr>
            <w:tcW w:w="3676" w:type="dxa"/>
          </w:tcPr>
          <w:p w14:paraId="1D9DCD7C" w14:textId="77777777" w:rsidR="00A052DC" w:rsidRDefault="009F0A60">
            <w:pPr>
              <w:pStyle w:val="B"/>
              <w:rPr>
                <w:szCs w:val="20"/>
              </w:rPr>
            </w:pPr>
            <w:r>
              <w:rPr>
                <w:rFonts w:hint="eastAsia"/>
                <w:szCs w:val="20"/>
              </w:rPr>
              <w:t>当</w:t>
            </w:r>
            <w:r>
              <w:rPr>
                <w:szCs w:val="20"/>
              </w:rPr>
              <w:t>D0107、D0109、D0110、D0114中任一项为负数</w:t>
            </w:r>
            <w:r>
              <w:rPr>
                <w:rFonts w:hint="eastAsia"/>
                <w:szCs w:val="20"/>
              </w:rPr>
              <w:t>时或当∣D0109∣＜∣D0110∣时为必填项。</w:t>
            </w:r>
          </w:p>
        </w:tc>
      </w:tr>
    </w:tbl>
    <w:p w14:paraId="4F758E75" w14:textId="77777777" w:rsidR="00A052DC" w:rsidRDefault="00A052DC"/>
    <w:p w14:paraId="6BE6F352" w14:textId="77777777" w:rsidR="00A052DC" w:rsidRDefault="00A052DC"/>
    <w:p w14:paraId="1611824F" w14:textId="77777777" w:rsidR="00A052DC" w:rsidRDefault="009F0A60" w:rsidP="0020251D">
      <w:pPr>
        <w:pStyle w:val="3"/>
        <w:ind w:left="0"/>
        <w:rPr>
          <w:rFonts w:ascii="Times New Roman" w:hAnsi="Times New Roman"/>
        </w:rPr>
      </w:pPr>
      <w:bookmarkStart w:id="3210" w:name="_Toc454391300"/>
      <w:bookmarkStart w:id="3211" w:name="_Toc380570955"/>
      <w:bookmarkStart w:id="3212" w:name="_Toc91455317"/>
      <w:bookmarkStart w:id="3213" w:name="_Toc380356290"/>
      <w:bookmarkStart w:id="3214" w:name="_Toc101684490"/>
      <w:r>
        <w:rPr>
          <w:rFonts w:ascii="Times New Roman" w:hAnsi="Times New Roman"/>
        </w:rPr>
        <w:t>D02</w:t>
      </w:r>
      <w:r>
        <w:rPr>
          <w:rFonts w:ascii="Times New Roman" w:hAnsi="Times New Roman" w:hint="eastAsia"/>
        </w:rPr>
        <w:t>表：贷款（含拆放银行同业及联行）（资产）</w:t>
      </w:r>
      <w:bookmarkEnd w:id="3210"/>
      <w:bookmarkEnd w:id="3211"/>
      <w:bookmarkEnd w:id="3212"/>
      <w:bookmarkEnd w:id="3213"/>
      <w:bookmarkEnd w:id="3214"/>
    </w:p>
    <w:p w14:paraId="38C0CB5E" w14:textId="77777777" w:rsidR="00A052DC" w:rsidRDefault="009F0A60" w:rsidP="0020251D">
      <w:pPr>
        <w:pStyle w:val="4"/>
        <w:numPr>
          <w:ilvl w:val="3"/>
          <w:numId w:val="1"/>
        </w:numPr>
        <w:jc w:val="left"/>
      </w:pPr>
      <w:bookmarkStart w:id="3215" w:name="_Toc380570956"/>
      <w:bookmarkStart w:id="3216" w:name="_Toc454391301"/>
      <w:r>
        <w:rPr>
          <w:rFonts w:hint="eastAsia"/>
        </w:rPr>
        <w:t>数据术语解释</w:t>
      </w:r>
      <w:bookmarkEnd w:id="3215"/>
      <w:bookmarkEnd w:id="3216"/>
    </w:p>
    <w:p w14:paraId="5746B79A" w14:textId="77777777" w:rsidR="00A052DC" w:rsidRDefault="00A052DC">
      <w:pPr>
        <w:spacing w:line="240" w:lineRule="exact"/>
        <w:rPr>
          <w:sz w:val="18"/>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6520"/>
      </w:tblGrid>
      <w:tr w:rsidR="00A052DC" w14:paraId="551355DC" w14:textId="77777777">
        <w:trPr>
          <w:cantSplit/>
        </w:trPr>
        <w:tc>
          <w:tcPr>
            <w:tcW w:w="2093" w:type="dxa"/>
          </w:tcPr>
          <w:p w14:paraId="4EFE82B5" w14:textId="77777777" w:rsidR="00A052DC" w:rsidRDefault="009F0A60">
            <w:pPr>
              <w:pStyle w:val="B1"/>
            </w:pPr>
            <w:r>
              <w:rPr>
                <w:rFonts w:hint="eastAsia"/>
              </w:rPr>
              <w:t>基础数据项</w:t>
            </w:r>
          </w:p>
        </w:tc>
        <w:tc>
          <w:tcPr>
            <w:tcW w:w="6520" w:type="dxa"/>
          </w:tcPr>
          <w:p w14:paraId="14E94BF3" w14:textId="77777777" w:rsidR="00A052DC" w:rsidRDefault="009F0A60">
            <w:pPr>
              <w:pStyle w:val="B1"/>
            </w:pPr>
            <w:r>
              <w:rPr>
                <w:rFonts w:hint="eastAsia"/>
              </w:rPr>
              <w:t>定义</w:t>
            </w:r>
          </w:p>
        </w:tc>
      </w:tr>
      <w:tr w:rsidR="00A052DC" w14:paraId="6FAB00B6" w14:textId="77777777">
        <w:trPr>
          <w:cantSplit/>
        </w:trPr>
        <w:tc>
          <w:tcPr>
            <w:tcW w:w="2093" w:type="dxa"/>
          </w:tcPr>
          <w:p w14:paraId="61D1B5AE" w14:textId="77777777" w:rsidR="00A052DC" w:rsidRDefault="009F0A60">
            <w:pPr>
              <w:pStyle w:val="B"/>
              <w:rPr>
                <w:szCs w:val="20"/>
              </w:rPr>
            </w:pPr>
            <w:r>
              <w:rPr>
                <w:rFonts w:hint="eastAsia"/>
                <w:szCs w:val="20"/>
              </w:rPr>
              <w:t>数据自编码</w:t>
            </w:r>
          </w:p>
        </w:tc>
        <w:tc>
          <w:tcPr>
            <w:tcW w:w="6520" w:type="dxa"/>
          </w:tcPr>
          <w:p w14:paraId="4533CF78" w14:textId="77777777" w:rsidR="00A052DC" w:rsidRDefault="009F0A60">
            <w:pPr>
              <w:pStyle w:val="B"/>
              <w:rPr>
                <w:szCs w:val="20"/>
              </w:rPr>
            </w:pPr>
            <w:r>
              <w:rPr>
                <w:rFonts w:hint="eastAsia"/>
                <w:szCs w:val="20"/>
              </w:rPr>
              <w:t>该编码用于标识金融机构报送的每一条数据，按给定规则编码，便于进行增删改查等操作。建议规则：机构代码（18位，不足18位补</w:t>
            </w:r>
            <w:r>
              <w:rPr>
                <w:szCs w:val="20"/>
              </w:rPr>
              <w:t>a</w:t>
            </w:r>
            <w:r>
              <w:rPr>
                <w:rFonts w:hint="eastAsia"/>
                <w:szCs w:val="20"/>
              </w:rPr>
              <w:t>）</w:t>
            </w:r>
            <w:r>
              <w:rPr>
                <w:szCs w:val="20"/>
              </w:rPr>
              <w:t>+</w:t>
            </w:r>
            <w:r>
              <w:rPr>
                <w:rFonts w:hint="eastAsia"/>
                <w:szCs w:val="20"/>
              </w:rPr>
              <w:t>报表代码（</w:t>
            </w:r>
            <w:r>
              <w:rPr>
                <w:szCs w:val="20"/>
              </w:rPr>
              <w:t>5</w:t>
            </w:r>
            <w:r>
              <w:rPr>
                <w:rFonts w:hint="eastAsia"/>
                <w:szCs w:val="20"/>
              </w:rPr>
              <w:t>位，不足</w:t>
            </w:r>
            <w:r>
              <w:rPr>
                <w:szCs w:val="20"/>
              </w:rPr>
              <w:t>5</w:t>
            </w:r>
            <w:r>
              <w:rPr>
                <w:rFonts w:hint="eastAsia"/>
                <w:szCs w:val="20"/>
              </w:rPr>
              <w:t>位补</w:t>
            </w:r>
            <w:r>
              <w:rPr>
                <w:szCs w:val="20"/>
              </w:rPr>
              <w:t>a</w:t>
            </w:r>
            <w:r>
              <w:rPr>
                <w:rFonts w:hint="eastAsia"/>
                <w:szCs w:val="20"/>
              </w:rPr>
              <w:t>）</w:t>
            </w:r>
            <w:r>
              <w:rPr>
                <w:szCs w:val="20"/>
              </w:rPr>
              <w:t>+</w:t>
            </w:r>
            <w:r>
              <w:rPr>
                <w:rFonts w:hint="eastAsia"/>
                <w:szCs w:val="20"/>
              </w:rPr>
              <w:t>报送期（</w:t>
            </w:r>
            <w:r>
              <w:rPr>
                <w:szCs w:val="20"/>
              </w:rPr>
              <w:t>6</w:t>
            </w:r>
            <w:r>
              <w:rPr>
                <w:rFonts w:hint="eastAsia"/>
                <w:szCs w:val="20"/>
              </w:rPr>
              <w:t>位）</w:t>
            </w:r>
            <w:r>
              <w:rPr>
                <w:szCs w:val="20"/>
              </w:rPr>
              <w:t>+</w:t>
            </w:r>
            <w:r>
              <w:rPr>
                <w:rFonts w:hint="eastAsia"/>
                <w:szCs w:val="20"/>
              </w:rPr>
              <w:t>顺序号（</w:t>
            </w:r>
            <w:r>
              <w:rPr>
                <w:szCs w:val="20"/>
              </w:rPr>
              <w:t>7</w:t>
            </w:r>
            <w:r>
              <w:rPr>
                <w:rFonts w:hint="eastAsia"/>
                <w:szCs w:val="20"/>
              </w:rPr>
              <w:t>位，从</w:t>
            </w:r>
            <w:r>
              <w:rPr>
                <w:szCs w:val="20"/>
              </w:rPr>
              <w:t>0000001</w:t>
            </w:r>
            <w:r>
              <w:rPr>
                <w:rFonts w:hint="eastAsia"/>
                <w:szCs w:val="20"/>
              </w:rPr>
              <w:t>开始增加）。</w:t>
            </w:r>
          </w:p>
        </w:tc>
      </w:tr>
      <w:tr w:rsidR="00A052DC" w14:paraId="76E6B8C0" w14:textId="77777777">
        <w:trPr>
          <w:cantSplit/>
        </w:trPr>
        <w:tc>
          <w:tcPr>
            <w:tcW w:w="2093" w:type="dxa"/>
          </w:tcPr>
          <w:p w14:paraId="0E474952" w14:textId="77777777" w:rsidR="00A052DC" w:rsidRDefault="009F0A60">
            <w:pPr>
              <w:pStyle w:val="B"/>
              <w:rPr>
                <w:szCs w:val="20"/>
              </w:rPr>
            </w:pPr>
            <w:r>
              <w:rPr>
                <w:rFonts w:hint="eastAsia"/>
                <w:szCs w:val="20"/>
              </w:rPr>
              <w:t>申报主体代码</w:t>
            </w:r>
          </w:p>
        </w:tc>
        <w:tc>
          <w:tcPr>
            <w:tcW w:w="6520" w:type="dxa"/>
          </w:tcPr>
          <w:p w14:paraId="5FD4845C" w14:textId="77777777" w:rsidR="00A052DC" w:rsidRDefault="009F0A60">
            <w:pPr>
              <w:pStyle w:val="B"/>
              <w:rPr>
                <w:szCs w:val="20"/>
              </w:rPr>
            </w:pPr>
            <w:r>
              <w:rPr>
                <w:rFonts w:hint="eastAsia"/>
                <w:szCs w:val="20"/>
              </w:rPr>
              <w:t>申报主体的12位金融机构标识码，如果没有金融机构标识码，则填报统一社会信用代码法定载体（如营业执照）上统一社会信用代码中的第9至17位或国家外汇管理局及其分支局签发的特殊机构代码赋码通知书上的机构代码、个人身份代码。</w:t>
            </w:r>
          </w:p>
        </w:tc>
      </w:tr>
      <w:tr w:rsidR="00A052DC" w14:paraId="6156726A" w14:textId="77777777">
        <w:trPr>
          <w:cantSplit/>
        </w:trPr>
        <w:tc>
          <w:tcPr>
            <w:tcW w:w="2093" w:type="dxa"/>
          </w:tcPr>
          <w:p w14:paraId="0C4A9D35" w14:textId="77777777" w:rsidR="00A052DC" w:rsidRDefault="009F0A60">
            <w:pPr>
              <w:pStyle w:val="B"/>
              <w:rPr>
                <w:szCs w:val="20"/>
              </w:rPr>
            </w:pPr>
            <w:r>
              <w:rPr>
                <w:rFonts w:hint="eastAsia"/>
                <w:szCs w:val="20"/>
              </w:rPr>
              <w:t>报告期</w:t>
            </w:r>
          </w:p>
        </w:tc>
        <w:tc>
          <w:tcPr>
            <w:tcW w:w="6520" w:type="dxa"/>
          </w:tcPr>
          <w:p w14:paraId="257DACAF" w14:textId="77777777" w:rsidR="00A052DC" w:rsidRDefault="009F0A60">
            <w:pPr>
              <w:pStyle w:val="B"/>
              <w:rPr>
                <w:szCs w:val="20"/>
              </w:rPr>
            </w:pPr>
            <w:r>
              <w:rPr>
                <w:rFonts w:hint="eastAsia"/>
                <w:szCs w:val="20"/>
              </w:rPr>
              <w:t>业务发生月份，格式为</w:t>
            </w:r>
            <w:r>
              <w:rPr>
                <w:szCs w:val="20"/>
              </w:rPr>
              <w:t>YYYYMM</w:t>
            </w:r>
            <w:r>
              <w:rPr>
                <w:rFonts w:hint="eastAsia"/>
                <w:szCs w:val="20"/>
              </w:rPr>
              <w:t>。</w:t>
            </w:r>
          </w:p>
        </w:tc>
      </w:tr>
      <w:tr w:rsidR="00A052DC" w14:paraId="0CE99A34" w14:textId="77777777">
        <w:trPr>
          <w:cantSplit/>
        </w:trPr>
        <w:tc>
          <w:tcPr>
            <w:tcW w:w="2093" w:type="dxa"/>
          </w:tcPr>
          <w:p w14:paraId="4C70393A" w14:textId="77777777" w:rsidR="00A052DC" w:rsidRDefault="009F0A60">
            <w:pPr>
              <w:pStyle w:val="B"/>
              <w:rPr>
                <w:szCs w:val="20"/>
              </w:rPr>
            </w:pPr>
            <w:r>
              <w:rPr>
                <w:rFonts w:hint="eastAsia"/>
                <w:szCs w:val="20"/>
              </w:rPr>
              <w:t>是否委托贷款</w:t>
            </w:r>
          </w:p>
        </w:tc>
        <w:tc>
          <w:tcPr>
            <w:tcW w:w="6520" w:type="dxa"/>
          </w:tcPr>
          <w:p w14:paraId="0850556B" w14:textId="77777777" w:rsidR="00A052DC" w:rsidRDefault="009F0A60">
            <w:pPr>
              <w:pStyle w:val="B"/>
              <w:rPr>
                <w:szCs w:val="20"/>
              </w:rPr>
            </w:pPr>
            <w:r>
              <w:rPr>
                <w:szCs w:val="20"/>
              </w:rPr>
              <w:t>1-</w:t>
            </w:r>
            <w:r>
              <w:rPr>
                <w:rFonts w:hint="eastAsia"/>
                <w:szCs w:val="20"/>
              </w:rPr>
              <w:t>委托贷款；</w:t>
            </w:r>
            <w:r>
              <w:rPr>
                <w:szCs w:val="20"/>
              </w:rPr>
              <w:t>2-</w:t>
            </w:r>
            <w:r>
              <w:rPr>
                <w:rFonts w:hint="eastAsia"/>
                <w:szCs w:val="20"/>
              </w:rPr>
              <w:t>非委托贷款。</w:t>
            </w:r>
          </w:p>
        </w:tc>
      </w:tr>
      <w:tr w:rsidR="00A052DC" w14:paraId="6B80ADE5" w14:textId="77777777">
        <w:trPr>
          <w:cantSplit/>
        </w:trPr>
        <w:tc>
          <w:tcPr>
            <w:tcW w:w="2093" w:type="dxa"/>
          </w:tcPr>
          <w:p w14:paraId="78CD766F" w14:textId="77777777" w:rsidR="00A052DC" w:rsidRDefault="009F0A60">
            <w:pPr>
              <w:pStyle w:val="B"/>
              <w:rPr>
                <w:szCs w:val="20"/>
              </w:rPr>
            </w:pPr>
            <w:r>
              <w:rPr>
                <w:szCs w:val="20"/>
              </w:rPr>
              <w:t>贷款类别</w:t>
            </w:r>
          </w:p>
        </w:tc>
        <w:tc>
          <w:tcPr>
            <w:tcW w:w="6520" w:type="dxa"/>
          </w:tcPr>
          <w:p w14:paraId="7D456D57" w14:textId="77777777" w:rsidR="00A052DC" w:rsidRDefault="009F0A60">
            <w:pPr>
              <w:pStyle w:val="B"/>
              <w:rPr>
                <w:szCs w:val="20"/>
              </w:rPr>
            </w:pPr>
            <w:r>
              <w:rPr>
                <w:szCs w:val="20"/>
              </w:rPr>
              <w:t>1-</w:t>
            </w:r>
            <w:r>
              <w:rPr>
                <w:rFonts w:hint="eastAsia"/>
                <w:szCs w:val="20"/>
              </w:rPr>
              <w:t>普通贷款；</w:t>
            </w:r>
            <w:r>
              <w:rPr>
                <w:szCs w:val="20"/>
              </w:rPr>
              <w:t>2-</w:t>
            </w:r>
            <w:r>
              <w:rPr>
                <w:rFonts w:hint="eastAsia"/>
                <w:szCs w:val="20"/>
              </w:rPr>
              <w:t>银行同业拆借；</w:t>
            </w:r>
            <w:r>
              <w:rPr>
                <w:szCs w:val="20"/>
              </w:rPr>
              <w:t>3-</w:t>
            </w:r>
            <w:r>
              <w:rPr>
                <w:rFonts w:hint="eastAsia"/>
                <w:szCs w:val="20"/>
              </w:rPr>
              <w:t>联行往来；</w:t>
            </w:r>
            <w:r>
              <w:rPr>
                <w:szCs w:val="20"/>
              </w:rPr>
              <w:t>4-</w:t>
            </w:r>
            <w:r>
              <w:rPr>
                <w:rFonts w:hint="eastAsia"/>
                <w:szCs w:val="20"/>
              </w:rPr>
              <w:t>透支（含信用卡透支）；</w:t>
            </w:r>
            <w:r>
              <w:rPr>
                <w:szCs w:val="20"/>
              </w:rPr>
              <w:t>5-</w:t>
            </w:r>
            <w:r>
              <w:rPr>
                <w:rFonts w:hint="eastAsia"/>
                <w:szCs w:val="20"/>
              </w:rPr>
              <w:t>融资融券；</w:t>
            </w:r>
            <w:r>
              <w:rPr>
                <w:szCs w:val="20"/>
              </w:rPr>
              <w:t>6-</w:t>
            </w:r>
            <w:r>
              <w:rPr>
                <w:rFonts w:hint="eastAsia"/>
                <w:szCs w:val="20"/>
              </w:rPr>
              <w:t>融资租赁；</w:t>
            </w:r>
            <w:r>
              <w:rPr>
                <w:szCs w:val="20"/>
              </w:rPr>
              <w:t>9-</w:t>
            </w:r>
            <w:r>
              <w:rPr>
                <w:rFonts w:hint="eastAsia"/>
                <w:szCs w:val="20"/>
              </w:rPr>
              <w:t>其他</w:t>
            </w:r>
            <w:r>
              <w:rPr>
                <w:szCs w:val="20"/>
              </w:rPr>
              <w:t>。</w:t>
            </w:r>
          </w:p>
        </w:tc>
      </w:tr>
      <w:tr w:rsidR="00A052DC" w14:paraId="29E6C96A" w14:textId="77777777">
        <w:trPr>
          <w:cantSplit/>
        </w:trPr>
        <w:tc>
          <w:tcPr>
            <w:tcW w:w="2093" w:type="dxa"/>
          </w:tcPr>
          <w:p w14:paraId="429C1DCE" w14:textId="77777777" w:rsidR="00A052DC" w:rsidRDefault="009F0A60">
            <w:pPr>
              <w:pStyle w:val="B"/>
              <w:rPr>
                <w:szCs w:val="20"/>
              </w:rPr>
            </w:pPr>
            <w:r>
              <w:rPr>
                <w:rFonts w:hint="eastAsia"/>
                <w:szCs w:val="20"/>
              </w:rPr>
              <w:t>居民委托人所属部门</w:t>
            </w:r>
          </w:p>
        </w:tc>
        <w:tc>
          <w:tcPr>
            <w:tcW w:w="6520" w:type="dxa"/>
          </w:tcPr>
          <w:p w14:paraId="7A304C29" w14:textId="77777777" w:rsidR="00A052DC" w:rsidRDefault="009F0A60">
            <w:pPr>
              <w:pStyle w:val="B"/>
              <w:rPr>
                <w:szCs w:val="20"/>
              </w:rPr>
            </w:pPr>
            <w:r>
              <w:rPr>
                <w:rFonts w:hint="eastAsia"/>
                <w:szCs w:val="20"/>
              </w:rPr>
              <w:t>见投资者（被投资者）部门代码表。请按委托人的主营业务归类。若“是否委托贷款”所选内容为非委托贷款，本指标为空。</w:t>
            </w:r>
          </w:p>
        </w:tc>
      </w:tr>
      <w:tr w:rsidR="00A052DC" w14:paraId="0CC92361" w14:textId="77777777">
        <w:trPr>
          <w:cantSplit/>
        </w:trPr>
        <w:tc>
          <w:tcPr>
            <w:tcW w:w="2093" w:type="dxa"/>
          </w:tcPr>
          <w:p w14:paraId="15C9BF8D" w14:textId="77777777" w:rsidR="00A052DC" w:rsidRDefault="009F0A60">
            <w:pPr>
              <w:pStyle w:val="B"/>
              <w:rPr>
                <w:szCs w:val="20"/>
              </w:rPr>
            </w:pPr>
            <w:r>
              <w:rPr>
                <w:rFonts w:hint="eastAsia"/>
                <w:szCs w:val="20"/>
              </w:rPr>
              <w:t>对方国家</w:t>
            </w:r>
            <w:r>
              <w:rPr>
                <w:szCs w:val="20"/>
              </w:rPr>
              <w:t>/</w:t>
            </w:r>
            <w:r>
              <w:rPr>
                <w:rFonts w:hint="eastAsia"/>
                <w:szCs w:val="20"/>
              </w:rPr>
              <w:t>地区</w:t>
            </w:r>
          </w:p>
        </w:tc>
        <w:tc>
          <w:tcPr>
            <w:tcW w:w="6520" w:type="dxa"/>
          </w:tcPr>
          <w:p w14:paraId="77C6481B" w14:textId="77777777" w:rsidR="00A052DC" w:rsidRDefault="009F0A60">
            <w:pPr>
              <w:pStyle w:val="B"/>
              <w:rPr>
                <w:szCs w:val="20"/>
              </w:rPr>
            </w:pPr>
            <w:r>
              <w:rPr>
                <w:rFonts w:hint="eastAsia"/>
                <w:szCs w:val="20"/>
              </w:rPr>
              <w:t>指接受贷款的非居民注册或常驻（住）的国家</w:t>
            </w:r>
            <w:r>
              <w:rPr>
                <w:szCs w:val="20"/>
              </w:rPr>
              <w:t>/</w:t>
            </w:r>
            <w:r>
              <w:rPr>
                <w:rFonts w:hint="eastAsia"/>
                <w:szCs w:val="20"/>
              </w:rPr>
              <w:t>地区。见国家和地区代码表。</w:t>
            </w:r>
          </w:p>
        </w:tc>
      </w:tr>
      <w:tr w:rsidR="00A052DC" w14:paraId="5B4F7489" w14:textId="77777777">
        <w:trPr>
          <w:cantSplit/>
        </w:trPr>
        <w:tc>
          <w:tcPr>
            <w:tcW w:w="2093" w:type="dxa"/>
          </w:tcPr>
          <w:p w14:paraId="1B5F058D" w14:textId="77777777" w:rsidR="00A052DC" w:rsidRDefault="009F0A60">
            <w:pPr>
              <w:pStyle w:val="B"/>
              <w:rPr>
                <w:szCs w:val="20"/>
              </w:rPr>
            </w:pPr>
            <w:r>
              <w:rPr>
                <w:rFonts w:hint="eastAsia"/>
                <w:szCs w:val="20"/>
              </w:rPr>
              <w:t>对方部门</w:t>
            </w:r>
          </w:p>
        </w:tc>
        <w:tc>
          <w:tcPr>
            <w:tcW w:w="6520" w:type="dxa"/>
          </w:tcPr>
          <w:p w14:paraId="2764A660" w14:textId="77777777" w:rsidR="00A052DC" w:rsidRDefault="009F0A60">
            <w:pPr>
              <w:pStyle w:val="B"/>
            </w:pPr>
            <w:r>
              <w:rPr>
                <w:rFonts w:hint="eastAsia"/>
                <w:szCs w:val="20"/>
              </w:rPr>
              <w:t>指接受贷款的非居民所属部门，见投资者（被投资者）部门代码表，请按接受贷款的主体的主营业务归类。</w:t>
            </w:r>
            <w:r>
              <w:rPr>
                <w:rFonts w:hint="eastAsia"/>
                <w:color w:val="000000"/>
              </w:rPr>
              <w:t>当对方部门为非金融企业时，以下各项目均为单笔贷款信息，不可合并报送。</w:t>
            </w:r>
          </w:p>
        </w:tc>
      </w:tr>
      <w:tr w:rsidR="00A052DC" w14:paraId="5BB22D27" w14:textId="77777777">
        <w:trPr>
          <w:cantSplit/>
        </w:trPr>
        <w:tc>
          <w:tcPr>
            <w:tcW w:w="2093" w:type="dxa"/>
          </w:tcPr>
          <w:p w14:paraId="12368670" w14:textId="77777777" w:rsidR="00A052DC" w:rsidRDefault="009F0A60">
            <w:pPr>
              <w:pStyle w:val="B"/>
              <w:rPr>
                <w:szCs w:val="20"/>
              </w:rPr>
            </w:pPr>
            <w:r>
              <w:rPr>
                <w:rFonts w:hint="eastAsia"/>
                <w:szCs w:val="20"/>
              </w:rPr>
              <w:t>对方与本机构</w:t>
            </w:r>
            <w:r>
              <w:rPr>
                <w:szCs w:val="20"/>
              </w:rPr>
              <w:t>/</w:t>
            </w:r>
            <w:r>
              <w:rPr>
                <w:rFonts w:hint="eastAsia"/>
                <w:szCs w:val="20"/>
              </w:rPr>
              <w:t>委托人的关系</w:t>
            </w:r>
          </w:p>
        </w:tc>
        <w:tc>
          <w:tcPr>
            <w:tcW w:w="6520" w:type="dxa"/>
          </w:tcPr>
          <w:p w14:paraId="50D021EC" w14:textId="77777777" w:rsidR="00A052DC" w:rsidRDefault="009F0A60">
            <w:pPr>
              <w:pStyle w:val="B"/>
              <w:rPr>
                <w:szCs w:val="20"/>
              </w:rPr>
            </w:pPr>
            <w:r>
              <w:rPr>
                <w:rFonts w:hint="eastAsia"/>
                <w:szCs w:val="20"/>
              </w:rPr>
              <w:t>见对方与本机构</w:t>
            </w:r>
            <w:r>
              <w:rPr>
                <w:szCs w:val="20"/>
              </w:rPr>
              <w:t>/</w:t>
            </w:r>
            <w:r>
              <w:rPr>
                <w:rFonts w:hint="eastAsia"/>
                <w:szCs w:val="20"/>
              </w:rPr>
              <w:t>被代理居民机构</w:t>
            </w:r>
            <w:r>
              <w:rPr>
                <w:szCs w:val="20"/>
              </w:rPr>
              <w:t>/</w:t>
            </w:r>
            <w:r>
              <w:rPr>
                <w:rFonts w:hint="eastAsia"/>
                <w:szCs w:val="20"/>
              </w:rPr>
              <w:t>委托人的关系代码表。分为以下四种情况：</w:t>
            </w:r>
            <w:r>
              <w:rPr>
                <w:szCs w:val="20"/>
              </w:rPr>
              <w:t>1-</w:t>
            </w:r>
            <w:r>
              <w:rPr>
                <w:rFonts w:hint="eastAsia"/>
                <w:szCs w:val="20"/>
              </w:rPr>
              <w:t>对方是本机构</w:t>
            </w:r>
            <w:r>
              <w:rPr>
                <w:szCs w:val="20"/>
              </w:rPr>
              <w:t>/</w:t>
            </w:r>
            <w:r>
              <w:rPr>
                <w:rFonts w:hint="eastAsia"/>
                <w:szCs w:val="20"/>
              </w:rPr>
              <w:t>委托人的境外直接投资者，即持有本机构</w:t>
            </w:r>
            <w:r>
              <w:rPr>
                <w:szCs w:val="20"/>
              </w:rPr>
              <w:t>/</w:t>
            </w:r>
            <w:r>
              <w:rPr>
                <w:rFonts w:hint="eastAsia"/>
                <w:szCs w:val="20"/>
              </w:rPr>
              <w:t>委托人表决权≥</w:t>
            </w:r>
            <w:r>
              <w:rPr>
                <w:szCs w:val="20"/>
              </w:rPr>
              <w:t>10%</w:t>
            </w:r>
            <w:r>
              <w:rPr>
                <w:rFonts w:hint="eastAsia"/>
                <w:szCs w:val="20"/>
              </w:rPr>
              <w:t>；</w:t>
            </w:r>
            <w:r>
              <w:rPr>
                <w:szCs w:val="20"/>
              </w:rPr>
              <w:t>2-</w:t>
            </w:r>
            <w:r>
              <w:rPr>
                <w:rFonts w:hint="eastAsia"/>
                <w:szCs w:val="20"/>
              </w:rPr>
              <w:t>对方是本机构</w:t>
            </w:r>
            <w:r>
              <w:rPr>
                <w:szCs w:val="20"/>
              </w:rPr>
              <w:t>/</w:t>
            </w:r>
            <w:r>
              <w:rPr>
                <w:rFonts w:hint="eastAsia"/>
                <w:szCs w:val="20"/>
              </w:rPr>
              <w:t>委托人的境外直接投资企业，即本机构</w:t>
            </w:r>
            <w:r>
              <w:rPr>
                <w:szCs w:val="20"/>
              </w:rPr>
              <w:t>/</w:t>
            </w:r>
            <w:r>
              <w:rPr>
                <w:rFonts w:hint="eastAsia"/>
                <w:szCs w:val="20"/>
              </w:rPr>
              <w:t>委托人持有表决权在</w:t>
            </w:r>
            <w:r>
              <w:rPr>
                <w:szCs w:val="20"/>
              </w:rPr>
              <w:t>10%</w:t>
            </w:r>
            <w:r>
              <w:rPr>
                <w:rFonts w:hint="eastAsia"/>
                <w:szCs w:val="20"/>
              </w:rPr>
              <w:t>及以上的境外分支机构、子机构、联营机构或合营机构；</w:t>
            </w:r>
            <w:r>
              <w:rPr>
                <w:szCs w:val="20"/>
              </w:rPr>
              <w:t>3-</w:t>
            </w:r>
            <w:r>
              <w:rPr>
                <w:rFonts w:hint="eastAsia"/>
                <w:szCs w:val="20"/>
              </w:rPr>
              <w:t>对方是本机构</w:t>
            </w:r>
            <w:r>
              <w:rPr>
                <w:szCs w:val="20"/>
              </w:rPr>
              <w:t>/</w:t>
            </w:r>
            <w:r>
              <w:rPr>
                <w:rFonts w:hint="eastAsia"/>
                <w:szCs w:val="20"/>
              </w:rPr>
              <w:t>委托人的境外联属机构，即双方有共同母公司，但相互持有表决权＜</w:t>
            </w:r>
            <w:r>
              <w:rPr>
                <w:szCs w:val="20"/>
              </w:rPr>
              <w:t>10%</w:t>
            </w:r>
            <w:r>
              <w:rPr>
                <w:rFonts w:hint="eastAsia"/>
                <w:szCs w:val="20"/>
              </w:rPr>
              <w:t>或相互不持有表决权；</w:t>
            </w:r>
            <w:r>
              <w:rPr>
                <w:szCs w:val="20"/>
              </w:rPr>
              <w:t>4-</w:t>
            </w:r>
            <w:r>
              <w:rPr>
                <w:rFonts w:hint="eastAsia"/>
                <w:szCs w:val="20"/>
              </w:rPr>
              <w:t>对方与本机构</w:t>
            </w:r>
            <w:r>
              <w:rPr>
                <w:szCs w:val="20"/>
              </w:rPr>
              <w:t>/</w:t>
            </w:r>
            <w:r>
              <w:rPr>
                <w:rFonts w:hint="eastAsia"/>
                <w:szCs w:val="20"/>
              </w:rPr>
              <w:t>委托人无关联关系或关系未知。</w:t>
            </w:r>
          </w:p>
        </w:tc>
      </w:tr>
      <w:tr w:rsidR="00A052DC" w14:paraId="4C611666" w14:textId="77777777">
        <w:trPr>
          <w:cantSplit/>
        </w:trPr>
        <w:tc>
          <w:tcPr>
            <w:tcW w:w="2093" w:type="dxa"/>
          </w:tcPr>
          <w:p w14:paraId="5D7B29E0" w14:textId="77777777" w:rsidR="00A052DC" w:rsidRDefault="009F0A60">
            <w:pPr>
              <w:pStyle w:val="B"/>
              <w:rPr>
                <w:szCs w:val="20"/>
              </w:rPr>
            </w:pPr>
            <w:r>
              <w:rPr>
                <w:rFonts w:hint="eastAsia"/>
                <w:szCs w:val="20"/>
              </w:rPr>
              <w:t>原始期限</w:t>
            </w:r>
          </w:p>
        </w:tc>
        <w:tc>
          <w:tcPr>
            <w:tcW w:w="6520" w:type="dxa"/>
          </w:tcPr>
          <w:p w14:paraId="5902681D" w14:textId="77777777" w:rsidR="00A052DC" w:rsidRDefault="009F0A60">
            <w:pPr>
              <w:pStyle w:val="B"/>
              <w:rPr>
                <w:color w:val="000000" w:themeColor="text1"/>
                <w:szCs w:val="20"/>
              </w:rPr>
            </w:pPr>
            <w:r>
              <w:rPr>
                <w:rFonts w:hint="eastAsia"/>
                <w:color w:val="000000" w:themeColor="text1"/>
                <w:szCs w:val="20"/>
              </w:rPr>
              <w:t>指贷款合同或借贷双方交易证实书中贷款的首笔提款日至最终到期日（或结清日）的期限。按以下两种情况填列：</w:t>
            </w:r>
            <w:r>
              <w:rPr>
                <w:color w:val="000000" w:themeColor="text1"/>
                <w:szCs w:val="20"/>
              </w:rPr>
              <w:t>1-</w:t>
            </w:r>
            <w:r>
              <w:rPr>
                <w:rFonts w:hint="eastAsia"/>
                <w:color w:val="000000" w:themeColor="text1"/>
                <w:szCs w:val="20"/>
              </w:rPr>
              <w:t>一年及以下，含不定期；</w:t>
            </w:r>
            <w:r>
              <w:rPr>
                <w:color w:val="000000" w:themeColor="text1"/>
                <w:szCs w:val="20"/>
              </w:rPr>
              <w:t>2-</w:t>
            </w:r>
            <w:r>
              <w:rPr>
                <w:rFonts w:hint="eastAsia"/>
                <w:color w:val="000000" w:themeColor="text1"/>
                <w:szCs w:val="20"/>
              </w:rPr>
              <w:t>一年以上。其中，循环贷款按合同或交易证实书中约定的贷款周期填写。如发生贷款拖欠或展期的，应按照双方确定的期限计算。如双方无安排，应按原期限归类。对于循环贷款，应根据对应贷款自本月末至最终到期日（或结清日）的期限填写。对于贷款拖欠或展期，应按照双方确定的期限计算；如双方无安排，应归入</w:t>
            </w:r>
            <w:r>
              <w:rPr>
                <w:color w:val="000000" w:themeColor="text1"/>
                <w:szCs w:val="20"/>
              </w:rPr>
              <w:t>1</w:t>
            </w:r>
            <w:r>
              <w:rPr>
                <w:rFonts w:hint="eastAsia"/>
                <w:color w:val="000000" w:themeColor="text1"/>
                <w:szCs w:val="20"/>
              </w:rPr>
              <w:t>。</w:t>
            </w:r>
          </w:p>
        </w:tc>
      </w:tr>
      <w:tr w:rsidR="00A052DC" w14:paraId="464A4B4F" w14:textId="77777777">
        <w:trPr>
          <w:cantSplit/>
        </w:trPr>
        <w:tc>
          <w:tcPr>
            <w:tcW w:w="2093" w:type="dxa"/>
          </w:tcPr>
          <w:p w14:paraId="43A5162E" w14:textId="77777777" w:rsidR="00A052DC" w:rsidRDefault="009F0A60">
            <w:pPr>
              <w:pStyle w:val="B"/>
              <w:rPr>
                <w:szCs w:val="20"/>
              </w:rPr>
            </w:pPr>
            <w:r>
              <w:rPr>
                <w:rFonts w:hint="eastAsia"/>
                <w:szCs w:val="20"/>
              </w:rPr>
              <w:t>原始币种</w:t>
            </w:r>
          </w:p>
        </w:tc>
        <w:tc>
          <w:tcPr>
            <w:tcW w:w="6520" w:type="dxa"/>
          </w:tcPr>
          <w:p w14:paraId="2F50B55C" w14:textId="77777777" w:rsidR="00A052DC" w:rsidRDefault="009F0A60">
            <w:pPr>
              <w:pStyle w:val="B"/>
              <w:rPr>
                <w:color w:val="000000" w:themeColor="text1"/>
                <w:szCs w:val="20"/>
              </w:rPr>
            </w:pPr>
            <w:r>
              <w:rPr>
                <w:rFonts w:hint="eastAsia"/>
                <w:color w:val="000000" w:themeColor="text1"/>
                <w:szCs w:val="20"/>
              </w:rPr>
              <w:t>指贷款合同或借贷双方交易证实书中规定的贷款币种，适用于从上月末本金余额至本月利息收入各项。见币种代码表。对方部门为非金融企业时，指该笔债务的原始币种。</w:t>
            </w:r>
          </w:p>
        </w:tc>
      </w:tr>
      <w:tr w:rsidR="00A052DC" w14:paraId="50EA3563" w14:textId="77777777">
        <w:trPr>
          <w:cantSplit/>
        </w:trPr>
        <w:tc>
          <w:tcPr>
            <w:tcW w:w="2093" w:type="dxa"/>
          </w:tcPr>
          <w:p w14:paraId="2B37FB14" w14:textId="77777777" w:rsidR="00A052DC" w:rsidRDefault="009F0A60">
            <w:pPr>
              <w:pStyle w:val="B"/>
              <w:rPr>
                <w:szCs w:val="20"/>
              </w:rPr>
            </w:pPr>
            <w:r>
              <w:rPr>
                <w:rFonts w:hint="eastAsia"/>
                <w:szCs w:val="20"/>
              </w:rPr>
              <w:t>上月末本金余额</w:t>
            </w:r>
          </w:p>
        </w:tc>
        <w:tc>
          <w:tcPr>
            <w:tcW w:w="6520" w:type="dxa"/>
          </w:tcPr>
          <w:p w14:paraId="1DA7FEE4" w14:textId="77777777" w:rsidR="00A052DC" w:rsidRDefault="009F0A60">
            <w:pPr>
              <w:pStyle w:val="B"/>
              <w:rPr>
                <w:color w:val="000000" w:themeColor="text1"/>
                <w:szCs w:val="20"/>
              </w:rPr>
            </w:pPr>
            <w:r>
              <w:rPr>
                <w:rFonts w:hint="eastAsia"/>
                <w:color w:val="000000" w:themeColor="text1"/>
                <w:szCs w:val="20"/>
              </w:rPr>
              <w:t>指上月末对非居民贷款本金的账面余额。对方部门为非金融企业时，指该笔债务的余额。</w:t>
            </w:r>
          </w:p>
        </w:tc>
      </w:tr>
      <w:tr w:rsidR="00A052DC" w14:paraId="5B5E4F5A" w14:textId="77777777">
        <w:trPr>
          <w:cantSplit/>
        </w:trPr>
        <w:tc>
          <w:tcPr>
            <w:tcW w:w="2093" w:type="dxa"/>
          </w:tcPr>
          <w:p w14:paraId="440EF886" w14:textId="77777777" w:rsidR="00A052DC" w:rsidRDefault="009F0A60">
            <w:pPr>
              <w:pStyle w:val="B"/>
              <w:rPr>
                <w:szCs w:val="20"/>
              </w:rPr>
            </w:pPr>
            <w:r>
              <w:rPr>
                <w:rFonts w:hint="eastAsia"/>
                <w:szCs w:val="20"/>
              </w:rPr>
              <w:t>上月末应收利息余额</w:t>
            </w:r>
          </w:p>
        </w:tc>
        <w:tc>
          <w:tcPr>
            <w:tcW w:w="6520" w:type="dxa"/>
          </w:tcPr>
          <w:p w14:paraId="0D60F331" w14:textId="77777777" w:rsidR="00A052DC" w:rsidRDefault="009F0A60">
            <w:pPr>
              <w:pStyle w:val="B"/>
              <w:rPr>
                <w:color w:val="000000" w:themeColor="text1"/>
                <w:szCs w:val="20"/>
              </w:rPr>
            </w:pPr>
            <w:r>
              <w:rPr>
                <w:rFonts w:hint="eastAsia"/>
                <w:color w:val="000000" w:themeColor="text1"/>
                <w:szCs w:val="20"/>
              </w:rPr>
              <w:t>指上月末对非居民应收未收的贷款利息余额。对方部门为非金融企业时，指该笔债务的利息余额。</w:t>
            </w:r>
          </w:p>
        </w:tc>
      </w:tr>
      <w:tr w:rsidR="00A052DC" w14:paraId="73311713" w14:textId="77777777">
        <w:trPr>
          <w:cantSplit/>
        </w:trPr>
        <w:tc>
          <w:tcPr>
            <w:tcW w:w="2093" w:type="dxa"/>
          </w:tcPr>
          <w:p w14:paraId="4C172482" w14:textId="77777777" w:rsidR="00A052DC" w:rsidRDefault="009F0A60">
            <w:pPr>
              <w:pStyle w:val="B"/>
              <w:rPr>
                <w:szCs w:val="20"/>
              </w:rPr>
            </w:pPr>
            <w:r>
              <w:rPr>
                <w:rFonts w:hint="eastAsia"/>
                <w:szCs w:val="20"/>
              </w:rPr>
              <w:t>本月末本金余额</w:t>
            </w:r>
          </w:p>
        </w:tc>
        <w:tc>
          <w:tcPr>
            <w:tcW w:w="6520" w:type="dxa"/>
          </w:tcPr>
          <w:p w14:paraId="2EE06FE3" w14:textId="77777777" w:rsidR="00A052DC" w:rsidRDefault="009F0A60">
            <w:pPr>
              <w:pStyle w:val="B"/>
              <w:rPr>
                <w:color w:val="000000" w:themeColor="text1"/>
                <w:szCs w:val="20"/>
              </w:rPr>
            </w:pPr>
            <w:r>
              <w:rPr>
                <w:rFonts w:hint="eastAsia"/>
                <w:color w:val="000000" w:themeColor="text1"/>
                <w:szCs w:val="20"/>
              </w:rPr>
              <w:t>指本月末对非居民提供贷款的账面余额。对方部门为非金融企业时，指该笔债务的余额。</w:t>
            </w:r>
          </w:p>
        </w:tc>
      </w:tr>
      <w:tr w:rsidR="00A052DC" w14:paraId="4D9C7B28" w14:textId="77777777">
        <w:trPr>
          <w:cantSplit/>
        </w:trPr>
        <w:tc>
          <w:tcPr>
            <w:tcW w:w="2093" w:type="dxa"/>
          </w:tcPr>
          <w:p w14:paraId="3D4F3C46" w14:textId="77777777" w:rsidR="00A052DC" w:rsidRDefault="009F0A60">
            <w:pPr>
              <w:pStyle w:val="B"/>
              <w:rPr>
                <w:szCs w:val="20"/>
              </w:rPr>
            </w:pPr>
            <w:r>
              <w:rPr>
                <w:rFonts w:hint="eastAsia"/>
                <w:szCs w:val="20"/>
              </w:rPr>
              <w:t>本月末本金余额其中：剩余期限在一年及以下</w:t>
            </w:r>
          </w:p>
        </w:tc>
        <w:tc>
          <w:tcPr>
            <w:tcW w:w="6520" w:type="dxa"/>
          </w:tcPr>
          <w:p w14:paraId="23C81363" w14:textId="77777777" w:rsidR="00A052DC" w:rsidRDefault="009F0A60">
            <w:pPr>
              <w:pStyle w:val="B"/>
              <w:rPr>
                <w:color w:val="000000" w:themeColor="text1"/>
                <w:szCs w:val="20"/>
              </w:rPr>
            </w:pPr>
            <w:r>
              <w:rPr>
                <w:rFonts w:hint="eastAsia"/>
                <w:color w:val="000000" w:themeColor="text1"/>
                <w:szCs w:val="20"/>
              </w:rPr>
              <w:t>指自本月末至最终到期在一年及以下的本月末对非居民提供贷款的账面余额。对于循环贷款，应根据对应贷款自本月末至最终到期日（或结清日）的期限是否在一年及以下判断。对于贷款拖欠或展期的，应按照双方确定的期限判断剩余期限是否在一年及以下。如双方无安排，纳入一年及以下统计。对方部门为非金融企业时，指该笔债务剩余期限在一年及以下的余额。</w:t>
            </w:r>
          </w:p>
        </w:tc>
      </w:tr>
      <w:tr w:rsidR="00A052DC" w14:paraId="62D782CD" w14:textId="77777777">
        <w:trPr>
          <w:cantSplit/>
        </w:trPr>
        <w:tc>
          <w:tcPr>
            <w:tcW w:w="2093" w:type="dxa"/>
          </w:tcPr>
          <w:p w14:paraId="072D7E3C" w14:textId="77777777" w:rsidR="00A052DC" w:rsidRDefault="009F0A60">
            <w:pPr>
              <w:pStyle w:val="B"/>
              <w:rPr>
                <w:szCs w:val="20"/>
              </w:rPr>
            </w:pPr>
            <w:r>
              <w:rPr>
                <w:rFonts w:hint="eastAsia"/>
                <w:szCs w:val="20"/>
              </w:rPr>
              <w:t>本月末应收利息余额</w:t>
            </w:r>
          </w:p>
        </w:tc>
        <w:tc>
          <w:tcPr>
            <w:tcW w:w="6520" w:type="dxa"/>
          </w:tcPr>
          <w:p w14:paraId="775068F5" w14:textId="77777777" w:rsidR="00A052DC" w:rsidRDefault="009F0A60">
            <w:pPr>
              <w:pStyle w:val="B"/>
              <w:rPr>
                <w:color w:val="000000" w:themeColor="text1"/>
                <w:szCs w:val="20"/>
              </w:rPr>
            </w:pPr>
            <w:r>
              <w:rPr>
                <w:rFonts w:hint="eastAsia"/>
                <w:color w:val="000000" w:themeColor="text1"/>
                <w:szCs w:val="20"/>
              </w:rPr>
              <w:t>指本月末对非居民应收未收的贷款利息余额。当对方为非金融企业时，指该笔债务的利息余额。</w:t>
            </w:r>
          </w:p>
        </w:tc>
      </w:tr>
      <w:tr w:rsidR="00A052DC" w14:paraId="01089344" w14:textId="77777777">
        <w:trPr>
          <w:cantSplit/>
        </w:trPr>
        <w:tc>
          <w:tcPr>
            <w:tcW w:w="2093" w:type="dxa"/>
          </w:tcPr>
          <w:p w14:paraId="00C1DFCC" w14:textId="77777777" w:rsidR="00A052DC" w:rsidRDefault="009F0A60">
            <w:pPr>
              <w:pStyle w:val="B"/>
              <w:rPr>
                <w:szCs w:val="20"/>
              </w:rPr>
            </w:pPr>
            <w:r>
              <w:rPr>
                <w:rFonts w:hint="eastAsia"/>
                <w:szCs w:val="20"/>
              </w:rPr>
              <w:t>本月非交易变动</w:t>
            </w:r>
          </w:p>
        </w:tc>
        <w:tc>
          <w:tcPr>
            <w:tcW w:w="6520" w:type="dxa"/>
          </w:tcPr>
          <w:p w14:paraId="28B3491D" w14:textId="77777777" w:rsidR="00A052DC" w:rsidRDefault="009F0A60">
            <w:pPr>
              <w:pStyle w:val="B"/>
              <w:rPr>
                <w:color w:val="000000" w:themeColor="text1"/>
                <w:szCs w:val="20"/>
              </w:rPr>
            </w:pPr>
            <w:r>
              <w:rPr>
                <w:rFonts w:hint="eastAsia"/>
                <w:color w:val="000000" w:themeColor="text1"/>
                <w:szCs w:val="20"/>
              </w:rPr>
              <w:t>指因贷款核销、重新分类（贷款一旦转让，则重新分类为债务证券）以及所涉主体居民地位改变等因素导致境内机构对境外提供贷款余额变动的净额。对方部门为非金融企业时，指该笔债务的非交易变动。</w:t>
            </w:r>
          </w:p>
        </w:tc>
      </w:tr>
      <w:tr w:rsidR="00A052DC" w14:paraId="38455876" w14:textId="77777777">
        <w:trPr>
          <w:cantSplit/>
        </w:trPr>
        <w:tc>
          <w:tcPr>
            <w:tcW w:w="2093" w:type="dxa"/>
          </w:tcPr>
          <w:p w14:paraId="41063962" w14:textId="77777777" w:rsidR="00A052DC" w:rsidRDefault="009F0A60">
            <w:pPr>
              <w:pStyle w:val="B"/>
              <w:rPr>
                <w:szCs w:val="20"/>
              </w:rPr>
            </w:pPr>
            <w:r>
              <w:rPr>
                <w:rFonts w:hint="eastAsia"/>
                <w:szCs w:val="20"/>
              </w:rPr>
              <w:t>本月净发生额</w:t>
            </w:r>
          </w:p>
        </w:tc>
        <w:tc>
          <w:tcPr>
            <w:tcW w:w="6520" w:type="dxa"/>
          </w:tcPr>
          <w:p w14:paraId="26D4441A" w14:textId="77777777" w:rsidR="00A052DC" w:rsidRDefault="009F0A60">
            <w:pPr>
              <w:pStyle w:val="B"/>
              <w:rPr>
                <w:color w:val="000000" w:themeColor="text1"/>
                <w:szCs w:val="20"/>
              </w:rPr>
            </w:pPr>
            <w:r>
              <w:rPr>
                <w:rFonts w:hint="eastAsia"/>
                <w:color w:val="000000" w:themeColor="text1"/>
              </w:rPr>
              <w:t>指</w:t>
            </w:r>
            <w:r>
              <w:rPr>
                <w:rFonts w:hint="eastAsia"/>
                <w:color w:val="000000"/>
              </w:rPr>
              <w:t>本月对非居民提供贷款的净发生额，包括提供的贷款金额与收回的贷款金额的差（提供贷款</w:t>
            </w:r>
            <w:r>
              <w:rPr>
                <w:color w:val="000000"/>
              </w:rPr>
              <w:t>-贷款收回）</w:t>
            </w:r>
            <w:r>
              <w:rPr>
                <w:rFonts w:hint="eastAsia"/>
                <w:color w:val="000000"/>
              </w:rPr>
              <w:t>，以及应计利息的净发生额。</w:t>
            </w:r>
            <w:r>
              <w:rPr>
                <w:rFonts w:hint="eastAsia"/>
                <w:color w:val="000000" w:themeColor="text1"/>
              </w:rPr>
              <w:t>正值代表资产的增加，负值代表资产的减少。计算公式为本月净发生额</w:t>
            </w:r>
            <w:r>
              <w:rPr>
                <w:color w:val="000000" w:themeColor="text1"/>
              </w:rPr>
              <w:t>=</w:t>
            </w:r>
            <w:r>
              <w:rPr>
                <w:rFonts w:hint="eastAsia"/>
                <w:color w:val="000000" w:themeColor="text1"/>
              </w:rPr>
              <w:t>（本月末本金余额</w:t>
            </w:r>
            <w:r>
              <w:rPr>
                <w:color w:val="000000" w:themeColor="text1"/>
              </w:rPr>
              <w:t>+</w:t>
            </w:r>
            <w:r>
              <w:rPr>
                <w:rFonts w:hint="eastAsia"/>
                <w:color w:val="000000" w:themeColor="text1"/>
              </w:rPr>
              <w:t>本月末应收利息余额）</w:t>
            </w:r>
            <w:r>
              <w:rPr>
                <w:color w:val="000000" w:themeColor="text1"/>
              </w:rPr>
              <w:t>-</w:t>
            </w:r>
            <w:r>
              <w:rPr>
                <w:rFonts w:hint="eastAsia"/>
                <w:color w:val="000000" w:themeColor="text1"/>
              </w:rPr>
              <w:t>（上月末本金余额</w:t>
            </w:r>
            <w:r>
              <w:rPr>
                <w:color w:val="000000" w:themeColor="text1"/>
              </w:rPr>
              <w:t>+</w:t>
            </w:r>
            <w:r>
              <w:rPr>
                <w:rFonts w:hint="eastAsia"/>
                <w:color w:val="000000" w:themeColor="text1"/>
              </w:rPr>
              <w:t>上月末应收利息余额）</w:t>
            </w:r>
            <w:r>
              <w:rPr>
                <w:color w:val="000000" w:themeColor="text1"/>
              </w:rPr>
              <w:t>-</w:t>
            </w:r>
            <w:r>
              <w:rPr>
                <w:rFonts w:hint="eastAsia"/>
                <w:color w:val="000000" w:themeColor="text1"/>
              </w:rPr>
              <w:t>本月非交易变动。对方部门为非金融企业时，指该笔债务的净发生额。</w:t>
            </w:r>
          </w:p>
        </w:tc>
      </w:tr>
      <w:tr w:rsidR="00A052DC" w14:paraId="060C5B70" w14:textId="77777777">
        <w:trPr>
          <w:cantSplit/>
        </w:trPr>
        <w:tc>
          <w:tcPr>
            <w:tcW w:w="2093" w:type="dxa"/>
          </w:tcPr>
          <w:p w14:paraId="575F777D" w14:textId="77777777" w:rsidR="00A052DC" w:rsidRDefault="009F0A60">
            <w:pPr>
              <w:pStyle w:val="B"/>
              <w:rPr>
                <w:szCs w:val="20"/>
              </w:rPr>
            </w:pPr>
            <w:r>
              <w:rPr>
                <w:rFonts w:hint="eastAsia"/>
                <w:szCs w:val="20"/>
              </w:rPr>
              <w:t>本月利息收入</w:t>
            </w:r>
          </w:p>
        </w:tc>
        <w:tc>
          <w:tcPr>
            <w:tcW w:w="6520" w:type="dxa"/>
          </w:tcPr>
          <w:p w14:paraId="0477E156" w14:textId="77777777" w:rsidR="00A052DC" w:rsidRDefault="009F0A60">
            <w:pPr>
              <w:pStyle w:val="B"/>
              <w:rPr>
                <w:color w:val="000000" w:themeColor="text1"/>
                <w:szCs w:val="20"/>
              </w:rPr>
            </w:pPr>
            <w:r>
              <w:rPr>
                <w:rFonts w:hint="eastAsia"/>
                <w:color w:val="000000" w:themeColor="text1"/>
                <w:szCs w:val="20"/>
              </w:rPr>
              <w:t>指本月会计账上确认的贷款利息收入。对方部门为非金融企业时，指该笔债务的利息收入。</w:t>
            </w:r>
          </w:p>
        </w:tc>
      </w:tr>
      <w:tr w:rsidR="00A052DC" w14:paraId="0A2EE315" w14:textId="77777777">
        <w:trPr>
          <w:cantSplit/>
        </w:trPr>
        <w:tc>
          <w:tcPr>
            <w:tcW w:w="2093" w:type="dxa"/>
          </w:tcPr>
          <w:p w14:paraId="231C9E32" w14:textId="77777777" w:rsidR="00A052DC" w:rsidRDefault="009F0A60">
            <w:pPr>
              <w:pStyle w:val="B"/>
              <w:rPr>
                <w:szCs w:val="20"/>
              </w:rPr>
            </w:pPr>
            <w:r>
              <w:rPr>
                <w:rFonts w:hint="eastAsia"/>
                <w:szCs w:val="20"/>
              </w:rPr>
              <w:t>债务人名称</w:t>
            </w:r>
          </w:p>
        </w:tc>
        <w:tc>
          <w:tcPr>
            <w:tcW w:w="6520" w:type="dxa"/>
          </w:tcPr>
          <w:p w14:paraId="1BEDBB15" w14:textId="77777777" w:rsidR="00A052DC" w:rsidRDefault="009F0A60">
            <w:pPr>
              <w:pStyle w:val="B"/>
              <w:rPr>
                <w:szCs w:val="20"/>
              </w:rPr>
            </w:pPr>
            <w:r>
              <w:rPr>
                <w:rFonts w:hint="eastAsia"/>
                <w:szCs w:val="20"/>
              </w:rPr>
              <w:t>指接受贷款的非居民机构名称。当对方部门为非金融企业时，需要填写此项。</w:t>
            </w:r>
          </w:p>
        </w:tc>
      </w:tr>
      <w:tr w:rsidR="00A052DC" w14:paraId="6AFE051F" w14:textId="77777777">
        <w:trPr>
          <w:cantSplit/>
        </w:trPr>
        <w:tc>
          <w:tcPr>
            <w:tcW w:w="2093" w:type="dxa"/>
          </w:tcPr>
          <w:p w14:paraId="43CA56EC" w14:textId="77777777" w:rsidR="00A052DC" w:rsidRDefault="009F0A60">
            <w:pPr>
              <w:pStyle w:val="B"/>
              <w:rPr>
                <w:szCs w:val="20"/>
              </w:rPr>
            </w:pPr>
            <w:r>
              <w:rPr>
                <w:rFonts w:hint="eastAsia"/>
                <w:szCs w:val="20"/>
              </w:rPr>
              <w:t>签约金额</w:t>
            </w:r>
          </w:p>
        </w:tc>
        <w:tc>
          <w:tcPr>
            <w:tcW w:w="6520" w:type="dxa"/>
          </w:tcPr>
          <w:p w14:paraId="447581B6" w14:textId="77777777" w:rsidR="00A052DC" w:rsidRDefault="009F0A60">
            <w:pPr>
              <w:pStyle w:val="B"/>
              <w:rPr>
                <w:color w:val="000000" w:themeColor="text1"/>
                <w:szCs w:val="20"/>
              </w:rPr>
            </w:pPr>
            <w:r>
              <w:rPr>
                <w:rFonts w:hint="eastAsia"/>
                <w:color w:val="000000" w:themeColor="text1"/>
                <w:szCs w:val="20"/>
              </w:rPr>
              <w:t>指贷款</w:t>
            </w:r>
            <w:r>
              <w:rPr>
                <w:color w:val="000000" w:themeColor="text1"/>
                <w:szCs w:val="20"/>
              </w:rPr>
              <w:t>合同</w:t>
            </w:r>
            <w:r>
              <w:rPr>
                <w:rFonts w:hint="eastAsia"/>
                <w:color w:val="000000" w:themeColor="text1"/>
                <w:szCs w:val="20"/>
              </w:rPr>
              <w:t>中</w:t>
            </w:r>
            <w:r>
              <w:rPr>
                <w:color w:val="000000" w:themeColor="text1"/>
                <w:szCs w:val="20"/>
              </w:rPr>
              <w:t>约定的签约金额</w:t>
            </w:r>
            <w:r>
              <w:rPr>
                <w:rFonts w:hint="eastAsia"/>
                <w:color w:val="000000" w:themeColor="text1"/>
                <w:szCs w:val="20"/>
              </w:rPr>
              <w:t>。当对方部门为非金融企业时，为单笔债务合同金额，需要填写此项。</w:t>
            </w:r>
          </w:p>
        </w:tc>
      </w:tr>
      <w:tr w:rsidR="00A052DC" w14:paraId="3C329A5C" w14:textId="77777777">
        <w:trPr>
          <w:cantSplit/>
        </w:trPr>
        <w:tc>
          <w:tcPr>
            <w:tcW w:w="2093" w:type="dxa"/>
          </w:tcPr>
          <w:p w14:paraId="2E176695" w14:textId="77777777" w:rsidR="00A052DC" w:rsidRDefault="009F0A60">
            <w:pPr>
              <w:pStyle w:val="B"/>
              <w:rPr>
                <w:szCs w:val="20"/>
              </w:rPr>
            </w:pPr>
            <w:r>
              <w:rPr>
                <w:rFonts w:hint="eastAsia"/>
                <w:szCs w:val="20"/>
              </w:rPr>
              <w:t>资金用途</w:t>
            </w:r>
          </w:p>
        </w:tc>
        <w:tc>
          <w:tcPr>
            <w:tcW w:w="6520" w:type="dxa"/>
          </w:tcPr>
          <w:p w14:paraId="52C72065" w14:textId="77777777" w:rsidR="00A052DC" w:rsidRDefault="009F0A60">
            <w:pPr>
              <w:pStyle w:val="B"/>
              <w:rPr>
                <w:color w:val="000000" w:themeColor="text1"/>
                <w:szCs w:val="20"/>
              </w:rPr>
            </w:pPr>
            <w:r>
              <w:rPr>
                <w:rFonts w:hint="eastAsia"/>
                <w:color w:val="000000" w:themeColor="text1"/>
                <w:szCs w:val="20"/>
              </w:rPr>
              <w:t>贷款合同中规定的资金用途，见境外贷款资金用途代码表。当对方部门为非金融企业时，为单笔债务合同资金用途，需要填写此项。</w:t>
            </w:r>
          </w:p>
        </w:tc>
      </w:tr>
      <w:tr w:rsidR="00A052DC" w14:paraId="11E77461" w14:textId="77777777">
        <w:trPr>
          <w:cantSplit/>
        </w:trPr>
        <w:tc>
          <w:tcPr>
            <w:tcW w:w="2093" w:type="dxa"/>
          </w:tcPr>
          <w:p w14:paraId="7C5882D3" w14:textId="77777777" w:rsidR="00A052DC" w:rsidRDefault="009F0A60">
            <w:pPr>
              <w:pStyle w:val="B"/>
              <w:rPr>
                <w:szCs w:val="20"/>
              </w:rPr>
            </w:pPr>
            <w:r>
              <w:rPr>
                <w:rFonts w:hint="eastAsia"/>
                <w:szCs w:val="20"/>
              </w:rPr>
              <w:t>原始放款天数</w:t>
            </w:r>
          </w:p>
        </w:tc>
        <w:tc>
          <w:tcPr>
            <w:tcW w:w="6520" w:type="dxa"/>
          </w:tcPr>
          <w:p w14:paraId="6A9FDCD3" w14:textId="77777777" w:rsidR="00A052DC" w:rsidRDefault="009F0A60">
            <w:pPr>
              <w:pStyle w:val="B"/>
              <w:rPr>
                <w:color w:val="000000" w:themeColor="text1"/>
                <w:szCs w:val="20"/>
              </w:rPr>
            </w:pPr>
            <w:r>
              <w:rPr>
                <w:rFonts w:hint="eastAsia"/>
                <w:color w:val="000000" w:themeColor="text1"/>
                <w:szCs w:val="20"/>
              </w:rPr>
              <w:t>指贷款合同中贷款的首笔提款日至最终到期日（或结清日）的累计天数。当对方部门为非金融企业时，指对该债务人该笔债务的原始放款天数。需要填写此项。</w:t>
            </w:r>
          </w:p>
        </w:tc>
      </w:tr>
      <w:tr w:rsidR="00A052DC" w14:paraId="6D410D1F" w14:textId="77777777">
        <w:trPr>
          <w:cantSplit/>
        </w:trPr>
        <w:tc>
          <w:tcPr>
            <w:tcW w:w="2093" w:type="dxa"/>
          </w:tcPr>
          <w:p w14:paraId="77686C06" w14:textId="77777777" w:rsidR="00A052DC" w:rsidRDefault="009F0A60">
            <w:pPr>
              <w:pStyle w:val="B"/>
              <w:rPr>
                <w:szCs w:val="20"/>
              </w:rPr>
            </w:pPr>
            <w:r>
              <w:rPr>
                <w:rFonts w:hint="eastAsia"/>
                <w:szCs w:val="20"/>
              </w:rPr>
              <w:t>到期日</w:t>
            </w:r>
          </w:p>
        </w:tc>
        <w:tc>
          <w:tcPr>
            <w:tcW w:w="6520" w:type="dxa"/>
          </w:tcPr>
          <w:p w14:paraId="7C052A9F" w14:textId="77777777" w:rsidR="00A052DC" w:rsidRDefault="009F0A60">
            <w:pPr>
              <w:pStyle w:val="B"/>
              <w:rPr>
                <w:color w:val="000000" w:themeColor="text1"/>
                <w:szCs w:val="20"/>
              </w:rPr>
            </w:pPr>
            <w:r>
              <w:rPr>
                <w:rFonts w:hint="eastAsia"/>
                <w:color w:val="000000" w:themeColor="text1"/>
                <w:szCs w:val="20"/>
              </w:rPr>
              <w:t>贷款到期日期。当对方部门为非金融企业时，为该笔债务的到期日，需要填写此项。</w:t>
            </w:r>
          </w:p>
        </w:tc>
      </w:tr>
      <w:tr w:rsidR="00A052DC" w14:paraId="694CF355" w14:textId="77777777">
        <w:trPr>
          <w:cantSplit/>
        </w:trPr>
        <w:tc>
          <w:tcPr>
            <w:tcW w:w="2093" w:type="dxa"/>
          </w:tcPr>
          <w:p w14:paraId="73A145BC" w14:textId="77777777" w:rsidR="00A052DC" w:rsidRDefault="009F0A60">
            <w:pPr>
              <w:pStyle w:val="B"/>
              <w:rPr>
                <w:szCs w:val="20"/>
              </w:rPr>
            </w:pPr>
            <w:r>
              <w:rPr>
                <w:rFonts w:hint="eastAsia"/>
                <w:szCs w:val="20"/>
              </w:rPr>
              <w:t>贷款是否存在担保人</w:t>
            </w:r>
          </w:p>
        </w:tc>
        <w:tc>
          <w:tcPr>
            <w:tcW w:w="6520" w:type="dxa"/>
          </w:tcPr>
          <w:p w14:paraId="0CFD37A9" w14:textId="77777777" w:rsidR="00A052DC" w:rsidRDefault="009F0A60">
            <w:pPr>
              <w:pStyle w:val="B"/>
              <w:rPr>
                <w:color w:val="000000" w:themeColor="text1"/>
                <w:szCs w:val="20"/>
              </w:rPr>
            </w:pPr>
            <w:r>
              <w:rPr>
                <w:rFonts w:hint="eastAsia"/>
                <w:color w:val="000000" w:themeColor="text1"/>
                <w:szCs w:val="20"/>
              </w:rPr>
              <w:t>当对非居民的贷款存在担保人时选择“</w:t>
            </w:r>
            <w:r>
              <w:rPr>
                <w:color w:val="000000" w:themeColor="text1"/>
                <w:szCs w:val="20"/>
              </w:rPr>
              <w:t>1-是”，反之选择“2-否”。</w:t>
            </w:r>
          </w:p>
        </w:tc>
      </w:tr>
      <w:tr w:rsidR="00A052DC" w14:paraId="0D1CB59F" w14:textId="77777777">
        <w:trPr>
          <w:cantSplit/>
        </w:trPr>
        <w:tc>
          <w:tcPr>
            <w:tcW w:w="2093" w:type="dxa"/>
          </w:tcPr>
          <w:p w14:paraId="481FF2C6" w14:textId="77777777" w:rsidR="00A052DC" w:rsidRDefault="009F0A60">
            <w:pPr>
              <w:pStyle w:val="B"/>
              <w:rPr>
                <w:szCs w:val="20"/>
              </w:rPr>
            </w:pPr>
            <w:r>
              <w:rPr>
                <w:rFonts w:hint="eastAsia"/>
                <w:szCs w:val="20"/>
              </w:rPr>
              <w:t>担保人所属国家</w:t>
            </w:r>
            <w:r>
              <w:rPr>
                <w:szCs w:val="20"/>
              </w:rPr>
              <w:t>/地区</w:t>
            </w:r>
          </w:p>
        </w:tc>
        <w:tc>
          <w:tcPr>
            <w:tcW w:w="6520" w:type="dxa"/>
          </w:tcPr>
          <w:p w14:paraId="0CB1692E" w14:textId="77777777" w:rsidR="00A052DC" w:rsidRDefault="009F0A60">
            <w:pPr>
              <w:pStyle w:val="B"/>
              <w:rPr>
                <w:color w:val="000000" w:themeColor="text1"/>
                <w:szCs w:val="20"/>
              </w:rPr>
            </w:pPr>
            <w:r>
              <w:rPr>
                <w:rFonts w:hint="eastAsia"/>
                <w:color w:val="000000" w:themeColor="text1"/>
                <w:szCs w:val="20"/>
              </w:rPr>
              <w:t>对于贷款是否存在担保人选择“</w:t>
            </w:r>
            <w:r>
              <w:rPr>
                <w:color w:val="000000" w:themeColor="text1"/>
                <w:szCs w:val="20"/>
              </w:rPr>
              <w:t>1-是”的，填报贷款担保人的注册或常驻（住）的国家/地区。</w:t>
            </w:r>
            <w:r>
              <w:rPr>
                <w:rFonts w:hint="eastAsia"/>
                <w:color w:val="000000" w:themeColor="text1"/>
                <w:szCs w:val="20"/>
              </w:rPr>
              <w:t>见国家和地区代码表。</w:t>
            </w:r>
          </w:p>
        </w:tc>
      </w:tr>
      <w:tr w:rsidR="00A052DC" w14:paraId="6CFEC90E" w14:textId="77777777">
        <w:trPr>
          <w:cantSplit/>
        </w:trPr>
        <w:tc>
          <w:tcPr>
            <w:tcW w:w="2093" w:type="dxa"/>
          </w:tcPr>
          <w:p w14:paraId="2170592C" w14:textId="77777777" w:rsidR="00A052DC" w:rsidRDefault="009F0A60">
            <w:pPr>
              <w:pStyle w:val="B"/>
              <w:rPr>
                <w:szCs w:val="20"/>
              </w:rPr>
            </w:pPr>
            <w:r>
              <w:rPr>
                <w:rFonts w:hint="eastAsia"/>
                <w:szCs w:val="20"/>
              </w:rPr>
              <w:t>担保人所属部门</w:t>
            </w:r>
          </w:p>
        </w:tc>
        <w:tc>
          <w:tcPr>
            <w:tcW w:w="6520" w:type="dxa"/>
          </w:tcPr>
          <w:p w14:paraId="6E19C09A" w14:textId="77777777" w:rsidR="00A052DC" w:rsidRDefault="009F0A60">
            <w:pPr>
              <w:pStyle w:val="B"/>
              <w:rPr>
                <w:color w:val="000000" w:themeColor="text1"/>
                <w:szCs w:val="20"/>
              </w:rPr>
            </w:pPr>
            <w:r>
              <w:rPr>
                <w:rFonts w:hint="eastAsia"/>
                <w:color w:val="000000" w:themeColor="text1"/>
                <w:szCs w:val="20"/>
              </w:rPr>
              <w:t>对于贷款是否存在担保人选择选择“</w:t>
            </w:r>
            <w:r>
              <w:rPr>
                <w:color w:val="000000" w:themeColor="text1"/>
                <w:szCs w:val="20"/>
              </w:rPr>
              <w:t>1-是”的，填报该担保人所属部门。</w:t>
            </w:r>
            <w:r>
              <w:rPr>
                <w:rFonts w:hint="eastAsia"/>
                <w:szCs w:val="20"/>
              </w:rPr>
              <w:t>见投资者（被投资者）部门代码表。</w:t>
            </w:r>
          </w:p>
        </w:tc>
      </w:tr>
      <w:tr w:rsidR="00A052DC" w14:paraId="3661FC18" w14:textId="77777777">
        <w:trPr>
          <w:cantSplit/>
        </w:trPr>
        <w:tc>
          <w:tcPr>
            <w:tcW w:w="2093" w:type="dxa"/>
          </w:tcPr>
          <w:p w14:paraId="05741AB2" w14:textId="77777777" w:rsidR="00A052DC" w:rsidRDefault="009F0A60">
            <w:pPr>
              <w:pStyle w:val="B"/>
              <w:rPr>
                <w:szCs w:val="20"/>
              </w:rPr>
            </w:pPr>
            <w:r>
              <w:rPr>
                <w:rFonts w:hint="eastAsia"/>
                <w:szCs w:val="20"/>
              </w:rPr>
              <w:t>备注</w:t>
            </w:r>
          </w:p>
        </w:tc>
        <w:tc>
          <w:tcPr>
            <w:tcW w:w="6520" w:type="dxa"/>
          </w:tcPr>
          <w:p w14:paraId="5230D4D6" w14:textId="77777777" w:rsidR="00A052DC" w:rsidRDefault="009F0A60">
            <w:pPr>
              <w:pStyle w:val="B"/>
              <w:rPr>
                <w:color w:val="000000" w:themeColor="text1"/>
                <w:szCs w:val="20"/>
              </w:rPr>
            </w:pPr>
            <w:r>
              <w:rPr>
                <w:rFonts w:hint="eastAsia"/>
                <w:color w:val="000000" w:themeColor="text1"/>
                <w:szCs w:val="20"/>
              </w:rPr>
              <w:t>其他需要说明的情况。</w:t>
            </w:r>
          </w:p>
        </w:tc>
      </w:tr>
    </w:tbl>
    <w:p w14:paraId="68110334" w14:textId="77777777" w:rsidR="00A052DC" w:rsidRDefault="00A052DC"/>
    <w:p w14:paraId="6FB4BD9A" w14:textId="77777777" w:rsidR="00A052DC" w:rsidRDefault="009F0A60" w:rsidP="0020251D">
      <w:pPr>
        <w:pStyle w:val="4"/>
        <w:numPr>
          <w:ilvl w:val="3"/>
          <w:numId w:val="1"/>
        </w:numPr>
        <w:jc w:val="left"/>
      </w:pPr>
      <w:bookmarkStart w:id="3217" w:name="_Toc454391302"/>
      <w:bookmarkStart w:id="3218" w:name="_Toc380570957"/>
      <w:bookmarkStart w:id="3219" w:name="_Toc454391303"/>
      <w:bookmarkEnd w:id="3217"/>
      <w:r>
        <w:rPr>
          <w:rFonts w:hint="eastAsia"/>
        </w:rPr>
        <w:t>数据格式</w:t>
      </w:r>
      <w:bookmarkEnd w:id="3218"/>
      <w:bookmarkEnd w:id="3219"/>
    </w:p>
    <w:p w14:paraId="03DAA360" w14:textId="77777777" w:rsidR="00A052DC" w:rsidRDefault="009F0A60">
      <w:pPr>
        <w:ind w:firstLine="284"/>
      </w:pPr>
      <w:r>
        <w:t>&lt;REC&gt;</w:t>
      </w:r>
    </w:p>
    <w:p w14:paraId="75BA5909" w14:textId="77777777" w:rsidR="00A052DC" w:rsidRDefault="009F0A60">
      <w:pPr>
        <w:ind w:firstLine="284"/>
      </w:pPr>
      <w:r>
        <w:t>&lt;ACTIONTYPE&gt;</w:t>
      </w:r>
      <w:r>
        <w:rPr>
          <w:rFonts w:hAnsi="宋体"/>
        </w:rPr>
        <w:t>操作类型</w:t>
      </w:r>
      <w:r>
        <w:t>&lt;/ACTIONTYPE&gt;</w:t>
      </w:r>
    </w:p>
    <w:p w14:paraId="08F6B332" w14:textId="77777777" w:rsidR="00A052DC" w:rsidRDefault="009F0A60">
      <w:pPr>
        <w:ind w:firstLine="284"/>
      </w:pPr>
      <w:r>
        <w:t>&lt;ACTIONDESC&gt;</w:t>
      </w:r>
      <w:r>
        <w:rPr>
          <w:rFonts w:hAnsi="宋体"/>
        </w:rPr>
        <w:t>删除原因</w:t>
      </w:r>
      <w:r>
        <w:t>&lt;/ACTIONDESC&gt;</w:t>
      </w:r>
    </w:p>
    <w:p w14:paraId="7B4541A1" w14:textId="77777777" w:rsidR="00A052DC" w:rsidRDefault="009F0A60">
      <w:pPr>
        <w:ind w:firstLine="284"/>
      </w:pPr>
      <w:r>
        <w:t>&lt;SNOCODE&gt;</w:t>
      </w:r>
      <w:r>
        <w:rPr>
          <w:rFonts w:hAnsi="宋体"/>
        </w:rPr>
        <w:t>数据自编码</w:t>
      </w:r>
      <w:r>
        <w:t>&lt;/SNOCODE&gt;</w:t>
      </w:r>
    </w:p>
    <w:p w14:paraId="2AF3ADBC" w14:textId="77777777" w:rsidR="00A052DC" w:rsidRDefault="009F0A60">
      <w:pPr>
        <w:ind w:firstLine="284"/>
      </w:pPr>
      <w:r>
        <w:t>&lt;OBJCODE&gt;</w:t>
      </w:r>
      <w:r>
        <w:rPr>
          <w:rFonts w:hAnsi="宋体"/>
        </w:rPr>
        <w:t>申报主体代码</w:t>
      </w:r>
      <w:r>
        <w:t>&lt;/OBJCODE&gt;</w:t>
      </w:r>
    </w:p>
    <w:p w14:paraId="615CBCAB" w14:textId="77777777" w:rsidR="00A052DC" w:rsidRDefault="009F0A60">
      <w:pPr>
        <w:ind w:firstLine="284"/>
      </w:pPr>
      <w:r>
        <w:t>&lt;BUOCMONTH&gt;</w:t>
      </w:r>
      <w:r>
        <w:rPr>
          <w:rFonts w:hAnsi="宋体"/>
        </w:rPr>
        <w:t>报告期</w:t>
      </w:r>
      <w:r>
        <w:t>&lt;/BUOCMONTH&gt;</w:t>
      </w:r>
    </w:p>
    <w:p w14:paraId="3DBECEE1" w14:textId="77777777" w:rsidR="00A052DC" w:rsidRDefault="009F0A60">
      <w:pPr>
        <w:ind w:firstLine="284"/>
      </w:pPr>
      <w:r>
        <w:t>&lt;D0201&gt;</w:t>
      </w:r>
      <w:r>
        <w:rPr>
          <w:rFonts w:hAnsi="宋体"/>
        </w:rPr>
        <w:t>是否委托贷款</w:t>
      </w:r>
      <w:r>
        <w:t>&lt;/D0201&gt;</w:t>
      </w:r>
    </w:p>
    <w:p w14:paraId="5C1350A6" w14:textId="77777777" w:rsidR="00A052DC" w:rsidRDefault="009F0A60">
      <w:pPr>
        <w:ind w:firstLine="284"/>
      </w:pPr>
      <w:r>
        <w:t>&lt;D0201TYPE&gt;</w:t>
      </w:r>
      <w:r>
        <w:rPr>
          <w:rFonts w:hAnsi="宋体"/>
        </w:rPr>
        <w:t>贷款类别</w:t>
      </w:r>
      <w:r>
        <w:t>&lt;/D0201TYPE&gt;</w:t>
      </w:r>
    </w:p>
    <w:p w14:paraId="6C09D202" w14:textId="77777777" w:rsidR="00A052DC" w:rsidRDefault="009F0A60">
      <w:pPr>
        <w:ind w:firstLine="284"/>
      </w:pPr>
      <w:r>
        <w:t>&lt;D0202&gt;</w:t>
      </w:r>
      <w:r>
        <w:t>居民</w:t>
      </w:r>
      <w:r>
        <w:rPr>
          <w:rFonts w:hAnsi="宋体"/>
        </w:rPr>
        <w:t>委托人所属部门</w:t>
      </w:r>
      <w:r>
        <w:t>&lt;/D0202&gt;</w:t>
      </w:r>
    </w:p>
    <w:p w14:paraId="4FCA9189" w14:textId="77777777" w:rsidR="00A052DC" w:rsidRDefault="009F0A60">
      <w:pPr>
        <w:ind w:firstLine="284"/>
      </w:pPr>
      <w:r>
        <w:t>&lt;D0203&gt;</w:t>
      </w:r>
      <w:r>
        <w:rPr>
          <w:rFonts w:hAnsi="宋体"/>
        </w:rPr>
        <w:t>对方国家</w:t>
      </w:r>
      <w:r>
        <w:t>/</w:t>
      </w:r>
      <w:r>
        <w:rPr>
          <w:rFonts w:hAnsi="宋体"/>
        </w:rPr>
        <w:t>地区</w:t>
      </w:r>
      <w:r>
        <w:t>&lt;/D0203&gt;</w:t>
      </w:r>
    </w:p>
    <w:p w14:paraId="293E0385" w14:textId="77777777" w:rsidR="00A052DC" w:rsidRDefault="009F0A60">
      <w:pPr>
        <w:ind w:firstLine="284"/>
      </w:pPr>
      <w:r>
        <w:t>&lt;D0204&gt;</w:t>
      </w:r>
      <w:r>
        <w:rPr>
          <w:rFonts w:hAnsi="宋体"/>
        </w:rPr>
        <w:t>对方部门</w:t>
      </w:r>
      <w:r>
        <w:t>&lt;/D0204&gt;</w:t>
      </w:r>
    </w:p>
    <w:p w14:paraId="4B19DB7C" w14:textId="77777777" w:rsidR="00A052DC" w:rsidRDefault="009F0A60">
      <w:pPr>
        <w:ind w:firstLine="284"/>
      </w:pPr>
      <w:r>
        <w:t>&lt;D0205&gt;</w:t>
      </w:r>
      <w:r>
        <w:rPr>
          <w:rFonts w:hAnsi="宋体"/>
        </w:rPr>
        <w:t>对方与本机构</w:t>
      </w:r>
      <w:r>
        <w:t>/</w:t>
      </w:r>
      <w:r>
        <w:rPr>
          <w:rFonts w:hAnsi="宋体"/>
        </w:rPr>
        <w:t>委托人的关系</w:t>
      </w:r>
      <w:r>
        <w:t>&lt;/D0205&gt;</w:t>
      </w:r>
    </w:p>
    <w:p w14:paraId="3A05F98A" w14:textId="77777777" w:rsidR="00A052DC" w:rsidRDefault="009F0A60">
      <w:pPr>
        <w:ind w:firstLine="284"/>
      </w:pPr>
      <w:r>
        <w:t>&lt;D0206&gt;</w:t>
      </w:r>
      <w:r>
        <w:rPr>
          <w:rFonts w:hAnsi="宋体"/>
        </w:rPr>
        <w:t>原始期限</w:t>
      </w:r>
      <w:r>
        <w:t>&lt;/D0206&gt;</w:t>
      </w:r>
    </w:p>
    <w:p w14:paraId="124306A4" w14:textId="77777777" w:rsidR="00A052DC" w:rsidRDefault="009F0A60">
      <w:pPr>
        <w:ind w:firstLine="284"/>
      </w:pPr>
      <w:r>
        <w:t>&lt;D0207&gt;</w:t>
      </w:r>
      <w:r>
        <w:rPr>
          <w:rFonts w:hAnsi="宋体"/>
        </w:rPr>
        <w:t>原始币种</w:t>
      </w:r>
      <w:r>
        <w:t>&lt;/D0207&gt;</w:t>
      </w:r>
    </w:p>
    <w:p w14:paraId="30627D72" w14:textId="77777777" w:rsidR="00A052DC" w:rsidRDefault="009F0A60">
      <w:pPr>
        <w:ind w:firstLine="284"/>
      </w:pPr>
      <w:r>
        <w:t>&lt;D0208&gt;</w:t>
      </w:r>
      <w:r>
        <w:rPr>
          <w:rFonts w:hAnsi="宋体"/>
        </w:rPr>
        <w:t>上月末本金余额</w:t>
      </w:r>
      <w:r>
        <w:t>&lt;/D0208&gt;</w:t>
      </w:r>
    </w:p>
    <w:p w14:paraId="4D735D46" w14:textId="77777777" w:rsidR="00A052DC" w:rsidRDefault="009F0A60">
      <w:pPr>
        <w:ind w:firstLine="284"/>
      </w:pPr>
      <w:r>
        <w:t>&lt;D0209&gt;</w:t>
      </w:r>
      <w:r>
        <w:rPr>
          <w:rFonts w:hAnsi="宋体"/>
        </w:rPr>
        <w:t>上月末应收利息余额</w:t>
      </w:r>
      <w:r>
        <w:t>&lt;/D0209&gt;</w:t>
      </w:r>
    </w:p>
    <w:p w14:paraId="5DCE1E9E" w14:textId="77777777" w:rsidR="00A052DC" w:rsidRDefault="009F0A60">
      <w:pPr>
        <w:ind w:firstLine="284"/>
      </w:pPr>
      <w:r>
        <w:t>&lt;D0210&gt;</w:t>
      </w:r>
      <w:r>
        <w:rPr>
          <w:rFonts w:hAnsi="宋体"/>
        </w:rPr>
        <w:t>本月末本金余额</w:t>
      </w:r>
      <w:r>
        <w:t>&lt;/D0210&gt;</w:t>
      </w:r>
    </w:p>
    <w:p w14:paraId="47798B95" w14:textId="77777777" w:rsidR="00A052DC" w:rsidRDefault="009F0A60">
      <w:pPr>
        <w:ind w:firstLine="284"/>
      </w:pPr>
      <w:r>
        <w:t>&lt;D0211&gt;</w:t>
      </w:r>
      <w:r>
        <w:rPr>
          <w:rFonts w:hAnsi="宋体"/>
        </w:rPr>
        <w:t>本月末本金余额其中：剩余期限在一年及以下</w:t>
      </w:r>
      <w:r>
        <w:t>&lt;/D0211&gt;</w:t>
      </w:r>
    </w:p>
    <w:p w14:paraId="1CECBA75" w14:textId="77777777" w:rsidR="00A052DC" w:rsidRDefault="009F0A60">
      <w:pPr>
        <w:ind w:firstLine="284"/>
      </w:pPr>
      <w:r>
        <w:t>&lt;D0212&gt;</w:t>
      </w:r>
      <w:r>
        <w:rPr>
          <w:rFonts w:hAnsi="宋体"/>
        </w:rPr>
        <w:t>本月末应收利息余额</w:t>
      </w:r>
      <w:r>
        <w:t>&lt;/D0212&gt;</w:t>
      </w:r>
    </w:p>
    <w:p w14:paraId="40B9E07D" w14:textId="77777777" w:rsidR="00A052DC" w:rsidRDefault="009F0A60">
      <w:pPr>
        <w:ind w:firstLine="284"/>
      </w:pPr>
      <w:r>
        <w:t>&lt;D0213&gt;</w:t>
      </w:r>
      <w:r>
        <w:rPr>
          <w:rFonts w:hAnsi="宋体"/>
        </w:rPr>
        <w:t>本月非交易变动</w:t>
      </w:r>
      <w:r>
        <w:t>&lt;/D0213&gt;</w:t>
      </w:r>
    </w:p>
    <w:p w14:paraId="35E5E7EA" w14:textId="77777777" w:rsidR="00A052DC" w:rsidRDefault="009F0A60">
      <w:pPr>
        <w:ind w:firstLine="284"/>
      </w:pPr>
      <w:r>
        <w:t>&lt;D0214&gt;</w:t>
      </w:r>
      <w:r>
        <w:rPr>
          <w:rFonts w:hAnsi="宋体"/>
        </w:rPr>
        <w:t>本月净发生额</w:t>
      </w:r>
      <w:r>
        <w:t>&lt;/D0214&gt;</w:t>
      </w:r>
    </w:p>
    <w:p w14:paraId="4FFEC0F1" w14:textId="77777777" w:rsidR="00A052DC" w:rsidRDefault="009F0A60">
      <w:pPr>
        <w:ind w:firstLine="284"/>
      </w:pPr>
      <w:r>
        <w:t>&lt;D0215&gt;</w:t>
      </w:r>
      <w:r>
        <w:rPr>
          <w:rFonts w:hAnsi="宋体"/>
        </w:rPr>
        <w:t>本月利息收入</w:t>
      </w:r>
      <w:r>
        <w:t>&lt;/D0215&gt;</w:t>
      </w:r>
    </w:p>
    <w:p w14:paraId="7B3CBB95" w14:textId="77777777" w:rsidR="00A052DC" w:rsidRDefault="009F0A60">
      <w:pPr>
        <w:ind w:firstLine="284"/>
      </w:pPr>
      <w:r>
        <w:t>&lt;D0216&gt;</w:t>
      </w:r>
      <w:r>
        <w:rPr>
          <w:rFonts w:hAnsi="宋体"/>
        </w:rPr>
        <w:t>债务人名称</w:t>
      </w:r>
      <w:r>
        <w:t>&lt;/D0216&gt;</w:t>
      </w:r>
    </w:p>
    <w:p w14:paraId="63F541C2" w14:textId="77777777" w:rsidR="00A052DC" w:rsidRDefault="009F0A60">
      <w:pPr>
        <w:ind w:firstLine="284"/>
      </w:pPr>
      <w:r>
        <w:t>&lt;D0217&gt;</w:t>
      </w:r>
      <w:r>
        <w:rPr>
          <w:rFonts w:hAnsi="宋体"/>
        </w:rPr>
        <w:t>签约金额</w:t>
      </w:r>
      <w:r>
        <w:t>&lt;/D0217&gt;</w:t>
      </w:r>
    </w:p>
    <w:p w14:paraId="52E8886A" w14:textId="77777777" w:rsidR="00A052DC" w:rsidRDefault="009F0A60">
      <w:pPr>
        <w:ind w:firstLine="284"/>
      </w:pPr>
      <w:r>
        <w:t>&lt;D0218&gt;</w:t>
      </w:r>
      <w:r>
        <w:rPr>
          <w:rFonts w:hAnsi="宋体"/>
        </w:rPr>
        <w:t>资金用途</w:t>
      </w:r>
      <w:r>
        <w:t>&lt;/D0218&gt;</w:t>
      </w:r>
    </w:p>
    <w:p w14:paraId="3DC63BA6" w14:textId="77777777" w:rsidR="00A052DC" w:rsidRDefault="009F0A60">
      <w:pPr>
        <w:ind w:firstLine="284"/>
      </w:pPr>
      <w:r>
        <w:t>&lt;D0219&gt;</w:t>
      </w:r>
      <w:r>
        <w:rPr>
          <w:rFonts w:hAnsi="宋体"/>
        </w:rPr>
        <w:t>原始放款天数</w:t>
      </w:r>
      <w:r>
        <w:t>&lt;/D0219&gt;</w:t>
      </w:r>
    </w:p>
    <w:p w14:paraId="78EB33C8" w14:textId="77777777" w:rsidR="00A052DC" w:rsidRDefault="009F0A60">
      <w:pPr>
        <w:ind w:firstLine="284"/>
      </w:pPr>
      <w:r>
        <w:t>&lt;D0220&gt;</w:t>
      </w:r>
      <w:r>
        <w:rPr>
          <w:rFonts w:hAnsi="宋体"/>
        </w:rPr>
        <w:t>到期日</w:t>
      </w:r>
      <w:r>
        <w:t>&lt;/D0220&gt;</w:t>
      </w:r>
    </w:p>
    <w:p w14:paraId="722E6FBF" w14:textId="77777777" w:rsidR="00A052DC" w:rsidRDefault="009F0A60">
      <w:pPr>
        <w:ind w:firstLine="284"/>
      </w:pPr>
      <w:r>
        <w:t>&lt;D0221&gt;</w:t>
      </w:r>
      <w:r>
        <w:rPr>
          <w:rFonts w:hint="eastAsia"/>
        </w:rPr>
        <w:t>贷款是否存在担保人</w:t>
      </w:r>
      <w:r>
        <w:t>&lt;/D0221&gt;</w:t>
      </w:r>
    </w:p>
    <w:p w14:paraId="7A81E865" w14:textId="77777777" w:rsidR="00A052DC" w:rsidRDefault="009F0A60">
      <w:pPr>
        <w:ind w:firstLine="284"/>
      </w:pPr>
      <w:r>
        <w:t>&lt;D0222&gt;</w:t>
      </w:r>
      <w:r>
        <w:rPr>
          <w:rFonts w:hint="eastAsia"/>
        </w:rPr>
        <w:t>担保人所属国家</w:t>
      </w:r>
      <w:r>
        <w:t>/</w:t>
      </w:r>
      <w:r>
        <w:rPr>
          <w:rFonts w:hint="eastAsia"/>
        </w:rPr>
        <w:t>地区</w:t>
      </w:r>
      <w:r>
        <w:t>&lt;/D0222&gt;</w:t>
      </w:r>
    </w:p>
    <w:p w14:paraId="64BD6E30" w14:textId="77777777" w:rsidR="00A052DC" w:rsidRDefault="009F0A60">
      <w:pPr>
        <w:ind w:firstLine="284"/>
      </w:pPr>
      <w:r>
        <w:t>&lt;D0223&gt;</w:t>
      </w:r>
      <w:r>
        <w:rPr>
          <w:rFonts w:hint="eastAsia"/>
        </w:rPr>
        <w:t>担保人所属部门</w:t>
      </w:r>
      <w:r>
        <w:t>&lt;/D0223&gt;</w:t>
      </w:r>
    </w:p>
    <w:p w14:paraId="52391F3F" w14:textId="77777777" w:rsidR="00A052DC" w:rsidRDefault="009F0A60">
      <w:pPr>
        <w:ind w:firstLine="284"/>
      </w:pPr>
      <w:r>
        <w:t>&lt;REMARK&gt;</w:t>
      </w:r>
      <w:r>
        <w:rPr>
          <w:rFonts w:hAnsi="宋体"/>
        </w:rPr>
        <w:t>备注</w:t>
      </w:r>
      <w:r>
        <w:t>&lt;/REMARK&gt;</w:t>
      </w:r>
    </w:p>
    <w:p w14:paraId="74709EBB" w14:textId="77777777" w:rsidR="00A052DC" w:rsidRDefault="009F0A60">
      <w:pPr>
        <w:ind w:firstLine="284"/>
      </w:pPr>
      <w:r>
        <w:t>&lt;/REC&gt;</w:t>
      </w:r>
    </w:p>
    <w:p w14:paraId="1F866CE3" w14:textId="77777777" w:rsidR="00A052DC" w:rsidRDefault="009F0A60" w:rsidP="0020251D">
      <w:pPr>
        <w:pStyle w:val="4"/>
        <w:numPr>
          <w:ilvl w:val="3"/>
          <w:numId w:val="1"/>
        </w:numPr>
        <w:jc w:val="left"/>
      </w:pPr>
      <w:bookmarkStart w:id="3220" w:name="_Toc454391304"/>
      <w:bookmarkStart w:id="3221" w:name="_Toc454391305"/>
      <w:bookmarkStart w:id="3222" w:name="_Toc380570958"/>
      <w:bookmarkEnd w:id="3220"/>
      <w:r>
        <w:rPr>
          <w:rFonts w:hint="eastAsia"/>
        </w:rPr>
        <w:t>数据字典</w:t>
      </w:r>
      <w:bookmarkEnd w:id="3221"/>
      <w:bookmarkEnd w:id="3222"/>
    </w:p>
    <w:tbl>
      <w:tblPr>
        <w:tblW w:w="8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1"/>
        <w:gridCol w:w="1984"/>
        <w:gridCol w:w="1418"/>
        <w:gridCol w:w="4149"/>
      </w:tblGrid>
      <w:tr w:rsidR="00A052DC" w14:paraId="05137AD8" w14:textId="77777777">
        <w:trPr>
          <w:tblHeader/>
          <w:jc w:val="center"/>
        </w:trPr>
        <w:tc>
          <w:tcPr>
            <w:tcW w:w="1231" w:type="dxa"/>
            <w:shd w:val="clear" w:color="auto" w:fill="C0C0C0"/>
          </w:tcPr>
          <w:p w14:paraId="030C0B2C" w14:textId="77777777" w:rsidR="00A052DC" w:rsidRDefault="009F0A60">
            <w:pPr>
              <w:pStyle w:val="B1"/>
            </w:pPr>
            <w:r>
              <w:rPr>
                <w:rFonts w:hint="eastAsia"/>
              </w:rPr>
              <w:t>字段</w:t>
            </w:r>
          </w:p>
        </w:tc>
        <w:tc>
          <w:tcPr>
            <w:tcW w:w="1984" w:type="dxa"/>
            <w:shd w:val="clear" w:color="auto" w:fill="C0C0C0"/>
          </w:tcPr>
          <w:p w14:paraId="00154E23" w14:textId="77777777" w:rsidR="00A052DC" w:rsidRDefault="009F0A60">
            <w:pPr>
              <w:pStyle w:val="B1"/>
            </w:pPr>
            <w:r>
              <w:rPr>
                <w:rFonts w:hint="eastAsia"/>
              </w:rPr>
              <w:t>内容</w:t>
            </w:r>
          </w:p>
        </w:tc>
        <w:tc>
          <w:tcPr>
            <w:tcW w:w="1418" w:type="dxa"/>
            <w:shd w:val="clear" w:color="auto" w:fill="C0C0C0"/>
          </w:tcPr>
          <w:p w14:paraId="4C633C34" w14:textId="77777777" w:rsidR="00A052DC" w:rsidRDefault="009F0A60">
            <w:pPr>
              <w:pStyle w:val="B1"/>
            </w:pPr>
            <w:r>
              <w:rPr>
                <w:rFonts w:hint="eastAsia"/>
              </w:rPr>
              <w:t>类型（长度）</w:t>
            </w:r>
          </w:p>
        </w:tc>
        <w:tc>
          <w:tcPr>
            <w:tcW w:w="4149" w:type="dxa"/>
            <w:shd w:val="clear" w:color="auto" w:fill="C0C0C0"/>
          </w:tcPr>
          <w:p w14:paraId="16097D2A" w14:textId="77777777" w:rsidR="00A052DC" w:rsidRDefault="009F0A60">
            <w:pPr>
              <w:pStyle w:val="B1"/>
            </w:pPr>
            <w:r>
              <w:rPr>
                <w:rFonts w:hint="eastAsia"/>
              </w:rPr>
              <w:t>校验</w:t>
            </w:r>
          </w:p>
        </w:tc>
      </w:tr>
      <w:tr w:rsidR="00A052DC" w14:paraId="17AA881C" w14:textId="77777777">
        <w:trPr>
          <w:jc w:val="center"/>
        </w:trPr>
        <w:tc>
          <w:tcPr>
            <w:tcW w:w="1231" w:type="dxa"/>
          </w:tcPr>
          <w:p w14:paraId="575C67FD" w14:textId="77777777" w:rsidR="00A052DC" w:rsidRDefault="009F0A60">
            <w:pPr>
              <w:pStyle w:val="B"/>
              <w:rPr>
                <w:szCs w:val="20"/>
              </w:rPr>
            </w:pPr>
            <w:r>
              <w:rPr>
                <w:szCs w:val="20"/>
              </w:rPr>
              <w:t>ACTIONTYPE</w:t>
            </w:r>
          </w:p>
        </w:tc>
        <w:tc>
          <w:tcPr>
            <w:tcW w:w="1984" w:type="dxa"/>
          </w:tcPr>
          <w:p w14:paraId="0F0E459B" w14:textId="77777777" w:rsidR="00A052DC" w:rsidRDefault="009F0A60">
            <w:pPr>
              <w:pStyle w:val="B"/>
              <w:rPr>
                <w:szCs w:val="20"/>
              </w:rPr>
            </w:pPr>
            <w:r>
              <w:rPr>
                <w:rFonts w:hint="eastAsia"/>
                <w:szCs w:val="20"/>
              </w:rPr>
              <w:t>操作类型</w:t>
            </w:r>
          </w:p>
        </w:tc>
        <w:tc>
          <w:tcPr>
            <w:tcW w:w="1418" w:type="dxa"/>
          </w:tcPr>
          <w:p w14:paraId="319105FB" w14:textId="77777777" w:rsidR="00A052DC" w:rsidRDefault="009F0A60">
            <w:pPr>
              <w:pStyle w:val="B"/>
              <w:rPr>
                <w:szCs w:val="20"/>
              </w:rPr>
            </w:pPr>
            <w:r>
              <w:rPr>
                <w:rFonts w:hint="eastAsia"/>
                <w:szCs w:val="20"/>
              </w:rPr>
              <w:t>字符型，</w:t>
            </w:r>
            <w:r>
              <w:rPr>
                <w:szCs w:val="20"/>
              </w:rPr>
              <w:t>1</w:t>
            </w:r>
          </w:p>
        </w:tc>
        <w:tc>
          <w:tcPr>
            <w:tcW w:w="4149" w:type="dxa"/>
          </w:tcPr>
          <w:p w14:paraId="239F2A47" w14:textId="77777777" w:rsidR="00A052DC" w:rsidRDefault="009F0A60">
            <w:pPr>
              <w:pStyle w:val="B"/>
              <w:rPr>
                <w:szCs w:val="20"/>
              </w:rPr>
            </w:pPr>
            <w:r>
              <w:rPr>
                <w:rFonts w:hint="eastAsia"/>
                <w:szCs w:val="20"/>
              </w:rPr>
              <w:t>必填项</w:t>
            </w:r>
            <w:r w:rsidR="00191DE9">
              <w:rPr>
                <w:rFonts w:hint="eastAsia"/>
                <w:szCs w:val="20"/>
              </w:rPr>
              <w:t>。</w:t>
            </w:r>
          </w:p>
          <w:p w14:paraId="2C25B332" w14:textId="77777777" w:rsidR="00A052DC" w:rsidRDefault="009F0A60">
            <w:pPr>
              <w:pStyle w:val="B"/>
              <w:rPr>
                <w:szCs w:val="20"/>
              </w:rPr>
            </w:pPr>
            <w:r>
              <w:rPr>
                <w:szCs w:val="20"/>
              </w:rPr>
              <w:t>A</w:t>
            </w:r>
            <w:r w:rsidR="00AE4602">
              <w:rPr>
                <w:rFonts w:hint="eastAsia"/>
                <w:szCs w:val="20"/>
              </w:rPr>
              <w:t>-</w:t>
            </w:r>
            <w:r>
              <w:rPr>
                <w:rFonts w:hint="eastAsia"/>
                <w:szCs w:val="20"/>
              </w:rPr>
              <w:t>新建</w:t>
            </w:r>
          </w:p>
          <w:p w14:paraId="3D5850FE" w14:textId="77777777" w:rsidR="00A052DC" w:rsidRDefault="009F0A60">
            <w:pPr>
              <w:pStyle w:val="B"/>
              <w:rPr>
                <w:szCs w:val="20"/>
              </w:rPr>
            </w:pPr>
            <w:r>
              <w:rPr>
                <w:szCs w:val="20"/>
              </w:rPr>
              <w:t>C</w:t>
            </w:r>
            <w:r w:rsidR="00AE4602">
              <w:rPr>
                <w:rFonts w:hint="eastAsia"/>
                <w:szCs w:val="20"/>
              </w:rPr>
              <w:t>-</w:t>
            </w:r>
            <w:r>
              <w:rPr>
                <w:rFonts w:hint="eastAsia"/>
                <w:szCs w:val="20"/>
              </w:rPr>
              <w:t>修改</w:t>
            </w:r>
          </w:p>
          <w:p w14:paraId="0027F339" w14:textId="77777777" w:rsidR="00A052DC" w:rsidRDefault="009F0A60">
            <w:pPr>
              <w:pStyle w:val="B"/>
              <w:rPr>
                <w:szCs w:val="20"/>
              </w:rPr>
            </w:pPr>
            <w:r>
              <w:rPr>
                <w:szCs w:val="20"/>
              </w:rPr>
              <w:t>D</w:t>
            </w:r>
            <w:r w:rsidR="00AE4602">
              <w:rPr>
                <w:rFonts w:hint="eastAsia"/>
                <w:szCs w:val="20"/>
              </w:rPr>
              <w:t>-</w:t>
            </w:r>
            <w:r>
              <w:rPr>
                <w:rFonts w:hint="eastAsia"/>
                <w:szCs w:val="20"/>
              </w:rPr>
              <w:t>删除。</w:t>
            </w:r>
          </w:p>
        </w:tc>
      </w:tr>
      <w:tr w:rsidR="00A052DC" w14:paraId="54F7C1B7" w14:textId="77777777">
        <w:trPr>
          <w:jc w:val="center"/>
        </w:trPr>
        <w:tc>
          <w:tcPr>
            <w:tcW w:w="1231" w:type="dxa"/>
          </w:tcPr>
          <w:p w14:paraId="043448B5" w14:textId="77777777" w:rsidR="00A052DC" w:rsidRDefault="009F0A60">
            <w:pPr>
              <w:pStyle w:val="B"/>
              <w:rPr>
                <w:szCs w:val="20"/>
              </w:rPr>
            </w:pPr>
            <w:r>
              <w:rPr>
                <w:szCs w:val="20"/>
              </w:rPr>
              <w:t>ACTIONDESC</w:t>
            </w:r>
          </w:p>
        </w:tc>
        <w:tc>
          <w:tcPr>
            <w:tcW w:w="1984" w:type="dxa"/>
          </w:tcPr>
          <w:p w14:paraId="64D601E1" w14:textId="77777777" w:rsidR="00A052DC" w:rsidRDefault="009F0A60">
            <w:pPr>
              <w:pStyle w:val="B"/>
              <w:rPr>
                <w:szCs w:val="20"/>
              </w:rPr>
            </w:pPr>
            <w:r>
              <w:rPr>
                <w:rFonts w:hint="eastAsia"/>
                <w:szCs w:val="20"/>
              </w:rPr>
              <w:t>删除原因</w:t>
            </w:r>
          </w:p>
        </w:tc>
        <w:tc>
          <w:tcPr>
            <w:tcW w:w="1418" w:type="dxa"/>
          </w:tcPr>
          <w:p w14:paraId="0112F4A2" w14:textId="77777777" w:rsidR="00A052DC" w:rsidRDefault="009F0A60">
            <w:pPr>
              <w:pStyle w:val="B"/>
              <w:rPr>
                <w:szCs w:val="20"/>
              </w:rPr>
            </w:pPr>
            <w:r>
              <w:rPr>
                <w:rFonts w:hint="eastAsia"/>
                <w:szCs w:val="20"/>
              </w:rPr>
              <w:t>字符型，</w:t>
            </w:r>
            <w:r>
              <w:rPr>
                <w:szCs w:val="20"/>
              </w:rPr>
              <w:t>128</w:t>
            </w:r>
          </w:p>
        </w:tc>
        <w:tc>
          <w:tcPr>
            <w:tcW w:w="4149" w:type="dxa"/>
          </w:tcPr>
          <w:p w14:paraId="4F3F9303" w14:textId="77777777" w:rsidR="00A052DC" w:rsidRDefault="00DD6AA3">
            <w:pPr>
              <w:pStyle w:val="B"/>
              <w:rPr>
                <w:szCs w:val="20"/>
              </w:rPr>
            </w:pPr>
            <w:r>
              <w:rPr>
                <w:rFonts w:hint="eastAsia"/>
                <w:szCs w:val="20"/>
              </w:rPr>
              <w:t>非必填项，当操作类型（ACTIONTYPE）为删除时必填。</w:t>
            </w:r>
          </w:p>
        </w:tc>
      </w:tr>
      <w:tr w:rsidR="00A052DC" w14:paraId="28351E95" w14:textId="77777777">
        <w:trPr>
          <w:jc w:val="center"/>
        </w:trPr>
        <w:tc>
          <w:tcPr>
            <w:tcW w:w="1231" w:type="dxa"/>
          </w:tcPr>
          <w:p w14:paraId="3FCF76CD" w14:textId="77777777" w:rsidR="00A052DC" w:rsidRDefault="009F0A60">
            <w:pPr>
              <w:pStyle w:val="B"/>
              <w:rPr>
                <w:szCs w:val="20"/>
              </w:rPr>
            </w:pPr>
            <w:r>
              <w:rPr>
                <w:szCs w:val="20"/>
              </w:rPr>
              <w:t>SNOCODE</w:t>
            </w:r>
          </w:p>
        </w:tc>
        <w:tc>
          <w:tcPr>
            <w:tcW w:w="1984" w:type="dxa"/>
          </w:tcPr>
          <w:p w14:paraId="150D70D7" w14:textId="77777777" w:rsidR="00A052DC" w:rsidRDefault="009F0A60">
            <w:pPr>
              <w:pStyle w:val="B"/>
              <w:rPr>
                <w:szCs w:val="20"/>
              </w:rPr>
            </w:pPr>
            <w:r>
              <w:rPr>
                <w:rFonts w:hint="eastAsia"/>
                <w:szCs w:val="20"/>
              </w:rPr>
              <w:t>数据自编码</w:t>
            </w:r>
          </w:p>
        </w:tc>
        <w:tc>
          <w:tcPr>
            <w:tcW w:w="1418" w:type="dxa"/>
          </w:tcPr>
          <w:p w14:paraId="3FAE9DD4" w14:textId="77777777" w:rsidR="00A052DC" w:rsidRDefault="009F0A60">
            <w:pPr>
              <w:pStyle w:val="B"/>
              <w:rPr>
                <w:szCs w:val="20"/>
              </w:rPr>
            </w:pPr>
            <w:r>
              <w:rPr>
                <w:rFonts w:hint="eastAsia"/>
                <w:szCs w:val="20"/>
              </w:rPr>
              <w:t>字符型，36</w:t>
            </w:r>
          </w:p>
        </w:tc>
        <w:tc>
          <w:tcPr>
            <w:tcW w:w="4149" w:type="dxa"/>
          </w:tcPr>
          <w:p w14:paraId="28E9B0EC" w14:textId="77777777" w:rsidR="00A052DC" w:rsidRDefault="009F0A60">
            <w:pPr>
              <w:pStyle w:val="B"/>
              <w:rPr>
                <w:szCs w:val="20"/>
              </w:rPr>
            </w:pPr>
            <w:r>
              <w:rPr>
                <w:rFonts w:hint="eastAsia"/>
                <w:szCs w:val="20"/>
              </w:rPr>
              <w:t>必填项。</w:t>
            </w:r>
            <w:r>
              <w:rPr>
                <w:szCs w:val="20"/>
              </w:rPr>
              <w:t>对于接口报送的填报主体，数据自编码中的报送期（6位）应与报告期（YYYYMM）一致。</w:t>
            </w:r>
          </w:p>
        </w:tc>
      </w:tr>
      <w:tr w:rsidR="00A052DC" w14:paraId="689C2F52" w14:textId="77777777">
        <w:trPr>
          <w:jc w:val="center"/>
        </w:trPr>
        <w:tc>
          <w:tcPr>
            <w:tcW w:w="1231" w:type="dxa"/>
          </w:tcPr>
          <w:p w14:paraId="18E31399" w14:textId="77777777" w:rsidR="00A052DC" w:rsidRDefault="009F0A60">
            <w:pPr>
              <w:pStyle w:val="B"/>
              <w:rPr>
                <w:szCs w:val="20"/>
              </w:rPr>
            </w:pPr>
            <w:r>
              <w:rPr>
                <w:szCs w:val="20"/>
              </w:rPr>
              <w:t>OBJCODE</w:t>
            </w:r>
          </w:p>
        </w:tc>
        <w:tc>
          <w:tcPr>
            <w:tcW w:w="1984" w:type="dxa"/>
          </w:tcPr>
          <w:p w14:paraId="5A738369" w14:textId="77777777" w:rsidR="00A052DC" w:rsidRDefault="009F0A60">
            <w:pPr>
              <w:pStyle w:val="B"/>
              <w:rPr>
                <w:szCs w:val="20"/>
              </w:rPr>
            </w:pPr>
            <w:r>
              <w:rPr>
                <w:rFonts w:hint="eastAsia"/>
                <w:szCs w:val="20"/>
              </w:rPr>
              <w:t>申报主体代码</w:t>
            </w:r>
          </w:p>
        </w:tc>
        <w:tc>
          <w:tcPr>
            <w:tcW w:w="1418" w:type="dxa"/>
          </w:tcPr>
          <w:p w14:paraId="1C854124" w14:textId="77777777" w:rsidR="00A052DC" w:rsidRDefault="009F0A60">
            <w:pPr>
              <w:pStyle w:val="B"/>
              <w:rPr>
                <w:szCs w:val="20"/>
              </w:rPr>
            </w:pPr>
            <w:r>
              <w:rPr>
                <w:rFonts w:hint="eastAsia"/>
                <w:szCs w:val="20"/>
              </w:rPr>
              <w:t>字符型，</w:t>
            </w:r>
            <w:r>
              <w:rPr>
                <w:szCs w:val="20"/>
              </w:rPr>
              <w:t>1</w:t>
            </w:r>
            <w:r>
              <w:rPr>
                <w:rFonts w:hint="eastAsia"/>
                <w:szCs w:val="20"/>
              </w:rPr>
              <w:t>8</w:t>
            </w:r>
          </w:p>
        </w:tc>
        <w:tc>
          <w:tcPr>
            <w:tcW w:w="4149" w:type="dxa"/>
          </w:tcPr>
          <w:p w14:paraId="3F20CE6E" w14:textId="77777777" w:rsidR="00A052DC" w:rsidRDefault="009F0A60">
            <w:pPr>
              <w:pStyle w:val="B"/>
              <w:rPr>
                <w:szCs w:val="20"/>
              </w:rPr>
            </w:pPr>
            <w:r>
              <w:rPr>
                <w:rFonts w:hint="eastAsia"/>
                <w:szCs w:val="20"/>
              </w:rPr>
              <w:t>申报主体的12位金融机构标识码，如果没有金融机构标识码，则填报统一社会信用代码法定载体（如营业执照）上统一社会信用代码中的第9至17位或国家外汇管理局及其分支局签发的特殊机构代码赋码通知书上的机构代码、个人身份代码。</w:t>
            </w:r>
          </w:p>
        </w:tc>
      </w:tr>
      <w:tr w:rsidR="00A052DC" w14:paraId="03375666" w14:textId="77777777">
        <w:trPr>
          <w:jc w:val="center"/>
        </w:trPr>
        <w:tc>
          <w:tcPr>
            <w:tcW w:w="1231" w:type="dxa"/>
          </w:tcPr>
          <w:p w14:paraId="4AD04311" w14:textId="77777777" w:rsidR="00A052DC" w:rsidRDefault="009F0A60">
            <w:pPr>
              <w:pStyle w:val="B"/>
              <w:rPr>
                <w:szCs w:val="20"/>
              </w:rPr>
            </w:pPr>
            <w:r>
              <w:rPr>
                <w:szCs w:val="20"/>
              </w:rPr>
              <w:t>BUOCMONTH</w:t>
            </w:r>
          </w:p>
        </w:tc>
        <w:tc>
          <w:tcPr>
            <w:tcW w:w="1984" w:type="dxa"/>
          </w:tcPr>
          <w:p w14:paraId="32A9BAB1" w14:textId="77777777" w:rsidR="00A052DC" w:rsidRDefault="009F0A60">
            <w:pPr>
              <w:pStyle w:val="B"/>
              <w:rPr>
                <w:szCs w:val="20"/>
              </w:rPr>
            </w:pPr>
            <w:r>
              <w:rPr>
                <w:rFonts w:hint="eastAsia"/>
                <w:szCs w:val="20"/>
              </w:rPr>
              <w:t>报告期</w:t>
            </w:r>
          </w:p>
        </w:tc>
        <w:tc>
          <w:tcPr>
            <w:tcW w:w="1418" w:type="dxa"/>
          </w:tcPr>
          <w:p w14:paraId="346BF823" w14:textId="77777777" w:rsidR="00A052DC" w:rsidRDefault="009F0A60">
            <w:pPr>
              <w:pStyle w:val="B"/>
              <w:rPr>
                <w:szCs w:val="20"/>
              </w:rPr>
            </w:pPr>
            <w:r>
              <w:rPr>
                <w:rFonts w:hint="eastAsia"/>
                <w:szCs w:val="20"/>
              </w:rPr>
              <w:t>数值型，</w:t>
            </w:r>
            <w:r>
              <w:rPr>
                <w:szCs w:val="20"/>
              </w:rPr>
              <w:t>6</w:t>
            </w:r>
          </w:p>
        </w:tc>
        <w:tc>
          <w:tcPr>
            <w:tcW w:w="4149" w:type="dxa"/>
          </w:tcPr>
          <w:p w14:paraId="2D1B1668" w14:textId="77777777" w:rsidR="00A052DC" w:rsidRDefault="009F0A60">
            <w:pPr>
              <w:pStyle w:val="B"/>
              <w:rPr>
                <w:szCs w:val="20"/>
              </w:rPr>
            </w:pPr>
            <w:r>
              <w:rPr>
                <w:rFonts w:hint="eastAsia"/>
                <w:szCs w:val="20"/>
              </w:rPr>
              <w:t>必填项，格式为</w:t>
            </w:r>
            <w:r>
              <w:rPr>
                <w:szCs w:val="20"/>
              </w:rPr>
              <w:t>YYYYMM</w:t>
            </w:r>
            <w:r>
              <w:rPr>
                <w:rFonts w:hint="eastAsia"/>
                <w:szCs w:val="20"/>
              </w:rPr>
              <w:t>。</w:t>
            </w:r>
          </w:p>
        </w:tc>
      </w:tr>
      <w:tr w:rsidR="00A052DC" w14:paraId="0CB9FC84" w14:textId="77777777">
        <w:trPr>
          <w:jc w:val="center"/>
        </w:trPr>
        <w:tc>
          <w:tcPr>
            <w:tcW w:w="1231" w:type="dxa"/>
          </w:tcPr>
          <w:p w14:paraId="7CFA2685" w14:textId="77777777" w:rsidR="00A052DC" w:rsidRDefault="009F0A60">
            <w:pPr>
              <w:pStyle w:val="B"/>
              <w:rPr>
                <w:szCs w:val="20"/>
              </w:rPr>
            </w:pPr>
            <w:r>
              <w:rPr>
                <w:szCs w:val="20"/>
              </w:rPr>
              <w:t>D0201</w:t>
            </w:r>
          </w:p>
        </w:tc>
        <w:tc>
          <w:tcPr>
            <w:tcW w:w="1984" w:type="dxa"/>
          </w:tcPr>
          <w:p w14:paraId="23A4C79D" w14:textId="77777777" w:rsidR="00A052DC" w:rsidRDefault="009F0A60">
            <w:pPr>
              <w:pStyle w:val="B"/>
              <w:rPr>
                <w:szCs w:val="20"/>
              </w:rPr>
            </w:pPr>
            <w:r>
              <w:rPr>
                <w:rFonts w:hint="eastAsia"/>
                <w:szCs w:val="20"/>
              </w:rPr>
              <w:t>是否委托贷款</w:t>
            </w:r>
          </w:p>
        </w:tc>
        <w:tc>
          <w:tcPr>
            <w:tcW w:w="1418" w:type="dxa"/>
          </w:tcPr>
          <w:p w14:paraId="038A8FDB" w14:textId="77777777" w:rsidR="00A052DC" w:rsidRDefault="009F0A60">
            <w:pPr>
              <w:pStyle w:val="B"/>
              <w:rPr>
                <w:szCs w:val="20"/>
              </w:rPr>
            </w:pPr>
            <w:r>
              <w:rPr>
                <w:rFonts w:hint="eastAsia"/>
                <w:szCs w:val="20"/>
              </w:rPr>
              <w:t>整数型</w:t>
            </w:r>
          </w:p>
        </w:tc>
        <w:tc>
          <w:tcPr>
            <w:tcW w:w="4149" w:type="dxa"/>
          </w:tcPr>
          <w:p w14:paraId="75BD7269" w14:textId="77777777" w:rsidR="00A052DC" w:rsidRDefault="009F0A60">
            <w:pPr>
              <w:pStyle w:val="B"/>
              <w:rPr>
                <w:szCs w:val="20"/>
              </w:rPr>
            </w:pPr>
            <w:r>
              <w:rPr>
                <w:rFonts w:hint="eastAsia"/>
                <w:szCs w:val="20"/>
              </w:rPr>
              <w:t>必填项，必须</w:t>
            </w:r>
            <w:r>
              <w:rPr>
                <w:szCs w:val="20"/>
              </w:rPr>
              <w:t>2</w:t>
            </w:r>
            <w:r>
              <w:rPr>
                <w:rFonts w:hint="eastAsia"/>
                <w:szCs w:val="20"/>
              </w:rPr>
              <w:t>选</w:t>
            </w:r>
            <w:r>
              <w:rPr>
                <w:szCs w:val="20"/>
              </w:rPr>
              <w:t>1</w:t>
            </w:r>
            <w:r>
              <w:rPr>
                <w:rFonts w:hint="eastAsia"/>
                <w:szCs w:val="20"/>
              </w:rPr>
              <w:t>：</w:t>
            </w:r>
          </w:p>
          <w:p w14:paraId="7FDB2CA3" w14:textId="77777777" w:rsidR="00A052DC" w:rsidRDefault="009F0A60">
            <w:pPr>
              <w:pStyle w:val="B"/>
              <w:rPr>
                <w:szCs w:val="20"/>
              </w:rPr>
            </w:pPr>
            <w:r>
              <w:rPr>
                <w:szCs w:val="20"/>
              </w:rPr>
              <w:t>1-</w:t>
            </w:r>
            <w:r>
              <w:rPr>
                <w:rFonts w:hint="eastAsia"/>
                <w:szCs w:val="20"/>
              </w:rPr>
              <w:t>委托贷款；</w:t>
            </w:r>
          </w:p>
          <w:p w14:paraId="164C6B38" w14:textId="77777777" w:rsidR="00A052DC" w:rsidRDefault="009F0A60">
            <w:pPr>
              <w:pStyle w:val="B"/>
              <w:rPr>
                <w:szCs w:val="20"/>
              </w:rPr>
            </w:pPr>
            <w:r>
              <w:rPr>
                <w:szCs w:val="20"/>
              </w:rPr>
              <w:t>2-</w:t>
            </w:r>
            <w:r>
              <w:rPr>
                <w:rFonts w:hint="eastAsia"/>
                <w:szCs w:val="20"/>
              </w:rPr>
              <w:t>非委托贷款。</w:t>
            </w:r>
          </w:p>
        </w:tc>
      </w:tr>
      <w:tr w:rsidR="00A052DC" w14:paraId="24ED0F41" w14:textId="77777777">
        <w:trPr>
          <w:jc w:val="center"/>
        </w:trPr>
        <w:tc>
          <w:tcPr>
            <w:tcW w:w="1231" w:type="dxa"/>
          </w:tcPr>
          <w:p w14:paraId="56191E22" w14:textId="77777777" w:rsidR="00A052DC" w:rsidRDefault="009F0A60">
            <w:pPr>
              <w:pStyle w:val="B"/>
              <w:rPr>
                <w:szCs w:val="20"/>
              </w:rPr>
            </w:pPr>
            <w:r>
              <w:rPr>
                <w:szCs w:val="20"/>
              </w:rPr>
              <w:t>D0201TYPE</w:t>
            </w:r>
          </w:p>
        </w:tc>
        <w:tc>
          <w:tcPr>
            <w:tcW w:w="1984" w:type="dxa"/>
          </w:tcPr>
          <w:p w14:paraId="1CA5D173" w14:textId="77777777" w:rsidR="00A052DC" w:rsidRDefault="009F0A60">
            <w:pPr>
              <w:pStyle w:val="B"/>
              <w:rPr>
                <w:szCs w:val="20"/>
              </w:rPr>
            </w:pPr>
            <w:r>
              <w:rPr>
                <w:szCs w:val="20"/>
              </w:rPr>
              <w:t>贷款类别</w:t>
            </w:r>
          </w:p>
        </w:tc>
        <w:tc>
          <w:tcPr>
            <w:tcW w:w="1418" w:type="dxa"/>
          </w:tcPr>
          <w:p w14:paraId="2060ED1D" w14:textId="77777777" w:rsidR="00A052DC" w:rsidRDefault="009F0A60">
            <w:pPr>
              <w:pStyle w:val="B"/>
              <w:rPr>
                <w:szCs w:val="20"/>
              </w:rPr>
            </w:pPr>
            <w:r>
              <w:rPr>
                <w:rFonts w:hint="eastAsia"/>
                <w:szCs w:val="20"/>
              </w:rPr>
              <w:t>整数型</w:t>
            </w:r>
          </w:p>
        </w:tc>
        <w:tc>
          <w:tcPr>
            <w:tcW w:w="4149" w:type="dxa"/>
          </w:tcPr>
          <w:p w14:paraId="41753E30" w14:textId="77777777" w:rsidR="00A052DC" w:rsidRDefault="009F0A60">
            <w:pPr>
              <w:pStyle w:val="B"/>
              <w:widowControl w:val="0"/>
              <w:rPr>
                <w:rFonts w:cs="黑体"/>
              </w:rPr>
            </w:pPr>
            <w:r>
              <w:rPr>
                <w:rFonts w:cs="黑体" w:hint="eastAsia"/>
              </w:rPr>
              <w:t>必填项，必须</w:t>
            </w:r>
            <w:r>
              <w:rPr>
                <w:rFonts w:cs="黑体"/>
              </w:rPr>
              <w:t>7</w:t>
            </w:r>
            <w:r>
              <w:rPr>
                <w:rFonts w:cs="黑体" w:hint="eastAsia"/>
              </w:rPr>
              <w:t>选</w:t>
            </w:r>
            <w:r>
              <w:rPr>
                <w:rFonts w:cs="黑体"/>
              </w:rPr>
              <w:t>1</w:t>
            </w:r>
            <w:r>
              <w:rPr>
                <w:rFonts w:cs="黑体" w:hint="eastAsia"/>
              </w:rPr>
              <w:t>：</w:t>
            </w:r>
          </w:p>
          <w:p w14:paraId="49DF8A4F" w14:textId="77777777" w:rsidR="00A052DC" w:rsidRDefault="009F0A60">
            <w:pPr>
              <w:numPr>
                <w:ilvl w:val="0"/>
                <w:numId w:val="16"/>
              </w:numPr>
              <w:rPr>
                <w:rFonts w:ascii="黑体" w:eastAsia="黑体" w:hAnsi="黑体" w:cs="黑体"/>
                <w:color w:val="000000"/>
                <w:sz w:val="20"/>
                <w:szCs w:val="20"/>
              </w:rPr>
            </w:pPr>
            <w:r>
              <w:rPr>
                <w:rFonts w:ascii="黑体" w:eastAsia="黑体" w:hAnsi="黑体" w:cs="黑体" w:hint="eastAsia"/>
                <w:color w:val="000000"/>
                <w:sz w:val="20"/>
                <w:szCs w:val="20"/>
              </w:rPr>
              <w:t>普通贷款；</w:t>
            </w:r>
          </w:p>
          <w:p w14:paraId="1FC9CE7F" w14:textId="77777777" w:rsidR="00A052DC" w:rsidRDefault="009F0A60">
            <w:pPr>
              <w:numPr>
                <w:ilvl w:val="0"/>
                <w:numId w:val="16"/>
              </w:numPr>
              <w:rPr>
                <w:rFonts w:ascii="黑体" w:eastAsia="黑体" w:hAnsi="黑体" w:cs="黑体"/>
                <w:color w:val="000000"/>
                <w:sz w:val="20"/>
                <w:szCs w:val="20"/>
              </w:rPr>
            </w:pPr>
            <w:r>
              <w:rPr>
                <w:rFonts w:ascii="黑体" w:eastAsia="黑体" w:hAnsi="黑体" w:cs="黑体" w:hint="eastAsia"/>
                <w:color w:val="000000"/>
                <w:sz w:val="20"/>
                <w:szCs w:val="20"/>
              </w:rPr>
              <w:t>银行同业拆借；</w:t>
            </w:r>
          </w:p>
          <w:p w14:paraId="1C0390CA" w14:textId="77777777" w:rsidR="00A052DC" w:rsidRDefault="009F0A60">
            <w:pPr>
              <w:numPr>
                <w:ilvl w:val="0"/>
                <w:numId w:val="16"/>
              </w:numPr>
              <w:rPr>
                <w:rFonts w:ascii="黑体" w:eastAsia="黑体" w:hAnsi="黑体" w:cs="黑体"/>
                <w:color w:val="000000"/>
                <w:sz w:val="20"/>
                <w:szCs w:val="20"/>
              </w:rPr>
            </w:pPr>
            <w:r>
              <w:rPr>
                <w:rFonts w:ascii="黑体" w:eastAsia="黑体" w:hAnsi="黑体" w:cs="黑体" w:hint="eastAsia"/>
                <w:color w:val="000000"/>
                <w:sz w:val="20"/>
                <w:szCs w:val="20"/>
              </w:rPr>
              <w:t>联行往来；</w:t>
            </w:r>
          </w:p>
          <w:p w14:paraId="4FD66721" w14:textId="77777777" w:rsidR="00A052DC" w:rsidRDefault="009F0A60">
            <w:pPr>
              <w:numPr>
                <w:ilvl w:val="0"/>
                <w:numId w:val="16"/>
              </w:numPr>
              <w:rPr>
                <w:rFonts w:ascii="黑体" w:eastAsia="黑体" w:hAnsi="黑体" w:cs="黑体"/>
                <w:color w:val="000000"/>
                <w:sz w:val="20"/>
                <w:szCs w:val="20"/>
              </w:rPr>
            </w:pPr>
            <w:r>
              <w:rPr>
                <w:rFonts w:ascii="黑体" w:eastAsia="黑体" w:hAnsi="黑体" w:cs="黑体" w:hint="eastAsia"/>
                <w:color w:val="000000"/>
                <w:sz w:val="20"/>
                <w:szCs w:val="20"/>
              </w:rPr>
              <w:t>透支（含信用卡透支）；</w:t>
            </w:r>
          </w:p>
          <w:p w14:paraId="6F3F3D58" w14:textId="77777777" w:rsidR="00A052DC" w:rsidRDefault="009F0A60">
            <w:pPr>
              <w:numPr>
                <w:ilvl w:val="0"/>
                <w:numId w:val="16"/>
              </w:numPr>
              <w:rPr>
                <w:rFonts w:ascii="黑体" w:eastAsia="黑体" w:hAnsi="黑体" w:cs="黑体"/>
                <w:color w:val="000000"/>
                <w:sz w:val="20"/>
                <w:szCs w:val="20"/>
              </w:rPr>
            </w:pPr>
            <w:r>
              <w:rPr>
                <w:rFonts w:ascii="黑体" w:eastAsia="黑体" w:hAnsi="黑体" w:cs="黑体" w:hint="eastAsia"/>
                <w:color w:val="000000"/>
                <w:sz w:val="20"/>
                <w:szCs w:val="20"/>
              </w:rPr>
              <w:t>融资融券；</w:t>
            </w:r>
          </w:p>
          <w:p w14:paraId="6821496F" w14:textId="77777777" w:rsidR="00A052DC" w:rsidRDefault="009F0A60">
            <w:pPr>
              <w:numPr>
                <w:ilvl w:val="0"/>
                <w:numId w:val="16"/>
              </w:numPr>
              <w:rPr>
                <w:rFonts w:ascii="黑体" w:eastAsia="黑体" w:hAnsi="黑体" w:cs="黑体"/>
                <w:color w:val="000000"/>
                <w:sz w:val="20"/>
                <w:szCs w:val="20"/>
              </w:rPr>
            </w:pPr>
            <w:r>
              <w:rPr>
                <w:rFonts w:ascii="黑体" w:eastAsia="黑体" w:hAnsi="黑体" w:cs="黑体" w:hint="eastAsia"/>
                <w:color w:val="000000"/>
                <w:sz w:val="20"/>
                <w:szCs w:val="20"/>
              </w:rPr>
              <w:t>融资租赁；</w:t>
            </w:r>
          </w:p>
          <w:p w14:paraId="600B19E3" w14:textId="77777777" w:rsidR="00A052DC" w:rsidRDefault="009F0A60">
            <w:pPr>
              <w:pStyle w:val="B"/>
              <w:rPr>
                <w:szCs w:val="20"/>
              </w:rPr>
            </w:pPr>
            <w:r>
              <w:rPr>
                <w:rFonts w:cs="黑体"/>
                <w:color w:val="000000"/>
                <w:szCs w:val="20"/>
              </w:rPr>
              <w:t>9-其他。</w:t>
            </w:r>
          </w:p>
        </w:tc>
      </w:tr>
      <w:tr w:rsidR="00A052DC" w14:paraId="396CD830" w14:textId="77777777">
        <w:trPr>
          <w:jc w:val="center"/>
        </w:trPr>
        <w:tc>
          <w:tcPr>
            <w:tcW w:w="1231" w:type="dxa"/>
          </w:tcPr>
          <w:p w14:paraId="356EF8C5" w14:textId="77777777" w:rsidR="00A052DC" w:rsidRDefault="009F0A60">
            <w:pPr>
              <w:pStyle w:val="B"/>
              <w:rPr>
                <w:szCs w:val="20"/>
              </w:rPr>
            </w:pPr>
            <w:r>
              <w:rPr>
                <w:szCs w:val="20"/>
              </w:rPr>
              <w:t>D0202</w:t>
            </w:r>
          </w:p>
        </w:tc>
        <w:tc>
          <w:tcPr>
            <w:tcW w:w="1984" w:type="dxa"/>
          </w:tcPr>
          <w:p w14:paraId="7D4A7454" w14:textId="77777777" w:rsidR="00A052DC" w:rsidRDefault="009F0A60">
            <w:pPr>
              <w:pStyle w:val="B"/>
              <w:rPr>
                <w:szCs w:val="20"/>
              </w:rPr>
            </w:pPr>
            <w:r>
              <w:rPr>
                <w:rFonts w:hint="eastAsia"/>
                <w:szCs w:val="20"/>
              </w:rPr>
              <w:t>居民委托人所属部门</w:t>
            </w:r>
          </w:p>
        </w:tc>
        <w:tc>
          <w:tcPr>
            <w:tcW w:w="1418" w:type="dxa"/>
          </w:tcPr>
          <w:p w14:paraId="2C5DC7C2" w14:textId="77777777" w:rsidR="00A052DC" w:rsidRDefault="009F0A60">
            <w:pPr>
              <w:pStyle w:val="B"/>
              <w:rPr>
                <w:szCs w:val="20"/>
              </w:rPr>
            </w:pPr>
            <w:r>
              <w:rPr>
                <w:rFonts w:hint="eastAsia"/>
                <w:szCs w:val="20"/>
              </w:rPr>
              <w:t>整数型</w:t>
            </w:r>
          </w:p>
        </w:tc>
        <w:tc>
          <w:tcPr>
            <w:tcW w:w="4149" w:type="dxa"/>
          </w:tcPr>
          <w:p w14:paraId="24C52017" w14:textId="77777777" w:rsidR="00A052DC" w:rsidRDefault="009F0A60">
            <w:pPr>
              <w:pStyle w:val="B"/>
              <w:rPr>
                <w:szCs w:val="20"/>
              </w:rPr>
            </w:pPr>
            <w:r>
              <w:rPr>
                <w:rFonts w:hint="eastAsia"/>
                <w:szCs w:val="20"/>
              </w:rPr>
              <w:t>非必填项。如果</w:t>
            </w:r>
            <w:r>
              <w:rPr>
                <w:szCs w:val="20"/>
              </w:rPr>
              <w:t>D0201=1</w:t>
            </w:r>
            <w:r>
              <w:rPr>
                <w:rFonts w:hint="eastAsia"/>
                <w:szCs w:val="20"/>
              </w:rPr>
              <w:t>，此字段为必填项，必须9选</w:t>
            </w:r>
            <w:r>
              <w:rPr>
                <w:szCs w:val="20"/>
              </w:rPr>
              <w:t>1</w:t>
            </w:r>
            <w:r>
              <w:rPr>
                <w:rFonts w:hint="eastAsia"/>
                <w:szCs w:val="20"/>
              </w:rPr>
              <w:t>，见投资者（被投资者）部门代码表。如果</w:t>
            </w:r>
            <w:r>
              <w:rPr>
                <w:szCs w:val="20"/>
              </w:rPr>
              <w:t>D0201=2</w:t>
            </w:r>
            <w:r>
              <w:rPr>
                <w:rFonts w:hint="eastAsia"/>
                <w:szCs w:val="20"/>
              </w:rPr>
              <w:t>，此字段为空。</w:t>
            </w:r>
          </w:p>
        </w:tc>
      </w:tr>
      <w:tr w:rsidR="00A052DC" w14:paraId="3DFB8F46" w14:textId="77777777">
        <w:trPr>
          <w:jc w:val="center"/>
        </w:trPr>
        <w:tc>
          <w:tcPr>
            <w:tcW w:w="1231" w:type="dxa"/>
          </w:tcPr>
          <w:p w14:paraId="1FAE8E5E" w14:textId="77777777" w:rsidR="00A052DC" w:rsidRDefault="009F0A60">
            <w:pPr>
              <w:pStyle w:val="B"/>
              <w:rPr>
                <w:szCs w:val="20"/>
              </w:rPr>
            </w:pPr>
            <w:r>
              <w:rPr>
                <w:szCs w:val="20"/>
              </w:rPr>
              <w:t>D0203</w:t>
            </w:r>
          </w:p>
        </w:tc>
        <w:tc>
          <w:tcPr>
            <w:tcW w:w="1984" w:type="dxa"/>
          </w:tcPr>
          <w:p w14:paraId="06987954" w14:textId="77777777" w:rsidR="00A052DC" w:rsidRDefault="009F0A60">
            <w:pPr>
              <w:pStyle w:val="B"/>
              <w:rPr>
                <w:szCs w:val="20"/>
              </w:rPr>
            </w:pPr>
            <w:r>
              <w:rPr>
                <w:rFonts w:hint="eastAsia"/>
                <w:szCs w:val="20"/>
              </w:rPr>
              <w:t>对方国家</w:t>
            </w:r>
            <w:r>
              <w:rPr>
                <w:szCs w:val="20"/>
              </w:rPr>
              <w:t>/</w:t>
            </w:r>
            <w:r>
              <w:rPr>
                <w:rFonts w:hint="eastAsia"/>
                <w:szCs w:val="20"/>
              </w:rPr>
              <w:t>地区</w:t>
            </w:r>
          </w:p>
        </w:tc>
        <w:tc>
          <w:tcPr>
            <w:tcW w:w="1418" w:type="dxa"/>
          </w:tcPr>
          <w:p w14:paraId="22734271" w14:textId="77777777" w:rsidR="00A052DC" w:rsidRDefault="009F0A60">
            <w:pPr>
              <w:pStyle w:val="B"/>
              <w:rPr>
                <w:szCs w:val="20"/>
              </w:rPr>
            </w:pPr>
            <w:r>
              <w:rPr>
                <w:rFonts w:hint="eastAsia"/>
                <w:szCs w:val="20"/>
              </w:rPr>
              <w:t>字符型，</w:t>
            </w:r>
            <w:r>
              <w:rPr>
                <w:szCs w:val="20"/>
              </w:rPr>
              <w:t>3</w:t>
            </w:r>
          </w:p>
        </w:tc>
        <w:tc>
          <w:tcPr>
            <w:tcW w:w="4149" w:type="dxa"/>
          </w:tcPr>
          <w:p w14:paraId="3AC8A1FF" w14:textId="77777777" w:rsidR="00A052DC" w:rsidRDefault="009F0A60">
            <w:pPr>
              <w:pStyle w:val="B"/>
              <w:rPr>
                <w:szCs w:val="20"/>
              </w:rPr>
            </w:pPr>
            <w:r>
              <w:rPr>
                <w:rFonts w:hint="eastAsia"/>
                <w:szCs w:val="20"/>
              </w:rPr>
              <w:t>必填项，见国家和地区代码表的</w:t>
            </w:r>
            <w:r>
              <w:rPr>
                <w:szCs w:val="20"/>
              </w:rPr>
              <w:t>3</w:t>
            </w:r>
            <w:r>
              <w:rPr>
                <w:rFonts w:hint="eastAsia"/>
                <w:szCs w:val="20"/>
              </w:rPr>
              <w:t>位字母代码，必须≠</w:t>
            </w:r>
            <w:r>
              <w:rPr>
                <w:szCs w:val="20"/>
              </w:rPr>
              <w:t>CHN</w:t>
            </w:r>
            <w:r>
              <w:rPr>
                <w:rFonts w:hint="eastAsia"/>
                <w:szCs w:val="20"/>
              </w:rPr>
              <w:t>或N/A。</w:t>
            </w:r>
          </w:p>
        </w:tc>
      </w:tr>
      <w:tr w:rsidR="00A052DC" w14:paraId="55EF1677" w14:textId="77777777">
        <w:trPr>
          <w:jc w:val="center"/>
        </w:trPr>
        <w:tc>
          <w:tcPr>
            <w:tcW w:w="1231" w:type="dxa"/>
          </w:tcPr>
          <w:p w14:paraId="76B44FE3" w14:textId="77777777" w:rsidR="00A052DC" w:rsidRDefault="009F0A60">
            <w:pPr>
              <w:pStyle w:val="B"/>
              <w:rPr>
                <w:szCs w:val="20"/>
              </w:rPr>
            </w:pPr>
            <w:r>
              <w:rPr>
                <w:szCs w:val="20"/>
              </w:rPr>
              <w:t>D0204</w:t>
            </w:r>
          </w:p>
        </w:tc>
        <w:tc>
          <w:tcPr>
            <w:tcW w:w="1984" w:type="dxa"/>
          </w:tcPr>
          <w:p w14:paraId="7E69A109" w14:textId="77777777" w:rsidR="00A052DC" w:rsidRDefault="009F0A60">
            <w:pPr>
              <w:pStyle w:val="B"/>
              <w:rPr>
                <w:szCs w:val="20"/>
              </w:rPr>
            </w:pPr>
            <w:r>
              <w:rPr>
                <w:rFonts w:hint="eastAsia"/>
                <w:szCs w:val="20"/>
              </w:rPr>
              <w:t>对方部门</w:t>
            </w:r>
          </w:p>
        </w:tc>
        <w:tc>
          <w:tcPr>
            <w:tcW w:w="1418" w:type="dxa"/>
          </w:tcPr>
          <w:p w14:paraId="3553D3ED" w14:textId="77777777" w:rsidR="00A052DC" w:rsidRDefault="009F0A60">
            <w:pPr>
              <w:pStyle w:val="B"/>
              <w:rPr>
                <w:szCs w:val="20"/>
              </w:rPr>
            </w:pPr>
            <w:r>
              <w:rPr>
                <w:rFonts w:hint="eastAsia"/>
                <w:szCs w:val="20"/>
              </w:rPr>
              <w:t>整数型</w:t>
            </w:r>
          </w:p>
        </w:tc>
        <w:tc>
          <w:tcPr>
            <w:tcW w:w="4149" w:type="dxa"/>
          </w:tcPr>
          <w:p w14:paraId="6BF5F619" w14:textId="77777777" w:rsidR="00A052DC" w:rsidRDefault="009F0A60">
            <w:pPr>
              <w:pStyle w:val="B"/>
              <w:rPr>
                <w:szCs w:val="20"/>
              </w:rPr>
            </w:pPr>
            <w:r>
              <w:rPr>
                <w:rFonts w:hint="eastAsia"/>
                <w:szCs w:val="20"/>
              </w:rPr>
              <w:t>必填项，必须9选</w:t>
            </w:r>
            <w:r>
              <w:rPr>
                <w:szCs w:val="20"/>
              </w:rPr>
              <w:t>1</w:t>
            </w:r>
            <w:r>
              <w:rPr>
                <w:rFonts w:hint="eastAsia"/>
                <w:szCs w:val="20"/>
              </w:rPr>
              <w:t>。见投资者（被投资者）部门代码表。当对方部门=5非金融企业时，以下各项目均为单笔贷款信息，不可合并报送。</w:t>
            </w:r>
          </w:p>
        </w:tc>
      </w:tr>
      <w:tr w:rsidR="00A052DC" w14:paraId="397FE51A" w14:textId="77777777">
        <w:trPr>
          <w:jc w:val="center"/>
        </w:trPr>
        <w:tc>
          <w:tcPr>
            <w:tcW w:w="1231" w:type="dxa"/>
          </w:tcPr>
          <w:p w14:paraId="503DB6F6" w14:textId="77777777" w:rsidR="00A052DC" w:rsidRDefault="009F0A60">
            <w:pPr>
              <w:pStyle w:val="B"/>
              <w:rPr>
                <w:szCs w:val="20"/>
              </w:rPr>
            </w:pPr>
            <w:r>
              <w:rPr>
                <w:szCs w:val="20"/>
              </w:rPr>
              <w:t>D0205</w:t>
            </w:r>
          </w:p>
        </w:tc>
        <w:tc>
          <w:tcPr>
            <w:tcW w:w="1984" w:type="dxa"/>
          </w:tcPr>
          <w:p w14:paraId="6AA0CC23" w14:textId="77777777" w:rsidR="00A052DC" w:rsidRDefault="009F0A60">
            <w:pPr>
              <w:pStyle w:val="B"/>
              <w:rPr>
                <w:szCs w:val="20"/>
              </w:rPr>
            </w:pPr>
            <w:r>
              <w:rPr>
                <w:rFonts w:hint="eastAsia"/>
                <w:szCs w:val="20"/>
              </w:rPr>
              <w:t>对方与本机构</w:t>
            </w:r>
            <w:r>
              <w:rPr>
                <w:szCs w:val="20"/>
              </w:rPr>
              <w:t>/</w:t>
            </w:r>
            <w:r>
              <w:rPr>
                <w:rFonts w:hint="eastAsia"/>
                <w:szCs w:val="20"/>
              </w:rPr>
              <w:t>委托人的关系</w:t>
            </w:r>
          </w:p>
        </w:tc>
        <w:tc>
          <w:tcPr>
            <w:tcW w:w="1418" w:type="dxa"/>
          </w:tcPr>
          <w:p w14:paraId="35C45393" w14:textId="77777777" w:rsidR="00A052DC" w:rsidRDefault="009F0A60">
            <w:pPr>
              <w:pStyle w:val="B"/>
              <w:rPr>
                <w:szCs w:val="20"/>
              </w:rPr>
            </w:pPr>
            <w:r>
              <w:rPr>
                <w:rFonts w:hint="eastAsia"/>
                <w:szCs w:val="20"/>
              </w:rPr>
              <w:t>整数型</w:t>
            </w:r>
          </w:p>
        </w:tc>
        <w:tc>
          <w:tcPr>
            <w:tcW w:w="4149" w:type="dxa"/>
          </w:tcPr>
          <w:p w14:paraId="47C707B7" w14:textId="77777777" w:rsidR="00A052DC" w:rsidRDefault="009F0A60">
            <w:pPr>
              <w:pStyle w:val="B"/>
              <w:rPr>
                <w:szCs w:val="20"/>
              </w:rPr>
            </w:pPr>
            <w:r>
              <w:rPr>
                <w:rFonts w:hint="eastAsia"/>
                <w:szCs w:val="20"/>
              </w:rPr>
              <w:t>必填项，必须</w:t>
            </w:r>
            <w:r>
              <w:rPr>
                <w:szCs w:val="20"/>
              </w:rPr>
              <w:t>4</w:t>
            </w:r>
            <w:r>
              <w:rPr>
                <w:rFonts w:hint="eastAsia"/>
                <w:szCs w:val="20"/>
              </w:rPr>
              <w:t>选</w:t>
            </w:r>
            <w:r>
              <w:rPr>
                <w:szCs w:val="20"/>
              </w:rPr>
              <w:t>1</w:t>
            </w:r>
            <w:r>
              <w:rPr>
                <w:rFonts w:hint="eastAsia"/>
                <w:szCs w:val="20"/>
              </w:rPr>
              <w:t>。见对方与本机构</w:t>
            </w:r>
            <w:r>
              <w:rPr>
                <w:szCs w:val="20"/>
              </w:rPr>
              <w:t>/</w:t>
            </w:r>
            <w:r>
              <w:rPr>
                <w:rFonts w:hint="eastAsia"/>
                <w:szCs w:val="20"/>
              </w:rPr>
              <w:t>被代理居民机构</w:t>
            </w:r>
            <w:r>
              <w:rPr>
                <w:szCs w:val="20"/>
              </w:rPr>
              <w:t>/</w:t>
            </w:r>
            <w:r>
              <w:rPr>
                <w:rFonts w:hint="eastAsia"/>
                <w:szCs w:val="20"/>
              </w:rPr>
              <w:t>委托人的关系代码表。</w:t>
            </w:r>
          </w:p>
        </w:tc>
      </w:tr>
      <w:tr w:rsidR="00A052DC" w14:paraId="3CCFD234" w14:textId="77777777">
        <w:trPr>
          <w:jc w:val="center"/>
        </w:trPr>
        <w:tc>
          <w:tcPr>
            <w:tcW w:w="1231" w:type="dxa"/>
          </w:tcPr>
          <w:p w14:paraId="7A84E651" w14:textId="77777777" w:rsidR="00A052DC" w:rsidRDefault="009F0A60">
            <w:pPr>
              <w:pStyle w:val="B"/>
              <w:rPr>
                <w:szCs w:val="20"/>
              </w:rPr>
            </w:pPr>
            <w:r>
              <w:rPr>
                <w:szCs w:val="20"/>
              </w:rPr>
              <w:t>D0206</w:t>
            </w:r>
          </w:p>
        </w:tc>
        <w:tc>
          <w:tcPr>
            <w:tcW w:w="1984" w:type="dxa"/>
          </w:tcPr>
          <w:p w14:paraId="5784A364" w14:textId="77777777" w:rsidR="00A052DC" w:rsidRDefault="009F0A60">
            <w:pPr>
              <w:pStyle w:val="B"/>
              <w:rPr>
                <w:szCs w:val="20"/>
              </w:rPr>
            </w:pPr>
            <w:r>
              <w:rPr>
                <w:rFonts w:hint="eastAsia"/>
                <w:szCs w:val="20"/>
              </w:rPr>
              <w:t>原始期限</w:t>
            </w:r>
          </w:p>
        </w:tc>
        <w:tc>
          <w:tcPr>
            <w:tcW w:w="1418" w:type="dxa"/>
          </w:tcPr>
          <w:p w14:paraId="167D17CF" w14:textId="77777777" w:rsidR="00A052DC" w:rsidRDefault="009F0A60">
            <w:pPr>
              <w:pStyle w:val="B"/>
              <w:rPr>
                <w:szCs w:val="20"/>
              </w:rPr>
            </w:pPr>
            <w:r>
              <w:rPr>
                <w:rFonts w:hint="eastAsia"/>
                <w:szCs w:val="20"/>
              </w:rPr>
              <w:t>整数型</w:t>
            </w:r>
          </w:p>
        </w:tc>
        <w:tc>
          <w:tcPr>
            <w:tcW w:w="4149" w:type="dxa"/>
          </w:tcPr>
          <w:p w14:paraId="580729ED" w14:textId="77777777" w:rsidR="00A052DC" w:rsidRDefault="009F0A60">
            <w:pPr>
              <w:pStyle w:val="B"/>
              <w:rPr>
                <w:szCs w:val="20"/>
              </w:rPr>
            </w:pPr>
            <w:r>
              <w:rPr>
                <w:rFonts w:hint="eastAsia"/>
                <w:szCs w:val="20"/>
              </w:rPr>
              <w:t>必填项，必须</w:t>
            </w:r>
            <w:r>
              <w:rPr>
                <w:szCs w:val="20"/>
              </w:rPr>
              <w:t>2</w:t>
            </w:r>
            <w:r>
              <w:rPr>
                <w:rFonts w:hint="eastAsia"/>
                <w:szCs w:val="20"/>
              </w:rPr>
              <w:t>选</w:t>
            </w:r>
            <w:r>
              <w:rPr>
                <w:szCs w:val="20"/>
              </w:rPr>
              <w:t>1</w:t>
            </w:r>
            <w:r>
              <w:rPr>
                <w:rFonts w:hint="eastAsia"/>
                <w:szCs w:val="20"/>
              </w:rPr>
              <w:t>。</w:t>
            </w:r>
          </w:p>
          <w:p w14:paraId="25E05F1D" w14:textId="77777777" w:rsidR="00A052DC" w:rsidRDefault="009F0A60">
            <w:pPr>
              <w:pStyle w:val="B"/>
              <w:rPr>
                <w:szCs w:val="20"/>
              </w:rPr>
            </w:pPr>
            <w:r>
              <w:rPr>
                <w:szCs w:val="20"/>
              </w:rPr>
              <w:t>1-</w:t>
            </w:r>
            <w:r>
              <w:rPr>
                <w:rFonts w:hint="eastAsia"/>
                <w:szCs w:val="20"/>
              </w:rPr>
              <w:t>一年及以下，含不定期；</w:t>
            </w:r>
          </w:p>
          <w:p w14:paraId="2BAD923C" w14:textId="77777777" w:rsidR="00A052DC" w:rsidRDefault="009F0A60">
            <w:pPr>
              <w:pStyle w:val="B"/>
              <w:rPr>
                <w:szCs w:val="20"/>
              </w:rPr>
            </w:pPr>
            <w:r>
              <w:rPr>
                <w:szCs w:val="20"/>
              </w:rPr>
              <w:t>2-</w:t>
            </w:r>
            <w:r>
              <w:rPr>
                <w:rFonts w:hint="eastAsia"/>
                <w:szCs w:val="20"/>
              </w:rPr>
              <w:t>一年以上。</w:t>
            </w:r>
          </w:p>
        </w:tc>
      </w:tr>
      <w:tr w:rsidR="00A052DC" w14:paraId="5103B62E" w14:textId="77777777">
        <w:trPr>
          <w:jc w:val="center"/>
        </w:trPr>
        <w:tc>
          <w:tcPr>
            <w:tcW w:w="1231" w:type="dxa"/>
          </w:tcPr>
          <w:p w14:paraId="0BBFD688" w14:textId="77777777" w:rsidR="00A052DC" w:rsidRDefault="009F0A60">
            <w:pPr>
              <w:pStyle w:val="B"/>
              <w:rPr>
                <w:szCs w:val="20"/>
              </w:rPr>
            </w:pPr>
            <w:r>
              <w:rPr>
                <w:szCs w:val="20"/>
              </w:rPr>
              <w:t>D0207</w:t>
            </w:r>
          </w:p>
        </w:tc>
        <w:tc>
          <w:tcPr>
            <w:tcW w:w="1984" w:type="dxa"/>
          </w:tcPr>
          <w:p w14:paraId="5995D760" w14:textId="77777777" w:rsidR="00A052DC" w:rsidRDefault="009F0A60">
            <w:pPr>
              <w:pStyle w:val="B"/>
              <w:rPr>
                <w:szCs w:val="20"/>
              </w:rPr>
            </w:pPr>
            <w:r>
              <w:rPr>
                <w:rFonts w:hint="eastAsia"/>
                <w:szCs w:val="20"/>
              </w:rPr>
              <w:t>原始币种</w:t>
            </w:r>
          </w:p>
        </w:tc>
        <w:tc>
          <w:tcPr>
            <w:tcW w:w="1418" w:type="dxa"/>
          </w:tcPr>
          <w:p w14:paraId="64747203" w14:textId="77777777" w:rsidR="00A052DC" w:rsidRDefault="009F0A60">
            <w:pPr>
              <w:pStyle w:val="B"/>
              <w:rPr>
                <w:szCs w:val="20"/>
              </w:rPr>
            </w:pPr>
            <w:r>
              <w:rPr>
                <w:rFonts w:hint="eastAsia"/>
                <w:szCs w:val="20"/>
              </w:rPr>
              <w:t>字符型，</w:t>
            </w:r>
            <w:r>
              <w:rPr>
                <w:szCs w:val="20"/>
              </w:rPr>
              <w:t>3</w:t>
            </w:r>
          </w:p>
        </w:tc>
        <w:tc>
          <w:tcPr>
            <w:tcW w:w="4149" w:type="dxa"/>
          </w:tcPr>
          <w:p w14:paraId="6246CBC2" w14:textId="77777777" w:rsidR="00A052DC" w:rsidRDefault="009F0A60">
            <w:pPr>
              <w:pStyle w:val="B"/>
              <w:rPr>
                <w:szCs w:val="20"/>
              </w:rPr>
            </w:pPr>
            <w:r>
              <w:rPr>
                <w:rFonts w:hint="eastAsia"/>
                <w:szCs w:val="20"/>
              </w:rPr>
              <w:t>必填项。见币种代码表。</w:t>
            </w:r>
          </w:p>
        </w:tc>
      </w:tr>
      <w:tr w:rsidR="00A052DC" w14:paraId="138AF06E" w14:textId="77777777">
        <w:trPr>
          <w:jc w:val="center"/>
        </w:trPr>
        <w:tc>
          <w:tcPr>
            <w:tcW w:w="1231" w:type="dxa"/>
          </w:tcPr>
          <w:p w14:paraId="1670E159" w14:textId="77777777" w:rsidR="00A052DC" w:rsidRDefault="009F0A60">
            <w:pPr>
              <w:pStyle w:val="B"/>
              <w:rPr>
                <w:szCs w:val="20"/>
              </w:rPr>
            </w:pPr>
            <w:r>
              <w:rPr>
                <w:szCs w:val="20"/>
              </w:rPr>
              <w:t>D0208</w:t>
            </w:r>
          </w:p>
        </w:tc>
        <w:tc>
          <w:tcPr>
            <w:tcW w:w="1984" w:type="dxa"/>
          </w:tcPr>
          <w:p w14:paraId="0381D69F" w14:textId="77777777" w:rsidR="00A052DC" w:rsidRDefault="009F0A60">
            <w:pPr>
              <w:pStyle w:val="B"/>
              <w:rPr>
                <w:szCs w:val="20"/>
              </w:rPr>
            </w:pPr>
            <w:r>
              <w:rPr>
                <w:rFonts w:hint="eastAsia"/>
                <w:szCs w:val="20"/>
              </w:rPr>
              <w:t>上月末本金余额</w:t>
            </w:r>
          </w:p>
        </w:tc>
        <w:tc>
          <w:tcPr>
            <w:tcW w:w="1418" w:type="dxa"/>
          </w:tcPr>
          <w:p w14:paraId="27134996" w14:textId="77777777" w:rsidR="00A052DC" w:rsidRDefault="009F0A60">
            <w:pPr>
              <w:pStyle w:val="B"/>
              <w:rPr>
                <w:szCs w:val="20"/>
              </w:rPr>
            </w:pPr>
            <w:r>
              <w:rPr>
                <w:rFonts w:hint="eastAsia"/>
                <w:szCs w:val="20"/>
              </w:rPr>
              <w:t>数值型，</w:t>
            </w:r>
            <w:r>
              <w:rPr>
                <w:szCs w:val="20"/>
              </w:rPr>
              <w:t>22.2</w:t>
            </w:r>
          </w:p>
        </w:tc>
        <w:tc>
          <w:tcPr>
            <w:tcW w:w="4149" w:type="dxa"/>
          </w:tcPr>
          <w:p w14:paraId="29FABF55" w14:textId="77777777" w:rsidR="00A052DC" w:rsidRDefault="009F0A60">
            <w:pPr>
              <w:pStyle w:val="B"/>
              <w:rPr>
                <w:szCs w:val="20"/>
              </w:rPr>
            </w:pPr>
            <w:r>
              <w:rPr>
                <w:rFonts w:hint="eastAsia"/>
                <w:szCs w:val="20"/>
              </w:rPr>
              <w:t>必填项，必须≥</w:t>
            </w:r>
            <w:r>
              <w:rPr>
                <w:szCs w:val="20"/>
              </w:rPr>
              <w:t>0</w:t>
            </w:r>
            <w:r>
              <w:rPr>
                <w:rFonts w:hint="eastAsia"/>
                <w:szCs w:val="20"/>
              </w:rPr>
              <w:t>。</w:t>
            </w:r>
          </w:p>
        </w:tc>
      </w:tr>
      <w:tr w:rsidR="00A052DC" w14:paraId="65EFDBF3" w14:textId="77777777">
        <w:trPr>
          <w:jc w:val="center"/>
        </w:trPr>
        <w:tc>
          <w:tcPr>
            <w:tcW w:w="1231" w:type="dxa"/>
          </w:tcPr>
          <w:p w14:paraId="5436698D" w14:textId="77777777" w:rsidR="00A052DC" w:rsidRDefault="009F0A60">
            <w:pPr>
              <w:pStyle w:val="B"/>
              <w:rPr>
                <w:szCs w:val="20"/>
              </w:rPr>
            </w:pPr>
            <w:r>
              <w:rPr>
                <w:szCs w:val="20"/>
              </w:rPr>
              <w:t>D0209</w:t>
            </w:r>
          </w:p>
        </w:tc>
        <w:tc>
          <w:tcPr>
            <w:tcW w:w="1984" w:type="dxa"/>
          </w:tcPr>
          <w:p w14:paraId="467C2BE6" w14:textId="77777777" w:rsidR="00A052DC" w:rsidRDefault="009F0A60">
            <w:pPr>
              <w:pStyle w:val="B"/>
              <w:rPr>
                <w:szCs w:val="20"/>
              </w:rPr>
            </w:pPr>
            <w:r>
              <w:rPr>
                <w:rFonts w:hint="eastAsia"/>
                <w:szCs w:val="20"/>
              </w:rPr>
              <w:t>上月末应收利息余额</w:t>
            </w:r>
          </w:p>
        </w:tc>
        <w:tc>
          <w:tcPr>
            <w:tcW w:w="1418" w:type="dxa"/>
          </w:tcPr>
          <w:p w14:paraId="24AD030E" w14:textId="77777777" w:rsidR="00A052DC" w:rsidRDefault="009F0A60">
            <w:pPr>
              <w:pStyle w:val="B"/>
              <w:rPr>
                <w:szCs w:val="20"/>
              </w:rPr>
            </w:pPr>
            <w:r>
              <w:rPr>
                <w:rFonts w:hint="eastAsia"/>
                <w:szCs w:val="20"/>
              </w:rPr>
              <w:t>数值型，</w:t>
            </w:r>
            <w:r>
              <w:rPr>
                <w:szCs w:val="20"/>
              </w:rPr>
              <w:t>22.2</w:t>
            </w:r>
          </w:p>
        </w:tc>
        <w:tc>
          <w:tcPr>
            <w:tcW w:w="4149" w:type="dxa"/>
          </w:tcPr>
          <w:p w14:paraId="1C5AE42A" w14:textId="77777777" w:rsidR="00A052DC" w:rsidRDefault="009F0A60">
            <w:pPr>
              <w:pStyle w:val="B"/>
              <w:rPr>
                <w:szCs w:val="20"/>
              </w:rPr>
            </w:pPr>
            <w:r>
              <w:rPr>
                <w:rFonts w:hint="eastAsia"/>
                <w:szCs w:val="20"/>
              </w:rPr>
              <w:t>必填项。</w:t>
            </w:r>
          </w:p>
        </w:tc>
      </w:tr>
      <w:tr w:rsidR="00A052DC" w14:paraId="1C0E428C" w14:textId="77777777">
        <w:trPr>
          <w:jc w:val="center"/>
        </w:trPr>
        <w:tc>
          <w:tcPr>
            <w:tcW w:w="1231" w:type="dxa"/>
          </w:tcPr>
          <w:p w14:paraId="3DD5D810" w14:textId="77777777" w:rsidR="00A052DC" w:rsidRDefault="009F0A60">
            <w:pPr>
              <w:pStyle w:val="B"/>
              <w:rPr>
                <w:szCs w:val="20"/>
              </w:rPr>
            </w:pPr>
            <w:r>
              <w:rPr>
                <w:szCs w:val="20"/>
              </w:rPr>
              <w:t>D0210</w:t>
            </w:r>
          </w:p>
        </w:tc>
        <w:tc>
          <w:tcPr>
            <w:tcW w:w="1984" w:type="dxa"/>
          </w:tcPr>
          <w:p w14:paraId="4FCEAF09" w14:textId="77777777" w:rsidR="00A052DC" w:rsidRDefault="009F0A60">
            <w:pPr>
              <w:pStyle w:val="B"/>
              <w:rPr>
                <w:szCs w:val="20"/>
              </w:rPr>
            </w:pPr>
            <w:r>
              <w:rPr>
                <w:rFonts w:hint="eastAsia"/>
                <w:szCs w:val="20"/>
              </w:rPr>
              <w:t>本月末本金余额</w:t>
            </w:r>
          </w:p>
        </w:tc>
        <w:tc>
          <w:tcPr>
            <w:tcW w:w="1418" w:type="dxa"/>
          </w:tcPr>
          <w:p w14:paraId="471DC236" w14:textId="77777777" w:rsidR="00A052DC" w:rsidRDefault="009F0A60">
            <w:pPr>
              <w:pStyle w:val="B"/>
              <w:rPr>
                <w:szCs w:val="20"/>
              </w:rPr>
            </w:pPr>
            <w:r>
              <w:rPr>
                <w:rFonts w:hint="eastAsia"/>
                <w:szCs w:val="20"/>
              </w:rPr>
              <w:t>数值型，</w:t>
            </w:r>
            <w:r>
              <w:rPr>
                <w:szCs w:val="20"/>
              </w:rPr>
              <w:t>22.2</w:t>
            </w:r>
          </w:p>
        </w:tc>
        <w:tc>
          <w:tcPr>
            <w:tcW w:w="4149" w:type="dxa"/>
          </w:tcPr>
          <w:p w14:paraId="5BB07891" w14:textId="77777777" w:rsidR="00A052DC" w:rsidRDefault="009F0A60">
            <w:pPr>
              <w:pStyle w:val="B"/>
              <w:rPr>
                <w:szCs w:val="20"/>
              </w:rPr>
            </w:pPr>
            <w:r>
              <w:rPr>
                <w:rFonts w:hint="eastAsia"/>
                <w:szCs w:val="20"/>
              </w:rPr>
              <w:t>必填项，必须≥</w:t>
            </w:r>
            <w:r>
              <w:rPr>
                <w:szCs w:val="20"/>
              </w:rPr>
              <w:t>0</w:t>
            </w:r>
            <w:r>
              <w:rPr>
                <w:rFonts w:hint="eastAsia"/>
                <w:szCs w:val="20"/>
              </w:rPr>
              <w:t>。</w:t>
            </w:r>
          </w:p>
        </w:tc>
      </w:tr>
      <w:tr w:rsidR="00A052DC" w14:paraId="17C94E8D" w14:textId="77777777">
        <w:trPr>
          <w:jc w:val="center"/>
        </w:trPr>
        <w:tc>
          <w:tcPr>
            <w:tcW w:w="1231" w:type="dxa"/>
          </w:tcPr>
          <w:p w14:paraId="6A1BAF9A" w14:textId="77777777" w:rsidR="00A052DC" w:rsidRDefault="009F0A60">
            <w:pPr>
              <w:pStyle w:val="B"/>
              <w:rPr>
                <w:szCs w:val="20"/>
              </w:rPr>
            </w:pPr>
            <w:r>
              <w:rPr>
                <w:szCs w:val="20"/>
              </w:rPr>
              <w:t>D0211</w:t>
            </w:r>
          </w:p>
        </w:tc>
        <w:tc>
          <w:tcPr>
            <w:tcW w:w="1984" w:type="dxa"/>
          </w:tcPr>
          <w:p w14:paraId="432C905F" w14:textId="77777777" w:rsidR="00A052DC" w:rsidRDefault="009F0A60">
            <w:pPr>
              <w:pStyle w:val="B"/>
              <w:rPr>
                <w:szCs w:val="20"/>
              </w:rPr>
            </w:pPr>
            <w:r>
              <w:rPr>
                <w:rFonts w:hint="eastAsia"/>
                <w:szCs w:val="20"/>
              </w:rPr>
              <w:t>本月末本金余额其中：剩余期限在一年及以下</w:t>
            </w:r>
          </w:p>
        </w:tc>
        <w:tc>
          <w:tcPr>
            <w:tcW w:w="1418" w:type="dxa"/>
          </w:tcPr>
          <w:p w14:paraId="1FAB55CB" w14:textId="77777777" w:rsidR="00A052DC" w:rsidRDefault="009F0A60">
            <w:pPr>
              <w:pStyle w:val="B"/>
              <w:rPr>
                <w:szCs w:val="20"/>
              </w:rPr>
            </w:pPr>
            <w:r>
              <w:rPr>
                <w:rFonts w:hint="eastAsia"/>
                <w:szCs w:val="20"/>
              </w:rPr>
              <w:t>数值型，</w:t>
            </w:r>
            <w:r>
              <w:rPr>
                <w:szCs w:val="20"/>
              </w:rPr>
              <w:t>22.2</w:t>
            </w:r>
          </w:p>
        </w:tc>
        <w:tc>
          <w:tcPr>
            <w:tcW w:w="4149" w:type="dxa"/>
          </w:tcPr>
          <w:p w14:paraId="0B0718F4" w14:textId="77777777" w:rsidR="00A052DC" w:rsidRDefault="009F0A60">
            <w:pPr>
              <w:pStyle w:val="B"/>
              <w:rPr>
                <w:szCs w:val="20"/>
              </w:rPr>
            </w:pPr>
            <w:r>
              <w:rPr>
                <w:rFonts w:hint="eastAsia"/>
                <w:szCs w:val="20"/>
              </w:rPr>
              <w:t>必填项，必须≥</w:t>
            </w:r>
            <w:r>
              <w:rPr>
                <w:szCs w:val="20"/>
              </w:rPr>
              <w:t>0</w:t>
            </w:r>
            <w:r>
              <w:rPr>
                <w:rFonts w:hint="eastAsia"/>
                <w:szCs w:val="20"/>
              </w:rPr>
              <w:t>。当</w:t>
            </w:r>
            <w:r>
              <w:rPr>
                <w:szCs w:val="20"/>
              </w:rPr>
              <w:t>D0206=1</w:t>
            </w:r>
            <w:r>
              <w:rPr>
                <w:rFonts w:hint="eastAsia"/>
                <w:szCs w:val="20"/>
              </w:rPr>
              <w:t>时，</w:t>
            </w:r>
            <w:r>
              <w:rPr>
                <w:szCs w:val="20"/>
              </w:rPr>
              <w:t>D0210=D0211</w:t>
            </w:r>
            <w:r>
              <w:rPr>
                <w:rFonts w:hint="eastAsia"/>
                <w:szCs w:val="20"/>
              </w:rPr>
              <w:t>；</w:t>
            </w:r>
          </w:p>
          <w:p w14:paraId="2A54F1B4" w14:textId="77777777" w:rsidR="00A052DC" w:rsidRDefault="009F0A60">
            <w:pPr>
              <w:pStyle w:val="B"/>
              <w:rPr>
                <w:szCs w:val="20"/>
              </w:rPr>
            </w:pPr>
            <w:r>
              <w:rPr>
                <w:rFonts w:hint="eastAsia"/>
                <w:szCs w:val="20"/>
              </w:rPr>
              <w:t>当</w:t>
            </w:r>
            <w:r>
              <w:rPr>
                <w:szCs w:val="20"/>
              </w:rPr>
              <w:t>D0206=2</w:t>
            </w:r>
            <w:r>
              <w:rPr>
                <w:rFonts w:hint="eastAsia"/>
                <w:szCs w:val="20"/>
              </w:rPr>
              <w:t>时，</w:t>
            </w:r>
            <w:r>
              <w:rPr>
                <w:szCs w:val="20"/>
              </w:rPr>
              <w:t>D0210</w:t>
            </w:r>
            <w:r>
              <w:rPr>
                <w:rFonts w:hint="eastAsia"/>
                <w:szCs w:val="20"/>
              </w:rPr>
              <w:t>≥</w:t>
            </w:r>
            <w:r>
              <w:rPr>
                <w:szCs w:val="20"/>
              </w:rPr>
              <w:t>D0211</w:t>
            </w:r>
            <w:r>
              <w:rPr>
                <w:rFonts w:hint="eastAsia"/>
                <w:szCs w:val="20"/>
              </w:rPr>
              <w:t>。</w:t>
            </w:r>
          </w:p>
        </w:tc>
      </w:tr>
      <w:tr w:rsidR="00A052DC" w14:paraId="6A49B1B4" w14:textId="77777777">
        <w:trPr>
          <w:jc w:val="center"/>
        </w:trPr>
        <w:tc>
          <w:tcPr>
            <w:tcW w:w="1231" w:type="dxa"/>
          </w:tcPr>
          <w:p w14:paraId="20D727A1" w14:textId="77777777" w:rsidR="00A052DC" w:rsidRDefault="009F0A60">
            <w:pPr>
              <w:pStyle w:val="B"/>
              <w:rPr>
                <w:szCs w:val="20"/>
              </w:rPr>
            </w:pPr>
            <w:r>
              <w:rPr>
                <w:szCs w:val="20"/>
              </w:rPr>
              <w:t>D0212</w:t>
            </w:r>
          </w:p>
        </w:tc>
        <w:tc>
          <w:tcPr>
            <w:tcW w:w="1984" w:type="dxa"/>
          </w:tcPr>
          <w:p w14:paraId="79180C00" w14:textId="77777777" w:rsidR="00A052DC" w:rsidRDefault="009F0A60">
            <w:pPr>
              <w:pStyle w:val="B"/>
              <w:rPr>
                <w:szCs w:val="20"/>
              </w:rPr>
            </w:pPr>
            <w:r>
              <w:rPr>
                <w:rFonts w:hint="eastAsia"/>
                <w:szCs w:val="20"/>
              </w:rPr>
              <w:t>本月末应收利息余额</w:t>
            </w:r>
          </w:p>
        </w:tc>
        <w:tc>
          <w:tcPr>
            <w:tcW w:w="1418" w:type="dxa"/>
          </w:tcPr>
          <w:p w14:paraId="2A9144E7" w14:textId="77777777" w:rsidR="00A052DC" w:rsidRDefault="009F0A60">
            <w:pPr>
              <w:pStyle w:val="B"/>
              <w:rPr>
                <w:szCs w:val="20"/>
              </w:rPr>
            </w:pPr>
            <w:r>
              <w:rPr>
                <w:rFonts w:hint="eastAsia"/>
                <w:szCs w:val="20"/>
              </w:rPr>
              <w:t>数值型，</w:t>
            </w:r>
            <w:r>
              <w:rPr>
                <w:szCs w:val="20"/>
              </w:rPr>
              <w:t>22.2</w:t>
            </w:r>
          </w:p>
        </w:tc>
        <w:tc>
          <w:tcPr>
            <w:tcW w:w="4149" w:type="dxa"/>
          </w:tcPr>
          <w:p w14:paraId="220D10C9" w14:textId="77777777" w:rsidR="00A052DC" w:rsidRDefault="009F0A60">
            <w:pPr>
              <w:pStyle w:val="B"/>
              <w:rPr>
                <w:szCs w:val="20"/>
              </w:rPr>
            </w:pPr>
            <w:r>
              <w:rPr>
                <w:rFonts w:hint="eastAsia"/>
                <w:szCs w:val="20"/>
              </w:rPr>
              <w:t>必填项。</w:t>
            </w:r>
          </w:p>
        </w:tc>
      </w:tr>
      <w:tr w:rsidR="00A052DC" w14:paraId="7145B6BC" w14:textId="77777777">
        <w:trPr>
          <w:jc w:val="center"/>
        </w:trPr>
        <w:tc>
          <w:tcPr>
            <w:tcW w:w="1231" w:type="dxa"/>
          </w:tcPr>
          <w:p w14:paraId="2833398F" w14:textId="77777777" w:rsidR="00A052DC" w:rsidRDefault="009F0A60">
            <w:pPr>
              <w:pStyle w:val="B"/>
              <w:rPr>
                <w:szCs w:val="20"/>
              </w:rPr>
            </w:pPr>
            <w:r>
              <w:rPr>
                <w:szCs w:val="20"/>
              </w:rPr>
              <w:t>D0213</w:t>
            </w:r>
          </w:p>
        </w:tc>
        <w:tc>
          <w:tcPr>
            <w:tcW w:w="1984" w:type="dxa"/>
          </w:tcPr>
          <w:p w14:paraId="5033DD65" w14:textId="77777777" w:rsidR="00A052DC" w:rsidRDefault="009F0A60">
            <w:pPr>
              <w:pStyle w:val="B"/>
              <w:rPr>
                <w:szCs w:val="20"/>
              </w:rPr>
            </w:pPr>
            <w:r>
              <w:rPr>
                <w:rFonts w:hint="eastAsia"/>
                <w:szCs w:val="20"/>
              </w:rPr>
              <w:t>本月非交易变动</w:t>
            </w:r>
          </w:p>
        </w:tc>
        <w:tc>
          <w:tcPr>
            <w:tcW w:w="1418" w:type="dxa"/>
          </w:tcPr>
          <w:p w14:paraId="70C1393D" w14:textId="77777777" w:rsidR="00A052DC" w:rsidRDefault="009F0A60">
            <w:pPr>
              <w:pStyle w:val="B"/>
              <w:rPr>
                <w:szCs w:val="20"/>
              </w:rPr>
            </w:pPr>
            <w:r>
              <w:rPr>
                <w:rFonts w:hint="eastAsia"/>
                <w:szCs w:val="20"/>
              </w:rPr>
              <w:t>数值型，</w:t>
            </w:r>
            <w:r>
              <w:rPr>
                <w:szCs w:val="20"/>
              </w:rPr>
              <w:t>22.2</w:t>
            </w:r>
          </w:p>
        </w:tc>
        <w:tc>
          <w:tcPr>
            <w:tcW w:w="4149" w:type="dxa"/>
          </w:tcPr>
          <w:p w14:paraId="3FBDD94A" w14:textId="77777777" w:rsidR="00A052DC" w:rsidRDefault="009F0A60">
            <w:pPr>
              <w:pStyle w:val="B"/>
              <w:rPr>
                <w:szCs w:val="20"/>
              </w:rPr>
            </w:pPr>
            <w:r>
              <w:rPr>
                <w:rFonts w:hint="eastAsia"/>
                <w:szCs w:val="20"/>
              </w:rPr>
              <w:t>必填项。</w:t>
            </w:r>
          </w:p>
        </w:tc>
      </w:tr>
      <w:tr w:rsidR="00A052DC" w14:paraId="76723728" w14:textId="77777777">
        <w:trPr>
          <w:jc w:val="center"/>
        </w:trPr>
        <w:tc>
          <w:tcPr>
            <w:tcW w:w="1231" w:type="dxa"/>
          </w:tcPr>
          <w:p w14:paraId="1A8035BF" w14:textId="77777777" w:rsidR="00A052DC" w:rsidRDefault="009F0A60">
            <w:pPr>
              <w:pStyle w:val="B"/>
              <w:rPr>
                <w:szCs w:val="20"/>
              </w:rPr>
            </w:pPr>
            <w:r>
              <w:rPr>
                <w:szCs w:val="20"/>
              </w:rPr>
              <w:t>D0214</w:t>
            </w:r>
          </w:p>
        </w:tc>
        <w:tc>
          <w:tcPr>
            <w:tcW w:w="1984" w:type="dxa"/>
          </w:tcPr>
          <w:p w14:paraId="439AA625" w14:textId="77777777" w:rsidR="00A052DC" w:rsidRDefault="009F0A60">
            <w:pPr>
              <w:pStyle w:val="B"/>
              <w:rPr>
                <w:szCs w:val="20"/>
              </w:rPr>
            </w:pPr>
            <w:r>
              <w:rPr>
                <w:rFonts w:hint="eastAsia"/>
                <w:szCs w:val="20"/>
              </w:rPr>
              <w:t>本月净发生额</w:t>
            </w:r>
          </w:p>
        </w:tc>
        <w:tc>
          <w:tcPr>
            <w:tcW w:w="1418" w:type="dxa"/>
          </w:tcPr>
          <w:p w14:paraId="1EE4B767" w14:textId="77777777" w:rsidR="00A052DC" w:rsidRDefault="009F0A60">
            <w:pPr>
              <w:pStyle w:val="B"/>
              <w:rPr>
                <w:szCs w:val="20"/>
              </w:rPr>
            </w:pPr>
            <w:r>
              <w:rPr>
                <w:rFonts w:hint="eastAsia"/>
                <w:szCs w:val="20"/>
              </w:rPr>
              <w:t>数值型，</w:t>
            </w:r>
            <w:r>
              <w:rPr>
                <w:szCs w:val="20"/>
              </w:rPr>
              <w:t>22.2</w:t>
            </w:r>
          </w:p>
        </w:tc>
        <w:tc>
          <w:tcPr>
            <w:tcW w:w="4149" w:type="dxa"/>
          </w:tcPr>
          <w:p w14:paraId="475CBBB7" w14:textId="77777777" w:rsidR="00A052DC" w:rsidRDefault="009F0A60">
            <w:pPr>
              <w:pStyle w:val="B"/>
              <w:rPr>
                <w:szCs w:val="20"/>
              </w:rPr>
            </w:pPr>
            <w:r>
              <w:rPr>
                <w:rFonts w:hint="eastAsia"/>
                <w:szCs w:val="20"/>
              </w:rPr>
              <w:t>必填项，必须满足：</w:t>
            </w:r>
          </w:p>
          <w:p w14:paraId="4B9A3864" w14:textId="77777777" w:rsidR="00A052DC" w:rsidRDefault="009F0A60">
            <w:pPr>
              <w:pStyle w:val="B"/>
              <w:rPr>
                <w:szCs w:val="20"/>
              </w:rPr>
            </w:pPr>
            <w:r>
              <w:rPr>
                <w:szCs w:val="20"/>
              </w:rPr>
              <w:t>D0214+D0213=D0210+D0212-</w:t>
            </w:r>
            <w:r>
              <w:rPr>
                <w:rFonts w:hint="eastAsia"/>
                <w:szCs w:val="20"/>
              </w:rPr>
              <w:t>（</w:t>
            </w:r>
            <w:r>
              <w:rPr>
                <w:szCs w:val="20"/>
              </w:rPr>
              <w:t>D0208+D0209</w:t>
            </w:r>
            <w:r>
              <w:rPr>
                <w:rFonts w:hint="eastAsia"/>
                <w:szCs w:val="20"/>
              </w:rPr>
              <w:t>）。</w:t>
            </w:r>
          </w:p>
        </w:tc>
      </w:tr>
      <w:tr w:rsidR="00A052DC" w14:paraId="21BA4412" w14:textId="77777777">
        <w:trPr>
          <w:jc w:val="center"/>
        </w:trPr>
        <w:tc>
          <w:tcPr>
            <w:tcW w:w="1231" w:type="dxa"/>
          </w:tcPr>
          <w:p w14:paraId="16BAE9C7" w14:textId="77777777" w:rsidR="00A052DC" w:rsidRDefault="009F0A60">
            <w:pPr>
              <w:pStyle w:val="B"/>
              <w:rPr>
                <w:szCs w:val="20"/>
              </w:rPr>
            </w:pPr>
            <w:r>
              <w:rPr>
                <w:szCs w:val="20"/>
              </w:rPr>
              <w:t>D0215</w:t>
            </w:r>
          </w:p>
        </w:tc>
        <w:tc>
          <w:tcPr>
            <w:tcW w:w="1984" w:type="dxa"/>
          </w:tcPr>
          <w:p w14:paraId="1BA72EAB" w14:textId="77777777" w:rsidR="00A052DC" w:rsidRDefault="009F0A60">
            <w:pPr>
              <w:pStyle w:val="B"/>
              <w:rPr>
                <w:szCs w:val="20"/>
              </w:rPr>
            </w:pPr>
            <w:r>
              <w:rPr>
                <w:rFonts w:hint="eastAsia"/>
                <w:szCs w:val="20"/>
              </w:rPr>
              <w:t>本月利息收入</w:t>
            </w:r>
          </w:p>
        </w:tc>
        <w:tc>
          <w:tcPr>
            <w:tcW w:w="1418" w:type="dxa"/>
          </w:tcPr>
          <w:p w14:paraId="77B61283" w14:textId="77777777" w:rsidR="00A052DC" w:rsidRDefault="009F0A60">
            <w:pPr>
              <w:pStyle w:val="B"/>
              <w:rPr>
                <w:szCs w:val="20"/>
              </w:rPr>
            </w:pPr>
            <w:r>
              <w:rPr>
                <w:rFonts w:hint="eastAsia"/>
                <w:szCs w:val="20"/>
              </w:rPr>
              <w:t>数值型，</w:t>
            </w:r>
            <w:r>
              <w:rPr>
                <w:szCs w:val="20"/>
              </w:rPr>
              <w:t>22.2</w:t>
            </w:r>
          </w:p>
        </w:tc>
        <w:tc>
          <w:tcPr>
            <w:tcW w:w="4149" w:type="dxa"/>
          </w:tcPr>
          <w:p w14:paraId="1EF114DE" w14:textId="77777777" w:rsidR="00A052DC" w:rsidRDefault="009F0A60">
            <w:pPr>
              <w:pStyle w:val="B"/>
              <w:rPr>
                <w:szCs w:val="20"/>
              </w:rPr>
            </w:pPr>
            <w:r>
              <w:rPr>
                <w:rFonts w:hint="eastAsia"/>
                <w:szCs w:val="20"/>
              </w:rPr>
              <w:t>必填项。</w:t>
            </w:r>
          </w:p>
        </w:tc>
      </w:tr>
      <w:tr w:rsidR="00A052DC" w14:paraId="567A2AE1" w14:textId="77777777">
        <w:trPr>
          <w:jc w:val="center"/>
        </w:trPr>
        <w:tc>
          <w:tcPr>
            <w:tcW w:w="1231" w:type="dxa"/>
          </w:tcPr>
          <w:p w14:paraId="01D21B98" w14:textId="77777777" w:rsidR="00A052DC" w:rsidRDefault="009F0A60">
            <w:pPr>
              <w:pStyle w:val="B"/>
              <w:rPr>
                <w:color w:val="000000" w:themeColor="text1"/>
                <w:szCs w:val="20"/>
              </w:rPr>
            </w:pPr>
            <w:r>
              <w:rPr>
                <w:color w:val="000000" w:themeColor="text1"/>
                <w:szCs w:val="20"/>
              </w:rPr>
              <w:t>D02</w:t>
            </w:r>
            <w:r>
              <w:rPr>
                <w:rFonts w:hint="eastAsia"/>
                <w:color w:val="000000" w:themeColor="text1"/>
                <w:szCs w:val="20"/>
              </w:rPr>
              <w:t>16</w:t>
            </w:r>
          </w:p>
        </w:tc>
        <w:tc>
          <w:tcPr>
            <w:tcW w:w="1984" w:type="dxa"/>
          </w:tcPr>
          <w:p w14:paraId="74793A68" w14:textId="77777777" w:rsidR="00A052DC" w:rsidRDefault="009F0A60">
            <w:pPr>
              <w:pStyle w:val="B"/>
              <w:rPr>
                <w:color w:val="000000" w:themeColor="text1"/>
                <w:szCs w:val="20"/>
              </w:rPr>
            </w:pPr>
            <w:r>
              <w:rPr>
                <w:rFonts w:hint="eastAsia"/>
                <w:color w:val="000000" w:themeColor="text1"/>
                <w:szCs w:val="20"/>
              </w:rPr>
              <w:t>债务人名称</w:t>
            </w:r>
          </w:p>
        </w:tc>
        <w:tc>
          <w:tcPr>
            <w:tcW w:w="1418" w:type="dxa"/>
          </w:tcPr>
          <w:p w14:paraId="69C29DB8" w14:textId="77777777" w:rsidR="00A052DC" w:rsidRDefault="009F0A60">
            <w:pPr>
              <w:pStyle w:val="B"/>
              <w:rPr>
                <w:color w:val="000000" w:themeColor="text1"/>
                <w:szCs w:val="20"/>
              </w:rPr>
            </w:pPr>
            <w:r>
              <w:rPr>
                <w:rFonts w:hint="eastAsia"/>
                <w:color w:val="000000" w:themeColor="text1"/>
                <w:szCs w:val="20"/>
              </w:rPr>
              <w:t>字符型，256</w:t>
            </w:r>
          </w:p>
        </w:tc>
        <w:tc>
          <w:tcPr>
            <w:tcW w:w="4149" w:type="dxa"/>
          </w:tcPr>
          <w:p w14:paraId="6A298903" w14:textId="77777777" w:rsidR="00A052DC" w:rsidRDefault="009F0A60">
            <w:pPr>
              <w:pStyle w:val="B"/>
              <w:rPr>
                <w:color w:val="000000" w:themeColor="text1"/>
                <w:szCs w:val="20"/>
              </w:rPr>
            </w:pPr>
            <w:r>
              <w:rPr>
                <w:rFonts w:hint="eastAsia"/>
                <w:color w:val="000000" w:themeColor="text1"/>
                <w:szCs w:val="20"/>
              </w:rPr>
              <w:t>如果D0204=5，此字段为必填项。</w:t>
            </w:r>
          </w:p>
        </w:tc>
      </w:tr>
      <w:tr w:rsidR="00A052DC" w14:paraId="5C525E2F" w14:textId="77777777">
        <w:trPr>
          <w:jc w:val="center"/>
        </w:trPr>
        <w:tc>
          <w:tcPr>
            <w:tcW w:w="1231" w:type="dxa"/>
          </w:tcPr>
          <w:p w14:paraId="27CBDE12" w14:textId="77777777" w:rsidR="00A052DC" w:rsidRDefault="009F0A60">
            <w:pPr>
              <w:pStyle w:val="B"/>
              <w:rPr>
                <w:color w:val="000000" w:themeColor="text1"/>
                <w:szCs w:val="20"/>
              </w:rPr>
            </w:pPr>
            <w:r>
              <w:rPr>
                <w:color w:val="000000" w:themeColor="text1"/>
                <w:szCs w:val="20"/>
              </w:rPr>
              <w:t>D02</w:t>
            </w:r>
            <w:r>
              <w:rPr>
                <w:rFonts w:hint="eastAsia"/>
                <w:color w:val="000000" w:themeColor="text1"/>
                <w:szCs w:val="20"/>
              </w:rPr>
              <w:t>17</w:t>
            </w:r>
          </w:p>
        </w:tc>
        <w:tc>
          <w:tcPr>
            <w:tcW w:w="1984" w:type="dxa"/>
          </w:tcPr>
          <w:p w14:paraId="53131455" w14:textId="77777777" w:rsidR="00A052DC" w:rsidRDefault="009F0A60">
            <w:pPr>
              <w:pStyle w:val="B"/>
              <w:rPr>
                <w:color w:val="000000" w:themeColor="text1"/>
                <w:szCs w:val="20"/>
              </w:rPr>
            </w:pPr>
            <w:r>
              <w:rPr>
                <w:rFonts w:hint="eastAsia"/>
                <w:color w:val="000000" w:themeColor="text1"/>
                <w:szCs w:val="20"/>
              </w:rPr>
              <w:t>签约金额</w:t>
            </w:r>
          </w:p>
        </w:tc>
        <w:tc>
          <w:tcPr>
            <w:tcW w:w="1418" w:type="dxa"/>
          </w:tcPr>
          <w:p w14:paraId="1DFFD8C6" w14:textId="77777777" w:rsidR="00A052DC" w:rsidRDefault="009F0A60">
            <w:pPr>
              <w:pStyle w:val="B"/>
              <w:rPr>
                <w:color w:val="000000" w:themeColor="text1"/>
                <w:szCs w:val="20"/>
              </w:rPr>
            </w:pPr>
            <w:r>
              <w:rPr>
                <w:rFonts w:hint="eastAsia"/>
                <w:color w:val="000000" w:themeColor="text1"/>
                <w:szCs w:val="20"/>
              </w:rPr>
              <w:t>数值型，22.2</w:t>
            </w:r>
          </w:p>
        </w:tc>
        <w:tc>
          <w:tcPr>
            <w:tcW w:w="4149" w:type="dxa"/>
          </w:tcPr>
          <w:p w14:paraId="7B2BD9E0" w14:textId="77777777" w:rsidR="00A052DC" w:rsidRDefault="009F0A60">
            <w:pPr>
              <w:pStyle w:val="B"/>
              <w:rPr>
                <w:color w:val="000000" w:themeColor="text1"/>
                <w:szCs w:val="20"/>
              </w:rPr>
            </w:pPr>
            <w:r>
              <w:rPr>
                <w:rFonts w:hint="eastAsia"/>
                <w:color w:val="000000" w:themeColor="text1"/>
                <w:szCs w:val="20"/>
              </w:rPr>
              <w:t>如果D0204=5，此字段为必填项。必须</w:t>
            </w:r>
            <w:r>
              <w:rPr>
                <w:color w:val="000000" w:themeColor="text1"/>
                <w:szCs w:val="20"/>
              </w:rPr>
              <w:t>大于等于0。</w:t>
            </w:r>
          </w:p>
        </w:tc>
      </w:tr>
      <w:tr w:rsidR="00A052DC" w14:paraId="7F752DDD" w14:textId="77777777">
        <w:trPr>
          <w:jc w:val="center"/>
        </w:trPr>
        <w:tc>
          <w:tcPr>
            <w:tcW w:w="1231" w:type="dxa"/>
          </w:tcPr>
          <w:p w14:paraId="5EF41BFF" w14:textId="77777777" w:rsidR="00A052DC" w:rsidRDefault="009F0A60">
            <w:pPr>
              <w:pStyle w:val="B"/>
              <w:rPr>
                <w:color w:val="000000" w:themeColor="text1"/>
                <w:szCs w:val="20"/>
              </w:rPr>
            </w:pPr>
            <w:r>
              <w:rPr>
                <w:color w:val="000000" w:themeColor="text1"/>
                <w:szCs w:val="20"/>
              </w:rPr>
              <w:t>D02</w:t>
            </w:r>
            <w:r>
              <w:rPr>
                <w:rFonts w:hint="eastAsia"/>
                <w:color w:val="000000" w:themeColor="text1"/>
                <w:szCs w:val="20"/>
              </w:rPr>
              <w:t>18</w:t>
            </w:r>
          </w:p>
        </w:tc>
        <w:tc>
          <w:tcPr>
            <w:tcW w:w="1984" w:type="dxa"/>
          </w:tcPr>
          <w:p w14:paraId="55E2E731" w14:textId="77777777" w:rsidR="00A052DC" w:rsidRDefault="009F0A60">
            <w:pPr>
              <w:pStyle w:val="B"/>
              <w:rPr>
                <w:color w:val="000000" w:themeColor="text1"/>
                <w:szCs w:val="20"/>
              </w:rPr>
            </w:pPr>
            <w:r>
              <w:rPr>
                <w:rFonts w:hint="eastAsia"/>
                <w:color w:val="000000" w:themeColor="text1"/>
                <w:szCs w:val="20"/>
              </w:rPr>
              <w:t>资金用途</w:t>
            </w:r>
          </w:p>
        </w:tc>
        <w:tc>
          <w:tcPr>
            <w:tcW w:w="1418" w:type="dxa"/>
          </w:tcPr>
          <w:p w14:paraId="7CCC2FAB" w14:textId="77777777" w:rsidR="00A052DC" w:rsidRDefault="009F0A60">
            <w:pPr>
              <w:pStyle w:val="B"/>
              <w:rPr>
                <w:color w:val="000000" w:themeColor="text1"/>
                <w:szCs w:val="20"/>
              </w:rPr>
            </w:pPr>
            <w:r>
              <w:rPr>
                <w:rFonts w:hint="eastAsia"/>
                <w:color w:val="000000" w:themeColor="text1"/>
                <w:szCs w:val="20"/>
              </w:rPr>
              <w:t>整数型</w:t>
            </w:r>
          </w:p>
        </w:tc>
        <w:tc>
          <w:tcPr>
            <w:tcW w:w="4149" w:type="dxa"/>
          </w:tcPr>
          <w:p w14:paraId="404DB067" w14:textId="77777777" w:rsidR="00A052DC" w:rsidRDefault="009F0A60">
            <w:pPr>
              <w:pStyle w:val="B"/>
              <w:rPr>
                <w:color w:val="000000" w:themeColor="text1"/>
                <w:szCs w:val="20"/>
              </w:rPr>
            </w:pPr>
            <w:r>
              <w:rPr>
                <w:rFonts w:hint="eastAsia"/>
                <w:color w:val="000000" w:themeColor="text1"/>
                <w:szCs w:val="20"/>
              </w:rPr>
              <w:t>如果D0204=5，此字段为必填项。见贷款资金用途代码表，必须5选1。</w:t>
            </w:r>
          </w:p>
        </w:tc>
      </w:tr>
      <w:tr w:rsidR="00A052DC" w14:paraId="29B1157A" w14:textId="77777777">
        <w:trPr>
          <w:jc w:val="center"/>
        </w:trPr>
        <w:tc>
          <w:tcPr>
            <w:tcW w:w="1231" w:type="dxa"/>
          </w:tcPr>
          <w:p w14:paraId="4D6D7E4E" w14:textId="77777777" w:rsidR="00A052DC" w:rsidRDefault="009F0A60">
            <w:pPr>
              <w:pStyle w:val="B"/>
              <w:rPr>
                <w:color w:val="000000" w:themeColor="text1"/>
                <w:szCs w:val="20"/>
              </w:rPr>
            </w:pPr>
            <w:r>
              <w:rPr>
                <w:color w:val="000000" w:themeColor="text1"/>
                <w:szCs w:val="20"/>
              </w:rPr>
              <w:t>D02</w:t>
            </w:r>
            <w:r>
              <w:rPr>
                <w:rFonts w:hint="eastAsia"/>
                <w:color w:val="000000" w:themeColor="text1"/>
                <w:szCs w:val="20"/>
              </w:rPr>
              <w:t>19</w:t>
            </w:r>
          </w:p>
        </w:tc>
        <w:tc>
          <w:tcPr>
            <w:tcW w:w="1984" w:type="dxa"/>
          </w:tcPr>
          <w:p w14:paraId="7C935C76" w14:textId="77777777" w:rsidR="00A052DC" w:rsidRDefault="009F0A60">
            <w:pPr>
              <w:pStyle w:val="B"/>
              <w:rPr>
                <w:color w:val="000000" w:themeColor="text1"/>
                <w:szCs w:val="20"/>
              </w:rPr>
            </w:pPr>
            <w:r>
              <w:rPr>
                <w:rFonts w:hint="eastAsia"/>
                <w:color w:val="000000" w:themeColor="text1"/>
                <w:szCs w:val="20"/>
              </w:rPr>
              <w:t>原始放款天数</w:t>
            </w:r>
          </w:p>
        </w:tc>
        <w:tc>
          <w:tcPr>
            <w:tcW w:w="1418" w:type="dxa"/>
          </w:tcPr>
          <w:p w14:paraId="3C4F0AD0" w14:textId="77777777" w:rsidR="00A052DC" w:rsidRDefault="009F0A60">
            <w:pPr>
              <w:pStyle w:val="B"/>
              <w:rPr>
                <w:color w:val="000000" w:themeColor="text1"/>
                <w:szCs w:val="20"/>
              </w:rPr>
            </w:pPr>
            <w:r>
              <w:rPr>
                <w:rFonts w:hint="eastAsia"/>
                <w:color w:val="000000" w:themeColor="text1"/>
                <w:szCs w:val="20"/>
              </w:rPr>
              <w:t>整数型</w:t>
            </w:r>
          </w:p>
        </w:tc>
        <w:tc>
          <w:tcPr>
            <w:tcW w:w="4149" w:type="dxa"/>
          </w:tcPr>
          <w:p w14:paraId="3F5E8F6D" w14:textId="77777777" w:rsidR="00A052DC" w:rsidRDefault="009F0A60">
            <w:pPr>
              <w:pStyle w:val="B"/>
              <w:rPr>
                <w:color w:val="000000" w:themeColor="text1"/>
                <w:szCs w:val="20"/>
              </w:rPr>
            </w:pPr>
            <w:r>
              <w:rPr>
                <w:rFonts w:hint="eastAsia"/>
                <w:color w:val="000000" w:themeColor="text1"/>
                <w:szCs w:val="20"/>
              </w:rPr>
              <w:t>如果D0204=5，此字段为必填项。按原始合同约定的贷款天数填写。</w:t>
            </w:r>
          </w:p>
        </w:tc>
      </w:tr>
      <w:tr w:rsidR="00A052DC" w14:paraId="76A7E006" w14:textId="77777777">
        <w:trPr>
          <w:jc w:val="center"/>
        </w:trPr>
        <w:tc>
          <w:tcPr>
            <w:tcW w:w="1231" w:type="dxa"/>
          </w:tcPr>
          <w:p w14:paraId="0991AABD" w14:textId="77777777" w:rsidR="00A052DC" w:rsidRDefault="009F0A60">
            <w:pPr>
              <w:pStyle w:val="B"/>
              <w:rPr>
                <w:color w:val="000000" w:themeColor="text1"/>
                <w:szCs w:val="20"/>
              </w:rPr>
            </w:pPr>
            <w:r>
              <w:rPr>
                <w:color w:val="000000" w:themeColor="text1"/>
                <w:szCs w:val="20"/>
              </w:rPr>
              <w:t>D02</w:t>
            </w:r>
            <w:r>
              <w:rPr>
                <w:rFonts w:hint="eastAsia"/>
                <w:color w:val="000000" w:themeColor="text1"/>
                <w:szCs w:val="20"/>
              </w:rPr>
              <w:t>20</w:t>
            </w:r>
          </w:p>
        </w:tc>
        <w:tc>
          <w:tcPr>
            <w:tcW w:w="1984" w:type="dxa"/>
          </w:tcPr>
          <w:p w14:paraId="344FB7BA" w14:textId="77777777" w:rsidR="00A052DC" w:rsidRDefault="009F0A60">
            <w:pPr>
              <w:pStyle w:val="B"/>
              <w:rPr>
                <w:color w:val="000000" w:themeColor="text1"/>
                <w:szCs w:val="20"/>
              </w:rPr>
            </w:pPr>
            <w:r>
              <w:rPr>
                <w:rFonts w:hint="eastAsia"/>
                <w:color w:val="000000" w:themeColor="text1"/>
                <w:szCs w:val="20"/>
              </w:rPr>
              <w:t>到期日</w:t>
            </w:r>
          </w:p>
        </w:tc>
        <w:tc>
          <w:tcPr>
            <w:tcW w:w="1418" w:type="dxa"/>
          </w:tcPr>
          <w:p w14:paraId="714834B5" w14:textId="77777777" w:rsidR="00A052DC" w:rsidRDefault="009F0A60">
            <w:pPr>
              <w:pStyle w:val="B"/>
              <w:rPr>
                <w:color w:val="000000" w:themeColor="text1"/>
                <w:szCs w:val="20"/>
              </w:rPr>
            </w:pPr>
            <w:r>
              <w:rPr>
                <w:rFonts w:hint="eastAsia"/>
                <w:color w:val="000000" w:themeColor="text1"/>
                <w:szCs w:val="20"/>
              </w:rPr>
              <w:t>数值型，8</w:t>
            </w:r>
          </w:p>
        </w:tc>
        <w:tc>
          <w:tcPr>
            <w:tcW w:w="4149" w:type="dxa"/>
          </w:tcPr>
          <w:p w14:paraId="7A1AF14C" w14:textId="77777777" w:rsidR="00A052DC" w:rsidRDefault="009F0A60">
            <w:pPr>
              <w:pStyle w:val="B"/>
              <w:rPr>
                <w:color w:val="000000" w:themeColor="text1"/>
                <w:szCs w:val="20"/>
              </w:rPr>
            </w:pPr>
            <w:r>
              <w:rPr>
                <w:rFonts w:hint="eastAsia"/>
                <w:color w:val="000000" w:themeColor="text1"/>
                <w:szCs w:val="20"/>
              </w:rPr>
              <w:t>如果D0204=5，此字段为必填项</w:t>
            </w:r>
            <w:r>
              <w:rPr>
                <w:color w:val="000000" w:themeColor="text1"/>
                <w:szCs w:val="20"/>
              </w:rPr>
              <w:t>，格式YYYYMMDD，大于等于起息日。</w:t>
            </w:r>
          </w:p>
        </w:tc>
      </w:tr>
      <w:tr w:rsidR="00A052DC" w14:paraId="36CAD2C1" w14:textId="77777777">
        <w:trPr>
          <w:jc w:val="center"/>
        </w:trPr>
        <w:tc>
          <w:tcPr>
            <w:tcW w:w="1231" w:type="dxa"/>
          </w:tcPr>
          <w:p w14:paraId="214A4A48" w14:textId="77777777" w:rsidR="00A052DC" w:rsidRDefault="009F0A60">
            <w:pPr>
              <w:pStyle w:val="B"/>
              <w:rPr>
                <w:color w:val="000000" w:themeColor="text1"/>
                <w:szCs w:val="20"/>
              </w:rPr>
            </w:pPr>
            <w:r>
              <w:rPr>
                <w:color w:val="000000" w:themeColor="text1"/>
                <w:szCs w:val="20"/>
              </w:rPr>
              <w:t>D0221</w:t>
            </w:r>
          </w:p>
        </w:tc>
        <w:tc>
          <w:tcPr>
            <w:tcW w:w="1984" w:type="dxa"/>
          </w:tcPr>
          <w:p w14:paraId="3A1068A0" w14:textId="77777777" w:rsidR="00A052DC" w:rsidRDefault="009F0A60">
            <w:pPr>
              <w:pStyle w:val="B"/>
              <w:rPr>
                <w:color w:val="000000" w:themeColor="text1"/>
                <w:szCs w:val="20"/>
              </w:rPr>
            </w:pPr>
            <w:r>
              <w:rPr>
                <w:rFonts w:hint="eastAsia"/>
                <w:color w:val="000000" w:themeColor="text1"/>
                <w:szCs w:val="20"/>
              </w:rPr>
              <w:t>贷款是否存在担保人</w:t>
            </w:r>
          </w:p>
        </w:tc>
        <w:tc>
          <w:tcPr>
            <w:tcW w:w="1418" w:type="dxa"/>
          </w:tcPr>
          <w:p w14:paraId="228A8C02" w14:textId="77777777" w:rsidR="00A052DC" w:rsidRDefault="009F0A60">
            <w:pPr>
              <w:pStyle w:val="B"/>
              <w:rPr>
                <w:color w:val="000000" w:themeColor="text1"/>
                <w:szCs w:val="20"/>
              </w:rPr>
            </w:pPr>
            <w:r>
              <w:rPr>
                <w:rFonts w:hint="eastAsia"/>
                <w:szCs w:val="20"/>
              </w:rPr>
              <w:t>整数型</w:t>
            </w:r>
          </w:p>
        </w:tc>
        <w:tc>
          <w:tcPr>
            <w:tcW w:w="4149" w:type="dxa"/>
          </w:tcPr>
          <w:p w14:paraId="3829DFF3" w14:textId="77777777" w:rsidR="00A052DC" w:rsidRDefault="009F0A60">
            <w:pPr>
              <w:pStyle w:val="B"/>
              <w:widowControl w:val="0"/>
              <w:rPr>
                <w:szCs w:val="20"/>
              </w:rPr>
            </w:pPr>
            <w:r>
              <w:rPr>
                <w:rFonts w:hint="eastAsia"/>
                <w:szCs w:val="20"/>
              </w:rPr>
              <w:t>必填项，必须</w:t>
            </w:r>
            <w:r>
              <w:rPr>
                <w:szCs w:val="20"/>
              </w:rPr>
              <w:t>2</w:t>
            </w:r>
            <w:r>
              <w:rPr>
                <w:rFonts w:hint="eastAsia"/>
                <w:szCs w:val="20"/>
              </w:rPr>
              <w:t>选</w:t>
            </w:r>
            <w:r>
              <w:rPr>
                <w:szCs w:val="20"/>
              </w:rPr>
              <w:t>1</w:t>
            </w:r>
            <w:r>
              <w:rPr>
                <w:rFonts w:hint="eastAsia"/>
                <w:szCs w:val="20"/>
              </w:rPr>
              <w:t>：</w:t>
            </w:r>
          </w:p>
          <w:p w14:paraId="39814219" w14:textId="77777777" w:rsidR="00A052DC" w:rsidRDefault="009F0A60">
            <w:pPr>
              <w:pStyle w:val="B"/>
              <w:widowControl w:val="0"/>
              <w:rPr>
                <w:szCs w:val="20"/>
              </w:rPr>
            </w:pPr>
            <w:r>
              <w:rPr>
                <w:szCs w:val="20"/>
              </w:rPr>
              <w:t>1-</w:t>
            </w:r>
            <w:r>
              <w:rPr>
                <w:rFonts w:hint="eastAsia"/>
                <w:szCs w:val="20"/>
              </w:rPr>
              <w:t>是；</w:t>
            </w:r>
          </w:p>
          <w:p w14:paraId="2ED1843D" w14:textId="77777777" w:rsidR="00A052DC" w:rsidRDefault="009F0A60">
            <w:pPr>
              <w:pStyle w:val="B"/>
              <w:rPr>
                <w:color w:val="000000" w:themeColor="text1"/>
                <w:szCs w:val="20"/>
              </w:rPr>
            </w:pPr>
            <w:r>
              <w:rPr>
                <w:szCs w:val="20"/>
              </w:rPr>
              <w:t>2-</w:t>
            </w:r>
            <w:r>
              <w:rPr>
                <w:rFonts w:hint="eastAsia"/>
                <w:szCs w:val="20"/>
              </w:rPr>
              <w:t>否。</w:t>
            </w:r>
          </w:p>
        </w:tc>
      </w:tr>
      <w:tr w:rsidR="00A052DC" w14:paraId="2E630305" w14:textId="77777777">
        <w:trPr>
          <w:jc w:val="center"/>
        </w:trPr>
        <w:tc>
          <w:tcPr>
            <w:tcW w:w="1231" w:type="dxa"/>
          </w:tcPr>
          <w:p w14:paraId="1E04119A" w14:textId="77777777" w:rsidR="00A052DC" w:rsidRDefault="009F0A60">
            <w:pPr>
              <w:pStyle w:val="B"/>
              <w:rPr>
                <w:color w:val="000000" w:themeColor="text1"/>
                <w:szCs w:val="20"/>
              </w:rPr>
            </w:pPr>
            <w:r>
              <w:rPr>
                <w:color w:val="000000" w:themeColor="text1"/>
                <w:szCs w:val="20"/>
              </w:rPr>
              <w:t>D0222</w:t>
            </w:r>
          </w:p>
        </w:tc>
        <w:tc>
          <w:tcPr>
            <w:tcW w:w="1984" w:type="dxa"/>
          </w:tcPr>
          <w:p w14:paraId="1D241278" w14:textId="77777777" w:rsidR="00A052DC" w:rsidRDefault="009F0A60">
            <w:pPr>
              <w:pStyle w:val="B"/>
              <w:rPr>
                <w:color w:val="000000" w:themeColor="text1"/>
                <w:szCs w:val="20"/>
              </w:rPr>
            </w:pPr>
            <w:r>
              <w:rPr>
                <w:rFonts w:hint="eastAsia"/>
                <w:color w:val="000000" w:themeColor="text1"/>
                <w:szCs w:val="20"/>
              </w:rPr>
              <w:t>对方担保人所属国家</w:t>
            </w:r>
            <w:r>
              <w:rPr>
                <w:color w:val="000000" w:themeColor="text1"/>
                <w:szCs w:val="20"/>
              </w:rPr>
              <w:t>/地区</w:t>
            </w:r>
          </w:p>
        </w:tc>
        <w:tc>
          <w:tcPr>
            <w:tcW w:w="1418" w:type="dxa"/>
          </w:tcPr>
          <w:p w14:paraId="0BE5510D" w14:textId="77777777" w:rsidR="00A052DC" w:rsidRDefault="009F0A60">
            <w:pPr>
              <w:pStyle w:val="B"/>
              <w:rPr>
                <w:color w:val="000000" w:themeColor="text1"/>
                <w:szCs w:val="20"/>
              </w:rPr>
            </w:pPr>
            <w:r>
              <w:rPr>
                <w:rFonts w:hint="eastAsia"/>
                <w:szCs w:val="20"/>
              </w:rPr>
              <w:t>字符型，</w:t>
            </w:r>
            <w:r>
              <w:rPr>
                <w:szCs w:val="20"/>
              </w:rPr>
              <w:t>3</w:t>
            </w:r>
          </w:p>
        </w:tc>
        <w:tc>
          <w:tcPr>
            <w:tcW w:w="4149" w:type="dxa"/>
          </w:tcPr>
          <w:p w14:paraId="77630FD3" w14:textId="77777777" w:rsidR="00A052DC" w:rsidRDefault="009F0A60">
            <w:pPr>
              <w:pStyle w:val="B"/>
              <w:rPr>
                <w:color w:val="000000" w:themeColor="text1"/>
                <w:szCs w:val="20"/>
              </w:rPr>
            </w:pPr>
            <w:r>
              <w:rPr>
                <w:rFonts w:hint="eastAsia"/>
                <w:szCs w:val="20"/>
              </w:rPr>
              <w:t>非必填项。如果</w:t>
            </w:r>
            <w:r>
              <w:rPr>
                <w:szCs w:val="20"/>
              </w:rPr>
              <w:t>D0221=1</w:t>
            </w:r>
            <w:r>
              <w:rPr>
                <w:rFonts w:hint="eastAsia"/>
                <w:szCs w:val="20"/>
              </w:rPr>
              <w:t>，此字段为必填项，见国家和地区代码表的</w:t>
            </w:r>
            <w:r>
              <w:rPr>
                <w:szCs w:val="20"/>
              </w:rPr>
              <w:t>3</w:t>
            </w:r>
            <w:r>
              <w:rPr>
                <w:rFonts w:hint="eastAsia"/>
                <w:szCs w:val="20"/>
              </w:rPr>
              <w:t>位字母代码。如果</w:t>
            </w:r>
            <w:r>
              <w:rPr>
                <w:szCs w:val="20"/>
              </w:rPr>
              <w:t>D0221=2</w:t>
            </w:r>
            <w:r>
              <w:rPr>
                <w:rFonts w:hint="eastAsia"/>
                <w:szCs w:val="20"/>
              </w:rPr>
              <w:t>，此字段为空。</w:t>
            </w:r>
          </w:p>
        </w:tc>
      </w:tr>
      <w:tr w:rsidR="00A052DC" w14:paraId="559368A5" w14:textId="77777777">
        <w:trPr>
          <w:jc w:val="center"/>
        </w:trPr>
        <w:tc>
          <w:tcPr>
            <w:tcW w:w="1231" w:type="dxa"/>
          </w:tcPr>
          <w:p w14:paraId="2777A9EA" w14:textId="77777777" w:rsidR="00A052DC" w:rsidRDefault="009F0A60">
            <w:pPr>
              <w:pStyle w:val="B"/>
              <w:rPr>
                <w:color w:val="000000" w:themeColor="text1"/>
                <w:szCs w:val="20"/>
              </w:rPr>
            </w:pPr>
            <w:r>
              <w:rPr>
                <w:color w:val="000000" w:themeColor="text1"/>
                <w:szCs w:val="20"/>
              </w:rPr>
              <w:t>D0223</w:t>
            </w:r>
          </w:p>
        </w:tc>
        <w:tc>
          <w:tcPr>
            <w:tcW w:w="1984" w:type="dxa"/>
          </w:tcPr>
          <w:p w14:paraId="34BE3A58" w14:textId="77777777" w:rsidR="00A052DC" w:rsidRDefault="009F0A60">
            <w:pPr>
              <w:pStyle w:val="B"/>
              <w:rPr>
                <w:color w:val="000000" w:themeColor="text1"/>
                <w:szCs w:val="20"/>
              </w:rPr>
            </w:pPr>
            <w:r>
              <w:rPr>
                <w:rFonts w:hint="eastAsia"/>
                <w:color w:val="000000" w:themeColor="text1"/>
                <w:szCs w:val="20"/>
              </w:rPr>
              <w:t>对方担保人所属部门</w:t>
            </w:r>
          </w:p>
        </w:tc>
        <w:tc>
          <w:tcPr>
            <w:tcW w:w="1418" w:type="dxa"/>
          </w:tcPr>
          <w:p w14:paraId="00D10EA0" w14:textId="77777777" w:rsidR="00A052DC" w:rsidRDefault="009F0A60">
            <w:pPr>
              <w:pStyle w:val="B"/>
              <w:rPr>
                <w:color w:val="000000" w:themeColor="text1"/>
                <w:szCs w:val="20"/>
              </w:rPr>
            </w:pPr>
            <w:r>
              <w:rPr>
                <w:rFonts w:hint="eastAsia"/>
                <w:szCs w:val="20"/>
              </w:rPr>
              <w:t>整数型</w:t>
            </w:r>
          </w:p>
        </w:tc>
        <w:tc>
          <w:tcPr>
            <w:tcW w:w="4149" w:type="dxa"/>
          </w:tcPr>
          <w:p w14:paraId="6F2ABCA1" w14:textId="77777777" w:rsidR="00A052DC" w:rsidRDefault="009F0A60">
            <w:pPr>
              <w:pStyle w:val="B"/>
              <w:rPr>
                <w:color w:val="000000" w:themeColor="text1"/>
                <w:szCs w:val="20"/>
              </w:rPr>
            </w:pPr>
            <w:r>
              <w:rPr>
                <w:rFonts w:hint="eastAsia"/>
                <w:szCs w:val="20"/>
              </w:rPr>
              <w:t>非必填项。如果</w:t>
            </w:r>
            <w:r>
              <w:rPr>
                <w:szCs w:val="20"/>
              </w:rPr>
              <w:t>D0221=1</w:t>
            </w:r>
            <w:r>
              <w:rPr>
                <w:rFonts w:hint="eastAsia"/>
                <w:szCs w:val="20"/>
              </w:rPr>
              <w:t>，此字段为必填项，必须</w:t>
            </w:r>
            <w:r>
              <w:rPr>
                <w:szCs w:val="20"/>
              </w:rPr>
              <w:t>9选1</w:t>
            </w:r>
            <w:r>
              <w:rPr>
                <w:rFonts w:hint="eastAsia"/>
                <w:szCs w:val="20"/>
              </w:rPr>
              <w:t>，见投资者（被投资者）部门代码表。如果</w:t>
            </w:r>
            <w:r>
              <w:rPr>
                <w:szCs w:val="20"/>
              </w:rPr>
              <w:t>D0221=2</w:t>
            </w:r>
            <w:r>
              <w:rPr>
                <w:rFonts w:hint="eastAsia"/>
                <w:szCs w:val="20"/>
              </w:rPr>
              <w:t>，此字段为空。</w:t>
            </w:r>
          </w:p>
        </w:tc>
      </w:tr>
      <w:tr w:rsidR="00A052DC" w14:paraId="69C7DA1D" w14:textId="77777777">
        <w:trPr>
          <w:jc w:val="center"/>
        </w:trPr>
        <w:tc>
          <w:tcPr>
            <w:tcW w:w="1231" w:type="dxa"/>
          </w:tcPr>
          <w:p w14:paraId="13226693" w14:textId="77777777" w:rsidR="00A052DC" w:rsidRDefault="009F0A60">
            <w:pPr>
              <w:pStyle w:val="B"/>
              <w:rPr>
                <w:szCs w:val="20"/>
              </w:rPr>
            </w:pPr>
            <w:r>
              <w:rPr>
                <w:szCs w:val="20"/>
              </w:rPr>
              <w:t>REMARK</w:t>
            </w:r>
          </w:p>
        </w:tc>
        <w:tc>
          <w:tcPr>
            <w:tcW w:w="1984" w:type="dxa"/>
          </w:tcPr>
          <w:p w14:paraId="29C5C6B5" w14:textId="77777777" w:rsidR="00A052DC" w:rsidRDefault="009F0A60">
            <w:pPr>
              <w:pStyle w:val="B"/>
              <w:rPr>
                <w:szCs w:val="20"/>
              </w:rPr>
            </w:pPr>
            <w:r>
              <w:rPr>
                <w:rFonts w:hint="eastAsia"/>
                <w:szCs w:val="20"/>
              </w:rPr>
              <w:t>备注</w:t>
            </w:r>
          </w:p>
        </w:tc>
        <w:tc>
          <w:tcPr>
            <w:tcW w:w="1418" w:type="dxa"/>
          </w:tcPr>
          <w:p w14:paraId="2364D52A" w14:textId="77777777" w:rsidR="00A052DC" w:rsidRDefault="009F0A60">
            <w:pPr>
              <w:pStyle w:val="B"/>
              <w:rPr>
                <w:szCs w:val="20"/>
              </w:rPr>
            </w:pPr>
            <w:r>
              <w:rPr>
                <w:rFonts w:hint="eastAsia"/>
                <w:szCs w:val="20"/>
              </w:rPr>
              <w:t>字符型，</w:t>
            </w:r>
            <w:r>
              <w:rPr>
                <w:szCs w:val="20"/>
              </w:rPr>
              <w:t>512</w:t>
            </w:r>
          </w:p>
        </w:tc>
        <w:tc>
          <w:tcPr>
            <w:tcW w:w="4149" w:type="dxa"/>
          </w:tcPr>
          <w:p w14:paraId="6E5263B4" w14:textId="77777777" w:rsidR="00A052DC" w:rsidRDefault="009F0A60">
            <w:pPr>
              <w:pStyle w:val="B"/>
              <w:rPr>
                <w:szCs w:val="20"/>
              </w:rPr>
            </w:pPr>
            <w:r>
              <w:rPr>
                <w:rFonts w:hint="eastAsia"/>
                <w:szCs w:val="20"/>
              </w:rPr>
              <w:t>当</w:t>
            </w:r>
            <w:r>
              <w:rPr>
                <w:szCs w:val="20"/>
              </w:rPr>
              <w:t>D0215</w:t>
            </w:r>
            <w:r>
              <w:rPr>
                <w:rFonts w:hint="eastAsia"/>
                <w:szCs w:val="20"/>
              </w:rPr>
              <w:t>、D0209、D0212</w:t>
            </w:r>
            <w:r>
              <w:rPr>
                <w:szCs w:val="20"/>
              </w:rPr>
              <w:t>中任一项为负数</w:t>
            </w:r>
            <w:r>
              <w:rPr>
                <w:rFonts w:hint="eastAsia"/>
                <w:szCs w:val="20"/>
              </w:rPr>
              <w:t>时为必填项。</w:t>
            </w:r>
          </w:p>
        </w:tc>
      </w:tr>
    </w:tbl>
    <w:p w14:paraId="33076FC4" w14:textId="77777777" w:rsidR="00A052DC" w:rsidRDefault="00A052DC"/>
    <w:p w14:paraId="3F5774E4" w14:textId="77777777" w:rsidR="00A052DC" w:rsidRDefault="009F0A60" w:rsidP="0020251D">
      <w:pPr>
        <w:pStyle w:val="3"/>
        <w:ind w:left="0"/>
        <w:rPr>
          <w:rFonts w:ascii="Times New Roman" w:hAnsi="Times New Roman"/>
        </w:rPr>
      </w:pPr>
      <w:bookmarkStart w:id="3223" w:name="_Toc380356291"/>
      <w:bookmarkStart w:id="3224" w:name="_Toc91455318"/>
      <w:bookmarkStart w:id="3225" w:name="_Toc454391306"/>
      <w:bookmarkStart w:id="3226" w:name="_Toc380570959"/>
      <w:bookmarkStart w:id="3227" w:name="_Toc101684491"/>
      <w:r>
        <w:rPr>
          <w:rFonts w:ascii="Times New Roman" w:hAnsi="Times New Roman"/>
        </w:rPr>
        <w:t>D03</w:t>
      </w:r>
      <w:r>
        <w:rPr>
          <w:rFonts w:ascii="Times New Roman" w:hAnsi="Times New Roman" w:hint="eastAsia"/>
        </w:rPr>
        <w:t>表：持有境外非公司制机构</w:t>
      </w:r>
      <w:r>
        <w:rPr>
          <w:rFonts w:ascii="Times New Roman" w:hAnsi="Times New Roman"/>
        </w:rPr>
        <w:t>10%</w:t>
      </w:r>
      <w:r>
        <w:rPr>
          <w:rFonts w:ascii="Times New Roman" w:hAnsi="Times New Roman" w:hint="eastAsia"/>
        </w:rPr>
        <w:t>以下表决权和国际组织股权（资产）</w:t>
      </w:r>
      <w:bookmarkEnd w:id="3223"/>
      <w:bookmarkEnd w:id="3224"/>
      <w:bookmarkEnd w:id="3225"/>
      <w:bookmarkEnd w:id="3226"/>
      <w:bookmarkEnd w:id="3227"/>
    </w:p>
    <w:p w14:paraId="192C1BA2" w14:textId="77777777" w:rsidR="00A052DC" w:rsidRDefault="009F0A60" w:rsidP="0020251D">
      <w:pPr>
        <w:pStyle w:val="4"/>
        <w:numPr>
          <w:ilvl w:val="3"/>
          <w:numId w:val="1"/>
        </w:numPr>
        <w:jc w:val="left"/>
      </w:pPr>
      <w:bookmarkStart w:id="3228" w:name="_Toc380570960"/>
      <w:bookmarkStart w:id="3229" w:name="_Toc454391307"/>
      <w:r>
        <w:rPr>
          <w:rFonts w:hint="eastAsia"/>
        </w:rPr>
        <w:t>数据术语解释</w:t>
      </w:r>
      <w:bookmarkEnd w:id="3228"/>
      <w:bookmarkEnd w:id="3229"/>
    </w:p>
    <w:p w14:paraId="4C2CD04C" w14:textId="77777777" w:rsidR="00A052DC" w:rsidRDefault="00A052DC">
      <w:pPr>
        <w:spacing w:line="240" w:lineRule="exact"/>
        <w:rPr>
          <w:sz w:val="18"/>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6945"/>
      </w:tblGrid>
      <w:tr w:rsidR="00A052DC" w14:paraId="634BED3F" w14:textId="77777777">
        <w:trPr>
          <w:cantSplit/>
        </w:trPr>
        <w:tc>
          <w:tcPr>
            <w:tcW w:w="1668" w:type="dxa"/>
          </w:tcPr>
          <w:p w14:paraId="6E3FC128" w14:textId="77777777" w:rsidR="00A052DC" w:rsidRDefault="009F0A60">
            <w:pPr>
              <w:pStyle w:val="B1"/>
            </w:pPr>
            <w:r>
              <w:rPr>
                <w:rFonts w:hint="eastAsia"/>
              </w:rPr>
              <w:t>基础数据项</w:t>
            </w:r>
          </w:p>
        </w:tc>
        <w:tc>
          <w:tcPr>
            <w:tcW w:w="6945" w:type="dxa"/>
          </w:tcPr>
          <w:p w14:paraId="1EE21BA9" w14:textId="77777777" w:rsidR="00A052DC" w:rsidRDefault="009F0A60">
            <w:pPr>
              <w:pStyle w:val="B1"/>
            </w:pPr>
            <w:r>
              <w:rPr>
                <w:rFonts w:hint="eastAsia"/>
              </w:rPr>
              <w:t>定义</w:t>
            </w:r>
          </w:p>
        </w:tc>
      </w:tr>
      <w:tr w:rsidR="00A052DC" w14:paraId="458D604B" w14:textId="77777777">
        <w:trPr>
          <w:cantSplit/>
        </w:trPr>
        <w:tc>
          <w:tcPr>
            <w:tcW w:w="1668" w:type="dxa"/>
          </w:tcPr>
          <w:p w14:paraId="72D97555" w14:textId="77777777" w:rsidR="00A052DC" w:rsidRDefault="009F0A60">
            <w:pPr>
              <w:pStyle w:val="B"/>
              <w:rPr>
                <w:szCs w:val="20"/>
              </w:rPr>
            </w:pPr>
            <w:r>
              <w:rPr>
                <w:rFonts w:hint="eastAsia"/>
                <w:szCs w:val="20"/>
              </w:rPr>
              <w:t>数据自编码</w:t>
            </w:r>
          </w:p>
        </w:tc>
        <w:tc>
          <w:tcPr>
            <w:tcW w:w="6945" w:type="dxa"/>
          </w:tcPr>
          <w:p w14:paraId="1B7729DA" w14:textId="77777777" w:rsidR="00A052DC" w:rsidRDefault="009F0A60">
            <w:pPr>
              <w:pStyle w:val="B"/>
              <w:rPr>
                <w:szCs w:val="20"/>
              </w:rPr>
            </w:pPr>
            <w:r>
              <w:rPr>
                <w:rFonts w:hint="eastAsia"/>
                <w:szCs w:val="20"/>
              </w:rPr>
              <w:t>该编码用于标识金融机构报送的每一条数据，按给定规则编码，便于进行增删改查等操作。建议规则：机构代码（18位，不足18位补</w:t>
            </w:r>
            <w:r>
              <w:rPr>
                <w:szCs w:val="20"/>
              </w:rPr>
              <w:t>a</w:t>
            </w:r>
            <w:r>
              <w:rPr>
                <w:rFonts w:hint="eastAsia"/>
                <w:szCs w:val="20"/>
              </w:rPr>
              <w:t>）</w:t>
            </w:r>
            <w:r>
              <w:rPr>
                <w:szCs w:val="20"/>
              </w:rPr>
              <w:t>+</w:t>
            </w:r>
            <w:r>
              <w:rPr>
                <w:rFonts w:hint="eastAsia"/>
                <w:szCs w:val="20"/>
              </w:rPr>
              <w:t>报表代码（</w:t>
            </w:r>
            <w:r>
              <w:rPr>
                <w:szCs w:val="20"/>
              </w:rPr>
              <w:t>5</w:t>
            </w:r>
            <w:r>
              <w:rPr>
                <w:rFonts w:hint="eastAsia"/>
                <w:szCs w:val="20"/>
              </w:rPr>
              <w:t>位，不足</w:t>
            </w:r>
            <w:r>
              <w:rPr>
                <w:szCs w:val="20"/>
              </w:rPr>
              <w:t>5</w:t>
            </w:r>
            <w:r>
              <w:rPr>
                <w:rFonts w:hint="eastAsia"/>
                <w:szCs w:val="20"/>
              </w:rPr>
              <w:t>位补</w:t>
            </w:r>
            <w:r>
              <w:rPr>
                <w:szCs w:val="20"/>
              </w:rPr>
              <w:t>a</w:t>
            </w:r>
            <w:r>
              <w:rPr>
                <w:rFonts w:hint="eastAsia"/>
                <w:szCs w:val="20"/>
              </w:rPr>
              <w:t>）</w:t>
            </w:r>
            <w:r>
              <w:rPr>
                <w:szCs w:val="20"/>
              </w:rPr>
              <w:t>+</w:t>
            </w:r>
            <w:r>
              <w:rPr>
                <w:rFonts w:hint="eastAsia"/>
                <w:szCs w:val="20"/>
              </w:rPr>
              <w:t>报送期（</w:t>
            </w:r>
            <w:r>
              <w:rPr>
                <w:szCs w:val="20"/>
              </w:rPr>
              <w:t>6</w:t>
            </w:r>
            <w:r>
              <w:rPr>
                <w:rFonts w:hint="eastAsia"/>
                <w:szCs w:val="20"/>
              </w:rPr>
              <w:t>位）</w:t>
            </w:r>
            <w:r>
              <w:rPr>
                <w:szCs w:val="20"/>
              </w:rPr>
              <w:t>+</w:t>
            </w:r>
            <w:r>
              <w:rPr>
                <w:rFonts w:hint="eastAsia"/>
                <w:szCs w:val="20"/>
              </w:rPr>
              <w:t>顺序号（</w:t>
            </w:r>
            <w:r>
              <w:rPr>
                <w:szCs w:val="20"/>
              </w:rPr>
              <w:t>7</w:t>
            </w:r>
            <w:r>
              <w:rPr>
                <w:rFonts w:hint="eastAsia"/>
                <w:szCs w:val="20"/>
              </w:rPr>
              <w:t>位，从</w:t>
            </w:r>
            <w:r>
              <w:rPr>
                <w:szCs w:val="20"/>
              </w:rPr>
              <w:t>0000001</w:t>
            </w:r>
            <w:r>
              <w:rPr>
                <w:rFonts w:hint="eastAsia"/>
                <w:szCs w:val="20"/>
              </w:rPr>
              <w:t>开始增加）。</w:t>
            </w:r>
          </w:p>
        </w:tc>
      </w:tr>
      <w:tr w:rsidR="00A052DC" w14:paraId="51719B6A" w14:textId="77777777">
        <w:trPr>
          <w:cantSplit/>
        </w:trPr>
        <w:tc>
          <w:tcPr>
            <w:tcW w:w="1668" w:type="dxa"/>
          </w:tcPr>
          <w:p w14:paraId="5BB3FDC1" w14:textId="77777777" w:rsidR="00A052DC" w:rsidRDefault="009F0A60">
            <w:pPr>
              <w:pStyle w:val="B"/>
              <w:rPr>
                <w:szCs w:val="20"/>
              </w:rPr>
            </w:pPr>
            <w:r>
              <w:rPr>
                <w:rFonts w:hint="eastAsia"/>
                <w:szCs w:val="20"/>
              </w:rPr>
              <w:t>申报主体代码</w:t>
            </w:r>
          </w:p>
        </w:tc>
        <w:tc>
          <w:tcPr>
            <w:tcW w:w="6945" w:type="dxa"/>
          </w:tcPr>
          <w:p w14:paraId="231AAD28" w14:textId="77777777" w:rsidR="00A052DC" w:rsidRDefault="009F0A60">
            <w:pPr>
              <w:pStyle w:val="B"/>
              <w:rPr>
                <w:szCs w:val="20"/>
              </w:rPr>
            </w:pPr>
            <w:r>
              <w:rPr>
                <w:rFonts w:hint="eastAsia"/>
                <w:szCs w:val="20"/>
              </w:rPr>
              <w:t>申报主体的12位金融机构标识码，如果没有金融机构标识码，则填报统一社会信用代码法定载体（如营业执照）上统一社会信用代码中的第9至17位或国家外汇管理局及其分支局签发的特殊机构代码赋码通知书上的机构代码、个人身份代码。</w:t>
            </w:r>
          </w:p>
        </w:tc>
      </w:tr>
      <w:tr w:rsidR="00A052DC" w14:paraId="1EED1F0C" w14:textId="77777777">
        <w:trPr>
          <w:cantSplit/>
        </w:trPr>
        <w:tc>
          <w:tcPr>
            <w:tcW w:w="1668" w:type="dxa"/>
          </w:tcPr>
          <w:p w14:paraId="0E642114" w14:textId="77777777" w:rsidR="00A052DC" w:rsidRDefault="009F0A60">
            <w:pPr>
              <w:pStyle w:val="B"/>
              <w:rPr>
                <w:szCs w:val="20"/>
              </w:rPr>
            </w:pPr>
            <w:r>
              <w:rPr>
                <w:rFonts w:hint="eastAsia"/>
                <w:szCs w:val="20"/>
              </w:rPr>
              <w:t>报告期</w:t>
            </w:r>
          </w:p>
        </w:tc>
        <w:tc>
          <w:tcPr>
            <w:tcW w:w="6945" w:type="dxa"/>
          </w:tcPr>
          <w:p w14:paraId="3255C180" w14:textId="77777777" w:rsidR="00A052DC" w:rsidRDefault="009F0A60">
            <w:pPr>
              <w:pStyle w:val="B"/>
              <w:rPr>
                <w:szCs w:val="20"/>
              </w:rPr>
            </w:pPr>
            <w:r>
              <w:rPr>
                <w:rFonts w:hint="eastAsia"/>
                <w:szCs w:val="20"/>
              </w:rPr>
              <w:t>业务发生月份，格式为</w:t>
            </w:r>
            <w:r>
              <w:rPr>
                <w:szCs w:val="20"/>
              </w:rPr>
              <w:t>YYYYMM</w:t>
            </w:r>
            <w:r>
              <w:rPr>
                <w:rFonts w:hint="eastAsia"/>
                <w:szCs w:val="20"/>
              </w:rPr>
              <w:t>。</w:t>
            </w:r>
          </w:p>
        </w:tc>
      </w:tr>
      <w:tr w:rsidR="00A052DC" w14:paraId="7BA59D43" w14:textId="77777777">
        <w:trPr>
          <w:cantSplit/>
        </w:trPr>
        <w:tc>
          <w:tcPr>
            <w:tcW w:w="1668" w:type="dxa"/>
          </w:tcPr>
          <w:p w14:paraId="09CCD725" w14:textId="77777777" w:rsidR="00A052DC" w:rsidRDefault="009F0A60">
            <w:pPr>
              <w:pStyle w:val="B"/>
              <w:rPr>
                <w:szCs w:val="20"/>
              </w:rPr>
            </w:pPr>
            <w:r>
              <w:rPr>
                <w:rFonts w:hint="eastAsia"/>
                <w:szCs w:val="20"/>
              </w:rPr>
              <w:t>对方名称</w:t>
            </w:r>
          </w:p>
        </w:tc>
        <w:tc>
          <w:tcPr>
            <w:tcW w:w="6945" w:type="dxa"/>
          </w:tcPr>
          <w:p w14:paraId="12665A5F" w14:textId="77777777" w:rsidR="00A052DC" w:rsidRDefault="009F0A60">
            <w:pPr>
              <w:pStyle w:val="B"/>
              <w:rPr>
                <w:szCs w:val="20"/>
              </w:rPr>
            </w:pPr>
            <w:r>
              <w:rPr>
                <w:rFonts w:hint="eastAsia"/>
                <w:szCs w:val="20"/>
              </w:rPr>
              <w:t>指境外被投资主体的中文名称及当地注册的英文名称，如为其他语言名称，可不填写外文名称，但必须填写中文名称。</w:t>
            </w:r>
          </w:p>
        </w:tc>
      </w:tr>
      <w:tr w:rsidR="00A052DC" w14:paraId="36B930A4" w14:textId="77777777">
        <w:trPr>
          <w:cantSplit/>
        </w:trPr>
        <w:tc>
          <w:tcPr>
            <w:tcW w:w="1668" w:type="dxa"/>
          </w:tcPr>
          <w:p w14:paraId="1B8F20BB" w14:textId="77777777" w:rsidR="00A052DC" w:rsidRDefault="009F0A60">
            <w:pPr>
              <w:pStyle w:val="B"/>
              <w:rPr>
                <w:szCs w:val="20"/>
              </w:rPr>
            </w:pPr>
            <w:r>
              <w:rPr>
                <w:rFonts w:hint="eastAsia"/>
                <w:szCs w:val="20"/>
              </w:rPr>
              <w:t>对方代码</w:t>
            </w:r>
          </w:p>
        </w:tc>
        <w:tc>
          <w:tcPr>
            <w:tcW w:w="6945" w:type="dxa"/>
          </w:tcPr>
          <w:p w14:paraId="5CE7767B" w14:textId="77777777" w:rsidR="00A052DC" w:rsidRDefault="009F0A60">
            <w:pPr>
              <w:pStyle w:val="B"/>
              <w:rPr>
                <w:szCs w:val="20"/>
              </w:rPr>
            </w:pPr>
            <w:r>
              <w:rPr>
                <w:rFonts w:hint="eastAsia"/>
                <w:szCs w:val="20"/>
              </w:rPr>
              <w:t>指可以唯一标识该境外被投资主体的代码，包括“</w:t>
            </w:r>
            <w:r>
              <w:rPr>
                <w:szCs w:val="20"/>
              </w:rPr>
              <w:t>SWIFT</w:t>
            </w:r>
            <w:r>
              <w:rPr>
                <w:rFonts w:hint="eastAsia"/>
                <w:szCs w:val="20"/>
              </w:rPr>
              <w:t>编码”等。如无市场通用代码，应使用本机构内部使用的代码进行唯一标识。</w:t>
            </w:r>
          </w:p>
        </w:tc>
      </w:tr>
      <w:tr w:rsidR="00A052DC" w14:paraId="5393F797" w14:textId="77777777">
        <w:trPr>
          <w:cantSplit/>
        </w:trPr>
        <w:tc>
          <w:tcPr>
            <w:tcW w:w="1668" w:type="dxa"/>
          </w:tcPr>
          <w:p w14:paraId="798BC2E4" w14:textId="77777777" w:rsidR="00A052DC" w:rsidRDefault="009F0A60">
            <w:pPr>
              <w:pStyle w:val="B"/>
              <w:rPr>
                <w:szCs w:val="20"/>
              </w:rPr>
            </w:pPr>
            <w:r>
              <w:rPr>
                <w:rFonts w:hint="eastAsia"/>
                <w:szCs w:val="20"/>
              </w:rPr>
              <w:t>对方国家</w:t>
            </w:r>
            <w:r>
              <w:rPr>
                <w:szCs w:val="20"/>
              </w:rPr>
              <w:t>/</w:t>
            </w:r>
            <w:r>
              <w:rPr>
                <w:rFonts w:hint="eastAsia"/>
                <w:szCs w:val="20"/>
              </w:rPr>
              <w:t>地区</w:t>
            </w:r>
          </w:p>
        </w:tc>
        <w:tc>
          <w:tcPr>
            <w:tcW w:w="6945" w:type="dxa"/>
          </w:tcPr>
          <w:p w14:paraId="01C09154" w14:textId="77777777" w:rsidR="00A052DC" w:rsidRDefault="009F0A60">
            <w:pPr>
              <w:pStyle w:val="B"/>
              <w:rPr>
                <w:szCs w:val="20"/>
              </w:rPr>
            </w:pPr>
            <w:r>
              <w:rPr>
                <w:rFonts w:hint="eastAsia"/>
                <w:szCs w:val="20"/>
              </w:rPr>
              <w:t>指境外被投资主体注册或常驻的国家</w:t>
            </w:r>
            <w:r>
              <w:rPr>
                <w:szCs w:val="20"/>
              </w:rPr>
              <w:t>/</w:t>
            </w:r>
            <w:r>
              <w:rPr>
                <w:rFonts w:hint="eastAsia"/>
                <w:szCs w:val="20"/>
              </w:rPr>
              <w:t>地区。见国家和地区代码表。</w:t>
            </w:r>
          </w:p>
        </w:tc>
      </w:tr>
      <w:tr w:rsidR="00A052DC" w14:paraId="2A36787B" w14:textId="77777777">
        <w:trPr>
          <w:cantSplit/>
        </w:trPr>
        <w:tc>
          <w:tcPr>
            <w:tcW w:w="1668" w:type="dxa"/>
          </w:tcPr>
          <w:p w14:paraId="6E8E3EE9" w14:textId="77777777" w:rsidR="00A052DC" w:rsidRDefault="009F0A60">
            <w:pPr>
              <w:pStyle w:val="B"/>
              <w:rPr>
                <w:szCs w:val="20"/>
              </w:rPr>
            </w:pPr>
            <w:r>
              <w:rPr>
                <w:rFonts w:hint="eastAsia"/>
                <w:szCs w:val="20"/>
              </w:rPr>
              <w:t>对方部门</w:t>
            </w:r>
          </w:p>
        </w:tc>
        <w:tc>
          <w:tcPr>
            <w:tcW w:w="6945" w:type="dxa"/>
          </w:tcPr>
          <w:p w14:paraId="6210666E" w14:textId="77777777" w:rsidR="00A052DC" w:rsidRDefault="009F0A60">
            <w:pPr>
              <w:pStyle w:val="B"/>
              <w:rPr>
                <w:szCs w:val="20"/>
              </w:rPr>
            </w:pPr>
            <w:r>
              <w:rPr>
                <w:rFonts w:hint="eastAsia"/>
                <w:szCs w:val="20"/>
              </w:rPr>
              <w:t>指境外被投资主体所属部门，见投资者（被投资者）部门代码表。请按境外被投资主体的主营业务归类。</w:t>
            </w:r>
          </w:p>
        </w:tc>
      </w:tr>
      <w:tr w:rsidR="00A052DC" w14:paraId="1372CE92" w14:textId="77777777">
        <w:trPr>
          <w:cantSplit/>
        </w:trPr>
        <w:tc>
          <w:tcPr>
            <w:tcW w:w="1668" w:type="dxa"/>
          </w:tcPr>
          <w:p w14:paraId="06B8DD74" w14:textId="77777777" w:rsidR="00A052DC" w:rsidRDefault="009F0A60">
            <w:pPr>
              <w:pStyle w:val="B"/>
              <w:rPr>
                <w:szCs w:val="20"/>
              </w:rPr>
            </w:pPr>
            <w:r>
              <w:rPr>
                <w:rFonts w:hint="eastAsia"/>
                <w:szCs w:val="20"/>
              </w:rPr>
              <w:t>对方与本机构的关系</w:t>
            </w:r>
          </w:p>
        </w:tc>
        <w:tc>
          <w:tcPr>
            <w:tcW w:w="6945" w:type="dxa"/>
          </w:tcPr>
          <w:p w14:paraId="7D146BA7" w14:textId="77777777" w:rsidR="00A052DC" w:rsidRDefault="009F0A60">
            <w:pPr>
              <w:pStyle w:val="B"/>
              <w:rPr>
                <w:szCs w:val="20"/>
              </w:rPr>
            </w:pPr>
            <w:r>
              <w:rPr>
                <w:rFonts w:hint="eastAsia"/>
                <w:szCs w:val="20"/>
              </w:rPr>
              <w:t>见对方与本机构</w:t>
            </w:r>
            <w:r>
              <w:rPr>
                <w:szCs w:val="20"/>
              </w:rPr>
              <w:t>/</w:t>
            </w:r>
            <w:r>
              <w:rPr>
                <w:rFonts w:hint="eastAsia"/>
                <w:szCs w:val="20"/>
              </w:rPr>
              <w:t>被代理居民机构</w:t>
            </w:r>
            <w:r>
              <w:rPr>
                <w:szCs w:val="20"/>
              </w:rPr>
              <w:t>/</w:t>
            </w:r>
            <w:r>
              <w:rPr>
                <w:rFonts w:hint="eastAsia"/>
                <w:szCs w:val="20"/>
              </w:rPr>
              <w:t>委托人的关系代码表。分为以下四种情况：</w:t>
            </w:r>
            <w:r>
              <w:rPr>
                <w:szCs w:val="20"/>
              </w:rPr>
              <w:t>1-</w:t>
            </w:r>
            <w:r>
              <w:rPr>
                <w:rFonts w:hint="eastAsia"/>
                <w:szCs w:val="20"/>
              </w:rPr>
              <w:t>对方是本机构的境外直接投资者，即持有本机构表决权≥</w:t>
            </w:r>
            <w:r>
              <w:rPr>
                <w:szCs w:val="20"/>
              </w:rPr>
              <w:t>10%</w:t>
            </w:r>
            <w:r>
              <w:rPr>
                <w:rFonts w:hint="eastAsia"/>
                <w:szCs w:val="20"/>
              </w:rPr>
              <w:t>；</w:t>
            </w:r>
            <w:r>
              <w:rPr>
                <w:szCs w:val="20"/>
              </w:rPr>
              <w:t>2-</w:t>
            </w:r>
            <w:r>
              <w:rPr>
                <w:rFonts w:hint="eastAsia"/>
                <w:szCs w:val="20"/>
              </w:rPr>
              <w:t>对方是本机构的境外直接投资企业，即本机构持有</w:t>
            </w:r>
            <w:r>
              <w:rPr>
                <w:szCs w:val="20"/>
              </w:rPr>
              <w:t>10%</w:t>
            </w:r>
            <w:r>
              <w:rPr>
                <w:rFonts w:hint="eastAsia"/>
                <w:szCs w:val="20"/>
              </w:rPr>
              <w:t>及以上表决权的境外分支机构、子机构、联营机构或合营机构；</w:t>
            </w:r>
            <w:r>
              <w:rPr>
                <w:szCs w:val="20"/>
              </w:rPr>
              <w:t>3-</w:t>
            </w:r>
            <w:r>
              <w:rPr>
                <w:rFonts w:hint="eastAsia"/>
                <w:szCs w:val="20"/>
              </w:rPr>
              <w:t>对方是本机构的境外联属机构，即双方有共同母公司，但相互持有表决权＜</w:t>
            </w:r>
            <w:r>
              <w:rPr>
                <w:szCs w:val="20"/>
              </w:rPr>
              <w:t>10%</w:t>
            </w:r>
            <w:r>
              <w:rPr>
                <w:rFonts w:hint="eastAsia"/>
                <w:szCs w:val="20"/>
              </w:rPr>
              <w:t>或相互不持有表决权；</w:t>
            </w:r>
            <w:r>
              <w:rPr>
                <w:szCs w:val="20"/>
              </w:rPr>
              <w:t>4-</w:t>
            </w:r>
            <w:r>
              <w:rPr>
                <w:rFonts w:hint="eastAsia"/>
                <w:szCs w:val="20"/>
              </w:rPr>
              <w:t>对方与本机构无关联关系。</w:t>
            </w:r>
          </w:p>
        </w:tc>
      </w:tr>
      <w:tr w:rsidR="00A052DC" w14:paraId="641981E5" w14:textId="77777777">
        <w:trPr>
          <w:cantSplit/>
        </w:trPr>
        <w:tc>
          <w:tcPr>
            <w:tcW w:w="1668" w:type="dxa"/>
          </w:tcPr>
          <w:p w14:paraId="366B75E8" w14:textId="77777777" w:rsidR="00A052DC" w:rsidRDefault="009F0A60">
            <w:pPr>
              <w:pStyle w:val="B"/>
              <w:rPr>
                <w:szCs w:val="20"/>
              </w:rPr>
            </w:pPr>
            <w:r>
              <w:rPr>
                <w:rFonts w:hint="eastAsia"/>
                <w:szCs w:val="20"/>
              </w:rPr>
              <w:t>原始币种</w:t>
            </w:r>
          </w:p>
        </w:tc>
        <w:tc>
          <w:tcPr>
            <w:tcW w:w="6945" w:type="dxa"/>
          </w:tcPr>
          <w:p w14:paraId="539707F7" w14:textId="77777777" w:rsidR="00A052DC" w:rsidRDefault="009F0A60">
            <w:pPr>
              <w:pStyle w:val="B"/>
              <w:rPr>
                <w:szCs w:val="20"/>
              </w:rPr>
            </w:pPr>
            <w:r>
              <w:rPr>
                <w:rFonts w:hint="eastAsia"/>
                <w:szCs w:val="20"/>
              </w:rPr>
              <w:t>根据本机构会计系统中相关股权的记账币种进行填报，适用于上月末余额至本月本机构的红利</w:t>
            </w:r>
            <w:r>
              <w:rPr>
                <w:szCs w:val="20"/>
              </w:rPr>
              <w:t>/</w:t>
            </w:r>
            <w:r>
              <w:rPr>
                <w:rFonts w:hint="eastAsia"/>
                <w:szCs w:val="20"/>
              </w:rPr>
              <w:t>股息</w:t>
            </w:r>
            <w:r>
              <w:rPr>
                <w:szCs w:val="20"/>
              </w:rPr>
              <w:t>/</w:t>
            </w:r>
            <w:r>
              <w:rPr>
                <w:rFonts w:hint="eastAsia"/>
                <w:szCs w:val="20"/>
              </w:rPr>
              <w:t>利润收入各项。见币种代码表。</w:t>
            </w:r>
          </w:p>
        </w:tc>
      </w:tr>
      <w:tr w:rsidR="00A052DC" w14:paraId="07763AFE" w14:textId="77777777">
        <w:trPr>
          <w:cantSplit/>
        </w:trPr>
        <w:tc>
          <w:tcPr>
            <w:tcW w:w="1668" w:type="dxa"/>
          </w:tcPr>
          <w:p w14:paraId="41990F00" w14:textId="77777777" w:rsidR="00A052DC" w:rsidRDefault="009F0A60">
            <w:pPr>
              <w:pStyle w:val="B"/>
              <w:rPr>
                <w:szCs w:val="20"/>
              </w:rPr>
            </w:pPr>
            <w:r>
              <w:rPr>
                <w:rFonts w:hint="eastAsia"/>
                <w:szCs w:val="20"/>
              </w:rPr>
              <w:t>上月末余额</w:t>
            </w:r>
          </w:p>
        </w:tc>
        <w:tc>
          <w:tcPr>
            <w:tcW w:w="6945" w:type="dxa"/>
          </w:tcPr>
          <w:p w14:paraId="27E1408D" w14:textId="77777777" w:rsidR="00A052DC" w:rsidRDefault="009F0A60">
            <w:pPr>
              <w:pStyle w:val="B"/>
              <w:rPr>
                <w:szCs w:val="20"/>
              </w:rPr>
            </w:pPr>
            <w:r>
              <w:rPr>
                <w:rFonts w:hint="eastAsia"/>
                <w:szCs w:val="20"/>
              </w:rPr>
              <w:t>指上月末本机构持有相关股权的存量金额。</w:t>
            </w:r>
          </w:p>
        </w:tc>
      </w:tr>
      <w:tr w:rsidR="00A052DC" w14:paraId="448492B6" w14:textId="77777777">
        <w:trPr>
          <w:cantSplit/>
        </w:trPr>
        <w:tc>
          <w:tcPr>
            <w:tcW w:w="1668" w:type="dxa"/>
          </w:tcPr>
          <w:p w14:paraId="5DC1C69D" w14:textId="77777777" w:rsidR="00A052DC" w:rsidRDefault="009F0A60">
            <w:pPr>
              <w:pStyle w:val="B"/>
              <w:rPr>
                <w:szCs w:val="20"/>
              </w:rPr>
            </w:pPr>
            <w:r>
              <w:rPr>
                <w:rFonts w:hint="eastAsia"/>
                <w:szCs w:val="20"/>
              </w:rPr>
              <w:t>本月末余额</w:t>
            </w:r>
          </w:p>
        </w:tc>
        <w:tc>
          <w:tcPr>
            <w:tcW w:w="6945" w:type="dxa"/>
          </w:tcPr>
          <w:p w14:paraId="6DED528B" w14:textId="77777777" w:rsidR="00A052DC" w:rsidRDefault="009F0A60">
            <w:pPr>
              <w:pStyle w:val="B"/>
              <w:rPr>
                <w:szCs w:val="20"/>
              </w:rPr>
            </w:pPr>
            <w:r>
              <w:rPr>
                <w:rFonts w:hint="eastAsia"/>
                <w:szCs w:val="20"/>
              </w:rPr>
              <w:t>指本月末本机构持有相关股权的存量金额。</w:t>
            </w:r>
          </w:p>
        </w:tc>
      </w:tr>
      <w:tr w:rsidR="00A052DC" w14:paraId="58DD768B" w14:textId="77777777">
        <w:trPr>
          <w:cantSplit/>
        </w:trPr>
        <w:tc>
          <w:tcPr>
            <w:tcW w:w="1668" w:type="dxa"/>
          </w:tcPr>
          <w:p w14:paraId="2CFD1F78" w14:textId="77777777" w:rsidR="00A052DC" w:rsidRDefault="009F0A60">
            <w:pPr>
              <w:pStyle w:val="B"/>
              <w:rPr>
                <w:szCs w:val="20"/>
              </w:rPr>
            </w:pPr>
            <w:r>
              <w:rPr>
                <w:rFonts w:hint="eastAsia"/>
                <w:szCs w:val="20"/>
              </w:rPr>
              <w:t>本月非交易变动</w:t>
            </w:r>
          </w:p>
        </w:tc>
        <w:tc>
          <w:tcPr>
            <w:tcW w:w="6945" w:type="dxa"/>
          </w:tcPr>
          <w:p w14:paraId="05ACFFC9" w14:textId="77777777" w:rsidR="00A052DC" w:rsidRDefault="009F0A60">
            <w:pPr>
              <w:pStyle w:val="B"/>
              <w:rPr>
                <w:szCs w:val="20"/>
              </w:rPr>
            </w:pPr>
            <w:r>
              <w:rPr>
                <w:rFonts w:hint="eastAsia"/>
                <w:szCs w:val="20"/>
              </w:rPr>
              <w:t>指本机构本月因撤销或注销、重新分类以及所涉主体居民地位改变等因素导致其他股权增减的净额。计算方法为：本月非交易变动</w:t>
            </w:r>
            <w:r>
              <w:rPr>
                <w:szCs w:val="20"/>
              </w:rPr>
              <w:t>=</w:t>
            </w:r>
            <w:r>
              <w:rPr>
                <w:rFonts w:hint="eastAsia"/>
                <w:szCs w:val="20"/>
              </w:rPr>
              <w:t>本月末余额</w:t>
            </w:r>
            <w:r>
              <w:rPr>
                <w:szCs w:val="20"/>
              </w:rPr>
              <w:t>-</w:t>
            </w:r>
            <w:r>
              <w:rPr>
                <w:rFonts w:hint="eastAsia"/>
                <w:szCs w:val="20"/>
              </w:rPr>
              <w:t>上月末余额</w:t>
            </w:r>
            <w:r>
              <w:rPr>
                <w:szCs w:val="20"/>
              </w:rPr>
              <w:t>-</w:t>
            </w:r>
            <w:r>
              <w:rPr>
                <w:rFonts w:hint="eastAsia"/>
                <w:szCs w:val="20"/>
              </w:rPr>
              <w:t>本月净发生额。</w:t>
            </w:r>
          </w:p>
        </w:tc>
      </w:tr>
      <w:tr w:rsidR="00A052DC" w14:paraId="102521EC" w14:textId="77777777">
        <w:trPr>
          <w:cantSplit/>
        </w:trPr>
        <w:tc>
          <w:tcPr>
            <w:tcW w:w="1668" w:type="dxa"/>
          </w:tcPr>
          <w:p w14:paraId="43199900" w14:textId="77777777" w:rsidR="00A052DC" w:rsidRDefault="009F0A60">
            <w:pPr>
              <w:pStyle w:val="B"/>
              <w:rPr>
                <w:szCs w:val="20"/>
              </w:rPr>
            </w:pPr>
            <w:r>
              <w:rPr>
                <w:rFonts w:hint="eastAsia"/>
                <w:szCs w:val="20"/>
              </w:rPr>
              <w:t>本月净发生额</w:t>
            </w:r>
          </w:p>
        </w:tc>
        <w:tc>
          <w:tcPr>
            <w:tcW w:w="6945" w:type="dxa"/>
          </w:tcPr>
          <w:p w14:paraId="480F5B0F" w14:textId="77777777" w:rsidR="00A052DC" w:rsidRDefault="009F0A60">
            <w:pPr>
              <w:pStyle w:val="B"/>
              <w:rPr>
                <w:szCs w:val="20"/>
              </w:rPr>
            </w:pPr>
            <w:r>
              <w:rPr>
                <w:rFonts w:hint="eastAsia"/>
                <w:szCs w:val="20"/>
              </w:rPr>
              <w:t>指本机构本月购入或售出不可流通股权的净值（购入</w:t>
            </w:r>
            <w:r>
              <w:rPr>
                <w:szCs w:val="20"/>
              </w:rPr>
              <w:t>-</w:t>
            </w:r>
            <w:r>
              <w:rPr>
                <w:rFonts w:hint="eastAsia"/>
                <w:szCs w:val="20"/>
              </w:rPr>
              <w:t>出售）。正值代表资产的增加，负值代表资产的减少。</w:t>
            </w:r>
          </w:p>
        </w:tc>
      </w:tr>
      <w:tr w:rsidR="00A052DC" w14:paraId="430833CF" w14:textId="77777777">
        <w:trPr>
          <w:cantSplit/>
        </w:trPr>
        <w:tc>
          <w:tcPr>
            <w:tcW w:w="1668" w:type="dxa"/>
          </w:tcPr>
          <w:p w14:paraId="7B931B8B" w14:textId="77777777" w:rsidR="00A052DC" w:rsidRDefault="009F0A60">
            <w:pPr>
              <w:pStyle w:val="B"/>
              <w:rPr>
                <w:szCs w:val="20"/>
              </w:rPr>
            </w:pPr>
            <w:r>
              <w:rPr>
                <w:rFonts w:hint="eastAsia"/>
                <w:szCs w:val="20"/>
              </w:rPr>
              <w:t>本月末本机构持表决权比例（</w:t>
            </w:r>
            <w:r>
              <w:rPr>
                <w:szCs w:val="20"/>
              </w:rPr>
              <w:t>%</w:t>
            </w:r>
            <w:r>
              <w:rPr>
                <w:rFonts w:hint="eastAsia"/>
                <w:szCs w:val="20"/>
              </w:rPr>
              <w:t>）</w:t>
            </w:r>
          </w:p>
        </w:tc>
        <w:tc>
          <w:tcPr>
            <w:tcW w:w="6945" w:type="dxa"/>
          </w:tcPr>
          <w:p w14:paraId="5594A845" w14:textId="77777777" w:rsidR="00A052DC" w:rsidRDefault="009F0A60">
            <w:pPr>
              <w:pStyle w:val="B"/>
              <w:rPr>
                <w:szCs w:val="20"/>
              </w:rPr>
            </w:pPr>
            <w:r>
              <w:rPr>
                <w:rFonts w:hint="eastAsia"/>
                <w:szCs w:val="20"/>
              </w:rPr>
              <w:t>指月末本机构持有的相关股权所对应的表决权比例。</w:t>
            </w:r>
          </w:p>
        </w:tc>
      </w:tr>
      <w:tr w:rsidR="00A052DC" w14:paraId="78BE4A57" w14:textId="77777777">
        <w:trPr>
          <w:cantSplit/>
        </w:trPr>
        <w:tc>
          <w:tcPr>
            <w:tcW w:w="1668" w:type="dxa"/>
          </w:tcPr>
          <w:p w14:paraId="2CB876C0" w14:textId="77777777" w:rsidR="00A052DC" w:rsidRDefault="009F0A60">
            <w:pPr>
              <w:pStyle w:val="B"/>
              <w:rPr>
                <w:szCs w:val="20"/>
              </w:rPr>
            </w:pPr>
            <w:r>
              <w:rPr>
                <w:rFonts w:hint="eastAsia"/>
                <w:szCs w:val="20"/>
              </w:rPr>
              <w:t>本月本机构的红利</w:t>
            </w:r>
            <w:r>
              <w:rPr>
                <w:szCs w:val="20"/>
              </w:rPr>
              <w:t>/</w:t>
            </w:r>
            <w:r>
              <w:rPr>
                <w:rFonts w:hint="eastAsia"/>
                <w:szCs w:val="20"/>
              </w:rPr>
              <w:t>股息</w:t>
            </w:r>
            <w:r>
              <w:rPr>
                <w:szCs w:val="20"/>
              </w:rPr>
              <w:t>/</w:t>
            </w:r>
            <w:r>
              <w:rPr>
                <w:rFonts w:hint="eastAsia"/>
                <w:szCs w:val="20"/>
              </w:rPr>
              <w:t>利润收入</w:t>
            </w:r>
          </w:p>
        </w:tc>
        <w:tc>
          <w:tcPr>
            <w:tcW w:w="6945" w:type="dxa"/>
          </w:tcPr>
          <w:p w14:paraId="3BB06277" w14:textId="77777777" w:rsidR="00A052DC" w:rsidRDefault="009F0A60">
            <w:pPr>
              <w:pStyle w:val="B"/>
              <w:rPr>
                <w:szCs w:val="20"/>
              </w:rPr>
            </w:pPr>
            <w:r>
              <w:rPr>
                <w:rFonts w:hint="eastAsia"/>
                <w:szCs w:val="20"/>
              </w:rPr>
              <w:t>指本月会计账上确认的相关股权的红利、股息或利润收入。</w:t>
            </w:r>
          </w:p>
        </w:tc>
      </w:tr>
      <w:tr w:rsidR="00A052DC" w14:paraId="24E4EC45" w14:textId="77777777">
        <w:trPr>
          <w:cantSplit/>
        </w:trPr>
        <w:tc>
          <w:tcPr>
            <w:tcW w:w="1668" w:type="dxa"/>
          </w:tcPr>
          <w:p w14:paraId="3736E703" w14:textId="77777777" w:rsidR="00A052DC" w:rsidRDefault="009F0A60">
            <w:pPr>
              <w:pStyle w:val="B"/>
              <w:rPr>
                <w:szCs w:val="20"/>
              </w:rPr>
            </w:pPr>
            <w:r>
              <w:rPr>
                <w:rFonts w:hint="eastAsia"/>
                <w:szCs w:val="20"/>
              </w:rPr>
              <w:t>备注</w:t>
            </w:r>
          </w:p>
        </w:tc>
        <w:tc>
          <w:tcPr>
            <w:tcW w:w="6945" w:type="dxa"/>
          </w:tcPr>
          <w:p w14:paraId="50493E39" w14:textId="77777777" w:rsidR="00A052DC" w:rsidRDefault="009F0A60">
            <w:pPr>
              <w:pStyle w:val="B"/>
              <w:rPr>
                <w:szCs w:val="20"/>
              </w:rPr>
            </w:pPr>
            <w:r>
              <w:rPr>
                <w:rFonts w:hint="eastAsia"/>
                <w:szCs w:val="20"/>
              </w:rPr>
              <w:t>其他需要说明的情况。</w:t>
            </w:r>
          </w:p>
        </w:tc>
      </w:tr>
    </w:tbl>
    <w:p w14:paraId="7D48EB8E" w14:textId="77777777" w:rsidR="00A052DC" w:rsidRDefault="00A052DC"/>
    <w:p w14:paraId="71819447" w14:textId="77777777" w:rsidR="00A052DC" w:rsidRDefault="009F0A60" w:rsidP="0020251D">
      <w:pPr>
        <w:pStyle w:val="4"/>
        <w:numPr>
          <w:ilvl w:val="3"/>
          <w:numId w:val="1"/>
        </w:numPr>
        <w:jc w:val="left"/>
      </w:pPr>
      <w:bookmarkStart w:id="3230" w:name="_Toc454391308"/>
      <w:bookmarkStart w:id="3231" w:name="_Toc380570961"/>
      <w:bookmarkStart w:id="3232" w:name="_Toc454391309"/>
      <w:bookmarkEnd w:id="3230"/>
      <w:r>
        <w:rPr>
          <w:rFonts w:hint="eastAsia"/>
        </w:rPr>
        <w:t>数据格式</w:t>
      </w:r>
      <w:bookmarkEnd w:id="3231"/>
      <w:bookmarkEnd w:id="3232"/>
    </w:p>
    <w:p w14:paraId="13226500" w14:textId="77777777" w:rsidR="00A052DC" w:rsidRDefault="009F0A60">
      <w:pPr>
        <w:ind w:firstLine="480"/>
      </w:pPr>
      <w:r>
        <w:t>&lt;REC&gt;</w:t>
      </w:r>
    </w:p>
    <w:p w14:paraId="2989788F" w14:textId="77777777" w:rsidR="00A052DC" w:rsidRDefault="009F0A60">
      <w:pPr>
        <w:ind w:firstLine="480"/>
      </w:pPr>
      <w:r>
        <w:t>&lt;ACTIONTYPE&gt;</w:t>
      </w:r>
      <w:r>
        <w:rPr>
          <w:rFonts w:hAnsi="宋体"/>
        </w:rPr>
        <w:t>操作类型</w:t>
      </w:r>
      <w:r>
        <w:t>&lt;/ACTIONTYPE&gt;</w:t>
      </w:r>
    </w:p>
    <w:p w14:paraId="19E2CB56" w14:textId="77777777" w:rsidR="00A052DC" w:rsidRDefault="009F0A60">
      <w:pPr>
        <w:ind w:firstLine="480"/>
      </w:pPr>
      <w:r>
        <w:t>&lt;ACTIONDESC&gt;</w:t>
      </w:r>
      <w:r>
        <w:rPr>
          <w:rFonts w:hAnsi="宋体"/>
        </w:rPr>
        <w:t>删除原因</w:t>
      </w:r>
      <w:r>
        <w:t>&lt;/ACTIONDESC&gt;</w:t>
      </w:r>
    </w:p>
    <w:p w14:paraId="2C9F5D5D" w14:textId="77777777" w:rsidR="00A052DC" w:rsidRDefault="009F0A60">
      <w:pPr>
        <w:ind w:firstLine="480"/>
      </w:pPr>
      <w:r>
        <w:t>&lt;SNOCODE&gt;</w:t>
      </w:r>
      <w:r>
        <w:rPr>
          <w:rFonts w:hAnsi="宋体"/>
        </w:rPr>
        <w:t>数据自编码</w:t>
      </w:r>
      <w:r>
        <w:t>&lt;/SNOCODE&gt;</w:t>
      </w:r>
    </w:p>
    <w:p w14:paraId="78CD7852" w14:textId="77777777" w:rsidR="00A052DC" w:rsidRDefault="009F0A60">
      <w:pPr>
        <w:ind w:firstLine="480"/>
      </w:pPr>
      <w:r>
        <w:t>&lt;OBJCODE&gt;</w:t>
      </w:r>
      <w:r>
        <w:rPr>
          <w:rFonts w:hAnsi="宋体"/>
        </w:rPr>
        <w:t>申报主体代码</w:t>
      </w:r>
      <w:r>
        <w:t>&lt;/OBJCODE&gt;</w:t>
      </w:r>
    </w:p>
    <w:p w14:paraId="7D8DE330" w14:textId="77777777" w:rsidR="00A052DC" w:rsidRDefault="009F0A60">
      <w:pPr>
        <w:ind w:firstLine="480"/>
      </w:pPr>
      <w:r>
        <w:t>&lt;BUOCMONTH&gt;</w:t>
      </w:r>
      <w:r>
        <w:rPr>
          <w:rFonts w:hAnsi="宋体"/>
        </w:rPr>
        <w:t>报告期</w:t>
      </w:r>
      <w:r>
        <w:t>&lt;/BUOCMONTH&gt;</w:t>
      </w:r>
    </w:p>
    <w:p w14:paraId="47519CF3" w14:textId="77777777" w:rsidR="00A052DC" w:rsidRDefault="009F0A60">
      <w:pPr>
        <w:ind w:firstLine="480"/>
      </w:pPr>
      <w:r>
        <w:t>&lt;D0301&gt;</w:t>
      </w:r>
      <w:r>
        <w:rPr>
          <w:rFonts w:hAnsi="宋体"/>
        </w:rPr>
        <w:t>对方名称</w:t>
      </w:r>
      <w:r>
        <w:t>&lt;</w:t>
      </w:r>
      <w:r>
        <w:rPr>
          <w:rFonts w:hint="eastAsia"/>
        </w:rPr>
        <w:t>/</w:t>
      </w:r>
      <w:r>
        <w:t>D0301&gt;</w:t>
      </w:r>
    </w:p>
    <w:p w14:paraId="20FF0180" w14:textId="77777777" w:rsidR="00A052DC" w:rsidRDefault="009F0A60">
      <w:pPr>
        <w:ind w:firstLine="480"/>
      </w:pPr>
      <w:r>
        <w:t>&lt;D0302&gt;</w:t>
      </w:r>
      <w:r>
        <w:rPr>
          <w:rFonts w:hAnsi="宋体"/>
        </w:rPr>
        <w:t>对方代码</w:t>
      </w:r>
      <w:r>
        <w:t>&lt;/D0302&gt;</w:t>
      </w:r>
    </w:p>
    <w:p w14:paraId="71E96290" w14:textId="77777777" w:rsidR="00A052DC" w:rsidRDefault="009F0A60">
      <w:pPr>
        <w:ind w:firstLine="480"/>
      </w:pPr>
      <w:r>
        <w:t>&lt;D0303&gt;</w:t>
      </w:r>
      <w:r>
        <w:rPr>
          <w:rFonts w:hAnsi="宋体"/>
        </w:rPr>
        <w:t>对方国家</w:t>
      </w:r>
      <w:r>
        <w:t>/</w:t>
      </w:r>
      <w:r>
        <w:rPr>
          <w:rFonts w:hAnsi="宋体"/>
        </w:rPr>
        <w:t>地区</w:t>
      </w:r>
      <w:r>
        <w:t>&lt;/D0303&gt;</w:t>
      </w:r>
    </w:p>
    <w:p w14:paraId="21773111" w14:textId="77777777" w:rsidR="00A052DC" w:rsidRDefault="009F0A60">
      <w:pPr>
        <w:ind w:firstLine="480"/>
      </w:pPr>
      <w:r>
        <w:t>&lt;D0304&gt;</w:t>
      </w:r>
      <w:r>
        <w:rPr>
          <w:rFonts w:hAnsi="宋体"/>
        </w:rPr>
        <w:t>对方部门</w:t>
      </w:r>
      <w:r>
        <w:t>&lt;/D0304&gt;</w:t>
      </w:r>
    </w:p>
    <w:p w14:paraId="74A20B4D" w14:textId="77777777" w:rsidR="00A052DC" w:rsidRDefault="009F0A60">
      <w:pPr>
        <w:ind w:firstLine="480"/>
      </w:pPr>
      <w:r>
        <w:t>&lt;D0305&gt;</w:t>
      </w:r>
      <w:r>
        <w:rPr>
          <w:rFonts w:hAnsi="宋体"/>
        </w:rPr>
        <w:t>对方与本机构的关系</w:t>
      </w:r>
      <w:r>
        <w:t>&lt;/D0305&gt;</w:t>
      </w:r>
    </w:p>
    <w:p w14:paraId="079876AC" w14:textId="77777777" w:rsidR="00A052DC" w:rsidRDefault="009F0A60">
      <w:pPr>
        <w:ind w:firstLine="480"/>
      </w:pPr>
      <w:r>
        <w:t>&lt;D0306&gt;</w:t>
      </w:r>
      <w:r>
        <w:rPr>
          <w:rFonts w:hAnsi="宋体"/>
        </w:rPr>
        <w:t>原始币种</w:t>
      </w:r>
      <w:r>
        <w:t>&lt;/D0306&gt;</w:t>
      </w:r>
    </w:p>
    <w:p w14:paraId="7F0D54F6" w14:textId="77777777" w:rsidR="00A052DC" w:rsidRDefault="009F0A60">
      <w:pPr>
        <w:ind w:firstLine="480"/>
      </w:pPr>
      <w:r>
        <w:t>&lt;D0307&gt;</w:t>
      </w:r>
      <w:r>
        <w:rPr>
          <w:rFonts w:hAnsi="宋体"/>
        </w:rPr>
        <w:t>上月末余额</w:t>
      </w:r>
      <w:r>
        <w:t>&lt;/D0307&gt;</w:t>
      </w:r>
    </w:p>
    <w:p w14:paraId="3D814F36" w14:textId="77777777" w:rsidR="00A052DC" w:rsidRDefault="009F0A60">
      <w:pPr>
        <w:ind w:firstLine="480"/>
      </w:pPr>
      <w:r>
        <w:t>&lt;D0308&gt;</w:t>
      </w:r>
      <w:r>
        <w:rPr>
          <w:rFonts w:hAnsi="宋体"/>
        </w:rPr>
        <w:t>本月末余额</w:t>
      </w:r>
      <w:r>
        <w:t>&lt;/D0308&gt;</w:t>
      </w:r>
    </w:p>
    <w:p w14:paraId="24C8AF8C" w14:textId="77777777" w:rsidR="00A052DC" w:rsidRDefault="009F0A60">
      <w:pPr>
        <w:ind w:firstLine="480"/>
      </w:pPr>
      <w:r>
        <w:t>&lt;D0309&gt;</w:t>
      </w:r>
      <w:r>
        <w:rPr>
          <w:rFonts w:hAnsi="宋体"/>
        </w:rPr>
        <w:t>本月非交易变动</w:t>
      </w:r>
      <w:r>
        <w:t>&lt;/D0309&gt;</w:t>
      </w:r>
    </w:p>
    <w:p w14:paraId="42035B09" w14:textId="77777777" w:rsidR="00A052DC" w:rsidRDefault="009F0A60">
      <w:pPr>
        <w:ind w:firstLine="480"/>
      </w:pPr>
      <w:r>
        <w:t>&lt;D0310&gt;</w:t>
      </w:r>
      <w:r>
        <w:rPr>
          <w:rFonts w:hAnsi="宋体"/>
        </w:rPr>
        <w:t>本月净发生额</w:t>
      </w:r>
      <w:r>
        <w:t>&lt;/D0310&gt;</w:t>
      </w:r>
    </w:p>
    <w:p w14:paraId="15C8458F" w14:textId="77777777" w:rsidR="00A052DC" w:rsidRDefault="009F0A60">
      <w:pPr>
        <w:ind w:firstLine="480"/>
      </w:pPr>
      <w:r>
        <w:t>&lt;D0311&gt;</w:t>
      </w:r>
      <w:r>
        <w:rPr>
          <w:rFonts w:hAnsi="宋体"/>
        </w:rPr>
        <w:t>本月末本机构持表决权比例（</w:t>
      </w:r>
      <w:r>
        <w:t>%</w:t>
      </w:r>
      <w:r>
        <w:rPr>
          <w:rFonts w:hAnsi="宋体"/>
        </w:rPr>
        <w:t>）</w:t>
      </w:r>
      <w:r>
        <w:t>&lt;/D0311&gt;</w:t>
      </w:r>
    </w:p>
    <w:p w14:paraId="3F2137E5" w14:textId="77777777" w:rsidR="00A052DC" w:rsidRDefault="009F0A60">
      <w:pPr>
        <w:ind w:firstLine="480"/>
      </w:pPr>
      <w:r>
        <w:t>&lt;D0312&gt;</w:t>
      </w:r>
      <w:r>
        <w:rPr>
          <w:rFonts w:hAnsi="宋体"/>
        </w:rPr>
        <w:t>本月本机构的红利</w:t>
      </w:r>
      <w:r>
        <w:t>/</w:t>
      </w:r>
      <w:r>
        <w:rPr>
          <w:rFonts w:hAnsi="宋体"/>
        </w:rPr>
        <w:t>股息</w:t>
      </w:r>
      <w:r>
        <w:t>/</w:t>
      </w:r>
      <w:r>
        <w:rPr>
          <w:rFonts w:hAnsi="宋体"/>
        </w:rPr>
        <w:t>利润收入</w:t>
      </w:r>
      <w:r>
        <w:t>&lt;/D0312&gt;</w:t>
      </w:r>
    </w:p>
    <w:p w14:paraId="786A27D3" w14:textId="77777777" w:rsidR="00A052DC" w:rsidRDefault="009F0A60">
      <w:pPr>
        <w:ind w:firstLine="480"/>
      </w:pPr>
      <w:r>
        <w:t>&lt;REMARK&gt;</w:t>
      </w:r>
      <w:r>
        <w:rPr>
          <w:rFonts w:hAnsi="宋体"/>
        </w:rPr>
        <w:t>备注</w:t>
      </w:r>
      <w:r>
        <w:t>&lt;/REMARK&gt;</w:t>
      </w:r>
    </w:p>
    <w:p w14:paraId="1B86CF7A" w14:textId="77777777" w:rsidR="00A052DC" w:rsidRDefault="009F0A60">
      <w:pPr>
        <w:ind w:firstLine="480"/>
      </w:pPr>
      <w:r>
        <w:t>&lt;/REC&gt;</w:t>
      </w:r>
    </w:p>
    <w:p w14:paraId="1DD23EAF" w14:textId="77777777" w:rsidR="00A052DC" w:rsidRDefault="009F0A60" w:rsidP="0020251D">
      <w:pPr>
        <w:pStyle w:val="4"/>
        <w:numPr>
          <w:ilvl w:val="3"/>
          <w:numId w:val="1"/>
        </w:numPr>
        <w:jc w:val="left"/>
      </w:pPr>
      <w:bookmarkStart w:id="3233" w:name="_Toc454391310"/>
      <w:bookmarkStart w:id="3234" w:name="_Toc454391311"/>
      <w:bookmarkStart w:id="3235" w:name="_Toc380570962"/>
      <w:bookmarkEnd w:id="3233"/>
      <w:r>
        <w:rPr>
          <w:rFonts w:hint="eastAsia"/>
        </w:rPr>
        <w:t>数据字典</w:t>
      </w:r>
      <w:bookmarkEnd w:id="3234"/>
      <w:bookmarkEnd w:id="32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701"/>
        <w:gridCol w:w="1418"/>
        <w:gridCol w:w="4161"/>
      </w:tblGrid>
      <w:tr w:rsidR="00A052DC" w14:paraId="62A6801A" w14:textId="77777777">
        <w:trPr>
          <w:tblHeader/>
          <w:jc w:val="center"/>
        </w:trPr>
        <w:tc>
          <w:tcPr>
            <w:tcW w:w="1242" w:type="dxa"/>
            <w:shd w:val="clear" w:color="auto" w:fill="C0C0C0"/>
          </w:tcPr>
          <w:p w14:paraId="25BB7E5E" w14:textId="77777777" w:rsidR="00A052DC" w:rsidRDefault="009F0A60">
            <w:pPr>
              <w:pStyle w:val="B1"/>
            </w:pPr>
            <w:r>
              <w:rPr>
                <w:rFonts w:hint="eastAsia"/>
              </w:rPr>
              <w:t>字段</w:t>
            </w:r>
          </w:p>
        </w:tc>
        <w:tc>
          <w:tcPr>
            <w:tcW w:w="1701" w:type="dxa"/>
            <w:shd w:val="clear" w:color="auto" w:fill="C0C0C0"/>
          </w:tcPr>
          <w:p w14:paraId="24EB97DE" w14:textId="77777777" w:rsidR="00A052DC" w:rsidRDefault="009F0A60">
            <w:pPr>
              <w:pStyle w:val="B1"/>
            </w:pPr>
            <w:r>
              <w:rPr>
                <w:rFonts w:hint="eastAsia"/>
              </w:rPr>
              <w:t>内容</w:t>
            </w:r>
          </w:p>
        </w:tc>
        <w:tc>
          <w:tcPr>
            <w:tcW w:w="1418" w:type="dxa"/>
            <w:shd w:val="clear" w:color="auto" w:fill="C0C0C0"/>
          </w:tcPr>
          <w:p w14:paraId="7D2DF091" w14:textId="77777777" w:rsidR="00A052DC" w:rsidRDefault="009F0A60">
            <w:pPr>
              <w:pStyle w:val="B1"/>
            </w:pPr>
            <w:r>
              <w:rPr>
                <w:rFonts w:hint="eastAsia"/>
              </w:rPr>
              <w:t>类型（长度）</w:t>
            </w:r>
          </w:p>
        </w:tc>
        <w:tc>
          <w:tcPr>
            <w:tcW w:w="4161" w:type="dxa"/>
            <w:shd w:val="clear" w:color="auto" w:fill="C0C0C0"/>
          </w:tcPr>
          <w:p w14:paraId="6672F178" w14:textId="77777777" w:rsidR="00A052DC" w:rsidRDefault="009F0A60">
            <w:pPr>
              <w:pStyle w:val="B1"/>
            </w:pPr>
            <w:r>
              <w:rPr>
                <w:rFonts w:hint="eastAsia"/>
              </w:rPr>
              <w:t>校验</w:t>
            </w:r>
          </w:p>
        </w:tc>
      </w:tr>
      <w:tr w:rsidR="00A052DC" w14:paraId="3509AC1F" w14:textId="77777777">
        <w:trPr>
          <w:jc w:val="center"/>
        </w:trPr>
        <w:tc>
          <w:tcPr>
            <w:tcW w:w="1242" w:type="dxa"/>
          </w:tcPr>
          <w:p w14:paraId="288D5AC9" w14:textId="77777777" w:rsidR="00A052DC" w:rsidRDefault="009F0A60">
            <w:pPr>
              <w:pStyle w:val="B"/>
              <w:rPr>
                <w:szCs w:val="20"/>
              </w:rPr>
            </w:pPr>
            <w:r>
              <w:rPr>
                <w:szCs w:val="20"/>
              </w:rPr>
              <w:t>ACTIONTYPE</w:t>
            </w:r>
          </w:p>
        </w:tc>
        <w:tc>
          <w:tcPr>
            <w:tcW w:w="1701" w:type="dxa"/>
          </w:tcPr>
          <w:p w14:paraId="51E095BA" w14:textId="77777777" w:rsidR="00A052DC" w:rsidRDefault="009F0A60">
            <w:pPr>
              <w:pStyle w:val="B"/>
              <w:rPr>
                <w:szCs w:val="20"/>
              </w:rPr>
            </w:pPr>
            <w:r>
              <w:rPr>
                <w:rFonts w:hint="eastAsia"/>
                <w:szCs w:val="20"/>
              </w:rPr>
              <w:t>操作类型</w:t>
            </w:r>
          </w:p>
        </w:tc>
        <w:tc>
          <w:tcPr>
            <w:tcW w:w="1418" w:type="dxa"/>
          </w:tcPr>
          <w:p w14:paraId="2FDCF011" w14:textId="77777777" w:rsidR="00A052DC" w:rsidRDefault="009F0A60">
            <w:pPr>
              <w:pStyle w:val="B"/>
              <w:rPr>
                <w:szCs w:val="20"/>
              </w:rPr>
            </w:pPr>
            <w:r>
              <w:rPr>
                <w:rFonts w:hint="eastAsia"/>
                <w:szCs w:val="20"/>
              </w:rPr>
              <w:t>字符型，</w:t>
            </w:r>
            <w:r>
              <w:rPr>
                <w:szCs w:val="20"/>
              </w:rPr>
              <w:t>1</w:t>
            </w:r>
          </w:p>
        </w:tc>
        <w:tc>
          <w:tcPr>
            <w:tcW w:w="4161" w:type="dxa"/>
          </w:tcPr>
          <w:p w14:paraId="49F27A71" w14:textId="77777777" w:rsidR="00A052DC" w:rsidRDefault="009F0A60">
            <w:pPr>
              <w:pStyle w:val="B"/>
              <w:rPr>
                <w:szCs w:val="20"/>
              </w:rPr>
            </w:pPr>
            <w:r>
              <w:rPr>
                <w:rFonts w:hint="eastAsia"/>
                <w:szCs w:val="20"/>
              </w:rPr>
              <w:t>必填项</w:t>
            </w:r>
            <w:r w:rsidR="00191DE9">
              <w:rPr>
                <w:rFonts w:hint="eastAsia"/>
                <w:szCs w:val="20"/>
              </w:rPr>
              <w:t>。</w:t>
            </w:r>
          </w:p>
          <w:p w14:paraId="765018B7" w14:textId="77777777" w:rsidR="00A052DC" w:rsidRDefault="009F0A60">
            <w:pPr>
              <w:pStyle w:val="B"/>
              <w:rPr>
                <w:szCs w:val="20"/>
              </w:rPr>
            </w:pPr>
            <w:r>
              <w:rPr>
                <w:szCs w:val="20"/>
              </w:rPr>
              <w:t>A</w:t>
            </w:r>
            <w:r w:rsidR="00AE4602">
              <w:rPr>
                <w:rFonts w:hint="eastAsia"/>
                <w:szCs w:val="20"/>
              </w:rPr>
              <w:t>-</w:t>
            </w:r>
            <w:r>
              <w:rPr>
                <w:rFonts w:hint="eastAsia"/>
                <w:szCs w:val="20"/>
              </w:rPr>
              <w:t>新建</w:t>
            </w:r>
          </w:p>
          <w:p w14:paraId="79D1123F" w14:textId="77777777" w:rsidR="00A052DC" w:rsidRDefault="009F0A60">
            <w:pPr>
              <w:pStyle w:val="B"/>
              <w:rPr>
                <w:szCs w:val="20"/>
              </w:rPr>
            </w:pPr>
            <w:r>
              <w:rPr>
                <w:szCs w:val="20"/>
              </w:rPr>
              <w:t>C</w:t>
            </w:r>
            <w:r w:rsidR="00AE4602">
              <w:rPr>
                <w:rFonts w:hint="eastAsia"/>
                <w:szCs w:val="20"/>
              </w:rPr>
              <w:t>-</w:t>
            </w:r>
            <w:r>
              <w:rPr>
                <w:rFonts w:hint="eastAsia"/>
                <w:szCs w:val="20"/>
              </w:rPr>
              <w:t>修改</w:t>
            </w:r>
          </w:p>
          <w:p w14:paraId="64B5FF22" w14:textId="77777777" w:rsidR="00A052DC" w:rsidRDefault="009F0A60">
            <w:pPr>
              <w:pStyle w:val="B"/>
              <w:rPr>
                <w:szCs w:val="20"/>
              </w:rPr>
            </w:pPr>
            <w:r>
              <w:rPr>
                <w:szCs w:val="20"/>
              </w:rPr>
              <w:t>D</w:t>
            </w:r>
            <w:r w:rsidR="00AE4602">
              <w:rPr>
                <w:rFonts w:hint="eastAsia"/>
                <w:szCs w:val="20"/>
              </w:rPr>
              <w:t>-</w:t>
            </w:r>
            <w:r>
              <w:rPr>
                <w:rFonts w:hint="eastAsia"/>
                <w:szCs w:val="20"/>
              </w:rPr>
              <w:t>删除。</w:t>
            </w:r>
          </w:p>
        </w:tc>
      </w:tr>
      <w:tr w:rsidR="00A052DC" w14:paraId="635508BD" w14:textId="77777777">
        <w:trPr>
          <w:jc w:val="center"/>
        </w:trPr>
        <w:tc>
          <w:tcPr>
            <w:tcW w:w="1242" w:type="dxa"/>
          </w:tcPr>
          <w:p w14:paraId="4F1CE2E6" w14:textId="77777777" w:rsidR="00A052DC" w:rsidRDefault="009F0A60">
            <w:pPr>
              <w:pStyle w:val="B"/>
              <w:rPr>
                <w:szCs w:val="20"/>
              </w:rPr>
            </w:pPr>
            <w:r>
              <w:rPr>
                <w:szCs w:val="20"/>
              </w:rPr>
              <w:t>ACTIONDESC</w:t>
            </w:r>
          </w:p>
        </w:tc>
        <w:tc>
          <w:tcPr>
            <w:tcW w:w="1701" w:type="dxa"/>
          </w:tcPr>
          <w:p w14:paraId="22396FE4" w14:textId="77777777" w:rsidR="00A052DC" w:rsidRDefault="009F0A60">
            <w:pPr>
              <w:pStyle w:val="B"/>
              <w:rPr>
                <w:szCs w:val="20"/>
              </w:rPr>
            </w:pPr>
            <w:r>
              <w:rPr>
                <w:rFonts w:hint="eastAsia"/>
                <w:szCs w:val="20"/>
              </w:rPr>
              <w:t>删除原因</w:t>
            </w:r>
          </w:p>
        </w:tc>
        <w:tc>
          <w:tcPr>
            <w:tcW w:w="1418" w:type="dxa"/>
          </w:tcPr>
          <w:p w14:paraId="10864B9B" w14:textId="77777777" w:rsidR="00A052DC" w:rsidRDefault="009F0A60">
            <w:pPr>
              <w:pStyle w:val="B"/>
              <w:rPr>
                <w:szCs w:val="20"/>
              </w:rPr>
            </w:pPr>
            <w:r>
              <w:rPr>
                <w:rFonts w:hint="eastAsia"/>
                <w:szCs w:val="20"/>
              </w:rPr>
              <w:t>字符型，</w:t>
            </w:r>
            <w:r>
              <w:rPr>
                <w:szCs w:val="20"/>
              </w:rPr>
              <w:t>128</w:t>
            </w:r>
          </w:p>
        </w:tc>
        <w:tc>
          <w:tcPr>
            <w:tcW w:w="4161" w:type="dxa"/>
          </w:tcPr>
          <w:p w14:paraId="0B0F419E" w14:textId="77777777" w:rsidR="00A052DC" w:rsidRDefault="00DD6AA3">
            <w:pPr>
              <w:pStyle w:val="B"/>
              <w:rPr>
                <w:szCs w:val="20"/>
              </w:rPr>
            </w:pPr>
            <w:r>
              <w:rPr>
                <w:rFonts w:hint="eastAsia"/>
                <w:szCs w:val="20"/>
              </w:rPr>
              <w:t>非必填项，当操作类型（ACTIONTYPE）为删除时必填。</w:t>
            </w:r>
          </w:p>
        </w:tc>
      </w:tr>
      <w:tr w:rsidR="00A052DC" w14:paraId="2DA762D1" w14:textId="77777777">
        <w:trPr>
          <w:jc w:val="center"/>
        </w:trPr>
        <w:tc>
          <w:tcPr>
            <w:tcW w:w="1242" w:type="dxa"/>
          </w:tcPr>
          <w:p w14:paraId="503D194B" w14:textId="77777777" w:rsidR="00A052DC" w:rsidRDefault="009F0A60">
            <w:pPr>
              <w:pStyle w:val="B"/>
              <w:rPr>
                <w:szCs w:val="20"/>
              </w:rPr>
            </w:pPr>
            <w:r>
              <w:rPr>
                <w:szCs w:val="20"/>
              </w:rPr>
              <w:t>SNOCODE</w:t>
            </w:r>
          </w:p>
        </w:tc>
        <w:tc>
          <w:tcPr>
            <w:tcW w:w="1701" w:type="dxa"/>
          </w:tcPr>
          <w:p w14:paraId="53003BE5" w14:textId="77777777" w:rsidR="00A052DC" w:rsidRDefault="009F0A60">
            <w:pPr>
              <w:pStyle w:val="B"/>
              <w:rPr>
                <w:szCs w:val="20"/>
              </w:rPr>
            </w:pPr>
            <w:r>
              <w:rPr>
                <w:rFonts w:hint="eastAsia"/>
                <w:szCs w:val="20"/>
              </w:rPr>
              <w:t>数据自编码</w:t>
            </w:r>
          </w:p>
        </w:tc>
        <w:tc>
          <w:tcPr>
            <w:tcW w:w="1418" w:type="dxa"/>
          </w:tcPr>
          <w:p w14:paraId="4B069E60" w14:textId="77777777" w:rsidR="00A052DC" w:rsidRDefault="009F0A60">
            <w:pPr>
              <w:pStyle w:val="B"/>
              <w:rPr>
                <w:szCs w:val="20"/>
              </w:rPr>
            </w:pPr>
            <w:r>
              <w:rPr>
                <w:rFonts w:hint="eastAsia"/>
                <w:szCs w:val="20"/>
              </w:rPr>
              <w:t>字符型，36</w:t>
            </w:r>
          </w:p>
        </w:tc>
        <w:tc>
          <w:tcPr>
            <w:tcW w:w="4161" w:type="dxa"/>
          </w:tcPr>
          <w:p w14:paraId="57F6AF13" w14:textId="77777777" w:rsidR="00A052DC" w:rsidRDefault="009F0A60">
            <w:pPr>
              <w:pStyle w:val="B"/>
              <w:rPr>
                <w:szCs w:val="20"/>
              </w:rPr>
            </w:pPr>
            <w:r>
              <w:rPr>
                <w:rFonts w:hint="eastAsia"/>
                <w:szCs w:val="20"/>
              </w:rPr>
              <w:t>必填项。</w:t>
            </w:r>
            <w:r>
              <w:rPr>
                <w:szCs w:val="20"/>
              </w:rPr>
              <w:t>对于接口报送的填报主体，数据自编码中的报送期（6位）应与报告期（YYYYMM）一致。</w:t>
            </w:r>
          </w:p>
        </w:tc>
      </w:tr>
      <w:tr w:rsidR="00A052DC" w14:paraId="5890759A" w14:textId="77777777">
        <w:trPr>
          <w:jc w:val="center"/>
        </w:trPr>
        <w:tc>
          <w:tcPr>
            <w:tcW w:w="1242" w:type="dxa"/>
          </w:tcPr>
          <w:p w14:paraId="0986A985" w14:textId="77777777" w:rsidR="00A052DC" w:rsidRDefault="009F0A60">
            <w:pPr>
              <w:pStyle w:val="B"/>
              <w:rPr>
                <w:szCs w:val="20"/>
              </w:rPr>
            </w:pPr>
            <w:r>
              <w:rPr>
                <w:szCs w:val="20"/>
              </w:rPr>
              <w:t>OBJCODE</w:t>
            </w:r>
          </w:p>
        </w:tc>
        <w:tc>
          <w:tcPr>
            <w:tcW w:w="1701" w:type="dxa"/>
          </w:tcPr>
          <w:p w14:paraId="0E2212A2" w14:textId="77777777" w:rsidR="00A052DC" w:rsidRDefault="009F0A60">
            <w:pPr>
              <w:pStyle w:val="B"/>
              <w:rPr>
                <w:szCs w:val="20"/>
              </w:rPr>
            </w:pPr>
            <w:r>
              <w:rPr>
                <w:rFonts w:hint="eastAsia"/>
                <w:szCs w:val="20"/>
              </w:rPr>
              <w:t>申报主体代码</w:t>
            </w:r>
          </w:p>
        </w:tc>
        <w:tc>
          <w:tcPr>
            <w:tcW w:w="1418" w:type="dxa"/>
          </w:tcPr>
          <w:p w14:paraId="4C3196FC" w14:textId="77777777" w:rsidR="00A052DC" w:rsidRDefault="009F0A60">
            <w:pPr>
              <w:pStyle w:val="B"/>
              <w:rPr>
                <w:szCs w:val="20"/>
              </w:rPr>
            </w:pPr>
            <w:r>
              <w:rPr>
                <w:rFonts w:hint="eastAsia"/>
                <w:szCs w:val="20"/>
              </w:rPr>
              <w:t>字符型，</w:t>
            </w:r>
            <w:r>
              <w:rPr>
                <w:szCs w:val="20"/>
              </w:rPr>
              <w:t>1</w:t>
            </w:r>
            <w:r>
              <w:rPr>
                <w:rFonts w:hint="eastAsia"/>
                <w:szCs w:val="20"/>
              </w:rPr>
              <w:t>8</w:t>
            </w:r>
          </w:p>
        </w:tc>
        <w:tc>
          <w:tcPr>
            <w:tcW w:w="4161" w:type="dxa"/>
          </w:tcPr>
          <w:p w14:paraId="257A1BFD" w14:textId="77777777" w:rsidR="00A052DC" w:rsidRDefault="009F0A60">
            <w:pPr>
              <w:pStyle w:val="B"/>
              <w:rPr>
                <w:szCs w:val="20"/>
              </w:rPr>
            </w:pPr>
            <w:r>
              <w:rPr>
                <w:rFonts w:hint="eastAsia"/>
                <w:szCs w:val="20"/>
              </w:rPr>
              <w:t>申报主体的12位金融机构标识码，如果没有金融机构标识码，则填报统一社会信用代码法定载体（如营业执照）上统一社会信用代码中的第9至17位或国家外汇管理局及其分支局签发的特殊机构代码赋码通知书上的机构代码、个人身份代码。</w:t>
            </w:r>
          </w:p>
        </w:tc>
      </w:tr>
      <w:tr w:rsidR="00A052DC" w14:paraId="0215264E" w14:textId="77777777">
        <w:trPr>
          <w:jc w:val="center"/>
        </w:trPr>
        <w:tc>
          <w:tcPr>
            <w:tcW w:w="1242" w:type="dxa"/>
          </w:tcPr>
          <w:p w14:paraId="38FC73BB" w14:textId="77777777" w:rsidR="00A052DC" w:rsidRDefault="009F0A60">
            <w:pPr>
              <w:pStyle w:val="B"/>
              <w:rPr>
                <w:szCs w:val="20"/>
              </w:rPr>
            </w:pPr>
            <w:r>
              <w:rPr>
                <w:szCs w:val="20"/>
              </w:rPr>
              <w:t>BUOCMONTH</w:t>
            </w:r>
          </w:p>
        </w:tc>
        <w:tc>
          <w:tcPr>
            <w:tcW w:w="1701" w:type="dxa"/>
          </w:tcPr>
          <w:p w14:paraId="47F09E28" w14:textId="77777777" w:rsidR="00A052DC" w:rsidRDefault="009F0A60">
            <w:pPr>
              <w:pStyle w:val="B"/>
              <w:rPr>
                <w:szCs w:val="20"/>
              </w:rPr>
            </w:pPr>
            <w:r>
              <w:rPr>
                <w:rFonts w:hint="eastAsia"/>
                <w:szCs w:val="20"/>
              </w:rPr>
              <w:t>报告期</w:t>
            </w:r>
          </w:p>
        </w:tc>
        <w:tc>
          <w:tcPr>
            <w:tcW w:w="1418" w:type="dxa"/>
          </w:tcPr>
          <w:p w14:paraId="74F03A79" w14:textId="77777777" w:rsidR="00A052DC" w:rsidRDefault="009F0A60">
            <w:pPr>
              <w:pStyle w:val="B"/>
              <w:rPr>
                <w:szCs w:val="20"/>
              </w:rPr>
            </w:pPr>
            <w:r>
              <w:rPr>
                <w:rFonts w:hint="eastAsia"/>
                <w:szCs w:val="20"/>
              </w:rPr>
              <w:t>数值型，</w:t>
            </w:r>
            <w:r>
              <w:rPr>
                <w:szCs w:val="20"/>
              </w:rPr>
              <w:t>6</w:t>
            </w:r>
          </w:p>
        </w:tc>
        <w:tc>
          <w:tcPr>
            <w:tcW w:w="4161" w:type="dxa"/>
          </w:tcPr>
          <w:p w14:paraId="3F001AE9" w14:textId="77777777" w:rsidR="00A052DC" w:rsidRDefault="009F0A60">
            <w:pPr>
              <w:pStyle w:val="B"/>
              <w:rPr>
                <w:szCs w:val="20"/>
              </w:rPr>
            </w:pPr>
            <w:r>
              <w:rPr>
                <w:rFonts w:hint="eastAsia"/>
                <w:szCs w:val="20"/>
              </w:rPr>
              <w:t>必填项，格式为</w:t>
            </w:r>
            <w:r>
              <w:rPr>
                <w:szCs w:val="20"/>
              </w:rPr>
              <w:t>YYYYMM</w:t>
            </w:r>
            <w:r>
              <w:rPr>
                <w:rFonts w:hint="eastAsia"/>
                <w:szCs w:val="20"/>
              </w:rPr>
              <w:t>。</w:t>
            </w:r>
          </w:p>
        </w:tc>
      </w:tr>
      <w:tr w:rsidR="00A052DC" w14:paraId="02D4D1BE" w14:textId="77777777">
        <w:trPr>
          <w:jc w:val="center"/>
        </w:trPr>
        <w:tc>
          <w:tcPr>
            <w:tcW w:w="1242" w:type="dxa"/>
          </w:tcPr>
          <w:p w14:paraId="006B20A8" w14:textId="77777777" w:rsidR="00A052DC" w:rsidRDefault="009F0A60">
            <w:pPr>
              <w:pStyle w:val="B"/>
              <w:rPr>
                <w:szCs w:val="20"/>
              </w:rPr>
            </w:pPr>
            <w:r>
              <w:rPr>
                <w:szCs w:val="20"/>
              </w:rPr>
              <w:t>D0301</w:t>
            </w:r>
          </w:p>
        </w:tc>
        <w:tc>
          <w:tcPr>
            <w:tcW w:w="1701" w:type="dxa"/>
          </w:tcPr>
          <w:p w14:paraId="28D087DB" w14:textId="77777777" w:rsidR="00A052DC" w:rsidRDefault="009F0A60">
            <w:pPr>
              <w:pStyle w:val="B"/>
              <w:rPr>
                <w:szCs w:val="20"/>
              </w:rPr>
            </w:pPr>
            <w:r>
              <w:rPr>
                <w:rFonts w:hint="eastAsia"/>
                <w:szCs w:val="20"/>
              </w:rPr>
              <w:t>对方名称</w:t>
            </w:r>
          </w:p>
        </w:tc>
        <w:tc>
          <w:tcPr>
            <w:tcW w:w="1418" w:type="dxa"/>
          </w:tcPr>
          <w:p w14:paraId="62F89738" w14:textId="77777777" w:rsidR="00A052DC" w:rsidRDefault="009F0A60">
            <w:pPr>
              <w:pStyle w:val="B"/>
              <w:rPr>
                <w:szCs w:val="20"/>
              </w:rPr>
            </w:pPr>
            <w:r>
              <w:rPr>
                <w:rFonts w:hint="eastAsia"/>
                <w:szCs w:val="20"/>
              </w:rPr>
              <w:t>字符型，</w:t>
            </w:r>
            <w:r>
              <w:rPr>
                <w:szCs w:val="20"/>
              </w:rPr>
              <w:t>256</w:t>
            </w:r>
          </w:p>
        </w:tc>
        <w:tc>
          <w:tcPr>
            <w:tcW w:w="4161" w:type="dxa"/>
          </w:tcPr>
          <w:p w14:paraId="75CE3504" w14:textId="77777777" w:rsidR="00A052DC" w:rsidRDefault="009F0A60">
            <w:pPr>
              <w:pStyle w:val="B"/>
              <w:rPr>
                <w:szCs w:val="20"/>
              </w:rPr>
            </w:pPr>
            <w:r>
              <w:rPr>
                <w:rFonts w:hint="eastAsia"/>
                <w:szCs w:val="20"/>
              </w:rPr>
              <w:t>必填项。</w:t>
            </w:r>
          </w:p>
        </w:tc>
      </w:tr>
      <w:tr w:rsidR="00A052DC" w14:paraId="2A15A51B" w14:textId="77777777">
        <w:trPr>
          <w:jc w:val="center"/>
        </w:trPr>
        <w:tc>
          <w:tcPr>
            <w:tcW w:w="1242" w:type="dxa"/>
          </w:tcPr>
          <w:p w14:paraId="397F2018" w14:textId="77777777" w:rsidR="00A052DC" w:rsidRDefault="009F0A60">
            <w:pPr>
              <w:pStyle w:val="B"/>
              <w:rPr>
                <w:szCs w:val="20"/>
              </w:rPr>
            </w:pPr>
            <w:r>
              <w:rPr>
                <w:szCs w:val="20"/>
              </w:rPr>
              <w:t>D0302</w:t>
            </w:r>
          </w:p>
        </w:tc>
        <w:tc>
          <w:tcPr>
            <w:tcW w:w="1701" w:type="dxa"/>
          </w:tcPr>
          <w:p w14:paraId="5CFF09CB" w14:textId="77777777" w:rsidR="00A052DC" w:rsidRDefault="009F0A60">
            <w:pPr>
              <w:pStyle w:val="B"/>
              <w:rPr>
                <w:szCs w:val="20"/>
              </w:rPr>
            </w:pPr>
            <w:r>
              <w:rPr>
                <w:rFonts w:hint="eastAsia"/>
                <w:szCs w:val="20"/>
              </w:rPr>
              <w:t>对方代码</w:t>
            </w:r>
          </w:p>
        </w:tc>
        <w:tc>
          <w:tcPr>
            <w:tcW w:w="1418" w:type="dxa"/>
          </w:tcPr>
          <w:p w14:paraId="3F278FC1" w14:textId="77777777" w:rsidR="00A052DC" w:rsidRDefault="009F0A60">
            <w:pPr>
              <w:pStyle w:val="B"/>
              <w:rPr>
                <w:szCs w:val="20"/>
              </w:rPr>
            </w:pPr>
            <w:r>
              <w:rPr>
                <w:rFonts w:hint="eastAsia"/>
                <w:szCs w:val="20"/>
              </w:rPr>
              <w:t>字符型，</w:t>
            </w:r>
            <w:r>
              <w:rPr>
                <w:szCs w:val="20"/>
              </w:rPr>
              <w:t>256</w:t>
            </w:r>
          </w:p>
        </w:tc>
        <w:tc>
          <w:tcPr>
            <w:tcW w:w="4161" w:type="dxa"/>
          </w:tcPr>
          <w:p w14:paraId="6BC2C53D" w14:textId="77777777" w:rsidR="00A052DC" w:rsidRDefault="009F0A60">
            <w:pPr>
              <w:pStyle w:val="B"/>
              <w:rPr>
                <w:szCs w:val="20"/>
              </w:rPr>
            </w:pPr>
            <w:r>
              <w:rPr>
                <w:rFonts w:hint="eastAsia"/>
                <w:szCs w:val="20"/>
              </w:rPr>
              <w:t>必填项。</w:t>
            </w:r>
          </w:p>
        </w:tc>
      </w:tr>
      <w:tr w:rsidR="00A052DC" w14:paraId="556E2024" w14:textId="77777777">
        <w:trPr>
          <w:jc w:val="center"/>
        </w:trPr>
        <w:tc>
          <w:tcPr>
            <w:tcW w:w="1242" w:type="dxa"/>
          </w:tcPr>
          <w:p w14:paraId="1B6BBEAC" w14:textId="77777777" w:rsidR="00A052DC" w:rsidRDefault="009F0A60">
            <w:pPr>
              <w:pStyle w:val="B"/>
              <w:rPr>
                <w:szCs w:val="20"/>
              </w:rPr>
            </w:pPr>
            <w:r>
              <w:rPr>
                <w:szCs w:val="20"/>
              </w:rPr>
              <w:t>D0303</w:t>
            </w:r>
          </w:p>
        </w:tc>
        <w:tc>
          <w:tcPr>
            <w:tcW w:w="1701" w:type="dxa"/>
          </w:tcPr>
          <w:p w14:paraId="0F7E995D" w14:textId="77777777" w:rsidR="00A052DC" w:rsidRDefault="009F0A60">
            <w:pPr>
              <w:pStyle w:val="B"/>
              <w:rPr>
                <w:szCs w:val="20"/>
              </w:rPr>
            </w:pPr>
            <w:r>
              <w:rPr>
                <w:rFonts w:hint="eastAsia"/>
                <w:szCs w:val="20"/>
              </w:rPr>
              <w:t>对方国家</w:t>
            </w:r>
            <w:r>
              <w:rPr>
                <w:szCs w:val="20"/>
              </w:rPr>
              <w:t>/</w:t>
            </w:r>
            <w:r>
              <w:rPr>
                <w:rFonts w:hint="eastAsia"/>
                <w:szCs w:val="20"/>
              </w:rPr>
              <w:t>地区</w:t>
            </w:r>
          </w:p>
        </w:tc>
        <w:tc>
          <w:tcPr>
            <w:tcW w:w="1418" w:type="dxa"/>
          </w:tcPr>
          <w:p w14:paraId="06CE4634" w14:textId="77777777" w:rsidR="00A052DC" w:rsidRDefault="009F0A60">
            <w:pPr>
              <w:pStyle w:val="B"/>
              <w:rPr>
                <w:szCs w:val="20"/>
              </w:rPr>
            </w:pPr>
            <w:r>
              <w:rPr>
                <w:rFonts w:hint="eastAsia"/>
                <w:szCs w:val="20"/>
              </w:rPr>
              <w:t>字符型，</w:t>
            </w:r>
            <w:r>
              <w:rPr>
                <w:szCs w:val="20"/>
              </w:rPr>
              <w:t>3</w:t>
            </w:r>
          </w:p>
        </w:tc>
        <w:tc>
          <w:tcPr>
            <w:tcW w:w="4161" w:type="dxa"/>
          </w:tcPr>
          <w:p w14:paraId="3267DBF5" w14:textId="77777777" w:rsidR="00A052DC" w:rsidRDefault="009F0A60">
            <w:pPr>
              <w:pStyle w:val="B"/>
              <w:rPr>
                <w:szCs w:val="20"/>
              </w:rPr>
            </w:pPr>
            <w:r>
              <w:rPr>
                <w:rFonts w:hint="eastAsia"/>
                <w:szCs w:val="20"/>
              </w:rPr>
              <w:t>必填项，见国家和地区代码表的</w:t>
            </w:r>
            <w:r>
              <w:rPr>
                <w:szCs w:val="20"/>
              </w:rPr>
              <w:t>3</w:t>
            </w:r>
            <w:r>
              <w:rPr>
                <w:rFonts w:hint="eastAsia"/>
                <w:szCs w:val="20"/>
              </w:rPr>
              <w:t>位字母代码，必须≠</w:t>
            </w:r>
            <w:r>
              <w:rPr>
                <w:szCs w:val="20"/>
              </w:rPr>
              <w:t>CHN</w:t>
            </w:r>
            <w:r>
              <w:rPr>
                <w:rFonts w:hint="eastAsia"/>
                <w:szCs w:val="20"/>
              </w:rPr>
              <w:t>或N/A。</w:t>
            </w:r>
          </w:p>
        </w:tc>
      </w:tr>
      <w:tr w:rsidR="00A052DC" w14:paraId="6061857D" w14:textId="77777777">
        <w:trPr>
          <w:jc w:val="center"/>
        </w:trPr>
        <w:tc>
          <w:tcPr>
            <w:tcW w:w="1242" w:type="dxa"/>
          </w:tcPr>
          <w:p w14:paraId="7CD3F29F" w14:textId="77777777" w:rsidR="00A052DC" w:rsidRDefault="009F0A60">
            <w:pPr>
              <w:pStyle w:val="B"/>
              <w:rPr>
                <w:szCs w:val="20"/>
              </w:rPr>
            </w:pPr>
            <w:r>
              <w:rPr>
                <w:szCs w:val="20"/>
              </w:rPr>
              <w:t>D0304</w:t>
            </w:r>
          </w:p>
        </w:tc>
        <w:tc>
          <w:tcPr>
            <w:tcW w:w="1701" w:type="dxa"/>
          </w:tcPr>
          <w:p w14:paraId="6A0FAD07" w14:textId="77777777" w:rsidR="00A052DC" w:rsidRDefault="009F0A60">
            <w:pPr>
              <w:pStyle w:val="B"/>
              <w:rPr>
                <w:szCs w:val="20"/>
              </w:rPr>
            </w:pPr>
            <w:r>
              <w:rPr>
                <w:rFonts w:hint="eastAsia"/>
                <w:szCs w:val="20"/>
              </w:rPr>
              <w:t>对方部门</w:t>
            </w:r>
          </w:p>
        </w:tc>
        <w:tc>
          <w:tcPr>
            <w:tcW w:w="1418" w:type="dxa"/>
          </w:tcPr>
          <w:p w14:paraId="766DDBB4" w14:textId="77777777" w:rsidR="00A052DC" w:rsidRDefault="009F0A60">
            <w:pPr>
              <w:pStyle w:val="B"/>
              <w:rPr>
                <w:szCs w:val="20"/>
              </w:rPr>
            </w:pPr>
            <w:r>
              <w:rPr>
                <w:rFonts w:hint="eastAsia"/>
                <w:szCs w:val="20"/>
              </w:rPr>
              <w:t>整数型</w:t>
            </w:r>
          </w:p>
        </w:tc>
        <w:tc>
          <w:tcPr>
            <w:tcW w:w="4161" w:type="dxa"/>
          </w:tcPr>
          <w:p w14:paraId="6F927363" w14:textId="77777777" w:rsidR="00A052DC" w:rsidRDefault="009F0A60">
            <w:pPr>
              <w:pStyle w:val="B"/>
              <w:rPr>
                <w:szCs w:val="20"/>
              </w:rPr>
            </w:pPr>
            <w:r>
              <w:rPr>
                <w:rFonts w:hint="eastAsia"/>
                <w:szCs w:val="20"/>
              </w:rPr>
              <w:t>必填项，必须9选</w:t>
            </w:r>
            <w:r>
              <w:rPr>
                <w:szCs w:val="20"/>
              </w:rPr>
              <w:t>1</w:t>
            </w:r>
            <w:r>
              <w:rPr>
                <w:rFonts w:hint="eastAsia"/>
                <w:szCs w:val="20"/>
              </w:rPr>
              <w:t>。见投资者（被投资者）部门代码表。D0304≠1或2或6。</w:t>
            </w:r>
          </w:p>
        </w:tc>
      </w:tr>
      <w:tr w:rsidR="00A052DC" w14:paraId="2DC64AC0" w14:textId="77777777">
        <w:trPr>
          <w:jc w:val="center"/>
        </w:trPr>
        <w:tc>
          <w:tcPr>
            <w:tcW w:w="1242" w:type="dxa"/>
          </w:tcPr>
          <w:p w14:paraId="184AF53D" w14:textId="77777777" w:rsidR="00A052DC" w:rsidRDefault="009F0A60">
            <w:pPr>
              <w:pStyle w:val="B"/>
              <w:rPr>
                <w:szCs w:val="20"/>
              </w:rPr>
            </w:pPr>
            <w:r>
              <w:rPr>
                <w:szCs w:val="20"/>
              </w:rPr>
              <w:t>D0305</w:t>
            </w:r>
          </w:p>
        </w:tc>
        <w:tc>
          <w:tcPr>
            <w:tcW w:w="1701" w:type="dxa"/>
          </w:tcPr>
          <w:p w14:paraId="0EAEDD0F" w14:textId="77777777" w:rsidR="00A052DC" w:rsidRDefault="009F0A60">
            <w:pPr>
              <w:pStyle w:val="B"/>
              <w:rPr>
                <w:szCs w:val="20"/>
              </w:rPr>
            </w:pPr>
            <w:r>
              <w:rPr>
                <w:rFonts w:hint="eastAsia"/>
                <w:szCs w:val="20"/>
              </w:rPr>
              <w:t>对方与本机构的关系</w:t>
            </w:r>
          </w:p>
        </w:tc>
        <w:tc>
          <w:tcPr>
            <w:tcW w:w="1418" w:type="dxa"/>
          </w:tcPr>
          <w:p w14:paraId="65634F41" w14:textId="77777777" w:rsidR="00A052DC" w:rsidRDefault="009F0A60">
            <w:pPr>
              <w:pStyle w:val="B"/>
              <w:rPr>
                <w:szCs w:val="20"/>
              </w:rPr>
            </w:pPr>
            <w:r>
              <w:rPr>
                <w:rFonts w:hint="eastAsia"/>
                <w:szCs w:val="20"/>
              </w:rPr>
              <w:t>整数型</w:t>
            </w:r>
          </w:p>
        </w:tc>
        <w:tc>
          <w:tcPr>
            <w:tcW w:w="4161" w:type="dxa"/>
          </w:tcPr>
          <w:p w14:paraId="2DE46368" w14:textId="77777777" w:rsidR="00A052DC" w:rsidRDefault="009F0A60">
            <w:pPr>
              <w:pStyle w:val="B"/>
              <w:rPr>
                <w:szCs w:val="20"/>
              </w:rPr>
            </w:pPr>
            <w:r>
              <w:rPr>
                <w:rFonts w:hint="eastAsia"/>
                <w:szCs w:val="20"/>
              </w:rPr>
              <w:t>必填项，必须</w:t>
            </w:r>
            <w:r>
              <w:rPr>
                <w:szCs w:val="20"/>
              </w:rPr>
              <w:t>=4</w:t>
            </w:r>
            <w:r>
              <w:rPr>
                <w:rFonts w:hint="eastAsia"/>
                <w:szCs w:val="20"/>
              </w:rPr>
              <w:t>。见对方与本机构</w:t>
            </w:r>
            <w:r>
              <w:rPr>
                <w:szCs w:val="20"/>
              </w:rPr>
              <w:t>/</w:t>
            </w:r>
            <w:r>
              <w:rPr>
                <w:rFonts w:hint="eastAsia"/>
                <w:szCs w:val="20"/>
              </w:rPr>
              <w:t>被代理居民机构</w:t>
            </w:r>
            <w:r>
              <w:rPr>
                <w:szCs w:val="20"/>
              </w:rPr>
              <w:t>/</w:t>
            </w:r>
            <w:r>
              <w:rPr>
                <w:rFonts w:hint="eastAsia"/>
                <w:szCs w:val="20"/>
              </w:rPr>
              <w:t>委托人的关系代码表。</w:t>
            </w:r>
          </w:p>
        </w:tc>
      </w:tr>
      <w:tr w:rsidR="00A052DC" w14:paraId="5BDE8115" w14:textId="77777777">
        <w:trPr>
          <w:jc w:val="center"/>
        </w:trPr>
        <w:tc>
          <w:tcPr>
            <w:tcW w:w="1242" w:type="dxa"/>
          </w:tcPr>
          <w:p w14:paraId="2B2E638B" w14:textId="77777777" w:rsidR="00A052DC" w:rsidRDefault="009F0A60">
            <w:pPr>
              <w:pStyle w:val="B"/>
              <w:rPr>
                <w:szCs w:val="20"/>
              </w:rPr>
            </w:pPr>
            <w:r>
              <w:rPr>
                <w:szCs w:val="20"/>
              </w:rPr>
              <w:t>D0306</w:t>
            </w:r>
          </w:p>
        </w:tc>
        <w:tc>
          <w:tcPr>
            <w:tcW w:w="1701" w:type="dxa"/>
          </w:tcPr>
          <w:p w14:paraId="2DADA363" w14:textId="77777777" w:rsidR="00A052DC" w:rsidRDefault="009F0A60">
            <w:pPr>
              <w:pStyle w:val="B"/>
              <w:rPr>
                <w:szCs w:val="20"/>
              </w:rPr>
            </w:pPr>
            <w:r>
              <w:rPr>
                <w:rFonts w:hint="eastAsia"/>
                <w:szCs w:val="20"/>
              </w:rPr>
              <w:t>原始币种</w:t>
            </w:r>
          </w:p>
        </w:tc>
        <w:tc>
          <w:tcPr>
            <w:tcW w:w="1418" w:type="dxa"/>
          </w:tcPr>
          <w:p w14:paraId="7961E946" w14:textId="77777777" w:rsidR="00A052DC" w:rsidRDefault="009F0A60">
            <w:pPr>
              <w:pStyle w:val="B"/>
              <w:rPr>
                <w:szCs w:val="20"/>
              </w:rPr>
            </w:pPr>
            <w:r>
              <w:rPr>
                <w:rFonts w:hint="eastAsia"/>
                <w:szCs w:val="20"/>
              </w:rPr>
              <w:t>字符型，</w:t>
            </w:r>
            <w:r>
              <w:rPr>
                <w:szCs w:val="20"/>
              </w:rPr>
              <w:t>3</w:t>
            </w:r>
          </w:p>
        </w:tc>
        <w:tc>
          <w:tcPr>
            <w:tcW w:w="4161" w:type="dxa"/>
          </w:tcPr>
          <w:p w14:paraId="3C3F1A3E" w14:textId="77777777" w:rsidR="00A052DC" w:rsidRDefault="009F0A60">
            <w:pPr>
              <w:pStyle w:val="B"/>
              <w:rPr>
                <w:szCs w:val="20"/>
              </w:rPr>
            </w:pPr>
            <w:r>
              <w:rPr>
                <w:rFonts w:hint="eastAsia"/>
                <w:szCs w:val="20"/>
              </w:rPr>
              <w:t>必填项，见币种代码表。</w:t>
            </w:r>
          </w:p>
        </w:tc>
      </w:tr>
      <w:tr w:rsidR="00A052DC" w14:paraId="631293D7" w14:textId="77777777">
        <w:trPr>
          <w:jc w:val="center"/>
        </w:trPr>
        <w:tc>
          <w:tcPr>
            <w:tcW w:w="1242" w:type="dxa"/>
          </w:tcPr>
          <w:p w14:paraId="020AE431" w14:textId="77777777" w:rsidR="00A052DC" w:rsidRDefault="009F0A60">
            <w:pPr>
              <w:pStyle w:val="B"/>
              <w:rPr>
                <w:szCs w:val="20"/>
              </w:rPr>
            </w:pPr>
            <w:r>
              <w:rPr>
                <w:szCs w:val="20"/>
              </w:rPr>
              <w:t>D0307</w:t>
            </w:r>
          </w:p>
        </w:tc>
        <w:tc>
          <w:tcPr>
            <w:tcW w:w="1701" w:type="dxa"/>
          </w:tcPr>
          <w:p w14:paraId="76E0CBF1" w14:textId="77777777" w:rsidR="00A052DC" w:rsidRDefault="009F0A60">
            <w:pPr>
              <w:pStyle w:val="B"/>
              <w:rPr>
                <w:szCs w:val="20"/>
              </w:rPr>
            </w:pPr>
            <w:r>
              <w:rPr>
                <w:rFonts w:hint="eastAsia"/>
                <w:szCs w:val="20"/>
              </w:rPr>
              <w:t>上月末余额</w:t>
            </w:r>
          </w:p>
        </w:tc>
        <w:tc>
          <w:tcPr>
            <w:tcW w:w="1418" w:type="dxa"/>
          </w:tcPr>
          <w:p w14:paraId="28FCD9D6" w14:textId="77777777" w:rsidR="00A052DC" w:rsidRDefault="009F0A60">
            <w:pPr>
              <w:pStyle w:val="B"/>
              <w:rPr>
                <w:szCs w:val="20"/>
              </w:rPr>
            </w:pPr>
            <w:r>
              <w:rPr>
                <w:rFonts w:hint="eastAsia"/>
                <w:szCs w:val="20"/>
              </w:rPr>
              <w:t>数值型，</w:t>
            </w:r>
            <w:r>
              <w:rPr>
                <w:szCs w:val="20"/>
              </w:rPr>
              <w:t>22.2</w:t>
            </w:r>
          </w:p>
        </w:tc>
        <w:tc>
          <w:tcPr>
            <w:tcW w:w="4161" w:type="dxa"/>
          </w:tcPr>
          <w:p w14:paraId="073DA5E9" w14:textId="77777777" w:rsidR="00A052DC" w:rsidRDefault="009F0A60">
            <w:pPr>
              <w:pStyle w:val="B"/>
              <w:rPr>
                <w:szCs w:val="20"/>
              </w:rPr>
            </w:pPr>
            <w:r>
              <w:rPr>
                <w:rFonts w:hint="eastAsia"/>
                <w:szCs w:val="20"/>
              </w:rPr>
              <w:t>必填项。</w:t>
            </w:r>
          </w:p>
        </w:tc>
      </w:tr>
      <w:tr w:rsidR="00A052DC" w14:paraId="2DE1AFF6" w14:textId="77777777">
        <w:trPr>
          <w:jc w:val="center"/>
        </w:trPr>
        <w:tc>
          <w:tcPr>
            <w:tcW w:w="1242" w:type="dxa"/>
          </w:tcPr>
          <w:p w14:paraId="5ABE81C9" w14:textId="77777777" w:rsidR="00A052DC" w:rsidRDefault="009F0A60">
            <w:pPr>
              <w:pStyle w:val="B"/>
              <w:rPr>
                <w:szCs w:val="20"/>
              </w:rPr>
            </w:pPr>
            <w:r>
              <w:rPr>
                <w:szCs w:val="20"/>
              </w:rPr>
              <w:t>D0308</w:t>
            </w:r>
          </w:p>
        </w:tc>
        <w:tc>
          <w:tcPr>
            <w:tcW w:w="1701" w:type="dxa"/>
          </w:tcPr>
          <w:p w14:paraId="5985DE53" w14:textId="77777777" w:rsidR="00A052DC" w:rsidRDefault="009F0A60">
            <w:pPr>
              <w:pStyle w:val="B"/>
              <w:rPr>
                <w:szCs w:val="20"/>
              </w:rPr>
            </w:pPr>
            <w:r>
              <w:rPr>
                <w:rFonts w:hint="eastAsia"/>
                <w:szCs w:val="20"/>
              </w:rPr>
              <w:t>本月末余额</w:t>
            </w:r>
          </w:p>
        </w:tc>
        <w:tc>
          <w:tcPr>
            <w:tcW w:w="1418" w:type="dxa"/>
          </w:tcPr>
          <w:p w14:paraId="7FAEFBFA" w14:textId="77777777" w:rsidR="00A052DC" w:rsidRDefault="009F0A60">
            <w:pPr>
              <w:pStyle w:val="B"/>
              <w:rPr>
                <w:szCs w:val="20"/>
              </w:rPr>
            </w:pPr>
            <w:r>
              <w:rPr>
                <w:rFonts w:hint="eastAsia"/>
                <w:szCs w:val="20"/>
              </w:rPr>
              <w:t>数值型，</w:t>
            </w:r>
            <w:r>
              <w:rPr>
                <w:szCs w:val="20"/>
              </w:rPr>
              <w:t>22.2</w:t>
            </w:r>
          </w:p>
        </w:tc>
        <w:tc>
          <w:tcPr>
            <w:tcW w:w="4161" w:type="dxa"/>
          </w:tcPr>
          <w:p w14:paraId="7705A040" w14:textId="77777777" w:rsidR="00A052DC" w:rsidRDefault="009F0A60">
            <w:pPr>
              <w:pStyle w:val="B"/>
              <w:rPr>
                <w:szCs w:val="20"/>
              </w:rPr>
            </w:pPr>
            <w:r>
              <w:rPr>
                <w:rFonts w:hint="eastAsia"/>
                <w:szCs w:val="20"/>
              </w:rPr>
              <w:t>必填项。</w:t>
            </w:r>
          </w:p>
        </w:tc>
      </w:tr>
      <w:tr w:rsidR="00A052DC" w14:paraId="7F7B6608" w14:textId="77777777">
        <w:trPr>
          <w:jc w:val="center"/>
        </w:trPr>
        <w:tc>
          <w:tcPr>
            <w:tcW w:w="1242" w:type="dxa"/>
          </w:tcPr>
          <w:p w14:paraId="46283BD2" w14:textId="77777777" w:rsidR="00A052DC" w:rsidRDefault="009F0A60">
            <w:pPr>
              <w:pStyle w:val="B"/>
              <w:rPr>
                <w:szCs w:val="20"/>
              </w:rPr>
            </w:pPr>
            <w:r>
              <w:rPr>
                <w:szCs w:val="20"/>
              </w:rPr>
              <w:t>D0309</w:t>
            </w:r>
          </w:p>
        </w:tc>
        <w:tc>
          <w:tcPr>
            <w:tcW w:w="1701" w:type="dxa"/>
          </w:tcPr>
          <w:p w14:paraId="108BBDC2" w14:textId="77777777" w:rsidR="00A052DC" w:rsidRDefault="009F0A60">
            <w:pPr>
              <w:pStyle w:val="B"/>
              <w:rPr>
                <w:szCs w:val="20"/>
              </w:rPr>
            </w:pPr>
            <w:r>
              <w:rPr>
                <w:rFonts w:hint="eastAsia"/>
                <w:szCs w:val="20"/>
              </w:rPr>
              <w:t>本月非交易变动</w:t>
            </w:r>
          </w:p>
        </w:tc>
        <w:tc>
          <w:tcPr>
            <w:tcW w:w="1418" w:type="dxa"/>
          </w:tcPr>
          <w:p w14:paraId="5BFB867A" w14:textId="77777777" w:rsidR="00A052DC" w:rsidRDefault="009F0A60">
            <w:pPr>
              <w:pStyle w:val="B"/>
              <w:rPr>
                <w:szCs w:val="20"/>
              </w:rPr>
            </w:pPr>
            <w:r>
              <w:rPr>
                <w:rFonts w:hint="eastAsia"/>
                <w:szCs w:val="20"/>
              </w:rPr>
              <w:t>数值型，</w:t>
            </w:r>
            <w:r>
              <w:rPr>
                <w:szCs w:val="20"/>
              </w:rPr>
              <w:t>22.2</w:t>
            </w:r>
          </w:p>
        </w:tc>
        <w:tc>
          <w:tcPr>
            <w:tcW w:w="4161" w:type="dxa"/>
          </w:tcPr>
          <w:p w14:paraId="5B62EFB4" w14:textId="77777777" w:rsidR="00A052DC" w:rsidRDefault="009F0A60">
            <w:pPr>
              <w:pStyle w:val="B"/>
              <w:rPr>
                <w:szCs w:val="20"/>
              </w:rPr>
            </w:pPr>
            <w:r>
              <w:rPr>
                <w:rFonts w:hint="eastAsia"/>
                <w:szCs w:val="20"/>
              </w:rPr>
              <w:t>必填项，必须满足：</w:t>
            </w:r>
          </w:p>
          <w:p w14:paraId="7D92B01E" w14:textId="77777777" w:rsidR="00A052DC" w:rsidRDefault="009F0A60">
            <w:pPr>
              <w:pStyle w:val="B"/>
              <w:rPr>
                <w:szCs w:val="20"/>
              </w:rPr>
            </w:pPr>
            <w:r>
              <w:rPr>
                <w:szCs w:val="20"/>
              </w:rPr>
              <w:t>D0309+D0310=D0308-D0307</w:t>
            </w:r>
            <w:r>
              <w:rPr>
                <w:rFonts w:hint="eastAsia"/>
                <w:szCs w:val="20"/>
              </w:rPr>
              <w:t>。</w:t>
            </w:r>
          </w:p>
        </w:tc>
      </w:tr>
      <w:tr w:rsidR="00A052DC" w14:paraId="7E1D4755" w14:textId="77777777">
        <w:trPr>
          <w:jc w:val="center"/>
        </w:trPr>
        <w:tc>
          <w:tcPr>
            <w:tcW w:w="1242" w:type="dxa"/>
          </w:tcPr>
          <w:p w14:paraId="3C0639EA" w14:textId="77777777" w:rsidR="00A052DC" w:rsidRDefault="009F0A60">
            <w:pPr>
              <w:pStyle w:val="B"/>
              <w:rPr>
                <w:szCs w:val="20"/>
              </w:rPr>
            </w:pPr>
            <w:r>
              <w:rPr>
                <w:szCs w:val="20"/>
              </w:rPr>
              <w:t>D0310</w:t>
            </w:r>
          </w:p>
        </w:tc>
        <w:tc>
          <w:tcPr>
            <w:tcW w:w="1701" w:type="dxa"/>
          </w:tcPr>
          <w:p w14:paraId="55E8AD55" w14:textId="77777777" w:rsidR="00A052DC" w:rsidRDefault="009F0A60">
            <w:pPr>
              <w:pStyle w:val="B"/>
              <w:rPr>
                <w:szCs w:val="20"/>
              </w:rPr>
            </w:pPr>
            <w:r>
              <w:rPr>
                <w:rFonts w:hint="eastAsia"/>
                <w:szCs w:val="20"/>
              </w:rPr>
              <w:t>本月净发生额</w:t>
            </w:r>
          </w:p>
        </w:tc>
        <w:tc>
          <w:tcPr>
            <w:tcW w:w="1418" w:type="dxa"/>
          </w:tcPr>
          <w:p w14:paraId="5A4E8239" w14:textId="77777777" w:rsidR="00A052DC" w:rsidRDefault="009F0A60">
            <w:pPr>
              <w:pStyle w:val="B"/>
              <w:rPr>
                <w:szCs w:val="20"/>
              </w:rPr>
            </w:pPr>
            <w:r>
              <w:rPr>
                <w:rFonts w:hint="eastAsia"/>
                <w:szCs w:val="20"/>
              </w:rPr>
              <w:t>数值型，</w:t>
            </w:r>
            <w:r>
              <w:rPr>
                <w:szCs w:val="20"/>
              </w:rPr>
              <w:t>22.2</w:t>
            </w:r>
          </w:p>
        </w:tc>
        <w:tc>
          <w:tcPr>
            <w:tcW w:w="4161" w:type="dxa"/>
          </w:tcPr>
          <w:p w14:paraId="10E6B793" w14:textId="77777777" w:rsidR="00A052DC" w:rsidRDefault="009F0A60">
            <w:pPr>
              <w:pStyle w:val="B"/>
              <w:rPr>
                <w:szCs w:val="20"/>
              </w:rPr>
            </w:pPr>
            <w:r>
              <w:rPr>
                <w:rFonts w:hint="eastAsia"/>
                <w:szCs w:val="20"/>
              </w:rPr>
              <w:t>必填项。</w:t>
            </w:r>
          </w:p>
        </w:tc>
      </w:tr>
      <w:tr w:rsidR="00A052DC" w14:paraId="4920ADDA" w14:textId="77777777">
        <w:trPr>
          <w:jc w:val="center"/>
        </w:trPr>
        <w:tc>
          <w:tcPr>
            <w:tcW w:w="1242" w:type="dxa"/>
          </w:tcPr>
          <w:p w14:paraId="44468C47" w14:textId="77777777" w:rsidR="00A052DC" w:rsidRDefault="009F0A60">
            <w:pPr>
              <w:pStyle w:val="B"/>
              <w:rPr>
                <w:szCs w:val="20"/>
              </w:rPr>
            </w:pPr>
            <w:r>
              <w:rPr>
                <w:szCs w:val="20"/>
              </w:rPr>
              <w:t>D0311</w:t>
            </w:r>
          </w:p>
        </w:tc>
        <w:tc>
          <w:tcPr>
            <w:tcW w:w="1701" w:type="dxa"/>
          </w:tcPr>
          <w:p w14:paraId="61805822" w14:textId="77777777" w:rsidR="00A052DC" w:rsidRDefault="009F0A60">
            <w:pPr>
              <w:pStyle w:val="B"/>
              <w:rPr>
                <w:szCs w:val="20"/>
              </w:rPr>
            </w:pPr>
            <w:r>
              <w:rPr>
                <w:rFonts w:hint="eastAsia"/>
                <w:szCs w:val="20"/>
              </w:rPr>
              <w:t>本月末本机构持表决权比例（</w:t>
            </w:r>
            <w:r>
              <w:rPr>
                <w:szCs w:val="20"/>
              </w:rPr>
              <w:t>%</w:t>
            </w:r>
            <w:r>
              <w:rPr>
                <w:rFonts w:hint="eastAsia"/>
                <w:szCs w:val="20"/>
              </w:rPr>
              <w:t>）</w:t>
            </w:r>
          </w:p>
        </w:tc>
        <w:tc>
          <w:tcPr>
            <w:tcW w:w="1418" w:type="dxa"/>
          </w:tcPr>
          <w:p w14:paraId="13C1F01D" w14:textId="77777777" w:rsidR="00A052DC" w:rsidRDefault="009F0A60">
            <w:pPr>
              <w:pStyle w:val="B"/>
              <w:rPr>
                <w:szCs w:val="20"/>
              </w:rPr>
            </w:pPr>
            <w:r>
              <w:rPr>
                <w:rFonts w:hint="eastAsia"/>
                <w:szCs w:val="20"/>
              </w:rPr>
              <w:t>数值型，</w:t>
            </w:r>
            <w:r>
              <w:rPr>
                <w:szCs w:val="20"/>
              </w:rPr>
              <w:t>22.2</w:t>
            </w:r>
          </w:p>
        </w:tc>
        <w:tc>
          <w:tcPr>
            <w:tcW w:w="4161" w:type="dxa"/>
          </w:tcPr>
          <w:p w14:paraId="12254142" w14:textId="77777777" w:rsidR="00A052DC" w:rsidRDefault="009F0A60">
            <w:pPr>
              <w:pStyle w:val="B"/>
              <w:rPr>
                <w:szCs w:val="20"/>
              </w:rPr>
            </w:pPr>
            <w:r>
              <w:rPr>
                <w:rFonts w:hint="eastAsia"/>
                <w:szCs w:val="20"/>
              </w:rPr>
              <w:t>必填项，取值范围：</w:t>
            </w:r>
          </w:p>
          <w:p w14:paraId="3A4547B6" w14:textId="77777777" w:rsidR="00A052DC" w:rsidRDefault="009F0A60">
            <w:pPr>
              <w:pStyle w:val="B"/>
              <w:rPr>
                <w:szCs w:val="20"/>
              </w:rPr>
            </w:pPr>
            <w:r>
              <w:rPr>
                <w:rFonts w:hint="eastAsia"/>
                <w:szCs w:val="20"/>
              </w:rPr>
              <w:t>当D0303≠IOS（国际组织）时， 0≤D0311＜10，精确到小数点后两位。</w:t>
            </w:r>
          </w:p>
          <w:p w14:paraId="0EDCD694" w14:textId="77777777" w:rsidR="00A052DC" w:rsidRDefault="009F0A60">
            <w:pPr>
              <w:pStyle w:val="B"/>
              <w:rPr>
                <w:szCs w:val="20"/>
              </w:rPr>
            </w:pPr>
            <w:r>
              <w:rPr>
                <w:rFonts w:hint="eastAsia"/>
                <w:szCs w:val="20"/>
              </w:rPr>
              <w:t>当D0303=IOS（国际组织）时，0≤D0311≤100，精确到小数点后两位。</w:t>
            </w:r>
          </w:p>
        </w:tc>
      </w:tr>
      <w:tr w:rsidR="00A052DC" w14:paraId="2589E050" w14:textId="77777777">
        <w:trPr>
          <w:jc w:val="center"/>
        </w:trPr>
        <w:tc>
          <w:tcPr>
            <w:tcW w:w="1242" w:type="dxa"/>
          </w:tcPr>
          <w:p w14:paraId="05BA65FB" w14:textId="77777777" w:rsidR="00A052DC" w:rsidRDefault="009F0A60">
            <w:pPr>
              <w:pStyle w:val="B"/>
              <w:rPr>
                <w:szCs w:val="20"/>
              </w:rPr>
            </w:pPr>
            <w:r>
              <w:rPr>
                <w:szCs w:val="20"/>
              </w:rPr>
              <w:t>D0312</w:t>
            </w:r>
          </w:p>
        </w:tc>
        <w:tc>
          <w:tcPr>
            <w:tcW w:w="1701" w:type="dxa"/>
          </w:tcPr>
          <w:p w14:paraId="5AE7033B" w14:textId="77777777" w:rsidR="00A052DC" w:rsidRDefault="009F0A60">
            <w:pPr>
              <w:pStyle w:val="B"/>
              <w:rPr>
                <w:szCs w:val="20"/>
              </w:rPr>
            </w:pPr>
            <w:r>
              <w:rPr>
                <w:rFonts w:hint="eastAsia"/>
                <w:szCs w:val="20"/>
              </w:rPr>
              <w:t>本月本机构的红利</w:t>
            </w:r>
            <w:r>
              <w:rPr>
                <w:szCs w:val="20"/>
              </w:rPr>
              <w:t>/</w:t>
            </w:r>
            <w:r>
              <w:rPr>
                <w:rFonts w:hint="eastAsia"/>
                <w:szCs w:val="20"/>
              </w:rPr>
              <w:t>股息</w:t>
            </w:r>
            <w:r>
              <w:rPr>
                <w:szCs w:val="20"/>
              </w:rPr>
              <w:t>/</w:t>
            </w:r>
            <w:r>
              <w:rPr>
                <w:rFonts w:hint="eastAsia"/>
                <w:szCs w:val="20"/>
              </w:rPr>
              <w:t>利润收入</w:t>
            </w:r>
          </w:p>
        </w:tc>
        <w:tc>
          <w:tcPr>
            <w:tcW w:w="1418" w:type="dxa"/>
          </w:tcPr>
          <w:p w14:paraId="6B73DF59" w14:textId="77777777" w:rsidR="00A052DC" w:rsidRDefault="009F0A60">
            <w:pPr>
              <w:pStyle w:val="B"/>
              <w:rPr>
                <w:szCs w:val="20"/>
              </w:rPr>
            </w:pPr>
            <w:r>
              <w:rPr>
                <w:rFonts w:hint="eastAsia"/>
                <w:szCs w:val="20"/>
              </w:rPr>
              <w:t>数值型，</w:t>
            </w:r>
            <w:r>
              <w:rPr>
                <w:szCs w:val="20"/>
              </w:rPr>
              <w:t>22.2</w:t>
            </w:r>
          </w:p>
        </w:tc>
        <w:tc>
          <w:tcPr>
            <w:tcW w:w="4161" w:type="dxa"/>
          </w:tcPr>
          <w:p w14:paraId="574C4F45" w14:textId="77777777" w:rsidR="00A052DC" w:rsidRDefault="009F0A60">
            <w:pPr>
              <w:pStyle w:val="B"/>
              <w:rPr>
                <w:szCs w:val="20"/>
              </w:rPr>
            </w:pPr>
            <w:r>
              <w:rPr>
                <w:rFonts w:hint="eastAsia"/>
                <w:szCs w:val="20"/>
              </w:rPr>
              <w:t>必填项。</w:t>
            </w:r>
          </w:p>
        </w:tc>
      </w:tr>
      <w:tr w:rsidR="00A052DC" w14:paraId="1DE5D2BE" w14:textId="77777777">
        <w:trPr>
          <w:jc w:val="center"/>
        </w:trPr>
        <w:tc>
          <w:tcPr>
            <w:tcW w:w="1242" w:type="dxa"/>
          </w:tcPr>
          <w:p w14:paraId="356F1329" w14:textId="77777777" w:rsidR="00A052DC" w:rsidRDefault="009F0A60">
            <w:pPr>
              <w:pStyle w:val="B"/>
              <w:rPr>
                <w:szCs w:val="20"/>
              </w:rPr>
            </w:pPr>
            <w:r>
              <w:rPr>
                <w:szCs w:val="20"/>
              </w:rPr>
              <w:t>REMARK</w:t>
            </w:r>
          </w:p>
        </w:tc>
        <w:tc>
          <w:tcPr>
            <w:tcW w:w="1701" w:type="dxa"/>
          </w:tcPr>
          <w:p w14:paraId="013EEB48" w14:textId="77777777" w:rsidR="00A052DC" w:rsidRDefault="009F0A60">
            <w:pPr>
              <w:pStyle w:val="B"/>
              <w:rPr>
                <w:szCs w:val="20"/>
              </w:rPr>
            </w:pPr>
            <w:r>
              <w:rPr>
                <w:rFonts w:hint="eastAsia"/>
                <w:szCs w:val="20"/>
              </w:rPr>
              <w:t>备注</w:t>
            </w:r>
          </w:p>
        </w:tc>
        <w:tc>
          <w:tcPr>
            <w:tcW w:w="1418" w:type="dxa"/>
          </w:tcPr>
          <w:p w14:paraId="65D4E566" w14:textId="77777777" w:rsidR="00A052DC" w:rsidRDefault="009F0A60">
            <w:pPr>
              <w:pStyle w:val="B"/>
              <w:rPr>
                <w:szCs w:val="20"/>
              </w:rPr>
            </w:pPr>
            <w:r>
              <w:rPr>
                <w:rFonts w:hint="eastAsia"/>
                <w:szCs w:val="20"/>
              </w:rPr>
              <w:t>字符型，</w:t>
            </w:r>
            <w:r>
              <w:rPr>
                <w:szCs w:val="20"/>
              </w:rPr>
              <w:t>512</w:t>
            </w:r>
          </w:p>
        </w:tc>
        <w:tc>
          <w:tcPr>
            <w:tcW w:w="4161" w:type="dxa"/>
          </w:tcPr>
          <w:p w14:paraId="33715565" w14:textId="77777777" w:rsidR="00A052DC" w:rsidRDefault="009F0A60">
            <w:pPr>
              <w:pStyle w:val="B"/>
              <w:rPr>
                <w:szCs w:val="20"/>
              </w:rPr>
            </w:pPr>
            <w:r>
              <w:rPr>
                <w:rFonts w:hint="eastAsia"/>
                <w:szCs w:val="20"/>
              </w:rPr>
              <w:t>当D0307、D0308、D0312任一项为负数时，为必填项。</w:t>
            </w:r>
          </w:p>
        </w:tc>
      </w:tr>
    </w:tbl>
    <w:p w14:paraId="14D28EB4" w14:textId="77777777" w:rsidR="00A052DC" w:rsidRDefault="00A052DC"/>
    <w:p w14:paraId="6CB95466" w14:textId="77777777" w:rsidR="00A052DC" w:rsidRDefault="009F0A60" w:rsidP="0020251D">
      <w:pPr>
        <w:pStyle w:val="3"/>
        <w:ind w:left="0"/>
        <w:rPr>
          <w:rFonts w:ascii="Times New Roman" w:hAnsi="Times New Roman"/>
        </w:rPr>
      </w:pPr>
      <w:bookmarkStart w:id="3236" w:name="_Toc380356292"/>
      <w:bookmarkStart w:id="3237" w:name="_Toc380570963"/>
      <w:bookmarkStart w:id="3238" w:name="_Toc91455319"/>
      <w:bookmarkStart w:id="3239" w:name="_Toc454391312"/>
      <w:bookmarkStart w:id="3240" w:name="_Toc101684492"/>
      <w:r>
        <w:rPr>
          <w:rFonts w:ascii="Times New Roman" w:hAnsi="Times New Roman"/>
        </w:rPr>
        <w:t>D04</w:t>
      </w:r>
      <w:r>
        <w:rPr>
          <w:rFonts w:ascii="Times New Roman" w:hAnsi="Times New Roman" w:hint="eastAsia"/>
        </w:rPr>
        <w:t>表：应收款及预付款（不含应收利息）（资产）</w:t>
      </w:r>
      <w:bookmarkEnd w:id="3236"/>
      <w:bookmarkEnd w:id="3237"/>
      <w:bookmarkEnd w:id="3238"/>
      <w:bookmarkEnd w:id="3239"/>
      <w:bookmarkEnd w:id="3240"/>
    </w:p>
    <w:p w14:paraId="1CE7B20F" w14:textId="77777777" w:rsidR="00A052DC" w:rsidRDefault="009F0A60" w:rsidP="0020251D">
      <w:pPr>
        <w:pStyle w:val="4"/>
        <w:numPr>
          <w:ilvl w:val="3"/>
          <w:numId w:val="1"/>
        </w:numPr>
        <w:jc w:val="left"/>
      </w:pPr>
      <w:bookmarkStart w:id="3241" w:name="_Toc380570964"/>
      <w:bookmarkStart w:id="3242" w:name="_Toc454391313"/>
      <w:r>
        <w:rPr>
          <w:rFonts w:hint="eastAsia"/>
        </w:rPr>
        <w:t>数据术语解释</w:t>
      </w:r>
      <w:bookmarkEnd w:id="3241"/>
      <w:bookmarkEnd w:id="3242"/>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7138"/>
      </w:tblGrid>
      <w:tr w:rsidR="00A052DC" w14:paraId="17401470" w14:textId="77777777">
        <w:trPr>
          <w:cantSplit/>
        </w:trPr>
        <w:tc>
          <w:tcPr>
            <w:tcW w:w="1418" w:type="dxa"/>
          </w:tcPr>
          <w:p w14:paraId="7FA6BD97" w14:textId="77777777" w:rsidR="00A052DC" w:rsidRDefault="009F0A60">
            <w:pPr>
              <w:jc w:val="center"/>
              <w:rPr>
                <w:rFonts w:ascii="黑体" w:eastAsia="黑体" w:hAnsi="黑体"/>
                <w:b/>
                <w:sz w:val="20"/>
                <w:szCs w:val="20"/>
              </w:rPr>
            </w:pPr>
            <w:r>
              <w:rPr>
                <w:rFonts w:ascii="黑体" w:eastAsia="黑体" w:hAnsi="黑体" w:hint="eastAsia"/>
                <w:b/>
                <w:sz w:val="20"/>
                <w:szCs w:val="20"/>
              </w:rPr>
              <w:t>基础数据项</w:t>
            </w:r>
          </w:p>
        </w:tc>
        <w:tc>
          <w:tcPr>
            <w:tcW w:w="7138" w:type="dxa"/>
          </w:tcPr>
          <w:p w14:paraId="3AC44962" w14:textId="77777777" w:rsidR="00A052DC" w:rsidRDefault="009F0A60">
            <w:pPr>
              <w:jc w:val="center"/>
              <w:rPr>
                <w:rFonts w:ascii="黑体" w:eastAsia="黑体" w:hAnsi="黑体"/>
                <w:b/>
                <w:sz w:val="20"/>
                <w:szCs w:val="20"/>
              </w:rPr>
            </w:pPr>
            <w:r>
              <w:rPr>
                <w:rFonts w:ascii="黑体" w:eastAsia="黑体" w:hAnsi="黑体" w:hint="eastAsia"/>
                <w:b/>
                <w:sz w:val="20"/>
                <w:szCs w:val="20"/>
              </w:rPr>
              <w:t>定义</w:t>
            </w:r>
          </w:p>
        </w:tc>
      </w:tr>
      <w:tr w:rsidR="00A052DC" w14:paraId="10B1DC08" w14:textId="77777777">
        <w:trPr>
          <w:cantSplit/>
        </w:trPr>
        <w:tc>
          <w:tcPr>
            <w:tcW w:w="1418" w:type="dxa"/>
          </w:tcPr>
          <w:p w14:paraId="105CCC61" w14:textId="77777777" w:rsidR="00A052DC" w:rsidRDefault="009F0A60">
            <w:pPr>
              <w:rPr>
                <w:rFonts w:ascii="黑体" w:eastAsia="黑体" w:hAnsi="黑体"/>
                <w:sz w:val="20"/>
                <w:szCs w:val="20"/>
              </w:rPr>
            </w:pPr>
            <w:r>
              <w:rPr>
                <w:rFonts w:ascii="黑体" w:eastAsia="黑体" w:hAnsi="黑体" w:hint="eastAsia"/>
                <w:sz w:val="20"/>
                <w:szCs w:val="20"/>
              </w:rPr>
              <w:t>数据自编码</w:t>
            </w:r>
          </w:p>
        </w:tc>
        <w:tc>
          <w:tcPr>
            <w:tcW w:w="7138" w:type="dxa"/>
          </w:tcPr>
          <w:p w14:paraId="531967D9" w14:textId="77777777" w:rsidR="00A052DC" w:rsidRDefault="009F0A60">
            <w:pPr>
              <w:rPr>
                <w:rFonts w:ascii="黑体" w:eastAsia="黑体" w:hAnsi="黑体"/>
                <w:sz w:val="20"/>
                <w:szCs w:val="20"/>
              </w:rPr>
            </w:pPr>
            <w:r>
              <w:rPr>
                <w:rFonts w:ascii="黑体" w:eastAsia="黑体" w:hAnsi="黑体" w:hint="eastAsia"/>
                <w:sz w:val="20"/>
                <w:szCs w:val="20"/>
              </w:rPr>
              <w:t>该编码用于标识金融机构报送的每一条数据，按给定规则编码，便于进行增删改查等操作。建议规则：机构代码（18位，不足18位补a）+报表代码（5位，不足5位补a）+报送期（6位）+顺序号（7位，从0000001开始增加）。</w:t>
            </w:r>
          </w:p>
        </w:tc>
      </w:tr>
      <w:tr w:rsidR="00A052DC" w14:paraId="00014DA4" w14:textId="77777777">
        <w:trPr>
          <w:cantSplit/>
        </w:trPr>
        <w:tc>
          <w:tcPr>
            <w:tcW w:w="1418" w:type="dxa"/>
          </w:tcPr>
          <w:p w14:paraId="1252DD79" w14:textId="77777777" w:rsidR="00A052DC" w:rsidRDefault="009F0A60">
            <w:pPr>
              <w:rPr>
                <w:rFonts w:ascii="黑体" w:eastAsia="黑体" w:hAnsi="黑体"/>
                <w:sz w:val="20"/>
                <w:szCs w:val="20"/>
              </w:rPr>
            </w:pPr>
            <w:r>
              <w:rPr>
                <w:rFonts w:ascii="黑体" w:eastAsia="黑体" w:hAnsi="黑体" w:hint="eastAsia"/>
                <w:sz w:val="20"/>
                <w:szCs w:val="20"/>
              </w:rPr>
              <w:t>申报主体代码</w:t>
            </w:r>
          </w:p>
        </w:tc>
        <w:tc>
          <w:tcPr>
            <w:tcW w:w="7138" w:type="dxa"/>
          </w:tcPr>
          <w:p w14:paraId="10073823" w14:textId="77777777" w:rsidR="00A052DC" w:rsidRDefault="009F0A60">
            <w:pPr>
              <w:rPr>
                <w:rFonts w:ascii="黑体" w:eastAsia="黑体" w:hAnsi="黑体"/>
                <w:sz w:val="20"/>
                <w:szCs w:val="20"/>
              </w:rPr>
            </w:pPr>
            <w:r>
              <w:rPr>
                <w:rFonts w:ascii="黑体" w:eastAsia="黑体" w:hAnsi="黑体" w:hint="eastAsia"/>
                <w:sz w:val="20"/>
                <w:szCs w:val="20"/>
              </w:rPr>
              <w:t>申报主体的12位金融机构标识码，如果没有金融机构标识码，则填报统一社会信用代码法定载体（如营业执照）上统一社会信用代码中的第9至17位或国家外汇管理局及其分支局签发的特殊机构代码赋码通知书上的机构代码、个人身份代码。</w:t>
            </w:r>
          </w:p>
        </w:tc>
      </w:tr>
      <w:tr w:rsidR="00A052DC" w14:paraId="62436DBF" w14:textId="77777777">
        <w:trPr>
          <w:cantSplit/>
        </w:trPr>
        <w:tc>
          <w:tcPr>
            <w:tcW w:w="1418" w:type="dxa"/>
          </w:tcPr>
          <w:p w14:paraId="4D0C4586" w14:textId="77777777" w:rsidR="00A052DC" w:rsidRDefault="009F0A60">
            <w:pPr>
              <w:rPr>
                <w:rFonts w:ascii="黑体" w:eastAsia="黑体" w:hAnsi="黑体"/>
                <w:sz w:val="20"/>
                <w:szCs w:val="20"/>
              </w:rPr>
            </w:pPr>
            <w:r>
              <w:rPr>
                <w:rFonts w:ascii="黑体" w:eastAsia="黑体" w:hAnsi="黑体" w:hint="eastAsia"/>
                <w:sz w:val="20"/>
                <w:szCs w:val="20"/>
              </w:rPr>
              <w:t>报告期</w:t>
            </w:r>
          </w:p>
        </w:tc>
        <w:tc>
          <w:tcPr>
            <w:tcW w:w="7138" w:type="dxa"/>
          </w:tcPr>
          <w:p w14:paraId="6AD40151" w14:textId="77777777" w:rsidR="00A052DC" w:rsidRDefault="009F0A60">
            <w:pPr>
              <w:rPr>
                <w:rFonts w:ascii="黑体" w:eastAsia="黑体" w:hAnsi="黑体"/>
                <w:sz w:val="20"/>
                <w:szCs w:val="20"/>
              </w:rPr>
            </w:pPr>
            <w:r>
              <w:rPr>
                <w:rFonts w:ascii="黑体" w:eastAsia="黑体" w:hAnsi="黑体" w:hint="eastAsia"/>
                <w:sz w:val="20"/>
                <w:szCs w:val="20"/>
              </w:rPr>
              <w:t>业务发生月份，格式为YYYYMM。</w:t>
            </w:r>
          </w:p>
        </w:tc>
      </w:tr>
      <w:tr w:rsidR="00A052DC" w14:paraId="3DD6FD8A" w14:textId="77777777">
        <w:trPr>
          <w:cantSplit/>
        </w:trPr>
        <w:tc>
          <w:tcPr>
            <w:tcW w:w="1418" w:type="dxa"/>
          </w:tcPr>
          <w:p w14:paraId="4FD612D3" w14:textId="77777777" w:rsidR="00A052DC" w:rsidRDefault="009F0A60">
            <w:pPr>
              <w:rPr>
                <w:rFonts w:ascii="黑体" w:eastAsia="黑体" w:hAnsi="黑体"/>
                <w:sz w:val="20"/>
                <w:szCs w:val="20"/>
              </w:rPr>
            </w:pPr>
            <w:r>
              <w:rPr>
                <w:rFonts w:ascii="黑体" w:eastAsia="黑体" w:hAnsi="黑体" w:hint="eastAsia"/>
                <w:sz w:val="20"/>
                <w:szCs w:val="20"/>
              </w:rPr>
              <w:t>业务类型</w:t>
            </w:r>
          </w:p>
        </w:tc>
        <w:tc>
          <w:tcPr>
            <w:tcW w:w="7138" w:type="dxa"/>
          </w:tcPr>
          <w:p w14:paraId="629D0BB5" w14:textId="77777777" w:rsidR="00A052DC" w:rsidRDefault="009F0A60">
            <w:pPr>
              <w:rPr>
                <w:rFonts w:ascii="黑体" w:eastAsia="黑体" w:hAnsi="黑体"/>
                <w:sz w:val="20"/>
                <w:szCs w:val="20"/>
              </w:rPr>
            </w:pPr>
            <w:r>
              <w:rPr>
                <w:rFonts w:ascii="黑体" w:eastAsia="黑体" w:hAnsi="黑体" w:hint="eastAsia"/>
                <w:sz w:val="20"/>
                <w:szCs w:val="20"/>
              </w:rPr>
              <w:t>指产生应收（预付）款项的业务类型，按以下两种情况填列：</w:t>
            </w:r>
            <w:r>
              <w:rPr>
                <w:rFonts w:ascii="黑体" w:eastAsia="黑体" w:hAnsi="黑体"/>
                <w:sz w:val="20"/>
                <w:szCs w:val="20"/>
              </w:rPr>
              <w:t>1-货物贸易；9-其他。</w:t>
            </w:r>
          </w:p>
        </w:tc>
      </w:tr>
      <w:tr w:rsidR="00A052DC" w14:paraId="5C8B8406" w14:textId="77777777">
        <w:trPr>
          <w:cantSplit/>
        </w:trPr>
        <w:tc>
          <w:tcPr>
            <w:tcW w:w="1418" w:type="dxa"/>
          </w:tcPr>
          <w:p w14:paraId="7BC9685A" w14:textId="77777777" w:rsidR="00A052DC" w:rsidRDefault="009F0A60">
            <w:pPr>
              <w:rPr>
                <w:rFonts w:ascii="黑体" w:eastAsia="黑体" w:hAnsi="黑体"/>
                <w:sz w:val="20"/>
                <w:szCs w:val="20"/>
              </w:rPr>
            </w:pPr>
            <w:r>
              <w:rPr>
                <w:rFonts w:ascii="黑体" w:eastAsia="黑体" w:hAnsi="黑体" w:hint="eastAsia"/>
                <w:sz w:val="20"/>
                <w:szCs w:val="20"/>
              </w:rPr>
              <w:t>对方国家/地区</w:t>
            </w:r>
          </w:p>
        </w:tc>
        <w:tc>
          <w:tcPr>
            <w:tcW w:w="7138" w:type="dxa"/>
          </w:tcPr>
          <w:p w14:paraId="78B54100" w14:textId="77777777" w:rsidR="00A052DC" w:rsidRDefault="009F0A60">
            <w:pPr>
              <w:rPr>
                <w:rFonts w:ascii="黑体" w:eastAsia="黑体" w:hAnsi="黑体"/>
                <w:sz w:val="20"/>
                <w:szCs w:val="20"/>
              </w:rPr>
            </w:pPr>
            <w:r>
              <w:rPr>
                <w:rFonts w:ascii="黑体" w:eastAsia="黑体" w:hAnsi="黑体" w:hint="eastAsia"/>
                <w:sz w:val="20"/>
                <w:szCs w:val="20"/>
              </w:rPr>
              <w:t>指应收款项（或预付款）对应的非居民主体注册或常驻（住）的国家/地区。见国家和地区代码表。</w:t>
            </w:r>
          </w:p>
        </w:tc>
      </w:tr>
      <w:tr w:rsidR="00A052DC" w14:paraId="53B11387" w14:textId="77777777">
        <w:trPr>
          <w:cantSplit/>
        </w:trPr>
        <w:tc>
          <w:tcPr>
            <w:tcW w:w="1418" w:type="dxa"/>
          </w:tcPr>
          <w:p w14:paraId="6F54D117" w14:textId="77777777" w:rsidR="00A052DC" w:rsidRDefault="009F0A60">
            <w:pPr>
              <w:rPr>
                <w:rFonts w:ascii="黑体" w:eastAsia="黑体" w:hAnsi="黑体"/>
                <w:sz w:val="20"/>
                <w:szCs w:val="20"/>
              </w:rPr>
            </w:pPr>
            <w:r>
              <w:rPr>
                <w:rFonts w:ascii="黑体" w:eastAsia="黑体" w:hAnsi="黑体" w:hint="eastAsia"/>
                <w:sz w:val="20"/>
                <w:szCs w:val="20"/>
              </w:rPr>
              <w:t>对方部门</w:t>
            </w:r>
          </w:p>
        </w:tc>
        <w:tc>
          <w:tcPr>
            <w:tcW w:w="7138" w:type="dxa"/>
          </w:tcPr>
          <w:p w14:paraId="23E64350" w14:textId="77777777" w:rsidR="00A052DC" w:rsidRDefault="009F0A60">
            <w:pPr>
              <w:rPr>
                <w:rFonts w:ascii="黑体" w:eastAsia="黑体" w:hAnsi="黑体"/>
                <w:sz w:val="20"/>
                <w:szCs w:val="20"/>
              </w:rPr>
            </w:pPr>
            <w:r>
              <w:rPr>
                <w:rFonts w:ascii="黑体" w:eastAsia="黑体" w:hAnsi="黑体" w:hint="eastAsia"/>
                <w:sz w:val="20"/>
                <w:szCs w:val="20"/>
              </w:rPr>
              <w:t>指应收款项（或预付款）对应的非居民主体所属部门，见投资者（被投资者）部门代码表。请按对手方的主营业务归类。</w:t>
            </w:r>
          </w:p>
        </w:tc>
      </w:tr>
      <w:tr w:rsidR="00A052DC" w14:paraId="04F651BE" w14:textId="77777777">
        <w:trPr>
          <w:cantSplit/>
        </w:trPr>
        <w:tc>
          <w:tcPr>
            <w:tcW w:w="1418" w:type="dxa"/>
          </w:tcPr>
          <w:p w14:paraId="4B46F61D" w14:textId="77777777" w:rsidR="00A052DC" w:rsidRDefault="009F0A60">
            <w:pPr>
              <w:rPr>
                <w:rFonts w:ascii="黑体" w:eastAsia="黑体" w:hAnsi="黑体"/>
                <w:sz w:val="20"/>
                <w:szCs w:val="20"/>
              </w:rPr>
            </w:pPr>
            <w:r>
              <w:rPr>
                <w:rFonts w:ascii="黑体" w:eastAsia="黑体" w:hAnsi="黑体" w:hint="eastAsia"/>
                <w:sz w:val="20"/>
                <w:szCs w:val="20"/>
              </w:rPr>
              <w:t>对方与本机构的关系</w:t>
            </w:r>
          </w:p>
        </w:tc>
        <w:tc>
          <w:tcPr>
            <w:tcW w:w="7138" w:type="dxa"/>
          </w:tcPr>
          <w:p w14:paraId="7C5C88BA" w14:textId="77777777" w:rsidR="00A052DC" w:rsidRDefault="009F0A60">
            <w:pPr>
              <w:rPr>
                <w:rFonts w:ascii="黑体" w:eastAsia="黑体" w:hAnsi="黑体"/>
                <w:sz w:val="20"/>
                <w:szCs w:val="20"/>
              </w:rPr>
            </w:pPr>
            <w:r>
              <w:rPr>
                <w:rFonts w:ascii="黑体" w:eastAsia="黑体" w:hAnsi="黑体" w:hint="eastAsia"/>
                <w:sz w:val="20"/>
                <w:szCs w:val="20"/>
              </w:rPr>
              <w:t>见对方与本机构/被代理居民机构/委托人的关系代码表。分为以下四种情况：1-对方是本机构的境外直接投资者，即持有本机构表决权≥10%；2-对方是本机构的境外直接投资企业，即本机构持有表决权在10%及以上的境外分支机构、子机构、联营机构或合营机构；3-对方是本机构的境外联属机构，即双方有共同母公司，但相互持有表决权＜10%或相互不持有表决权；4-对方与本机构无关联关系。</w:t>
            </w:r>
          </w:p>
        </w:tc>
      </w:tr>
      <w:tr w:rsidR="00A052DC" w14:paraId="7DE6FD95" w14:textId="77777777">
        <w:trPr>
          <w:cantSplit/>
          <w:trHeight w:val="312"/>
        </w:trPr>
        <w:tc>
          <w:tcPr>
            <w:tcW w:w="1418" w:type="dxa"/>
            <w:vMerge w:val="restart"/>
          </w:tcPr>
          <w:p w14:paraId="78AA9766" w14:textId="77777777" w:rsidR="00A052DC" w:rsidRDefault="009F0A60">
            <w:pPr>
              <w:rPr>
                <w:rFonts w:ascii="黑体" w:eastAsia="黑体" w:hAnsi="黑体"/>
                <w:sz w:val="20"/>
                <w:szCs w:val="20"/>
              </w:rPr>
            </w:pPr>
            <w:r>
              <w:rPr>
                <w:rFonts w:ascii="黑体" w:eastAsia="黑体" w:hAnsi="黑体" w:hint="eastAsia"/>
                <w:sz w:val="20"/>
                <w:szCs w:val="20"/>
              </w:rPr>
              <w:t>原始期限</w:t>
            </w:r>
          </w:p>
        </w:tc>
        <w:tc>
          <w:tcPr>
            <w:tcW w:w="7138" w:type="dxa"/>
            <w:vMerge w:val="restart"/>
          </w:tcPr>
          <w:p w14:paraId="437F18CB" w14:textId="77777777" w:rsidR="00A052DC" w:rsidRDefault="009F0A60">
            <w:pPr>
              <w:rPr>
                <w:rFonts w:ascii="黑体" w:eastAsia="黑体" w:hAnsi="黑体"/>
                <w:sz w:val="20"/>
                <w:szCs w:val="20"/>
              </w:rPr>
            </w:pPr>
            <w:r>
              <w:rPr>
                <w:rFonts w:ascii="黑体" w:eastAsia="黑体" w:hAnsi="黑体" w:hint="eastAsia"/>
                <w:sz w:val="20"/>
                <w:szCs w:val="20"/>
              </w:rPr>
              <w:t>指应收款从确认至（预计）收回的期限，或预付款从确认至（预计）账面冲减的期限，按以下两种情况填列:1-一年及以下，含不定期；2-一年以上。如发生应收款拖欠或展期的，应按照双方确定的期限计算。如双方无安排，应按原期限归类。</w:t>
            </w:r>
          </w:p>
        </w:tc>
      </w:tr>
      <w:tr w:rsidR="00A052DC" w14:paraId="4C751F45" w14:textId="77777777">
        <w:trPr>
          <w:cantSplit/>
          <w:trHeight w:val="708"/>
        </w:trPr>
        <w:tc>
          <w:tcPr>
            <w:tcW w:w="1418" w:type="dxa"/>
            <w:vMerge/>
          </w:tcPr>
          <w:p w14:paraId="219B352B" w14:textId="77777777" w:rsidR="00A052DC" w:rsidRDefault="00A052DC">
            <w:pPr>
              <w:rPr>
                <w:rFonts w:ascii="黑体" w:eastAsia="黑体" w:hAnsi="黑体"/>
                <w:b/>
                <w:bCs/>
                <w:sz w:val="20"/>
                <w:szCs w:val="20"/>
              </w:rPr>
            </w:pPr>
          </w:p>
        </w:tc>
        <w:tc>
          <w:tcPr>
            <w:tcW w:w="7138" w:type="dxa"/>
            <w:vMerge/>
          </w:tcPr>
          <w:p w14:paraId="5A5365CC" w14:textId="77777777" w:rsidR="00A052DC" w:rsidRDefault="00A052DC">
            <w:pPr>
              <w:rPr>
                <w:rFonts w:ascii="黑体" w:eastAsia="黑体" w:hAnsi="黑体"/>
                <w:b/>
                <w:bCs/>
                <w:sz w:val="20"/>
                <w:szCs w:val="20"/>
              </w:rPr>
            </w:pPr>
          </w:p>
        </w:tc>
      </w:tr>
      <w:tr w:rsidR="00A052DC" w14:paraId="799B5AA1" w14:textId="77777777">
        <w:trPr>
          <w:cantSplit/>
        </w:trPr>
        <w:tc>
          <w:tcPr>
            <w:tcW w:w="1418" w:type="dxa"/>
          </w:tcPr>
          <w:p w14:paraId="443D83F1" w14:textId="77777777" w:rsidR="00A052DC" w:rsidRDefault="009F0A60">
            <w:pPr>
              <w:rPr>
                <w:rFonts w:ascii="黑体" w:eastAsia="黑体" w:hAnsi="黑体"/>
                <w:sz w:val="20"/>
                <w:szCs w:val="20"/>
              </w:rPr>
            </w:pPr>
            <w:r>
              <w:rPr>
                <w:rFonts w:ascii="黑体" w:eastAsia="黑体" w:hAnsi="黑体" w:hint="eastAsia"/>
                <w:sz w:val="20"/>
                <w:szCs w:val="20"/>
              </w:rPr>
              <w:t>原始币种</w:t>
            </w:r>
          </w:p>
        </w:tc>
        <w:tc>
          <w:tcPr>
            <w:tcW w:w="7138" w:type="dxa"/>
          </w:tcPr>
          <w:p w14:paraId="06FB8148" w14:textId="77777777" w:rsidR="00A052DC" w:rsidRDefault="009F0A60">
            <w:pPr>
              <w:rPr>
                <w:rFonts w:ascii="黑体" w:eastAsia="黑体" w:hAnsi="黑体"/>
                <w:sz w:val="20"/>
                <w:szCs w:val="20"/>
              </w:rPr>
            </w:pPr>
            <w:r>
              <w:rPr>
                <w:rFonts w:ascii="黑体" w:eastAsia="黑体" w:hAnsi="黑体" w:hint="eastAsia"/>
                <w:sz w:val="20"/>
                <w:szCs w:val="20"/>
              </w:rPr>
              <w:t>指应收（预付）款项的原始计价币种。适用于上月末余额至本月净发生额各项。见币种代码表。</w:t>
            </w:r>
          </w:p>
        </w:tc>
      </w:tr>
      <w:tr w:rsidR="00A052DC" w14:paraId="60905081" w14:textId="77777777">
        <w:trPr>
          <w:cantSplit/>
        </w:trPr>
        <w:tc>
          <w:tcPr>
            <w:tcW w:w="1418" w:type="dxa"/>
          </w:tcPr>
          <w:p w14:paraId="57F0CA86" w14:textId="77777777" w:rsidR="00A052DC" w:rsidRDefault="009F0A60">
            <w:pPr>
              <w:rPr>
                <w:rFonts w:ascii="黑体" w:eastAsia="黑体" w:hAnsi="黑体"/>
                <w:sz w:val="20"/>
                <w:szCs w:val="20"/>
              </w:rPr>
            </w:pPr>
            <w:r>
              <w:rPr>
                <w:rFonts w:ascii="黑体" w:eastAsia="黑体" w:hAnsi="黑体" w:hint="eastAsia"/>
                <w:sz w:val="20"/>
                <w:szCs w:val="20"/>
              </w:rPr>
              <w:t>上月末余额</w:t>
            </w:r>
          </w:p>
        </w:tc>
        <w:tc>
          <w:tcPr>
            <w:tcW w:w="7138" w:type="dxa"/>
          </w:tcPr>
          <w:p w14:paraId="4B965038" w14:textId="77777777" w:rsidR="00A052DC" w:rsidRDefault="009F0A60">
            <w:pPr>
              <w:rPr>
                <w:rFonts w:ascii="黑体" w:eastAsia="黑体" w:hAnsi="黑体"/>
                <w:sz w:val="20"/>
                <w:szCs w:val="20"/>
              </w:rPr>
            </w:pPr>
            <w:r>
              <w:rPr>
                <w:rFonts w:ascii="黑体" w:eastAsia="黑体" w:hAnsi="黑体" w:hint="eastAsia"/>
                <w:sz w:val="20"/>
                <w:szCs w:val="20"/>
              </w:rPr>
              <w:t>指上月末对非居民应收款项（或预付款项）的账面余额。</w:t>
            </w:r>
          </w:p>
        </w:tc>
      </w:tr>
      <w:tr w:rsidR="00A052DC" w14:paraId="010E30CF" w14:textId="77777777">
        <w:trPr>
          <w:cantSplit/>
        </w:trPr>
        <w:tc>
          <w:tcPr>
            <w:tcW w:w="1418" w:type="dxa"/>
          </w:tcPr>
          <w:p w14:paraId="1B6D4EBD" w14:textId="77777777" w:rsidR="00A052DC" w:rsidRDefault="009F0A60">
            <w:pPr>
              <w:rPr>
                <w:rFonts w:ascii="黑体" w:eastAsia="黑体" w:hAnsi="黑体"/>
                <w:sz w:val="20"/>
                <w:szCs w:val="20"/>
              </w:rPr>
            </w:pPr>
            <w:r>
              <w:rPr>
                <w:rFonts w:ascii="黑体" w:eastAsia="黑体" w:hAnsi="黑体" w:hint="eastAsia"/>
                <w:sz w:val="20"/>
                <w:szCs w:val="20"/>
              </w:rPr>
              <w:t>本月末余额</w:t>
            </w:r>
          </w:p>
        </w:tc>
        <w:tc>
          <w:tcPr>
            <w:tcW w:w="7138" w:type="dxa"/>
          </w:tcPr>
          <w:p w14:paraId="4B727563" w14:textId="77777777" w:rsidR="00A052DC" w:rsidRDefault="009F0A60">
            <w:pPr>
              <w:rPr>
                <w:rFonts w:ascii="黑体" w:eastAsia="黑体" w:hAnsi="黑体"/>
                <w:sz w:val="20"/>
                <w:szCs w:val="20"/>
              </w:rPr>
            </w:pPr>
            <w:r>
              <w:rPr>
                <w:rFonts w:ascii="黑体" w:eastAsia="黑体" w:hAnsi="黑体" w:hint="eastAsia"/>
                <w:sz w:val="20"/>
                <w:szCs w:val="20"/>
              </w:rPr>
              <w:t>指本月末对非居民应收款项（或预付款项）的账面余额。</w:t>
            </w:r>
          </w:p>
        </w:tc>
      </w:tr>
      <w:tr w:rsidR="00A052DC" w14:paraId="535F2B20" w14:textId="77777777">
        <w:trPr>
          <w:cantSplit/>
        </w:trPr>
        <w:tc>
          <w:tcPr>
            <w:tcW w:w="1418" w:type="dxa"/>
          </w:tcPr>
          <w:p w14:paraId="18732083" w14:textId="77777777" w:rsidR="00A052DC" w:rsidRDefault="009F0A60">
            <w:pPr>
              <w:rPr>
                <w:rFonts w:ascii="黑体" w:eastAsia="黑体" w:hAnsi="黑体"/>
                <w:sz w:val="20"/>
                <w:szCs w:val="20"/>
              </w:rPr>
            </w:pPr>
            <w:r>
              <w:rPr>
                <w:rFonts w:ascii="黑体" w:eastAsia="黑体" w:hAnsi="黑体" w:hint="eastAsia"/>
                <w:sz w:val="20"/>
                <w:szCs w:val="20"/>
              </w:rPr>
              <w:t>本月末余额其中：剩余期限在一年及以下</w:t>
            </w:r>
          </w:p>
        </w:tc>
        <w:tc>
          <w:tcPr>
            <w:tcW w:w="7138" w:type="dxa"/>
          </w:tcPr>
          <w:p w14:paraId="13B2F49F" w14:textId="77777777" w:rsidR="00A052DC" w:rsidRDefault="009F0A60">
            <w:pPr>
              <w:rPr>
                <w:rFonts w:ascii="黑体" w:eastAsia="黑体" w:hAnsi="黑体"/>
                <w:sz w:val="20"/>
                <w:szCs w:val="20"/>
              </w:rPr>
            </w:pPr>
            <w:r>
              <w:rPr>
                <w:rFonts w:ascii="黑体" w:eastAsia="黑体" w:hAnsi="黑体" w:hint="eastAsia"/>
                <w:sz w:val="20"/>
                <w:szCs w:val="20"/>
              </w:rPr>
              <w:t>指自本月末至最终到期在一年及以下的本月末对非居民应收（预付）款项的账面余额。如发生应收（预付）款拖欠或展期的，应按照双方确定的期限计算。如双方无安排，纳入一年及以下统计。</w:t>
            </w:r>
          </w:p>
        </w:tc>
      </w:tr>
      <w:tr w:rsidR="00A052DC" w14:paraId="0B26B36D" w14:textId="77777777">
        <w:trPr>
          <w:cantSplit/>
        </w:trPr>
        <w:tc>
          <w:tcPr>
            <w:tcW w:w="1418" w:type="dxa"/>
          </w:tcPr>
          <w:p w14:paraId="05064508" w14:textId="77777777" w:rsidR="00A052DC" w:rsidRDefault="009F0A60">
            <w:pPr>
              <w:rPr>
                <w:rFonts w:ascii="黑体" w:eastAsia="黑体" w:hAnsi="黑体"/>
                <w:sz w:val="20"/>
                <w:szCs w:val="20"/>
              </w:rPr>
            </w:pPr>
            <w:r>
              <w:rPr>
                <w:rFonts w:ascii="黑体" w:eastAsia="黑体" w:hAnsi="黑体" w:hint="eastAsia"/>
                <w:sz w:val="20"/>
                <w:szCs w:val="20"/>
              </w:rPr>
              <w:t>本月非交易变动</w:t>
            </w:r>
          </w:p>
        </w:tc>
        <w:tc>
          <w:tcPr>
            <w:tcW w:w="7138" w:type="dxa"/>
          </w:tcPr>
          <w:p w14:paraId="5C92E9F8" w14:textId="77777777" w:rsidR="00A052DC" w:rsidRDefault="009F0A60">
            <w:pPr>
              <w:rPr>
                <w:rFonts w:ascii="黑体" w:eastAsia="黑体" w:hAnsi="黑体"/>
                <w:sz w:val="20"/>
                <w:szCs w:val="20"/>
              </w:rPr>
            </w:pPr>
            <w:r>
              <w:rPr>
                <w:rFonts w:ascii="黑体" w:eastAsia="黑体" w:hAnsi="黑体" w:hint="eastAsia"/>
                <w:sz w:val="20"/>
                <w:szCs w:val="20"/>
              </w:rPr>
              <w:t>指因不良资产注销、重新分类以及所涉主体居民地位改变等因素导致境内机构对非居民应收（预付）款项变动的净额。。</w:t>
            </w:r>
          </w:p>
        </w:tc>
      </w:tr>
      <w:tr w:rsidR="00A052DC" w14:paraId="00A21CA9" w14:textId="77777777">
        <w:trPr>
          <w:cantSplit/>
        </w:trPr>
        <w:tc>
          <w:tcPr>
            <w:tcW w:w="1418" w:type="dxa"/>
          </w:tcPr>
          <w:p w14:paraId="66BE1863" w14:textId="77777777" w:rsidR="00A052DC" w:rsidRDefault="009F0A60">
            <w:pPr>
              <w:rPr>
                <w:rFonts w:ascii="黑体" w:eastAsia="黑体" w:hAnsi="黑体"/>
                <w:sz w:val="20"/>
                <w:szCs w:val="20"/>
              </w:rPr>
            </w:pPr>
            <w:r>
              <w:rPr>
                <w:rFonts w:ascii="黑体" w:eastAsia="黑体" w:hAnsi="黑体" w:hint="eastAsia"/>
                <w:sz w:val="20"/>
                <w:szCs w:val="20"/>
              </w:rPr>
              <w:t>本月净发生额</w:t>
            </w:r>
          </w:p>
        </w:tc>
        <w:tc>
          <w:tcPr>
            <w:tcW w:w="7138" w:type="dxa"/>
          </w:tcPr>
          <w:p w14:paraId="25BA8C39" w14:textId="77777777" w:rsidR="00A052DC" w:rsidRDefault="009F0A60">
            <w:pPr>
              <w:rPr>
                <w:rFonts w:ascii="黑体" w:eastAsia="黑体" w:hAnsi="黑体"/>
                <w:sz w:val="20"/>
                <w:szCs w:val="20"/>
              </w:rPr>
            </w:pPr>
            <w:r>
              <w:rPr>
                <w:rFonts w:ascii="黑体" w:eastAsia="黑体" w:hAnsi="黑体" w:hint="eastAsia"/>
                <w:sz w:val="20"/>
                <w:szCs w:val="20"/>
              </w:rPr>
              <w:t>指本月对非居民应收（预付）款项的净发生额，正值代表资产的增加，负值代表资产的减少。计算公式为本月净发生额</w:t>
            </w:r>
            <w:r>
              <w:rPr>
                <w:rFonts w:ascii="黑体" w:eastAsia="黑体" w:hAnsi="黑体"/>
                <w:sz w:val="20"/>
                <w:szCs w:val="20"/>
              </w:rPr>
              <w:t>=本月末余额-上月末余额-本月非交易变动。</w:t>
            </w:r>
          </w:p>
        </w:tc>
      </w:tr>
      <w:tr w:rsidR="00A052DC" w14:paraId="335FD8AD" w14:textId="77777777">
        <w:trPr>
          <w:cantSplit/>
        </w:trPr>
        <w:tc>
          <w:tcPr>
            <w:tcW w:w="1418" w:type="dxa"/>
          </w:tcPr>
          <w:p w14:paraId="66322A7A" w14:textId="77777777" w:rsidR="00A052DC" w:rsidRDefault="009F0A60">
            <w:pPr>
              <w:rPr>
                <w:rFonts w:ascii="黑体" w:eastAsia="黑体" w:hAnsi="黑体"/>
                <w:sz w:val="20"/>
                <w:szCs w:val="20"/>
              </w:rPr>
            </w:pPr>
            <w:r>
              <w:rPr>
                <w:rFonts w:ascii="黑体" w:eastAsia="黑体" w:hAnsi="黑体" w:hint="eastAsia"/>
                <w:sz w:val="20"/>
                <w:szCs w:val="20"/>
              </w:rPr>
              <w:t>备注</w:t>
            </w:r>
          </w:p>
        </w:tc>
        <w:tc>
          <w:tcPr>
            <w:tcW w:w="7138" w:type="dxa"/>
          </w:tcPr>
          <w:p w14:paraId="2D94752C" w14:textId="77777777" w:rsidR="00A052DC" w:rsidRDefault="009F0A60">
            <w:pPr>
              <w:rPr>
                <w:rFonts w:ascii="黑体" w:eastAsia="黑体" w:hAnsi="黑体"/>
                <w:sz w:val="20"/>
                <w:szCs w:val="20"/>
              </w:rPr>
            </w:pPr>
            <w:r>
              <w:rPr>
                <w:rFonts w:ascii="黑体" w:eastAsia="黑体" w:hAnsi="黑体" w:hint="eastAsia"/>
                <w:sz w:val="20"/>
                <w:szCs w:val="20"/>
              </w:rPr>
              <w:t>其他需要说明的情况。</w:t>
            </w:r>
          </w:p>
        </w:tc>
      </w:tr>
    </w:tbl>
    <w:p w14:paraId="7F082775" w14:textId="77777777" w:rsidR="00A052DC" w:rsidRDefault="00A052DC">
      <w:pPr>
        <w:spacing w:line="240" w:lineRule="exact"/>
        <w:rPr>
          <w:sz w:val="18"/>
        </w:rPr>
      </w:pPr>
    </w:p>
    <w:p w14:paraId="76DE9FB3" w14:textId="77777777" w:rsidR="00A052DC" w:rsidRDefault="009F0A60" w:rsidP="0020251D">
      <w:pPr>
        <w:pStyle w:val="4"/>
        <w:numPr>
          <w:ilvl w:val="3"/>
          <w:numId w:val="1"/>
        </w:numPr>
        <w:jc w:val="left"/>
      </w:pPr>
      <w:bookmarkStart w:id="3243" w:name="_Toc454391315"/>
      <w:bookmarkStart w:id="3244" w:name="_Toc454391314"/>
      <w:bookmarkStart w:id="3245" w:name="_Toc454391316"/>
      <w:bookmarkStart w:id="3246" w:name="_Toc380570965"/>
      <w:bookmarkEnd w:id="3243"/>
      <w:bookmarkEnd w:id="3244"/>
      <w:r>
        <w:rPr>
          <w:rFonts w:hint="eastAsia"/>
        </w:rPr>
        <w:t>数据格式</w:t>
      </w:r>
      <w:bookmarkEnd w:id="3245"/>
      <w:bookmarkEnd w:id="3246"/>
    </w:p>
    <w:p w14:paraId="55A17AF4" w14:textId="77777777" w:rsidR="00A052DC" w:rsidRDefault="009F0A60">
      <w:pPr>
        <w:ind w:firstLine="851"/>
      </w:pPr>
      <w:r>
        <w:t>&lt;REC&gt;</w:t>
      </w:r>
    </w:p>
    <w:p w14:paraId="2EF6D642" w14:textId="77777777" w:rsidR="00A052DC" w:rsidRDefault="009F0A60">
      <w:pPr>
        <w:ind w:firstLine="851"/>
      </w:pPr>
      <w:r>
        <w:t>&lt;ACTIONTYPE&gt;</w:t>
      </w:r>
      <w:r>
        <w:rPr>
          <w:rFonts w:hAnsi="宋体"/>
        </w:rPr>
        <w:t>操作类型</w:t>
      </w:r>
      <w:r>
        <w:t>&lt;/ACTIONTYPE&gt;</w:t>
      </w:r>
    </w:p>
    <w:p w14:paraId="4E865FDE" w14:textId="77777777" w:rsidR="00A052DC" w:rsidRDefault="009F0A60">
      <w:pPr>
        <w:ind w:firstLine="851"/>
      </w:pPr>
      <w:r>
        <w:t>&lt;ACTIONDESC&gt;</w:t>
      </w:r>
      <w:r>
        <w:rPr>
          <w:rFonts w:hAnsi="宋体"/>
        </w:rPr>
        <w:t>删除原因</w:t>
      </w:r>
      <w:r>
        <w:t>&lt;/ACTIONDESC&gt;</w:t>
      </w:r>
    </w:p>
    <w:p w14:paraId="1418A2D7" w14:textId="77777777" w:rsidR="00A052DC" w:rsidRDefault="009F0A60">
      <w:pPr>
        <w:ind w:firstLine="851"/>
      </w:pPr>
      <w:r>
        <w:t>&lt;SNOCODE&gt;</w:t>
      </w:r>
      <w:r>
        <w:rPr>
          <w:rFonts w:hAnsi="宋体"/>
        </w:rPr>
        <w:t>数据自编码</w:t>
      </w:r>
      <w:r>
        <w:t>&lt;/SNOCODE&gt;</w:t>
      </w:r>
    </w:p>
    <w:p w14:paraId="102BC7C2" w14:textId="77777777" w:rsidR="00A052DC" w:rsidRDefault="009F0A60">
      <w:pPr>
        <w:ind w:firstLine="851"/>
      </w:pPr>
      <w:r>
        <w:t>&lt;OBJCODE&gt;</w:t>
      </w:r>
      <w:r>
        <w:rPr>
          <w:rFonts w:hAnsi="宋体"/>
        </w:rPr>
        <w:t>申报主体代码</w:t>
      </w:r>
      <w:r>
        <w:t>&lt;/OBJCODE&gt;</w:t>
      </w:r>
    </w:p>
    <w:p w14:paraId="7A9B130C" w14:textId="77777777" w:rsidR="00A052DC" w:rsidRDefault="009F0A60">
      <w:pPr>
        <w:ind w:firstLine="851"/>
      </w:pPr>
      <w:r>
        <w:t>&lt;BUOCMONTH&gt;</w:t>
      </w:r>
      <w:r>
        <w:rPr>
          <w:rFonts w:hAnsi="宋体"/>
        </w:rPr>
        <w:t>报告期</w:t>
      </w:r>
      <w:r>
        <w:t>&lt;/BUOCMONTH&gt;</w:t>
      </w:r>
    </w:p>
    <w:p w14:paraId="2A36AEB1" w14:textId="77777777" w:rsidR="00A052DC" w:rsidRDefault="009F0A60">
      <w:pPr>
        <w:ind w:firstLine="851"/>
      </w:pPr>
      <w:r>
        <w:t>&lt;D0401TYPE&gt;</w:t>
      </w:r>
      <w:r>
        <w:rPr>
          <w:rFonts w:hint="eastAsia"/>
        </w:rPr>
        <w:t>业务类型</w:t>
      </w:r>
      <w:r>
        <w:t>&lt;</w:t>
      </w:r>
      <w:r>
        <w:rPr>
          <w:rFonts w:hint="eastAsia"/>
        </w:rPr>
        <w:t>/</w:t>
      </w:r>
      <w:r>
        <w:t>D0401TYPE &gt;</w:t>
      </w:r>
    </w:p>
    <w:p w14:paraId="0ED8958B" w14:textId="77777777" w:rsidR="00A052DC" w:rsidRDefault="009F0A60">
      <w:pPr>
        <w:ind w:firstLine="851"/>
      </w:pPr>
      <w:r>
        <w:t>&lt;D0401&gt;</w:t>
      </w:r>
      <w:r>
        <w:rPr>
          <w:rFonts w:hAnsi="宋体"/>
        </w:rPr>
        <w:t>对方国家</w:t>
      </w:r>
      <w:r>
        <w:t>/</w:t>
      </w:r>
      <w:r>
        <w:rPr>
          <w:rFonts w:hAnsi="宋体"/>
        </w:rPr>
        <w:t>地区</w:t>
      </w:r>
      <w:r>
        <w:t>&lt;/D0401&gt;</w:t>
      </w:r>
    </w:p>
    <w:p w14:paraId="25EDB5C9" w14:textId="77777777" w:rsidR="00A052DC" w:rsidRDefault="009F0A60">
      <w:pPr>
        <w:ind w:firstLine="851"/>
      </w:pPr>
      <w:r>
        <w:t>&lt;D0402&gt;</w:t>
      </w:r>
      <w:r>
        <w:rPr>
          <w:rFonts w:hAnsi="宋体"/>
        </w:rPr>
        <w:t>对方部门</w:t>
      </w:r>
      <w:r>
        <w:t>&lt;/D0402&gt;</w:t>
      </w:r>
    </w:p>
    <w:p w14:paraId="2B63B404" w14:textId="77777777" w:rsidR="00A052DC" w:rsidRDefault="009F0A60">
      <w:pPr>
        <w:ind w:firstLine="851"/>
      </w:pPr>
      <w:r>
        <w:t>&lt;D0403&gt;</w:t>
      </w:r>
      <w:r>
        <w:rPr>
          <w:rFonts w:hAnsi="宋体"/>
        </w:rPr>
        <w:t>对方与本机构的关系</w:t>
      </w:r>
      <w:r>
        <w:t>&lt;/D0403&gt;</w:t>
      </w:r>
    </w:p>
    <w:p w14:paraId="2AFDC8AF" w14:textId="77777777" w:rsidR="00A052DC" w:rsidRDefault="009F0A60">
      <w:pPr>
        <w:ind w:firstLine="851"/>
      </w:pPr>
      <w:r>
        <w:t>&lt;D0404&gt;</w:t>
      </w:r>
      <w:r>
        <w:rPr>
          <w:rFonts w:hAnsi="宋体"/>
        </w:rPr>
        <w:t>原始期限</w:t>
      </w:r>
      <w:r>
        <w:t>&lt;/D0404&gt;</w:t>
      </w:r>
    </w:p>
    <w:p w14:paraId="6508A322" w14:textId="77777777" w:rsidR="00A052DC" w:rsidRDefault="009F0A60">
      <w:pPr>
        <w:ind w:firstLine="851"/>
      </w:pPr>
      <w:r>
        <w:t>&lt;D0405&gt;</w:t>
      </w:r>
      <w:r>
        <w:rPr>
          <w:rFonts w:hAnsi="宋体"/>
        </w:rPr>
        <w:t>原始币种</w:t>
      </w:r>
      <w:r>
        <w:t>&lt;/D0405&gt;</w:t>
      </w:r>
    </w:p>
    <w:p w14:paraId="17674D16" w14:textId="77777777" w:rsidR="00A052DC" w:rsidRDefault="009F0A60">
      <w:pPr>
        <w:ind w:firstLine="851"/>
      </w:pPr>
      <w:r>
        <w:t>&lt;D0406&gt;</w:t>
      </w:r>
      <w:r>
        <w:rPr>
          <w:rFonts w:hAnsi="宋体"/>
        </w:rPr>
        <w:t>上月末余额</w:t>
      </w:r>
      <w:r>
        <w:t>&lt;/D0406&gt;</w:t>
      </w:r>
    </w:p>
    <w:p w14:paraId="7104F086" w14:textId="77777777" w:rsidR="00A052DC" w:rsidRDefault="009F0A60">
      <w:pPr>
        <w:ind w:firstLine="851"/>
      </w:pPr>
      <w:r>
        <w:t>&lt;D0407&gt;</w:t>
      </w:r>
      <w:r>
        <w:rPr>
          <w:rFonts w:hAnsi="宋体"/>
        </w:rPr>
        <w:t>本月末余额</w:t>
      </w:r>
      <w:r>
        <w:t>&lt;/D0407&gt;</w:t>
      </w:r>
    </w:p>
    <w:p w14:paraId="658C32F9" w14:textId="77777777" w:rsidR="00A052DC" w:rsidRDefault="009F0A60">
      <w:pPr>
        <w:ind w:firstLine="851"/>
      </w:pPr>
      <w:r>
        <w:t>&lt;D0408&gt;</w:t>
      </w:r>
      <w:r>
        <w:rPr>
          <w:rFonts w:hAnsi="宋体"/>
        </w:rPr>
        <w:t>本月末余额其中：剩余期限在一年及以下</w:t>
      </w:r>
      <w:r>
        <w:t>&lt;/D0408&gt;</w:t>
      </w:r>
    </w:p>
    <w:p w14:paraId="4E8C62AF" w14:textId="77777777" w:rsidR="00A052DC" w:rsidRDefault="009F0A60">
      <w:pPr>
        <w:ind w:firstLine="851"/>
      </w:pPr>
      <w:r>
        <w:t>&lt;D0409&gt;</w:t>
      </w:r>
      <w:r>
        <w:rPr>
          <w:rFonts w:hAnsi="宋体"/>
        </w:rPr>
        <w:t>本月非交易变动</w:t>
      </w:r>
      <w:r>
        <w:t>&lt;/D0409&gt;</w:t>
      </w:r>
    </w:p>
    <w:p w14:paraId="7AB2A073" w14:textId="77777777" w:rsidR="00A052DC" w:rsidRDefault="009F0A60">
      <w:pPr>
        <w:ind w:firstLine="851"/>
      </w:pPr>
      <w:r>
        <w:t>&lt;D0410&gt;</w:t>
      </w:r>
      <w:r>
        <w:rPr>
          <w:rFonts w:hAnsi="宋体"/>
        </w:rPr>
        <w:t>本月净发生额</w:t>
      </w:r>
      <w:r>
        <w:t>&lt;/D0410&gt;</w:t>
      </w:r>
    </w:p>
    <w:p w14:paraId="31C2438E" w14:textId="77777777" w:rsidR="00A052DC" w:rsidRDefault="009F0A60">
      <w:pPr>
        <w:ind w:firstLine="851"/>
      </w:pPr>
      <w:r>
        <w:t>&lt;REMARK&gt;</w:t>
      </w:r>
      <w:r>
        <w:rPr>
          <w:rFonts w:hAnsi="宋体"/>
        </w:rPr>
        <w:t>备注</w:t>
      </w:r>
      <w:r>
        <w:t>&lt;/REMARK&gt;</w:t>
      </w:r>
    </w:p>
    <w:p w14:paraId="04A66818" w14:textId="77777777" w:rsidR="00A052DC" w:rsidRDefault="009F0A60">
      <w:pPr>
        <w:ind w:firstLine="851"/>
      </w:pPr>
      <w:r>
        <w:t>&lt;/REC&gt;</w:t>
      </w:r>
    </w:p>
    <w:p w14:paraId="7EF41B76" w14:textId="77777777" w:rsidR="00A052DC" w:rsidRDefault="009F0A60" w:rsidP="0020251D">
      <w:pPr>
        <w:pStyle w:val="4"/>
        <w:numPr>
          <w:ilvl w:val="3"/>
          <w:numId w:val="1"/>
        </w:numPr>
        <w:jc w:val="left"/>
      </w:pPr>
      <w:bookmarkStart w:id="3247" w:name="_Toc454391317"/>
      <w:bookmarkStart w:id="3248" w:name="_Toc454391318"/>
      <w:bookmarkStart w:id="3249" w:name="_Toc380570966"/>
      <w:bookmarkEnd w:id="3247"/>
      <w:r>
        <w:rPr>
          <w:rFonts w:hint="eastAsia"/>
        </w:rPr>
        <w:t>数据字典</w:t>
      </w:r>
      <w:bookmarkEnd w:id="3248"/>
      <w:bookmarkEnd w:id="3249"/>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1"/>
        <w:gridCol w:w="2127"/>
        <w:gridCol w:w="1417"/>
        <w:gridCol w:w="3795"/>
      </w:tblGrid>
      <w:tr w:rsidR="00A052DC" w14:paraId="7075734F" w14:textId="77777777">
        <w:trPr>
          <w:tblHeader/>
          <w:jc w:val="center"/>
        </w:trPr>
        <w:tc>
          <w:tcPr>
            <w:tcW w:w="1301" w:type="dxa"/>
            <w:shd w:val="clear" w:color="auto" w:fill="C0C0C0"/>
          </w:tcPr>
          <w:p w14:paraId="75CE674A" w14:textId="77777777" w:rsidR="00A052DC" w:rsidRDefault="009F0A60">
            <w:pPr>
              <w:jc w:val="center"/>
              <w:rPr>
                <w:rFonts w:ascii="黑体" w:eastAsia="黑体" w:hAnsi="黑体"/>
                <w:b/>
                <w:sz w:val="20"/>
                <w:szCs w:val="20"/>
              </w:rPr>
            </w:pPr>
            <w:r>
              <w:rPr>
                <w:rFonts w:ascii="黑体" w:eastAsia="黑体" w:hAnsi="黑体" w:hint="eastAsia"/>
                <w:b/>
                <w:sz w:val="20"/>
                <w:szCs w:val="20"/>
              </w:rPr>
              <w:t>字段</w:t>
            </w:r>
          </w:p>
        </w:tc>
        <w:tc>
          <w:tcPr>
            <w:tcW w:w="2127" w:type="dxa"/>
            <w:shd w:val="clear" w:color="auto" w:fill="C0C0C0"/>
          </w:tcPr>
          <w:p w14:paraId="0A5D719B" w14:textId="77777777" w:rsidR="00A052DC" w:rsidRDefault="009F0A60">
            <w:pPr>
              <w:jc w:val="center"/>
              <w:rPr>
                <w:rFonts w:ascii="黑体" w:eastAsia="黑体" w:hAnsi="黑体"/>
                <w:b/>
                <w:sz w:val="20"/>
                <w:szCs w:val="20"/>
              </w:rPr>
            </w:pPr>
            <w:r>
              <w:rPr>
                <w:rFonts w:ascii="黑体" w:eastAsia="黑体" w:hAnsi="黑体" w:hint="eastAsia"/>
                <w:b/>
                <w:sz w:val="20"/>
                <w:szCs w:val="20"/>
              </w:rPr>
              <w:t>内容</w:t>
            </w:r>
          </w:p>
        </w:tc>
        <w:tc>
          <w:tcPr>
            <w:tcW w:w="1417" w:type="dxa"/>
            <w:shd w:val="clear" w:color="auto" w:fill="C0C0C0"/>
          </w:tcPr>
          <w:p w14:paraId="3DDBF431" w14:textId="77777777" w:rsidR="00A052DC" w:rsidRDefault="009F0A60">
            <w:pPr>
              <w:jc w:val="center"/>
              <w:rPr>
                <w:rFonts w:ascii="黑体" w:eastAsia="黑体" w:hAnsi="黑体"/>
                <w:b/>
                <w:sz w:val="20"/>
                <w:szCs w:val="20"/>
              </w:rPr>
            </w:pPr>
            <w:r>
              <w:rPr>
                <w:rFonts w:ascii="黑体" w:eastAsia="黑体" w:hAnsi="黑体" w:hint="eastAsia"/>
                <w:b/>
                <w:sz w:val="20"/>
                <w:szCs w:val="20"/>
              </w:rPr>
              <w:t>类型（长度）</w:t>
            </w:r>
          </w:p>
        </w:tc>
        <w:tc>
          <w:tcPr>
            <w:tcW w:w="3795" w:type="dxa"/>
            <w:shd w:val="clear" w:color="auto" w:fill="C0C0C0"/>
          </w:tcPr>
          <w:p w14:paraId="3A33CE13" w14:textId="77777777" w:rsidR="00A052DC" w:rsidRDefault="009F0A60">
            <w:pPr>
              <w:jc w:val="center"/>
              <w:rPr>
                <w:rFonts w:ascii="黑体" w:eastAsia="黑体" w:hAnsi="黑体"/>
                <w:b/>
                <w:sz w:val="20"/>
                <w:szCs w:val="20"/>
              </w:rPr>
            </w:pPr>
            <w:r>
              <w:rPr>
                <w:rFonts w:ascii="黑体" w:eastAsia="黑体" w:hAnsi="黑体" w:hint="eastAsia"/>
                <w:b/>
                <w:sz w:val="20"/>
                <w:szCs w:val="20"/>
              </w:rPr>
              <w:t>校验</w:t>
            </w:r>
          </w:p>
        </w:tc>
      </w:tr>
      <w:tr w:rsidR="00A052DC" w14:paraId="34DD087A" w14:textId="77777777">
        <w:trPr>
          <w:jc w:val="center"/>
        </w:trPr>
        <w:tc>
          <w:tcPr>
            <w:tcW w:w="1301" w:type="dxa"/>
          </w:tcPr>
          <w:p w14:paraId="64D597AE" w14:textId="77777777" w:rsidR="00A052DC" w:rsidRDefault="009F0A60">
            <w:pPr>
              <w:rPr>
                <w:rFonts w:ascii="黑体" w:eastAsia="黑体" w:hAnsi="黑体"/>
                <w:sz w:val="20"/>
                <w:szCs w:val="20"/>
              </w:rPr>
            </w:pPr>
            <w:r>
              <w:rPr>
                <w:rFonts w:ascii="黑体" w:eastAsia="黑体" w:hAnsi="黑体" w:hint="eastAsia"/>
                <w:sz w:val="20"/>
                <w:szCs w:val="20"/>
              </w:rPr>
              <w:t>ACTIONTYPE</w:t>
            </w:r>
          </w:p>
        </w:tc>
        <w:tc>
          <w:tcPr>
            <w:tcW w:w="2127" w:type="dxa"/>
          </w:tcPr>
          <w:p w14:paraId="7128E352" w14:textId="77777777" w:rsidR="00A052DC" w:rsidRDefault="009F0A60">
            <w:pPr>
              <w:rPr>
                <w:rFonts w:ascii="黑体" w:eastAsia="黑体" w:hAnsi="黑体"/>
                <w:sz w:val="20"/>
                <w:szCs w:val="20"/>
              </w:rPr>
            </w:pPr>
            <w:r>
              <w:rPr>
                <w:rFonts w:ascii="黑体" w:eastAsia="黑体" w:hAnsi="黑体" w:hint="eastAsia"/>
                <w:sz w:val="20"/>
                <w:szCs w:val="20"/>
              </w:rPr>
              <w:t>操作类型</w:t>
            </w:r>
          </w:p>
        </w:tc>
        <w:tc>
          <w:tcPr>
            <w:tcW w:w="1417" w:type="dxa"/>
          </w:tcPr>
          <w:p w14:paraId="48A5BD52" w14:textId="77777777" w:rsidR="00A052DC" w:rsidRDefault="009F0A60">
            <w:pPr>
              <w:rPr>
                <w:rFonts w:ascii="黑体" w:eastAsia="黑体" w:hAnsi="黑体"/>
                <w:sz w:val="20"/>
                <w:szCs w:val="20"/>
              </w:rPr>
            </w:pPr>
            <w:r>
              <w:rPr>
                <w:rFonts w:ascii="黑体" w:eastAsia="黑体" w:hAnsi="黑体" w:hint="eastAsia"/>
                <w:sz w:val="20"/>
                <w:szCs w:val="20"/>
              </w:rPr>
              <w:t>字符型，1</w:t>
            </w:r>
          </w:p>
        </w:tc>
        <w:tc>
          <w:tcPr>
            <w:tcW w:w="3795" w:type="dxa"/>
          </w:tcPr>
          <w:p w14:paraId="195CC86F" w14:textId="77777777" w:rsidR="00A052DC" w:rsidRDefault="009F0A60">
            <w:pPr>
              <w:rPr>
                <w:rFonts w:ascii="黑体" w:eastAsia="黑体" w:hAnsi="黑体"/>
                <w:sz w:val="20"/>
                <w:szCs w:val="20"/>
              </w:rPr>
            </w:pPr>
            <w:r>
              <w:rPr>
                <w:rFonts w:ascii="黑体" w:eastAsia="黑体" w:hAnsi="黑体" w:hint="eastAsia"/>
                <w:sz w:val="20"/>
                <w:szCs w:val="20"/>
              </w:rPr>
              <w:t>必填项</w:t>
            </w:r>
            <w:r w:rsidR="00191DE9">
              <w:rPr>
                <w:rFonts w:ascii="黑体" w:eastAsia="黑体" w:hAnsi="黑体" w:hint="eastAsia"/>
                <w:sz w:val="20"/>
                <w:szCs w:val="20"/>
              </w:rPr>
              <w:t>。</w:t>
            </w:r>
          </w:p>
          <w:p w14:paraId="17821568" w14:textId="77777777" w:rsidR="00A052DC" w:rsidRDefault="009F0A60">
            <w:pPr>
              <w:rPr>
                <w:rFonts w:ascii="黑体" w:eastAsia="黑体" w:hAnsi="黑体"/>
                <w:sz w:val="20"/>
                <w:szCs w:val="20"/>
              </w:rPr>
            </w:pPr>
            <w:r>
              <w:rPr>
                <w:rFonts w:ascii="黑体" w:eastAsia="黑体" w:hAnsi="黑体" w:hint="eastAsia"/>
                <w:sz w:val="20"/>
                <w:szCs w:val="20"/>
              </w:rPr>
              <w:t>A</w:t>
            </w:r>
            <w:r w:rsidR="00AE4602">
              <w:rPr>
                <w:rFonts w:ascii="黑体" w:eastAsia="黑体" w:hAnsi="黑体" w:hint="eastAsia"/>
                <w:sz w:val="20"/>
                <w:szCs w:val="20"/>
              </w:rPr>
              <w:t>-</w:t>
            </w:r>
            <w:r>
              <w:rPr>
                <w:rFonts w:ascii="黑体" w:eastAsia="黑体" w:hAnsi="黑体" w:hint="eastAsia"/>
                <w:sz w:val="20"/>
                <w:szCs w:val="20"/>
              </w:rPr>
              <w:t>新建</w:t>
            </w:r>
          </w:p>
          <w:p w14:paraId="747BEA67" w14:textId="77777777" w:rsidR="00A052DC" w:rsidRDefault="009F0A60">
            <w:pPr>
              <w:rPr>
                <w:rFonts w:ascii="黑体" w:eastAsia="黑体" w:hAnsi="黑体"/>
                <w:sz w:val="20"/>
                <w:szCs w:val="20"/>
              </w:rPr>
            </w:pPr>
            <w:r>
              <w:rPr>
                <w:rFonts w:ascii="黑体" w:eastAsia="黑体" w:hAnsi="黑体" w:hint="eastAsia"/>
                <w:sz w:val="20"/>
                <w:szCs w:val="20"/>
              </w:rPr>
              <w:t>C</w:t>
            </w:r>
            <w:r w:rsidR="00AE4602">
              <w:rPr>
                <w:rFonts w:ascii="黑体" w:eastAsia="黑体" w:hAnsi="黑体" w:hint="eastAsia"/>
                <w:sz w:val="20"/>
                <w:szCs w:val="20"/>
              </w:rPr>
              <w:t>-</w:t>
            </w:r>
            <w:r>
              <w:rPr>
                <w:rFonts w:ascii="黑体" w:eastAsia="黑体" w:hAnsi="黑体" w:hint="eastAsia"/>
                <w:sz w:val="20"/>
                <w:szCs w:val="20"/>
              </w:rPr>
              <w:t>修改</w:t>
            </w:r>
          </w:p>
          <w:p w14:paraId="50DC7764" w14:textId="77777777" w:rsidR="00A052DC" w:rsidRDefault="009F0A60">
            <w:pPr>
              <w:rPr>
                <w:rFonts w:ascii="黑体" w:eastAsia="黑体" w:hAnsi="黑体"/>
                <w:sz w:val="20"/>
                <w:szCs w:val="20"/>
              </w:rPr>
            </w:pPr>
            <w:r>
              <w:rPr>
                <w:rFonts w:ascii="黑体" w:eastAsia="黑体" w:hAnsi="黑体" w:hint="eastAsia"/>
                <w:sz w:val="20"/>
                <w:szCs w:val="20"/>
              </w:rPr>
              <w:t>D</w:t>
            </w:r>
            <w:r w:rsidR="00AE4602">
              <w:rPr>
                <w:rFonts w:ascii="黑体" w:eastAsia="黑体" w:hAnsi="黑体" w:hint="eastAsia"/>
                <w:sz w:val="20"/>
                <w:szCs w:val="20"/>
              </w:rPr>
              <w:t>-</w:t>
            </w:r>
            <w:r>
              <w:rPr>
                <w:rFonts w:ascii="黑体" w:eastAsia="黑体" w:hAnsi="黑体" w:hint="eastAsia"/>
                <w:sz w:val="20"/>
                <w:szCs w:val="20"/>
              </w:rPr>
              <w:t>删除</w:t>
            </w:r>
          </w:p>
        </w:tc>
      </w:tr>
      <w:tr w:rsidR="00A052DC" w14:paraId="6E841CAA" w14:textId="77777777">
        <w:trPr>
          <w:jc w:val="center"/>
        </w:trPr>
        <w:tc>
          <w:tcPr>
            <w:tcW w:w="1301" w:type="dxa"/>
          </w:tcPr>
          <w:p w14:paraId="1E9AFF4C" w14:textId="77777777" w:rsidR="00A052DC" w:rsidRDefault="009F0A60">
            <w:pPr>
              <w:rPr>
                <w:rFonts w:ascii="黑体" w:eastAsia="黑体" w:hAnsi="黑体"/>
                <w:sz w:val="20"/>
                <w:szCs w:val="20"/>
              </w:rPr>
            </w:pPr>
            <w:r>
              <w:rPr>
                <w:rFonts w:ascii="黑体" w:eastAsia="黑体" w:hAnsi="黑体" w:hint="eastAsia"/>
                <w:sz w:val="20"/>
                <w:szCs w:val="20"/>
              </w:rPr>
              <w:t>ACTIONDESC</w:t>
            </w:r>
          </w:p>
        </w:tc>
        <w:tc>
          <w:tcPr>
            <w:tcW w:w="2127" w:type="dxa"/>
          </w:tcPr>
          <w:p w14:paraId="3B40CB52" w14:textId="77777777" w:rsidR="00A052DC" w:rsidRDefault="009F0A60">
            <w:pPr>
              <w:rPr>
                <w:rFonts w:ascii="黑体" w:eastAsia="黑体" w:hAnsi="黑体"/>
                <w:sz w:val="20"/>
                <w:szCs w:val="20"/>
              </w:rPr>
            </w:pPr>
            <w:r>
              <w:rPr>
                <w:rFonts w:ascii="黑体" w:eastAsia="黑体" w:hAnsi="黑体" w:hint="eastAsia"/>
                <w:sz w:val="20"/>
                <w:szCs w:val="20"/>
              </w:rPr>
              <w:t>删除原因</w:t>
            </w:r>
          </w:p>
        </w:tc>
        <w:tc>
          <w:tcPr>
            <w:tcW w:w="1417" w:type="dxa"/>
          </w:tcPr>
          <w:p w14:paraId="3FC4D1EB"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3795" w:type="dxa"/>
          </w:tcPr>
          <w:p w14:paraId="7CB608FF" w14:textId="77777777" w:rsidR="00A052DC" w:rsidRDefault="00DD6AA3">
            <w:pPr>
              <w:rPr>
                <w:rFonts w:ascii="黑体" w:eastAsia="黑体" w:hAnsi="黑体"/>
                <w:sz w:val="20"/>
                <w:szCs w:val="20"/>
              </w:rPr>
            </w:pPr>
            <w:r>
              <w:rPr>
                <w:rFonts w:ascii="黑体" w:eastAsia="黑体" w:hAnsi="黑体" w:hint="eastAsia"/>
                <w:sz w:val="20"/>
                <w:szCs w:val="20"/>
              </w:rPr>
              <w:t>非必填项，当操作类型（ACTIONTYPE）为删除时必填。</w:t>
            </w:r>
          </w:p>
        </w:tc>
      </w:tr>
      <w:tr w:rsidR="00A052DC" w14:paraId="1E6CD0B4" w14:textId="77777777">
        <w:trPr>
          <w:jc w:val="center"/>
        </w:trPr>
        <w:tc>
          <w:tcPr>
            <w:tcW w:w="1301" w:type="dxa"/>
          </w:tcPr>
          <w:p w14:paraId="5D4C93AD" w14:textId="77777777" w:rsidR="00A052DC" w:rsidRDefault="009F0A60">
            <w:pPr>
              <w:rPr>
                <w:rFonts w:ascii="黑体" w:eastAsia="黑体" w:hAnsi="黑体"/>
                <w:sz w:val="20"/>
                <w:szCs w:val="20"/>
              </w:rPr>
            </w:pPr>
            <w:r>
              <w:rPr>
                <w:rFonts w:ascii="黑体" w:eastAsia="黑体" w:hAnsi="黑体" w:hint="eastAsia"/>
                <w:sz w:val="20"/>
                <w:szCs w:val="20"/>
              </w:rPr>
              <w:t>SNOCODE</w:t>
            </w:r>
          </w:p>
        </w:tc>
        <w:tc>
          <w:tcPr>
            <w:tcW w:w="2127" w:type="dxa"/>
          </w:tcPr>
          <w:p w14:paraId="5DCA3FAB" w14:textId="77777777" w:rsidR="00A052DC" w:rsidRDefault="009F0A60">
            <w:pPr>
              <w:rPr>
                <w:rFonts w:ascii="黑体" w:eastAsia="黑体" w:hAnsi="黑体"/>
                <w:sz w:val="20"/>
                <w:szCs w:val="20"/>
              </w:rPr>
            </w:pPr>
            <w:r>
              <w:rPr>
                <w:rFonts w:ascii="黑体" w:eastAsia="黑体" w:hAnsi="黑体" w:hint="eastAsia"/>
                <w:sz w:val="20"/>
                <w:szCs w:val="20"/>
              </w:rPr>
              <w:t>数据自编码</w:t>
            </w:r>
          </w:p>
        </w:tc>
        <w:tc>
          <w:tcPr>
            <w:tcW w:w="1417" w:type="dxa"/>
          </w:tcPr>
          <w:p w14:paraId="32F96B92" w14:textId="77777777" w:rsidR="00A052DC" w:rsidRDefault="009F0A60">
            <w:pPr>
              <w:rPr>
                <w:rFonts w:ascii="黑体" w:eastAsia="黑体" w:hAnsi="黑体"/>
                <w:sz w:val="20"/>
                <w:szCs w:val="20"/>
              </w:rPr>
            </w:pPr>
            <w:r>
              <w:rPr>
                <w:rFonts w:ascii="黑体" w:eastAsia="黑体" w:hAnsi="黑体" w:hint="eastAsia"/>
                <w:sz w:val="20"/>
                <w:szCs w:val="20"/>
              </w:rPr>
              <w:t>字符型，36</w:t>
            </w:r>
          </w:p>
        </w:tc>
        <w:tc>
          <w:tcPr>
            <w:tcW w:w="3795" w:type="dxa"/>
          </w:tcPr>
          <w:p w14:paraId="25A0A1D3" w14:textId="77777777" w:rsidR="00A052DC" w:rsidRDefault="009F0A60">
            <w:pPr>
              <w:rPr>
                <w:rFonts w:ascii="黑体" w:eastAsia="黑体" w:hAnsi="黑体"/>
                <w:sz w:val="20"/>
                <w:szCs w:val="20"/>
              </w:rPr>
            </w:pPr>
            <w:r>
              <w:rPr>
                <w:rFonts w:ascii="黑体" w:eastAsia="黑体" w:hAnsi="黑体" w:hint="eastAsia"/>
                <w:sz w:val="20"/>
                <w:szCs w:val="20"/>
              </w:rPr>
              <w:t>必填项。</w:t>
            </w:r>
            <w:r>
              <w:rPr>
                <w:rFonts w:ascii="黑体" w:eastAsia="黑体" w:hAnsi="黑体"/>
                <w:sz w:val="20"/>
                <w:szCs w:val="20"/>
              </w:rPr>
              <w:t>对于接口报送的填报主体，数据自编码中的报送期（6位）应与报告期（YYYYMM）一致。</w:t>
            </w:r>
          </w:p>
        </w:tc>
      </w:tr>
      <w:tr w:rsidR="00A052DC" w14:paraId="0A056F98" w14:textId="77777777">
        <w:trPr>
          <w:jc w:val="center"/>
        </w:trPr>
        <w:tc>
          <w:tcPr>
            <w:tcW w:w="1301" w:type="dxa"/>
          </w:tcPr>
          <w:p w14:paraId="4F8F53F2" w14:textId="77777777" w:rsidR="00A052DC" w:rsidRDefault="009F0A60">
            <w:pPr>
              <w:rPr>
                <w:rFonts w:ascii="黑体" w:eastAsia="黑体" w:hAnsi="黑体"/>
                <w:sz w:val="20"/>
                <w:szCs w:val="20"/>
              </w:rPr>
            </w:pPr>
            <w:r>
              <w:rPr>
                <w:rFonts w:ascii="黑体" w:eastAsia="黑体" w:hAnsi="黑体" w:hint="eastAsia"/>
                <w:sz w:val="20"/>
                <w:szCs w:val="20"/>
              </w:rPr>
              <w:t>OBJCODE</w:t>
            </w:r>
          </w:p>
        </w:tc>
        <w:tc>
          <w:tcPr>
            <w:tcW w:w="2127" w:type="dxa"/>
          </w:tcPr>
          <w:p w14:paraId="48943A7D" w14:textId="77777777" w:rsidR="00A052DC" w:rsidRDefault="009F0A60">
            <w:pPr>
              <w:rPr>
                <w:rFonts w:ascii="黑体" w:eastAsia="黑体" w:hAnsi="黑体"/>
                <w:sz w:val="20"/>
                <w:szCs w:val="20"/>
              </w:rPr>
            </w:pPr>
            <w:r>
              <w:rPr>
                <w:rFonts w:ascii="黑体" w:eastAsia="黑体" w:hAnsi="黑体" w:hint="eastAsia"/>
                <w:sz w:val="20"/>
                <w:szCs w:val="20"/>
              </w:rPr>
              <w:t>申报主体代码</w:t>
            </w:r>
          </w:p>
        </w:tc>
        <w:tc>
          <w:tcPr>
            <w:tcW w:w="1417" w:type="dxa"/>
          </w:tcPr>
          <w:p w14:paraId="7994A380" w14:textId="77777777" w:rsidR="00A052DC" w:rsidRDefault="009F0A60">
            <w:pPr>
              <w:rPr>
                <w:rFonts w:ascii="黑体" w:eastAsia="黑体" w:hAnsi="黑体"/>
                <w:sz w:val="20"/>
                <w:szCs w:val="20"/>
              </w:rPr>
            </w:pPr>
            <w:r>
              <w:rPr>
                <w:rFonts w:ascii="黑体" w:eastAsia="黑体" w:hAnsi="黑体" w:hint="eastAsia"/>
                <w:sz w:val="20"/>
                <w:szCs w:val="20"/>
              </w:rPr>
              <w:t>字符型，18</w:t>
            </w:r>
          </w:p>
        </w:tc>
        <w:tc>
          <w:tcPr>
            <w:tcW w:w="3795" w:type="dxa"/>
          </w:tcPr>
          <w:p w14:paraId="56515A63" w14:textId="77777777" w:rsidR="00A052DC" w:rsidRDefault="009F0A60">
            <w:pPr>
              <w:rPr>
                <w:rFonts w:ascii="黑体" w:eastAsia="黑体" w:hAnsi="黑体"/>
                <w:sz w:val="20"/>
                <w:szCs w:val="20"/>
              </w:rPr>
            </w:pPr>
            <w:r>
              <w:rPr>
                <w:rFonts w:ascii="黑体" w:eastAsia="黑体" w:hAnsi="黑体" w:hint="eastAsia"/>
                <w:sz w:val="20"/>
                <w:szCs w:val="20"/>
              </w:rPr>
              <w:t>申报主体的12位金融机构标识码，如果没有金融机构标识码，则填报统一社会信用代码法定载体（如营业执照）上统一社会信用代码中的第9至17位或国家外汇管理局及其分支局签发的特殊机构代码赋码通知书上的机构代码、个人身份代码。</w:t>
            </w:r>
          </w:p>
        </w:tc>
      </w:tr>
      <w:tr w:rsidR="00A052DC" w14:paraId="69AEDF80" w14:textId="77777777">
        <w:trPr>
          <w:jc w:val="center"/>
        </w:trPr>
        <w:tc>
          <w:tcPr>
            <w:tcW w:w="1301" w:type="dxa"/>
          </w:tcPr>
          <w:p w14:paraId="0D96D5B7" w14:textId="77777777" w:rsidR="00A052DC" w:rsidRDefault="009F0A60">
            <w:pPr>
              <w:rPr>
                <w:rFonts w:ascii="黑体" w:eastAsia="黑体" w:hAnsi="黑体"/>
                <w:sz w:val="20"/>
                <w:szCs w:val="20"/>
              </w:rPr>
            </w:pPr>
            <w:r>
              <w:rPr>
                <w:rFonts w:ascii="黑体" w:eastAsia="黑体" w:hAnsi="黑体" w:hint="eastAsia"/>
                <w:sz w:val="20"/>
                <w:szCs w:val="20"/>
              </w:rPr>
              <w:t>BUOCMONTH</w:t>
            </w:r>
          </w:p>
        </w:tc>
        <w:tc>
          <w:tcPr>
            <w:tcW w:w="2127" w:type="dxa"/>
          </w:tcPr>
          <w:p w14:paraId="6E91897F" w14:textId="77777777" w:rsidR="00A052DC" w:rsidRDefault="009F0A60">
            <w:pPr>
              <w:rPr>
                <w:rFonts w:ascii="黑体" w:eastAsia="黑体" w:hAnsi="黑体"/>
                <w:sz w:val="20"/>
                <w:szCs w:val="20"/>
              </w:rPr>
            </w:pPr>
            <w:r>
              <w:rPr>
                <w:rFonts w:ascii="黑体" w:eastAsia="黑体" w:hAnsi="黑体" w:hint="eastAsia"/>
                <w:sz w:val="20"/>
                <w:szCs w:val="20"/>
              </w:rPr>
              <w:t>报告期</w:t>
            </w:r>
          </w:p>
        </w:tc>
        <w:tc>
          <w:tcPr>
            <w:tcW w:w="1417" w:type="dxa"/>
          </w:tcPr>
          <w:p w14:paraId="6054B9EE" w14:textId="77777777" w:rsidR="00A052DC" w:rsidRDefault="009F0A60">
            <w:pPr>
              <w:rPr>
                <w:rFonts w:ascii="黑体" w:eastAsia="黑体" w:hAnsi="黑体"/>
                <w:sz w:val="20"/>
                <w:szCs w:val="20"/>
              </w:rPr>
            </w:pPr>
            <w:r>
              <w:rPr>
                <w:rFonts w:ascii="黑体" w:eastAsia="黑体" w:hAnsi="黑体" w:hint="eastAsia"/>
                <w:sz w:val="20"/>
                <w:szCs w:val="20"/>
              </w:rPr>
              <w:t>数值型，6</w:t>
            </w:r>
          </w:p>
        </w:tc>
        <w:tc>
          <w:tcPr>
            <w:tcW w:w="3795" w:type="dxa"/>
          </w:tcPr>
          <w:p w14:paraId="2D6DD5C6" w14:textId="77777777" w:rsidR="00A052DC" w:rsidRDefault="009F0A60">
            <w:pPr>
              <w:rPr>
                <w:rFonts w:ascii="黑体" w:eastAsia="黑体" w:hAnsi="黑体"/>
                <w:sz w:val="20"/>
                <w:szCs w:val="20"/>
              </w:rPr>
            </w:pPr>
            <w:r>
              <w:rPr>
                <w:rFonts w:ascii="黑体" w:eastAsia="黑体" w:hAnsi="黑体" w:hint="eastAsia"/>
                <w:sz w:val="20"/>
                <w:szCs w:val="20"/>
              </w:rPr>
              <w:t>必填项，格式为YYYYMM。</w:t>
            </w:r>
          </w:p>
        </w:tc>
      </w:tr>
      <w:tr w:rsidR="00A052DC" w14:paraId="7D1240E4" w14:textId="77777777">
        <w:trPr>
          <w:jc w:val="center"/>
        </w:trPr>
        <w:tc>
          <w:tcPr>
            <w:tcW w:w="1301" w:type="dxa"/>
          </w:tcPr>
          <w:p w14:paraId="74C111C8" w14:textId="77777777" w:rsidR="00A052DC" w:rsidRDefault="009F0A60">
            <w:pPr>
              <w:rPr>
                <w:rFonts w:ascii="黑体" w:eastAsia="黑体" w:hAnsi="黑体"/>
                <w:sz w:val="20"/>
                <w:szCs w:val="20"/>
              </w:rPr>
            </w:pPr>
            <w:r>
              <w:rPr>
                <w:rFonts w:ascii="黑体" w:eastAsia="黑体" w:hAnsi="黑体"/>
                <w:sz w:val="20"/>
                <w:szCs w:val="20"/>
              </w:rPr>
              <w:t>D0401TYPE</w:t>
            </w:r>
          </w:p>
        </w:tc>
        <w:tc>
          <w:tcPr>
            <w:tcW w:w="2127" w:type="dxa"/>
          </w:tcPr>
          <w:p w14:paraId="2DD40F28" w14:textId="77777777" w:rsidR="00A052DC" w:rsidRDefault="009F0A60">
            <w:pPr>
              <w:rPr>
                <w:rFonts w:ascii="黑体" w:eastAsia="黑体" w:hAnsi="黑体"/>
                <w:sz w:val="20"/>
                <w:szCs w:val="20"/>
              </w:rPr>
            </w:pPr>
            <w:r>
              <w:rPr>
                <w:rFonts w:ascii="黑体" w:eastAsia="黑体" w:hAnsi="黑体" w:hint="eastAsia"/>
                <w:sz w:val="20"/>
                <w:szCs w:val="20"/>
              </w:rPr>
              <w:t>业务类型</w:t>
            </w:r>
          </w:p>
        </w:tc>
        <w:tc>
          <w:tcPr>
            <w:tcW w:w="1417" w:type="dxa"/>
          </w:tcPr>
          <w:p w14:paraId="3B5641C8" w14:textId="77777777" w:rsidR="00A052DC" w:rsidRDefault="009F0A60">
            <w:pPr>
              <w:rPr>
                <w:rFonts w:ascii="黑体" w:eastAsia="黑体" w:hAnsi="黑体"/>
                <w:sz w:val="20"/>
                <w:szCs w:val="20"/>
              </w:rPr>
            </w:pPr>
            <w:r>
              <w:rPr>
                <w:rFonts w:ascii="黑体" w:eastAsia="黑体" w:hAnsi="黑体" w:hint="eastAsia"/>
                <w:sz w:val="20"/>
                <w:szCs w:val="20"/>
              </w:rPr>
              <w:t>整数型</w:t>
            </w:r>
          </w:p>
        </w:tc>
        <w:tc>
          <w:tcPr>
            <w:tcW w:w="3795" w:type="dxa"/>
          </w:tcPr>
          <w:p w14:paraId="77265DBC" w14:textId="77777777" w:rsidR="00A052DC" w:rsidRDefault="009F0A60">
            <w:pPr>
              <w:rPr>
                <w:rFonts w:ascii="黑体" w:eastAsia="黑体" w:hAnsi="黑体"/>
                <w:sz w:val="20"/>
                <w:szCs w:val="20"/>
              </w:rPr>
            </w:pPr>
            <w:r>
              <w:rPr>
                <w:rFonts w:ascii="黑体" w:eastAsia="黑体" w:hAnsi="黑体" w:hint="eastAsia"/>
                <w:sz w:val="20"/>
                <w:szCs w:val="20"/>
              </w:rPr>
              <w:t>必填项。必须</w:t>
            </w:r>
            <w:r>
              <w:rPr>
                <w:rFonts w:ascii="黑体" w:eastAsia="黑体" w:hAnsi="黑体"/>
                <w:sz w:val="20"/>
                <w:szCs w:val="20"/>
              </w:rPr>
              <w:t>2选1：</w:t>
            </w:r>
          </w:p>
          <w:p w14:paraId="15E6EB76" w14:textId="77777777" w:rsidR="00A052DC" w:rsidRDefault="009F0A60">
            <w:pPr>
              <w:rPr>
                <w:rFonts w:ascii="黑体" w:eastAsia="黑体" w:hAnsi="黑体"/>
                <w:sz w:val="20"/>
                <w:szCs w:val="20"/>
              </w:rPr>
            </w:pPr>
            <w:r>
              <w:rPr>
                <w:rFonts w:ascii="黑体" w:eastAsia="黑体" w:hAnsi="黑体"/>
                <w:sz w:val="20"/>
                <w:szCs w:val="20"/>
              </w:rPr>
              <w:t>1-货物贸易；</w:t>
            </w:r>
          </w:p>
          <w:p w14:paraId="56E3D293" w14:textId="77777777" w:rsidR="00A052DC" w:rsidRDefault="009F0A60">
            <w:pPr>
              <w:rPr>
                <w:rFonts w:ascii="黑体" w:eastAsia="黑体" w:hAnsi="黑体"/>
                <w:sz w:val="20"/>
                <w:szCs w:val="20"/>
              </w:rPr>
            </w:pPr>
            <w:r>
              <w:rPr>
                <w:rFonts w:ascii="黑体" w:eastAsia="黑体" w:hAnsi="黑体"/>
                <w:sz w:val="20"/>
                <w:szCs w:val="20"/>
              </w:rPr>
              <w:t>9-其他。</w:t>
            </w:r>
          </w:p>
        </w:tc>
      </w:tr>
      <w:tr w:rsidR="00A052DC" w14:paraId="5FD15D91" w14:textId="77777777">
        <w:trPr>
          <w:jc w:val="center"/>
        </w:trPr>
        <w:tc>
          <w:tcPr>
            <w:tcW w:w="1301" w:type="dxa"/>
          </w:tcPr>
          <w:p w14:paraId="405075D2" w14:textId="77777777" w:rsidR="00A052DC" w:rsidRDefault="009F0A60">
            <w:pPr>
              <w:rPr>
                <w:rFonts w:ascii="黑体" w:eastAsia="黑体" w:hAnsi="黑体"/>
                <w:sz w:val="20"/>
                <w:szCs w:val="20"/>
              </w:rPr>
            </w:pPr>
            <w:r>
              <w:rPr>
                <w:rFonts w:ascii="黑体" w:eastAsia="黑体" w:hAnsi="黑体" w:hint="eastAsia"/>
                <w:sz w:val="20"/>
                <w:szCs w:val="20"/>
              </w:rPr>
              <w:t>D0401</w:t>
            </w:r>
          </w:p>
        </w:tc>
        <w:tc>
          <w:tcPr>
            <w:tcW w:w="2127" w:type="dxa"/>
          </w:tcPr>
          <w:p w14:paraId="69C4D107" w14:textId="77777777" w:rsidR="00A052DC" w:rsidRDefault="009F0A60">
            <w:pPr>
              <w:rPr>
                <w:rFonts w:ascii="黑体" w:eastAsia="黑体" w:hAnsi="黑体"/>
                <w:sz w:val="20"/>
                <w:szCs w:val="20"/>
              </w:rPr>
            </w:pPr>
            <w:r>
              <w:rPr>
                <w:rFonts w:ascii="黑体" w:eastAsia="黑体" w:hAnsi="黑体" w:hint="eastAsia"/>
                <w:sz w:val="20"/>
                <w:szCs w:val="20"/>
              </w:rPr>
              <w:t>对方国家/地区</w:t>
            </w:r>
          </w:p>
        </w:tc>
        <w:tc>
          <w:tcPr>
            <w:tcW w:w="1417" w:type="dxa"/>
          </w:tcPr>
          <w:p w14:paraId="3E93EE48" w14:textId="77777777" w:rsidR="00A052DC" w:rsidRDefault="009F0A60">
            <w:pPr>
              <w:rPr>
                <w:rFonts w:ascii="黑体" w:eastAsia="黑体" w:hAnsi="黑体"/>
                <w:sz w:val="20"/>
                <w:szCs w:val="20"/>
              </w:rPr>
            </w:pPr>
            <w:r>
              <w:rPr>
                <w:rFonts w:ascii="黑体" w:eastAsia="黑体" w:hAnsi="黑体" w:hint="eastAsia"/>
                <w:sz w:val="20"/>
                <w:szCs w:val="20"/>
              </w:rPr>
              <w:t>字符型，3</w:t>
            </w:r>
          </w:p>
        </w:tc>
        <w:tc>
          <w:tcPr>
            <w:tcW w:w="3795" w:type="dxa"/>
          </w:tcPr>
          <w:p w14:paraId="4C2919D8" w14:textId="77777777" w:rsidR="00A052DC" w:rsidRDefault="009F0A60">
            <w:pPr>
              <w:rPr>
                <w:rFonts w:ascii="黑体" w:eastAsia="黑体" w:hAnsi="黑体"/>
                <w:sz w:val="20"/>
                <w:szCs w:val="20"/>
              </w:rPr>
            </w:pPr>
            <w:r>
              <w:rPr>
                <w:rFonts w:ascii="黑体" w:eastAsia="黑体" w:hAnsi="黑体" w:hint="eastAsia"/>
                <w:sz w:val="20"/>
                <w:szCs w:val="20"/>
              </w:rPr>
              <w:t>必填项。见国家和地区代码表的3位字母代码，必须≠</w:t>
            </w:r>
            <w:r>
              <w:rPr>
                <w:rFonts w:ascii="黑体" w:eastAsia="黑体" w:hAnsi="黑体"/>
                <w:sz w:val="20"/>
                <w:szCs w:val="20"/>
              </w:rPr>
              <w:t>CHN</w:t>
            </w:r>
            <w:r>
              <w:rPr>
                <w:rFonts w:ascii="黑体" w:eastAsia="黑体" w:hAnsi="黑体" w:hint="eastAsia"/>
                <w:sz w:val="20"/>
                <w:szCs w:val="20"/>
              </w:rPr>
              <w:t>或</w:t>
            </w:r>
            <w:r>
              <w:rPr>
                <w:rFonts w:ascii="黑体" w:eastAsia="黑体" w:hAnsi="黑体"/>
                <w:sz w:val="20"/>
                <w:szCs w:val="20"/>
              </w:rPr>
              <w:t>N/A</w:t>
            </w:r>
            <w:r>
              <w:rPr>
                <w:rFonts w:ascii="黑体" w:eastAsia="黑体" w:hAnsi="黑体" w:hint="eastAsia"/>
                <w:sz w:val="20"/>
                <w:szCs w:val="20"/>
              </w:rPr>
              <w:t>。</w:t>
            </w:r>
          </w:p>
        </w:tc>
      </w:tr>
      <w:tr w:rsidR="00A052DC" w14:paraId="1CD415C6" w14:textId="77777777">
        <w:trPr>
          <w:jc w:val="center"/>
        </w:trPr>
        <w:tc>
          <w:tcPr>
            <w:tcW w:w="1301" w:type="dxa"/>
          </w:tcPr>
          <w:p w14:paraId="7DFF654E" w14:textId="77777777" w:rsidR="00A052DC" w:rsidRDefault="009F0A60">
            <w:pPr>
              <w:rPr>
                <w:rFonts w:ascii="黑体" w:eastAsia="黑体" w:hAnsi="黑体"/>
                <w:sz w:val="20"/>
                <w:szCs w:val="20"/>
              </w:rPr>
            </w:pPr>
            <w:r>
              <w:rPr>
                <w:rFonts w:ascii="黑体" w:eastAsia="黑体" w:hAnsi="黑体" w:hint="eastAsia"/>
                <w:sz w:val="20"/>
                <w:szCs w:val="20"/>
              </w:rPr>
              <w:t>D0402</w:t>
            </w:r>
          </w:p>
        </w:tc>
        <w:tc>
          <w:tcPr>
            <w:tcW w:w="2127" w:type="dxa"/>
          </w:tcPr>
          <w:p w14:paraId="49DE552D" w14:textId="77777777" w:rsidR="00A052DC" w:rsidRDefault="009F0A60">
            <w:pPr>
              <w:rPr>
                <w:rFonts w:ascii="黑体" w:eastAsia="黑体" w:hAnsi="黑体"/>
                <w:sz w:val="20"/>
                <w:szCs w:val="20"/>
              </w:rPr>
            </w:pPr>
            <w:r>
              <w:rPr>
                <w:rFonts w:ascii="黑体" w:eastAsia="黑体" w:hAnsi="黑体" w:hint="eastAsia"/>
                <w:sz w:val="20"/>
                <w:szCs w:val="20"/>
              </w:rPr>
              <w:t>对方部门</w:t>
            </w:r>
          </w:p>
        </w:tc>
        <w:tc>
          <w:tcPr>
            <w:tcW w:w="1417" w:type="dxa"/>
          </w:tcPr>
          <w:p w14:paraId="7176724A" w14:textId="77777777" w:rsidR="00A052DC" w:rsidRDefault="009F0A60">
            <w:pPr>
              <w:rPr>
                <w:rFonts w:ascii="黑体" w:eastAsia="黑体" w:hAnsi="黑体"/>
                <w:sz w:val="20"/>
                <w:szCs w:val="20"/>
              </w:rPr>
            </w:pPr>
            <w:r>
              <w:rPr>
                <w:rFonts w:ascii="黑体" w:eastAsia="黑体" w:hAnsi="黑体" w:hint="eastAsia"/>
                <w:sz w:val="20"/>
                <w:szCs w:val="20"/>
              </w:rPr>
              <w:t>整数型</w:t>
            </w:r>
          </w:p>
        </w:tc>
        <w:tc>
          <w:tcPr>
            <w:tcW w:w="3795" w:type="dxa"/>
          </w:tcPr>
          <w:p w14:paraId="680B8401" w14:textId="77777777" w:rsidR="00A052DC" w:rsidRDefault="009F0A60">
            <w:pPr>
              <w:rPr>
                <w:rFonts w:ascii="黑体" w:eastAsia="黑体" w:hAnsi="黑体"/>
                <w:sz w:val="20"/>
                <w:szCs w:val="20"/>
              </w:rPr>
            </w:pPr>
            <w:r>
              <w:rPr>
                <w:rFonts w:ascii="黑体" w:eastAsia="黑体" w:hAnsi="黑体" w:hint="eastAsia"/>
                <w:sz w:val="20"/>
                <w:szCs w:val="20"/>
              </w:rPr>
              <w:t>必填项。见投资者（被投资者）部门代码表。</w:t>
            </w:r>
          </w:p>
        </w:tc>
      </w:tr>
      <w:tr w:rsidR="00A052DC" w14:paraId="17384F4F" w14:textId="77777777">
        <w:trPr>
          <w:jc w:val="center"/>
        </w:trPr>
        <w:tc>
          <w:tcPr>
            <w:tcW w:w="1301" w:type="dxa"/>
          </w:tcPr>
          <w:p w14:paraId="0F5406A1" w14:textId="77777777" w:rsidR="00A052DC" w:rsidRDefault="009F0A60">
            <w:pPr>
              <w:rPr>
                <w:rFonts w:ascii="黑体" w:eastAsia="黑体" w:hAnsi="黑体"/>
                <w:sz w:val="20"/>
                <w:szCs w:val="20"/>
              </w:rPr>
            </w:pPr>
            <w:r>
              <w:rPr>
                <w:rFonts w:ascii="黑体" w:eastAsia="黑体" w:hAnsi="黑体" w:hint="eastAsia"/>
                <w:sz w:val="20"/>
                <w:szCs w:val="20"/>
              </w:rPr>
              <w:t>D0403</w:t>
            </w:r>
          </w:p>
        </w:tc>
        <w:tc>
          <w:tcPr>
            <w:tcW w:w="2127" w:type="dxa"/>
          </w:tcPr>
          <w:p w14:paraId="258EFCB9" w14:textId="77777777" w:rsidR="00A052DC" w:rsidRDefault="009F0A60">
            <w:pPr>
              <w:rPr>
                <w:rFonts w:ascii="黑体" w:eastAsia="黑体" w:hAnsi="黑体"/>
                <w:sz w:val="20"/>
                <w:szCs w:val="20"/>
              </w:rPr>
            </w:pPr>
            <w:r>
              <w:rPr>
                <w:rFonts w:ascii="黑体" w:eastAsia="黑体" w:hAnsi="黑体" w:hint="eastAsia"/>
                <w:sz w:val="20"/>
                <w:szCs w:val="20"/>
              </w:rPr>
              <w:t>对方与本机构的关系</w:t>
            </w:r>
          </w:p>
        </w:tc>
        <w:tc>
          <w:tcPr>
            <w:tcW w:w="1417" w:type="dxa"/>
          </w:tcPr>
          <w:p w14:paraId="7981FB74" w14:textId="77777777" w:rsidR="00A052DC" w:rsidRDefault="009F0A60">
            <w:pPr>
              <w:rPr>
                <w:rFonts w:ascii="黑体" w:eastAsia="黑体" w:hAnsi="黑体"/>
                <w:sz w:val="20"/>
                <w:szCs w:val="20"/>
              </w:rPr>
            </w:pPr>
            <w:r>
              <w:rPr>
                <w:rFonts w:ascii="黑体" w:eastAsia="黑体" w:hAnsi="黑体" w:hint="eastAsia"/>
                <w:sz w:val="20"/>
                <w:szCs w:val="20"/>
              </w:rPr>
              <w:t>整数型</w:t>
            </w:r>
          </w:p>
        </w:tc>
        <w:tc>
          <w:tcPr>
            <w:tcW w:w="3795" w:type="dxa"/>
          </w:tcPr>
          <w:p w14:paraId="0A987E77" w14:textId="77777777" w:rsidR="00A052DC" w:rsidRDefault="009F0A60">
            <w:pPr>
              <w:rPr>
                <w:rFonts w:ascii="黑体" w:eastAsia="黑体" w:hAnsi="黑体"/>
                <w:sz w:val="20"/>
                <w:szCs w:val="20"/>
              </w:rPr>
            </w:pPr>
            <w:r>
              <w:rPr>
                <w:rFonts w:ascii="黑体" w:eastAsia="黑体" w:hAnsi="黑体" w:hint="eastAsia"/>
                <w:sz w:val="20"/>
                <w:szCs w:val="20"/>
              </w:rPr>
              <w:t>必填项。见对方与本机构/被代理居民机构/委托人的关系代码表。</w:t>
            </w:r>
          </w:p>
        </w:tc>
      </w:tr>
      <w:tr w:rsidR="00A052DC" w14:paraId="51D5E4B6" w14:textId="77777777">
        <w:trPr>
          <w:jc w:val="center"/>
        </w:trPr>
        <w:tc>
          <w:tcPr>
            <w:tcW w:w="1301" w:type="dxa"/>
          </w:tcPr>
          <w:p w14:paraId="66474664" w14:textId="77777777" w:rsidR="00A052DC" w:rsidRDefault="009F0A60">
            <w:pPr>
              <w:rPr>
                <w:rFonts w:ascii="黑体" w:eastAsia="黑体" w:hAnsi="黑体"/>
                <w:sz w:val="20"/>
                <w:szCs w:val="20"/>
              </w:rPr>
            </w:pPr>
            <w:r>
              <w:rPr>
                <w:rFonts w:ascii="黑体" w:eastAsia="黑体" w:hAnsi="黑体" w:hint="eastAsia"/>
                <w:sz w:val="20"/>
                <w:szCs w:val="20"/>
              </w:rPr>
              <w:t>D0404</w:t>
            </w:r>
          </w:p>
        </w:tc>
        <w:tc>
          <w:tcPr>
            <w:tcW w:w="2127" w:type="dxa"/>
          </w:tcPr>
          <w:p w14:paraId="5764491C" w14:textId="77777777" w:rsidR="00A052DC" w:rsidRDefault="009F0A60">
            <w:pPr>
              <w:rPr>
                <w:rFonts w:ascii="黑体" w:eastAsia="黑体" w:hAnsi="黑体"/>
                <w:sz w:val="20"/>
                <w:szCs w:val="20"/>
              </w:rPr>
            </w:pPr>
            <w:r>
              <w:rPr>
                <w:rFonts w:ascii="黑体" w:eastAsia="黑体" w:hAnsi="黑体" w:hint="eastAsia"/>
                <w:sz w:val="20"/>
                <w:szCs w:val="20"/>
              </w:rPr>
              <w:t>原始期限</w:t>
            </w:r>
          </w:p>
        </w:tc>
        <w:tc>
          <w:tcPr>
            <w:tcW w:w="1417" w:type="dxa"/>
          </w:tcPr>
          <w:p w14:paraId="3D55AEC2" w14:textId="77777777" w:rsidR="00A052DC" w:rsidRDefault="009F0A60">
            <w:pPr>
              <w:rPr>
                <w:rFonts w:ascii="黑体" w:eastAsia="黑体" w:hAnsi="黑体"/>
                <w:sz w:val="20"/>
                <w:szCs w:val="20"/>
              </w:rPr>
            </w:pPr>
            <w:r>
              <w:rPr>
                <w:rFonts w:ascii="黑体" w:eastAsia="黑体" w:hAnsi="黑体" w:hint="eastAsia"/>
                <w:sz w:val="20"/>
                <w:szCs w:val="20"/>
              </w:rPr>
              <w:t>整数型</w:t>
            </w:r>
          </w:p>
        </w:tc>
        <w:tc>
          <w:tcPr>
            <w:tcW w:w="3795" w:type="dxa"/>
          </w:tcPr>
          <w:p w14:paraId="1B1E1E6C" w14:textId="77777777" w:rsidR="00A052DC" w:rsidRDefault="009F0A60">
            <w:pPr>
              <w:rPr>
                <w:rFonts w:ascii="黑体" w:eastAsia="黑体" w:hAnsi="黑体"/>
                <w:sz w:val="20"/>
                <w:szCs w:val="20"/>
              </w:rPr>
            </w:pPr>
            <w:r>
              <w:rPr>
                <w:rFonts w:ascii="黑体" w:eastAsia="黑体" w:hAnsi="黑体" w:hint="eastAsia"/>
                <w:sz w:val="20"/>
                <w:szCs w:val="20"/>
              </w:rPr>
              <w:t>必填项。必须2选1：</w:t>
            </w:r>
          </w:p>
          <w:p w14:paraId="6D81D5D2" w14:textId="77777777" w:rsidR="00A052DC" w:rsidRDefault="009F0A60">
            <w:pPr>
              <w:rPr>
                <w:rFonts w:ascii="黑体" w:eastAsia="黑体" w:hAnsi="黑体"/>
                <w:kern w:val="0"/>
                <w:sz w:val="20"/>
                <w:szCs w:val="20"/>
              </w:rPr>
            </w:pPr>
            <w:r>
              <w:rPr>
                <w:rFonts w:ascii="黑体" w:eastAsia="黑体" w:hAnsi="黑体" w:hint="eastAsia"/>
                <w:kern w:val="0"/>
                <w:sz w:val="20"/>
                <w:szCs w:val="20"/>
              </w:rPr>
              <w:t>1-一年及以下，含不定期；</w:t>
            </w:r>
          </w:p>
          <w:p w14:paraId="28F4C929" w14:textId="77777777" w:rsidR="00A052DC" w:rsidRDefault="009F0A60">
            <w:pPr>
              <w:rPr>
                <w:rFonts w:ascii="黑体" w:eastAsia="黑体" w:hAnsi="黑体"/>
                <w:sz w:val="20"/>
                <w:szCs w:val="20"/>
              </w:rPr>
            </w:pPr>
            <w:r>
              <w:rPr>
                <w:rFonts w:ascii="黑体" w:eastAsia="黑体" w:hAnsi="黑体" w:hint="eastAsia"/>
                <w:sz w:val="20"/>
                <w:szCs w:val="20"/>
              </w:rPr>
              <w:t>2-一年以上。</w:t>
            </w:r>
          </w:p>
        </w:tc>
      </w:tr>
      <w:tr w:rsidR="00A052DC" w14:paraId="7BA346C8" w14:textId="77777777">
        <w:trPr>
          <w:jc w:val="center"/>
        </w:trPr>
        <w:tc>
          <w:tcPr>
            <w:tcW w:w="1301" w:type="dxa"/>
          </w:tcPr>
          <w:p w14:paraId="15B40A83" w14:textId="77777777" w:rsidR="00A052DC" w:rsidRDefault="009F0A60">
            <w:pPr>
              <w:rPr>
                <w:rFonts w:ascii="黑体" w:eastAsia="黑体" w:hAnsi="黑体"/>
                <w:sz w:val="20"/>
                <w:szCs w:val="20"/>
              </w:rPr>
            </w:pPr>
            <w:r>
              <w:rPr>
                <w:rFonts w:ascii="黑体" w:eastAsia="黑体" w:hAnsi="黑体" w:hint="eastAsia"/>
                <w:sz w:val="20"/>
                <w:szCs w:val="20"/>
              </w:rPr>
              <w:t>D0405</w:t>
            </w:r>
          </w:p>
        </w:tc>
        <w:tc>
          <w:tcPr>
            <w:tcW w:w="2127" w:type="dxa"/>
          </w:tcPr>
          <w:p w14:paraId="370408C0" w14:textId="77777777" w:rsidR="00A052DC" w:rsidRDefault="009F0A60">
            <w:pPr>
              <w:rPr>
                <w:rFonts w:ascii="黑体" w:eastAsia="黑体" w:hAnsi="黑体"/>
                <w:sz w:val="20"/>
                <w:szCs w:val="20"/>
              </w:rPr>
            </w:pPr>
            <w:r>
              <w:rPr>
                <w:rFonts w:ascii="黑体" w:eastAsia="黑体" w:hAnsi="黑体" w:hint="eastAsia"/>
                <w:sz w:val="20"/>
                <w:szCs w:val="20"/>
              </w:rPr>
              <w:t>原始币种</w:t>
            </w:r>
          </w:p>
        </w:tc>
        <w:tc>
          <w:tcPr>
            <w:tcW w:w="1417" w:type="dxa"/>
          </w:tcPr>
          <w:p w14:paraId="30D07A54" w14:textId="77777777" w:rsidR="00A052DC" w:rsidRDefault="009F0A60">
            <w:pPr>
              <w:rPr>
                <w:rFonts w:ascii="黑体" w:eastAsia="黑体" w:hAnsi="黑体"/>
                <w:sz w:val="20"/>
                <w:szCs w:val="20"/>
              </w:rPr>
            </w:pPr>
            <w:r>
              <w:rPr>
                <w:rFonts w:ascii="黑体" w:eastAsia="黑体" w:hAnsi="黑体" w:hint="eastAsia"/>
                <w:sz w:val="20"/>
                <w:szCs w:val="20"/>
              </w:rPr>
              <w:t>字符型，3</w:t>
            </w:r>
          </w:p>
        </w:tc>
        <w:tc>
          <w:tcPr>
            <w:tcW w:w="3795" w:type="dxa"/>
          </w:tcPr>
          <w:p w14:paraId="48F1B46B" w14:textId="77777777" w:rsidR="00A052DC" w:rsidRDefault="009F0A60">
            <w:pPr>
              <w:rPr>
                <w:rFonts w:ascii="黑体" w:eastAsia="黑体" w:hAnsi="黑体"/>
                <w:sz w:val="20"/>
                <w:szCs w:val="20"/>
              </w:rPr>
            </w:pPr>
            <w:r>
              <w:rPr>
                <w:rFonts w:ascii="黑体" w:eastAsia="黑体" w:hAnsi="黑体" w:hint="eastAsia"/>
                <w:sz w:val="20"/>
                <w:szCs w:val="20"/>
              </w:rPr>
              <w:t>必填项。见币种代码表。</w:t>
            </w:r>
          </w:p>
        </w:tc>
      </w:tr>
      <w:tr w:rsidR="00A052DC" w14:paraId="4CD8A69B" w14:textId="77777777">
        <w:trPr>
          <w:jc w:val="center"/>
        </w:trPr>
        <w:tc>
          <w:tcPr>
            <w:tcW w:w="1301" w:type="dxa"/>
          </w:tcPr>
          <w:p w14:paraId="41DF65A9" w14:textId="77777777" w:rsidR="00A052DC" w:rsidRDefault="009F0A60">
            <w:pPr>
              <w:rPr>
                <w:rFonts w:ascii="黑体" w:eastAsia="黑体" w:hAnsi="黑体"/>
                <w:sz w:val="20"/>
                <w:szCs w:val="20"/>
              </w:rPr>
            </w:pPr>
            <w:r>
              <w:rPr>
                <w:rFonts w:ascii="黑体" w:eastAsia="黑体" w:hAnsi="黑体" w:hint="eastAsia"/>
                <w:sz w:val="20"/>
                <w:szCs w:val="20"/>
              </w:rPr>
              <w:t>D0406</w:t>
            </w:r>
          </w:p>
        </w:tc>
        <w:tc>
          <w:tcPr>
            <w:tcW w:w="2127" w:type="dxa"/>
          </w:tcPr>
          <w:p w14:paraId="324BD9BD" w14:textId="77777777" w:rsidR="00A052DC" w:rsidRDefault="009F0A60">
            <w:pPr>
              <w:rPr>
                <w:rFonts w:ascii="黑体" w:eastAsia="黑体" w:hAnsi="黑体"/>
                <w:sz w:val="20"/>
                <w:szCs w:val="20"/>
              </w:rPr>
            </w:pPr>
            <w:r>
              <w:rPr>
                <w:rFonts w:ascii="黑体" w:eastAsia="黑体" w:hAnsi="黑体" w:hint="eastAsia"/>
                <w:sz w:val="20"/>
                <w:szCs w:val="20"/>
              </w:rPr>
              <w:t>上月末余额</w:t>
            </w:r>
          </w:p>
        </w:tc>
        <w:tc>
          <w:tcPr>
            <w:tcW w:w="1417" w:type="dxa"/>
          </w:tcPr>
          <w:p w14:paraId="22ECFD3B"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3795" w:type="dxa"/>
          </w:tcPr>
          <w:p w14:paraId="78BB848A"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r w:rsidR="00A052DC" w14:paraId="645D2C28" w14:textId="77777777">
        <w:trPr>
          <w:jc w:val="center"/>
        </w:trPr>
        <w:tc>
          <w:tcPr>
            <w:tcW w:w="1301" w:type="dxa"/>
          </w:tcPr>
          <w:p w14:paraId="2E7C678B" w14:textId="77777777" w:rsidR="00A052DC" w:rsidRDefault="009F0A60">
            <w:pPr>
              <w:rPr>
                <w:rFonts w:ascii="黑体" w:eastAsia="黑体" w:hAnsi="黑体"/>
                <w:sz w:val="20"/>
                <w:szCs w:val="20"/>
              </w:rPr>
            </w:pPr>
            <w:r>
              <w:rPr>
                <w:rFonts w:ascii="黑体" w:eastAsia="黑体" w:hAnsi="黑体" w:hint="eastAsia"/>
                <w:sz w:val="20"/>
                <w:szCs w:val="20"/>
              </w:rPr>
              <w:t>D0407</w:t>
            </w:r>
          </w:p>
        </w:tc>
        <w:tc>
          <w:tcPr>
            <w:tcW w:w="2127" w:type="dxa"/>
          </w:tcPr>
          <w:p w14:paraId="759D142A" w14:textId="77777777" w:rsidR="00A052DC" w:rsidRDefault="009F0A60">
            <w:pPr>
              <w:rPr>
                <w:rFonts w:ascii="黑体" w:eastAsia="黑体" w:hAnsi="黑体"/>
                <w:sz w:val="20"/>
                <w:szCs w:val="20"/>
              </w:rPr>
            </w:pPr>
            <w:r>
              <w:rPr>
                <w:rFonts w:ascii="黑体" w:eastAsia="黑体" w:hAnsi="黑体" w:hint="eastAsia"/>
                <w:sz w:val="20"/>
                <w:szCs w:val="20"/>
              </w:rPr>
              <w:t>本月末余额</w:t>
            </w:r>
          </w:p>
        </w:tc>
        <w:tc>
          <w:tcPr>
            <w:tcW w:w="1417" w:type="dxa"/>
          </w:tcPr>
          <w:p w14:paraId="261B72D7"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3795" w:type="dxa"/>
          </w:tcPr>
          <w:p w14:paraId="06116505"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r w:rsidR="00A052DC" w14:paraId="45B8195B" w14:textId="77777777">
        <w:trPr>
          <w:jc w:val="center"/>
        </w:trPr>
        <w:tc>
          <w:tcPr>
            <w:tcW w:w="1301" w:type="dxa"/>
          </w:tcPr>
          <w:p w14:paraId="6573F556" w14:textId="77777777" w:rsidR="00A052DC" w:rsidRDefault="009F0A60">
            <w:pPr>
              <w:rPr>
                <w:rFonts w:ascii="黑体" w:eastAsia="黑体" w:hAnsi="黑体"/>
                <w:sz w:val="20"/>
                <w:szCs w:val="20"/>
              </w:rPr>
            </w:pPr>
            <w:r>
              <w:rPr>
                <w:rFonts w:ascii="黑体" w:eastAsia="黑体" w:hAnsi="黑体" w:hint="eastAsia"/>
                <w:sz w:val="20"/>
                <w:szCs w:val="20"/>
              </w:rPr>
              <w:t>D0408</w:t>
            </w:r>
          </w:p>
        </w:tc>
        <w:tc>
          <w:tcPr>
            <w:tcW w:w="2127" w:type="dxa"/>
          </w:tcPr>
          <w:p w14:paraId="2C97D948" w14:textId="77777777" w:rsidR="00A052DC" w:rsidRDefault="009F0A60">
            <w:pPr>
              <w:rPr>
                <w:rFonts w:ascii="黑体" w:eastAsia="黑体" w:hAnsi="黑体"/>
                <w:sz w:val="20"/>
                <w:szCs w:val="20"/>
              </w:rPr>
            </w:pPr>
            <w:r>
              <w:rPr>
                <w:rFonts w:ascii="黑体" w:eastAsia="黑体" w:hAnsi="黑体" w:hint="eastAsia"/>
                <w:sz w:val="20"/>
                <w:szCs w:val="20"/>
              </w:rPr>
              <w:t>本月末余额其中：剩余期限在一年及以下</w:t>
            </w:r>
          </w:p>
        </w:tc>
        <w:tc>
          <w:tcPr>
            <w:tcW w:w="1417" w:type="dxa"/>
          </w:tcPr>
          <w:p w14:paraId="58776E5B"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3795" w:type="dxa"/>
          </w:tcPr>
          <w:p w14:paraId="78D172AB" w14:textId="77777777" w:rsidR="00A052DC" w:rsidRDefault="009F0A60">
            <w:pPr>
              <w:rPr>
                <w:rFonts w:ascii="黑体" w:eastAsia="黑体" w:hAnsi="黑体"/>
                <w:sz w:val="20"/>
                <w:szCs w:val="20"/>
              </w:rPr>
            </w:pPr>
            <w:r>
              <w:rPr>
                <w:rFonts w:ascii="黑体" w:eastAsia="黑体" w:hAnsi="黑体" w:hint="eastAsia"/>
                <w:sz w:val="20"/>
                <w:szCs w:val="20"/>
              </w:rPr>
              <w:t>必填项。</w:t>
            </w:r>
          </w:p>
          <w:p w14:paraId="1629139E" w14:textId="77777777" w:rsidR="00A052DC" w:rsidRDefault="009F0A60">
            <w:pPr>
              <w:rPr>
                <w:rFonts w:ascii="黑体" w:eastAsia="黑体" w:hAnsi="黑体"/>
                <w:sz w:val="20"/>
                <w:szCs w:val="20"/>
              </w:rPr>
            </w:pPr>
            <w:r>
              <w:rPr>
                <w:rFonts w:ascii="黑体" w:eastAsia="黑体" w:hAnsi="黑体" w:hint="eastAsia"/>
                <w:sz w:val="20"/>
                <w:szCs w:val="20"/>
              </w:rPr>
              <w:t>当D0404=1时，D0407=D0408。</w:t>
            </w:r>
          </w:p>
          <w:p w14:paraId="40E253DD" w14:textId="77777777" w:rsidR="00A052DC" w:rsidRDefault="009F0A60">
            <w:pPr>
              <w:rPr>
                <w:rFonts w:ascii="黑体" w:eastAsia="黑体" w:hAnsi="黑体"/>
                <w:sz w:val="20"/>
                <w:szCs w:val="20"/>
              </w:rPr>
            </w:pPr>
            <w:r>
              <w:rPr>
                <w:rFonts w:ascii="黑体" w:eastAsia="黑体" w:hAnsi="黑体" w:hint="eastAsia"/>
                <w:sz w:val="20"/>
                <w:szCs w:val="20"/>
              </w:rPr>
              <w:t>当D0404=2时，︱D0407︳≥︱D0408︳</w:t>
            </w:r>
            <w:r w:rsidR="00DC00A8">
              <w:rPr>
                <w:rFonts w:ascii="黑体" w:eastAsia="黑体" w:hAnsi="黑体" w:hint="eastAsia"/>
                <w:sz w:val="20"/>
                <w:szCs w:val="20"/>
              </w:rPr>
              <w:t>。</w:t>
            </w:r>
          </w:p>
        </w:tc>
      </w:tr>
      <w:tr w:rsidR="00A052DC" w14:paraId="20AA25D6" w14:textId="77777777">
        <w:trPr>
          <w:jc w:val="center"/>
        </w:trPr>
        <w:tc>
          <w:tcPr>
            <w:tcW w:w="1301" w:type="dxa"/>
          </w:tcPr>
          <w:p w14:paraId="42B18A41" w14:textId="77777777" w:rsidR="00A052DC" w:rsidRDefault="009F0A60">
            <w:pPr>
              <w:rPr>
                <w:rFonts w:ascii="黑体" w:eastAsia="黑体" w:hAnsi="黑体"/>
                <w:sz w:val="20"/>
                <w:szCs w:val="20"/>
              </w:rPr>
            </w:pPr>
            <w:r>
              <w:rPr>
                <w:rFonts w:ascii="黑体" w:eastAsia="黑体" w:hAnsi="黑体" w:hint="eastAsia"/>
                <w:sz w:val="20"/>
                <w:szCs w:val="20"/>
              </w:rPr>
              <w:t>D0409</w:t>
            </w:r>
          </w:p>
        </w:tc>
        <w:tc>
          <w:tcPr>
            <w:tcW w:w="2127" w:type="dxa"/>
          </w:tcPr>
          <w:p w14:paraId="3011C36B" w14:textId="77777777" w:rsidR="00A052DC" w:rsidRDefault="009F0A60">
            <w:pPr>
              <w:rPr>
                <w:rFonts w:ascii="黑体" w:eastAsia="黑体" w:hAnsi="黑体"/>
                <w:sz w:val="20"/>
                <w:szCs w:val="20"/>
              </w:rPr>
            </w:pPr>
            <w:r>
              <w:rPr>
                <w:rFonts w:ascii="黑体" w:eastAsia="黑体" w:hAnsi="黑体" w:hint="eastAsia"/>
                <w:sz w:val="20"/>
                <w:szCs w:val="20"/>
              </w:rPr>
              <w:t>本月非交易变动</w:t>
            </w:r>
          </w:p>
        </w:tc>
        <w:tc>
          <w:tcPr>
            <w:tcW w:w="1417" w:type="dxa"/>
          </w:tcPr>
          <w:p w14:paraId="3482B79D"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3795" w:type="dxa"/>
          </w:tcPr>
          <w:p w14:paraId="15CAD06A"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r w:rsidR="00A052DC" w14:paraId="0D9FB134" w14:textId="77777777">
        <w:trPr>
          <w:jc w:val="center"/>
        </w:trPr>
        <w:tc>
          <w:tcPr>
            <w:tcW w:w="1301" w:type="dxa"/>
          </w:tcPr>
          <w:p w14:paraId="3A7A467A" w14:textId="77777777" w:rsidR="00A052DC" w:rsidRDefault="009F0A60">
            <w:pPr>
              <w:rPr>
                <w:rFonts w:ascii="黑体" w:eastAsia="黑体" w:hAnsi="黑体"/>
                <w:sz w:val="20"/>
                <w:szCs w:val="20"/>
              </w:rPr>
            </w:pPr>
            <w:r>
              <w:rPr>
                <w:rFonts w:ascii="黑体" w:eastAsia="黑体" w:hAnsi="黑体" w:hint="eastAsia"/>
                <w:sz w:val="20"/>
                <w:szCs w:val="20"/>
              </w:rPr>
              <w:t>D0410</w:t>
            </w:r>
          </w:p>
        </w:tc>
        <w:tc>
          <w:tcPr>
            <w:tcW w:w="2127" w:type="dxa"/>
          </w:tcPr>
          <w:p w14:paraId="7FEE97F3" w14:textId="77777777" w:rsidR="00A052DC" w:rsidRDefault="009F0A60">
            <w:pPr>
              <w:rPr>
                <w:rFonts w:ascii="黑体" w:eastAsia="黑体" w:hAnsi="黑体"/>
                <w:sz w:val="20"/>
                <w:szCs w:val="20"/>
              </w:rPr>
            </w:pPr>
            <w:r>
              <w:rPr>
                <w:rFonts w:ascii="黑体" w:eastAsia="黑体" w:hAnsi="黑体" w:hint="eastAsia"/>
                <w:sz w:val="20"/>
                <w:szCs w:val="20"/>
              </w:rPr>
              <w:t>本月净发生额</w:t>
            </w:r>
          </w:p>
        </w:tc>
        <w:tc>
          <w:tcPr>
            <w:tcW w:w="1417" w:type="dxa"/>
          </w:tcPr>
          <w:p w14:paraId="7F48391D"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3795" w:type="dxa"/>
          </w:tcPr>
          <w:p w14:paraId="10C406D9" w14:textId="77777777" w:rsidR="00A052DC" w:rsidRDefault="009F0A60">
            <w:pPr>
              <w:rPr>
                <w:rFonts w:ascii="黑体" w:eastAsia="黑体" w:hAnsi="黑体"/>
                <w:sz w:val="20"/>
                <w:szCs w:val="20"/>
              </w:rPr>
            </w:pPr>
            <w:r>
              <w:rPr>
                <w:rFonts w:ascii="黑体" w:eastAsia="黑体" w:hAnsi="黑体" w:hint="eastAsia"/>
                <w:sz w:val="20"/>
                <w:szCs w:val="20"/>
              </w:rPr>
              <w:t>必填项，必须满足：</w:t>
            </w:r>
          </w:p>
          <w:p w14:paraId="4B47694E" w14:textId="77777777" w:rsidR="00A052DC" w:rsidRDefault="009F0A60">
            <w:pPr>
              <w:rPr>
                <w:rFonts w:ascii="黑体" w:eastAsia="黑体" w:hAnsi="黑体"/>
                <w:sz w:val="20"/>
                <w:szCs w:val="20"/>
              </w:rPr>
            </w:pPr>
            <w:r>
              <w:rPr>
                <w:rFonts w:ascii="黑体" w:eastAsia="黑体" w:hAnsi="黑体" w:hint="eastAsia"/>
                <w:sz w:val="20"/>
                <w:szCs w:val="20"/>
              </w:rPr>
              <w:t>D0410+D0409=D0407-D0406。</w:t>
            </w:r>
          </w:p>
        </w:tc>
      </w:tr>
      <w:tr w:rsidR="00A052DC" w14:paraId="5F353C23" w14:textId="77777777">
        <w:trPr>
          <w:jc w:val="center"/>
        </w:trPr>
        <w:tc>
          <w:tcPr>
            <w:tcW w:w="1301" w:type="dxa"/>
          </w:tcPr>
          <w:p w14:paraId="425DBF87" w14:textId="77777777" w:rsidR="00A052DC" w:rsidRDefault="009F0A60">
            <w:pPr>
              <w:rPr>
                <w:rFonts w:ascii="黑体" w:eastAsia="黑体" w:hAnsi="黑体"/>
                <w:sz w:val="20"/>
                <w:szCs w:val="20"/>
              </w:rPr>
            </w:pPr>
            <w:r>
              <w:rPr>
                <w:rFonts w:ascii="黑体" w:eastAsia="黑体" w:hAnsi="黑体" w:hint="eastAsia"/>
                <w:sz w:val="20"/>
                <w:szCs w:val="20"/>
              </w:rPr>
              <w:t>REMARK</w:t>
            </w:r>
          </w:p>
        </w:tc>
        <w:tc>
          <w:tcPr>
            <w:tcW w:w="2127" w:type="dxa"/>
          </w:tcPr>
          <w:p w14:paraId="21897B42" w14:textId="77777777" w:rsidR="00A052DC" w:rsidRDefault="009F0A60">
            <w:pPr>
              <w:rPr>
                <w:rFonts w:ascii="黑体" w:eastAsia="黑体" w:hAnsi="黑体"/>
                <w:sz w:val="20"/>
                <w:szCs w:val="20"/>
              </w:rPr>
            </w:pPr>
            <w:r>
              <w:rPr>
                <w:rFonts w:ascii="黑体" w:eastAsia="黑体" w:hAnsi="黑体" w:hint="eastAsia"/>
                <w:sz w:val="20"/>
                <w:szCs w:val="20"/>
              </w:rPr>
              <w:t>备注</w:t>
            </w:r>
          </w:p>
        </w:tc>
        <w:tc>
          <w:tcPr>
            <w:tcW w:w="1417" w:type="dxa"/>
          </w:tcPr>
          <w:p w14:paraId="324A44F4" w14:textId="77777777" w:rsidR="00A052DC" w:rsidRDefault="009F0A60">
            <w:pPr>
              <w:rPr>
                <w:rFonts w:ascii="黑体" w:eastAsia="黑体" w:hAnsi="黑体"/>
                <w:sz w:val="20"/>
                <w:szCs w:val="20"/>
              </w:rPr>
            </w:pPr>
            <w:r>
              <w:rPr>
                <w:rFonts w:ascii="黑体" w:eastAsia="黑体" w:hAnsi="黑体" w:hint="eastAsia"/>
                <w:sz w:val="20"/>
                <w:szCs w:val="20"/>
              </w:rPr>
              <w:t>字符型，512</w:t>
            </w:r>
          </w:p>
        </w:tc>
        <w:tc>
          <w:tcPr>
            <w:tcW w:w="3795" w:type="dxa"/>
          </w:tcPr>
          <w:p w14:paraId="66442466" w14:textId="77777777" w:rsidR="00A052DC" w:rsidRDefault="009F0A60">
            <w:pPr>
              <w:rPr>
                <w:rFonts w:ascii="黑体" w:eastAsia="黑体" w:hAnsi="黑体"/>
                <w:sz w:val="20"/>
                <w:szCs w:val="20"/>
              </w:rPr>
            </w:pPr>
            <w:r>
              <w:rPr>
                <w:rFonts w:ascii="黑体" w:eastAsia="黑体" w:hAnsi="黑体" w:hint="eastAsia"/>
                <w:sz w:val="20"/>
                <w:szCs w:val="20"/>
              </w:rPr>
              <w:t>当</w:t>
            </w:r>
            <w:r>
              <w:rPr>
                <w:rFonts w:ascii="黑体" w:eastAsia="黑体" w:hAnsi="黑体"/>
                <w:sz w:val="20"/>
                <w:szCs w:val="20"/>
              </w:rPr>
              <w:t>D0406、D0407或D0408为负数时为</w:t>
            </w:r>
            <w:r>
              <w:rPr>
                <w:rFonts w:ascii="黑体" w:eastAsia="黑体" w:hAnsi="黑体" w:hint="eastAsia"/>
                <w:sz w:val="20"/>
                <w:szCs w:val="20"/>
              </w:rPr>
              <w:t>必填项。</w:t>
            </w:r>
          </w:p>
        </w:tc>
      </w:tr>
    </w:tbl>
    <w:p w14:paraId="1850F7D0" w14:textId="77777777" w:rsidR="00A052DC" w:rsidRDefault="00A052DC"/>
    <w:p w14:paraId="753FAC05" w14:textId="77777777" w:rsidR="00A052DC" w:rsidRDefault="009F0A60" w:rsidP="0020251D">
      <w:pPr>
        <w:pStyle w:val="3"/>
        <w:ind w:left="0"/>
        <w:rPr>
          <w:rFonts w:ascii="Times New Roman" w:hAnsi="Times New Roman"/>
        </w:rPr>
      </w:pPr>
      <w:bookmarkStart w:id="3250" w:name="_Toc380570967"/>
      <w:bookmarkStart w:id="3251" w:name="_Toc380356293"/>
      <w:bookmarkStart w:id="3252" w:name="_Toc91455320"/>
      <w:bookmarkStart w:id="3253" w:name="_Toc454391319"/>
      <w:bookmarkStart w:id="3254" w:name="_Toc101684493"/>
      <w:r>
        <w:rPr>
          <w:rFonts w:ascii="Times New Roman" w:hAnsi="Times New Roman"/>
        </w:rPr>
        <w:t>D05-1</w:t>
      </w:r>
      <w:r>
        <w:rPr>
          <w:rFonts w:ascii="Times New Roman" w:hAnsi="Times New Roman" w:hint="eastAsia"/>
        </w:rPr>
        <w:t>表：存款（含银行同业和联行存放）（负债）——境外机构存款</w:t>
      </w:r>
      <w:bookmarkEnd w:id="3250"/>
      <w:bookmarkEnd w:id="3251"/>
      <w:bookmarkEnd w:id="3252"/>
      <w:bookmarkEnd w:id="3253"/>
      <w:bookmarkEnd w:id="3254"/>
    </w:p>
    <w:p w14:paraId="26B72445" w14:textId="77777777" w:rsidR="00A052DC" w:rsidRPr="004D1828" w:rsidRDefault="00A412F6">
      <w:pPr>
        <w:spacing w:line="360" w:lineRule="auto"/>
        <w:ind w:firstLineChars="200" w:firstLine="480"/>
        <w:rPr>
          <w:rFonts w:ascii="Times New Roman" w:hAnsi="Times New Roman"/>
          <w:kern w:val="0"/>
          <w:sz w:val="24"/>
          <w:szCs w:val="20"/>
        </w:rPr>
      </w:pPr>
      <w:r w:rsidRPr="00A412F6">
        <w:rPr>
          <w:rFonts w:ascii="Times New Roman" w:hAnsi="宋体" w:hint="eastAsia"/>
          <w:kern w:val="0"/>
          <w:sz w:val="24"/>
          <w:szCs w:val="20"/>
        </w:rPr>
        <w:t>为保证数据统一采集，《对外金融资产负债及交易统计制度》（汇发〔</w:t>
      </w:r>
      <w:r w:rsidRPr="00A412F6">
        <w:rPr>
          <w:rFonts w:ascii="Times New Roman" w:hAnsi="Times New Roman"/>
          <w:kern w:val="0"/>
          <w:sz w:val="24"/>
          <w:szCs w:val="20"/>
        </w:rPr>
        <w:t>2021</w:t>
      </w:r>
      <w:r w:rsidRPr="00A412F6">
        <w:rPr>
          <w:rFonts w:ascii="Times New Roman" w:hAnsi="宋体"/>
          <w:kern w:val="0"/>
          <w:sz w:val="24"/>
          <w:szCs w:val="20"/>
        </w:rPr>
        <w:t>〕</w:t>
      </w:r>
      <w:r w:rsidRPr="00A412F6">
        <w:rPr>
          <w:rFonts w:ascii="Times New Roman" w:hAnsi="Times New Roman"/>
          <w:kern w:val="0"/>
          <w:sz w:val="24"/>
          <w:szCs w:val="20"/>
        </w:rPr>
        <w:t>36</w:t>
      </w:r>
      <w:r w:rsidRPr="00A412F6">
        <w:rPr>
          <w:rFonts w:ascii="Times New Roman" w:hAnsi="宋体"/>
          <w:kern w:val="0"/>
          <w:sz w:val="24"/>
          <w:szCs w:val="20"/>
        </w:rPr>
        <w:t>号）中的</w:t>
      </w:r>
      <w:r w:rsidRPr="00A412F6">
        <w:rPr>
          <w:rFonts w:ascii="Times New Roman" w:hAnsi="Times New Roman"/>
          <w:kern w:val="0"/>
          <w:sz w:val="24"/>
          <w:szCs w:val="20"/>
        </w:rPr>
        <w:t>D05</w:t>
      </w:r>
      <w:r w:rsidRPr="00A412F6">
        <w:rPr>
          <w:rFonts w:ascii="Times New Roman" w:hAnsi="宋体"/>
          <w:kern w:val="0"/>
          <w:sz w:val="24"/>
          <w:szCs w:val="20"/>
        </w:rPr>
        <w:t>表在本规范中拆分为境外机构存款数据（</w:t>
      </w:r>
      <w:r w:rsidRPr="00A412F6">
        <w:rPr>
          <w:rFonts w:ascii="Times New Roman" w:hAnsi="Times New Roman"/>
          <w:kern w:val="0"/>
          <w:sz w:val="24"/>
          <w:szCs w:val="20"/>
        </w:rPr>
        <w:t>D05-1</w:t>
      </w:r>
      <w:r w:rsidRPr="00A412F6">
        <w:rPr>
          <w:rFonts w:ascii="Times New Roman" w:hAnsi="宋体"/>
          <w:kern w:val="0"/>
          <w:sz w:val="24"/>
          <w:szCs w:val="20"/>
        </w:rPr>
        <w:t>表）和非居民个人存款（</w:t>
      </w:r>
      <w:r w:rsidRPr="00A412F6">
        <w:rPr>
          <w:rFonts w:ascii="Times New Roman" w:hAnsi="Times New Roman"/>
          <w:kern w:val="0"/>
          <w:sz w:val="24"/>
          <w:szCs w:val="20"/>
        </w:rPr>
        <w:t>D05-2</w:t>
      </w:r>
      <w:r w:rsidRPr="00A412F6">
        <w:rPr>
          <w:rFonts w:ascii="Times New Roman" w:hAnsi="宋体"/>
          <w:kern w:val="0"/>
          <w:sz w:val="24"/>
          <w:szCs w:val="20"/>
        </w:rPr>
        <w:t>表）两部分。其中，境外机构存款数据（</w:t>
      </w:r>
      <w:r w:rsidRPr="00A412F6">
        <w:rPr>
          <w:rFonts w:ascii="Times New Roman" w:hAnsi="Times New Roman"/>
          <w:kern w:val="0"/>
          <w:sz w:val="24"/>
          <w:szCs w:val="20"/>
        </w:rPr>
        <w:t>D05-1</w:t>
      </w:r>
      <w:r w:rsidRPr="00A412F6">
        <w:rPr>
          <w:rFonts w:ascii="Times New Roman" w:hAnsi="宋体"/>
          <w:kern w:val="0"/>
          <w:sz w:val="24"/>
          <w:szCs w:val="20"/>
        </w:rPr>
        <w:t>表）要求报送</w:t>
      </w:r>
      <w:r w:rsidRPr="00A412F6">
        <w:rPr>
          <w:rFonts w:ascii="Times New Roman" w:hAnsi="宋体" w:hint="eastAsia"/>
          <w:kern w:val="0"/>
          <w:sz w:val="24"/>
          <w:szCs w:val="20"/>
        </w:rPr>
        <w:t>本</w:t>
      </w:r>
      <w:r w:rsidRPr="00A412F6">
        <w:rPr>
          <w:rFonts w:ascii="Times New Roman" w:hAnsi="宋体"/>
          <w:kern w:val="0"/>
          <w:sz w:val="24"/>
          <w:szCs w:val="20"/>
        </w:rPr>
        <w:t>接口列出的逐笔外债的字段，其他字段由外汇局通过银行自身外债的境外同业存放、境外联行及附属机构往来、非居民机构存款业务数据加工得到。</w:t>
      </w:r>
    </w:p>
    <w:p w14:paraId="5AF726A2" w14:textId="77777777" w:rsidR="00A052DC" w:rsidRDefault="009F0A60" w:rsidP="0020251D">
      <w:pPr>
        <w:pStyle w:val="4"/>
        <w:numPr>
          <w:ilvl w:val="3"/>
          <w:numId w:val="1"/>
        </w:numPr>
        <w:jc w:val="left"/>
      </w:pPr>
      <w:bookmarkStart w:id="3255" w:name="_Toc454391320"/>
      <w:bookmarkStart w:id="3256" w:name="_Toc380570968"/>
      <w:r>
        <w:rPr>
          <w:rFonts w:hint="eastAsia"/>
        </w:rPr>
        <w:t>数据术语解释</w:t>
      </w:r>
      <w:bookmarkEnd w:id="3255"/>
      <w:bookmarkEnd w:id="3256"/>
    </w:p>
    <w:tbl>
      <w:tblPr>
        <w:tblW w:w="8556" w:type="dxa"/>
        <w:tblInd w:w="-34" w:type="dxa"/>
        <w:tblLook w:val="04A0" w:firstRow="1" w:lastRow="0" w:firstColumn="1" w:lastColumn="0" w:noHBand="0" w:noVBand="1"/>
      </w:tblPr>
      <w:tblGrid>
        <w:gridCol w:w="1702"/>
        <w:gridCol w:w="3563"/>
        <w:gridCol w:w="3291"/>
      </w:tblGrid>
      <w:tr w:rsidR="00A052DC" w14:paraId="3C190708" w14:textId="77777777">
        <w:trPr>
          <w:trHeight w:val="285"/>
        </w:trPr>
        <w:tc>
          <w:tcPr>
            <w:tcW w:w="1702" w:type="dxa"/>
            <w:tcBorders>
              <w:top w:val="single" w:sz="4" w:space="0" w:color="auto"/>
              <w:left w:val="single" w:sz="4" w:space="0" w:color="auto"/>
              <w:bottom w:val="single" w:sz="4" w:space="0" w:color="auto"/>
              <w:right w:val="single" w:sz="4" w:space="0" w:color="auto"/>
            </w:tcBorders>
            <w:shd w:val="clear" w:color="auto" w:fill="auto"/>
          </w:tcPr>
          <w:p w14:paraId="5691FE33" w14:textId="77777777" w:rsidR="00A052DC" w:rsidRDefault="009F0A60">
            <w:pPr>
              <w:jc w:val="center"/>
              <w:rPr>
                <w:rFonts w:ascii="黑体" w:eastAsia="黑体" w:hAnsi="黑体"/>
                <w:b/>
                <w:kern w:val="0"/>
                <w:sz w:val="20"/>
                <w:szCs w:val="20"/>
              </w:rPr>
            </w:pPr>
            <w:r>
              <w:rPr>
                <w:rFonts w:ascii="黑体" w:eastAsia="黑体" w:hAnsi="黑体" w:hint="eastAsia"/>
                <w:b/>
                <w:kern w:val="0"/>
                <w:sz w:val="20"/>
                <w:szCs w:val="20"/>
              </w:rPr>
              <w:t>基础数据项</w:t>
            </w:r>
          </w:p>
        </w:tc>
        <w:tc>
          <w:tcPr>
            <w:tcW w:w="3563" w:type="dxa"/>
            <w:tcBorders>
              <w:top w:val="single" w:sz="4" w:space="0" w:color="auto"/>
              <w:left w:val="nil"/>
              <w:bottom w:val="single" w:sz="4" w:space="0" w:color="auto"/>
              <w:right w:val="single" w:sz="4" w:space="0" w:color="auto"/>
            </w:tcBorders>
            <w:shd w:val="clear" w:color="auto" w:fill="auto"/>
          </w:tcPr>
          <w:p w14:paraId="39D1D334" w14:textId="77777777" w:rsidR="00A052DC" w:rsidRDefault="009F0A60">
            <w:pPr>
              <w:jc w:val="center"/>
              <w:rPr>
                <w:rFonts w:ascii="黑体" w:eastAsia="黑体" w:hAnsi="黑体"/>
                <w:b/>
                <w:kern w:val="0"/>
                <w:sz w:val="20"/>
                <w:szCs w:val="20"/>
              </w:rPr>
            </w:pPr>
            <w:r>
              <w:rPr>
                <w:rFonts w:ascii="黑体" w:eastAsia="黑体" w:hAnsi="黑体" w:hint="eastAsia"/>
                <w:b/>
                <w:kern w:val="0"/>
                <w:sz w:val="20"/>
                <w:szCs w:val="20"/>
              </w:rPr>
              <w:t>定义</w:t>
            </w:r>
          </w:p>
        </w:tc>
        <w:tc>
          <w:tcPr>
            <w:tcW w:w="3291" w:type="dxa"/>
            <w:tcBorders>
              <w:top w:val="single" w:sz="4" w:space="0" w:color="auto"/>
              <w:left w:val="nil"/>
              <w:bottom w:val="single" w:sz="4" w:space="0" w:color="auto"/>
              <w:right w:val="single" w:sz="4" w:space="0" w:color="auto"/>
            </w:tcBorders>
          </w:tcPr>
          <w:p w14:paraId="41A04237" w14:textId="77777777" w:rsidR="00A052DC" w:rsidRDefault="009F0A60">
            <w:pPr>
              <w:jc w:val="center"/>
              <w:rPr>
                <w:rFonts w:ascii="黑体" w:eastAsia="黑体" w:hAnsi="黑体"/>
                <w:b/>
                <w:kern w:val="0"/>
                <w:sz w:val="20"/>
                <w:szCs w:val="20"/>
              </w:rPr>
            </w:pPr>
            <w:r>
              <w:rPr>
                <w:rFonts w:ascii="黑体" w:eastAsia="黑体" w:hAnsi="黑体" w:hint="eastAsia"/>
                <w:b/>
                <w:kern w:val="0"/>
                <w:sz w:val="20"/>
                <w:szCs w:val="20"/>
              </w:rPr>
              <w:t>数据采集说明</w:t>
            </w:r>
          </w:p>
        </w:tc>
      </w:tr>
      <w:tr w:rsidR="00A052DC" w14:paraId="5FBE3402" w14:textId="77777777">
        <w:trPr>
          <w:trHeight w:val="1260"/>
        </w:trPr>
        <w:tc>
          <w:tcPr>
            <w:tcW w:w="1702" w:type="dxa"/>
            <w:tcBorders>
              <w:top w:val="nil"/>
              <w:left w:val="single" w:sz="4" w:space="0" w:color="auto"/>
              <w:bottom w:val="single" w:sz="4" w:space="0" w:color="auto"/>
              <w:right w:val="single" w:sz="4" w:space="0" w:color="auto"/>
            </w:tcBorders>
            <w:shd w:val="clear" w:color="auto" w:fill="auto"/>
          </w:tcPr>
          <w:p w14:paraId="272F8996" w14:textId="77777777" w:rsidR="00A052DC" w:rsidRDefault="009F0A60">
            <w:pPr>
              <w:rPr>
                <w:rFonts w:ascii="黑体" w:eastAsia="黑体" w:hAnsi="黑体"/>
                <w:kern w:val="0"/>
                <w:sz w:val="20"/>
                <w:szCs w:val="20"/>
              </w:rPr>
            </w:pPr>
            <w:r>
              <w:rPr>
                <w:rFonts w:ascii="黑体" w:eastAsia="黑体" w:hAnsi="黑体" w:hint="eastAsia"/>
                <w:kern w:val="0"/>
                <w:sz w:val="20"/>
                <w:szCs w:val="20"/>
              </w:rPr>
              <w:t>数据自编码</w:t>
            </w:r>
          </w:p>
        </w:tc>
        <w:tc>
          <w:tcPr>
            <w:tcW w:w="3563" w:type="dxa"/>
            <w:tcBorders>
              <w:top w:val="nil"/>
              <w:left w:val="nil"/>
              <w:bottom w:val="single" w:sz="4" w:space="0" w:color="auto"/>
              <w:right w:val="single" w:sz="4" w:space="0" w:color="auto"/>
            </w:tcBorders>
            <w:shd w:val="clear" w:color="auto" w:fill="auto"/>
          </w:tcPr>
          <w:p w14:paraId="65BE0480" w14:textId="77777777" w:rsidR="00A052DC" w:rsidRDefault="009F0A60">
            <w:pPr>
              <w:rPr>
                <w:rFonts w:ascii="黑体" w:eastAsia="黑体" w:hAnsi="黑体"/>
                <w:kern w:val="0"/>
                <w:sz w:val="20"/>
                <w:szCs w:val="20"/>
              </w:rPr>
            </w:pPr>
            <w:r>
              <w:rPr>
                <w:rFonts w:ascii="黑体" w:eastAsia="黑体" w:hAnsi="黑体" w:hint="eastAsia"/>
                <w:kern w:val="0"/>
                <w:sz w:val="20"/>
                <w:szCs w:val="20"/>
              </w:rPr>
              <w:t>该编码用于标识金融机构报送的每一条数据，按给定规则编码，便于进行增删改查等操作。建议规则：机构代码（18位，不足18位补a）+报表代码（5位，不足5位补a）+报送期（6位）+顺序号（7位，从0000001开始增加）。</w:t>
            </w:r>
          </w:p>
        </w:tc>
        <w:tc>
          <w:tcPr>
            <w:tcW w:w="3291" w:type="dxa"/>
            <w:tcBorders>
              <w:top w:val="nil"/>
              <w:left w:val="nil"/>
              <w:bottom w:val="single" w:sz="4" w:space="0" w:color="auto"/>
              <w:right w:val="single" w:sz="4" w:space="0" w:color="auto"/>
            </w:tcBorders>
          </w:tcPr>
          <w:p w14:paraId="45BF8781" w14:textId="77777777" w:rsidR="00A052DC" w:rsidRDefault="009F0A60">
            <w:pPr>
              <w:rPr>
                <w:rFonts w:ascii="黑体" w:eastAsia="黑体" w:hAnsi="黑体"/>
                <w:kern w:val="0"/>
                <w:sz w:val="20"/>
                <w:szCs w:val="20"/>
              </w:rPr>
            </w:pPr>
            <w:r>
              <w:rPr>
                <w:rFonts w:ascii="黑体" w:eastAsia="黑体" w:hAnsi="黑体" w:hint="eastAsia"/>
                <w:kern w:val="0"/>
                <w:sz w:val="20"/>
                <w:szCs w:val="20"/>
              </w:rPr>
              <w:t>见数据格式和数据字典。</w:t>
            </w:r>
          </w:p>
        </w:tc>
      </w:tr>
      <w:tr w:rsidR="00A052DC" w14:paraId="4C98E69B" w14:textId="77777777">
        <w:trPr>
          <w:trHeight w:val="750"/>
        </w:trPr>
        <w:tc>
          <w:tcPr>
            <w:tcW w:w="1702" w:type="dxa"/>
            <w:tcBorders>
              <w:top w:val="nil"/>
              <w:left w:val="single" w:sz="4" w:space="0" w:color="auto"/>
              <w:bottom w:val="single" w:sz="4" w:space="0" w:color="auto"/>
              <w:right w:val="single" w:sz="4" w:space="0" w:color="auto"/>
            </w:tcBorders>
            <w:shd w:val="clear" w:color="auto" w:fill="auto"/>
          </w:tcPr>
          <w:p w14:paraId="1EDE09E5" w14:textId="77777777" w:rsidR="00A052DC" w:rsidRDefault="009F0A60">
            <w:pPr>
              <w:rPr>
                <w:rFonts w:ascii="黑体" w:eastAsia="黑体" w:hAnsi="黑体"/>
                <w:kern w:val="0"/>
                <w:sz w:val="20"/>
                <w:szCs w:val="20"/>
              </w:rPr>
            </w:pPr>
            <w:r>
              <w:rPr>
                <w:rFonts w:ascii="黑体" w:eastAsia="黑体" w:hAnsi="黑体" w:hint="eastAsia"/>
                <w:kern w:val="0"/>
                <w:sz w:val="20"/>
                <w:szCs w:val="20"/>
              </w:rPr>
              <w:t>申报主体代码</w:t>
            </w:r>
          </w:p>
        </w:tc>
        <w:tc>
          <w:tcPr>
            <w:tcW w:w="3563" w:type="dxa"/>
            <w:tcBorders>
              <w:top w:val="nil"/>
              <w:left w:val="nil"/>
              <w:bottom w:val="single" w:sz="4" w:space="0" w:color="auto"/>
              <w:right w:val="single" w:sz="4" w:space="0" w:color="auto"/>
            </w:tcBorders>
            <w:shd w:val="clear" w:color="auto" w:fill="auto"/>
          </w:tcPr>
          <w:p w14:paraId="472E4F83" w14:textId="77777777" w:rsidR="00A052DC" w:rsidRDefault="009F0A60">
            <w:pPr>
              <w:rPr>
                <w:rFonts w:ascii="黑体" w:eastAsia="黑体" w:hAnsi="黑体"/>
                <w:kern w:val="0"/>
                <w:sz w:val="20"/>
                <w:szCs w:val="20"/>
              </w:rPr>
            </w:pPr>
            <w:r>
              <w:rPr>
                <w:rFonts w:ascii="黑体" w:eastAsia="黑体" w:hAnsi="黑体" w:hint="eastAsia"/>
                <w:sz w:val="20"/>
                <w:szCs w:val="20"/>
              </w:rPr>
              <w:t>申报主体的12位金融机构标识码，如果没有金融机构标识码，则填报统一社会信用代码法定载体（如营业执照）上统一社会信用代码中的第9至17位或国家外汇管理局及其分支局签发的特殊机构代码赋码通知书上的机构代码、个人身份代码。</w:t>
            </w:r>
          </w:p>
        </w:tc>
        <w:tc>
          <w:tcPr>
            <w:tcW w:w="3291" w:type="dxa"/>
            <w:tcBorders>
              <w:top w:val="nil"/>
              <w:left w:val="nil"/>
              <w:bottom w:val="single" w:sz="4" w:space="0" w:color="auto"/>
              <w:right w:val="single" w:sz="4" w:space="0" w:color="auto"/>
            </w:tcBorders>
          </w:tcPr>
          <w:p w14:paraId="56AD2CB4" w14:textId="77777777" w:rsidR="00A052DC" w:rsidRDefault="009F0A60">
            <w:pPr>
              <w:rPr>
                <w:rFonts w:ascii="黑体" w:eastAsia="黑体" w:hAnsi="黑体"/>
                <w:kern w:val="0"/>
                <w:sz w:val="20"/>
                <w:szCs w:val="20"/>
              </w:rPr>
            </w:pPr>
            <w:r>
              <w:rPr>
                <w:rFonts w:ascii="黑体" w:eastAsia="黑体" w:hAnsi="黑体" w:hint="eastAsia"/>
                <w:kern w:val="0"/>
                <w:sz w:val="20"/>
                <w:szCs w:val="20"/>
              </w:rPr>
              <w:t>见数据格式和数据字典。</w:t>
            </w:r>
          </w:p>
        </w:tc>
      </w:tr>
      <w:tr w:rsidR="00A052DC" w14:paraId="455CB5FE" w14:textId="77777777">
        <w:trPr>
          <w:trHeight w:val="285"/>
        </w:trPr>
        <w:tc>
          <w:tcPr>
            <w:tcW w:w="1702" w:type="dxa"/>
            <w:tcBorders>
              <w:top w:val="nil"/>
              <w:left w:val="single" w:sz="4" w:space="0" w:color="auto"/>
              <w:bottom w:val="single" w:sz="4" w:space="0" w:color="auto"/>
              <w:right w:val="single" w:sz="4" w:space="0" w:color="auto"/>
            </w:tcBorders>
            <w:shd w:val="clear" w:color="auto" w:fill="auto"/>
          </w:tcPr>
          <w:p w14:paraId="20D3B3C2" w14:textId="77777777" w:rsidR="00A052DC" w:rsidRDefault="009F0A60">
            <w:pPr>
              <w:rPr>
                <w:rFonts w:ascii="黑体" w:eastAsia="黑体" w:hAnsi="黑体"/>
                <w:kern w:val="0"/>
                <w:sz w:val="20"/>
                <w:szCs w:val="20"/>
              </w:rPr>
            </w:pPr>
            <w:r>
              <w:rPr>
                <w:rFonts w:ascii="黑体" w:eastAsia="黑体" w:hAnsi="黑体" w:hint="eastAsia"/>
                <w:kern w:val="0"/>
                <w:sz w:val="20"/>
                <w:szCs w:val="20"/>
              </w:rPr>
              <w:t>报告期</w:t>
            </w:r>
          </w:p>
        </w:tc>
        <w:tc>
          <w:tcPr>
            <w:tcW w:w="3563" w:type="dxa"/>
            <w:tcBorders>
              <w:top w:val="nil"/>
              <w:left w:val="nil"/>
              <w:bottom w:val="single" w:sz="4" w:space="0" w:color="auto"/>
              <w:right w:val="single" w:sz="4" w:space="0" w:color="auto"/>
            </w:tcBorders>
            <w:shd w:val="clear" w:color="auto" w:fill="auto"/>
          </w:tcPr>
          <w:p w14:paraId="74A3DF15" w14:textId="77777777" w:rsidR="00A052DC" w:rsidRDefault="009F0A60">
            <w:pPr>
              <w:rPr>
                <w:rFonts w:ascii="黑体" w:eastAsia="黑体" w:hAnsi="黑体"/>
                <w:kern w:val="0"/>
                <w:sz w:val="20"/>
                <w:szCs w:val="20"/>
              </w:rPr>
            </w:pPr>
            <w:r>
              <w:rPr>
                <w:rFonts w:ascii="黑体" w:eastAsia="黑体" w:hAnsi="黑体" w:hint="eastAsia"/>
                <w:kern w:val="0"/>
                <w:sz w:val="20"/>
                <w:szCs w:val="20"/>
              </w:rPr>
              <w:t>业务发生月份，格式为YYYYMM。</w:t>
            </w:r>
          </w:p>
        </w:tc>
        <w:tc>
          <w:tcPr>
            <w:tcW w:w="3291" w:type="dxa"/>
            <w:tcBorders>
              <w:top w:val="nil"/>
              <w:left w:val="nil"/>
              <w:bottom w:val="single" w:sz="4" w:space="0" w:color="auto"/>
              <w:right w:val="single" w:sz="4" w:space="0" w:color="auto"/>
            </w:tcBorders>
          </w:tcPr>
          <w:p w14:paraId="4DB21F04" w14:textId="77777777" w:rsidR="00A052DC" w:rsidRDefault="009F0A60">
            <w:pPr>
              <w:rPr>
                <w:rFonts w:ascii="黑体" w:eastAsia="黑体" w:hAnsi="黑体"/>
                <w:kern w:val="0"/>
                <w:sz w:val="20"/>
                <w:szCs w:val="20"/>
              </w:rPr>
            </w:pPr>
            <w:r>
              <w:rPr>
                <w:rFonts w:ascii="黑体" w:eastAsia="黑体" w:hAnsi="黑体" w:hint="eastAsia"/>
                <w:kern w:val="0"/>
                <w:sz w:val="20"/>
                <w:szCs w:val="20"/>
              </w:rPr>
              <w:t>见数据格式和数据字典。</w:t>
            </w:r>
          </w:p>
        </w:tc>
      </w:tr>
      <w:tr w:rsidR="00A052DC" w14:paraId="6AB9F173" w14:textId="77777777">
        <w:trPr>
          <w:trHeight w:val="975"/>
        </w:trPr>
        <w:tc>
          <w:tcPr>
            <w:tcW w:w="1702" w:type="dxa"/>
            <w:tcBorders>
              <w:top w:val="nil"/>
              <w:left w:val="single" w:sz="4" w:space="0" w:color="auto"/>
              <w:bottom w:val="single" w:sz="4" w:space="0" w:color="auto"/>
              <w:right w:val="single" w:sz="4" w:space="0" w:color="auto"/>
            </w:tcBorders>
            <w:shd w:val="clear" w:color="auto" w:fill="auto"/>
          </w:tcPr>
          <w:p w14:paraId="10BEAD70" w14:textId="77777777" w:rsidR="00A052DC" w:rsidRDefault="009F0A60">
            <w:pPr>
              <w:rPr>
                <w:rFonts w:ascii="黑体" w:eastAsia="黑体" w:hAnsi="黑体"/>
                <w:kern w:val="0"/>
                <w:sz w:val="20"/>
                <w:szCs w:val="20"/>
              </w:rPr>
            </w:pPr>
            <w:r>
              <w:rPr>
                <w:rFonts w:ascii="黑体" w:eastAsia="黑体" w:hAnsi="黑体" w:hint="eastAsia"/>
                <w:kern w:val="0"/>
                <w:sz w:val="20"/>
                <w:szCs w:val="20"/>
              </w:rPr>
              <w:t>外债编号</w:t>
            </w:r>
          </w:p>
        </w:tc>
        <w:tc>
          <w:tcPr>
            <w:tcW w:w="3563" w:type="dxa"/>
            <w:tcBorders>
              <w:top w:val="nil"/>
              <w:left w:val="nil"/>
              <w:bottom w:val="single" w:sz="4" w:space="0" w:color="auto"/>
              <w:right w:val="single" w:sz="4" w:space="0" w:color="auto"/>
            </w:tcBorders>
            <w:shd w:val="clear" w:color="auto" w:fill="auto"/>
          </w:tcPr>
          <w:p w14:paraId="7E106532" w14:textId="77777777" w:rsidR="00A052DC" w:rsidRDefault="009F0A60">
            <w:pPr>
              <w:rPr>
                <w:rFonts w:ascii="黑体" w:eastAsia="黑体" w:hAnsi="黑体"/>
                <w:kern w:val="0"/>
                <w:sz w:val="20"/>
                <w:szCs w:val="20"/>
              </w:rPr>
            </w:pPr>
            <w:r>
              <w:rPr>
                <w:rFonts w:ascii="黑体" w:eastAsia="黑体" w:hAnsi="黑体" w:hint="eastAsia"/>
                <w:kern w:val="0"/>
                <w:sz w:val="20"/>
                <w:szCs w:val="20"/>
              </w:rPr>
              <w:t>该笔业务对应的银行自身外债的境外同业存放、境外联行及附属机构往来、非居民机构存款类业务的外债编号。此外债编号必须为银行自身外债签约信息中已经报送的外债编号。</w:t>
            </w:r>
          </w:p>
        </w:tc>
        <w:tc>
          <w:tcPr>
            <w:tcW w:w="3291" w:type="dxa"/>
            <w:tcBorders>
              <w:top w:val="nil"/>
              <w:left w:val="nil"/>
              <w:bottom w:val="single" w:sz="4" w:space="0" w:color="auto"/>
              <w:right w:val="single" w:sz="4" w:space="0" w:color="auto"/>
            </w:tcBorders>
          </w:tcPr>
          <w:p w14:paraId="56072241" w14:textId="77777777" w:rsidR="00A052DC" w:rsidRDefault="009F0A60">
            <w:pPr>
              <w:rPr>
                <w:rFonts w:ascii="黑体" w:eastAsia="黑体" w:hAnsi="黑体"/>
                <w:kern w:val="0"/>
                <w:sz w:val="20"/>
                <w:szCs w:val="20"/>
              </w:rPr>
            </w:pPr>
            <w:r>
              <w:rPr>
                <w:rFonts w:ascii="黑体" w:eastAsia="黑体" w:hAnsi="黑体" w:hint="eastAsia"/>
                <w:kern w:val="0"/>
                <w:sz w:val="20"/>
                <w:szCs w:val="20"/>
              </w:rPr>
              <w:t>见数据格式和数据字典。</w:t>
            </w:r>
          </w:p>
        </w:tc>
      </w:tr>
      <w:tr w:rsidR="00A052DC" w14:paraId="51549F4A" w14:textId="77777777">
        <w:trPr>
          <w:trHeight w:val="735"/>
        </w:trPr>
        <w:tc>
          <w:tcPr>
            <w:tcW w:w="1702" w:type="dxa"/>
            <w:tcBorders>
              <w:top w:val="nil"/>
              <w:left w:val="single" w:sz="4" w:space="0" w:color="auto"/>
              <w:bottom w:val="single" w:sz="4" w:space="0" w:color="auto"/>
              <w:right w:val="single" w:sz="4" w:space="0" w:color="auto"/>
            </w:tcBorders>
            <w:shd w:val="clear" w:color="auto" w:fill="FFFFFF"/>
          </w:tcPr>
          <w:p w14:paraId="7A70C0CF" w14:textId="77777777" w:rsidR="00A052DC" w:rsidRDefault="009F0A60">
            <w:pPr>
              <w:rPr>
                <w:rFonts w:ascii="黑体" w:eastAsia="黑体" w:hAnsi="黑体"/>
                <w:kern w:val="0"/>
                <w:sz w:val="20"/>
                <w:szCs w:val="20"/>
              </w:rPr>
            </w:pPr>
            <w:r>
              <w:rPr>
                <w:rFonts w:ascii="黑体" w:eastAsia="黑体" w:hAnsi="黑体" w:hint="eastAsia"/>
                <w:kern w:val="0"/>
                <w:sz w:val="20"/>
                <w:szCs w:val="20"/>
              </w:rPr>
              <w:t>存款业务类别</w:t>
            </w:r>
          </w:p>
        </w:tc>
        <w:tc>
          <w:tcPr>
            <w:tcW w:w="3563" w:type="dxa"/>
            <w:tcBorders>
              <w:top w:val="nil"/>
              <w:left w:val="nil"/>
              <w:bottom w:val="single" w:sz="4" w:space="0" w:color="auto"/>
              <w:right w:val="single" w:sz="4" w:space="0" w:color="auto"/>
            </w:tcBorders>
            <w:shd w:val="clear" w:color="auto" w:fill="auto"/>
          </w:tcPr>
          <w:p w14:paraId="52A1C4F3" w14:textId="77777777" w:rsidR="00A052DC" w:rsidRDefault="009F0A60">
            <w:pPr>
              <w:numPr>
                <w:ilvl w:val="255"/>
                <w:numId w:val="0"/>
              </w:numPr>
              <w:rPr>
                <w:rFonts w:ascii="黑体" w:eastAsia="黑体" w:hAnsi="黑体"/>
                <w:kern w:val="0"/>
                <w:sz w:val="20"/>
                <w:szCs w:val="20"/>
              </w:rPr>
            </w:pPr>
            <w:r>
              <w:rPr>
                <w:rFonts w:ascii="黑体" w:eastAsia="黑体" w:hAnsi="黑体"/>
                <w:kern w:val="0"/>
                <w:sz w:val="20"/>
                <w:szCs w:val="20"/>
              </w:rPr>
              <w:t>1-</w:t>
            </w:r>
            <w:r>
              <w:rPr>
                <w:rFonts w:ascii="黑体" w:eastAsia="黑体" w:hAnsi="黑体" w:hint="eastAsia"/>
                <w:kern w:val="0"/>
                <w:sz w:val="20"/>
                <w:szCs w:val="20"/>
              </w:rPr>
              <w:t>存款（境外同业存放）</w:t>
            </w:r>
          </w:p>
          <w:p w14:paraId="230D92F1" w14:textId="77777777" w:rsidR="00A052DC" w:rsidRDefault="009F0A60">
            <w:pPr>
              <w:numPr>
                <w:ilvl w:val="255"/>
                <w:numId w:val="0"/>
              </w:numPr>
              <w:rPr>
                <w:rFonts w:ascii="黑体" w:eastAsia="黑体" w:hAnsi="黑体"/>
                <w:kern w:val="0"/>
                <w:sz w:val="20"/>
                <w:szCs w:val="20"/>
              </w:rPr>
            </w:pPr>
            <w:r>
              <w:rPr>
                <w:rFonts w:ascii="黑体" w:eastAsia="黑体" w:hAnsi="黑体"/>
                <w:kern w:val="0"/>
                <w:sz w:val="20"/>
                <w:szCs w:val="20"/>
              </w:rPr>
              <w:t>2-</w:t>
            </w:r>
            <w:r>
              <w:rPr>
                <w:rFonts w:ascii="黑体" w:eastAsia="黑体" w:hAnsi="黑体" w:hint="eastAsia"/>
                <w:kern w:val="0"/>
                <w:sz w:val="20"/>
                <w:szCs w:val="20"/>
              </w:rPr>
              <w:t>账户金</w:t>
            </w:r>
          </w:p>
          <w:p w14:paraId="5ACAFA45" w14:textId="77777777" w:rsidR="00A052DC" w:rsidRDefault="009F0A60">
            <w:pPr>
              <w:numPr>
                <w:ilvl w:val="255"/>
                <w:numId w:val="0"/>
              </w:numPr>
              <w:rPr>
                <w:rFonts w:ascii="黑体" w:eastAsia="黑体" w:hAnsi="黑体"/>
                <w:kern w:val="0"/>
                <w:sz w:val="20"/>
                <w:szCs w:val="20"/>
              </w:rPr>
            </w:pPr>
            <w:r>
              <w:rPr>
                <w:rFonts w:ascii="黑体" w:eastAsia="黑体" w:hAnsi="黑体"/>
                <w:kern w:val="0"/>
                <w:sz w:val="20"/>
                <w:szCs w:val="20"/>
              </w:rPr>
              <w:t>3-</w:t>
            </w:r>
            <w:r>
              <w:rPr>
                <w:rFonts w:ascii="黑体" w:eastAsia="黑体" w:hAnsi="黑体" w:hint="eastAsia"/>
                <w:kern w:val="0"/>
                <w:sz w:val="20"/>
                <w:szCs w:val="20"/>
              </w:rPr>
              <w:t>存款（联行往来）</w:t>
            </w:r>
          </w:p>
          <w:p w14:paraId="37F01749" w14:textId="77777777" w:rsidR="00A052DC" w:rsidRDefault="009F0A60">
            <w:pPr>
              <w:rPr>
                <w:rFonts w:ascii="黑体" w:eastAsia="黑体" w:hAnsi="黑体"/>
                <w:kern w:val="0"/>
                <w:sz w:val="20"/>
                <w:szCs w:val="20"/>
              </w:rPr>
            </w:pPr>
            <w:r>
              <w:rPr>
                <w:rFonts w:ascii="黑体" w:eastAsia="黑体" w:hAnsi="黑体"/>
                <w:kern w:val="0"/>
                <w:sz w:val="20"/>
                <w:szCs w:val="20"/>
              </w:rPr>
              <w:t>4-</w:t>
            </w:r>
            <w:r>
              <w:rPr>
                <w:rFonts w:ascii="黑体" w:eastAsia="黑体" w:hAnsi="黑体" w:hint="eastAsia"/>
                <w:kern w:val="0"/>
                <w:sz w:val="20"/>
                <w:szCs w:val="20"/>
              </w:rPr>
              <w:t>其他存款</w:t>
            </w:r>
          </w:p>
        </w:tc>
        <w:tc>
          <w:tcPr>
            <w:tcW w:w="3291" w:type="dxa"/>
            <w:tcBorders>
              <w:top w:val="nil"/>
              <w:left w:val="nil"/>
              <w:bottom w:val="single" w:sz="4" w:space="0" w:color="auto"/>
              <w:right w:val="single" w:sz="4" w:space="0" w:color="auto"/>
            </w:tcBorders>
          </w:tcPr>
          <w:p w14:paraId="10BA2CC8" w14:textId="77777777" w:rsidR="00A052DC" w:rsidRDefault="009F0A60">
            <w:pPr>
              <w:rPr>
                <w:rFonts w:ascii="黑体" w:eastAsia="黑体" w:hAnsi="黑体"/>
                <w:kern w:val="0"/>
                <w:sz w:val="20"/>
                <w:szCs w:val="20"/>
              </w:rPr>
            </w:pPr>
            <w:r>
              <w:rPr>
                <w:rFonts w:ascii="黑体" w:eastAsia="黑体" w:hAnsi="黑体" w:hint="eastAsia"/>
                <w:kern w:val="0"/>
                <w:sz w:val="20"/>
                <w:szCs w:val="20"/>
              </w:rPr>
              <w:t>不需要报送该字段。该字段对应银行自身外债的境外同业存放、境外联行及附属机构往来、非居民机构存款签约信息中的“存款业务类别”字段。</w:t>
            </w:r>
          </w:p>
        </w:tc>
      </w:tr>
      <w:tr w:rsidR="00A052DC" w14:paraId="4D33FB10" w14:textId="77777777">
        <w:trPr>
          <w:trHeight w:val="975"/>
        </w:trPr>
        <w:tc>
          <w:tcPr>
            <w:tcW w:w="1702" w:type="dxa"/>
            <w:tcBorders>
              <w:top w:val="nil"/>
              <w:left w:val="single" w:sz="4" w:space="0" w:color="auto"/>
              <w:bottom w:val="single" w:sz="4" w:space="0" w:color="auto"/>
              <w:right w:val="single" w:sz="4" w:space="0" w:color="auto"/>
            </w:tcBorders>
            <w:shd w:val="clear" w:color="auto" w:fill="FFFFFF"/>
          </w:tcPr>
          <w:p w14:paraId="366FC149" w14:textId="77777777" w:rsidR="00A052DC" w:rsidRDefault="009F0A60">
            <w:pPr>
              <w:rPr>
                <w:rFonts w:ascii="黑体" w:eastAsia="黑体" w:hAnsi="黑体"/>
                <w:kern w:val="0"/>
                <w:sz w:val="20"/>
                <w:szCs w:val="20"/>
              </w:rPr>
            </w:pPr>
            <w:r>
              <w:rPr>
                <w:rFonts w:ascii="黑体" w:eastAsia="黑体" w:hAnsi="黑体" w:hint="eastAsia"/>
                <w:kern w:val="0"/>
                <w:sz w:val="20"/>
                <w:szCs w:val="20"/>
              </w:rPr>
              <w:t>对方国家/地区</w:t>
            </w:r>
          </w:p>
        </w:tc>
        <w:tc>
          <w:tcPr>
            <w:tcW w:w="3563" w:type="dxa"/>
            <w:tcBorders>
              <w:top w:val="nil"/>
              <w:left w:val="nil"/>
              <w:bottom w:val="single" w:sz="4" w:space="0" w:color="auto"/>
              <w:right w:val="single" w:sz="4" w:space="0" w:color="auto"/>
            </w:tcBorders>
            <w:shd w:val="clear" w:color="auto" w:fill="auto"/>
          </w:tcPr>
          <w:p w14:paraId="7856DA78" w14:textId="77777777" w:rsidR="00A052DC" w:rsidRDefault="009F0A60">
            <w:pPr>
              <w:rPr>
                <w:rFonts w:ascii="黑体" w:eastAsia="黑体" w:hAnsi="黑体"/>
                <w:kern w:val="0"/>
                <w:sz w:val="20"/>
                <w:szCs w:val="20"/>
              </w:rPr>
            </w:pPr>
            <w:r>
              <w:rPr>
                <w:rFonts w:ascii="黑体" w:eastAsia="黑体" w:hAnsi="黑体" w:hint="eastAsia"/>
                <w:sz w:val="20"/>
                <w:szCs w:val="20"/>
              </w:rPr>
              <w:t>指非居民存款主体注册或常驻（住）的国家或地区。见国家和地区代码表的3位字母代码。</w:t>
            </w:r>
          </w:p>
        </w:tc>
        <w:tc>
          <w:tcPr>
            <w:tcW w:w="3291" w:type="dxa"/>
            <w:tcBorders>
              <w:top w:val="nil"/>
              <w:left w:val="nil"/>
              <w:bottom w:val="single" w:sz="4" w:space="0" w:color="auto"/>
              <w:right w:val="single" w:sz="4" w:space="0" w:color="auto"/>
            </w:tcBorders>
          </w:tcPr>
          <w:p w14:paraId="37081C57" w14:textId="77777777" w:rsidR="00A052DC" w:rsidRDefault="009F0A60">
            <w:pPr>
              <w:rPr>
                <w:rFonts w:ascii="黑体" w:eastAsia="黑体" w:hAnsi="黑体"/>
                <w:kern w:val="0"/>
                <w:sz w:val="20"/>
                <w:szCs w:val="20"/>
              </w:rPr>
            </w:pPr>
            <w:r>
              <w:rPr>
                <w:rFonts w:ascii="黑体" w:eastAsia="黑体" w:hAnsi="黑体" w:hint="eastAsia"/>
                <w:kern w:val="0"/>
                <w:sz w:val="20"/>
                <w:szCs w:val="20"/>
              </w:rPr>
              <w:t>不需要报送该字段。该字段对应银行自身外债的境外同业存放、境外联行及附属机构往来、非居民机构存款签约信息中的“债权人经营地所在国家（地区）代码”字段。</w:t>
            </w:r>
          </w:p>
        </w:tc>
      </w:tr>
      <w:tr w:rsidR="00A052DC" w14:paraId="6666F466" w14:textId="77777777">
        <w:trPr>
          <w:trHeight w:val="975"/>
        </w:trPr>
        <w:tc>
          <w:tcPr>
            <w:tcW w:w="1702" w:type="dxa"/>
            <w:tcBorders>
              <w:top w:val="nil"/>
              <w:left w:val="single" w:sz="4" w:space="0" w:color="auto"/>
              <w:bottom w:val="single" w:sz="4" w:space="0" w:color="auto"/>
              <w:right w:val="single" w:sz="4" w:space="0" w:color="auto"/>
            </w:tcBorders>
            <w:shd w:val="clear" w:color="auto" w:fill="FFFFFF"/>
          </w:tcPr>
          <w:p w14:paraId="5E337D43" w14:textId="77777777" w:rsidR="00A052DC" w:rsidRDefault="009F0A60">
            <w:pPr>
              <w:rPr>
                <w:rFonts w:ascii="黑体" w:eastAsia="黑体" w:hAnsi="黑体"/>
                <w:kern w:val="0"/>
                <w:sz w:val="20"/>
                <w:szCs w:val="20"/>
              </w:rPr>
            </w:pPr>
            <w:r>
              <w:rPr>
                <w:rFonts w:ascii="黑体" w:eastAsia="黑体" w:hAnsi="黑体" w:hint="eastAsia"/>
                <w:kern w:val="0"/>
                <w:sz w:val="20"/>
                <w:szCs w:val="20"/>
              </w:rPr>
              <w:t>对方部门</w:t>
            </w:r>
          </w:p>
        </w:tc>
        <w:tc>
          <w:tcPr>
            <w:tcW w:w="3563" w:type="dxa"/>
            <w:tcBorders>
              <w:top w:val="nil"/>
              <w:left w:val="nil"/>
              <w:bottom w:val="single" w:sz="4" w:space="0" w:color="auto"/>
              <w:right w:val="single" w:sz="4" w:space="0" w:color="auto"/>
            </w:tcBorders>
            <w:shd w:val="clear" w:color="auto" w:fill="auto"/>
          </w:tcPr>
          <w:p w14:paraId="7859551E" w14:textId="77777777" w:rsidR="00A052DC" w:rsidRDefault="009F0A60">
            <w:pPr>
              <w:rPr>
                <w:rFonts w:ascii="黑体" w:eastAsia="黑体" w:hAnsi="黑体"/>
                <w:kern w:val="0"/>
                <w:sz w:val="20"/>
                <w:szCs w:val="20"/>
              </w:rPr>
            </w:pPr>
            <w:r>
              <w:rPr>
                <w:rFonts w:ascii="黑体" w:eastAsia="黑体" w:hAnsi="黑体" w:hint="eastAsia"/>
                <w:sz w:val="20"/>
                <w:szCs w:val="20"/>
              </w:rPr>
              <w:t>见投资者（被投资者）部门代码表。请按非居民存款主体的主营业务归类。</w:t>
            </w:r>
          </w:p>
        </w:tc>
        <w:tc>
          <w:tcPr>
            <w:tcW w:w="3291" w:type="dxa"/>
            <w:tcBorders>
              <w:top w:val="nil"/>
              <w:left w:val="nil"/>
              <w:bottom w:val="single" w:sz="4" w:space="0" w:color="auto"/>
              <w:right w:val="single" w:sz="4" w:space="0" w:color="auto"/>
            </w:tcBorders>
          </w:tcPr>
          <w:p w14:paraId="162361AD" w14:textId="77777777" w:rsidR="00A052DC" w:rsidRDefault="009F0A60">
            <w:pPr>
              <w:rPr>
                <w:rFonts w:ascii="黑体" w:eastAsia="黑体" w:hAnsi="黑体"/>
                <w:kern w:val="0"/>
                <w:sz w:val="20"/>
                <w:szCs w:val="20"/>
              </w:rPr>
            </w:pPr>
            <w:r>
              <w:rPr>
                <w:rFonts w:ascii="黑体" w:eastAsia="黑体" w:hAnsi="黑体" w:hint="eastAsia"/>
                <w:kern w:val="0"/>
                <w:sz w:val="20"/>
                <w:szCs w:val="20"/>
              </w:rPr>
              <w:t>不需要报送该字段。该字段由外汇局根据银行自身外债的境外同业存放、境外联行及附属机构往来、非居民机构存款签约信息中的“债权人类型代码”字段转换得到。</w:t>
            </w:r>
          </w:p>
        </w:tc>
      </w:tr>
      <w:tr w:rsidR="00A052DC" w14:paraId="32BE821D" w14:textId="77777777">
        <w:trPr>
          <w:trHeight w:val="975"/>
        </w:trPr>
        <w:tc>
          <w:tcPr>
            <w:tcW w:w="1702" w:type="dxa"/>
            <w:tcBorders>
              <w:top w:val="nil"/>
              <w:left w:val="single" w:sz="4" w:space="0" w:color="auto"/>
              <w:bottom w:val="single" w:sz="4" w:space="0" w:color="auto"/>
              <w:right w:val="single" w:sz="4" w:space="0" w:color="auto"/>
            </w:tcBorders>
            <w:shd w:val="clear" w:color="auto" w:fill="FFFFFF"/>
          </w:tcPr>
          <w:p w14:paraId="16BAE2FF" w14:textId="77777777" w:rsidR="00A052DC" w:rsidRDefault="009F0A60">
            <w:pPr>
              <w:rPr>
                <w:rFonts w:ascii="黑体" w:eastAsia="黑体" w:hAnsi="黑体"/>
                <w:kern w:val="0"/>
                <w:sz w:val="20"/>
                <w:szCs w:val="20"/>
              </w:rPr>
            </w:pPr>
            <w:r>
              <w:rPr>
                <w:rFonts w:ascii="黑体" w:eastAsia="黑体" w:hAnsi="黑体" w:hint="eastAsia"/>
                <w:kern w:val="0"/>
                <w:sz w:val="20"/>
                <w:szCs w:val="20"/>
              </w:rPr>
              <w:t>对方与本机构的关系</w:t>
            </w:r>
          </w:p>
        </w:tc>
        <w:tc>
          <w:tcPr>
            <w:tcW w:w="3563" w:type="dxa"/>
            <w:tcBorders>
              <w:top w:val="nil"/>
              <w:left w:val="nil"/>
              <w:bottom w:val="single" w:sz="4" w:space="0" w:color="auto"/>
              <w:right w:val="single" w:sz="4" w:space="0" w:color="auto"/>
            </w:tcBorders>
            <w:shd w:val="clear" w:color="auto" w:fill="auto"/>
          </w:tcPr>
          <w:p w14:paraId="1AA3005E" w14:textId="77777777" w:rsidR="00A052DC" w:rsidRDefault="009F0A60">
            <w:pPr>
              <w:rPr>
                <w:rFonts w:ascii="黑体" w:eastAsia="黑体" w:hAnsi="黑体"/>
                <w:kern w:val="0"/>
                <w:sz w:val="20"/>
                <w:szCs w:val="20"/>
              </w:rPr>
            </w:pPr>
            <w:r>
              <w:rPr>
                <w:rFonts w:ascii="黑体" w:eastAsia="黑体" w:hAnsi="黑体" w:hint="eastAsia"/>
                <w:sz w:val="20"/>
                <w:szCs w:val="20"/>
              </w:rPr>
              <w:t>见对方与本机构</w:t>
            </w:r>
            <w:r>
              <w:rPr>
                <w:rFonts w:ascii="黑体" w:eastAsia="黑体" w:hAnsi="黑体" w:hint="eastAsia"/>
                <w:kern w:val="0"/>
                <w:sz w:val="20"/>
                <w:szCs w:val="20"/>
              </w:rPr>
              <w:t>/被代理居民机构/委托人</w:t>
            </w:r>
            <w:r>
              <w:rPr>
                <w:rFonts w:ascii="黑体" w:eastAsia="黑体" w:hAnsi="黑体" w:hint="eastAsia"/>
                <w:sz w:val="20"/>
                <w:szCs w:val="20"/>
              </w:rPr>
              <w:t>的关系代码表。</w:t>
            </w:r>
          </w:p>
        </w:tc>
        <w:tc>
          <w:tcPr>
            <w:tcW w:w="3291" w:type="dxa"/>
            <w:tcBorders>
              <w:top w:val="nil"/>
              <w:left w:val="nil"/>
              <w:bottom w:val="single" w:sz="4" w:space="0" w:color="auto"/>
              <w:right w:val="single" w:sz="4" w:space="0" w:color="auto"/>
            </w:tcBorders>
          </w:tcPr>
          <w:p w14:paraId="7A51E4AC" w14:textId="77777777" w:rsidR="00A052DC" w:rsidRDefault="009F0A60">
            <w:pPr>
              <w:rPr>
                <w:rFonts w:ascii="黑体" w:eastAsia="黑体" w:hAnsi="黑体"/>
                <w:kern w:val="0"/>
                <w:sz w:val="20"/>
                <w:szCs w:val="20"/>
              </w:rPr>
            </w:pPr>
            <w:r>
              <w:rPr>
                <w:rFonts w:ascii="黑体" w:eastAsia="黑体" w:hAnsi="黑体" w:hint="eastAsia"/>
                <w:kern w:val="0"/>
                <w:sz w:val="20"/>
                <w:szCs w:val="20"/>
              </w:rPr>
              <w:t>不需要报送该字段。该字段对应于银行自身外债的境外同业存放、境外联行及附属机构往来、非居民机构存款签约信息中的“对方与本机构/被代理居民机构/委托人的关系”字段。</w:t>
            </w:r>
          </w:p>
        </w:tc>
      </w:tr>
      <w:tr w:rsidR="00A052DC" w14:paraId="7165C7A1" w14:textId="77777777">
        <w:trPr>
          <w:trHeight w:val="735"/>
        </w:trPr>
        <w:tc>
          <w:tcPr>
            <w:tcW w:w="1702" w:type="dxa"/>
            <w:tcBorders>
              <w:top w:val="nil"/>
              <w:left w:val="single" w:sz="4" w:space="0" w:color="auto"/>
              <w:bottom w:val="single" w:sz="4" w:space="0" w:color="auto"/>
              <w:right w:val="single" w:sz="4" w:space="0" w:color="auto"/>
            </w:tcBorders>
            <w:shd w:val="clear" w:color="auto" w:fill="FFFFFF"/>
          </w:tcPr>
          <w:p w14:paraId="51924E1A" w14:textId="77777777" w:rsidR="00A052DC" w:rsidRDefault="009F0A60">
            <w:pPr>
              <w:rPr>
                <w:rFonts w:ascii="黑体" w:eastAsia="黑体" w:hAnsi="黑体"/>
                <w:kern w:val="0"/>
                <w:sz w:val="20"/>
                <w:szCs w:val="20"/>
              </w:rPr>
            </w:pPr>
            <w:r>
              <w:rPr>
                <w:rFonts w:ascii="黑体" w:eastAsia="黑体" w:hAnsi="黑体" w:hint="eastAsia"/>
                <w:kern w:val="0"/>
                <w:sz w:val="20"/>
                <w:szCs w:val="20"/>
              </w:rPr>
              <w:t>原始期限</w:t>
            </w:r>
          </w:p>
        </w:tc>
        <w:tc>
          <w:tcPr>
            <w:tcW w:w="3563" w:type="dxa"/>
            <w:tcBorders>
              <w:top w:val="nil"/>
              <w:left w:val="nil"/>
              <w:bottom w:val="single" w:sz="4" w:space="0" w:color="auto"/>
              <w:right w:val="single" w:sz="4" w:space="0" w:color="auto"/>
            </w:tcBorders>
            <w:shd w:val="clear" w:color="auto" w:fill="auto"/>
          </w:tcPr>
          <w:p w14:paraId="74CB24CB" w14:textId="77777777" w:rsidR="00A052DC" w:rsidRDefault="009F0A60">
            <w:pPr>
              <w:rPr>
                <w:rFonts w:ascii="黑体" w:eastAsia="黑体" w:hAnsi="黑体"/>
                <w:kern w:val="0"/>
                <w:sz w:val="20"/>
                <w:szCs w:val="20"/>
              </w:rPr>
            </w:pPr>
            <w:r>
              <w:rPr>
                <w:rFonts w:ascii="黑体" w:eastAsia="黑体" w:hAnsi="黑体" w:hint="eastAsia"/>
                <w:sz w:val="20"/>
                <w:szCs w:val="20"/>
              </w:rPr>
              <w:t>指存款自初始存入至到期的期限，按以下两种情况填列：1-一年及以下，含活期或不定期；2-一年以上。</w:t>
            </w:r>
          </w:p>
        </w:tc>
        <w:tc>
          <w:tcPr>
            <w:tcW w:w="3291" w:type="dxa"/>
            <w:tcBorders>
              <w:top w:val="nil"/>
              <w:left w:val="nil"/>
              <w:bottom w:val="single" w:sz="4" w:space="0" w:color="auto"/>
              <w:right w:val="single" w:sz="4" w:space="0" w:color="auto"/>
            </w:tcBorders>
          </w:tcPr>
          <w:p w14:paraId="304F686C" w14:textId="77777777" w:rsidR="00A052DC" w:rsidRDefault="009F0A60">
            <w:pPr>
              <w:rPr>
                <w:rFonts w:ascii="黑体" w:eastAsia="黑体" w:hAnsi="黑体"/>
                <w:kern w:val="0"/>
                <w:sz w:val="20"/>
                <w:szCs w:val="20"/>
              </w:rPr>
            </w:pPr>
            <w:r>
              <w:rPr>
                <w:rFonts w:ascii="黑体" w:eastAsia="黑体" w:hAnsi="黑体" w:hint="eastAsia"/>
                <w:kern w:val="0"/>
                <w:sz w:val="20"/>
                <w:szCs w:val="20"/>
              </w:rPr>
              <w:t>不需要报送该字段。该字段对应于银行自身外债的境外同业存放、境外联行及附属机构往来、非居民机构存款签约信息中的“原始期限”字段。</w:t>
            </w:r>
          </w:p>
        </w:tc>
      </w:tr>
      <w:tr w:rsidR="00A052DC" w14:paraId="5C48A3B7" w14:textId="77777777">
        <w:trPr>
          <w:trHeight w:val="735"/>
        </w:trPr>
        <w:tc>
          <w:tcPr>
            <w:tcW w:w="1702" w:type="dxa"/>
            <w:tcBorders>
              <w:top w:val="nil"/>
              <w:left w:val="single" w:sz="4" w:space="0" w:color="auto"/>
              <w:bottom w:val="single" w:sz="4" w:space="0" w:color="auto"/>
              <w:right w:val="single" w:sz="4" w:space="0" w:color="auto"/>
            </w:tcBorders>
            <w:shd w:val="clear" w:color="auto" w:fill="FFFFFF"/>
          </w:tcPr>
          <w:p w14:paraId="68A867DE" w14:textId="77777777" w:rsidR="00A052DC" w:rsidRDefault="009F0A60">
            <w:pPr>
              <w:rPr>
                <w:rFonts w:ascii="黑体" w:eastAsia="黑体" w:hAnsi="黑体"/>
                <w:kern w:val="0"/>
                <w:sz w:val="20"/>
                <w:szCs w:val="20"/>
              </w:rPr>
            </w:pPr>
            <w:r>
              <w:rPr>
                <w:rFonts w:ascii="黑体" w:eastAsia="黑体" w:hAnsi="黑体" w:hint="eastAsia"/>
                <w:kern w:val="0"/>
                <w:sz w:val="20"/>
                <w:szCs w:val="20"/>
              </w:rPr>
              <w:t>原始币种</w:t>
            </w:r>
          </w:p>
        </w:tc>
        <w:tc>
          <w:tcPr>
            <w:tcW w:w="3563" w:type="dxa"/>
            <w:tcBorders>
              <w:top w:val="nil"/>
              <w:left w:val="nil"/>
              <w:bottom w:val="single" w:sz="4" w:space="0" w:color="auto"/>
              <w:right w:val="single" w:sz="4" w:space="0" w:color="auto"/>
            </w:tcBorders>
            <w:shd w:val="clear" w:color="auto" w:fill="auto"/>
          </w:tcPr>
          <w:p w14:paraId="1FA59D92" w14:textId="77777777" w:rsidR="00A052DC" w:rsidRDefault="009F0A60">
            <w:pPr>
              <w:rPr>
                <w:rFonts w:ascii="黑体" w:eastAsia="黑体" w:hAnsi="黑体"/>
                <w:kern w:val="0"/>
                <w:sz w:val="20"/>
                <w:szCs w:val="20"/>
              </w:rPr>
            </w:pPr>
            <w:r>
              <w:rPr>
                <w:rFonts w:ascii="黑体" w:eastAsia="黑体" w:hAnsi="黑体" w:hint="eastAsia"/>
                <w:sz w:val="20"/>
                <w:szCs w:val="20"/>
              </w:rPr>
              <w:t>指存款的记账币种（入账币种）。适用于“上月末本金余额”到“本月利息支出”各项。参见币种代码表。</w:t>
            </w:r>
          </w:p>
        </w:tc>
        <w:tc>
          <w:tcPr>
            <w:tcW w:w="3291" w:type="dxa"/>
            <w:tcBorders>
              <w:top w:val="nil"/>
              <w:left w:val="nil"/>
              <w:bottom w:val="single" w:sz="4" w:space="0" w:color="auto"/>
              <w:right w:val="single" w:sz="4" w:space="0" w:color="auto"/>
            </w:tcBorders>
          </w:tcPr>
          <w:p w14:paraId="2F9AAF6D" w14:textId="77777777" w:rsidR="00A052DC" w:rsidRDefault="009F0A60">
            <w:pPr>
              <w:rPr>
                <w:rFonts w:ascii="黑体" w:eastAsia="黑体" w:hAnsi="黑体"/>
                <w:kern w:val="0"/>
                <w:sz w:val="20"/>
                <w:szCs w:val="20"/>
              </w:rPr>
            </w:pPr>
            <w:r>
              <w:rPr>
                <w:rFonts w:ascii="黑体" w:eastAsia="黑体" w:hAnsi="黑体" w:hint="eastAsia"/>
                <w:kern w:val="0"/>
                <w:sz w:val="20"/>
                <w:szCs w:val="20"/>
              </w:rPr>
              <w:t>不需要报送该字段。该字段对应于银行自身外债的境外同业存放、境外联行及附属机构往来、非居民机构存款签约信息中的“签约币种”字段。</w:t>
            </w:r>
          </w:p>
        </w:tc>
      </w:tr>
      <w:tr w:rsidR="00A052DC" w14:paraId="265D2ED9" w14:textId="77777777">
        <w:trPr>
          <w:trHeight w:val="735"/>
        </w:trPr>
        <w:tc>
          <w:tcPr>
            <w:tcW w:w="1702" w:type="dxa"/>
            <w:tcBorders>
              <w:top w:val="nil"/>
              <w:left w:val="single" w:sz="4" w:space="0" w:color="auto"/>
              <w:bottom w:val="single" w:sz="4" w:space="0" w:color="auto"/>
              <w:right w:val="single" w:sz="4" w:space="0" w:color="auto"/>
            </w:tcBorders>
            <w:shd w:val="clear" w:color="auto" w:fill="FFFFFF"/>
          </w:tcPr>
          <w:p w14:paraId="69BD8961" w14:textId="77777777" w:rsidR="00A052DC" w:rsidRDefault="009F0A60">
            <w:pPr>
              <w:rPr>
                <w:rFonts w:ascii="黑体" w:eastAsia="黑体" w:hAnsi="黑体"/>
                <w:kern w:val="0"/>
                <w:sz w:val="20"/>
                <w:szCs w:val="20"/>
              </w:rPr>
            </w:pPr>
            <w:r>
              <w:rPr>
                <w:rFonts w:ascii="黑体" w:eastAsia="黑体" w:hAnsi="黑体" w:hint="eastAsia"/>
                <w:kern w:val="0"/>
                <w:sz w:val="20"/>
                <w:szCs w:val="20"/>
              </w:rPr>
              <w:t>上月末本金余额</w:t>
            </w:r>
          </w:p>
        </w:tc>
        <w:tc>
          <w:tcPr>
            <w:tcW w:w="3563" w:type="dxa"/>
            <w:tcBorders>
              <w:top w:val="nil"/>
              <w:left w:val="nil"/>
              <w:bottom w:val="single" w:sz="4" w:space="0" w:color="auto"/>
              <w:right w:val="single" w:sz="4" w:space="0" w:color="auto"/>
            </w:tcBorders>
            <w:shd w:val="clear" w:color="auto" w:fill="auto"/>
          </w:tcPr>
          <w:p w14:paraId="274C4FA4" w14:textId="77777777" w:rsidR="00A052DC" w:rsidRDefault="009F0A60">
            <w:pPr>
              <w:rPr>
                <w:rFonts w:ascii="黑体" w:eastAsia="黑体" w:hAnsi="黑体"/>
                <w:kern w:val="0"/>
                <w:sz w:val="20"/>
                <w:szCs w:val="20"/>
              </w:rPr>
            </w:pPr>
            <w:r>
              <w:rPr>
                <w:rFonts w:ascii="黑体" w:eastAsia="黑体" w:hAnsi="黑体" w:hint="eastAsia"/>
                <w:sz w:val="20"/>
                <w:szCs w:val="20"/>
              </w:rPr>
              <w:t>指上月末非居民在本机构存放款项的余额。对于境外同业存放账户发生的透支款项及利息，如无法单独区分，应作为同业存款的一部分填列在本表中。</w:t>
            </w:r>
          </w:p>
        </w:tc>
        <w:tc>
          <w:tcPr>
            <w:tcW w:w="3291" w:type="dxa"/>
            <w:tcBorders>
              <w:top w:val="nil"/>
              <w:left w:val="nil"/>
              <w:bottom w:val="single" w:sz="4" w:space="0" w:color="auto"/>
              <w:right w:val="single" w:sz="4" w:space="0" w:color="auto"/>
            </w:tcBorders>
          </w:tcPr>
          <w:p w14:paraId="359814A8" w14:textId="77777777" w:rsidR="00A052DC" w:rsidRDefault="009F0A60">
            <w:pPr>
              <w:rPr>
                <w:rFonts w:ascii="黑体" w:eastAsia="黑体" w:hAnsi="黑体"/>
                <w:kern w:val="0"/>
                <w:sz w:val="20"/>
                <w:szCs w:val="20"/>
              </w:rPr>
            </w:pPr>
            <w:r>
              <w:rPr>
                <w:rFonts w:ascii="黑体" w:eastAsia="黑体" w:hAnsi="黑体" w:hint="eastAsia"/>
                <w:kern w:val="0"/>
                <w:sz w:val="20"/>
                <w:szCs w:val="20"/>
              </w:rPr>
              <w:t>不需要报送该字段。该字段由外汇局根据银行自身外债的境外同业存放、境外联行及附属机构往来、非居民机构存款三类外债的外债余额信息得到。即每笔外债报告期上月末之前最后一笔余额信息。</w:t>
            </w:r>
          </w:p>
        </w:tc>
      </w:tr>
      <w:tr w:rsidR="00A052DC" w14:paraId="000383E8" w14:textId="77777777">
        <w:trPr>
          <w:trHeight w:val="975"/>
        </w:trPr>
        <w:tc>
          <w:tcPr>
            <w:tcW w:w="1702" w:type="dxa"/>
            <w:tcBorders>
              <w:top w:val="nil"/>
              <w:left w:val="single" w:sz="4" w:space="0" w:color="auto"/>
              <w:bottom w:val="single" w:sz="4" w:space="0" w:color="auto"/>
              <w:right w:val="single" w:sz="4" w:space="0" w:color="auto"/>
            </w:tcBorders>
            <w:shd w:val="clear" w:color="auto" w:fill="auto"/>
          </w:tcPr>
          <w:p w14:paraId="5FDB0F0D" w14:textId="77777777" w:rsidR="00A052DC" w:rsidRDefault="009F0A60">
            <w:pPr>
              <w:rPr>
                <w:rFonts w:ascii="黑体" w:eastAsia="黑体" w:hAnsi="黑体"/>
                <w:kern w:val="0"/>
                <w:sz w:val="20"/>
                <w:szCs w:val="20"/>
              </w:rPr>
            </w:pPr>
            <w:r>
              <w:rPr>
                <w:rFonts w:ascii="黑体" w:eastAsia="黑体" w:hAnsi="黑体" w:hint="eastAsia"/>
                <w:kern w:val="0"/>
                <w:sz w:val="20"/>
                <w:szCs w:val="20"/>
              </w:rPr>
              <w:t>上月末应付利息余额</w:t>
            </w:r>
          </w:p>
        </w:tc>
        <w:tc>
          <w:tcPr>
            <w:tcW w:w="3563" w:type="dxa"/>
            <w:tcBorders>
              <w:top w:val="nil"/>
              <w:left w:val="nil"/>
              <w:bottom w:val="single" w:sz="4" w:space="0" w:color="auto"/>
              <w:right w:val="single" w:sz="4" w:space="0" w:color="auto"/>
            </w:tcBorders>
            <w:shd w:val="clear" w:color="auto" w:fill="auto"/>
          </w:tcPr>
          <w:p w14:paraId="71DD45DA" w14:textId="77777777" w:rsidR="00A052DC" w:rsidRDefault="009F0A60">
            <w:pPr>
              <w:rPr>
                <w:rFonts w:ascii="黑体" w:eastAsia="黑体" w:hAnsi="黑体"/>
                <w:kern w:val="0"/>
                <w:sz w:val="20"/>
                <w:szCs w:val="20"/>
              </w:rPr>
            </w:pPr>
            <w:r>
              <w:rPr>
                <w:rFonts w:ascii="黑体" w:eastAsia="黑体" w:hAnsi="黑体" w:hint="eastAsia"/>
                <w:kern w:val="0"/>
                <w:sz w:val="20"/>
                <w:szCs w:val="20"/>
              </w:rPr>
              <w:t>指上月末本机构因吸收境外同业、境外联行及附属机构、非居民机构存放款项而产生的应付未付利息余额。对于已结转为本金的利息，应纳入本金余额统计，而不纳入应付利息余额统计。</w:t>
            </w:r>
          </w:p>
        </w:tc>
        <w:tc>
          <w:tcPr>
            <w:tcW w:w="3291" w:type="dxa"/>
            <w:tcBorders>
              <w:top w:val="nil"/>
              <w:left w:val="nil"/>
              <w:bottom w:val="single" w:sz="4" w:space="0" w:color="auto"/>
              <w:right w:val="single" w:sz="4" w:space="0" w:color="auto"/>
            </w:tcBorders>
          </w:tcPr>
          <w:p w14:paraId="50CDBE1F" w14:textId="77777777" w:rsidR="00A052DC" w:rsidRDefault="009F0A60">
            <w:pPr>
              <w:rPr>
                <w:rFonts w:ascii="黑体" w:eastAsia="黑体" w:hAnsi="黑体"/>
                <w:kern w:val="0"/>
                <w:sz w:val="20"/>
                <w:szCs w:val="20"/>
              </w:rPr>
            </w:pPr>
            <w:r>
              <w:rPr>
                <w:rFonts w:ascii="黑体" w:eastAsia="黑体" w:hAnsi="黑体" w:hint="eastAsia"/>
                <w:kern w:val="0"/>
                <w:sz w:val="20"/>
                <w:szCs w:val="20"/>
              </w:rPr>
              <w:t>见数据格式和数据字典。</w:t>
            </w:r>
          </w:p>
        </w:tc>
      </w:tr>
      <w:tr w:rsidR="00A052DC" w14:paraId="46065132" w14:textId="77777777">
        <w:trPr>
          <w:trHeight w:val="1215"/>
        </w:trPr>
        <w:tc>
          <w:tcPr>
            <w:tcW w:w="1702" w:type="dxa"/>
            <w:tcBorders>
              <w:top w:val="nil"/>
              <w:left w:val="single" w:sz="4" w:space="0" w:color="auto"/>
              <w:bottom w:val="single" w:sz="4" w:space="0" w:color="auto"/>
              <w:right w:val="single" w:sz="4" w:space="0" w:color="auto"/>
            </w:tcBorders>
            <w:shd w:val="clear" w:color="auto" w:fill="FFFFFF"/>
          </w:tcPr>
          <w:p w14:paraId="21E80A30" w14:textId="77777777" w:rsidR="00A052DC" w:rsidRDefault="009F0A60">
            <w:pPr>
              <w:rPr>
                <w:rFonts w:ascii="黑体" w:eastAsia="黑体" w:hAnsi="黑体"/>
                <w:kern w:val="0"/>
                <w:sz w:val="20"/>
                <w:szCs w:val="20"/>
              </w:rPr>
            </w:pPr>
            <w:r>
              <w:rPr>
                <w:rFonts w:ascii="黑体" w:eastAsia="黑体" w:hAnsi="黑体" w:hint="eastAsia"/>
                <w:kern w:val="0"/>
                <w:sz w:val="20"/>
                <w:szCs w:val="20"/>
              </w:rPr>
              <w:t>本月末本金余额</w:t>
            </w:r>
          </w:p>
        </w:tc>
        <w:tc>
          <w:tcPr>
            <w:tcW w:w="3563" w:type="dxa"/>
            <w:tcBorders>
              <w:top w:val="nil"/>
              <w:left w:val="nil"/>
              <w:bottom w:val="single" w:sz="4" w:space="0" w:color="auto"/>
              <w:right w:val="single" w:sz="4" w:space="0" w:color="auto"/>
            </w:tcBorders>
            <w:shd w:val="clear" w:color="auto" w:fill="auto"/>
          </w:tcPr>
          <w:p w14:paraId="5DDBA20A" w14:textId="77777777" w:rsidR="00A052DC" w:rsidRDefault="009F0A60">
            <w:pPr>
              <w:rPr>
                <w:rFonts w:ascii="黑体" w:eastAsia="黑体" w:hAnsi="黑体"/>
                <w:kern w:val="0"/>
                <w:sz w:val="20"/>
                <w:szCs w:val="20"/>
              </w:rPr>
            </w:pPr>
            <w:r>
              <w:rPr>
                <w:rFonts w:ascii="黑体" w:eastAsia="黑体" w:hAnsi="黑体" w:hint="eastAsia"/>
                <w:sz w:val="20"/>
                <w:szCs w:val="20"/>
              </w:rPr>
              <w:t>指本月末非居民存款主体在本机构存放款项的余额。对于境外同业存放账户发生的透支款项及利息，如无法单独区分，应作为同业存款的一部分填列在本表中。</w:t>
            </w:r>
          </w:p>
        </w:tc>
        <w:tc>
          <w:tcPr>
            <w:tcW w:w="3291" w:type="dxa"/>
            <w:tcBorders>
              <w:top w:val="nil"/>
              <w:left w:val="nil"/>
              <w:bottom w:val="single" w:sz="4" w:space="0" w:color="auto"/>
              <w:right w:val="single" w:sz="4" w:space="0" w:color="auto"/>
            </w:tcBorders>
          </w:tcPr>
          <w:p w14:paraId="4DE42FB0" w14:textId="77777777" w:rsidR="00A052DC" w:rsidRDefault="009F0A60">
            <w:pPr>
              <w:rPr>
                <w:rFonts w:ascii="黑体" w:eastAsia="黑体" w:hAnsi="黑体"/>
                <w:kern w:val="0"/>
                <w:sz w:val="20"/>
                <w:szCs w:val="20"/>
              </w:rPr>
            </w:pPr>
            <w:r>
              <w:rPr>
                <w:rFonts w:ascii="黑体" w:eastAsia="黑体" w:hAnsi="黑体" w:hint="eastAsia"/>
                <w:kern w:val="0"/>
                <w:sz w:val="20"/>
                <w:szCs w:val="20"/>
              </w:rPr>
              <w:t>不需要报送该字段。该字段由外汇局根据银行自身外债的境外同业存放、境外联行及附属机构往来、非居民机构存款三类外债的外债余额信息得到，即每笔外债报告期末之前最后一笔余额信息。</w:t>
            </w:r>
          </w:p>
        </w:tc>
      </w:tr>
      <w:tr w:rsidR="00A052DC" w14:paraId="7FCEB0EE" w14:textId="77777777">
        <w:trPr>
          <w:trHeight w:val="1215"/>
        </w:trPr>
        <w:tc>
          <w:tcPr>
            <w:tcW w:w="1702" w:type="dxa"/>
            <w:tcBorders>
              <w:top w:val="nil"/>
              <w:left w:val="single" w:sz="4" w:space="0" w:color="auto"/>
              <w:bottom w:val="single" w:sz="4" w:space="0" w:color="auto"/>
              <w:right w:val="single" w:sz="4" w:space="0" w:color="auto"/>
            </w:tcBorders>
            <w:shd w:val="clear" w:color="auto" w:fill="auto"/>
          </w:tcPr>
          <w:p w14:paraId="7B65D855" w14:textId="77777777" w:rsidR="00A052DC" w:rsidRDefault="009F0A60">
            <w:pPr>
              <w:rPr>
                <w:rFonts w:ascii="黑体" w:eastAsia="黑体" w:hAnsi="黑体"/>
                <w:kern w:val="0"/>
                <w:sz w:val="20"/>
                <w:szCs w:val="20"/>
              </w:rPr>
            </w:pPr>
            <w:r>
              <w:rPr>
                <w:rFonts w:ascii="黑体" w:eastAsia="黑体" w:hAnsi="黑体" w:hint="eastAsia"/>
                <w:kern w:val="0"/>
                <w:sz w:val="20"/>
                <w:szCs w:val="20"/>
              </w:rPr>
              <w:t>本月末本金余额其中：剩余期限在一年及以下</w:t>
            </w:r>
          </w:p>
        </w:tc>
        <w:tc>
          <w:tcPr>
            <w:tcW w:w="3563" w:type="dxa"/>
            <w:tcBorders>
              <w:top w:val="nil"/>
              <w:left w:val="nil"/>
              <w:bottom w:val="single" w:sz="4" w:space="0" w:color="auto"/>
              <w:right w:val="single" w:sz="4" w:space="0" w:color="auto"/>
            </w:tcBorders>
            <w:shd w:val="clear" w:color="auto" w:fill="auto"/>
          </w:tcPr>
          <w:p w14:paraId="0D2927AC" w14:textId="77777777" w:rsidR="00A052DC" w:rsidRDefault="009F0A60">
            <w:pPr>
              <w:rPr>
                <w:rFonts w:ascii="黑体" w:eastAsia="黑体" w:hAnsi="黑体"/>
                <w:kern w:val="0"/>
                <w:sz w:val="20"/>
                <w:szCs w:val="20"/>
              </w:rPr>
            </w:pPr>
            <w:r>
              <w:rPr>
                <w:rFonts w:ascii="黑体" w:eastAsia="黑体" w:hAnsi="黑体" w:hint="eastAsia"/>
                <w:kern w:val="0"/>
                <w:sz w:val="20"/>
                <w:szCs w:val="20"/>
              </w:rPr>
              <w:t>指自本月末至最终到期在一年及以下的境外同业、境外联行及附属机构、非居民机构在本机构存放款项的余额。对于境外同业存放账户发生的透支款项及利息，如无法单独区分，应纳入剩余期限在一年及以下的同业存款进行统计。</w:t>
            </w:r>
          </w:p>
        </w:tc>
        <w:tc>
          <w:tcPr>
            <w:tcW w:w="3291" w:type="dxa"/>
            <w:tcBorders>
              <w:top w:val="nil"/>
              <w:left w:val="nil"/>
              <w:bottom w:val="single" w:sz="4" w:space="0" w:color="auto"/>
              <w:right w:val="single" w:sz="4" w:space="0" w:color="auto"/>
            </w:tcBorders>
          </w:tcPr>
          <w:p w14:paraId="7EE3AF72" w14:textId="77777777" w:rsidR="00A052DC" w:rsidRDefault="009F0A60">
            <w:pPr>
              <w:rPr>
                <w:rFonts w:ascii="黑体" w:eastAsia="黑体" w:hAnsi="黑体"/>
                <w:kern w:val="0"/>
                <w:sz w:val="20"/>
                <w:szCs w:val="20"/>
              </w:rPr>
            </w:pPr>
            <w:r>
              <w:rPr>
                <w:rFonts w:ascii="黑体" w:eastAsia="黑体" w:hAnsi="黑体" w:hint="eastAsia"/>
                <w:kern w:val="0"/>
                <w:sz w:val="20"/>
                <w:szCs w:val="20"/>
              </w:rPr>
              <w:t>见数据格式和数据字典。</w:t>
            </w:r>
          </w:p>
        </w:tc>
      </w:tr>
      <w:tr w:rsidR="00A052DC" w14:paraId="253FF619" w14:textId="77777777">
        <w:trPr>
          <w:trHeight w:val="975"/>
        </w:trPr>
        <w:tc>
          <w:tcPr>
            <w:tcW w:w="1702" w:type="dxa"/>
            <w:tcBorders>
              <w:top w:val="nil"/>
              <w:left w:val="single" w:sz="4" w:space="0" w:color="auto"/>
              <w:bottom w:val="single" w:sz="4" w:space="0" w:color="auto"/>
              <w:right w:val="single" w:sz="4" w:space="0" w:color="auto"/>
            </w:tcBorders>
            <w:shd w:val="clear" w:color="auto" w:fill="auto"/>
          </w:tcPr>
          <w:p w14:paraId="376698DE" w14:textId="77777777" w:rsidR="00A052DC" w:rsidRDefault="009F0A60">
            <w:pPr>
              <w:rPr>
                <w:rFonts w:ascii="黑体" w:eastAsia="黑体" w:hAnsi="黑体"/>
                <w:kern w:val="0"/>
                <w:sz w:val="20"/>
                <w:szCs w:val="20"/>
              </w:rPr>
            </w:pPr>
            <w:r>
              <w:rPr>
                <w:rFonts w:ascii="黑体" w:eastAsia="黑体" w:hAnsi="黑体" w:hint="eastAsia"/>
                <w:kern w:val="0"/>
                <w:sz w:val="20"/>
                <w:szCs w:val="20"/>
              </w:rPr>
              <w:t>本月末应付利息余额</w:t>
            </w:r>
          </w:p>
        </w:tc>
        <w:tc>
          <w:tcPr>
            <w:tcW w:w="3563" w:type="dxa"/>
            <w:tcBorders>
              <w:top w:val="nil"/>
              <w:left w:val="nil"/>
              <w:bottom w:val="single" w:sz="4" w:space="0" w:color="auto"/>
              <w:right w:val="single" w:sz="4" w:space="0" w:color="auto"/>
            </w:tcBorders>
            <w:shd w:val="clear" w:color="auto" w:fill="auto"/>
          </w:tcPr>
          <w:p w14:paraId="7603409B" w14:textId="77777777" w:rsidR="00A052DC" w:rsidRDefault="009F0A60">
            <w:pPr>
              <w:rPr>
                <w:rFonts w:ascii="黑体" w:eastAsia="黑体" w:hAnsi="黑体"/>
                <w:kern w:val="0"/>
                <w:sz w:val="20"/>
                <w:szCs w:val="20"/>
              </w:rPr>
            </w:pPr>
            <w:r>
              <w:rPr>
                <w:rFonts w:ascii="黑体" w:eastAsia="黑体" w:hAnsi="黑体" w:hint="eastAsia"/>
                <w:kern w:val="0"/>
                <w:sz w:val="20"/>
                <w:szCs w:val="20"/>
              </w:rPr>
              <w:t>指本月末本机构因吸收境外同业、境外联行及附属机构、非居民机构存放款项而产生的应付未付利息余额。对于已结转为本金的利息，应纳入本金余额统计，而不纳入应付利息余额统计。</w:t>
            </w:r>
          </w:p>
        </w:tc>
        <w:tc>
          <w:tcPr>
            <w:tcW w:w="3291" w:type="dxa"/>
            <w:tcBorders>
              <w:top w:val="nil"/>
              <w:left w:val="nil"/>
              <w:bottom w:val="single" w:sz="4" w:space="0" w:color="auto"/>
              <w:right w:val="single" w:sz="4" w:space="0" w:color="auto"/>
            </w:tcBorders>
          </w:tcPr>
          <w:p w14:paraId="75D270D8" w14:textId="77777777" w:rsidR="00A052DC" w:rsidRDefault="009F0A60">
            <w:pPr>
              <w:rPr>
                <w:rFonts w:ascii="黑体" w:eastAsia="黑体" w:hAnsi="黑体"/>
                <w:kern w:val="0"/>
                <w:sz w:val="20"/>
                <w:szCs w:val="20"/>
              </w:rPr>
            </w:pPr>
            <w:r>
              <w:rPr>
                <w:rFonts w:ascii="黑体" w:eastAsia="黑体" w:hAnsi="黑体" w:hint="eastAsia"/>
                <w:kern w:val="0"/>
                <w:sz w:val="20"/>
                <w:szCs w:val="20"/>
              </w:rPr>
              <w:t>见数据格式和数据字典。</w:t>
            </w:r>
          </w:p>
        </w:tc>
      </w:tr>
      <w:tr w:rsidR="00A052DC" w14:paraId="203FDC4B" w14:textId="77777777">
        <w:trPr>
          <w:trHeight w:val="1515"/>
        </w:trPr>
        <w:tc>
          <w:tcPr>
            <w:tcW w:w="1702" w:type="dxa"/>
            <w:tcBorders>
              <w:top w:val="nil"/>
              <w:left w:val="single" w:sz="4" w:space="0" w:color="auto"/>
              <w:bottom w:val="single" w:sz="4" w:space="0" w:color="auto"/>
              <w:right w:val="single" w:sz="4" w:space="0" w:color="auto"/>
            </w:tcBorders>
            <w:shd w:val="clear" w:color="auto" w:fill="FFFFFF"/>
          </w:tcPr>
          <w:p w14:paraId="21D0D8A7" w14:textId="77777777" w:rsidR="00A052DC" w:rsidRDefault="009F0A60">
            <w:pPr>
              <w:rPr>
                <w:rFonts w:ascii="黑体" w:eastAsia="黑体" w:hAnsi="黑体"/>
                <w:kern w:val="0"/>
                <w:sz w:val="20"/>
                <w:szCs w:val="20"/>
              </w:rPr>
            </w:pPr>
            <w:r>
              <w:rPr>
                <w:rFonts w:ascii="黑体" w:eastAsia="黑体" w:hAnsi="黑体" w:hint="eastAsia"/>
                <w:kern w:val="0"/>
                <w:sz w:val="20"/>
                <w:szCs w:val="20"/>
              </w:rPr>
              <w:t>本月非交易变动</w:t>
            </w:r>
          </w:p>
        </w:tc>
        <w:tc>
          <w:tcPr>
            <w:tcW w:w="3563" w:type="dxa"/>
            <w:tcBorders>
              <w:top w:val="nil"/>
              <w:left w:val="nil"/>
              <w:bottom w:val="single" w:sz="4" w:space="0" w:color="auto"/>
              <w:right w:val="single" w:sz="4" w:space="0" w:color="auto"/>
            </w:tcBorders>
            <w:shd w:val="clear" w:color="auto" w:fill="auto"/>
          </w:tcPr>
          <w:p w14:paraId="641441A7" w14:textId="77777777" w:rsidR="00A052DC" w:rsidRDefault="009F0A60">
            <w:pPr>
              <w:rPr>
                <w:rFonts w:ascii="黑体" w:eastAsia="黑体" w:hAnsi="黑体"/>
                <w:kern w:val="0"/>
                <w:sz w:val="20"/>
                <w:szCs w:val="20"/>
              </w:rPr>
            </w:pPr>
            <w:r>
              <w:rPr>
                <w:rFonts w:ascii="黑体" w:eastAsia="黑体" w:hAnsi="黑体" w:hint="eastAsia"/>
                <w:sz w:val="20"/>
                <w:szCs w:val="20"/>
              </w:rPr>
              <w:t>指本月因撤销或注销、重新分类以及所涉主体居民地位改变等因素导致境外主体在本金融机构存放款项变动的净额。</w:t>
            </w:r>
          </w:p>
        </w:tc>
        <w:tc>
          <w:tcPr>
            <w:tcW w:w="3291" w:type="dxa"/>
            <w:tcBorders>
              <w:top w:val="nil"/>
              <w:left w:val="nil"/>
              <w:bottom w:val="single" w:sz="4" w:space="0" w:color="auto"/>
              <w:right w:val="single" w:sz="4" w:space="0" w:color="auto"/>
            </w:tcBorders>
          </w:tcPr>
          <w:p w14:paraId="78278C57" w14:textId="77777777" w:rsidR="00A052DC" w:rsidRDefault="009F0A60">
            <w:pPr>
              <w:rPr>
                <w:rFonts w:ascii="黑体" w:eastAsia="黑体" w:hAnsi="黑体"/>
                <w:kern w:val="0"/>
                <w:sz w:val="20"/>
                <w:szCs w:val="20"/>
              </w:rPr>
            </w:pPr>
            <w:r>
              <w:rPr>
                <w:rFonts w:ascii="黑体" w:eastAsia="黑体" w:hAnsi="黑体" w:hint="eastAsia"/>
                <w:kern w:val="0"/>
                <w:sz w:val="20"/>
                <w:szCs w:val="20"/>
              </w:rPr>
              <w:t>不需要报送该字段。该字段由外汇局根据平衡公式计算得到。</w:t>
            </w:r>
          </w:p>
        </w:tc>
      </w:tr>
      <w:tr w:rsidR="00A052DC" w14:paraId="698A5DD4" w14:textId="77777777">
        <w:trPr>
          <w:trHeight w:val="20"/>
        </w:trPr>
        <w:tc>
          <w:tcPr>
            <w:tcW w:w="1702" w:type="dxa"/>
            <w:tcBorders>
              <w:top w:val="nil"/>
              <w:left w:val="single" w:sz="4" w:space="0" w:color="auto"/>
              <w:bottom w:val="single" w:sz="4" w:space="0" w:color="auto"/>
              <w:right w:val="single" w:sz="4" w:space="0" w:color="auto"/>
            </w:tcBorders>
            <w:shd w:val="clear" w:color="auto" w:fill="FFFFFF"/>
          </w:tcPr>
          <w:p w14:paraId="4CF2F84C" w14:textId="77777777" w:rsidR="00A052DC" w:rsidRDefault="009F0A60">
            <w:pPr>
              <w:rPr>
                <w:rFonts w:ascii="黑体" w:eastAsia="黑体" w:hAnsi="黑体"/>
                <w:kern w:val="0"/>
                <w:sz w:val="20"/>
                <w:szCs w:val="20"/>
              </w:rPr>
            </w:pPr>
            <w:r>
              <w:rPr>
                <w:rFonts w:ascii="黑体" w:eastAsia="黑体" w:hAnsi="黑体" w:hint="eastAsia"/>
                <w:kern w:val="0"/>
                <w:sz w:val="20"/>
                <w:szCs w:val="20"/>
              </w:rPr>
              <w:t>本月净发生额</w:t>
            </w:r>
          </w:p>
        </w:tc>
        <w:tc>
          <w:tcPr>
            <w:tcW w:w="3563" w:type="dxa"/>
            <w:tcBorders>
              <w:top w:val="nil"/>
              <w:left w:val="nil"/>
              <w:bottom w:val="single" w:sz="4" w:space="0" w:color="auto"/>
              <w:right w:val="single" w:sz="4" w:space="0" w:color="auto"/>
            </w:tcBorders>
            <w:shd w:val="clear" w:color="auto" w:fill="auto"/>
          </w:tcPr>
          <w:p w14:paraId="202C474A" w14:textId="77777777" w:rsidR="00A052DC" w:rsidRDefault="009F0A60">
            <w:pPr>
              <w:rPr>
                <w:rFonts w:ascii="黑体" w:eastAsia="黑体" w:hAnsi="黑体"/>
                <w:kern w:val="0"/>
                <w:sz w:val="20"/>
                <w:szCs w:val="20"/>
              </w:rPr>
            </w:pPr>
            <w:r>
              <w:rPr>
                <w:rFonts w:ascii="黑体" w:eastAsia="黑体" w:hAnsi="黑体" w:hint="eastAsia"/>
                <w:kern w:val="0"/>
                <w:sz w:val="20"/>
                <w:szCs w:val="20"/>
              </w:rPr>
              <w:t>指非居民存款主体本月在本机构存放款项的净发生额（境外存放</w:t>
            </w:r>
            <w:r>
              <w:rPr>
                <w:rFonts w:ascii="黑体" w:eastAsia="黑体" w:hAnsi="黑体"/>
                <w:kern w:val="0"/>
                <w:sz w:val="20"/>
                <w:szCs w:val="20"/>
              </w:rPr>
              <w:t>-存款调出），以及应计利息的净发生额。</w:t>
            </w:r>
            <w:r>
              <w:rPr>
                <w:rFonts w:ascii="黑体" w:eastAsia="黑体" w:hAnsi="黑体" w:hint="eastAsia"/>
                <w:kern w:val="0"/>
                <w:sz w:val="20"/>
                <w:szCs w:val="20"/>
              </w:rPr>
              <w:t>正值代表负债的增加，负值代表负债的减少。</w:t>
            </w:r>
          </w:p>
        </w:tc>
        <w:tc>
          <w:tcPr>
            <w:tcW w:w="3291" w:type="dxa"/>
            <w:tcBorders>
              <w:top w:val="nil"/>
              <w:left w:val="nil"/>
              <w:bottom w:val="single" w:sz="4" w:space="0" w:color="auto"/>
              <w:right w:val="single" w:sz="4" w:space="0" w:color="auto"/>
            </w:tcBorders>
          </w:tcPr>
          <w:p w14:paraId="5DB7A6E4" w14:textId="77777777" w:rsidR="00A052DC" w:rsidRDefault="009F0A60">
            <w:pPr>
              <w:rPr>
                <w:rFonts w:ascii="黑体" w:eastAsia="黑体" w:hAnsi="黑体"/>
                <w:kern w:val="0"/>
                <w:sz w:val="20"/>
                <w:szCs w:val="20"/>
              </w:rPr>
            </w:pPr>
            <w:r>
              <w:rPr>
                <w:rFonts w:ascii="黑体" w:eastAsia="黑体" w:hAnsi="黑体" w:hint="eastAsia"/>
                <w:kern w:val="0"/>
                <w:sz w:val="20"/>
                <w:szCs w:val="20"/>
              </w:rPr>
              <w:t>见数据格式和数据字典。</w:t>
            </w:r>
          </w:p>
        </w:tc>
      </w:tr>
      <w:tr w:rsidR="00A052DC" w14:paraId="0007B307" w14:textId="77777777">
        <w:trPr>
          <w:trHeight w:val="495"/>
        </w:trPr>
        <w:tc>
          <w:tcPr>
            <w:tcW w:w="1702" w:type="dxa"/>
            <w:tcBorders>
              <w:top w:val="nil"/>
              <w:left w:val="single" w:sz="4" w:space="0" w:color="auto"/>
              <w:bottom w:val="single" w:sz="4" w:space="0" w:color="auto"/>
              <w:right w:val="single" w:sz="4" w:space="0" w:color="auto"/>
            </w:tcBorders>
            <w:shd w:val="clear" w:color="auto" w:fill="auto"/>
          </w:tcPr>
          <w:p w14:paraId="7C3E8885" w14:textId="77777777" w:rsidR="00A052DC" w:rsidRDefault="009F0A60">
            <w:pPr>
              <w:rPr>
                <w:rFonts w:ascii="黑体" w:eastAsia="黑体" w:hAnsi="黑体"/>
                <w:kern w:val="0"/>
                <w:sz w:val="20"/>
                <w:szCs w:val="20"/>
              </w:rPr>
            </w:pPr>
            <w:r>
              <w:rPr>
                <w:rFonts w:ascii="黑体" w:eastAsia="黑体" w:hAnsi="黑体" w:hint="eastAsia"/>
                <w:kern w:val="0"/>
                <w:sz w:val="20"/>
                <w:szCs w:val="20"/>
              </w:rPr>
              <w:t>本月利息支出</w:t>
            </w:r>
          </w:p>
        </w:tc>
        <w:tc>
          <w:tcPr>
            <w:tcW w:w="3563" w:type="dxa"/>
            <w:tcBorders>
              <w:top w:val="nil"/>
              <w:left w:val="nil"/>
              <w:bottom w:val="single" w:sz="4" w:space="0" w:color="auto"/>
              <w:right w:val="single" w:sz="4" w:space="0" w:color="auto"/>
            </w:tcBorders>
            <w:shd w:val="clear" w:color="auto" w:fill="auto"/>
          </w:tcPr>
          <w:p w14:paraId="060855D9" w14:textId="77777777" w:rsidR="00A052DC" w:rsidRDefault="009F0A60">
            <w:pPr>
              <w:rPr>
                <w:rFonts w:ascii="黑体" w:eastAsia="黑体" w:hAnsi="黑体"/>
                <w:kern w:val="0"/>
                <w:sz w:val="20"/>
                <w:szCs w:val="20"/>
              </w:rPr>
            </w:pPr>
            <w:r>
              <w:rPr>
                <w:rFonts w:ascii="黑体" w:eastAsia="黑体" w:hAnsi="黑体" w:hint="eastAsia"/>
                <w:kern w:val="0"/>
                <w:sz w:val="20"/>
                <w:szCs w:val="20"/>
              </w:rPr>
              <w:t>指本机构会计账上确认的对境外同业、境外联行及附属机构、非居民机构存款利息支出。</w:t>
            </w:r>
          </w:p>
        </w:tc>
        <w:tc>
          <w:tcPr>
            <w:tcW w:w="3291" w:type="dxa"/>
            <w:tcBorders>
              <w:top w:val="nil"/>
              <w:left w:val="nil"/>
              <w:bottom w:val="single" w:sz="4" w:space="0" w:color="auto"/>
              <w:right w:val="single" w:sz="4" w:space="0" w:color="auto"/>
            </w:tcBorders>
          </w:tcPr>
          <w:p w14:paraId="08D21F4E" w14:textId="77777777" w:rsidR="00A052DC" w:rsidRDefault="009F0A60">
            <w:pPr>
              <w:rPr>
                <w:rFonts w:ascii="黑体" w:eastAsia="黑体" w:hAnsi="黑体"/>
                <w:kern w:val="0"/>
                <w:sz w:val="20"/>
                <w:szCs w:val="20"/>
              </w:rPr>
            </w:pPr>
            <w:r>
              <w:rPr>
                <w:rFonts w:ascii="黑体" w:eastAsia="黑体" w:hAnsi="黑体" w:hint="eastAsia"/>
                <w:kern w:val="0"/>
                <w:sz w:val="20"/>
                <w:szCs w:val="20"/>
              </w:rPr>
              <w:t>见数据格式和数据字典。</w:t>
            </w:r>
          </w:p>
        </w:tc>
      </w:tr>
      <w:tr w:rsidR="00A052DC" w14:paraId="3725781F" w14:textId="77777777">
        <w:trPr>
          <w:trHeight w:val="270"/>
        </w:trPr>
        <w:tc>
          <w:tcPr>
            <w:tcW w:w="1702" w:type="dxa"/>
            <w:tcBorders>
              <w:top w:val="nil"/>
              <w:left w:val="single" w:sz="4" w:space="0" w:color="auto"/>
              <w:bottom w:val="single" w:sz="4" w:space="0" w:color="auto"/>
              <w:right w:val="single" w:sz="4" w:space="0" w:color="auto"/>
            </w:tcBorders>
            <w:shd w:val="clear" w:color="auto" w:fill="auto"/>
          </w:tcPr>
          <w:p w14:paraId="426BD628" w14:textId="77777777" w:rsidR="00A052DC" w:rsidRDefault="009F0A60">
            <w:pPr>
              <w:rPr>
                <w:rFonts w:ascii="黑体" w:eastAsia="黑体" w:hAnsi="黑体"/>
                <w:kern w:val="0"/>
                <w:sz w:val="20"/>
                <w:szCs w:val="20"/>
              </w:rPr>
            </w:pPr>
            <w:r>
              <w:rPr>
                <w:rFonts w:ascii="黑体" w:eastAsia="黑体" w:hAnsi="黑体" w:hint="eastAsia"/>
                <w:kern w:val="0"/>
                <w:sz w:val="20"/>
                <w:szCs w:val="20"/>
              </w:rPr>
              <w:t>备注</w:t>
            </w:r>
          </w:p>
        </w:tc>
        <w:tc>
          <w:tcPr>
            <w:tcW w:w="3563" w:type="dxa"/>
            <w:tcBorders>
              <w:top w:val="nil"/>
              <w:left w:val="nil"/>
              <w:bottom w:val="single" w:sz="4" w:space="0" w:color="auto"/>
              <w:right w:val="single" w:sz="4" w:space="0" w:color="auto"/>
            </w:tcBorders>
            <w:shd w:val="clear" w:color="auto" w:fill="auto"/>
          </w:tcPr>
          <w:p w14:paraId="3E03825E" w14:textId="77777777" w:rsidR="00A052DC" w:rsidRDefault="009F0A60">
            <w:pPr>
              <w:rPr>
                <w:rFonts w:ascii="黑体" w:eastAsia="黑体" w:hAnsi="黑体"/>
                <w:kern w:val="0"/>
                <w:sz w:val="20"/>
                <w:szCs w:val="20"/>
              </w:rPr>
            </w:pPr>
            <w:r>
              <w:rPr>
                <w:rFonts w:ascii="黑体" w:eastAsia="黑体" w:hAnsi="黑体" w:hint="eastAsia"/>
                <w:kern w:val="0"/>
                <w:sz w:val="20"/>
                <w:szCs w:val="20"/>
              </w:rPr>
              <w:t>需要说明的备注事项。</w:t>
            </w:r>
          </w:p>
        </w:tc>
        <w:tc>
          <w:tcPr>
            <w:tcW w:w="3291" w:type="dxa"/>
            <w:tcBorders>
              <w:top w:val="nil"/>
              <w:left w:val="nil"/>
              <w:bottom w:val="single" w:sz="4" w:space="0" w:color="auto"/>
              <w:right w:val="single" w:sz="4" w:space="0" w:color="auto"/>
            </w:tcBorders>
          </w:tcPr>
          <w:p w14:paraId="27AD1C5A" w14:textId="77777777" w:rsidR="00A052DC" w:rsidRDefault="00A052DC">
            <w:pPr>
              <w:rPr>
                <w:rFonts w:ascii="黑体" w:eastAsia="黑体" w:hAnsi="黑体"/>
                <w:kern w:val="0"/>
                <w:sz w:val="20"/>
                <w:szCs w:val="20"/>
              </w:rPr>
            </w:pPr>
          </w:p>
        </w:tc>
      </w:tr>
    </w:tbl>
    <w:p w14:paraId="337E056B" w14:textId="77777777" w:rsidR="00A052DC" w:rsidRDefault="00A052DC"/>
    <w:p w14:paraId="04A2B0A4" w14:textId="77777777" w:rsidR="00A052DC" w:rsidRDefault="009F0A60" w:rsidP="0020251D">
      <w:pPr>
        <w:pStyle w:val="4"/>
        <w:numPr>
          <w:ilvl w:val="3"/>
          <w:numId w:val="1"/>
        </w:numPr>
        <w:jc w:val="left"/>
      </w:pPr>
      <w:bookmarkStart w:id="3257" w:name="_Toc454391321"/>
      <w:bookmarkStart w:id="3258" w:name="_Toc380570969"/>
      <w:bookmarkStart w:id="3259" w:name="_Toc454391322"/>
      <w:bookmarkEnd w:id="3257"/>
      <w:r>
        <w:rPr>
          <w:rFonts w:hint="eastAsia"/>
        </w:rPr>
        <w:t>数据格式</w:t>
      </w:r>
      <w:bookmarkEnd w:id="3258"/>
      <w:bookmarkEnd w:id="3259"/>
    </w:p>
    <w:p w14:paraId="705F4417" w14:textId="77777777" w:rsidR="00A052DC" w:rsidRDefault="009F0A60">
      <w:pPr>
        <w:ind w:firstLine="284"/>
      </w:pPr>
      <w:r>
        <w:t>&lt;REC&gt;</w:t>
      </w:r>
    </w:p>
    <w:p w14:paraId="11C40F42" w14:textId="77777777" w:rsidR="00A052DC" w:rsidRDefault="009F0A60">
      <w:pPr>
        <w:ind w:firstLine="284"/>
      </w:pPr>
      <w:r>
        <w:t>&lt;ACTIONTYPE&gt;</w:t>
      </w:r>
      <w:r>
        <w:rPr>
          <w:rFonts w:hAnsi="宋体"/>
        </w:rPr>
        <w:t>操作类型</w:t>
      </w:r>
      <w:r>
        <w:t>&lt;/ACTIONTYPE&gt;</w:t>
      </w:r>
    </w:p>
    <w:p w14:paraId="298A15D8" w14:textId="77777777" w:rsidR="00A052DC" w:rsidRDefault="009F0A60">
      <w:pPr>
        <w:ind w:firstLine="284"/>
      </w:pPr>
      <w:r>
        <w:t>&lt;ACTIONDESC&gt;</w:t>
      </w:r>
      <w:r>
        <w:rPr>
          <w:rFonts w:hAnsi="宋体"/>
        </w:rPr>
        <w:t>删除原因</w:t>
      </w:r>
      <w:r>
        <w:t>&lt;/ACTIONDESC&gt;</w:t>
      </w:r>
    </w:p>
    <w:p w14:paraId="3174C228" w14:textId="77777777" w:rsidR="00A052DC" w:rsidRDefault="009F0A60">
      <w:pPr>
        <w:ind w:firstLine="284"/>
      </w:pPr>
      <w:r>
        <w:t>&lt;SNOCODE&gt;</w:t>
      </w:r>
      <w:r>
        <w:rPr>
          <w:rFonts w:hAnsi="宋体"/>
        </w:rPr>
        <w:t>数据自编码</w:t>
      </w:r>
      <w:r>
        <w:t>&lt;/SNOCODE&gt;</w:t>
      </w:r>
    </w:p>
    <w:p w14:paraId="67494555" w14:textId="77777777" w:rsidR="00A052DC" w:rsidRDefault="009F0A60">
      <w:pPr>
        <w:ind w:firstLine="284"/>
      </w:pPr>
      <w:r>
        <w:t>&lt;OBJCODE&gt;</w:t>
      </w:r>
      <w:r>
        <w:rPr>
          <w:rFonts w:hAnsi="宋体"/>
        </w:rPr>
        <w:t>申报主体代码</w:t>
      </w:r>
      <w:r>
        <w:t>&lt;/OBJCODE&gt;</w:t>
      </w:r>
    </w:p>
    <w:p w14:paraId="00F5AEB1" w14:textId="77777777" w:rsidR="00A052DC" w:rsidRDefault="009F0A60">
      <w:pPr>
        <w:ind w:firstLine="284"/>
      </w:pPr>
      <w:r>
        <w:t>&lt;BUOCMONTH&gt;</w:t>
      </w:r>
      <w:r>
        <w:rPr>
          <w:rFonts w:hAnsi="宋体"/>
        </w:rPr>
        <w:t>报告期</w:t>
      </w:r>
      <w:r>
        <w:t>&lt;/BUOCMONTH&gt;</w:t>
      </w:r>
    </w:p>
    <w:p w14:paraId="6C3B637C" w14:textId="77777777" w:rsidR="00A052DC" w:rsidRDefault="009F0A60">
      <w:pPr>
        <w:ind w:firstLine="284"/>
      </w:pPr>
      <w:r>
        <w:t>&lt;EXDEBTCODE&gt;</w:t>
      </w:r>
      <w:r>
        <w:rPr>
          <w:rFonts w:hAnsi="宋体"/>
        </w:rPr>
        <w:t>外债编号</w:t>
      </w:r>
      <w:r>
        <w:t>&lt;/EXDEBTCODE&gt;</w:t>
      </w:r>
    </w:p>
    <w:p w14:paraId="3D648C2D" w14:textId="77777777" w:rsidR="00A052DC" w:rsidRDefault="009F0A60">
      <w:pPr>
        <w:ind w:firstLine="284"/>
      </w:pPr>
      <w:r>
        <w:t>&lt;D0508&gt;</w:t>
      </w:r>
      <w:r>
        <w:rPr>
          <w:rFonts w:hAnsi="宋体"/>
        </w:rPr>
        <w:t>上月末应付利息余额</w:t>
      </w:r>
      <w:r>
        <w:t>&lt;/D0508&gt;</w:t>
      </w:r>
    </w:p>
    <w:p w14:paraId="55627097" w14:textId="77777777" w:rsidR="00A052DC" w:rsidRDefault="009F0A60">
      <w:pPr>
        <w:ind w:firstLine="284"/>
      </w:pPr>
      <w:r>
        <w:t>&lt;D0510&gt;</w:t>
      </w:r>
      <w:r>
        <w:rPr>
          <w:rFonts w:hAnsi="宋体"/>
        </w:rPr>
        <w:t>本月末本金余额其中：剩余期限在一年及以下</w:t>
      </w:r>
      <w:r>
        <w:t>&lt;/D0510&gt;</w:t>
      </w:r>
    </w:p>
    <w:p w14:paraId="3C862D51" w14:textId="77777777" w:rsidR="00A052DC" w:rsidRDefault="009F0A60">
      <w:pPr>
        <w:ind w:firstLine="284"/>
      </w:pPr>
      <w:r>
        <w:t>&lt;D0511&gt;</w:t>
      </w:r>
      <w:r>
        <w:rPr>
          <w:rFonts w:hAnsi="宋体"/>
        </w:rPr>
        <w:t>本月末应付利息余额</w:t>
      </w:r>
      <w:r>
        <w:t>&lt;/D0511&gt;</w:t>
      </w:r>
    </w:p>
    <w:p w14:paraId="02855BD0" w14:textId="77777777" w:rsidR="00A052DC" w:rsidRDefault="009F0A60">
      <w:pPr>
        <w:ind w:firstLine="284"/>
      </w:pPr>
      <w:r>
        <w:t>&lt;D0513&gt;</w:t>
      </w:r>
      <w:r>
        <w:rPr>
          <w:rFonts w:hAnsi="宋体"/>
        </w:rPr>
        <w:t>本月净发生额</w:t>
      </w:r>
      <w:r>
        <w:t>&lt;/D0513&gt;</w:t>
      </w:r>
    </w:p>
    <w:p w14:paraId="511FF6CE" w14:textId="77777777" w:rsidR="00A052DC" w:rsidRDefault="009F0A60">
      <w:pPr>
        <w:ind w:firstLine="284"/>
      </w:pPr>
      <w:r>
        <w:t>&lt;D0514&gt;</w:t>
      </w:r>
      <w:r>
        <w:rPr>
          <w:rFonts w:hAnsi="宋体"/>
        </w:rPr>
        <w:t>本月利息支出</w:t>
      </w:r>
      <w:r>
        <w:t>&lt;/D0514&gt;</w:t>
      </w:r>
    </w:p>
    <w:p w14:paraId="524C182D" w14:textId="77777777" w:rsidR="00A052DC" w:rsidRDefault="009F0A60">
      <w:pPr>
        <w:ind w:firstLine="284"/>
      </w:pPr>
      <w:r>
        <w:t>&lt;REMARK&gt;</w:t>
      </w:r>
      <w:r>
        <w:rPr>
          <w:rFonts w:hAnsi="宋体"/>
        </w:rPr>
        <w:t>备注</w:t>
      </w:r>
      <w:r>
        <w:t>&lt;/REMARK&gt;</w:t>
      </w:r>
    </w:p>
    <w:p w14:paraId="4C4850EF" w14:textId="77777777" w:rsidR="00A052DC" w:rsidRDefault="009F0A60">
      <w:pPr>
        <w:ind w:firstLine="284"/>
      </w:pPr>
      <w:r>
        <w:t>&lt;/REC&gt;</w:t>
      </w:r>
    </w:p>
    <w:p w14:paraId="0D55D1D2" w14:textId="77777777" w:rsidR="00A052DC" w:rsidRDefault="009F0A60" w:rsidP="0020251D">
      <w:pPr>
        <w:pStyle w:val="4"/>
        <w:numPr>
          <w:ilvl w:val="3"/>
          <w:numId w:val="1"/>
        </w:numPr>
        <w:jc w:val="left"/>
      </w:pPr>
      <w:bookmarkStart w:id="3260" w:name="_Toc380570970"/>
      <w:bookmarkStart w:id="3261" w:name="_Toc454391323"/>
      <w:r>
        <w:rPr>
          <w:rFonts w:hint="eastAsia"/>
        </w:rPr>
        <w:t>数据字典</w:t>
      </w:r>
      <w:bookmarkEnd w:id="3260"/>
      <w:bookmarkEnd w:id="3261"/>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127"/>
        <w:gridCol w:w="1417"/>
        <w:gridCol w:w="3827"/>
      </w:tblGrid>
      <w:tr w:rsidR="00A052DC" w14:paraId="17C95E7B" w14:textId="77777777">
        <w:trPr>
          <w:tblHeader/>
        </w:trPr>
        <w:tc>
          <w:tcPr>
            <w:tcW w:w="1242" w:type="dxa"/>
            <w:shd w:val="clear" w:color="auto" w:fill="C0C0C0"/>
          </w:tcPr>
          <w:p w14:paraId="305F1578" w14:textId="77777777" w:rsidR="00A052DC" w:rsidRDefault="009F0A60">
            <w:pPr>
              <w:jc w:val="center"/>
              <w:rPr>
                <w:rFonts w:ascii="黑体" w:eastAsia="黑体" w:hAnsi="黑体"/>
                <w:b/>
                <w:sz w:val="20"/>
                <w:szCs w:val="20"/>
              </w:rPr>
            </w:pPr>
            <w:r>
              <w:rPr>
                <w:rFonts w:ascii="黑体" w:eastAsia="黑体" w:hAnsi="黑体" w:hint="eastAsia"/>
                <w:b/>
                <w:sz w:val="20"/>
                <w:szCs w:val="20"/>
              </w:rPr>
              <w:t>字段</w:t>
            </w:r>
          </w:p>
        </w:tc>
        <w:tc>
          <w:tcPr>
            <w:tcW w:w="2127" w:type="dxa"/>
            <w:shd w:val="clear" w:color="auto" w:fill="C0C0C0"/>
          </w:tcPr>
          <w:p w14:paraId="4AC76E91" w14:textId="77777777" w:rsidR="00A052DC" w:rsidRDefault="009F0A60">
            <w:pPr>
              <w:jc w:val="center"/>
              <w:rPr>
                <w:rFonts w:ascii="黑体" w:eastAsia="黑体" w:hAnsi="黑体"/>
                <w:b/>
                <w:sz w:val="20"/>
                <w:szCs w:val="20"/>
              </w:rPr>
            </w:pPr>
            <w:r>
              <w:rPr>
                <w:rFonts w:ascii="黑体" w:eastAsia="黑体" w:hAnsi="黑体" w:hint="eastAsia"/>
                <w:b/>
                <w:sz w:val="20"/>
                <w:szCs w:val="20"/>
              </w:rPr>
              <w:t>内容</w:t>
            </w:r>
          </w:p>
        </w:tc>
        <w:tc>
          <w:tcPr>
            <w:tcW w:w="1417" w:type="dxa"/>
            <w:shd w:val="clear" w:color="auto" w:fill="C0C0C0"/>
          </w:tcPr>
          <w:p w14:paraId="5FE97F93" w14:textId="77777777" w:rsidR="00A052DC" w:rsidRDefault="009F0A60">
            <w:pPr>
              <w:jc w:val="center"/>
              <w:rPr>
                <w:rFonts w:ascii="黑体" w:eastAsia="黑体" w:hAnsi="黑体"/>
                <w:b/>
                <w:sz w:val="20"/>
                <w:szCs w:val="20"/>
              </w:rPr>
            </w:pPr>
            <w:r>
              <w:rPr>
                <w:rFonts w:ascii="黑体" w:eastAsia="黑体" w:hAnsi="黑体" w:hint="eastAsia"/>
                <w:b/>
                <w:sz w:val="20"/>
                <w:szCs w:val="20"/>
              </w:rPr>
              <w:t>类型（长度）</w:t>
            </w:r>
          </w:p>
        </w:tc>
        <w:tc>
          <w:tcPr>
            <w:tcW w:w="3827" w:type="dxa"/>
            <w:shd w:val="clear" w:color="auto" w:fill="C0C0C0"/>
          </w:tcPr>
          <w:p w14:paraId="1BD00E82" w14:textId="77777777" w:rsidR="00A052DC" w:rsidRDefault="009F0A60">
            <w:pPr>
              <w:jc w:val="center"/>
              <w:rPr>
                <w:rFonts w:ascii="黑体" w:eastAsia="黑体" w:hAnsi="黑体"/>
                <w:b/>
                <w:sz w:val="20"/>
                <w:szCs w:val="20"/>
              </w:rPr>
            </w:pPr>
            <w:r>
              <w:rPr>
                <w:rFonts w:ascii="黑体" w:eastAsia="黑体" w:hAnsi="黑体" w:hint="eastAsia"/>
                <w:b/>
                <w:sz w:val="20"/>
                <w:szCs w:val="20"/>
              </w:rPr>
              <w:t>校验</w:t>
            </w:r>
          </w:p>
        </w:tc>
      </w:tr>
      <w:tr w:rsidR="00A052DC" w14:paraId="20FFA415" w14:textId="77777777">
        <w:tc>
          <w:tcPr>
            <w:tcW w:w="1242" w:type="dxa"/>
          </w:tcPr>
          <w:p w14:paraId="233A5294" w14:textId="77777777" w:rsidR="00A052DC" w:rsidRDefault="009F0A60">
            <w:pPr>
              <w:rPr>
                <w:rFonts w:ascii="黑体" w:eastAsia="黑体" w:hAnsi="黑体"/>
                <w:sz w:val="20"/>
                <w:szCs w:val="20"/>
              </w:rPr>
            </w:pPr>
            <w:r>
              <w:rPr>
                <w:rFonts w:ascii="黑体" w:eastAsia="黑体" w:hAnsi="黑体" w:hint="eastAsia"/>
                <w:sz w:val="20"/>
                <w:szCs w:val="20"/>
              </w:rPr>
              <w:t>ACTIONTYPE</w:t>
            </w:r>
          </w:p>
        </w:tc>
        <w:tc>
          <w:tcPr>
            <w:tcW w:w="2127" w:type="dxa"/>
          </w:tcPr>
          <w:p w14:paraId="0F7EAC98" w14:textId="77777777" w:rsidR="00A052DC" w:rsidRDefault="009F0A60">
            <w:pPr>
              <w:rPr>
                <w:rFonts w:ascii="黑体" w:eastAsia="黑体" w:hAnsi="黑体"/>
                <w:sz w:val="20"/>
                <w:szCs w:val="20"/>
              </w:rPr>
            </w:pPr>
            <w:r>
              <w:rPr>
                <w:rFonts w:ascii="黑体" w:eastAsia="黑体" w:hAnsi="黑体" w:hint="eastAsia"/>
                <w:sz w:val="20"/>
                <w:szCs w:val="20"/>
              </w:rPr>
              <w:t>操作类型</w:t>
            </w:r>
          </w:p>
        </w:tc>
        <w:tc>
          <w:tcPr>
            <w:tcW w:w="1417" w:type="dxa"/>
          </w:tcPr>
          <w:p w14:paraId="09AFF8DF" w14:textId="77777777" w:rsidR="00A052DC" w:rsidRDefault="009F0A60">
            <w:pPr>
              <w:rPr>
                <w:rFonts w:ascii="黑体" w:eastAsia="黑体" w:hAnsi="黑体"/>
                <w:sz w:val="20"/>
                <w:szCs w:val="20"/>
              </w:rPr>
            </w:pPr>
            <w:r>
              <w:rPr>
                <w:rFonts w:ascii="黑体" w:eastAsia="黑体" w:hAnsi="黑体" w:hint="eastAsia"/>
                <w:sz w:val="20"/>
                <w:szCs w:val="20"/>
              </w:rPr>
              <w:t>字符型，1</w:t>
            </w:r>
          </w:p>
        </w:tc>
        <w:tc>
          <w:tcPr>
            <w:tcW w:w="3827" w:type="dxa"/>
          </w:tcPr>
          <w:p w14:paraId="3EEB3896" w14:textId="77777777" w:rsidR="00A052DC" w:rsidRDefault="009F0A60">
            <w:pPr>
              <w:rPr>
                <w:rFonts w:ascii="黑体" w:eastAsia="黑体" w:hAnsi="黑体"/>
                <w:sz w:val="20"/>
                <w:szCs w:val="20"/>
              </w:rPr>
            </w:pPr>
            <w:r>
              <w:rPr>
                <w:rFonts w:ascii="黑体" w:eastAsia="黑体" w:hAnsi="黑体" w:hint="eastAsia"/>
                <w:sz w:val="20"/>
                <w:szCs w:val="20"/>
              </w:rPr>
              <w:t>必填项</w:t>
            </w:r>
            <w:r w:rsidR="004D1828">
              <w:rPr>
                <w:rFonts w:ascii="黑体" w:eastAsia="黑体" w:hAnsi="黑体" w:hint="eastAsia"/>
                <w:sz w:val="20"/>
                <w:szCs w:val="20"/>
              </w:rPr>
              <w:t>。</w:t>
            </w:r>
          </w:p>
          <w:p w14:paraId="60E6A776" w14:textId="77777777" w:rsidR="00A052DC" w:rsidRDefault="009F0A60">
            <w:pPr>
              <w:rPr>
                <w:rFonts w:ascii="黑体" w:eastAsia="黑体" w:hAnsi="黑体"/>
                <w:sz w:val="20"/>
                <w:szCs w:val="20"/>
              </w:rPr>
            </w:pPr>
            <w:r>
              <w:rPr>
                <w:rFonts w:ascii="黑体" w:eastAsia="黑体" w:hAnsi="黑体" w:hint="eastAsia"/>
                <w:sz w:val="20"/>
                <w:szCs w:val="20"/>
              </w:rPr>
              <w:t>A</w:t>
            </w:r>
            <w:r w:rsidR="00AE4602">
              <w:rPr>
                <w:rFonts w:ascii="黑体" w:eastAsia="黑体" w:hAnsi="黑体" w:hint="eastAsia"/>
                <w:sz w:val="20"/>
                <w:szCs w:val="20"/>
              </w:rPr>
              <w:t>-</w:t>
            </w:r>
            <w:r>
              <w:rPr>
                <w:rFonts w:ascii="黑体" w:eastAsia="黑体" w:hAnsi="黑体" w:hint="eastAsia"/>
                <w:sz w:val="20"/>
                <w:szCs w:val="20"/>
              </w:rPr>
              <w:t>新建</w:t>
            </w:r>
          </w:p>
          <w:p w14:paraId="0BB332F6" w14:textId="77777777" w:rsidR="00A052DC" w:rsidRDefault="009F0A60">
            <w:pPr>
              <w:rPr>
                <w:rFonts w:ascii="黑体" w:eastAsia="黑体" w:hAnsi="黑体"/>
                <w:sz w:val="20"/>
                <w:szCs w:val="20"/>
              </w:rPr>
            </w:pPr>
            <w:r>
              <w:rPr>
                <w:rFonts w:ascii="黑体" w:eastAsia="黑体" w:hAnsi="黑体" w:hint="eastAsia"/>
                <w:sz w:val="20"/>
                <w:szCs w:val="20"/>
              </w:rPr>
              <w:t>C</w:t>
            </w:r>
            <w:r w:rsidR="00AE4602">
              <w:rPr>
                <w:rFonts w:ascii="黑体" w:eastAsia="黑体" w:hAnsi="黑体" w:hint="eastAsia"/>
                <w:sz w:val="20"/>
                <w:szCs w:val="20"/>
              </w:rPr>
              <w:t>-</w:t>
            </w:r>
            <w:r>
              <w:rPr>
                <w:rFonts w:ascii="黑体" w:eastAsia="黑体" w:hAnsi="黑体" w:hint="eastAsia"/>
                <w:sz w:val="20"/>
                <w:szCs w:val="20"/>
              </w:rPr>
              <w:t>修改</w:t>
            </w:r>
          </w:p>
          <w:p w14:paraId="74B6B9B7" w14:textId="77777777" w:rsidR="00A052DC" w:rsidRDefault="009F0A60">
            <w:pPr>
              <w:rPr>
                <w:rFonts w:ascii="黑体" w:eastAsia="黑体" w:hAnsi="黑体"/>
                <w:sz w:val="20"/>
                <w:szCs w:val="20"/>
              </w:rPr>
            </w:pPr>
            <w:r>
              <w:rPr>
                <w:rFonts w:ascii="黑体" w:eastAsia="黑体" w:hAnsi="黑体" w:hint="eastAsia"/>
                <w:sz w:val="20"/>
                <w:szCs w:val="20"/>
              </w:rPr>
              <w:t>D</w:t>
            </w:r>
            <w:r w:rsidR="00AE4602">
              <w:rPr>
                <w:rFonts w:ascii="黑体" w:eastAsia="黑体" w:hAnsi="黑体" w:hint="eastAsia"/>
                <w:sz w:val="20"/>
                <w:szCs w:val="20"/>
              </w:rPr>
              <w:t>-</w:t>
            </w:r>
            <w:r>
              <w:rPr>
                <w:rFonts w:ascii="黑体" w:eastAsia="黑体" w:hAnsi="黑体" w:hint="eastAsia"/>
                <w:sz w:val="20"/>
                <w:szCs w:val="20"/>
              </w:rPr>
              <w:t>删除</w:t>
            </w:r>
          </w:p>
        </w:tc>
      </w:tr>
      <w:tr w:rsidR="00A052DC" w14:paraId="0C1C5C65" w14:textId="77777777">
        <w:tc>
          <w:tcPr>
            <w:tcW w:w="1242" w:type="dxa"/>
          </w:tcPr>
          <w:p w14:paraId="0A468430" w14:textId="77777777" w:rsidR="00A052DC" w:rsidRDefault="009F0A60">
            <w:pPr>
              <w:rPr>
                <w:rFonts w:ascii="黑体" w:eastAsia="黑体" w:hAnsi="黑体"/>
                <w:sz w:val="20"/>
                <w:szCs w:val="20"/>
              </w:rPr>
            </w:pPr>
            <w:r>
              <w:rPr>
                <w:rFonts w:ascii="黑体" w:eastAsia="黑体" w:hAnsi="黑体" w:hint="eastAsia"/>
                <w:sz w:val="20"/>
                <w:szCs w:val="20"/>
              </w:rPr>
              <w:t>ACTIONDESC</w:t>
            </w:r>
          </w:p>
        </w:tc>
        <w:tc>
          <w:tcPr>
            <w:tcW w:w="2127" w:type="dxa"/>
          </w:tcPr>
          <w:p w14:paraId="4E49CEA6" w14:textId="77777777" w:rsidR="00A052DC" w:rsidRDefault="009F0A60">
            <w:pPr>
              <w:rPr>
                <w:rFonts w:ascii="黑体" w:eastAsia="黑体" w:hAnsi="黑体"/>
                <w:sz w:val="20"/>
                <w:szCs w:val="20"/>
              </w:rPr>
            </w:pPr>
            <w:r>
              <w:rPr>
                <w:rFonts w:ascii="黑体" w:eastAsia="黑体" w:hAnsi="黑体" w:hint="eastAsia"/>
                <w:sz w:val="20"/>
                <w:szCs w:val="20"/>
              </w:rPr>
              <w:t>删除原因</w:t>
            </w:r>
          </w:p>
        </w:tc>
        <w:tc>
          <w:tcPr>
            <w:tcW w:w="1417" w:type="dxa"/>
          </w:tcPr>
          <w:p w14:paraId="00898C67"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3827" w:type="dxa"/>
          </w:tcPr>
          <w:p w14:paraId="37DBF395" w14:textId="77777777" w:rsidR="00A052DC" w:rsidRDefault="00DD6AA3">
            <w:pPr>
              <w:rPr>
                <w:rFonts w:ascii="黑体" w:eastAsia="黑体" w:hAnsi="黑体"/>
                <w:sz w:val="20"/>
                <w:szCs w:val="20"/>
              </w:rPr>
            </w:pPr>
            <w:r>
              <w:rPr>
                <w:rFonts w:ascii="黑体" w:eastAsia="黑体" w:hAnsi="黑体" w:hint="eastAsia"/>
                <w:sz w:val="20"/>
                <w:szCs w:val="20"/>
              </w:rPr>
              <w:t>非必填项，当操作类型（ACTIONTYPE）为删除时必填。</w:t>
            </w:r>
          </w:p>
        </w:tc>
      </w:tr>
      <w:tr w:rsidR="00A052DC" w14:paraId="25455CBE" w14:textId="77777777">
        <w:tc>
          <w:tcPr>
            <w:tcW w:w="1242" w:type="dxa"/>
          </w:tcPr>
          <w:p w14:paraId="371155A6" w14:textId="77777777" w:rsidR="00A052DC" w:rsidRDefault="009F0A60">
            <w:pPr>
              <w:rPr>
                <w:rFonts w:ascii="黑体" w:eastAsia="黑体" w:hAnsi="黑体"/>
                <w:sz w:val="20"/>
                <w:szCs w:val="20"/>
              </w:rPr>
            </w:pPr>
            <w:r>
              <w:rPr>
                <w:rFonts w:ascii="黑体" w:eastAsia="黑体" w:hAnsi="黑体" w:hint="eastAsia"/>
                <w:sz w:val="20"/>
                <w:szCs w:val="20"/>
              </w:rPr>
              <w:t>SNOCODE</w:t>
            </w:r>
          </w:p>
        </w:tc>
        <w:tc>
          <w:tcPr>
            <w:tcW w:w="2127" w:type="dxa"/>
          </w:tcPr>
          <w:p w14:paraId="2F0F9BAB" w14:textId="77777777" w:rsidR="00A052DC" w:rsidRDefault="009F0A60">
            <w:pPr>
              <w:rPr>
                <w:rFonts w:ascii="黑体" w:eastAsia="黑体" w:hAnsi="黑体"/>
                <w:sz w:val="20"/>
                <w:szCs w:val="20"/>
              </w:rPr>
            </w:pPr>
            <w:r>
              <w:rPr>
                <w:rFonts w:ascii="黑体" w:eastAsia="黑体" w:hAnsi="黑体" w:hint="eastAsia"/>
                <w:sz w:val="20"/>
                <w:szCs w:val="20"/>
              </w:rPr>
              <w:t>数据自编码</w:t>
            </w:r>
          </w:p>
        </w:tc>
        <w:tc>
          <w:tcPr>
            <w:tcW w:w="1417" w:type="dxa"/>
          </w:tcPr>
          <w:p w14:paraId="04D3CB36" w14:textId="77777777" w:rsidR="00A052DC" w:rsidRDefault="009F0A60">
            <w:pPr>
              <w:rPr>
                <w:rFonts w:ascii="黑体" w:eastAsia="黑体" w:hAnsi="黑体"/>
                <w:sz w:val="20"/>
                <w:szCs w:val="20"/>
              </w:rPr>
            </w:pPr>
            <w:r>
              <w:rPr>
                <w:rFonts w:ascii="黑体" w:eastAsia="黑体" w:hAnsi="黑体" w:hint="eastAsia"/>
                <w:sz w:val="20"/>
                <w:szCs w:val="20"/>
              </w:rPr>
              <w:t>字符型，36</w:t>
            </w:r>
          </w:p>
        </w:tc>
        <w:tc>
          <w:tcPr>
            <w:tcW w:w="3827" w:type="dxa"/>
          </w:tcPr>
          <w:p w14:paraId="4C279329" w14:textId="77777777" w:rsidR="00A052DC" w:rsidRDefault="009F0A60">
            <w:pPr>
              <w:rPr>
                <w:rFonts w:ascii="黑体" w:eastAsia="黑体" w:hAnsi="黑体"/>
                <w:sz w:val="20"/>
                <w:szCs w:val="20"/>
              </w:rPr>
            </w:pPr>
            <w:r>
              <w:rPr>
                <w:rFonts w:ascii="黑体" w:eastAsia="黑体" w:hAnsi="黑体" w:hint="eastAsia"/>
                <w:sz w:val="20"/>
                <w:szCs w:val="20"/>
              </w:rPr>
              <w:t>必填项。</w:t>
            </w:r>
            <w:r>
              <w:rPr>
                <w:rFonts w:ascii="黑体" w:eastAsia="黑体" w:hAnsi="黑体"/>
                <w:sz w:val="20"/>
                <w:szCs w:val="20"/>
              </w:rPr>
              <w:t>对于接口报送的填报主体，数据自编码中的报送期（6位）应与报告期（YYYYMM）一致。</w:t>
            </w:r>
          </w:p>
        </w:tc>
      </w:tr>
      <w:tr w:rsidR="00A052DC" w14:paraId="3570412C" w14:textId="77777777">
        <w:tc>
          <w:tcPr>
            <w:tcW w:w="1242" w:type="dxa"/>
          </w:tcPr>
          <w:p w14:paraId="7103BE7C" w14:textId="77777777" w:rsidR="00A052DC" w:rsidRDefault="009F0A60">
            <w:pPr>
              <w:rPr>
                <w:rFonts w:ascii="黑体" w:eastAsia="黑体" w:hAnsi="黑体"/>
                <w:sz w:val="20"/>
                <w:szCs w:val="20"/>
              </w:rPr>
            </w:pPr>
            <w:r>
              <w:rPr>
                <w:rFonts w:ascii="黑体" w:eastAsia="黑体" w:hAnsi="黑体" w:hint="eastAsia"/>
                <w:sz w:val="20"/>
                <w:szCs w:val="20"/>
              </w:rPr>
              <w:t>OBJCODE</w:t>
            </w:r>
          </w:p>
        </w:tc>
        <w:tc>
          <w:tcPr>
            <w:tcW w:w="2127" w:type="dxa"/>
          </w:tcPr>
          <w:p w14:paraId="37AF969B" w14:textId="77777777" w:rsidR="00A052DC" w:rsidRDefault="009F0A60">
            <w:pPr>
              <w:rPr>
                <w:rFonts w:ascii="黑体" w:eastAsia="黑体" w:hAnsi="黑体"/>
                <w:sz w:val="20"/>
                <w:szCs w:val="20"/>
              </w:rPr>
            </w:pPr>
            <w:r>
              <w:rPr>
                <w:rFonts w:ascii="黑体" w:eastAsia="黑体" w:hAnsi="黑体" w:hint="eastAsia"/>
                <w:sz w:val="20"/>
                <w:szCs w:val="20"/>
              </w:rPr>
              <w:t>申报主体代码</w:t>
            </w:r>
          </w:p>
        </w:tc>
        <w:tc>
          <w:tcPr>
            <w:tcW w:w="1417" w:type="dxa"/>
          </w:tcPr>
          <w:p w14:paraId="66318003" w14:textId="77777777" w:rsidR="00A052DC" w:rsidRDefault="009F0A60">
            <w:pPr>
              <w:rPr>
                <w:rFonts w:ascii="黑体" w:eastAsia="黑体" w:hAnsi="黑体"/>
                <w:sz w:val="20"/>
                <w:szCs w:val="20"/>
              </w:rPr>
            </w:pPr>
            <w:r>
              <w:rPr>
                <w:rFonts w:ascii="黑体" w:eastAsia="黑体" w:hAnsi="黑体" w:hint="eastAsia"/>
                <w:sz w:val="20"/>
                <w:szCs w:val="20"/>
              </w:rPr>
              <w:t>字符型，18</w:t>
            </w:r>
          </w:p>
        </w:tc>
        <w:tc>
          <w:tcPr>
            <w:tcW w:w="3827" w:type="dxa"/>
          </w:tcPr>
          <w:p w14:paraId="1408ECC7" w14:textId="77777777" w:rsidR="00A052DC" w:rsidRDefault="009F0A60">
            <w:pPr>
              <w:rPr>
                <w:rFonts w:ascii="黑体" w:eastAsia="黑体" w:hAnsi="黑体"/>
                <w:sz w:val="20"/>
                <w:szCs w:val="20"/>
              </w:rPr>
            </w:pPr>
            <w:r>
              <w:rPr>
                <w:rFonts w:ascii="黑体" w:eastAsia="黑体" w:hAnsi="黑体" w:hint="eastAsia"/>
                <w:sz w:val="20"/>
                <w:szCs w:val="20"/>
              </w:rPr>
              <w:t>申报主体的12位金融机构标识码，如果没有金融机构标识码，则填报统一社会信用代码法定载体（如营业执照）上统一社会信用代码中的第9至17位或国家外汇管理局及其分支局签发的特殊机构代码赋码通知书上的机构代码、个人身份代码。</w:t>
            </w:r>
          </w:p>
        </w:tc>
      </w:tr>
      <w:tr w:rsidR="00A052DC" w14:paraId="3C496D35" w14:textId="77777777">
        <w:tc>
          <w:tcPr>
            <w:tcW w:w="1242" w:type="dxa"/>
          </w:tcPr>
          <w:p w14:paraId="2E80F546" w14:textId="77777777" w:rsidR="00A052DC" w:rsidRDefault="009F0A60">
            <w:pPr>
              <w:rPr>
                <w:rFonts w:ascii="黑体" w:eastAsia="黑体" w:hAnsi="黑体"/>
                <w:sz w:val="20"/>
                <w:szCs w:val="20"/>
              </w:rPr>
            </w:pPr>
            <w:r>
              <w:rPr>
                <w:rFonts w:ascii="黑体" w:eastAsia="黑体" w:hAnsi="黑体" w:hint="eastAsia"/>
                <w:sz w:val="20"/>
                <w:szCs w:val="20"/>
              </w:rPr>
              <w:t>BUOCMONTH</w:t>
            </w:r>
          </w:p>
        </w:tc>
        <w:tc>
          <w:tcPr>
            <w:tcW w:w="2127" w:type="dxa"/>
          </w:tcPr>
          <w:p w14:paraId="244E526D" w14:textId="77777777" w:rsidR="00A052DC" w:rsidRDefault="009F0A60">
            <w:pPr>
              <w:rPr>
                <w:rFonts w:ascii="黑体" w:eastAsia="黑体" w:hAnsi="黑体"/>
                <w:sz w:val="20"/>
                <w:szCs w:val="20"/>
              </w:rPr>
            </w:pPr>
            <w:r>
              <w:rPr>
                <w:rFonts w:ascii="黑体" w:eastAsia="黑体" w:hAnsi="黑体" w:hint="eastAsia"/>
                <w:sz w:val="20"/>
                <w:szCs w:val="20"/>
              </w:rPr>
              <w:t>报告期</w:t>
            </w:r>
          </w:p>
        </w:tc>
        <w:tc>
          <w:tcPr>
            <w:tcW w:w="1417" w:type="dxa"/>
          </w:tcPr>
          <w:p w14:paraId="6BBCEAD3" w14:textId="77777777" w:rsidR="00A052DC" w:rsidRDefault="009F0A60">
            <w:pPr>
              <w:rPr>
                <w:rFonts w:ascii="黑体" w:eastAsia="黑体" w:hAnsi="黑体"/>
                <w:sz w:val="20"/>
                <w:szCs w:val="20"/>
              </w:rPr>
            </w:pPr>
            <w:r>
              <w:rPr>
                <w:rFonts w:ascii="黑体" w:eastAsia="黑体" w:hAnsi="黑体" w:hint="eastAsia"/>
                <w:sz w:val="20"/>
                <w:szCs w:val="20"/>
              </w:rPr>
              <w:t>数值型，6</w:t>
            </w:r>
          </w:p>
        </w:tc>
        <w:tc>
          <w:tcPr>
            <w:tcW w:w="3827" w:type="dxa"/>
          </w:tcPr>
          <w:p w14:paraId="49898894" w14:textId="77777777" w:rsidR="00A052DC" w:rsidRDefault="009F0A60">
            <w:pPr>
              <w:rPr>
                <w:rFonts w:ascii="黑体" w:eastAsia="黑体" w:hAnsi="黑体"/>
                <w:sz w:val="20"/>
                <w:szCs w:val="20"/>
              </w:rPr>
            </w:pPr>
            <w:r>
              <w:rPr>
                <w:rFonts w:ascii="黑体" w:eastAsia="黑体" w:hAnsi="黑体" w:hint="eastAsia"/>
                <w:sz w:val="20"/>
                <w:szCs w:val="20"/>
              </w:rPr>
              <w:t>必填项，格式为YYYYMM。</w:t>
            </w:r>
          </w:p>
        </w:tc>
      </w:tr>
      <w:tr w:rsidR="00A052DC" w14:paraId="54AB0360" w14:textId="77777777">
        <w:tc>
          <w:tcPr>
            <w:tcW w:w="1242" w:type="dxa"/>
          </w:tcPr>
          <w:p w14:paraId="67EF631E" w14:textId="77777777" w:rsidR="00A052DC" w:rsidRDefault="009F0A60">
            <w:pPr>
              <w:rPr>
                <w:rFonts w:ascii="黑体" w:eastAsia="黑体" w:hAnsi="黑体"/>
                <w:sz w:val="20"/>
                <w:szCs w:val="20"/>
              </w:rPr>
            </w:pPr>
            <w:r>
              <w:rPr>
                <w:rFonts w:ascii="黑体" w:eastAsia="黑体" w:hAnsi="黑体" w:hint="eastAsia"/>
                <w:sz w:val="20"/>
                <w:szCs w:val="20"/>
              </w:rPr>
              <w:t>EXDEBTCODE</w:t>
            </w:r>
          </w:p>
        </w:tc>
        <w:tc>
          <w:tcPr>
            <w:tcW w:w="2127" w:type="dxa"/>
          </w:tcPr>
          <w:p w14:paraId="65BA6012" w14:textId="77777777" w:rsidR="00A052DC" w:rsidRDefault="009F0A60">
            <w:pPr>
              <w:rPr>
                <w:rFonts w:ascii="黑体" w:eastAsia="黑体" w:hAnsi="黑体"/>
                <w:sz w:val="20"/>
                <w:szCs w:val="20"/>
              </w:rPr>
            </w:pPr>
            <w:r>
              <w:rPr>
                <w:rFonts w:ascii="黑体" w:eastAsia="黑体" w:hAnsi="黑体" w:hint="eastAsia"/>
                <w:sz w:val="20"/>
                <w:szCs w:val="20"/>
              </w:rPr>
              <w:t>外债编号</w:t>
            </w:r>
          </w:p>
        </w:tc>
        <w:tc>
          <w:tcPr>
            <w:tcW w:w="1417" w:type="dxa"/>
          </w:tcPr>
          <w:p w14:paraId="3A047B24" w14:textId="77777777" w:rsidR="00A052DC" w:rsidRDefault="009F0A60">
            <w:pPr>
              <w:rPr>
                <w:rFonts w:ascii="黑体" w:eastAsia="黑体" w:hAnsi="黑体"/>
                <w:sz w:val="20"/>
                <w:szCs w:val="20"/>
              </w:rPr>
            </w:pPr>
            <w:r>
              <w:rPr>
                <w:rFonts w:ascii="黑体" w:eastAsia="黑体" w:hAnsi="黑体" w:hint="eastAsia"/>
                <w:sz w:val="20"/>
                <w:szCs w:val="20"/>
              </w:rPr>
              <w:t>字符型，28</w:t>
            </w:r>
          </w:p>
        </w:tc>
        <w:tc>
          <w:tcPr>
            <w:tcW w:w="3827" w:type="dxa"/>
          </w:tcPr>
          <w:p w14:paraId="58F4DD6F" w14:textId="77777777" w:rsidR="00A052DC" w:rsidRDefault="009F0A60">
            <w:pPr>
              <w:rPr>
                <w:rFonts w:ascii="黑体" w:eastAsia="黑体" w:hAnsi="黑体"/>
                <w:sz w:val="20"/>
                <w:szCs w:val="20"/>
              </w:rPr>
            </w:pPr>
            <w:r>
              <w:rPr>
                <w:rFonts w:ascii="黑体" w:eastAsia="黑体" w:hAnsi="黑体" w:hint="eastAsia"/>
                <w:sz w:val="20"/>
                <w:szCs w:val="20"/>
              </w:rPr>
              <w:t>必填项，外债唯一性编码。</w:t>
            </w:r>
          </w:p>
          <w:p w14:paraId="44DFBE7F" w14:textId="77777777" w:rsidR="00A052DC" w:rsidRDefault="009F0A60">
            <w:pPr>
              <w:rPr>
                <w:rFonts w:ascii="黑体" w:eastAsia="黑体" w:hAnsi="黑体"/>
                <w:sz w:val="20"/>
                <w:szCs w:val="20"/>
              </w:rPr>
            </w:pPr>
            <w:r>
              <w:rPr>
                <w:rFonts w:ascii="黑体" w:eastAsia="黑体" w:hAnsi="黑体"/>
                <w:sz w:val="20"/>
                <w:szCs w:val="20"/>
              </w:rPr>
              <w:t>同一外债编号（EXDEBTCODE）下</w:t>
            </w:r>
            <w:r>
              <w:rPr>
                <w:rFonts w:ascii="黑体" w:eastAsia="黑体" w:hAnsi="黑体" w:hint="eastAsia"/>
                <w:sz w:val="20"/>
                <w:szCs w:val="20"/>
              </w:rPr>
              <w:t>，</w:t>
            </w:r>
            <w:r>
              <w:rPr>
                <w:rFonts w:ascii="黑体" w:eastAsia="黑体" w:hAnsi="黑体"/>
                <w:sz w:val="20"/>
                <w:szCs w:val="20"/>
              </w:rPr>
              <w:t>每报告期</w:t>
            </w:r>
            <w:r>
              <w:rPr>
                <w:rFonts w:ascii="黑体" w:eastAsia="黑体" w:hAnsi="黑体" w:hint="eastAsia"/>
                <w:sz w:val="20"/>
                <w:szCs w:val="20"/>
              </w:rPr>
              <w:t>应汇总报送最多</w:t>
            </w:r>
            <w:r>
              <w:rPr>
                <w:rFonts w:ascii="黑体" w:eastAsia="黑体" w:hAnsi="黑体"/>
                <w:sz w:val="20"/>
                <w:szCs w:val="20"/>
              </w:rPr>
              <w:t>一条数据。</w:t>
            </w:r>
          </w:p>
          <w:p w14:paraId="569BD970" w14:textId="77777777" w:rsidR="00A052DC" w:rsidRDefault="009F0A60">
            <w:pPr>
              <w:rPr>
                <w:rFonts w:ascii="黑体" w:eastAsia="黑体" w:hAnsi="黑体"/>
                <w:sz w:val="20"/>
                <w:szCs w:val="20"/>
              </w:rPr>
            </w:pPr>
            <w:r>
              <w:rPr>
                <w:rFonts w:ascii="黑体" w:eastAsia="黑体" w:hAnsi="黑体" w:hint="eastAsia"/>
                <w:sz w:val="20"/>
                <w:szCs w:val="20"/>
              </w:rPr>
              <w:t>同一外债编号（EXDEBTCODE）下，D0508、D0510、D0511、D0513和D0514不能同时为0。</w:t>
            </w:r>
          </w:p>
          <w:p w14:paraId="33F18C95" w14:textId="77777777" w:rsidR="00A052DC" w:rsidRDefault="009F0A60">
            <w:pPr>
              <w:rPr>
                <w:rFonts w:ascii="黑体" w:eastAsia="黑体" w:hAnsi="黑体"/>
                <w:sz w:val="20"/>
                <w:szCs w:val="20"/>
              </w:rPr>
            </w:pPr>
            <w:r>
              <w:rPr>
                <w:rFonts w:ascii="黑体" w:eastAsia="黑体" w:hAnsi="黑体" w:hint="eastAsia"/>
                <w:sz w:val="20"/>
                <w:szCs w:val="20"/>
              </w:rPr>
              <w:t>当</w:t>
            </w:r>
            <w:r>
              <w:rPr>
                <w:rFonts w:ascii="黑体" w:eastAsia="黑体" w:hAnsi="黑体"/>
                <w:sz w:val="20"/>
                <w:szCs w:val="20"/>
              </w:rPr>
              <w:t>企业登记外债编号长度为20位时，请按照20位长度填报</w:t>
            </w:r>
            <w:r>
              <w:rPr>
                <w:rFonts w:ascii="黑体" w:eastAsia="黑体" w:hAnsi="黑体" w:hint="eastAsia"/>
                <w:sz w:val="20"/>
                <w:szCs w:val="20"/>
              </w:rPr>
              <w:t>，</w:t>
            </w:r>
            <w:r>
              <w:rPr>
                <w:rFonts w:ascii="黑体" w:eastAsia="黑体" w:hAnsi="黑体"/>
                <w:sz w:val="20"/>
                <w:szCs w:val="20"/>
              </w:rPr>
              <w:t>不需</w:t>
            </w:r>
            <w:r>
              <w:rPr>
                <w:rFonts w:ascii="黑体" w:eastAsia="黑体" w:hAnsi="黑体" w:hint="eastAsia"/>
                <w:sz w:val="20"/>
                <w:szCs w:val="20"/>
              </w:rPr>
              <w:t>要补足</w:t>
            </w:r>
            <w:r>
              <w:rPr>
                <w:rFonts w:ascii="黑体" w:eastAsia="黑体" w:hAnsi="黑体"/>
                <w:sz w:val="20"/>
                <w:szCs w:val="20"/>
              </w:rPr>
              <w:t>28位。</w:t>
            </w:r>
          </w:p>
        </w:tc>
      </w:tr>
      <w:tr w:rsidR="00A052DC" w14:paraId="366F4FD5" w14:textId="77777777">
        <w:tc>
          <w:tcPr>
            <w:tcW w:w="1242" w:type="dxa"/>
          </w:tcPr>
          <w:p w14:paraId="3FAD4C26" w14:textId="77777777" w:rsidR="00A052DC" w:rsidRDefault="009F0A60">
            <w:pPr>
              <w:rPr>
                <w:rFonts w:ascii="黑体" w:eastAsia="黑体" w:hAnsi="黑体"/>
                <w:sz w:val="20"/>
                <w:szCs w:val="20"/>
              </w:rPr>
            </w:pPr>
            <w:r>
              <w:rPr>
                <w:rFonts w:ascii="黑体" w:eastAsia="黑体" w:hAnsi="黑体" w:hint="eastAsia"/>
                <w:sz w:val="20"/>
                <w:szCs w:val="20"/>
              </w:rPr>
              <w:t>D0508</w:t>
            </w:r>
          </w:p>
        </w:tc>
        <w:tc>
          <w:tcPr>
            <w:tcW w:w="2127" w:type="dxa"/>
          </w:tcPr>
          <w:p w14:paraId="764F1236" w14:textId="77777777" w:rsidR="00A052DC" w:rsidRDefault="009F0A60">
            <w:pPr>
              <w:rPr>
                <w:rFonts w:ascii="黑体" w:eastAsia="黑体" w:hAnsi="黑体"/>
                <w:sz w:val="20"/>
                <w:szCs w:val="20"/>
              </w:rPr>
            </w:pPr>
            <w:r>
              <w:rPr>
                <w:rFonts w:ascii="黑体" w:eastAsia="黑体" w:hAnsi="黑体" w:hint="eastAsia"/>
                <w:sz w:val="20"/>
                <w:szCs w:val="20"/>
              </w:rPr>
              <w:t>上月末应付利息余额</w:t>
            </w:r>
          </w:p>
        </w:tc>
        <w:tc>
          <w:tcPr>
            <w:tcW w:w="1417" w:type="dxa"/>
          </w:tcPr>
          <w:p w14:paraId="527A9B9A"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3827" w:type="dxa"/>
          </w:tcPr>
          <w:p w14:paraId="44B031B2"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r w:rsidR="00A052DC" w14:paraId="7DDDA229" w14:textId="77777777">
        <w:tc>
          <w:tcPr>
            <w:tcW w:w="1242" w:type="dxa"/>
          </w:tcPr>
          <w:p w14:paraId="675673DF" w14:textId="77777777" w:rsidR="00A052DC" w:rsidRDefault="009F0A60">
            <w:pPr>
              <w:rPr>
                <w:rFonts w:ascii="黑体" w:eastAsia="黑体" w:hAnsi="黑体"/>
                <w:sz w:val="20"/>
                <w:szCs w:val="20"/>
              </w:rPr>
            </w:pPr>
            <w:r>
              <w:rPr>
                <w:rFonts w:ascii="黑体" w:eastAsia="黑体" w:hAnsi="黑体" w:hint="eastAsia"/>
                <w:sz w:val="20"/>
                <w:szCs w:val="20"/>
              </w:rPr>
              <w:t>D0510</w:t>
            </w:r>
          </w:p>
        </w:tc>
        <w:tc>
          <w:tcPr>
            <w:tcW w:w="2127" w:type="dxa"/>
          </w:tcPr>
          <w:p w14:paraId="7AA81583" w14:textId="77777777" w:rsidR="00A052DC" w:rsidRDefault="009F0A60">
            <w:pPr>
              <w:rPr>
                <w:rFonts w:ascii="黑体" w:eastAsia="黑体" w:hAnsi="黑体"/>
                <w:sz w:val="20"/>
                <w:szCs w:val="20"/>
              </w:rPr>
            </w:pPr>
            <w:r>
              <w:rPr>
                <w:rFonts w:ascii="黑体" w:eastAsia="黑体" w:hAnsi="黑体" w:hint="eastAsia"/>
                <w:sz w:val="20"/>
                <w:szCs w:val="20"/>
              </w:rPr>
              <w:t>本月末本金余额其中：剩余期限在一年及以下</w:t>
            </w:r>
          </w:p>
        </w:tc>
        <w:tc>
          <w:tcPr>
            <w:tcW w:w="1417" w:type="dxa"/>
          </w:tcPr>
          <w:p w14:paraId="1D4E4B30"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3827" w:type="dxa"/>
          </w:tcPr>
          <w:p w14:paraId="5FA72902" w14:textId="77777777" w:rsidR="00A052DC" w:rsidRDefault="009F0A60">
            <w:pPr>
              <w:rPr>
                <w:rFonts w:ascii="黑体" w:eastAsia="黑体" w:hAnsi="黑体"/>
                <w:sz w:val="20"/>
                <w:szCs w:val="20"/>
              </w:rPr>
            </w:pPr>
            <w:r>
              <w:rPr>
                <w:rFonts w:ascii="黑体" w:eastAsia="黑体" w:hAnsi="黑体" w:hint="eastAsia"/>
                <w:sz w:val="20"/>
                <w:szCs w:val="20"/>
              </w:rPr>
              <w:t>必填项，必须≥0。</w:t>
            </w:r>
          </w:p>
          <w:p w14:paraId="2ADD10E3" w14:textId="77777777" w:rsidR="00A052DC" w:rsidRDefault="00A052DC">
            <w:pPr>
              <w:rPr>
                <w:rFonts w:ascii="黑体" w:eastAsia="黑体" w:hAnsi="黑体"/>
                <w:b/>
                <w:bCs/>
                <w:sz w:val="20"/>
                <w:szCs w:val="20"/>
              </w:rPr>
            </w:pPr>
          </w:p>
        </w:tc>
      </w:tr>
      <w:tr w:rsidR="00A052DC" w14:paraId="25E54460" w14:textId="77777777">
        <w:tc>
          <w:tcPr>
            <w:tcW w:w="1242" w:type="dxa"/>
          </w:tcPr>
          <w:p w14:paraId="3AA30CF6" w14:textId="77777777" w:rsidR="00A052DC" w:rsidRDefault="009F0A60">
            <w:pPr>
              <w:rPr>
                <w:rFonts w:ascii="黑体" w:eastAsia="黑体" w:hAnsi="黑体"/>
                <w:sz w:val="20"/>
                <w:szCs w:val="20"/>
              </w:rPr>
            </w:pPr>
            <w:r>
              <w:rPr>
                <w:rFonts w:ascii="黑体" w:eastAsia="黑体" w:hAnsi="黑体" w:hint="eastAsia"/>
                <w:sz w:val="20"/>
                <w:szCs w:val="20"/>
              </w:rPr>
              <w:t>D0511</w:t>
            </w:r>
          </w:p>
        </w:tc>
        <w:tc>
          <w:tcPr>
            <w:tcW w:w="2127" w:type="dxa"/>
          </w:tcPr>
          <w:p w14:paraId="1C34FBD5" w14:textId="77777777" w:rsidR="00A052DC" w:rsidRDefault="009F0A60">
            <w:pPr>
              <w:rPr>
                <w:rFonts w:ascii="黑体" w:eastAsia="黑体" w:hAnsi="黑体"/>
                <w:sz w:val="20"/>
                <w:szCs w:val="20"/>
              </w:rPr>
            </w:pPr>
            <w:r>
              <w:rPr>
                <w:rFonts w:ascii="黑体" w:eastAsia="黑体" w:hAnsi="黑体" w:hint="eastAsia"/>
                <w:sz w:val="20"/>
                <w:szCs w:val="20"/>
              </w:rPr>
              <w:t>本月末应付利息余额</w:t>
            </w:r>
          </w:p>
        </w:tc>
        <w:tc>
          <w:tcPr>
            <w:tcW w:w="1417" w:type="dxa"/>
          </w:tcPr>
          <w:p w14:paraId="37ADD247"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3827" w:type="dxa"/>
          </w:tcPr>
          <w:p w14:paraId="2268B49A"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r w:rsidR="00A052DC" w14:paraId="5AD57FD5" w14:textId="77777777">
        <w:tc>
          <w:tcPr>
            <w:tcW w:w="1242" w:type="dxa"/>
          </w:tcPr>
          <w:p w14:paraId="677CD4D7" w14:textId="77777777" w:rsidR="00A052DC" w:rsidRDefault="009F0A60">
            <w:pPr>
              <w:rPr>
                <w:rFonts w:ascii="黑体" w:eastAsia="黑体" w:hAnsi="黑体"/>
                <w:sz w:val="20"/>
                <w:szCs w:val="20"/>
              </w:rPr>
            </w:pPr>
            <w:r>
              <w:rPr>
                <w:rFonts w:ascii="黑体" w:eastAsia="黑体" w:hAnsi="黑体" w:hint="eastAsia"/>
                <w:sz w:val="20"/>
                <w:szCs w:val="20"/>
              </w:rPr>
              <w:t>D0513</w:t>
            </w:r>
          </w:p>
        </w:tc>
        <w:tc>
          <w:tcPr>
            <w:tcW w:w="2127" w:type="dxa"/>
          </w:tcPr>
          <w:p w14:paraId="3AFE1E43" w14:textId="77777777" w:rsidR="00A052DC" w:rsidRDefault="009F0A60">
            <w:pPr>
              <w:rPr>
                <w:rFonts w:ascii="黑体" w:eastAsia="黑体" w:hAnsi="黑体"/>
                <w:sz w:val="20"/>
                <w:szCs w:val="20"/>
              </w:rPr>
            </w:pPr>
            <w:r>
              <w:rPr>
                <w:rFonts w:ascii="黑体" w:eastAsia="黑体" w:hAnsi="黑体" w:hint="eastAsia"/>
                <w:sz w:val="20"/>
                <w:szCs w:val="20"/>
              </w:rPr>
              <w:t>本月净发生额</w:t>
            </w:r>
          </w:p>
        </w:tc>
        <w:tc>
          <w:tcPr>
            <w:tcW w:w="1417" w:type="dxa"/>
          </w:tcPr>
          <w:p w14:paraId="41DBC83B"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3827" w:type="dxa"/>
          </w:tcPr>
          <w:p w14:paraId="279D5BBF"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r w:rsidR="00A052DC" w14:paraId="2E6D447C" w14:textId="77777777">
        <w:tc>
          <w:tcPr>
            <w:tcW w:w="1242" w:type="dxa"/>
          </w:tcPr>
          <w:p w14:paraId="4B95F93A" w14:textId="77777777" w:rsidR="00A052DC" w:rsidRDefault="009F0A60">
            <w:pPr>
              <w:rPr>
                <w:rFonts w:ascii="黑体" w:eastAsia="黑体" w:hAnsi="黑体"/>
                <w:sz w:val="20"/>
                <w:szCs w:val="20"/>
              </w:rPr>
            </w:pPr>
            <w:r>
              <w:rPr>
                <w:rFonts w:ascii="黑体" w:eastAsia="黑体" w:hAnsi="黑体" w:hint="eastAsia"/>
                <w:sz w:val="20"/>
                <w:szCs w:val="20"/>
              </w:rPr>
              <w:t>D0514</w:t>
            </w:r>
          </w:p>
        </w:tc>
        <w:tc>
          <w:tcPr>
            <w:tcW w:w="2127" w:type="dxa"/>
          </w:tcPr>
          <w:p w14:paraId="538700A8" w14:textId="77777777" w:rsidR="00A052DC" w:rsidRDefault="009F0A60">
            <w:pPr>
              <w:rPr>
                <w:rFonts w:ascii="黑体" w:eastAsia="黑体" w:hAnsi="黑体"/>
                <w:sz w:val="20"/>
                <w:szCs w:val="20"/>
              </w:rPr>
            </w:pPr>
            <w:r>
              <w:rPr>
                <w:rFonts w:ascii="黑体" w:eastAsia="黑体" w:hAnsi="黑体" w:hint="eastAsia"/>
                <w:sz w:val="20"/>
                <w:szCs w:val="20"/>
              </w:rPr>
              <w:t>本月利息支出</w:t>
            </w:r>
          </w:p>
        </w:tc>
        <w:tc>
          <w:tcPr>
            <w:tcW w:w="1417" w:type="dxa"/>
          </w:tcPr>
          <w:p w14:paraId="7D311E05"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3827" w:type="dxa"/>
          </w:tcPr>
          <w:p w14:paraId="6059A2B8" w14:textId="77777777" w:rsidR="00A052DC" w:rsidRDefault="009F0A60">
            <w:pPr>
              <w:rPr>
                <w:rFonts w:ascii="黑体" w:eastAsia="黑体" w:hAnsi="黑体"/>
                <w:sz w:val="20"/>
                <w:szCs w:val="20"/>
              </w:rPr>
            </w:pPr>
            <w:r>
              <w:rPr>
                <w:rFonts w:ascii="黑体" w:eastAsia="黑体" w:hAnsi="黑体" w:hint="eastAsia"/>
                <w:sz w:val="20"/>
                <w:szCs w:val="20"/>
              </w:rPr>
              <w:t>必填项。</w:t>
            </w:r>
          </w:p>
          <w:p w14:paraId="69C46540" w14:textId="77777777" w:rsidR="00A052DC" w:rsidRDefault="00A052DC">
            <w:pPr>
              <w:rPr>
                <w:rFonts w:ascii="黑体" w:eastAsia="黑体" w:hAnsi="黑体"/>
                <w:sz w:val="20"/>
                <w:szCs w:val="20"/>
              </w:rPr>
            </w:pPr>
          </w:p>
        </w:tc>
      </w:tr>
      <w:tr w:rsidR="00A052DC" w14:paraId="4F6C3E39" w14:textId="77777777">
        <w:tc>
          <w:tcPr>
            <w:tcW w:w="1242" w:type="dxa"/>
          </w:tcPr>
          <w:p w14:paraId="30E902AB" w14:textId="77777777" w:rsidR="00A052DC" w:rsidRDefault="009F0A60">
            <w:pPr>
              <w:rPr>
                <w:rFonts w:ascii="黑体" w:eastAsia="黑体" w:hAnsi="黑体"/>
                <w:sz w:val="20"/>
                <w:szCs w:val="20"/>
              </w:rPr>
            </w:pPr>
            <w:r>
              <w:rPr>
                <w:rFonts w:ascii="黑体" w:eastAsia="黑体" w:hAnsi="黑体" w:hint="eastAsia"/>
                <w:sz w:val="20"/>
                <w:szCs w:val="20"/>
              </w:rPr>
              <w:t>REMARK</w:t>
            </w:r>
          </w:p>
        </w:tc>
        <w:tc>
          <w:tcPr>
            <w:tcW w:w="2127" w:type="dxa"/>
          </w:tcPr>
          <w:p w14:paraId="761827BE" w14:textId="77777777" w:rsidR="00A052DC" w:rsidRDefault="009F0A60">
            <w:pPr>
              <w:rPr>
                <w:rFonts w:ascii="黑体" w:eastAsia="黑体" w:hAnsi="黑体"/>
                <w:sz w:val="20"/>
                <w:szCs w:val="20"/>
              </w:rPr>
            </w:pPr>
            <w:r>
              <w:rPr>
                <w:rFonts w:ascii="黑体" w:eastAsia="黑体" w:hAnsi="黑体" w:hint="eastAsia"/>
                <w:sz w:val="20"/>
                <w:szCs w:val="20"/>
              </w:rPr>
              <w:t>备注</w:t>
            </w:r>
          </w:p>
        </w:tc>
        <w:tc>
          <w:tcPr>
            <w:tcW w:w="1417" w:type="dxa"/>
          </w:tcPr>
          <w:p w14:paraId="17B9AB1F" w14:textId="77777777" w:rsidR="00A052DC" w:rsidRDefault="009F0A60">
            <w:pPr>
              <w:rPr>
                <w:rFonts w:ascii="黑体" w:eastAsia="黑体" w:hAnsi="黑体"/>
                <w:sz w:val="20"/>
                <w:szCs w:val="20"/>
              </w:rPr>
            </w:pPr>
            <w:r>
              <w:rPr>
                <w:rFonts w:ascii="黑体" w:eastAsia="黑体" w:hAnsi="黑体" w:hint="eastAsia"/>
                <w:sz w:val="20"/>
                <w:szCs w:val="20"/>
              </w:rPr>
              <w:t>字符型，512</w:t>
            </w:r>
          </w:p>
        </w:tc>
        <w:tc>
          <w:tcPr>
            <w:tcW w:w="3827" w:type="dxa"/>
          </w:tcPr>
          <w:p w14:paraId="48E68AEB" w14:textId="77777777" w:rsidR="00A052DC" w:rsidRDefault="009F0A60">
            <w:pPr>
              <w:rPr>
                <w:rFonts w:ascii="黑体" w:eastAsia="黑体" w:hAnsi="黑体"/>
                <w:sz w:val="20"/>
                <w:szCs w:val="20"/>
              </w:rPr>
            </w:pPr>
            <w:r>
              <w:rPr>
                <w:rFonts w:ascii="黑体" w:eastAsia="黑体" w:hAnsi="黑体" w:hint="eastAsia"/>
                <w:sz w:val="20"/>
                <w:szCs w:val="20"/>
              </w:rPr>
              <w:t>当D0508、D0511、</w:t>
            </w:r>
            <w:r>
              <w:rPr>
                <w:rFonts w:ascii="黑体" w:eastAsia="黑体" w:hAnsi="黑体"/>
                <w:sz w:val="20"/>
                <w:szCs w:val="20"/>
              </w:rPr>
              <w:t>D0514</w:t>
            </w:r>
            <w:r>
              <w:rPr>
                <w:rFonts w:ascii="黑体" w:eastAsia="黑体" w:hAnsi="黑体" w:hint="eastAsia"/>
                <w:sz w:val="20"/>
                <w:szCs w:val="20"/>
              </w:rPr>
              <w:t>各项中任何一项为负数时为必填项。</w:t>
            </w:r>
          </w:p>
        </w:tc>
      </w:tr>
    </w:tbl>
    <w:p w14:paraId="069BFD48" w14:textId="77777777" w:rsidR="00A052DC" w:rsidRDefault="009F0A60" w:rsidP="0020251D">
      <w:pPr>
        <w:pStyle w:val="3"/>
        <w:ind w:left="0"/>
        <w:rPr>
          <w:rFonts w:ascii="Times New Roman" w:hAnsi="Times New Roman"/>
        </w:rPr>
      </w:pPr>
      <w:bookmarkStart w:id="3262" w:name="_Toc380356294"/>
      <w:bookmarkStart w:id="3263" w:name="_Toc454391324"/>
      <w:bookmarkStart w:id="3264" w:name="_Toc380570971"/>
      <w:bookmarkStart w:id="3265" w:name="_Toc91455321"/>
      <w:bookmarkStart w:id="3266" w:name="_Toc101684494"/>
      <w:r>
        <w:rPr>
          <w:rFonts w:ascii="Times New Roman" w:hAnsi="Times New Roman"/>
        </w:rPr>
        <w:t>D05-2</w:t>
      </w:r>
      <w:r>
        <w:rPr>
          <w:rFonts w:ascii="Times New Roman" w:hAnsi="Times New Roman" w:hint="eastAsia"/>
        </w:rPr>
        <w:t>表：存款（含银行同业和联行存放）（负债）——非居民个人存款</w:t>
      </w:r>
      <w:bookmarkEnd w:id="3262"/>
      <w:bookmarkEnd w:id="3263"/>
      <w:bookmarkEnd w:id="3264"/>
      <w:bookmarkEnd w:id="3265"/>
      <w:bookmarkEnd w:id="3266"/>
    </w:p>
    <w:p w14:paraId="29506E34" w14:textId="77777777" w:rsidR="00A052DC" w:rsidRDefault="009F0A60" w:rsidP="0020251D">
      <w:pPr>
        <w:pStyle w:val="4"/>
        <w:numPr>
          <w:ilvl w:val="3"/>
          <w:numId w:val="1"/>
        </w:numPr>
        <w:jc w:val="left"/>
      </w:pPr>
      <w:bookmarkStart w:id="3267" w:name="_Toc380570972"/>
      <w:bookmarkStart w:id="3268" w:name="_Toc454391325"/>
      <w:r>
        <w:rPr>
          <w:rFonts w:hint="eastAsia"/>
        </w:rPr>
        <w:t>数据术语解释</w:t>
      </w:r>
      <w:bookmarkEnd w:id="3267"/>
      <w:bookmarkEnd w:id="326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6804"/>
      </w:tblGrid>
      <w:tr w:rsidR="00A052DC" w14:paraId="718F713E" w14:textId="77777777">
        <w:trPr>
          <w:cantSplit/>
        </w:trPr>
        <w:tc>
          <w:tcPr>
            <w:tcW w:w="1668" w:type="dxa"/>
          </w:tcPr>
          <w:p w14:paraId="0DA07977" w14:textId="77777777" w:rsidR="00A052DC" w:rsidRDefault="009F0A60">
            <w:pPr>
              <w:pStyle w:val="B1"/>
            </w:pPr>
            <w:r>
              <w:rPr>
                <w:rFonts w:hint="eastAsia"/>
              </w:rPr>
              <w:t>基础数据项</w:t>
            </w:r>
          </w:p>
        </w:tc>
        <w:tc>
          <w:tcPr>
            <w:tcW w:w="6804" w:type="dxa"/>
          </w:tcPr>
          <w:p w14:paraId="60608306" w14:textId="77777777" w:rsidR="00A052DC" w:rsidRDefault="009F0A60">
            <w:pPr>
              <w:pStyle w:val="B1"/>
            </w:pPr>
            <w:r>
              <w:rPr>
                <w:rFonts w:hint="eastAsia"/>
              </w:rPr>
              <w:t>定义</w:t>
            </w:r>
          </w:p>
        </w:tc>
      </w:tr>
      <w:tr w:rsidR="00A052DC" w14:paraId="016A7DAC" w14:textId="77777777">
        <w:trPr>
          <w:cantSplit/>
        </w:trPr>
        <w:tc>
          <w:tcPr>
            <w:tcW w:w="1668" w:type="dxa"/>
          </w:tcPr>
          <w:p w14:paraId="26F83F3A" w14:textId="77777777" w:rsidR="00A052DC" w:rsidRDefault="009F0A60">
            <w:pPr>
              <w:pStyle w:val="B"/>
              <w:rPr>
                <w:szCs w:val="20"/>
              </w:rPr>
            </w:pPr>
            <w:r>
              <w:rPr>
                <w:rFonts w:hint="eastAsia"/>
                <w:szCs w:val="20"/>
              </w:rPr>
              <w:t>数据自编码</w:t>
            </w:r>
          </w:p>
        </w:tc>
        <w:tc>
          <w:tcPr>
            <w:tcW w:w="6804" w:type="dxa"/>
          </w:tcPr>
          <w:p w14:paraId="1C9E5689" w14:textId="77777777" w:rsidR="00A052DC" w:rsidRDefault="009F0A60">
            <w:pPr>
              <w:pStyle w:val="B"/>
              <w:rPr>
                <w:szCs w:val="20"/>
              </w:rPr>
            </w:pPr>
            <w:r>
              <w:rPr>
                <w:rFonts w:hint="eastAsia"/>
                <w:szCs w:val="20"/>
              </w:rPr>
              <w:t>该编码用于标识金融机构报送的每一条数据，按给定规则编码，便于进行增删改查等操作。建议规则：机构代码（18位，不足18位补</w:t>
            </w:r>
            <w:r>
              <w:rPr>
                <w:szCs w:val="20"/>
              </w:rPr>
              <w:t>a</w:t>
            </w:r>
            <w:r>
              <w:rPr>
                <w:rFonts w:hint="eastAsia"/>
                <w:szCs w:val="20"/>
              </w:rPr>
              <w:t>）</w:t>
            </w:r>
            <w:r>
              <w:rPr>
                <w:szCs w:val="20"/>
              </w:rPr>
              <w:t>+</w:t>
            </w:r>
            <w:r>
              <w:rPr>
                <w:rFonts w:hint="eastAsia"/>
                <w:szCs w:val="20"/>
              </w:rPr>
              <w:t>报表代码（</w:t>
            </w:r>
            <w:r>
              <w:rPr>
                <w:szCs w:val="20"/>
              </w:rPr>
              <w:t>5</w:t>
            </w:r>
            <w:r>
              <w:rPr>
                <w:rFonts w:hint="eastAsia"/>
                <w:szCs w:val="20"/>
              </w:rPr>
              <w:t>位，不足</w:t>
            </w:r>
            <w:r>
              <w:rPr>
                <w:szCs w:val="20"/>
              </w:rPr>
              <w:t>5</w:t>
            </w:r>
            <w:r>
              <w:rPr>
                <w:rFonts w:hint="eastAsia"/>
                <w:szCs w:val="20"/>
              </w:rPr>
              <w:t>位补</w:t>
            </w:r>
            <w:r>
              <w:rPr>
                <w:szCs w:val="20"/>
              </w:rPr>
              <w:t>a</w:t>
            </w:r>
            <w:r>
              <w:rPr>
                <w:rFonts w:hint="eastAsia"/>
                <w:szCs w:val="20"/>
              </w:rPr>
              <w:t>）</w:t>
            </w:r>
            <w:r>
              <w:rPr>
                <w:szCs w:val="20"/>
              </w:rPr>
              <w:t>+</w:t>
            </w:r>
            <w:r>
              <w:rPr>
                <w:rFonts w:hint="eastAsia"/>
                <w:szCs w:val="20"/>
              </w:rPr>
              <w:t>报送期（</w:t>
            </w:r>
            <w:r>
              <w:rPr>
                <w:szCs w:val="20"/>
              </w:rPr>
              <w:t>6</w:t>
            </w:r>
            <w:r>
              <w:rPr>
                <w:rFonts w:hint="eastAsia"/>
                <w:szCs w:val="20"/>
              </w:rPr>
              <w:t>位）</w:t>
            </w:r>
            <w:r>
              <w:rPr>
                <w:szCs w:val="20"/>
              </w:rPr>
              <w:t>+</w:t>
            </w:r>
            <w:r>
              <w:rPr>
                <w:rFonts w:hint="eastAsia"/>
                <w:szCs w:val="20"/>
              </w:rPr>
              <w:t>顺序号（</w:t>
            </w:r>
            <w:r>
              <w:rPr>
                <w:szCs w:val="20"/>
              </w:rPr>
              <w:t>7</w:t>
            </w:r>
            <w:r>
              <w:rPr>
                <w:rFonts w:hint="eastAsia"/>
                <w:szCs w:val="20"/>
              </w:rPr>
              <w:t>位，从</w:t>
            </w:r>
            <w:r>
              <w:rPr>
                <w:szCs w:val="20"/>
              </w:rPr>
              <w:t>0000001</w:t>
            </w:r>
            <w:r>
              <w:rPr>
                <w:rFonts w:hint="eastAsia"/>
                <w:szCs w:val="20"/>
              </w:rPr>
              <w:t>开始增加）。</w:t>
            </w:r>
          </w:p>
        </w:tc>
      </w:tr>
      <w:tr w:rsidR="00A052DC" w14:paraId="317E5956" w14:textId="77777777">
        <w:trPr>
          <w:cantSplit/>
        </w:trPr>
        <w:tc>
          <w:tcPr>
            <w:tcW w:w="1668" w:type="dxa"/>
          </w:tcPr>
          <w:p w14:paraId="6D63CFED" w14:textId="77777777" w:rsidR="00A052DC" w:rsidRDefault="009F0A60">
            <w:pPr>
              <w:pStyle w:val="B"/>
              <w:rPr>
                <w:szCs w:val="20"/>
              </w:rPr>
            </w:pPr>
            <w:r>
              <w:rPr>
                <w:rFonts w:hint="eastAsia"/>
                <w:szCs w:val="20"/>
              </w:rPr>
              <w:t>申报主体代码</w:t>
            </w:r>
          </w:p>
        </w:tc>
        <w:tc>
          <w:tcPr>
            <w:tcW w:w="6804" w:type="dxa"/>
          </w:tcPr>
          <w:p w14:paraId="292CA9E4" w14:textId="77777777" w:rsidR="00A052DC" w:rsidRDefault="009F0A60">
            <w:pPr>
              <w:pStyle w:val="B"/>
              <w:rPr>
                <w:szCs w:val="20"/>
              </w:rPr>
            </w:pPr>
            <w:r>
              <w:rPr>
                <w:rFonts w:hint="eastAsia"/>
                <w:szCs w:val="20"/>
              </w:rPr>
              <w:t>申报主体的12位金融机构标识码，如果没有金融机构标识码，则填报统一社会信用代码法定载体（如营业执照）上统一社会信用代码中的第9至17位或国家外汇管理局及其分支局签发的特殊机构代码赋码通知书上的机构代码、个人身份代码。</w:t>
            </w:r>
          </w:p>
        </w:tc>
      </w:tr>
      <w:tr w:rsidR="00A052DC" w14:paraId="5D2797BC" w14:textId="77777777">
        <w:trPr>
          <w:cantSplit/>
        </w:trPr>
        <w:tc>
          <w:tcPr>
            <w:tcW w:w="1668" w:type="dxa"/>
          </w:tcPr>
          <w:p w14:paraId="5735F2FC" w14:textId="77777777" w:rsidR="00A052DC" w:rsidRDefault="009F0A60">
            <w:pPr>
              <w:pStyle w:val="B"/>
              <w:rPr>
                <w:szCs w:val="20"/>
              </w:rPr>
            </w:pPr>
            <w:r>
              <w:rPr>
                <w:rFonts w:hint="eastAsia"/>
                <w:szCs w:val="20"/>
              </w:rPr>
              <w:t>报告期</w:t>
            </w:r>
          </w:p>
        </w:tc>
        <w:tc>
          <w:tcPr>
            <w:tcW w:w="6804" w:type="dxa"/>
          </w:tcPr>
          <w:p w14:paraId="4BB796F8" w14:textId="77777777" w:rsidR="00A052DC" w:rsidRDefault="009F0A60">
            <w:pPr>
              <w:pStyle w:val="B"/>
              <w:rPr>
                <w:szCs w:val="20"/>
              </w:rPr>
            </w:pPr>
            <w:r>
              <w:rPr>
                <w:rFonts w:hint="eastAsia"/>
                <w:szCs w:val="20"/>
              </w:rPr>
              <w:t>业务发生月份，格式为</w:t>
            </w:r>
            <w:r>
              <w:rPr>
                <w:szCs w:val="20"/>
              </w:rPr>
              <w:t>YYYYMM</w:t>
            </w:r>
            <w:r>
              <w:rPr>
                <w:rFonts w:hint="eastAsia"/>
                <w:szCs w:val="20"/>
              </w:rPr>
              <w:t>。</w:t>
            </w:r>
          </w:p>
        </w:tc>
      </w:tr>
      <w:tr w:rsidR="00A052DC" w14:paraId="1131A847" w14:textId="77777777">
        <w:trPr>
          <w:cantSplit/>
        </w:trPr>
        <w:tc>
          <w:tcPr>
            <w:tcW w:w="1668" w:type="dxa"/>
          </w:tcPr>
          <w:p w14:paraId="52F4F9DD" w14:textId="77777777" w:rsidR="00A052DC" w:rsidRDefault="009F0A60">
            <w:pPr>
              <w:pStyle w:val="B"/>
              <w:rPr>
                <w:szCs w:val="20"/>
              </w:rPr>
            </w:pPr>
            <w:r>
              <w:rPr>
                <w:rFonts w:hint="eastAsia"/>
                <w:szCs w:val="20"/>
              </w:rPr>
              <w:t>业务类别</w:t>
            </w:r>
          </w:p>
        </w:tc>
        <w:tc>
          <w:tcPr>
            <w:tcW w:w="6804" w:type="dxa"/>
          </w:tcPr>
          <w:p w14:paraId="1B2262B6" w14:textId="77777777" w:rsidR="00A052DC" w:rsidRDefault="009F0A60">
            <w:pPr>
              <w:pStyle w:val="B"/>
              <w:rPr>
                <w:szCs w:val="20"/>
              </w:rPr>
            </w:pPr>
            <w:r>
              <w:rPr>
                <w:rFonts w:hint="eastAsia"/>
                <w:szCs w:val="20"/>
              </w:rPr>
              <w:t>包括：1-存款（境外同业存放）；2-账户金；3-存款（联行往来）；4-其他存款。</w:t>
            </w:r>
          </w:p>
        </w:tc>
      </w:tr>
      <w:tr w:rsidR="00A052DC" w14:paraId="3C025588" w14:textId="77777777">
        <w:trPr>
          <w:cantSplit/>
        </w:trPr>
        <w:tc>
          <w:tcPr>
            <w:tcW w:w="1668" w:type="dxa"/>
          </w:tcPr>
          <w:p w14:paraId="39115C33" w14:textId="77777777" w:rsidR="00A052DC" w:rsidRDefault="009F0A60">
            <w:pPr>
              <w:pStyle w:val="B"/>
              <w:rPr>
                <w:szCs w:val="20"/>
              </w:rPr>
            </w:pPr>
            <w:r>
              <w:rPr>
                <w:rFonts w:hint="eastAsia"/>
                <w:szCs w:val="20"/>
              </w:rPr>
              <w:t>对方国家</w:t>
            </w:r>
            <w:r>
              <w:rPr>
                <w:szCs w:val="20"/>
              </w:rPr>
              <w:t>/</w:t>
            </w:r>
            <w:r>
              <w:rPr>
                <w:rFonts w:hint="eastAsia"/>
                <w:szCs w:val="20"/>
              </w:rPr>
              <w:t>地区</w:t>
            </w:r>
          </w:p>
        </w:tc>
        <w:tc>
          <w:tcPr>
            <w:tcW w:w="6804" w:type="dxa"/>
          </w:tcPr>
          <w:p w14:paraId="6A0AD10A" w14:textId="77777777" w:rsidR="00A052DC" w:rsidRDefault="009F0A60">
            <w:pPr>
              <w:pStyle w:val="B"/>
              <w:rPr>
                <w:szCs w:val="20"/>
              </w:rPr>
            </w:pPr>
            <w:r>
              <w:rPr>
                <w:rFonts w:hint="eastAsia"/>
                <w:szCs w:val="20"/>
              </w:rPr>
              <w:t>指非居民个人存款主体注册或常驻（住）的国家或地区，见国家和地区代码表。</w:t>
            </w:r>
          </w:p>
        </w:tc>
      </w:tr>
      <w:tr w:rsidR="00A052DC" w14:paraId="21ED1CB9" w14:textId="77777777">
        <w:trPr>
          <w:cantSplit/>
        </w:trPr>
        <w:tc>
          <w:tcPr>
            <w:tcW w:w="1668" w:type="dxa"/>
          </w:tcPr>
          <w:p w14:paraId="409827A2" w14:textId="77777777" w:rsidR="00A052DC" w:rsidRDefault="009F0A60">
            <w:pPr>
              <w:pStyle w:val="B"/>
              <w:rPr>
                <w:szCs w:val="20"/>
              </w:rPr>
            </w:pPr>
            <w:r>
              <w:rPr>
                <w:rFonts w:hint="eastAsia"/>
                <w:szCs w:val="20"/>
              </w:rPr>
              <w:t>对方部门</w:t>
            </w:r>
          </w:p>
        </w:tc>
        <w:tc>
          <w:tcPr>
            <w:tcW w:w="6804" w:type="dxa"/>
          </w:tcPr>
          <w:p w14:paraId="28355AE7" w14:textId="77777777" w:rsidR="00A052DC" w:rsidRDefault="009F0A60">
            <w:pPr>
              <w:pStyle w:val="B"/>
              <w:rPr>
                <w:szCs w:val="20"/>
              </w:rPr>
            </w:pPr>
            <w:r>
              <w:rPr>
                <w:rFonts w:hint="eastAsia"/>
                <w:szCs w:val="20"/>
              </w:rPr>
              <w:t>必填项，</w:t>
            </w:r>
            <w:r>
              <w:rPr>
                <w:szCs w:val="20"/>
              </w:rPr>
              <w:t>5</w:t>
            </w:r>
            <w:r>
              <w:rPr>
                <w:rFonts w:hint="eastAsia"/>
                <w:szCs w:val="20"/>
              </w:rPr>
              <w:t>或6，见投资者（被投资者）部门代码表。5仅限于非银行金融机构类申报主体在特定情况下填报，并需备注。</w:t>
            </w:r>
          </w:p>
        </w:tc>
      </w:tr>
      <w:tr w:rsidR="00A052DC" w14:paraId="0D76191C" w14:textId="77777777">
        <w:trPr>
          <w:cantSplit/>
        </w:trPr>
        <w:tc>
          <w:tcPr>
            <w:tcW w:w="1668" w:type="dxa"/>
          </w:tcPr>
          <w:p w14:paraId="20739FA7" w14:textId="77777777" w:rsidR="00A052DC" w:rsidRDefault="009F0A60">
            <w:pPr>
              <w:pStyle w:val="B"/>
              <w:rPr>
                <w:szCs w:val="20"/>
              </w:rPr>
            </w:pPr>
            <w:r>
              <w:rPr>
                <w:rFonts w:hint="eastAsia"/>
                <w:szCs w:val="20"/>
              </w:rPr>
              <w:t>对方与本机构的关系</w:t>
            </w:r>
          </w:p>
        </w:tc>
        <w:tc>
          <w:tcPr>
            <w:tcW w:w="6804" w:type="dxa"/>
          </w:tcPr>
          <w:p w14:paraId="0EC09739" w14:textId="77777777" w:rsidR="00A052DC" w:rsidRDefault="009F0A60">
            <w:pPr>
              <w:pStyle w:val="B"/>
              <w:rPr>
                <w:szCs w:val="20"/>
              </w:rPr>
            </w:pPr>
            <w:r>
              <w:rPr>
                <w:rFonts w:hint="eastAsia"/>
                <w:szCs w:val="20"/>
              </w:rPr>
              <w:t>见对方与本机构</w:t>
            </w:r>
            <w:r>
              <w:rPr>
                <w:szCs w:val="20"/>
              </w:rPr>
              <w:t>/</w:t>
            </w:r>
            <w:r>
              <w:rPr>
                <w:rFonts w:hint="eastAsia"/>
                <w:szCs w:val="20"/>
              </w:rPr>
              <w:t>被代理居民机构</w:t>
            </w:r>
            <w:r>
              <w:rPr>
                <w:szCs w:val="20"/>
              </w:rPr>
              <w:t>/</w:t>
            </w:r>
            <w:r>
              <w:rPr>
                <w:rFonts w:hint="eastAsia"/>
                <w:szCs w:val="20"/>
              </w:rPr>
              <w:t>委托人的关系代码表。分为以下四种情况：</w:t>
            </w:r>
            <w:r>
              <w:rPr>
                <w:szCs w:val="20"/>
              </w:rPr>
              <w:t>1-</w:t>
            </w:r>
            <w:r>
              <w:rPr>
                <w:rFonts w:hint="eastAsia"/>
                <w:szCs w:val="20"/>
              </w:rPr>
              <w:t>对方是本机构的境外直接投资者，即持有本机构表决权≥</w:t>
            </w:r>
            <w:r>
              <w:rPr>
                <w:szCs w:val="20"/>
              </w:rPr>
              <w:t>10%</w:t>
            </w:r>
            <w:r>
              <w:rPr>
                <w:rFonts w:hint="eastAsia"/>
                <w:szCs w:val="20"/>
              </w:rPr>
              <w:t>；</w:t>
            </w:r>
            <w:r>
              <w:rPr>
                <w:szCs w:val="20"/>
              </w:rPr>
              <w:t>2-</w:t>
            </w:r>
            <w:r>
              <w:rPr>
                <w:rFonts w:hint="eastAsia"/>
                <w:szCs w:val="20"/>
              </w:rPr>
              <w:t>对方是本机构的境外直接投资企业，即本机构持有表决权在</w:t>
            </w:r>
            <w:r>
              <w:rPr>
                <w:szCs w:val="20"/>
              </w:rPr>
              <w:t>10%</w:t>
            </w:r>
            <w:r>
              <w:rPr>
                <w:rFonts w:hint="eastAsia"/>
                <w:szCs w:val="20"/>
              </w:rPr>
              <w:t>及以上的境外分支机构、子机构、联营机构或合营机构；</w:t>
            </w:r>
            <w:r>
              <w:rPr>
                <w:szCs w:val="20"/>
              </w:rPr>
              <w:t>3-</w:t>
            </w:r>
            <w:r>
              <w:rPr>
                <w:rFonts w:hint="eastAsia"/>
                <w:szCs w:val="20"/>
              </w:rPr>
              <w:t>对方是本机构的境外联属机构，即双方有共同母公司，但相互持有表决权＜</w:t>
            </w:r>
            <w:r>
              <w:rPr>
                <w:szCs w:val="20"/>
              </w:rPr>
              <w:t>10%</w:t>
            </w:r>
            <w:r>
              <w:rPr>
                <w:rFonts w:hint="eastAsia"/>
                <w:szCs w:val="20"/>
              </w:rPr>
              <w:t>或相互不持有表决权；</w:t>
            </w:r>
            <w:r>
              <w:rPr>
                <w:szCs w:val="20"/>
              </w:rPr>
              <w:t>4-</w:t>
            </w:r>
            <w:r>
              <w:rPr>
                <w:rFonts w:hint="eastAsia"/>
                <w:szCs w:val="20"/>
              </w:rPr>
              <w:t>对方与本机构无关联关系。</w:t>
            </w:r>
          </w:p>
        </w:tc>
      </w:tr>
      <w:tr w:rsidR="00A052DC" w14:paraId="4F992151" w14:textId="77777777">
        <w:trPr>
          <w:cantSplit/>
        </w:trPr>
        <w:tc>
          <w:tcPr>
            <w:tcW w:w="1668" w:type="dxa"/>
          </w:tcPr>
          <w:p w14:paraId="06AE11E1" w14:textId="77777777" w:rsidR="00A052DC" w:rsidRDefault="009F0A60">
            <w:pPr>
              <w:pStyle w:val="B"/>
              <w:rPr>
                <w:szCs w:val="20"/>
              </w:rPr>
            </w:pPr>
            <w:r>
              <w:rPr>
                <w:rFonts w:hint="eastAsia"/>
                <w:szCs w:val="20"/>
              </w:rPr>
              <w:t>原始期限</w:t>
            </w:r>
          </w:p>
        </w:tc>
        <w:tc>
          <w:tcPr>
            <w:tcW w:w="6804" w:type="dxa"/>
          </w:tcPr>
          <w:p w14:paraId="5EF09BE2" w14:textId="77777777" w:rsidR="00A052DC" w:rsidRDefault="009F0A60">
            <w:pPr>
              <w:pStyle w:val="B"/>
              <w:rPr>
                <w:szCs w:val="20"/>
              </w:rPr>
            </w:pPr>
            <w:r>
              <w:rPr>
                <w:rFonts w:hint="eastAsia"/>
                <w:szCs w:val="20"/>
              </w:rPr>
              <w:t>包括：</w:t>
            </w:r>
            <w:r>
              <w:rPr>
                <w:szCs w:val="20"/>
              </w:rPr>
              <w:t>1-</w:t>
            </w:r>
            <w:r>
              <w:rPr>
                <w:rFonts w:hint="eastAsia"/>
                <w:szCs w:val="20"/>
              </w:rPr>
              <w:t>一年及以下（含活期或不定期）；</w:t>
            </w:r>
            <w:r>
              <w:rPr>
                <w:szCs w:val="20"/>
              </w:rPr>
              <w:t>2-</w:t>
            </w:r>
            <w:r>
              <w:rPr>
                <w:rFonts w:hint="eastAsia"/>
                <w:szCs w:val="20"/>
              </w:rPr>
              <w:t>一年以上。</w:t>
            </w:r>
          </w:p>
        </w:tc>
      </w:tr>
      <w:tr w:rsidR="00A052DC" w14:paraId="7F27EDAD" w14:textId="77777777">
        <w:trPr>
          <w:cantSplit/>
        </w:trPr>
        <w:tc>
          <w:tcPr>
            <w:tcW w:w="1668" w:type="dxa"/>
          </w:tcPr>
          <w:p w14:paraId="409FEFB3" w14:textId="77777777" w:rsidR="00A052DC" w:rsidRDefault="009F0A60">
            <w:pPr>
              <w:pStyle w:val="B"/>
              <w:rPr>
                <w:szCs w:val="20"/>
              </w:rPr>
            </w:pPr>
            <w:r>
              <w:rPr>
                <w:rFonts w:hint="eastAsia"/>
                <w:szCs w:val="20"/>
              </w:rPr>
              <w:t>原始币种</w:t>
            </w:r>
          </w:p>
        </w:tc>
        <w:tc>
          <w:tcPr>
            <w:tcW w:w="6804" w:type="dxa"/>
          </w:tcPr>
          <w:p w14:paraId="52BB869C" w14:textId="77777777" w:rsidR="00A052DC" w:rsidRDefault="009F0A60">
            <w:pPr>
              <w:pStyle w:val="B"/>
              <w:rPr>
                <w:szCs w:val="20"/>
              </w:rPr>
            </w:pPr>
            <w:r>
              <w:rPr>
                <w:rFonts w:hint="eastAsia"/>
                <w:szCs w:val="20"/>
              </w:rPr>
              <w:t>指存款的记账币种（入账币种）。</w:t>
            </w:r>
          </w:p>
        </w:tc>
      </w:tr>
      <w:tr w:rsidR="00A052DC" w14:paraId="2B289C06" w14:textId="77777777">
        <w:trPr>
          <w:cantSplit/>
        </w:trPr>
        <w:tc>
          <w:tcPr>
            <w:tcW w:w="1668" w:type="dxa"/>
          </w:tcPr>
          <w:p w14:paraId="39D61257" w14:textId="77777777" w:rsidR="00A052DC" w:rsidRDefault="009F0A60">
            <w:pPr>
              <w:pStyle w:val="B"/>
              <w:rPr>
                <w:szCs w:val="20"/>
              </w:rPr>
            </w:pPr>
            <w:r>
              <w:rPr>
                <w:rFonts w:hint="eastAsia"/>
                <w:szCs w:val="20"/>
              </w:rPr>
              <w:t>上月末本金余额</w:t>
            </w:r>
          </w:p>
        </w:tc>
        <w:tc>
          <w:tcPr>
            <w:tcW w:w="6804" w:type="dxa"/>
          </w:tcPr>
          <w:p w14:paraId="648A5D42" w14:textId="77777777" w:rsidR="00A052DC" w:rsidRDefault="009F0A60">
            <w:pPr>
              <w:pStyle w:val="B"/>
              <w:rPr>
                <w:szCs w:val="20"/>
              </w:rPr>
            </w:pPr>
            <w:r>
              <w:rPr>
                <w:rFonts w:hint="eastAsia"/>
                <w:szCs w:val="20"/>
              </w:rPr>
              <w:t>指上月末非居民个人在本机构存放款项的余额。</w:t>
            </w:r>
          </w:p>
        </w:tc>
      </w:tr>
      <w:tr w:rsidR="00A052DC" w14:paraId="66EACF10" w14:textId="77777777">
        <w:trPr>
          <w:cantSplit/>
        </w:trPr>
        <w:tc>
          <w:tcPr>
            <w:tcW w:w="1668" w:type="dxa"/>
          </w:tcPr>
          <w:p w14:paraId="4FF64CFF" w14:textId="77777777" w:rsidR="00A052DC" w:rsidRDefault="009F0A60">
            <w:pPr>
              <w:pStyle w:val="B"/>
              <w:rPr>
                <w:szCs w:val="20"/>
              </w:rPr>
            </w:pPr>
            <w:r>
              <w:rPr>
                <w:rFonts w:hint="eastAsia"/>
                <w:szCs w:val="20"/>
              </w:rPr>
              <w:t>上月末应付利息余额</w:t>
            </w:r>
          </w:p>
        </w:tc>
        <w:tc>
          <w:tcPr>
            <w:tcW w:w="6804" w:type="dxa"/>
          </w:tcPr>
          <w:p w14:paraId="36F4C308" w14:textId="77777777" w:rsidR="00A052DC" w:rsidRDefault="009F0A60">
            <w:pPr>
              <w:pStyle w:val="B"/>
              <w:rPr>
                <w:szCs w:val="20"/>
              </w:rPr>
            </w:pPr>
            <w:r>
              <w:rPr>
                <w:rFonts w:hint="eastAsia"/>
                <w:szCs w:val="20"/>
              </w:rPr>
              <w:t>指上月末本机构因吸收非居民个人存放款项而产生的应付未付利息余额。对于已结转为本金的利息，应纳入本金余额统计。</w:t>
            </w:r>
          </w:p>
        </w:tc>
      </w:tr>
      <w:tr w:rsidR="00A052DC" w14:paraId="76D76E5D" w14:textId="77777777">
        <w:trPr>
          <w:cantSplit/>
        </w:trPr>
        <w:tc>
          <w:tcPr>
            <w:tcW w:w="1668" w:type="dxa"/>
          </w:tcPr>
          <w:p w14:paraId="59168BC0" w14:textId="77777777" w:rsidR="00A052DC" w:rsidRDefault="009F0A60">
            <w:pPr>
              <w:pStyle w:val="B"/>
              <w:rPr>
                <w:szCs w:val="20"/>
              </w:rPr>
            </w:pPr>
            <w:r>
              <w:rPr>
                <w:rFonts w:hint="eastAsia"/>
                <w:szCs w:val="20"/>
              </w:rPr>
              <w:t>本月末本金余额</w:t>
            </w:r>
          </w:p>
        </w:tc>
        <w:tc>
          <w:tcPr>
            <w:tcW w:w="6804" w:type="dxa"/>
          </w:tcPr>
          <w:p w14:paraId="50FC3704" w14:textId="77777777" w:rsidR="00A052DC" w:rsidRDefault="009F0A60">
            <w:pPr>
              <w:pStyle w:val="B"/>
              <w:rPr>
                <w:szCs w:val="20"/>
              </w:rPr>
            </w:pPr>
            <w:r>
              <w:rPr>
                <w:rFonts w:hint="eastAsia"/>
                <w:szCs w:val="20"/>
              </w:rPr>
              <w:t>指本月末非居民个人存款主体在本机构存放款项的余额。</w:t>
            </w:r>
          </w:p>
        </w:tc>
      </w:tr>
      <w:tr w:rsidR="00A052DC" w14:paraId="65AD2B23" w14:textId="77777777">
        <w:trPr>
          <w:cantSplit/>
        </w:trPr>
        <w:tc>
          <w:tcPr>
            <w:tcW w:w="1668" w:type="dxa"/>
          </w:tcPr>
          <w:p w14:paraId="41B1E4CA" w14:textId="77777777" w:rsidR="00A052DC" w:rsidRDefault="009F0A60">
            <w:pPr>
              <w:pStyle w:val="B"/>
              <w:rPr>
                <w:szCs w:val="20"/>
              </w:rPr>
            </w:pPr>
            <w:r>
              <w:rPr>
                <w:rFonts w:hint="eastAsia"/>
                <w:szCs w:val="20"/>
              </w:rPr>
              <w:t>本月末本金余额其中：剩余期限在一年及以下</w:t>
            </w:r>
          </w:p>
        </w:tc>
        <w:tc>
          <w:tcPr>
            <w:tcW w:w="6804" w:type="dxa"/>
          </w:tcPr>
          <w:p w14:paraId="60A2EEB9" w14:textId="77777777" w:rsidR="00A052DC" w:rsidRDefault="009F0A60">
            <w:pPr>
              <w:pStyle w:val="B"/>
              <w:rPr>
                <w:szCs w:val="20"/>
              </w:rPr>
            </w:pPr>
            <w:r>
              <w:rPr>
                <w:rFonts w:hint="eastAsia"/>
                <w:szCs w:val="20"/>
              </w:rPr>
              <w:t>指自本月末至最终到期在一年及以下的非居民个人在本机构存放款项的余额。其与“本月末本金余额”项目的关系为：本月末本金余额≥本月末本金余额：其中剩余期限在一年及以下。</w:t>
            </w:r>
          </w:p>
        </w:tc>
      </w:tr>
      <w:tr w:rsidR="00A052DC" w14:paraId="63265517" w14:textId="77777777">
        <w:trPr>
          <w:cantSplit/>
        </w:trPr>
        <w:tc>
          <w:tcPr>
            <w:tcW w:w="1668" w:type="dxa"/>
          </w:tcPr>
          <w:p w14:paraId="3F5CC830" w14:textId="77777777" w:rsidR="00A052DC" w:rsidRDefault="009F0A60">
            <w:pPr>
              <w:pStyle w:val="B"/>
              <w:rPr>
                <w:szCs w:val="20"/>
              </w:rPr>
            </w:pPr>
            <w:r>
              <w:rPr>
                <w:rFonts w:hint="eastAsia"/>
                <w:szCs w:val="20"/>
              </w:rPr>
              <w:t>本月末应付利息余额</w:t>
            </w:r>
          </w:p>
        </w:tc>
        <w:tc>
          <w:tcPr>
            <w:tcW w:w="6804" w:type="dxa"/>
          </w:tcPr>
          <w:p w14:paraId="6578B78C" w14:textId="77777777" w:rsidR="00A052DC" w:rsidRDefault="009F0A60">
            <w:pPr>
              <w:pStyle w:val="B"/>
              <w:rPr>
                <w:szCs w:val="20"/>
              </w:rPr>
            </w:pPr>
            <w:r>
              <w:rPr>
                <w:rFonts w:hint="eastAsia"/>
                <w:szCs w:val="20"/>
              </w:rPr>
              <w:t>指本月末因吸收非居民个人存放款项而产生的应付未付利息余额。对于已结转为本金的利息，应纳入本金余额统计。</w:t>
            </w:r>
          </w:p>
        </w:tc>
      </w:tr>
      <w:tr w:rsidR="00A052DC" w14:paraId="363030B2" w14:textId="77777777">
        <w:trPr>
          <w:cantSplit/>
        </w:trPr>
        <w:tc>
          <w:tcPr>
            <w:tcW w:w="1668" w:type="dxa"/>
          </w:tcPr>
          <w:p w14:paraId="509B4E63" w14:textId="77777777" w:rsidR="00A052DC" w:rsidRDefault="009F0A60">
            <w:pPr>
              <w:pStyle w:val="B"/>
              <w:rPr>
                <w:szCs w:val="20"/>
              </w:rPr>
            </w:pPr>
            <w:r>
              <w:rPr>
                <w:rFonts w:hint="eastAsia"/>
                <w:szCs w:val="20"/>
              </w:rPr>
              <w:t>本月非交易变动</w:t>
            </w:r>
          </w:p>
        </w:tc>
        <w:tc>
          <w:tcPr>
            <w:tcW w:w="6804" w:type="dxa"/>
          </w:tcPr>
          <w:p w14:paraId="711B0F8B" w14:textId="77777777" w:rsidR="00A052DC" w:rsidRDefault="009F0A60">
            <w:pPr>
              <w:pStyle w:val="B"/>
              <w:rPr>
                <w:szCs w:val="20"/>
              </w:rPr>
            </w:pPr>
            <w:r>
              <w:rPr>
                <w:rFonts w:hint="eastAsia"/>
                <w:szCs w:val="20"/>
              </w:rPr>
              <w:t>指本月因撤销或注销、重新分类以及所涉主体居民地位改变等因素导致境外主体在本金融机构存放款项变动的净额。</w:t>
            </w:r>
          </w:p>
        </w:tc>
      </w:tr>
      <w:tr w:rsidR="00A052DC" w14:paraId="25274C00" w14:textId="77777777">
        <w:trPr>
          <w:cantSplit/>
        </w:trPr>
        <w:tc>
          <w:tcPr>
            <w:tcW w:w="1668" w:type="dxa"/>
          </w:tcPr>
          <w:p w14:paraId="71C8F766" w14:textId="77777777" w:rsidR="00A052DC" w:rsidRDefault="009F0A60">
            <w:pPr>
              <w:pStyle w:val="B"/>
              <w:rPr>
                <w:szCs w:val="20"/>
              </w:rPr>
            </w:pPr>
            <w:r>
              <w:rPr>
                <w:rFonts w:hint="eastAsia"/>
                <w:szCs w:val="20"/>
              </w:rPr>
              <w:t>本月净发生额</w:t>
            </w:r>
          </w:p>
        </w:tc>
        <w:tc>
          <w:tcPr>
            <w:tcW w:w="6804" w:type="dxa"/>
          </w:tcPr>
          <w:p w14:paraId="45C802FC" w14:textId="77777777" w:rsidR="00A052DC" w:rsidRDefault="009F0A60">
            <w:pPr>
              <w:pStyle w:val="B"/>
              <w:rPr>
                <w:szCs w:val="20"/>
              </w:rPr>
            </w:pPr>
            <w:r>
              <w:rPr>
                <w:rFonts w:hint="eastAsia"/>
                <w:color w:val="000000"/>
              </w:rPr>
              <w:t>指非居民存款主体本月在本机构存放款项的净发生额（境外存放</w:t>
            </w:r>
            <w:r>
              <w:rPr>
                <w:color w:val="000000"/>
              </w:rPr>
              <w:t>-存款调出</w:t>
            </w:r>
            <w:r>
              <w:rPr>
                <w:rFonts w:hint="eastAsia"/>
                <w:color w:val="000000"/>
              </w:rPr>
              <w:t>），以及应计利息的净发生额。</w:t>
            </w:r>
            <w:r>
              <w:rPr>
                <w:rFonts w:hint="eastAsia"/>
              </w:rPr>
              <w:t>正值代表负债的增加，负值代表负债的减少。计算公式：本月净发生额</w:t>
            </w:r>
            <w:r>
              <w:t>=</w:t>
            </w:r>
            <w:r>
              <w:rPr>
                <w:rFonts w:hint="eastAsia"/>
              </w:rPr>
              <w:t>（本月末本金余额</w:t>
            </w:r>
            <w:r>
              <w:t>+</w:t>
            </w:r>
            <w:r>
              <w:rPr>
                <w:rFonts w:hint="eastAsia"/>
              </w:rPr>
              <w:t>本月末应付利息余额）</w:t>
            </w:r>
            <w:r>
              <w:t>-</w:t>
            </w:r>
            <w:r>
              <w:rPr>
                <w:rFonts w:hint="eastAsia"/>
              </w:rPr>
              <w:t>（上月末本金余额</w:t>
            </w:r>
            <w:r>
              <w:t>+</w:t>
            </w:r>
            <w:r>
              <w:rPr>
                <w:rFonts w:hint="eastAsia"/>
              </w:rPr>
              <w:t>上月末应付利息余额）</w:t>
            </w:r>
            <w:r>
              <w:t>-</w:t>
            </w:r>
            <w:r>
              <w:rPr>
                <w:rFonts w:hint="eastAsia"/>
              </w:rPr>
              <w:t>本月非交易变动。</w:t>
            </w:r>
          </w:p>
        </w:tc>
      </w:tr>
      <w:tr w:rsidR="00A052DC" w14:paraId="0180A9CB" w14:textId="77777777">
        <w:trPr>
          <w:cantSplit/>
        </w:trPr>
        <w:tc>
          <w:tcPr>
            <w:tcW w:w="1668" w:type="dxa"/>
          </w:tcPr>
          <w:p w14:paraId="6F9B564B" w14:textId="77777777" w:rsidR="00A052DC" w:rsidRDefault="009F0A60">
            <w:pPr>
              <w:pStyle w:val="B"/>
              <w:rPr>
                <w:szCs w:val="20"/>
              </w:rPr>
            </w:pPr>
            <w:r>
              <w:rPr>
                <w:rFonts w:hint="eastAsia"/>
                <w:szCs w:val="20"/>
              </w:rPr>
              <w:t>本月利息支出</w:t>
            </w:r>
          </w:p>
        </w:tc>
        <w:tc>
          <w:tcPr>
            <w:tcW w:w="6804" w:type="dxa"/>
          </w:tcPr>
          <w:p w14:paraId="354A6139" w14:textId="77777777" w:rsidR="00A052DC" w:rsidRDefault="009F0A60">
            <w:pPr>
              <w:pStyle w:val="B"/>
              <w:rPr>
                <w:szCs w:val="20"/>
              </w:rPr>
            </w:pPr>
            <w:r>
              <w:rPr>
                <w:rFonts w:hint="eastAsia"/>
                <w:szCs w:val="20"/>
              </w:rPr>
              <w:t>指本机构会计账上确认的对非居民个人存款利息支出。</w:t>
            </w:r>
          </w:p>
        </w:tc>
      </w:tr>
      <w:tr w:rsidR="00A052DC" w14:paraId="7D144519" w14:textId="77777777">
        <w:trPr>
          <w:cantSplit/>
        </w:trPr>
        <w:tc>
          <w:tcPr>
            <w:tcW w:w="1668" w:type="dxa"/>
          </w:tcPr>
          <w:p w14:paraId="3FFE7B4E" w14:textId="77777777" w:rsidR="00A052DC" w:rsidRDefault="009F0A60">
            <w:pPr>
              <w:pStyle w:val="B"/>
              <w:rPr>
                <w:szCs w:val="20"/>
              </w:rPr>
            </w:pPr>
            <w:r>
              <w:rPr>
                <w:rFonts w:hint="eastAsia"/>
                <w:szCs w:val="20"/>
              </w:rPr>
              <w:t>备注</w:t>
            </w:r>
          </w:p>
        </w:tc>
        <w:tc>
          <w:tcPr>
            <w:tcW w:w="6804" w:type="dxa"/>
          </w:tcPr>
          <w:p w14:paraId="20CD3FC6" w14:textId="77777777" w:rsidR="00A052DC" w:rsidRDefault="009F0A60">
            <w:pPr>
              <w:pStyle w:val="B"/>
              <w:rPr>
                <w:szCs w:val="20"/>
              </w:rPr>
            </w:pPr>
            <w:r>
              <w:rPr>
                <w:rFonts w:hint="eastAsia"/>
                <w:szCs w:val="20"/>
              </w:rPr>
              <w:t>需要说明的备注事项。</w:t>
            </w:r>
          </w:p>
        </w:tc>
      </w:tr>
    </w:tbl>
    <w:p w14:paraId="0DABDCCD" w14:textId="77777777" w:rsidR="00A052DC" w:rsidRDefault="009F0A60">
      <w:pPr>
        <w:pStyle w:val="4"/>
        <w:numPr>
          <w:ilvl w:val="3"/>
          <w:numId w:val="1"/>
        </w:numPr>
        <w:jc w:val="left"/>
      </w:pPr>
      <w:bookmarkStart w:id="3269" w:name="_Toc380570973"/>
      <w:bookmarkStart w:id="3270" w:name="_Toc454391326"/>
      <w:r>
        <w:rPr>
          <w:rFonts w:hint="eastAsia"/>
        </w:rPr>
        <w:t>数据格式</w:t>
      </w:r>
      <w:bookmarkEnd w:id="3269"/>
      <w:bookmarkEnd w:id="3270"/>
    </w:p>
    <w:p w14:paraId="15425CBF" w14:textId="77777777" w:rsidR="00A052DC" w:rsidRDefault="009F0A60">
      <w:pPr>
        <w:ind w:firstLineChars="202" w:firstLine="424"/>
      </w:pPr>
      <w:r>
        <w:t>&lt;REC&gt;</w:t>
      </w:r>
    </w:p>
    <w:p w14:paraId="2DECCEAC" w14:textId="77777777" w:rsidR="00A052DC" w:rsidRDefault="009F0A60">
      <w:pPr>
        <w:ind w:firstLineChars="202" w:firstLine="424"/>
      </w:pPr>
      <w:r>
        <w:t>&lt;ACTIONTYPE&gt;</w:t>
      </w:r>
      <w:r>
        <w:rPr>
          <w:rFonts w:hAnsi="宋体"/>
        </w:rPr>
        <w:t>操作类型</w:t>
      </w:r>
      <w:r>
        <w:t>&lt;/ACTIONTYPE&gt;</w:t>
      </w:r>
    </w:p>
    <w:p w14:paraId="70C17AAB" w14:textId="77777777" w:rsidR="00A052DC" w:rsidRDefault="009F0A60">
      <w:pPr>
        <w:ind w:firstLineChars="202" w:firstLine="424"/>
      </w:pPr>
      <w:r>
        <w:t>&lt;ACTIONDESC&gt;</w:t>
      </w:r>
      <w:r>
        <w:rPr>
          <w:rFonts w:hAnsi="宋体"/>
        </w:rPr>
        <w:t>删除原因</w:t>
      </w:r>
      <w:r>
        <w:t>&lt;/ACTIONDESC&gt;</w:t>
      </w:r>
    </w:p>
    <w:p w14:paraId="498BD853" w14:textId="77777777" w:rsidR="00A052DC" w:rsidRDefault="009F0A60">
      <w:pPr>
        <w:ind w:firstLineChars="202" w:firstLine="424"/>
      </w:pPr>
      <w:r>
        <w:t>&lt;SNOCODE&gt;</w:t>
      </w:r>
      <w:r>
        <w:rPr>
          <w:rFonts w:hAnsi="宋体"/>
        </w:rPr>
        <w:t>数据自编码</w:t>
      </w:r>
      <w:r>
        <w:t>&lt;/SNOCODE&gt;</w:t>
      </w:r>
    </w:p>
    <w:p w14:paraId="14F6B8B4" w14:textId="77777777" w:rsidR="00A052DC" w:rsidRDefault="009F0A60">
      <w:pPr>
        <w:ind w:firstLineChars="202" w:firstLine="424"/>
      </w:pPr>
      <w:r>
        <w:t>&lt;OBJCODE&gt;</w:t>
      </w:r>
      <w:r>
        <w:rPr>
          <w:rFonts w:hAnsi="宋体"/>
        </w:rPr>
        <w:t>申报主体代码</w:t>
      </w:r>
      <w:r>
        <w:t>&lt;/OBJCODE&gt;</w:t>
      </w:r>
    </w:p>
    <w:p w14:paraId="58188EFB" w14:textId="77777777" w:rsidR="00A052DC" w:rsidRDefault="009F0A60">
      <w:pPr>
        <w:ind w:firstLineChars="202" w:firstLine="424"/>
      </w:pPr>
      <w:r>
        <w:t>&lt;BUOCMONTH&gt;</w:t>
      </w:r>
      <w:r>
        <w:rPr>
          <w:rFonts w:hAnsi="宋体"/>
        </w:rPr>
        <w:t>报告期</w:t>
      </w:r>
      <w:r>
        <w:t>&lt;/BUOCMONTH&gt;</w:t>
      </w:r>
    </w:p>
    <w:p w14:paraId="413218DD" w14:textId="77777777" w:rsidR="00A052DC" w:rsidRDefault="009F0A60">
      <w:pPr>
        <w:ind w:firstLineChars="202" w:firstLine="424"/>
      </w:pPr>
      <w:r>
        <w:t>&lt;D0501&gt;</w:t>
      </w:r>
      <w:r>
        <w:rPr>
          <w:rFonts w:hAnsi="宋体"/>
        </w:rPr>
        <w:t>业务类别</w:t>
      </w:r>
      <w:r>
        <w:t>&lt;/D0501&gt;</w:t>
      </w:r>
    </w:p>
    <w:p w14:paraId="39F09C6B" w14:textId="77777777" w:rsidR="00A052DC" w:rsidRDefault="009F0A60">
      <w:pPr>
        <w:ind w:firstLineChars="202" w:firstLine="424"/>
      </w:pPr>
      <w:r>
        <w:t>&lt;D0502&gt;</w:t>
      </w:r>
      <w:r>
        <w:rPr>
          <w:rFonts w:hAnsi="宋体"/>
        </w:rPr>
        <w:t>对方国家</w:t>
      </w:r>
      <w:r>
        <w:t>/</w:t>
      </w:r>
      <w:r>
        <w:rPr>
          <w:rFonts w:hAnsi="宋体"/>
        </w:rPr>
        <w:t>地区</w:t>
      </w:r>
      <w:r>
        <w:t>&lt;/D0502&gt;</w:t>
      </w:r>
    </w:p>
    <w:p w14:paraId="5EAD8F4F" w14:textId="77777777" w:rsidR="00A052DC" w:rsidRDefault="009F0A60">
      <w:pPr>
        <w:ind w:firstLineChars="202" w:firstLine="424"/>
      </w:pPr>
      <w:r>
        <w:t>&lt;D0503&gt;</w:t>
      </w:r>
      <w:r>
        <w:rPr>
          <w:rFonts w:hAnsi="宋体"/>
        </w:rPr>
        <w:t>对方部门</w:t>
      </w:r>
      <w:r>
        <w:t>&lt;/D0503&gt;</w:t>
      </w:r>
    </w:p>
    <w:p w14:paraId="435FACC1" w14:textId="77777777" w:rsidR="00A052DC" w:rsidRDefault="009F0A60">
      <w:pPr>
        <w:ind w:firstLineChars="202" w:firstLine="424"/>
      </w:pPr>
      <w:r>
        <w:t>&lt;D0504&gt;</w:t>
      </w:r>
      <w:r>
        <w:rPr>
          <w:rFonts w:hAnsi="宋体"/>
        </w:rPr>
        <w:t>对方与本机构的关系</w:t>
      </w:r>
      <w:r>
        <w:t>&lt;/D0504&gt;</w:t>
      </w:r>
    </w:p>
    <w:p w14:paraId="487346E6" w14:textId="77777777" w:rsidR="00A052DC" w:rsidRDefault="009F0A60">
      <w:pPr>
        <w:ind w:firstLineChars="202" w:firstLine="424"/>
      </w:pPr>
      <w:r>
        <w:t>&lt;D0505&gt;</w:t>
      </w:r>
      <w:r>
        <w:rPr>
          <w:rFonts w:hAnsi="宋体"/>
        </w:rPr>
        <w:t>原始期限</w:t>
      </w:r>
      <w:r>
        <w:t>&lt;/D0505&gt;</w:t>
      </w:r>
    </w:p>
    <w:p w14:paraId="0973B6C8" w14:textId="77777777" w:rsidR="00A052DC" w:rsidRDefault="009F0A60">
      <w:pPr>
        <w:ind w:firstLineChars="202" w:firstLine="424"/>
      </w:pPr>
      <w:r>
        <w:t>&lt;D0506&gt;</w:t>
      </w:r>
      <w:r>
        <w:rPr>
          <w:rFonts w:hAnsi="宋体"/>
        </w:rPr>
        <w:t>原始币种</w:t>
      </w:r>
      <w:r>
        <w:t>&lt;/D0506&gt;</w:t>
      </w:r>
    </w:p>
    <w:p w14:paraId="3737C63D" w14:textId="77777777" w:rsidR="00A052DC" w:rsidRDefault="009F0A60">
      <w:pPr>
        <w:ind w:firstLineChars="202" w:firstLine="424"/>
      </w:pPr>
      <w:r>
        <w:t>&lt;D0507&gt;</w:t>
      </w:r>
      <w:r>
        <w:rPr>
          <w:rFonts w:hAnsi="宋体"/>
        </w:rPr>
        <w:t>上月末本金余额</w:t>
      </w:r>
      <w:r>
        <w:t>&lt;/D0507&gt;</w:t>
      </w:r>
    </w:p>
    <w:p w14:paraId="71BCD2BF" w14:textId="77777777" w:rsidR="00A052DC" w:rsidRDefault="009F0A60">
      <w:pPr>
        <w:ind w:firstLineChars="202" w:firstLine="424"/>
      </w:pPr>
      <w:r>
        <w:t>&lt;D0508&gt;</w:t>
      </w:r>
      <w:r>
        <w:rPr>
          <w:rFonts w:hAnsi="宋体"/>
        </w:rPr>
        <w:t>上月末应付利息余额</w:t>
      </w:r>
      <w:r>
        <w:t>&lt;/D0508&gt;</w:t>
      </w:r>
    </w:p>
    <w:p w14:paraId="73EDD940" w14:textId="77777777" w:rsidR="00A052DC" w:rsidRDefault="009F0A60">
      <w:pPr>
        <w:ind w:firstLineChars="202" w:firstLine="424"/>
      </w:pPr>
      <w:r>
        <w:t>&lt;D0509&gt;</w:t>
      </w:r>
      <w:r>
        <w:rPr>
          <w:rFonts w:hAnsi="宋体"/>
        </w:rPr>
        <w:t>本月末本金余额</w:t>
      </w:r>
      <w:r>
        <w:t>&lt;/D0509&gt;</w:t>
      </w:r>
    </w:p>
    <w:p w14:paraId="06B473CD" w14:textId="77777777" w:rsidR="00A052DC" w:rsidRDefault="009F0A60">
      <w:pPr>
        <w:ind w:firstLineChars="202" w:firstLine="424"/>
      </w:pPr>
      <w:r>
        <w:t>&lt;D0510&gt;</w:t>
      </w:r>
      <w:r>
        <w:rPr>
          <w:rFonts w:hAnsi="宋体"/>
        </w:rPr>
        <w:t>本月末本金余额其中：剩余期限在一年及以下</w:t>
      </w:r>
      <w:r>
        <w:t>&lt;/D0510&gt;</w:t>
      </w:r>
    </w:p>
    <w:p w14:paraId="53CB2336" w14:textId="77777777" w:rsidR="00A052DC" w:rsidRDefault="009F0A60">
      <w:pPr>
        <w:ind w:firstLineChars="202" w:firstLine="424"/>
      </w:pPr>
      <w:r>
        <w:t>&lt;D0511&gt;</w:t>
      </w:r>
      <w:r>
        <w:rPr>
          <w:rFonts w:hAnsi="宋体"/>
        </w:rPr>
        <w:t>本月末应付利息余额</w:t>
      </w:r>
      <w:r>
        <w:t>&lt;/D0511&gt;</w:t>
      </w:r>
    </w:p>
    <w:p w14:paraId="3312C11C" w14:textId="77777777" w:rsidR="00A052DC" w:rsidRDefault="009F0A60">
      <w:pPr>
        <w:ind w:firstLineChars="202" w:firstLine="424"/>
      </w:pPr>
      <w:r>
        <w:t>&lt;D0512&gt;</w:t>
      </w:r>
      <w:r>
        <w:rPr>
          <w:rFonts w:hAnsi="宋体"/>
        </w:rPr>
        <w:t>本月非交易变动</w:t>
      </w:r>
      <w:r>
        <w:t>&lt;/D0512&gt;</w:t>
      </w:r>
    </w:p>
    <w:p w14:paraId="718717A0" w14:textId="77777777" w:rsidR="00A052DC" w:rsidRDefault="009F0A60">
      <w:pPr>
        <w:ind w:firstLineChars="202" w:firstLine="424"/>
      </w:pPr>
      <w:r>
        <w:t>&lt;D0513&gt;</w:t>
      </w:r>
      <w:r>
        <w:rPr>
          <w:rFonts w:hAnsi="宋体"/>
        </w:rPr>
        <w:t>本月净发生额</w:t>
      </w:r>
      <w:r>
        <w:t>&lt;/D0513&gt;</w:t>
      </w:r>
    </w:p>
    <w:p w14:paraId="66A247C3" w14:textId="77777777" w:rsidR="00A052DC" w:rsidRDefault="009F0A60">
      <w:pPr>
        <w:ind w:firstLineChars="202" w:firstLine="424"/>
      </w:pPr>
      <w:r>
        <w:t>&lt;D0514&gt;</w:t>
      </w:r>
      <w:r>
        <w:rPr>
          <w:rFonts w:hAnsi="宋体"/>
        </w:rPr>
        <w:t>本月利息支出</w:t>
      </w:r>
      <w:r>
        <w:t>&lt;/D0514&gt;</w:t>
      </w:r>
    </w:p>
    <w:p w14:paraId="7AA800BE" w14:textId="77777777" w:rsidR="00A052DC" w:rsidRDefault="009F0A60">
      <w:pPr>
        <w:ind w:firstLineChars="202" w:firstLine="424"/>
      </w:pPr>
      <w:r>
        <w:t>&lt;REMARK&gt;</w:t>
      </w:r>
      <w:r>
        <w:rPr>
          <w:rFonts w:hAnsi="宋体"/>
        </w:rPr>
        <w:t>备注</w:t>
      </w:r>
      <w:r>
        <w:t>&lt;/REMARK&gt;</w:t>
      </w:r>
    </w:p>
    <w:p w14:paraId="1A31715C" w14:textId="77777777" w:rsidR="00A052DC" w:rsidRDefault="009F0A60">
      <w:pPr>
        <w:ind w:firstLineChars="202" w:firstLine="424"/>
      </w:pPr>
      <w:r>
        <w:t>&lt;/REC&gt;</w:t>
      </w:r>
    </w:p>
    <w:p w14:paraId="75D6A578" w14:textId="77777777" w:rsidR="00A052DC" w:rsidRDefault="009F0A60" w:rsidP="0020251D">
      <w:pPr>
        <w:pStyle w:val="4"/>
        <w:numPr>
          <w:ilvl w:val="3"/>
          <w:numId w:val="1"/>
        </w:numPr>
        <w:jc w:val="left"/>
      </w:pPr>
      <w:bookmarkStart w:id="3271" w:name="_Toc454391327"/>
      <w:bookmarkStart w:id="3272" w:name="_Toc380570974"/>
      <w:r>
        <w:rPr>
          <w:rFonts w:hint="eastAsia"/>
        </w:rPr>
        <w:t>数据字典</w:t>
      </w:r>
      <w:bookmarkEnd w:id="3271"/>
      <w:bookmarkEnd w:id="3272"/>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985"/>
        <w:gridCol w:w="1417"/>
        <w:gridCol w:w="3969"/>
      </w:tblGrid>
      <w:tr w:rsidR="00A052DC" w14:paraId="3C2B54FC" w14:textId="77777777">
        <w:trPr>
          <w:tblHeader/>
        </w:trPr>
        <w:tc>
          <w:tcPr>
            <w:tcW w:w="1242" w:type="dxa"/>
            <w:shd w:val="clear" w:color="auto" w:fill="C0C0C0"/>
          </w:tcPr>
          <w:p w14:paraId="4696DEA2" w14:textId="77777777" w:rsidR="00A052DC" w:rsidRDefault="009F0A60">
            <w:pPr>
              <w:pStyle w:val="B1"/>
            </w:pPr>
            <w:r>
              <w:rPr>
                <w:rFonts w:hint="eastAsia"/>
              </w:rPr>
              <w:t>字段</w:t>
            </w:r>
          </w:p>
        </w:tc>
        <w:tc>
          <w:tcPr>
            <w:tcW w:w="1985" w:type="dxa"/>
            <w:shd w:val="clear" w:color="auto" w:fill="C0C0C0"/>
          </w:tcPr>
          <w:p w14:paraId="24E7D860" w14:textId="77777777" w:rsidR="00A052DC" w:rsidRDefault="009F0A60">
            <w:pPr>
              <w:pStyle w:val="B1"/>
            </w:pPr>
            <w:r>
              <w:rPr>
                <w:rFonts w:hint="eastAsia"/>
              </w:rPr>
              <w:t>内容</w:t>
            </w:r>
          </w:p>
        </w:tc>
        <w:tc>
          <w:tcPr>
            <w:tcW w:w="1417" w:type="dxa"/>
            <w:shd w:val="clear" w:color="auto" w:fill="C0C0C0"/>
          </w:tcPr>
          <w:p w14:paraId="6D64A773" w14:textId="77777777" w:rsidR="00A052DC" w:rsidRDefault="009F0A60">
            <w:pPr>
              <w:pStyle w:val="B1"/>
            </w:pPr>
            <w:r>
              <w:rPr>
                <w:rFonts w:hint="eastAsia"/>
              </w:rPr>
              <w:t>类型（长度）</w:t>
            </w:r>
          </w:p>
        </w:tc>
        <w:tc>
          <w:tcPr>
            <w:tcW w:w="3969" w:type="dxa"/>
            <w:shd w:val="clear" w:color="auto" w:fill="C0C0C0"/>
          </w:tcPr>
          <w:p w14:paraId="4978D90B" w14:textId="77777777" w:rsidR="00A052DC" w:rsidRDefault="009F0A60">
            <w:pPr>
              <w:pStyle w:val="B1"/>
            </w:pPr>
            <w:r>
              <w:rPr>
                <w:rFonts w:hint="eastAsia"/>
              </w:rPr>
              <w:t>校验</w:t>
            </w:r>
          </w:p>
        </w:tc>
      </w:tr>
      <w:tr w:rsidR="00A052DC" w14:paraId="6E025A79" w14:textId="77777777">
        <w:tc>
          <w:tcPr>
            <w:tcW w:w="1242" w:type="dxa"/>
          </w:tcPr>
          <w:p w14:paraId="65682727" w14:textId="77777777" w:rsidR="00A052DC" w:rsidRDefault="009F0A60">
            <w:pPr>
              <w:pStyle w:val="B"/>
              <w:rPr>
                <w:szCs w:val="20"/>
              </w:rPr>
            </w:pPr>
            <w:r>
              <w:rPr>
                <w:szCs w:val="20"/>
              </w:rPr>
              <w:t>ACTIONTYPE</w:t>
            </w:r>
          </w:p>
        </w:tc>
        <w:tc>
          <w:tcPr>
            <w:tcW w:w="1985" w:type="dxa"/>
          </w:tcPr>
          <w:p w14:paraId="67B2FAAD" w14:textId="77777777" w:rsidR="00A052DC" w:rsidRDefault="009F0A60">
            <w:pPr>
              <w:pStyle w:val="B"/>
              <w:rPr>
                <w:szCs w:val="20"/>
              </w:rPr>
            </w:pPr>
            <w:r>
              <w:rPr>
                <w:rFonts w:hint="eastAsia"/>
                <w:szCs w:val="20"/>
              </w:rPr>
              <w:t>操作类型</w:t>
            </w:r>
          </w:p>
        </w:tc>
        <w:tc>
          <w:tcPr>
            <w:tcW w:w="1417" w:type="dxa"/>
          </w:tcPr>
          <w:p w14:paraId="5847B42F" w14:textId="77777777" w:rsidR="00A052DC" w:rsidRDefault="009F0A60">
            <w:pPr>
              <w:pStyle w:val="B"/>
              <w:rPr>
                <w:szCs w:val="20"/>
              </w:rPr>
            </w:pPr>
            <w:r>
              <w:rPr>
                <w:rFonts w:hint="eastAsia"/>
                <w:szCs w:val="20"/>
              </w:rPr>
              <w:t>字符型，</w:t>
            </w:r>
            <w:r>
              <w:rPr>
                <w:szCs w:val="20"/>
              </w:rPr>
              <w:t>1</w:t>
            </w:r>
          </w:p>
        </w:tc>
        <w:tc>
          <w:tcPr>
            <w:tcW w:w="3969" w:type="dxa"/>
          </w:tcPr>
          <w:p w14:paraId="51D85A25" w14:textId="77777777" w:rsidR="00A052DC" w:rsidRDefault="009F0A60">
            <w:pPr>
              <w:pStyle w:val="B"/>
              <w:rPr>
                <w:szCs w:val="20"/>
              </w:rPr>
            </w:pPr>
            <w:r>
              <w:rPr>
                <w:rFonts w:hint="eastAsia"/>
                <w:szCs w:val="20"/>
              </w:rPr>
              <w:t>必填项</w:t>
            </w:r>
            <w:r w:rsidR="004D1828">
              <w:rPr>
                <w:rFonts w:hint="eastAsia"/>
                <w:szCs w:val="20"/>
              </w:rPr>
              <w:t>。</w:t>
            </w:r>
          </w:p>
          <w:p w14:paraId="74072CEF" w14:textId="77777777" w:rsidR="00A052DC" w:rsidRDefault="009F0A60">
            <w:pPr>
              <w:pStyle w:val="B"/>
              <w:rPr>
                <w:szCs w:val="20"/>
              </w:rPr>
            </w:pPr>
            <w:r>
              <w:rPr>
                <w:szCs w:val="20"/>
              </w:rPr>
              <w:t>A</w:t>
            </w:r>
            <w:r w:rsidR="00AE4602">
              <w:rPr>
                <w:rFonts w:hint="eastAsia"/>
                <w:szCs w:val="20"/>
              </w:rPr>
              <w:t>-</w:t>
            </w:r>
            <w:r>
              <w:rPr>
                <w:rFonts w:hint="eastAsia"/>
                <w:szCs w:val="20"/>
              </w:rPr>
              <w:t>新建</w:t>
            </w:r>
          </w:p>
          <w:p w14:paraId="5253B174" w14:textId="77777777" w:rsidR="00A052DC" w:rsidRDefault="009F0A60">
            <w:pPr>
              <w:pStyle w:val="B"/>
              <w:rPr>
                <w:szCs w:val="20"/>
              </w:rPr>
            </w:pPr>
            <w:r>
              <w:rPr>
                <w:szCs w:val="20"/>
              </w:rPr>
              <w:t>C</w:t>
            </w:r>
            <w:r w:rsidR="00AE4602">
              <w:rPr>
                <w:rFonts w:hint="eastAsia"/>
                <w:szCs w:val="20"/>
              </w:rPr>
              <w:t>-</w:t>
            </w:r>
            <w:r>
              <w:rPr>
                <w:rFonts w:hint="eastAsia"/>
                <w:szCs w:val="20"/>
              </w:rPr>
              <w:t>修改</w:t>
            </w:r>
          </w:p>
          <w:p w14:paraId="6FCB86E1" w14:textId="77777777" w:rsidR="00A052DC" w:rsidRDefault="009F0A60">
            <w:pPr>
              <w:pStyle w:val="B"/>
              <w:rPr>
                <w:szCs w:val="20"/>
              </w:rPr>
            </w:pPr>
            <w:r>
              <w:rPr>
                <w:szCs w:val="20"/>
              </w:rPr>
              <w:t>D</w:t>
            </w:r>
            <w:r w:rsidR="00AE4602">
              <w:rPr>
                <w:rFonts w:hint="eastAsia"/>
                <w:szCs w:val="20"/>
              </w:rPr>
              <w:t>-</w:t>
            </w:r>
            <w:r>
              <w:rPr>
                <w:rFonts w:hint="eastAsia"/>
                <w:szCs w:val="20"/>
              </w:rPr>
              <w:t>删除</w:t>
            </w:r>
          </w:p>
        </w:tc>
      </w:tr>
      <w:tr w:rsidR="00A052DC" w14:paraId="2CF5BD44" w14:textId="77777777">
        <w:tc>
          <w:tcPr>
            <w:tcW w:w="1242" w:type="dxa"/>
          </w:tcPr>
          <w:p w14:paraId="6B55D428" w14:textId="77777777" w:rsidR="00A052DC" w:rsidRDefault="009F0A60">
            <w:pPr>
              <w:pStyle w:val="B"/>
              <w:rPr>
                <w:szCs w:val="20"/>
              </w:rPr>
            </w:pPr>
            <w:r>
              <w:rPr>
                <w:szCs w:val="20"/>
              </w:rPr>
              <w:t>ACTIONDESC</w:t>
            </w:r>
          </w:p>
        </w:tc>
        <w:tc>
          <w:tcPr>
            <w:tcW w:w="1985" w:type="dxa"/>
          </w:tcPr>
          <w:p w14:paraId="56B8FAA4" w14:textId="77777777" w:rsidR="00A052DC" w:rsidRDefault="009F0A60">
            <w:pPr>
              <w:pStyle w:val="B"/>
              <w:rPr>
                <w:szCs w:val="20"/>
              </w:rPr>
            </w:pPr>
            <w:r>
              <w:rPr>
                <w:rFonts w:hint="eastAsia"/>
                <w:szCs w:val="20"/>
              </w:rPr>
              <w:t>删除原因</w:t>
            </w:r>
          </w:p>
        </w:tc>
        <w:tc>
          <w:tcPr>
            <w:tcW w:w="1417" w:type="dxa"/>
          </w:tcPr>
          <w:p w14:paraId="11744604" w14:textId="77777777" w:rsidR="00A052DC" w:rsidRDefault="009F0A60">
            <w:pPr>
              <w:pStyle w:val="B"/>
              <w:rPr>
                <w:szCs w:val="20"/>
              </w:rPr>
            </w:pPr>
            <w:r>
              <w:rPr>
                <w:rFonts w:hint="eastAsia"/>
                <w:szCs w:val="20"/>
              </w:rPr>
              <w:t>字符型，</w:t>
            </w:r>
            <w:r>
              <w:rPr>
                <w:szCs w:val="20"/>
              </w:rPr>
              <w:t>128</w:t>
            </w:r>
          </w:p>
        </w:tc>
        <w:tc>
          <w:tcPr>
            <w:tcW w:w="3969" w:type="dxa"/>
          </w:tcPr>
          <w:p w14:paraId="34AEB22A" w14:textId="77777777" w:rsidR="00A052DC" w:rsidRDefault="00DD6AA3">
            <w:pPr>
              <w:pStyle w:val="B"/>
              <w:rPr>
                <w:szCs w:val="20"/>
              </w:rPr>
            </w:pPr>
            <w:r>
              <w:rPr>
                <w:rFonts w:hint="eastAsia"/>
                <w:szCs w:val="20"/>
              </w:rPr>
              <w:t>非必填项，当操作类型（ACTIONTYPE）为删除时必填。</w:t>
            </w:r>
          </w:p>
        </w:tc>
      </w:tr>
      <w:tr w:rsidR="00A052DC" w14:paraId="4DEED76A" w14:textId="77777777">
        <w:tc>
          <w:tcPr>
            <w:tcW w:w="1242" w:type="dxa"/>
          </w:tcPr>
          <w:p w14:paraId="6A6AA288" w14:textId="77777777" w:rsidR="00A052DC" w:rsidRDefault="009F0A60">
            <w:pPr>
              <w:pStyle w:val="B"/>
              <w:rPr>
                <w:szCs w:val="20"/>
              </w:rPr>
            </w:pPr>
            <w:r>
              <w:rPr>
                <w:szCs w:val="20"/>
              </w:rPr>
              <w:t>SNOCODE</w:t>
            </w:r>
          </w:p>
        </w:tc>
        <w:tc>
          <w:tcPr>
            <w:tcW w:w="1985" w:type="dxa"/>
          </w:tcPr>
          <w:p w14:paraId="17EA2A87" w14:textId="77777777" w:rsidR="00A052DC" w:rsidRDefault="009F0A60">
            <w:pPr>
              <w:pStyle w:val="B"/>
              <w:rPr>
                <w:szCs w:val="20"/>
              </w:rPr>
            </w:pPr>
            <w:r>
              <w:rPr>
                <w:rFonts w:hint="eastAsia"/>
                <w:szCs w:val="20"/>
              </w:rPr>
              <w:t>数据自编码</w:t>
            </w:r>
          </w:p>
        </w:tc>
        <w:tc>
          <w:tcPr>
            <w:tcW w:w="1417" w:type="dxa"/>
          </w:tcPr>
          <w:p w14:paraId="0D6E3ED5" w14:textId="77777777" w:rsidR="00A052DC" w:rsidRDefault="009F0A60">
            <w:pPr>
              <w:pStyle w:val="B"/>
              <w:rPr>
                <w:szCs w:val="20"/>
              </w:rPr>
            </w:pPr>
            <w:r>
              <w:rPr>
                <w:rFonts w:hint="eastAsia"/>
                <w:szCs w:val="20"/>
              </w:rPr>
              <w:t>字符型，36</w:t>
            </w:r>
          </w:p>
        </w:tc>
        <w:tc>
          <w:tcPr>
            <w:tcW w:w="3969" w:type="dxa"/>
          </w:tcPr>
          <w:p w14:paraId="596D3749" w14:textId="77777777" w:rsidR="00A052DC" w:rsidRDefault="009F0A60">
            <w:pPr>
              <w:pStyle w:val="B"/>
              <w:rPr>
                <w:szCs w:val="20"/>
              </w:rPr>
            </w:pPr>
            <w:r>
              <w:rPr>
                <w:rFonts w:hint="eastAsia"/>
                <w:szCs w:val="20"/>
              </w:rPr>
              <w:t>必填项。</w:t>
            </w:r>
            <w:r>
              <w:rPr>
                <w:szCs w:val="20"/>
              </w:rPr>
              <w:t>对于接口报送的填报主体，数据自编码中的报送期（6位）应与报告期（YYYYMM）一致。</w:t>
            </w:r>
          </w:p>
        </w:tc>
      </w:tr>
      <w:tr w:rsidR="00A052DC" w14:paraId="052537A2" w14:textId="77777777">
        <w:tc>
          <w:tcPr>
            <w:tcW w:w="1242" w:type="dxa"/>
          </w:tcPr>
          <w:p w14:paraId="5ECAECED" w14:textId="77777777" w:rsidR="00A052DC" w:rsidRDefault="009F0A60">
            <w:pPr>
              <w:pStyle w:val="B"/>
              <w:rPr>
                <w:szCs w:val="20"/>
              </w:rPr>
            </w:pPr>
            <w:r>
              <w:rPr>
                <w:szCs w:val="20"/>
              </w:rPr>
              <w:t>OBJCODE</w:t>
            </w:r>
          </w:p>
        </w:tc>
        <w:tc>
          <w:tcPr>
            <w:tcW w:w="1985" w:type="dxa"/>
          </w:tcPr>
          <w:p w14:paraId="29F01DC2" w14:textId="77777777" w:rsidR="00A052DC" w:rsidRDefault="009F0A60">
            <w:pPr>
              <w:pStyle w:val="B"/>
              <w:rPr>
                <w:szCs w:val="20"/>
              </w:rPr>
            </w:pPr>
            <w:r>
              <w:rPr>
                <w:rFonts w:hint="eastAsia"/>
                <w:szCs w:val="20"/>
              </w:rPr>
              <w:t>申报主体代码</w:t>
            </w:r>
          </w:p>
        </w:tc>
        <w:tc>
          <w:tcPr>
            <w:tcW w:w="1417" w:type="dxa"/>
          </w:tcPr>
          <w:p w14:paraId="7BB27743" w14:textId="77777777" w:rsidR="00A052DC" w:rsidRDefault="009F0A60">
            <w:pPr>
              <w:pStyle w:val="B"/>
              <w:rPr>
                <w:szCs w:val="20"/>
              </w:rPr>
            </w:pPr>
            <w:r>
              <w:rPr>
                <w:rFonts w:hint="eastAsia"/>
                <w:szCs w:val="20"/>
              </w:rPr>
              <w:t>字符型，</w:t>
            </w:r>
            <w:r>
              <w:rPr>
                <w:szCs w:val="20"/>
              </w:rPr>
              <w:t>1</w:t>
            </w:r>
            <w:r>
              <w:rPr>
                <w:rFonts w:hint="eastAsia"/>
                <w:szCs w:val="20"/>
              </w:rPr>
              <w:t>8</w:t>
            </w:r>
          </w:p>
        </w:tc>
        <w:tc>
          <w:tcPr>
            <w:tcW w:w="3969" w:type="dxa"/>
          </w:tcPr>
          <w:p w14:paraId="089632BD" w14:textId="77777777" w:rsidR="00A052DC" w:rsidRDefault="009F0A60">
            <w:pPr>
              <w:pStyle w:val="B"/>
              <w:rPr>
                <w:szCs w:val="20"/>
              </w:rPr>
            </w:pPr>
            <w:r>
              <w:rPr>
                <w:rFonts w:hint="eastAsia"/>
                <w:szCs w:val="20"/>
              </w:rPr>
              <w:t>申报主体的12位金融机构标识码，如果没有金融机构标识码，则填报统一社会信用代码法定载体（如营业执照）上统一社会信用代码中的第9至17位或国家外汇管理局及其分支局签发的特殊机构代码赋码通知书上的机构代码、个人身份代码。</w:t>
            </w:r>
          </w:p>
        </w:tc>
      </w:tr>
      <w:tr w:rsidR="00A052DC" w14:paraId="4125D172" w14:textId="77777777">
        <w:tc>
          <w:tcPr>
            <w:tcW w:w="1242" w:type="dxa"/>
          </w:tcPr>
          <w:p w14:paraId="7FD3F373" w14:textId="77777777" w:rsidR="00A052DC" w:rsidRDefault="009F0A60">
            <w:pPr>
              <w:pStyle w:val="B"/>
              <w:rPr>
                <w:szCs w:val="20"/>
              </w:rPr>
            </w:pPr>
            <w:r>
              <w:rPr>
                <w:szCs w:val="20"/>
              </w:rPr>
              <w:t>BUOCMONTH</w:t>
            </w:r>
          </w:p>
        </w:tc>
        <w:tc>
          <w:tcPr>
            <w:tcW w:w="1985" w:type="dxa"/>
          </w:tcPr>
          <w:p w14:paraId="012F8C6D" w14:textId="77777777" w:rsidR="00A052DC" w:rsidRDefault="009F0A60">
            <w:pPr>
              <w:pStyle w:val="B"/>
              <w:rPr>
                <w:szCs w:val="20"/>
              </w:rPr>
            </w:pPr>
            <w:r>
              <w:rPr>
                <w:rFonts w:hint="eastAsia"/>
                <w:szCs w:val="20"/>
              </w:rPr>
              <w:t>报告期</w:t>
            </w:r>
          </w:p>
        </w:tc>
        <w:tc>
          <w:tcPr>
            <w:tcW w:w="1417" w:type="dxa"/>
          </w:tcPr>
          <w:p w14:paraId="182AD8A3" w14:textId="77777777" w:rsidR="00A052DC" w:rsidRDefault="009F0A60">
            <w:pPr>
              <w:pStyle w:val="B"/>
              <w:rPr>
                <w:szCs w:val="20"/>
              </w:rPr>
            </w:pPr>
            <w:r>
              <w:rPr>
                <w:rFonts w:hint="eastAsia"/>
                <w:szCs w:val="20"/>
              </w:rPr>
              <w:t>数值型，</w:t>
            </w:r>
            <w:r>
              <w:rPr>
                <w:szCs w:val="20"/>
              </w:rPr>
              <w:t>6</w:t>
            </w:r>
          </w:p>
        </w:tc>
        <w:tc>
          <w:tcPr>
            <w:tcW w:w="3969" w:type="dxa"/>
          </w:tcPr>
          <w:p w14:paraId="3EC5B10B" w14:textId="77777777" w:rsidR="00A052DC" w:rsidRDefault="009F0A60">
            <w:pPr>
              <w:pStyle w:val="B"/>
              <w:rPr>
                <w:szCs w:val="20"/>
              </w:rPr>
            </w:pPr>
            <w:r>
              <w:rPr>
                <w:rFonts w:hint="eastAsia"/>
                <w:szCs w:val="20"/>
              </w:rPr>
              <w:t>必填项，格式为</w:t>
            </w:r>
            <w:r>
              <w:rPr>
                <w:szCs w:val="20"/>
              </w:rPr>
              <w:t>YYYYMM</w:t>
            </w:r>
            <w:r>
              <w:rPr>
                <w:rFonts w:hint="eastAsia"/>
                <w:szCs w:val="20"/>
              </w:rPr>
              <w:t>。</w:t>
            </w:r>
          </w:p>
        </w:tc>
      </w:tr>
      <w:tr w:rsidR="00A052DC" w14:paraId="72F91BB5" w14:textId="77777777">
        <w:tc>
          <w:tcPr>
            <w:tcW w:w="1242" w:type="dxa"/>
          </w:tcPr>
          <w:p w14:paraId="62E0C77F" w14:textId="77777777" w:rsidR="00A052DC" w:rsidRDefault="009F0A60">
            <w:pPr>
              <w:pStyle w:val="B"/>
              <w:rPr>
                <w:szCs w:val="20"/>
              </w:rPr>
            </w:pPr>
            <w:r>
              <w:rPr>
                <w:szCs w:val="20"/>
              </w:rPr>
              <w:t>D0501</w:t>
            </w:r>
          </w:p>
        </w:tc>
        <w:tc>
          <w:tcPr>
            <w:tcW w:w="1985" w:type="dxa"/>
          </w:tcPr>
          <w:p w14:paraId="64523F1B" w14:textId="77777777" w:rsidR="00A052DC" w:rsidRDefault="009F0A60">
            <w:pPr>
              <w:pStyle w:val="B"/>
              <w:rPr>
                <w:szCs w:val="20"/>
              </w:rPr>
            </w:pPr>
            <w:r>
              <w:rPr>
                <w:rFonts w:hint="eastAsia"/>
                <w:szCs w:val="20"/>
              </w:rPr>
              <w:t>业务类别</w:t>
            </w:r>
          </w:p>
        </w:tc>
        <w:tc>
          <w:tcPr>
            <w:tcW w:w="1417" w:type="dxa"/>
          </w:tcPr>
          <w:p w14:paraId="424BE532" w14:textId="77777777" w:rsidR="00A052DC" w:rsidRDefault="009F0A60">
            <w:pPr>
              <w:pStyle w:val="B"/>
              <w:rPr>
                <w:szCs w:val="20"/>
              </w:rPr>
            </w:pPr>
            <w:r>
              <w:rPr>
                <w:rFonts w:hint="eastAsia"/>
                <w:szCs w:val="20"/>
              </w:rPr>
              <w:t>整数型</w:t>
            </w:r>
          </w:p>
        </w:tc>
        <w:tc>
          <w:tcPr>
            <w:tcW w:w="3969" w:type="dxa"/>
          </w:tcPr>
          <w:p w14:paraId="74A488B3" w14:textId="77777777" w:rsidR="00A052DC" w:rsidRDefault="009F0A60">
            <w:pPr>
              <w:pStyle w:val="B"/>
              <w:rPr>
                <w:szCs w:val="20"/>
              </w:rPr>
            </w:pPr>
            <w:r>
              <w:rPr>
                <w:rFonts w:hint="eastAsia"/>
                <w:szCs w:val="20"/>
              </w:rPr>
              <w:t>必填项。必须4选1：</w:t>
            </w:r>
          </w:p>
          <w:p w14:paraId="671D3D8D" w14:textId="77777777" w:rsidR="00A052DC" w:rsidRDefault="009F0A60">
            <w:pPr>
              <w:pStyle w:val="B"/>
              <w:rPr>
                <w:szCs w:val="20"/>
              </w:rPr>
            </w:pPr>
            <w:r>
              <w:rPr>
                <w:rFonts w:hint="eastAsia"/>
                <w:szCs w:val="20"/>
              </w:rPr>
              <w:t>1-存款（境外同业存放）；</w:t>
            </w:r>
          </w:p>
          <w:p w14:paraId="67CF343E" w14:textId="77777777" w:rsidR="00A052DC" w:rsidRDefault="009F0A60">
            <w:pPr>
              <w:pStyle w:val="B"/>
              <w:rPr>
                <w:szCs w:val="20"/>
              </w:rPr>
            </w:pPr>
            <w:r>
              <w:rPr>
                <w:rFonts w:hint="eastAsia"/>
                <w:szCs w:val="20"/>
              </w:rPr>
              <w:t>2-账户金；</w:t>
            </w:r>
          </w:p>
          <w:p w14:paraId="13142F8E" w14:textId="77777777" w:rsidR="00A052DC" w:rsidRDefault="009F0A60">
            <w:pPr>
              <w:pStyle w:val="B"/>
              <w:rPr>
                <w:szCs w:val="20"/>
              </w:rPr>
            </w:pPr>
            <w:r>
              <w:rPr>
                <w:rFonts w:hint="eastAsia"/>
                <w:szCs w:val="20"/>
              </w:rPr>
              <w:t>3-存款（联行往来）；</w:t>
            </w:r>
          </w:p>
          <w:p w14:paraId="087105D3" w14:textId="77777777" w:rsidR="00A052DC" w:rsidRDefault="009F0A60">
            <w:pPr>
              <w:pStyle w:val="B"/>
              <w:rPr>
                <w:szCs w:val="20"/>
              </w:rPr>
            </w:pPr>
            <w:r>
              <w:rPr>
                <w:rFonts w:hint="eastAsia"/>
                <w:szCs w:val="20"/>
              </w:rPr>
              <w:t>4-其他存款。</w:t>
            </w:r>
          </w:p>
        </w:tc>
      </w:tr>
      <w:tr w:rsidR="00A052DC" w14:paraId="08FC2719" w14:textId="77777777">
        <w:tc>
          <w:tcPr>
            <w:tcW w:w="1242" w:type="dxa"/>
          </w:tcPr>
          <w:p w14:paraId="59A8E776" w14:textId="77777777" w:rsidR="00A052DC" w:rsidRDefault="009F0A60">
            <w:pPr>
              <w:pStyle w:val="B"/>
              <w:rPr>
                <w:szCs w:val="20"/>
              </w:rPr>
            </w:pPr>
            <w:r>
              <w:rPr>
                <w:szCs w:val="20"/>
              </w:rPr>
              <w:t>D0502</w:t>
            </w:r>
          </w:p>
        </w:tc>
        <w:tc>
          <w:tcPr>
            <w:tcW w:w="1985" w:type="dxa"/>
          </w:tcPr>
          <w:p w14:paraId="3FC48BAF" w14:textId="77777777" w:rsidR="00A052DC" w:rsidRDefault="009F0A60">
            <w:pPr>
              <w:pStyle w:val="B"/>
              <w:rPr>
                <w:szCs w:val="20"/>
              </w:rPr>
            </w:pPr>
            <w:r>
              <w:rPr>
                <w:rFonts w:hint="eastAsia"/>
                <w:szCs w:val="20"/>
              </w:rPr>
              <w:t>对方国家</w:t>
            </w:r>
            <w:r>
              <w:rPr>
                <w:szCs w:val="20"/>
              </w:rPr>
              <w:t>/</w:t>
            </w:r>
            <w:r>
              <w:rPr>
                <w:rFonts w:hint="eastAsia"/>
                <w:szCs w:val="20"/>
              </w:rPr>
              <w:t>地区</w:t>
            </w:r>
          </w:p>
        </w:tc>
        <w:tc>
          <w:tcPr>
            <w:tcW w:w="1417" w:type="dxa"/>
          </w:tcPr>
          <w:p w14:paraId="722F8F0A" w14:textId="77777777" w:rsidR="00A052DC" w:rsidRDefault="009F0A60">
            <w:pPr>
              <w:pStyle w:val="B"/>
              <w:rPr>
                <w:szCs w:val="20"/>
              </w:rPr>
            </w:pPr>
            <w:r>
              <w:rPr>
                <w:rFonts w:hint="eastAsia"/>
                <w:szCs w:val="20"/>
              </w:rPr>
              <w:t>字符型，</w:t>
            </w:r>
            <w:r>
              <w:rPr>
                <w:szCs w:val="20"/>
              </w:rPr>
              <w:t>3</w:t>
            </w:r>
          </w:p>
        </w:tc>
        <w:tc>
          <w:tcPr>
            <w:tcW w:w="3969" w:type="dxa"/>
          </w:tcPr>
          <w:p w14:paraId="258F6400" w14:textId="77777777" w:rsidR="00A052DC" w:rsidRDefault="009F0A60">
            <w:pPr>
              <w:pStyle w:val="B"/>
              <w:rPr>
                <w:szCs w:val="20"/>
              </w:rPr>
            </w:pPr>
            <w:r>
              <w:rPr>
                <w:rFonts w:hint="eastAsia"/>
                <w:szCs w:val="20"/>
              </w:rPr>
              <w:t>必填项，见国家和地区代码表的</w:t>
            </w:r>
            <w:r>
              <w:rPr>
                <w:szCs w:val="20"/>
              </w:rPr>
              <w:t>3</w:t>
            </w:r>
            <w:r>
              <w:rPr>
                <w:rFonts w:hint="eastAsia"/>
                <w:szCs w:val="20"/>
              </w:rPr>
              <w:t>位字母代码，必须≠</w:t>
            </w:r>
            <w:r>
              <w:rPr>
                <w:szCs w:val="20"/>
              </w:rPr>
              <w:t>CHN</w:t>
            </w:r>
            <w:r>
              <w:rPr>
                <w:rFonts w:hint="eastAsia"/>
                <w:szCs w:val="20"/>
              </w:rPr>
              <w:t>或N/A。</w:t>
            </w:r>
          </w:p>
        </w:tc>
      </w:tr>
      <w:tr w:rsidR="00A052DC" w14:paraId="2BAAC378" w14:textId="77777777">
        <w:tc>
          <w:tcPr>
            <w:tcW w:w="1242" w:type="dxa"/>
          </w:tcPr>
          <w:p w14:paraId="4C74AE6B" w14:textId="77777777" w:rsidR="00A052DC" w:rsidRDefault="009F0A60">
            <w:pPr>
              <w:pStyle w:val="B"/>
              <w:rPr>
                <w:szCs w:val="20"/>
              </w:rPr>
            </w:pPr>
            <w:r>
              <w:rPr>
                <w:szCs w:val="20"/>
              </w:rPr>
              <w:t>D0503</w:t>
            </w:r>
          </w:p>
        </w:tc>
        <w:tc>
          <w:tcPr>
            <w:tcW w:w="1985" w:type="dxa"/>
          </w:tcPr>
          <w:p w14:paraId="33540B86" w14:textId="77777777" w:rsidR="00A052DC" w:rsidRDefault="009F0A60">
            <w:pPr>
              <w:pStyle w:val="B"/>
              <w:rPr>
                <w:szCs w:val="20"/>
              </w:rPr>
            </w:pPr>
            <w:r>
              <w:rPr>
                <w:rFonts w:hint="eastAsia"/>
                <w:szCs w:val="20"/>
              </w:rPr>
              <w:t>对方部门</w:t>
            </w:r>
          </w:p>
        </w:tc>
        <w:tc>
          <w:tcPr>
            <w:tcW w:w="1417" w:type="dxa"/>
          </w:tcPr>
          <w:p w14:paraId="3A4AE68D" w14:textId="77777777" w:rsidR="00A052DC" w:rsidRDefault="009F0A60">
            <w:pPr>
              <w:pStyle w:val="B"/>
              <w:rPr>
                <w:szCs w:val="20"/>
              </w:rPr>
            </w:pPr>
            <w:r>
              <w:rPr>
                <w:rFonts w:hint="eastAsia"/>
                <w:szCs w:val="20"/>
              </w:rPr>
              <w:t>整数型</w:t>
            </w:r>
          </w:p>
        </w:tc>
        <w:tc>
          <w:tcPr>
            <w:tcW w:w="3969" w:type="dxa"/>
          </w:tcPr>
          <w:p w14:paraId="667B8503" w14:textId="77777777" w:rsidR="00A052DC" w:rsidRDefault="009F0A60">
            <w:pPr>
              <w:pStyle w:val="B"/>
              <w:rPr>
                <w:szCs w:val="20"/>
              </w:rPr>
            </w:pPr>
            <w:r>
              <w:rPr>
                <w:rFonts w:hint="eastAsia"/>
                <w:szCs w:val="20"/>
              </w:rPr>
              <w:t>必填项，“</w:t>
            </w:r>
            <w:r>
              <w:rPr>
                <w:szCs w:val="20"/>
              </w:rPr>
              <w:t>5</w:t>
            </w:r>
            <w:r>
              <w:rPr>
                <w:rFonts w:hint="eastAsia"/>
                <w:szCs w:val="20"/>
              </w:rPr>
              <w:t>”-非金融企业或“6”-个人。具体见投资者（被投资者）部门代码表。5</w:t>
            </w:r>
            <w:r>
              <w:rPr>
                <w:rFonts w:hint="eastAsia"/>
                <w:color w:val="000000" w:themeColor="text1"/>
                <w:szCs w:val="20"/>
              </w:rPr>
              <w:t>仅限于非银行金融机构类申报主体在特定情况下填报，并需备注。</w:t>
            </w:r>
          </w:p>
        </w:tc>
      </w:tr>
      <w:tr w:rsidR="00A052DC" w14:paraId="240FE1DF" w14:textId="77777777">
        <w:tc>
          <w:tcPr>
            <w:tcW w:w="1242" w:type="dxa"/>
          </w:tcPr>
          <w:p w14:paraId="5119A457" w14:textId="77777777" w:rsidR="00A052DC" w:rsidRDefault="009F0A60">
            <w:pPr>
              <w:pStyle w:val="B"/>
              <w:rPr>
                <w:szCs w:val="20"/>
              </w:rPr>
            </w:pPr>
            <w:r>
              <w:rPr>
                <w:szCs w:val="20"/>
              </w:rPr>
              <w:t>D0504</w:t>
            </w:r>
          </w:p>
        </w:tc>
        <w:tc>
          <w:tcPr>
            <w:tcW w:w="1985" w:type="dxa"/>
          </w:tcPr>
          <w:p w14:paraId="5FC27DF6" w14:textId="77777777" w:rsidR="00A052DC" w:rsidRDefault="009F0A60">
            <w:pPr>
              <w:pStyle w:val="B"/>
              <w:rPr>
                <w:szCs w:val="20"/>
              </w:rPr>
            </w:pPr>
            <w:r>
              <w:rPr>
                <w:rFonts w:hint="eastAsia"/>
                <w:szCs w:val="20"/>
              </w:rPr>
              <w:t>对方与本机构的关系</w:t>
            </w:r>
          </w:p>
        </w:tc>
        <w:tc>
          <w:tcPr>
            <w:tcW w:w="1417" w:type="dxa"/>
          </w:tcPr>
          <w:p w14:paraId="436736D6" w14:textId="77777777" w:rsidR="00A052DC" w:rsidRDefault="009F0A60">
            <w:pPr>
              <w:pStyle w:val="B"/>
              <w:rPr>
                <w:szCs w:val="20"/>
              </w:rPr>
            </w:pPr>
            <w:r>
              <w:rPr>
                <w:rFonts w:hint="eastAsia"/>
                <w:szCs w:val="20"/>
              </w:rPr>
              <w:t>整数型</w:t>
            </w:r>
          </w:p>
        </w:tc>
        <w:tc>
          <w:tcPr>
            <w:tcW w:w="3969" w:type="dxa"/>
          </w:tcPr>
          <w:p w14:paraId="69AF7BDE" w14:textId="77777777" w:rsidR="00A052DC" w:rsidRDefault="009F0A60">
            <w:pPr>
              <w:pStyle w:val="B"/>
              <w:rPr>
                <w:szCs w:val="20"/>
              </w:rPr>
            </w:pPr>
            <w:r>
              <w:rPr>
                <w:rFonts w:hint="eastAsia"/>
                <w:szCs w:val="20"/>
              </w:rPr>
              <w:t>必填项，见对方与本机构</w:t>
            </w:r>
            <w:r>
              <w:rPr>
                <w:szCs w:val="20"/>
              </w:rPr>
              <w:t>/</w:t>
            </w:r>
            <w:r>
              <w:rPr>
                <w:rFonts w:hint="eastAsia"/>
                <w:szCs w:val="20"/>
              </w:rPr>
              <w:t>被代理居民机构</w:t>
            </w:r>
            <w:r>
              <w:rPr>
                <w:szCs w:val="20"/>
              </w:rPr>
              <w:t>/</w:t>
            </w:r>
            <w:r>
              <w:rPr>
                <w:rFonts w:hint="eastAsia"/>
                <w:szCs w:val="20"/>
              </w:rPr>
              <w:t>委托人的关系代码表。</w:t>
            </w:r>
          </w:p>
          <w:p w14:paraId="0C2FE279" w14:textId="77777777" w:rsidR="00A052DC" w:rsidRDefault="009F0A60">
            <w:pPr>
              <w:rPr>
                <w:rFonts w:ascii="黑体" w:eastAsia="黑体" w:hAnsi="黑体"/>
                <w:sz w:val="20"/>
                <w:szCs w:val="20"/>
              </w:rPr>
            </w:pPr>
            <w:r>
              <w:rPr>
                <w:rFonts w:ascii="黑体" w:eastAsia="黑体" w:hAnsi="黑体" w:hint="eastAsia"/>
                <w:sz w:val="20"/>
                <w:szCs w:val="20"/>
              </w:rPr>
              <w:t>当D0503=</w:t>
            </w:r>
            <w:r>
              <w:rPr>
                <w:rFonts w:ascii="黑体" w:hAnsi="黑体" w:hint="eastAsia"/>
                <w:szCs w:val="20"/>
              </w:rPr>
              <w:t>“</w:t>
            </w:r>
            <w:r>
              <w:rPr>
                <w:rFonts w:ascii="黑体" w:hAnsi="黑体" w:hint="eastAsia"/>
                <w:szCs w:val="20"/>
              </w:rPr>
              <w:t>6</w:t>
            </w:r>
            <w:r>
              <w:rPr>
                <w:rFonts w:ascii="黑体" w:hAnsi="黑体" w:hint="eastAsia"/>
                <w:szCs w:val="20"/>
              </w:rPr>
              <w:t>”</w:t>
            </w:r>
            <w:r>
              <w:rPr>
                <w:rFonts w:ascii="黑体" w:eastAsia="黑体" w:hAnsi="黑体" w:hint="eastAsia"/>
                <w:sz w:val="20"/>
                <w:szCs w:val="20"/>
              </w:rPr>
              <w:t>个人时,“</w:t>
            </w:r>
            <w:r>
              <w:rPr>
                <w:rFonts w:ascii="黑体" w:eastAsia="黑体" w:hAnsi="黑体"/>
                <w:kern w:val="0"/>
                <w:sz w:val="20"/>
                <w:szCs w:val="20"/>
              </w:rPr>
              <w:t>D0504</w:t>
            </w:r>
            <w:r>
              <w:rPr>
                <w:rFonts w:ascii="黑体" w:eastAsia="黑体" w:hAnsi="黑体" w:hint="eastAsia"/>
                <w:kern w:val="0"/>
                <w:sz w:val="20"/>
                <w:szCs w:val="20"/>
              </w:rPr>
              <w:t>对方与本机构的关系”不能选择“</w:t>
            </w:r>
            <w:r>
              <w:rPr>
                <w:rFonts w:ascii="黑体" w:eastAsia="黑体" w:hAnsi="黑体"/>
                <w:kern w:val="0"/>
                <w:sz w:val="20"/>
                <w:szCs w:val="20"/>
              </w:rPr>
              <w:t>2</w:t>
            </w:r>
            <w:r>
              <w:rPr>
                <w:rFonts w:ascii="黑体" w:eastAsia="黑体" w:hAnsi="黑体" w:hint="eastAsia"/>
                <w:kern w:val="0"/>
                <w:sz w:val="20"/>
                <w:szCs w:val="20"/>
              </w:rPr>
              <w:t>-境外被投资企业”或“</w:t>
            </w:r>
            <w:r>
              <w:rPr>
                <w:rFonts w:ascii="黑体" w:eastAsia="黑体" w:hAnsi="黑体"/>
                <w:kern w:val="0"/>
                <w:sz w:val="20"/>
                <w:szCs w:val="20"/>
              </w:rPr>
              <w:t>3</w:t>
            </w:r>
            <w:r>
              <w:rPr>
                <w:rFonts w:ascii="黑体" w:eastAsia="黑体" w:hAnsi="黑体" w:hint="eastAsia"/>
                <w:kern w:val="0"/>
                <w:sz w:val="20"/>
                <w:szCs w:val="20"/>
              </w:rPr>
              <w:t>-境外联属企业”。</w:t>
            </w:r>
          </w:p>
        </w:tc>
      </w:tr>
      <w:tr w:rsidR="00A052DC" w14:paraId="268CCF6E" w14:textId="77777777">
        <w:tc>
          <w:tcPr>
            <w:tcW w:w="1242" w:type="dxa"/>
          </w:tcPr>
          <w:p w14:paraId="1058FE68" w14:textId="77777777" w:rsidR="00A052DC" w:rsidRDefault="009F0A60">
            <w:pPr>
              <w:pStyle w:val="B"/>
              <w:rPr>
                <w:szCs w:val="20"/>
              </w:rPr>
            </w:pPr>
            <w:r>
              <w:rPr>
                <w:szCs w:val="20"/>
              </w:rPr>
              <w:t>D0505</w:t>
            </w:r>
          </w:p>
        </w:tc>
        <w:tc>
          <w:tcPr>
            <w:tcW w:w="1985" w:type="dxa"/>
          </w:tcPr>
          <w:p w14:paraId="41249FD1" w14:textId="77777777" w:rsidR="00A052DC" w:rsidRDefault="009F0A60">
            <w:pPr>
              <w:pStyle w:val="B"/>
              <w:rPr>
                <w:szCs w:val="20"/>
              </w:rPr>
            </w:pPr>
            <w:r>
              <w:rPr>
                <w:rFonts w:hint="eastAsia"/>
                <w:szCs w:val="20"/>
              </w:rPr>
              <w:t>原始期限</w:t>
            </w:r>
          </w:p>
        </w:tc>
        <w:tc>
          <w:tcPr>
            <w:tcW w:w="1417" w:type="dxa"/>
          </w:tcPr>
          <w:p w14:paraId="3513EC12" w14:textId="77777777" w:rsidR="00A052DC" w:rsidRDefault="009F0A60">
            <w:pPr>
              <w:pStyle w:val="B"/>
              <w:rPr>
                <w:szCs w:val="20"/>
              </w:rPr>
            </w:pPr>
            <w:r>
              <w:rPr>
                <w:rFonts w:hint="eastAsia"/>
                <w:szCs w:val="20"/>
              </w:rPr>
              <w:t>整数型</w:t>
            </w:r>
          </w:p>
        </w:tc>
        <w:tc>
          <w:tcPr>
            <w:tcW w:w="3969" w:type="dxa"/>
          </w:tcPr>
          <w:p w14:paraId="58542B88" w14:textId="77777777" w:rsidR="00A052DC" w:rsidRDefault="009F0A60">
            <w:pPr>
              <w:pStyle w:val="B"/>
              <w:rPr>
                <w:szCs w:val="20"/>
              </w:rPr>
            </w:pPr>
            <w:r>
              <w:rPr>
                <w:rFonts w:hint="eastAsia"/>
                <w:szCs w:val="20"/>
              </w:rPr>
              <w:t>必填项，必须</w:t>
            </w:r>
            <w:r>
              <w:rPr>
                <w:szCs w:val="20"/>
              </w:rPr>
              <w:t>2</w:t>
            </w:r>
            <w:r>
              <w:rPr>
                <w:rFonts w:hint="eastAsia"/>
                <w:szCs w:val="20"/>
              </w:rPr>
              <w:t>选</w:t>
            </w:r>
            <w:r>
              <w:rPr>
                <w:szCs w:val="20"/>
              </w:rPr>
              <w:t>1</w:t>
            </w:r>
            <w:r>
              <w:rPr>
                <w:rFonts w:hint="eastAsia"/>
                <w:szCs w:val="20"/>
              </w:rPr>
              <w:t>：</w:t>
            </w:r>
          </w:p>
          <w:p w14:paraId="3016D4B4" w14:textId="77777777" w:rsidR="00A052DC" w:rsidRDefault="009F0A60">
            <w:pPr>
              <w:pStyle w:val="B"/>
              <w:rPr>
                <w:szCs w:val="20"/>
              </w:rPr>
            </w:pPr>
            <w:r>
              <w:rPr>
                <w:szCs w:val="20"/>
              </w:rPr>
              <w:t>1-</w:t>
            </w:r>
            <w:r>
              <w:rPr>
                <w:rFonts w:hint="eastAsia"/>
                <w:szCs w:val="20"/>
              </w:rPr>
              <w:t>一年及以下（含活期或不定期）；</w:t>
            </w:r>
          </w:p>
          <w:p w14:paraId="76EABE20" w14:textId="77777777" w:rsidR="00A052DC" w:rsidRDefault="009F0A60">
            <w:pPr>
              <w:pStyle w:val="B"/>
              <w:rPr>
                <w:szCs w:val="20"/>
              </w:rPr>
            </w:pPr>
            <w:r>
              <w:rPr>
                <w:szCs w:val="20"/>
              </w:rPr>
              <w:t>2-</w:t>
            </w:r>
            <w:r>
              <w:rPr>
                <w:rFonts w:hint="eastAsia"/>
                <w:szCs w:val="20"/>
              </w:rPr>
              <w:t>一年以上。</w:t>
            </w:r>
          </w:p>
        </w:tc>
      </w:tr>
      <w:tr w:rsidR="00A052DC" w14:paraId="6734D8EE" w14:textId="77777777">
        <w:tc>
          <w:tcPr>
            <w:tcW w:w="1242" w:type="dxa"/>
          </w:tcPr>
          <w:p w14:paraId="02FE87E8" w14:textId="77777777" w:rsidR="00A052DC" w:rsidRDefault="009F0A60">
            <w:pPr>
              <w:pStyle w:val="B"/>
              <w:rPr>
                <w:szCs w:val="20"/>
              </w:rPr>
            </w:pPr>
            <w:r>
              <w:rPr>
                <w:szCs w:val="20"/>
              </w:rPr>
              <w:t>D0506</w:t>
            </w:r>
          </w:p>
        </w:tc>
        <w:tc>
          <w:tcPr>
            <w:tcW w:w="1985" w:type="dxa"/>
          </w:tcPr>
          <w:p w14:paraId="79B073B1" w14:textId="77777777" w:rsidR="00A052DC" w:rsidRDefault="009F0A60">
            <w:pPr>
              <w:pStyle w:val="B"/>
              <w:rPr>
                <w:szCs w:val="20"/>
              </w:rPr>
            </w:pPr>
            <w:r>
              <w:rPr>
                <w:rFonts w:hint="eastAsia"/>
                <w:szCs w:val="20"/>
              </w:rPr>
              <w:t>原始币种</w:t>
            </w:r>
          </w:p>
        </w:tc>
        <w:tc>
          <w:tcPr>
            <w:tcW w:w="1417" w:type="dxa"/>
          </w:tcPr>
          <w:p w14:paraId="01535826" w14:textId="77777777" w:rsidR="00A052DC" w:rsidRDefault="009F0A60">
            <w:pPr>
              <w:pStyle w:val="B"/>
              <w:rPr>
                <w:szCs w:val="20"/>
              </w:rPr>
            </w:pPr>
            <w:r>
              <w:rPr>
                <w:rFonts w:hint="eastAsia"/>
                <w:szCs w:val="20"/>
              </w:rPr>
              <w:t>字符型，</w:t>
            </w:r>
            <w:r>
              <w:rPr>
                <w:szCs w:val="20"/>
              </w:rPr>
              <w:t>3</w:t>
            </w:r>
          </w:p>
        </w:tc>
        <w:tc>
          <w:tcPr>
            <w:tcW w:w="3969" w:type="dxa"/>
          </w:tcPr>
          <w:p w14:paraId="7569642C" w14:textId="77777777" w:rsidR="00A052DC" w:rsidRDefault="009F0A60">
            <w:pPr>
              <w:pStyle w:val="B"/>
              <w:rPr>
                <w:szCs w:val="20"/>
              </w:rPr>
            </w:pPr>
            <w:r>
              <w:rPr>
                <w:rFonts w:hint="eastAsia"/>
                <w:szCs w:val="20"/>
              </w:rPr>
              <w:t>必填项，见币种代码表。</w:t>
            </w:r>
          </w:p>
        </w:tc>
      </w:tr>
      <w:tr w:rsidR="00A052DC" w14:paraId="2A131518" w14:textId="77777777">
        <w:tc>
          <w:tcPr>
            <w:tcW w:w="1242" w:type="dxa"/>
          </w:tcPr>
          <w:p w14:paraId="71730BE2" w14:textId="77777777" w:rsidR="00A052DC" w:rsidRDefault="009F0A60">
            <w:pPr>
              <w:pStyle w:val="B"/>
              <w:rPr>
                <w:szCs w:val="20"/>
              </w:rPr>
            </w:pPr>
            <w:r>
              <w:rPr>
                <w:szCs w:val="20"/>
              </w:rPr>
              <w:t>D0507</w:t>
            </w:r>
          </w:p>
        </w:tc>
        <w:tc>
          <w:tcPr>
            <w:tcW w:w="1985" w:type="dxa"/>
          </w:tcPr>
          <w:p w14:paraId="659BCCBE" w14:textId="77777777" w:rsidR="00A052DC" w:rsidRDefault="009F0A60">
            <w:pPr>
              <w:pStyle w:val="B"/>
              <w:rPr>
                <w:szCs w:val="20"/>
              </w:rPr>
            </w:pPr>
            <w:r>
              <w:rPr>
                <w:rFonts w:hint="eastAsia"/>
                <w:szCs w:val="20"/>
              </w:rPr>
              <w:t>上月末本金余额</w:t>
            </w:r>
          </w:p>
        </w:tc>
        <w:tc>
          <w:tcPr>
            <w:tcW w:w="1417" w:type="dxa"/>
          </w:tcPr>
          <w:p w14:paraId="250A87BE" w14:textId="77777777" w:rsidR="00A052DC" w:rsidRDefault="009F0A60">
            <w:pPr>
              <w:pStyle w:val="B"/>
              <w:rPr>
                <w:szCs w:val="20"/>
              </w:rPr>
            </w:pPr>
            <w:r>
              <w:rPr>
                <w:rFonts w:hint="eastAsia"/>
                <w:szCs w:val="20"/>
              </w:rPr>
              <w:t>数值型，</w:t>
            </w:r>
            <w:r>
              <w:rPr>
                <w:szCs w:val="20"/>
              </w:rPr>
              <w:t>22.2</w:t>
            </w:r>
          </w:p>
        </w:tc>
        <w:tc>
          <w:tcPr>
            <w:tcW w:w="3969" w:type="dxa"/>
          </w:tcPr>
          <w:p w14:paraId="20063B06" w14:textId="77777777" w:rsidR="00A052DC" w:rsidRDefault="009F0A60">
            <w:pPr>
              <w:pStyle w:val="B"/>
              <w:rPr>
                <w:szCs w:val="20"/>
              </w:rPr>
            </w:pPr>
            <w:r>
              <w:rPr>
                <w:rFonts w:hint="eastAsia"/>
                <w:szCs w:val="20"/>
              </w:rPr>
              <w:t>必填项，必须≥</w:t>
            </w:r>
            <w:r>
              <w:rPr>
                <w:szCs w:val="20"/>
              </w:rPr>
              <w:t>0</w:t>
            </w:r>
            <w:r>
              <w:rPr>
                <w:rFonts w:hint="eastAsia"/>
                <w:szCs w:val="20"/>
              </w:rPr>
              <w:t>。</w:t>
            </w:r>
          </w:p>
        </w:tc>
      </w:tr>
      <w:tr w:rsidR="00A052DC" w14:paraId="47D5BB01" w14:textId="77777777">
        <w:tc>
          <w:tcPr>
            <w:tcW w:w="1242" w:type="dxa"/>
          </w:tcPr>
          <w:p w14:paraId="391D113C" w14:textId="77777777" w:rsidR="00A052DC" w:rsidRDefault="009F0A60">
            <w:pPr>
              <w:pStyle w:val="B"/>
              <w:rPr>
                <w:szCs w:val="20"/>
              </w:rPr>
            </w:pPr>
            <w:r>
              <w:rPr>
                <w:szCs w:val="20"/>
              </w:rPr>
              <w:t>D0508</w:t>
            </w:r>
          </w:p>
        </w:tc>
        <w:tc>
          <w:tcPr>
            <w:tcW w:w="1985" w:type="dxa"/>
          </w:tcPr>
          <w:p w14:paraId="2B2B0AA2" w14:textId="77777777" w:rsidR="00A052DC" w:rsidRDefault="009F0A60">
            <w:pPr>
              <w:pStyle w:val="B"/>
              <w:rPr>
                <w:szCs w:val="20"/>
              </w:rPr>
            </w:pPr>
            <w:r>
              <w:rPr>
                <w:rFonts w:hint="eastAsia"/>
                <w:szCs w:val="20"/>
              </w:rPr>
              <w:t>上月末应付利息余额</w:t>
            </w:r>
          </w:p>
        </w:tc>
        <w:tc>
          <w:tcPr>
            <w:tcW w:w="1417" w:type="dxa"/>
          </w:tcPr>
          <w:p w14:paraId="2D43A88B" w14:textId="77777777" w:rsidR="00A052DC" w:rsidRDefault="009F0A60">
            <w:pPr>
              <w:pStyle w:val="B"/>
              <w:rPr>
                <w:szCs w:val="20"/>
              </w:rPr>
            </w:pPr>
            <w:r>
              <w:rPr>
                <w:rFonts w:hint="eastAsia"/>
                <w:szCs w:val="20"/>
              </w:rPr>
              <w:t>数值型，</w:t>
            </w:r>
            <w:r>
              <w:rPr>
                <w:szCs w:val="20"/>
              </w:rPr>
              <w:t>22.2</w:t>
            </w:r>
          </w:p>
        </w:tc>
        <w:tc>
          <w:tcPr>
            <w:tcW w:w="3969" w:type="dxa"/>
          </w:tcPr>
          <w:p w14:paraId="17A59F1C" w14:textId="77777777" w:rsidR="00A052DC" w:rsidRDefault="009F0A60">
            <w:pPr>
              <w:pStyle w:val="B"/>
              <w:rPr>
                <w:szCs w:val="20"/>
              </w:rPr>
            </w:pPr>
            <w:r>
              <w:rPr>
                <w:rFonts w:hint="eastAsia"/>
                <w:szCs w:val="20"/>
              </w:rPr>
              <w:t>必填项。</w:t>
            </w:r>
          </w:p>
        </w:tc>
      </w:tr>
      <w:tr w:rsidR="00A052DC" w14:paraId="3341DA8B" w14:textId="77777777">
        <w:tc>
          <w:tcPr>
            <w:tcW w:w="1242" w:type="dxa"/>
          </w:tcPr>
          <w:p w14:paraId="6D73FA4A" w14:textId="77777777" w:rsidR="00A052DC" w:rsidRDefault="009F0A60">
            <w:pPr>
              <w:pStyle w:val="B"/>
              <w:rPr>
                <w:szCs w:val="20"/>
              </w:rPr>
            </w:pPr>
            <w:r>
              <w:rPr>
                <w:szCs w:val="20"/>
              </w:rPr>
              <w:t>D0509</w:t>
            </w:r>
          </w:p>
        </w:tc>
        <w:tc>
          <w:tcPr>
            <w:tcW w:w="1985" w:type="dxa"/>
          </w:tcPr>
          <w:p w14:paraId="1555DC6D" w14:textId="77777777" w:rsidR="00A052DC" w:rsidRDefault="009F0A60">
            <w:pPr>
              <w:pStyle w:val="B"/>
              <w:rPr>
                <w:szCs w:val="20"/>
              </w:rPr>
            </w:pPr>
            <w:r>
              <w:rPr>
                <w:rFonts w:hint="eastAsia"/>
                <w:szCs w:val="20"/>
              </w:rPr>
              <w:t>本月末本金余额</w:t>
            </w:r>
          </w:p>
        </w:tc>
        <w:tc>
          <w:tcPr>
            <w:tcW w:w="1417" w:type="dxa"/>
          </w:tcPr>
          <w:p w14:paraId="19F5F8AC" w14:textId="77777777" w:rsidR="00A052DC" w:rsidRDefault="009F0A60">
            <w:pPr>
              <w:pStyle w:val="B"/>
              <w:rPr>
                <w:szCs w:val="20"/>
              </w:rPr>
            </w:pPr>
            <w:r>
              <w:rPr>
                <w:rFonts w:hint="eastAsia"/>
                <w:szCs w:val="20"/>
              </w:rPr>
              <w:t>数值型，</w:t>
            </w:r>
            <w:r>
              <w:rPr>
                <w:szCs w:val="20"/>
              </w:rPr>
              <w:t>22.2</w:t>
            </w:r>
          </w:p>
        </w:tc>
        <w:tc>
          <w:tcPr>
            <w:tcW w:w="3969" w:type="dxa"/>
          </w:tcPr>
          <w:p w14:paraId="0C51A55F" w14:textId="77777777" w:rsidR="00A052DC" w:rsidRDefault="009F0A60">
            <w:pPr>
              <w:pStyle w:val="B"/>
              <w:rPr>
                <w:szCs w:val="20"/>
              </w:rPr>
            </w:pPr>
            <w:r>
              <w:rPr>
                <w:rFonts w:hint="eastAsia"/>
                <w:szCs w:val="20"/>
              </w:rPr>
              <w:t>必填项，必须≥</w:t>
            </w:r>
            <w:r>
              <w:rPr>
                <w:szCs w:val="20"/>
              </w:rPr>
              <w:t>0</w:t>
            </w:r>
            <w:r>
              <w:rPr>
                <w:rFonts w:hint="eastAsia"/>
                <w:szCs w:val="20"/>
              </w:rPr>
              <w:t>。</w:t>
            </w:r>
          </w:p>
        </w:tc>
      </w:tr>
      <w:tr w:rsidR="00A052DC" w14:paraId="16842E99" w14:textId="77777777">
        <w:tc>
          <w:tcPr>
            <w:tcW w:w="1242" w:type="dxa"/>
          </w:tcPr>
          <w:p w14:paraId="0069E6B5" w14:textId="77777777" w:rsidR="00A052DC" w:rsidRDefault="009F0A60">
            <w:pPr>
              <w:pStyle w:val="B"/>
              <w:rPr>
                <w:szCs w:val="20"/>
              </w:rPr>
            </w:pPr>
            <w:r>
              <w:rPr>
                <w:szCs w:val="20"/>
              </w:rPr>
              <w:t>D0510</w:t>
            </w:r>
          </w:p>
        </w:tc>
        <w:tc>
          <w:tcPr>
            <w:tcW w:w="1985" w:type="dxa"/>
          </w:tcPr>
          <w:p w14:paraId="79C469EB" w14:textId="77777777" w:rsidR="00A052DC" w:rsidRDefault="009F0A60">
            <w:pPr>
              <w:pStyle w:val="B"/>
              <w:rPr>
                <w:szCs w:val="20"/>
              </w:rPr>
            </w:pPr>
            <w:r>
              <w:rPr>
                <w:rFonts w:hint="eastAsia"/>
                <w:szCs w:val="20"/>
              </w:rPr>
              <w:t>本月末本金余额其中：剩余期限在一年及以下</w:t>
            </w:r>
          </w:p>
        </w:tc>
        <w:tc>
          <w:tcPr>
            <w:tcW w:w="1417" w:type="dxa"/>
          </w:tcPr>
          <w:p w14:paraId="7F20571A" w14:textId="77777777" w:rsidR="00A052DC" w:rsidRDefault="009F0A60">
            <w:pPr>
              <w:pStyle w:val="B"/>
              <w:rPr>
                <w:szCs w:val="20"/>
              </w:rPr>
            </w:pPr>
            <w:r>
              <w:rPr>
                <w:rFonts w:hint="eastAsia"/>
                <w:szCs w:val="20"/>
              </w:rPr>
              <w:t>数值型，</w:t>
            </w:r>
            <w:r>
              <w:rPr>
                <w:szCs w:val="20"/>
              </w:rPr>
              <w:t>22.2</w:t>
            </w:r>
          </w:p>
        </w:tc>
        <w:tc>
          <w:tcPr>
            <w:tcW w:w="3969" w:type="dxa"/>
          </w:tcPr>
          <w:p w14:paraId="16BA7CE7" w14:textId="77777777" w:rsidR="00A052DC" w:rsidRDefault="009F0A60">
            <w:pPr>
              <w:pStyle w:val="B"/>
              <w:rPr>
                <w:szCs w:val="20"/>
              </w:rPr>
            </w:pPr>
            <w:r>
              <w:rPr>
                <w:rFonts w:hint="eastAsia"/>
                <w:szCs w:val="20"/>
              </w:rPr>
              <w:t>必填项，必须≥</w:t>
            </w:r>
            <w:r>
              <w:rPr>
                <w:szCs w:val="20"/>
              </w:rPr>
              <w:t>0</w:t>
            </w:r>
            <w:r>
              <w:rPr>
                <w:rFonts w:hint="eastAsia"/>
                <w:szCs w:val="20"/>
              </w:rPr>
              <w:t>，且</w:t>
            </w:r>
          </w:p>
          <w:p w14:paraId="0B567885" w14:textId="77777777" w:rsidR="00A052DC" w:rsidRDefault="009F0A60">
            <w:pPr>
              <w:pStyle w:val="B"/>
              <w:rPr>
                <w:szCs w:val="20"/>
              </w:rPr>
            </w:pPr>
            <w:r>
              <w:rPr>
                <w:rFonts w:hint="eastAsia"/>
                <w:szCs w:val="20"/>
              </w:rPr>
              <w:t>当</w:t>
            </w:r>
            <w:r>
              <w:rPr>
                <w:szCs w:val="20"/>
              </w:rPr>
              <w:t>D0505=01</w:t>
            </w:r>
            <w:r>
              <w:rPr>
                <w:rFonts w:hint="eastAsia"/>
                <w:szCs w:val="20"/>
              </w:rPr>
              <w:t>时，</w:t>
            </w:r>
            <w:r>
              <w:rPr>
                <w:szCs w:val="20"/>
              </w:rPr>
              <w:t>D0509=D0510</w:t>
            </w:r>
            <w:r>
              <w:rPr>
                <w:rFonts w:hint="eastAsia"/>
                <w:szCs w:val="20"/>
              </w:rPr>
              <w:t>；</w:t>
            </w:r>
          </w:p>
          <w:p w14:paraId="0F5A4E8D" w14:textId="77777777" w:rsidR="00A052DC" w:rsidRDefault="009F0A60">
            <w:pPr>
              <w:pStyle w:val="B"/>
              <w:rPr>
                <w:szCs w:val="20"/>
              </w:rPr>
            </w:pPr>
            <w:r>
              <w:rPr>
                <w:rFonts w:hint="eastAsia"/>
                <w:szCs w:val="20"/>
              </w:rPr>
              <w:t>当</w:t>
            </w:r>
            <w:r>
              <w:rPr>
                <w:szCs w:val="20"/>
              </w:rPr>
              <w:t>D0505=02</w:t>
            </w:r>
            <w:r>
              <w:rPr>
                <w:rFonts w:hint="eastAsia"/>
                <w:szCs w:val="20"/>
              </w:rPr>
              <w:t>时，</w:t>
            </w:r>
            <w:r>
              <w:rPr>
                <w:szCs w:val="20"/>
              </w:rPr>
              <w:t>D0509</w:t>
            </w:r>
            <w:r>
              <w:rPr>
                <w:rFonts w:hint="eastAsia"/>
                <w:szCs w:val="20"/>
              </w:rPr>
              <w:t>≥</w:t>
            </w:r>
            <w:r>
              <w:rPr>
                <w:szCs w:val="20"/>
              </w:rPr>
              <w:t>D0510</w:t>
            </w:r>
            <w:r>
              <w:rPr>
                <w:rFonts w:hint="eastAsia"/>
                <w:szCs w:val="20"/>
              </w:rPr>
              <w:t>。</w:t>
            </w:r>
          </w:p>
        </w:tc>
      </w:tr>
      <w:tr w:rsidR="00A052DC" w14:paraId="728287DA" w14:textId="77777777">
        <w:tc>
          <w:tcPr>
            <w:tcW w:w="1242" w:type="dxa"/>
          </w:tcPr>
          <w:p w14:paraId="67FC5FF9" w14:textId="77777777" w:rsidR="00A052DC" w:rsidRDefault="009F0A60">
            <w:pPr>
              <w:pStyle w:val="B"/>
              <w:rPr>
                <w:szCs w:val="20"/>
              </w:rPr>
            </w:pPr>
            <w:r>
              <w:rPr>
                <w:szCs w:val="20"/>
              </w:rPr>
              <w:t>D0511</w:t>
            </w:r>
          </w:p>
        </w:tc>
        <w:tc>
          <w:tcPr>
            <w:tcW w:w="1985" w:type="dxa"/>
          </w:tcPr>
          <w:p w14:paraId="57FABCBB" w14:textId="77777777" w:rsidR="00A052DC" w:rsidRDefault="009F0A60">
            <w:pPr>
              <w:pStyle w:val="B"/>
              <w:rPr>
                <w:szCs w:val="20"/>
              </w:rPr>
            </w:pPr>
            <w:r>
              <w:rPr>
                <w:rFonts w:hint="eastAsia"/>
                <w:szCs w:val="20"/>
              </w:rPr>
              <w:t>本月末应付利息余额</w:t>
            </w:r>
          </w:p>
        </w:tc>
        <w:tc>
          <w:tcPr>
            <w:tcW w:w="1417" w:type="dxa"/>
          </w:tcPr>
          <w:p w14:paraId="492733A4" w14:textId="77777777" w:rsidR="00A052DC" w:rsidRDefault="009F0A60">
            <w:pPr>
              <w:pStyle w:val="B"/>
              <w:rPr>
                <w:szCs w:val="20"/>
              </w:rPr>
            </w:pPr>
            <w:r>
              <w:rPr>
                <w:rFonts w:hint="eastAsia"/>
                <w:szCs w:val="20"/>
              </w:rPr>
              <w:t>数值型，</w:t>
            </w:r>
            <w:r>
              <w:rPr>
                <w:szCs w:val="20"/>
              </w:rPr>
              <w:t>22.2</w:t>
            </w:r>
          </w:p>
        </w:tc>
        <w:tc>
          <w:tcPr>
            <w:tcW w:w="3969" w:type="dxa"/>
          </w:tcPr>
          <w:p w14:paraId="7FF4EF05" w14:textId="77777777" w:rsidR="00A052DC" w:rsidRDefault="009F0A60">
            <w:pPr>
              <w:pStyle w:val="B"/>
              <w:rPr>
                <w:szCs w:val="20"/>
              </w:rPr>
            </w:pPr>
            <w:r>
              <w:rPr>
                <w:rFonts w:hint="eastAsia"/>
                <w:szCs w:val="20"/>
              </w:rPr>
              <w:t>必填项。</w:t>
            </w:r>
          </w:p>
        </w:tc>
      </w:tr>
      <w:tr w:rsidR="00A052DC" w14:paraId="63A4CA96" w14:textId="77777777">
        <w:tc>
          <w:tcPr>
            <w:tcW w:w="1242" w:type="dxa"/>
          </w:tcPr>
          <w:p w14:paraId="14A2ABE9" w14:textId="77777777" w:rsidR="00A052DC" w:rsidRDefault="009F0A60">
            <w:pPr>
              <w:pStyle w:val="B"/>
              <w:rPr>
                <w:szCs w:val="20"/>
              </w:rPr>
            </w:pPr>
            <w:r>
              <w:rPr>
                <w:szCs w:val="20"/>
              </w:rPr>
              <w:t>D0512</w:t>
            </w:r>
          </w:p>
        </w:tc>
        <w:tc>
          <w:tcPr>
            <w:tcW w:w="1985" w:type="dxa"/>
          </w:tcPr>
          <w:p w14:paraId="3FA9CAE8" w14:textId="77777777" w:rsidR="00A052DC" w:rsidRDefault="009F0A60">
            <w:pPr>
              <w:pStyle w:val="B"/>
              <w:rPr>
                <w:szCs w:val="20"/>
              </w:rPr>
            </w:pPr>
            <w:r>
              <w:rPr>
                <w:rFonts w:hint="eastAsia"/>
                <w:szCs w:val="20"/>
              </w:rPr>
              <w:t>本月非交易变动</w:t>
            </w:r>
          </w:p>
        </w:tc>
        <w:tc>
          <w:tcPr>
            <w:tcW w:w="1417" w:type="dxa"/>
          </w:tcPr>
          <w:p w14:paraId="6FDA0823" w14:textId="77777777" w:rsidR="00A052DC" w:rsidRDefault="009F0A60">
            <w:pPr>
              <w:pStyle w:val="B"/>
              <w:rPr>
                <w:szCs w:val="20"/>
              </w:rPr>
            </w:pPr>
            <w:r>
              <w:rPr>
                <w:rFonts w:hint="eastAsia"/>
                <w:szCs w:val="20"/>
              </w:rPr>
              <w:t>数值型，</w:t>
            </w:r>
            <w:r>
              <w:rPr>
                <w:szCs w:val="20"/>
              </w:rPr>
              <w:t>22.2</w:t>
            </w:r>
          </w:p>
        </w:tc>
        <w:tc>
          <w:tcPr>
            <w:tcW w:w="3969" w:type="dxa"/>
          </w:tcPr>
          <w:p w14:paraId="1A770919" w14:textId="77777777" w:rsidR="00A052DC" w:rsidRDefault="009F0A60">
            <w:pPr>
              <w:pStyle w:val="B"/>
              <w:rPr>
                <w:szCs w:val="20"/>
              </w:rPr>
            </w:pPr>
            <w:r>
              <w:rPr>
                <w:rFonts w:hint="eastAsia"/>
                <w:szCs w:val="20"/>
              </w:rPr>
              <w:t>必填项。</w:t>
            </w:r>
          </w:p>
        </w:tc>
      </w:tr>
      <w:tr w:rsidR="00A052DC" w14:paraId="2BEECC72" w14:textId="77777777">
        <w:tc>
          <w:tcPr>
            <w:tcW w:w="1242" w:type="dxa"/>
          </w:tcPr>
          <w:p w14:paraId="43FCD9C6" w14:textId="77777777" w:rsidR="00A052DC" w:rsidRDefault="009F0A60">
            <w:pPr>
              <w:pStyle w:val="B"/>
              <w:rPr>
                <w:szCs w:val="20"/>
              </w:rPr>
            </w:pPr>
            <w:r>
              <w:rPr>
                <w:szCs w:val="20"/>
              </w:rPr>
              <w:t>D0513</w:t>
            </w:r>
          </w:p>
        </w:tc>
        <w:tc>
          <w:tcPr>
            <w:tcW w:w="1985" w:type="dxa"/>
          </w:tcPr>
          <w:p w14:paraId="563B4F61" w14:textId="77777777" w:rsidR="00A052DC" w:rsidRDefault="009F0A60">
            <w:pPr>
              <w:pStyle w:val="B"/>
              <w:rPr>
                <w:szCs w:val="20"/>
              </w:rPr>
            </w:pPr>
            <w:r>
              <w:rPr>
                <w:rFonts w:hint="eastAsia"/>
                <w:szCs w:val="20"/>
              </w:rPr>
              <w:t>本月净发生额</w:t>
            </w:r>
          </w:p>
        </w:tc>
        <w:tc>
          <w:tcPr>
            <w:tcW w:w="1417" w:type="dxa"/>
          </w:tcPr>
          <w:p w14:paraId="3C611CE5" w14:textId="77777777" w:rsidR="00A052DC" w:rsidRDefault="009F0A60">
            <w:pPr>
              <w:pStyle w:val="B"/>
              <w:rPr>
                <w:szCs w:val="20"/>
              </w:rPr>
            </w:pPr>
            <w:r>
              <w:rPr>
                <w:rFonts w:hint="eastAsia"/>
                <w:szCs w:val="20"/>
              </w:rPr>
              <w:t>数值型，</w:t>
            </w:r>
            <w:r>
              <w:rPr>
                <w:szCs w:val="20"/>
              </w:rPr>
              <w:t>22.2</w:t>
            </w:r>
          </w:p>
        </w:tc>
        <w:tc>
          <w:tcPr>
            <w:tcW w:w="3969" w:type="dxa"/>
          </w:tcPr>
          <w:p w14:paraId="749E632A" w14:textId="77777777" w:rsidR="00A052DC" w:rsidRDefault="009F0A60">
            <w:pPr>
              <w:pStyle w:val="B"/>
              <w:rPr>
                <w:szCs w:val="20"/>
              </w:rPr>
            </w:pPr>
            <w:r>
              <w:rPr>
                <w:rFonts w:hint="eastAsia"/>
                <w:szCs w:val="20"/>
              </w:rPr>
              <w:t>必填项，必须满足：</w:t>
            </w:r>
          </w:p>
          <w:p w14:paraId="7B4F4AA0" w14:textId="77777777" w:rsidR="00A052DC" w:rsidRDefault="009F0A60">
            <w:pPr>
              <w:pStyle w:val="B"/>
              <w:rPr>
                <w:szCs w:val="20"/>
              </w:rPr>
            </w:pPr>
            <w:r>
              <w:rPr>
                <w:szCs w:val="20"/>
              </w:rPr>
              <w:t>D0513+D0512=(D0509+D0511)-</w:t>
            </w:r>
            <w:r>
              <w:rPr>
                <w:rFonts w:hint="eastAsia"/>
                <w:szCs w:val="20"/>
              </w:rPr>
              <w:t>（</w:t>
            </w:r>
            <w:r>
              <w:rPr>
                <w:szCs w:val="20"/>
              </w:rPr>
              <w:t>D0507+D0508</w:t>
            </w:r>
            <w:r>
              <w:rPr>
                <w:rFonts w:hint="eastAsia"/>
                <w:szCs w:val="20"/>
              </w:rPr>
              <w:t>）。</w:t>
            </w:r>
          </w:p>
        </w:tc>
      </w:tr>
      <w:tr w:rsidR="00A052DC" w14:paraId="1DC78646" w14:textId="77777777">
        <w:tc>
          <w:tcPr>
            <w:tcW w:w="1242" w:type="dxa"/>
          </w:tcPr>
          <w:p w14:paraId="0325EFAF" w14:textId="77777777" w:rsidR="00A052DC" w:rsidRDefault="009F0A60">
            <w:pPr>
              <w:pStyle w:val="B"/>
              <w:rPr>
                <w:szCs w:val="20"/>
              </w:rPr>
            </w:pPr>
            <w:r>
              <w:rPr>
                <w:szCs w:val="20"/>
              </w:rPr>
              <w:t>D0514</w:t>
            </w:r>
          </w:p>
        </w:tc>
        <w:tc>
          <w:tcPr>
            <w:tcW w:w="1985" w:type="dxa"/>
          </w:tcPr>
          <w:p w14:paraId="6168BDE0" w14:textId="77777777" w:rsidR="00A052DC" w:rsidRDefault="009F0A60">
            <w:pPr>
              <w:pStyle w:val="B"/>
              <w:rPr>
                <w:szCs w:val="20"/>
              </w:rPr>
            </w:pPr>
            <w:r>
              <w:rPr>
                <w:rFonts w:hint="eastAsia"/>
                <w:szCs w:val="20"/>
              </w:rPr>
              <w:t>本月利息支出</w:t>
            </w:r>
          </w:p>
        </w:tc>
        <w:tc>
          <w:tcPr>
            <w:tcW w:w="1417" w:type="dxa"/>
          </w:tcPr>
          <w:p w14:paraId="0A492827" w14:textId="77777777" w:rsidR="00A052DC" w:rsidRDefault="009F0A60">
            <w:pPr>
              <w:pStyle w:val="B"/>
              <w:rPr>
                <w:szCs w:val="20"/>
              </w:rPr>
            </w:pPr>
            <w:r>
              <w:rPr>
                <w:rFonts w:hint="eastAsia"/>
                <w:szCs w:val="20"/>
              </w:rPr>
              <w:t>数值型，</w:t>
            </w:r>
            <w:r>
              <w:rPr>
                <w:szCs w:val="20"/>
              </w:rPr>
              <w:t>22.2</w:t>
            </w:r>
          </w:p>
        </w:tc>
        <w:tc>
          <w:tcPr>
            <w:tcW w:w="3969" w:type="dxa"/>
          </w:tcPr>
          <w:p w14:paraId="33960841" w14:textId="77777777" w:rsidR="00A052DC" w:rsidRDefault="009F0A60">
            <w:pPr>
              <w:pStyle w:val="B"/>
              <w:rPr>
                <w:b/>
                <w:bCs/>
                <w:sz w:val="32"/>
              </w:rPr>
            </w:pPr>
            <w:r>
              <w:rPr>
                <w:rFonts w:hint="eastAsia"/>
                <w:szCs w:val="20"/>
              </w:rPr>
              <w:t>必填项。</w:t>
            </w:r>
          </w:p>
        </w:tc>
      </w:tr>
      <w:tr w:rsidR="00A052DC" w14:paraId="41D7EC08" w14:textId="77777777">
        <w:tc>
          <w:tcPr>
            <w:tcW w:w="1242" w:type="dxa"/>
          </w:tcPr>
          <w:p w14:paraId="0A76EB0C" w14:textId="77777777" w:rsidR="00A052DC" w:rsidRDefault="009F0A60">
            <w:pPr>
              <w:pStyle w:val="B"/>
              <w:rPr>
                <w:szCs w:val="20"/>
              </w:rPr>
            </w:pPr>
            <w:r>
              <w:rPr>
                <w:szCs w:val="20"/>
              </w:rPr>
              <w:t>REMARK</w:t>
            </w:r>
          </w:p>
        </w:tc>
        <w:tc>
          <w:tcPr>
            <w:tcW w:w="1985" w:type="dxa"/>
          </w:tcPr>
          <w:p w14:paraId="0F23E701" w14:textId="77777777" w:rsidR="00A052DC" w:rsidRDefault="009F0A60">
            <w:pPr>
              <w:pStyle w:val="B"/>
              <w:rPr>
                <w:szCs w:val="20"/>
              </w:rPr>
            </w:pPr>
            <w:r>
              <w:rPr>
                <w:rFonts w:hint="eastAsia"/>
                <w:szCs w:val="20"/>
              </w:rPr>
              <w:t>备注</w:t>
            </w:r>
          </w:p>
        </w:tc>
        <w:tc>
          <w:tcPr>
            <w:tcW w:w="1417" w:type="dxa"/>
          </w:tcPr>
          <w:p w14:paraId="6F61DB51" w14:textId="77777777" w:rsidR="00A052DC" w:rsidRDefault="009F0A60">
            <w:pPr>
              <w:pStyle w:val="B"/>
              <w:rPr>
                <w:szCs w:val="20"/>
              </w:rPr>
            </w:pPr>
            <w:r>
              <w:rPr>
                <w:rFonts w:hint="eastAsia"/>
                <w:szCs w:val="20"/>
              </w:rPr>
              <w:t>字符型，</w:t>
            </w:r>
            <w:r>
              <w:rPr>
                <w:szCs w:val="20"/>
              </w:rPr>
              <w:t>512</w:t>
            </w:r>
          </w:p>
        </w:tc>
        <w:tc>
          <w:tcPr>
            <w:tcW w:w="3969" w:type="dxa"/>
          </w:tcPr>
          <w:p w14:paraId="182796FB" w14:textId="77777777" w:rsidR="00A052DC" w:rsidRDefault="009F0A60">
            <w:pPr>
              <w:pStyle w:val="B"/>
              <w:rPr>
                <w:szCs w:val="20"/>
              </w:rPr>
            </w:pPr>
            <w:r>
              <w:rPr>
                <w:rFonts w:hint="eastAsia"/>
                <w:szCs w:val="20"/>
              </w:rPr>
              <w:t>当D0508、D0511、</w:t>
            </w:r>
            <w:r>
              <w:rPr>
                <w:szCs w:val="20"/>
              </w:rPr>
              <w:t>D0514</w:t>
            </w:r>
            <w:r>
              <w:rPr>
                <w:rFonts w:hint="eastAsia"/>
                <w:szCs w:val="20"/>
              </w:rPr>
              <w:t>各项中任何一项</w:t>
            </w:r>
            <w:r>
              <w:rPr>
                <w:szCs w:val="20"/>
              </w:rPr>
              <w:t>为负数</w:t>
            </w:r>
            <w:r>
              <w:rPr>
                <w:rFonts w:hint="eastAsia"/>
                <w:szCs w:val="20"/>
              </w:rPr>
              <w:t>或</w:t>
            </w:r>
            <w:r>
              <w:rPr>
                <w:szCs w:val="20"/>
              </w:rPr>
              <w:t>D050</w:t>
            </w:r>
            <w:r>
              <w:rPr>
                <w:rFonts w:hint="eastAsia"/>
                <w:szCs w:val="20"/>
              </w:rPr>
              <w:t>3＝5时为必填项。</w:t>
            </w:r>
          </w:p>
        </w:tc>
      </w:tr>
    </w:tbl>
    <w:p w14:paraId="1386C860" w14:textId="77777777" w:rsidR="00A052DC" w:rsidRDefault="00A052DC">
      <w:pPr>
        <w:ind w:firstLine="480"/>
      </w:pPr>
    </w:p>
    <w:p w14:paraId="34C1B9B5" w14:textId="77777777" w:rsidR="00A052DC" w:rsidRDefault="00A052DC"/>
    <w:p w14:paraId="06FE1C64" w14:textId="77777777" w:rsidR="00A052DC" w:rsidRDefault="009F0A60" w:rsidP="0020251D">
      <w:pPr>
        <w:pStyle w:val="3"/>
        <w:ind w:left="0"/>
        <w:rPr>
          <w:rFonts w:ascii="Times New Roman" w:hAnsi="Times New Roman"/>
        </w:rPr>
      </w:pPr>
      <w:bookmarkStart w:id="3273" w:name="_Toc91455322"/>
      <w:bookmarkStart w:id="3274" w:name="_Toc454391328"/>
      <w:bookmarkStart w:id="3275" w:name="_Toc380356295"/>
      <w:bookmarkStart w:id="3276" w:name="_Toc380570975"/>
      <w:bookmarkStart w:id="3277" w:name="_Toc101684495"/>
      <w:r>
        <w:rPr>
          <w:rFonts w:ascii="Times New Roman" w:hAnsi="Times New Roman"/>
        </w:rPr>
        <w:t>D06-1</w:t>
      </w:r>
      <w:r>
        <w:rPr>
          <w:rFonts w:ascii="Times New Roman" w:hAnsi="Times New Roman" w:hint="eastAsia"/>
        </w:rPr>
        <w:t>表：贷款（含银行同业和联行拆借）（负债）</w:t>
      </w:r>
      <w:bookmarkEnd w:id="3273"/>
      <w:bookmarkEnd w:id="3274"/>
      <w:bookmarkEnd w:id="3275"/>
      <w:bookmarkEnd w:id="3276"/>
      <w:bookmarkEnd w:id="3277"/>
    </w:p>
    <w:p w14:paraId="5D93CE51" w14:textId="77777777" w:rsidR="00A052DC" w:rsidRDefault="009F0A60">
      <w:pPr>
        <w:spacing w:line="360" w:lineRule="auto"/>
        <w:ind w:firstLineChars="200" w:firstLine="480"/>
        <w:rPr>
          <w:rFonts w:ascii="Times New Roman"/>
          <w:kern w:val="0"/>
          <w:sz w:val="24"/>
          <w:szCs w:val="20"/>
        </w:rPr>
      </w:pPr>
      <w:r>
        <w:rPr>
          <w:rFonts w:ascii="Times New Roman" w:hint="eastAsia"/>
          <w:kern w:val="0"/>
          <w:sz w:val="24"/>
          <w:szCs w:val="20"/>
        </w:rPr>
        <w:t>为保证数据统一采集，《对外金融资产负债及交易统计制度》（汇发</w:t>
      </w:r>
      <w:r w:rsidR="00DF0D4A">
        <w:rPr>
          <w:rFonts w:ascii="Times New Roman"/>
          <w:kern w:val="0"/>
          <w:sz w:val="24"/>
          <w:szCs w:val="20"/>
        </w:rPr>
        <w:t>〔</w:t>
      </w:r>
      <w:r>
        <w:rPr>
          <w:rFonts w:ascii="Times New Roman" w:hint="eastAsia"/>
          <w:kern w:val="0"/>
          <w:sz w:val="24"/>
          <w:szCs w:val="20"/>
        </w:rPr>
        <w:t>2021</w:t>
      </w:r>
      <w:r w:rsidR="00DF0D4A">
        <w:rPr>
          <w:rFonts w:ascii="Times New Roman"/>
          <w:kern w:val="0"/>
          <w:sz w:val="24"/>
          <w:szCs w:val="20"/>
        </w:rPr>
        <w:t>〕</w:t>
      </w:r>
      <w:r>
        <w:rPr>
          <w:rFonts w:ascii="Times New Roman" w:hint="eastAsia"/>
          <w:kern w:val="0"/>
          <w:sz w:val="24"/>
          <w:szCs w:val="20"/>
        </w:rPr>
        <w:t>36</w:t>
      </w:r>
      <w:r>
        <w:rPr>
          <w:rFonts w:ascii="Times New Roman" w:hint="eastAsia"/>
          <w:kern w:val="0"/>
          <w:sz w:val="24"/>
          <w:szCs w:val="20"/>
        </w:rPr>
        <w:t>号）中的</w:t>
      </w:r>
      <w:r>
        <w:rPr>
          <w:rFonts w:ascii="Times New Roman"/>
          <w:kern w:val="0"/>
          <w:sz w:val="24"/>
          <w:szCs w:val="20"/>
        </w:rPr>
        <w:t>D06</w:t>
      </w:r>
      <w:r>
        <w:rPr>
          <w:rFonts w:ascii="Times New Roman" w:hint="eastAsia"/>
          <w:kern w:val="0"/>
          <w:sz w:val="24"/>
          <w:szCs w:val="20"/>
        </w:rPr>
        <w:t>表只要求报送本接口列出的字段，其他字段由外汇局通过银行自身外债（或非银行金融机构外债）的贷款业务数据加工得到。银行自身外债包含双边贷款、买方信贷、境外拆借、海外代付、卖出回购、银团贷款、贵金属拆借、其他贷款等</w:t>
      </w:r>
      <w:r>
        <w:rPr>
          <w:rFonts w:ascii="Times New Roman"/>
          <w:kern w:val="0"/>
          <w:sz w:val="24"/>
          <w:szCs w:val="20"/>
        </w:rPr>
        <w:t>8</w:t>
      </w:r>
      <w:r>
        <w:rPr>
          <w:rFonts w:ascii="Times New Roman" w:hint="eastAsia"/>
          <w:kern w:val="0"/>
          <w:sz w:val="24"/>
          <w:szCs w:val="20"/>
        </w:rPr>
        <w:t>类外债业务；非银行金融机构外债包含双边贷款、多边贷款、买方信贷、卖方信贷、融资租赁、银团贷款、从境外母公司贷款、从境外子公司贷款、从联属企业贷款、非股东及非关联企业贷款、补偿贸易中需现汇偿还的债务、境外金融机构贷款、境内外资银行贷款、其他贷款等</w:t>
      </w:r>
      <w:r>
        <w:rPr>
          <w:rFonts w:ascii="Times New Roman"/>
          <w:kern w:val="0"/>
          <w:sz w:val="24"/>
          <w:szCs w:val="20"/>
        </w:rPr>
        <w:t>14</w:t>
      </w:r>
      <w:r>
        <w:rPr>
          <w:rFonts w:ascii="Times New Roman" w:hint="eastAsia"/>
          <w:kern w:val="0"/>
          <w:sz w:val="24"/>
          <w:szCs w:val="20"/>
        </w:rPr>
        <w:t>类外债业务。</w:t>
      </w:r>
    </w:p>
    <w:p w14:paraId="0A5ED6CA" w14:textId="77777777" w:rsidR="00A052DC" w:rsidRDefault="009F0A60" w:rsidP="0020251D">
      <w:pPr>
        <w:pStyle w:val="4"/>
        <w:numPr>
          <w:ilvl w:val="3"/>
          <w:numId w:val="1"/>
        </w:numPr>
        <w:jc w:val="left"/>
      </w:pPr>
      <w:bookmarkStart w:id="3278" w:name="_Toc454391329"/>
      <w:bookmarkStart w:id="3279" w:name="_Toc380570976"/>
      <w:r>
        <w:rPr>
          <w:rFonts w:hint="eastAsia"/>
        </w:rPr>
        <w:t>数据术语解释</w:t>
      </w:r>
      <w:bookmarkEnd w:id="3278"/>
      <w:bookmarkEnd w:id="3279"/>
    </w:p>
    <w:tbl>
      <w:tblPr>
        <w:tblW w:w="874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3358"/>
        <w:gridCol w:w="3686"/>
      </w:tblGrid>
      <w:tr w:rsidR="00A052DC" w14:paraId="60C6AF8E" w14:textId="77777777">
        <w:tc>
          <w:tcPr>
            <w:tcW w:w="1702" w:type="dxa"/>
          </w:tcPr>
          <w:p w14:paraId="7362C34B" w14:textId="77777777" w:rsidR="00A052DC" w:rsidRDefault="009F0A60">
            <w:pPr>
              <w:jc w:val="center"/>
              <w:rPr>
                <w:rFonts w:ascii="黑体" w:eastAsia="黑体" w:hAnsi="黑体"/>
                <w:b/>
                <w:kern w:val="0"/>
                <w:sz w:val="20"/>
                <w:szCs w:val="20"/>
              </w:rPr>
            </w:pPr>
            <w:r>
              <w:rPr>
                <w:rFonts w:ascii="黑体" w:eastAsia="黑体" w:hAnsi="黑体" w:hint="eastAsia"/>
                <w:b/>
                <w:kern w:val="0"/>
                <w:sz w:val="20"/>
                <w:szCs w:val="20"/>
              </w:rPr>
              <w:t>基础数据项</w:t>
            </w:r>
          </w:p>
        </w:tc>
        <w:tc>
          <w:tcPr>
            <w:tcW w:w="3358" w:type="dxa"/>
          </w:tcPr>
          <w:p w14:paraId="2EEB1221" w14:textId="77777777" w:rsidR="00A052DC" w:rsidRDefault="009F0A60">
            <w:pPr>
              <w:jc w:val="center"/>
              <w:rPr>
                <w:rFonts w:ascii="黑体" w:eastAsia="黑体" w:hAnsi="黑体"/>
                <w:b/>
                <w:kern w:val="0"/>
                <w:sz w:val="20"/>
                <w:szCs w:val="20"/>
              </w:rPr>
            </w:pPr>
            <w:r>
              <w:rPr>
                <w:rFonts w:ascii="黑体" w:eastAsia="黑体" w:hAnsi="黑体" w:hint="eastAsia"/>
                <w:b/>
                <w:kern w:val="0"/>
                <w:sz w:val="20"/>
                <w:szCs w:val="20"/>
              </w:rPr>
              <w:t>定义</w:t>
            </w:r>
          </w:p>
        </w:tc>
        <w:tc>
          <w:tcPr>
            <w:tcW w:w="3686" w:type="dxa"/>
          </w:tcPr>
          <w:p w14:paraId="0B233576" w14:textId="77777777" w:rsidR="00A052DC" w:rsidRDefault="009F0A60">
            <w:pPr>
              <w:jc w:val="center"/>
              <w:rPr>
                <w:rFonts w:ascii="黑体" w:eastAsia="黑体" w:hAnsi="黑体"/>
                <w:b/>
                <w:kern w:val="0"/>
                <w:sz w:val="20"/>
                <w:szCs w:val="20"/>
              </w:rPr>
            </w:pPr>
            <w:r>
              <w:rPr>
                <w:rFonts w:ascii="黑体" w:eastAsia="黑体" w:hAnsi="黑体" w:hint="eastAsia"/>
                <w:b/>
                <w:kern w:val="0"/>
                <w:sz w:val="20"/>
                <w:szCs w:val="20"/>
              </w:rPr>
              <w:t>数据采集说明</w:t>
            </w:r>
          </w:p>
        </w:tc>
      </w:tr>
      <w:tr w:rsidR="00A052DC" w14:paraId="1DA132B1" w14:textId="77777777">
        <w:tc>
          <w:tcPr>
            <w:tcW w:w="1702" w:type="dxa"/>
          </w:tcPr>
          <w:p w14:paraId="4149C390" w14:textId="77777777" w:rsidR="00A052DC" w:rsidRDefault="009F0A60">
            <w:pPr>
              <w:rPr>
                <w:rFonts w:ascii="黑体" w:eastAsia="黑体" w:hAnsi="黑体"/>
                <w:kern w:val="0"/>
                <w:sz w:val="20"/>
                <w:szCs w:val="20"/>
              </w:rPr>
            </w:pPr>
            <w:r>
              <w:rPr>
                <w:rFonts w:ascii="黑体" w:eastAsia="黑体" w:hAnsi="黑体" w:hint="eastAsia"/>
                <w:kern w:val="0"/>
                <w:sz w:val="20"/>
                <w:szCs w:val="20"/>
              </w:rPr>
              <w:t>数据自编码</w:t>
            </w:r>
          </w:p>
        </w:tc>
        <w:tc>
          <w:tcPr>
            <w:tcW w:w="3358" w:type="dxa"/>
          </w:tcPr>
          <w:p w14:paraId="45E03125" w14:textId="77777777" w:rsidR="00A052DC" w:rsidRDefault="009F0A60">
            <w:pPr>
              <w:rPr>
                <w:rFonts w:ascii="黑体" w:eastAsia="黑体" w:hAnsi="黑体"/>
                <w:kern w:val="0"/>
                <w:sz w:val="20"/>
                <w:szCs w:val="20"/>
              </w:rPr>
            </w:pPr>
            <w:r>
              <w:rPr>
                <w:rFonts w:ascii="黑体" w:eastAsia="黑体" w:hAnsi="黑体" w:hint="eastAsia"/>
                <w:kern w:val="0"/>
                <w:sz w:val="20"/>
                <w:szCs w:val="20"/>
              </w:rPr>
              <w:t>该编码用于标识金融机构报送的每一条数据，按给定规则编码，便于进行增删改查等操作。建议规则：机构代码（18位，不足18位补a）+报表代码（5位，不足5位补a）+报送期（6位）+顺序号（7位，从0000001开始增加）。</w:t>
            </w:r>
          </w:p>
        </w:tc>
        <w:tc>
          <w:tcPr>
            <w:tcW w:w="3686" w:type="dxa"/>
          </w:tcPr>
          <w:p w14:paraId="44CA3D5F" w14:textId="77777777" w:rsidR="00A052DC" w:rsidRDefault="009F0A60">
            <w:pPr>
              <w:rPr>
                <w:rFonts w:ascii="黑体" w:eastAsia="黑体" w:hAnsi="黑体"/>
                <w:kern w:val="0"/>
                <w:sz w:val="20"/>
                <w:szCs w:val="20"/>
              </w:rPr>
            </w:pPr>
            <w:r>
              <w:rPr>
                <w:rFonts w:ascii="黑体" w:eastAsia="黑体" w:hAnsi="黑体" w:cs="宋体" w:hint="eastAsia"/>
                <w:kern w:val="0"/>
                <w:sz w:val="20"/>
                <w:szCs w:val="20"/>
              </w:rPr>
              <w:t>见数据格式和数据字典。</w:t>
            </w:r>
          </w:p>
        </w:tc>
      </w:tr>
      <w:tr w:rsidR="00A052DC" w14:paraId="59880FD0" w14:textId="77777777">
        <w:tc>
          <w:tcPr>
            <w:tcW w:w="1702" w:type="dxa"/>
          </w:tcPr>
          <w:p w14:paraId="4C226739" w14:textId="77777777" w:rsidR="00A052DC" w:rsidRDefault="009F0A60">
            <w:pPr>
              <w:rPr>
                <w:rFonts w:ascii="黑体" w:eastAsia="黑体" w:hAnsi="黑体"/>
                <w:kern w:val="0"/>
                <w:sz w:val="20"/>
                <w:szCs w:val="20"/>
              </w:rPr>
            </w:pPr>
            <w:r>
              <w:rPr>
                <w:rFonts w:ascii="黑体" w:eastAsia="黑体" w:hAnsi="黑体" w:hint="eastAsia"/>
                <w:kern w:val="0"/>
                <w:sz w:val="20"/>
                <w:szCs w:val="20"/>
              </w:rPr>
              <w:t>申报主体代码</w:t>
            </w:r>
          </w:p>
        </w:tc>
        <w:tc>
          <w:tcPr>
            <w:tcW w:w="3358" w:type="dxa"/>
          </w:tcPr>
          <w:p w14:paraId="5EDED504" w14:textId="77777777" w:rsidR="00A052DC" w:rsidRDefault="009F0A60">
            <w:pPr>
              <w:rPr>
                <w:rFonts w:ascii="黑体" w:eastAsia="黑体" w:hAnsi="黑体"/>
                <w:kern w:val="0"/>
                <w:sz w:val="20"/>
                <w:szCs w:val="20"/>
              </w:rPr>
            </w:pPr>
            <w:r>
              <w:rPr>
                <w:rFonts w:ascii="黑体" w:eastAsia="黑体" w:hAnsi="黑体" w:hint="eastAsia"/>
                <w:sz w:val="20"/>
                <w:szCs w:val="20"/>
              </w:rPr>
              <w:t>申报主体的12位金融机构标识码，如果没有金融机构标识码，则填报统一社会信用代码法定载体（如营业执照）上统一社会信用代码中的第9至17位或国家外汇管理局及其分支局签发的特殊机构代码赋码通知书上的机构代码、个人身份代码。</w:t>
            </w:r>
          </w:p>
        </w:tc>
        <w:tc>
          <w:tcPr>
            <w:tcW w:w="3686" w:type="dxa"/>
          </w:tcPr>
          <w:p w14:paraId="259ED618" w14:textId="77777777" w:rsidR="00A052DC" w:rsidRDefault="009F0A60">
            <w:pPr>
              <w:rPr>
                <w:rFonts w:ascii="黑体" w:eastAsia="黑体" w:hAnsi="黑体"/>
                <w:kern w:val="0"/>
                <w:sz w:val="20"/>
                <w:szCs w:val="20"/>
              </w:rPr>
            </w:pPr>
            <w:r>
              <w:rPr>
                <w:rFonts w:ascii="黑体" w:eastAsia="黑体" w:hAnsi="黑体" w:cs="宋体" w:hint="eastAsia"/>
                <w:kern w:val="0"/>
                <w:sz w:val="20"/>
                <w:szCs w:val="20"/>
              </w:rPr>
              <w:t>见数据格式和数据字典。</w:t>
            </w:r>
          </w:p>
        </w:tc>
      </w:tr>
      <w:tr w:rsidR="00A052DC" w14:paraId="74DDD844" w14:textId="77777777">
        <w:tc>
          <w:tcPr>
            <w:tcW w:w="1702" w:type="dxa"/>
          </w:tcPr>
          <w:p w14:paraId="53D38823" w14:textId="77777777" w:rsidR="00A052DC" w:rsidRDefault="009F0A60">
            <w:pPr>
              <w:rPr>
                <w:rFonts w:ascii="黑体" w:eastAsia="黑体" w:hAnsi="黑体"/>
                <w:kern w:val="0"/>
                <w:sz w:val="20"/>
                <w:szCs w:val="20"/>
              </w:rPr>
            </w:pPr>
            <w:r>
              <w:rPr>
                <w:rFonts w:ascii="黑体" w:eastAsia="黑体" w:hAnsi="黑体" w:hint="eastAsia"/>
                <w:kern w:val="0"/>
                <w:sz w:val="20"/>
                <w:szCs w:val="20"/>
              </w:rPr>
              <w:t>报告期</w:t>
            </w:r>
          </w:p>
        </w:tc>
        <w:tc>
          <w:tcPr>
            <w:tcW w:w="3358" w:type="dxa"/>
          </w:tcPr>
          <w:p w14:paraId="751A7DEE" w14:textId="77777777" w:rsidR="00A052DC" w:rsidRDefault="009F0A60">
            <w:pPr>
              <w:rPr>
                <w:rFonts w:ascii="黑体" w:eastAsia="黑体" w:hAnsi="黑体"/>
                <w:kern w:val="0"/>
                <w:sz w:val="20"/>
                <w:szCs w:val="20"/>
              </w:rPr>
            </w:pPr>
            <w:r>
              <w:rPr>
                <w:rFonts w:ascii="黑体" w:eastAsia="黑体" w:hAnsi="黑体" w:hint="eastAsia"/>
                <w:kern w:val="0"/>
                <w:sz w:val="20"/>
                <w:szCs w:val="20"/>
              </w:rPr>
              <w:t>业务发生月份，格式为YYYYMM。</w:t>
            </w:r>
          </w:p>
        </w:tc>
        <w:tc>
          <w:tcPr>
            <w:tcW w:w="3686" w:type="dxa"/>
          </w:tcPr>
          <w:p w14:paraId="145DFDCA" w14:textId="77777777" w:rsidR="00A052DC" w:rsidRDefault="009F0A60">
            <w:pPr>
              <w:rPr>
                <w:rFonts w:ascii="黑体" w:eastAsia="黑体" w:hAnsi="黑体"/>
                <w:kern w:val="0"/>
                <w:sz w:val="20"/>
                <w:szCs w:val="20"/>
              </w:rPr>
            </w:pPr>
            <w:r>
              <w:rPr>
                <w:rFonts w:ascii="黑体" w:eastAsia="黑体" w:hAnsi="黑体" w:cs="宋体" w:hint="eastAsia"/>
                <w:kern w:val="0"/>
                <w:sz w:val="20"/>
                <w:szCs w:val="20"/>
              </w:rPr>
              <w:t>见数据格式和数据字典。</w:t>
            </w:r>
          </w:p>
        </w:tc>
      </w:tr>
      <w:tr w:rsidR="00A052DC" w14:paraId="21E933F3" w14:textId="77777777">
        <w:tc>
          <w:tcPr>
            <w:tcW w:w="1702" w:type="dxa"/>
          </w:tcPr>
          <w:p w14:paraId="7DBE9725" w14:textId="77777777" w:rsidR="00A052DC" w:rsidRDefault="009F0A60">
            <w:pPr>
              <w:rPr>
                <w:rFonts w:ascii="黑体" w:eastAsia="黑体" w:hAnsi="黑体"/>
                <w:kern w:val="0"/>
                <w:sz w:val="20"/>
                <w:szCs w:val="20"/>
              </w:rPr>
            </w:pPr>
            <w:r>
              <w:rPr>
                <w:rFonts w:ascii="黑体" w:eastAsia="黑体" w:hAnsi="黑体" w:hint="eastAsia"/>
                <w:kern w:val="0"/>
                <w:sz w:val="20"/>
                <w:szCs w:val="20"/>
              </w:rPr>
              <w:t>外债编号</w:t>
            </w:r>
          </w:p>
        </w:tc>
        <w:tc>
          <w:tcPr>
            <w:tcW w:w="3358" w:type="dxa"/>
          </w:tcPr>
          <w:p w14:paraId="13B95CC2" w14:textId="77777777" w:rsidR="00A052DC" w:rsidRDefault="009F0A60">
            <w:pPr>
              <w:rPr>
                <w:rFonts w:ascii="黑体" w:eastAsia="黑体" w:hAnsi="黑体"/>
                <w:kern w:val="0"/>
                <w:sz w:val="20"/>
                <w:szCs w:val="20"/>
              </w:rPr>
            </w:pPr>
            <w:r>
              <w:rPr>
                <w:rFonts w:ascii="黑体" w:eastAsia="黑体" w:hAnsi="黑体" w:hint="eastAsia"/>
                <w:kern w:val="0"/>
                <w:sz w:val="20"/>
                <w:szCs w:val="20"/>
              </w:rPr>
              <w:t>如果报送机构为银行，则外债编号是该笔业务对应的银行自身外债中双边贷款、买方信贷、境外拆借、海外代付、卖出回购、银团贷款、贵金属拆借、其他贷款类业务的外债编号。此外债编号必须为银行自身外债签约信息中已经报送的外债编号。</w:t>
            </w:r>
          </w:p>
          <w:p w14:paraId="49282AC2" w14:textId="77777777" w:rsidR="00A052DC" w:rsidRDefault="009F0A60">
            <w:pPr>
              <w:rPr>
                <w:rFonts w:ascii="黑体" w:eastAsia="黑体" w:hAnsi="黑体"/>
                <w:kern w:val="0"/>
                <w:sz w:val="20"/>
                <w:szCs w:val="20"/>
              </w:rPr>
            </w:pPr>
            <w:r>
              <w:rPr>
                <w:rFonts w:ascii="黑体" w:eastAsia="黑体" w:hAnsi="黑体" w:hint="eastAsia"/>
                <w:kern w:val="0"/>
                <w:sz w:val="20"/>
                <w:szCs w:val="20"/>
              </w:rPr>
              <w:t>如果报送机构为非银行金融机构，则外债编号是该笔业务对应的非银行金融机构外债的双边贷款、多边贷款、买方信贷、卖方信贷、融资租赁、银团贷款、从境外母公司贷款、从境外子公司贷款、从联属企业贷款、非股东及非关联企业贷款、补偿贸易中需现汇偿还的债务、境外金融机构贷款、境内外资银行贷款、其他贷款类业务的外债编号。此外债编号必须为非银行金融机构已在外汇局登记的外债签约信息中的外债编号。</w:t>
            </w:r>
          </w:p>
        </w:tc>
        <w:tc>
          <w:tcPr>
            <w:tcW w:w="3686" w:type="dxa"/>
          </w:tcPr>
          <w:p w14:paraId="24FD3BBB" w14:textId="77777777" w:rsidR="00A052DC" w:rsidRDefault="009F0A60">
            <w:pPr>
              <w:rPr>
                <w:rFonts w:ascii="黑体" w:eastAsia="黑体" w:hAnsi="黑体"/>
                <w:kern w:val="0"/>
                <w:sz w:val="20"/>
                <w:szCs w:val="20"/>
              </w:rPr>
            </w:pPr>
            <w:r>
              <w:rPr>
                <w:rFonts w:ascii="黑体" w:eastAsia="黑体" w:hAnsi="黑体" w:cs="宋体" w:hint="eastAsia"/>
                <w:kern w:val="0"/>
                <w:sz w:val="20"/>
                <w:szCs w:val="20"/>
              </w:rPr>
              <w:t>见数据格式和数据字典。</w:t>
            </w:r>
          </w:p>
        </w:tc>
      </w:tr>
      <w:tr w:rsidR="00A052DC" w14:paraId="35521A3F" w14:textId="77777777">
        <w:tc>
          <w:tcPr>
            <w:tcW w:w="1702" w:type="dxa"/>
            <w:vAlign w:val="center"/>
          </w:tcPr>
          <w:p w14:paraId="0A7AC1E7" w14:textId="77777777" w:rsidR="00A052DC" w:rsidRDefault="009F0A60">
            <w:pPr>
              <w:rPr>
                <w:rFonts w:ascii="黑体" w:eastAsia="黑体" w:hAnsi="黑体" w:cs="宋体"/>
                <w:kern w:val="0"/>
                <w:sz w:val="20"/>
                <w:szCs w:val="20"/>
              </w:rPr>
            </w:pPr>
            <w:r>
              <w:rPr>
                <w:rFonts w:ascii="黑体" w:eastAsia="黑体" w:hAnsi="黑体" w:cs="宋体" w:hint="eastAsia"/>
                <w:kern w:val="0"/>
                <w:sz w:val="20"/>
                <w:szCs w:val="20"/>
              </w:rPr>
              <w:t>对方国家/地区</w:t>
            </w:r>
          </w:p>
        </w:tc>
        <w:tc>
          <w:tcPr>
            <w:tcW w:w="3358" w:type="dxa"/>
            <w:vAlign w:val="center"/>
          </w:tcPr>
          <w:p w14:paraId="226D7F7B" w14:textId="77777777" w:rsidR="00A052DC" w:rsidRDefault="009F0A60">
            <w:pPr>
              <w:rPr>
                <w:rFonts w:ascii="黑体" w:eastAsia="黑体" w:hAnsi="黑体" w:cs="宋体"/>
                <w:kern w:val="0"/>
                <w:sz w:val="20"/>
                <w:szCs w:val="20"/>
              </w:rPr>
            </w:pPr>
            <w:r>
              <w:rPr>
                <w:rFonts w:ascii="黑体" w:eastAsia="黑体" w:hAnsi="黑体" w:hint="eastAsia"/>
                <w:sz w:val="20"/>
                <w:szCs w:val="20"/>
              </w:rPr>
              <w:t>指提供贷款的非居民注册或常驻（住）的国家或地区。参见国家（地区）名称代码表。</w:t>
            </w:r>
          </w:p>
        </w:tc>
        <w:tc>
          <w:tcPr>
            <w:tcW w:w="3686" w:type="dxa"/>
            <w:vAlign w:val="center"/>
          </w:tcPr>
          <w:p w14:paraId="5DC04CE0" w14:textId="77777777" w:rsidR="00A052DC" w:rsidRDefault="009F0A60">
            <w:pPr>
              <w:rPr>
                <w:rFonts w:ascii="黑体" w:eastAsia="黑体" w:hAnsi="黑体" w:cs="宋体"/>
                <w:kern w:val="0"/>
                <w:sz w:val="20"/>
                <w:szCs w:val="20"/>
              </w:rPr>
            </w:pPr>
            <w:r>
              <w:rPr>
                <w:rFonts w:ascii="黑体" w:eastAsia="黑体" w:hAnsi="黑体" w:cs="宋体" w:hint="eastAsia"/>
                <w:kern w:val="0"/>
                <w:sz w:val="20"/>
                <w:szCs w:val="20"/>
              </w:rPr>
              <w:t>不需要报送该字段。该字段对应于银行自身外债和非银行金融机构外债签约信息中的“债权人经营地所在国家（地区）代码”字段。</w:t>
            </w:r>
          </w:p>
        </w:tc>
      </w:tr>
      <w:tr w:rsidR="00A052DC" w14:paraId="67290353" w14:textId="77777777">
        <w:tc>
          <w:tcPr>
            <w:tcW w:w="1702" w:type="dxa"/>
            <w:vAlign w:val="center"/>
          </w:tcPr>
          <w:p w14:paraId="29C5B9CE" w14:textId="77777777" w:rsidR="00A052DC" w:rsidRDefault="009F0A60">
            <w:pPr>
              <w:rPr>
                <w:rFonts w:ascii="黑体" w:eastAsia="黑体" w:hAnsi="黑体" w:cs="宋体"/>
                <w:kern w:val="0"/>
                <w:sz w:val="20"/>
                <w:szCs w:val="20"/>
              </w:rPr>
            </w:pPr>
            <w:r>
              <w:rPr>
                <w:rFonts w:ascii="黑体" w:eastAsia="黑体" w:hAnsi="黑体" w:cs="宋体" w:hint="eastAsia"/>
                <w:kern w:val="0"/>
                <w:sz w:val="20"/>
                <w:szCs w:val="20"/>
              </w:rPr>
              <w:t>对方部门</w:t>
            </w:r>
          </w:p>
        </w:tc>
        <w:tc>
          <w:tcPr>
            <w:tcW w:w="3358" w:type="dxa"/>
          </w:tcPr>
          <w:p w14:paraId="2175E24A" w14:textId="77777777" w:rsidR="00A052DC" w:rsidRDefault="009F0A60">
            <w:pPr>
              <w:rPr>
                <w:rFonts w:ascii="黑体" w:eastAsia="黑体" w:hAnsi="黑体" w:cs="宋体"/>
                <w:kern w:val="0"/>
                <w:sz w:val="20"/>
                <w:szCs w:val="20"/>
              </w:rPr>
            </w:pPr>
            <w:r>
              <w:rPr>
                <w:rFonts w:ascii="黑体" w:eastAsia="黑体" w:hAnsi="黑体" w:hint="eastAsia"/>
                <w:sz w:val="20"/>
                <w:szCs w:val="20"/>
              </w:rPr>
              <w:t>参见投资者（被投资者）部门代码表。请按提供贷款的非居民的主营业务归类。</w:t>
            </w:r>
          </w:p>
        </w:tc>
        <w:tc>
          <w:tcPr>
            <w:tcW w:w="3686" w:type="dxa"/>
          </w:tcPr>
          <w:p w14:paraId="4276EB2D" w14:textId="77777777" w:rsidR="00A052DC" w:rsidRDefault="009F0A60">
            <w:pPr>
              <w:rPr>
                <w:rFonts w:ascii="黑体" w:eastAsia="黑体" w:hAnsi="黑体" w:cs="宋体"/>
                <w:kern w:val="0"/>
                <w:sz w:val="20"/>
                <w:szCs w:val="20"/>
              </w:rPr>
            </w:pPr>
            <w:r>
              <w:rPr>
                <w:rFonts w:ascii="黑体" w:eastAsia="黑体" w:hAnsi="黑体" w:cs="宋体" w:hint="eastAsia"/>
                <w:kern w:val="0"/>
                <w:sz w:val="20"/>
                <w:szCs w:val="20"/>
              </w:rPr>
              <w:t>不需要报送该字段。该字段由外汇局根据银行自身外债和非银行金融机构外债签约信息中的“债权人类型代码”字段转换得到。</w:t>
            </w:r>
          </w:p>
        </w:tc>
      </w:tr>
      <w:tr w:rsidR="00A052DC" w14:paraId="0402B6AB" w14:textId="77777777">
        <w:tc>
          <w:tcPr>
            <w:tcW w:w="1702" w:type="dxa"/>
            <w:vAlign w:val="center"/>
          </w:tcPr>
          <w:p w14:paraId="2B716929" w14:textId="77777777" w:rsidR="00A052DC" w:rsidRDefault="009F0A60">
            <w:pPr>
              <w:rPr>
                <w:rFonts w:ascii="黑体" w:eastAsia="黑体" w:hAnsi="黑体" w:cs="宋体"/>
                <w:kern w:val="0"/>
                <w:sz w:val="20"/>
                <w:szCs w:val="20"/>
              </w:rPr>
            </w:pPr>
            <w:r>
              <w:rPr>
                <w:rFonts w:ascii="黑体" w:eastAsia="黑体" w:hAnsi="黑体" w:cs="宋体" w:hint="eastAsia"/>
                <w:kern w:val="0"/>
                <w:sz w:val="20"/>
                <w:szCs w:val="20"/>
              </w:rPr>
              <w:t>对方与本机构的关系</w:t>
            </w:r>
          </w:p>
        </w:tc>
        <w:tc>
          <w:tcPr>
            <w:tcW w:w="3358" w:type="dxa"/>
            <w:vAlign w:val="center"/>
          </w:tcPr>
          <w:p w14:paraId="38DC13D9" w14:textId="77777777" w:rsidR="00A052DC" w:rsidRDefault="009F0A60">
            <w:pPr>
              <w:rPr>
                <w:rFonts w:ascii="黑体" w:eastAsia="黑体" w:hAnsi="黑体" w:cs="宋体"/>
                <w:kern w:val="0"/>
                <w:sz w:val="20"/>
                <w:szCs w:val="20"/>
              </w:rPr>
            </w:pPr>
            <w:r>
              <w:rPr>
                <w:rFonts w:ascii="黑体" w:eastAsia="黑体" w:hAnsi="黑体" w:cs="宋体" w:hint="eastAsia"/>
                <w:kern w:val="0"/>
                <w:sz w:val="20"/>
                <w:szCs w:val="20"/>
              </w:rPr>
              <w:t>参见对方与本机构/被代理居民机构/委托人的关系代码表。</w:t>
            </w:r>
          </w:p>
        </w:tc>
        <w:tc>
          <w:tcPr>
            <w:tcW w:w="3686" w:type="dxa"/>
            <w:vAlign w:val="center"/>
          </w:tcPr>
          <w:p w14:paraId="6DF25062" w14:textId="77777777" w:rsidR="00A052DC" w:rsidRDefault="009F0A60" w:rsidP="00DC00A8">
            <w:pPr>
              <w:rPr>
                <w:rFonts w:ascii="黑体" w:eastAsia="黑体" w:hAnsi="黑体" w:cs="宋体"/>
                <w:kern w:val="0"/>
                <w:sz w:val="20"/>
                <w:szCs w:val="20"/>
              </w:rPr>
            </w:pPr>
            <w:r>
              <w:rPr>
                <w:rFonts w:ascii="黑体" w:eastAsia="黑体" w:hAnsi="黑体" w:cs="宋体" w:hint="eastAsia"/>
                <w:kern w:val="0"/>
                <w:sz w:val="20"/>
                <w:szCs w:val="20"/>
              </w:rPr>
              <w:t>不需要报送该字段。对于银行自身外债，该字段对应于签约信息中的“对方与本机构的关系”字段；对于非银行金融机构外债，该字段由外汇局根据“债务类型”字段转换得到：如果“债务类型”为“从境外母公司贷款”则“对方与本机构的关系”为01、“从境外子公司贷款”为02、“从联属企业贷款”为03、其他所有“债务类型</w:t>
            </w:r>
            <w:r w:rsidR="00DC00A8">
              <w:rPr>
                <w:rFonts w:ascii="黑体" w:eastAsia="黑体" w:hAnsi="黑体" w:cs="宋体" w:hint="eastAsia"/>
                <w:kern w:val="0"/>
                <w:sz w:val="20"/>
                <w:szCs w:val="20"/>
              </w:rPr>
              <w:t>”</w:t>
            </w:r>
            <w:r>
              <w:rPr>
                <w:rFonts w:ascii="黑体" w:eastAsia="黑体" w:hAnsi="黑体" w:cs="宋体" w:hint="eastAsia"/>
                <w:kern w:val="0"/>
                <w:sz w:val="20"/>
                <w:szCs w:val="20"/>
              </w:rPr>
              <w:t>均为04。</w:t>
            </w:r>
          </w:p>
        </w:tc>
      </w:tr>
      <w:tr w:rsidR="00A052DC" w14:paraId="0D247511" w14:textId="77777777">
        <w:tc>
          <w:tcPr>
            <w:tcW w:w="1702" w:type="dxa"/>
            <w:vAlign w:val="center"/>
          </w:tcPr>
          <w:p w14:paraId="7726635B" w14:textId="77777777" w:rsidR="00A052DC" w:rsidRDefault="009F0A60">
            <w:pPr>
              <w:rPr>
                <w:rFonts w:ascii="黑体" w:eastAsia="黑体" w:hAnsi="黑体" w:cs="宋体"/>
                <w:kern w:val="0"/>
                <w:sz w:val="20"/>
                <w:szCs w:val="20"/>
              </w:rPr>
            </w:pPr>
            <w:r>
              <w:rPr>
                <w:rFonts w:ascii="黑体" w:eastAsia="黑体" w:hAnsi="黑体" w:cs="宋体" w:hint="eastAsia"/>
                <w:kern w:val="0"/>
                <w:sz w:val="20"/>
                <w:szCs w:val="20"/>
              </w:rPr>
              <w:t>原始期限</w:t>
            </w:r>
          </w:p>
        </w:tc>
        <w:tc>
          <w:tcPr>
            <w:tcW w:w="3358" w:type="dxa"/>
            <w:vAlign w:val="center"/>
          </w:tcPr>
          <w:p w14:paraId="16BEA4D4" w14:textId="77777777" w:rsidR="00A052DC" w:rsidRDefault="009F0A60">
            <w:pPr>
              <w:rPr>
                <w:rFonts w:ascii="黑体" w:eastAsia="黑体" w:hAnsi="黑体" w:cs="宋体"/>
                <w:kern w:val="0"/>
                <w:sz w:val="20"/>
                <w:szCs w:val="20"/>
              </w:rPr>
            </w:pPr>
            <w:r>
              <w:rPr>
                <w:rFonts w:ascii="黑体" w:eastAsia="黑体" w:hAnsi="黑体" w:hint="eastAsia"/>
                <w:sz w:val="20"/>
                <w:szCs w:val="20"/>
              </w:rPr>
              <w:t>指贷款合同或借贷双方交易证实书中贷款的首笔提款日至最终到期日（或结清日）的期限。按以下两种情况填列：1-一年及以下，含不定期；2-一年以上。其中，循环贷款按合同或交易证实书中约定的贷款周期填写。如发生贷款拖欠或展期的，应按照双方确定的期限计算。如双方无安排，应按原期限归类。</w:t>
            </w:r>
          </w:p>
        </w:tc>
        <w:tc>
          <w:tcPr>
            <w:tcW w:w="3686" w:type="dxa"/>
            <w:vAlign w:val="center"/>
          </w:tcPr>
          <w:p w14:paraId="2AC61BC7" w14:textId="77777777" w:rsidR="00A052DC" w:rsidRDefault="009F0A60">
            <w:pPr>
              <w:rPr>
                <w:rFonts w:ascii="黑体" w:eastAsia="黑体" w:hAnsi="黑体" w:cs="宋体"/>
                <w:kern w:val="0"/>
                <w:sz w:val="20"/>
                <w:szCs w:val="20"/>
              </w:rPr>
            </w:pPr>
            <w:r>
              <w:rPr>
                <w:rFonts w:ascii="黑体" w:eastAsia="黑体" w:hAnsi="黑体" w:cs="宋体" w:hint="eastAsia"/>
                <w:kern w:val="0"/>
                <w:sz w:val="20"/>
                <w:szCs w:val="20"/>
              </w:rPr>
              <w:t>不需要报送该字段。该字段对应于银行自身外债和非银行金融机构外债签约信息中的“起息日”和“到期日”字段。</w:t>
            </w:r>
          </w:p>
        </w:tc>
      </w:tr>
      <w:tr w:rsidR="00A052DC" w14:paraId="15035E92" w14:textId="77777777">
        <w:tc>
          <w:tcPr>
            <w:tcW w:w="1702" w:type="dxa"/>
            <w:vAlign w:val="center"/>
          </w:tcPr>
          <w:p w14:paraId="4AABC380" w14:textId="77777777" w:rsidR="00A052DC" w:rsidRDefault="009F0A60">
            <w:pPr>
              <w:rPr>
                <w:rFonts w:ascii="黑体" w:eastAsia="黑体" w:hAnsi="黑体" w:cs="宋体"/>
                <w:kern w:val="0"/>
                <w:sz w:val="20"/>
                <w:szCs w:val="20"/>
              </w:rPr>
            </w:pPr>
            <w:r>
              <w:rPr>
                <w:rFonts w:ascii="黑体" w:eastAsia="黑体" w:hAnsi="黑体" w:cs="宋体" w:hint="eastAsia"/>
                <w:kern w:val="0"/>
                <w:sz w:val="20"/>
                <w:szCs w:val="20"/>
              </w:rPr>
              <w:t>原始币种</w:t>
            </w:r>
          </w:p>
        </w:tc>
        <w:tc>
          <w:tcPr>
            <w:tcW w:w="3358" w:type="dxa"/>
            <w:vAlign w:val="center"/>
          </w:tcPr>
          <w:p w14:paraId="3A77D36D" w14:textId="77777777" w:rsidR="00A052DC" w:rsidRDefault="009F0A60">
            <w:pPr>
              <w:rPr>
                <w:rFonts w:ascii="黑体" w:eastAsia="黑体" w:hAnsi="黑体" w:cs="宋体"/>
                <w:kern w:val="0"/>
                <w:sz w:val="20"/>
                <w:szCs w:val="20"/>
              </w:rPr>
            </w:pPr>
            <w:r>
              <w:rPr>
                <w:rFonts w:ascii="黑体" w:eastAsia="黑体" w:hAnsi="黑体" w:hint="eastAsia"/>
                <w:sz w:val="20"/>
                <w:szCs w:val="20"/>
              </w:rPr>
              <w:t>指贷款合同中规定的贷款币种，适用于“上月末本金余额”至“本月利息支出”各项。参见币种代码表。</w:t>
            </w:r>
          </w:p>
        </w:tc>
        <w:tc>
          <w:tcPr>
            <w:tcW w:w="3686" w:type="dxa"/>
            <w:vAlign w:val="center"/>
          </w:tcPr>
          <w:p w14:paraId="21F6D2D8" w14:textId="77777777" w:rsidR="00A052DC" w:rsidRDefault="009F0A60">
            <w:pPr>
              <w:rPr>
                <w:rFonts w:ascii="黑体" w:eastAsia="黑体" w:hAnsi="黑体" w:cs="宋体"/>
                <w:kern w:val="0"/>
                <w:sz w:val="20"/>
                <w:szCs w:val="20"/>
              </w:rPr>
            </w:pPr>
            <w:r>
              <w:rPr>
                <w:rFonts w:ascii="黑体" w:eastAsia="黑体" w:hAnsi="黑体" w:cs="宋体" w:hint="eastAsia"/>
                <w:kern w:val="0"/>
                <w:sz w:val="20"/>
                <w:szCs w:val="20"/>
              </w:rPr>
              <w:t>不需要报送该字段。该字段对应于银行自身外债和非银行金融机构外债签约信息中的“签约币种”字段。</w:t>
            </w:r>
          </w:p>
        </w:tc>
      </w:tr>
      <w:tr w:rsidR="00A052DC" w14:paraId="1F74F1EC" w14:textId="77777777">
        <w:tc>
          <w:tcPr>
            <w:tcW w:w="1702" w:type="dxa"/>
            <w:vAlign w:val="center"/>
          </w:tcPr>
          <w:p w14:paraId="3D4FC00F" w14:textId="77777777" w:rsidR="00A052DC" w:rsidRDefault="009F0A60">
            <w:pPr>
              <w:rPr>
                <w:rFonts w:ascii="黑体" w:eastAsia="黑体" w:hAnsi="黑体" w:cs="宋体"/>
                <w:kern w:val="0"/>
                <w:sz w:val="20"/>
                <w:szCs w:val="20"/>
              </w:rPr>
            </w:pPr>
            <w:r>
              <w:rPr>
                <w:rFonts w:ascii="黑体" w:eastAsia="黑体" w:hAnsi="黑体" w:cs="宋体" w:hint="eastAsia"/>
                <w:kern w:val="0"/>
                <w:sz w:val="20"/>
                <w:szCs w:val="20"/>
              </w:rPr>
              <w:t>上月末本金余额</w:t>
            </w:r>
          </w:p>
        </w:tc>
        <w:tc>
          <w:tcPr>
            <w:tcW w:w="3358" w:type="dxa"/>
            <w:vAlign w:val="center"/>
          </w:tcPr>
          <w:p w14:paraId="3787E20E" w14:textId="77777777" w:rsidR="00A052DC" w:rsidRDefault="009F0A60">
            <w:pPr>
              <w:rPr>
                <w:rFonts w:ascii="黑体" w:eastAsia="黑体" w:hAnsi="黑体" w:cs="宋体"/>
                <w:kern w:val="0"/>
                <w:sz w:val="20"/>
                <w:szCs w:val="20"/>
              </w:rPr>
            </w:pPr>
            <w:r>
              <w:rPr>
                <w:rFonts w:ascii="黑体" w:eastAsia="黑体" w:hAnsi="黑体" w:hint="eastAsia"/>
                <w:sz w:val="20"/>
                <w:szCs w:val="20"/>
              </w:rPr>
              <w:t>指上月末接受非居民提供贷款的账面本金余额。</w:t>
            </w:r>
          </w:p>
        </w:tc>
        <w:tc>
          <w:tcPr>
            <w:tcW w:w="3686" w:type="dxa"/>
            <w:vAlign w:val="center"/>
          </w:tcPr>
          <w:p w14:paraId="72F80E6C" w14:textId="77777777" w:rsidR="00A052DC" w:rsidRDefault="009F0A60">
            <w:pPr>
              <w:rPr>
                <w:rFonts w:ascii="黑体" w:eastAsia="黑体" w:hAnsi="黑体" w:cs="宋体"/>
                <w:kern w:val="0"/>
                <w:sz w:val="20"/>
                <w:szCs w:val="20"/>
              </w:rPr>
            </w:pPr>
            <w:r>
              <w:rPr>
                <w:rFonts w:ascii="黑体" w:eastAsia="黑体" w:hAnsi="黑体" w:cs="宋体" w:hint="eastAsia"/>
                <w:kern w:val="0"/>
                <w:sz w:val="20"/>
                <w:szCs w:val="20"/>
              </w:rPr>
              <w:t>不需要报送该字段。截至上月末，将所有有效的外债在上月末前最后一笔变动信息的余额按照每个债权人的签约金额比例，拆分到每个债权人的余额，然后汇总得到的余额值。</w:t>
            </w:r>
          </w:p>
          <w:p w14:paraId="314E2F2F" w14:textId="77777777" w:rsidR="00A052DC" w:rsidRDefault="009F0A60">
            <w:pPr>
              <w:rPr>
                <w:rFonts w:ascii="黑体" w:eastAsia="黑体" w:hAnsi="黑体" w:cs="宋体"/>
                <w:kern w:val="0"/>
                <w:sz w:val="20"/>
                <w:szCs w:val="20"/>
              </w:rPr>
            </w:pPr>
            <w:r>
              <w:rPr>
                <w:rFonts w:ascii="黑体" w:eastAsia="黑体" w:hAnsi="黑体" w:cs="宋体" w:hint="eastAsia"/>
                <w:kern w:val="0"/>
                <w:sz w:val="20"/>
                <w:szCs w:val="20"/>
              </w:rPr>
              <w:t>该字段由外汇局根据银行自身外债和非银行金融机构外债的签约信息和变动信息计算出外债余额信息，即每笔外债报告期上月末之前最后一笔余额信息。</w:t>
            </w:r>
          </w:p>
        </w:tc>
      </w:tr>
      <w:tr w:rsidR="00A052DC" w14:paraId="2E8E8D38" w14:textId="77777777">
        <w:tc>
          <w:tcPr>
            <w:tcW w:w="1702" w:type="dxa"/>
          </w:tcPr>
          <w:p w14:paraId="6471A806" w14:textId="77777777" w:rsidR="00A052DC" w:rsidRDefault="009F0A60">
            <w:pPr>
              <w:rPr>
                <w:rFonts w:ascii="黑体" w:eastAsia="黑体" w:hAnsi="黑体"/>
                <w:kern w:val="0"/>
                <w:sz w:val="20"/>
                <w:szCs w:val="20"/>
              </w:rPr>
            </w:pPr>
            <w:r>
              <w:rPr>
                <w:rFonts w:ascii="黑体" w:eastAsia="黑体" w:hAnsi="黑体" w:hint="eastAsia"/>
                <w:kern w:val="0"/>
                <w:sz w:val="20"/>
                <w:szCs w:val="20"/>
              </w:rPr>
              <w:t>上月末应付利息余额</w:t>
            </w:r>
          </w:p>
        </w:tc>
        <w:tc>
          <w:tcPr>
            <w:tcW w:w="3358" w:type="dxa"/>
          </w:tcPr>
          <w:p w14:paraId="7747DE58" w14:textId="77777777" w:rsidR="00A052DC" w:rsidRDefault="009F0A60">
            <w:pPr>
              <w:rPr>
                <w:rFonts w:ascii="黑体" w:eastAsia="黑体" w:hAnsi="黑体"/>
                <w:kern w:val="0"/>
                <w:sz w:val="20"/>
                <w:szCs w:val="20"/>
              </w:rPr>
            </w:pPr>
            <w:r>
              <w:rPr>
                <w:rFonts w:ascii="黑体" w:eastAsia="黑体" w:hAnsi="黑体" w:hint="eastAsia"/>
                <w:sz w:val="20"/>
                <w:szCs w:val="20"/>
              </w:rPr>
              <w:t>指上月末对非居民应付未付的贷款利息余额。</w:t>
            </w:r>
          </w:p>
        </w:tc>
        <w:tc>
          <w:tcPr>
            <w:tcW w:w="3686" w:type="dxa"/>
          </w:tcPr>
          <w:p w14:paraId="1B29D2F4" w14:textId="77777777" w:rsidR="00A052DC" w:rsidRDefault="009F0A60">
            <w:pPr>
              <w:rPr>
                <w:rFonts w:ascii="黑体" w:eastAsia="黑体" w:hAnsi="黑体"/>
                <w:kern w:val="0"/>
                <w:sz w:val="20"/>
                <w:szCs w:val="20"/>
              </w:rPr>
            </w:pPr>
            <w:r>
              <w:rPr>
                <w:rFonts w:ascii="黑体" w:eastAsia="黑体" w:hAnsi="黑体" w:cs="宋体" w:hint="eastAsia"/>
                <w:kern w:val="0"/>
                <w:sz w:val="20"/>
                <w:szCs w:val="20"/>
              </w:rPr>
              <w:t>见数据格式和数据字典。</w:t>
            </w:r>
          </w:p>
        </w:tc>
      </w:tr>
      <w:tr w:rsidR="00A052DC" w14:paraId="511A4EC3" w14:textId="77777777">
        <w:tc>
          <w:tcPr>
            <w:tcW w:w="1702" w:type="dxa"/>
            <w:vAlign w:val="center"/>
          </w:tcPr>
          <w:p w14:paraId="2DCC6820" w14:textId="77777777" w:rsidR="00A052DC" w:rsidRDefault="009F0A60">
            <w:pPr>
              <w:rPr>
                <w:rFonts w:ascii="黑体" w:eastAsia="黑体" w:hAnsi="黑体" w:cs="宋体"/>
                <w:kern w:val="0"/>
                <w:sz w:val="20"/>
                <w:szCs w:val="20"/>
              </w:rPr>
            </w:pPr>
            <w:r>
              <w:rPr>
                <w:rFonts w:ascii="黑体" w:eastAsia="黑体" w:hAnsi="黑体" w:cs="宋体" w:hint="eastAsia"/>
                <w:kern w:val="0"/>
                <w:sz w:val="20"/>
                <w:szCs w:val="20"/>
              </w:rPr>
              <w:t>本月末本金余额</w:t>
            </w:r>
          </w:p>
        </w:tc>
        <w:tc>
          <w:tcPr>
            <w:tcW w:w="3358" w:type="dxa"/>
            <w:vAlign w:val="center"/>
          </w:tcPr>
          <w:p w14:paraId="15C351BE" w14:textId="77777777" w:rsidR="00A052DC" w:rsidRDefault="009F0A60">
            <w:pPr>
              <w:rPr>
                <w:rFonts w:ascii="黑体" w:eastAsia="黑体" w:hAnsi="黑体" w:cs="宋体"/>
                <w:kern w:val="0"/>
                <w:sz w:val="20"/>
                <w:szCs w:val="20"/>
              </w:rPr>
            </w:pPr>
            <w:r>
              <w:rPr>
                <w:rFonts w:ascii="黑体" w:eastAsia="黑体" w:hAnsi="黑体" w:hint="eastAsia"/>
                <w:sz w:val="20"/>
                <w:szCs w:val="20"/>
              </w:rPr>
              <w:t>指本月末接受非居民提供贷款的账面本金余额。</w:t>
            </w:r>
          </w:p>
        </w:tc>
        <w:tc>
          <w:tcPr>
            <w:tcW w:w="3686" w:type="dxa"/>
            <w:vAlign w:val="center"/>
          </w:tcPr>
          <w:p w14:paraId="0123AFC2" w14:textId="77777777" w:rsidR="00A052DC" w:rsidRDefault="009F0A60">
            <w:pPr>
              <w:rPr>
                <w:rFonts w:ascii="黑体" w:eastAsia="黑体" w:hAnsi="黑体" w:cs="宋体"/>
                <w:kern w:val="0"/>
                <w:sz w:val="20"/>
                <w:szCs w:val="20"/>
              </w:rPr>
            </w:pPr>
            <w:r>
              <w:rPr>
                <w:rFonts w:ascii="黑体" w:eastAsia="黑体" w:hAnsi="黑体" w:cs="宋体" w:hint="eastAsia"/>
                <w:kern w:val="0"/>
                <w:sz w:val="20"/>
                <w:szCs w:val="20"/>
              </w:rPr>
              <w:t>不需要报送该字段。截至本月末，所有有效的外债在本月末前最后一笔变动信息的余额按照每个债权人的签约金额比例，拆分到每个债权人的余额，然后汇总得到的余额值。</w:t>
            </w:r>
          </w:p>
        </w:tc>
      </w:tr>
      <w:tr w:rsidR="00A052DC" w14:paraId="4BC9B8BB" w14:textId="77777777">
        <w:tc>
          <w:tcPr>
            <w:tcW w:w="1702" w:type="dxa"/>
            <w:vAlign w:val="center"/>
          </w:tcPr>
          <w:p w14:paraId="794C6BE6" w14:textId="77777777" w:rsidR="00A052DC" w:rsidRDefault="009F0A60">
            <w:pPr>
              <w:rPr>
                <w:rFonts w:ascii="黑体" w:eastAsia="黑体" w:hAnsi="黑体" w:cs="宋体"/>
                <w:kern w:val="0"/>
                <w:sz w:val="20"/>
                <w:szCs w:val="20"/>
              </w:rPr>
            </w:pPr>
            <w:r>
              <w:rPr>
                <w:rFonts w:ascii="黑体" w:eastAsia="黑体" w:hAnsi="黑体" w:cs="宋体" w:hint="eastAsia"/>
                <w:kern w:val="0"/>
                <w:sz w:val="20"/>
                <w:szCs w:val="20"/>
              </w:rPr>
              <w:t>本月末本金余额其中：剩余期限在一年及以下</w:t>
            </w:r>
          </w:p>
        </w:tc>
        <w:tc>
          <w:tcPr>
            <w:tcW w:w="3358" w:type="dxa"/>
            <w:vAlign w:val="center"/>
          </w:tcPr>
          <w:p w14:paraId="03D452CA" w14:textId="77777777" w:rsidR="00A052DC" w:rsidRDefault="009F0A60">
            <w:pPr>
              <w:rPr>
                <w:rFonts w:ascii="黑体" w:eastAsia="黑体" w:hAnsi="黑体" w:cs="宋体"/>
                <w:kern w:val="0"/>
                <w:sz w:val="20"/>
                <w:szCs w:val="20"/>
              </w:rPr>
            </w:pPr>
            <w:r>
              <w:rPr>
                <w:rFonts w:ascii="黑体" w:eastAsia="黑体" w:hAnsi="黑体" w:hint="eastAsia"/>
                <w:sz w:val="20"/>
                <w:szCs w:val="20"/>
              </w:rPr>
              <w:t>指自本月末至到期在一年及以下的接受非居民提供贷款的账面本金余额。对于循环贷款，应根据对应贷款自本月末至最终到期日（或结清日）的期限是否在一年及以下判断。对于贷款拖欠或展期的，应按照双方确定的期限判断剩余期限是否在一年及以下。如双方无安排，纳入一年及以下统计。</w:t>
            </w:r>
          </w:p>
        </w:tc>
        <w:tc>
          <w:tcPr>
            <w:tcW w:w="3686" w:type="dxa"/>
            <w:vAlign w:val="center"/>
          </w:tcPr>
          <w:p w14:paraId="0378C928" w14:textId="77777777" w:rsidR="00A052DC" w:rsidRDefault="009F0A60">
            <w:pPr>
              <w:rPr>
                <w:rFonts w:ascii="黑体" w:eastAsia="黑体" w:hAnsi="黑体" w:cs="宋体"/>
                <w:kern w:val="0"/>
                <w:sz w:val="20"/>
                <w:szCs w:val="20"/>
              </w:rPr>
            </w:pPr>
            <w:r>
              <w:rPr>
                <w:rFonts w:ascii="黑体" w:eastAsia="黑体" w:hAnsi="黑体" w:cs="宋体" w:hint="eastAsia"/>
                <w:kern w:val="0"/>
                <w:sz w:val="20"/>
                <w:szCs w:val="20"/>
              </w:rPr>
              <w:t>不需要报送该字段。所有剩余期限在一年以下的签约的本月末本金余额的汇总值（要按照每个债权人的签约金额比例，将余额拆分到每个债权人，然后汇总得到的值）。</w:t>
            </w:r>
          </w:p>
        </w:tc>
      </w:tr>
      <w:tr w:rsidR="00A052DC" w14:paraId="5257DED1" w14:textId="77777777">
        <w:tc>
          <w:tcPr>
            <w:tcW w:w="1702" w:type="dxa"/>
          </w:tcPr>
          <w:p w14:paraId="14C0B66D" w14:textId="77777777" w:rsidR="00A052DC" w:rsidRDefault="009F0A60">
            <w:pPr>
              <w:rPr>
                <w:rFonts w:ascii="黑体" w:eastAsia="黑体" w:hAnsi="黑体"/>
                <w:kern w:val="0"/>
                <w:sz w:val="20"/>
                <w:szCs w:val="20"/>
              </w:rPr>
            </w:pPr>
            <w:r>
              <w:rPr>
                <w:rFonts w:ascii="黑体" w:eastAsia="黑体" w:hAnsi="黑体" w:hint="eastAsia"/>
                <w:kern w:val="0"/>
                <w:sz w:val="20"/>
                <w:szCs w:val="20"/>
              </w:rPr>
              <w:t>本月末应付利息余额</w:t>
            </w:r>
          </w:p>
        </w:tc>
        <w:tc>
          <w:tcPr>
            <w:tcW w:w="3358" w:type="dxa"/>
          </w:tcPr>
          <w:p w14:paraId="40233AEE" w14:textId="77777777" w:rsidR="00A052DC" w:rsidRDefault="009F0A60">
            <w:pPr>
              <w:rPr>
                <w:rFonts w:ascii="黑体" w:eastAsia="黑体" w:hAnsi="黑体"/>
                <w:kern w:val="0"/>
                <w:sz w:val="20"/>
                <w:szCs w:val="20"/>
              </w:rPr>
            </w:pPr>
            <w:r>
              <w:rPr>
                <w:rFonts w:ascii="黑体" w:eastAsia="黑体" w:hAnsi="黑体" w:hint="eastAsia"/>
                <w:kern w:val="0"/>
                <w:sz w:val="20"/>
                <w:szCs w:val="20"/>
              </w:rPr>
              <w:t>指本月末对非居民应付未付的贷款利息余额。</w:t>
            </w:r>
          </w:p>
        </w:tc>
        <w:tc>
          <w:tcPr>
            <w:tcW w:w="3686" w:type="dxa"/>
          </w:tcPr>
          <w:p w14:paraId="2298934E" w14:textId="77777777" w:rsidR="00A052DC" w:rsidRDefault="009F0A60">
            <w:pPr>
              <w:rPr>
                <w:rFonts w:ascii="黑体" w:eastAsia="黑体" w:hAnsi="黑体"/>
                <w:kern w:val="0"/>
                <w:sz w:val="20"/>
                <w:szCs w:val="20"/>
              </w:rPr>
            </w:pPr>
            <w:r>
              <w:rPr>
                <w:rFonts w:ascii="黑体" w:eastAsia="黑体" w:hAnsi="黑体" w:cs="宋体" w:hint="eastAsia"/>
                <w:kern w:val="0"/>
                <w:sz w:val="20"/>
                <w:szCs w:val="20"/>
              </w:rPr>
              <w:t>见数据格式和数据字典。</w:t>
            </w:r>
          </w:p>
        </w:tc>
      </w:tr>
      <w:tr w:rsidR="00A052DC" w14:paraId="585B3208" w14:textId="77777777">
        <w:tc>
          <w:tcPr>
            <w:tcW w:w="1702" w:type="dxa"/>
          </w:tcPr>
          <w:p w14:paraId="100BDCB5" w14:textId="77777777" w:rsidR="00A052DC" w:rsidRDefault="009F0A60">
            <w:pPr>
              <w:rPr>
                <w:rFonts w:ascii="黑体" w:eastAsia="黑体" w:hAnsi="黑体"/>
                <w:kern w:val="0"/>
                <w:sz w:val="20"/>
                <w:szCs w:val="20"/>
              </w:rPr>
            </w:pPr>
            <w:r>
              <w:rPr>
                <w:rFonts w:ascii="黑体" w:eastAsia="黑体" w:hAnsi="黑体" w:hint="eastAsia"/>
                <w:kern w:val="0"/>
                <w:sz w:val="20"/>
                <w:szCs w:val="20"/>
              </w:rPr>
              <w:t>本月非交易变动</w:t>
            </w:r>
          </w:p>
        </w:tc>
        <w:tc>
          <w:tcPr>
            <w:tcW w:w="3358" w:type="dxa"/>
          </w:tcPr>
          <w:p w14:paraId="321ECAFF" w14:textId="77777777" w:rsidR="00A052DC" w:rsidRDefault="009F0A60">
            <w:pPr>
              <w:rPr>
                <w:rFonts w:ascii="黑体" w:eastAsia="黑体" w:hAnsi="黑体"/>
                <w:kern w:val="0"/>
                <w:sz w:val="20"/>
                <w:szCs w:val="20"/>
              </w:rPr>
            </w:pPr>
            <w:r>
              <w:rPr>
                <w:rFonts w:ascii="黑体" w:eastAsia="黑体" w:hAnsi="黑体" w:hint="eastAsia"/>
                <w:kern w:val="0"/>
                <w:sz w:val="20"/>
                <w:szCs w:val="20"/>
              </w:rPr>
              <w:t>指因贷款核销、重新分类（贷款一旦转让，则重新分类为债务证券）以及所涉主体居民地位改变等因素导致境内机构接受境外提供贷款余额变动的净额。</w:t>
            </w:r>
          </w:p>
        </w:tc>
        <w:tc>
          <w:tcPr>
            <w:tcW w:w="3686" w:type="dxa"/>
          </w:tcPr>
          <w:p w14:paraId="625E57CD" w14:textId="77777777" w:rsidR="00A052DC" w:rsidRDefault="009F0A60">
            <w:pPr>
              <w:rPr>
                <w:rFonts w:ascii="黑体" w:eastAsia="黑体" w:hAnsi="黑体"/>
                <w:kern w:val="0"/>
                <w:sz w:val="20"/>
                <w:szCs w:val="20"/>
              </w:rPr>
            </w:pPr>
            <w:r>
              <w:rPr>
                <w:rFonts w:ascii="黑体" w:eastAsia="黑体" w:hAnsi="黑体" w:cs="宋体" w:hint="eastAsia"/>
                <w:kern w:val="0"/>
                <w:sz w:val="20"/>
                <w:szCs w:val="20"/>
              </w:rPr>
              <w:t>见数据格式和数据字典。</w:t>
            </w:r>
          </w:p>
        </w:tc>
      </w:tr>
      <w:tr w:rsidR="00A052DC" w14:paraId="0C961F2D" w14:textId="77777777">
        <w:tc>
          <w:tcPr>
            <w:tcW w:w="1702" w:type="dxa"/>
            <w:vAlign w:val="center"/>
          </w:tcPr>
          <w:p w14:paraId="3D9B3F96" w14:textId="77777777" w:rsidR="00A052DC" w:rsidRDefault="009F0A60">
            <w:pPr>
              <w:rPr>
                <w:rFonts w:ascii="黑体" w:eastAsia="黑体" w:hAnsi="黑体" w:cs="宋体"/>
                <w:kern w:val="0"/>
                <w:sz w:val="20"/>
                <w:szCs w:val="20"/>
              </w:rPr>
            </w:pPr>
            <w:r>
              <w:rPr>
                <w:rFonts w:ascii="黑体" w:eastAsia="黑体" w:hAnsi="黑体" w:cs="宋体" w:hint="eastAsia"/>
                <w:kern w:val="0"/>
                <w:sz w:val="20"/>
                <w:szCs w:val="20"/>
              </w:rPr>
              <w:t>本月净发生额</w:t>
            </w:r>
          </w:p>
        </w:tc>
        <w:tc>
          <w:tcPr>
            <w:tcW w:w="3358" w:type="dxa"/>
            <w:vAlign w:val="center"/>
          </w:tcPr>
          <w:p w14:paraId="07E33FCD" w14:textId="77777777" w:rsidR="00A052DC" w:rsidRDefault="009F0A60">
            <w:pPr>
              <w:rPr>
                <w:rFonts w:ascii="黑体" w:eastAsia="黑体" w:hAnsi="黑体" w:cs="宋体"/>
                <w:kern w:val="0"/>
                <w:sz w:val="20"/>
                <w:szCs w:val="20"/>
              </w:rPr>
            </w:pPr>
            <w:r>
              <w:rPr>
                <w:rFonts w:ascii="黑体" w:eastAsia="黑体" w:hAnsi="黑体" w:hint="eastAsia"/>
                <w:sz w:val="20"/>
                <w:szCs w:val="20"/>
              </w:rPr>
              <w:t>指本月接受非居民提供贷款的净发生额（接受贷款-贷款偿还），以及应计利息的净发生额。正值代表负债的增加，负值代表负债的减少。</w:t>
            </w:r>
          </w:p>
        </w:tc>
        <w:tc>
          <w:tcPr>
            <w:tcW w:w="3686" w:type="dxa"/>
            <w:vAlign w:val="center"/>
          </w:tcPr>
          <w:p w14:paraId="34135AF0" w14:textId="77777777" w:rsidR="00A052DC" w:rsidRDefault="009F0A60">
            <w:pPr>
              <w:rPr>
                <w:rFonts w:ascii="黑体" w:eastAsia="黑体" w:hAnsi="黑体" w:cs="宋体"/>
                <w:kern w:val="0"/>
                <w:sz w:val="20"/>
                <w:szCs w:val="20"/>
              </w:rPr>
            </w:pPr>
            <w:r>
              <w:rPr>
                <w:rFonts w:ascii="黑体" w:eastAsia="黑体" w:hAnsi="黑体" w:cs="宋体" w:hint="eastAsia"/>
                <w:kern w:val="0"/>
                <w:sz w:val="20"/>
                <w:szCs w:val="20"/>
              </w:rPr>
              <w:t>不需要报送该字段。公式计算得到：</w:t>
            </w:r>
          </w:p>
          <w:p w14:paraId="65947D41" w14:textId="77777777" w:rsidR="00A052DC" w:rsidRDefault="009F0A60">
            <w:pPr>
              <w:rPr>
                <w:rFonts w:ascii="黑体" w:eastAsia="黑体" w:hAnsi="黑体" w:cs="宋体"/>
                <w:kern w:val="0"/>
                <w:sz w:val="20"/>
                <w:szCs w:val="20"/>
              </w:rPr>
            </w:pPr>
            <w:r>
              <w:rPr>
                <w:rFonts w:ascii="黑体" w:eastAsia="黑体" w:hAnsi="黑体" w:cs="宋体" w:hint="eastAsia"/>
                <w:kern w:val="0"/>
                <w:sz w:val="20"/>
                <w:szCs w:val="20"/>
              </w:rPr>
              <w:t>本月净发生额=（本月末本金余额+本月末应付未付利息余额）-（上月末本金余额+上月末应付未付利息余额）-本月非交易变动。</w:t>
            </w:r>
          </w:p>
        </w:tc>
      </w:tr>
      <w:tr w:rsidR="00A052DC" w14:paraId="07152690" w14:textId="77777777">
        <w:tc>
          <w:tcPr>
            <w:tcW w:w="1702" w:type="dxa"/>
            <w:vAlign w:val="center"/>
          </w:tcPr>
          <w:p w14:paraId="7636BEC9" w14:textId="77777777" w:rsidR="00A052DC" w:rsidRDefault="009F0A60">
            <w:pPr>
              <w:rPr>
                <w:rFonts w:ascii="黑体" w:eastAsia="黑体" w:hAnsi="黑体" w:cs="宋体"/>
                <w:kern w:val="0"/>
                <w:sz w:val="20"/>
                <w:szCs w:val="20"/>
              </w:rPr>
            </w:pPr>
            <w:r>
              <w:rPr>
                <w:rFonts w:ascii="黑体" w:eastAsia="黑体" w:hAnsi="黑体" w:cs="宋体" w:hint="eastAsia"/>
                <w:kern w:val="0"/>
                <w:sz w:val="20"/>
                <w:szCs w:val="20"/>
              </w:rPr>
              <w:t>本月利息支出</w:t>
            </w:r>
          </w:p>
        </w:tc>
        <w:tc>
          <w:tcPr>
            <w:tcW w:w="3358" w:type="dxa"/>
            <w:vAlign w:val="center"/>
          </w:tcPr>
          <w:p w14:paraId="2D422320" w14:textId="77777777" w:rsidR="00A052DC" w:rsidRDefault="009F0A60">
            <w:pPr>
              <w:rPr>
                <w:rFonts w:ascii="黑体" w:eastAsia="黑体" w:hAnsi="黑体" w:cs="宋体"/>
                <w:kern w:val="0"/>
                <w:sz w:val="20"/>
                <w:szCs w:val="20"/>
              </w:rPr>
            </w:pPr>
            <w:r>
              <w:rPr>
                <w:rFonts w:ascii="黑体" w:eastAsia="黑体" w:hAnsi="黑体" w:hint="eastAsia"/>
                <w:sz w:val="20"/>
                <w:szCs w:val="20"/>
              </w:rPr>
              <w:t>指本机构会计账上确认的对非居民贷款利息支出。</w:t>
            </w:r>
          </w:p>
        </w:tc>
        <w:tc>
          <w:tcPr>
            <w:tcW w:w="3686" w:type="dxa"/>
            <w:vAlign w:val="center"/>
          </w:tcPr>
          <w:p w14:paraId="5D4A5113" w14:textId="77777777" w:rsidR="00A052DC" w:rsidRDefault="009F0A60">
            <w:pPr>
              <w:rPr>
                <w:rFonts w:ascii="黑体" w:eastAsia="黑体" w:hAnsi="黑体" w:cs="宋体"/>
                <w:kern w:val="0"/>
                <w:sz w:val="20"/>
                <w:szCs w:val="20"/>
              </w:rPr>
            </w:pPr>
            <w:r>
              <w:rPr>
                <w:rFonts w:ascii="黑体" w:eastAsia="黑体" w:hAnsi="黑体" w:cs="宋体" w:hint="eastAsia"/>
                <w:kern w:val="0"/>
                <w:sz w:val="20"/>
                <w:szCs w:val="20"/>
              </w:rPr>
              <w:t>不需要报送该字段。当月变动明细信息中，变动类型为“付息”的所有记录的变动金额的汇总值（要按照每个债权人的签约金额比例，将付息金额拆分到每个债权人，然后汇总得到的值）。</w:t>
            </w:r>
          </w:p>
        </w:tc>
      </w:tr>
      <w:tr w:rsidR="00A052DC" w14:paraId="6A453964" w14:textId="77777777">
        <w:tc>
          <w:tcPr>
            <w:tcW w:w="1702" w:type="dxa"/>
          </w:tcPr>
          <w:p w14:paraId="517521ED" w14:textId="77777777" w:rsidR="00A052DC" w:rsidRDefault="009F0A60">
            <w:pPr>
              <w:rPr>
                <w:rFonts w:ascii="黑体" w:eastAsia="黑体" w:hAnsi="黑体"/>
                <w:kern w:val="0"/>
                <w:sz w:val="20"/>
                <w:szCs w:val="20"/>
              </w:rPr>
            </w:pPr>
            <w:r>
              <w:rPr>
                <w:rFonts w:ascii="黑体" w:eastAsia="黑体" w:hAnsi="黑体" w:hint="eastAsia"/>
                <w:kern w:val="0"/>
                <w:sz w:val="20"/>
                <w:szCs w:val="20"/>
              </w:rPr>
              <w:t>备注</w:t>
            </w:r>
          </w:p>
        </w:tc>
        <w:tc>
          <w:tcPr>
            <w:tcW w:w="3358" w:type="dxa"/>
          </w:tcPr>
          <w:p w14:paraId="15A3631B" w14:textId="77777777" w:rsidR="00A052DC" w:rsidRDefault="009F0A60">
            <w:pPr>
              <w:rPr>
                <w:rFonts w:ascii="黑体" w:eastAsia="黑体" w:hAnsi="黑体"/>
                <w:kern w:val="0"/>
                <w:sz w:val="20"/>
                <w:szCs w:val="20"/>
              </w:rPr>
            </w:pPr>
            <w:r>
              <w:rPr>
                <w:rFonts w:ascii="黑体" w:eastAsia="黑体" w:hAnsi="黑体" w:hint="eastAsia"/>
                <w:kern w:val="0"/>
                <w:sz w:val="20"/>
                <w:szCs w:val="20"/>
              </w:rPr>
              <w:t>需要说明的备注事项。</w:t>
            </w:r>
          </w:p>
        </w:tc>
        <w:tc>
          <w:tcPr>
            <w:tcW w:w="3686" w:type="dxa"/>
          </w:tcPr>
          <w:p w14:paraId="381DCCC3" w14:textId="77777777" w:rsidR="00A052DC" w:rsidRDefault="00A052DC">
            <w:pPr>
              <w:rPr>
                <w:rFonts w:ascii="黑体" w:eastAsia="黑体" w:hAnsi="黑体"/>
                <w:kern w:val="0"/>
                <w:sz w:val="20"/>
                <w:szCs w:val="20"/>
              </w:rPr>
            </w:pPr>
          </w:p>
        </w:tc>
      </w:tr>
    </w:tbl>
    <w:p w14:paraId="7CB7A863" w14:textId="77777777" w:rsidR="00A052DC" w:rsidRDefault="00A052DC"/>
    <w:p w14:paraId="2CC3CFDB" w14:textId="77777777" w:rsidR="00A052DC" w:rsidRDefault="009F0A60" w:rsidP="0020251D">
      <w:pPr>
        <w:pStyle w:val="4"/>
        <w:numPr>
          <w:ilvl w:val="3"/>
          <w:numId w:val="1"/>
        </w:numPr>
        <w:jc w:val="left"/>
      </w:pPr>
      <w:bookmarkStart w:id="3280" w:name="_Toc380570977"/>
      <w:bookmarkStart w:id="3281" w:name="_Toc454391330"/>
      <w:r>
        <w:rPr>
          <w:rFonts w:hint="eastAsia"/>
        </w:rPr>
        <w:t>数据格式</w:t>
      </w:r>
      <w:bookmarkEnd w:id="3280"/>
      <w:bookmarkEnd w:id="3281"/>
    </w:p>
    <w:p w14:paraId="6F09E1FE" w14:textId="77777777" w:rsidR="00A052DC" w:rsidRDefault="009F0A60">
      <w:pPr>
        <w:ind w:firstLine="709"/>
      </w:pPr>
      <w:r>
        <w:t>&lt;REC&gt;</w:t>
      </w:r>
    </w:p>
    <w:p w14:paraId="692FBA84" w14:textId="77777777" w:rsidR="00A052DC" w:rsidRDefault="009F0A60">
      <w:pPr>
        <w:ind w:firstLine="709"/>
      </w:pPr>
      <w:r>
        <w:t>&lt;ACTIONTYPE&gt;</w:t>
      </w:r>
      <w:r>
        <w:rPr>
          <w:rFonts w:hAnsi="宋体"/>
        </w:rPr>
        <w:t>操作类型</w:t>
      </w:r>
      <w:r>
        <w:t>&lt;/ACTIONTYPE&gt;</w:t>
      </w:r>
    </w:p>
    <w:p w14:paraId="671353DC" w14:textId="77777777" w:rsidR="00A052DC" w:rsidRDefault="009F0A60">
      <w:pPr>
        <w:ind w:firstLine="709"/>
      </w:pPr>
      <w:r>
        <w:t>&lt;ACTIONDESC&gt;</w:t>
      </w:r>
      <w:r>
        <w:rPr>
          <w:rFonts w:hAnsi="宋体"/>
        </w:rPr>
        <w:t>删除原因</w:t>
      </w:r>
      <w:r>
        <w:t>&lt;/ACTIONDESC&gt;</w:t>
      </w:r>
    </w:p>
    <w:p w14:paraId="6B850D10" w14:textId="77777777" w:rsidR="00A052DC" w:rsidRDefault="009F0A60">
      <w:pPr>
        <w:ind w:firstLine="709"/>
      </w:pPr>
      <w:r>
        <w:t>&lt;SNOCODE&gt;</w:t>
      </w:r>
      <w:r>
        <w:rPr>
          <w:rFonts w:hAnsi="宋体"/>
        </w:rPr>
        <w:t>数据自编码</w:t>
      </w:r>
      <w:r>
        <w:t>&lt;/SNOCODE&gt;</w:t>
      </w:r>
    </w:p>
    <w:p w14:paraId="6A531F76" w14:textId="77777777" w:rsidR="00A052DC" w:rsidRDefault="009F0A60">
      <w:pPr>
        <w:ind w:firstLine="709"/>
      </w:pPr>
      <w:r>
        <w:t>&lt;OBJCODE&gt;</w:t>
      </w:r>
      <w:r>
        <w:rPr>
          <w:rFonts w:hAnsi="宋体"/>
        </w:rPr>
        <w:t>申报主体代码</w:t>
      </w:r>
      <w:r>
        <w:t>&lt;/OBJCODE&gt;</w:t>
      </w:r>
    </w:p>
    <w:p w14:paraId="11EAED6D" w14:textId="77777777" w:rsidR="00A052DC" w:rsidRDefault="009F0A60">
      <w:pPr>
        <w:ind w:firstLine="709"/>
      </w:pPr>
      <w:r>
        <w:t>&lt;BUOCMONTH&gt;</w:t>
      </w:r>
      <w:r>
        <w:rPr>
          <w:rFonts w:hAnsi="宋体"/>
        </w:rPr>
        <w:t>报告期</w:t>
      </w:r>
      <w:r>
        <w:t>&lt;/BUOCMONTH&gt;</w:t>
      </w:r>
    </w:p>
    <w:p w14:paraId="7CA3363A" w14:textId="77777777" w:rsidR="00A052DC" w:rsidRDefault="009F0A60">
      <w:pPr>
        <w:ind w:firstLine="709"/>
      </w:pPr>
      <w:r>
        <w:t>&lt;EXDEBTCODE&gt;</w:t>
      </w:r>
      <w:r>
        <w:rPr>
          <w:rFonts w:hAnsi="宋体"/>
        </w:rPr>
        <w:t>外债编号</w:t>
      </w:r>
      <w:r>
        <w:t>&lt;/EXDEBTCODE&gt;</w:t>
      </w:r>
    </w:p>
    <w:p w14:paraId="1C6441CA" w14:textId="77777777" w:rsidR="00A052DC" w:rsidRDefault="009F0A60">
      <w:pPr>
        <w:ind w:firstLine="709"/>
      </w:pPr>
      <w:r>
        <w:t>&lt;D0607&gt;</w:t>
      </w:r>
      <w:r>
        <w:rPr>
          <w:rFonts w:hAnsi="宋体"/>
        </w:rPr>
        <w:t>上月末应付利息余额</w:t>
      </w:r>
      <w:r>
        <w:t>&lt;/D0607&gt;</w:t>
      </w:r>
    </w:p>
    <w:p w14:paraId="4D3C9974" w14:textId="77777777" w:rsidR="00A052DC" w:rsidRDefault="009F0A60">
      <w:pPr>
        <w:ind w:firstLine="709"/>
      </w:pPr>
      <w:r>
        <w:t>&lt;D0610&gt;</w:t>
      </w:r>
      <w:r>
        <w:rPr>
          <w:rFonts w:hAnsi="宋体"/>
        </w:rPr>
        <w:t>本月末应付利息余额</w:t>
      </w:r>
      <w:r>
        <w:t>&lt;/D0610&gt;</w:t>
      </w:r>
    </w:p>
    <w:p w14:paraId="28D7E463" w14:textId="77777777" w:rsidR="00A052DC" w:rsidRDefault="009F0A60">
      <w:pPr>
        <w:ind w:firstLine="709"/>
      </w:pPr>
      <w:r>
        <w:t>&lt;D0611&gt;</w:t>
      </w:r>
      <w:r>
        <w:rPr>
          <w:rFonts w:hAnsi="宋体"/>
        </w:rPr>
        <w:t>本月非交易变动</w:t>
      </w:r>
      <w:r>
        <w:t>&lt;/D0611&gt;</w:t>
      </w:r>
    </w:p>
    <w:p w14:paraId="7D617D5B" w14:textId="77777777" w:rsidR="00A052DC" w:rsidRDefault="009F0A60">
      <w:pPr>
        <w:ind w:firstLine="709"/>
      </w:pPr>
      <w:r>
        <w:t>&lt;REMARK&gt;</w:t>
      </w:r>
      <w:r>
        <w:rPr>
          <w:rFonts w:hAnsi="宋体"/>
        </w:rPr>
        <w:t>备注</w:t>
      </w:r>
      <w:r>
        <w:t>&lt;/REMARK&gt;</w:t>
      </w:r>
    </w:p>
    <w:p w14:paraId="201312A2" w14:textId="77777777" w:rsidR="00A052DC" w:rsidRDefault="009F0A60">
      <w:pPr>
        <w:ind w:firstLine="709"/>
      </w:pPr>
      <w:r>
        <w:t>&lt;/REC&gt;</w:t>
      </w:r>
    </w:p>
    <w:p w14:paraId="16BE8D06" w14:textId="77777777" w:rsidR="00A052DC" w:rsidRDefault="009F0A60" w:rsidP="0020251D">
      <w:pPr>
        <w:pStyle w:val="4"/>
        <w:numPr>
          <w:ilvl w:val="3"/>
          <w:numId w:val="1"/>
        </w:numPr>
        <w:jc w:val="left"/>
      </w:pPr>
      <w:bookmarkStart w:id="3282" w:name="_Toc380570978"/>
      <w:bookmarkStart w:id="3283" w:name="_Toc454391331"/>
      <w:r>
        <w:rPr>
          <w:rFonts w:hint="eastAsia"/>
        </w:rPr>
        <w:t>数据字典</w:t>
      </w:r>
      <w:bookmarkEnd w:id="3282"/>
      <w:bookmarkEnd w:id="3283"/>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122"/>
        <w:gridCol w:w="1422"/>
        <w:gridCol w:w="3685"/>
      </w:tblGrid>
      <w:tr w:rsidR="00A052DC" w14:paraId="685877EA" w14:textId="77777777">
        <w:trPr>
          <w:tblHeader/>
        </w:trPr>
        <w:tc>
          <w:tcPr>
            <w:tcW w:w="1384" w:type="dxa"/>
            <w:shd w:val="clear" w:color="auto" w:fill="C0C0C0"/>
          </w:tcPr>
          <w:p w14:paraId="2734CD30" w14:textId="77777777" w:rsidR="00A052DC" w:rsidRDefault="009F0A60">
            <w:pPr>
              <w:pStyle w:val="B1"/>
            </w:pPr>
            <w:r>
              <w:rPr>
                <w:rFonts w:hint="eastAsia"/>
              </w:rPr>
              <w:t>字段</w:t>
            </w:r>
          </w:p>
        </w:tc>
        <w:tc>
          <w:tcPr>
            <w:tcW w:w="2122" w:type="dxa"/>
            <w:shd w:val="clear" w:color="auto" w:fill="C0C0C0"/>
          </w:tcPr>
          <w:p w14:paraId="2FB07225" w14:textId="77777777" w:rsidR="00A052DC" w:rsidRDefault="009F0A60">
            <w:pPr>
              <w:pStyle w:val="B1"/>
            </w:pPr>
            <w:r>
              <w:rPr>
                <w:rFonts w:hint="eastAsia"/>
              </w:rPr>
              <w:t>内容</w:t>
            </w:r>
          </w:p>
        </w:tc>
        <w:tc>
          <w:tcPr>
            <w:tcW w:w="1422" w:type="dxa"/>
            <w:shd w:val="clear" w:color="auto" w:fill="C0C0C0"/>
          </w:tcPr>
          <w:p w14:paraId="1F17C8C4" w14:textId="77777777" w:rsidR="00A052DC" w:rsidRDefault="009F0A60">
            <w:pPr>
              <w:pStyle w:val="B1"/>
            </w:pPr>
            <w:r>
              <w:rPr>
                <w:rFonts w:hint="eastAsia"/>
              </w:rPr>
              <w:t>类型（长度）</w:t>
            </w:r>
          </w:p>
        </w:tc>
        <w:tc>
          <w:tcPr>
            <w:tcW w:w="3685" w:type="dxa"/>
            <w:shd w:val="clear" w:color="auto" w:fill="C0C0C0"/>
          </w:tcPr>
          <w:p w14:paraId="6E7DBA14" w14:textId="77777777" w:rsidR="00A052DC" w:rsidRDefault="009F0A60">
            <w:pPr>
              <w:pStyle w:val="B1"/>
            </w:pPr>
            <w:r>
              <w:rPr>
                <w:rFonts w:hint="eastAsia"/>
              </w:rPr>
              <w:t>校验</w:t>
            </w:r>
          </w:p>
        </w:tc>
      </w:tr>
      <w:tr w:rsidR="00A052DC" w14:paraId="059A816D" w14:textId="77777777">
        <w:tc>
          <w:tcPr>
            <w:tcW w:w="1384" w:type="dxa"/>
          </w:tcPr>
          <w:p w14:paraId="24FD4684" w14:textId="77777777" w:rsidR="00A052DC" w:rsidRDefault="009F0A60">
            <w:pPr>
              <w:pStyle w:val="B"/>
              <w:rPr>
                <w:szCs w:val="20"/>
              </w:rPr>
            </w:pPr>
            <w:r>
              <w:rPr>
                <w:szCs w:val="20"/>
              </w:rPr>
              <w:t>ACTIONTYPE</w:t>
            </w:r>
          </w:p>
        </w:tc>
        <w:tc>
          <w:tcPr>
            <w:tcW w:w="2122" w:type="dxa"/>
          </w:tcPr>
          <w:p w14:paraId="23870F1F" w14:textId="77777777" w:rsidR="00A052DC" w:rsidRDefault="009F0A60">
            <w:pPr>
              <w:pStyle w:val="B"/>
              <w:rPr>
                <w:szCs w:val="20"/>
              </w:rPr>
            </w:pPr>
            <w:r>
              <w:rPr>
                <w:rFonts w:hint="eastAsia"/>
                <w:szCs w:val="20"/>
              </w:rPr>
              <w:t>操作类型</w:t>
            </w:r>
          </w:p>
        </w:tc>
        <w:tc>
          <w:tcPr>
            <w:tcW w:w="1422" w:type="dxa"/>
          </w:tcPr>
          <w:p w14:paraId="0F5BD196" w14:textId="77777777" w:rsidR="00A052DC" w:rsidRDefault="009F0A60">
            <w:pPr>
              <w:pStyle w:val="B"/>
              <w:rPr>
                <w:szCs w:val="20"/>
              </w:rPr>
            </w:pPr>
            <w:r>
              <w:rPr>
                <w:rFonts w:hint="eastAsia"/>
                <w:szCs w:val="20"/>
              </w:rPr>
              <w:t>字符型，</w:t>
            </w:r>
            <w:r>
              <w:rPr>
                <w:szCs w:val="20"/>
              </w:rPr>
              <w:t>1</w:t>
            </w:r>
          </w:p>
        </w:tc>
        <w:tc>
          <w:tcPr>
            <w:tcW w:w="3685" w:type="dxa"/>
          </w:tcPr>
          <w:p w14:paraId="5084193E" w14:textId="77777777" w:rsidR="00A052DC" w:rsidRDefault="009F0A60">
            <w:pPr>
              <w:pStyle w:val="B"/>
              <w:rPr>
                <w:szCs w:val="20"/>
              </w:rPr>
            </w:pPr>
            <w:r>
              <w:rPr>
                <w:rFonts w:hint="eastAsia"/>
                <w:szCs w:val="20"/>
              </w:rPr>
              <w:t>必填项</w:t>
            </w:r>
            <w:r w:rsidR="004D1828">
              <w:rPr>
                <w:rFonts w:hint="eastAsia"/>
                <w:szCs w:val="20"/>
              </w:rPr>
              <w:t>。</w:t>
            </w:r>
          </w:p>
          <w:p w14:paraId="76C950BD" w14:textId="77777777" w:rsidR="00A052DC" w:rsidRDefault="009F0A60">
            <w:pPr>
              <w:pStyle w:val="B"/>
              <w:rPr>
                <w:szCs w:val="20"/>
              </w:rPr>
            </w:pPr>
            <w:r>
              <w:rPr>
                <w:szCs w:val="20"/>
              </w:rPr>
              <w:t>A</w:t>
            </w:r>
            <w:r w:rsidR="00AE4602">
              <w:rPr>
                <w:rFonts w:hint="eastAsia"/>
                <w:szCs w:val="20"/>
              </w:rPr>
              <w:t>-</w:t>
            </w:r>
            <w:r>
              <w:rPr>
                <w:rFonts w:hint="eastAsia"/>
                <w:szCs w:val="20"/>
              </w:rPr>
              <w:t>新建</w:t>
            </w:r>
          </w:p>
          <w:p w14:paraId="242B4E1C" w14:textId="77777777" w:rsidR="00A052DC" w:rsidRDefault="009F0A60">
            <w:pPr>
              <w:pStyle w:val="B"/>
              <w:rPr>
                <w:szCs w:val="20"/>
              </w:rPr>
            </w:pPr>
            <w:r>
              <w:rPr>
                <w:szCs w:val="20"/>
              </w:rPr>
              <w:t>C</w:t>
            </w:r>
            <w:r w:rsidR="00AE4602">
              <w:rPr>
                <w:rFonts w:hint="eastAsia"/>
                <w:szCs w:val="20"/>
              </w:rPr>
              <w:t>-</w:t>
            </w:r>
            <w:r>
              <w:rPr>
                <w:rFonts w:hint="eastAsia"/>
                <w:szCs w:val="20"/>
              </w:rPr>
              <w:t>修改</w:t>
            </w:r>
          </w:p>
          <w:p w14:paraId="2C604DEE" w14:textId="77777777" w:rsidR="00A052DC" w:rsidRDefault="009F0A60">
            <w:pPr>
              <w:pStyle w:val="B"/>
              <w:rPr>
                <w:szCs w:val="20"/>
              </w:rPr>
            </w:pPr>
            <w:r>
              <w:rPr>
                <w:szCs w:val="20"/>
              </w:rPr>
              <w:t>D</w:t>
            </w:r>
            <w:r w:rsidR="00AE4602">
              <w:rPr>
                <w:rFonts w:hint="eastAsia"/>
                <w:szCs w:val="20"/>
              </w:rPr>
              <w:t>-</w:t>
            </w:r>
            <w:r>
              <w:rPr>
                <w:rFonts w:hint="eastAsia"/>
                <w:szCs w:val="20"/>
              </w:rPr>
              <w:t>删除</w:t>
            </w:r>
          </w:p>
        </w:tc>
      </w:tr>
      <w:tr w:rsidR="00A052DC" w14:paraId="46B7C104" w14:textId="77777777">
        <w:tc>
          <w:tcPr>
            <w:tcW w:w="1384" w:type="dxa"/>
          </w:tcPr>
          <w:p w14:paraId="1363DD89" w14:textId="77777777" w:rsidR="00A052DC" w:rsidRDefault="009F0A60">
            <w:pPr>
              <w:pStyle w:val="B"/>
              <w:rPr>
                <w:szCs w:val="20"/>
              </w:rPr>
            </w:pPr>
            <w:r>
              <w:rPr>
                <w:szCs w:val="20"/>
              </w:rPr>
              <w:t>ACTIONDESC</w:t>
            </w:r>
          </w:p>
        </w:tc>
        <w:tc>
          <w:tcPr>
            <w:tcW w:w="2122" w:type="dxa"/>
          </w:tcPr>
          <w:p w14:paraId="79368750" w14:textId="77777777" w:rsidR="00A052DC" w:rsidRDefault="009F0A60">
            <w:pPr>
              <w:pStyle w:val="B"/>
              <w:rPr>
                <w:szCs w:val="20"/>
              </w:rPr>
            </w:pPr>
            <w:r>
              <w:rPr>
                <w:rFonts w:hint="eastAsia"/>
                <w:szCs w:val="20"/>
              </w:rPr>
              <w:t>删除原因</w:t>
            </w:r>
          </w:p>
        </w:tc>
        <w:tc>
          <w:tcPr>
            <w:tcW w:w="1422" w:type="dxa"/>
          </w:tcPr>
          <w:p w14:paraId="3BF21142" w14:textId="77777777" w:rsidR="00A052DC" w:rsidRDefault="009F0A60">
            <w:pPr>
              <w:pStyle w:val="B"/>
              <w:rPr>
                <w:szCs w:val="20"/>
              </w:rPr>
            </w:pPr>
            <w:r>
              <w:rPr>
                <w:rFonts w:hint="eastAsia"/>
                <w:szCs w:val="20"/>
              </w:rPr>
              <w:t>字符型，</w:t>
            </w:r>
            <w:r>
              <w:rPr>
                <w:szCs w:val="20"/>
              </w:rPr>
              <w:t>128</w:t>
            </w:r>
          </w:p>
        </w:tc>
        <w:tc>
          <w:tcPr>
            <w:tcW w:w="3685" w:type="dxa"/>
          </w:tcPr>
          <w:p w14:paraId="508CDAEE" w14:textId="77777777" w:rsidR="00A052DC" w:rsidRDefault="00DD6AA3">
            <w:pPr>
              <w:pStyle w:val="B"/>
              <w:rPr>
                <w:szCs w:val="20"/>
              </w:rPr>
            </w:pPr>
            <w:r>
              <w:rPr>
                <w:rFonts w:hint="eastAsia"/>
                <w:szCs w:val="20"/>
              </w:rPr>
              <w:t>非必填项，当操作类型（ACTIONTYPE）为删除时必填。</w:t>
            </w:r>
          </w:p>
        </w:tc>
      </w:tr>
      <w:tr w:rsidR="00A052DC" w14:paraId="25C5A610" w14:textId="77777777">
        <w:tc>
          <w:tcPr>
            <w:tcW w:w="1384" w:type="dxa"/>
          </w:tcPr>
          <w:p w14:paraId="12748727" w14:textId="77777777" w:rsidR="00A052DC" w:rsidRDefault="009F0A60">
            <w:pPr>
              <w:pStyle w:val="B"/>
              <w:rPr>
                <w:szCs w:val="20"/>
              </w:rPr>
            </w:pPr>
            <w:r>
              <w:rPr>
                <w:szCs w:val="20"/>
              </w:rPr>
              <w:t>SNOCODE</w:t>
            </w:r>
          </w:p>
        </w:tc>
        <w:tc>
          <w:tcPr>
            <w:tcW w:w="2122" w:type="dxa"/>
          </w:tcPr>
          <w:p w14:paraId="1B71AEB3" w14:textId="77777777" w:rsidR="00A052DC" w:rsidRDefault="009F0A60">
            <w:pPr>
              <w:pStyle w:val="B"/>
              <w:rPr>
                <w:szCs w:val="20"/>
              </w:rPr>
            </w:pPr>
            <w:r>
              <w:rPr>
                <w:rFonts w:hint="eastAsia"/>
                <w:szCs w:val="20"/>
              </w:rPr>
              <w:t>数据自编码</w:t>
            </w:r>
          </w:p>
        </w:tc>
        <w:tc>
          <w:tcPr>
            <w:tcW w:w="1422" w:type="dxa"/>
          </w:tcPr>
          <w:p w14:paraId="7347C019" w14:textId="77777777" w:rsidR="00A052DC" w:rsidRDefault="009F0A60">
            <w:pPr>
              <w:pStyle w:val="B"/>
              <w:rPr>
                <w:szCs w:val="20"/>
              </w:rPr>
            </w:pPr>
            <w:r>
              <w:rPr>
                <w:rFonts w:hint="eastAsia"/>
                <w:szCs w:val="20"/>
              </w:rPr>
              <w:t>字符型，36</w:t>
            </w:r>
          </w:p>
        </w:tc>
        <w:tc>
          <w:tcPr>
            <w:tcW w:w="3685" w:type="dxa"/>
          </w:tcPr>
          <w:p w14:paraId="22A16C54" w14:textId="77777777" w:rsidR="00A052DC" w:rsidRDefault="009F0A60">
            <w:pPr>
              <w:pStyle w:val="B"/>
              <w:rPr>
                <w:szCs w:val="20"/>
              </w:rPr>
            </w:pPr>
            <w:r>
              <w:rPr>
                <w:rFonts w:hint="eastAsia"/>
                <w:szCs w:val="20"/>
              </w:rPr>
              <w:t>必填项。</w:t>
            </w:r>
            <w:r>
              <w:rPr>
                <w:szCs w:val="20"/>
              </w:rPr>
              <w:t>对于接口报送的填报主体，数据自编码中的报送期（6位）应与报告期（YYYYMM）一致。</w:t>
            </w:r>
          </w:p>
        </w:tc>
      </w:tr>
      <w:tr w:rsidR="00A052DC" w14:paraId="7F3B651B" w14:textId="77777777">
        <w:tc>
          <w:tcPr>
            <w:tcW w:w="1384" w:type="dxa"/>
          </w:tcPr>
          <w:p w14:paraId="2A807B98" w14:textId="77777777" w:rsidR="00A052DC" w:rsidRDefault="009F0A60">
            <w:pPr>
              <w:pStyle w:val="B"/>
              <w:rPr>
                <w:szCs w:val="20"/>
              </w:rPr>
            </w:pPr>
            <w:r>
              <w:rPr>
                <w:szCs w:val="20"/>
              </w:rPr>
              <w:t>OBJCODE</w:t>
            </w:r>
          </w:p>
        </w:tc>
        <w:tc>
          <w:tcPr>
            <w:tcW w:w="2122" w:type="dxa"/>
          </w:tcPr>
          <w:p w14:paraId="1E125082" w14:textId="77777777" w:rsidR="00A052DC" w:rsidRDefault="009F0A60">
            <w:pPr>
              <w:pStyle w:val="B"/>
              <w:rPr>
                <w:szCs w:val="20"/>
              </w:rPr>
            </w:pPr>
            <w:r>
              <w:rPr>
                <w:rFonts w:hint="eastAsia"/>
                <w:szCs w:val="20"/>
              </w:rPr>
              <w:t>申报主体代码</w:t>
            </w:r>
          </w:p>
        </w:tc>
        <w:tc>
          <w:tcPr>
            <w:tcW w:w="1422" w:type="dxa"/>
          </w:tcPr>
          <w:p w14:paraId="3FA76058" w14:textId="77777777" w:rsidR="00A052DC" w:rsidRDefault="009F0A60">
            <w:pPr>
              <w:pStyle w:val="B"/>
              <w:rPr>
                <w:szCs w:val="20"/>
              </w:rPr>
            </w:pPr>
            <w:r>
              <w:rPr>
                <w:rFonts w:hint="eastAsia"/>
                <w:szCs w:val="20"/>
              </w:rPr>
              <w:t>字符型，</w:t>
            </w:r>
            <w:r>
              <w:rPr>
                <w:szCs w:val="20"/>
              </w:rPr>
              <w:t>1</w:t>
            </w:r>
            <w:r>
              <w:rPr>
                <w:rFonts w:hint="eastAsia"/>
                <w:szCs w:val="20"/>
              </w:rPr>
              <w:t>8</w:t>
            </w:r>
          </w:p>
        </w:tc>
        <w:tc>
          <w:tcPr>
            <w:tcW w:w="3685" w:type="dxa"/>
          </w:tcPr>
          <w:p w14:paraId="1327F700" w14:textId="77777777" w:rsidR="00A052DC" w:rsidRDefault="009F0A60">
            <w:pPr>
              <w:pStyle w:val="B"/>
              <w:rPr>
                <w:szCs w:val="20"/>
              </w:rPr>
            </w:pPr>
            <w:r>
              <w:rPr>
                <w:rFonts w:hint="eastAsia"/>
                <w:szCs w:val="20"/>
              </w:rPr>
              <w:t>申报主体的12位金融机构标识码，如果没有金融机构标识码，则填报统一社会信用代码法定载体（如营业执照）上统一社会信用代码中的第9至17位或国家外汇管理局及其分支局签发的特殊机构代码赋码通知书上的机构代码、个人身份代码。</w:t>
            </w:r>
          </w:p>
        </w:tc>
      </w:tr>
      <w:tr w:rsidR="00A052DC" w14:paraId="06CC78ED" w14:textId="77777777">
        <w:tc>
          <w:tcPr>
            <w:tcW w:w="1384" w:type="dxa"/>
          </w:tcPr>
          <w:p w14:paraId="24A2C029" w14:textId="77777777" w:rsidR="00A052DC" w:rsidRDefault="009F0A60">
            <w:pPr>
              <w:pStyle w:val="B"/>
              <w:rPr>
                <w:szCs w:val="20"/>
              </w:rPr>
            </w:pPr>
            <w:r>
              <w:rPr>
                <w:szCs w:val="20"/>
              </w:rPr>
              <w:t>BUOCMONTH</w:t>
            </w:r>
          </w:p>
        </w:tc>
        <w:tc>
          <w:tcPr>
            <w:tcW w:w="2122" w:type="dxa"/>
          </w:tcPr>
          <w:p w14:paraId="12B2A868" w14:textId="77777777" w:rsidR="00A052DC" w:rsidRDefault="009F0A60">
            <w:pPr>
              <w:pStyle w:val="B"/>
              <w:rPr>
                <w:szCs w:val="20"/>
              </w:rPr>
            </w:pPr>
            <w:r>
              <w:rPr>
                <w:rFonts w:hint="eastAsia"/>
                <w:szCs w:val="20"/>
              </w:rPr>
              <w:t>报告期</w:t>
            </w:r>
          </w:p>
        </w:tc>
        <w:tc>
          <w:tcPr>
            <w:tcW w:w="1422" w:type="dxa"/>
          </w:tcPr>
          <w:p w14:paraId="6AF36A81" w14:textId="77777777" w:rsidR="00A052DC" w:rsidRDefault="009F0A60">
            <w:pPr>
              <w:pStyle w:val="B"/>
              <w:rPr>
                <w:szCs w:val="20"/>
              </w:rPr>
            </w:pPr>
            <w:r>
              <w:rPr>
                <w:rFonts w:hint="eastAsia"/>
                <w:szCs w:val="20"/>
              </w:rPr>
              <w:t>数值型，</w:t>
            </w:r>
            <w:r>
              <w:rPr>
                <w:szCs w:val="20"/>
              </w:rPr>
              <w:t>6</w:t>
            </w:r>
          </w:p>
        </w:tc>
        <w:tc>
          <w:tcPr>
            <w:tcW w:w="3685" w:type="dxa"/>
          </w:tcPr>
          <w:p w14:paraId="1749D712" w14:textId="77777777" w:rsidR="00A052DC" w:rsidRDefault="009F0A60">
            <w:pPr>
              <w:pStyle w:val="B"/>
              <w:rPr>
                <w:szCs w:val="20"/>
              </w:rPr>
            </w:pPr>
            <w:r>
              <w:rPr>
                <w:rFonts w:hint="eastAsia"/>
                <w:szCs w:val="20"/>
              </w:rPr>
              <w:t>必填项，格式为</w:t>
            </w:r>
            <w:r>
              <w:rPr>
                <w:szCs w:val="20"/>
              </w:rPr>
              <w:t>YYYYMM</w:t>
            </w:r>
            <w:r>
              <w:rPr>
                <w:rFonts w:hint="eastAsia"/>
                <w:szCs w:val="20"/>
              </w:rPr>
              <w:t>。</w:t>
            </w:r>
          </w:p>
        </w:tc>
      </w:tr>
      <w:tr w:rsidR="00A052DC" w14:paraId="09D732B0" w14:textId="77777777">
        <w:tc>
          <w:tcPr>
            <w:tcW w:w="1384" w:type="dxa"/>
          </w:tcPr>
          <w:p w14:paraId="6D47D617" w14:textId="77777777" w:rsidR="00A052DC" w:rsidRDefault="009F0A60">
            <w:pPr>
              <w:pStyle w:val="B"/>
              <w:rPr>
                <w:szCs w:val="20"/>
              </w:rPr>
            </w:pPr>
            <w:r>
              <w:rPr>
                <w:szCs w:val="20"/>
              </w:rPr>
              <w:t>EXDEBTCODE</w:t>
            </w:r>
          </w:p>
        </w:tc>
        <w:tc>
          <w:tcPr>
            <w:tcW w:w="2122" w:type="dxa"/>
          </w:tcPr>
          <w:p w14:paraId="77ED20D2" w14:textId="77777777" w:rsidR="00A052DC" w:rsidRDefault="009F0A60">
            <w:pPr>
              <w:pStyle w:val="B"/>
              <w:rPr>
                <w:szCs w:val="20"/>
              </w:rPr>
            </w:pPr>
            <w:r>
              <w:rPr>
                <w:rFonts w:hint="eastAsia"/>
                <w:szCs w:val="20"/>
              </w:rPr>
              <w:t>外债编号</w:t>
            </w:r>
          </w:p>
        </w:tc>
        <w:tc>
          <w:tcPr>
            <w:tcW w:w="1422" w:type="dxa"/>
          </w:tcPr>
          <w:p w14:paraId="5F110ADA" w14:textId="77777777" w:rsidR="00A052DC" w:rsidRDefault="009F0A60">
            <w:pPr>
              <w:pStyle w:val="B"/>
              <w:rPr>
                <w:szCs w:val="20"/>
              </w:rPr>
            </w:pPr>
            <w:r>
              <w:rPr>
                <w:rFonts w:hint="eastAsia"/>
                <w:szCs w:val="20"/>
              </w:rPr>
              <w:t>字符型，</w:t>
            </w:r>
            <w:r>
              <w:rPr>
                <w:szCs w:val="20"/>
              </w:rPr>
              <w:t>28</w:t>
            </w:r>
          </w:p>
        </w:tc>
        <w:tc>
          <w:tcPr>
            <w:tcW w:w="3685" w:type="dxa"/>
          </w:tcPr>
          <w:p w14:paraId="2BDA430F" w14:textId="77777777" w:rsidR="00A052DC" w:rsidRDefault="009F0A60">
            <w:pPr>
              <w:pStyle w:val="B"/>
              <w:rPr>
                <w:szCs w:val="20"/>
              </w:rPr>
            </w:pPr>
            <w:r>
              <w:rPr>
                <w:rFonts w:hint="eastAsia"/>
                <w:szCs w:val="20"/>
              </w:rPr>
              <w:t>必填项，外债唯一性编码。</w:t>
            </w:r>
          </w:p>
          <w:p w14:paraId="6F4B6592" w14:textId="77777777" w:rsidR="00A052DC" w:rsidRDefault="009F0A60">
            <w:pPr>
              <w:rPr>
                <w:rFonts w:ascii="黑体" w:eastAsia="黑体" w:hAnsi="黑体"/>
                <w:sz w:val="20"/>
                <w:szCs w:val="20"/>
              </w:rPr>
            </w:pPr>
            <w:r>
              <w:rPr>
                <w:rFonts w:ascii="黑体" w:eastAsia="黑体" w:hAnsi="黑体"/>
                <w:kern w:val="0"/>
                <w:sz w:val="20"/>
                <w:szCs w:val="20"/>
              </w:rPr>
              <w:t>同一外债编号（EXDEBTCODE）下</w:t>
            </w:r>
            <w:r>
              <w:rPr>
                <w:rFonts w:ascii="黑体" w:eastAsia="黑体" w:hAnsi="黑体" w:hint="eastAsia"/>
                <w:kern w:val="0"/>
                <w:sz w:val="20"/>
                <w:szCs w:val="20"/>
              </w:rPr>
              <w:t>，</w:t>
            </w:r>
            <w:r>
              <w:rPr>
                <w:rFonts w:ascii="黑体" w:eastAsia="黑体" w:hAnsi="黑体"/>
                <w:kern w:val="0"/>
                <w:sz w:val="20"/>
                <w:szCs w:val="20"/>
              </w:rPr>
              <w:t>每报告期</w:t>
            </w:r>
            <w:r>
              <w:rPr>
                <w:rFonts w:ascii="黑体" w:eastAsia="黑体" w:hAnsi="黑体" w:hint="eastAsia"/>
                <w:kern w:val="0"/>
                <w:sz w:val="20"/>
                <w:szCs w:val="20"/>
              </w:rPr>
              <w:t>应汇总报送最多</w:t>
            </w:r>
            <w:r>
              <w:rPr>
                <w:rFonts w:ascii="黑体" w:eastAsia="黑体" w:hAnsi="黑体"/>
                <w:kern w:val="0"/>
                <w:sz w:val="20"/>
                <w:szCs w:val="20"/>
              </w:rPr>
              <w:t>一条数据。</w:t>
            </w:r>
          </w:p>
          <w:p w14:paraId="3A848B0D" w14:textId="77777777" w:rsidR="00A052DC" w:rsidRDefault="009F0A60">
            <w:pPr>
              <w:pStyle w:val="B"/>
              <w:rPr>
                <w:szCs w:val="20"/>
              </w:rPr>
            </w:pPr>
            <w:r>
              <w:rPr>
                <w:rFonts w:hint="eastAsia"/>
                <w:szCs w:val="20"/>
              </w:rPr>
              <w:t>当</w:t>
            </w:r>
            <w:r>
              <w:rPr>
                <w:szCs w:val="20"/>
              </w:rPr>
              <w:t>企业登记外债编号长度为20位时，请按照20位长度填报</w:t>
            </w:r>
            <w:r>
              <w:rPr>
                <w:rFonts w:hint="eastAsia"/>
                <w:szCs w:val="20"/>
              </w:rPr>
              <w:t>，</w:t>
            </w:r>
            <w:r>
              <w:rPr>
                <w:szCs w:val="20"/>
              </w:rPr>
              <w:t>不需</w:t>
            </w:r>
            <w:r>
              <w:rPr>
                <w:rFonts w:hint="eastAsia"/>
                <w:szCs w:val="20"/>
              </w:rPr>
              <w:t>要补足</w:t>
            </w:r>
            <w:r>
              <w:rPr>
                <w:szCs w:val="20"/>
              </w:rPr>
              <w:t>28位。</w:t>
            </w:r>
          </w:p>
        </w:tc>
      </w:tr>
      <w:tr w:rsidR="00A052DC" w14:paraId="1C6BE475" w14:textId="77777777">
        <w:tc>
          <w:tcPr>
            <w:tcW w:w="1384" w:type="dxa"/>
          </w:tcPr>
          <w:p w14:paraId="1FC04FEC" w14:textId="77777777" w:rsidR="00A052DC" w:rsidRDefault="009F0A60">
            <w:pPr>
              <w:pStyle w:val="B"/>
              <w:rPr>
                <w:szCs w:val="20"/>
              </w:rPr>
            </w:pPr>
            <w:r>
              <w:rPr>
                <w:szCs w:val="20"/>
              </w:rPr>
              <w:t>D0607</w:t>
            </w:r>
          </w:p>
        </w:tc>
        <w:tc>
          <w:tcPr>
            <w:tcW w:w="2122" w:type="dxa"/>
          </w:tcPr>
          <w:p w14:paraId="2FC6DD3D" w14:textId="77777777" w:rsidR="00A052DC" w:rsidRDefault="009F0A60">
            <w:pPr>
              <w:pStyle w:val="B"/>
              <w:rPr>
                <w:szCs w:val="20"/>
              </w:rPr>
            </w:pPr>
            <w:r>
              <w:rPr>
                <w:rFonts w:hint="eastAsia"/>
                <w:szCs w:val="20"/>
              </w:rPr>
              <w:t>上月末应付利息余额</w:t>
            </w:r>
          </w:p>
        </w:tc>
        <w:tc>
          <w:tcPr>
            <w:tcW w:w="1422" w:type="dxa"/>
          </w:tcPr>
          <w:p w14:paraId="7B223217" w14:textId="77777777" w:rsidR="00A052DC" w:rsidRDefault="009F0A60">
            <w:pPr>
              <w:pStyle w:val="B"/>
              <w:rPr>
                <w:szCs w:val="20"/>
              </w:rPr>
            </w:pPr>
            <w:r>
              <w:rPr>
                <w:rFonts w:hint="eastAsia"/>
                <w:szCs w:val="20"/>
              </w:rPr>
              <w:t>数值型，</w:t>
            </w:r>
            <w:r>
              <w:rPr>
                <w:szCs w:val="20"/>
              </w:rPr>
              <w:t>22.2</w:t>
            </w:r>
          </w:p>
        </w:tc>
        <w:tc>
          <w:tcPr>
            <w:tcW w:w="3685" w:type="dxa"/>
          </w:tcPr>
          <w:p w14:paraId="69E8A0C0" w14:textId="77777777" w:rsidR="00A052DC" w:rsidRDefault="009F0A60">
            <w:pPr>
              <w:pStyle w:val="B"/>
              <w:rPr>
                <w:szCs w:val="20"/>
              </w:rPr>
            </w:pPr>
            <w:r>
              <w:rPr>
                <w:rFonts w:hint="eastAsia"/>
                <w:szCs w:val="20"/>
              </w:rPr>
              <w:t>必填项。</w:t>
            </w:r>
          </w:p>
        </w:tc>
      </w:tr>
      <w:tr w:rsidR="00A052DC" w14:paraId="704037A8" w14:textId="77777777">
        <w:tc>
          <w:tcPr>
            <w:tcW w:w="1384" w:type="dxa"/>
          </w:tcPr>
          <w:p w14:paraId="722815E5" w14:textId="77777777" w:rsidR="00A052DC" w:rsidRDefault="009F0A60">
            <w:pPr>
              <w:pStyle w:val="B"/>
              <w:rPr>
                <w:szCs w:val="20"/>
              </w:rPr>
            </w:pPr>
            <w:r>
              <w:rPr>
                <w:szCs w:val="20"/>
              </w:rPr>
              <w:t>D0610</w:t>
            </w:r>
          </w:p>
        </w:tc>
        <w:tc>
          <w:tcPr>
            <w:tcW w:w="2122" w:type="dxa"/>
          </w:tcPr>
          <w:p w14:paraId="06DCF7A4" w14:textId="77777777" w:rsidR="00A052DC" w:rsidRDefault="009F0A60">
            <w:pPr>
              <w:pStyle w:val="B"/>
              <w:rPr>
                <w:szCs w:val="20"/>
              </w:rPr>
            </w:pPr>
            <w:r>
              <w:rPr>
                <w:rFonts w:hint="eastAsia"/>
                <w:szCs w:val="20"/>
              </w:rPr>
              <w:t>本月末应付利息余额</w:t>
            </w:r>
          </w:p>
        </w:tc>
        <w:tc>
          <w:tcPr>
            <w:tcW w:w="1422" w:type="dxa"/>
          </w:tcPr>
          <w:p w14:paraId="66151562" w14:textId="77777777" w:rsidR="00A052DC" w:rsidRDefault="009F0A60">
            <w:pPr>
              <w:pStyle w:val="B"/>
              <w:rPr>
                <w:szCs w:val="20"/>
              </w:rPr>
            </w:pPr>
            <w:r>
              <w:rPr>
                <w:rFonts w:hint="eastAsia"/>
                <w:szCs w:val="20"/>
              </w:rPr>
              <w:t>数值型，</w:t>
            </w:r>
            <w:r>
              <w:rPr>
                <w:szCs w:val="20"/>
              </w:rPr>
              <w:t>22.2</w:t>
            </w:r>
          </w:p>
        </w:tc>
        <w:tc>
          <w:tcPr>
            <w:tcW w:w="3685" w:type="dxa"/>
          </w:tcPr>
          <w:p w14:paraId="51E24364" w14:textId="77777777" w:rsidR="00A052DC" w:rsidRDefault="009F0A60">
            <w:pPr>
              <w:pStyle w:val="B"/>
              <w:rPr>
                <w:szCs w:val="20"/>
              </w:rPr>
            </w:pPr>
            <w:r>
              <w:rPr>
                <w:rFonts w:hint="eastAsia"/>
                <w:szCs w:val="20"/>
              </w:rPr>
              <w:t>必填项。</w:t>
            </w:r>
          </w:p>
        </w:tc>
      </w:tr>
      <w:tr w:rsidR="00A052DC" w14:paraId="26B0911F" w14:textId="77777777">
        <w:tc>
          <w:tcPr>
            <w:tcW w:w="1384" w:type="dxa"/>
          </w:tcPr>
          <w:p w14:paraId="6AA40A2F" w14:textId="77777777" w:rsidR="00A052DC" w:rsidRDefault="009F0A60">
            <w:pPr>
              <w:pStyle w:val="B"/>
              <w:rPr>
                <w:szCs w:val="20"/>
              </w:rPr>
            </w:pPr>
            <w:r>
              <w:rPr>
                <w:szCs w:val="20"/>
              </w:rPr>
              <w:t>D0611</w:t>
            </w:r>
          </w:p>
        </w:tc>
        <w:tc>
          <w:tcPr>
            <w:tcW w:w="2122" w:type="dxa"/>
          </w:tcPr>
          <w:p w14:paraId="3227AB7B" w14:textId="77777777" w:rsidR="00A052DC" w:rsidRDefault="009F0A60">
            <w:pPr>
              <w:pStyle w:val="B"/>
              <w:rPr>
                <w:szCs w:val="20"/>
              </w:rPr>
            </w:pPr>
            <w:r>
              <w:rPr>
                <w:rFonts w:hint="eastAsia"/>
                <w:szCs w:val="20"/>
              </w:rPr>
              <w:t>本月非交易变动</w:t>
            </w:r>
          </w:p>
        </w:tc>
        <w:tc>
          <w:tcPr>
            <w:tcW w:w="1422" w:type="dxa"/>
          </w:tcPr>
          <w:p w14:paraId="36EA5192" w14:textId="77777777" w:rsidR="00A052DC" w:rsidRDefault="009F0A60">
            <w:pPr>
              <w:pStyle w:val="B"/>
              <w:rPr>
                <w:szCs w:val="20"/>
              </w:rPr>
            </w:pPr>
            <w:r>
              <w:rPr>
                <w:rFonts w:hint="eastAsia"/>
                <w:szCs w:val="20"/>
              </w:rPr>
              <w:t>数值型，</w:t>
            </w:r>
            <w:r>
              <w:rPr>
                <w:szCs w:val="20"/>
              </w:rPr>
              <w:t>22.2</w:t>
            </w:r>
          </w:p>
        </w:tc>
        <w:tc>
          <w:tcPr>
            <w:tcW w:w="3685" w:type="dxa"/>
          </w:tcPr>
          <w:p w14:paraId="5648173E" w14:textId="77777777" w:rsidR="00A052DC" w:rsidRDefault="009F0A60">
            <w:pPr>
              <w:pStyle w:val="B"/>
              <w:rPr>
                <w:szCs w:val="20"/>
              </w:rPr>
            </w:pPr>
            <w:r>
              <w:rPr>
                <w:rFonts w:hint="eastAsia"/>
                <w:szCs w:val="20"/>
              </w:rPr>
              <w:t>必填项。</w:t>
            </w:r>
          </w:p>
        </w:tc>
      </w:tr>
      <w:tr w:rsidR="00A052DC" w14:paraId="012EFACE" w14:textId="77777777">
        <w:tc>
          <w:tcPr>
            <w:tcW w:w="1384" w:type="dxa"/>
          </w:tcPr>
          <w:p w14:paraId="5EBC25CE" w14:textId="77777777" w:rsidR="00A052DC" w:rsidRDefault="009F0A60">
            <w:pPr>
              <w:pStyle w:val="B"/>
              <w:rPr>
                <w:szCs w:val="20"/>
              </w:rPr>
            </w:pPr>
            <w:r>
              <w:rPr>
                <w:szCs w:val="20"/>
              </w:rPr>
              <w:t>REMARK</w:t>
            </w:r>
          </w:p>
        </w:tc>
        <w:tc>
          <w:tcPr>
            <w:tcW w:w="2122" w:type="dxa"/>
          </w:tcPr>
          <w:p w14:paraId="73033DFA" w14:textId="77777777" w:rsidR="00A052DC" w:rsidRDefault="009F0A60">
            <w:pPr>
              <w:pStyle w:val="B"/>
              <w:rPr>
                <w:szCs w:val="20"/>
              </w:rPr>
            </w:pPr>
            <w:r>
              <w:rPr>
                <w:rFonts w:hint="eastAsia"/>
                <w:szCs w:val="20"/>
              </w:rPr>
              <w:t>备注</w:t>
            </w:r>
          </w:p>
        </w:tc>
        <w:tc>
          <w:tcPr>
            <w:tcW w:w="1422" w:type="dxa"/>
          </w:tcPr>
          <w:p w14:paraId="5E6DA078" w14:textId="77777777" w:rsidR="00A052DC" w:rsidRDefault="009F0A60">
            <w:pPr>
              <w:pStyle w:val="B"/>
              <w:rPr>
                <w:szCs w:val="20"/>
              </w:rPr>
            </w:pPr>
            <w:r>
              <w:rPr>
                <w:rFonts w:hint="eastAsia"/>
                <w:szCs w:val="20"/>
              </w:rPr>
              <w:t>字符型，</w:t>
            </w:r>
            <w:r>
              <w:rPr>
                <w:szCs w:val="20"/>
              </w:rPr>
              <w:t>512</w:t>
            </w:r>
          </w:p>
        </w:tc>
        <w:tc>
          <w:tcPr>
            <w:tcW w:w="3685" w:type="dxa"/>
          </w:tcPr>
          <w:p w14:paraId="2EB21727" w14:textId="77777777" w:rsidR="00A052DC" w:rsidRDefault="009F0A60">
            <w:pPr>
              <w:pStyle w:val="B"/>
              <w:rPr>
                <w:szCs w:val="20"/>
              </w:rPr>
            </w:pPr>
            <w:r>
              <w:rPr>
                <w:rFonts w:hint="eastAsia"/>
                <w:szCs w:val="20"/>
              </w:rPr>
              <w:t>当D0607、D0610</w:t>
            </w:r>
            <w:r>
              <w:rPr>
                <w:szCs w:val="20"/>
              </w:rPr>
              <w:t>中任一项</w:t>
            </w:r>
            <w:r>
              <w:rPr>
                <w:rFonts w:hint="eastAsia"/>
                <w:szCs w:val="20"/>
              </w:rPr>
              <w:t>为负数时，备注（REMARK）字段为必填项。</w:t>
            </w:r>
          </w:p>
        </w:tc>
      </w:tr>
    </w:tbl>
    <w:p w14:paraId="025856D4" w14:textId="77777777" w:rsidR="00A052DC" w:rsidRDefault="00A052DC">
      <w:pPr>
        <w:ind w:firstLine="480"/>
      </w:pPr>
    </w:p>
    <w:p w14:paraId="1207BA04" w14:textId="77777777" w:rsidR="00A052DC" w:rsidRDefault="009F0A60" w:rsidP="0020251D">
      <w:pPr>
        <w:pStyle w:val="3"/>
        <w:ind w:left="0"/>
        <w:rPr>
          <w:rFonts w:ascii="Times New Roman" w:hAnsi="Times New Roman"/>
        </w:rPr>
      </w:pPr>
      <w:bookmarkStart w:id="3284" w:name="_Toc455167741"/>
      <w:bookmarkStart w:id="3285" w:name="_Toc454780195"/>
      <w:bookmarkStart w:id="3286" w:name="_Toc455152837"/>
      <w:bookmarkStart w:id="3287" w:name="_Toc455156565"/>
      <w:bookmarkStart w:id="3288" w:name="_Toc454382400"/>
      <w:bookmarkStart w:id="3289" w:name="_Toc454399319"/>
      <w:bookmarkStart w:id="3290" w:name="_Toc455164016"/>
      <w:bookmarkStart w:id="3291" w:name="_Toc454459095"/>
      <w:bookmarkStart w:id="3292" w:name="_Toc454464818"/>
      <w:bookmarkStart w:id="3293" w:name="_Toc454391332"/>
      <w:bookmarkStart w:id="3294" w:name="_Toc380356296"/>
      <w:bookmarkStart w:id="3295" w:name="_Toc91455323"/>
      <w:bookmarkStart w:id="3296" w:name="_Toc454391333"/>
      <w:bookmarkStart w:id="3297" w:name="_Toc380570979"/>
      <w:bookmarkStart w:id="3298" w:name="_Toc101684496"/>
      <w:bookmarkEnd w:id="3284"/>
      <w:bookmarkEnd w:id="3285"/>
      <w:bookmarkEnd w:id="3286"/>
      <w:bookmarkEnd w:id="3287"/>
      <w:bookmarkEnd w:id="3288"/>
      <w:bookmarkEnd w:id="3289"/>
      <w:bookmarkEnd w:id="3290"/>
      <w:bookmarkEnd w:id="3291"/>
      <w:bookmarkEnd w:id="3292"/>
      <w:bookmarkEnd w:id="3293"/>
      <w:r>
        <w:rPr>
          <w:rFonts w:ascii="Times New Roman" w:hAnsi="Times New Roman"/>
        </w:rPr>
        <w:t>D07</w:t>
      </w:r>
      <w:r>
        <w:rPr>
          <w:rFonts w:ascii="Times New Roman" w:hAnsi="Times New Roman" w:hint="eastAsia"/>
        </w:rPr>
        <w:t>表：非居民持有本机构（非公司制）</w:t>
      </w:r>
      <w:r>
        <w:rPr>
          <w:rFonts w:ascii="Times New Roman" w:hAnsi="Times New Roman"/>
        </w:rPr>
        <w:t>10%</w:t>
      </w:r>
      <w:r>
        <w:rPr>
          <w:rFonts w:ascii="Times New Roman" w:hAnsi="Times New Roman" w:hint="eastAsia"/>
        </w:rPr>
        <w:t>以下表决权（负债）</w:t>
      </w:r>
      <w:bookmarkEnd w:id="3294"/>
      <w:bookmarkEnd w:id="3295"/>
      <w:bookmarkEnd w:id="3296"/>
      <w:bookmarkEnd w:id="3297"/>
      <w:bookmarkEnd w:id="3298"/>
    </w:p>
    <w:p w14:paraId="4D77F6DE" w14:textId="77777777" w:rsidR="00A052DC" w:rsidRDefault="009F0A60" w:rsidP="0020251D">
      <w:pPr>
        <w:pStyle w:val="4"/>
        <w:numPr>
          <w:ilvl w:val="3"/>
          <w:numId w:val="1"/>
        </w:numPr>
        <w:jc w:val="left"/>
      </w:pPr>
      <w:bookmarkStart w:id="3299" w:name="_Toc454391334"/>
      <w:bookmarkStart w:id="3300" w:name="_Toc380570980"/>
      <w:r>
        <w:rPr>
          <w:rFonts w:hint="eastAsia"/>
        </w:rPr>
        <w:t>数据术语解释</w:t>
      </w:r>
      <w:bookmarkEnd w:id="3299"/>
      <w:bookmarkEnd w:id="3300"/>
    </w:p>
    <w:p w14:paraId="0E4671D0" w14:textId="77777777" w:rsidR="00A052DC" w:rsidRDefault="00A052DC">
      <w:pPr>
        <w:spacing w:line="240" w:lineRule="exact"/>
        <w:rPr>
          <w:sz w:val="18"/>
        </w:rPr>
      </w:pPr>
    </w:p>
    <w:tbl>
      <w:tblPr>
        <w:tblW w:w="8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0"/>
        <w:gridCol w:w="6730"/>
      </w:tblGrid>
      <w:tr w:rsidR="00A052DC" w14:paraId="46FEE218" w14:textId="77777777">
        <w:trPr>
          <w:cantSplit/>
          <w:jc w:val="center"/>
        </w:trPr>
        <w:tc>
          <w:tcPr>
            <w:tcW w:w="2110" w:type="dxa"/>
          </w:tcPr>
          <w:p w14:paraId="3F88FB8C" w14:textId="77777777" w:rsidR="00A052DC" w:rsidRDefault="009F0A60">
            <w:pPr>
              <w:pStyle w:val="B1"/>
            </w:pPr>
            <w:r>
              <w:rPr>
                <w:rFonts w:hint="eastAsia"/>
              </w:rPr>
              <w:t>基础数据项</w:t>
            </w:r>
          </w:p>
        </w:tc>
        <w:tc>
          <w:tcPr>
            <w:tcW w:w="6730" w:type="dxa"/>
          </w:tcPr>
          <w:p w14:paraId="0527128A" w14:textId="77777777" w:rsidR="00A052DC" w:rsidRDefault="009F0A60">
            <w:pPr>
              <w:pStyle w:val="B1"/>
            </w:pPr>
            <w:r>
              <w:rPr>
                <w:rFonts w:hint="eastAsia"/>
              </w:rPr>
              <w:t>定义</w:t>
            </w:r>
          </w:p>
        </w:tc>
      </w:tr>
      <w:tr w:rsidR="00A052DC" w14:paraId="3FF1EBE5" w14:textId="77777777">
        <w:trPr>
          <w:cantSplit/>
          <w:jc w:val="center"/>
        </w:trPr>
        <w:tc>
          <w:tcPr>
            <w:tcW w:w="2110" w:type="dxa"/>
          </w:tcPr>
          <w:p w14:paraId="3B3481C5" w14:textId="77777777" w:rsidR="00A052DC" w:rsidRDefault="009F0A60">
            <w:pPr>
              <w:pStyle w:val="B"/>
              <w:rPr>
                <w:szCs w:val="20"/>
              </w:rPr>
            </w:pPr>
            <w:r>
              <w:rPr>
                <w:rFonts w:hint="eastAsia"/>
                <w:szCs w:val="20"/>
              </w:rPr>
              <w:t>数据自编码</w:t>
            </w:r>
          </w:p>
        </w:tc>
        <w:tc>
          <w:tcPr>
            <w:tcW w:w="6730" w:type="dxa"/>
          </w:tcPr>
          <w:p w14:paraId="68632E3E" w14:textId="77777777" w:rsidR="00A052DC" w:rsidRDefault="009F0A60">
            <w:pPr>
              <w:pStyle w:val="B"/>
              <w:rPr>
                <w:szCs w:val="20"/>
              </w:rPr>
            </w:pPr>
            <w:r>
              <w:rPr>
                <w:rFonts w:hint="eastAsia"/>
                <w:szCs w:val="20"/>
              </w:rPr>
              <w:t>该编码用于标识金融机构报送的每一条数据，按给定规则编码，便于进行增删改查等操作。建议规则：机构代码（18位，不足18位补</w:t>
            </w:r>
            <w:r>
              <w:rPr>
                <w:szCs w:val="20"/>
              </w:rPr>
              <w:t>a</w:t>
            </w:r>
            <w:r>
              <w:rPr>
                <w:rFonts w:hint="eastAsia"/>
                <w:szCs w:val="20"/>
              </w:rPr>
              <w:t>）</w:t>
            </w:r>
            <w:r>
              <w:rPr>
                <w:szCs w:val="20"/>
              </w:rPr>
              <w:t>+</w:t>
            </w:r>
            <w:r>
              <w:rPr>
                <w:rFonts w:hint="eastAsia"/>
                <w:szCs w:val="20"/>
              </w:rPr>
              <w:t>报表代码（</w:t>
            </w:r>
            <w:r>
              <w:rPr>
                <w:szCs w:val="20"/>
              </w:rPr>
              <w:t>5</w:t>
            </w:r>
            <w:r>
              <w:rPr>
                <w:rFonts w:hint="eastAsia"/>
                <w:szCs w:val="20"/>
              </w:rPr>
              <w:t>位，不足</w:t>
            </w:r>
            <w:r>
              <w:rPr>
                <w:szCs w:val="20"/>
              </w:rPr>
              <w:t>5</w:t>
            </w:r>
            <w:r>
              <w:rPr>
                <w:rFonts w:hint="eastAsia"/>
                <w:szCs w:val="20"/>
              </w:rPr>
              <w:t>位补</w:t>
            </w:r>
            <w:r>
              <w:rPr>
                <w:szCs w:val="20"/>
              </w:rPr>
              <w:t>a</w:t>
            </w:r>
            <w:r>
              <w:rPr>
                <w:rFonts w:hint="eastAsia"/>
                <w:szCs w:val="20"/>
              </w:rPr>
              <w:t>）</w:t>
            </w:r>
            <w:r>
              <w:rPr>
                <w:szCs w:val="20"/>
              </w:rPr>
              <w:t>+</w:t>
            </w:r>
            <w:r>
              <w:rPr>
                <w:rFonts w:hint="eastAsia"/>
                <w:szCs w:val="20"/>
              </w:rPr>
              <w:t>报送期（</w:t>
            </w:r>
            <w:r>
              <w:rPr>
                <w:szCs w:val="20"/>
              </w:rPr>
              <w:t>6</w:t>
            </w:r>
            <w:r>
              <w:rPr>
                <w:rFonts w:hint="eastAsia"/>
                <w:szCs w:val="20"/>
              </w:rPr>
              <w:t>位）</w:t>
            </w:r>
            <w:r>
              <w:rPr>
                <w:szCs w:val="20"/>
              </w:rPr>
              <w:t>+</w:t>
            </w:r>
            <w:r>
              <w:rPr>
                <w:rFonts w:hint="eastAsia"/>
                <w:szCs w:val="20"/>
              </w:rPr>
              <w:t>顺序号（</w:t>
            </w:r>
            <w:r>
              <w:rPr>
                <w:szCs w:val="20"/>
              </w:rPr>
              <w:t>7</w:t>
            </w:r>
            <w:r>
              <w:rPr>
                <w:rFonts w:hint="eastAsia"/>
                <w:szCs w:val="20"/>
              </w:rPr>
              <w:t>位，从</w:t>
            </w:r>
            <w:r>
              <w:rPr>
                <w:szCs w:val="20"/>
              </w:rPr>
              <w:t>0000001</w:t>
            </w:r>
            <w:r>
              <w:rPr>
                <w:rFonts w:hint="eastAsia"/>
                <w:szCs w:val="20"/>
              </w:rPr>
              <w:t>开始增加）。</w:t>
            </w:r>
          </w:p>
        </w:tc>
      </w:tr>
      <w:tr w:rsidR="00A052DC" w14:paraId="62E776DD" w14:textId="77777777">
        <w:trPr>
          <w:cantSplit/>
          <w:jc w:val="center"/>
        </w:trPr>
        <w:tc>
          <w:tcPr>
            <w:tcW w:w="2110" w:type="dxa"/>
          </w:tcPr>
          <w:p w14:paraId="3EF39532" w14:textId="77777777" w:rsidR="00A052DC" w:rsidRDefault="009F0A60">
            <w:pPr>
              <w:pStyle w:val="B"/>
              <w:rPr>
                <w:szCs w:val="20"/>
              </w:rPr>
            </w:pPr>
            <w:r>
              <w:rPr>
                <w:rFonts w:hint="eastAsia"/>
                <w:szCs w:val="20"/>
              </w:rPr>
              <w:t>申报主体代码</w:t>
            </w:r>
          </w:p>
        </w:tc>
        <w:tc>
          <w:tcPr>
            <w:tcW w:w="6730" w:type="dxa"/>
          </w:tcPr>
          <w:p w14:paraId="21AF7350" w14:textId="77777777" w:rsidR="00A052DC" w:rsidRDefault="009F0A60">
            <w:pPr>
              <w:pStyle w:val="B"/>
              <w:rPr>
                <w:szCs w:val="20"/>
              </w:rPr>
            </w:pPr>
            <w:r>
              <w:rPr>
                <w:rFonts w:hint="eastAsia"/>
                <w:szCs w:val="20"/>
              </w:rPr>
              <w:t>申报主体的12位金融机构标识码，如果没有金融机构标识码，则填报统一社会信用代码法定载体（如营业执照）上统一社会信用代码中的第9至17位或国家外汇管理局及其分支局签发的特殊机构代码赋码通知书上的机构代码、个人身份代码。</w:t>
            </w:r>
          </w:p>
        </w:tc>
      </w:tr>
      <w:tr w:rsidR="00A052DC" w14:paraId="7B258F78" w14:textId="77777777">
        <w:trPr>
          <w:cantSplit/>
          <w:jc w:val="center"/>
        </w:trPr>
        <w:tc>
          <w:tcPr>
            <w:tcW w:w="2110" w:type="dxa"/>
          </w:tcPr>
          <w:p w14:paraId="64C7DBF7" w14:textId="77777777" w:rsidR="00A052DC" w:rsidRDefault="009F0A60">
            <w:pPr>
              <w:pStyle w:val="B"/>
              <w:rPr>
                <w:szCs w:val="20"/>
              </w:rPr>
            </w:pPr>
            <w:r>
              <w:rPr>
                <w:rFonts w:hint="eastAsia"/>
                <w:szCs w:val="20"/>
              </w:rPr>
              <w:t>报告期</w:t>
            </w:r>
          </w:p>
        </w:tc>
        <w:tc>
          <w:tcPr>
            <w:tcW w:w="6730" w:type="dxa"/>
          </w:tcPr>
          <w:p w14:paraId="624E9135" w14:textId="77777777" w:rsidR="00A052DC" w:rsidRDefault="009F0A60">
            <w:pPr>
              <w:pStyle w:val="B"/>
              <w:rPr>
                <w:szCs w:val="20"/>
              </w:rPr>
            </w:pPr>
            <w:r>
              <w:rPr>
                <w:rFonts w:hint="eastAsia"/>
                <w:szCs w:val="20"/>
              </w:rPr>
              <w:t>业务发生月份，格式为</w:t>
            </w:r>
            <w:r>
              <w:rPr>
                <w:szCs w:val="20"/>
              </w:rPr>
              <w:t>YYYYMM</w:t>
            </w:r>
            <w:r>
              <w:rPr>
                <w:rFonts w:hint="eastAsia"/>
                <w:szCs w:val="20"/>
              </w:rPr>
              <w:t>。</w:t>
            </w:r>
          </w:p>
        </w:tc>
      </w:tr>
      <w:tr w:rsidR="00A052DC" w14:paraId="248AD326" w14:textId="77777777">
        <w:trPr>
          <w:cantSplit/>
          <w:jc w:val="center"/>
        </w:trPr>
        <w:tc>
          <w:tcPr>
            <w:tcW w:w="2110" w:type="dxa"/>
          </w:tcPr>
          <w:p w14:paraId="6AFDDA0A" w14:textId="77777777" w:rsidR="00A052DC" w:rsidRDefault="009F0A60">
            <w:pPr>
              <w:pStyle w:val="B"/>
              <w:rPr>
                <w:szCs w:val="20"/>
              </w:rPr>
            </w:pPr>
            <w:r>
              <w:rPr>
                <w:rFonts w:hint="eastAsia"/>
                <w:szCs w:val="20"/>
              </w:rPr>
              <w:t>对方名称</w:t>
            </w:r>
          </w:p>
        </w:tc>
        <w:tc>
          <w:tcPr>
            <w:tcW w:w="6730" w:type="dxa"/>
          </w:tcPr>
          <w:p w14:paraId="27A29DC2" w14:textId="77777777" w:rsidR="00A052DC" w:rsidRDefault="009F0A60">
            <w:pPr>
              <w:pStyle w:val="B"/>
              <w:rPr>
                <w:szCs w:val="20"/>
              </w:rPr>
            </w:pPr>
            <w:r>
              <w:rPr>
                <w:rFonts w:hint="eastAsia"/>
                <w:szCs w:val="20"/>
              </w:rPr>
              <w:t>指境外投资主体的中文名称及当地注册的英文名称，如为其他语言名称，可不填写外文名称，但必须填写中文名称。</w:t>
            </w:r>
          </w:p>
        </w:tc>
      </w:tr>
      <w:tr w:rsidR="00A052DC" w14:paraId="3A5F71CC" w14:textId="77777777">
        <w:trPr>
          <w:cantSplit/>
          <w:jc w:val="center"/>
        </w:trPr>
        <w:tc>
          <w:tcPr>
            <w:tcW w:w="2110" w:type="dxa"/>
          </w:tcPr>
          <w:p w14:paraId="7CD33111" w14:textId="77777777" w:rsidR="00A052DC" w:rsidRDefault="009F0A60">
            <w:pPr>
              <w:pStyle w:val="B"/>
              <w:rPr>
                <w:szCs w:val="20"/>
              </w:rPr>
            </w:pPr>
            <w:r>
              <w:rPr>
                <w:rFonts w:hint="eastAsia"/>
                <w:szCs w:val="20"/>
              </w:rPr>
              <w:t>对方代码</w:t>
            </w:r>
          </w:p>
        </w:tc>
        <w:tc>
          <w:tcPr>
            <w:tcW w:w="6730" w:type="dxa"/>
          </w:tcPr>
          <w:p w14:paraId="4D0E5854" w14:textId="77777777" w:rsidR="00A052DC" w:rsidRDefault="009F0A60">
            <w:pPr>
              <w:pStyle w:val="B"/>
              <w:rPr>
                <w:szCs w:val="20"/>
              </w:rPr>
            </w:pPr>
            <w:r>
              <w:rPr>
                <w:rFonts w:hint="eastAsia"/>
                <w:szCs w:val="20"/>
              </w:rPr>
              <w:t>指可以唯一标识该境外投资主体的代码，包括“</w:t>
            </w:r>
            <w:r>
              <w:rPr>
                <w:szCs w:val="20"/>
              </w:rPr>
              <w:t>SWIFT</w:t>
            </w:r>
            <w:r>
              <w:rPr>
                <w:rFonts w:hint="eastAsia"/>
                <w:szCs w:val="20"/>
              </w:rPr>
              <w:t>编码”等。如无市场通用代码，应使用本机构内部使用的代码进行唯一标识。</w:t>
            </w:r>
          </w:p>
        </w:tc>
      </w:tr>
      <w:tr w:rsidR="00A052DC" w14:paraId="6A21D700" w14:textId="77777777">
        <w:trPr>
          <w:cantSplit/>
          <w:jc w:val="center"/>
        </w:trPr>
        <w:tc>
          <w:tcPr>
            <w:tcW w:w="2110" w:type="dxa"/>
          </w:tcPr>
          <w:p w14:paraId="7A9D6C6F" w14:textId="77777777" w:rsidR="00A052DC" w:rsidRDefault="009F0A60">
            <w:pPr>
              <w:pStyle w:val="B"/>
              <w:rPr>
                <w:szCs w:val="20"/>
              </w:rPr>
            </w:pPr>
            <w:r>
              <w:rPr>
                <w:rFonts w:hint="eastAsia"/>
                <w:szCs w:val="20"/>
              </w:rPr>
              <w:t>对方国家</w:t>
            </w:r>
            <w:r>
              <w:rPr>
                <w:szCs w:val="20"/>
              </w:rPr>
              <w:t>/</w:t>
            </w:r>
            <w:r>
              <w:rPr>
                <w:rFonts w:hint="eastAsia"/>
                <w:szCs w:val="20"/>
              </w:rPr>
              <w:t>地区</w:t>
            </w:r>
          </w:p>
        </w:tc>
        <w:tc>
          <w:tcPr>
            <w:tcW w:w="6730" w:type="dxa"/>
          </w:tcPr>
          <w:p w14:paraId="0455C98D" w14:textId="77777777" w:rsidR="00A052DC" w:rsidRDefault="009F0A60">
            <w:pPr>
              <w:pStyle w:val="B"/>
              <w:rPr>
                <w:szCs w:val="20"/>
              </w:rPr>
            </w:pPr>
            <w:r>
              <w:rPr>
                <w:rFonts w:hint="eastAsia"/>
                <w:szCs w:val="20"/>
              </w:rPr>
              <w:t>指境外投资主体注册或常驻（住）的国家</w:t>
            </w:r>
            <w:r>
              <w:rPr>
                <w:szCs w:val="20"/>
              </w:rPr>
              <w:t>/</w:t>
            </w:r>
            <w:r>
              <w:rPr>
                <w:rFonts w:hint="eastAsia"/>
                <w:szCs w:val="20"/>
              </w:rPr>
              <w:t>地区。见国家和地区代码表。</w:t>
            </w:r>
          </w:p>
        </w:tc>
      </w:tr>
      <w:tr w:rsidR="00A052DC" w14:paraId="36B80CCC" w14:textId="77777777">
        <w:trPr>
          <w:cantSplit/>
          <w:jc w:val="center"/>
        </w:trPr>
        <w:tc>
          <w:tcPr>
            <w:tcW w:w="2110" w:type="dxa"/>
          </w:tcPr>
          <w:p w14:paraId="2F41FE5B" w14:textId="77777777" w:rsidR="00A052DC" w:rsidRDefault="009F0A60">
            <w:pPr>
              <w:pStyle w:val="B"/>
              <w:rPr>
                <w:szCs w:val="20"/>
              </w:rPr>
            </w:pPr>
            <w:r>
              <w:rPr>
                <w:rFonts w:hint="eastAsia"/>
                <w:szCs w:val="20"/>
              </w:rPr>
              <w:t>对方部门</w:t>
            </w:r>
          </w:p>
        </w:tc>
        <w:tc>
          <w:tcPr>
            <w:tcW w:w="6730" w:type="dxa"/>
          </w:tcPr>
          <w:p w14:paraId="11C7BD5B" w14:textId="77777777" w:rsidR="00A052DC" w:rsidRDefault="009F0A60">
            <w:pPr>
              <w:pStyle w:val="B"/>
              <w:rPr>
                <w:szCs w:val="20"/>
              </w:rPr>
            </w:pPr>
            <w:r>
              <w:rPr>
                <w:rFonts w:hint="eastAsia"/>
                <w:szCs w:val="20"/>
              </w:rPr>
              <w:t>指境外投资主体所属部门，见投资者（被投资者）部门代码表。请按境外投资主体的主营业务归类。</w:t>
            </w:r>
          </w:p>
        </w:tc>
      </w:tr>
      <w:tr w:rsidR="00A052DC" w14:paraId="7916B52A" w14:textId="77777777">
        <w:trPr>
          <w:cantSplit/>
          <w:jc w:val="center"/>
        </w:trPr>
        <w:tc>
          <w:tcPr>
            <w:tcW w:w="2110" w:type="dxa"/>
          </w:tcPr>
          <w:p w14:paraId="4DCFC58D" w14:textId="77777777" w:rsidR="00A052DC" w:rsidRDefault="009F0A60">
            <w:pPr>
              <w:pStyle w:val="B"/>
              <w:rPr>
                <w:szCs w:val="20"/>
              </w:rPr>
            </w:pPr>
            <w:r>
              <w:rPr>
                <w:rFonts w:hint="eastAsia"/>
                <w:szCs w:val="20"/>
              </w:rPr>
              <w:t>对方与本机构的关系</w:t>
            </w:r>
          </w:p>
        </w:tc>
        <w:tc>
          <w:tcPr>
            <w:tcW w:w="6730" w:type="dxa"/>
          </w:tcPr>
          <w:p w14:paraId="36DA8B17" w14:textId="77777777" w:rsidR="00A052DC" w:rsidRDefault="009F0A60">
            <w:pPr>
              <w:pStyle w:val="B"/>
              <w:rPr>
                <w:szCs w:val="20"/>
              </w:rPr>
            </w:pPr>
            <w:r>
              <w:rPr>
                <w:rFonts w:hint="eastAsia"/>
                <w:szCs w:val="20"/>
              </w:rPr>
              <w:t>见对方与本机构</w:t>
            </w:r>
            <w:r>
              <w:rPr>
                <w:szCs w:val="20"/>
              </w:rPr>
              <w:t>/</w:t>
            </w:r>
            <w:r>
              <w:rPr>
                <w:rFonts w:hint="eastAsia"/>
                <w:szCs w:val="20"/>
              </w:rPr>
              <w:t>被代理居民机构</w:t>
            </w:r>
            <w:r>
              <w:rPr>
                <w:szCs w:val="20"/>
              </w:rPr>
              <w:t>/</w:t>
            </w:r>
            <w:r>
              <w:rPr>
                <w:rFonts w:hint="eastAsia"/>
                <w:szCs w:val="20"/>
              </w:rPr>
              <w:t>委托人的关系代码表。分为四种情况：</w:t>
            </w:r>
            <w:r>
              <w:rPr>
                <w:szCs w:val="20"/>
              </w:rPr>
              <w:t>1-</w:t>
            </w:r>
            <w:r>
              <w:rPr>
                <w:rFonts w:hint="eastAsia"/>
                <w:szCs w:val="20"/>
              </w:rPr>
              <w:t>对方是本机构的境外直接投资者，即持有本机构表决权≥</w:t>
            </w:r>
            <w:r>
              <w:rPr>
                <w:szCs w:val="20"/>
              </w:rPr>
              <w:t>10%</w:t>
            </w:r>
            <w:r>
              <w:rPr>
                <w:rFonts w:hint="eastAsia"/>
                <w:szCs w:val="20"/>
              </w:rPr>
              <w:t>；</w:t>
            </w:r>
            <w:r>
              <w:rPr>
                <w:szCs w:val="20"/>
              </w:rPr>
              <w:t>2-</w:t>
            </w:r>
            <w:r>
              <w:rPr>
                <w:rFonts w:hint="eastAsia"/>
                <w:szCs w:val="20"/>
              </w:rPr>
              <w:t>对方是本机构的境外直接投资企业，即本机构持有表决权在</w:t>
            </w:r>
            <w:r>
              <w:rPr>
                <w:szCs w:val="20"/>
              </w:rPr>
              <w:t>10%</w:t>
            </w:r>
            <w:r>
              <w:rPr>
                <w:rFonts w:hint="eastAsia"/>
                <w:szCs w:val="20"/>
              </w:rPr>
              <w:t>及以上的境外分支机构、子机构、联营机构或合营机构；</w:t>
            </w:r>
            <w:r>
              <w:rPr>
                <w:szCs w:val="20"/>
              </w:rPr>
              <w:t>3-</w:t>
            </w:r>
            <w:r>
              <w:rPr>
                <w:rFonts w:hint="eastAsia"/>
                <w:szCs w:val="20"/>
              </w:rPr>
              <w:t>对方是本机构的境外联属机构，即双方有共同母公司，但相互持有表决权＜</w:t>
            </w:r>
            <w:r>
              <w:rPr>
                <w:szCs w:val="20"/>
              </w:rPr>
              <w:t>10%</w:t>
            </w:r>
            <w:r>
              <w:rPr>
                <w:rFonts w:hint="eastAsia"/>
                <w:szCs w:val="20"/>
              </w:rPr>
              <w:t>或相互不持有表决权；</w:t>
            </w:r>
            <w:r>
              <w:rPr>
                <w:szCs w:val="20"/>
              </w:rPr>
              <w:t>4-</w:t>
            </w:r>
            <w:r>
              <w:rPr>
                <w:rFonts w:hint="eastAsia"/>
                <w:szCs w:val="20"/>
              </w:rPr>
              <w:t>对方与本机构无关联关系。</w:t>
            </w:r>
          </w:p>
        </w:tc>
      </w:tr>
      <w:tr w:rsidR="00A052DC" w14:paraId="0AF0280B" w14:textId="77777777">
        <w:trPr>
          <w:cantSplit/>
          <w:jc w:val="center"/>
        </w:trPr>
        <w:tc>
          <w:tcPr>
            <w:tcW w:w="2110" w:type="dxa"/>
          </w:tcPr>
          <w:p w14:paraId="7730F4DB" w14:textId="77777777" w:rsidR="00A052DC" w:rsidRDefault="009F0A60">
            <w:pPr>
              <w:pStyle w:val="B"/>
              <w:rPr>
                <w:szCs w:val="20"/>
              </w:rPr>
            </w:pPr>
            <w:r>
              <w:rPr>
                <w:rFonts w:hint="eastAsia"/>
                <w:szCs w:val="20"/>
              </w:rPr>
              <w:t>原始币种</w:t>
            </w:r>
          </w:p>
        </w:tc>
        <w:tc>
          <w:tcPr>
            <w:tcW w:w="6730" w:type="dxa"/>
          </w:tcPr>
          <w:p w14:paraId="2C2E6547" w14:textId="77777777" w:rsidR="00A052DC" w:rsidRDefault="009F0A60">
            <w:pPr>
              <w:pStyle w:val="B"/>
              <w:rPr>
                <w:szCs w:val="20"/>
              </w:rPr>
            </w:pPr>
            <w:r>
              <w:rPr>
                <w:rFonts w:hint="eastAsia"/>
                <w:szCs w:val="20"/>
              </w:rPr>
              <w:t>指本机构会计系统中对其他股权的记账币种。</w:t>
            </w:r>
          </w:p>
        </w:tc>
      </w:tr>
      <w:tr w:rsidR="00A052DC" w14:paraId="169722EC" w14:textId="77777777">
        <w:trPr>
          <w:cantSplit/>
          <w:jc w:val="center"/>
        </w:trPr>
        <w:tc>
          <w:tcPr>
            <w:tcW w:w="2110" w:type="dxa"/>
          </w:tcPr>
          <w:p w14:paraId="3A3CD9E8" w14:textId="77777777" w:rsidR="00A052DC" w:rsidRDefault="009F0A60">
            <w:pPr>
              <w:pStyle w:val="B"/>
              <w:rPr>
                <w:szCs w:val="20"/>
              </w:rPr>
            </w:pPr>
            <w:r>
              <w:rPr>
                <w:rFonts w:hint="eastAsia"/>
                <w:szCs w:val="20"/>
              </w:rPr>
              <w:t>上月末余额</w:t>
            </w:r>
          </w:p>
        </w:tc>
        <w:tc>
          <w:tcPr>
            <w:tcW w:w="6730" w:type="dxa"/>
          </w:tcPr>
          <w:p w14:paraId="4B805DB1" w14:textId="77777777" w:rsidR="00A052DC" w:rsidRDefault="009F0A60">
            <w:pPr>
              <w:pStyle w:val="B"/>
              <w:rPr>
                <w:szCs w:val="20"/>
              </w:rPr>
            </w:pPr>
            <w:r>
              <w:rPr>
                <w:rFonts w:hint="eastAsia"/>
                <w:szCs w:val="20"/>
              </w:rPr>
              <w:t>指上月末非居民持有的相关股权的存量金额。</w:t>
            </w:r>
          </w:p>
        </w:tc>
      </w:tr>
      <w:tr w:rsidR="00A052DC" w14:paraId="66332879" w14:textId="77777777">
        <w:trPr>
          <w:cantSplit/>
          <w:jc w:val="center"/>
        </w:trPr>
        <w:tc>
          <w:tcPr>
            <w:tcW w:w="2110" w:type="dxa"/>
          </w:tcPr>
          <w:p w14:paraId="3F23867C" w14:textId="77777777" w:rsidR="00A052DC" w:rsidRDefault="009F0A60">
            <w:pPr>
              <w:pStyle w:val="B"/>
              <w:rPr>
                <w:szCs w:val="20"/>
              </w:rPr>
            </w:pPr>
            <w:r>
              <w:rPr>
                <w:rFonts w:hint="eastAsia"/>
                <w:szCs w:val="20"/>
              </w:rPr>
              <w:t>本月末余额</w:t>
            </w:r>
          </w:p>
        </w:tc>
        <w:tc>
          <w:tcPr>
            <w:tcW w:w="6730" w:type="dxa"/>
          </w:tcPr>
          <w:p w14:paraId="50EB1937" w14:textId="77777777" w:rsidR="00A052DC" w:rsidRDefault="009F0A60">
            <w:pPr>
              <w:pStyle w:val="B"/>
              <w:rPr>
                <w:szCs w:val="20"/>
              </w:rPr>
            </w:pPr>
            <w:r>
              <w:rPr>
                <w:rFonts w:hint="eastAsia"/>
                <w:szCs w:val="20"/>
              </w:rPr>
              <w:t>指本月末非居民持有的相关股权的存量金额。</w:t>
            </w:r>
          </w:p>
        </w:tc>
      </w:tr>
      <w:tr w:rsidR="00A052DC" w14:paraId="59FCFFF1" w14:textId="77777777">
        <w:trPr>
          <w:cantSplit/>
          <w:jc w:val="center"/>
        </w:trPr>
        <w:tc>
          <w:tcPr>
            <w:tcW w:w="2110" w:type="dxa"/>
          </w:tcPr>
          <w:p w14:paraId="53A48D76" w14:textId="77777777" w:rsidR="00A052DC" w:rsidRDefault="009F0A60">
            <w:pPr>
              <w:pStyle w:val="B"/>
              <w:rPr>
                <w:szCs w:val="20"/>
              </w:rPr>
            </w:pPr>
            <w:r>
              <w:rPr>
                <w:rFonts w:hint="eastAsia"/>
                <w:szCs w:val="20"/>
              </w:rPr>
              <w:t>本月非交易变动</w:t>
            </w:r>
          </w:p>
        </w:tc>
        <w:tc>
          <w:tcPr>
            <w:tcW w:w="6730" w:type="dxa"/>
          </w:tcPr>
          <w:p w14:paraId="6AD3CA19" w14:textId="77777777" w:rsidR="00A052DC" w:rsidRDefault="009F0A60">
            <w:pPr>
              <w:pStyle w:val="B"/>
              <w:rPr>
                <w:szCs w:val="20"/>
              </w:rPr>
            </w:pPr>
            <w:r>
              <w:rPr>
                <w:rFonts w:hint="eastAsia"/>
                <w:szCs w:val="20"/>
              </w:rPr>
              <w:t>指境外投资主体本月因撤销或注销、重新分类以及所涉主体居民地位改变等因素导致其持有本机构不可流通股权增减变动的净额。计算公式为本月非交易变动</w:t>
            </w:r>
            <w:r>
              <w:rPr>
                <w:szCs w:val="20"/>
              </w:rPr>
              <w:t>=</w:t>
            </w:r>
            <w:r>
              <w:rPr>
                <w:rFonts w:hint="eastAsia"/>
                <w:szCs w:val="20"/>
              </w:rPr>
              <w:t>本月末余额</w:t>
            </w:r>
            <w:r>
              <w:rPr>
                <w:szCs w:val="20"/>
              </w:rPr>
              <w:t>-</w:t>
            </w:r>
            <w:r>
              <w:rPr>
                <w:rFonts w:hint="eastAsia"/>
                <w:szCs w:val="20"/>
              </w:rPr>
              <w:t>上月末余额</w:t>
            </w:r>
            <w:r>
              <w:rPr>
                <w:szCs w:val="20"/>
              </w:rPr>
              <w:t>-</w:t>
            </w:r>
            <w:r>
              <w:rPr>
                <w:rFonts w:hint="eastAsia"/>
                <w:szCs w:val="20"/>
              </w:rPr>
              <w:t>本月净发生额。</w:t>
            </w:r>
          </w:p>
        </w:tc>
      </w:tr>
      <w:tr w:rsidR="00A052DC" w14:paraId="56305393" w14:textId="77777777">
        <w:trPr>
          <w:cantSplit/>
          <w:jc w:val="center"/>
        </w:trPr>
        <w:tc>
          <w:tcPr>
            <w:tcW w:w="2110" w:type="dxa"/>
          </w:tcPr>
          <w:p w14:paraId="59F398E4" w14:textId="77777777" w:rsidR="00A052DC" w:rsidRDefault="009F0A60">
            <w:pPr>
              <w:pStyle w:val="B"/>
              <w:rPr>
                <w:szCs w:val="20"/>
              </w:rPr>
            </w:pPr>
            <w:r>
              <w:rPr>
                <w:rFonts w:hint="eastAsia"/>
                <w:szCs w:val="20"/>
              </w:rPr>
              <w:t>本月净发生额</w:t>
            </w:r>
          </w:p>
        </w:tc>
        <w:tc>
          <w:tcPr>
            <w:tcW w:w="6730" w:type="dxa"/>
          </w:tcPr>
          <w:p w14:paraId="713D4295" w14:textId="77777777" w:rsidR="00A052DC" w:rsidRDefault="009F0A60">
            <w:pPr>
              <w:pStyle w:val="B"/>
              <w:rPr>
                <w:szCs w:val="20"/>
              </w:rPr>
            </w:pPr>
            <w:r>
              <w:rPr>
                <w:rFonts w:hint="eastAsia"/>
                <w:szCs w:val="20"/>
              </w:rPr>
              <w:t>指境外投资主体本月购入或售出本机构不可流通股权的净值（本机构出售</w:t>
            </w:r>
            <w:r>
              <w:rPr>
                <w:szCs w:val="20"/>
              </w:rPr>
              <w:t>-</w:t>
            </w:r>
            <w:r>
              <w:rPr>
                <w:rFonts w:hint="eastAsia"/>
                <w:szCs w:val="20"/>
              </w:rPr>
              <w:t>本机构赎回）。</w:t>
            </w:r>
          </w:p>
        </w:tc>
      </w:tr>
      <w:tr w:rsidR="00A052DC" w14:paraId="23848359" w14:textId="77777777">
        <w:trPr>
          <w:cantSplit/>
          <w:jc w:val="center"/>
        </w:trPr>
        <w:tc>
          <w:tcPr>
            <w:tcW w:w="2110" w:type="dxa"/>
          </w:tcPr>
          <w:p w14:paraId="17031B93" w14:textId="77777777" w:rsidR="00A052DC" w:rsidRDefault="009F0A60">
            <w:pPr>
              <w:pStyle w:val="B"/>
              <w:rPr>
                <w:szCs w:val="20"/>
              </w:rPr>
            </w:pPr>
            <w:r>
              <w:rPr>
                <w:rFonts w:hint="eastAsia"/>
                <w:szCs w:val="20"/>
              </w:rPr>
              <w:t>本月末外方表决权比例（</w:t>
            </w:r>
            <w:r>
              <w:rPr>
                <w:szCs w:val="20"/>
              </w:rPr>
              <w:t>%</w:t>
            </w:r>
            <w:r>
              <w:rPr>
                <w:rFonts w:hint="eastAsia"/>
                <w:szCs w:val="20"/>
              </w:rPr>
              <w:t>）</w:t>
            </w:r>
          </w:p>
        </w:tc>
        <w:tc>
          <w:tcPr>
            <w:tcW w:w="6730" w:type="dxa"/>
          </w:tcPr>
          <w:p w14:paraId="6D45A2D4" w14:textId="77777777" w:rsidR="00A052DC" w:rsidRDefault="009F0A60">
            <w:pPr>
              <w:pStyle w:val="B"/>
              <w:rPr>
                <w:szCs w:val="20"/>
              </w:rPr>
            </w:pPr>
            <w:r>
              <w:rPr>
                <w:rFonts w:hint="eastAsia"/>
                <w:szCs w:val="20"/>
              </w:rPr>
              <w:t>指本月末境外投资主体拥有的表决权占本机构表决权的比例。</w:t>
            </w:r>
          </w:p>
        </w:tc>
      </w:tr>
      <w:tr w:rsidR="00A052DC" w14:paraId="22B1F628" w14:textId="77777777">
        <w:trPr>
          <w:cantSplit/>
          <w:jc w:val="center"/>
        </w:trPr>
        <w:tc>
          <w:tcPr>
            <w:tcW w:w="2110" w:type="dxa"/>
          </w:tcPr>
          <w:p w14:paraId="2DAFA934" w14:textId="77777777" w:rsidR="00A052DC" w:rsidRDefault="009F0A60">
            <w:pPr>
              <w:pStyle w:val="B"/>
              <w:rPr>
                <w:szCs w:val="20"/>
              </w:rPr>
            </w:pPr>
            <w:r>
              <w:rPr>
                <w:rFonts w:hint="eastAsia"/>
                <w:szCs w:val="20"/>
              </w:rPr>
              <w:t>本月对外方的股息</w:t>
            </w:r>
            <w:r>
              <w:rPr>
                <w:szCs w:val="20"/>
              </w:rPr>
              <w:t>/</w:t>
            </w:r>
            <w:r>
              <w:rPr>
                <w:rFonts w:hint="eastAsia"/>
                <w:szCs w:val="20"/>
              </w:rPr>
              <w:t>红利</w:t>
            </w:r>
            <w:r>
              <w:rPr>
                <w:szCs w:val="20"/>
              </w:rPr>
              <w:t>/</w:t>
            </w:r>
            <w:r>
              <w:rPr>
                <w:rFonts w:hint="eastAsia"/>
                <w:szCs w:val="20"/>
              </w:rPr>
              <w:t>利润支出</w:t>
            </w:r>
          </w:p>
        </w:tc>
        <w:tc>
          <w:tcPr>
            <w:tcW w:w="6730" w:type="dxa"/>
          </w:tcPr>
          <w:p w14:paraId="46FAE863" w14:textId="77777777" w:rsidR="00A052DC" w:rsidRDefault="009F0A60">
            <w:pPr>
              <w:pStyle w:val="B"/>
              <w:rPr>
                <w:szCs w:val="20"/>
              </w:rPr>
            </w:pPr>
            <w:r>
              <w:rPr>
                <w:rFonts w:hint="eastAsia"/>
                <w:szCs w:val="20"/>
              </w:rPr>
              <w:t>按照权责发生制，本机构应分配给境外投资主体的股权股息、红利、利润支出。</w:t>
            </w:r>
          </w:p>
        </w:tc>
      </w:tr>
      <w:tr w:rsidR="00A052DC" w14:paraId="2B7B1E2A" w14:textId="77777777">
        <w:trPr>
          <w:cantSplit/>
          <w:jc w:val="center"/>
        </w:trPr>
        <w:tc>
          <w:tcPr>
            <w:tcW w:w="2110" w:type="dxa"/>
          </w:tcPr>
          <w:p w14:paraId="203D2E5B" w14:textId="77777777" w:rsidR="00A052DC" w:rsidRDefault="009F0A60">
            <w:pPr>
              <w:pStyle w:val="B"/>
              <w:rPr>
                <w:szCs w:val="20"/>
              </w:rPr>
            </w:pPr>
            <w:r>
              <w:rPr>
                <w:rFonts w:hint="eastAsia"/>
                <w:szCs w:val="20"/>
              </w:rPr>
              <w:t>备注</w:t>
            </w:r>
          </w:p>
        </w:tc>
        <w:tc>
          <w:tcPr>
            <w:tcW w:w="6730" w:type="dxa"/>
          </w:tcPr>
          <w:p w14:paraId="66281A05" w14:textId="77777777" w:rsidR="00A052DC" w:rsidRDefault="009F0A60">
            <w:pPr>
              <w:pStyle w:val="B"/>
              <w:rPr>
                <w:szCs w:val="20"/>
              </w:rPr>
            </w:pPr>
            <w:r>
              <w:rPr>
                <w:rFonts w:hint="eastAsia"/>
                <w:szCs w:val="20"/>
              </w:rPr>
              <w:t>其他需要说明的情况。</w:t>
            </w:r>
          </w:p>
        </w:tc>
      </w:tr>
    </w:tbl>
    <w:p w14:paraId="2D40FDC3" w14:textId="77777777" w:rsidR="00A052DC" w:rsidRDefault="00A052DC"/>
    <w:p w14:paraId="3153E6C6" w14:textId="77777777" w:rsidR="00A052DC" w:rsidRDefault="009F0A60" w:rsidP="0020251D">
      <w:pPr>
        <w:pStyle w:val="4"/>
        <w:numPr>
          <w:ilvl w:val="3"/>
          <w:numId w:val="1"/>
        </w:numPr>
        <w:jc w:val="left"/>
      </w:pPr>
      <w:bookmarkStart w:id="3301" w:name="_Toc454391335"/>
      <w:bookmarkStart w:id="3302" w:name="_Toc380570981"/>
      <w:r>
        <w:rPr>
          <w:rFonts w:hint="eastAsia"/>
        </w:rPr>
        <w:t>数据格式</w:t>
      </w:r>
      <w:bookmarkEnd w:id="3301"/>
      <w:bookmarkEnd w:id="3302"/>
    </w:p>
    <w:p w14:paraId="7AC917F6" w14:textId="77777777" w:rsidR="00A052DC" w:rsidRDefault="009F0A60" w:rsidP="009F0A60">
      <w:pPr>
        <w:ind w:firstLineChars="278" w:firstLine="584"/>
      </w:pPr>
      <w:r>
        <w:t>&lt;REC&gt;</w:t>
      </w:r>
    </w:p>
    <w:p w14:paraId="0FA93700" w14:textId="77777777" w:rsidR="00A052DC" w:rsidRDefault="009F0A60" w:rsidP="009F0A60">
      <w:pPr>
        <w:ind w:firstLineChars="278" w:firstLine="584"/>
      </w:pPr>
      <w:r>
        <w:t>&lt;ACTIONTYPE&gt;</w:t>
      </w:r>
      <w:r>
        <w:rPr>
          <w:rFonts w:hAnsi="宋体"/>
        </w:rPr>
        <w:t>操作类型</w:t>
      </w:r>
      <w:r>
        <w:t>&lt;/ACTIONTYPE&gt;</w:t>
      </w:r>
    </w:p>
    <w:p w14:paraId="69AFAD93" w14:textId="77777777" w:rsidR="00A052DC" w:rsidRDefault="009F0A60" w:rsidP="009F0A60">
      <w:pPr>
        <w:ind w:firstLineChars="278" w:firstLine="584"/>
      </w:pPr>
      <w:r>
        <w:t>&lt;ACTIONDESC&gt;</w:t>
      </w:r>
      <w:r>
        <w:rPr>
          <w:rFonts w:hAnsi="宋体"/>
        </w:rPr>
        <w:t>删除原因</w:t>
      </w:r>
      <w:r>
        <w:t>&lt;/ACTIONDESC&gt;</w:t>
      </w:r>
    </w:p>
    <w:p w14:paraId="13A2D18C" w14:textId="77777777" w:rsidR="00A052DC" w:rsidRDefault="009F0A60" w:rsidP="009F0A60">
      <w:pPr>
        <w:ind w:firstLineChars="278" w:firstLine="584"/>
      </w:pPr>
      <w:r>
        <w:t>&lt;SNOCODE&gt;</w:t>
      </w:r>
      <w:r>
        <w:rPr>
          <w:rFonts w:hAnsi="宋体"/>
        </w:rPr>
        <w:t>数据自编码</w:t>
      </w:r>
      <w:r>
        <w:t>&lt;/SNOCODE&gt;</w:t>
      </w:r>
    </w:p>
    <w:p w14:paraId="684DA5F9" w14:textId="77777777" w:rsidR="00A052DC" w:rsidRDefault="009F0A60" w:rsidP="009F0A60">
      <w:pPr>
        <w:ind w:firstLineChars="278" w:firstLine="584"/>
      </w:pPr>
      <w:r>
        <w:t>&lt;OBJCODE&gt;</w:t>
      </w:r>
      <w:r>
        <w:rPr>
          <w:rFonts w:hAnsi="宋体"/>
        </w:rPr>
        <w:t>申报主体代码</w:t>
      </w:r>
      <w:r>
        <w:t>&lt;/OBJCODE&gt;</w:t>
      </w:r>
    </w:p>
    <w:p w14:paraId="05E5318E" w14:textId="77777777" w:rsidR="00A052DC" w:rsidRDefault="009F0A60" w:rsidP="009F0A60">
      <w:pPr>
        <w:ind w:firstLineChars="278" w:firstLine="584"/>
      </w:pPr>
      <w:r>
        <w:t>&lt;BUOCMONTH&gt;</w:t>
      </w:r>
      <w:r>
        <w:rPr>
          <w:rFonts w:hAnsi="宋体"/>
        </w:rPr>
        <w:t>报告期</w:t>
      </w:r>
      <w:r>
        <w:t>&lt;/BUOCMONTH&gt;</w:t>
      </w:r>
    </w:p>
    <w:p w14:paraId="44AABDDF" w14:textId="77777777" w:rsidR="00A052DC" w:rsidRDefault="009F0A60">
      <w:pPr>
        <w:ind w:firstLine="567"/>
      </w:pPr>
      <w:r>
        <w:t>&lt;D0701&gt;</w:t>
      </w:r>
      <w:r>
        <w:rPr>
          <w:rFonts w:hAnsi="宋体"/>
        </w:rPr>
        <w:t>对方名称</w:t>
      </w:r>
      <w:r>
        <w:t>&lt;/D0701&gt;</w:t>
      </w:r>
    </w:p>
    <w:p w14:paraId="6542F112" w14:textId="77777777" w:rsidR="00A052DC" w:rsidRDefault="009F0A60">
      <w:pPr>
        <w:ind w:firstLine="567"/>
      </w:pPr>
      <w:r>
        <w:t>&lt;D0702&gt;</w:t>
      </w:r>
      <w:r>
        <w:rPr>
          <w:rFonts w:hAnsi="宋体"/>
        </w:rPr>
        <w:t>对方代码</w:t>
      </w:r>
      <w:r>
        <w:t>&lt;/D0702&gt;</w:t>
      </w:r>
    </w:p>
    <w:p w14:paraId="5427304E" w14:textId="77777777" w:rsidR="00A052DC" w:rsidRDefault="009F0A60">
      <w:pPr>
        <w:ind w:firstLine="567"/>
      </w:pPr>
      <w:r>
        <w:t>&lt;D0703&gt;</w:t>
      </w:r>
      <w:r>
        <w:rPr>
          <w:rFonts w:hAnsi="宋体"/>
        </w:rPr>
        <w:t>对方国家</w:t>
      </w:r>
      <w:r>
        <w:t>/</w:t>
      </w:r>
      <w:r>
        <w:rPr>
          <w:rFonts w:hAnsi="宋体"/>
        </w:rPr>
        <w:t>地区</w:t>
      </w:r>
      <w:r>
        <w:t>&lt;/D0703&gt;</w:t>
      </w:r>
    </w:p>
    <w:p w14:paraId="7E750855" w14:textId="77777777" w:rsidR="00A052DC" w:rsidRDefault="009F0A60">
      <w:pPr>
        <w:ind w:firstLine="567"/>
      </w:pPr>
      <w:r>
        <w:t>&lt;D0704&gt;</w:t>
      </w:r>
      <w:r>
        <w:rPr>
          <w:rFonts w:hAnsi="宋体"/>
        </w:rPr>
        <w:t>对方部门</w:t>
      </w:r>
      <w:r>
        <w:t>&lt;/D0704&gt;</w:t>
      </w:r>
    </w:p>
    <w:p w14:paraId="6ACDA993" w14:textId="77777777" w:rsidR="00A052DC" w:rsidRDefault="009F0A60">
      <w:pPr>
        <w:ind w:firstLine="567"/>
      </w:pPr>
      <w:r>
        <w:t>&lt;D0705&gt;</w:t>
      </w:r>
      <w:r>
        <w:rPr>
          <w:rFonts w:hAnsi="宋体"/>
        </w:rPr>
        <w:t>对方与本机构的关系</w:t>
      </w:r>
      <w:r>
        <w:t>&lt;/D0705&gt;</w:t>
      </w:r>
    </w:p>
    <w:p w14:paraId="6EEF609D" w14:textId="77777777" w:rsidR="00A052DC" w:rsidRDefault="009F0A60">
      <w:pPr>
        <w:ind w:firstLine="567"/>
      </w:pPr>
      <w:r>
        <w:t>&lt;D0706&gt;</w:t>
      </w:r>
      <w:r>
        <w:rPr>
          <w:rFonts w:hAnsi="宋体"/>
        </w:rPr>
        <w:t>原始币种</w:t>
      </w:r>
      <w:r>
        <w:t>&lt;/D0706&gt;</w:t>
      </w:r>
    </w:p>
    <w:p w14:paraId="705A5CBF" w14:textId="77777777" w:rsidR="00A052DC" w:rsidRDefault="009F0A60">
      <w:pPr>
        <w:ind w:firstLine="567"/>
      </w:pPr>
      <w:r>
        <w:t>&lt;D0707&gt;</w:t>
      </w:r>
      <w:r>
        <w:rPr>
          <w:rFonts w:hAnsi="宋体"/>
        </w:rPr>
        <w:t>上月末余额</w:t>
      </w:r>
      <w:r>
        <w:t>&lt;/D0707&gt;</w:t>
      </w:r>
    </w:p>
    <w:p w14:paraId="55A4F303" w14:textId="77777777" w:rsidR="00A052DC" w:rsidRDefault="009F0A60">
      <w:pPr>
        <w:ind w:firstLine="567"/>
      </w:pPr>
      <w:r>
        <w:t>&lt;D0708&gt;</w:t>
      </w:r>
      <w:r>
        <w:rPr>
          <w:rFonts w:hAnsi="宋体"/>
        </w:rPr>
        <w:t>本月末余额</w:t>
      </w:r>
      <w:r>
        <w:t>&lt;/D0708&gt;</w:t>
      </w:r>
    </w:p>
    <w:p w14:paraId="340B9C06" w14:textId="77777777" w:rsidR="00A052DC" w:rsidRDefault="009F0A60">
      <w:pPr>
        <w:ind w:firstLine="567"/>
      </w:pPr>
      <w:r>
        <w:t>&lt;D0709&gt;</w:t>
      </w:r>
      <w:r>
        <w:rPr>
          <w:rFonts w:hAnsi="宋体"/>
        </w:rPr>
        <w:t>本月非交易变动</w:t>
      </w:r>
      <w:r>
        <w:t>&lt;/D0709&gt;</w:t>
      </w:r>
    </w:p>
    <w:p w14:paraId="3C6D552B" w14:textId="77777777" w:rsidR="00A052DC" w:rsidRDefault="009F0A60">
      <w:pPr>
        <w:ind w:firstLine="567"/>
      </w:pPr>
      <w:r>
        <w:t>&lt;D0710&gt;</w:t>
      </w:r>
      <w:r>
        <w:rPr>
          <w:rFonts w:hAnsi="宋体"/>
        </w:rPr>
        <w:t>本月净发生额</w:t>
      </w:r>
      <w:r>
        <w:t>&lt;/D0710&gt;</w:t>
      </w:r>
    </w:p>
    <w:p w14:paraId="496914EF" w14:textId="77777777" w:rsidR="00A052DC" w:rsidRDefault="009F0A60">
      <w:pPr>
        <w:ind w:firstLine="567"/>
      </w:pPr>
      <w:r>
        <w:t>&lt;D0711&gt;</w:t>
      </w:r>
      <w:r>
        <w:rPr>
          <w:rFonts w:hAnsi="宋体"/>
        </w:rPr>
        <w:t>本月末外方表决权比例（</w:t>
      </w:r>
      <w:r>
        <w:t>%</w:t>
      </w:r>
      <w:r>
        <w:rPr>
          <w:rFonts w:hAnsi="宋体"/>
        </w:rPr>
        <w:t>）</w:t>
      </w:r>
      <w:r>
        <w:t>&lt;/D0711&gt;</w:t>
      </w:r>
    </w:p>
    <w:p w14:paraId="5F54E525" w14:textId="77777777" w:rsidR="00A052DC" w:rsidRDefault="009F0A60">
      <w:pPr>
        <w:ind w:firstLine="567"/>
      </w:pPr>
      <w:r>
        <w:t>&lt;D0712&gt;</w:t>
      </w:r>
      <w:r>
        <w:rPr>
          <w:rFonts w:hAnsi="宋体"/>
        </w:rPr>
        <w:t>本月对外方的股息</w:t>
      </w:r>
      <w:r>
        <w:t>/</w:t>
      </w:r>
      <w:r>
        <w:rPr>
          <w:rFonts w:hAnsi="宋体"/>
        </w:rPr>
        <w:t>红利</w:t>
      </w:r>
      <w:r>
        <w:t>/</w:t>
      </w:r>
      <w:r>
        <w:rPr>
          <w:rFonts w:hAnsi="宋体"/>
        </w:rPr>
        <w:t>利润支出</w:t>
      </w:r>
      <w:r>
        <w:t>&lt;/D0712&gt;</w:t>
      </w:r>
    </w:p>
    <w:p w14:paraId="56E7B1DA" w14:textId="77777777" w:rsidR="00A052DC" w:rsidRDefault="009F0A60">
      <w:pPr>
        <w:ind w:firstLine="567"/>
      </w:pPr>
      <w:r>
        <w:t>&lt;REMARK&gt;</w:t>
      </w:r>
      <w:r>
        <w:rPr>
          <w:rFonts w:hAnsi="宋体"/>
        </w:rPr>
        <w:t>备注</w:t>
      </w:r>
      <w:r>
        <w:t>&lt;/REMARK&gt;</w:t>
      </w:r>
    </w:p>
    <w:p w14:paraId="119EEA3D" w14:textId="77777777" w:rsidR="00A052DC" w:rsidRDefault="009F0A60" w:rsidP="009F0A60">
      <w:pPr>
        <w:ind w:firstLineChars="278" w:firstLine="584"/>
      </w:pPr>
      <w:r>
        <w:t>&lt;/REC&gt;</w:t>
      </w:r>
    </w:p>
    <w:p w14:paraId="188CEB2C" w14:textId="77777777" w:rsidR="00A052DC" w:rsidRDefault="009F0A60" w:rsidP="0020251D">
      <w:pPr>
        <w:pStyle w:val="4"/>
        <w:numPr>
          <w:ilvl w:val="3"/>
          <w:numId w:val="1"/>
        </w:numPr>
        <w:jc w:val="left"/>
      </w:pPr>
      <w:bookmarkStart w:id="3303" w:name="_Toc454391336"/>
      <w:bookmarkStart w:id="3304" w:name="_Toc380570982"/>
      <w:bookmarkStart w:id="3305" w:name="_Toc454391337"/>
      <w:bookmarkEnd w:id="3303"/>
      <w:r>
        <w:rPr>
          <w:rFonts w:hint="eastAsia"/>
        </w:rPr>
        <w:t>数据字典</w:t>
      </w:r>
      <w:bookmarkEnd w:id="3304"/>
      <w:bookmarkEnd w:id="330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843"/>
        <w:gridCol w:w="1418"/>
        <w:gridCol w:w="4019"/>
      </w:tblGrid>
      <w:tr w:rsidR="00A052DC" w14:paraId="732196C6" w14:textId="77777777">
        <w:trPr>
          <w:tblHeader/>
          <w:jc w:val="center"/>
        </w:trPr>
        <w:tc>
          <w:tcPr>
            <w:tcW w:w="1242" w:type="dxa"/>
            <w:shd w:val="clear" w:color="auto" w:fill="C0C0C0"/>
          </w:tcPr>
          <w:p w14:paraId="7126B59F" w14:textId="77777777" w:rsidR="00A052DC" w:rsidRDefault="009F0A60">
            <w:pPr>
              <w:pStyle w:val="B1"/>
            </w:pPr>
            <w:r>
              <w:rPr>
                <w:rFonts w:hint="eastAsia"/>
              </w:rPr>
              <w:t>字段</w:t>
            </w:r>
          </w:p>
        </w:tc>
        <w:tc>
          <w:tcPr>
            <w:tcW w:w="1843" w:type="dxa"/>
            <w:shd w:val="clear" w:color="auto" w:fill="C0C0C0"/>
          </w:tcPr>
          <w:p w14:paraId="75128F44" w14:textId="77777777" w:rsidR="00A052DC" w:rsidRDefault="009F0A60">
            <w:pPr>
              <w:pStyle w:val="B1"/>
            </w:pPr>
            <w:r>
              <w:rPr>
                <w:rFonts w:hint="eastAsia"/>
              </w:rPr>
              <w:t>内容</w:t>
            </w:r>
          </w:p>
        </w:tc>
        <w:tc>
          <w:tcPr>
            <w:tcW w:w="1418" w:type="dxa"/>
            <w:shd w:val="clear" w:color="auto" w:fill="C0C0C0"/>
          </w:tcPr>
          <w:p w14:paraId="640F234E" w14:textId="77777777" w:rsidR="00A052DC" w:rsidRDefault="009F0A60">
            <w:pPr>
              <w:pStyle w:val="B1"/>
            </w:pPr>
            <w:r>
              <w:rPr>
                <w:rFonts w:hint="eastAsia"/>
              </w:rPr>
              <w:t>类型（长度）</w:t>
            </w:r>
          </w:p>
        </w:tc>
        <w:tc>
          <w:tcPr>
            <w:tcW w:w="4019" w:type="dxa"/>
            <w:shd w:val="clear" w:color="auto" w:fill="C0C0C0"/>
          </w:tcPr>
          <w:p w14:paraId="33CA4E10" w14:textId="77777777" w:rsidR="00A052DC" w:rsidRDefault="009F0A60">
            <w:pPr>
              <w:pStyle w:val="B1"/>
            </w:pPr>
            <w:r>
              <w:rPr>
                <w:rFonts w:hint="eastAsia"/>
              </w:rPr>
              <w:t>校验</w:t>
            </w:r>
          </w:p>
        </w:tc>
      </w:tr>
      <w:tr w:rsidR="00A052DC" w14:paraId="5506E171" w14:textId="77777777">
        <w:trPr>
          <w:jc w:val="center"/>
        </w:trPr>
        <w:tc>
          <w:tcPr>
            <w:tcW w:w="1242" w:type="dxa"/>
          </w:tcPr>
          <w:p w14:paraId="6AA21766" w14:textId="77777777" w:rsidR="00A052DC" w:rsidRDefault="009F0A60">
            <w:pPr>
              <w:pStyle w:val="B"/>
              <w:rPr>
                <w:szCs w:val="20"/>
              </w:rPr>
            </w:pPr>
            <w:r>
              <w:rPr>
                <w:szCs w:val="20"/>
              </w:rPr>
              <w:t>ACTIONTYPE</w:t>
            </w:r>
          </w:p>
        </w:tc>
        <w:tc>
          <w:tcPr>
            <w:tcW w:w="1843" w:type="dxa"/>
          </w:tcPr>
          <w:p w14:paraId="67688C6D" w14:textId="77777777" w:rsidR="00A052DC" w:rsidRDefault="009F0A60">
            <w:pPr>
              <w:pStyle w:val="B"/>
              <w:rPr>
                <w:szCs w:val="20"/>
              </w:rPr>
            </w:pPr>
            <w:r>
              <w:rPr>
                <w:rFonts w:hint="eastAsia"/>
                <w:szCs w:val="20"/>
              </w:rPr>
              <w:t>操作类型</w:t>
            </w:r>
          </w:p>
        </w:tc>
        <w:tc>
          <w:tcPr>
            <w:tcW w:w="1418" w:type="dxa"/>
          </w:tcPr>
          <w:p w14:paraId="30E032C6" w14:textId="77777777" w:rsidR="00A052DC" w:rsidRDefault="009F0A60">
            <w:pPr>
              <w:pStyle w:val="B"/>
              <w:rPr>
                <w:szCs w:val="20"/>
              </w:rPr>
            </w:pPr>
            <w:r>
              <w:rPr>
                <w:rFonts w:hint="eastAsia"/>
                <w:szCs w:val="20"/>
              </w:rPr>
              <w:t>字符型，</w:t>
            </w:r>
            <w:r>
              <w:rPr>
                <w:szCs w:val="20"/>
              </w:rPr>
              <w:t>1</w:t>
            </w:r>
          </w:p>
        </w:tc>
        <w:tc>
          <w:tcPr>
            <w:tcW w:w="4019" w:type="dxa"/>
          </w:tcPr>
          <w:p w14:paraId="2408B577" w14:textId="77777777" w:rsidR="00A052DC" w:rsidRDefault="009F0A60">
            <w:pPr>
              <w:pStyle w:val="B"/>
              <w:rPr>
                <w:szCs w:val="20"/>
              </w:rPr>
            </w:pPr>
            <w:r>
              <w:rPr>
                <w:rFonts w:hint="eastAsia"/>
                <w:szCs w:val="20"/>
              </w:rPr>
              <w:t>必填项</w:t>
            </w:r>
            <w:r w:rsidR="004D1828">
              <w:rPr>
                <w:rFonts w:hint="eastAsia"/>
                <w:szCs w:val="20"/>
              </w:rPr>
              <w:t>。</w:t>
            </w:r>
          </w:p>
          <w:p w14:paraId="7D266068" w14:textId="77777777" w:rsidR="00A052DC" w:rsidRDefault="009F0A60">
            <w:pPr>
              <w:pStyle w:val="B"/>
              <w:rPr>
                <w:szCs w:val="20"/>
              </w:rPr>
            </w:pPr>
            <w:r>
              <w:rPr>
                <w:szCs w:val="20"/>
              </w:rPr>
              <w:t>A</w:t>
            </w:r>
            <w:r w:rsidR="00AE4602">
              <w:rPr>
                <w:rFonts w:hint="eastAsia"/>
                <w:szCs w:val="20"/>
              </w:rPr>
              <w:t>-</w:t>
            </w:r>
            <w:r>
              <w:rPr>
                <w:rFonts w:hint="eastAsia"/>
                <w:szCs w:val="20"/>
              </w:rPr>
              <w:t>新建</w:t>
            </w:r>
          </w:p>
          <w:p w14:paraId="444D6F3D" w14:textId="77777777" w:rsidR="00A052DC" w:rsidRDefault="009F0A60">
            <w:pPr>
              <w:pStyle w:val="B"/>
              <w:rPr>
                <w:szCs w:val="20"/>
              </w:rPr>
            </w:pPr>
            <w:r>
              <w:rPr>
                <w:szCs w:val="20"/>
              </w:rPr>
              <w:t>C</w:t>
            </w:r>
            <w:r w:rsidR="00AE4602">
              <w:rPr>
                <w:rFonts w:hint="eastAsia"/>
                <w:szCs w:val="20"/>
              </w:rPr>
              <w:t>-</w:t>
            </w:r>
            <w:r>
              <w:rPr>
                <w:rFonts w:hint="eastAsia"/>
                <w:szCs w:val="20"/>
              </w:rPr>
              <w:t>修改</w:t>
            </w:r>
          </w:p>
          <w:p w14:paraId="69B161EE" w14:textId="77777777" w:rsidR="00A052DC" w:rsidRDefault="009F0A60">
            <w:pPr>
              <w:pStyle w:val="B"/>
              <w:rPr>
                <w:szCs w:val="20"/>
              </w:rPr>
            </w:pPr>
            <w:r>
              <w:rPr>
                <w:szCs w:val="20"/>
              </w:rPr>
              <w:t>D</w:t>
            </w:r>
            <w:r w:rsidR="00AE4602">
              <w:rPr>
                <w:rFonts w:hint="eastAsia"/>
                <w:szCs w:val="20"/>
              </w:rPr>
              <w:t>-</w:t>
            </w:r>
            <w:r>
              <w:rPr>
                <w:rFonts w:hint="eastAsia"/>
                <w:szCs w:val="20"/>
              </w:rPr>
              <w:t>删除</w:t>
            </w:r>
          </w:p>
        </w:tc>
      </w:tr>
      <w:tr w:rsidR="00A052DC" w14:paraId="4D459427" w14:textId="77777777">
        <w:trPr>
          <w:jc w:val="center"/>
        </w:trPr>
        <w:tc>
          <w:tcPr>
            <w:tcW w:w="1242" w:type="dxa"/>
          </w:tcPr>
          <w:p w14:paraId="0403A12B" w14:textId="77777777" w:rsidR="00A052DC" w:rsidRDefault="009F0A60">
            <w:pPr>
              <w:pStyle w:val="B"/>
              <w:rPr>
                <w:szCs w:val="20"/>
              </w:rPr>
            </w:pPr>
            <w:r>
              <w:rPr>
                <w:szCs w:val="20"/>
              </w:rPr>
              <w:t>ACTIONDESC</w:t>
            </w:r>
          </w:p>
        </w:tc>
        <w:tc>
          <w:tcPr>
            <w:tcW w:w="1843" w:type="dxa"/>
          </w:tcPr>
          <w:p w14:paraId="1A4A9E6E" w14:textId="77777777" w:rsidR="00A052DC" w:rsidRDefault="009F0A60">
            <w:pPr>
              <w:pStyle w:val="B"/>
              <w:rPr>
                <w:szCs w:val="20"/>
              </w:rPr>
            </w:pPr>
            <w:r>
              <w:rPr>
                <w:rFonts w:hint="eastAsia"/>
                <w:szCs w:val="20"/>
              </w:rPr>
              <w:t>删除原因</w:t>
            </w:r>
          </w:p>
        </w:tc>
        <w:tc>
          <w:tcPr>
            <w:tcW w:w="1418" w:type="dxa"/>
          </w:tcPr>
          <w:p w14:paraId="3BAC9117" w14:textId="77777777" w:rsidR="00A052DC" w:rsidRDefault="009F0A60">
            <w:pPr>
              <w:pStyle w:val="B"/>
              <w:rPr>
                <w:szCs w:val="20"/>
              </w:rPr>
            </w:pPr>
            <w:r>
              <w:rPr>
                <w:rFonts w:hint="eastAsia"/>
                <w:szCs w:val="20"/>
              </w:rPr>
              <w:t>字符型，</w:t>
            </w:r>
            <w:r>
              <w:rPr>
                <w:szCs w:val="20"/>
              </w:rPr>
              <w:t>128</w:t>
            </w:r>
          </w:p>
        </w:tc>
        <w:tc>
          <w:tcPr>
            <w:tcW w:w="4019" w:type="dxa"/>
          </w:tcPr>
          <w:p w14:paraId="664702DC" w14:textId="77777777" w:rsidR="00A052DC" w:rsidRDefault="00DD6AA3">
            <w:pPr>
              <w:pStyle w:val="B"/>
              <w:rPr>
                <w:szCs w:val="20"/>
              </w:rPr>
            </w:pPr>
            <w:r>
              <w:rPr>
                <w:rFonts w:hint="eastAsia"/>
                <w:szCs w:val="20"/>
              </w:rPr>
              <w:t>非必填项，当操作类型（ACTIONTYPE）为删除时必填。</w:t>
            </w:r>
          </w:p>
        </w:tc>
      </w:tr>
      <w:tr w:rsidR="00A052DC" w14:paraId="29620E51" w14:textId="77777777">
        <w:trPr>
          <w:jc w:val="center"/>
        </w:trPr>
        <w:tc>
          <w:tcPr>
            <w:tcW w:w="1242" w:type="dxa"/>
          </w:tcPr>
          <w:p w14:paraId="01517B08" w14:textId="77777777" w:rsidR="00A052DC" w:rsidRDefault="009F0A60">
            <w:pPr>
              <w:pStyle w:val="B"/>
              <w:rPr>
                <w:szCs w:val="20"/>
              </w:rPr>
            </w:pPr>
            <w:r>
              <w:rPr>
                <w:szCs w:val="20"/>
              </w:rPr>
              <w:t>SNOCODE</w:t>
            </w:r>
          </w:p>
        </w:tc>
        <w:tc>
          <w:tcPr>
            <w:tcW w:w="1843" w:type="dxa"/>
          </w:tcPr>
          <w:p w14:paraId="2DE993BC" w14:textId="77777777" w:rsidR="00A052DC" w:rsidRDefault="009F0A60">
            <w:pPr>
              <w:pStyle w:val="B"/>
              <w:rPr>
                <w:szCs w:val="20"/>
              </w:rPr>
            </w:pPr>
            <w:r>
              <w:rPr>
                <w:rFonts w:hint="eastAsia"/>
                <w:szCs w:val="20"/>
              </w:rPr>
              <w:t>数据自编码</w:t>
            </w:r>
          </w:p>
        </w:tc>
        <w:tc>
          <w:tcPr>
            <w:tcW w:w="1418" w:type="dxa"/>
          </w:tcPr>
          <w:p w14:paraId="74D5651E" w14:textId="77777777" w:rsidR="00A052DC" w:rsidRDefault="009F0A60">
            <w:pPr>
              <w:pStyle w:val="B"/>
              <w:rPr>
                <w:szCs w:val="20"/>
              </w:rPr>
            </w:pPr>
            <w:r>
              <w:rPr>
                <w:rFonts w:hint="eastAsia"/>
                <w:szCs w:val="20"/>
              </w:rPr>
              <w:t>字符型，36</w:t>
            </w:r>
          </w:p>
        </w:tc>
        <w:tc>
          <w:tcPr>
            <w:tcW w:w="4019" w:type="dxa"/>
          </w:tcPr>
          <w:p w14:paraId="399522BA" w14:textId="77777777" w:rsidR="00A052DC" w:rsidRDefault="009F0A60">
            <w:pPr>
              <w:pStyle w:val="B"/>
              <w:rPr>
                <w:szCs w:val="20"/>
              </w:rPr>
            </w:pPr>
            <w:r>
              <w:rPr>
                <w:rFonts w:hint="eastAsia"/>
                <w:szCs w:val="20"/>
              </w:rPr>
              <w:t>必填项。</w:t>
            </w:r>
            <w:r>
              <w:rPr>
                <w:szCs w:val="20"/>
              </w:rPr>
              <w:t>对于接口报送的填报主体，数据自编码中的报送期（6位）应与报告期（YYYYMM）一致。</w:t>
            </w:r>
          </w:p>
        </w:tc>
      </w:tr>
      <w:tr w:rsidR="00A052DC" w14:paraId="529D4393" w14:textId="77777777">
        <w:trPr>
          <w:jc w:val="center"/>
        </w:trPr>
        <w:tc>
          <w:tcPr>
            <w:tcW w:w="1242" w:type="dxa"/>
          </w:tcPr>
          <w:p w14:paraId="31CBFD9D" w14:textId="77777777" w:rsidR="00A052DC" w:rsidRDefault="009F0A60">
            <w:pPr>
              <w:pStyle w:val="B"/>
              <w:rPr>
                <w:szCs w:val="20"/>
              </w:rPr>
            </w:pPr>
            <w:r>
              <w:rPr>
                <w:szCs w:val="20"/>
              </w:rPr>
              <w:t>OBJCODE</w:t>
            </w:r>
          </w:p>
        </w:tc>
        <w:tc>
          <w:tcPr>
            <w:tcW w:w="1843" w:type="dxa"/>
          </w:tcPr>
          <w:p w14:paraId="79CD2EBF" w14:textId="77777777" w:rsidR="00A052DC" w:rsidRDefault="009F0A60">
            <w:pPr>
              <w:pStyle w:val="B"/>
              <w:rPr>
                <w:szCs w:val="20"/>
              </w:rPr>
            </w:pPr>
            <w:r>
              <w:rPr>
                <w:rFonts w:hint="eastAsia"/>
                <w:szCs w:val="20"/>
              </w:rPr>
              <w:t>申报主体代码</w:t>
            </w:r>
          </w:p>
        </w:tc>
        <w:tc>
          <w:tcPr>
            <w:tcW w:w="1418" w:type="dxa"/>
          </w:tcPr>
          <w:p w14:paraId="4F8756DD" w14:textId="77777777" w:rsidR="00A052DC" w:rsidRDefault="009F0A60">
            <w:pPr>
              <w:pStyle w:val="B"/>
              <w:rPr>
                <w:szCs w:val="20"/>
              </w:rPr>
            </w:pPr>
            <w:r>
              <w:rPr>
                <w:rFonts w:hint="eastAsia"/>
                <w:szCs w:val="20"/>
              </w:rPr>
              <w:t>字符型，</w:t>
            </w:r>
            <w:r>
              <w:rPr>
                <w:szCs w:val="20"/>
              </w:rPr>
              <w:t>1</w:t>
            </w:r>
            <w:r>
              <w:rPr>
                <w:rFonts w:hint="eastAsia"/>
                <w:szCs w:val="20"/>
              </w:rPr>
              <w:t>8</w:t>
            </w:r>
          </w:p>
        </w:tc>
        <w:tc>
          <w:tcPr>
            <w:tcW w:w="4019" w:type="dxa"/>
          </w:tcPr>
          <w:p w14:paraId="161C3155" w14:textId="77777777" w:rsidR="00A052DC" w:rsidRDefault="009F0A60">
            <w:pPr>
              <w:pStyle w:val="B"/>
              <w:rPr>
                <w:szCs w:val="20"/>
              </w:rPr>
            </w:pPr>
            <w:r>
              <w:rPr>
                <w:rFonts w:hint="eastAsia"/>
                <w:szCs w:val="20"/>
              </w:rPr>
              <w:t>申报主体的12位金融机构标识码，如果没有金融机构标识码，则填报统一社会信用代码法定载体（如营业执照）上统一社会信用代码中的第9至17位或国家外汇管理局及其分支局签发的特殊机构代码赋码通知书上的机构代码、个人身份代码。</w:t>
            </w:r>
          </w:p>
        </w:tc>
      </w:tr>
      <w:tr w:rsidR="00A052DC" w14:paraId="19FE477D" w14:textId="77777777">
        <w:trPr>
          <w:jc w:val="center"/>
        </w:trPr>
        <w:tc>
          <w:tcPr>
            <w:tcW w:w="1242" w:type="dxa"/>
          </w:tcPr>
          <w:p w14:paraId="763632FE" w14:textId="77777777" w:rsidR="00A052DC" w:rsidRDefault="009F0A60">
            <w:pPr>
              <w:pStyle w:val="B"/>
              <w:rPr>
                <w:szCs w:val="20"/>
              </w:rPr>
            </w:pPr>
            <w:r>
              <w:rPr>
                <w:szCs w:val="20"/>
              </w:rPr>
              <w:t>BUOCMONTH</w:t>
            </w:r>
          </w:p>
        </w:tc>
        <w:tc>
          <w:tcPr>
            <w:tcW w:w="1843" w:type="dxa"/>
          </w:tcPr>
          <w:p w14:paraId="184F3D40" w14:textId="77777777" w:rsidR="00A052DC" w:rsidRDefault="009F0A60">
            <w:pPr>
              <w:pStyle w:val="B"/>
              <w:rPr>
                <w:szCs w:val="20"/>
              </w:rPr>
            </w:pPr>
            <w:r>
              <w:rPr>
                <w:rFonts w:hint="eastAsia"/>
                <w:szCs w:val="20"/>
              </w:rPr>
              <w:t>报告期</w:t>
            </w:r>
          </w:p>
        </w:tc>
        <w:tc>
          <w:tcPr>
            <w:tcW w:w="1418" w:type="dxa"/>
          </w:tcPr>
          <w:p w14:paraId="32ED8735" w14:textId="77777777" w:rsidR="00A052DC" w:rsidRDefault="009F0A60">
            <w:pPr>
              <w:pStyle w:val="B"/>
              <w:rPr>
                <w:szCs w:val="20"/>
              </w:rPr>
            </w:pPr>
            <w:r>
              <w:rPr>
                <w:rFonts w:hint="eastAsia"/>
                <w:szCs w:val="20"/>
              </w:rPr>
              <w:t>数值型，</w:t>
            </w:r>
            <w:r>
              <w:rPr>
                <w:szCs w:val="20"/>
              </w:rPr>
              <w:t>6</w:t>
            </w:r>
          </w:p>
        </w:tc>
        <w:tc>
          <w:tcPr>
            <w:tcW w:w="4019" w:type="dxa"/>
          </w:tcPr>
          <w:p w14:paraId="5D68D69E" w14:textId="77777777" w:rsidR="00A052DC" w:rsidRDefault="009F0A60">
            <w:pPr>
              <w:pStyle w:val="B"/>
              <w:rPr>
                <w:szCs w:val="20"/>
              </w:rPr>
            </w:pPr>
            <w:r>
              <w:rPr>
                <w:rFonts w:hint="eastAsia"/>
                <w:szCs w:val="20"/>
              </w:rPr>
              <w:t>必填项，格式为</w:t>
            </w:r>
            <w:r>
              <w:rPr>
                <w:szCs w:val="20"/>
              </w:rPr>
              <w:t>YYYYMM</w:t>
            </w:r>
            <w:r>
              <w:rPr>
                <w:rFonts w:hint="eastAsia"/>
                <w:szCs w:val="20"/>
              </w:rPr>
              <w:t>。</w:t>
            </w:r>
          </w:p>
        </w:tc>
      </w:tr>
      <w:tr w:rsidR="00A052DC" w14:paraId="310CB1AC" w14:textId="77777777">
        <w:trPr>
          <w:jc w:val="center"/>
        </w:trPr>
        <w:tc>
          <w:tcPr>
            <w:tcW w:w="1242" w:type="dxa"/>
          </w:tcPr>
          <w:p w14:paraId="4B0942F4" w14:textId="77777777" w:rsidR="00A052DC" w:rsidRDefault="009F0A60">
            <w:pPr>
              <w:pStyle w:val="B"/>
              <w:rPr>
                <w:szCs w:val="20"/>
              </w:rPr>
            </w:pPr>
            <w:r>
              <w:rPr>
                <w:szCs w:val="20"/>
              </w:rPr>
              <w:t>D0701</w:t>
            </w:r>
          </w:p>
        </w:tc>
        <w:tc>
          <w:tcPr>
            <w:tcW w:w="1843" w:type="dxa"/>
          </w:tcPr>
          <w:p w14:paraId="3D5A5B7D" w14:textId="77777777" w:rsidR="00A052DC" w:rsidRDefault="009F0A60">
            <w:pPr>
              <w:pStyle w:val="B"/>
              <w:rPr>
                <w:szCs w:val="20"/>
              </w:rPr>
            </w:pPr>
            <w:r>
              <w:rPr>
                <w:rFonts w:hint="eastAsia"/>
                <w:szCs w:val="20"/>
              </w:rPr>
              <w:t>对方名称</w:t>
            </w:r>
          </w:p>
        </w:tc>
        <w:tc>
          <w:tcPr>
            <w:tcW w:w="1418" w:type="dxa"/>
          </w:tcPr>
          <w:p w14:paraId="4E74A3E0" w14:textId="77777777" w:rsidR="00A052DC" w:rsidRDefault="009F0A60">
            <w:pPr>
              <w:pStyle w:val="B"/>
              <w:rPr>
                <w:szCs w:val="20"/>
              </w:rPr>
            </w:pPr>
            <w:r>
              <w:rPr>
                <w:rFonts w:hint="eastAsia"/>
                <w:szCs w:val="20"/>
              </w:rPr>
              <w:t>字符型，</w:t>
            </w:r>
            <w:r>
              <w:rPr>
                <w:szCs w:val="20"/>
              </w:rPr>
              <w:t>256</w:t>
            </w:r>
          </w:p>
        </w:tc>
        <w:tc>
          <w:tcPr>
            <w:tcW w:w="4019" w:type="dxa"/>
          </w:tcPr>
          <w:p w14:paraId="6BBF9D91" w14:textId="77777777" w:rsidR="00A052DC" w:rsidRDefault="009F0A60">
            <w:pPr>
              <w:pStyle w:val="B"/>
              <w:rPr>
                <w:szCs w:val="20"/>
              </w:rPr>
            </w:pPr>
            <w:r>
              <w:rPr>
                <w:rFonts w:hint="eastAsia"/>
                <w:szCs w:val="20"/>
              </w:rPr>
              <w:t>必填项。</w:t>
            </w:r>
          </w:p>
        </w:tc>
      </w:tr>
      <w:tr w:rsidR="00A052DC" w14:paraId="30E3060B" w14:textId="77777777">
        <w:trPr>
          <w:jc w:val="center"/>
        </w:trPr>
        <w:tc>
          <w:tcPr>
            <w:tcW w:w="1242" w:type="dxa"/>
          </w:tcPr>
          <w:p w14:paraId="4F08DFD6" w14:textId="77777777" w:rsidR="00A052DC" w:rsidRDefault="009F0A60">
            <w:pPr>
              <w:pStyle w:val="B"/>
              <w:rPr>
                <w:szCs w:val="20"/>
              </w:rPr>
            </w:pPr>
            <w:r>
              <w:rPr>
                <w:szCs w:val="20"/>
              </w:rPr>
              <w:t>D0702</w:t>
            </w:r>
          </w:p>
        </w:tc>
        <w:tc>
          <w:tcPr>
            <w:tcW w:w="1843" w:type="dxa"/>
          </w:tcPr>
          <w:p w14:paraId="227FF21B" w14:textId="77777777" w:rsidR="00A052DC" w:rsidRDefault="009F0A60">
            <w:pPr>
              <w:pStyle w:val="B"/>
              <w:rPr>
                <w:szCs w:val="20"/>
              </w:rPr>
            </w:pPr>
            <w:r>
              <w:rPr>
                <w:rFonts w:hint="eastAsia"/>
                <w:szCs w:val="20"/>
              </w:rPr>
              <w:t>对方代码</w:t>
            </w:r>
          </w:p>
        </w:tc>
        <w:tc>
          <w:tcPr>
            <w:tcW w:w="1418" w:type="dxa"/>
          </w:tcPr>
          <w:p w14:paraId="2177B5BA" w14:textId="77777777" w:rsidR="00A052DC" w:rsidRDefault="009F0A60">
            <w:pPr>
              <w:pStyle w:val="B"/>
              <w:rPr>
                <w:szCs w:val="20"/>
              </w:rPr>
            </w:pPr>
            <w:r>
              <w:rPr>
                <w:rFonts w:hint="eastAsia"/>
                <w:szCs w:val="20"/>
              </w:rPr>
              <w:t>字符型，</w:t>
            </w:r>
            <w:r>
              <w:rPr>
                <w:szCs w:val="20"/>
              </w:rPr>
              <w:t>256</w:t>
            </w:r>
          </w:p>
        </w:tc>
        <w:tc>
          <w:tcPr>
            <w:tcW w:w="4019" w:type="dxa"/>
          </w:tcPr>
          <w:p w14:paraId="088351BA" w14:textId="77777777" w:rsidR="00A052DC" w:rsidRDefault="009F0A60">
            <w:pPr>
              <w:pStyle w:val="B"/>
              <w:rPr>
                <w:szCs w:val="20"/>
              </w:rPr>
            </w:pPr>
            <w:r>
              <w:rPr>
                <w:rFonts w:hint="eastAsia"/>
                <w:szCs w:val="20"/>
              </w:rPr>
              <w:t>必填项。</w:t>
            </w:r>
          </w:p>
        </w:tc>
      </w:tr>
      <w:tr w:rsidR="00A052DC" w14:paraId="07A8B8A2" w14:textId="77777777">
        <w:trPr>
          <w:jc w:val="center"/>
        </w:trPr>
        <w:tc>
          <w:tcPr>
            <w:tcW w:w="1242" w:type="dxa"/>
          </w:tcPr>
          <w:p w14:paraId="106B93B0" w14:textId="77777777" w:rsidR="00A052DC" w:rsidRDefault="009F0A60">
            <w:pPr>
              <w:pStyle w:val="B"/>
              <w:rPr>
                <w:szCs w:val="20"/>
              </w:rPr>
            </w:pPr>
            <w:r>
              <w:rPr>
                <w:szCs w:val="20"/>
              </w:rPr>
              <w:t>D0703</w:t>
            </w:r>
          </w:p>
        </w:tc>
        <w:tc>
          <w:tcPr>
            <w:tcW w:w="1843" w:type="dxa"/>
          </w:tcPr>
          <w:p w14:paraId="0A0D898D" w14:textId="77777777" w:rsidR="00A052DC" w:rsidRDefault="009F0A60">
            <w:pPr>
              <w:pStyle w:val="B"/>
              <w:rPr>
                <w:szCs w:val="20"/>
              </w:rPr>
            </w:pPr>
            <w:r>
              <w:rPr>
                <w:rFonts w:hint="eastAsia"/>
                <w:szCs w:val="20"/>
              </w:rPr>
              <w:t>对方国家</w:t>
            </w:r>
            <w:r>
              <w:rPr>
                <w:szCs w:val="20"/>
              </w:rPr>
              <w:t>/</w:t>
            </w:r>
            <w:r>
              <w:rPr>
                <w:rFonts w:hint="eastAsia"/>
                <w:szCs w:val="20"/>
              </w:rPr>
              <w:t>地区</w:t>
            </w:r>
          </w:p>
        </w:tc>
        <w:tc>
          <w:tcPr>
            <w:tcW w:w="1418" w:type="dxa"/>
          </w:tcPr>
          <w:p w14:paraId="4462AC0E" w14:textId="77777777" w:rsidR="00A052DC" w:rsidRDefault="009F0A60">
            <w:pPr>
              <w:pStyle w:val="B"/>
              <w:rPr>
                <w:szCs w:val="20"/>
              </w:rPr>
            </w:pPr>
            <w:r>
              <w:rPr>
                <w:rFonts w:hint="eastAsia"/>
                <w:szCs w:val="20"/>
              </w:rPr>
              <w:t>字符型，</w:t>
            </w:r>
            <w:r>
              <w:rPr>
                <w:szCs w:val="20"/>
              </w:rPr>
              <w:t>3</w:t>
            </w:r>
          </w:p>
        </w:tc>
        <w:tc>
          <w:tcPr>
            <w:tcW w:w="4019" w:type="dxa"/>
          </w:tcPr>
          <w:p w14:paraId="186F7A04" w14:textId="77777777" w:rsidR="00A052DC" w:rsidRDefault="009F0A60">
            <w:pPr>
              <w:pStyle w:val="B"/>
              <w:rPr>
                <w:szCs w:val="20"/>
              </w:rPr>
            </w:pPr>
            <w:r>
              <w:rPr>
                <w:rFonts w:hint="eastAsia"/>
                <w:szCs w:val="20"/>
              </w:rPr>
              <w:t>必填项，见国家和地区代码表的</w:t>
            </w:r>
            <w:r>
              <w:rPr>
                <w:szCs w:val="20"/>
              </w:rPr>
              <w:t>3</w:t>
            </w:r>
            <w:r>
              <w:rPr>
                <w:rFonts w:hint="eastAsia"/>
                <w:szCs w:val="20"/>
              </w:rPr>
              <w:t>位字母代码，必须≠</w:t>
            </w:r>
            <w:r>
              <w:rPr>
                <w:szCs w:val="20"/>
              </w:rPr>
              <w:t>CHN</w:t>
            </w:r>
            <w:r>
              <w:rPr>
                <w:rFonts w:hint="eastAsia"/>
                <w:szCs w:val="20"/>
              </w:rPr>
              <w:t>或N/A。</w:t>
            </w:r>
          </w:p>
        </w:tc>
      </w:tr>
      <w:tr w:rsidR="00A052DC" w14:paraId="3DF58440" w14:textId="77777777">
        <w:trPr>
          <w:jc w:val="center"/>
        </w:trPr>
        <w:tc>
          <w:tcPr>
            <w:tcW w:w="1242" w:type="dxa"/>
          </w:tcPr>
          <w:p w14:paraId="6EBFD5C5" w14:textId="77777777" w:rsidR="00A052DC" w:rsidRDefault="009F0A60">
            <w:pPr>
              <w:pStyle w:val="B"/>
              <w:rPr>
                <w:szCs w:val="20"/>
              </w:rPr>
            </w:pPr>
            <w:r>
              <w:rPr>
                <w:szCs w:val="20"/>
              </w:rPr>
              <w:t>D0704</w:t>
            </w:r>
          </w:p>
        </w:tc>
        <w:tc>
          <w:tcPr>
            <w:tcW w:w="1843" w:type="dxa"/>
          </w:tcPr>
          <w:p w14:paraId="5078EC3D" w14:textId="77777777" w:rsidR="00A052DC" w:rsidRDefault="009F0A60">
            <w:pPr>
              <w:pStyle w:val="B"/>
              <w:rPr>
                <w:szCs w:val="20"/>
              </w:rPr>
            </w:pPr>
            <w:r>
              <w:rPr>
                <w:rFonts w:hint="eastAsia"/>
                <w:szCs w:val="20"/>
              </w:rPr>
              <w:t>对方部门</w:t>
            </w:r>
          </w:p>
        </w:tc>
        <w:tc>
          <w:tcPr>
            <w:tcW w:w="1418" w:type="dxa"/>
          </w:tcPr>
          <w:p w14:paraId="4A0BBBCC" w14:textId="77777777" w:rsidR="00A052DC" w:rsidRDefault="009F0A60">
            <w:pPr>
              <w:pStyle w:val="B"/>
              <w:rPr>
                <w:szCs w:val="20"/>
              </w:rPr>
            </w:pPr>
            <w:r>
              <w:rPr>
                <w:rFonts w:hint="eastAsia"/>
                <w:szCs w:val="20"/>
              </w:rPr>
              <w:t>整数型</w:t>
            </w:r>
          </w:p>
        </w:tc>
        <w:tc>
          <w:tcPr>
            <w:tcW w:w="4019" w:type="dxa"/>
          </w:tcPr>
          <w:p w14:paraId="3F306092" w14:textId="77777777" w:rsidR="00A052DC" w:rsidRDefault="009F0A60">
            <w:pPr>
              <w:pStyle w:val="B"/>
              <w:rPr>
                <w:szCs w:val="20"/>
              </w:rPr>
            </w:pPr>
            <w:r>
              <w:rPr>
                <w:rFonts w:hint="eastAsia"/>
                <w:szCs w:val="20"/>
              </w:rPr>
              <w:t>必填项，必须9选</w:t>
            </w:r>
            <w:r>
              <w:rPr>
                <w:szCs w:val="20"/>
              </w:rPr>
              <w:t>1</w:t>
            </w:r>
            <w:r>
              <w:rPr>
                <w:rFonts w:hint="eastAsia"/>
                <w:szCs w:val="20"/>
              </w:rPr>
              <w:t>。见投资者（被投资机构）部门代码表。</w:t>
            </w:r>
          </w:p>
        </w:tc>
      </w:tr>
      <w:tr w:rsidR="00A052DC" w14:paraId="14C4A590" w14:textId="77777777">
        <w:trPr>
          <w:jc w:val="center"/>
        </w:trPr>
        <w:tc>
          <w:tcPr>
            <w:tcW w:w="1242" w:type="dxa"/>
          </w:tcPr>
          <w:p w14:paraId="0EDF6278" w14:textId="77777777" w:rsidR="00A052DC" w:rsidRDefault="009F0A60">
            <w:pPr>
              <w:pStyle w:val="B"/>
              <w:rPr>
                <w:szCs w:val="20"/>
              </w:rPr>
            </w:pPr>
            <w:r>
              <w:rPr>
                <w:szCs w:val="20"/>
              </w:rPr>
              <w:t>D0705</w:t>
            </w:r>
          </w:p>
        </w:tc>
        <w:tc>
          <w:tcPr>
            <w:tcW w:w="1843" w:type="dxa"/>
          </w:tcPr>
          <w:p w14:paraId="2AD1598E" w14:textId="77777777" w:rsidR="00A052DC" w:rsidRDefault="009F0A60">
            <w:pPr>
              <w:pStyle w:val="B"/>
              <w:rPr>
                <w:szCs w:val="20"/>
              </w:rPr>
            </w:pPr>
            <w:r>
              <w:rPr>
                <w:rFonts w:hint="eastAsia"/>
                <w:szCs w:val="20"/>
              </w:rPr>
              <w:t>对方与本机构的关系</w:t>
            </w:r>
          </w:p>
        </w:tc>
        <w:tc>
          <w:tcPr>
            <w:tcW w:w="1418" w:type="dxa"/>
          </w:tcPr>
          <w:p w14:paraId="3C656CC2" w14:textId="77777777" w:rsidR="00A052DC" w:rsidRDefault="009F0A60">
            <w:pPr>
              <w:pStyle w:val="B"/>
              <w:rPr>
                <w:szCs w:val="20"/>
              </w:rPr>
            </w:pPr>
            <w:r>
              <w:rPr>
                <w:rFonts w:hint="eastAsia"/>
                <w:szCs w:val="20"/>
              </w:rPr>
              <w:t>整数型</w:t>
            </w:r>
          </w:p>
        </w:tc>
        <w:tc>
          <w:tcPr>
            <w:tcW w:w="4019" w:type="dxa"/>
          </w:tcPr>
          <w:p w14:paraId="1A0A35F5" w14:textId="77777777" w:rsidR="00A052DC" w:rsidRDefault="009F0A60">
            <w:pPr>
              <w:pStyle w:val="B"/>
              <w:rPr>
                <w:szCs w:val="20"/>
              </w:rPr>
            </w:pPr>
            <w:r>
              <w:rPr>
                <w:rFonts w:hint="eastAsia"/>
                <w:szCs w:val="20"/>
              </w:rPr>
              <w:t>必填项，必须</w:t>
            </w:r>
            <w:r>
              <w:rPr>
                <w:szCs w:val="20"/>
              </w:rPr>
              <w:t>4</w:t>
            </w:r>
            <w:r>
              <w:rPr>
                <w:rFonts w:hint="eastAsia"/>
                <w:szCs w:val="20"/>
              </w:rPr>
              <w:t>选</w:t>
            </w:r>
            <w:r>
              <w:rPr>
                <w:szCs w:val="20"/>
              </w:rPr>
              <w:t>1</w:t>
            </w:r>
            <w:r>
              <w:rPr>
                <w:rFonts w:hint="eastAsia"/>
                <w:szCs w:val="20"/>
              </w:rPr>
              <w:t>，且</w:t>
            </w:r>
            <w:r>
              <w:rPr>
                <w:szCs w:val="20"/>
              </w:rPr>
              <w:t>D0705</w:t>
            </w:r>
            <w:r>
              <w:rPr>
                <w:rFonts w:hint="eastAsia"/>
                <w:szCs w:val="20"/>
              </w:rPr>
              <w:t>≠</w:t>
            </w:r>
            <w:r>
              <w:rPr>
                <w:szCs w:val="20"/>
              </w:rPr>
              <w:t>1</w:t>
            </w:r>
            <w:r>
              <w:rPr>
                <w:rFonts w:hint="eastAsia"/>
                <w:szCs w:val="20"/>
              </w:rPr>
              <w:t>或</w:t>
            </w:r>
            <w:r>
              <w:rPr>
                <w:szCs w:val="20"/>
              </w:rPr>
              <w:t>3</w:t>
            </w:r>
            <w:r>
              <w:rPr>
                <w:rFonts w:hint="eastAsia"/>
                <w:szCs w:val="20"/>
              </w:rPr>
              <w:t>。见对方与本机构</w:t>
            </w:r>
            <w:r>
              <w:rPr>
                <w:szCs w:val="20"/>
              </w:rPr>
              <w:t>/</w:t>
            </w:r>
            <w:r>
              <w:rPr>
                <w:rFonts w:hint="eastAsia"/>
                <w:szCs w:val="20"/>
              </w:rPr>
              <w:t>被代理居民机构</w:t>
            </w:r>
            <w:r>
              <w:rPr>
                <w:szCs w:val="20"/>
              </w:rPr>
              <w:t>/</w:t>
            </w:r>
            <w:r>
              <w:rPr>
                <w:rFonts w:hint="eastAsia"/>
                <w:szCs w:val="20"/>
              </w:rPr>
              <w:t>委托人的关系代码表。</w:t>
            </w:r>
          </w:p>
        </w:tc>
      </w:tr>
      <w:tr w:rsidR="00A052DC" w14:paraId="76686444" w14:textId="77777777">
        <w:trPr>
          <w:jc w:val="center"/>
        </w:trPr>
        <w:tc>
          <w:tcPr>
            <w:tcW w:w="1242" w:type="dxa"/>
          </w:tcPr>
          <w:p w14:paraId="57104992" w14:textId="77777777" w:rsidR="00A052DC" w:rsidRDefault="009F0A60">
            <w:pPr>
              <w:pStyle w:val="B"/>
              <w:rPr>
                <w:szCs w:val="20"/>
              </w:rPr>
            </w:pPr>
            <w:r>
              <w:rPr>
                <w:szCs w:val="20"/>
              </w:rPr>
              <w:t>D0706</w:t>
            </w:r>
          </w:p>
        </w:tc>
        <w:tc>
          <w:tcPr>
            <w:tcW w:w="1843" w:type="dxa"/>
          </w:tcPr>
          <w:p w14:paraId="26E35216" w14:textId="77777777" w:rsidR="00A052DC" w:rsidRDefault="009F0A60">
            <w:pPr>
              <w:pStyle w:val="B"/>
              <w:rPr>
                <w:szCs w:val="20"/>
              </w:rPr>
            </w:pPr>
            <w:r>
              <w:rPr>
                <w:rFonts w:hint="eastAsia"/>
                <w:szCs w:val="20"/>
              </w:rPr>
              <w:t>原始币种</w:t>
            </w:r>
          </w:p>
        </w:tc>
        <w:tc>
          <w:tcPr>
            <w:tcW w:w="1418" w:type="dxa"/>
          </w:tcPr>
          <w:p w14:paraId="79D0ECFB" w14:textId="77777777" w:rsidR="00A052DC" w:rsidRDefault="009F0A60">
            <w:pPr>
              <w:pStyle w:val="B"/>
              <w:rPr>
                <w:szCs w:val="20"/>
              </w:rPr>
            </w:pPr>
            <w:r>
              <w:rPr>
                <w:rFonts w:hint="eastAsia"/>
                <w:szCs w:val="20"/>
              </w:rPr>
              <w:t>字符型，</w:t>
            </w:r>
            <w:r>
              <w:rPr>
                <w:szCs w:val="20"/>
              </w:rPr>
              <w:t>3</w:t>
            </w:r>
          </w:p>
        </w:tc>
        <w:tc>
          <w:tcPr>
            <w:tcW w:w="4019" w:type="dxa"/>
          </w:tcPr>
          <w:p w14:paraId="5F2054F7" w14:textId="77777777" w:rsidR="00A052DC" w:rsidRDefault="009F0A60">
            <w:pPr>
              <w:pStyle w:val="B"/>
              <w:rPr>
                <w:szCs w:val="20"/>
              </w:rPr>
            </w:pPr>
            <w:r>
              <w:rPr>
                <w:rFonts w:hint="eastAsia"/>
                <w:szCs w:val="20"/>
              </w:rPr>
              <w:t>必填项。见币种代码表。</w:t>
            </w:r>
          </w:p>
        </w:tc>
      </w:tr>
      <w:tr w:rsidR="00A052DC" w14:paraId="3BDB8A48" w14:textId="77777777">
        <w:trPr>
          <w:jc w:val="center"/>
        </w:trPr>
        <w:tc>
          <w:tcPr>
            <w:tcW w:w="1242" w:type="dxa"/>
          </w:tcPr>
          <w:p w14:paraId="1DDB6B0F" w14:textId="77777777" w:rsidR="00A052DC" w:rsidRDefault="009F0A60">
            <w:pPr>
              <w:pStyle w:val="B"/>
              <w:rPr>
                <w:szCs w:val="20"/>
              </w:rPr>
            </w:pPr>
            <w:r>
              <w:rPr>
                <w:szCs w:val="20"/>
              </w:rPr>
              <w:t>D0707</w:t>
            </w:r>
          </w:p>
        </w:tc>
        <w:tc>
          <w:tcPr>
            <w:tcW w:w="1843" w:type="dxa"/>
          </w:tcPr>
          <w:p w14:paraId="05A6D6B9" w14:textId="77777777" w:rsidR="00A052DC" w:rsidRDefault="009F0A60">
            <w:pPr>
              <w:pStyle w:val="B"/>
              <w:rPr>
                <w:szCs w:val="20"/>
              </w:rPr>
            </w:pPr>
            <w:r>
              <w:rPr>
                <w:rFonts w:hint="eastAsia"/>
                <w:szCs w:val="20"/>
              </w:rPr>
              <w:t>上月末余额</w:t>
            </w:r>
          </w:p>
        </w:tc>
        <w:tc>
          <w:tcPr>
            <w:tcW w:w="1418" w:type="dxa"/>
          </w:tcPr>
          <w:p w14:paraId="6C883A7E" w14:textId="77777777" w:rsidR="00A052DC" w:rsidRDefault="009F0A60">
            <w:pPr>
              <w:pStyle w:val="B"/>
              <w:rPr>
                <w:szCs w:val="20"/>
              </w:rPr>
            </w:pPr>
            <w:r>
              <w:rPr>
                <w:rFonts w:hint="eastAsia"/>
                <w:szCs w:val="20"/>
              </w:rPr>
              <w:t>数值型，</w:t>
            </w:r>
            <w:r>
              <w:rPr>
                <w:szCs w:val="20"/>
              </w:rPr>
              <w:t>22.2</w:t>
            </w:r>
          </w:p>
        </w:tc>
        <w:tc>
          <w:tcPr>
            <w:tcW w:w="4019" w:type="dxa"/>
          </w:tcPr>
          <w:p w14:paraId="4138D1F5" w14:textId="77777777" w:rsidR="00A052DC" w:rsidRDefault="009F0A60">
            <w:pPr>
              <w:pStyle w:val="B"/>
              <w:rPr>
                <w:szCs w:val="20"/>
              </w:rPr>
            </w:pPr>
            <w:r>
              <w:rPr>
                <w:rFonts w:hint="eastAsia"/>
                <w:szCs w:val="20"/>
              </w:rPr>
              <w:t>必填项。</w:t>
            </w:r>
          </w:p>
        </w:tc>
      </w:tr>
      <w:tr w:rsidR="00A052DC" w14:paraId="3962C248" w14:textId="77777777">
        <w:trPr>
          <w:jc w:val="center"/>
        </w:trPr>
        <w:tc>
          <w:tcPr>
            <w:tcW w:w="1242" w:type="dxa"/>
          </w:tcPr>
          <w:p w14:paraId="7054C3AB" w14:textId="77777777" w:rsidR="00A052DC" w:rsidRDefault="009F0A60">
            <w:pPr>
              <w:pStyle w:val="B"/>
              <w:rPr>
                <w:szCs w:val="20"/>
              </w:rPr>
            </w:pPr>
            <w:r>
              <w:rPr>
                <w:szCs w:val="20"/>
              </w:rPr>
              <w:t>D0708</w:t>
            </w:r>
          </w:p>
        </w:tc>
        <w:tc>
          <w:tcPr>
            <w:tcW w:w="1843" w:type="dxa"/>
          </w:tcPr>
          <w:p w14:paraId="7EE37D50" w14:textId="77777777" w:rsidR="00A052DC" w:rsidRDefault="009F0A60">
            <w:pPr>
              <w:pStyle w:val="B"/>
              <w:rPr>
                <w:szCs w:val="20"/>
              </w:rPr>
            </w:pPr>
            <w:r>
              <w:rPr>
                <w:rFonts w:hint="eastAsia"/>
                <w:szCs w:val="20"/>
              </w:rPr>
              <w:t>本月末余额</w:t>
            </w:r>
          </w:p>
        </w:tc>
        <w:tc>
          <w:tcPr>
            <w:tcW w:w="1418" w:type="dxa"/>
          </w:tcPr>
          <w:p w14:paraId="784B728D" w14:textId="77777777" w:rsidR="00A052DC" w:rsidRDefault="009F0A60">
            <w:pPr>
              <w:pStyle w:val="B"/>
              <w:rPr>
                <w:szCs w:val="20"/>
              </w:rPr>
            </w:pPr>
            <w:r>
              <w:rPr>
                <w:rFonts w:hint="eastAsia"/>
                <w:szCs w:val="20"/>
              </w:rPr>
              <w:t>数值型，</w:t>
            </w:r>
            <w:r>
              <w:rPr>
                <w:szCs w:val="20"/>
              </w:rPr>
              <w:t>22.2</w:t>
            </w:r>
          </w:p>
        </w:tc>
        <w:tc>
          <w:tcPr>
            <w:tcW w:w="4019" w:type="dxa"/>
          </w:tcPr>
          <w:p w14:paraId="01767B3F" w14:textId="77777777" w:rsidR="00A052DC" w:rsidRDefault="009F0A60">
            <w:pPr>
              <w:pStyle w:val="B"/>
              <w:rPr>
                <w:szCs w:val="20"/>
              </w:rPr>
            </w:pPr>
            <w:r>
              <w:rPr>
                <w:rFonts w:hint="eastAsia"/>
                <w:szCs w:val="20"/>
              </w:rPr>
              <w:t>必填项。</w:t>
            </w:r>
          </w:p>
        </w:tc>
      </w:tr>
      <w:tr w:rsidR="00A052DC" w14:paraId="54D04675" w14:textId="77777777">
        <w:trPr>
          <w:jc w:val="center"/>
        </w:trPr>
        <w:tc>
          <w:tcPr>
            <w:tcW w:w="1242" w:type="dxa"/>
          </w:tcPr>
          <w:p w14:paraId="1CC405F2" w14:textId="77777777" w:rsidR="00A052DC" w:rsidRDefault="009F0A60">
            <w:pPr>
              <w:pStyle w:val="B"/>
              <w:rPr>
                <w:szCs w:val="20"/>
              </w:rPr>
            </w:pPr>
            <w:r>
              <w:rPr>
                <w:szCs w:val="20"/>
              </w:rPr>
              <w:t>D0709</w:t>
            </w:r>
          </w:p>
        </w:tc>
        <w:tc>
          <w:tcPr>
            <w:tcW w:w="1843" w:type="dxa"/>
          </w:tcPr>
          <w:p w14:paraId="2724E64A" w14:textId="77777777" w:rsidR="00A052DC" w:rsidRDefault="009F0A60">
            <w:pPr>
              <w:pStyle w:val="B"/>
              <w:rPr>
                <w:szCs w:val="20"/>
              </w:rPr>
            </w:pPr>
            <w:r>
              <w:rPr>
                <w:rFonts w:hint="eastAsia"/>
                <w:szCs w:val="20"/>
              </w:rPr>
              <w:t>本月非交易变动</w:t>
            </w:r>
          </w:p>
        </w:tc>
        <w:tc>
          <w:tcPr>
            <w:tcW w:w="1418" w:type="dxa"/>
          </w:tcPr>
          <w:p w14:paraId="4DA36266" w14:textId="77777777" w:rsidR="00A052DC" w:rsidRDefault="009F0A60">
            <w:pPr>
              <w:pStyle w:val="B"/>
              <w:rPr>
                <w:szCs w:val="20"/>
              </w:rPr>
            </w:pPr>
            <w:r>
              <w:rPr>
                <w:rFonts w:hint="eastAsia"/>
                <w:szCs w:val="20"/>
              </w:rPr>
              <w:t>数值型，</w:t>
            </w:r>
            <w:r>
              <w:rPr>
                <w:szCs w:val="20"/>
              </w:rPr>
              <w:t>22.2</w:t>
            </w:r>
          </w:p>
        </w:tc>
        <w:tc>
          <w:tcPr>
            <w:tcW w:w="4019" w:type="dxa"/>
          </w:tcPr>
          <w:p w14:paraId="1002C1C4" w14:textId="77777777" w:rsidR="00A052DC" w:rsidRDefault="009F0A60">
            <w:pPr>
              <w:pStyle w:val="B"/>
              <w:rPr>
                <w:szCs w:val="20"/>
              </w:rPr>
            </w:pPr>
            <w:r>
              <w:rPr>
                <w:rFonts w:hint="eastAsia"/>
                <w:szCs w:val="20"/>
              </w:rPr>
              <w:t>必填项。</w:t>
            </w:r>
          </w:p>
        </w:tc>
      </w:tr>
      <w:tr w:rsidR="00A052DC" w14:paraId="30EF5632" w14:textId="77777777">
        <w:trPr>
          <w:jc w:val="center"/>
        </w:trPr>
        <w:tc>
          <w:tcPr>
            <w:tcW w:w="1242" w:type="dxa"/>
          </w:tcPr>
          <w:p w14:paraId="552BD091" w14:textId="77777777" w:rsidR="00A052DC" w:rsidRDefault="009F0A60">
            <w:pPr>
              <w:pStyle w:val="B"/>
              <w:rPr>
                <w:szCs w:val="20"/>
              </w:rPr>
            </w:pPr>
            <w:r>
              <w:rPr>
                <w:szCs w:val="20"/>
              </w:rPr>
              <w:t>D0710</w:t>
            </w:r>
          </w:p>
        </w:tc>
        <w:tc>
          <w:tcPr>
            <w:tcW w:w="1843" w:type="dxa"/>
          </w:tcPr>
          <w:p w14:paraId="0CED3142" w14:textId="77777777" w:rsidR="00A052DC" w:rsidRDefault="009F0A60">
            <w:pPr>
              <w:pStyle w:val="B"/>
              <w:rPr>
                <w:szCs w:val="20"/>
              </w:rPr>
            </w:pPr>
            <w:r>
              <w:rPr>
                <w:rFonts w:hint="eastAsia"/>
                <w:szCs w:val="20"/>
              </w:rPr>
              <w:t>本月净发生额</w:t>
            </w:r>
          </w:p>
        </w:tc>
        <w:tc>
          <w:tcPr>
            <w:tcW w:w="1418" w:type="dxa"/>
          </w:tcPr>
          <w:p w14:paraId="028757A5" w14:textId="77777777" w:rsidR="00A052DC" w:rsidRDefault="009F0A60">
            <w:pPr>
              <w:pStyle w:val="B"/>
              <w:rPr>
                <w:szCs w:val="20"/>
              </w:rPr>
            </w:pPr>
            <w:r>
              <w:rPr>
                <w:rFonts w:hint="eastAsia"/>
                <w:szCs w:val="20"/>
              </w:rPr>
              <w:t>数值型，</w:t>
            </w:r>
            <w:r>
              <w:rPr>
                <w:szCs w:val="20"/>
              </w:rPr>
              <w:t>22.2</w:t>
            </w:r>
          </w:p>
        </w:tc>
        <w:tc>
          <w:tcPr>
            <w:tcW w:w="4019" w:type="dxa"/>
          </w:tcPr>
          <w:p w14:paraId="1D39FDEE" w14:textId="77777777" w:rsidR="00A052DC" w:rsidRDefault="009F0A60">
            <w:pPr>
              <w:pStyle w:val="B"/>
              <w:rPr>
                <w:szCs w:val="20"/>
              </w:rPr>
            </w:pPr>
            <w:r>
              <w:rPr>
                <w:rFonts w:hint="eastAsia"/>
                <w:szCs w:val="20"/>
              </w:rPr>
              <w:t>必填项，必须满足：</w:t>
            </w:r>
          </w:p>
          <w:p w14:paraId="54CF54A6" w14:textId="77777777" w:rsidR="00A052DC" w:rsidRDefault="009F0A60">
            <w:pPr>
              <w:pStyle w:val="B"/>
              <w:rPr>
                <w:szCs w:val="20"/>
              </w:rPr>
            </w:pPr>
            <w:r>
              <w:rPr>
                <w:szCs w:val="20"/>
              </w:rPr>
              <w:t>D0709+D0710=D0708-D0707</w:t>
            </w:r>
            <w:r>
              <w:rPr>
                <w:rFonts w:hint="eastAsia"/>
                <w:szCs w:val="20"/>
              </w:rPr>
              <w:t>。</w:t>
            </w:r>
          </w:p>
        </w:tc>
      </w:tr>
      <w:tr w:rsidR="00A052DC" w14:paraId="46DB8E3A" w14:textId="77777777">
        <w:trPr>
          <w:jc w:val="center"/>
        </w:trPr>
        <w:tc>
          <w:tcPr>
            <w:tcW w:w="1242" w:type="dxa"/>
          </w:tcPr>
          <w:p w14:paraId="68CA9999" w14:textId="77777777" w:rsidR="00A052DC" w:rsidRDefault="009F0A60">
            <w:pPr>
              <w:pStyle w:val="B"/>
              <w:rPr>
                <w:szCs w:val="20"/>
              </w:rPr>
            </w:pPr>
            <w:r>
              <w:rPr>
                <w:szCs w:val="20"/>
              </w:rPr>
              <w:t>D0711</w:t>
            </w:r>
          </w:p>
        </w:tc>
        <w:tc>
          <w:tcPr>
            <w:tcW w:w="1843" w:type="dxa"/>
          </w:tcPr>
          <w:p w14:paraId="3F736FD4" w14:textId="77777777" w:rsidR="00A052DC" w:rsidRDefault="009F0A60">
            <w:pPr>
              <w:pStyle w:val="B"/>
              <w:rPr>
                <w:szCs w:val="20"/>
              </w:rPr>
            </w:pPr>
            <w:r>
              <w:rPr>
                <w:rFonts w:hint="eastAsia"/>
                <w:szCs w:val="20"/>
              </w:rPr>
              <w:t>本月末外方表决权比例（</w:t>
            </w:r>
            <w:r>
              <w:rPr>
                <w:szCs w:val="20"/>
              </w:rPr>
              <w:t>%</w:t>
            </w:r>
            <w:r>
              <w:rPr>
                <w:rFonts w:hint="eastAsia"/>
                <w:szCs w:val="20"/>
              </w:rPr>
              <w:t>）</w:t>
            </w:r>
          </w:p>
        </w:tc>
        <w:tc>
          <w:tcPr>
            <w:tcW w:w="1418" w:type="dxa"/>
          </w:tcPr>
          <w:p w14:paraId="4A95EB69" w14:textId="77777777" w:rsidR="00A052DC" w:rsidRDefault="009F0A60">
            <w:pPr>
              <w:pStyle w:val="B"/>
              <w:rPr>
                <w:szCs w:val="20"/>
              </w:rPr>
            </w:pPr>
            <w:r>
              <w:rPr>
                <w:rFonts w:hint="eastAsia"/>
                <w:szCs w:val="20"/>
              </w:rPr>
              <w:t>数值型，</w:t>
            </w:r>
            <w:r>
              <w:rPr>
                <w:szCs w:val="20"/>
              </w:rPr>
              <w:t>22.2</w:t>
            </w:r>
          </w:p>
        </w:tc>
        <w:tc>
          <w:tcPr>
            <w:tcW w:w="4019" w:type="dxa"/>
          </w:tcPr>
          <w:p w14:paraId="7474FB59" w14:textId="77777777" w:rsidR="00A052DC" w:rsidRDefault="009F0A60">
            <w:pPr>
              <w:pStyle w:val="B"/>
              <w:rPr>
                <w:szCs w:val="20"/>
              </w:rPr>
            </w:pPr>
            <w:r>
              <w:rPr>
                <w:rFonts w:hint="eastAsia"/>
                <w:szCs w:val="20"/>
              </w:rPr>
              <w:t>必填项。如果本机构的行业属性不是政府或中央银行或国际组织时，取值范围：</w:t>
            </w:r>
            <w:r>
              <w:rPr>
                <w:szCs w:val="20"/>
              </w:rPr>
              <w:t>0</w:t>
            </w:r>
            <w:r>
              <w:rPr>
                <w:rFonts w:hint="eastAsia"/>
                <w:szCs w:val="20"/>
              </w:rPr>
              <w:t>≤</w:t>
            </w:r>
            <w:r>
              <w:rPr>
                <w:szCs w:val="20"/>
              </w:rPr>
              <w:t>D0711</w:t>
            </w:r>
            <w:r>
              <w:rPr>
                <w:rFonts w:hint="eastAsia"/>
                <w:szCs w:val="20"/>
              </w:rPr>
              <w:t>＜</w:t>
            </w:r>
            <w:r>
              <w:rPr>
                <w:szCs w:val="20"/>
              </w:rPr>
              <w:t>10</w:t>
            </w:r>
            <w:r>
              <w:rPr>
                <w:rFonts w:hint="eastAsia"/>
                <w:szCs w:val="20"/>
              </w:rPr>
              <w:t>，精确到小数点后两位。</w:t>
            </w:r>
          </w:p>
        </w:tc>
      </w:tr>
      <w:tr w:rsidR="00A052DC" w14:paraId="6A492D22" w14:textId="77777777">
        <w:trPr>
          <w:jc w:val="center"/>
        </w:trPr>
        <w:tc>
          <w:tcPr>
            <w:tcW w:w="1242" w:type="dxa"/>
          </w:tcPr>
          <w:p w14:paraId="6FEC1B83" w14:textId="77777777" w:rsidR="00A052DC" w:rsidRDefault="009F0A60">
            <w:pPr>
              <w:pStyle w:val="B"/>
              <w:rPr>
                <w:szCs w:val="20"/>
              </w:rPr>
            </w:pPr>
            <w:r>
              <w:rPr>
                <w:szCs w:val="20"/>
              </w:rPr>
              <w:t>D0712</w:t>
            </w:r>
          </w:p>
        </w:tc>
        <w:tc>
          <w:tcPr>
            <w:tcW w:w="1843" w:type="dxa"/>
          </w:tcPr>
          <w:p w14:paraId="4FE865A1" w14:textId="77777777" w:rsidR="00A052DC" w:rsidRDefault="009F0A60">
            <w:pPr>
              <w:pStyle w:val="B"/>
              <w:rPr>
                <w:szCs w:val="20"/>
              </w:rPr>
            </w:pPr>
            <w:r>
              <w:rPr>
                <w:rFonts w:hint="eastAsia"/>
                <w:szCs w:val="20"/>
              </w:rPr>
              <w:t>本月对外方的股息</w:t>
            </w:r>
            <w:r>
              <w:rPr>
                <w:szCs w:val="20"/>
              </w:rPr>
              <w:t>/</w:t>
            </w:r>
            <w:r>
              <w:rPr>
                <w:rFonts w:hint="eastAsia"/>
                <w:szCs w:val="20"/>
              </w:rPr>
              <w:t>红利</w:t>
            </w:r>
            <w:r>
              <w:rPr>
                <w:szCs w:val="20"/>
              </w:rPr>
              <w:t>/</w:t>
            </w:r>
            <w:r>
              <w:rPr>
                <w:rFonts w:hint="eastAsia"/>
                <w:szCs w:val="20"/>
              </w:rPr>
              <w:t>利润支出</w:t>
            </w:r>
          </w:p>
        </w:tc>
        <w:tc>
          <w:tcPr>
            <w:tcW w:w="1418" w:type="dxa"/>
          </w:tcPr>
          <w:p w14:paraId="218FA0D7" w14:textId="77777777" w:rsidR="00A052DC" w:rsidRDefault="009F0A60">
            <w:pPr>
              <w:pStyle w:val="B"/>
              <w:rPr>
                <w:szCs w:val="20"/>
              </w:rPr>
            </w:pPr>
            <w:r>
              <w:rPr>
                <w:rFonts w:hint="eastAsia"/>
                <w:szCs w:val="20"/>
              </w:rPr>
              <w:t>数值型，</w:t>
            </w:r>
            <w:r>
              <w:rPr>
                <w:szCs w:val="20"/>
              </w:rPr>
              <w:t>22.2</w:t>
            </w:r>
          </w:p>
        </w:tc>
        <w:tc>
          <w:tcPr>
            <w:tcW w:w="4019" w:type="dxa"/>
          </w:tcPr>
          <w:p w14:paraId="1E1A194C" w14:textId="77777777" w:rsidR="00A052DC" w:rsidRDefault="009F0A60">
            <w:pPr>
              <w:pStyle w:val="B"/>
              <w:rPr>
                <w:szCs w:val="20"/>
              </w:rPr>
            </w:pPr>
            <w:r>
              <w:rPr>
                <w:rFonts w:hint="eastAsia"/>
                <w:szCs w:val="20"/>
              </w:rPr>
              <w:t>必填项。</w:t>
            </w:r>
          </w:p>
        </w:tc>
      </w:tr>
      <w:tr w:rsidR="00A052DC" w14:paraId="02059611" w14:textId="77777777">
        <w:trPr>
          <w:jc w:val="center"/>
        </w:trPr>
        <w:tc>
          <w:tcPr>
            <w:tcW w:w="1242" w:type="dxa"/>
          </w:tcPr>
          <w:p w14:paraId="145557DB" w14:textId="77777777" w:rsidR="00A052DC" w:rsidRDefault="009F0A60">
            <w:pPr>
              <w:pStyle w:val="B"/>
              <w:rPr>
                <w:szCs w:val="20"/>
              </w:rPr>
            </w:pPr>
            <w:r>
              <w:rPr>
                <w:szCs w:val="20"/>
              </w:rPr>
              <w:t>REMARK</w:t>
            </w:r>
          </w:p>
        </w:tc>
        <w:tc>
          <w:tcPr>
            <w:tcW w:w="1843" w:type="dxa"/>
          </w:tcPr>
          <w:p w14:paraId="2918329E" w14:textId="77777777" w:rsidR="00A052DC" w:rsidRDefault="009F0A60">
            <w:pPr>
              <w:pStyle w:val="B"/>
              <w:rPr>
                <w:szCs w:val="20"/>
              </w:rPr>
            </w:pPr>
            <w:r>
              <w:rPr>
                <w:rFonts w:hint="eastAsia"/>
                <w:szCs w:val="20"/>
              </w:rPr>
              <w:t>备注</w:t>
            </w:r>
          </w:p>
        </w:tc>
        <w:tc>
          <w:tcPr>
            <w:tcW w:w="1418" w:type="dxa"/>
          </w:tcPr>
          <w:p w14:paraId="205AAADF" w14:textId="77777777" w:rsidR="00A052DC" w:rsidRDefault="009F0A60">
            <w:pPr>
              <w:pStyle w:val="B"/>
              <w:rPr>
                <w:szCs w:val="20"/>
              </w:rPr>
            </w:pPr>
            <w:r>
              <w:rPr>
                <w:rFonts w:hint="eastAsia"/>
                <w:szCs w:val="20"/>
              </w:rPr>
              <w:t>字符型，</w:t>
            </w:r>
            <w:r>
              <w:rPr>
                <w:szCs w:val="20"/>
              </w:rPr>
              <w:t>512</w:t>
            </w:r>
          </w:p>
        </w:tc>
        <w:tc>
          <w:tcPr>
            <w:tcW w:w="4019" w:type="dxa"/>
          </w:tcPr>
          <w:p w14:paraId="5159EDD3" w14:textId="77777777" w:rsidR="00A052DC" w:rsidRDefault="009F0A60">
            <w:pPr>
              <w:pStyle w:val="B"/>
              <w:rPr>
                <w:szCs w:val="20"/>
              </w:rPr>
            </w:pPr>
            <w:r>
              <w:rPr>
                <w:rFonts w:hint="eastAsia"/>
                <w:kern w:val="2"/>
                <w:szCs w:val="20"/>
              </w:rPr>
              <w:t>当</w:t>
            </w:r>
            <w:r>
              <w:rPr>
                <w:rFonts w:hint="eastAsia"/>
                <w:szCs w:val="20"/>
              </w:rPr>
              <w:t>D0707、D0708、</w:t>
            </w:r>
            <w:r>
              <w:rPr>
                <w:kern w:val="2"/>
                <w:szCs w:val="20"/>
              </w:rPr>
              <w:t>D</w:t>
            </w:r>
            <w:r>
              <w:rPr>
                <w:rFonts w:hint="eastAsia"/>
                <w:kern w:val="2"/>
                <w:szCs w:val="20"/>
              </w:rPr>
              <w:t>0712</w:t>
            </w:r>
            <w:r>
              <w:rPr>
                <w:rFonts w:hint="eastAsia"/>
                <w:szCs w:val="20"/>
              </w:rPr>
              <w:t>各项中任何一项</w:t>
            </w:r>
            <w:r>
              <w:rPr>
                <w:rFonts w:hint="eastAsia"/>
                <w:kern w:val="2"/>
                <w:szCs w:val="20"/>
              </w:rPr>
              <w:t>为负数时为</w:t>
            </w:r>
            <w:r>
              <w:rPr>
                <w:rFonts w:hint="eastAsia"/>
                <w:szCs w:val="20"/>
              </w:rPr>
              <w:t>必填项。</w:t>
            </w:r>
          </w:p>
        </w:tc>
      </w:tr>
    </w:tbl>
    <w:p w14:paraId="2B5AB88F" w14:textId="77777777" w:rsidR="00A052DC" w:rsidRDefault="00A052DC"/>
    <w:p w14:paraId="52670A23" w14:textId="77777777" w:rsidR="00A052DC" w:rsidRDefault="009F0A60" w:rsidP="0020251D">
      <w:pPr>
        <w:pStyle w:val="3"/>
        <w:ind w:left="0"/>
        <w:rPr>
          <w:rFonts w:ascii="Times New Roman" w:hAnsi="Times New Roman"/>
        </w:rPr>
      </w:pPr>
      <w:bookmarkStart w:id="3306" w:name="_Toc91455324"/>
      <w:bookmarkStart w:id="3307" w:name="_Toc454391338"/>
      <w:bookmarkStart w:id="3308" w:name="_Toc380570983"/>
      <w:bookmarkStart w:id="3309" w:name="_Toc380356297"/>
      <w:bookmarkStart w:id="3310" w:name="_Toc101684497"/>
      <w:r>
        <w:rPr>
          <w:rFonts w:ascii="Times New Roman" w:hAnsi="Times New Roman"/>
        </w:rPr>
        <w:t>D08</w:t>
      </w:r>
      <w:r>
        <w:rPr>
          <w:rFonts w:ascii="Times New Roman" w:hAnsi="Times New Roman" w:hint="eastAsia"/>
        </w:rPr>
        <w:t>表：应付款</w:t>
      </w:r>
      <w:r>
        <w:rPr>
          <w:rFonts w:ascii="黑体" w:hAnsi="宋体" w:hint="eastAsia"/>
        </w:rPr>
        <w:t>及预收款</w:t>
      </w:r>
      <w:r>
        <w:rPr>
          <w:rFonts w:ascii="Times New Roman" w:hAnsi="Times New Roman" w:hint="eastAsia"/>
        </w:rPr>
        <w:t>（不含应付利息）（负债）</w:t>
      </w:r>
      <w:bookmarkEnd w:id="3306"/>
      <w:bookmarkEnd w:id="3307"/>
      <w:bookmarkEnd w:id="3308"/>
      <w:bookmarkEnd w:id="3309"/>
      <w:bookmarkEnd w:id="3310"/>
    </w:p>
    <w:p w14:paraId="55FCB66F" w14:textId="77777777" w:rsidR="00A052DC" w:rsidRDefault="009F0A60" w:rsidP="0020251D">
      <w:pPr>
        <w:pStyle w:val="4"/>
        <w:numPr>
          <w:ilvl w:val="3"/>
          <w:numId w:val="1"/>
        </w:numPr>
        <w:jc w:val="left"/>
      </w:pPr>
      <w:r>
        <w:rPr>
          <w:rFonts w:hint="eastAsia"/>
        </w:rPr>
        <w:t>数据术语解释</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6946"/>
      </w:tblGrid>
      <w:tr w:rsidR="00A052DC" w14:paraId="2B809539" w14:textId="77777777">
        <w:tc>
          <w:tcPr>
            <w:tcW w:w="1384" w:type="dxa"/>
            <w:tcBorders>
              <w:top w:val="single" w:sz="4" w:space="0" w:color="auto"/>
              <w:left w:val="single" w:sz="4" w:space="0" w:color="auto"/>
              <w:bottom w:val="single" w:sz="4" w:space="0" w:color="auto"/>
              <w:right w:val="single" w:sz="4" w:space="0" w:color="auto"/>
            </w:tcBorders>
            <w:shd w:val="clear" w:color="auto" w:fill="auto"/>
          </w:tcPr>
          <w:p w14:paraId="5AEF925F" w14:textId="77777777" w:rsidR="00A052DC" w:rsidRDefault="009F0A60">
            <w:pPr>
              <w:pStyle w:val="B1"/>
              <w:rPr>
                <w:b w:val="0"/>
              </w:rPr>
            </w:pPr>
            <w:r>
              <w:rPr>
                <w:rFonts w:hint="eastAsia"/>
              </w:rPr>
              <w:t>基础数据项</w:t>
            </w:r>
          </w:p>
        </w:tc>
        <w:tc>
          <w:tcPr>
            <w:tcW w:w="6946" w:type="dxa"/>
            <w:tcBorders>
              <w:top w:val="single" w:sz="4" w:space="0" w:color="auto"/>
              <w:left w:val="single" w:sz="4" w:space="0" w:color="auto"/>
              <w:bottom w:val="single" w:sz="4" w:space="0" w:color="auto"/>
              <w:right w:val="single" w:sz="4" w:space="0" w:color="auto"/>
            </w:tcBorders>
            <w:shd w:val="clear" w:color="auto" w:fill="auto"/>
          </w:tcPr>
          <w:p w14:paraId="33CF1C61" w14:textId="77777777" w:rsidR="00A052DC" w:rsidRDefault="009F0A60">
            <w:pPr>
              <w:pStyle w:val="B1"/>
              <w:rPr>
                <w:b w:val="0"/>
              </w:rPr>
            </w:pPr>
            <w:r>
              <w:rPr>
                <w:rFonts w:hint="eastAsia"/>
              </w:rPr>
              <w:t>定义</w:t>
            </w:r>
          </w:p>
        </w:tc>
      </w:tr>
      <w:tr w:rsidR="00A052DC" w14:paraId="0B6557B2" w14:textId="77777777">
        <w:tc>
          <w:tcPr>
            <w:tcW w:w="1384" w:type="dxa"/>
            <w:tcBorders>
              <w:top w:val="single" w:sz="4" w:space="0" w:color="auto"/>
              <w:left w:val="single" w:sz="4" w:space="0" w:color="auto"/>
              <w:bottom w:val="single" w:sz="4" w:space="0" w:color="auto"/>
              <w:right w:val="single" w:sz="4" w:space="0" w:color="auto"/>
            </w:tcBorders>
            <w:shd w:val="clear" w:color="auto" w:fill="auto"/>
          </w:tcPr>
          <w:p w14:paraId="7EE97954" w14:textId="77777777" w:rsidR="00A052DC" w:rsidRDefault="009F0A60">
            <w:pPr>
              <w:pStyle w:val="B1"/>
              <w:widowControl w:val="0"/>
              <w:jc w:val="left"/>
              <w:rPr>
                <w:b w:val="0"/>
              </w:rPr>
            </w:pPr>
            <w:r>
              <w:rPr>
                <w:rFonts w:hint="eastAsia"/>
                <w:b w:val="0"/>
              </w:rPr>
              <w:t>数据自编码</w:t>
            </w:r>
          </w:p>
        </w:tc>
        <w:tc>
          <w:tcPr>
            <w:tcW w:w="6946" w:type="dxa"/>
            <w:tcBorders>
              <w:top w:val="single" w:sz="4" w:space="0" w:color="auto"/>
              <w:left w:val="single" w:sz="4" w:space="0" w:color="auto"/>
              <w:bottom w:val="single" w:sz="4" w:space="0" w:color="auto"/>
              <w:right w:val="single" w:sz="4" w:space="0" w:color="auto"/>
            </w:tcBorders>
            <w:shd w:val="clear" w:color="auto" w:fill="auto"/>
          </w:tcPr>
          <w:p w14:paraId="5DE0929C" w14:textId="77777777" w:rsidR="00A052DC" w:rsidRDefault="009F0A60">
            <w:pPr>
              <w:pStyle w:val="B1"/>
              <w:widowControl w:val="0"/>
              <w:jc w:val="left"/>
              <w:rPr>
                <w:b w:val="0"/>
              </w:rPr>
            </w:pPr>
            <w:r>
              <w:rPr>
                <w:rFonts w:hint="eastAsia"/>
                <w:b w:val="0"/>
              </w:rPr>
              <w:t>该编码用于标识金融机构报送的每一条数据，按给定规则编码，便于进行增删改查等操作。建议规则：机构代码（</w:t>
            </w:r>
            <w:r>
              <w:rPr>
                <w:b w:val="0"/>
              </w:rPr>
              <w:t>18</w:t>
            </w:r>
            <w:r>
              <w:rPr>
                <w:rFonts w:hint="eastAsia"/>
                <w:b w:val="0"/>
              </w:rPr>
              <w:t>位，不足</w:t>
            </w:r>
            <w:r>
              <w:rPr>
                <w:b w:val="0"/>
              </w:rPr>
              <w:t>18</w:t>
            </w:r>
            <w:r>
              <w:rPr>
                <w:rFonts w:hint="eastAsia"/>
                <w:b w:val="0"/>
              </w:rPr>
              <w:t>位补</w:t>
            </w:r>
            <w:r>
              <w:rPr>
                <w:b w:val="0"/>
              </w:rPr>
              <w:t>a</w:t>
            </w:r>
            <w:r>
              <w:rPr>
                <w:rFonts w:hint="eastAsia"/>
                <w:b w:val="0"/>
              </w:rPr>
              <w:t>）</w:t>
            </w:r>
            <w:r>
              <w:rPr>
                <w:b w:val="0"/>
              </w:rPr>
              <w:t>+</w:t>
            </w:r>
            <w:r>
              <w:rPr>
                <w:rFonts w:hint="eastAsia"/>
                <w:b w:val="0"/>
              </w:rPr>
              <w:t>报表代码（</w:t>
            </w:r>
            <w:r>
              <w:rPr>
                <w:b w:val="0"/>
              </w:rPr>
              <w:t>5</w:t>
            </w:r>
            <w:r>
              <w:rPr>
                <w:rFonts w:hint="eastAsia"/>
                <w:b w:val="0"/>
              </w:rPr>
              <w:t>位，不足</w:t>
            </w:r>
            <w:r>
              <w:rPr>
                <w:b w:val="0"/>
              </w:rPr>
              <w:t>5</w:t>
            </w:r>
            <w:r>
              <w:rPr>
                <w:rFonts w:hint="eastAsia"/>
                <w:b w:val="0"/>
              </w:rPr>
              <w:t>位补</w:t>
            </w:r>
            <w:r>
              <w:rPr>
                <w:b w:val="0"/>
              </w:rPr>
              <w:t>a</w:t>
            </w:r>
            <w:r>
              <w:rPr>
                <w:rFonts w:hint="eastAsia"/>
                <w:b w:val="0"/>
              </w:rPr>
              <w:t>）</w:t>
            </w:r>
            <w:r>
              <w:rPr>
                <w:b w:val="0"/>
              </w:rPr>
              <w:t>+</w:t>
            </w:r>
            <w:r>
              <w:rPr>
                <w:rFonts w:hint="eastAsia"/>
                <w:b w:val="0"/>
              </w:rPr>
              <w:t>报送期（</w:t>
            </w:r>
            <w:r>
              <w:rPr>
                <w:b w:val="0"/>
              </w:rPr>
              <w:t>6</w:t>
            </w:r>
            <w:r>
              <w:rPr>
                <w:rFonts w:hint="eastAsia"/>
                <w:b w:val="0"/>
              </w:rPr>
              <w:t>位）</w:t>
            </w:r>
            <w:r>
              <w:rPr>
                <w:b w:val="0"/>
              </w:rPr>
              <w:t>+</w:t>
            </w:r>
            <w:r>
              <w:rPr>
                <w:rFonts w:hint="eastAsia"/>
                <w:b w:val="0"/>
              </w:rPr>
              <w:t>顺序号（</w:t>
            </w:r>
            <w:r>
              <w:rPr>
                <w:b w:val="0"/>
              </w:rPr>
              <w:t>7</w:t>
            </w:r>
            <w:r>
              <w:rPr>
                <w:rFonts w:hint="eastAsia"/>
                <w:b w:val="0"/>
              </w:rPr>
              <w:t>位，从</w:t>
            </w:r>
            <w:r>
              <w:rPr>
                <w:b w:val="0"/>
              </w:rPr>
              <w:t>0000001</w:t>
            </w:r>
            <w:r>
              <w:rPr>
                <w:rFonts w:hint="eastAsia"/>
                <w:b w:val="0"/>
              </w:rPr>
              <w:t>开始增加）。</w:t>
            </w:r>
          </w:p>
        </w:tc>
      </w:tr>
      <w:tr w:rsidR="00A052DC" w14:paraId="14F71E12" w14:textId="77777777">
        <w:tc>
          <w:tcPr>
            <w:tcW w:w="1384" w:type="dxa"/>
            <w:tcBorders>
              <w:top w:val="single" w:sz="4" w:space="0" w:color="auto"/>
              <w:left w:val="single" w:sz="4" w:space="0" w:color="auto"/>
              <w:bottom w:val="single" w:sz="4" w:space="0" w:color="auto"/>
              <w:right w:val="single" w:sz="4" w:space="0" w:color="auto"/>
            </w:tcBorders>
            <w:shd w:val="clear" w:color="auto" w:fill="auto"/>
          </w:tcPr>
          <w:p w14:paraId="49E20627" w14:textId="77777777" w:rsidR="00A052DC" w:rsidRDefault="009F0A60">
            <w:pPr>
              <w:pStyle w:val="B1"/>
              <w:widowControl w:val="0"/>
              <w:jc w:val="left"/>
              <w:rPr>
                <w:b w:val="0"/>
              </w:rPr>
            </w:pPr>
            <w:r>
              <w:rPr>
                <w:rFonts w:hint="eastAsia"/>
                <w:b w:val="0"/>
              </w:rPr>
              <w:t>申报主体代码</w:t>
            </w:r>
          </w:p>
        </w:tc>
        <w:tc>
          <w:tcPr>
            <w:tcW w:w="6946" w:type="dxa"/>
            <w:tcBorders>
              <w:top w:val="single" w:sz="4" w:space="0" w:color="auto"/>
              <w:left w:val="single" w:sz="4" w:space="0" w:color="auto"/>
              <w:bottom w:val="single" w:sz="4" w:space="0" w:color="auto"/>
              <w:right w:val="single" w:sz="4" w:space="0" w:color="auto"/>
            </w:tcBorders>
            <w:shd w:val="clear" w:color="auto" w:fill="auto"/>
          </w:tcPr>
          <w:p w14:paraId="7F12F2BC" w14:textId="77777777" w:rsidR="00A052DC" w:rsidRDefault="009F0A60">
            <w:pPr>
              <w:pStyle w:val="B1"/>
              <w:widowControl w:val="0"/>
              <w:jc w:val="left"/>
              <w:rPr>
                <w:b w:val="0"/>
              </w:rPr>
            </w:pPr>
            <w:r>
              <w:rPr>
                <w:rFonts w:hint="eastAsia"/>
                <w:b w:val="0"/>
              </w:rPr>
              <w:t>申报主体的12位金融机构标识码，如果没有金融机构标识码，则填报统一社会信用代码法定载体（如营业执照）上统一社会信用代码中的第9至17位或国家外汇管理局及其分支局签发的特殊机构代码赋码通知书上的机构代码、个人身份代码。</w:t>
            </w:r>
          </w:p>
        </w:tc>
      </w:tr>
      <w:tr w:rsidR="00A052DC" w14:paraId="21305095" w14:textId="77777777">
        <w:tc>
          <w:tcPr>
            <w:tcW w:w="1384" w:type="dxa"/>
            <w:tcBorders>
              <w:top w:val="single" w:sz="4" w:space="0" w:color="auto"/>
              <w:left w:val="single" w:sz="4" w:space="0" w:color="auto"/>
              <w:bottom w:val="single" w:sz="4" w:space="0" w:color="auto"/>
              <w:right w:val="single" w:sz="4" w:space="0" w:color="auto"/>
            </w:tcBorders>
            <w:shd w:val="clear" w:color="auto" w:fill="auto"/>
          </w:tcPr>
          <w:p w14:paraId="6749511C" w14:textId="77777777" w:rsidR="00A052DC" w:rsidRDefault="009F0A60">
            <w:pPr>
              <w:pStyle w:val="B1"/>
              <w:widowControl w:val="0"/>
              <w:jc w:val="left"/>
              <w:rPr>
                <w:b w:val="0"/>
              </w:rPr>
            </w:pPr>
            <w:r>
              <w:rPr>
                <w:rFonts w:hint="eastAsia"/>
                <w:b w:val="0"/>
              </w:rPr>
              <w:t>报告期</w:t>
            </w:r>
          </w:p>
        </w:tc>
        <w:tc>
          <w:tcPr>
            <w:tcW w:w="6946" w:type="dxa"/>
            <w:tcBorders>
              <w:top w:val="single" w:sz="4" w:space="0" w:color="auto"/>
              <w:left w:val="single" w:sz="4" w:space="0" w:color="auto"/>
              <w:bottom w:val="single" w:sz="4" w:space="0" w:color="auto"/>
              <w:right w:val="single" w:sz="4" w:space="0" w:color="auto"/>
            </w:tcBorders>
            <w:shd w:val="clear" w:color="auto" w:fill="auto"/>
          </w:tcPr>
          <w:p w14:paraId="02B97E56" w14:textId="77777777" w:rsidR="00A052DC" w:rsidRDefault="009F0A60">
            <w:pPr>
              <w:pStyle w:val="B1"/>
              <w:widowControl w:val="0"/>
              <w:jc w:val="left"/>
              <w:rPr>
                <w:b w:val="0"/>
              </w:rPr>
            </w:pPr>
            <w:r>
              <w:rPr>
                <w:rFonts w:hint="eastAsia"/>
                <w:b w:val="0"/>
              </w:rPr>
              <w:t>业务发生月份，格式为</w:t>
            </w:r>
            <w:r>
              <w:rPr>
                <w:b w:val="0"/>
              </w:rPr>
              <w:t>YYYYMM</w:t>
            </w:r>
            <w:r>
              <w:rPr>
                <w:rFonts w:hint="eastAsia"/>
                <w:b w:val="0"/>
              </w:rPr>
              <w:t>。</w:t>
            </w:r>
          </w:p>
        </w:tc>
      </w:tr>
      <w:tr w:rsidR="00A052DC" w14:paraId="3D5E82A5" w14:textId="77777777">
        <w:tc>
          <w:tcPr>
            <w:tcW w:w="1384" w:type="dxa"/>
            <w:tcBorders>
              <w:top w:val="single" w:sz="4" w:space="0" w:color="auto"/>
              <w:left w:val="single" w:sz="4" w:space="0" w:color="auto"/>
              <w:bottom w:val="single" w:sz="4" w:space="0" w:color="auto"/>
              <w:right w:val="single" w:sz="4" w:space="0" w:color="auto"/>
            </w:tcBorders>
            <w:shd w:val="clear" w:color="auto" w:fill="auto"/>
          </w:tcPr>
          <w:p w14:paraId="55902578" w14:textId="77777777" w:rsidR="00A052DC" w:rsidRDefault="009F0A60">
            <w:pPr>
              <w:pStyle w:val="B1"/>
              <w:widowControl w:val="0"/>
              <w:jc w:val="left"/>
              <w:rPr>
                <w:b w:val="0"/>
              </w:rPr>
            </w:pPr>
            <w:r>
              <w:rPr>
                <w:rFonts w:hint="eastAsia"/>
                <w:b w:val="0"/>
              </w:rPr>
              <w:t>业务类型</w:t>
            </w:r>
          </w:p>
        </w:tc>
        <w:tc>
          <w:tcPr>
            <w:tcW w:w="6946" w:type="dxa"/>
            <w:tcBorders>
              <w:top w:val="single" w:sz="4" w:space="0" w:color="auto"/>
              <w:left w:val="single" w:sz="4" w:space="0" w:color="auto"/>
              <w:bottom w:val="single" w:sz="4" w:space="0" w:color="auto"/>
              <w:right w:val="single" w:sz="4" w:space="0" w:color="auto"/>
            </w:tcBorders>
            <w:shd w:val="clear" w:color="auto" w:fill="auto"/>
          </w:tcPr>
          <w:p w14:paraId="15FA4610" w14:textId="77777777" w:rsidR="00A052DC" w:rsidRDefault="009F0A60">
            <w:pPr>
              <w:pStyle w:val="B1"/>
              <w:widowControl w:val="0"/>
              <w:jc w:val="left"/>
              <w:rPr>
                <w:b w:val="0"/>
              </w:rPr>
            </w:pPr>
            <w:r>
              <w:rPr>
                <w:rFonts w:hint="eastAsia"/>
                <w:b w:val="0"/>
              </w:rPr>
              <w:t>指产生应付（预收）款项的业务类型，请按以下两种情况填列：</w:t>
            </w:r>
            <w:r>
              <w:rPr>
                <w:b w:val="0"/>
              </w:rPr>
              <w:t>1-货物贸易；9-其他。</w:t>
            </w:r>
          </w:p>
        </w:tc>
      </w:tr>
      <w:tr w:rsidR="00A052DC" w14:paraId="103A438D" w14:textId="77777777">
        <w:tc>
          <w:tcPr>
            <w:tcW w:w="1384" w:type="dxa"/>
            <w:tcBorders>
              <w:top w:val="single" w:sz="4" w:space="0" w:color="auto"/>
              <w:left w:val="single" w:sz="4" w:space="0" w:color="auto"/>
              <w:bottom w:val="single" w:sz="4" w:space="0" w:color="auto"/>
              <w:right w:val="single" w:sz="4" w:space="0" w:color="auto"/>
            </w:tcBorders>
            <w:shd w:val="clear" w:color="auto" w:fill="auto"/>
          </w:tcPr>
          <w:p w14:paraId="6DC6BB92" w14:textId="77777777" w:rsidR="00A052DC" w:rsidRDefault="009F0A60">
            <w:pPr>
              <w:pStyle w:val="B1"/>
              <w:jc w:val="left"/>
              <w:rPr>
                <w:b w:val="0"/>
              </w:rPr>
            </w:pPr>
            <w:r>
              <w:rPr>
                <w:rFonts w:hint="eastAsia"/>
                <w:b w:val="0"/>
              </w:rPr>
              <w:t>对方国家</w:t>
            </w:r>
            <w:r>
              <w:rPr>
                <w:b w:val="0"/>
              </w:rPr>
              <w:t>/</w:t>
            </w:r>
            <w:r>
              <w:rPr>
                <w:rFonts w:hint="eastAsia"/>
                <w:b w:val="0"/>
              </w:rPr>
              <w:t>地区</w:t>
            </w:r>
          </w:p>
        </w:tc>
        <w:tc>
          <w:tcPr>
            <w:tcW w:w="6946" w:type="dxa"/>
            <w:tcBorders>
              <w:top w:val="single" w:sz="4" w:space="0" w:color="auto"/>
              <w:left w:val="single" w:sz="4" w:space="0" w:color="auto"/>
              <w:bottom w:val="single" w:sz="4" w:space="0" w:color="auto"/>
              <w:right w:val="single" w:sz="4" w:space="0" w:color="auto"/>
            </w:tcBorders>
            <w:shd w:val="clear" w:color="auto" w:fill="auto"/>
          </w:tcPr>
          <w:p w14:paraId="7C16C2C0" w14:textId="77777777" w:rsidR="00A052DC" w:rsidRDefault="009F0A60">
            <w:pPr>
              <w:pStyle w:val="B1"/>
              <w:jc w:val="left"/>
              <w:rPr>
                <w:b w:val="0"/>
              </w:rPr>
            </w:pPr>
            <w:r>
              <w:rPr>
                <w:rFonts w:hint="eastAsia"/>
                <w:b w:val="0"/>
              </w:rPr>
              <w:t>指应付（预收）款项对应的非居民主体注册或常驻（住）的国家/地区。参见国家和地区代码表的3位字母代码。</w:t>
            </w:r>
          </w:p>
        </w:tc>
      </w:tr>
      <w:tr w:rsidR="00A052DC" w14:paraId="5BF88EFD" w14:textId="77777777">
        <w:tc>
          <w:tcPr>
            <w:tcW w:w="1384" w:type="dxa"/>
            <w:tcBorders>
              <w:top w:val="single" w:sz="4" w:space="0" w:color="auto"/>
              <w:left w:val="single" w:sz="4" w:space="0" w:color="auto"/>
              <w:bottom w:val="single" w:sz="4" w:space="0" w:color="auto"/>
              <w:right w:val="single" w:sz="4" w:space="0" w:color="auto"/>
            </w:tcBorders>
            <w:shd w:val="clear" w:color="auto" w:fill="auto"/>
          </w:tcPr>
          <w:p w14:paraId="263E3F2F" w14:textId="77777777" w:rsidR="00A052DC" w:rsidRDefault="009F0A60">
            <w:pPr>
              <w:pStyle w:val="B1"/>
              <w:jc w:val="left"/>
              <w:rPr>
                <w:b w:val="0"/>
              </w:rPr>
            </w:pPr>
            <w:r>
              <w:rPr>
                <w:rFonts w:hint="eastAsia"/>
                <w:b w:val="0"/>
              </w:rPr>
              <w:t>对方部门</w:t>
            </w:r>
          </w:p>
        </w:tc>
        <w:tc>
          <w:tcPr>
            <w:tcW w:w="6946" w:type="dxa"/>
            <w:tcBorders>
              <w:top w:val="single" w:sz="4" w:space="0" w:color="auto"/>
              <w:left w:val="single" w:sz="4" w:space="0" w:color="auto"/>
              <w:bottom w:val="single" w:sz="4" w:space="0" w:color="auto"/>
              <w:right w:val="single" w:sz="4" w:space="0" w:color="auto"/>
            </w:tcBorders>
            <w:shd w:val="clear" w:color="auto" w:fill="auto"/>
          </w:tcPr>
          <w:p w14:paraId="3D0AA213" w14:textId="77777777" w:rsidR="00A052DC" w:rsidRDefault="009F0A60">
            <w:pPr>
              <w:pStyle w:val="B1"/>
              <w:jc w:val="left"/>
              <w:rPr>
                <w:b w:val="0"/>
              </w:rPr>
            </w:pPr>
            <w:r>
              <w:rPr>
                <w:rFonts w:hint="eastAsia"/>
                <w:b w:val="0"/>
              </w:rPr>
              <w:t>参见投资者（被投资者）部门代码表。请按对方的主营业务归类。</w:t>
            </w:r>
          </w:p>
        </w:tc>
      </w:tr>
      <w:tr w:rsidR="00A052DC" w14:paraId="1B87D166" w14:textId="77777777">
        <w:tc>
          <w:tcPr>
            <w:tcW w:w="1384" w:type="dxa"/>
            <w:tcBorders>
              <w:top w:val="single" w:sz="4" w:space="0" w:color="auto"/>
              <w:left w:val="single" w:sz="4" w:space="0" w:color="auto"/>
              <w:bottom w:val="single" w:sz="4" w:space="0" w:color="auto"/>
              <w:right w:val="single" w:sz="4" w:space="0" w:color="auto"/>
            </w:tcBorders>
            <w:shd w:val="clear" w:color="auto" w:fill="auto"/>
          </w:tcPr>
          <w:p w14:paraId="699262D0" w14:textId="77777777" w:rsidR="00A052DC" w:rsidRDefault="009F0A60">
            <w:pPr>
              <w:pStyle w:val="B1"/>
              <w:jc w:val="left"/>
              <w:rPr>
                <w:b w:val="0"/>
              </w:rPr>
            </w:pPr>
            <w:r>
              <w:rPr>
                <w:rFonts w:hint="eastAsia"/>
                <w:b w:val="0"/>
              </w:rPr>
              <w:t>对方与本机构的关系</w:t>
            </w:r>
          </w:p>
        </w:tc>
        <w:tc>
          <w:tcPr>
            <w:tcW w:w="6946" w:type="dxa"/>
            <w:tcBorders>
              <w:top w:val="single" w:sz="4" w:space="0" w:color="auto"/>
              <w:left w:val="single" w:sz="4" w:space="0" w:color="auto"/>
              <w:bottom w:val="single" w:sz="4" w:space="0" w:color="auto"/>
              <w:right w:val="single" w:sz="4" w:space="0" w:color="auto"/>
            </w:tcBorders>
            <w:shd w:val="clear" w:color="auto" w:fill="auto"/>
          </w:tcPr>
          <w:p w14:paraId="2FE5BCC6" w14:textId="77777777" w:rsidR="00A052DC" w:rsidRDefault="009F0A60">
            <w:pPr>
              <w:pStyle w:val="B1"/>
              <w:jc w:val="left"/>
              <w:rPr>
                <w:b w:val="0"/>
              </w:rPr>
            </w:pPr>
            <w:r>
              <w:rPr>
                <w:rFonts w:hint="eastAsia"/>
                <w:b w:val="0"/>
              </w:rPr>
              <w:t>参见对方与本机构</w:t>
            </w:r>
            <w:r>
              <w:rPr>
                <w:b w:val="0"/>
              </w:rPr>
              <w:t>/</w:t>
            </w:r>
            <w:r>
              <w:rPr>
                <w:rFonts w:hint="eastAsia"/>
                <w:b w:val="0"/>
              </w:rPr>
              <w:t>被代理居民机构</w:t>
            </w:r>
            <w:r>
              <w:rPr>
                <w:b w:val="0"/>
              </w:rPr>
              <w:t>/</w:t>
            </w:r>
            <w:r>
              <w:rPr>
                <w:rFonts w:hint="eastAsia"/>
                <w:b w:val="0"/>
              </w:rPr>
              <w:t>委托人的关系代码表。分为四种情况：</w:t>
            </w:r>
            <w:r>
              <w:rPr>
                <w:b w:val="0"/>
              </w:rPr>
              <w:t>1-</w:t>
            </w:r>
            <w:r>
              <w:rPr>
                <w:rFonts w:hint="eastAsia"/>
                <w:b w:val="0"/>
              </w:rPr>
              <w:t>对方是本机构的境外直接投资者，即持有本机构表决权≥</w:t>
            </w:r>
            <w:r>
              <w:rPr>
                <w:b w:val="0"/>
              </w:rPr>
              <w:t>10%</w:t>
            </w:r>
            <w:r>
              <w:rPr>
                <w:rFonts w:hint="eastAsia"/>
                <w:b w:val="0"/>
              </w:rPr>
              <w:t>；</w:t>
            </w:r>
            <w:r>
              <w:rPr>
                <w:b w:val="0"/>
              </w:rPr>
              <w:t>2-</w:t>
            </w:r>
            <w:r>
              <w:rPr>
                <w:rFonts w:hint="eastAsia"/>
                <w:b w:val="0"/>
              </w:rPr>
              <w:t>对方是本机构的境外直接投资企业，即本机构持有表决权在</w:t>
            </w:r>
            <w:r>
              <w:rPr>
                <w:b w:val="0"/>
              </w:rPr>
              <w:t>10%</w:t>
            </w:r>
            <w:r>
              <w:rPr>
                <w:rFonts w:hint="eastAsia"/>
                <w:b w:val="0"/>
              </w:rPr>
              <w:t>及以上的境外分支机构、子机构、联营机构或合营机构；</w:t>
            </w:r>
            <w:r>
              <w:rPr>
                <w:b w:val="0"/>
              </w:rPr>
              <w:t>3-</w:t>
            </w:r>
            <w:r>
              <w:rPr>
                <w:rFonts w:hint="eastAsia"/>
                <w:b w:val="0"/>
              </w:rPr>
              <w:t>对方是本机构的境外联属机构，即双方有共同母公司，但相互持有表决权＜</w:t>
            </w:r>
            <w:r>
              <w:rPr>
                <w:b w:val="0"/>
              </w:rPr>
              <w:t>10%</w:t>
            </w:r>
            <w:r>
              <w:rPr>
                <w:rFonts w:hint="eastAsia"/>
                <w:b w:val="0"/>
              </w:rPr>
              <w:t>或相互不持有表决权；</w:t>
            </w:r>
            <w:r>
              <w:rPr>
                <w:b w:val="0"/>
              </w:rPr>
              <w:t>4-</w:t>
            </w:r>
            <w:r>
              <w:rPr>
                <w:rFonts w:hint="eastAsia"/>
                <w:b w:val="0"/>
              </w:rPr>
              <w:t>对方与本机构无关联关系。</w:t>
            </w:r>
          </w:p>
        </w:tc>
      </w:tr>
      <w:tr w:rsidR="00A052DC" w14:paraId="0C97AB70" w14:textId="77777777">
        <w:tc>
          <w:tcPr>
            <w:tcW w:w="1384" w:type="dxa"/>
            <w:tcBorders>
              <w:top w:val="single" w:sz="4" w:space="0" w:color="auto"/>
              <w:left w:val="single" w:sz="4" w:space="0" w:color="auto"/>
              <w:bottom w:val="single" w:sz="4" w:space="0" w:color="auto"/>
              <w:right w:val="single" w:sz="4" w:space="0" w:color="auto"/>
            </w:tcBorders>
            <w:shd w:val="clear" w:color="auto" w:fill="auto"/>
          </w:tcPr>
          <w:p w14:paraId="4478E4E3" w14:textId="77777777" w:rsidR="00A052DC" w:rsidRDefault="009F0A60">
            <w:pPr>
              <w:pStyle w:val="B1"/>
              <w:jc w:val="left"/>
              <w:rPr>
                <w:b w:val="0"/>
              </w:rPr>
            </w:pPr>
            <w:r>
              <w:rPr>
                <w:rFonts w:hint="eastAsia"/>
                <w:b w:val="0"/>
              </w:rPr>
              <w:t>原始期限</w:t>
            </w:r>
          </w:p>
        </w:tc>
        <w:tc>
          <w:tcPr>
            <w:tcW w:w="6946" w:type="dxa"/>
            <w:tcBorders>
              <w:top w:val="single" w:sz="4" w:space="0" w:color="auto"/>
              <w:left w:val="single" w:sz="4" w:space="0" w:color="auto"/>
              <w:bottom w:val="single" w:sz="4" w:space="0" w:color="auto"/>
              <w:right w:val="single" w:sz="4" w:space="0" w:color="auto"/>
            </w:tcBorders>
            <w:shd w:val="clear" w:color="auto" w:fill="auto"/>
          </w:tcPr>
          <w:p w14:paraId="6CF1A018" w14:textId="77777777" w:rsidR="00A052DC" w:rsidRDefault="009F0A60">
            <w:pPr>
              <w:pStyle w:val="B1"/>
              <w:jc w:val="left"/>
              <w:rPr>
                <w:b w:val="0"/>
              </w:rPr>
            </w:pPr>
            <w:r>
              <w:rPr>
                <w:rFonts w:hint="eastAsia"/>
                <w:b w:val="0"/>
              </w:rPr>
              <w:t>应付款从确认至（预计）付清的期限，或预收款从确认至（预计）账面冲减的期限，按以下两种情况填报，</w:t>
            </w:r>
            <w:r>
              <w:rPr>
                <w:b w:val="0"/>
              </w:rPr>
              <w:t>1-</w:t>
            </w:r>
            <w:r>
              <w:rPr>
                <w:rFonts w:hint="eastAsia"/>
                <w:b w:val="0"/>
              </w:rPr>
              <w:t>一年及以下，含不定期；</w:t>
            </w:r>
            <w:r>
              <w:rPr>
                <w:b w:val="0"/>
              </w:rPr>
              <w:t>2-</w:t>
            </w:r>
            <w:r>
              <w:rPr>
                <w:rFonts w:hint="eastAsia"/>
                <w:b w:val="0"/>
              </w:rPr>
              <w:t>一年以上。如发生应付款拖欠或展期的，应按照双方确定的期限计算。如双方无安排，应按原期限归类。</w:t>
            </w:r>
          </w:p>
        </w:tc>
      </w:tr>
      <w:tr w:rsidR="00A052DC" w14:paraId="34BE3D9A" w14:textId="77777777">
        <w:tc>
          <w:tcPr>
            <w:tcW w:w="1384" w:type="dxa"/>
            <w:tcBorders>
              <w:top w:val="single" w:sz="4" w:space="0" w:color="auto"/>
              <w:left w:val="single" w:sz="4" w:space="0" w:color="auto"/>
              <w:bottom w:val="single" w:sz="4" w:space="0" w:color="auto"/>
              <w:right w:val="single" w:sz="4" w:space="0" w:color="auto"/>
            </w:tcBorders>
            <w:shd w:val="clear" w:color="auto" w:fill="auto"/>
          </w:tcPr>
          <w:p w14:paraId="31989EC3" w14:textId="77777777" w:rsidR="00A052DC" w:rsidRDefault="009F0A60">
            <w:pPr>
              <w:pStyle w:val="B1"/>
              <w:jc w:val="left"/>
              <w:rPr>
                <w:b w:val="0"/>
              </w:rPr>
            </w:pPr>
            <w:r>
              <w:rPr>
                <w:rFonts w:hint="eastAsia"/>
                <w:b w:val="0"/>
              </w:rPr>
              <w:t>原始币种</w:t>
            </w:r>
          </w:p>
        </w:tc>
        <w:tc>
          <w:tcPr>
            <w:tcW w:w="6946" w:type="dxa"/>
            <w:tcBorders>
              <w:top w:val="single" w:sz="4" w:space="0" w:color="auto"/>
              <w:left w:val="single" w:sz="4" w:space="0" w:color="auto"/>
              <w:bottom w:val="single" w:sz="4" w:space="0" w:color="auto"/>
              <w:right w:val="single" w:sz="4" w:space="0" w:color="auto"/>
            </w:tcBorders>
            <w:shd w:val="clear" w:color="auto" w:fill="auto"/>
          </w:tcPr>
          <w:p w14:paraId="470F65B9" w14:textId="77777777" w:rsidR="00A052DC" w:rsidRDefault="009F0A60">
            <w:pPr>
              <w:pStyle w:val="B1"/>
              <w:jc w:val="left"/>
              <w:rPr>
                <w:b w:val="0"/>
              </w:rPr>
            </w:pPr>
            <w:r>
              <w:rPr>
                <w:rFonts w:hint="eastAsia"/>
                <w:b w:val="0"/>
              </w:rPr>
              <w:t>指应付（预收）款项的原始记价币种</w:t>
            </w:r>
            <w:r>
              <w:rPr>
                <w:b w:val="0"/>
              </w:rPr>
              <w:t>，</w:t>
            </w:r>
            <w:r>
              <w:rPr>
                <w:rFonts w:hint="eastAsia"/>
                <w:b w:val="0"/>
              </w:rPr>
              <w:t>适用于“上月末余额”至“本月净发生额”各项。见币种代码表。</w:t>
            </w:r>
          </w:p>
        </w:tc>
      </w:tr>
      <w:tr w:rsidR="00A052DC" w14:paraId="0D4EFE67" w14:textId="77777777">
        <w:tc>
          <w:tcPr>
            <w:tcW w:w="1384" w:type="dxa"/>
            <w:tcBorders>
              <w:top w:val="single" w:sz="4" w:space="0" w:color="auto"/>
              <w:left w:val="single" w:sz="4" w:space="0" w:color="auto"/>
              <w:bottom w:val="single" w:sz="4" w:space="0" w:color="auto"/>
              <w:right w:val="single" w:sz="4" w:space="0" w:color="auto"/>
            </w:tcBorders>
            <w:shd w:val="clear" w:color="auto" w:fill="auto"/>
          </w:tcPr>
          <w:p w14:paraId="014E1D28" w14:textId="77777777" w:rsidR="00A052DC" w:rsidRDefault="009F0A60">
            <w:pPr>
              <w:pStyle w:val="B1"/>
              <w:jc w:val="left"/>
              <w:rPr>
                <w:b w:val="0"/>
              </w:rPr>
            </w:pPr>
            <w:r>
              <w:rPr>
                <w:rFonts w:hint="eastAsia"/>
                <w:b w:val="0"/>
              </w:rPr>
              <w:t>上月末余额</w:t>
            </w:r>
          </w:p>
        </w:tc>
        <w:tc>
          <w:tcPr>
            <w:tcW w:w="6946" w:type="dxa"/>
            <w:tcBorders>
              <w:top w:val="single" w:sz="4" w:space="0" w:color="auto"/>
              <w:left w:val="single" w:sz="4" w:space="0" w:color="auto"/>
              <w:bottom w:val="single" w:sz="4" w:space="0" w:color="auto"/>
              <w:right w:val="single" w:sz="4" w:space="0" w:color="auto"/>
            </w:tcBorders>
            <w:shd w:val="clear" w:color="auto" w:fill="auto"/>
          </w:tcPr>
          <w:p w14:paraId="2CC143B3" w14:textId="77777777" w:rsidR="00A052DC" w:rsidRDefault="009F0A60">
            <w:pPr>
              <w:pStyle w:val="B1"/>
              <w:jc w:val="left"/>
              <w:rPr>
                <w:b w:val="0"/>
              </w:rPr>
            </w:pPr>
            <w:r>
              <w:rPr>
                <w:rFonts w:hint="eastAsia"/>
                <w:b w:val="0"/>
              </w:rPr>
              <w:t>指上月末对非居民应付（预收）款项的账面余额。</w:t>
            </w:r>
          </w:p>
        </w:tc>
      </w:tr>
      <w:tr w:rsidR="00A052DC" w14:paraId="1A2D5E5B" w14:textId="77777777">
        <w:tc>
          <w:tcPr>
            <w:tcW w:w="1384" w:type="dxa"/>
            <w:tcBorders>
              <w:top w:val="single" w:sz="4" w:space="0" w:color="auto"/>
              <w:left w:val="single" w:sz="4" w:space="0" w:color="auto"/>
              <w:bottom w:val="single" w:sz="4" w:space="0" w:color="auto"/>
              <w:right w:val="single" w:sz="4" w:space="0" w:color="auto"/>
            </w:tcBorders>
            <w:shd w:val="clear" w:color="auto" w:fill="auto"/>
          </w:tcPr>
          <w:p w14:paraId="2A826244" w14:textId="77777777" w:rsidR="00A052DC" w:rsidRDefault="009F0A60">
            <w:pPr>
              <w:pStyle w:val="B1"/>
              <w:widowControl w:val="0"/>
              <w:jc w:val="left"/>
              <w:rPr>
                <w:b w:val="0"/>
              </w:rPr>
            </w:pPr>
            <w:r>
              <w:rPr>
                <w:rFonts w:hint="eastAsia"/>
                <w:b w:val="0"/>
              </w:rPr>
              <w:t>本月末余额</w:t>
            </w:r>
          </w:p>
        </w:tc>
        <w:tc>
          <w:tcPr>
            <w:tcW w:w="6946" w:type="dxa"/>
            <w:tcBorders>
              <w:top w:val="single" w:sz="4" w:space="0" w:color="auto"/>
              <w:left w:val="single" w:sz="4" w:space="0" w:color="auto"/>
              <w:bottom w:val="single" w:sz="4" w:space="0" w:color="auto"/>
              <w:right w:val="single" w:sz="4" w:space="0" w:color="auto"/>
            </w:tcBorders>
            <w:shd w:val="clear" w:color="auto" w:fill="auto"/>
          </w:tcPr>
          <w:p w14:paraId="6700864E" w14:textId="77777777" w:rsidR="00A052DC" w:rsidRDefault="009F0A60">
            <w:pPr>
              <w:pStyle w:val="B1"/>
              <w:widowControl w:val="0"/>
              <w:jc w:val="left"/>
              <w:rPr>
                <w:b w:val="0"/>
              </w:rPr>
            </w:pPr>
            <w:r>
              <w:rPr>
                <w:rFonts w:hint="eastAsia"/>
                <w:b w:val="0"/>
              </w:rPr>
              <w:t>指本月末对非居民应付（预收）款项的账面余额。</w:t>
            </w:r>
          </w:p>
        </w:tc>
      </w:tr>
      <w:tr w:rsidR="00A052DC" w14:paraId="1D8E50BC" w14:textId="77777777">
        <w:tc>
          <w:tcPr>
            <w:tcW w:w="1384" w:type="dxa"/>
            <w:tcBorders>
              <w:top w:val="single" w:sz="4" w:space="0" w:color="auto"/>
              <w:left w:val="single" w:sz="4" w:space="0" w:color="auto"/>
              <w:bottom w:val="single" w:sz="4" w:space="0" w:color="auto"/>
              <w:right w:val="single" w:sz="4" w:space="0" w:color="auto"/>
            </w:tcBorders>
            <w:shd w:val="clear" w:color="auto" w:fill="auto"/>
          </w:tcPr>
          <w:p w14:paraId="5989762A" w14:textId="77777777" w:rsidR="00A052DC" w:rsidRDefault="009F0A60">
            <w:pPr>
              <w:pStyle w:val="B1"/>
              <w:widowControl w:val="0"/>
              <w:jc w:val="left"/>
              <w:rPr>
                <w:b w:val="0"/>
              </w:rPr>
            </w:pPr>
            <w:r>
              <w:rPr>
                <w:rFonts w:hint="eastAsia"/>
                <w:b w:val="0"/>
              </w:rPr>
              <w:t>本月末余额其中：剩余期限在一年及以下</w:t>
            </w:r>
          </w:p>
        </w:tc>
        <w:tc>
          <w:tcPr>
            <w:tcW w:w="6946" w:type="dxa"/>
            <w:tcBorders>
              <w:top w:val="single" w:sz="4" w:space="0" w:color="auto"/>
              <w:left w:val="single" w:sz="4" w:space="0" w:color="auto"/>
              <w:bottom w:val="single" w:sz="4" w:space="0" w:color="auto"/>
              <w:right w:val="single" w:sz="4" w:space="0" w:color="auto"/>
            </w:tcBorders>
            <w:shd w:val="clear" w:color="auto" w:fill="auto"/>
          </w:tcPr>
          <w:p w14:paraId="09871070" w14:textId="77777777" w:rsidR="00A052DC" w:rsidRDefault="009F0A60">
            <w:pPr>
              <w:pStyle w:val="B1"/>
              <w:widowControl w:val="0"/>
              <w:jc w:val="left"/>
              <w:rPr>
                <w:b w:val="0"/>
              </w:rPr>
            </w:pPr>
            <w:r>
              <w:rPr>
                <w:rFonts w:hint="eastAsia"/>
                <w:b w:val="0"/>
              </w:rPr>
              <w:t>自本月末至最终到期在一年及以下的对非居民应付（预收）款项的账面余额。如发生应付款拖欠或展期的，应按照双方确定的期限计算。如双方无安排，归入一年及以下统计。</w:t>
            </w:r>
          </w:p>
        </w:tc>
      </w:tr>
      <w:tr w:rsidR="00A052DC" w14:paraId="1D42A4F1" w14:textId="77777777">
        <w:tc>
          <w:tcPr>
            <w:tcW w:w="1384" w:type="dxa"/>
            <w:tcBorders>
              <w:top w:val="single" w:sz="4" w:space="0" w:color="auto"/>
              <w:left w:val="single" w:sz="4" w:space="0" w:color="auto"/>
              <w:bottom w:val="single" w:sz="4" w:space="0" w:color="auto"/>
              <w:right w:val="single" w:sz="4" w:space="0" w:color="auto"/>
            </w:tcBorders>
            <w:shd w:val="clear" w:color="auto" w:fill="auto"/>
          </w:tcPr>
          <w:p w14:paraId="77BC110A" w14:textId="77777777" w:rsidR="00A052DC" w:rsidRDefault="009F0A60">
            <w:pPr>
              <w:pStyle w:val="B1"/>
              <w:widowControl w:val="0"/>
              <w:jc w:val="left"/>
              <w:rPr>
                <w:b w:val="0"/>
              </w:rPr>
            </w:pPr>
            <w:r>
              <w:rPr>
                <w:rFonts w:hint="eastAsia"/>
                <w:b w:val="0"/>
              </w:rPr>
              <w:t>本月非交易变动</w:t>
            </w:r>
          </w:p>
        </w:tc>
        <w:tc>
          <w:tcPr>
            <w:tcW w:w="6946" w:type="dxa"/>
            <w:tcBorders>
              <w:top w:val="single" w:sz="4" w:space="0" w:color="auto"/>
              <w:left w:val="single" w:sz="4" w:space="0" w:color="auto"/>
              <w:bottom w:val="single" w:sz="4" w:space="0" w:color="auto"/>
              <w:right w:val="single" w:sz="4" w:space="0" w:color="auto"/>
            </w:tcBorders>
            <w:shd w:val="clear" w:color="auto" w:fill="auto"/>
          </w:tcPr>
          <w:p w14:paraId="04E6972F" w14:textId="77777777" w:rsidR="00A052DC" w:rsidRDefault="009F0A60">
            <w:pPr>
              <w:pStyle w:val="B1"/>
              <w:widowControl w:val="0"/>
              <w:jc w:val="left"/>
              <w:rPr>
                <w:b w:val="0"/>
              </w:rPr>
            </w:pPr>
            <w:r>
              <w:rPr>
                <w:rFonts w:hint="eastAsia"/>
                <w:b w:val="0"/>
              </w:rPr>
              <w:t>指因重新分类以及所涉主体居民地位改变等因素导致本机构对非居民应付（预收）款项变动的净额。</w:t>
            </w:r>
          </w:p>
        </w:tc>
      </w:tr>
      <w:tr w:rsidR="00A052DC" w14:paraId="10F7022E" w14:textId="77777777">
        <w:tc>
          <w:tcPr>
            <w:tcW w:w="1384" w:type="dxa"/>
            <w:tcBorders>
              <w:top w:val="single" w:sz="4" w:space="0" w:color="auto"/>
              <w:left w:val="single" w:sz="4" w:space="0" w:color="auto"/>
              <w:bottom w:val="single" w:sz="4" w:space="0" w:color="auto"/>
              <w:right w:val="single" w:sz="4" w:space="0" w:color="auto"/>
            </w:tcBorders>
            <w:shd w:val="clear" w:color="auto" w:fill="auto"/>
          </w:tcPr>
          <w:p w14:paraId="20BE743D" w14:textId="77777777" w:rsidR="00A052DC" w:rsidRDefault="009F0A60">
            <w:pPr>
              <w:pStyle w:val="B1"/>
              <w:widowControl w:val="0"/>
              <w:jc w:val="left"/>
              <w:rPr>
                <w:b w:val="0"/>
              </w:rPr>
            </w:pPr>
            <w:r>
              <w:rPr>
                <w:rFonts w:hint="eastAsia"/>
                <w:b w:val="0"/>
              </w:rPr>
              <w:t>本月净发生额</w:t>
            </w:r>
          </w:p>
        </w:tc>
        <w:tc>
          <w:tcPr>
            <w:tcW w:w="6946" w:type="dxa"/>
            <w:tcBorders>
              <w:top w:val="single" w:sz="4" w:space="0" w:color="auto"/>
              <w:left w:val="single" w:sz="4" w:space="0" w:color="auto"/>
              <w:bottom w:val="single" w:sz="4" w:space="0" w:color="auto"/>
              <w:right w:val="single" w:sz="4" w:space="0" w:color="auto"/>
            </w:tcBorders>
            <w:shd w:val="clear" w:color="auto" w:fill="auto"/>
          </w:tcPr>
          <w:p w14:paraId="457E14F6" w14:textId="77777777" w:rsidR="00A052DC" w:rsidRDefault="009F0A60">
            <w:pPr>
              <w:pStyle w:val="B1"/>
              <w:widowControl w:val="0"/>
              <w:jc w:val="left"/>
              <w:rPr>
                <w:b w:val="0"/>
              </w:rPr>
            </w:pPr>
            <w:r>
              <w:rPr>
                <w:rFonts w:hint="eastAsia"/>
                <w:b w:val="0"/>
              </w:rPr>
              <w:t>指本月对非居民应付（预收）款项的净发生额，正值代表负债的增加，负值代表负债的减少。</w:t>
            </w:r>
          </w:p>
        </w:tc>
      </w:tr>
    </w:tbl>
    <w:p w14:paraId="6F1B45E5" w14:textId="77777777" w:rsidR="00A052DC" w:rsidRDefault="00A052DC">
      <w:pPr>
        <w:spacing w:line="360" w:lineRule="auto"/>
        <w:ind w:firstLineChars="200" w:firstLine="480"/>
        <w:rPr>
          <w:rFonts w:ascii="Times New Roman"/>
          <w:kern w:val="0"/>
          <w:sz w:val="24"/>
          <w:szCs w:val="20"/>
        </w:rPr>
      </w:pPr>
    </w:p>
    <w:p w14:paraId="04556253" w14:textId="77777777" w:rsidR="00A052DC" w:rsidRDefault="009F0A60" w:rsidP="0020251D">
      <w:pPr>
        <w:pStyle w:val="4"/>
        <w:numPr>
          <w:ilvl w:val="3"/>
          <w:numId w:val="1"/>
        </w:numPr>
        <w:jc w:val="left"/>
      </w:pPr>
      <w:r>
        <w:rPr>
          <w:rFonts w:hint="eastAsia"/>
        </w:rPr>
        <w:t>数据格式</w:t>
      </w:r>
    </w:p>
    <w:p w14:paraId="5AA9AEA4" w14:textId="77777777" w:rsidR="00A052DC" w:rsidRDefault="009F0A60">
      <w:pPr>
        <w:ind w:firstLine="851"/>
      </w:pPr>
      <w:r>
        <w:t>&lt;REC&gt;</w:t>
      </w:r>
    </w:p>
    <w:p w14:paraId="3A9DB507" w14:textId="77777777" w:rsidR="00A052DC" w:rsidRDefault="009F0A60">
      <w:pPr>
        <w:ind w:firstLine="851"/>
      </w:pPr>
      <w:r>
        <w:t>&lt;ACTIONTYPE&gt;</w:t>
      </w:r>
      <w:r>
        <w:rPr>
          <w:rFonts w:hAnsi="宋体"/>
        </w:rPr>
        <w:t>操作类型</w:t>
      </w:r>
      <w:r>
        <w:t>&lt;/ACTIONTYPE&gt;</w:t>
      </w:r>
    </w:p>
    <w:p w14:paraId="4F369327" w14:textId="77777777" w:rsidR="00A052DC" w:rsidRDefault="009F0A60">
      <w:pPr>
        <w:ind w:firstLine="851"/>
      </w:pPr>
      <w:r>
        <w:t>&lt;ACTIONDESC&gt;</w:t>
      </w:r>
      <w:r>
        <w:rPr>
          <w:rFonts w:hAnsi="宋体"/>
        </w:rPr>
        <w:t>删除原因</w:t>
      </w:r>
      <w:r>
        <w:t>&lt;/ACTIONDESC&gt;</w:t>
      </w:r>
    </w:p>
    <w:p w14:paraId="7BB80F30" w14:textId="77777777" w:rsidR="00A052DC" w:rsidRDefault="009F0A60">
      <w:pPr>
        <w:ind w:firstLine="851"/>
      </w:pPr>
      <w:r>
        <w:t>&lt;SNOCODE&gt;</w:t>
      </w:r>
      <w:r>
        <w:rPr>
          <w:rFonts w:hAnsi="宋体"/>
        </w:rPr>
        <w:t>数据自编码</w:t>
      </w:r>
      <w:r>
        <w:t>&lt;/SNOCODE&gt;</w:t>
      </w:r>
    </w:p>
    <w:p w14:paraId="5F2BA457" w14:textId="77777777" w:rsidR="00A052DC" w:rsidRDefault="009F0A60">
      <w:pPr>
        <w:ind w:firstLine="851"/>
      </w:pPr>
      <w:r>
        <w:t>&lt;OBJCODE&gt;</w:t>
      </w:r>
      <w:r>
        <w:rPr>
          <w:rFonts w:hAnsi="宋体"/>
        </w:rPr>
        <w:t>申报主体代码</w:t>
      </w:r>
      <w:r>
        <w:t>&lt;/OBJCODE&gt;</w:t>
      </w:r>
    </w:p>
    <w:p w14:paraId="284C79D8" w14:textId="77777777" w:rsidR="00A052DC" w:rsidRDefault="009F0A60">
      <w:pPr>
        <w:ind w:firstLine="851"/>
      </w:pPr>
      <w:r>
        <w:t>&lt;BUOCMONTH&gt;</w:t>
      </w:r>
      <w:r>
        <w:rPr>
          <w:rFonts w:hAnsi="宋体"/>
        </w:rPr>
        <w:t>报告期</w:t>
      </w:r>
      <w:r>
        <w:t>&lt;/BUOCMONTH&gt;</w:t>
      </w:r>
    </w:p>
    <w:p w14:paraId="18EB1DF3" w14:textId="77777777" w:rsidR="00A052DC" w:rsidRDefault="009F0A60">
      <w:pPr>
        <w:ind w:firstLine="851"/>
      </w:pPr>
      <w:r>
        <w:t>&lt;D0801TYPE&gt;</w:t>
      </w:r>
      <w:r>
        <w:rPr>
          <w:rFonts w:hint="eastAsia"/>
        </w:rPr>
        <w:t>业务类型</w:t>
      </w:r>
      <w:r>
        <w:t>&lt;/D0801 TYPE &gt;</w:t>
      </w:r>
    </w:p>
    <w:p w14:paraId="0EE8BBE3" w14:textId="77777777" w:rsidR="00A052DC" w:rsidRDefault="009F0A60">
      <w:pPr>
        <w:ind w:firstLine="851"/>
      </w:pPr>
      <w:r>
        <w:t>&lt;D0801&gt;</w:t>
      </w:r>
      <w:r>
        <w:rPr>
          <w:rFonts w:hAnsi="宋体"/>
        </w:rPr>
        <w:t>对方国家</w:t>
      </w:r>
      <w:r>
        <w:t>/</w:t>
      </w:r>
      <w:r>
        <w:rPr>
          <w:rFonts w:hAnsi="宋体"/>
        </w:rPr>
        <w:t>地区</w:t>
      </w:r>
      <w:r>
        <w:t>&lt;/D0801&gt;</w:t>
      </w:r>
    </w:p>
    <w:p w14:paraId="117CA752" w14:textId="77777777" w:rsidR="00A052DC" w:rsidRDefault="009F0A60">
      <w:pPr>
        <w:ind w:firstLine="851"/>
      </w:pPr>
      <w:r>
        <w:t>&lt;D0802&gt;</w:t>
      </w:r>
      <w:r>
        <w:rPr>
          <w:rFonts w:hAnsi="宋体"/>
        </w:rPr>
        <w:t>对方部门</w:t>
      </w:r>
      <w:r>
        <w:t>&lt;/D0802&gt;</w:t>
      </w:r>
    </w:p>
    <w:p w14:paraId="762B9C93" w14:textId="77777777" w:rsidR="00A052DC" w:rsidRDefault="009F0A60">
      <w:pPr>
        <w:ind w:firstLine="851"/>
      </w:pPr>
      <w:r>
        <w:t>&lt;D0803&gt;</w:t>
      </w:r>
      <w:r>
        <w:rPr>
          <w:rFonts w:hAnsi="宋体"/>
        </w:rPr>
        <w:t>对方与本机构的关系</w:t>
      </w:r>
      <w:r>
        <w:t>&lt;/D0803&gt;</w:t>
      </w:r>
    </w:p>
    <w:p w14:paraId="02229E8E" w14:textId="77777777" w:rsidR="00A052DC" w:rsidRDefault="009F0A60">
      <w:pPr>
        <w:ind w:firstLine="851"/>
      </w:pPr>
      <w:r>
        <w:t>&lt;D0804&gt;</w:t>
      </w:r>
      <w:r>
        <w:rPr>
          <w:rFonts w:hAnsi="宋体"/>
        </w:rPr>
        <w:t>原始期限</w:t>
      </w:r>
      <w:r>
        <w:t>&lt;/D0804&gt;</w:t>
      </w:r>
    </w:p>
    <w:p w14:paraId="0529577A" w14:textId="77777777" w:rsidR="00A052DC" w:rsidRDefault="009F0A60">
      <w:pPr>
        <w:ind w:firstLine="851"/>
      </w:pPr>
      <w:r>
        <w:t>&lt;D0805&gt;</w:t>
      </w:r>
      <w:r>
        <w:rPr>
          <w:rFonts w:hAnsi="宋体"/>
        </w:rPr>
        <w:t>原始币种</w:t>
      </w:r>
      <w:r>
        <w:t>&lt;/D0805&gt;</w:t>
      </w:r>
    </w:p>
    <w:p w14:paraId="1E0D850B" w14:textId="77777777" w:rsidR="00A052DC" w:rsidRDefault="009F0A60">
      <w:pPr>
        <w:ind w:firstLine="851"/>
      </w:pPr>
      <w:r>
        <w:t>&lt;D0806&gt;</w:t>
      </w:r>
      <w:r>
        <w:rPr>
          <w:rFonts w:hAnsi="宋体"/>
        </w:rPr>
        <w:t>上月末余额</w:t>
      </w:r>
      <w:r>
        <w:t>&lt;/D0806&gt;</w:t>
      </w:r>
    </w:p>
    <w:p w14:paraId="07B5B76E" w14:textId="77777777" w:rsidR="00A052DC" w:rsidRDefault="009F0A60">
      <w:pPr>
        <w:ind w:firstLine="851"/>
      </w:pPr>
      <w:r>
        <w:t>&lt;D0807&gt;</w:t>
      </w:r>
      <w:r>
        <w:rPr>
          <w:rFonts w:hAnsi="宋体"/>
        </w:rPr>
        <w:t>本月末余额</w:t>
      </w:r>
      <w:r>
        <w:t>&lt;/D0807&gt;</w:t>
      </w:r>
    </w:p>
    <w:p w14:paraId="614AA348" w14:textId="77777777" w:rsidR="00A052DC" w:rsidRDefault="009F0A60">
      <w:pPr>
        <w:ind w:firstLine="851"/>
      </w:pPr>
      <w:r>
        <w:t>&lt;D0808&gt;</w:t>
      </w:r>
      <w:r>
        <w:rPr>
          <w:rFonts w:hAnsi="宋体"/>
        </w:rPr>
        <w:t>本月末余额其中：剩余期限在一年及以下</w:t>
      </w:r>
      <w:r>
        <w:t>&lt;/D0808&gt;</w:t>
      </w:r>
    </w:p>
    <w:p w14:paraId="0766D8B7" w14:textId="77777777" w:rsidR="00A052DC" w:rsidRDefault="009F0A60">
      <w:pPr>
        <w:ind w:firstLine="851"/>
      </w:pPr>
      <w:r>
        <w:t>&lt;D0809&gt;</w:t>
      </w:r>
      <w:r>
        <w:rPr>
          <w:rFonts w:hAnsi="宋体"/>
        </w:rPr>
        <w:t>本月非交易变动</w:t>
      </w:r>
      <w:r>
        <w:t>&lt;/D0809&gt;</w:t>
      </w:r>
    </w:p>
    <w:p w14:paraId="0F948E4B" w14:textId="77777777" w:rsidR="00A052DC" w:rsidRDefault="009F0A60">
      <w:pPr>
        <w:ind w:firstLine="851"/>
      </w:pPr>
      <w:r>
        <w:t>&lt;D0810&gt;</w:t>
      </w:r>
      <w:r>
        <w:rPr>
          <w:rFonts w:hAnsi="宋体"/>
        </w:rPr>
        <w:t>本月净发生额</w:t>
      </w:r>
      <w:r>
        <w:t>&lt;/D0810&gt;</w:t>
      </w:r>
    </w:p>
    <w:p w14:paraId="5123945C" w14:textId="77777777" w:rsidR="00A052DC" w:rsidRDefault="009F0A60">
      <w:pPr>
        <w:ind w:firstLine="851"/>
      </w:pPr>
      <w:r>
        <w:t>&lt;REMARK&gt;</w:t>
      </w:r>
      <w:r>
        <w:rPr>
          <w:rFonts w:hAnsi="宋体"/>
        </w:rPr>
        <w:t>备注</w:t>
      </w:r>
      <w:r>
        <w:t>&lt;/REMARK&gt;</w:t>
      </w:r>
    </w:p>
    <w:p w14:paraId="5CFF6157" w14:textId="77777777" w:rsidR="00A052DC" w:rsidRDefault="009F0A60">
      <w:pPr>
        <w:ind w:firstLine="851"/>
      </w:pPr>
      <w:r>
        <w:t>&lt;/REC&gt;</w:t>
      </w:r>
    </w:p>
    <w:p w14:paraId="4C46313A" w14:textId="77777777" w:rsidR="00A052DC" w:rsidRDefault="009F0A60" w:rsidP="0020251D">
      <w:pPr>
        <w:pStyle w:val="4"/>
        <w:numPr>
          <w:ilvl w:val="3"/>
          <w:numId w:val="1"/>
        </w:numPr>
        <w:jc w:val="left"/>
      </w:pPr>
      <w:r>
        <w:rPr>
          <w:rFonts w:hint="eastAsia"/>
        </w:rPr>
        <w:t>数据字典</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1"/>
        <w:gridCol w:w="2127"/>
        <w:gridCol w:w="1417"/>
        <w:gridCol w:w="3795"/>
      </w:tblGrid>
      <w:tr w:rsidR="00A052DC" w14:paraId="53124196" w14:textId="77777777">
        <w:trPr>
          <w:tblHeader/>
          <w:jc w:val="center"/>
        </w:trPr>
        <w:tc>
          <w:tcPr>
            <w:tcW w:w="1301" w:type="dxa"/>
            <w:shd w:val="clear" w:color="auto" w:fill="C0C0C0"/>
          </w:tcPr>
          <w:p w14:paraId="3BDB6A1E" w14:textId="77777777" w:rsidR="00A052DC" w:rsidRDefault="009F0A60">
            <w:pPr>
              <w:jc w:val="center"/>
              <w:rPr>
                <w:rFonts w:ascii="黑体" w:eastAsia="黑体" w:hAnsi="黑体"/>
                <w:b/>
                <w:sz w:val="20"/>
                <w:szCs w:val="20"/>
              </w:rPr>
            </w:pPr>
            <w:r>
              <w:rPr>
                <w:rFonts w:ascii="黑体" w:eastAsia="黑体" w:hAnsi="黑体" w:hint="eastAsia"/>
                <w:b/>
                <w:sz w:val="20"/>
                <w:szCs w:val="20"/>
              </w:rPr>
              <w:t>字段</w:t>
            </w:r>
          </w:p>
        </w:tc>
        <w:tc>
          <w:tcPr>
            <w:tcW w:w="2127" w:type="dxa"/>
            <w:shd w:val="clear" w:color="auto" w:fill="C0C0C0"/>
          </w:tcPr>
          <w:p w14:paraId="6B82D7E3" w14:textId="77777777" w:rsidR="00A052DC" w:rsidRDefault="009F0A60">
            <w:pPr>
              <w:jc w:val="center"/>
              <w:rPr>
                <w:rFonts w:ascii="黑体" w:eastAsia="黑体" w:hAnsi="黑体"/>
                <w:b/>
                <w:sz w:val="20"/>
                <w:szCs w:val="20"/>
              </w:rPr>
            </w:pPr>
            <w:r>
              <w:rPr>
                <w:rFonts w:ascii="黑体" w:eastAsia="黑体" w:hAnsi="黑体" w:hint="eastAsia"/>
                <w:b/>
                <w:sz w:val="20"/>
                <w:szCs w:val="20"/>
              </w:rPr>
              <w:t>内容</w:t>
            </w:r>
          </w:p>
        </w:tc>
        <w:tc>
          <w:tcPr>
            <w:tcW w:w="1417" w:type="dxa"/>
            <w:shd w:val="clear" w:color="auto" w:fill="C0C0C0"/>
          </w:tcPr>
          <w:p w14:paraId="15A11B40" w14:textId="77777777" w:rsidR="00A052DC" w:rsidRDefault="009F0A60">
            <w:pPr>
              <w:jc w:val="center"/>
              <w:rPr>
                <w:rFonts w:ascii="黑体" w:eastAsia="黑体" w:hAnsi="黑体"/>
                <w:b/>
                <w:sz w:val="20"/>
                <w:szCs w:val="20"/>
              </w:rPr>
            </w:pPr>
            <w:r>
              <w:rPr>
                <w:rFonts w:ascii="黑体" w:eastAsia="黑体" w:hAnsi="黑体" w:hint="eastAsia"/>
                <w:b/>
                <w:sz w:val="20"/>
                <w:szCs w:val="20"/>
              </w:rPr>
              <w:t>类型（长度）</w:t>
            </w:r>
          </w:p>
        </w:tc>
        <w:tc>
          <w:tcPr>
            <w:tcW w:w="3795" w:type="dxa"/>
            <w:shd w:val="clear" w:color="auto" w:fill="C0C0C0"/>
          </w:tcPr>
          <w:p w14:paraId="609F1C6C" w14:textId="77777777" w:rsidR="00A052DC" w:rsidRDefault="009F0A60">
            <w:pPr>
              <w:jc w:val="center"/>
              <w:rPr>
                <w:rFonts w:ascii="黑体" w:eastAsia="黑体" w:hAnsi="黑体"/>
                <w:b/>
                <w:sz w:val="20"/>
                <w:szCs w:val="20"/>
              </w:rPr>
            </w:pPr>
            <w:r>
              <w:rPr>
                <w:rFonts w:ascii="黑体" w:eastAsia="黑体" w:hAnsi="黑体" w:hint="eastAsia"/>
                <w:b/>
                <w:sz w:val="20"/>
                <w:szCs w:val="20"/>
              </w:rPr>
              <w:t>校验</w:t>
            </w:r>
          </w:p>
        </w:tc>
      </w:tr>
      <w:tr w:rsidR="00A052DC" w14:paraId="3513B604" w14:textId="77777777">
        <w:trPr>
          <w:jc w:val="center"/>
        </w:trPr>
        <w:tc>
          <w:tcPr>
            <w:tcW w:w="1301" w:type="dxa"/>
          </w:tcPr>
          <w:p w14:paraId="7E6AF5F9" w14:textId="77777777" w:rsidR="00A052DC" w:rsidRDefault="009F0A60">
            <w:pPr>
              <w:rPr>
                <w:rFonts w:ascii="黑体" w:eastAsia="黑体" w:hAnsi="黑体"/>
                <w:sz w:val="20"/>
                <w:szCs w:val="20"/>
              </w:rPr>
            </w:pPr>
            <w:r>
              <w:rPr>
                <w:rFonts w:ascii="黑体" w:eastAsia="黑体" w:hAnsi="黑体" w:hint="eastAsia"/>
                <w:sz w:val="20"/>
                <w:szCs w:val="20"/>
              </w:rPr>
              <w:t>ACTIONTYPE</w:t>
            </w:r>
          </w:p>
        </w:tc>
        <w:tc>
          <w:tcPr>
            <w:tcW w:w="2127" w:type="dxa"/>
          </w:tcPr>
          <w:p w14:paraId="686B5388" w14:textId="77777777" w:rsidR="00A052DC" w:rsidRDefault="009F0A60">
            <w:pPr>
              <w:rPr>
                <w:rFonts w:ascii="黑体" w:eastAsia="黑体" w:hAnsi="黑体"/>
                <w:sz w:val="20"/>
                <w:szCs w:val="20"/>
              </w:rPr>
            </w:pPr>
            <w:r>
              <w:rPr>
                <w:rFonts w:ascii="黑体" w:eastAsia="黑体" w:hAnsi="黑体" w:hint="eastAsia"/>
                <w:sz w:val="20"/>
                <w:szCs w:val="20"/>
              </w:rPr>
              <w:t>操作类型</w:t>
            </w:r>
          </w:p>
        </w:tc>
        <w:tc>
          <w:tcPr>
            <w:tcW w:w="1417" w:type="dxa"/>
          </w:tcPr>
          <w:p w14:paraId="78706ED5" w14:textId="77777777" w:rsidR="00A052DC" w:rsidRDefault="009F0A60">
            <w:pPr>
              <w:rPr>
                <w:rFonts w:ascii="黑体" w:eastAsia="黑体" w:hAnsi="黑体"/>
                <w:sz w:val="20"/>
                <w:szCs w:val="20"/>
              </w:rPr>
            </w:pPr>
            <w:r>
              <w:rPr>
                <w:rFonts w:ascii="黑体" w:eastAsia="黑体" w:hAnsi="黑体" w:hint="eastAsia"/>
                <w:sz w:val="20"/>
                <w:szCs w:val="20"/>
              </w:rPr>
              <w:t>字符型，1</w:t>
            </w:r>
          </w:p>
        </w:tc>
        <w:tc>
          <w:tcPr>
            <w:tcW w:w="3795" w:type="dxa"/>
          </w:tcPr>
          <w:p w14:paraId="0C58C6D6" w14:textId="77777777" w:rsidR="00A052DC" w:rsidRDefault="009F0A60">
            <w:pPr>
              <w:rPr>
                <w:rFonts w:ascii="黑体" w:eastAsia="黑体" w:hAnsi="黑体"/>
                <w:sz w:val="20"/>
                <w:szCs w:val="20"/>
              </w:rPr>
            </w:pPr>
            <w:r>
              <w:rPr>
                <w:rFonts w:ascii="黑体" w:eastAsia="黑体" w:hAnsi="黑体" w:hint="eastAsia"/>
                <w:sz w:val="20"/>
                <w:szCs w:val="20"/>
              </w:rPr>
              <w:t>必填项</w:t>
            </w:r>
            <w:r w:rsidR="004D1828">
              <w:rPr>
                <w:rFonts w:ascii="黑体" w:eastAsia="黑体" w:hAnsi="黑体" w:hint="eastAsia"/>
                <w:sz w:val="20"/>
                <w:szCs w:val="20"/>
              </w:rPr>
              <w:t>。</w:t>
            </w:r>
          </w:p>
          <w:p w14:paraId="44D0B11F" w14:textId="77777777" w:rsidR="00A052DC" w:rsidRDefault="009F0A60">
            <w:pPr>
              <w:rPr>
                <w:rFonts w:ascii="黑体" w:eastAsia="黑体" w:hAnsi="黑体"/>
                <w:sz w:val="20"/>
                <w:szCs w:val="20"/>
              </w:rPr>
            </w:pPr>
            <w:r>
              <w:rPr>
                <w:rFonts w:ascii="黑体" w:eastAsia="黑体" w:hAnsi="黑体" w:hint="eastAsia"/>
                <w:sz w:val="20"/>
                <w:szCs w:val="20"/>
              </w:rPr>
              <w:t>A</w:t>
            </w:r>
            <w:r w:rsidR="00AE4602">
              <w:rPr>
                <w:rFonts w:ascii="黑体" w:eastAsia="黑体" w:hAnsi="黑体" w:hint="eastAsia"/>
                <w:sz w:val="20"/>
                <w:szCs w:val="20"/>
              </w:rPr>
              <w:t>-</w:t>
            </w:r>
            <w:r>
              <w:rPr>
                <w:rFonts w:ascii="黑体" w:eastAsia="黑体" w:hAnsi="黑体" w:hint="eastAsia"/>
                <w:sz w:val="20"/>
                <w:szCs w:val="20"/>
              </w:rPr>
              <w:t>新建</w:t>
            </w:r>
          </w:p>
          <w:p w14:paraId="1527C0A4" w14:textId="77777777" w:rsidR="00A052DC" w:rsidRDefault="009F0A60">
            <w:pPr>
              <w:rPr>
                <w:rFonts w:ascii="黑体" w:eastAsia="黑体" w:hAnsi="黑体"/>
                <w:sz w:val="20"/>
                <w:szCs w:val="20"/>
              </w:rPr>
            </w:pPr>
            <w:r>
              <w:rPr>
                <w:rFonts w:ascii="黑体" w:eastAsia="黑体" w:hAnsi="黑体" w:hint="eastAsia"/>
                <w:sz w:val="20"/>
                <w:szCs w:val="20"/>
              </w:rPr>
              <w:t>C</w:t>
            </w:r>
            <w:r w:rsidR="00AE4602">
              <w:rPr>
                <w:rFonts w:ascii="黑体" w:eastAsia="黑体" w:hAnsi="黑体" w:hint="eastAsia"/>
                <w:sz w:val="20"/>
                <w:szCs w:val="20"/>
              </w:rPr>
              <w:t>-</w:t>
            </w:r>
            <w:r>
              <w:rPr>
                <w:rFonts w:ascii="黑体" w:eastAsia="黑体" w:hAnsi="黑体" w:hint="eastAsia"/>
                <w:sz w:val="20"/>
                <w:szCs w:val="20"/>
              </w:rPr>
              <w:t>修改</w:t>
            </w:r>
          </w:p>
          <w:p w14:paraId="311606E8" w14:textId="77777777" w:rsidR="00A052DC" w:rsidRDefault="009F0A60">
            <w:pPr>
              <w:rPr>
                <w:rFonts w:ascii="黑体" w:eastAsia="黑体" w:hAnsi="黑体"/>
                <w:sz w:val="20"/>
                <w:szCs w:val="20"/>
              </w:rPr>
            </w:pPr>
            <w:r>
              <w:rPr>
                <w:rFonts w:ascii="黑体" w:eastAsia="黑体" w:hAnsi="黑体" w:hint="eastAsia"/>
                <w:sz w:val="20"/>
                <w:szCs w:val="20"/>
              </w:rPr>
              <w:t>D</w:t>
            </w:r>
            <w:r w:rsidR="00AE4602">
              <w:rPr>
                <w:rFonts w:ascii="黑体" w:eastAsia="黑体" w:hAnsi="黑体" w:hint="eastAsia"/>
                <w:sz w:val="20"/>
                <w:szCs w:val="20"/>
              </w:rPr>
              <w:t>-</w:t>
            </w:r>
            <w:r>
              <w:rPr>
                <w:rFonts w:ascii="黑体" w:eastAsia="黑体" w:hAnsi="黑体" w:hint="eastAsia"/>
                <w:sz w:val="20"/>
                <w:szCs w:val="20"/>
              </w:rPr>
              <w:t>删除</w:t>
            </w:r>
          </w:p>
        </w:tc>
      </w:tr>
      <w:tr w:rsidR="00A052DC" w14:paraId="38D4782D" w14:textId="77777777">
        <w:trPr>
          <w:jc w:val="center"/>
        </w:trPr>
        <w:tc>
          <w:tcPr>
            <w:tcW w:w="1301" w:type="dxa"/>
          </w:tcPr>
          <w:p w14:paraId="503A9916" w14:textId="77777777" w:rsidR="00A052DC" w:rsidRDefault="009F0A60">
            <w:pPr>
              <w:rPr>
                <w:rFonts w:ascii="黑体" w:eastAsia="黑体" w:hAnsi="黑体"/>
                <w:sz w:val="20"/>
                <w:szCs w:val="20"/>
              </w:rPr>
            </w:pPr>
            <w:r>
              <w:rPr>
                <w:rFonts w:ascii="黑体" w:eastAsia="黑体" w:hAnsi="黑体" w:hint="eastAsia"/>
                <w:sz w:val="20"/>
                <w:szCs w:val="20"/>
              </w:rPr>
              <w:t>ACTIONDESC</w:t>
            </w:r>
          </w:p>
        </w:tc>
        <w:tc>
          <w:tcPr>
            <w:tcW w:w="2127" w:type="dxa"/>
          </w:tcPr>
          <w:p w14:paraId="730FAE77" w14:textId="77777777" w:rsidR="00A052DC" w:rsidRDefault="009F0A60">
            <w:pPr>
              <w:rPr>
                <w:rFonts w:ascii="黑体" w:eastAsia="黑体" w:hAnsi="黑体"/>
                <w:sz w:val="20"/>
                <w:szCs w:val="20"/>
              </w:rPr>
            </w:pPr>
            <w:r>
              <w:rPr>
                <w:rFonts w:ascii="黑体" w:eastAsia="黑体" w:hAnsi="黑体" w:hint="eastAsia"/>
                <w:sz w:val="20"/>
                <w:szCs w:val="20"/>
              </w:rPr>
              <w:t>删除原因</w:t>
            </w:r>
          </w:p>
        </w:tc>
        <w:tc>
          <w:tcPr>
            <w:tcW w:w="1417" w:type="dxa"/>
          </w:tcPr>
          <w:p w14:paraId="3BA50464"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3795" w:type="dxa"/>
          </w:tcPr>
          <w:p w14:paraId="44A63F3A" w14:textId="77777777" w:rsidR="00A052DC" w:rsidRDefault="00DD6AA3">
            <w:pPr>
              <w:rPr>
                <w:rFonts w:ascii="黑体" w:eastAsia="黑体" w:hAnsi="黑体"/>
                <w:sz w:val="20"/>
                <w:szCs w:val="20"/>
              </w:rPr>
            </w:pPr>
            <w:r>
              <w:rPr>
                <w:rFonts w:ascii="黑体" w:eastAsia="黑体" w:hAnsi="黑体" w:hint="eastAsia"/>
                <w:sz w:val="20"/>
                <w:szCs w:val="20"/>
              </w:rPr>
              <w:t>非必填项，当操作类型（ACTIONTYPE）为删除时必填。</w:t>
            </w:r>
          </w:p>
        </w:tc>
      </w:tr>
      <w:tr w:rsidR="00A052DC" w14:paraId="16D49FE6" w14:textId="77777777">
        <w:trPr>
          <w:jc w:val="center"/>
        </w:trPr>
        <w:tc>
          <w:tcPr>
            <w:tcW w:w="1301" w:type="dxa"/>
          </w:tcPr>
          <w:p w14:paraId="4A132399" w14:textId="77777777" w:rsidR="00A052DC" w:rsidRDefault="009F0A60">
            <w:pPr>
              <w:rPr>
                <w:rFonts w:ascii="黑体" w:eastAsia="黑体" w:hAnsi="黑体"/>
                <w:sz w:val="20"/>
                <w:szCs w:val="20"/>
              </w:rPr>
            </w:pPr>
            <w:r>
              <w:rPr>
                <w:rFonts w:ascii="黑体" w:eastAsia="黑体" w:hAnsi="黑体" w:hint="eastAsia"/>
                <w:sz w:val="20"/>
                <w:szCs w:val="20"/>
              </w:rPr>
              <w:t>SNOCODE</w:t>
            </w:r>
          </w:p>
        </w:tc>
        <w:tc>
          <w:tcPr>
            <w:tcW w:w="2127" w:type="dxa"/>
          </w:tcPr>
          <w:p w14:paraId="5B4988D6" w14:textId="77777777" w:rsidR="00A052DC" w:rsidRDefault="009F0A60">
            <w:pPr>
              <w:rPr>
                <w:rFonts w:ascii="黑体" w:eastAsia="黑体" w:hAnsi="黑体"/>
                <w:sz w:val="20"/>
                <w:szCs w:val="20"/>
              </w:rPr>
            </w:pPr>
            <w:r>
              <w:rPr>
                <w:rFonts w:ascii="黑体" w:eastAsia="黑体" w:hAnsi="黑体" w:hint="eastAsia"/>
                <w:sz w:val="20"/>
                <w:szCs w:val="20"/>
              </w:rPr>
              <w:t>数据自编码</w:t>
            </w:r>
          </w:p>
        </w:tc>
        <w:tc>
          <w:tcPr>
            <w:tcW w:w="1417" w:type="dxa"/>
          </w:tcPr>
          <w:p w14:paraId="2F1354EE" w14:textId="77777777" w:rsidR="00A052DC" w:rsidRDefault="009F0A60">
            <w:pPr>
              <w:rPr>
                <w:rFonts w:ascii="黑体" w:eastAsia="黑体" w:hAnsi="黑体"/>
                <w:sz w:val="20"/>
                <w:szCs w:val="20"/>
              </w:rPr>
            </w:pPr>
            <w:r>
              <w:rPr>
                <w:rFonts w:ascii="黑体" w:eastAsia="黑体" w:hAnsi="黑体" w:hint="eastAsia"/>
                <w:sz w:val="20"/>
                <w:szCs w:val="20"/>
              </w:rPr>
              <w:t>字符型，36</w:t>
            </w:r>
          </w:p>
        </w:tc>
        <w:tc>
          <w:tcPr>
            <w:tcW w:w="3795" w:type="dxa"/>
          </w:tcPr>
          <w:p w14:paraId="13AE0A7A" w14:textId="77777777" w:rsidR="00A052DC" w:rsidRDefault="009F0A60">
            <w:pPr>
              <w:rPr>
                <w:rFonts w:ascii="黑体" w:eastAsia="黑体" w:hAnsi="黑体"/>
                <w:sz w:val="20"/>
                <w:szCs w:val="20"/>
              </w:rPr>
            </w:pPr>
            <w:r>
              <w:rPr>
                <w:rFonts w:ascii="黑体" w:eastAsia="黑体" w:hAnsi="黑体" w:hint="eastAsia"/>
                <w:sz w:val="20"/>
                <w:szCs w:val="20"/>
              </w:rPr>
              <w:t>必填项。</w:t>
            </w:r>
            <w:r>
              <w:rPr>
                <w:rFonts w:ascii="黑体" w:eastAsia="黑体" w:hAnsi="黑体"/>
                <w:sz w:val="20"/>
                <w:szCs w:val="20"/>
              </w:rPr>
              <w:t>对于接口报送的填报主体，数据自编码中的报送期（6位）应与报告期（YYYYMM）一致。</w:t>
            </w:r>
          </w:p>
        </w:tc>
      </w:tr>
      <w:tr w:rsidR="00A052DC" w14:paraId="0A31AD24" w14:textId="77777777">
        <w:trPr>
          <w:jc w:val="center"/>
        </w:trPr>
        <w:tc>
          <w:tcPr>
            <w:tcW w:w="1301" w:type="dxa"/>
          </w:tcPr>
          <w:p w14:paraId="7606E928" w14:textId="77777777" w:rsidR="00A052DC" w:rsidRDefault="009F0A60">
            <w:pPr>
              <w:rPr>
                <w:rFonts w:ascii="黑体" w:eastAsia="黑体" w:hAnsi="黑体"/>
                <w:sz w:val="20"/>
                <w:szCs w:val="20"/>
              </w:rPr>
            </w:pPr>
            <w:r>
              <w:rPr>
                <w:rFonts w:ascii="黑体" w:eastAsia="黑体" w:hAnsi="黑体" w:hint="eastAsia"/>
                <w:sz w:val="20"/>
                <w:szCs w:val="20"/>
              </w:rPr>
              <w:t>OBJCODE</w:t>
            </w:r>
          </w:p>
        </w:tc>
        <w:tc>
          <w:tcPr>
            <w:tcW w:w="2127" w:type="dxa"/>
          </w:tcPr>
          <w:p w14:paraId="022BA2FD" w14:textId="77777777" w:rsidR="00A052DC" w:rsidRDefault="009F0A60">
            <w:pPr>
              <w:rPr>
                <w:rFonts w:ascii="黑体" w:eastAsia="黑体" w:hAnsi="黑体"/>
                <w:sz w:val="20"/>
                <w:szCs w:val="20"/>
              </w:rPr>
            </w:pPr>
            <w:r>
              <w:rPr>
                <w:rFonts w:ascii="黑体" w:eastAsia="黑体" w:hAnsi="黑体" w:hint="eastAsia"/>
                <w:sz w:val="20"/>
                <w:szCs w:val="20"/>
              </w:rPr>
              <w:t>申报主体代码</w:t>
            </w:r>
          </w:p>
        </w:tc>
        <w:tc>
          <w:tcPr>
            <w:tcW w:w="1417" w:type="dxa"/>
          </w:tcPr>
          <w:p w14:paraId="5F187656" w14:textId="77777777" w:rsidR="00A052DC" w:rsidRDefault="009F0A60">
            <w:pPr>
              <w:rPr>
                <w:rFonts w:ascii="黑体" w:eastAsia="黑体" w:hAnsi="黑体"/>
                <w:sz w:val="20"/>
                <w:szCs w:val="20"/>
              </w:rPr>
            </w:pPr>
            <w:r>
              <w:rPr>
                <w:rFonts w:ascii="黑体" w:eastAsia="黑体" w:hAnsi="黑体" w:hint="eastAsia"/>
                <w:sz w:val="20"/>
                <w:szCs w:val="20"/>
              </w:rPr>
              <w:t>字符型，18</w:t>
            </w:r>
          </w:p>
        </w:tc>
        <w:tc>
          <w:tcPr>
            <w:tcW w:w="3795" w:type="dxa"/>
          </w:tcPr>
          <w:p w14:paraId="4880A473" w14:textId="77777777" w:rsidR="00A052DC" w:rsidRDefault="009F0A60">
            <w:pPr>
              <w:rPr>
                <w:rFonts w:ascii="黑体" w:eastAsia="黑体" w:hAnsi="黑体"/>
                <w:sz w:val="20"/>
                <w:szCs w:val="20"/>
              </w:rPr>
            </w:pPr>
            <w:r>
              <w:rPr>
                <w:rFonts w:ascii="黑体" w:eastAsia="黑体" w:hAnsi="黑体" w:hint="eastAsia"/>
                <w:sz w:val="20"/>
                <w:szCs w:val="20"/>
              </w:rPr>
              <w:t>申报主体的12位金融机构标识码，如果没有金融机构标识码，则填报统一社会信用代码法定载体（如营业执照）上统一社会信用代码中的第9至17位或国家外汇管理局及其分支局签发的特殊机构代码赋码通知书上的机构代码、个人身份代码。</w:t>
            </w:r>
          </w:p>
        </w:tc>
      </w:tr>
      <w:tr w:rsidR="00A052DC" w14:paraId="78104CE1" w14:textId="77777777">
        <w:trPr>
          <w:jc w:val="center"/>
        </w:trPr>
        <w:tc>
          <w:tcPr>
            <w:tcW w:w="1301" w:type="dxa"/>
          </w:tcPr>
          <w:p w14:paraId="2ECBFDFE" w14:textId="77777777" w:rsidR="00A052DC" w:rsidRDefault="009F0A60">
            <w:pPr>
              <w:rPr>
                <w:rFonts w:ascii="黑体" w:eastAsia="黑体" w:hAnsi="黑体"/>
                <w:sz w:val="20"/>
                <w:szCs w:val="20"/>
              </w:rPr>
            </w:pPr>
            <w:r>
              <w:rPr>
                <w:rFonts w:ascii="黑体" w:eastAsia="黑体" w:hAnsi="黑体" w:hint="eastAsia"/>
                <w:sz w:val="20"/>
                <w:szCs w:val="20"/>
              </w:rPr>
              <w:t>BUOCMONTH</w:t>
            </w:r>
          </w:p>
        </w:tc>
        <w:tc>
          <w:tcPr>
            <w:tcW w:w="2127" w:type="dxa"/>
          </w:tcPr>
          <w:p w14:paraId="62DBD0CA" w14:textId="77777777" w:rsidR="00A052DC" w:rsidRDefault="009F0A60">
            <w:pPr>
              <w:rPr>
                <w:rFonts w:ascii="黑体" w:eastAsia="黑体" w:hAnsi="黑体"/>
                <w:sz w:val="20"/>
                <w:szCs w:val="20"/>
              </w:rPr>
            </w:pPr>
            <w:r>
              <w:rPr>
                <w:rFonts w:ascii="黑体" w:eastAsia="黑体" w:hAnsi="黑体" w:hint="eastAsia"/>
                <w:sz w:val="20"/>
                <w:szCs w:val="20"/>
              </w:rPr>
              <w:t>报告期</w:t>
            </w:r>
          </w:p>
        </w:tc>
        <w:tc>
          <w:tcPr>
            <w:tcW w:w="1417" w:type="dxa"/>
          </w:tcPr>
          <w:p w14:paraId="25E5B538" w14:textId="77777777" w:rsidR="00A052DC" w:rsidRDefault="009F0A60">
            <w:pPr>
              <w:rPr>
                <w:rFonts w:ascii="黑体" w:eastAsia="黑体" w:hAnsi="黑体"/>
                <w:sz w:val="20"/>
                <w:szCs w:val="20"/>
              </w:rPr>
            </w:pPr>
            <w:r>
              <w:rPr>
                <w:rFonts w:ascii="黑体" w:eastAsia="黑体" w:hAnsi="黑体" w:hint="eastAsia"/>
                <w:sz w:val="20"/>
                <w:szCs w:val="20"/>
              </w:rPr>
              <w:t>数值型，6</w:t>
            </w:r>
          </w:p>
        </w:tc>
        <w:tc>
          <w:tcPr>
            <w:tcW w:w="3795" w:type="dxa"/>
          </w:tcPr>
          <w:p w14:paraId="7865E508" w14:textId="77777777" w:rsidR="00A052DC" w:rsidRDefault="009F0A60">
            <w:pPr>
              <w:rPr>
                <w:rFonts w:ascii="黑体" w:eastAsia="黑体" w:hAnsi="黑体"/>
                <w:sz w:val="20"/>
                <w:szCs w:val="20"/>
              </w:rPr>
            </w:pPr>
            <w:r>
              <w:rPr>
                <w:rFonts w:ascii="黑体" w:eastAsia="黑体" w:hAnsi="黑体" w:hint="eastAsia"/>
                <w:sz w:val="20"/>
                <w:szCs w:val="20"/>
              </w:rPr>
              <w:t>必填项，格式为YYYYMM。</w:t>
            </w:r>
          </w:p>
        </w:tc>
      </w:tr>
      <w:tr w:rsidR="00A052DC" w14:paraId="2AACA49A" w14:textId="77777777">
        <w:trPr>
          <w:jc w:val="center"/>
        </w:trPr>
        <w:tc>
          <w:tcPr>
            <w:tcW w:w="1301" w:type="dxa"/>
          </w:tcPr>
          <w:p w14:paraId="24624003" w14:textId="77777777" w:rsidR="00A052DC" w:rsidRDefault="009F0A60">
            <w:pPr>
              <w:rPr>
                <w:rFonts w:ascii="黑体" w:eastAsia="黑体" w:hAnsi="黑体"/>
                <w:sz w:val="20"/>
                <w:szCs w:val="20"/>
              </w:rPr>
            </w:pPr>
            <w:r>
              <w:rPr>
                <w:rFonts w:ascii="黑体" w:eastAsia="黑体" w:hAnsi="黑体"/>
                <w:sz w:val="20"/>
                <w:szCs w:val="20"/>
              </w:rPr>
              <w:t>D0801TYPE</w:t>
            </w:r>
          </w:p>
        </w:tc>
        <w:tc>
          <w:tcPr>
            <w:tcW w:w="2127" w:type="dxa"/>
          </w:tcPr>
          <w:p w14:paraId="683E78B2" w14:textId="77777777" w:rsidR="00A052DC" w:rsidRDefault="009F0A60">
            <w:pPr>
              <w:rPr>
                <w:rFonts w:ascii="黑体" w:eastAsia="黑体" w:hAnsi="黑体"/>
                <w:sz w:val="20"/>
                <w:szCs w:val="20"/>
              </w:rPr>
            </w:pPr>
            <w:r>
              <w:rPr>
                <w:rFonts w:ascii="黑体" w:eastAsia="黑体" w:hAnsi="黑体" w:hint="eastAsia"/>
                <w:sz w:val="20"/>
                <w:szCs w:val="20"/>
              </w:rPr>
              <w:t>业务类型</w:t>
            </w:r>
          </w:p>
        </w:tc>
        <w:tc>
          <w:tcPr>
            <w:tcW w:w="1417" w:type="dxa"/>
          </w:tcPr>
          <w:p w14:paraId="3FA93B0D" w14:textId="77777777" w:rsidR="00A052DC" w:rsidRDefault="009F0A60">
            <w:pPr>
              <w:rPr>
                <w:rFonts w:ascii="黑体" w:eastAsia="黑体" w:hAnsi="黑体"/>
                <w:sz w:val="20"/>
                <w:szCs w:val="20"/>
              </w:rPr>
            </w:pPr>
            <w:r>
              <w:rPr>
                <w:rFonts w:ascii="黑体" w:eastAsia="黑体" w:hAnsi="黑体" w:hint="eastAsia"/>
                <w:sz w:val="20"/>
                <w:szCs w:val="20"/>
              </w:rPr>
              <w:t>整数型</w:t>
            </w:r>
          </w:p>
        </w:tc>
        <w:tc>
          <w:tcPr>
            <w:tcW w:w="3795" w:type="dxa"/>
          </w:tcPr>
          <w:p w14:paraId="5A4B3B43" w14:textId="77777777" w:rsidR="00A052DC" w:rsidRDefault="009F0A60">
            <w:pPr>
              <w:rPr>
                <w:rFonts w:ascii="黑体" w:eastAsia="黑体" w:hAnsi="黑体"/>
                <w:sz w:val="20"/>
                <w:szCs w:val="20"/>
              </w:rPr>
            </w:pPr>
            <w:r>
              <w:rPr>
                <w:rFonts w:ascii="黑体" w:eastAsia="黑体" w:hAnsi="黑体" w:hint="eastAsia"/>
                <w:sz w:val="20"/>
                <w:szCs w:val="20"/>
              </w:rPr>
              <w:t>必填项。必须</w:t>
            </w:r>
            <w:r>
              <w:rPr>
                <w:rFonts w:ascii="黑体" w:eastAsia="黑体" w:hAnsi="黑体"/>
                <w:sz w:val="20"/>
                <w:szCs w:val="20"/>
              </w:rPr>
              <w:t>2</w:t>
            </w:r>
            <w:r>
              <w:rPr>
                <w:rFonts w:ascii="黑体" w:eastAsia="黑体" w:hAnsi="黑体" w:hint="eastAsia"/>
                <w:sz w:val="20"/>
                <w:szCs w:val="20"/>
              </w:rPr>
              <w:t>选</w:t>
            </w:r>
            <w:r>
              <w:rPr>
                <w:rFonts w:ascii="黑体" w:eastAsia="黑体" w:hAnsi="黑体"/>
                <w:sz w:val="20"/>
                <w:szCs w:val="20"/>
              </w:rPr>
              <w:t>1：</w:t>
            </w:r>
          </w:p>
          <w:p w14:paraId="132D5581" w14:textId="77777777" w:rsidR="00A052DC" w:rsidRDefault="009F0A60">
            <w:pPr>
              <w:rPr>
                <w:rFonts w:ascii="黑体" w:eastAsia="黑体" w:hAnsi="黑体"/>
                <w:sz w:val="20"/>
                <w:szCs w:val="20"/>
              </w:rPr>
            </w:pPr>
            <w:r>
              <w:rPr>
                <w:rFonts w:ascii="黑体" w:eastAsia="黑体" w:hAnsi="黑体"/>
                <w:sz w:val="20"/>
                <w:szCs w:val="20"/>
              </w:rPr>
              <w:t>1-货物贸易；</w:t>
            </w:r>
          </w:p>
          <w:p w14:paraId="4D35F960" w14:textId="77777777" w:rsidR="00A052DC" w:rsidRDefault="009F0A60">
            <w:pPr>
              <w:rPr>
                <w:rFonts w:ascii="黑体" w:eastAsia="黑体" w:hAnsi="黑体"/>
                <w:sz w:val="20"/>
                <w:szCs w:val="20"/>
              </w:rPr>
            </w:pPr>
            <w:r>
              <w:rPr>
                <w:rFonts w:ascii="黑体" w:eastAsia="黑体" w:hAnsi="黑体"/>
                <w:sz w:val="20"/>
                <w:szCs w:val="20"/>
              </w:rPr>
              <w:t>9-其他。</w:t>
            </w:r>
          </w:p>
        </w:tc>
      </w:tr>
      <w:tr w:rsidR="00A052DC" w14:paraId="753922CB" w14:textId="77777777">
        <w:trPr>
          <w:jc w:val="center"/>
        </w:trPr>
        <w:tc>
          <w:tcPr>
            <w:tcW w:w="1301" w:type="dxa"/>
          </w:tcPr>
          <w:p w14:paraId="3C3381C9" w14:textId="77777777" w:rsidR="00A052DC" w:rsidRDefault="009F0A60">
            <w:pPr>
              <w:rPr>
                <w:rFonts w:ascii="黑体" w:eastAsia="黑体" w:hAnsi="黑体"/>
                <w:sz w:val="20"/>
                <w:szCs w:val="20"/>
              </w:rPr>
            </w:pPr>
            <w:r>
              <w:rPr>
                <w:rFonts w:ascii="黑体" w:eastAsia="黑体" w:hAnsi="黑体" w:hint="eastAsia"/>
                <w:sz w:val="20"/>
                <w:szCs w:val="20"/>
              </w:rPr>
              <w:t>D0801</w:t>
            </w:r>
          </w:p>
        </w:tc>
        <w:tc>
          <w:tcPr>
            <w:tcW w:w="2127" w:type="dxa"/>
          </w:tcPr>
          <w:p w14:paraId="1F06CDB2" w14:textId="77777777" w:rsidR="00A052DC" w:rsidRDefault="009F0A60">
            <w:pPr>
              <w:rPr>
                <w:rFonts w:ascii="黑体" w:eastAsia="黑体" w:hAnsi="黑体"/>
                <w:sz w:val="20"/>
                <w:szCs w:val="20"/>
              </w:rPr>
            </w:pPr>
            <w:r>
              <w:rPr>
                <w:rFonts w:ascii="黑体" w:eastAsia="黑体" w:hAnsi="黑体" w:hint="eastAsia"/>
                <w:sz w:val="20"/>
                <w:szCs w:val="20"/>
              </w:rPr>
              <w:t>对方国家/地区</w:t>
            </w:r>
          </w:p>
        </w:tc>
        <w:tc>
          <w:tcPr>
            <w:tcW w:w="1417" w:type="dxa"/>
          </w:tcPr>
          <w:p w14:paraId="630DD8B0" w14:textId="77777777" w:rsidR="00A052DC" w:rsidRDefault="009F0A60">
            <w:pPr>
              <w:rPr>
                <w:rFonts w:ascii="黑体" w:eastAsia="黑体" w:hAnsi="黑体"/>
                <w:sz w:val="20"/>
                <w:szCs w:val="20"/>
              </w:rPr>
            </w:pPr>
            <w:r>
              <w:rPr>
                <w:rFonts w:ascii="黑体" w:eastAsia="黑体" w:hAnsi="黑体" w:hint="eastAsia"/>
                <w:sz w:val="20"/>
                <w:szCs w:val="20"/>
              </w:rPr>
              <w:t>字符型，3</w:t>
            </w:r>
          </w:p>
        </w:tc>
        <w:tc>
          <w:tcPr>
            <w:tcW w:w="3795" w:type="dxa"/>
          </w:tcPr>
          <w:p w14:paraId="253ECC87" w14:textId="77777777" w:rsidR="00A052DC" w:rsidRDefault="009F0A60">
            <w:pPr>
              <w:rPr>
                <w:rFonts w:ascii="黑体" w:eastAsia="黑体" w:hAnsi="黑体"/>
                <w:sz w:val="20"/>
                <w:szCs w:val="20"/>
              </w:rPr>
            </w:pPr>
            <w:r>
              <w:rPr>
                <w:rFonts w:ascii="黑体" w:eastAsia="黑体" w:hAnsi="黑体" w:hint="eastAsia"/>
                <w:sz w:val="20"/>
                <w:szCs w:val="20"/>
              </w:rPr>
              <w:t>必填项。见国家和地区代码表的3位字母代码，必须≠</w:t>
            </w:r>
            <w:r>
              <w:rPr>
                <w:rFonts w:ascii="黑体" w:eastAsia="黑体" w:hAnsi="黑体"/>
                <w:sz w:val="20"/>
                <w:szCs w:val="20"/>
              </w:rPr>
              <w:t>CHN</w:t>
            </w:r>
            <w:r>
              <w:rPr>
                <w:rFonts w:ascii="黑体" w:eastAsia="黑体" w:hAnsi="黑体" w:hint="eastAsia"/>
                <w:sz w:val="20"/>
                <w:szCs w:val="20"/>
              </w:rPr>
              <w:t>或</w:t>
            </w:r>
            <w:r>
              <w:rPr>
                <w:rFonts w:ascii="黑体" w:eastAsia="黑体" w:hAnsi="黑体"/>
                <w:sz w:val="20"/>
                <w:szCs w:val="20"/>
              </w:rPr>
              <w:t>N/A</w:t>
            </w:r>
            <w:r>
              <w:rPr>
                <w:rFonts w:ascii="黑体" w:eastAsia="黑体" w:hAnsi="黑体" w:hint="eastAsia"/>
                <w:sz w:val="20"/>
                <w:szCs w:val="20"/>
              </w:rPr>
              <w:t>。</w:t>
            </w:r>
          </w:p>
        </w:tc>
      </w:tr>
      <w:tr w:rsidR="00A052DC" w14:paraId="5A556BF7" w14:textId="77777777">
        <w:trPr>
          <w:jc w:val="center"/>
        </w:trPr>
        <w:tc>
          <w:tcPr>
            <w:tcW w:w="1301" w:type="dxa"/>
          </w:tcPr>
          <w:p w14:paraId="2BF8B817" w14:textId="77777777" w:rsidR="00A052DC" w:rsidRDefault="009F0A60">
            <w:pPr>
              <w:rPr>
                <w:rFonts w:ascii="黑体" w:eastAsia="黑体" w:hAnsi="黑体"/>
                <w:sz w:val="20"/>
                <w:szCs w:val="20"/>
              </w:rPr>
            </w:pPr>
            <w:r>
              <w:rPr>
                <w:rFonts w:ascii="黑体" w:eastAsia="黑体" w:hAnsi="黑体" w:hint="eastAsia"/>
                <w:sz w:val="20"/>
                <w:szCs w:val="20"/>
              </w:rPr>
              <w:t>D0802</w:t>
            </w:r>
          </w:p>
        </w:tc>
        <w:tc>
          <w:tcPr>
            <w:tcW w:w="2127" w:type="dxa"/>
          </w:tcPr>
          <w:p w14:paraId="7FBB0505" w14:textId="77777777" w:rsidR="00A052DC" w:rsidRDefault="009F0A60">
            <w:pPr>
              <w:rPr>
                <w:rFonts w:ascii="黑体" w:eastAsia="黑体" w:hAnsi="黑体"/>
                <w:sz w:val="20"/>
                <w:szCs w:val="20"/>
              </w:rPr>
            </w:pPr>
            <w:r>
              <w:rPr>
                <w:rFonts w:ascii="黑体" w:eastAsia="黑体" w:hAnsi="黑体" w:hint="eastAsia"/>
                <w:sz w:val="20"/>
                <w:szCs w:val="20"/>
              </w:rPr>
              <w:t>对方部门</w:t>
            </w:r>
          </w:p>
        </w:tc>
        <w:tc>
          <w:tcPr>
            <w:tcW w:w="1417" w:type="dxa"/>
          </w:tcPr>
          <w:p w14:paraId="44BC99A3" w14:textId="77777777" w:rsidR="00A052DC" w:rsidRDefault="009F0A60">
            <w:pPr>
              <w:rPr>
                <w:rFonts w:ascii="黑体" w:eastAsia="黑体" w:hAnsi="黑体"/>
                <w:sz w:val="20"/>
                <w:szCs w:val="20"/>
              </w:rPr>
            </w:pPr>
            <w:r>
              <w:rPr>
                <w:rFonts w:ascii="黑体" w:eastAsia="黑体" w:hAnsi="黑体" w:hint="eastAsia"/>
                <w:sz w:val="20"/>
                <w:szCs w:val="20"/>
              </w:rPr>
              <w:t>整数型</w:t>
            </w:r>
          </w:p>
        </w:tc>
        <w:tc>
          <w:tcPr>
            <w:tcW w:w="3795" w:type="dxa"/>
          </w:tcPr>
          <w:p w14:paraId="125ECFC5" w14:textId="77777777" w:rsidR="00A052DC" w:rsidRDefault="009F0A60">
            <w:pPr>
              <w:rPr>
                <w:rFonts w:ascii="黑体" w:eastAsia="黑体" w:hAnsi="黑体"/>
                <w:sz w:val="20"/>
                <w:szCs w:val="20"/>
              </w:rPr>
            </w:pPr>
            <w:r>
              <w:rPr>
                <w:rFonts w:ascii="黑体" w:eastAsia="黑体" w:hAnsi="黑体" w:hint="eastAsia"/>
                <w:sz w:val="20"/>
                <w:szCs w:val="20"/>
              </w:rPr>
              <w:t>必填项。见投资者（被投资者）部门代码表。</w:t>
            </w:r>
          </w:p>
        </w:tc>
      </w:tr>
      <w:tr w:rsidR="00A052DC" w14:paraId="2BDCCC49" w14:textId="77777777">
        <w:trPr>
          <w:jc w:val="center"/>
        </w:trPr>
        <w:tc>
          <w:tcPr>
            <w:tcW w:w="1301" w:type="dxa"/>
          </w:tcPr>
          <w:p w14:paraId="1A1BD3CD" w14:textId="77777777" w:rsidR="00A052DC" w:rsidRDefault="009F0A60">
            <w:pPr>
              <w:rPr>
                <w:rFonts w:ascii="黑体" w:eastAsia="黑体" w:hAnsi="黑体"/>
                <w:sz w:val="20"/>
                <w:szCs w:val="20"/>
              </w:rPr>
            </w:pPr>
            <w:r>
              <w:rPr>
                <w:rFonts w:ascii="黑体" w:eastAsia="黑体" w:hAnsi="黑体" w:hint="eastAsia"/>
                <w:sz w:val="20"/>
                <w:szCs w:val="20"/>
              </w:rPr>
              <w:t>D0803</w:t>
            </w:r>
          </w:p>
        </w:tc>
        <w:tc>
          <w:tcPr>
            <w:tcW w:w="2127" w:type="dxa"/>
          </w:tcPr>
          <w:p w14:paraId="3899169F" w14:textId="77777777" w:rsidR="00A052DC" w:rsidRDefault="009F0A60">
            <w:pPr>
              <w:rPr>
                <w:rFonts w:ascii="黑体" w:eastAsia="黑体" w:hAnsi="黑体"/>
                <w:sz w:val="20"/>
                <w:szCs w:val="20"/>
              </w:rPr>
            </w:pPr>
            <w:r>
              <w:rPr>
                <w:rFonts w:ascii="黑体" w:eastAsia="黑体" w:hAnsi="黑体" w:hint="eastAsia"/>
                <w:sz w:val="20"/>
                <w:szCs w:val="20"/>
              </w:rPr>
              <w:t>对方与本机构的关系</w:t>
            </w:r>
          </w:p>
        </w:tc>
        <w:tc>
          <w:tcPr>
            <w:tcW w:w="1417" w:type="dxa"/>
          </w:tcPr>
          <w:p w14:paraId="64059F9C" w14:textId="77777777" w:rsidR="00A052DC" w:rsidRDefault="009F0A60">
            <w:pPr>
              <w:rPr>
                <w:rFonts w:ascii="黑体" w:eastAsia="黑体" w:hAnsi="黑体"/>
                <w:sz w:val="20"/>
                <w:szCs w:val="20"/>
              </w:rPr>
            </w:pPr>
            <w:r>
              <w:rPr>
                <w:rFonts w:ascii="黑体" w:eastAsia="黑体" w:hAnsi="黑体" w:hint="eastAsia"/>
                <w:sz w:val="20"/>
                <w:szCs w:val="20"/>
              </w:rPr>
              <w:t>整数型</w:t>
            </w:r>
          </w:p>
        </w:tc>
        <w:tc>
          <w:tcPr>
            <w:tcW w:w="3795" w:type="dxa"/>
          </w:tcPr>
          <w:p w14:paraId="46C9194F" w14:textId="77777777" w:rsidR="00A052DC" w:rsidRDefault="009F0A60">
            <w:pPr>
              <w:rPr>
                <w:rFonts w:ascii="黑体" w:eastAsia="黑体" w:hAnsi="黑体"/>
                <w:sz w:val="20"/>
                <w:szCs w:val="20"/>
              </w:rPr>
            </w:pPr>
            <w:r>
              <w:rPr>
                <w:rFonts w:ascii="黑体" w:eastAsia="黑体" w:hAnsi="黑体" w:hint="eastAsia"/>
                <w:sz w:val="20"/>
                <w:szCs w:val="20"/>
              </w:rPr>
              <w:t>必填项。见对方与本机构/被代理居民机构/委托人的关系代码表。</w:t>
            </w:r>
          </w:p>
        </w:tc>
      </w:tr>
      <w:tr w:rsidR="00A052DC" w14:paraId="5684C2CE" w14:textId="77777777">
        <w:trPr>
          <w:jc w:val="center"/>
        </w:trPr>
        <w:tc>
          <w:tcPr>
            <w:tcW w:w="1301" w:type="dxa"/>
          </w:tcPr>
          <w:p w14:paraId="5095C52A" w14:textId="77777777" w:rsidR="00A052DC" w:rsidRDefault="009F0A60">
            <w:pPr>
              <w:rPr>
                <w:rFonts w:ascii="黑体" w:eastAsia="黑体" w:hAnsi="黑体"/>
                <w:sz w:val="20"/>
                <w:szCs w:val="20"/>
              </w:rPr>
            </w:pPr>
            <w:r>
              <w:rPr>
                <w:rFonts w:ascii="黑体" w:eastAsia="黑体" w:hAnsi="黑体" w:hint="eastAsia"/>
                <w:sz w:val="20"/>
                <w:szCs w:val="20"/>
              </w:rPr>
              <w:t>D0804</w:t>
            </w:r>
          </w:p>
        </w:tc>
        <w:tc>
          <w:tcPr>
            <w:tcW w:w="2127" w:type="dxa"/>
          </w:tcPr>
          <w:p w14:paraId="1CB9C263" w14:textId="77777777" w:rsidR="00A052DC" w:rsidRDefault="009F0A60">
            <w:pPr>
              <w:rPr>
                <w:rFonts w:ascii="黑体" w:eastAsia="黑体" w:hAnsi="黑体"/>
                <w:sz w:val="20"/>
                <w:szCs w:val="20"/>
              </w:rPr>
            </w:pPr>
            <w:r>
              <w:rPr>
                <w:rFonts w:ascii="黑体" w:eastAsia="黑体" w:hAnsi="黑体" w:hint="eastAsia"/>
                <w:sz w:val="20"/>
                <w:szCs w:val="20"/>
              </w:rPr>
              <w:t>原始期限</w:t>
            </w:r>
          </w:p>
        </w:tc>
        <w:tc>
          <w:tcPr>
            <w:tcW w:w="1417" w:type="dxa"/>
          </w:tcPr>
          <w:p w14:paraId="1D63198C" w14:textId="77777777" w:rsidR="00A052DC" w:rsidRDefault="009F0A60">
            <w:pPr>
              <w:rPr>
                <w:rFonts w:ascii="黑体" w:eastAsia="黑体" w:hAnsi="黑体"/>
                <w:sz w:val="20"/>
                <w:szCs w:val="20"/>
              </w:rPr>
            </w:pPr>
            <w:r>
              <w:rPr>
                <w:rFonts w:ascii="黑体" w:eastAsia="黑体" w:hAnsi="黑体" w:hint="eastAsia"/>
                <w:sz w:val="20"/>
                <w:szCs w:val="20"/>
              </w:rPr>
              <w:t>整数型</w:t>
            </w:r>
          </w:p>
        </w:tc>
        <w:tc>
          <w:tcPr>
            <w:tcW w:w="3795" w:type="dxa"/>
          </w:tcPr>
          <w:p w14:paraId="7DD7D191" w14:textId="77777777" w:rsidR="00A052DC" w:rsidRDefault="009F0A60">
            <w:pPr>
              <w:rPr>
                <w:rFonts w:ascii="黑体" w:eastAsia="黑体" w:hAnsi="黑体"/>
                <w:sz w:val="20"/>
                <w:szCs w:val="20"/>
              </w:rPr>
            </w:pPr>
            <w:r>
              <w:rPr>
                <w:rFonts w:ascii="黑体" w:eastAsia="黑体" w:hAnsi="黑体" w:hint="eastAsia"/>
                <w:sz w:val="20"/>
                <w:szCs w:val="20"/>
              </w:rPr>
              <w:t>必填项。必须2选1：</w:t>
            </w:r>
          </w:p>
          <w:p w14:paraId="5B8FB357" w14:textId="77777777" w:rsidR="00A052DC" w:rsidRDefault="009F0A60">
            <w:pPr>
              <w:rPr>
                <w:rFonts w:ascii="黑体" w:eastAsia="黑体" w:hAnsi="黑体"/>
                <w:kern w:val="0"/>
                <w:sz w:val="20"/>
                <w:szCs w:val="20"/>
              </w:rPr>
            </w:pPr>
            <w:r>
              <w:rPr>
                <w:rFonts w:ascii="黑体" w:eastAsia="黑体" w:hAnsi="黑体" w:hint="eastAsia"/>
                <w:kern w:val="0"/>
                <w:sz w:val="20"/>
                <w:szCs w:val="20"/>
              </w:rPr>
              <w:t>1-一年及以下，含不定期；</w:t>
            </w:r>
          </w:p>
          <w:p w14:paraId="32E000A0" w14:textId="77777777" w:rsidR="00A052DC" w:rsidRDefault="009F0A60">
            <w:pPr>
              <w:rPr>
                <w:rFonts w:ascii="黑体" w:eastAsia="黑体" w:hAnsi="黑体"/>
                <w:sz w:val="20"/>
                <w:szCs w:val="20"/>
              </w:rPr>
            </w:pPr>
            <w:r>
              <w:rPr>
                <w:rFonts w:ascii="黑体" w:eastAsia="黑体" w:hAnsi="黑体" w:hint="eastAsia"/>
                <w:sz w:val="20"/>
                <w:szCs w:val="20"/>
              </w:rPr>
              <w:t>2-一年以上。</w:t>
            </w:r>
          </w:p>
        </w:tc>
      </w:tr>
      <w:tr w:rsidR="00A052DC" w14:paraId="0765BB1A" w14:textId="77777777">
        <w:trPr>
          <w:jc w:val="center"/>
        </w:trPr>
        <w:tc>
          <w:tcPr>
            <w:tcW w:w="1301" w:type="dxa"/>
          </w:tcPr>
          <w:p w14:paraId="3E323A05" w14:textId="77777777" w:rsidR="00A052DC" w:rsidRDefault="009F0A60">
            <w:pPr>
              <w:rPr>
                <w:rFonts w:ascii="黑体" w:eastAsia="黑体" w:hAnsi="黑体"/>
                <w:sz w:val="20"/>
                <w:szCs w:val="20"/>
              </w:rPr>
            </w:pPr>
            <w:r>
              <w:rPr>
                <w:rFonts w:ascii="黑体" w:eastAsia="黑体" w:hAnsi="黑体" w:hint="eastAsia"/>
                <w:sz w:val="20"/>
                <w:szCs w:val="20"/>
              </w:rPr>
              <w:t>D0805</w:t>
            </w:r>
          </w:p>
        </w:tc>
        <w:tc>
          <w:tcPr>
            <w:tcW w:w="2127" w:type="dxa"/>
          </w:tcPr>
          <w:p w14:paraId="27E89BD9" w14:textId="77777777" w:rsidR="00A052DC" w:rsidRDefault="009F0A60">
            <w:pPr>
              <w:rPr>
                <w:rFonts w:ascii="黑体" w:eastAsia="黑体" w:hAnsi="黑体"/>
                <w:sz w:val="20"/>
                <w:szCs w:val="20"/>
              </w:rPr>
            </w:pPr>
            <w:r>
              <w:rPr>
                <w:rFonts w:ascii="黑体" w:eastAsia="黑体" w:hAnsi="黑体" w:hint="eastAsia"/>
                <w:sz w:val="20"/>
                <w:szCs w:val="20"/>
              </w:rPr>
              <w:t>原始币种</w:t>
            </w:r>
          </w:p>
        </w:tc>
        <w:tc>
          <w:tcPr>
            <w:tcW w:w="1417" w:type="dxa"/>
          </w:tcPr>
          <w:p w14:paraId="21AF98FE" w14:textId="77777777" w:rsidR="00A052DC" w:rsidRDefault="009F0A60">
            <w:pPr>
              <w:rPr>
                <w:rFonts w:ascii="黑体" w:eastAsia="黑体" w:hAnsi="黑体"/>
                <w:sz w:val="20"/>
                <w:szCs w:val="20"/>
              </w:rPr>
            </w:pPr>
            <w:r>
              <w:rPr>
                <w:rFonts w:ascii="黑体" w:eastAsia="黑体" w:hAnsi="黑体" w:hint="eastAsia"/>
                <w:sz w:val="20"/>
                <w:szCs w:val="20"/>
              </w:rPr>
              <w:t>字符型，3</w:t>
            </w:r>
          </w:p>
        </w:tc>
        <w:tc>
          <w:tcPr>
            <w:tcW w:w="3795" w:type="dxa"/>
          </w:tcPr>
          <w:p w14:paraId="688D14D9" w14:textId="77777777" w:rsidR="00A052DC" w:rsidRDefault="009F0A60">
            <w:pPr>
              <w:rPr>
                <w:rFonts w:ascii="黑体" w:eastAsia="黑体" w:hAnsi="黑体"/>
                <w:sz w:val="20"/>
                <w:szCs w:val="20"/>
              </w:rPr>
            </w:pPr>
            <w:r>
              <w:rPr>
                <w:rFonts w:ascii="黑体" w:eastAsia="黑体" w:hAnsi="黑体" w:hint="eastAsia"/>
                <w:sz w:val="20"/>
                <w:szCs w:val="20"/>
              </w:rPr>
              <w:t>必填项。见币种代码表。</w:t>
            </w:r>
          </w:p>
        </w:tc>
      </w:tr>
      <w:tr w:rsidR="00A052DC" w14:paraId="490B11BD" w14:textId="77777777">
        <w:trPr>
          <w:jc w:val="center"/>
        </w:trPr>
        <w:tc>
          <w:tcPr>
            <w:tcW w:w="1301" w:type="dxa"/>
          </w:tcPr>
          <w:p w14:paraId="64C787FE" w14:textId="77777777" w:rsidR="00A052DC" w:rsidRDefault="009F0A60">
            <w:pPr>
              <w:rPr>
                <w:rFonts w:ascii="黑体" w:eastAsia="黑体" w:hAnsi="黑体"/>
                <w:sz w:val="20"/>
                <w:szCs w:val="20"/>
              </w:rPr>
            </w:pPr>
            <w:r>
              <w:rPr>
                <w:rFonts w:ascii="黑体" w:eastAsia="黑体" w:hAnsi="黑体" w:hint="eastAsia"/>
                <w:sz w:val="20"/>
                <w:szCs w:val="20"/>
              </w:rPr>
              <w:t>D0806</w:t>
            </w:r>
          </w:p>
        </w:tc>
        <w:tc>
          <w:tcPr>
            <w:tcW w:w="2127" w:type="dxa"/>
          </w:tcPr>
          <w:p w14:paraId="55B91A47" w14:textId="77777777" w:rsidR="00A052DC" w:rsidRDefault="009F0A60">
            <w:pPr>
              <w:rPr>
                <w:rFonts w:ascii="黑体" w:eastAsia="黑体" w:hAnsi="黑体"/>
                <w:sz w:val="20"/>
                <w:szCs w:val="20"/>
              </w:rPr>
            </w:pPr>
            <w:r>
              <w:rPr>
                <w:rFonts w:ascii="黑体" w:eastAsia="黑体" w:hAnsi="黑体" w:hint="eastAsia"/>
                <w:sz w:val="20"/>
                <w:szCs w:val="20"/>
              </w:rPr>
              <w:t>上月末余额</w:t>
            </w:r>
          </w:p>
        </w:tc>
        <w:tc>
          <w:tcPr>
            <w:tcW w:w="1417" w:type="dxa"/>
          </w:tcPr>
          <w:p w14:paraId="3931EB10"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3795" w:type="dxa"/>
          </w:tcPr>
          <w:p w14:paraId="4B139369"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r w:rsidR="00A052DC" w14:paraId="543F9F62" w14:textId="77777777">
        <w:trPr>
          <w:jc w:val="center"/>
        </w:trPr>
        <w:tc>
          <w:tcPr>
            <w:tcW w:w="1301" w:type="dxa"/>
          </w:tcPr>
          <w:p w14:paraId="48B45D65" w14:textId="77777777" w:rsidR="00A052DC" w:rsidRDefault="009F0A60">
            <w:pPr>
              <w:rPr>
                <w:rFonts w:ascii="黑体" w:eastAsia="黑体" w:hAnsi="黑体"/>
                <w:sz w:val="20"/>
                <w:szCs w:val="20"/>
              </w:rPr>
            </w:pPr>
            <w:r>
              <w:rPr>
                <w:rFonts w:ascii="黑体" w:eastAsia="黑体" w:hAnsi="黑体" w:hint="eastAsia"/>
                <w:sz w:val="20"/>
                <w:szCs w:val="20"/>
              </w:rPr>
              <w:t>D0807</w:t>
            </w:r>
          </w:p>
        </w:tc>
        <w:tc>
          <w:tcPr>
            <w:tcW w:w="2127" w:type="dxa"/>
          </w:tcPr>
          <w:p w14:paraId="4A6FCE72" w14:textId="77777777" w:rsidR="00A052DC" w:rsidRDefault="009F0A60">
            <w:pPr>
              <w:rPr>
                <w:rFonts w:ascii="黑体" w:eastAsia="黑体" w:hAnsi="黑体"/>
                <w:sz w:val="20"/>
                <w:szCs w:val="20"/>
              </w:rPr>
            </w:pPr>
            <w:r>
              <w:rPr>
                <w:rFonts w:ascii="黑体" w:eastAsia="黑体" w:hAnsi="黑体" w:hint="eastAsia"/>
                <w:sz w:val="20"/>
                <w:szCs w:val="20"/>
              </w:rPr>
              <w:t>本月末余额</w:t>
            </w:r>
          </w:p>
        </w:tc>
        <w:tc>
          <w:tcPr>
            <w:tcW w:w="1417" w:type="dxa"/>
          </w:tcPr>
          <w:p w14:paraId="3E4FD4B0"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3795" w:type="dxa"/>
          </w:tcPr>
          <w:p w14:paraId="179F45A6"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r w:rsidR="00A052DC" w14:paraId="24E0313E" w14:textId="77777777">
        <w:trPr>
          <w:jc w:val="center"/>
        </w:trPr>
        <w:tc>
          <w:tcPr>
            <w:tcW w:w="1301" w:type="dxa"/>
          </w:tcPr>
          <w:p w14:paraId="27D267A4" w14:textId="77777777" w:rsidR="00A052DC" w:rsidRDefault="009F0A60">
            <w:pPr>
              <w:rPr>
                <w:rFonts w:ascii="黑体" w:eastAsia="黑体" w:hAnsi="黑体"/>
                <w:sz w:val="20"/>
                <w:szCs w:val="20"/>
              </w:rPr>
            </w:pPr>
            <w:r>
              <w:rPr>
                <w:rFonts w:ascii="黑体" w:eastAsia="黑体" w:hAnsi="黑体" w:hint="eastAsia"/>
                <w:sz w:val="20"/>
                <w:szCs w:val="20"/>
              </w:rPr>
              <w:t>D0808</w:t>
            </w:r>
          </w:p>
        </w:tc>
        <w:tc>
          <w:tcPr>
            <w:tcW w:w="2127" w:type="dxa"/>
          </w:tcPr>
          <w:p w14:paraId="4DDECDC7" w14:textId="77777777" w:rsidR="00A052DC" w:rsidRDefault="009F0A60">
            <w:pPr>
              <w:rPr>
                <w:rFonts w:ascii="黑体" w:eastAsia="黑体" w:hAnsi="黑体"/>
                <w:sz w:val="20"/>
                <w:szCs w:val="20"/>
              </w:rPr>
            </w:pPr>
            <w:r>
              <w:rPr>
                <w:rFonts w:ascii="黑体" w:eastAsia="黑体" w:hAnsi="黑体" w:hint="eastAsia"/>
                <w:sz w:val="20"/>
                <w:szCs w:val="20"/>
              </w:rPr>
              <w:t>本月末余额其中：剩余期限在一年及以下</w:t>
            </w:r>
          </w:p>
        </w:tc>
        <w:tc>
          <w:tcPr>
            <w:tcW w:w="1417" w:type="dxa"/>
          </w:tcPr>
          <w:p w14:paraId="778924E7"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3795" w:type="dxa"/>
          </w:tcPr>
          <w:p w14:paraId="6359BB69" w14:textId="77777777" w:rsidR="00A052DC" w:rsidRDefault="009F0A60">
            <w:pPr>
              <w:rPr>
                <w:rFonts w:ascii="黑体" w:eastAsia="黑体" w:hAnsi="黑体"/>
                <w:sz w:val="20"/>
                <w:szCs w:val="20"/>
              </w:rPr>
            </w:pPr>
            <w:r>
              <w:rPr>
                <w:rFonts w:ascii="黑体" w:eastAsia="黑体" w:hAnsi="黑体" w:hint="eastAsia"/>
                <w:sz w:val="20"/>
                <w:szCs w:val="20"/>
              </w:rPr>
              <w:t>必填项。</w:t>
            </w:r>
          </w:p>
          <w:p w14:paraId="047790FA" w14:textId="77777777" w:rsidR="00A052DC" w:rsidRDefault="009F0A60">
            <w:pPr>
              <w:rPr>
                <w:rFonts w:ascii="黑体" w:eastAsia="黑体" w:hAnsi="黑体"/>
                <w:sz w:val="20"/>
                <w:szCs w:val="20"/>
              </w:rPr>
            </w:pPr>
            <w:r>
              <w:rPr>
                <w:rFonts w:ascii="黑体" w:eastAsia="黑体" w:hAnsi="黑体" w:hint="eastAsia"/>
                <w:sz w:val="20"/>
                <w:szCs w:val="20"/>
              </w:rPr>
              <w:t>当D0804=1时，D0807=D0808。</w:t>
            </w:r>
          </w:p>
          <w:p w14:paraId="7A017486" w14:textId="77777777" w:rsidR="00A052DC" w:rsidRDefault="009F0A60">
            <w:pPr>
              <w:rPr>
                <w:rFonts w:ascii="黑体" w:eastAsia="黑体" w:hAnsi="黑体"/>
                <w:sz w:val="20"/>
                <w:szCs w:val="20"/>
              </w:rPr>
            </w:pPr>
            <w:r>
              <w:rPr>
                <w:rFonts w:ascii="黑体" w:eastAsia="黑体" w:hAnsi="黑体" w:hint="eastAsia"/>
                <w:sz w:val="20"/>
                <w:szCs w:val="20"/>
              </w:rPr>
              <w:t>当D0804=2时，︱D0807︳≥︱D0808︳</w:t>
            </w:r>
          </w:p>
        </w:tc>
      </w:tr>
      <w:tr w:rsidR="00A052DC" w14:paraId="6434C524" w14:textId="77777777">
        <w:trPr>
          <w:jc w:val="center"/>
        </w:trPr>
        <w:tc>
          <w:tcPr>
            <w:tcW w:w="1301" w:type="dxa"/>
          </w:tcPr>
          <w:p w14:paraId="47CDD50A" w14:textId="77777777" w:rsidR="00A052DC" w:rsidRDefault="009F0A60">
            <w:pPr>
              <w:rPr>
                <w:rFonts w:ascii="黑体" w:eastAsia="黑体" w:hAnsi="黑体"/>
                <w:sz w:val="20"/>
                <w:szCs w:val="20"/>
              </w:rPr>
            </w:pPr>
            <w:r>
              <w:rPr>
                <w:rFonts w:ascii="黑体" w:eastAsia="黑体" w:hAnsi="黑体" w:hint="eastAsia"/>
                <w:sz w:val="20"/>
                <w:szCs w:val="20"/>
              </w:rPr>
              <w:t>D0809</w:t>
            </w:r>
          </w:p>
        </w:tc>
        <w:tc>
          <w:tcPr>
            <w:tcW w:w="2127" w:type="dxa"/>
          </w:tcPr>
          <w:p w14:paraId="3E72BF58" w14:textId="77777777" w:rsidR="00A052DC" w:rsidRDefault="009F0A60">
            <w:pPr>
              <w:rPr>
                <w:rFonts w:ascii="黑体" w:eastAsia="黑体" w:hAnsi="黑体"/>
                <w:sz w:val="20"/>
                <w:szCs w:val="20"/>
              </w:rPr>
            </w:pPr>
            <w:r>
              <w:rPr>
                <w:rFonts w:ascii="黑体" w:eastAsia="黑体" w:hAnsi="黑体" w:hint="eastAsia"/>
                <w:sz w:val="20"/>
                <w:szCs w:val="20"/>
              </w:rPr>
              <w:t>本月非交易变动</w:t>
            </w:r>
          </w:p>
        </w:tc>
        <w:tc>
          <w:tcPr>
            <w:tcW w:w="1417" w:type="dxa"/>
          </w:tcPr>
          <w:p w14:paraId="53235D39"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3795" w:type="dxa"/>
          </w:tcPr>
          <w:p w14:paraId="0EBC2DC6"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r w:rsidR="00A052DC" w14:paraId="349D24A9" w14:textId="77777777">
        <w:trPr>
          <w:jc w:val="center"/>
        </w:trPr>
        <w:tc>
          <w:tcPr>
            <w:tcW w:w="1301" w:type="dxa"/>
          </w:tcPr>
          <w:p w14:paraId="577BE977" w14:textId="77777777" w:rsidR="00A052DC" w:rsidRDefault="009F0A60">
            <w:pPr>
              <w:rPr>
                <w:rFonts w:ascii="黑体" w:eastAsia="黑体" w:hAnsi="黑体"/>
                <w:sz w:val="20"/>
                <w:szCs w:val="20"/>
              </w:rPr>
            </w:pPr>
            <w:r>
              <w:rPr>
                <w:rFonts w:ascii="黑体" w:eastAsia="黑体" w:hAnsi="黑体" w:hint="eastAsia"/>
                <w:sz w:val="20"/>
                <w:szCs w:val="20"/>
              </w:rPr>
              <w:t>D0810</w:t>
            </w:r>
          </w:p>
        </w:tc>
        <w:tc>
          <w:tcPr>
            <w:tcW w:w="2127" w:type="dxa"/>
          </w:tcPr>
          <w:p w14:paraId="47B86FF1" w14:textId="77777777" w:rsidR="00A052DC" w:rsidRDefault="009F0A60">
            <w:pPr>
              <w:rPr>
                <w:rFonts w:ascii="黑体" w:eastAsia="黑体" w:hAnsi="黑体"/>
                <w:sz w:val="20"/>
                <w:szCs w:val="20"/>
              </w:rPr>
            </w:pPr>
            <w:r>
              <w:rPr>
                <w:rFonts w:ascii="黑体" w:eastAsia="黑体" w:hAnsi="黑体" w:hint="eastAsia"/>
                <w:sz w:val="20"/>
                <w:szCs w:val="20"/>
              </w:rPr>
              <w:t>本月净发生额</w:t>
            </w:r>
          </w:p>
        </w:tc>
        <w:tc>
          <w:tcPr>
            <w:tcW w:w="1417" w:type="dxa"/>
          </w:tcPr>
          <w:p w14:paraId="09AB581B"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3795" w:type="dxa"/>
          </w:tcPr>
          <w:p w14:paraId="0D5FB856" w14:textId="77777777" w:rsidR="00A052DC" w:rsidRDefault="009F0A60">
            <w:pPr>
              <w:rPr>
                <w:rFonts w:ascii="黑体" w:eastAsia="黑体" w:hAnsi="黑体"/>
                <w:sz w:val="20"/>
                <w:szCs w:val="20"/>
              </w:rPr>
            </w:pPr>
            <w:r>
              <w:rPr>
                <w:rFonts w:ascii="黑体" w:eastAsia="黑体" w:hAnsi="黑体" w:hint="eastAsia"/>
                <w:sz w:val="20"/>
                <w:szCs w:val="20"/>
              </w:rPr>
              <w:t>必填项，必须满足：</w:t>
            </w:r>
          </w:p>
          <w:p w14:paraId="2C2F7B62" w14:textId="77777777" w:rsidR="00A052DC" w:rsidRDefault="009F0A60">
            <w:pPr>
              <w:rPr>
                <w:rFonts w:ascii="黑体" w:eastAsia="黑体" w:hAnsi="黑体"/>
                <w:sz w:val="20"/>
                <w:szCs w:val="20"/>
              </w:rPr>
            </w:pPr>
            <w:r>
              <w:rPr>
                <w:rFonts w:ascii="黑体" w:eastAsia="黑体" w:hAnsi="黑体" w:hint="eastAsia"/>
                <w:sz w:val="20"/>
                <w:szCs w:val="20"/>
              </w:rPr>
              <w:t>D0810+D0809=D0807-D0806。</w:t>
            </w:r>
          </w:p>
        </w:tc>
      </w:tr>
      <w:tr w:rsidR="00A052DC" w14:paraId="6CB53251" w14:textId="77777777">
        <w:trPr>
          <w:jc w:val="center"/>
        </w:trPr>
        <w:tc>
          <w:tcPr>
            <w:tcW w:w="1301" w:type="dxa"/>
          </w:tcPr>
          <w:p w14:paraId="0B943ADE" w14:textId="77777777" w:rsidR="00A052DC" w:rsidRDefault="009F0A60">
            <w:pPr>
              <w:rPr>
                <w:rFonts w:ascii="黑体" w:eastAsia="黑体" w:hAnsi="黑体"/>
                <w:sz w:val="20"/>
                <w:szCs w:val="20"/>
              </w:rPr>
            </w:pPr>
            <w:r>
              <w:rPr>
                <w:rFonts w:ascii="黑体" w:eastAsia="黑体" w:hAnsi="黑体" w:hint="eastAsia"/>
                <w:sz w:val="20"/>
                <w:szCs w:val="20"/>
              </w:rPr>
              <w:t>REMARK</w:t>
            </w:r>
          </w:p>
        </w:tc>
        <w:tc>
          <w:tcPr>
            <w:tcW w:w="2127" w:type="dxa"/>
          </w:tcPr>
          <w:p w14:paraId="50A31776" w14:textId="77777777" w:rsidR="00A052DC" w:rsidRDefault="009F0A60">
            <w:pPr>
              <w:rPr>
                <w:rFonts w:ascii="黑体" w:eastAsia="黑体" w:hAnsi="黑体"/>
                <w:sz w:val="20"/>
                <w:szCs w:val="20"/>
              </w:rPr>
            </w:pPr>
            <w:r>
              <w:rPr>
                <w:rFonts w:ascii="黑体" w:eastAsia="黑体" w:hAnsi="黑体" w:hint="eastAsia"/>
                <w:sz w:val="20"/>
                <w:szCs w:val="20"/>
              </w:rPr>
              <w:t>备注</w:t>
            </w:r>
          </w:p>
        </w:tc>
        <w:tc>
          <w:tcPr>
            <w:tcW w:w="1417" w:type="dxa"/>
          </w:tcPr>
          <w:p w14:paraId="1BC7E848" w14:textId="77777777" w:rsidR="00A052DC" w:rsidRDefault="009F0A60">
            <w:pPr>
              <w:rPr>
                <w:rFonts w:ascii="黑体" w:eastAsia="黑体" w:hAnsi="黑体"/>
                <w:sz w:val="20"/>
                <w:szCs w:val="20"/>
              </w:rPr>
            </w:pPr>
            <w:r>
              <w:rPr>
                <w:rFonts w:ascii="黑体" w:eastAsia="黑体" w:hAnsi="黑体" w:hint="eastAsia"/>
                <w:sz w:val="20"/>
                <w:szCs w:val="20"/>
              </w:rPr>
              <w:t>字符型，512</w:t>
            </w:r>
          </w:p>
        </w:tc>
        <w:tc>
          <w:tcPr>
            <w:tcW w:w="3795" w:type="dxa"/>
          </w:tcPr>
          <w:p w14:paraId="5F26C089" w14:textId="77777777" w:rsidR="00A052DC" w:rsidRDefault="009F0A60">
            <w:pPr>
              <w:rPr>
                <w:rFonts w:ascii="黑体" w:eastAsia="黑体" w:hAnsi="黑体"/>
                <w:sz w:val="20"/>
                <w:szCs w:val="20"/>
              </w:rPr>
            </w:pPr>
            <w:r>
              <w:rPr>
                <w:rFonts w:ascii="黑体" w:eastAsia="黑体" w:hAnsi="黑体" w:hint="eastAsia"/>
                <w:sz w:val="20"/>
                <w:szCs w:val="20"/>
              </w:rPr>
              <w:t>当</w:t>
            </w:r>
            <w:r>
              <w:rPr>
                <w:rFonts w:ascii="黑体" w:eastAsia="黑体" w:hAnsi="黑体"/>
                <w:sz w:val="20"/>
                <w:szCs w:val="20"/>
              </w:rPr>
              <w:t>D0</w:t>
            </w:r>
            <w:r>
              <w:rPr>
                <w:rFonts w:ascii="黑体" w:eastAsia="黑体" w:hAnsi="黑体" w:hint="eastAsia"/>
                <w:sz w:val="20"/>
                <w:szCs w:val="20"/>
              </w:rPr>
              <w:t>8</w:t>
            </w:r>
            <w:r>
              <w:rPr>
                <w:rFonts w:ascii="黑体" w:eastAsia="黑体" w:hAnsi="黑体"/>
                <w:sz w:val="20"/>
                <w:szCs w:val="20"/>
              </w:rPr>
              <w:t>06、D0</w:t>
            </w:r>
            <w:r>
              <w:rPr>
                <w:rFonts w:ascii="黑体" w:eastAsia="黑体" w:hAnsi="黑体" w:hint="eastAsia"/>
                <w:sz w:val="20"/>
                <w:szCs w:val="20"/>
              </w:rPr>
              <w:t>8</w:t>
            </w:r>
            <w:r>
              <w:rPr>
                <w:rFonts w:ascii="黑体" w:eastAsia="黑体" w:hAnsi="黑体"/>
                <w:sz w:val="20"/>
                <w:szCs w:val="20"/>
              </w:rPr>
              <w:t>07或D0</w:t>
            </w:r>
            <w:r>
              <w:rPr>
                <w:rFonts w:ascii="黑体" w:eastAsia="黑体" w:hAnsi="黑体" w:hint="eastAsia"/>
                <w:sz w:val="20"/>
                <w:szCs w:val="20"/>
              </w:rPr>
              <w:t>8</w:t>
            </w:r>
            <w:r>
              <w:rPr>
                <w:rFonts w:ascii="黑体" w:eastAsia="黑体" w:hAnsi="黑体"/>
                <w:sz w:val="20"/>
                <w:szCs w:val="20"/>
              </w:rPr>
              <w:t>08为负数时为</w:t>
            </w:r>
            <w:r>
              <w:rPr>
                <w:rFonts w:ascii="黑体" w:eastAsia="黑体" w:hAnsi="黑体" w:hint="eastAsia"/>
                <w:sz w:val="20"/>
                <w:szCs w:val="20"/>
              </w:rPr>
              <w:t>必填项。</w:t>
            </w:r>
          </w:p>
        </w:tc>
      </w:tr>
    </w:tbl>
    <w:p w14:paraId="7E583280" w14:textId="77777777" w:rsidR="00A052DC" w:rsidRDefault="00A052DC">
      <w:pPr>
        <w:spacing w:line="360" w:lineRule="auto"/>
        <w:ind w:firstLineChars="200" w:firstLine="480"/>
        <w:rPr>
          <w:rFonts w:ascii="Times New Roman"/>
          <w:kern w:val="0"/>
          <w:sz w:val="24"/>
          <w:szCs w:val="20"/>
        </w:rPr>
      </w:pPr>
    </w:p>
    <w:p w14:paraId="18965A0E" w14:textId="77777777" w:rsidR="00A052DC" w:rsidRDefault="009F0A60" w:rsidP="0020251D">
      <w:pPr>
        <w:pStyle w:val="3"/>
        <w:ind w:left="0"/>
        <w:rPr>
          <w:rFonts w:ascii="Times New Roman" w:hAnsi="Times New Roman"/>
        </w:rPr>
      </w:pPr>
      <w:bookmarkStart w:id="3311" w:name="_Toc380356298"/>
      <w:bookmarkStart w:id="3312" w:name="_Toc454391339"/>
      <w:bookmarkStart w:id="3313" w:name="_Toc380570984"/>
      <w:bookmarkStart w:id="3314" w:name="_Toc91455325"/>
      <w:bookmarkStart w:id="3315" w:name="_Toc101684498"/>
      <w:r>
        <w:rPr>
          <w:rFonts w:ascii="Times New Roman" w:hAnsi="Times New Roman"/>
        </w:rPr>
        <w:t>D09</w:t>
      </w:r>
      <w:r>
        <w:rPr>
          <w:rFonts w:ascii="Times New Roman" w:hAnsi="Times New Roman" w:hint="eastAsia"/>
        </w:rPr>
        <w:t>表：对非居民的贷款和应收款减值准备余额</w:t>
      </w:r>
      <w:bookmarkEnd w:id="3311"/>
      <w:bookmarkEnd w:id="3312"/>
      <w:bookmarkEnd w:id="3313"/>
      <w:bookmarkEnd w:id="3314"/>
      <w:bookmarkEnd w:id="3315"/>
    </w:p>
    <w:p w14:paraId="5B0980CF" w14:textId="77777777" w:rsidR="00A052DC" w:rsidRDefault="009F0A60" w:rsidP="0020251D">
      <w:pPr>
        <w:pStyle w:val="4"/>
        <w:numPr>
          <w:ilvl w:val="3"/>
          <w:numId w:val="1"/>
        </w:numPr>
        <w:jc w:val="left"/>
      </w:pPr>
      <w:bookmarkStart w:id="3316" w:name="_Toc454391340"/>
      <w:bookmarkStart w:id="3317" w:name="_Toc380570985"/>
      <w:r>
        <w:rPr>
          <w:rFonts w:hint="eastAsia"/>
        </w:rPr>
        <w:t>数据术语解释</w:t>
      </w:r>
      <w:bookmarkEnd w:id="3316"/>
      <w:bookmarkEnd w:id="3317"/>
    </w:p>
    <w:p w14:paraId="169F681B" w14:textId="77777777" w:rsidR="00A052DC" w:rsidRDefault="00A052DC">
      <w:pPr>
        <w:spacing w:line="240" w:lineRule="exact"/>
        <w:rPr>
          <w:sz w:val="18"/>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7087"/>
      </w:tblGrid>
      <w:tr w:rsidR="00A052DC" w14:paraId="25D9CF7B" w14:textId="77777777">
        <w:trPr>
          <w:cantSplit/>
        </w:trPr>
        <w:tc>
          <w:tcPr>
            <w:tcW w:w="1526" w:type="dxa"/>
          </w:tcPr>
          <w:p w14:paraId="7C69A4A7" w14:textId="77777777" w:rsidR="00A052DC" w:rsidRDefault="009F0A60">
            <w:pPr>
              <w:pStyle w:val="B1"/>
            </w:pPr>
            <w:r>
              <w:rPr>
                <w:rFonts w:hint="eastAsia"/>
              </w:rPr>
              <w:t>基础数据项</w:t>
            </w:r>
          </w:p>
        </w:tc>
        <w:tc>
          <w:tcPr>
            <w:tcW w:w="7087" w:type="dxa"/>
          </w:tcPr>
          <w:p w14:paraId="7BDE9A7E" w14:textId="77777777" w:rsidR="00A052DC" w:rsidRDefault="009F0A60">
            <w:pPr>
              <w:pStyle w:val="B1"/>
            </w:pPr>
            <w:r>
              <w:rPr>
                <w:rFonts w:hint="eastAsia"/>
              </w:rPr>
              <w:t>定义</w:t>
            </w:r>
          </w:p>
        </w:tc>
      </w:tr>
      <w:tr w:rsidR="00A052DC" w14:paraId="587B4D35" w14:textId="77777777">
        <w:trPr>
          <w:cantSplit/>
        </w:trPr>
        <w:tc>
          <w:tcPr>
            <w:tcW w:w="1526" w:type="dxa"/>
          </w:tcPr>
          <w:p w14:paraId="2FF97754" w14:textId="77777777" w:rsidR="00A052DC" w:rsidRDefault="009F0A60">
            <w:pPr>
              <w:pStyle w:val="B"/>
              <w:rPr>
                <w:szCs w:val="20"/>
              </w:rPr>
            </w:pPr>
            <w:r>
              <w:rPr>
                <w:rFonts w:hint="eastAsia"/>
                <w:szCs w:val="20"/>
              </w:rPr>
              <w:t>数据自编码</w:t>
            </w:r>
          </w:p>
        </w:tc>
        <w:tc>
          <w:tcPr>
            <w:tcW w:w="7087" w:type="dxa"/>
          </w:tcPr>
          <w:p w14:paraId="10639C99" w14:textId="77777777" w:rsidR="00A052DC" w:rsidRDefault="009F0A60">
            <w:pPr>
              <w:pStyle w:val="B"/>
              <w:rPr>
                <w:szCs w:val="20"/>
              </w:rPr>
            </w:pPr>
            <w:r>
              <w:rPr>
                <w:rFonts w:hint="eastAsia"/>
                <w:szCs w:val="20"/>
              </w:rPr>
              <w:t>该编码用于标识金融机构报送的每一条数据，按给定规则编码，便于进行增删改查等操作。建议规则：机构代码（18位，不足18位补</w:t>
            </w:r>
            <w:r>
              <w:rPr>
                <w:szCs w:val="20"/>
              </w:rPr>
              <w:t>a</w:t>
            </w:r>
            <w:r>
              <w:rPr>
                <w:rFonts w:hint="eastAsia"/>
                <w:szCs w:val="20"/>
              </w:rPr>
              <w:t>）</w:t>
            </w:r>
            <w:r>
              <w:rPr>
                <w:szCs w:val="20"/>
              </w:rPr>
              <w:t>+</w:t>
            </w:r>
            <w:r>
              <w:rPr>
                <w:rFonts w:hint="eastAsia"/>
                <w:szCs w:val="20"/>
              </w:rPr>
              <w:t>报表代码（</w:t>
            </w:r>
            <w:r>
              <w:rPr>
                <w:szCs w:val="20"/>
              </w:rPr>
              <w:t>5</w:t>
            </w:r>
            <w:r>
              <w:rPr>
                <w:rFonts w:hint="eastAsia"/>
                <w:szCs w:val="20"/>
              </w:rPr>
              <w:t>位，不足</w:t>
            </w:r>
            <w:r>
              <w:rPr>
                <w:szCs w:val="20"/>
              </w:rPr>
              <w:t>5</w:t>
            </w:r>
            <w:r>
              <w:rPr>
                <w:rFonts w:hint="eastAsia"/>
                <w:szCs w:val="20"/>
              </w:rPr>
              <w:t>位补</w:t>
            </w:r>
            <w:r>
              <w:rPr>
                <w:szCs w:val="20"/>
              </w:rPr>
              <w:t>a</w:t>
            </w:r>
            <w:r>
              <w:rPr>
                <w:rFonts w:hint="eastAsia"/>
                <w:szCs w:val="20"/>
              </w:rPr>
              <w:t>）</w:t>
            </w:r>
            <w:r>
              <w:rPr>
                <w:szCs w:val="20"/>
              </w:rPr>
              <w:t>+</w:t>
            </w:r>
            <w:r>
              <w:rPr>
                <w:rFonts w:hint="eastAsia"/>
                <w:szCs w:val="20"/>
              </w:rPr>
              <w:t>报送期（</w:t>
            </w:r>
            <w:r>
              <w:rPr>
                <w:szCs w:val="20"/>
              </w:rPr>
              <w:t>6</w:t>
            </w:r>
            <w:r>
              <w:rPr>
                <w:rFonts w:hint="eastAsia"/>
                <w:szCs w:val="20"/>
              </w:rPr>
              <w:t>位）</w:t>
            </w:r>
            <w:r>
              <w:rPr>
                <w:szCs w:val="20"/>
              </w:rPr>
              <w:t>+</w:t>
            </w:r>
            <w:r>
              <w:rPr>
                <w:rFonts w:hint="eastAsia"/>
                <w:szCs w:val="20"/>
              </w:rPr>
              <w:t>顺序号（</w:t>
            </w:r>
            <w:r>
              <w:rPr>
                <w:szCs w:val="20"/>
              </w:rPr>
              <w:t>7</w:t>
            </w:r>
            <w:r>
              <w:rPr>
                <w:rFonts w:hint="eastAsia"/>
                <w:szCs w:val="20"/>
              </w:rPr>
              <w:t>位，从</w:t>
            </w:r>
            <w:r>
              <w:rPr>
                <w:szCs w:val="20"/>
              </w:rPr>
              <w:t>0000001</w:t>
            </w:r>
            <w:r>
              <w:rPr>
                <w:rFonts w:hint="eastAsia"/>
                <w:szCs w:val="20"/>
              </w:rPr>
              <w:t>开始增加）。</w:t>
            </w:r>
          </w:p>
        </w:tc>
      </w:tr>
      <w:tr w:rsidR="00A052DC" w14:paraId="22BF154D" w14:textId="77777777">
        <w:trPr>
          <w:cantSplit/>
        </w:trPr>
        <w:tc>
          <w:tcPr>
            <w:tcW w:w="1526" w:type="dxa"/>
          </w:tcPr>
          <w:p w14:paraId="0D4DC9DE" w14:textId="77777777" w:rsidR="00A052DC" w:rsidRDefault="009F0A60">
            <w:pPr>
              <w:pStyle w:val="B"/>
              <w:rPr>
                <w:szCs w:val="20"/>
              </w:rPr>
            </w:pPr>
            <w:r>
              <w:rPr>
                <w:rFonts w:hint="eastAsia"/>
                <w:szCs w:val="20"/>
              </w:rPr>
              <w:t>申报主体代码</w:t>
            </w:r>
          </w:p>
        </w:tc>
        <w:tc>
          <w:tcPr>
            <w:tcW w:w="7087" w:type="dxa"/>
          </w:tcPr>
          <w:p w14:paraId="7C45F46E" w14:textId="77777777" w:rsidR="00A052DC" w:rsidRDefault="009F0A60">
            <w:pPr>
              <w:pStyle w:val="B"/>
              <w:rPr>
                <w:szCs w:val="20"/>
              </w:rPr>
            </w:pPr>
            <w:r>
              <w:rPr>
                <w:rFonts w:hint="eastAsia"/>
                <w:szCs w:val="20"/>
              </w:rPr>
              <w:t>申报主体的12位金融机构标识码，如果没有金融机构标识码，则填报统一社会信用代码法定载体（如营业执照）上统一社会信用代码中的第9至17位或国家外汇管理局及其分支局签发的特殊机构代码赋码通知书上的机构代码、个人身份代码。</w:t>
            </w:r>
          </w:p>
        </w:tc>
      </w:tr>
      <w:tr w:rsidR="00A052DC" w14:paraId="4DFB12CD" w14:textId="77777777">
        <w:trPr>
          <w:cantSplit/>
        </w:trPr>
        <w:tc>
          <w:tcPr>
            <w:tcW w:w="1526" w:type="dxa"/>
          </w:tcPr>
          <w:p w14:paraId="17A0EFD6" w14:textId="77777777" w:rsidR="00A052DC" w:rsidRDefault="009F0A60">
            <w:pPr>
              <w:pStyle w:val="B"/>
              <w:rPr>
                <w:szCs w:val="20"/>
              </w:rPr>
            </w:pPr>
            <w:r>
              <w:rPr>
                <w:rFonts w:hint="eastAsia"/>
                <w:szCs w:val="20"/>
              </w:rPr>
              <w:t>报告期</w:t>
            </w:r>
          </w:p>
        </w:tc>
        <w:tc>
          <w:tcPr>
            <w:tcW w:w="7087" w:type="dxa"/>
          </w:tcPr>
          <w:p w14:paraId="141D9573" w14:textId="77777777" w:rsidR="00A052DC" w:rsidRDefault="009F0A60">
            <w:pPr>
              <w:pStyle w:val="B"/>
              <w:rPr>
                <w:szCs w:val="20"/>
              </w:rPr>
            </w:pPr>
            <w:r>
              <w:rPr>
                <w:rFonts w:hint="eastAsia"/>
                <w:szCs w:val="20"/>
              </w:rPr>
              <w:t>业务发生月份，格式为</w:t>
            </w:r>
            <w:r>
              <w:rPr>
                <w:szCs w:val="20"/>
              </w:rPr>
              <w:t>YYYYMM</w:t>
            </w:r>
            <w:r>
              <w:rPr>
                <w:rFonts w:hint="eastAsia"/>
                <w:szCs w:val="20"/>
              </w:rPr>
              <w:t>。</w:t>
            </w:r>
          </w:p>
        </w:tc>
      </w:tr>
      <w:tr w:rsidR="00A052DC" w14:paraId="627CFBC3" w14:textId="77777777">
        <w:trPr>
          <w:cantSplit/>
        </w:trPr>
        <w:tc>
          <w:tcPr>
            <w:tcW w:w="1526" w:type="dxa"/>
          </w:tcPr>
          <w:p w14:paraId="340D1AE4" w14:textId="77777777" w:rsidR="00A052DC" w:rsidRDefault="009F0A60">
            <w:pPr>
              <w:pStyle w:val="B"/>
              <w:rPr>
                <w:szCs w:val="20"/>
              </w:rPr>
            </w:pPr>
            <w:r>
              <w:rPr>
                <w:rFonts w:hint="eastAsia"/>
                <w:szCs w:val="20"/>
              </w:rPr>
              <w:t>资产类别</w:t>
            </w:r>
          </w:p>
        </w:tc>
        <w:tc>
          <w:tcPr>
            <w:tcW w:w="7087" w:type="dxa"/>
          </w:tcPr>
          <w:p w14:paraId="75CD5D30" w14:textId="77777777" w:rsidR="00A052DC" w:rsidRDefault="009F0A60">
            <w:pPr>
              <w:pStyle w:val="B"/>
              <w:rPr>
                <w:szCs w:val="20"/>
              </w:rPr>
            </w:pPr>
            <w:r>
              <w:rPr>
                <w:szCs w:val="20"/>
              </w:rPr>
              <w:t>1-</w:t>
            </w:r>
            <w:r>
              <w:rPr>
                <w:rFonts w:hint="eastAsia"/>
                <w:szCs w:val="20"/>
              </w:rPr>
              <w:t>贷款；</w:t>
            </w:r>
            <w:r>
              <w:rPr>
                <w:szCs w:val="20"/>
              </w:rPr>
              <w:t>2-</w:t>
            </w:r>
            <w:r>
              <w:rPr>
                <w:rFonts w:hint="eastAsia"/>
                <w:szCs w:val="20"/>
              </w:rPr>
              <w:t>应收款。</w:t>
            </w:r>
          </w:p>
        </w:tc>
      </w:tr>
      <w:tr w:rsidR="00A052DC" w14:paraId="399FC7C7" w14:textId="77777777">
        <w:trPr>
          <w:cantSplit/>
        </w:trPr>
        <w:tc>
          <w:tcPr>
            <w:tcW w:w="1526" w:type="dxa"/>
          </w:tcPr>
          <w:p w14:paraId="6FD35575" w14:textId="77777777" w:rsidR="00A052DC" w:rsidRDefault="009F0A60">
            <w:pPr>
              <w:pStyle w:val="B"/>
              <w:rPr>
                <w:szCs w:val="20"/>
              </w:rPr>
            </w:pPr>
            <w:r>
              <w:rPr>
                <w:rFonts w:hint="eastAsia"/>
                <w:szCs w:val="20"/>
              </w:rPr>
              <w:t>风险分类</w:t>
            </w:r>
          </w:p>
        </w:tc>
        <w:tc>
          <w:tcPr>
            <w:tcW w:w="7087" w:type="dxa"/>
          </w:tcPr>
          <w:p w14:paraId="19825FBE" w14:textId="77777777" w:rsidR="00A052DC" w:rsidRDefault="009F0A60">
            <w:pPr>
              <w:pStyle w:val="B"/>
              <w:rPr>
                <w:szCs w:val="20"/>
              </w:rPr>
            </w:pPr>
            <w:r>
              <w:rPr>
                <w:rFonts w:hint="eastAsia"/>
                <w:szCs w:val="20"/>
              </w:rPr>
              <w:t>按五级分类法：</w:t>
            </w:r>
            <w:r>
              <w:rPr>
                <w:szCs w:val="20"/>
              </w:rPr>
              <w:t>1-</w:t>
            </w:r>
            <w:r>
              <w:rPr>
                <w:rFonts w:hint="eastAsia"/>
                <w:szCs w:val="20"/>
              </w:rPr>
              <w:t>正常；</w:t>
            </w:r>
            <w:r>
              <w:rPr>
                <w:szCs w:val="20"/>
              </w:rPr>
              <w:t>2-</w:t>
            </w:r>
            <w:r>
              <w:rPr>
                <w:rFonts w:hint="eastAsia"/>
                <w:szCs w:val="20"/>
              </w:rPr>
              <w:t>关注；</w:t>
            </w:r>
            <w:r>
              <w:rPr>
                <w:szCs w:val="20"/>
              </w:rPr>
              <w:t>3-</w:t>
            </w:r>
            <w:r>
              <w:rPr>
                <w:rFonts w:hint="eastAsia"/>
                <w:szCs w:val="20"/>
              </w:rPr>
              <w:t>次级；</w:t>
            </w:r>
            <w:r>
              <w:rPr>
                <w:szCs w:val="20"/>
              </w:rPr>
              <w:t>4-</w:t>
            </w:r>
            <w:r>
              <w:rPr>
                <w:rFonts w:hint="eastAsia"/>
                <w:szCs w:val="20"/>
              </w:rPr>
              <w:t>可疑；</w:t>
            </w:r>
            <w:r>
              <w:rPr>
                <w:szCs w:val="20"/>
              </w:rPr>
              <w:t>5-</w:t>
            </w:r>
            <w:r>
              <w:rPr>
                <w:rFonts w:hint="eastAsia"/>
                <w:szCs w:val="20"/>
              </w:rPr>
              <w:t>损失。</w:t>
            </w:r>
          </w:p>
        </w:tc>
      </w:tr>
      <w:tr w:rsidR="00A052DC" w14:paraId="0A7D2ACD" w14:textId="77777777">
        <w:trPr>
          <w:cantSplit/>
        </w:trPr>
        <w:tc>
          <w:tcPr>
            <w:tcW w:w="1526" w:type="dxa"/>
          </w:tcPr>
          <w:p w14:paraId="41BFE945" w14:textId="77777777" w:rsidR="00A052DC" w:rsidRDefault="009F0A60">
            <w:pPr>
              <w:pStyle w:val="B"/>
              <w:rPr>
                <w:szCs w:val="20"/>
              </w:rPr>
            </w:pPr>
            <w:r>
              <w:rPr>
                <w:rFonts w:hint="eastAsia"/>
                <w:szCs w:val="20"/>
              </w:rPr>
              <w:t>币种</w:t>
            </w:r>
          </w:p>
        </w:tc>
        <w:tc>
          <w:tcPr>
            <w:tcW w:w="7087" w:type="dxa"/>
          </w:tcPr>
          <w:p w14:paraId="7A64DCF2" w14:textId="77777777" w:rsidR="00A052DC" w:rsidRDefault="009F0A60">
            <w:pPr>
              <w:pStyle w:val="B"/>
              <w:rPr>
                <w:szCs w:val="20"/>
              </w:rPr>
            </w:pPr>
            <w:r>
              <w:rPr>
                <w:rFonts w:hint="eastAsia"/>
                <w:szCs w:val="20"/>
              </w:rPr>
              <w:t>指本机构所提取的贷款和应收款减值准备所用币种，适用于“本月末减值准备余额”。见币种代码表。</w:t>
            </w:r>
          </w:p>
        </w:tc>
      </w:tr>
      <w:tr w:rsidR="00A052DC" w14:paraId="7EC65DF0" w14:textId="77777777">
        <w:trPr>
          <w:cantSplit/>
        </w:trPr>
        <w:tc>
          <w:tcPr>
            <w:tcW w:w="1526" w:type="dxa"/>
          </w:tcPr>
          <w:p w14:paraId="7EDFA9C0" w14:textId="77777777" w:rsidR="00A052DC" w:rsidRDefault="009F0A60">
            <w:pPr>
              <w:pStyle w:val="B"/>
              <w:rPr>
                <w:szCs w:val="20"/>
              </w:rPr>
            </w:pPr>
            <w:r>
              <w:rPr>
                <w:rFonts w:hint="eastAsia"/>
                <w:szCs w:val="20"/>
              </w:rPr>
              <w:t>本月末减值准备余额</w:t>
            </w:r>
          </w:p>
        </w:tc>
        <w:tc>
          <w:tcPr>
            <w:tcW w:w="7087" w:type="dxa"/>
          </w:tcPr>
          <w:p w14:paraId="65801C31" w14:textId="77777777" w:rsidR="00A052DC" w:rsidRDefault="009F0A60">
            <w:pPr>
              <w:pStyle w:val="B"/>
              <w:rPr>
                <w:szCs w:val="20"/>
              </w:rPr>
            </w:pPr>
            <w:r>
              <w:rPr>
                <w:rFonts w:hint="eastAsia"/>
                <w:szCs w:val="20"/>
              </w:rPr>
              <w:t>本月末，按照会计准则规定计提的对非居民的贷款和应收款减值准备余额。对于非居民信用卡透支，请根据本机构相关减值准备计提原则，确定填报口径。</w:t>
            </w:r>
          </w:p>
        </w:tc>
      </w:tr>
      <w:tr w:rsidR="00A052DC" w14:paraId="3498305B" w14:textId="77777777">
        <w:trPr>
          <w:cantSplit/>
        </w:trPr>
        <w:tc>
          <w:tcPr>
            <w:tcW w:w="1526" w:type="dxa"/>
          </w:tcPr>
          <w:p w14:paraId="1B0EADBC" w14:textId="77777777" w:rsidR="00A052DC" w:rsidRDefault="009F0A60">
            <w:pPr>
              <w:pStyle w:val="B"/>
              <w:rPr>
                <w:szCs w:val="20"/>
              </w:rPr>
            </w:pPr>
            <w:r>
              <w:rPr>
                <w:rFonts w:hint="eastAsia"/>
                <w:szCs w:val="20"/>
              </w:rPr>
              <w:t>备注</w:t>
            </w:r>
          </w:p>
        </w:tc>
        <w:tc>
          <w:tcPr>
            <w:tcW w:w="7087" w:type="dxa"/>
          </w:tcPr>
          <w:p w14:paraId="1D2BCE5B" w14:textId="77777777" w:rsidR="00A052DC" w:rsidRDefault="009F0A60">
            <w:pPr>
              <w:pStyle w:val="B"/>
              <w:rPr>
                <w:szCs w:val="20"/>
              </w:rPr>
            </w:pPr>
            <w:r>
              <w:rPr>
                <w:rFonts w:hint="eastAsia"/>
                <w:szCs w:val="20"/>
              </w:rPr>
              <w:t>其他需要说明的情况。</w:t>
            </w:r>
          </w:p>
        </w:tc>
      </w:tr>
    </w:tbl>
    <w:p w14:paraId="4D83EED8" w14:textId="77777777" w:rsidR="00A052DC" w:rsidRDefault="00A052DC"/>
    <w:p w14:paraId="596EC1DD" w14:textId="77777777" w:rsidR="00A052DC" w:rsidRDefault="009F0A60" w:rsidP="0020251D">
      <w:pPr>
        <w:pStyle w:val="4"/>
        <w:numPr>
          <w:ilvl w:val="3"/>
          <w:numId w:val="1"/>
        </w:numPr>
        <w:jc w:val="left"/>
      </w:pPr>
      <w:bookmarkStart w:id="3318" w:name="_Toc454391341"/>
      <w:bookmarkStart w:id="3319" w:name="_Toc454391342"/>
      <w:bookmarkStart w:id="3320" w:name="_Toc380570986"/>
      <w:bookmarkEnd w:id="3318"/>
      <w:r>
        <w:rPr>
          <w:rFonts w:hint="eastAsia"/>
        </w:rPr>
        <w:t>数据格式</w:t>
      </w:r>
      <w:bookmarkEnd w:id="3319"/>
      <w:bookmarkEnd w:id="3320"/>
    </w:p>
    <w:p w14:paraId="09101C9F" w14:textId="77777777" w:rsidR="00A052DC" w:rsidRDefault="009F0A60">
      <w:pPr>
        <w:ind w:firstLine="567"/>
      </w:pPr>
      <w:r>
        <w:t>&lt;REC&gt;</w:t>
      </w:r>
    </w:p>
    <w:p w14:paraId="4A26B15D" w14:textId="77777777" w:rsidR="00A052DC" w:rsidRDefault="009F0A60">
      <w:pPr>
        <w:ind w:firstLine="567"/>
      </w:pPr>
      <w:r>
        <w:t>&lt;ACTIONTYPE&gt;</w:t>
      </w:r>
      <w:r>
        <w:rPr>
          <w:rFonts w:hAnsi="宋体"/>
        </w:rPr>
        <w:t>操作类型</w:t>
      </w:r>
      <w:r>
        <w:t>&lt;/ACTIONTYPE&gt;</w:t>
      </w:r>
    </w:p>
    <w:p w14:paraId="496F2011" w14:textId="77777777" w:rsidR="00A052DC" w:rsidRDefault="009F0A60">
      <w:pPr>
        <w:ind w:firstLine="567"/>
      </w:pPr>
      <w:r>
        <w:t>&lt;ACTIONDESC&gt;</w:t>
      </w:r>
      <w:r>
        <w:rPr>
          <w:rFonts w:hAnsi="宋体"/>
        </w:rPr>
        <w:t>删除原因</w:t>
      </w:r>
      <w:r>
        <w:t>&lt;/ACTIONDESC&gt;</w:t>
      </w:r>
    </w:p>
    <w:p w14:paraId="472DF980" w14:textId="77777777" w:rsidR="00A052DC" w:rsidRDefault="009F0A60">
      <w:pPr>
        <w:ind w:firstLine="567"/>
      </w:pPr>
      <w:r>
        <w:t>&lt;SNOCODE&gt;</w:t>
      </w:r>
      <w:r>
        <w:rPr>
          <w:rFonts w:hAnsi="宋体"/>
        </w:rPr>
        <w:t>数据自编码</w:t>
      </w:r>
      <w:r>
        <w:t>&lt;/SNOCODE&gt;</w:t>
      </w:r>
    </w:p>
    <w:p w14:paraId="49C98EB9" w14:textId="77777777" w:rsidR="00A052DC" w:rsidRDefault="009F0A60">
      <w:pPr>
        <w:ind w:firstLine="567"/>
      </w:pPr>
      <w:r>
        <w:t>&lt;OBJCODE&gt;</w:t>
      </w:r>
      <w:r>
        <w:rPr>
          <w:rFonts w:hAnsi="宋体"/>
        </w:rPr>
        <w:t>申报主体代码</w:t>
      </w:r>
      <w:r>
        <w:t>&lt;/OBJCODE&gt;</w:t>
      </w:r>
    </w:p>
    <w:p w14:paraId="54752646" w14:textId="77777777" w:rsidR="00A052DC" w:rsidRDefault="009F0A60">
      <w:pPr>
        <w:ind w:firstLine="567"/>
      </w:pPr>
      <w:r>
        <w:t>&lt;BUOCMONTH&gt;</w:t>
      </w:r>
      <w:r>
        <w:rPr>
          <w:rFonts w:hAnsi="宋体"/>
        </w:rPr>
        <w:t>报告期</w:t>
      </w:r>
      <w:r>
        <w:t>&lt;/BUOCMONTH&gt;</w:t>
      </w:r>
    </w:p>
    <w:p w14:paraId="2D4A27D1" w14:textId="77777777" w:rsidR="00A052DC" w:rsidRDefault="009F0A60">
      <w:pPr>
        <w:ind w:firstLineChars="252" w:firstLine="529"/>
      </w:pPr>
      <w:r>
        <w:t>&lt;D0901&gt;</w:t>
      </w:r>
      <w:r>
        <w:rPr>
          <w:rFonts w:hAnsi="宋体"/>
        </w:rPr>
        <w:t>资产类别</w:t>
      </w:r>
      <w:r>
        <w:t>&lt;/D0901&gt;</w:t>
      </w:r>
    </w:p>
    <w:p w14:paraId="10E65558" w14:textId="77777777" w:rsidR="00A052DC" w:rsidRDefault="009F0A60">
      <w:pPr>
        <w:ind w:firstLineChars="252" w:firstLine="529"/>
      </w:pPr>
      <w:r>
        <w:t>&lt;D0902&gt;</w:t>
      </w:r>
      <w:r>
        <w:rPr>
          <w:rFonts w:hAnsi="宋体"/>
        </w:rPr>
        <w:t>风险分类</w:t>
      </w:r>
      <w:r>
        <w:t>&lt;/D0902&gt;</w:t>
      </w:r>
    </w:p>
    <w:p w14:paraId="6F64D154" w14:textId="77777777" w:rsidR="00A052DC" w:rsidRDefault="009F0A60">
      <w:pPr>
        <w:ind w:firstLineChars="252" w:firstLine="529"/>
      </w:pPr>
      <w:r>
        <w:t>&lt;D0903&gt;</w:t>
      </w:r>
      <w:r>
        <w:rPr>
          <w:rFonts w:hAnsi="宋体"/>
        </w:rPr>
        <w:t>币种</w:t>
      </w:r>
      <w:r>
        <w:t>&lt;/D0903&gt;</w:t>
      </w:r>
    </w:p>
    <w:p w14:paraId="09BF84D8" w14:textId="77777777" w:rsidR="00A052DC" w:rsidRDefault="009F0A60">
      <w:pPr>
        <w:ind w:firstLineChars="252" w:firstLine="529"/>
      </w:pPr>
      <w:r>
        <w:t>&lt;D0904&gt;</w:t>
      </w:r>
      <w:r>
        <w:rPr>
          <w:rFonts w:hAnsi="宋体"/>
        </w:rPr>
        <w:t>本月末减值准备余额</w:t>
      </w:r>
      <w:r>
        <w:t>&lt;/D0904&gt;</w:t>
      </w:r>
    </w:p>
    <w:p w14:paraId="135819BB" w14:textId="77777777" w:rsidR="00A052DC" w:rsidRDefault="009F0A60">
      <w:pPr>
        <w:ind w:firstLine="567"/>
      </w:pPr>
      <w:r>
        <w:t>&lt;REMARK&gt;</w:t>
      </w:r>
      <w:r>
        <w:rPr>
          <w:rFonts w:hAnsi="宋体"/>
        </w:rPr>
        <w:t>备注</w:t>
      </w:r>
      <w:r>
        <w:t>&lt;/REMARK&gt;</w:t>
      </w:r>
    </w:p>
    <w:p w14:paraId="35DFC472" w14:textId="77777777" w:rsidR="00A052DC" w:rsidRDefault="009F0A60">
      <w:pPr>
        <w:ind w:firstLine="567"/>
      </w:pPr>
      <w:r>
        <w:t>&lt;/REC&gt;</w:t>
      </w:r>
    </w:p>
    <w:p w14:paraId="64801504" w14:textId="77777777" w:rsidR="00A052DC" w:rsidRDefault="009F0A60" w:rsidP="0020251D">
      <w:pPr>
        <w:pStyle w:val="4"/>
        <w:numPr>
          <w:ilvl w:val="3"/>
          <w:numId w:val="1"/>
        </w:numPr>
        <w:jc w:val="left"/>
      </w:pPr>
      <w:bookmarkStart w:id="3321" w:name="_Toc454391343"/>
      <w:bookmarkStart w:id="3322" w:name="_Toc454391344"/>
      <w:bookmarkStart w:id="3323" w:name="_Toc380570987"/>
      <w:bookmarkEnd w:id="3321"/>
      <w:r>
        <w:rPr>
          <w:rFonts w:hint="eastAsia"/>
        </w:rPr>
        <w:t>数据字典</w:t>
      </w:r>
      <w:bookmarkEnd w:id="3322"/>
      <w:bookmarkEnd w:id="3323"/>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276"/>
        <w:gridCol w:w="1559"/>
        <w:gridCol w:w="4395"/>
      </w:tblGrid>
      <w:tr w:rsidR="00A052DC" w14:paraId="3D28ABF5" w14:textId="77777777">
        <w:trPr>
          <w:tblHeader/>
        </w:trPr>
        <w:tc>
          <w:tcPr>
            <w:tcW w:w="1242" w:type="dxa"/>
            <w:shd w:val="clear" w:color="auto" w:fill="C0C0C0"/>
          </w:tcPr>
          <w:p w14:paraId="20B31EDC" w14:textId="77777777" w:rsidR="00A052DC" w:rsidRDefault="009F0A60">
            <w:pPr>
              <w:pStyle w:val="B1"/>
            </w:pPr>
            <w:r>
              <w:rPr>
                <w:rFonts w:hint="eastAsia"/>
              </w:rPr>
              <w:t>字段</w:t>
            </w:r>
          </w:p>
        </w:tc>
        <w:tc>
          <w:tcPr>
            <w:tcW w:w="1276" w:type="dxa"/>
            <w:shd w:val="clear" w:color="auto" w:fill="C0C0C0"/>
          </w:tcPr>
          <w:p w14:paraId="12B3A0B0" w14:textId="77777777" w:rsidR="00A052DC" w:rsidRDefault="009F0A60">
            <w:pPr>
              <w:pStyle w:val="B1"/>
            </w:pPr>
            <w:r>
              <w:rPr>
                <w:rFonts w:hint="eastAsia"/>
              </w:rPr>
              <w:t>内容</w:t>
            </w:r>
          </w:p>
        </w:tc>
        <w:tc>
          <w:tcPr>
            <w:tcW w:w="1559" w:type="dxa"/>
            <w:shd w:val="clear" w:color="auto" w:fill="C0C0C0"/>
          </w:tcPr>
          <w:p w14:paraId="10282D59" w14:textId="77777777" w:rsidR="00A052DC" w:rsidRDefault="009F0A60">
            <w:pPr>
              <w:pStyle w:val="B1"/>
            </w:pPr>
            <w:r>
              <w:rPr>
                <w:rFonts w:hint="eastAsia"/>
              </w:rPr>
              <w:t>类型（长度）</w:t>
            </w:r>
          </w:p>
        </w:tc>
        <w:tc>
          <w:tcPr>
            <w:tcW w:w="4395" w:type="dxa"/>
            <w:shd w:val="clear" w:color="auto" w:fill="C0C0C0"/>
          </w:tcPr>
          <w:p w14:paraId="706065A7" w14:textId="77777777" w:rsidR="00A052DC" w:rsidRDefault="009F0A60">
            <w:pPr>
              <w:pStyle w:val="B1"/>
            </w:pPr>
            <w:r>
              <w:rPr>
                <w:rFonts w:hint="eastAsia"/>
              </w:rPr>
              <w:t>校验</w:t>
            </w:r>
          </w:p>
        </w:tc>
      </w:tr>
      <w:tr w:rsidR="00A052DC" w14:paraId="123FAD56" w14:textId="77777777">
        <w:tc>
          <w:tcPr>
            <w:tcW w:w="1242" w:type="dxa"/>
          </w:tcPr>
          <w:p w14:paraId="5C59AC3F" w14:textId="77777777" w:rsidR="00A052DC" w:rsidRDefault="009F0A60">
            <w:pPr>
              <w:pStyle w:val="B"/>
              <w:rPr>
                <w:szCs w:val="20"/>
              </w:rPr>
            </w:pPr>
            <w:r>
              <w:rPr>
                <w:szCs w:val="20"/>
              </w:rPr>
              <w:t>ACTIONTYPE</w:t>
            </w:r>
          </w:p>
        </w:tc>
        <w:tc>
          <w:tcPr>
            <w:tcW w:w="1276" w:type="dxa"/>
          </w:tcPr>
          <w:p w14:paraId="7731C958" w14:textId="77777777" w:rsidR="00A052DC" w:rsidRDefault="009F0A60">
            <w:pPr>
              <w:pStyle w:val="B"/>
              <w:rPr>
                <w:szCs w:val="20"/>
              </w:rPr>
            </w:pPr>
            <w:r>
              <w:rPr>
                <w:rFonts w:hint="eastAsia"/>
                <w:szCs w:val="20"/>
              </w:rPr>
              <w:t>操作类型</w:t>
            </w:r>
          </w:p>
        </w:tc>
        <w:tc>
          <w:tcPr>
            <w:tcW w:w="1559" w:type="dxa"/>
          </w:tcPr>
          <w:p w14:paraId="4C063AB7" w14:textId="77777777" w:rsidR="00A052DC" w:rsidRDefault="009F0A60">
            <w:pPr>
              <w:pStyle w:val="B"/>
              <w:rPr>
                <w:szCs w:val="20"/>
              </w:rPr>
            </w:pPr>
            <w:r>
              <w:rPr>
                <w:rFonts w:hint="eastAsia"/>
                <w:szCs w:val="20"/>
              </w:rPr>
              <w:t>字符型，</w:t>
            </w:r>
            <w:r>
              <w:rPr>
                <w:szCs w:val="20"/>
              </w:rPr>
              <w:t>1</w:t>
            </w:r>
          </w:p>
        </w:tc>
        <w:tc>
          <w:tcPr>
            <w:tcW w:w="4395" w:type="dxa"/>
          </w:tcPr>
          <w:p w14:paraId="2607612A" w14:textId="77777777" w:rsidR="00A052DC" w:rsidRDefault="009F0A60">
            <w:pPr>
              <w:pStyle w:val="B"/>
              <w:rPr>
                <w:szCs w:val="20"/>
              </w:rPr>
            </w:pPr>
            <w:r>
              <w:rPr>
                <w:rFonts w:hint="eastAsia"/>
                <w:szCs w:val="20"/>
              </w:rPr>
              <w:t>必填项</w:t>
            </w:r>
            <w:r w:rsidR="004D1828">
              <w:rPr>
                <w:rFonts w:hint="eastAsia"/>
                <w:szCs w:val="20"/>
              </w:rPr>
              <w:t>。</w:t>
            </w:r>
          </w:p>
          <w:p w14:paraId="04274434" w14:textId="77777777" w:rsidR="00A052DC" w:rsidRDefault="009F0A60">
            <w:pPr>
              <w:pStyle w:val="B"/>
              <w:rPr>
                <w:szCs w:val="20"/>
              </w:rPr>
            </w:pPr>
            <w:r>
              <w:rPr>
                <w:szCs w:val="20"/>
              </w:rPr>
              <w:t>A</w:t>
            </w:r>
            <w:r w:rsidR="00AE4602">
              <w:rPr>
                <w:rFonts w:hint="eastAsia"/>
                <w:szCs w:val="20"/>
              </w:rPr>
              <w:t>-</w:t>
            </w:r>
            <w:r>
              <w:rPr>
                <w:rFonts w:hint="eastAsia"/>
                <w:szCs w:val="20"/>
              </w:rPr>
              <w:t>新建</w:t>
            </w:r>
          </w:p>
          <w:p w14:paraId="71703E5A" w14:textId="77777777" w:rsidR="00A052DC" w:rsidRDefault="009F0A60">
            <w:pPr>
              <w:pStyle w:val="B"/>
              <w:rPr>
                <w:szCs w:val="20"/>
              </w:rPr>
            </w:pPr>
            <w:r>
              <w:rPr>
                <w:szCs w:val="20"/>
              </w:rPr>
              <w:t>C</w:t>
            </w:r>
            <w:r w:rsidR="00AE4602">
              <w:rPr>
                <w:rFonts w:hint="eastAsia"/>
                <w:szCs w:val="20"/>
              </w:rPr>
              <w:t>-</w:t>
            </w:r>
            <w:r>
              <w:rPr>
                <w:rFonts w:hint="eastAsia"/>
                <w:szCs w:val="20"/>
              </w:rPr>
              <w:t>修改</w:t>
            </w:r>
          </w:p>
          <w:p w14:paraId="7A14FD20" w14:textId="77777777" w:rsidR="00A052DC" w:rsidRDefault="009F0A60">
            <w:pPr>
              <w:pStyle w:val="B"/>
              <w:rPr>
                <w:szCs w:val="20"/>
              </w:rPr>
            </w:pPr>
            <w:r>
              <w:rPr>
                <w:szCs w:val="20"/>
              </w:rPr>
              <w:t>D</w:t>
            </w:r>
            <w:r w:rsidR="00AE4602">
              <w:rPr>
                <w:rFonts w:hint="eastAsia"/>
                <w:szCs w:val="20"/>
              </w:rPr>
              <w:t>-</w:t>
            </w:r>
            <w:r>
              <w:rPr>
                <w:rFonts w:hint="eastAsia"/>
                <w:szCs w:val="20"/>
              </w:rPr>
              <w:t>删除</w:t>
            </w:r>
          </w:p>
        </w:tc>
      </w:tr>
      <w:tr w:rsidR="00A052DC" w14:paraId="05E8C200" w14:textId="77777777">
        <w:tc>
          <w:tcPr>
            <w:tcW w:w="1242" w:type="dxa"/>
          </w:tcPr>
          <w:p w14:paraId="2FE987B2" w14:textId="77777777" w:rsidR="00A052DC" w:rsidRDefault="009F0A60">
            <w:pPr>
              <w:pStyle w:val="B"/>
              <w:rPr>
                <w:szCs w:val="20"/>
              </w:rPr>
            </w:pPr>
            <w:r>
              <w:rPr>
                <w:szCs w:val="20"/>
              </w:rPr>
              <w:t>ACTIONDESC</w:t>
            </w:r>
          </w:p>
        </w:tc>
        <w:tc>
          <w:tcPr>
            <w:tcW w:w="1276" w:type="dxa"/>
          </w:tcPr>
          <w:p w14:paraId="2D078E22" w14:textId="77777777" w:rsidR="00A052DC" w:rsidRDefault="009F0A60">
            <w:pPr>
              <w:pStyle w:val="B"/>
              <w:rPr>
                <w:szCs w:val="20"/>
              </w:rPr>
            </w:pPr>
            <w:r>
              <w:rPr>
                <w:rFonts w:hint="eastAsia"/>
                <w:szCs w:val="20"/>
              </w:rPr>
              <w:t>删除原因</w:t>
            </w:r>
          </w:p>
        </w:tc>
        <w:tc>
          <w:tcPr>
            <w:tcW w:w="1559" w:type="dxa"/>
          </w:tcPr>
          <w:p w14:paraId="15E4795C" w14:textId="77777777" w:rsidR="00A052DC" w:rsidRDefault="009F0A60">
            <w:pPr>
              <w:pStyle w:val="B"/>
              <w:rPr>
                <w:szCs w:val="20"/>
              </w:rPr>
            </w:pPr>
            <w:r>
              <w:rPr>
                <w:rFonts w:hint="eastAsia"/>
                <w:szCs w:val="20"/>
              </w:rPr>
              <w:t>字符型，</w:t>
            </w:r>
            <w:r>
              <w:rPr>
                <w:szCs w:val="20"/>
              </w:rPr>
              <w:t>128</w:t>
            </w:r>
          </w:p>
        </w:tc>
        <w:tc>
          <w:tcPr>
            <w:tcW w:w="4395" w:type="dxa"/>
          </w:tcPr>
          <w:p w14:paraId="79106B13" w14:textId="77777777" w:rsidR="00A052DC" w:rsidRDefault="00DD6AA3">
            <w:pPr>
              <w:pStyle w:val="B"/>
              <w:rPr>
                <w:szCs w:val="20"/>
              </w:rPr>
            </w:pPr>
            <w:r>
              <w:rPr>
                <w:rFonts w:hint="eastAsia"/>
                <w:szCs w:val="20"/>
              </w:rPr>
              <w:t>非必填项，当操作类型（ACTIONTYPE）为删除时必填。</w:t>
            </w:r>
          </w:p>
        </w:tc>
      </w:tr>
      <w:tr w:rsidR="00A052DC" w14:paraId="15B79106" w14:textId="77777777">
        <w:tc>
          <w:tcPr>
            <w:tcW w:w="1242" w:type="dxa"/>
          </w:tcPr>
          <w:p w14:paraId="4D67247C" w14:textId="77777777" w:rsidR="00A052DC" w:rsidRDefault="009F0A60">
            <w:pPr>
              <w:pStyle w:val="B"/>
              <w:rPr>
                <w:szCs w:val="20"/>
              </w:rPr>
            </w:pPr>
            <w:r>
              <w:rPr>
                <w:szCs w:val="20"/>
              </w:rPr>
              <w:t>SNOCODE</w:t>
            </w:r>
          </w:p>
        </w:tc>
        <w:tc>
          <w:tcPr>
            <w:tcW w:w="1276" w:type="dxa"/>
          </w:tcPr>
          <w:p w14:paraId="08EF8284" w14:textId="77777777" w:rsidR="00A052DC" w:rsidRDefault="009F0A60">
            <w:pPr>
              <w:pStyle w:val="B"/>
              <w:rPr>
                <w:szCs w:val="20"/>
              </w:rPr>
            </w:pPr>
            <w:r>
              <w:rPr>
                <w:rFonts w:hint="eastAsia"/>
                <w:szCs w:val="20"/>
              </w:rPr>
              <w:t>数据自编码</w:t>
            </w:r>
          </w:p>
        </w:tc>
        <w:tc>
          <w:tcPr>
            <w:tcW w:w="1559" w:type="dxa"/>
          </w:tcPr>
          <w:p w14:paraId="676EB0C8" w14:textId="77777777" w:rsidR="00A052DC" w:rsidRDefault="009F0A60">
            <w:pPr>
              <w:pStyle w:val="B"/>
              <w:rPr>
                <w:szCs w:val="20"/>
              </w:rPr>
            </w:pPr>
            <w:r>
              <w:rPr>
                <w:rFonts w:hint="eastAsia"/>
                <w:szCs w:val="20"/>
              </w:rPr>
              <w:t>字符型，36</w:t>
            </w:r>
          </w:p>
        </w:tc>
        <w:tc>
          <w:tcPr>
            <w:tcW w:w="4395" w:type="dxa"/>
          </w:tcPr>
          <w:p w14:paraId="1C80D6A7" w14:textId="77777777" w:rsidR="00A052DC" w:rsidRDefault="009F0A60">
            <w:pPr>
              <w:pStyle w:val="B"/>
              <w:rPr>
                <w:szCs w:val="20"/>
              </w:rPr>
            </w:pPr>
            <w:r>
              <w:rPr>
                <w:rFonts w:hint="eastAsia"/>
                <w:szCs w:val="20"/>
              </w:rPr>
              <w:t>必填项。</w:t>
            </w:r>
            <w:r>
              <w:rPr>
                <w:szCs w:val="20"/>
              </w:rPr>
              <w:t>对于接口报送的填报主体，数据自编码中的报送期（6位）应与报告期（YYYYMM）一致。</w:t>
            </w:r>
          </w:p>
        </w:tc>
      </w:tr>
      <w:tr w:rsidR="00A052DC" w14:paraId="27362033" w14:textId="77777777">
        <w:tc>
          <w:tcPr>
            <w:tcW w:w="1242" w:type="dxa"/>
          </w:tcPr>
          <w:p w14:paraId="3E434A2D" w14:textId="77777777" w:rsidR="00A052DC" w:rsidRDefault="009F0A60">
            <w:pPr>
              <w:pStyle w:val="B"/>
              <w:rPr>
                <w:szCs w:val="20"/>
              </w:rPr>
            </w:pPr>
            <w:r>
              <w:rPr>
                <w:szCs w:val="20"/>
              </w:rPr>
              <w:t>OBJCODE</w:t>
            </w:r>
          </w:p>
        </w:tc>
        <w:tc>
          <w:tcPr>
            <w:tcW w:w="1276" w:type="dxa"/>
          </w:tcPr>
          <w:p w14:paraId="368186A0" w14:textId="77777777" w:rsidR="00A052DC" w:rsidRDefault="009F0A60">
            <w:pPr>
              <w:pStyle w:val="B"/>
              <w:rPr>
                <w:szCs w:val="20"/>
              </w:rPr>
            </w:pPr>
            <w:r>
              <w:rPr>
                <w:rFonts w:hint="eastAsia"/>
                <w:szCs w:val="20"/>
              </w:rPr>
              <w:t>申报主体代码</w:t>
            </w:r>
          </w:p>
        </w:tc>
        <w:tc>
          <w:tcPr>
            <w:tcW w:w="1559" w:type="dxa"/>
          </w:tcPr>
          <w:p w14:paraId="22167FA5" w14:textId="77777777" w:rsidR="00A052DC" w:rsidRDefault="009F0A60">
            <w:pPr>
              <w:pStyle w:val="B"/>
              <w:rPr>
                <w:szCs w:val="20"/>
              </w:rPr>
            </w:pPr>
            <w:r>
              <w:rPr>
                <w:rFonts w:hint="eastAsia"/>
                <w:szCs w:val="20"/>
              </w:rPr>
              <w:t>字符型，</w:t>
            </w:r>
            <w:r>
              <w:rPr>
                <w:szCs w:val="20"/>
              </w:rPr>
              <w:t>1</w:t>
            </w:r>
            <w:r>
              <w:rPr>
                <w:rFonts w:hint="eastAsia"/>
                <w:szCs w:val="20"/>
              </w:rPr>
              <w:t>8</w:t>
            </w:r>
          </w:p>
        </w:tc>
        <w:tc>
          <w:tcPr>
            <w:tcW w:w="4395" w:type="dxa"/>
          </w:tcPr>
          <w:p w14:paraId="542B9669" w14:textId="77777777" w:rsidR="00A052DC" w:rsidRDefault="009F0A60">
            <w:pPr>
              <w:pStyle w:val="B"/>
              <w:rPr>
                <w:szCs w:val="20"/>
              </w:rPr>
            </w:pPr>
            <w:r>
              <w:rPr>
                <w:rFonts w:hint="eastAsia"/>
                <w:szCs w:val="20"/>
              </w:rPr>
              <w:t>申报主体的12位金融机构标识码，如果没有金融机构标识码，则填报统一社会信用代码法定载体（如营业执照）上统一社会信用代码中的第9至17位或国家外汇管理局及其分支局签发的特殊机构代码赋码通知书上的机构代码、个人身份代码。</w:t>
            </w:r>
          </w:p>
        </w:tc>
      </w:tr>
      <w:tr w:rsidR="00A052DC" w14:paraId="0B7E1F0E" w14:textId="77777777">
        <w:tc>
          <w:tcPr>
            <w:tcW w:w="1242" w:type="dxa"/>
          </w:tcPr>
          <w:p w14:paraId="627E0723" w14:textId="77777777" w:rsidR="00A052DC" w:rsidRDefault="009F0A60">
            <w:pPr>
              <w:pStyle w:val="B"/>
              <w:rPr>
                <w:szCs w:val="20"/>
              </w:rPr>
            </w:pPr>
            <w:r>
              <w:rPr>
                <w:szCs w:val="20"/>
              </w:rPr>
              <w:t>BUOCMONTH</w:t>
            </w:r>
          </w:p>
        </w:tc>
        <w:tc>
          <w:tcPr>
            <w:tcW w:w="1276" w:type="dxa"/>
          </w:tcPr>
          <w:p w14:paraId="17E4B5EA" w14:textId="77777777" w:rsidR="00A052DC" w:rsidRDefault="009F0A60">
            <w:pPr>
              <w:pStyle w:val="B"/>
              <w:rPr>
                <w:szCs w:val="20"/>
              </w:rPr>
            </w:pPr>
            <w:r>
              <w:rPr>
                <w:rFonts w:hint="eastAsia"/>
                <w:szCs w:val="20"/>
              </w:rPr>
              <w:t>报告期</w:t>
            </w:r>
          </w:p>
        </w:tc>
        <w:tc>
          <w:tcPr>
            <w:tcW w:w="1559" w:type="dxa"/>
          </w:tcPr>
          <w:p w14:paraId="3C239093" w14:textId="77777777" w:rsidR="00A052DC" w:rsidRDefault="009F0A60">
            <w:pPr>
              <w:pStyle w:val="B"/>
              <w:rPr>
                <w:szCs w:val="20"/>
              </w:rPr>
            </w:pPr>
            <w:r>
              <w:rPr>
                <w:rFonts w:hint="eastAsia"/>
                <w:szCs w:val="20"/>
              </w:rPr>
              <w:t>数值型，</w:t>
            </w:r>
            <w:r>
              <w:rPr>
                <w:szCs w:val="20"/>
              </w:rPr>
              <w:t>6</w:t>
            </w:r>
          </w:p>
        </w:tc>
        <w:tc>
          <w:tcPr>
            <w:tcW w:w="4395" w:type="dxa"/>
          </w:tcPr>
          <w:p w14:paraId="3B6E2494" w14:textId="77777777" w:rsidR="00A052DC" w:rsidRDefault="009F0A60">
            <w:pPr>
              <w:pStyle w:val="B"/>
              <w:rPr>
                <w:szCs w:val="20"/>
              </w:rPr>
            </w:pPr>
            <w:r>
              <w:rPr>
                <w:rFonts w:hint="eastAsia"/>
                <w:szCs w:val="20"/>
              </w:rPr>
              <w:t>必填项，格式为</w:t>
            </w:r>
            <w:r>
              <w:rPr>
                <w:szCs w:val="20"/>
              </w:rPr>
              <w:t>YYYYMM</w:t>
            </w:r>
            <w:r>
              <w:rPr>
                <w:rFonts w:hint="eastAsia"/>
                <w:szCs w:val="20"/>
              </w:rPr>
              <w:t>。</w:t>
            </w:r>
          </w:p>
        </w:tc>
      </w:tr>
      <w:tr w:rsidR="00A052DC" w14:paraId="4BBA479B" w14:textId="77777777">
        <w:tc>
          <w:tcPr>
            <w:tcW w:w="1242" w:type="dxa"/>
          </w:tcPr>
          <w:p w14:paraId="007A1509" w14:textId="77777777" w:rsidR="00A052DC" w:rsidRDefault="009F0A60">
            <w:pPr>
              <w:pStyle w:val="B"/>
              <w:rPr>
                <w:szCs w:val="20"/>
              </w:rPr>
            </w:pPr>
            <w:r>
              <w:rPr>
                <w:szCs w:val="20"/>
              </w:rPr>
              <w:t>D0901</w:t>
            </w:r>
          </w:p>
        </w:tc>
        <w:tc>
          <w:tcPr>
            <w:tcW w:w="1276" w:type="dxa"/>
          </w:tcPr>
          <w:p w14:paraId="6685AF8B" w14:textId="77777777" w:rsidR="00A052DC" w:rsidRDefault="009F0A60">
            <w:pPr>
              <w:pStyle w:val="B"/>
              <w:rPr>
                <w:szCs w:val="20"/>
              </w:rPr>
            </w:pPr>
            <w:r>
              <w:rPr>
                <w:rFonts w:hint="eastAsia"/>
                <w:szCs w:val="20"/>
              </w:rPr>
              <w:t>资产类别</w:t>
            </w:r>
          </w:p>
        </w:tc>
        <w:tc>
          <w:tcPr>
            <w:tcW w:w="1559" w:type="dxa"/>
          </w:tcPr>
          <w:p w14:paraId="31AC46F5" w14:textId="77777777" w:rsidR="00A052DC" w:rsidRDefault="009F0A60">
            <w:pPr>
              <w:pStyle w:val="B"/>
              <w:rPr>
                <w:szCs w:val="20"/>
              </w:rPr>
            </w:pPr>
            <w:r>
              <w:rPr>
                <w:rFonts w:hint="eastAsia"/>
                <w:szCs w:val="20"/>
              </w:rPr>
              <w:t>整数型</w:t>
            </w:r>
          </w:p>
        </w:tc>
        <w:tc>
          <w:tcPr>
            <w:tcW w:w="4395" w:type="dxa"/>
          </w:tcPr>
          <w:p w14:paraId="392AF3AE" w14:textId="77777777" w:rsidR="00A052DC" w:rsidRDefault="009F0A60">
            <w:pPr>
              <w:pStyle w:val="B"/>
              <w:rPr>
                <w:szCs w:val="20"/>
              </w:rPr>
            </w:pPr>
            <w:r>
              <w:rPr>
                <w:rFonts w:hint="eastAsia"/>
                <w:szCs w:val="20"/>
              </w:rPr>
              <w:t>必填项。必须</w:t>
            </w:r>
            <w:r>
              <w:rPr>
                <w:szCs w:val="20"/>
              </w:rPr>
              <w:t>2</w:t>
            </w:r>
            <w:r>
              <w:rPr>
                <w:rFonts w:hint="eastAsia"/>
                <w:szCs w:val="20"/>
              </w:rPr>
              <w:t>选</w:t>
            </w:r>
            <w:r>
              <w:rPr>
                <w:szCs w:val="20"/>
              </w:rPr>
              <w:t>1</w:t>
            </w:r>
            <w:r>
              <w:rPr>
                <w:rFonts w:hint="eastAsia"/>
                <w:szCs w:val="20"/>
              </w:rPr>
              <w:t>：</w:t>
            </w:r>
          </w:p>
          <w:p w14:paraId="3FD32969" w14:textId="77777777" w:rsidR="00A052DC" w:rsidRDefault="009F0A60">
            <w:pPr>
              <w:pStyle w:val="B"/>
              <w:rPr>
                <w:szCs w:val="20"/>
              </w:rPr>
            </w:pPr>
            <w:r>
              <w:rPr>
                <w:szCs w:val="20"/>
              </w:rPr>
              <w:t>1-</w:t>
            </w:r>
            <w:r>
              <w:rPr>
                <w:rFonts w:hint="eastAsia"/>
                <w:szCs w:val="20"/>
              </w:rPr>
              <w:t>贷款；</w:t>
            </w:r>
          </w:p>
          <w:p w14:paraId="22E87AC3" w14:textId="77777777" w:rsidR="00A052DC" w:rsidRDefault="009F0A60">
            <w:pPr>
              <w:pStyle w:val="B"/>
              <w:rPr>
                <w:szCs w:val="20"/>
              </w:rPr>
            </w:pPr>
            <w:r>
              <w:rPr>
                <w:szCs w:val="20"/>
              </w:rPr>
              <w:t>2-</w:t>
            </w:r>
            <w:r>
              <w:rPr>
                <w:rFonts w:hint="eastAsia"/>
                <w:szCs w:val="20"/>
              </w:rPr>
              <w:t>应收款。</w:t>
            </w:r>
          </w:p>
        </w:tc>
      </w:tr>
      <w:tr w:rsidR="00A052DC" w14:paraId="1924D9F9" w14:textId="77777777">
        <w:tc>
          <w:tcPr>
            <w:tcW w:w="1242" w:type="dxa"/>
          </w:tcPr>
          <w:p w14:paraId="4459EB10" w14:textId="77777777" w:rsidR="00A052DC" w:rsidRDefault="009F0A60">
            <w:pPr>
              <w:pStyle w:val="B"/>
              <w:rPr>
                <w:szCs w:val="20"/>
              </w:rPr>
            </w:pPr>
            <w:r>
              <w:rPr>
                <w:szCs w:val="20"/>
              </w:rPr>
              <w:t>D0902</w:t>
            </w:r>
          </w:p>
        </w:tc>
        <w:tc>
          <w:tcPr>
            <w:tcW w:w="1276" w:type="dxa"/>
          </w:tcPr>
          <w:p w14:paraId="489B91EA" w14:textId="77777777" w:rsidR="00A052DC" w:rsidRDefault="009F0A60">
            <w:pPr>
              <w:pStyle w:val="B"/>
              <w:rPr>
                <w:szCs w:val="20"/>
              </w:rPr>
            </w:pPr>
            <w:r>
              <w:rPr>
                <w:rFonts w:hint="eastAsia"/>
                <w:szCs w:val="20"/>
              </w:rPr>
              <w:t>风险分类</w:t>
            </w:r>
          </w:p>
        </w:tc>
        <w:tc>
          <w:tcPr>
            <w:tcW w:w="1559" w:type="dxa"/>
          </w:tcPr>
          <w:p w14:paraId="13399454" w14:textId="77777777" w:rsidR="00A052DC" w:rsidRDefault="009F0A60">
            <w:pPr>
              <w:pStyle w:val="B"/>
              <w:rPr>
                <w:szCs w:val="20"/>
              </w:rPr>
            </w:pPr>
            <w:r>
              <w:rPr>
                <w:rFonts w:hint="eastAsia"/>
                <w:szCs w:val="20"/>
              </w:rPr>
              <w:t>整数型</w:t>
            </w:r>
          </w:p>
        </w:tc>
        <w:tc>
          <w:tcPr>
            <w:tcW w:w="4395" w:type="dxa"/>
          </w:tcPr>
          <w:p w14:paraId="22FC1796" w14:textId="77777777" w:rsidR="00A052DC" w:rsidRDefault="009F0A60">
            <w:pPr>
              <w:pStyle w:val="B"/>
              <w:rPr>
                <w:szCs w:val="20"/>
              </w:rPr>
            </w:pPr>
            <w:r>
              <w:rPr>
                <w:rFonts w:hint="eastAsia"/>
                <w:szCs w:val="20"/>
              </w:rPr>
              <w:t>必填项。必须</w:t>
            </w:r>
            <w:r>
              <w:rPr>
                <w:szCs w:val="20"/>
              </w:rPr>
              <w:t>5</w:t>
            </w:r>
            <w:r>
              <w:rPr>
                <w:rFonts w:hint="eastAsia"/>
                <w:szCs w:val="20"/>
              </w:rPr>
              <w:t>选</w:t>
            </w:r>
            <w:r>
              <w:rPr>
                <w:szCs w:val="20"/>
              </w:rPr>
              <w:t>1</w:t>
            </w:r>
            <w:r>
              <w:rPr>
                <w:rFonts w:hint="eastAsia"/>
                <w:szCs w:val="20"/>
              </w:rPr>
              <w:t>：</w:t>
            </w:r>
          </w:p>
          <w:p w14:paraId="3C218A64" w14:textId="77777777" w:rsidR="00A052DC" w:rsidRDefault="009F0A60">
            <w:pPr>
              <w:pStyle w:val="B"/>
              <w:rPr>
                <w:szCs w:val="20"/>
              </w:rPr>
            </w:pPr>
            <w:r>
              <w:rPr>
                <w:szCs w:val="20"/>
              </w:rPr>
              <w:t>1-</w:t>
            </w:r>
            <w:r>
              <w:rPr>
                <w:rFonts w:hint="eastAsia"/>
                <w:szCs w:val="20"/>
              </w:rPr>
              <w:t>正常；</w:t>
            </w:r>
          </w:p>
          <w:p w14:paraId="6DC7014E" w14:textId="77777777" w:rsidR="00A052DC" w:rsidRDefault="009F0A60">
            <w:pPr>
              <w:pStyle w:val="B"/>
              <w:rPr>
                <w:szCs w:val="20"/>
              </w:rPr>
            </w:pPr>
            <w:r>
              <w:rPr>
                <w:szCs w:val="20"/>
              </w:rPr>
              <w:t>2-</w:t>
            </w:r>
            <w:r>
              <w:rPr>
                <w:rFonts w:hint="eastAsia"/>
                <w:szCs w:val="20"/>
              </w:rPr>
              <w:t>关注；</w:t>
            </w:r>
          </w:p>
          <w:p w14:paraId="068A0B85" w14:textId="77777777" w:rsidR="00A052DC" w:rsidRDefault="009F0A60">
            <w:pPr>
              <w:pStyle w:val="B"/>
              <w:rPr>
                <w:szCs w:val="20"/>
              </w:rPr>
            </w:pPr>
            <w:r>
              <w:rPr>
                <w:szCs w:val="20"/>
              </w:rPr>
              <w:t>3-</w:t>
            </w:r>
            <w:r>
              <w:rPr>
                <w:rFonts w:hint="eastAsia"/>
                <w:szCs w:val="20"/>
              </w:rPr>
              <w:t>次级；</w:t>
            </w:r>
          </w:p>
          <w:p w14:paraId="78E89C4B" w14:textId="77777777" w:rsidR="00A052DC" w:rsidRDefault="009F0A60">
            <w:pPr>
              <w:pStyle w:val="B"/>
              <w:rPr>
                <w:szCs w:val="20"/>
              </w:rPr>
            </w:pPr>
            <w:r>
              <w:rPr>
                <w:szCs w:val="20"/>
              </w:rPr>
              <w:t>4-</w:t>
            </w:r>
            <w:r>
              <w:rPr>
                <w:rFonts w:hint="eastAsia"/>
                <w:szCs w:val="20"/>
              </w:rPr>
              <w:t>可疑；</w:t>
            </w:r>
          </w:p>
          <w:p w14:paraId="0EC0E52E" w14:textId="77777777" w:rsidR="00A052DC" w:rsidRDefault="009F0A60">
            <w:pPr>
              <w:pStyle w:val="B"/>
              <w:rPr>
                <w:szCs w:val="20"/>
              </w:rPr>
            </w:pPr>
            <w:r>
              <w:rPr>
                <w:szCs w:val="20"/>
              </w:rPr>
              <w:t>5-</w:t>
            </w:r>
            <w:r>
              <w:rPr>
                <w:rFonts w:hint="eastAsia"/>
                <w:szCs w:val="20"/>
              </w:rPr>
              <w:t>损失。</w:t>
            </w:r>
          </w:p>
        </w:tc>
      </w:tr>
      <w:tr w:rsidR="00A052DC" w14:paraId="7044017B" w14:textId="77777777">
        <w:tc>
          <w:tcPr>
            <w:tcW w:w="1242" w:type="dxa"/>
          </w:tcPr>
          <w:p w14:paraId="35CAEB24" w14:textId="77777777" w:rsidR="00A052DC" w:rsidRDefault="009F0A60">
            <w:pPr>
              <w:pStyle w:val="B"/>
              <w:rPr>
                <w:szCs w:val="20"/>
              </w:rPr>
            </w:pPr>
            <w:r>
              <w:rPr>
                <w:szCs w:val="20"/>
              </w:rPr>
              <w:t>D0903</w:t>
            </w:r>
          </w:p>
        </w:tc>
        <w:tc>
          <w:tcPr>
            <w:tcW w:w="1276" w:type="dxa"/>
          </w:tcPr>
          <w:p w14:paraId="44AB9B12" w14:textId="77777777" w:rsidR="00A052DC" w:rsidRDefault="009F0A60">
            <w:pPr>
              <w:pStyle w:val="B"/>
              <w:rPr>
                <w:szCs w:val="20"/>
              </w:rPr>
            </w:pPr>
            <w:r>
              <w:rPr>
                <w:rFonts w:hint="eastAsia"/>
                <w:szCs w:val="20"/>
              </w:rPr>
              <w:t>币种</w:t>
            </w:r>
          </w:p>
        </w:tc>
        <w:tc>
          <w:tcPr>
            <w:tcW w:w="1559" w:type="dxa"/>
          </w:tcPr>
          <w:p w14:paraId="0668D6F6" w14:textId="77777777" w:rsidR="00A052DC" w:rsidRDefault="009F0A60">
            <w:pPr>
              <w:pStyle w:val="B"/>
              <w:rPr>
                <w:szCs w:val="20"/>
              </w:rPr>
            </w:pPr>
            <w:r>
              <w:rPr>
                <w:rFonts w:hint="eastAsia"/>
                <w:szCs w:val="20"/>
              </w:rPr>
              <w:t>字符型，</w:t>
            </w:r>
            <w:r>
              <w:rPr>
                <w:szCs w:val="20"/>
              </w:rPr>
              <w:t>3</w:t>
            </w:r>
          </w:p>
        </w:tc>
        <w:tc>
          <w:tcPr>
            <w:tcW w:w="4395" w:type="dxa"/>
          </w:tcPr>
          <w:p w14:paraId="7F0B5189" w14:textId="77777777" w:rsidR="00A052DC" w:rsidRDefault="009F0A60">
            <w:pPr>
              <w:pStyle w:val="B"/>
              <w:rPr>
                <w:szCs w:val="20"/>
              </w:rPr>
            </w:pPr>
            <w:r>
              <w:rPr>
                <w:rFonts w:hint="eastAsia"/>
                <w:szCs w:val="20"/>
              </w:rPr>
              <w:t>必填项，见币种代码表。</w:t>
            </w:r>
          </w:p>
        </w:tc>
      </w:tr>
      <w:tr w:rsidR="00A052DC" w14:paraId="27F4A9BC" w14:textId="77777777">
        <w:tc>
          <w:tcPr>
            <w:tcW w:w="1242" w:type="dxa"/>
          </w:tcPr>
          <w:p w14:paraId="7BF9D0AE" w14:textId="77777777" w:rsidR="00A052DC" w:rsidRDefault="009F0A60">
            <w:pPr>
              <w:pStyle w:val="B"/>
              <w:rPr>
                <w:szCs w:val="20"/>
              </w:rPr>
            </w:pPr>
            <w:r>
              <w:rPr>
                <w:szCs w:val="20"/>
              </w:rPr>
              <w:t>D0904</w:t>
            </w:r>
          </w:p>
        </w:tc>
        <w:tc>
          <w:tcPr>
            <w:tcW w:w="1276" w:type="dxa"/>
          </w:tcPr>
          <w:p w14:paraId="39C78CEF" w14:textId="77777777" w:rsidR="00A052DC" w:rsidRDefault="009F0A60">
            <w:pPr>
              <w:pStyle w:val="B"/>
              <w:rPr>
                <w:szCs w:val="20"/>
              </w:rPr>
            </w:pPr>
            <w:r>
              <w:rPr>
                <w:rFonts w:hint="eastAsia"/>
                <w:szCs w:val="20"/>
              </w:rPr>
              <w:t>本月末减值准备余额</w:t>
            </w:r>
          </w:p>
        </w:tc>
        <w:tc>
          <w:tcPr>
            <w:tcW w:w="1559" w:type="dxa"/>
          </w:tcPr>
          <w:p w14:paraId="3776920E" w14:textId="77777777" w:rsidR="00A052DC" w:rsidRDefault="009F0A60">
            <w:pPr>
              <w:pStyle w:val="B"/>
              <w:rPr>
                <w:szCs w:val="20"/>
              </w:rPr>
            </w:pPr>
            <w:r>
              <w:rPr>
                <w:rFonts w:hint="eastAsia"/>
                <w:szCs w:val="20"/>
              </w:rPr>
              <w:t>数值型，</w:t>
            </w:r>
            <w:r>
              <w:rPr>
                <w:szCs w:val="20"/>
              </w:rPr>
              <w:t>22.2</w:t>
            </w:r>
          </w:p>
        </w:tc>
        <w:tc>
          <w:tcPr>
            <w:tcW w:w="4395" w:type="dxa"/>
          </w:tcPr>
          <w:p w14:paraId="5ACDE5C5" w14:textId="77777777" w:rsidR="00A052DC" w:rsidRDefault="009F0A60">
            <w:pPr>
              <w:pStyle w:val="B"/>
              <w:rPr>
                <w:szCs w:val="20"/>
              </w:rPr>
            </w:pPr>
            <w:r>
              <w:rPr>
                <w:rFonts w:hint="eastAsia"/>
                <w:szCs w:val="20"/>
              </w:rPr>
              <w:t>必填项，必须≥</w:t>
            </w:r>
            <w:r>
              <w:rPr>
                <w:szCs w:val="20"/>
              </w:rPr>
              <w:t>0</w:t>
            </w:r>
            <w:r>
              <w:rPr>
                <w:rFonts w:hint="eastAsia"/>
                <w:szCs w:val="20"/>
              </w:rPr>
              <w:t>。</w:t>
            </w:r>
          </w:p>
        </w:tc>
      </w:tr>
      <w:tr w:rsidR="00A052DC" w14:paraId="08CCC5B5" w14:textId="77777777">
        <w:tc>
          <w:tcPr>
            <w:tcW w:w="1242" w:type="dxa"/>
          </w:tcPr>
          <w:p w14:paraId="70204BBD" w14:textId="77777777" w:rsidR="00A052DC" w:rsidRDefault="009F0A60">
            <w:pPr>
              <w:pStyle w:val="B"/>
              <w:rPr>
                <w:szCs w:val="20"/>
              </w:rPr>
            </w:pPr>
            <w:r>
              <w:rPr>
                <w:szCs w:val="20"/>
              </w:rPr>
              <w:t>REMARK</w:t>
            </w:r>
          </w:p>
        </w:tc>
        <w:tc>
          <w:tcPr>
            <w:tcW w:w="1276" w:type="dxa"/>
          </w:tcPr>
          <w:p w14:paraId="22068594" w14:textId="77777777" w:rsidR="00A052DC" w:rsidRDefault="009F0A60">
            <w:pPr>
              <w:pStyle w:val="B"/>
              <w:rPr>
                <w:szCs w:val="20"/>
              </w:rPr>
            </w:pPr>
            <w:r>
              <w:rPr>
                <w:rFonts w:hint="eastAsia"/>
                <w:szCs w:val="20"/>
              </w:rPr>
              <w:t>备注</w:t>
            </w:r>
          </w:p>
        </w:tc>
        <w:tc>
          <w:tcPr>
            <w:tcW w:w="1559" w:type="dxa"/>
          </w:tcPr>
          <w:p w14:paraId="6F3F323D" w14:textId="77777777" w:rsidR="00A052DC" w:rsidRDefault="009F0A60">
            <w:pPr>
              <w:pStyle w:val="B"/>
              <w:rPr>
                <w:szCs w:val="20"/>
              </w:rPr>
            </w:pPr>
            <w:r>
              <w:rPr>
                <w:rFonts w:hint="eastAsia"/>
                <w:szCs w:val="20"/>
              </w:rPr>
              <w:t>字符型，</w:t>
            </w:r>
            <w:r>
              <w:rPr>
                <w:szCs w:val="20"/>
              </w:rPr>
              <w:t>512</w:t>
            </w:r>
          </w:p>
        </w:tc>
        <w:tc>
          <w:tcPr>
            <w:tcW w:w="4395" w:type="dxa"/>
          </w:tcPr>
          <w:p w14:paraId="66774631" w14:textId="77777777" w:rsidR="00A052DC" w:rsidRDefault="009F0A60">
            <w:pPr>
              <w:pStyle w:val="B"/>
              <w:rPr>
                <w:szCs w:val="20"/>
              </w:rPr>
            </w:pPr>
            <w:r>
              <w:rPr>
                <w:rFonts w:hint="eastAsia"/>
                <w:szCs w:val="20"/>
              </w:rPr>
              <w:t>非必填项。</w:t>
            </w:r>
          </w:p>
        </w:tc>
      </w:tr>
    </w:tbl>
    <w:p w14:paraId="32C9668E" w14:textId="77777777" w:rsidR="00A052DC" w:rsidRDefault="00A052DC"/>
    <w:p w14:paraId="73701918" w14:textId="77777777" w:rsidR="00A052DC" w:rsidRDefault="009F0A60" w:rsidP="0020251D">
      <w:pPr>
        <w:pStyle w:val="3"/>
        <w:ind w:left="0"/>
        <w:rPr>
          <w:rFonts w:ascii="Times New Roman" w:hAnsi="Times New Roman"/>
        </w:rPr>
      </w:pPr>
      <w:bookmarkStart w:id="3324" w:name="_Toc454780199"/>
      <w:bookmarkStart w:id="3325" w:name="_Toc455156569"/>
      <w:bookmarkStart w:id="3326" w:name="_Toc455164020"/>
      <w:bookmarkStart w:id="3327" w:name="_Toc455167745"/>
      <w:bookmarkStart w:id="3328" w:name="_Toc454464822"/>
      <w:bookmarkStart w:id="3329" w:name="_Toc455152841"/>
      <w:bookmarkStart w:id="3330" w:name="_Toc454382404"/>
      <w:bookmarkStart w:id="3331" w:name="_Toc454399323"/>
      <w:bookmarkStart w:id="3332" w:name="_Toc454459099"/>
      <w:bookmarkStart w:id="3333" w:name="_Toc454391345"/>
      <w:bookmarkStart w:id="3334" w:name="_Toc454391346"/>
      <w:bookmarkStart w:id="3335" w:name="_Toc91455326"/>
      <w:bookmarkStart w:id="3336" w:name="_Toc380570988"/>
      <w:bookmarkStart w:id="3337" w:name="_Toc380356299"/>
      <w:bookmarkStart w:id="3338" w:name="_Toc101684499"/>
      <w:bookmarkEnd w:id="3324"/>
      <w:bookmarkEnd w:id="3325"/>
      <w:bookmarkEnd w:id="3326"/>
      <w:bookmarkEnd w:id="3327"/>
      <w:bookmarkEnd w:id="3328"/>
      <w:bookmarkEnd w:id="3329"/>
      <w:bookmarkEnd w:id="3330"/>
      <w:bookmarkEnd w:id="3331"/>
      <w:bookmarkEnd w:id="3332"/>
      <w:bookmarkEnd w:id="3333"/>
      <w:r>
        <w:rPr>
          <w:rFonts w:ascii="Times New Roman" w:hAnsi="Times New Roman"/>
        </w:rPr>
        <w:t>E01</w:t>
      </w:r>
      <w:r>
        <w:rPr>
          <w:rFonts w:ascii="Times New Roman" w:hAnsi="Times New Roman" w:hint="eastAsia"/>
        </w:rPr>
        <w:t>表：货物、服务、薪资及债务减免等其他各类往来</w:t>
      </w:r>
      <w:bookmarkEnd w:id="3334"/>
      <w:bookmarkEnd w:id="3335"/>
      <w:bookmarkEnd w:id="3336"/>
      <w:bookmarkEnd w:id="3337"/>
      <w:bookmarkEnd w:id="3338"/>
    </w:p>
    <w:p w14:paraId="2E7FA0CF" w14:textId="77777777" w:rsidR="00A052DC" w:rsidRDefault="009F0A60" w:rsidP="0020251D">
      <w:pPr>
        <w:pStyle w:val="4"/>
        <w:numPr>
          <w:ilvl w:val="3"/>
          <w:numId w:val="1"/>
        </w:numPr>
        <w:jc w:val="left"/>
      </w:pPr>
      <w:bookmarkStart w:id="3339" w:name="_Toc454391347"/>
      <w:bookmarkStart w:id="3340" w:name="_Toc380570989"/>
      <w:r>
        <w:rPr>
          <w:rFonts w:hint="eastAsia"/>
        </w:rPr>
        <w:t>数据术语解释</w:t>
      </w:r>
      <w:bookmarkEnd w:id="3339"/>
      <w:bookmarkEnd w:id="3340"/>
    </w:p>
    <w:tbl>
      <w:tblPr>
        <w:tblW w:w="8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4"/>
        <w:gridCol w:w="6459"/>
      </w:tblGrid>
      <w:tr w:rsidR="00A052DC" w14:paraId="26E52DE1" w14:textId="77777777">
        <w:trPr>
          <w:cantSplit/>
          <w:jc w:val="center"/>
        </w:trPr>
        <w:tc>
          <w:tcPr>
            <w:tcW w:w="2124" w:type="dxa"/>
            <w:tcBorders>
              <w:top w:val="single" w:sz="4" w:space="0" w:color="auto"/>
              <w:left w:val="single" w:sz="4" w:space="0" w:color="auto"/>
              <w:bottom w:val="single" w:sz="4" w:space="0" w:color="auto"/>
              <w:right w:val="single" w:sz="4" w:space="0" w:color="auto"/>
            </w:tcBorders>
          </w:tcPr>
          <w:p w14:paraId="7148FF09" w14:textId="77777777" w:rsidR="00A052DC" w:rsidRDefault="009F0A60">
            <w:pPr>
              <w:pStyle w:val="B1"/>
            </w:pPr>
            <w:r>
              <w:rPr>
                <w:rFonts w:hint="eastAsia"/>
              </w:rPr>
              <w:t>基础数据项</w:t>
            </w:r>
          </w:p>
        </w:tc>
        <w:tc>
          <w:tcPr>
            <w:tcW w:w="6459" w:type="dxa"/>
            <w:tcBorders>
              <w:top w:val="single" w:sz="4" w:space="0" w:color="auto"/>
              <w:left w:val="single" w:sz="4" w:space="0" w:color="auto"/>
              <w:bottom w:val="single" w:sz="4" w:space="0" w:color="auto"/>
              <w:right w:val="single" w:sz="4" w:space="0" w:color="auto"/>
            </w:tcBorders>
          </w:tcPr>
          <w:p w14:paraId="186CF44F" w14:textId="77777777" w:rsidR="00A052DC" w:rsidRDefault="009F0A60">
            <w:pPr>
              <w:pStyle w:val="B1"/>
            </w:pPr>
            <w:r>
              <w:rPr>
                <w:rFonts w:hint="eastAsia"/>
              </w:rPr>
              <w:t>定义</w:t>
            </w:r>
          </w:p>
        </w:tc>
      </w:tr>
      <w:tr w:rsidR="00A052DC" w14:paraId="42A009AB" w14:textId="77777777">
        <w:trPr>
          <w:cantSplit/>
          <w:jc w:val="center"/>
        </w:trPr>
        <w:tc>
          <w:tcPr>
            <w:tcW w:w="2124" w:type="dxa"/>
            <w:tcBorders>
              <w:top w:val="single" w:sz="4" w:space="0" w:color="auto"/>
              <w:left w:val="single" w:sz="4" w:space="0" w:color="auto"/>
              <w:bottom w:val="single" w:sz="4" w:space="0" w:color="auto"/>
              <w:right w:val="single" w:sz="4" w:space="0" w:color="auto"/>
            </w:tcBorders>
          </w:tcPr>
          <w:p w14:paraId="411DC689" w14:textId="77777777" w:rsidR="00A052DC" w:rsidRDefault="009F0A60">
            <w:pPr>
              <w:rPr>
                <w:rFonts w:ascii="黑体" w:eastAsia="黑体" w:hAnsi="黑体"/>
                <w:kern w:val="0"/>
                <w:sz w:val="20"/>
                <w:szCs w:val="20"/>
              </w:rPr>
            </w:pPr>
            <w:r>
              <w:rPr>
                <w:rFonts w:ascii="黑体" w:eastAsia="黑体" w:hAnsi="黑体" w:hint="eastAsia"/>
                <w:kern w:val="0"/>
                <w:sz w:val="20"/>
                <w:szCs w:val="20"/>
              </w:rPr>
              <w:t>数据自编码</w:t>
            </w:r>
          </w:p>
        </w:tc>
        <w:tc>
          <w:tcPr>
            <w:tcW w:w="6459" w:type="dxa"/>
            <w:tcBorders>
              <w:top w:val="single" w:sz="4" w:space="0" w:color="auto"/>
              <w:left w:val="single" w:sz="4" w:space="0" w:color="auto"/>
              <w:bottom w:val="single" w:sz="4" w:space="0" w:color="auto"/>
              <w:right w:val="single" w:sz="4" w:space="0" w:color="auto"/>
            </w:tcBorders>
          </w:tcPr>
          <w:p w14:paraId="2E565FA5" w14:textId="77777777" w:rsidR="00A052DC" w:rsidRDefault="009F0A60">
            <w:pPr>
              <w:rPr>
                <w:rFonts w:ascii="黑体" w:eastAsia="黑体" w:hAnsi="黑体"/>
                <w:kern w:val="0"/>
                <w:sz w:val="20"/>
                <w:szCs w:val="20"/>
              </w:rPr>
            </w:pPr>
            <w:r>
              <w:rPr>
                <w:rFonts w:ascii="黑体" w:eastAsia="黑体" w:hAnsi="黑体" w:hint="eastAsia"/>
                <w:kern w:val="0"/>
                <w:sz w:val="20"/>
                <w:szCs w:val="20"/>
              </w:rPr>
              <w:t>该编码用于标识金融机构报送的每一条数据，按给定规则编码，便于进行增删改查等操作。建议规则：机构代码（</w:t>
            </w:r>
            <w:r>
              <w:rPr>
                <w:rFonts w:ascii="黑体" w:eastAsia="黑体" w:hAnsi="黑体"/>
                <w:kern w:val="0"/>
                <w:sz w:val="20"/>
                <w:szCs w:val="20"/>
              </w:rPr>
              <w:t>18</w:t>
            </w:r>
            <w:r>
              <w:rPr>
                <w:rFonts w:ascii="黑体" w:eastAsia="黑体" w:hAnsi="黑体" w:hint="eastAsia"/>
                <w:kern w:val="0"/>
                <w:sz w:val="20"/>
                <w:szCs w:val="20"/>
              </w:rPr>
              <w:t>位，不足</w:t>
            </w:r>
            <w:r>
              <w:rPr>
                <w:rFonts w:ascii="黑体" w:eastAsia="黑体" w:hAnsi="黑体"/>
                <w:kern w:val="0"/>
                <w:sz w:val="20"/>
                <w:szCs w:val="20"/>
              </w:rPr>
              <w:t>18</w:t>
            </w:r>
            <w:r>
              <w:rPr>
                <w:rFonts w:ascii="黑体" w:eastAsia="黑体" w:hAnsi="黑体" w:hint="eastAsia"/>
                <w:kern w:val="0"/>
                <w:sz w:val="20"/>
                <w:szCs w:val="20"/>
              </w:rPr>
              <w:t>位补a）+报表代码（5位，不足5位补a）+报送期（6位）+顺序号（7位，从0000001开始增加）。</w:t>
            </w:r>
          </w:p>
        </w:tc>
      </w:tr>
      <w:tr w:rsidR="00A052DC" w14:paraId="1AC71A06" w14:textId="77777777">
        <w:trPr>
          <w:cantSplit/>
          <w:jc w:val="center"/>
        </w:trPr>
        <w:tc>
          <w:tcPr>
            <w:tcW w:w="2124" w:type="dxa"/>
            <w:tcBorders>
              <w:top w:val="single" w:sz="4" w:space="0" w:color="auto"/>
              <w:left w:val="single" w:sz="4" w:space="0" w:color="auto"/>
              <w:bottom w:val="single" w:sz="4" w:space="0" w:color="auto"/>
              <w:right w:val="single" w:sz="4" w:space="0" w:color="auto"/>
            </w:tcBorders>
          </w:tcPr>
          <w:p w14:paraId="109FBEF7" w14:textId="77777777" w:rsidR="00A052DC" w:rsidRDefault="009F0A60">
            <w:pPr>
              <w:rPr>
                <w:rFonts w:ascii="黑体" w:eastAsia="黑体" w:hAnsi="黑体"/>
                <w:kern w:val="0"/>
                <w:sz w:val="20"/>
                <w:szCs w:val="20"/>
              </w:rPr>
            </w:pPr>
            <w:r>
              <w:rPr>
                <w:rFonts w:ascii="黑体" w:eastAsia="黑体" w:hAnsi="黑体" w:hint="eastAsia"/>
                <w:kern w:val="0"/>
                <w:sz w:val="20"/>
                <w:szCs w:val="20"/>
              </w:rPr>
              <w:t>申报主体代码</w:t>
            </w:r>
          </w:p>
        </w:tc>
        <w:tc>
          <w:tcPr>
            <w:tcW w:w="6459" w:type="dxa"/>
            <w:tcBorders>
              <w:top w:val="single" w:sz="4" w:space="0" w:color="auto"/>
              <w:left w:val="single" w:sz="4" w:space="0" w:color="auto"/>
              <w:bottom w:val="single" w:sz="4" w:space="0" w:color="auto"/>
              <w:right w:val="single" w:sz="4" w:space="0" w:color="auto"/>
            </w:tcBorders>
          </w:tcPr>
          <w:p w14:paraId="5B6DB50A" w14:textId="77777777" w:rsidR="00A052DC" w:rsidRDefault="009F0A60">
            <w:pPr>
              <w:rPr>
                <w:rFonts w:ascii="黑体" w:eastAsia="黑体" w:hAnsi="黑体"/>
                <w:kern w:val="0"/>
                <w:sz w:val="20"/>
                <w:szCs w:val="20"/>
              </w:rPr>
            </w:pPr>
            <w:r>
              <w:rPr>
                <w:rFonts w:ascii="黑体" w:eastAsia="黑体" w:hAnsi="黑体" w:hint="eastAsia"/>
                <w:sz w:val="20"/>
                <w:szCs w:val="20"/>
              </w:rPr>
              <w:t>申报主体的12位金融机构标识码，如果没有金融机构标识码，则填报统一社会信用代码法定载体（如营业执照）上统一社会信用代码中的第9至17位或国家外汇管理局及其分支局签发的特殊机构代码赋码通知书上的机构代码、个人身份代码。</w:t>
            </w:r>
          </w:p>
        </w:tc>
      </w:tr>
      <w:tr w:rsidR="00A052DC" w14:paraId="52B066BF" w14:textId="77777777">
        <w:trPr>
          <w:cantSplit/>
          <w:jc w:val="center"/>
        </w:trPr>
        <w:tc>
          <w:tcPr>
            <w:tcW w:w="2124" w:type="dxa"/>
            <w:tcBorders>
              <w:top w:val="single" w:sz="4" w:space="0" w:color="auto"/>
              <w:left w:val="single" w:sz="4" w:space="0" w:color="auto"/>
              <w:bottom w:val="single" w:sz="4" w:space="0" w:color="auto"/>
              <w:right w:val="single" w:sz="4" w:space="0" w:color="auto"/>
            </w:tcBorders>
          </w:tcPr>
          <w:p w14:paraId="633E2667" w14:textId="77777777" w:rsidR="00A052DC" w:rsidRDefault="009F0A60">
            <w:pPr>
              <w:rPr>
                <w:rFonts w:ascii="黑体" w:eastAsia="黑体" w:hAnsi="黑体"/>
                <w:kern w:val="0"/>
                <w:sz w:val="20"/>
                <w:szCs w:val="20"/>
              </w:rPr>
            </w:pPr>
            <w:r>
              <w:rPr>
                <w:rFonts w:ascii="黑体" w:eastAsia="黑体" w:hAnsi="黑体" w:hint="eastAsia"/>
                <w:kern w:val="0"/>
                <w:sz w:val="20"/>
                <w:szCs w:val="20"/>
              </w:rPr>
              <w:t>报告期</w:t>
            </w:r>
          </w:p>
        </w:tc>
        <w:tc>
          <w:tcPr>
            <w:tcW w:w="6459" w:type="dxa"/>
            <w:tcBorders>
              <w:top w:val="single" w:sz="4" w:space="0" w:color="auto"/>
              <w:left w:val="single" w:sz="4" w:space="0" w:color="auto"/>
              <w:bottom w:val="single" w:sz="4" w:space="0" w:color="auto"/>
              <w:right w:val="single" w:sz="4" w:space="0" w:color="auto"/>
            </w:tcBorders>
          </w:tcPr>
          <w:p w14:paraId="62542F88" w14:textId="77777777" w:rsidR="00A052DC" w:rsidRDefault="009F0A60">
            <w:pPr>
              <w:rPr>
                <w:rFonts w:ascii="黑体" w:eastAsia="黑体" w:hAnsi="黑体"/>
                <w:kern w:val="0"/>
                <w:sz w:val="20"/>
                <w:szCs w:val="20"/>
              </w:rPr>
            </w:pPr>
            <w:r>
              <w:rPr>
                <w:rFonts w:ascii="黑体" w:eastAsia="黑体" w:hAnsi="黑体" w:hint="eastAsia"/>
                <w:kern w:val="0"/>
                <w:sz w:val="20"/>
                <w:szCs w:val="20"/>
              </w:rPr>
              <w:t>业务发生月份，格式为YYYYMM。</w:t>
            </w:r>
          </w:p>
        </w:tc>
      </w:tr>
      <w:tr w:rsidR="00A052DC" w14:paraId="59276D22" w14:textId="77777777">
        <w:trPr>
          <w:cantSplit/>
          <w:jc w:val="center"/>
        </w:trPr>
        <w:tc>
          <w:tcPr>
            <w:tcW w:w="2124" w:type="dxa"/>
            <w:tcBorders>
              <w:top w:val="single" w:sz="4" w:space="0" w:color="auto"/>
              <w:left w:val="single" w:sz="4" w:space="0" w:color="auto"/>
              <w:bottom w:val="single" w:sz="4" w:space="0" w:color="auto"/>
              <w:right w:val="single" w:sz="4" w:space="0" w:color="auto"/>
            </w:tcBorders>
          </w:tcPr>
          <w:p w14:paraId="54628E45" w14:textId="77777777" w:rsidR="00A052DC" w:rsidRDefault="009F0A60">
            <w:pPr>
              <w:rPr>
                <w:rFonts w:ascii="黑体" w:eastAsia="黑体" w:hAnsi="黑体"/>
                <w:kern w:val="0"/>
                <w:sz w:val="20"/>
                <w:szCs w:val="20"/>
              </w:rPr>
            </w:pPr>
            <w:r>
              <w:rPr>
                <w:rFonts w:ascii="黑体" w:eastAsia="黑体" w:hAnsi="黑体"/>
                <w:kern w:val="0"/>
                <w:sz w:val="20"/>
                <w:szCs w:val="20"/>
              </w:rPr>
              <w:t>原始币种</w:t>
            </w:r>
          </w:p>
        </w:tc>
        <w:tc>
          <w:tcPr>
            <w:tcW w:w="6459" w:type="dxa"/>
            <w:tcBorders>
              <w:top w:val="single" w:sz="4" w:space="0" w:color="auto"/>
              <w:left w:val="single" w:sz="4" w:space="0" w:color="auto"/>
              <w:bottom w:val="single" w:sz="4" w:space="0" w:color="auto"/>
              <w:right w:val="single" w:sz="4" w:space="0" w:color="auto"/>
            </w:tcBorders>
          </w:tcPr>
          <w:p w14:paraId="63F8C195" w14:textId="77777777" w:rsidR="00A052DC" w:rsidRDefault="009F0A60">
            <w:pPr>
              <w:rPr>
                <w:rFonts w:ascii="黑体" w:eastAsia="黑体" w:hAnsi="黑体"/>
                <w:kern w:val="0"/>
                <w:sz w:val="20"/>
                <w:szCs w:val="20"/>
              </w:rPr>
            </w:pPr>
            <w:r>
              <w:rPr>
                <w:rFonts w:ascii="黑体" w:eastAsia="黑体" w:hAnsi="黑体" w:hint="eastAsia"/>
                <w:kern w:val="0"/>
                <w:sz w:val="20"/>
                <w:szCs w:val="20"/>
              </w:rPr>
              <w:t>填写申报主体与非居民之间发生的货物贸易、服务贸易、初次收入、转移及资本账户项下各类交易的计价币种或记账币种，优先填报计价币种。见币种代码表。</w:t>
            </w:r>
            <w:r>
              <w:rPr>
                <w:rFonts w:ascii="黑体" w:eastAsia="黑体" w:hAnsi="黑体"/>
                <w:kern w:val="0"/>
                <w:sz w:val="20"/>
                <w:szCs w:val="20"/>
              </w:rPr>
              <w:t>适用于收入金额和支出金额。</w:t>
            </w:r>
          </w:p>
        </w:tc>
      </w:tr>
      <w:tr w:rsidR="00A052DC" w14:paraId="10DA4EE9" w14:textId="77777777">
        <w:trPr>
          <w:cantSplit/>
          <w:jc w:val="center"/>
        </w:trPr>
        <w:tc>
          <w:tcPr>
            <w:tcW w:w="2124" w:type="dxa"/>
            <w:tcBorders>
              <w:top w:val="single" w:sz="4" w:space="0" w:color="auto"/>
              <w:left w:val="single" w:sz="4" w:space="0" w:color="auto"/>
              <w:bottom w:val="single" w:sz="4" w:space="0" w:color="auto"/>
              <w:right w:val="single" w:sz="4" w:space="0" w:color="auto"/>
            </w:tcBorders>
          </w:tcPr>
          <w:p w14:paraId="5892A2CB" w14:textId="77777777" w:rsidR="00A052DC" w:rsidRDefault="009F0A60">
            <w:pPr>
              <w:rPr>
                <w:rFonts w:ascii="黑体" w:eastAsia="黑体" w:hAnsi="黑体"/>
                <w:kern w:val="0"/>
                <w:sz w:val="20"/>
                <w:szCs w:val="20"/>
              </w:rPr>
            </w:pPr>
            <w:r>
              <w:rPr>
                <w:rFonts w:ascii="黑体" w:eastAsia="黑体" w:hAnsi="黑体" w:hint="eastAsia"/>
                <w:kern w:val="0"/>
                <w:sz w:val="20"/>
                <w:szCs w:val="20"/>
              </w:rPr>
              <w:t>交易代码</w:t>
            </w:r>
          </w:p>
        </w:tc>
        <w:tc>
          <w:tcPr>
            <w:tcW w:w="6459" w:type="dxa"/>
            <w:tcBorders>
              <w:top w:val="single" w:sz="4" w:space="0" w:color="auto"/>
              <w:left w:val="single" w:sz="4" w:space="0" w:color="auto"/>
              <w:bottom w:val="single" w:sz="4" w:space="0" w:color="auto"/>
              <w:right w:val="single" w:sz="4" w:space="0" w:color="auto"/>
            </w:tcBorders>
          </w:tcPr>
          <w:p w14:paraId="0C7C1FBD" w14:textId="77777777" w:rsidR="00A052DC" w:rsidRDefault="009F0A60">
            <w:pPr>
              <w:rPr>
                <w:rFonts w:ascii="黑体" w:eastAsia="黑体" w:hAnsi="黑体"/>
                <w:kern w:val="0"/>
                <w:sz w:val="20"/>
                <w:szCs w:val="20"/>
              </w:rPr>
            </w:pPr>
            <w:r>
              <w:rPr>
                <w:rFonts w:ascii="黑体" w:eastAsia="黑体" w:hAnsi="黑体" w:hint="eastAsia"/>
                <w:kern w:val="0"/>
                <w:sz w:val="20"/>
                <w:szCs w:val="20"/>
              </w:rPr>
              <w:t>填写申报主体与非居民之间发生的货物贸易、服务贸易、初次收入以及转移项下各类交易项目对应的涉外收支代码。请参照货物、服务、薪资及债务减免等其他各类往来代码表进行归类，并填写最底层代码（6位）。</w:t>
            </w:r>
          </w:p>
        </w:tc>
      </w:tr>
      <w:tr w:rsidR="00A052DC" w14:paraId="1D6120E6" w14:textId="77777777">
        <w:trPr>
          <w:cantSplit/>
          <w:jc w:val="center"/>
        </w:trPr>
        <w:tc>
          <w:tcPr>
            <w:tcW w:w="2124" w:type="dxa"/>
            <w:tcBorders>
              <w:top w:val="single" w:sz="4" w:space="0" w:color="auto"/>
              <w:left w:val="single" w:sz="4" w:space="0" w:color="auto"/>
              <w:bottom w:val="single" w:sz="4" w:space="0" w:color="auto"/>
              <w:right w:val="single" w:sz="4" w:space="0" w:color="auto"/>
            </w:tcBorders>
          </w:tcPr>
          <w:p w14:paraId="2211EB6E" w14:textId="77777777" w:rsidR="00A052DC" w:rsidRDefault="009F0A60">
            <w:pPr>
              <w:rPr>
                <w:rFonts w:ascii="黑体" w:eastAsia="黑体" w:hAnsi="黑体"/>
                <w:kern w:val="0"/>
                <w:sz w:val="20"/>
                <w:szCs w:val="20"/>
              </w:rPr>
            </w:pPr>
            <w:r>
              <w:rPr>
                <w:rFonts w:ascii="黑体" w:eastAsia="黑体" w:hAnsi="黑体" w:hint="eastAsia"/>
                <w:kern w:val="0"/>
                <w:sz w:val="20"/>
                <w:szCs w:val="20"/>
              </w:rPr>
              <w:t>交易对方国家/地区</w:t>
            </w:r>
          </w:p>
        </w:tc>
        <w:tc>
          <w:tcPr>
            <w:tcW w:w="6459" w:type="dxa"/>
            <w:tcBorders>
              <w:top w:val="single" w:sz="4" w:space="0" w:color="auto"/>
              <w:left w:val="single" w:sz="4" w:space="0" w:color="auto"/>
              <w:bottom w:val="single" w:sz="4" w:space="0" w:color="auto"/>
              <w:right w:val="single" w:sz="4" w:space="0" w:color="auto"/>
            </w:tcBorders>
          </w:tcPr>
          <w:p w14:paraId="2481A9F0" w14:textId="77777777" w:rsidR="00A052DC" w:rsidRDefault="009F0A60">
            <w:pPr>
              <w:rPr>
                <w:rFonts w:ascii="黑体" w:eastAsia="黑体" w:hAnsi="黑体"/>
                <w:kern w:val="0"/>
                <w:sz w:val="20"/>
                <w:szCs w:val="20"/>
              </w:rPr>
            </w:pPr>
            <w:r>
              <w:rPr>
                <w:rFonts w:ascii="黑体" w:eastAsia="黑体" w:hAnsi="黑体" w:hint="eastAsia"/>
                <w:kern w:val="0"/>
                <w:sz w:val="20"/>
                <w:szCs w:val="20"/>
              </w:rPr>
              <w:t>填写本笔交易中交易对方的注册地或常驻（住）国家</w:t>
            </w:r>
            <w:r>
              <w:rPr>
                <w:rFonts w:ascii="黑体" w:eastAsia="黑体" w:hAnsi="黑体"/>
                <w:kern w:val="0"/>
                <w:sz w:val="20"/>
                <w:szCs w:val="20"/>
              </w:rPr>
              <w:t>/地区，而非资金汇入/汇出地的国家/地区。</w:t>
            </w:r>
            <w:r>
              <w:rPr>
                <w:rFonts w:ascii="黑体" w:eastAsia="黑体" w:hAnsi="黑体" w:hint="eastAsia"/>
                <w:kern w:val="0"/>
                <w:sz w:val="20"/>
                <w:szCs w:val="20"/>
              </w:rPr>
              <w:t>见国家和地区代码表。</w:t>
            </w:r>
          </w:p>
        </w:tc>
      </w:tr>
      <w:tr w:rsidR="00A052DC" w14:paraId="14FD688F" w14:textId="77777777">
        <w:trPr>
          <w:cantSplit/>
          <w:jc w:val="center"/>
        </w:trPr>
        <w:tc>
          <w:tcPr>
            <w:tcW w:w="2124" w:type="dxa"/>
            <w:tcBorders>
              <w:top w:val="single" w:sz="4" w:space="0" w:color="auto"/>
              <w:left w:val="single" w:sz="4" w:space="0" w:color="auto"/>
              <w:bottom w:val="single" w:sz="4" w:space="0" w:color="auto"/>
              <w:right w:val="single" w:sz="4" w:space="0" w:color="auto"/>
            </w:tcBorders>
          </w:tcPr>
          <w:p w14:paraId="3237E0B0" w14:textId="77777777" w:rsidR="00A052DC" w:rsidRDefault="009F0A60">
            <w:pPr>
              <w:rPr>
                <w:rFonts w:ascii="黑体" w:eastAsia="黑体" w:hAnsi="黑体"/>
                <w:kern w:val="0"/>
                <w:sz w:val="20"/>
                <w:szCs w:val="20"/>
              </w:rPr>
            </w:pPr>
            <w:r>
              <w:rPr>
                <w:rFonts w:ascii="黑体" w:eastAsia="黑体" w:hAnsi="黑体" w:hint="eastAsia"/>
                <w:kern w:val="0"/>
                <w:sz w:val="20"/>
                <w:szCs w:val="20"/>
              </w:rPr>
              <w:t>收入金额</w:t>
            </w:r>
          </w:p>
        </w:tc>
        <w:tc>
          <w:tcPr>
            <w:tcW w:w="6459" w:type="dxa"/>
            <w:tcBorders>
              <w:top w:val="single" w:sz="4" w:space="0" w:color="auto"/>
              <w:left w:val="single" w:sz="4" w:space="0" w:color="auto"/>
              <w:bottom w:val="single" w:sz="4" w:space="0" w:color="auto"/>
              <w:right w:val="single" w:sz="4" w:space="0" w:color="auto"/>
            </w:tcBorders>
          </w:tcPr>
          <w:p w14:paraId="24B37E34" w14:textId="77777777" w:rsidR="00A052DC" w:rsidRDefault="009F0A60">
            <w:pPr>
              <w:rPr>
                <w:rFonts w:ascii="黑体" w:eastAsia="黑体" w:hAnsi="黑体"/>
                <w:kern w:val="0"/>
                <w:sz w:val="20"/>
                <w:szCs w:val="20"/>
              </w:rPr>
            </w:pPr>
            <w:r>
              <w:rPr>
                <w:rFonts w:ascii="黑体" w:eastAsia="黑体" w:hAnsi="黑体" w:hint="eastAsia"/>
                <w:kern w:val="0"/>
                <w:sz w:val="20"/>
                <w:szCs w:val="20"/>
              </w:rPr>
              <w:t>填写相关涉外收入的金额。该项下填写的金额为未被跨境扣税之前的金额。</w:t>
            </w:r>
          </w:p>
        </w:tc>
      </w:tr>
      <w:tr w:rsidR="00A052DC" w14:paraId="16FE5360" w14:textId="77777777">
        <w:trPr>
          <w:cantSplit/>
          <w:jc w:val="center"/>
        </w:trPr>
        <w:tc>
          <w:tcPr>
            <w:tcW w:w="2124" w:type="dxa"/>
            <w:tcBorders>
              <w:top w:val="single" w:sz="4" w:space="0" w:color="auto"/>
              <w:left w:val="single" w:sz="4" w:space="0" w:color="auto"/>
              <w:bottom w:val="single" w:sz="4" w:space="0" w:color="auto"/>
              <w:right w:val="single" w:sz="4" w:space="0" w:color="auto"/>
            </w:tcBorders>
          </w:tcPr>
          <w:p w14:paraId="58A0FD5B" w14:textId="77777777" w:rsidR="00A052DC" w:rsidRDefault="009F0A60">
            <w:pPr>
              <w:rPr>
                <w:rFonts w:ascii="黑体" w:eastAsia="黑体" w:hAnsi="黑体"/>
                <w:kern w:val="0"/>
                <w:sz w:val="20"/>
                <w:szCs w:val="20"/>
              </w:rPr>
            </w:pPr>
            <w:r>
              <w:rPr>
                <w:rFonts w:ascii="黑体" w:eastAsia="黑体" w:hAnsi="黑体" w:hint="eastAsia"/>
                <w:kern w:val="0"/>
                <w:sz w:val="20"/>
                <w:szCs w:val="20"/>
              </w:rPr>
              <w:t>支出金额</w:t>
            </w:r>
          </w:p>
        </w:tc>
        <w:tc>
          <w:tcPr>
            <w:tcW w:w="6459" w:type="dxa"/>
            <w:tcBorders>
              <w:top w:val="single" w:sz="4" w:space="0" w:color="auto"/>
              <w:left w:val="single" w:sz="4" w:space="0" w:color="auto"/>
              <w:bottom w:val="single" w:sz="4" w:space="0" w:color="auto"/>
              <w:right w:val="single" w:sz="4" w:space="0" w:color="auto"/>
            </w:tcBorders>
          </w:tcPr>
          <w:p w14:paraId="332469DF" w14:textId="77777777" w:rsidR="00A052DC" w:rsidRDefault="009F0A60">
            <w:pPr>
              <w:rPr>
                <w:rFonts w:ascii="黑体" w:eastAsia="黑体" w:hAnsi="黑体"/>
                <w:kern w:val="0"/>
                <w:sz w:val="20"/>
                <w:szCs w:val="20"/>
              </w:rPr>
            </w:pPr>
            <w:r>
              <w:rPr>
                <w:rFonts w:ascii="黑体" w:eastAsia="黑体" w:hAnsi="黑体" w:hint="eastAsia"/>
                <w:kern w:val="0"/>
                <w:sz w:val="20"/>
                <w:szCs w:val="20"/>
              </w:rPr>
              <w:t>填写相关涉外支出的金额。该项下填写的金额为未被跨境扣税之前的金额。</w:t>
            </w:r>
          </w:p>
        </w:tc>
      </w:tr>
      <w:tr w:rsidR="00A052DC" w14:paraId="2517A008" w14:textId="77777777">
        <w:trPr>
          <w:cantSplit/>
          <w:jc w:val="center"/>
        </w:trPr>
        <w:tc>
          <w:tcPr>
            <w:tcW w:w="2124" w:type="dxa"/>
            <w:tcBorders>
              <w:top w:val="single" w:sz="4" w:space="0" w:color="auto"/>
              <w:left w:val="single" w:sz="4" w:space="0" w:color="auto"/>
              <w:bottom w:val="single" w:sz="4" w:space="0" w:color="auto"/>
              <w:right w:val="single" w:sz="4" w:space="0" w:color="auto"/>
            </w:tcBorders>
          </w:tcPr>
          <w:p w14:paraId="35D148AA" w14:textId="77777777" w:rsidR="00A052DC" w:rsidRDefault="009F0A60">
            <w:pPr>
              <w:rPr>
                <w:rFonts w:ascii="黑体" w:eastAsia="黑体" w:hAnsi="黑体"/>
                <w:kern w:val="0"/>
                <w:sz w:val="20"/>
                <w:szCs w:val="20"/>
              </w:rPr>
            </w:pPr>
            <w:r>
              <w:rPr>
                <w:rFonts w:ascii="黑体" w:eastAsia="黑体" w:hAnsi="黑体" w:hint="eastAsia"/>
                <w:kern w:val="0"/>
                <w:sz w:val="20"/>
                <w:szCs w:val="20"/>
              </w:rPr>
              <w:t>备注</w:t>
            </w:r>
          </w:p>
        </w:tc>
        <w:tc>
          <w:tcPr>
            <w:tcW w:w="6459" w:type="dxa"/>
            <w:tcBorders>
              <w:top w:val="single" w:sz="4" w:space="0" w:color="auto"/>
              <w:left w:val="single" w:sz="4" w:space="0" w:color="auto"/>
              <w:bottom w:val="single" w:sz="4" w:space="0" w:color="auto"/>
              <w:right w:val="single" w:sz="4" w:space="0" w:color="auto"/>
            </w:tcBorders>
          </w:tcPr>
          <w:p w14:paraId="38DD83D7" w14:textId="77777777" w:rsidR="00A052DC" w:rsidRDefault="009F0A60">
            <w:pPr>
              <w:rPr>
                <w:rFonts w:ascii="黑体" w:eastAsia="黑体" w:hAnsi="黑体"/>
                <w:kern w:val="0"/>
                <w:sz w:val="20"/>
                <w:szCs w:val="20"/>
              </w:rPr>
            </w:pPr>
            <w:r>
              <w:rPr>
                <w:rFonts w:ascii="黑体" w:eastAsia="黑体" w:hAnsi="黑体" w:hint="eastAsia"/>
                <w:kern w:val="0"/>
                <w:sz w:val="20"/>
                <w:szCs w:val="20"/>
              </w:rPr>
              <w:t>其他需要说明的情况</w:t>
            </w:r>
            <w:r w:rsidR="00DC00A8">
              <w:rPr>
                <w:rFonts w:ascii="黑体" w:eastAsia="黑体" w:hAnsi="黑体" w:hint="eastAsia"/>
                <w:kern w:val="0"/>
                <w:sz w:val="20"/>
                <w:szCs w:val="20"/>
              </w:rPr>
              <w:t>。</w:t>
            </w:r>
          </w:p>
        </w:tc>
      </w:tr>
    </w:tbl>
    <w:p w14:paraId="16630CFB" w14:textId="77777777" w:rsidR="00A052DC" w:rsidRPr="00E11A03" w:rsidRDefault="00A412F6">
      <w:pPr>
        <w:rPr>
          <w:rFonts w:ascii="仿宋_GB2312" w:eastAsia="仿宋_GB2312"/>
        </w:rPr>
      </w:pPr>
      <w:r w:rsidRPr="00A412F6">
        <w:rPr>
          <w:rFonts w:ascii="仿宋_GB2312" w:eastAsia="仿宋_GB2312" w:hint="eastAsia"/>
        </w:rPr>
        <w:t>注：收入、支出金额均为依据权责发生制记录的当月交易的流量数据。</w:t>
      </w:r>
    </w:p>
    <w:p w14:paraId="70F5A3E4" w14:textId="77777777" w:rsidR="00A052DC" w:rsidRDefault="009F0A60" w:rsidP="0020251D">
      <w:pPr>
        <w:pStyle w:val="4"/>
        <w:numPr>
          <w:ilvl w:val="3"/>
          <w:numId w:val="1"/>
        </w:numPr>
        <w:jc w:val="left"/>
      </w:pPr>
      <w:bookmarkStart w:id="3341" w:name="_Toc454391348"/>
      <w:bookmarkStart w:id="3342" w:name="_Toc380570990"/>
      <w:bookmarkStart w:id="3343" w:name="_Toc454391349"/>
      <w:bookmarkEnd w:id="3341"/>
      <w:r>
        <w:rPr>
          <w:rFonts w:hint="eastAsia"/>
        </w:rPr>
        <w:t>数据格式</w:t>
      </w:r>
      <w:bookmarkEnd w:id="3342"/>
      <w:bookmarkEnd w:id="3343"/>
    </w:p>
    <w:p w14:paraId="1A9D5033" w14:textId="77777777" w:rsidR="00A052DC" w:rsidRDefault="009F0A60">
      <w:pPr>
        <w:ind w:firstLine="482"/>
        <w:rPr>
          <w:szCs w:val="21"/>
        </w:rPr>
      </w:pPr>
      <w:r>
        <w:rPr>
          <w:szCs w:val="21"/>
        </w:rPr>
        <w:t>&lt;REC&gt;</w:t>
      </w:r>
    </w:p>
    <w:p w14:paraId="201A7D6F" w14:textId="77777777" w:rsidR="00A052DC" w:rsidRDefault="009F0A60">
      <w:pPr>
        <w:ind w:firstLine="482"/>
        <w:rPr>
          <w:szCs w:val="21"/>
        </w:rPr>
      </w:pPr>
      <w:r>
        <w:rPr>
          <w:szCs w:val="21"/>
        </w:rPr>
        <w:t>&lt;ACTIONTYPE&gt;</w:t>
      </w:r>
      <w:r>
        <w:rPr>
          <w:rFonts w:hAnsi="宋体"/>
          <w:szCs w:val="21"/>
        </w:rPr>
        <w:t>操作类型</w:t>
      </w:r>
      <w:r>
        <w:rPr>
          <w:szCs w:val="21"/>
        </w:rPr>
        <w:t>&lt;/ACTIONTYPE&gt;</w:t>
      </w:r>
    </w:p>
    <w:p w14:paraId="334ADB0D" w14:textId="77777777" w:rsidR="00A052DC" w:rsidRDefault="009F0A60">
      <w:pPr>
        <w:ind w:firstLine="482"/>
        <w:rPr>
          <w:szCs w:val="21"/>
        </w:rPr>
      </w:pPr>
      <w:r>
        <w:rPr>
          <w:szCs w:val="21"/>
        </w:rPr>
        <w:t>&lt;ACTIONDESC&gt;</w:t>
      </w:r>
      <w:r>
        <w:rPr>
          <w:rFonts w:hAnsi="宋体"/>
          <w:szCs w:val="21"/>
        </w:rPr>
        <w:t>删除原因</w:t>
      </w:r>
      <w:r>
        <w:rPr>
          <w:szCs w:val="21"/>
        </w:rPr>
        <w:t>&lt;/ACTIONDESC&gt;</w:t>
      </w:r>
    </w:p>
    <w:p w14:paraId="59C23F63" w14:textId="77777777" w:rsidR="00A052DC" w:rsidRDefault="009F0A60">
      <w:pPr>
        <w:ind w:firstLine="482"/>
        <w:rPr>
          <w:szCs w:val="21"/>
        </w:rPr>
      </w:pPr>
      <w:r>
        <w:rPr>
          <w:szCs w:val="21"/>
        </w:rPr>
        <w:t>&lt;SNOCODE&gt;</w:t>
      </w:r>
      <w:r>
        <w:rPr>
          <w:rFonts w:hAnsi="宋体"/>
          <w:szCs w:val="21"/>
        </w:rPr>
        <w:t>数据自编码</w:t>
      </w:r>
      <w:r>
        <w:rPr>
          <w:szCs w:val="21"/>
        </w:rPr>
        <w:t>&lt;/SNOCODE&gt;</w:t>
      </w:r>
    </w:p>
    <w:p w14:paraId="0C06A59D" w14:textId="77777777" w:rsidR="00A052DC" w:rsidRDefault="009F0A60">
      <w:pPr>
        <w:ind w:firstLine="482"/>
        <w:rPr>
          <w:szCs w:val="21"/>
        </w:rPr>
      </w:pPr>
      <w:r>
        <w:rPr>
          <w:szCs w:val="21"/>
        </w:rPr>
        <w:t>&lt;OBJCODE&gt;</w:t>
      </w:r>
      <w:r>
        <w:rPr>
          <w:rFonts w:hAnsi="宋体"/>
          <w:szCs w:val="21"/>
        </w:rPr>
        <w:t>申报主体代码</w:t>
      </w:r>
      <w:r>
        <w:rPr>
          <w:szCs w:val="21"/>
        </w:rPr>
        <w:t>&lt;/OBJCODE&gt;</w:t>
      </w:r>
    </w:p>
    <w:p w14:paraId="760C3A0B" w14:textId="77777777" w:rsidR="00A052DC" w:rsidRDefault="009F0A60">
      <w:pPr>
        <w:ind w:firstLine="482"/>
        <w:rPr>
          <w:szCs w:val="21"/>
        </w:rPr>
      </w:pPr>
      <w:r>
        <w:rPr>
          <w:szCs w:val="21"/>
        </w:rPr>
        <w:t>&lt;BUOCMONTH&gt;</w:t>
      </w:r>
      <w:r>
        <w:rPr>
          <w:rFonts w:hAnsi="宋体"/>
          <w:szCs w:val="21"/>
        </w:rPr>
        <w:t>报告期</w:t>
      </w:r>
      <w:r>
        <w:rPr>
          <w:szCs w:val="21"/>
        </w:rPr>
        <w:t>&lt;/BUOCMONTH&gt;</w:t>
      </w:r>
    </w:p>
    <w:p w14:paraId="4E1BB92C" w14:textId="77777777" w:rsidR="00A052DC" w:rsidRDefault="009F0A60">
      <w:pPr>
        <w:ind w:firstLine="482"/>
        <w:rPr>
          <w:szCs w:val="21"/>
        </w:rPr>
      </w:pPr>
      <w:r>
        <w:rPr>
          <w:szCs w:val="21"/>
        </w:rPr>
        <w:t>&lt;E0101CUR&gt;</w:t>
      </w:r>
      <w:r>
        <w:rPr>
          <w:rFonts w:hAnsi="宋体"/>
          <w:szCs w:val="21"/>
        </w:rPr>
        <w:t>原始币种</w:t>
      </w:r>
      <w:r>
        <w:rPr>
          <w:szCs w:val="21"/>
        </w:rPr>
        <w:t>&lt;/E0101CUR&gt;</w:t>
      </w:r>
    </w:p>
    <w:p w14:paraId="189BAC85" w14:textId="77777777" w:rsidR="00A052DC" w:rsidRDefault="009F0A60">
      <w:pPr>
        <w:ind w:firstLine="482"/>
        <w:rPr>
          <w:szCs w:val="21"/>
        </w:rPr>
      </w:pPr>
      <w:r>
        <w:rPr>
          <w:szCs w:val="21"/>
        </w:rPr>
        <w:t>&lt;E0101&gt;</w:t>
      </w:r>
      <w:r>
        <w:rPr>
          <w:rFonts w:hAnsi="宋体"/>
          <w:szCs w:val="21"/>
        </w:rPr>
        <w:t>交易代码</w:t>
      </w:r>
      <w:r>
        <w:rPr>
          <w:szCs w:val="21"/>
        </w:rPr>
        <w:t>&lt;/E0101&gt;</w:t>
      </w:r>
    </w:p>
    <w:p w14:paraId="2736347F" w14:textId="77777777" w:rsidR="00A052DC" w:rsidRDefault="009F0A60">
      <w:pPr>
        <w:ind w:firstLine="482"/>
        <w:rPr>
          <w:szCs w:val="21"/>
        </w:rPr>
      </w:pPr>
      <w:r>
        <w:rPr>
          <w:szCs w:val="21"/>
        </w:rPr>
        <w:t>&lt;E0102&gt;</w:t>
      </w:r>
      <w:r>
        <w:rPr>
          <w:rFonts w:hAnsi="宋体"/>
          <w:szCs w:val="21"/>
        </w:rPr>
        <w:t>交易对方国家</w:t>
      </w:r>
      <w:r>
        <w:rPr>
          <w:szCs w:val="21"/>
        </w:rPr>
        <w:t>/</w:t>
      </w:r>
      <w:r>
        <w:rPr>
          <w:rFonts w:hAnsi="宋体"/>
          <w:szCs w:val="21"/>
        </w:rPr>
        <w:t>地区</w:t>
      </w:r>
      <w:r>
        <w:rPr>
          <w:szCs w:val="21"/>
        </w:rPr>
        <w:t>&lt;/E0102&gt;</w:t>
      </w:r>
    </w:p>
    <w:p w14:paraId="6588BF3B" w14:textId="77777777" w:rsidR="00A052DC" w:rsidRDefault="009F0A60">
      <w:pPr>
        <w:ind w:firstLine="482"/>
        <w:rPr>
          <w:szCs w:val="21"/>
        </w:rPr>
      </w:pPr>
      <w:r>
        <w:rPr>
          <w:szCs w:val="21"/>
        </w:rPr>
        <w:t>&lt;E0103&gt;</w:t>
      </w:r>
      <w:r>
        <w:rPr>
          <w:rFonts w:hAnsi="宋体"/>
          <w:szCs w:val="21"/>
        </w:rPr>
        <w:t>收入金额</w:t>
      </w:r>
      <w:r>
        <w:rPr>
          <w:szCs w:val="21"/>
        </w:rPr>
        <w:t>&lt;/E0103&gt;</w:t>
      </w:r>
    </w:p>
    <w:p w14:paraId="4A1D2522" w14:textId="77777777" w:rsidR="00A052DC" w:rsidRDefault="009F0A60">
      <w:pPr>
        <w:ind w:firstLine="482"/>
        <w:rPr>
          <w:szCs w:val="21"/>
        </w:rPr>
      </w:pPr>
      <w:r>
        <w:rPr>
          <w:szCs w:val="21"/>
        </w:rPr>
        <w:t>&lt;E0104&gt;</w:t>
      </w:r>
      <w:r>
        <w:rPr>
          <w:rFonts w:hAnsi="宋体"/>
          <w:szCs w:val="21"/>
        </w:rPr>
        <w:t>支出金额</w:t>
      </w:r>
      <w:r>
        <w:rPr>
          <w:szCs w:val="21"/>
        </w:rPr>
        <w:t>&lt;/E0104&gt;</w:t>
      </w:r>
    </w:p>
    <w:p w14:paraId="5B265600" w14:textId="77777777" w:rsidR="00A052DC" w:rsidRDefault="009F0A60">
      <w:pPr>
        <w:ind w:firstLine="482"/>
        <w:rPr>
          <w:szCs w:val="21"/>
        </w:rPr>
      </w:pPr>
      <w:r>
        <w:rPr>
          <w:szCs w:val="21"/>
        </w:rPr>
        <w:t>&lt;REMARK&gt;</w:t>
      </w:r>
      <w:r>
        <w:rPr>
          <w:rFonts w:hAnsi="宋体"/>
          <w:szCs w:val="21"/>
        </w:rPr>
        <w:t>备注</w:t>
      </w:r>
      <w:r>
        <w:rPr>
          <w:szCs w:val="21"/>
        </w:rPr>
        <w:t>&lt;/REMARK&gt;</w:t>
      </w:r>
    </w:p>
    <w:p w14:paraId="68BE373B" w14:textId="77777777" w:rsidR="00A052DC" w:rsidRDefault="009F0A60">
      <w:pPr>
        <w:ind w:firstLine="482"/>
        <w:rPr>
          <w:szCs w:val="21"/>
        </w:rPr>
      </w:pPr>
      <w:r>
        <w:rPr>
          <w:szCs w:val="21"/>
        </w:rPr>
        <w:t>&lt;/REC&gt;</w:t>
      </w:r>
    </w:p>
    <w:p w14:paraId="6459CE96" w14:textId="77777777" w:rsidR="00A052DC" w:rsidRDefault="009F0A60" w:rsidP="0020251D">
      <w:pPr>
        <w:pStyle w:val="4"/>
        <w:numPr>
          <w:ilvl w:val="3"/>
          <w:numId w:val="1"/>
        </w:numPr>
        <w:jc w:val="left"/>
      </w:pPr>
      <w:bookmarkStart w:id="3344" w:name="_Toc454391350"/>
      <w:r>
        <w:rPr>
          <w:rFonts w:hint="eastAsia"/>
        </w:rPr>
        <w:t>数据字典</w:t>
      </w:r>
      <w:bookmarkEnd w:id="3344"/>
    </w:p>
    <w:p w14:paraId="64574FDE" w14:textId="77777777" w:rsidR="00A052DC" w:rsidRDefault="00A052DC">
      <w:pPr>
        <w:rPr>
          <w:rFonts w:ascii="宋体" w:hAnsi="宋体"/>
          <w:szCs w:val="21"/>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843"/>
        <w:gridCol w:w="1418"/>
        <w:gridCol w:w="4110"/>
      </w:tblGrid>
      <w:tr w:rsidR="00A052DC" w14:paraId="500B81D2" w14:textId="77777777">
        <w:trPr>
          <w:tblHeader/>
        </w:trPr>
        <w:tc>
          <w:tcPr>
            <w:tcW w:w="1242" w:type="dxa"/>
            <w:shd w:val="clear" w:color="auto" w:fill="C0C0C0"/>
          </w:tcPr>
          <w:p w14:paraId="049FEFC3" w14:textId="77777777" w:rsidR="00A052DC" w:rsidRDefault="009F0A60">
            <w:pPr>
              <w:pStyle w:val="B1"/>
            </w:pPr>
            <w:r>
              <w:rPr>
                <w:rFonts w:hint="eastAsia"/>
              </w:rPr>
              <w:t>字段</w:t>
            </w:r>
          </w:p>
        </w:tc>
        <w:tc>
          <w:tcPr>
            <w:tcW w:w="1843" w:type="dxa"/>
            <w:shd w:val="clear" w:color="auto" w:fill="C0C0C0"/>
          </w:tcPr>
          <w:p w14:paraId="06BDC5D7" w14:textId="77777777" w:rsidR="00A052DC" w:rsidRDefault="009F0A60">
            <w:pPr>
              <w:pStyle w:val="B1"/>
            </w:pPr>
            <w:r>
              <w:rPr>
                <w:rFonts w:hint="eastAsia"/>
              </w:rPr>
              <w:t>内容</w:t>
            </w:r>
          </w:p>
        </w:tc>
        <w:tc>
          <w:tcPr>
            <w:tcW w:w="1418" w:type="dxa"/>
            <w:shd w:val="clear" w:color="auto" w:fill="C0C0C0"/>
          </w:tcPr>
          <w:p w14:paraId="395B6CD9" w14:textId="77777777" w:rsidR="00A052DC" w:rsidRDefault="009F0A60">
            <w:pPr>
              <w:pStyle w:val="B1"/>
            </w:pPr>
            <w:r>
              <w:rPr>
                <w:rFonts w:hint="eastAsia"/>
              </w:rPr>
              <w:t>类型（长度）</w:t>
            </w:r>
          </w:p>
        </w:tc>
        <w:tc>
          <w:tcPr>
            <w:tcW w:w="4110" w:type="dxa"/>
            <w:shd w:val="clear" w:color="auto" w:fill="C0C0C0"/>
          </w:tcPr>
          <w:p w14:paraId="036B8CF7" w14:textId="77777777" w:rsidR="00A052DC" w:rsidRDefault="009F0A60">
            <w:pPr>
              <w:pStyle w:val="B1"/>
            </w:pPr>
            <w:r>
              <w:rPr>
                <w:rFonts w:hint="eastAsia"/>
              </w:rPr>
              <w:t>校验</w:t>
            </w:r>
          </w:p>
        </w:tc>
      </w:tr>
      <w:tr w:rsidR="00A052DC" w14:paraId="0DC3CFAA" w14:textId="77777777">
        <w:tc>
          <w:tcPr>
            <w:tcW w:w="1242" w:type="dxa"/>
          </w:tcPr>
          <w:p w14:paraId="648047ED" w14:textId="77777777" w:rsidR="00A052DC" w:rsidRDefault="009F0A60">
            <w:pPr>
              <w:pStyle w:val="B"/>
              <w:rPr>
                <w:szCs w:val="20"/>
              </w:rPr>
            </w:pPr>
            <w:r>
              <w:rPr>
                <w:rFonts w:hint="eastAsia"/>
                <w:szCs w:val="20"/>
              </w:rPr>
              <w:t>ACTIONTYPE</w:t>
            </w:r>
          </w:p>
        </w:tc>
        <w:tc>
          <w:tcPr>
            <w:tcW w:w="1843" w:type="dxa"/>
          </w:tcPr>
          <w:p w14:paraId="28544BDB" w14:textId="77777777" w:rsidR="00A052DC" w:rsidRDefault="009F0A60">
            <w:pPr>
              <w:pStyle w:val="B"/>
              <w:rPr>
                <w:szCs w:val="20"/>
              </w:rPr>
            </w:pPr>
            <w:r>
              <w:rPr>
                <w:rFonts w:hint="eastAsia"/>
                <w:szCs w:val="20"/>
              </w:rPr>
              <w:t>操作类型</w:t>
            </w:r>
          </w:p>
        </w:tc>
        <w:tc>
          <w:tcPr>
            <w:tcW w:w="1418" w:type="dxa"/>
          </w:tcPr>
          <w:p w14:paraId="44EED498" w14:textId="77777777" w:rsidR="00A052DC" w:rsidRDefault="009F0A60">
            <w:pPr>
              <w:pStyle w:val="B"/>
              <w:rPr>
                <w:szCs w:val="20"/>
              </w:rPr>
            </w:pPr>
            <w:r>
              <w:rPr>
                <w:rFonts w:hint="eastAsia"/>
                <w:szCs w:val="20"/>
              </w:rPr>
              <w:t>字符型，1</w:t>
            </w:r>
          </w:p>
        </w:tc>
        <w:tc>
          <w:tcPr>
            <w:tcW w:w="4110" w:type="dxa"/>
          </w:tcPr>
          <w:p w14:paraId="195EA25D" w14:textId="77777777" w:rsidR="00A052DC" w:rsidRDefault="009F0A60">
            <w:pPr>
              <w:pStyle w:val="B"/>
              <w:rPr>
                <w:szCs w:val="20"/>
              </w:rPr>
            </w:pPr>
            <w:r>
              <w:rPr>
                <w:rFonts w:hint="eastAsia"/>
                <w:szCs w:val="20"/>
              </w:rPr>
              <w:t>必填项</w:t>
            </w:r>
            <w:r w:rsidR="004D1828">
              <w:rPr>
                <w:rFonts w:hint="eastAsia"/>
                <w:szCs w:val="20"/>
              </w:rPr>
              <w:t>。</w:t>
            </w:r>
          </w:p>
          <w:p w14:paraId="5E8786C6" w14:textId="77777777" w:rsidR="00A052DC" w:rsidRDefault="009F0A60">
            <w:pPr>
              <w:pStyle w:val="B"/>
              <w:rPr>
                <w:szCs w:val="20"/>
              </w:rPr>
            </w:pPr>
            <w:r>
              <w:rPr>
                <w:rFonts w:hint="eastAsia"/>
                <w:szCs w:val="20"/>
              </w:rPr>
              <w:t>A</w:t>
            </w:r>
            <w:r w:rsidR="00AE4602">
              <w:rPr>
                <w:rFonts w:hint="eastAsia"/>
                <w:szCs w:val="20"/>
              </w:rPr>
              <w:t>-</w:t>
            </w:r>
            <w:r>
              <w:rPr>
                <w:rFonts w:hint="eastAsia"/>
                <w:szCs w:val="20"/>
              </w:rPr>
              <w:t>新建</w:t>
            </w:r>
          </w:p>
          <w:p w14:paraId="104A5497" w14:textId="77777777" w:rsidR="00A052DC" w:rsidRDefault="009F0A60">
            <w:pPr>
              <w:pStyle w:val="B"/>
              <w:rPr>
                <w:szCs w:val="20"/>
              </w:rPr>
            </w:pPr>
            <w:r>
              <w:rPr>
                <w:rFonts w:hint="eastAsia"/>
                <w:szCs w:val="20"/>
              </w:rPr>
              <w:t>C</w:t>
            </w:r>
            <w:r w:rsidR="00AE4602">
              <w:rPr>
                <w:rFonts w:hint="eastAsia"/>
                <w:szCs w:val="20"/>
              </w:rPr>
              <w:t>-</w:t>
            </w:r>
            <w:r>
              <w:rPr>
                <w:rFonts w:hint="eastAsia"/>
                <w:szCs w:val="20"/>
              </w:rPr>
              <w:t>修改</w:t>
            </w:r>
          </w:p>
          <w:p w14:paraId="0E9BE599" w14:textId="77777777" w:rsidR="00A052DC" w:rsidRDefault="009F0A60">
            <w:pPr>
              <w:pStyle w:val="B"/>
              <w:rPr>
                <w:szCs w:val="20"/>
              </w:rPr>
            </w:pPr>
            <w:r>
              <w:rPr>
                <w:rFonts w:hint="eastAsia"/>
                <w:szCs w:val="20"/>
              </w:rPr>
              <w:t>D</w:t>
            </w:r>
            <w:r w:rsidR="00AE4602">
              <w:rPr>
                <w:rFonts w:hint="eastAsia"/>
                <w:szCs w:val="20"/>
              </w:rPr>
              <w:t>-</w:t>
            </w:r>
            <w:r>
              <w:rPr>
                <w:rFonts w:hint="eastAsia"/>
                <w:szCs w:val="20"/>
              </w:rPr>
              <w:t>删除</w:t>
            </w:r>
          </w:p>
        </w:tc>
      </w:tr>
      <w:tr w:rsidR="00A052DC" w14:paraId="725213E2" w14:textId="77777777">
        <w:tc>
          <w:tcPr>
            <w:tcW w:w="1242" w:type="dxa"/>
          </w:tcPr>
          <w:p w14:paraId="2C025F43" w14:textId="77777777" w:rsidR="00A052DC" w:rsidRDefault="009F0A60">
            <w:pPr>
              <w:pStyle w:val="B"/>
              <w:rPr>
                <w:szCs w:val="20"/>
              </w:rPr>
            </w:pPr>
            <w:r>
              <w:rPr>
                <w:rFonts w:hint="eastAsia"/>
                <w:szCs w:val="20"/>
              </w:rPr>
              <w:t>ACTIONDESC</w:t>
            </w:r>
          </w:p>
        </w:tc>
        <w:tc>
          <w:tcPr>
            <w:tcW w:w="1843" w:type="dxa"/>
          </w:tcPr>
          <w:p w14:paraId="720D5126" w14:textId="77777777" w:rsidR="00A052DC" w:rsidRDefault="009F0A60">
            <w:pPr>
              <w:pStyle w:val="B"/>
              <w:rPr>
                <w:szCs w:val="20"/>
              </w:rPr>
            </w:pPr>
            <w:r>
              <w:rPr>
                <w:rFonts w:hint="eastAsia"/>
                <w:szCs w:val="20"/>
              </w:rPr>
              <w:t>删除原因</w:t>
            </w:r>
          </w:p>
        </w:tc>
        <w:tc>
          <w:tcPr>
            <w:tcW w:w="1418" w:type="dxa"/>
          </w:tcPr>
          <w:p w14:paraId="03EF0769" w14:textId="77777777" w:rsidR="00A052DC" w:rsidRDefault="009F0A60">
            <w:pPr>
              <w:pStyle w:val="B"/>
              <w:rPr>
                <w:szCs w:val="20"/>
              </w:rPr>
            </w:pPr>
            <w:r>
              <w:rPr>
                <w:rFonts w:hint="eastAsia"/>
                <w:szCs w:val="20"/>
              </w:rPr>
              <w:t>字符型，128</w:t>
            </w:r>
          </w:p>
        </w:tc>
        <w:tc>
          <w:tcPr>
            <w:tcW w:w="4110" w:type="dxa"/>
          </w:tcPr>
          <w:p w14:paraId="03FBEA24" w14:textId="77777777" w:rsidR="00A052DC" w:rsidRDefault="00DD6AA3">
            <w:pPr>
              <w:pStyle w:val="B"/>
              <w:rPr>
                <w:szCs w:val="20"/>
              </w:rPr>
            </w:pPr>
            <w:r>
              <w:rPr>
                <w:rFonts w:hint="eastAsia"/>
                <w:szCs w:val="20"/>
              </w:rPr>
              <w:t>非必填项，当操作类型（ACTIONTYPE）为删除时必填。</w:t>
            </w:r>
          </w:p>
        </w:tc>
      </w:tr>
      <w:tr w:rsidR="00A052DC" w14:paraId="7121DFFE" w14:textId="77777777">
        <w:tc>
          <w:tcPr>
            <w:tcW w:w="1242" w:type="dxa"/>
          </w:tcPr>
          <w:p w14:paraId="51D1B6C4" w14:textId="77777777" w:rsidR="00A052DC" w:rsidRDefault="009F0A60">
            <w:pPr>
              <w:pStyle w:val="B"/>
              <w:rPr>
                <w:szCs w:val="20"/>
              </w:rPr>
            </w:pPr>
            <w:r>
              <w:rPr>
                <w:rFonts w:hint="eastAsia"/>
                <w:szCs w:val="20"/>
              </w:rPr>
              <w:t>SNOCODE</w:t>
            </w:r>
          </w:p>
        </w:tc>
        <w:tc>
          <w:tcPr>
            <w:tcW w:w="1843" w:type="dxa"/>
          </w:tcPr>
          <w:p w14:paraId="755D6C2B" w14:textId="77777777" w:rsidR="00A052DC" w:rsidRDefault="009F0A60">
            <w:pPr>
              <w:pStyle w:val="B"/>
              <w:rPr>
                <w:szCs w:val="20"/>
              </w:rPr>
            </w:pPr>
            <w:r>
              <w:rPr>
                <w:rFonts w:hint="eastAsia"/>
                <w:szCs w:val="20"/>
              </w:rPr>
              <w:t>数据自编码</w:t>
            </w:r>
          </w:p>
        </w:tc>
        <w:tc>
          <w:tcPr>
            <w:tcW w:w="1418" w:type="dxa"/>
          </w:tcPr>
          <w:p w14:paraId="1C0BAE33" w14:textId="77777777" w:rsidR="00A052DC" w:rsidRDefault="009F0A60">
            <w:pPr>
              <w:pStyle w:val="B"/>
              <w:rPr>
                <w:szCs w:val="20"/>
              </w:rPr>
            </w:pPr>
            <w:r>
              <w:rPr>
                <w:rFonts w:hint="eastAsia"/>
                <w:szCs w:val="20"/>
              </w:rPr>
              <w:t>字符型，36</w:t>
            </w:r>
          </w:p>
        </w:tc>
        <w:tc>
          <w:tcPr>
            <w:tcW w:w="4110" w:type="dxa"/>
          </w:tcPr>
          <w:p w14:paraId="0726A8AE" w14:textId="77777777" w:rsidR="00A052DC" w:rsidRDefault="009F0A60">
            <w:pPr>
              <w:pStyle w:val="B"/>
              <w:rPr>
                <w:szCs w:val="20"/>
              </w:rPr>
            </w:pPr>
            <w:r>
              <w:rPr>
                <w:rFonts w:hint="eastAsia"/>
                <w:szCs w:val="20"/>
              </w:rPr>
              <w:t>必填项。</w:t>
            </w:r>
            <w:r>
              <w:rPr>
                <w:szCs w:val="20"/>
              </w:rPr>
              <w:t>对于接口报送的填报主体，数据自编码中的报送期（6位）应与报告期（YYYYMM）一致。</w:t>
            </w:r>
          </w:p>
        </w:tc>
      </w:tr>
      <w:tr w:rsidR="00A052DC" w14:paraId="70A43D88" w14:textId="77777777">
        <w:tc>
          <w:tcPr>
            <w:tcW w:w="1242" w:type="dxa"/>
          </w:tcPr>
          <w:p w14:paraId="3B9B09BC" w14:textId="77777777" w:rsidR="00A052DC" w:rsidRDefault="009F0A60">
            <w:pPr>
              <w:pStyle w:val="B"/>
              <w:rPr>
                <w:szCs w:val="20"/>
              </w:rPr>
            </w:pPr>
            <w:r>
              <w:rPr>
                <w:rFonts w:hint="eastAsia"/>
                <w:szCs w:val="20"/>
              </w:rPr>
              <w:t>OBJCODE</w:t>
            </w:r>
          </w:p>
        </w:tc>
        <w:tc>
          <w:tcPr>
            <w:tcW w:w="1843" w:type="dxa"/>
          </w:tcPr>
          <w:p w14:paraId="45D151E1" w14:textId="77777777" w:rsidR="00A052DC" w:rsidRDefault="009F0A60">
            <w:pPr>
              <w:pStyle w:val="B"/>
              <w:rPr>
                <w:szCs w:val="20"/>
              </w:rPr>
            </w:pPr>
            <w:r>
              <w:rPr>
                <w:rFonts w:hint="eastAsia"/>
                <w:szCs w:val="20"/>
              </w:rPr>
              <w:t>申报主体代码</w:t>
            </w:r>
          </w:p>
        </w:tc>
        <w:tc>
          <w:tcPr>
            <w:tcW w:w="1418" w:type="dxa"/>
          </w:tcPr>
          <w:p w14:paraId="0A3F03C0" w14:textId="77777777" w:rsidR="00A052DC" w:rsidRDefault="009F0A60">
            <w:pPr>
              <w:pStyle w:val="B"/>
              <w:rPr>
                <w:szCs w:val="20"/>
              </w:rPr>
            </w:pPr>
            <w:r>
              <w:rPr>
                <w:rFonts w:hint="eastAsia"/>
                <w:szCs w:val="20"/>
              </w:rPr>
              <w:t>字符型，18</w:t>
            </w:r>
          </w:p>
        </w:tc>
        <w:tc>
          <w:tcPr>
            <w:tcW w:w="4110" w:type="dxa"/>
          </w:tcPr>
          <w:p w14:paraId="2E7F9C84" w14:textId="77777777" w:rsidR="00A052DC" w:rsidRDefault="009F0A60">
            <w:pPr>
              <w:pStyle w:val="B"/>
              <w:rPr>
                <w:szCs w:val="20"/>
              </w:rPr>
            </w:pPr>
            <w:r>
              <w:rPr>
                <w:rFonts w:hint="eastAsia"/>
                <w:szCs w:val="20"/>
              </w:rPr>
              <w:t>申报主体的12位金融机构标识码，如果没有金融机构标识码，则填报统一社会信用代码法定载体（如营业执照）上统一社会信用代码中的第9至17位或国家外汇管理局及其分支局签发的特殊机构代码赋码通知书上的机构代码、个人身份代码。</w:t>
            </w:r>
          </w:p>
        </w:tc>
      </w:tr>
      <w:tr w:rsidR="00A052DC" w14:paraId="5E30A771" w14:textId="77777777">
        <w:tc>
          <w:tcPr>
            <w:tcW w:w="1242" w:type="dxa"/>
          </w:tcPr>
          <w:p w14:paraId="67D9727B" w14:textId="77777777" w:rsidR="00A052DC" w:rsidRDefault="009F0A60">
            <w:pPr>
              <w:pStyle w:val="B"/>
              <w:rPr>
                <w:szCs w:val="20"/>
              </w:rPr>
            </w:pPr>
            <w:r>
              <w:rPr>
                <w:rFonts w:hint="eastAsia"/>
                <w:szCs w:val="20"/>
              </w:rPr>
              <w:t>BUOCMONTH</w:t>
            </w:r>
          </w:p>
        </w:tc>
        <w:tc>
          <w:tcPr>
            <w:tcW w:w="1843" w:type="dxa"/>
          </w:tcPr>
          <w:p w14:paraId="1C09BE10" w14:textId="77777777" w:rsidR="00A052DC" w:rsidRDefault="009F0A60">
            <w:pPr>
              <w:pStyle w:val="B"/>
              <w:rPr>
                <w:szCs w:val="20"/>
              </w:rPr>
            </w:pPr>
            <w:r>
              <w:rPr>
                <w:rFonts w:hint="eastAsia"/>
                <w:szCs w:val="20"/>
              </w:rPr>
              <w:t>报告期</w:t>
            </w:r>
          </w:p>
        </w:tc>
        <w:tc>
          <w:tcPr>
            <w:tcW w:w="1418" w:type="dxa"/>
          </w:tcPr>
          <w:p w14:paraId="3CCD3C70" w14:textId="77777777" w:rsidR="00A052DC" w:rsidRDefault="009F0A60">
            <w:pPr>
              <w:pStyle w:val="B"/>
              <w:rPr>
                <w:szCs w:val="20"/>
              </w:rPr>
            </w:pPr>
            <w:r>
              <w:rPr>
                <w:rFonts w:hint="eastAsia"/>
                <w:szCs w:val="20"/>
              </w:rPr>
              <w:t>数值型，6</w:t>
            </w:r>
          </w:p>
        </w:tc>
        <w:tc>
          <w:tcPr>
            <w:tcW w:w="4110" w:type="dxa"/>
          </w:tcPr>
          <w:p w14:paraId="28945940" w14:textId="77777777" w:rsidR="00A052DC" w:rsidRDefault="009F0A60">
            <w:pPr>
              <w:pStyle w:val="B"/>
              <w:rPr>
                <w:szCs w:val="20"/>
              </w:rPr>
            </w:pPr>
            <w:r>
              <w:rPr>
                <w:rFonts w:hint="eastAsia"/>
                <w:szCs w:val="20"/>
              </w:rPr>
              <w:t>必填项，格式为YYYYMM。</w:t>
            </w:r>
          </w:p>
        </w:tc>
      </w:tr>
      <w:tr w:rsidR="00A052DC" w14:paraId="313D5791" w14:textId="77777777">
        <w:tc>
          <w:tcPr>
            <w:tcW w:w="1242" w:type="dxa"/>
          </w:tcPr>
          <w:p w14:paraId="0B9486ED" w14:textId="77777777" w:rsidR="00A052DC" w:rsidRDefault="009F0A60">
            <w:pPr>
              <w:pStyle w:val="B"/>
              <w:rPr>
                <w:szCs w:val="20"/>
              </w:rPr>
            </w:pPr>
            <w:r>
              <w:rPr>
                <w:szCs w:val="20"/>
              </w:rPr>
              <w:t>E0101CUR</w:t>
            </w:r>
          </w:p>
        </w:tc>
        <w:tc>
          <w:tcPr>
            <w:tcW w:w="1843" w:type="dxa"/>
          </w:tcPr>
          <w:p w14:paraId="5C08E2A6" w14:textId="77777777" w:rsidR="00A052DC" w:rsidRDefault="009F0A60">
            <w:pPr>
              <w:pStyle w:val="B"/>
              <w:rPr>
                <w:szCs w:val="20"/>
              </w:rPr>
            </w:pPr>
            <w:r>
              <w:rPr>
                <w:rFonts w:hint="eastAsia"/>
                <w:szCs w:val="20"/>
              </w:rPr>
              <w:t>原始币种</w:t>
            </w:r>
          </w:p>
        </w:tc>
        <w:tc>
          <w:tcPr>
            <w:tcW w:w="1418" w:type="dxa"/>
          </w:tcPr>
          <w:p w14:paraId="5BEBEF1E" w14:textId="77777777" w:rsidR="00A052DC" w:rsidRDefault="009F0A60">
            <w:pPr>
              <w:pStyle w:val="B"/>
              <w:rPr>
                <w:szCs w:val="20"/>
              </w:rPr>
            </w:pPr>
            <w:r>
              <w:rPr>
                <w:rFonts w:hint="eastAsia"/>
                <w:szCs w:val="20"/>
              </w:rPr>
              <w:t>字符型，</w:t>
            </w:r>
            <w:r>
              <w:rPr>
                <w:szCs w:val="20"/>
              </w:rPr>
              <w:t>3</w:t>
            </w:r>
          </w:p>
        </w:tc>
        <w:tc>
          <w:tcPr>
            <w:tcW w:w="4110" w:type="dxa"/>
          </w:tcPr>
          <w:p w14:paraId="0541328F" w14:textId="77777777" w:rsidR="00A052DC" w:rsidRDefault="009F0A60">
            <w:pPr>
              <w:pStyle w:val="B"/>
              <w:rPr>
                <w:szCs w:val="20"/>
              </w:rPr>
            </w:pPr>
            <w:r>
              <w:rPr>
                <w:rFonts w:hint="eastAsia"/>
                <w:szCs w:val="20"/>
              </w:rPr>
              <w:t>必填项。见币种代码表。</w:t>
            </w:r>
          </w:p>
        </w:tc>
      </w:tr>
      <w:tr w:rsidR="00A052DC" w14:paraId="3850EB80" w14:textId="77777777">
        <w:tc>
          <w:tcPr>
            <w:tcW w:w="1242" w:type="dxa"/>
          </w:tcPr>
          <w:p w14:paraId="19551152" w14:textId="77777777" w:rsidR="00A052DC" w:rsidRDefault="009F0A60">
            <w:pPr>
              <w:pStyle w:val="B"/>
              <w:rPr>
                <w:szCs w:val="20"/>
              </w:rPr>
            </w:pPr>
            <w:r>
              <w:rPr>
                <w:rFonts w:hint="eastAsia"/>
                <w:szCs w:val="20"/>
              </w:rPr>
              <w:t>E0101</w:t>
            </w:r>
          </w:p>
        </w:tc>
        <w:tc>
          <w:tcPr>
            <w:tcW w:w="1843" w:type="dxa"/>
          </w:tcPr>
          <w:p w14:paraId="6F8640BE" w14:textId="77777777" w:rsidR="00A052DC" w:rsidRDefault="009F0A60">
            <w:pPr>
              <w:pStyle w:val="B"/>
              <w:rPr>
                <w:szCs w:val="20"/>
              </w:rPr>
            </w:pPr>
            <w:r>
              <w:rPr>
                <w:rFonts w:hint="eastAsia"/>
                <w:szCs w:val="20"/>
              </w:rPr>
              <w:t>交易代码</w:t>
            </w:r>
          </w:p>
        </w:tc>
        <w:tc>
          <w:tcPr>
            <w:tcW w:w="1418" w:type="dxa"/>
          </w:tcPr>
          <w:p w14:paraId="0C6E9D95" w14:textId="77777777" w:rsidR="00A052DC" w:rsidRDefault="009F0A60">
            <w:pPr>
              <w:pStyle w:val="B"/>
              <w:rPr>
                <w:szCs w:val="20"/>
              </w:rPr>
            </w:pPr>
            <w:r>
              <w:rPr>
                <w:rFonts w:hint="eastAsia"/>
                <w:szCs w:val="20"/>
              </w:rPr>
              <w:t>字符型，6</w:t>
            </w:r>
          </w:p>
        </w:tc>
        <w:tc>
          <w:tcPr>
            <w:tcW w:w="4110" w:type="dxa"/>
          </w:tcPr>
          <w:p w14:paraId="0AA0079E" w14:textId="77777777" w:rsidR="00A052DC" w:rsidRDefault="009F0A60">
            <w:pPr>
              <w:pStyle w:val="B"/>
              <w:rPr>
                <w:szCs w:val="20"/>
              </w:rPr>
            </w:pPr>
            <w:r>
              <w:rPr>
                <w:rFonts w:hint="eastAsia"/>
                <w:szCs w:val="20"/>
              </w:rPr>
              <w:t>必填项，参照货物、服务、薪资及债务减免等其他各类往来代码表进行归类，并填写对应的6位代码。其中，运输服务“222000”收入，旅行项下“223010”和“223020”收入、支出，以及境外建设“224010”收入、支出金额填报0。</w:t>
            </w:r>
          </w:p>
        </w:tc>
      </w:tr>
      <w:tr w:rsidR="00A052DC" w14:paraId="35BF9339" w14:textId="77777777">
        <w:tc>
          <w:tcPr>
            <w:tcW w:w="1242" w:type="dxa"/>
          </w:tcPr>
          <w:p w14:paraId="136762B2" w14:textId="77777777" w:rsidR="00A052DC" w:rsidRDefault="009F0A60">
            <w:pPr>
              <w:pStyle w:val="B"/>
              <w:rPr>
                <w:szCs w:val="20"/>
              </w:rPr>
            </w:pPr>
            <w:r>
              <w:rPr>
                <w:rFonts w:hint="eastAsia"/>
                <w:szCs w:val="20"/>
              </w:rPr>
              <w:t>E0102</w:t>
            </w:r>
          </w:p>
        </w:tc>
        <w:tc>
          <w:tcPr>
            <w:tcW w:w="1843" w:type="dxa"/>
          </w:tcPr>
          <w:p w14:paraId="00420E4D" w14:textId="77777777" w:rsidR="00A052DC" w:rsidRDefault="009F0A60">
            <w:pPr>
              <w:pStyle w:val="B"/>
              <w:rPr>
                <w:szCs w:val="20"/>
              </w:rPr>
            </w:pPr>
            <w:r>
              <w:rPr>
                <w:rFonts w:hint="eastAsia"/>
                <w:szCs w:val="20"/>
              </w:rPr>
              <w:t>交易对方国家/地区</w:t>
            </w:r>
          </w:p>
        </w:tc>
        <w:tc>
          <w:tcPr>
            <w:tcW w:w="1418" w:type="dxa"/>
          </w:tcPr>
          <w:p w14:paraId="012B45F7" w14:textId="77777777" w:rsidR="00A052DC" w:rsidRDefault="009F0A60">
            <w:pPr>
              <w:pStyle w:val="B"/>
              <w:rPr>
                <w:szCs w:val="20"/>
              </w:rPr>
            </w:pPr>
            <w:r>
              <w:rPr>
                <w:rFonts w:hint="eastAsia"/>
                <w:szCs w:val="20"/>
              </w:rPr>
              <w:t>字符型，3</w:t>
            </w:r>
          </w:p>
        </w:tc>
        <w:tc>
          <w:tcPr>
            <w:tcW w:w="4110" w:type="dxa"/>
          </w:tcPr>
          <w:p w14:paraId="7427CBBA" w14:textId="77777777" w:rsidR="00A052DC" w:rsidRDefault="009F0A60">
            <w:pPr>
              <w:pStyle w:val="B"/>
              <w:rPr>
                <w:szCs w:val="20"/>
              </w:rPr>
            </w:pPr>
            <w:r>
              <w:rPr>
                <w:rFonts w:hint="eastAsia"/>
                <w:szCs w:val="20"/>
              </w:rPr>
              <w:t>必填项。见国家和地区代码表的3位字母代码。国别代码≠CHN。</w:t>
            </w:r>
          </w:p>
        </w:tc>
      </w:tr>
      <w:tr w:rsidR="00A052DC" w14:paraId="4D82BB18" w14:textId="77777777">
        <w:tc>
          <w:tcPr>
            <w:tcW w:w="1242" w:type="dxa"/>
          </w:tcPr>
          <w:p w14:paraId="117FB91E" w14:textId="77777777" w:rsidR="00A052DC" w:rsidRDefault="009F0A60">
            <w:pPr>
              <w:rPr>
                <w:rFonts w:ascii="黑体" w:eastAsia="黑体" w:hAnsi="黑体"/>
                <w:sz w:val="20"/>
                <w:szCs w:val="20"/>
              </w:rPr>
            </w:pPr>
            <w:r>
              <w:rPr>
                <w:rFonts w:ascii="黑体" w:eastAsia="黑体" w:hAnsi="黑体" w:hint="eastAsia"/>
                <w:sz w:val="20"/>
                <w:szCs w:val="20"/>
              </w:rPr>
              <w:t>E0103</w:t>
            </w:r>
          </w:p>
        </w:tc>
        <w:tc>
          <w:tcPr>
            <w:tcW w:w="1843" w:type="dxa"/>
          </w:tcPr>
          <w:p w14:paraId="6BED6B58" w14:textId="77777777" w:rsidR="00A052DC" w:rsidRDefault="009F0A60">
            <w:pPr>
              <w:rPr>
                <w:rFonts w:ascii="黑体" w:eastAsia="黑体" w:hAnsi="黑体"/>
                <w:sz w:val="20"/>
                <w:szCs w:val="20"/>
              </w:rPr>
            </w:pPr>
            <w:r>
              <w:rPr>
                <w:rFonts w:ascii="黑体" w:eastAsia="黑体" w:hAnsi="黑体" w:hint="eastAsia"/>
                <w:sz w:val="20"/>
                <w:szCs w:val="20"/>
              </w:rPr>
              <w:t>收入金额</w:t>
            </w:r>
          </w:p>
        </w:tc>
        <w:tc>
          <w:tcPr>
            <w:tcW w:w="1418" w:type="dxa"/>
          </w:tcPr>
          <w:p w14:paraId="0E3BF8B2"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4110" w:type="dxa"/>
          </w:tcPr>
          <w:p w14:paraId="2DC08388" w14:textId="77777777" w:rsidR="00A052DC" w:rsidRDefault="009F0A60">
            <w:pPr>
              <w:pStyle w:val="B"/>
              <w:rPr>
                <w:szCs w:val="20"/>
              </w:rPr>
            </w:pPr>
            <w:r>
              <w:rPr>
                <w:rFonts w:hint="eastAsia"/>
                <w:szCs w:val="20"/>
              </w:rPr>
              <w:t>必填项。</w:t>
            </w:r>
            <w:r>
              <w:rPr>
                <w:rFonts w:hint="eastAsia"/>
              </w:rPr>
              <w:t>当交易代码为运输服务“222000”， 旅行“223010”和“223020” ，境外建设 “224010”时，必须为0。</w:t>
            </w:r>
          </w:p>
        </w:tc>
      </w:tr>
      <w:tr w:rsidR="00A052DC" w14:paraId="34421B3D" w14:textId="77777777">
        <w:tc>
          <w:tcPr>
            <w:tcW w:w="1242" w:type="dxa"/>
          </w:tcPr>
          <w:p w14:paraId="2B505486" w14:textId="77777777" w:rsidR="00A052DC" w:rsidRDefault="009F0A60">
            <w:pPr>
              <w:rPr>
                <w:rFonts w:ascii="黑体" w:eastAsia="黑体" w:hAnsi="黑体"/>
                <w:sz w:val="20"/>
                <w:szCs w:val="20"/>
              </w:rPr>
            </w:pPr>
            <w:r>
              <w:rPr>
                <w:rFonts w:ascii="黑体" w:eastAsia="黑体" w:hAnsi="黑体" w:hint="eastAsia"/>
                <w:sz w:val="20"/>
                <w:szCs w:val="20"/>
              </w:rPr>
              <w:t>E0104</w:t>
            </w:r>
          </w:p>
        </w:tc>
        <w:tc>
          <w:tcPr>
            <w:tcW w:w="1843" w:type="dxa"/>
          </w:tcPr>
          <w:p w14:paraId="43C75320" w14:textId="77777777" w:rsidR="00A052DC" w:rsidRDefault="009F0A60">
            <w:pPr>
              <w:rPr>
                <w:rFonts w:ascii="黑体" w:eastAsia="黑体" w:hAnsi="黑体"/>
                <w:sz w:val="20"/>
                <w:szCs w:val="20"/>
              </w:rPr>
            </w:pPr>
            <w:r>
              <w:rPr>
                <w:rFonts w:ascii="黑体" w:eastAsia="黑体" w:hAnsi="黑体" w:hint="eastAsia"/>
                <w:sz w:val="20"/>
                <w:szCs w:val="20"/>
              </w:rPr>
              <w:t>支出金额</w:t>
            </w:r>
          </w:p>
        </w:tc>
        <w:tc>
          <w:tcPr>
            <w:tcW w:w="1418" w:type="dxa"/>
          </w:tcPr>
          <w:p w14:paraId="50CCC02D"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4110" w:type="dxa"/>
          </w:tcPr>
          <w:p w14:paraId="59F5581C" w14:textId="77777777" w:rsidR="00A052DC" w:rsidRDefault="009F0A60">
            <w:pPr>
              <w:pStyle w:val="B"/>
              <w:rPr>
                <w:szCs w:val="20"/>
              </w:rPr>
            </w:pPr>
            <w:r>
              <w:rPr>
                <w:rFonts w:hint="eastAsia"/>
                <w:szCs w:val="20"/>
              </w:rPr>
              <w:t>必填项。</w:t>
            </w:r>
            <w:r>
              <w:rPr>
                <w:rFonts w:hint="eastAsia"/>
              </w:rPr>
              <w:t>当交易代码为旅行“223010”和“223020”，境外建设“224010”时，必须为0。</w:t>
            </w:r>
          </w:p>
        </w:tc>
      </w:tr>
      <w:tr w:rsidR="00A052DC" w14:paraId="624AE4C7" w14:textId="77777777">
        <w:tc>
          <w:tcPr>
            <w:tcW w:w="1242" w:type="dxa"/>
          </w:tcPr>
          <w:p w14:paraId="671BD0AB" w14:textId="77777777" w:rsidR="00A052DC" w:rsidRDefault="009F0A60">
            <w:pPr>
              <w:pStyle w:val="B"/>
              <w:rPr>
                <w:szCs w:val="20"/>
              </w:rPr>
            </w:pPr>
            <w:r>
              <w:rPr>
                <w:rFonts w:hint="eastAsia"/>
                <w:szCs w:val="20"/>
              </w:rPr>
              <w:t>REMARK</w:t>
            </w:r>
          </w:p>
        </w:tc>
        <w:tc>
          <w:tcPr>
            <w:tcW w:w="1843" w:type="dxa"/>
          </w:tcPr>
          <w:p w14:paraId="31212456" w14:textId="77777777" w:rsidR="00A052DC" w:rsidRDefault="009F0A60">
            <w:pPr>
              <w:pStyle w:val="B"/>
              <w:rPr>
                <w:szCs w:val="20"/>
              </w:rPr>
            </w:pPr>
            <w:r>
              <w:rPr>
                <w:rFonts w:hint="eastAsia"/>
                <w:szCs w:val="20"/>
              </w:rPr>
              <w:t>备注</w:t>
            </w:r>
          </w:p>
        </w:tc>
        <w:tc>
          <w:tcPr>
            <w:tcW w:w="1418" w:type="dxa"/>
          </w:tcPr>
          <w:p w14:paraId="5F7BC684" w14:textId="77777777" w:rsidR="00A052DC" w:rsidRDefault="009F0A60">
            <w:pPr>
              <w:pStyle w:val="B"/>
              <w:rPr>
                <w:szCs w:val="20"/>
              </w:rPr>
            </w:pPr>
            <w:r>
              <w:rPr>
                <w:rFonts w:hint="eastAsia"/>
                <w:szCs w:val="20"/>
              </w:rPr>
              <w:t>字符型，512</w:t>
            </w:r>
          </w:p>
        </w:tc>
        <w:tc>
          <w:tcPr>
            <w:tcW w:w="4110" w:type="dxa"/>
          </w:tcPr>
          <w:p w14:paraId="2A7B968A" w14:textId="77777777" w:rsidR="00A052DC" w:rsidRDefault="009F0A60">
            <w:pPr>
              <w:pStyle w:val="B"/>
              <w:rPr>
                <w:szCs w:val="20"/>
              </w:rPr>
            </w:pPr>
            <w:r>
              <w:rPr>
                <w:rFonts w:hint="eastAsia"/>
                <w:szCs w:val="20"/>
              </w:rPr>
              <w:t>非必填项。当E0103或E0104有负数时，备注必填。</w:t>
            </w:r>
          </w:p>
        </w:tc>
      </w:tr>
    </w:tbl>
    <w:p w14:paraId="6E378C6B" w14:textId="77777777" w:rsidR="00A052DC" w:rsidRDefault="00A052DC">
      <w:pPr>
        <w:rPr>
          <w:rFonts w:ascii="宋体" w:hAnsi="宋体"/>
          <w:szCs w:val="21"/>
        </w:rPr>
      </w:pPr>
    </w:p>
    <w:p w14:paraId="6412D4D0" w14:textId="77777777" w:rsidR="00A052DC" w:rsidRDefault="009F0A60" w:rsidP="0020251D">
      <w:pPr>
        <w:pStyle w:val="3"/>
        <w:ind w:left="0"/>
        <w:rPr>
          <w:rFonts w:ascii="Times New Roman" w:hAnsi="Times New Roman"/>
        </w:rPr>
      </w:pPr>
      <w:bookmarkStart w:id="3345" w:name="_Toc525912155"/>
      <w:bookmarkStart w:id="3346" w:name="_Toc525912907"/>
      <w:bookmarkStart w:id="3347" w:name="_Toc527131543"/>
      <w:bookmarkStart w:id="3348" w:name="_Toc527132614"/>
      <w:bookmarkStart w:id="3349" w:name="_Toc527963136"/>
      <w:bookmarkStart w:id="3350" w:name="_Toc527964728"/>
      <w:bookmarkStart w:id="3351" w:name="_Toc532300529"/>
      <w:bookmarkStart w:id="3352" w:name="_Toc533586665"/>
      <w:bookmarkStart w:id="3353" w:name="_Toc533749838"/>
      <w:bookmarkStart w:id="3354" w:name="_Toc449108899"/>
      <w:bookmarkStart w:id="3355" w:name="_Toc452557221"/>
      <w:bookmarkStart w:id="3356" w:name="_Toc452561903"/>
      <w:bookmarkStart w:id="3357" w:name="_Toc454275844"/>
      <w:bookmarkStart w:id="3358" w:name="_Toc454285490"/>
      <w:bookmarkStart w:id="3359" w:name="_Toc454382406"/>
      <w:bookmarkStart w:id="3360" w:name="_Toc454391351"/>
      <w:bookmarkStart w:id="3361" w:name="_Toc454399325"/>
      <w:bookmarkStart w:id="3362" w:name="_Toc454459101"/>
      <w:bookmarkStart w:id="3363" w:name="_Toc454464824"/>
      <w:bookmarkStart w:id="3364" w:name="_Toc454780201"/>
      <w:bookmarkStart w:id="3365" w:name="_Toc455152843"/>
      <w:bookmarkStart w:id="3366" w:name="_Toc455156571"/>
      <w:bookmarkStart w:id="3367" w:name="_Toc455164022"/>
      <w:bookmarkStart w:id="3368" w:name="_Toc455167747"/>
      <w:bookmarkStart w:id="3369" w:name="_Toc449108900"/>
      <w:bookmarkStart w:id="3370" w:name="_Toc452557222"/>
      <w:bookmarkStart w:id="3371" w:name="_Toc452561904"/>
      <w:bookmarkStart w:id="3372" w:name="_Toc454275845"/>
      <w:bookmarkStart w:id="3373" w:name="_Toc454285491"/>
      <w:bookmarkStart w:id="3374" w:name="_Toc454382407"/>
      <w:bookmarkStart w:id="3375" w:name="_Toc454391352"/>
      <w:bookmarkStart w:id="3376" w:name="_Toc454399326"/>
      <w:bookmarkStart w:id="3377" w:name="_Toc454459102"/>
      <w:bookmarkStart w:id="3378" w:name="_Toc454464825"/>
      <w:bookmarkStart w:id="3379" w:name="_Toc454780202"/>
      <w:bookmarkStart w:id="3380" w:name="_Toc455152844"/>
      <w:bookmarkStart w:id="3381" w:name="_Toc455156572"/>
      <w:bookmarkStart w:id="3382" w:name="_Toc455164023"/>
      <w:bookmarkStart w:id="3383" w:name="_Toc455167748"/>
      <w:bookmarkStart w:id="3384" w:name="_Toc449108901"/>
      <w:bookmarkStart w:id="3385" w:name="_Toc452557223"/>
      <w:bookmarkStart w:id="3386" w:name="_Toc452561905"/>
      <w:bookmarkStart w:id="3387" w:name="_Toc454275846"/>
      <w:bookmarkStart w:id="3388" w:name="_Toc454285492"/>
      <w:bookmarkStart w:id="3389" w:name="_Toc454382408"/>
      <w:bookmarkStart w:id="3390" w:name="_Toc454391353"/>
      <w:bookmarkStart w:id="3391" w:name="_Toc454399327"/>
      <w:bookmarkStart w:id="3392" w:name="_Toc454459103"/>
      <w:bookmarkStart w:id="3393" w:name="_Toc454464826"/>
      <w:bookmarkStart w:id="3394" w:name="_Toc454780203"/>
      <w:bookmarkStart w:id="3395" w:name="_Toc455152845"/>
      <w:bookmarkStart w:id="3396" w:name="_Toc455156573"/>
      <w:bookmarkStart w:id="3397" w:name="_Toc455164024"/>
      <w:bookmarkStart w:id="3398" w:name="_Toc455167749"/>
      <w:bookmarkStart w:id="3399" w:name="_Toc449108902"/>
      <w:bookmarkStart w:id="3400" w:name="_Toc452557224"/>
      <w:bookmarkStart w:id="3401" w:name="_Toc452561906"/>
      <w:bookmarkStart w:id="3402" w:name="_Toc454275847"/>
      <w:bookmarkStart w:id="3403" w:name="_Toc454285493"/>
      <w:bookmarkStart w:id="3404" w:name="_Toc454382409"/>
      <w:bookmarkStart w:id="3405" w:name="_Toc454391354"/>
      <w:bookmarkStart w:id="3406" w:name="_Toc454399328"/>
      <w:bookmarkStart w:id="3407" w:name="_Toc454459104"/>
      <w:bookmarkStart w:id="3408" w:name="_Toc454464827"/>
      <w:bookmarkStart w:id="3409" w:name="_Toc454780204"/>
      <w:bookmarkStart w:id="3410" w:name="_Toc455152846"/>
      <w:bookmarkStart w:id="3411" w:name="_Toc455156574"/>
      <w:bookmarkStart w:id="3412" w:name="_Toc455164025"/>
      <w:bookmarkStart w:id="3413" w:name="_Toc455167750"/>
      <w:bookmarkStart w:id="3414" w:name="_Toc449108903"/>
      <w:bookmarkStart w:id="3415" w:name="_Toc452557225"/>
      <w:bookmarkStart w:id="3416" w:name="_Toc452561907"/>
      <w:bookmarkStart w:id="3417" w:name="_Toc454275848"/>
      <w:bookmarkStart w:id="3418" w:name="_Toc454285494"/>
      <w:bookmarkStart w:id="3419" w:name="_Toc454382410"/>
      <w:bookmarkStart w:id="3420" w:name="_Toc454391355"/>
      <w:bookmarkStart w:id="3421" w:name="_Toc454399329"/>
      <w:bookmarkStart w:id="3422" w:name="_Toc454459105"/>
      <w:bookmarkStart w:id="3423" w:name="_Toc454464828"/>
      <w:bookmarkStart w:id="3424" w:name="_Toc454780205"/>
      <w:bookmarkStart w:id="3425" w:name="_Toc455152847"/>
      <w:bookmarkStart w:id="3426" w:name="_Toc455156575"/>
      <w:bookmarkStart w:id="3427" w:name="_Toc455164026"/>
      <w:bookmarkStart w:id="3428" w:name="_Toc455167751"/>
      <w:bookmarkStart w:id="3429" w:name="_Toc449108904"/>
      <w:bookmarkStart w:id="3430" w:name="_Toc452557226"/>
      <w:bookmarkStart w:id="3431" w:name="_Toc452561908"/>
      <w:bookmarkStart w:id="3432" w:name="_Toc454275849"/>
      <w:bookmarkStart w:id="3433" w:name="_Toc454285495"/>
      <w:bookmarkStart w:id="3434" w:name="_Toc454382411"/>
      <w:bookmarkStart w:id="3435" w:name="_Toc454391356"/>
      <w:bookmarkStart w:id="3436" w:name="_Toc454399330"/>
      <w:bookmarkStart w:id="3437" w:name="_Toc454459106"/>
      <w:bookmarkStart w:id="3438" w:name="_Toc454464829"/>
      <w:bookmarkStart w:id="3439" w:name="_Toc454780206"/>
      <w:bookmarkStart w:id="3440" w:name="_Toc455152848"/>
      <w:bookmarkStart w:id="3441" w:name="_Toc455156576"/>
      <w:bookmarkStart w:id="3442" w:name="_Toc455164027"/>
      <w:bookmarkStart w:id="3443" w:name="_Toc455167752"/>
      <w:bookmarkStart w:id="3444" w:name="_Toc449108905"/>
      <w:bookmarkStart w:id="3445" w:name="_Toc452557227"/>
      <w:bookmarkStart w:id="3446" w:name="_Toc452561909"/>
      <w:bookmarkStart w:id="3447" w:name="_Toc454275850"/>
      <w:bookmarkStart w:id="3448" w:name="_Toc454285496"/>
      <w:bookmarkStart w:id="3449" w:name="_Toc454382412"/>
      <w:bookmarkStart w:id="3450" w:name="_Toc454391357"/>
      <w:bookmarkStart w:id="3451" w:name="_Toc454399331"/>
      <w:bookmarkStart w:id="3452" w:name="_Toc454459107"/>
      <w:bookmarkStart w:id="3453" w:name="_Toc454464830"/>
      <w:bookmarkStart w:id="3454" w:name="_Toc454780207"/>
      <w:bookmarkStart w:id="3455" w:name="_Toc455152849"/>
      <w:bookmarkStart w:id="3456" w:name="_Toc455156577"/>
      <w:bookmarkStart w:id="3457" w:name="_Toc455164028"/>
      <w:bookmarkStart w:id="3458" w:name="_Toc455167753"/>
      <w:bookmarkStart w:id="3459" w:name="_Toc449108906"/>
      <w:bookmarkStart w:id="3460" w:name="_Toc452557228"/>
      <w:bookmarkStart w:id="3461" w:name="_Toc452561910"/>
      <w:bookmarkStart w:id="3462" w:name="_Toc454275851"/>
      <w:bookmarkStart w:id="3463" w:name="_Toc454285497"/>
      <w:bookmarkStart w:id="3464" w:name="_Toc454382413"/>
      <w:bookmarkStart w:id="3465" w:name="_Toc454391358"/>
      <w:bookmarkStart w:id="3466" w:name="_Toc454399332"/>
      <w:bookmarkStart w:id="3467" w:name="_Toc454459108"/>
      <w:bookmarkStart w:id="3468" w:name="_Toc454464831"/>
      <w:bookmarkStart w:id="3469" w:name="_Toc454780208"/>
      <w:bookmarkStart w:id="3470" w:name="_Toc455152850"/>
      <w:bookmarkStart w:id="3471" w:name="_Toc455156578"/>
      <w:bookmarkStart w:id="3472" w:name="_Toc455164029"/>
      <w:bookmarkStart w:id="3473" w:name="_Toc455167754"/>
      <w:bookmarkStart w:id="3474" w:name="_Toc449108907"/>
      <w:bookmarkStart w:id="3475" w:name="_Toc452557229"/>
      <w:bookmarkStart w:id="3476" w:name="_Toc452561911"/>
      <w:bookmarkStart w:id="3477" w:name="_Toc454275852"/>
      <w:bookmarkStart w:id="3478" w:name="_Toc454285498"/>
      <w:bookmarkStart w:id="3479" w:name="_Toc454382414"/>
      <w:bookmarkStart w:id="3480" w:name="_Toc454391359"/>
      <w:bookmarkStart w:id="3481" w:name="_Toc454399333"/>
      <w:bookmarkStart w:id="3482" w:name="_Toc454459109"/>
      <w:bookmarkStart w:id="3483" w:name="_Toc454464832"/>
      <w:bookmarkStart w:id="3484" w:name="_Toc454780209"/>
      <w:bookmarkStart w:id="3485" w:name="_Toc455152851"/>
      <w:bookmarkStart w:id="3486" w:name="_Toc455156579"/>
      <w:bookmarkStart w:id="3487" w:name="_Toc455164030"/>
      <w:bookmarkStart w:id="3488" w:name="_Toc455167755"/>
      <w:bookmarkStart w:id="3489" w:name="_Toc449108908"/>
      <w:bookmarkStart w:id="3490" w:name="_Toc452557230"/>
      <w:bookmarkStart w:id="3491" w:name="_Toc452561912"/>
      <w:bookmarkStart w:id="3492" w:name="_Toc454275853"/>
      <w:bookmarkStart w:id="3493" w:name="_Toc454285499"/>
      <w:bookmarkStart w:id="3494" w:name="_Toc454382415"/>
      <w:bookmarkStart w:id="3495" w:name="_Toc454391360"/>
      <w:bookmarkStart w:id="3496" w:name="_Toc454399334"/>
      <w:bookmarkStart w:id="3497" w:name="_Toc454459110"/>
      <w:bookmarkStart w:id="3498" w:name="_Toc454464833"/>
      <w:bookmarkStart w:id="3499" w:name="_Toc454780210"/>
      <w:bookmarkStart w:id="3500" w:name="_Toc455152852"/>
      <w:bookmarkStart w:id="3501" w:name="_Toc455156580"/>
      <w:bookmarkStart w:id="3502" w:name="_Toc455164031"/>
      <w:bookmarkStart w:id="3503" w:name="_Toc455167756"/>
      <w:bookmarkStart w:id="3504" w:name="_Toc449108909"/>
      <w:bookmarkStart w:id="3505" w:name="_Toc452557231"/>
      <w:bookmarkStart w:id="3506" w:name="_Toc452561913"/>
      <w:bookmarkStart w:id="3507" w:name="_Toc454275854"/>
      <w:bookmarkStart w:id="3508" w:name="_Toc454285500"/>
      <w:bookmarkStart w:id="3509" w:name="_Toc454382416"/>
      <w:bookmarkStart w:id="3510" w:name="_Toc454391361"/>
      <w:bookmarkStart w:id="3511" w:name="_Toc454399335"/>
      <w:bookmarkStart w:id="3512" w:name="_Toc454459111"/>
      <w:bookmarkStart w:id="3513" w:name="_Toc454464834"/>
      <w:bookmarkStart w:id="3514" w:name="_Toc454780211"/>
      <w:bookmarkStart w:id="3515" w:name="_Toc455152853"/>
      <w:bookmarkStart w:id="3516" w:name="_Toc455156581"/>
      <w:bookmarkStart w:id="3517" w:name="_Toc455164032"/>
      <w:bookmarkStart w:id="3518" w:name="_Toc455167757"/>
      <w:bookmarkStart w:id="3519" w:name="_Toc449108910"/>
      <w:bookmarkStart w:id="3520" w:name="_Toc452557232"/>
      <w:bookmarkStart w:id="3521" w:name="_Toc452561914"/>
      <w:bookmarkStart w:id="3522" w:name="_Toc454275855"/>
      <w:bookmarkStart w:id="3523" w:name="_Toc454285501"/>
      <w:bookmarkStart w:id="3524" w:name="_Toc454382417"/>
      <w:bookmarkStart w:id="3525" w:name="_Toc454391362"/>
      <w:bookmarkStart w:id="3526" w:name="_Toc454399336"/>
      <w:bookmarkStart w:id="3527" w:name="_Toc454459112"/>
      <w:bookmarkStart w:id="3528" w:name="_Toc454464835"/>
      <w:bookmarkStart w:id="3529" w:name="_Toc454780212"/>
      <w:bookmarkStart w:id="3530" w:name="_Toc455152854"/>
      <w:bookmarkStart w:id="3531" w:name="_Toc455156582"/>
      <w:bookmarkStart w:id="3532" w:name="_Toc455164033"/>
      <w:bookmarkStart w:id="3533" w:name="_Toc455167758"/>
      <w:bookmarkStart w:id="3534" w:name="_Toc449108911"/>
      <w:bookmarkStart w:id="3535" w:name="_Toc452557233"/>
      <w:bookmarkStart w:id="3536" w:name="_Toc452561915"/>
      <w:bookmarkStart w:id="3537" w:name="_Toc454275856"/>
      <w:bookmarkStart w:id="3538" w:name="_Toc454285502"/>
      <w:bookmarkStart w:id="3539" w:name="_Toc454382418"/>
      <w:bookmarkStart w:id="3540" w:name="_Toc454391363"/>
      <w:bookmarkStart w:id="3541" w:name="_Toc454399337"/>
      <w:bookmarkStart w:id="3542" w:name="_Toc454459113"/>
      <w:bookmarkStart w:id="3543" w:name="_Toc454464836"/>
      <w:bookmarkStart w:id="3544" w:name="_Toc454780213"/>
      <w:bookmarkStart w:id="3545" w:name="_Toc455152855"/>
      <w:bookmarkStart w:id="3546" w:name="_Toc455156583"/>
      <w:bookmarkStart w:id="3547" w:name="_Toc455164034"/>
      <w:bookmarkStart w:id="3548" w:name="_Toc455167759"/>
      <w:bookmarkStart w:id="3549" w:name="_Toc449108912"/>
      <w:bookmarkStart w:id="3550" w:name="_Toc452557234"/>
      <w:bookmarkStart w:id="3551" w:name="_Toc452561916"/>
      <w:bookmarkStart w:id="3552" w:name="_Toc454275857"/>
      <w:bookmarkStart w:id="3553" w:name="_Toc454285503"/>
      <w:bookmarkStart w:id="3554" w:name="_Toc454382419"/>
      <w:bookmarkStart w:id="3555" w:name="_Toc454391364"/>
      <w:bookmarkStart w:id="3556" w:name="_Toc454399338"/>
      <w:bookmarkStart w:id="3557" w:name="_Toc454459114"/>
      <w:bookmarkStart w:id="3558" w:name="_Toc454464837"/>
      <w:bookmarkStart w:id="3559" w:name="_Toc454780214"/>
      <w:bookmarkStart w:id="3560" w:name="_Toc455152856"/>
      <w:bookmarkStart w:id="3561" w:name="_Toc455156584"/>
      <w:bookmarkStart w:id="3562" w:name="_Toc455164035"/>
      <w:bookmarkStart w:id="3563" w:name="_Toc455167760"/>
      <w:bookmarkStart w:id="3564" w:name="_Toc449108985"/>
      <w:bookmarkStart w:id="3565" w:name="_Toc452557307"/>
      <w:bookmarkStart w:id="3566" w:name="_Toc452561989"/>
      <w:bookmarkStart w:id="3567" w:name="_Toc454275930"/>
      <w:bookmarkStart w:id="3568" w:name="_Toc454285576"/>
      <w:bookmarkStart w:id="3569" w:name="_Toc454382492"/>
      <w:bookmarkStart w:id="3570" w:name="_Toc454391437"/>
      <w:bookmarkStart w:id="3571" w:name="_Toc454399411"/>
      <w:bookmarkStart w:id="3572" w:name="_Toc454459187"/>
      <w:bookmarkStart w:id="3573" w:name="_Toc454464910"/>
      <w:bookmarkStart w:id="3574" w:name="_Toc454780287"/>
      <w:bookmarkStart w:id="3575" w:name="_Toc455152929"/>
      <w:bookmarkStart w:id="3576" w:name="_Toc455156657"/>
      <w:bookmarkStart w:id="3577" w:name="_Toc455164108"/>
      <w:bookmarkStart w:id="3578" w:name="_Toc455167833"/>
      <w:bookmarkStart w:id="3579" w:name="_Toc90625120"/>
      <w:bookmarkStart w:id="3580" w:name="_Toc91455327"/>
      <w:bookmarkStart w:id="3581" w:name="_Toc101684500"/>
      <w:bookmarkStart w:id="3582" w:name="_Toc380356300"/>
      <w:bookmarkStart w:id="3583" w:name="_Toc380570992"/>
      <w:bookmarkStart w:id="3584" w:name="_Toc454391438"/>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r>
        <w:rPr>
          <w:rFonts w:ascii="Times New Roman" w:hAnsi="Times New Roman"/>
        </w:rPr>
        <w:t>E02-1</w:t>
      </w:r>
      <w:r>
        <w:rPr>
          <w:rFonts w:ascii="Times New Roman" w:hAnsi="Times New Roman" w:hint="eastAsia"/>
        </w:rPr>
        <w:t>表：境外建设项目概览表</w:t>
      </w:r>
      <w:bookmarkEnd w:id="3579"/>
      <w:bookmarkEnd w:id="3580"/>
      <w:bookmarkEnd w:id="3581"/>
    </w:p>
    <w:p w14:paraId="417B17CA" w14:textId="77777777" w:rsidR="00A052DC" w:rsidRDefault="009F0A60" w:rsidP="0020251D">
      <w:pPr>
        <w:pStyle w:val="4"/>
        <w:numPr>
          <w:ilvl w:val="3"/>
          <w:numId w:val="1"/>
        </w:numPr>
        <w:jc w:val="left"/>
      </w:pPr>
      <w:r>
        <w:rPr>
          <w:rFonts w:hint="eastAsia"/>
        </w:rPr>
        <w:t>数据术语解释</w:t>
      </w:r>
    </w:p>
    <w:tbl>
      <w:tblPr>
        <w:tblW w:w="861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78"/>
        <w:gridCol w:w="7035"/>
      </w:tblGrid>
      <w:tr w:rsidR="00A052DC" w14:paraId="4A0E098B" w14:textId="77777777">
        <w:tc>
          <w:tcPr>
            <w:tcW w:w="1578" w:type="dxa"/>
          </w:tcPr>
          <w:p w14:paraId="2A4C6D43" w14:textId="77777777" w:rsidR="00A052DC" w:rsidRDefault="009F0A60">
            <w:pPr>
              <w:pStyle w:val="B1"/>
            </w:pPr>
            <w:r>
              <w:rPr>
                <w:rFonts w:hint="eastAsia"/>
              </w:rPr>
              <w:t>基础数据项</w:t>
            </w:r>
          </w:p>
        </w:tc>
        <w:tc>
          <w:tcPr>
            <w:tcW w:w="7035" w:type="dxa"/>
          </w:tcPr>
          <w:p w14:paraId="510864C0" w14:textId="77777777" w:rsidR="00A052DC" w:rsidRDefault="009F0A60">
            <w:pPr>
              <w:pStyle w:val="B1"/>
            </w:pPr>
            <w:r>
              <w:rPr>
                <w:rFonts w:hint="eastAsia"/>
              </w:rPr>
              <w:t>定义</w:t>
            </w:r>
          </w:p>
        </w:tc>
      </w:tr>
      <w:tr w:rsidR="00A052DC" w14:paraId="4E8DC0F6" w14:textId="77777777">
        <w:tc>
          <w:tcPr>
            <w:tcW w:w="1578" w:type="dxa"/>
          </w:tcPr>
          <w:p w14:paraId="1790F3A3" w14:textId="77777777" w:rsidR="00A052DC" w:rsidRDefault="009F0A60">
            <w:pPr>
              <w:pStyle w:val="B1"/>
              <w:jc w:val="left"/>
              <w:rPr>
                <w:b w:val="0"/>
              </w:rPr>
            </w:pPr>
            <w:r>
              <w:rPr>
                <w:rFonts w:cs="黑体" w:hint="eastAsia"/>
                <w:b w:val="0"/>
              </w:rPr>
              <w:t>数据自编码</w:t>
            </w:r>
          </w:p>
        </w:tc>
        <w:tc>
          <w:tcPr>
            <w:tcW w:w="7035" w:type="dxa"/>
          </w:tcPr>
          <w:p w14:paraId="2EDF7B66" w14:textId="77777777" w:rsidR="00A052DC" w:rsidRDefault="009F0A60">
            <w:pPr>
              <w:pStyle w:val="B1"/>
              <w:jc w:val="left"/>
              <w:rPr>
                <w:b w:val="0"/>
              </w:rPr>
            </w:pPr>
            <w:r>
              <w:rPr>
                <w:rFonts w:cs="黑体" w:hint="eastAsia"/>
                <w:b w:val="0"/>
              </w:rPr>
              <w:t>该编码用于标识金融机构报送的每一条数据，按给定规则编码，便于进行增删改查等操作。建议规则：机构代码（</w:t>
            </w:r>
            <w:r>
              <w:rPr>
                <w:rFonts w:cs="黑体"/>
                <w:b w:val="0"/>
              </w:rPr>
              <w:t>18位，不足18位补a</w:t>
            </w:r>
            <w:r>
              <w:rPr>
                <w:rFonts w:cs="黑体" w:hint="eastAsia"/>
                <w:b w:val="0"/>
              </w:rPr>
              <w:t>）</w:t>
            </w:r>
            <w:r>
              <w:rPr>
                <w:rFonts w:cs="黑体"/>
                <w:b w:val="0"/>
              </w:rPr>
              <w:t>+</w:t>
            </w:r>
            <w:r>
              <w:rPr>
                <w:rFonts w:cs="黑体" w:hint="eastAsia"/>
                <w:b w:val="0"/>
              </w:rPr>
              <w:t>报表代码（</w:t>
            </w:r>
            <w:r>
              <w:rPr>
                <w:rFonts w:cs="黑体"/>
                <w:b w:val="0"/>
              </w:rPr>
              <w:t>5</w:t>
            </w:r>
            <w:r>
              <w:rPr>
                <w:rFonts w:cs="黑体" w:hint="eastAsia"/>
                <w:b w:val="0"/>
              </w:rPr>
              <w:t>位，不足</w:t>
            </w:r>
            <w:r>
              <w:rPr>
                <w:rFonts w:cs="黑体"/>
                <w:b w:val="0"/>
              </w:rPr>
              <w:t>5</w:t>
            </w:r>
            <w:r>
              <w:rPr>
                <w:rFonts w:cs="黑体" w:hint="eastAsia"/>
                <w:b w:val="0"/>
              </w:rPr>
              <w:t>位补</w:t>
            </w:r>
            <w:r>
              <w:rPr>
                <w:rFonts w:cs="黑体"/>
                <w:b w:val="0"/>
              </w:rPr>
              <w:t>a</w:t>
            </w:r>
            <w:r>
              <w:rPr>
                <w:rFonts w:cs="黑体" w:hint="eastAsia"/>
                <w:b w:val="0"/>
              </w:rPr>
              <w:t>）</w:t>
            </w:r>
            <w:r>
              <w:rPr>
                <w:rFonts w:cs="黑体"/>
                <w:b w:val="0"/>
              </w:rPr>
              <w:t>+</w:t>
            </w:r>
            <w:r>
              <w:rPr>
                <w:rFonts w:cs="黑体" w:hint="eastAsia"/>
                <w:b w:val="0"/>
              </w:rPr>
              <w:t>报送期（</w:t>
            </w:r>
            <w:r>
              <w:rPr>
                <w:rFonts w:cs="黑体"/>
                <w:b w:val="0"/>
              </w:rPr>
              <w:t>6</w:t>
            </w:r>
            <w:r>
              <w:rPr>
                <w:rFonts w:cs="黑体" w:hint="eastAsia"/>
                <w:b w:val="0"/>
              </w:rPr>
              <w:t>位）</w:t>
            </w:r>
            <w:r>
              <w:rPr>
                <w:rFonts w:cs="黑体"/>
                <w:b w:val="0"/>
              </w:rPr>
              <w:t>+</w:t>
            </w:r>
            <w:r>
              <w:rPr>
                <w:rFonts w:cs="黑体" w:hint="eastAsia"/>
                <w:b w:val="0"/>
              </w:rPr>
              <w:t>顺序号（</w:t>
            </w:r>
            <w:r>
              <w:rPr>
                <w:rFonts w:cs="黑体"/>
                <w:b w:val="0"/>
              </w:rPr>
              <w:t>7</w:t>
            </w:r>
            <w:r>
              <w:rPr>
                <w:rFonts w:cs="黑体" w:hint="eastAsia"/>
                <w:b w:val="0"/>
              </w:rPr>
              <w:t>位，从</w:t>
            </w:r>
            <w:r>
              <w:rPr>
                <w:rFonts w:cs="黑体"/>
                <w:b w:val="0"/>
              </w:rPr>
              <w:t>0000001</w:t>
            </w:r>
            <w:r>
              <w:rPr>
                <w:rFonts w:cs="黑体" w:hint="eastAsia"/>
                <w:b w:val="0"/>
              </w:rPr>
              <w:t>开始增加）。</w:t>
            </w:r>
          </w:p>
        </w:tc>
      </w:tr>
      <w:tr w:rsidR="00A052DC" w14:paraId="7D4D6F3F" w14:textId="77777777">
        <w:tc>
          <w:tcPr>
            <w:tcW w:w="1578" w:type="dxa"/>
          </w:tcPr>
          <w:p w14:paraId="2F306D18" w14:textId="77777777" w:rsidR="00A052DC" w:rsidRDefault="009F0A60">
            <w:pPr>
              <w:pStyle w:val="B1"/>
              <w:jc w:val="left"/>
              <w:rPr>
                <w:b w:val="0"/>
              </w:rPr>
            </w:pPr>
            <w:r>
              <w:rPr>
                <w:rFonts w:cs="黑体" w:hint="eastAsia"/>
                <w:b w:val="0"/>
              </w:rPr>
              <w:t>申报主体代码</w:t>
            </w:r>
          </w:p>
        </w:tc>
        <w:tc>
          <w:tcPr>
            <w:tcW w:w="7035" w:type="dxa"/>
          </w:tcPr>
          <w:p w14:paraId="6FD5EF62" w14:textId="77777777" w:rsidR="00A052DC" w:rsidRDefault="009F0A60">
            <w:pPr>
              <w:pStyle w:val="B1"/>
              <w:jc w:val="left"/>
              <w:rPr>
                <w:b w:val="0"/>
              </w:rPr>
            </w:pPr>
            <w:r>
              <w:rPr>
                <w:rFonts w:cs="黑体" w:hint="eastAsia"/>
                <w:b w:val="0"/>
              </w:rPr>
              <w:t>申报主体的</w:t>
            </w:r>
            <w:r>
              <w:rPr>
                <w:rFonts w:cs="黑体"/>
                <w:b w:val="0"/>
              </w:rPr>
              <w:t>12位金融机构标识码，如果没有金融机构标识码，则填报统一社会信用代码法定载体（如营业执照）上统一社会信用代码中的第9至17位或国家外汇管理局及其分支局签发的特殊机构代码赋码通知书上的机构代码、个人身份代码。</w:t>
            </w:r>
          </w:p>
        </w:tc>
      </w:tr>
      <w:tr w:rsidR="00A052DC" w14:paraId="4E6DA85A" w14:textId="77777777">
        <w:tc>
          <w:tcPr>
            <w:tcW w:w="1578" w:type="dxa"/>
          </w:tcPr>
          <w:p w14:paraId="1EB1AC6A" w14:textId="77777777" w:rsidR="00A052DC" w:rsidRDefault="009F0A60">
            <w:pPr>
              <w:pStyle w:val="B1"/>
              <w:jc w:val="left"/>
              <w:rPr>
                <w:b w:val="0"/>
              </w:rPr>
            </w:pPr>
            <w:r>
              <w:rPr>
                <w:rFonts w:cs="黑体" w:hint="eastAsia"/>
                <w:b w:val="0"/>
              </w:rPr>
              <w:t>报告期</w:t>
            </w:r>
          </w:p>
        </w:tc>
        <w:tc>
          <w:tcPr>
            <w:tcW w:w="7035" w:type="dxa"/>
          </w:tcPr>
          <w:p w14:paraId="213020F9" w14:textId="77777777" w:rsidR="00A052DC" w:rsidRDefault="009F0A60">
            <w:pPr>
              <w:pStyle w:val="B1"/>
              <w:jc w:val="left"/>
              <w:rPr>
                <w:b w:val="0"/>
              </w:rPr>
            </w:pPr>
            <w:r>
              <w:rPr>
                <w:rFonts w:cs="黑体" w:hint="eastAsia"/>
                <w:b w:val="0"/>
              </w:rPr>
              <w:t>业务发生月份，格式为</w:t>
            </w:r>
            <w:r>
              <w:rPr>
                <w:rFonts w:cs="黑体"/>
                <w:b w:val="0"/>
              </w:rPr>
              <w:t>YYYYMM</w:t>
            </w:r>
            <w:r>
              <w:rPr>
                <w:rFonts w:cs="黑体" w:hint="eastAsia"/>
                <w:b w:val="0"/>
              </w:rPr>
              <w:t>。</w:t>
            </w:r>
          </w:p>
        </w:tc>
      </w:tr>
      <w:tr w:rsidR="00A052DC" w14:paraId="1AF7A33C" w14:textId="77777777">
        <w:tc>
          <w:tcPr>
            <w:tcW w:w="1578" w:type="dxa"/>
          </w:tcPr>
          <w:p w14:paraId="5FE071DD" w14:textId="77777777" w:rsidR="00A052DC" w:rsidRDefault="009F0A60">
            <w:pPr>
              <w:pStyle w:val="B1"/>
              <w:jc w:val="left"/>
            </w:pPr>
            <w:r>
              <w:rPr>
                <w:b w:val="0"/>
              </w:rPr>
              <w:t>境外项目代码</w:t>
            </w:r>
          </w:p>
        </w:tc>
        <w:tc>
          <w:tcPr>
            <w:tcW w:w="7035" w:type="dxa"/>
          </w:tcPr>
          <w:p w14:paraId="407D1E13" w14:textId="77777777" w:rsidR="00A052DC" w:rsidRDefault="009F0A60">
            <w:pPr>
              <w:pStyle w:val="B1"/>
              <w:jc w:val="left"/>
            </w:pPr>
            <w:r>
              <w:rPr>
                <w:b w:val="0"/>
              </w:rPr>
              <w:t>可以唯一标识境外项目的代码，</w:t>
            </w:r>
            <w:r>
              <w:rPr>
                <w:rFonts w:cs="黑体" w:hint="eastAsia"/>
                <w:b w:val="0"/>
                <w:color w:val="000000"/>
              </w:rPr>
              <w:t>可填列申报主体内部使用的唯一代码（如“统一社会信用代码的第</w:t>
            </w:r>
            <w:r>
              <w:rPr>
                <w:rFonts w:cs="黑体"/>
                <w:b w:val="0"/>
                <w:color w:val="000000"/>
              </w:rPr>
              <w:t>9-17位+公司内部合同号码”）</w:t>
            </w:r>
            <w:r>
              <w:rPr>
                <w:b w:val="0"/>
              </w:rPr>
              <w:t>。</w:t>
            </w:r>
          </w:p>
        </w:tc>
      </w:tr>
      <w:tr w:rsidR="00A052DC" w14:paraId="66AD83B2" w14:textId="77777777">
        <w:tc>
          <w:tcPr>
            <w:tcW w:w="1578" w:type="dxa"/>
          </w:tcPr>
          <w:p w14:paraId="293DF097" w14:textId="77777777" w:rsidR="00A052DC" w:rsidRDefault="009F0A60">
            <w:pPr>
              <w:pStyle w:val="B1"/>
              <w:jc w:val="left"/>
            </w:pPr>
            <w:r>
              <w:rPr>
                <w:b w:val="0"/>
              </w:rPr>
              <w:t>境外项目全称</w:t>
            </w:r>
          </w:p>
        </w:tc>
        <w:tc>
          <w:tcPr>
            <w:tcW w:w="7035" w:type="dxa"/>
          </w:tcPr>
          <w:p w14:paraId="4843A8BF" w14:textId="77777777" w:rsidR="00A052DC" w:rsidRDefault="009F0A60">
            <w:pPr>
              <w:pStyle w:val="B1"/>
              <w:jc w:val="left"/>
            </w:pPr>
            <w:r>
              <w:rPr>
                <w:b w:val="0"/>
              </w:rPr>
              <w:t>境外项目的中文名称或当地注册的英文名称。</w:t>
            </w:r>
          </w:p>
        </w:tc>
      </w:tr>
      <w:tr w:rsidR="00A052DC" w14:paraId="0C2A686D" w14:textId="77777777">
        <w:tc>
          <w:tcPr>
            <w:tcW w:w="1578" w:type="dxa"/>
          </w:tcPr>
          <w:p w14:paraId="29A23B7A" w14:textId="77777777" w:rsidR="00A052DC" w:rsidRDefault="009F0A60">
            <w:pPr>
              <w:pStyle w:val="B1"/>
              <w:jc w:val="left"/>
            </w:pPr>
            <w:r>
              <w:rPr>
                <w:b w:val="0"/>
              </w:rPr>
              <w:t>境外项目所</w:t>
            </w:r>
            <w:r>
              <w:rPr>
                <w:rFonts w:hint="eastAsia"/>
                <w:b w:val="0"/>
              </w:rPr>
              <w:t>在</w:t>
            </w:r>
            <w:r>
              <w:rPr>
                <w:b w:val="0"/>
              </w:rPr>
              <w:t>国家/地区</w:t>
            </w:r>
          </w:p>
        </w:tc>
        <w:tc>
          <w:tcPr>
            <w:tcW w:w="7035" w:type="dxa"/>
          </w:tcPr>
          <w:p w14:paraId="4FD07BCE" w14:textId="77777777" w:rsidR="00A052DC" w:rsidRDefault="009F0A60">
            <w:pPr>
              <w:pStyle w:val="B1"/>
              <w:jc w:val="left"/>
            </w:pPr>
            <w:r>
              <w:rPr>
                <w:b w:val="0"/>
              </w:rPr>
              <w:t>境外项目注册登记的国家或地区。</w:t>
            </w:r>
            <w:r>
              <w:rPr>
                <w:rFonts w:cs="黑体" w:hint="eastAsia"/>
                <w:b w:val="0"/>
                <w:color w:val="000000"/>
              </w:rPr>
              <w:t>参见国家和地区代码表的</w:t>
            </w:r>
            <w:r>
              <w:rPr>
                <w:rFonts w:cs="黑体"/>
                <w:b w:val="0"/>
                <w:color w:val="000000"/>
              </w:rPr>
              <w:t>3位字母代码。</w:t>
            </w:r>
          </w:p>
        </w:tc>
      </w:tr>
      <w:tr w:rsidR="00A052DC" w14:paraId="64928C01" w14:textId="77777777">
        <w:tc>
          <w:tcPr>
            <w:tcW w:w="1578" w:type="dxa"/>
          </w:tcPr>
          <w:p w14:paraId="51F4E83A" w14:textId="77777777" w:rsidR="00A052DC" w:rsidRDefault="009F0A60">
            <w:pPr>
              <w:pStyle w:val="B1"/>
              <w:jc w:val="left"/>
            </w:pPr>
            <w:r>
              <w:rPr>
                <w:rFonts w:hint="eastAsia"/>
                <w:b w:val="0"/>
              </w:rPr>
              <w:t>项目类型</w:t>
            </w:r>
          </w:p>
        </w:tc>
        <w:tc>
          <w:tcPr>
            <w:tcW w:w="7035" w:type="dxa"/>
          </w:tcPr>
          <w:p w14:paraId="3B7DCF9D" w14:textId="77777777" w:rsidR="00A052DC" w:rsidRDefault="009F0A60">
            <w:pPr>
              <w:pStyle w:val="B1"/>
              <w:jc w:val="left"/>
            </w:pPr>
            <w:r>
              <w:rPr>
                <w:rFonts w:hint="eastAsia"/>
                <w:b w:val="0"/>
              </w:rPr>
              <w:t>按以下类型填列：</w:t>
            </w:r>
            <w:r>
              <w:rPr>
                <w:rFonts w:cs="黑体"/>
                <w:b w:val="0"/>
                <w:color w:val="000000"/>
              </w:rPr>
              <w:t>1-</w:t>
            </w:r>
            <w:r>
              <w:rPr>
                <w:rFonts w:hint="eastAsia"/>
                <w:b w:val="0"/>
              </w:rPr>
              <w:t>自主建设项目</w:t>
            </w:r>
            <w:r>
              <w:rPr>
                <w:rFonts w:cs="黑体"/>
                <w:b w:val="0"/>
                <w:color w:val="000000"/>
              </w:rPr>
              <w:t>；2-</w:t>
            </w:r>
            <w:r>
              <w:rPr>
                <w:rFonts w:hint="eastAsia"/>
                <w:b w:val="0"/>
              </w:rPr>
              <w:t>援建项目。</w:t>
            </w:r>
          </w:p>
        </w:tc>
      </w:tr>
      <w:tr w:rsidR="00A052DC" w14:paraId="57E439AF" w14:textId="77777777">
        <w:tc>
          <w:tcPr>
            <w:tcW w:w="1578" w:type="dxa"/>
          </w:tcPr>
          <w:p w14:paraId="6511F7A0" w14:textId="77777777" w:rsidR="00A052DC" w:rsidRDefault="009F0A60">
            <w:pPr>
              <w:pStyle w:val="B1"/>
              <w:jc w:val="left"/>
            </w:pPr>
            <w:r>
              <w:rPr>
                <w:rFonts w:hint="eastAsia"/>
                <w:b w:val="0"/>
              </w:rPr>
              <w:t>签约主体类型</w:t>
            </w:r>
          </w:p>
        </w:tc>
        <w:tc>
          <w:tcPr>
            <w:tcW w:w="7035" w:type="dxa"/>
          </w:tcPr>
          <w:p w14:paraId="7D55993A" w14:textId="77777777" w:rsidR="00A052DC" w:rsidRDefault="009F0A60">
            <w:pPr>
              <w:pStyle w:val="B1"/>
              <w:jc w:val="left"/>
            </w:pPr>
            <w:r>
              <w:rPr>
                <w:b w:val="0"/>
              </w:rPr>
              <w:t>指</w:t>
            </w:r>
            <w:r>
              <w:rPr>
                <w:rFonts w:hint="eastAsia"/>
                <w:b w:val="0"/>
              </w:rPr>
              <w:t>与非居民</w:t>
            </w:r>
            <w:r>
              <w:rPr>
                <w:b w:val="0"/>
              </w:rPr>
              <w:t>签订境外建设项目合同的机构实体是申报主体的：1</w:t>
            </w:r>
            <w:r>
              <w:rPr>
                <w:rFonts w:cs="黑体"/>
                <w:b w:val="0"/>
                <w:color w:val="000000"/>
              </w:rPr>
              <w:t>-</w:t>
            </w:r>
            <w:r>
              <w:rPr>
                <w:rFonts w:hint="eastAsia"/>
                <w:b w:val="0"/>
              </w:rPr>
              <w:t>申报主体自身（设立项目办公室单独核算）</w:t>
            </w:r>
            <w:r>
              <w:rPr>
                <w:b w:val="0"/>
              </w:rPr>
              <w:t>；2</w:t>
            </w:r>
            <w:r>
              <w:rPr>
                <w:rFonts w:cs="黑体"/>
                <w:b w:val="0"/>
                <w:color w:val="000000"/>
              </w:rPr>
              <w:t>-</w:t>
            </w:r>
            <w:r>
              <w:rPr>
                <w:rFonts w:hint="eastAsia"/>
                <w:b w:val="0"/>
              </w:rPr>
              <w:t>申报主体自身（未设立项目办公室）；</w:t>
            </w:r>
            <w:r>
              <w:rPr>
                <w:b w:val="0"/>
              </w:rPr>
              <w:t>3</w:t>
            </w:r>
            <w:r>
              <w:rPr>
                <w:rFonts w:cs="黑体"/>
                <w:b w:val="0"/>
                <w:color w:val="000000"/>
              </w:rPr>
              <w:t>-</w:t>
            </w:r>
            <w:r>
              <w:rPr>
                <w:b w:val="0"/>
              </w:rPr>
              <w:t>境外分支机构（非法人机构）</w:t>
            </w:r>
            <w:r>
              <w:rPr>
                <w:rFonts w:hint="eastAsia"/>
                <w:b w:val="0"/>
              </w:rPr>
              <w:t>；</w:t>
            </w:r>
            <w:r>
              <w:rPr>
                <w:b w:val="0"/>
              </w:rPr>
              <w:t>4</w:t>
            </w:r>
            <w:r>
              <w:rPr>
                <w:rFonts w:cs="黑体"/>
                <w:b w:val="0"/>
                <w:color w:val="000000"/>
              </w:rPr>
              <w:t>-</w:t>
            </w:r>
            <w:r>
              <w:rPr>
                <w:b w:val="0"/>
              </w:rPr>
              <w:t>境外子机构（法人机构）（申报主体持有表决权＞50%）；5</w:t>
            </w:r>
            <w:r>
              <w:rPr>
                <w:rFonts w:cs="黑体"/>
                <w:b w:val="0"/>
                <w:color w:val="000000"/>
              </w:rPr>
              <w:t>-</w:t>
            </w:r>
            <w:r>
              <w:rPr>
                <w:b w:val="0"/>
              </w:rPr>
              <w:t>境外联营或合营机构（法人）（申报主体持有表决权≥10%，但≤50%）；6</w:t>
            </w:r>
            <w:r>
              <w:rPr>
                <w:rFonts w:cs="黑体"/>
                <w:b w:val="0"/>
                <w:color w:val="000000"/>
              </w:rPr>
              <w:t>-</w:t>
            </w:r>
            <w:r>
              <w:rPr>
                <w:rFonts w:hint="eastAsia"/>
                <w:b w:val="0"/>
              </w:rPr>
              <w:t>境内总承包企业</w:t>
            </w:r>
            <w:r>
              <w:rPr>
                <w:b w:val="0"/>
              </w:rPr>
              <w:t>。</w:t>
            </w:r>
            <w:r>
              <w:rPr>
                <w:rFonts w:hint="eastAsia"/>
                <w:b w:val="0"/>
              </w:rPr>
              <w:t>仅当申报主体为境内分包企业时，可选择</w:t>
            </w:r>
            <w:r>
              <w:rPr>
                <w:b w:val="0"/>
              </w:rPr>
              <w:t>6。此项目如选择3或4或5，则填写A系列报表，不填写境外建设统计表（E02-2表）。</w:t>
            </w:r>
          </w:p>
        </w:tc>
      </w:tr>
      <w:tr w:rsidR="00A052DC" w14:paraId="5C6D12CB" w14:textId="77777777">
        <w:tc>
          <w:tcPr>
            <w:tcW w:w="1578" w:type="dxa"/>
          </w:tcPr>
          <w:p w14:paraId="6985D2E7" w14:textId="77777777" w:rsidR="00A052DC" w:rsidRDefault="009F0A60">
            <w:pPr>
              <w:pStyle w:val="B1"/>
              <w:jc w:val="left"/>
            </w:pPr>
            <w:r>
              <w:rPr>
                <w:rFonts w:hint="eastAsia"/>
                <w:b w:val="0"/>
              </w:rPr>
              <w:t>签约主体</w:t>
            </w:r>
            <w:r>
              <w:rPr>
                <w:b w:val="0"/>
              </w:rPr>
              <w:t>名称</w:t>
            </w:r>
          </w:p>
        </w:tc>
        <w:tc>
          <w:tcPr>
            <w:tcW w:w="7035" w:type="dxa"/>
          </w:tcPr>
          <w:p w14:paraId="4DF8CA13" w14:textId="77777777" w:rsidR="00A052DC" w:rsidRDefault="009F0A60">
            <w:pPr>
              <w:pStyle w:val="B1"/>
              <w:jc w:val="left"/>
            </w:pPr>
            <w:r>
              <w:rPr>
                <w:b w:val="0"/>
              </w:rPr>
              <w:t>填写</w:t>
            </w:r>
            <w:r>
              <w:rPr>
                <w:rFonts w:hint="eastAsia"/>
                <w:b w:val="0"/>
              </w:rPr>
              <w:t>与非居民</w:t>
            </w:r>
            <w:r>
              <w:rPr>
                <w:b w:val="0"/>
              </w:rPr>
              <w:t>签订境外建设项目合同的机构实体名称。</w:t>
            </w:r>
          </w:p>
        </w:tc>
      </w:tr>
      <w:tr w:rsidR="00A052DC" w14:paraId="075CEE0B" w14:textId="77777777">
        <w:tc>
          <w:tcPr>
            <w:tcW w:w="1578" w:type="dxa"/>
          </w:tcPr>
          <w:p w14:paraId="5F76D20E" w14:textId="77777777" w:rsidR="00A052DC" w:rsidRDefault="009F0A60">
            <w:pPr>
              <w:pStyle w:val="B1"/>
              <w:jc w:val="left"/>
            </w:pPr>
            <w:r>
              <w:rPr>
                <w:b w:val="0"/>
              </w:rPr>
              <w:t>合同签约</w:t>
            </w:r>
            <w:r>
              <w:rPr>
                <w:rFonts w:hint="eastAsia"/>
                <w:b w:val="0"/>
              </w:rPr>
              <w:t>币种</w:t>
            </w:r>
          </w:p>
        </w:tc>
        <w:tc>
          <w:tcPr>
            <w:tcW w:w="7035" w:type="dxa"/>
          </w:tcPr>
          <w:p w14:paraId="6C655AE5" w14:textId="77777777" w:rsidR="00A052DC" w:rsidRDefault="009F0A60">
            <w:pPr>
              <w:pStyle w:val="B1"/>
              <w:jc w:val="left"/>
            </w:pPr>
            <w:r>
              <w:rPr>
                <w:rFonts w:hint="eastAsia"/>
                <w:b w:val="0"/>
              </w:rPr>
              <w:t>申报主体签订的境外建设项目合同采用的计价币种。</w:t>
            </w:r>
          </w:p>
        </w:tc>
      </w:tr>
      <w:tr w:rsidR="00A052DC" w14:paraId="5E7BBE90" w14:textId="77777777">
        <w:tc>
          <w:tcPr>
            <w:tcW w:w="1578" w:type="dxa"/>
          </w:tcPr>
          <w:p w14:paraId="1324D060" w14:textId="77777777" w:rsidR="00A052DC" w:rsidRDefault="009F0A60">
            <w:pPr>
              <w:pStyle w:val="B1"/>
              <w:jc w:val="left"/>
            </w:pPr>
            <w:r>
              <w:rPr>
                <w:b w:val="0"/>
              </w:rPr>
              <w:t>合同签约金额</w:t>
            </w:r>
          </w:p>
        </w:tc>
        <w:tc>
          <w:tcPr>
            <w:tcW w:w="7035" w:type="dxa"/>
          </w:tcPr>
          <w:p w14:paraId="065AA515" w14:textId="77777777" w:rsidR="00A052DC" w:rsidRDefault="009F0A60">
            <w:pPr>
              <w:pStyle w:val="B1"/>
              <w:jc w:val="left"/>
            </w:pPr>
            <w:r>
              <w:rPr>
                <w:rFonts w:hint="eastAsia"/>
                <w:b w:val="0"/>
              </w:rPr>
              <w:t>申报主体签订的境外建设项目合同的初始金额</w:t>
            </w:r>
            <w:r>
              <w:rPr>
                <w:rFonts w:cs="黑体"/>
                <w:b w:val="0"/>
                <w:bCs/>
              </w:rPr>
              <w:t>，</w:t>
            </w:r>
            <w:r>
              <w:rPr>
                <w:rFonts w:cs="黑体" w:hint="eastAsia"/>
                <w:b w:val="0"/>
                <w:bCs/>
              </w:rPr>
              <w:t>若签订框架合同，可填写预估金额。</w:t>
            </w:r>
          </w:p>
        </w:tc>
      </w:tr>
      <w:tr w:rsidR="00A052DC" w14:paraId="40D606E7" w14:textId="77777777">
        <w:tc>
          <w:tcPr>
            <w:tcW w:w="1578" w:type="dxa"/>
          </w:tcPr>
          <w:p w14:paraId="4C4A9365" w14:textId="77777777" w:rsidR="00A052DC" w:rsidRDefault="009F0A60">
            <w:pPr>
              <w:pStyle w:val="B1"/>
              <w:jc w:val="left"/>
            </w:pPr>
            <w:r>
              <w:rPr>
                <w:b w:val="0"/>
              </w:rPr>
              <w:t>项目建设期限（</w:t>
            </w:r>
            <w:r>
              <w:rPr>
                <w:rFonts w:hint="eastAsia"/>
                <w:b w:val="0"/>
              </w:rPr>
              <w:t>月</w:t>
            </w:r>
            <w:r>
              <w:rPr>
                <w:b w:val="0"/>
              </w:rPr>
              <w:t>）</w:t>
            </w:r>
          </w:p>
        </w:tc>
        <w:tc>
          <w:tcPr>
            <w:tcW w:w="7035" w:type="dxa"/>
          </w:tcPr>
          <w:p w14:paraId="640577E9" w14:textId="77777777" w:rsidR="00A052DC" w:rsidRDefault="009F0A60">
            <w:pPr>
              <w:pStyle w:val="B1"/>
              <w:jc w:val="left"/>
            </w:pPr>
            <w:r>
              <w:rPr>
                <w:b w:val="0"/>
              </w:rPr>
              <w:t>合同</w:t>
            </w:r>
            <w:r>
              <w:rPr>
                <w:rFonts w:hint="eastAsia"/>
                <w:b w:val="0"/>
              </w:rPr>
              <w:t>签约时</w:t>
            </w:r>
            <w:r>
              <w:rPr>
                <w:b w:val="0"/>
              </w:rPr>
              <w:t>规定的项目建设所用期限</w:t>
            </w:r>
            <w:r>
              <w:rPr>
                <w:rFonts w:hint="eastAsia"/>
                <w:b w:val="0"/>
              </w:rPr>
              <w:t>，可填写预估期限</w:t>
            </w:r>
            <w:r>
              <w:rPr>
                <w:b w:val="0"/>
              </w:rPr>
              <w:t>。</w:t>
            </w:r>
          </w:p>
        </w:tc>
      </w:tr>
      <w:tr w:rsidR="00A052DC" w14:paraId="73AB1D18" w14:textId="77777777">
        <w:tc>
          <w:tcPr>
            <w:tcW w:w="1578" w:type="dxa"/>
          </w:tcPr>
          <w:p w14:paraId="6DD39CEA" w14:textId="77777777" w:rsidR="00A052DC" w:rsidRDefault="009F0A60">
            <w:pPr>
              <w:pStyle w:val="B1"/>
              <w:jc w:val="left"/>
            </w:pPr>
            <w:r>
              <w:rPr>
                <w:rFonts w:hint="eastAsia"/>
                <w:b w:val="0"/>
              </w:rPr>
              <w:t>是否存在分包</w:t>
            </w:r>
          </w:p>
        </w:tc>
        <w:tc>
          <w:tcPr>
            <w:tcW w:w="7035" w:type="dxa"/>
          </w:tcPr>
          <w:p w14:paraId="6A37A468" w14:textId="77777777" w:rsidR="00A052DC" w:rsidRDefault="009F0A60">
            <w:pPr>
              <w:pStyle w:val="B1"/>
              <w:jc w:val="left"/>
            </w:pPr>
            <w:r>
              <w:rPr>
                <w:rFonts w:hint="eastAsia"/>
                <w:b w:val="0"/>
              </w:rPr>
              <w:t>建设合同签约主体是否将项目分包给其他机构，</w:t>
            </w:r>
            <w:r>
              <w:rPr>
                <w:b w:val="0"/>
              </w:rPr>
              <w:t>1-</w:t>
            </w:r>
            <w:r>
              <w:rPr>
                <w:rFonts w:hint="eastAsia"/>
                <w:b w:val="0"/>
              </w:rPr>
              <w:t>是；</w:t>
            </w:r>
            <w:r>
              <w:rPr>
                <w:b w:val="0"/>
              </w:rPr>
              <w:t>2-</w:t>
            </w:r>
            <w:r>
              <w:rPr>
                <w:rFonts w:hint="eastAsia"/>
                <w:b w:val="0"/>
              </w:rPr>
              <w:t>否。</w:t>
            </w:r>
            <w:r>
              <w:rPr>
                <w:rFonts w:cs="黑体"/>
                <w:b w:val="0"/>
                <w:color w:val="000000"/>
              </w:rPr>
              <w:t>如选择2-否，则无需填写实际承包主体代码至实际承包主体类型三项。</w:t>
            </w:r>
          </w:p>
        </w:tc>
      </w:tr>
      <w:tr w:rsidR="00A052DC" w14:paraId="04C5CA64" w14:textId="77777777">
        <w:tc>
          <w:tcPr>
            <w:tcW w:w="1578" w:type="dxa"/>
          </w:tcPr>
          <w:p w14:paraId="06881077" w14:textId="77777777" w:rsidR="00A052DC" w:rsidRDefault="009F0A60">
            <w:pPr>
              <w:pStyle w:val="B1"/>
              <w:jc w:val="left"/>
              <w:rPr>
                <w:b w:val="0"/>
              </w:rPr>
            </w:pPr>
            <w:r>
              <w:rPr>
                <w:rFonts w:cs="黑体" w:hint="eastAsia"/>
                <w:b w:val="0"/>
                <w:color w:val="000000"/>
              </w:rPr>
              <w:t>实际承包主体代码</w:t>
            </w:r>
          </w:p>
        </w:tc>
        <w:tc>
          <w:tcPr>
            <w:tcW w:w="7035" w:type="dxa"/>
          </w:tcPr>
          <w:p w14:paraId="2CEC6AB1" w14:textId="77777777" w:rsidR="00A052DC" w:rsidRDefault="009F0A60">
            <w:pPr>
              <w:pStyle w:val="B1"/>
              <w:jc w:val="left"/>
              <w:rPr>
                <w:b w:val="0"/>
              </w:rPr>
            </w:pPr>
            <w:r>
              <w:rPr>
                <w:rFonts w:cs="黑体" w:hint="eastAsia"/>
                <w:b w:val="0"/>
                <w:color w:val="000000"/>
              </w:rPr>
              <w:t>如实际承包境外建设项目的主体为境内机构，则填写统一社会信用代码的第</w:t>
            </w:r>
            <w:r>
              <w:rPr>
                <w:rFonts w:cs="黑体"/>
                <w:b w:val="0"/>
                <w:color w:val="000000"/>
              </w:rPr>
              <w:t>9-17位。如</w:t>
            </w:r>
            <w:r>
              <w:rPr>
                <w:rFonts w:cs="黑体" w:hint="eastAsia"/>
                <w:b w:val="0"/>
                <w:color w:val="000000"/>
              </w:rPr>
              <w:t>是否存在分包</w:t>
            </w:r>
            <w:r>
              <w:rPr>
                <w:rFonts w:cs="黑体"/>
                <w:b w:val="0"/>
                <w:color w:val="000000"/>
              </w:rPr>
              <w:t>选择“1-</w:t>
            </w:r>
            <w:r>
              <w:rPr>
                <w:rFonts w:cs="黑体" w:hint="eastAsia"/>
                <w:b w:val="0"/>
                <w:color w:val="000000"/>
              </w:rPr>
              <w:t>是”，则填写本项目</w:t>
            </w:r>
            <w:r>
              <w:rPr>
                <w:rFonts w:cs="黑体"/>
                <w:b w:val="0"/>
                <w:color w:val="000000"/>
              </w:rPr>
              <w:t>。</w:t>
            </w:r>
          </w:p>
        </w:tc>
      </w:tr>
      <w:tr w:rsidR="00A052DC" w14:paraId="04E37608" w14:textId="77777777">
        <w:tc>
          <w:tcPr>
            <w:tcW w:w="1578" w:type="dxa"/>
          </w:tcPr>
          <w:p w14:paraId="32F219BF" w14:textId="77777777" w:rsidR="00A052DC" w:rsidRDefault="009F0A60">
            <w:pPr>
              <w:pStyle w:val="B1"/>
              <w:jc w:val="left"/>
            </w:pPr>
            <w:r>
              <w:rPr>
                <w:rFonts w:hint="eastAsia"/>
                <w:b w:val="0"/>
              </w:rPr>
              <w:t>实际承包主体名称</w:t>
            </w:r>
          </w:p>
        </w:tc>
        <w:tc>
          <w:tcPr>
            <w:tcW w:w="7035" w:type="dxa"/>
          </w:tcPr>
          <w:p w14:paraId="0CD28FCD" w14:textId="77777777" w:rsidR="00A052DC" w:rsidRDefault="009F0A60">
            <w:pPr>
              <w:pStyle w:val="B1"/>
              <w:jc w:val="left"/>
            </w:pPr>
            <w:r>
              <w:rPr>
                <w:rFonts w:cs="黑体" w:hint="eastAsia"/>
                <w:b w:val="0"/>
                <w:color w:val="000000"/>
              </w:rPr>
              <w:t>如实际承包境外建设项目的主体为境内机构，则填写机构名称。如是否存在分包</w:t>
            </w:r>
            <w:r>
              <w:rPr>
                <w:rFonts w:cs="黑体"/>
                <w:b w:val="0"/>
                <w:color w:val="000000"/>
              </w:rPr>
              <w:t>选择“1-</w:t>
            </w:r>
            <w:r>
              <w:rPr>
                <w:rFonts w:cs="黑体" w:hint="eastAsia"/>
                <w:b w:val="0"/>
                <w:color w:val="000000"/>
              </w:rPr>
              <w:t>是”，则填写本项目</w:t>
            </w:r>
            <w:r>
              <w:rPr>
                <w:rFonts w:cs="黑体"/>
                <w:b w:val="0"/>
                <w:color w:val="000000"/>
              </w:rPr>
              <w:t>。</w:t>
            </w:r>
          </w:p>
        </w:tc>
      </w:tr>
      <w:tr w:rsidR="00A052DC" w14:paraId="2EE56CCD" w14:textId="77777777">
        <w:tc>
          <w:tcPr>
            <w:tcW w:w="1578" w:type="dxa"/>
          </w:tcPr>
          <w:p w14:paraId="2533BA1E" w14:textId="77777777" w:rsidR="00A052DC" w:rsidRDefault="009F0A60">
            <w:pPr>
              <w:pStyle w:val="B1"/>
              <w:jc w:val="left"/>
            </w:pPr>
            <w:r>
              <w:rPr>
                <w:rFonts w:hint="eastAsia"/>
                <w:b w:val="0"/>
              </w:rPr>
              <w:t>实际承包主体类型</w:t>
            </w:r>
          </w:p>
        </w:tc>
        <w:tc>
          <w:tcPr>
            <w:tcW w:w="7035" w:type="dxa"/>
          </w:tcPr>
          <w:p w14:paraId="4C77E6FE" w14:textId="77777777" w:rsidR="00A052DC" w:rsidRDefault="009F0A60">
            <w:pPr>
              <w:pStyle w:val="B1"/>
              <w:jc w:val="left"/>
            </w:pPr>
            <w:r>
              <w:rPr>
                <w:rFonts w:cs="黑体" w:hint="eastAsia"/>
                <w:b w:val="0"/>
                <w:color w:val="000000"/>
              </w:rPr>
              <w:t>与申报主体签订分包合同的主体为申报主体的：</w:t>
            </w:r>
            <w:r>
              <w:rPr>
                <w:rFonts w:cs="黑体"/>
                <w:b w:val="0"/>
                <w:color w:val="000000"/>
              </w:rPr>
              <w:t>1-</w:t>
            </w:r>
            <w:r>
              <w:rPr>
                <w:rFonts w:cs="黑体" w:hint="eastAsia"/>
                <w:b w:val="0"/>
                <w:color w:val="000000"/>
              </w:rPr>
              <w:t>境内关联企业（包括子公司、联营或合营机构、联属企业）；</w:t>
            </w:r>
            <w:r>
              <w:rPr>
                <w:rFonts w:cs="黑体"/>
                <w:b w:val="0"/>
                <w:color w:val="000000"/>
              </w:rPr>
              <w:t>2-</w:t>
            </w:r>
            <w:r>
              <w:rPr>
                <w:rFonts w:cs="黑体" w:hint="eastAsia"/>
                <w:b w:val="0"/>
                <w:color w:val="000000"/>
              </w:rPr>
              <w:t>境内非关联企业；</w:t>
            </w:r>
            <w:r>
              <w:rPr>
                <w:rFonts w:cs="黑体"/>
                <w:b w:val="0"/>
                <w:color w:val="000000"/>
              </w:rPr>
              <w:t>3-</w:t>
            </w:r>
            <w:r>
              <w:rPr>
                <w:rFonts w:cs="黑体" w:hint="eastAsia"/>
                <w:b w:val="0"/>
                <w:color w:val="000000"/>
              </w:rPr>
              <w:t>境外关联企业（包括子公司、联营或合营机构、联属企业）；</w:t>
            </w:r>
            <w:r>
              <w:rPr>
                <w:rFonts w:cs="黑体"/>
                <w:b w:val="0"/>
                <w:color w:val="000000"/>
              </w:rPr>
              <w:t>4-</w:t>
            </w:r>
            <w:r>
              <w:rPr>
                <w:rFonts w:cs="黑体" w:hint="eastAsia"/>
                <w:b w:val="0"/>
                <w:color w:val="000000"/>
              </w:rPr>
              <w:t>境外非关联企业。</w:t>
            </w:r>
          </w:p>
        </w:tc>
      </w:tr>
      <w:tr w:rsidR="00A052DC" w14:paraId="7062ED8C" w14:textId="77777777">
        <w:tc>
          <w:tcPr>
            <w:tcW w:w="1578" w:type="dxa"/>
          </w:tcPr>
          <w:p w14:paraId="328BB5BD" w14:textId="77777777" w:rsidR="00A052DC" w:rsidRDefault="009F0A60">
            <w:pPr>
              <w:pStyle w:val="B1"/>
              <w:jc w:val="left"/>
            </w:pPr>
            <w:r>
              <w:rPr>
                <w:rFonts w:hint="eastAsia"/>
                <w:b w:val="0"/>
              </w:rPr>
              <w:t>备注</w:t>
            </w:r>
          </w:p>
        </w:tc>
        <w:tc>
          <w:tcPr>
            <w:tcW w:w="7035" w:type="dxa"/>
          </w:tcPr>
          <w:p w14:paraId="34C7CF27" w14:textId="77777777" w:rsidR="00A052DC" w:rsidRDefault="009F0A60">
            <w:pPr>
              <w:pStyle w:val="B1"/>
              <w:jc w:val="left"/>
            </w:pPr>
            <w:r>
              <w:rPr>
                <w:b w:val="0"/>
              </w:rPr>
              <w:t>填报本表时需特别说明的情况。</w:t>
            </w:r>
          </w:p>
        </w:tc>
      </w:tr>
    </w:tbl>
    <w:p w14:paraId="1E4000A8" w14:textId="77777777" w:rsidR="00A052DC" w:rsidRDefault="009F0A60">
      <w:pPr>
        <w:pStyle w:val="4"/>
        <w:numPr>
          <w:ilvl w:val="3"/>
          <w:numId w:val="1"/>
        </w:numPr>
        <w:jc w:val="left"/>
      </w:pPr>
      <w:r>
        <w:rPr>
          <w:rFonts w:hint="eastAsia"/>
        </w:rPr>
        <w:t>数据格式</w:t>
      </w:r>
    </w:p>
    <w:p w14:paraId="1865FCFC" w14:textId="77777777" w:rsidR="00A052DC" w:rsidRDefault="009F0A60">
      <w:r>
        <w:t>&lt;REC&gt;</w:t>
      </w:r>
    </w:p>
    <w:p w14:paraId="1BA6FBC2" w14:textId="77777777" w:rsidR="00A052DC" w:rsidRDefault="009F0A60">
      <w:r>
        <w:t>&lt;ACTIONTYPE&gt;</w:t>
      </w:r>
      <w:r>
        <w:rPr>
          <w:rFonts w:hint="eastAsia"/>
        </w:rPr>
        <w:t>操作类型</w:t>
      </w:r>
      <w:r>
        <w:t>&lt;/ACTIONTYPE&gt;</w:t>
      </w:r>
    </w:p>
    <w:p w14:paraId="7014FB65" w14:textId="77777777" w:rsidR="00A052DC" w:rsidRDefault="009F0A60">
      <w:r>
        <w:t>&lt;ACTIONDESC&gt;</w:t>
      </w:r>
      <w:r>
        <w:rPr>
          <w:rFonts w:hint="eastAsia"/>
        </w:rPr>
        <w:t>删除原因</w:t>
      </w:r>
      <w:r>
        <w:t>&lt;/ACTIONDESC&gt;</w:t>
      </w:r>
    </w:p>
    <w:p w14:paraId="6FFD3B30" w14:textId="77777777" w:rsidR="00A052DC" w:rsidRDefault="009F0A60">
      <w:r>
        <w:t>&lt;SNOCODE&gt;</w:t>
      </w:r>
      <w:r>
        <w:rPr>
          <w:rFonts w:hint="eastAsia"/>
        </w:rPr>
        <w:t>数据自编码</w:t>
      </w:r>
      <w:r>
        <w:t>&lt;/SNOCODE&gt;</w:t>
      </w:r>
    </w:p>
    <w:p w14:paraId="60D4970C" w14:textId="77777777" w:rsidR="00A052DC" w:rsidRDefault="009F0A60">
      <w:r>
        <w:t>&lt;OBJCODE&gt;</w:t>
      </w:r>
      <w:r>
        <w:rPr>
          <w:rFonts w:hint="eastAsia"/>
        </w:rPr>
        <w:t>申报主体代码</w:t>
      </w:r>
      <w:r>
        <w:t>&lt;/OBJCODE&gt;</w:t>
      </w:r>
    </w:p>
    <w:p w14:paraId="56B395E1" w14:textId="77777777" w:rsidR="00A052DC" w:rsidRDefault="009F0A60">
      <w:r>
        <w:t>&lt;BUOCMONTH&gt;</w:t>
      </w:r>
      <w:r>
        <w:rPr>
          <w:rFonts w:hint="eastAsia"/>
        </w:rPr>
        <w:t>报告期</w:t>
      </w:r>
      <w:r>
        <w:t>&lt;/BUOCMONTH&gt;</w:t>
      </w:r>
      <w:r>
        <w:tab/>
      </w:r>
    </w:p>
    <w:p w14:paraId="4289AF81" w14:textId="77777777" w:rsidR="00A052DC" w:rsidRDefault="009F0A60">
      <w:r>
        <w:t>&lt;E0201&gt;</w:t>
      </w:r>
      <w:r>
        <w:rPr>
          <w:rFonts w:hint="eastAsia"/>
        </w:rPr>
        <w:t>境外项目代码</w:t>
      </w:r>
      <w:r>
        <w:t>&lt;/E0201&gt;</w:t>
      </w:r>
    </w:p>
    <w:p w14:paraId="371ECEBE" w14:textId="77777777" w:rsidR="00A052DC" w:rsidRDefault="009F0A60">
      <w:r>
        <w:t>&lt;E0202&gt;</w:t>
      </w:r>
      <w:r>
        <w:rPr>
          <w:rFonts w:hint="eastAsia"/>
        </w:rPr>
        <w:t>境外项目全称</w:t>
      </w:r>
      <w:r>
        <w:t>&lt;/E0202&gt;</w:t>
      </w:r>
    </w:p>
    <w:p w14:paraId="33EE1190" w14:textId="77777777" w:rsidR="00A052DC" w:rsidRDefault="009F0A60">
      <w:r>
        <w:t>&lt;E0203&gt;</w:t>
      </w:r>
      <w:r>
        <w:rPr>
          <w:rFonts w:hint="eastAsia"/>
        </w:rPr>
        <w:t>境外项目所在国家</w:t>
      </w:r>
      <w:r>
        <w:t>/</w:t>
      </w:r>
      <w:r>
        <w:rPr>
          <w:rFonts w:hint="eastAsia"/>
        </w:rPr>
        <w:t>地区</w:t>
      </w:r>
      <w:r>
        <w:t>&lt;/E0203&gt;</w:t>
      </w:r>
    </w:p>
    <w:p w14:paraId="4F24802D" w14:textId="77777777" w:rsidR="00A052DC" w:rsidRDefault="009F0A60">
      <w:r>
        <w:t>&lt;E0204&gt;</w:t>
      </w:r>
      <w:r>
        <w:rPr>
          <w:rFonts w:hint="eastAsia"/>
        </w:rPr>
        <w:t>项目类型</w:t>
      </w:r>
      <w:r>
        <w:t>&lt;/E0204&gt;</w:t>
      </w:r>
    </w:p>
    <w:p w14:paraId="46562766" w14:textId="77777777" w:rsidR="00A052DC" w:rsidRDefault="009F0A60">
      <w:r>
        <w:t>&lt;E0205&gt;</w:t>
      </w:r>
      <w:r>
        <w:rPr>
          <w:rFonts w:hint="eastAsia"/>
        </w:rPr>
        <w:t>签约主体类型</w:t>
      </w:r>
      <w:r>
        <w:t>&lt;/E0205&gt;</w:t>
      </w:r>
    </w:p>
    <w:p w14:paraId="723240DA" w14:textId="77777777" w:rsidR="00A052DC" w:rsidRDefault="009F0A60">
      <w:r>
        <w:t>&lt;E0206&gt;</w:t>
      </w:r>
      <w:r>
        <w:rPr>
          <w:rFonts w:hint="eastAsia"/>
        </w:rPr>
        <w:t>签约主体名称</w:t>
      </w:r>
      <w:r>
        <w:t>&lt;/E0206&gt;</w:t>
      </w:r>
    </w:p>
    <w:p w14:paraId="0CEEF25F" w14:textId="77777777" w:rsidR="00A052DC" w:rsidRDefault="009F0A60">
      <w:r>
        <w:t>&lt;E0207&gt;</w:t>
      </w:r>
      <w:r>
        <w:rPr>
          <w:rFonts w:hint="eastAsia"/>
        </w:rPr>
        <w:t>合同签约币种</w:t>
      </w:r>
      <w:r>
        <w:t>&lt;/E0207&gt;</w:t>
      </w:r>
    </w:p>
    <w:p w14:paraId="45D4CDB3" w14:textId="77777777" w:rsidR="00A052DC" w:rsidRDefault="009F0A60">
      <w:r>
        <w:t>&lt;E0208&gt;</w:t>
      </w:r>
      <w:r>
        <w:rPr>
          <w:rFonts w:hint="eastAsia"/>
        </w:rPr>
        <w:t>合同签约金额</w:t>
      </w:r>
      <w:r>
        <w:t>&lt;/E0208&gt;</w:t>
      </w:r>
    </w:p>
    <w:p w14:paraId="0FE425CB" w14:textId="77777777" w:rsidR="00A052DC" w:rsidRDefault="009F0A60">
      <w:r>
        <w:t>&lt;E0209&gt;</w:t>
      </w:r>
      <w:r>
        <w:rPr>
          <w:rFonts w:hint="eastAsia"/>
        </w:rPr>
        <w:t>项目建设期限（月）</w:t>
      </w:r>
      <w:r>
        <w:t>&lt;/E0209&gt;</w:t>
      </w:r>
    </w:p>
    <w:p w14:paraId="3E8AA773" w14:textId="77777777" w:rsidR="00A052DC" w:rsidRDefault="009F0A60">
      <w:r>
        <w:t>&lt;E0210&gt;</w:t>
      </w:r>
      <w:r>
        <w:rPr>
          <w:rFonts w:hint="eastAsia"/>
        </w:rPr>
        <w:t>是否存在分包</w:t>
      </w:r>
      <w:r>
        <w:t>&lt;/E0210&gt;</w:t>
      </w:r>
    </w:p>
    <w:p w14:paraId="6846C449" w14:textId="77777777" w:rsidR="00A052DC" w:rsidRDefault="009F0A60">
      <w:r>
        <w:t>&lt;E0211&gt;</w:t>
      </w:r>
      <w:r>
        <w:rPr>
          <w:rFonts w:hint="eastAsia"/>
        </w:rPr>
        <w:t>实际承包主体代码</w:t>
      </w:r>
      <w:r>
        <w:t>&lt;/E0211&gt;</w:t>
      </w:r>
    </w:p>
    <w:p w14:paraId="7DE518BB" w14:textId="77777777" w:rsidR="00A052DC" w:rsidRDefault="009F0A60">
      <w:r>
        <w:t>&lt;E0212&gt;</w:t>
      </w:r>
      <w:r>
        <w:rPr>
          <w:rFonts w:hint="eastAsia"/>
        </w:rPr>
        <w:t>实际承包主体名称</w:t>
      </w:r>
      <w:r>
        <w:t>&lt;/E0212&gt;</w:t>
      </w:r>
    </w:p>
    <w:p w14:paraId="58F2B392" w14:textId="77777777" w:rsidR="00A052DC" w:rsidRDefault="009F0A60">
      <w:r>
        <w:t>&lt;E0213&gt;</w:t>
      </w:r>
      <w:r>
        <w:rPr>
          <w:rFonts w:hint="eastAsia"/>
        </w:rPr>
        <w:t>实际承包主体类型</w:t>
      </w:r>
      <w:r>
        <w:t>&lt;/E0213&gt;</w:t>
      </w:r>
    </w:p>
    <w:p w14:paraId="71DFC8C5" w14:textId="77777777" w:rsidR="00A052DC" w:rsidRDefault="009F0A60">
      <w:r>
        <w:t>&lt;REMARK&gt;</w:t>
      </w:r>
      <w:r>
        <w:rPr>
          <w:rFonts w:hint="eastAsia"/>
        </w:rPr>
        <w:t>备注</w:t>
      </w:r>
      <w:r>
        <w:t>&lt;/REMARK&gt;</w:t>
      </w:r>
    </w:p>
    <w:p w14:paraId="31261A83" w14:textId="77777777" w:rsidR="00A052DC" w:rsidRDefault="009F0A60">
      <w:r>
        <w:t>&lt;/REC&gt;</w:t>
      </w:r>
    </w:p>
    <w:p w14:paraId="1DD3F1A1" w14:textId="77777777" w:rsidR="00A052DC" w:rsidRDefault="009F0A60" w:rsidP="0020251D">
      <w:pPr>
        <w:pStyle w:val="4"/>
        <w:numPr>
          <w:ilvl w:val="3"/>
          <w:numId w:val="1"/>
        </w:numPr>
        <w:jc w:val="left"/>
      </w:pPr>
      <w:r>
        <w:rPr>
          <w:rFonts w:hint="eastAsia"/>
        </w:rPr>
        <w:t>数据字典</w:t>
      </w:r>
    </w:p>
    <w:tbl>
      <w:tblPr>
        <w:tblW w:w="86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560"/>
        <w:gridCol w:w="1701"/>
        <w:gridCol w:w="3543"/>
      </w:tblGrid>
      <w:tr w:rsidR="00A052DC" w14:paraId="420E2E9A" w14:textId="77777777">
        <w:trPr>
          <w:tblHeader/>
        </w:trPr>
        <w:tc>
          <w:tcPr>
            <w:tcW w:w="1843" w:type="dxa"/>
            <w:shd w:val="clear" w:color="auto" w:fill="C0C0C0"/>
          </w:tcPr>
          <w:p w14:paraId="66E95F63" w14:textId="77777777" w:rsidR="00A052DC" w:rsidRDefault="009F0A60">
            <w:pPr>
              <w:pStyle w:val="B1"/>
            </w:pPr>
            <w:r>
              <w:rPr>
                <w:rFonts w:hint="eastAsia"/>
              </w:rPr>
              <w:t>字段</w:t>
            </w:r>
          </w:p>
        </w:tc>
        <w:tc>
          <w:tcPr>
            <w:tcW w:w="1560" w:type="dxa"/>
            <w:shd w:val="clear" w:color="auto" w:fill="C0C0C0"/>
          </w:tcPr>
          <w:p w14:paraId="21FD581F" w14:textId="77777777" w:rsidR="00A052DC" w:rsidRDefault="009F0A60">
            <w:pPr>
              <w:pStyle w:val="B1"/>
            </w:pPr>
            <w:r>
              <w:rPr>
                <w:rFonts w:hint="eastAsia"/>
              </w:rPr>
              <w:t>内容</w:t>
            </w:r>
          </w:p>
        </w:tc>
        <w:tc>
          <w:tcPr>
            <w:tcW w:w="1701" w:type="dxa"/>
            <w:shd w:val="clear" w:color="auto" w:fill="C0C0C0"/>
          </w:tcPr>
          <w:p w14:paraId="0F2A5A1B" w14:textId="77777777" w:rsidR="00A052DC" w:rsidRDefault="009F0A60">
            <w:pPr>
              <w:pStyle w:val="B1"/>
            </w:pPr>
            <w:r>
              <w:rPr>
                <w:rFonts w:hint="eastAsia"/>
              </w:rPr>
              <w:t xml:space="preserve">类型（长度）      </w:t>
            </w:r>
          </w:p>
        </w:tc>
        <w:tc>
          <w:tcPr>
            <w:tcW w:w="3543" w:type="dxa"/>
            <w:shd w:val="clear" w:color="auto" w:fill="C0C0C0"/>
          </w:tcPr>
          <w:p w14:paraId="66CF842A" w14:textId="77777777" w:rsidR="00A052DC" w:rsidRDefault="009F0A60">
            <w:pPr>
              <w:pStyle w:val="B1"/>
            </w:pPr>
            <w:r>
              <w:rPr>
                <w:rFonts w:hint="eastAsia"/>
              </w:rPr>
              <w:t>校验</w:t>
            </w:r>
          </w:p>
        </w:tc>
      </w:tr>
      <w:tr w:rsidR="00A052DC" w14:paraId="758FFC6F" w14:textId="77777777">
        <w:tc>
          <w:tcPr>
            <w:tcW w:w="1843" w:type="dxa"/>
            <w:tcBorders>
              <w:top w:val="single" w:sz="4" w:space="0" w:color="auto"/>
              <w:left w:val="single" w:sz="4" w:space="0" w:color="auto"/>
              <w:bottom w:val="single" w:sz="4" w:space="0" w:color="auto"/>
              <w:right w:val="single" w:sz="4" w:space="0" w:color="auto"/>
            </w:tcBorders>
          </w:tcPr>
          <w:p w14:paraId="351EA0A3" w14:textId="77777777" w:rsidR="00A052DC" w:rsidRDefault="009F0A60">
            <w:pPr>
              <w:pStyle w:val="B"/>
              <w:rPr>
                <w:szCs w:val="20"/>
              </w:rPr>
            </w:pPr>
            <w:r>
              <w:rPr>
                <w:szCs w:val="20"/>
              </w:rPr>
              <w:t>ACTIONTYPE</w:t>
            </w:r>
          </w:p>
        </w:tc>
        <w:tc>
          <w:tcPr>
            <w:tcW w:w="1560" w:type="dxa"/>
            <w:tcBorders>
              <w:top w:val="single" w:sz="4" w:space="0" w:color="auto"/>
              <w:left w:val="single" w:sz="4" w:space="0" w:color="auto"/>
              <w:bottom w:val="single" w:sz="4" w:space="0" w:color="auto"/>
              <w:right w:val="single" w:sz="4" w:space="0" w:color="auto"/>
            </w:tcBorders>
          </w:tcPr>
          <w:p w14:paraId="73056D1F" w14:textId="77777777" w:rsidR="00A052DC" w:rsidRDefault="009F0A60">
            <w:pPr>
              <w:pStyle w:val="B"/>
              <w:rPr>
                <w:szCs w:val="20"/>
              </w:rPr>
            </w:pPr>
            <w:r>
              <w:rPr>
                <w:rFonts w:hint="eastAsia"/>
                <w:szCs w:val="20"/>
              </w:rPr>
              <w:t>操作类型</w:t>
            </w:r>
          </w:p>
        </w:tc>
        <w:tc>
          <w:tcPr>
            <w:tcW w:w="1701" w:type="dxa"/>
            <w:tcBorders>
              <w:top w:val="single" w:sz="4" w:space="0" w:color="auto"/>
              <w:left w:val="single" w:sz="4" w:space="0" w:color="auto"/>
              <w:bottom w:val="single" w:sz="4" w:space="0" w:color="auto"/>
              <w:right w:val="single" w:sz="4" w:space="0" w:color="auto"/>
            </w:tcBorders>
          </w:tcPr>
          <w:p w14:paraId="32382B49" w14:textId="77777777" w:rsidR="00A052DC" w:rsidRDefault="009F0A60">
            <w:pPr>
              <w:pStyle w:val="B"/>
              <w:rPr>
                <w:szCs w:val="20"/>
              </w:rPr>
            </w:pPr>
            <w:r>
              <w:rPr>
                <w:rFonts w:hint="eastAsia"/>
                <w:szCs w:val="20"/>
              </w:rPr>
              <w:t>字符型，</w:t>
            </w:r>
            <w:r>
              <w:rPr>
                <w:szCs w:val="20"/>
              </w:rPr>
              <w:t>1</w:t>
            </w:r>
          </w:p>
        </w:tc>
        <w:tc>
          <w:tcPr>
            <w:tcW w:w="3543" w:type="dxa"/>
            <w:tcBorders>
              <w:top w:val="single" w:sz="4" w:space="0" w:color="auto"/>
              <w:left w:val="single" w:sz="4" w:space="0" w:color="auto"/>
              <w:bottom w:val="single" w:sz="4" w:space="0" w:color="auto"/>
              <w:right w:val="single" w:sz="4" w:space="0" w:color="auto"/>
            </w:tcBorders>
          </w:tcPr>
          <w:p w14:paraId="2FE14E16" w14:textId="77777777" w:rsidR="00A052DC" w:rsidRDefault="009F0A60">
            <w:pPr>
              <w:pStyle w:val="B"/>
              <w:rPr>
                <w:szCs w:val="20"/>
              </w:rPr>
            </w:pPr>
            <w:r>
              <w:rPr>
                <w:rFonts w:hint="eastAsia"/>
                <w:szCs w:val="20"/>
              </w:rPr>
              <w:t>必填项</w:t>
            </w:r>
            <w:r w:rsidR="004D1828">
              <w:rPr>
                <w:rFonts w:hint="eastAsia"/>
                <w:szCs w:val="20"/>
              </w:rPr>
              <w:t>。</w:t>
            </w:r>
          </w:p>
          <w:p w14:paraId="717D6F2A" w14:textId="77777777" w:rsidR="00A052DC" w:rsidRDefault="009F0A60">
            <w:pPr>
              <w:pStyle w:val="B"/>
              <w:rPr>
                <w:szCs w:val="20"/>
              </w:rPr>
            </w:pPr>
            <w:r>
              <w:rPr>
                <w:rFonts w:hint="eastAsia"/>
                <w:szCs w:val="20"/>
              </w:rPr>
              <w:t>A</w:t>
            </w:r>
            <w:r w:rsidR="00AE4602">
              <w:rPr>
                <w:rFonts w:hint="eastAsia"/>
                <w:szCs w:val="20"/>
              </w:rPr>
              <w:t>-</w:t>
            </w:r>
            <w:r>
              <w:rPr>
                <w:rFonts w:hint="eastAsia"/>
                <w:szCs w:val="20"/>
              </w:rPr>
              <w:t>新建</w:t>
            </w:r>
          </w:p>
          <w:p w14:paraId="741EA1E7" w14:textId="77777777" w:rsidR="00A052DC" w:rsidRDefault="009F0A60">
            <w:pPr>
              <w:pStyle w:val="B"/>
              <w:rPr>
                <w:szCs w:val="20"/>
              </w:rPr>
            </w:pPr>
            <w:r>
              <w:rPr>
                <w:rFonts w:hint="eastAsia"/>
                <w:szCs w:val="20"/>
              </w:rPr>
              <w:t>C</w:t>
            </w:r>
            <w:r w:rsidR="00AE4602">
              <w:rPr>
                <w:rFonts w:hint="eastAsia"/>
                <w:szCs w:val="20"/>
              </w:rPr>
              <w:t>-</w:t>
            </w:r>
            <w:r>
              <w:rPr>
                <w:rFonts w:hint="eastAsia"/>
                <w:szCs w:val="20"/>
              </w:rPr>
              <w:t>修改</w:t>
            </w:r>
          </w:p>
          <w:p w14:paraId="563620AA" w14:textId="77777777" w:rsidR="00A052DC" w:rsidRDefault="009F0A60">
            <w:pPr>
              <w:pStyle w:val="B"/>
              <w:rPr>
                <w:szCs w:val="20"/>
              </w:rPr>
            </w:pPr>
            <w:r>
              <w:rPr>
                <w:rFonts w:hint="eastAsia"/>
                <w:szCs w:val="20"/>
              </w:rPr>
              <w:t>D</w:t>
            </w:r>
            <w:r w:rsidR="00AE4602">
              <w:rPr>
                <w:rFonts w:hint="eastAsia"/>
                <w:szCs w:val="20"/>
              </w:rPr>
              <w:t>-</w:t>
            </w:r>
            <w:r>
              <w:rPr>
                <w:rFonts w:hint="eastAsia"/>
                <w:szCs w:val="20"/>
              </w:rPr>
              <w:t>删除</w:t>
            </w:r>
          </w:p>
        </w:tc>
      </w:tr>
      <w:tr w:rsidR="00A052DC" w14:paraId="34AB6C5A" w14:textId="77777777">
        <w:tc>
          <w:tcPr>
            <w:tcW w:w="1843" w:type="dxa"/>
            <w:tcBorders>
              <w:top w:val="single" w:sz="4" w:space="0" w:color="auto"/>
              <w:left w:val="single" w:sz="4" w:space="0" w:color="auto"/>
              <w:bottom w:val="single" w:sz="4" w:space="0" w:color="auto"/>
              <w:right w:val="single" w:sz="4" w:space="0" w:color="auto"/>
            </w:tcBorders>
          </w:tcPr>
          <w:p w14:paraId="2FD436FF" w14:textId="77777777" w:rsidR="00A052DC" w:rsidRDefault="009F0A60">
            <w:pPr>
              <w:pStyle w:val="B"/>
              <w:rPr>
                <w:szCs w:val="20"/>
              </w:rPr>
            </w:pPr>
            <w:r>
              <w:rPr>
                <w:szCs w:val="20"/>
              </w:rPr>
              <w:t>ACTIONDESC</w:t>
            </w:r>
          </w:p>
        </w:tc>
        <w:tc>
          <w:tcPr>
            <w:tcW w:w="1560" w:type="dxa"/>
            <w:tcBorders>
              <w:top w:val="single" w:sz="4" w:space="0" w:color="auto"/>
              <w:left w:val="single" w:sz="4" w:space="0" w:color="auto"/>
              <w:bottom w:val="single" w:sz="4" w:space="0" w:color="auto"/>
              <w:right w:val="single" w:sz="4" w:space="0" w:color="auto"/>
            </w:tcBorders>
          </w:tcPr>
          <w:p w14:paraId="7B4E9419" w14:textId="77777777" w:rsidR="00A052DC" w:rsidRDefault="009F0A60">
            <w:pPr>
              <w:pStyle w:val="B"/>
              <w:rPr>
                <w:szCs w:val="20"/>
              </w:rPr>
            </w:pPr>
            <w:r>
              <w:rPr>
                <w:rFonts w:hint="eastAsia"/>
                <w:szCs w:val="20"/>
              </w:rPr>
              <w:t>删除原因</w:t>
            </w:r>
          </w:p>
        </w:tc>
        <w:tc>
          <w:tcPr>
            <w:tcW w:w="1701" w:type="dxa"/>
            <w:tcBorders>
              <w:top w:val="single" w:sz="4" w:space="0" w:color="auto"/>
              <w:left w:val="single" w:sz="4" w:space="0" w:color="auto"/>
              <w:bottom w:val="single" w:sz="4" w:space="0" w:color="auto"/>
              <w:right w:val="single" w:sz="4" w:space="0" w:color="auto"/>
            </w:tcBorders>
          </w:tcPr>
          <w:p w14:paraId="10947D85" w14:textId="77777777" w:rsidR="00A052DC" w:rsidRDefault="009F0A60">
            <w:pPr>
              <w:pStyle w:val="B"/>
              <w:rPr>
                <w:szCs w:val="20"/>
              </w:rPr>
            </w:pPr>
            <w:r>
              <w:rPr>
                <w:rFonts w:hint="eastAsia"/>
                <w:szCs w:val="20"/>
              </w:rPr>
              <w:t>字符型，</w:t>
            </w:r>
            <w:r>
              <w:rPr>
                <w:szCs w:val="20"/>
              </w:rPr>
              <w:t>128</w:t>
            </w:r>
          </w:p>
        </w:tc>
        <w:tc>
          <w:tcPr>
            <w:tcW w:w="3543" w:type="dxa"/>
            <w:tcBorders>
              <w:top w:val="single" w:sz="4" w:space="0" w:color="auto"/>
              <w:left w:val="single" w:sz="4" w:space="0" w:color="auto"/>
              <w:bottom w:val="single" w:sz="4" w:space="0" w:color="auto"/>
              <w:right w:val="single" w:sz="4" w:space="0" w:color="auto"/>
            </w:tcBorders>
          </w:tcPr>
          <w:p w14:paraId="2BA0034D" w14:textId="77777777" w:rsidR="00A052DC" w:rsidRDefault="00DD6AA3">
            <w:pPr>
              <w:pStyle w:val="B"/>
              <w:rPr>
                <w:szCs w:val="20"/>
              </w:rPr>
            </w:pPr>
            <w:r>
              <w:rPr>
                <w:rFonts w:hint="eastAsia"/>
                <w:szCs w:val="20"/>
              </w:rPr>
              <w:t>非必填项，当操作类型（ACTIONTYPE）为删除时必填。</w:t>
            </w:r>
          </w:p>
        </w:tc>
      </w:tr>
      <w:tr w:rsidR="00A052DC" w14:paraId="4294F6A0" w14:textId="77777777">
        <w:tc>
          <w:tcPr>
            <w:tcW w:w="1843" w:type="dxa"/>
            <w:tcBorders>
              <w:top w:val="single" w:sz="4" w:space="0" w:color="auto"/>
              <w:left w:val="single" w:sz="4" w:space="0" w:color="auto"/>
              <w:bottom w:val="single" w:sz="4" w:space="0" w:color="auto"/>
              <w:right w:val="single" w:sz="4" w:space="0" w:color="auto"/>
            </w:tcBorders>
          </w:tcPr>
          <w:p w14:paraId="2F688832" w14:textId="77777777" w:rsidR="00A052DC" w:rsidRDefault="009F0A60">
            <w:pPr>
              <w:pStyle w:val="B"/>
              <w:rPr>
                <w:szCs w:val="20"/>
              </w:rPr>
            </w:pPr>
            <w:r>
              <w:rPr>
                <w:szCs w:val="20"/>
              </w:rPr>
              <w:t>SNOCODE</w:t>
            </w:r>
          </w:p>
        </w:tc>
        <w:tc>
          <w:tcPr>
            <w:tcW w:w="1560" w:type="dxa"/>
            <w:tcBorders>
              <w:top w:val="single" w:sz="4" w:space="0" w:color="auto"/>
              <w:left w:val="single" w:sz="4" w:space="0" w:color="auto"/>
              <w:bottom w:val="single" w:sz="4" w:space="0" w:color="auto"/>
              <w:right w:val="single" w:sz="4" w:space="0" w:color="auto"/>
            </w:tcBorders>
          </w:tcPr>
          <w:p w14:paraId="583DB54A" w14:textId="77777777" w:rsidR="00A052DC" w:rsidRDefault="009F0A60">
            <w:pPr>
              <w:pStyle w:val="B"/>
              <w:rPr>
                <w:szCs w:val="20"/>
              </w:rPr>
            </w:pPr>
            <w:r>
              <w:rPr>
                <w:rFonts w:hint="eastAsia"/>
                <w:szCs w:val="20"/>
              </w:rPr>
              <w:t>数据自编码</w:t>
            </w:r>
          </w:p>
        </w:tc>
        <w:tc>
          <w:tcPr>
            <w:tcW w:w="1701" w:type="dxa"/>
            <w:tcBorders>
              <w:top w:val="single" w:sz="4" w:space="0" w:color="auto"/>
              <w:left w:val="single" w:sz="4" w:space="0" w:color="auto"/>
              <w:bottom w:val="single" w:sz="4" w:space="0" w:color="auto"/>
              <w:right w:val="single" w:sz="4" w:space="0" w:color="auto"/>
            </w:tcBorders>
          </w:tcPr>
          <w:p w14:paraId="5260AA87" w14:textId="77777777" w:rsidR="00A052DC" w:rsidRDefault="009F0A60">
            <w:pPr>
              <w:pStyle w:val="B"/>
              <w:rPr>
                <w:szCs w:val="20"/>
              </w:rPr>
            </w:pPr>
            <w:r>
              <w:rPr>
                <w:rFonts w:hint="eastAsia"/>
                <w:szCs w:val="20"/>
              </w:rPr>
              <w:t>字符型，</w:t>
            </w:r>
            <w:r>
              <w:rPr>
                <w:szCs w:val="20"/>
              </w:rPr>
              <w:t>36</w:t>
            </w:r>
          </w:p>
        </w:tc>
        <w:tc>
          <w:tcPr>
            <w:tcW w:w="3543" w:type="dxa"/>
            <w:tcBorders>
              <w:top w:val="single" w:sz="4" w:space="0" w:color="auto"/>
              <w:left w:val="single" w:sz="4" w:space="0" w:color="auto"/>
              <w:bottom w:val="single" w:sz="4" w:space="0" w:color="auto"/>
              <w:right w:val="single" w:sz="4" w:space="0" w:color="auto"/>
            </w:tcBorders>
          </w:tcPr>
          <w:p w14:paraId="617AE44B" w14:textId="77777777" w:rsidR="00A052DC" w:rsidRDefault="009F0A60">
            <w:pPr>
              <w:pStyle w:val="B"/>
              <w:rPr>
                <w:szCs w:val="20"/>
              </w:rPr>
            </w:pPr>
            <w:r>
              <w:rPr>
                <w:rFonts w:hint="eastAsia"/>
                <w:szCs w:val="20"/>
              </w:rPr>
              <w:t>必填项。对于接口报送的填报主体，数据自编码中的报送期（6位）应与报告期（YYYYMM）一致。</w:t>
            </w:r>
          </w:p>
        </w:tc>
      </w:tr>
      <w:tr w:rsidR="00A052DC" w14:paraId="4A55FFF7" w14:textId="77777777">
        <w:tc>
          <w:tcPr>
            <w:tcW w:w="1843" w:type="dxa"/>
            <w:tcBorders>
              <w:top w:val="single" w:sz="4" w:space="0" w:color="auto"/>
              <w:left w:val="single" w:sz="4" w:space="0" w:color="auto"/>
              <w:bottom w:val="single" w:sz="4" w:space="0" w:color="auto"/>
              <w:right w:val="single" w:sz="4" w:space="0" w:color="auto"/>
            </w:tcBorders>
          </w:tcPr>
          <w:p w14:paraId="67C628BF" w14:textId="77777777" w:rsidR="00A052DC" w:rsidRDefault="009F0A60">
            <w:pPr>
              <w:pStyle w:val="B"/>
              <w:rPr>
                <w:szCs w:val="20"/>
              </w:rPr>
            </w:pPr>
            <w:r>
              <w:rPr>
                <w:szCs w:val="20"/>
              </w:rPr>
              <w:t>OBJCODE</w:t>
            </w:r>
          </w:p>
        </w:tc>
        <w:tc>
          <w:tcPr>
            <w:tcW w:w="1560" w:type="dxa"/>
            <w:tcBorders>
              <w:top w:val="single" w:sz="4" w:space="0" w:color="auto"/>
              <w:left w:val="single" w:sz="4" w:space="0" w:color="auto"/>
              <w:bottom w:val="single" w:sz="4" w:space="0" w:color="auto"/>
              <w:right w:val="single" w:sz="4" w:space="0" w:color="auto"/>
            </w:tcBorders>
          </w:tcPr>
          <w:p w14:paraId="3816124F" w14:textId="77777777" w:rsidR="00A052DC" w:rsidRDefault="009F0A60">
            <w:pPr>
              <w:pStyle w:val="B"/>
              <w:rPr>
                <w:szCs w:val="20"/>
              </w:rPr>
            </w:pPr>
            <w:r>
              <w:rPr>
                <w:rFonts w:hint="eastAsia"/>
                <w:szCs w:val="20"/>
              </w:rPr>
              <w:t>申报主体代码</w:t>
            </w:r>
          </w:p>
        </w:tc>
        <w:tc>
          <w:tcPr>
            <w:tcW w:w="1701" w:type="dxa"/>
            <w:tcBorders>
              <w:top w:val="single" w:sz="4" w:space="0" w:color="auto"/>
              <w:left w:val="single" w:sz="4" w:space="0" w:color="auto"/>
              <w:bottom w:val="single" w:sz="4" w:space="0" w:color="auto"/>
              <w:right w:val="single" w:sz="4" w:space="0" w:color="auto"/>
            </w:tcBorders>
          </w:tcPr>
          <w:p w14:paraId="41C94242" w14:textId="77777777" w:rsidR="00A052DC" w:rsidRDefault="009F0A60">
            <w:pPr>
              <w:pStyle w:val="B"/>
              <w:rPr>
                <w:szCs w:val="20"/>
              </w:rPr>
            </w:pPr>
            <w:r>
              <w:rPr>
                <w:rFonts w:hint="eastAsia"/>
                <w:szCs w:val="20"/>
              </w:rPr>
              <w:t>字符型，</w:t>
            </w:r>
            <w:r>
              <w:rPr>
                <w:szCs w:val="20"/>
              </w:rPr>
              <w:t>18</w:t>
            </w:r>
          </w:p>
        </w:tc>
        <w:tc>
          <w:tcPr>
            <w:tcW w:w="3543" w:type="dxa"/>
            <w:tcBorders>
              <w:top w:val="single" w:sz="4" w:space="0" w:color="auto"/>
              <w:left w:val="single" w:sz="4" w:space="0" w:color="auto"/>
              <w:bottom w:val="single" w:sz="4" w:space="0" w:color="auto"/>
              <w:right w:val="single" w:sz="4" w:space="0" w:color="auto"/>
            </w:tcBorders>
          </w:tcPr>
          <w:p w14:paraId="60FFA47B" w14:textId="77777777" w:rsidR="00A052DC" w:rsidRDefault="009F0A60">
            <w:pPr>
              <w:pStyle w:val="B"/>
              <w:rPr>
                <w:szCs w:val="20"/>
              </w:rPr>
            </w:pPr>
            <w:r>
              <w:rPr>
                <w:rFonts w:hint="eastAsia"/>
                <w:szCs w:val="20"/>
              </w:rPr>
              <w:t>申报主体的12位金融机构标识码，如果没有金融机构标识码，则填报统一社会信用代码法定载体（如营业执照）上统一社会信用代码中的第9至17位或国家外汇管理局及其分支局签发的特殊机构代码赋码通知书上的机构代码、个人身份证代码。</w:t>
            </w:r>
          </w:p>
        </w:tc>
      </w:tr>
      <w:tr w:rsidR="00A052DC" w14:paraId="6AD403AD" w14:textId="77777777">
        <w:tc>
          <w:tcPr>
            <w:tcW w:w="1843" w:type="dxa"/>
            <w:tcBorders>
              <w:top w:val="single" w:sz="4" w:space="0" w:color="auto"/>
              <w:left w:val="single" w:sz="4" w:space="0" w:color="auto"/>
              <w:bottom w:val="single" w:sz="4" w:space="0" w:color="auto"/>
              <w:right w:val="single" w:sz="4" w:space="0" w:color="auto"/>
            </w:tcBorders>
          </w:tcPr>
          <w:p w14:paraId="6049752E" w14:textId="77777777" w:rsidR="00A052DC" w:rsidRDefault="009F0A60">
            <w:pPr>
              <w:pStyle w:val="B"/>
              <w:rPr>
                <w:szCs w:val="20"/>
              </w:rPr>
            </w:pPr>
            <w:r>
              <w:rPr>
                <w:szCs w:val="20"/>
              </w:rPr>
              <w:t>BUOCMONTH</w:t>
            </w:r>
          </w:p>
        </w:tc>
        <w:tc>
          <w:tcPr>
            <w:tcW w:w="1560" w:type="dxa"/>
            <w:tcBorders>
              <w:top w:val="single" w:sz="4" w:space="0" w:color="auto"/>
              <w:left w:val="single" w:sz="4" w:space="0" w:color="auto"/>
              <w:bottom w:val="single" w:sz="4" w:space="0" w:color="auto"/>
              <w:right w:val="single" w:sz="4" w:space="0" w:color="auto"/>
            </w:tcBorders>
          </w:tcPr>
          <w:p w14:paraId="7D21465D" w14:textId="77777777" w:rsidR="00A052DC" w:rsidRDefault="009F0A60">
            <w:pPr>
              <w:pStyle w:val="B"/>
              <w:rPr>
                <w:szCs w:val="20"/>
              </w:rPr>
            </w:pPr>
            <w:r>
              <w:rPr>
                <w:rFonts w:hint="eastAsia"/>
                <w:szCs w:val="20"/>
              </w:rPr>
              <w:t>报告期</w:t>
            </w:r>
          </w:p>
        </w:tc>
        <w:tc>
          <w:tcPr>
            <w:tcW w:w="1701" w:type="dxa"/>
            <w:tcBorders>
              <w:top w:val="single" w:sz="4" w:space="0" w:color="auto"/>
              <w:left w:val="single" w:sz="4" w:space="0" w:color="auto"/>
              <w:bottom w:val="single" w:sz="4" w:space="0" w:color="auto"/>
              <w:right w:val="single" w:sz="4" w:space="0" w:color="auto"/>
            </w:tcBorders>
          </w:tcPr>
          <w:p w14:paraId="00956A21" w14:textId="77777777" w:rsidR="00A052DC" w:rsidRDefault="009F0A60">
            <w:pPr>
              <w:pStyle w:val="B"/>
              <w:rPr>
                <w:szCs w:val="20"/>
              </w:rPr>
            </w:pPr>
            <w:r>
              <w:rPr>
                <w:rFonts w:hint="eastAsia"/>
                <w:szCs w:val="20"/>
              </w:rPr>
              <w:t>数值型，</w:t>
            </w:r>
            <w:r>
              <w:rPr>
                <w:szCs w:val="20"/>
              </w:rPr>
              <w:t>6</w:t>
            </w:r>
          </w:p>
        </w:tc>
        <w:tc>
          <w:tcPr>
            <w:tcW w:w="3543" w:type="dxa"/>
            <w:tcBorders>
              <w:top w:val="single" w:sz="4" w:space="0" w:color="auto"/>
              <w:left w:val="single" w:sz="4" w:space="0" w:color="auto"/>
              <w:bottom w:val="single" w:sz="4" w:space="0" w:color="auto"/>
              <w:right w:val="single" w:sz="4" w:space="0" w:color="auto"/>
            </w:tcBorders>
          </w:tcPr>
          <w:p w14:paraId="7F152FB4" w14:textId="77777777" w:rsidR="00A052DC" w:rsidRDefault="009F0A60">
            <w:pPr>
              <w:pStyle w:val="B"/>
              <w:rPr>
                <w:szCs w:val="20"/>
              </w:rPr>
            </w:pPr>
            <w:r>
              <w:rPr>
                <w:rFonts w:hint="eastAsia"/>
                <w:szCs w:val="20"/>
              </w:rPr>
              <w:t>必填项，格式为YYYYMM。</w:t>
            </w:r>
          </w:p>
        </w:tc>
      </w:tr>
      <w:tr w:rsidR="00A052DC" w14:paraId="7CC002E2" w14:textId="77777777">
        <w:tc>
          <w:tcPr>
            <w:tcW w:w="1843" w:type="dxa"/>
            <w:tcBorders>
              <w:top w:val="single" w:sz="4" w:space="0" w:color="auto"/>
              <w:left w:val="single" w:sz="4" w:space="0" w:color="auto"/>
              <w:bottom w:val="single" w:sz="4" w:space="0" w:color="auto"/>
              <w:right w:val="single" w:sz="4" w:space="0" w:color="auto"/>
            </w:tcBorders>
          </w:tcPr>
          <w:p w14:paraId="629DEFD1" w14:textId="77777777" w:rsidR="00A052DC" w:rsidRDefault="009F0A60">
            <w:pPr>
              <w:rPr>
                <w:rFonts w:ascii="黑体" w:eastAsia="黑体" w:hAnsi="黑体"/>
                <w:kern w:val="0"/>
                <w:sz w:val="20"/>
                <w:szCs w:val="20"/>
              </w:rPr>
            </w:pPr>
            <w:r>
              <w:rPr>
                <w:rFonts w:ascii="黑体" w:eastAsia="黑体" w:hAnsi="黑体"/>
                <w:kern w:val="0"/>
                <w:sz w:val="20"/>
                <w:szCs w:val="20"/>
              </w:rPr>
              <w:t>E0201</w:t>
            </w:r>
          </w:p>
        </w:tc>
        <w:tc>
          <w:tcPr>
            <w:tcW w:w="1560" w:type="dxa"/>
            <w:tcBorders>
              <w:top w:val="single" w:sz="4" w:space="0" w:color="auto"/>
              <w:left w:val="single" w:sz="4" w:space="0" w:color="auto"/>
              <w:bottom w:val="single" w:sz="4" w:space="0" w:color="auto"/>
              <w:right w:val="single" w:sz="4" w:space="0" w:color="auto"/>
            </w:tcBorders>
          </w:tcPr>
          <w:p w14:paraId="60061B63" w14:textId="77777777" w:rsidR="00A052DC" w:rsidRDefault="009F0A60">
            <w:pPr>
              <w:rPr>
                <w:rFonts w:ascii="黑体" w:eastAsia="黑体" w:hAnsi="黑体"/>
                <w:kern w:val="0"/>
                <w:sz w:val="20"/>
                <w:szCs w:val="20"/>
              </w:rPr>
            </w:pPr>
            <w:r>
              <w:rPr>
                <w:rFonts w:ascii="黑体" w:eastAsia="黑体" w:hAnsi="黑体"/>
                <w:kern w:val="0"/>
                <w:sz w:val="20"/>
                <w:szCs w:val="20"/>
              </w:rPr>
              <w:t>境外项目代码</w:t>
            </w:r>
          </w:p>
        </w:tc>
        <w:tc>
          <w:tcPr>
            <w:tcW w:w="1701" w:type="dxa"/>
            <w:tcBorders>
              <w:top w:val="single" w:sz="4" w:space="0" w:color="auto"/>
              <w:left w:val="single" w:sz="4" w:space="0" w:color="auto"/>
              <w:bottom w:val="single" w:sz="4" w:space="0" w:color="auto"/>
              <w:right w:val="single" w:sz="4" w:space="0" w:color="auto"/>
            </w:tcBorders>
          </w:tcPr>
          <w:p w14:paraId="65558578" w14:textId="77777777" w:rsidR="00A052DC" w:rsidRDefault="009F0A60">
            <w:pPr>
              <w:rPr>
                <w:rFonts w:ascii="黑体" w:eastAsia="黑体" w:hAnsi="黑体"/>
                <w:kern w:val="0"/>
                <w:sz w:val="20"/>
                <w:szCs w:val="20"/>
              </w:rPr>
            </w:pPr>
            <w:r>
              <w:rPr>
                <w:rFonts w:ascii="黑体" w:eastAsia="黑体" w:hAnsi="黑体" w:hint="eastAsia"/>
                <w:kern w:val="0"/>
                <w:sz w:val="20"/>
                <w:szCs w:val="20"/>
              </w:rPr>
              <w:t>字符型，</w:t>
            </w:r>
            <w:r>
              <w:rPr>
                <w:rFonts w:ascii="黑体" w:eastAsia="黑体" w:hAnsi="黑体"/>
                <w:kern w:val="0"/>
                <w:sz w:val="20"/>
                <w:szCs w:val="20"/>
              </w:rPr>
              <w:t>256</w:t>
            </w:r>
          </w:p>
        </w:tc>
        <w:tc>
          <w:tcPr>
            <w:tcW w:w="3543" w:type="dxa"/>
            <w:tcBorders>
              <w:top w:val="single" w:sz="4" w:space="0" w:color="auto"/>
              <w:left w:val="single" w:sz="4" w:space="0" w:color="auto"/>
              <w:bottom w:val="single" w:sz="4" w:space="0" w:color="auto"/>
              <w:right w:val="single" w:sz="4" w:space="0" w:color="auto"/>
            </w:tcBorders>
          </w:tcPr>
          <w:p w14:paraId="1CEE4B00" w14:textId="77777777" w:rsidR="00A052DC" w:rsidRDefault="009F0A60">
            <w:pPr>
              <w:rPr>
                <w:rFonts w:ascii="黑体" w:eastAsia="黑体" w:hAnsi="黑体"/>
                <w:kern w:val="0"/>
                <w:sz w:val="20"/>
                <w:szCs w:val="20"/>
              </w:rPr>
            </w:pPr>
            <w:r>
              <w:rPr>
                <w:rFonts w:ascii="黑体" w:eastAsia="黑体" w:hAnsi="黑体" w:hint="eastAsia"/>
                <w:kern w:val="0"/>
                <w:sz w:val="20"/>
                <w:szCs w:val="20"/>
              </w:rPr>
              <w:t>必填项。</w:t>
            </w:r>
          </w:p>
        </w:tc>
      </w:tr>
      <w:tr w:rsidR="00A052DC" w14:paraId="7B1AFE8D" w14:textId="77777777">
        <w:tc>
          <w:tcPr>
            <w:tcW w:w="1843" w:type="dxa"/>
            <w:tcBorders>
              <w:top w:val="single" w:sz="4" w:space="0" w:color="auto"/>
              <w:left w:val="single" w:sz="4" w:space="0" w:color="auto"/>
              <w:bottom w:val="single" w:sz="4" w:space="0" w:color="auto"/>
              <w:right w:val="single" w:sz="4" w:space="0" w:color="auto"/>
            </w:tcBorders>
          </w:tcPr>
          <w:p w14:paraId="6D3B87AB" w14:textId="77777777" w:rsidR="00A052DC" w:rsidRDefault="009F0A60">
            <w:pPr>
              <w:rPr>
                <w:rFonts w:ascii="黑体" w:eastAsia="黑体" w:hAnsi="黑体"/>
                <w:kern w:val="0"/>
                <w:sz w:val="20"/>
                <w:szCs w:val="20"/>
              </w:rPr>
            </w:pPr>
            <w:r>
              <w:rPr>
                <w:rFonts w:ascii="黑体" w:eastAsia="黑体" w:hAnsi="黑体"/>
                <w:kern w:val="0"/>
                <w:sz w:val="20"/>
                <w:szCs w:val="20"/>
              </w:rPr>
              <w:t>E0202</w:t>
            </w:r>
          </w:p>
        </w:tc>
        <w:tc>
          <w:tcPr>
            <w:tcW w:w="1560" w:type="dxa"/>
            <w:tcBorders>
              <w:top w:val="single" w:sz="4" w:space="0" w:color="auto"/>
              <w:left w:val="single" w:sz="4" w:space="0" w:color="auto"/>
              <w:bottom w:val="single" w:sz="4" w:space="0" w:color="auto"/>
              <w:right w:val="single" w:sz="4" w:space="0" w:color="auto"/>
            </w:tcBorders>
          </w:tcPr>
          <w:p w14:paraId="1FD096CC" w14:textId="77777777" w:rsidR="00A052DC" w:rsidRDefault="009F0A60">
            <w:pPr>
              <w:rPr>
                <w:rFonts w:ascii="黑体" w:eastAsia="黑体" w:hAnsi="黑体"/>
                <w:kern w:val="0"/>
                <w:sz w:val="20"/>
                <w:szCs w:val="20"/>
              </w:rPr>
            </w:pPr>
            <w:r>
              <w:rPr>
                <w:rFonts w:ascii="黑体" w:eastAsia="黑体" w:hAnsi="黑体"/>
                <w:kern w:val="0"/>
                <w:sz w:val="20"/>
                <w:szCs w:val="20"/>
              </w:rPr>
              <w:t>境外项目全称</w:t>
            </w:r>
          </w:p>
        </w:tc>
        <w:tc>
          <w:tcPr>
            <w:tcW w:w="1701" w:type="dxa"/>
            <w:tcBorders>
              <w:top w:val="single" w:sz="4" w:space="0" w:color="auto"/>
              <w:left w:val="single" w:sz="4" w:space="0" w:color="auto"/>
              <w:bottom w:val="single" w:sz="4" w:space="0" w:color="auto"/>
              <w:right w:val="single" w:sz="4" w:space="0" w:color="auto"/>
            </w:tcBorders>
          </w:tcPr>
          <w:p w14:paraId="2035C456" w14:textId="77777777" w:rsidR="00A052DC" w:rsidRDefault="009F0A60">
            <w:pPr>
              <w:rPr>
                <w:rFonts w:ascii="黑体" w:eastAsia="黑体" w:hAnsi="黑体"/>
                <w:kern w:val="0"/>
                <w:sz w:val="20"/>
                <w:szCs w:val="20"/>
              </w:rPr>
            </w:pPr>
            <w:r>
              <w:rPr>
                <w:rFonts w:ascii="黑体" w:eastAsia="黑体" w:hAnsi="黑体" w:hint="eastAsia"/>
                <w:kern w:val="0"/>
                <w:sz w:val="20"/>
                <w:szCs w:val="20"/>
              </w:rPr>
              <w:t>字符型，</w:t>
            </w:r>
            <w:r>
              <w:rPr>
                <w:rFonts w:ascii="黑体" w:eastAsia="黑体" w:hAnsi="黑体"/>
                <w:kern w:val="0"/>
                <w:sz w:val="20"/>
                <w:szCs w:val="20"/>
              </w:rPr>
              <w:t>256</w:t>
            </w:r>
          </w:p>
        </w:tc>
        <w:tc>
          <w:tcPr>
            <w:tcW w:w="3543" w:type="dxa"/>
            <w:tcBorders>
              <w:top w:val="single" w:sz="4" w:space="0" w:color="auto"/>
              <w:left w:val="single" w:sz="4" w:space="0" w:color="auto"/>
              <w:bottom w:val="single" w:sz="4" w:space="0" w:color="auto"/>
              <w:right w:val="single" w:sz="4" w:space="0" w:color="auto"/>
            </w:tcBorders>
          </w:tcPr>
          <w:p w14:paraId="49B9E1DF" w14:textId="77777777" w:rsidR="00A052DC" w:rsidRDefault="009F0A60">
            <w:pPr>
              <w:rPr>
                <w:rFonts w:ascii="黑体" w:eastAsia="黑体" w:hAnsi="黑体"/>
                <w:kern w:val="0"/>
                <w:sz w:val="20"/>
                <w:szCs w:val="20"/>
              </w:rPr>
            </w:pPr>
            <w:r>
              <w:rPr>
                <w:rFonts w:ascii="黑体" w:eastAsia="黑体" w:hAnsi="黑体" w:hint="eastAsia"/>
                <w:kern w:val="0"/>
                <w:sz w:val="20"/>
                <w:szCs w:val="20"/>
              </w:rPr>
              <w:t>必填项。</w:t>
            </w:r>
          </w:p>
        </w:tc>
      </w:tr>
      <w:tr w:rsidR="00A052DC" w14:paraId="5BE9E459" w14:textId="77777777">
        <w:tc>
          <w:tcPr>
            <w:tcW w:w="1843" w:type="dxa"/>
            <w:tcBorders>
              <w:top w:val="single" w:sz="4" w:space="0" w:color="auto"/>
              <w:left w:val="single" w:sz="4" w:space="0" w:color="auto"/>
              <w:bottom w:val="single" w:sz="4" w:space="0" w:color="auto"/>
              <w:right w:val="single" w:sz="4" w:space="0" w:color="auto"/>
            </w:tcBorders>
          </w:tcPr>
          <w:p w14:paraId="55A45F8E" w14:textId="77777777" w:rsidR="00A052DC" w:rsidRDefault="009F0A60">
            <w:pPr>
              <w:rPr>
                <w:rFonts w:ascii="黑体" w:eastAsia="黑体" w:hAnsi="黑体"/>
                <w:kern w:val="0"/>
                <w:sz w:val="20"/>
                <w:szCs w:val="20"/>
              </w:rPr>
            </w:pPr>
            <w:r>
              <w:rPr>
                <w:rFonts w:ascii="黑体" w:eastAsia="黑体" w:hAnsi="黑体"/>
                <w:kern w:val="0"/>
                <w:sz w:val="20"/>
                <w:szCs w:val="20"/>
              </w:rPr>
              <w:t>E0203</w:t>
            </w:r>
          </w:p>
        </w:tc>
        <w:tc>
          <w:tcPr>
            <w:tcW w:w="1560" w:type="dxa"/>
            <w:tcBorders>
              <w:top w:val="single" w:sz="4" w:space="0" w:color="auto"/>
              <w:left w:val="single" w:sz="4" w:space="0" w:color="auto"/>
              <w:bottom w:val="single" w:sz="4" w:space="0" w:color="auto"/>
              <w:right w:val="single" w:sz="4" w:space="0" w:color="auto"/>
            </w:tcBorders>
          </w:tcPr>
          <w:p w14:paraId="1DF2C000" w14:textId="77777777" w:rsidR="00A052DC" w:rsidRDefault="009F0A60">
            <w:pPr>
              <w:rPr>
                <w:rFonts w:ascii="黑体" w:eastAsia="黑体" w:hAnsi="黑体"/>
                <w:kern w:val="0"/>
                <w:sz w:val="20"/>
                <w:szCs w:val="20"/>
              </w:rPr>
            </w:pPr>
            <w:r>
              <w:rPr>
                <w:rFonts w:ascii="黑体" w:eastAsia="黑体" w:hAnsi="黑体"/>
                <w:kern w:val="0"/>
                <w:sz w:val="20"/>
                <w:szCs w:val="20"/>
              </w:rPr>
              <w:t>境外项目所</w:t>
            </w:r>
            <w:r>
              <w:rPr>
                <w:rFonts w:ascii="黑体" w:eastAsia="黑体" w:hAnsi="黑体" w:hint="eastAsia"/>
                <w:kern w:val="0"/>
                <w:sz w:val="20"/>
                <w:szCs w:val="20"/>
              </w:rPr>
              <w:t>在</w:t>
            </w:r>
            <w:r>
              <w:rPr>
                <w:rFonts w:ascii="黑体" w:eastAsia="黑体" w:hAnsi="黑体"/>
                <w:kern w:val="0"/>
                <w:sz w:val="20"/>
                <w:szCs w:val="20"/>
              </w:rPr>
              <w:t>国家/地区</w:t>
            </w:r>
          </w:p>
        </w:tc>
        <w:tc>
          <w:tcPr>
            <w:tcW w:w="1701" w:type="dxa"/>
            <w:tcBorders>
              <w:top w:val="single" w:sz="4" w:space="0" w:color="auto"/>
              <w:left w:val="single" w:sz="4" w:space="0" w:color="auto"/>
              <w:bottom w:val="single" w:sz="4" w:space="0" w:color="auto"/>
              <w:right w:val="single" w:sz="4" w:space="0" w:color="auto"/>
            </w:tcBorders>
          </w:tcPr>
          <w:p w14:paraId="04BC8BAE" w14:textId="77777777" w:rsidR="00A052DC" w:rsidRDefault="009F0A60">
            <w:pPr>
              <w:rPr>
                <w:rFonts w:ascii="黑体" w:eastAsia="黑体" w:hAnsi="黑体"/>
                <w:kern w:val="0"/>
                <w:sz w:val="20"/>
                <w:szCs w:val="20"/>
              </w:rPr>
            </w:pPr>
            <w:r>
              <w:rPr>
                <w:rFonts w:ascii="黑体" w:eastAsia="黑体" w:hAnsi="黑体" w:hint="eastAsia"/>
                <w:kern w:val="0"/>
                <w:sz w:val="20"/>
                <w:szCs w:val="20"/>
              </w:rPr>
              <w:t>字符型，</w:t>
            </w:r>
            <w:r>
              <w:rPr>
                <w:rFonts w:ascii="黑体" w:eastAsia="黑体" w:hAnsi="黑体"/>
                <w:kern w:val="0"/>
                <w:sz w:val="20"/>
                <w:szCs w:val="20"/>
              </w:rPr>
              <w:t>3</w:t>
            </w:r>
          </w:p>
        </w:tc>
        <w:tc>
          <w:tcPr>
            <w:tcW w:w="3543" w:type="dxa"/>
            <w:tcBorders>
              <w:top w:val="single" w:sz="4" w:space="0" w:color="auto"/>
              <w:left w:val="single" w:sz="4" w:space="0" w:color="auto"/>
              <w:bottom w:val="single" w:sz="4" w:space="0" w:color="auto"/>
              <w:right w:val="single" w:sz="4" w:space="0" w:color="auto"/>
            </w:tcBorders>
          </w:tcPr>
          <w:p w14:paraId="50475738" w14:textId="77777777" w:rsidR="00A052DC" w:rsidRDefault="009F0A60">
            <w:pPr>
              <w:rPr>
                <w:rFonts w:ascii="黑体" w:eastAsia="黑体" w:hAnsi="黑体"/>
                <w:kern w:val="0"/>
                <w:sz w:val="20"/>
                <w:szCs w:val="20"/>
              </w:rPr>
            </w:pPr>
            <w:r>
              <w:rPr>
                <w:rFonts w:ascii="黑体" w:eastAsia="黑体" w:hAnsi="黑体" w:hint="eastAsia"/>
                <w:kern w:val="0"/>
                <w:sz w:val="20"/>
                <w:szCs w:val="20"/>
              </w:rPr>
              <w:t>必填项，见国家和地区代码表的</w:t>
            </w:r>
            <w:r>
              <w:rPr>
                <w:rFonts w:ascii="黑体" w:eastAsia="黑体" w:hAnsi="黑体"/>
                <w:kern w:val="0"/>
                <w:sz w:val="20"/>
                <w:szCs w:val="20"/>
              </w:rPr>
              <w:t>3位字母代码。</w:t>
            </w:r>
          </w:p>
        </w:tc>
      </w:tr>
      <w:tr w:rsidR="00A052DC" w14:paraId="5CC424CD" w14:textId="77777777">
        <w:tc>
          <w:tcPr>
            <w:tcW w:w="1843" w:type="dxa"/>
            <w:tcBorders>
              <w:top w:val="single" w:sz="4" w:space="0" w:color="auto"/>
              <w:left w:val="single" w:sz="4" w:space="0" w:color="auto"/>
              <w:bottom w:val="single" w:sz="4" w:space="0" w:color="auto"/>
              <w:right w:val="single" w:sz="4" w:space="0" w:color="auto"/>
            </w:tcBorders>
          </w:tcPr>
          <w:p w14:paraId="36E9FE7A" w14:textId="77777777" w:rsidR="00A052DC" w:rsidRDefault="009F0A60">
            <w:pPr>
              <w:rPr>
                <w:rFonts w:ascii="黑体" w:eastAsia="黑体" w:hAnsi="黑体"/>
                <w:kern w:val="0"/>
                <w:sz w:val="20"/>
                <w:szCs w:val="20"/>
              </w:rPr>
            </w:pPr>
            <w:r>
              <w:rPr>
                <w:rFonts w:ascii="黑体" w:eastAsia="黑体" w:hAnsi="黑体"/>
                <w:kern w:val="0"/>
                <w:sz w:val="20"/>
                <w:szCs w:val="20"/>
              </w:rPr>
              <w:t>E0204</w:t>
            </w:r>
          </w:p>
        </w:tc>
        <w:tc>
          <w:tcPr>
            <w:tcW w:w="1560" w:type="dxa"/>
            <w:tcBorders>
              <w:top w:val="single" w:sz="4" w:space="0" w:color="auto"/>
              <w:left w:val="single" w:sz="4" w:space="0" w:color="auto"/>
              <w:bottom w:val="single" w:sz="4" w:space="0" w:color="auto"/>
              <w:right w:val="single" w:sz="4" w:space="0" w:color="auto"/>
            </w:tcBorders>
          </w:tcPr>
          <w:p w14:paraId="49D4677C" w14:textId="77777777" w:rsidR="00A052DC" w:rsidRDefault="009F0A60">
            <w:pPr>
              <w:rPr>
                <w:rFonts w:ascii="黑体" w:eastAsia="黑体" w:hAnsi="黑体"/>
                <w:kern w:val="0"/>
                <w:sz w:val="20"/>
                <w:szCs w:val="20"/>
              </w:rPr>
            </w:pPr>
            <w:r>
              <w:rPr>
                <w:rFonts w:ascii="黑体" w:eastAsia="黑体" w:hAnsi="黑体" w:hint="eastAsia"/>
                <w:kern w:val="0"/>
                <w:sz w:val="20"/>
                <w:szCs w:val="20"/>
              </w:rPr>
              <w:t>项目类型</w:t>
            </w:r>
          </w:p>
        </w:tc>
        <w:tc>
          <w:tcPr>
            <w:tcW w:w="1701" w:type="dxa"/>
            <w:tcBorders>
              <w:top w:val="single" w:sz="4" w:space="0" w:color="auto"/>
              <w:left w:val="single" w:sz="4" w:space="0" w:color="auto"/>
              <w:bottom w:val="single" w:sz="4" w:space="0" w:color="auto"/>
              <w:right w:val="single" w:sz="4" w:space="0" w:color="auto"/>
            </w:tcBorders>
          </w:tcPr>
          <w:p w14:paraId="7492DFBA" w14:textId="77777777" w:rsidR="00A052DC" w:rsidRDefault="009F0A60">
            <w:pPr>
              <w:rPr>
                <w:rFonts w:ascii="黑体" w:eastAsia="黑体" w:hAnsi="黑体"/>
                <w:kern w:val="0"/>
                <w:sz w:val="20"/>
                <w:szCs w:val="20"/>
              </w:rPr>
            </w:pPr>
            <w:r>
              <w:rPr>
                <w:rFonts w:ascii="黑体" w:eastAsia="黑体" w:hAnsi="黑体" w:hint="eastAsia"/>
                <w:kern w:val="0"/>
                <w:sz w:val="20"/>
                <w:szCs w:val="20"/>
              </w:rPr>
              <w:t>整数型</w:t>
            </w:r>
          </w:p>
        </w:tc>
        <w:tc>
          <w:tcPr>
            <w:tcW w:w="3543" w:type="dxa"/>
            <w:tcBorders>
              <w:top w:val="single" w:sz="4" w:space="0" w:color="auto"/>
              <w:left w:val="single" w:sz="4" w:space="0" w:color="auto"/>
              <w:bottom w:val="single" w:sz="4" w:space="0" w:color="auto"/>
              <w:right w:val="single" w:sz="4" w:space="0" w:color="auto"/>
            </w:tcBorders>
          </w:tcPr>
          <w:p w14:paraId="419DE10D" w14:textId="77777777" w:rsidR="00A052DC" w:rsidRDefault="009F0A60">
            <w:pPr>
              <w:rPr>
                <w:rFonts w:ascii="黑体" w:eastAsia="黑体" w:hAnsi="黑体"/>
                <w:kern w:val="0"/>
                <w:sz w:val="20"/>
                <w:szCs w:val="20"/>
              </w:rPr>
            </w:pPr>
            <w:r>
              <w:rPr>
                <w:rFonts w:ascii="黑体" w:eastAsia="黑体" w:hAnsi="黑体" w:hint="eastAsia"/>
                <w:kern w:val="0"/>
                <w:sz w:val="20"/>
                <w:szCs w:val="20"/>
              </w:rPr>
              <w:t>必填项，必须</w:t>
            </w:r>
            <w:r>
              <w:rPr>
                <w:rFonts w:ascii="黑体" w:eastAsia="黑体" w:hAnsi="黑体"/>
                <w:kern w:val="0"/>
                <w:sz w:val="20"/>
                <w:szCs w:val="20"/>
              </w:rPr>
              <w:t>2选1：</w:t>
            </w:r>
          </w:p>
          <w:p w14:paraId="60CF7A93" w14:textId="77777777" w:rsidR="00A052DC" w:rsidRDefault="009F0A60">
            <w:pPr>
              <w:rPr>
                <w:rFonts w:ascii="黑体" w:eastAsia="黑体" w:hAnsi="黑体"/>
                <w:kern w:val="0"/>
                <w:sz w:val="20"/>
                <w:szCs w:val="20"/>
              </w:rPr>
            </w:pPr>
            <w:r>
              <w:rPr>
                <w:rFonts w:ascii="黑体" w:eastAsia="黑体" w:hAnsi="黑体"/>
                <w:kern w:val="0"/>
                <w:sz w:val="20"/>
                <w:szCs w:val="20"/>
              </w:rPr>
              <w:t>1-自主建设项目；</w:t>
            </w:r>
          </w:p>
          <w:p w14:paraId="129E44DA" w14:textId="77777777" w:rsidR="00A052DC" w:rsidRDefault="009F0A60">
            <w:pPr>
              <w:rPr>
                <w:rFonts w:ascii="黑体" w:eastAsia="黑体" w:hAnsi="黑体"/>
                <w:kern w:val="0"/>
                <w:sz w:val="20"/>
                <w:szCs w:val="20"/>
              </w:rPr>
            </w:pPr>
            <w:r>
              <w:rPr>
                <w:rFonts w:ascii="黑体" w:eastAsia="黑体" w:hAnsi="黑体"/>
                <w:kern w:val="0"/>
                <w:sz w:val="20"/>
                <w:szCs w:val="20"/>
              </w:rPr>
              <w:t>2-援建项目。</w:t>
            </w:r>
          </w:p>
        </w:tc>
      </w:tr>
      <w:tr w:rsidR="00A052DC" w14:paraId="6B225314" w14:textId="77777777">
        <w:tc>
          <w:tcPr>
            <w:tcW w:w="1843" w:type="dxa"/>
            <w:tcBorders>
              <w:top w:val="single" w:sz="4" w:space="0" w:color="auto"/>
              <w:left w:val="single" w:sz="4" w:space="0" w:color="auto"/>
              <w:bottom w:val="single" w:sz="4" w:space="0" w:color="auto"/>
              <w:right w:val="single" w:sz="4" w:space="0" w:color="auto"/>
            </w:tcBorders>
          </w:tcPr>
          <w:p w14:paraId="6BC4C2DB" w14:textId="77777777" w:rsidR="00A052DC" w:rsidRDefault="009F0A60">
            <w:pPr>
              <w:rPr>
                <w:rFonts w:ascii="黑体" w:eastAsia="黑体" w:hAnsi="黑体"/>
                <w:kern w:val="0"/>
                <w:sz w:val="20"/>
                <w:szCs w:val="20"/>
              </w:rPr>
            </w:pPr>
            <w:r>
              <w:rPr>
                <w:rFonts w:ascii="黑体" w:eastAsia="黑体" w:hAnsi="黑体"/>
                <w:kern w:val="0"/>
                <w:sz w:val="20"/>
                <w:szCs w:val="20"/>
              </w:rPr>
              <w:t>E0205</w:t>
            </w:r>
          </w:p>
        </w:tc>
        <w:tc>
          <w:tcPr>
            <w:tcW w:w="1560" w:type="dxa"/>
            <w:tcBorders>
              <w:top w:val="single" w:sz="4" w:space="0" w:color="auto"/>
              <w:left w:val="single" w:sz="4" w:space="0" w:color="auto"/>
              <w:bottom w:val="single" w:sz="4" w:space="0" w:color="auto"/>
              <w:right w:val="single" w:sz="4" w:space="0" w:color="auto"/>
            </w:tcBorders>
          </w:tcPr>
          <w:p w14:paraId="76744B75" w14:textId="77777777" w:rsidR="00A052DC" w:rsidRDefault="009F0A60">
            <w:pPr>
              <w:rPr>
                <w:rFonts w:ascii="黑体" w:eastAsia="黑体" w:hAnsi="黑体"/>
                <w:kern w:val="0"/>
                <w:sz w:val="20"/>
                <w:szCs w:val="20"/>
              </w:rPr>
            </w:pPr>
            <w:r>
              <w:rPr>
                <w:rFonts w:ascii="黑体" w:eastAsia="黑体" w:hAnsi="黑体" w:hint="eastAsia"/>
                <w:kern w:val="0"/>
                <w:sz w:val="20"/>
                <w:szCs w:val="20"/>
              </w:rPr>
              <w:t>签约主体类型</w:t>
            </w:r>
          </w:p>
        </w:tc>
        <w:tc>
          <w:tcPr>
            <w:tcW w:w="1701" w:type="dxa"/>
            <w:tcBorders>
              <w:top w:val="single" w:sz="4" w:space="0" w:color="auto"/>
              <w:left w:val="single" w:sz="4" w:space="0" w:color="auto"/>
              <w:bottom w:val="single" w:sz="4" w:space="0" w:color="auto"/>
              <w:right w:val="single" w:sz="4" w:space="0" w:color="auto"/>
            </w:tcBorders>
          </w:tcPr>
          <w:p w14:paraId="667FCA1A" w14:textId="77777777" w:rsidR="00A052DC" w:rsidRDefault="009F0A60">
            <w:pPr>
              <w:rPr>
                <w:rFonts w:ascii="黑体" w:eastAsia="黑体" w:hAnsi="黑体"/>
                <w:kern w:val="0"/>
                <w:sz w:val="20"/>
                <w:szCs w:val="20"/>
              </w:rPr>
            </w:pPr>
            <w:r>
              <w:rPr>
                <w:rFonts w:ascii="黑体" w:eastAsia="黑体" w:hAnsi="黑体" w:hint="eastAsia"/>
                <w:kern w:val="0"/>
                <w:sz w:val="20"/>
                <w:szCs w:val="20"/>
              </w:rPr>
              <w:t>整数型</w:t>
            </w:r>
          </w:p>
        </w:tc>
        <w:tc>
          <w:tcPr>
            <w:tcW w:w="3543" w:type="dxa"/>
            <w:tcBorders>
              <w:top w:val="single" w:sz="4" w:space="0" w:color="auto"/>
              <w:left w:val="single" w:sz="4" w:space="0" w:color="auto"/>
              <w:bottom w:val="single" w:sz="4" w:space="0" w:color="auto"/>
              <w:right w:val="single" w:sz="4" w:space="0" w:color="auto"/>
            </w:tcBorders>
          </w:tcPr>
          <w:p w14:paraId="4F79385D" w14:textId="77777777" w:rsidR="00A052DC" w:rsidRDefault="009F0A60">
            <w:pPr>
              <w:rPr>
                <w:rFonts w:ascii="黑体" w:eastAsia="黑体" w:hAnsi="黑体"/>
                <w:kern w:val="0"/>
                <w:sz w:val="20"/>
                <w:szCs w:val="20"/>
              </w:rPr>
            </w:pPr>
            <w:r>
              <w:rPr>
                <w:rFonts w:ascii="黑体" w:eastAsia="黑体" w:hAnsi="黑体" w:hint="eastAsia"/>
                <w:kern w:val="0"/>
                <w:sz w:val="20"/>
                <w:szCs w:val="20"/>
              </w:rPr>
              <w:t>必填项，必须</w:t>
            </w:r>
            <w:r>
              <w:rPr>
                <w:rFonts w:ascii="黑体" w:eastAsia="黑体" w:hAnsi="黑体"/>
                <w:kern w:val="0"/>
                <w:sz w:val="20"/>
                <w:szCs w:val="20"/>
              </w:rPr>
              <w:t>6选1：</w:t>
            </w:r>
          </w:p>
          <w:p w14:paraId="7874175B" w14:textId="77777777" w:rsidR="00A052DC" w:rsidRDefault="009F0A60">
            <w:pPr>
              <w:rPr>
                <w:rFonts w:ascii="黑体" w:eastAsia="黑体" w:hAnsi="黑体"/>
                <w:kern w:val="0"/>
                <w:sz w:val="20"/>
                <w:szCs w:val="20"/>
              </w:rPr>
            </w:pPr>
            <w:r>
              <w:rPr>
                <w:rFonts w:ascii="黑体" w:eastAsia="黑体" w:hAnsi="黑体"/>
                <w:kern w:val="0"/>
                <w:sz w:val="20"/>
                <w:szCs w:val="20"/>
              </w:rPr>
              <w:t>1-申报主体自身（设立项目办公室单独核算）；</w:t>
            </w:r>
          </w:p>
          <w:p w14:paraId="18B0FA84" w14:textId="77777777" w:rsidR="00A052DC" w:rsidRDefault="009F0A60">
            <w:pPr>
              <w:rPr>
                <w:rFonts w:ascii="黑体" w:eastAsia="黑体" w:hAnsi="黑体"/>
                <w:kern w:val="0"/>
                <w:sz w:val="20"/>
                <w:szCs w:val="20"/>
              </w:rPr>
            </w:pPr>
            <w:r>
              <w:rPr>
                <w:rFonts w:ascii="黑体" w:eastAsia="黑体" w:hAnsi="黑体"/>
                <w:kern w:val="0"/>
                <w:sz w:val="20"/>
                <w:szCs w:val="20"/>
              </w:rPr>
              <w:t>2-申报主体自身（未设立项目办公室）；</w:t>
            </w:r>
            <w:r>
              <w:rPr>
                <w:rFonts w:ascii="黑体" w:eastAsia="黑体" w:hAnsi="黑体" w:hint="eastAsia"/>
                <w:kern w:val="0"/>
                <w:sz w:val="20"/>
                <w:szCs w:val="20"/>
              </w:rPr>
              <w:t>3-</w:t>
            </w:r>
            <w:r>
              <w:rPr>
                <w:rFonts w:ascii="黑体" w:eastAsia="黑体" w:hAnsi="黑体"/>
                <w:kern w:val="0"/>
                <w:sz w:val="20"/>
                <w:szCs w:val="20"/>
              </w:rPr>
              <w:t>境外分支机构（非法人机构）</w:t>
            </w:r>
            <w:r>
              <w:rPr>
                <w:rFonts w:ascii="黑体" w:eastAsia="黑体" w:hAnsi="黑体" w:hint="eastAsia"/>
                <w:kern w:val="0"/>
                <w:sz w:val="20"/>
                <w:szCs w:val="20"/>
              </w:rPr>
              <w:t>；</w:t>
            </w:r>
          </w:p>
          <w:p w14:paraId="5887688D" w14:textId="77777777" w:rsidR="00A052DC" w:rsidRDefault="009F0A60">
            <w:pPr>
              <w:rPr>
                <w:rFonts w:ascii="黑体" w:eastAsia="黑体" w:hAnsi="黑体"/>
                <w:kern w:val="0"/>
                <w:sz w:val="20"/>
                <w:szCs w:val="20"/>
              </w:rPr>
            </w:pPr>
            <w:r>
              <w:rPr>
                <w:rFonts w:ascii="黑体" w:eastAsia="黑体" w:hAnsi="黑体"/>
                <w:kern w:val="0"/>
                <w:sz w:val="20"/>
                <w:szCs w:val="20"/>
              </w:rPr>
              <w:t>4-境外子机构（法人机构）（申报主体持有表决权＞50%）；</w:t>
            </w:r>
          </w:p>
          <w:p w14:paraId="5DC2D7D1" w14:textId="77777777" w:rsidR="00A052DC" w:rsidRDefault="009F0A60">
            <w:pPr>
              <w:rPr>
                <w:rFonts w:ascii="黑体" w:eastAsia="黑体" w:hAnsi="黑体"/>
                <w:kern w:val="0"/>
                <w:sz w:val="20"/>
                <w:szCs w:val="20"/>
              </w:rPr>
            </w:pPr>
            <w:r>
              <w:rPr>
                <w:rFonts w:ascii="黑体" w:eastAsia="黑体" w:hAnsi="黑体"/>
                <w:kern w:val="0"/>
                <w:sz w:val="20"/>
                <w:szCs w:val="20"/>
              </w:rPr>
              <w:t>5-境外联营或合营机构（法人）（申报主体持有表决权≥10%，但≤50%）；</w:t>
            </w:r>
          </w:p>
          <w:p w14:paraId="16DE4AAA" w14:textId="77777777" w:rsidR="00A052DC" w:rsidRDefault="009F0A60">
            <w:pPr>
              <w:rPr>
                <w:rFonts w:ascii="黑体" w:eastAsia="黑体" w:hAnsi="黑体"/>
                <w:kern w:val="0"/>
                <w:sz w:val="20"/>
                <w:szCs w:val="20"/>
              </w:rPr>
            </w:pPr>
            <w:r>
              <w:rPr>
                <w:rFonts w:ascii="黑体" w:eastAsia="黑体" w:hAnsi="黑体"/>
                <w:kern w:val="0"/>
                <w:sz w:val="20"/>
                <w:szCs w:val="20"/>
              </w:rPr>
              <w:t>6-境内总承包企业。</w:t>
            </w:r>
          </w:p>
          <w:p w14:paraId="68E31826" w14:textId="77777777" w:rsidR="00A052DC" w:rsidRDefault="009F0A60">
            <w:pPr>
              <w:rPr>
                <w:rFonts w:ascii="黑体" w:eastAsia="黑体" w:hAnsi="黑体"/>
                <w:kern w:val="0"/>
                <w:sz w:val="20"/>
                <w:szCs w:val="20"/>
              </w:rPr>
            </w:pPr>
            <w:r>
              <w:rPr>
                <w:rFonts w:ascii="黑体" w:eastAsia="黑体" w:hAnsi="黑体" w:hint="eastAsia"/>
                <w:kern w:val="0"/>
                <w:sz w:val="20"/>
                <w:szCs w:val="20"/>
              </w:rPr>
              <w:t>此项目如选择</w:t>
            </w:r>
            <w:r>
              <w:rPr>
                <w:rFonts w:ascii="黑体" w:eastAsia="黑体" w:hAnsi="黑体"/>
                <w:kern w:val="0"/>
                <w:sz w:val="20"/>
                <w:szCs w:val="20"/>
              </w:rPr>
              <w:t>3或4或5，则不填写E0214-E0228</w:t>
            </w:r>
            <w:r>
              <w:rPr>
                <w:rFonts w:ascii="黑体" w:eastAsia="黑体" w:hAnsi="黑体" w:hint="eastAsia"/>
                <w:kern w:val="0"/>
                <w:sz w:val="20"/>
                <w:szCs w:val="20"/>
              </w:rPr>
              <w:t>，应填写</w:t>
            </w:r>
            <w:r>
              <w:rPr>
                <w:rFonts w:ascii="黑体" w:eastAsia="黑体" w:hAnsi="黑体"/>
                <w:kern w:val="0"/>
                <w:sz w:val="20"/>
                <w:szCs w:val="20"/>
              </w:rPr>
              <w:t>A系列报表</w:t>
            </w:r>
            <w:r>
              <w:rPr>
                <w:rFonts w:ascii="黑体" w:eastAsia="黑体" w:hAnsi="黑体" w:hint="eastAsia"/>
                <w:kern w:val="0"/>
                <w:sz w:val="20"/>
                <w:szCs w:val="20"/>
              </w:rPr>
              <w:t>。</w:t>
            </w:r>
          </w:p>
        </w:tc>
      </w:tr>
      <w:tr w:rsidR="00A052DC" w14:paraId="5731977C" w14:textId="77777777">
        <w:tc>
          <w:tcPr>
            <w:tcW w:w="1843" w:type="dxa"/>
            <w:tcBorders>
              <w:top w:val="single" w:sz="4" w:space="0" w:color="auto"/>
              <w:left w:val="single" w:sz="4" w:space="0" w:color="auto"/>
              <w:bottom w:val="single" w:sz="4" w:space="0" w:color="auto"/>
              <w:right w:val="single" w:sz="4" w:space="0" w:color="auto"/>
            </w:tcBorders>
          </w:tcPr>
          <w:p w14:paraId="1EDA07F9" w14:textId="77777777" w:rsidR="00A052DC" w:rsidRDefault="009F0A60">
            <w:pPr>
              <w:rPr>
                <w:rFonts w:ascii="黑体" w:eastAsia="黑体" w:hAnsi="黑体"/>
                <w:kern w:val="0"/>
                <w:sz w:val="20"/>
                <w:szCs w:val="20"/>
              </w:rPr>
            </w:pPr>
            <w:r>
              <w:rPr>
                <w:rFonts w:ascii="黑体" w:eastAsia="黑体" w:hAnsi="黑体"/>
                <w:kern w:val="0"/>
                <w:sz w:val="20"/>
                <w:szCs w:val="20"/>
              </w:rPr>
              <w:t>E0206</w:t>
            </w:r>
          </w:p>
        </w:tc>
        <w:tc>
          <w:tcPr>
            <w:tcW w:w="1560" w:type="dxa"/>
            <w:tcBorders>
              <w:top w:val="single" w:sz="4" w:space="0" w:color="auto"/>
              <w:left w:val="single" w:sz="4" w:space="0" w:color="auto"/>
              <w:bottom w:val="single" w:sz="4" w:space="0" w:color="auto"/>
              <w:right w:val="single" w:sz="4" w:space="0" w:color="auto"/>
            </w:tcBorders>
          </w:tcPr>
          <w:p w14:paraId="2D70AFE7" w14:textId="77777777" w:rsidR="00A052DC" w:rsidRDefault="009F0A60">
            <w:pPr>
              <w:rPr>
                <w:rFonts w:ascii="黑体" w:eastAsia="黑体" w:hAnsi="黑体"/>
                <w:kern w:val="0"/>
                <w:sz w:val="20"/>
                <w:szCs w:val="20"/>
              </w:rPr>
            </w:pPr>
            <w:r>
              <w:rPr>
                <w:rFonts w:ascii="黑体" w:eastAsia="黑体" w:hAnsi="黑体" w:hint="eastAsia"/>
                <w:kern w:val="0"/>
                <w:sz w:val="20"/>
                <w:szCs w:val="20"/>
              </w:rPr>
              <w:t>签约主体</w:t>
            </w:r>
            <w:r>
              <w:rPr>
                <w:rFonts w:ascii="黑体" w:eastAsia="黑体" w:hAnsi="黑体"/>
                <w:kern w:val="0"/>
                <w:sz w:val="20"/>
                <w:szCs w:val="20"/>
              </w:rPr>
              <w:t>名称</w:t>
            </w:r>
          </w:p>
        </w:tc>
        <w:tc>
          <w:tcPr>
            <w:tcW w:w="1701" w:type="dxa"/>
            <w:tcBorders>
              <w:top w:val="single" w:sz="4" w:space="0" w:color="auto"/>
              <w:left w:val="single" w:sz="4" w:space="0" w:color="auto"/>
              <w:bottom w:val="single" w:sz="4" w:space="0" w:color="auto"/>
              <w:right w:val="single" w:sz="4" w:space="0" w:color="auto"/>
            </w:tcBorders>
          </w:tcPr>
          <w:p w14:paraId="5718FF97" w14:textId="77777777" w:rsidR="00A052DC" w:rsidRDefault="009F0A60">
            <w:pPr>
              <w:rPr>
                <w:rFonts w:ascii="黑体" w:eastAsia="黑体" w:hAnsi="黑体"/>
                <w:kern w:val="0"/>
                <w:sz w:val="20"/>
                <w:szCs w:val="20"/>
              </w:rPr>
            </w:pPr>
            <w:r>
              <w:rPr>
                <w:rFonts w:ascii="黑体" w:eastAsia="黑体" w:hAnsi="黑体" w:hint="eastAsia"/>
                <w:kern w:val="0"/>
                <w:sz w:val="20"/>
                <w:szCs w:val="20"/>
              </w:rPr>
              <w:t>字符型，</w:t>
            </w:r>
            <w:r>
              <w:rPr>
                <w:rFonts w:ascii="黑体" w:eastAsia="黑体" w:hAnsi="黑体"/>
                <w:kern w:val="0"/>
                <w:sz w:val="20"/>
                <w:szCs w:val="20"/>
              </w:rPr>
              <w:t>256</w:t>
            </w:r>
          </w:p>
        </w:tc>
        <w:tc>
          <w:tcPr>
            <w:tcW w:w="3543" w:type="dxa"/>
            <w:tcBorders>
              <w:top w:val="single" w:sz="4" w:space="0" w:color="auto"/>
              <w:left w:val="single" w:sz="4" w:space="0" w:color="auto"/>
              <w:bottom w:val="single" w:sz="4" w:space="0" w:color="auto"/>
              <w:right w:val="single" w:sz="4" w:space="0" w:color="auto"/>
            </w:tcBorders>
          </w:tcPr>
          <w:p w14:paraId="7512396A" w14:textId="77777777" w:rsidR="00A052DC" w:rsidRDefault="009F0A60">
            <w:pPr>
              <w:rPr>
                <w:rFonts w:ascii="黑体" w:eastAsia="黑体" w:hAnsi="黑体"/>
                <w:kern w:val="0"/>
                <w:sz w:val="20"/>
                <w:szCs w:val="20"/>
              </w:rPr>
            </w:pPr>
            <w:r>
              <w:rPr>
                <w:rFonts w:ascii="黑体" w:eastAsia="黑体" w:hAnsi="黑体" w:hint="eastAsia"/>
                <w:kern w:val="0"/>
                <w:sz w:val="20"/>
                <w:szCs w:val="20"/>
              </w:rPr>
              <w:t>必填项。</w:t>
            </w:r>
          </w:p>
        </w:tc>
      </w:tr>
      <w:tr w:rsidR="00A052DC" w14:paraId="7C3047C6" w14:textId="77777777">
        <w:tc>
          <w:tcPr>
            <w:tcW w:w="1843" w:type="dxa"/>
            <w:tcBorders>
              <w:top w:val="single" w:sz="4" w:space="0" w:color="auto"/>
              <w:left w:val="single" w:sz="4" w:space="0" w:color="auto"/>
              <w:bottom w:val="single" w:sz="4" w:space="0" w:color="auto"/>
              <w:right w:val="single" w:sz="4" w:space="0" w:color="auto"/>
            </w:tcBorders>
          </w:tcPr>
          <w:p w14:paraId="248D532E" w14:textId="77777777" w:rsidR="00A052DC" w:rsidRDefault="009F0A60">
            <w:pPr>
              <w:rPr>
                <w:rFonts w:ascii="黑体" w:eastAsia="黑体" w:hAnsi="黑体"/>
                <w:kern w:val="0"/>
                <w:sz w:val="20"/>
                <w:szCs w:val="20"/>
              </w:rPr>
            </w:pPr>
            <w:r>
              <w:rPr>
                <w:rFonts w:ascii="黑体" w:eastAsia="黑体" w:hAnsi="黑体"/>
                <w:kern w:val="0"/>
                <w:sz w:val="20"/>
                <w:szCs w:val="20"/>
              </w:rPr>
              <w:t>E0207</w:t>
            </w:r>
          </w:p>
        </w:tc>
        <w:tc>
          <w:tcPr>
            <w:tcW w:w="1560" w:type="dxa"/>
            <w:tcBorders>
              <w:top w:val="single" w:sz="4" w:space="0" w:color="auto"/>
              <w:left w:val="single" w:sz="4" w:space="0" w:color="auto"/>
              <w:bottom w:val="single" w:sz="4" w:space="0" w:color="auto"/>
              <w:right w:val="single" w:sz="4" w:space="0" w:color="auto"/>
            </w:tcBorders>
          </w:tcPr>
          <w:p w14:paraId="5CBCCB19" w14:textId="77777777" w:rsidR="00A052DC" w:rsidRDefault="009F0A60">
            <w:pPr>
              <w:rPr>
                <w:rFonts w:ascii="黑体" w:eastAsia="黑体" w:hAnsi="黑体"/>
                <w:kern w:val="0"/>
                <w:sz w:val="20"/>
                <w:szCs w:val="20"/>
              </w:rPr>
            </w:pPr>
            <w:r>
              <w:rPr>
                <w:rFonts w:ascii="黑体" w:eastAsia="黑体" w:hAnsi="黑体"/>
                <w:kern w:val="0"/>
                <w:sz w:val="20"/>
                <w:szCs w:val="20"/>
              </w:rPr>
              <w:t>合同签约</w:t>
            </w:r>
            <w:r>
              <w:rPr>
                <w:rFonts w:ascii="黑体" w:eastAsia="黑体" w:hAnsi="黑体" w:hint="eastAsia"/>
                <w:kern w:val="0"/>
                <w:sz w:val="20"/>
                <w:szCs w:val="20"/>
              </w:rPr>
              <w:t>币种</w:t>
            </w:r>
          </w:p>
        </w:tc>
        <w:tc>
          <w:tcPr>
            <w:tcW w:w="1701" w:type="dxa"/>
            <w:tcBorders>
              <w:top w:val="single" w:sz="4" w:space="0" w:color="auto"/>
              <w:left w:val="single" w:sz="4" w:space="0" w:color="auto"/>
              <w:bottom w:val="single" w:sz="4" w:space="0" w:color="auto"/>
              <w:right w:val="single" w:sz="4" w:space="0" w:color="auto"/>
            </w:tcBorders>
          </w:tcPr>
          <w:p w14:paraId="51C8718C" w14:textId="77777777" w:rsidR="00A052DC" w:rsidRDefault="009F0A60">
            <w:pPr>
              <w:rPr>
                <w:rFonts w:ascii="黑体" w:eastAsia="黑体" w:hAnsi="黑体"/>
                <w:kern w:val="0"/>
                <w:sz w:val="20"/>
                <w:szCs w:val="20"/>
              </w:rPr>
            </w:pPr>
            <w:r>
              <w:rPr>
                <w:rFonts w:ascii="黑体" w:eastAsia="黑体" w:hAnsi="黑体" w:hint="eastAsia"/>
                <w:kern w:val="0"/>
                <w:sz w:val="20"/>
                <w:szCs w:val="20"/>
              </w:rPr>
              <w:t>字符型，</w:t>
            </w:r>
            <w:r>
              <w:rPr>
                <w:rFonts w:ascii="黑体" w:eastAsia="黑体" w:hAnsi="黑体"/>
                <w:kern w:val="0"/>
                <w:sz w:val="20"/>
                <w:szCs w:val="20"/>
              </w:rPr>
              <w:t>3</w:t>
            </w:r>
          </w:p>
        </w:tc>
        <w:tc>
          <w:tcPr>
            <w:tcW w:w="3543" w:type="dxa"/>
            <w:tcBorders>
              <w:top w:val="single" w:sz="4" w:space="0" w:color="auto"/>
              <w:left w:val="single" w:sz="4" w:space="0" w:color="auto"/>
              <w:bottom w:val="single" w:sz="4" w:space="0" w:color="auto"/>
              <w:right w:val="single" w:sz="4" w:space="0" w:color="auto"/>
            </w:tcBorders>
          </w:tcPr>
          <w:p w14:paraId="11B8DE2E" w14:textId="77777777" w:rsidR="00A052DC" w:rsidRDefault="009F0A60">
            <w:pPr>
              <w:rPr>
                <w:rFonts w:ascii="黑体" w:eastAsia="黑体" w:hAnsi="黑体"/>
                <w:kern w:val="0"/>
                <w:sz w:val="20"/>
                <w:szCs w:val="20"/>
              </w:rPr>
            </w:pPr>
            <w:r>
              <w:rPr>
                <w:rFonts w:ascii="黑体" w:eastAsia="黑体" w:hAnsi="黑体" w:hint="eastAsia"/>
                <w:kern w:val="0"/>
                <w:sz w:val="20"/>
                <w:szCs w:val="20"/>
              </w:rPr>
              <w:t>必填项，见币种代码表。</w:t>
            </w:r>
          </w:p>
        </w:tc>
      </w:tr>
      <w:tr w:rsidR="00A052DC" w14:paraId="72109B9C" w14:textId="77777777">
        <w:tc>
          <w:tcPr>
            <w:tcW w:w="1843" w:type="dxa"/>
            <w:tcBorders>
              <w:top w:val="single" w:sz="4" w:space="0" w:color="auto"/>
              <w:left w:val="single" w:sz="4" w:space="0" w:color="auto"/>
              <w:bottom w:val="single" w:sz="4" w:space="0" w:color="auto"/>
              <w:right w:val="single" w:sz="4" w:space="0" w:color="auto"/>
            </w:tcBorders>
          </w:tcPr>
          <w:p w14:paraId="633E788E" w14:textId="77777777" w:rsidR="00A052DC" w:rsidRDefault="009F0A60">
            <w:pPr>
              <w:rPr>
                <w:rFonts w:ascii="黑体" w:eastAsia="黑体" w:hAnsi="黑体"/>
                <w:kern w:val="0"/>
                <w:sz w:val="20"/>
                <w:szCs w:val="20"/>
              </w:rPr>
            </w:pPr>
            <w:r>
              <w:rPr>
                <w:rFonts w:ascii="黑体" w:eastAsia="黑体" w:hAnsi="黑体"/>
                <w:kern w:val="0"/>
                <w:sz w:val="20"/>
                <w:szCs w:val="20"/>
              </w:rPr>
              <w:t>E0208</w:t>
            </w:r>
          </w:p>
        </w:tc>
        <w:tc>
          <w:tcPr>
            <w:tcW w:w="1560" w:type="dxa"/>
            <w:tcBorders>
              <w:top w:val="single" w:sz="4" w:space="0" w:color="auto"/>
              <w:left w:val="single" w:sz="4" w:space="0" w:color="auto"/>
              <w:bottom w:val="single" w:sz="4" w:space="0" w:color="auto"/>
              <w:right w:val="single" w:sz="4" w:space="0" w:color="auto"/>
            </w:tcBorders>
          </w:tcPr>
          <w:p w14:paraId="6EA3C2B7" w14:textId="77777777" w:rsidR="00A052DC" w:rsidRDefault="009F0A60">
            <w:pPr>
              <w:rPr>
                <w:rFonts w:ascii="黑体" w:eastAsia="黑体" w:hAnsi="黑体"/>
                <w:kern w:val="0"/>
                <w:sz w:val="20"/>
                <w:szCs w:val="20"/>
              </w:rPr>
            </w:pPr>
            <w:r>
              <w:rPr>
                <w:rFonts w:ascii="黑体" w:eastAsia="黑体" w:hAnsi="黑体"/>
                <w:kern w:val="0"/>
                <w:sz w:val="20"/>
                <w:szCs w:val="20"/>
              </w:rPr>
              <w:t>合同签约金额</w:t>
            </w:r>
          </w:p>
        </w:tc>
        <w:tc>
          <w:tcPr>
            <w:tcW w:w="1701" w:type="dxa"/>
            <w:tcBorders>
              <w:top w:val="single" w:sz="4" w:space="0" w:color="auto"/>
              <w:left w:val="single" w:sz="4" w:space="0" w:color="auto"/>
              <w:bottom w:val="single" w:sz="4" w:space="0" w:color="auto"/>
              <w:right w:val="single" w:sz="4" w:space="0" w:color="auto"/>
            </w:tcBorders>
          </w:tcPr>
          <w:p w14:paraId="1B71CC3C" w14:textId="77777777" w:rsidR="00A052DC" w:rsidRDefault="009F0A60">
            <w:pPr>
              <w:rPr>
                <w:rFonts w:ascii="黑体" w:eastAsia="黑体" w:hAnsi="黑体"/>
                <w:kern w:val="0"/>
                <w:sz w:val="20"/>
                <w:szCs w:val="20"/>
              </w:rPr>
            </w:pPr>
            <w:r>
              <w:rPr>
                <w:rFonts w:ascii="黑体" w:eastAsia="黑体" w:hAnsi="黑体" w:hint="eastAsia"/>
                <w:kern w:val="0"/>
                <w:sz w:val="20"/>
                <w:szCs w:val="20"/>
              </w:rPr>
              <w:t>数值型，</w:t>
            </w:r>
            <w:r>
              <w:rPr>
                <w:rFonts w:ascii="黑体" w:eastAsia="黑体" w:hAnsi="黑体"/>
                <w:kern w:val="0"/>
                <w:sz w:val="20"/>
                <w:szCs w:val="20"/>
              </w:rPr>
              <w:t>22.2</w:t>
            </w:r>
          </w:p>
        </w:tc>
        <w:tc>
          <w:tcPr>
            <w:tcW w:w="3543" w:type="dxa"/>
            <w:tcBorders>
              <w:top w:val="single" w:sz="4" w:space="0" w:color="auto"/>
              <w:left w:val="single" w:sz="4" w:space="0" w:color="auto"/>
              <w:bottom w:val="single" w:sz="4" w:space="0" w:color="auto"/>
              <w:right w:val="single" w:sz="4" w:space="0" w:color="auto"/>
            </w:tcBorders>
          </w:tcPr>
          <w:p w14:paraId="77B4E70B" w14:textId="77777777" w:rsidR="00A052DC" w:rsidRDefault="009F0A60">
            <w:pPr>
              <w:rPr>
                <w:rFonts w:ascii="黑体" w:eastAsia="黑体" w:hAnsi="黑体"/>
                <w:kern w:val="0"/>
                <w:sz w:val="20"/>
                <w:szCs w:val="20"/>
              </w:rPr>
            </w:pPr>
            <w:r>
              <w:rPr>
                <w:rFonts w:ascii="黑体" w:eastAsia="黑体" w:hAnsi="黑体" w:hint="eastAsia"/>
                <w:kern w:val="0"/>
                <w:sz w:val="20"/>
                <w:szCs w:val="20"/>
              </w:rPr>
              <w:t>必填项，必须≥</w:t>
            </w:r>
            <w:r>
              <w:rPr>
                <w:rFonts w:ascii="黑体" w:eastAsia="黑体" w:hAnsi="黑体"/>
                <w:kern w:val="0"/>
                <w:sz w:val="20"/>
                <w:szCs w:val="20"/>
              </w:rPr>
              <w:t>0。</w:t>
            </w:r>
          </w:p>
        </w:tc>
      </w:tr>
      <w:tr w:rsidR="00A052DC" w14:paraId="2884A074" w14:textId="77777777">
        <w:tc>
          <w:tcPr>
            <w:tcW w:w="1843" w:type="dxa"/>
            <w:tcBorders>
              <w:top w:val="single" w:sz="4" w:space="0" w:color="auto"/>
              <w:left w:val="single" w:sz="4" w:space="0" w:color="auto"/>
              <w:bottom w:val="single" w:sz="4" w:space="0" w:color="auto"/>
              <w:right w:val="single" w:sz="4" w:space="0" w:color="auto"/>
            </w:tcBorders>
          </w:tcPr>
          <w:p w14:paraId="022EB160" w14:textId="77777777" w:rsidR="00A052DC" w:rsidRDefault="009F0A60">
            <w:pPr>
              <w:rPr>
                <w:rFonts w:ascii="黑体" w:eastAsia="黑体" w:hAnsi="黑体"/>
                <w:kern w:val="0"/>
                <w:sz w:val="20"/>
                <w:szCs w:val="20"/>
              </w:rPr>
            </w:pPr>
            <w:r>
              <w:rPr>
                <w:rFonts w:ascii="黑体" w:eastAsia="黑体" w:hAnsi="黑体"/>
                <w:kern w:val="0"/>
                <w:sz w:val="20"/>
                <w:szCs w:val="20"/>
              </w:rPr>
              <w:t>E0209</w:t>
            </w:r>
          </w:p>
        </w:tc>
        <w:tc>
          <w:tcPr>
            <w:tcW w:w="1560" w:type="dxa"/>
            <w:tcBorders>
              <w:top w:val="single" w:sz="4" w:space="0" w:color="auto"/>
              <w:left w:val="single" w:sz="4" w:space="0" w:color="auto"/>
              <w:bottom w:val="single" w:sz="4" w:space="0" w:color="auto"/>
              <w:right w:val="single" w:sz="4" w:space="0" w:color="auto"/>
            </w:tcBorders>
          </w:tcPr>
          <w:p w14:paraId="54577389" w14:textId="77777777" w:rsidR="00A052DC" w:rsidRDefault="009F0A60">
            <w:pPr>
              <w:rPr>
                <w:rFonts w:ascii="黑体" w:eastAsia="黑体" w:hAnsi="黑体"/>
                <w:kern w:val="0"/>
                <w:sz w:val="20"/>
                <w:szCs w:val="20"/>
              </w:rPr>
            </w:pPr>
            <w:r>
              <w:rPr>
                <w:rFonts w:ascii="黑体" w:eastAsia="黑体" w:hAnsi="黑体" w:hint="eastAsia"/>
                <w:kern w:val="0"/>
                <w:sz w:val="20"/>
                <w:szCs w:val="20"/>
              </w:rPr>
              <w:t>项目建设期限（月）</w:t>
            </w:r>
          </w:p>
        </w:tc>
        <w:tc>
          <w:tcPr>
            <w:tcW w:w="1701" w:type="dxa"/>
            <w:tcBorders>
              <w:top w:val="single" w:sz="4" w:space="0" w:color="auto"/>
              <w:left w:val="single" w:sz="4" w:space="0" w:color="auto"/>
              <w:bottom w:val="single" w:sz="4" w:space="0" w:color="auto"/>
              <w:right w:val="single" w:sz="4" w:space="0" w:color="auto"/>
            </w:tcBorders>
          </w:tcPr>
          <w:p w14:paraId="39F82970" w14:textId="77777777" w:rsidR="00A052DC" w:rsidRDefault="009F0A60">
            <w:pPr>
              <w:rPr>
                <w:rFonts w:ascii="黑体" w:eastAsia="黑体" w:hAnsi="黑体"/>
                <w:kern w:val="0"/>
                <w:sz w:val="20"/>
                <w:szCs w:val="20"/>
              </w:rPr>
            </w:pPr>
            <w:r>
              <w:rPr>
                <w:rFonts w:ascii="黑体" w:eastAsia="黑体" w:hAnsi="黑体" w:hint="eastAsia"/>
                <w:kern w:val="0"/>
                <w:sz w:val="20"/>
                <w:szCs w:val="20"/>
              </w:rPr>
              <w:t>数值型，</w:t>
            </w:r>
            <w:r>
              <w:rPr>
                <w:rFonts w:ascii="黑体" w:eastAsia="黑体" w:hAnsi="黑体"/>
                <w:kern w:val="0"/>
                <w:sz w:val="20"/>
                <w:szCs w:val="20"/>
              </w:rPr>
              <w:t>22.2</w:t>
            </w:r>
          </w:p>
        </w:tc>
        <w:tc>
          <w:tcPr>
            <w:tcW w:w="3543" w:type="dxa"/>
            <w:tcBorders>
              <w:top w:val="single" w:sz="4" w:space="0" w:color="auto"/>
              <w:left w:val="single" w:sz="4" w:space="0" w:color="auto"/>
              <w:bottom w:val="single" w:sz="4" w:space="0" w:color="auto"/>
              <w:right w:val="single" w:sz="4" w:space="0" w:color="auto"/>
            </w:tcBorders>
          </w:tcPr>
          <w:p w14:paraId="005A6FEE" w14:textId="77777777" w:rsidR="00A052DC" w:rsidRDefault="009F0A60">
            <w:pPr>
              <w:rPr>
                <w:rFonts w:ascii="黑体" w:eastAsia="黑体" w:hAnsi="黑体"/>
                <w:kern w:val="0"/>
                <w:sz w:val="20"/>
                <w:szCs w:val="20"/>
              </w:rPr>
            </w:pPr>
            <w:r>
              <w:rPr>
                <w:rFonts w:ascii="黑体" w:eastAsia="黑体" w:hAnsi="黑体" w:hint="eastAsia"/>
                <w:kern w:val="0"/>
                <w:sz w:val="20"/>
                <w:szCs w:val="20"/>
              </w:rPr>
              <w:t>必填项，必须≥</w:t>
            </w:r>
            <w:r>
              <w:rPr>
                <w:rFonts w:ascii="黑体" w:eastAsia="黑体" w:hAnsi="黑体"/>
                <w:kern w:val="0"/>
                <w:sz w:val="20"/>
                <w:szCs w:val="20"/>
              </w:rPr>
              <w:t>0。</w:t>
            </w:r>
          </w:p>
        </w:tc>
      </w:tr>
      <w:tr w:rsidR="00A052DC" w14:paraId="0489C58D" w14:textId="77777777">
        <w:tc>
          <w:tcPr>
            <w:tcW w:w="1843" w:type="dxa"/>
            <w:tcBorders>
              <w:top w:val="single" w:sz="4" w:space="0" w:color="auto"/>
              <w:left w:val="single" w:sz="4" w:space="0" w:color="auto"/>
              <w:bottom w:val="single" w:sz="4" w:space="0" w:color="auto"/>
              <w:right w:val="single" w:sz="4" w:space="0" w:color="auto"/>
            </w:tcBorders>
          </w:tcPr>
          <w:p w14:paraId="030C5551" w14:textId="77777777" w:rsidR="00A052DC" w:rsidRDefault="009F0A60">
            <w:pPr>
              <w:rPr>
                <w:rFonts w:ascii="黑体" w:eastAsia="黑体" w:hAnsi="黑体"/>
                <w:kern w:val="0"/>
                <w:sz w:val="20"/>
                <w:szCs w:val="20"/>
              </w:rPr>
            </w:pPr>
            <w:r>
              <w:rPr>
                <w:rFonts w:ascii="黑体" w:eastAsia="黑体" w:hAnsi="黑体"/>
                <w:kern w:val="0"/>
                <w:sz w:val="20"/>
                <w:szCs w:val="20"/>
              </w:rPr>
              <w:t>E0210</w:t>
            </w:r>
          </w:p>
        </w:tc>
        <w:tc>
          <w:tcPr>
            <w:tcW w:w="1560" w:type="dxa"/>
            <w:tcBorders>
              <w:top w:val="single" w:sz="4" w:space="0" w:color="auto"/>
              <w:left w:val="single" w:sz="4" w:space="0" w:color="auto"/>
              <w:bottom w:val="single" w:sz="4" w:space="0" w:color="auto"/>
              <w:right w:val="single" w:sz="4" w:space="0" w:color="auto"/>
            </w:tcBorders>
          </w:tcPr>
          <w:p w14:paraId="0B31B7C1" w14:textId="77777777" w:rsidR="00A052DC" w:rsidRDefault="009F0A60">
            <w:pPr>
              <w:rPr>
                <w:rFonts w:ascii="黑体" w:eastAsia="黑体" w:hAnsi="黑体"/>
                <w:kern w:val="0"/>
                <w:sz w:val="20"/>
                <w:szCs w:val="20"/>
              </w:rPr>
            </w:pPr>
            <w:r>
              <w:rPr>
                <w:rFonts w:ascii="黑体" w:eastAsia="黑体" w:hAnsi="黑体" w:hint="eastAsia"/>
                <w:kern w:val="0"/>
                <w:sz w:val="20"/>
                <w:szCs w:val="20"/>
              </w:rPr>
              <w:t>是否存在分包</w:t>
            </w:r>
          </w:p>
        </w:tc>
        <w:tc>
          <w:tcPr>
            <w:tcW w:w="1701" w:type="dxa"/>
            <w:tcBorders>
              <w:top w:val="single" w:sz="4" w:space="0" w:color="auto"/>
              <w:left w:val="single" w:sz="4" w:space="0" w:color="auto"/>
              <w:bottom w:val="single" w:sz="4" w:space="0" w:color="auto"/>
              <w:right w:val="single" w:sz="4" w:space="0" w:color="auto"/>
            </w:tcBorders>
          </w:tcPr>
          <w:p w14:paraId="0D632ADB" w14:textId="77777777" w:rsidR="00A052DC" w:rsidRDefault="009F0A60">
            <w:pPr>
              <w:rPr>
                <w:rFonts w:ascii="黑体" w:eastAsia="黑体" w:hAnsi="黑体"/>
                <w:kern w:val="0"/>
                <w:sz w:val="20"/>
                <w:szCs w:val="20"/>
              </w:rPr>
            </w:pPr>
            <w:r>
              <w:rPr>
                <w:rFonts w:ascii="黑体" w:eastAsia="黑体" w:hAnsi="黑体" w:hint="eastAsia"/>
                <w:kern w:val="0"/>
                <w:sz w:val="20"/>
                <w:szCs w:val="20"/>
              </w:rPr>
              <w:t>整数型</w:t>
            </w:r>
          </w:p>
        </w:tc>
        <w:tc>
          <w:tcPr>
            <w:tcW w:w="3543" w:type="dxa"/>
            <w:tcBorders>
              <w:top w:val="single" w:sz="4" w:space="0" w:color="auto"/>
              <w:left w:val="single" w:sz="4" w:space="0" w:color="auto"/>
              <w:bottom w:val="single" w:sz="4" w:space="0" w:color="auto"/>
              <w:right w:val="single" w:sz="4" w:space="0" w:color="auto"/>
            </w:tcBorders>
          </w:tcPr>
          <w:p w14:paraId="306FBF75" w14:textId="77777777" w:rsidR="00A052DC" w:rsidRDefault="009F0A60">
            <w:pPr>
              <w:rPr>
                <w:rFonts w:ascii="黑体" w:eastAsia="黑体" w:hAnsi="黑体"/>
                <w:kern w:val="0"/>
                <w:sz w:val="20"/>
                <w:szCs w:val="20"/>
              </w:rPr>
            </w:pPr>
            <w:r>
              <w:rPr>
                <w:rFonts w:ascii="黑体" w:eastAsia="黑体" w:hAnsi="黑体" w:hint="eastAsia"/>
                <w:kern w:val="0"/>
                <w:sz w:val="20"/>
                <w:szCs w:val="20"/>
              </w:rPr>
              <w:t>必填项，必须</w:t>
            </w:r>
            <w:r>
              <w:rPr>
                <w:rFonts w:ascii="黑体" w:eastAsia="黑体" w:hAnsi="黑体"/>
                <w:kern w:val="0"/>
                <w:sz w:val="20"/>
                <w:szCs w:val="20"/>
              </w:rPr>
              <w:t>2选1：</w:t>
            </w:r>
          </w:p>
          <w:p w14:paraId="4A10C707" w14:textId="77777777" w:rsidR="00A052DC" w:rsidRDefault="009F0A60">
            <w:pPr>
              <w:rPr>
                <w:rFonts w:ascii="黑体" w:eastAsia="黑体" w:hAnsi="黑体"/>
                <w:kern w:val="0"/>
                <w:sz w:val="20"/>
                <w:szCs w:val="20"/>
              </w:rPr>
            </w:pPr>
            <w:r>
              <w:rPr>
                <w:rFonts w:ascii="黑体" w:eastAsia="黑体" w:hAnsi="黑体"/>
                <w:kern w:val="0"/>
                <w:sz w:val="20"/>
                <w:szCs w:val="20"/>
              </w:rPr>
              <w:t>1-是；</w:t>
            </w:r>
          </w:p>
          <w:p w14:paraId="00B03FBC" w14:textId="77777777" w:rsidR="00A052DC" w:rsidRDefault="009F0A60">
            <w:pPr>
              <w:rPr>
                <w:rFonts w:ascii="黑体" w:eastAsia="黑体" w:hAnsi="黑体"/>
                <w:kern w:val="0"/>
                <w:sz w:val="20"/>
                <w:szCs w:val="20"/>
              </w:rPr>
            </w:pPr>
            <w:r>
              <w:rPr>
                <w:rFonts w:ascii="黑体" w:eastAsia="黑体" w:hAnsi="黑体"/>
                <w:kern w:val="0"/>
                <w:sz w:val="20"/>
                <w:szCs w:val="20"/>
              </w:rPr>
              <w:t>2-否。</w:t>
            </w:r>
          </w:p>
        </w:tc>
      </w:tr>
      <w:tr w:rsidR="00A052DC" w14:paraId="18ABE80B" w14:textId="77777777">
        <w:tc>
          <w:tcPr>
            <w:tcW w:w="1843" w:type="dxa"/>
            <w:tcBorders>
              <w:top w:val="single" w:sz="4" w:space="0" w:color="auto"/>
              <w:left w:val="single" w:sz="4" w:space="0" w:color="auto"/>
              <w:bottom w:val="single" w:sz="4" w:space="0" w:color="auto"/>
              <w:right w:val="single" w:sz="4" w:space="0" w:color="auto"/>
            </w:tcBorders>
          </w:tcPr>
          <w:p w14:paraId="346C52D2" w14:textId="77777777" w:rsidR="00A052DC" w:rsidRDefault="009F0A60">
            <w:pPr>
              <w:rPr>
                <w:rFonts w:ascii="黑体" w:eastAsia="黑体" w:hAnsi="黑体"/>
                <w:kern w:val="0"/>
                <w:sz w:val="20"/>
                <w:szCs w:val="20"/>
              </w:rPr>
            </w:pPr>
            <w:r>
              <w:rPr>
                <w:rFonts w:ascii="黑体" w:eastAsia="黑体" w:hAnsi="黑体"/>
                <w:kern w:val="0"/>
                <w:sz w:val="20"/>
                <w:szCs w:val="20"/>
              </w:rPr>
              <w:t>E02111</w:t>
            </w:r>
          </w:p>
        </w:tc>
        <w:tc>
          <w:tcPr>
            <w:tcW w:w="1560" w:type="dxa"/>
            <w:tcBorders>
              <w:top w:val="single" w:sz="4" w:space="0" w:color="auto"/>
              <w:left w:val="single" w:sz="4" w:space="0" w:color="auto"/>
              <w:bottom w:val="single" w:sz="4" w:space="0" w:color="auto"/>
              <w:right w:val="single" w:sz="4" w:space="0" w:color="auto"/>
            </w:tcBorders>
          </w:tcPr>
          <w:p w14:paraId="3AB201C9" w14:textId="77777777" w:rsidR="00A052DC" w:rsidRDefault="009F0A60">
            <w:pPr>
              <w:rPr>
                <w:rFonts w:ascii="黑体" w:eastAsia="黑体" w:hAnsi="黑体"/>
                <w:kern w:val="0"/>
                <w:sz w:val="20"/>
                <w:szCs w:val="20"/>
              </w:rPr>
            </w:pPr>
            <w:r>
              <w:rPr>
                <w:rFonts w:ascii="黑体" w:eastAsia="黑体" w:hAnsi="黑体" w:cs="黑体" w:hint="eastAsia"/>
                <w:color w:val="000000"/>
                <w:sz w:val="20"/>
                <w:szCs w:val="20"/>
              </w:rPr>
              <w:t>实际承包主体代码</w:t>
            </w:r>
            <w:r>
              <w:rPr>
                <w:rFonts w:ascii="黑体" w:eastAsia="黑体" w:hAnsi="黑体" w:cs="黑体"/>
                <w:color w:val="000000"/>
                <w:sz w:val="20"/>
                <w:szCs w:val="20"/>
              </w:rPr>
              <w:t>1</w:t>
            </w:r>
          </w:p>
        </w:tc>
        <w:tc>
          <w:tcPr>
            <w:tcW w:w="1701" w:type="dxa"/>
            <w:tcBorders>
              <w:top w:val="single" w:sz="4" w:space="0" w:color="auto"/>
              <w:left w:val="single" w:sz="4" w:space="0" w:color="auto"/>
              <w:bottom w:val="single" w:sz="4" w:space="0" w:color="auto"/>
              <w:right w:val="single" w:sz="4" w:space="0" w:color="auto"/>
            </w:tcBorders>
          </w:tcPr>
          <w:p w14:paraId="59FB5F1C" w14:textId="77777777" w:rsidR="00A052DC" w:rsidRDefault="009F0A60">
            <w:pPr>
              <w:rPr>
                <w:rFonts w:ascii="黑体" w:eastAsia="黑体" w:hAnsi="黑体"/>
                <w:kern w:val="0"/>
                <w:sz w:val="20"/>
                <w:szCs w:val="20"/>
              </w:rPr>
            </w:pPr>
            <w:r>
              <w:rPr>
                <w:rFonts w:ascii="黑体" w:eastAsia="黑体" w:hAnsi="黑体" w:cs="黑体" w:hint="eastAsia"/>
                <w:kern w:val="0"/>
                <w:sz w:val="20"/>
                <w:szCs w:val="20"/>
              </w:rPr>
              <w:t>字符型，</w:t>
            </w:r>
            <w:r>
              <w:rPr>
                <w:rFonts w:ascii="黑体" w:eastAsia="黑体" w:hAnsi="黑体" w:cs="黑体"/>
                <w:kern w:val="0"/>
                <w:sz w:val="20"/>
                <w:szCs w:val="20"/>
              </w:rPr>
              <w:t>256</w:t>
            </w:r>
          </w:p>
        </w:tc>
        <w:tc>
          <w:tcPr>
            <w:tcW w:w="3543" w:type="dxa"/>
            <w:tcBorders>
              <w:top w:val="single" w:sz="4" w:space="0" w:color="auto"/>
              <w:left w:val="single" w:sz="4" w:space="0" w:color="auto"/>
              <w:bottom w:val="single" w:sz="4" w:space="0" w:color="auto"/>
              <w:right w:val="single" w:sz="4" w:space="0" w:color="auto"/>
            </w:tcBorders>
          </w:tcPr>
          <w:p w14:paraId="1B7CAAA9" w14:textId="77777777" w:rsidR="00A052DC" w:rsidRDefault="009F0A60">
            <w:pPr>
              <w:rPr>
                <w:rFonts w:ascii="黑体" w:eastAsia="黑体" w:hAnsi="黑体"/>
                <w:kern w:val="0"/>
                <w:sz w:val="20"/>
                <w:szCs w:val="20"/>
              </w:rPr>
            </w:pPr>
            <w:r>
              <w:rPr>
                <w:rFonts w:ascii="黑体" w:eastAsia="黑体" w:hAnsi="黑体" w:cs="黑体"/>
                <w:kern w:val="0"/>
                <w:sz w:val="20"/>
                <w:szCs w:val="20"/>
              </w:rPr>
              <w:t>非必填项。若E0210=1，此项</w:t>
            </w:r>
            <w:r>
              <w:rPr>
                <w:rFonts w:ascii="黑体" w:eastAsia="黑体" w:hAnsi="黑体" w:cs="黑体" w:hint="eastAsia"/>
                <w:kern w:val="0"/>
                <w:sz w:val="20"/>
                <w:szCs w:val="20"/>
              </w:rPr>
              <w:t>必填</w:t>
            </w:r>
            <w:r>
              <w:rPr>
                <w:rFonts w:ascii="黑体" w:eastAsia="黑体" w:hAnsi="黑体" w:cs="黑体"/>
                <w:kern w:val="0"/>
                <w:sz w:val="20"/>
                <w:szCs w:val="20"/>
              </w:rPr>
              <w:t>；若E0210=2,此项为空</w:t>
            </w:r>
            <w:r>
              <w:rPr>
                <w:rFonts w:ascii="黑体" w:eastAsia="黑体" w:hAnsi="黑体" w:cs="黑体" w:hint="eastAsia"/>
                <w:kern w:val="0"/>
                <w:sz w:val="20"/>
                <w:szCs w:val="20"/>
              </w:rPr>
              <w:t>。</w:t>
            </w:r>
          </w:p>
        </w:tc>
      </w:tr>
      <w:tr w:rsidR="00A052DC" w14:paraId="28A76889" w14:textId="77777777">
        <w:tc>
          <w:tcPr>
            <w:tcW w:w="1843" w:type="dxa"/>
            <w:tcBorders>
              <w:top w:val="single" w:sz="4" w:space="0" w:color="auto"/>
              <w:left w:val="single" w:sz="4" w:space="0" w:color="auto"/>
              <w:bottom w:val="single" w:sz="4" w:space="0" w:color="auto"/>
              <w:right w:val="single" w:sz="4" w:space="0" w:color="auto"/>
            </w:tcBorders>
          </w:tcPr>
          <w:p w14:paraId="15F1AEE3" w14:textId="77777777" w:rsidR="00A052DC" w:rsidRDefault="009F0A60">
            <w:pPr>
              <w:rPr>
                <w:rFonts w:ascii="黑体" w:eastAsia="黑体" w:hAnsi="黑体"/>
                <w:kern w:val="0"/>
                <w:sz w:val="20"/>
                <w:szCs w:val="20"/>
              </w:rPr>
            </w:pPr>
            <w:r>
              <w:rPr>
                <w:rFonts w:ascii="黑体" w:eastAsia="黑体" w:hAnsi="黑体"/>
                <w:kern w:val="0"/>
                <w:sz w:val="20"/>
                <w:szCs w:val="20"/>
              </w:rPr>
              <w:t>E02121</w:t>
            </w:r>
          </w:p>
        </w:tc>
        <w:tc>
          <w:tcPr>
            <w:tcW w:w="1560" w:type="dxa"/>
            <w:tcBorders>
              <w:top w:val="single" w:sz="4" w:space="0" w:color="auto"/>
              <w:left w:val="single" w:sz="4" w:space="0" w:color="auto"/>
              <w:bottom w:val="single" w:sz="4" w:space="0" w:color="auto"/>
              <w:right w:val="single" w:sz="4" w:space="0" w:color="auto"/>
            </w:tcBorders>
          </w:tcPr>
          <w:p w14:paraId="73CEF97A" w14:textId="77777777" w:rsidR="00A052DC" w:rsidRDefault="009F0A60">
            <w:pPr>
              <w:rPr>
                <w:rFonts w:ascii="黑体" w:eastAsia="黑体" w:hAnsi="黑体"/>
                <w:kern w:val="0"/>
                <w:sz w:val="20"/>
                <w:szCs w:val="20"/>
              </w:rPr>
            </w:pPr>
            <w:r>
              <w:rPr>
                <w:rFonts w:ascii="黑体" w:eastAsia="黑体" w:hAnsi="黑体" w:hint="eastAsia"/>
                <w:kern w:val="0"/>
                <w:sz w:val="20"/>
                <w:szCs w:val="20"/>
              </w:rPr>
              <w:t>实际承包主体名称</w:t>
            </w:r>
            <w:r>
              <w:rPr>
                <w:rFonts w:ascii="黑体" w:eastAsia="黑体" w:hAnsi="黑体"/>
                <w:kern w:val="0"/>
                <w:sz w:val="20"/>
                <w:szCs w:val="20"/>
              </w:rPr>
              <w:t>1</w:t>
            </w:r>
          </w:p>
        </w:tc>
        <w:tc>
          <w:tcPr>
            <w:tcW w:w="1701" w:type="dxa"/>
            <w:tcBorders>
              <w:top w:val="single" w:sz="4" w:space="0" w:color="auto"/>
              <w:left w:val="single" w:sz="4" w:space="0" w:color="auto"/>
              <w:bottom w:val="single" w:sz="4" w:space="0" w:color="auto"/>
              <w:right w:val="single" w:sz="4" w:space="0" w:color="auto"/>
            </w:tcBorders>
          </w:tcPr>
          <w:p w14:paraId="6645B44E" w14:textId="77777777" w:rsidR="00A052DC" w:rsidRDefault="009F0A60">
            <w:pPr>
              <w:rPr>
                <w:rFonts w:ascii="黑体" w:eastAsia="黑体" w:hAnsi="黑体"/>
                <w:kern w:val="0"/>
                <w:sz w:val="20"/>
                <w:szCs w:val="20"/>
              </w:rPr>
            </w:pPr>
            <w:r>
              <w:rPr>
                <w:rFonts w:ascii="黑体" w:eastAsia="黑体" w:hAnsi="黑体" w:hint="eastAsia"/>
                <w:kern w:val="0"/>
                <w:sz w:val="20"/>
                <w:szCs w:val="20"/>
              </w:rPr>
              <w:t>字符型，</w:t>
            </w:r>
            <w:r>
              <w:rPr>
                <w:rFonts w:ascii="黑体" w:eastAsia="黑体" w:hAnsi="黑体"/>
                <w:kern w:val="0"/>
                <w:sz w:val="20"/>
                <w:szCs w:val="20"/>
              </w:rPr>
              <w:t>256</w:t>
            </w:r>
          </w:p>
        </w:tc>
        <w:tc>
          <w:tcPr>
            <w:tcW w:w="3543" w:type="dxa"/>
            <w:tcBorders>
              <w:top w:val="single" w:sz="4" w:space="0" w:color="auto"/>
              <w:left w:val="single" w:sz="4" w:space="0" w:color="auto"/>
              <w:bottom w:val="single" w:sz="4" w:space="0" w:color="auto"/>
              <w:right w:val="single" w:sz="4" w:space="0" w:color="auto"/>
            </w:tcBorders>
          </w:tcPr>
          <w:p w14:paraId="1B22FF43" w14:textId="77777777" w:rsidR="00A052DC" w:rsidRDefault="009F0A60">
            <w:pPr>
              <w:rPr>
                <w:rFonts w:ascii="黑体" w:eastAsia="黑体" w:hAnsi="黑体"/>
                <w:kern w:val="0"/>
                <w:sz w:val="20"/>
                <w:szCs w:val="20"/>
              </w:rPr>
            </w:pPr>
            <w:r>
              <w:rPr>
                <w:rFonts w:ascii="黑体" w:eastAsia="黑体" w:hAnsi="黑体" w:cs="黑体"/>
                <w:kern w:val="0"/>
                <w:sz w:val="20"/>
                <w:szCs w:val="20"/>
              </w:rPr>
              <w:t>非必填项。若E0210=1，此项</w:t>
            </w:r>
            <w:r>
              <w:rPr>
                <w:rFonts w:ascii="黑体" w:eastAsia="黑体" w:hAnsi="黑体" w:cs="黑体" w:hint="eastAsia"/>
                <w:kern w:val="0"/>
                <w:sz w:val="20"/>
                <w:szCs w:val="20"/>
              </w:rPr>
              <w:t>必填</w:t>
            </w:r>
            <w:r>
              <w:rPr>
                <w:rFonts w:ascii="黑体" w:eastAsia="黑体" w:hAnsi="黑体" w:cs="黑体"/>
                <w:kern w:val="0"/>
                <w:sz w:val="20"/>
                <w:szCs w:val="20"/>
              </w:rPr>
              <w:t>；若E0210=2,此项为空</w:t>
            </w:r>
            <w:r>
              <w:rPr>
                <w:rFonts w:ascii="黑体" w:eastAsia="黑体" w:hAnsi="黑体" w:cs="黑体" w:hint="eastAsia"/>
                <w:kern w:val="0"/>
                <w:sz w:val="20"/>
                <w:szCs w:val="20"/>
              </w:rPr>
              <w:t>。</w:t>
            </w:r>
          </w:p>
        </w:tc>
      </w:tr>
      <w:tr w:rsidR="00A052DC" w14:paraId="68DFBFBF" w14:textId="77777777">
        <w:tc>
          <w:tcPr>
            <w:tcW w:w="1843" w:type="dxa"/>
            <w:tcBorders>
              <w:top w:val="single" w:sz="4" w:space="0" w:color="auto"/>
              <w:left w:val="single" w:sz="4" w:space="0" w:color="auto"/>
              <w:bottom w:val="single" w:sz="4" w:space="0" w:color="auto"/>
              <w:right w:val="single" w:sz="4" w:space="0" w:color="auto"/>
            </w:tcBorders>
          </w:tcPr>
          <w:p w14:paraId="39621647" w14:textId="77777777" w:rsidR="00A052DC" w:rsidRDefault="009F0A60">
            <w:pPr>
              <w:rPr>
                <w:rFonts w:ascii="黑体" w:eastAsia="黑体" w:hAnsi="黑体"/>
                <w:kern w:val="0"/>
                <w:sz w:val="20"/>
                <w:szCs w:val="20"/>
              </w:rPr>
            </w:pPr>
            <w:r>
              <w:rPr>
                <w:rFonts w:ascii="黑体" w:eastAsia="黑体" w:hAnsi="黑体"/>
                <w:kern w:val="0"/>
                <w:sz w:val="20"/>
                <w:szCs w:val="20"/>
              </w:rPr>
              <w:t>E02131</w:t>
            </w:r>
          </w:p>
        </w:tc>
        <w:tc>
          <w:tcPr>
            <w:tcW w:w="1560" w:type="dxa"/>
            <w:tcBorders>
              <w:top w:val="single" w:sz="4" w:space="0" w:color="auto"/>
              <w:left w:val="single" w:sz="4" w:space="0" w:color="auto"/>
              <w:bottom w:val="single" w:sz="4" w:space="0" w:color="auto"/>
              <w:right w:val="single" w:sz="4" w:space="0" w:color="auto"/>
            </w:tcBorders>
          </w:tcPr>
          <w:p w14:paraId="02FD78B7" w14:textId="77777777" w:rsidR="00A052DC" w:rsidRDefault="009F0A60">
            <w:pPr>
              <w:rPr>
                <w:rFonts w:ascii="黑体" w:eastAsia="黑体" w:hAnsi="黑体"/>
                <w:kern w:val="0"/>
                <w:sz w:val="20"/>
                <w:szCs w:val="20"/>
              </w:rPr>
            </w:pPr>
            <w:r>
              <w:rPr>
                <w:rFonts w:ascii="黑体" w:eastAsia="黑体" w:hAnsi="黑体" w:cs="黑体"/>
                <w:kern w:val="0"/>
                <w:sz w:val="20"/>
                <w:szCs w:val="20"/>
              </w:rPr>
              <w:t>实际承包主体类型1</w:t>
            </w:r>
          </w:p>
        </w:tc>
        <w:tc>
          <w:tcPr>
            <w:tcW w:w="1701" w:type="dxa"/>
            <w:tcBorders>
              <w:top w:val="single" w:sz="4" w:space="0" w:color="auto"/>
              <w:left w:val="single" w:sz="4" w:space="0" w:color="auto"/>
              <w:bottom w:val="single" w:sz="4" w:space="0" w:color="auto"/>
              <w:right w:val="single" w:sz="4" w:space="0" w:color="auto"/>
            </w:tcBorders>
          </w:tcPr>
          <w:p w14:paraId="510CAC91" w14:textId="77777777" w:rsidR="00A052DC" w:rsidRDefault="009F0A60">
            <w:pPr>
              <w:rPr>
                <w:rFonts w:ascii="黑体" w:eastAsia="黑体" w:hAnsi="黑体"/>
                <w:kern w:val="0"/>
                <w:sz w:val="20"/>
                <w:szCs w:val="20"/>
              </w:rPr>
            </w:pPr>
            <w:r>
              <w:rPr>
                <w:rFonts w:ascii="黑体" w:eastAsia="黑体" w:hAnsi="黑体" w:hint="eastAsia"/>
                <w:kern w:val="0"/>
                <w:sz w:val="20"/>
                <w:szCs w:val="20"/>
              </w:rPr>
              <w:t>字符型，3</w:t>
            </w:r>
          </w:p>
        </w:tc>
        <w:tc>
          <w:tcPr>
            <w:tcW w:w="3543" w:type="dxa"/>
            <w:tcBorders>
              <w:top w:val="single" w:sz="4" w:space="0" w:color="auto"/>
              <w:left w:val="single" w:sz="4" w:space="0" w:color="auto"/>
              <w:bottom w:val="single" w:sz="4" w:space="0" w:color="auto"/>
              <w:right w:val="single" w:sz="4" w:space="0" w:color="auto"/>
            </w:tcBorders>
          </w:tcPr>
          <w:p w14:paraId="6E451755" w14:textId="77777777" w:rsidR="00A052DC" w:rsidRDefault="009F0A60">
            <w:pPr>
              <w:rPr>
                <w:rFonts w:ascii="黑体" w:eastAsia="黑体" w:hAnsi="黑体" w:cs="黑体"/>
                <w:kern w:val="0"/>
                <w:sz w:val="20"/>
                <w:szCs w:val="20"/>
              </w:rPr>
            </w:pPr>
            <w:r>
              <w:rPr>
                <w:rFonts w:ascii="黑体" w:eastAsia="黑体" w:hAnsi="黑体" w:cs="黑体"/>
                <w:kern w:val="0"/>
                <w:sz w:val="20"/>
                <w:szCs w:val="20"/>
              </w:rPr>
              <w:t>非必填项。若E0210=1，此项</w:t>
            </w:r>
            <w:r>
              <w:rPr>
                <w:rFonts w:ascii="黑体" w:eastAsia="黑体" w:hAnsi="黑体" w:cs="黑体" w:hint="eastAsia"/>
                <w:kern w:val="0"/>
                <w:sz w:val="20"/>
                <w:szCs w:val="20"/>
              </w:rPr>
              <w:t>必填</w:t>
            </w:r>
            <w:r>
              <w:rPr>
                <w:rFonts w:ascii="黑体" w:eastAsia="黑体" w:hAnsi="黑体" w:cs="黑体"/>
                <w:kern w:val="0"/>
                <w:sz w:val="20"/>
                <w:szCs w:val="20"/>
              </w:rPr>
              <w:t>，必须4选1：</w:t>
            </w:r>
          </w:p>
          <w:p w14:paraId="6B9D14DB" w14:textId="77777777" w:rsidR="00A052DC" w:rsidRDefault="009F0A60">
            <w:pPr>
              <w:rPr>
                <w:rFonts w:ascii="黑体" w:eastAsia="黑体" w:hAnsi="黑体" w:cs="黑体"/>
                <w:kern w:val="0"/>
                <w:sz w:val="20"/>
                <w:szCs w:val="20"/>
              </w:rPr>
            </w:pPr>
            <w:r>
              <w:rPr>
                <w:rFonts w:ascii="黑体" w:eastAsia="黑体" w:hAnsi="黑体" w:cs="黑体" w:hint="eastAsia"/>
                <w:kern w:val="0"/>
                <w:sz w:val="20"/>
                <w:szCs w:val="20"/>
              </w:rPr>
              <w:t>1-</w:t>
            </w:r>
            <w:r>
              <w:rPr>
                <w:rFonts w:ascii="黑体" w:eastAsia="黑体" w:hAnsi="黑体" w:cs="黑体"/>
                <w:kern w:val="0"/>
                <w:sz w:val="20"/>
                <w:szCs w:val="20"/>
              </w:rPr>
              <w:t>境内关联企业（包括子公司、联营或合营机构、联属企业）；</w:t>
            </w:r>
          </w:p>
          <w:p w14:paraId="043614DE" w14:textId="77777777" w:rsidR="00A052DC" w:rsidRDefault="009F0A60">
            <w:pPr>
              <w:rPr>
                <w:rFonts w:ascii="黑体" w:eastAsia="黑体" w:hAnsi="黑体" w:cs="黑体"/>
                <w:kern w:val="0"/>
                <w:sz w:val="20"/>
                <w:szCs w:val="20"/>
              </w:rPr>
            </w:pPr>
            <w:r>
              <w:rPr>
                <w:rFonts w:ascii="黑体" w:eastAsia="黑体" w:hAnsi="黑体" w:cs="黑体" w:hint="eastAsia"/>
                <w:kern w:val="0"/>
                <w:sz w:val="20"/>
                <w:szCs w:val="20"/>
              </w:rPr>
              <w:t>2-</w:t>
            </w:r>
            <w:r>
              <w:rPr>
                <w:rFonts w:ascii="黑体" w:eastAsia="黑体" w:hAnsi="黑体" w:cs="黑体"/>
                <w:kern w:val="0"/>
                <w:sz w:val="20"/>
                <w:szCs w:val="20"/>
              </w:rPr>
              <w:t>境内非关联企业；</w:t>
            </w:r>
          </w:p>
          <w:p w14:paraId="29CB2D24" w14:textId="77777777" w:rsidR="00A052DC" w:rsidRDefault="009F0A60">
            <w:pPr>
              <w:rPr>
                <w:rFonts w:ascii="黑体" w:eastAsia="黑体" w:hAnsi="黑体" w:cs="黑体"/>
                <w:kern w:val="0"/>
                <w:sz w:val="20"/>
                <w:szCs w:val="20"/>
              </w:rPr>
            </w:pPr>
            <w:r>
              <w:rPr>
                <w:rFonts w:ascii="黑体" w:eastAsia="黑体" w:hAnsi="黑体" w:cs="黑体" w:hint="eastAsia"/>
                <w:kern w:val="0"/>
                <w:sz w:val="20"/>
                <w:szCs w:val="20"/>
              </w:rPr>
              <w:t>3-</w:t>
            </w:r>
            <w:r>
              <w:rPr>
                <w:rFonts w:ascii="黑体" w:eastAsia="黑体" w:hAnsi="黑体" w:cs="黑体"/>
                <w:kern w:val="0"/>
                <w:sz w:val="20"/>
                <w:szCs w:val="20"/>
              </w:rPr>
              <w:t>境外关联企业（包括子公司、联营或合营机构、联属企业）；</w:t>
            </w:r>
          </w:p>
          <w:p w14:paraId="728F8329" w14:textId="77777777" w:rsidR="00A052DC" w:rsidRDefault="009F0A60">
            <w:pPr>
              <w:numPr>
                <w:ilvl w:val="255"/>
                <w:numId w:val="0"/>
              </w:numPr>
              <w:rPr>
                <w:rFonts w:ascii="黑体" w:eastAsia="黑体" w:hAnsi="黑体" w:cs="黑体"/>
                <w:kern w:val="0"/>
                <w:sz w:val="20"/>
                <w:szCs w:val="20"/>
              </w:rPr>
            </w:pPr>
            <w:r>
              <w:rPr>
                <w:rFonts w:ascii="黑体" w:eastAsia="黑体" w:hAnsi="黑体" w:cs="黑体" w:hint="eastAsia"/>
                <w:kern w:val="0"/>
                <w:sz w:val="20"/>
                <w:szCs w:val="20"/>
              </w:rPr>
              <w:t>4-</w:t>
            </w:r>
            <w:r>
              <w:rPr>
                <w:rFonts w:ascii="黑体" w:eastAsia="黑体" w:hAnsi="黑体" w:cs="黑体"/>
                <w:kern w:val="0"/>
                <w:sz w:val="20"/>
                <w:szCs w:val="20"/>
              </w:rPr>
              <w:t>境外非关联企业。</w:t>
            </w:r>
          </w:p>
          <w:p w14:paraId="06A7A7DF" w14:textId="77777777" w:rsidR="00A052DC" w:rsidRDefault="009F0A60">
            <w:pPr>
              <w:rPr>
                <w:rFonts w:ascii="黑体" w:eastAsia="黑体" w:hAnsi="黑体"/>
                <w:kern w:val="0"/>
                <w:sz w:val="20"/>
                <w:szCs w:val="20"/>
              </w:rPr>
            </w:pPr>
            <w:r>
              <w:rPr>
                <w:rFonts w:ascii="黑体" w:eastAsia="黑体" w:hAnsi="黑体" w:cs="黑体"/>
                <w:kern w:val="0"/>
                <w:sz w:val="20"/>
                <w:szCs w:val="20"/>
              </w:rPr>
              <w:t>若E0210=2,此项为空</w:t>
            </w:r>
            <w:r>
              <w:rPr>
                <w:rFonts w:ascii="黑体" w:eastAsia="黑体" w:hAnsi="黑体" w:cs="黑体" w:hint="eastAsia"/>
                <w:kern w:val="0"/>
                <w:sz w:val="20"/>
                <w:szCs w:val="20"/>
              </w:rPr>
              <w:t>。</w:t>
            </w:r>
          </w:p>
        </w:tc>
      </w:tr>
      <w:tr w:rsidR="00A052DC" w14:paraId="26CFB9EF" w14:textId="77777777">
        <w:tc>
          <w:tcPr>
            <w:tcW w:w="1843" w:type="dxa"/>
            <w:tcBorders>
              <w:top w:val="single" w:sz="4" w:space="0" w:color="auto"/>
              <w:left w:val="single" w:sz="4" w:space="0" w:color="auto"/>
              <w:bottom w:val="single" w:sz="4" w:space="0" w:color="auto"/>
              <w:right w:val="single" w:sz="4" w:space="0" w:color="auto"/>
            </w:tcBorders>
          </w:tcPr>
          <w:p w14:paraId="6ACBE2E4" w14:textId="77777777" w:rsidR="00A052DC" w:rsidRDefault="009F0A60">
            <w:pPr>
              <w:rPr>
                <w:rFonts w:ascii="黑体" w:eastAsia="黑体" w:hAnsi="黑体"/>
                <w:kern w:val="0"/>
                <w:sz w:val="20"/>
                <w:szCs w:val="20"/>
              </w:rPr>
            </w:pPr>
            <w:r>
              <w:rPr>
                <w:rFonts w:ascii="黑体" w:eastAsia="黑体" w:hAnsi="黑体" w:cs="黑体"/>
                <w:kern w:val="0"/>
                <w:sz w:val="20"/>
                <w:szCs w:val="20"/>
              </w:rPr>
              <w:t>E02112</w:t>
            </w:r>
          </w:p>
        </w:tc>
        <w:tc>
          <w:tcPr>
            <w:tcW w:w="1560" w:type="dxa"/>
            <w:tcBorders>
              <w:top w:val="single" w:sz="4" w:space="0" w:color="auto"/>
              <w:left w:val="single" w:sz="4" w:space="0" w:color="auto"/>
              <w:bottom w:val="single" w:sz="4" w:space="0" w:color="auto"/>
              <w:right w:val="single" w:sz="4" w:space="0" w:color="auto"/>
            </w:tcBorders>
          </w:tcPr>
          <w:p w14:paraId="2ACC433C" w14:textId="77777777" w:rsidR="00A052DC" w:rsidRDefault="009F0A60">
            <w:pPr>
              <w:rPr>
                <w:rFonts w:ascii="黑体" w:eastAsia="黑体" w:hAnsi="黑体" w:cs="黑体"/>
                <w:kern w:val="0"/>
                <w:sz w:val="20"/>
                <w:szCs w:val="20"/>
              </w:rPr>
            </w:pPr>
            <w:r>
              <w:rPr>
                <w:rFonts w:ascii="黑体" w:eastAsia="黑体" w:hAnsi="黑体" w:cs="黑体" w:hint="eastAsia"/>
                <w:color w:val="000000"/>
                <w:sz w:val="20"/>
                <w:szCs w:val="20"/>
              </w:rPr>
              <w:t>实际承包主体代码</w:t>
            </w:r>
            <w:r>
              <w:rPr>
                <w:rFonts w:ascii="黑体" w:eastAsia="黑体" w:hAnsi="黑体" w:cs="黑体"/>
                <w:color w:val="000000"/>
                <w:sz w:val="20"/>
                <w:szCs w:val="20"/>
              </w:rPr>
              <w:t>2</w:t>
            </w:r>
          </w:p>
        </w:tc>
        <w:tc>
          <w:tcPr>
            <w:tcW w:w="1701" w:type="dxa"/>
            <w:tcBorders>
              <w:top w:val="single" w:sz="4" w:space="0" w:color="auto"/>
              <w:left w:val="single" w:sz="4" w:space="0" w:color="auto"/>
              <w:bottom w:val="single" w:sz="4" w:space="0" w:color="auto"/>
              <w:right w:val="single" w:sz="4" w:space="0" w:color="auto"/>
            </w:tcBorders>
          </w:tcPr>
          <w:p w14:paraId="793C18C1" w14:textId="77777777" w:rsidR="00A052DC" w:rsidRDefault="009F0A60">
            <w:pPr>
              <w:rPr>
                <w:rFonts w:ascii="黑体" w:eastAsia="黑体" w:hAnsi="黑体"/>
                <w:kern w:val="0"/>
                <w:sz w:val="20"/>
                <w:szCs w:val="20"/>
              </w:rPr>
            </w:pPr>
            <w:r>
              <w:rPr>
                <w:rFonts w:ascii="黑体" w:eastAsia="黑体" w:hAnsi="黑体" w:cs="黑体" w:hint="eastAsia"/>
                <w:kern w:val="0"/>
                <w:sz w:val="20"/>
                <w:szCs w:val="20"/>
              </w:rPr>
              <w:t>字符型，</w:t>
            </w:r>
            <w:r>
              <w:rPr>
                <w:rFonts w:ascii="黑体" w:eastAsia="黑体" w:hAnsi="黑体" w:cs="黑体"/>
                <w:kern w:val="0"/>
                <w:sz w:val="20"/>
                <w:szCs w:val="20"/>
              </w:rPr>
              <w:t>256</w:t>
            </w:r>
          </w:p>
        </w:tc>
        <w:tc>
          <w:tcPr>
            <w:tcW w:w="3543" w:type="dxa"/>
            <w:tcBorders>
              <w:top w:val="single" w:sz="4" w:space="0" w:color="auto"/>
              <w:left w:val="single" w:sz="4" w:space="0" w:color="auto"/>
              <w:bottom w:val="single" w:sz="4" w:space="0" w:color="auto"/>
              <w:right w:val="single" w:sz="4" w:space="0" w:color="auto"/>
            </w:tcBorders>
          </w:tcPr>
          <w:p w14:paraId="118E9AA7" w14:textId="77777777" w:rsidR="00A052DC" w:rsidRDefault="009F0A60">
            <w:pPr>
              <w:rPr>
                <w:rFonts w:ascii="黑体" w:eastAsia="黑体" w:hAnsi="黑体" w:cs="黑体"/>
                <w:kern w:val="0"/>
                <w:sz w:val="20"/>
                <w:szCs w:val="20"/>
              </w:rPr>
            </w:pPr>
            <w:r>
              <w:rPr>
                <w:rFonts w:ascii="黑体" w:eastAsia="黑体" w:hAnsi="黑体" w:cs="黑体"/>
                <w:kern w:val="0"/>
                <w:sz w:val="20"/>
                <w:szCs w:val="20"/>
              </w:rPr>
              <w:t>非必填项。若E0210=1，此项为实际承包主体代码或N/A；若E0210=2,此项为空</w:t>
            </w:r>
            <w:r>
              <w:rPr>
                <w:rFonts w:ascii="黑体" w:eastAsia="黑体" w:hAnsi="黑体" w:cs="黑体" w:hint="eastAsia"/>
                <w:kern w:val="0"/>
                <w:sz w:val="20"/>
                <w:szCs w:val="20"/>
              </w:rPr>
              <w:t>。</w:t>
            </w:r>
          </w:p>
        </w:tc>
      </w:tr>
      <w:tr w:rsidR="00A052DC" w14:paraId="3DAF960B" w14:textId="77777777">
        <w:tc>
          <w:tcPr>
            <w:tcW w:w="1843" w:type="dxa"/>
            <w:tcBorders>
              <w:top w:val="single" w:sz="4" w:space="0" w:color="auto"/>
              <w:left w:val="single" w:sz="4" w:space="0" w:color="auto"/>
              <w:bottom w:val="single" w:sz="4" w:space="0" w:color="auto"/>
              <w:right w:val="single" w:sz="4" w:space="0" w:color="auto"/>
            </w:tcBorders>
          </w:tcPr>
          <w:p w14:paraId="0A1CC152" w14:textId="77777777" w:rsidR="00A052DC" w:rsidRDefault="009F0A60">
            <w:pPr>
              <w:rPr>
                <w:rFonts w:ascii="黑体" w:eastAsia="黑体" w:hAnsi="黑体"/>
                <w:kern w:val="0"/>
                <w:sz w:val="20"/>
                <w:szCs w:val="20"/>
              </w:rPr>
            </w:pPr>
            <w:r>
              <w:rPr>
                <w:rFonts w:ascii="黑体" w:eastAsia="黑体" w:hAnsi="黑体" w:cs="黑体"/>
                <w:kern w:val="0"/>
                <w:sz w:val="20"/>
                <w:szCs w:val="20"/>
              </w:rPr>
              <w:t>E02122</w:t>
            </w:r>
          </w:p>
        </w:tc>
        <w:tc>
          <w:tcPr>
            <w:tcW w:w="1560" w:type="dxa"/>
            <w:tcBorders>
              <w:top w:val="single" w:sz="4" w:space="0" w:color="auto"/>
              <w:left w:val="single" w:sz="4" w:space="0" w:color="auto"/>
              <w:bottom w:val="single" w:sz="4" w:space="0" w:color="auto"/>
              <w:right w:val="single" w:sz="4" w:space="0" w:color="auto"/>
            </w:tcBorders>
          </w:tcPr>
          <w:p w14:paraId="0C3122CF" w14:textId="77777777" w:rsidR="00A052DC" w:rsidRDefault="009F0A60">
            <w:pPr>
              <w:rPr>
                <w:rFonts w:ascii="黑体" w:eastAsia="黑体" w:hAnsi="黑体" w:cs="黑体"/>
                <w:kern w:val="0"/>
                <w:sz w:val="20"/>
                <w:szCs w:val="20"/>
              </w:rPr>
            </w:pPr>
            <w:r>
              <w:rPr>
                <w:rFonts w:ascii="黑体" w:eastAsia="黑体" w:hAnsi="黑体" w:cs="黑体" w:hint="eastAsia"/>
                <w:kern w:val="0"/>
                <w:sz w:val="20"/>
                <w:szCs w:val="20"/>
              </w:rPr>
              <w:t>实际承包主体名称</w:t>
            </w:r>
            <w:r>
              <w:rPr>
                <w:rFonts w:ascii="黑体" w:eastAsia="黑体" w:hAnsi="黑体" w:cs="黑体"/>
                <w:kern w:val="0"/>
                <w:sz w:val="20"/>
                <w:szCs w:val="20"/>
              </w:rPr>
              <w:t>2</w:t>
            </w:r>
          </w:p>
        </w:tc>
        <w:tc>
          <w:tcPr>
            <w:tcW w:w="1701" w:type="dxa"/>
            <w:tcBorders>
              <w:top w:val="single" w:sz="4" w:space="0" w:color="auto"/>
              <w:left w:val="single" w:sz="4" w:space="0" w:color="auto"/>
              <w:bottom w:val="single" w:sz="4" w:space="0" w:color="auto"/>
              <w:right w:val="single" w:sz="4" w:space="0" w:color="auto"/>
            </w:tcBorders>
          </w:tcPr>
          <w:p w14:paraId="541125A2" w14:textId="77777777" w:rsidR="00A052DC" w:rsidRDefault="009F0A60">
            <w:pPr>
              <w:rPr>
                <w:rFonts w:ascii="黑体" w:eastAsia="黑体" w:hAnsi="黑体"/>
                <w:kern w:val="0"/>
                <w:sz w:val="20"/>
                <w:szCs w:val="20"/>
              </w:rPr>
            </w:pPr>
            <w:r>
              <w:rPr>
                <w:rFonts w:ascii="黑体" w:eastAsia="黑体" w:hAnsi="黑体" w:cs="黑体" w:hint="eastAsia"/>
                <w:kern w:val="0"/>
                <w:sz w:val="20"/>
                <w:szCs w:val="20"/>
              </w:rPr>
              <w:t>字符型，</w:t>
            </w:r>
            <w:r>
              <w:rPr>
                <w:rFonts w:ascii="黑体" w:eastAsia="黑体" w:hAnsi="黑体" w:cs="黑体"/>
                <w:kern w:val="0"/>
                <w:sz w:val="20"/>
                <w:szCs w:val="20"/>
              </w:rPr>
              <w:t>256</w:t>
            </w:r>
          </w:p>
        </w:tc>
        <w:tc>
          <w:tcPr>
            <w:tcW w:w="3543" w:type="dxa"/>
            <w:tcBorders>
              <w:top w:val="single" w:sz="4" w:space="0" w:color="auto"/>
              <w:left w:val="single" w:sz="4" w:space="0" w:color="auto"/>
              <w:bottom w:val="single" w:sz="4" w:space="0" w:color="auto"/>
              <w:right w:val="single" w:sz="4" w:space="0" w:color="auto"/>
            </w:tcBorders>
          </w:tcPr>
          <w:p w14:paraId="30DD87CD" w14:textId="77777777" w:rsidR="00A052DC" w:rsidRDefault="009F0A60">
            <w:pPr>
              <w:rPr>
                <w:rFonts w:ascii="黑体" w:eastAsia="黑体" w:hAnsi="黑体" w:cs="黑体"/>
                <w:kern w:val="0"/>
                <w:sz w:val="20"/>
                <w:szCs w:val="20"/>
              </w:rPr>
            </w:pPr>
            <w:r>
              <w:rPr>
                <w:rFonts w:ascii="黑体" w:eastAsia="黑体" w:hAnsi="黑体" w:cs="黑体"/>
                <w:kern w:val="0"/>
                <w:sz w:val="20"/>
                <w:szCs w:val="20"/>
              </w:rPr>
              <w:t>非必填项。若E0210=1，此项为实际承包主体名称或N/A；若E0210=2,此项为空</w:t>
            </w:r>
            <w:r>
              <w:rPr>
                <w:rFonts w:ascii="黑体" w:eastAsia="黑体" w:hAnsi="黑体" w:cs="黑体" w:hint="eastAsia"/>
                <w:kern w:val="0"/>
                <w:sz w:val="20"/>
                <w:szCs w:val="20"/>
              </w:rPr>
              <w:t>。</w:t>
            </w:r>
          </w:p>
        </w:tc>
      </w:tr>
      <w:tr w:rsidR="00A052DC" w14:paraId="1FA9DE93" w14:textId="77777777">
        <w:tc>
          <w:tcPr>
            <w:tcW w:w="1843" w:type="dxa"/>
            <w:tcBorders>
              <w:top w:val="single" w:sz="4" w:space="0" w:color="auto"/>
              <w:left w:val="single" w:sz="4" w:space="0" w:color="auto"/>
              <w:bottom w:val="single" w:sz="4" w:space="0" w:color="auto"/>
              <w:right w:val="single" w:sz="4" w:space="0" w:color="auto"/>
            </w:tcBorders>
          </w:tcPr>
          <w:p w14:paraId="141C0448" w14:textId="77777777" w:rsidR="00A052DC" w:rsidRDefault="009F0A60">
            <w:pPr>
              <w:rPr>
                <w:rFonts w:ascii="黑体" w:eastAsia="黑体" w:hAnsi="黑体"/>
                <w:kern w:val="0"/>
                <w:sz w:val="20"/>
                <w:szCs w:val="20"/>
              </w:rPr>
            </w:pPr>
            <w:r>
              <w:rPr>
                <w:rFonts w:ascii="黑体" w:eastAsia="黑体" w:hAnsi="黑体" w:cs="黑体"/>
                <w:kern w:val="0"/>
                <w:sz w:val="20"/>
                <w:szCs w:val="20"/>
              </w:rPr>
              <w:t>E02132</w:t>
            </w:r>
          </w:p>
        </w:tc>
        <w:tc>
          <w:tcPr>
            <w:tcW w:w="1560" w:type="dxa"/>
            <w:tcBorders>
              <w:top w:val="single" w:sz="4" w:space="0" w:color="auto"/>
              <w:left w:val="single" w:sz="4" w:space="0" w:color="auto"/>
              <w:bottom w:val="single" w:sz="4" w:space="0" w:color="auto"/>
              <w:right w:val="single" w:sz="4" w:space="0" w:color="auto"/>
            </w:tcBorders>
          </w:tcPr>
          <w:p w14:paraId="11DD014C" w14:textId="77777777" w:rsidR="00A052DC" w:rsidRDefault="009F0A60">
            <w:pPr>
              <w:rPr>
                <w:rFonts w:ascii="黑体" w:eastAsia="黑体" w:hAnsi="黑体" w:cs="黑体"/>
                <w:kern w:val="0"/>
                <w:sz w:val="20"/>
                <w:szCs w:val="20"/>
              </w:rPr>
            </w:pPr>
            <w:r>
              <w:rPr>
                <w:rFonts w:ascii="黑体" w:eastAsia="黑体" w:hAnsi="黑体" w:cs="黑体"/>
                <w:kern w:val="0"/>
                <w:sz w:val="20"/>
                <w:szCs w:val="20"/>
              </w:rPr>
              <w:t>实际承包主体类型2</w:t>
            </w:r>
          </w:p>
        </w:tc>
        <w:tc>
          <w:tcPr>
            <w:tcW w:w="1701" w:type="dxa"/>
            <w:tcBorders>
              <w:top w:val="single" w:sz="4" w:space="0" w:color="auto"/>
              <w:left w:val="single" w:sz="4" w:space="0" w:color="auto"/>
              <w:bottom w:val="single" w:sz="4" w:space="0" w:color="auto"/>
              <w:right w:val="single" w:sz="4" w:space="0" w:color="auto"/>
            </w:tcBorders>
          </w:tcPr>
          <w:p w14:paraId="66876A7E" w14:textId="77777777" w:rsidR="00A052DC" w:rsidRDefault="009F0A60">
            <w:pPr>
              <w:rPr>
                <w:rFonts w:ascii="黑体" w:eastAsia="黑体" w:hAnsi="黑体"/>
                <w:kern w:val="0"/>
                <w:sz w:val="20"/>
                <w:szCs w:val="20"/>
              </w:rPr>
            </w:pPr>
            <w:r>
              <w:rPr>
                <w:rFonts w:ascii="黑体" w:eastAsia="黑体" w:hAnsi="黑体" w:hint="eastAsia"/>
                <w:kern w:val="0"/>
                <w:sz w:val="20"/>
                <w:szCs w:val="20"/>
              </w:rPr>
              <w:t>字符型，3</w:t>
            </w:r>
          </w:p>
        </w:tc>
        <w:tc>
          <w:tcPr>
            <w:tcW w:w="3543" w:type="dxa"/>
            <w:tcBorders>
              <w:top w:val="single" w:sz="4" w:space="0" w:color="auto"/>
              <w:left w:val="single" w:sz="4" w:space="0" w:color="auto"/>
              <w:bottom w:val="single" w:sz="4" w:space="0" w:color="auto"/>
              <w:right w:val="single" w:sz="4" w:space="0" w:color="auto"/>
            </w:tcBorders>
          </w:tcPr>
          <w:p w14:paraId="740D5237" w14:textId="77777777" w:rsidR="00A052DC" w:rsidRDefault="009F0A60">
            <w:pPr>
              <w:rPr>
                <w:rFonts w:ascii="黑体" w:eastAsia="黑体" w:hAnsi="黑体" w:cs="黑体"/>
                <w:kern w:val="0"/>
                <w:sz w:val="20"/>
                <w:szCs w:val="20"/>
              </w:rPr>
            </w:pPr>
            <w:r>
              <w:rPr>
                <w:rFonts w:ascii="黑体" w:eastAsia="黑体" w:hAnsi="黑体" w:cs="黑体"/>
                <w:kern w:val="0"/>
                <w:sz w:val="20"/>
                <w:szCs w:val="20"/>
              </w:rPr>
              <w:t>非必填项。若E0210=1，此项可4选1或填报N/A：</w:t>
            </w:r>
          </w:p>
          <w:p w14:paraId="3E17FE25" w14:textId="77777777" w:rsidR="00A052DC" w:rsidRDefault="009F0A60">
            <w:pPr>
              <w:rPr>
                <w:rFonts w:ascii="黑体" w:eastAsia="黑体" w:hAnsi="黑体" w:cs="黑体"/>
                <w:kern w:val="0"/>
                <w:sz w:val="20"/>
                <w:szCs w:val="20"/>
              </w:rPr>
            </w:pPr>
            <w:r>
              <w:rPr>
                <w:rFonts w:ascii="黑体" w:eastAsia="黑体" w:hAnsi="黑体" w:cs="黑体" w:hint="eastAsia"/>
                <w:kern w:val="0"/>
                <w:sz w:val="20"/>
                <w:szCs w:val="20"/>
              </w:rPr>
              <w:t>1-</w:t>
            </w:r>
            <w:r>
              <w:rPr>
                <w:rFonts w:ascii="黑体" w:eastAsia="黑体" w:hAnsi="黑体" w:cs="黑体"/>
                <w:kern w:val="0"/>
                <w:sz w:val="20"/>
                <w:szCs w:val="20"/>
              </w:rPr>
              <w:t>境内关联企业（包括子公司、联营或合营机构、联属企业）；</w:t>
            </w:r>
          </w:p>
          <w:p w14:paraId="397D9627" w14:textId="77777777" w:rsidR="00A052DC" w:rsidRDefault="009F0A60">
            <w:pPr>
              <w:rPr>
                <w:rFonts w:ascii="黑体" w:eastAsia="黑体" w:hAnsi="黑体" w:cs="黑体"/>
                <w:kern w:val="0"/>
                <w:sz w:val="20"/>
                <w:szCs w:val="20"/>
              </w:rPr>
            </w:pPr>
            <w:r>
              <w:rPr>
                <w:rFonts w:ascii="黑体" w:eastAsia="黑体" w:hAnsi="黑体" w:cs="黑体" w:hint="eastAsia"/>
                <w:kern w:val="0"/>
                <w:sz w:val="20"/>
                <w:szCs w:val="20"/>
              </w:rPr>
              <w:t>2-</w:t>
            </w:r>
            <w:r>
              <w:rPr>
                <w:rFonts w:ascii="黑体" w:eastAsia="黑体" w:hAnsi="黑体" w:cs="黑体"/>
                <w:kern w:val="0"/>
                <w:sz w:val="20"/>
                <w:szCs w:val="20"/>
              </w:rPr>
              <w:t>境内非关联企业；</w:t>
            </w:r>
          </w:p>
          <w:p w14:paraId="21F61F4D" w14:textId="77777777" w:rsidR="00A052DC" w:rsidRDefault="009F0A60">
            <w:pPr>
              <w:rPr>
                <w:rFonts w:ascii="黑体" w:eastAsia="黑体" w:hAnsi="黑体" w:cs="黑体"/>
                <w:kern w:val="0"/>
                <w:sz w:val="20"/>
                <w:szCs w:val="20"/>
              </w:rPr>
            </w:pPr>
            <w:r>
              <w:rPr>
                <w:rFonts w:ascii="黑体" w:eastAsia="黑体" w:hAnsi="黑体" w:cs="黑体" w:hint="eastAsia"/>
                <w:kern w:val="0"/>
                <w:sz w:val="20"/>
                <w:szCs w:val="20"/>
              </w:rPr>
              <w:t>3-</w:t>
            </w:r>
            <w:r>
              <w:rPr>
                <w:rFonts w:ascii="黑体" w:eastAsia="黑体" w:hAnsi="黑体" w:cs="黑体"/>
                <w:kern w:val="0"/>
                <w:sz w:val="20"/>
                <w:szCs w:val="20"/>
              </w:rPr>
              <w:t>境外关联企业（包括子公司、联营或合营机构、联属企业）；</w:t>
            </w:r>
          </w:p>
          <w:p w14:paraId="7A1B8B3C" w14:textId="77777777" w:rsidR="00A052DC" w:rsidRDefault="009F0A60">
            <w:pPr>
              <w:numPr>
                <w:ilvl w:val="255"/>
                <w:numId w:val="0"/>
              </w:numPr>
              <w:rPr>
                <w:rFonts w:ascii="黑体" w:eastAsia="黑体" w:hAnsi="黑体" w:cs="黑体"/>
                <w:kern w:val="0"/>
                <w:sz w:val="20"/>
                <w:szCs w:val="20"/>
              </w:rPr>
            </w:pPr>
            <w:r>
              <w:rPr>
                <w:rFonts w:ascii="黑体" w:eastAsia="黑体" w:hAnsi="黑体" w:cs="黑体" w:hint="eastAsia"/>
                <w:kern w:val="0"/>
                <w:sz w:val="20"/>
                <w:szCs w:val="20"/>
              </w:rPr>
              <w:t>4-</w:t>
            </w:r>
            <w:r>
              <w:rPr>
                <w:rFonts w:ascii="黑体" w:eastAsia="黑体" w:hAnsi="黑体" w:cs="黑体"/>
                <w:kern w:val="0"/>
                <w:sz w:val="20"/>
                <w:szCs w:val="20"/>
              </w:rPr>
              <w:t>境外非关联企业。</w:t>
            </w:r>
          </w:p>
          <w:p w14:paraId="0DB97AD4" w14:textId="77777777" w:rsidR="00A052DC" w:rsidRDefault="009F0A60">
            <w:pPr>
              <w:rPr>
                <w:rFonts w:ascii="黑体" w:eastAsia="黑体" w:hAnsi="黑体" w:cs="黑体"/>
                <w:kern w:val="0"/>
                <w:sz w:val="20"/>
                <w:szCs w:val="20"/>
              </w:rPr>
            </w:pPr>
            <w:r>
              <w:rPr>
                <w:rFonts w:ascii="黑体" w:eastAsia="黑体" w:hAnsi="黑体" w:cs="黑体"/>
                <w:kern w:val="0"/>
                <w:sz w:val="20"/>
                <w:szCs w:val="20"/>
              </w:rPr>
              <w:t>若E0210=2,此项为空</w:t>
            </w:r>
            <w:r>
              <w:rPr>
                <w:rFonts w:ascii="黑体" w:eastAsia="黑体" w:hAnsi="黑体" w:cs="黑体" w:hint="eastAsia"/>
                <w:kern w:val="0"/>
                <w:sz w:val="20"/>
                <w:szCs w:val="20"/>
              </w:rPr>
              <w:t>。</w:t>
            </w:r>
          </w:p>
        </w:tc>
      </w:tr>
      <w:tr w:rsidR="00A052DC" w14:paraId="48F2FE94" w14:textId="77777777">
        <w:tc>
          <w:tcPr>
            <w:tcW w:w="1843" w:type="dxa"/>
            <w:tcBorders>
              <w:top w:val="single" w:sz="4" w:space="0" w:color="auto"/>
              <w:left w:val="single" w:sz="4" w:space="0" w:color="auto"/>
              <w:bottom w:val="single" w:sz="4" w:space="0" w:color="auto"/>
              <w:right w:val="single" w:sz="4" w:space="0" w:color="auto"/>
            </w:tcBorders>
          </w:tcPr>
          <w:p w14:paraId="52CC72C9" w14:textId="77777777" w:rsidR="00A052DC" w:rsidRDefault="009F0A60">
            <w:pPr>
              <w:rPr>
                <w:rFonts w:ascii="黑体" w:eastAsia="黑体" w:hAnsi="黑体"/>
                <w:kern w:val="0"/>
                <w:sz w:val="20"/>
                <w:szCs w:val="20"/>
              </w:rPr>
            </w:pPr>
            <w:r>
              <w:rPr>
                <w:rFonts w:ascii="黑体" w:eastAsia="黑体" w:hAnsi="黑体" w:cs="黑体"/>
                <w:kern w:val="0"/>
                <w:sz w:val="20"/>
                <w:szCs w:val="20"/>
              </w:rPr>
              <w:t>E02113</w:t>
            </w:r>
          </w:p>
        </w:tc>
        <w:tc>
          <w:tcPr>
            <w:tcW w:w="1560" w:type="dxa"/>
            <w:tcBorders>
              <w:top w:val="single" w:sz="4" w:space="0" w:color="auto"/>
              <w:left w:val="single" w:sz="4" w:space="0" w:color="auto"/>
              <w:bottom w:val="single" w:sz="4" w:space="0" w:color="auto"/>
              <w:right w:val="single" w:sz="4" w:space="0" w:color="auto"/>
            </w:tcBorders>
          </w:tcPr>
          <w:p w14:paraId="085C6A81" w14:textId="77777777" w:rsidR="00A052DC" w:rsidRDefault="009F0A60">
            <w:pPr>
              <w:rPr>
                <w:rFonts w:ascii="黑体" w:eastAsia="黑体" w:hAnsi="黑体" w:cs="黑体"/>
                <w:kern w:val="0"/>
                <w:sz w:val="20"/>
                <w:szCs w:val="20"/>
              </w:rPr>
            </w:pPr>
            <w:r>
              <w:rPr>
                <w:rFonts w:ascii="黑体" w:eastAsia="黑体" w:hAnsi="黑体" w:cs="黑体" w:hint="eastAsia"/>
                <w:color w:val="000000"/>
                <w:sz w:val="20"/>
                <w:szCs w:val="20"/>
              </w:rPr>
              <w:t>实际承包主体代码</w:t>
            </w:r>
            <w:r>
              <w:rPr>
                <w:rFonts w:ascii="黑体" w:eastAsia="黑体" w:hAnsi="黑体" w:cs="黑体"/>
                <w:color w:val="000000"/>
                <w:sz w:val="20"/>
                <w:szCs w:val="20"/>
              </w:rPr>
              <w:t>3</w:t>
            </w:r>
          </w:p>
        </w:tc>
        <w:tc>
          <w:tcPr>
            <w:tcW w:w="1701" w:type="dxa"/>
            <w:tcBorders>
              <w:top w:val="single" w:sz="4" w:space="0" w:color="auto"/>
              <w:left w:val="single" w:sz="4" w:space="0" w:color="auto"/>
              <w:bottom w:val="single" w:sz="4" w:space="0" w:color="auto"/>
              <w:right w:val="single" w:sz="4" w:space="0" w:color="auto"/>
            </w:tcBorders>
          </w:tcPr>
          <w:p w14:paraId="5C6E9667" w14:textId="77777777" w:rsidR="00A052DC" w:rsidRDefault="009F0A60">
            <w:pPr>
              <w:rPr>
                <w:rFonts w:ascii="黑体" w:eastAsia="黑体" w:hAnsi="黑体"/>
                <w:kern w:val="0"/>
                <w:sz w:val="20"/>
                <w:szCs w:val="20"/>
              </w:rPr>
            </w:pPr>
            <w:r>
              <w:rPr>
                <w:rFonts w:ascii="黑体" w:eastAsia="黑体" w:hAnsi="黑体" w:cs="黑体" w:hint="eastAsia"/>
                <w:kern w:val="0"/>
                <w:sz w:val="20"/>
                <w:szCs w:val="20"/>
              </w:rPr>
              <w:t>字符型，</w:t>
            </w:r>
            <w:r>
              <w:rPr>
                <w:rFonts w:ascii="黑体" w:eastAsia="黑体" w:hAnsi="黑体" w:cs="黑体"/>
                <w:kern w:val="0"/>
                <w:sz w:val="20"/>
                <w:szCs w:val="20"/>
              </w:rPr>
              <w:t>256</w:t>
            </w:r>
          </w:p>
        </w:tc>
        <w:tc>
          <w:tcPr>
            <w:tcW w:w="3543" w:type="dxa"/>
            <w:tcBorders>
              <w:top w:val="single" w:sz="4" w:space="0" w:color="auto"/>
              <w:left w:val="single" w:sz="4" w:space="0" w:color="auto"/>
              <w:bottom w:val="single" w:sz="4" w:space="0" w:color="auto"/>
              <w:right w:val="single" w:sz="4" w:space="0" w:color="auto"/>
            </w:tcBorders>
          </w:tcPr>
          <w:p w14:paraId="198CC875" w14:textId="77777777" w:rsidR="00A052DC" w:rsidRDefault="009F0A60">
            <w:pPr>
              <w:rPr>
                <w:rFonts w:ascii="黑体" w:eastAsia="黑体" w:hAnsi="黑体" w:cs="黑体"/>
                <w:kern w:val="0"/>
                <w:sz w:val="20"/>
                <w:szCs w:val="20"/>
              </w:rPr>
            </w:pPr>
            <w:r>
              <w:rPr>
                <w:rFonts w:ascii="黑体" w:eastAsia="黑体" w:hAnsi="黑体" w:cs="黑体"/>
                <w:kern w:val="0"/>
                <w:sz w:val="20"/>
                <w:szCs w:val="20"/>
              </w:rPr>
              <w:t>非必填项。若E0210=1，此项为实际承包主体代码或N/A；若E0210=2,此项为空</w:t>
            </w:r>
            <w:r>
              <w:rPr>
                <w:rFonts w:ascii="黑体" w:eastAsia="黑体" w:hAnsi="黑体" w:cs="黑体" w:hint="eastAsia"/>
                <w:kern w:val="0"/>
                <w:sz w:val="20"/>
                <w:szCs w:val="20"/>
              </w:rPr>
              <w:t>。</w:t>
            </w:r>
          </w:p>
        </w:tc>
      </w:tr>
      <w:tr w:rsidR="00A052DC" w14:paraId="5B0E2029" w14:textId="77777777">
        <w:tc>
          <w:tcPr>
            <w:tcW w:w="1843" w:type="dxa"/>
            <w:tcBorders>
              <w:top w:val="single" w:sz="4" w:space="0" w:color="auto"/>
              <w:left w:val="single" w:sz="4" w:space="0" w:color="auto"/>
              <w:bottom w:val="single" w:sz="4" w:space="0" w:color="auto"/>
              <w:right w:val="single" w:sz="4" w:space="0" w:color="auto"/>
            </w:tcBorders>
          </w:tcPr>
          <w:p w14:paraId="2D1D57F2" w14:textId="77777777" w:rsidR="00A052DC" w:rsidRDefault="009F0A60">
            <w:pPr>
              <w:rPr>
                <w:rFonts w:ascii="黑体" w:eastAsia="黑体" w:hAnsi="黑体"/>
                <w:kern w:val="0"/>
                <w:sz w:val="20"/>
                <w:szCs w:val="20"/>
              </w:rPr>
            </w:pPr>
            <w:r>
              <w:rPr>
                <w:rFonts w:ascii="黑体" w:eastAsia="黑体" w:hAnsi="黑体" w:cs="黑体"/>
                <w:kern w:val="0"/>
                <w:sz w:val="20"/>
                <w:szCs w:val="20"/>
              </w:rPr>
              <w:t>E02123</w:t>
            </w:r>
          </w:p>
        </w:tc>
        <w:tc>
          <w:tcPr>
            <w:tcW w:w="1560" w:type="dxa"/>
            <w:tcBorders>
              <w:top w:val="single" w:sz="4" w:space="0" w:color="auto"/>
              <w:left w:val="single" w:sz="4" w:space="0" w:color="auto"/>
              <w:bottom w:val="single" w:sz="4" w:space="0" w:color="auto"/>
              <w:right w:val="single" w:sz="4" w:space="0" w:color="auto"/>
            </w:tcBorders>
          </w:tcPr>
          <w:p w14:paraId="59C3B322" w14:textId="77777777" w:rsidR="00A052DC" w:rsidRDefault="009F0A60">
            <w:pPr>
              <w:rPr>
                <w:rFonts w:ascii="黑体" w:eastAsia="黑体" w:hAnsi="黑体" w:cs="黑体"/>
                <w:kern w:val="0"/>
                <w:sz w:val="20"/>
                <w:szCs w:val="20"/>
              </w:rPr>
            </w:pPr>
            <w:r>
              <w:rPr>
                <w:rFonts w:ascii="黑体" w:eastAsia="黑体" w:hAnsi="黑体" w:cs="黑体" w:hint="eastAsia"/>
                <w:kern w:val="0"/>
                <w:sz w:val="20"/>
                <w:szCs w:val="20"/>
              </w:rPr>
              <w:t>实际承包主体名称</w:t>
            </w:r>
            <w:r>
              <w:rPr>
                <w:rFonts w:ascii="黑体" w:eastAsia="黑体" w:hAnsi="黑体" w:cs="黑体"/>
                <w:kern w:val="0"/>
                <w:sz w:val="20"/>
                <w:szCs w:val="20"/>
              </w:rPr>
              <w:t>3</w:t>
            </w:r>
          </w:p>
        </w:tc>
        <w:tc>
          <w:tcPr>
            <w:tcW w:w="1701" w:type="dxa"/>
            <w:tcBorders>
              <w:top w:val="single" w:sz="4" w:space="0" w:color="auto"/>
              <w:left w:val="single" w:sz="4" w:space="0" w:color="auto"/>
              <w:bottom w:val="single" w:sz="4" w:space="0" w:color="auto"/>
              <w:right w:val="single" w:sz="4" w:space="0" w:color="auto"/>
            </w:tcBorders>
          </w:tcPr>
          <w:p w14:paraId="43BBFF7C" w14:textId="77777777" w:rsidR="00A052DC" w:rsidRDefault="009F0A60">
            <w:pPr>
              <w:rPr>
                <w:rFonts w:ascii="黑体" w:eastAsia="黑体" w:hAnsi="黑体"/>
                <w:kern w:val="0"/>
                <w:sz w:val="20"/>
                <w:szCs w:val="20"/>
              </w:rPr>
            </w:pPr>
            <w:r>
              <w:rPr>
                <w:rFonts w:ascii="黑体" w:eastAsia="黑体" w:hAnsi="黑体" w:cs="黑体" w:hint="eastAsia"/>
                <w:kern w:val="0"/>
                <w:sz w:val="20"/>
                <w:szCs w:val="20"/>
              </w:rPr>
              <w:t>字符型，</w:t>
            </w:r>
            <w:r>
              <w:rPr>
                <w:rFonts w:ascii="黑体" w:eastAsia="黑体" w:hAnsi="黑体" w:cs="黑体"/>
                <w:kern w:val="0"/>
                <w:sz w:val="20"/>
                <w:szCs w:val="20"/>
              </w:rPr>
              <w:t>256</w:t>
            </w:r>
          </w:p>
        </w:tc>
        <w:tc>
          <w:tcPr>
            <w:tcW w:w="3543" w:type="dxa"/>
            <w:tcBorders>
              <w:top w:val="single" w:sz="4" w:space="0" w:color="auto"/>
              <w:left w:val="single" w:sz="4" w:space="0" w:color="auto"/>
              <w:bottom w:val="single" w:sz="4" w:space="0" w:color="auto"/>
              <w:right w:val="single" w:sz="4" w:space="0" w:color="auto"/>
            </w:tcBorders>
          </w:tcPr>
          <w:p w14:paraId="1E45139D" w14:textId="77777777" w:rsidR="00A052DC" w:rsidRDefault="009F0A60">
            <w:pPr>
              <w:rPr>
                <w:rFonts w:ascii="黑体" w:eastAsia="黑体" w:hAnsi="黑体" w:cs="黑体"/>
                <w:kern w:val="0"/>
                <w:sz w:val="20"/>
                <w:szCs w:val="20"/>
              </w:rPr>
            </w:pPr>
            <w:r>
              <w:rPr>
                <w:rFonts w:ascii="黑体" w:eastAsia="黑体" w:hAnsi="黑体" w:cs="黑体"/>
                <w:kern w:val="0"/>
                <w:sz w:val="20"/>
                <w:szCs w:val="20"/>
              </w:rPr>
              <w:t>非必填项。若E0210=1，此项为实际承包主体名称或N/A；若E0210=2,此项为空</w:t>
            </w:r>
            <w:r>
              <w:rPr>
                <w:rFonts w:ascii="黑体" w:eastAsia="黑体" w:hAnsi="黑体" w:cs="黑体" w:hint="eastAsia"/>
                <w:kern w:val="0"/>
                <w:sz w:val="20"/>
                <w:szCs w:val="20"/>
              </w:rPr>
              <w:t>。</w:t>
            </w:r>
          </w:p>
        </w:tc>
      </w:tr>
      <w:tr w:rsidR="00A052DC" w14:paraId="6BB670BB" w14:textId="77777777">
        <w:tc>
          <w:tcPr>
            <w:tcW w:w="1843" w:type="dxa"/>
            <w:tcBorders>
              <w:top w:val="single" w:sz="4" w:space="0" w:color="auto"/>
              <w:left w:val="single" w:sz="4" w:space="0" w:color="auto"/>
              <w:bottom w:val="single" w:sz="4" w:space="0" w:color="auto"/>
              <w:right w:val="single" w:sz="4" w:space="0" w:color="auto"/>
            </w:tcBorders>
          </w:tcPr>
          <w:p w14:paraId="47F4B297" w14:textId="77777777" w:rsidR="00A052DC" w:rsidRDefault="009F0A60">
            <w:pPr>
              <w:rPr>
                <w:rFonts w:ascii="黑体" w:eastAsia="黑体" w:hAnsi="黑体"/>
                <w:kern w:val="0"/>
                <w:sz w:val="20"/>
                <w:szCs w:val="20"/>
              </w:rPr>
            </w:pPr>
            <w:r>
              <w:rPr>
                <w:rFonts w:ascii="黑体" w:eastAsia="黑体" w:hAnsi="黑体" w:cs="黑体"/>
                <w:kern w:val="0"/>
                <w:sz w:val="20"/>
                <w:szCs w:val="20"/>
              </w:rPr>
              <w:t>E02133</w:t>
            </w:r>
          </w:p>
        </w:tc>
        <w:tc>
          <w:tcPr>
            <w:tcW w:w="1560" w:type="dxa"/>
            <w:tcBorders>
              <w:top w:val="single" w:sz="4" w:space="0" w:color="auto"/>
              <w:left w:val="single" w:sz="4" w:space="0" w:color="auto"/>
              <w:bottom w:val="single" w:sz="4" w:space="0" w:color="auto"/>
              <w:right w:val="single" w:sz="4" w:space="0" w:color="auto"/>
            </w:tcBorders>
          </w:tcPr>
          <w:p w14:paraId="117421B3" w14:textId="77777777" w:rsidR="00A052DC" w:rsidRDefault="009F0A60">
            <w:pPr>
              <w:rPr>
                <w:rFonts w:ascii="黑体" w:eastAsia="黑体" w:hAnsi="黑体" w:cs="黑体"/>
                <w:kern w:val="0"/>
                <w:sz w:val="20"/>
                <w:szCs w:val="20"/>
              </w:rPr>
            </w:pPr>
            <w:r>
              <w:rPr>
                <w:rFonts w:ascii="黑体" w:eastAsia="黑体" w:hAnsi="黑体" w:cs="黑体"/>
                <w:kern w:val="0"/>
                <w:sz w:val="20"/>
                <w:szCs w:val="20"/>
              </w:rPr>
              <w:t>实际承包主体类型3</w:t>
            </w:r>
          </w:p>
        </w:tc>
        <w:tc>
          <w:tcPr>
            <w:tcW w:w="1701" w:type="dxa"/>
            <w:tcBorders>
              <w:top w:val="single" w:sz="4" w:space="0" w:color="auto"/>
              <w:left w:val="single" w:sz="4" w:space="0" w:color="auto"/>
              <w:bottom w:val="single" w:sz="4" w:space="0" w:color="auto"/>
              <w:right w:val="single" w:sz="4" w:space="0" w:color="auto"/>
            </w:tcBorders>
          </w:tcPr>
          <w:p w14:paraId="2F3D9783" w14:textId="77777777" w:rsidR="00A052DC" w:rsidRDefault="009F0A60">
            <w:pPr>
              <w:rPr>
                <w:rFonts w:ascii="黑体" w:eastAsia="黑体" w:hAnsi="黑体"/>
                <w:kern w:val="0"/>
                <w:sz w:val="20"/>
                <w:szCs w:val="20"/>
              </w:rPr>
            </w:pPr>
            <w:r>
              <w:rPr>
                <w:rFonts w:ascii="黑体" w:eastAsia="黑体" w:hAnsi="黑体" w:hint="eastAsia"/>
                <w:kern w:val="0"/>
                <w:sz w:val="20"/>
                <w:szCs w:val="20"/>
              </w:rPr>
              <w:t>字符型，3</w:t>
            </w:r>
          </w:p>
        </w:tc>
        <w:tc>
          <w:tcPr>
            <w:tcW w:w="3543" w:type="dxa"/>
            <w:tcBorders>
              <w:top w:val="single" w:sz="4" w:space="0" w:color="auto"/>
              <w:left w:val="single" w:sz="4" w:space="0" w:color="auto"/>
              <w:bottom w:val="single" w:sz="4" w:space="0" w:color="auto"/>
              <w:right w:val="single" w:sz="4" w:space="0" w:color="auto"/>
            </w:tcBorders>
          </w:tcPr>
          <w:p w14:paraId="68EA3B01" w14:textId="77777777" w:rsidR="00A052DC" w:rsidRDefault="009F0A60">
            <w:pPr>
              <w:rPr>
                <w:rFonts w:ascii="黑体" w:eastAsia="黑体" w:hAnsi="黑体" w:cs="黑体"/>
                <w:kern w:val="0"/>
                <w:sz w:val="20"/>
                <w:szCs w:val="20"/>
              </w:rPr>
            </w:pPr>
            <w:r>
              <w:rPr>
                <w:rFonts w:ascii="黑体" w:eastAsia="黑体" w:hAnsi="黑体" w:cs="黑体"/>
                <w:kern w:val="0"/>
                <w:sz w:val="20"/>
                <w:szCs w:val="20"/>
              </w:rPr>
              <w:t>非必填项。若E0210=1，此项可4选1或填报N/A：</w:t>
            </w:r>
          </w:p>
          <w:p w14:paraId="7CE67AF6" w14:textId="77777777" w:rsidR="00A052DC" w:rsidRDefault="009F0A60">
            <w:pPr>
              <w:rPr>
                <w:rFonts w:ascii="黑体" w:eastAsia="黑体" w:hAnsi="黑体" w:cs="黑体"/>
                <w:kern w:val="0"/>
                <w:sz w:val="20"/>
                <w:szCs w:val="20"/>
              </w:rPr>
            </w:pPr>
            <w:r>
              <w:rPr>
                <w:rFonts w:ascii="黑体" w:eastAsia="黑体" w:hAnsi="黑体" w:cs="黑体" w:hint="eastAsia"/>
                <w:kern w:val="0"/>
                <w:sz w:val="20"/>
                <w:szCs w:val="20"/>
              </w:rPr>
              <w:t>1-</w:t>
            </w:r>
            <w:r>
              <w:rPr>
                <w:rFonts w:ascii="黑体" w:eastAsia="黑体" w:hAnsi="黑体" w:cs="黑体"/>
                <w:kern w:val="0"/>
                <w:sz w:val="20"/>
                <w:szCs w:val="20"/>
              </w:rPr>
              <w:t>境内关联企业（包括子公司、联营或合营机构、联属企业）；</w:t>
            </w:r>
          </w:p>
          <w:p w14:paraId="31083B42" w14:textId="77777777" w:rsidR="00A052DC" w:rsidRDefault="009F0A60">
            <w:pPr>
              <w:rPr>
                <w:rFonts w:ascii="黑体" w:eastAsia="黑体" w:hAnsi="黑体" w:cs="黑体"/>
                <w:kern w:val="0"/>
                <w:sz w:val="20"/>
                <w:szCs w:val="20"/>
              </w:rPr>
            </w:pPr>
            <w:r>
              <w:rPr>
                <w:rFonts w:ascii="黑体" w:eastAsia="黑体" w:hAnsi="黑体" w:cs="黑体" w:hint="eastAsia"/>
                <w:kern w:val="0"/>
                <w:sz w:val="20"/>
                <w:szCs w:val="20"/>
              </w:rPr>
              <w:t>2-</w:t>
            </w:r>
            <w:r>
              <w:rPr>
                <w:rFonts w:ascii="黑体" w:eastAsia="黑体" w:hAnsi="黑体" w:cs="黑体"/>
                <w:kern w:val="0"/>
                <w:sz w:val="20"/>
                <w:szCs w:val="20"/>
              </w:rPr>
              <w:t>境内非关联企业；</w:t>
            </w:r>
          </w:p>
          <w:p w14:paraId="23D6319D" w14:textId="77777777" w:rsidR="00A052DC" w:rsidRDefault="009F0A60">
            <w:pPr>
              <w:rPr>
                <w:rFonts w:ascii="黑体" w:eastAsia="黑体" w:hAnsi="黑体" w:cs="黑体"/>
                <w:kern w:val="0"/>
                <w:sz w:val="20"/>
                <w:szCs w:val="20"/>
              </w:rPr>
            </w:pPr>
            <w:r>
              <w:rPr>
                <w:rFonts w:ascii="黑体" w:eastAsia="黑体" w:hAnsi="黑体" w:cs="黑体" w:hint="eastAsia"/>
                <w:kern w:val="0"/>
                <w:sz w:val="20"/>
                <w:szCs w:val="20"/>
              </w:rPr>
              <w:t>3-</w:t>
            </w:r>
            <w:r>
              <w:rPr>
                <w:rFonts w:ascii="黑体" w:eastAsia="黑体" w:hAnsi="黑体" w:cs="黑体"/>
                <w:kern w:val="0"/>
                <w:sz w:val="20"/>
                <w:szCs w:val="20"/>
              </w:rPr>
              <w:t>境外关联企业（包括子公司、联营或合营机构、联属企业）；</w:t>
            </w:r>
          </w:p>
          <w:p w14:paraId="6B3A1752" w14:textId="77777777" w:rsidR="00A052DC" w:rsidRDefault="009F0A60">
            <w:pPr>
              <w:numPr>
                <w:ilvl w:val="255"/>
                <w:numId w:val="0"/>
              </w:numPr>
              <w:rPr>
                <w:rFonts w:ascii="黑体" w:eastAsia="黑体" w:hAnsi="黑体" w:cs="黑体"/>
                <w:kern w:val="0"/>
                <w:sz w:val="20"/>
                <w:szCs w:val="20"/>
              </w:rPr>
            </w:pPr>
            <w:r>
              <w:rPr>
                <w:rFonts w:ascii="黑体" w:eastAsia="黑体" w:hAnsi="黑体" w:cs="黑体" w:hint="eastAsia"/>
                <w:kern w:val="0"/>
                <w:sz w:val="20"/>
                <w:szCs w:val="20"/>
              </w:rPr>
              <w:t>4-</w:t>
            </w:r>
            <w:r>
              <w:rPr>
                <w:rFonts w:ascii="黑体" w:eastAsia="黑体" w:hAnsi="黑体" w:cs="黑体"/>
                <w:kern w:val="0"/>
                <w:sz w:val="20"/>
                <w:szCs w:val="20"/>
              </w:rPr>
              <w:t>境外非关联企业。</w:t>
            </w:r>
          </w:p>
          <w:p w14:paraId="2E9D82FA" w14:textId="77777777" w:rsidR="00A052DC" w:rsidRDefault="009F0A60">
            <w:pPr>
              <w:rPr>
                <w:rFonts w:ascii="黑体" w:eastAsia="黑体" w:hAnsi="黑体" w:cs="黑体"/>
                <w:kern w:val="0"/>
                <w:sz w:val="20"/>
                <w:szCs w:val="20"/>
              </w:rPr>
            </w:pPr>
            <w:r>
              <w:rPr>
                <w:rFonts w:ascii="黑体" w:eastAsia="黑体" w:hAnsi="黑体" w:cs="黑体"/>
                <w:kern w:val="0"/>
                <w:sz w:val="20"/>
                <w:szCs w:val="20"/>
              </w:rPr>
              <w:t>若E0210=2,此项为空</w:t>
            </w:r>
            <w:r>
              <w:rPr>
                <w:rFonts w:ascii="黑体" w:eastAsia="黑体" w:hAnsi="黑体" w:cs="黑体" w:hint="eastAsia"/>
                <w:kern w:val="0"/>
                <w:sz w:val="20"/>
                <w:szCs w:val="20"/>
              </w:rPr>
              <w:t>。</w:t>
            </w:r>
          </w:p>
        </w:tc>
      </w:tr>
      <w:tr w:rsidR="00A052DC" w14:paraId="70D601D5" w14:textId="77777777">
        <w:tc>
          <w:tcPr>
            <w:tcW w:w="1843" w:type="dxa"/>
            <w:tcBorders>
              <w:top w:val="single" w:sz="4" w:space="0" w:color="auto"/>
              <w:left w:val="single" w:sz="4" w:space="0" w:color="auto"/>
              <w:bottom w:val="single" w:sz="4" w:space="0" w:color="auto"/>
              <w:right w:val="single" w:sz="4" w:space="0" w:color="auto"/>
            </w:tcBorders>
          </w:tcPr>
          <w:p w14:paraId="510FB3D0" w14:textId="77777777" w:rsidR="00A052DC" w:rsidRDefault="009F0A60">
            <w:pPr>
              <w:rPr>
                <w:rFonts w:ascii="黑体" w:eastAsia="黑体" w:hAnsi="黑体"/>
                <w:kern w:val="0"/>
                <w:sz w:val="20"/>
                <w:szCs w:val="20"/>
              </w:rPr>
            </w:pPr>
            <w:r>
              <w:rPr>
                <w:rFonts w:ascii="黑体" w:eastAsia="黑体" w:hAnsi="黑体" w:cs="黑体"/>
                <w:kern w:val="0"/>
                <w:sz w:val="20"/>
                <w:szCs w:val="20"/>
              </w:rPr>
              <w:t>E02114</w:t>
            </w:r>
          </w:p>
        </w:tc>
        <w:tc>
          <w:tcPr>
            <w:tcW w:w="1560" w:type="dxa"/>
            <w:tcBorders>
              <w:top w:val="single" w:sz="4" w:space="0" w:color="auto"/>
              <w:left w:val="single" w:sz="4" w:space="0" w:color="auto"/>
              <w:bottom w:val="single" w:sz="4" w:space="0" w:color="auto"/>
              <w:right w:val="single" w:sz="4" w:space="0" w:color="auto"/>
            </w:tcBorders>
          </w:tcPr>
          <w:p w14:paraId="62721265" w14:textId="77777777" w:rsidR="00A052DC" w:rsidRDefault="009F0A60">
            <w:pPr>
              <w:rPr>
                <w:rFonts w:ascii="黑体" w:eastAsia="黑体" w:hAnsi="黑体" w:cs="黑体"/>
                <w:kern w:val="0"/>
                <w:sz w:val="20"/>
                <w:szCs w:val="20"/>
              </w:rPr>
            </w:pPr>
            <w:r>
              <w:rPr>
                <w:rFonts w:ascii="黑体" w:eastAsia="黑体" w:hAnsi="黑体" w:cs="黑体" w:hint="eastAsia"/>
                <w:color w:val="000000"/>
                <w:sz w:val="20"/>
                <w:szCs w:val="20"/>
              </w:rPr>
              <w:t>实际承包主体代码</w:t>
            </w:r>
            <w:r>
              <w:rPr>
                <w:rFonts w:ascii="黑体" w:eastAsia="黑体" w:hAnsi="黑体" w:cs="黑体"/>
                <w:color w:val="000000"/>
                <w:sz w:val="20"/>
                <w:szCs w:val="20"/>
              </w:rPr>
              <w:t>4</w:t>
            </w:r>
          </w:p>
        </w:tc>
        <w:tc>
          <w:tcPr>
            <w:tcW w:w="1701" w:type="dxa"/>
            <w:tcBorders>
              <w:top w:val="single" w:sz="4" w:space="0" w:color="auto"/>
              <w:left w:val="single" w:sz="4" w:space="0" w:color="auto"/>
              <w:bottom w:val="single" w:sz="4" w:space="0" w:color="auto"/>
              <w:right w:val="single" w:sz="4" w:space="0" w:color="auto"/>
            </w:tcBorders>
          </w:tcPr>
          <w:p w14:paraId="4D3892BE" w14:textId="77777777" w:rsidR="00A052DC" w:rsidRDefault="009F0A60">
            <w:pPr>
              <w:rPr>
                <w:rFonts w:ascii="黑体" w:eastAsia="黑体" w:hAnsi="黑体"/>
                <w:kern w:val="0"/>
                <w:sz w:val="20"/>
                <w:szCs w:val="20"/>
              </w:rPr>
            </w:pPr>
            <w:r>
              <w:rPr>
                <w:rFonts w:ascii="黑体" w:eastAsia="黑体" w:hAnsi="黑体" w:cs="黑体" w:hint="eastAsia"/>
                <w:kern w:val="0"/>
                <w:sz w:val="20"/>
                <w:szCs w:val="20"/>
              </w:rPr>
              <w:t>字符型，</w:t>
            </w:r>
            <w:r>
              <w:rPr>
                <w:rFonts w:ascii="黑体" w:eastAsia="黑体" w:hAnsi="黑体" w:cs="黑体"/>
                <w:kern w:val="0"/>
                <w:sz w:val="20"/>
                <w:szCs w:val="20"/>
              </w:rPr>
              <w:t>256</w:t>
            </w:r>
          </w:p>
        </w:tc>
        <w:tc>
          <w:tcPr>
            <w:tcW w:w="3543" w:type="dxa"/>
            <w:tcBorders>
              <w:top w:val="single" w:sz="4" w:space="0" w:color="auto"/>
              <w:left w:val="single" w:sz="4" w:space="0" w:color="auto"/>
              <w:bottom w:val="single" w:sz="4" w:space="0" w:color="auto"/>
              <w:right w:val="single" w:sz="4" w:space="0" w:color="auto"/>
            </w:tcBorders>
          </w:tcPr>
          <w:p w14:paraId="0E626C00" w14:textId="77777777" w:rsidR="00A052DC" w:rsidRDefault="009F0A60">
            <w:pPr>
              <w:rPr>
                <w:rFonts w:ascii="黑体" w:eastAsia="黑体" w:hAnsi="黑体" w:cs="黑体"/>
                <w:kern w:val="0"/>
                <w:sz w:val="20"/>
                <w:szCs w:val="20"/>
              </w:rPr>
            </w:pPr>
            <w:r>
              <w:rPr>
                <w:rFonts w:ascii="黑体" w:eastAsia="黑体" w:hAnsi="黑体" w:cs="黑体"/>
                <w:kern w:val="0"/>
                <w:sz w:val="20"/>
                <w:szCs w:val="20"/>
              </w:rPr>
              <w:t>非必填项。若E0210=1，此项为实际承包主体代码或N/A；若E0210=2,此项为空</w:t>
            </w:r>
            <w:r>
              <w:rPr>
                <w:rFonts w:ascii="黑体" w:eastAsia="黑体" w:hAnsi="黑体" w:cs="黑体" w:hint="eastAsia"/>
                <w:kern w:val="0"/>
                <w:sz w:val="20"/>
                <w:szCs w:val="20"/>
              </w:rPr>
              <w:t>。</w:t>
            </w:r>
          </w:p>
        </w:tc>
      </w:tr>
      <w:tr w:rsidR="00A052DC" w14:paraId="7B64590B" w14:textId="77777777">
        <w:tc>
          <w:tcPr>
            <w:tcW w:w="1843" w:type="dxa"/>
            <w:tcBorders>
              <w:top w:val="single" w:sz="4" w:space="0" w:color="auto"/>
              <w:left w:val="single" w:sz="4" w:space="0" w:color="auto"/>
              <w:bottom w:val="single" w:sz="4" w:space="0" w:color="auto"/>
              <w:right w:val="single" w:sz="4" w:space="0" w:color="auto"/>
            </w:tcBorders>
          </w:tcPr>
          <w:p w14:paraId="5D112D4E" w14:textId="77777777" w:rsidR="00A052DC" w:rsidRDefault="009F0A60">
            <w:pPr>
              <w:rPr>
                <w:rFonts w:ascii="黑体" w:eastAsia="黑体" w:hAnsi="黑体"/>
                <w:kern w:val="0"/>
                <w:sz w:val="20"/>
                <w:szCs w:val="20"/>
              </w:rPr>
            </w:pPr>
            <w:r>
              <w:rPr>
                <w:rFonts w:ascii="黑体" w:eastAsia="黑体" w:hAnsi="黑体" w:cs="黑体"/>
                <w:kern w:val="0"/>
                <w:sz w:val="20"/>
                <w:szCs w:val="20"/>
              </w:rPr>
              <w:t>E02124</w:t>
            </w:r>
          </w:p>
        </w:tc>
        <w:tc>
          <w:tcPr>
            <w:tcW w:w="1560" w:type="dxa"/>
            <w:tcBorders>
              <w:top w:val="single" w:sz="4" w:space="0" w:color="auto"/>
              <w:left w:val="single" w:sz="4" w:space="0" w:color="auto"/>
              <w:bottom w:val="single" w:sz="4" w:space="0" w:color="auto"/>
              <w:right w:val="single" w:sz="4" w:space="0" w:color="auto"/>
            </w:tcBorders>
          </w:tcPr>
          <w:p w14:paraId="7703FCF2" w14:textId="77777777" w:rsidR="00A052DC" w:rsidRDefault="009F0A60">
            <w:pPr>
              <w:rPr>
                <w:rFonts w:ascii="黑体" w:eastAsia="黑体" w:hAnsi="黑体" w:cs="黑体"/>
                <w:kern w:val="0"/>
                <w:sz w:val="20"/>
                <w:szCs w:val="20"/>
              </w:rPr>
            </w:pPr>
            <w:r>
              <w:rPr>
                <w:rFonts w:ascii="黑体" w:eastAsia="黑体" w:hAnsi="黑体" w:cs="黑体" w:hint="eastAsia"/>
                <w:kern w:val="0"/>
                <w:sz w:val="20"/>
                <w:szCs w:val="20"/>
              </w:rPr>
              <w:t>实际承包主体名称</w:t>
            </w:r>
            <w:r>
              <w:rPr>
                <w:rFonts w:ascii="黑体" w:eastAsia="黑体" w:hAnsi="黑体" w:cs="黑体"/>
                <w:kern w:val="0"/>
                <w:sz w:val="20"/>
                <w:szCs w:val="20"/>
              </w:rPr>
              <w:t>4</w:t>
            </w:r>
          </w:p>
        </w:tc>
        <w:tc>
          <w:tcPr>
            <w:tcW w:w="1701" w:type="dxa"/>
            <w:tcBorders>
              <w:top w:val="single" w:sz="4" w:space="0" w:color="auto"/>
              <w:left w:val="single" w:sz="4" w:space="0" w:color="auto"/>
              <w:bottom w:val="single" w:sz="4" w:space="0" w:color="auto"/>
              <w:right w:val="single" w:sz="4" w:space="0" w:color="auto"/>
            </w:tcBorders>
          </w:tcPr>
          <w:p w14:paraId="6F0BDA87" w14:textId="77777777" w:rsidR="00A052DC" w:rsidRDefault="009F0A60">
            <w:pPr>
              <w:rPr>
                <w:rFonts w:ascii="黑体" w:eastAsia="黑体" w:hAnsi="黑体"/>
                <w:kern w:val="0"/>
                <w:sz w:val="20"/>
                <w:szCs w:val="20"/>
              </w:rPr>
            </w:pPr>
            <w:r>
              <w:rPr>
                <w:rFonts w:ascii="黑体" w:eastAsia="黑体" w:hAnsi="黑体" w:cs="黑体" w:hint="eastAsia"/>
                <w:kern w:val="0"/>
                <w:sz w:val="20"/>
                <w:szCs w:val="20"/>
              </w:rPr>
              <w:t>字符型，</w:t>
            </w:r>
            <w:r>
              <w:rPr>
                <w:rFonts w:ascii="黑体" w:eastAsia="黑体" w:hAnsi="黑体" w:cs="黑体"/>
                <w:kern w:val="0"/>
                <w:sz w:val="20"/>
                <w:szCs w:val="20"/>
              </w:rPr>
              <w:t>256</w:t>
            </w:r>
          </w:p>
        </w:tc>
        <w:tc>
          <w:tcPr>
            <w:tcW w:w="3543" w:type="dxa"/>
            <w:tcBorders>
              <w:top w:val="single" w:sz="4" w:space="0" w:color="auto"/>
              <w:left w:val="single" w:sz="4" w:space="0" w:color="auto"/>
              <w:bottom w:val="single" w:sz="4" w:space="0" w:color="auto"/>
              <w:right w:val="single" w:sz="4" w:space="0" w:color="auto"/>
            </w:tcBorders>
          </w:tcPr>
          <w:p w14:paraId="34CB6EBF" w14:textId="77777777" w:rsidR="00A052DC" w:rsidRDefault="009F0A60">
            <w:pPr>
              <w:rPr>
                <w:rFonts w:ascii="黑体" w:eastAsia="黑体" w:hAnsi="黑体" w:cs="黑体"/>
                <w:kern w:val="0"/>
                <w:sz w:val="20"/>
                <w:szCs w:val="20"/>
              </w:rPr>
            </w:pPr>
            <w:r>
              <w:rPr>
                <w:rFonts w:ascii="黑体" w:eastAsia="黑体" w:hAnsi="黑体" w:cs="黑体"/>
                <w:kern w:val="0"/>
                <w:sz w:val="20"/>
                <w:szCs w:val="20"/>
              </w:rPr>
              <w:t>非必填项。若E0210=1，此项为实际承包主体名称或N/A；若E0210=2,此项为空</w:t>
            </w:r>
            <w:r>
              <w:rPr>
                <w:rFonts w:ascii="黑体" w:eastAsia="黑体" w:hAnsi="黑体" w:cs="黑体" w:hint="eastAsia"/>
                <w:kern w:val="0"/>
                <w:sz w:val="20"/>
                <w:szCs w:val="20"/>
              </w:rPr>
              <w:t>。</w:t>
            </w:r>
          </w:p>
        </w:tc>
      </w:tr>
      <w:tr w:rsidR="00A052DC" w14:paraId="2131C28C" w14:textId="77777777">
        <w:tc>
          <w:tcPr>
            <w:tcW w:w="1843" w:type="dxa"/>
            <w:tcBorders>
              <w:top w:val="single" w:sz="4" w:space="0" w:color="auto"/>
              <w:left w:val="single" w:sz="4" w:space="0" w:color="auto"/>
              <w:bottom w:val="single" w:sz="4" w:space="0" w:color="auto"/>
              <w:right w:val="single" w:sz="4" w:space="0" w:color="auto"/>
            </w:tcBorders>
          </w:tcPr>
          <w:p w14:paraId="53B8FC06" w14:textId="77777777" w:rsidR="00A052DC" w:rsidRDefault="009F0A60">
            <w:pPr>
              <w:rPr>
                <w:rFonts w:ascii="黑体" w:eastAsia="黑体" w:hAnsi="黑体"/>
                <w:kern w:val="0"/>
                <w:sz w:val="20"/>
                <w:szCs w:val="20"/>
              </w:rPr>
            </w:pPr>
            <w:r>
              <w:rPr>
                <w:rFonts w:ascii="黑体" w:eastAsia="黑体" w:hAnsi="黑体" w:cs="黑体"/>
                <w:kern w:val="0"/>
                <w:sz w:val="20"/>
                <w:szCs w:val="20"/>
              </w:rPr>
              <w:t>E02134</w:t>
            </w:r>
          </w:p>
        </w:tc>
        <w:tc>
          <w:tcPr>
            <w:tcW w:w="1560" w:type="dxa"/>
            <w:tcBorders>
              <w:top w:val="single" w:sz="4" w:space="0" w:color="auto"/>
              <w:left w:val="single" w:sz="4" w:space="0" w:color="auto"/>
              <w:bottom w:val="single" w:sz="4" w:space="0" w:color="auto"/>
              <w:right w:val="single" w:sz="4" w:space="0" w:color="auto"/>
            </w:tcBorders>
          </w:tcPr>
          <w:p w14:paraId="7AA943EC" w14:textId="77777777" w:rsidR="00A052DC" w:rsidRDefault="009F0A60">
            <w:pPr>
              <w:rPr>
                <w:rFonts w:ascii="黑体" w:eastAsia="黑体" w:hAnsi="黑体" w:cs="黑体"/>
                <w:kern w:val="0"/>
                <w:sz w:val="20"/>
                <w:szCs w:val="20"/>
              </w:rPr>
            </w:pPr>
            <w:r>
              <w:rPr>
                <w:rFonts w:ascii="黑体" w:eastAsia="黑体" w:hAnsi="黑体" w:cs="黑体"/>
                <w:kern w:val="0"/>
                <w:sz w:val="20"/>
                <w:szCs w:val="20"/>
              </w:rPr>
              <w:t>实际承包主体类型4</w:t>
            </w:r>
          </w:p>
        </w:tc>
        <w:tc>
          <w:tcPr>
            <w:tcW w:w="1701" w:type="dxa"/>
            <w:tcBorders>
              <w:top w:val="single" w:sz="4" w:space="0" w:color="auto"/>
              <w:left w:val="single" w:sz="4" w:space="0" w:color="auto"/>
              <w:bottom w:val="single" w:sz="4" w:space="0" w:color="auto"/>
              <w:right w:val="single" w:sz="4" w:space="0" w:color="auto"/>
            </w:tcBorders>
          </w:tcPr>
          <w:p w14:paraId="4A9FBB75" w14:textId="77777777" w:rsidR="00A052DC" w:rsidRDefault="009F0A60">
            <w:pPr>
              <w:rPr>
                <w:rFonts w:ascii="黑体" w:eastAsia="黑体" w:hAnsi="黑体"/>
                <w:kern w:val="0"/>
                <w:sz w:val="20"/>
                <w:szCs w:val="20"/>
              </w:rPr>
            </w:pPr>
            <w:r>
              <w:rPr>
                <w:rFonts w:ascii="黑体" w:eastAsia="黑体" w:hAnsi="黑体" w:hint="eastAsia"/>
                <w:kern w:val="0"/>
                <w:sz w:val="20"/>
                <w:szCs w:val="20"/>
              </w:rPr>
              <w:t>字符型，3</w:t>
            </w:r>
          </w:p>
        </w:tc>
        <w:tc>
          <w:tcPr>
            <w:tcW w:w="3543" w:type="dxa"/>
            <w:tcBorders>
              <w:top w:val="single" w:sz="4" w:space="0" w:color="auto"/>
              <w:left w:val="single" w:sz="4" w:space="0" w:color="auto"/>
              <w:bottom w:val="single" w:sz="4" w:space="0" w:color="auto"/>
              <w:right w:val="single" w:sz="4" w:space="0" w:color="auto"/>
            </w:tcBorders>
          </w:tcPr>
          <w:p w14:paraId="6CE741C1" w14:textId="77777777" w:rsidR="00A052DC" w:rsidRDefault="009F0A60">
            <w:pPr>
              <w:rPr>
                <w:rFonts w:ascii="黑体" w:eastAsia="黑体" w:hAnsi="黑体" w:cs="黑体"/>
                <w:kern w:val="0"/>
                <w:sz w:val="20"/>
                <w:szCs w:val="20"/>
              </w:rPr>
            </w:pPr>
            <w:r>
              <w:rPr>
                <w:rFonts w:ascii="黑体" w:eastAsia="黑体" w:hAnsi="黑体" w:cs="黑体"/>
                <w:kern w:val="0"/>
                <w:sz w:val="20"/>
                <w:szCs w:val="20"/>
              </w:rPr>
              <w:t>非必填项。若E0210=1，此项可4选1或填报N/A：</w:t>
            </w:r>
          </w:p>
          <w:p w14:paraId="7ED28989" w14:textId="77777777" w:rsidR="00A052DC" w:rsidRDefault="009F0A60">
            <w:pPr>
              <w:rPr>
                <w:rFonts w:ascii="黑体" w:eastAsia="黑体" w:hAnsi="黑体" w:cs="黑体"/>
                <w:kern w:val="0"/>
                <w:sz w:val="20"/>
                <w:szCs w:val="20"/>
              </w:rPr>
            </w:pPr>
            <w:r>
              <w:rPr>
                <w:rFonts w:ascii="黑体" w:eastAsia="黑体" w:hAnsi="黑体" w:cs="黑体" w:hint="eastAsia"/>
                <w:kern w:val="0"/>
                <w:sz w:val="20"/>
                <w:szCs w:val="20"/>
              </w:rPr>
              <w:t>1-</w:t>
            </w:r>
            <w:r>
              <w:rPr>
                <w:rFonts w:ascii="黑体" w:eastAsia="黑体" w:hAnsi="黑体" w:cs="黑体"/>
                <w:kern w:val="0"/>
                <w:sz w:val="20"/>
                <w:szCs w:val="20"/>
              </w:rPr>
              <w:t>境内关联企业（包括子公司、联营或合营机构、联属企业）；</w:t>
            </w:r>
          </w:p>
          <w:p w14:paraId="6DF359DB" w14:textId="77777777" w:rsidR="00A052DC" w:rsidRDefault="009F0A60">
            <w:pPr>
              <w:rPr>
                <w:rFonts w:ascii="黑体" w:eastAsia="黑体" w:hAnsi="黑体" w:cs="黑体"/>
                <w:kern w:val="0"/>
                <w:sz w:val="20"/>
                <w:szCs w:val="20"/>
              </w:rPr>
            </w:pPr>
            <w:r>
              <w:rPr>
                <w:rFonts w:ascii="黑体" w:eastAsia="黑体" w:hAnsi="黑体" w:cs="黑体" w:hint="eastAsia"/>
                <w:kern w:val="0"/>
                <w:sz w:val="20"/>
                <w:szCs w:val="20"/>
              </w:rPr>
              <w:t>2-</w:t>
            </w:r>
            <w:r>
              <w:rPr>
                <w:rFonts w:ascii="黑体" w:eastAsia="黑体" w:hAnsi="黑体" w:cs="黑体"/>
                <w:kern w:val="0"/>
                <w:sz w:val="20"/>
                <w:szCs w:val="20"/>
              </w:rPr>
              <w:t>境内非关联企业；</w:t>
            </w:r>
          </w:p>
          <w:p w14:paraId="2BCB27F6" w14:textId="77777777" w:rsidR="00A052DC" w:rsidRDefault="009F0A60">
            <w:pPr>
              <w:rPr>
                <w:rFonts w:ascii="黑体" w:eastAsia="黑体" w:hAnsi="黑体" w:cs="黑体"/>
                <w:kern w:val="0"/>
                <w:sz w:val="20"/>
                <w:szCs w:val="20"/>
              </w:rPr>
            </w:pPr>
            <w:r>
              <w:rPr>
                <w:rFonts w:ascii="黑体" w:eastAsia="黑体" w:hAnsi="黑体" w:cs="黑体" w:hint="eastAsia"/>
                <w:kern w:val="0"/>
                <w:sz w:val="20"/>
                <w:szCs w:val="20"/>
              </w:rPr>
              <w:t>3-</w:t>
            </w:r>
            <w:r>
              <w:rPr>
                <w:rFonts w:ascii="黑体" w:eastAsia="黑体" w:hAnsi="黑体" w:cs="黑体"/>
                <w:kern w:val="0"/>
                <w:sz w:val="20"/>
                <w:szCs w:val="20"/>
              </w:rPr>
              <w:t>境外关联企业（包括子公司、联营或合营机构、联属企业）；</w:t>
            </w:r>
          </w:p>
          <w:p w14:paraId="2BC8D685" w14:textId="77777777" w:rsidR="00A052DC" w:rsidRDefault="009F0A60">
            <w:pPr>
              <w:numPr>
                <w:ilvl w:val="255"/>
                <w:numId w:val="0"/>
              </w:numPr>
              <w:rPr>
                <w:rFonts w:ascii="黑体" w:eastAsia="黑体" w:hAnsi="黑体" w:cs="黑体"/>
                <w:kern w:val="0"/>
                <w:sz w:val="20"/>
                <w:szCs w:val="20"/>
              </w:rPr>
            </w:pPr>
            <w:r>
              <w:rPr>
                <w:rFonts w:ascii="黑体" w:eastAsia="黑体" w:hAnsi="黑体" w:cs="黑体" w:hint="eastAsia"/>
                <w:kern w:val="0"/>
                <w:sz w:val="20"/>
                <w:szCs w:val="20"/>
              </w:rPr>
              <w:t>4-</w:t>
            </w:r>
            <w:r>
              <w:rPr>
                <w:rFonts w:ascii="黑体" w:eastAsia="黑体" w:hAnsi="黑体" w:cs="黑体"/>
                <w:kern w:val="0"/>
                <w:sz w:val="20"/>
                <w:szCs w:val="20"/>
              </w:rPr>
              <w:t>境外非关联企业。</w:t>
            </w:r>
          </w:p>
          <w:p w14:paraId="52DA711A" w14:textId="77777777" w:rsidR="00A052DC" w:rsidRDefault="009F0A60">
            <w:pPr>
              <w:rPr>
                <w:rFonts w:ascii="黑体" w:eastAsia="黑体" w:hAnsi="黑体" w:cs="黑体"/>
                <w:kern w:val="0"/>
                <w:sz w:val="20"/>
                <w:szCs w:val="20"/>
              </w:rPr>
            </w:pPr>
            <w:r>
              <w:rPr>
                <w:rFonts w:ascii="黑体" w:eastAsia="黑体" w:hAnsi="黑体" w:cs="黑体"/>
                <w:kern w:val="0"/>
                <w:sz w:val="20"/>
                <w:szCs w:val="20"/>
              </w:rPr>
              <w:t>若E0210=2,此项为空</w:t>
            </w:r>
            <w:r>
              <w:rPr>
                <w:rFonts w:ascii="黑体" w:eastAsia="黑体" w:hAnsi="黑体" w:cs="黑体" w:hint="eastAsia"/>
                <w:kern w:val="0"/>
                <w:sz w:val="20"/>
                <w:szCs w:val="20"/>
              </w:rPr>
              <w:t>。</w:t>
            </w:r>
          </w:p>
        </w:tc>
      </w:tr>
      <w:tr w:rsidR="00A052DC" w14:paraId="492BC240" w14:textId="77777777">
        <w:tc>
          <w:tcPr>
            <w:tcW w:w="1843" w:type="dxa"/>
            <w:tcBorders>
              <w:top w:val="single" w:sz="4" w:space="0" w:color="auto"/>
              <w:left w:val="single" w:sz="4" w:space="0" w:color="auto"/>
              <w:bottom w:val="single" w:sz="4" w:space="0" w:color="auto"/>
              <w:right w:val="single" w:sz="4" w:space="0" w:color="auto"/>
            </w:tcBorders>
          </w:tcPr>
          <w:p w14:paraId="0D012F02" w14:textId="77777777" w:rsidR="00A052DC" w:rsidRDefault="009F0A60">
            <w:pPr>
              <w:rPr>
                <w:rFonts w:ascii="黑体" w:eastAsia="黑体" w:hAnsi="黑体"/>
                <w:kern w:val="0"/>
                <w:sz w:val="20"/>
                <w:szCs w:val="20"/>
              </w:rPr>
            </w:pPr>
            <w:r>
              <w:rPr>
                <w:rFonts w:ascii="黑体" w:eastAsia="黑体" w:hAnsi="黑体" w:cs="黑体"/>
                <w:kern w:val="0"/>
                <w:sz w:val="20"/>
                <w:szCs w:val="20"/>
              </w:rPr>
              <w:t>E02115</w:t>
            </w:r>
          </w:p>
        </w:tc>
        <w:tc>
          <w:tcPr>
            <w:tcW w:w="1560" w:type="dxa"/>
            <w:tcBorders>
              <w:top w:val="single" w:sz="4" w:space="0" w:color="auto"/>
              <w:left w:val="single" w:sz="4" w:space="0" w:color="auto"/>
              <w:bottom w:val="single" w:sz="4" w:space="0" w:color="auto"/>
              <w:right w:val="single" w:sz="4" w:space="0" w:color="auto"/>
            </w:tcBorders>
          </w:tcPr>
          <w:p w14:paraId="01751168" w14:textId="77777777" w:rsidR="00A052DC" w:rsidRDefault="009F0A60">
            <w:pPr>
              <w:rPr>
                <w:rFonts w:ascii="黑体" w:eastAsia="黑体" w:hAnsi="黑体" w:cs="黑体"/>
                <w:kern w:val="0"/>
                <w:sz w:val="20"/>
                <w:szCs w:val="20"/>
              </w:rPr>
            </w:pPr>
            <w:r>
              <w:rPr>
                <w:rFonts w:ascii="黑体" w:eastAsia="黑体" w:hAnsi="黑体" w:cs="黑体" w:hint="eastAsia"/>
                <w:color w:val="000000"/>
                <w:sz w:val="20"/>
                <w:szCs w:val="20"/>
              </w:rPr>
              <w:t>实际承包主体代码</w:t>
            </w:r>
            <w:r>
              <w:rPr>
                <w:rFonts w:ascii="黑体" w:eastAsia="黑体" w:hAnsi="黑体" w:cs="黑体"/>
                <w:color w:val="000000"/>
                <w:sz w:val="20"/>
                <w:szCs w:val="20"/>
              </w:rPr>
              <w:t>5</w:t>
            </w:r>
          </w:p>
        </w:tc>
        <w:tc>
          <w:tcPr>
            <w:tcW w:w="1701" w:type="dxa"/>
            <w:tcBorders>
              <w:top w:val="single" w:sz="4" w:space="0" w:color="auto"/>
              <w:left w:val="single" w:sz="4" w:space="0" w:color="auto"/>
              <w:bottom w:val="single" w:sz="4" w:space="0" w:color="auto"/>
              <w:right w:val="single" w:sz="4" w:space="0" w:color="auto"/>
            </w:tcBorders>
          </w:tcPr>
          <w:p w14:paraId="032986AC" w14:textId="77777777" w:rsidR="00A052DC" w:rsidRDefault="009F0A60">
            <w:pPr>
              <w:rPr>
                <w:rFonts w:ascii="黑体" w:eastAsia="黑体" w:hAnsi="黑体"/>
                <w:kern w:val="0"/>
                <w:sz w:val="20"/>
                <w:szCs w:val="20"/>
              </w:rPr>
            </w:pPr>
            <w:r>
              <w:rPr>
                <w:rFonts w:ascii="黑体" w:eastAsia="黑体" w:hAnsi="黑体" w:cs="黑体" w:hint="eastAsia"/>
                <w:kern w:val="0"/>
                <w:sz w:val="20"/>
                <w:szCs w:val="20"/>
              </w:rPr>
              <w:t>字符型，</w:t>
            </w:r>
            <w:r>
              <w:rPr>
                <w:rFonts w:ascii="黑体" w:eastAsia="黑体" w:hAnsi="黑体" w:cs="黑体"/>
                <w:kern w:val="0"/>
                <w:sz w:val="20"/>
                <w:szCs w:val="20"/>
              </w:rPr>
              <w:t>256</w:t>
            </w:r>
          </w:p>
        </w:tc>
        <w:tc>
          <w:tcPr>
            <w:tcW w:w="3543" w:type="dxa"/>
            <w:tcBorders>
              <w:top w:val="single" w:sz="4" w:space="0" w:color="auto"/>
              <w:left w:val="single" w:sz="4" w:space="0" w:color="auto"/>
              <w:bottom w:val="single" w:sz="4" w:space="0" w:color="auto"/>
              <w:right w:val="single" w:sz="4" w:space="0" w:color="auto"/>
            </w:tcBorders>
          </w:tcPr>
          <w:p w14:paraId="6B201753" w14:textId="77777777" w:rsidR="00A052DC" w:rsidRDefault="009F0A60">
            <w:pPr>
              <w:rPr>
                <w:rFonts w:ascii="黑体" w:eastAsia="黑体" w:hAnsi="黑体" w:cs="黑体"/>
                <w:kern w:val="0"/>
                <w:sz w:val="20"/>
                <w:szCs w:val="20"/>
              </w:rPr>
            </w:pPr>
            <w:r>
              <w:rPr>
                <w:rFonts w:ascii="黑体" w:eastAsia="黑体" w:hAnsi="黑体" w:cs="黑体"/>
                <w:kern w:val="0"/>
                <w:sz w:val="20"/>
                <w:szCs w:val="20"/>
              </w:rPr>
              <w:t>非必填项。若E0210=1，此项为实际承包主体代码或N/A；若E0210=2,此项为空</w:t>
            </w:r>
            <w:r>
              <w:rPr>
                <w:rFonts w:ascii="黑体" w:eastAsia="黑体" w:hAnsi="黑体" w:cs="黑体" w:hint="eastAsia"/>
                <w:kern w:val="0"/>
                <w:sz w:val="20"/>
                <w:szCs w:val="20"/>
              </w:rPr>
              <w:t>。</w:t>
            </w:r>
          </w:p>
        </w:tc>
      </w:tr>
      <w:tr w:rsidR="00A052DC" w14:paraId="519E480A" w14:textId="77777777">
        <w:tc>
          <w:tcPr>
            <w:tcW w:w="1843" w:type="dxa"/>
            <w:tcBorders>
              <w:top w:val="single" w:sz="4" w:space="0" w:color="auto"/>
              <w:left w:val="single" w:sz="4" w:space="0" w:color="auto"/>
              <w:bottom w:val="single" w:sz="4" w:space="0" w:color="auto"/>
              <w:right w:val="single" w:sz="4" w:space="0" w:color="auto"/>
            </w:tcBorders>
          </w:tcPr>
          <w:p w14:paraId="2EC7DC8E" w14:textId="77777777" w:rsidR="00A052DC" w:rsidRDefault="009F0A60">
            <w:pPr>
              <w:rPr>
                <w:rFonts w:ascii="黑体" w:eastAsia="黑体" w:hAnsi="黑体"/>
                <w:kern w:val="0"/>
                <w:sz w:val="20"/>
                <w:szCs w:val="20"/>
              </w:rPr>
            </w:pPr>
            <w:r>
              <w:rPr>
                <w:rFonts w:ascii="黑体" w:eastAsia="黑体" w:hAnsi="黑体" w:cs="黑体"/>
                <w:kern w:val="0"/>
                <w:sz w:val="20"/>
                <w:szCs w:val="20"/>
              </w:rPr>
              <w:t>E02125</w:t>
            </w:r>
          </w:p>
        </w:tc>
        <w:tc>
          <w:tcPr>
            <w:tcW w:w="1560" w:type="dxa"/>
            <w:tcBorders>
              <w:top w:val="single" w:sz="4" w:space="0" w:color="auto"/>
              <w:left w:val="single" w:sz="4" w:space="0" w:color="auto"/>
              <w:bottom w:val="single" w:sz="4" w:space="0" w:color="auto"/>
              <w:right w:val="single" w:sz="4" w:space="0" w:color="auto"/>
            </w:tcBorders>
          </w:tcPr>
          <w:p w14:paraId="4464FC1E" w14:textId="77777777" w:rsidR="00A052DC" w:rsidRDefault="009F0A60">
            <w:pPr>
              <w:rPr>
                <w:rFonts w:ascii="黑体" w:eastAsia="黑体" w:hAnsi="黑体" w:cs="黑体"/>
                <w:kern w:val="0"/>
                <w:sz w:val="20"/>
                <w:szCs w:val="20"/>
              </w:rPr>
            </w:pPr>
            <w:r>
              <w:rPr>
                <w:rFonts w:ascii="黑体" w:eastAsia="黑体" w:hAnsi="黑体" w:cs="黑体" w:hint="eastAsia"/>
                <w:kern w:val="0"/>
                <w:sz w:val="20"/>
                <w:szCs w:val="20"/>
              </w:rPr>
              <w:t>实际承包主体名称</w:t>
            </w:r>
            <w:r>
              <w:rPr>
                <w:rFonts w:ascii="黑体" w:eastAsia="黑体" w:hAnsi="黑体" w:cs="黑体"/>
                <w:kern w:val="0"/>
                <w:sz w:val="20"/>
                <w:szCs w:val="20"/>
              </w:rPr>
              <w:t>5</w:t>
            </w:r>
          </w:p>
        </w:tc>
        <w:tc>
          <w:tcPr>
            <w:tcW w:w="1701" w:type="dxa"/>
            <w:tcBorders>
              <w:top w:val="single" w:sz="4" w:space="0" w:color="auto"/>
              <w:left w:val="single" w:sz="4" w:space="0" w:color="auto"/>
              <w:bottom w:val="single" w:sz="4" w:space="0" w:color="auto"/>
              <w:right w:val="single" w:sz="4" w:space="0" w:color="auto"/>
            </w:tcBorders>
          </w:tcPr>
          <w:p w14:paraId="7128DE24" w14:textId="77777777" w:rsidR="00A052DC" w:rsidRDefault="009F0A60">
            <w:pPr>
              <w:rPr>
                <w:rFonts w:ascii="黑体" w:eastAsia="黑体" w:hAnsi="黑体"/>
                <w:kern w:val="0"/>
                <w:sz w:val="20"/>
                <w:szCs w:val="20"/>
              </w:rPr>
            </w:pPr>
            <w:r>
              <w:rPr>
                <w:rFonts w:ascii="黑体" w:eastAsia="黑体" w:hAnsi="黑体" w:cs="黑体" w:hint="eastAsia"/>
                <w:kern w:val="0"/>
                <w:sz w:val="20"/>
                <w:szCs w:val="20"/>
              </w:rPr>
              <w:t>字符型，</w:t>
            </w:r>
            <w:r>
              <w:rPr>
                <w:rFonts w:ascii="黑体" w:eastAsia="黑体" w:hAnsi="黑体" w:cs="黑体"/>
                <w:kern w:val="0"/>
                <w:sz w:val="20"/>
                <w:szCs w:val="20"/>
              </w:rPr>
              <w:t>256</w:t>
            </w:r>
          </w:p>
        </w:tc>
        <w:tc>
          <w:tcPr>
            <w:tcW w:w="3543" w:type="dxa"/>
            <w:tcBorders>
              <w:top w:val="single" w:sz="4" w:space="0" w:color="auto"/>
              <w:left w:val="single" w:sz="4" w:space="0" w:color="auto"/>
              <w:bottom w:val="single" w:sz="4" w:space="0" w:color="auto"/>
              <w:right w:val="single" w:sz="4" w:space="0" w:color="auto"/>
            </w:tcBorders>
          </w:tcPr>
          <w:p w14:paraId="47DF03B6" w14:textId="77777777" w:rsidR="00A052DC" w:rsidRDefault="009F0A60">
            <w:pPr>
              <w:rPr>
                <w:rFonts w:ascii="黑体" w:eastAsia="黑体" w:hAnsi="黑体" w:cs="黑体"/>
                <w:kern w:val="0"/>
                <w:sz w:val="20"/>
                <w:szCs w:val="20"/>
              </w:rPr>
            </w:pPr>
            <w:r>
              <w:rPr>
                <w:rFonts w:ascii="黑体" w:eastAsia="黑体" w:hAnsi="黑体" w:cs="黑体"/>
                <w:kern w:val="0"/>
                <w:sz w:val="20"/>
                <w:szCs w:val="20"/>
              </w:rPr>
              <w:t>非必填项。若E0210=1，此项为实际承包主体名称或N/A；若E0210=2,此项为空</w:t>
            </w:r>
            <w:r>
              <w:rPr>
                <w:rFonts w:ascii="黑体" w:eastAsia="黑体" w:hAnsi="黑体" w:cs="黑体" w:hint="eastAsia"/>
                <w:kern w:val="0"/>
                <w:sz w:val="20"/>
                <w:szCs w:val="20"/>
              </w:rPr>
              <w:t>。</w:t>
            </w:r>
          </w:p>
        </w:tc>
      </w:tr>
      <w:tr w:rsidR="00A052DC" w14:paraId="32E88999" w14:textId="77777777">
        <w:tc>
          <w:tcPr>
            <w:tcW w:w="1843" w:type="dxa"/>
            <w:tcBorders>
              <w:top w:val="single" w:sz="4" w:space="0" w:color="auto"/>
              <w:left w:val="single" w:sz="4" w:space="0" w:color="auto"/>
              <w:bottom w:val="single" w:sz="4" w:space="0" w:color="auto"/>
              <w:right w:val="single" w:sz="4" w:space="0" w:color="auto"/>
            </w:tcBorders>
          </w:tcPr>
          <w:p w14:paraId="403E8931" w14:textId="77777777" w:rsidR="00A052DC" w:rsidRDefault="009F0A60">
            <w:pPr>
              <w:rPr>
                <w:rFonts w:ascii="黑体" w:eastAsia="黑体" w:hAnsi="黑体"/>
                <w:kern w:val="0"/>
                <w:sz w:val="20"/>
                <w:szCs w:val="20"/>
              </w:rPr>
            </w:pPr>
            <w:r>
              <w:rPr>
                <w:rFonts w:ascii="黑体" w:eastAsia="黑体" w:hAnsi="黑体" w:cs="黑体"/>
                <w:kern w:val="0"/>
                <w:sz w:val="20"/>
                <w:szCs w:val="20"/>
              </w:rPr>
              <w:t>E02135</w:t>
            </w:r>
          </w:p>
        </w:tc>
        <w:tc>
          <w:tcPr>
            <w:tcW w:w="1560" w:type="dxa"/>
            <w:tcBorders>
              <w:top w:val="single" w:sz="4" w:space="0" w:color="auto"/>
              <w:left w:val="single" w:sz="4" w:space="0" w:color="auto"/>
              <w:bottom w:val="single" w:sz="4" w:space="0" w:color="auto"/>
              <w:right w:val="single" w:sz="4" w:space="0" w:color="auto"/>
            </w:tcBorders>
          </w:tcPr>
          <w:p w14:paraId="3A21E34F" w14:textId="77777777" w:rsidR="00A052DC" w:rsidRDefault="009F0A60">
            <w:pPr>
              <w:rPr>
                <w:rFonts w:ascii="黑体" w:eastAsia="黑体" w:hAnsi="黑体" w:cs="黑体"/>
                <w:kern w:val="0"/>
                <w:sz w:val="20"/>
                <w:szCs w:val="20"/>
              </w:rPr>
            </w:pPr>
            <w:r>
              <w:rPr>
                <w:rFonts w:ascii="黑体" w:eastAsia="黑体" w:hAnsi="黑体" w:cs="黑体"/>
                <w:kern w:val="0"/>
                <w:sz w:val="20"/>
                <w:szCs w:val="20"/>
              </w:rPr>
              <w:t>实际承包主体类型5</w:t>
            </w:r>
          </w:p>
        </w:tc>
        <w:tc>
          <w:tcPr>
            <w:tcW w:w="1701" w:type="dxa"/>
            <w:tcBorders>
              <w:top w:val="single" w:sz="4" w:space="0" w:color="auto"/>
              <w:left w:val="single" w:sz="4" w:space="0" w:color="auto"/>
              <w:bottom w:val="single" w:sz="4" w:space="0" w:color="auto"/>
              <w:right w:val="single" w:sz="4" w:space="0" w:color="auto"/>
            </w:tcBorders>
          </w:tcPr>
          <w:p w14:paraId="411A249E" w14:textId="77777777" w:rsidR="00A052DC" w:rsidRDefault="009F0A60">
            <w:pPr>
              <w:rPr>
                <w:rFonts w:ascii="黑体" w:eastAsia="黑体" w:hAnsi="黑体"/>
                <w:kern w:val="0"/>
                <w:sz w:val="20"/>
                <w:szCs w:val="20"/>
              </w:rPr>
            </w:pPr>
            <w:r>
              <w:rPr>
                <w:rFonts w:ascii="黑体" w:eastAsia="黑体" w:hAnsi="黑体" w:hint="eastAsia"/>
                <w:kern w:val="0"/>
                <w:sz w:val="20"/>
                <w:szCs w:val="20"/>
              </w:rPr>
              <w:t>字符型，3</w:t>
            </w:r>
          </w:p>
        </w:tc>
        <w:tc>
          <w:tcPr>
            <w:tcW w:w="3543" w:type="dxa"/>
            <w:tcBorders>
              <w:top w:val="single" w:sz="4" w:space="0" w:color="auto"/>
              <w:left w:val="single" w:sz="4" w:space="0" w:color="auto"/>
              <w:bottom w:val="single" w:sz="4" w:space="0" w:color="auto"/>
              <w:right w:val="single" w:sz="4" w:space="0" w:color="auto"/>
            </w:tcBorders>
          </w:tcPr>
          <w:p w14:paraId="22FB8FDA" w14:textId="77777777" w:rsidR="00A052DC" w:rsidRDefault="009F0A60">
            <w:pPr>
              <w:rPr>
                <w:rFonts w:ascii="黑体" w:eastAsia="黑体" w:hAnsi="黑体" w:cs="黑体"/>
                <w:kern w:val="0"/>
                <w:sz w:val="20"/>
                <w:szCs w:val="20"/>
              </w:rPr>
            </w:pPr>
            <w:r>
              <w:rPr>
                <w:rFonts w:ascii="黑体" w:eastAsia="黑体" w:hAnsi="黑体" w:cs="黑体"/>
                <w:kern w:val="0"/>
                <w:sz w:val="20"/>
                <w:szCs w:val="20"/>
              </w:rPr>
              <w:t>非必填项。若E0210=1，此项可4选1或填报N/A：</w:t>
            </w:r>
          </w:p>
          <w:p w14:paraId="27CA587E" w14:textId="77777777" w:rsidR="00A052DC" w:rsidRDefault="009F0A60">
            <w:pPr>
              <w:rPr>
                <w:rFonts w:ascii="黑体" w:eastAsia="黑体" w:hAnsi="黑体" w:cs="黑体"/>
                <w:kern w:val="0"/>
                <w:sz w:val="20"/>
                <w:szCs w:val="20"/>
              </w:rPr>
            </w:pPr>
            <w:r>
              <w:rPr>
                <w:rFonts w:ascii="黑体" w:eastAsia="黑体" w:hAnsi="黑体" w:cs="黑体" w:hint="eastAsia"/>
                <w:kern w:val="0"/>
                <w:sz w:val="20"/>
                <w:szCs w:val="20"/>
              </w:rPr>
              <w:t>1-</w:t>
            </w:r>
            <w:r>
              <w:rPr>
                <w:rFonts w:ascii="黑体" w:eastAsia="黑体" w:hAnsi="黑体" w:cs="黑体"/>
                <w:kern w:val="0"/>
                <w:sz w:val="20"/>
                <w:szCs w:val="20"/>
              </w:rPr>
              <w:t>境内关联企业（包括子公司、联营或合营机构、联属企业）；</w:t>
            </w:r>
          </w:p>
          <w:p w14:paraId="18B19964" w14:textId="77777777" w:rsidR="00A052DC" w:rsidRDefault="009F0A60">
            <w:pPr>
              <w:rPr>
                <w:rFonts w:ascii="黑体" w:eastAsia="黑体" w:hAnsi="黑体" w:cs="黑体"/>
                <w:kern w:val="0"/>
                <w:sz w:val="20"/>
                <w:szCs w:val="20"/>
              </w:rPr>
            </w:pPr>
            <w:r>
              <w:rPr>
                <w:rFonts w:ascii="黑体" w:eastAsia="黑体" w:hAnsi="黑体" w:cs="黑体" w:hint="eastAsia"/>
                <w:kern w:val="0"/>
                <w:sz w:val="20"/>
                <w:szCs w:val="20"/>
              </w:rPr>
              <w:t>2-</w:t>
            </w:r>
            <w:r>
              <w:rPr>
                <w:rFonts w:ascii="黑体" w:eastAsia="黑体" w:hAnsi="黑体" w:cs="黑体"/>
                <w:kern w:val="0"/>
                <w:sz w:val="20"/>
                <w:szCs w:val="20"/>
              </w:rPr>
              <w:t>境内非关联企业；</w:t>
            </w:r>
          </w:p>
          <w:p w14:paraId="70564CF8" w14:textId="77777777" w:rsidR="00A052DC" w:rsidRDefault="009F0A60">
            <w:pPr>
              <w:rPr>
                <w:rFonts w:ascii="黑体" w:eastAsia="黑体" w:hAnsi="黑体" w:cs="黑体"/>
                <w:kern w:val="0"/>
                <w:sz w:val="20"/>
                <w:szCs w:val="20"/>
              </w:rPr>
            </w:pPr>
            <w:r>
              <w:rPr>
                <w:rFonts w:ascii="黑体" w:eastAsia="黑体" w:hAnsi="黑体" w:cs="黑体" w:hint="eastAsia"/>
                <w:kern w:val="0"/>
                <w:sz w:val="20"/>
                <w:szCs w:val="20"/>
              </w:rPr>
              <w:t>3-</w:t>
            </w:r>
            <w:r>
              <w:rPr>
                <w:rFonts w:ascii="黑体" w:eastAsia="黑体" w:hAnsi="黑体" w:cs="黑体"/>
                <w:kern w:val="0"/>
                <w:sz w:val="20"/>
                <w:szCs w:val="20"/>
              </w:rPr>
              <w:t>境外关联企业（包括子公司、联营或合营机构、联属企业）；</w:t>
            </w:r>
          </w:p>
          <w:p w14:paraId="39D3B669" w14:textId="77777777" w:rsidR="00A052DC" w:rsidRDefault="009F0A60">
            <w:pPr>
              <w:numPr>
                <w:ilvl w:val="255"/>
                <w:numId w:val="0"/>
              </w:numPr>
              <w:rPr>
                <w:rFonts w:ascii="黑体" w:eastAsia="黑体" w:hAnsi="黑体" w:cs="黑体"/>
                <w:kern w:val="0"/>
                <w:sz w:val="20"/>
                <w:szCs w:val="20"/>
              </w:rPr>
            </w:pPr>
            <w:r>
              <w:rPr>
                <w:rFonts w:ascii="黑体" w:eastAsia="黑体" w:hAnsi="黑体" w:cs="黑体" w:hint="eastAsia"/>
                <w:kern w:val="0"/>
                <w:sz w:val="20"/>
                <w:szCs w:val="20"/>
              </w:rPr>
              <w:t>4-</w:t>
            </w:r>
            <w:r>
              <w:rPr>
                <w:rFonts w:ascii="黑体" w:eastAsia="黑体" w:hAnsi="黑体" w:cs="黑体"/>
                <w:kern w:val="0"/>
                <w:sz w:val="20"/>
                <w:szCs w:val="20"/>
              </w:rPr>
              <w:t>境外非关联企业。</w:t>
            </w:r>
          </w:p>
          <w:p w14:paraId="0A09BEC7" w14:textId="77777777" w:rsidR="00A052DC" w:rsidRDefault="009F0A60">
            <w:pPr>
              <w:rPr>
                <w:rFonts w:ascii="黑体" w:eastAsia="黑体" w:hAnsi="黑体" w:cs="黑体"/>
                <w:kern w:val="0"/>
                <w:sz w:val="20"/>
                <w:szCs w:val="20"/>
              </w:rPr>
            </w:pPr>
            <w:r>
              <w:rPr>
                <w:rFonts w:ascii="黑体" w:eastAsia="黑体" w:hAnsi="黑体" w:cs="黑体"/>
                <w:kern w:val="0"/>
                <w:sz w:val="20"/>
                <w:szCs w:val="20"/>
              </w:rPr>
              <w:t>若E0210=2,此项为空</w:t>
            </w:r>
            <w:r>
              <w:rPr>
                <w:rFonts w:ascii="黑体" w:eastAsia="黑体" w:hAnsi="黑体" w:cs="黑体" w:hint="eastAsia"/>
                <w:kern w:val="0"/>
                <w:sz w:val="20"/>
                <w:szCs w:val="20"/>
              </w:rPr>
              <w:t>。</w:t>
            </w:r>
          </w:p>
        </w:tc>
      </w:tr>
      <w:tr w:rsidR="00A052DC" w14:paraId="169A721A" w14:textId="77777777">
        <w:tc>
          <w:tcPr>
            <w:tcW w:w="1843" w:type="dxa"/>
            <w:tcBorders>
              <w:top w:val="single" w:sz="4" w:space="0" w:color="auto"/>
              <w:left w:val="single" w:sz="4" w:space="0" w:color="auto"/>
              <w:bottom w:val="single" w:sz="4" w:space="0" w:color="auto"/>
              <w:right w:val="single" w:sz="4" w:space="0" w:color="auto"/>
            </w:tcBorders>
          </w:tcPr>
          <w:p w14:paraId="1DF379FE" w14:textId="77777777" w:rsidR="00A052DC" w:rsidRDefault="009F0A60">
            <w:pPr>
              <w:rPr>
                <w:rFonts w:ascii="黑体" w:eastAsia="黑体" w:hAnsi="黑体"/>
                <w:kern w:val="0"/>
                <w:sz w:val="20"/>
                <w:szCs w:val="20"/>
              </w:rPr>
            </w:pPr>
            <w:r>
              <w:rPr>
                <w:rFonts w:ascii="黑体" w:eastAsia="黑体" w:hAnsi="黑体"/>
                <w:kern w:val="0"/>
                <w:sz w:val="20"/>
                <w:szCs w:val="20"/>
              </w:rPr>
              <w:t>REMARK</w:t>
            </w:r>
          </w:p>
        </w:tc>
        <w:tc>
          <w:tcPr>
            <w:tcW w:w="1560" w:type="dxa"/>
            <w:tcBorders>
              <w:top w:val="single" w:sz="4" w:space="0" w:color="auto"/>
              <w:left w:val="single" w:sz="4" w:space="0" w:color="auto"/>
              <w:bottom w:val="single" w:sz="4" w:space="0" w:color="auto"/>
              <w:right w:val="single" w:sz="4" w:space="0" w:color="auto"/>
            </w:tcBorders>
          </w:tcPr>
          <w:p w14:paraId="209BBCB9" w14:textId="77777777" w:rsidR="00A052DC" w:rsidRDefault="009F0A60">
            <w:pPr>
              <w:rPr>
                <w:rFonts w:ascii="黑体" w:eastAsia="黑体" w:hAnsi="黑体"/>
                <w:kern w:val="0"/>
                <w:sz w:val="20"/>
                <w:szCs w:val="20"/>
              </w:rPr>
            </w:pPr>
            <w:r>
              <w:rPr>
                <w:rFonts w:ascii="黑体" w:eastAsia="黑体" w:hAnsi="黑体" w:hint="eastAsia"/>
                <w:kern w:val="0"/>
                <w:sz w:val="20"/>
                <w:szCs w:val="20"/>
              </w:rPr>
              <w:t>备注</w:t>
            </w:r>
          </w:p>
        </w:tc>
        <w:tc>
          <w:tcPr>
            <w:tcW w:w="1701" w:type="dxa"/>
            <w:tcBorders>
              <w:top w:val="single" w:sz="4" w:space="0" w:color="auto"/>
              <w:left w:val="single" w:sz="4" w:space="0" w:color="auto"/>
              <w:bottom w:val="single" w:sz="4" w:space="0" w:color="auto"/>
              <w:right w:val="single" w:sz="4" w:space="0" w:color="auto"/>
            </w:tcBorders>
          </w:tcPr>
          <w:p w14:paraId="11A3C892" w14:textId="77777777" w:rsidR="00A052DC" w:rsidRDefault="009F0A60">
            <w:pPr>
              <w:rPr>
                <w:rFonts w:ascii="黑体" w:eastAsia="黑体" w:hAnsi="黑体"/>
                <w:kern w:val="0"/>
                <w:sz w:val="20"/>
                <w:szCs w:val="20"/>
              </w:rPr>
            </w:pPr>
            <w:r>
              <w:rPr>
                <w:rFonts w:ascii="黑体" w:eastAsia="黑体" w:hAnsi="黑体" w:hint="eastAsia"/>
                <w:kern w:val="0"/>
                <w:sz w:val="20"/>
                <w:szCs w:val="20"/>
              </w:rPr>
              <w:t>字符型，</w:t>
            </w:r>
            <w:r>
              <w:rPr>
                <w:rFonts w:ascii="黑体" w:eastAsia="黑体" w:hAnsi="黑体"/>
                <w:kern w:val="0"/>
                <w:sz w:val="20"/>
                <w:szCs w:val="20"/>
              </w:rPr>
              <w:t>256</w:t>
            </w:r>
          </w:p>
        </w:tc>
        <w:tc>
          <w:tcPr>
            <w:tcW w:w="3543" w:type="dxa"/>
            <w:tcBorders>
              <w:top w:val="single" w:sz="4" w:space="0" w:color="auto"/>
              <w:left w:val="single" w:sz="4" w:space="0" w:color="auto"/>
              <w:bottom w:val="single" w:sz="4" w:space="0" w:color="auto"/>
              <w:right w:val="single" w:sz="4" w:space="0" w:color="auto"/>
            </w:tcBorders>
          </w:tcPr>
          <w:p w14:paraId="535247D4" w14:textId="77777777" w:rsidR="00A052DC" w:rsidRDefault="009F0A60">
            <w:pPr>
              <w:rPr>
                <w:rFonts w:ascii="黑体" w:eastAsia="黑体" w:hAnsi="黑体"/>
                <w:kern w:val="0"/>
                <w:sz w:val="20"/>
                <w:szCs w:val="20"/>
              </w:rPr>
            </w:pPr>
            <w:r>
              <w:rPr>
                <w:rFonts w:ascii="黑体" w:eastAsia="黑体" w:hAnsi="黑体" w:hint="eastAsia"/>
                <w:kern w:val="0"/>
                <w:sz w:val="20"/>
                <w:szCs w:val="20"/>
              </w:rPr>
              <w:t>非必填项。</w:t>
            </w:r>
          </w:p>
        </w:tc>
      </w:tr>
    </w:tbl>
    <w:p w14:paraId="3E17FA01" w14:textId="77777777" w:rsidR="00A052DC" w:rsidRDefault="009F0A60">
      <w:pPr>
        <w:pStyle w:val="3"/>
        <w:ind w:left="0"/>
        <w:rPr>
          <w:rFonts w:ascii="Times New Roman" w:hAnsi="Times New Roman"/>
        </w:rPr>
      </w:pPr>
      <w:bookmarkStart w:id="3585" w:name="_Toc90625121"/>
      <w:bookmarkStart w:id="3586" w:name="_Toc91455328"/>
      <w:bookmarkStart w:id="3587" w:name="_Toc101684501"/>
      <w:r>
        <w:rPr>
          <w:rFonts w:ascii="Times New Roman" w:hAnsi="Times New Roman" w:hint="eastAsia"/>
        </w:rPr>
        <w:t>E02-2</w:t>
      </w:r>
      <w:r>
        <w:rPr>
          <w:rFonts w:ascii="Times New Roman" w:hAnsi="Times New Roman" w:hint="eastAsia"/>
        </w:rPr>
        <w:t>表：境外建设统计表</w:t>
      </w:r>
      <w:bookmarkEnd w:id="3585"/>
      <w:bookmarkEnd w:id="3586"/>
      <w:bookmarkEnd w:id="3587"/>
    </w:p>
    <w:p w14:paraId="38DED8CC" w14:textId="77777777" w:rsidR="00A052DC" w:rsidRDefault="009F0A60" w:rsidP="0020251D">
      <w:pPr>
        <w:pStyle w:val="4"/>
        <w:numPr>
          <w:ilvl w:val="3"/>
          <w:numId w:val="1"/>
        </w:numPr>
        <w:jc w:val="left"/>
      </w:pPr>
      <w:r>
        <w:rPr>
          <w:rFonts w:hint="eastAsia"/>
        </w:rPr>
        <w:t>数据术语解释</w:t>
      </w:r>
    </w:p>
    <w:tbl>
      <w:tblPr>
        <w:tblW w:w="861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78"/>
        <w:gridCol w:w="7035"/>
      </w:tblGrid>
      <w:tr w:rsidR="00A052DC" w14:paraId="59D78875" w14:textId="77777777">
        <w:tc>
          <w:tcPr>
            <w:tcW w:w="1578" w:type="dxa"/>
          </w:tcPr>
          <w:p w14:paraId="582FDB2E" w14:textId="77777777" w:rsidR="00A052DC" w:rsidRDefault="009F0A60">
            <w:pPr>
              <w:pStyle w:val="B1"/>
            </w:pPr>
            <w:r>
              <w:rPr>
                <w:rFonts w:hint="eastAsia"/>
              </w:rPr>
              <w:t>基础数据项</w:t>
            </w:r>
          </w:p>
        </w:tc>
        <w:tc>
          <w:tcPr>
            <w:tcW w:w="7035" w:type="dxa"/>
          </w:tcPr>
          <w:p w14:paraId="3EF86215" w14:textId="77777777" w:rsidR="00A052DC" w:rsidRDefault="009F0A60">
            <w:pPr>
              <w:pStyle w:val="B1"/>
            </w:pPr>
            <w:r>
              <w:rPr>
                <w:rFonts w:hint="eastAsia"/>
              </w:rPr>
              <w:t>定义</w:t>
            </w:r>
          </w:p>
        </w:tc>
      </w:tr>
      <w:tr w:rsidR="00A052DC" w14:paraId="3885DCEB" w14:textId="77777777">
        <w:tc>
          <w:tcPr>
            <w:tcW w:w="1578" w:type="dxa"/>
          </w:tcPr>
          <w:p w14:paraId="3C9ADFA0" w14:textId="77777777" w:rsidR="00A052DC" w:rsidRDefault="009F0A60">
            <w:pPr>
              <w:pStyle w:val="B1"/>
              <w:jc w:val="left"/>
              <w:rPr>
                <w:b w:val="0"/>
              </w:rPr>
            </w:pPr>
            <w:r>
              <w:rPr>
                <w:rFonts w:cs="黑体" w:hint="eastAsia"/>
                <w:b w:val="0"/>
              </w:rPr>
              <w:t>数据自编码</w:t>
            </w:r>
          </w:p>
        </w:tc>
        <w:tc>
          <w:tcPr>
            <w:tcW w:w="7035" w:type="dxa"/>
          </w:tcPr>
          <w:p w14:paraId="1C81BEEA" w14:textId="77777777" w:rsidR="00A052DC" w:rsidRDefault="009F0A60">
            <w:pPr>
              <w:pStyle w:val="B1"/>
              <w:jc w:val="left"/>
              <w:rPr>
                <w:b w:val="0"/>
              </w:rPr>
            </w:pPr>
            <w:r>
              <w:rPr>
                <w:rFonts w:cs="黑体" w:hint="eastAsia"/>
                <w:b w:val="0"/>
              </w:rPr>
              <w:t>该编码用于标识金融机构报送的每一条数据，按给定规则编码，便于进行增删改查等操作。建议规则：机构代码（</w:t>
            </w:r>
            <w:r>
              <w:rPr>
                <w:rFonts w:cs="黑体"/>
                <w:b w:val="0"/>
              </w:rPr>
              <w:t>18位，不足18位补a</w:t>
            </w:r>
            <w:r>
              <w:rPr>
                <w:rFonts w:cs="黑体" w:hint="eastAsia"/>
                <w:b w:val="0"/>
              </w:rPr>
              <w:t>）</w:t>
            </w:r>
            <w:r>
              <w:rPr>
                <w:rFonts w:cs="黑体"/>
                <w:b w:val="0"/>
              </w:rPr>
              <w:t>+</w:t>
            </w:r>
            <w:r>
              <w:rPr>
                <w:rFonts w:cs="黑体" w:hint="eastAsia"/>
                <w:b w:val="0"/>
              </w:rPr>
              <w:t>报表代码（</w:t>
            </w:r>
            <w:r>
              <w:rPr>
                <w:rFonts w:cs="黑体"/>
                <w:b w:val="0"/>
              </w:rPr>
              <w:t>5</w:t>
            </w:r>
            <w:r>
              <w:rPr>
                <w:rFonts w:cs="黑体" w:hint="eastAsia"/>
                <w:b w:val="0"/>
              </w:rPr>
              <w:t>位，不足</w:t>
            </w:r>
            <w:r>
              <w:rPr>
                <w:rFonts w:cs="黑体"/>
                <w:b w:val="0"/>
              </w:rPr>
              <w:t>5</w:t>
            </w:r>
            <w:r>
              <w:rPr>
                <w:rFonts w:cs="黑体" w:hint="eastAsia"/>
                <w:b w:val="0"/>
              </w:rPr>
              <w:t>位补</w:t>
            </w:r>
            <w:r>
              <w:rPr>
                <w:rFonts w:cs="黑体"/>
                <w:b w:val="0"/>
              </w:rPr>
              <w:t>a</w:t>
            </w:r>
            <w:r>
              <w:rPr>
                <w:rFonts w:cs="黑体" w:hint="eastAsia"/>
                <w:b w:val="0"/>
              </w:rPr>
              <w:t>）</w:t>
            </w:r>
            <w:r>
              <w:rPr>
                <w:rFonts w:cs="黑体"/>
                <w:b w:val="0"/>
              </w:rPr>
              <w:t>+</w:t>
            </w:r>
            <w:r>
              <w:rPr>
                <w:rFonts w:cs="黑体" w:hint="eastAsia"/>
                <w:b w:val="0"/>
              </w:rPr>
              <w:t>报送期（</w:t>
            </w:r>
            <w:r>
              <w:rPr>
                <w:rFonts w:cs="黑体"/>
                <w:b w:val="0"/>
              </w:rPr>
              <w:t>6</w:t>
            </w:r>
            <w:r>
              <w:rPr>
                <w:rFonts w:cs="黑体" w:hint="eastAsia"/>
                <w:b w:val="0"/>
              </w:rPr>
              <w:t>位）</w:t>
            </w:r>
            <w:r>
              <w:rPr>
                <w:rFonts w:cs="黑体"/>
                <w:b w:val="0"/>
              </w:rPr>
              <w:t>+</w:t>
            </w:r>
            <w:r>
              <w:rPr>
                <w:rFonts w:cs="黑体" w:hint="eastAsia"/>
                <w:b w:val="0"/>
              </w:rPr>
              <w:t>顺序号（</w:t>
            </w:r>
            <w:r>
              <w:rPr>
                <w:rFonts w:cs="黑体"/>
                <w:b w:val="0"/>
              </w:rPr>
              <w:t>7</w:t>
            </w:r>
            <w:r>
              <w:rPr>
                <w:rFonts w:cs="黑体" w:hint="eastAsia"/>
                <w:b w:val="0"/>
              </w:rPr>
              <w:t>位，从</w:t>
            </w:r>
            <w:r>
              <w:rPr>
                <w:rFonts w:cs="黑体"/>
                <w:b w:val="0"/>
              </w:rPr>
              <w:t>0000001</w:t>
            </w:r>
            <w:r>
              <w:rPr>
                <w:rFonts w:cs="黑体" w:hint="eastAsia"/>
                <w:b w:val="0"/>
              </w:rPr>
              <w:t>开始增加）。</w:t>
            </w:r>
          </w:p>
        </w:tc>
      </w:tr>
      <w:tr w:rsidR="00A052DC" w14:paraId="568421E7" w14:textId="77777777">
        <w:tc>
          <w:tcPr>
            <w:tcW w:w="1578" w:type="dxa"/>
          </w:tcPr>
          <w:p w14:paraId="0278E8E9" w14:textId="77777777" w:rsidR="00A052DC" w:rsidRDefault="009F0A60">
            <w:pPr>
              <w:pStyle w:val="B1"/>
              <w:jc w:val="left"/>
              <w:rPr>
                <w:b w:val="0"/>
              </w:rPr>
            </w:pPr>
            <w:r>
              <w:rPr>
                <w:rFonts w:cs="黑体" w:hint="eastAsia"/>
                <w:b w:val="0"/>
              </w:rPr>
              <w:t>申报主体代码</w:t>
            </w:r>
          </w:p>
        </w:tc>
        <w:tc>
          <w:tcPr>
            <w:tcW w:w="7035" w:type="dxa"/>
          </w:tcPr>
          <w:p w14:paraId="738BD555" w14:textId="77777777" w:rsidR="00A052DC" w:rsidRDefault="009F0A60">
            <w:pPr>
              <w:pStyle w:val="B1"/>
              <w:jc w:val="left"/>
              <w:rPr>
                <w:b w:val="0"/>
              </w:rPr>
            </w:pPr>
            <w:r>
              <w:rPr>
                <w:rFonts w:cs="黑体" w:hint="eastAsia"/>
                <w:b w:val="0"/>
              </w:rPr>
              <w:t>申报主体的</w:t>
            </w:r>
            <w:r>
              <w:rPr>
                <w:rFonts w:cs="黑体"/>
                <w:b w:val="0"/>
              </w:rPr>
              <w:t>12位金融机构标识码，如果没有金融机构标识码，则填报统一社会信用代码法定载体（如营业执照）上统一社会信用代码中的第9至17位或国家外汇管理局及其分支局签发的特殊机构代码赋码通知书上的机构代码、个人身份代码。</w:t>
            </w:r>
          </w:p>
        </w:tc>
      </w:tr>
      <w:tr w:rsidR="00A052DC" w14:paraId="5A7C9AAD" w14:textId="77777777">
        <w:tc>
          <w:tcPr>
            <w:tcW w:w="1578" w:type="dxa"/>
          </w:tcPr>
          <w:p w14:paraId="26158DC9" w14:textId="77777777" w:rsidR="00A052DC" w:rsidRDefault="009F0A60">
            <w:pPr>
              <w:pStyle w:val="B1"/>
              <w:jc w:val="left"/>
              <w:rPr>
                <w:b w:val="0"/>
              </w:rPr>
            </w:pPr>
            <w:r>
              <w:rPr>
                <w:rFonts w:cs="黑体" w:hint="eastAsia"/>
                <w:b w:val="0"/>
              </w:rPr>
              <w:t>报告期</w:t>
            </w:r>
          </w:p>
        </w:tc>
        <w:tc>
          <w:tcPr>
            <w:tcW w:w="7035" w:type="dxa"/>
          </w:tcPr>
          <w:p w14:paraId="23ED1CF5" w14:textId="77777777" w:rsidR="00A052DC" w:rsidRDefault="009F0A60">
            <w:pPr>
              <w:pStyle w:val="B1"/>
              <w:jc w:val="left"/>
              <w:rPr>
                <w:b w:val="0"/>
              </w:rPr>
            </w:pPr>
            <w:r>
              <w:rPr>
                <w:rFonts w:cs="黑体" w:hint="eastAsia"/>
                <w:b w:val="0"/>
              </w:rPr>
              <w:t>业务发生月份，格式为</w:t>
            </w:r>
            <w:r>
              <w:rPr>
                <w:rFonts w:cs="黑体"/>
                <w:b w:val="0"/>
              </w:rPr>
              <w:t>YYYYMM</w:t>
            </w:r>
            <w:r>
              <w:rPr>
                <w:rFonts w:cs="黑体" w:hint="eastAsia"/>
                <w:b w:val="0"/>
              </w:rPr>
              <w:t>。</w:t>
            </w:r>
          </w:p>
        </w:tc>
      </w:tr>
      <w:tr w:rsidR="00A052DC" w14:paraId="743ECF6E" w14:textId="77777777">
        <w:tc>
          <w:tcPr>
            <w:tcW w:w="1578" w:type="dxa"/>
          </w:tcPr>
          <w:p w14:paraId="7946B71C" w14:textId="77777777" w:rsidR="00A052DC" w:rsidRDefault="009F0A60">
            <w:pPr>
              <w:pStyle w:val="B1"/>
              <w:jc w:val="left"/>
              <w:rPr>
                <w:b w:val="0"/>
              </w:rPr>
            </w:pPr>
            <w:r>
              <w:rPr>
                <w:rFonts w:cs="黑体" w:hint="eastAsia"/>
                <w:b w:val="0"/>
                <w:color w:val="000000"/>
              </w:rPr>
              <w:t>签约主体类型</w:t>
            </w:r>
          </w:p>
        </w:tc>
        <w:tc>
          <w:tcPr>
            <w:tcW w:w="7035" w:type="dxa"/>
          </w:tcPr>
          <w:p w14:paraId="28EBAC54" w14:textId="77777777" w:rsidR="00A052DC" w:rsidRDefault="009F0A60">
            <w:pPr>
              <w:pStyle w:val="B1"/>
              <w:jc w:val="left"/>
              <w:rPr>
                <w:b w:val="0"/>
              </w:rPr>
            </w:pPr>
            <w:r>
              <w:rPr>
                <w:rFonts w:cs="黑体" w:hint="eastAsia"/>
                <w:b w:val="0"/>
                <w:color w:val="000000"/>
              </w:rPr>
              <w:t>指与非居民签订境外建设项目合同的机构实体是申报主体的：</w:t>
            </w:r>
            <w:r>
              <w:rPr>
                <w:rFonts w:cs="黑体"/>
                <w:b w:val="0"/>
                <w:color w:val="000000"/>
              </w:rPr>
              <w:t>1-</w:t>
            </w:r>
            <w:r>
              <w:rPr>
                <w:rFonts w:cs="黑体" w:hint="eastAsia"/>
                <w:b w:val="0"/>
                <w:color w:val="000000"/>
              </w:rPr>
              <w:t>申报主体自身（设立项目办公室单独核算）；</w:t>
            </w:r>
            <w:r>
              <w:rPr>
                <w:rFonts w:cs="黑体"/>
                <w:b w:val="0"/>
                <w:color w:val="000000"/>
              </w:rPr>
              <w:t>2-</w:t>
            </w:r>
            <w:r>
              <w:rPr>
                <w:rFonts w:cs="黑体" w:hint="eastAsia"/>
                <w:b w:val="0"/>
                <w:color w:val="000000"/>
              </w:rPr>
              <w:t>申报主体自身（未设立项目办公室）；</w:t>
            </w:r>
            <w:r>
              <w:rPr>
                <w:rFonts w:cs="黑体"/>
                <w:b w:val="0"/>
                <w:color w:val="000000"/>
              </w:rPr>
              <w:t>3-</w:t>
            </w:r>
            <w:r>
              <w:rPr>
                <w:rFonts w:cs="黑体" w:hint="eastAsia"/>
                <w:b w:val="0"/>
                <w:color w:val="000000"/>
              </w:rPr>
              <w:t>境外分支机构（非法人机构）；</w:t>
            </w:r>
            <w:r>
              <w:rPr>
                <w:rFonts w:cs="黑体"/>
                <w:b w:val="0"/>
                <w:color w:val="000000"/>
              </w:rPr>
              <w:t>4-</w:t>
            </w:r>
            <w:r>
              <w:rPr>
                <w:rFonts w:cs="黑体" w:hint="eastAsia"/>
                <w:b w:val="0"/>
                <w:color w:val="000000"/>
              </w:rPr>
              <w:t>境外子机构（法人机构）（申报主体持有表决权＞</w:t>
            </w:r>
            <w:r>
              <w:rPr>
                <w:rFonts w:cs="黑体"/>
                <w:b w:val="0"/>
                <w:color w:val="000000"/>
              </w:rPr>
              <w:t>50%）；5-</w:t>
            </w:r>
            <w:r>
              <w:rPr>
                <w:rFonts w:cs="黑体" w:hint="eastAsia"/>
                <w:b w:val="0"/>
                <w:color w:val="000000"/>
              </w:rPr>
              <w:t>境外联营或合营机构（法人）（申报主体持有表决权≥</w:t>
            </w:r>
            <w:r>
              <w:rPr>
                <w:rFonts w:cs="黑体"/>
                <w:b w:val="0"/>
                <w:color w:val="000000"/>
              </w:rPr>
              <w:t>10%，但≤50%）；6-</w:t>
            </w:r>
            <w:r>
              <w:rPr>
                <w:rFonts w:cs="黑体" w:hint="eastAsia"/>
                <w:b w:val="0"/>
                <w:color w:val="000000"/>
              </w:rPr>
              <w:t>境内总承包企业。仅当申报主体为境内分包企业时，可选择</w:t>
            </w:r>
            <w:r>
              <w:rPr>
                <w:rFonts w:cs="黑体"/>
                <w:b w:val="0"/>
                <w:color w:val="000000"/>
              </w:rPr>
              <w:t>6</w:t>
            </w:r>
            <w:r>
              <w:rPr>
                <w:rFonts w:cs="黑体" w:hint="eastAsia"/>
                <w:b w:val="0"/>
                <w:color w:val="000000"/>
              </w:rPr>
              <w:t>。此项目如选择</w:t>
            </w:r>
            <w:r>
              <w:rPr>
                <w:rFonts w:cs="黑体"/>
                <w:b w:val="0"/>
                <w:color w:val="000000"/>
              </w:rPr>
              <w:t>1</w:t>
            </w:r>
            <w:r>
              <w:rPr>
                <w:rFonts w:cs="黑体" w:hint="eastAsia"/>
                <w:b w:val="0"/>
                <w:color w:val="000000"/>
              </w:rPr>
              <w:t>或</w:t>
            </w:r>
            <w:r>
              <w:rPr>
                <w:rFonts w:cs="黑体"/>
                <w:b w:val="0"/>
                <w:color w:val="000000"/>
              </w:rPr>
              <w:t>2</w:t>
            </w:r>
            <w:r>
              <w:rPr>
                <w:rFonts w:cs="黑体" w:hint="eastAsia"/>
                <w:b w:val="0"/>
                <w:color w:val="000000"/>
              </w:rPr>
              <w:t>或</w:t>
            </w:r>
            <w:r>
              <w:rPr>
                <w:rFonts w:cs="黑体"/>
                <w:b w:val="0"/>
                <w:color w:val="000000"/>
              </w:rPr>
              <w:t>6</w:t>
            </w:r>
            <w:r>
              <w:rPr>
                <w:rFonts w:cs="黑体" w:hint="eastAsia"/>
                <w:b w:val="0"/>
                <w:color w:val="000000"/>
              </w:rPr>
              <w:t>，则</w:t>
            </w:r>
            <w:r>
              <w:rPr>
                <w:rFonts w:cs="黑体"/>
                <w:b w:val="0"/>
                <w:color w:val="000000"/>
              </w:rPr>
              <w:t>必须</w:t>
            </w:r>
            <w:r>
              <w:rPr>
                <w:rFonts w:cs="黑体" w:hint="eastAsia"/>
                <w:b w:val="0"/>
                <w:color w:val="000000"/>
              </w:rPr>
              <w:t>填写境外建设统计表（</w:t>
            </w:r>
            <w:r>
              <w:rPr>
                <w:rFonts w:cs="黑体"/>
                <w:b w:val="0"/>
                <w:color w:val="000000"/>
              </w:rPr>
              <w:t>E02-2表）；如选择3或4或5，</w:t>
            </w:r>
            <w:r>
              <w:rPr>
                <w:rFonts w:cs="黑体" w:hint="eastAsia"/>
                <w:b w:val="0"/>
                <w:color w:val="000000"/>
              </w:rPr>
              <w:t>则填写</w:t>
            </w:r>
            <w:r>
              <w:rPr>
                <w:rFonts w:cs="黑体"/>
                <w:b w:val="0"/>
                <w:color w:val="000000"/>
              </w:rPr>
              <w:t>A系列报表，不填写境外建设统计表（E02-2表）。</w:t>
            </w:r>
          </w:p>
        </w:tc>
      </w:tr>
      <w:tr w:rsidR="00A052DC" w14:paraId="5DFF031C" w14:textId="77777777">
        <w:tc>
          <w:tcPr>
            <w:tcW w:w="1578" w:type="dxa"/>
          </w:tcPr>
          <w:p w14:paraId="28A8A2A7" w14:textId="77777777" w:rsidR="00A052DC" w:rsidRDefault="009F0A60">
            <w:pPr>
              <w:pStyle w:val="B1"/>
              <w:jc w:val="left"/>
            </w:pPr>
            <w:r>
              <w:rPr>
                <w:rFonts w:hint="eastAsia"/>
                <w:b w:val="0"/>
              </w:rPr>
              <w:t>建设项目所在国家/地区</w:t>
            </w:r>
          </w:p>
        </w:tc>
        <w:tc>
          <w:tcPr>
            <w:tcW w:w="7035" w:type="dxa"/>
          </w:tcPr>
          <w:p w14:paraId="6874A586" w14:textId="77777777" w:rsidR="00A052DC" w:rsidRDefault="009F0A60">
            <w:pPr>
              <w:pStyle w:val="B1"/>
              <w:jc w:val="left"/>
            </w:pPr>
            <w:r>
              <w:rPr>
                <w:rFonts w:hint="eastAsia"/>
                <w:b w:val="0"/>
              </w:rPr>
              <w:t>建设工程的建设地所在国家或地区。参见国家和地区代码表的</w:t>
            </w:r>
            <w:r>
              <w:rPr>
                <w:b w:val="0"/>
              </w:rPr>
              <w:t>3位字母代码。</w:t>
            </w:r>
          </w:p>
        </w:tc>
      </w:tr>
      <w:tr w:rsidR="00A052DC" w14:paraId="5FFF5183" w14:textId="77777777">
        <w:tc>
          <w:tcPr>
            <w:tcW w:w="1578" w:type="dxa"/>
          </w:tcPr>
          <w:p w14:paraId="1B272590" w14:textId="77777777" w:rsidR="00A052DC" w:rsidRDefault="009F0A60">
            <w:pPr>
              <w:pStyle w:val="B1"/>
              <w:jc w:val="left"/>
            </w:pPr>
            <w:r>
              <w:rPr>
                <w:rFonts w:hint="eastAsia"/>
                <w:b w:val="0"/>
              </w:rPr>
              <w:t>记账币种</w:t>
            </w:r>
          </w:p>
        </w:tc>
        <w:tc>
          <w:tcPr>
            <w:tcW w:w="7035" w:type="dxa"/>
          </w:tcPr>
          <w:p w14:paraId="47D8B75D" w14:textId="77777777" w:rsidR="00A052DC" w:rsidRDefault="009F0A60">
            <w:pPr>
              <w:pStyle w:val="B1"/>
              <w:jc w:val="left"/>
            </w:pPr>
            <w:r>
              <w:rPr>
                <w:rFonts w:cs="黑体" w:hint="eastAsia"/>
                <w:b w:val="0"/>
                <w:color w:val="000000"/>
              </w:rPr>
              <w:t>按照建设项目主要记账币种填报</w:t>
            </w:r>
            <w:r>
              <w:rPr>
                <w:rFonts w:cs="黑体"/>
                <w:b w:val="0"/>
                <w:color w:val="000000"/>
              </w:rPr>
              <w:t>，适用于本月确认收入至本月净利润各项。</w:t>
            </w:r>
          </w:p>
        </w:tc>
      </w:tr>
      <w:tr w:rsidR="00A052DC" w14:paraId="6AEC7599" w14:textId="77777777">
        <w:tc>
          <w:tcPr>
            <w:tcW w:w="1578" w:type="dxa"/>
          </w:tcPr>
          <w:p w14:paraId="60E6E98D" w14:textId="77777777" w:rsidR="00A052DC" w:rsidRDefault="009F0A60">
            <w:pPr>
              <w:pStyle w:val="B1"/>
              <w:jc w:val="left"/>
            </w:pPr>
            <w:r>
              <w:rPr>
                <w:rFonts w:hint="eastAsia"/>
                <w:b w:val="0"/>
              </w:rPr>
              <w:t>本月确认收入</w:t>
            </w:r>
          </w:p>
        </w:tc>
        <w:tc>
          <w:tcPr>
            <w:tcW w:w="7035" w:type="dxa"/>
          </w:tcPr>
          <w:p w14:paraId="159AB3B2" w14:textId="77777777" w:rsidR="00A052DC" w:rsidRDefault="009F0A60">
            <w:pPr>
              <w:pStyle w:val="B1"/>
              <w:jc w:val="left"/>
            </w:pPr>
            <w:r>
              <w:rPr>
                <w:rFonts w:hint="eastAsia"/>
                <w:b w:val="0"/>
              </w:rPr>
              <w:t>本月申报主体在所填报国家或地区的建设项目中，在会计账上确认的工程款收入。</w:t>
            </w:r>
          </w:p>
        </w:tc>
      </w:tr>
      <w:tr w:rsidR="00A052DC" w14:paraId="4C96B64F" w14:textId="77777777">
        <w:tc>
          <w:tcPr>
            <w:tcW w:w="1578" w:type="dxa"/>
          </w:tcPr>
          <w:p w14:paraId="0C6868CB" w14:textId="77777777" w:rsidR="00A052DC" w:rsidRDefault="009F0A60">
            <w:pPr>
              <w:pStyle w:val="B1"/>
              <w:jc w:val="left"/>
            </w:pPr>
            <w:r>
              <w:rPr>
                <w:rFonts w:hint="eastAsia"/>
                <w:b w:val="0"/>
              </w:rPr>
              <w:t>本月确认对境内成本</w:t>
            </w:r>
          </w:p>
        </w:tc>
        <w:tc>
          <w:tcPr>
            <w:tcW w:w="7035" w:type="dxa"/>
          </w:tcPr>
          <w:p w14:paraId="1C88F11D" w14:textId="77777777" w:rsidR="00A052DC" w:rsidRDefault="009F0A60">
            <w:pPr>
              <w:pStyle w:val="B1"/>
              <w:jc w:val="left"/>
            </w:pPr>
            <w:r>
              <w:rPr>
                <w:rFonts w:cs="黑体" w:hint="eastAsia"/>
                <w:b w:val="0"/>
                <w:bCs/>
              </w:rPr>
              <w:t>本月申报主体在所填报国家或地区的建设项目中，在会计账上确认的境内成本</w:t>
            </w:r>
            <w:r>
              <w:rPr>
                <w:rFonts w:cs="黑体"/>
                <w:b w:val="0"/>
                <w:bCs/>
              </w:rPr>
              <w:t>/费用。该项等于从我国境内采购货物金额至境内其他成本金额各项之和。</w:t>
            </w:r>
          </w:p>
        </w:tc>
      </w:tr>
      <w:tr w:rsidR="00A052DC" w14:paraId="47B00FF1" w14:textId="77777777">
        <w:tc>
          <w:tcPr>
            <w:tcW w:w="1578" w:type="dxa"/>
          </w:tcPr>
          <w:p w14:paraId="4CDCC732" w14:textId="77777777" w:rsidR="00A052DC" w:rsidRDefault="009F0A60">
            <w:pPr>
              <w:pStyle w:val="B1"/>
              <w:jc w:val="left"/>
            </w:pPr>
            <w:r>
              <w:rPr>
                <w:rFonts w:hint="eastAsia"/>
                <w:b w:val="0"/>
              </w:rPr>
              <w:t>从我国境内采购货物金额</w:t>
            </w:r>
          </w:p>
        </w:tc>
        <w:tc>
          <w:tcPr>
            <w:tcW w:w="7035" w:type="dxa"/>
          </w:tcPr>
          <w:p w14:paraId="4CD2A27A" w14:textId="77777777" w:rsidR="00A052DC" w:rsidRDefault="009F0A60">
            <w:pPr>
              <w:pStyle w:val="B1"/>
              <w:jc w:val="left"/>
            </w:pPr>
            <w:r>
              <w:rPr>
                <w:rFonts w:hint="eastAsia"/>
                <w:b w:val="0"/>
              </w:rPr>
              <w:t>本月申报主体在我国境内采购用于所填报国家（或地区）建设项目的货物金额，包括原材料、设备等。</w:t>
            </w:r>
          </w:p>
        </w:tc>
      </w:tr>
      <w:tr w:rsidR="00A052DC" w14:paraId="621AE5EE" w14:textId="77777777">
        <w:tc>
          <w:tcPr>
            <w:tcW w:w="1578" w:type="dxa"/>
          </w:tcPr>
          <w:p w14:paraId="4860606D" w14:textId="77777777" w:rsidR="00A052DC" w:rsidRDefault="009F0A60">
            <w:pPr>
              <w:pStyle w:val="B1"/>
              <w:jc w:val="left"/>
            </w:pPr>
            <w:r>
              <w:rPr>
                <w:rFonts w:hint="eastAsia"/>
                <w:b w:val="0"/>
              </w:rPr>
              <w:t>从我国境内采购服务金额</w:t>
            </w:r>
          </w:p>
        </w:tc>
        <w:tc>
          <w:tcPr>
            <w:tcW w:w="7035" w:type="dxa"/>
          </w:tcPr>
          <w:p w14:paraId="34600134" w14:textId="77777777" w:rsidR="00A052DC" w:rsidRDefault="009F0A60">
            <w:pPr>
              <w:pStyle w:val="B1"/>
              <w:jc w:val="left"/>
            </w:pPr>
            <w:r>
              <w:rPr>
                <w:rFonts w:hint="eastAsia"/>
                <w:b w:val="0"/>
              </w:rPr>
              <w:t>当期申报主体在我国境内采购用于所填报国家（或地区）建设项目的服务金额，包括设计、安装、研发等。</w:t>
            </w:r>
          </w:p>
        </w:tc>
      </w:tr>
      <w:tr w:rsidR="00A052DC" w14:paraId="43972107" w14:textId="77777777">
        <w:tc>
          <w:tcPr>
            <w:tcW w:w="1578" w:type="dxa"/>
          </w:tcPr>
          <w:p w14:paraId="3CF3C496" w14:textId="77777777" w:rsidR="00A052DC" w:rsidRDefault="009F0A60">
            <w:pPr>
              <w:pStyle w:val="B1"/>
              <w:jc w:val="left"/>
            </w:pPr>
            <w:r>
              <w:rPr>
                <w:rFonts w:hint="eastAsia"/>
                <w:b w:val="0"/>
              </w:rPr>
              <w:t>外派居民雇员报酬</w:t>
            </w:r>
          </w:p>
        </w:tc>
        <w:tc>
          <w:tcPr>
            <w:tcW w:w="7035" w:type="dxa"/>
          </w:tcPr>
          <w:p w14:paraId="6EC98242" w14:textId="77777777" w:rsidR="00A052DC" w:rsidRDefault="009F0A60">
            <w:pPr>
              <w:pStyle w:val="B1"/>
              <w:jc w:val="left"/>
            </w:pPr>
            <w:r>
              <w:rPr>
                <w:rFonts w:hint="eastAsia"/>
                <w:b w:val="0"/>
              </w:rPr>
              <w:t>申报主体在所填报国家（或地区）的建设项目中，为外派居民雇员发放的报酬。</w:t>
            </w:r>
          </w:p>
        </w:tc>
      </w:tr>
      <w:tr w:rsidR="00A052DC" w14:paraId="2B391419" w14:textId="77777777">
        <w:tc>
          <w:tcPr>
            <w:tcW w:w="1578" w:type="dxa"/>
          </w:tcPr>
          <w:p w14:paraId="17DAD78C" w14:textId="77777777" w:rsidR="00A052DC" w:rsidRDefault="009F0A60">
            <w:pPr>
              <w:pStyle w:val="B1"/>
              <w:jc w:val="left"/>
            </w:pPr>
            <w:r>
              <w:rPr>
                <w:rFonts w:hint="eastAsia"/>
                <w:b w:val="0"/>
              </w:rPr>
              <w:t>对境内其他成本金额</w:t>
            </w:r>
          </w:p>
        </w:tc>
        <w:tc>
          <w:tcPr>
            <w:tcW w:w="7035" w:type="dxa"/>
          </w:tcPr>
          <w:p w14:paraId="418BCCB5" w14:textId="77777777" w:rsidR="00A052DC" w:rsidRDefault="009F0A60">
            <w:pPr>
              <w:pStyle w:val="B1"/>
              <w:jc w:val="left"/>
            </w:pPr>
            <w:r>
              <w:rPr>
                <w:rFonts w:hint="eastAsia"/>
                <w:b w:val="0"/>
              </w:rPr>
              <w:t>申报主体在所填报国家（或地区）建设项目的境内支出中，不属于货物、服务、雇员报酬的支出金额。</w:t>
            </w:r>
          </w:p>
        </w:tc>
      </w:tr>
      <w:tr w:rsidR="00A052DC" w14:paraId="717B2383" w14:textId="77777777">
        <w:tc>
          <w:tcPr>
            <w:tcW w:w="1578" w:type="dxa"/>
          </w:tcPr>
          <w:p w14:paraId="47C4BC7A" w14:textId="77777777" w:rsidR="00A052DC" w:rsidRDefault="009F0A60">
            <w:pPr>
              <w:pStyle w:val="B1"/>
              <w:jc w:val="left"/>
            </w:pPr>
            <w:r>
              <w:rPr>
                <w:rFonts w:cs="黑体" w:hint="eastAsia"/>
                <w:b w:val="0"/>
                <w:bCs/>
              </w:rPr>
              <w:t>本月确认对境外成本</w:t>
            </w:r>
          </w:p>
        </w:tc>
        <w:tc>
          <w:tcPr>
            <w:tcW w:w="7035" w:type="dxa"/>
          </w:tcPr>
          <w:p w14:paraId="617F7367" w14:textId="77777777" w:rsidR="00A052DC" w:rsidRDefault="009F0A60">
            <w:pPr>
              <w:pStyle w:val="B1"/>
              <w:jc w:val="left"/>
            </w:pPr>
            <w:r>
              <w:rPr>
                <w:rFonts w:cs="黑体"/>
                <w:b w:val="0"/>
                <w:bCs/>
              </w:rPr>
              <w:t>本</w:t>
            </w:r>
            <w:r>
              <w:rPr>
                <w:rFonts w:cs="黑体" w:hint="eastAsia"/>
                <w:b w:val="0"/>
                <w:bCs/>
              </w:rPr>
              <w:t>月申报主体在所填报国家或地区的建设项目中，在会计账上确认的境外成本</w:t>
            </w:r>
            <w:r>
              <w:rPr>
                <w:rFonts w:cs="黑体"/>
                <w:b w:val="0"/>
                <w:bCs/>
              </w:rPr>
              <w:t>/费用。该项包括</w:t>
            </w:r>
            <w:r>
              <w:rPr>
                <w:rFonts w:cs="黑体" w:hint="eastAsia"/>
                <w:b w:val="0"/>
                <w:bCs/>
              </w:rPr>
              <w:t>从我国以外国家</w:t>
            </w:r>
            <w:r>
              <w:rPr>
                <w:rFonts w:cs="黑体"/>
                <w:b w:val="0"/>
                <w:bCs/>
              </w:rPr>
              <w:t>/地区采购货物金额至本月计提境外税金各项之和。</w:t>
            </w:r>
          </w:p>
        </w:tc>
      </w:tr>
      <w:tr w:rsidR="00A052DC" w14:paraId="004D80E0" w14:textId="77777777">
        <w:tc>
          <w:tcPr>
            <w:tcW w:w="1578" w:type="dxa"/>
          </w:tcPr>
          <w:p w14:paraId="1C0E446A" w14:textId="77777777" w:rsidR="00A052DC" w:rsidRDefault="009F0A60">
            <w:pPr>
              <w:pStyle w:val="B1"/>
              <w:jc w:val="left"/>
            </w:pPr>
            <w:r>
              <w:rPr>
                <w:rFonts w:hint="eastAsia"/>
                <w:b w:val="0"/>
              </w:rPr>
              <w:t>从我国以外国家</w:t>
            </w:r>
            <w:r>
              <w:rPr>
                <w:b w:val="0"/>
              </w:rPr>
              <w:t>/</w:t>
            </w:r>
            <w:r>
              <w:rPr>
                <w:rFonts w:hint="eastAsia"/>
                <w:b w:val="0"/>
              </w:rPr>
              <w:t>地区采购货物金额</w:t>
            </w:r>
          </w:p>
        </w:tc>
        <w:tc>
          <w:tcPr>
            <w:tcW w:w="7035" w:type="dxa"/>
          </w:tcPr>
          <w:p w14:paraId="6A6358AB" w14:textId="77777777" w:rsidR="00A052DC" w:rsidRDefault="009F0A60">
            <w:pPr>
              <w:pStyle w:val="B1"/>
              <w:jc w:val="left"/>
            </w:pPr>
            <w:r>
              <w:rPr>
                <w:rFonts w:cs="黑体"/>
                <w:b w:val="0"/>
                <w:bCs/>
              </w:rPr>
              <w:t>本</w:t>
            </w:r>
            <w:r>
              <w:rPr>
                <w:rFonts w:cs="黑体" w:hint="eastAsia"/>
                <w:b w:val="0"/>
                <w:bCs/>
              </w:rPr>
              <w:t>月申报主体在我国境外采购用于所填报国家或地区建设项目的货物金额，包括原材料、设备等</w:t>
            </w:r>
            <w:r>
              <w:rPr>
                <w:rFonts w:hint="eastAsia"/>
                <w:b w:val="0"/>
              </w:rPr>
              <w:t>。</w:t>
            </w:r>
          </w:p>
        </w:tc>
      </w:tr>
      <w:tr w:rsidR="00A052DC" w14:paraId="5ECD0C24" w14:textId="77777777">
        <w:tc>
          <w:tcPr>
            <w:tcW w:w="1578" w:type="dxa"/>
          </w:tcPr>
          <w:p w14:paraId="3855C24E" w14:textId="77777777" w:rsidR="00A052DC" w:rsidRDefault="009F0A60">
            <w:pPr>
              <w:pStyle w:val="B1"/>
              <w:jc w:val="left"/>
            </w:pPr>
            <w:r>
              <w:rPr>
                <w:rFonts w:hint="eastAsia"/>
                <w:b w:val="0"/>
              </w:rPr>
              <w:t>从我国以外国家</w:t>
            </w:r>
            <w:r>
              <w:rPr>
                <w:b w:val="0"/>
              </w:rPr>
              <w:t>/地区采购服务金额</w:t>
            </w:r>
          </w:p>
        </w:tc>
        <w:tc>
          <w:tcPr>
            <w:tcW w:w="7035" w:type="dxa"/>
          </w:tcPr>
          <w:p w14:paraId="4D0BF544" w14:textId="77777777" w:rsidR="00A052DC" w:rsidRDefault="009F0A60">
            <w:pPr>
              <w:pStyle w:val="B1"/>
              <w:jc w:val="left"/>
            </w:pPr>
            <w:r>
              <w:rPr>
                <w:rFonts w:cs="黑体" w:hint="eastAsia"/>
                <w:b w:val="0"/>
                <w:bCs/>
              </w:rPr>
              <w:t>本月申报主体在我国境外采购用于所填报国家或地区建设项目的服务金额，包括设计、安装、研发等。</w:t>
            </w:r>
          </w:p>
        </w:tc>
      </w:tr>
      <w:tr w:rsidR="00A052DC" w14:paraId="03268F04" w14:textId="77777777">
        <w:tc>
          <w:tcPr>
            <w:tcW w:w="1578" w:type="dxa"/>
          </w:tcPr>
          <w:p w14:paraId="7B57A421" w14:textId="77777777" w:rsidR="00A052DC" w:rsidRDefault="009F0A60">
            <w:pPr>
              <w:pStyle w:val="B1"/>
              <w:jc w:val="left"/>
            </w:pPr>
            <w:r>
              <w:rPr>
                <w:rFonts w:hint="eastAsia"/>
                <w:b w:val="0"/>
              </w:rPr>
              <w:t>非居民雇员报酬</w:t>
            </w:r>
          </w:p>
        </w:tc>
        <w:tc>
          <w:tcPr>
            <w:tcW w:w="7035" w:type="dxa"/>
          </w:tcPr>
          <w:p w14:paraId="6C408B22" w14:textId="77777777" w:rsidR="00A052DC" w:rsidRDefault="009F0A60">
            <w:pPr>
              <w:pStyle w:val="B1"/>
              <w:jc w:val="left"/>
            </w:pPr>
            <w:r>
              <w:rPr>
                <w:rFonts w:cs="黑体" w:hint="eastAsia"/>
                <w:b w:val="0"/>
                <w:bCs/>
              </w:rPr>
              <w:t>申报主体在所填报国家或地区的建设项目中，为非居民雇员发放的报酬。</w:t>
            </w:r>
          </w:p>
        </w:tc>
      </w:tr>
      <w:tr w:rsidR="00A052DC" w14:paraId="14A9EB3B" w14:textId="77777777">
        <w:tc>
          <w:tcPr>
            <w:tcW w:w="1578" w:type="dxa"/>
          </w:tcPr>
          <w:p w14:paraId="79494313" w14:textId="77777777" w:rsidR="00A052DC" w:rsidRDefault="009F0A60">
            <w:pPr>
              <w:pStyle w:val="B1"/>
              <w:jc w:val="left"/>
            </w:pPr>
            <w:r>
              <w:rPr>
                <w:rFonts w:cs="黑体" w:hint="eastAsia"/>
                <w:b w:val="0"/>
                <w:bCs/>
              </w:rPr>
              <w:t>对境外其他成本金额</w:t>
            </w:r>
          </w:p>
        </w:tc>
        <w:tc>
          <w:tcPr>
            <w:tcW w:w="7035" w:type="dxa"/>
          </w:tcPr>
          <w:p w14:paraId="0A9F19B5" w14:textId="77777777" w:rsidR="00A052DC" w:rsidRDefault="009F0A60">
            <w:pPr>
              <w:pStyle w:val="B1"/>
              <w:jc w:val="left"/>
            </w:pPr>
            <w:r>
              <w:rPr>
                <w:rFonts w:hint="eastAsia"/>
                <w:b w:val="0"/>
              </w:rPr>
              <w:t>申报主体在所填报国家或地区建设项目的境外成本</w:t>
            </w:r>
            <w:r>
              <w:rPr>
                <w:b w:val="0"/>
              </w:rPr>
              <w:t>/费用中</w:t>
            </w:r>
            <w:r>
              <w:rPr>
                <w:rFonts w:hint="eastAsia"/>
                <w:b w:val="0"/>
              </w:rPr>
              <w:t>，不属于货物、服务、雇员报酬的支出金额。</w:t>
            </w:r>
          </w:p>
        </w:tc>
      </w:tr>
      <w:tr w:rsidR="00A052DC" w14:paraId="2B7A64DD" w14:textId="77777777">
        <w:tc>
          <w:tcPr>
            <w:tcW w:w="1578" w:type="dxa"/>
          </w:tcPr>
          <w:p w14:paraId="55B1EBEE" w14:textId="77777777" w:rsidR="00A052DC" w:rsidRDefault="009F0A60">
            <w:pPr>
              <w:pStyle w:val="B1"/>
              <w:jc w:val="left"/>
            </w:pPr>
            <w:r>
              <w:rPr>
                <w:rFonts w:cs="黑体" w:hint="eastAsia"/>
                <w:b w:val="0"/>
                <w:bCs/>
              </w:rPr>
              <w:t>本月计提境外税金</w:t>
            </w:r>
          </w:p>
        </w:tc>
        <w:tc>
          <w:tcPr>
            <w:tcW w:w="7035" w:type="dxa"/>
          </w:tcPr>
          <w:p w14:paraId="25B4FDD4" w14:textId="77777777" w:rsidR="00A052DC" w:rsidRDefault="009F0A60">
            <w:pPr>
              <w:pStyle w:val="B1"/>
              <w:jc w:val="left"/>
            </w:pPr>
            <w:r>
              <w:rPr>
                <w:rFonts w:hint="eastAsia"/>
                <w:b w:val="0"/>
              </w:rPr>
              <w:t>申报主体在所填报国家或地区的建设项目中，本月会计账上计提的在境外缴税金额。</w:t>
            </w:r>
          </w:p>
        </w:tc>
      </w:tr>
      <w:tr w:rsidR="00A052DC" w14:paraId="22FFAC30" w14:textId="77777777">
        <w:tc>
          <w:tcPr>
            <w:tcW w:w="1578" w:type="dxa"/>
          </w:tcPr>
          <w:p w14:paraId="117C4AA1" w14:textId="77777777" w:rsidR="00A052DC" w:rsidRDefault="009F0A60">
            <w:pPr>
              <w:pStyle w:val="B1"/>
              <w:jc w:val="left"/>
            </w:pPr>
            <w:r>
              <w:rPr>
                <w:rFonts w:cs="黑体" w:hint="eastAsia"/>
                <w:b w:val="0"/>
                <w:bCs/>
              </w:rPr>
              <w:t>本月净利润</w:t>
            </w:r>
          </w:p>
        </w:tc>
        <w:tc>
          <w:tcPr>
            <w:tcW w:w="7035" w:type="dxa"/>
          </w:tcPr>
          <w:p w14:paraId="6847BBE2" w14:textId="77777777" w:rsidR="00A052DC" w:rsidRDefault="009F0A60">
            <w:pPr>
              <w:pStyle w:val="B1"/>
              <w:jc w:val="left"/>
            </w:pPr>
            <w:r>
              <w:rPr>
                <w:rFonts w:cs="黑体" w:hint="eastAsia"/>
                <w:b w:val="0"/>
                <w:bCs/>
              </w:rPr>
              <w:t>本月申报主体从所填报国家或地区的建设项目中获得的净利润</w:t>
            </w:r>
            <w:r>
              <w:rPr>
                <w:rFonts w:hint="eastAsia"/>
                <w:b w:val="0"/>
              </w:rPr>
              <w:t>。</w:t>
            </w:r>
          </w:p>
        </w:tc>
      </w:tr>
      <w:tr w:rsidR="00A052DC" w14:paraId="0B18B481" w14:textId="77777777">
        <w:tc>
          <w:tcPr>
            <w:tcW w:w="1578" w:type="dxa"/>
          </w:tcPr>
          <w:p w14:paraId="457D742B" w14:textId="77777777" w:rsidR="00A052DC" w:rsidRDefault="009F0A60">
            <w:pPr>
              <w:pStyle w:val="B1"/>
              <w:jc w:val="left"/>
            </w:pPr>
            <w:r>
              <w:rPr>
                <w:rFonts w:hint="eastAsia"/>
                <w:b w:val="0"/>
              </w:rPr>
              <w:t>备注</w:t>
            </w:r>
          </w:p>
        </w:tc>
        <w:tc>
          <w:tcPr>
            <w:tcW w:w="7035" w:type="dxa"/>
          </w:tcPr>
          <w:p w14:paraId="78DE8171" w14:textId="77777777" w:rsidR="00A052DC" w:rsidRDefault="009F0A60">
            <w:pPr>
              <w:pStyle w:val="B1"/>
              <w:jc w:val="left"/>
            </w:pPr>
            <w:r>
              <w:rPr>
                <w:b w:val="0"/>
              </w:rPr>
              <w:t>填报本表时需特别说明的情况。</w:t>
            </w:r>
          </w:p>
        </w:tc>
      </w:tr>
    </w:tbl>
    <w:p w14:paraId="4DD1746E" w14:textId="77777777" w:rsidR="00A052DC" w:rsidRDefault="009F0A60">
      <w:pPr>
        <w:pStyle w:val="4"/>
        <w:numPr>
          <w:ilvl w:val="3"/>
          <w:numId w:val="1"/>
        </w:numPr>
        <w:jc w:val="left"/>
      </w:pPr>
      <w:r>
        <w:rPr>
          <w:rFonts w:hint="eastAsia"/>
        </w:rPr>
        <w:t>数据格式</w:t>
      </w:r>
    </w:p>
    <w:p w14:paraId="776C894F" w14:textId="77777777" w:rsidR="00A052DC" w:rsidRDefault="009F0A60">
      <w:pPr>
        <w:ind w:firstLine="482"/>
        <w:rPr>
          <w:szCs w:val="21"/>
        </w:rPr>
      </w:pPr>
      <w:r>
        <w:rPr>
          <w:szCs w:val="21"/>
        </w:rPr>
        <w:t>&lt;REC&gt;</w:t>
      </w:r>
    </w:p>
    <w:p w14:paraId="19DC8460" w14:textId="77777777" w:rsidR="00A052DC" w:rsidRDefault="009F0A60">
      <w:pPr>
        <w:ind w:firstLine="482"/>
        <w:rPr>
          <w:szCs w:val="21"/>
        </w:rPr>
      </w:pPr>
      <w:r>
        <w:rPr>
          <w:szCs w:val="21"/>
        </w:rPr>
        <w:t>&lt;ACTIONTYPE&gt;</w:t>
      </w:r>
      <w:r>
        <w:rPr>
          <w:rFonts w:hAnsi="宋体"/>
          <w:szCs w:val="21"/>
        </w:rPr>
        <w:t>操作类型</w:t>
      </w:r>
      <w:r>
        <w:rPr>
          <w:szCs w:val="21"/>
        </w:rPr>
        <w:t>&lt;/ACTIONTYPE&gt;</w:t>
      </w:r>
    </w:p>
    <w:p w14:paraId="3BCF2746" w14:textId="77777777" w:rsidR="00A052DC" w:rsidRDefault="009F0A60">
      <w:pPr>
        <w:ind w:firstLine="482"/>
        <w:rPr>
          <w:szCs w:val="21"/>
        </w:rPr>
      </w:pPr>
      <w:r>
        <w:rPr>
          <w:szCs w:val="21"/>
        </w:rPr>
        <w:t>&lt;ACTIONDESC&gt;</w:t>
      </w:r>
      <w:r>
        <w:rPr>
          <w:rFonts w:hAnsi="宋体"/>
          <w:szCs w:val="21"/>
        </w:rPr>
        <w:t>删除原因</w:t>
      </w:r>
      <w:r>
        <w:rPr>
          <w:szCs w:val="21"/>
        </w:rPr>
        <w:t>&lt;/ACTIONDESC&gt;</w:t>
      </w:r>
    </w:p>
    <w:p w14:paraId="15227E73" w14:textId="77777777" w:rsidR="00A052DC" w:rsidRDefault="009F0A60">
      <w:pPr>
        <w:ind w:firstLine="482"/>
        <w:rPr>
          <w:szCs w:val="21"/>
        </w:rPr>
      </w:pPr>
      <w:r>
        <w:rPr>
          <w:szCs w:val="21"/>
        </w:rPr>
        <w:t>&lt;SNOCODE&gt;</w:t>
      </w:r>
      <w:r>
        <w:rPr>
          <w:rFonts w:hAnsi="宋体"/>
          <w:szCs w:val="21"/>
        </w:rPr>
        <w:t>数据自编码</w:t>
      </w:r>
      <w:r>
        <w:rPr>
          <w:szCs w:val="21"/>
        </w:rPr>
        <w:t>&lt;/SNOCODE&gt;</w:t>
      </w:r>
    </w:p>
    <w:p w14:paraId="6759C955" w14:textId="77777777" w:rsidR="00A052DC" w:rsidRDefault="009F0A60">
      <w:pPr>
        <w:ind w:firstLine="482"/>
        <w:rPr>
          <w:szCs w:val="21"/>
        </w:rPr>
      </w:pPr>
      <w:r>
        <w:rPr>
          <w:szCs w:val="21"/>
        </w:rPr>
        <w:t>&lt;OBJCODE&gt;</w:t>
      </w:r>
      <w:r>
        <w:rPr>
          <w:rFonts w:hAnsi="宋体"/>
          <w:szCs w:val="21"/>
        </w:rPr>
        <w:t>申报主体代码</w:t>
      </w:r>
      <w:r>
        <w:rPr>
          <w:szCs w:val="21"/>
        </w:rPr>
        <w:t>&lt;/OBJCODE&gt;</w:t>
      </w:r>
    </w:p>
    <w:p w14:paraId="7A8DAD9F" w14:textId="77777777" w:rsidR="00A052DC" w:rsidRDefault="009F0A60">
      <w:pPr>
        <w:ind w:firstLine="482"/>
        <w:rPr>
          <w:szCs w:val="21"/>
        </w:rPr>
      </w:pPr>
      <w:r>
        <w:rPr>
          <w:szCs w:val="21"/>
        </w:rPr>
        <w:t>&lt;BUOCMONTH&gt;</w:t>
      </w:r>
      <w:r>
        <w:rPr>
          <w:rFonts w:hAnsi="宋体"/>
          <w:szCs w:val="21"/>
        </w:rPr>
        <w:t>报告期</w:t>
      </w:r>
      <w:r>
        <w:rPr>
          <w:szCs w:val="21"/>
        </w:rPr>
        <w:t>&lt;/BUOCMONTH&gt;</w:t>
      </w:r>
    </w:p>
    <w:p w14:paraId="284AB49C" w14:textId="77777777" w:rsidR="00A052DC" w:rsidRDefault="009F0A60">
      <w:pPr>
        <w:ind w:firstLine="482"/>
        <w:rPr>
          <w:szCs w:val="21"/>
        </w:rPr>
      </w:pPr>
      <w:r>
        <w:rPr>
          <w:szCs w:val="21"/>
        </w:rPr>
        <w:t>&lt;E0205&gt;</w:t>
      </w:r>
      <w:r>
        <w:rPr>
          <w:rFonts w:hint="eastAsia"/>
          <w:szCs w:val="21"/>
        </w:rPr>
        <w:t>签约主体类型</w:t>
      </w:r>
      <w:r>
        <w:rPr>
          <w:szCs w:val="21"/>
        </w:rPr>
        <w:t>&lt;/E0205&gt;</w:t>
      </w:r>
    </w:p>
    <w:p w14:paraId="54FF8449" w14:textId="77777777" w:rsidR="00A052DC" w:rsidRDefault="009F0A60">
      <w:pPr>
        <w:ind w:firstLine="482"/>
        <w:rPr>
          <w:szCs w:val="21"/>
        </w:rPr>
      </w:pPr>
      <w:r>
        <w:rPr>
          <w:szCs w:val="21"/>
        </w:rPr>
        <w:t>&lt;E0214&gt;</w:t>
      </w:r>
      <w:r>
        <w:rPr>
          <w:rFonts w:hint="eastAsia"/>
          <w:szCs w:val="21"/>
        </w:rPr>
        <w:t>建设项目所在国家</w:t>
      </w:r>
      <w:r>
        <w:rPr>
          <w:szCs w:val="21"/>
        </w:rPr>
        <w:t>/</w:t>
      </w:r>
      <w:r>
        <w:rPr>
          <w:rFonts w:hint="eastAsia"/>
          <w:szCs w:val="21"/>
        </w:rPr>
        <w:t>地区</w:t>
      </w:r>
      <w:r>
        <w:rPr>
          <w:szCs w:val="21"/>
        </w:rPr>
        <w:t>&lt;/E0214&gt;</w:t>
      </w:r>
    </w:p>
    <w:p w14:paraId="6982C686" w14:textId="77777777" w:rsidR="00A052DC" w:rsidRDefault="009F0A60">
      <w:pPr>
        <w:ind w:firstLine="482"/>
        <w:rPr>
          <w:szCs w:val="21"/>
        </w:rPr>
      </w:pPr>
      <w:r>
        <w:rPr>
          <w:szCs w:val="21"/>
        </w:rPr>
        <w:t>&lt;E0215&gt;</w:t>
      </w:r>
      <w:r>
        <w:rPr>
          <w:rFonts w:hint="eastAsia"/>
          <w:szCs w:val="21"/>
        </w:rPr>
        <w:t>记账币种</w:t>
      </w:r>
      <w:r>
        <w:rPr>
          <w:szCs w:val="21"/>
        </w:rPr>
        <w:t>&lt;/E0215&gt;</w:t>
      </w:r>
    </w:p>
    <w:p w14:paraId="5906F2FF" w14:textId="77777777" w:rsidR="00A052DC" w:rsidRDefault="009F0A60">
      <w:pPr>
        <w:ind w:firstLine="482"/>
        <w:rPr>
          <w:szCs w:val="21"/>
        </w:rPr>
      </w:pPr>
      <w:r>
        <w:rPr>
          <w:szCs w:val="21"/>
        </w:rPr>
        <w:t>&lt;E0216&gt;</w:t>
      </w:r>
      <w:r>
        <w:rPr>
          <w:rFonts w:hint="eastAsia"/>
          <w:szCs w:val="21"/>
        </w:rPr>
        <w:t>本月确认收入</w:t>
      </w:r>
      <w:r>
        <w:rPr>
          <w:szCs w:val="21"/>
        </w:rPr>
        <w:t>&lt;/E0216&gt;</w:t>
      </w:r>
    </w:p>
    <w:p w14:paraId="7AA50530" w14:textId="77777777" w:rsidR="00A052DC" w:rsidRDefault="009F0A60">
      <w:pPr>
        <w:ind w:firstLine="482"/>
        <w:rPr>
          <w:szCs w:val="21"/>
        </w:rPr>
      </w:pPr>
      <w:r>
        <w:rPr>
          <w:szCs w:val="21"/>
        </w:rPr>
        <w:t>&lt;E0217&gt;</w:t>
      </w:r>
      <w:r>
        <w:rPr>
          <w:rFonts w:hint="eastAsia"/>
          <w:szCs w:val="21"/>
        </w:rPr>
        <w:t>本月确认对境内成本</w:t>
      </w:r>
      <w:r>
        <w:rPr>
          <w:szCs w:val="21"/>
        </w:rPr>
        <w:t>&lt;/E0217&gt;</w:t>
      </w:r>
    </w:p>
    <w:p w14:paraId="27C4F980" w14:textId="77777777" w:rsidR="00A052DC" w:rsidRDefault="009F0A60">
      <w:pPr>
        <w:ind w:firstLine="482"/>
        <w:rPr>
          <w:szCs w:val="21"/>
        </w:rPr>
      </w:pPr>
      <w:r>
        <w:rPr>
          <w:szCs w:val="21"/>
        </w:rPr>
        <w:t>&lt;E0218&gt;</w:t>
      </w:r>
      <w:r>
        <w:rPr>
          <w:rFonts w:hint="eastAsia"/>
          <w:szCs w:val="21"/>
        </w:rPr>
        <w:t>从我国境内采购货物金额</w:t>
      </w:r>
      <w:r>
        <w:rPr>
          <w:szCs w:val="21"/>
        </w:rPr>
        <w:t>&lt;/E0218&gt;</w:t>
      </w:r>
    </w:p>
    <w:p w14:paraId="4AA46F1A" w14:textId="77777777" w:rsidR="00A052DC" w:rsidRDefault="009F0A60">
      <w:pPr>
        <w:ind w:firstLine="482"/>
        <w:rPr>
          <w:szCs w:val="21"/>
        </w:rPr>
      </w:pPr>
      <w:r>
        <w:rPr>
          <w:szCs w:val="21"/>
        </w:rPr>
        <w:t>&lt;E0219&gt;</w:t>
      </w:r>
      <w:r>
        <w:rPr>
          <w:rFonts w:hint="eastAsia"/>
          <w:szCs w:val="21"/>
        </w:rPr>
        <w:t>从我国境内采购服务金额</w:t>
      </w:r>
      <w:r>
        <w:rPr>
          <w:szCs w:val="21"/>
        </w:rPr>
        <w:t>&lt;/E0219&gt;</w:t>
      </w:r>
    </w:p>
    <w:p w14:paraId="21471CDA" w14:textId="77777777" w:rsidR="00A052DC" w:rsidRDefault="009F0A60">
      <w:pPr>
        <w:ind w:firstLine="482"/>
        <w:rPr>
          <w:szCs w:val="21"/>
        </w:rPr>
      </w:pPr>
      <w:r>
        <w:rPr>
          <w:szCs w:val="21"/>
        </w:rPr>
        <w:t>&lt;E0220&gt;</w:t>
      </w:r>
      <w:r>
        <w:rPr>
          <w:rFonts w:hint="eastAsia"/>
          <w:szCs w:val="21"/>
        </w:rPr>
        <w:t>外派居民雇员报酬</w:t>
      </w:r>
      <w:r>
        <w:rPr>
          <w:szCs w:val="21"/>
        </w:rPr>
        <w:t>&lt;/E0220&gt;</w:t>
      </w:r>
    </w:p>
    <w:p w14:paraId="402A99F5" w14:textId="77777777" w:rsidR="00A052DC" w:rsidRDefault="009F0A60">
      <w:pPr>
        <w:ind w:firstLine="482"/>
        <w:rPr>
          <w:szCs w:val="21"/>
        </w:rPr>
      </w:pPr>
      <w:r>
        <w:rPr>
          <w:szCs w:val="21"/>
        </w:rPr>
        <w:t>&lt;E0221&gt;</w:t>
      </w:r>
      <w:r>
        <w:rPr>
          <w:rFonts w:hint="eastAsia"/>
          <w:szCs w:val="21"/>
        </w:rPr>
        <w:t>对境内其他成本金额</w:t>
      </w:r>
      <w:r>
        <w:rPr>
          <w:szCs w:val="21"/>
        </w:rPr>
        <w:t>&lt;/E0221&gt;</w:t>
      </w:r>
    </w:p>
    <w:p w14:paraId="3D611FC6" w14:textId="77777777" w:rsidR="00A052DC" w:rsidRDefault="009F0A60">
      <w:pPr>
        <w:ind w:firstLine="482"/>
        <w:rPr>
          <w:szCs w:val="21"/>
        </w:rPr>
      </w:pPr>
      <w:r>
        <w:rPr>
          <w:szCs w:val="21"/>
        </w:rPr>
        <w:t>&lt;E0222&gt;</w:t>
      </w:r>
      <w:r>
        <w:rPr>
          <w:rFonts w:hint="eastAsia"/>
          <w:szCs w:val="21"/>
        </w:rPr>
        <w:t>本月确认对境外成本</w:t>
      </w:r>
      <w:r>
        <w:rPr>
          <w:szCs w:val="21"/>
        </w:rPr>
        <w:t>&lt;/E0222&gt;</w:t>
      </w:r>
    </w:p>
    <w:p w14:paraId="520CCB9D" w14:textId="77777777" w:rsidR="00A052DC" w:rsidRDefault="009F0A60">
      <w:pPr>
        <w:ind w:firstLine="482"/>
        <w:rPr>
          <w:szCs w:val="21"/>
        </w:rPr>
      </w:pPr>
      <w:r>
        <w:rPr>
          <w:szCs w:val="21"/>
        </w:rPr>
        <w:t>&lt;E0223&gt;</w:t>
      </w:r>
      <w:r>
        <w:rPr>
          <w:rFonts w:hint="eastAsia"/>
          <w:szCs w:val="21"/>
        </w:rPr>
        <w:t>从我国以外国家</w:t>
      </w:r>
      <w:r>
        <w:rPr>
          <w:szCs w:val="21"/>
        </w:rPr>
        <w:t>/</w:t>
      </w:r>
      <w:r>
        <w:rPr>
          <w:rFonts w:hint="eastAsia"/>
          <w:szCs w:val="21"/>
        </w:rPr>
        <w:t>地区采购货物金额</w:t>
      </w:r>
      <w:r>
        <w:rPr>
          <w:szCs w:val="21"/>
        </w:rPr>
        <w:t>&lt;/E0223&gt;</w:t>
      </w:r>
    </w:p>
    <w:p w14:paraId="4FEC3A53" w14:textId="77777777" w:rsidR="00A052DC" w:rsidRDefault="009F0A60">
      <w:pPr>
        <w:ind w:firstLine="482"/>
        <w:rPr>
          <w:szCs w:val="21"/>
        </w:rPr>
      </w:pPr>
      <w:r>
        <w:rPr>
          <w:szCs w:val="21"/>
        </w:rPr>
        <w:t>&lt;E0224&gt;</w:t>
      </w:r>
      <w:r>
        <w:rPr>
          <w:rFonts w:hint="eastAsia"/>
          <w:szCs w:val="21"/>
        </w:rPr>
        <w:t>从我国以外国家</w:t>
      </w:r>
      <w:r>
        <w:rPr>
          <w:szCs w:val="21"/>
        </w:rPr>
        <w:t>/</w:t>
      </w:r>
      <w:r>
        <w:rPr>
          <w:rFonts w:hint="eastAsia"/>
          <w:szCs w:val="21"/>
        </w:rPr>
        <w:t>地区采购服务金额</w:t>
      </w:r>
      <w:r>
        <w:rPr>
          <w:szCs w:val="21"/>
        </w:rPr>
        <w:t>&lt;/E0224&gt;</w:t>
      </w:r>
    </w:p>
    <w:p w14:paraId="34865865" w14:textId="77777777" w:rsidR="00A052DC" w:rsidRDefault="009F0A60">
      <w:pPr>
        <w:ind w:firstLine="482"/>
        <w:rPr>
          <w:szCs w:val="21"/>
        </w:rPr>
      </w:pPr>
      <w:r>
        <w:rPr>
          <w:szCs w:val="21"/>
        </w:rPr>
        <w:t>&lt;E0225&gt;</w:t>
      </w:r>
      <w:r>
        <w:rPr>
          <w:rFonts w:hint="eastAsia"/>
          <w:szCs w:val="21"/>
        </w:rPr>
        <w:t>非居民雇员报酬</w:t>
      </w:r>
      <w:r>
        <w:rPr>
          <w:szCs w:val="21"/>
        </w:rPr>
        <w:t>&lt;/E0225&gt;</w:t>
      </w:r>
    </w:p>
    <w:p w14:paraId="20F9F728" w14:textId="77777777" w:rsidR="00A052DC" w:rsidRDefault="009F0A60">
      <w:pPr>
        <w:ind w:firstLine="482"/>
        <w:rPr>
          <w:szCs w:val="21"/>
        </w:rPr>
      </w:pPr>
      <w:r>
        <w:rPr>
          <w:szCs w:val="21"/>
        </w:rPr>
        <w:t>&lt;E0226&gt;</w:t>
      </w:r>
      <w:r>
        <w:rPr>
          <w:rFonts w:hint="eastAsia"/>
          <w:szCs w:val="21"/>
        </w:rPr>
        <w:t>对境外其他成本金额</w:t>
      </w:r>
      <w:r>
        <w:rPr>
          <w:szCs w:val="21"/>
        </w:rPr>
        <w:t>&lt;/E0226&gt;</w:t>
      </w:r>
    </w:p>
    <w:p w14:paraId="308B728E" w14:textId="77777777" w:rsidR="00A052DC" w:rsidRDefault="009F0A60">
      <w:pPr>
        <w:ind w:firstLine="482"/>
        <w:rPr>
          <w:szCs w:val="21"/>
        </w:rPr>
      </w:pPr>
      <w:r>
        <w:rPr>
          <w:szCs w:val="21"/>
        </w:rPr>
        <w:t>&lt;E0227&gt;</w:t>
      </w:r>
      <w:r>
        <w:rPr>
          <w:rFonts w:hint="eastAsia"/>
          <w:szCs w:val="21"/>
        </w:rPr>
        <w:t>本月计提境外税金</w:t>
      </w:r>
      <w:r>
        <w:rPr>
          <w:szCs w:val="21"/>
        </w:rPr>
        <w:t>&lt;/E0227&gt;</w:t>
      </w:r>
    </w:p>
    <w:p w14:paraId="70B66DD3" w14:textId="77777777" w:rsidR="00A052DC" w:rsidRDefault="009F0A60">
      <w:pPr>
        <w:ind w:firstLine="482"/>
        <w:rPr>
          <w:szCs w:val="21"/>
        </w:rPr>
      </w:pPr>
      <w:r>
        <w:rPr>
          <w:szCs w:val="21"/>
        </w:rPr>
        <w:t>&lt;E0228&gt;</w:t>
      </w:r>
      <w:r>
        <w:rPr>
          <w:rFonts w:hint="eastAsia"/>
          <w:szCs w:val="21"/>
        </w:rPr>
        <w:t>本月净利润</w:t>
      </w:r>
      <w:r>
        <w:rPr>
          <w:szCs w:val="21"/>
        </w:rPr>
        <w:t>&lt;/E0228&gt;</w:t>
      </w:r>
    </w:p>
    <w:p w14:paraId="21A0395B" w14:textId="77777777" w:rsidR="00A052DC" w:rsidRDefault="009F0A60">
      <w:pPr>
        <w:ind w:firstLine="482"/>
        <w:rPr>
          <w:szCs w:val="21"/>
        </w:rPr>
      </w:pPr>
      <w:r>
        <w:rPr>
          <w:szCs w:val="21"/>
        </w:rPr>
        <w:t>&lt;REMARK&gt;</w:t>
      </w:r>
      <w:r>
        <w:rPr>
          <w:rFonts w:hAnsi="宋体"/>
          <w:szCs w:val="21"/>
        </w:rPr>
        <w:t>备注</w:t>
      </w:r>
      <w:r>
        <w:rPr>
          <w:szCs w:val="21"/>
        </w:rPr>
        <w:t>&lt;/REMARK&gt;</w:t>
      </w:r>
    </w:p>
    <w:p w14:paraId="1AC51BB9" w14:textId="77777777" w:rsidR="00A052DC" w:rsidRDefault="009F0A60">
      <w:r>
        <w:rPr>
          <w:szCs w:val="21"/>
        </w:rPr>
        <w:tab/>
        <w:t>&lt;/REC&gt;</w:t>
      </w:r>
    </w:p>
    <w:p w14:paraId="16C53C83" w14:textId="77777777" w:rsidR="00A052DC" w:rsidRDefault="009F0A60" w:rsidP="0020251D">
      <w:pPr>
        <w:pStyle w:val="4"/>
        <w:numPr>
          <w:ilvl w:val="3"/>
          <w:numId w:val="1"/>
        </w:numPr>
        <w:jc w:val="left"/>
      </w:pPr>
      <w:r>
        <w:rPr>
          <w:rFonts w:hint="eastAsia"/>
        </w:rPr>
        <w:t>数据字典</w:t>
      </w:r>
    </w:p>
    <w:tbl>
      <w:tblPr>
        <w:tblW w:w="86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560"/>
        <w:gridCol w:w="1701"/>
        <w:gridCol w:w="3543"/>
      </w:tblGrid>
      <w:tr w:rsidR="00A052DC" w14:paraId="661F99FC" w14:textId="77777777">
        <w:trPr>
          <w:tblHeader/>
        </w:trPr>
        <w:tc>
          <w:tcPr>
            <w:tcW w:w="1843" w:type="dxa"/>
            <w:shd w:val="clear" w:color="auto" w:fill="C0C0C0"/>
          </w:tcPr>
          <w:p w14:paraId="27AF18D3" w14:textId="77777777" w:rsidR="00A052DC" w:rsidRDefault="009F0A60">
            <w:pPr>
              <w:pStyle w:val="B1"/>
            </w:pPr>
            <w:r>
              <w:rPr>
                <w:rFonts w:hint="eastAsia"/>
              </w:rPr>
              <w:t>字段</w:t>
            </w:r>
          </w:p>
        </w:tc>
        <w:tc>
          <w:tcPr>
            <w:tcW w:w="1560" w:type="dxa"/>
            <w:shd w:val="clear" w:color="auto" w:fill="C0C0C0"/>
          </w:tcPr>
          <w:p w14:paraId="03582914" w14:textId="77777777" w:rsidR="00A052DC" w:rsidRDefault="009F0A60">
            <w:pPr>
              <w:pStyle w:val="B1"/>
            </w:pPr>
            <w:r>
              <w:rPr>
                <w:rFonts w:hint="eastAsia"/>
              </w:rPr>
              <w:t>内容</w:t>
            </w:r>
          </w:p>
        </w:tc>
        <w:tc>
          <w:tcPr>
            <w:tcW w:w="1701" w:type="dxa"/>
            <w:shd w:val="clear" w:color="auto" w:fill="C0C0C0"/>
          </w:tcPr>
          <w:p w14:paraId="682C903F" w14:textId="77777777" w:rsidR="00A052DC" w:rsidRDefault="009F0A60">
            <w:pPr>
              <w:pStyle w:val="B1"/>
            </w:pPr>
            <w:r>
              <w:rPr>
                <w:rFonts w:hint="eastAsia"/>
              </w:rPr>
              <w:t xml:space="preserve">类型（长度）      </w:t>
            </w:r>
          </w:p>
        </w:tc>
        <w:tc>
          <w:tcPr>
            <w:tcW w:w="3543" w:type="dxa"/>
            <w:shd w:val="clear" w:color="auto" w:fill="C0C0C0"/>
          </w:tcPr>
          <w:p w14:paraId="10A6B2A2" w14:textId="77777777" w:rsidR="00A052DC" w:rsidRDefault="009F0A60">
            <w:pPr>
              <w:pStyle w:val="B1"/>
            </w:pPr>
            <w:r>
              <w:rPr>
                <w:rFonts w:hint="eastAsia"/>
              </w:rPr>
              <w:t>校验</w:t>
            </w:r>
          </w:p>
        </w:tc>
      </w:tr>
      <w:tr w:rsidR="00A052DC" w14:paraId="05B81D28" w14:textId="77777777">
        <w:tc>
          <w:tcPr>
            <w:tcW w:w="1843" w:type="dxa"/>
            <w:tcBorders>
              <w:top w:val="single" w:sz="4" w:space="0" w:color="auto"/>
              <w:left w:val="single" w:sz="4" w:space="0" w:color="auto"/>
              <w:bottom w:val="single" w:sz="4" w:space="0" w:color="auto"/>
              <w:right w:val="single" w:sz="4" w:space="0" w:color="auto"/>
            </w:tcBorders>
          </w:tcPr>
          <w:p w14:paraId="65634E08" w14:textId="77777777" w:rsidR="00A052DC" w:rsidRDefault="009F0A60">
            <w:pPr>
              <w:pStyle w:val="B"/>
              <w:rPr>
                <w:szCs w:val="20"/>
              </w:rPr>
            </w:pPr>
            <w:r>
              <w:rPr>
                <w:szCs w:val="20"/>
              </w:rPr>
              <w:t>ACTIONTYPE</w:t>
            </w:r>
          </w:p>
        </w:tc>
        <w:tc>
          <w:tcPr>
            <w:tcW w:w="1560" w:type="dxa"/>
            <w:tcBorders>
              <w:top w:val="single" w:sz="4" w:space="0" w:color="auto"/>
              <w:left w:val="single" w:sz="4" w:space="0" w:color="auto"/>
              <w:bottom w:val="single" w:sz="4" w:space="0" w:color="auto"/>
              <w:right w:val="single" w:sz="4" w:space="0" w:color="auto"/>
            </w:tcBorders>
          </w:tcPr>
          <w:p w14:paraId="2DB581EB" w14:textId="77777777" w:rsidR="00A052DC" w:rsidRDefault="009F0A60">
            <w:pPr>
              <w:pStyle w:val="B"/>
              <w:rPr>
                <w:szCs w:val="20"/>
              </w:rPr>
            </w:pPr>
            <w:r>
              <w:rPr>
                <w:rFonts w:hint="eastAsia"/>
                <w:szCs w:val="20"/>
              </w:rPr>
              <w:t>操作类型</w:t>
            </w:r>
          </w:p>
        </w:tc>
        <w:tc>
          <w:tcPr>
            <w:tcW w:w="1701" w:type="dxa"/>
            <w:tcBorders>
              <w:top w:val="single" w:sz="4" w:space="0" w:color="auto"/>
              <w:left w:val="single" w:sz="4" w:space="0" w:color="auto"/>
              <w:bottom w:val="single" w:sz="4" w:space="0" w:color="auto"/>
              <w:right w:val="single" w:sz="4" w:space="0" w:color="auto"/>
            </w:tcBorders>
          </w:tcPr>
          <w:p w14:paraId="2745D543" w14:textId="77777777" w:rsidR="00A052DC" w:rsidRDefault="009F0A60">
            <w:pPr>
              <w:pStyle w:val="B"/>
              <w:rPr>
                <w:szCs w:val="20"/>
              </w:rPr>
            </w:pPr>
            <w:r>
              <w:rPr>
                <w:rFonts w:hint="eastAsia"/>
                <w:szCs w:val="20"/>
              </w:rPr>
              <w:t>字符型，</w:t>
            </w:r>
            <w:r>
              <w:rPr>
                <w:szCs w:val="20"/>
              </w:rPr>
              <w:t>1</w:t>
            </w:r>
          </w:p>
        </w:tc>
        <w:tc>
          <w:tcPr>
            <w:tcW w:w="3543" w:type="dxa"/>
            <w:tcBorders>
              <w:top w:val="single" w:sz="4" w:space="0" w:color="auto"/>
              <w:left w:val="single" w:sz="4" w:space="0" w:color="auto"/>
              <w:bottom w:val="single" w:sz="4" w:space="0" w:color="auto"/>
              <w:right w:val="single" w:sz="4" w:space="0" w:color="auto"/>
            </w:tcBorders>
          </w:tcPr>
          <w:p w14:paraId="3D132A5B" w14:textId="77777777" w:rsidR="00A052DC" w:rsidRDefault="009F0A60">
            <w:pPr>
              <w:pStyle w:val="B"/>
              <w:rPr>
                <w:szCs w:val="20"/>
              </w:rPr>
            </w:pPr>
            <w:r>
              <w:rPr>
                <w:rFonts w:hint="eastAsia"/>
                <w:szCs w:val="20"/>
              </w:rPr>
              <w:t>必填项</w:t>
            </w:r>
            <w:r w:rsidR="004D1828">
              <w:rPr>
                <w:rFonts w:hint="eastAsia"/>
                <w:szCs w:val="20"/>
              </w:rPr>
              <w:t>。</w:t>
            </w:r>
          </w:p>
          <w:p w14:paraId="234CB5AF" w14:textId="77777777" w:rsidR="00A052DC" w:rsidRDefault="009F0A60">
            <w:pPr>
              <w:pStyle w:val="B"/>
              <w:rPr>
                <w:szCs w:val="20"/>
              </w:rPr>
            </w:pPr>
            <w:r>
              <w:rPr>
                <w:rFonts w:hint="eastAsia"/>
                <w:szCs w:val="20"/>
              </w:rPr>
              <w:t>A</w:t>
            </w:r>
            <w:r w:rsidR="00AE4602">
              <w:rPr>
                <w:rFonts w:hint="eastAsia"/>
                <w:szCs w:val="20"/>
              </w:rPr>
              <w:t>-</w:t>
            </w:r>
            <w:r>
              <w:rPr>
                <w:rFonts w:hint="eastAsia"/>
                <w:szCs w:val="20"/>
              </w:rPr>
              <w:t>新建</w:t>
            </w:r>
          </w:p>
          <w:p w14:paraId="50E2BF22" w14:textId="77777777" w:rsidR="00A052DC" w:rsidRDefault="009F0A60">
            <w:pPr>
              <w:pStyle w:val="B"/>
              <w:rPr>
                <w:szCs w:val="20"/>
              </w:rPr>
            </w:pPr>
            <w:r>
              <w:rPr>
                <w:rFonts w:hint="eastAsia"/>
                <w:szCs w:val="20"/>
              </w:rPr>
              <w:t>C</w:t>
            </w:r>
            <w:r w:rsidR="00AE4602">
              <w:rPr>
                <w:rFonts w:hint="eastAsia"/>
                <w:szCs w:val="20"/>
              </w:rPr>
              <w:t>-</w:t>
            </w:r>
            <w:r>
              <w:rPr>
                <w:rFonts w:hint="eastAsia"/>
                <w:szCs w:val="20"/>
              </w:rPr>
              <w:t>修改</w:t>
            </w:r>
          </w:p>
          <w:p w14:paraId="25CB5CE9" w14:textId="77777777" w:rsidR="00A052DC" w:rsidRDefault="009F0A60">
            <w:pPr>
              <w:pStyle w:val="B"/>
              <w:rPr>
                <w:szCs w:val="20"/>
              </w:rPr>
            </w:pPr>
            <w:r>
              <w:rPr>
                <w:rFonts w:hint="eastAsia"/>
                <w:szCs w:val="20"/>
              </w:rPr>
              <w:t>D</w:t>
            </w:r>
            <w:r w:rsidR="00AE4602">
              <w:rPr>
                <w:rFonts w:hint="eastAsia"/>
                <w:szCs w:val="20"/>
              </w:rPr>
              <w:t>-</w:t>
            </w:r>
            <w:r>
              <w:rPr>
                <w:rFonts w:hint="eastAsia"/>
                <w:szCs w:val="20"/>
              </w:rPr>
              <w:t>删除</w:t>
            </w:r>
          </w:p>
        </w:tc>
      </w:tr>
      <w:tr w:rsidR="00A052DC" w14:paraId="6926F23C" w14:textId="77777777">
        <w:tc>
          <w:tcPr>
            <w:tcW w:w="1843" w:type="dxa"/>
            <w:tcBorders>
              <w:top w:val="single" w:sz="4" w:space="0" w:color="auto"/>
              <w:left w:val="single" w:sz="4" w:space="0" w:color="auto"/>
              <w:bottom w:val="single" w:sz="4" w:space="0" w:color="auto"/>
              <w:right w:val="single" w:sz="4" w:space="0" w:color="auto"/>
            </w:tcBorders>
          </w:tcPr>
          <w:p w14:paraId="03433817" w14:textId="77777777" w:rsidR="00A052DC" w:rsidRDefault="009F0A60">
            <w:pPr>
              <w:pStyle w:val="B"/>
              <w:rPr>
                <w:szCs w:val="20"/>
              </w:rPr>
            </w:pPr>
            <w:r>
              <w:rPr>
                <w:szCs w:val="20"/>
              </w:rPr>
              <w:t>ACTIONDESC</w:t>
            </w:r>
          </w:p>
        </w:tc>
        <w:tc>
          <w:tcPr>
            <w:tcW w:w="1560" w:type="dxa"/>
            <w:tcBorders>
              <w:top w:val="single" w:sz="4" w:space="0" w:color="auto"/>
              <w:left w:val="single" w:sz="4" w:space="0" w:color="auto"/>
              <w:bottom w:val="single" w:sz="4" w:space="0" w:color="auto"/>
              <w:right w:val="single" w:sz="4" w:space="0" w:color="auto"/>
            </w:tcBorders>
          </w:tcPr>
          <w:p w14:paraId="44CB7271" w14:textId="77777777" w:rsidR="00A052DC" w:rsidRDefault="009F0A60">
            <w:pPr>
              <w:pStyle w:val="B"/>
              <w:rPr>
                <w:szCs w:val="20"/>
              </w:rPr>
            </w:pPr>
            <w:r>
              <w:rPr>
                <w:rFonts w:hint="eastAsia"/>
                <w:szCs w:val="20"/>
              </w:rPr>
              <w:t>删除原因</w:t>
            </w:r>
          </w:p>
        </w:tc>
        <w:tc>
          <w:tcPr>
            <w:tcW w:w="1701" w:type="dxa"/>
            <w:tcBorders>
              <w:top w:val="single" w:sz="4" w:space="0" w:color="auto"/>
              <w:left w:val="single" w:sz="4" w:space="0" w:color="auto"/>
              <w:bottom w:val="single" w:sz="4" w:space="0" w:color="auto"/>
              <w:right w:val="single" w:sz="4" w:space="0" w:color="auto"/>
            </w:tcBorders>
          </w:tcPr>
          <w:p w14:paraId="4BF239B6" w14:textId="77777777" w:rsidR="00A052DC" w:rsidRDefault="009F0A60">
            <w:pPr>
              <w:pStyle w:val="B"/>
              <w:rPr>
                <w:szCs w:val="20"/>
              </w:rPr>
            </w:pPr>
            <w:r>
              <w:rPr>
                <w:rFonts w:hint="eastAsia"/>
                <w:szCs w:val="20"/>
              </w:rPr>
              <w:t>字符型，</w:t>
            </w:r>
            <w:r>
              <w:rPr>
                <w:szCs w:val="20"/>
              </w:rPr>
              <w:t>128</w:t>
            </w:r>
          </w:p>
        </w:tc>
        <w:tc>
          <w:tcPr>
            <w:tcW w:w="3543" w:type="dxa"/>
            <w:tcBorders>
              <w:top w:val="single" w:sz="4" w:space="0" w:color="auto"/>
              <w:left w:val="single" w:sz="4" w:space="0" w:color="auto"/>
              <w:bottom w:val="single" w:sz="4" w:space="0" w:color="auto"/>
              <w:right w:val="single" w:sz="4" w:space="0" w:color="auto"/>
            </w:tcBorders>
          </w:tcPr>
          <w:p w14:paraId="269CD1BC" w14:textId="77777777" w:rsidR="00A052DC" w:rsidRDefault="00DD6AA3">
            <w:pPr>
              <w:pStyle w:val="B"/>
              <w:rPr>
                <w:szCs w:val="20"/>
              </w:rPr>
            </w:pPr>
            <w:r>
              <w:rPr>
                <w:rFonts w:hint="eastAsia"/>
                <w:szCs w:val="20"/>
              </w:rPr>
              <w:t>非必填项，当操作类型（ACTIONTYPE）为删除时必填。</w:t>
            </w:r>
          </w:p>
        </w:tc>
      </w:tr>
      <w:tr w:rsidR="00A052DC" w14:paraId="10F79D88" w14:textId="77777777">
        <w:tc>
          <w:tcPr>
            <w:tcW w:w="1843" w:type="dxa"/>
            <w:tcBorders>
              <w:top w:val="single" w:sz="4" w:space="0" w:color="auto"/>
              <w:left w:val="single" w:sz="4" w:space="0" w:color="auto"/>
              <w:bottom w:val="single" w:sz="4" w:space="0" w:color="auto"/>
              <w:right w:val="single" w:sz="4" w:space="0" w:color="auto"/>
            </w:tcBorders>
          </w:tcPr>
          <w:p w14:paraId="1627D8F1" w14:textId="77777777" w:rsidR="00A052DC" w:rsidRDefault="009F0A60">
            <w:pPr>
              <w:pStyle w:val="B"/>
              <w:rPr>
                <w:szCs w:val="20"/>
              </w:rPr>
            </w:pPr>
            <w:r>
              <w:rPr>
                <w:szCs w:val="20"/>
              </w:rPr>
              <w:t>SNOCODE</w:t>
            </w:r>
          </w:p>
        </w:tc>
        <w:tc>
          <w:tcPr>
            <w:tcW w:w="1560" w:type="dxa"/>
            <w:tcBorders>
              <w:top w:val="single" w:sz="4" w:space="0" w:color="auto"/>
              <w:left w:val="single" w:sz="4" w:space="0" w:color="auto"/>
              <w:bottom w:val="single" w:sz="4" w:space="0" w:color="auto"/>
              <w:right w:val="single" w:sz="4" w:space="0" w:color="auto"/>
            </w:tcBorders>
          </w:tcPr>
          <w:p w14:paraId="11BA53AB" w14:textId="77777777" w:rsidR="00A052DC" w:rsidRDefault="009F0A60">
            <w:pPr>
              <w:pStyle w:val="B"/>
              <w:rPr>
                <w:szCs w:val="20"/>
              </w:rPr>
            </w:pPr>
            <w:r>
              <w:rPr>
                <w:rFonts w:hint="eastAsia"/>
                <w:szCs w:val="20"/>
              </w:rPr>
              <w:t>数据自编码</w:t>
            </w:r>
          </w:p>
        </w:tc>
        <w:tc>
          <w:tcPr>
            <w:tcW w:w="1701" w:type="dxa"/>
            <w:tcBorders>
              <w:top w:val="single" w:sz="4" w:space="0" w:color="auto"/>
              <w:left w:val="single" w:sz="4" w:space="0" w:color="auto"/>
              <w:bottom w:val="single" w:sz="4" w:space="0" w:color="auto"/>
              <w:right w:val="single" w:sz="4" w:space="0" w:color="auto"/>
            </w:tcBorders>
          </w:tcPr>
          <w:p w14:paraId="342890DA" w14:textId="77777777" w:rsidR="00A052DC" w:rsidRDefault="009F0A60">
            <w:pPr>
              <w:pStyle w:val="B"/>
              <w:rPr>
                <w:szCs w:val="20"/>
              </w:rPr>
            </w:pPr>
            <w:r>
              <w:rPr>
                <w:rFonts w:hint="eastAsia"/>
                <w:szCs w:val="20"/>
              </w:rPr>
              <w:t>字符型，</w:t>
            </w:r>
            <w:r>
              <w:rPr>
                <w:szCs w:val="20"/>
              </w:rPr>
              <w:t>36</w:t>
            </w:r>
          </w:p>
        </w:tc>
        <w:tc>
          <w:tcPr>
            <w:tcW w:w="3543" w:type="dxa"/>
            <w:tcBorders>
              <w:top w:val="single" w:sz="4" w:space="0" w:color="auto"/>
              <w:left w:val="single" w:sz="4" w:space="0" w:color="auto"/>
              <w:bottom w:val="single" w:sz="4" w:space="0" w:color="auto"/>
              <w:right w:val="single" w:sz="4" w:space="0" w:color="auto"/>
            </w:tcBorders>
          </w:tcPr>
          <w:p w14:paraId="1349CAD9" w14:textId="77777777" w:rsidR="00A052DC" w:rsidRDefault="009F0A60">
            <w:pPr>
              <w:pStyle w:val="B"/>
              <w:rPr>
                <w:szCs w:val="20"/>
              </w:rPr>
            </w:pPr>
            <w:r>
              <w:rPr>
                <w:rFonts w:hint="eastAsia"/>
                <w:szCs w:val="20"/>
              </w:rPr>
              <w:t>必填项。对于接口报送的填报主体，数据自编码中的报送期（6位）应与报告期（YYYYMM）一致。</w:t>
            </w:r>
          </w:p>
        </w:tc>
      </w:tr>
      <w:tr w:rsidR="00A052DC" w14:paraId="01C7111F" w14:textId="77777777">
        <w:tc>
          <w:tcPr>
            <w:tcW w:w="1843" w:type="dxa"/>
            <w:tcBorders>
              <w:top w:val="single" w:sz="4" w:space="0" w:color="auto"/>
              <w:left w:val="single" w:sz="4" w:space="0" w:color="auto"/>
              <w:bottom w:val="single" w:sz="4" w:space="0" w:color="auto"/>
              <w:right w:val="single" w:sz="4" w:space="0" w:color="auto"/>
            </w:tcBorders>
          </w:tcPr>
          <w:p w14:paraId="066334D0" w14:textId="77777777" w:rsidR="00A052DC" w:rsidRDefault="009F0A60">
            <w:pPr>
              <w:pStyle w:val="B"/>
              <w:rPr>
                <w:szCs w:val="20"/>
              </w:rPr>
            </w:pPr>
            <w:r>
              <w:rPr>
                <w:szCs w:val="20"/>
              </w:rPr>
              <w:t>OBJCODE</w:t>
            </w:r>
          </w:p>
        </w:tc>
        <w:tc>
          <w:tcPr>
            <w:tcW w:w="1560" w:type="dxa"/>
            <w:tcBorders>
              <w:top w:val="single" w:sz="4" w:space="0" w:color="auto"/>
              <w:left w:val="single" w:sz="4" w:space="0" w:color="auto"/>
              <w:bottom w:val="single" w:sz="4" w:space="0" w:color="auto"/>
              <w:right w:val="single" w:sz="4" w:space="0" w:color="auto"/>
            </w:tcBorders>
          </w:tcPr>
          <w:p w14:paraId="26EDD134" w14:textId="77777777" w:rsidR="00A052DC" w:rsidRDefault="009F0A60">
            <w:pPr>
              <w:pStyle w:val="B"/>
              <w:rPr>
                <w:szCs w:val="20"/>
              </w:rPr>
            </w:pPr>
            <w:r>
              <w:rPr>
                <w:rFonts w:hint="eastAsia"/>
                <w:szCs w:val="20"/>
              </w:rPr>
              <w:t>申报主体代码</w:t>
            </w:r>
          </w:p>
        </w:tc>
        <w:tc>
          <w:tcPr>
            <w:tcW w:w="1701" w:type="dxa"/>
            <w:tcBorders>
              <w:top w:val="single" w:sz="4" w:space="0" w:color="auto"/>
              <w:left w:val="single" w:sz="4" w:space="0" w:color="auto"/>
              <w:bottom w:val="single" w:sz="4" w:space="0" w:color="auto"/>
              <w:right w:val="single" w:sz="4" w:space="0" w:color="auto"/>
            </w:tcBorders>
          </w:tcPr>
          <w:p w14:paraId="0C7F6FDE" w14:textId="77777777" w:rsidR="00A052DC" w:rsidRDefault="009F0A60">
            <w:pPr>
              <w:pStyle w:val="B"/>
              <w:rPr>
                <w:szCs w:val="20"/>
              </w:rPr>
            </w:pPr>
            <w:r>
              <w:rPr>
                <w:rFonts w:hint="eastAsia"/>
                <w:szCs w:val="20"/>
              </w:rPr>
              <w:t>字符型，</w:t>
            </w:r>
            <w:r>
              <w:rPr>
                <w:szCs w:val="20"/>
              </w:rPr>
              <w:t>18</w:t>
            </w:r>
          </w:p>
        </w:tc>
        <w:tc>
          <w:tcPr>
            <w:tcW w:w="3543" w:type="dxa"/>
            <w:tcBorders>
              <w:top w:val="single" w:sz="4" w:space="0" w:color="auto"/>
              <w:left w:val="single" w:sz="4" w:space="0" w:color="auto"/>
              <w:bottom w:val="single" w:sz="4" w:space="0" w:color="auto"/>
              <w:right w:val="single" w:sz="4" w:space="0" w:color="auto"/>
            </w:tcBorders>
          </w:tcPr>
          <w:p w14:paraId="0FF33F10" w14:textId="77777777" w:rsidR="00A052DC" w:rsidRDefault="009F0A60">
            <w:pPr>
              <w:pStyle w:val="B"/>
              <w:rPr>
                <w:szCs w:val="20"/>
              </w:rPr>
            </w:pPr>
            <w:r>
              <w:rPr>
                <w:rFonts w:hint="eastAsia"/>
                <w:szCs w:val="20"/>
              </w:rPr>
              <w:t>申报主体的12位金融机构标识码，如果没有金融机构标识码，则填报统一社会信用代码法定载体（如营业执照）上统一社会信用代码中的第9至17位或国家外汇管理局及其分支局签发的特殊机构代码赋码通知书上的机构代码、个人身份代码。</w:t>
            </w:r>
          </w:p>
        </w:tc>
      </w:tr>
      <w:tr w:rsidR="00A052DC" w14:paraId="45A381F0" w14:textId="77777777">
        <w:tc>
          <w:tcPr>
            <w:tcW w:w="1843" w:type="dxa"/>
            <w:tcBorders>
              <w:top w:val="single" w:sz="4" w:space="0" w:color="auto"/>
              <w:left w:val="single" w:sz="4" w:space="0" w:color="auto"/>
              <w:bottom w:val="single" w:sz="4" w:space="0" w:color="auto"/>
              <w:right w:val="single" w:sz="4" w:space="0" w:color="auto"/>
            </w:tcBorders>
          </w:tcPr>
          <w:p w14:paraId="4CE8909A" w14:textId="77777777" w:rsidR="00A052DC" w:rsidRDefault="009F0A60">
            <w:pPr>
              <w:pStyle w:val="B"/>
              <w:rPr>
                <w:szCs w:val="20"/>
              </w:rPr>
            </w:pPr>
            <w:r>
              <w:rPr>
                <w:szCs w:val="20"/>
              </w:rPr>
              <w:t>BUOCMONTH</w:t>
            </w:r>
          </w:p>
        </w:tc>
        <w:tc>
          <w:tcPr>
            <w:tcW w:w="1560" w:type="dxa"/>
            <w:tcBorders>
              <w:top w:val="single" w:sz="4" w:space="0" w:color="auto"/>
              <w:left w:val="single" w:sz="4" w:space="0" w:color="auto"/>
              <w:bottom w:val="single" w:sz="4" w:space="0" w:color="auto"/>
              <w:right w:val="single" w:sz="4" w:space="0" w:color="auto"/>
            </w:tcBorders>
          </w:tcPr>
          <w:p w14:paraId="11004296" w14:textId="77777777" w:rsidR="00A052DC" w:rsidRDefault="009F0A60">
            <w:pPr>
              <w:pStyle w:val="B"/>
              <w:rPr>
                <w:szCs w:val="20"/>
              </w:rPr>
            </w:pPr>
            <w:r>
              <w:rPr>
                <w:rFonts w:hint="eastAsia"/>
                <w:szCs w:val="20"/>
              </w:rPr>
              <w:t>报告期</w:t>
            </w:r>
          </w:p>
        </w:tc>
        <w:tc>
          <w:tcPr>
            <w:tcW w:w="1701" w:type="dxa"/>
            <w:tcBorders>
              <w:top w:val="single" w:sz="4" w:space="0" w:color="auto"/>
              <w:left w:val="single" w:sz="4" w:space="0" w:color="auto"/>
              <w:bottom w:val="single" w:sz="4" w:space="0" w:color="auto"/>
              <w:right w:val="single" w:sz="4" w:space="0" w:color="auto"/>
            </w:tcBorders>
          </w:tcPr>
          <w:p w14:paraId="5207286B" w14:textId="77777777" w:rsidR="00A052DC" w:rsidRDefault="009F0A60">
            <w:pPr>
              <w:pStyle w:val="B"/>
              <w:rPr>
                <w:szCs w:val="20"/>
              </w:rPr>
            </w:pPr>
            <w:r>
              <w:rPr>
                <w:rFonts w:hint="eastAsia"/>
                <w:szCs w:val="20"/>
              </w:rPr>
              <w:t>数值型，</w:t>
            </w:r>
            <w:r>
              <w:rPr>
                <w:szCs w:val="20"/>
              </w:rPr>
              <w:t>6</w:t>
            </w:r>
          </w:p>
        </w:tc>
        <w:tc>
          <w:tcPr>
            <w:tcW w:w="3543" w:type="dxa"/>
            <w:tcBorders>
              <w:top w:val="single" w:sz="4" w:space="0" w:color="auto"/>
              <w:left w:val="single" w:sz="4" w:space="0" w:color="auto"/>
              <w:bottom w:val="single" w:sz="4" w:space="0" w:color="auto"/>
              <w:right w:val="single" w:sz="4" w:space="0" w:color="auto"/>
            </w:tcBorders>
          </w:tcPr>
          <w:p w14:paraId="77A665FD" w14:textId="77777777" w:rsidR="00A052DC" w:rsidRDefault="009F0A60">
            <w:pPr>
              <w:pStyle w:val="B"/>
              <w:rPr>
                <w:szCs w:val="20"/>
              </w:rPr>
            </w:pPr>
            <w:r>
              <w:rPr>
                <w:rFonts w:hint="eastAsia"/>
                <w:szCs w:val="20"/>
              </w:rPr>
              <w:t>必填项，格式为YYYYMM。</w:t>
            </w:r>
          </w:p>
        </w:tc>
      </w:tr>
      <w:tr w:rsidR="00A052DC" w14:paraId="278033F3" w14:textId="77777777">
        <w:tc>
          <w:tcPr>
            <w:tcW w:w="1843" w:type="dxa"/>
            <w:tcBorders>
              <w:top w:val="single" w:sz="4" w:space="0" w:color="auto"/>
              <w:left w:val="single" w:sz="4" w:space="0" w:color="auto"/>
              <w:bottom w:val="single" w:sz="4" w:space="0" w:color="auto"/>
              <w:right w:val="single" w:sz="4" w:space="0" w:color="auto"/>
            </w:tcBorders>
          </w:tcPr>
          <w:p w14:paraId="2CBCA4BD" w14:textId="77777777" w:rsidR="00A052DC" w:rsidRDefault="009F0A60">
            <w:pPr>
              <w:pStyle w:val="B"/>
              <w:rPr>
                <w:szCs w:val="20"/>
              </w:rPr>
            </w:pPr>
            <w:r>
              <w:rPr>
                <w:rFonts w:cs="黑体"/>
                <w:szCs w:val="20"/>
              </w:rPr>
              <w:t>E0205</w:t>
            </w:r>
          </w:p>
        </w:tc>
        <w:tc>
          <w:tcPr>
            <w:tcW w:w="1560" w:type="dxa"/>
            <w:tcBorders>
              <w:top w:val="single" w:sz="4" w:space="0" w:color="auto"/>
              <w:left w:val="single" w:sz="4" w:space="0" w:color="auto"/>
              <w:bottom w:val="single" w:sz="4" w:space="0" w:color="auto"/>
              <w:right w:val="single" w:sz="4" w:space="0" w:color="auto"/>
            </w:tcBorders>
          </w:tcPr>
          <w:p w14:paraId="5C08A440" w14:textId="77777777" w:rsidR="00A052DC" w:rsidRDefault="009F0A60">
            <w:pPr>
              <w:pStyle w:val="B"/>
              <w:rPr>
                <w:szCs w:val="20"/>
              </w:rPr>
            </w:pPr>
            <w:r>
              <w:rPr>
                <w:rFonts w:cs="黑体" w:hint="eastAsia"/>
                <w:szCs w:val="20"/>
              </w:rPr>
              <w:t>签约主体类型</w:t>
            </w:r>
          </w:p>
        </w:tc>
        <w:tc>
          <w:tcPr>
            <w:tcW w:w="1701" w:type="dxa"/>
            <w:tcBorders>
              <w:top w:val="single" w:sz="4" w:space="0" w:color="auto"/>
              <w:left w:val="single" w:sz="4" w:space="0" w:color="auto"/>
              <w:bottom w:val="single" w:sz="4" w:space="0" w:color="auto"/>
              <w:right w:val="single" w:sz="4" w:space="0" w:color="auto"/>
            </w:tcBorders>
          </w:tcPr>
          <w:p w14:paraId="529210ED" w14:textId="77777777" w:rsidR="00A052DC" w:rsidRDefault="009F0A60">
            <w:pPr>
              <w:pStyle w:val="B"/>
              <w:rPr>
                <w:szCs w:val="20"/>
              </w:rPr>
            </w:pPr>
            <w:r>
              <w:rPr>
                <w:rFonts w:cs="黑体" w:hint="eastAsia"/>
                <w:szCs w:val="20"/>
              </w:rPr>
              <w:t>整数型</w:t>
            </w:r>
          </w:p>
        </w:tc>
        <w:tc>
          <w:tcPr>
            <w:tcW w:w="3543" w:type="dxa"/>
            <w:tcBorders>
              <w:top w:val="single" w:sz="4" w:space="0" w:color="auto"/>
              <w:left w:val="single" w:sz="4" w:space="0" w:color="auto"/>
              <w:bottom w:val="single" w:sz="4" w:space="0" w:color="auto"/>
              <w:right w:val="single" w:sz="4" w:space="0" w:color="auto"/>
            </w:tcBorders>
          </w:tcPr>
          <w:p w14:paraId="48A04098" w14:textId="77777777" w:rsidR="00A052DC" w:rsidRDefault="009F0A60">
            <w:pPr>
              <w:rPr>
                <w:rFonts w:ascii="黑体" w:eastAsia="黑体" w:hAnsi="黑体" w:cs="黑体"/>
                <w:kern w:val="0"/>
                <w:sz w:val="20"/>
                <w:szCs w:val="20"/>
              </w:rPr>
            </w:pPr>
            <w:r>
              <w:rPr>
                <w:rFonts w:ascii="黑体" w:eastAsia="黑体" w:hAnsi="黑体" w:cs="黑体" w:hint="eastAsia"/>
                <w:kern w:val="0"/>
                <w:sz w:val="20"/>
                <w:szCs w:val="20"/>
              </w:rPr>
              <w:t>必填项，必须</w:t>
            </w:r>
            <w:r>
              <w:rPr>
                <w:rFonts w:ascii="黑体" w:eastAsia="黑体" w:hAnsi="黑体" w:cs="黑体"/>
                <w:kern w:val="0"/>
                <w:sz w:val="20"/>
                <w:szCs w:val="20"/>
              </w:rPr>
              <w:t>6选1：</w:t>
            </w:r>
          </w:p>
          <w:p w14:paraId="46DAE1A8" w14:textId="77777777" w:rsidR="00A052DC" w:rsidRDefault="009F0A60">
            <w:pPr>
              <w:rPr>
                <w:rFonts w:ascii="黑体" w:eastAsia="黑体" w:hAnsi="黑体" w:cs="黑体"/>
                <w:kern w:val="0"/>
                <w:sz w:val="20"/>
                <w:szCs w:val="20"/>
              </w:rPr>
            </w:pPr>
            <w:r>
              <w:rPr>
                <w:rFonts w:ascii="黑体" w:eastAsia="黑体" w:hAnsi="黑体" w:cs="黑体"/>
                <w:kern w:val="0"/>
                <w:sz w:val="20"/>
                <w:szCs w:val="20"/>
              </w:rPr>
              <w:t>1-申报主体自身（设立项目办公室单独核算）；</w:t>
            </w:r>
          </w:p>
          <w:p w14:paraId="560FCD16" w14:textId="77777777" w:rsidR="00A052DC" w:rsidRDefault="009F0A60">
            <w:pPr>
              <w:rPr>
                <w:rFonts w:ascii="黑体" w:eastAsia="黑体" w:hAnsi="黑体" w:cs="黑体"/>
                <w:kern w:val="0"/>
                <w:sz w:val="20"/>
                <w:szCs w:val="20"/>
              </w:rPr>
            </w:pPr>
            <w:r>
              <w:rPr>
                <w:rFonts w:ascii="黑体" w:eastAsia="黑体" w:hAnsi="黑体" w:cs="黑体"/>
                <w:kern w:val="0"/>
                <w:sz w:val="20"/>
                <w:szCs w:val="20"/>
              </w:rPr>
              <w:t>2-申报主体自身（未设立项目办公室）；3-境外分支机构（非法人机构）；</w:t>
            </w:r>
          </w:p>
          <w:p w14:paraId="373BA3C7" w14:textId="77777777" w:rsidR="00A052DC" w:rsidRDefault="009F0A60">
            <w:pPr>
              <w:rPr>
                <w:rFonts w:ascii="黑体" w:eastAsia="黑体" w:hAnsi="黑体" w:cs="黑体"/>
                <w:kern w:val="0"/>
                <w:sz w:val="20"/>
                <w:szCs w:val="20"/>
              </w:rPr>
            </w:pPr>
            <w:r>
              <w:rPr>
                <w:rFonts w:ascii="黑体" w:eastAsia="黑体" w:hAnsi="黑体" w:cs="黑体"/>
                <w:kern w:val="0"/>
                <w:sz w:val="20"/>
                <w:szCs w:val="20"/>
              </w:rPr>
              <w:t>4-境外子机构（法人机构）（申报主体持有表决权＞50%）；</w:t>
            </w:r>
          </w:p>
          <w:p w14:paraId="0606DA85" w14:textId="77777777" w:rsidR="00A052DC" w:rsidRDefault="009F0A60">
            <w:pPr>
              <w:rPr>
                <w:rFonts w:ascii="黑体" w:eastAsia="黑体" w:hAnsi="黑体" w:cs="黑体"/>
                <w:kern w:val="0"/>
                <w:sz w:val="20"/>
                <w:szCs w:val="20"/>
              </w:rPr>
            </w:pPr>
            <w:r>
              <w:rPr>
                <w:rFonts w:ascii="黑体" w:eastAsia="黑体" w:hAnsi="黑体" w:cs="黑体"/>
                <w:kern w:val="0"/>
                <w:sz w:val="20"/>
                <w:szCs w:val="20"/>
              </w:rPr>
              <w:t>5-境外联营或合营机构（法人）（申报主体持有表决权≥10%，但≤50%）；</w:t>
            </w:r>
          </w:p>
          <w:p w14:paraId="4FF9CFE5" w14:textId="77777777" w:rsidR="00A052DC" w:rsidRDefault="009F0A60">
            <w:pPr>
              <w:rPr>
                <w:rFonts w:ascii="黑体" w:eastAsia="黑体" w:hAnsi="黑体" w:cs="黑体"/>
                <w:kern w:val="0"/>
                <w:sz w:val="20"/>
                <w:szCs w:val="20"/>
              </w:rPr>
            </w:pPr>
            <w:r>
              <w:rPr>
                <w:rFonts w:ascii="黑体" w:eastAsia="黑体" w:hAnsi="黑体" w:cs="黑体"/>
                <w:kern w:val="0"/>
                <w:sz w:val="20"/>
                <w:szCs w:val="20"/>
              </w:rPr>
              <w:t>6-境内总承包企业。</w:t>
            </w:r>
          </w:p>
          <w:p w14:paraId="3DA96B25" w14:textId="77777777" w:rsidR="00A052DC" w:rsidRDefault="009F0A60">
            <w:pPr>
              <w:pStyle w:val="B"/>
              <w:rPr>
                <w:szCs w:val="20"/>
              </w:rPr>
            </w:pPr>
            <w:r>
              <w:rPr>
                <w:rFonts w:cs="黑体" w:hint="eastAsia"/>
                <w:szCs w:val="20"/>
              </w:rPr>
              <w:t>此项目如选择1、2或</w:t>
            </w:r>
            <w:r>
              <w:rPr>
                <w:rFonts w:cs="黑体"/>
                <w:szCs w:val="20"/>
              </w:rPr>
              <w:t>6</w:t>
            </w:r>
            <w:r>
              <w:rPr>
                <w:rFonts w:cs="黑体" w:hint="eastAsia"/>
                <w:szCs w:val="20"/>
              </w:rPr>
              <w:t>，则必须填写E0214-E0228；如选择3、4或5，则不填写E0214-E0228，应填报A系列报表。</w:t>
            </w:r>
          </w:p>
        </w:tc>
      </w:tr>
      <w:tr w:rsidR="00A052DC" w14:paraId="19645BD2" w14:textId="77777777">
        <w:tc>
          <w:tcPr>
            <w:tcW w:w="1843" w:type="dxa"/>
            <w:tcBorders>
              <w:top w:val="single" w:sz="4" w:space="0" w:color="auto"/>
              <w:left w:val="single" w:sz="4" w:space="0" w:color="auto"/>
              <w:bottom w:val="single" w:sz="4" w:space="0" w:color="auto"/>
              <w:right w:val="single" w:sz="4" w:space="0" w:color="auto"/>
            </w:tcBorders>
          </w:tcPr>
          <w:p w14:paraId="7C55AC05" w14:textId="77777777" w:rsidR="00A052DC" w:rsidRDefault="009F0A60">
            <w:pPr>
              <w:rPr>
                <w:rFonts w:ascii="黑体" w:eastAsia="黑体" w:hAnsi="黑体"/>
                <w:kern w:val="0"/>
                <w:sz w:val="20"/>
                <w:szCs w:val="20"/>
              </w:rPr>
            </w:pPr>
            <w:r>
              <w:rPr>
                <w:rFonts w:ascii="黑体" w:eastAsia="黑体" w:hAnsi="黑体"/>
                <w:kern w:val="0"/>
                <w:sz w:val="20"/>
                <w:szCs w:val="20"/>
              </w:rPr>
              <w:t>E0214</w:t>
            </w:r>
          </w:p>
        </w:tc>
        <w:tc>
          <w:tcPr>
            <w:tcW w:w="1560" w:type="dxa"/>
            <w:tcBorders>
              <w:top w:val="single" w:sz="4" w:space="0" w:color="auto"/>
              <w:left w:val="single" w:sz="4" w:space="0" w:color="auto"/>
              <w:bottom w:val="single" w:sz="4" w:space="0" w:color="auto"/>
              <w:right w:val="single" w:sz="4" w:space="0" w:color="auto"/>
            </w:tcBorders>
          </w:tcPr>
          <w:p w14:paraId="7DB5253D" w14:textId="77777777" w:rsidR="00A052DC" w:rsidRDefault="009F0A60">
            <w:pPr>
              <w:rPr>
                <w:rFonts w:ascii="黑体" w:eastAsia="黑体" w:hAnsi="黑体"/>
                <w:kern w:val="0"/>
                <w:sz w:val="20"/>
                <w:szCs w:val="20"/>
              </w:rPr>
            </w:pPr>
            <w:r>
              <w:rPr>
                <w:rFonts w:ascii="黑体" w:eastAsia="黑体" w:hAnsi="黑体" w:hint="eastAsia"/>
                <w:kern w:val="0"/>
                <w:sz w:val="20"/>
                <w:szCs w:val="20"/>
              </w:rPr>
              <w:t>建设项目所在国家</w:t>
            </w:r>
            <w:r>
              <w:rPr>
                <w:rFonts w:ascii="黑体" w:eastAsia="黑体" w:hAnsi="黑体"/>
                <w:kern w:val="0"/>
                <w:sz w:val="20"/>
                <w:szCs w:val="20"/>
              </w:rPr>
              <w:t>/</w:t>
            </w:r>
            <w:r>
              <w:rPr>
                <w:rFonts w:ascii="黑体" w:eastAsia="黑体" w:hAnsi="黑体" w:hint="eastAsia"/>
                <w:kern w:val="0"/>
                <w:sz w:val="20"/>
                <w:szCs w:val="20"/>
              </w:rPr>
              <w:t>地区</w:t>
            </w:r>
          </w:p>
        </w:tc>
        <w:tc>
          <w:tcPr>
            <w:tcW w:w="1701" w:type="dxa"/>
            <w:tcBorders>
              <w:top w:val="single" w:sz="4" w:space="0" w:color="auto"/>
              <w:left w:val="single" w:sz="4" w:space="0" w:color="auto"/>
              <w:bottom w:val="single" w:sz="4" w:space="0" w:color="auto"/>
              <w:right w:val="single" w:sz="4" w:space="0" w:color="auto"/>
            </w:tcBorders>
          </w:tcPr>
          <w:p w14:paraId="296284E1" w14:textId="77777777" w:rsidR="00A052DC" w:rsidRDefault="009F0A60">
            <w:pPr>
              <w:rPr>
                <w:rFonts w:ascii="黑体" w:eastAsia="黑体" w:hAnsi="黑体"/>
                <w:kern w:val="0"/>
                <w:sz w:val="20"/>
                <w:szCs w:val="20"/>
              </w:rPr>
            </w:pPr>
            <w:r>
              <w:rPr>
                <w:rFonts w:ascii="黑体" w:eastAsia="黑体" w:hAnsi="黑体" w:hint="eastAsia"/>
                <w:kern w:val="0"/>
                <w:sz w:val="20"/>
                <w:szCs w:val="20"/>
              </w:rPr>
              <w:t>字符型，</w:t>
            </w:r>
            <w:r>
              <w:rPr>
                <w:rFonts w:ascii="黑体" w:eastAsia="黑体" w:hAnsi="黑体"/>
                <w:kern w:val="0"/>
                <w:sz w:val="20"/>
                <w:szCs w:val="20"/>
              </w:rPr>
              <w:t>3</w:t>
            </w:r>
          </w:p>
        </w:tc>
        <w:tc>
          <w:tcPr>
            <w:tcW w:w="3543" w:type="dxa"/>
            <w:tcBorders>
              <w:top w:val="single" w:sz="4" w:space="0" w:color="auto"/>
              <w:left w:val="single" w:sz="4" w:space="0" w:color="auto"/>
              <w:bottom w:val="single" w:sz="4" w:space="0" w:color="auto"/>
              <w:right w:val="single" w:sz="4" w:space="0" w:color="auto"/>
            </w:tcBorders>
          </w:tcPr>
          <w:p w14:paraId="43907EFC" w14:textId="77777777" w:rsidR="00A052DC" w:rsidRDefault="009F0A60">
            <w:pPr>
              <w:rPr>
                <w:rFonts w:ascii="黑体" w:eastAsia="黑体" w:hAnsi="黑体"/>
                <w:kern w:val="0"/>
                <w:sz w:val="20"/>
                <w:szCs w:val="20"/>
              </w:rPr>
            </w:pPr>
            <w:r>
              <w:rPr>
                <w:rFonts w:ascii="黑体" w:eastAsia="黑体" w:hAnsi="黑体" w:hint="eastAsia"/>
                <w:kern w:val="0"/>
                <w:sz w:val="20"/>
                <w:szCs w:val="20"/>
              </w:rPr>
              <w:t>必填项，见国家和地区代码表的</w:t>
            </w:r>
            <w:r>
              <w:rPr>
                <w:rFonts w:ascii="黑体" w:eastAsia="黑体" w:hAnsi="黑体"/>
                <w:kern w:val="0"/>
                <w:sz w:val="20"/>
                <w:szCs w:val="20"/>
              </w:rPr>
              <w:t>3位字母代码。</w:t>
            </w:r>
          </w:p>
        </w:tc>
      </w:tr>
      <w:tr w:rsidR="00A052DC" w14:paraId="383D25FA" w14:textId="77777777">
        <w:tc>
          <w:tcPr>
            <w:tcW w:w="1843" w:type="dxa"/>
            <w:tcBorders>
              <w:top w:val="single" w:sz="4" w:space="0" w:color="auto"/>
              <w:left w:val="single" w:sz="4" w:space="0" w:color="auto"/>
              <w:bottom w:val="single" w:sz="4" w:space="0" w:color="auto"/>
              <w:right w:val="single" w:sz="4" w:space="0" w:color="auto"/>
            </w:tcBorders>
          </w:tcPr>
          <w:p w14:paraId="3A234BB3" w14:textId="77777777" w:rsidR="00A052DC" w:rsidRDefault="009F0A60">
            <w:pPr>
              <w:rPr>
                <w:rFonts w:ascii="黑体" w:eastAsia="黑体" w:hAnsi="黑体"/>
                <w:kern w:val="0"/>
                <w:sz w:val="20"/>
                <w:szCs w:val="20"/>
              </w:rPr>
            </w:pPr>
            <w:r>
              <w:rPr>
                <w:rFonts w:ascii="黑体" w:eastAsia="黑体" w:hAnsi="黑体"/>
                <w:kern w:val="0"/>
                <w:sz w:val="20"/>
                <w:szCs w:val="20"/>
              </w:rPr>
              <w:t>E0215</w:t>
            </w:r>
          </w:p>
        </w:tc>
        <w:tc>
          <w:tcPr>
            <w:tcW w:w="1560" w:type="dxa"/>
            <w:tcBorders>
              <w:top w:val="single" w:sz="4" w:space="0" w:color="auto"/>
              <w:left w:val="single" w:sz="4" w:space="0" w:color="auto"/>
              <w:bottom w:val="single" w:sz="4" w:space="0" w:color="auto"/>
              <w:right w:val="single" w:sz="4" w:space="0" w:color="auto"/>
            </w:tcBorders>
          </w:tcPr>
          <w:p w14:paraId="771BE5A5" w14:textId="77777777" w:rsidR="00A052DC" w:rsidRDefault="009F0A60">
            <w:pPr>
              <w:rPr>
                <w:rFonts w:ascii="黑体" w:eastAsia="黑体" w:hAnsi="黑体"/>
                <w:kern w:val="0"/>
                <w:sz w:val="20"/>
                <w:szCs w:val="20"/>
              </w:rPr>
            </w:pPr>
            <w:r>
              <w:rPr>
                <w:rFonts w:ascii="黑体" w:eastAsia="黑体" w:hAnsi="黑体" w:hint="eastAsia"/>
                <w:kern w:val="0"/>
                <w:sz w:val="20"/>
                <w:szCs w:val="20"/>
              </w:rPr>
              <w:t>记账币种</w:t>
            </w:r>
          </w:p>
        </w:tc>
        <w:tc>
          <w:tcPr>
            <w:tcW w:w="1701" w:type="dxa"/>
            <w:tcBorders>
              <w:top w:val="single" w:sz="4" w:space="0" w:color="auto"/>
              <w:left w:val="single" w:sz="4" w:space="0" w:color="auto"/>
              <w:bottom w:val="single" w:sz="4" w:space="0" w:color="auto"/>
              <w:right w:val="single" w:sz="4" w:space="0" w:color="auto"/>
            </w:tcBorders>
          </w:tcPr>
          <w:p w14:paraId="0445E00F" w14:textId="77777777" w:rsidR="00A052DC" w:rsidRDefault="009F0A60">
            <w:pPr>
              <w:rPr>
                <w:rFonts w:ascii="黑体" w:eastAsia="黑体" w:hAnsi="黑体"/>
                <w:kern w:val="0"/>
                <w:sz w:val="20"/>
                <w:szCs w:val="20"/>
              </w:rPr>
            </w:pPr>
            <w:r>
              <w:rPr>
                <w:rFonts w:ascii="黑体" w:eastAsia="黑体" w:hAnsi="黑体" w:hint="eastAsia"/>
                <w:kern w:val="0"/>
                <w:sz w:val="20"/>
                <w:szCs w:val="20"/>
              </w:rPr>
              <w:t>字符型，</w:t>
            </w:r>
            <w:r>
              <w:rPr>
                <w:rFonts w:ascii="黑体" w:eastAsia="黑体" w:hAnsi="黑体"/>
                <w:kern w:val="0"/>
                <w:sz w:val="20"/>
                <w:szCs w:val="20"/>
              </w:rPr>
              <w:t>3</w:t>
            </w:r>
          </w:p>
        </w:tc>
        <w:tc>
          <w:tcPr>
            <w:tcW w:w="3543" w:type="dxa"/>
            <w:tcBorders>
              <w:top w:val="single" w:sz="4" w:space="0" w:color="auto"/>
              <w:left w:val="single" w:sz="4" w:space="0" w:color="auto"/>
              <w:bottom w:val="single" w:sz="4" w:space="0" w:color="auto"/>
              <w:right w:val="single" w:sz="4" w:space="0" w:color="auto"/>
            </w:tcBorders>
          </w:tcPr>
          <w:p w14:paraId="07B14F55" w14:textId="77777777" w:rsidR="00A052DC" w:rsidRDefault="009F0A60">
            <w:pPr>
              <w:rPr>
                <w:rFonts w:ascii="黑体" w:eastAsia="黑体" w:hAnsi="黑体"/>
                <w:kern w:val="0"/>
                <w:sz w:val="20"/>
                <w:szCs w:val="20"/>
              </w:rPr>
            </w:pPr>
            <w:r>
              <w:rPr>
                <w:rFonts w:ascii="黑体" w:eastAsia="黑体" w:hAnsi="黑体" w:hint="eastAsia"/>
                <w:kern w:val="0"/>
                <w:sz w:val="20"/>
                <w:szCs w:val="20"/>
              </w:rPr>
              <w:t>必填项，见币种代码表。</w:t>
            </w:r>
          </w:p>
        </w:tc>
      </w:tr>
      <w:tr w:rsidR="00A052DC" w14:paraId="5CC1A9FA" w14:textId="77777777">
        <w:tc>
          <w:tcPr>
            <w:tcW w:w="1843" w:type="dxa"/>
            <w:tcBorders>
              <w:top w:val="single" w:sz="4" w:space="0" w:color="auto"/>
              <w:left w:val="single" w:sz="4" w:space="0" w:color="auto"/>
              <w:bottom w:val="single" w:sz="4" w:space="0" w:color="auto"/>
              <w:right w:val="single" w:sz="4" w:space="0" w:color="auto"/>
            </w:tcBorders>
          </w:tcPr>
          <w:p w14:paraId="1CE6C735" w14:textId="77777777" w:rsidR="00A052DC" w:rsidRDefault="009F0A60">
            <w:pPr>
              <w:rPr>
                <w:rFonts w:ascii="黑体" w:eastAsia="黑体" w:hAnsi="黑体"/>
                <w:kern w:val="0"/>
                <w:sz w:val="20"/>
                <w:szCs w:val="20"/>
              </w:rPr>
            </w:pPr>
            <w:r>
              <w:rPr>
                <w:rFonts w:ascii="黑体" w:eastAsia="黑体" w:hAnsi="黑体"/>
                <w:kern w:val="0"/>
                <w:sz w:val="20"/>
                <w:szCs w:val="20"/>
              </w:rPr>
              <w:t>E0216</w:t>
            </w:r>
          </w:p>
        </w:tc>
        <w:tc>
          <w:tcPr>
            <w:tcW w:w="1560" w:type="dxa"/>
            <w:tcBorders>
              <w:top w:val="single" w:sz="4" w:space="0" w:color="auto"/>
              <w:left w:val="single" w:sz="4" w:space="0" w:color="auto"/>
              <w:bottom w:val="single" w:sz="4" w:space="0" w:color="auto"/>
              <w:right w:val="single" w:sz="4" w:space="0" w:color="auto"/>
            </w:tcBorders>
          </w:tcPr>
          <w:p w14:paraId="5C74F87F" w14:textId="77777777" w:rsidR="00A052DC" w:rsidRDefault="009F0A60">
            <w:pPr>
              <w:rPr>
                <w:rFonts w:ascii="黑体" w:eastAsia="黑体" w:hAnsi="黑体"/>
                <w:kern w:val="0"/>
                <w:sz w:val="20"/>
                <w:szCs w:val="20"/>
              </w:rPr>
            </w:pPr>
            <w:r>
              <w:rPr>
                <w:rFonts w:ascii="黑体" w:eastAsia="黑体" w:hAnsi="黑体" w:hint="eastAsia"/>
                <w:kern w:val="0"/>
                <w:sz w:val="20"/>
                <w:szCs w:val="20"/>
              </w:rPr>
              <w:t>本月确认</w:t>
            </w:r>
            <w:r>
              <w:rPr>
                <w:rFonts w:ascii="黑体" w:eastAsia="黑体" w:hAnsi="黑体"/>
                <w:kern w:val="0"/>
                <w:sz w:val="20"/>
                <w:szCs w:val="20"/>
              </w:rPr>
              <w:t>收入</w:t>
            </w:r>
          </w:p>
        </w:tc>
        <w:tc>
          <w:tcPr>
            <w:tcW w:w="1701" w:type="dxa"/>
            <w:tcBorders>
              <w:top w:val="single" w:sz="4" w:space="0" w:color="auto"/>
              <w:left w:val="single" w:sz="4" w:space="0" w:color="auto"/>
              <w:bottom w:val="single" w:sz="4" w:space="0" w:color="auto"/>
              <w:right w:val="single" w:sz="4" w:space="0" w:color="auto"/>
            </w:tcBorders>
          </w:tcPr>
          <w:p w14:paraId="0E6DFB7A" w14:textId="77777777" w:rsidR="00A052DC" w:rsidRDefault="009F0A60">
            <w:pPr>
              <w:rPr>
                <w:rFonts w:ascii="黑体" w:eastAsia="黑体" w:hAnsi="黑体"/>
                <w:kern w:val="0"/>
                <w:sz w:val="20"/>
                <w:szCs w:val="20"/>
              </w:rPr>
            </w:pPr>
            <w:r>
              <w:rPr>
                <w:rFonts w:ascii="黑体" w:eastAsia="黑体" w:hAnsi="黑体" w:hint="eastAsia"/>
                <w:kern w:val="0"/>
                <w:sz w:val="20"/>
                <w:szCs w:val="20"/>
              </w:rPr>
              <w:t>数值型，</w:t>
            </w:r>
            <w:r>
              <w:rPr>
                <w:rFonts w:ascii="黑体" w:eastAsia="黑体" w:hAnsi="黑体"/>
                <w:kern w:val="0"/>
                <w:sz w:val="20"/>
                <w:szCs w:val="20"/>
              </w:rPr>
              <w:t>22.2</w:t>
            </w:r>
          </w:p>
        </w:tc>
        <w:tc>
          <w:tcPr>
            <w:tcW w:w="3543" w:type="dxa"/>
            <w:tcBorders>
              <w:top w:val="single" w:sz="4" w:space="0" w:color="auto"/>
              <w:left w:val="single" w:sz="4" w:space="0" w:color="auto"/>
              <w:bottom w:val="single" w:sz="4" w:space="0" w:color="auto"/>
              <w:right w:val="single" w:sz="4" w:space="0" w:color="auto"/>
            </w:tcBorders>
          </w:tcPr>
          <w:p w14:paraId="2C553AE8" w14:textId="77777777" w:rsidR="00A052DC" w:rsidRDefault="009F0A60">
            <w:pPr>
              <w:rPr>
                <w:rFonts w:ascii="黑体" w:eastAsia="黑体" w:hAnsi="黑体"/>
                <w:kern w:val="0"/>
                <w:sz w:val="20"/>
                <w:szCs w:val="20"/>
              </w:rPr>
            </w:pPr>
            <w:r>
              <w:rPr>
                <w:rFonts w:ascii="黑体" w:eastAsia="黑体" w:hAnsi="黑体" w:hint="eastAsia"/>
                <w:kern w:val="0"/>
                <w:sz w:val="20"/>
                <w:szCs w:val="20"/>
              </w:rPr>
              <w:t>必填项。</w:t>
            </w:r>
          </w:p>
        </w:tc>
      </w:tr>
      <w:tr w:rsidR="00A052DC" w14:paraId="614BDE9B" w14:textId="77777777">
        <w:tc>
          <w:tcPr>
            <w:tcW w:w="1843" w:type="dxa"/>
            <w:tcBorders>
              <w:top w:val="single" w:sz="4" w:space="0" w:color="auto"/>
              <w:left w:val="single" w:sz="4" w:space="0" w:color="auto"/>
              <w:bottom w:val="single" w:sz="4" w:space="0" w:color="auto"/>
              <w:right w:val="single" w:sz="4" w:space="0" w:color="auto"/>
            </w:tcBorders>
          </w:tcPr>
          <w:p w14:paraId="0CA2B18B" w14:textId="77777777" w:rsidR="00A052DC" w:rsidRDefault="009F0A60">
            <w:pPr>
              <w:rPr>
                <w:rFonts w:ascii="黑体" w:eastAsia="黑体" w:hAnsi="黑体"/>
                <w:kern w:val="0"/>
                <w:sz w:val="20"/>
                <w:szCs w:val="20"/>
              </w:rPr>
            </w:pPr>
            <w:r>
              <w:rPr>
                <w:rFonts w:ascii="黑体" w:eastAsia="黑体" w:hAnsi="黑体"/>
                <w:kern w:val="0"/>
                <w:sz w:val="20"/>
                <w:szCs w:val="20"/>
              </w:rPr>
              <w:t>E0217</w:t>
            </w:r>
          </w:p>
        </w:tc>
        <w:tc>
          <w:tcPr>
            <w:tcW w:w="1560" w:type="dxa"/>
            <w:tcBorders>
              <w:top w:val="single" w:sz="4" w:space="0" w:color="auto"/>
              <w:left w:val="single" w:sz="4" w:space="0" w:color="auto"/>
              <w:bottom w:val="single" w:sz="4" w:space="0" w:color="auto"/>
              <w:right w:val="single" w:sz="4" w:space="0" w:color="auto"/>
            </w:tcBorders>
          </w:tcPr>
          <w:p w14:paraId="5881CD2E" w14:textId="77777777" w:rsidR="00A052DC" w:rsidRDefault="009F0A60">
            <w:pPr>
              <w:rPr>
                <w:rFonts w:ascii="黑体" w:eastAsia="黑体" w:hAnsi="黑体"/>
                <w:kern w:val="0"/>
                <w:sz w:val="20"/>
                <w:szCs w:val="20"/>
              </w:rPr>
            </w:pPr>
            <w:r>
              <w:rPr>
                <w:rFonts w:ascii="黑体" w:eastAsia="黑体" w:hAnsi="黑体" w:hint="eastAsia"/>
                <w:kern w:val="0"/>
                <w:sz w:val="20"/>
                <w:szCs w:val="20"/>
              </w:rPr>
              <w:t>本月确认对境内成本</w:t>
            </w:r>
          </w:p>
        </w:tc>
        <w:tc>
          <w:tcPr>
            <w:tcW w:w="1701" w:type="dxa"/>
            <w:tcBorders>
              <w:top w:val="single" w:sz="4" w:space="0" w:color="auto"/>
              <w:left w:val="single" w:sz="4" w:space="0" w:color="auto"/>
              <w:bottom w:val="single" w:sz="4" w:space="0" w:color="auto"/>
              <w:right w:val="single" w:sz="4" w:space="0" w:color="auto"/>
            </w:tcBorders>
          </w:tcPr>
          <w:p w14:paraId="06A93395" w14:textId="77777777" w:rsidR="00A052DC" w:rsidRDefault="009F0A60">
            <w:pPr>
              <w:rPr>
                <w:rFonts w:ascii="黑体" w:eastAsia="黑体" w:hAnsi="黑体"/>
                <w:kern w:val="0"/>
                <w:sz w:val="20"/>
                <w:szCs w:val="20"/>
              </w:rPr>
            </w:pPr>
            <w:r>
              <w:rPr>
                <w:rFonts w:ascii="黑体" w:eastAsia="黑体" w:hAnsi="黑体" w:hint="eastAsia"/>
                <w:kern w:val="0"/>
                <w:sz w:val="20"/>
                <w:szCs w:val="20"/>
              </w:rPr>
              <w:t>数值型，</w:t>
            </w:r>
            <w:r>
              <w:rPr>
                <w:rFonts w:ascii="黑体" w:eastAsia="黑体" w:hAnsi="黑体"/>
                <w:kern w:val="0"/>
                <w:sz w:val="20"/>
                <w:szCs w:val="20"/>
              </w:rPr>
              <w:t>22.2</w:t>
            </w:r>
          </w:p>
        </w:tc>
        <w:tc>
          <w:tcPr>
            <w:tcW w:w="3543" w:type="dxa"/>
            <w:tcBorders>
              <w:top w:val="single" w:sz="4" w:space="0" w:color="auto"/>
              <w:left w:val="single" w:sz="4" w:space="0" w:color="auto"/>
              <w:bottom w:val="single" w:sz="4" w:space="0" w:color="auto"/>
              <w:right w:val="single" w:sz="4" w:space="0" w:color="auto"/>
            </w:tcBorders>
          </w:tcPr>
          <w:p w14:paraId="242C94C0" w14:textId="77777777" w:rsidR="00A052DC" w:rsidRDefault="009F0A60">
            <w:pPr>
              <w:wordWrap w:val="0"/>
              <w:rPr>
                <w:rFonts w:ascii="黑体" w:eastAsia="黑体" w:hAnsi="黑体"/>
                <w:kern w:val="0"/>
                <w:sz w:val="20"/>
                <w:szCs w:val="20"/>
              </w:rPr>
            </w:pPr>
            <w:r>
              <w:rPr>
                <w:rFonts w:ascii="黑体" w:eastAsia="黑体" w:hAnsi="黑体" w:hint="eastAsia"/>
                <w:kern w:val="0"/>
                <w:sz w:val="20"/>
                <w:szCs w:val="20"/>
              </w:rPr>
              <w:t>必填项，</w:t>
            </w:r>
          </w:p>
          <w:p w14:paraId="5D535760" w14:textId="77777777" w:rsidR="00A052DC" w:rsidRDefault="009F0A60">
            <w:pPr>
              <w:wordWrap w:val="0"/>
              <w:rPr>
                <w:rFonts w:ascii="黑体" w:eastAsia="黑体" w:hAnsi="黑体"/>
                <w:kern w:val="0"/>
                <w:sz w:val="20"/>
                <w:szCs w:val="20"/>
              </w:rPr>
            </w:pPr>
            <w:r>
              <w:rPr>
                <w:rFonts w:ascii="黑体" w:eastAsia="黑体" w:hAnsi="黑体"/>
                <w:kern w:val="0"/>
                <w:sz w:val="20"/>
                <w:szCs w:val="20"/>
              </w:rPr>
              <w:t>E0217=E0218+E0219+E0220+E0221。</w:t>
            </w:r>
          </w:p>
        </w:tc>
      </w:tr>
      <w:tr w:rsidR="00A052DC" w14:paraId="3D1F18D1" w14:textId="77777777">
        <w:tc>
          <w:tcPr>
            <w:tcW w:w="1843" w:type="dxa"/>
            <w:tcBorders>
              <w:top w:val="single" w:sz="4" w:space="0" w:color="auto"/>
              <w:left w:val="single" w:sz="4" w:space="0" w:color="auto"/>
              <w:bottom w:val="single" w:sz="4" w:space="0" w:color="auto"/>
              <w:right w:val="single" w:sz="4" w:space="0" w:color="auto"/>
            </w:tcBorders>
          </w:tcPr>
          <w:p w14:paraId="36A7CD41" w14:textId="77777777" w:rsidR="00A052DC" w:rsidRDefault="009F0A60">
            <w:pPr>
              <w:rPr>
                <w:rFonts w:ascii="黑体" w:eastAsia="黑体" w:hAnsi="黑体"/>
                <w:kern w:val="0"/>
                <w:sz w:val="20"/>
                <w:szCs w:val="20"/>
              </w:rPr>
            </w:pPr>
            <w:r>
              <w:rPr>
                <w:rFonts w:ascii="黑体" w:eastAsia="黑体" w:hAnsi="黑体"/>
                <w:kern w:val="0"/>
                <w:sz w:val="20"/>
                <w:szCs w:val="20"/>
              </w:rPr>
              <w:t>E0218</w:t>
            </w:r>
          </w:p>
        </w:tc>
        <w:tc>
          <w:tcPr>
            <w:tcW w:w="1560" w:type="dxa"/>
            <w:tcBorders>
              <w:top w:val="single" w:sz="4" w:space="0" w:color="auto"/>
              <w:left w:val="single" w:sz="4" w:space="0" w:color="auto"/>
              <w:bottom w:val="single" w:sz="4" w:space="0" w:color="auto"/>
              <w:right w:val="single" w:sz="4" w:space="0" w:color="auto"/>
            </w:tcBorders>
          </w:tcPr>
          <w:p w14:paraId="5E7A147F" w14:textId="77777777" w:rsidR="00A052DC" w:rsidRDefault="009F0A60">
            <w:pPr>
              <w:rPr>
                <w:rFonts w:ascii="黑体" w:eastAsia="黑体" w:hAnsi="黑体"/>
                <w:kern w:val="0"/>
                <w:sz w:val="20"/>
                <w:szCs w:val="20"/>
              </w:rPr>
            </w:pPr>
            <w:r>
              <w:rPr>
                <w:rFonts w:ascii="黑体" w:eastAsia="黑体" w:hAnsi="黑体"/>
                <w:kern w:val="0"/>
                <w:sz w:val="20"/>
                <w:szCs w:val="20"/>
              </w:rPr>
              <w:t>从我国</w:t>
            </w:r>
            <w:r>
              <w:rPr>
                <w:rFonts w:ascii="黑体" w:eastAsia="黑体" w:hAnsi="黑体" w:hint="eastAsia"/>
                <w:kern w:val="0"/>
                <w:sz w:val="20"/>
                <w:szCs w:val="20"/>
              </w:rPr>
              <w:t>境内</w:t>
            </w:r>
            <w:r>
              <w:rPr>
                <w:rFonts w:ascii="黑体" w:eastAsia="黑体" w:hAnsi="黑体"/>
                <w:kern w:val="0"/>
                <w:sz w:val="20"/>
                <w:szCs w:val="20"/>
              </w:rPr>
              <w:t>采购货物金额</w:t>
            </w:r>
          </w:p>
        </w:tc>
        <w:tc>
          <w:tcPr>
            <w:tcW w:w="1701" w:type="dxa"/>
            <w:tcBorders>
              <w:top w:val="single" w:sz="4" w:space="0" w:color="auto"/>
              <w:left w:val="single" w:sz="4" w:space="0" w:color="auto"/>
              <w:bottom w:val="single" w:sz="4" w:space="0" w:color="auto"/>
              <w:right w:val="single" w:sz="4" w:space="0" w:color="auto"/>
            </w:tcBorders>
          </w:tcPr>
          <w:p w14:paraId="0C713CD5" w14:textId="77777777" w:rsidR="00A052DC" w:rsidRDefault="009F0A60">
            <w:pPr>
              <w:rPr>
                <w:rFonts w:ascii="黑体" w:eastAsia="黑体" w:hAnsi="黑体"/>
                <w:kern w:val="0"/>
                <w:sz w:val="20"/>
                <w:szCs w:val="20"/>
              </w:rPr>
            </w:pPr>
            <w:r>
              <w:rPr>
                <w:rFonts w:ascii="黑体" w:eastAsia="黑体" w:hAnsi="黑体" w:hint="eastAsia"/>
                <w:kern w:val="0"/>
                <w:sz w:val="20"/>
                <w:szCs w:val="20"/>
              </w:rPr>
              <w:t>数值型，</w:t>
            </w:r>
            <w:r>
              <w:rPr>
                <w:rFonts w:ascii="黑体" w:eastAsia="黑体" w:hAnsi="黑体"/>
                <w:kern w:val="0"/>
                <w:sz w:val="20"/>
                <w:szCs w:val="20"/>
              </w:rPr>
              <w:t>22.2</w:t>
            </w:r>
          </w:p>
        </w:tc>
        <w:tc>
          <w:tcPr>
            <w:tcW w:w="3543" w:type="dxa"/>
            <w:tcBorders>
              <w:top w:val="single" w:sz="4" w:space="0" w:color="auto"/>
              <w:left w:val="single" w:sz="4" w:space="0" w:color="auto"/>
              <w:bottom w:val="single" w:sz="4" w:space="0" w:color="auto"/>
              <w:right w:val="single" w:sz="4" w:space="0" w:color="auto"/>
            </w:tcBorders>
          </w:tcPr>
          <w:p w14:paraId="6F37720C" w14:textId="77777777" w:rsidR="00A052DC" w:rsidRDefault="009F0A60">
            <w:pPr>
              <w:wordWrap w:val="0"/>
              <w:rPr>
                <w:rFonts w:ascii="黑体" w:eastAsia="黑体" w:hAnsi="黑体"/>
                <w:kern w:val="0"/>
                <w:sz w:val="20"/>
                <w:szCs w:val="20"/>
              </w:rPr>
            </w:pPr>
            <w:r>
              <w:rPr>
                <w:rFonts w:ascii="黑体" w:eastAsia="黑体" w:hAnsi="黑体" w:hint="eastAsia"/>
                <w:kern w:val="0"/>
                <w:sz w:val="20"/>
                <w:szCs w:val="20"/>
              </w:rPr>
              <w:t>必填项。</w:t>
            </w:r>
          </w:p>
        </w:tc>
      </w:tr>
      <w:tr w:rsidR="00A052DC" w14:paraId="286BF8FB" w14:textId="77777777">
        <w:tc>
          <w:tcPr>
            <w:tcW w:w="1843" w:type="dxa"/>
            <w:tcBorders>
              <w:top w:val="single" w:sz="4" w:space="0" w:color="auto"/>
              <w:left w:val="single" w:sz="4" w:space="0" w:color="auto"/>
              <w:bottom w:val="single" w:sz="4" w:space="0" w:color="auto"/>
              <w:right w:val="single" w:sz="4" w:space="0" w:color="auto"/>
            </w:tcBorders>
          </w:tcPr>
          <w:p w14:paraId="6D07D779" w14:textId="77777777" w:rsidR="00A052DC" w:rsidRDefault="009F0A60">
            <w:pPr>
              <w:rPr>
                <w:rFonts w:ascii="黑体" w:eastAsia="黑体" w:hAnsi="黑体"/>
                <w:kern w:val="0"/>
                <w:sz w:val="20"/>
                <w:szCs w:val="20"/>
              </w:rPr>
            </w:pPr>
            <w:r>
              <w:rPr>
                <w:rFonts w:ascii="黑体" w:eastAsia="黑体" w:hAnsi="黑体"/>
                <w:kern w:val="0"/>
                <w:sz w:val="20"/>
                <w:szCs w:val="20"/>
              </w:rPr>
              <w:t>E0219</w:t>
            </w:r>
          </w:p>
        </w:tc>
        <w:tc>
          <w:tcPr>
            <w:tcW w:w="1560" w:type="dxa"/>
            <w:tcBorders>
              <w:top w:val="single" w:sz="4" w:space="0" w:color="auto"/>
              <w:left w:val="single" w:sz="4" w:space="0" w:color="auto"/>
              <w:bottom w:val="single" w:sz="4" w:space="0" w:color="auto"/>
              <w:right w:val="single" w:sz="4" w:space="0" w:color="auto"/>
            </w:tcBorders>
          </w:tcPr>
          <w:p w14:paraId="60E23D15" w14:textId="77777777" w:rsidR="00A052DC" w:rsidRDefault="009F0A60">
            <w:pPr>
              <w:rPr>
                <w:rFonts w:ascii="黑体" w:eastAsia="黑体" w:hAnsi="黑体"/>
                <w:kern w:val="0"/>
                <w:sz w:val="20"/>
                <w:szCs w:val="20"/>
              </w:rPr>
            </w:pPr>
            <w:r>
              <w:rPr>
                <w:rFonts w:ascii="黑体" w:eastAsia="黑体" w:hAnsi="黑体"/>
                <w:kern w:val="0"/>
                <w:sz w:val="20"/>
                <w:szCs w:val="20"/>
              </w:rPr>
              <w:t>从我国</w:t>
            </w:r>
            <w:r>
              <w:rPr>
                <w:rFonts w:ascii="黑体" w:eastAsia="黑体" w:hAnsi="黑体" w:hint="eastAsia"/>
                <w:kern w:val="0"/>
                <w:sz w:val="20"/>
                <w:szCs w:val="20"/>
              </w:rPr>
              <w:t>境内</w:t>
            </w:r>
            <w:r>
              <w:rPr>
                <w:rFonts w:ascii="黑体" w:eastAsia="黑体" w:hAnsi="黑体"/>
                <w:kern w:val="0"/>
                <w:sz w:val="20"/>
                <w:szCs w:val="20"/>
              </w:rPr>
              <w:t>采购服务金额</w:t>
            </w:r>
          </w:p>
        </w:tc>
        <w:tc>
          <w:tcPr>
            <w:tcW w:w="1701" w:type="dxa"/>
            <w:tcBorders>
              <w:top w:val="single" w:sz="4" w:space="0" w:color="auto"/>
              <w:left w:val="single" w:sz="4" w:space="0" w:color="auto"/>
              <w:bottom w:val="single" w:sz="4" w:space="0" w:color="auto"/>
              <w:right w:val="single" w:sz="4" w:space="0" w:color="auto"/>
            </w:tcBorders>
          </w:tcPr>
          <w:p w14:paraId="624E3FD8" w14:textId="77777777" w:rsidR="00A052DC" w:rsidRDefault="009F0A60">
            <w:pPr>
              <w:rPr>
                <w:rFonts w:ascii="黑体" w:eastAsia="黑体" w:hAnsi="黑体"/>
                <w:kern w:val="0"/>
                <w:sz w:val="20"/>
                <w:szCs w:val="20"/>
              </w:rPr>
            </w:pPr>
            <w:r>
              <w:rPr>
                <w:rFonts w:ascii="黑体" w:eastAsia="黑体" w:hAnsi="黑体" w:hint="eastAsia"/>
                <w:kern w:val="0"/>
                <w:sz w:val="20"/>
                <w:szCs w:val="20"/>
              </w:rPr>
              <w:t>数值型，</w:t>
            </w:r>
            <w:r>
              <w:rPr>
                <w:rFonts w:ascii="黑体" w:eastAsia="黑体" w:hAnsi="黑体"/>
                <w:kern w:val="0"/>
                <w:sz w:val="20"/>
                <w:szCs w:val="20"/>
              </w:rPr>
              <w:t>22.2</w:t>
            </w:r>
          </w:p>
        </w:tc>
        <w:tc>
          <w:tcPr>
            <w:tcW w:w="3543" w:type="dxa"/>
            <w:tcBorders>
              <w:top w:val="single" w:sz="4" w:space="0" w:color="auto"/>
              <w:left w:val="single" w:sz="4" w:space="0" w:color="auto"/>
              <w:bottom w:val="single" w:sz="4" w:space="0" w:color="auto"/>
              <w:right w:val="single" w:sz="4" w:space="0" w:color="auto"/>
            </w:tcBorders>
          </w:tcPr>
          <w:p w14:paraId="6EF42CEA" w14:textId="77777777" w:rsidR="00A052DC" w:rsidRDefault="009F0A60">
            <w:pPr>
              <w:rPr>
                <w:rFonts w:ascii="黑体" w:eastAsia="黑体" w:hAnsi="黑体"/>
                <w:kern w:val="0"/>
                <w:sz w:val="20"/>
                <w:szCs w:val="20"/>
              </w:rPr>
            </w:pPr>
            <w:r>
              <w:rPr>
                <w:rFonts w:ascii="黑体" w:eastAsia="黑体" w:hAnsi="黑体" w:hint="eastAsia"/>
                <w:kern w:val="0"/>
                <w:sz w:val="20"/>
                <w:szCs w:val="20"/>
              </w:rPr>
              <w:t>必填项。</w:t>
            </w:r>
          </w:p>
        </w:tc>
      </w:tr>
      <w:tr w:rsidR="00A052DC" w14:paraId="7E94FE7E" w14:textId="77777777">
        <w:tc>
          <w:tcPr>
            <w:tcW w:w="1843" w:type="dxa"/>
            <w:tcBorders>
              <w:top w:val="single" w:sz="4" w:space="0" w:color="auto"/>
              <w:left w:val="single" w:sz="4" w:space="0" w:color="auto"/>
              <w:bottom w:val="single" w:sz="4" w:space="0" w:color="auto"/>
              <w:right w:val="single" w:sz="4" w:space="0" w:color="auto"/>
            </w:tcBorders>
          </w:tcPr>
          <w:p w14:paraId="513B8548" w14:textId="77777777" w:rsidR="00A052DC" w:rsidRDefault="009F0A60">
            <w:pPr>
              <w:rPr>
                <w:rFonts w:ascii="黑体" w:eastAsia="黑体" w:hAnsi="黑体"/>
                <w:kern w:val="0"/>
                <w:sz w:val="20"/>
                <w:szCs w:val="20"/>
              </w:rPr>
            </w:pPr>
            <w:r>
              <w:rPr>
                <w:rFonts w:ascii="黑体" w:eastAsia="黑体" w:hAnsi="黑体"/>
                <w:kern w:val="0"/>
                <w:sz w:val="20"/>
                <w:szCs w:val="20"/>
              </w:rPr>
              <w:t>E0220</w:t>
            </w:r>
          </w:p>
        </w:tc>
        <w:tc>
          <w:tcPr>
            <w:tcW w:w="1560" w:type="dxa"/>
            <w:tcBorders>
              <w:top w:val="single" w:sz="4" w:space="0" w:color="auto"/>
              <w:left w:val="single" w:sz="4" w:space="0" w:color="auto"/>
              <w:bottom w:val="single" w:sz="4" w:space="0" w:color="auto"/>
              <w:right w:val="single" w:sz="4" w:space="0" w:color="auto"/>
            </w:tcBorders>
          </w:tcPr>
          <w:p w14:paraId="7374FBA9" w14:textId="77777777" w:rsidR="00A052DC" w:rsidRDefault="009F0A60">
            <w:pPr>
              <w:rPr>
                <w:rFonts w:ascii="黑体" w:eastAsia="黑体" w:hAnsi="黑体"/>
                <w:kern w:val="0"/>
                <w:sz w:val="20"/>
                <w:szCs w:val="20"/>
              </w:rPr>
            </w:pPr>
            <w:r>
              <w:rPr>
                <w:rFonts w:ascii="黑体" w:eastAsia="黑体" w:hAnsi="黑体" w:hint="eastAsia"/>
                <w:kern w:val="0"/>
                <w:sz w:val="20"/>
                <w:szCs w:val="20"/>
              </w:rPr>
              <w:t>外派</w:t>
            </w:r>
            <w:r>
              <w:rPr>
                <w:rFonts w:ascii="黑体" w:eastAsia="黑体" w:hAnsi="黑体"/>
                <w:kern w:val="0"/>
                <w:sz w:val="20"/>
                <w:szCs w:val="20"/>
              </w:rPr>
              <w:t>居民雇员报酬</w:t>
            </w:r>
          </w:p>
        </w:tc>
        <w:tc>
          <w:tcPr>
            <w:tcW w:w="1701" w:type="dxa"/>
            <w:tcBorders>
              <w:top w:val="single" w:sz="4" w:space="0" w:color="auto"/>
              <w:left w:val="single" w:sz="4" w:space="0" w:color="auto"/>
              <w:bottom w:val="single" w:sz="4" w:space="0" w:color="auto"/>
              <w:right w:val="single" w:sz="4" w:space="0" w:color="auto"/>
            </w:tcBorders>
          </w:tcPr>
          <w:p w14:paraId="69E780CC" w14:textId="77777777" w:rsidR="00A052DC" w:rsidRDefault="009F0A60">
            <w:pPr>
              <w:rPr>
                <w:rFonts w:ascii="黑体" w:eastAsia="黑体" w:hAnsi="黑体"/>
                <w:kern w:val="0"/>
                <w:sz w:val="20"/>
                <w:szCs w:val="20"/>
              </w:rPr>
            </w:pPr>
            <w:r>
              <w:rPr>
                <w:rFonts w:ascii="黑体" w:eastAsia="黑体" w:hAnsi="黑体" w:hint="eastAsia"/>
                <w:kern w:val="0"/>
                <w:sz w:val="20"/>
                <w:szCs w:val="20"/>
              </w:rPr>
              <w:t>数值型，</w:t>
            </w:r>
            <w:r>
              <w:rPr>
                <w:rFonts w:ascii="黑体" w:eastAsia="黑体" w:hAnsi="黑体"/>
                <w:kern w:val="0"/>
                <w:sz w:val="20"/>
                <w:szCs w:val="20"/>
              </w:rPr>
              <w:t>22.2</w:t>
            </w:r>
          </w:p>
        </w:tc>
        <w:tc>
          <w:tcPr>
            <w:tcW w:w="3543" w:type="dxa"/>
            <w:tcBorders>
              <w:top w:val="single" w:sz="4" w:space="0" w:color="auto"/>
              <w:left w:val="single" w:sz="4" w:space="0" w:color="auto"/>
              <w:bottom w:val="single" w:sz="4" w:space="0" w:color="auto"/>
              <w:right w:val="single" w:sz="4" w:space="0" w:color="auto"/>
            </w:tcBorders>
          </w:tcPr>
          <w:p w14:paraId="7144FC6E" w14:textId="77777777" w:rsidR="00A052DC" w:rsidRDefault="009F0A60">
            <w:pPr>
              <w:rPr>
                <w:rFonts w:ascii="黑体" w:eastAsia="黑体" w:hAnsi="黑体"/>
                <w:kern w:val="0"/>
                <w:sz w:val="20"/>
                <w:szCs w:val="20"/>
              </w:rPr>
            </w:pPr>
            <w:r>
              <w:rPr>
                <w:rFonts w:ascii="黑体" w:eastAsia="黑体" w:hAnsi="黑体" w:hint="eastAsia"/>
                <w:kern w:val="0"/>
                <w:sz w:val="20"/>
                <w:szCs w:val="20"/>
              </w:rPr>
              <w:t>必填项。</w:t>
            </w:r>
          </w:p>
        </w:tc>
      </w:tr>
      <w:tr w:rsidR="00A052DC" w14:paraId="4AE5A3E6" w14:textId="77777777">
        <w:tc>
          <w:tcPr>
            <w:tcW w:w="1843" w:type="dxa"/>
            <w:tcBorders>
              <w:top w:val="single" w:sz="4" w:space="0" w:color="auto"/>
              <w:left w:val="single" w:sz="4" w:space="0" w:color="auto"/>
              <w:bottom w:val="single" w:sz="4" w:space="0" w:color="auto"/>
              <w:right w:val="single" w:sz="4" w:space="0" w:color="auto"/>
            </w:tcBorders>
          </w:tcPr>
          <w:p w14:paraId="34F435C3" w14:textId="77777777" w:rsidR="00A052DC" w:rsidRDefault="009F0A60">
            <w:pPr>
              <w:rPr>
                <w:rFonts w:ascii="黑体" w:eastAsia="黑体" w:hAnsi="黑体"/>
                <w:kern w:val="0"/>
                <w:sz w:val="20"/>
                <w:szCs w:val="20"/>
              </w:rPr>
            </w:pPr>
            <w:r>
              <w:rPr>
                <w:rFonts w:ascii="黑体" w:eastAsia="黑体" w:hAnsi="黑体"/>
                <w:kern w:val="0"/>
                <w:sz w:val="20"/>
                <w:szCs w:val="20"/>
              </w:rPr>
              <w:t>E0221</w:t>
            </w:r>
          </w:p>
        </w:tc>
        <w:tc>
          <w:tcPr>
            <w:tcW w:w="1560" w:type="dxa"/>
            <w:tcBorders>
              <w:top w:val="single" w:sz="4" w:space="0" w:color="auto"/>
              <w:left w:val="single" w:sz="4" w:space="0" w:color="auto"/>
              <w:bottom w:val="single" w:sz="4" w:space="0" w:color="auto"/>
              <w:right w:val="single" w:sz="4" w:space="0" w:color="auto"/>
            </w:tcBorders>
          </w:tcPr>
          <w:p w14:paraId="17BF5BC6" w14:textId="77777777" w:rsidR="00A052DC" w:rsidRDefault="009F0A60">
            <w:pPr>
              <w:rPr>
                <w:rFonts w:ascii="黑体" w:eastAsia="黑体" w:hAnsi="黑体"/>
                <w:kern w:val="0"/>
                <w:sz w:val="20"/>
                <w:szCs w:val="20"/>
              </w:rPr>
            </w:pPr>
            <w:r>
              <w:rPr>
                <w:rFonts w:ascii="黑体" w:eastAsia="黑体" w:hAnsi="黑体" w:hint="eastAsia"/>
                <w:kern w:val="0"/>
                <w:sz w:val="20"/>
                <w:szCs w:val="20"/>
              </w:rPr>
              <w:t>对境内</w:t>
            </w:r>
            <w:r>
              <w:rPr>
                <w:rFonts w:ascii="黑体" w:eastAsia="黑体" w:hAnsi="黑体"/>
                <w:kern w:val="0"/>
                <w:sz w:val="20"/>
                <w:szCs w:val="20"/>
              </w:rPr>
              <w:t>其他</w:t>
            </w:r>
            <w:r>
              <w:rPr>
                <w:rFonts w:ascii="黑体" w:eastAsia="黑体" w:hAnsi="黑体" w:hint="eastAsia"/>
                <w:kern w:val="0"/>
                <w:sz w:val="20"/>
                <w:szCs w:val="20"/>
              </w:rPr>
              <w:t>成本</w:t>
            </w:r>
            <w:r>
              <w:rPr>
                <w:rFonts w:ascii="黑体" w:eastAsia="黑体" w:hAnsi="黑体"/>
                <w:kern w:val="0"/>
                <w:sz w:val="20"/>
                <w:szCs w:val="20"/>
              </w:rPr>
              <w:t>金额</w:t>
            </w:r>
          </w:p>
        </w:tc>
        <w:tc>
          <w:tcPr>
            <w:tcW w:w="1701" w:type="dxa"/>
            <w:tcBorders>
              <w:top w:val="single" w:sz="4" w:space="0" w:color="auto"/>
              <w:left w:val="single" w:sz="4" w:space="0" w:color="auto"/>
              <w:bottom w:val="single" w:sz="4" w:space="0" w:color="auto"/>
              <w:right w:val="single" w:sz="4" w:space="0" w:color="auto"/>
            </w:tcBorders>
          </w:tcPr>
          <w:p w14:paraId="23307DEB" w14:textId="77777777" w:rsidR="00A052DC" w:rsidRDefault="009F0A60">
            <w:pPr>
              <w:rPr>
                <w:rFonts w:ascii="黑体" w:eastAsia="黑体" w:hAnsi="黑体"/>
                <w:kern w:val="0"/>
                <w:sz w:val="20"/>
                <w:szCs w:val="20"/>
              </w:rPr>
            </w:pPr>
            <w:r>
              <w:rPr>
                <w:rFonts w:ascii="黑体" w:eastAsia="黑体" w:hAnsi="黑体" w:hint="eastAsia"/>
                <w:kern w:val="0"/>
                <w:sz w:val="20"/>
                <w:szCs w:val="20"/>
              </w:rPr>
              <w:t>数值型，</w:t>
            </w:r>
            <w:r>
              <w:rPr>
                <w:rFonts w:ascii="黑体" w:eastAsia="黑体" w:hAnsi="黑体"/>
                <w:kern w:val="0"/>
                <w:sz w:val="20"/>
                <w:szCs w:val="20"/>
              </w:rPr>
              <w:t>22.2</w:t>
            </w:r>
          </w:p>
        </w:tc>
        <w:tc>
          <w:tcPr>
            <w:tcW w:w="3543" w:type="dxa"/>
            <w:tcBorders>
              <w:top w:val="single" w:sz="4" w:space="0" w:color="auto"/>
              <w:left w:val="single" w:sz="4" w:space="0" w:color="auto"/>
              <w:bottom w:val="single" w:sz="4" w:space="0" w:color="auto"/>
              <w:right w:val="single" w:sz="4" w:space="0" w:color="auto"/>
            </w:tcBorders>
          </w:tcPr>
          <w:p w14:paraId="165B62AF" w14:textId="77777777" w:rsidR="00A052DC" w:rsidRDefault="009F0A60">
            <w:pPr>
              <w:rPr>
                <w:rFonts w:ascii="黑体" w:eastAsia="黑体" w:hAnsi="黑体"/>
                <w:kern w:val="0"/>
                <w:sz w:val="20"/>
                <w:szCs w:val="20"/>
              </w:rPr>
            </w:pPr>
            <w:r>
              <w:rPr>
                <w:rFonts w:ascii="黑体" w:eastAsia="黑体" w:hAnsi="黑体" w:hint="eastAsia"/>
                <w:kern w:val="0"/>
                <w:sz w:val="20"/>
                <w:szCs w:val="20"/>
              </w:rPr>
              <w:t>必填项。</w:t>
            </w:r>
          </w:p>
        </w:tc>
      </w:tr>
      <w:tr w:rsidR="00A052DC" w14:paraId="3CAB06F7" w14:textId="77777777">
        <w:tc>
          <w:tcPr>
            <w:tcW w:w="1843" w:type="dxa"/>
            <w:tcBorders>
              <w:top w:val="single" w:sz="4" w:space="0" w:color="auto"/>
              <w:left w:val="single" w:sz="4" w:space="0" w:color="auto"/>
              <w:bottom w:val="single" w:sz="4" w:space="0" w:color="auto"/>
              <w:right w:val="single" w:sz="4" w:space="0" w:color="auto"/>
            </w:tcBorders>
          </w:tcPr>
          <w:p w14:paraId="66CD7D9A" w14:textId="77777777" w:rsidR="00A052DC" w:rsidRDefault="009F0A60">
            <w:pPr>
              <w:rPr>
                <w:rFonts w:ascii="黑体" w:eastAsia="黑体" w:hAnsi="黑体"/>
                <w:kern w:val="0"/>
                <w:sz w:val="20"/>
                <w:szCs w:val="20"/>
              </w:rPr>
            </w:pPr>
            <w:r>
              <w:rPr>
                <w:rFonts w:ascii="黑体" w:eastAsia="黑体" w:hAnsi="黑体"/>
                <w:kern w:val="0"/>
                <w:sz w:val="20"/>
                <w:szCs w:val="20"/>
              </w:rPr>
              <w:t>E0222</w:t>
            </w:r>
          </w:p>
        </w:tc>
        <w:tc>
          <w:tcPr>
            <w:tcW w:w="1560" w:type="dxa"/>
            <w:tcBorders>
              <w:top w:val="single" w:sz="4" w:space="0" w:color="auto"/>
              <w:left w:val="single" w:sz="4" w:space="0" w:color="auto"/>
              <w:bottom w:val="single" w:sz="4" w:space="0" w:color="auto"/>
              <w:right w:val="single" w:sz="4" w:space="0" w:color="auto"/>
            </w:tcBorders>
          </w:tcPr>
          <w:p w14:paraId="74586EFC" w14:textId="77777777" w:rsidR="00A052DC" w:rsidRDefault="009F0A60">
            <w:pPr>
              <w:rPr>
                <w:rFonts w:ascii="黑体" w:eastAsia="黑体" w:hAnsi="黑体"/>
                <w:kern w:val="0"/>
                <w:sz w:val="20"/>
                <w:szCs w:val="20"/>
              </w:rPr>
            </w:pPr>
            <w:r>
              <w:rPr>
                <w:rFonts w:ascii="黑体" w:eastAsia="黑体" w:hAnsi="黑体" w:hint="eastAsia"/>
                <w:kern w:val="0"/>
                <w:sz w:val="20"/>
                <w:szCs w:val="20"/>
              </w:rPr>
              <w:t>本月确认对境外成本</w:t>
            </w:r>
          </w:p>
        </w:tc>
        <w:tc>
          <w:tcPr>
            <w:tcW w:w="1701" w:type="dxa"/>
            <w:tcBorders>
              <w:top w:val="single" w:sz="4" w:space="0" w:color="auto"/>
              <w:left w:val="single" w:sz="4" w:space="0" w:color="auto"/>
              <w:bottom w:val="single" w:sz="4" w:space="0" w:color="auto"/>
              <w:right w:val="single" w:sz="4" w:space="0" w:color="auto"/>
            </w:tcBorders>
          </w:tcPr>
          <w:p w14:paraId="7FA6A4EA" w14:textId="77777777" w:rsidR="00A052DC" w:rsidRDefault="009F0A60">
            <w:pPr>
              <w:rPr>
                <w:rFonts w:ascii="黑体" w:eastAsia="黑体" w:hAnsi="黑体"/>
                <w:kern w:val="0"/>
                <w:sz w:val="20"/>
                <w:szCs w:val="20"/>
              </w:rPr>
            </w:pPr>
            <w:r>
              <w:rPr>
                <w:rFonts w:ascii="黑体" w:eastAsia="黑体" w:hAnsi="黑体" w:hint="eastAsia"/>
                <w:kern w:val="0"/>
                <w:sz w:val="20"/>
                <w:szCs w:val="20"/>
              </w:rPr>
              <w:t>数值型，</w:t>
            </w:r>
            <w:r>
              <w:rPr>
                <w:rFonts w:ascii="黑体" w:eastAsia="黑体" w:hAnsi="黑体"/>
                <w:kern w:val="0"/>
                <w:sz w:val="20"/>
                <w:szCs w:val="20"/>
              </w:rPr>
              <w:t>22.2</w:t>
            </w:r>
          </w:p>
        </w:tc>
        <w:tc>
          <w:tcPr>
            <w:tcW w:w="3543" w:type="dxa"/>
            <w:tcBorders>
              <w:top w:val="single" w:sz="4" w:space="0" w:color="auto"/>
              <w:left w:val="single" w:sz="4" w:space="0" w:color="auto"/>
              <w:bottom w:val="single" w:sz="4" w:space="0" w:color="auto"/>
              <w:right w:val="single" w:sz="4" w:space="0" w:color="auto"/>
            </w:tcBorders>
          </w:tcPr>
          <w:p w14:paraId="3711B073" w14:textId="77777777" w:rsidR="00A052DC" w:rsidRDefault="009F0A60">
            <w:pPr>
              <w:jc w:val="left"/>
              <w:rPr>
                <w:rFonts w:ascii="黑体" w:eastAsia="黑体" w:hAnsi="黑体"/>
                <w:kern w:val="0"/>
                <w:sz w:val="20"/>
                <w:szCs w:val="20"/>
              </w:rPr>
            </w:pPr>
            <w:r>
              <w:rPr>
                <w:rFonts w:ascii="黑体" w:eastAsia="黑体" w:hAnsi="黑体" w:hint="eastAsia"/>
                <w:kern w:val="0"/>
                <w:sz w:val="20"/>
                <w:szCs w:val="20"/>
              </w:rPr>
              <w:t>必填项，</w:t>
            </w:r>
            <w:r>
              <w:rPr>
                <w:rFonts w:ascii="黑体" w:eastAsia="黑体" w:hAnsi="黑体"/>
                <w:kern w:val="0"/>
                <w:sz w:val="20"/>
                <w:szCs w:val="20"/>
              </w:rPr>
              <w:t>E0222=E0223+E0224+E0225+E0226+E0227。</w:t>
            </w:r>
          </w:p>
        </w:tc>
      </w:tr>
      <w:tr w:rsidR="00A052DC" w14:paraId="2664E499" w14:textId="77777777">
        <w:tc>
          <w:tcPr>
            <w:tcW w:w="1843" w:type="dxa"/>
            <w:tcBorders>
              <w:top w:val="single" w:sz="4" w:space="0" w:color="auto"/>
              <w:left w:val="single" w:sz="4" w:space="0" w:color="auto"/>
              <w:bottom w:val="single" w:sz="4" w:space="0" w:color="auto"/>
              <w:right w:val="single" w:sz="4" w:space="0" w:color="auto"/>
            </w:tcBorders>
          </w:tcPr>
          <w:p w14:paraId="08370DBF" w14:textId="77777777" w:rsidR="00A052DC" w:rsidRDefault="009F0A60">
            <w:pPr>
              <w:rPr>
                <w:rFonts w:ascii="黑体" w:eastAsia="黑体" w:hAnsi="黑体"/>
                <w:kern w:val="0"/>
                <w:sz w:val="20"/>
                <w:szCs w:val="20"/>
              </w:rPr>
            </w:pPr>
            <w:r>
              <w:rPr>
                <w:rFonts w:ascii="黑体" w:eastAsia="黑体" w:hAnsi="黑体"/>
                <w:kern w:val="0"/>
                <w:sz w:val="20"/>
                <w:szCs w:val="20"/>
              </w:rPr>
              <w:t>E0223</w:t>
            </w:r>
          </w:p>
        </w:tc>
        <w:tc>
          <w:tcPr>
            <w:tcW w:w="1560" w:type="dxa"/>
            <w:tcBorders>
              <w:top w:val="single" w:sz="4" w:space="0" w:color="auto"/>
              <w:left w:val="single" w:sz="4" w:space="0" w:color="auto"/>
              <w:bottom w:val="single" w:sz="4" w:space="0" w:color="auto"/>
              <w:right w:val="single" w:sz="4" w:space="0" w:color="auto"/>
            </w:tcBorders>
          </w:tcPr>
          <w:p w14:paraId="43170DF6" w14:textId="77777777" w:rsidR="00A052DC" w:rsidRDefault="009F0A60">
            <w:pPr>
              <w:rPr>
                <w:rFonts w:ascii="黑体" w:eastAsia="黑体" w:hAnsi="黑体"/>
                <w:kern w:val="0"/>
                <w:sz w:val="20"/>
                <w:szCs w:val="20"/>
              </w:rPr>
            </w:pPr>
            <w:r>
              <w:rPr>
                <w:rFonts w:ascii="黑体" w:eastAsia="黑体" w:hAnsi="黑体" w:hint="eastAsia"/>
                <w:kern w:val="0"/>
                <w:sz w:val="20"/>
                <w:szCs w:val="20"/>
              </w:rPr>
              <w:t>从我国以外国家</w:t>
            </w:r>
            <w:r>
              <w:rPr>
                <w:rFonts w:ascii="黑体" w:eastAsia="黑体" w:hAnsi="黑体"/>
                <w:kern w:val="0"/>
                <w:sz w:val="20"/>
                <w:szCs w:val="20"/>
              </w:rPr>
              <w:t>/</w:t>
            </w:r>
            <w:r>
              <w:rPr>
                <w:rFonts w:ascii="黑体" w:eastAsia="黑体" w:hAnsi="黑体" w:hint="eastAsia"/>
                <w:kern w:val="0"/>
                <w:sz w:val="20"/>
                <w:szCs w:val="20"/>
              </w:rPr>
              <w:t>地区</w:t>
            </w:r>
            <w:r>
              <w:rPr>
                <w:rFonts w:ascii="黑体" w:eastAsia="黑体" w:hAnsi="黑体"/>
                <w:kern w:val="0"/>
                <w:sz w:val="20"/>
                <w:szCs w:val="20"/>
              </w:rPr>
              <w:t>采购货物金额</w:t>
            </w:r>
          </w:p>
        </w:tc>
        <w:tc>
          <w:tcPr>
            <w:tcW w:w="1701" w:type="dxa"/>
            <w:tcBorders>
              <w:top w:val="single" w:sz="4" w:space="0" w:color="auto"/>
              <w:left w:val="single" w:sz="4" w:space="0" w:color="auto"/>
              <w:bottom w:val="single" w:sz="4" w:space="0" w:color="auto"/>
              <w:right w:val="single" w:sz="4" w:space="0" w:color="auto"/>
            </w:tcBorders>
          </w:tcPr>
          <w:p w14:paraId="667F6B55" w14:textId="77777777" w:rsidR="00A052DC" w:rsidRDefault="009F0A60">
            <w:pPr>
              <w:rPr>
                <w:rFonts w:ascii="黑体" w:eastAsia="黑体" w:hAnsi="黑体"/>
                <w:kern w:val="0"/>
                <w:sz w:val="20"/>
                <w:szCs w:val="20"/>
              </w:rPr>
            </w:pPr>
            <w:r>
              <w:rPr>
                <w:rFonts w:ascii="黑体" w:eastAsia="黑体" w:hAnsi="黑体" w:hint="eastAsia"/>
                <w:kern w:val="0"/>
                <w:sz w:val="20"/>
                <w:szCs w:val="20"/>
              </w:rPr>
              <w:t>数值型，</w:t>
            </w:r>
            <w:r>
              <w:rPr>
                <w:rFonts w:ascii="黑体" w:eastAsia="黑体" w:hAnsi="黑体"/>
                <w:kern w:val="0"/>
                <w:sz w:val="20"/>
                <w:szCs w:val="20"/>
              </w:rPr>
              <w:t>22.2</w:t>
            </w:r>
          </w:p>
        </w:tc>
        <w:tc>
          <w:tcPr>
            <w:tcW w:w="3543" w:type="dxa"/>
            <w:tcBorders>
              <w:top w:val="single" w:sz="4" w:space="0" w:color="auto"/>
              <w:left w:val="single" w:sz="4" w:space="0" w:color="auto"/>
              <w:bottom w:val="single" w:sz="4" w:space="0" w:color="auto"/>
              <w:right w:val="single" w:sz="4" w:space="0" w:color="auto"/>
            </w:tcBorders>
          </w:tcPr>
          <w:p w14:paraId="41459B55" w14:textId="77777777" w:rsidR="00A052DC" w:rsidRDefault="009F0A60">
            <w:pPr>
              <w:rPr>
                <w:rFonts w:ascii="黑体" w:eastAsia="黑体" w:hAnsi="黑体"/>
                <w:kern w:val="0"/>
                <w:sz w:val="20"/>
                <w:szCs w:val="20"/>
              </w:rPr>
            </w:pPr>
            <w:r>
              <w:rPr>
                <w:rFonts w:ascii="黑体" w:eastAsia="黑体" w:hAnsi="黑体" w:hint="eastAsia"/>
                <w:kern w:val="0"/>
                <w:sz w:val="20"/>
                <w:szCs w:val="20"/>
              </w:rPr>
              <w:t>必填项。</w:t>
            </w:r>
          </w:p>
        </w:tc>
      </w:tr>
      <w:tr w:rsidR="00A052DC" w14:paraId="1E8CB4A0" w14:textId="77777777">
        <w:tc>
          <w:tcPr>
            <w:tcW w:w="1843" w:type="dxa"/>
            <w:tcBorders>
              <w:top w:val="single" w:sz="4" w:space="0" w:color="auto"/>
              <w:left w:val="single" w:sz="4" w:space="0" w:color="auto"/>
              <w:bottom w:val="single" w:sz="4" w:space="0" w:color="auto"/>
              <w:right w:val="single" w:sz="4" w:space="0" w:color="auto"/>
            </w:tcBorders>
          </w:tcPr>
          <w:p w14:paraId="07A27776" w14:textId="77777777" w:rsidR="00A052DC" w:rsidRDefault="009F0A60">
            <w:pPr>
              <w:rPr>
                <w:rFonts w:ascii="黑体" w:eastAsia="黑体" w:hAnsi="黑体"/>
                <w:kern w:val="0"/>
                <w:sz w:val="20"/>
                <w:szCs w:val="20"/>
              </w:rPr>
            </w:pPr>
            <w:r>
              <w:rPr>
                <w:rFonts w:ascii="黑体" w:eastAsia="黑体" w:hAnsi="黑体"/>
                <w:kern w:val="0"/>
                <w:sz w:val="20"/>
                <w:szCs w:val="20"/>
              </w:rPr>
              <w:t>E0224</w:t>
            </w:r>
          </w:p>
        </w:tc>
        <w:tc>
          <w:tcPr>
            <w:tcW w:w="1560" w:type="dxa"/>
            <w:tcBorders>
              <w:top w:val="single" w:sz="4" w:space="0" w:color="auto"/>
              <w:left w:val="single" w:sz="4" w:space="0" w:color="auto"/>
              <w:bottom w:val="single" w:sz="4" w:space="0" w:color="auto"/>
              <w:right w:val="single" w:sz="4" w:space="0" w:color="auto"/>
            </w:tcBorders>
          </w:tcPr>
          <w:p w14:paraId="7ECD8DFB" w14:textId="77777777" w:rsidR="00A052DC" w:rsidRDefault="009F0A60">
            <w:pPr>
              <w:rPr>
                <w:rFonts w:ascii="黑体" w:eastAsia="黑体" w:hAnsi="黑体"/>
                <w:kern w:val="0"/>
                <w:sz w:val="20"/>
                <w:szCs w:val="20"/>
              </w:rPr>
            </w:pPr>
            <w:r>
              <w:rPr>
                <w:rFonts w:ascii="黑体" w:eastAsia="黑体" w:hAnsi="黑体" w:hint="eastAsia"/>
                <w:kern w:val="0"/>
                <w:sz w:val="20"/>
                <w:szCs w:val="20"/>
              </w:rPr>
              <w:t>从我国以外国家</w:t>
            </w:r>
            <w:r>
              <w:rPr>
                <w:rFonts w:ascii="黑体" w:eastAsia="黑体" w:hAnsi="黑体"/>
                <w:kern w:val="0"/>
                <w:sz w:val="20"/>
                <w:szCs w:val="20"/>
              </w:rPr>
              <w:t>/</w:t>
            </w:r>
            <w:r>
              <w:rPr>
                <w:rFonts w:ascii="黑体" w:eastAsia="黑体" w:hAnsi="黑体" w:hint="eastAsia"/>
                <w:kern w:val="0"/>
                <w:sz w:val="20"/>
                <w:szCs w:val="20"/>
              </w:rPr>
              <w:t>地区</w:t>
            </w:r>
            <w:r>
              <w:rPr>
                <w:rFonts w:ascii="黑体" w:eastAsia="黑体" w:hAnsi="黑体"/>
                <w:kern w:val="0"/>
                <w:sz w:val="20"/>
                <w:szCs w:val="20"/>
              </w:rPr>
              <w:t>采购服务金额</w:t>
            </w:r>
          </w:p>
        </w:tc>
        <w:tc>
          <w:tcPr>
            <w:tcW w:w="1701" w:type="dxa"/>
            <w:tcBorders>
              <w:top w:val="single" w:sz="4" w:space="0" w:color="auto"/>
              <w:left w:val="single" w:sz="4" w:space="0" w:color="auto"/>
              <w:bottom w:val="single" w:sz="4" w:space="0" w:color="auto"/>
              <w:right w:val="single" w:sz="4" w:space="0" w:color="auto"/>
            </w:tcBorders>
          </w:tcPr>
          <w:p w14:paraId="2ECCC527" w14:textId="77777777" w:rsidR="00A052DC" w:rsidRDefault="009F0A60">
            <w:pPr>
              <w:rPr>
                <w:rFonts w:ascii="黑体" w:eastAsia="黑体" w:hAnsi="黑体"/>
                <w:kern w:val="0"/>
                <w:sz w:val="20"/>
                <w:szCs w:val="20"/>
              </w:rPr>
            </w:pPr>
            <w:r>
              <w:rPr>
                <w:rFonts w:ascii="黑体" w:eastAsia="黑体" w:hAnsi="黑体" w:hint="eastAsia"/>
                <w:kern w:val="0"/>
                <w:sz w:val="20"/>
                <w:szCs w:val="20"/>
              </w:rPr>
              <w:t>数值型，</w:t>
            </w:r>
            <w:r>
              <w:rPr>
                <w:rFonts w:ascii="黑体" w:eastAsia="黑体" w:hAnsi="黑体"/>
                <w:kern w:val="0"/>
                <w:sz w:val="20"/>
                <w:szCs w:val="20"/>
              </w:rPr>
              <w:t>22.2</w:t>
            </w:r>
          </w:p>
        </w:tc>
        <w:tc>
          <w:tcPr>
            <w:tcW w:w="3543" w:type="dxa"/>
            <w:tcBorders>
              <w:top w:val="single" w:sz="4" w:space="0" w:color="auto"/>
              <w:left w:val="single" w:sz="4" w:space="0" w:color="auto"/>
              <w:bottom w:val="single" w:sz="4" w:space="0" w:color="auto"/>
              <w:right w:val="single" w:sz="4" w:space="0" w:color="auto"/>
            </w:tcBorders>
          </w:tcPr>
          <w:p w14:paraId="00B44376" w14:textId="77777777" w:rsidR="00A052DC" w:rsidRDefault="009F0A60">
            <w:pPr>
              <w:rPr>
                <w:rFonts w:ascii="黑体" w:eastAsia="黑体" w:hAnsi="黑体"/>
                <w:kern w:val="0"/>
                <w:sz w:val="20"/>
                <w:szCs w:val="20"/>
              </w:rPr>
            </w:pPr>
            <w:r>
              <w:rPr>
                <w:rFonts w:ascii="黑体" w:eastAsia="黑体" w:hAnsi="黑体" w:hint="eastAsia"/>
                <w:kern w:val="0"/>
                <w:sz w:val="20"/>
                <w:szCs w:val="20"/>
              </w:rPr>
              <w:t>必填项。</w:t>
            </w:r>
          </w:p>
        </w:tc>
      </w:tr>
      <w:tr w:rsidR="00A052DC" w14:paraId="38A7CB88" w14:textId="77777777">
        <w:tc>
          <w:tcPr>
            <w:tcW w:w="1843" w:type="dxa"/>
            <w:tcBorders>
              <w:top w:val="single" w:sz="4" w:space="0" w:color="auto"/>
              <w:left w:val="single" w:sz="4" w:space="0" w:color="auto"/>
              <w:bottom w:val="single" w:sz="4" w:space="0" w:color="auto"/>
              <w:right w:val="single" w:sz="4" w:space="0" w:color="auto"/>
            </w:tcBorders>
          </w:tcPr>
          <w:p w14:paraId="16FA1ECB" w14:textId="77777777" w:rsidR="00A052DC" w:rsidRDefault="009F0A60">
            <w:pPr>
              <w:rPr>
                <w:rFonts w:ascii="黑体" w:eastAsia="黑体" w:hAnsi="黑体"/>
                <w:kern w:val="0"/>
                <w:sz w:val="20"/>
                <w:szCs w:val="20"/>
              </w:rPr>
            </w:pPr>
            <w:r>
              <w:rPr>
                <w:rFonts w:ascii="黑体" w:eastAsia="黑体" w:hAnsi="黑体"/>
                <w:kern w:val="0"/>
                <w:sz w:val="20"/>
                <w:szCs w:val="20"/>
              </w:rPr>
              <w:t>E0225</w:t>
            </w:r>
          </w:p>
        </w:tc>
        <w:tc>
          <w:tcPr>
            <w:tcW w:w="1560" w:type="dxa"/>
            <w:tcBorders>
              <w:top w:val="single" w:sz="4" w:space="0" w:color="auto"/>
              <w:left w:val="single" w:sz="4" w:space="0" w:color="auto"/>
              <w:bottom w:val="single" w:sz="4" w:space="0" w:color="auto"/>
              <w:right w:val="single" w:sz="4" w:space="0" w:color="auto"/>
            </w:tcBorders>
          </w:tcPr>
          <w:p w14:paraId="147C075C" w14:textId="77777777" w:rsidR="00A052DC" w:rsidRDefault="009F0A60">
            <w:pPr>
              <w:rPr>
                <w:rFonts w:ascii="黑体" w:eastAsia="黑体" w:hAnsi="黑体"/>
                <w:kern w:val="0"/>
                <w:sz w:val="20"/>
                <w:szCs w:val="20"/>
              </w:rPr>
            </w:pPr>
            <w:r>
              <w:rPr>
                <w:rFonts w:ascii="黑体" w:eastAsia="黑体" w:hAnsi="黑体"/>
                <w:kern w:val="0"/>
                <w:sz w:val="20"/>
                <w:szCs w:val="20"/>
              </w:rPr>
              <w:t>非居民雇员报酬</w:t>
            </w:r>
          </w:p>
        </w:tc>
        <w:tc>
          <w:tcPr>
            <w:tcW w:w="1701" w:type="dxa"/>
            <w:tcBorders>
              <w:top w:val="single" w:sz="4" w:space="0" w:color="auto"/>
              <w:left w:val="single" w:sz="4" w:space="0" w:color="auto"/>
              <w:bottom w:val="single" w:sz="4" w:space="0" w:color="auto"/>
              <w:right w:val="single" w:sz="4" w:space="0" w:color="auto"/>
            </w:tcBorders>
          </w:tcPr>
          <w:p w14:paraId="753319B1" w14:textId="77777777" w:rsidR="00A052DC" w:rsidRDefault="009F0A60">
            <w:pPr>
              <w:rPr>
                <w:rFonts w:ascii="黑体" w:eastAsia="黑体" w:hAnsi="黑体"/>
                <w:kern w:val="0"/>
                <w:sz w:val="20"/>
                <w:szCs w:val="20"/>
              </w:rPr>
            </w:pPr>
            <w:r>
              <w:rPr>
                <w:rFonts w:ascii="黑体" w:eastAsia="黑体" w:hAnsi="黑体" w:hint="eastAsia"/>
                <w:kern w:val="0"/>
                <w:sz w:val="20"/>
                <w:szCs w:val="20"/>
              </w:rPr>
              <w:t>数值型，</w:t>
            </w:r>
            <w:r>
              <w:rPr>
                <w:rFonts w:ascii="黑体" w:eastAsia="黑体" w:hAnsi="黑体"/>
                <w:kern w:val="0"/>
                <w:sz w:val="20"/>
                <w:szCs w:val="20"/>
              </w:rPr>
              <w:t>22.2</w:t>
            </w:r>
          </w:p>
        </w:tc>
        <w:tc>
          <w:tcPr>
            <w:tcW w:w="3543" w:type="dxa"/>
            <w:tcBorders>
              <w:top w:val="single" w:sz="4" w:space="0" w:color="auto"/>
              <w:left w:val="single" w:sz="4" w:space="0" w:color="auto"/>
              <w:bottom w:val="single" w:sz="4" w:space="0" w:color="auto"/>
              <w:right w:val="single" w:sz="4" w:space="0" w:color="auto"/>
            </w:tcBorders>
          </w:tcPr>
          <w:p w14:paraId="446D8583" w14:textId="77777777" w:rsidR="00A052DC" w:rsidRDefault="009F0A60">
            <w:pPr>
              <w:rPr>
                <w:rFonts w:ascii="黑体" w:eastAsia="黑体" w:hAnsi="黑体"/>
                <w:kern w:val="0"/>
                <w:sz w:val="20"/>
                <w:szCs w:val="20"/>
              </w:rPr>
            </w:pPr>
            <w:r>
              <w:rPr>
                <w:rFonts w:ascii="黑体" w:eastAsia="黑体" w:hAnsi="黑体" w:hint="eastAsia"/>
                <w:kern w:val="0"/>
                <w:sz w:val="20"/>
                <w:szCs w:val="20"/>
              </w:rPr>
              <w:t>必填项。</w:t>
            </w:r>
          </w:p>
        </w:tc>
      </w:tr>
      <w:tr w:rsidR="00A052DC" w14:paraId="06CDDBF8" w14:textId="77777777">
        <w:tc>
          <w:tcPr>
            <w:tcW w:w="1843" w:type="dxa"/>
            <w:tcBorders>
              <w:top w:val="single" w:sz="4" w:space="0" w:color="auto"/>
              <w:left w:val="single" w:sz="4" w:space="0" w:color="auto"/>
              <w:bottom w:val="single" w:sz="4" w:space="0" w:color="auto"/>
              <w:right w:val="single" w:sz="4" w:space="0" w:color="auto"/>
            </w:tcBorders>
          </w:tcPr>
          <w:p w14:paraId="1837EB30" w14:textId="77777777" w:rsidR="00A052DC" w:rsidRDefault="009F0A60">
            <w:pPr>
              <w:rPr>
                <w:rFonts w:ascii="黑体" w:eastAsia="黑体" w:hAnsi="黑体"/>
                <w:kern w:val="0"/>
                <w:sz w:val="20"/>
                <w:szCs w:val="20"/>
              </w:rPr>
            </w:pPr>
            <w:r>
              <w:rPr>
                <w:rFonts w:ascii="黑体" w:eastAsia="黑体" w:hAnsi="黑体"/>
                <w:kern w:val="0"/>
                <w:sz w:val="20"/>
                <w:szCs w:val="20"/>
              </w:rPr>
              <w:t>E0226</w:t>
            </w:r>
          </w:p>
        </w:tc>
        <w:tc>
          <w:tcPr>
            <w:tcW w:w="1560" w:type="dxa"/>
            <w:tcBorders>
              <w:top w:val="single" w:sz="4" w:space="0" w:color="auto"/>
              <w:left w:val="single" w:sz="4" w:space="0" w:color="auto"/>
              <w:bottom w:val="single" w:sz="4" w:space="0" w:color="auto"/>
              <w:right w:val="single" w:sz="4" w:space="0" w:color="auto"/>
            </w:tcBorders>
          </w:tcPr>
          <w:p w14:paraId="34464E8E" w14:textId="77777777" w:rsidR="00A052DC" w:rsidRDefault="009F0A60">
            <w:pPr>
              <w:rPr>
                <w:rFonts w:ascii="黑体" w:eastAsia="黑体" w:hAnsi="黑体"/>
                <w:kern w:val="0"/>
                <w:sz w:val="20"/>
                <w:szCs w:val="20"/>
              </w:rPr>
            </w:pPr>
            <w:r>
              <w:rPr>
                <w:rFonts w:ascii="黑体" w:eastAsia="黑体" w:hAnsi="黑体" w:cs="黑体" w:hint="eastAsia"/>
                <w:bCs/>
                <w:kern w:val="0"/>
                <w:sz w:val="20"/>
                <w:szCs w:val="20"/>
              </w:rPr>
              <w:t>对境外其他成本金额</w:t>
            </w:r>
          </w:p>
        </w:tc>
        <w:tc>
          <w:tcPr>
            <w:tcW w:w="1701" w:type="dxa"/>
            <w:tcBorders>
              <w:top w:val="single" w:sz="4" w:space="0" w:color="auto"/>
              <w:left w:val="single" w:sz="4" w:space="0" w:color="auto"/>
              <w:bottom w:val="single" w:sz="4" w:space="0" w:color="auto"/>
              <w:right w:val="single" w:sz="4" w:space="0" w:color="auto"/>
            </w:tcBorders>
          </w:tcPr>
          <w:p w14:paraId="08406752" w14:textId="77777777" w:rsidR="00A052DC" w:rsidRDefault="009F0A60">
            <w:pPr>
              <w:rPr>
                <w:rFonts w:ascii="黑体" w:eastAsia="黑体" w:hAnsi="黑体"/>
                <w:kern w:val="0"/>
                <w:sz w:val="20"/>
                <w:szCs w:val="20"/>
              </w:rPr>
            </w:pPr>
            <w:r>
              <w:rPr>
                <w:rFonts w:ascii="黑体" w:eastAsia="黑体" w:hAnsi="黑体" w:hint="eastAsia"/>
                <w:kern w:val="0"/>
                <w:sz w:val="20"/>
                <w:szCs w:val="20"/>
              </w:rPr>
              <w:t>数值型，</w:t>
            </w:r>
            <w:r>
              <w:rPr>
                <w:rFonts w:ascii="黑体" w:eastAsia="黑体" w:hAnsi="黑体"/>
                <w:kern w:val="0"/>
                <w:sz w:val="20"/>
                <w:szCs w:val="20"/>
              </w:rPr>
              <w:t>22.2</w:t>
            </w:r>
          </w:p>
        </w:tc>
        <w:tc>
          <w:tcPr>
            <w:tcW w:w="3543" w:type="dxa"/>
            <w:tcBorders>
              <w:top w:val="single" w:sz="4" w:space="0" w:color="auto"/>
              <w:left w:val="single" w:sz="4" w:space="0" w:color="auto"/>
              <w:bottom w:val="single" w:sz="4" w:space="0" w:color="auto"/>
              <w:right w:val="single" w:sz="4" w:space="0" w:color="auto"/>
            </w:tcBorders>
          </w:tcPr>
          <w:p w14:paraId="29C85E14" w14:textId="77777777" w:rsidR="00A052DC" w:rsidRDefault="009F0A60">
            <w:pPr>
              <w:rPr>
                <w:rFonts w:ascii="黑体" w:eastAsia="黑体" w:hAnsi="黑体"/>
                <w:kern w:val="0"/>
                <w:sz w:val="20"/>
                <w:szCs w:val="20"/>
              </w:rPr>
            </w:pPr>
            <w:r>
              <w:rPr>
                <w:rFonts w:ascii="黑体" w:eastAsia="黑体" w:hAnsi="黑体" w:hint="eastAsia"/>
                <w:kern w:val="0"/>
                <w:sz w:val="20"/>
                <w:szCs w:val="20"/>
              </w:rPr>
              <w:t>必填项。</w:t>
            </w:r>
          </w:p>
        </w:tc>
      </w:tr>
      <w:tr w:rsidR="00A052DC" w14:paraId="0D6A61E2" w14:textId="77777777">
        <w:tc>
          <w:tcPr>
            <w:tcW w:w="1843" w:type="dxa"/>
            <w:tcBorders>
              <w:top w:val="single" w:sz="4" w:space="0" w:color="auto"/>
              <w:left w:val="single" w:sz="4" w:space="0" w:color="auto"/>
              <w:bottom w:val="single" w:sz="4" w:space="0" w:color="auto"/>
              <w:right w:val="single" w:sz="4" w:space="0" w:color="auto"/>
            </w:tcBorders>
          </w:tcPr>
          <w:p w14:paraId="227C5D23" w14:textId="77777777" w:rsidR="00A052DC" w:rsidRDefault="009F0A60">
            <w:pPr>
              <w:rPr>
                <w:rFonts w:ascii="黑体" w:eastAsia="黑体" w:hAnsi="黑体"/>
                <w:kern w:val="0"/>
                <w:sz w:val="20"/>
                <w:szCs w:val="20"/>
              </w:rPr>
            </w:pPr>
            <w:r>
              <w:rPr>
                <w:rFonts w:ascii="黑体" w:eastAsia="黑体" w:hAnsi="黑体"/>
                <w:kern w:val="0"/>
                <w:sz w:val="20"/>
                <w:szCs w:val="20"/>
              </w:rPr>
              <w:t>E0227</w:t>
            </w:r>
          </w:p>
        </w:tc>
        <w:tc>
          <w:tcPr>
            <w:tcW w:w="1560" w:type="dxa"/>
            <w:tcBorders>
              <w:top w:val="single" w:sz="4" w:space="0" w:color="auto"/>
              <w:left w:val="single" w:sz="4" w:space="0" w:color="auto"/>
              <w:bottom w:val="single" w:sz="4" w:space="0" w:color="auto"/>
              <w:right w:val="single" w:sz="4" w:space="0" w:color="auto"/>
            </w:tcBorders>
          </w:tcPr>
          <w:p w14:paraId="180DC95B" w14:textId="77777777" w:rsidR="00A052DC" w:rsidRDefault="009F0A60">
            <w:pPr>
              <w:rPr>
                <w:rFonts w:ascii="黑体" w:eastAsia="黑体" w:hAnsi="黑体"/>
                <w:kern w:val="0"/>
                <w:sz w:val="20"/>
                <w:szCs w:val="20"/>
              </w:rPr>
            </w:pPr>
            <w:r>
              <w:rPr>
                <w:rFonts w:ascii="黑体" w:eastAsia="黑体" w:hAnsi="黑体" w:cs="黑体" w:hint="eastAsia"/>
                <w:bCs/>
                <w:kern w:val="0"/>
                <w:sz w:val="20"/>
                <w:szCs w:val="20"/>
              </w:rPr>
              <w:t>本月计提境外税金</w:t>
            </w:r>
          </w:p>
        </w:tc>
        <w:tc>
          <w:tcPr>
            <w:tcW w:w="1701" w:type="dxa"/>
            <w:tcBorders>
              <w:top w:val="single" w:sz="4" w:space="0" w:color="auto"/>
              <w:left w:val="single" w:sz="4" w:space="0" w:color="auto"/>
              <w:bottom w:val="single" w:sz="4" w:space="0" w:color="auto"/>
              <w:right w:val="single" w:sz="4" w:space="0" w:color="auto"/>
            </w:tcBorders>
          </w:tcPr>
          <w:p w14:paraId="63F26007" w14:textId="77777777" w:rsidR="00A052DC" w:rsidRDefault="009F0A60">
            <w:pPr>
              <w:rPr>
                <w:rFonts w:ascii="黑体" w:eastAsia="黑体" w:hAnsi="黑体"/>
                <w:kern w:val="0"/>
                <w:sz w:val="20"/>
                <w:szCs w:val="20"/>
              </w:rPr>
            </w:pPr>
            <w:r>
              <w:rPr>
                <w:rFonts w:ascii="黑体" w:eastAsia="黑体" w:hAnsi="黑体" w:hint="eastAsia"/>
                <w:kern w:val="0"/>
                <w:sz w:val="20"/>
                <w:szCs w:val="20"/>
              </w:rPr>
              <w:t>数值型，</w:t>
            </w:r>
            <w:r>
              <w:rPr>
                <w:rFonts w:ascii="黑体" w:eastAsia="黑体" w:hAnsi="黑体"/>
                <w:kern w:val="0"/>
                <w:sz w:val="20"/>
                <w:szCs w:val="20"/>
              </w:rPr>
              <w:t>22.2</w:t>
            </w:r>
          </w:p>
        </w:tc>
        <w:tc>
          <w:tcPr>
            <w:tcW w:w="3543" w:type="dxa"/>
            <w:tcBorders>
              <w:top w:val="single" w:sz="4" w:space="0" w:color="auto"/>
              <w:left w:val="single" w:sz="4" w:space="0" w:color="auto"/>
              <w:bottom w:val="single" w:sz="4" w:space="0" w:color="auto"/>
              <w:right w:val="single" w:sz="4" w:space="0" w:color="auto"/>
            </w:tcBorders>
          </w:tcPr>
          <w:p w14:paraId="645AE0AE" w14:textId="77777777" w:rsidR="00A052DC" w:rsidRDefault="009F0A60">
            <w:pPr>
              <w:rPr>
                <w:rFonts w:ascii="黑体" w:eastAsia="黑体" w:hAnsi="黑体"/>
                <w:kern w:val="0"/>
                <w:sz w:val="20"/>
                <w:szCs w:val="20"/>
              </w:rPr>
            </w:pPr>
            <w:r>
              <w:rPr>
                <w:rFonts w:ascii="黑体" w:eastAsia="黑体" w:hAnsi="黑体" w:hint="eastAsia"/>
                <w:kern w:val="0"/>
                <w:sz w:val="20"/>
                <w:szCs w:val="20"/>
              </w:rPr>
              <w:t>必填项。</w:t>
            </w:r>
          </w:p>
        </w:tc>
      </w:tr>
      <w:tr w:rsidR="00A052DC" w14:paraId="243D7E08" w14:textId="77777777">
        <w:tc>
          <w:tcPr>
            <w:tcW w:w="1843" w:type="dxa"/>
            <w:tcBorders>
              <w:top w:val="single" w:sz="4" w:space="0" w:color="auto"/>
              <w:left w:val="single" w:sz="4" w:space="0" w:color="auto"/>
              <w:bottom w:val="single" w:sz="4" w:space="0" w:color="auto"/>
              <w:right w:val="single" w:sz="4" w:space="0" w:color="auto"/>
            </w:tcBorders>
          </w:tcPr>
          <w:p w14:paraId="4539D971" w14:textId="77777777" w:rsidR="00A052DC" w:rsidRDefault="009F0A60">
            <w:pPr>
              <w:rPr>
                <w:rFonts w:ascii="黑体" w:eastAsia="黑体" w:hAnsi="黑体"/>
                <w:kern w:val="0"/>
                <w:sz w:val="20"/>
                <w:szCs w:val="20"/>
              </w:rPr>
            </w:pPr>
            <w:r>
              <w:rPr>
                <w:rFonts w:ascii="黑体" w:eastAsia="黑体" w:hAnsi="黑体"/>
                <w:kern w:val="0"/>
                <w:sz w:val="20"/>
                <w:szCs w:val="20"/>
              </w:rPr>
              <w:t>E0228</w:t>
            </w:r>
          </w:p>
        </w:tc>
        <w:tc>
          <w:tcPr>
            <w:tcW w:w="1560" w:type="dxa"/>
            <w:tcBorders>
              <w:top w:val="single" w:sz="4" w:space="0" w:color="auto"/>
              <w:left w:val="single" w:sz="4" w:space="0" w:color="auto"/>
              <w:bottom w:val="single" w:sz="4" w:space="0" w:color="auto"/>
              <w:right w:val="single" w:sz="4" w:space="0" w:color="auto"/>
            </w:tcBorders>
          </w:tcPr>
          <w:p w14:paraId="5757A2AF" w14:textId="77777777" w:rsidR="00A052DC" w:rsidRDefault="009F0A60">
            <w:pPr>
              <w:rPr>
                <w:rFonts w:ascii="黑体" w:eastAsia="黑体" w:hAnsi="黑体"/>
                <w:kern w:val="0"/>
                <w:sz w:val="20"/>
                <w:szCs w:val="20"/>
              </w:rPr>
            </w:pPr>
            <w:r>
              <w:rPr>
                <w:rFonts w:ascii="黑体" w:eastAsia="黑体" w:hAnsi="黑体" w:cs="黑体" w:hint="eastAsia"/>
                <w:bCs/>
                <w:kern w:val="0"/>
                <w:sz w:val="20"/>
                <w:szCs w:val="20"/>
              </w:rPr>
              <w:t>本月净利润</w:t>
            </w:r>
          </w:p>
        </w:tc>
        <w:tc>
          <w:tcPr>
            <w:tcW w:w="1701" w:type="dxa"/>
            <w:tcBorders>
              <w:top w:val="single" w:sz="4" w:space="0" w:color="auto"/>
              <w:left w:val="single" w:sz="4" w:space="0" w:color="auto"/>
              <w:bottom w:val="single" w:sz="4" w:space="0" w:color="auto"/>
              <w:right w:val="single" w:sz="4" w:space="0" w:color="auto"/>
            </w:tcBorders>
          </w:tcPr>
          <w:p w14:paraId="5808FD39" w14:textId="77777777" w:rsidR="00A052DC" w:rsidRDefault="009F0A60">
            <w:pPr>
              <w:rPr>
                <w:rFonts w:ascii="黑体" w:eastAsia="黑体" w:hAnsi="黑体"/>
                <w:kern w:val="0"/>
                <w:sz w:val="20"/>
                <w:szCs w:val="20"/>
              </w:rPr>
            </w:pPr>
            <w:r>
              <w:rPr>
                <w:rFonts w:ascii="黑体" w:eastAsia="黑体" w:hAnsi="黑体" w:hint="eastAsia"/>
                <w:kern w:val="0"/>
                <w:sz w:val="20"/>
                <w:szCs w:val="20"/>
              </w:rPr>
              <w:t>数值型，</w:t>
            </w:r>
            <w:r>
              <w:rPr>
                <w:rFonts w:ascii="黑体" w:eastAsia="黑体" w:hAnsi="黑体"/>
                <w:kern w:val="0"/>
                <w:sz w:val="20"/>
                <w:szCs w:val="20"/>
              </w:rPr>
              <w:t>22.2</w:t>
            </w:r>
          </w:p>
        </w:tc>
        <w:tc>
          <w:tcPr>
            <w:tcW w:w="3543" w:type="dxa"/>
            <w:tcBorders>
              <w:top w:val="single" w:sz="4" w:space="0" w:color="auto"/>
              <w:left w:val="single" w:sz="4" w:space="0" w:color="auto"/>
              <w:bottom w:val="single" w:sz="4" w:space="0" w:color="auto"/>
              <w:right w:val="single" w:sz="4" w:space="0" w:color="auto"/>
            </w:tcBorders>
          </w:tcPr>
          <w:p w14:paraId="6BE751E4" w14:textId="77777777" w:rsidR="00A052DC" w:rsidRDefault="009F0A60">
            <w:pPr>
              <w:rPr>
                <w:rFonts w:ascii="黑体" w:eastAsia="黑体" w:hAnsi="黑体"/>
                <w:kern w:val="0"/>
                <w:sz w:val="20"/>
                <w:szCs w:val="20"/>
              </w:rPr>
            </w:pPr>
            <w:r>
              <w:rPr>
                <w:rFonts w:ascii="黑体" w:eastAsia="黑体" w:hAnsi="黑体" w:hint="eastAsia"/>
                <w:kern w:val="0"/>
                <w:sz w:val="20"/>
                <w:szCs w:val="20"/>
              </w:rPr>
              <w:t>必填项。</w:t>
            </w:r>
          </w:p>
        </w:tc>
      </w:tr>
      <w:tr w:rsidR="00A052DC" w14:paraId="60DAE3E0" w14:textId="77777777">
        <w:tc>
          <w:tcPr>
            <w:tcW w:w="1843" w:type="dxa"/>
            <w:tcBorders>
              <w:top w:val="single" w:sz="4" w:space="0" w:color="auto"/>
              <w:left w:val="single" w:sz="4" w:space="0" w:color="auto"/>
              <w:bottom w:val="single" w:sz="4" w:space="0" w:color="auto"/>
              <w:right w:val="single" w:sz="4" w:space="0" w:color="auto"/>
            </w:tcBorders>
          </w:tcPr>
          <w:p w14:paraId="6618C974" w14:textId="77777777" w:rsidR="00A052DC" w:rsidRDefault="009F0A60">
            <w:pPr>
              <w:rPr>
                <w:rFonts w:ascii="黑体" w:eastAsia="黑体" w:hAnsi="黑体"/>
                <w:kern w:val="0"/>
                <w:sz w:val="20"/>
                <w:szCs w:val="20"/>
              </w:rPr>
            </w:pPr>
            <w:r>
              <w:rPr>
                <w:rFonts w:ascii="黑体" w:eastAsia="黑体" w:hAnsi="黑体"/>
                <w:kern w:val="0"/>
                <w:sz w:val="20"/>
                <w:szCs w:val="20"/>
              </w:rPr>
              <w:t>REMARK</w:t>
            </w:r>
          </w:p>
        </w:tc>
        <w:tc>
          <w:tcPr>
            <w:tcW w:w="1560" w:type="dxa"/>
            <w:tcBorders>
              <w:top w:val="single" w:sz="4" w:space="0" w:color="auto"/>
              <w:left w:val="single" w:sz="4" w:space="0" w:color="auto"/>
              <w:bottom w:val="single" w:sz="4" w:space="0" w:color="auto"/>
              <w:right w:val="single" w:sz="4" w:space="0" w:color="auto"/>
            </w:tcBorders>
          </w:tcPr>
          <w:p w14:paraId="5FF54B18" w14:textId="77777777" w:rsidR="00A052DC" w:rsidRDefault="009F0A60">
            <w:pPr>
              <w:rPr>
                <w:rFonts w:ascii="黑体" w:eastAsia="黑体" w:hAnsi="黑体"/>
                <w:kern w:val="0"/>
                <w:sz w:val="20"/>
                <w:szCs w:val="20"/>
              </w:rPr>
            </w:pPr>
            <w:r>
              <w:rPr>
                <w:rFonts w:ascii="黑体" w:eastAsia="黑体" w:hAnsi="黑体" w:hint="eastAsia"/>
                <w:kern w:val="0"/>
                <w:sz w:val="20"/>
                <w:szCs w:val="20"/>
              </w:rPr>
              <w:t>备注</w:t>
            </w:r>
          </w:p>
        </w:tc>
        <w:tc>
          <w:tcPr>
            <w:tcW w:w="1701" w:type="dxa"/>
            <w:tcBorders>
              <w:top w:val="single" w:sz="4" w:space="0" w:color="auto"/>
              <w:left w:val="single" w:sz="4" w:space="0" w:color="auto"/>
              <w:bottom w:val="single" w:sz="4" w:space="0" w:color="auto"/>
              <w:right w:val="single" w:sz="4" w:space="0" w:color="auto"/>
            </w:tcBorders>
          </w:tcPr>
          <w:p w14:paraId="604EBD65" w14:textId="77777777" w:rsidR="00A052DC" w:rsidRDefault="009F0A60">
            <w:pPr>
              <w:rPr>
                <w:rFonts w:ascii="黑体" w:eastAsia="黑体" w:hAnsi="黑体"/>
                <w:kern w:val="0"/>
                <w:sz w:val="20"/>
                <w:szCs w:val="20"/>
              </w:rPr>
            </w:pPr>
            <w:r>
              <w:rPr>
                <w:rFonts w:ascii="黑体" w:eastAsia="黑体" w:hAnsi="黑体" w:hint="eastAsia"/>
                <w:kern w:val="0"/>
                <w:sz w:val="20"/>
                <w:szCs w:val="20"/>
              </w:rPr>
              <w:t>字符型，</w:t>
            </w:r>
            <w:r>
              <w:rPr>
                <w:rFonts w:ascii="黑体" w:eastAsia="黑体" w:hAnsi="黑体"/>
                <w:kern w:val="0"/>
                <w:sz w:val="20"/>
                <w:szCs w:val="20"/>
              </w:rPr>
              <w:t>256</w:t>
            </w:r>
          </w:p>
        </w:tc>
        <w:tc>
          <w:tcPr>
            <w:tcW w:w="3543" w:type="dxa"/>
            <w:tcBorders>
              <w:top w:val="single" w:sz="4" w:space="0" w:color="auto"/>
              <w:left w:val="single" w:sz="4" w:space="0" w:color="auto"/>
              <w:bottom w:val="single" w:sz="4" w:space="0" w:color="auto"/>
              <w:right w:val="single" w:sz="4" w:space="0" w:color="auto"/>
            </w:tcBorders>
          </w:tcPr>
          <w:p w14:paraId="47C4B830" w14:textId="77777777" w:rsidR="00A052DC" w:rsidRDefault="009F0A60">
            <w:pPr>
              <w:rPr>
                <w:rFonts w:ascii="黑体" w:eastAsia="黑体" w:hAnsi="黑体"/>
                <w:kern w:val="0"/>
                <w:sz w:val="20"/>
                <w:szCs w:val="20"/>
              </w:rPr>
            </w:pPr>
            <w:r>
              <w:rPr>
                <w:rFonts w:ascii="黑体" w:eastAsia="黑体" w:hAnsi="黑体" w:hint="eastAsia"/>
                <w:kern w:val="0"/>
                <w:sz w:val="20"/>
                <w:szCs w:val="20"/>
              </w:rPr>
              <w:t>非必填项。</w:t>
            </w:r>
          </w:p>
        </w:tc>
      </w:tr>
    </w:tbl>
    <w:p w14:paraId="4864EB6E" w14:textId="77777777" w:rsidR="00A052DC" w:rsidRDefault="009F0A60">
      <w:pPr>
        <w:pStyle w:val="3"/>
        <w:ind w:left="0"/>
        <w:rPr>
          <w:rFonts w:ascii="Times New Roman" w:hAnsi="Times New Roman"/>
        </w:rPr>
      </w:pPr>
      <w:bookmarkStart w:id="3588" w:name="_Toc91455329"/>
      <w:bookmarkStart w:id="3589" w:name="_Toc90625122"/>
      <w:bookmarkStart w:id="3590" w:name="_Toc101684502"/>
      <w:r>
        <w:rPr>
          <w:rFonts w:ascii="Times New Roman" w:hAnsi="Times New Roman" w:hint="eastAsia"/>
        </w:rPr>
        <w:t>E03</w:t>
      </w:r>
      <w:r>
        <w:rPr>
          <w:rFonts w:ascii="Times New Roman" w:hAnsi="Times New Roman" w:hint="eastAsia"/>
        </w:rPr>
        <w:t>表：运输收入统计表</w:t>
      </w:r>
      <w:bookmarkEnd w:id="3588"/>
      <w:bookmarkEnd w:id="3589"/>
      <w:bookmarkEnd w:id="3590"/>
    </w:p>
    <w:p w14:paraId="62A8B9BE" w14:textId="77777777" w:rsidR="00A052DC" w:rsidRDefault="009F0A60" w:rsidP="0020251D">
      <w:pPr>
        <w:pStyle w:val="4"/>
        <w:numPr>
          <w:ilvl w:val="3"/>
          <w:numId w:val="1"/>
        </w:numPr>
        <w:jc w:val="left"/>
      </w:pPr>
      <w:r>
        <w:rPr>
          <w:rFonts w:hint="eastAsia"/>
        </w:rPr>
        <w:t>数据术语解释</w:t>
      </w:r>
    </w:p>
    <w:tbl>
      <w:tblPr>
        <w:tblW w:w="861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78"/>
        <w:gridCol w:w="7035"/>
      </w:tblGrid>
      <w:tr w:rsidR="00A052DC" w14:paraId="0B5C9911" w14:textId="77777777">
        <w:tc>
          <w:tcPr>
            <w:tcW w:w="1578" w:type="dxa"/>
          </w:tcPr>
          <w:p w14:paraId="7DEAA59B" w14:textId="77777777" w:rsidR="00A052DC" w:rsidRDefault="009F0A60">
            <w:pPr>
              <w:jc w:val="center"/>
              <w:rPr>
                <w:rFonts w:ascii="黑体" w:eastAsia="黑体" w:hAnsi="黑体"/>
                <w:b/>
                <w:sz w:val="20"/>
                <w:szCs w:val="20"/>
              </w:rPr>
            </w:pPr>
            <w:r>
              <w:rPr>
                <w:rFonts w:ascii="黑体" w:eastAsia="黑体" w:hAnsi="黑体" w:hint="eastAsia"/>
                <w:b/>
                <w:sz w:val="20"/>
                <w:szCs w:val="20"/>
              </w:rPr>
              <w:t>基础数据项</w:t>
            </w:r>
          </w:p>
        </w:tc>
        <w:tc>
          <w:tcPr>
            <w:tcW w:w="7035" w:type="dxa"/>
          </w:tcPr>
          <w:p w14:paraId="2DE0279E" w14:textId="77777777" w:rsidR="00A052DC" w:rsidRDefault="009F0A60">
            <w:pPr>
              <w:jc w:val="center"/>
              <w:rPr>
                <w:rFonts w:ascii="黑体" w:eastAsia="黑体" w:hAnsi="黑体"/>
                <w:b/>
                <w:sz w:val="20"/>
                <w:szCs w:val="20"/>
              </w:rPr>
            </w:pPr>
            <w:r>
              <w:rPr>
                <w:rFonts w:ascii="黑体" w:eastAsia="黑体" w:hAnsi="黑体" w:hint="eastAsia"/>
                <w:b/>
                <w:sz w:val="20"/>
                <w:szCs w:val="20"/>
              </w:rPr>
              <w:t>定义</w:t>
            </w:r>
          </w:p>
        </w:tc>
      </w:tr>
      <w:tr w:rsidR="00A052DC" w14:paraId="6A5A1ABC" w14:textId="77777777">
        <w:tc>
          <w:tcPr>
            <w:tcW w:w="1578" w:type="dxa"/>
          </w:tcPr>
          <w:p w14:paraId="7A68CB48" w14:textId="77777777" w:rsidR="00A052DC" w:rsidRDefault="009F0A60">
            <w:pPr>
              <w:jc w:val="left"/>
              <w:rPr>
                <w:rFonts w:ascii="黑体" w:eastAsia="黑体" w:hAnsi="黑体" w:cs="宋体"/>
                <w:bCs/>
                <w:kern w:val="0"/>
                <w:sz w:val="20"/>
                <w:szCs w:val="20"/>
              </w:rPr>
            </w:pPr>
            <w:r>
              <w:rPr>
                <w:rFonts w:ascii="黑体" w:eastAsia="黑体" w:hAnsi="黑体" w:cs="宋体" w:hint="eastAsia"/>
                <w:bCs/>
                <w:kern w:val="0"/>
                <w:sz w:val="20"/>
                <w:szCs w:val="20"/>
              </w:rPr>
              <w:t>数据自编码</w:t>
            </w:r>
          </w:p>
        </w:tc>
        <w:tc>
          <w:tcPr>
            <w:tcW w:w="7035" w:type="dxa"/>
          </w:tcPr>
          <w:p w14:paraId="214B8C82" w14:textId="77777777" w:rsidR="00A052DC" w:rsidRDefault="009F0A60">
            <w:pPr>
              <w:jc w:val="left"/>
              <w:rPr>
                <w:rFonts w:ascii="黑体" w:eastAsia="黑体" w:hAnsi="黑体" w:cs="宋体"/>
                <w:bCs/>
                <w:kern w:val="0"/>
                <w:sz w:val="20"/>
                <w:szCs w:val="20"/>
              </w:rPr>
            </w:pPr>
            <w:r>
              <w:rPr>
                <w:rFonts w:ascii="黑体" w:eastAsia="黑体" w:hAnsi="黑体" w:cs="宋体" w:hint="eastAsia"/>
                <w:bCs/>
                <w:kern w:val="0"/>
                <w:sz w:val="20"/>
                <w:szCs w:val="20"/>
              </w:rPr>
              <w:t>该编码用于标识金融机构报送的每一条数据，按给定规则编码，便于进行增删改查等操作。建议规则：机构代码（</w:t>
            </w:r>
            <w:r>
              <w:rPr>
                <w:rFonts w:ascii="黑体" w:eastAsia="黑体" w:hAnsi="黑体" w:cs="宋体"/>
                <w:bCs/>
                <w:kern w:val="0"/>
                <w:sz w:val="20"/>
                <w:szCs w:val="20"/>
              </w:rPr>
              <w:t>18</w:t>
            </w:r>
            <w:r>
              <w:rPr>
                <w:rFonts w:ascii="黑体" w:eastAsia="黑体" w:hAnsi="黑体" w:cs="宋体" w:hint="eastAsia"/>
                <w:bCs/>
                <w:kern w:val="0"/>
                <w:sz w:val="20"/>
                <w:szCs w:val="20"/>
              </w:rPr>
              <w:t>位，不足</w:t>
            </w:r>
            <w:r>
              <w:rPr>
                <w:rFonts w:ascii="黑体" w:eastAsia="黑体" w:hAnsi="黑体" w:cs="宋体"/>
                <w:bCs/>
                <w:kern w:val="0"/>
                <w:sz w:val="20"/>
                <w:szCs w:val="20"/>
              </w:rPr>
              <w:t>18</w:t>
            </w:r>
            <w:r>
              <w:rPr>
                <w:rFonts w:ascii="黑体" w:eastAsia="黑体" w:hAnsi="黑体" w:cs="宋体" w:hint="eastAsia"/>
                <w:bCs/>
                <w:kern w:val="0"/>
                <w:sz w:val="20"/>
                <w:szCs w:val="20"/>
              </w:rPr>
              <w:t>位补</w:t>
            </w:r>
            <w:r>
              <w:rPr>
                <w:rFonts w:ascii="黑体" w:eastAsia="黑体" w:hAnsi="黑体" w:cs="宋体"/>
                <w:bCs/>
                <w:kern w:val="0"/>
                <w:sz w:val="20"/>
                <w:szCs w:val="20"/>
              </w:rPr>
              <w:t>a）+报表代码（5位，不足5位补a）+报送期（6位）+顺序号（7位，从0000001开始增加）。</w:t>
            </w:r>
          </w:p>
        </w:tc>
      </w:tr>
      <w:tr w:rsidR="00A052DC" w14:paraId="46731C82" w14:textId="77777777">
        <w:tc>
          <w:tcPr>
            <w:tcW w:w="1578" w:type="dxa"/>
          </w:tcPr>
          <w:p w14:paraId="1DC09164" w14:textId="77777777" w:rsidR="00A052DC" w:rsidRDefault="009F0A60">
            <w:pPr>
              <w:jc w:val="left"/>
              <w:rPr>
                <w:rFonts w:ascii="黑体" w:eastAsia="黑体" w:hAnsi="黑体" w:cs="宋体"/>
                <w:bCs/>
                <w:kern w:val="0"/>
                <w:sz w:val="20"/>
                <w:szCs w:val="20"/>
              </w:rPr>
            </w:pPr>
            <w:r>
              <w:rPr>
                <w:rFonts w:ascii="黑体" w:eastAsia="黑体" w:hAnsi="黑体" w:cs="宋体" w:hint="eastAsia"/>
                <w:bCs/>
                <w:kern w:val="0"/>
                <w:sz w:val="20"/>
                <w:szCs w:val="20"/>
              </w:rPr>
              <w:t>申报主体代码</w:t>
            </w:r>
          </w:p>
        </w:tc>
        <w:tc>
          <w:tcPr>
            <w:tcW w:w="7035" w:type="dxa"/>
          </w:tcPr>
          <w:p w14:paraId="7F965CCD" w14:textId="77777777" w:rsidR="00A052DC" w:rsidRDefault="009F0A60">
            <w:pPr>
              <w:jc w:val="left"/>
              <w:rPr>
                <w:rFonts w:ascii="黑体" w:eastAsia="黑体" w:hAnsi="黑体" w:cs="宋体"/>
                <w:bCs/>
                <w:kern w:val="0"/>
                <w:sz w:val="20"/>
                <w:szCs w:val="20"/>
              </w:rPr>
            </w:pPr>
            <w:r>
              <w:rPr>
                <w:rFonts w:ascii="黑体" w:eastAsia="黑体" w:hAnsi="黑体" w:cs="宋体" w:hint="eastAsia"/>
                <w:bCs/>
                <w:kern w:val="0"/>
                <w:sz w:val="20"/>
                <w:szCs w:val="20"/>
              </w:rPr>
              <w:t>申报主体的</w:t>
            </w:r>
            <w:r>
              <w:rPr>
                <w:rFonts w:ascii="黑体" w:eastAsia="黑体" w:hAnsi="黑体" w:cs="宋体"/>
                <w:bCs/>
                <w:kern w:val="0"/>
                <w:sz w:val="20"/>
                <w:szCs w:val="20"/>
              </w:rPr>
              <w:t>12位金融机构标识码，如果没有金融机构标识码，则填报统一社会信用代码法定载体（如营业执照）上</w:t>
            </w:r>
            <w:r>
              <w:rPr>
                <w:rFonts w:ascii="黑体" w:eastAsia="黑体" w:hAnsi="黑体" w:cs="宋体" w:hint="eastAsia"/>
                <w:bCs/>
                <w:kern w:val="0"/>
                <w:sz w:val="20"/>
                <w:szCs w:val="20"/>
              </w:rPr>
              <w:t>统一社会信用代码中的第</w:t>
            </w:r>
            <w:r>
              <w:rPr>
                <w:rFonts w:ascii="黑体" w:eastAsia="黑体" w:hAnsi="黑体" w:cs="宋体"/>
                <w:bCs/>
                <w:kern w:val="0"/>
                <w:sz w:val="20"/>
                <w:szCs w:val="20"/>
              </w:rPr>
              <w:t>9至17位或国家外汇管理局及其分支局签发的特殊机构代码赋码通知书上的机构代码、个人身份</w:t>
            </w:r>
            <w:r>
              <w:rPr>
                <w:rFonts w:ascii="黑体" w:eastAsia="黑体" w:hAnsi="黑体" w:cs="宋体" w:hint="eastAsia"/>
                <w:bCs/>
                <w:kern w:val="0"/>
                <w:sz w:val="20"/>
                <w:szCs w:val="20"/>
              </w:rPr>
              <w:t>代</w:t>
            </w:r>
            <w:r>
              <w:rPr>
                <w:rFonts w:ascii="黑体" w:eastAsia="黑体" w:hAnsi="黑体" w:cs="宋体"/>
                <w:bCs/>
                <w:kern w:val="0"/>
                <w:sz w:val="20"/>
                <w:szCs w:val="20"/>
              </w:rPr>
              <w:t>码。</w:t>
            </w:r>
          </w:p>
        </w:tc>
      </w:tr>
      <w:tr w:rsidR="00A052DC" w14:paraId="76B9C8A8" w14:textId="77777777">
        <w:tc>
          <w:tcPr>
            <w:tcW w:w="1578" w:type="dxa"/>
          </w:tcPr>
          <w:p w14:paraId="491980C4" w14:textId="77777777" w:rsidR="00A052DC" w:rsidRDefault="009F0A60">
            <w:pPr>
              <w:jc w:val="left"/>
              <w:rPr>
                <w:rFonts w:ascii="黑体" w:eastAsia="黑体" w:hAnsi="黑体" w:cs="宋体"/>
                <w:bCs/>
                <w:kern w:val="0"/>
                <w:sz w:val="20"/>
                <w:szCs w:val="20"/>
              </w:rPr>
            </w:pPr>
            <w:r>
              <w:rPr>
                <w:rFonts w:ascii="黑体" w:eastAsia="黑体" w:hAnsi="黑体" w:cs="宋体" w:hint="eastAsia"/>
                <w:bCs/>
                <w:kern w:val="0"/>
                <w:sz w:val="20"/>
                <w:szCs w:val="20"/>
              </w:rPr>
              <w:t>报告期</w:t>
            </w:r>
          </w:p>
        </w:tc>
        <w:tc>
          <w:tcPr>
            <w:tcW w:w="7035" w:type="dxa"/>
          </w:tcPr>
          <w:p w14:paraId="726DBB5D" w14:textId="77777777" w:rsidR="00A052DC" w:rsidRDefault="009F0A60">
            <w:pPr>
              <w:jc w:val="left"/>
              <w:rPr>
                <w:rFonts w:ascii="黑体" w:eastAsia="黑体" w:hAnsi="黑体" w:cs="宋体"/>
                <w:bCs/>
                <w:kern w:val="0"/>
                <w:sz w:val="20"/>
                <w:szCs w:val="20"/>
              </w:rPr>
            </w:pPr>
            <w:r>
              <w:rPr>
                <w:rFonts w:ascii="黑体" w:eastAsia="黑体" w:hAnsi="黑体" w:cs="宋体" w:hint="eastAsia"/>
                <w:bCs/>
                <w:kern w:val="0"/>
                <w:sz w:val="20"/>
                <w:szCs w:val="20"/>
              </w:rPr>
              <w:t>业务发生月份，格式为</w:t>
            </w:r>
            <w:r>
              <w:rPr>
                <w:rFonts w:ascii="黑体" w:eastAsia="黑体" w:hAnsi="黑体" w:cs="宋体"/>
                <w:bCs/>
                <w:kern w:val="0"/>
                <w:sz w:val="20"/>
                <w:szCs w:val="20"/>
              </w:rPr>
              <w:t>YYYYMM。</w:t>
            </w:r>
          </w:p>
        </w:tc>
      </w:tr>
      <w:tr w:rsidR="00A052DC" w14:paraId="1BFF2BE2" w14:textId="77777777">
        <w:tc>
          <w:tcPr>
            <w:tcW w:w="1578" w:type="dxa"/>
            <w:vAlign w:val="center"/>
          </w:tcPr>
          <w:p w14:paraId="5053C832" w14:textId="77777777" w:rsidR="00A052DC" w:rsidRDefault="009F0A60">
            <w:pPr>
              <w:jc w:val="left"/>
              <w:rPr>
                <w:rFonts w:ascii="黑体" w:eastAsia="黑体" w:hAnsi="黑体" w:cs="宋体"/>
                <w:bCs/>
                <w:kern w:val="0"/>
                <w:sz w:val="20"/>
                <w:szCs w:val="20"/>
              </w:rPr>
            </w:pPr>
            <w:r>
              <w:rPr>
                <w:rFonts w:ascii="黑体" w:eastAsia="黑体" w:hAnsi="黑体" w:cs="宋体" w:hint="eastAsia"/>
                <w:bCs/>
                <w:kern w:val="0"/>
                <w:sz w:val="20"/>
                <w:szCs w:val="20"/>
              </w:rPr>
              <w:t>运输方式</w:t>
            </w:r>
          </w:p>
        </w:tc>
        <w:tc>
          <w:tcPr>
            <w:tcW w:w="7035" w:type="dxa"/>
          </w:tcPr>
          <w:p w14:paraId="3934070C" w14:textId="77777777" w:rsidR="00A052DC" w:rsidRDefault="009F0A60">
            <w:pPr>
              <w:rPr>
                <w:rFonts w:ascii="黑体" w:eastAsia="黑体" w:hAnsi="黑体"/>
                <w:sz w:val="20"/>
                <w:szCs w:val="20"/>
              </w:rPr>
            </w:pPr>
            <w:r>
              <w:rPr>
                <w:rFonts w:ascii="黑体" w:eastAsia="黑体" w:hAnsi="黑体" w:cs="黑体" w:hint="eastAsia"/>
                <w:sz w:val="20"/>
                <w:szCs w:val="20"/>
              </w:rPr>
              <w:t>运输是指将人员或物体从一地点运送至另一地点的过程中提供的服务，按以下</w:t>
            </w:r>
            <w:r>
              <w:rPr>
                <w:rFonts w:ascii="黑体" w:eastAsia="黑体" w:hAnsi="黑体" w:cs="黑体"/>
                <w:sz w:val="20"/>
                <w:szCs w:val="20"/>
              </w:rPr>
              <w:t>6种方式填列：1-</w:t>
            </w:r>
            <w:r>
              <w:rPr>
                <w:rFonts w:ascii="黑体" w:eastAsia="黑体" w:hAnsi="黑体" w:cs="黑体" w:hint="eastAsia"/>
                <w:sz w:val="20"/>
                <w:szCs w:val="20"/>
              </w:rPr>
              <w:t>海运；</w:t>
            </w:r>
            <w:r>
              <w:rPr>
                <w:rFonts w:ascii="黑体" w:eastAsia="黑体" w:hAnsi="黑体" w:cs="黑体"/>
                <w:sz w:val="20"/>
                <w:szCs w:val="20"/>
              </w:rPr>
              <w:t>2-</w:t>
            </w:r>
            <w:r>
              <w:rPr>
                <w:rFonts w:ascii="黑体" w:eastAsia="黑体" w:hAnsi="黑体" w:cs="黑体" w:hint="eastAsia"/>
                <w:sz w:val="20"/>
                <w:szCs w:val="20"/>
              </w:rPr>
              <w:t>空运；</w:t>
            </w:r>
            <w:r>
              <w:rPr>
                <w:rFonts w:ascii="黑体" w:eastAsia="黑体" w:hAnsi="黑体" w:cs="黑体"/>
                <w:sz w:val="20"/>
                <w:szCs w:val="20"/>
              </w:rPr>
              <w:t>3-</w:t>
            </w:r>
            <w:r>
              <w:rPr>
                <w:rFonts w:ascii="黑体" w:eastAsia="黑体" w:hAnsi="黑体" w:cs="黑体" w:hint="eastAsia"/>
                <w:sz w:val="20"/>
                <w:szCs w:val="20"/>
              </w:rPr>
              <w:t>铁路运输；</w:t>
            </w:r>
            <w:r>
              <w:rPr>
                <w:rFonts w:ascii="黑体" w:eastAsia="黑体" w:hAnsi="黑体" w:cs="黑体"/>
                <w:sz w:val="20"/>
                <w:szCs w:val="20"/>
              </w:rPr>
              <w:t>4-</w:t>
            </w:r>
            <w:r>
              <w:rPr>
                <w:rFonts w:ascii="黑体" w:eastAsia="黑体" w:hAnsi="黑体" w:cs="黑体" w:hint="eastAsia"/>
                <w:sz w:val="20"/>
                <w:szCs w:val="20"/>
              </w:rPr>
              <w:t>管道运输；</w:t>
            </w:r>
            <w:r>
              <w:rPr>
                <w:rFonts w:ascii="黑体" w:eastAsia="黑体" w:hAnsi="黑体" w:cs="黑体"/>
                <w:sz w:val="20"/>
                <w:szCs w:val="20"/>
              </w:rPr>
              <w:t>5-</w:t>
            </w:r>
            <w:r>
              <w:rPr>
                <w:rFonts w:ascii="黑体" w:eastAsia="黑体" w:hAnsi="黑体" w:cs="黑体" w:hint="eastAsia"/>
                <w:sz w:val="20"/>
                <w:szCs w:val="20"/>
              </w:rPr>
              <w:t>邮政和邮递；</w:t>
            </w:r>
            <w:r>
              <w:rPr>
                <w:rFonts w:ascii="黑体" w:eastAsia="黑体" w:hAnsi="黑体" w:cs="黑体"/>
                <w:sz w:val="20"/>
                <w:szCs w:val="20"/>
              </w:rPr>
              <w:t>6-</w:t>
            </w:r>
            <w:r>
              <w:rPr>
                <w:rFonts w:ascii="黑体" w:eastAsia="黑体" w:hAnsi="黑体" w:cs="黑体" w:hint="eastAsia"/>
                <w:sz w:val="20"/>
                <w:szCs w:val="20"/>
              </w:rPr>
              <w:t>其他（包括公路运输、内陆水运、空间运输、电力运输等）</w:t>
            </w:r>
            <w:r>
              <w:rPr>
                <w:rFonts w:ascii="黑体" w:eastAsia="黑体" w:hAnsi="黑体" w:hint="eastAsia"/>
                <w:sz w:val="20"/>
                <w:szCs w:val="20"/>
              </w:rPr>
              <w:t>。</w:t>
            </w:r>
          </w:p>
        </w:tc>
      </w:tr>
      <w:tr w:rsidR="00A052DC" w14:paraId="4777CB33" w14:textId="77777777">
        <w:tc>
          <w:tcPr>
            <w:tcW w:w="1578" w:type="dxa"/>
          </w:tcPr>
          <w:p w14:paraId="27432C62" w14:textId="77777777" w:rsidR="00A052DC" w:rsidRDefault="009F0A60">
            <w:pPr>
              <w:jc w:val="left"/>
              <w:rPr>
                <w:rFonts w:ascii="黑体" w:eastAsia="黑体" w:hAnsi="黑体"/>
                <w:sz w:val="20"/>
                <w:szCs w:val="20"/>
              </w:rPr>
            </w:pPr>
            <w:r>
              <w:rPr>
                <w:rFonts w:ascii="黑体" w:eastAsia="黑体" w:hAnsi="黑体" w:cs="宋体" w:hint="eastAsia"/>
                <w:bCs/>
                <w:kern w:val="0"/>
                <w:sz w:val="20"/>
                <w:szCs w:val="20"/>
              </w:rPr>
              <w:t>业务类型</w:t>
            </w:r>
          </w:p>
        </w:tc>
        <w:tc>
          <w:tcPr>
            <w:tcW w:w="7035" w:type="dxa"/>
          </w:tcPr>
          <w:p w14:paraId="570A76AE" w14:textId="77777777" w:rsidR="00A052DC" w:rsidRDefault="009F0A60">
            <w:pPr>
              <w:rPr>
                <w:rFonts w:ascii="黑体" w:eastAsia="黑体" w:hAnsi="黑体"/>
                <w:sz w:val="20"/>
                <w:szCs w:val="20"/>
              </w:rPr>
            </w:pPr>
            <w:r>
              <w:rPr>
                <w:rFonts w:ascii="黑体" w:eastAsia="黑体" w:hAnsi="黑体" w:cs="黑体" w:hint="eastAsia"/>
                <w:sz w:val="20"/>
                <w:szCs w:val="20"/>
              </w:rPr>
              <w:t>按以下四种情况填列：</w:t>
            </w:r>
            <w:r>
              <w:rPr>
                <w:rFonts w:ascii="黑体" w:eastAsia="黑体" w:hAnsi="黑体" w:cs="黑体"/>
                <w:sz w:val="20"/>
                <w:szCs w:val="20"/>
              </w:rPr>
              <w:t>1-</w:t>
            </w:r>
            <w:r>
              <w:rPr>
                <w:rFonts w:ascii="黑体" w:eastAsia="黑体" w:hAnsi="黑体" w:cs="黑体" w:hint="eastAsia"/>
                <w:sz w:val="20"/>
                <w:szCs w:val="20"/>
              </w:rPr>
              <w:t>客运；</w:t>
            </w:r>
            <w:r>
              <w:rPr>
                <w:rFonts w:ascii="黑体" w:eastAsia="黑体" w:hAnsi="黑体" w:cs="黑体"/>
                <w:sz w:val="20"/>
                <w:szCs w:val="20"/>
              </w:rPr>
              <w:t>2-</w:t>
            </w:r>
            <w:r>
              <w:rPr>
                <w:rFonts w:ascii="黑体" w:eastAsia="黑体" w:hAnsi="黑体" w:cs="黑体" w:hint="eastAsia"/>
                <w:sz w:val="20"/>
                <w:szCs w:val="20"/>
              </w:rPr>
              <w:t>货运，含带有工作人员的船舶和飞机出租（远洋运输的程租、期租业务以及航空运输的湿租业务）；</w:t>
            </w:r>
            <w:r>
              <w:rPr>
                <w:rFonts w:ascii="黑体" w:eastAsia="黑体" w:hAnsi="黑体" w:cs="黑体"/>
                <w:sz w:val="20"/>
                <w:szCs w:val="20"/>
              </w:rPr>
              <w:t>3-</w:t>
            </w:r>
            <w:r>
              <w:rPr>
                <w:rFonts w:ascii="黑体" w:eastAsia="黑体" w:hAnsi="黑体" w:cs="黑体" w:hint="eastAsia"/>
                <w:sz w:val="20"/>
                <w:szCs w:val="20"/>
              </w:rPr>
              <w:t>不带工作人员或操作员的相关设备经营租赁（如远洋运输的光租业务及航空运输的干租业务）；</w:t>
            </w:r>
            <w:r>
              <w:rPr>
                <w:rFonts w:ascii="黑体" w:eastAsia="黑体" w:hAnsi="黑体" w:cs="黑体"/>
                <w:sz w:val="20"/>
                <w:szCs w:val="20"/>
              </w:rPr>
              <w:t>4-</w:t>
            </w:r>
            <w:r>
              <w:rPr>
                <w:rFonts w:ascii="黑体" w:eastAsia="黑体" w:hAnsi="黑体" w:cs="黑体" w:hint="eastAsia"/>
                <w:sz w:val="20"/>
                <w:szCs w:val="20"/>
              </w:rPr>
              <w:t>运输附属服务（包括运输辅助服务、装卸搬运服务等）。</w:t>
            </w:r>
          </w:p>
        </w:tc>
      </w:tr>
      <w:tr w:rsidR="00A052DC" w14:paraId="5075FB42" w14:textId="77777777">
        <w:tc>
          <w:tcPr>
            <w:tcW w:w="1578" w:type="dxa"/>
          </w:tcPr>
          <w:p w14:paraId="59BB4322" w14:textId="77777777" w:rsidR="00A052DC" w:rsidRDefault="009F0A60">
            <w:pPr>
              <w:jc w:val="left"/>
              <w:rPr>
                <w:rFonts w:ascii="黑体" w:eastAsia="黑体" w:hAnsi="黑体"/>
                <w:sz w:val="20"/>
                <w:szCs w:val="20"/>
              </w:rPr>
            </w:pPr>
            <w:r>
              <w:rPr>
                <w:rFonts w:ascii="黑体" w:eastAsia="黑体" w:hAnsi="黑体" w:hint="eastAsia"/>
                <w:sz w:val="20"/>
                <w:szCs w:val="20"/>
              </w:rPr>
              <w:t>交易对手方所属国家/地区</w:t>
            </w:r>
          </w:p>
        </w:tc>
        <w:tc>
          <w:tcPr>
            <w:tcW w:w="7035" w:type="dxa"/>
          </w:tcPr>
          <w:p w14:paraId="000B66DE" w14:textId="77777777" w:rsidR="00A052DC" w:rsidRDefault="009F0A60">
            <w:pPr>
              <w:rPr>
                <w:rFonts w:ascii="黑体" w:eastAsia="黑体" w:hAnsi="黑体"/>
                <w:sz w:val="20"/>
                <w:szCs w:val="20"/>
              </w:rPr>
            </w:pPr>
            <w:r>
              <w:rPr>
                <w:rFonts w:ascii="黑体" w:eastAsia="黑体" w:hAnsi="黑体" w:cs="黑体" w:hint="eastAsia"/>
                <w:sz w:val="20"/>
                <w:szCs w:val="20"/>
              </w:rPr>
              <w:t>若业务类型选择为“</w:t>
            </w:r>
            <w:r>
              <w:rPr>
                <w:rFonts w:ascii="黑体" w:eastAsia="黑体" w:hAnsi="黑体" w:cs="黑体"/>
                <w:sz w:val="20"/>
                <w:szCs w:val="20"/>
              </w:rPr>
              <w:t>1-</w:t>
            </w:r>
            <w:r>
              <w:rPr>
                <w:rFonts w:ascii="黑体" w:eastAsia="黑体" w:hAnsi="黑体" w:cs="黑体" w:hint="eastAsia"/>
                <w:sz w:val="20"/>
                <w:szCs w:val="20"/>
              </w:rPr>
              <w:t>客运”，则本项目填写旅客护照、永久居留证或其他有效证件的国家</w:t>
            </w:r>
            <w:r>
              <w:rPr>
                <w:rFonts w:ascii="黑体" w:eastAsia="黑体" w:hAnsi="黑体" w:cs="黑体"/>
                <w:sz w:val="20"/>
                <w:szCs w:val="20"/>
              </w:rPr>
              <w:t>/地区代码；若业务类型为其他情况，则填写运输和/或租赁合约的对手方注册地所在国家或地区代码</w:t>
            </w:r>
            <w:r>
              <w:rPr>
                <w:rFonts w:ascii="黑体" w:eastAsia="黑体" w:hAnsi="黑体" w:hint="eastAsia"/>
                <w:sz w:val="20"/>
                <w:szCs w:val="20"/>
              </w:rPr>
              <w:t>。</w:t>
            </w:r>
          </w:p>
        </w:tc>
      </w:tr>
      <w:tr w:rsidR="00A052DC" w14:paraId="4D761549" w14:textId="77777777">
        <w:tc>
          <w:tcPr>
            <w:tcW w:w="1578" w:type="dxa"/>
          </w:tcPr>
          <w:p w14:paraId="5934FE0D" w14:textId="77777777" w:rsidR="00A052DC" w:rsidRDefault="009F0A60">
            <w:pPr>
              <w:jc w:val="left"/>
              <w:rPr>
                <w:rFonts w:ascii="黑体" w:eastAsia="黑体" w:hAnsi="黑体"/>
                <w:sz w:val="20"/>
                <w:szCs w:val="20"/>
              </w:rPr>
            </w:pPr>
            <w:r>
              <w:rPr>
                <w:rFonts w:ascii="黑体" w:eastAsia="黑体" w:hAnsi="黑体" w:hint="eastAsia"/>
                <w:sz w:val="20"/>
                <w:szCs w:val="20"/>
              </w:rPr>
              <w:t>出发地</w:t>
            </w:r>
            <w:r>
              <w:rPr>
                <w:rFonts w:ascii="黑体" w:eastAsia="黑体" w:hAnsi="黑体"/>
                <w:sz w:val="20"/>
                <w:szCs w:val="20"/>
              </w:rPr>
              <w:t>/</w:t>
            </w:r>
            <w:r>
              <w:rPr>
                <w:rFonts w:ascii="黑体" w:eastAsia="黑体" w:hAnsi="黑体" w:hint="eastAsia"/>
                <w:sz w:val="20"/>
                <w:szCs w:val="20"/>
              </w:rPr>
              <w:t>启运国</w:t>
            </w:r>
          </w:p>
        </w:tc>
        <w:tc>
          <w:tcPr>
            <w:tcW w:w="7035" w:type="dxa"/>
          </w:tcPr>
          <w:p w14:paraId="61030F7D" w14:textId="77777777" w:rsidR="00A052DC" w:rsidRDefault="009F0A60">
            <w:pPr>
              <w:rPr>
                <w:rFonts w:ascii="黑体" w:eastAsia="黑体" w:hAnsi="黑体"/>
                <w:sz w:val="20"/>
                <w:szCs w:val="20"/>
              </w:rPr>
            </w:pPr>
            <w:r>
              <w:rPr>
                <w:rFonts w:ascii="黑体" w:eastAsia="黑体" w:hAnsi="黑体" w:cs="黑体" w:hint="eastAsia"/>
                <w:sz w:val="20"/>
                <w:szCs w:val="20"/>
              </w:rPr>
              <w:t>指旅客出发的国家或地区，或货物启运的国家或地区。若业务类型选择为</w:t>
            </w:r>
            <w:r>
              <w:rPr>
                <w:rFonts w:ascii="黑体" w:eastAsia="黑体" w:hAnsi="黑体" w:cs="黑体"/>
                <w:sz w:val="20"/>
                <w:szCs w:val="20"/>
              </w:rPr>
              <w:t>3</w:t>
            </w:r>
            <w:r>
              <w:rPr>
                <w:rFonts w:ascii="黑体" w:eastAsia="黑体" w:hAnsi="黑体" w:cs="黑体" w:hint="eastAsia"/>
                <w:sz w:val="20"/>
                <w:szCs w:val="20"/>
              </w:rPr>
              <w:t>或</w:t>
            </w:r>
            <w:r>
              <w:rPr>
                <w:rFonts w:ascii="黑体" w:eastAsia="黑体" w:hAnsi="黑体" w:cs="黑体"/>
                <w:sz w:val="20"/>
                <w:szCs w:val="20"/>
              </w:rPr>
              <w:t>4</w:t>
            </w:r>
            <w:r>
              <w:rPr>
                <w:rFonts w:ascii="黑体" w:eastAsia="黑体" w:hAnsi="黑体" w:cs="黑体" w:hint="eastAsia"/>
                <w:sz w:val="20"/>
                <w:szCs w:val="20"/>
              </w:rPr>
              <w:t>，则本项目填写为“</w:t>
            </w:r>
            <w:r>
              <w:rPr>
                <w:rFonts w:ascii="黑体" w:eastAsia="黑体" w:hAnsi="黑体" w:cs="黑体"/>
                <w:sz w:val="20"/>
                <w:szCs w:val="20"/>
              </w:rPr>
              <w:t>N/A”</w:t>
            </w:r>
            <w:r>
              <w:rPr>
                <w:rFonts w:ascii="黑体" w:eastAsia="黑体" w:hAnsi="黑体" w:hint="eastAsia"/>
                <w:sz w:val="20"/>
                <w:szCs w:val="20"/>
              </w:rPr>
              <w:t>。</w:t>
            </w:r>
          </w:p>
        </w:tc>
      </w:tr>
      <w:tr w:rsidR="00A052DC" w14:paraId="1A8BE822" w14:textId="77777777">
        <w:tc>
          <w:tcPr>
            <w:tcW w:w="1578" w:type="dxa"/>
          </w:tcPr>
          <w:p w14:paraId="461B7A6B" w14:textId="77777777" w:rsidR="00A052DC" w:rsidRDefault="009F0A60">
            <w:pPr>
              <w:rPr>
                <w:rFonts w:ascii="黑体" w:eastAsia="黑体" w:hAnsi="黑体"/>
                <w:sz w:val="20"/>
                <w:szCs w:val="20"/>
              </w:rPr>
            </w:pPr>
            <w:r>
              <w:rPr>
                <w:rFonts w:ascii="黑体" w:eastAsia="黑体" w:hAnsi="黑体" w:hint="eastAsia"/>
                <w:sz w:val="20"/>
                <w:szCs w:val="20"/>
              </w:rPr>
              <w:t>目的地</w:t>
            </w:r>
            <w:r>
              <w:rPr>
                <w:rFonts w:ascii="黑体" w:eastAsia="黑体" w:hAnsi="黑体"/>
                <w:sz w:val="20"/>
                <w:szCs w:val="20"/>
              </w:rPr>
              <w:t>/</w:t>
            </w:r>
            <w:r>
              <w:rPr>
                <w:rFonts w:ascii="黑体" w:eastAsia="黑体" w:hAnsi="黑体" w:hint="eastAsia"/>
                <w:sz w:val="20"/>
                <w:szCs w:val="20"/>
              </w:rPr>
              <w:t>运抵地</w:t>
            </w:r>
          </w:p>
        </w:tc>
        <w:tc>
          <w:tcPr>
            <w:tcW w:w="7035" w:type="dxa"/>
          </w:tcPr>
          <w:p w14:paraId="2734401A" w14:textId="77777777" w:rsidR="00A052DC" w:rsidRDefault="009F0A60">
            <w:pPr>
              <w:rPr>
                <w:rFonts w:ascii="黑体" w:eastAsia="黑体" w:hAnsi="黑体"/>
                <w:sz w:val="20"/>
                <w:szCs w:val="20"/>
              </w:rPr>
            </w:pPr>
            <w:r>
              <w:rPr>
                <w:rFonts w:ascii="黑体" w:eastAsia="黑体" w:hAnsi="黑体" w:cs="黑体" w:hint="eastAsia"/>
                <w:sz w:val="20"/>
                <w:szCs w:val="20"/>
              </w:rPr>
              <w:t>指旅客到达的国家</w:t>
            </w:r>
            <w:r>
              <w:rPr>
                <w:rFonts w:ascii="黑体" w:eastAsia="黑体" w:hAnsi="黑体" w:cs="黑体"/>
                <w:sz w:val="20"/>
                <w:szCs w:val="20"/>
              </w:rPr>
              <w:t>/地区或货物运抵的国家/地区。若业务类型选择为3</w:t>
            </w:r>
            <w:r>
              <w:rPr>
                <w:rFonts w:ascii="黑体" w:eastAsia="黑体" w:hAnsi="黑体" w:cs="黑体" w:hint="eastAsia"/>
                <w:sz w:val="20"/>
                <w:szCs w:val="20"/>
              </w:rPr>
              <w:t>或</w:t>
            </w:r>
            <w:r>
              <w:rPr>
                <w:rFonts w:ascii="黑体" w:eastAsia="黑体" w:hAnsi="黑体" w:cs="黑体"/>
                <w:sz w:val="20"/>
                <w:szCs w:val="20"/>
              </w:rPr>
              <w:t>4</w:t>
            </w:r>
            <w:r>
              <w:rPr>
                <w:rFonts w:ascii="黑体" w:eastAsia="黑体" w:hAnsi="黑体" w:cs="黑体" w:hint="eastAsia"/>
                <w:sz w:val="20"/>
                <w:szCs w:val="20"/>
              </w:rPr>
              <w:t>，则本项目填写为“</w:t>
            </w:r>
            <w:r>
              <w:rPr>
                <w:rFonts w:ascii="黑体" w:eastAsia="黑体" w:hAnsi="黑体" w:cs="黑体"/>
                <w:sz w:val="20"/>
                <w:szCs w:val="20"/>
              </w:rPr>
              <w:t>N/A”</w:t>
            </w:r>
            <w:r>
              <w:rPr>
                <w:rFonts w:ascii="黑体" w:eastAsia="黑体" w:hAnsi="黑体" w:cs="黑体" w:hint="eastAsia"/>
                <w:sz w:val="20"/>
                <w:szCs w:val="20"/>
              </w:rPr>
              <w:t>。</w:t>
            </w:r>
          </w:p>
        </w:tc>
      </w:tr>
      <w:tr w:rsidR="00A052DC" w14:paraId="14687160" w14:textId="77777777">
        <w:tc>
          <w:tcPr>
            <w:tcW w:w="1578" w:type="dxa"/>
          </w:tcPr>
          <w:p w14:paraId="04552D28" w14:textId="77777777" w:rsidR="00A052DC" w:rsidRDefault="009F0A60">
            <w:pPr>
              <w:rPr>
                <w:rFonts w:ascii="黑体" w:eastAsia="黑体" w:hAnsi="黑体"/>
                <w:sz w:val="20"/>
                <w:szCs w:val="20"/>
              </w:rPr>
            </w:pPr>
            <w:r>
              <w:rPr>
                <w:rFonts w:ascii="黑体" w:eastAsia="黑体" w:hAnsi="黑体" w:hint="eastAsia"/>
                <w:sz w:val="20"/>
                <w:szCs w:val="20"/>
              </w:rPr>
              <w:t>原始币种</w:t>
            </w:r>
          </w:p>
        </w:tc>
        <w:tc>
          <w:tcPr>
            <w:tcW w:w="7035" w:type="dxa"/>
          </w:tcPr>
          <w:p w14:paraId="52B211F9" w14:textId="77777777" w:rsidR="00A052DC" w:rsidRDefault="009F0A60">
            <w:pPr>
              <w:rPr>
                <w:rFonts w:ascii="黑体" w:eastAsia="黑体" w:hAnsi="黑体"/>
                <w:sz w:val="20"/>
                <w:szCs w:val="20"/>
              </w:rPr>
            </w:pPr>
            <w:r>
              <w:rPr>
                <w:rFonts w:ascii="黑体" w:eastAsia="黑体" w:hAnsi="黑体" w:cs="黑体" w:hint="eastAsia"/>
                <w:sz w:val="20"/>
                <w:szCs w:val="20"/>
              </w:rPr>
              <w:t>指合同中约定的计价币种或者记账币种，优先填报计价币种。</w:t>
            </w:r>
          </w:p>
        </w:tc>
      </w:tr>
      <w:tr w:rsidR="00A052DC" w14:paraId="3FCB56A6" w14:textId="77777777">
        <w:tc>
          <w:tcPr>
            <w:tcW w:w="1578" w:type="dxa"/>
          </w:tcPr>
          <w:p w14:paraId="05D22348" w14:textId="77777777" w:rsidR="00A052DC" w:rsidRDefault="009F0A60">
            <w:pPr>
              <w:rPr>
                <w:rFonts w:ascii="黑体" w:eastAsia="黑体" w:hAnsi="黑体"/>
                <w:sz w:val="20"/>
                <w:szCs w:val="20"/>
              </w:rPr>
            </w:pPr>
            <w:r>
              <w:rPr>
                <w:rFonts w:ascii="黑体" w:eastAsia="黑体" w:hAnsi="黑体" w:hint="eastAsia"/>
                <w:sz w:val="20"/>
                <w:szCs w:val="20"/>
              </w:rPr>
              <w:t>本月收入</w:t>
            </w:r>
          </w:p>
        </w:tc>
        <w:tc>
          <w:tcPr>
            <w:tcW w:w="7035" w:type="dxa"/>
          </w:tcPr>
          <w:p w14:paraId="69A0257F" w14:textId="77777777" w:rsidR="00A052DC" w:rsidRDefault="009F0A60">
            <w:pPr>
              <w:rPr>
                <w:rFonts w:ascii="黑体" w:eastAsia="黑体" w:hAnsi="黑体"/>
                <w:sz w:val="20"/>
                <w:szCs w:val="20"/>
              </w:rPr>
            </w:pPr>
            <w:r>
              <w:rPr>
                <w:rFonts w:ascii="黑体" w:eastAsia="黑体" w:hAnsi="黑体" w:cs="黑体" w:hint="eastAsia"/>
                <w:sz w:val="20"/>
                <w:szCs w:val="20"/>
              </w:rPr>
              <w:t>指本机构本月会计账上确认的国际运输收入。</w:t>
            </w:r>
          </w:p>
        </w:tc>
      </w:tr>
      <w:tr w:rsidR="00A052DC" w14:paraId="2BA28492" w14:textId="77777777">
        <w:tc>
          <w:tcPr>
            <w:tcW w:w="1578" w:type="dxa"/>
          </w:tcPr>
          <w:p w14:paraId="76C7EC27" w14:textId="77777777" w:rsidR="00A052DC" w:rsidRDefault="009F0A60">
            <w:pPr>
              <w:rPr>
                <w:rFonts w:ascii="黑体" w:eastAsia="黑体" w:hAnsi="黑体"/>
                <w:sz w:val="20"/>
                <w:szCs w:val="20"/>
              </w:rPr>
            </w:pPr>
            <w:r>
              <w:rPr>
                <w:rFonts w:ascii="黑体" w:eastAsia="黑体" w:hAnsi="黑体" w:hint="eastAsia"/>
                <w:sz w:val="20"/>
                <w:szCs w:val="20"/>
              </w:rPr>
              <w:t>备注</w:t>
            </w:r>
          </w:p>
        </w:tc>
        <w:tc>
          <w:tcPr>
            <w:tcW w:w="7035" w:type="dxa"/>
          </w:tcPr>
          <w:p w14:paraId="6EBB89CE" w14:textId="77777777" w:rsidR="00A052DC" w:rsidRDefault="009F0A60">
            <w:pPr>
              <w:rPr>
                <w:rFonts w:ascii="黑体" w:eastAsia="黑体" w:hAnsi="黑体" w:cs="黑体"/>
                <w:sz w:val="20"/>
                <w:szCs w:val="20"/>
              </w:rPr>
            </w:pPr>
            <w:r>
              <w:rPr>
                <w:rFonts w:ascii="黑体" w:eastAsia="黑体" w:hAnsi="黑体" w:cs="黑体" w:hint="eastAsia"/>
                <w:sz w:val="20"/>
                <w:szCs w:val="20"/>
              </w:rPr>
              <w:t>填报本表时需特别说明的情况。</w:t>
            </w:r>
          </w:p>
        </w:tc>
      </w:tr>
    </w:tbl>
    <w:p w14:paraId="14C49BB3" w14:textId="77777777" w:rsidR="00A052DC" w:rsidRDefault="00A052DC"/>
    <w:p w14:paraId="5595E084" w14:textId="77777777" w:rsidR="00A052DC" w:rsidRDefault="009F0A60" w:rsidP="0020251D">
      <w:pPr>
        <w:pStyle w:val="4"/>
        <w:numPr>
          <w:ilvl w:val="3"/>
          <w:numId w:val="1"/>
        </w:numPr>
        <w:jc w:val="left"/>
      </w:pPr>
      <w:r>
        <w:rPr>
          <w:rFonts w:hint="eastAsia"/>
        </w:rPr>
        <w:t>数据格式</w:t>
      </w:r>
    </w:p>
    <w:p w14:paraId="71D31486" w14:textId="77777777" w:rsidR="00A052DC" w:rsidRDefault="009F0A60">
      <w:pPr>
        <w:ind w:firstLine="482"/>
        <w:rPr>
          <w:szCs w:val="21"/>
        </w:rPr>
      </w:pPr>
      <w:r>
        <w:rPr>
          <w:szCs w:val="21"/>
        </w:rPr>
        <w:t>&lt;REC&gt;</w:t>
      </w:r>
    </w:p>
    <w:p w14:paraId="49C73A16" w14:textId="77777777" w:rsidR="00A052DC" w:rsidRDefault="009F0A60">
      <w:pPr>
        <w:ind w:firstLine="482"/>
        <w:rPr>
          <w:szCs w:val="21"/>
        </w:rPr>
      </w:pPr>
      <w:r>
        <w:rPr>
          <w:szCs w:val="21"/>
        </w:rPr>
        <w:t>&lt;ACTIONTYPE&gt;</w:t>
      </w:r>
      <w:r>
        <w:rPr>
          <w:rFonts w:hAnsi="宋体"/>
          <w:szCs w:val="21"/>
        </w:rPr>
        <w:t>操作类型</w:t>
      </w:r>
      <w:r>
        <w:rPr>
          <w:szCs w:val="21"/>
        </w:rPr>
        <w:t>&lt;/ACTIONTYPE&gt;</w:t>
      </w:r>
    </w:p>
    <w:p w14:paraId="7B0C3CEC" w14:textId="77777777" w:rsidR="00A052DC" w:rsidRDefault="009F0A60">
      <w:pPr>
        <w:ind w:firstLine="482"/>
        <w:rPr>
          <w:szCs w:val="21"/>
        </w:rPr>
      </w:pPr>
      <w:r>
        <w:rPr>
          <w:szCs w:val="21"/>
        </w:rPr>
        <w:t>&lt;ACTIONDESC&gt;</w:t>
      </w:r>
      <w:r>
        <w:rPr>
          <w:rFonts w:hAnsi="宋体"/>
          <w:szCs w:val="21"/>
        </w:rPr>
        <w:t>删除原因</w:t>
      </w:r>
      <w:r>
        <w:rPr>
          <w:szCs w:val="21"/>
        </w:rPr>
        <w:t>&lt;/ACTIONDESC&gt;</w:t>
      </w:r>
    </w:p>
    <w:p w14:paraId="1F8A2F42" w14:textId="77777777" w:rsidR="00A052DC" w:rsidRDefault="009F0A60">
      <w:pPr>
        <w:ind w:firstLine="482"/>
        <w:rPr>
          <w:szCs w:val="21"/>
        </w:rPr>
      </w:pPr>
      <w:r>
        <w:rPr>
          <w:szCs w:val="21"/>
        </w:rPr>
        <w:t>&lt;SNOCODE&gt;</w:t>
      </w:r>
      <w:r>
        <w:rPr>
          <w:rFonts w:hAnsi="宋体"/>
          <w:szCs w:val="21"/>
        </w:rPr>
        <w:t>数据自编码</w:t>
      </w:r>
      <w:r>
        <w:rPr>
          <w:szCs w:val="21"/>
        </w:rPr>
        <w:t>&lt;/SNOCODE&gt;</w:t>
      </w:r>
    </w:p>
    <w:p w14:paraId="1343C4D5" w14:textId="77777777" w:rsidR="00A052DC" w:rsidRDefault="009F0A60">
      <w:pPr>
        <w:ind w:firstLine="482"/>
        <w:rPr>
          <w:szCs w:val="21"/>
        </w:rPr>
      </w:pPr>
      <w:r>
        <w:rPr>
          <w:szCs w:val="21"/>
        </w:rPr>
        <w:t>&lt;OBJCODE&gt;</w:t>
      </w:r>
      <w:r>
        <w:rPr>
          <w:rFonts w:hAnsi="宋体"/>
          <w:szCs w:val="21"/>
        </w:rPr>
        <w:t>申报主体代码</w:t>
      </w:r>
      <w:r>
        <w:rPr>
          <w:szCs w:val="21"/>
        </w:rPr>
        <w:t>&lt;/OBJCODE&gt;</w:t>
      </w:r>
    </w:p>
    <w:p w14:paraId="29E2C84B" w14:textId="77777777" w:rsidR="00A052DC" w:rsidRDefault="009F0A60">
      <w:pPr>
        <w:ind w:firstLine="482"/>
        <w:rPr>
          <w:szCs w:val="21"/>
        </w:rPr>
      </w:pPr>
      <w:r>
        <w:rPr>
          <w:szCs w:val="21"/>
        </w:rPr>
        <w:t>&lt;BUOCMONTH&gt;</w:t>
      </w:r>
      <w:r>
        <w:rPr>
          <w:rFonts w:hAnsi="宋体"/>
          <w:szCs w:val="21"/>
        </w:rPr>
        <w:t>报告期</w:t>
      </w:r>
      <w:r>
        <w:rPr>
          <w:szCs w:val="21"/>
        </w:rPr>
        <w:t>&lt;/BUOCMONTH&gt;</w:t>
      </w:r>
    </w:p>
    <w:p w14:paraId="7C2A9F76" w14:textId="77777777" w:rsidR="00A052DC" w:rsidRDefault="009F0A60">
      <w:pPr>
        <w:ind w:firstLine="482"/>
        <w:rPr>
          <w:szCs w:val="21"/>
        </w:rPr>
      </w:pPr>
      <w:r>
        <w:rPr>
          <w:szCs w:val="21"/>
        </w:rPr>
        <w:t>&lt;E0301&gt;</w:t>
      </w:r>
      <w:r>
        <w:rPr>
          <w:rFonts w:hint="eastAsia"/>
          <w:szCs w:val="21"/>
        </w:rPr>
        <w:t>运输方式</w:t>
      </w:r>
      <w:r>
        <w:rPr>
          <w:szCs w:val="21"/>
        </w:rPr>
        <w:t>&lt;/E0301&gt;</w:t>
      </w:r>
    </w:p>
    <w:p w14:paraId="0A34773E" w14:textId="77777777" w:rsidR="00A052DC" w:rsidRDefault="009F0A60">
      <w:pPr>
        <w:ind w:firstLine="482"/>
        <w:rPr>
          <w:szCs w:val="21"/>
        </w:rPr>
      </w:pPr>
      <w:r>
        <w:rPr>
          <w:szCs w:val="21"/>
        </w:rPr>
        <w:t>&lt;E0302&gt;</w:t>
      </w:r>
      <w:r>
        <w:rPr>
          <w:rFonts w:hint="eastAsia"/>
          <w:szCs w:val="21"/>
        </w:rPr>
        <w:t>业务类型</w:t>
      </w:r>
      <w:r>
        <w:rPr>
          <w:szCs w:val="21"/>
        </w:rPr>
        <w:t>&lt;/E0302&gt;</w:t>
      </w:r>
    </w:p>
    <w:p w14:paraId="19CF454A" w14:textId="77777777" w:rsidR="00A052DC" w:rsidRDefault="009F0A60">
      <w:pPr>
        <w:ind w:firstLine="482"/>
        <w:rPr>
          <w:szCs w:val="21"/>
        </w:rPr>
      </w:pPr>
      <w:r>
        <w:rPr>
          <w:szCs w:val="21"/>
        </w:rPr>
        <w:t>&lt;E0303&gt;</w:t>
      </w:r>
      <w:r>
        <w:rPr>
          <w:rFonts w:hint="eastAsia"/>
          <w:szCs w:val="21"/>
        </w:rPr>
        <w:t>交易对手方所属国家</w:t>
      </w:r>
      <w:r>
        <w:rPr>
          <w:szCs w:val="21"/>
        </w:rPr>
        <w:t>/</w:t>
      </w:r>
      <w:r>
        <w:rPr>
          <w:rFonts w:hint="eastAsia"/>
          <w:szCs w:val="21"/>
        </w:rPr>
        <w:t>地区</w:t>
      </w:r>
      <w:r>
        <w:rPr>
          <w:szCs w:val="21"/>
        </w:rPr>
        <w:t>&lt;/E0303&gt;</w:t>
      </w:r>
    </w:p>
    <w:p w14:paraId="3FA1F176" w14:textId="77777777" w:rsidR="00A052DC" w:rsidRDefault="009F0A60">
      <w:pPr>
        <w:ind w:firstLine="482"/>
        <w:rPr>
          <w:szCs w:val="21"/>
        </w:rPr>
      </w:pPr>
      <w:r>
        <w:rPr>
          <w:szCs w:val="21"/>
        </w:rPr>
        <w:t>&lt;E0304&gt;</w:t>
      </w:r>
      <w:r>
        <w:rPr>
          <w:rFonts w:hint="eastAsia"/>
          <w:szCs w:val="21"/>
        </w:rPr>
        <w:t>出发地</w:t>
      </w:r>
      <w:r>
        <w:rPr>
          <w:szCs w:val="21"/>
        </w:rPr>
        <w:t>/</w:t>
      </w:r>
      <w:r>
        <w:rPr>
          <w:rFonts w:hint="eastAsia"/>
          <w:szCs w:val="21"/>
        </w:rPr>
        <w:t>启运地</w:t>
      </w:r>
      <w:r>
        <w:rPr>
          <w:szCs w:val="21"/>
        </w:rPr>
        <w:t>&lt;/E0304&gt;</w:t>
      </w:r>
    </w:p>
    <w:p w14:paraId="42B923F1" w14:textId="77777777" w:rsidR="00A052DC" w:rsidRDefault="009F0A60">
      <w:pPr>
        <w:ind w:firstLine="482"/>
        <w:rPr>
          <w:szCs w:val="21"/>
        </w:rPr>
      </w:pPr>
      <w:r>
        <w:rPr>
          <w:szCs w:val="21"/>
        </w:rPr>
        <w:t>&lt;E0305&gt;</w:t>
      </w:r>
      <w:r>
        <w:rPr>
          <w:rFonts w:hint="eastAsia"/>
          <w:szCs w:val="21"/>
        </w:rPr>
        <w:t>目的地</w:t>
      </w:r>
      <w:r>
        <w:rPr>
          <w:szCs w:val="21"/>
        </w:rPr>
        <w:t>/</w:t>
      </w:r>
      <w:r>
        <w:rPr>
          <w:rFonts w:hint="eastAsia"/>
          <w:szCs w:val="21"/>
        </w:rPr>
        <w:t>运抵地</w:t>
      </w:r>
      <w:r>
        <w:rPr>
          <w:szCs w:val="21"/>
        </w:rPr>
        <w:t>&lt;/E0305&gt;</w:t>
      </w:r>
    </w:p>
    <w:p w14:paraId="53A4B9DA" w14:textId="77777777" w:rsidR="00A052DC" w:rsidRDefault="009F0A60">
      <w:pPr>
        <w:ind w:firstLine="482"/>
        <w:rPr>
          <w:szCs w:val="21"/>
        </w:rPr>
      </w:pPr>
      <w:r>
        <w:rPr>
          <w:szCs w:val="21"/>
        </w:rPr>
        <w:t>&lt;E0306&gt;</w:t>
      </w:r>
      <w:r>
        <w:rPr>
          <w:rFonts w:hint="eastAsia"/>
          <w:szCs w:val="21"/>
        </w:rPr>
        <w:t>原始币种</w:t>
      </w:r>
      <w:r>
        <w:rPr>
          <w:szCs w:val="21"/>
        </w:rPr>
        <w:t>&lt;/E0306&gt;</w:t>
      </w:r>
    </w:p>
    <w:p w14:paraId="717AD036" w14:textId="77777777" w:rsidR="00A052DC" w:rsidRDefault="009F0A60">
      <w:pPr>
        <w:ind w:firstLine="482"/>
        <w:rPr>
          <w:szCs w:val="21"/>
        </w:rPr>
      </w:pPr>
      <w:r>
        <w:rPr>
          <w:szCs w:val="21"/>
        </w:rPr>
        <w:t>&lt;E0307&gt;</w:t>
      </w:r>
      <w:r>
        <w:rPr>
          <w:rFonts w:hint="eastAsia"/>
          <w:szCs w:val="21"/>
        </w:rPr>
        <w:t>本月收入</w:t>
      </w:r>
      <w:r>
        <w:rPr>
          <w:szCs w:val="21"/>
        </w:rPr>
        <w:t>&lt;/E0307&gt;</w:t>
      </w:r>
    </w:p>
    <w:p w14:paraId="0F9296AA" w14:textId="77777777" w:rsidR="00A052DC" w:rsidRDefault="009F0A60">
      <w:pPr>
        <w:ind w:firstLine="482"/>
        <w:rPr>
          <w:szCs w:val="21"/>
        </w:rPr>
      </w:pPr>
      <w:r>
        <w:rPr>
          <w:szCs w:val="21"/>
        </w:rPr>
        <w:t>&lt;REMARK&gt;</w:t>
      </w:r>
      <w:r>
        <w:rPr>
          <w:rFonts w:hAnsi="宋体"/>
          <w:szCs w:val="21"/>
        </w:rPr>
        <w:t>备注</w:t>
      </w:r>
      <w:r>
        <w:rPr>
          <w:szCs w:val="21"/>
        </w:rPr>
        <w:t>&lt;/REMARK&gt;</w:t>
      </w:r>
    </w:p>
    <w:p w14:paraId="05AAB2BB" w14:textId="77777777" w:rsidR="00A052DC" w:rsidRDefault="009F0A60">
      <w:r>
        <w:rPr>
          <w:szCs w:val="21"/>
        </w:rPr>
        <w:tab/>
        <w:t>&lt;/REC&gt;</w:t>
      </w:r>
    </w:p>
    <w:p w14:paraId="0097618A" w14:textId="77777777" w:rsidR="00A052DC" w:rsidRDefault="009F0A60" w:rsidP="0020251D">
      <w:pPr>
        <w:pStyle w:val="4"/>
        <w:numPr>
          <w:ilvl w:val="3"/>
          <w:numId w:val="1"/>
        </w:numPr>
        <w:jc w:val="left"/>
      </w:pPr>
      <w:r>
        <w:rPr>
          <w:rFonts w:hint="eastAsia"/>
        </w:rPr>
        <w:t>数据字典</w:t>
      </w:r>
    </w:p>
    <w:tbl>
      <w:tblPr>
        <w:tblW w:w="86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560"/>
        <w:gridCol w:w="1701"/>
        <w:gridCol w:w="3543"/>
      </w:tblGrid>
      <w:tr w:rsidR="00A052DC" w14:paraId="26FAD9D3" w14:textId="77777777">
        <w:trPr>
          <w:tblHeader/>
        </w:trPr>
        <w:tc>
          <w:tcPr>
            <w:tcW w:w="1843" w:type="dxa"/>
            <w:shd w:val="clear" w:color="auto" w:fill="C0C0C0"/>
          </w:tcPr>
          <w:p w14:paraId="4A85A80D" w14:textId="77777777" w:rsidR="00A052DC" w:rsidRDefault="009F0A60">
            <w:pPr>
              <w:pStyle w:val="B1"/>
            </w:pPr>
            <w:r>
              <w:rPr>
                <w:rFonts w:hint="eastAsia"/>
              </w:rPr>
              <w:t>字段</w:t>
            </w:r>
          </w:p>
        </w:tc>
        <w:tc>
          <w:tcPr>
            <w:tcW w:w="1560" w:type="dxa"/>
            <w:shd w:val="clear" w:color="auto" w:fill="C0C0C0"/>
          </w:tcPr>
          <w:p w14:paraId="048CC80E" w14:textId="77777777" w:rsidR="00A052DC" w:rsidRDefault="009F0A60">
            <w:pPr>
              <w:pStyle w:val="B1"/>
            </w:pPr>
            <w:r>
              <w:rPr>
                <w:rFonts w:hint="eastAsia"/>
              </w:rPr>
              <w:t>内容</w:t>
            </w:r>
          </w:p>
        </w:tc>
        <w:tc>
          <w:tcPr>
            <w:tcW w:w="1701" w:type="dxa"/>
            <w:shd w:val="clear" w:color="auto" w:fill="C0C0C0"/>
          </w:tcPr>
          <w:p w14:paraId="27E36B0C" w14:textId="77777777" w:rsidR="00A052DC" w:rsidRDefault="009F0A60">
            <w:pPr>
              <w:pStyle w:val="B1"/>
            </w:pPr>
            <w:r>
              <w:rPr>
                <w:rFonts w:hint="eastAsia"/>
              </w:rPr>
              <w:t xml:space="preserve">类型（长度）      </w:t>
            </w:r>
          </w:p>
        </w:tc>
        <w:tc>
          <w:tcPr>
            <w:tcW w:w="3543" w:type="dxa"/>
            <w:shd w:val="clear" w:color="auto" w:fill="C0C0C0"/>
          </w:tcPr>
          <w:p w14:paraId="5A8E7A68" w14:textId="77777777" w:rsidR="00A052DC" w:rsidRDefault="009F0A60">
            <w:pPr>
              <w:pStyle w:val="B1"/>
            </w:pPr>
            <w:r>
              <w:rPr>
                <w:rFonts w:hint="eastAsia"/>
              </w:rPr>
              <w:t>校验</w:t>
            </w:r>
          </w:p>
        </w:tc>
      </w:tr>
      <w:tr w:rsidR="00A052DC" w14:paraId="49BD3972" w14:textId="77777777">
        <w:tc>
          <w:tcPr>
            <w:tcW w:w="1843" w:type="dxa"/>
            <w:tcBorders>
              <w:top w:val="single" w:sz="4" w:space="0" w:color="auto"/>
              <w:left w:val="single" w:sz="4" w:space="0" w:color="auto"/>
              <w:bottom w:val="single" w:sz="4" w:space="0" w:color="auto"/>
              <w:right w:val="single" w:sz="4" w:space="0" w:color="auto"/>
            </w:tcBorders>
          </w:tcPr>
          <w:p w14:paraId="008338AA" w14:textId="77777777" w:rsidR="00A052DC" w:rsidRDefault="009F0A60">
            <w:pPr>
              <w:pStyle w:val="B"/>
              <w:rPr>
                <w:szCs w:val="20"/>
              </w:rPr>
            </w:pPr>
            <w:r>
              <w:rPr>
                <w:szCs w:val="20"/>
              </w:rPr>
              <w:t>ACTIONTYPE</w:t>
            </w:r>
          </w:p>
        </w:tc>
        <w:tc>
          <w:tcPr>
            <w:tcW w:w="1560" w:type="dxa"/>
            <w:tcBorders>
              <w:top w:val="single" w:sz="4" w:space="0" w:color="auto"/>
              <w:left w:val="single" w:sz="4" w:space="0" w:color="auto"/>
              <w:bottom w:val="single" w:sz="4" w:space="0" w:color="auto"/>
              <w:right w:val="single" w:sz="4" w:space="0" w:color="auto"/>
            </w:tcBorders>
          </w:tcPr>
          <w:p w14:paraId="45219066" w14:textId="77777777" w:rsidR="00A052DC" w:rsidRDefault="009F0A60">
            <w:pPr>
              <w:pStyle w:val="B"/>
              <w:rPr>
                <w:szCs w:val="20"/>
              </w:rPr>
            </w:pPr>
            <w:r>
              <w:rPr>
                <w:rFonts w:hint="eastAsia"/>
                <w:szCs w:val="20"/>
              </w:rPr>
              <w:t>操作类型</w:t>
            </w:r>
          </w:p>
        </w:tc>
        <w:tc>
          <w:tcPr>
            <w:tcW w:w="1701" w:type="dxa"/>
            <w:tcBorders>
              <w:top w:val="single" w:sz="4" w:space="0" w:color="auto"/>
              <w:left w:val="single" w:sz="4" w:space="0" w:color="auto"/>
              <w:bottom w:val="single" w:sz="4" w:space="0" w:color="auto"/>
              <w:right w:val="single" w:sz="4" w:space="0" w:color="auto"/>
            </w:tcBorders>
          </w:tcPr>
          <w:p w14:paraId="33AD6D34" w14:textId="77777777" w:rsidR="00A052DC" w:rsidRDefault="009F0A60">
            <w:pPr>
              <w:pStyle w:val="B"/>
              <w:rPr>
                <w:szCs w:val="20"/>
              </w:rPr>
            </w:pPr>
            <w:r>
              <w:rPr>
                <w:rFonts w:hint="eastAsia"/>
                <w:szCs w:val="20"/>
              </w:rPr>
              <w:t>字符型，</w:t>
            </w:r>
            <w:r>
              <w:rPr>
                <w:szCs w:val="20"/>
              </w:rPr>
              <w:t>1</w:t>
            </w:r>
          </w:p>
        </w:tc>
        <w:tc>
          <w:tcPr>
            <w:tcW w:w="3543" w:type="dxa"/>
            <w:tcBorders>
              <w:top w:val="single" w:sz="4" w:space="0" w:color="auto"/>
              <w:left w:val="single" w:sz="4" w:space="0" w:color="auto"/>
              <w:bottom w:val="single" w:sz="4" w:space="0" w:color="auto"/>
              <w:right w:val="single" w:sz="4" w:space="0" w:color="auto"/>
            </w:tcBorders>
          </w:tcPr>
          <w:p w14:paraId="1F432229" w14:textId="77777777" w:rsidR="00A052DC" w:rsidRDefault="009F0A60">
            <w:pPr>
              <w:pStyle w:val="B"/>
              <w:rPr>
                <w:szCs w:val="20"/>
              </w:rPr>
            </w:pPr>
            <w:r>
              <w:rPr>
                <w:rFonts w:hint="eastAsia"/>
                <w:szCs w:val="20"/>
              </w:rPr>
              <w:t>必填项</w:t>
            </w:r>
            <w:r w:rsidR="004D1828">
              <w:rPr>
                <w:rFonts w:hint="eastAsia"/>
                <w:szCs w:val="20"/>
              </w:rPr>
              <w:t>。</w:t>
            </w:r>
          </w:p>
          <w:p w14:paraId="6D823032" w14:textId="77777777" w:rsidR="00A052DC" w:rsidRDefault="009F0A60">
            <w:pPr>
              <w:pStyle w:val="B"/>
              <w:rPr>
                <w:szCs w:val="20"/>
              </w:rPr>
            </w:pPr>
            <w:r>
              <w:rPr>
                <w:rFonts w:hint="eastAsia"/>
                <w:szCs w:val="20"/>
              </w:rPr>
              <w:t>A</w:t>
            </w:r>
            <w:r w:rsidR="00AE4602">
              <w:rPr>
                <w:rFonts w:hint="eastAsia"/>
                <w:szCs w:val="20"/>
              </w:rPr>
              <w:t>-</w:t>
            </w:r>
            <w:r>
              <w:rPr>
                <w:rFonts w:hint="eastAsia"/>
                <w:szCs w:val="20"/>
              </w:rPr>
              <w:t>新建</w:t>
            </w:r>
          </w:p>
          <w:p w14:paraId="367FDBEF" w14:textId="77777777" w:rsidR="00A052DC" w:rsidRDefault="009F0A60">
            <w:pPr>
              <w:pStyle w:val="B"/>
              <w:rPr>
                <w:szCs w:val="20"/>
              </w:rPr>
            </w:pPr>
            <w:r>
              <w:rPr>
                <w:rFonts w:hint="eastAsia"/>
                <w:szCs w:val="20"/>
              </w:rPr>
              <w:t>C</w:t>
            </w:r>
            <w:r w:rsidR="00AE4602">
              <w:rPr>
                <w:rFonts w:hint="eastAsia"/>
                <w:szCs w:val="20"/>
              </w:rPr>
              <w:t>-</w:t>
            </w:r>
            <w:r>
              <w:rPr>
                <w:rFonts w:hint="eastAsia"/>
                <w:szCs w:val="20"/>
              </w:rPr>
              <w:t>修改</w:t>
            </w:r>
          </w:p>
          <w:p w14:paraId="62253DB5" w14:textId="77777777" w:rsidR="00A052DC" w:rsidRDefault="009F0A60">
            <w:pPr>
              <w:pStyle w:val="B"/>
              <w:rPr>
                <w:szCs w:val="20"/>
              </w:rPr>
            </w:pPr>
            <w:r>
              <w:rPr>
                <w:rFonts w:hint="eastAsia"/>
                <w:szCs w:val="20"/>
              </w:rPr>
              <w:t>D</w:t>
            </w:r>
            <w:r w:rsidR="00AE4602">
              <w:rPr>
                <w:rFonts w:hint="eastAsia"/>
                <w:szCs w:val="20"/>
              </w:rPr>
              <w:t>-</w:t>
            </w:r>
            <w:r>
              <w:rPr>
                <w:rFonts w:hint="eastAsia"/>
                <w:szCs w:val="20"/>
              </w:rPr>
              <w:t>删除</w:t>
            </w:r>
          </w:p>
        </w:tc>
      </w:tr>
      <w:tr w:rsidR="00A052DC" w14:paraId="408F25F8" w14:textId="77777777">
        <w:tc>
          <w:tcPr>
            <w:tcW w:w="1843" w:type="dxa"/>
            <w:tcBorders>
              <w:top w:val="single" w:sz="4" w:space="0" w:color="auto"/>
              <w:left w:val="single" w:sz="4" w:space="0" w:color="auto"/>
              <w:bottom w:val="single" w:sz="4" w:space="0" w:color="auto"/>
              <w:right w:val="single" w:sz="4" w:space="0" w:color="auto"/>
            </w:tcBorders>
          </w:tcPr>
          <w:p w14:paraId="7B51AB71" w14:textId="77777777" w:rsidR="00A052DC" w:rsidRDefault="009F0A60">
            <w:pPr>
              <w:pStyle w:val="B"/>
              <w:rPr>
                <w:szCs w:val="20"/>
              </w:rPr>
            </w:pPr>
            <w:r>
              <w:rPr>
                <w:szCs w:val="20"/>
              </w:rPr>
              <w:t>ACTIONDESC</w:t>
            </w:r>
          </w:p>
        </w:tc>
        <w:tc>
          <w:tcPr>
            <w:tcW w:w="1560" w:type="dxa"/>
            <w:tcBorders>
              <w:top w:val="single" w:sz="4" w:space="0" w:color="auto"/>
              <w:left w:val="single" w:sz="4" w:space="0" w:color="auto"/>
              <w:bottom w:val="single" w:sz="4" w:space="0" w:color="auto"/>
              <w:right w:val="single" w:sz="4" w:space="0" w:color="auto"/>
            </w:tcBorders>
          </w:tcPr>
          <w:p w14:paraId="072B16E0" w14:textId="77777777" w:rsidR="00A052DC" w:rsidRDefault="009F0A60">
            <w:pPr>
              <w:pStyle w:val="B"/>
              <w:rPr>
                <w:szCs w:val="20"/>
              </w:rPr>
            </w:pPr>
            <w:r>
              <w:rPr>
                <w:rFonts w:hint="eastAsia"/>
                <w:szCs w:val="20"/>
              </w:rPr>
              <w:t>删除原因</w:t>
            </w:r>
          </w:p>
        </w:tc>
        <w:tc>
          <w:tcPr>
            <w:tcW w:w="1701" w:type="dxa"/>
            <w:tcBorders>
              <w:top w:val="single" w:sz="4" w:space="0" w:color="auto"/>
              <w:left w:val="single" w:sz="4" w:space="0" w:color="auto"/>
              <w:bottom w:val="single" w:sz="4" w:space="0" w:color="auto"/>
              <w:right w:val="single" w:sz="4" w:space="0" w:color="auto"/>
            </w:tcBorders>
          </w:tcPr>
          <w:p w14:paraId="1B193691" w14:textId="77777777" w:rsidR="00A052DC" w:rsidRDefault="009F0A60">
            <w:pPr>
              <w:pStyle w:val="B"/>
              <w:rPr>
                <w:szCs w:val="20"/>
              </w:rPr>
            </w:pPr>
            <w:r>
              <w:rPr>
                <w:rFonts w:hint="eastAsia"/>
                <w:szCs w:val="20"/>
              </w:rPr>
              <w:t>字符型，</w:t>
            </w:r>
            <w:r>
              <w:rPr>
                <w:szCs w:val="20"/>
              </w:rPr>
              <w:t>128</w:t>
            </w:r>
          </w:p>
        </w:tc>
        <w:tc>
          <w:tcPr>
            <w:tcW w:w="3543" w:type="dxa"/>
            <w:tcBorders>
              <w:top w:val="single" w:sz="4" w:space="0" w:color="auto"/>
              <w:left w:val="single" w:sz="4" w:space="0" w:color="auto"/>
              <w:bottom w:val="single" w:sz="4" w:space="0" w:color="auto"/>
              <w:right w:val="single" w:sz="4" w:space="0" w:color="auto"/>
            </w:tcBorders>
          </w:tcPr>
          <w:p w14:paraId="314F0C14" w14:textId="77777777" w:rsidR="00A052DC" w:rsidRDefault="00DD6AA3">
            <w:pPr>
              <w:pStyle w:val="B"/>
              <w:rPr>
                <w:szCs w:val="20"/>
              </w:rPr>
            </w:pPr>
            <w:r>
              <w:rPr>
                <w:rFonts w:hint="eastAsia"/>
                <w:szCs w:val="20"/>
              </w:rPr>
              <w:t>非必填项，当操作类型（ACTIONTYPE）为删除时必填。</w:t>
            </w:r>
          </w:p>
        </w:tc>
      </w:tr>
      <w:tr w:rsidR="00A052DC" w14:paraId="1F9927E7" w14:textId="77777777">
        <w:tc>
          <w:tcPr>
            <w:tcW w:w="1843" w:type="dxa"/>
            <w:tcBorders>
              <w:top w:val="single" w:sz="4" w:space="0" w:color="auto"/>
              <w:left w:val="single" w:sz="4" w:space="0" w:color="auto"/>
              <w:bottom w:val="single" w:sz="4" w:space="0" w:color="auto"/>
              <w:right w:val="single" w:sz="4" w:space="0" w:color="auto"/>
            </w:tcBorders>
          </w:tcPr>
          <w:p w14:paraId="4EB0789B" w14:textId="77777777" w:rsidR="00A052DC" w:rsidRDefault="009F0A60">
            <w:pPr>
              <w:pStyle w:val="B"/>
              <w:rPr>
                <w:szCs w:val="20"/>
              </w:rPr>
            </w:pPr>
            <w:r>
              <w:rPr>
                <w:szCs w:val="20"/>
              </w:rPr>
              <w:t>SNOCODE</w:t>
            </w:r>
          </w:p>
        </w:tc>
        <w:tc>
          <w:tcPr>
            <w:tcW w:w="1560" w:type="dxa"/>
            <w:tcBorders>
              <w:top w:val="single" w:sz="4" w:space="0" w:color="auto"/>
              <w:left w:val="single" w:sz="4" w:space="0" w:color="auto"/>
              <w:bottom w:val="single" w:sz="4" w:space="0" w:color="auto"/>
              <w:right w:val="single" w:sz="4" w:space="0" w:color="auto"/>
            </w:tcBorders>
          </w:tcPr>
          <w:p w14:paraId="630FA028" w14:textId="77777777" w:rsidR="00A052DC" w:rsidRDefault="009F0A60">
            <w:pPr>
              <w:pStyle w:val="B"/>
              <w:rPr>
                <w:szCs w:val="20"/>
              </w:rPr>
            </w:pPr>
            <w:r>
              <w:rPr>
                <w:rFonts w:hint="eastAsia"/>
                <w:szCs w:val="20"/>
              </w:rPr>
              <w:t>数据自编码</w:t>
            </w:r>
          </w:p>
        </w:tc>
        <w:tc>
          <w:tcPr>
            <w:tcW w:w="1701" w:type="dxa"/>
            <w:tcBorders>
              <w:top w:val="single" w:sz="4" w:space="0" w:color="auto"/>
              <w:left w:val="single" w:sz="4" w:space="0" w:color="auto"/>
              <w:bottom w:val="single" w:sz="4" w:space="0" w:color="auto"/>
              <w:right w:val="single" w:sz="4" w:space="0" w:color="auto"/>
            </w:tcBorders>
          </w:tcPr>
          <w:p w14:paraId="6980142B" w14:textId="77777777" w:rsidR="00A052DC" w:rsidRDefault="009F0A60">
            <w:pPr>
              <w:pStyle w:val="B"/>
              <w:rPr>
                <w:szCs w:val="20"/>
              </w:rPr>
            </w:pPr>
            <w:r>
              <w:rPr>
                <w:rFonts w:hint="eastAsia"/>
                <w:szCs w:val="20"/>
              </w:rPr>
              <w:t>字符型，</w:t>
            </w:r>
            <w:r>
              <w:rPr>
                <w:szCs w:val="20"/>
              </w:rPr>
              <w:t>36</w:t>
            </w:r>
          </w:p>
        </w:tc>
        <w:tc>
          <w:tcPr>
            <w:tcW w:w="3543" w:type="dxa"/>
            <w:tcBorders>
              <w:top w:val="single" w:sz="4" w:space="0" w:color="auto"/>
              <w:left w:val="single" w:sz="4" w:space="0" w:color="auto"/>
              <w:bottom w:val="single" w:sz="4" w:space="0" w:color="auto"/>
              <w:right w:val="single" w:sz="4" w:space="0" w:color="auto"/>
            </w:tcBorders>
          </w:tcPr>
          <w:p w14:paraId="71929633" w14:textId="77777777" w:rsidR="00A052DC" w:rsidRDefault="009F0A60">
            <w:pPr>
              <w:pStyle w:val="B"/>
              <w:rPr>
                <w:szCs w:val="20"/>
              </w:rPr>
            </w:pPr>
            <w:r>
              <w:rPr>
                <w:rFonts w:hint="eastAsia"/>
                <w:szCs w:val="20"/>
              </w:rPr>
              <w:t>必填项。对于接口报送的填报主体，数据自编码中的报送期（6位）应与报告期（YYYYMM）一致。</w:t>
            </w:r>
          </w:p>
        </w:tc>
      </w:tr>
      <w:tr w:rsidR="00A052DC" w14:paraId="2D4F588B" w14:textId="77777777">
        <w:tc>
          <w:tcPr>
            <w:tcW w:w="1843" w:type="dxa"/>
            <w:tcBorders>
              <w:top w:val="single" w:sz="4" w:space="0" w:color="auto"/>
              <w:left w:val="single" w:sz="4" w:space="0" w:color="auto"/>
              <w:bottom w:val="single" w:sz="4" w:space="0" w:color="auto"/>
              <w:right w:val="single" w:sz="4" w:space="0" w:color="auto"/>
            </w:tcBorders>
          </w:tcPr>
          <w:p w14:paraId="519C88AE" w14:textId="77777777" w:rsidR="00A052DC" w:rsidRDefault="009F0A60">
            <w:pPr>
              <w:pStyle w:val="B"/>
              <w:rPr>
                <w:szCs w:val="20"/>
              </w:rPr>
            </w:pPr>
            <w:r>
              <w:rPr>
                <w:szCs w:val="20"/>
              </w:rPr>
              <w:t>OBJCODE</w:t>
            </w:r>
          </w:p>
        </w:tc>
        <w:tc>
          <w:tcPr>
            <w:tcW w:w="1560" w:type="dxa"/>
            <w:tcBorders>
              <w:top w:val="single" w:sz="4" w:space="0" w:color="auto"/>
              <w:left w:val="single" w:sz="4" w:space="0" w:color="auto"/>
              <w:bottom w:val="single" w:sz="4" w:space="0" w:color="auto"/>
              <w:right w:val="single" w:sz="4" w:space="0" w:color="auto"/>
            </w:tcBorders>
          </w:tcPr>
          <w:p w14:paraId="7D346B27" w14:textId="77777777" w:rsidR="00A052DC" w:rsidRDefault="009F0A60">
            <w:pPr>
              <w:pStyle w:val="B"/>
              <w:rPr>
                <w:szCs w:val="20"/>
              </w:rPr>
            </w:pPr>
            <w:r>
              <w:rPr>
                <w:rFonts w:hint="eastAsia"/>
                <w:szCs w:val="20"/>
              </w:rPr>
              <w:t>申报主体代码</w:t>
            </w:r>
          </w:p>
        </w:tc>
        <w:tc>
          <w:tcPr>
            <w:tcW w:w="1701" w:type="dxa"/>
            <w:tcBorders>
              <w:top w:val="single" w:sz="4" w:space="0" w:color="auto"/>
              <w:left w:val="single" w:sz="4" w:space="0" w:color="auto"/>
              <w:bottom w:val="single" w:sz="4" w:space="0" w:color="auto"/>
              <w:right w:val="single" w:sz="4" w:space="0" w:color="auto"/>
            </w:tcBorders>
          </w:tcPr>
          <w:p w14:paraId="5EFF9F3E" w14:textId="77777777" w:rsidR="00A052DC" w:rsidRDefault="009F0A60">
            <w:pPr>
              <w:pStyle w:val="B"/>
              <w:rPr>
                <w:szCs w:val="20"/>
              </w:rPr>
            </w:pPr>
            <w:r>
              <w:rPr>
                <w:rFonts w:hint="eastAsia"/>
                <w:szCs w:val="20"/>
              </w:rPr>
              <w:t>字符型，</w:t>
            </w:r>
            <w:r>
              <w:rPr>
                <w:szCs w:val="20"/>
              </w:rPr>
              <w:t>18</w:t>
            </w:r>
          </w:p>
        </w:tc>
        <w:tc>
          <w:tcPr>
            <w:tcW w:w="3543" w:type="dxa"/>
            <w:tcBorders>
              <w:top w:val="single" w:sz="4" w:space="0" w:color="auto"/>
              <w:left w:val="single" w:sz="4" w:space="0" w:color="auto"/>
              <w:bottom w:val="single" w:sz="4" w:space="0" w:color="auto"/>
              <w:right w:val="single" w:sz="4" w:space="0" w:color="auto"/>
            </w:tcBorders>
          </w:tcPr>
          <w:p w14:paraId="0F8CF2E8" w14:textId="77777777" w:rsidR="00A052DC" w:rsidRDefault="009F0A60">
            <w:pPr>
              <w:pStyle w:val="B"/>
              <w:rPr>
                <w:szCs w:val="20"/>
              </w:rPr>
            </w:pPr>
            <w:r>
              <w:rPr>
                <w:rFonts w:hint="eastAsia"/>
                <w:szCs w:val="20"/>
              </w:rPr>
              <w:t>申报主体的12位金融机构标识码，如果没有金融机构标识码，则填报统一社会信用代码法定载体（如营业执照）上统一社会信用代码中的第9至17位或国家外汇管理局及其分支局签发的特殊机构代码赋码通知书上的机构代码、个人身份证件号码。</w:t>
            </w:r>
          </w:p>
        </w:tc>
      </w:tr>
      <w:tr w:rsidR="00A052DC" w14:paraId="065DC81E" w14:textId="77777777">
        <w:tc>
          <w:tcPr>
            <w:tcW w:w="1843" w:type="dxa"/>
            <w:tcBorders>
              <w:top w:val="single" w:sz="4" w:space="0" w:color="auto"/>
              <w:left w:val="single" w:sz="4" w:space="0" w:color="auto"/>
              <w:bottom w:val="single" w:sz="4" w:space="0" w:color="auto"/>
              <w:right w:val="single" w:sz="4" w:space="0" w:color="auto"/>
            </w:tcBorders>
          </w:tcPr>
          <w:p w14:paraId="5804910E" w14:textId="77777777" w:rsidR="00A052DC" w:rsidRDefault="009F0A60">
            <w:pPr>
              <w:pStyle w:val="B"/>
              <w:rPr>
                <w:szCs w:val="20"/>
              </w:rPr>
            </w:pPr>
            <w:r>
              <w:rPr>
                <w:szCs w:val="20"/>
              </w:rPr>
              <w:t>BUOCMONTH</w:t>
            </w:r>
          </w:p>
        </w:tc>
        <w:tc>
          <w:tcPr>
            <w:tcW w:w="1560" w:type="dxa"/>
            <w:tcBorders>
              <w:top w:val="single" w:sz="4" w:space="0" w:color="auto"/>
              <w:left w:val="single" w:sz="4" w:space="0" w:color="auto"/>
              <w:bottom w:val="single" w:sz="4" w:space="0" w:color="auto"/>
              <w:right w:val="single" w:sz="4" w:space="0" w:color="auto"/>
            </w:tcBorders>
          </w:tcPr>
          <w:p w14:paraId="423DA7A5" w14:textId="77777777" w:rsidR="00A052DC" w:rsidRDefault="009F0A60">
            <w:pPr>
              <w:pStyle w:val="B"/>
              <w:rPr>
                <w:szCs w:val="20"/>
              </w:rPr>
            </w:pPr>
            <w:r>
              <w:rPr>
                <w:rFonts w:hint="eastAsia"/>
                <w:szCs w:val="20"/>
              </w:rPr>
              <w:t>报告期</w:t>
            </w:r>
          </w:p>
        </w:tc>
        <w:tc>
          <w:tcPr>
            <w:tcW w:w="1701" w:type="dxa"/>
            <w:tcBorders>
              <w:top w:val="single" w:sz="4" w:space="0" w:color="auto"/>
              <w:left w:val="single" w:sz="4" w:space="0" w:color="auto"/>
              <w:bottom w:val="single" w:sz="4" w:space="0" w:color="auto"/>
              <w:right w:val="single" w:sz="4" w:space="0" w:color="auto"/>
            </w:tcBorders>
          </w:tcPr>
          <w:p w14:paraId="52552B73" w14:textId="77777777" w:rsidR="00A052DC" w:rsidRDefault="009F0A60">
            <w:pPr>
              <w:pStyle w:val="B"/>
              <w:rPr>
                <w:szCs w:val="20"/>
              </w:rPr>
            </w:pPr>
            <w:r>
              <w:rPr>
                <w:rFonts w:hint="eastAsia"/>
                <w:szCs w:val="20"/>
              </w:rPr>
              <w:t>数值型，</w:t>
            </w:r>
            <w:r>
              <w:rPr>
                <w:szCs w:val="20"/>
              </w:rPr>
              <w:t>6</w:t>
            </w:r>
          </w:p>
        </w:tc>
        <w:tc>
          <w:tcPr>
            <w:tcW w:w="3543" w:type="dxa"/>
            <w:tcBorders>
              <w:top w:val="single" w:sz="4" w:space="0" w:color="auto"/>
              <w:left w:val="single" w:sz="4" w:space="0" w:color="auto"/>
              <w:bottom w:val="single" w:sz="4" w:space="0" w:color="auto"/>
              <w:right w:val="single" w:sz="4" w:space="0" w:color="auto"/>
            </w:tcBorders>
          </w:tcPr>
          <w:p w14:paraId="2870B1B2" w14:textId="77777777" w:rsidR="00A052DC" w:rsidRDefault="009F0A60">
            <w:pPr>
              <w:pStyle w:val="B"/>
              <w:rPr>
                <w:szCs w:val="20"/>
              </w:rPr>
            </w:pPr>
            <w:r>
              <w:rPr>
                <w:rFonts w:hint="eastAsia"/>
                <w:szCs w:val="20"/>
              </w:rPr>
              <w:t>必填项，格式为YYYYMM。</w:t>
            </w:r>
          </w:p>
        </w:tc>
      </w:tr>
      <w:tr w:rsidR="00A052DC" w14:paraId="67752595" w14:textId="77777777">
        <w:tc>
          <w:tcPr>
            <w:tcW w:w="1843" w:type="dxa"/>
            <w:tcBorders>
              <w:top w:val="single" w:sz="4" w:space="0" w:color="auto"/>
              <w:left w:val="single" w:sz="4" w:space="0" w:color="auto"/>
              <w:bottom w:val="single" w:sz="4" w:space="0" w:color="auto"/>
              <w:right w:val="single" w:sz="4" w:space="0" w:color="auto"/>
            </w:tcBorders>
          </w:tcPr>
          <w:p w14:paraId="56D2E131" w14:textId="77777777" w:rsidR="00A052DC" w:rsidRDefault="009F0A60">
            <w:pPr>
              <w:pStyle w:val="B"/>
              <w:rPr>
                <w:szCs w:val="20"/>
              </w:rPr>
            </w:pPr>
            <w:r>
              <w:rPr>
                <w:szCs w:val="20"/>
              </w:rPr>
              <w:t>E0301</w:t>
            </w:r>
          </w:p>
        </w:tc>
        <w:tc>
          <w:tcPr>
            <w:tcW w:w="1560" w:type="dxa"/>
            <w:tcBorders>
              <w:top w:val="single" w:sz="4" w:space="0" w:color="auto"/>
              <w:left w:val="single" w:sz="4" w:space="0" w:color="auto"/>
              <w:bottom w:val="single" w:sz="4" w:space="0" w:color="auto"/>
              <w:right w:val="single" w:sz="4" w:space="0" w:color="auto"/>
            </w:tcBorders>
          </w:tcPr>
          <w:p w14:paraId="7315FAC7" w14:textId="77777777" w:rsidR="00A052DC" w:rsidRDefault="009F0A60">
            <w:pPr>
              <w:rPr>
                <w:rFonts w:ascii="黑体" w:eastAsia="黑体" w:hAnsi="黑体"/>
                <w:kern w:val="0"/>
                <w:sz w:val="20"/>
                <w:szCs w:val="20"/>
              </w:rPr>
            </w:pPr>
            <w:r>
              <w:rPr>
                <w:rFonts w:ascii="黑体" w:eastAsia="黑体" w:hAnsi="黑体" w:hint="eastAsia"/>
                <w:kern w:val="0"/>
                <w:sz w:val="20"/>
                <w:szCs w:val="20"/>
              </w:rPr>
              <w:t>运输方式</w:t>
            </w:r>
          </w:p>
        </w:tc>
        <w:tc>
          <w:tcPr>
            <w:tcW w:w="1701" w:type="dxa"/>
            <w:tcBorders>
              <w:top w:val="single" w:sz="4" w:space="0" w:color="auto"/>
              <w:left w:val="single" w:sz="4" w:space="0" w:color="auto"/>
              <w:bottom w:val="single" w:sz="4" w:space="0" w:color="auto"/>
              <w:right w:val="single" w:sz="4" w:space="0" w:color="auto"/>
            </w:tcBorders>
          </w:tcPr>
          <w:p w14:paraId="2D42864D" w14:textId="77777777" w:rsidR="00A052DC" w:rsidRDefault="009F0A60">
            <w:pPr>
              <w:pStyle w:val="B"/>
              <w:rPr>
                <w:szCs w:val="20"/>
              </w:rPr>
            </w:pPr>
            <w:r>
              <w:rPr>
                <w:rFonts w:hint="eastAsia"/>
                <w:szCs w:val="20"/>
              </w:rPr>
              <w:t>整数型</w:t>
            </w:r>
          </w:p>
        </w:tc>
        <w:tc>
          <w:tcPr>
            <w:tcW w:w="3543" w:type="dxa"/>
            <w:tcBorders>
              <w:top w:val="single" w:sz="4" w:space="0" w:color="auto"/>
              <w:left w:val="single" w:sz="4" w:space="0" w:color="auto"/>
              <w:bottom w:val="single" w:sz="4" w:space="0" w:color="auto"/>
              <w:right w:val="single" w:sz="4" w:space="0" w:color="auto"/>
            </w:tcBorders>
          </w:tcPr>
          <w:p w14:paraId="6C2701ED" w14:textId="77777777" w:rsidR="00A052DC" w:rsidRDefault="009F0A60">
            <w:pPr>
              <w:pStyle w:val="B"/>
              <w:rPr>
                <w:szCs w:val="20"/>
              </w:rPr>
            </w:pPr>
            <w:r>
              <w:rPr>
                <w:rFonts w:hint="eastAsia"/>
                <w:szCs w:val="20"/>
              </w:rPr>
              <w:t>必填项，必须6选1：</w:t>
            </w:r>
          </w:p>
          <w:p w14:paraId="2F81C5A7" w14:textId="77777777" w:rsidR="00A052DC" w:rsidRDefault="009F0A60">
            <w:pPr>
              <w:pStyle w:val="B"/>
              <w:rPr>
                <w:szCs w:val="20"/>
              </w:rPr>
            </w:pPr>
            <w:r>
              <w:rPr>
                <w:rFonts w:hint="eastAsia"/>
                <w:szCs w:val="20"/>
              </w:rPr>
              <w:t>1-海运；</w:t>
            </w:r>
          </w:p>
          <w:p w14:paraId="20886885" w14:textId="77777777" w:rsidR="00A052DC" w:rsidRDefault="009F0A60">
            <w:pPr>
              <w:pStyle w:val="B"/>
              <w:rPr>
                <w:szCs w:val="20"/>
              </w:rPr>
            </w:pPr>
            <w:r>
              <w:rPr>
                <w:rFonts w:hint="eastAsia"/>
                <w:szCs w:val="20"/>
              </w:rPr>
              <w:t>2-空运；</w:t>
            </w:r>
          </w:p>
          <w:p w14:paraId="2C1E696B" w14:textId="77777777" w:rsidR="00A052DC" w:rsidRDefault="009F0A60">
            <w:pPr>
              <w:pStyle w:val="B"/>
              <w:rPr>
                <w:szCs w:val="20"/>
              </w:rPr>
            </w:pPr>
            <w:r>
              <w:rPr>
                <w:rFonts w:hint="eastAsia"/>
                <w:szCs w:val="20"/>
              </w:rPr>
              <w:t>3-铁路运输；</w:t>
            </w:r>
          </w:p>
          <w:p w14:paraId="25BF0311" w14:textId="77777777" w:rsidR="00A052DC" w:rsidRDefault="009F0A60">
            <w:pPr>
              <w:pStyle w:val="B"/>
              <w:rPr>
                <w:szCs w:val="20"/>
              </w:rPr>
            </w:pPr>
            <w:r>
              <w:rPr>
                <w:rFonts w:hint="eastAsia"/>
                <w:szCs w:val="20"/>
              </w:rPr>
              <w:t>4-管道运输；</w:t>
            </w:r>
          </w:p>
          <w:p w14:paraId="2BE56ACF" w14:textId="77777777" w:rsidR="00A052DC" w:rsidRDefault="009F0A60">
            <w:pPr>
              <w:pStyle w:val="B"/>
              <w:rPr>
                <w:szCs w:val="20"/>
              </w:rPr>
            </w:pPr>
            <w:r>
              <w:rPr>
                <w:rFonts w:hint="eastAsia"/>
                <w:szCs w:val="20"/>
              </w:rPr>
              <w:t>5-邮政和邮递；</w:t>
            </w:r>
          </w:p>
          <w:p w14:paraId="1B3F538E" w14:textId="77777777" w:rsidR="00A052DC" w:rsidRDefault="009F0A60">
            <w:pPr>
              <w:pStyle w:val="B"/>
              <w:widowControl w:val="0"/>
              <w:rPr>
                <w:szCs w:val="20"/>
              </w:rPr>
            </w:pPr>
            <w:r>
              <w:rPr>
                <w:rFonts w:hint="eastAsia"/>
                <w:szCs w:val="20"/>
              </w:rPr>
              <w:t>6-其他（包括公路运输、内陆水运、空间运输、电力运输等）。</w:t>
            </w:r>
          </w:p>
        </w:tc>
      </w:tr>
      <w:tr w:rsidR="00A052DC" w14:paraId="6696E0B4" w14:textId="77777777">
        <w:tc>
          <w:tcPr>
            <w:tcW w:w="1843" w:type="dxa"/>
            <w:tcBorders>
              <w:top w:val="single" w:sz="4" w:space="0" w:color="auto"/>
              <w:left w:val="single" w:sz="4" w:space="0" w:color="auto"/>
              <w:bottom w:val="single" w:sz="4" w:space="0" w:color="auto"/>
              <w:right w:val="single" w:sz="4" w:space="0" w:color="auto"/>
            </w:tcBorders>
          </w:tcPr>
          <w:p w14:paraId="142FAB69" w14:textId="77777777" w:rsidR="00A052DC" w:rsidRDefault="009F0A60">
            <w:pPr>
              <w:pStyle w:val="B"/>
              <w:widowControl w:val="0"/>
              <w:rPr>
                <w:szCs w:val="20"/>
              </w:rPr>
            </w:pPr>
            <w:r>
              <w:rPr>
                <w:szCs w:val="20"/>
              </w:rPr>
              <w:t>E0302</w:t>
            </w:r>
          </w:p>
        </w:tc>
        <w:tc>
          <w:tcPr>
            <w:tcW w:w="1560" w:type="dxa"/>
            <w:tcBorders>
              <w:top w:val="single" w:sz="4" w:space="0" w:color="auto"/>
              <w:left w:val="single" w:sz="4" w:space="0" w:color="auto"/>
              <w:bottom w:val="single" w:sz="4" w:space="0" w:color="auto"/>
              <w:right w:val="single" w:sz="4" w:space="0" w:color="auto"/>
            </w:tcBorders>
          </w:tcPr>
          <w:p w14:paraId="03CF8C4D" w14:textId="77777777" w:rsidR="00A052DC" w:rsidRDefault="009F0A60">
            <w:pPr>
              <w:rPr>
                <w:rFonts w:ascii="黑体" w:eastAsia="黑体" w:hAnsi="黑体"/>
                <w:kern w:val="0"/>
                <w:sz w:val="20"/>
                <w:szCs w:val="20"/>
              </w:rPr>
            </w:pPr>
            <w:r>
              <w:rPr>
                <w:rFonts w:ascii="黑体" w:eastAsia="黑体" w:hAnsi="黑体" w:hint="eastAsia"/>
                <w:kern w:val="0"/>
                <w:sz w:val="20"/>
                <w:szCs w:val="20"/>
              </w:rPr>
              <w:t>业务类型</w:t>
            </w:r>
          </w:p>
        </w:tc>
        <w:tc>
          <w:tcPr>
            <w:tcW w:w="1701" w:type="dxa"/>
            <w:tcBorders>
              <w:top w:val="single" w:sz="4" w:space="0" w:color="auto"/>
              <w:left w:val="single" w:sz="4" w:space="0" w:color="auto"/>
              <w:bottom w:val="single" w:sz="4" w:space="0" w:color="auto"/>
              <w:right w:val="single" w:sz="4" w:space="0" w:color="auto"/>
            </w:tcBorders>
          </w:tcPr>
          <w:p w14:paraId="4C461F71" w14:textId="77777777" w:rsidR="00A052DC" w:rsidRDefault="009F0A60">
            <w:pPr>
              <w:pStyle w:val="B"/>
              <w:widowControl w:val="0"/>
              <w:rPr>
                <w:szCs w:val="20"/>
              </w:rPr>
            </w:pPr>
            <w:r>
              <w:rPr>
                <w:rFonts w:hint="eastAsia"/>
                <w:szCs w:val="20"/>
              </w:rPr>
              <w:t>整数型</w:t>
            </w:r>
          </w:p>
        </w:tc>
        <w:tc>
          <w:tcPr>
            <w:tcW w:w="3543" w:type="dxa"/>
            <w:tcBorders>
              <w:top w:val="single" w:sz="4" w:space="0" w:color="auto"/>
              <w:left w:val="single" w:sz="4" w:space="0" w:color="auto"/>
              <w:bottom w:val="single" w:sz="4" w:space="0" w:color="auto"/>
              <w:right w:val="single" w:sz="4" w:space="0" w:color="auto"/>
            </w:tcBorders>
          </w:tcPr>
          <w:p w14:paraId="3931181B" w14:textId="77777777" w:rsidR="00A052DC" w:rsidRDefault="009F0A60">
            <w:pPr>
              <w:pStyle w:val="B"/>
              <w:widowControl w:val="0"/>
            </w:pPr>
            <w:r>
              <w:rPr>
                <w:rFonts w:ascii="宋体" w:hAnsi="宋体" w:hint="eastAsia"/>
              </w:rPr>
              <w:t>必填项，必须</w:t>
            </w:r>
            <w:r>
              <w:rPr>
                <w:rFonts w:cs="黑体" w:hint="eastAsia"/>
              </w:rPr>
              <w:t>4选1</w:t>
            </w:r>
            <w:r>
              <w:rPr>
                <w:rFonts w:ascii="宋体" w:hAnsi="宋体" w:hint="eastAsia"/>
              </w:rPr>
              <w:t>：</w:t>
            </w:r>
          </w:p>
          <w:p w14:paraId="2B76866C" w14:textId="77777777" w:rsidR="00A052DC" w:rsidRDefault="009F0A60">
            <w:pPr>
              <w:pStyle w:val="B"/>
              <w:widowControl w:val="0"/>
              <w:numPr>
                <w:ilvl w:val="0"/>
                <w:numId w:val="17"/>
              </w:numPr>
              <w:rPr>
                <w:rFonts w:cs="黑体"/>
              </w:rPr>
            </w:pPr>
            <w:r>
              <w:rPr>
                <w:rFonts w:cs="黑体" w:hint="eastAsia"/>
              </w:rPr>
              <w:t>客运；</w:t>
            </w:r>
          </w:p>
          <w:p w14:paraId="7D0FA310" w14:textId="77777777" w:rsidR="00A052DC" w:rsidRDefault="009F0A60">
            <w:pPr>
              <w:pStyle w:val="B"/>
              <w:widowControl w:val="0"/>
              <w:numPr>
                <w:ilvl w:val="255"/>
                <w:numId w:val="0"/>
              </w:numPr>
              <w:rPr>
                <w:rFonts w:cs="黑体"/>
              </w:rPr>
            </w:pPr>
            <w:r>
              <w:rPr>
                <w:rFonts w:cs="黑体"/>
              </w:rPr>
              <w:t>2-</w:t>
            </w:r>
            <w:r>
              <w:rPr>
                <w:rFonts w:cs="黑体" w:hint="eastAsia"/>
              </w:rPr>
              <w:t>货运，含带有工作人员的船舶和飞机出租（远洋运输的程租、期租业务以及航空运输的湿租业务）；</w:t>
            </w:r>
          </w:p>
          <w:p w14:paraId="5BEFA81A" w14:textId="77777777" w:rsidR="00A052DC" w:rsidRDefault="009F0A60">
            <w:pPr>
              <w:pStyle w:val="B"/>
              <w:widowControl w:val="0"/>
              <w:numPr>
                <w:ilvl w:val="255"/>
                <w:numId w:val="0"/>
              </w:numPr>
              <w:rPr>
                <w:rFonts w:cs="黑体"/>
              </w:rPr>
            </w:pPr>
            <w:r>
              <w:rPr>
                <w:rFonts w:cs="黑体"/>
              </w:rPr>
              <w:t>3-</w:t>
            </w:r>
            <w:r>
              <w:rPr>
                <w:rFonts w:cs="黑体" w:hint="eastAsia"/>
              </w:rPr>
              <w:t>不带工作人员或操作员的相关设备经营租赁（如远洋运输的光租业务及航空运输的干租业务）；</w:t>
            </w:r>
          </w:p>
          <w:p w14:paraId="1410E110" w14:textId="77777777" w:rsidR="00A052DC" w:rsidRDefault="009F0A60">
            <w:pPr>
              <w:pStyle w:val="B"/>
              <w:widowControl w:val="0"/>
              <w:rPr>
                <w:szCs w:val="20"/>
              </w:rPr>
            </w:pPr>
            <w:r>
              <w:rPr>
                <w:rFonts w:cs="黑体"/>
              </w:rPr>
              <w:t>4-</w:t>
            </w:r>
            <w:r>
              <w:rPr>
                <w:rFonts w:cs="黑体" w:hint="eastAsia"/>
              </w:rPr>
              <w:t>运输附属服务（包括运输辅助服务、装卸搬运服务等）。</w:t>
            </w:r>
          </w:p>
        </w:tc>
      </w:tr>
      <w:tr w:rsidR="00A052DC" w14:paraId="5C33E361" w14:textId="77777777">
        <w:tc>
          <w:tcPr>
            <w:tcW w:w="1843" w:type="dxa"/>
            <w:tcBorders>
              <w:top w:val="single" w:sz="4" w:space="0" w:color="auto"/>
              <w:left w:val="single" w:sz="4" w:space="0" w:color="auto"/>
              <w:bottom w:val="single" w:sz="4" w:space="0" w:color="auto"/>
              <w:right w:val="single" w:sz="4" w:space="0" w:color="auto"/>
            </w:tcBorders>
          </w:tcPr>
          <w:p w14:paraId="45373494" w14:textId="77777777" w:rsidR="00A052DC" w:rsidRDefault="009F0A60">
            <w:pPr>
              <w:pStyle w:val="B"/>
              <w:widowControl w:val="0"/>
              <w:rPr>
                <w:szCs w:val="20"/>
              </w:rPr>
            </w:pPr>
            <w:r>
              <w:rPr>
                <w:szCs w:val="20"/>
              </w:rPr>
              <w:t>E0303</w:t>
            </w:r>
          </w:p>
        </w:tc>
        <w:tc>
          <w:tcPr>
            <w:tcW w:w="1560" w:type="dxa"/>
            <w:tcBorders>
              <w:top w:val="single" w:sz="4" w:space="0" w:color="auto"/>
              <w:left w:val="single" w:sz="4" w:space="0" w:color="auto"/>
              <w:bottom w:val="single" w:sz="4" w:space="0" w:color="auto"/>
              <w:right w:val="single" w:sz="4" w:space="0" w:color="auto"/>
            </w:tcBorders>
          </w:tcPr>
          <w:p w14:paraId="71E8EDC6" w14:textId="77777777" w:rsidR="00A052DC" w:rsidRDefault="009F0A60">
            <w:pPr>
              <w:rPr>
                <w:rFonts w:ascii="黑体" w:eastAsia="黑体" w:hAnsi="黑体"/>
                <w:kern w:val="0"/>
                <w:sz w:val="20"/>
                <w:szCs w:val="20"/>
              </w:rPr>
            </w:pPr>
            <w:r>
              <w:rPr>
                <w:rFonts w:ascii="黑体" w:eastAsia="黑体" w:hAnsi="黑体" w:hint="eastAsia"/>
                <w:kern w:val="0"/>
                <w:sz w:val="20"/>
                <w:szCs w:val="20"/>
              </w:rPr>
              <w:t>交易对手方所属国家</w:t>
            </w:r>
            <w:r>
              <w:rPr>
                <w:rFonts w:ascii="黑体" w:eastAsia="黑体" w:hAnsi="黑体"/>
                <w:kern w:val="0"/>
                <w:sz w:val="20"/>
                <w:szCs w:val="20"/>
              </w:rPr>
              <w:t>/</w:t>
            </w:r>
            <w:r>
              <w:rPr>
                <w:rFonts w:ascii="黑体" w:eastAsia="黑体" w:hAnsi="黑体" w:hint="eastAsia"/>
                <w:kern w:val="0"/>
                <w:sz w:val="20"/>
                <w:szCs w:val="20"/>
              </w:rPr>
              <w:t>地区</w:t>
            </w:r>
          </w:p>
        </w:tc>
        <w:tc>
          <w:tcPr>
            <w:tcW w:w="1701" w:type="dxa"/>
            <w:tcBorders>
              <w:top w:val="single" w:sz="4" w:space="0" w:color="auto"/>
              <w:left w:val="single" w:sz="4" w:space="0" w:color="auto"/>
              <w:bottom w:val="single" w:sz="4" w:space="0" w:color="auto"/>
              <w:right w:val="single" w:sz="4" w:space="0" w:color="auto"/>
            </w:tcBorders>
          </w:tcPr>
          <w:p w14:paraId="0FF6C73C" w14:textId="77777777" w:rsidR="00A052DC" w:rsidRDefault="009F0A60">
            <w:pPr>
              <w:pStyle w:val="B"/>
              <w:widowControl w:val="0"/>
              <w:rPr>
                <w:szCs w:val="20"/>
              </w:rPr>
            </w:pPr>
            <w:r>
              <w:rPr>
                <w:rFonts w:hint="eastAsia"/>
                <w:szCs w:val="20"/>
              </w:rPr>
              <w:t>字符型，3</w:t>
            </w:r>
          </w:p>
        </w:tc>
        <w:tc>
          <w:tcPr>
            <w:tcW w:w="3543" w:type="dxa"/>
            <w:tcBorders>
              <w:top w:val="single" w:sz="4" w:space="0" w:color="auto"/>
              <w:left w:val="single" w:sz="4" w:space="0" w:color="auto"/>
              <w:bottom w:val="single" w:sz="4" w:space="0" w:color="auto"/>
              <w:right w:val="single" w:sz="4" w:space="0" w:color="auto"/>
            </w:tcBorders>
          </w:tcPr>
          <w:p w14:paraId="0945F77B" w14:textId="77777777" w:rsidR="00A052DC" w:rsidRDefault="009F0A60">
            <w:pPr>
              <w:pStyle w:val="B"/>
              <w:widowControl w:val="0"/>
              <w:rPr>
                <w:szCs w:val="20"/>
              </w:rPr>
            </w:pPr>
            <w:r>
              <w:rPr>
                <w:rFonts w:hint="eastAsia"/>
                <w:szCs w:val="20"/>
              </w:rPr>
              <w:t>必填项，见国家和地区代码表的</w:t>
            </w:r>
            <w:r>
              <w:rPr>
                <w:szCs w:val="20"/>
              </w:rPr>
              <w:t>3</w:t>
            </w:r>
            <w:r>
              <w:rPr>
                <w:rFonts w:hint="eastAsia"/>
                <w:szCs w:val="20"/>
              </w:rPr>
              <w:t>位字母代码，必须≠</w:t>
            </w:r>
            <w:r>
              <w:rPr>
                <w:szCs w:val="20"/>
              </w:rPr>
              <w:t>CHN</w:t>
            </w:r>
            <w:r>
              <w:rPr>
                <w:rFonts w:hint="eastAsia"/>
                <w:szCs w:val="20"/>
              </w:rPr>
              <w:t>或N/A。</w:t>
            </w:r>
          </w:p>
        </w:tc>
      </w:tr>
      <w:tr w:rsidR="00A052DC" w14:paraId="03CF815A" w14:textId="77777777">
        <w:tc>
          <w:tcPr>
            <w:tcW w:w="1843" w:type="dxa"/>
            <w:tcBorders>
              <w:top w:val="single" w:sz="4" w:space="0" w:color="auto"/>
              <w:left w:val="single" w:sz="4" w:space="0" w:color="auto"/>
              <w:bottom w:val="single" w:sz="4" w:space="0" w:color="auto"/>
              <w:right w:val="single" w:sz="4" w:space="0" w:color="auto"/>
            </w:tcBorders>
          </w:tcPr>
          <w:p w14:paraId="4DA6D4D5" w14:textId="77777777" w:rsidR="00A052DC" w:rsidRDefault="009F0A60">
            <w:pPr>
              <w:pStyle w:val="B"/>
              <w:widowControl w:val="0"/>
              <w:rPr>
                <w:szCs w:val="20"/>
              </w:rPr>
            </w:pPr>
            <w:r>
              <w:rPr>
                <w:szCs w:val="20"/>
              </w:rPr>
              <w:t>E0304</w:t>
            </w:r>
          </w:p>
        </w:tc>
        <w:tc>
          <w:tcPr>
            <w:tcW w:w="1560" w:type="dxa"/>
            <w:tcBorders>
              <w:top w:val="single" w:sz="4" w:space="0" w:color="auto"/>
              <w:left w:val="single" w:sz="4" w:space="0" w:color="auto"/>
              <w:bottom w:val="single" w:sz="4" w:space="0" w:color="auto"/>
              <w:right w:val="single" w:sz="4" w:space="0" w:color="auto"/>
            </w:tcBorders>
          </w:tcPr>
          <w:p w14:paraId="143FCBFE" w14:textId="77777777" w:rsidR="00A052DC" w:rsidRDefault="009F0A60">
            <w:pPr>
              <w:rPr>
                <w:rFonts w:ascii="黑体" w:eastAsia="黑体" w:hAnsi="黑体"/>
                <w:kern w:val="0"/>
                <w:sz w:val="20"/>
                <w:szCs w:val="20"/>
              </w:rPr>
            </w:pPr>
            <w:r>
              <w:rPr>
                <w:rFonts w:ascii="黑体" w:eastAsia="黑体" w:hAnsi="黑体" w:hint="eastAsia"/>
                <w:kern w:val="0"/>
                <w:sz w:val="20"/>
                <w:szCs w:val="20"/>
              </w:rPr>
              <w:t>出发地</w:t>
            </w:r>
            <w:r>
              <w:rPr>
                <w:rFonts w:ascii="黑体" w:eastAsia="黑体" w:hAnsi="黑体"/>
                <w:kern w:val="0"/>
                <w:sz w:val="20"/>
                <w:szCs w:val="20"/>
              </w:rPr>
              <w:t>/启运国</w:t>
            </w:r>
          </w:p>
        </w:tc>
        <w:tc>
          <w:tcPr>
            <w:tcW w:w="1701" w:type="dxa"/>
            <w:tcBorders>
              <w:top w:val="single" w:sz="4" w:space="0" w:color="auto"/>
              <w:left w:val="single" w:sz="4" w:space="0" w:color="auto"/>
              <w:bottom w:val="single" w:sz="4" w:space="0" w:color="auto"/>
              <w:right w:val="single" w:sz="4" w:space="0" w:color="auto"/>
            </w:tcBorders>
          </w:tcPr>
          <w:p w14:paraId="6E81963A" w14:textId="77777777" w:rsidR="00A052DC" w:rsidRDefault="009F0A60">
            <w:pPr>
              <w:pStyle w:val="B"/>
              <w:widowControl w:val="0"/>
              <w:rPr>
                <w:szCs w:val="20"/>
              </w:rPr>
            </w:pPr>
            <w:r>
              <w:rPr>
                <w:rFonts w:hint="eastAsia"/>
                <w:szCs w:val="20"/>
              </w:rPr>
              <w:t>字符型，3</w:t>
            </w:r>
          </w:p>
        </w:tc>
        <w:tc>
          <w:tcPr>
            <w:tcW w:w="3543" w:type="dxa"/>
            <w:tcBorders>
              <w:top w:val="single" w:sz="4" w:space="0" w:color="auto"/>
              <w:left w:val="single" w:sz="4" w:space="0" w:color="auto"/>
              <w:bottom w:val="single" w:sz="4" w:space="0" w:color="auto"/>
              <w:right w:val="single" w:sz="4" w:space="0" w:color="auto"/>
            </w:tcBorders>
          </w:tcPr>
          <w:p w14:paraId="7C6D2FCB" w14:textId="77777777" w:rsidR="00A052DC" w:rsidRDefault="009F0A60">
            <w:pPr>
              <w:pStyle w:val="B"/>
              <w:widowControl w:val="0"/>
              <w:rPr>
                <w:szCs w:val="20"/>
              </w:rPr>
            </w:pPr>
            <w:r>
              <w:rPr>
                <w:rFonts w:hint="eastAsia"/>
                <w:szCs w:val="20"/>
              </w:rPr>
              <w:t>必填项，见国家和地区代码表的</w:t>
            </w:r>
            <w:r>
              <w:rPr>
                <w:szCs w:val="20"/>
              </w:rPr>
              <w:t>3</w:t>
            </w:r>
            <w:r>
              <w:rPr>
                <w:rFonts w:hint="eastAsia"/>
                <w:szCs w:val="20"/>
              </w:rPr>
              <w:t>位字母代码。</w:t>
            </w:r>
          </w:p>
        </w:tc>
      </w:tr>
      <w:tr w:rsidR="00A052DC" w14:paraId="55422458" w14:textId="77777777">
        <w:tc>
          <w:tcPr>
            <w:tcW w:w="1843" w:type="dxa"/>
            <w:tcBorders>
              <w:top w:val="single" w:sz="4" w:space="0" w:color="auto"/>
              <w:left w:val="single" w:sz="4" w:space="0" w:color="auto"/>
              <w:bottom w:val="single" w:sz="4" w:space="0" w:color="auto"/>
              <w:right w:val="single" w:sz="4" w:space="0" w:color="auto"/>
            </w:tcBorders>
          </w:tcPr>
          <w:p w14:paraId="4AA1FDE3" w14:textId="77777777" w:rsidR="00A052DC" w:rsidRDefault="009F0A60">
            <w:pPr>
              <w:pStyle w:val="B"/>
              <w:widowControl w:val="0"/>
              <w:rPr>
                <w:szCs w:val="20"/>
              </w:rPr>
            </w:pPr>
            <w:r>
              <w:rPr>
                <w:szCs w:val="20"/>
              </w:rPr>
              <w:t>E0305</w:t>
            </w:r>
          </w:p>
        </w:tc>
        <w:tc>
          <w:tcPr>
            <w:tcW w:w="1560" w:type="dxa"/>
            <w:tcBorders>
              <w:top w:val="single" w:sz="4" w:space="0" w:color="auto"/>
              <w:left w:val="single" w:sz="4" w:space="0" w:color="auto"/>
              <w:bottom w:val="single" w:sz="4" w:space="0" w:color="auto"/>
              <w:right w:val="single" w:sz="4" w:space="0" w:color="auto"/>
            </w:tcBorders>
          </w:tcPr>
          <w:p w14:paraId="4395BD0A" w14:textId="77777777" w:rsidR="00A052DC" w:rsidRDefault="009F0A60">
            <w:pPr>
              <w:rPr>
                <w:rFonts w:ascii="黑体" w:eastAsia="黑体" w:hAnsi="黑体"/>
                <w:kern w:val="0"/>
                <w:sz w:val="20"/>
                <w:szCs w:val="20"/>
              </w:rPr>
            </w:pPr>
            <w:r>
              <w:rPr>
                <w:rFonts w:ascii="黑体" w:eastAsia="黑体" w:hAnsi="黑体" w:hint="eastAsia"/>
                <w:kern w:val="0"/>
                <w:sz w:val="20"/>
                <w:szCs w:val="20"/>
              </w:rPr>
              <w:t>目的地</w:t>
            </w:r>
            <w:r>
              <w:rPr>
                <w:rFonts w:ascii="黑体" w:eastAsia="黑体" w:hAnsi="黑体"/>
                <w:kern w:val="0"/>
                <w:sz w:val="20"/>
                <w:szCs w:val="20"/>
              </w:rPr>
              <w:t>/运抵地</w:t>
            </w:r>
          </w:p>
        </w:tc>
        <w:tc>
          <w:tcPr>
            <w:tcW w:w="1701" w:type="dxa"/>
            <w:tcBorders>
              <w:top w:val="single" w:sz="4" w:space="0" w:color="auto"/>
              <w:left w:val="single" w:sz="4" w:space="0" w:color="auto"/>
              <w:bottom w:val="single" w:sz="4" w:space="0" w:color="auto"/>
              <w:right w:val="single" w:sz="4" w:space="0" w:color="auto"/>
            </w:tcBorders>
          </w:tcPr>
          <w:p w14:paraId="6281FEB9" w14:textId="77777777" w:rsidR="00A052DC" w:rsidRDefault="009F0A60">
            <w:pPr>
              <w:pStyle w:val="B"/>
              <w:widowControl w:val="0"/>
              <w:rPr>
                <w:szCs w:val="20"/>
              </w:rPr>
            </w:pPr>
            <w:r>
              <w:rPr>
                <w:rFonts w:hint="eastAsia"/>
                <w:szCs w:val="20"/>
              </w:rPr>
              <w:t>字符型，3</w:t>
            </w:r>
          </w:p>
        </w:tc>
        <w:tc>
          <w:tcPr>
            <w:tcW w:w="3543" w:type="dxa"/>
            <w:tcBorders>
              <w:top w:val="single" w:sz="4" w:space="0" w:color="auto"/>
              <w:left w:val="single" w:sz="4" w:space="0" w:color="auto"/>
              <w:bottom w:val="single" w:sz="4" w:space="0" w:color="auto"/>
              <w:right w:val="single" w:sz="4" w:space="0" w:color="auto"/>
            </w:tcBorders>
          </w:tcPr>
          <w:p w14:paraId="3015F419" w14:textId="77777777" w:rsidR="00A052DC" w:rsidRDefault="009F0A60">
            <w:pPr>
              <w:pStyle w:val="B"/>
              <w:widowControl w:val="0"/>
              <w:rPr>
                <w:szCs w:val="20"/>
              </w:rPr>
            </w:pPr>
            <w:r>
              <w:rPr>
                <w:rFonts w:hint="eastAsia"/>
                <w:szCs w:val="20"/>
              </w:rPr>
              <w:t>必填项，见国家和地区代码表的</w:t>
            </w:r>
            <w:r>
              <w:rPr>
                <w:szCs w:val="20"/>
              </w:rPr>
              <w:t>3</w:t>
            </w:r>
            <w:r>
              <w:rPr>
                <w:rFonts w:hint="eastAsia"/>
                <w:szCs w:val="20"/>
              </w:rPr>
              <w:t>位字母代码。</w:t>
            </w:r>
          </w:p>
        </w:tc>
      </w:tr>
      <w:tr w:rsidR="00A052DC" w14:paraId="01CDF22E" w14:textId="77777777">
        <w:tc>
          <w:tcPr>
            <w:tcW w:w="1843" w:type="dxa"/>
            <w:tcBorders>
              <w:top w:val="single" w:sz="4" w:space="0" w:color="auto"/>
              <w:left w:val="single" w:sz="4" w:space="0" w:color="auto"/>
              <w:bottom w:val="single" w:sz="4" w:space="0" w:color="auto"/>
              <w:right w:val="single" w:sz="4" w:space="0" w:color="auto"/>
            </w:tcBorders>
          </w:tcPr>
          <w:p w14:paraId="657925D3" w14:textId="77777777" w:rsidR="00A052DC" w:rsidRDefault="009F0A60">
            <w:pPr>
              <w:pStyle w:val="B"/>
              <w:widowControl w:val="0"/>
              <w:rPr>
                <w:szCs w:val="20"/>
              </w:rPr>
            </w:pPr>
            <w:r>
              <w:rPr>
                <w:szCs w:val="20"/>
              </w:rPr>
              <w:t>E0306</w:t>
            </w:r>
          </w:p>
        </w:tc>
        <w:tc>
          <w:tcPr>
            <w:tcW w:w="1560" w:type="dxa"/>
            <w:tcBorders>
              <w:top w:val="single" w:sz="4" w:space="0" w:color="auto"/>
              <w:left w:val="single" w:sz="4" w:space="0" w:color="auto"/>
              <w:bottom w:val="single" w:sz="4" w:space="0" w:color="auto"/>
              <w:right w:val="single" w:sz="4" w:space="0" w:color="auto"/>
            </w:tcBorders>
          </w:tcPr>
          <w:p w14:paraId="73ACF208" w14:textId="77777777" w:rsidR="00A052DC" w:rsidRDefault="009F0A60">
            <w:pPr>
              <w:rPr>
                <w:rFonts w:ascii="黑体" w:eastAsia="黑体" w:hAnsi="黑体"/>
                <w:kern w:val="0"/>
                <w:sz w:val="20"/>
                <w:szCs w:val="20"/>
              </w:rPr>
            </w:pPr>
            <w:r>
              <w:rPr>
                <w:rFonts w:ascii="黑体" w:eastAsia="黑体" w:hAnsi="黑体" w:hint="eastAsia"/>
                <w:kern w:val="0"/>
                <w:sz w:val="20"/>
                <w:szCs w:val="20"/>
              </w:rPr>
              <w:t>原始币种</w:t>
            </w:r>
          </w:p>
        </w:tc>
        <w:tc>
          <w:tcPr>
            <w:tcW w:w="1701" w:type="dxa"/>
            <w:tcBorders>
              <w:top w:val="single" w:sz="4" w:space="0" w:color="auto"/>
              <w:left w:val="single" w:sz="4" w:space="0" w:color="auto"/>
              <w:bottom w:val="single" w:sz="4" w:space="0" w:color="auto"/>
              <w:right w:val="single" w:sz="4" w:space="0" w:color="auto"/>
            </w:tcBorders>
          </w:tcPr>
          <w:p w14:paraId="4CCE09B4" w14:textId="77777777" w:rsidR="00A052DC" w:rsidRDefault="009F0A60">
            <w:pPr>
              <w:pStyle w:val="B"/>
              <w:widowControl w:val="0"/>
              <w:rPr>
                <w:szCs w:val="20"/>
              </w:rPr>
            </w:pPr>
            <w:r>
              <w:rPr>
                <w:rFonts w:hint="eastAsia"/>
                <w:szCs w:val="20"/>
              </w:rPr>
              <w:t>字符型，</w:t>
            </w:r>
            <w:r>
              <w:rPr>
                <w:szCs w:val="20"/>
              </w:rPr>
              <w:t>3</w:t>
            </w:r>
          </w:p>
        </w:tc>
        <w:tc>
          <w:tcPr>
            <w:tcW w:w="3543" w:type="dxa"/>
            <w:tcBorders>
              <w:top w:val="single" w:sz="4" w:space="0" w:color="auto"/>
              <w:left w:val="single" w:sz="4" w:space="0" w:color="auto"/>
              <w:bottom w:val="single" w:sz="4" w:space="0" w:color="auto"/>
              <w:right w:val="single" w:sz="4" w:space="0" w:color="auto"/>
            </w:tcBorders>
          </w:tcPr>
          <w:p w14:paraId="17570E58" w14:textId="77777777" w:rsidR="00A052DC" w:rsidRDefault="009F0A60">
            <w:pPr>
              <w:pStyle w:val="B"/>
              <w:widowControl w:val="0"/>
              <w:rPr>
                <w:szCs w:val="20"/>
              </w:rPr>
            </w:pPr>
            <w:r>
              <w:rPr>
                <w:rFonts w:hint="eastAsia"/>
                <w:szCs w:val="20"/>
              </w:rPr>
              <w:t>必填项，见币种代码表。</w:t>
            </w:r>
          </w:p>
        </w:tc>
      </w:tr>
      <w:tr w:rsidR="00A052DC" w14:paraId="19693E21" w14:textId="77777777">
        <w:tc>
          <w:tcPr>
            <w:tcW w:w="1843" w:type="dxa"/>
            <w:tcBorders>
              <w:top w:val="single" w:sz="4" w:space="0" w:color="auto"/>
              <w:left w:val="single" w:sz="4" w:space="0" w:color="auto"/>
              <w:bottom w:val="single" w:sz="4" w:space="0" w:color="auto"/>
              <w:right w:val="single" w:sz="4" w:space="0" w:color="auto"/>
            </w:tcBorders>
          </w:tcPr>
          <w:p w14:paraId="54D088A1" w14:textId="77777777" w:rsidR="00A052DC" w:rsidRDefault="009F0A60">
            <w:pPr>
              <w:pStyle w:val="B"/>
              <w:widowControl w:val="0"/>
              <w:rPr>
                <w:szCs w:val="20"/>
              </w:rPr>
            </w:pPr>
            <w:r>
              <w:rPr>
                <w:szCs w:val="20"/>
              </w:rPr>
              <w:t>E0307</w:t>
            </w:r>
          </w:p>
        </w:tc>
        <w:tc>
          <w:tcPr>
            <w:tcW w:w="1560" w:type="dxa"/>
            <w:tcBorders>
              <w:top w:val="single" w:sz="4" w:space="0" w:color="auto"/>
              <w:left w:val="single" w:sz="4" w:space="0" w:color="auto"/>
              <w:bottom w:val="single" w:sz="4" w:space="0" w:color="auto"/>
              <w:right w:val="single" w:sz="4" w:space="0" w:color="auto"/>
            </w:tcBorders>
          </w:tcPr>
          <w:p w14:paraId="5F1671FD" w14:textId="77777777" w:rsidR="00A052DC" w:rsidRDefault="009F0A60">
            <w:pPr>
              <w:rPr>
                <w:rFonts w:ascii="黑体" w:eastAsia="黑体" w:hAnsi="黑体"/>
                <w:kern w:val="0"/>
                <w:sz w:val="20"/>
                <w:szCs w:val="20"/>
              </w:rPr>
            </w:pPr>
            <w:r>
              <w:rPr>
                <w:rFonts w:ascii="黑体" w:eastAsia="黑体" w:hAnsi="黑体" w:hint="eastAsia"/>
                <w:kern w:val="0"/>
                <w:sz w:val="20"/>
                <w:szCs w:val="20"/>
              </w:rPr>
              <w:t>当期收入</w:t>
            </w:r>
          </w:p>
        </w:tc>
        <w:tc>
          <w:tcPr>
            <w:tcW w:w="1701" w:type="dxa"/>
            <w:tcBorders>
              <w:top w:val="single" w:sz="4" w:space="0" w:color="auto"/>
              <w:left w:val="single" w:sz="4" w:space="0" w:color="auto"/>
              <w:bottom w:val="single" w:sz="4" w:space="0" w:color="auto"/>
              <w:right w:val="single" w:sz="4" w:space="0" w:color="auto"/>
            </w:tcBorders>
          </w:tcPr>
          <w:p w14:paraId="7B1FDE28" w14:textId="77777777" w:rsidR="00A052DC" w:rsidRDefault="009F0A60">
            <w:pPr>
              <w:pStyle w:val="B"/>
              <w:widowControl w:val="0"/>
              <w:rPr>
                <w:szCs w:val="20"/>
              </w:rPr>
            </w:pPr>
            <w:r>
              <w:rPr>
                <w:rFonts w:hint="eastAsia"/>
                <w:szCs w:val="20"/>
              </w:rPr>
              <w:t>数值型，22.2</w:t>
            </w:r>
          </w:p>
        </w:tc>
        <w:tc>
          <w:tcPr>
            <w:tcW w:w="3543" w:type="dxa"/>
            <w:tcBorders>
              <w:top w:val="single" w:sz="4" w:space="0" w:color="auto"/>
              <w:left w:val="single" w:sz="4" w:space="0" w:color="auto"/>
              <w:bottom w:val="single" w:sz="4" w:space="0" w:color="auto"/>
              <w:right w:val="single" w:sz="4" w:space="0" w:color="auto"/>
            </w:tcBorders>
          </w:tcPr>
          <w:p w14:paraId="109AB047" w14:textId="77777777" w:rsidR="00A052DC" w:rsidRDefault="009F0A60">
            <w:pPr>
              <w:pStyle w:val="B"/>
              <w:widowControl w:val="0"/>
              <w:rPr>
                <w:szCs w:val="20"/>
              </w:rPr>
            </w:pPr>
            <w:r>
              <w:rPr>
                <w:rFonts w:hint="eastAsia"/>
                <w:szCs w:val="20"/>
              </w:rPr>
              <w:t>必填项。</w:t>
            </w:r>
          </w:p>
        </w:tc>
      </w:tr>
      <w:tr w:rsidR="00A052DC" w14:paraId="179D0323" w14:textId="77777777">
        <w:tc>
          <w:tcPr>
            <w:tcW w:w="1843" w:type="dxa"/>
            <w:tcBorders>
              <w:top w:val="single" w:sz="4" w:space="0" w:color="auto"/>
              <w:left w:val="single" w:sz="4" w:space="0" w:color="auto"/>
              <w:bottom w:val="single" w:sz="4" w:space="0" w:color="auto"/>
              <w:right w:val="single" w:sz="4" w:space="0" w:color="auto"/>
            </w:tcBorders>
          </w:tcPr>
          <w:p w14:paraId="75814383" w14:textId="77777777" w:rsidR="00A052DC" w:rsidRDefault="009F0A60">
            <w:pPr>
              <w:pStyle w:val="B"/>
              <w:widowControl w:val="0"/>
              <w:rPr>
                <w:szCs w:val="20"/>
              </w:rPr>
            </w:pPr>
            <w:r>
              <w:rPr>
                <w:szCs w:val="20"/>
              </w:rPr>
              <w:t>E0309</w:t>
            </w:r>
          </w:p>
        </w:tc>
        <w:tc>
          <w:tcPr>
            <w:tcW w:w="1560" w:type="dxa"/>
            <w:tcBorders>
              <w:top w:val="single" w:sz="4" w:space="0" w:color="auto"/>
              <w:left w:val="single" w:sz="4" w:space="0" w:color="auto"/>
              <w:bottom w:val="single" w:sz="4" w:space="0" w:color="auto"/>
              <w:right w:val="single" w:sz="4" w:space="0" w:color="auto"/>
            </w:tcBorders>
          </w:tcPr>
          <w:p w14:paraId="7B07FC63" w14:textId="77777777" w:rsidR="00A052DC" w:rsidRDefault="009F0A60">
            <w:pPr>
              <w:pStyle w:val="B"/>
              <w:widowControl w:val="0"/>
              <w:rPr>
                <w:szCs w:val="20"/>
              </w:rPr>
            </w:pPr>
            <w:r>
              <w:rPr>
                <w:rFonts w:hint="eastAsia"/>
                <w:szCs w:val="20"/>
              </w:rPr>
              <w:t>备注</w:t>
            </w:r>
          </w:p>
        </w:tc>
        <w:tc>
          <w:tcPr>
            <w:tcW w:w="1701" w:type="dxa"/>
            <w:tcBorders>
              <w:top w:val="single" w:sz="4" w:space="0" w:color="auto"/>
              <w:left w:val="single" w:sz="4" w:space="0" w:color="auto"/>
              <w:bottom w:val="single" w:sz="4" w:space="0" w:color="auto"/>
              <w:right w:val="single" w:sz="4" w:space="0" w:color="auto"/>
            </w:tcBorders>
          </w:tcPr>
          <w:p w14:paraId="7C6A4F48" w14:textId="77777777" w:rsidR="00A052DC" w:rsidRDefault="009F0A60">
            <w:pPr>
              <w:pStyle w:val="B"/>
              <w:widowControl w:val="0"/>
              <w:rPr>
                <w:szCs w:val="20"/>
              </w:rPr>
            </w:pPr>
            <w:r>
              <w:rPr>
                <w:rFonts w:hint="eastAsia"/>
                <w:szCs w:val="20"/>
              </w:rPr>
              <w:t>字符型，</w:t>
            </w:r>
            <w:r>
              <w:rPr>
                <w:szCs w:val="20"/>
              </w:rPr>
              <w:t>512</w:t>
            </w:r>
          </w:p>
        </w:tc>
        <w:tc>
          <w:tcPr>
            <w:tcW w:w="3543" w:type="dxa"/>
            <w:tcBorders>
              <w:top w:val="single" w:sz="4" w:space="0" w:color="auto"/>
              <w:left w:val="single" w:sz="4" w:space="0" w:color="auto"/>
              <w:bottom w:val="single" w:sz="4" w:space="0" w:color="auto"/>
              <w:right w:val="single" w:sz="4" w:space="0" w:color="auto"/>
            </w:tcBorders>
          </w:tcPr>
          <w:p w14:paraId="15707DF6" w14:textId="77777777" w:rsidR="00A052DC" w:rsidRDefault="009F0A60">
            <w:pPr>
              <w:pStyle w:val="B"/>
              <w:widowControl w:val="0"/>
              <w:rPr>
                <w:szCs w:val="20"/>
              </w:rPr>
            </w:pPr>
            <w:r>
              <w:rPr>
                <w:rFonts w:hint="eastAsia"/>
                <w:szCs w:val="20"/>
              </w:rPr>
              <w:t>非必填项。</w:t>
            </w:r>
          </w:p>
        </w:tc>
      </w:tr>
    </w:tbl>
    <w:p w14:paraId="7D8E151A" w14:textId="77777777" w:rsidR="00A052DC" w:rsidRDefault="009F0A60">
      <w:pPr>
        <w:pStyle w:val="3"/>
        <w:ind w:left="0"/>
        <w:rPr>
          <w:rFonts w:ascii="Times New Roman" w:hAnsi="Times New Roman"/>
        </w:rPr>
      </w:pPr>
      <w:bookmarkStart w:id="3591" w:name="_Toc91455330"/>
      <w:bookmarkStart w:id="3592" w:name="_Toc101684503"/>
      <w:r>
        <w:rPr>
          <w:rFonts w:ascii="Times New Roman" w:hAnsi="Times New Roman"/>
        </w:rPr>
        <w:t>F01</w:t>
      </w:r>
      <w:r>
        <w:rPr>
          <w:rFonts w:ascii="Times New Roman" w:hAnsi="Times New Roman" w:hint="eastAsia"/>
        </w:rPr>
        <w:t>表</w:t>
      </w:r>
      <w:bookmarkStart w:id="3593" w:name="_Toc372634070"/>
      <w:r>
        <w:rPr>
          <w:rFonts w:ascii="Times New Roman" w:hAnsi="Times New Roman" w:hint="eastAsia"/>
        </w:rPr>
        <w:t>：买断出口票据、单证业务</w:t>
      </w:r>
      <w:bookmarkEnd w:id="3582"/>
      <w:bookmarkEnd w:id="3583"/>
      <w:bookmarkEnd w:id="3584"/>
      <w:bookmarkEnd w:id="3591"/>
      <w:bookmarkEnd w:id="3592"/>
      <w:bookmarkEnd w:id="3593"/>
    </w:p>
    <w:p w14:paraId="4ECC79E9" w14:textId="77777777" w:rsidR="00A052DC" w:rsidRDefault="009F0A60" w:rsidP="0020251D">
      <w:pPr>
        <w:pStyle w:val="4"/>
        <w:numPr>
          <w:ilvl w:val="3"/>
          <w:numId w:val="1"/>
        </w:numPr>
        <w:jc w:val="left"/>
      </w:pPr>
      <w:bookmarkStart w:id="3594" w:name="_Toc454391439"/>
      <w:bookmarkStart w:id="3595" w:name="_Toc380570993"/>
      <w:r>
        <w:rPr>
          <w:rFonts w:hint="eastAsia"/>
        </w:rPr>
        <w:t>数据术语解释</w:t>
      </w:r>
      <w:bookmarkEnd w:id="3594"/>
      <w:bookmarkEnd w:id="3595"/>
    </w:p>
    <w:p w14:paraId="156DB60A" w14:textId="77777777" w:rsidR="00A052DC" w:rsidRDefault="00A052DC">
      <w:pPr>
        <w:spacing w:line="240" w:lineRule="exact"/>
        <w:rPr>
          <w:sz w:val="18"/>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6520"/>
      </w:tblGrid>
      <w:tr w:rsidR="00A052DC" w14:paraId="13B851B3" w14:textId="77777777">
        <w:trPr>
          <w:cantSplit/>
        </w:trPr>
        <w:tc>
          <w:tcPr>
            <w:tcW w:w="2093" w:type="dxa"/>
            <w:noWrap/>
          </w:tcPr>
          <w:p w14:paraId="2CED61AB" w14:textId="77777777" w:rsidR="00A052DC" w:rsidRDefault="009F0A60">
            <w:pPr>
              <w:pStyle w:val="B1"/>
            </w:pPr>
            <w:r>
              <w:rPr>
                <w:rFonts w:hint="eastAsia"/>
              </w:rPr>
              <w:t>基础数据项</w:t>
            </w:r>
          </w:p>
        </w:tc>
        <w:tc>
          <w:tcPr>
            <w:tcW w:w="6520" w:type="dxa"/>
            <w:noWrap/>
          </w:tcPr>
          <w:p w14:paraId="29C8B444" w14:textId="77777777" w:rsidR="00A052DC" w:rsidRDefault="009F0A60">
            <w:pPr>
              <w:pStyle w:val="B1"/>
            </w:pPr>
            <w:r>
              <w:rPr>
                <w:rFonts w:hint="eastAsia"/>
              </w:rPr>
              <w:t>定义</w:t>
            </w:r>
          </w:p>
        </w:tc>
      </w:tr>
      <w:tr w:rsidR="00A052DC" w14:paraId="79F05E3F" w14:textId="77777777">
        <w:trPr>
          <w:cantSplit/>
        </w:trPr>
        <w:tc>
          <w:tcPr>
            <w:tcW w:w="2093" w:type="dxa"/>
          </w:tcPr>
          <w:p w14:paraId="2122EDF6" w14:textId="77777777" w:rsidR="00A052DC" w:rsidRDefault="009F0A60">
            <w:pPr>
              <w:pStyle w:val="B"/>
              <w:rPr>
                <w:szCs w:val="20"/>
              </w:rPr>
            </w:pPr>
            <w:r>
              <w:rPr>
                <w:rFonts w:hint="eastAsia"/>
                <w:szCs w:val="20"/>
              </w:rPr>
              <w:t>数据自编码</w:t>
            </w:r>
          </w:p>
        </w:tc>
        <w:tc>
          <w:tcPr>
            <w:tcW w:w="6520" w:type="dxa"/>
            <w:noWrap/>
          </w:tcPr>
          <w:p w14:paraId="540FB71B" w14:textId="77777777" w:rsidR="00A052DC" w:rsidRDefault="009F0A60">
            <w:pPr>
              <w:pStyle w:val="B"/>
              <w:rPr>
                <w:szCs w:val="20"/>
              </w:rPr>
            </w:pPr>
            <w:r>
              <w:rPr>
                <w:rFonts w:hint="eastAsia"/>
                <w:szCs w:val="20"/>
              </w:rPr>
              <w:t>该编码用于标识金融机构报送的每一条数据，按给定规则编码，便于进行增删改查等操作。建议规则：机构代码（18位，不足18位补</w:t>
            </w:r>
            <w:r>
              <w:rPr>
                <w:szCs w:val="20"/>
              </w:rPr>
              <w:t>a</w:t>
            </w:r>
            <w:r>
              <w:rPr>
                <w:rFonts w:hint="eastAsia"/>
                <w:szCs w:val="20"/>
              </w:rPr>
              <w:t>）</w:t>
            </w:r>
            <w:r>
              <w:rPr>
                <w:szCs w:val="20"/>
              </w:rPr>
              <w:t>+</w:t>
            </w:r>
            <w:r>
              <w:rPr>
                <w:rFonts w:hint="eastAsia"/>
                <w:szCs w:val="20"/>
              </w:rPr>
              <w:t>报表代码（</w:t>
            </w:r>
            <w:r>
              <w:rPr>
                <w:szCs w:val="20"/>
              </w:rPr>
              <w:t>5</w:t>
            </w:r>
            <w:r>
              <w:rPr>
                <w:rFonts w:hint="eastAsia"/>
                <w:szCs w:val="20"/>
              </w:rPr>
              <w:t>位，不足</w:t>
            </w:r>
            <w:r>
              <w:rPr>
                <w:szCs w:val="20"/>
              </w:rPr>
              <w:t>5</w:t>
            </w:r>
            <w:r>
              <w:rPr>
                <w:rFonts w:hint="eastAsia"/>
                <w:szCs w:val="20"/>
              </w:rPr>
              <w:t>位补</w:t>
            </w:r>
            <w:r>
              <w:rPr>
                <w:szCs w:val="20"/>
              </w:rPr>
              <w:t>a</w:t>
            </w:r>
            <w:r>
              <w:rPr>
                <w:rFonts w:hint="eastAsia"/>
                <w:szCs w:val="20"/>
              </w:rPr>
              <w:t>）</w:t>
            </w:r>
            <w:r>
              <w:rPr>
                <w:szCs w:val="20"/>
              </w:rPr>
              <w:t>+</w:t>
            </w:r>
            <w:r>
              <w:rPr>
                <w:rFonts w:hint="eastAsia"/>
                <w:szCs w:val="20"/>
              </w:rPr>
              <w:t>报送期（</w:t>
            </w:r>
            <w:r>
              <w:rPr>
                <w:szCs w:val="20"/>
              </w:rPr>
              <w:t>6</w:t>
            </w:r>
            <w:r>
              <w:rPr>
                <w:rFonts w:hint="eastAsia"/>
                <w:szCs w:val="20"/>
              </w:rPr>
              <w:t>位）</w:t>
            </w:r>
            <w:r>
              <w:rPr>
                <w:szCs w:val="20"/>
              </w:rPr>
              <w:t>+</w:t>
            </w:r>
            <w:r>
              <w:rPr>
                <w:rFonts w:hint="eastAsia"/>
                <w:szCs w:val="20"/>
              </w:rPr>
              <w:t>顺序号（</w:t>
            </w:r>
            <w:r>
              <w:rPr>
                <w:szCs w:val="20"/>
              </w:rPr>
              <w:t>7</w:t>
            </w:r>
            <w:r>
              <w:rPr>
                <w:rFonts w:hint="eastAsia"/>
                <w:szCs w:val="20"/>
              </w:rPr>
              <w:t>位，从</w:t>
            </w:r>
            <w:r>
              <w:rPr>
                <w:szCs w:val="20"/>
              </w:rPr>
              <w:t>0000001</w:t>
            </w:r>
            <w:r>
              <w:rPr>
                <w:rFonts w:hint="eastAsia"/>
                <w:szCs w:val="20"/>
              </w:rPr>
              <w:t>开始增加）。</w:t>
            </w:r>
          </w:p>
        </w:tc>
      </w:tr>
      <w:tr w:rsidR="00A052DC" w14:paraId="0AAE8819" w14:textId="77777777">
        <w:trPr>
          <w:cantSplit/>
        </w:trPr>
        <w:tc>
          <w:tcPr>
            <w:tcW w:w="2093" w:type="dxa"/>
          </w:tcPr>
          <w:p w14:paraId="155C961E" w14:textId="77777777" w:rsidR="00A052DC" w:rsidRDefault="009F0A60">
            <w:pPr>
              <w:pStyle w:val="B"/>
              <w:rPr>
                <w:szCs w:val="20"/>
              </w:rPr>
            </w:pPr>
            <w:r>
              <w:rPr>
                <w:rFonts w:hint="eastAsia"/>
                <w:szCs w:val="20"/>
              </w:rPr>
              <w:t>申报主体代码</w:t>
            </w:r>
          </w:p>
        </w:tc>
        <w:tc>
          <w:tcPr>
            <w:tcW w:w="6520" w:type="dxa"/>
            <w:noWrap/>
          </w:tcPr>
          <w:p w14:paraId="1BF7C0DC" w14:textId="77777777" w:rsidR="00A052DC" w:rsidRDefault="009F0A60">
            <w:pPr>
              <w:pStyle w:val="B"/>
              <w:rPr>
                <w:szCs w:val="20"/>
              </w:rPr>
            </w:pPr>
            <w:r>
              <w:rPr>
                <w:rFonts w:hint="eastAsia"/>
                <w:szCs w:val="20"/>
              </w:rPr>
              <w:t>申报主体的12位金融机构标识码，如果没有金融机构标识码，则填报统一社会信用代码法定载体（如营业执照）上统一社会信用代码中的第9至17位或国家外汇管理局及其分支局签发的特殊机构代码赋码通知书上的机构代码、个人身份代码。</w:t>
            </w:r>
          </w:p>
        </w:tc>
      </w:tr>
      <w:tr w:rsidR="00A052DC" w14:paraId="0BBB0241" w14:textId="77777777">
        <w:trPr>
          <w:cantSplit/>
        </w:trPr>
        <w:tc>
          <w:tcPr>
            <w:tcW w:w="2093" w:type="dxa"/>
          </w:tcPr>
          <w:p w14:paraId="64A7E831" w14:textId="77777777" w:rsidR="00A052DC" w:rsidRDefault="009F0A60">
            <w:pPr>
              <w:pStyle w:val="B"/>
              <w:rPr>
                <w:szCs w:val="20"/>
              </w:rPr>
            </w:pPr>
            <w:r>
              <w:rPr>
                <w:rFonts w:hint="eastAsia"/>
                <w:szCs w:val="20"/>
              </w:rPr>
              <w:t>报告期</w:t>
            </w:r>
          </w:p>
        </w:tc>
        <w:tc>
          <w:tcPr>
            <w:tcW w:w="6520" w:type="dxa"/>
            <w:noWrap/>
          </w:tcPr>
          <w:p w14:paraId="18839A16" w14:textId="77777777" w:rsidR="00A052DC" w:rsidRDefault="009F0A60">
            <w:pPr>
              <w:pStyle w:val="B"/>
              <w:rPr>
                <w:szCs w:val="20"/>
              </w:rPr>
            </w:pPr>
            <w:r>
              <w:rPr>
                <w:rFonts w:hint="eastAsia"/>
                <w:szCs w:val="20"/>
              </w:rPr>
              <w:t>业务发生月份，格式为</w:t>
            </w:r>
            <w:r>
              <w:rPr>
                <w:szCs w:val="20"/>
              </w:rPr>
              <w:t>YYYYMM</w:t>
            </w:r>
            <w:r>
              <w:rPr>
                <w:rFonts w:hint="eastAsia"/>
                <w:szCs w:val="20"/>
              </w:rPr>
              <w:t>。</w:t>
            </w:r>
          </w:p>
        </w:tc>
      </w:tr>
      <w:tr w:rsidR="00A052DC" w14:paraId="2627E05E" w14:textId="77777777">
        <w:trPr>
          <w:cantSplit/>
        </w:trPr>
        <w:tc>
          <w:tcPr>
            <w:tcW w:w="2093" w:type="dxa"/>
          </w:tcPr>
          <w:p w14:paraId="20523D4D" w14:textId="77777777" w:rsidR="00A052DC" w:rsidRDefault="009F0A60">
            <w:pPr>
              <w:pStyle w:val="B"/>
              <w:rPr>
                <w:szCs w:val="20"/>
              </w:rPr>
            </w:pPr>
            <w:r>
              <w:rPr>
                <w:rFonts w:hint="eastAsia"/>
                <w:szCs w:val="20"/>
              </w:rPr>
              <w:t>相关业务类型</w:t>
            </w:r>
          </w:p>
        </w:tc>
        <w:tc>
          <w:tcPr>
            <w:tcW w:w="6520" w:type="dxa"/>
            <w:noWrap/>
          </w:tcPr>
          <w:p w14:paraId="0E06639B" w14:textId="77777777" w:rsidR="00A052DC" w:rsidRDefault="009F0A60">
            <w:pPr>
              <w:pStyle w:val="B"/>
              <w:rPr>
                <w:szCs w:val="20"/>
              </w:rPr>
            </w:pPr>
            <w:r>
              <w:rPr>
                <w:rFonts w:hint="eastAsia"/>
                <w:szCs w:val="20"/>
              </w:rPr>
              <w:t>按以下三种情况填列：</w:t>
            </w:r>
            <w:r>
              <w:rPr>
                <w:szCs w:val="20"/>
              </w:rPr>
              <w:t>1-</w:t>
            </w:r>
            <w:r>
              <w:rPr>
                <w:rFonts w:hint="eastAsia"/>
                <w:szCs w:val="20"/>
              </w:rPr>
              <w:t>福费廷；</w:t>
            </w:r>
            <w:r>
              <w:rPr>
                <w:szCs w:val="20"/>
              </w:rPr>
              <w:t>2-</w:t>
            </w:r>
            <w:r>
              <w:rPr>
                <w:rFonts w:hint="eastAsia"/>
                <w:szCs w:val="20"/>
              </w:rPr>
              <w:t>买断性质的保理；</w:t>
            </w:r>
            <w:r>
              <w:rPr>
                <w:szCs w:val="20"/>
              </w:rPr>
              <w:t>3-</w:t>
            </w:r>
            <w:r>
              <w:rPr>
                <w:rFonts w:hint="eastAsia"/>
                <w:szCs w:val="20"/>
              </w:rPr>
              <w:t>其他买断贸易融资行为。</w:t>
            </w:r>
          </w:p>
        </w:tc>
      </w:tr>
      <w:tr w:rsidR="00A052DC" w14:paraId="7AC63F8F" w14:textId="77777777">
        <w:trPr>
          <w:cantSplit/>
        </w:trPr>
        <w:tc>
          <w:tcPr>
            <w:tcW w:w="2093" w:type="dxa"/>
          </w:tcPr>
          <w:p w14:paraId="62D72C52" w14:textId="77777777" w:rsidR="00A052DC" w:rsidRDefault="009F0A60">
            <w:pPr>
              <w:pStyle w:val="B"/>
              <w:rPr>
                <w:szCs w:val="20"/>
              </w:rPr>
            </w:pPr>
            <w:r>
              <w:rPr>
                <w:rFonts w:hint="eastAsia"/>
                <w:szCs w:val="20"/>
              </w:rPr>
              <w:t>是否附有银行承兑汇票</w:t>
            </w:r>
          </w:p>
        </w:tc>
        <w:tc>
          <w:tcPr>
            <w:tcW w:w="6520" w:type="dxa"/>
            <w:noWrap/>
          </w:tcPr>
          <w:p w14:paraId="73CC2C23" w14:textId="77777777" w:rsidR="00A052DC" w:rsidRDefault="009F0A60">
            <w:pPr>
              <w:pStyle w:val="B"/>
              <w:rPr>
                <w:szCs w:val="20"/>
              </w:rPr>
            </w:pPr>
            <w:r>
              <w:rPr>
                <w:rFonts w:hint="eastAsia"/>
                <w:szCs w:val="20"/>
              </w:rPr>
              <w:t>请按以下两种情况填列：</w:t>
            </w:r>
            <w:r>
              <w:rPr>
                <w:szCs w:val="20"/>
              </w:rPr>
              <w:t>1-</w:t>
            </w:r>
            <w:r>
              <w:rPr>
                <w:rFonts w:hint="eastAsia"/>
                <w:szCs w:val="20"/>
              </w:rPr>
              <w:t>是；</w:t>
            </w:r>
            <w:r>
              <w:rPr>
                <w:szCs w:val="20"/>
              </w:rPr>
              <w:t>0-</w:t>
            </w:r>
            <w:r>
              <w:rPr>
                <w:rFonts w:hint="eastAsia"/>
                <w:szCs w:val="20"/>
              </w:rPr>
              <w:t>否。</w:t>
            </w:r>
          </w:p>
        </w:tc>
      </w:tr>
      <w:tr w:rsidR="00A052DC" w14:paraId="6889B085" w14:textId="77777777">
        <w:trPr>
          <w:cantSplit/>
        </w:trPr>
        <w:tc>
          <w:tcPr>
            <w:tcW w:w="2093" w:type="dxa"/>
          </w:tcPr>
          <w:p w14:paraId="2281531A" w14:textId="77777777" w:rsidR="00A052DC" w:rsidRDefault="009F0A60">
            <w:pPr>
              <w:pStyle w:val="B"/>
              <w:rPr>
                <w:szCs w:val="20"/>
              </w:rPr>
            </w:pPr>
            <w:r>
              <w:rPr>
                <w:rFonts w:hint="eastAsia"/>
                <w:szCs w:val="20"/>
              </w:rPr>
              <w:t>境外付款人所属国家</w:t>
            </w:r>
            <w:r>
              <w:rPr>
                <w:szCs w:val="20"/>
              </w:rPr>
              <w:t>/</w:t>
            </w:r>
            <w:r>
              <w:rPr>
                <w:rFonts w:hint="eastAsia"/>
                <w:szCs w:val="20"/>
              </w:rPr>
              <w:t>地区</w:t>
            </w:r>
          </w:p>
        </w:tc>
        <w:tc>
          <w:tcPr>
            <w:tcW w:w="6520" w:type="dxa"/>
            <w:noWrap/>
          </w:tcPr>
          <w:p w14:paraId="565DD38D" w14:textId="77777777" w:rsidR="00A052DC" w:rsidRDefault="009F0A60">
            <w:pPr>
              <w:pStyle w:val="B"/>
              <w:rPr>
                <w:szCs w:val="20"/>
              </w:rPr>
            </w:pPr>
            <w:r>
              <w:rPr>
                <w:rFonts w:hint="eastAsia"/>
                <w:szCs w:val="20"/>
              </w:rPr>
              <w:t>见国家和地区代码表，填报本机构所买断出口收款票据或单证的第一性付款人注册地国家</w:t>
            </w:r>
            <w:r>
              <w:rPr>
                <w:szCs w:val="20"/>
              </w:rPr>
              <w:t>/</w:t>
            </w:r>
            <w:r>
              <w:rPr>
                <w:rFonts w:hint="eastAsia"/>
                <w:szCs w:val="20"/>
              </w:rPr>
              <w:t>地区代码。</w:t>
            </w:r>
          </w:p>
        </w:tc>
      </w:tr>
      <w:tr w:rsidR="00A052DC" w14:paraId="37325D0C" w14:textId="77777777">
        <w:trPr>
          <w:cantSplit/>
        </w:trPr>
        <w:tc>
          <w:tcPr>
            <w:tcW w:w="2093" w:type="dxa"/>
          </w:tcPr>
          <w:p w14:paraId="0545D887" w14:textId="77777777" w:rsidR="00A052DC" w:rsidRDefault="009F0A60">
            <w:pPr>
              <w:pStyle w:val="B"/>
              <w:rPr>
                <w:szCs w:val="20"/>
              </w:rPr>
            </w:pPr>
            <w:r>
              <w:rPr>
                <w:rFonts w:hint="eastAsia"/>
                <w:szCs w:val="20"/>
              </w:rPr>
              <w:t>境外付款人所属部门</w:t>
            </w:r>
          </w:p>
        </w:tc>
        <w:tc>
          <w:tcPr>
            <w:tcW w:w="6520" w:type="dxa"/>
            <w:noWrap/>
          </w:tcPr>
          <w:p w14:paraId="63907055" w14:textId="77777777" w:rsidR="00A052DC" w:rsidRDefault="009F0A60">
            <w:pPr>
              <w:pStyle w:val="B"/>
              <w:rPr>
                <w:szCs w:val="20"/>
              </w:rPr>
            </w:pPr>
            <w:r>
              <w:rPr>
                <w:rFonts w:hint="eastAsia"/>
                <w:szCs w:val="20"/>
              </w:rPr>
              <w:t>见投资者（被投资者）部门代码表。请按境外付款人的主营业务归类。</w:t>
            </w:r>
          </w:p>
        </w:tc>
      </w:tr>
      <w:tr w:rsidR="00A052DC" w14:paraId="71E5B99E" w14:textId="77777777">
        <w:trPr>
          <w:cantSplit/>
        </w:trPr>
        <w:tc>
          <w:tcPr>
            <w:tcW w:w="2093" w:type="dxa"/>
          </w:tcPr>
          <w:p w14:paraId="22286BFB" w14:textId="77777777" w:rsidR="00A052DC" w:rsidRDefault="009F0A60">
            <w:pPr>
              <w:pStyle w:val="B"/>
              <w:rPr>
                <w:szCs w:val="20"/>
              </w:rPr>
            </w:pPr>
            <w:r>
              <w:rPr>
                <w:rFonts w:hint="eastAsia"/>
                <w:szCs w:val="20"/>
              </w:rPr>
              <w:t>境外付款人与本机构的关系</w:t>
            </w:r>
          </w:p>
        </w:tc>
        <w:tc>
          <w:tcPr>
            <w:tcW w:w="6520" w:type="dxa"/>
            <w:noWrap/>
          </w:tcPr>
          <w:p w14:paraId="03C32EC4" w14:textId="77777777" w:rsidR="00A052DC" w:rsidRDefault="009F0A60">
            <w:pPr>
              <w:pStyle w:val="B"/>
              <w:rPr>
                <w:szCs w:val="20"/>
              </w:rPr>
            </w:pPr>
            <w:r>
              <w:rPr>
                <w:rFonts w:hint="eastAsia"/>
                <w:szCs w:val="20"/>
              </w:rPr>
              <w:t>见对方与本机构</w:t>
            </w:r>
            <w:r>
              <w:rPr>
                <w:szCs w:val="20"/>
              </w:rPr>
              <w:t>/</w:t>
            </w:r>
            <w:r>
              <w:rPr>
                <w:rFonts w:hint="eastAsia"/>
                <w:szCs w:val="20"/>
              </w:rPr>
              <w:t>被代理居民机构</w:t>
            </w:r>
            <w:r>
              <w:rPr>
                <w:szCs w:val="20"/>
              </w:rPr>
              <w:t>/</w:t>
            </w:r>
            <w:r>
              <w:rPr>
                <w:rFonts w:hint="eastAsia"/>
                <w:szCs w:val="20"/>
              </w:rPr>
              <w:t>委托人的关系代码表。分为以下四种情况：</w:t>
            </w:r>
            <w:r>
              <w:rPr>
                <w:szCs w:val="20"/>
              </w:rPr>
              <w:t>1-</w:t>
            </w:r>
            <w:r>
              <w:rPr>
                <w:rFonts w:hint="eastAsia"/>
                <w:szCs w:val="20"/>
              </w:rPr>
              <w:t>付款人是本机构的境外直接投资者，即持有本机构表决权≥</w:t>
            </w:r>
            <w:r>
              <w:rPr>
                <w:szCs w:val="20"/>
              </w:rPr>
              <w:t>10%</w:t>
            </w:r>
            <w:r>
              <w:rPr>
                <w:rFonts w:hint="eastAsia"/>
                <w:szCs w:val="20"/>
              </w:rPr>
              <w:t>；</w:t>
            </w:r>
            <w:r>
              <w:rPr>
                <w:szCs w:val="20"/>
              </w:rPr>
              <w:t>2-</w:t>
            </w:r>
            <w:r>
              <w:rPr>
                <w:rFonts w:hint="eastAsia"/>
                <w:szCs w:val="20"/>
              </w:rPr>
              <w:t>付款人是本机构的境外直接投资企业，即本机构持有表决权在</w:t>
            </w:r>
            <w:r>
              <w:rPr>
                <w:szCs w:val="20"/>
              </w:rPr>
              <w:t>10%</w:t>
            </w:r>
            <w:r>
              <w:rPr>
                <w:rFonts w:hint="eastAsia"/>
                <w:szCs w:val="20"/>
              </w:rPr>
              <w:t>及以上的境外分支机构、子机构、联营机构或合营机构；</w:t>
            </w:r>
            <w:r>
              <w:rPr>
                <w:szCs w:val="20"/>
              </w:rPr>
              <w:t>3-</w:t>
            </w:r>
            <w:r>
              <w:rPr>
                <w:rFonts w:hint="eastAsia"/>
                <w:szCs w:val="20"/>
              </w:rPr>
              <w:t>付款人是本机构的境外联属机构，即双方有共同母公司，但相互持有表决权＜</w:t>
            </w:r>
            <w:r>
              <w:rPr>
                <w:szCs w:val="20"/>
              </w:rPr>
              <w:t>10%</w:t>
            </w:r>
            <w:r>
              <w:rPr>
                <w:rFonts w:hint="eastAsia"/>
                <w:szCs w:val="20"/>
              </w:rPr>
              <w:t>或相互不持有表决权；</w:t>
            </w:r>
            <w:r>
              <w:rPr>
                <w:szCs w:val="20"/>
              </w:rPr>
              <w:t>4-</w:t>
            </w:r>
            <w:r>
              <w:rPr>
                <w:rFonts w:hint="eastAsia"/>
                <w:szCs w:val="20"/>
              </w:rPr>
              <w:t>付款人与本机构无关联关系。</w:t>
            </w:r>
          </w:p>
        </w:tc>
      </w:tr>
      <w:tr w:rsidR="00A052DC" w14:paraId="0CF3FE1E" w14:textId="77777777">
        <w:trPr>
          <w:cantSplit/>
        </w:trPr>
        <w:tc>
          <w:tcPr>
            <w:tcW w:w="2093" w:type="dxa"/>
          </w:tcPr>
          <w:p w14:paraId="150EC6E1" w14:textId="77777777" w:rsidR="00A052DC" w:rsidRDefault="009F0A60">
            <w:pPr>
              <w:pStyle w:val="B"/>
              <w:rPr>
                <w:szCs w:val="20"/>
              </w:rPr>
            </w:pPr>
            <w:r>
              <w:rPr>
                <w:rFonts w:hint="eastAsia"/>
                <w:szCs w:val="20"/>
              </w:rPr>
              <w:t>原始期限</w:t>
            </w:r>
          </w:p>
        </w:tc>
        <w:tc>
          <w:tcPr>
            <w:tcW w:w="6520" w:type="dxa"/>
            <w:noWrap/>
          </w:tcPr>
          <w:p w14:paraId="72F06F8A" w14:textId="77777777" w:rsidR="00A052DC" w:rsidRDefault="009F0A60">
            <w:pPr>
              <w:pStyle w:val="B"/>
              <w:rPr>
                <w:szCs w:val="20"/>
              </w:rPr>
            </w:pPr>
            <w:r>
              <w:rPr>
                <w:rFonts w:hint="eastAsia"/>
                <w:szCs w:val="20"/>
              </w:rPr>
              <w:t>指从境外付款人付款责任确认至约定最终付款的期限，请按以下两种情况填列：</w:t>
            </w:r>
            <w:r>
              <w:rPr>
                <w:szCs w:val="20"/>
              </w:rPr>
              <w:t>1-</w:t>
            </w:r>
            <w:r>
              <w:rPr>
                <w:rFonts w:hint="eastAsia"/>
                <w:szCs w:val="20"/>
              </w:rPr>
              <w:t>一年及以下；</w:t>
            </w:r>
            <w:r>
              <w:rPr>
                <w:szCs w:val="20"/>
              </w:rPr>
              <w:t>2-</w:t>
            </w:r>
            <w:r>
              <w:rPr>
                <w:rFonts w:hint="eastAsia"/>
                <w:szCs w:val="20"/>
              </w:rPr>
              <w:t>一年以上。其中，不定期或未约定最终付款期限的，请填报为</w:t>
            </w:r>
            <w:r>
              <w:rPr>
                <w:szCs w:val="20"/>
              </w:rPr>
              <w:t>1</w:t>
            </w:r>
            <w:r>
              <w:rPr>
                <w:rFonts w:hint="eastAsia"/>
                <w:szCs w:val="20"/>
              </w:rPr>
              <w:t>。如发生对方付款拖欠或展期的，应按照双方重新确定的期限计算。如双方无安排，应按原期限归类。</w:t>
            </w:r>
          </w:p>
        </w:tc>
      </w:tr>
      <w:tr w:rsidR="00A052DC" w14:paraId="4C0CF98F" w14:textId="77777777">
        <w:trPr>
          <w:cantSplit/>
        </w:trPr>
        <w:tc>
          <w:tcPr>
            <w:tcW w:w="2093" w:type="dxa"/>
          </w:tcPr>
          <w:p w14:paraId="0768777B" w14:textId="77777777" w:rsidR="00A052DC" w:rsidRDefault="009F0A60">
            <w:pPr>
              <w:pStyle w:val="B"/>
              <w:rPr>
                <w:szCs w:val="20"/>
              </w:rPr>
            </w:pPr>
            <w:r>
              <w:rPr>
                <w:rFonts w:hint="eastAsia"/>
                <w:szCs w:val="20"/>
              </w:rPr>
              <w:t>原始币种</w:t>
            </w:r>
          </w:p>
        </w:tc>
        <w:tc>
          <w:tcPr>
            <w:tcW w:w="6520" w:type="dxa"/>
            <w:noWrap/>
          </w:tcPr>
          <w:p w14:paraId="4DBC4E19" w14:textId="77777777" w:rsidR="00A052DC" w:rsidRDefault="009F0A60">
            <w:pPr>
              <w:pStyle w:val="B"/>
              <w:rPr>
                <w:szCs w:val="20"/>
              </w:rPr>
            </w:pPr>
            <w:r>
              <w:rPr>
                <w:rFonts w:hint="eastAsia"/>
                <w:szCs w:val="20"/>
              </w:rPr>
              <w:t>见币种代码表，指相关业务所涉及出口收款票据或单证的计价币种。适用于从“上月末余额”至“本月净发生额”各项。</w:t>
            </w:r>
          </w:p>
        </w:tc>
      </w:tr>
      <w:tr w:rsidR="00A052DC" w14:paraId="3DEEC301" w14:textId="77777777">
        <w:trPr>
          <w:cantSplit/>
        </w:trPr>
        <w:tc>
          <w:tcPr>
            <w:tcW w:w="2093" w:type="dxa"/>
          </w:tcPr>
          <w:p w14:paraId="28CED30B" w14:textId="77777777" w:rsidR="00A052DC" w:rsidRDefault="009F0A60">
            <w:pPr>
              <w:pStyle w:val="B"/>
              <w:rPr>
                <w:szCs w:val="20"/>
              </w:rPr>
            </w:pPr>
            <w:r>
              <w:rPr>
                <w:rFonts w:hint="eastAsia"/>
                <w:szCs w:val="20"/>
              </w:rPr>
              <w:t>上月末余额</w:t>
            </w:r>
          </w:p>
        </w:tc>
        <w:tc>
          <w:tcPr>
            <w:tcW w:w="6520" w:type="dxa"/>
            <w:noWrap/>
          </w:tcPr>
          <w:p w14:paraId="21831CA6" w14:textId="77777777" w:rsidR="00A052DC" w:rsidRDefault="009F0A60">
            <w:pPr>
              <w:pStyle w:val="B"/>
              <w:rPr>
                <w:szCs w:val="20"/>
              </w:rPr>
            </w:pPr>
            <w:r>
              <w:rPr>
                <w:rFonts w:hint="eastAsia"/>
                <w:szCs w:val="20"/>
              </w:rPr>
              <w:t>指上月末所买断出口相关票据或单证的公允价值。如无公允价值，应按其账面（摊余）价值填列。</w:t>
            </w:r>
          </w:p>
        </w:tc>
      </w:tr>
      <w:tr w:rsidR="00A052DC" w14:paraId="1154B33B" w14:textId="77777777">
        <w:trPr>
          <w:cantSplit/>
        </w:trPr>
        <w:tc>
          <w:tcPr>
            <w:tcW w:w="2093" w:type="dxa"/>
          </w:tcPr>
          <w:p w14:paraId="0BBBC7C5" w14:textId="77777777" w:rsidR="00A052DC" w:rsidRDefault="009F0A60">
            <w:pPr>
              <w:pStyle w:val="B"/>
              <w:rPr>
                <w:szCs w:val="20"/>
              </w:rPr>
            </w:pPr>
            <w:r>
              <w:rPr>
                <w:rFonts w:hint="eastAsia"/>
                <w:szCs w:val="20"/>
              </w:rPr>
              <w:t>本月末余额</w:t>
            </w:r>
          </w:p>
        </w:tc>
        <w:tc>
          <w:tcPr>
            <w:tcW w:w="6520" w:type="dxa"/>
            <w:noWrap/>
          </w:tcPr>
          <w:p w14:paraId="3DEB9234" w14:textId="77777777" w:rsidR="00A052DC" w:rsidRDefault="009F0A60">
            <w:pPr>
              <w:pStyle w:val="B"/>
              <w:rPr>
                <w:szCs w:val="20"/>
              </w:rPr>
            </w:pPr>
            <w:r>
              <w:rPr>
                <w:rFonts w:hint="eastAsia"/>
                <w:szCs w:val="20"/>
              </w:rPr>
              <w:t>指本月末所买断出口相关票据或单证的公允价值。如无公允价值，应按其账面（摊余）价值填列。</w:t>
            </w:r>
          </w:p>
        </w:tc>
      </w:tr>
      <w:tr w:rsidR="00A052DC" w14:paraId="635A897E" w14:textId="77777777">
        <w:trPr>
          <w:cantSplit/>
        </w:trPr>
        <w:tc>
          <w:tcPr>
            <w:tcW w:w="2093" w:type="dxa"/>
          </w:tcPr>
          <w:p w14:paraId="796C85D8" w14:textId="77777777" w:rsidR="00A052DC" w:rsidRDefault="009F0A60">
            <w:pPr>
              <w:pStyle w:val="B"/>
              <w:rPr>
                <w:szCs w:val="20"/>
              </w:rPr>
            </w:pPr>
            <w:r>
              <w:rPr>
                <w:rFonts w:hint="eastAsia"/>
                <w:szCs w:val="20"/>
              </w:rPr>
              <w:t>本月末余额其中：剩余期限在一年及以下</w:t>
            </w:r>
          </w:p>
        </w:tc>
        <w:tc>
          <w:tcPr>
            <w:tcW w:w="6520" w:type="dxa"/>
            <w:noWrap/>
          </w:tcPr>
          <w:p w14:paraId="53579E23" w14:textId="77777777" w:rsidR="00A052DC" w:rsidRDefault="009F0A60">
            <w:pPr>
              <w:pStyle w:val="B"/>
              <w:rPr>
                <w:szCs w:val="20"/>
              </w:rPr>
            </w:pPr>
            <w:r>
              <w:rPr>
                <w:rFonts w:hint="eastAsia"/>
                <w:szCs w:val="20"/>
              </w:rPr>
              <w:t>指自本月末至最终到期的在一年及以下相关票据或单证的公允价值。如无公允价值，应按其账面（摊余）价值填列。</w:t>
            </w:r>
          </w:p>
        </w:tc>
      </w:tr>
      <w:tr w:rsidR="00A052DC" w14:paraId="526061FA" w14:textId="77777777">
        <w:trPr>
          <w:cantSplit/>
        </w:trPr>
        <w:tc>
          <w:tcPr>
            <w:tcW w:w="2093" w:type="dxa"/>
          </w:tcPr>
          <w:p w14:paraId="23598C61" w14:textId="77777777" w:rsidR="00A052DC" w:rsidRDefault="009F0A60">
            <w:pPr>
              <w:pStyle w:val="B"/>
              <w:rPr>
                <w:szCs w:val="20"/>
              </w:rPr>
            </w:pPr>
            <w:r>
              <w:rPr>
                <w:rFonts w:hint="eastAsia"/>
                <w:szCs w:val="20"/>
              </w:rPr>
              <w:t>本月非交易变动</w:t>
            </w:r>
          </w:p>
        </w:tc>
        <w:tc>
          <w:tcPr>
            <w:tcW w:w="6520" w:type="dxa"/>
            <w:noWrap/>
          </w:tcPr>
          <w:p w14:paraId="3D6B2467" w14:textId="77777777" w:rsidR="00A052DC" w:rsidRDefault="009F0A60">
            <w:pPr>
              <w:pStyle w:val="B"/>
              <w:rPr>
                <w:szCs w:val="20"/>
              </w:rPr>
            </w:pPr>
            <w:r>
              <w:rPr>
                <w:rFonts w:hint="eastAsia"/>
                <w:szCs w:val="20"/>
              </w:rPr>
              <w:t>反映统计期间由于价格变动等非交易因素引起的出口相关票据或单证价值变动。</w:t>
            </w:r>
          </w:p>
        </w:tc>
      </w:tr>
      <w:tr w:rsidR="00A052DC" w14:paraId="00185AAB" w14:textId="77777777">
        <w:trPr>
          <w:cantSplit/>
        </w:trPr>
        <w:tc>
          <w:tcPr>
            <w:tcW w:w="2093" w:type="dxa"/>
          </w:tcPr>
          <w:p w14:paraId="569B9680" w14:textId="77777777" w:rsidR="00A052DC" w:rsidRDefault="009F0A60">
            <w:pPr>
              <w:pStyle w:val="B"/>
              <w:rPr>
                <w:szCs w:val="20"/>
              </w:rPr>
            </w:pPr>
            <w:r>
              <w:rPr>
                <w:rFonts w:hint="eastAsia"/>
                <w:szCs w:val="20"/>
              </w:rPr>
              <w:t>本月净发生额</w:t>
            </w:r>
          </w:p>
        </w:tc>
        <w:tc>
          <w:tcPr>
            <w:tcW w:w="6520" w:type="dxa"/>
            <w:noWrap/>
          </w:tcPr>
          <w:p w14:paraId="29E98ECF" w14:textId="77777777" w:rsidR="00A052DC" w:rsidRDefault="009F0A60">
            <w:pPr>
              <w:pStyle w:val="B"/>
              <w:rPr>
                <w:szCs w:val="20"/>
              </w:rPr>
            </w:pPr>
            <w:r>
              <w:rPr>
                <w:rFonts w:hint="eastAsia"/>
                <w:szCs w:val="20"/>
              </w:rPr>
              <w:t>指本月内，</w:t>
            </w:r>
            <w:r>
              <w:rPr>
                <w:rFonts w:hint="eastAsia"/>
              </w:rPr>
              <w:t>本机构买卖相关出口收款凭证（如票据或单证）的净值</w:t>
            </w:r>
            <w:r>
              <w:rPr>
                <w:rFonts w:hint="eastAsia"/>
                <w:szCs w:val="20"/>
              </w:rPr>
              <w:t>［</w:t>
            </w:r>
            <w:r>
              <w:rPr>
                <w:rFonts w:hint="eastAsia"/>
              </w:rPr>
              <w:t>买入</w:t>
            </w:r>
            <w:r>
              <w:t>-</w:t>
            </w:r>
            <w:r>
              <w:rPr>
                <w:rFonts w:hint="eastAsia"/>
              </w:rPr>
              <w:t>卖出（或到期收款</w:t>
            </w:r>
            <w:r>
              <w:rPr>
                <w:rFonts w:hint="eastAsia"/>
                <w:szCs w:val="20"/>
              </w:rPr>
              <w:t>）］</w:t>
            </w:r>
            <w:r>
              <w:rPr>
                <w:rFonts w:hint="eastAsia"/>
              </w:rPr>
              <w:t>。</w:t>
            </w:r>
            <w:r>
              <w:rPr>
                <w:rFonts w:hint="eastAsia"/>
                <w:szCs w:val="20"/>
              </w:rPr>
              <w:t>正值代表净买入，负值代表净卖出或到期收款。计算方法为：本月净发生额</w:t>
            </w:r>
            <w:r>
              <w:rPr>
                <w:szCs w:val="20"/>
              </w:rPr>
              <w:t>=</w:t>
            </w:r>
            <w:r>
              <w:rPr>
                <w:rFonts w:hint="eastAsia"/>
                <w:szCs w:val="20"/>
              </w:rPr>
              <w:t>本月末余额</w:t>
            </w:r>
            <w:r>
              <w:rPr>
                <w:szCs w:val="20"/>
              </w:rPr>
              <w:t>-</w:t>
            </w:r>
            <w:r>
              <w:rPr>
                <w:rFonts w:hint="eastAsia"/>
                <w:szCs w:val="20"/>
              </w:rPr>
              <w:t>上月末余额</w:t>
            </w:r>
            <w:r>
              <w:rPr>
                <w:szCs w:val="20"/>
              </w:rPr>
              <w:t>-</w:t>
            </w:r>
            <w:r>
              <w:rPr>
                <w:rFonts w:hint="eastAsia"/>
                <w:szCs w:val="20"/>
              </w:rPr>
              <w:t>本月非交易变动。</w:t>
            </w:r>
          </w:p>
        </w:tc>
      </w:tr>
      <w:tr w:rsidR="00A052DC" w14:paraId="58671B0F" w14:textId="77777777">
        <w:trPr>
          <w:cantSplit/>
        </w:trPr>
        <w:tc>
          <w:tcPr>
            <w:tcW w:w="2093" w:type="dxa"/>
          </w:tcPr>
          <w:p w14:paraId="415AFFD4" w14:textId="77777777" w:rsidR="00A052DC" w:rsidRDefault="009F0A60">
            <w:pPr>
              <w:pStyle w:val="B"/>
              <w:rPr>
                <w:szCs w:val="20"/>
              </w:rPr>
            </w:pPr>
            <w:r>
              <w:rPr>
                <w:rFonts w:hint="eastAsia"/>
                <w:szCs w:val="20"/>
              </w:rPr>
              <w:t>备注</w:t>
            </w:r>
          </w:p>
        </w:tc>
        <w:tc>
          <w:tcPr>
            <w:tcW w:w="6520" w:type="dxa"/>
            <w:noWrap/>
          </w:tcPr>
          <w:p w14:paraId="5B153A36" w14:textId="77777777" w:rsidR="00A052DC" w:rsidRDefault="009F0A60">
            <w:pPr>
              <w:pStyle w:val="B"/>
              <w:rPr>
                <w:szCs w:val="20"/>
              </w:rPr>
            </w:pPr>
            <w:r>
              <w:rPr>
                <w:rFonts w:hint="eastAsia"/>
                <w:szCs w:val="20"/>
              </w:rPr>
              <w:t>填报本表时需特别说明的情况。</w:t>
            </w:r>
          </w:p>
        </w:tc>
      </w:tr>
    </w:tbl>
    <w:p w14:paraId="0685E871" w14:textId="77777777" w:rsidR="00A052DC" w:rsidRDefault="00A052DC"/>
    <w:p w14:paraId="5A32F04B" w14:textId="77777777" w:rsidR="00A052DC" w:rsidRDefault="009F0A60" w:rsidP="0020251D">
      <w:pPr>
        <w:pStyle w:val="4"/>
        <w:numPr>
          <w:ilvl w:val="3"/>
          <w:numId w:val="1"/>
        </w:numPr>
        <w:jc w:val="left"/>
      </w:pPr>
      <w:bookmarkStart w:id="3596" w:name="_Toc454391440"/>
      <w:bookmarkStart w:id="3597" w:name="_Toc454391441"/>
      <w:bookmarkStart w:id="3598" w:name="_Toc380570994"/>
      <w:bookmarkEnd w:id="3596"/>
      <w:r>
        <w:rPr>
          <w:rFonts w:hint="eastAsia"/>
        </w:rPr>
        <w:t>数据格式</w:t>
      </w:r>
      <w:bookmarkEnd w:id="3597"/>
      <w:bookmarkEnd w:id="3598"/>
    </w:p>
    <w:p w14:paraId="6F3964C1" w14:textId="77777777" w:rsidR="00A052DC" w:rsidRDefault="009F0A60" w:rsidP="009F0A60">
      <w:pPr>
        <w:ind w:firstLineChars="278" w:firstLine="584"/>
      </w:pPr>
      <w:r>
        <w:t>&lt;REC&gt;</w:t>
      </w:r>
    </w:p>
    <w:p w14:paraId="07DB3574" w14:textId="77777777" w:rsidR="00A052DC" w:rsidRDefault="009F0A60" w:rsidP="009F0A60">
      <w:pPr>
        <w:ind w:firstLineChars="278" w:firstLine="584"/>
      </w:pPr>
      <w:r>
        <w:t>&lt;ACTIONTYPE&gt;</w:t>
      </w:r>
      <w:r>
        <w:rPr>
          <w:rFonts w:hAnsi="宋体"/>
        </w:rPr>
        <w:t>操作类型</w:t>
      </w:r>
      <w:r>
        <w:t>&lt;/ACTIONTYPE&gt;</w:t>
      </w:r>
    </w:p>
    <w:p w14:paraId="7F9E67FF" w14:textId="77777777" w:rsidR="00A052DC" w:rsidRDefault="009F0A60" w:rsidP="009F0A60">
      <w:pPr>
        <w:ind w:firstLineChars="278" w:firstLine="584"/>
      </w:pPr>
      <w:r>
        <w:t>&lt;ACTIONDESC&gt;</w:t>
      </w:r>
      <w:r>
        <w:rPr>
          <w:rFonts w:hAnsi="宋体"/>
        </w:rPr>
        <w:t>删除原因</w:t>
      </w:r>
      <w:r>
        <w:t>&lt;/ACTIONDESC&gt;</w:t>
      </w:r>
    </w:p>
    <w:p w14:paraId="7B089F10" w14:textId="77777777" w:rsidR="00A052DC" w:rsidRDefault="009F0A60" w:rsidP="009F0A60">
      <w:pPr>
        <w:ind w:firstLineChars="278" w:firstLine="584"/>
      </w:pPr>
      <w:r>
        <w:t>&lt;SNOCODE&gt;</w:t>
      </w:r>
      <w:r>
        <w:rPr>
          <w:rFonts w:hAnsi="宋体"/>
        </w:rPr>
        <w:t>数据自编码</w:t>
      </w:r>
      <w:r>
        <w:t>&lt;/SNOCODE&gt;</w:t>
      </w:r>
    </w:p>
    <w:p w14:paraId="14CB2BB7" w14:textId="77777777" w:rsidR="00A052DC" w:rsidRDefault="009F0A60" w:rsidP="009F0A60">
      <w:pPr>
        <w:ind w:firstLineChars="278" w:firstLine="584"/>
      </w:pPr>
      <w:r>
        <w:t>&lt;OBJCODE&gt;</w:t>
      </w:r>
      <w:r>
        <w:rPr>
          <w:rFonts w:hAnsi="宋体"/>
        </w:rPr>
        <w:t>申报主体代码</w:t>
      </w:r>
      <w:r>
        <w:t>&lt;/OBJCODE&gt;</w:t>
      </w:r>
    </w:p>
    <w:p w14:paraId="5158CB8B" w14:textId="77777777" w:rsidR="00A052DC" w:rsidRDefault="009F0A60" w:rsidP="009F0A60">
      <w:pPr>
        <w:ind w:firstLineChars="278" w:firstLine="584"/>
      </w:pPr>
      <w:r>
        <w:t>&lt;BUOCMONTH&gt;</w:t>
      </w:r>
      <w:r>
        <w:rPr>
          <w:rFonts w:hAnsi="宋体"/>
        </w:rPr>
        <w:t>报告期</w:t>
      </w:r>
      <w:r>
        <w:t>&lt;/BUOCMONTH&gt;</w:t>
      </w:r>
    </w:p>
    <w:p w14:paraId="568578F3" w14:textId="77777777" w:rsidR="00A052DC" w:rsidRDefault="009F0A60">
      <w:pPr>
        <w:ind w:firstLine="567"/>
      </w:pPr>
      <w:r>
        <w:t>&lt;F0101&gt;</w:t>
      </w:r>
      <w:r>
        <w:rPr>
          <w:rFonts w:hAnsi="宋体"/>
        </w:rPr>
        <w:t>相关业务类型</w:t>
      </w:r>
      <w:r>
        <w:t>&lt;/F0101&gt;</w:t>
      </w:r>
    </w:p>
    <w:p w14:paraId="597DD9DE" w14:textId="77777777" w:rsidR="00A052DC" w:rsidRDefault="009F0A60">
      <w:pPr>
        <w:ind w:firstLine="567"/>
      </w:pPr>
      <w:r>
        <w:t>&lt;F0102&gt;</w:t>
      </w:r>
      <w:r>
        <w:rPr>
          <w:rFonts w:hAnsi="宋体"/>
        </w:rPr>
        <w:t>是否附有银行承兑汇票</w:t>
      </w:r>
      <w:r>
        <w:t>&lt;/F0102&gt;</w:t>
      </w:r>
    </w:p>
    <w:p w14:paraId="4C1C0073" w14:textId="77777777" w:rsidR="00A052DC" w:rsidRDefault="009F0A60">
      <w:pPr>
        <w:ind w:firstLine="567"/>
      </w:pPr>
      <w:r>
        <w:t>&lt;F0103&gt;</w:t>
      </w:r>
      <w:r>
        <w:rPr>
          <w:rFonts w:hAnsi="宋体"/>
        </w:rPr>
        <w:t>境外付款人所属国家</w:t>
      </w:r>
      <w:r>
        <w:t>/</w:t>
      </w:r>
      <w:r>
        <w:rPr>
          <w:rFonts w:hAnsi="宋体"/>
        </w:rPr>
        <w:t>地区</w:t>
      </w:r>
      <w:r>
        <w:t>&lt;/F0103&gt;</w:t>
      </w:r>
    </w:p>
    <w:p w14:paraId="694A1DB5" w14:textId="77777777" w:rsidR="00A052DC" w:rsidRDefault="009F0A60">
      <w:pPr>
        <w:ind w:firstLine="567"/>
      </w:pPr>
      <w:r>
        <w:t>&lt;F0104&gt;</w:t>
      </w:r>
      <w:r>
        <w:rPr>
          <w:rFonts w:hAnsi="宋体"/>
        </w:rPr>
        <w:t>境外付款人所属部门</w:t>
      </w:r>
      <w:r>
        <w:t>&lt;/F0104&gt;</w:t>
      </w:r>
    </w:p>
    <w:p w14:paraId="5B62921A" w14:textId="77777777" w:rsidR="00A052DC" w:rsidRDefault="009F0A60">
      <w:pPr>
        <w:ind w:firstLine="567"/>
      </w:pPr>
      <w:r>
        <w:t>&lt;F0105&gt;</w:t>
      </w:r>
      <w:r>
        <w:rPr>
          <w:rFonts w:hAnsi="宋体"/>
        </w:rPr>
        <w:t>境外付款人与本机构的关系</w:t>
      </w:r>
      <w:r>
        <w:t>&lt;/F0105&gt;</w:t>
      </w:r>
    </w:p>
    <w:p w14:paraId="6F8BD81E" w14:textId="77777777" w:rsidR="00A052DC" w:rsidRDefault="009F0A60">
      <w:pPr>
        <w:ind w:firstLine="567"/>
      </w:pPr>
      <w:r>
        <w:t>&lt;F0106&gt;</w:t>
      </w:r>
      <w:r>
        <w:rPr>
          <w:rFonts w:hAnsi="宋体"/>
        </w:rPr>
        <w:t>原始期限</w:t>
      </w:r>
      <w:r>
        <w:t>&lt;/F0106&gt;</w:t>
      </w:r>
    </w:p>
    <w:p w14:paraId="62EEED95" w14:textId="77777777" w:rsidR="00A052DC" w:rsidRDefault="009F0A60">
      <w:pPr>
        <w:ind w:firstLine="567"/>
      </w:pPr>
      <w:r>
        <w:t>&lt;F0107&gt;</w:t>
      </w:r>
      <w:r>
        <w:rPr>
          <w:rFonts w:hAnsi="宋体"/>
        </w:rPr>
        <w:t>原始币种</w:t>
      </w:r>
      <w:r>
        <w:t>&lt;/F0107&gt;</w:t>
      </w:r>
    </w:p>
    <w:p w14:paraId="031D628C" w14:textId="77777777" w:rsidR="00A052DC" w:rsidRDefault="009F0A60">
      <w:pPr>
        <w:ind w:firstLine="567"/>
      </w:pPr>
      <w:r>
        <w:t>&lt;F0108&gt;</w:t>
      </w:r>
      <w:r>
        <w:rPr>
          <w:rFonts w:hAnsi="宋体"/>
        </w:rPr>
        <w:t>上月末余额</w:t>
      </w:r>
      <w:r>
        <w:t>&lt;/F0108&gt;</w:t>
      </w:r>
    </w:p>
    <w:p w14:paraId="195A3A2D" w14:textId="77777777" w:rsidR="00A052DC" w:rsidRDefault="009F0A60">
      <w:pPr>
        <w:ind w:firstLine="567"/>
      </w:pPr>
      <w:r>
        <w:t>&lt;F0109&gt;</w:t>
      </w:r>
      <w:r>
        <w:rPr>
          <w:rFonts w:hAnsi="宋体"/>
        </w:rPr>
        <w:t>本月末余额</w:t>
      </w:r>
      <w:r>
        <w:t>&lt;/F0109&gt;</w:t>
      </w:r>
    </w:p>
    <w:p w14:paraId="3576955C" w14:textId="77777777" w:rsidR="00A052DC" w:rsidRDefault="009F0A60">
      <w:pPr>
        <w:ind w:firstLine="567"/>
      </w:pPr>
      <w:r>
        <w:t>&lt;F0110&gt;</w:t>
      </w:r>
      <w:r>
        <w:rPr>
          <w:rFonts w:hAnsi="宋体"/>
        </w:rPr>
        <w:t>本月末余额其中：剩余期限在一年及以下</w:t>
      </w:r>
      <w:r>
        <w:t>&lt;/F0110&gt;</w:t>
      </w:r>
    </w:p>
    <w:p w14:paraId="214CC011" w14:textId="77777777" w:rsidR="00A052DC" w:rsidRDefault="009F0A60">
      <w:pPr>
        <w:ind w:firstLine="567"/>
      </w:pPr>
      <w:r>
        <w:t>&lt;F0111&gt;</w:t>
      </w:r>
      <w:r>
        <w:rPr>
          <w:rFonts w:hAnsi="宋体"/>
        </w:rPr>
        <w:t>本月非交易变动</w:t>
      </w:r>
      <w:r>
        <w:t>&lt;/F0111&gt;</w:t>
      </w:r>
    </w:p>
    <w:p w14:paraId="18711742" w14:textId="77777777" w:rsidR="00A052DC" w:rsidRDefault="009F0A60">
      <w:pPr>
        <w:ind w:firstLine="567"/>
      </w:pPr>
      <w:r>
        <w:t>&lt;F0112&gt;</w:t>
      </w:r>
      <w:r>
        <w:rPr>
          <w:rFonts w:hAnsi="宋体"/>
        </w:rPr>
        <w:t>本月净发生额</w:t>
      </w:r>
      <w:r>
        <w:t>&lt;/F0112&gt;</w:t>
      </w:r>
    </w:p>
    <w:p w14:paraId="4595F29A" w14:textId="77777777" w:rsidR="00A052DC" w:rsidRDefault="009F0A60">
      <w:pPr>
        <w:ind w:firstLine="567"/>
      </w:pPr>
      <w:r>
        <w:t>&lt;F0113&gt;</w:t>
      </w:r>
      <w:r>
        <w:rPr>
          <w:rFonts w:hAnsi="宋体"/>
        </w:rPr>
        <w:t>备注</w:t>
      </w:r>
      <w:r>
        <w:t>&lt;/F0113&gt;</w:t>
      </w:r>
    </w:p>
    <w:p w14:paraId="2488DD8E" w14:textId="77777777" w:rsidR="00A052DC" w:rsidRDefault="009F0A60" w:rsidP="009F0A60">
      <w:pPr>
        <w:ind w:firstLineChars="278" w:firstLine="584"/>
      </w:pPr>
      <w:r>
        <w:t>&lt;/REC&gt;</w:t>
      </w:r>
    </w:p>
    <w:p w14:paraId="31A861BC" w14:textId="77777777" w:rsidR="00A052DC" w:rsidRDefault="009F0A60" w:rsidP="0020251D">
      <w:pPr>
        <w:pStyle w:val="4"/>
        <w:numPr>
          <w:ilvl w:val="3"/>
          <w:numId w:val="1"/>
        </w:numPr>
        <w:jc w:val="left"/>
      </w:pPr>
      <w:bookmarkStart w:id="3599" w:name="_Toc454391442"/>
      <w:bookmarkStart w:id="3600" w:name="_Toc454391443"/>
      <w:bookmarkStart w:id="3601" w:name="_Toc380570995"/>
      <w:bookmarkEnd w:id="3599"/>
      <w:r>
        <w:rPr>
          <w:rFonts w:hint="eastAsia"/>
        </w:rPr>
        <w:t>数据字典</w:t>
      </w:r>
      <w:bookmarkEnd w:id="3600"/>
      <w:bookmarkEnd w:id="360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6"/>
        <w:gridCol w:w="1294"/>
        <w:gridCol w:w="1421"/>
        <w:gridCol w:w="4591"/>
      </w:tblGrid>
      <w:tr w:rsidR="00A052DC" w14:paraId="392E36C5" w14:textId="77777777">
        <w:trPr>
          <w:tblHeader/>
          <w:jc w:val="center"/>
        </w:trPr>
        <w:tc>
          <w:tcPr>
            <w:tcW w:w="0" w:type="auto"/>
            <w:shd w:val="clear" w:color="auto" w:fill="C0C0C0"/>
            <w:noWrap/>
          </w:tcPr>
          <w:p w14:paraId="23BA3846" w14:textId="77777777" w:rsidR="00A052DC" w:rsidRDefault="009F0A60">
            <w:pPr>
              <w:pStyle w:val="B1"/>
            </w:pPr>
            <w:r>
              <w:rPr>
                <w:rFonts w:hint="eastAsia"/>
              </w:rPr>
              <w:t>字段</w:t>
            </w:r>
          </w:p>
        </w:tc>
        <w:tc>
          <w:tcPr>
            <w:tcW w:w="0" w:type="auto"/>
            <w:shd w:val="clear" w:color="auto" w:fill="C0C0C0"/>
            <w:noWrap/>
          </w:tcPr>
          <w:p w14:paraId="3A0D9A24" w14:textId="77777777" w:rsidR="00A052DC" w:rsidRDefault="009F0A60">
            <w:pPr>
              <w:pStyle w:val="B1"/>
            </w:pPr>
            <w:r>
              <w:rPr>
                <w:rFonts w:hint="eastAsia"/>
              </w:rPr>
              <w:t>内容</w:t>
            </w:r>
          </w:p>
        </w:tc>
        <w:tc>
          <w:tcPr>
            <w:tcW w:w="0" w:type="auto"/>
            <w:shd w:val="clear" w:color="auto" w:fill="C0C0C0"/>
            <w:noWrap/>
          </w:tcPr>
          <w:p w14:paraId="36DF2036" w14:textId="77777777" w:rsidR="00A052DC" w:rsidRDefault="009F0A60">
            <w:pPr>
              <w:pStyle w:val="B1"/>
            </w:pPr>
            <w:r>
              <w:rPr>
                <w:rFonts w:hint="eastAsia"/>
              </w:rPr>
              <w:t>类型（长度）</w:t>
            </w:r>
          </w:p>
        </w:tc>
        <w:tc>
          <w:tcPr>
            <w:tcW w:w="0" w:type="auto"/>
            <w:shd w:val="clear" w:color="auto" w:fill="C0C0C0"/>
          </w:tcPr>
          <w:p w14:paraId="28E375E2" w14:textId="77777777" w:rsidR="00A052DC" w:rsidRDefault="009F0A60">
            <w:pPr>
              <w:pStyle w:val="B1"/>
            </w:pPr>
            <w:r>
              <w:rPr>
                <w:rFonts w:hint="eastAsia"/>
              </w:rPr>
              <w:t>校验</w:t>
            </w:r>
          </w:p>
        </w:tc>
      </w:tr>
      <w:tr w:rsidR="00A052DC" w14:paraId="23094414" w14:textId="77777777">
        <w:trPr>
          <w:jc w:val="center"/>
        </w:trPr>
        <w:tc>
          <w:tcPr>
            <w:tcW w:w="0" w:type="auto"/>
            <w:noWrap/>
          </w:tcPr>
          <w:p w14:paraId="3CF7EAF9" w14:textId="77777777" w:rsidR="00A052DC" w:rsidRDefault="009F0A60">
            <w:pPr>
              <w:pStyle w:val="B"/>
              <w:rPr>
                <w:szCs w:val="20"/>
              </w:rPr>
            </w:pPr>
            <w:r>
              <w:rPr>
                <w:szCs w:val="20"/>
              </w:rPr>
              <w:t>ACTIONTYPE</w:t>
            </w:r>
          </w:p>
        </w:tc>
        <w:tc>
          <w:tcPr>
            <w:tcW w:w="0" w:type="auto"/>
            <w:noWrap/>
          </w:tcPr>
          <w:p w14:paraId="0DFE3045" w14:textId="77777777" w:rsidR="00A052DC" w:rsidRDefault="009F0A60">
            <w:pPr>
              <w:pStyle w:val="B"/>
              <w:rPr>
                <w:szCs w:val="20"/>
              </w:rPr>
            </w:pPr>
            <w:r>
              <w:rPr>
                <w:rFonts w:hint="eastAsia"/>
                <w:szCs w:val="20"/>
              </w:rPr>
              <w:t>操作类型</w:t>
            </w:r>
          </w:p>
        </w:tc>
        <w:tc>
          <w:tcPr>
            <w:tcW w:w="0" w:type="auto"/>
            <w:noWrap/>
          </w:tcPr>
          <w:p w14:paraId="6B8E8A6D" w14:textId="77777777" w:rsidR="00A052DC" w:rsidRDefault="009F0A60">
            <w:pPr>
              <w:pStyle w:val="B"/>
              <w:rPr>
                <w:szCs w:val="20"/>
              </w:rPr>
            </w:pPr>
            <w:r>
              <w:rPr>
                <w:rFonts w:hint="eastAsia"/>
                <w:szCs w:val="20"/>
              </w:rPr>
              <w:t>字符型，</w:t>
            </w:r>
            <w:r>
              <w:rPr>
                <w:szCs w:val="20"/>
              </w:rPr>
              <w:t>1</w:t>
            </w:r>
          </w:p>
        </w:tc>
        <w:tc>
          <w:tcPr>
            <w:tcW w:w="0" w:type="auto"/>
          </w:tcPr>
          <w:p w14:paraId="56615CC0" w14:textId="77777777" w:rsidR="00A052DC" w:rsidRDefault="009F0A60">
            <w:pPr>
              <w:pStyle w:val="B"/>
              <w:rPr>
                <w:szCs w:val="20"/>
              </w:rPr>
            </w:pPr>
            <w:r>
              <w:rPr>
                <w:rFonts w:hint="eastAsia"/>
                <w:szCs w:val="20"/>
              </w:rPr>
              <w:t>必填项，</w:t>
            </w:r>
          </w:p>
          <w:p w14:paraId="703013FA" w14:textId="77777777" w:rsidR="00A052DC" w:rsidRDefault="009F0A60">
            <w:pPr>
              <w:pStyle w:val="B"/>
              <w:rPr>
                <w:szCs w:val="20"/>
              </w:rPr>
            </w:pPr>
            <w:r>
              <w:rPr>
                <w:szCs w:val="20"/>
              </w:rPr>
              <w:t>A</w:t>
            </w:r>
            <w:r w:rsidR="00AE4602">
              <w:rPr>
                <w:rFonts w:hint="eastAsia"/>
                <w:szCs w:val="20"/>
              </w:rPr>
              <w:t>-</w:t>
            </w:r>
            <w:r>
              <w:rPr>
                <w:rFonts w:hint="eastAsia"/>
                <w:szCs w:val="20"/>
              </w:rPr>
              <w:t>新建</w:t>
            </w:r>
          </w:p>
          <w:p w14:paraId="7F7B630A" w14:textId="77777777" w:rsidR="00A052DC" w:rsidRDefault="009F0A60">
            <w:pPr>
              <w:pStyle w:val="B"/>
              <w:rPr>
                <w:szCs w:val="20"/>
              </w:rPr>
            </w:pPr>
            <w:r>
              <w:rPr>
                <w:szCs w:val="20"/>
              </w:rPr>
              <w:t>C</w:t>
            </w:r>
            <w:r w:rsidR="00AE4602">
              <w:rPr>
                <w:rFonts w:hint="eastAsia"/>
                <w:szCs w:val="20"/>
              </w:rPr>
              <w:t>-</w:t>
            </w:r>
            <w:r>
              <w:rPr>
                <w:rFonts w:hint="eastAsia"/>
                <w:szCs w:val="20"/>
              </w:rPr>
              <w:t>修改</w:t>
            </w:r>
          </w:p>
          <w:p w14:paraId="3B937556" w14:textId="77777777" w:rsidR="00A052DC" w:rsidRDefault="009F0A60">
            <w:pPr>
              <w:pStyle w:val="B"/>
              <w:rPr>
                <w:szCs w:val="20"/>
              </w:rPr>
            </w:pPr>
            <w:r>
              <w:rPr>
                <w:szCs w:val="20"/>
              </w:rPr>
              <w:t>D</w:t>
            </w:r>
            <w:r w:rsidR="00AE4602">
              <w:rPr>
                <w:rFonts w:hint="eastAsia"/>
                <w:szCs w:val="20"/>
              </w:rPr>
              <w:t>-</w:t>
            </w:r>
            <w:r>
              <w:rPr>
                <w:rFonts w:hint="eastAsia"/>
                <w:szCs w:val="20"/>
              </w:rPr>
              <w:t>删除。</w:t>
            </w:r>
          </w:p>
        </w:tc>
      </w:tr>
      <w:tr w:rsidR="00A052DC" w14:paraId="3DBCC309" w14:textId="77777777">
        <w:trPr>
          <w:jc w:val="center"/>
        </w:trPr>
        <w:tc>
          <w:tcPr>
            <w:tcW w:w="0" w:type="auto"/>
            <w:noWrap/>
          </w:tcPr>
          <w:p w14:paraId="358572F5" w14:textId="77777777" w:rsidR="00A052DC" w:rsidRDefault="009F0A60">
            <w:pPr>
              <w:pStyle w:val="B"/>
              <w:rPr>
                <w:szCs w:val="20"/>
              </w:rPr>
            </w:pPr>
            <w:r>
              <w:rPr>
                <w:szCs w:val="20"/>
              </w:rPr>
              <w:t>ACTIONDESC</w:t>
            </w:r>
          </w:p>
        </w:tc>
        <w:tc>
          <w:tcPr>
            <w:tcW w:w="0" w:type="auto"/>
            <w:noWrap/>
          </w:tcPr>
          <w:p w14:paraId="5B97E39D" w14:textId="77777777" w:rsidR="00A052DC" w:rsidRDefault="009F0A60">
            <w:pPr>
              <w:pStyle w:val="B"/>
              <w:rPr>
                <w:szCs w:val="20"/>
              </w:rPr>
            </w:pPr>
            <w:r>
              <w:rPr>
                <w:rFonts w:hint="eastAsia"/>
                <w:szCs w:val="20"/>
              </w:rPr>
              <w:t>删除原因</w:t>
            </w:r>
          </w:p>
        </w:tc>
        <w:tc>
          <w:tcPr>
            <w:tcW w:w="0" w:type="auto"/>
            <w:noWrap/>
          </w:tcPr>
          <w:p w14:paraId="6D03EA3B" w14:textId="77777777" w:rsidR="00A052DC" w:rsidRDefault="009F0A60">
            <w:pPr>
              <w:pStyle w:val="B"/>
              <w:rPr>
                <w:szCs w:val="20"/>
              </w:rPr>
            </w:pPr>
            <w:r>
              <w:rPr>
                <w:rFonts w:hint="eastAsia"/>
                <w:szCs w:val="20"/>
              </w:rPr>
              <w:t>字符型，</w:t>
            </w:r>
            <w:r>
              <w:rPr>
                <w:szCs w:val="20"/>
              </w:rPr>
              <w:t>128</w:t>
            </w:r>
          </w:p>
        </w:tc>
        <w:tc>
          <w:tcPr>
            <w:tcW w:w="0" w:type="auto"/>
          </w:tcPr>
          <w:p w14:paraId="4A3DBE5D" w14:textId="77777777" w:rsidR="00A052DC" w:rsidRDefault="00DD6AA3">
            <w:pPr>
              <w:pStyle w:val="B"/>
              <w:rPr>
                <w:szCs w:val="20"/>
              </w:rPr>
            </w:pPr>
            <w:r>
              <w:rPr>
                <w:rFonts w:hint="eastAsia"/>
                <w:szCs w:val="20"/>
              </w:rPr>
              <w:t>非必填项，当操作类型（ACTIONTYPE）为删除时必填。</w:t>
            </w:r>
          </w:p>
        </w:tc>
      </w:tr>
      <w:tr w:rsidR="00A052DC" w14:paraId="6945C3D8" w14:textId="77777777">
        <w:trPr>
          <w:jc w:val="center"/>
        </w:trPr>
        <w:tc>
          <w:tcPr>
            <w:tcW w:w="0" w:type="auto"/>
            <w:noWrap/>
          </w:tcPr>
          <w:p w14:paraId="0D931487" w14:textId="77777777" w:rsidR="00A052DC" w:rsidRDefault="009F0A60">
            <w:pPr>
              <w:pStyle w:val="B"/>
              <w:rPr>
                <w:szCs w:val="20"/>
              </w:rPr>
            </w:pPr>
            <w:r>
              <w:rPr>
                <w:szCs w:val="20"/>
              </w:rPr>
              <w:t>SNOCODE</w:t>
            </w:r>
          </w:p>
        </w:tc>
        <w:tc>
          <w:tcPr>
            <w:tcW w:w="0" w:type="auto"/>
          </w:tcPr>
          <w:p w14:paraId="5E8733DE" w14:textId="77777777" w:rsidR="00A052DC" w:rsidRDefault="009F0A60">
            <w:pPr>
              <w:pStyle w:val="B"/>
              <w:rPr>
                <w:szCs w:val="20"/>
              </w:rPr>
            </w:pPr>
            <w:r>
              <w:rPr>
                <w:rFonts w:hint="eastAsia"/>
                <w:szCs w:val="20"/>
              </w:rPr>
              <w:t>数据自编码</w:t>
            </w:r>
          </w:p>
        </w:tc>
        <w:tc>
          <w:tcPr>
            <w:tcW w:w="0" w:type="auto"/>
            <w:noWrap/>
          </w:tcPr>
          <w:p w14:paraId="03DDA7AA" w14:textId="77777777" w:rsidR="00A052DC" w:rsidRDefault="009F0A60">
            <w:pPr>
              <w:pStyle w:val="B"/>
              <w:rPr>
                <w:szCs w:val="20"/>
              </w:rPr>
            </w:pPr>
            <w:r>
              <w:rPr>
                <w:rFonts w:hint="eastAsia"/>
                <w:szCs w:val="20"/>
              </w:rPr>
              <w:t>字符型，36</w:t>
            </w:r>
          </w:p>
        </w:tc>
        <w:tc>
          <w:tcPr>
            <w:tcW w:w="0" w:type="auto"/>
          </w:tcPr>
          <w:p w14:paraId="6975DA54" w14:textId="77777777" w:rsidR="00A052DC" w:rsidRDefault="009F0A60">
            <w:pPr>
              <w:pStyle w:val="B"/>
              <w:rPr>
                <w:szCs w:val="20"/>
              </w:rPr>
            </w:pPr>
            <w:r>
              <w:rPr>
                <w:rFonts w:hint="eastAsia"/>
                <w:szCs w:val="20"/>
              </w:rPr>
              <w:t>必填项。</w:t>
            </w:r>
            <w:r>
              <w:rPr>
                <w:szCs w:val="20"/>
              </w:rPr>
              <w:t>对于接口报送的填报主体，数据自编码中的报送期（6位）应与报告期（YYYYMM）一致。</w:t>
            </w:r>
          </w:p>
        </w:tc>
      </w:tr>
      <w:tr w:rsidR="00A052DC" w14:paraId="5576EA6E" w14:textId="77777777">
        <w:trPr>
          <w:jc w:val="center"/>
        </w:trPr>
        <w:tc>
          <w:tcPr>
            <w:tcW w:w="0" w:type="auto"/>
            <w:noWrap/>
          </w:tcPr>
          <w:p w14:paraId="347734EC" w14:textId="77777777" w:rsidR="00A052DC" w:rsidRDefault="009F0A60">
            <w:pPr>
              <w:pStyle w:val="B"/>
              <w:rPr>
                <w:szCs w:val="20"/>
              </w:rPr>
            </w:pPr>
            <w:r>
              <w:rPr>
                <w:szCs w:val="20"/>
              </w:rPr>
              <w:t>OBJCODE</w:t>
            </w:r>
          </w:p>
        </w:tc>
        <w:tc>
          <w:tcPr>
            <w:tcW w:w="0" w:type="auto"/>
          </w:tcPr>
          <w:p w14:paraId="5C361A73" w14:textId="77777777" w:rsidR="00A052DC" w:rsidRDefault="009F0A60">
            <w:pPr>
              <w:pStyle w:val="B"/>
              <w:rPr>
                <w:szCs w:val="20"/>
              </w:rPr>
            </w:pPr>
            <w:r>
              <w:rPr>
                <w:rFonts w:hint="eastAsia"/>
                <w:szCs w:val="20"/>
              </w:rPr>
              <w:t>申报主体代码</w:t>
            </w:r>
          </w:p>
        </w:tc>
        <w:tc>
          <w:tcPr>
            <w:tcW w:w="0" w:type="auto"/>
            <w:noWrap/>
          </w:tcPr>
          <w:p w14:paraId="22A18A04" w14:textId="77777777" w:rsidR="00A052DC" w:rsidRDefault="009F0A60">
            <w:pPr>
              <w:pStyle w:val="B"/>
              <w:rPr>
                <w:szCs w:val="20"/>
              </w:rPr>
            </w:pPr>
            <w:r>
              <w:rPr>
                <w:rFonts w:hint="eastAsia"/>
                <w:szCs w:val="20"/>
              </w:rPr>
              <w:t>字符型，</w:t>
            </w:r>
            <w:r>
              <w:rPr>
                <w:szCs w:val="20"/>
              </w:rPr>
              <w:t>1</w:t>
            </w:r>
            <w:r>
              <w:rPr>
                <w:rFonts w:hint="eastAsia"/>
                <w:szCs w:val="20"/>
              </w:rPr>
              <w:t>8</w:t>
            </w:r>
          </w:p>
        </w:tc>
        <w:tc>
          <w:tcPr>
            <w:tcW w:w="0" w:type="auto"/>
          </w:tcPr>
          <w:p w14:paraId="2A3885EF" w14:textId="77777777" w:rsidR="00A052DC" w:rsidRDefault="009F0A60">
            <w:pPr>
              <w:pStyle w:val="B"/>
              <w:rPr>
                <w:szCs w:val="20"/>
              </w:rPr>
            </w:pPr>
            <w:r>
              <w:rPr>
                <w:rFonts w:hint="eastAsia"/>
                <w:szCs w:val="20"/>
              </w:rPr>
              <w:t>申报主体的12位金融机构标识码，如果没有金融机构标识码，则填报统一社会信用代码法定载体（如营业执照）上统一社会信用代码中的第9至17位或国家外汇管理局及其分支局签发的特殊机构代码赋码通知书上的机构代码、个人身份代码。</w:t>
            </w:r>
          </w:p>
        </w:tc>
      </w:tr>
      <w:tr w:rsidR="00A052DC" w14:paraId="08FFACE9" w14:textId="77777777">
        <w:trPr>
          <w:jc w:val="center"/>
        </w:trPr>
        <w:tc>
          <w:tcPr>
            <w:tcW w:w="0" w:type="auto"/>
            <w:noWrap/>
          </w:tcPr>
          <w:p w14:paraId="4E0C582D" w14:textId="77777777" w:rsidR="00A052DC" w:rsidRDefault="009F0A60">
            <w:pPr>
              <w:pStyle w:val="B"/>
              <w:rPr>
                <w:szCs w:val="20"/>
              </w:rPr>
            </w:pPr>
            <w:r>
              <w:rPr>
                <w:szCs w:val="20"/>
              </w:rPr>
              <w:t>BUOCMONTH</w:t>
            </w:r>
          </w:p>
        </w:tc>
        <w:tc>
          <w:tcPr>
            <w:tcW w:w="0" w:type="auto"/>
          </w:tcPr>
          <w:p w14:paraId="4A9F847F" w14:textId="77777777" w:rsidR="00A052DC" w:rsidRDefault="009F0A60">
            <w:pPr>
              <w:pStyle w:val="B"/>
              <w:rPr>
                <w:szCs w:val="20"/>
              </w:rPr>
            </w:pPr>
            <w:r>
              <w:rPr>
                <w:rFonts w:hint="eastAsia"/>
                <w:szCs w:val="20"/>
              </w:rPr>
              <w:t>报告期</w:t>
            </w:r>
          </w:p>
        </w:tc>
        <w:tc>
          <w:tcPr>
            <w:tcW w:w="0" w:type="auto"/>
            <w:noWrap/>
          </w:tcPr>
          <w:p w14:paraId="64AAE748" w14:textId="77777777" w:rsidR="00A052DC" w:rsidRDefault="009F0A60">
            <w:pPr>
              <w:pStyle w:val="B"/>
              <w:rPr>
                <w:szCs w:val="20"/>
              </w:rPr>
            </w:pPr>
            <w:r>
              <w:rPr>
                <w:rFonts w:hint="eastAsia"/>
                <w:szCs w:val="20"/>
              </w:rPr>
              <w:t>数值型，</w:t>
            </w:r>
            <w:r>
              <w:rPr>
                <w:szCs w:val="20"/>
              </w:rPr>
              <w:t>6</w:t>
            </w:r>
          </w:p>
        </w:tc>
        <w:tc>
          <w:tcPr>
            <w:tcW w:w="0" w:type="auto"/>
          </w:tcPr>
          <w:p w14:paraId="0B77AB9F" w14:textId="77777777" w:rsidR="00A052DC" w:rsidRDefault="009F0A60">
            <w:pPr>
              <w:pStyle w:val="B"/>
              <w:rPr>
                <w:szCs w:val="20"/>
              </w:rPr>
            </w:pPr>
            <w:r>
              <w:rPr>
                <w:rFonts w:hint="eastAsia"/>
                <w:szCs w:val="20"/>
              </w:rPr>
              <w:t>必填项，格式为</w:t>
            </w:r>
            <w:r>
              <w:rPr>
                <w:szCs w:val="20"/>
              </w:rPr>
              <w:t>YYYYMM</w:t>
            </w:r>
            <w:r>
              <w:rPr>
                <w:rFonts w:hint="eastAsia"/>
                <w:szCs w:val="20"/>
              </w:rPr>
              <w:t>。</w:t>
            </w:r>
          </w:p>
        </w:tc>
      </w:tr>
      <w:tr w:rsidR="00A052DC" w14:paraId="7196ACCB" w14:textId="77777777">
        <w:trPr>
          <w:jc w:val="center"/>
        </w:trPr>
        <w:tc>
          <w:tcPr>
            <w:tcW w:w="0" w:type="auto"/>
            <w:noWrap/>
          </w:tcPr>
          <w:p w14:paraId="53991852" w14:textId="77777777" w:rsidR="00A052DC" w:rsidRDefault="009F0A60">
            <w:pPr>
              <w:pStyle w:val="B"/>
              <w:rPr>
                <w:szCs w:val="20"/>
              </w:rPr>
            </w:pPr>
            <w:r>
              <w:rPr>
                <w:szCs w:val="20"/>
              </w:rPr>
              <w:t>F0101</w:t>
            </w:r>
          </w:p>
        </w:tc>
        <w:tc>
          <w:tcPr>
            <w:tcW w:w="0" w:type="auto"/>
          </w:tcPr>
          <w:p w14:paraId="3346EC0A" w14:textId="77777777" w:rsidR="00A052DC" w:rsidRDefault="009F0A60">
            <w:pPr>
              <w:pStyle w:val="B"/>
              <w:rPr>
                <w:szCs w:val="20"/>
              </w:rPr>
            </w:pPr>
            <w:r>
              <w:rPr>
                <w:rFonts w:hint="eastAsia"/>
                <w:szCs w:val="20"/>
              </w:rPr>
              <w:t>相关业务类型</w:t>
            </w:r>
          </w:p>
        </w:tc>
        <w:tc>
          <w:tcPr>
            <w:tcW w:w="0" w:type="auto"/>
            <w:noWrap/>
          </w:tcPr>
          <w:p w14:paraId="42DA04D7" w14:textId="77777777" w:rsidR="00A052DC" w:rsidRDefault="009F0A60">
            <w:pPr>
              <w:pStyle w:val="B"/>
              <w:rPr>
                <w:szCs w:val="20"/>
              </w:rPr>
            </w:pPr>
            <w:r>
              <w:rPr>
                <w:rFonts w:hint="eastAsia"/>
                <w:szCs w:val="20"/>
              </w:rPr>
              <w:t>整数型</w:t>
            </w:r>
          </w:p>
        </w:tc>
        <w:tc>
          <w:tcPr>
            <w:tcW w:w="0" w:type="auto"/>
          </w:tcPr>
          <w:p w14:paraId="40F87157" w14:textId="77777777" w:rsidR="00A052DC" w:rsidRDefault="009F0A60">
            <w:pPr>
              <w:pStyle w:val="B"/>
              <w:rPr>
                <w:szCs w:val="20"/>
              </w:rPr>
            </w:pPr>
            <w:r>
              <w:rPr>
                <w:rFonts w:hint="eastAsia"/>
                <w:szCs w:val="20"/>
              </w:rPr>
              <w:t>必填项，必须</w:t>
            </w:r>
            <w:r>
              <w:rPr>
                <w:szCs w:val="20"/>
              </w:rPr>
              <w:t>3</w:t>
            </w:r>
            <w:r>
              <w:rPr>
                <w:rFonts w:hint="eastAsia"/>
                <w:szCs w:val="20"/>
              </w:rPr>
              <w:t>选</w:t>
            </w:r>
            <w:r>
              <w:rPr>
                <w:szCs w:val="20"/>
              </w:rPr>
              <w:t>1</w:t>
            </w:r>
            <w:r>
              <w:rPr>
                <w:rFonts w:hint="eastAsia"/>
                <w:szCs w:val="20"/>
              </w:rPr>
              <w:t>：</w:t>
            </w:r>
          </w:p>
          <w:p w14:paraId="1620EA27" w14:textId="77777777" w:rsidR="00A052DC" w:rsidRDefault="009F0A60">
            <w:pPr>
              <w:pStyle w:val="B"/>
              <w:numPr>
                <w:ilvl w:val="0"/>
                <w:numId w:val="18"/>
              </w:numPr>
              <w:rPr>
                <w:szCs w:val="20"/>
              </w:rPr>
            </w:pPr>
            <w:r>
              <w:rPr>
                <w:rFonts w:hint="eastAsia"/>
                <w:szCs w:val="20"/>
              </w:rPr>
              <w:t>福费廷；</w:t>
            </w:r>
          </w:p>
          <w:p w14:paraId="07C3A1F4" w14:textId="77777777" w:rsidR="00A052DC" w:rsidRDefault="009F0A60">
            <w:pPr>
              <w:pStyle w:val="B"/>
              <w:numPr>
                <w:ilvl w:val="0"/>
                <w:numId w:val="18"/>
              </w:numPr>
              <w:rPr>
                <w:szCs w:val="20"/>
              </w:rPr>
            </w:pPr>
            <w:r>
              <w:rPr>
                <w:rFonts w:hint="eastAsia"/>
                <w:szCs w:val="20"/>
              </w:rPr>
              <w:t>买断性质的保理；</w:t>
            </w:r>
          </w:p>
          <w:p w14:paraId="7728C190" w14:textId="77777777" w:rsidR="00A052DC" w:rsidRDefault="009F0A60">
            <w:pPr>
              <w:pStyle w:val="B"/>
              <w:numPr>
                <w:ilvl w:val="0"/>
                <w:numId w:val="18"/>
              </w:numPr>
              <w:rPr>
                <w:szCs w:val="20"/>
              </w:rPr>
            </w:pPr>
            <w:r>
              <w:rPr>
                <w:rFonts w:hint="eastAsia"/>
                <w:szCs w:val="20"/>
              </w:rPr>
              <w:t>其他买断贸易融资行为。</w:t>
            </w:r>
          </w:p>
        </w:tc>
      </w:tr>
      <w:tr w:rsidR="00A052DC" w14:paraId="4FE597E0" w14:textId="77777777">
        <w:trPr>
          <w:jc w:val="center"/>
        </w:trPr>
        <w:tc>
          <w:tcPr>
            <w:tcW w:w="0" w:type="auto"/>
            <w:noWrap/>
          </w:tcPr>
          <w:p w14:paraId="3C6FCEC6" w14:textId="77777777" w:rsidR="00A052DC" w:rsidRDefault="009F0A60">
            <w:pPr>
              <w:pStyle w:val="B"/>
              <w:rPr>
                <w:szCs w:val="20"/>
              </w:rPr>
            </w:pPr>
            <w:r>
              <w:rPr>
                <w:szCs w:val="20"/>
              </w:rPr>
              <w:t>F0102</w:t>
            </w:r>
          </w:p>
        </w:tc>
        <w:tc>
          <w:tcPr>
            <w:tcW w:w="0" w:type="auto"/>
          </w:tcPr>
          <w:p w14:paraId="285C527B" w14:textId="77777777" w:rsidR="00A052DC" w:rsidRDefault="009F0A60">
            <w:pPr>
              <w:pStyle w:val="B"/>
              <w:rPr>
                <w:szCs w:val="20"/>
              </w:rPr>
            </w:pPr>
            <w:r>
              <w:rPr>
                <w:rFonts w:hint="eastAsia"/>
                <w:szCs w:val="20"/>
              </w:rPr>
              <w:t>是否附有银行承兑汇票</w:t>
            </w:r>
          </w:p>
        </w:tc>
        <w:tc>
          <w:tcPr>
            <w:tcW w:w="0" w:type="auto"/>
            <w:noWrap/>
          </w:tcPr>
          <w:p w14:paraId="78D4F646" w14:textId="77777777" w:rsidR="00A052DC" w:rsidRDefault="009F0A60">
            <w:pPr>
              <w:pStyle w:val="B"/>
              <w:rPr>
                <w:szCs w:val="20"/>
              </w:rPr>
            </w:pPr>
            <w:r>
              <w:rPr>
                <w:rFonts w:hint="eastAsia"/>
                <w:szCs w:val="20"/>
              </w:rPr>
              <w:t>整数型</w:t>
            </w:r>
          </w:p>
        </w:tc>
        <w:tc>
          <w:tcPr>
            <w:tcW w:w="0" w:type="auto"/>
          </w:tcPr>
          <w:p w14:paraId="1CF8C11C" w14:textId="77777777" w:rsidR="00A052DC" w:rsidRDefault="009F0A60">
            <w:pPr>
              <w:pStyle w:val="B"/>
              <w:rPr>
                <w:szCs w:val="20"/>
              </w:rPr>
            </w:pPr>
            <w:r>
              <w:rPr>
                <w:rFonts w:hint="eastAsia"/>
                <w:szCs w:val="20"/>
              </w:rPr>
              <w:t>必填项，必须</w:t>
            </w:r>
            <w:r>
              <w:rPr>
                <w:szCs w:val="20"/>
              </w:rPr>
              <w:t>2</w:t>
            </w:r>
            <w:r>
              <w:rPr>
                <w:rFonts w:hint="eastAsia"/>
                <w:szCs w:val="20"/>
              </w:rPr>
              <w:t>选</w:t>
            </w:r>
            <w:r>
              <w:rPr>
                <w:szCs w:val="20"/>
              </w:rPr>
              <w:t>1</w:t>
            </w:r>
            <w:r>
              <w:rPr>
                <w:rFonts w:hint="eastAsia"/>
                <w:szCs w:val="20"/>
              </w:rPr>
              <w:t>：</w:t>
            </w:r>
          </w:p>
          <w:p w14:paraId="0E151562" w14:textId="77777777" w:rsidR="00A052DC" w:rsidRDefault="009F0A60">
            <w:pPr>
              <w:pStyle w:val="B"/>
              <w:widowControl w:val="0"/>
              <w:rPr>
                <w:szCs w:val="20"/>
              </w:rPr>
            </w:pPr>
            <w:r>
              <w:rPr>
                <w:szCs w:val="20"/>
              </w:rPr>
              <w:t>1-</w:t>
            </w:r>
            <w:r>
              <w:rPr>
                <w:rFonts w:hint="eastAsia"/>
                <w:szCs w:val="20"/>
              </w:rPr>
              <w:t>是；</w:t>
            </w:r>
          </w:p>
          <w:p w14:paraId="59E20BA5" w14:textId="77777777" w:rsidR="00A052DC" w:rsidRDefault="009F0A60">
            <w:pPr>
              <w:pStyle w:val="B"/>
              <w:widowControl w:val="0"/>
              <w:rPr>
                <w:szCs w:val="20"/>
              </w:rPr>
            </w:pPr>
            <w:r>
              <w:rPr>
                <w:szCs w:val="20"/>
              </w:rPr>
              <w:t>0-</w:t>
            </w:r>
            <w:r>
              <w:rPr>
                <w:rFonts w:hint="eastAsia"/>
                <w:szCs w:val="20"/>
              </w:rPr>
              <w:t>否。</w:t>
            </w:r>
          </w:p>
        </w:tc>
      </w:tr>
      <w:tr w:rsidR="00A052DC" w14:paraId="33C97DE0" w14:textId="77777777">
        <w:trPr>
          <w:jc w:val="center"/>
        </w:trPr>
        <w:tc>
          <w:tcPr>
            <w:tcW w:w="0" w:type="auto"/>
            <w:noWrap/>
          </w:tcPr>
          <w:p w14:paraId="36004B89" w14:textId="77777777" w:rsidR="00A052DC" w:rsidRDefault="009F0A60">
            <w:pPr>
              <w:pStyle w:val="B"/>
              <w:widowControl w:val="0"/>
              <w:rPr>
                <w:szCs w:val="20"/>
              </w:rPr>
            </w:pPr>
            <w:r>
              <w:rPr>
                <w:szCs w:val="20"/>
              </w:rPr>
              <w:t>F0103</w:t>
            </w:r>
          </w:p>
        </w:tc>
        <w:tc>
          <w:tcPr>
            <w:tcW w:w="0" w:type="auto"/>
          </w:tcPr>
          <w:p w14:paraId="445E9478" w14:textId="77777777" w:rsidR="00A052DC" w:rsidRDefault="009F0A60">
            <w:pPr>
              <w:pStyle w:val="B"/>
              <w:widowControl w:val="0"/>
              <w:rPr>
                <w:szCs w:val="20"/>
              </w:rPr>
            </w:pPr>
            <w:r>
              <w:rPr>
                <w:rFonts w:hint="eastAsia"/>
                <w:szCs w:val="20"/>
              </w:rPr>
              <w:t>境外付款人所属国家</w:t>
            </w:r>
            <w:r>
              <w:rPr>
                <w:szCs w:val="20"/>
              </w:rPr>
              <w:t>/</w:t>
            </w:r>
            <w:r>
              <w:rPr>
                <w:rFonts w:hint="eastAsia"/>
                <w:szCs w:val="20"/>
              </w:rPr>
              <w:t>地区</w:t>
            </w:r>
          </w:p>
        </w:tc>
        <w:tc>
          <w:tcPr>
            <w:tcW w:w="0" w:type="auto"/>
            <w:noWrap/>
          </w:tcPr>
          <w:p w14:paraId="7B72A74B" w14:textId="77777777" w:rsidR="00A052DC" w:rsidRDefault="009F0A60">
            <w:pPr>
              <w:pStyle w:val="B"/>
              <w:widowControl w:val="0"/>
              <w:rPr>
                <w:szCs w:val="20"/>
              </w:rPr>
            </w:pPr>
            <w:r>
              <w:rPr>
                <w:rFonts w:hint="eastAsia"/>
                <w:szCs w:val="20"/>
              </w:rPr>
              <w:t>字符型，</w:t>
            </w:r>
            <w:r>
              <w:rPr>
                <w:szCs w:val="20"/>
              </w:rPr>
              <w:t>3</w:t>
            </w:r>
          </w:p>
        </w:tc>
        <w:tc>
          <w:tcPr>
            <w:tcW w:w="0" w:type="auto"/>
          </w:tcPr>
          <w:p w14:paraId="7888D111" w14:textId="77777777" w:rsidR="00A052DC" w:rsidRDefault="009F0A60">
            <w:pPr>
              <w:pStyle w:val="B"/>
              <w:widowControl w:val="0"/>
              <w:rPr>
                <w:szCs w:val="20"/>
              </w:rPr>
            </w:pPr>
            <w:r>
              <w:rPr>
                <w:rFonts w:hint="eastAsia"/>
                <w:szCs w:val="20"/>
              </w:rPr>
              <w:t>必填项，见国家和地区代码表的</w:t>
            </w:r>
            <w:r>
              <w:rPr>
                <w:szCs w:val="20"/>
              </w:rPr>
              <w:t>3</w:t>
            </w:r>
            <w:r>
              <w:rPr>
                <w:rFonts w:hint="eastAsia"/>
                <w:szCs w:val="20"/>
              </w:rPr>
              <w:t>位字母代码，必须≠</w:t>
            </w:r>
            <w:r>
              <w:rPr>
                <w:szCs w:val="20"/>
              </w:rPr>
              <w:t>CHN</w:t>
            </w:r>
            <w:r>
              <w:rPr>
                <w:rFonts w:hint="eastAsia"/>
                <w:szCs w:val="20"/>
              </w:rPr>
              <w:t>或N/A。</w:t>
            </w:r>
          </w:p>
        </w:tc>
      </w:tr>
      <w:tr w:rsidR="00A052DC" w14:paraId="638B158F" w14:textId="77777777">
        <w:trPr>
          <w:jc w:val="center"/>
        </w:trPr>
        <w:tc>
          <w:tcPr>
            <w:tcW w:w="0" w:type="auto"/>
            <w:noWrap/>
          </w:tcPr>
          <w:p w14:paraId="53EEC839" w14:textId="77777777" w:rsidR="00A052DC" w:rsidRDefault="009F0A60">
            <w:pPr>
              <w:pStyle w:val="B"/>
              <w:widowControl w:val="0"/>
              <w:rPr>
                <w:szCs w:val="20"/>
              </w:rPr>
            </w:pPr>
            <w:r>
              <w:rPr>
                <w:szCs w:val="20"/>
              </w:rPr>
              <w:t>F0104</w:t>
            </w:r>
          </w:p>
        </w:tc>
        <w:tc>
          <w:tcPr>
            <w:tcW w:w="0" w:type="auto"/>
          </w:tcPr>
          <w:p w14:paraId="0A842859" w14:textId="77777777" w:rsidR="00A052DC" w:rsidRDefault="009F0A60">
            <w:pPr>
              <w:pStyle w:val="B"/>
              <w:widowControl w:val="0"/>
              <w:rPr>
                <w:szCs w:val="20"/>
              </w:rPr>
            </w:pPr>
            <w:r>
              <w:rPr>
                <w:rFonts w:hint="eastAsia"/>
                <w:szCs w:val="20"/>
              </w:rPr>
              <w:t>境外付款人所属部门</w:t>
            </w:r>
          </w:p>
        </w:tc>
        <w:tc>
          <w:tcPr>
            <w:tcW w:w="0" w:type="auto"/>
            <w:noWrap/>
          </w:tcPr>
          <w:p w14:paraId="0B0C988E" w14:textId="77777777" w:rsidR="00A052DC" w:rsidRDefault="009F0A60">
            <w:pPr>
              <w:pStyle w:val="B"/>
              <w:widowControl w:val="0"/>
              <w:rPr>
                <w:szCs w:val="20"/>
              </w:rPr>
            </w:pPr>
            <w:r>
              <w:rPr>
                <w:rFonts w:hint="eastAsia"/>
                <w:szCs w:val="20"/>
              </w:rPr>
              <w:t>整数型</w:t>
            </w:r>
          </w:p>
        </w:tc>
        <w:tc>
          <w:tcPr>
            <w:tcW w:w="0" w:type="auto"/>
          </w:tcPr>
          <w:p w14:paraId="7D45383A" w14:textId="77777777" w:rsidR="00A052DC" w:rsidRDefault="009F0A60">
            <w:pPr>
              <w:pStyle w:val="B"/>
              <w:widowControl w:val="0"/>
              <w:rPr>
                <w:szCs w:val="20"/>
              </w:rPr>
            </w:pPr>
            <w:r>
              <w:rPr>
                <w:rFonts w:hint="eastAsia"/>
                <w:szCs w:val="20"/>
              </w:rPr>
              <w:t>必填项，必须9选</w:t>
            </w:r>
            <w:r>
              <w:rPr>
                <w:szCs w:val="20"/>
              </w:rPr>
              <w:t>1</w:t>
            </w:r>
            <w:r>
              <w:rPr>
                <w:rFonts w:hint="eastAsia"/>
                <w:szCs w:val="20"/>
              </w:rPr>
              <w:t>，见投资者（被投资者）部门代码表。</w:t>
            </w:r>
          </w:p>
        </w:tc>
      </w:tr>
      <w:tr w:rsidR="00A052DC" w14:paraId="1B9AA6D6" w14:textId="77777777">
        <w:trPr>
          <w:jc w:val="center"/>
        </w:trPr>
        <w:tc>
          <w:tcPr>
            <w:tcW w:w="0" w:type="auto"/>
            <w:noWrap/>
          </w:tcPr>
          <w:p w14:paraId="69C6FEF7" w14:textId="77777777" w:rsidR="00A052DC" w:rsidRDefault="009F0A60">
            <w:pPr>
              <w:pStyle w:val="B"/>
              <w:widowControl w:val="0"/>
              <w:rPr>
                <w:szCs w:val="20"/>
              </w:rPr>
            </w:pPr>
            <w:r>
              <w:rPr>
                <w:szCs w:val="20"/>
              </w:rPr>
              <w:t>F0105</w:t>
            </w:r>
          </w:p>
        </w:tc>
        <w:tc>
          <w:tcPr>
            <w:tcW w:w="0" w:type="auto"/>
          </w:tcPr>
          <w:p w14:paraId="123038C7" w14:textId="77777777" w:rsidR="00A052DC" w:rsidRDefault="009F0A60">
            <w:pPr>
              <w:pStyle w:val="B"/>
              <w:widowControl w:val="0"/>
              <w:rPr>
                <w:szCs w:val="20"/>
              </w:rPr>
            </w:pPr>
            <w:r>
              <w:rPr>
                <w:rFonts w:hint="eastAsia"/>
                <w:szCs w:val="20"/>
              </w:rPr>
              <w:t>境外付款人与本机构的关系</w:t>
            </w:r>
          </w:p>
        </w:tc>
        <w:tc>
          <w:tcPr>
            <w:tcW w:w="0" w:type="auto"/>
            <w:noWrap/>
          </w:tcPr>
          <w:p w14:paraId="5EFEE51C" w14:textId="77777777" w:rsidR="00A052DC" w:rsidRDefault="009F0A60">
            <w:pPr>
              <w:pStyle w:val="B"/>
              <w:widowControl w:val="0"/>
              <w:rPr>
                <w:szCs w:val="20"/>
              </w:rPr>
            </w:pPr>
            <w:r>
              <w:rPr>
                <w:rFonts w:hint="eastAsia"/>
                <w:szCs w:val="20"/>
              </w:rPr>
              <w:t>整数型</w:t>
            </w:r>
          </w:p>
        </w:tc>
        <w:tc>
          <w:tcPr>
            <w:tcW w:w="0" w:type="auto"/>
          </w:tcPr>
          <w:p w14:paraId="73A85390" w14:textId="77777777" w:rsidR="00A052DC" w:rsidRDefault="009F0A60">
            <w:pPr>
              <w:pStyle w:val="B"/>
              <w:widowControl w:val="0"/>
              <w:rPr>
                <w:szCs w:val="20"/>
              </w:rPr>
            </w:pPr>
            <w:r>
              <w:rPr>
                <w:rFonts w:hint="eastAsia"/>
                <w:szCs w:val="20"/>
              </w:rPr>
              <w:t>必填项，必须</w:t>
            </w:r>
            <w:r>
              <w:rPr>
                <w:szCs w:val="20"/>
              </w:rPr>
              <w:t>4</w:t>
            </w:r>
            <w:r>
              <w:rPr>
                <w:rFonts w:hint="eastAsia"/>
                <w:szCs w:val="20"/>
              </w:rPr>
              <w:t>选</w:t>
            </w:r>
            <w:r>
              <w:rPr>
                <w:szCs w:val="20"/>
              </w:rPr>
              <w:t>1</w:t>
            </w:r>
            <w:r>
              <w:rPr>
                <w:rFonts w:hint="eastAsia"/>
                <w:szCs w:val="20"/>
              </w:rPr>
              <w:t>，见对方与本机构</w:t>
            </w:r>
            <w:r>
              <w:rPr>
                <w:szCs w:val="20"/>
              </w:rPr>
              <w:t>/</w:t>
            </w:r>
            <w:r>
              <w:rPr>
                <w:rFonts w:hint="eastAsia"/>
                <w:szCs w:val="20"/>
              </w:rPr>
              <w:t>被代理居民机构</w:t>
            </w:r>
            <w:r>
              <w:rPr>
                <w:szCs w:val="20"/>
              </w:rPr>
              <w:t>/</w:t>
            </w:r>
            <w:r>
              <w:rPr>
                <w:rFonts w:hint="eastAsia"/>
                <w:szCs w:val="20"/>
              </w:rPr>
              <w:t>委托人的关系代码表。</w:t>
            </w:r>
          </w:p>
        </w:tc>
      </w:tr>
      <w:tr w:rsidR="00A052DC" w14:paraId="51AD9CC3" w14:textId="77777777">
        <w:trPr>
          <w:jc w:val="center"/>
        </w:trPr>
        <w:tc>
          <w:tcPr>
            <w:tcW w:w="0" w:type="auto"/>
            <w:noWrap/>
          </w:tcPr>
          <w:p w14:paraId="16FF2C66" w14:textId="77777777" w:rsidR="00A052DC" w:rsidRDefault="009F0A60">
            <w:pPr>
              <w:pStyle w:val="B"/>
              <w:widowControl w:val="0"/>
              <w:rPr>
                <w:szCs w:val="20"/>
              </w:rPr>
            </w:pPr>
            <w:r>
              <w:rPr>
                <w:szCs w:val="20"/>
              </w:rPr>
              <w:t>F0106</w:t>
            </w:r>
          </w:p>
        </w:tc>
        <w:tc>
          <w:tcPr>
            <w:tcW w:w="0" w:type="auto"/>
          </w:tcPr>
          <w:p w14:paraId="5656F190" w14:textId="77777777" w:rsidR="00A052DC" w:rsidRDefault="009F0A60">
            <w:pPr>
              <w:pStyle w:val="B"/>
              <w:widowControl w:val="0"/>
              <w:rPr>
                <w:szCs w:val="20"/>
              </w:rPr>
            </w:pPr>
            <w:r>
              <w:rPr>
                <w:rFonts w:hint="eastAsia"/>
                <w:szCs w:val="20"/>
              </w:rPr>
              <w:t>原始期限</w:t>
            </w:r>
          </w:p>
        </w:tc>
        <w:tc>
          <w:tcPr>
            <w:tcW w:w="0" w:type="auto"/>
            <w:noWrap/>
          </w:tcPr>
          <w:p w14:paraId="607DF71B" w14:textId="77777777" w:rsidR="00A052DC" w:rsidRDefault="009F0A60">
            <w:pPr>
              <w:pStyle w:val="B"/>
              <w:widowControl w:val="0"/>
              <w:rPr>
                <w:szCs w:val="20"/>
              </w:rPr>
            </w:pPr>
            <w:r>
              <w:rPr>
                <w:rFonts w:hint="eastAsia"/>
                <w:szCs w:val="20"/>
              </w:rPr>
              <w:t>整数型</w:t>
            </w:r>
          </w:p>
        </w:tc>
        <w:tc>
          <w:tcPr>
            <w:tcW w:w="0" w:type="auto"/>
          </w:tcPr>
          <w:p w14:paraId="5B7D9FD2" w14:textId="77777777" w:rsidR="00A052DC" w:rsidRDefault="009F0A60">
            <w:pPr>
              <w:pStyle w:val="B"/>
              <w:widowControl w:val="0"/>
              <w:rPr>
                <w:szCs w:val="20"/>
              </w:rPr>
            </w:pPr>
            <w:r>
              <w:rPr>
                <w:rFonts w:hint="eastAsia"/>
                <w:szCs w:val="20"/>
              </w:rPr>
              <w:t>必填项，必须</w:t>
            </w:r>
            <w:r>
              <w:rPr>
                <w:szCs w:val="20"/>
              </w:rPr>
              <w:t>2</w:t>
            </w:r>
            <w:r>
              <w:rPr>
                <w:rFonts w:hint="eastAsia"/>
                <w:szCs w:val="20"/>
              </w:rPr>
              <w:t>选</w:t>
            </w:r>
            <w:r>
              <w:rPr>
                <w:szCs w:val="20"/>
              </w:rPr>
              <w:t>1</w:t>
            </w:r>
            <w:r>
              <w:rPr>
                <w:rFonts w:hint="eastAsia"/>
                <w:szCs w:val="20"/>
              </w:rPr>
              <w:t>：</w:t>
            </w:r>
          </w:p>
          <w:p w14:paraId="7D693365" w14:textId="77777777" w:rsidR="00A052DC" w:rsidRDefault="009F0A60">
            <w:pPr>
              <w:rPr>
                <w:rFonts w:ascii="黑体" w:eastAsia="黑体" w:hAnsi="黑体"/>
                <w:kern w:val="0"/>
                <w:sz w:val="20"/>
                <w:szCs w:val="20"/>
              </w:rPr>
            </w:pPr>
            <w:r>
              <w:rPr>
                <w:rFonts w:ascii="黑体" w:eastAsia="黑体" w:hAnsi="黑体"/>
                <w:kern w:val="0"/>
                <w:sz w:val="20"/>
                <w:szCs w:val="20"/>
              </w:rPr>
              <w:t>1-</w:t>
            </w:r>
            <w:r>
              <w:rPr>
                <w:rFonts w:ascii="黑体" w:eastAsia="黑体" w:hAnsi="黑体" w:hint="eastAsia"/>
                <w:kern w:val="0"/>
                <w:sz w:val="20"/>
                <w:szCs w:val="20"/>
              </w:rPr>
              <w:t>一年及以下；</w:t>
            </w:r>
          </w:p>
          <w:p w14:paraId="47E5B06A" w14:textId="77777777" w:rsidR="00A052DC" w:rsidRDefault="009F0A60">
            <w:pPr>
              <w:rPr>
                <w:rFonts w:ascii="黑体" w:eastAsia="黑体" w:hAnsi="黑体"/>
                <w:sz w:val="20"/>
                <w:szCs w:val="20"/>
              </w:rPr>
            </w:pPr>
            <w:r>
              <w:rPr>
                <w:rFonts w:ascii="黑体" w:eastAsia="黑体" w:hAnsi="黑体"/>
                <w:kern w:val="0"/>
                <w:sz w:val="20"/>
                <w:szCs w:val="20"/>
              </w:rPr>
              <w:t>2-</w:t>
            </w:r>
            <w:r>
              <w:rPr>
                <w:rFonts w:ascii="黑体" w:eastAsia="黑体" w:hAnsi="黑体" w:hint="eastAsia"/>
                <w:kern w:val="0"/>
                <w:sz w:val="20"/>
                <w:szCs w:val="20"/>
              </w:rPr>
              <w:t>一年以上</w:t>
            </w:r>
          </w:p>
        </w:tc>
      </w:tr>
      <w:tr w:rsidR="00A052DC" w14:paraId="701D82DB" w14:textId="77777777">
        <w:trPr>
          <w:jc w:val="center"/>
        </w:trPr>
        <w:tc>
          <w:tcPr>
            <w:tcW w:w="0" w:type="auto"/>
            <w:noWrap/>
          </w:tcPr>
          <w:p w14:paraId="0C63BEE8" w14:textId="77777777" w:rsidR="00A052DC" w:rsidRDefault="009F0A60">
            <w:pPr>
              <w:pStyle w:val="B"/>
              <w:widowControl w:val="0"/>
              <w:rPr>
                <w:szCs w:val="20"/>
              </w:rPr>
            </w:pPr>
            <w:r>
              <w:rPr>
                <w:szCs w:val="20"/>
              </w:rPr>
              <w:t>F0107</w:t>
            </w:r>
          </w:p>
        </w:tc>
        <w:tc>
          <w:tcPr>
            <w:tcW w:w="0" w:type="auto"/>
          </w:tcPr>
          <w:p w14:paraId="699F8A7E" w14:textId="77777777" w:rsidR="00A052DC" w:rsidRDefault="009F0A60">
            <w:pPr>
              <w:pStyle w:val="B"/>
              <w:widowControl w:val="0"/>
              <w:rPr>
                <w:szCs w:val="20"/>
              </w:rPr>
            </w:pPr>
            <w:r>
              <w:rPr>
                <w:rFonts w:hint="eastAsia"/>
                <w:szCs w:val="20"/>
              </w:rPr>
              <w:t>原始币种</w:t>
            </w:r>
          </w:p>
        </w:tc>
        <w:tc>
          <w:tcPr>
            <w:tcW w:w="0" w:type="auto"/>
            <w:noWrap/>
          </w:tcPr>
          <w:p w14:paraId="2890F72A" w14:textId="77777777" w:rsidR="00A052DC" w:rsidRDefault="009F0A60">
            <w:pPr>
              <w:pStyle w:val="B"/>
              <w:widowControl w:val="0"/>
              <w:rPr>
                <w:szCs w:val="20"/>
              </w:rPr>
            </w:pPr>
            <w:r>
              <w:rPr>
                <w:rFonts w:hint="eastAsia"/>
                <w:szCs w:val="20"/>
              </w:rPr>
              <w:t>字符型，</w:t>
            </w:r>
            <w:r>
              <w:rPr>
                <w:szCs w:val="20"/>
              </w:rPr>
              <w:t>3</w:t>
            </w:r>
          </w:p>
        </w:tc>
        <w:tc>
          <w:tcPr>
            <w:tcW w:w="0" w:type="auto"/>
          </w:tcPr>
          <w:p w14:paraId="5C66D59B" w14:textId="77777777" w:rsidR="00A052DC" w:rsidRDefault="009F0A60">
            <w:pPr>
              <w:pStyle w:val="B"/>
              <w:widowControl w:val="0"/>
              <w:rPr>
                <w:szCs w:val="20"/>
              </w:rPr>
            </w:pPr>
            <w:r>
              <w:rPr>
                <w:rFonts w:hint="eastAsia"/>
                <w:szCs w:val="20"/>
              </w:rPr>
              <w:t>必填项，见币种代码表。</w:t>
            </w:r>
          </w:p>
        </w:tc>
      </w:tr>
      <w:tr w:rsidR="00A052DC" w14:paraId="54E37544" w14:textId="77777777">
        <w:trPr>
          <w:jc w:val="center"/>
        </w:trPr>
        <w:tc>
          <w:tcPr>
            <w:tcW w:w="0" w:type="auto"/>
            <w:noWrap/>
          </w:tcPr>
          <w:p w14:paraId="37320CD0" w14:textId="77777777" w:rsidR="00A052DC" w:rsidRDefault="009F0A60">
            <w:pPr>
              <w:pStyle w:val="B"/>
              <w:widowControl w:val="0"/>
              <w:rPr>
                <w:szCs w:val="20"/>
              </w:rPr>
            </w:pPr>
            <w:r>
              <w:rPr>
                <w:szCs w:val="20"/>
              </w:rPr>
              <w:t>F0108</w:t>
            </w:r>
          </w:p>
        </w:tc>
        <w:tc>
          <w:tcPr>
            <w:tcW w:w="0" w:type="auto"/>
          </w:tcPr>
          <w:p w14:paraId="162247C7" w14:textId="77777777" w:rsidR="00A052DC" w:rsidRDefault="009F0A60">
            <w:pPr>
              <w:pStyle w:val="B"/>
              <w:widowControl w:val="0"/>
              <w:rPr>
                <w:szCs w:val="20"/>
              </w:rPr>
            </w:pPr>
            <w:r>
              <w:rPr>
                <w:rFonts w:hint="eastAsia"/>
                <w:szCs w:val="20"/>
              </w:rPr>
              <w:t>上月末余额</w:t>
            </w:r>
          </w:p>
        </w:tc>
        <w:tc>
          <w:tcPr>
            <w:tcW w:w="0" w:type="auto"/>
            <w:noWrap/>
          </w:tcPr>
          <w:p w14:paraId="3C286A52" w14:textId="77777777" w:rsidR="00A052DC" w:rsidRDefault="009F0A60">
            <w:pPr>
              <w:pStyle w:val="B"/>
              <w:widowControl w:val="0"/>
              <w:rPr>
                <w:szCs w:val="20"/>
              </w:rPr>
            </w:pPr>
            <w:r>
              <w:rPr>
                <w:rFonts w:hint="eastAsia"/>
                <w:szCs w:val="20"/>
              </w:rPr>
              <w:t>数值型，</w:t>
            </w:r>
            <w:r>
              <w:rPr>
                <w:szCs w:val="20"/>
              </w:rPr>
              <w:t>22.2</w:t>
            </w:r>
          </w:p>
        </w:tc>
        <w:tc>
          <w:tcPr>
            <w:tcW w:w="0" w:type="auto"/>
          </w:tcPr>
          <w:p w14:paraId="75839B23" w14:textId="77777777" w:rsidR="00A052DC" w:rsidRDefault="009F0A60">
            <w:pPr>
              <w:pStyle w:val="B"/>
              <w:widowControl w:val="0"/>
              <w:rPr>
                <w:szCs w:val="20"/>
              </w:rPr>
            </w:pPr>
            <w:r>
              <w:rPr>
                <w:rFonts w:hint="eastAsia"/>
                <w:szCs w:val="20"/>
              </w:rPr>
              <w:t>必填项。</w:t>
            </w:r>
          </w:p>
        </w:tc>
      </w:tr>
      <w:tr w:rsidR="00A052DC" w14:paraId="32CE9E15" w14:textId="77777777">
        <w:trPr>
          <w:jc w:val="center"/>
        </w:trPr>
        <w:tc>
          <w:tcPr>
            <w:tcW w:w="0" w:type="auto"/>
            <w:noWrap/>
          </w:tcPr>
          <w:p w14:paraId="35168CBE" w14:textId="77777777" w:rsidR="00A052DC" w:rsidRDefault="009F0A60">
            <w:pPr>
              <w:pStyle w:val="B"/>
              <w:widowControl w:val="0"/>
              <w:rPr>
                <w:szCs w:val="20"/>
              </w:rPr>
            </w:pPr>
            <w:r>
              <w:rPr>
                <w:szCs w:val="20"/>
              </w:rPr>
              <w:t>F0109</w:t>
            </w:r>
          </w:p>
        </w:tc>
        <w:tc>
          <w:tcPr>
            <w:tcW w:w="0" w:type="auto"/>
          </w:tcPr>
          <w:p w14:paraId="3D222319" w14:textId="77777777" w:rsidR="00A052DC" w:rsidRDefault="009F0A60">
            <w:pPr>
              <w:pStyle w:val="B"/>
              <w:widowControl w:val="0"/>
              <w:rPr>
                <w:szCs w:val="20"/>
              </w:rPr>
            </w:pPr>
            <w:r>
              <w:rPr>
                <w:rFonts w:hint="eastAsia"/>
                <w:szCs w:val="20"/>
              </w:rPr>
              <w:t>本月末余额</w:t>
            </w:r>
          </w:p>
        </w:tc>
        <w:tc>
          <w:tcPr>
            <w:tcW w:w="0" w:type="auto"/>
            <w:noWrap/>
          </w:tcPr>
          <w:p w14:paraId="61A95A42" w14:textId="77777777" w:rsidR="00A052DC" w:rsidRDefault="009F0A60">
            <w:pPr>
              <w:pStyle w:val="B"/>
              <w:widowControl w:val="0"/>
              <w:rPr>
                <w:szCs w:val="20"/>
              </w:rPr>
            </w:pPr>
            <w:r>
              <w:rPr>
                <w:rFonts w:hint="eastAsia"/>
                <w:szCs w:val="20"/>
              </w:rPr>
              <w:t>数值型，</w:t>
            </w:r>
            <w:r>
              <w:rPr>
                <w:szCs w:val="20"/>
              </w:rPr>
              <w:t>22.2</w:t>
            </w:r>
          </w:p>
        </w:tc>
        <w:tc>
          <w:tcPr>
            <w:tcW w:w="0" w:type="auto"/>
          </w:tcPr>
          <w:p w14:paraId="38F8908F" w14:textId="77777777" w:rsidR="00A052DC" w:rsidRDefault="009F0A60">
            <w:pPr>
              <w:pStyle w:val="B"/>
              <w:widowControl w:val="0"/>
              <w:rPr>
                <w:szCs w:val="20"/>
              </w:rPr>
            </w:pPr>
            <w:r>
              <w:rPr>
                <w:rFonts w:hint="eastAsia"/>
                <w:szCs w:val="20"/>
              </w:rPr>
              <w:t>必填项。</w:t>
            </w:r>
          </w:p>
        </w:tc>
      </w:tr>
      <w:tr w:rsidR="00A052DC" w14:paraId="341507F3" w14:textId="77777777">
        <w:trPr>
          <w:jc w:val="center"/>
        </w:trPr>
        <w:tc>
          <w:tcPr>
            <w:tcW w:w="0" w:type="auto"/>
            <w:noWrap/>
          </w:tcPr>
          <w:p w14:paraId="3B936731" w14:textId="77777777" w:rsidR="00A052DC" w:rsidRDefault="009F0A60">
            <w:pPr>
              <w:pStyle w:val="B"/>
              <w:widowControl w:val="0"/>
              <w:rPr>
                <w:szCs w:val="20"/>
              </w:rPr>
            </w:pPr>
            <w:bookmarkStart w:id="3602" w:name="OLE_LINK21"/>
            <w:r>
              <w:rPr>
                <w:szCs w:val="20"/>
              </w:rPr>
              <w:t>F0110</w:t>
            </w:r>
            <w:bookmarkEnd w:id="3602"/>
          </w:p>
        </w:tc>
        <w:tc>
          <w:tcPr>
            <w:tcW w:w="0" w:type="auto"/>
          </w:tcPr>
          <w:p w14:paraId="20EA9B4B" w14:textId="77777777" w:rsidR="00A052DC" w:rsidRDefault="009F0A60">
            <w:pPr>
              <w:pStyle w:val="B"/>
              <w:widowControl w:val="0"/>
              <w:rPr>
                <w:szCs w:val="20"/>
              </w:rPr>
            </w:pPr>
            <w:r>
              <w:rPr>
                <w:rFonts w:hint="eastAsia"/>
                <w:szCs w:val="20"/>
              </w:rPr>
              <w:t>本月末余额其中：剩余期限在一年及以下</w:t>
            </w:r>
          </w:p>
        </w:tc>
        <w:tc>
          <w:tcPr>
            <w:tcW w:w="0" w:type="auto"/>
            <w:noWrap/>
          </w:tcPr>
          <w:p w14:paraId="63545393" w14:textId="77777777" w:rsidR="00A052DC" w:rsidRDefault="009F0A60">
            <w:pPr>
              <w:pStyle w:val="B"/>
              <w:widowControl w:val="0"/>
              <w:rPr>
                <w:szCs w:val="20"/>
              </w:rPr>
            </w:pPr>
            <w:r>
              <w:rPr>
                <w:rFonts w:hint="eastAsia"/>
                <w:szCs w:val="20"/>
              </w:rPr>
              <w:t>数值型，</w:t>
            </w:r>
            <w:r>
              <w:rPr>
                <w:szCs w:val="20"/>
              </w:rPr>
              <w:t>22.2</w:t>
            </w:r>
          </w:p>
        </w:tc>
        <w:tc>
          <w:tcPr>
            <w:tcW w:w="0" w:type="auto"/>
          </w:tcPr>
          <w:p w14:paraId="35172B9C" w14:textId="77777777" w:rsidR="00A052DC" w:rsidRDefault="009F0A60">
            <w:pPr>
              <w:pStyle w:val="B"/>
              <w:widowControl w:val="0"/>
              <w:rPr>
                <w:szCs w:val="20"/>
              </w:rPr>
            </w:pPr>
            <w:r>
              <w:rPr>
                <w:rFonts w:hint="eastAsia"/>
                <w:szCs w:val="20"/>
              </w:rPr>
              <w:t>当</w:t>
            </w:r>
            <w:r>
              <w:rPr>
                <w:szCs w:val="20"/>
              </w:rPr>
              <w:t>F0106=1</w:t>
            </w:r>
            <w:r>
              <w:rPr>
                <w:rFonts w:hint="eastAsia"/>
                <w:szCs w:val="20"/>
              </w:rPr>
              <w:t>时，</w:t>
            </w:r>
            <w:r>
              <w:rPr>
                <w:szCs w:val="20"/>
              </w:rPr>
              <w:t>F0109=F0110</w:t>
            </w:r>
            <w:r>
              <w:rPr>
                <w:rFonts w:hint="eastAsia"/>
                <w:szCs w:val="20"/>
              </w:rPr>
              <w:t>；</w:t>
            </w:r>
          </w:p>
          <w:p w14:paraId="54F0C727" w14:textId="77777777" w:rsidR="00A052DC" w:rsidRDefault="009F0A60">
            <w:pPr>
              <w:pStyle w:val="B"/>
              <w:widowControl w:val="0"/>
              <w:rPr>
                <w:szCs w:val="20"/>
              </w:rPr>
            </w:pPr>
            <w:r>
              <w:rPr>
                <w:rFonts w:hint="eastAsia"/>
                <w:szCs w:val="20"/>
              </w:rPr>
              <w:t>当</w:t>
            </w:r>
            <w:r>
              <w:rPr>
                <w:szCs w:val="20"/>
              </w:rPr>
              <w:t>F0106=2</w:t>
            </w:r>
            <w:r>
              <w:rPr>
                <w:rFonts w:hint="eastAsia"/>
                <w:szCs w:val="20"/>
              </w:rPr>
              <w:t>时，</w:t>
            </w:r>
            <w:r>
              <w:rPr>
                <w:szCs w:val="20"/>
              </w:rPr>
              <w:t>F0110</w:t>
            </w:r>
            <w:r>
              <w:rPr>
                <w:rFonts w:hint="eastAsia"/>
                <w:szCs w:val="20"/>
              </w:rPr>
              <w:t>≤</w:t>
            </w:r>
            <w:r>
              <w:rPr>
                <w:szCs w:val="20"/>
              </w:rPr>
              <w:t>F0109</w:t>
            </w:r>
            <w:r>
              <w:rPr>
                <w:rFonts w:hint="eastAsia"/>
                <w:szCs w:val="20"/>
              </w:rPr>
              <w:t>。</w:t>
            </w:r>
          </w:p>
        </w:tc>
      </w:tr>
      <w:tr w:rsidR="00A052DC" w14:paraId="424B8FF0" w14:textId="77777777">
        <w:trPr>
          <w:jc w:val="center"/>
        </w:trPr>
        <w:tc>
          <w:tcPr>
            <w:tcW w:w="0" w:type="auto"/>
            <w:noWrap/>
          </w:tcPr>
          <w:p w14:paraId="25DEB485" w14:textId="77777777" w:rsidR="00A052DC" w:rsidRDefault="009F0A60">
            <w:pPr>
              <w:pStyle w:val="B"/>
              <w:widowControl w:val="0"/>
              <w:rPr>
                <w:szCs w:val="20"/>
              </w:rPr>
            </w:pPr>
            <w:r>
              <w:rPr>
                <w:szCs w:val="20"/>
              </w:rPr>
              <w:t>F0111</w:t>
            </w:r>
          </w:p>
        </w:tc>
        <w:tc>
          <w:tcPr>
            <w:tcW w:w="0" w:type="auto"/>
          </w:tcPr>
          <w:p w14:paraId="6BC0117B" w14:textId="77777777" w:rsidR="00A052DC" w:rsidRDefault="009F0A60">
            <w:pPr>
              <w:pStyle w:val="B"/>
              <w:widowControl w:val="0"/>
              <w:rPr>
                <w:szCs w:val="20"/>
              </w:rPr>
            </w:pPr>
            <w:r>
              <w:rPr>
                <w:rFonts w:hint="eastAsia"/>
                <w:szCs w:val="20"/>
              </w:rPr>
              <w:t>本月非交易变动</w:t>
            </w:r>
          </w:p>
        </w:tc>
        <w:tc>
          <w:tcPr>
            <w:tcW w:w="0" w:type="auto"/>
            <w:noWrap/>
          </w:tcPr>
          <w:p w14:paraId="426B7A3E" w14:textId="77777777" w:rsidR="00A052DC" w:rsidRDefault="009F0A60">
            <w:pPr>
              <w:pStyle w:val="B"/>
              <w:widowControl w:val="0"/>
              <w:rPr>
                <w:szCs w:val="20"/>
              </w:rPr>
            </w:pPr>
            <w:r>
              <w:rPr>
                <w:rFonts w:hint="eastAsia"/>
                <w:szCs w:val="20"/>
              </w:rPr>
              <w:t>数值型，</w:t>
            </w:r>
            <w:r>
              <w:rPr>
                <w:szCs w:val="20"/>
              </w:rPr>
              <w:t>22.2</w:t>
            </w:r>
          </w:p>
        </w:tc>
        <w:tc>
          <w:tcPr>
            <w:tcW w:w="0" w:type="auto"/>
          </w:tcPr>
          <w:p w14:paraId="303D7F5B" w14:textId="77777777" w:rsidR="00A052DC" w:rsidRDefault="009F0A60">
            <w:pPr>
              <w:pStyle w:val="B"/>
              <w:widowControl w:val="0"/>
              <w:rPr>
                <w:szCs w:val="20"/>
              </w:rPr>
            </w:pPr>
            <w:r>
              <w:rPr>
                <w:rFonts w:hint="eastAsia"/>
                <w:szCs w:val="20"/>
              </w:rPr>
              <w:t>必填项。</w:t>
            </w:r>
          </w:p>
        </w:tc>
      </w:tr>
      <w:tr w:rsidR="00A052DC" w14:paraId="095AA4D0" w14:textId="77777777">
        <w:trPr>
          <w:jc w:val="center"/>
        </w:trPr>
        <w:tc>
          <w:tcPr>
            <w:tcW w:w="0" w:type="auto"/>
            <w:noWrap/>
          </w:tcPr>
          <w:p w14:paraId="67DDC7C5" w14:textId="77777777" w:rsidR="00A052DC" w:rsidRDefault="009F0A60">
            <w:pPr>
              <w:pStyle w:val="B"/>
              <w:widowControl w:val="0"/>
              <w:rPr>
                <w:szCs w:val="20"/>
              </w:rPr>
            </w:pPr>
            <w:r>
              <w:rPr>
                <w:szCs w:val="20"/>
              </w:rPr>
              <w:t>F0112</w:t>
            </w:r>
          </w:p>
        </w:tc>
        <w:tc>
          <w:tcPr>
            <w:tcW w:w="0" w:type="auto"/>
          </w:tcPr>
          <w:p w14:paraId="4245CBC0" w14:textId="77777777" w:rsidR="00A052DC" w:rsidRDefault="009F0A60">
            <w:pPr>
              <w:pStyle w:val="B"/>
              <w:widowControl w:val="0"/>
              <w:rPr>
                <w:szCs w:val="20"/>
              </w:rPr>
            </w:pPr>
            <w:r>
              <w:rPr>
                <w:rFonts w:hint="eastAsia"/>
                <w:szCs w:val="20"/>
              </w:rPr>
              <w:t>本月净发生额</w:t>
            </w:r>
          </w:p>
        </w:tc>
        <w:tc>
          <w:tcPr>
            <w:tcW w:w="0" w:type="auto"/>
            <w:noWrap/>
          </w:tcPr>
          <w:p w14:paraId="0AA64FE8" w14:textId="77777777" w:rsidR="00A052DC" w:rsidRDefault="009F0A60">
            <w:pPr>
              <w:pStyle w:val="B"/>
              <w:widowControl w:val="0"/>
              <w:rPr>
                <w:szCs w:val="20"/>
              </w:rPr>
            </w:pPr>
            <w:r>
              <w:rPr>
                <w:rFonts w:hint="eastAsia"/>
                <w:szCs w:val="20"/>
              </w:rPr>
              <w:t>数值型，</w:t>
            </w:r>
            <w:r>
              <w:rPr>
                <w:szCs w:val="20"/>
              </w:rPr>
              <w:t>22.2</w:t>
            </w:r>
          </w:p>
        </w:tc>
        <w:tc>
          <w:tcPr>
            <w:tcW w:w="0" w:type="auto"/>
          </w:tcPr>
          <w:p w14:paraId="295431E0" w14:textId="77777777" w:rsidR="00A052DC" w:rsidRDefault="009F0A60">
            <w:pPr>
              <w:pStyle w:val="B"/>
              <w:widowControl w:val="0"/>
              <w:rPr>
                <w:szCs w:val="20"/>
              </w:rPr>
            </w:pPr>
            <w:r>
              <w:rPr>
                <w:rFonts w:hint="eastAsia"/>
                <w:szCs w:val="20"/>
              </w:rPr>
              <w:t>必填项，必须满足：</w:t>
            </w:r>
          </w:p>
          <w:p w14:paraId="1E0A39DD" w14:textId="77777777" w:rsidR="00A052DC" w:rsidRDefault="009F0A60">
            <w:pPr>
              <w:pStyle w:val="B"/>
              <w:widowControl w:val="0"/>
              <w:rPr>
                <w:szCs w:val="20"/>
              </w:rPr>
            </w:pPr>
            <w:r>
              <w:rPr>
                <w:szCs w:val="20"/>
              </w:rPr>
              <w:t>F0112+F0111=F0109-F0108</w:t>
            </w:r>
            <w:r>
              <w:rPr>
                <w:rFonts w:hint="eastAsia"/>
                <w:szCs w:val="20"/>
              </w:rPr>
              <w:t>。</w:t>
            </w:r>
          </w:p>
        </w:tc>
      </w:tr>
      <w:tr w:rsidR="00A052DC" w14:paraId="61678CCB" w14:textId="77777777">
        <w:trPr>
          <w:jc w:val="center"/>
        </w:trPr>
        <w:tc>
          <w:tcPr>
            <w:tcW w:w="0" w:type="auto"/>
            <w:noWrap/>
          </w:tcPr>
          <w:p w14:paraId="757164A6" w14:textId="77777777" w:rsidR="00A052DC" w:rsidRDefault="009F0A60">
            <w:pPr>
              <w:pStyle w:val="B"/>
              <w:widowControl w:val="0"/>
              <w:rPr>
                <w:szCs w:val="20"/>
              </w:rPr>
            </w:pPr>
            <w:r>
              <w:rPr>
                <w:szCs w:val="20"/>
              </w:rPr>
              <w:t>F0113</w:t>
            </w:r>
          </w:p>
        </w:tc>
        <w:tc>
          <w:tcPr>
            <w:tcW w:w="0" w:type="auto"/>
          </w:tcPr>
          <w:p w14:paraId="1A2F3123" w14:textId="77777777" w:rsidR="00A052DC" w:rsidRDefault="009F0A60">
            <w:pPr>
              <w:pStyle w:val="B"/>
              <w:widowControl w:val="0"/>
              <w:rPr>
                <w:szCs w:val="20"/>
              </w:rPr>
            </w:pPr>
            <w:r>
              <w:rPr>
                <w:rFonts w:hint="eastAsia"/>
                <w:szCs w:val="20"/>
              </w:rPr>
              <w:t>备注</w:t>
            </w:r>
          </w:p>
        </w:tc>
        <w:tc>
          <w:tcPr>
            <w:tcW w:w="0" w:type="auto"/>
            <w:noWrap/>
          </w:tcPr>
          <w:p w14:paraId="1F7CD6DF" w14:textId="77777777" w:rsidR="00A052DC" w:rsidRDefault="009F0A60">
            <w:pPr>
              <w:pStyle w:val="B"/>
              <w:widowControl w:val="0"/>
              <w:rPr>
                <w:szCs w:val="20"/>
              </w:rPr>
            </w:pPr>
            <w:r>
              <w:rPr>
                <w:rFonts w:hint="eastAsia"/>
                <w:szCs w:val="20"/>
              </w:rPr>
              <w:t>字符型，</w:t>
            </w:r>
            <w:r>
              <w:rPr>
                <w:szCs w:val="20"/>
              </w:rPr>
              <w:t>512</w:t>
            </w:r>
          </w:p>
        </w:tc>
        <w:tc>
          <w:tcPr>
            <w:tcW w:w="0" w:type="auto"/>
          </w:tcPr>
          <w:p w14:paraId="134BE39C" w14:textId="77777777" w:rsidR="00A052DC" w:rsidRDefault="009F0A60">
            <w:pPr>
              <w:pStyle w:val="B"/>
              <w:widowControl w:val="0"/>
              <w:rPr>
                <w:szCs w:val="20"/>
              </w:rPr>
            </w:pPr>
            <w:r>
              <w:rPr>
                <w:rFonts w:hint="eastAsia"/>
                <w:kern w:val="2"/>
                <w:szCs w:val="20"/>
              </w:rPr>
              <w:t>当</w:t>
            </w:r>
            <w:r>
              <w:rPr>
                <w:rFonts w:hint="eastAsia"/>
                <w:szCs w:val="20"/>
              </w:rPr>
              <w:t>F0108、F0109、F0110各项中任何一项</w:t>
            </w:r>
            <w:r>
              <w:rPr>
                <w:rFonts w:hint="eastAsia"/>
                <w:kern w:val="2"/>
                <w:szCs w:val="20"/>
              </w:rPr>
              <w:t>为负数时为</w:t>
            </w:r>
            <w:r>
              <w:rPr>
                <w:rFonts w:hint="eastAsia"/>
                <w:szCs w:val="20"/>
              </w:rPr>
              <w:t>必填项。</w:t>
            </w:r>
          </w:p>
        </w:tc>
      </w:tr>
    </w:tbl>
    <w:p w14:paraId="5C913FA1" w14:textId="77777777" w:rsidR="00A052DC" w:rsidRDefault="00A052DC"/>
    <w:p w14:paraId="4B42F54E" w14:textId="77777777" w:rsidR="00A052DC" w:rsidRDefault="009F0A60" w:rsidP="0020251D">
      <w:pPr>
        <w:pStyle w:val="3"/>
        <w:ind w:left="0"/>
        <w:rPr>
          <w:rFonts w:ascii="Times New Roman" w:hAnsi="Times New Roman"/>
        </w:rPr>
      </w:pPr>
      <w:bookmarkStart w:id="3603" w:name="_Toc455156659"/>
      <w:bookmarkStart w:id="3604" w:name="_Toc455167835"/>
      <w:bookmarkStart w:id="3605" w:name="_Toc455152931"/>
      <w:bookmarkStart w:id="3606" w:name="_Toc454780289"/>
      <w:bookmarkStart w:id="3607" w:name="_Toc455164110"/>
      <w:bookmarkStart w:id="3608" w:name="_Toc454464912"/>
      <w:bookmarkStart w:id="3609" w:name="_Toc454459189"/>
      <w:bookmarkStart w:id="3610" w:name="_Toc454399413"/>
      <w:bookmarkStart w:id="3611" w:name="_Toc454382494"/>
      <w:bookmarkStart w:id="3612" w:name="_Toc454391444"/>
      <w:bookmarkStart w:id="3613" w:name="_Toc454391445"/>
      <w:bookmarkStart w:id="3614" w:name="_Toc91455331"/>
      <w:bookmarkStart w:id="3615" w:name="_Toc380570996"/>
      <w:bookmarkStart w:id="3616" w:name="_Toc380356301"/>
      <w:bookmarkStart w:id="3617" w:name="_Toc101684504"/>
      <w:bookmarkEnd w:id="3603"/>
      <w:bookmarkEnd w:id="3604"/>
      <w:bookmarkEnd w:id="3605"/>
      <w:bookmarkEnd w:id="3606"/>
      <w:bookmarkEnd w:id="3607"/>
      <w:bookmarkEnd w:id="3608"/>
      <w:bookmarkEnd w:id="3609"/>
      <w:bookmarkEnd w:id="3610"/>
      <w:bookmarkEnd w:id="3611"/>
      <w:bookmarkEnd w:id="3612"/>
      <w:r>
        <w:rPr>
          <w:rFonts w:ascii="Times New Roman" w:hAnsi="Times New Roman"/>
        </w:rPr>
        <w:t>F02</w:t>
      </w:r>
      <w:r>
        <w:rPr>
          <w:rFonts w:ascii="Times New Roman" w:hAnsi="Times New Roman" w:hint="eastAsia"/>
        </w:rPr>
        <w:t>表：对外承担第一性付款责任的票据、单证业务</w:t>
      </w:r>
      <w:bookmarkEnd w:id="3613"/>
      <w:bookmarkEnd w:id="3614"/>
      <w:bookmarkEnd w:id="3615"/>
      <w:bookmarkEnd w:id="3616"/>
      <w:bookmarkEnd w:id="3617"/>
    </w:p>
    <w:p w14:paraId="62C987CD" w14:textId="77777777" w:rsidR="00A052DC" w:rsidRDefault="009F0A60">
      <w:pPr>
        <w:spacing w:line="360" w:lineRule="auto"/>
        <w:ind w:firstLineChars="200" w:firstLine="480"/>
        <w:rPr>
          <w:rFonts w:ascii="Times New Roman"/>
          <w:kern w:val="0"/>
          <w:sz w:val="24"/>
          <w:szCs w:val="20"/>
        </w:rPr>
      </w:pPr>
      <w:r>
        <w:rPr>
          <w:rFonts w:ascii="Times New Roman" w:hint="eastAsia"/>
          <w:kern w:val="0"/>
          <w:sz w:val="24"/>
        </w:rPr>
        <w:t>为保证数据统一采集，此表不要求报送，而是由外汇局通过银行自身外债“远期信用证（含即期单证相符）”数据加工得到。</w:t>
      </w:r>
    </w:p>
    <w:p w14:paraId="686BB4D6" w14:textId="77777777" w:rsidR="00A052DC" w:rsidRDefault="009F0A60" w:rsidP="0020251D">
      <w:pPr>
        <w:pStyle w:val="4"/>
        <w:ind w:left="142" w:firstLine="560"/>
        <w:jc w:val="left"/>
      </w:pPr>
      <w:r>
        <w:rPr>
          <w:rFonts w:hint="eastAsia"/>
        </w:rPr>
        <w:t>数据术语解释</w:t>
      </w:r>
    </w:p>
    <w:tbl>
      <w:tblPr>
        <w:tblW w:w="8931" w:type="dxa"/>
        <w:tblInd w:w="-176" w:type="dxa"/>
        <w:tblLook w:val="04A0" w:firstRow="1" w:lastRow="0" w:firstColumn="1" w:lastColumn="0" w:noHBand="0" w:noVBand="1"/>
      </w:tblPr>
      <w:tblGrid>
        <w:gridCol w:w="1844"/>
        <w:gridCol w:w="3982"/>
        <w:gridCol w:w="3105"/>
      </w:tblGrid>
      <w:tr w:rsidR="00A052DC" w14:paraId="1FC31707" w14:textId="77777777">
        <w:tc>
          <w:tcPr>
            <w:tcW w:w="1844" w:type="dxa"/>
            <w:tcBorders>
              <w:top w:val="single" w:sz="4" w:space="0" w:color="auto"/>
              <w:left w:val="single" w:sz="4" w:space="0" w:color="auto"/>
              <w:bottom w:val="single" w:sz="4" w:space="0" w:color="auto"/>
              <w:right w:val="single" w:sz="4" w:space="0" w:color="auto"/>
            </w:tcBorders>
            <w:shd w:val="clear" w:color="auto" w:fill="auto"/>
          </w:tcPr>
          <w:p w14:paraId="07056F21" w14:textId="77777777" w:rsidR="00A052DC" w:rsidRDefault="009F0A60">
            <w:pPr>
              <w:widowControl/>
              <w:jc w:val="center"/>
              <w:rPr>
                <w:rFonts w:ascii="黑体" w:eastAsia="黑体" w:hAnsi="黑体" w:cs="宋体"/>
                <w:b/>
                <w:bCs/>
                <w:kern w:val="0"/>
                <w:sz w:val="20"/>
                <w:szCs w:val="20"/>
              </w:rPr>
            </w:pPr>
            <w:r>
              <w:rPr>
                <w:rFonts w:ascii="黑体" w:eastAsia="黑体" w:hAnsi="黑体" w:cs="宋体" w:hint="eastAsia"/>
                <w:b/>
                <w:bCs/>
                <w:kern w:val="0"/>
                <w:sz w:val="20"/>
                <w:szCs w:val="20"/>
              </w:rPr>
              <w:t>基础数据项</w:t>
            </w:r>
          </w:p>
        </w:tc>
        <w:tc>
          <w:tcPr>
            <w:tcW w:w="3982" w:type="dxa"/>
            <w:tcBorders>
              <w:top w:val="single" w:sz="4" w:space="0" w:color="auto"/>
              <w:left w:val="nil"/>
              <w:bottom w:val="single" w:sz="4" w:space="0" w:color="auto"/>
              <w:right w:val="single" w:sz="4" w:space="0" w:color="auto"/>
            </w:tcBorders>
            <w:shd w:val="clear" w:color="auto" w:fill="auto"/>
          </w:tcPr>
          <w:p w14:paraId="7685025A" w14:textId="77777777" w:rsidR="00A052DC" w:rsidRDefault="009F0A60">
            <w:pPr>
              <w:widowControl/>
              <w:jc w:val="center"/>
              <w:rPr>
                <w:rFonts w:ascii="黑体" w:eastAsia="黑体" w:hAnsi="黑体" w:cs="宋体"/>
                <w:b/>
                <w:bCs/>
                <w:kern w:val="0"/>
                <w:sz w:val="20"/>
                <w:szCs w:val="20"/>
              </w:rPr>
            </w:pPr>
            <w:r>
              <w:rPr>
                <w:rFonts w:ascii="黑体" w:eastAsia="黑体" w:hAnsi="黑体" w:cs="宋体" w:hint="eastAsia"/>
                <w:b/>
                <w:bCs/>
                <w:kern w:val="0"/>
                <w:sz w:val="20"/>
                <w:szCs w:val="20"/>
              </w:rPr>
              <w:t>定义</w:t>
            </w:r>
          </w:p>
        </w:tc>
        <w:tc>
          <w:tcPr>
            <w:tcW w:w="3105" w:type="dxa"/>
            <w:tcBorders>
              <w:top w:val="single" w:sz="4" w:space="0" w:color="auto"/>
              <w:left w:val="nil"/>
              <w:bottom w:val="single" w:sz="4" w:space="0" w:color="auto"/>
              <w:right w:val="single" w:sz="4" w:space="0" w:color="auto"/>
            </w:tcBorders>
          </w:tcPr>
          <w:p w14:paraId="67B82DD4" w14:textId="77777777" w:rsidR="00A052DC" w:rsidRDefault="009F0A60">
            <w:pPr>
              <w:widowControl/>
              <w:jc w:val="center"/>
              <w:rPr>
                <w:rFonts w:ascii="黑体" w:eastAsia="黑体" w:hAnsi="黑体" w:cs="宋体"/>
                <w:b/>
                <w:bCs/>
                <w:kern w:val="0"/>
                <w:sz w:val="20"/>
                <w:szCs w:val="20"/>
              </w:rPr>
            </w:pPr>
            <w:r>
              <w:rPr>
                <w:rFonts w:ascii="黑体" w:eastAsia="黑体" w:hAnsi="黑体" w:cs="宋体" w:hint="eastAsia"/>
                <w:b/>
                <w:bCs/>
                <w:kern w:val="0"/>
                <w:sz w:val="20"/>
                <w:szCs w:val="20"/>
              </w:rPr>
              <w:t>数据采集说明</w:t>
            </w:r>
          </w:p>
        </w:tc>
      </w:tr>
      <w:tr w:rsidR="00A052DC" w14:paraId="3677BEFE" w14:textId="77777777">
        <w:tc>
          <w:tcPr>
            <w:tcW w:w="1844" w:type="dxa"/>
            <w:tcBorders>
              <w:top w:val="nil"/>
              <w:left w:val="single" w:sz="4" w:space="0" w:color="auto"/>
              <w:bottom w:val="single" w:sz="4" w:space="0" w:color="auto"/>
              <w:right w:val="single" w:sz="4" w:space="0" w:color="auto"/>
            </w:tcBorders>
            <w:shd w:val="clear" w:color="auto" w:fill="auto"/>
            <w:vAlign w:val="center"/>
          </w:tcPr>
          <w:p w14:paraId="1A57286F" w14:textId="77777777" w:rsidR="00A052DC" w:rsidRDefault="009F0A60">
            <w:pPr>
              <w:widowControl/>
              <w:jc w:val="left"/>
              <w:rPr>
                <w:rFonts w:ascii="黑体" w:eastAsia="黑体" w:hAnsi="黑体" w:cs="宋体"/>
                <w:kern w:val="0"/>
                <w:sz w:val="20"/>
                <w:szCs w:val="20"/>
              </w:rPr>
            </w:pPr>
            <w:r>
              <w:rPr>
                <w:rFonts w:ascii="黑体" w:eastAsia="黑体" w:hAnsi="黑体" w:hint="eastAsia"/>
                <w:sz w:val="20"/>
                <w:szCs w:val="20"/>
              </w:rPr>
              <w:t>相关业务类别</w:t>
            </w:r>
          </w:p>
        </w:tc>
        <w:tc>
          <w:tcPr>
            <w:tcW w:w="3982" w:type="dxa"/>
            <w:tcBorders>
              <w:top w:val="nil"/>
              <w:left w:val="nil"/>
              <w:bottom w:val="single" w:sz="4" w:space="0" w:color="auto"/>
              <w:right w:val="single" w:sz="4" w:space="0" w:color="auto"/>
            </w:tcBorders>
            <w:shd w:val="clear" w:color="auto" w:fill="FFFFFF"/>
            <w:noWrap/>
            <w:vAlign w:val="center"/>
          </w:tcPr>
          <w:p w14:paraId="1CB6E957" w14:textId="77777777" w:rsidR="00A052DC" w:rsidRDefault="009F0A60">
            <w:pPr>
              <w:widowControl/>
              <w:jc w:val="left"/>
              <w:rPr>
                <w:rFonts w:ascii="黑体" w:eastAsia="黑体" w:hAnsi="黑体" w:cs="宋体"/>
                <w:kern w:val="0"/>
                <w:sz w:val="20"/>
                <w:szCs w:val="20"/>
              </w:rPr>
            </w:pPr>
            <w:r>
              <w:rPr>
                <w:rFonts w:ascii="黑体" w:eastAsia="黑体" w:hAnsi="黑体" w:hint="eastAsia"/>
                <w:sz w:val="20"/>
                <w:szCs w:val="20"/>
              </w:rPr>
              <w:t>按以下三种类别填列：</w:t>
            </w:r>
            <w:r>
              <w:rPr>
                <w:rFonts w:ascii="黑体" w:eastAsia="黑体" w:hAnsi="黑体"/>
                <w:sz w:val="20"/>
                <w:szCs w:val="20"/>
              </w:rPr>
              <w:t>1-信用证；2-延付保函；3-其他。</w:t>
            </w:r>
          </w:p>
        </w:tc>
        <w:tc>
          <w:tcPr>
            <w:tcW w:w="3105" w:type="dxa"/>
            <w:tcBorders>
              <w:top w:val="nil"/>
              <w:left w:val="nil"/>
              <w:bottom w:val="single" w:sz="4" w:space="0" w:color="auto"/>
              <w:right w:val="single" w:sz="4" w:space="0" w:color="auto"/>
            </w:tcBorders>
            <w:shd w:val="clear" w:color="auto" w:fill="FFFFFF"/>
          </w:tcPr>
          <w:p w14:paraId="30227F3B" w14:textId="77777777" w:rsidR="00A052DC" w:rsidRDefault="009F0A60">
            <w:pPr>
              <w:widowControl/>
              <w:jc w:val="left"/>
              <w:rPr>
                <w:rFonts w:ascii="黑体" w:eastAsia="黑体" w:hAnsi="黑体" w:cs="宋体"/>
                <w:kern w:val="0"/>
                <w:sz w:val="20"/>
                <w:szCs w:val="20"/>
              </w:rPr>
            </w:pPr>
            <w:r>
              <w:rPr>
                <w:rFonts w:ascii="黑体" w:eastAsia="黑体" w:hAnsi="黑体" w:cs="宋体" w:hint="eastAsia"/>
                <w:kern w:val="0"/>
                <w:sz w:val="20"/>
                <w:szCs w:val="20"/>
              </w:rPr>
              <w:t>对应信用证业务相关类别。</w:t>
            </w:r>
          </w:p>
        </w:tc>
      </w:tr>
      <w:tr w:rsidR="00A052DC" w14:paraId="2FE1D90E" w14:textId="77777777">
        <w:tc>
          <w:tcPr>
            <w:tcW w:w="1844" w:type="dxa"/>
            <w:tcBorders>
              <w:top w:val="nil"/>
              <w:left w:val="single" w:sz="4" w:space="0" w:color="auto"/>
              <w:bottom w:val="single" w:sz="4" w:space="0" w:color="auto"/>
              <w:right w:val="single" w:sz="4" w:space="0" w:color="auto"/>
            </w:tcBorders>
            <w:shd w:val="clear" w:color="auto" w:fill="auto"/>
            <w:vAlign w:val="center"/>
          </w:tcPr>
          <w:p w14:paraId="2AE6F7D5" w14:textId="77777777" w:rsidR="00A052DC" w:rsidRDefault="009F0A60">
            <w:pPr>
              <w:widowControl/>
              <w:jc w:val="left"/>
              <w:rPr>
                <w:rFonts w:ascii="黑体" w:eastAsia="黑体" w:hAnsi="黑体" w:cs="宋体"/>
                <w:kern w:val="0"/>
                <w:sz w:val="20"/>
                <w:szCs w:val="20"/>
              </w:rPr>
            </w:pPr>
            <w:r>
              <w:rPr>
                <w:rFonts w:ascii="黑体" w:eastAsia="黑体" w:hAnsi="黑体" w:cs="宋体" w:hint="eastAsia"/>
                <w:kern w:val="0"/>
                <w:sz w:val="20"/>
                <w:szCs w:val="20"/>
              </w:rPr>
              <w:t>是否附有银行承兑汇票</w:t>
            </w:r>
          </w:p>
        </w:tc>
        <w:tc>
          <w:tcPr>
            <w:tcW w:w="3982" w:type="dxa"/>
            <w:tcBorders>
              <w:top w:val="nil"/>
              <w:left w:val="nil"/>
              <w:bottom w:val="single" w:sz="4" w:space="0" w:color="auto"/>
              <w:right w:val="single" w:sz="4" w:space="0" w:color="auto"/>
            </w:tcBorders>
            <w:shd w:val="clear" w:color="auto" w:fill="FFFFFF"/>
            <w:noWrap/>
            <w:vAlign w:val="center"/>
          </w:tcPr>
          <w:p w14:paraId="79BE6CE2" w14:textId="77777777" w:rsidR="00A052DC" w:rsidRDefault="009F0A60">
            <w:pPr>
              <w:widowControl/>
              <w:jc w:val="left"/>
              <w:rPr>
                <w:rFonts w:ascii="黑体" w:eastAsia="黑体" w:hAnsi="黑体" w:cs="宋体"/>
                <w:kern w:val="0"/>
                <w:sz w:val="20"/>
                <w:szCs w:val="20"/>
              </w:rPr>
            </w:pPr>
            <w:r>
              <w:rPr>
                <w:rFonts w:ascii="黑体" w:eastAsia="黑体" w:hAnsi="黑体" w:hint="eastAsia"/>
                <w:sz w:val="20"/>
                <w:szCs w:val="20"/>
              </w:rPr>
              <w:t>请按以下两种情况填列：</w:t>
            </w:r>
            <w:r>
              <w:rPr>
                <w:rFonts w:ascii="黑体" w:eastAsia="黑体" w:hAnsi="黑体"/>
                <w:sz w:val="20"/>
                <w:szCs w:val="20"/>
              </w:rPr>
              <w:t>1-是；0-否。</w:t>
            </w:r>
          </w:p>
        </w:tc>
        <w:tc>
          <w:tcPr>
            <w:tcW w:w="3105" w:type="dxa"/>
            <w:tcBorders>
              <w:top w:val="nil"/>
              <w:left w:val="nil"/>
              <w:bottom w:val="single" w:sz="4" w:space="0" w:color="auto"/>
              <w:right w:val="single" w:sz="4" w:space="0" w:color="auto"/>
            </w:tcBorders>
            <w:shd w:val="clear" w:color="auto" w:fill="FFFFFF"/>
          </w:tcPr>
          <w:p w14:paraId="19641762" w14:textId="77777777" w:rsidR="00A052DC" w:rsidRDefault="009F0A60">
            <w:pPr>
              <w:widowControl/>
              <w:jc w:val="left"/>
              <w:rPr>
                <w:rFonts w:ascii="黑体" w:eastAsia="黑体" w:hAnsi="黑体" w:cs="宋体"/>
                <w:kern w:val="0"/>
                <w:sz w:val="20"/>
                <w:szCs w:val="20"/>
              </w:rPr>
            </w:pPr>
            <w:r>
              <w:rPr>
                <w:rFonts w:ascii="黑体" w:eastAsia="黑体" w:hAnsi="黑体" w:cs="宋体" w:hint="eastAsia"/>
                <w:kern w:val="0"/>
                <w:sz w:val="20"/>
                <w:szCs w:val="20"/>
              </w:rPr>
              <w:t>对应信用证是否附有银行承兑汇票。</w:t>
            </w:r>
          </w:p>
        </w:tc>
      </w:tr>
      <w:tr w:rsidR="00A052DC" w14:paraId="09C965DE" w14:textId="77777777">
        <w:tc>
          <w:tcPr>
            <w:tcW w:w="1844" w:type="dxa"/>
            <w:tcBorders>
              <w:top w:val="nil"/>
              <w:left w:val="single" w:sz="4" w:space="0" w:color="auto"/>
              <w:bottom w:val="single" w:sz="4" w:space="0" w:color="auto"/>
              <w:right w:val="single" w:sz="4" w:space="0" w:color="auto"/>
            </w:tcBorders>
            <w:shd w:val="clear" w:color="auto" w:fill="auto"/>
            <w:vAlign w:val="center"/>
          </w:tcPr>
          <w:p w14:paraId="0650A862" w14:textId="77777777" w:rsidR="00A052DC" w:rsidRDefault="009F0A60">
            <w:pPr>
              <w:widowControl/>
              <w:jc w:val="left"/>
              <w:rPr>
                <w:rFonts w:ascii="黑体" w:eastAsia="黑体" w:hAnsi="黑体" w:cs="宋体"/>
                <w:kern w:val="0"/>
                <w:sz w:val="20"/>
                <w:szCs w:val="20"/>
              </w:rPr>
            </w:pPr>
            <w:r>
              <w:rPr>
                <w:rFonts w:ascii="黑体" w:eastAsia="黑体" w:hAnsi="黑体" w:hint="eastAsia"/>
                <w:sz w:val="20"/>
                <w:szCs w:val="20"/>
              </w:rPr>
              <w:t>境外收款人所属国家</w:t>
            </w:r>
            <w:r>
              <w:rPr>
                <w:rFonts w:ascii="黑体" w:eastAsia="黑体" w:hAnsi="黑体"/>
                <w:sz w:val="20"/>
                <w:szCs w:val="20"/>
              </w:rPr>
              <w:t>/地区</w:t>
            </w:r>
          </w:p>
        </w:tc>
        <w:tc>
          <w:tcPr>
            <w:tcW w:w="3982" w:type="dxa"/>
            <w:tcBorders>
              <w:top w:val="nil"/>
              <w:left w:val="nil"/>
              <w:bottom w:val="single" w:sz="4" w:space="0" w:color="auto"/>
              <w:right w:val="single" w:sz="4" w:space="0" w:color="auto"/>
            </w:tcBorders>
            <w:shd w:val="clear" w:color="auto" w:fill="auto"/>
            <w:vAlign w:val="center"/>
          </w:tcPr>
          <w:p w14:paraId="5F587737" w14:textId="77777777" w:rsidR="00A052DC" w:rsidRDefault="009F0A60">
            <w:pPr>
              <w:widowControl/>
              <w:jc w:val="left"/>
              <w:rPr>
                <w:rFonts w:ascii="黑体" w:eastAsia="黑体" w:hAnsi="黑体" w:cs="宋体"/>
                <w:kern w:val="0"/>
                <w:sz w:val="20"/>
                <w:szCs w:val="20"/>
              </w:rPr>
            </w:pPr>
            <w:r>
              <w:rPr>
                <w:rFonts w:ascii="黑体" w:eastAsia="黑体" w:hAnsi="黑体" w:hint="eastAsia"/>
                <w:sz w:val="20"/>
                <w:szCs w:val="20"/>
              </w:rPr>
              <w:t>见国家和地区代码表的</w:t>
            </w:r>
            <w:r>
              <w:rPr>
                <w:rFonts w:ascii="黑体" w:eastAsia="黑体" w:hAnsi="黑体"/>
                <w:sz w:val="20"/>
                <w:szCs w:val="20"/>
              </w:rPr>
              <w:t>3</w:t>
            </w:r>
            <w:r>
              <w:rPr>
                <w:rFonts w:ascii="黑体" w:eastAsia="黑体" w:hAnsi="黑体" w:hint="eastAsia"/>
                <w:sz w:val="20"/>
                <w:szCs w:val="20"/>
              </w:rPr>
              <w:t>位字母代码，填报本机构所承兑信用证、延付保函等的境外收款人注册或经营所在国家</w:t>
            </w:r>
            <w:r>
              <w:rPr>
                <w:rFonts w:ascii="黑体" w:eastAsia="黑体" w:hAnsi="黑体"/>
                <w:sz w:val="20"/>
                <w:szCs w:val="20"/>
              </w:rPr>
              <w:t>/地区代码。</w:t>
            </w:r>
          </w:p>
        </w:tc>
        <w:tc>
          <w:tcPr>
            <w:tcW w:w="3105" w:type="dxa"/>
            <w:tcBorders>
              <w:top w:val="nil"/>
              <w:left w:val="nil"/>
              <w:bottom w:val="single" w:sz="4" w:space="0" w:color="auto"/>
              <w:right w:val="single" w:sz="4" w:space="0" w:color="auto"/>
            </w:tcBorders>
            <w:vAlign w:val="center"/>
          </w:tcPr>
          <w:p w14:paraId="5FE25AFC" w14:textId="77777777" w:rsidR="00A052DC" w:rsidRDefault="009F0A60">
            <w:pPr>
              <w:widowControl/>
              <w:jc w:val="left"/>
              <w:rPr>
                <w:rFonts w:ascii="黑体" w:eastAsia="黑体" w:hAnsi="黑体" w:cs="宋体"/>
                <w:kern w:val="0"/>
                <w:sz w:val="20"/>
                <w:szCs w:val="20"/>
              </w:rPr>
            </w:pPr>
            <w:r>
              <w:rPr>
                <w:rFonts w:ascii="黑体" w:eastAsia="黑体" w:hAnsi="黑体" w:cs="宋体" w:hint="eastAsia"/>
                <w:kern w:val="0"/>
                <w:sz w:val="20"/>
                <w:szCs w:val="20"/>
              </w:rPr>
              <w:t>对应债权人经营地所在国家（地区）代码。</w:t>
            </w:r>
          </w:p>
        </w:tc>
      </w:tr>
      <w:tr w:rsidR="00A052DC" w14:paraId="46FB5638" w14:textId="77777777">
        <w:tc>
          <w:tcPr>
            <w:tcW w:w="1844" w:type="dxa"/>
            <w:tcBorders>
              <w:top w:val="nil"/>
              <w:left w:val="single" w:sz="4" w:space="0" w:color="auto"/>
              <w:bottom w:val="single" w:sz="4" w:space="0" w:color="auto"/>
              <w:right w:val="single" w:sz="4" w:space="0" w:color="auto"/>
            </w:tcBorders>
            <w:shd w:val="clear" w:color="auto" w:fill="auto"/>
            <w:vAlign w:val="center"/>
          </w:tcPr>
          <w:p w14:paraId="0E55B3D8" w14:textId="77777777" w:rsidR="00A052DC" w:rsidRDefault="009F0A60">
            <w:pPr>
              <w:widowControl/>
              <w:jc w:val="left"/>
              <w:rPr>
                <w:rFonts w:ascii="黑体" w:eastAsia="黑体" w:hAnsi="黑体" w:cs="宋体"/>
                <w:kern w:val="0"/>
                <w:sz w:val="20"/>
                <w:szCs w:val="20"/>
              </w:rPr>
            </w:pPr>
            <w:r>
              <w:rPr>
                <w:rFonts w:ascii="黑体" w:eastAsia="黑体" w:hAnsi="黑体" w:hint="eastAsia"/>
                <w:sz w:val="20"/>
                <w:szCs w:val="20"/>
              </w:rPr>
              <w:t>境外收款人所属部门</w:t>
            </w:r>
          </w:p>
        </w:tc>
        <w:tc>
          <w:tcPr>
            <w:tcW w:w="3982" w:type="dxa"/>
            <w:tcBorders>
              <w:top w:val="nil"/>
              <w:left w:val="nil"/>
              <w:bottom w:val="single" w:sz="4" w:space="0" w:color="auto"/>
              <w:right w:val="single" w:sz="4" w:space="0" w:color="auto"/>
            </w:tcBorders>
            <w:shd w:val="clear" w:color="auto" w:fill="auto"/>
            <w:vAlign w:val="center"/>
          </w:tcPr>
          <w:p w14:paraId="08E10FCF" w14:textId="77777777" w:rsidR="00A052DC" w:rsidRDefault="009F0A60">
            <w:pPr>
              <w:jc w:val="left"/>
              <w:rPr>
                <w:rFonts w:ascii="黑体" w:eastAsia="黑体" w:hAnsi="黑体"/>
                <w:sz w:val="20"/>
                <w:szCs w:val="20"/>
              </w:rPr>
            </w:pPr>
            <w:r>
              <w:rPr>
                <w:rFonts w:ascii="黑体" w:eastAsia="黑体" w:hAnsi="黑体" w:hint="eastAsia"/>
                <w:sz w:val="20"/>
                <w:szCs w:val="20"/>
              </w:rPr>
              <w:t>见投资者（被投资者）部门代码表。请按境外收款人的主营业务归类。</w:t>
            </w:r>
          </w:p>
        </w:tc>
        <w:tc>
          <w:tcPr>
            <w:tcW w:w="3105" w:type="dxa"/>
            <w:tcBorders>
              <w:top w:val="nil"/>
              <w:left w:val="nil"/>
              <w:bottom w:val="single" w:sz="4" w:space="0" w:color="auto"/>
              <w:right w:val="single" w:sz="4" w:space="0" w:color="auto"/>
            </w:tcBorders>
            <w:vAlign w:val="center"/>
          </w:tcPr>
          <w:p w14:paraId="3D281D5D" w14:textId="77777777" w:rsidR="00A052DC" w:rsidRDefault="009F0A60">
            <w:pPr>
              <w:widowControl/>
              <w:jc w:val="left"/>
              <w:rPr>
                <w:rFonts w:ascii="黑体" w:eastAsia="黑体" w:hAnsi="黑体" w:cs="宋体"/>
                <w:kern w:val="0"/>
                <w:sz w:val="20"/>
                <w:szCs w:val="20"/>
              </w:rPr>
            </w:pPr>
            <w:r>
              <w:rPr>
                <w:rFonts w:ascii="黑体" w:eastAsia="黑体" w:hAnsi="黑体" w:cs="宋体" w:hint="eastAsia"/>
                <w:kern w:val="0"/>
                <w:sz w:val="20"/>
                <w:szCs w:val="20"/>
              </w:rPr>
              <w:t>对应债权人类型。</w:t>
            </w:r>
          </w:p>
        </w:tc>
      </w:tr>
      <w:tr w:rsidR="00A052DC" w14:paraId="13E9850A" w14:textId="77777777">
        <w:trPr>
          <w:trHeight w:val="1121"/>
        </w:trPr>
        <w:tc>
          <w:tcPr>
            <w:tcW w:w="1844" w:type="dxa"/>
            <w:tcBorders>
              <w:top w:val="nil"/>
              <w:left w:val="single" w:sz="4" w:space="0" w:color="auto"/>
              <w:bottom w:val="single" w:sz="4" w:space="0" w:color="auto"/>
              <w:right w:val="single" w:sz="4" w:space="0" w:color="auto"/>
            </w:tcBorders>
            <w:shd w:val="clear" w:color="auto" w:fill="auto"/>
            <w:vAlign w:val="center"/>
          </w:tcPr>
          <w:p w14:paraId="33278F97" w14:textId="77777777" w:rsidR="00A052DC" w:rsidRDefault="009F0A60">
            <w:pPr>
              <w:widowControl/>
              <w:jc w:val="left"/>
              <w:rPr>
                <w:rFonts w:ascii="黑体" w:eastAsia="黑体" w:hAnsi="黑体" w:cs="宋体"/>
                <w:kern w:val="0"/>
                <w:sz w:val="20"/>
                <w:szCs w:val="20"/>
              </w:rPr>
            </w:pPr>
            <w:r>
              <w:rPr>
                <w:rFonts w:ascii="黑体" w:eastAsia="黑体" w:hAnsi="黑体" w:hint="eastAsia"/>
                <w:sz w:val="20"/>
                <w:szCs w:val="20"/>
              </w:rPr>
              <w:t>境外收款人与本机构的关系</w:t>
            </w:r>
          </w:p>
        </w:tc>
        <w:tc>
          <w:tcPr>
            <w:tcW w:w="3982" w:type="dxa"/>
            <w:tcBorders>
              <w:top w:val="nil"/>
              <w:left w:val="nil"/>
              <w:bottom w:val="single" w:sz="4" w:space="0" w:color="auto"/>
              <w:right w:val="single" w:sz="4" w:space="0" w:color="auto"/>
            </w:tcBorders>
            <w:shd w:val="clear" w:color="auto" w:fill="FFFFFF"/>
            <w:noWrap/>
            <w:vAlign w:val="center"/>
          </w:tcPr>
          <w:p w14:paraId="0FBC6741" w14:textId="77777777" w:rsidR="00A052DC" w:rsidRDefault="009F0A60">
            <w:pPr>
              <w:widowControl/>
              <w:jc w:val="left"/>
              <w:rPr>
                <w:rFonts w:ascii="黑体" w:eastAsia="黑体" w:hAnsi="黑体" w:cs="宋体"/>
                <w:kern w:val="0"/>
                <w:sz w:val="20"/>
                <w:szCs w:val="20"/>
              </w:rPr>
            </w:pPr>
            <w:r>
              <w:rPr>
                <w:rFonts w:ascii="黑体" w:eastAsia="黑体" w:hAnsi="黑体" w:hint="eastAsia"/>
                <w:sz w:val="20"/>
                <w:szCs w:val="20"/>
              </w:rPr>
              <w:t>见对方与本机构</w:t>
            </w:r>
            <w:r>
              <w:rPr>
                <w:rFonts w:ascii="黑体" w:eastAsia="黑体" w:hAnsi="黑体"/>
                <w:sz w:val="20"/>
                <w:szCs w:val="20"/>
              </w:rPr>
              <w:t>/被代理居民机构/委托人的关系对方与本机构关联关系代码表</w:t>
            </w:r>
            <w:r>
              <w:rPr>
                <w:rFonts w:ascii="黑体" w:eastAsia="黑体" w:hAnsi="黑体" w:hint="eastAsia"/>
                <w:sz w:val="20"/>
                <w:szCs w:val="20"/>
              </w:rPr>
              <w:t>。</w:t>
            </w:r>
          </w:p>
        </w:tc>
        <w:tc>
          <w:tcPr>
            <w:tcW w:w="3105" w:type="dxa"/>
            <w:tcBorders>
              <w:top w:val="nil"/>
              <w:left w:val="nil"/>
              <w:bottom w:val="single" w:sz="4" w:space="0" w:color="auto"/>
              <w:right w:val="single" w:sz="4" w:space="0" w:color="auto"/>
            </w:tcBorders>
            <w:shd w:val="clear" w:color="auto" w:fill="FFFFFF"/>
            <w:vAlign w:val="center"/>
          </w:tcPr>
          <w:p w14:paraId="49D1E275" w14:textId="77777777" w:rsidR="00A052DC" w:rsidRDefault="009F0A60">
            <w:pPr>
              <w:jc w:val="left"/>
              <w:rPr>
                <w:rFonts w:ascii="黑体" w:eastAsia="黑体" w:hAnsi="黑体" w:cs="宋体"/>
                <w:kern w:val="0"/>
                <w:sz w:val="20"/>
                <w:szCs w:val="20"/>
              </w:rPr>
            </w:pPr>
            <w:r>
              <w:rPr>
                <w:rFonts w:ascii="黑体" w:eastAsia="黑体" w:hAnsi="黑体" w:cs="宋体" w:hint="eastAsia"/>
                <w:kern w:val="0"/>
                <w:sz w:val="20"/>
                <w:szCs w:val="20"/>
              </w:rPr>
              <w:t>对应信用证</w:t>
            </w:r>
            <w:r>
              <w:rPr>
                <w:rFonts w:ascii="黑体" w:eastAsia="黑体" w:hAnsi="黑体" w:hint="eastAsia"/>
                <w:sz w:val="20"/>
                <w:szCs w:val="20"/>
              </w:rPr>
              <w:t>境外收款人与本机构的关系。</w:t>
            </w:r>
          </w:p>
        </w:tc>
      </w:tr>
      <w:tr w:rsidR="00A052DC" w14:paraId="4ADBDCCF" w14:textId="77777777">
        <w:tc>
          <w:tcPr>
            <w:tcW w:w="1844" w:type="dxa"/>
            <w:tcBorders>
              <w:top w:val="nil"/>
              <w:left w:val="single" w:sz="4" w:space="0" w:color="auto"/>
              <w:bottom w:val="single" w:sz="4" w:space="0" w:color="auto"/>
              <w:right w:val="single" w:sz="4" w:space="0" w:color="auto"/>
            </w:tcBorders>
            <w:shd w:val="clear" w:color="auto" w:fill="auto"/>
            <w:vAlign w:val="center"/>
          </w:tcPr>
          <w:p w14:paraId="00A17EA5" w14:textId="77777777" w:rsidR="00A052DC" w:rsidRDefault="009F0A60">
            <w:pPr>
              <w:widowControl/>
              <w:jc w:val="left"/>
              <w:rPr>
                <w:rFonts w:ascii="黑体" w:eastAsia="黑体" w:hAnsi="黑体" w:cs="宋体"/>
                <w:kern w:val="0"/>
                <w:sz w:val="20"/>
                <w:szCs w:val="20"/>
              </w:rPr>
            </w:pPr>
            <w:r>
              <w:rPr>
                <w:rFonts w:ascii="黑体" w:eastAsia="黑体" w:hAnsi="黑体" w:cs="宋体" w:hint="eastAsia"/>
                <w:kern w:val="0"/>
                <w:sz w:val="20"/>
                <w:szCs w:val="20"/>
              </w:rPr>
              <w:t>原始期限</w:t>
            </w:r>
          </w:p>
        </w:tc>
        <w:tc>
          <w:tcPr>
            <w:tcW w:w="3982" w:type="dxa"/>
            <w:tcBorders>
              <w:top w:val="nil"/>
              <w:left w:val="nil"/>
              <w:bottom w:val="single" w:sz="4" w:space="0" w:color="auto"/>
              <w:right w:val="single" w:sz="4" w:space="0" w:color="auto"/>
            </w:tcBorders>
            <w:shd w:val="clear" w:color="auto" w:fill="auto"/>
            <w:vAlign w:val="center"/>
          </w:tcPr>
          <w:p w14:paraId="4E842149" w14:textId="77777777" w:rsidR="00A052DC" w:rsidRDefault="009F0A60">
            <w:pPr>
              <w:widowControl/>
              <w:jc w:val="left"/>
              <w:rPr>
                <w:rFonts w:ascii="黑体" w:eastAsia="黑体" w:hAnsi="黑体"/>
                <w:sz w:val="20"/>
                <w:szCs w:val="20"/>
              </w:rPr>
            </w:pPr>
            <w:r>
              <w:rPr>
                <w:rFonts w:ascii="黑体" w:eastAsia="黑体" w:hAnsi="黑体" w:hint="eastAsia"/>
                <w:sz w:val="20"/>
                <w:szCs w:val="20"/>
              </w:rPr>
              <w:t>指从本机构付款责任确认至约定的最终付款的期限，请按以下两种情况填列：</w:t>
            </w:r>
            <w:r>
              <w:rPr>
                <w:rFonts w:ascii="黑体" w:eastAsia="黑体" w:hAnsi="黑体"/>
                <w:sz w:val="20"/>
                <w:szCs w:val="20"/>
              </w:rPr>
              <w:t>1-一年及以下；2-一年以上。其中，不定期或未约定最终付款期限的，应归入1。如发生付款拖欠或展期的，应按照双方确定的期限计算。如双方无安排，应按原期限归类。</w:t>
            </w:r>
          </w:p>
        </w:tc>
        <w:tc>
          <w:tcPr>
            <w:tcW w:w="3105" w:type="dxa"/>
            <w:tcBorders>
              <w:top w:val="nil"/>
              <w:left w:val="nil"/>
              <w:bottom w:val="single" w:sz="4" w:space="0" w:color="auto"/>
              <w:right w:val="single" w:sz="4" w:space="0" w:color="auto"/>
            </w:tcBorders>
            <w:vAlign w:val="center"/>
          </w:tcPr>
          <w:p w14:paraId="3DFDC0D7" w14:textId="77777777" w:rsidR="00A052DC" w:rsidRDefault="009F0A60">
            <w:pPr>
              <w:widowControl/>
              <w:jc w:val="left"/>
              <w:rPr>
                <w:rFonts w:ascii="黑体" w:eastAsia="黑体" w:hAnsi="黑体" w:cs="宋体"/>
                <w:kern w:val="0"/>
                <w:sz w:val="20"/>
                <w:szCs w:val="20"/>
              </w:rPr>
            </w:pPr>
            <w:r>
              <w:rPr>
                <w:rFonts w:ascii="黑体" w:eastAsia="黑体" w:hAnsi="黑体" w:cs="宋体" w:hint="eastAsia"/>
                <w:kern w:val="0"/>
                <w:sz w:val="20"/>
                <w:szCs w:val="20"/>
              </w:rPr>
              <w:t>对应到期日</w:t>
            </w:r>
            <w:r>
              <w:rPr>
                <w:rFonts w:ascii="黑体" w:eastAsia="黑体" w:hAnsi="黑体" w:cs="宋体"/>
                <w:kern w:val="0"/>
                <w:sz w:val="20"/>
                <w:szCs w:val="20"/>
              </w:rPr>
              <w:t>-起息日（MATURITY-VALUEDATE）</w:t>
            </w:r>
            <w:r>
              <w:rPr>
                <w:rFonts w:ascii="黑体" w:eastAsia="黑体" w:hAnsi="黑体" w:cs="宋体" w:hint="eastAsia"/>
                <w:kern w:val="0"/>
                <w:sz w:val="20"/>
                <w:szCs w:val="20"/>
              </w:rPr>
              <w:t>。</w:t>
            </w:r>
          </w:p>
        </w:tc>
      </w:tr>
      <w:tr w:rsidR="00A052DC" w14:paraId="57A2CF83" w14:textId="77777777">
        <w:tc>
          <w:tcPr>
            <w:tcW w:w="1844" w:type="dxa"/>
            <w:tcBorders>
              <w:top w:val="nil"/>
              <w:left w:val="single" w:sz="4" w:space="0" w:color="auto"/>
              <w:bottom w:val="single" w:sz="4" w:space="0" w:color="auto"/>
              <w:right w:val="single" w:sz="4" w:space="0" w:color="auto"/>
            </w:tcBorders>
            <w:shd w:val="clear" w:color="auto" w:fill="auto"/>
            <w:vAlign w:val="center"/>
          </w:tcPr>
          <w:p w14:paraId="6FB2CFD5" w14:textId="77777777" w:rsidR="00A052DC" w:rsidRDefault="009F0A60">
            <w:pPr>
              <w:widowControl/>
              <w:jc w:val="left"/>
              <w:rPr>
                <w:rFonts w:ascii="黑体" w:eastAsia="黑体" w:hAnsi="黑体" w:cs="宋体"/>
                <w:kern w:val="0"/>
                <w:sz w:val="20"/>
                <w:szCs w:val="20"/>
              </w:rPr>
            </w:pPr>
            <w:r>
              <w:rPr>
                <w:rFonts w:ascii="黑体" w:eastAsia="黑体" w:hAnsi="黑体" w:hint="eastAsia"/>
                <w:sz w:val="20"/>
                <w:szCs w:val="20"/>
              </w:rPr>
              <w:t>原始币种</w:t>
            </w:r>
          </w:p>
        </w:tc>
        <w:tc>
          <w:tcPr>
            <w:tcW w:w="3982" w:type="dxa"/>
            <w:tcBorders>
              <w:top w:val="nil"/>
              <w:left w:val="nil"/>
              <w:bottom w:val="single" w:sz="4" w:space="0" w:color="auto"/>
              <w:right w:val="single" w:sz="4" w:space="0" w:color="auto"/>
            </w:tcBorders>
            <w:shd w:val="clear" w:color="auto" w:fill="auto"/>
            <w:vAlign w:val="center"/>
          </w:tcPr>
          <w:p w14:paraId="39DC0807" w14:textId="77777777" w:rsidR="00A052DC" w:rsidRDefault="009F0A60">
            <w:pPr>
              <w:widowControl/>
              <w:jc w:val="left"/>
              <w:rPr>
                <w:rFonts w:ascii="黑体" w:eastAsia="黑体" w:hAnsi="黑体" w:cs="宋体"/>
                <w:kern w:val="0"/>
                <w:sz w:val="20"/>
                <w:szCs w:val="20"/>
              </w:rPr>
            </w:pPr>
            <w:r>
              <w:rPr>
                <w:rFonts w:ascii="黑体" w:eastAsia="黑体" w:hAnsi="黑体" w:hint="eastAsia"/>
                <w:sz w:val="20"/>
                <w:szCs w:val="20"/>
              </w:rPr>
              <w:t>（按进口相关付款凭证的原始币种）：指所承兑信用证、延付保函等的计价币种，按币种代码表填列。</w:t>
            </w:r>
          </w:p>
        </w:tc>
        <w:tc>
          <w:tcPr>
            <w:tcW w:w="3105" w:type="dxa"/>
            <w:tcBorders>
              <w:top w:val="nil"/>
              <w:left w:val="nil"/>
              <w:bottom w:val="single" w:sz="4" w:space="0" w:color="auto"/>
              <w:right w:val="single" w:sz="4" w:space="0" w:color="auto"/>
            </w:tcBorders>
            <w:vAlign w:val="center"/>
          </w:tcPr>
          <w:p w14:paraId="492CD2E1" w14:textId="77777777" w:rsidR="00A052DC" w:rsidRDefault="009F0A60">
            <w:pPr>
              <w:widowControl/>
              <w:jc w:val="left"/>
              <w:rPr>
                <w:rFonts w:ascii="黑体" w:eastAsia="黑体" w:hAnsi="黑体" w:cs="宋体"/>
                <w:kern w:val="0"/>
                <w:sz w:val="20"/>
                <w:szCs w:val="20"/>
              </w:rPr>
            </w:pPr>
            <w:r>
              <w:rPr>
                <w:rFonts w:ascii="黑体" w:eastAsia="黑体" w:hAnsi="黑体" w:cs="宋体" w:hint="eastAsia"/>
                <w:kern w:val="0"/>
                <w:sz w:val="20"/>
                <w:szCs w:val="20"/>
              </w:rPr>
              <w:t>对应签约币种（</w:t>
            </w:r>
            <w:r>
              <w:rPr>
                <w:rFonts w:ascii="黑体" w:eastAsia="黑体" w:hAnsi="黑体" w:cs="宋体"/>
                <w:kern w:val="0"/>
                <w:sz w:val="20"/>
                <w:szCs w:val="20"/>
              </w:rPr>
              <w:t>CONTRACTCURR）</w:t>
            </w:r>
            <w:r>
              <w:rPr>
                <w:rFonts w:ascii="黑体" w:eastAsia="黑体" w:hAnsi="黑体" w:cs="宋体" w:hint="eastAsia"/>
                <w:kern w:val="0"/>
                <w:sz w:val="20"/>
                <w:szCs w:val="20"/>
              </w:rPr>
              <w:t>。</w:t>
            </w:r>
          </w:p>
        </w:tc>
      </w:tr>
      <w:tr w:rsidR="00A052DC" w14:paraId="23FAAC1F" w14:textId="77777777">
        <w:tc>
          <w:tcPr>
            <w:tcW w:w="1844" w:type="dxa"/>
            <w:tcBorders>
              <w:top w:val="nil"/>
              <w:left w:val="single" w:sz="4" w:space="0" w:color="auto"/>
              <w:bottom w:val="single" w:sz="4" w:space="0" w:color="auto"/>
              <w:right w:val="single" w:sz="4" w:space="0" w:color="auto"/>
            </w:tcBorders>
            <w:shd w:val="clear" w:color="auto" w:fill="auto"/>
            <w:vAlign w:val="center"/>
          </w:tcPr>
          <w:p w14:paraId="1BFFC343" w14:textId="77777777" w:rsidR="00A052DC" w:rsidRDefault="009F0A60">
            <w:pPr>
              <w:widowControl/>
              <w:jc w:val="left"/>
              <w:rPr>
                <w:rFonts w:ascii="黑体" w:eastAsia="黑体" w:hAnsi="黑体" w:cs="宋体"/>
                <w:kern w:val="0"/>
                <w:sz w:val="20"/>
                <w:szCs w:val="20"/>
              </w:rPr>
            </w:pPr>
            <w:r>
              <w:rPr>
                <w:rFonts w:ascii="黑体" w:eastAsia="黑体" w:hAnsi="黑体" w:cs="宋体" w:hint="eastAsia"/>
                <w:kern w:val="0"/>
                <w:sz w:val="20"/>
                <w:szCs w:val="20"/>
              </w:rPr>
              <w:t>上月末余额</w:t>
            </w:r>
          </w:p>
        </w:tc>
        <w:tc>
          <w:tcPr>
            <w:tcW w:w="3982" w:type="dxa"/>
            <w:tcBorders>
              <w:top w:val="nil"/>
              <w:left w:val="nil"/>
              <w:bottom w:val="single" w:sz="4" w:space="0" w:color="auto"/>
              <w:right w:val="single" w:sz="4" w:space="0" w:color="auto"/>
            </w:tcBorders>
            <w:shd w:val="clear" w:color="auto" w:fill="auto"/>
            <w:vAlign w:val="center"/>
          </w:tcPr>
          <w:p w14:paraId="3DF29FAE" w14:textId="77777777" w:rsidR="00A052DC" w:rsidRDefault="009F0A60">
            <w:pPr>
              <w:widowControl/>
              <w:jc w:val="left"/>
              <w:rPr>
                <w:rFonts w:ascii="黑体" w:eastAsia="黑体" w:hAnsi="黑体" w:cs="宋体"/>
                <w:kern w:val="0"/>
                <w:sz w:val="20"/>
                <w:szCs w:val="20"/>
              </w:rPr>
            </w:pPr>
            <w:r>
              <w:rPr>
                <w:rFonts w:ascii="黑体" w:eastAsia="黑体" w:hAnsi="黑体" w:hint="eastAsia"/>
                <w:sz w:val="20"/>
                <w:szCs w:val="20"/>
              </w:rPr>
              <w:t>指上月末信用证、银行承兑汇票或延付保函的公允价值。如无公允价值，应按其账面金额填列。</w:t>
            </w:r>
          </w:p>
        </w:tc>
        <w:tc>
          <w:tcPr>
            <w:tcW w:w="3105" w:type="dxa"/>
            <w:tcBorders>
              <w:top w:val="nil"/>
              <w:left w:val="nil"/>
              <w:bottom w:val="single" w:sz="4" w:space="0" w:color="auto"/>
              <w:right w:val="single" w:sz="4" w:space="0" w:color="auto"/>
            </w:tcBorders>
            <w:vAlign w:val="center"/>
          </w:tcPr>
          <w:p w14:paraId="1FE4B4D9" w14:textId="77777777" w:rsidR="00A052DC" w:rsidRDefault="009F0A60">
            <w:pPr>
              <w:widowControl/>
              <w:jc w:val="left"/>
              <w:rPr>
                <w:rFonts w:ascii="黑体" w:eastAsia="黑体" w:hAnsi="黑体" w:cs="宋体"/>
                <w:kern w:val="0"/>
                <w:sz w:val="20"/>
                <w:szCs w:val="20"/>
              </w:rPr>
            </w:pPr>
            <w:r>
              <w:rPr>
                <w:rFonts w:ascii="黑体" w:eastAsia="黑体" w:hAnsi="黑体" w:cs="宋体" w:hint="eastAsia"/>
                <w:kern w:val="0"/>
                <w:sz w:val="20"/>
                <w:szCs w:val="20"/>
              </w:rPr>
              <w:t>对应截至上月末，所有有效的外债在上月末前最后一笔变动信息的余额的汇总值。</w:t>
            </w:r>
          </w:p>
        </w:tc>
      </w:tr>
      <w:tr w:rsidR="00A052DC" w14:paraId="64C3370D" w14:textId="77777777">
        <w:tc>
          <w:tcPr>
            <w:tcW w:w="1844" w:type="dxa"/>
            <w:tcBorders>
              <w:top w:val="nil"/>
              <w:left w:val="single" w:sz="4" w:space="0" w:color="auto"/>
              <w:bottom w:val="single" w:sz="4" w:space="0" w:color="auto"/>
              <w:right w:val="single" w:sz="4" w:space="0" w:color="auto"/>
            </w:tcBorders>
            <w:shd w:val="clear" w:color="auto" w:fill="auto"/>
            <w:vAlign w:val="center"/>
          </w:tcPr>
          <w:p w14:paraId="62A9D915" w14:textId="77777777" w:rsidR="00A052DC" w:rsidRDefault="009F0A60">
            <w:pPr>
              <w:widowControl/>
              <w:jc w:val="left"/>
              <w:rPr>
                <w:rFonts w:ascii="黑体" w:eastAsia="黑体" w:hAnsi="黑体" w:cs="宋体"/>
                <w:kern w:val="0"/>
                <w:sz w:val="20"/>
                <w:szCs w:val="20"/>
              </w:rPr>
            </w:pPr>
            <w:r>
              <w:rPr>
                <w:rFonts w:ascii="黑体" w:eastAsia="黑体" w:hAnsi="黑体" w:cs="宋体" w:hint="eastAsia"/>
                <w:kern w:val="0"/>
                <w:sz w:val="20"/>
                <w:szCs w:val="20"/>
              </w:rPr>
              <w:t>本月末余额</w:t>
            </w:r>
          </w:p>
        </w:tc>
        <w:tc>
          <w:tcPr>
            <w:tcW w:w="3982" w:type="dxa"/>
            <w:tcBorders>
              <w:top w:val="nil"/>
              <w:left w:val="nil"/>
              <w:bottom w:val="single" w:sz="4" w:space="0" w:color="auto"/>
              <w:right w:val="single" w:sz="4" w:space="0" w:color="auto"/>
            </w:tcBorders>
            <w:shd w:val="clear" w:color="auto" w:fill="auto"/>
            <w:vAlign w:val="center"/>
          </w:tcPr>
          <w:p w14:paraId="28F9E0D5" w14:textId="77777777" w:rsidR="00A052DC" w:rsidRDefault="009F0A60">
            <w:pPr>
              <w:widowControl/>
              <w:jc w:val="left"/>
              <w:rPr>
                <w:rFonts w:ascii="黑体" w:eastAsia="黑体" w:hAnsi="黑体" w:cs="宋体"/>
                <w:kern w:val="0"/>
                <w:sz w:val="20"/>
                <w:szCs w:val="20"/>
              </w:rPr>
            </w:pPr>
            <w:r>
              <w:rPr>
                <w:rFonts w:ascii="黑体" w:eastAsia="黑体" w:hAnsi="黑体" w:hint="eastAsia"/>
                <w:sz w:val="20"/>
                <w:szCs w:val="20"/>
              </w:rPr>
              <w:t>指本月末信用证、银行承兑汇票或延付保函的公允价值。如无公允价值，应按其账面金额填列。</w:t>
            </w:r>
          </w:p>
        </w:tc>
        <w:tc>
          <w:tcPr>
            <w:tcW w:w="3105" w:type="dxa"/>
            <w:tcBorders>
              <w:top w:val="nil"/>
              <w:left w:val="nil"/>
              <w:bottom w:val="single" w:sz="4" w:space="0" w:color="auto"/>
              <w:right w:val="single" w:sz="4" w:space="0" w:color="auto"/>
            </w:tcBorders>
            <w:vAlign w:val="center"/>
          </w:tcPr>
          <w:p w14:paraId="15331BEE" w14:textId="77777777" w:rsidR="00A052DC" w:rsidRDefault="009F0A60">
            <w:pPr>
              <w:widowControl/>
              <w:jc w:val="left"/>
              <w:rPr>
                <w:rFonts w:ascii="黑体" w:eastAsia="黑体" w:hAnsi="黑体" w:cs="宋体"/>
                <w:kern w:val="0"/>
                <w:sz w:val="20"/>
                <w:szCs w:val="20"/>
              </w:rPr>
            </w:pPr>
            <w:r>
              <w:rPr>
                <w:rFonts w:ascii="黑体" w:eastAsia="黑体" w:hAnsi="黑体" w:cs="宋体" w:hint="eastAsia"/>
                <w:kern w:val="0"/>
                <w:sz w:val="20"/>
                <w:szCs w:val="20"/>
              </w:rPr>
              <w:t>对应截至本月末，所有有效的外债在本月末前最后一笔变动信息的余额的汇总值。</w:t>
            </w:r>
          </w:p>
        </w:tc>
      </w:tr>
      <w:tr w:rsidR="00A052DC" w14:paraId="7F922172" w14:textId="77777777">
        <w:tc>
          <w:tcPr>
            <w:tcW w:w="1844" w:type="dxa"/>
            <w:tcBorders>
              <w:top w:val="nil"/>
              <w:left w:val="single" w:sz="4" w:space="0" w:color="auto"/>
              <w:bottom w:val="single" w:sz="4" w:space="0" w:color="auto"/>
              <w:right w:val="single" w:sz="4" w:space="0" w:color="auto"/>
            </w:tcBorders>
            <w:shd w:val="clear" w:color="auto" w:fill="auto"/>
            <w:vAlign w:val="center"/>
          </w:tcPr>
          <w:p w14:paraId="3023D367" w14:textId="77777777" w:rsidR="00A052DC" w:rsidRDefault="009F0A60">
            <w:pPr>
              <w:widowControl/>
              <w:jc w:val="left"/>
              <w:rPr>
                <w:rFonts w:ascii="黑体" w:eastAsia="黑体" w:hAnsi="黑体" w:cs="宋体"/>
                <w:kern w:val="0"/>
                <w:sz w:val="20"/>
                <w:szCs w:val="20"/>
              </w:rPr>
            </w:pPr>
            <w:r>
              <w:rPr>
                <w:rFonts w:ascii="黑体" w:eastAsia="黑体" w:hAnsi="黑体" w:cs="宋体" w:hint="eastAsia"/>
                <w:kern w:val="0"/>
                <w:sz w:val="20"/>
                <w:szCs w:val="20"/>
              </w:rPr>
              <w:t>本月末余额其中：剩余期限在一年及以下</w:t>
            </w:r>
          </w:p>
        </w:tc>
        <w:tc>
          <w:tcPr>
            <w:tcW w:w="3982" w:type="dxa"/>
            <w:tcBorders>
              <w:top w:val="nil"/>
              <w:left w:val="nil"/>
              <w:bottom w:val="single" w:sz="4" w:space="0" w:color="auto"/>
              <w:right w:val="single" w:sz="4" w:space="0" w:color="auto"/>
            </w:tcBorders>
            <w:shd w:val="clear" w:color="auto" w:fill="auto"/>
            <w:vAlign w:val="center"/>
          </w:tcPr>
          <w:p w14:paraId="6971DC8C" w14:textId="77777777" w:rsidR="00A052DC" w:rsidRDefault="009F0A60">
            <w:pPr>
              <w:widowControl/>
              <w:jc w:val="left"/>
              <w:rPr>
                <w:rFonts w:ascii="黑体" w:eastAsia="黑体" w:hAnsi="黑体" w:cs="宋体"/>
                <w:kern w:val="0"/>
                <w:sz w:val="20"/>
                <w:szCs w:val="20"/>
              </w:rPr>
            </w:pPr>
            <w:r>
              <w:rPr>
                <w:rFonts w:ascii="黑体" w:eastAsia="黑体" w:hAnsi="黑体" w:hint="eastAsia"/>
                <w:sz w:val="20"/>
                <w:szCs w:val="20"/>
              </w:rPr>
              <w:t>指自本月末至最终到期在一年及以下的信用证、银行承兑汇票或延付保函的公允价值。如无公允价值，应按其账面金额填列。</w:t>
            </w:r>
          </w:p>
        </w:tc>
        <w:tc>
          <w:tcPr>
            <w:tcW w:w="3105" w:type="dxa"/>
            <w:tcBorders>
              <w:top w:val="nil"/>
              <w:left w:val="nil"/>
              <w:bottom w:val="single" w:sz="4" w:space="0" w:color="auto"/>
              <w:right w:val="single" w:sz="4" w:space="0" w:color="auto"/>
            </w:tcBorders>
            <w:vAlign w:val="center"/>
          </w:tcPr>
          <w:p w14:paraId="5026E7A9" w14:textId="77777777" w:rsidR="00A052DC" w:rsidRDefault="009F0A60">
            <w:pPr>
              <w:widowControl/>
              <w:jc w:val="left"/>
              <w:rPr>
                <w:rFonts w:ascii="黑体" w:eastAsia="黑体" w:hAnsi="黑体" w:cs="宋体"/>
                <w:kern w:val="0"/>
                <w:sz w:val="20"/>
                <w:szCs w:val="20"/>
              </w:rPr>
            </w:pPr>
            <w:r>
              <w:rPr>
                <w:rFonts w:ascii="黑体" w:eastAsia="黑体" w:hAnsi="黑体" w:cs="宋体" w:hint="eastAsia"/>
                <w:kern w:val="0"/>
                <w:sz w:val="20"/>
                <w:szCs w:val="20"/>
              </w:rPr>
              <w:t>对应截至本月末，所有剩余期限在一年及以下的有效的外债在本月末前最后一笔变动信息的余额的汇总值。</w:t>
            </w:r>
          </w:p>
        </w:tc>
      </w:tr>
      <w:tr w:rsidR="00A052DC" w14:paraId="429EEA3F" w14:textId="77777777">
        <w:tc>
          <w:tcPr>
            <w:tcW w:w="1844" w:type="dxa"/>
            <w:tcBorders>
              <w:top w:val="nil"/>
              <w:left w:val="single" w:sz="4" w:space="0" w:color="auto"/>
              <w:bottom w:val="single" w:sz="4" w:space="0" w:color="auto"/>
              <w:right w:val="single" w:sz="4" w:space="0" w:color="auto"/>
            </w:tcBorders>
            <w:shd w:val="clear" w:color="auto" w:fill="auto"/>
            <w:vAlign w:val="center"/>
          </w:tcPr>
          <w:p w14:paraId="241A1790" w14:textId="77777777" w:rsidR="00A052DC" w:rsidRDefault="009F0A60">
            <w:pPr>
              <w:widowControl/>
              <w:jc w:val="left"/>
              <w:rPr>
                <w:rFonts w:ascii="黑体" w:eastAsia="黑体" w:hAnsi="黑体" w:cs="宋体"/>
                <w:kern w:val="0"/>
                <w:sz w:val="20"/>
                <w:szCs w:val="20"/>
              </w:rPr>
            </w:pPr>
            <w:r>
              <w:rPr>
                <w:rFonts w:ascii="黑体" w:eastAsia="黑体" w:hAnsi="黑体" w:cs="宋体" w:hint="eastAsia"/>
                <w:kern w:val="0"/>
                <w:sz w:val="20"/>
                <w:szCs w:val="20"/>
              </w:rPr>
              <w:t>本月非交易变动</w:t>
            </w:r>
          </w:p>
        </w:tc>
        <w:tc>
          <w:tcPr>
            <w:tcW w:w="3982" w:type="dxa"/>
            <w:tcBorders>
              <w:top w:val="nil"/>
              <w:left w:val="nil"/>
              <w:bottom w:val="single" w:sz="4" w:space="0" w:color="auto"/>
              <w:right w:val="single" w:sz="4" w:space="0" w:color="auto"/>
            </w:tcBorders>
            <w:shd w:val="clear" w:color="auto" w:fill="FFFFFF"/>
            <w:noWrap/>
            <w:vAlign w:val="center"/>
          </w:tcPr>
          <w:p w14:paraId="1806C09D" w14:textId="77777777" w:rsidR="00A052DC" w:rsidRDefault="009F0A60">
            <w:pPr>
              <w:widowControl/>
              <w:jc w:val="left"/>
              <w:rPr>
                <w:rFonts w:ascii="黑体" w:eastAsia="黑体" w:hAnsi="黑体"/>
                <w:sz w:val="20"/>
                <w:szCs w:val="20"/>
              </w:rPr>
            </w:pPr>
            <w:r>
              <w:rPr>
                <w:rFonts w:ascii="黑体" w:eastAsia="黑体" w:hAnsi="黑体" w:hint="eastAsia"/>
                <w:sz w:val="20"/>
                <w:szCs w:val="20"/>
              </w:rPr>
              <w:t>反映统计期间信用证、银行承兑汇票或延付保函因承兑及到期支付以外的撤销等非交易因素引起的价值变动。</w:t>
            </w:r>
          </w:p>
        </w:tc>
        <w:tc>
          <w:tcPr>
            <w:tcW w:w="3105" w:type="dxa"/>
            <w:tcBorders>
              <w:top w:val="nil"/>
              <w:left w:val="nil"/>
              <w:bottom w:val="single" w:sz="4" w:space="0" w:color="auto"/>
              <w:right w:val="single" w:sz="4" w:space="0" w:color="auto"/>
            </w:tcBorders>
            <w:shd w:val="clear" w:color="auto" w:fill="FFFFFF"/>
            <w:vAlign w:val="center"/>
          </w:tcPr>
          <w:p w14:paraId="5617FD95" w14:textId="77777777" w:rsidR="00A052DC" w:rsidRDefault="009F0A60">
            <w:pPr>
              <w:widowControl/>
              <w:jc w:val="left"/>
              <w:rPr>
                <w:rFonts w:ascii="黑体" w:eastAsia="黑体" w:hAnsi="黑体"/>
                <w:sz w:val="20"/>
                <w:szCs w:val="20"/>
              </w:rPr>
            </w:pPr>
            <w:r>
              <w:rPr>
                <w:rFonts w:ascii="黑体" w:eastAsia="黑体" w:hAnsi="黑体" w:hint="eastAsia"/>
                <w:sz w:val="20"/>
                <w:szCs w:val="20"/>
              </w:rPr>
              <w:t>通过平衡公式计算得到：</w:t>
            </w:r>
          </w:p>
          <w:p w14:paraId="71681FF5" w14:textId="77777777" w:rsidR="00A052DC" w:rsidRDefault="009F0A60">
            <w:pPr>
              <w:widowControl/>
              <w:jc w:val="left"/>
              <w:rPr>
                <w:rFonts w:ascii="黑体" w:eastAsia="黑体" w:hAnsi="黑体"/>
                <w:sz w:val="20"/>
                <w:szCs w:val="20"/>
              </w:rPr>
            </w:pPr>
            <w:r>
              <w:rPr>
                <w:rFonts w:ascii="黑体" w:eastAsia="黑体" w:hAnsi="黑体" w:hint="eastAsia"/>
                <w:sz w:val="20"/>
                <w:szCs w:val="20"/>
              </w:rPr>
              <w:t>本月非交易变动</w:t>
            </w:r>
            <w:r>
              <w:rPr>
                <w:rFonts w:ascii="黑体" w:eastAsia="黑体" w:hAnsi="黑体"/>
                <w:sz w:val="20"/>
                <w:szCs w:val="20"/>
              </w:rPr>
              <w:t>=本月末余额-上月末余额-本月净发生额。</w:t>
            </w:r>
          </w:p>
        </w:tc>
      </w:tr>
      <w:tr w:rsidR="00A052DC" w14:paraId="56AF55DA" w14:textId="77777777">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658D509F" w14:textId="77777777" w:rsidR="00A052DC" w:rsidRDefault="009F0A60">
            <w:pPr>
              <w:widowControl/>
              <w:jc w:val="left"/>
              <w:rPr>
                <w:rFonts w:ascii="黑体" w:eastAsia="黑体" w:hAnsi="黑体" w:cs="宋体"/>
                <w:kern w:val="0"/>
                <w:sz w:val="20"/>
                <w:szCs w:val="20"/>
              </w:rPr>
            </w:pPr>
            <w:r>
              <w:rPr>
                <w:rFonts w:ascii="黑体" w:eastAsia="黑体" w:hAnsi="黑体" w:cs="宋体" w:hint="eastAsia"/>
                <w:kern w:val="0"/>
                <w:sz w:val="20"/>
                <w:szCs w:val="20"/>
              </w:rPr>
              <w:t>本月净发生额</w:t>
            </w:r>
          </w:p>
        </w:tc>
        <w:tc>
          <w:tcPr>
            <w:tcW w:w="3982" w:type="dxa"/>
            <w:tcBorders>
              <w:top w:val="single" w:sz="4" w:space="0" w:color="auto"/>
              <w:left w:val="nil"/>
              <w:bottom w:val="single" w:sz="4" w:space="0" w:color="auto"/>
              <w:right w:val="single" w:sz="4" w:space="0" w:color="auto"/>
            </w:tcBorders>
            <w:shd w:val="clear" w:color="auto" w:fill="auto"/>
            <w:vAlign w:val="center"/>
          </w:tcPr>
          <w:p w14:paraId="795AC684" w14:textId="77777777" w:rsidR="00A052DC" w:rsidRDefault="009F0A60">
            <w:pPr>
              <w:widowControl/>
              <w:jc w:val="left"/>
              <w:rPr>
                <w:rFonts w:ascii="黑体" w:eastAsia="黑体" w:hAnsi="黑体" w:cs="宋体"/>
                <w:kern w:val="0"/>
                <w:sz w:val="20"/>
                <w:szCs w:val="20"/>
              </w:rPr>
            </w:pPr>
            <w:r>
              <w:rPr>
                <w:rFonts w:ascii="黑体" w:eastAsia="黑体" w:hAnsi="黑体" w:hint="eastAsia"/>
                <w:sz w:val="20"/>
                <w:szCs w:val="20"/>
              </w:rPr>
              <w:t>指本月内，本机构信用证、银行承兑汇票或延付保函的净值变动（承兑</w:t>
            </w:r>
            <w:r>
              <w:rPr>
                <w:rFonts w:ascii="黑体" w:eastAsia="黑体" w:hAnsi="黑体"/>
                <w:sz w:val="20"/>
                <w:szCs w:val="20"/>
              </w:rPr>
              <w:t>-到期支付）。正值代表净承兑增加，负值代表净承兑减少或到期支付。</w:t>
            </w:r>
          </w:p>
        </w:tc>
        <w:tc>
          <w:tcPr>
            <w:tcW w:w="3105" w:type="dxa"/>
            <w:tcBorders>
              <w:top w:val="single" w:sz="4" w:space="0" w:color="auto"/>
              <w:left w:val="nil"/>
              <w:bottom w:val="single" w:sz="4" w:space="0" w:color="auto"/>
              <w:right w:val="single" w:sz="4" w:space="0" w:color="auto"/>
            </w:tcBorders>
            <w:vAlign w:val="center"/>
          </w:tcPr>
          <w:p w14:paraId="2A7E9F3B" w14:textId="77777777" w:rsidR="00A052DC" w:rsidRDefault="009F0A60">
            <w:pPr>
              <w:widowControl/>
              <w:jc w:val="left"/>
              <w:rPr>
                <w:rFonts w:ascii="黑体" w:eastAsia="黑体" w:hAnsi="黑体" w:cs="宋体"/>
                <w:kern w:val="0"/>
                <w:sz w:val="20"/>
                <w:szCs w:val="20"/>
              </w:rPr>
            </w:pPr>
            <w:r>
              <w:rPr>
                <w:rFonts w:ascii="黑体" w:eastAsia="黑体" w:hAnsi="黑体" w:cs="宋体" w:hint="eastAsia"/>
                <w:kern w:val="0"/>
                <w:sz w:val="20"/>
                <w:szCs w:val="20"/>
              </w:rPr>
              <w:t>当月变动明细信息中，变动类型为“提款”的所有记录的变动金额的汇总值，减去变动类型为“还本”的所有记录的变动金额的汇总值。</w:t>
            </w:r>
          </w:p>
        </w:tc>
      </w:tr>
      <w:tr w:rsidR="00A052DC" w14:paraId="3604D609" w14:textId="77777777">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1F7D679C" w14:textId="77777777" w:rsidR="00A052DC" w:rsidRDefault="009F0A60">
            <w:pPr>
              <w:widowControl/>
              <w:jc w:val="left"/>
              <w:rPr>
                <w:rFonts w:ascii="黑体" w:eastAsia="黑体" w:hAnsi="黑体" w:cs="宋体"/>
                <w:kern w:val="0"/>
                <w:sz w:val="20"/>
                <w:szCs w:val="20"/>
              </w:rPr>
            </w:pPr>
            <w:r>
              <w:rPr>
                <w:rFonts w:ascii="黑体" w:eastAsia="黑体" w:hAnsi="黑体" w:hint="eastAsia"/>
                <w:sz w:val="20"/>
                <w:szCs w:val="20"/>
              </w:rPr>
              <w:t>备注</w:t>
            </w:r>
          </w:p>
        </w:tc>
        <w:tc>
          <w:tcPr>
            <w:tcW w:w="3982" w:type="dxa"/>
            <w:tcBorders>
              <w:top w:val="single" w:sz="4" w:space="0" w:color="auto"/>
              <w:left w:val="nil"/>
              <w:bottom w:val="single" w:sz="4" w:space="0" w:color="auto"/>
              <w:right w:val="single" w:sz="4" w:space="0" w:color="auto"/>
            </w:tcBorders>
            <w:shd w:val="clear" w:color="auto" w:fill="auto"/>
            <w:vAlign w:val="center"/>
          </w:tcPr>
          <w:p w14:paraId="28FC963A" w14:textId="77777777" w:rsidR="00A052DC" w:rsidRDefault="009F0A60">
            <w:pPr>
              <w:widowControl/>
              <w:jc w:val="left"/>
              <w:rPr>
                <w:rFonts w:ascii="黑体" w:eastAsia="黑体" w:hAnsi="黑体"/>
                <w:sz w:val="20"/>
                <w:szCs w:val="20"/>
              </w:rPr>
            </w:pPr>
            <w:r>
              <w:rPr>
                <w:rFonts w:ascii="黑体" w:eastAsia="黑体" w:hAnsi="黑体" w:hint="eastAsia"/>
                <w:sz w:val="20"/>
                <w:szCs w:val="20"/>
              </w:rPr>
              <w:t>填报本表时需特别说明的情况。</w:t>
            </w:r>
          </w:p>
        </w:tc>
        <w:tc>
          <w:tcPr>
            <w:tcW w:w="3105" w:type="dxa"/>
            <w:tcBorders>
              <w:top w:val="single" w:sz="4" w:space="0" w:color="auto"/>
              <w:left w:val="nil"/>
              <w:bottom w:val="single" w:sz="4" w:space="0" w:color="auto"/>
              <w:right w:val="single" w:sz="4" w:space="0" w:color="auto"/>
            </w:tcBorders>
          </w:tcPr>
          <w:p w14:paraId="7D1BFEA4" w14:textId="77777777" w:rsidR="00A052DC" w:rsidRDefault="00A052DC">
            <w:pPr>
              <w:widowControl/>
              <w:jc w:val="left"/>
              <w:rPr>
                <w:rFonts w:ascii="黑体" w:eastAsia="黑体" w:hAnsi="黑体" w:cs="宋体"/>
                <w:kern w:val="0"/>
                <w:sz w:val="20"/>
                <w:szCs w:val="20"/>
              </w:rPr>
            </w:pPr>
          </w:p>
        </w:tc>
      </w:tr>
    </w:tbl>
    <w:p w14:paraId="7293E5DE" w14:textId="77777777" w:rsidR="00A052DC" w:rsidRDefault="00A052DC">
      <w:pPr>
        <w:spacing w:line="360" w:lineRule="auto"/>
        <w:rPr>
          <w:rFonts w:ascii="Times New Roman"/>
          <w:kern w:val="0"/>
          <w:sz w:val="24"/>
          <w:szCs w:val="20"/>
        </w:rPr>
      </w:pPr>
    </w:p>
    <w:p w14:paraId="2EE6643E" w14:textId="77777777" w:rsidR="00A052DC" w:rsidRDefault="009F0A60" w:rsidP="0020251D">
      <w:pPr>
        <w:pStyle w:val="3"/>
        <w:ind w:left="0"/>
        <w:rPr>
          <w:rFonts w:ascii="Times New Roman" w:hAnsi="Times New Roman"/>
        </w:rPr>
      </w:pPr>
      <w:bookmarkStart w:id="3618" w:name="_Toc91455332"/>
      <w:bookmarkStart w:id="3619" w:name="_Toc454391446"/>
      <w:bookmarkStart w:id="3620" w:name="_Toc380570997"/>
      <w:bookmarkStart w:id="3621" w:name="_Toc380356302"/>
      <w:bookmarkStart w:id="3622" w:name="_Toc101684505"/>
      <w:r>
        <w:rPr>
          <w:rFonts w:ascii="Times New Roman" w:hAnsi="Times New Roman"/>
        </w:rPr>
        <w:t>G01</w:t>
      </w:r>
      <w:r>
        <w:rPr>
          <w:rFonts w:ascii="Times New Roman" w:hAnsi="Times New Roman" w:hint="eastAsia"/>
        </w:rPr>
        <w:t>表：境内银行卡境外消费提现</w:t>
      </w:r>
      <w:bookmarkEnd w:id="3618"/>
      <w:bookmarkEnd w:id="3619"/>
      <w:bookmarkEnd w:id="3620"/>
      <w:bookmarkEnd w:id="3621"/>
      <w:bookmarkEnd w:id="3622"/>
    </w:p>
    <w:p w14:paraId="57A07C42" w14:textId="77777777" w:rsidR="00A052DC" w:rsidRDefault="009F0A60" w:rsidP="0020251D">
      <w:pPr>
        <w:pStyle w:val="4"/>
        <w:numPr>
          <w:ilvl w:val="3"/>
          <w:numId w:val="1"/>
        </w:numPr>
        <w:jc w:val="left"/>
      </w:pPr>
      <w:bookmarkStart w:id="3623" w:name="_Toc380570998"/>
      <w:bookmarkStart w:id="3624" w:name="_Toc454391447"/>
      <w:r>
        <w:rPr>
          <w:rFonts w:hint="eastAsia"/>
        </w:rPr>
        <w:t>数据术语解释</w:t>
      </w:r>
      <w:bookmarkEnd w:id="3623"/>
      <w:bookmarkEnd w:id="3624"/>
    </w:p>
    <w:p w14:paraId="42CBD2BB" w14:textId="77777777" w:rsidR="00A052DC" w:rsidRDefault="00A052DC">
      <w:pPr>
        <w:spacing w:line="240" w:lineRule="exact"/>
        <w:rPr>
          <w:sz w:val="18"/>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6804"/>
      </w:tblGrid>
      <w:tr w:rsidR="00A052DC" w14:paraId="058FBCD1" w14:textId="77777777">
        <w:trPr>
          <w:cantSplit/>
        </w:trPr>
        <w:tc>
          <w:tcPr>
            <w:tcW w:w="1668" w:type="dxa"/>
            <w:noWrap/>
          </w:tcPr>
          <w:p w14:paraId="20603936" w14:textId="77777777" w:rsidR="00A052DC" w:rsidRDefault="009F0A60">
            <w:pPr>
              <w:pStyle w:val="B1"/>
            </w:pPr>
            <w:r>
              <w:rPr>
                <w:rFonts w:hint="eastAsia"/>
              </w:rPr>
              <w:t>基础数据项</w:t>
            </w:r>
          </w:p>
        </w:tc>
        <w:tc>
          <w:tcPr>
            <w:tcW w:w="6804" w:type="dxa"/>
            <w:noWrap/>
          </w:tcPr>
          <w:p w14:paraId="267F87F6" w14:textId="77777777" w:rsidR="00A052DC" w:rsidRDefault="009F0A60">
            <w:pPr>
              <w:pStyle w:val="B1"/>
            </w:pPr>
            <w:r>
              <w:rPr>
                <w:rFonts w:hint="eastAsia"/>
              </w:rPr>
              <w:t>定义</w:t>
            </w:r>
          </w:p>
        </w:tc>
      </w:tr>
      <w:tr w:rsidR="00A052DC" w14:paraId="61EDE01C" w14:textId="77777777">
        <w:trPr>
          <w:cantSplit/>
        </w:trPr>
        <w:tc>
          <w:tcPr>
            <w:tcW w:w="1668" w:type="dxa"/>
          </w:tcPr>
          <w:p w14:paraId="764B463C" w14:textId="77777777" w:rsidR="00A052DC" w:rsidRDefault="009F0A60">
            <w:pPr>
              <w:pStyle w:val="B"/>
              <w:rPr>
                <w:szCs w:val="20"/>
              </w:rPr>
            </w:pPr>
            <w:r>
              <w:rPr>
                <w:rFonts w:hint="eastAsia"/>
                <w:szCs w:val="20"/>
              </w:rPr>
              <w:t>数据自编码</w:t>
            </w:r>
          </w:p>
        </w:tc>
        <w:tc>
          <w:tcPr>
            <w:tcW w:w="6804" w:type="dxa"/>
            <w:noWrap/>
          </w:tcPr>
          <w:p w14:paraId="40D2615C" w14:textId="77777777" w:rsidR="00A052DC" w:rsidRDefault="009F0A60">
            <w:pPr>
              <w:pStyle w:val="B"/>
              <w:rPr>
                <w:szCs w:val="20"/>
              </w:rPr>
            </w:pPr>
            <w:r>
              <w:rPr>
                <w:rFonts w:hint="eastAsia"/>
                <w:szCs w:val="20"/>
              </w:rPr>
              <w:t>该编码用于标识金融机构报送的每一条数据，按给定规则编码，便于进行增删改查等操作。建议规则：机构代码（18位，不足18位补</w:t>
            </w:r>
            <w:r>
              <w:rPr>
                <w:szCs w:val="20"/>
              </w:rPr>
              <w:t>a</w:t>
            </w:r>
            <w:r>
              <w:rPr>
                <w:rFonts w:hint="eastAsia"/>
                <w:szCs w:val="20"/>
              </w:rPr>
              <w:t>）</w:t>
            </w:r>
            <w:r>
              <w:rPr>
                <w:szCs w:val="20"/>
              </w:rPr>
              <w:t>+</w:t>
            </w:r>
            <w:r>
              <w:rPr>
                <w:rFonts w:hint="eastAsia"/>
                <w:szCs w:val="20"/>
              </w:rPr>
              <w:t>报表代码（</w:t>
            </w:r>
            <w:r>
              <w:rPr>
                <w:szCs w:val="20"/>
              </w:rPr>
              <w:t>5</w:t>
            </w:r>
            <w:r>
              <w:rPr>
                <w:rFonts w:hint="eastAsia"/>
                <w:szCs w:val="20"/>
              </w:rPr>
              <w:t>位，不足</w:t>
            </w:r>
            <w:r>
              <w:rPr>
                <w:szCs w:val="20"/>
              </w:rPr>
              <w:t>5</w:t>
            </w:r>
            <w:r>
              <w:rPr>
                <w:rFonts w:hint="eastAsia"/>
                <w:szCs w:val="20"/>
              </w:rPr>
              <w:t>位补</w:t>
            </w:r>
            <w:r>
              <w:rPr>
                <w:szCs w:val="20"/>
              </w:rPr>
              <w:t>a</w:t>
            </w:r>
            <w:r>
              <w:rPr>
                <w:rFonts w:hint="eastAsia"/>
                <w:szCs w:val="20"/>
              </w:rPr>
              <w:t>）</w:t>
            </w:r>
            <w:r>
              <w:rPr>
                <w:szCs w:val="20"/>
              </w:rPr>
              <w:t>+</w:t>
            </w:r>
            <w:r>
              <w:rPr>
                <w:rFonts w:hint="eastAsia"/>
                <w:szCs w:val="20"/>
              </w:rPr>
              <w:t>报送期（</w:t>
            </w:r>
            <w:r>
              <w:rPr>
                <w:szCs w:val="20"/>
              </w:rPr>
              <w:t>6</w:t>
            </w:r>
            <w:r>
              <w:rPr>
                <w:rFonts w:hint="eastAsia"/>
                <w:szCs w:val="20"/>
              </w:rPr>
              <w:t>位）</w:t>
            </w:r>
            <w:r>
              <w:rPr>
                <w:szCs w:val="20"/>
              </w:rPr>
              <w:t>+</w:t>
            </w:r>
            <w:r>
              <w:rPr>
                <w:rFonts w:hint="eastAsia"/>
                <w:szCs w:val="20"/>
              </w:rPr>
              <w:t>顺序号（</w:t>
            </w:r>
            <w:r>
              <w:rPr>
                <w:szCs w:val="20"/>
              </w:rPr>
              <w:t>7</w:t>
            </w:r>
            <w:r>
              <w:rPr>
                <w:rFonts w:hint="eastAsia"/>
                <w:szCs w:val="20"/>
              </w:rPr>
              <w:t>位，从</w:t>
            </w:r>
            <w:r>
              <w:rPr>
                <w:szCs w:val="20"/>
              </w:rPr>
              <w:t>0000001</w:t>
            </w:r>
            <w:r>
              <w:rPr>
                <w:rFonts w:hint="eastAsia"/>
                <w:szCs w:val="20"/>
              </w:rPr>
              <w:t>开始增加）。</w:t>
            </w:r>
          </w:p>
        </w:tc>
      </w:tr>
      <w:tr w:rsidR="00A052DC" w14:paraId="0BA75495" w14:textId="77777777">
        <w:trPr>
          <w:cantSplit/>
        </w:trPr>
        <w:tc>
          <w:tcPr>
            <w:tcW w:w="1668" w:type="dxa"/>
          </w:tcPr>
          <w:p w14:paraId="7DBB7C44" w14:textId="77777777" w:rsidR="00A052DC" w:rsidRDefault="009F0A60">
            <w:pPr>
              <w:pStyle w:val="B"/>
              <w:rPr>
                <w:szCs w:val="20"/>
              </w:rPr>
            </w:pPr>
            <w:r>
              <w:rPr>
                <w:rFonts w:hint="eastAsia"/>
                <w:szCs w:val="20"/>
              </w:rPr>
              <w:t>申报主体代码</w:t>
            </w:r>
          </w:p>
        </w:tc>
        <w:tc>
          <w:tcPr>
            <w:tcW w:w="6804" w:type="dxa"/>
            <w:noWrap/>
          </w:tcPr>
          <w:p w14:paraId="1C9B44B3" w14:textId="77777777" w:rsidR="00A052DC" w:rsidRDefault="009F0A60">
            <w:pPr>
              <w:pStyle w:val="B"/>
              <w:rPr>
                <w:szCs w:val="20"/>
              </w:rPr>
            </w:pPr>
            <w:r>
              <w:rPr>
                <w:rFonts w:hint="eastAsia"/>
                <w:szCs w:val="20"/>
              </w:rPr>
              <w:t>申报主体的12位金融机构标识码，如果没有金融机构标识码，则填报统一社会信用代码法定载体（如营业执照）上统一社会信用代码中的第9至17位或国家外汇管理局及其分支局签发的特殊机构代码赋码通知书上的机构代码、个人身份代码。</w:t>
            </w:r>
          </w:p>
        </w:tc>
      </w:tr>
      <w:tr w:rsidR="00A052DC" w14:paraId="76362EAE" w14:textId="77777777">
        <w:trPr>
          <w:cantSplit/>
        </w:trPr>
        <w:tc>
          <w:tcPr>
            <w:tcW w:w="1668" w:type="dxa"/>
          </w:tcPr>
          <w:p w14:paraId="2D648B88" w14:textId="77777777" w:rsidR="00A052DC" w:rsidRDefault="009F0A60">
            <w:pPr>
              <w:pStyle w:val="B"/>
              <w:rPr>
                <w:szCs w:val="20"/>
              </w:rPr>
            </w:pPr>
            <w:r>
              <w:rPr>
                <w:rFonts w:hint="eastAsia"/>
                <w:szCs w:val="20"/>
              </w:rPr>
              <w:t>报告期</w:t>
            </w:r>
          </w:p>
        </w:tc>
        <w:tc>
          <w:tcPr>
            <w:tcW w:w="6804" w:type="dxa"/>
            <w:noWrap/>
          </w:tcPr>
          <w:p w14:paraId="0549AB1D" w14:textId="77777777" w:rsidR="00A052DC" w:rsidRDefault="009F0A60">
            <w:pPr>
              <w:pStyle w:val="B"/>
              <w:rPr>
                <w:szCs w:val="20"/>
              </w:rPr>
            </w:pPr>
            <w:r>
              <w:rPr>
                <w:rFonts w:hint="eastAsia"/>
                <w:szCs w:val="20"/>
              </w:rPr>
              <w:t>业务发生月份，格式为</w:t>
            </w:r>
            <w:r>
              <w:rPr>
                <w:szCs w:val="20"/>
              </w:rPr>
              <w:t>YYYYMM</w:t>
            </w:r>
            <w:r>
              <w:rPr>
                <w:rFonts w:hint="eastAsia"/>
                <w:szCs w:val="20"/>
              </w:rPr>
              <w:t>。</w:t>
            </w:r>
          </w:p>
        </w:tc>
      </w:tr>
      <w:tr w:rsidR="00A052DC" w14:paraId="2FEDA477" w14:textId="77777777">
        <w:trPr>
          <w:cantSplit/>
        </w:trPr>
        <w:tc>
          <w:tcPr>
            <w:tcW w:w="1668" w:type="dxa"/>
          </w:tcPr>
          <w:p w14:paraId="17A9BD6D" w14:textId="77777777" w:rsidR="00A052DC" w:rsidRDefault="009F0A60">
            <w:pPr>
              <w:pStyle w:val="B"/>
              <w:rPr>
                <w:szCs w:val="20"/>
              </w:rPr>
            </w:pPr>
            <w:r>
              <w:rPr>
                <w:rFonts w:hint="eastAsia"/>
                <w:szCs w:val="20"/>
              </w:rPr>
              <w:t>发卡机构代码</w:t>
            </w:r>
          </w:p>
        </w:tc>
        <w:tc>
          <w:tcPr>
            <w:tcW w:w="6804" w:type="dxa"/>
            <w:noWrap/>
          </w:tcPr>
          <w:p w14:paraId="65D4CDF2" w14:textId="77777777" w:rsidR="00A052DC" w:rsidRDefault="009F0A60">
            <w:pPr>
              <w:pStyle w:val="B"/>
              <w:rPr>
                <w:szCs w:val="20"/>
              </w:rPr>
            </w:pPr>
            <w:r>
              <w:rPr>
                <w:rFonts w:hint="eastAsia"/>
                <w:szCs w:val="20"/>
              </w:rPr>
              <w:t>由国家外汇管理局编制的金融机构代码。</w:t>
            </w:r>
          </w:p>
        </w:tc>
      </w:tr>
      <w:tr w:rsidR="00A052DC" w14:paraId="0C384A7B" w14:textId="77777777">
        <w:trPr>
          <w:cantSplit/>
        </w:trPr>
        <w:tc>
          <w:tcPr>
            <w:tcW w:w="1668" w:type="dxa"/>
          </w:tcPr>
          <w:p w14:paraId="4ACB441E" w14:textId="77777777" w:rsidR="00A052DC" w:rsidRDefault="009F0A60">
            <w:pPr>
              <w:pStyle w:val="B"/>
              <w:rPr>
                <w:szCs w:val="20"/>
              </w:rPr>
            </w:pPr>
            <w:r>
              <w:rPr>
                <w:rFonts w:hint="eastAsia"/>
                <w:szCs w:val="20"/>
              </w:rPr>
              <w:t>发卡机构名称</w:t>
            </w:r>
          </w:p>
        </w:tc>
        <w:tc>
          <w:tcPr>
            <w:tcW w:w="6804" w:type="dxa"/>
            <w:noWrap/>
          </w:tcPr>
          <w:p w14:paraId="73011966" w14:textId="77777777" w:rsidR="00A052DC" w:rsidRDefault="009F0A60">
            <w:pPr>
              <w:pStyle w:val="B"/>
              <w:rPr>
                <w:szCs w:val="20"/>
              </w:rPr>
            </w:pPr>
            <w:r>
              <w:rPr>
                <w:rFonts w:hint="eastAsia"/>
              </w:rPr>
              <w:t>指相关银行卡（含贷记卡、准贷记卡和借记卡）发行机构名称。仅限银联</w:t>
            </w:r>
            <w:r>
              <w:rPr>
                <w:rFonts w:hint="eastAsia"/>
                <w:szCs w:val="20"/>
              </w:rPr>
              <w:t>和连通公司</w:t>
            </w:r>
            <w:r>
              <w:rPr>
                <w:rFonts w:hint="eastAsia"/>
              </w:rPr>
              <w:t>填报使用，境内银行不需填报。</w:t>
            </w:r>
          </w:p>
        </w:tc>
      </w:tr>
      <w:tr w:rsidR="00A052DC" w14:paraId="6CE4573F" w14:textId="77777777">
        <w:trPr>
          <w:cantSplit/>
        </w:trPr>
        <w:tc>
          <w:tcPr>
            <w:tcW w:w="1668" w:type="dxa"/>
          </w:tcPr>
          <w:p w14:paraId="668DFDDD" w14:textId="77777777" w:rsidR="00A052DC" w:rsidRDefault="009F0A60">
            <w:pPr>
              <w:pStyle w:val="B"/>
              <w:rPr>
                <w:szCs w:val="20"/>
              </w:rPr>
            </w:pPr>
            <w:r>
              <w:rPr>
                <w:rFonts w:hint="eastAsia"/>
                <w:szCs w:val="20"/>
              </w:rPr>
              <w:t>银行卡清算渠道</w:t>
            </w:r>
          </w:p>
        </w:tc>
        <w:tc>
          <w:tcPr>
            <w:tcW w:w="6804" w:type="dxa"/>
            <w:noWrap/>
          </w:tcPr>
          <w:p w14:paraId="7050F56D" w14:textId="77777777" w:rsidR="00A052DC" w:rsidRDefault="009F0A60">
            <w:pPr>
              <w:pStyle w:val="B"/>
              <w:widowControl w:val="0"/>
              <w:rPr>
                <w:szCs w:val="20"/>
              </w:rPr>
            </w:pPr>
            <w:r>
              <w:rPr>
                <w:rFonts w:hint="eastAsia"/>
              </w:rPr>
              <w:t>指银行卡所使用的信用卡组织清算渠道或其他清算渠道，请按以下序号填列：</w:t>
            </w:r>
            <w:r>
              <w:t>1-</w:t>
            </w:r>
            <w:r>
              <w:rPr>
                <w:rFonts w:hint="eastAsia"/>
              </w:rPr>
              <w:t>银联；</w:t>
            </w:r>
            <w:r>
              <w:t>2-</w:t>
            </w:r>
            <w:r>
              <w:rPr>
                <w:rFonts w:hint="eastAsia"/>
              </w:rPr>
              <w:t>威士（</w:t>
            </w:r>
            <w:r>
              <w:t>Visa</w:t>
            </w:r>
            <w:r>
              <w:rPr>
                <w:rFonts w:hint="eastAsia"/>
              </w:rPr>
              <w:t>）；</w:t>
            </w:r>
            <w:r>
              <w:t>3-</w:t>
            </w:r>
            <w:r>
              <w:rPr>
                <w:rFonts w:hint="eastAsia"/>
              </w:rPr>
              <w:t>万事达（</w:t>
            </w:r>
            <w:r>
              <w:t>Mastercard</w:t>
            </w:r>
            <w:r>
              <w:rPr>
                <w:rFonts w:hint="eastAsia"/>
              </w:rPr>
              <w:t>）；</w:t>
            </w:r>
            <w:r>
              <w:t>4-</w:t>
            </w:r>
            <w:r>
              <w:rPr>
                <w:rFonts w:hint="eastAsia"/>
              </w:rPr>
              <w:t>美国运通（</w:t>
            </w:r>
            <w:r>
              <w:t>AMERICAN EXPRESS</w:t>
            </w:r>
            <w:r>
              <w:rPr>
                <w:rFonts w:hint="eastAsia"/>
              </w:rPr>
              <w:t>）；</w:t>
            </w:r>
            <w:r>
              <w:t>5-</w:t>
            </w:r>
            <w:r>
              <w:rPr>
                <w:rFonts w:hint="eastAsia"/>
              </w:rPr>
              <w:t>大来（</w:t>
            </w:r>
            <w:r>
              <w:t>DINERS CLUB</w:t>
            </w:r>
            <w:r>
              <w:rPr>
                <w:rFonts w:hint="eastAsia"/>
              </w:rPr>
              <w:t>）；</w:t>
            </w:r>
            <w:r>
              <w:t>6-</w:t>
            </w:r>
            <w:r>
              <w:rPr>
                <w:rFonts w:hint="eastAsia"/>
              </w:rPr>
              <w:t>吉士美（</w:t>
            </w:r>
            <w:r>
              <w:t>JCB</w:t>
            </w:r>
            <w:r>
              <w:rPr>
                <w:rFonts w:hint="eastAsia"/>
              </w:rPr>
              <w:t>）；</w:t>
            </w:r>
            <w:r>
              <w:t>7-</w:t>
            </w:r>
            <w:r>
              <w:rPr>
                <w:rFonts w:hint="eastAsia"/>
              </w:rPr>
              <w:t>发卡行自行清算；</w:t>
            </w:r>
            <w:r>
              <w:t>8-</w:t>
            </w:r>
            <w:r>
              <w:rPr>
                <w:rFonts w:hint="eastAsia"/>
              </w:rPr>
              <w:t>其他。其中，通过</w:t>
            </w:r>
            <w:r>
              <w:t>1-</w:t>
            </w:r>
            <w:r>
              <w:rPr>
                <w:rFonts w:hint="eastAsia"/>
              </w:rPr>
              <w:t>银联渠道清算的资金由中国银联统一填报</w:t>
            </w:r>
            <w:r>
              <w:rPr>
                <w:rFonts w:hint="eastAsia"/>
                <w:szCs w:val="20"/>
              </w:rPr>
              <w:t>、4-美国运通（AMERICANEXPRESS）渠道下通过连通（杭州）技术服务有限公司清算的资金由连通公司统一填报</w:t>
            </w:r>
            <w:r>
              <w:rPr>
                <w:rFonts w:hint="eastAsia"/>
              </w:rPr>
              <w:t>，境内发卡机构不需填报。境内发卡机构仅需填写除银联</w:t>
            </w:r>
            <w:r>
              <w:rPr>
                <w:rFonts w:hint="eastAsia"/>
                <w:szCs w:val="20"/>
              </w:rPr>
              <w:t>和连通公司</w:t>
            </w:r>
            <w:r>
              <w:rPr>
                <w:rFonts w:hint="eastAsia"/>
              </w:rPr>
              <w:t>以外清算渠道的资金。</w:t>
            </w:r>
          </w:p>
        </w:tc>
      </w:tr>
      <w:tr w:rsidR="00A052DC" w14:paraId="037D4096" w14:textId="77777777">
        <w:trPr>
          <w:cantSplit/>
        </w:trPr>
        <w:tc>
          <w:tcPr>
            <w:tcW w:w="1668" w:type="dxa"/>
          </w:tcPr>
          <w:p w14:paraId="0EF40772" w14:textId="77777777" w:rsidR="00A052DC" w:rsidRDefault="009F0A60">
            <w:pPr>
              <w:pStyle w:val="B"/>
              <w:widowControl w:val="0"/>
              <w:rPr>
                <w:szCs w:val="20"/>
              </w:rPr>
            </w:pPr>
            <w:r>
              <w:rPr>
                <w:rFonts w:hint="eastAsia"/>
                <w:szCs w:val="20"/>
              </w:rPr>
              <w:t>持卡人是否为中国居民</w:t>
            </w:r>
          </w:p>
        </w:tc>
        <w:tc>
          <w:tcPr>
            <w:tcW w:w="6804" w:type="dxa"/>
            <w:noWrap/>
          </w:tcPr>
          <w:p w14:paraId="42CE681F" w14:textId="77777777" w:rsidR="00A052DC" w:rsidRDefault="009F0A60">
            <w:pPr>
              <w:pStyle w:val="B"/>
              <w:widowControl w:val="0"/>
              <w:rPr>
                <w:szCs w:val="20"/>
              </w:rPr>
            </w:pPr>
            <w:r>
              <w:rPr>
                <w:rFonts w:hint="eastAsia"/>
                <w:szCs w:val="20"/>
              </w:rPr>
              <w:t>按持卡人是否为中国居民区分为：</w:t>
            </w:r>
            <w:r>
              <w:rPr>
                <w:szCs w:val="20"/>
              </w:rPr>
              <w:t>1-</w:t>
            </w:r>
            <w:r>
              <w:rPr>
                <w:rFonts w:hint="eastAsia"/>
                <w:szCs w:val="20"/>
              </w:rPr>
              <w:t>中国居民；</w:t>
            </w:r>
            <w:r>
              <w:rPr>
                <w:szCs w:val="20"/>
              </w:rPr>
              <w:t>2-</w:t>
            </w:r>
            <w:r>
              <w:rPr>
                <w:rFonts w:hint="eastAsia"/>
                <w:szCs w:val="20"/>
              </w:rPr>
              <w:t>非中国居民。其中，非中国居民包括外国持卡人以及中国香港、中国澳门、中国台湾的持卡人。附属卡持卡人是否为中国居民按照主卡持卡人是否为中国居民确定。对于无法识别国家</w:t>
            </w:r>
            <w:r>
              <w:rPr>
                <w:szCs w:val="20"/>
              </w:rPr>
              <w:t>/</w:t>
            </w:r>
            <w:r>
              <w:rPr>
                <w:rFonts w:hint="eastAsia"/>
                <w:szCs w:val="20"/>
              </w:rPr>
              <w:t>地区的持卡人，统一视为中国居民。</w:t>
            </w:r>
          </w:p>
        </w:tc>
      </w:tr>
      <w:tr w:rsidR="00A052DC" w14:paraId="7AAAAD9D" w14:textId="77777777">
        <w:trPr>
          <w:cantSplit/>
        </w:trPr>
        <w:tc>
          <w:tcPr>
            <w:tcW w:w="1668" w:type="dxa"/>
          </w:tcPr>
          <w:p w14:paraId="77236D5E" w14:textId="77777777" w:rsidR="00A052DC" w:rsidRDefault="009F0A60">
            <w:pPr>
              <w:pStyle w:val="B"/>
              <w:widowControl w:val="0"/>
              <w:rPr>
                <w:szCs w:val="20"/>
              </w:rPr>
            </w:pPr>
            <w:r>
              <w:rPr>
                <w:rFonts w:hint="eastAsia"/>
                <w:szCs w:val="20"/>
              </w:rPr>
              <w:t>交易类型</w:t>
            </w:r>
          </w:p>
        </w:tc>
        <w:tc>
          <w:tcPr>
            <w:tcW w:w="6804" w:type="dxa"/>
            <w:noWrap/>
          </w:tcPr>
          <w:p w14:paraId="252795CD" w14:textId="77777777" w:rsidR="00A052DC" w:rsidRDefault="009F0A60">
            <w:pPr>
              <w:pStyle w:val="B"/>
              <w:rPr>
                <w:szCs w:val="20"/>
              </w:rPr>
            </w:pPr>
            <w:r>
              <w:rPr>
                <w:rFonts w:hint="eastAsia"/>
                <w:szCs w:val="20"/>
              </w:rPr>
              <w:t>按照商户类别或境外提现情况选择：</w:t>
            </w:r>
            <w:r>
              <w:rPr>
                <w:szCs w:val="20"/>
              </w:rPr>
              <w:t>1-</w:t>
            </w:r>
            <w:r>
              <w:rPr>
                <w:rFonts w:hint="eastAsia"/>
                <w:szCs w:val="20"/>
              </w:rPr>
              <w:t>购物；</w:t>
            </w:r>
            <w:r>
              <w:rPr>
                <w:szCs w:val="20"/>
              </w:rPr>
              <w:t>2-</w:t>
            </w:r>
            <w:r>
              <w:rPr>
                <w:rFonts w:hint="eastAsia"/>
                <w:szCs w:val="20"/>
              </w:rPr>
              <w:t>住宿；</w:t>
            </w:r>
            <w:r>
              <w:rPr>
                <w:szCs w:val="20"/>
              </w:rPr>
              <w:t>3-</w:t>
            </w:r>
            <w:r>
              <w:rPr>
                <w:rFonts w:hint="eastAsia"/>
                <w:szCs w:val="20"/>
              </w:rPr>
              <w:t>餐饮；</w:t>
            </w:r>
            <w:r>
              <w:rPr>
                <w:szCs w:val="20"/>
              </w:rPr>
              <w:t>4-</w:t>
            </w:r>
            <w:r>
              <w:rPr>
                <w:rFonts w:hint="eastAsia"/>
                <w:szCs w:val="20"/>
              </w:rPr>
              <w:t>当地交通；</w:t>
            </w:r>
            <w:r>
              <w:rPr>
                <w:szCs w:val="20"/>
              </w:rPr>
              <w:t>5-</w:t>
            </w:r>
            <w:r>
              <w:rPr>
                <w:rFonts w:hint="eastAsia"/>
                <w:szCs w:val="20"/>
              </w:rPr>
              <w:t>教育留学；</w:t>
            </w:r>
            <w:r>
              <w:rPr>
                <w:szCs w:val="20"/>
              </w:rPr>
              <w:t>6-</w:t>
            </w:r>
            <w:r>
              <w:rPr>
                <w:rFonts w:hint="eastAsia"/>
                <w:szCs w:val="20"/>
              </w:rPr>
              <w:t>其他服务；</w:t>
            </w:r>
            <w:r>
              <w:rPr>
                <w:szCs w:val="20"/>
              </w:rPr>
              <w:t>7-</w:t>
            </w:r>
            <w:r>
              <w:rPr>
                <w:rFonts w:hint="eastAsia"/>
                <w:szCs w:val="20"/>
              </w:rPr>
              <w:t>提现；8-医疗保健。请参照数据采集接口规范最新版本中的相关代码表进行归类。如有未涵盖的商户类别码，请根据具体情况进行归类。</w:t>
            </w:r>
          </w:p>
        </w:tc>
      </w:tr>
      <w:tr w:rsidR="00A052DC" w14:paraId="27E72C7F" w14:textId="77777777">
        <w:trPr>
          <w:cantSplit/>
        </w:trPr>
        <w:tc>
          <w:tcPr>
            <w:tcW w:w="1668" w:type="dxa"/>
          </w:tcPr>
          <w:p w14:paraId="00D35F91" w14:textId="77777777" w:rsidR="00A052DC" w:rsidRDefault="009F0A60">
            <w:pPr>
              <w:pStyle w:val="B"/>
              <w:widowControl w:val="0"/>
              <w:rPr>
                <w:szCs w:val="20"/>
              </w:rPr>
            </w:pPr>
            <w:r>
              <w:rPr>
                <w:rFonts w:hint="eastAsia"/>
                <w:szCs w:val="20"/>
              </w:rPr>
              <w:t>交易方式</w:t>
            </w:r>
          </w:p>
        </w:tc>
        <w:tc>
          <w:tcPr>
            <w:tcW w:w="6804" w:type="dxa"/>
            <w:noWrap/>
          </w:tcPr>
          <w:p w14:paraId="4805F725" w14:textId="77777777" w:rsidR="00A052DC" w:rsidRDefault="009F0A60">
            <w:pPr>
              <w:pStyle w:val="B"/>
              <w:widowControl w:val="0"/>
              <w:rPr>
                <w:szCs w:val="20"/>
              </w:rPr>
            </w:pPr>
            <w:r>
              <w:rPr>
                <w:rFonts w:hint="eastAsia"/>
                <w:szCs w:val="20"/>
              </w:rPr>
              <w:t>交易方式：请选择1-线下；2-线上。其中，“线下”是指通过POS机、ATM机和银行柜台进行的交易；其他均归为“线上”。</w:t>
            </w:r>
          </w:p>
        </w:tc>
      </w:tr>
      <w:tr w:rsidR="00A052DC" w14:paraId="2BED7755" w14:textId="77777777">
        <w:trPr>
          <w:cantSplit/>
        </w:trPr>
        <w:tc>
          <w:tcPr>
            <w:tcW w:w="1668" w:type="dxa"/>
          </w:tcPr>
          <w:p w14:paraId="6AA2D236" w14:textId="77777777" w:rsidR="00A052DC" w:rsidRDefault="009F0A60">
            <w:pPr>
              <w:pStyle w:val="B"/>
              <w:widowControl w:val="0"/>
              <w:rPr>
                <w:szCs w:val="20"/>
              </w:rPr>
            </w:pPr>
            <w:r>
              <w:rPr>
                <w:rFonts w:hint="eastAsia"/>
                <w:szCs w:val="20"/>
              </w:rPr>
              <w:t>交易所在地国家</w:t>
            </w:r>
            <w:r>
              <w:rPr>
                <w:szCs w:val="20"/>
              </w:rPr>
              <w:t>/</w:t>
            </w:r>
            <w:r>
              <w:rPr>
                <w:rFonts w:hint="eastAsia"/>
                <w:szCs w:val="20"/>
              </w:rPr>
              <w:t>地区</w:t>
            </w:r>
          </w:p>
        </w:tc>
        <w:tc>
          <w:tcPr>
            <w:tcW w:w="6804" w:type="dxa"/>
            <w:noWrap/>
          </w:tcPr>
          <w:p w14:paraId="036745CD" w14:textId="77777777" w:rsidR="00A052DC" w:rsidRDefault="009F0A60">
            <w:pPr>
              <w:pStyle w:val="B"/>
              <w:widowControl w:val="0"/>
              <w:rPr>
                <w:szCs w:val="20"/>
              </w:rPr>
            </w:pPr>
            <w:r>
              <w:rPr>
                <w:rFonts w:hint="eastAsia"/>
                <w:szCs w:val="20"/>
              </w:rPr>
              <w:t>见国家和地区代码表，指境外消费所在地或提现所在地。</w:t>
            </w:r>
          </w:p>
        </w:tc>
      </w:tr>
      <w:tr w:rsidR="00A052DC" w14:paraId="245C0524" w14:textId="77777777">
        <w:trPr>
          <w:cantSplit/>
        </w:trPr>
        <w:tc>
          <w:tcPr>
            <w:tcW w:w="1668" w:type="dxa"/>
          </w:tcPr>
          <w:p w14:paraId="5007B1A6" w14:textId="77777777" w:rsidR="00A052DC" w:rsidRDefault="009F0A60">
            <w:pPr>
              <w:pStyle w:val="B"/>
              <w:widowControl w:val="0"/>
              <w:rPr>
                <w:szCs w:val="20"/>
              </w:rPr>
            </w:pPr>
            <w:r>
              <w:rPr>
                <w:rFonts w:hint="eastAsia"/>
                <w:szCs w:val="20"/>
              </w:rPr>
              <w:t>交易原币</w:t>
            </w:r>
          </w:p>
        </w:tc>
        <w:tc>
          <w:tcPr>
            <w:tcW w:w="6804" w:type="dxa"/>
            <w:noWrap/>
          </w:tcPr>
          <w:p w14:paraId="523708DE" w14:textId="77777777" w:rsidR="00A052DC" w:rsidRDefault="009F0A60">
            <w:pPr>
              <w:pStyle w:val="B"/>
              <w:widowControl w:val="0"/>
              <w:rPr>
                <w:szCs w:val="20"/>
              </w:rPr>
            </w:pPr>
            <w:r>
              <w:rPr>
                <w:rFonts w:hint="eastAsia"/>
                <w:szCs w:val="20"/>
              </w:rPr>
              <w:t>见币种代码表，指持卡人在境外消费或提现的原始币种。如无法获取交易原币，应选择与所填交易金额一致的币种。</w:t>
            </w:r>
          </w:p>
        </w:tc>
      </w:tr>
      <w:tr w:rsidR="00A052DC" w14:paraId="6AB46077" w14:textId="77777777">
        <w:trPr>
          <w:cantSplit/>
        </w:trPr>
        <w:tc>
          <w:tcPr>
            <w:tcW w:w="1668" w:type="dxa"/>
          </w:tcPr>
          <w:p w14:paraId="793DFD68" w14:textId="77777777" w:rsidR="00A052DC" w:rsidRDefault="009F0A60">
            <w:pPr>
              <w:pStyle w:val="B"/>
              <w:widowControl w:val="0"/>
              <w:rPr>
                <w:szCs w:val="20"/>
              </w:rPr>
            </w:pPr>
            <w:r>
              <w:rPr>
                <w:rFonts w:hint="eastAsia"/>
                <w:szCs w:val="20"/>
              </w:rPr>
              <w:t>交易金额</w:t>
            </w:r>
          </w:p>
        </w:tc>
        <w:tc>
          <w:tcPr>
            <w:tcW w:w="6804" w:type="dxa"/>
            <w:noWrap/>
          </w:tcPr>
          <w:p w14:paraId="5A2F7BFC" w14:textId="77777777" w:rsidR="00A052DC" w:rsidRDefault="009F0A60">
            <w:pPr>
              <w:pStyle w:val="B"/>
              <w:widowControl w:val="0"/>
              <w:rPr>
                <w:szCs w:val="20"/>
              </w:rPr>
            </w:pPr>
            <w:r>
              <w:rPr>
                <w:rFonts w:hint="eastAsia"/>
                <w:szCs w:val="20"/>
              </w:rPr>
              <w:t>指持卡人在境外消费或提现的金额。如无法获取交易原币金额，可选择清算币种及相应金额填列。</w:t>
            </w:r>
          </w:p>
        </w:tc>
      </w:tr>
      <w:tr w:rsidR="00A052DC" w14:paraId="54DD07E0" w14:textId="77777777">
        <w:trPr>
          <w:cantSplit/>
        </w:trPr>
        <w:tc>
          <w:tcPr>
            <w:tcW w:w="1668" w:type="dxa"/>
          </w:tcPr>
          <w:p w14:paraId="24E5A0FB" w14:textId="77777777" w:rsidR="00A052DC" w:rsidRDefault="009F0A60">
            <w:pPr>
              <w:pStyle w:val="B"/>
              <w:widowControl w:val="0"/>
              <w:rPr>
                <w:szCs w:val="20"/>
              </w:rPr>
            </w:pPr>
            <w:r>
              <w:rPr>
                <w:rFonts w:hint="eastAsia"/>
                <w:szCs w:val="20"/>
              </w:rPr>
              <w:t>备注</w:t>
            </w:r>
          </w:p>
        </w:tc>
        <w:tc>
          <w:tcPr>
            <w:tcW w:w="6804" w:type="dxa"/>
            <w:noWrap/>
          </w:tcPr>
          <w:p w14:paraId="185D784E" w14:textId="77777777" w:rsidR="00A052DC" w:rsidRDefault="009F0A60">
            <w:pPr>
              <w:pStyle w:val="B"/>
              <w:widowControl w:val="0"/>
              <w:rPr>
                <w:szCs w:val="20"/>
              </w:rPr>
            </w:pPr>
            <w:r>
              <w:rPr>
                <w:rFonts w:hint="eastAsia"/>
                <w:szCs w:val="20"/>
              </w:rPr>
              <w:t>填报本表时需特别说明的情况。</w:t>
            </w:r>
          </w:p>
        </w:tc>
      </w:tr>
    </w:tbl>
    <w:p w14:paraId="3E83F76A" w14:textId="77777777" w:rsidR="00A052DC" w:rsidRDefault="00A052DC"/>
    <w:p w14:paraId="67B76B95" w14:textId="77777777" w:rsidR="00A052DC" w:rsidRDefault="009F0A60" w:rsidP="0020251D">
      <w:pPr>
        <w:pStyle w:val="4"/>
        <w:numPr>
          <w:ilvl w:val="3"/>
          <w:numId w:val="1"/>
        </w:numPr>
        <w:jc w:val="left"/>
      </w:pPr>
      <w:bookmarkStart w:id="3625" w:name="_Toc454391448"/>
      <w:bookmarkStart w:id="3626" w:name="_Toc380570999"/>
      <w:r>
        <w:rPr>
          <w:rFonts w:hint="eastAsia"/>
        </w:rPr>
        <w:t>数据格式</w:t>
      </w:r>
      <w:bookmarkEnd w:id="3625"/>
      <w:bookmarkEnd w:id="3626"/>
    </w:p>
    <w:p w14:paraId="02A71750" w14:textId="77777777" w:rsidR="00A052DC" w:rsidRDefault="009F0A60">
      <w:pPr>
        <w:ind w:firstLine="480"/>
      </w:pPr>
      <w:r>
        <w:t>&lt;REC&gt;</w:t>
      </w:r>
    </w:p>
    <w:p w14:paraId="5F3605EB" w14:textId="77777777" w:rsidR="00A052DC" w:rsidRDefault="009F0A60">
      <w:pPr>
        <w:ind w:firstLine="480"/>
      </w:pPr>
      <w:r>
        <w:t>&lt;ACTIONTYPE&gt;</w:t>
      </w:r>
      <w:r>
        <w:rPr>
          <w:rFonts w:hAnsi="宋体"/>
        </w:rPr>
        <w:t>操作类型</w:t>
      </w:r>
      <w:r>
        <w:t>&lt;/ACTIONTYPE&gt;</w:t>
      </w:r>
    </w:p>
    <w:p w14:paraId="368DE882" w14:textId="77777777" w:rsidR="00A052DC" w:rsidRDefault="009F0A60">
      <w:pPr>
        <w:ind w:firstLine="480"/>
      </w:pPr>
      <w:r>
        <w:t>&lt;ACTIONDESC&gt;</w:t>
      </w:r>
      <w:r>
        <w:rPr>
          <w:rFonts w:hAnsi="宋体"/>
        </w:rPr>
        <w:t>删除原因</w:t>
      </w:r>
      <w:r>
        <w:t>&lt;/ACTIONDESC&gt;</w:t>
      </w:r>
    </w:p>
    <w:p w14:paraId="7D1D8F6D" w14:textId="77777777" w:rsidR="00A052DC" w:rsidRDefault="009F0A60">
      <w:pPr>
        <w:ind w:firstLine="480"/>
      </w:pPr>
      <w:r>
        <w:t>&lt;SNOCODE&gt;</w:t>
      </w:r>
      <w:r>
        <w:rPr>
          <w:rFonts w:hAnsi="宋体"/>
        </w:rPr>
        <w:t>数据自编码</w:t>
      </w:r>
      <w:r>
        <w:t>&lt;/SNOCODE&gt;</w:t>
      </w:r>
    </w:p>
    <w:p w14:paraId="72143E62" w14:textId="77777777" w:rsidR="00A052DC" w:rsidRDefault="009F0A60">
      <w:pPr>
        <w:ind w:firstLine="480"/>
      </w:pPr>
      <w:r>
        <w:t>&lt;OBJCODE&gt;</w:t>
      </w:r>
      <w:r>
        <w:rPr>
          <w:rFonts w:hAnsi="宋体"/>
        </w:rPr>
        <w:t>申报主体代码</w:t>
      </w:r>
      <w:r>
        <w:t>&lt;/OBJCODE&gt;</w:t>
      </w:r>
    </w:p>
    <w:p w14:paraId="0DAA2420" w14:textId="77777777" w:rsidR="00A052DC" w:rsidRDefault="009F0A60">
      <w:pPr>
        <w:ind w:firstLine="480"/>
      </w:pPr>
      <w:r>
        <w:t>&lt;BUOCMONTH&gt;</w:t>
      </w:r>
      <w:r>
        <w:rPr>
          <w:rFonts w:hAnsi="宋体"/>
        </w:rPr>
        <w:t>报告期</w:t>
      </w:r>
      <w:r>
        <w:t>&lt;/BUOCMONTH&gt;</w:t>
      </w:r>
    </w:p>
    <w:p w14:paraId="5338901A" w14:textId="77777777" w:rsidR="00A052DC" w:rsidRDefault="009F0A60">
      <w:pPr>
        <w:ind w:firstLine="567"/>
      </w:pPr>
      <w:r>
        <w:t>&lt;G0101CODE&gt;</w:t>
      </w:r>
      <w:r>
        <w:rPr>
          <w:rFonts w:hAnsi="宋体"/>
        </w:rPr>
        <w:t>发卡机构代码</w:t>
      </w:r>
      <w:r>
        <w:t>&lt;/G0101CODE&gt;</w:t>
      </w:r>
    </w:p>
    <w:p w14:paraId="3BFD234A" w14:textId="77777777" w:rsidR="00A052DC" w:rsidRDefault="009F0A60">
      <w:pPr>
        <w:ind w:firstLine="567"/>
      </w:pPr>
      <w:r>
        <w:t>&lt;G0101&gt;</w:t>
      </w:r>
      <w:r>
        <w:rPr>
          <w:rFonts w:hAnsi="宋体"/>
        </w:rPr>
        <w:t>发卡机构名称</w:t>
      </w:r>
      <w:r>
        <w:t>&lt;/G0101&gt;</w:t>
      </w:r>
    </w:p>
    <w:p w14:paraId="793FB2A8" w14:textId="77777777" w:rsidR="00A052DC" w:rsidRDefault="009F0A60">
      <w:pPr>
        <w:ind w:firstLine="567"/>
      </w:pPr>
      <w:r>
        <w:t>&lt;G0102&gt;</w:t>
      </w:r>
      <w:r>
        <w:rPr>
          <w:rFonts w:hAnsi="宋体"/>
        </w:rPr>
        <w:t>银行卡清算渠道</w:t>
      </w:r>
      <w:r>
        <w:t>&lt;/G0102&gt;</w:t>
      </w:r>
    </w:p>
    <w:p w14:paraId="1BB5E300" w14:textId="77777777" w:rsidR="00A052DC" w:rsidRDefault="009F0A60">
      <w:pPr>
        <w:ind w:firstLine="567"/>
      </w:pPr>
      <w:r>
        <w:t>&lt;G0103&gt;</w:t>
      </w:r>
      <w:r>
        <w:rPr>
          <w:rFonts w:hAnsi="宋体"/>
        </w:rPr>
        <w:t>持卡人是否为中国居民</w:t>
      </w:r>
      <w:r>
        <w:t>&lt;/G0103&gt;</w:t>
      </w:r>
    </w:p>
    <w:p w14:paraId="2BD2362B" w14:textId="77777777" w:rsidR="00A052DC" w:rsidRDefault="009F0A60">
      <w:pPr>
        <w:ind w:firstLine="567"/>
      </w:pPr>
      <w:r>
        <w:t>&lt;G0104&gt;</w:t>
      </w:r>
      <w:r>
        <w:rPr>
          <w:rFonts w:hAnsi="宋体"/>
        </w:rPr>
        <w:t>交易类型</w:t>
      </w:r>
      <w:r>
        <w:t>&lt;/G0104&gt;</w:t>
      </w:r>
    </w:p>
    <w:p w14:paraId="3A74C7D1" w14:textId="77777777" w:rsidR="00A052DC" w:rsidRDefault="009F0A60">
      <w:pPr>
        <w:ind w:firstLine="567"/>
      </w:pPr>
      <w:r>
        <w:t>&lt;G0104CODE&gt;</w:t>
      </w:r>
      <w:r>
        <w:rPr>
          <w:rFonts w:hAnsi="宋体"/>
        </w:rPr>
        <w:t>交易方式</w:t>
      </w:r>
      <w:r>
        <w:t>&lt;/G0104CODE&gt;</w:t>
      </w:r>
    </w:p>
    <w:p w14:paraId="2D227F9C" w14:textId="77777777" w:rsidR="00A052DC" w:rsidRDefault="009F0A60">
      <w:pPr>
        <w:ind w:firstLine="567"/>
      </w:pPr>
      <w:r>
        <w:t>&lt;G0105&gt;</w:t>
      </w:r>
      <w:r>
        <w:rPr>
          <w:rFonts w:hAnsi="宋体"/>
        </w:rPr>
        <w:t>交易所在地国家</w:t>
      </w:r>
      <w:r>
        <w:t>/</w:t>
      </w:r>
      <w:r>
        <w:rPr>
          <w:rFonts w:hAnsi="宋体"/>
        </w:rPr>
        <w:t>地区</w:t>
      </w:r>
      <w:r>
        <w:t>&lt;/G0105&gt;</w:t>
      </w:r>
    </w:p>
    <w:p w14:paraId="1F863F9E" w14:textId="77777777" w:rsidR="00A052DC" w:rsidRDefault="009F0A60">
      <w:pPr>
        <w:ind w:firstLine="567"/>
      </w:pPr>
      <w:r>
        <w:t>&lt;G0106&gt;</w:t>
      </w:r>
      <w:r>
        <w:rPr>
          <w:rFonts w:hAnsi="宋体"/>
        </w:rPr>
        <w:t>交易原币</w:t>
      </w:r>
      <w:r>
        <w:t>&lt;/G0106&gt;</w:t>
      </w:r>
    </w:p>
    <w:p w14:paraId="7C434FDC" w14:textId="77777777" w:rsidR="00A052DC" w:rsidRDefault="009F0A60">
      <w:pPr>
        <w:ind w:firstLine="567"/>
      </w:pPr>
      <w:r>
        <w:t>&lt;G0107&gt;</w:t>
      </w:r>
      <w:r>
        <w:rPr>
          <w:rFonts w:hAnsi="宋体"/>
        </w:rPr>
        <w:t>交易金额</w:t>
      </w:r>
      <w:r>
        <w:t>&lt;/G0107&gt;</w:t>
      </w:r>
    </w:p>
    <w:p w14:paraId="3D5BA55B" w14:textId="77777777" w:rsidR="00A052DC" w:rsidRDefault="009F0A60">
      <w:pPr>
        <w:ind w:firstLine="567"/>
      </w:pPr>
      <w:r>
        <w:t>&lt;REMARK&gt;</w:t>
      </w:r>
      <w:r>
        <w:rPr>
          <w:rFonts w:hAnsi="宋体"/>
        </w:rPr>
        <w:t>备注</w:t>
      </w:r>
      <w:r>
        <w:t>&lt;/REMARK&gt;</w:t>
      </w:r>
    </w:p>
    <w:p w14:paraId="7FE36667" w14:textId="77777777" w:rsidR="00A052DC" w:rsidRDefault="009F0A60">
      <w:pPr>
        <w:ind w:firstLine="480"/>
      </w:pPr>
      <w:r>
        <w:t>&lt;/REC&gt;</w:t>
      </w:r>
    </w:p>
    <w:p w14:paraId="51DC6F29" w14:textId="77777777" w:rsidR="00A052DC" w:rsidRDefault="009F0A60" w:rsidP="0020251D">
      <w:pPr>
        <w:pStyle w:val="4"/>
        <w:numPr>
          <w:ilvl w:val="3"/>
          <w:numId w:val="1"/>
        </w:numPr>
        <w:jc w:val="left"/>
      </w:pPr>
      <w:bookmarkStart w:id="3627" w:name="_Toc454391449"/>
      <w:bookmarkStart w:id="3628" w:name="_Toc380571000"/>
      <w:r>
        <w:rPr>
          <w:rFonts w:hint="eastAsia"/>
        </w:rPr>
        <w:t>数据字典</w:t>
      </w:r>
      <w:bookmarkEnd w:id="3627"/>
      <w:bookmarkEnd w:id="36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418"/>
        <w:gridCol w:w="1417"/>
        <w:gridCol w:w="4253"/>
      </w:tblGrid>
      <w:tr w:rsidR="00A052DC" w14:paraId="4BF84300" w14:textId="77777777">
        <w:trPr>
          <w:tblHeader/>
        </w:trPr>
        <w:tc>
          <w:tcPr>
            <w:tcW w:w="1384" w:type="dxa"/>
            <w:shd w:val="clear" w:color="auto" w:fill="C0C0C0"/>
            <w:noWrap/>
          </w:tcPr>
          <w:p w14:paraId="10A1478C" w14:textId="77777777" w:rsidR="00A052DC" w:rsidRDefault="009F0A60">
            <w:pPr>
              <w:pStyle w:val="B1"/>
            </w:pPr>
            <w:r>
              <w:rPr>
                <w:rFonts w:hint="eastAsia"/>
              </w:rPr>
              <w:t>字段</w:t>
            </w:r>
          </w:p>
        </w:tc>
        <w:tc>
          <w:tcPr>
            <w:tcW w:w="1418" w:type="dxa"/>
            <w:shd w:val="clear" w:color="auto" w:fill="C0C0C0"/>
            <w:noWrap/>
          </w:tcPr>
          <w:p w14:paraId="16427C8F" w14:textId="77777777" w:rsidR="00A052DC" w:rsidRDefault="009F0A60">
            <w:pPr>
              <w:pStyle w:val="B1"/>
            </w:pPr>
            <w:r>
              <w:rPr>
                <w:rFonts w:hint="eastAsia"/>
              </w:rPr>
              <w:t>内容</w:t>
            </w:r>
          </w:p>
        </w:tc>
        <w:tc>
          <w:tcPr>
            <w:tcW w:w="1417" w:type="dxa"/>
            <w:shd w:val="clear" w:color="auto" w:fill="C0C0C0"/>
            <w:noWrap/>
          </w:tcPr>
          <w:p w14:paraId="0FB1445B" w14:textId="77777777" w:rsidR="00A052DC" w:rsidRDefault="009F0A60">
            <w:pPr>
              <w:pStyle w:val="B1"/>
            </w:pPr>
            <w:r>
              <w:rPr>
                <w:rFonts w:hint="eastAsia"/>
              </w:rPr>
              <w:t>类型（长度）</w:t>
            </w:r>
          </w:p>
        </w:tc>
        <w:tc>
          <w:tcPr>
            <w:tcW w:w="4253" w:type="dxa"/>
            <w:shd w:val="clear" w:color="auto" w:fill="C0C0C0"/>
          </w:tcPr>
          <w:p w14:paraId="1E9818B3" w14:textId="77777777" w:rsidR="00A052DC" w:rsidRDefault="009F0A60">
            <w:pPr>
              <w:pStyle w:val="B1"/>
            </w:pPr>
            <w:r>
              <w:rPr>
                <w:rFonts w:hint="eastAsia"/>
              </w:rPr>
              <w:t>校验</w:t>
            </w:r>
          </w:p>
        </w:tc>
      </w:tr>
      <w:tr w:rsidR="00A052DC" w14:paraId="3985C76C" w14:textId="77777777">
        <w:tc>
          <w:tcPr>
            <w:tcW w:w="1384" w:type="dxa"/>
            <w:noWrap/>
          </w:tcPr>
          <w:p w14:paraId="0E2F24C7" w14:textId="77777777" w:rsidR="00A052DC" w:rsidRDefault="009F0A60">
            <w:pPr>
              <w:pStyle w:val="B"/>
              <w:rPr>
                <w:szCs w:val="20"/>
              </w:rPr>
            </w:pPr>
            <w:r>
              <w:rPr>
                <w:szCs w:val="20"/>
              </w:rPr>
              <w:t>ACTIONTYPE</w:t>
            </w:r>
          </w:p>
        </w:tc>
        <w:tc>
          <w:tcPr>
            <w:tcW w:w="1418" w:type="dxa"/>
            <w:noWrap/>
          </w:tcPr>
          <w:p w14:paraId="41A2AE99" w14:textId="77777777" w:rsidR="00A052DC" w:rsidRDefault="009F0A60">
            <w:pPr>
              <w:pStyle w:val="B"/>
              <w:rPr>
                <w:szCs w:val="20"/>
              </w:rPr>
            </w:pPr>
            <w:r>
              <w:rPr>
                <w:rFonts w:hint="eastAsia"/>
                <w:szCs w:val="20"/>
              </w:rPr>
              <w:t>操作类型</w:t>
            </w:r>
          </w:p>
        </w:tc>
        <w:tc>
          <w:tcPr>
            <w:tcW w:w="1417" w:type="dxa"/>
            <w:noWrap/>
          </w:tcPr>
          <w:p w14:paraId="1911084A" w14:textId="77777777" w:rsidR="00A052DC" w:rsidRDefault="009F0A60">
            <w:pPr>
              <w:pStyle w:val="B"/>
              <w:rPr>
                <w:szCs w:val="20"/>
              </w:rPr>
            </w:pPr>
            <w:r>
              <w:rPr>
                <w:rFonts w:hint="eastAsia"/>
                <w:szCs w:val="20"/>
              </w:rPr>
              <w:t>字符型，</w:t>
            </w:r>
            <w:r>
              <w:rPr>
                <w:szCs w:val="20"/>
              </w:rPr>
              <w:t>1</w:t>
            </w:r>
          </w:p>
        </w:tc>
        <w:tc>
          <w:tcPr>
            <w:tcW w:w="4253" w:type="dxa"/>
          </w:tcPr>
          <w:p w14:paraId="3D77B728" w14:textId="77777777" w:rsidR="00A052DC" w:rsidRDefault="009F0A60">
            <w:pPr>
              <w:pStyle w:val="B"/>
              <w:rPr>
                <w:szCs w:val="20"/>
              </w:rPr>
            </w:pPr>
            <w:r>
              <w:rPr>
                <w:rFonts w:hint="eastAsia"/>
                <w:szCs w:val="20"/>
              </w:rPr>
              <w:t>必填项</w:t>
            </w:r>
            <w:r w:rsidR="004D1828">
              <w:rPr>
                <w:rFonts w:hint="eastAsia"/>
                <w:szCs w:val="20"/>
              </w:rPr>
              <w:t>。</w:t>
            </w:r>
          </w:p>
          <w:p w14:paraId="34BA3CD1" w14:textId="77777777" w:rsidR="00A052DC" w:rsidRDefault="009F0A60">
            <w:pPr>
              <w:pStyle w:val="B"/>
              <w:rPr>
                <w:szCs w:val="20"/>
              </w:rPr>
            </w:pPr>
            <w:r>
              <w:rPr>
                <w:szCs w:val="20"/>
              </w:rPr>
              <w:t>A</w:t>
            </w:r>
            <w:r w:rsidR="00AE4602">
              <w:rPr>
                <w:rFonts w:hint="eastAsia"/>
                <w:szCs w:val="20"/>
              </w:rPr>
              <w:t>-</w:t>
            </w:r>
            <w:r>
              <w:rPr>
                <w:rFonts w:hint="eastAsia"/>
                <w:szCs w:val="20"/>
              </w:rPr>
              <w:t>新建</w:t>
            </w:r>
          </w:p>
          <w:p w14:paraId="67BBFC1C" w14:textId="77777777" w:rsidR="00A052DC" w:rsidRDefault="009F0A60">
            <w:pPr>
              <w:pStyle w:val="B"/>
              <w:rPr>
                <w:szCs w:val="20"/>
              </w:rPr>
            </w:pPr>
            <w:r>
              <w:rPr>
                <w:szCs w:val="20"/>
              </w:rPr>
              <w:t>C</w:t>
            </w:r>
            <w:r w:rsidR="00AE4602">
              <w:rPr>
                <w:rFonts w:hint="eastAsia"/>
                <w:szCs w:val="20"/>
              </w:rPr>
              <w:t>-</w:t>
            </w:r>
            <w:r>
              <w:rPr>
                <w:rFonts w:hint="eastAsia"/>
                <w:szCs w:val="20"/>
              </w:rPr>
              <w:t>修改</w:t>
            </w:r>
          </w:p>
          <w:p w14:paraId="31C3A460" w14:textId="77777777" w:rsidR="00A052DC" w:rsidRDefault="009F0A60">
            <w:pPr>
              <w:pStyle w:val="B"/>
              <w:rPr>
                <w:szCs w:val="20"/>
              </w:rPr>
            </w:pPr>
            <w:r>
              <w:rPr>
                <w:szCs w:val="20"/>
              </w:rPr>
              <w:t>D</w:t>
            </w:r>
            <w:r w:rsidR="00AE4602">
              <w:rPr>
                <w:rFonts w:hint="eastAsia"/>
                <w:szCs w:val="20"/>
              </w:rPr>
              <w:t>-</w:t>
            </w:r>
            <w:r>
              <w:rPr>
                <w:rFonts w:hint="eastAsia"/>
                <w:szCs w:val="20"/>
              </w:rPr>
              <w:t>删除</w:t>
            </w:r>
          </w:p>
        </w:tc>
      </w:tr>
      <w:tr w:rsidR="00A052DC" w14:paraId="255E2A07" w14:textId="77777777">
        <w:tc>
          <w:tcPr>
            <w:tcW w:w="1384" w:type="dxa"/>
            <w:noWrap/>
          </w:tcPr>
          <w:p w14:paraId="5C405E30" w14:textId="77777777" w:rsidR="00A052DC" w:rsidRDefault="009F0A60">
            <w:pPr>
              <w:pStyle w:val="B"/>
              <w:rPr>
                <w:szCs w:val="20"/>
              </w:rPr>
            </w:pPr>
            <w:r>
              <w:rPr>
                <w:szCs w:val="20"/>
              </w:rPr>
              <w:t>ACTIONDESC</w:t>
            </w:r>
          </w:p>
        </w:tc>
        <w:tc>
          <w:tcPr>
            <w:tcW w:w="1418" w:type="dxa"/>
            <w:noWrap/>
          </w:tcPr>
          <w:p w14:paraId="2C6A3D1E" w14:textId="77777777" w:rsidR="00A052DC" w:rsidRDefault="009F0A60">
            <w:pPr>
              <w:pStyle w:val="B"/>
              <w:rPr>
                <w:szCs w:val="20"/>
              </w:rPr>
            </w:pPr>
            <w:r>
              <w:rPr>
                <w:rFonts w:hint="eastAsia"/>
                <w:szCs w:val="20"/>
              </w:rPr>
              <w:t>删除原因</w:t>
            </w:r>
          </w:p>
        </w:tc>
        <w:tc>
          <w:tcPr>
            <w:tcW w:w="1417" w:type="dxa"/>
            <w:noWrap/>
          </w:tcPr>
          <w:p w14:paraId="02B76E09" w14:textId="77777777" w:rsidR="00A052DC" w:rsidRDefault="009F0A60">
            <w:pPr>
              <w:pStyle w:val="B"/>
              <w:rPr>
                <w:szCs w:val="20"/>
              </w:rPr>
            </w:pPr>
            <w:r>
              <w:rPr>
                <w:rFonts w:hint="eastAsia"/>
                <w:szCs w:val="20"/>
              </w:rPr>
              <w:t>字符型，</w:t>
            </w:r>
            <w:r>
              <w:rPr>
                <w:szCs w:val="20"/>
              </w:rPr>
              <w:t>128</w:t>
            </w:r>
          </w:p>
        </w:tc>
        <w:tc>
          <w:tcPr>
            <w:tcW w:w="4253" w:type="dxa"/>
          </w:tcPr>
          <w:p w14:paraId="52050358" w14:textId="77777777" w:rsidR="00A052DC" w:rsidRDefault="00DD6AA3">
            <w:pPr>
              <w:pStyle w:val="B"/>
              <w:rPr>
                <w:szCs w:val="20"/>
              </w:rPr>
            </w:pPr>
            <w:r>
              <w:rPr>
                <w:rFonts w:hint="eastAsia"/>
                <w:szCs w:val="20"/>
              </w:rPr>
              <w:t>非必填项，当操作类型（ACTIONTYPE）为删除时必填。</w:t>
            </w:r>
          </w:p>
        </w:tc>
      </w:tr>
      <w:tr w:rsidR="00A052DC" w14:paraId="2D4EC46B" w14:textId="77777777">
        <w:tc>
          <w:tcPr>
            <w:tcW w:w="1384" w:type="dxa"/>
            <w:noWrap/>
          </w:tcPr>
          <w:p w14:paraId="287F1DF8" w14:textId="77777777" w:rsidR="00A052DC" w:rsidRDefault="009F0A60">
            <w:pPr>
              <w:pStyle w:val="B"/>
              <w:rPr>
                <w:szCs w:val="20"/>
              </w:rPr>
            </w:pPr>
            <w:r>
              <w:rPr>
                <w:szCs w:val="20"/>
              </w:rPr>
              <w:t>SNOCODE</w:t>
            </w:r>
          </w:p>
        </w:tc>
        <w:tc>
          <w:tcPr>
            <w:tcW w:w="1418" w:type="dxa"/>
          </w:tcPr>
          <w:p w14:paraId="2FAD7B40" w14:textId="77777777" w:rsidR="00A052DC" w:rsidRDefault="009F0A60">
            <w:pPr>
              <w:pStyle w:val="B"/>
              <w:rPr>
                <w:szCs w:val="20"/>
              </w:rPr>
            </w:pPr>
            <w:r>
              <w:rPr>
                <w:rFonts w:hint="eastAsia"/>
                <w:szCs w:val="20"/>
              </w:rPr>
              <w:t>数据自编码</w:t>
            </w:r>
          </w:p>
        </w:tc>
        <w:tc>
          <w:tcPr>
            <w:tcW w:w="1417" w:type="dxa"/>
            <w:noWrap/>
          </w:tcPr>
          <w:p w14:paraId="2D5E1D05" w14:textId="77777777" w:rsidR="00A052DC" w:rsidRDefault="009F0A60">
            <w:pPr>
              <w:pStyle w:val="B"/>
              <w:rPr>
                <w:szCs w:val="20"/>
              </w:rPr>
            </w:pPr>
            <w:r>
              <w:rPr>
                <w:rFonts w:hint="eastAsia"/>
                <w:szCs w:val="20"/>
              </w:rPr>
              <w:t>字符型，36</w:t>
            </w:r>
          </w:p>
        </w:tc>
        <w:tc>
          <w:tcPr>
            <w:tcW w:w="4253" w:type="dxa"/>
          </w:tcPr>
          <w:p w14:paraId="0E8C0955" w14:textId="77777777" w:rsidR="00A052DC" w:rsidRDefault="009F0A60">
            <w:pPr>
              <w:pStyle w:val="B"/>
              <w:rPr>
                <w:szCs w:val="20"/>
              </w:rPr>
            </w:pPr>
            <w:r>
              <w:rPr>
                <w:rFonts w:hint="eastAsia"/>
                <w:szCs w:val="20"/>
              </w:rPr>
              <w:t>必填项。</w:t>
            </w:r>
            <w:r>
              <w:rPr>
                <w:szCs w:val="20"/>
              </w:rPr>
              <w:t>对于接口报送的填报主体，数据自编码中的报送期（6位）应与报告期（YYYYMM）一致。</w:t>
            </w:r>
          </w:p>
        </w:tc>
      </w:tr>
      <w:tr w:rsidR="00A052DC" w14:paraId="538D3672" w14:textId="77777777">
        <w:tc>
          <w:tcPr>
            <w:tcW w:w="1384" w:type="dxa"/>
            <w:noWrap/>
          </w:tcPr>
          <w:p w14:paraId="41D1FBBC" w14:textId="77777777" w:rsidR="00A052DC" w:rsidRDefault="009F0A60">
            <w:pPr>
              <w:pStyle w:val="B"/>
              <w:rPr>
                <w:szCs w:val="20"/>
              </w:rPr>
            </w:pPr>
            <w:r>
              <w:rPr>
                <w:szCs w:val="20"/>
              </w:rPr>
              <w:t>OBJCODE</w:t>
            </w:r>
          </w:p>
        </w:tc>
        <w:tc>
          <w:tcPr>
            <w:tcW w:w="1418" w:type="dxa"/>
          </w:tcPr>
          <w:p w14:paraId="2FB34459" w14:textId="77777777" w:rsidR="00A052DC" w:rsidRDefault="009F0A60">
            <w:pPr>
              <w:pStyle w:val="B"/>
              <w:rPr>
                <w:szCs w:val="20"/>
              </w:rPr>
            </w:pPr>
            <w:r>
              <w:rPr>
                <w:rFonts w:hint="eastAsia"/>
                <w:szCs w:val="20"/>
              </w:rPr>
              <w:t>申报主体代码</w:t>
            </w:r>
          </w:p>
        </w:tc>
        <w:tc>
          <w:tcPr>
            <w:tcW w:w="1417" w:type="dxa"/>
            <w:noWrap/>
          </w:tcPr>
          <w:p w14:paraId="0B51D723" w14:textId="77777777" w:rsidR="00A052DC" w:rsidRDefault="009F0A60">
            <w:pPr>
              <w:pStyle w:val="B"/>
              <w:rPr>
                <w:szCs w:val="20"/>
              </w:rPr>
            </w:pPr>
            <w:r>
              <w:rPr>
                <w:rFonts w:hint="eastAsia"/>
                <w:szCs w:val="20"/>
              </w:rPr>
              <w:t>字符型，</w:t>
            </w:r>
            <w:r>
              <w:rPr>
                <w:szCs w:val="20"/>
              </w:rPr>
              <w:t>1</w:t>
            </w:r>
            <w:r>
              <w:rPr>
                <w:rFonts w:hint="eastAsia"/>
                <w:szCs w:val="20"/>
              </w:rPr>
              <w:t>8</w:t>
            </w:r>
          </w:p>
        </w:tc>
        <w:tc>
          <w:tcPr>
            <w:tcW w:w="4253" w:type="dxa"/>
          </w:tcPr>
          <w:p w14:paraId="5DB71428" w14:textId="77777777" w:rsidR="00A052DC" w:rsidRDefault="009F0A60">
            <w:pPr>
              <w:pStyle w:val="B"/>
              <w:rPr>
                <w:szCs w:val="20"/>
              </w:rPr>
            </w:pPr>
            <w:r>
              <w:rPr>
                <w:rFonts w:hint="eastAsia"/>
                <w:szCs w:val="20"/>
              </w:rPr>
              <w:t>申报主体的12位金融机构标识码，如果没有金融机构标识码，则填报统一社会信用代码法定载体（如营业执照）上统一社会信用代码中的第9至17位或国家外汇管理局及其分支局签发的特殊机构代码赋码通知书上的机构代码、个人身份代码。</w:t>
            </w:r>
          </w:p>
        </w:tc>
      </w:tr>
      <w:tr w:rsidR="00A052DC" w14:paraId="18B05A4A" w14:textId="77777777">
        <w:tc>
          <w:tcPr>
            <w:tcW w:w="1384" w:type="dxa"/>
            <w:noWrap/>
          </w:tcPr>
          <w:p w14:paraId="6B6E8D2D" w14:textId="77777777" w:rsidR="00A052DC" w:rsidRDefault="009F0A60">
            <w:pPr>
              <w:pStyle w:val="B"/>
              <w:rPr>
                <w:szCs w:val="20"/>
              </w:rPr>
            </w:pPr>
            <w:r>
              <w:rPr>
                <w:szCs w:val="20"/>
              </w:rPr>
              <w:t>BUOCMONTH</w:t>
            </w:r>
          </w:p>
        </w:tc>
        <w:tc>
          <w:tcPr>
            <w:tcW w:w="1418" w:type="dxa"/>
          </w:tcPr>
          <w:p w14:paraId="0B2AE86B" w14:textId="77777777" w:rsidR="00A052DC" w:rsidRDefault="009F0A60">
            <w:pPr>
              <w:pStyle w:val="B"/>
              <w:rPr>
                <w:szCs w:val="20"/>
              </w:rPr>
            </w:pPr>
            <w:r>
              <w:rPr>
                <w:rFonts w:hint="eastAsia"/>
                <w:szCs w:val="20"/>
              </w:rPr>
              <w:t>报告期</w:t>
            </w:r>
          </w:p>
        </w:tc>
        <w:tc>
          <w:tcPr>
            <w:tcW w:w="1417" w:type="dxa"/>
            <w:noWrap/>
          </w:tcPr>
          <w:p w14:paraId="08230819" w14:textId="77777777" w:rsidR="00A052DC" w:rsidRDefault="009F0A60">
            <w:pPr>
              <w:pStyle w:val="B"/>
              <w:rPr>
                <w:szCs w:val="20"/>
              </w:rPr>
            </w:pPr>
            <w:r>
              <w:rPr>
                <w:rFonts w:hint="eastAsia"/>
                <w:szCs w:val="20"/>
              </w:rPr>
              <w:t>数值型，</w:t>
            </w:r>
            <w:r>
              <w:rPr>
                <w:szCs w:val="20"/>
              </w:rPr>
              <w:t>6</w:t>
            </w:r>
          </w:p>
        </w:tc>
        <w:tc>
          <w:tcPr>
            <w:tcW w:w="4253" w:type="dxa"/>
          </w:tcPr>
          <w:p w14:paraId="42FA558A" w14:textId="77777777" w:rsidR="00A052DC" w:rsidRDefault="009F0A60">
            <w:pPr>
              <w:pStyle w:val="B"/>
              <w:rPr>
                <w:szCs w:val="20"/>
              </w:rPr>
            </w:pPr>
            <w:r>
              <w:rPr>
                <w:rFonts w:hint="eastAsia"/>
                <w:szCs w:val="20"/>
              </w:rPr>
              <w:t>必填项，格式为</w:t>
            </w:r>
            <w:r>
              <w:rPr>
                <w:szCs w:val="20"/>
              </w:rPr>
              <w:t>YYYYMM</w:t>
            </w:r>
            <w:r>
              <w:rPr>
                <w:rFonts w:hint="eastAsia"/>
                <w:szCs w:val="20"/>
              </w:rPr>
              <w:t>。</w:t>
            </w:r>
          </w:p>
        </w:tc>
      </w:tr>
      <w:tr w:rsidR="00A052DC" w14:paraId="69B6C5DC" w14:textId="77777777">
        <w:tc>
          <w:tcPr>
            <w:tcW w:w="1384" w:type="dxa"/>
            <w:noWrap/>
          </w:tcPr>
          <w:p w14:paraId="4084837A" w14:textId="77777777" w:rsidR="00A052DC" w:rsidRDefault="009F0A60">
            <w:pPr>
              <w:pStyle w:val="B"/>
              <w:rPr>
                <w:szCs w:val="20"/>
              </w:rPr>
            </w:pPr>
            <w:r>
              <w:rPr>
                <w:szCs w:val="20"/>
              </w:rPr>
              <w:t>G0101CODE</w:t>
            </w:r>
          </w:p>
        </w:tc>
        <w:tc>
          <w:tcPr>
            <w:tcW w:w="1418" w:type="dxa"/>
          </w:tcPr>
          <w:p w14:paraId="36B4BACF" w14:textId="77777777" w:rsidR="00A052DC" w:rsidRDefault="009F0A60">
            <w:pPr>
              <w:pStyle w:val="B"/>
              <w:rPr>
                <w:szCs w:val="20"/>
              </w:rPr>
            </w:pPr>
            <w:r>
              <w:rPr>
                <w:rFonts w:hint="eastAsia"/>
                <w:szCs w:val="20"/>
              </w:rPr>
              <w:t>发卡机构代码</w:t>
            </w:r>
          </w:p>
        </w:tc>
        <w:tc>
          <w:tcPr>
            <w:tcW w:w="1417" w:type="dxa"/>
            <w:noWrap/>
          </w:tcPr>
          <w:p w14:paraId="4E6F68B8" w14:textId="77777777" w:rsidR="00A052DC" w:rsidRDefault="009F0A60">
            <w:pPr>
              <w:pStyle w:val="B"/>
              <w:rPr>
                <w:szCs w:val="20"/>
              </w:rPr>
            </w:pPr>
            <w:r>
              <w:rPr>
                <w:rFonts w:hint="eastAsia"/>
                <w:szCs w:val="20"/>
              </w:rPr>
              <w:t>字符型，</w:t>
            </w:r>
            <w:r>
              <w:rPr>
                <w:szCs w:val="20"/>
              </w:rPr>
              <w:t>4</w:t>
            </w:r>
          </w:p>
        </w:tc>
        <w:tc>
          <w:tcPr>
            <w:tcW w:w="4253" w:type="dxa"/>
          </w:tcPr>
          <w:p w14:paraId="23114CA9" w14:textId="77777777" w:rsidR="00A052DC" w:rsidRDefault="009F0A60">
            <w:pPr>
              <w:pStyle w:val="B"/>
              <w:rPr>
                <w:szCs w:val="20"/>
              </w:rPr>
            </w:pPr>
            <w:r>
              <w:rPr>
                <w:rFonts w:hint="eastAsia"/>
              </w:rPr>
              <w:t>非必填项，仅银联</w:t>
            </w:r>
            <w:r>
              <w:rPr>
                <w:rFonts w:hint="eastAsia"/>
                <w:szCs w:val="20"/>
              </w:rPr>
              <w:t>和连通公司</w:t>
            </w:r>
            <w:r>
              <w:rPr>
                <w:rFonts w:hint="eastAsia"/>
              </w:rPr>
              <w:t>填报。</w:t>
            </w:r>
          </w:p>
        </w:tc>
      </w:tr>
      <w:tr w:rsidR="00A052DC" w14:paraId="402A8EC3" w14:textId="77777777">
        <w:tc>
          <w:tcPr>
            <w:tcW w:w="1384" w:type="dxa"/>
            <w:noWrap/>
          </w:tcPr>
          <w:p w14:paraId="23D17A4A" w14:textId="77777777" w:rsidR="00A052DC" w:rsidRDefault="009F0A60">
            <w:pPr>
              <w:pStyle w:val="B"/>
              <w:widowControl w:val="0"/>
              <w:rPr>
                <w:szCs w:val="20"/>
              </w:rPr>
            </w:pPr>
            <w:r>
              <w:rPr>
                <w:szCs w:val="20"/>
              </w:rPr>
              <w:t>G0101</w:t>
            </w:r>
          </w:p>
        </w:tc>
        <w:tc>
          <w:tcPr>
            <w:tcW w:w="1418" w:type="dxa"/>
          </w:tcPr>
          <w:p w14:paraId="364D3BE7" w14:textId="77777777" w:rsidR="00A052DC" w:rsidRDefault="009F0A60">
            <w:pPr>
              <w:pStyle w:val="B"/>
              <w:widowControl w:val="0"/>
              <w:rPr>
                <w:szCs w:val="20"/>
              </w:rPr>
            </w:pPr>
            <w:r>
              <w:rPr>
                <w:rFonts w:hint="eastAsia"/>
                <w:szCs w:val="20"/>
              </w:rPr>
              <w:t>发卡机构名称</w:t>
            </w:r>
          </w:p>
        </w:tc>
        <w:tc>
          <w:tcPr>
            <w:tcW w:w="1417" w:type="dxa"/>
            <w:noWrap/>
          </w:tcPr>
          <w:p w14:paraId="4BFFF0A6" w14:textId="77777777" w:rsidR="00A052DC" w:rsidRDefault="009F0A60">
            <w:pPr>
              <w:pStyle w:val="B"/>
              <w:widowControl w:val="0"/>
              <w:rPr>
                <w:szCs w:val="20"/>
              </w:rPr>
            </w:pPr>
            <w:r>
              <w:rPr>
                <w:rFonts w:hint="eastAsia"/>
                <w:szCs w:val="20"/>
              </w:rPr>
              <w:t>字符型，</w:t>
            </w:r>
            <w:r>
              <w:rPr>
                <w:szCs w:val="20"/>
              </w:rPr>
              <w:t>256</w:t>
            </w:r>
          </w:p>
        </w:tc>
        <w:tc>
          <w:tcPr>
            <w:tcW w:w="4253" w:type="dxa"/>
          </w:tcPr>
          <w:p w14:paraId="34BFE114" w14:textId="77777777" w:rsidR="00A052DC" w:rsidRDefault="009F0A60">
            <w:pPr>
              <w:pStyle w:val="B"/>
              <w:rPr>
                <w:szCs w:val="20"/>
              </w:rPr>
            </w:pPr>
            <w:r>
              <w:rPr>
                <w:rFonts w:hint="eastAsia"/>
              </w:rPr>
              <w:t>非必填项，仅银联</w:t>
            </w:r>
            <w:r>
              <w:rPr>
                <w:rFonts w:hint="eastAsia"/>
                <w:szCs w:val="20"/>
              </w:rPr>
              <w:t>和连通公司</w:t>
            </w:r>
            <w:r>
              <w:rPr>
                <w:rFonts w:hint="eastAsia"/>
              </w:rPr>
              <w:t>填报。</w:t>
            </w:r>
          </w:p>
        </w:tc>
      </w:tr>
      <w:tr w:rsidR="00A052DC" w14:paraId="353EE2E9" w14:textId="77777777">
        <w:tc>
          <w:tcPr>
            <w:tcW w:w="1384" w:type="dxa"/>
            <w:noWrap/>
          </w:tcPr>
          <w:p w14:paraId="3BB3A828" w14:textId="77777777" w:rsidR="00A052DC" w:rsidRDefault="009F0A60">
            <w:pPr>
              <w:pStyle w:val="B"/>
              <w:widowControl w:val="0"/>
              <w:rPr>
                <w:szCs w:val="20"/>
              </w:rPr>
            </w:pPr>
            <w:r>
              <w:rPr>
                <w:szCs w:val="20"/>
              </w:rPr>
              <w:t>G0102</w:t>
            </w:r>
          </w:p>
        </w:tc>
        <w:tc>
          <w:tcPr>
            <w:tcW w:w="1418" w:type="dxa"/>
          </w:tcPr>
          <w:p w14:paraId="7646CDC9" w14:textId="77777777" w:rsidR="00A052DC" w:rsidRDefault="009F0A60">
            <w:pPr>
              <w:pStyle w:val="B"/>
              <w:widowControl w:val="0"/>
              <w:rPr>
                <w:szCs w:val="20"/>
              </w:rPr>
            </w:pPr>
            <w:r>
              <w:rPr>
                <w:rFonts w:hint="eastAsia"/>
                <w:szCs w:val="20"/>
              </w:rPr>
              <w:t>银行卡清算渠道</w:t>
            </w:r>
          </w:p>
        </w:tc>
        <w:tc>
          <w:tcPr>
            <w:tcW w:w="1417" w:type="dxa"/>
            <w:noWrap/>
          </w:tcPr>
          <w:p w14:paraId="15518E42" w14:textId="77777777" w:rsidR="00A052DC" w:rsidRDefault="009F0A60">
            <w:pPr>
              <w:pStyle w:val="B"/>
              <w:widowControl w:val="0"/>
              <w:rPr>
                <w:szCs w:val="20"/>
              </w:rPr>
            </w:pPr>
            <w:r>
              <w:rPr>
                <w:rFonts w:hint="eastAsia"/>
                <w:szCs w:val="20"/>
              </w:rPr>
              <w:t>整数型</w:t>
            </w:r>
          </w:p>
        </w:tc>
        <w:tc>
          <w:tcPr>
            <w:tcW w:w="4253" w:type="dxa"/>
          </w:tcPr>
          <w:p w14:paraId="74CB45BA" w14:textId="77777777" w:rsidR="00A052DC" w:rsidRDefault="009F0A60">
            <w:pPr>
              <w:pStyle w:val="B"/>
              <w:rPr>
                <w:szCs w:val="20"/>
              </w:rPr>
            </w:pPr>
            <w:r>
              <w:rPr>
                <w:rFonts w:hint="eastAsia"/>
                <w:szCs w:val="20"/>
              </w:rPr>
              <w:t>必填项。如果申报主体≠银联，则其银行卡清算渠道≠</w:t>
            </w:r>
            <w:r>
              <w:rPr>
                <w:szCs w:val="20"/>
              </w:rPr>
              <w:t>1</w:t>
            </w:r>
            <w:r>
              <w:rPr>
                <w:rFonts w:hint="eastAsia"/>
                <w:szCs w:val="20"/>
              </w:rPr>
              <w:t>。</w:t>
            </w:r>
          </w:p>
        </w:tc>
      </w:tr>
      <w:tr w:rsidR="00A052DC" w14:paraId="7888E162" w14:textId="77777777">
        <w:tc>
          <w:tcPr>
            <w:tcW w:w="1384" w:type="dxa"/>
            <w:noWrap/>
          </w:tcPr>
          <w:p w14:paraId="4893E5AD" w14:textId="77777777" w:rsidR="00A052DC" w:rsidRDefault="009F0A60">
            <w:pPr>
              <w:pStyle w:val="B"/>
              <w:widowControl w:val="0"/>
              <w:rPr>
                <w:szCs w:val="20"/>
              </w:rPr>
            </w:pPr>
            <w:r>
              <w:rPr>
                <w:szCs w:val="20"/>
              </w:rPr>
              <w:t>G0103</w:t>
            </w:r>
          </w:p>
        </w:tc>
        <w:tc>
          <w:tcPr>
            <w:tcW w:w="1418" w:type="dxa"/>
          </w:tcPr>
          <w:p w14:paraId="6CDF004D" w14:textId="77777777" w:rsidR="00A052DC" w:rsidRDefault="009F0A60">
            <w:pPr>
              <w:pStyle w:val="B"/>
              <w:widowControl w:val="0"/>
              <w:rPr>
                <w:szCs w:val="20"/>
              </w:rPr>
            </w:pPr>
            <w:r>
              <w:rPr>
                <w:rFonts w:hint="eastAsia"/>
                <w:szCs w:val="20"/>
              </w:rPr>
              <w:t>持卡人是否为中国居民</w:t>
            </w:r>
          </w:p>
        </w:tc>
        <w:tc>
          <w:tcPr>
            <w:tcW w:w="1417" w:type="dxa"/>
            <w:noWrap/>
          </w:tcPr>
          <w:p w14:paraId="421B7DBD" w14:textId="77777777" w:rsidR="00A052DC" w:rsidRDefault="009F0A60">
            <w:pPr>
              <w:pStyle w:val="B"/>
              <w:widowControl w:val="0"/>
              <w:rPr>
                <w:szCs w:val="20"/>
              </w:rPr>
            </w:pPr>
            <w:r>
              <w:rPr>
                <w:rFonts w:hint="eastAsia"/>
                <w:szCs w:val="20"/>
              </w:rPr>
              <w:t>整数型</w:t>
            </w:r>
          </w:p>
        </w:tc>
        <w:tc>
          <w:tcPr>
            <w:tcW w:w="4253" w:type="dxa"/>
          </w:tcPr>
          <w:p w14:paraId="33B38790" w14:textId="77777777" w:rsidR="00A052DC" w:rsidRDefault="009F0A60">
            <w:pPr>
              <w:pStyle w:val="B"/>
              <w:widowControl w:val="0"/>
              <w:rPr>
                <w:szCs w:val="20"/>
              </w:rPr>
            </w:pPr>
            <w:r>
              <w:rPr>
                <w:rFonts w:hint="eastAsia"/>
                <w:szCs w:val="20"/>
              </w:rPr>
              <w:t>必填项，两个选项：</w:t>
            </w:r>
          </w:p>
          <w:p w14:paraId="0964793B" w14:textId="77777777" w:rsidR="00A052DC" w:rsidRDefault="009F0A60">
            <w:pPr>
              <w:pStyle w:val="B"/>
              <w:widowControl w:val="0"/>
              <w:rPr>
                <w:szCs w:val="20"/>
              </w:rPr>
            </w:pPr>
            <w:r>
              <w:rPr>
                <w:szCs w:val="20"/>
              </w:rPr>
              <w:t>1-</w:t>
            </w:r>
            <w:r>
              <w:rPr>
                <w:rFonts w:hint="eastAsia"/>
                <w:szCs w:val="20"/>
              </w:rPr>
              <w:t>中国居民；</w:t>
            </w:r>
          </w:p>
          <w:p w14:paraId="6E8B7EB5" w14:textId="77777777" w:rsidR="00A052DC" w:rsidRDefault="009F0A60">
            <w:pPr>
              <w:pStyle w:val="B"/>
              <w:widowControl w:val="0"/>
              <w:rPr>
                <w:szCs w:val="20"/>
              </w:rPr>
            </w:pPr>
            <w:r>
              <w:rPr>
                <w:szCs w:val="20"/>
              </w:rPr>
              <w:t>2-</w:t>
            </w:r>
            <w:r>
              <w:rPr>
                <w:rFonts w:hint="eastAsia"/>
                <w:szCs w:val="20"/>
              </w:rPr>
              <w:t>非中国居民。</w:t>
            </w:r>
          </w:p>
        </w:tc>
      </w:tr>
      <w:tr w:rsidR="00A052DC" w14:paraId="4EAED278" w14:textId="77777777">
        <w:tc>
          <w:tcPr>
            <w:tcW w:w="1384" w:type="dxa"/>
            <w:noWrap/>
          </w:tcPr>
          <w:p w14:paraId="363B61B7" w14:textId="77777777" w:rsidR="00A052DC" w:rsidRDefault="009F0A60">
            <w:pPr>
              <w:pStyle w:val="B"/>
              <w:widowControl w:val="0"/>
              <w:rPr>
                <w:szCs w:val="20"/>
              </w:rPr>
            </w:pPr>
            <w:r>
              <w:rPr>
                <w:szCs w:val="20"/>
              </w:rPr>
              <w:t>G0104</w:t>
            </w:r>
          </w:p>
        </w:tc>
        <w:tc>
          <w:tcPr>
            <w:tcW w:w="1418" w:type="dxa"/>
          </w:tcPr>
          <w:p w14:paraId="1F207FBA" w14:textId="77777777" w:rsidR="00A052DC" w:rsidRDefault="009F0A60">
            <w:pPr>
              <w:pStyle w:val="B"/>
              <w:widowControl w:val="0"/>
              <w:rPr>
                <w:szCs w:val="20"/>
              </w:rPr>
            </w:pPr>
            <w:r>
              <w:rPr>
                <w:rFonts w:hint="eastAsia"/>
                <w:szCs w:val="20"/>
              </w:rPr>
              <w:t>交易类型</w:t>
            </w:r>
          </w:p>
        </w:tc>
        <w:tc>
          <w:tcPr>
            <w:tcW w:w="1417" w:type="dxa"/>
            <w:noWrap/>
          </w:tcPr>
          <w:p w14:paraId="3CD0B8AB" w14:textId="77777777" w:rsidR="00A052DC" w:rsidRDefault="009F0A60">
            <w:pPr>
              <w:pStyle w:val="B"/>
              <w:widowControl w:val="0"/>
              <w:rPr>
                <w:szCs w:val="20"/>
              </w:rPr>
            </w:pPr>
            <w:r>
              <w:rPr>
                <w:rFonts w:hint="eastAsia"/>
                <w:szCs w:val="20"/>
              </w:rPr>
              <w:t>整数型</w:t>
            </w:r>
          </w:p>
        </w:tc>
        <w:tc>
          <w:tcPr>
            <w:tcW w:w="4253" w:type="dxa"/>
          </w:tcPr>
          <w:p w14:paraId="2E495782" w14:textId="77777777" w:rsidR="00A052DC" w:rsidRDefault="009F0A60">
            <w:pPr>
              <w:pStyle w:val="B"/>
              <w:widowControl w:val="0"/>
              <w:rPr>
                <w:szCs w:val="20"/>
              </w:rPr>
            </w:pPr>
            <w:r>
              <w:rPr>
                <w:rFonts w:hint="eastAsia"/>
                <w:szCs w:val="20"/>
              </w:rPr>
              <w:t>必填项。见银行卡消费提现类型代码表。</w:t>
            </w:r>
          </w:p>
        </w:tc>
      </w:tr>
      <w:tr w:rsidR="00A052DC" w14:paraId="3AAF4D53" w14:textId="77777777">
        <w:tc>
          <w:tcPr>
            <w:tcW w:w="1384" w:type="dxa"/>
            <w:noWrap/>
          </w:tcPr>
          <w:p w14:paraId="23CD20EF" w14:textId="77777777" w:rsidR="00A052DC" w:rsidRDefault="009F0A60">
            <w:pPr>
              <w:pStyle w:val="B"/>
              <w:widowControl w:val="0"/>
              <w:rPr>
                <w:szCs w:val="20"/>
              </w:rPr>
            </w:pPr>
            <w:r>
              <w:rPr>
                <w:rFonts w:hint="eastAsia"/>
                <w:szCs w:val="20"/>
              </w:rPr>
              <w:t>G0104CODE</w:t>
            </w:r>
          </w:p>
        </w:tc>
        <w:tc>
          <w:tcPr>
            <w:tcW w:w="1418" w:type="dxa"/>
          </w:tcPr>
          <w:p w14:paraId="0F75346A" w14:textId="77777777" w:rsidR="00A052DC" w:rsidRDefault="009F0A60">
            <w:pPr>
              <w:pStyle w:val="B"/>
              <w:widowControl w:val="0"/>
              <w:rPr>
                <w:szCs w:val="20"/>
              </w:rPr>
            </w:pPr>
            <w:r>
              <w:rPr>
                <w:rFonts w:hint="eastAsia"/>
                <w:szCs w:val="20"/>
              </w:rPr>
              <w:t>交易方式</w:t>
            </w:r>
          </w:p>
        </w:tc>
        <w:tc>
          <w:tcPr>
            <w:tcW w:w="1417" w:type="dxa"/>
            <w:noWrap/>
          </w:tcPr>
          <w:p w14:paraId="1E6873D8" w14:textId="77777777" w:rsidR="00A052DC" w:rsidRDefault="009F0A60">
            <w:pPr>
              <w:pStyle w:val="B"/>
              <w:widowControl w:val="0"/>
              <w:rPr>
                <w:szCs w:val="20"/>
              </w:rPr>
            </w:pPr>
            <w:r>
              <w:rPr>
                <w:rFonts w:hint="eastAsia"/>
                <w:szCs w:val="20"/>
              </w:rPr>
              <w:t>整数型</w:t>
            </w:r>
          </w:p>
        </w:tc>
        <w:tc>
          <w:tcPr>
            <w:tcW w:w="4253" w:type="dxa"/>
          </w:tcPr>
          <w:p w14:paraId="2830D4D3" w14:textId="77777777" w:rsidR="00A052DC" w:rsidRDefault="009F0A60">
            <w:pPr>
              <w:pStyle w:val="B"/>
              <w:widowControl w:val="0"/>
              <w:rPr>
                <w:szCs w:val="20"/>
              </w:rPr>
            </w:pPr>
            <w:r>
              <w:rPr>
                <w:rFonts w:hint="eastAsia"/>
                <w:szCs w:val="20"/>
              </w:rPr>
              <w:t>必填项</w:t>
            </w:r>
            <w:r w:rsidR="004D1828">
              <w:rPr>
                <w:rFonts w:hint="eastAsia"/>
                <w:szCs w:val="20"/>
              </w:rPr>
              <w:t>，</w:t>
            </w:r>
            <w:r>
              <w:rPr>
                <w:rFonts w:hint="eastAsia"/>
                <w:szCs w:val="20"/>
              </w:rPr>
              <w:t>两个选项：</w:t>
            </w:r>
          </w:p>
          <w:p w14:paraId="746174B2" w14:textId="77777777" w:rsidR="00A052DC" w:rsidRDefault="009F0A60">
            <w:pPr>
              <w:pStyle w:val="B"/>
              <w:widowControl w:val="0"/>
              <w:rPr>
                <w:szCs w:val="20"/>
              </w:rPr>
            </w:pPr>
            <w:r>
              <w:rPr>
                <w:rFonts w:hint="eastAsia"/>
                <w:szCs w:val="20"/>
              </w:rPr>
              <w:t>1-线下；</w:t>
            </w:r>
          </w:p>
          <w:p w14:paraId="59C6CCE5" w14:textId="77777777" w:rsidR="00A052DC" w:rsidRDefault="009F0A60">
            <w:pPr>
              <w:pStyle w:val="B"/>
              <w:widowControl w:val="0"/>
              <w:rPr>
                <w:szCs w:val="20"/>
              </w:rPr>
            </w:pPr>
            <w:r>
              <w:rPr>
                <w:szCs w:val="20"/>
              </w:rPr>
              <w:t>2-</w:t>
            </w:r>
            <w:r>
              <w:rPr>
                <w:rFonts w:hint="eastAsia"/>
                <w:szCs w:val="20"/>
              </w:rPr>
              <w:t>线上。</w:t>
            </w:r>
          </w:p>
        </w:tc>
      </w:tr>
      <w:tr w:rsidR="00A052DC" w14:paraId="690EF571" w14:textId="77777777">
        <w:tc>
          <w:tcPr>
            <w:tcW w:w="1384" w:type="dxa"/>
            <w:noWrap/>
          </w:tcPr>
          <w:p w14:paraId="723644B6" w14:textId="77777777" w:rsidR="00A052DC" w:rsidRDefault="009F0A60">
            <w:pPr>
              <w:pStyle w:val="B"/>
              <w:widowControl w:val="0"/>
              <w:rPr>
                <w:szCs w:val="20"/>
              </w:rPr>
            </w:pPr>
            <w:r>
              <w:rPr>
                <w:szCs w:val="20"/>
              </w:rPr>
              <w:t>G0105</w:t>
            </w:r>
          </w:p>
        </w:tc>
        <w:tc>
          <w:tcPr>
            <w:tcW w:w="1418" w:type="dxa"/>
          </w:tcPr>
          <w:p w14:paraId="26F6F8F9" w14:textId="77777777" w:rsidR="00A052DC" w:rsidRDefault="009F0A60">
            <w:pPr>
              <w:pStyle w:val="B"/>
              <w:widowControl w:val="0"/>
              <w:rPr>
                <w:szCs w:val="20"/>
              </w:rPr>
            </w:pPr>
            <w:r>
              <w:rPr>
                <w:rFonts w:hint="eastAsia"/>
                <w:szCs w:val="20"/>
              </w:rPr>
              <w:t>交易所在地国家</w:t>
            </w:r>
            <w:r>
              <w:rPr>
                <w:szCs w:val="20"/>
              </w:rPr>
              <w:t>/</w:t>
            </w:r>
            <w:r>
              <w:rPr>
                <w:rFonts w:hint="eastAsia"/>
                <w:szCs w:val="20"/>
              </w:rPr>
              <w:t>地区</w:t>
            </w:r>
          </w:p>
        </w:tc>
        <w:tc>
          <w:tcPr>
            <w:tcW w:w="1417" w:type="dxa"/>
            <w:noWrap/>
          </w:tcPr>
          <w:p w14:paraId="6BBA2FDD" w14:textId="77777777" w:rsidR="00A052DC" w:rsidRDefault="009F0A60">
            <w:pPr>
              <w:pStyle w:val="B"/>
              <w:widowControl w:val="0"/>
              <w:rPr>
                <w:szCs w:val="20"/>
              </w:rPr>
            </w:pPr>
            <w:r>
              <w:rPr>
                <w:szCs w:val="20"/>
              </w:rPr>
              <w:t>字符型，3</w:t>
            </w:r>
          </w:p>
        </w:tc>
        <w:tc>
          <w:tcPr>
            <w:tcW w:w="4253" w:type="dxa"/>
          </w:tcPr>
          <w:p w14:paraId="60CB0F18" w14:textId="77777777" w:rsidR="00A052DC" w:rsidRDefault="009F0A60">
            <w:pPr>
              <w:pStyle w:val="B"/>
              <w:widowControl w:val="0"/>
              <w:rPr>
                <w:szCs w:val="20"/>
              </w:rPr>
            </w:pPr>
            <w:r>
              <w:rPr>
                <w:rFonts w:hint="eastAsia"/>
                <w:szCs w:val="20"/>
              </w:rPr>
              <w:t>必填项，见国家和地区代码表的</w:t>
            </w:r>
            <w:r>
              <w:rPr>
                <w:szCs w:val="20"/>
              </w:rPr>
              <w:t>3</w:t>
            </w:r>
            <w:r>
              <w:rPr>
                <w:rFonts w:hint="eastAsia"/>
                <w:szCs w:val="20"/>
              </w:rPr>
              <w:t>位字母代码，必须≠</w:t>
            </w:r>
            <w:r>
              <w:rPr>
                <w:szCs w:val="20"/>
              </w:rPr>
              <w:t>CHN</w:t>
            </w:r>
            <w:r>
              <w:rPr>
                <w:rFonts w:hint="eastAsia"/>
                <w:szCs w:val="20"/>
              </w:rPr>
              <w:t>或N/A。</w:t>
            </w:r>
          </w:p>
        </w:tc>
      </w:tr>
      <w:tr w:rsidR="00A052DC" w14:paraId="49E35072" w14:textId="77777777">
        <w:tc>
          <w:tcPr>
            <w:tcW w:w="1384" w:type="dxa"/>
            <w:noWrap/>
          </w:tcPr>
          <w:p w14:paraId="7DEAD533" w14:textId="77777777" w:rsidR="00A052DC" w:rsidRDefault="009F0A60">
            <w:pPr>
              <w:pStyle w:val="B"/>
              <w:widowControl w:val="0"/>
              <w:rPr>
                <w:szCs w:val="20"/>
              </w:rPr>
            </w:pPr>
            <w:r>
              <w:rPr>
                <w:szCs w:val="20"/>
              </w:rPr>
              <w:t>G0106</w:t>
            </w:r>
          </w:p>
        </w:tc>
        <w:tc>
          <w:tcPr>
            <w:tcW w:w="1418" w:type="dxa"/>
          </w:tcPr>
          <w:p w14:paraId="35020DF9" w14:textId="77777777" w:rsidR="00A052DC" w:rsidRDefault="009F0A60">
            <w:pPr>
              <w:pStyle w:val="B"/>
              <w:widowControl w:val="0"/>
              <w:rPr>
                <w:szCs w:val="20"/>
              </w:rPr>
            </w:pPr>
            <w:r>
              <w:rPr>
                <w:rFonts w:hint="eastAsia"/>
                <w:szCs w:val="20"/>
              </w:rPr>
              <w:t>交易原币</w:t>
            </w:r>
          </w:p>
        </w:tc>
        <w:tc>
          <w:tcPr>
            <w:tcW w:w="1417" w:type="dxa"/>
            <w:noWrap/>
          </w:tcPr>
          <w:p w14:paraId="2ADEDA75" w14:textId="77777777" w:rsidR="00A052DC" w:rsidRDefault="009F0A60">
            <w:pPr>
              <w:pStyle w:val="B"/>
              <w:widowControl w:val="0"/>
              <w:rPr>
                <w:szCs w:val="20"/>
              </w:rPr>
            </w:pPr>
            <w:r>
              <w:rPr>
                <w:rFonts w:hint="eastAsia"/>
                <w:szCs w:val="20"/>
              </w:rPr>
              <w:t>字符型，</w:t>
            </w:r>
            <w:r>
              <w:rPr>
                <w:szCs w:val="20"/>
              </w:rPr>
              <w:t>3</w:t>
            </w:r>
          </w:p>
        </w:tc>
        <w:tc>
          <w:tcPr>
            <w:tcW w:w="4253" w:type="dxa"/>
          </w:tcPr>
          <w:p w14:paraId="426F7B8B" w14:textId="77777777" w:rsidR="00A052DC" w:rsidRDefault="009F0A60">
            <w:pPr>
              <w:pStyle w:val="B"/>
              <w:widowControl w:val="0"/>
              <w:rPr>
                <w:szCs w:val="20"/>
              </w:rPr>
            </w:pPr>
            <w:r>
              <w:rPr>
                <w:rFonts w:hint="eastAsia"/>
                <w:szCs w:val="20"/>
              </w:rPr>
              <w:t>必填项，见币种代码表。</w:t>
            </w:r>
          </w:p>
        </w:tc>
      </w:tr>
      <w:tr w:rsidR="00A052DC" w14:paraId="5F2391B6" w14:textId="77777777">
        <w:tc>
          <w:tcPr>
            <w:tcW w:w="1384" w:type="dxa"/>
            <w:noWrap/>
          </w:tcPr>
          <w:p w14:paraId="30921429" w14:textId="77777777" w:rsidR="00A052DC" w:rsidRDefault="009F0A60">
            <w:pPr>
              <w:pStyle w:val="B"/>
              <w:widowControl w:val="0"/>
              <w:rPr>
                <w:szCs w:val="20"/>
              </w:rPr>
            </w:pPr>
            <w:r>
              <w:rPr>
                <w:szCs w:val="20"/>
              </w:rPr>
              <w:t>G0107</w:t>
            </w:r>
          </w:p>
        </w:tc>
        <w:tc>
          <w:tcPr>
            <w:tcW w:w="1418" w:type="dxa"/>
          </w:tcPr>
          <w:p w14:paraId="6F1C2E33" w14:textId="77777777" w:rsidR="00A052DC" w:rsidRDefault="009F0A60">
            <w:pPr>
              <w:pStyle w:val="B"/>
              <w:widowControl w:val="0"/>
              <w:rPr>
                <w:szCs w:val="20"/>
              </w:rPr>
            </w:pPr>
            <w:r>
              <w:rPr>
                <w:rFonts w:hint="eastAsia"/>
                <w:szCs w:val="20"/>
              </w:rPr>
              <w:t>交易金额</w:t>
            </w:r>
          </w:p>
        </w:tc>
        <w:tc>
          <w:tcPr>
            <w:tcW w:w="1417" w:type="dxa"/>
            <w:noWrap/>
          </w:tcPr>
          <w:p w14:paraId="27255B68" w14:textId="77777777" w:rsidR="00A052DC" w:rsidRDefault="009F0A60">
            <w:pPr>
              <w:pStyle w:val="B"/>
              <w:widowControl w:val="0"/>
              <w:rPr>
                <w:szCs w:val="20"/>
              </w:rPr>
            </w:pPr>
            <w:r>
              <w:rPr>
                <w:szCs w:val="20"/>
              </w:rPr>
              <w:t>数值型，22.2</w:t>
            </w:r>
          </w:p>
        </w:tc>
        <w:tc>
          <w:tcPr>
            <w:tcW w:w="4253" w:type="dxa"/>
          </w:tcPr>
          <w:p w14:paraId="5F306871" w14:textId="77777777" w:rsidR="00A052DC" w:rsidRDefault="009F0A60">
            <w:pPr>
              <w:pStyle w:val="B"/>
              <w:widowControl w:val="0"/>
              <w:rPr>
                <w:szCs w:val="20"/>
              </w:rPr>
            </w:pPr>
            <w:r>
              <w:rPr>
                <w:rFonts w:hint="eastAsia"/>
                <w:szCs w:val="20"/>
              </w:rPr>
              <w:t>必填项。</w:t>
            </w:r>
          </w:p>
        </w:tc>
      </w:tr>
      <w:tr w:rsidR="00A052DC" w14:paraId="0B0D680F" w14:textId="77777777">
        <w:tc>
          <w:tcPr>
            <w:tcW w:w="1384" w:type="dxa"/>
            <w:noWrap/>
          </w:tcPr>
          <w:p w14:paraId="7299EB13" w14:textId="77777777" w:rsidR="00A052DC" w:rsidRDefault="009F0A60">
            <w:pPr>
              <w:pStyle w:val="B"/>
              <w:widowControl w:val="0"/>
              <w:rPr>
                <w:szCs w:val="20"/>
              </w:rPr>
            </w:pPr>
            <w:r>
              <w:rPr>
                <w:szCs w:val="20"/>
              </w:rPr>
              <w:t>REMARK</w:t>
            </w:r>
          </w:p>
        </w:tc>
        <w:tc>
          <w:tcPr>
            <w:tcW w:w="1418" w:type="dxa"/>
          </w:tcPr>
          <w:p w14:paraId="15DC30B1" w14:textId="77777777" w:rsidR="00A052DC" w:rsidRDefault="009F0A60">
            <w:pPr>
              <w:pStyle w:val="B"/>
              <w:widowControl w:val="0"/>
              <w:rPr>
                <w:szCs w:val="20"/>
              </w:rPr>
            </w:pPr>
            <w:r>
              <w:rPr>
                <w:rFonts w:hint="eastAsia"/>
                <w:szCs w:val="20"/>
              </w:rPr>
              <w:t>备注</w:t>
            </w:r>
          </w:p>
        </w:tc>
        <w:tc>
          <w:tcPr>
            <w:tcW w:w="1417" w:type="dxa"/>
            <w:noWrap/>
          </w:tcPr>
          <w:p w14:paraId="3B44A249" w14:textId="77777777" w:rsidR="00A052DC" w:rsidRDefault="009F0A60">
            <w:pPr>
              <w:pStyle w:val="B"/>
              <w:widowControl w:val="0"/>
              <w:rPr>
                <w:szCs w:val="20"/>
              </w:rPr>
            </w:pPr>
            <w:r>
              <w:rPr>
                <w:rFonts w:hint="eastAsia"/>
                <w:szCs w:val="20"/>
              </w:rPr>
              <w:t>字符型，</w:t>
            </w:r>
            <w:r>
              <w:rPr>
                <w:szCs w:val="20"/>
              </w:rPr>
              <w:t>512</w:t>
            </w:r>
          </w:p>
        </w:tc>
        <w:tc>
          <w:tcPr>
            <w:tcW w:w="4253" w:type="dxa"/>
          </w:tcPr>
          <w:p w14:paraId="531295E6" w14:textId="77777777" w:rsidR="00A052DC" w:rsidRDefault="009F0A60">
            <w:pPr>
              <w:pStyle w:val="B"/>
              <w:widowControl w:val="0"/>
              <w:rPr>
                <w:szCs w:val="20"/>
              </w:rPr>
            </w:pPr>
            <w:r>
              <w:rPr>
                <w:rFonts w:hint="eastAsia"/>
                <w:szCs w:val="20"/>
              </w:rPr>
              <w:t>当</w:t>
            </w:r>
            <w:r>
              <w:rPr>
                <w:szCs w:val="20"/>
              </w:rPr>
              <w:t>G0107（交易金额）为负数</w:t>
            </w:r>
            <w:r>
              <w:rPr>
                <w:rFonts w:hint="eastAsia"/>
                <w:szCs w:val="20"/>
              </w:rPr>
              <w:t>时为必填项。</w:t>
            </w:r>
          </w:p>
        </w:tc>
      </w:tr>
    </w:tbl>
    <w:p w14:paraId="1C5DB036" w14:textId="77777777" w:rsidR="00A052DC" w:rsidRDefault="00A052DC"/>
    <w:p w14:paraId="513DDA43" w14:textId="77777777" w:rsidR="00A052DC" w:rsidRDefault="009F0A60" w:rsidP="0020251D">
      <w:pPr>
        <w:pStyle w:val="3"/>
        <w:ind w:left="0"/>
        <w:rPr>
          <w:rFonts w:ascii="Times New Roman" w:hAnsi="Times New Roman"/>
        </w:rPr>
      </w:pPr>
      <w:bookmarkStart w:id="3629" w:name="_Toc454391450"/>
      <w:bookmarkStart w:id="3630" w:name="_Toc91455333"/>
      <w:bookmarkStart w:id="3631" w:name="_Toc380571001"/>
      <w:bookmarkStart w:id="3632" w:name="_Toc380356303"/>
      <w:bookmarkStart w:id="3633" w:name="_Toc101684506"/>
      <w:r>
        <w:rPr>
          <w:rFonts w:ascii="Times New Roman" w:hAnsi="Times New Roman"/>
        </w:rPr>
        <w:t>G02</w:t>
      </w:r>
      <w:r>
        <w:rPr>
          <w:rFonts w:ascii="Times New Roman" w:hAnsi="Times New Roman" w:hint="eastAsia"/>
        </w:rPr>
        <w:t>表</w:t>
      </w:r>
      <w:bookmarkStart w:id="3634" w:name="_Toc372634074"/>
      <w:r>
        <w:rPr>
          <w:rFonts w:ascii="Times New Roman" w:hAnsi="Times New Roman" w:hint="eastAsia"/>
        </w:rPr>
        <w:t>：境外银行卡境内消费提现</w:t>
      </w:r>
      <w:bookmarkEnd w:id="3629"/>
      <w:bookmarkEnd w:id="3630"/>
      <w:bookmarkEnd w:id="3631"/>
      <w:bookmarkEnd w:id="3632"/>
      <w:bookmarkEnd w:id="3633"/>
      <w:bookmarkEnd w:id="3634"/>
    </w:p>
    <w:p w14:paraId="4CEB2397" w14:textId="77777777" w:rsidR="00A052DC" w:rsidRDefault="009F0A60" w:rsidP="0020251D">
      <w:pPr>
        <w:pStyle w:val="4"/>
        <w:numPr>
          <w:ilvl w:val="3"/>
          <w:numId w:val="1"/>
        </w:numPr>
        <w:jc w:val="left"/>
      </w:pPr>
      <w:bookmarkStart w:id="3635" w:name="_Toc380571002"/>
      <w:bookmarkStart w:id="3636" w:name="_Toc454391451"/>
      <w:r>
        <w:rPr>
          <w:rFonts w:hint="eastAsia"/>
        </w:rPr>
        <w:t>数据术语解释</w:t>
      </w:r>
      <w:bookmarkEnd w:id="3635"/>
      <w:bookmarkEnd w:id="3636"/>
    </w:p>
    <w:p w14:paraId="73C13D3B" w14:textId="77777777" w:rsidR="00A052DC" w:rsidRDefault="00A052DC">
      <w:pPr>
        <w:spacing w:line="240" w:lineRule="exact"/>
        <w:rPr>
          <w:sz w:val="18"/>
        </w:rPr>
      </w:pPr>
    </w:p>
    <w:tbl>
      <w:tblPr>
        <w:tblW w:w="8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4"/>
        <w:gridCol w:w="6547"/>
      </w:tblGrid>
      <w:tr w:rsidR="00A052DC" w14:paraId="5164834D" w14:textId="77777777">
        <w:trPr>
          <w:cantSplit/>
          <w:jc w:val="center"/>
        </w:trPr>
        <w:tc>
          <w:tcPr>
            <w:tcW w:w="1644" w:type="dxa"/>
            <w:noWrap/>
          </w:tcPr>
          <w:p w14:paraId="5756F76B" w14:textId="77777777" w:rsidR="00A052DC" w:rsidRDefault="009F0A60">
            <w:pPr>
              <w:pStyle w:val="B1"/>
            </w:pPr>
            <w:r>
              <w:rPr>
                <w:rFonts w:hint="eastAsia"/>
              </w:rPr>
              <w:t>基础数据项</w:t>
            </w:r>
          </w:p>
        </w:tc>
        <w:tc>
          <w:tcPr>
            <w:tcW w:w="6547" w:type="dxa"/>
            <w:noWrap/>
          </w:tcPr>
          <w:p w14:paraId="3E5EAECB" w14:textId="77777777" w:rsidR="00A052DC" w:rsidRDefault="009F0A60">
            <w:pPr>
              <w:pStyle w:val="B1"/>
            </w:pPr>
            <w:r>
              <w:rPr>
                <w:rFonts w:hint="eastAsia"/>
              </w:rPr>
              <w:t>定义</w:t>
            </w:r>
          </w:p>
        </w:tc>
      </w:tr>
      <w:tr w:rsidR="00A052DC" w14:paraId="26071A6B" w14:textId="77777777">
        <w:trPr>
          <w:cantSplit/>
          <w:jc w:val="center"/>
        </w:trPr>
        <w:tc>
          <w:tcPr>
            <w:tcW w:w="1644" w:type="dxa"/>
          </w:tcPr>
          <w:p w14:paraId="180E0DD9" w14:textId="77777777" w:rsidR="00A052DC" w:rsidRDefault="009F0A60">
            <w:pPr>
              <w:pStyle w:val="B"/>
              <w:rPr>
                <w:szCs w:val="20"/>
              </w:rPr>
            </w:pPr>
            <w:r>
              <w:rPr>
                <w:rFonts w:hint="eastAsia"/>
                <w:szCs w:val="20"/>
              </w:rPr>
              <w:t>数据自编码</w:t>
            </w:r>
          </w:p>
        </w:tc>
        <w:tc>
          <w:tcPr>
            <w:tcW w:w="6547" w:type="dxa"/>
            <w:noWrap/>
          </w:tcPr>
          <w:p w14:paraId="6E35EE62" w14:textId="77777777" w:rsidR="00A052DC" w:rsidRDefault="009F0A60">
            <w:pPr>
              <w:pStyle w:val="B"/>
              <w:rPr>
                <w:szCs w:val="20"/>
              </w:rPr>
            </w:pPr>
            <w:r>
              <w:rPr>
                <w:rFonts w:hint="eastAsia"/>
                <w:szCs w:val="20"/>
              </w:rPr>
              <w:t>该编码用于标识金融机构报送的每一条数据，按给定规则编码，便于进行增删改查等操作。建议规则：机构代码（18位，不足18位补</w:t>
            </w:r>
            <w:r>
              <w:rPr>
                <w:szCs w:val="20"/>
              </w:rPr>
              <w:t>a</w:t>
            </w:r>
            <w:r>
              <w:rPr>
                <w:rFonts w:hint="eastAsia"/>
                <w:szCs w:val="20"/>
              </w:rPr>
              <w:t>）</w:t>
            </w:r>
            <w:r>
              <w:rPr>
                <w:szCs w:val="20"/>
              </w:rPr>
              <w:t>+</w:t>
            </w:r>
            <w:r>
              <w:rPr>
                <w:rFonts w:hint="eastAsia"/>
                <w:szCs w:val="20"/>
              </w:rPr>
              <w:t>报表代码（</w:t>
            </w:r>
            <w:r>
              <w:rPr>
                <w:szCs w:val="20"/>
              </w:rPr>
              <w:t>5</w:t>
            </w:r>
            <w:r>
              <w:rPr>
                <w:rFonts w:hint="eastAsia"/>
                <w:szCs w:val="20"/>
              </w:rPr>
              <w:t>位，不足</w:t>
            </w:r>
            <w:r>
              <w:rPr>
                <w:szCs w:val="20"/>
              </w:rPr>
              <w:t>5</w:t>
            </w:r>
            <w:r>
              <w:rPr>
                <w:rFonts w:hint="eastAsia"/>
                <w:szCs w:val="20"/>
              </w:rPr>
              <w:t>位补</w:t>
            </w:r>
            <w:r>
              <w:rPr>
                <w:szCs w:val="20"/>
              </w:rPr>
              <w:t>a</w:t>
            </w:r>
            <w:r>
              <w:rPr>
                <w:rFonts w:hint="eastAsia"/>
                <w:szCs w:val="20"/>
              </w:rPr>
              <w:t>）</w:t>
            </w:r>
            <w:r>
              <w:rPr>
                <w:szCs w:val="20"/>
              </w:rPr>
              <w:t>+</w:t>
            </w:r>
            <w:r>
              <w:rPr>
                <w:rFonts w:hint="eastAsia"/>
                <w:szCs w:val="20"/>
              </w:rPr>
              <w:t>报送期（</w:t>
            </w:r>
            <w:r>
              <w:rPr>
                <w:szCs w:val="20"/>
              </w:rPr>
              <w:t>6</w:t>
            </w:r>
            <w:r>
              <w:rPr>
                <w:rFonts w:hint="eastAsia"/>
                <w:szCs w:val="20"/>
              </w:rPr>
              <w:t>位）</w:t>
            </w:r>
            <w:r>
              <w:rPr>
                <w:szCs w:val="20"/>
              </w:rPr>
              <w:t>+</w:t>
            </w:r>
            <w:r>
              <w:rPr>
                <w:rFonts w:hint="eastAsia"/>
                <w:szCs w:val="20"/>
              </w:rPr>
              <w:t>顺序号（</w:t>
            </w:r>
            <w:r>
              <w:rPr>
                <w:szCs w:val="20"/>
              </w:rPr>
              <w:t>7</w:t>
            </w:r>
            <w:r>
              <w:rPr>
                <w:rFonts w:hint="eastAsia"/>
                <w:szCs w:val="20"/>
              </w:rPr>
              <w:t>位，从</w:t>
            </w:r>
            <w:r>
              <w:rPr>
                <w:szCs w:val="20"/>
              </w:rPr>
              <w:t>0000001</w:t>
            </w:r>
            <w:r>
              <w:rPr>
                <w:rFonts w:hint="eastAsia"/>
                <w:szCs w:val="20"/>
              </w:rPr>
              <w:t>开始增加）。</w:t>
            </w:r>
          </w:p>
        </w:tc>
      </w:tr>
      <w:tr w:rsidR="00A052DC" w14:paraId="739AB3D7" w14:textId="77777777">
        <w:trPr>
          <w:cantSplit/>
          <w:jc w:val="center"/>
        </w:trPr>
        <w:tc>
          <w:tcPr>
            <w:tcW w:w="1644" w:type="dxa"/>
          </w:tcPr>
          <w:p w14:paraId="798D353D" w14:textId="77777777" w:rsidR="00A052DC" w:rsidRDefault="009F0A60">
            <w:pPr>
              <w:pStyle w:val="B"/>
              <w:rPr>
                <w:szCs w:val="20"/>
              </w:rPr>
            </w:pPr>
            <w:r>
              <w:rPr>
                <w:rFonts w:hint="eastAsia"/>
                <w:szCs w:val="20"/>
              </w:rPr>
              <w:t>申报主体代码</w:t>
            </w:r>
          </w:p>
        </w:tc>
        <w:tc>
          <w:tcPr>
            <w:tcW w:w="6547" w:type="dxa"/>
            <w:noWrap/>
          </w:tcPr>
          <w:p w14:paraId="3940521B" w14:textId="77777777" w:rsidR="00A052DC" w:rsidRDefault="009F0A60">
            <w:pPr>
              <w:pStyle w:val="B"/>
              <w:rPr>
                <w:szCs w:val="20"/>
              </w:rPr>
            </w:pPr>
            <w:r>
              <w:rPr>
                <w:rFonts w:hint="eastAsia"/>
                <w:szCs w:val="20"/>
              </w:rPr>
              <w:t>申报主体的12位金融机构标识码，如果没有金融机构标识码，则填报统一社会信用代码法定载体（如营业执照）上统一社会信用代码中的第9至17位或国家外汇管理局及其分支局签发的特殊机构代码赋码通知书上的机构代码、个人身份代码。</w:t>
            </w:r>
          </w:p>
        </w:tc>
      </w:tr>
      <w:tr w:rsidR="00A052DC" w14:paraId="37F5A4F0" w14:textId="77777777">
        <w:trPr>
          <w:cantSplit/>
          <w:jc w:val="center"/>
        </w:trPr>
        <w:tc>
          <w:tcPr>
            <w:tcW w:w="1644" w:type="dxa"/>
          </w:tcPr>
          <w:p w14:paraId="10F23DBD" w14:textId="77777777" w:rsidR="00A052DC" w:rsidRDefault="009F0A60">
            <w:pPr>
              <w:pStyle w:val="B"/>
              <w:rPr>
                <w:szCs w:val="20"/>
              </w:rPr>
            </w:pPr>
            <w:r>
              <w:rPr>
                <w:rFonts w:hint="eastAsia"/>
                <w:szCs w:val="20"/>
              </w:rPr>
              <w:t>报告期</w:t>
            </w:r>
          </w:p>
        </w:tc>
        <w:tc>
          <w:tcPr>
            <w:tcW w:w="6547" w:type="dxa"/>
            <w:noWrap/>
          </w:tcPr>
          <w:p w14:paraId="38372E3D" w14:textId="77777777" w:rsidR="00A052DC" w:rsidRDefault="009F0A60">
            <w:pPr>
              <w:pStyle w:val="B"/>
              <w:rPr>
                <w:szCs w:val="20"/>
              </w:rPr>
            </w:pPr>
            <w:r>
              <w:rPr>
                <w:rFonts w:hint="eastAsia"/>
                <w:szCs w:val="20"/>
              </w:rPr>
              <w:t>业务发生月份，格式为</w:t>
            </w:r>
            <w:r>
              <w:rPr>
                <w:szCs w:val="20"/>
              </w:rPr>
              <w:t>YYYYMM</w:t>
            </w:r>
            <w:r>
              <w:rPr>
                <w:rFonts w:hint="eastAsia"/>
                <w:szCs w:val="20"/>
              </w:rPr>
              <w:t>。</w:t>
            </w:r>
          </w:p>
        </w:tc>
      </w:tr>
      <w:tr w:rsidR="00A052DC" w14:paraId="27AEC6D9" w14:textId="77777777">
        <w:trPr>
          <w:cantSplit/>
          <w:jc w:val="center"/>
        </w:trPr>
        <w:tc>
          <w:tcPr>
            <w:tcW w:w="1644" w:type="dxa"/>
          </w:tcPr>
          <w:p w14:paraId="65C56FAA" w14:textId="77777777" w:rsidR="00A052DC" w:rsidRDefault="009F0A60">
            <w:pPr>
              <w:pStyle w:val="B"/>
              <w:rPr>
                <w:szCs w:val="20"/>
              </w:rPr>
            </w:pPr>
            <w:r>
              <w:rPr>
                <w:rFonts w:hint="eastAsia"/>
                <w:szCs w:val="20"/>
              </w:rPr>
              <w:t>银行卡清算渠道</w:t>
            </w:r>
          </w:p>
        </w:tc>
        <w:tc>
          <w:tcPr>
            <w:tcW w:w="6547" w:type="dxa"/>
            <w:noWrap/>
          </w:tcPr>
          <w:p w14:paraId="6259BCD9" w14:textId="77777777" w:rsidR="00A052DC" w:rsidRDefault="009F0A60">
            <w:pPr>
              <w:pStyle w:val="B"/>
              <w:rPr>
                <w:szCs w:val="20"/>
              </w:rPr>
            </w:pPr>
            <w:r>
              <w:rPr>
                <w:rFonts w:hint="eastAsia"/>
              </w:rPr>
              <w:t>是指银行卡所使用的卡组织清算渠道或其他清算渠道，请按以下序号填列：</w:t>
            </w:r>
            <w:r>
              <w:t>1-</w:t>
            </w:r>
            <w:r>
              <w:rPr>
                <w:rFonts w:hint="eastAsia"/>
              </w:rPr>
              <w:t>银联；</w:t>
            </w:r>
            <w:r>
              <w:t>2-</w:t>
            </w:r>
            <w:r>
              <w:rPr>
                <w:rFonts w:hint="eastAsia"/>
              </w:rPr>
              <w:t>威士（</w:t>
            </w:r>
            <w:r>
              <w:t>Visa</w:t>
            </w:r>
            <w:r>
              <w:rPr>
                <w:rFonts w:hint="eastAsia"/>
              </w:rPr>
              <w:t>）；</w:t>
            </w:r>
            <w:r>
              <w:t>3-</w:t>
            </w:r>
            <w:r>
              <w:rPr>
                <w:rFonts w:hint="eastAsia"/>
              </w:rPr>
              <w:t>万事达（</w:t>
            </w:r>
            <w:r>
              <w:t>Mastercard</w:t>
            </w:r>
            <w:r>
              <w:rPr>
                <w:rFonts w:hint="eastAsia"/>
              </w:rPr>
              <w:t>）；</w:t>
            </w:r>
            <w:r>
              <w:t>4-</w:t>
            </w:r>
            <w:r>
              <w:rPr>
                <w:rFonts w:hint="eastAsia"/>
              </w:rPr>
              <w:t>美国运通（</w:t>
            </w:r>
            <w:r>
              <w:t>AMERICAN EXPRESS</w:t>
            </w:r>
            <w:r>
              <w:rPr>
                <w:rFonts w:hint="eastAsia"/>
              </w:rPr>
              <w:t>）；</w:t>
            </w:r>
            <w:r>
              <w:t>5-</w:t>
            </w:r>
            <w:r>
              <w:rPr>
                <w:rFonts w:hint="eastAsia"/>
              </w:rPr>
              <w:t>大来（</w:t>
            </w:r>
            <w:r>
              <w:t>DINERS CLUB</w:t>
            </w:r>
            <w:r>
              <w:rPr>
                <w:rFonts w:hint="eastAsia"/>
              </w:rPr>
              <w:t>）；</w:t>
            </w:r>
            <w:r>
              <w:t>6-</w:t>
            </w:r>
            <w:r>
              <w:rPr>
                <w:rFonts w:hint="eastAsia"/>
              </w:rPr>
              <w:t>吉士美（</w:t>
            </w:r>
            <w:r>
              <w:t>JCB</w:t>
            </w:r>
            <w:r>
              <w:rPr>
                <w:rFonts w:hint="eastAsia"/>
              </w:rPr>
              <w:t>）；</w:t>
            </w:r>
            <w:r>
              <w:t>7-</w:t>
            </w:r>
            <w:r>
              <w:rPr>
                <w:rFonts w:hint="eastAsia"/>
              </w:rPr>
              <w:t>本行清算；</w:t>
            </w:r>
            <w:r>
              <w:t>8-</w:t>
            </w:r>
            <w:r>
              <w:rPr>
                <w:rFonts w:hint="eastAsia"/>
              </w:rPr>
              <w:t>其他。其中，通过</w:t>
            </w:r>
            <w:r>
              <w:t>1-</w:t>
            </w:r>
            <w:r>
              <w:rPr>
                <w:rFonts w:hint="eastAsia"/>
              </w:rPr>
              <w:t>银联渠道清算以及由其代境内银行收单的资金由中国银联统一填报，</w:t>
            </w:r>
            <w:r>
              <w:rPr>
                <w:rFonts w:hint="eastAsia"/>
                <w:szCs w:val="20"/>
              </w:rPr>
              <w:t>4-美国运通（AMERICANEXPRESS）渠道下通过连通（杭州）技术服务有限公司清算的资金由连通公司统一填报，</w:t>
            </w:r>
            <w:r>
              <w:rPr>
                <w:rFonts w:hint="eastAsia"/>
              </w:rPr>
              <w:t>境内其他收单机构不需填报。境内其他收单机构仅需填写除银联</w:t>
            </w:r>
            <w:r>
              <w:rPr>
                <w:rFonts w:hint="eastAsia"/>
                <w:szCs w:val="20"/>
              </w:rPr>
              <w:t>和连通公司</w:t>
            </w:r>
            <w:r>
              <w:rPr>
                <w:rFonts w:hint="eastAsia"/>
              </w:rPr>
              <w:t>清算或收单以外的其他渠道的数据。</w:t>
            </w:r>
          </w:p>
        </w:tc>
      </w:tr>
      <w:tr w:rsidR="00A052DC" w14:paraId="25C6BD47" w14:textId="77777777">
        <w:trPr>
          <w:cantSplit/>
          <w:jc w:val="center"/>
        </w:trPr>
        <w:tc>
          <w:tcPr>
            <w:tcW w:w="1644" w:type="dxa"/>
          </w:tcPr>
          <w:p w14:paraId="770F2987" w14:textId="77777777" w:rsidR="00A052DC" w:rsidRDefault="009F0A60">
            <w:pPr>
              <w:pStyle w:val="B"/>
              <w:rPr>
                <w:szCs w:val="20"/>
              </w:rPr>
            </w:pPr>
            <w:r>
              <w:rPr>
                <w:rFonts w:hint="eastAsia"/>
                <w:szCs w:val="20"/>
              </w:rPr>
              <w:t>交易类型</w:t>
            </w:r>
          </w:p>
        </w:tc>
        <w:tc>
          <w:tcPr>
            <w:tcW w:w="6547" w:type="dxa"/>
            <w:noWrap/>
          </w:tcPr>
          <w:p w14:paraId="1BB910D0" w14:textId="77777777" w:rsidR="00A052DC" w:rsidRDefault="009F0A60">
            <w:pPr>
              <w:pStyle w:val="B"/>
              <w:rPr>
                <w:szCs w:val="20"/>
              </w:rPr>
            </w:pPr>
            <w:r>
              <w:rPr>
                <w:rFonts w:hint="eastAsia"/>
                <w:szCs w:val="20"/>
              </w:rPr>
              <w:t>按照商户类别或境内提现情况选择，</w:t>
            </w:r>
            <w:r>
              <w:rPr>
                <w:szCs w:val="20"/>
              </w:rPr>
              <w:t>1-</w:t>
            </w:r>
            <w:r>
              <w:rPr>
                <w:rFonts w:hint="eastAsia"/>
                <w:szCs w:val="20"/>
              </w:rPr>
              <w:t>购物；</w:t>
            </w:r>
            <w:r>
              <w:rPr>
                <w:szCs w:val="20"/>
              </w:rPr>
              <w:t>2-</w:t>
            </w:r>
            <w:r>
              <w:rPr>
                <w:rFonts w:hint="eastAsia"/>
                <w:szCs w:val="20"/>
              </w:rPr>
              <w:t>住宿；</w:t>
            </w:r>
            <w:r>
              <w:rPr>
                <w:szCs w:val="20"/>
              </w:rPr>
              <w:t>3-</w:t>
            </w:r>
            <w:r>
              <w:rPr>
                <w:rFonts w:hint="eastAsia"/>
                <w:szCs w:val="20"/>
              </w:rPr>
              <w:t>餐饮；</w:t>
            </w:r>
            <w:r>
              <w:rPr>
                <w:szCs w:val="20"/>
              </w:rPr>
              <w:t>4-</w:t>
            </w:r>
            <w:r>
              <w:rPr>
                <w:rFonts w:hint="eastAsia"/>
                <w:szCs w:val="20"/>
              </w:rPr>
              <w:t>当地交通；</w:t>
            </w:r>
            <w:r>
              <w:rPr>
                <w:szCs w:val="20"/>
              </w:rPr>
              <w:t>5-</w:t>
            </w:r>
            <w:r>
              <w:rPr>
                <w:rFonts w:hint="eastAsia"/>
                <w:szCs w:val="20"/>
              </w:rPr>
              <w:t>教育留学；</w:t>
            </w:r>
            <w:r>
              <w:rPr>
                <w:szCs w:val="20"/>
              </w:rPr>
              <w:t>6-</w:t>
            </w:r>
            <w:r>
              <w:rPr>
                <w:rFonts w:hint="eastAsia"/>
                <w:szCs w:val="20"/>
              </w:rPr>
              <w:t>其他服务；</w:t>
            </w:r>
            <w:r>
              <w:rPr>
                <w:szCs w:val="20"/>
              </w:rPr>
              <w:t>7-</w:t>
            </w:r>
            <w:r>
              <w:rPr>
                <w:rFonts w:hint="eastAsia"/>
                <w:szCs w:val="20"/>
              </w:rPr>
              <w:t>提现；8-医疗保健。见涉外银行卡商户分类码分类标准代码表中的商户类别码进行归类。如有未涵盖的商户类别码，请根据具体情况进行归类。</w:t>
            </w:r>
          </w:p>
        </w:tc>
      </w:tr>
      <w:tr w:rsidR="00A052DC" w14:paraId="7BAFFD51" w14:textId="77777777">
        <w:trPr>
          <w:cantSplit/>
          <w:jc w:val="center"/>
        </w:trPr>
        <w:tc>
          <w:tcPr>
            <w:tcW w:w="1644" w:type="dxa"/>
          </w:tcPr>
          <w:p w14:paraId="54580BBB" w14:textId="77777777" w:rsidR="00A052DC" w:rsidRDefault="009F0A60">
            <w:pPr>
              <w:pStyle w:val="B"/>
              <w:rPr>
                <w:szCs w:val="20"/>
              </w:rPr>
            </w:pPr>
            <w:r>
              <w:rPr>
                <w:rFonts w:hint="eastAsia"/>
                <w:szCs w:val="20"/>
              </w:rPr>
              <w:t>交易方式</w:t>
            </w:r>
          </w:p>
        </w:tc>
        <w:tc>
          <w:tcPr>
            <w:tcW w:w="6547" w:type="dxa"/>
            <w:noWrap/>
          </w:tcPr>
          <w:p w14:paraId="50C6F4F3" w14:textId="77777777" w:rsidR="00A052DC" w:rsidRDefault="009F0A60">
            <w:pPr>
              <w:pStyle w:val="B"/>
              <w:rPr>
                <w:szCs w:val="20"/>
              </w:rPr>
            </w:pPr>
            <w:r>
              <w:rPr>
                <w:szCs w:val="20"/>
              </w:rPr>
              <w:t>交易</w:t>
            </w:r>
            <w:r>
              <w:rPr>
                <w:rFonts w:hint="eastAsia"/>
                <w:szCs w:val="20"/>
              </w:rPr>
              <w:t>方式</w:t>
            </w:r>
            <w:r>
              <w:rPr>
                <w:szCs w:val="20"/>
              </w:rPr>
              <w:t>：</w:t>
            </w:r>
            <w:r>
              <w:rPr>
                <w:rFonts w:hint="eastAsia"/>
                <w:szCs w:val="20"/>
              </w:rPr>
              <w:t>请选择1-线下；2-线上。其中，</w:t>
            </w:r>
            <w:r>
              <w:t>“线下”是指通过POS</w:t>
            </w:r>
            <w:r>
              <w:rPr>
                <w:rFonts w:hint="eastAsia"/>
                <w:szCs w:val="20"/>
              </w:rPr>
              <w:t>机、</w:t>
            </w:r>
            <w:r>
              <w:t>ATM机</w:t>
            </w:r>
            <w:r>
              <w:rPr>
                <w:rFonts w:hint="eastAsia"/>
                <w:szCs w:val="20"/>
              </w:rPr>
              <w:t>和银行柜台</w:t>
            </w:r>
            <w:r>
              <w:rPr>
                <w:rFonts w:hint="eastAsia"/>
              </w:rPr>
              <w:t>进行的交易；其他均归为“线上”</w:t>
            </w:r>
            <w:r>
              <w:rPr>
                <w:rFonts w:hint="eastAsia"/>
                <w:szCs w:val="20"/>
              </w:rPr>
              <w:t>。</w:t>
            </w:r>
          </w:p>
        </w:tc>
      </w:tr>
      <w:tr w:rsidR="00A052DC" w14:paraId="0C0DBD71" w14:textId="77777777">
        <w:trPr>
          <w:cantSplit/>
          <w:jc w:val="center"/>
        </w:trPr>
        <w:tc>
          <w:tcPr>
            <w:tcW w:w="1644" w:type="dxa"/>
          </w:tcPr>
          <w:p w14:paraId="299613F9" w14:textId="77777777" w:rsidR="00A052DC" w:rsidRDefault="009F0A60">
            <w:pPr>
              <w:pStyle w:val="B"/>
              <w:rPr>
                <w:szCs w:val="20"/>
              </w:rPr>
            </w:pPr>
            <w:r>
              <w:rPr>
                <w:rFonts w:hint="eastAsia"/>
                <w:szCs w:val="20"/>
              </w:rPr>
              <w:t>发卡行所属国家</w:t>
            </w:r>
            <w:r>
              <w:rPr>
                <w:szCs w:val="20"/>
              </w:rPr>
              <w:t>/</w:t>
            </w:r>
            <w:r>
              <w:rPr>
                <w:rFonts w:hint="eastAsia"/>
                <w:szCs w:val="20"/>
              </w:rPr>
              <w:t>地区</w:t>
            </w:r>
          </w:p>
        </w:tc>
        <w:tc>
          <w:tcPr>
            <w:tcW w:w="6547" w:type="dxa"/>
            <w:noWrap/>
          </w:tcPr>
          <w:p w14:paraId="7D89018F" w14:textId="77777777" w:rsidR="00A052DC" w:rsidRDefault="009F0A60">
            <w:pPr>
              <w:pStyle w:val="B"/>
              <w:rPr>
                <w:szCs w:val="20"/>
              </w:rPr>
            </w:pPr>
            <w:r>
              <w:rPr>
                <w:rFonts w:hint="eastAsia"/>
                <w:szCs w:val="20"/>
              </w:rPr>
              <w:t>见国家和地区代码表，发卡行国家</w:t>
            </w:r>
            <w:r>
              <w:rPr>
                <w:szCs w:val="20"/>
              </w:rPr>
              <w:t>/</w:t>
            </w:r>
            <w:r>
              <w:rPr>
                <w:rFonts w:hint="eastAsia"/>
                <w:szCs w:val="20"/>
              </w:rPr>
              <w:t>地区是指境外发卡行的注册或常驻国家</w:t>
            </w:r>
            <w:r>
              <w:rPr>
                <w:szCs w:val="20"/>
              </w:rPr>
              <w:t>/</w:t>
            </w:r>
            <w:r>
              <w:rPr>
                <w:rFonts w:hint="eastAsia"/>
                <w:szCs w:val="20"/>
              </w:rPr>
              <w:t>地区。如发卡行常驻国家</w:t>
            </w:r>
            <w:r>
              <w:rPr>
                <w:szCs w:val="20"/>
              </w:rPr>
              <w:t>/</w:t>
            </w:r>
            <w:r>
              <w:rPr>
                <w:rFonts w:hint="eastAsia"/>
                <w:szCs w:val="20"/>
              </w:rPr>
              <w:t>地区为</w:t>
            </w:r>
            <w:r>
              <w:rPr>
                <w:rFonts w:ascii="宋体" w:hAnsi="宋体" w:hint="eastAsia"/>
                <w:color w:val="000000"/>
              </w:rPr>
              <w:t>中国香港、中国澳门和中国台湾，应分别填列中国香港、中国澳门和中国台湾。</w:t>
            </w:r>
          </w:p>
        </w:tc>
      </w:tr>
      <w:tr w:rsidR="00A052DC" w14:paraId="42C05641" w14:textId="77777777">
        <w:trPr>
          <w:cantSplit/>
          <w:jc w:val="center"/>
        </w:trPr>
        <w:tc>
          <w:tcPr>
            <w:tcW w:w="1644" w:type="dxa"/>
          </w:tcPr>
          <w:p w14:paraId="06296083" w14:textId="77777777" w:rsidR="00A052DC" w:rsidRDefault="009F0A60">
            <w:pPr>
              <w:pStyle w:val="B"/>
              <w:rPr>
                <w:szCs w:val="20"/>
              </w:rPr>
            </w:pPr>
            <w:r>
              <w:rPr>
                <w:rFonts w:hint="eastAsia"/>
                <w:szCs w:val="20"/>
              </w:rPr>
              <w:t>交易原币</w:t>
            </w:r>
          </w:p>
        </w:tc>
        <w:tc>
          <w:tcPr>
            <w:tcW w:w="6547" w:type="dxa"/>
            <w:noWrap/>
          </w:tcPr>
          <w:p w14:paraId="7C682780" w14:textId="77777777" w:rsidR="00A052DC" w:rsidRDefault="009F0A60">
            <w:pPr>
              <w:pStyle w:val="B"/>
              <w:rPr>
                <w:szCs w:val="20"/>
              </w:rPr>
            </w:pPr>
            <w:r>
              <w:rPr>
                <w:rFonts w:hint="eastAsia"/>
                <w:szCs w:val="20"/>
              </w:rPr>
              <w:t>见币种代码表，指境外卡持卡人在境内消费或提现的原始币种。</w:t>
            </w:r>
          </w:p>
        </w:tc>
      </w:tr>
      <w:tr w:rsidR="00A052DC" w14:paraId="1FEF9CAE" w14:textId="77777777">
        <w:trPr>
          <w:cantSplit/>
          <w:jc w:val="center"/>
        </w:trPr>
        <w:tc>
          <w:tcPr>
            <w:tcW w:w="1644" w:type="dxa"/>
          </w:tcPr>
          <w:p w14:paraId="67B9E616" w14:textId="77777777" w:rsidR="00A052DC" w:rsidRDefault="009F0A60">
            <w:pPr>
              <w:pStyle w:val="B"/>
              <w:rPr>
                <w:szCs w:val="20"/>
              </w:rPr>
            </w:pPr>
            <w:r>
              <w:rPr>
                <w:rFonts w:hint="eastAsia"/>
                <w:szCs w:val="20"/>
              </w:rPr>
              <w:t>交易金额</w:t>
            </w:r>
          </w:p>
        </w:tc>
        <w:tc>
          <w:tcPr>
            <w:tcW w:w="6547" w:type="dxa"/>
            <w:noWrap/>
          </w:tcPr>
          <w:p w14:paraId="61BCB81A" w14:textId="77777777" w:rsidR="00A052DC" w:rsidRDefault="009F0A60">
            <w:pPr>
              <w:pStyle w:val="B"/>
              <w:rPr>
                <w:szCs w:val="20"/>
              </w:rPr>
            </w:pPr>
            <w:r>
              <w:rPr>
                <w:rFonts w:hint="eastAsia"/>
                <w:szCs w:val="20"/>
              </w:rPr>
              <w:t>指境外卡持卡人在境内消费或提现的金额。</w:t>
            </w:r>
          </w:p>
        </w:tc>
      </w:tr>
      <w:tr w:rsidR="00A052DC" w14:paraId="2EADC6A0" w14:textId="77777777">
        <w:trPr>
          <w:cantSplit/>
          <w:jc w:val="center"/>
        </w:trPr>
        <w:tc>
          <w:tcPr>
            <w:tcW w:w="1644" w:type="dxa"/>
          </w:tcPr>
          <w:p w14:paraId="465A93E1" w14:textId="77777777" w:rsidR="00A052DC" w:rsidRDefault="009F0A60">
            <w:pPr>
              <w:pStyle w:val="B"/>
              <w:rPr>
                <w:szCs w:val="20"/>
              </w:rPr>
            </w:pPr>
            <w:r>
              <w:rPr>
                <w:rFonts w:hint="eastAsia"/>
                <w:szCs w:val="20"/>
              </w:rPr>
              <w:t>备注</w:t>
            </w:r>
          </w:p>
        </w:tc>
        <w:tc>
          <w:tcPr>
            <w:tcW w:w="6547" w:type="dxa"/>
            <w:noWrap/>
          </w:tcPr>
          <w:p w14:paraId="1BE80252" w14:textId="77777777" w:rsidR="00A052DC" w:rsidRDefault="009F0A60">
            <w:pPr>
              <w:pStyle w:val="B"/>
              <w:rPr>
                <w:szCs w:val="20"/>
              </w:rPr>
            </w:pPr>
            <w:r>
              <w:rPr>
                <w:rFonts w:hint="eastAsia"/>
                <w:szCs w:val="20"/>
              </w:rPr>
              <w:t>填报本表时需特别说明的情况。</w:t>
            </w:r>
          </w:p>
        </w:tc>
      </w:tr>
    </w:tbl>
    <w:p w14:paraId="5BA9C2DD" w14:textId="77777777" w:rsidR="00A052DC" w:rsidRDefault="00A052DC"/>
    <w:p w14:paraId="1AA570DA" w14:textId="77777777" w:rsidR="00A052DC" w:rsidRDefault="009F0A60" w:rsidP="0020251D">
      <w:pPr>
        <w:pStyle w:val="4"/>
        <w:numPr>
          <w:ilvl w:val="3"/>
          <w:numId w:val="1"/>
        </w:numPr>
        <w:jc w:val="left"/>
      </w:pPr>
      <w:bookmarkStart w:id="3637" w:name="_Toc454391452"/>
      <w:bookmarkStart w:id="3638" w:name="_Toc380571003"/>
      <w:bookmarkStart w:id="3639" w:name="_Toc454391453"/>
      <w:bookmarkEnd w:id="3637"/>
      <w:r>
        <w:rPr>
          <w:rFonts w:hint="eastAsia"/>
        </w:rPr>
        <w:t>数据格式</w:t>
      </w:r>
      <w:bookmarkEnd w:id="3638"/>
      <w:bookmarkEnd w:id="3639"/>
    </w:p>
    <w:p w14:paraId="57E7297F" w14:textId="77777777" w:rsidR="00A052DC" w:rsidRDefault="009F0A60">
      <w:pPr>
        <w:ind w:firstLine="426"/>
      </w:pPr>
      <w:r>
        <w:t>&lt;REC&gt;</w:t>
      </w:r>
    </w:p>
    <w:p w14:paraId="5A2FBFDB" w14:textId="77777777" w:rsidR="00A052DC" w:rsidRDefault="009F0A60">
      <w:pPr>
        <w:ind w:firstLine="426"/>
      </w:pPr>
      <w:r>
        <w:t>&lt;ACTIONTYPE&gt;</w:t>
      </w:r>
      <w:r>
        <w:rPr>
          <w:rFonts w:hAnsi="宋体"/>
        </w:rPr>
        <w:t>操作类型</w:t>
      </w:r>
      <w:r>
        <w:t>&lt;/ACTIONTYPE&gt;</w:t>
      </w:r>
    </w:p>
    <w:p w14:paraId="74E022C6" w14:textId="77777777" w:rsidR="00A052DC" w:rsidRDefault="009F0A60">
      <w:pPr>
        <w:ind w:firstLine="426"/>
      </w:pPr>
      <w:r>
        <w:t>&lt;ACTIONDESC&gt;</w:t>
      </w:r>
      <w:r>
        <w:rPr>
          <w:rFonts w:hAnsi="宋体"/>
        </w:rPr>
        <w:t>删除原因</w:t>
      </w:r>
      <w:r>
        <w:t>&lt;/ACTIONDESC&gt;</w:t>
      </w:r>
    </w:p>
    <w:p w14:paraId="55A30D8D" w14:textId="77777777" w:rsidR="00A052DC" w:rsidRDefault="009F0A60">
      <w:pPr>
        <w:ind w:firstLine="426"/>
      </w:pPr>
      <w:r>
        <w:t>&lt;SNOCODE&gt;</w:t>
      </w:r>
      <w:r>
        <w:rPr>
          <w:rFonts w:hAnsi="宋体"/>
        </w:rPr>
        <w:t>数据自编码</w:t>
      </w:r>
      <w:r>
        <w:t>&lt;/SNOCODE&gt;</w:t>
      </w:r>
    </w:p>
    <w:p w14:paraId="6B4BAB5E" w14:textId="77777777" w:rsidR="00A052DC" w:rsidRDefault="009F0A60">
      <w:pPr>
        <w:ind w:firstLine="426"/>
      </w:pPr>
      <w:r>
        <w:t>&lt;OBJCODE&gt;</w:t>
      </w:r>
      <w:r>
        <w:rPr>
          <w:rFonts w:hAnsi="宋体"/>
        </w:rPr>
        <w:t>申报主体代码</w:t>
      </w:r>
      <w:r>
        <w:t>&lt;/OBJCODE&gt;</w:t>
      </w:r>
    </w:p>
    <w:p w14:paraId="50FA2A7C" w14:textId="77777777" w:rsidR="00A052DC" w:rsidRDefault="009F0A60">
      <w:pPr>
        <w:ind w:firstLine="426"/>
      </w:pPr>
      <w:r>
        <w:t>&lt;BUOCMONTH&gt;</w:t>
      </w:r>
      <w:r>
        <w:rPr>
          <w:rFonts w:hAnsi="宋体"/>
        </w:rPr>
        <w:t>报告期</w:t>
      </w:r>
      <w:r>
        <w:t>&lt;/BUOCMONTH&gt;</w:t>
      </w:r>
    </w:p>
    <w:p w14:paraId="283CC245" w14:textId="77777777" w:rsidR="00A052DC" w:rsidRDefault="009F0A60">
      <w:pPr>
        <w:ind w:firstLine="426"/>
      </w:pPr>
      <w:r>
        <w:t>&lt;G0201&gt;</w:t>
      </w:r>
      <w:r>
        <w:rPr>
          <w:rFonts w:hAnsi="宋体"/>
        </w:rPr>
        <w:t>银行卡清算渠道</w:t>
      </w:r>
      <w:r>
        <w:t>&lt;/G0201&gt;</w:t>
      </w:r>
    </w:p>
    <w:p w14:paraId="3DF5A822" w14:textId="77777777" w:rsidR="00A052DC" w:rsidRDefault="009F0A60">
      <w:pPr>
        <w:ind w:firstLine="426"/>
      </w:pPr>
      <w:r>
        <w:t>&lt;G0202&gt;</w:t>
      </w:r>
      <w:r>
        <w:rPr>
          <w:rFonts w:hAnsi="宋体"/>
        </w:rPr>
        <w:t>交易类型</w:t>
      </w:r>
      <w:r>
        <w:t>&lt;/G0202&gt;</w:t>
      </w:r>
    </w:p>
    <w:p w14:paraId="143FFCBE" w14:textId="77777777" w:rsidR="00A052DC" w:rsidRDefault="009F0A60">
      <w:pPr>
        <w:ind w:firstLineChars="200" w:firstLine="420"/>
      </w:pPr>
      <w:r>
        <w:t>&lt;G0202CODE&gt;</w:t>
      </w:r>
      <w:r>
        <w:rPr>
          <w:rFonts w:hAnsi="宋体"/>
        </w:rPr>
        <w:t>交易方式</w:t>
      </w:r>
      <w:r>
        <w:t>&lt;/G0202CODE&gt;</w:t>
      </w:r>
    </w:p>
    <w:p w14:paraId="75CFB713" w14:textId="77777777" w:rsidR="00A052DC" w:rsidRDefault="009F0A60">
      <w:pPr>
        <w:ind w:firstLine="426"/>
      </w:pPr>
      <w:r>
        <w:t>&lt;G0203&gt;</w:t>
      </w:r>
      <w:r>
        <w:rPr>
          <w:rFonts w:hAnsi="宋体"/>
        </w:rPr>
        <w:t>发卡行所属国家</w:t>
      </w:r>
      <w:r>
        <w:t>/</w:t>
      </w:r>
      <w:r>
        <w:rPr>
          <w:rFonts w:hAnsi="宋体"/>
        </w:rPr>
        <w:t>地区</w:t>
      </w:r>
      <w:r>
        <w:t>&lt;/G0203&gt;</w:t>
      </w:r>
    </w:p>
    <w:p w14:paraId="3CAF3AA1" w14:textId="77777777" w:rsidR="00A052DC" w:rsidRDefault="009F0A60">
      <w:pPr>
        <w:ind w:firstLine="426"/>
      </w:pPr>
      <w:r>
        <w:t>&lt;G0204&gt;</w:t>
      </w:r>
      <w:r>
        <w:rPr>
          <w:rFonts w:hAnsi="宋体"/>
        </w:rPr>
        <w:t>交易原币</w:t>
      </w:r>
      <w:r>
        <w:t>&lt;/G0204&gt;</w:t>
      </w:r>
    </w:p>
    <w:p w14:paraId="29690D87" w14:textId="77777777" w:rsidR="00A052DC" w:rsidRDefault="009F0A60">
      <w:pPr>
        <w:ind w:firstLine="426"/>
      </w:pPr>
      <w:r>
        <w:t>&lt;G0205&gt;</w:t>
      </w:r>
      <w:r>
        <w:rPr>
          <w:rFonts w:hAnsi="宋体"/>
        </w:rPr>
        <w:t>交易金额</w:t>
      </w:r>
      <w:r>
        <w:t>&lt;/G0205&gt;</w:t>
      </w:r>
    </w:p>
    <w:p w14:paraId="3E38C21E" w14:textId="77777777" w:rsidR="00A052DC" w:rsidRDefault="009F0A60">
      <w:pPr>
        <w:ind w:firstLine="426"/>
      </w:pPr>
      <w:r>
        <w:t>&lt;REMARK&gt;</w:t>
      </w:r>
      <w:r>
        <w:rPr>
          <w:rFonts w:hAnsi="宋体"/>
        </w:rPr>
        <w:t>备注</w:t>
      </w:r>
      <w:r>
        <w:t>&lt;/REMARK&gt;</w:t>
      </w:r>
    </w:p>
    <w:p w14:paraId="227BDD14" w14:textId="77777777" w:rsidR="00A052DC" w:rsidRDefault="009F0A60">
      <w:pPr>
        <w:ind w:firstLine="426"/>
        <w:rPr>
          <w:rFonts w:ascii="宋体" w:hAnsi="宋体"/>
        </w:rPr>
      </w:pPr>
      <w:r>
        <w:t>&lt;/REC&gt;</w:t>
      </w:r>
    </w:p>
    <w:p w14:paraId="04DD1C7D" w14:textId="77777777" w:rsidR="00A052DC" w:rsidRDefault="009F0A60" w:rsidP="0020251D">
      <w:pPr>
        <w:pStyle w:val="4"/>
        <w:numPr>
          <w:ilvl w:val="3"/>
          <w:numId w:val="1"/>
        </w:numPr>
        <w:jc w:val="left"/>
      </w:pPr>
      <w:bookmarkStart w:id="3640" w:name="_Toc454391454"/>
      <w:bookmarkStart w:id="3641" w:name="_Toc454391455"/>
      <w:bookmarkStart w:id="3642" w:name="_Toc380571004"/>
      <w:bookmarkEnd w:id="3640"/>
      <w:r>
        <w:rPr>
          <w:rFonts w:hint="eastAsia"/>
        </w:rPr>
        <w:t>数据字典</w:t>
      </w:r>
      <w:bookmarkEnd w:id="3641"/>
      <w:bookmarkEnd w:id="364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418"/>
        <w:gridCol w:w="1417"/>
        <w:gridCol w:w="4253"/>
      </w:tblGrid>
      <w:tr w:rsidR="00A052DC" w14:paraId="1684C205" w14:textId="77777777">
        <w:trPr>
          <w:tblHeader/>
        </w:trPr>
        <w:tc>
          <w:tcPr>
            <w:tcW w:w="1384" w:type="dxa"/>
            <w:shd w:val="clear" w:color="auto" w:fill="C0C0C0"/>
            <w:noWrap/>
          </w:tcPr>
          <w:p w14:paraId="319AA12E" w14:textId="77777777" w:rsidR="00A052DC" w:rsidRDefault="009F0A60">
            <w:pPr>
              <w:pStyle w:val="B1"/>
            </w:pPr>
            <w:r>
              <w:rPr>
                <w:rFonts w:hint="eastAsia"/>
              </w:rPr>
              <w:t>字段</w:t>
            </w:r>
          </w:p>
        </w:tc>
        <w:tc>
          <w:tcPr>
            <w:tcW w:w="1418" w:type="dxa"/>
            <w:shd w:val="clear" w:color="auto" w:fill="C0C0C0"/>
            <w:noWrap/>
          </w:tcPr>
          <w:p w14:paraId="14263D47" w14:textId="77777777" w:rsidR="00A052DC" w:rsidRDefault="009F0A60">
            <w:pPr>
              <w:pStyle w:val="B1"/>
            </w:pPr>
            <w:r>
              <w:rPr>
                <w:rFonts w:hint="eastAsia"/>
              </w:rPr>
              <w:t>内容</w:t>
            </w:r>
          </w:p>
        </w:tc>
        <w:tc>
          <w:tcPr>
            <w:tcW w:w="1417" w:type="dxa"/>
            <w:shd w:val="clear" w:color="auto" w:fill="C0C0C0"/>
            <w:noWrap/>
          </w:tcPr>
          <w:p w14:paraId="1A097EEC" w14:textId="77777777" w:rsidR="00A052DC" w:rsidRDefault="009F0A60">
            <w:pPr>
              <w:pStyle w:val="B1"/>
            </w:pPr>
            <w:r>
              <w:rPr>
                <w:rFonts w:hint="eastAsia"/>
              </w:rPr>
              <w:t>类型（长度）</w:t>
            </w:r>
          </w:p>
        </w:tc>
        <w:tc>
          <w:tcPr>
            <w:tcW w:w="4253" w:type="dxa"/>
            <w:shd w:val="clear" w:color="auto" w:fill="C0C0C0"/>
          </w:tcPr>
          <w:p w14:paraId="7956EB10" w14:textId="77777777" w:rsidR="00A052DC" w:rsidRDefault="009F0A60">
            <w:pPr>
              <w:pStyle w:val="B1"/>
            </w:pPr>
            <w:r>
              <w:rPr>
                <w:rFonts w:hint="eastAsia"/>
              </w:rPr>
              <w:t>校验</w:t>
            </w:r>
          </w:p>
        </w:tc>
      </w:tr>
      <w:tr w:rsidR="00A052DC" w14:paraId="2C1AF72B" w14:textId="77777777">
        <w:tc>
          <w:tcPr>
            <w:tcW w:w="1384" w:type="dxa"/>
            <w:noWrap/>
          </w:tcPr>
          <w:p w14:paraId="7E14015F" w14:textId="77777777" w:rsidR="00A052DC" w:rsidRDefault="009F0A60">
            <w:pPr>
              <w:pStyle w:val="B"/>
              <w:rPr>
                <w:szCs w:val="20"/>
              </w:rPr>
            </w:pPr>
            <w:r>
              <w:rPr>
                <w:szCs w:val="20"/>
              </w:rPr>
              <w:t>ACTIONTYPE</w:t>
            </w:r>
          </w:p>
        </w:tc>
        <w:tc>
          <w:tcPr>
            <w:tcW w:w="1418" w:type="dxa"/>
          </w:tcPr>
          <w:p w14:paraId="60858542" w14:textId="77777777" w:rsidR="00A052DC" w:rsidRDefault="009F0A60">
            <w:pPr>
              <w:pStyle w:val="B"/>
              <w:rPr>
                <w:szCs w:val="20"/>
              </w:rPr>
            </w:pPr>
            <w:r>
              <w:rPr>
                <w:rFonts w:hint="eastAsia"/>
                <w:szCs w:val="20"/>
              </w:rPr>
              <w:t>操作类型</w:t>
            </w:r>
          </w:p>
        </w:tc>
        <w:tc>
          <w:tcPr>
            <w:tcW w:w="1417" w:type="dxa"/>
            <w:noWrap/>
          </w:tcPr>
          <w:p w14:paraId="7D56169B" w14:textId="77777777" w:rsidR="00A052DC" w:rsidRDefault="009F0A60">
            <w:pPr>
              <w:pStyle w:val="B"/>
              <w:rPr>
                <w:szCs w:val="20"/>
              </w:rPr>
            </w:pPr>
            <w:r>
              <w:rPr>
                <w:rFonts w:hint="eastAsia"/>
                <w:szCs w:val="20"/>
              </w:rPr>
              <w:t>字符型，</w:t>
            </w:r>
            <w:r>
              <w:rPr>
                <w:szCs w:val="20"/>
              </w:rPr>
              <w:t>1</w:t>
            </w:r>
          </w:p>
        </w:tc>
        <w:tc>
          <w:tcPr>
            <w:tcW w:w="4253" w:type="dxa"/>
          </w:tcPr>
          <w:p w14:paraId="6AAE2C25" w14:textId="77777777" w:rsidR="00A052DC" w:rsidRDefault="009F0A60">
            <w:pPr>
              <w:pStyle w:val="B"/>
              <w:rPr>
                <w:szCs w:val="20"/>
              </w:rPr>
            </w:pPr>
            <w:r>
              <w:rPr>
                <w:rFonts w:hint="eastAsia"/>
                <w:szCs w:val="20"/>
              </w:rPr>
              <w:t>必填项</w:t>
            </w:r>
            <w:r w:rsidR="004D1828">
              <w:rPr>
                <w:rFonts w:hint="eastAsia"/>
                <w:szCs w:val="20"/>
              </w:rPr>
              <w:t>。</w:t>
            </w:r>
          </w:p>
          <w:p w14:paraId="36E080C0" w14:textId="77777777" w:rsidR="00A052DC" w:rsidRDefault="009F0A60">
            <w:pPr>
              <w:pStyle w:val="B"/>
              <w:rPr>
                <w:szCs w:val="20"/>
              </w:rPr>
            </w:pPr>
            <w:r>
              <w:rPr>
                <w:szCs w:val="20"/>
              </w:rPr>
              <w:t>A</w:t>
            </w:r>
            <w:r w:rsidR="00AE4602">
              <w:rPr>
                <w:rFonts w:hint="eastAsia"/>
                <w:szCs w:val="20"/>
              </w:rPr>
              <w:t>-</w:t>
            </w:r>
            <w:r>
              <w:rPr>
                <w:rFonts w:hint="eastAsia"/>
                <w:szCs w:val="20"/>
              </w:rPr>
              <w:t>新建</w:t>
            </w:r>
          </w:p>
          <w:p w14:paraId="5DB82282" w14:textId="77777777" w:rsidR="00A052DC" w:rsidRDefault="009F0A60">
            <w:pPr>
              <w:pStyle w:val="B"/>
              <w:rPr>
                <w:szCs w:val="20"/>
              </w:rPr>
            </w:pPr>
            <w:r>
              <w:rPr>
                <w:szCs w:val="20"/>
              </w:rPr>
              <w:t>C</w:t>
            </w:r>
            <w:r w:rsidR="00AE4602">
              <w:rPr>
                <w:rFonts w:hint="eastAsia"/>
                <w:szCs w:val="20"/>
              </w:rPr>
              <w:t>-</w:t>
            </w:r>
            <w:r>
              <w:rPr>
                <w:rFonts w:hint="eastAsia"/>
                <w:szCs w:val="20"/>
              </w:rPr>
              <w:t>修改</w:t>
            </w:r>
          </w:p>
          <w:p w14:paraId="7C10D07B" w14:textId="77777777" w:rsidR="00A052DC" w:rsidRDefault="009F0A60">
            <w:pPr>
              <w:pStyle w:val="B"/>
              <w:rPr>
                <w:szCs w:val="20"/>
              </w:rPr>
            </w:pPr>
            <w:r>
              <w:rPr>
                <w:szCs w:val="20"/>
              </w:rPr>
              <w:t>D</w:t>
            </w:r>
            <w:r w:rsidR="00AE4602">
              <w:rPr>
                <w:rFonts w:hint="eastAsia"/>
                <w:szCs w:val="20"/>
              </w:rPr>
              <w:t>-</w:t>
            </w:r>
            <w:r>
              <w:rPr>
                <w:rFonts w:hint="eastAsia"/>
                <w:szCs w:val="20"/>
              </w:rPr>
              <w:t>删除</w:t>
            </w:r>
          </w:p>
        </w:tc>
      </w:tr>
      <w:tr w:rsidR="00A052DC" w14:paraId="45ADB5CB" w14:textId="77777777">
        <w:tc>
          <w:tcPr>
            <w:tcW w:w="1384" w:type="dxa"/>
            <w:noWrap/>
          </w:tcPr>
          <w:p w14:paraId="21890976" w14:textId="77777777" w:rsidR="00A052DC" w:rsidRDefault="009F0A60">
            <w:pPr>
              <w:pStyle w:val="B"/>
              <w:rPr>
                <w:szCs w:val="20"/>
              </w:rPr>
            </w:pPr>
            <w:r>
              <w:rPr>
                <w:szCs w:val="20"/>
              </w:rPr>
              <w:t>ACTIONDESC</w:t>
            </w:r>
          </w:p>
        </w:tc>
        <w:tc>
          <w:tcPr>
            <w:tcW w:w="1418" w:type="dxa"/>
          </w:tcPr>
          <w:p w14:paraId="213CA95E" w14:textId="77777777" w:rsidR="00A052DC" w:rsidRDefault="009F0A60">
            <w:pPr>
              <w:pStyle w:val="B"/>
              <w:rPr>
                <w:szCs w:val="20"/>
              </w:rPr>
            </w:pPr>
            <w:r>
              <w:rPr>
                <w:rFonts w:hint="eastAsia"/>
                <w:szCs w:val="20"/>
              </w:rPr>
              <w:t>删除原因</w:t>
            </w:r>
          </w:p>
        </w:tc>
        <w:tc>
          <w:tcPr>
            <w:tcW w:w="1417" w:type="dxa"/>
            <w:noWrap/>
          </w:tcPr>
          <w:p w14:paraId="2F3A4926" w14:textId="77777777" w:rsidR="00A052DC" w:rsidRDefault="009F0A60">
            <w:pPr>
              <w:pStyle w:val="B"/>
              <w:rPr>
                <w:szCs w:val="20"/>
              </w:rPr>
            </w:pPr>
            <w:r>
              <w:rPr>
                <w:rFonts w:hint="eastAsia"/>
                <w:szCs w:val="20"/>
              </w:rPr>
              <w:t>字符型，</w:t>
            </w:r>
            <w:r>
              <w:rPr>
                <w:szCs w:val="20"/>
              </w:rPr>
              <w:t>128</w:t>
            </w:r>
          </w:p>
        </w:tc>
        <w:tc>
          <w:tcPr>
            <w:tcW w:w="4253" w:type="dxa"/>
          </w:tcPr>
          <w:p w14:paraId="6A151403" w14:textId="77777777" w:rsidR="00A052DC" w:rsidRDefault="00DD6AA3">
            <w:pPr>
              <w:pStyle w:val="B"/>
              <w:rPr>
                <w:szCs w:val="20"/>
              </w:rPr>
            </w:pPr>
            <w:r>
              <w:rPr>
                <w:rFonts w:hint="eastAsia"/>
                <w:szCs w:val="20"/>
              </w:rPr>
              <w:t>非必填项，当操作类型（ACTIONTYPE）为删除时必填。</w:t>
            </w:r>
          </w:p>
        </w:tc>
      </w:tr>
      <w:tr w:rsidR="00A052DC" w14:paraId="69C67F4F" w14:textId="77777777">
        <w:tc>
          <w:tcPr>
            <w:tcW w:w="1384" w:type="dxa"/>
            <w:noWrap/>
          </w:tcPr>
          <w:p w14:paraId="34240C81" w14:textId="77777777" w:rsidR="00A052DC" w:rsidRDefault="009F0A60">
            <w:pPr>
              <w:pStyle w:val="B"/>
              <w:rPr>
                <w:szCs w:val="20"/>
              </w:rPr>
            </w:pPr>
            <w:r>
              <w:rPr>
                <w:szCs w:val="20"/>
              </w:rPr>
              <w:t>SNOCODE</w:t>
            </w:r>
          </w:p>
        </w:tc>
        <w:tc>
          <w:tcPr>
            <w:tcW w:w="1418" w:type="dxa"/>
          </w:tcPr>
          <w:p w14:paraId="66008FF2" w14:textId="77777777" w:rsidR="00A052DC" w:rsidRDefault="009F0A60">
            <w:pPr>
              <w:pStyle w:val="B"/>
              <w:rPr>
                <w:szCs w:val="20"/>
              </w:rPr>
            </w:pPr>
            <w:r>
              <w:rPr>
                <w:rFonts w:hint="eastAsia"/>
                <w:szCs w:val="20"/>
              </w:rPr>
              <w:t>数据自编码</w:t>
            </w:r>
          </w:p>
        </w:tc>
        <w:tc>
          <w:tcPr>
            <w:tcW w:w="1417" w:type="dxa"/>
            <w:noWrap/>
          </w:tcPr>
          <w:p w14:paraId="3E9F2403" w14:textId="77777777" w:rsidR="00A052DC" w:rsidRDefault="009F0A60">
            <w:pPr>
              <w:pStyle w:val="B"/>
              <w:rPr>
                <w:szCs w:val="20"/>
              </w:rPr>
            </w:pPr>
            <w:r>
              <w:rPr>
                <w:rFonts w:hint="eastAsia"/>
                <w:szCs w:val="20"/>
              </w:rPr>
              <w:t>字符型，36</w:t>
            </w:r>
          </w:p>
        </w:tc>
        <w:tc>
          <w:tcPr>
            <w:tcW w:w="4253" w:type="dxa"/>
          </w:tcPr>
          <w:p w14:paraId="7A354C8C" w14:textId="77777777" w:rsidR="00A052DC" w:rsidRDefault="009F0A60">
            <w:pPr>
              <w:pStyle w:val="B"/>
              <w:rPr>
                <w:szCs w:val="20"/>
              </w:rPr>
            </w:pPr>
            <w:r>
              <w:rPr>
                <w:rFonts w:hint="eastAsia"/>
                <w:szCs w:val="20"/>
              </w:rPr>
              <w:t>必填项。</w:t>
            </w:r>
            <w:r>
              <w:rPr>
                <w:szCs w:val="20"/>
              </w:rPr>
              <w:t>对于接口报送的填报主体，数据自编码中的报送期（6位）应与报告期（YYYYMM）一致。</w:t>
            </w:r>
          </w:p>
        </w:tc>
      </w:tr>
      <w:tr w:rsidR="00A052DC" w14:paraId="213617DE" w14:textId="77777777">
        <w:tc>
          <w:tcPr>
            <w:tcW w:w="1384" w:type="dxa"/>
            <w:noWrap/>
          </w:tcPr>
          <w:p w14:paraId="7F0EDBA1" w14:textId="77777777" w:rsidR="00A052DC" w:rsidRDefault="009F0A60">
            <w:pPr>
              <w:pStyle w:val="B"/>
              <w:rPr>
                <w:szCs w:val="20"/>
              </w:rPr>
            </w:pPr>
            <w:r>
              <w:rPr>
                <w:szCs w:val="20"/>
              </w:rPr>
              <w:t>OBJCODE</w:t>
            </w:r>
          </w:p>
        </w:tc>
        <w:tc>
          <w:tcPr>
            <w:tcW w:w="1418" w:type="dxa"/>
          </w:tcPr>
          <w:p w14:paraId="780C98D6" w14:textId="77777777" w:rsidR="00A052DC" w:rsidRDefault="009F0A60">
            <w:pPr>
              <w:pStyle w:val="B"/>
              <w:rPr>
                <w:szCs w:val="20"/>
              </w:rPr>
            </w:pPr>
            <w:r>
              <w:rPr>
                <w:rFonts w:hint="eastAsia"/>
                <w:szCs w:val="20"/>
              </w:rPr>
              <w:t>申报主体代码</w:t>
            </w:r>
          </w:p>
        </w:tc>
        <w:tc>
          <w:tcPr>
            <w:tcW w:w="1417" w:type="dxa"/>
            <w:noWrap/>
          </w:tcPr>
          <w:p w14:paraId="16503292" w14:textId="77777777" w:rsidR="00A052DC" w:rsidRDefault="009F0A60">
            <w:pPr>
              <w:pStyle w:val="B"/>
              <w:rPr>
                <w:szCs w:val="20"/>
              </w:rPr>
            </w:pPr>
            <w:r>
              <w:rPr>
                <w:rFonts w:hint="eastAsia"/>
                <w:szCs w:val="20"/>
              </w:rPr>
              <w:t>字符型，</w:t>
            </w:r>
            <w:r>
              <w:rPr>
                <w:szCs w:val="20"/>
              </w:rPr>
              <w:t>1</w:t>
            </w:r>
            <w:r>
              <w:rPr>
                <w:rFonts w:hint="eastAsia"/>
                <w:szCs w:val="20"/>
              </w:rPr>
              <w:t>8</w:t>
            </w:r>
          </w:p>
        </w:tc>
        <w:tc>
          <w:tcPr>
            <w:tcW w:w="4253" w:type="dxa"/>
          </w:tcPr>
          <w:p w14:paraId="1DB0C303" w14:textId="77777777" w:rsidR="00A052DC" w:rsidRDefault="009F0A60">
            <w:pPr>
              <w:pStyle w:val="B"/>
              <w:rPr>
                <w:szCs w:val="20"/>
              </w:rPr>
            </w:pPr>
            <w:r>
              <w:rPr>
                <w:rFonts w:hint="eastAsia"/>
                <w:szCs w:val="20"/>
              </w:rPr>
              <w:t>申报主体的12位金融机构标识码，如果没有金融机构标识码，则填报统一社会信用代码法定载体（如营业执照）上统一社会信用代码中的第9至17位或国家外汇管理局及其分支局签发的特殊机构代码赋码通知书上的机构代码、个人身份代码。</w:t>
            </w:r>
          </w:p>
        </w:tc>
      </w:tr>
      <w:tr w:rsidR="00A052DC" w14:paraId="3054CC5A" w14:textId="77777777">
        <w:tc>
          <w:tcPr>
            <w:tcW w:w="1384" w:type="dxa"/>
            <w:noWrap/>
          </w:tcPr>
          <w:p w14:paraId="333E67F5" w14:textId="77777777" w:rsidR="00A052DC" w:rsidRDefault="009F0A60">
            <w:pPr>
              <w:pStyle w:val="B"/>
              <w:rPr>
                <w:szCs w:val="20"/>
              </w:rPr>
            </w:pPr>
            <w:r>
              <w:rPr>
                <w:szCs w:val="20"/>
              </w:rPr>
              <w:t>BUOCMONTH</w:t>
            </w:r>
          </w:p>
        </w:tc>
        <w:tc>
          <w:tcPr>
            <w:tcW w:w="1418" w:type="dxa"/>
          </w:tcPr>
          <w:p w14:paraId="7C26E057" w14:textId="77777777" w:rsidR="00A052DC" w:rsidRDefault="009F0A60">
            <w:pPr>
              <w:pStyle w:val="B"/>
              <w:rPr>
                <w:szCs w:val="20"/>
              </w:rPr>
            </w:pPr>
            <w:r>
              <w:rPr>
                <w:rFonts w:hint="eastAsia"/>
                <w:szCs w:val="20"/>
              </w:rPr>
              <w:t>报告期</w:t>
            </w:r>
          </w:p>
        </w:tc>
        <w:tc>
          <w:tcPr>
            <w:tcW w:w="1417" w:type="dxa"/>
            <w:noWrap/>
          </w:tcPr>
          <w:p w14:paraId="7A796E9A" w14:textId="77777777" w:rsidR="00A052DC" w:rsidRDefault="009F0A60">
            <w:pPr>
              <w:pStyle w:val="B"/>
              <w:rPr>
                <w:szCs w:val="20"/>
              </w:rPr>
            </w:pPr>
            <w:r>
              <w:rPr>
                <w:rFonts w:hint="eastAsia"/>
                <w:szCs w:val="20"/>
              </w:rPr>
              <w:t>数值型，</w:t>
            </w:r>
            <w:r>
              <w:rPr>
                <w:szCs w:val="20"/>
              </w:rPr>
              <w:t>6</w:t>
            </w:r>
          </w:p>
        </w:tc>
        <w:tc>
          <w:tcPr>
            <w:tcW w:w="4253" w:type="dxa"/>
          </w:tcPr>
          <w:p w14:paraId="1F94F3AC" w14:textId="77777777" w:rsidR="00A052DC" w:rsidRDefault="009F0A60">
            <w:pPr>
              <w:pStyle w:val="B"/>
              <w:rPr>
                <w:szCs w:val="20"/>
              </w:rPr>
            </w:pPr>
            <w:r>
              <w:rPr>
                <w:rFonts w:hint="eastAsia"/>
                <w:szCs w:val="20"/>
              </w:rPr>
              <w:t>必填项，格式为</w:t>
            </w:r>
            <w:r>
              <w:rPr>
                <w:szCs w:val="20"/>
              </w:rPr>
              <w:t>YYYYMM</w:t>
            </w:r>
            <w:r>
              <w:rPr>
                <w:rFonts w:hint="eastAsia"/>
                <w:szCs w:val="20"/>
              </w:rPr>
              <w:t>。</w:t>
            </w:r>
          </w:p>
        </w:tc>
      </w:tr>
      <w:tr w:rsidR="00A052DC" w14:paraId="7372FA86" w14:textId="77777777">
        <w:tc>
          <w:tcPr>
            <w:tcW w:w="1384" w:type="dxa"/>
            <w:noWrap/>
          </w:tcPr>
          <w:p w14:paraId="40305B62" w14:textId="77777777" w:rsidR="00A052DC" w:rsidRDefault="009F0A60">
            <w:pPr>
              <w:pStyle w:val="B"/>
              <w:rPr>
                <w:szCs w:val="20"/>
              </w:rPr>
            </w:pPr>
            <w:r>
              <w:rPr>
                <w:szCs w:val="20"/>
              </w:rPr>
              <w:t>G0201</w:t>
            </w:r>
          </w:p>
        </w:tc>
        <w:tc>
          <w:tcPr>
            <w:tcW w:w="1418" w:type="dxa"/>
          </w:tcPr>
          <w:p w14:paraId="1A2E8B68" w14:textId="77777777" w:rsidR="00A052DC" w:rsidRDefault="009F0A60">
            <w:pPr>
              <w:pStyle w:val="B"/>
              <w:rPr>
                <w:szCs w:val="20"/>
              </w:rPr>
            </w:pPr>
            <w:r>
              <w:rPr>
                <w:rFonts w:hint="eastAsia"/>
                <w:szCs w:val="20"/>
              </w:rPr>
              <w:t>银行卡清算渠道</w:t>
            </w:r>
          </w:p>
        </w:tc>
        <w:tc>
          <w:tcPr>
            <w:tcW w:w="1417" w:type="dxa"/>
            <w:noWrap/>
          </w:tcPr>
          <w:p w14:paraId="06A6CF3B" w14:textId="77777777" w:rsidR="00A052DC" w:rsidRDefault="009F0A60">
            <w:pPr>
              <w:pStyle w:val="B"/>
              <w:rPr>
                <w:szCs w:val="20"/>
              </w:rPr>
            </w:pPr>
            <w:r>
              <w:rPr>
                <w:rFonts w:hint="eastAsia"/>
                <w:szCs w:val="20"/>
              </w:rPr>
              <w:t>整数型</w:t>
            </w:r>
          </w:p>
        </w:tc>
        <w:tc>
          <w:tcPr>
            <w:tcW w:w="4253" w:type="dxa"/>
          </w:tcPr>
          <w:p w14:paraId="4868B19F" w14:textId="77777777" w:rsidR="00A052DC" w:rsidRDefault="009F0A60">
            <w:pPr>
              <w:pStyle w:val="B"/>
              <w:rPr>
                <w:szCs w:val="20"/>
              </w:rPr>
            </w:pPr>
            <w:r>
              <w:rPr>
                <w:rFonts w:hint="eastAsia"/>
                <w:szCs w:val="20"/>
              </w:rPr>
              <w:t>必填项。如果填报主体≠银联，则</w:t>
            </w:r>
            <w:r>
              <w:rPr>
                <w:szCs w:val="20"/>
              </w:rPr>
              <w:t>G0201</w:t>
            </w:r>
            <w:r>
              <w:rPr>
                <w:rFonts w:hint="eastAsia"/>
                <w:szCs w:val="20"/>
              </w:rPr>
              <w:t>≠</w:t>
            </w:r>
            <w:r>
              <w:rPr>
                <w:szCs w:val="20"/>
              </w:rPr>
              <w:t>1</w:t>
            </w:r>
            <w:r>
              <w:rPr>
                <w:rFonts w:hint="eastAsia"/>
                <w:szCs w:val="20"/>
              </w:rPr>
              <w:t>。</w:t>
            </w:r>
          </w:p>
        </w:tc>
      </w:tr>
      <w:tr w:rsidR="00A052DC" w14:paraId="58691ADF" w14:textId="77777777">
        <w:tc>
          <w:tcPr>
            <w:tcW w:w="1384" w:type="dxa"/>
            <w:noWrap/>
          </w:tcPr>
          <w:p w14:paraId="1D01D7C0" w14:textId="77777777" w:rsidR="00A052DC" w:rsidRDefault="009F0A60">
            <w:pPr>
              <w:pStyle w:val="B"/>
              <w:rPr>
                <w:szCs w:val="20"/>
              </w:rPr>
            </w:pPr>
            <w:r>
              <w:rPr>
                <w:szCs w:val="20"/>
              </w:rPr>
              <w:t>G0202</w:t>
            </w:r>
          </w:p>
        </w:tc>
        <w:tc>
          <w:tcPr>
            <w:tcW w:w="1418" w:type="dxa"/>
          </w:tcPr>
          <w:p w14:paraId="6ABE97F8" w14:textId="77777777" w:rsidR="00A052DC" w:rsidRDefault="009F0A60">
            <w:pPr>
              <w:pStyle w:val="B"/>
              <w:rPr>
                <w:szCs w:val="20"/>
              </w:rPr>
            </w:pPr>
            <w:r>
              <w:rPr>
                <w:rFonts w:hint="eastAsia"/>
                <w:szCs w:val="20"/>
              </w:rPr>
              <w:t>交易类型</w:t>
            </w:r>
          </w:p>
        </w:tc>
        <w:tc>
          <w:tcPr>
            <w:tcW w:w="1417" w:type="dxa"/>
            <w:noWrap/>
          </w:tcPr>
          <w:p w14:paraId="2CD90047" w14:textId="77777777" w:rsidR="00A052DC" w:rsidRDefault="009F0A60">
            <w:pPr>
              <w:pStyle w:val="B"/>
              <w:rPr>
                <w:szCs w:val="20"/>
              </w:rPr>
            </w:pPr>
            <w:r>
              <w:rPr>
                <w:rFonts w:hint="eastAsia"/>
                <w:szCs w:val="20"/>
              </w:rPr>
              <w:t>整数型</w:t>
            </w:r>
          </w:p>
        </w:tc>
        <w:tc>
          <w:tcPr>
            <w:tcW w:w="4253" w:type="dxa"/>
          </w:tcPr>
          <w:p w14:paraId="1BEC6EF3" w14:textId="77777777" w:rsidR="00A052DC" w:rsidRDefault="009F0A60">
            <w:pPr>
              <w:pStyle w:val="B"/>
              <w:rPr>
                <w:szCs w:val="20"/>
              </w:rPr>
            </w:pPr>
            <w:r>
              <w:rPr>
                <w:rFonts w:hint="eastAsia"/>
                <w:szCs w:val="20"/>
              </w:rPr>
              <w:t>必填项。见</w:t>
            </w:r>
            <w:bookmarkStart w:id="3643" w:name="OLE_LINK22"/>
            <w:r>
              <w:rPr>
                <w:rFonts w:hint="eastAsia"/>
                <w:szCs w:val="20"/>
              </w:rPr>
              <w:t>银行卡消费提现类型代码表</w:t>
            </w:r>
            <w:bookmarkEnd w:id="3643"/>
            <w:r>
              <w:rPr>
                <w:rFonts w:hint="eastAsia"/>
                <w:szCs w:val="20"/>
              </w:rPr>
              <w:t>。</w:t>
            </w:r>
          </w:p>
        </w:tc>
      </w:tr>
      <w:tr w:rsidR="00A052DC" w14:paraId="2BFB66CE" w14:textId="77777777">
        <w:tc>
          <w:tcPr>
            <w:tcW w:w="1384" w:type="dxa"/>
            <w:noWrap/>
          </w:tcPr>
          <w:p w14:paraId="5338B880" w14:textId="77777777" w:rsidR="00A052DC" w:rsidRDefault="009F0A60">
            <w:pPr>
              <w:pStyle w:val="B"/>
              <w:rPr>
                <w:szCs w:val="20"/>
              </w:rPr>
            </w:pPr>
            <w:r>
              <w:rPr>
                <w:rFonts w:hint="eastAsia"/>
                <w:szCs w:val="20"/>
              </w:rPr>
              <w:t>G0202CODE</w:t>
            </w:r>
          </w:p>
        </w:tc>
        <w:tc>
          <w:tcPr>
            <w:tcW w:w="1418" w:type="dxa"/>
          </w:tcPr>
          <w:p w14:paraId="420AD806" w14:textId="77777777" w:rsidR="00A052DC" w:rsidRDefault="009F0A60">
            <w:pPr>
              <w:pStyle w:val="B"/>
              <w:rPr>
                <w:szCs w:val="20"/>
              </w:rPr>
            </w:pPr>
            <w:r>
              <w:rPr>
                <w:rFonts w:hint="eastAsia"/>
                <w:szCs w:val="20"/>
              </w:rPr>
              <w:t>交易方式</w:t>
            </w:r>
          </w:p>
        </w:tc>
        <w:tc>
          <w:tcPr>
            <w:tcW w:w="1417" w:type="dxa"/>
            <w:noWrap/>
          </w:tcPr>
          <w:p w14:paraId="350E29A2" w14:textId="77777777" w:rsidR="00A052DC" w:rsidRDefault="009F0A60">
            <w:pPr>
              <w:pStyle w:val="B"/>
              <w:rPr>
                <w:szCs w:val="20"/>
              </w:rPr>
            </w:pPr>
            <w:r>
              <w:rPr>
                <w:rFonts w:hint="eastAsia"/>
                <w:szCs w:val="20"/>
              </w:rPr>
              <w:t>整数型</w:t>
            </w:r>
          </w:p>
        </w:tc>
        <w:tc>
          <w:tcPr>
            <w:tcW w:w="4253" w:type="dxa"/>
          </w:tcPr>
          <w:p w14:paraId="7B600251" w14:textId="77777777" w:rsidR="00A052DC" w:rsidRDefault="009F0A60">
            <w:pPr>
              <w:pStyle w:val="B"/>
              <w:widowControl w:val="0"/>
              <w:rPr>
                <w:szCs w:val="20"/>
              </w:rPr>
            </w:pPr>
            <w:r>
              <w:rPr>
                <w:rFonts w:hint="eastAsia"/>
                <w:szCs w:val="20"/>
              </w:rPr>
              <w:t>必填项</w:t>
            </w:r>
            <w:r w:rsidR="004D1828">
              <w:rPr>
                <w:rFonts w:hint="eastAsia"/>
                <w:szCs w:val="20"/>
              </w:rPr>
              <w:t>，</w:t>
            </w:r>
            <w:r>
              <w:rPr>
                <w:rFonts w:hint="eastAsia"/>
                <w:szCs w:val="20"/>
              </w:rPr>
              <w:t>两个选项：</w:t>
            </w:r>
          </w:p>
          <w:p w14:paraId="2D45CECB" w14:textId="77777777" w:rsidR="00A052DC" w:rsidRDefault="009F0A60">
            <w:pPr>
              <w:pStyle w:val="B"/>
              <w:widowControl w:val="0"/>
              <w:rPr>
                <w:szCs w:val="20"/>
              </w:rPr>
            </w:pPr>
            <w:r>
              <w:rPr>
                <w:rFonts w:hint="eastAsia"/>
                <w:szCs w:val="20"/>
              </w:rPr>
              <w:t>1-线下；</w:t>
            </w:r>
          </w:p>
          <w:p w14:paraId="6A1B14D7" w14:textId="77777777" w:rsidR="00A052DC" w:rsidRDefault="009F0A60">
            <w:pPr>
              <w:pStyle w:val="B"/>
              <w:rPr>
                <w:szCs w:val="20"/>
              </w:rPr>
            </w:pPr>
            <w:r>
              <w:rPr>
                <w:rFonts w:hint="eastAsia"/>
                <w:szCs w:val="20"/>
              </w:rPr>
              <w:t>2-线上。</w:t>
            </w:r>
          </w:p>
        </w:tc>
      </w:tr>
      <w:tr w:rsidR="00A052DC" w14:paraId="26850BFF" w14:textId="77777777">
        <w:tc>
          <w:tcPr>
            <w:tcW w:w="1384" w:type="dxa"/>
            <w:noWrap/>
          </w:tcPr>
          <w:p w14:paraId="66A3B97C" w14:textId="77777777" w:rsidR="00A052DC" w:rsidRDefault="009F0A60">
            <w:pPr>
              <w:pStyle w:val="B"/>
              <w:rPr>
                <w:szCs w:val="20"/>
              </w:rPr>
            </w:pPr>
            <w:r>
              <w:rPr>
                <w:szCs w:val="20"/>
              </w:rPr>
              <w:t>G0203</w:t>
            </w:r>
          </w:p>
        </w:tc>
        <w:tc>
          <w:tcPr>
            <w:tcW w:w="1418" w:type="dxa"/>
          </w:tcPr>
          <w:p w14:paraId="320FC348" w14:textId="77777777" w:rsidR="00A052DC" w:rsidRDefault="009F0A60">
            <w:pPr>
              <w:pStyle w:val="B"/>
              <w:rPr>
                <w:szCs w:val="20"/>
              </w:rPr>
            </w:pPr>
            <w:r>
              <w:rPr>
                <w:rFonts w:hint="eastAsia"/>
                <w:szCs w:val="20"/>
              </w:rPr>
              <w:t>发卡行所属国家</w:t>
            </w:r>
            <w:r>
              <w:rPr>
                <w:szCs w:val="20"/>
              </w:rPr>
              <w:t>/</w:t>
            </w:r>
            <w:r>
              <w:rPr>
                <w:rFonts w:hint="eastAsia"/>
                <w:szCs w:val="20"/>
              </w:rPr>
              <w:t>地区</w:t>
            </w:r>
          </w:p>
        </w:tc>
        <w:tc>
          <w:tcPr>
            <w:tcW w:w="1417" w:type="dxa"/>
            <w:noWrap/>
          </w:tcPr>
          <w:p w14:paraId="21C376F4" w14:textId="77777777" w:rsidR="00A052DC" w:rsidRDefault="009F0A60">
            <w:pPr>
              <w:pStyle w:val="B"/>
              <w:rPr>
                <w:szCs w:val="20"/>
              </w:rPr>
            </w:pPr>
            <w:r>
              <w:rPr>
                <w:rFonts w:hint="eastAsia"/>
                <w:szCs w:val="20"/>
              </w:rPr>
              <w:t>字符型，</w:t>
            </w:r>
            <w:r>
              <w:rPr>
                <w:szCs w:val="20"/>
              </w:rPr>
              <w:t>3</w:t>
            </w:r>
          </w:p>
        </w:tc>
        <w:tc>
          <w:tcPr>
            <w:tcW w:w="4253" w:type="dxa"/>
          </w:tcPr>
          <w:p w14:paraId="62B7214A" w14:textId="77777777" w:rsidR="00A052DC" w:rsidRDefault="009F0A60">
            <w:pPr>
              <w:pStyle w:val="B"/>
              <w:rPr>
                <w:szCs w:val="20"/>
              </w:rPr>
            </w:pPr>
            <w:r>
              <w:rPr>
                <w:rFonts w:hint="eastAsia"/>
                <w:szCs w:val="20"/>
              </w:rPr>
              <w:t>必填项，见国家和地区代码表的</w:t>
            </w:r>
            <w:r>
              <w:rPr>
                <w:szCs w:val="20"/>
              </w:rPr>
              <w:t>3</w:t>
            </w:r>
            <w:r>
              <w:rPr>
                <w:rFonts w:hint="eastAsia"/>
                <w:szCs w:val="20"/>
              </w:rPr>
              <w:t>位字母代码，必须≠</w:t>
            </w:r>
            <w:r>
              <w:rPr>
                <w:szCs w:val="20"/>
              </w:rPr>
              <w:t>CHN</w:t>
            </w:r>
            <w:r>
              <w:rPr>
                <w:rFonts w:hint="eastAsia"/>
                <w:szCs w:val="20"/>
              </w:rPr>
              <w:t>或N/A，无法确认发卡行国家地区的，应填报ZZZ。</w:t>
            </w:r>
          </w:p>
        </w:tc>
      </w:tr>
      <w:tr w:rsidR="00A052DC" w14:paraId="731F7B79" w14:textId="77777777">
        <w:tc>
          <w:tcPr>
            <w:tcW w:w="1384" w:type="dxa"/>
            <w:noWrap/>
          </w:tcPr>
          <w:p w14:paraId="5929EFA1" w14:textId="77777777" w:rsidR="00A052DC" w:rsidRDefault="009F0A60">
            <w:pPr>
              <w:pStyle w:val="B"/>
              <w:rPr>
                <w:szCs w:val="20"/>
              </w:rPr>
            </w:pPr>
            <w:r>
              <w:rPr>
                <w:szCs w:val="20"/>
              </w:rPr>
              <w:t>G0204</w:t>
            </w:r>
          </w:p>
        </w:tc>
        <w:tc>
          <w:tcPr>
            <w:tcW w:w="1418" w:type="dxa"/>
          </w:tcPr>
          <w:p w14:paraId="38DAE3F5" w14:textId="77777777" w:rsidR="00A052DC" w:rsidRDefault="009F0A60">
            <w:pPr>
              <w:pStyle w:val="B"/>
              <w:rPr>
                <w:szCs w:val="20"/>
              </w:rPr>
            </w:pPr>
            <w:r>
              <w:rPr>
                <w:rFonts w:hint="eastAsia"/>
                <w:szCs w:val="20"/>
              </w:rPr>
              <w:t>交易原币</w:t>
            </w:r>
          </w:p>
        </w:tc>
        <w:tc>
          <w:tcPr>
            <w:tcW w:w="1417" w:type="dxa"/>
            <w:noWrap/>
          </w:tcPr>
          <w:p w14:paraId="4067FA22" w14:textId="77777777" w:rsidR="00A052DC" w:rsidRDefault="009F0A60">
            <w:pPr>
              <w:pStyle w:val="B"/>
              <w:rPr>
                <w:szCs w:val="20"/>
              </w:rPr>
            </w:pPr>
            <w:r>
              <w:rPr>
                <w:szCs w:val="20"/>
              </w:rPr>
              <w:t>字符型，3</w:t>
            </w:r>
          </w:p>
        </w:tc>
        <w:tc>
          <w:tcPr>
            <w:tcW w:w="4253" w:type="dxa"/>
          </w:tcPr>
          <w:p w14:paraId="6FF3B2CE" w14:textId="77777777" w:rsidR="00A052DC" w:rsidRDefault="009F0A60">
            <w:pPr>
              <w:pStyle w:val="B"/>
              <w:rPr>
                <w:szCs w:val="20"/>
              </w:rPr>
            </w:pPr>
            <w:r>
              <w:rPr>
                <w:rFonts w:hint="eastAsia"/>
                <w:szCs w:val="20"/>
              </w:rPr>
              <w:t>必填项，见币种代码表。</w:t>
            </w:r>
          </w:p>
        </w:tc>
      </w:tr>
      <w:tr w:rsidR="00A052DC" w14:paraId="29439BE1" w14:textId="77777777">
        <w:tc>
          <w:tcPr>
            <w:tcW w:w="1384" w:type="dxa"/>
            <w:noWrap/>
          </w:tcPr>
          <w:p w14:paraId="19D0CDDD" w14:textId="77777777" w:rsidR="00A052DC" w:rsidRDefault="009F0A60">
            <w:pPr>
              <w:pStyle w:val="B"/>
              <w:rPr>
                <w:szCs w:val="20"/>
              </w:rPr>
            </w:pPr>
            <w:r>
              <w:rPr>
                <w:szCs w:val="20"/>
              </w:rPr>
              <w:t>G0205</w:t>
            </w:r>
          </w:p>
        </w:tc>
        <w:tc>
          <w:tcPr>
            <w:tcW w:w="1418" w:type="dxa"/>
          </w:tcPr>
          <w:p w14:paraId="7A766954" w14:textId="77777777" w:rsidR="00A052DC" w:rsidRDefault="009F0A60">
            <w:pPr>
              <w:pStyle w:val="B"/>
              <w:rPr>
                <w:szCs w:val="20"/>
              </w:rPr>
            </w:pPr>
            <w:r>
              <w:rPr>
                <w:rFonts w:hint="eastAsia"/>
                <w:szCs w:val="20"/>
              </w:rPr>
              <w:t>交易金额</w:t>
            </w:r>
          </w:p>
        </w:tc>
        <w:tc>
          <w:tcPr>
            <w:tcW w:w="1417" w:type="dxa"/>
            <w:noWrap/>
          </w:tcPr>
          <w:p w14:paraId="2BB3B7C0" w14:textId="77777777" w:rsidR="00A052DC" w:rsidRDefault="009F0A60">
            <w:pPr>
              <w:pStyle w:val="B"/>
              <w:rPr>
                <w:szCs w:val="20"/>
              </w:rPr>
            </w:pPr>
            <w:r>
              <w:rPr>
                <w:szCs w:val="20"/>
              </w:rPr>
              <w:t>数值型，22.2</w:t>
            </w:r>
          </w:p>
        </w:tc>
        <w:tc>
          <w:tcPr>
            <w:tcW w:w="4253" w:type="dxa"/>
          </w:tcPr>
          <w:p w14:paraId="289CFA85" w14:textId="77777777" w:rsidR="00A052DC" w:rsidRDefault="009F0A60">
            <w:pPr>
              <w:pStyle w:val="B"/>
              <w:rPr>
                <w:szCs w:val="20"/>
              </w:rPr>
            </w:pPr>
            <w:r>
              <w:rPr>
                <w:rFonts w:hint="eastAsia"/>
                <w:szCs w:val="20"/>
              </w:rPr>
              <w:t>必填项。</w:t>
            </w:r>
          </w:p>
        </w:tc>
      </w:tr>
      <w:tr w:rsidR="00A052DC" w14:paraId="26870EE3" w14:textId="77777777">
        <w:tc>
          <w:tcPr>
            <w:tcW w:w="1384" w:type="dxa"/>
            <w:noWrap/>
          </w:tcPr>
          <w:p w14:paraId="21BFDF3B" w14:textId="77777777" w:rsidR="00A052DC" w:rsidRDefault="009F0A60">
            <w:pPr>
              <w:pStyle w:val="B"/>
              <w:rPr>
                <w:szCs w:val="20"/>
              </w:rPr>
            </w:pPr>
            <w:r>
              <w:rPr>
                <w:szCs w:val="20"/>
              </w:rPr>
              <w:t>REMARK</w:t>
            </w:r>
          </w:p>
        </w:tc>
        <w:tc>
          <w:tcPr>
            <w:tcW w:w="1418" w:type="dxa"/>
          </w:tcPr>
          <w:p w14:paraId="58E3A1C4" w14:textId="77777777" w:rsidR="00A052DC" w:rsidRDefault="009F0A60">
            <w:pPr>
              <w:pStyle w:val="B"/>
              <w:rPr>
                <w:szCs w:val="20"/>
              </w:rPr>
            </w:pPr>
            <w:r>
              <w:rPr>
                <w:rFonts w:hint="eastAsia"/>
                <w:szCs w:val="20"/>
              </w:rPr>
              <w:t>备注</w:t>
            </w:r>
          </w:p>
        </w:tc>
        <w:tc>
          <w:tcPr>
            <w:tcW w:w="1417" w:type="dxa"/>
            <w:noWrap/>
          </w:tcPr>
          <w:p w14:paraId="2FC1B30C" w14:textId="77777777" w:rsidR="00A052DC" w:rsidRDefault="009F0A60">
            <w:pPr>
              <w:pStyle w:val="B"/>
              <w:rPr>
                <w:szCs w:val="20"/>
              </w:rPr>
            </w:pPr>
            <w:r>
              <w:rPr>
                <w:rFonts w:hint="eastAsia"/>
                <w:szCs w:val="20"/>
              </w:rPr>
              <w:t>字符型，</w:t>
            </w:r>
            <w:r>
              <w:rPr>
                <w:szCs w:val="20"/>
              </w:rPr>
              <w:t>512</w:t>
            </w:r>
          </w:p>
        </w:tc>
        <w:tc>
          <w:tcPr>
            <w:tcW w:w="4253" w:type="dxa"/>
          </w:tcPr>
          <w:p w14:paraId="34FE9AD8" w14:textId="77777777" w:rsidR="00A052DC" w:rsidRDefault="009F0A60">
            <w:pPr>
              <w:pStyle w:val="B"/>
              <w:rPr>
                <w:szCs w:val="20"/>
              </w:rPr>
            </w:pPr>
            <w:r>
              <w:rPr>
                <w:rFonts w:hint="eastAsia"/>
                <w:szCs w:val="20"/>
              </w:rPr>
              <w:t>当</w:t>
            </w:r>
            <w:r>
              <w:rPr>
                <w:szCs w:val="20"/>
              </w:rPr>
              <w:t>G0205（交易金额）为负数时</w:t>
            </w:r>
            <w:r>
              <w:rPr>
                <w:rFonts w:hint="eastAsia"/>
                <w:szCs w:val="20"/>
              </w:rPr>
              <w:t>为必填项。</w:t>
            </w:r>
          </w:p>
        </w:tc>
      </w:tr>
    </w:tbl>
    <w:p w14:paraId="2652D9B5" w14:textId="77777777" w:rsidR="00A052DC" w:rsidRDefault="009F0A60">
      <w:pPr>
        <w:pStyle w:val="3"/>
        <w:ind w:left="0"/>
        <w:rPr>
          <w:rFonts w:ascii="Times New Roman" w:hAnsi="Times New Roman"/>
        </w:rPr>
      </w:pPr>
      <w:bookmarkStart w:id="3644" w:name="_Toc91455334"/>
      <w:bookmarkStart w:id="3645" w:name="_Toc101684507"/>
      <w:bookmarkStart w:id="3646" w:name="_Toc454391456"/>
      <w:bookmarkStart w:id="3647" w:name="_Toc380571005"/>
      <w:bookmarkStart w:id="3648" w:name="_Toc328635587"/>
      <w:bookmarkStart w:id="3649" w:name="_Toc317756149"/>
      <w:bookmarkStart w:id="3650" w:name="_Toc380356304"/>
      <w:r>
        <w:rPr>
          <w:rFonts w:ascii="Times New Roman" w:hAnsi="Times New Roman"/>
        </w:rPr>
        <w:t>G03</w:t>
      </w:r>
      <w:r>
        <w:rPr>
          <w:rFonts w:ascii="Times New Roman" w:hAnsi="Times New Roman" w:hint="eastAsia"/>
        </w:rPr>
        <w:t>表：非居民持有境内银行卡的收入支出</w:t>
      </w:r>
      <w:bookmarkEnd w:id="3644"/>
      <w:bookmarkEnd w:id="3645"/>
    </w:p>
    <w:p w14:paraId="5376B3EB" w14:textId="77777777" w:rsidR="00A052DC" w:rsidRDefault="009F0A60" w:rsidP="0020251D">
      <w:pPr>
        <w:pStyle w:val="4"/>
        <w:numPr>
          <w:ilvl w:val="3"/>
          <w:numId w:val="1"/>
        </w:numPr>
        <w:jc w:val="left"/>
      </w:pPr>
      <w:r>
        <w:rPr>
          <w:rFonts w:hint="eastAsia"/>
        </w:rPr>
        <w:t>数据术语解释</w:t>
      </w:r>
    </w:p>
    <w:tbl>
      <w:tblPr>
        <w:tblW w:w="8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4"/>
        <w:gridCol w:w="6547"/>
      </w:tblGrid>
      <w:tr w:rsidR="00A052DC" w14:paraId="1A0E7C63" w14:textId="77777777">
        <w:trPr>
          <w:cantSplit/>
          <w:jc w:val="center"/>
        </w:trPr>
        <w:tc>
          <w:tcPr>
            <w:tcW w:w="1644" w:type="dxa"/>
            <w:noWrap/>
          </w:tcPr>
          <w:p w14:paraId="0BE11CEF" w14:textId="77777777" w:rsidR="00A052DC" w:rsidRDefault="009F0A60">
            <w:pPr>
              <w:pStyle w:val="B1"/>
            </w:pPr>
            <w:r>
              <w:rPr>
                <w:rFonts w:hint="eastAsia"/>
              </w:rPr>
              <w:t>基础数据项</w:t>
            </w:r>
          </w:p>
        </w:tc>
        <w:tc>
          <w:tcPr>
            <w:tcW w:w="6547" w:type="dxa"/>
            <w:noWrap/>
          </w:tcPr>
          <w:p w14:paraId="561FB924" w14:textId="77777777" w:rsidR="00A052DC" w:rsidRDefault="009F0A60">
            <w:pPr>
              <w:pStyle w:val="B1"/>
            </w:pPr>
            <w:r>
              <w:rPr>
                <w:rFonts w:hint="eastAsia"/>
              </w:rPr>
              <w:t>定义</w:t>
            </w:r>
          </w:p>
        </w:tc>
      </w:tr>
      <w:tr w:rsidR="00A052DC" w14:paraId="26657E1B" w14:textId="77777777">
        <w:trPr>
          <w:cantSplit/>
          <w:jc w:val="center"/>
        </w:trPr>
        <w:tc>
          <w:tcPr>
            <w:tcW w:w="1644" w:type="dxa"/>
          </w:tcPr>
          <w:p w14:paraId="38C6A16E" w14:textId="77777777" w:rsidR="00A052DC" w:rsidRDefault="009F0A60">
            <w:pPr>
              <w:pStyle w:val="B"/>
            </w:pPr>
            <w:r>
              <w:rPr>
                <w:rFonts w:hint="eastAsia"/>
              </w:rPr>
              <w:t>数据自编码</w:t>
            </w:r>
          </w:p>
        </w:tc>
        <w:tc>
          <w:tcPr>
            <w:tcW w:w="6547" w:type="dxa"/>
            <w:noWrap/>
          </w:tcPr>
          <w:p w14:paraId="372BCD08" w14:textId="77777777" w:rsidR="00A052DC" w:rsidRDefault="009F0A60">
            <w:pPr>
              <w:pStyle w:val="B"/>
            </w:pPr>
            <w:r>
              <w:rPr>
                <w:rFonts w:hint="eastAsia"/>
              </w:rPr>
              <w:t>该编码用于标识金融机构报送的每一条数据，按给定规则编码，便于进行增删改查等操作。建议规则：机构代码（</w:t>
            </w:r>
            <w:r>
              <w:t>18位，不足18位补a）+</w:t>
            </w:r>
            <w:r>
              <w:rPr>
                <w:rFonts w:hint="eastAsia"/>
              </w:rPr>
              <w:t>报表代码（</w:t>
            </w:r>
            <w:r>
              <w:t>5</w:t>
            </w:r>
            <w:r>
              <w:rPr>
                <w:rFonts w:hint="eastAsia"/>
              </w:rPr>
              <w:t>位，不足</w:t>
            </w:r>
            <w:r>
              <w:t>5</w:t>
            </w:r>
            <w:r>
              <w:rPr>
                <w:rFonts w:hint="eastAsia"/>
              </w:rPr>
              <w:t>位补</w:t>
            </w:r>
            <w:r>
              <w:t>a</w:t>
            </w:r>
            <w:r>
              <w:rPr>
                <w:rFonts w:hint="eastAsia"/>
              </w:rPr>
              <w:t>）</w:t>
            </w:r>
            <w:r>
              <w:t>+</w:t>
            </w:r>
            <w:r>
              <w:rPr>
                <w:rFonts w:hint="eastAsia"/>
              </w:rPr>
              <w:t>报送期（</w:t>
            </w:r>
            <w:r>
              <w:t>6</w:t>
            </w:r>
            <w:r>
              <w:rPr>
                <w:rFonts w:hint="eastAsia"/>
              </w:rPr>
              <w:t>位）</w:t>
            </w:r>
            <w:r>
              <w:t>+</w:t>
            </w:r>
            <w:r>
              <w:rPr>
                <w:rFonts w:hint="eastAsia"/>
              </w:rPr>
              <w:t>顺序号（</w:t>
            </w:r>
            <w:r>
              <w:t>7</w:t>
            </w:r>
            <w:r>
              <w:rPr>
                <w:rFonts w:hint="eastAsia"/>
              </w:rPr>
              <w:t>位，从</w:t>
            </w:r>
            <w:r>
              <w:t>0000001</w:t>
            </w:r>
            <w:r>
              <w:rPr>
                <w:rFonts w:hint="eastAsia"/>
              </w:rPr>
              <w:t>开始增加）。</w:t>
            </w:r>
          </w:p>
        </w:tc>
      </w:tr>
      <w:tr w:rsidR="00A052DC" w14:paraId="46AB1BA6" w14:textId="77777777">
        <w:trPr>
          <w:cantSplit/>
          <w:jc w:val="center"/>
        </w:trPr>
        <w:tc>
          <w:tcPr>
            <w:tcW w:w="1644" w:type="dxa"/>
          </w:tcPr>
          <w:p w14:paraId="1EA38F41" w14:textId="77777777" w:rsidR="00A052DC" w:rsidRDefault="009F0A60">
            <w:pPr>
              <w:pStyle w:val="B"/>
            </w:pPr>
            <w:r>
              <w:rPr>
                <w:rFonts w:hint="eastAsia"/>
              </w:rPr>
              <w:t>申报主体代码</w:t>
            </w:r>
          </w:p>
        </w:tc>
        <w:tc>
          <w:tcPr>
            <w:tcW w:w="6547" w:type="dxa"/>
            <w:noWrap/>
          </w:tcPr>
          <w:p w14:paraId="03BB61FF" w14:textId="77777777" w:rsidR="00A052DC" w:rsidRDefault="009F0A60">
            <w:pPr>
              <w:pStyle w:val="B"/>
            </w:pPr>
            <w:r>
              <w:rPr>
                <w:rFonts w:hint="eastAsia"/>
              </w:rPr>
              <w:t>申报主体的</w:t>
            </w:r>
            <w:r>
              <w:t>12位金融机构标识码，如果没有金融机构标识码，则填报统一社会信用代码法定载体（如营业执照）上的统一社会信用代码中的</w:t>
            </w:r>
            <w:r>
              <w:rPr>
                <w:rFonts w:hint="eastAsia"/>
                <w:szCs w:val="20"/>
              </w:rPr>
              <w:t>第9至17</w:t>
            </w:r>
            <w:r>
              <w:rPr>
                <w:rFonts w:hint="eastAsia"/>
              </w:rPr>
              <w:t>位或国家外汇管理局及其分支局签发的特殊机构代码赋码通知书上的机构代码、个人身份</w:t>
            </w:r>
            <w:r>
              <w:rPr>
                <w:rFonts w:hint="eastAsia"/>
                <w:szCs w:val="20"/>
              </w:rPr>
              <w:t>代码</w:t>
            </w:r>
            <w:r>
              <w:rPr>
                <w:rFonts w:hint="eastAsia"/>
              </w:rPr>
              <w:t>。</w:t>
            </w:r>
          </w:p>
        </w:tc>
      </w:tr>
      <w:tr w:rsidR="00A052DC" w14:paraId="0E5EB826" w14:textId="77777777">
        <w:trPr>
          <w:cantSplit/>
          <w:jc w:val="center"/>
        </w:trPr>
        <w:tc>
          <w:tcPr>
            <w:tcW w:w="1644" w:type="dxa"/>
          </w:tcPr>
          <w:p w14:paraId="2D5088FF" w14:textId="77777777" w:rsidR="00A052DC" w:rsidRDefault="009F0A60">
            <w:pPr>
              <w:pStyle w:val="B"/>
            </w:pPr>
            <w:r>
              <w:rPr>
                <w:rFonts w:hint="eastAsia"/>
              </w:rPr>
              <w:t>报告期</w:t>
            </w:r>
          </w:p>
        </w:tc>
        <w:tc>
          <w:tcPr>
            <w:tcW w:w="6547" w:type="dxa"/>
            <w:noWrap/>
          </w:tcPr>
          <w:p w14:paraId="05A46260" w14:textId="77777777" w:rsidR="00A052DC" w:rsidRDefault="009F0A60">
            <w:pPr>
              <w:pStyle w:val="B"/>
            </w:pPr>
            <w:r>
              <w:rPr>
                <w:rFonts w:hint="eastAsia"/>
              </w:rPr>
              <w:t>业务发生月份，格式为</w:t>
            </w:r>
            <w:r>
              <w:t>YYYYMM</w:t>
            </w:r>
            <w:r>
              <w:rPr>
                <w:rFonts w:hint="eastAsia"/>
              </w:rPr>
              <w:t>。</w:t>
            </w:r>
          </w:p>
        </w:tc>
      </w:tr>
      <w:tr w:rsidR="00A052DC" w14:paraId="00FB9273" w14:textId="77777777">
        <w:trPr>
          <w:cantSplit/>
          <w:jc w:val="center"/>
        </w:trPr>
        <w:tc>
          <w:tcPr>
            <w:tcW w:w="1644" w:type="dxa"/>
          </w:tcPr>
          <w:p w14:paraId="62CB30EA" w14:textId="77777777" w:rsidR="00A052DC" w:rsidRDefault="009F0A60">
            <w:pPr>
              <w:pStyle w:val="B"/>
              <w:rPr>
                <w:szCs w:val="20"/>
              </w:rPr>
            </w:pPr>
            <w:r>
              <w:rPr>
                <w:rFonts w:hint="eastAsia"/>
                <w:szCs w:val="20"/>
              </w:rPr>
              <w:t>银行卡清算渠道</w:t>
            </w:r>
          </w:p>
        </w:tc>
        <w:tc>
          <w:tcPr>
            <w:tcW w:w="6547" w:type="dxa"/>
            <w:noWrap/>
          </w:tcPr>
          <w:p w14:paraId="28207A2B" w14:textId="77777777" w:rsidR="00A052DC" w:rsidRDefault="009F0A60">
            <w:pPr>
              <w:pStyle w:val="B"/>
              <w:rPr>
                <w:szCs w:val="20"/>
              </w:rPr>
            </w:pPr>
            <w:r>
              <w:rPr>
                <w:rFonts w:hint="eastAsia"/>
                <w:szCs w:val="20"/>
              </w:rPr>
              <w:t>是指银行卡所使用的卡组织清算渠道或其他清算渠道，请按以下序号填列：</w:t>
            </w:r>
            <w:r>
              <w:rPr>
                <w:szCs w:val="20"/>
              </w:rPr>
              <w:t>1-</w:t>
            </w:r>
            <w:r>
              <w:rPr>
                <w:rFonts w:hint="eastAsia"/>
                <w:szCs w:val="20"/>
              </w:rPr>
              <w:t>银联；</w:t>
            </w:r>
            <w:r>
              <w:rPr>
                <w:szCs w:val="20"/>
              </w:rPr>
              <w:t>2-</w:t>
            </w:r>
            <w:r>
              <w:rPr>
                <w:rFonts w:hint="eastAsia"/>
                <w:szCs w:val="20"/>
              </w:rPr>
              <w:t>威士（Visa）；3-万事达（Mastercard）；4-美国运通（</w:t>
            </w:r>
            <w:r>
              <w:rPr>
                <w:szCs w:val="20"/>
              </w:rPr>
              <w:t xml:space="preserve">AMERICAN </w:t>
            </w:r>
            <w:r>
              <w:rPr>
                <w:rFonts w:hint="eastAsia"/>
                <w:szCs w:val="20"/>
              </w:rPr>
              <w:t>EXPRESS）；5-大来（</w:t>
            </w:r>
            <w:r>
              <w:rPr>
                <w:szCs w:val="20"/>
              </w:rPr>
              <w:t xml:space="preserve">DINERS </w:t>
            </w:r>
            <w:r>
              <w:rPr>
                <w:rFonts w:hint="eastAsia"/>
                <w:szCs w:val="20"/>
              </w:rPr>
              <w:t>CLUB）；6-吉士美（JCB）；7-本行清算；</w:t>
            </w:r>
            <w:r>
              <w:rPr>
                <w:szCs w:val="20"/>
              </w:rPr>
              <w:t>8-</w:t>
            </w:r>
            <w:r>
              <w:rPr>
                <w:rFonts w:hint="eastAsia"/>
                <w:szCs w:val="20"/>
              </w:rPr>
              <w:t>其他，指除</w:t>
            </w:r>
            <w:r>
              <w:rPr>
                <w:szCs w:val="20"/>
              </w:rPr>
              <w:t>1-7</w:t>
            </w:r>
            <w:r>
              <w:rPr>
                <w:rFonts w:hint="eastAsia"/>
                <w:szCs w:val="20"/>
              </w:rPr>
              <w:t>以外的清算渠道。</w:t>
            </w:r>
          </w:p>
        </w:tc>
      </w:tr>
      <w:tr w:rsidR="00A052DC" w14:paraId="598B7C90" w14:textId="77777777">
        <w:trPr>
          <w:cantSplit/>
          <w:jc w:val="center"/>
        </w:trPr>
        <w:tc>
          <w:tcPr>
            <w:tcW w:w="1644" w:type="dxa"/>
          </w:tcPr>
          <w:p w14:paraId="4E2DFC8D" w14:textId="77777777" w:rsidR="00A052DC" w:rsidRDefault="009F0A60">
            <w:pPr>
              <w:pStyle w:val="B"/>
              <w:rPr>
                <w:szCs w:val="20"/>
              </w:rPr>
            </w:pPr>
            <w:r>
              <w:rPr>
                <w:rFonts w:hint="eastAsia"/>
                <w:szCs w:val="20"/>
              </w:rPr>
              <w:t>持卡人所属国家</w:t>
            </w:r>
            <w:r>
              <w:rPr>
                <w:szCs w:val="20"/>
              </w:rPr>
              <w:t>/</w:t>
            </w:r>
            <w:r>
              <w:rPr>
                <w:rFonts w:hint="eastAsia"/>
                <w:szCs w:val="20"/>
              </w:rPr>
              <w:t>地区</w:t>
            </w:r>
          </w:p>
        </w:tc>
        <w:tc>
          <w:tcPr>
            <w:tcW w:w="6547" w:type="dxa"/>
            <w:noWrap/>
          </w:tcPr>
          <w:p w14:paraId="553E7E98" w14:textId="77777777" w:rsidR="00A052DC" w:rsidRDefault="009F0A60">
            <w:pPr>
              <w:pStyle w:val="B"/>
              <w:rPr>
                <w:szCs w:val="20"/>
              </w:rPr>
            </w:pPr>
            <w:r>
              <w:rPr>
                <w:rFonts w:hint="eastAsia"/>
                <w:szCs w:val="20"/>
              </w:rPr>
              <w:t>持卡人所属国家/地区是指非居民个人有效身份证件确定的国家/地区，可按照境外永久居留证、外国护照、港澳居民来往内地通行证等有效证件认定非居民所属国家/地区。见国家和地区代码表</w:t>
            </w:r>
            <w:r>
              <w:rPr>
                <w:rFonts w:ascii="宋体" w:hAnsi="宋体" w:hint="eastAsia"/>
                <w:color w:val="000000"/>
              </w:rPr>
              <w:t>。</w:t>
            </w:r>
          </w:p>
        </w:tc>
      </w:tr>
      <w:tr w:rsidR="00A052DC" w14:paraId="5654E116" w14:textId="77777777">
        <w:trPr>
          <w:cantSplit/>
          <w:jc w:val="center"/>
        </w:trPr>
        <w:tc>
          <w:tcPr>
            <w:tcW w:w="1644" w:type="dxa"/>
          </w:tcPr>
          <w:p w14:paraId="57367701" w14:textId="77777777" w:rsidR="00A052DC" w:rsidRDefault="009F0A60">
            <w:pPr>
              <w:pStyle w:val="B"/>
              <w:rPr>
                <w:szCs w:val="20"/>
              </w:rPr>
            </w:pPr>
            <w:r>
              <w:rPr>
                <w:rFonts w:hint="eastAsia"/>
                <w:szCs w:val="20"/>
              </w:rPr>
              <w:t>交易原币</w:t>
            </w:r>
          </w:p>
        </w:tc>
        <w:tc>
          <w:tcPr>
            <w:tcW w:w="6547" w:type="dxa"/>
            <w:noWrap/>
          </w:tcPr>
          <w:p w14:paraId="5F804145" w14:textId="77777777" w:rsidR="00A052DC" w:rsidRDefault="009F0A60">
            <w:pPr>
              <w:pStyle w:val="B"/>
              <w:rPr>
                <w:szCs w:val="20"/>
              </w:rPr>
            </w:pPr>
            <w:r>
              <w:rPr>
                <w:rFonts w:ascii="宋体" w:hAnsi="宋体" w:cs="宋体" w:hint="eastAsia"/>
                <w:color w:val="000000"/>
              </w:rPr>
              <w:t>指境内非居民持卡人收入或支出的原始币种，</w:t>
            </w:r>
            <w:r>
              <w:rPr>
                <w:rFonts w:hint="eastAsia"/>
                <w:szCs w:val="20"/>
              </w:rPr>
              <w:t>见币种代码表。</w:t>
            </w:r>
          </w:p>
        </w:tc>
      </w:tr>
      <w:tr w:rsidR="00A052DC" w14:paraId="293AB50B" w14:textId="77777777">
        <w:trPr>
          <w:cantSplit/>
          <w:jc w:val="center"/>
        </w:trPr>
        <w:tc>
          <w:tcPr>
            <w:tcW w:w="1644" w:type="dxa"/>
          </w:tcPr>
          <w:p w14:paraId="114BEDD9" w14:textId="77777777" w:rsidR="00A052DC" w:rsidRDefault="009F0A60">
            <w:pPr>
              <w:pStyle w:val="B"/>
              <w:rPr>
                <w:szCs w:val="20"/>
              </w:rPr>
            </w:pPr>
            <w:r>
              <w:rPr>
                <w:rFonts w:hint="eastAsia"/>
                <w:szCs w:val="20"/>
              </w:rPr>
              <w:t>收支类型</w:t>
            </w:r>
          </w:p>
        </w:tc>
        <w:tc>
          <w:tcPr>
            <w:tcW w:w="6547" w:type="dxa"/>
            <w:noWrap/>
          </w:tcPr>
          <w:p w14:paraId="28F0640B" w14:textId="77777777" w:rsidR="00A052DC" w:rsidRDefault="009F0A60">
            <w:pPr>
              <w:pStyle w:val="B"/>
              <w:rPr>
                <w:szCs w:val="20"/>
              </w:rPr>
            </w:pPr>
            <w:r>
              <w:rPr>
                <w:rFonts w:hint="eastAsia"/>
                <w:szCs w:val="20"/>
              </w:rPr>
              <w:t>请选择</w:t>
            </w:r>
            <w:r>
              <w:rPr>
                <w:szCs w:val="20"/>
              </w:rPr>
              <w:t>1-</w:t>
            </w:r>
            <w:r>
              <w:rPr>
                <w:rFonts w:hint="eastAsia"/>
                <w:szCs w:val="20"/>
              </w:rPr>
              <w:t>收入；</w:t>
            </w:r>
            <w:r>
              <w:rPr>
                <w:szCs w:val="20"/>
              </w:rPr>
              <w:t>2-</w:t>
            </w:r>
            <w:r>
              <w:rPr>
                <w:rFonts w:hint="eastAsia"/>
                <w:szCs w:val="20"/>
              </w:rPr>
              <w:t>支出。其中，收入包含导致银行卡余额增加的所有交易金额，支出包含导致银行卡余额减少的所有交易金额。</w:t>
            </w:r>
          </w:p>
        </w:tc>
      </w:tr>
      <w:tr w:rsidR="00A052DC" w14:paraId="6FAFCB71" w14:textId="77777777">
        <w:trPr>
          <w:cantSplit/>
          <w:jc w:val="center"/>
        </w:trPr>
        <w:tc>
          <w:tcPr>
            <w:tcW w:w="1644" w:type="dxa"/>
          </w:tcPr>
          <w:p w14:paraId="4C401F91" w14:textId="77777777" w:rsidR="00A052DC" w:rsidRDefault="009F0A60">
            <w:pPr>
              <w:pStyle w:val="B"/>
              <w:widowControl w:val="0"/>
            </w:pPr>
            <w:r>
              <w:rPr>
                <w:rFonts w:hint="eastAsia"/>
                <w:szCs w:val="20"/>
              </w:rPr>
              <w:t>交易类型</w:t>
            </w:r>
          </w:p>
        </w:tc>
        <w:tc>
          <w:tcPr>
            <w:tcW w:w="6547" w:type="dxa"/>
            <w:noWrap/>
          </w:tcPr>
          <w:p w14:paraId="5307DCD5" w14:textId="77777777" w:rsidR="00A052DC" w:rsidRDefault="009F0A60">
            <w:pPr>
              <w:pStyle w:val="B"/>
              <w:widowControl w:val="0"/>
            </w:pPr>
            <w:r>
              <w:rPr>
                <w:rFonts w:hint="eastAsia"/>
                <w:szCs w:val="20"/>
              </w:rPr>
              <w:t>若收支类型选择“</w:t>
            </w:r>
            <w:r>
              <w:rPr>
                <w:szCs w:val="20"/>
              </w:rPr>
              <w:t>2-</w:t>
            </w:r>
            <w:r>
              <w:rPr>
                <w:rFonts w:hint="eastAsia"/>
                <w:szCs w:val="20"/>
              </w:rPr>
              <w:t>支出”，请按照商户类别或境内提现情况选择：</w:t>
            </w:r>
            <w:r>
              <w:rPr>
                <w:szCs w:val="20"/>
              </w:rPr>
              <w:t>1-</w:t>
            </w:r>
            <w:r>
              <w:rPr>
                <w:rFonts w:hint="eastAsia"/>
                <w:szCs w:val="20"/>
              </w:rPr>
              <w:t>购物；</w:t>
            </w:r>
            <w:r>
              <w:rPr>
                <w:szCs w:val="20"/>
              </w:rPr>
              <w:t>2-</w:t>
            </w:r>
            <w:r>
              <w:rPr>
                <w:rFonts w:hint="eastAsia"/>
                <w:szCs w:val="20"/>
              </w:rPr>
              <w:t>住宿；</w:t>
            </w:r>
            <w:r>
              <w:rPr>
                <w:szCs w:val="20"/>
              </w:rPr>
              <w:t>3-</w:t>
            </w:r>
            <w:r>
              <w:rPr>
                <w:rFonts w:hint="eastAsia"/>
                <w:szCs w:val="20"/>
              </w:rPr>
              <w:t>餐饮；</w:t>
            </w:r>
            <w:r>
              <w:rPr>
                <w:szCs w:val="20"/>
              </w:rPr>
              <w:t>4-</w:t>
            </w:r>
            <w:r>
              <w:rPr>
                <w:rFonts w:hint="eastAsia"/>
                <w:szCs w:val="20"/>
              </w:rPr>
              <w:t>当地交通；</w:t>
            </w:r>
            <w:r>
              <w:rPr>
                <w:szCs w:val="20"/>
              </w:rPr>
              <w:t>5-</w:t>
            </w:r>
            <w:r>
              <w:rPr>
                <w:rFonts w:hint="eastAsia"/>
                <w:szCs w:val="20"/>
              </w:rPr>
              <w:t>教育留学；</w:t>
            </w:r>
            <w:r>
              <w:rPr>
                <w:szCs w:val="20"/>
              </w:rPr>
              <w:t>6-</w:t>
            </w:r>
            <w:r>
              <w:rPr>
                <w:rFonts w:hint="eastAsia"/>
                <w:szCs w:val="20"/>
              </w:rPr>
              <w:t>其他服务；</w:t>
            </w:r>
            <w:r>
              <w:rPr>
                <w:szCs w:val="20"/>
              </w:rPr>
              <w:t>7-</w:t>
            </w:r>
            <w:r>
              <w:rPr>
                <w:rFonts w:hint="eastAsia"/>
                <w:szCs w:val="20"/>
              </w:rPr>
              <w:t>提现；</w:t>
            </w:r>
            <w:r>
              <w:rPr>
                <w:szCs w:val="20"/>
              </w:rPr>
              <w:t>8-</w:t>
            </w:r>
            <w:r>
              <w:rPr>
                <w:rFonts w:hint="eastAsia"/>
                <w:szCs w:val="20"/>
              </w:rPr>
              <w:t>医疗保健；</w:t>
            </w:r>
            <w:r>
              <w:rPr>
                <w:szCs w:val="20"/>
              </w:rPr>
              <w:t>9-</w:t>
            </w:r>
            <w:r>
              <w:rPr>
                <w:rFonts w:hint="eastAsia"/>
                <w:szCs w:val="20"/>
              </w:rPr>
              <w:t>其他支出（含通过第三方支付机构或转账等支出）；若收支类型选择“</w:t>
            </w:r>
            <w:r>
              <w:rPr>
                <w:szCs w:val="20"/>
              </w:rPr>
              <w:t>2-</w:t>
            </w:r>
            <w:r>
              <w:rPr>
                <w:rFonts w:hint="eastAsia"/>
                <w:szCs w:val="20"/>
              </w:rPr>
              <w:t>支出”，且为非居民持卡人对境外的支出，请选择：</w:t>
            </w:r>
            <w:r>
              <w:rPr>
                <w:szCs w:val="20"/>
              </w:rPr>
              <w:t>10-</w:t>
            </w:r>
            <w:r>
              <w:rPr>
                <w:rFonts w:hint="eastAsia"/>
                <w:szCs w:val="20"/>
              </w:rPr>
              <w:t>境外支出。若收支类型选择“</w:t>
            </w:r>
            <w:r>
              <w:rPr>
                <w:szCs w:val="20"/>
              </w:rPr>
              <w:t>1-</w:t>
            </w:r>
            <w:r>
              <w:rPr>
                <w:rFonts w:hint="eastAsia"/>
                <w:szCs w:val="20"/>
              </w:rPr>
              <w:t>收入”，收入类型请选择：</w:t>
            </w:r>
            <w:r>
              <w:rPr>
                <w:szCs w:val="20"/>
              </w:rPr>
              <w:t>11-</w:t>
            </w:r>
            <w:r>
              <w:rPr>
                <w:rFonts w:hint="eastAsia"/>
                <w:szCs w:val="20"/>
              </w:rPr>
              <w:t>境内劳务报酬；</w:t>
            </w:r>
            <w:r>
              <w:rPr>
                <w:szCs w:val="20"/>
              </w:rPr>
              <w:t>12-</w:t>
            </w:r>
            <w:r>
              <w:rPr>
                <w:rFonts w:hint="eastAsia"/>
                <w:szCs w:val="20"/>
              </w:rPr>
              <w:t>除劳务报酬外的境内收入；</w:t>
            </w:r>
            <w:r>
              <w:rPr>
                <w:szCs w:val="20"/>
              </w:rPr>
              <w:t>13-</w:t>
            </w:r>
            <w:r>
              <w:rPr>
                <w:rFonts w:hint="eastAsia"/>
                <w:szCs w:val="20"/>
              </w:rPr>
              <w:t>境外收入。如有未涵盖的商户类别码或收支类型，请根据具体情况进行填报。</w:t>
            </w:r>
          </w:p>
        </w:tc>
      </w:tr>
      <w:tr w:rsidR="00A052DC" w14:paraId="7A8D18A9" w14:textId="77777777">
        <w:trPr>
          <w:cantSplit/>
          <w:jc w:val="center"/>
        </w:trPr>
        <w:tc>
          <w:tcPr>
            <w:tcW w:w="1644" w:type="dxa"/>
          </w:tcPr>
          <w:p w14:paraId="461C95C0" w14:textId="77777777" w:rsidR="00A052DC" w:rsidRDefault="009F0A60">
            <w:pPr>
              <w:pStyle w:val="B"/>
              <w:rPr>
                <w:szCs w:val="20"/>
              </w:rPr>
            </w:pPr>
            <w:r>
              <w:rPr>
                <w:rFonts w:hint="eastAsia"/>
                <w:szCs w:val="20"/>
              </w:rPr>
              <w:t>交易金额</w:t>
            </w:r>
          </w:p>
        </w:tc>
        <w:tc>
          <w:tcPr>
            <w:tcW w:w="6547" w:type="dxa"/>
            <w:noWrap/>
          </w:tcPr>
          <w:p w14:paraId="51A9CF93" w14:textId="77777777" w:rsidR="00A052DC" w:rsidRDefault="009F0A60">
            <w:pPr>
              <w:pStyle w:val="B"/>
              <w:rPr>
                <w:szCs w:val="20"/>
              </w:rPr>
            </w:pPr>
            <w:r>
              <w:rPr>
                <w:rFonts w:hint="eastAsia"/>
                <w:szCs w:val="20"/>
              </w:rPr>
              <w:t>指非居民持有的境内卡当月所有收入或支出金额。</w:t>
            </w:r>
          </w:p>
        </w:tc>
      </w:tr>
      <w:tr w:rsidR="00A052DC" w14:paraId="4C726CA5" w14:textId="77777777">
        <w:trPr>
          <w:cantSplit/>
          <w:jc w:val="center"/>
        </w:trPr>
        <w:tc>
          <w:tcPr>
            <w:tcW w:w="1644" w:type="dxa"/>
          </w:tcPr>
          <w:p w14:paraId="11F7F891" w14:textId="77777777" w:rsidR="00A052DC" w:rsidRDefault="009F0A60">
            <w:pPr>
              <w:pStyle w:val="B"/>
              <w:rPr>
                <w:szCs w:val="20"/>
              </w:rPr>
            </w:pPr>
            <w:r>
              <w:rPr>
                <w:rFonts w:hint="eastAsia"/>
                <w:szCs w:val="20"/>
              </w:rPr>
              <w:t>备注</w:t>
            </w:r>
          </w:p>
        </w:tc>
        <w:tc>
          <w:tcPr>
            <w:tcW w:w="6547" w:type="dxa"/>
            <w:noWrap/>
          </w:tcPr>
          <w:p w14:paraId="71079F2D" w14:textId="77777777" w:rsidR="00A052DC" w:rsidRDefault="009F0A60">
            <w:pPr>
              <w:pStyle w:val="B"/>
              <w:rPr>
                <w:szCs w:val="20"/>
              </w:rPr>
            </w:pPr>
            <w:r>
              <w:rPr>
                <w:rFonts w:hint="eastAsia"/>
                <w:szCs w:val="20"/>
              </w:rPr>
              <w:t>填报本表时需特别说明的情况。</w:t>
            </w:r>
          </w:p>
        </w:tc>
      </w:tr>
    </w:tbl>
    <w:p w14:paraId="5CBED3FA" w14:textId="77777777" w:rsidR="00A052DC" w:rsidRDefault="009F0A60">
      <w:pPr>
        <w:pStyle w:val="4"/>
        <w:numPr>
          <w:ilvl w:val="3"/>
          <w:numId w:val="1"/>
        </w:numPr>
        <w:jc w:val="left"/>
      </w:pPr>
      <w:r>
        <w:rPr>
          <w:rFonts w:hint="eastAsia"/>
        </w:rPr>
        <w:t>数据格式</w:t>
      </w:r>
    </w:p>
    <w:p w14:paraId="1FD6F617" w14:textId="77777777" w:rsidR="00A052DC" w:rsidRDefault="009F0A60">
      <w:pPr>
        <w:ind w:firstLine="426"/>
      </w:pPr>
      <w:r>
        <w:t>&lt;REC&gt;</w:t>
      </w:r>
    </w:p>
    <w:p w14:paraId="14AB82C9" w14:textId="77777777" w:rsidR="00A052DC" w:rsidRDefault="009F0A60">
      <w:pPr>
        <w:ind w:firstLine="426"/>
      </w:pPr>
      <w:r>
        <w:t>&lt;ACTIONTYPE&gt;</w:t>
      </w:r>
      <w:r>
        <w:rPr>
          <w:rFonts w:hAnsi="宋体"/>
        </w:rPr>
        <w:t>操作类型</w:t>
      </w:r>
      <w:r>
        <w:t>&lt;/ACTIONTYPE&gt;</w:t>
      </w:r>
    </w:p>
    <w:p w14:paraId="12C515DD" w14:textId="77777777" w:rsidR="00A052DC" w:rsidRDefault="009F0A60">
      <w:pPr>
        <w:ind w:firstLine="426"/>
      </w:pPr>
      <w:r>
        <w:t>&lt;ACTIONDESC&gt;</w:t>
      </w:r>
      <w:r>
        <w:rPr>
          <w:rFonts w:hAnsi="宋体"/>
        </w:rPr>
        <w:t>删除原因</w:t>
      </w:r>
      <w:r>
        <w:t>&lt;/ACTIONDESC&gt;</w:t>
      </w:r>
    </w:p>
    <w:p w14:paraId="2DE485A5" w14:textId="77777777" w:rsidR="00A052DC" w:rsidRDefault="009F0A60">
      <w:pPr>
        <w:ind w:firstLine="426"/>
      </w:pPr>
      <w:r>
        <w:t>&lt;SNOCODE&gt;</w:t>
      </w:r>
      <w:r>
        <w:rPr>
          <w:rFonts w:hAnsi="宋体"/>
        </w:rPr>
        <w:t>数据自编码</w:t>
      </w:r>
      <w:r>
        <w:t>&lt;/SNOCODE&gt;</w:t>
      </w:r>
    </w:p>
    <w:p w14:paraId="32E7D3EC" w14:textId="77777777" w:rsidR="00A052DC" w:rsidRDefault="009F0A60">
      <w:pPr>
        <w:ind w:firstLine="426"/>
      </w:pPr>
      <w:r>
        <w:t>&lt;OBJCODE&gt;</w:t>
      </w:r>
      <w:r>
        <w:rPr>
          <w:rFonts w:hAnsi="宋体"/>
        </w:rPr>
        <w:t>申报主体代码</w:t>
      </w:r>
      <w:r>
        <w:t>&lt;/OBJCODE&gt;</w:t>
      </w:r>
    </w:p>
    <w:p w14:paraId="02B9DB6E" w14:textId="77777777" w:rsidR="00A052DC" w:rsidRDefault="009F0A60">
      <w:pPr>
        <w:ind w:firstLine="426"/>
      </w:pPr>
      <w:r>
        <w:t>&lt;BUOCMONTH&gt;</w:t>
      </w:r>
      <w:r>
        <w:rPr>
          <w:rFonts w:hAnsi="宋体"/>
        </w:rPr>
        <w:t>报告期</w:t>
      </w:r>
      <w:r>
        <w:t>&lt;/BUOCMONTH&gt;</w:t>
      </w:r>
    </w:p>
    <w:p w14:paraId="2F23C482" w14:textId="77777777" w:rsidR="00A052DC" w:rsidRDefault="009F0A60">
      <w:pPr>
        <w:ind w:firstLine="426"/>
      </w:pPr>
      <w:r>
        <w:t>&lt;G0301&gt;</w:t>
      </w:r>
      <w:r>
        <w:rPr>
          <w:rFonts w:hAnsi="宋体"/>
        </w:rPr>
        <w:t>银行卡清算渠道</w:t>
      </w:r>
      <w:r>
        <w:t>&lt;/G0301&gt;</w:t>
      </w:r>
    </w:p>
    <w:p w14:paraId="0A3675E4" w14:textId="77777777" w:rsidR="00A052DC" w:rsidRDefault="009F0A60">
      <w:pPr>
        <w:ind w:firstLine="426"/>
      </w:pPr>
      <w:r>
        <w:t>&lt;G0302&gt;</w:t>
      </w:r>
      <w:r>
        <w:rPr>
          <w:rFonts w:hAnsi="宋体" w:hint="eastAsia"/>
        </w:rPr>
        <w:t>持卡人</w:t>
      </w:r>
      <w:r>
        <w:rPr>
          <w:rFonts w:hAnsi="宋体"/>
        </w:rPr>
        <w:t>所属国家</w:t>
      </w:r>
      <w:r>
        <w:t>/</w:t>
      </w:r>
      <w:r>
        <w:rPr>
          <w:rFonts w:hAnsi="宋体"/>
        </w:rPr>
        <w:t>地区</w:t>
      </w:r>
      <w:r>
        <w:t>&lt;/G0302&gt;</w:t>
      </w:r>
    </w:p>
    <w:p w14:paraId="66555AF5" w14:textId="77777777" w:rsidR="00A052DC" w:rsidRDefault="009F0A60">
      <w:pPr>
        <w:ind w:firstLine="426"/>
      </w:pPr>
      <w:r>
        <w:t>&lt;G0303&gt;</w:t>
      </w:r>
      <w:r>
        <w:rPr>
          <w:rFonts w:hAnsi="宋体"/>
        </w:rPr>
        <w:t>交易原币</w:t>
      </w:r>
      <w:r>
        <w:t>&lt;/G0303&gt;</w:t>
      </w:r>
    </w:p>
    <w:p w14:paraId="738F4C81" w14:textId="77777777" w:rsidR="00A052DC" w:rsidRDefault="009F0A60">
      <w:pPr>
        <w:ind w:firstLine="426"/>
      </w:pPr>
      <w:r>
        <w:t>&lt;G0304&gt;</w:t>
      </w:r>
      <w:r>
        <w:rPr>
          <w:rFonts w:hAnsi="宋体"/>
        </w:rPr>
        <w:t>收支类型</w:t>
      </w:r>
      <w:r>
        <w:t>&lt;/G0304&gt;</w:t>
      </w:r>
    </w:p>
    <w:p w14:paraId="5B76F975" w14:textId="77777777" w:rsidR="00A052DC" w:rsidRDefault="009F0A60">
      <w:pPr>
        <w:ind w:firstLine="426"/>
      </w:pPr>
      <w:r>
        <w:t>&lt;G0305&gt;</w:t>
      </w:r>
      <w:r>
        <w:rPr>
          <w:rFonts w:hAnsi="宋体"/>
        </w:rPr>
        <w:t>交易类型</w:t>
      </w:r>
      <w:r>
        <w:t>&lt;/G0305&gt;</w:t>
      </w:r>
    </w:p>
    <w:p w14:paraId="7E4CDC6F" w14:textId="77777777" w:rsidR="00A052DC" w:rsidRDefault="009F0A60">
      <w:pPr>
        <w:ind w:firstLine="426"/>
      </w:pPr>
      <w:r>
        <w:t>&lt;G0306&gt;</w:t>
      </w:r>
      <w:r>
        <w:rPr>
          <w:rFonts w:hAnsi="宋体"/>
        </w:rPr>
        <w:t>交易金额</w:t>
      </w:r>
      <w:r>
        <w:t>&lt;/G0306&gt;</w:t>
      </w:r>
    </w:p>
    <w:p w14:paraId="65B193D8" w14:textId="77777777" w:rsidR="00A052DC" w:rsidRDefault="009F0A60">
      <w:pPr>
        <w:ind w:firstLine="426"/>
      </w:pPr>
      <w:r>
        <w:t>&lt;REMARK&gt;</w:t>
      </w:r>
      <w:r>
        <w:rPr>
          <w:rFonts w:hAnsi="宋体"/>
        </w:rPr>
        <w:t>备注</w:t>
      </w:r>
      <w:r>
        <w:t>&lt;/REMARK&gt;</w:t>
      </w:r>
    </w:p>
    <w:p w14:paraId="6881B9AE" w14:textId="77777777" w:rsidR="00A052DC" w:rsidRDefault="009F0A60">
      <w:pPr>
        <w:ind w:firstLine="426"/>
      </w:pPr>
      <w:r>
        <w:t>&lt;/REC&gt;</w:t>
      </w:r>
    </w:p>
    <w:p w14:paraId="53BD3DD9" w14:textId="77777777" w:rsidR="00A052DC" w:rsidRDefault="009F0A60" w:rsidP="0020251D">
      <w:pPr>
        <w:pStyle w:val="4"/>
        <w:numPr>
          <w:ilvl w:val="3"/>
          <w:numId w:val="1"/>
        </w:numPr>
        <w:jc w:val="left"/>
      </w:pPr>
      <w:r>
        <w:rPr>
          <w:rFonts w:hint="eastAsia"/>
        </w:rPr>
        <w:t>数据字典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6"/>
        <w:gridCol w:w="1418"/>
        <w:gridCol w:w="1417"/>
        <w:gridCol w:w="4071"/>
      </w:tblGrid>
      <w:tr w:rsidR="00A052DC" w14:paraId="267EFD55" w14:textId="77777777">
        <w:trPr>
          <w:tblHeader/>
        </w:trPr>
        <w:tc>
          <w:tcPr>
            <w:tcW w:w="1616" w:type="dxa"/>
            <w:shd w:val="clear" w:color="auto" w:fill="C0C0C0"/>
            <w:noWrap/>
          </w:tcPr>
          <w:p w14:paraId="1DFA8E6B" w14:textId="77777777" w:rsidR="00A052DC" w:rsidRDefault="009F0A60">
            <w:pPr>
              <w:pStyle w:val="B1"/>
            </w:pPr>
            <w:r>
              <w:rPr>
                <w:rFonts w:hint="eastAsia"/>
              </w:rPr>
              <w:t>字段</w:t>
            </w:r>
          </w:p>
        </w:tc>
        <w:tc>
          <w:tcPr>
            <w:tcW w:w="1418" w:type="dxa"/>
            <w:shd w:val="clear" w:color="auto" w:fill="C0C0C0"/>
            <w:noWrap/>
          </w:tcPr>
          <w:p w14:paraId="30365785" w14:textId="77777777" w:rsidR="00A052DC" w:rsidRDefault="009F0A60">
            <w:pPr>
              <w:pStyle w:val="B1"/>
            </w:pPr>
            <w:r>
              <w:rPr>
                <w:rFonts w:hint="eastAsia"/>
              </w:rPr>
              <w:t>内容</w:t>
            </w:r>
          </w:p>
        </w:tc>
        <w:tc>
          <w:tcPr>
            <w:tcW w:w="1417" w:type="dxa"/>
            <w:shd w:val="clear" w:color="auto" w:fill="C0C0C0"/>
            <w:noWrap/>
          </w:tcPr>
          <w:p w14:paraId="2FC84915" w14:textId="77777777" w:rsidR="00A052DC" w:rsidRDefault="009F0A60">
            <w:pPr>
              <w:pStyle w:val="B1"/>
            </w:pPr>
            <w:r>
              <w:rPr>
                <w:rFonts w:hint="eastAsia"/>
              </w:rPr>
              <w:t>类型（长度）</w:t>
            </w:r>
          </w:p>
        </w:tc>
        <w:tc>
          <w:tcPr>
            <w:tcW w:w="4071" w:type="dxa"/>
            <w:shd w:val="clear" w:color="auto" w:fill="C0C0C0"/>
          </w:tcPr>
          <w:p w14:paraId="31A87436" w14:textId="77777777" w:rsidR="00A052DC" w:rsidRDefault="009F0A60">
            <w:pPr>
              <w:pStyle w:val="B1"/>
            </w:pPr>
            <w:r>
              <w:rPr>
                <w:rFonts w:hint="eastAsia"/>
              </w:rPr>
              <w:t>校验</w:t>
            </w:r>
          </w:p>
        </w:tc>
      </w:tr>
      <w:tr w:rsidR="00A052DC" w14:paraId="28EFEA41" w14:textId="77777777">
        <w:tc>
          <w:tcPr>
            <w:tcW w:w="1616" w:type="dxa"/>
            <w:noWrap/>
          </w:tcPr>
          <w:p w14:paraId="70C964D1" w14:textId="77777777" w:rsidR="00A052DC" w:rsidRDefault="009F0A60">
            <w:pPr>
              <w:pStyle w:val="B"/>
              <w:rPr>
                <w:szCs w:val="20"/>
              </w:rPr>
            </w:pPr>
            <w:r>
              <w:rPr>
                <w:szCs w:val="20"/>
              </w:rPr>
              <w:t>ACTIONTYPE</w:t>
            </w:r>
          </w:p>
        </w:tc>
        <w:tc>
          <w:tcPr>
            <w:tcW w:w="1418" w:type="dxa"/>
          </w:tcPr>
          <w:p w14:paraId="792D95F1" w14:textId="77777777" w:rsidR="00A052DC" w:rsidRDefault="009F0A60">
            <w:pPr>
              <w:pStyle w:val="B"/>
              <w:rPr>
                <w:szCs w:val="20"/>
              </w:rPr>
            </w:pPr>
            <w:r>
              <w:rPr>
                <w:rFonts w:hint="eastAsia"/>
                <w:szCs w:val="20"/>
              </w:rPr>
              <w:t>操作类型</w:t>
            </w:r>
          </w:p>
        </w:tc>
        <w:tc>
          <w:tcPr>
            <w:tcW w:w="1417" w:type="dxa"/>
            <w:noWrap/>
          </w:tcPr>
          <w:p w14:paraId="64DE2DAB" w14:textId="77777777" w:rsidR="00A052DC" w:rsidRDefault="009F0A60">
            <w:pPr>
              <w:pStyle w:val="B"/>
              <w:rPr>
                <w:szCs w:val="20"/>
              </w:rPr>
            </w:pPr>
            <w:r>
              <w:rPr>
                <w:rFonts w:hint="eastAsia"/>
                <w:szCs w:val="20"/>
              </w:rPr>
              <w:t>字符型，</w:t>
            </w:r>
            <w:r>
              <w:rPr>
                <w:szCs w:val="20"/>
              </w:rPr>
              <w:t>1</w:t>
            </w:r>
          </w:p>
        </w:tc>
        <w:tc>
          <w:tcPr>
            <w:tcW w:w="4071" w:type="dxa"/>
          </w:tcPr>
          <w:p w14:paraId="3A8AE159" w14:textId="77777777" w:rsidR="00A052DC" w:rsidRDefault="009F0A60">
            <w:pPr>
              <w:pStyle w:val="B"/>
              <w:rPr>
                <w:szCs w:val="20"/>
              </w:rPr>
            </w:pPr>
            <w:r>
              <w:rPr>
                <w:rFonts w:hint="eastAsia"/>
                <w:szCs w:val="20"/>
              </w:rPr>
              <w:t>必填项</w:t>
            </w:r>
            <w:r w:rsidR="004D1828">
              <w:rPr>
                <w:rFonts w:hint="eastAsia"/>
                <w:szCs w:val="20"/>
              </w:rPr>
              <w:t>。</w:t>
            </w:r>
          </w:p>
          <w:p w14:paraId="7CF3E034" w14:textId="77777777" w:rsidR="00A052DC" w:rsidRDefault="009F0A60">
            <w:pPr>
              <w:pStyle w:val="B"/>
              <w:rPr>
                <w:szCs w:val="20"/>
              </w:rPr>
            </w:pPr>
            <w:r>
              <w:rPr>
                <w:szCs w:val="20"/>
              </w:rPr>
              <w:t>A</w:t>
            </w:r>
            <w:r w:rsidR="00AE4602">
              <w:rPr>
                <w:rFonts w:hint="eastAsia"/>
                <w:szCs w:val="20"/>
              </w:rPr>
              <w:t>-</w:t>
            </w:r>
            <w:r>
              <w:rPr>
                <w:rFonts w:hint="eastAsia"/>
                <w:szCs w:val="20"/>
              </w:rPr>
              <w:t>新建</w:t>
            </w:r>
          </w:p>
          <w:p w14:paraId="32ED3908" w14:textId="77777777" w:rsidR="00A052DC" w:rsidRDefault="009F0A60">
            <w:pPr>
              <w:pStyle w:val="B"/>
              <w:rPr>
                <w:szCs w:val="20"/>
              </w:rPr>
            </w:pPr>
            <w:r>
              <w:rPr>
                <w:szCs w:val="20"/>
              </w:rPr>
              <w:t>C</w:t>
            </w:r>
            <w:r w:rsidR="00AE4602">
              <w:rPr>
                <w:rFonts w:hint="eastAsia"/>
                <w:szCs w:val="20"/>
              </w:rPr>
              <w:t>-</w:t>
            </w:r>
            <w:r>
              <w:rPr>
                <w:rFonts w:hint="eastAsia"/>
                <w:szCs w:val="20"/>
              </w:rPr>
              <w:t>修改</w:t>
            </w:r>
          </w:p>
          <w:p w14:paraId="51B1B169" w14:textId="77777777" w:rsidR="00A052DC" w:rsidRDefault="009F0A60">
            <w:pPr>
              <w:pStyle w:val="B"/>
              <w:rPr>
                <w:szCs w:val="20"/>
              </w:rPr>
            </w:pPr>
            <w:r>
              <w:rPr>
                <w:szCs w:val="20"/>
              </w:rPr>
              <w:t>D</w:t>
            </w:r>
            <w:r w:rsidR="00AE4602">
              <w:rPr>
                <w:rFonts w:hint="eastAsia"/>
                <w:szCs w:val="20"/>
              </w:rPr>
              <w:t>-</w:t>
            </w:r>
            <w:r>
              <w:rPr>
                <w:rFonts w:hint="eastAsia"/>
                <w:szCs w:val="20"/>
              </w:rPr>
              <w:t>删除</w:t>
            </w:r>
          </w:p>
        </w:tc>
      </w:tr>
      <w:tr w:rsidR="00A052DC" w14:paraId="2029823B" w14:textId="77777777">
        <w:tc>
          <w:tcPr>
            <w:tcW w:w="1616" w:type="dxa"/>
            <w:noWrap/>
          </w:tcPr>
          <w:p w14:paraId="16FA82AD" w14:textId="77777777" w:rsidR="00A052DC" w:rsidRDefault="009F0A60">
            <w:pPr>
              <w:pStyle w:val="B"/>
              <w:rPr>
                <w:szCs w:val="20"/>
              </w:rPr>
            </w:pPr>
            <w:r>
              <w:rPr>
                <w:szCs w:val="20"/>
              </w:rPr>
              <w:t>ACTIONDESC</w:t>
            </w:r>
          </w:p>
        </w:tc>
        <w:tc>
          <w:tcPr>
            <w:tcW w:w="1418" w:type="dxa"/>
          </w:tcPr>
          <w:p w14:paraId="2373F021" w14:textId="77777777" w:rsidR="00A052DC" w:rsidRDefault="009F0A60">
            <w:pPr>
              <w:pStyle w:val="B"/>
              <w:rPr>
                <w:szCs w:val="20"/>
              </w:rPr>
            </w:pPr>
            <w:r>
              <w:rPr>
                <w:rFonts w:hint="eastAsia"/>
                <w:szCs w:val="20"/>
              </w:rPr>
              <w:t>删除原因</w:t>
            </w:r>
          </w:p>
        </w:tc>
        <w:tc>
          <w:tcPr>
            <w:tcW w:w="1417" w:type="dxa"/>
            <w:noWrap/>
          </w:tcPr>
          <w:p w14:paraId="31CFEE31" w14:textId="77777777" w:rsidR="00A052DC" w:rsidRDefault="009F0A60">
            <w:pPr>
              <w:pStyle w:val="B"/>
              <w:rPr>
                <w:szCs w:val="20"/>
              </w:rPr>
            </w:pPr>
            <w:r>
              <w:rPr>
                <w:rFonts w:hint="eastAsia"/>
                <w:szCs w:val="20"/>
              </w:rPr>
              <w:t>字符型，</w:t>
            </w:r>
            <w:r>
              <w:rPr>
                <w:szCs w:val="20"/>
              </w:rPr>
              <w:t>128</w:t>
            </w:r>
          </w:p>
        </w:tc>
        <w:tc>
          <w:tcPr>
            <w:tcW w:w="4071" w:type="dxa"/>
          </w:tcPr>
          <w:p w14:paraId="10F19D3A" w14:textId="77777777" w:rsidR="00A052DC" w:rsidRDefault="00DD6AA3">
            <w:pPr>
              <w:pStyle w:val="B"/>
              <w:rPr>
                <w:szCs w:val="20"/>
              </w:rPr>
            </w:pPr>
            <w:r>
              <w:rPr>
                <w:rFonts w:hint="eastAsia"/>
                <w:szCs w:val="20"/>
              </w:rPr>
              <w:t>非必填项，当操作类型（ACTIONTYPE）为删除时必填。</w:t>
            </w:r>
          </w:p>
        </w:tc>
      </w:tr>
      <w:tr w:rsidR="00A052DC" w14:paraId="0DD7BBB0" w14:textId="77777777">
        <w:tc>
          <w:tcPr>
            <w:tcW w:w="1616" w:type="dxa"/>
            <w:noWrap/>
          </w:tcPr>
          <w:p w14:paraId="7375C1D6" w14:textId="77777777" w:rsidR="00A052DC" w:rsidRDefault="009F0A60">
            <w:pPr>
              <w:pStyle w:val="B"/>
              <w:rPr>
                <w:szCs w:val="20"/>
              </w:rPr>
            </w:pPr>
            <w:r>
              <w:rPr>
                <w:szCs w:val="20"/>
              </w:rPr>
              <w:t>SNOCODE</w:t>
            </w:r>
          </w:p>
        </w:tc>
        <w:tc>
          <w:tcPr>
            <w:tcW w:w="1418" w:type="dxa"/>
          </w:tcPr>
          <w:p w14:paraId="079A159F" w14:textId="77777777" w:rsidR="00A052DC" w:rsidRDefault="009F0A60">
            <w:pPr>
              <w:pStyle w:val="B"/>
              <w:rPr>
                <w:szCs w:val="20"/>
              </w:rPr>
            </w:pPr>
            <w:r>
              <w:rPr>
                <w:rFonts w:hint="eastAsia"/>
                <w:szCs w:val="20"/>
              </w:rPr>
              <w:t>数据自编码</w:t>
            </w:r>
          </w:p>
        </w:tc>
        <w:tc>
          <w:tcPr>
            <w:tcW w:w="1417" w:type="dxa"/>
            <w:noWrap/>
          </w:tcPr>
          <w:p w14:paraId="3D3C3760" w14:textId="77777777" w:rsidR="00A052DC" w:rsidRDefault="009F0A60">
            <w:pPr>
              <w:pStyle w:val="B"/>
              <w:rPr>
                <w:szCs w:val="20"/>
              </w:rPr>
            </w:pPr>
            <w:r>
              <w:rPr>
                <w:rFonts w:hint="eastAsia"/>
                <w:szCs w:val="20"/>
              </w:rPr>
              <w:t>字符型，</w:t>
            </w:r>
            <w:r>
              <w:rPr>
                <w:szCs w:val="20"/>
              </w:rPr>
              <w:t>36</w:t>
            </w:r>
          </w:p>
        </w:tc>
        <w:tc>
          <w:tcPr>
            <w:tcW w:w="4071" w:type="dxa"/>
          </w:tcPr>
          <w:p w14:paraId="4A2523B5" w14:textId="77777777" w:rsidR="00A052DC" w:rsidRDefault="009F0A60">
            <w:pPr>
              <w:pStyle w:val="B"/>
              <w:rPr>
                <w:szCs w:val="20"/>
              </w:rPr>
            </w:pPr>
            <w:r>
              <w:rPr>
                <w:rFonts w:hint="eastAsia"/>
                <w:szCs w:val="20"/>
              </w:rPr>
              <w:t>必填项。对于接口报送的填报主体，数据自编码中的报送期（6位）应与报告期（YYYYMM）一致。</w:t>
            </w:r>
          </w:p>
        </w:tc>
      </w:tr>
      <w:tr w:rsidR="00A052DC" w14:paraId="0E28BFE1" w14:textId="77777777">
        <w:tc>
          <w:tcPr>
            <w:tcW w:w="1616" w:type="dxa"/>
            <w:noWrap/>
          </w:tcPr>
          <w:p w14:paraId="2847F5C1" w14:textId="77777777" w:rsidR="00A052DC" w:rsidRDefault="009F0A60">
            <w:pPr>
              <w:pStyle w:val="B"/>
              <w:rPr>
                <w:szCs w:val="20"/>
              </w:rPr>
            </w:pPr>
            <w:r>
              <w:rPr>
                <w:szCs w:val="20"/>
              </w:rPr>
              <w:t>OBJCODE</w:t>
            </w:r>
          </w:p>
        </w:tc>
        <w:tc>
          <w:tcPr>
            <w:tcW w:w="1418" w:type="dxa"/>
          </w:tcPr>
          <w:p w14:paraId="6BABA409" w14:textId="77777777" w:rsidR="00A052DC" w:rsidRDefault="009F0A60">
            <w:pPr>
              <w:pStyle w:val="B"/>
              <w:rPr>
                <w:szCs w:val="20"/>
              </w:rPr>
            </w:pPr>
            <w:r>
              <w:rPr>
                <w:rFonts w:hint="eastAsia"/>
                <w:szCs w:val="20"/>
              </w:rPr>
              <w:t>申报主体代码</w:t>
            </w:r>
          </w:p>
        </w:tc>
        <w:tc>
          <w:tcPr>
            <w:tcW w:w="1417" w:type="dxa"/>
            <w:noWrap/>
          </w:tcPr>
          <w:p w14:paraId="32C0CC94" w14:textId="77777777" w:rsidR="00A052DC" w:rsidRDefault="009F0A60">
            <w:pPr>
              <w:pStyle w:val="B"/>
              <w:rPr>
                <w:szCs w:val="20"/>
              </w:rPr>
            </w:pPr>
            <w:r>
              <w:rPr>
                <w:rFonts w:hint="eastAsia"/>
                <w:szCs w:val="20"/>
              </w:rPr>
              <w:t>字符型，</w:t>
            </w:r>
            <w:r>
              <w:rPr>
                <w:szCs w:val="20"/>
              </w:rPr>
              <w:t>18</w:t>
            </w:r>
          </w:p>
        </w:tc>
        <w:tc>
          <w:tcPr>
            <w:tcW w:w="4071" w:type="dxa"/>
          </w:tcPr>
          <w:p w14:paraId="29752568" w14:textId="77777777" w:rsidR="00A052DC" w:rsidRDefault="009F0A60">
            <w:pPr>
              <w:pStyle w:val="B"/>
              <w:rPr>
                <w:szCs w:val="20"/>
              </w:rPr>
            </w:pPr>
            <w:r>
              <w:rPr>
                <w:rFonts w:hint="eastAsia"/>
                <w:szCs w:val="20"/>
              </w:rPr>
              <w:t>申报主体的12位金融机构标识码，如果没有金融机构标识码，则填报统一社会信用代码法定载体（如营业执照）上的统一社会信用代码中的第9至17位或国家外汇管理局及其分支局签发的特殊机构代码赋码通知书上的机构代码、个人身份代码。</w:t>
            </w:r>
          </w:p>
        </w:tc>
      </w:tr>
      <w:tr w:rsidR="00A052DC" w14:paraId="72AA7617" w14:textId="77777777">
        <w:tc>
          <w:tcPr>
            <w:tcW w:w="1616" w:type="dxa"/>
            <w:noWrap/>
          </w:tcPr>
          <w:p w14:paraId="4C55DDF3" w14:textId="77777777" w:rsidR="00A052DC" w:rsidRDefault="009F0A60">
            <w:pPr>
              <w:pStyle w:val="B"/>
              <w:rPr>
                <w:szCs w:val="20"/>
              </w:rPr>
            </w:pPr>
            <w:r>
              <w:rPr>
                <w:szCs w:val="20"/>
              </w:rPr>
              <w:t>BUOCMONTH</w:t>
            </w:r>
          </w:p>
        </w:tc>
        <w:tc>
          <w:tcPr>
            <w:tcW w:w="1418" w:type="dxa"/>
          </w:tcPr>
          <w:p w14:paraId="15308A7F" w14:textId="77777777" w:rsidR="00A052DC" w:rsidRDefault="009F0A60">
            <w:pPr>
              <w:pStyle w:val="B"/>
              <w:rPr>
                <w:szCs w:val="20"/>
              </w:rPr>
            </w:pPr>
            <w:r>
              <w:rPr>
                <w:rFonts w:hint="eastAsia"/>
                <w:szCs w:val="20"/>
              </w:rPr>
              <w:t>报告期</w:t>
            </w:r>
          </w:p>
        </w:tc>
        <w:tc>
          <w:tcPr>
            <w:tcW w:w="1417" w:type="dxa"/>
            <w:noWrap/>
          </w:tcPr>
          <w:p w14:paraId="023DEE1A" w14:textId="77777777" w:rsidR="00A052DC" w:rsidRDefault="009F0A60">
            <w:pPr>
              <w:pStyle w:val="B"/>
              <w:rPr>
                <w:szCs w:val="20"/>
              </w:rPr>
            </w:pPr>
            <w:r>
              <w:rPr>
                <w:rFonts w:hint="eastAsia"/>
                <w:szCs w:val="20"/>
              </w:rPr>
              <w:t>数值型，</w:t>
            </w:r>
            <w:r>
              <w:rPr>
                <w:szCs w:val="20"/>
              </w:rPr>
              <w:t>6</w:t>
            </w:r>
          </w:p>
        </w:tc>
        <w:tc>
          <w:tcPr>
            <w:tcW w:w="4071" w:type="dxa"/>
          </w:tcPr>
          <w:p w14:paraId="1CE40542" w14:textId="77777777" w:rsidR="00A052DC" w:rsidRDefault="009F0A60">
            <w:pPr>
              <w:pStyle w:val="B"/>
              <w:rPr>
                <w:szCs w:val="20"/>
              </w:rPr>
            </w:pPr>
            <w:r>
              <w:rPr>
                <w:rFonts w:hint="eastAsia"/>
                <w:szCs w:val="20"/>
              </w:rPr>
              <w:t>必填项，格式为</w:t>
            </w:r>
            <w:r>
              <w:rPr>
                <w:szCs w:val="20"/>
              </w:rPr>
              <w:t>YYYYMM</w:t>
            </w:r>
            <w:r>
              <w:rPr>
                <w:rFonts w:hint="eastAsia"/>
                <w:szCs w:val="20"/>
              </w:rPr>
              <w:t>。</w:t>
            </w:r>
          </w:p>
        </w:tc>
      </w:tr>
      <w:tr w:rsidR="00A052DC" w14:paraId="5326FBAE" w14:textId="77777777">
        <w:tc>
          <w:tcPr>
            <w:tcW w:w="1616" w:type="dxa"/>
            <w:noWrap/>
          </w:tcPr>
          <w:p w14:paraId="10813B48" w14:textId="77777777" w:rsidR="00A052DC" w:rsidRDefault="009F0A60">
            <w:pPr>
              <w:pStyle w:val="B"/>
              <w:rPr>
                <w:szCs w:val="20"/>
              </w:rPr>
            </w:pPr>
            <w:r>
              <w:rPr>
                <w:szCs w:val="20"/>
              </w:rPr>
              <w:t>G0301</w:t>
            </w:r>
          </w:p>
        </w:tc>
        <w:tc>
          <w:tcPr>
            <w:tcW w:w="1418" w:type="dxa"/>
          </w:tcPr>
          <w:p w14:paraId="48CBF46D" w14:textId="77777777" w:rsidR="00A052DC" w:rsidRDefault="009F0A60">
            <w:pPr>
              <w:pStyle w:val="B"/>
              <w:rPr>
                <w:szCs w:val="20"/>
              </w:rPr>
            </w:pPr>
            <w:r>
              <w:rPr>
                <w:rFonts w:hint="eastAsia"/>
                <w:szCs w:val="20"/>
              </w:rPr>
              <w:t>银行卡清算渠道</w:t>
            </w:r>
          </w:p>
        </w:tc>
        <w:tc>
          <w:tcPr>
            <w:tcW w:w="1417" w:type="dxa"/>
            <w:noWrap/>
          </w:tcPr>
          <w:p w14:paraId="536CC713" w14:textId="77777777" w:rsidR="00A052DC" w:rsidRDefault="009F0A60">
            <w:pPr>
              <w:pStyle w:val="B"/>
              <w:rPr>
                <w:szCs w:val="20"/>
              </w:rPr>
            </w:pPr>
            <w:r>
              <w:rPr>
                <w:rFonts w:hint="eastAsia"/>
                <w:szCs w:val="20"/>
              </w:rPr>
              <w:t>整数型</w:t>
            </w:r>
          </w:p>
        </w:tc>
        <w:tc>
          <w:tcPr>
            <w:tcW w:w="4071" w:type="dxa"/>
          </w:tcPr>
          <w:p w14:paraId="0F1DF6B4" w14:textId="77777777" w:rsidR="00A052DC" w:rsidRDefault="009F0A60">
            <w:pPr>
              <w:pStyle w:val="B"/>
              <w:rPr>
                <w:szCs w:val="20"/>
              </w:rPr>
            </w:pPr>
            <w:r>
              <w:rPr>
                <w:rFonts w:ascii="宋体" w:hAnsi="宋体" w:hint="eastAsia"/>
                <w:szCs w:val="20"/>
              </w:rPr>
              <w:t>必填项</w:t>
            </w:r>
            <w:r w:rsidR="004D1828">
              <w:rPr>
                <w:rFonts w:ascii="宋体" w:hAnsi="宋体" w:hint="eastAsia"/>
                <w:szCs w:val="20"/>
              </w:rPr>
              <w:t>，</w:t>
            </w:r>
            <w:r>
              <w:rPr>
                <w:rFonts w:ascii="宋体" w:hAnsi="宋体" w:hint="eastAsia"/>
                <w:szCs w:val="20"/>
              </w:rPr>
              <w:t>必须</w:t>
            </w:r>
            <w:r>
              <w:rPr>
                <w:rFonts w:cs="黑体"/>
                <w:szCs w:val="20"/>
              </w:rPr>
              <w:t>8</w:t>
            </w:r>
            <w:r>
              <w:rPr>
                <w:rFonts w:cs="黑体" w:hint="eastAsia"/>
                <w:szCs w:val="20"/>
              </w:rPr>
              <w:t>选</w:t>
            </w:r>
            <w:r>
              <w:rPr>
                <w:rFonts w:cs="黑体"/>
                <w:szCs w:val="20"/>
              </w:rPr>
              <w:t>1</w:t>
            </w:r>
            <w:r>
              <w:rPr>
                <w:rFonts w:ascii="宋体" w:hAnsi="宋体" w:hint="eastAsia"/>
                <w:szCs w:val="20"/>
              </w:rPr>
              <w:t>：</w:t>
            </w:r>
          </w:p>
          <w:p w14:paraId="0B8DFFDB" w14:textId="77777777" w:rsidR="00A052DC" w:rsidRDefault="009F0A60">
            <w:pPr>
              <w:numPr>
                <w:ilvl w:val="0"/>
                <w:numId w:val="19"/>
              </w:numPr>
              <w:rPr>
                <w:rFonts w:ascii="黑体" w:eastAsia="黑体" w:hAnsi="黑体" w:cs="黑体"/>
                <w:sz w:val="20"/>
                <w:szCs w:val="20"/>
              </w:rPr>
            </w:pPr>
            <w:r>
              <w:rPr>
                <w:rFonts w:ascii="黑体" w:eastAsia="黑体" w:hAnsi="黑体" w:cs="黑体" w:hint="eastAsia"/>
                <w:sz w:val="20"/>
                <w:szCs w:val="20"/>
              </w:rPr>
              <w:t>银联；</w:t>
            </w:r>
          </w:p>
          <w:p w14:paraId="619D2B54" w14:textId="77777777" w:rsidR="00A052DC" w:rsidRDefault="009F0A60">
            <w:pPr>
              <w:numPr>
                <w:ilvl w:val="0"/>
                <w:numId w:val="19"/>
              </w:numPr>
              <w:rPr>
                <w:rFonts w:ascii="黑体" w:eastAsia="黑体" w:hAnsi="黑体" w:cs="黑体"/>
                <w:sz w:val="20"/>
                <w:szCs w:val="20"/>
              </w:rPr>
            </w:pPr>
            <w:r>
              <w:rPr>
                <w:rFonts w:ascii="黑体" w:eastAsia="黑体" w:hAnsi="黑体" w:cs="黑体" w:hint="eastAsia"/>
                <w:sz w:val="20"/>
                <w:szCs w:val="20"/>
              </w:rPr>
              <w:t>威士（</w:t>
            </w:r>
            <w:r>
              <w:rPr>
                <w:rFonts w:ascii="黑体" w:eastAsia="黑体" w:hAnsi="黑体" w:cs="黑体"/>
                <w:sz w:val="20"/>
                <w:szCs w:val="20"/>
              </w:rPr>
              <w:t>Visa）；</w:t>
            </w:r>
          </w:p>
          <w:p w14:paraId="65942D40" w14:textId="77777777" w:rsidR="00A052DC" w:rsidRDefault="009F0A60">
            <w:pPr>
              <w:numPr>
                <w:ilvl w:val="0"/>
                <w:numId w:val="19"/>
              </w:numPr>
              <w:rPr>
                <w:rFonts w:ascii="黑体" w:eastAsia="黑体" w:hAnsi="黑体" w:cs="黑体"/>
                <w:sz w:val="20"/>
                <w:szCs w:val="20"/>
              </w:rPr>
            </w:pPr>
            <w:r>
              <w:rPr>
                <w:rFonts w:ascii="黑体" w:eastAsia="黑体" w:hAnsi="黑体" w:cs="黑体" w:hint="eastAsia"/>
                <w:sz w:val="20"/>
                <w:szCs w:val="20"/>
              </w:rPr>
              <w:t>万事达（</w:t>
            </w:r>
            <w:r>
              <w:rPr>
                <w:rFonts w:ascii="黑体" w:eastAsia="黑体" w:hAnsi="黑体" w:cs="黑体"/>
                <w:sz w:val="20"/>
                <w:szCs w:val="20"/>
              </w:rPr>
              <w:t>Mastercard）；</w:t>
            </w:r>
          </w:p>
          <w:p w14:paraId="0098D422" w14:textId="77777777" w:rsidR="00A052DC" w:rsidRDefault="009F0A60">
            <w:pPr>
              <w:numPr>
                <w:ilvl w:val="0"/>
                <w:numId w:val="19"/>
              </w:numPr>
              <w:rPr>
                <w:rFonts w:ascii="黑体" w:eastAsia="黑体" w:hAnsi="黑体" w:cs="黑体"/>
                <w:sz w:val="20"/>
                <w:szCs w:val="20"/>
              </w:rPr>
            </w:pPr>
            <w:r>
              <w:rPr>
                <w:rFonts w:ascii="黑体" w:eastAsia="黑体" w:hAnsi="黑体" w:cs="黑体" w:hint="eastAsia"/>
                <w:sz w:val="20"/>
                <w:szCs w:val="20"/>
              </w:rPr>
              <w:t>美国运通（</w:t>
            </w:r>
            <w:r>
              <w:rPr>
                <w:rFonts w:ascii="黑体" w:eastAsia="黑体" w:hAnsi="黑体" w:cs="黑体"/>
                <w:sz w:val="20"/>
                <w:szCs w:val="20"/>
              </w:rPr>
              <w:t>AMERICAN EXPRESS）；</w:t>
            </w:r>
          </w:p>
          <w:p w14:paraId="020ED4B4" w14:textId="77777777" w:rsidR="00A052DC" w:rsidRDefault="009F0A60">
            <w:pPr>
              <w:numPr>
                <w:ilvl w:val="0"/>
                <w:numId w:val="19"/>
              </w:numPr>
              <w:rPr>
                <w:rFonts w:ascii="黑体" w:eastAsia="黑体" w:hAnsi="黑体" w:cs="黑体"/>
                <w:sz w:val="20"/>
                <w:szCs w:val="20"/>
              </w:rPr>
            </w:pPr>
            <w:r>
              <w:rPr>
                <w:rFonts w:ascii="黑体" w:eastAsia="黑体" w:hAnsi="黑体" w:cs="黑体" w:hint="eastAsia"/>
                <w:sz w:val="20"/>
                <w:szCs w:val="20"/>
              </w:rPr>
              <w:t>大来（</w:t>
            </w:r>
            <w:r>
              <w:rPr>
                <w:rFonts w:ascii="黑体" w:eastAsia="黑体" w:hAnsi="黑体" w:cs="黑体"/>
                <w:sz w:val="20"/>
                <w:szCs w:val="20"/>
              </w:rPr>
              <w:t>DINERS CLUB）；</w:t>
            </w:r>
          </w:p>
          <w:p w14:paraId="0E02A149" w14:textId="77777777" w:rsidR="00A052DC" w:rsidRDefault="009F0A60">
            <w:pPr>
              <w:numPr>
                <w:ilvl w:val="0"/>
                <w:numId w:val="19"/>
              </w:numPr>
              <w:rPr>
                <w:rFonts w:ascii="黑体" w:eastAsia="黑体" w:hAnsi="黑体" w:cs="黑体"/>
                <w:sz w:val="20"/>
                <w:szCs w:val="20"/>
              </w:rPr>
            </w:pPr>
            <w:r>
              <w:rPr>
                <w:rFonts w:ascii="黑体" w:eastAsia="黑体" w:hAnsi="黑体" w:cs="黑体" w:hint="eastAsia"/>
                <w:sz w:val="20"/>
                <w:szCs w:val="20"/>
              </w:rPr>
              <w:t>吉士美（</w:t>
            </w:r>
            <w:r>
              <w:rPr>
                <w:rFonts w:ascii="黑体" w:eastAsia="黑体" w:hAnsi="黑体" w:cs="黑体"/>
                <w:sz w:val="20"/>
                <w:szCs w:val="20"/>
              </w:rPr>
              <w:t>JCB）；</w:t>
            </w:r>
          </w:p>
          <w:p w14:paraId="15F22CB9" w14:textId="77777777" w:rsidR="00A052DC" w:rsidRDefault="009F0A60">
            <w:pPr>
              <w:numPr>
                <w:ilvl w:val="0"/>
                <w:numId w:val="19"/>
              </w:numPr>
              <w:rPr>
                <w:rFonts w:ascii="黑体" w:eastAsia="黑体" w:hAnsi="黑体" w:cs="黑体"/>
                <w:sz w:val="20"/>
                <w:szCs w:val="20"/>
              </w:rPr>
            </w:pPr>
            <w:r>
              <w:rPr>
                <w:rFonts w:ascii="黑体" w:eastAsia="黑体" w:hAnsi="黑体" w:cs="黑体" w:hint="eastAsia"/>
                <w:sz w:val="20"/>
                <w:szCs w:val="20"/>
              </w:rPr>
              <w:t>本行清算；</w:t>
            </w:r>
          </w:p>
          <w:p w14:paraId="06AA6D12" w14:textId="77777777" w:rsidR="00A052DC" w:rsidRDefault="009F0A60">
            <w:pPr>
              <w:pStyle w:val="B"/>
              <w:rPr>
                <w:szCs w:val="20"/>
              </w:rPr>
            </w:pPr>
            <w:r>
              <w:rPr>
                <w:rFonts w:cs="黑体"/>
                <w:szCs w:val="20"/>
              </w:rPr>
              <w:t>8-</w:t>
            </w:r>
            <w:r>
              <w:rPr>
                <w:rFonts w:cs="黑体" w:hint="eastAsia"/>
                <w:szCs w:val="20"/>
              </w:rPr>
              <w:t>其他。</w:t>
            </w:r>
          </w:p>
        </w:tc>
      </w:tr>
      <w:tr w:rsidR="00A052DC" w14:paraId="7D08326B" w14:textId="77777777">
        <w:tc>
          <w:tcPr>
            <w:tcW w:w="1616" w:type="dxa"/>
            <w:noWrap/>
          </w:tcPr>
          <w:p w14:paraId="199223E2" w14:textId="77777777" w:rsidR="00A052DC" w:rsidRDefault="009F0A60">
            <w:pPr>
              <w:pStyle w:val="B"/>
              <w:rPr>
                <w:szCs w:val="20"/>
              </w:rPr>
            </w:pPr>
            <w:r>
              <w:rPr>
                <w:szCs w:val="20"/>
              </w:rPr>
              <w:t>G0302</w:t>
            </w:r>
          </w:p>
        </w:tc>
        <w:tc>
          <w:tcPr>
            <w:tcW w:w="1418" w:type="dxa"/>
          </w:tcPr>
          <w:p w14:paraId="167752D8" w14:textId="77777777" w:rsidR="00A052DC" w:rsidRDefault="009F0A60">
            <w:pPr>
              <w:pStyle w:val="B"/>
              <w:rPr>
                <w:szCs w:val="20"/>
              </w:rPr>
            </w:pPr>
            <w:r>
              <w:rPr>
                <w:rFonts w:hint="eastAsia"/>
                <w:szCs w:val="20"/>
              </w:rPr>
              <w:t>持卡人所属国家</w:t>
            </w:r>
            <w:r>
              <w:rPr>
                <w:szCs w:val="20"/>
              </w:rPr>
              <w:t>/</w:t>
            </w:r>
            <w:r>
              <w:rPr>
                <w:rFonts w:hint="eastAsia"/>
                <w:szCs w:val="20"/>
              </w:rPr>
              <w:t>地区</w:t>
            </w:r>
          </w:p>
        </w:tc>
        <w:tc>
          <w:tcPr>
            <w:tcW w:w="1417" w:type="dxa"/>
            <w:noWrap/>
          </w:tcPr>
          <w:p w14:paraId="7AB1F5B7" w14:textId="77777777" w:rsidR="00A052DC" w:rsidRDefault="009F0A60">
            <w:pPr>
              <w:pStyle w:val="B"/>
              <w:rPr>
                <w:szCs w:val="20"/>
              </w:rPr>
            </w:pPr>
            <w:r>
              <w:rPr>
                <w:rFonts w:hint="eastAsia"/>
                <w:szCs w:val="20"/>
              </w:rPr>
              <w:t>字符型，</w:t>
            </w:r>
            <w:r>
              <w:rPr>
                <w:szCs w:val="20"/>
              </w:rPr>
              <w:t>3</w:t>
            </w:r>
          </w:p>
        </w:tc>
        <w:tc>
          <w:tcPr>
            <w:tcW w:w="4071" w:type="dxa"/>
          </w:tcPr>
          <w:p w14:paraId="182C781A" w14:textId="77777777" w:rsidR="00A052DC" w:rsidRDefault="009F0A60">
            <w:pPr>
              <w:pStyle w:val="B"/>
              <w:rPr>
                <w:szCs w:val="20"/>
              </w:rPr>
            </w:pPr>
            <w:r>
              <w:rPr>
                <w:rFonts w:hint="eastAsia"/>
                <w:szCs w:val="20"/>
              </w:rPr>
              <w:t>必填项，见国家和地区代码表的</w:t>
            </w:r>
            <w:r>
              <w:rPr>
                <w:szCs w:val="20"/>
              </w:rPr>
              <w:t>3</w:t>
            </w:r>
            <w:r>
              <w:rPr>
                <w:rFonts w:hint="eastAsia"/>
                <w:szCs w:val="20"/>
              </w:rPr>
              <w:t>位字母代码，必须≠</w:t>
            </w:r>
            <w:r>
              <w:rPr>
                <w:szCs w:val="20"/>
              </w:rPr>
              <w:t>CHN</w:t>
            </w:r>
            <w:r>
              <w:rPr>
                <w:rFonts w:hint="eastAsia"/>
                <w:szCs w:val="20"/>
              </w:rPr>
              <w:t>或N/A。</w:t>
            </w:r>
          </w:p>
        </w:tc>
      </w:tr>
      <w:tr w:rsidR="00A052DC" w14:paraId="7CDC6A05" w14:textId="77777777">
        <w:tc>
          <w:tcPr>
            <w:tcW w:w="1616" w:type="dxa"/>
            <w:noWrap/>
          </w:tcPr>
          <w:p w14:paraId="3E831CD2" w14:textId="77777777" w:rsidR="00A052DC" w:rsidRDefault="009F0A60">
            <w:pPr>
              <w:pStyle w:val="B"/>
              <w:rPr>
                <w:szCs w:val="20"/>
              </w:rPr>
            </w:pPr>
            <w:r>
              <w:rPr>
                <w:szCs w:val="20"/>
              </w:rPr>
              <w:t>G0303</w:t>
            </w:r>
          </w:p>
        </w:tc>
        <w:tc>
          <w:tcPr>
            <w:tcW w:w="1418" w:type="dxa"/>
          </w:tcPr>
          <w:p w14:paraId="46F57822" w14:textId="77777777" w:rsidR="00A052DC" w:rsidRDefault="009F0A60">
            <w:pPr>
              <w:pStyle w:val="B"/>
              <w:rPr>
                <w:szCs w:val="20"/>
              </w:rPr>
            </w:pPr>
            <w:r>
              <w:rPr>
                <w:rFonts w:hint="eastAsia"/>
                <w:szCs w:val="20"/>
              </w:rPr>
              <w:t>交易原币</w:t>
            </w:r>
          </w:p>
        </w:tc>
        <w:tc>
          <w:tcPr>
            <w:tcW w:w="1417" w:type="dxa"/>
            <w:noWrap/>
          </w:tcPr>
          <w:p w14:paraId="520E9401" w14:textId="77777777" w:rsidR="00A052DC" w:rsidRDefault="009F0A60">
            <w:pPr>
              <w:pStyle w:val="B"/>
              <w:rPr>
                <w:szCs w:val="20"/>
              </w:rPr>
            </w:pPr>
            <w:r>
              <w:rPr>
                <w:rFonts w:hint="eastAsia"/>
                <w:szCs w:val="20"/>
              </w:rPr>
              <w:t>字符型，3</w:t>
            </w:r>
          </w:p>
        </w:tc>
        <w:tc>
          <w:tcPr>
            <w:tcW w:w="4071" w:type="dxa"/>
          </w:tcPr>
          <w:p w14:paraId="1450DA89" w14:textId="77777777" w:rsidR="00A052DC" w:rsidRDefault="009F0A60">
            <w:pPr>
              <w:pStyle w:val="B"/>
              <w:rPr>
                <w:szCs w:val="20"/>
              </w:rPr>
            </w:pPr>
            <w:r>
              <w:rPr>
                <w:rFonts w:hint="eastAsia"/>
                <w:szCs w:val="20"/>
              </w:rPr>
              <w:t>必填项，见币种代码表。</w:t>
            </w:r>
          </w:p>
        </w:tc>
      </w:tr>
      <w:tr w:rsidR="00A052DC" w14:paraId="6F4635AD" w14:textId="77777777">
        <w:tc>
          <w:tcPr>
            <w:tcW w:w="1616" w:type="dxa"/>
            <w:noWrap/>
          </w:tcPr>
          <w:p w14:paraId="2EDC411F" w14:textId="77777777" w:rsidR="00A052DC" w:rsidRDefault="009F0A60">
            <w:pPr>
              <w:pStyle w:val="B"/>
              <w:rPr>
                <w:szCs w:val="20"/>
              </w:rPr>
            </w:pPr>
            <w:r>
              <w:rPr>
                <w:szCs w:val="20"/>
              </w:rPr>
              <w:t>G0304</w:t>
            </w:r>
          </w:p>
        </w:tc>
        <w:tc>
          <w:tcPr>
            <w:tcW w:w="1418" w:type="dxa"/>
          </w:tcPr>
          <w:p w14:paraId="52BB0D1D" w14:textId="77777777" w:rsidR="00A052DC" w:rsidRDefault="009F0A60">
            <w:pPr>
              <w:pStyle w:val="B"/>
              <w:rPr>
                <w:szCs w:val="20"/>
              </w:rPr>
            </w:pPr>
            <w:r>
              <w:rPr>
                <w:rFonts w:hint="eastAsia"/>
                <w:szCs w:val="20"/>
              </w:rPr>
              <w:t>收支类型</w:t>
            </w:r>
          </w:p>
        </w:tc>
        <w:tc>
          <w:tcPr>
            <w:tcW w:w="1417" w:type="dxa"/>
            <w:noWrap/>
          </w:tcPr>
          <w:p w14:paraId="6CF2FCFB" w14:textId="77777777" w:rsidR="00A052DC" w:rsidRDefault="009F0A60">
            <w:pPr>
              <w:pStyle w:val="B"/>
              <w:rPr>
                <w:szCs w:val="20"/>
              </w:rPr>
            </w:pPr>
            <w:r>
              <w:rPr>
                <w:rFonts w:hint="eastAsia"/>
                <w:szCs w:val="20"/>
              </w:rPr>
              <w:t>整数型</w:t>
            </w:r>
          </w:p>
        </w:tc>
        <w:tc>
          <w:tcPr>
            <w:tcW w:w="4071" w:type="dxa"/>
          </w:tcPr>
          <w:p w14:paraId="40E01528" w14:textId="77777777" w:rsidR="00A052DC" w:rsidRDefault="009F0A60">
            <w:pPr>
              <w:pStyle w:val="B"/>
              <w:rPr>
                <w:rFonts w:cs="黑体"/>
                <w:szCs w:val="20"/>
              </w:rPr>
            </w:pPr>
            <w:r>
              <w:rPr>
                <w:rFonts w:cs="黑体" w:hint="eastAsia"/>
                <w:szCs w:val="20"/>
              </w:rPr>
              <w:t>必填项。必须</w:t>
            </w:r>
            <w:r>
              <w:rPr>
                <w:rFonts w:cs="黑体"/>
                <w:szCs w:val="20"/>
              </w:rPr>
              <w:t>2</w:t>
            </w:r>
            <w:r>
              <w:rPr>
                <w:rFonts w:cs="黑体" w:hint="eastAsia"/>
                <w:szCs w:val="20"/>
              </w:rPr>
              <w:t>选1：</w:t>
            </w:r>
          </w:p>
          <w:p w14:paraId="6F986FA1" w14:textId="77777777" w:rsidR="00A052DC" w:rsidRDefault="009F0A60">
            <w:pPr>
              <w:numPr>
                <w:ilvl w:val="0"/>
                <w:numId w:val="20"/>
              </w:numPr>
              <w:rPr>
                <w:rFonts w:ascii="黑体" w:eastAsia="黑体" w:hAnsi="黑体" w:cs="黑体"/>
                <w:sz w:val="20"/>
                <w:szCs w:val="20"/>
              </w:rPr>
            </w:pPr>
            <w:r>
              <w:rPr>
                <w:rFonts w:ascii="黑体" w:eastAsia="黑体" w:hAnsi="黑体" w:cs="黑体" w:hint="eastAsia"/>
                <w:sz w:val="20"/>
                <w:szCs w:val="20"/>
              </w:rPr>
              <w:t>收入；</w:t>
            </w:r>
          </w:p>
          <w:p w14:paraId="45FF53FF" w14:textId="77777777" w:rsidR="00A052DC" w:rsidRDefault="009F0A60">
            <w:pPr>
              <w:pStyle w:val="B"/>
              <w:rPr>
                <w:szCs w:val="20"/>
              </w:rPr>
            </w:pPr>
            <w:r>
              <w:rPr>
                <w:rFonts w:cs="黑体" w:hint="eastAsia"/>
                <w:szCs w:val="20"/>
              </w:rPr>
              <w:t>2-支出。</w:t>
            </w:r>
          </w:p>
        </w:tc>
      </w:tr>
      <w:tr w:rsidR="00A052DC" w14:paraId="2CE3E8AD" w14:textId="77777777">
        <w:tc>
          <w:tcPr>
            <w:tcW w:w="1616" w:type="dxa"/>
            <w:noWrap/>
          </w:tcPr>
          <w:p w14:paraId="73861818" w14:textId="77777777" w:rsidR="00A052DC" w:rsidRDefault="009F0A60">
            <w:pPr>
              <w:pStyle w:val="B"/>
              <w:rPr>
                <w:szCs w:val="20"/>
              </w:rPr>
            </w:pPr>
            <w:r>
              <w:rPr>
                <w:szCs w:val="20"/>
              </w:rPr>
              <w:t>G0305</w:t>
            </w:r>
          </w:p>
        </w:tc>
        <w:tc>
          <w:tcPr>
            <w:tcW w:w="1418" w:type="dxa"/>
          </w:tcPr>
          <w:p w14:paraId="7A57406F" w14:textId="77777777" w:rsidR="00A052DC" w:rsidRDefault="009F0A60">
            <w:pPr>
              <w:pStyle w:val="B"/>
              <w:rPr>
                <w:szCs w:val="20"/>
              </w:rPr>
            </w:pPr>
            <w:r>
              <w:rPr>
                <w:rFonts w:hint="eastAsia"/>
                <w:szCs w:val="20"/>
              </w:rPr>
              <w:t>交易类型</w:t>
            </w:r>
          </w:p>
        </w:tc>
        <w:tc>
          <w:tcPr>
            <w:tcW w:w="1417" w:type="dxa"/>
            <w:noWrap/>
          </w:tcPr>
          <w:p w14:paraId="004FDBF0" w14:textId="77777777" w:rsidR="00A052DC" w:rsidRDefault="009F0A60">
            <w:pPr>
              <w:pStyle w:val="B"/>
              <w:rPr>
                <w:szCs w:val="20"/>
              </w:rPr>
            </w:pPr>
            <w:r>
              <w:rPr>
                <w:rFonts w:hint="eastAsia"/>
                <w:szCs w:val="20"/>
              </w:rPr>
              <w:t>整数型</w:t>
            </w:r>
          </w:p>
        </w:tc>
        <w:tc>
          <w:tcPr>
            <w:tcW w:w="4071" w:type="dxa"/>
          </w:tcPr>
          <w:p w14:paraId="12B5322C" w14:textId="77777777" w:rsidR="00A052DC" w:rsidRDefault="009F0A60">
            <w:pPr>
              <w:pStyle w:val="B"/>
              <w:rPr>
                <w:szCs w:val="20"/>
              </w:rPr>
            </w:pPr>
            <w:r>
              <w:rPr>
                <w:rFonts w:hint="eastAsia"/>
                <w:szCs w:val="20"/>
              </w:rPr>
              <w:t>若</w:t>
            </w:r>
            <w:r>
              <w:rPr>
                <w:szCs w:val="20"/>
              </w:rPr>
              <w:t>G0304=2</w:t>
            </w:r>
            <w:r>
              <w:rPr>
                <w:rFonts w:hint="eastAsia"/>
                <w:szCs w:val="20"/>
              </w:rPr>
              <w:t>，必须10选1：</w:t>
            </w:r>
          </w:p>
          <w:p w14:paraId="4C528D5D" w14:textId="77777777" w:rsidR="00A052DC" w:rsidRDefault="009F0A60">
            <w:pPr>
              <w:pStyle w:val="B"/>
              <w:numPr>
                <w:ilvl w:val="0"/>
                <w:numId w:val="21"/>
              </w:numPr>
              <w:rPr>
                <w:szCs w:val="20"/>
              </w:rPr>
            </w:pPr>
            <w:r>
              <w:rPr>
                <w:rFonts w:hint="eastAsia"/>
                <w:szCs w:val="20"/>
              </w:rPr>
              <w:t>购物；</w:t>
            </w:r>
          </w:p>
          <w:p w14:paraId="160606A8" w14:textId="77777777" w:rsidR="00A052DC" w:rsidRDefault="009F0A60">
            <w:pPr>
              <w:pStyle w:val="B"/>
              <w:numPr>
                <w:ilvl w:val="0"/>
                <w:numId w:val="21"/>
              </w:numPr>
              <w:rPr>
                <w:szCs w:val="20"/>
              </w:rPr>
            </w:pPr>
            <w:r>
              <w:rPr>
                <w:rFonts w:hint="eastAsia"/>
                <w:szCs w:val="20"/>
              </w:rPr>
              <w:t>住宿；</w:t>
            </w:r>
          </w:p>
          <w:p w14:paraId="003A06DE" w14:textId="77777777" w:rsidR="00A052DC" w:rsidRDefault="009F0A60">
            <w:pPr>
              <w:pStyle w:val="B"/>
              <w:numPr>
                <w:ilvl w:val="0"/>
                <w:numId w:val="21"/>
              </w:numPr>
              <w:rPr>
                <w:szCs w:val="20"/>
              </w:rPr>
            </w:pPr>
            <w:r>
              <w:rPr>
                <w:rFonts w:hint="eastAsia"/>
                <w:szCs w:val="20"/>
              </w:rPr>
              <w:t>餐饮；</w:t>
            </w:r>
          </w:p>
          <w:p w14:paraId="4D263017" w14:textId="77777777" w:rsidR="00A052DC" w:rsidRDefault="009F0A60">
            <w:pPr>
              <w:pStyle w:val="B"/>
              <w:numPr>
                <w:ilvl w:val="0"/>
                <w:numId w:val="21"/>
              </w:numPr>
              <w:rPr>
                <w:szCs w:val="20"/>
              </w:rPr>
            </w:pPr>
            <w:r>
              <w:rPr>
                <w:rFonts w:hint="eastAsia"/>
                <w:szCs w:val="20"/>
              </w:rPr>
              <w:t>当地交通；</w:t>
            </w:r>
          </w:p>
          <w:p w14:paraId="4D0FBA19" w14:textId="77777777" w:rsidR="00A052DC" w:rsidRDefault="009F0A60">
            <w:pPr>
              <w:pStyle w:val="B"/>
              <w:numPr>
                <w:ilvl w:val="0"/>
                <w:numId w:val="21"/>
              </w:numPr>
              <w:rPr>
                <w:szCs w:val="20"/>
              </w:rPr>
            </w:pPr>
            <w:r>
              <w:rPr>
                <w:rFonts w:hint="eastAsia"/>
                <w:szCs w:val="20"/>
              </w:rPr>
              <w:t>教育留学；</w:t>
            </w:r>
          </w:p>
          <w:p w14:paraId="6F632DD7" w14:textId="77777777" w:rsidR="00A052DC" w:rsidRDefault="009F0A60">
            <w:pPr>
              <w:pStyle w:val="B"/>
              <w:numPr>
                <w:ilvl w:val="0"/>
                <w:numId w:val="21"/>
              </w:numPr>
              <w:rPr>
                <w:szCs w:val="20"/>
              </w:rPr>
            </w:pPr>
            <w:r>
              <w:rPr>
                <w:rFonts w:hint="eastAsia"/>
                <w:szCs w:val="20"/>
              </w:rPr>
              <w:t>其他服务；</w:t>
            </w:r>
          </w:p>
          <w:p w14:paraId="4AE28C5D" w14:textId="77777777" w:rsidR="00A052DC" w:rsidRDefault="009F0A60">
            <w:pPr>
              <w:pStyle w:val="B"/>
              <w:numPr>
                <w:ilvl w:val="0"/>
                <w:numId w:val="21"/>
              </w:numPr>
              <w:rPr>
                <w:szCs w:val="20"/>
              </w:rPr>
            </w:pPr>
            <w:r>
              <w:rPr>
                <w:rFonts w:hint="eastAsia"/>
                <w:szCs w:val="20"/>
              </w:rPr>
              <w:t>提现；</w:t>
            </w:r>
          </w:p>
          <w:p w14:paraId="702F9DFB" w14:textId="77777777" w:rsidR="00A052DC" w:rsidRDefault="009F0A60">
            <w:pPr>
              <w:pStyle w:val="B"/>
              <w:numPr>
                <w:ilvl w:val="0"/>
                <w:numId w:val="21"/>
              </w:numPr>
              <w:rPr>
                <w:szCs w:val="20"/>
              </w:rPr>
            </w:pPr>
            <w:r>
              <w:rPr>
                <w:rFonts w:hint="eastAsia"/>
                <w:szCs w:val="20"/>
              </w:rPr>
              <w:t>医疗保健；</w:t>
            </w:r>
          </w:p>
          <w:p w14:paraId="6DCC89FC" w14:textId="77777777" w:rsidR="00A052DC" w:rsidRDefault="009F0A60">
            <w:pPr>
              <w:pStyle w:val="B"/>
              <w:numPr>
                <w:ilvl w:val="0"/>
                <w:numId w:val="21"/>
              </w:numPr>
              <w:rPr>
                <w:szCs w:val="20"/>
              </w:rPr>
            </w:pPr>
            <w:r>
              <w:rPr>
                <w:rFonts w:hint="eastAsia"/>
                <w:szCs w:val="20"/>
              </w:rPr>
              <w:t>其他支出（含通过第三方支付机构或转账等支出）；</w:t>
            </w:r>
          </w:p>
          <w:p w14:paraId="5AD686A6" w14:textId="77777777" w:rsidR="00A052DC" w:rsidRDefault="009F0A60">
            <w:pPr>
              <w:pStyle w:val="B"/>
              <w:numPr>
                <w:ilvl w:val="255"/>
                <w:numId w:val="0"/>
              </w:numPr>
              <w:rPr>
                <w:szCs w:val="20"/>
              </w:rPr>
            </w:pPr>
            <w:r>
              <w:rPr>
                <w:szCs w:val="20"/>
              </w:rPr>
              <w:t>10-</w:t>
            </w:r>
            <w:r>
              <w:rPr>
                <w:rFonts w:hint="eastAsia"/>
                <w:szCs w:val="20"/>
              </w:rPr>
              <w:t>境外支出。</w:t>
            </w:r>
          </w:p>
          <w:p w14:paraId="72F8831D" w14:textId="77777777" w:rsidR="00A052DC" w:rsidRDefault="009F0A60">
            <w:pPr>
              <w:pStyle w:val="B"/>
              <w:numPr>
                <w:ilvl w:val="255"/>
                <w:numId w:val="0"/>
              </w:numPr>
              <w:rPr>
                <w:szCs w:val="20"/>
              </w:rPr>
            </w:pPr>
            <w:r>
              <w:rPr>
                <w:rFonts w:hint="eastAsia"/>
                <w:szCs w:val="20"/>
              </w:rPr>
              <w:t>若</w:t>
            </w:r>
            <w:r>
              <w:rPr>
                <w:szCs w:val="20"/>
              </w:rPr>
              <w:t>G0304=1</w:t>
            </w:r>
            <w:r>
              <w:rPr>
                <w:rFonts w:hint="eastAsia"/>
                <w:szCs w:val="20"/>
              </w:rPr>
              <w:t>，必须3选1：</w:t>
            </w:r>
          </w:p>
          <w:p w14:paraId="42CAF68E" w14:textId="77777777" w:rsidR="00A052DC" w:rsidRDefault="009F0A60">
            <w:pPr>
              <w:pStyle w:val="B"/>
              <w:numPr>
                <w:ilvl w:val="255"/>
                <w:numId w:val="0"/>
              </w:numPr>
              <w:rPr>
                <w:szCs w:val="20"/>
              </w:rPr>
            </w:pPr>
            <w:r>
              <w:rPr>
                <w:szCs w:val="20"/>
              </w:rPr>
              <w:t>11-</w:t>
            </w:r>
            <w:r>
              <w:rPr>
                <w:rFonts w:hint="eastAsia"/>
                <w:szCs w:val="20"/>
              </w:rPr>
              <w:t>境内劳务报酬；</w:t>
            </w:r>
          </w:p>
          <w:p w14:paraId="7F618BB6" w14:textId="77777777" w:rsidR="00A052DC" w:rsidRDefault="009F0A60">
            <w:pPr>
              <w:pStyle w:val="B"/>
              <w:numPr>
                <w:ilvl w:val="0"/>
                <w:numId w:val="22"/>
              </w:numPr>
              <w:rPr>
                <w:szCs w:val="20"/>
              </w:rPr>
            </w:pPr>
            <w:r>
              <w:rPr>
                <w:rFonts w:hint="eastAsia"/>
                <w:szCs w:val="20"/>
              </w:rPr>
              <w:t>除劳务报酬外的境内收入；</w:t>
            </w:r>
          </w:p>
          <w:p w14:paraId="5C39B50F" w14:textId="77777777" w:rsidR="00A052DC" w:rsidRDefault="009F0A60">
            <w:pPr>
              <w:pStyle w:val="B"/>
              <w:rPr>
                <w:szCs w:val="20"/>
              </w:rPr>
            </w:pPr>
            <w:r>
              <w:rPr>
                <w:szCs w:val="20"/>
              </w:rPr>
              <w:t>13-</w:t>
            </w:r>
            <w:r>
              <w:rPr>
                <w:rFonts w:hint="eastAsia"/>
                <w:szCs w:val="20"/>
              </w:rPr>
              <w:t>境外收入。</w:t>
            </w:r>
          </w:p>
        </w:tc>
      </w:tr>
      <w:tr w:rsidR="00A052DC" w14:paraId="3599918D" w14:textId="77777777">
        <w:tc>
          <w:tcPr>
            <w:tcW w:w="1616" w:type="dxa"/>
            <w:noWrap/>
          </w:tcPr>
          <w:p w14:paraId="3E6201B9" w14:textId="77777777" w:rsidR="00A052DC" w:rsidRDefault="009F0A60">
            <w:pPr>
              <w:pStyle w:val="B"/>
              <w:rPr>
                <w:szCs w:val="20"/>
              </w:rPr>
            </w:pPr>
            <w:r>
              <w:rPr>
                <w:szCs w:val="20"/>
              </w:rPr>
              <w:t>G0306</w:t>
            </w:r>
          </w:p>
        </w:tc>
        <w:tc>
          <w:tcPr>
            <w:tcW w:w="1418" w:type="dxa"/>
          </w:tcPr>
          <w:p w14:paraId="50E8FDFB" w14:textId="77777777" w:rsidR="00A052DC" w:rsidRDefault="009F0A60">
            <w:pPr>
              <w:pStyle w:val="B"/>
              <w:rPr>
                <w:szCs w:val="20"/>
              </w:rPr>
            </w:pPr>
            <w:r>
              <w:rPr>
                <w:rFonts w:hint="eastAsia"/>
                <w:szCs w:val="20"/>
              </w:rPr>
              <w:t>交易金额</w:t>
            </w:r>
          </w:p>
        </w:tc>
        <w:tc>
          <w:tcPr>
            <w:tcW w:w="1417" w:type="dxa"/>
            <w:noWrap/>
          </w:tcPr>
          <w:p w14:paraId="156475FB" w14:textId="77777777" w:rsidR="00A052DC" w:rsidRDefault="009F0A60">
            <w:pPr>
              <w:pStyle w:val="B"/>
              <w:rPr>
                <w:szCs w:val="20"/>
              </w:rPr>
            </w:pPr>
            <w:r>
              <w:rPr>
                <w:rFonts w:hint="eastAsia"/>
                <w:szCs w:val="20"/>
              </w:rPr>
              <w:t>数值型，22.2</w:t>
            </w:r>
          </w:p>
        </w:tc>
        <w:tc>
          <w:tcPr>
            <w:tcW w:w="4071" w:type="dxa"/>
          </w:tcPr>
          <w:p w14:paraId="4A0ED1F5" w14:textId="77777777" w:rsidR="00A052DC" w:rsidRDefault="009F0A60">
            <w:pPr>
              <w:pStyle w:val="B"/>
              <w:rPr>
                <w:szCs w:val="20"/>
              </w:rPr>
            </w:pPr>
            <w:r>
              <w:rPr>
                <w:rFonts w:hint="eastAsia"/>
                <w:szCs w:val="20"/>
              </w:rPr>
              <w:t>必填项。</w:t>
            </w:r>
          </w:p>
        </w:tc>
      </w:tr>
      <w:tr w:rsidR="00A052DC" w14:paraId="76BED25D" w14:textId="77777777">
        <w:tc>
          <w:tcPr>
            <w:tcW w:w="1616" w:type="dxa"/>
            <w:noWrap/>
          </w:tcPr>
          <w:p w14:paraId="5F719720" w14:textId="77777777" w:rsidR="00A052DC" w:rsidRDefault="009F0A60">
            <w:pPr>
              <w:pStyle w:val="B"/>
              <w:rPr>
                <w:szCs w:val="20"/>
              </w:rPr>
            </w:pPr>
            <w:r>
              <w:rPr>
                <w:szCs w:val="20"/>
              </w:rPr>
              <w:t>REMARK</w:t>
            </w:r>
          </w:p>
        </w:tc>
        <w:tc>
          <w:tcPr>
            <w:tcW w:w="1418" w:type="dxa"/>
          </w:tcPr>
          <w:p w14:paraId="23BF9CB7" w14:textId="77777777" w:rsidR="00A052DC" w:rsidRDefault="009F0A60">
            <w:pPr>
              <w:pStyle w:val="B"/>
              <w:rPr>
                <w:szCs w:val="20"/>
              </w:rPr>
            </w:pPr>
            <w:r>
              <w:rPr>
                <w:rFonts w:hint="eastAsia"/>
                <w:szCs w:val="20"/>
              </w:rPr>
              <w:t>备注</w:t>
            </w:r>
          </w:p>
        </w:tc>
        <w:tc>
          <w:tcPr>
            <w:tcW w:w="1417" w:type="dxa"/>
            <w:noWrap/>
          </w:tcPr>
          <w:p w14:paraId="08EBD626" w14:textId="77777777" w:rsidR="00A052DC" w:rsidRDefault="009F0A60">
            <w:pPr>
              <w:pStyle w:val="B"/>
              <w:rPr>
                <w:szCs w:val="20"/>
              </w:rPr>
            </w:pPr>
            <w:r>
              <w:rPr>
                <w:rFonts w:hint="eastAsia"/>
                <w:szCs w:val="20"/>
              </w:rPr>
              <w:t>字符型，</w:t>
            </w:r>
            <w:r>
              <w:rPr>
                <w:szCs w:val="20"/>
              </w:rPr>
              <w:t>512</w:t>
            </w:r>
          </w:p>
        </w:tc>
        <w:tc>
          <w:tcPr>
            <w:tcW w:w="4071" w:type="dxa"/>
          </w:tcPr>
          <w:p w14:paraId="5A833616" w14:textId="77777777" w:rsidR="00A052DC" w:rsidRDefault="009F0A60">
            <w:pPr>
              <w:pStyle w:val="B"/>
              <w:rPr>
                <w:szCs w:val="20"/>
              </w:rPr>
            </w:pPr>
            <w:r>
              <w:rPr>
                <w:rFonts w:hint="eastAsia"/>
                <w:szCs w:val="20"/>
              </w:rPr>
              <w:t>当G0306（交易金额）为负数时为必填项。</w:t>
            </w:r>
          </w:p>
        </w:tc>
      </w:tr>
    </w:tbl>
    <w:p w14:paraId="11993AF7" w14:textId="77777777" w:rsidR="00A052DC" w:rsidRDefault="009F0A60">
      <w:pPr>
        <w:pStyle w:val="3"/>
        <w:ind w:left="0"/>
        <w:rPr>
          <w:rFonts w:ascii="Times New Roman" w:hAnsi="Times New Roman"/>
        </w:rPr>
      </w:pPr>
      <w:bookmarkStart w:id="3651" w:name="_Toc91455335"/>
      <w:bookmarkStart w:id="3652" w:name="_Toc101684508"/>
      <w:r>
        <w:rPr>
          <w:rFonts w:ascii="Times New Roman" w:hAnsi="Times New Roman"/>
        </w:rPr>
        <w:t>H01</w:t>
      </w:r>
      <w:r>
        <w:rPr>
          <w:rFonts w:ascii="Times New Roman" w:hAnsi="Times New Roman" w:hint="eastAsia"/>
        </w:rPr>
        <w:t>表：为非居民托管业务统计（</w:t>
      </w:r>
      <w:r>
        <w:rPr>
          <w:rFonts w:ascii="Times New Roman" w:hAnsi="Times New Roman"/>
        </w:rPr>
        <w:t>QFII</w:t>
      </w:r>
      <w:r>
        <w:rPr>
          <w:rFonts w:ascii="Times New Roman" w:hAnsi="Times New Roman" w:hint="eastAsia"/>
        </w:rPr>
        <w:t>/</w:t>
      </w:r>
      <w:r>
        <w:rPr>
          <w:rFonts w:ascii="Times New Roman" w:hAnsi="Times New Roman"/>
        </w:rPr>
        <w:t>RQFII</w:t>
      </w:r>
      <w:r>
        <w:rPr>
          <w:rFonts w:ascii="Times New Roman" w:hAnsi="Times New Roman" w:hint="eastAsia"/>
        </w:rPr>
        <w:t>等）</w:t>
      </w:r>
      <w:bookmarkEnd w:id="3646"/>
      <w:bookmarkEnd w:id="3647"/>
      <w:bookmarkEnd w:id="3648"/>
      <w:bookmarkEnd w:id="3649"/>
      <w:bookmarkEnd w:id="3650"/>
      <w:bookmarkEnd w:id="3651"/>
      <w:bookmarkEnd w:id="3652"/>
    </w:p>
    <w:p w14:paraId="3E77CEE7" w14:textId="77777777" w:rsidR="00A052DC" w:rsidRDefault="009F0A60" w:rsidP="0020251D">
      <w:pPr>
        <w:pStyle w:val="4"/>
        <w:numPr>
          <w:ilvl w:val="3"/>
          <w:numId w:val="1"/>
        </w:numPr>
        <w:jc w:val="left"/>
      </w:pPr>
      <w:bookmarkStart w:id="3653" w:name="_Toc380571006"/>
      <w:bookmarkStart w:id="3654" w:name="_Toc454391457"/>
      <w:r>
        <w:rPr>
          <w:rFonts w:hint="eastAsia"/>
        </w:rPr>
        <w:t>数据术语解释</w:t>
      </w:r>
      <w:bookmarkEnd w:id="3653"/>
      <w:bookmarkEnd w:id="365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946"/>
      </w:tblGrid>
      <w:tr w:rsidR="00A052DC" w14:paraId="710C610B" w14:textId="77777777">
        <w:trPr>
          <w:cantSplit/>
        </w:trPr>
        <w:tc>
          <w:tcPr>
            <w:tcW w:w="1526" w:type="dxa"/>
          </w:tcPr>
          <w:p w14:paraId="15493E1A" w14:textId="77777777" w:rsidR="00A052DC" w:rsidRDefault="009F0A60">
            <w:pPr>
              <w:pStyle w:val="B1"/>
            </w:pPr>
            <w:r>
              <w:rPr>
                <w:rFonts w:hint="eastAsia"/>
              </w:rPr>
              <w:t>基础数据项</w:t>
            </w:r>
          </w:p>
        </w:tc>
        <w:tc>
          <w:tcPr>
            <w:tcW w:w="6946" w:type="dxa"/>
          </w:tcPr>
          <w:p w14:paraId="35E0182E" w14:textId="77777777" w:rsidR="00A052DC" w:rsidRDefault="009F0A60">
            <w:pPr>
              <w:pStyle w:val="B1"/>
            </w:pPr>
            <w:r>
              <w:rPr>
                <w:rFonts w:hint="eastAsia"/>
              </w:rPr>
              <w:t>定义</w:t>
            </w:r>
          </w:p>
        </w:tc>
      </w:tr>
      <w:tr w:rsidR="00A052DC" w14:paraId="67B5AA08" w14:textId="77777777">
        <w:trPr>
          <w:cantSplit/>
        </w:trPr>
        <w:tc>
          <w:tcPr>
            <w:tcW w:w="1526" w:type="dxa"/>
          </w:tcPr>
          <w:p w14:paraId="02F3D604" w14:textId="77777777" w:rsidR="00A052DC" w:rsidRDefault="009F0A60">
            <w:pPr>
              <w:pStyle w:val="B"/>
              <w:rPr>
                <w:szCs w:val="20"/>
              </w:rPr>
            </w:pPr>
            <w:r>
              <w:rPr>
                <w:rFonts w:hint="eastAsia"/>
                <w:szCs w:val="20"/>
              </w:rPr>
              <w:t>数据自编码</w:t>
            </w:r>
          </w:p>
        </w:tc>
        <w:tc>
          <w:tcPr>
            <w:tcW w:w="6946" w:type="dxa"/>
          </w:tcPr>
          <w:p w14:paraId="5F660409" w14:textId="77777777" w:rsidR="00A052DC" w:rsidRDefault="009F0A60">
            <w:pPr>
              <w:pStyle w:val="B"/>
              <w:rPr>
                <w:szCs w:val="20"/>
              </w:rPr>
            </w:pPr>
            <w:r>
              <w:rPr>
                <w:rFonts w:hint="eastAsia"/>
                <w:szCs w:val="20"/>
              </w:rPr>
              <w:t>该编码用于标识金融机构报送的每一条数据，按给定规则编码，便于进行增删改查等操作。建议规则：机构代码（18位，不足18位补</w:t>
            </w:r>
            <w:r>
              <w:rPr>
                <w:szCs w:val="20"/>
              </w:rPr>
              <w:t>a</w:t>
            </w:r>
            <w:r>
              <w:rPr>
                <w:rFonts w:hint="eastAsia"/>
                <w:szCs w:val="20"/>
              </w:rPr>
              <w:t>）</w:t>
            </w:r>
            <w:r>
              <w:rPr>
                <w:szCs w:val="20"/>
              </w:rPr>
              <w:t>+</w:t>
            </w:r>
            <w:r>
              <w:rPr>
                <w:rFonts w:hint="eastAsia"/>
                <w:szCs w:val="20"/>
              </w:rPr>
              <w:t>报表代码（</w:t>
            </w:r>
            <w:r>
              <w:rPr>
                <w:szCs w:val="20"/>
              </w:rPr>
              <w:t>5</w:t>
            </w:r>
            <w:r>
              <w:rPr>
                <w:rFonts w:hint="eastAsia"/>
                <w:szCs w:val="20"/>
              </w:rPr>
              <w:t>位，不足</w:t>
            </w:r>
            <w:r>
              <w:rPr>
                <w:szCs w:val="20"/>
              </w:rPr>
              <w:t>5</w:t>
            </w:r>
            <w:r>
              <w:rPr>
                <w:rFonts w:hint="eastAsia"/>
                <w:szCs w:val="20"/>
              </w:rPr>
              <w:t>位补</w:t>
            </w:r>
            <w:r>
              <w:rPr>
                <w:szCs w:val="20"/>
              </w:rPr>
              <w:t>a</w:t>
            </w:r>
            <w:r>
              <w:rPr>
                <w:rFonts w:hint="eastAsia"/>
                <w:szCs w:val="20"/>
              </w:rPr>
              <w:t>）</w:t>
            </w:r>
            <w:r>
              <w:rPr>
                <w:szCs w:val="20"/>
              </w:rPr>
              <w:t>+</w:t>
            </w:r>
            <w:r>
              <w:rPr>
                <w:rFonts w:hint="eastAsia"/>
                <w:szCs w:val="20"/>
              </w:rPr>
              <w:t>报送期（</w:t>
            </w:r>
            <w:r>
              <w:rPr>
                <w:szCs w:val="20"/>
              </w:rPr>
              <w:t>6</w:t>
            </w:r>
            <w:r>
              <w:rPr>
                <w:rFonts w:hint="eastAsia"/>
                <w:szCs w:val="20"/>
              </w:rPr>
              <w:t>位）</w:t>
            </w:r>
            <w:r>
              <w:rPr>
                <w:szCs w:val="20"/>
              </w:rPr>
              <w:t>+</w:t>
            </w:r>
            <w:r>
              <w:rPr>
                <w:rFonts w:hint="eastAsia"/>
                <w:szCs w:val="20"/>
              </w:rPr>
              <w:t>顺序号（</w:t>
            </w:r>
            <w:r>
              <w:rPr>
                <w:szCs w:val="20"/>
              </w:rPr>
              <w:t>7</w:t>
            </w:r>
            <w:r>
              <w:rPr>
                <w:rFonts w:hint="eastAsia"/>
                <w:szCs w:val="20"/>
              </w:rPr>
              <w:t>位，从</w:t>
            </w:r>
            <w:r>
              <w:rPr>
                <w:szCs w:val="20"/>
              </w:rPr>
              <w:t>0000001</w:t>
            </w:r>
            <w:r>
              <w:rPr>
                <w:rFonts w:hint="eastAsia"/>
                <w:szCs w:val="20"/>
              </w:rPr>
              <w:t>开始增加）。</w:t>
            </w:r>
          </w:p>
        </w:tc>
      </w:tr>
      <w:tr w:rsidR="00A052DC" w14:paraId="126C937E" w14:textId="77777777">
        <w:trPr>
          <w:cantSplit/>
        </w:trPr>
        <w:tc>
          <w:tcPr>
            <w:tcW w:w="1526" w:type="dxa"/>
          </w:tcPr>
          <w:p w14:paraId="3F48E0CE" w14:textId="77777777" w:rsidR="00A052DC" w:rsidRDefault="009F0A60">
            <w:pPr>
              <w:pStyle w:val="B"/>
              <w:rPr>
                <w:szCs w:val="20"/>
              </w:rPr>
            </w:pPr>
            <w:r>
              <w:rPr>
                <w:rFonts w:hint="eastAsia"/>
                <w:szCs w:val="20"/>
              </w:rPr>
              <w:t>申报主体代码</w:t>
            </w:r>
          </w:p>
        </w:tc>
        <w:tc>
          <w:tcPr>
            <w:tcW w:w="6946" w:type="dxa"/>
          </w:tcPr>
          <w:p w14:paraId="69E507E4" w14:textId="77777777" w:rsidR="00A052DC" w:rsidRDefault="009F0A60">
            <w:pPr>
              <w:pStyle w:val="B"/>
              <w:rPr>
                <w:szCs w:val="20"/>
              </w:rPr>
            </w:pPr>
            <w:r>
              <w:rPr>
                <w:rFonts w:hint="eastAsia"/>
                <w:szCs w:val="20"/>
              </w:rPr>
              <w:t>申报主体的12位金融机构标识码，如果没有金融机构标识码，则填报统一社会信用代码法定载体（如营业执照）上统一社会信用代码中的第9至17位或国家外汇管理局及其分支局签发的特殊机构代码赋码通知书上的机构代码、个人身份代码。</w:t>
            </w:r>
          </w:p>
        </w:tc>
      </w:tr>
      <w:tr w:rsidR="00A052DC" w14:paraId="18AE9C49" w14:textId="77777777">
        <w:trPr>
          <w:cantSplit/>
        </w:trPr>
        <w:tc>
          <w:tcPr>
            <w:tcW w:w="1526" w:type="dxa"/>
          </w:tcPr>
          <w:p w14:paraId="6A62FE32" w14:textId="77777777" w:rsidR="00A052DC" w:rsidRDefault="009F0A60">
            <w:pPr>
              <w:pStyle w:val="B"/>
              <w:rPr>
                <w:szCs w:val="20"/>
              </w:rPr>
            </w:pPr>
            <w:r>
              <w:rPr>
                <w:rFonts w:hint="eastAsia"/>
                <w:szCs w:val="20"/>
              </w:rPr>
              <w:t>报告期</w:t>
            </w:r>
          </w:p>
        </w:tc>
        <w:tc>
          <w:tcPr>
            <w:tcW w:w="6946" w:type="dxa"/>
          </w:tcPr>
          <w:p w14:paraId="72BEB18E" w14:textId="77777777" w:rsidR="00A052DC" w:rsidRDefault="009F0A60">
            <w:pPr>
              <w:pStyle w:val="B"/>
              <w:rPr>
                <w:szCs w:val="20"/>
              </w:rPr>
            </w:pPr>
            <w:r>
              <w:rPr>
                <w:rFonts w:hint="eastAsia"/>
                <w:szCs w:val="20"/>
              </w:rPr>
              <w:t>业务发生月份，格式为</w:t>
            </w:r>
            <w:r>
              <w:rPr>
                <w:szCs w:val="20"/>
              </w:rPr>
              <w:t>YYYYMM</w:t>
            </w:r>
            <w:r>
              <w:rPr>
                <w:rFonts w:hint="eastAsia"/>
                <w:szCs w:val="20"/>
              </w:rPr>
              <w:t>。</w:t>
            </w:r>
          </w:p>
        </w:tc>
      </w:tr>
      <w:tr w:rsidR="00A052DC" w14:paraId="0867B1DE" w14:textId="77777777">
        <w:trPr>
          <w:cantSplit/>
        </w:trPr>
        <w:tc>
          <w:tcPr>
            <w:tcW w:w="1526" w:type="dxa"/>
          </w:tcPr>
          <w:p w14:paraId="7DAE4E32" w14:textId="77777777" w:rsidR="00A052DC" w:rsidRDefault="009F0A60">
            <w:pPr>
              <w:pStyle w:val="B"/>
              <w:rPr>
                <w:szCs w:val="20"/>
              </w:rPr>
            </w:pPr>
            <w:r>
              <w:rPr>
                <w:szCs w:val="20"/>
              </w:rPr>
              <w:t>非居民委托人代码</w:t>
            </w:r>
          </w:p>
        </w:tc>
        <w:tc>
          <w:tcPr>
            <w:tcW w:w="6946" w:type="dxa"/>
          </w:tcPr>
          <w:p w14:paraId="22FABE6A" w14:textId="77777777" w:rsidR="00A052DC" w:rsidRDefault="009F0A60">
            <w:pPr>
              <w:pStyle w:val="B"/>
              <w:rPr>
                <w:szCs w:val="20"/>
              </w:rPr>
            </w:pPr>
            <w:r>
              <w:rPr>
                <w:rFonts w:hint="eastAsia"/>
                <w:szCs w:val="20"/>
              </w:rPr>
              <w:t>指委托金融机构进行托管的非居民（QFII/RQFII机构）的特殊机构代码，即外汇局签发给QFII/RQFII机构的特殊机构赋码通知书上的特殊机构代码。对于非QFII/RQFII业务，此项为空。</w:t>
            </w:r>
          </w:p>
        </w:tc>
      </w:tr>
      <w:tr w:rsidR="00A052DC" w14:paraId="15CFA2BC" w14:textId="77777777">
        <w:trPr>
          <w:cantSplit/>
        </w:trPr>
        <w:tc>
          <w:tcPr>
            <w:tcW w:w="1526" w:type="dxa"/>
          </w:tcPr>
          <w:p w14:paraId="0D1F3E76" w14:textId="77777777" w:rsidR="00A052DC" w:rsidRDefault="009F0A60">
            <w:pPr>
              <w:pStyle w:val="B"/>
              <w:rPr>
                <w:szCs w:val="20"/>
              </w:rPr>
            </w:pPr>
            <w:r>
              <w:rPr>
                <w:szCs w:val="20"/>
              </w:rPr>
              <w:t>非居民委托人名称</w:t>
            </w:r>
          </w:p>
        </w:tc>
        <w:tc>
          <w:tcPr>
            <w:tcW w:w="6946" w:type="dxa"/>
          </w:tcPr>
          <w:p w14:paraId="02ABD9D0" w14:textId="77777777" w:rsidR="00A052DC" w:rsidRDefault="009F0A60">
            <w:pPr>
              <w:pStyle w:val="B"/>
              <w:rPr>
                <w:szCs w:val="20"/>
              </w:rPr>
            </w:pPr>
            <w:r>
              <w:rPr>
                <w:szCs w:val="20"/>
              </w:rPr>
              <w:t>指委托金融机构进行托管的非居民（QFII/RQFII机构）的英文或中文全称，即外汇局签发给QFII/RQFII机构的特殊机构赋码通知书上的名称。</w:t>
            </w:r>
          </w:p>
        </w:tc>
      </w:tr>
      <w:tr w:rsidR="00A052DC" w14:paraId="6DB7A940" w14:textId="77777777">
        <w:trPr>
          <w:cantSplit/>
        </w:trPr>
        <w:tc>
          <w:tcPr>
            <w:tcW w:w="1526" w:type="dxa"/>
          </w:tcPr>
          <w:p w14:paraId="59A2B32E" w14:textId="77777777" w:rsidR="00A052DC" w:rsidRDefault="009F0A60">
            <w:pPr>
              <w:pStyle w:val="B"/>
              <w:rPr>
                <w:szCs w:val="20"/>
              </w:rPr>
            </w:pPr>
            <w:r>
              <w:rPr>
                <w:szCs w:val="20"/>
              </w:rPr>
              <w:t>非居民委托人所属国家/地区</w:t>
            </w:r>
          </w:p>
        </w:tc>
        <w:tc>
          <w:tcPr>
            <w:tcW w:w="6946" w:type="dxa"/>
          </w:tcPr>
          <w:p w14:paraId="51C0D4FC" w14:textId="77777777" w:rsidR="00A052DC" w:rsidRDefault="009F0A60">
            <w:pPr>
              <w:pStyle w:val="B"/>
              <w:rPr>
                <w:szCs w:val="20"/>
              </w:rPr>
            </w:pPr>
            <w:r>
              <w:rPr>
                <w:szCs w:val="20"/>
              </w:rPr>
              <w:t>指非居民委托人注册或常驻（住）的国家或地区，见国家和地区代码表。</w:t>
            </w:r>
          </w:p>
        </w:tc>
      </w:tr>
      <w:tr w:rsidR="00A052DC" w14:paraId="73C17FB1" w14:textId="77777777">
        <w:trPr>
          <w:cantSplit/>
        </w:trPr>
        <w:tc>
          <w:tcPr>
            <w:tcW w:w="1526" w:type="dxa"/>
          </w:tcPr>
          <w:p w14:paraId="39E4F70F" w14:textId="77777777" w:rsidR="00A052DC" w:rsidRDefault="009F0A60">
            <w:pPr>
              <w:pStyle w:val="B"/>
              <w:rPr>
                <w:szCs w:val="20"/>
              </w:rPr>
            </w:pPr>
            <w:r>
              <w:rPr>
                <w:szCs w:val="20"/>
              </w:rPr>
              <w:t>非居民委托人所属部门</w:t>
            </w:r>
          </w:p>
        </w:tc>
        <w:tc>
          <w:tcPr>
            <w:tcW w:w="6946" w:type="dxa"/>
          </w:tcPr>
          <w:p w14:paraId="1FE6C933" w14:textId="77777777" w:rsidR="00A052DC" w:rsidRDefault="009F0A60">
            <w:pPr>
              <w:pStyle w:val="B"/>
              <w:rPr>
                <w:szCs w:val="20"/>
              </w:rPr>
            </w:pPr>
            <w:r>
              <w:rPr>
                <w:szCs w:val="20"/>
              </w:rPr>
              <w:t>非居民委托人所属部门代码，见投资者（被投资者）部门代码表。</w:t>
            </w:r>
          </w:p>
        </w:tc>
      </w:tr>
      <w:tr w:rsidR="00A052DC" w14:paraId="5477C25F" w14:textId="77777777">
        <w:trPr>
          <w:cantSplit/>
        </w:trPr>
        <w:tc>
          <w:tcPr>
            <w:tcW w:w="1526" w:type="dxa"/>
          </w:tcPr>
          <w:p w14:paraId="614CA528" w14:textId="77777777" w:rsidR="00A052DC" w:rsidRDefault="009F0A60">
            <w:pPr>
              <w:pStyle w:val="B"/>
              <w:rPr>
                <w:szCs w:val="20"/>
              </w:rPr>
            </w:pPr>
            <w:r>
              <w:rPr>
                <w:szCs w:val="20"/>
              </w:rPr>
              <w:t>业务编号</w:t>
            </w:r>
          </w:p>
        </w:tc>
        <w:tc>
          <w:tcPr>
            <w:tcW w:w="6946" w:type="dxa"/>
          </w:tcPr>
          <w:p w14:paraId="5468D31C" w14:textId="77777777" w:rsidR="00A052DC" w:rsidRDefault="009F0A60">
            <w:pPr>
              <w:pStyle w:val="B"/>
              <w:rPr>
                <w:szCs w:val="20"/>
              </w:rPr>
            </w:pPr>
            <w:r>
              <w:rPr>
                <w:szCs w:val="20"/>
              </w:rPr>
              <w:t>外汇局签发的QFII/RQFII</w:t>
            </w:r>
            <w:r>
              <w:rPr>
                <w:rFonts w:hint="eastAsia"/>
                <w:szCs w:val="20"/>
              </w:rPr>
              <w:t>业务（</w:t>
            </w:r>
            <w:r>
              <w:rPr>
                <w:szCs w:val="20"/>
              </w:rPr>
              <w:t>产品</w:t>
            </w:r>
            <w:r>
              <w:rPr>
                <w:rFonts w:hint="eastAsia"/>
                <w:szCs w:val="20"/>
              </w:rPr>
              <w:t>）</w:t>
            </w:r>
            <w:r>
              <w:rPr>
                <w:szCs w:val="20"/>
              </w:rPr>
              <w:t>编号。</w:t>
            </w:r>
          </w:p>
        </w:tc>
      </w:tr>
      <w:tr w:rsidR="00A052DC" w14:paraId="53F34C3A" w14:textId="77777777">
        <w:trPr>
          <w:cantSplit/>
        </w:trPr>
        <w:tc>
          <w:tcPr>
            <w:tcW w:w="1526" w:type="dxa"/>
          </w:tcPr>
          <w:p w14:paraId="11689141" w14:textId="77777777" w:rsidR="00A052DC" w:rsidRDefault="009F0A60">
            <w:pPr>
              <w:pStyle w:val="B"/>
              <w:rPr>
                <w:szCs w:val="20"/>
              </w:rPr>
            </w:pPr>
            <w:r>
              <w:rPr>
                <w:szCs w:val="20"/>
              </w:rPr>
              <w:t>非居民委托人产品名称</w:t>
            </w:r>
          </w:p>
        </w:tc>
        <w:tc>
          <w:tcPr>
            <w:tcW w:w="6946" w:type="dxa"/>
          </w:tcPr>
          <w:p w14:paraId="73991CD0" w14:textId="77777777" w:rsidR="00A052DC" w:rsidRDefault="009F0A60">
            <w:pPr>
              <w:pStyle w:val="B"/>
              <w:rPr>
                <w:szCs w:val="20"/>
              </w:rPr>
            </w:pPr>
            <w:r>
              <w:rPr>
                <w:szCs w:val="20"/>
              </w:rPr>
              <w:t>指非居民委托人所托管产品的全称，即QFII/RQFII机构投资产品名称。</w:t>
            </w:r>
          </w:p>
        </w:tc>
      </w:tr>
      <w:tr w:rsidR="00A052DC" w14:paraId="0F693D19" w14:textId="77777777">
        <w:trPr>
          <w:cantSplit/>
        </w:trPr>
        <w:tc>
          <w:tcPr>
            <w:tcW w:w="1526" w:type="dxa"/>
          </w:tcPr>
          <w:p w14:paraId="37C01FDE" w14:textId="77777777" w:rsidR="00A052DC" w:rsidRDefault="009F0A60">
            <w:pPr>
              <w:pStyle w:val="B"/>
              <w:rPr>
                <w:szCs w:val="20"/>
              </w:rPr>
            </w:pPr>
            <w:r>
              <w:rPr>
                <w:szCs w:val="20"/>
              </w:rPr>
              <w:t>投资工具类型</w:t>
            </w:r>
          </w:p>
        </w:tc>
        <w:tc>
          <w:tcPr>
            <w:tcW w:w="6946" w:type="dxa"/>
          </w:tcPr>
          <w:p w14:paraId="60935679" w14:textId="77777777" w:rsidR="00A052DC" w:rsidRDefault="009F0A60">
            <w:pPr>
              <w:pStyle w:val="B"/>
              <w:rPr>
                <w:szCs w:val="20"/>
              </w:rPr>
            </w:pPr>
            <w:r>
              <w:rPr>
                <w:szCs w:val="20"/>
              </w:rPr>
              <w:t>指非居民委托人产品在境内投向的工具类型，见QFII/RQFII/QDII</w:t>
            </w:r>
            <w:r>
              <w:rPr>
                <w:rFonts w:hint="eastAsia"/>
                <w:szCs w:val="20"/>
              </w:rPr>
              <w:t>/RQDII/QDLP/QDIE</w:t>
            </w:r>
            <w:r>
              <w:rPr>
                <w:szCs w:val="20"/>
              </w:rPr>
              <w:t>投资工具类型代码表。</w:t>
            </w:r>
          </w:p>
        </w:tc>
      </w:tr>
      <w:tr w:rsidR="00A052DC" w14:paraId="1CA48582" w14:textId="77777777">
        <w:trPr>
          <w:cantSplit/>
        </w:trPr>
        <w:tc>
          <w:tcPr>
            <w:tcW w:w="1526" w:type="dxa"/>
          </w:tcPr>
          <w:p w14:paraId="53599317" w14:textId="77777777" w:rsidR="00A052DC" w:rsidRDefault="009F0A60">
            <w:pPr>
              <w:pStyle w:val="B"/>
              <w:rPr>
                <w:szCs w:val="20"/>
              </w:rPr>
            </w:pPr>
            <w:r>
              <w:rPr>
                <w:szCs w:val="20"/>
              </w:rPr>
              <w:t>投资品种类型</w:t>
            </w:r>
          </w:p>
        </w:tc>
        <w:tc>
          <w:tcPr>
            <w:tcW w:w="6946" w:type="dxa"/>
          </w:tcPr>
          <w:p w14:paraId="2E6CBD3C" w14:textId="77777777" w:rsidR="00A052DC" w:rsidRDefault="009F0A60">
            <w:pPr>
              <w:pStyle w:val="B"/>
              <w:rPr>
                <w:szCs w:val="20"/>
              </w:rPr>
            </w:pPr>
            <w:r>
              <w:rPr>
                <w:szCs w:val="20"/>
              </w:rPr>
              <w:t>见QFII/RQFII投资品种类型代码表。</w:t>
            </w:r>
          </w:p>
        </w:tc>
      </w:tr>
      <w:tr w:rsidR="00A052DC" w14:paraId="6A9C741C" w14:textId="77777777">
        <w:trPr>
          <w:cantSplit/>
        </w:trPr>
        <w:tc>
          <w:tcPr>
            <w:tcW w:w="1526" w:type="dxa"/>
          </w:tcPr>
          <w:p w14:paraId="6EA2967A" w14:textId="77777777" w:rsidR="00A052DC" w:rsidRDefault="009F0A60">
            <w:pPr>
              <w:pStyle w:val="B"/>
              <w:rPr>
                <w:szCs w:val="20"/>
              </w:rPr>
            </w:pPr>
            <w:r>
              <w:rPr>
                <w:rFonts w:hint="eastAsia"/>
                <w:szCs w:val="20"/>
              </w:rPr>
              <w:t>业务类型</w:t>
            </w:r>
          </w:p>
        </w:tc>
        <w:tc>
          <w:tcPr>
            <w:tcW w:w="6946" w:type="dxa"/>
          </w:tcPr>
          <w:p w14:paraId="6E73C6BF" w14:textId="77777777" w:rsidR="00A052DC" w:rsidRDefault="009F0A60">
            <w:pPr>
              <w:pStyle w:val="B"/>
              <w:rPr>
                <w:szCs w:val="20"/>
              </w:rPr>
            </w:pPr>
            <w:r>
              <w:rPr>
                <w:rFonts w:hint="eastAsia"/>
                <w:szCs w:val="20"/>
              </w:rPr>
              <w:t>业务类型，包括：1-QFII；2-RQFII；3-沪伦通（西向）；4-跨境理财通；9-其他。</w:t>
            </w:r>
          </w:p>
        </w:tc>
      </w:tr>
      <w:tr w:rsidR="00A052DC" w14:paraId="0E3ADC81" w14:textId="77777777">
        <w:trPr>
          <w:cantSplit/>
        </w:trPr>
        <w:tc>
          <w:tcPr>
            <w:tcW w:w="1526" w:type="dxa"/>
          </w:tcPr>
          <w:p w14:paraId="0F1F5794" w14:textId="77777777" w:rsidR="00A052DC" w:rsidRDefault="009F0A60">
            <w:pPr>
              <w:pStyle w:val="B"/>
              <w:rPr>
                <w:szCs w:val="20"/>
              </w:rPr>
            </w:pPr>
            <w:r>
              <w:rPr>
                <w:szCs w:val="20"/>
              </w:rPr>
              <w:t>金融衍生产品的合约类别</w:t>
            </w:r>
          </w:p>
        </w:tc>
        <w:tc>
          <w:tcPr>
            <w:tcW w:w="6946" w:type="dxa"/>
          </w:tcPr>
          <w:p w14:paraId="406F707A" w14:textId="77777777" w:rsidR="00A052DC" w:rsidRDefault="009F0A60">
            <w:pPr>
              <w:pStyle w:val="B"/>
              <w:rPr>
                <w:szCs w:val="20"/>
              </w:rPr>
            </w:pPr>
            <w:r>
              <w:rPr>
                <w:szCs w:val="20"/>
              </w:rPr>
              <w:t>按远期类和期权类合约两大类划分。见金融衍生产品的合约类别代码表。对于结构复杂的产品，应根据其核心特征进行归类。</w:t>
            </w:r>
          </w:p>
        </w:tc>
      </w:tr>
      <w:tr w:rsidR="00A052DC" w14:paraId="7C719A62" w14:textId="77777777">
        <w:trPr>
          <w:cantSplit/>
        </w:trPr>
        <w:tc>
          <w:tcPr>
            <w:tcW w:w="1526" w:type="dxa"/>
          </w:tcPr>
          <w:p w14:paraId="0329EEB9" w14:textId="77777777" w:rsidR="00A052DC" w:rsidRDefault="009F0A60">
            <w:pPr>
              <w:pStyle w:val="B"/>
              <w:rPr>
                <w:szCs w:val="20"/>
              </w:rPr>
            </w:pPr>
            <w:r>
              <w:rPr>
                <w:szCs w:val="20"/>
              </w:rPr>
              <w:t>金融衍生产品的风险类别</w:t>
            </w:r>
          </w:p>
        </w:tc>
        <w:tc>
          <w:tcPr>
            <w:tcW w:w="6946" w:type="dxa"/>
          </w:tcPr>
          <w:p w14:paraId="7AB7E8F9" w14:textId="77777777" w:rsidR="00A052DC" w:rsidRDefault="009F0A60">
            <w:pPr>
              <w:pStyle w:val="B"/>
              <w:rPr>
                <w:szCs w:val="20"/>
              </w:rPr>
            </w:pPr>
            <w:r>
              <w:rPr>
                <w:szCs w:val="20"/>
              </w:rPr>
              <w:t>金融衍生产品按金融风险主要挂钩指标进行分类，见金融衍生产品的风险类别代码表。如，权证的金融风险类别为股权类产品，商品期货的金融风险类别为商品类产品。对于具有一个以上风险类别的产品，如果产品为敞口风险的简单组合，应按照各风险细项分别记录；如果难以分离风险细项，则按照最重要原则在单一风险细目项记录，无法辨别重要性的，则按照商品、股权、外汇、单一货币利率和信用类的序列记录。</w:t>
            </w:r>
          </w:p>
        </w:tc>
      </w:tr>
      <w:tr w:rsidR="00A052DC" w14:paraId="2DA83180" w14:textId="77777777">
        <w:trPr>
          <w:cantSplit/>
        </w:trPr>
        <w:tc>
          <w:tcPr>
            <w:tcW w:w="1526" w:type="dxa"/>
          </w:tcPr>
          <w:p w14:paraId="2D3C912C" w14:textId="77777777" w:rsidR="00A052DC" w:rsidRDefault="009F0A60">
            <w:pPr>
              <w:pStyle w:val="B"/>
              <w:rPr>
                <w:szCs w:val="20"/>
              </w:rPr>
            </w:pPr>
            <w:r>
              <w:rPr>
                <w:szCs w:val="20"/>
              </w:rPr>
              <w:t>投资工具代码（逐支报送使用）</w:t>
            </w:r>
          </w:p>
        </w:tc>
        <w:tc>
          <w:tcPr>
            <w:tcW w:w="6946" w:type="dxa"/>
          </w:tcPr>
          <w:p w14:paraId="079A0A4C" w14:textId="77777777" w:rsidR="00A052DC" w:rsidRDefault="009F0A60">
            <w:pPr>
              <w:pStyle w:val="B"/>
              <w:rPr>
                <w:szCs w:val="20"/>
              </w:rPr>
            </w:pPr>
            <w:r>
              <w:rPr>
                <w:szCs w:val="20"/>
              </w:rPr>
              <w:t>除证券和金融衍生产品外的其他工具</w:t>
            </w:r>
            <w:r>
              <w:rPr>
                <w:rFonts w:hint="eastAsia"/>
                <w:szCs w:val="20"/>
              </w:rPr>
              <w:t>，此项填写“</w:t>
            </w:r>
            <w:r>
              <w:rPr>
                <w:szCs w:val="20"/>
              </w:rPr>
              <w:t>N/A</w:t>
            </w:r>
            <w:r>
              <w:rPr>
                <w:rFonts w:hint="eastAsia"/>
                <w:szCs w:val="20"/>
              </w:rPr>
              <w:t>”</w:t>
            </w:r>
            <w:r>
              <w:rPr>
                <w:szCs w:val="20"/>
              </w:rPr>
              <w:t>。对于选择报送证券或金融衍生产品</w:t>
            </w:r>
            <w:r>
              <w:rPr>
                <w:rFonts w:hint="eastAsia"/>
                <w:szCs w:val="20"/>
              </w:rPr>
              <w:t>汇总信息</w:t>
            </w:r>
            <w:r>
              <w:rPr>
                <w:szCs w:val="20"/>
              </w:rPr>
              <w:t>的，</w:t>
            </w:r>
            <w:r>
              <w:rPr>
                <w:rFonts w:hint="eastAsia"/>
                <w:szCs w:val="20"/>
              </w:rPr>
              <w:t>此项填写“</w:t>
            </w:r>
            <w:r>
              <w:rPr>
                <w:szCs w:val="20"/>
              </w:rPr>
              <w:t>N/A</w:t>
            </w:r>
            <w:r>
              <w:rPr>
                <w:rFonts w:hint="eastAsia"/>
                <w:szCs w:val="20"/>
              </w:rPr>
              <w:t>”</w:t>
            </w:r>
            <w:r>
              <w:rPr>
                <w:szCs w:val="20"/>
              </w:rPr>
              <w:t>。对于选择报送逐支证券或金融衍生产品的，请</w:t>
            </w:r>
            <w:r>
              <w:rPr>
                <w:rFonts w:hint="eastAsia"/>
                <w:szCs w:val="20"/>
              </w:rPr>
              <w:t>按以下要求</w:t>
            </w:r>
            <w:r>
              <w:rPr>
                <w:szCs w:val="20"/>
              </w:rPr>
              <w:t>填写此项</w:t>
            </w:r>
            <w:r>
              <w:rPr>
                <w:rFonts w:hint="eastAsia"/>
                <w:szCs w:val="20"/>
              </w:rPr>
              <w:t>：</w:t>
            </w:r>
          </w:p>
          <w:p w14:paraId="3B89B9C3" w14:textId="77777777" w:rsidR="00A052DC" w:rsidRDefault="009F0A60">
            <w:pPr>
              <w:pStyle w:val="B"/>
              <w:rPr>
                <w:szCs w:val="20"/>
              </w:rPr>
            </w:pPr>
            <w:r>
              <w:rPr>
                <w:rFonts w:hint="eastAsia"/>
                <w:szCs w:val="20"/>
              </w:rPr>
              <w:t>投资工具代码</w:t>
            </w:r>
            <w:r>
              <w:rPr>
                <w:szCs w:val="20"/>
              </w:rPr>
              <w:t>指本机构托管的、非居民委托人名下的证券（股票和债券）和金融衍生产品的代码。投资产品代码的填写规则为：投资产品代码需为唯一性代码，优先填写ISIN代码；没有ISIN代码的，填写当地市场唯一通行的代码；没有当地市场代码的，填写本机构自编代码，但需确保唯一性。</w:t>
            </w:r>
          </w:p>
        </w:tc>
      </w:tr>
      <w:tr w:rsidR="00A052DC" w14:paraId="1EA3D5FB" w14:textId="77777777">
        <w:trPr>
          <w:cantSplit/>
        </w:trPr>
        <w:tc>
          <w:tcPr>
            <w:tcW w:w="1526" w:type="dxa"/>
          </w:tcPr>
          <w:p w14:paraId="287FD62A" w14:textId="77777777" w:rsidR="00A052DC" w:rsidRDefault="009F0A60">
            <w:pPr>
              <w:pStyle w:val="B"/>
              <w:rPr>
                <w:szCs w:val="20"/>
              </w:rPr>
            </w:pPr>
            <w:r>
              <w:rPr>
                <w:szCs w:val="20"/>
              </w:rPr>
              <w:t>投资工具发行人名称（逐支报送使用）</w:t>
            </w:r>
          </w:p>
        </w:tc>
        <w:tc>
          <w:tcPr>
            <w:tcW w:w="6946" w:type="dxa"/>
          </w:tcPr>
          <w:p w14:paraId="4B47DADB" w14:textId="77777777" w:rsidR="00A052DC" w:rsidRDefault="009F0A60">
            <w:pPr>
              <w:pStyle w:val="B"/>
              <w:rPr>
                <w:szCs w:val="20"/>
              </w:rPr>
            </w:pPr>
            <w:r>
              <w:rPr>
                <w:szCs w:val="20"/>
              </w:rPr>
              <w:t>除证券和金融衍生产品外的其他工具</w:t>
            </w:r>
            <w:r>
              <w:rPr>
                <w:rFonts w:hint="eastAsia"/>
                <w:szCs w:val="20"/>
              </w:rPr>
              <w:t>，此项为空</w:t>
            </w:r>
            <w:r>
              <w:rPr>
                <w:szCs w:val="20"/>
              </w:rPr>
              <w:t>。对于选择报送证券或金融衍生产品</w:t>
            </w:r>
            <w:r>
              <w:rPr>
                <w:rFonts w:hint="eastAsia"/>
                <w:szCs w:val="20"/>
              </w:rPr>
              <w:t>汇总信息</w:t>
            </w:r>
            <w:r>
              <w:rPr>
                <w:szCs w:val="20"/>
              </w:rPr>
              <w:t>的，</w:t>
            </w:r>
            <w:r>
              <w:rPr>
                <w:rFonts w:hint="eastAsia"/>
                <w:szCs w:val="20"/>
              </w:rPr>
              <w:t>此项为空</w:t>
            </w:r>
            <w:r>
              <w:rPr>
                <w:szCs w:val="20"/>
              </w:rPr>
              <w:t>。对于选择报送逐支证券或金融衍生产品的，</w:t>
            </w:r>
            <w:r>
              <w:rPr>
                <w:rFonts w:hint="eastAsia"/>
                <w:szCs w:val="20"/>
              </w:rPr>
              <w:t>请填写相关证券及金融衍生产品的发行机构全称，按其中文全称填列。对于无法明确其发行人或部分场内交易的金融衍生产品，如交易所交易的股指期货或商品期货，其投资工具发行人可填写为相关交易所名称。</w:t>
            </w:r>
          </w:p>
        </w:tc>
      </w:tr>
      <w:tr w:rsidR="00A052DC" w14:paraId="70E73A84" w14:textId="77777777">
        <w:trPr>
          <w:cantSplit/>
        </w:trPr>
        <w:tc>
          <w:tcPr>
            <w:tcW w:w="1526" w:type="dxa"/>
          </w:tcPr>
          <w:p w14:paraId="0E54D088" w14:textId="77777777" w:rsidR="00A052DC" w:rsidRDefault="009F0A60">
            <w:pPr>
              <w:pStyle w:val="B"/>
              <w:rPr>
                <w:szCs w:val="20"/>
              </w:rPr>
            </w:pPr>
            <w:r>
              <w:rPr>
                <w:rFonts w:hint="eastAsia"/>
                <w:szCs w:val="20"/>
              </w:rPr>
              <w:t>投资工具发行人所属国家/地区</w:t>
            </w:r>
          </w:p>
        </w:tc>
        <w:tc>
          <w:tcPr>
            <w:tcW w:w="6946" w:type="dxa"/>
          </w:tcPr>
          <w:p w14:paraId="66D0BCC8" w14:textId="77777777" w:rsidR="00A052DC" w:rsidRDefault="009F0A60">
            <w:pPr>
              <w:pStyle w:val="B"/>
              <w:rPr>
                <w:szCs w:val="20"/>
              </w:rPr>
            </w:pPr>
            <w:r>
              <w:rPr>
                <w:rFonts w:ascii="宋体" w:hAnsi="宋体" w:hint="eastAsia"/>
                <w:color w:val="000000"/>
              </w:rPr>
              <w:t>填写相关投资工具发行主体的注册国家</w:t>
            </w:r>
            <w:r>
              <w:rPr>
                <w:rFonts w:ascii="宋体" w:hAnsi="宋体"/>
                <w:color w:val="000000"/>
              </w:rPr>
              <w:t>/</w:t>
            </w:r>
            <w:r>
              <w:rPr>
                <w:rFonts w:ascii="宋体" w:hAnsi="宋体" w:hint="eastAsia"/>
                <w:color w:val="000000"/>
              </w:rPr>
              <w:t>地区，</w:t>
            </w:r>
            <w:r>
              <w:rPr>
                <w:rFonts w:hint="eastAsia"/>
                <w:szCs w:val="20"/>
              </w:rPr>
              <w:t>见国家和地区代码表。</w:t>
            </w:r>
          </w:p>
        </w:tc>
      </w:tr>
      <w:tr w:rsidR="00A052DC" w14:paraId="02AE37FF" w14:textId="77777777">
        <w:trPr>
          <w:cantSplit/>
        </w:trPr>
        <w:tc>
          <w:tcPr>
            <w:tcW w:w="1526" w:type="dxa"/>
          </w:tcPr>
          <w:p w14:paraId="71BCCF70" w14:textId="77777777" w:rsidR="00A052DC" w:rsidRDefault="009F0A60">
            <w:pPr>
              <w:pStyle w:val="B"/>
              <w:rPr>
                <w:szCs w:val="20"/>
              </w:rPr>
            </w:pPr>
            <w:r>
              <w:rPr>
                <w:rFonts w:hint="eastAsia"/>
              </w:rPr>
              <w:t>投资工具发行人所属部门</w:t>
            </w:r>
          </w:p>
        </w:tc>
        <w:tc>
          <w:tcPr>
            <w:tcW w:w="6946" w:type="dxa"/>
          </w:tcPr>
          <w:p w14:paraId="736EF4B2" w14:textId="77777777" w:rsidR="00A052DC" w:rsidRDefault="009F0A60">
            <w:pPr>
              <w:pStyle w:val="B"/>
              <w:rPr>
                <w:szCs w:val="20"/>
              </w:rPr>
            </w:pPr>
            <w:r>
              <w:rPr>
                <w:szCs w:val="20"/>
              </w:rPr>
              <w:t>见投资者（被投资者）部门代码表，请按相关工具发行人（对手方）的主营业务归类。</w:t>
            </w:r>
          </w:p>
        </w:tc>
      </w:tr>
      <w:tr w:rsidR="00A052DC" w14:paraId="490ABD96" w14:textId="77777777">
        <w:trPr>
          <w:cantSplit/>
        </w:trPr>
        <w:tc>
          <w:tcPr>
            <w:tcW w:w="1526" w:type="dxa"/>
          </w:tcPr>
          <w:p w14:paraId="70A6D154" w14:textId="77777777" w:rsidR="00A052DC" w:rsidRDefault="009F0A60">
            <w:pPr>
              <w:pStyle w:val="B"/>
              <w:rPr>
                <w:szCs w:val="20"/>
              </w:rPr>
            </w:pPr>
            <w:r>
              <w:rPr>
                <w:rFonts w:hint="eastAsia"/>
              </w:rPr>
              <w:t>非居民委托人与境内发行人的关系</w:t>
            </w:r>
          </w:p>
        </w:tc>
        <w:tc>
          <w:tcPr>
            <w:tcW w:w="6946" w:type="dxa"/>
          </w:tcPr>
          <w:p w14:paraId="4AB97D5A" w14:textId="77777777" w:rsidR="00A052DC" w:rsidRDefault="009F0A60">
            <w:pPr>
              <w:pStyle w:val="B"/>
              <w:rPr>
                <w:szCs w:val="20"/>
              </w:rPr>
            </w:pPr>
            <w:r>
              <w:rPr>
                <w:rFonts w:hint="eastAsia"/>
                <w:szCs w:val="20"/>
              </w:rPr>
              <w:t>见对方与本机构</w:t>
            </w:r>
            <w:r>
              <w:rPr>
                <w:szCs w:val="20"/>
              </w:rPr>
              <w:t>/</w:t>
            </w:r>
            <w:r>
              <w:rPr>
                <w:rFonts w:hint="eastAsia"/>
                <w:szCs w:val="20"/>
              </w:rPr>
              <w:t>被代理居民机构</w:t>
            </w:r>
            <w:r>
              <w:rPr>
                <w:szCs w:val="20"/>
              </w:rPr>
              <w:t>/</w:t>
            </w:r>
            <w:r>
              <w:rPr>
                <w:rFonts w:hint="eastAsia"/>
                <w:szCs w:val="20"/>
              </w:rPr>
              <w:t>委托人的关系代码表。请按以下四种情况填列：</w:t>
            </w:r>
            <w:r>
              <w:rPr>
                <w:szCs w:val="20"/>
              </w:rPr>
              <w:t>1-</w:t>
            </w:r>
            <w:r>
              <w:rPr>
                <w:rFonts w:hint="eastAsia"/>
                <w:szCs w:val="20"/>
              </w:rPr>
              <w:t>非居民委托人是境内工具发行人（或对手方）的境外直接投资者，即持有境内对手方表决权≥</w:t>
            </w:r>
            <w:r>
              <w:rPr>
                <w:szCs w:val="20"/>
              </w:rPr>
              <w:t>10%</w:t>
            </w:r>
            <w:r>
              <w:rPr>
                <w:rFonts w:hint="eastAsia"/>
                <w:szCs w:val="20"/>
              </w:rPr>
              <w:t>；</w:t>
            </w:r>
            <w:r>
              <w:rPr>
                <w:szCs w:val="20"/>
              </w:rPr>
              <w:t>2-</w:t>
            </w:r>
            <w:r>
              <w:rPr>
                <w:rFonts w:hint="eastAsia"/>
                <w:szCs w:val="20"/>
              </w:rPr>
              <w:t>非居民委托人是境内工具发行人（或对手方）的境外直接投资企业，即是境内工具发行人（或对手方）持有表决权在</w:t>
            </w:r>
            <w:r>
              <w:rPr>
                <w:szCs w:val="20"/>
              </w:rPr>
              <w:t>10%</w:t>
            </w:r>
            <w:r>
              <w:rPr>
                <w:rFonts w:hint="eastAsia"/>
                <w:szCs w:val="20"/>
              </w:rPr>
              <w:t>及以上的境外分支机构、子机构、联营机构或合营机构；</w:t>
            </w:r>
            <w:r>
              <w:rPr>
                <w:szCs w:val="20"/>
              </w:rPr>
              <w:t>3-</w:t>
            </w:r>
            <w:r>
              <w:rPr>
                <w:rFonts w:hint="eastAsia"/>
                <w:szCs w:val="20"/>
              </w:rPr>
              <w:t>非居民委托人是境内工具发行人（或对手方）的境外联属机构，即双方有共同母公司，但相互持有表决权＜</w:t>
            </w:r>
            <w:r>
              <w:rPr>
                <w:szCs w:val="20"/>
              </w:rPr>
              <w:t>10%</w:t>
            </w:r>
            <w:r>
              <w:rPr>
                <w:rFonts w:hint="eastAsia"/>
                <w:szCs w:val="20"/>
              </w:rPr>
              <w:t>或相互不持有表决权；</w:t>
            </w:r>
            <w:r>
              <w:rPr>
                <w:szCs w:val="20"/>
              </w:rPr>
              <w:t>4-</w:t>
            </w:r>
            <w:r>
              <w:rPr>
                <w:rFonts w:hint="eastAsia"/>
                <w:szCs w:val="20"/>
              </w:rPr>
              <w:t>非居民委托人与境内工具发行人（或对手方）无关联关系或关系未知。</w:t>
            </w:r>
          </w:p>
        </w:tc>
      </w:tr>
      <w:tr w:rsidR="00A052DC" w14:paraId="1D30DC02" w14:textId="77777777">
        <w:trPr>
          <w:cantSplit/>
        </w:trPr>
        <w:tc>
          <w:tcPr>
            <w:tcW w:w="1526" w:type="dxa"/>
          </w:tcPr>
          <w:p w14:paraId="3C17FFCE" w14:textId="77777777" w:rsidR="00A052DC" w:rsidRDefault="009F0A60">
            <w:pPr>
              <w:pStyle w:val="B"/>
              <w:rPr>
                <w:szCs w:val="20"/>
              </w:rPr>
            </w:pPr>
            <w:r>
              <w:rPr>
                <w:szCs w:val="20"/>
              </w:rPr>
              <w:t>投资工具的原始期限</w:t>
            </w:r>
          </w:p>
        </w:tc>
        <w:tc>
          <w:tcPr>
            <w:tcW w:w="6946" w:type="dxa"/>
          </w:tcPr>
          <w:p w14:paraId="7FBD5348" w14:textId="77777777" w:rsidR="00A052DC" w:rsidRDefault="009F0A60">
            <w:pPr>
              <w:rPr>
                <w:rFonts w:ascii="黑体" w:eastAsia="黑体" w:hAnsi="黑体"/>
                <w:sz w:val="20"/>
                <w:szCs w:val="20"/>
              </w:rPr>
            </w:pPr>
            <w:r>
              <w:rPr>
                <w:rFonts w:ascii="黑体" w:eastAsia="黑体" w:hAnsi="黑体" w:hint="eastAsia"/>
                <w:kern w:val="0"/>
                <w:sz w:val="20"/>
                <w:szCs w:val="20"/>
              </w:rPr>
              <w:t>按以下两种情况填列：①一年及以下；②一年以上。其中，不定期或活期类工具归入①，永久性债和非参与性优先股归入②。本项仅适用于</w:t>
            </w:r>
            <w:r>
              <w:rPr>
                <w:rFonts w:ascii="黑体" w:eastAsia="黑体" w:hAnsi="黑体"/>
                <w:kern w:val="0"/>
                <w:sz w:val="20"/>
                <w:szCs w:val="20"/>
              </w:rPr>
              <w:t>H0105下</w:t>
            </w:r>
            <w:r>
              <w:rPr>
                <w:rFonts w:ascii="黑体" w:eastAsia="黑体" w:hAnsi="黑体" w:hint="eastAsia"/>
                <w:kern w:val="0"/>
                <w:sz w:val="20"/>
                <w:szCs w:val="20"/>
              </w:rPr>
              <w:t>（</w:t>
            </w:r>
            <w:r>
              <w:rPr>
                <w:rFonts w:ascii="黑体" w:eastAsia="黑体" w:hAnsi="黑体"/>
                <w:kern w:val="0"/>
                <w:sz w:val="20"/>
                <w:szCs w:val="20"/>
              </w:rPr>
              <w:t>16）-</w:t>
            </w:r>
            <w:r>
              <w:rPr>
                <w:rFonts w:ascii="黑体" w:eastAsia="黑体" w:hAnsi="黑体" w:hint="eastAsia"/>
                <w:kern w:val="0"/>
                <w:sz w:val="20"/>
                <w:szCs w:val="20"/>
              </w:rPr>
              <w:t>（</w:t>
            </w:r>
            <w:r>
              <w:rPr>
                <w:rFonts w:ascii="黑体" w:eastAsia="黑体" w:hAnsi="黑体"/>
                <w:kern w:val="0"/>
                <w:sz w:val="20"/>
                <w:szCs w:val="20"/>
              </w:rPr>
              <w:t>19）</w:t>
            </w:r>
            <w:r>
              <w:rPr>
                <w:rFonts w:ascii="黑体" w:eastAsia="黑体" w:hAnsi="黑体" w:hint="eastAsia"/>
                <w:kern w:val="0"/>
                <w:sz w:val="20"/>
                <w:szCs w:val="20"/>
              </w:rPr>
              <w:t>以及（</w:t>
            </w:r>
            <w:r>
              <w:rPr>
                <w:rFonts w:ascii="黑体" w:eastAsia="黑体" w:hAnsi="黑体"/>
                <w:kern w:val="0"/>
                <w:sz w:val="20"/>
                <w:szCs w:val="20"/>
              </w:rPr>
              <w:t>21</w:t>
            </w:r>
            <w:r>
              <w:rPr>
                <w:rFonts w:ascii="黑体" w:eastAsia="黑体" w:hAnsi="黑体" w:hint="eastAsia"/>
                <w:kern w:val="0"/>
                <w:sz w:val="20"/>
                <w:szCs w:val="20"/>
              </w:rPr>
              <w:t>）</w:t>
            </w:r>
            <w:r>
              <w:rPr>
                <w:rFonts w:ascii="黑体" w:eastAsia="黑体" w:hAnsi="黑体"/>
                <w:kern w:val="0"/>
                <w:sz w:val="20"/>
                <w:szCs w:val="20"/>
              </w:rPr>
              <w:t>-（23）</w:t>
            </w:r>
            <w:r>
              <w:rPr>
                <w:rFonts w:ascii="黑体" w:eastAsia="黑体" w:hAnsi="黑体" w:hint="eastAsia"/>
                <w:kern w:val="0"/>
                <w:sz w:val="20"/>
                <w:szCs w:val="20"/>
              </w:rPr>
              <w:t>类工具，（</w:t>
            </w:r>
            <w:r>
              <w:rPr>
                <w:rFonts w:ascii="黑体" w:eastAsia="黑体" w:hAnsi="黑体"/>
                <w:kern w:val="0"/>
                <w:sz w:val="20"/>
                <w:szCs w:val="20"/>
              </w:rPr>
              <w:t>11）-</w:t>
            </w:r>
            <w:r>
              <w:rPr>
                <w:rFonts w:ascii="黑体" w:eastAsia="黑体" w:hAnsi="黑体" w:hint="eastAsia"/>
                <w:kern w:val="0"/>
                <w:sz w:val="20"/>
                <w:szCs w:val="20"/>
              </w:rPr>
              <w:t>（</w:t>
            </w:r>
            <w:r>
              <w:rPr>
                <w:rFonts w:ascii="黑体" w:eastAsia="黑体" w:hAnsi="黑体"/>
                <w:kern w:val="0"/>
                <w:sz w:val="20"/>
                <w:szCs w:val="20"/>
              </w:rPr>
              <w:t>15）</w:t>
            </w:r>
            <w:r>
              <w:rPr>
                <w:rFonts w:ascii="黑体" w:eastAsia="黑体" w:hAnsi="黑体" w:hint="eastAsia"/>
                <w:kern w:val="0"/>
                <w:sz w:val="20"/>
                <w:szCs w:val="20"/>
              </w:rPr>
              <w:t>、（</w:t>
            </w:r>
            <w:r>
              <w:rPr>
                <w:rFonts w:ascii="黑体" w:eastAsia="黑体" w:hAnsi="黑体"/>
                <w:kern w:val="0"/>
                <w:sz w:val="20"/>
                <w:szCs w:val="20"/>
              </w:rPr>
              <w:t>20）</w:t>
            </w:r>
            <w:r>
              <w:rPr>
                <w:rFonts w:ascii="黑体" w:eastAsia="黑体" w:hAnsi="黑体" w:hint="eastAsia"/>
                <w:kern w:val="0"/>
                <w:sz w:val="20"/>
                <w:szCs w:val="20"/>
              </w:rPr>
              <w:t>以及（</w:t>
            </w:r>
            <w:r>
              <w:rPr>
                <w:rFonts w:ascii="黑体" w:eastAsia="黑体" w:hAnsi="黑体"/>
                <w:kern w:val="0"/>
                <w:sz w:val="20"/>
                <w:szCs w:val="20"/>
              </w:rPr>
              <w:t>24）</w:t>
            </w:r>
            <w:r>
              <w:rPr>
                <w:rFonts w:ascii="黑体" w:eastAsia="黑体" w:hAnsi="黑体" w:hint="eastAsia"/>
                <w:kern w:val="0"/>
                <w:sz w:val="20"/>
                <w:szCs w:val="20"/>
              </w:rPr>
              <w:t>类工具不需填写本项。</w:t>
            </w:r>
          </w:p>
        </w:tc>
      </w:tr>
      <w:tr w:rsidR="00A052DC" w14:paraId="141D5C8B" w14:textId="77777777">
        <w:trPr>
          <w:cantSplit/>
        </w:trPr>
        <w:tc>
          <w:tcPr>
            <w:tcW w:w="1526" w:type="dxa"/>
          </w:tcPr>
          <w:p w14:paraId="7674ED19" w14:textId="77777777" w:rsidR="00A052DC" w:rsidRDefault="009F0A60">
            <w:pPr>
              <w:pStyle w:val="B"/>
              <w:rPr>
                <w:szCs w:val="20"/>
              </w:rPr>
            </w:pPr>
            <w:r>
              <w:rPr>
                <w:szCs w:val="20"/>
              </w:rPr>
              <w:t>原始币种</w:t>
            </w:r>
          </w:p>
        </w:tc>
        <w:tc>
          <w:tcPr>
            <w:tcW w:w="6946" w:type="dxa"/>
          </w:tcPr>
          <w:p w14:paraId="7EB8D702" w14:textId="77777777" w:rsidR="00A052DC" w:rsidRDefault="009F0A60">
            <w:pPr>
              <w:pStyle w:val="B"/>
              <w:rPr>
                <w:szCs w:val="20"/>
              </w:rPr>
            </w:pPr>
            <w:r>
              <w:rPr>
                <w:rFonts w:hint="eastAsia"/>
                <w:szCs w:val="20"/>
              </w:rPr>
              <w:t>指非居民委托人相关工具的计价币种。</w:t>
            </w:r>
          </w:p>
        </w:tc>
      </w:tr>
      <w:tr w:rsidR="00A052DC" w14:paraId="7E12FE51" w14:textId="77777777">
        <w:trPr>
          <w:cantSplit/>
        </w:trPr>
        <w:tc>
          <w:tcPr>
            <w:tcW w:w="1526" w:type="dxa"/>
          </w:tcPr>
          <w:p w14:paraId="4573FADD" w14:textId="77777777" w:rsidR="00A052DC" w:rsidRDefault="009F0A60">
            <w:pPr>
              <w:pStyle w:val="B"/>
              <w:rPr>
                <w:szCs w:val="20"/>
              </w:rPr>
            </w:pPr>
            <w:r>
              <w:rPr>
                <w:szCs w:val="20"/>
              </w:rPr>
              <w:t>上月末市值</w:t>
            </w:r>
          </w:p>
        </w:tc>
        <w:tc>
          <w:tcPr>
            <w:tcW w:w="6946" w:type="dxa"/>
          </w:tcPr>
          <w:p w14:paraId="0D6BDD3C" w14:textId="77777777" w:rsidR="00A052DC" w:rsidRDefault="009F0A60">
            <w:pPr>
              <w:pStyle w:val="B"/>
              <w:rPr>
                <w:szCs w:val="20"/>
              </w:rPr>
            </w:pPr>
            <w:r>
              <w:rPr>
                <w:szCs w:val="20"/>
              </w:rPr>
              <w:t>指上月末相关工具的公允价值。应优先使用公开市场期末市场价值，如无市场价值，则按照</w:t>
            </w:r>
            <w:r>
              <w:rPr>
                <w:rFonts w:hint="eastAsia"/>
                <w:szCs w:val="20"/>
              </w:rPr>
              <w:t>申报主体</w:t>
            </w:r>
            <w:r>
              <w:rPr>
                <w:szCs w:val="20"/>
              </w:rPr>
              <w:t>的记账惯例填报公允价值。对于金融衍生产品，如填报的是小汇总数据，不得将公允价值为正值的合约与公允价值为负值的合约进行轧差合并。</w:t>
            </w:r>
          </w:p>
        </w:tc>
      </w:tr>
      <w:tr w:rsidR="00A052DC" w14:paraId="61DDB9EA" w14:textId="77777777">
        <w:trPr>
          <w:cantSplit/>
        </w:trPr>
        <w:tc>
          <w:tcPr>
            <w:tcW w:w="1526" w:type="dxa"/>
          </w:tcPr>
          <w:p w14:paraId="39B35A1E" w14:textId="77777777" w:rsidR="00A052DC" w:rsidRDefault="009F0A60">
            <w:pPr>
              <w:pStyle w:val="B"/>
              <w:rPr>
                <w:szCs w:val="20"/>
              </w:rPr>
            </w:pPr>
            <w:r>
              <w:rPr>
                <w:szCs w:val="20"/>
              </w:rPr>
              <w:t>本月买入/申购/(现金)结算付款额</w:t>
            </w:r>
          </w:p>
        </w:tc>
        <w:tc>
          <w:tcPr>
            <w:tcW w:w="6946" w:type="dxa"/>
          </w:tcPr>
          <w:p w14:paraId="309511EF" w14:textId="77777777" w:rsidR="00A052DC" w:rsidRDefault="009F0A60">
            <w:pPr>
              <w:pStyle w:val="B"/>
              <w:rPr>
                <w:szCs w:val="20"/>
              </w:rPr>
            </w:pPr>
            <w:r>
              <w:rPr>
                <w:rFonts w:hint="eastAsia"/>
              </w:rPr>
              <w:t>指本月内，非居民所托管</w:t>
            </w:r>
            <w:r>
              <w:rPr>
                <w:rFonts w:hint="eastAsia"/>
                <w:szCs w:val="20"/>
              </w:rPr>
              <w:t>投资产品</w:t>
            </w:r>
            <w:r>
              <w:rPr>
                <w:rFonts w:hint="eastAsia"/>
              </w:rPr>
              <w:t>买入、申购以及支付衍生产品期权费或结算衍生产品支付的金额。不包括相关股票发行机构因股票分割或发行红利股（即公司重组其股票）而向股东提供的新股票。与发行新</w:t>
            </w:r>
            <w:r>
              <w:rPr>
                <w:rFonts w:hint="eastAsia"/>
                <w:szCs w:val="20"/>
              </w:rPr>
              <w:t>股</w:t>
            </w:r>
            <w:r>
              <w:rPr>
                <w:rFonts w:hint="eastAsia"/>
              </w:rPr>
              <w:t>获得融资不同，股票分割和红利股不发生新的融资，不应记录为交易。对于存贷款或应收应付类工具，如为净增加，则填报在该项下，否则，填报在本月卖出</w:t>
            </w:r>
            <w:r>
              <w:t>/赎回/(现金)结算收款额</w:t>
            </w:r>
            <w:r>
              <w:rPr>
                <w:rFonts w:hint="eastAsia"/>
              </w:rPr>
              <w:t>项下。</w:t>
            </w:r>
          </w:p>
        </w:tc>
      </w:tr>
      <w:tr w:rsidR="00A052DC" w14:paraId="2BC4E16C" w14:textId="77777777">
        <w:trPr>
          <w:cantSplit/>
        </w:trPr>
        <w:tc>
          <w:tcPr>
            <w:tcW w:w="1526" w:type="dxa"/>
          </w:tcPr>
          <w:p w14:paraId="123239C6" w14:textId="77777777" w:rsidR="00A052DC" w:rsidRDefault="009F0A60">
            <w:pPr>
              <w:pStyle w:val="B"/>
              <w:rPr>
                <w:szCs w:val="20"/>
              </w:rPr>
            </w:pPr>
            <w:r>
              <w:rPr>
                <w:szCs w:val="20"/>
              </w:rPr>
              <w:t>本月卖出/赎回/(现金)结算收款额</w:t>
            </w:r>
          </w:p>
        </w:tc>
        <w:tc>
          <w:tcPr>
            <w:tcW w:w="6946" w:type="dxa"/>
          </w:tcPr>
          <w:p w14:paraId="2BDF2CC2" w14:textId="77777777" w:rsidR="00A052DC" w:rsidRDefault="009F0A60">
            <w:pPr>
              <w:pStyle w:val="B"/>
              <w:rPr>
                <w:szCs w:val="20"/>
              </w:rPr>
            </w:pPr>
            <w:r>
              <w:rPr>
                <w:rFonts w:hint="eastAsia"/>
              </w:rPr>
              <w:t>指本月内，非居民所托管投资产品卖出、赎回</w:t>
            </w:r>
            <w:r>
              <w:rPr>
                <w:rFonts w:hint="eastAsia"/>
                <w:szCs w:val="20"/>
              </w:rPr>
              <w:t>及</w:t>
            </w:r>
            <w:r>
              <w:rPr>
                <w:rFonts w:hint="eastAsia"/>
              </w:rPr>
              <w:t>收到衍生产品期权费或结算衍生产品获得的相关结算额。对于存贷款或应收应付类工具，如为净减少，则填报在该项下，否则，填报在本月买入</w:t>
            </w:r>
            <w:r>
              <w:t>/申购/(现金)结算付款额</w:t>
            </w:r>
            <w:r>
              <w:rPr>
                <w:rFonts w:hint="eastAsia"/>
              </w:rPr>
              <w:t>项下。</w:t>
            </w:r>
          </w:p>
        </w:tc>
      </w:tr>
      <w:tr w:rsidR="00A052DC" w14:paraId="1DDB3A88" w14:textId="77777777">
        <w:trPr>
          <w:cantSplit/>
        </w:trPr>
        <w:tc>
          <w:tcPr>
            <w:tcW w:w="1526" w:type="dxa"/>
          </w:tcPr>
          <w:p w14:paraId="3B08C8FF" w14:textId="77777777" w:rsidR="00A052DC" w:rsidRDefault="009F0A60">
            <w:pPr>
              <w:pStyle w:val="B"/>
              <w:rPr>
                <w:szCs w:val="20"/>
              </w:rPr>
            </w:pPr>
            <w:r>
              <w:rPr>
                <w:rFonts w:hint="eastAsia"/>
                <w:szCs w:val="20"/>
              </w:rPr>
              <w:t>本月卖出/赎回/(现金)结算收款额</w:t>
            </w:r>
            <w:r>
              <w:rPr>
                <w:rFonts w:hAnsi="宋体" w:hint="eastAsia"/>
                <w:color w:val="000000"/>
              </w:rPr>
              <w:t>其中：债券到期或提前兑付的本息金额</w:t>
            </w:r>
          </w:p>
        </w:tc>
        <w:tc>
          <w:tcPr>
            <w:tcW w:w="6946" w:type="dxa"/>
          </w:tcPr>
          <w:p w14:paraId="5B13B387" w14:textId="77777777" w:rsidR="00A052DC" w:rsidRDefault="009F0A60">
            <w:pPr>
              <w:pStyle w:val="B"/>
            </w:pPr>
            <w:r>
              <w:rPr>
                <w:rFonts w:ascii="宋体" w:hAnsi="宋体" w:hint="eastAsia"/>
                <w:color w:val="000000"/>
              </w:rPr>
              <w:t>指本月内，债券发行人在债券到期日或到期日之前部分或全部偿还的本金和利息。本项仅限债务证券使用，非债务性工具不填报此项。</w:t>
            </w:r>
          </w:p>
        </w:tc>
      </w:tr>
      <w:tr w:rsidR="00A052DC" w14:paraId="716F7A18" w14:textId="77777777">
        <w:trPr>
          <w:cantSplit/>
        </w:trPr>
        <w:tc>
          <w:tcPr>
            <w:tcW w:w="1526" w:type="dxa"/>
          </w:tcPr>
          <w:p w14:paraId="7E6129E0" w14:textId="77777777" w:rsidR="00A052DC" w:rsidRDefault="009F0A60">
            <w:pPr>
              <w:pStyle w:val="B"/>
              <w:rPr>
                <w:szCs w:val="20"/>
              </w:rPr>
            </w:pPr>
            <w:r>
              <w:rPr>
                <w:szCs w:val="20"/>
              </w:rPr>
              <w:t>本月非交易变动</w:t>
            </w:r>
          </w:p>
        </w:tc>
        <w:tc>
          <w:tcPr>
            <w:tcW w:w="6946" w:type="dxa"/>
          </w:tcPr>
          <w:p w14:paraId="70907899" w14:textId="77777777" w:rsidR="00A052DC" w:rsidRDefault="009F0A60">
            <w:pPr>
              <w:pStyle w:val="B"/>
              <w:rPr>
                <w:szCs w:val="20"/>
              </w:rPr>
            </w:pPr>
            <w:r>
              <w:rPr>
                <w:rFonts w:hint="eastAsia"/>
                <w:szCs w:val="20"/>
              </w:rPr>
              <w:t>反映统计期间相关工具交易净值变化以外的非交易因素引起的变动。须满足以下校验关系：本月非交易变动=本月末市值-上月末市值-[本月买入/申购/(现金)结算付款额-本月卖出/赎回/(现金)结算收款额]。</w:t>
            </w:r>
          </w:p>
        </w:tc>
      </w:tr>
      <w:tr w:rsidR="00A052DC" w14:paraId="4A534AA8" w14:textId="77777777">
        <w:trPr>
          <w:cantSplit/>
        </w:trPr>
        <w:tc>
          <w:tcPr>
            <w:tcW w:w="1526" w:type="dxa"/>
          </w:tcPr>
          <w:p w14:paraId="5CABD5F1" w14:textId="77777777" w:rsidR="00A052DC" w:rsidRDefault="009F0A60">
            <w:pPr>
              <w:pStyle w:val="B"/>
              <w:widowControl w:val="0"/>
              <w:rPr>
                <w:szCs w:val="20"/>
              </w:rPr>
            </w:pPr>
            <w:r>
              <w:rPr>
                <w:rFonts w:hint="eastAsia"/>
              </w:rPr>
              <w:t>注销</w:t>
            </w:r>
            <w:r>
              <w:rPr>
                <w:rFonts w:hint="eastAsia"/>
                <w:szCs w:val="20"/>
              </w:rPr>
              <w:t>、调整</w:t>
            </w:r>
            <w:r>
              <w:rPr>
                <w:rFonts w:hint="eastAsia"/>
              </w:rPr>
              <w:t>或重新分类至其他项目统计的金额</w:t>
            </w:r>
          </w:p>
        </w:tc>
        <w:tc>
          <w:tcPr>
            <w:tcW w:w="6946" w:type="dxa"/>
          </w:tcPr>
          <w:p w14:paraId="473B55B1" w14:textId="77777777" w:rsidR="00A052DC" w:rsidRDefault="009F0A60">
            <w:pPr>
              <w:pStyle w:val="B"/>
              <w:widowControl w:val="0"/>
              <w:rPr>
                <w:szCs w:val="20"/>
              </w:rPr>
            </w:pPr>
            <w:r>
              <w:rPr>
                <w:rFonts w:hint="eastAsia"/>
              </w:rPr>
              <w:t>指非交易因素</w:t>
            </w:r>
            <w:r>
              <w:rPr>
                <w:rFonts w:hint="eastAsia"/>
                <w:szCs w:val="20"/>
              </w:rPr>
              <w:t>和非价值重估因素</w:t>
            </w:r>
            <w:r>
              <w:rPr>
                <w:rFonts w:hint="eastAsia"/>
              </w:rPr>
              <w:t>引起的投资产品资产数量增减和价值变动</w:t>
            </w:r>
            <w:r>
              <w:rPr>
                <w:rFonts w:hint="eastAsia"/>
                <w:szCs w:val="20"/>
              </w:rPr>
              <w:t>，</w:t>
            </w:r>
            <w:r>
              <w:rPr>
                <w:rFonts w:hint="eastAsia"/>
              </w:rPr>
              <w:t>包括但不限于本月因非居民委托人注销或重新分类相关投资</w:t>
            </w:r>
            <w:r>
              <w:rPr>
                <w:rFonts w:hint="eastAsia"/>
                <w:szCs w:val="20"/>
              </w:rPr>
              <w:t>，也包括其他不能归类</w:t>
            </w:r>
            <w:r>
              <w:rPr>
                <w:rFonts w:hint="eastAsia"/>
              </w:rPr>
              <w:t>为</w:t>
            </w:r>
            <w:r>
              <w:rPr>
                <w:rFonts w:hint="eastAsia"/>
                <w:szCs w:val="20"/>
              </w:rPr>
              <w:t>价值重估或汇率波动</w:t>
            </w:r>
            <w:r>
              <w:rPr>
                <w:rFonts w:hint="eastAsia"/>
              </w:rPr>
              <w:t>引起的资产价值变动。该项目须满足以下校验关系：本月非交易变动</w:t>
            </w:r>
            <w:r>
              <w:t>=</w:t>
            </w:r>
            <w:r>
              <w:rPr>
                <w:rFonts w:hint="eastAsia"/>
              </w:rPr>
              <w:t>注销、调整或重新分类至其他项目统计的金额</w:t>
            </w:r>
            <w:r>
              <w:t>+</w:t>
            </w:r>
            <w:r>
              <w:rPr>
                <w:rFonts w:hint="eastAsia"/>
              </w:rPr>
              <w:t>价值重估因素。</w:t>
            </w:r>
          </w:p>
        </w:tc>
      </w:tr>
      <w:tr w:rsidR="00A052DC" w14:paraId="58396B0E" w14:textId="77777777">
        <w:trPr>
          <w:cantSplit/>
        </w:trPr>
        <w:tc>
          <w:tcPr>
            <w:tcW w:w="1526" w:type="dxa"/>
          </w:tcPr>
          <w:p w14:paraId="7863E353" w14:textId="77777777" w:rsidR="00A052DC" w:rsidRDefault="009F0A60">
            <w:pPr>
              <w:pStyle w:val="B"/>
              <w:widowControl w:val="0"/>
              <w:rPr>
                <w:szCs w:val="20"/>
              </w:rPr>
            </w:pPr>
            <w:r>
              <w:rPr>
                <w:rFonts w:hint="eastAsia"/>
              </w:rPr>
              <w:t>价值重估因素</w:t>
            </w:r>
          </w:p>
        </w:tc>
        <w:tc>
          <w:tcPr>
            <w:tcW w:w="6946" w:type="dxa"/>
          </w:tcPr>
          <w:p w14:paraId="2B14CE41" w14:textId="77777777" w:rsidR="00A052DC" w:rsidRDefault="009F0A60">
            <w:pPr>
              <w:pStyle w:val="B"/>
              <w:widowControl w:val="0"/>
              <w:rPr>
                <w:szCs w:val="20"/>
              </w:rPr>
            </w:pPr>
            <w:r>
              <w:rPr>
                <w:rFonts w:ascii="宋体" w:hAnsi="宋体" w:hint="eastAsia"/>
                <w:color w:val="000000"/>
              </w:rPr>
              <w:t>指本月市场价格或近似参考价格变动引起的价值变化（重估损益）。</w:t>
            </w:r>
            <w:r>
              <w:rPr>
                <w:rFonts w:hint="eastAsia"/>
              </w:rPr>
              <w:t>该项目须满足以下校验关系：本月非交易变动</w:t>
            </w:r>
            <w:r>
              <w:t>=</w:t>
            </w:r>
            <w:r>
              <w:rPr>
                <w:rFonts w:hint="eastAsia"/>
              </w:rPr>
              <w:t>注销</w:t>
            </w:r>
            <w:r>
              <w:rPr>
                <w:rFonts w:hint="eastAsia"/>
                <w:szCs w:val="20"/>
              </w:rPr>
              <w:t>、调整</w:t>
            </w:r>
            <w:r>
              <w:rPr>
                <w:rFonts w:hint="eastAsia"/>
              </w:rPr>
              <w:t>或重新分类至其他项目统计的金额</w:t>
            </w:r>
            <w:r>
              <w:t>+</w:t>
            </w:r>
            <w:r>
              <w:rPr>
                <w:rFonts w:hint="eastAsia"/>
              </w:rPr>
              <w:t>价值重估因素。</w:t>
            </w:r>
          </w:p>
        </w:tc>
      </w:tr>
      <w:tr w:rsidR="00A052DC" w14:paraId="29E0F861" w14:textId="77777777">
        <w:trPr>
          <w:cantSplit/>
        </w:trPr>
        <w:tc>
          <w:tcPr>
            <w:tcW w:w="1526" w:type="dxa"/>
          </w:tcPr>
          <w:p w14:paraId="2DCCD0F4" w14:textId="77777777" w:rsidR="00A052DC" w:rsidRDefault="009F0A60">
            <w:pPr>
              <w:pStyle w:val="B"/>
              <w:widowControl w:val="0"/>
              <w:rPr>
                <w:szCs w:val="20"/>
              </w:rPr>
            </w:pPr>
            <w:r>
              <w:rPr>
                <w:szCs w:val="20"/>
              </w:rPr>
              <w:t>本月末市值</w:t>
            </w:r>
          </w:p>
        </w:tc>
        <w:tc>
          <w:tcPr>
            <w:tcW w:w="6946" w:type="dxa"/>
          </w:tcPr>
          <w:p w14:paraId="2578E474" w14:textId="77777777" w:rsidR="00A052DC" w:rsidRDefault="009F0A60">
            <w:pPr>
              <w:pStyle w:val="B"/>
              <w:widowControl w:val="0"/>
              <w:rPr>
                <w:szCs w:val="20"/>
              </w:rPr>
            </w:pPr>
            <w:r>
              <w:rPr>
                <w:rFonts w:hint="eastAsia"/>
              </w:rPr>
              <w:t>指本月末相关工具的公允价值。应优先使用</w:t>
            </w:r>
            <w:r>
              <w:rPr>
                <w:rFonts w:hint="eastAsia"/>
                <w:szCs w:val="20"/>
              </w:rPr>
              <w:t>本月最后一个交易日收盘价计算的</w:t>
            </w:r>
            <w:r>
              <w:rPr>
                <w:rFonts w:hint="eastAsia"/>
              </w:rPr>
              <w:t>市场价值，如无市场价值，则按照</w:t>
            </w:r>
            <w:r>
              <w:rPr>
                <w:rFonts w:hint="eastAsia"/>
                <w:szCs w:val="20"/>
              </w:rPr>
              <w:t>填报机构</w:t>
            </w:r>
            <w:r>
              <w:rPr>
                <w:rFonts w:hint="eastAsia"/>
              </w:rPr>
              <w:t>的记账惯例填报公允价值</w:t>
            </w:r>
            <w:r>
              <w:rPr>
                <w:rFonts w:hint="eastAsia"/>
                <w:szCs w:val="20"/>
              </w:rPr>
              <w:t>（债券类工具应按全价计值）</w:t>
            </w:r>
            <w:r>
              <w:rPr>
                <w:rFonts w:hint="eastAsia"/>
              </w:rPr>
              <w:t>。对于金融衍生产品，如填报的是小汇总数据，不得将公允价值为正值的合约与公允价值为负值合约进行轧差合并。</w:t>
            </w:r>
          </w:p>
        </w:tc>
      </w:tr>
      <w:tr w:rsidR="00A052DC" w14:paraId="3B775663" w14:textId="77777777">
        <w:trPr>
          <w:cantSplit/>
        </w:trPr>
        <w:tc>
          <w:tcPr>
            <w:tcW w:w="1526" w:type="dxa"/>
          </w:tcPr>
          <w:p w14:paraId="36A56A98" w14:textId="77777777" w:rsidR="00A052DC" w:rsidRDefault="009F0A60">
            <w:pPr>
              <w:pStyle w:val="B"/>
              <w:widowControl w:val="0"/>
              <w:rPr>
                <w:szCs w:val="20"/>
              </w:rPr>
            </w:pPr>
            <w:r>
              <w:rPr>
                <w:szCs w:val="20"/>
              </w:rPr>
              <w:t>本月末市值</w:t>
            </w:r>
            <w:r>
              <w:rPr>
                <w:rFonts w:hint="eastAsia"/>
                <w:szCs w:val="20"/>
              </w:rPr>
              <w:t>其中：剩余期限在一年及以下</w:t>
            </w:r>
          </w:p>
        </w:tc>
        <w:tc>
          <w:tcPr>
            <w:tcW w:w="6946" w:type="dxa"/>
          </w:tcPr>
          <w:p w14:paraId="02F71C65" w14:textId="77777777" w:rsidR="00A052DC" w:rsidRDefault="009F0A60">
            <w:pPr>
              <w:pStyle w:val="B"/>
              <w:widowControl w:val="0"/>
            </w:pPr>
            <w:r>
              <w:rPr>
                <w:rFonts w:hint="eastAsia"/>
              </w:rPr>
              <w:t>“投资工具类型”项的值为</w:t>
            </w:r>
            <w:r>
              <w:t>11-15</w:t>
            </w:r>
            <w:r>
              <w:rPr>
                <w:rFonts w:hint="eastAsia"/>
                <w:szCs w:val="20"/>
              </w:rPr>
              <w:t>、</w:t>
            </w:r>
            <w:r>
              <w:rPr>
                <w:szCs w:val="20"/>
              </w:rPr>
              <w:t>20</w:t>
            </w:r>
            <w:r>
              <w:rPr>
                <w:rFonts w:hint="eastAsia"/>
              </w:rPr>
              <w:t>或</w:t>
            </w:r>
            <w:r>
              <w:rPr>
                <w:szCs w:val="20"/>
              </w:rPr>
              <w:t>24</w:t>
            </w:r>
            <w:r>
              <w:rPr>
                <w:rFonts w:hint="eastAsia"/>
              </w:rPr>
              <w:t>时，该项填</w:t>
            </w:r>
            <w:r>
              <w:t>0</w:t>
            </w:r>
            <w:r>
              <w:rPr>
                <w:rFonts w:hint="eastAsia"/>
              </w:rPr>
              <w:t>；“投资工具类型”项的值为</w:t>
            </w:r>
            <w:r>
              <w:t>16-19</w:t>
            </w:r>
            <w:r>
              <w:rPr>
                <w:rFonts w:hint="eastAsia"/>
              </w:rPr>
              <w:t>或</w:t>
            </w:r>
            <w:r>
              <w:t>21-23</w:t>
            </w:r>
            <w:r>
              <w:rPr>
                <w:rFonts w:hint="eastAsia"/>
              </w:rPr>
              <w:t>时，该项按以下要求填写：</w:t>
            </w:r>
          </w:p>
          <w:p w14:paraId="5D08F3A1" w14:textId="77777777" w:rsidR="00A052DC" w:rsidRDefault="009F0A60">
            <w:pPr>
              <w:pStyle w:val="B"/>
              <w:widowControl w:val="0"/>
              <w:rPr>
                <w:szCs w:val="20"/>
              </w:rPr>
            </w:pPr>
            <w:r>
              <w:rPr>
                <w:rFonts w:hint="eastAsia"/>
              </w:rPr>
              <w:t>指自本月末至最终到期的期限在一年及以下的债务类工具的公允价值。应优先使用公开市场期末市场价值，如无市场价值，则按照申报主体的记账惯例填报公允价值。</w:t>
            </w:r>
          </w:p>
        </w:tc>
      </w:tr>
      <w:tr w:rsidR="00A052DC" w14:paraId="4FFC27BA" w14:textId="77777777">
        <w:trPr>
          <w:cantSplit/>
        </w:trPr>
        <w:tc>
          <w:tcPr>
            <w:tcW w:w="1526" w:type="dxa"/>
          </w:tcPr>
          <w:p w14:paraId="6C39D7D9" w14:textId="77777777" w:rsidR="00A052DC" w:rsidRDefault="009F0A60">
            <w:pPr>
              <w:pStyle w:val="B"/>
              <w:widowControl w:val="0"/>
              <w:rPr>
                <w:szCs w:val="20"/>
              </w:rPr>
            </w:pPr>
            <w:r>
              <w:rPr>
                <w:szCs w:val="20"/>
              </w:rPr>
              <w:t>本月红利或利息收入</w:t>
            </w:r>
          </w:p>
        </w:tc>
        <w:tc>
          <w:tcPr>
            <w:tcW w:w="6946" w:type="dxa"/>
          </w:tcPr>
          <w:p w14:paraId="021A8F68" w14:textId="77777777" w:rsidR="00A052DC" w:rsidRDefault="009F0A60">
            <w:pPr>
              <w:pStyle w:val="B"/>
              <w:widowControl w:val="0"/>
              <w:rPr>
                <w:szCs w:val="20"/>
              </w:rPr>
            </w:pPr>
            <w:r>
              <w:rPr>
                <w:rFonts w:ascii="宋体" w:hAnsi="宋体" w:hint="eastAsia"/>
                <w:color w:val="000000"/>
              </w:rPr>
              <w:t>指按照权责发生制原则，本月确认的红利、股息或利息收入。指当月数，而非累计数。对于股票股息，按照除息日当日投资者持有的股票份数乘每股派息金额填报。</w:t>
            </w:r>
          </w:p>
        </w:tc>
      </w:tr>
      <w:tr w:rsidR="00A052DC" w14:paraId="335899A1" w14:textId="77777777">
        <w:trPr>
          <w:cantSplit/>
        </w:trPr>
        <w:tc>
          <w:tcPr>
            <w:tcW w:w="1526" w:type="dxa"/>
          </w:tcPr>
          <w:p w14:paraId="178CE517" w14:textId="77777777" w:rsidR="00A052DC" w:rsidRDefault="009F0A60">
            <w:pPr>
              <w:pStyle w:val="B"/>
              <w:widowControl w:val="0"/>
              <w:rPr>
                <w:szCs w:val="20"/>
              </w:rPr>
            </w:pPr>
            <w:r>
              <w:rPr>
                <w:rFonts w:hint="eastAsia"/>
              </w:rPr>
              <w:t>本月未实现收益</w:t>
            </w:r>
            <w:r>
              <w:rPr>
                <w:rFonts w:hint="eastAsia"/>
                <w:szCs w:val="20"/>
              </w:rPr>
              <w:t>（仅适用于货币市场基金份额）</w:t>
            </w:r>
          </w:p>
        </w:tc>
        <w:tc>
          <w:tcPr>
            <w:tcW w:w="6946" w:type="dxa"/>
          </w:tcPr>
          <w:p w14:paraId="133D57A9" w14:textId="77777777" w:rsidR="00A052DC" w:rsidRDefault="009F0A60">
            <w:pPr>
              <w:pStyle w:val="B"/>
              <w:widowControl w:val="0"/>
              <w:rPr>
                <w:szCs w:val="20"/>
              </w:rPr>
            </w:pPr>
            <w:r>
              <w:rPr>
                <w:rFonts w:hint="eastAsia"/>
                <w:szCs w:val="20"/>
              </w:rPr>
              <w:t>“投资工具类型”项的值不是</w:t>
            </w:r>
            <w:r>
              <w:rPr>
                <w:szCs w:val="20"/>
              </w:rPr>
              <w:t>13</w:t>
            </w:r>
            <w:r>
              <w:rPr>
                <w:rFonts w:hint="eastAsia"/>
                <w:szCs w:val="20"/>
              </w:rPr>
              <w:t>（货币市场基金份额）时，该项填</w:t>
            </w:r>
            <w:r>
              <w:rPr>
                <w:szCs w:val="20"/>
              </w:rPr>
              <w:t>0</w:t>
            </w:r>
            <w:r>
              <w:rPr>
                <w:rFonts w:hint="eastAsia"/>
                <w:szCs w:val="20"/>
              </w:rPr>
              <w:t>；“投资工具类型”项的值是</w:t>
            </w:r>
            <w:r>
              <w:rPr>
                <w:szCs w:val="20"/>
              </w:rPr>
              <w:t>13</w:t>
            </w:r>
            <w:r>
              <w:rPr>
                <w:rFonts w:hint="eastAsia"/>
                <w:szCs w:val="20"/>
              </w:rPr>
              <w:t>（货币市场基金份额）时，该项含义为该投资基金份额中归属于投资者的未分配利润（留存利润）。</w:t>
            </w:r>
          </w:p>
        </w:tc>
      </w:tr>
      <w:tr w:rsidR="00A052DC" w14:paraId="096126A8" w14:textId="77777777">
        <w:trPr>
          <w:cantSplit/>
        </w:trPr>
        <w:tc>
          <w:tcPr>
            <w:tcW w:w="1526" w:type="dxa"/>
          </w:tcPr>
          <w:p w14:paraId="690A87E8" w14:textId="77777777" w:rsidR="00A052DC" w:rsidRDefault="009F0A60">
            <w:pPr>
              <w:pStyle w:val="B"/>
              <w:widowControl w:val="0"/>
              <w:rPr>
                <w:szCs w:val="20"/>
              </w:rPr>
            </w:pPr>
            <w:r>
              <w:rPr>
                <w:szCs w:val="20"/>
              </w:rPr>
              <w:t>金融衍生产品的名义本金币种</w:t>
            </w:r>
          </w:p>
        </w:tc>
        <w:tc>
          <w:tcPr>
            <w:tcW w:w="6946" w:type="dxa"/>
          </w:tcPr>
          <w:p w14:paraId="540CC7FD" w14:textId="77777777" w:rsidR="00A052DC" w:rsidRDefault="009F0A60">
            <w:pPr>
              <w:pStyle w:val="B"/>
              <w:widowControl w:val="0"/>
              <w:rPr>
                <w:szCs w:val="20"/>
              </w:rPr>
            </w:pPr>
            <w:r>
              <w:rPr>
                <w:szCs w:val="20"/>
              </w:rPr>
              <w:t>指本月末仍存续的金融衍生品名义本金的计价币种。如涉及双币种，请选取基础币种或按本机构惯例填报。</w:t>
            </w:r>
          </w:p>
        </w:tc>
      </w:tr>
      <w:tr w:rsidR="00A052DC" w14:paraId="1CF07609" w14:textId="77777777">
        <w:trPr>
          <w:cantSplit/>
        </w:trPr>
        <w:tc>
          <w:tcPr>
            <w:tcW w:w="1526" w:type="dxa"/>
          </w:tcPr>
          <w:p w14:paraId="6F14A42A" w14:textId="77777777" w:rsidR="00A052DC" w:rsidRDefault="009F0A60">
            <w:pPr>
              <w:pStyle w:val="B"/>
              <w:widowControl w:val="0"/>
              <w:rPr>
                <w:szCs w:val="20"/>
              </w:rPr>
            </w:pPr>
            <w:r>
              <w:rPr>
                <w:szCs w:val="20"/>
              </w:rPr>
              <w:t>金融衍生产品的本月末名义本金金额</w:t>
            </w:r>
          </w:p>
        </w:tc>
        <w:tc>
          <w:tcPr>
            <w:tcW w:w="6946" w:type="dxa"/>
          </w:tcPr>
          <w:p w14:paraId="05EAD4C0" w14:textId="77777777" w:rsidR="00A052DC" w:rsidRDefault="009F0A60">
            <w:pPr>
              <w:pStyle w:val="B"/>
              <w:widowControl w:val="0"/>
              <w:rPr>
                <w:szCs w:val="20"/>
              </w:rPr>
            </w:pPr>
            <w:r>
              <w:rPr>
                <w:szCs w:val="20"/>
              </w:rPr>
              <w:t>指本月末仍存续的金融衍生品合约的名义本金价值。对于本金价值可变的合约，填报本月末合约本金。</w:t>
            </w:r>
          </w:p>
        </w:tc>
      </w:tr>
      <w:tr w:rsidR="00A052DC" w14:paraId="7AE4EA44" w14:textId="77777777">
        <w:trPr>
          <w:cantSplit/>
        </w:trPr>
        <w:tc>
          <w:tcPr>
            <w:tcW w:w="1526" w:type="dxa"/>
          </w:tcPr>
          <w:p w14:paraId="4FECF828" w14:textId="77777777" w:rsidR="00A052DC" w:rsidRDefault="009F0A60">
            <w:pPr>
              <w:pStyle w:val="B"/>
              <w:widowControl w:val="0"/>
              <w:rPr>
                <w:szCs w:val="20"/>
              </w:rPr>
            </w:pPr>
            <w:r>
              <w:rPr>
                <w:rFonts w:hAnsi="宋体" w:hint="eastAsia"/>
                <w:color w:val="000000"/>
              </w:rPr>
              <w:t>本月末未到期/未偿付债券面值</w:t>
            </w:r>
          </w:p>
        </w:tc>
        <w:tc>
          <w:tcPr>
            <w:tcW w:w="6946" w:type="dxa"/>
          </w:tcPr>
          <w:p w14:paraId="50F8FBE9" w14:textId="77777777" w:rsidR="00A052DC" w:rsidRDefault="009F0A60">
            <w:pPr>
              <w:pStyle w:val="B"/>
              <w:widowControl w:val="0"/>
              <w:rPr>
                <w:szCs w:val="20"/>
              </w:rPr>
            </w:pPr>
            <w:r>
              <w:rPr>
                <w:rFonts w:ascii="宋体" w:hAnsi="宋体" w:hint="eastAsia"/>
                <w:color w:val="000000"/>
              </w:rPr>
              <w:t>债券面值为债券发行人在债券到期时需向持有人偿还的本金金额。本项应填报为债券票面金额与本月末投资者持有债券数量的乘积。本项仅限债务证券使用，非债务性工具不填报此项。</w:t>
            </w:r>
          </w:p>
        </w:tc>
      </w:tr>
      <w:tr w:rsidR="00A052DC" w14:paraId="046B33F5" w14:textId="77777777">
        <w:trPr>
          <w:cantSplit/>
        </w:trPr>
        <w:tc>
          <w:tcPr>
            <w:tcW w:w="1526" w:type="dxa"/>
          </w:tcPr>
          <w:p w14:paraId="3AFC1DA0" w14:textId="77777777" w:rsidR="00A052DC" w:rsidRDefault="009F0A60">
            <w:pPr>
              <w:pStyle w:val="B"/>
              <w:widowControl w:val="0"/>
              <w:rPr>
                <w:szCs w:val="20"/>
              </w:rPr>
            </w:pPr>
            <w:r>
              <w:rPr>
                <w:szCs w:val="20"/>
              </w:rPr>
              <w:t>备注</w:t>
            </w:r>
          </w:p>
        </w:tc>
        <w:tc>
          <w:tcPr>
            <w:tcW w:w="6946" w:type="dxa"/>
          </w:tcPr>
          <w:p w14:paraId="750964C1" w14:textId="77777777" w:rsidR="00A052DC" w:rsidRDefault="009F0A60">
            <w:pPr>
              <w:pStyle w:val="B"/>
              <w:widowControl w:val="0"/>
              <w:rPr>
                <w:szCs w:val="20"/>
              </w:rPr>
            </w:pPr>
            <w:r>
              <w:rPr>
                <w:szCs w:val="20"/>
              </w:rPr>
              <w:t>需要说明的备注事项。</w:t>
            </w:r>
          </w:p>
        </w:tc>
      </w:tr>
    </w:tbl>
    <w:p w14:paraId="1FB4EA97" w14:textId="77777777" w:rsidR="00A052DC" w:rsidRDefault="00A052DC">
      <w:pPr>
        <w:ind w:firstLine="480"/>
      </w:pPr>
    </w:p>
    <w:p w14:paraId="7A985940" w14:textId="77777777" w:rsidR="00A052DC" w:rsidRDefault="009F0A60" w:rsidP="0020251D">
      <w:pPr>
        <w:pStyle w:val="4"/>
        <w:numPr>
          <w:ilvl w:val="3"/>
          <w:numId w:val="1"/>
        </w:numPr>
        <w:jc w:val="left"/>
      </w:pPr>
      <w:bookmarkStart w:id="3655" w:name="_Toc454391458"/>
      <w:bookmarkStart w:id="3656" w:name="_Toc380571007"/>
      <w:r>
        <w:rPr>
          <w:rFonts w:hint="eastAsia"/>
        </w:rPr>
        <w:t>数据格式</w:t>
      </w:r>
      <w:bookmarkEnd w:id="3655"/>
      <w:bookmarkEnd w:id="3656"/>
    </w:p>
    <w:p w14:paraId="41A4E782" w14:textId="77777777" w:rsidR="00A052DC" w:rsidRDefault="009F0A60">
      <w:pPr>
        <w:ind w:firstLine="426"/>
      </w:pPr>
      <w:r>
        <w:t>&lt;REC&gt;</w:t>
      </w:r>
    </w:p>
    <w:p w14:paraId="6E52386C" w14:textId="77777777" w:rsidR="00A052DC" w:rsidRDefault="009F0A60">
      <w:pPr>
        <w:ind w:firstLine="426"/>
      </w:pPr>
      <w:r>
        <w:t>&lt;ACTIONTYPE&gt;</w:t>
      </w:r>
      <w:r>
        <w:rPr>
          <w:rFonts w:hAnsi="宋体"/>
        </w:rPr>
        <w:t>操作类型</w:t>
      </w:r>
      <w:r>
        <w:t>&lt;/ACTIONTYPE&gt;</w:t>
      </w:r>
    </w:p>
    <w:p w14:paraId="634B6B09" w14:textId="77777777" w:rsidR="00A052DC" w:rsidRDefault="009F0A60">
      <w:pPr>
        <w:ind w:firstLine="426"/>
      </w:pPr>
      <w:r>
        <w:t>&lt;ACTIONDESC&gt;</w:t>
      </w:r>
      <w:r>
        <w:rPr>
          <w:rFonts w:hAnsi="宋体"/>
        </w:rPr>
        <w:t>删除原因</w:t>
      </w:r>
      <w:r>
        <w:t>&lt;/ACTIONDESC&gt;</w:t>
      </w:r>
    </w:p>
    <w:p w14:paraId="5F56365F" w14:textId="77777777" w:rsidR="00A052DC" w:rsidRDefault="009F0A60">
      <w:pPr>
        <w:ind w:firstLine="426"/>
      </w:pPr>
      <w:r>
        <w:t>&lt;SNOCODE&gt;</w:t>
      </w:r>
      <w:r>
        <w:rPr>
          <w:rFonts w:hAnsi="宋体"/>
        </w:rPr>
        <w:t>数据自编码</w:t>
      </w:r>
      <w:r>
        <w:t>&lt;/SNOCODE&gt;</w:t>
      </w:r>
    </w:p>
    <w:p w14:paraId="0970CF41" w14:textId="77777777" w:rsidR="00A052DC" w:rsidRDefault="009F0A60">
      <w:pPr>
        <w:ind w:firstLine="426"/>
      </w:pPr>
      <w:r>
        <w:t>&lt;OBJCODE&gt;</w:t>
      </w:r>
      <w:r>
        <w:rPr>
          <w:rFonts w:hAnsi="宋体"/>
        </w:rPr>
        <w:t>申报主体代码</w:t>
      </w:r>
      <w:r>
        <w:t>&lt;/OBJCODE&gt;</w:t>
      </w:r>
    </w:p>
    <w:p w14:paraId="47CBA3F0" w14:textId="77777777" w:rsidR="00A052DC" w:rsidRDefault="009F0A60">
      <w:pPr>
        <w:ind w:firstLine="426"/>
      </w:pPr>
      <w:r>
        <w:t>&lt;BUOCMONTH&gt;</w:t>
      </w:r>
      <w:r>
        <w:rPr>
          <w:rFonts w:hAnsi="宋体"/>
        </w:rPr>
        <w:t>报告期</w:t>
      </w:r>
      <w:r>
        <w:t>&lt;/BUOCMONTH&gt;</w:t>
      </w:r>
    </w:p>
    <w:p w14:paraId="6A5D1849" w14:textId="77777777" w:rsidR="00A052DC" w:rsidRDefault="009F0A60">
      <w:pPr>
        <w:ind w:firstLine="426"/>
      </w:pPr>
      <w:r>
        <w:t>&lt;H0101CODE&gt;</w:t>
      </w:r>
      <w:r>
        <w:rPr>
          <w:rFonts w:hAnsi="宋体"/>
        </w:rPr>
        <w:t>非居民委托人代码</w:t>
      </w:r>
      <w:r>
        <w:t>&lt;/H0101CODE&gt;</w:t>
      </w:r>
    </w:p>
    <w:p w14:paraId="10798A28" w14:textId="77777777" w:rsidR="00A052DC" w:rsidRDefault="009F0A60">
      <w:pPr>
        <w:ind w:firstLine="426"/>
      </w:pPr>
      <w:r>
        <w:t>&lt;H0101&gt;</w:t>
      </w:r>
      <w:r>
        <w:rPr>
          <w:rFonts w:hAnsi="宋体"/>
        </w:rPr>
        <w:t>非居民委托人名称</w:t>
      </w:r>
      <w:r>
        <w:t>&lt;/H0101&gt;</w:t>
      </w:r>
    </w:p>
    <w:p w14:paraId="21B5C7A5" w14:textId="77777777" w:rsidR="00A052DC" w:rsidRDefault="009F0A60">
      <w:pPr>
        <w:ind w:firstLine="426"/>
      </w:pPr>
      <w:r>
        <w:t>&lt;H0102&gt;</w:t>
      </w:r>
      <w:r>
        <w:rPr>
          <w:rFonts w:hAnsi="宋体"/>
        </w:rPr>
        <w:t>非居民委托人所属国家</w:t>
      </w:r>
      <w:r>
        <w:t>/</w:t>
      </w:r>
      <w:r>
        <w:rPr>
          <w:rFonts w:hAnsi="宋体"/>
        </w:rPr>
        <w:t>地区</w:t>
      </w:r>
      <w:r>
        <w:t>&lt;/H0102&gt;</w:t>
      </w:r>
    </w:p>
    <w:p w14:paraId="55B8D7BC" w14:textId="77777777" w:rsidR="00A052DC" w:rsidRDefault="009F0A60">
      <w:pPr>
        <w:ind w:firstLine="426"/>
      </w:pPr>
      <w:r>
        <w:t>&lt;H0103&gt;</w:t>
      </w:r>
      <w:r>
        <w:rPr>
          <w:rFonts w:hAnsi="宋体"/>
        </w:rPr>
        <w:t>非居民委托人所属部门</w:t>
      </w:r>
      <w:r>
        <w:t>&lt;/H0103&gt;</w:t>
      </w:r>
    </w:p>
    <w:p w14:paraId="2F393C7C" w14:textId="77777777" w:rsidR="00A052DC" w:rsidRDefault="009F0A60">
      <w:pPr>
        <w:ind w:firstLine="426"/>
      </w:pPr>
      <w:r>
        <w:t>&lt;H0104CODE&gt;</w:t>
      </w:r>
      <w:r>
        <w:rPr>
          <w:rFonts w:hAnsi="宋体"/>
        </w:rPr>
        <w:t>业务编号</w:t>
      </w:r>
      <w:r>
        <w:t>&lt;/H0104CODE&gt;</w:t>
      </w:r>
    </w:p>
    <w:p w14:paraId="41D23E2F" w14:textId="77777777" w:rsidR="00A052DC" w:rsidRDefault="009F0A60">
      <w:pPr>
        <w:ind w:firstLine="426"/>
      </w:pPr>
      <w:r>
        <w:t>&lt;H0104&gt;</w:t>
      </w:r>
      <w:r>
        <w:rPr>
          <w:rFonts w:hAnsi="宋体"/>
        </w:rPr>
        <w:t>非居民委托人产品名称</w:t>
      </w:r>
      <w:r>
        <w:t>&lt;/H0104&gt;</w:t>
      </w:r>
    </w:p>
    <w:p w14:paraId="39A86272" w14:textId="77777777" w:rsidR="00A052DC" w:rsidRDefault="009F0A60">
      <w:pPr>
        <w:ind w:firstLine="426"/>
      </w:pPr>
      <w:r>
        <w:t>&lt;H0105&gt;</w:t>
      </w:r>
      <w:r>
        <w:rPr>
          <w:rFonts w:hAnsi="宋体"/>
        </w:rPr>
        <w:t>投资工具类型</w:t>
      </w:r>
      <w:r>
        <w:t>&lt;/H0105&gt;</w:t>
      </w:r>
    </w:p>
    <w:p w14:paraId="0BD5934C" w14:textId="77777777" w:rsidR="00A052DC" w:rsidRDefault="009F0A60">
      <w:pPr>
        <w:ind w:firstLine="426"/>
      </w:pPr>
      <w:r>
        <w:t>&lt;H0105CODE&gt;</w:t>
      </w:r>
      <w:r>
        <w:rPr>
          <w:rFonts w:hAnsi="宋体"/>
        </w:rPr>
        <w:t>业务类型</w:t>
      </w:r>
      <w:r>
        <w:t>&lt;/H0105CODE&gt;</w:t>
      </w:r>
    </w:p>
    <w:p w14:paraId="1B8082F5" w14:textId="77777777" w:rsidR="00A052DC" w:rsidRDefault="009F0A60">
      <w:pPr>
        <w:ind w:firstLine="426"/>
      </w:pPr>
      <w:r>
        <w:t>&lt;INVTYPE&gt;</w:t>
      </w:r>
      <w:r>
        <w:rPr>
          <w:rFonts w:hAnsi="宋体"/>
        </w:rPr>
        <w:t>投资品种类型</w:t>
      </w:r>
      <w:r>
        <w:t>&lt;/INVTYPE&gt;</w:t>
      </w:r>
    </w:p>
    <w:p w14:paraId="2C2CBB42" w14:textId="77777777" w:rsidR="00A052DC" w:rsidRDefault="009F0A60">
      <w:pPr>
        <w:ind w:firstLine="426"/>
      </w:pPr>
      <w:r>
        <w:t>&lt;H0106&gt;</w:t>
      </w:r>
      <w:r>
        <w:rPr>
          <w:rFonts w:hAnsi="宋体"/>
        </w:rPr>
        <w:t>金融衍生产品的合约类别</w:t>
      </w:r>
      <w:r>
        <w:t>&lt;/H0106&gt;</w:t>
      </w:r>
    </w:p>
    <w:p w14:paraId="4B18AD0A" w14:textId="77777777" w:rsidR="00A052DC" w:rsidRDefault="009F0A60">
      <w:pPr>
        <w:ind w:firstLine="426"/>
      </w:pPr>
      <w:r>
        <w:t>&lt;H0107&gt;</w:t>
      </w:r>
      <w:r>
        <w:rPr>
          <w:rFonts w:hAnsi="宋体"/>
        </w:rPr>
        <w:t>金融衍生产品的风险类别</w:t>
      </w:r>
      <w:r>
        <w:t>&lt;/H0107&gt;</w:t>
      </w:r>
    </w:p>
    <w:p w14:paraId="0CB33F37" w14:textId="77777777" w:rsidR="00A052DC" w:rsidRDefault="009F0A60">
      <w:pPr>
        <w:ind w:firstLine="426"/>
      </w:pPr>
      <w:r>
        <w:t>&lt;H0108&gt;</w:t>
      </w:r>
      <w:r>
        <w:rPr>
          <w:rFonts w:hAnsi="宋体"/>
        </w:rPr>
        <w:t>投资工具代码（逐支报送使用）</w:t>
      </w:r>
      <w:r>
        <w:t>&lt;/H0108&gt;</w:t>
      </w:r>
    </w:p>
    <w:p w14:paraId="538CC7A5" w14:textId="77777777" w:rsidR="00A052DC" w:rsidRDefault="009F0A60">
      <w:pPr>
        <w:ind w:firstLine="426"/>
      </w:pPr>
      <w:r>
        <w:t>&lt;H0109&gt;</w:t>
      </w:r>
      <w:r>
        <w:rPr>
          <w:rFonts w:hAnsi="宋体"/>
        </w:rPr>
        <w:t>投资工具发行人名称（逐支报送使用）</w:t>
      </w:r>
      <w:r>
        <w:t>&lt;/H0109&gt;</w:t>
      </w:r>
    </w:p>
    <w:p w14:paraId="5AD3D44A" w14:textId="77777777" w:rsidR="00A052DC" w:rsidRDefault="009F0A60">
      <w:pPr>
        <w:ind w:firstLine="426"/>
      </w:pPr>
      <w:r>
        <w:t>&lt; H0109CODE &gt;</w:t>
      </w:r>
      <w:r>
        <w:rPr>
          <w:rFonts w:hint="eastAsia"/>
        </w:rPr>
        <w:t>投资工具发行人所属国家</w:t>
      </w:r>
      <w:r>
        <w:t>/</w:t>
      </w:r>
      <w:r>
        <w:rPr>
          <w:rFonts w:hint="eastAsia"/>
        </w:rPr>
        <w:t>地区</w:t>
      </w:r>
      <w:r>
        <w:t>&lt;/H0109CODE &gt;</w:t>
      </w:r>
    </w:p>
    <w:p w14:paraId="0B840270" w14:textId="77777777" w:rsidR="00A052DC" w:rsidRDefault="009F0A60">
      <w:pPr>
        <w:ind w:firstLine="426"/>
      </w:pPr>
      <w:r>
        <w:t>&lt;H0110&gt;</w:t>
      </w:r>
      <w:r>
        <w:rPr>
          <w:rFonts w:hAnsi="宋体"/>
        </w:rPr>
        <w:t>投资工具发行人所属部门</w:t>
      </w:r>
      <w:r>
        <w:t>&lt;/H0110&gt;</w:t>
      </w:r>
    </w:p>
    <w:p w14:paraId="625E3736" w14:textId="77777777" w:rsidR="00A052DC" w:rsidRDefault="009F0A60">
      <w:pPr>
        <w:ind w:firstLine="426"/>
      </w:pPr>
      <w:r>
        <w:t>&lt;H0111&gt;</w:t>
      </w:r>
      <w:r>
        <w:rPr>
          <w:rFonts w:hAnsi="宋体"/>
        </w:rPr>
        <w:t>非居民委托人与境内发行人的关系</w:t>
      </w:r>
      <w:r>
        <w:t>&lt;/H0111&gt;</w:t>
      </w:r>
    </w:p>
    <w:p w14:paraId="5378F91E" w14:textId="77777777" w:rsidR="00A052DC" w:rsidRDefault="009F0A60">
      <w:pPr>
        <w:ind w:firstLine="426"/>
      </w:pPr>
      <w:r>
        <w:t>&lt;H0112&gt;</w:t>
      </w:r>
      <w:r>
        <w:rPr>
          <w:rFonts w:hAnsi="宋体"/>
        </w:rPr>
        <w:t>投资工具的原始期限</w:t>
      </w:r>
      <w:r>
        <w:t>&lt;/H0112&gt;</w:t>
      </w:r>
    </w:p>
    <w:p w14:paraId="62F9E051" w14:textId="77777777" w:rsidR="00A052DC" w:rsidRDefault="009F0A60">
      <w:pPr>
        <w:ind w:firstLine="426"/>
      </w:pPr>
      <w:r>
        <w:t>&lt;H0113&gt;</w:t>
      </w:r>
      <w:r>
        <w:rPr>
          <w:rFonts w:hAnsi="宋体"/>
        </w:rPr>
        <w:t>原始币种</w:t>
      </w:r>
      <w:r>
        <w:t>&lt;/H0113&gt;</w:t>
      </w:r>
    </w:p>
    <w:p w14:paraId="271F7D43" w14:textId="77777777" w:rsidR="00A052DC" w:rsidRDefault="009F0A60">
      <w:pPr>
        <w:ind w:firstLine="426"/>
      </w:pPr>
      <w:r>
        <w:t>&lt;H0114&gt;</w:t>
      </w:r>
      <w:r>
        <w:rPr>
          <w:rFonts w:hAnsi="宋体"/>
        </w:rPr>
        <w:t>上月末市值</w:t>
      </w:r>
      <w:r>
        <w:t>&lt;/H0114&gt;</w:t>
      </w:r>
    </w:p>
    <w:p w14:paraId="7E153426" w14:textId="77777777" w:rsidR="00A052DC" w:rsidRDefault="009F0A60">
      <w:pPr>
        <w:ind w:firstLine="426"/>
      </w:pPr>
      <w:r>
        <w:t>&lt;H0115&gt;</w:t>
      </w:r>
      <w:r>
        <w:rPr>
          <w:rFonts w:hAnsi="宋体"/>
        </w:rPr>
        <w:t>本月买入</w:t>
      </w:r>
      <w:r>
        <w:t>/</w:t>
      </w:r>
      <w:r>
        <w:rPr>
          <w:rFonts w:hAnsi="宋体"/>
        </w:rPr>
        <w:t>申购</w:t>
      </w:r>
      <w:r>
        <w:t>/(</w:t>
      </w:r>
      <w:r>
        <w:rPr>
          <w:rFonts w:hAnsi="宋体"/>
        </w:rPr>
        <w:t>现金</w:t>
      </w:r>
      <w:r>
        <w:t>)</w:t>
      </w:r>
      <w:r>
        <w:rPr>
          <w:rFonts w:hAnsi="宋体"/>
        </w:rPr>
        <w:t>结算付款额</w:t>
      </w:r>
      <w:r>
        <w:t>&lt;/H0115&gt;</w:t>
      </w:r>
    </w:p>
    <w:p w14:paraId="0E7E9A95" w14:textId="77777777" w:rsidR="00A052DC" w:rsidRDefault="009F0A60">
      <w:pPr>
        <w:ind w:firstLine="426"/>
      </w:pPr>
      <w:r>
        <w:t>&lt;H0116&gt;</w:t>
      </w:r>
      <w:r>
        <w:rPr>
          <w:rFonts w:hAnsi="宋体"/>
        </w:rPr>
        <w:t>本月卖出</w:t>
      </w:r>
      <w:r>
        <w:t>/</w:t>
      </w:r>
      <w:r>
        <w:rPr>
          <w:rFonts w:hAnsi="宋体"/>
        </w:rPr>
        <w:t>赎回</w:t>
      </w:r>
      <w:r>
        <w:t>/(</w:t>
      </w:r>
      <w:r>
        <w:rPr>
          <w:rFonts w:hAnsi="宋体"/>
        </w:rPr>
        <w:t>现金</w:t>
      </w:r>
      <w:r>
        <w:t>)</w:t>
      </w:r>
      <w:r>
        <w:rPr>
          <w:rFonts w:hAnsi="宋体"/>
        </w:rPr>
        <w:t>结算收款额</w:t>
      </w:r>
      <w:r>
        <w:t>&lt;/H0116&gt;</w:t>
      </w:r>
    </w:p>
    <w:p w14:paraId="29FCF483" w14:textId="77777777" w:rsidR="00A052DC" w:rsidRDefault="009F0A60">
      <w:pPr>
        <w:ind w:firstLine="426"/>
      </w:pPr>
      <w:r>
        <w:t>&lt; H0116AMT &gt;</w:t>
      </w:r>
      <w:r>
        <w:rPr>
          <w:rFonts w:hint="eastAsia"/>
        </w:rPr>
        <w:t>本月卖出</w:t>
      </w:r>
      <w:r>
        <w:t>/</w:t>
      </w:r>
      <w:r>
        <w:rPr>
          <w:rFonts w:hint="eastAsia"/>
        </w:rPr>
        <w:t>赎回</w:t>
      </w:r>
      <w:r>
        <w:t>/(</w:t>
      </w:r>
      <w:r>
        <w:rPr>
          <w:rFonts w:hint="eastAsia"/>
        </w:rPr>
        <w:t>现金</w:t>
      </w:r>
      <w:r>
        <w:t>)</w:t>
      </w:r>
      <w:r>
        <w:rPr>
          <w:rFonts w:hint="eastAsia"/>
        </w:rPr>
        <w:t>结算收款额其中：债券到期或提前兑付的本息金额</w:t>
      </w:r>
      <w:r>
        <w:t>&lt; /H0116AMT &gt;</w:t>
      </w:r>
    </w:p>
    <w:p w14:paraId="683D09C6" w14:textId="77777777" w:rsidR="00A052DC" w:rsidRDefault="009F0A60">
      <w:pPr>
        <w:ind w:firstLine="426"/>
      </w:pPr>
      <w:r>
        <w:t>&lt;H0117&gt;</w:t>
      </w:r>
      <w:r>
        <w:rPr>
          <w:rFonts w:hAnsi="宋体"/>
        </w:rPr>
        <w:t>本月非交易变动</w:t>
      </w:r>
      <w:r>
        <w:t>&lt;/H0117&gt;</w:t>
      </w:r>
    </w:p>
    <w:p w14:paraId="08ACD603" w14:textId="77777777" w:rsidR="00A052DC" w:rsidRDefault="009F0A60">
      <w:pPr>
        <w:ind w:firstLine="426"/>
      </w:pPr>
      <w:r>
        <w:t>&lt;H0118&gt;</w:t>
      </w:r>
      <w:r>
        <w:rPr>
          <w:rFonts w:hAnsi="宋体"/>
        </w:rPr>
        <w:t>注销</w:t>
      </w:r>
      <w:r>
        <w:rPr>
          <w:rFonts w:hAnsi="宋体" w:hint="eastAsia"/>
        </w:rPr>
        <w:t>、调整</w:t>
      </w:r>
      <w:r>
        <w:rPr>
          <w:rFonts w:hAnsi="宋体"/>
        </w:rPr>
        <w:t>或重新分类至其他项目统计的金额</w:t>
      </w:r>
      <w:r>
        <w:t>&lt;/H0118&gt;</w:t>
      </w:r>
    </w:p>
    <w:p w14:paraId="699AE5D6" w14:textId="77777777" w:rsidR="00A052DC" w:rsidRDefault="009F0A60">
      <w:pPr>
        <w:ind w:firstLine="426"/>
      </w:pPr>
      <w:r>
        <w:t>&lt;H0119&gt;</w:t>
      </w:r>
      <w:r>
        <w:rPr>
          <w:rFonts w:hAnsi="宋体"/>
        </w:rPr>
        <w:t>价值重估因素</w:t>
      </w:r>
      <w:r>
        <w:t>&lt;/H0119&gt;</w:t>
      </w:r>
    </w:p>
    <w:p w14:paraId="76703E25" w14:textId="77777777" w:rsidR="00A052DC" w:rsidRDefault="009F0A60">
      <w:pPr>
        <w:ind w:firstLine="426"/>
      </w:pPr>
      <w:r>
        <w:t>&lt;H0120&gt;</w:t>
      </w:r>
      <w:r>
        <w:rPr>
          <w:rFonts w:hAnsi="宋体"/>
        </w:rPr>
        <w:t>本月末市值</w:t>
      </w:r>
      <w:r>
        <w:t>&lt;/H0120&gt;</w:t>
      </w:r>
    </w:p>
    <w:p w14:paraId="4B0D17DD" w14:textId="77777777" w:rsidR="00A052DC" w:rsidRDefault="009F0A60">
      <w:pPr>
        <w:ind w:firstLine="426"/>
      </w:pPr>
      <w:r>
        <w:t>&lt;H0121&gt;</w:t>
      </w:r>
      <w:r>
        <w:rPr>
          <w:rFonts w:hAnsi="宋体"/>
        </w:rPr>
        <w:t>本月末市值其中：剩余期限在一年及以下</w:t>
      </w:r>
      <w:r>
        <w:t>&lt;/H0121&gt;</w:t>
      </w:r>
    </w:p>
    <w:p w14:paraId="50594E07" w14:textId="77777777" w:rsidR="00A052DC" w:rsidRDefault="009F0A60">
      <w:pPr>
        <w:ind w:firstLine="426"/>
      </w:pPr>
      <w:r>
        <w:t>&lt;H0122&gt;</w:t>
      </w:r>
      <w:r>
        <w:rPr>
          <w:rFonts w:hAnsi="宋体"/>
        </w:rPr>
        <w:t>本月红利或利息收入</w:t>
      </w:r>
      <w:r>
        <w:t>&lt;/H0122&gt;</w:t>
      </w:r>
    </w:p>
    <w:p w14:paraId="0D134D18" w14:textId="77777777" w:rsidR="00A052DC" w:rsidRDefault="009F0A60">
      <w:pPr>
        <w:ind w:firstLine="426"/>
      </w:pPr>
      <w:r>
        <w:t>&lt;H0123&gt;</w:t>
      </w:r>
      <w:r>
        <w:rPr>
          <w:rFonts w:hAnsi="宋体"/>
        </w:rPr>
        <w:t>本月未实现收益（仅适用于货币市场基金份额）</w:t>
      </w:r>
      <w:r>
        <w:t>&lt;/H0123&gt;</w:t>
      </w:r>
    </w:p>
    <w:p w14:paraId="3881506F" w14:textId="77777777" w:rsidR="00A052DC" w:rsidRDefault="009F0A60">
      <w:pPr>
        <w:ind w:firstLine="426"/>
      </w:pPr>
      <w:r>
        <w:t>&lt;H0124&gt;</w:t>
      </w:r>
      <w:r>
        <w:rPr>
          <w:rFonts w:hAnsi="宋体"/>
        </w:rPr>
        <w:t>金融衍生产品的名义本金币种</w:t>
      </w:r>
      <w:r>
        <w:t>&lt;/H0124&gt;</w:t>
      </w:r>
    </w:p>
    <w:p w14:paraId="53F78D70" w14:textId="77777777" w:rsidR="00A052DC" w:rsidRDefault="009F0A60">
      <w:pPr>
        <w:ind w:firstLine="426"/>
      </w:pPr>
      <w:r>
        <w:t>&lt;H0125&gt;</w:t>
      </w:r>
      <w:r>
        <w:rPr>
          <w:rFonts w:hAnsi="宋体"/>
        </w:rPr>
        <w:t>金融衍生产品的本月末名义本金金额</w:t>
      </w:r>
      <w:r>
        <w:t>&lt;/H0125&gt;</w:t>
      </w:r>
    </w:p>
    <w:p w14:paraId="5AF9D6BB" w14:textId="77777777" w:rsidR="00A052DC" w:rsidRDefault="009F0A60">
      <w:pPr>
        <w:ind w:firstLine="426"/>
      </w:pPr>
      <w:r>
        <w:t>&lt;H0126&gt;</w:t>
      </w:r>
      <w:r>
        <w:rPr>
          <w:rFonts w:hAnsi="宋体" w:hint="eastAsia"/>
        </w:rPr>
        <w:t>本月末</w:t>
      </w:r>
      <w:r>
        <w:rPr>
          <w:rFonts w:hAnsi="宋体"/>
        </w:rPr>
        <w:t>未到期</w:t>
      </w:r>
      <w:r>
        <w:rPr>
          <w:rFonts w:hAnsi="宋体"/>
        </w:rPr>
        <w:t>/</w:t>
      </w:r>
      <w:r>
        <w:rPr>
          <w:rFonts w:hAnsi="宋体"/>
        </w:rPr>
        <w:t>未偿付</w:t>
      </w:r>
      <w:r>
        <w:rPr>
          <w:rFonts w:hAnsi="宋体" w:hint="eastAsia"/>
        </w:rPr>
        <w:t>债券面值</w:t>
      </w:r>
      <w:r>
        <w:t>&lt;/H0126&gt;</w:t>
      </w:r>
    </w:p>
    <w:p w14:paraId="3DAFA3FE" w14:textId="77777777" w:rsidR="00A052DC" w:rsidRDefault="009F0A60">
      <w:pPr>
        <w:ind w:firstLine="426"/>
      </w:pPr>
      <w:r>
        <w:t>&lt;REMARK&gt;</w:t>
      </w:r>
      <w:r>
        <w:rPr>
          <w:rFonts w:hAnsi="宋体"/>
        </w:rPr>
        <w:t>备注</w:t>
      </w:r>
      <w:r>
        <w:t>&lt;/REMARK&gt;</w:t>
      </w:r>
    </w:p>
    <w:p w14:paraId="16331BDF" w14:textId="77777777" w:rsidR="00A052DC" w:rsidRDefault="009F0A60">
      <w:pPr>
        <w:ind w:firstLine="426"/>
      </w:pPr>
      <w:r>
        <w:t>&lt;/REC&gt;</w:t>
      </w:r>
    </w:p>
    <w:p w14:paraId="41C0F043" w14:textId="77777777" w:rsidR="00A052DC" w:rsidRDefault="009F0A60" w:rsidP="0020251D">
      <w:pPr>
        <w:pStyle w:val="4"/>
        <w:numPr>
          <w:ilvl w:val="3"/>
          <w:numId w:val="1"/>
        </w:numPr>
        <w:jc w:val="left"/>
      </w:pPr>
      <w:bookmarkStart w:id="3657" w:name="_Toc454391459"/>
      <w:bookmarkStart w:id="3658" w:name="_Toc380571008"/>
      <w:r>
        <w:rPr>
          <w:rFonts w:hint="eastAsia"/>
        </w:rPr>
        <w:t>数据字典</w:t>
      </w:r>
      <w:bookmarkEnd w:id="3657"/>
      <w:bookmarkEnd w:id="3658"/>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7"/>
        <w:gridCol w:w="1571"/>
        <w:gridCol w:w="1348"/>
        <w:gridCol w:w="4161"/>
      </w:tblGrid>
      <w:tr w:rsidR="00A052DC" w14:paraId="0A202937" w14:textId="77777777">
        <w:trPr>
          <w:tblHeader/>
        </w:trPr>
        <w:tc>
          <w:tcPr>
            <w:tcW w:w="1347" w:type="dxa"/>
            <w:shd w:val="clear" w:color="000000" w:fill="C0C0C0"/>
          </w:tcPr>
          <w:p w14:paraId="21CE014D" w14:textId="77777777" w:rsidR="00A052DC" w:rsidRDefault="009F0A60">
            <w:pPr>
              <w:pStyle w:val="B1"/>
            </w:pPr>
            <w:r>
              <w:rPr>
                <w:rFonts w:hint="eastAsia"/>
              </w:rPr>
              <w:t>字段</w:t>
            </w:r>
          </w:p>
        </w:tc>
        <w:tc>
          <w:tcPr>
            <w:tcW w:w="1571" w:type="dxa"/>
            <w:shd w:val="clear" w:color="000000" w:fill="C0C0C0"/>
          </w:tcPr>
          <w:p w14:paraId="77149AF8" w14:textId="77777777" w:rsidR="00A052DC" w:rsidRDefault="009F0A60">
            <w:pPr>
              <w:pStyle w:val="B1"/>
            </w:pPr>
            <w:r>
              <w:rPr>
                <w:rFonts w:hint="eastAsia"/>
              </w:rPr>
              <w:t>内容</w:t>
            </w:r>
          </w:p>
        </w:tc>
        <w:tc>
          <w:tcPr>
            <w:tcW w:w="1348" w:type="dxa"/>
            <w:shd w:val="clear" w:color="000000" w:fill="C0C0C0"/>
          </w:tcPr>
          <w:p w14:paraId="6C8A1E8B" w14:textId="77777777" w:rsidR="00A052DC" w:rsidRDefault="009F0A60">
            <w:pPr>
              <w:pStyle w:val="B1"/>
            </w:pPr>
            <w:r>
              <w:rPr>
                <w:rFonts w:hint="eastAsia"/>
              </w:rPr>
              <w:t>类型（长度）</w:t>
            </w:r>
          </w:p>
        </w:tc>
        <w:tc>
          <w:tcPr>
            <w:tcW w:w="4161" w:type="dxa"/>
            <w:shd w:val="clear" w:color="000000" w:fill="C0C0C0"/>
          </w:tcPr>
          <w:p w14:paraId="09C29D7B" w14:textId="77777777" w:rsidR="00A052DC" w:rsidRDefault="009F0A60">
            <w:pPr>
              <w:pStyle w:val="B1"/>
            </w:pPr>
            <w:r>
              <w:rPr>
                <w:rFonts w:hint="eastAsia"/>
              </w:rPr>
              <w:t>校验</w:t>
            </w:r>
          </w:p>
        </w:tc>
      </w:tr>
      <w:tr w:rsidR="00A052DC" w14:paraId="6F822A77" w14:textId="77777777">
        <w:tc>
          <w:tcPr>
            <w:tcW w:w="1347" w:type="dxa"/>
            <w:shd w:val="clear" w:color="auto" w:fill="auto"/>
          </w:tcPr>
          <w:p w14:paraId="0ED9D8EF" w14:textId="77777777" w:rsidR="00A052DC" w:rsidRDefault="009F0A60">
            <w:pPr>
              <w:pStyle w:val="B"/>
              <w:rPr>
                <w:szCs w:val="20"/>
              </w:rPr>
            </w:pPr>
            <w:r>
              <w:rPr>
                <w:szCs w:val="20"/>
              </w:rPr>
              <w:t>ACTIONTYPE</w:t>
            </w:r>
          </w:p>
        </w:tc>
        <w:tc>
          <w:tcPr>
            <w:tcW w:w="1571" w:type="dxa"/>
            <w:shd w:val="clear" w:color="auto" w:fill="auto"/>
          </w:tcPr>
          <w:p w14:paraId="5663F3E8" w14:textId="77777777" w:rsidR="00A052DC" w:rsidRDefault="009F0A60">
            <w:pPr>
              <w:pStyle w:val="B"/>
              <w:rPr>
                <w:szCs w:val="20"/>
              </w:rPr>
            </w:pPr>
            <w:r>
              <w:rPr>
                <w:rFonts w:hint="eastAsia"/>
                <w:szCs w:val="20"/>
              </w:rPr>
              <w:t>操作类型</w:t>
            </w:r>
          </w:p>
        </w:tc>
        <w:tc>
          <w:tcPr>
            <w:tcW w:w="1348" w:type="dxa"/>
            <w:shd w:val="clear" w:color="auto" w:fill="auto"/>
          </w:tcPr>
          <w:p w14:paraId="5390F621" w14:textId="77777777" w:rsidR="00A052DC" w:rsidRDefault="009F0A60">
            <w:pPr>
              <w:pStyle w:val="B"/>
              <w:rPr>
                <w:szCs w:val="20"/>
              </w:rPr>
            </w:pPr>
            <w:r>
              <w:rPr>
                <w:rFonts w:hint="eastAsia"/>
                <w:szCs w:val="20"/>
              </w:rPr>
              <w:t>字符型，</w:t>
            </w:r>
            <w:r>
              <w:rPr>
                <w:szCs w:val="20"/>
              </w:rPr>
              <w:t>1</w:t>
            </w:r>
          </w:p>
        </w:tc>
        <w:tc>
          <w:tcPr>
            <w:tcW w:w="4161" w:type="dxa"/>
            <w:shd w:val="clear" w:color="auto" w:fill="auto"/>
          </w:tcPr>
          <w:p w14:paraId="7B3F2A93" w14:textId="77777777" w:rsidR="00A052DC" w:rsidRDefault="009F0A60">
            <w:pPr>
              <w:pStyle w:val="B"/>
              <w:rPr>
                <w:szCs w:val="20"/>
              </w:rPr>
            </w:pPr>
            <w:r>
              <w:rPr>
                <w:rFonts w:hint="eastAsia"/>
                <w:szCs w:val="20"/>
              </w:rPr>
              <w:t>必填项</w:t>
            </w:r>
            <w:r w:rsidR="004D1828">
              <w:rPr>
                <w:rFonts w:hint="eastAsia"/>
                <w:szCs w:val="20"/>
              </w:rPr>
              <w:t>。</w:t>
            </w:r>
          </w:p>
          <w:p w14:paraId="41513A65" w14:textId="77777777" w:rsidR="00A052DC" w:rsidRDefault="009F0A60">
            <w:pPr>
              <w:pStyle w:val="B"/>
              <w:rPr>
                <w:szCs w:val="20"/>
              </w:rPr>
            </w:pPr>
            <w:r>
              <w:rPr>
                <w:szCs w:val="20"/>
              </w:rPr>
              <w:t>A</w:t>
            </w:r>
            <w:r w:rsidR="00AE4602">
              <w:rPr>
                <w:rFonts w:hint="eastAsia"/>
                <w:szCs w:val="20"/>
              </w:rPr>
              <w:t>-</w:t>
            </w:r>
            <w:r>
              <w:rPr>
                <w:rFonts w:hint="eastAsia"/>
                <w:szCs w:val="20"/>
              </w:rPr>
              <w:t>新建</w:t>
            </w:r>
          </w:p>
          <w:p w14:paraId="643A0B3B" w14:textId="77777777" w:rsidR="00A052DC" w:rsidRDefault="009F0A60">
            <w:pPr>
              <w:pStyle w:val="B"/>
              <w:rPr>
                <w:szCs w:val="20"/>
              </w:rPr>
            </w:pPr>
            <w:r>
              <w:rPr>
                <w:szCs w:val="20"/>
              </w:rPr>
              <w:t>C</w:t>
            </w:r>
            <w:r w:rsidR="00AE4602">
              <w:rPr>
                <w:rFonts w:hint="eastAsia"/>
                <w:szCs w:val="20"/>
              </w:rPr>
              <w:t>-</w:t>
            </w:r>
            <w:r>
              <w:rPr>
                <w:rFonts w:hint="eastAsia"/>
                <w:szCs w:val="20"/>
              </w:rPr>
              <w:t>修改</w:t>
            </w:r>
          </w:p>
          <w:p w14:paraId="21CDCEC5" w14:textId="77777777" w:rsidR="00A052DC" w:rsidRDefault="009F0A60">
            <w:pPr>
              <w:pStyle w:val="B"/>
              <w:rPr>
                <w:szCs w:val="20"/>
              </w:rPr>
            </w:pPr>
            <w:r>
              <w:rPr>
                <w:szCs w:val="20"/>
              </w:rPr>
              <w:t>D</w:t>
            </w:r>
            <w:r w:rsidR="00AE4602">
              <w:rPr>
                <w:rFonts w:hint="eastAsia"/>
                <w:szCs w:val="20"/>
              </w:rPr>
              <w:t>-</w:t>
            </w:r>
            <w:r>
              <w:rPr>
                <w:rFonts w:hint="eastAsia"/>
                <w:szCs w:val="20"/>
              </w:rPr>
              <w:t>删除</w:t>
            </w:r>
          </w:p>
        </w:tc>
      </w:tr>
      <w:tr w:rsidR="00A052DC" w14:paraId="10C4134E" w14:textId="77777777">
        <w:tc>
          <w:tcPr>
            <w:tcW w:w="1347" w:type="dxa"/>
            <w:shd w:val="clear" w:color="auto" w:fill="auto"/>
          </w:tcPr>
          <w:p w14:paraId="6FA3FB55" w14:textId="77777777" w:rsidR="00A052DC" w:rsidRDefault="009F0A60">
            <w:pPr>
              <w:pStyle w:val="B"/>
              <w:rPr>
                <w:szCs w:val="20"/>
              </w:rPr>
            </w:pPr>
            <w:r>
              <w:rPr>
                <w:szCs w:val="20"/>
              </w:rPr>
              <w:t>ACTIONDESC</w:t>
            </w:r>
          </w:p>
        </w:tc>
        <w:tc>
          <w:tcPr>
            <w:tcW w:w="1571" w:type="dxa"/>
            <w:shd w:val="clear" w:color="auto" w:fill="auto"/>
          </w:tcPr>
          <w:p w14:paraId="00EDDF7F" w14:textId="77777777" w:rsidR="00A052DC" w:rsidRDefault="009F0A60">
            <w:pPr>
              <w:pStyle w:val="B"/>
              <w:rPr>
                <w:szCs w:val="20"/>
              </w:rPr>
            </w:pPr>
            <w:r>
              <w:rPr>
                <w:rFonts w:hint="eastAsia"/>
                <w:szCs w:val="20"/>
              </w:rPr>
              <w:t>删除原因</w:t>
            </w:r>
          </w:p>
        </w:tc>
        <w:tc>
          <w:tcPr>
            <w:tcW w:w="1348" w:type="dxa"/>
            <w:shd w:val="clear" w:color="auto" w:fill="auto"/>
          </w:tcPr>
          <w:p w14:paraId="40A3C91A" w14:textId="77777777" w:rsidR="00A052DC" w:rsidRDefault="009F0A60">
            <w:pPr>
              <w:pStyle w:val="B"/>
              <w:rPr>
                <w:szCs w:val="20"/>
              </w:rPr>
            </w:pPr>
            <w:r>
              <w:rPr>
                <w:rFonts w:hint="eastAsia"/>
                <w:szCs w:val="20"/>
              </w:rPr>
              <w:t>字符型，</w:t>
            </w:r>
            <w:r>
              <w:rPr>
                <w:szCs w:val="20"/>
              </w:rPr>
              <w:t>128</w:t>
            </w:r>
          </w:p>
        </w:tc>
        <w:tc>
          <w:tcPr>
            <w:tcW w:w="4161" w:type="dxa"/>
            <w:shd w:val="clear" w:color="auto" w:fill="auto"/>
          </w:tcPr>
          <w:p w14:paraId="6666CC9A" w14:textId="77777777" w:rsidR="00A052DC" w:rsidRDefault="0079302F">
            <w:pPr>
              <w:pStyle w:val="B"/>
              <w:rPr>
                <w:szCs w:val="20"/>
              </w:rPr>
            </w:pPr>
            <w:r>
              <w:rPr>
                <w:rFonts w:hint="eastAsia"/>
                <w:szCs w:val="20"/>
              </w:rPr>
              <w:t>非必填项</w:t>
            </w:r>
            <w:r w:rsidR="00DD6AA3">
              <w:rPr>
                <w:rFonts w:hint="eastAsia"/>
                <w:szCs w:val="20"/>
              </w:rPr>
              <w:t>，当操作类型（ACTIONTYPE）为删除时必填。</w:t>
            </w:r>
          </w:p>
        </w:tc>
      </w:tr>
      <w:tr w:rsidR="00A052DC" w14:paraId="7461D15A" w14:textId="77777777">
        <w:tc>
          <w:tcPr>
            <w:tcW w:w="1347" w:type="dxa"/>
            <w:shd w:val="clear" w:color="auto" w:fill="auto"/>
          </w:tcPr>
          <w:p w14:paraId="4D254544" w14:textId="77777777" w:rsidR="00A052DC" w:rsidRDefault="009F0A60">
            <w:pPr>
              <w:pStyle w:val="B"/>
              <w:rPr>
                <w:szCs w:val="20"/>
              </w:rPr>
            </w:pPr>
            <w:r>
              <w:rPr>
                <w:szCs w:val="20"/>
              </w:rPr>
              <w:t>SNOCODE</w:t>
            </w:r>
          </w:p>
        </w:tc>
        <w:tc>
          <w:tcPr>
            <w:tcW w:w="1571" w:type="dxa"/>
            <w:shd w:val="clear" w:color="auto" w:fill="auto"/>
          </w:tcPr>
          <w:p w14:paraId="29DF28CE" w14:textId="77777777" w:rsidR="00A052DC" w:rsidRDefault="009F0A60">
            <w:pPr>
              <w:pStyle w:val="B"/>
              <w:rPr>
                <w:szCs w:val="20"/>
              </w:rPr>
            </w:pPr>
            <w:r>
              <w:rPr>
                <w:rFonts w:hint="eastAsia"/>
                <w:szCs w:val="20"/>
              </w:rPr>
              <w:t>数据自编码</w:t>
            </w:r>
          </w:p>
        </w:tc>
        <w:tc>
          <w:tcPr>
            <w:tcW w:w="1348" w:type="dxa"/>
            <w:shd w:val="clear" w:color="auto" w:fill="auto"/>
          </w:tcPr>
          <w:p w14:paraId="712D3E46" w14:textId="77777777" w:rsidR="00A052DC" w:rsidRDefault="009F0A60">
            <w:pPr>
              <w:pStyle w:val="B"/>
              <w:rPr>
                <w:szCs w:val="20"/>
              </w:rPr>
            </w:pPr>
            <w:r>
              <w:rPr>
                <w:rFonts w:hint="eastAsia"/>
                <w:szCs w:val="20"/>
              </w:rPr>
              <w:t>字符型，36</w:t>
            </w:r>
          </w:p>
        </w:tc>
        <w:tc>
          <w:tcPr>
            <w:tcW w:w="4161" w:type="dxa"/>
            <w:shd w:val="clear" w:color="auto" w:fill="auto"/>
          </w:tcPr>
          <w:p w14:paraId="6FBB02A8" w14:textId="77777777" w:rsidR="00A052DC" w:rsidRDefault="009F0A60">
            <w:pPr>
              <w:pStyle w:val="B"/>
              <w:rPr>
                <w:szCs w:val="20"/>
              </w:rPr>
            </w:pPr>
            <w:r>
              <w:rPr>
                <w:rFonts w:hint="eastAsia"/>
                <w:szCs w:val="20"/>
              </w:rPr>
              <w:t>必填项。</w:t>
            </w:r>
            <w:r>
              <w:rPr>
                <w:szCs w:val="20"/>
              </w:rPr>
              <w:t>对于接口报送的填报主体，数据自编码中的报送期（6位）应与报告期（YYYYMM）一致。</w:t>
            </w:r>
          </w:p>
        </w:tc>
      </w:tr>
      <w:tr w:rsidR="00A052DC" w14:paraId="5DDFEE71" w14:textId="77777777">
        <w:tc>
          <w:tcPr>
            <w:tcW w:w="1347" w:type="dxa"/>
            <w:shd w:val="clear" w:color="auto" w:fill="auto"/>
          </w:tcPr>
          <w:p w14:paraId="67A9604E" w14:textId="77777777" w:rsidR="00A052DC" w:rsidRDefault="009F0A60">
            <w:pPr>
              <w:pStyle w:val="B"/>
              <w:rPr>
                <w:szCs w:val="20"/>
              </w:rPr>
            </w:pPr>
            <w:r>
              <w:rPr>
                <w:szCs w:val="20"/>
              </w:rPr>
              <w:t>OBJCODE</w:t>
            </w:r>
          </w:p>
        </w:tc>
        <w:tc>
          <w:tcPr>
            <w:tcW w:w="1571" w:type="dxa"/>
            <w:shd w:val="clear" w:color="auto" w:fill="auto"/>
          </w:tcPr>
          <w:p w14:paraId="67E07EDA" w14:textId="77777777" w:rsidR="00A052DC" w:rsidRDefault="009F0A60">
            <w:pPr>
              <w:pStyle w:val="B"/>
              <w:rPr>
                <w:szCs w:val="20"/>
              </w:rPr>
            </w:pPr>
            <w:r>
              <w:rPr>
                <w:rFonts w:hint="eastAsia"/>
                <w:szCs w:val="20"/>
              </w:rPr>
              <w:t>申报主体代码</w:t>
            </w:r>
          </w:p>
        </w:tc>
        <w:tc>
          <w:tcPr>
            <w:tcW w:w="1348" w:type="dxa"/>
            <w:shd w:val="clear" w:color="auto" w:fill="auto"/>
          </w:tcPr>
          <w:p w14:paraId="2A6F6E54" w14:textId="77777777" w:rsidR="00A052DC" w:rsidRDefault="009F0A60">
            <w:pPr>
              <w:pStyle w:val="B"/>
              <w:rPr>
                <w:szCs w:val="20"/>
              </w:rPr>
            </w:pPr>
            <w:r>
              <w:rPr>
                <w:rFonts w:hint="eastAsia"/>
                <w:szCs w:val="20"/>
              </w:rPr>
              <w:t>字符型，</w:t>
            </w:r>
            <w:r>
              <w:rPr>
                <w:szCs w:val="20"/>
              </w:rPr>
              <w:t>1</w:t>
            </w:r>
            <w:r>
              <w:rPr>
                <w:rFonts w:hint="eastAsia"/>
                <w:szCs w:val="20"/>
              </w:rPr>
              <w:t>8</w:t>
            </w:r>
          </w:p>
        </w:tc>
        <w:tc>
          <w:tcPr>
            <w:tcW w:w="4161" w:type="dxa"/>
            <w:shd w:val="clear" w:color="auto" w:fill="auto"/>
          </w:tcPr>
          <w:p w14:paraId="0FE84D08" w14:textId="77777777" w:rsidR="00A052DC" w:rsidRDefault="009F0A60">
            <w:pPr>
              <w:pStyle w:val="B"/>
              <w:rPr>
                <w:szCs w:val="20"/>
              </w:rPr>
            </w:pPr>
            <w:r>
              <w:rPr>
                <w:rFonts w:hint="eastAsia"/>
                <w:szCs w:val="20"/>
              </w:rPr>
              <w:t>申报主体的12位金融机构标识码，如果没有金融机构标识码，则填报统一社会信用代码法定载体（如营业执照）上统一社会信用代码中的第9至17位或国家外汇管理局及其分支局签发的特殊机构代码赋码通知书上的机构代码、个人身份代码。</w:t>
            </w:r>
          </w:p>
        </w:tc>
      </w:tr>
      <w:tr w:rsidR="00A052DC" w14:paraId="191FF695" w14:textId="77777777">
        <w:tc>
          <w:tcPr>
            <w:tcW w:w="1347" w:type="dxa"/>
            <w:shd w:val="clear" w:color="auto" w:fill="auto"/>
          </w:tcPr>
          <w:p w14:paraId="72CB4A47" w14:textId="77777777" w:rsidR="00A052DC" w:rsidRDefault="009F0A60">
            <w:pPr>
              <w:pStyle w:val="B"/>
              <w:rPr>
                <w:szCs w:val="20"/>
              </w:rPr>
            </w:pPr>
            <w:r>
              <w:rPr>
                <w:szCs w:val="20"/>
              </w:rPr>
              <w:t>BUOCMONTH</w:t>
            </w:r>
          </w:p>
        </w:tc>
        <w:tc>
          <w:tcPr>
            <w:tcW w:w="1571" w:type="dxa"/>
            <w:shd w:val="clear" w:color="auto" w:fill="auto"/>
          </w:tcPr>
          <w:p w14:paraId="7BED6ED7" w14:textId="77777777" w:rsidR="00A052DC" w:rsidRDefault="009F0A60">
            <w:pPr>
              <w:pStyle w:val="B"/>
              <w:rPr>
                <w:szCs w:val="20"/>
              </w:rPr>
            </w:pPr>
            <w:r>
              <w:rPr>
                <w:rFonts w:hint="eastAsia"/>
                <w:szCs w:val="20"/>
              </w:rPr>
              <w:t>报告期</w:t>
            </w:r>
          </w:p>
        </w:tc>
        <w:tc>
          <w:tcPr>
            <w:tcW w:w="1348" w:type="dxa"/>
            <w:shd w:val="clear" w:color="auto" w:fill="auto"/>
          </w:tcPr>
          <w:p w14:paraId="5EC2216B" w14:textId="77777777" w:rsidR="00A052DC" w:rsidRDefault="009F0A60">
            <w:pPr>
              <w:pStyle w:val="B"/>
              <w:rPr>
                <w:szCs w:val="20"/>
              </w:rPr>
            </w:pPr>
            <w:r>
              <w:rPr>
                <w:rFonts w:hint="eastAsia"/>
                <w:szCs w:val="20"/>
              </w:rPr>
              <w:t>数值型，</w:t>
            </w:r>
            <w:r>
              <w:rPr>
                <w:szCs w:val="20"/>
              </w:rPr>
              <w:t>6</w:t>
            </w:r>
          </w:p>
        </w:tc>
        <w:tc>
          <w:tcPr>
            <w:tcW w:w="4161" w:type="dxa"/>
            <w:shd w:val="clear" w:color="auto" w:fill="auto"/>
          </w:tcPr>
          <w:p w14:paraId="5888F4B0" w14:textId="77777777" w:rsidR="00A052DC" w:rsidRDefault="009F0A60">
            <w:pPr>
              <w:pStyle w:val="B"/>
              <w:rPr>
                <w:szCs w:val="20"/>
              </w:rPr>
            </w:pPr>
            <w:r>
              <w:rPr>
                <w:rFonts w:hint="eastAsia"/>
                <w:szCs w:val="20"/>
              </w:rPr>
              <w:t>必填项，格式为</w:t>
            </w:r>
            <w:r>
              <w:rPr>
                <w:szCs w:val="20"/>
              </w:rPr>
              <w:t>YYYYMM</w:t>
            </w:r>
            <w:r>
              <w:rPr>
                <w:rFonts w:hint="eastAsia"/>
                <w:szCs w:val="20"/>
              </w:rPr>
              <w:t>。</w:t>
            </w:r>
          </w:p>
        </w:tc>
      </w:tr>
      <w:tr w:rsidR="00A052DC" w14:paraId="6734EC44" w14:textId="77777777">
        <w:tc>
          <w:tcPr>
            <w:tcW w:w="1347" w:type="dxa"/>
            <w:shd w:val="clear" w:color="auto" w:fill="auto"/>
          </w:tcPr>
          <w:p w14:paraId="7A436228" w14:textId="77777777" w:rsidR="00A052DC" w:rsidRDefault="009F0A60">
            <w:pPr>
              <w:pStyle w:val="B"/>
              <w:rPr>
                <w:szCs w:val="20"/>
              </w:rPr>
            </w:pPr>
            <w:r>
              <w:rPr>
                <w:szCs w:val="20"/>
              </w:rPr>
              <w:t>H0101CODE</w:t>
            </w:r>
          </w:p>
        </w:tc>
        <w:tc>
          <w:tcPr>
            <w:tcW w:w="1571" w:type="dxa"/>
            <w:shd w:val="clear" w:color="auto" w:fill="auto"/>
          </w:tcPr>
          <w:p w14:paraId="061982EF" w14:textId="77777777" w:rsidR="00A052DC" w:rsidRDefault="009F0A60">
            <w:pPr>
              <w:pStyle w:val="B"/>
              <w:rPr>
                <w:szCs w:val="20"/>
              </w:rPr>
            </w:pPr>
            <w:r>
              <w:rPr>
                <w:rFonts w:hint="eastAsia"/>
                <w:szCs w:val="20"/>
              </w:rPr>
              <w:t>非居民委托人代码</w:t>
            </w:r>
          </w:p>
        </w:tc>
        <w:tc>
          <w:tcPr>
            <w:tcW w:w="1348" w:type="dxa"/>
            <w:shd w:val="clear" w:color="auto" w:fill="auto"/>
          </w:tcPr>
          <w:p w14:paraId="1BC0BB9B" w14:textId="77777777" w:rsidR="00A052DC" w:rsidRDefault="009F0A60">
            <w:pPr>
              <w:pStyle w:val="B"/>
              <w:rPr>
                <w:szCs w:val="20"/>
              </w:rPr>
            </w:pPr>
            <w:r>
              <w:rPr>
                <w:rFonts w:hint="eastAsia"/>
                <w:szCs w:val="20"/>
              </w:rPr>
              <w:t>字符型，</w:t>
            </w:r>
            <w:r>
              <w:rPr>
                <w:szCs w:val="20"/>
              </w:rPr>
              <w:t>9</w:t>
            </w:r>
          </w:p>
        </w:tc>
        <w:tc>
          <w:tcPr>
            <w:tcW w:w="4161" w:type="dxa"/>
            <w:shd w:val="clear" w:color="auto" w:fill="auto"/>
          </w:tcPr>
          <w:p w14:paraId="4BE9E64D" w14:textId="77777777" w:rsidR="00A052DC" w:rsidRDefault="009F0A60">
            <w:pPr>
              <w:pStyle w:val="B"/>
              <w:rPr>
                <w:szCs w:val="20"/>
              </w:rPr>
            </w:pPr>
            <w:r>
              <w:rPr>
                <w:rFonts w:hint="eastAsia"/>
                <w:szCs w:val="20"/>
              </w:rPr>
              <w:t>非</w:t>
            </w:r>
            <w:r>
              <w:rPr>
                <w:rFonts w:hint="eastAsia"/>
              </w:rPr>
              <w:t>必填项</w:t>
            </w:r>
            <w:r>
              <w:rPr>
                <w:rFonts w:hint="eastAsia"/>
                <w:szCs w:val="20"/>
              </w:rPr>
              <w:t>。如H0105CODE=1或2，则</w:t>
            </w:r>
            <w:r>
              <w:rPr>
                <w:rFonts w:hint="eastAsia"/>
              </w:rPr>
              <w:t>必须为</w:t>
            </w:r>
            <w:r>
              <w:t>9位的特殊机构代码。</w:t>
            </w:r>
            <w:r>
              <w:rPr>
                <w:rFonts w:hint="eastAsia"/>
                <w:szCs w:val="20"/>
              </w:rPr>
              <w:t>如H0105CODE≠1或2，则此字段为空。</w:t>
            </w:r>
          </w:p>
        </w:tc>
      </w:tr>
      <w:tr w:rsidR="00A052DC" w14:paraId="770BA561" w14:textId="77777777">
        <w:tc>
          <w:tcPr>
            <w:tcW w:w="1347" w:type="dxa"/>
            <w:shd w:val="clear" w:color="auto" w:fill="auto"/>
          </w:tcPr>
          <w:p w14:paraId="7458D3CD" w14:textId="77777777" w:rsidR="00A052DC" w:rsidRDefault="009F0A60">
            <w:pPr>
              <w:pStyle w:val="B"/>
              <w:rPr>
                <w:szCs w:val="20"/>
              </w:rPr>
            </w:pPr>
            <w:r>
              <w:rPr>
                <w:szCs w:val="20"/>
              </w:rPr>
              <w:t>H0101</w:t>
            </w:r>
          </w:p>
        </w:tc>
        <w:tc>
          <w:tcPr>
            <w:tcW w:w="1571" w:type="dxa"/>
            <w:shd w:val="clear" w:color="auto" w:fill="auto"/>
          </w:tcPr>
          <w:p w14:paraId="0EC25D48" w14:textId="77777777" w:rsidR="00A052DC" w:rsidRDefault="009F0A60">
            <w:pPr>
              <w:pStyle w:val="B"/>
              <w:rPr>
                <w:szCs w:val="20"/>
              </w:rPr>
            </w:pPr>
            <w:r>
              <w:rPr>
                <w:rFonts w:hint="eastAsia"/>
                <w:szCs w:val="20"/>
              </w:rPr>
              <w:t>非居民委托人名称</w:t>
            </w:r>
          </w:p>
        </w:tc>
        <w:tc>
          <w:tcPr>
            <w:tcW w:w="1348" w:type="dxa"/>
            <w:shd w:val="clear" w:color="auto" w:fill="auto"/>
          </w:tcPr>
          <w:p w14:paraId="518145BB" w14:textId="77777777" w:rsidR="00A052DC" w:rsidRDefault="009F0A60">
            <w:pPr>
              <w:pStyle w:val="B"/>
              <w:rPr>
                <w:szCs w:val="20"/>
              </w:rPr>
            </w:pPr>
            <w:r>
              <w:rPr>
                <w:rFonts w:hint="eastAsia"/>
                <w:szCs w:val="20"/>
              </w:rPr>
              <w:t>字符型，</w:t>
            </w:r>
            <w:r>
              <w:rPr>
                <w:szCs w:val="20"/>
              </w:rPr>
              <w:t>255</w:t>
            </w:r>
          </w:p>
        </w:tc>
        <w:tc>
          <w:tcPr>
            <w:tcW w:w="4161" w:type="dxa"/>
            <w:shd w:val="clear" w:color="auto" w:fill="auto"/>
          </w:tcPr>
          <w:p w14:paraId="675D0813" w14:textId="77777777" w:rsidR="00A052DC" w:rsidRDefault="009F0A60">
            <w:pPr>
              <w:pStyle w:val="B"/>
              <w:rPr>
                <w:szCs w:val="20"/>
              </w:rPr>
            </w:pPr>
            <w:r>
              <w:rPr>
                <w:rFonts w:hint="eastAsia"/>
                <w:szCs w:val="20"/>
              </w:rPr>
              <w:t>必填项。</w:t>
            </w:r>
          </w:p>
        </w:tc>
      </w:tr>
      <w:tr w:rsidR="00A052DC" w14:paraId="2C9ADB9F" w14:textId="77777777">
        <w:tc>
          <w:tcPr>
            <w:tcW w:w="1347" w:type="dxa"/>
            <w:shd w:val="clear" w:color="auto" w:fill="auto"/>
          </w:tcPr>
          <w:p w14:paraId="14D46A55" w14:textId="77777777" w:rsidR="00A052DC" w:rsidRDefault="009F0A60">
            <w:pPr>
              <w:pStyle w:val="B"/>
              <w:rPr>
                <w:szCs w:val="20"/>
              </w:rPr>
            </w:pPr>
            <w:r>
              <w:rPr>
                <w:szCs w:val="20"/>
              </w:rPr>
              <w:t>H0102</w:t>
            </w:r>
          </w:p>
        </w:tc>
        <w:tc>
          <w:tcPr>
            <w:tcW w:w="1571" w:type="dxa"/>
            <w:shd w:val="clear" w:color="auto" w:fill="auto"/>
          </w:tcPr>
          <w:p w14:paraId="34000E87" w14:textId="77777777" w:rsidR="00A052DC" w:rsidRDefault="009F0A60">
            <w:pPr>
              <w:pStyle w:val="B"/>
              <w:rPr>
                <w:szCs w:val="20"/>
              </w:rPr>
            </w:pPr>
            <w:r>
              <w:rPr>
                <w:rFonts w:hint="eastAsia"/>
                <w:szCs w:val="20"/>
              </w:rPr>
              <w:t>非居民委托人所属国家</w:t>
            </w:r>
            <w:r>
              <w:rPr>
                <w:szCs w:val="20"/>
              </w:rPr>
              <w:t>/</w:t>
            </w:r>
            <w:r>
              <w:rPr>
                <w:rFonts w:hint="eastAsia"/>
                <w:szCs w:val="20"/>
              </w:rPr>
              <w:t>地区</w:t>
            </w:r>
          </w:p>
        </w:tc>
        <w:tc>
          <w:tcPr>
            <w:tcW w:w="1348" w:type="dxa"/>
            <w:shd w:val="clear" w:color="auto" w:fill="auto"/>
          </w:tcPr>
          <w:p w14:paraId="013A2E1C" w14:textId="77777777" w:rsidR="00A052DC" w:rsidRDefault="009F0A60">
            <w:pPr>
              <w:pStyle w:val="B"/>
              <w:rPr>
                <w:szCs w:val="20"/>
              </w:rPr>
            </w:pPr>
            <w:r>
              <w:rPr>
                <w:rFonts w:hint="eastAsia"/>
                <w:szCs w:val="20"/>
              </w:rPr>
              <w:t>字符型，</w:t>
            </w:r>
            <w:r>
              <w:rPr>
                <w:szCs w:val="20"/>
              </w:rPr>
              <w:t>3</w:t>
            </w:r>
          </w:p>
        </w:tc>
        <w:tc>
          <w:tcPr>
            <w:tcW w:w="4161" w:type="dxa"/>
            <w:shd w:val="clear" w:color="auto" w:fill="auto"/>
          </w:tcPr>
          <w:p w14:paraId="30078C37" w14:textId="77777777" w:rsidR="00A052DC" w:rsidRDefault="009F0A60">
            <w:pPr>
              <w:pStyle w:val="B"/>
              <w:rPr>
                <w:szCs w:val="20"/>
              </w:rPr>
            </w:pPr>
            <w:r>
              <w:rPr>
                <w:rFonts w:hint="eastAsia"/>
                <w:szCs w:val="20"/>
              </w:rPr>
              <w:t>必填项，见国家和地区代码表的</w:t>
            </w:r>
            <w:r>
              <w:rPr>
                <w:szCs w:val="20"/>
              </w:rPr>
              <w:t>3</w:t>
            </w:r>
            <w:r>
              <w:rPr>
                <w:rFonts w:hint="eastAsia"/>
                <w:szCs w:val="20"/>
              </w:rPr>
              <w:t>位字母代码,必须≠</w:t>
            </w:r>
            <w:r>
              <w:rPr>
                <w:szCs w:val="20"/>
              </w:rPr>
              <w:t>CHN</w:t>
            </w:r>
            <w:r>
              <w:rPr>
                <w:rFonts w:hint="eastAsia"/>
                <w:szCs w:val="20"/>
              </w:rPr>
              <w:t>或N/A。</w:t>
            </w:r>
          </w:p>
        </w:tc>
      </w:tr>
      <w:tr w:rsidR="00A052DC" w14:paraId="67E169D5" w14:textId="77777777">
        <w:tc>
          <w:tcPr>
            <w:tcW w:w="1347" w:type="dxa"/>
            <w:shd w:val="clear" w:color="auto" w:fill="auto"/>
          </w:tcPr>
          <w:p w14:paraId="4BE8263C" w14:textId="77777777" w:rsidR="00A052DC" w:rsidRDefault="009F0A60">
            <w:pPr>
              <w:pStyle w:val="B"/>
              <w:rPr>
                <w:szCs w:val="20"/>
              </w:rPr>
            </w:pPr>
            <w:r>
              <w:rPr>
                <w:szCs w:val="20"/>
              </w:rPr>
              <w:t>H0103</w:t>
            </w:r>
          </w:p>
        </w:tc>
        <w:tc>
          <w:tcPr>
            <w:tcW w:w="1571" w:type="dxa"/>
            <w:shd w:val="clear" w:color="auto" w:fill="auto"/>
          </w:tcPr>
          <w:p w14:paraId="240FA839" w14:textId="77777777" w:rsidR="00A052DC" w:rsidRDefault="009F0A60">
            <w:pPr>
              <w:pStyle w:val="B"/>
              <w:rPr>
                <w:szCs w:val="20"/>
              </w:rPr>
            </w:pPr>
            <w:r>
              <w:rPr>
                <w:rFonts w:hint="eastAsia"/>
                <w:szCs w:val="20"/>
              </w:rPr>
              <w:t>非居民委托人所属部门</w:t>
            </w:r>
          </w:p>
        </w:tc>
        <w:tc>
          <w:tcPr>
            <w:tcW w:w="1348" w:type="dxa"/>
            <w:shd w:val="clear" w:color="auto" w:fill="auto"/>
          </w:tcPr>
          <w:p w14:paraId="07B55B64" w14:textId="77777777" w:rsidR="00A052DC" w:rsidRDefault="009F0A60">
            <w:pPr>
              <w:pStyle w:val="B"/>
              <w:rPr>
                <w:szCs w:val="20"/>
              </w:rPr>
            </w:pPr>
            <w:r>
              <w:rPr>
                <w:rFonts w:hint="eastAsia"/>
                <w:szCs w:val="20"/>
              </w:rPr>
              <w:t>整数型</w:t>
            </w:r>
          </w:p>
        </w:tc>
        <w:tc>
          <w:tcPr>
            <w:tcW w:w="4161" w:type="dxa"/>
            <w:shd w:val="clear" w:color="auto" w:fill="auto"/>
          </w:tcPr>
          <w:p w14:paraId="537FC625" w14:textId="77777777" w:rsidR="00A052DC" w:rsidRDefault="009F0A60">
            <w:pPr>
              <w:pStyle w:val="B"/>
              <w:rPr>
                <w:szCs w:val="20"/>
              </w:rPr>
            </w:pPr>
            <w:r>
              <w:rPr>
                <w:rFonts w:hint="eastAsia"/>
                <w:szCs w:val="20"/>
              </w:rPr>
              <w:t>必填项，</w:t>
            </w:r>
            <w:r>
              <w:rPr>
                <w:szCs w:val="20"/>
              </w:rPr>
              <w:t>见投资者（被投资者）部门代码表。</w:t>
            </w:r>
          </w:p>
        </w:tc>
      </w:tr>
      <w:tr w:rsidR="00A052DC" w14:paraId="054E7960" w14:textId="77777777">
        <w:tc>
          <w:tcPr>
            <w:tcW w:w="1347" w:type="dxa"/>
            <w:shd w:val="clear" w:color="auto" w:fill="auto"/>
          </w:tcPr>
          <w:p w14:paraId="4DA5FBE7" w14:textId="77777777" w:rsidR="00A052DC" w:rsidRDefault="009F0A60">
            <w:pPr>
              <w:pStyle w:val="B"/>
              <w:rPr>
                <w:szCs w:val="20"/>
              </w:rPr>
            </w:pPr>
            <w:r>
              <w:rPr>
                <w:szCs w:val="20"/>
              </w:rPr>
              <w:t>H0104CODE</w:t>
            </w:r>
          </w:p>
        </w:tc>
        <w:tc>
          <w:tcPr>
            <w:tcW w:w="1571" w:type="dxa"/>
            <w:shd w:val="clear" w:color="auto" w:fill="auto"/>
          </w:tcPr>
          <w:p w14:paraId="73BD997E" w14:textId="77777777" w:rsidR="00A052DC" w:rsidRDefault="009F0A60">
            <w:pPr>
              <w:pStyle w:val="B"/>
              <w:rPr>
                <w:szCs w:val="20"/>
              </w:rPr>
            </w:pPr>
            <w:r>
              <w:rPr>
                <w:rFonts w:hint="eastAsia"/>
                <w:szCs w:val="20"/>
              </w:rPr>
              <w:t>业务编号</w:t>
            </w:r>
          </w:p>
        </w:tc>
        <w:tc>
          <w:tcPr>
            <w:tcW w:w="1348" w:type="dxa"/>
            <w:shd w:val="clear" w:color="auto" w:fill="auto"/>
          </w:tcPr>
          <w:p w14:paraId="4BB6690A" w14:textId="77777777" w:rsidR="00A052DC" w:rsidRDefault="009F0A60">
            <w:pPr>
              <w:pStyle w:val="B"/>
              <w:rPr>
                <w:szCs w:val="20"/>
              </w:rPr>
            </w:pPr>
            <w:r>
              <w:rPr>
                <w:rFonts w:hint="eastAsia"/>
                <w:szCs w:val="20"/>
              </w:rPr>
              <w:t>字符型，</w:t>
            </w:r>
            <w:r>
              <w:rPr>
                <w:szCs w:val="20"/>
              </w:rPr>
              <w:t>20</w:t>
            </w:r>
          </w:p>
        </w:tc>
        <w:tc>
          <w:tcPr>
            <w:tcW w:w="4161" w:type="dxa"/>
            <w:shd w:val="clear" w:color="auto" w:fill="auto"/>
          </w:tcPr>
          <w:p w14:paraId="2FE87E9F" w14:textId="77777777" w:rsidR="00A052DC" w:rsidRDefault="009F0A60">
            <w:pPr>
              <w:pStyle w:val="B"/>
              <w:rPr>
                <w:szCs w:val="20"/>
              </w:rPr>
            </w:pPr>
            <w:r>
              <w:rPr>
                <w:rFonts w:hint="eastAsia"/>
                <w:szCs w:val="20"/>
              </w:rPr>
              <w:t>外汇局签发的</w:t>
            </w:r>
            <w:r>
              <w:rPr>
                <w:szCs w:val="20"/>
              </w:rPr>
              <w:t>QFII/RQFII</w:t>
            </w:r>
            <w:r>
              <w:rPr>
                <w:rFonts w:hint="eastAsia"/>
                <w:szCs w:val="20"/>
              </w:rPr>
              <w:t>业务(产品)编号。当业务类型为1、2时，必填。</w:t>
            </w:r>
          </w:p>
        </w:tc>
      </w:tr>
      <w:tr w:rsidR="00A052DC" w14:paraId="5750325F" w14:textId="77777777">
        <w:tc>
          <w:tcPr>
            <w:tcW w:w="1347" w:type="dxa"/>
            <w:shd w:val="clear" w:color="auto" w:fill="auto"/>
          </w:tcPr>
          <w:p w14:paraId="2E9302A9" w14:textId="77777777" w:rsidR="00A052DC" w:rsidRDefault="009F0A60">
            <w:pPr>
              <w:pStyle w:val="B"/>
              <w:rPr>
                <w:szCs w:val="20"/>
              </w:rPr>
            </w:pPr>
            <w:r>
              <w:rPr>
                <w:szCs w:val="20"/>
              </w:rPr>
              <w:t>H0104</w:t>
            </w:r>
          </w:p>
        </w:tc>
        <w:tc>
          <w:tcPr>
            <w:tcW w:w="1571" w:type="dxa"/>
            <w:shd w:val="clear" w:color="auto" w:fill="auto"/>
          </w:tcPr>
          <w:p w14:paraId="58D9DC5E" w14:textId="77777777" w:rsidR="00A052DC" w:rsidRDefault="009F0A60">
            <w:pPr>
              <w:pStyle w:val="B"/>
              <w:rPr>
                <w:szCs w:val="20"/>
              </w:rPr>
            </w:pPr>
            <w:r>
              <w:rPr>
                <w:rFonts w:hint="eastAsia"/>
                <w:szCs w:val="20"/>
              </w:rPr>
              <w:t>非居民委托人产品名称</w:t>
            </w:r>
          </w:p>
        </w:tc>
        <w:tc>
          <w:tcPr>
            <w:tcW w:w="1348" w:type="dxa"/>
            <w:shd w:val="clear" w:color="auto" w:fill="auto"/>
          </w:tcPr>
          <w:p w14:paraId="38E7ED39" w14:textId="77777777" w:rsidR="00A052DC" w:rsidRDefault="009F0A60">
            <w:pPr>
              <w:pStyle w:val="B"/>
              <w:rPr>
                <w:szCs w:val="20"/>
              </w:rPr>
            </w:pPr>
            <w:r>
              <w:rPr>
                <w:rFonts w:hint="eastAsia"/>
                <w:szCs w:val="20"/>
              </w:rPr>
              <w:t>字符型，</w:t>
            </w:r>
            <w:r>
              <w:rPr>
                <w:szCs w:val="20"/>
              </w:rPr>
              <w:t>255</w:t>
            </w:r>
          </w:p>
        </w:tc>
        <w:tc>
          <w:tcPr>
            <w:tcW w:w="4161" w:type="dxa"/>
            <w:shd w:val="clear" w:color="auto" w:fill="auto"/>
          </w:tcPr>
          <w:p w14:paraId="34846CD7" w14:textId="77777777" w:rsidR="00A052DC" w:rsidRDefault="009F0A60">
            <w:pPr>
              <w:pStyle w:val="B"/>
              <w:rPr>
                <w:szCs w:val="20"/>
              </w:rPr>
            </w:pPr>
            <w:r>
              <w:rPr>
                <w:rFonts w:hint="eastAsia"/>
                <w:szCs w:val="20"/>
              </w:rPr>
              <w:t>必填项。</w:t>
            </w:r>
          </w:p>
        </w:tc>
      </w:tr>
      <w:tr w:rsidR="00A052DC" w14:paraId="5AE50C09" w14:textId="77777777">
        <w:tc>
          <w:tcPr>
            <w:tcW w:w="1347" w:type="dxa"/>
            <w:shd w:val="clear" w:color="auto" w:fill="auto"/>
          </w:tcPr>
          <w:p w14:paraId="3AA93E2E" w14:textId="77777777" w:rsidR="00A052DC" w:rsidRDefault="009F0A60">
            <w:pPr>
              <w:pStyle w:val="B"/>
              <w:rPr>
                <w:szCs w:val="20"/>
              </w:rPr>
            </w:pPr>
            <w:r>
              <w:rPr>
                <w:szCs w:val="20"/>
              </w:rPr>
              <w:t>H0105</w:t>
            </w:r>
          </w:p>
        </w:tc>
        <w:tc>
          <w:tcPr>
            <w:tcW w:w="1571" w:type="dxa"/>
            <w:shd w:val="clear" w:color="auto" w:fill="auto"/>
          </w:tcPr>
          <w:p w14:paraId="09C3321F" w14:textId="77777777" w:rsidR="00A052DC" w:rsidRDefault="009F0A60">
            <w:pPr>
              <w:pStyle w:val="B"/>
              <w:rPr>
                <w:szCs w:val="20"/>
              </w:rPr>
            </w:pPr>
            <w:r>
              <w:rPr>
                <w:rFonts w:hint="eastAsia"/>
                <w:szCs w:val="20"/>
              </w:rPr>
              <w:t>投资工具类型</w:t>
            </w:r>
          </w:p>
        </w:tc>
        <w:tc>
          <w:tcPr>
            <w:tcW w:w="1348" w:type="dxa"/>
            <w:shd w:val="clear" w:color="auto" w:fill="auto"/>
          </w:tcPr>
          <w:p w14:paraId="206686B6" w14:textId="77777777" w:rsidR="00A052DC" w:rsidRDefault="009F0A60">
            <w:pPr>
              <w:pStyle w:val="B"/>
              <w:rPr>
                <w:szCs w:val="20"/>
              </w:rPr>
            </w:pPr>
            <w:r>
              <w:rPr>
                <w:rFonts w:hint="eastAsia"/>
                <w:szCs w:val="20"/>
              </w:rPr>
              <w:t>整数型</w:t>
            </w:r>
          </w:p>
        </w:tc>
        <w:tc>
          <w:tcPr>
            <w:tcW w:w="4161" w:type="dxa"/>
            <w:shd w:val="clear" w:color="auto" w:fill="auto"/>
          </w:tcPr>
          <w:p w14:paraId="184AB77B" w14:textId="77777777" w:rsidR="00DC00A8" w:rsidRDefault="009F0A60">
            <w:pPr>
              <w:pStyle w:val="B"/>
              <w:rPr>
                <w:szCs w:val="20"/>
              </w:rPr>
            </w:pPr>
            <w:r>
              <w:rPr>
                <w:rFonts w:hint="eastAsia"/>
                <w:szCs w:val="20"/>
              </w:rPr>
              <w:t>必填项</w:t>
            </w:r>
            <w:r>
              <w:rPr>
                <w:szCs w:val="20"/>
              </w:rPr>
              <w:t>，</w:t>
            </w:r>
          </w:p>
          <w:p w14:paraId="056DA87A" w14:textId="77777777" w:rsidR="00A052DC" w:rsidRDefault="009F0A60" w:rsidP="00DC00A8">
            <w:pPr>
              <w:pStyle w:val="B"/>
              <w:rPr>
                <w:szCs w:val="20"/>
              </w:rPr>
            </w:pPr>
            <w:r>
              <w:rPr>
                <w:szCs w:val="20"/>
              </w:rPr>
              <w:t>见QFII/RQFII/QDII</w:t>
            </w:r>
            <w:r>
              <w:rPr>
                <w:rFonts w:hint="eastAsia"/>
                <w:szCs w:val="20"/>
              </w:rPr>
              <w:t>/RQDII/QDLP/QDIE</w:t>
            </w:r>
            <w:r>
              <w:rPr>
                <w:szCs w:val="20"/>
              </w:rPr>
              <w:t>投资工具类型代码表</w:t>
            </w:r>
            <w:r>
              <w:rPr>
                <w:rFonts w:hint="eastAsia"/>
                <w:szCs w:val="20"/>
              </w:rPr>
              <w:t>。若H0105CODE=3，H0105必须=24。</w:t>
            </w:r>
          </w:p>
        </w:tc>
      </w:tr>
      <w:tr w:rsidR="00A052DC" w14:paraId="6A863C7E" w14:textId="77777777">
        <w:tc>
          <w:tcPr>
            <w:tcW w:w="1347" w:type="dxa"/>
            <w:shd w:val="clear" w:color="auto" w:fill="auto"/>
          </w:tcPr>
          <w:p w14:paraId="200BAC8F" w14:textId="77777777" w:rsidR="00A052DC" w:rsidRDefault="009F0A60">
            <w:pPr>
              <w:pStyle w:val="B"/>
              <w:rPr>
                <w:szCs w:val="20"/>
              </w:rPr>
            </w:pPr>
            <w:r>
              <w:rPr>
                <w:rFonts w:hint="eastAsia"/>
                <w:szCs w:val="20"/>
              </w:rPr>
              <w:t>H0105CODE</w:t>
            </w:r>
          </w:p>
        </w:tc>
        <w:tc>
          <w:tcPr>
            <w:tcW w:w="1571" w:type="dxa"/>
            <w:shd w:val="clear" w:color="auto" w:fill="auto"/>
          </w:tcPr>
          <w:p w14:paraId="7AE7A404" w14:textId="77777777" w:rsidR="00A052DC" w:rsidRDefault="009F0A60">
            <w:pPr>
              <w:pStyle w:val="B"/>
              <w:rPr>
                <w:szCs w:val="20"/>
              </w:rPr>
            </w:pPr>
            <w:r>
              <w:rPr>
                <w:rFonts w:hint="eastAsia"/>
                <w:szCs w:val="20"/>
              </w:rPr>
              <w:t>业务类型</w:t>
            </w:r>
          </w:p>
        </w:tc>
        <w:tc>
          <w:tcPr>
            <w:tcW w:w="1348" w:type="dxa"/>
            <w:shd w:val="clear" w:color="auto" w:fill="auto"/>
          </w:tcPr>
          <w:p w14:paraId="238C24E4" w14:textId="77777777" w:rsidR="00A052DC" w:rsidRDefault="009F0A60">
            <w:pPr>
              <w:pStyle w:val="B"/>
              <w:rPr>
                <w:szCs w:val="20"/>
              </w:rPr>
            </w:pPr>
            <w:r>
              <w:rPr>
                <w:rFonts w:hint="eastAsia"/>
                <w:szCs w:val="20"/>
              </w:rPr>
              <w:t>整数型</w:t>
            </w:r>
          </w:p>
        </w:tc>
        <w:tc>
          <w:tcPr>
            <w:tcW w:w="4161" w:type="dxa"/>
            <w:shd w:val="clear" w:color="auto" w:fill="auto"/>
          </w:tcPr>
          <w:p w14:paraId="527006FC" w14:textId="77777777" w:rsidR="00A052DC" w:rsidRDefault="009F0A60">
            <w:pPr>
              <w:pStyle w:val="B"/>
              <w:widowControl w:val="0"/>
            </w:pPr>
            <w:r>
              <w:rPr>
                <w:rFonts w:hint="eastAsia"/>
              </w:rPr>
              <w:t>必填项</w:t>
            </w:r>
            <w:r w:rsidR="004D1828">
              <w:rPr>
                <w:rFonts w:hint="eastAsia"/>
              </w:rPr>
              <w:t>，</w:t>
            </w:r>
            <w:r>
              <w:t>包括：</w:t>
            </w:r>
          </w:p>
          <w:p w14:paraId="2EC8C851" w14:textId="77777777" w:rsidR="00A052DC" w:rsidRDefault="009F0A60">
            <w:pPr>
              <w:pStyle w:val="B"/>
              <w:widowControl w:val="0"/>
            </w:pPr>
            <w:r>
              <w:t>1-QFII；</w:t>
            </w:r>
          </w:p>
          <w:p w14:paraId="67B98BF0" w14:textId="77777777" w:rsidR="00A052DC" w:rsidRDefault="009F0A60">
            <w:pPr>
              <w:pStyle w:val="B"/>
              <w:widowControl w:val="0"/>
            </w:pPr>
            <w:r>
              <w:t>2-RQFII；</w:t>
            </w:r>
          </w:p>
          <w:p w14:paraId="543A5F16" w14:textId="77777777" w:rsidR="00A052DC" w:rsidRDefault="009F0A60">
            <w:pPr>
              <w:pStyle w:val="B"/>
              <w:widowControl w:val="0"/>
              <w:rPr>
                <w:szCs w:val="20"/>
              </w:rPr>
            </w:pPr>
            <w:r>
              <w:rPr>
                <w:rFonts w:hint="eastAsia"/>
                <w:szCs w:val="20"/>
              </w:rPr>
              <w:t>3-沪伦通（西向）；</w:t>
            </w:r>
          </w:p>
          <w:p w14:paraId="5E5EB438" w14:textId="77777777" w:rsidR="00A052DC" w:rsidRDefault="009F0A60">
            <w:pPr>
              <w:pStyle w:val="B"/>
              <w:widowControl w:val="0"/>
              <w:rPr>
                <w:szCs w:val="20"/>
              </w:rPr>
            </w:pPr>
            <w:r>
              <w:rPr>
                <w:rFonts w:hint="eastAsia"/>
                <w:szCs w:val="20"/>
              </w:rPr>
              <w:t>4-跨境理财通；</w:t>
            </w:r>
          </w:p>
          <w:p w14:paraId="7234B164" w14:textId="77777777" w:rsidR="00A052DC" w:rsidRDefault="009F0A60">
            <w:pPr>
              <w:pStyle w:val="B"/>
              <w:rPr>
                <w:szCs w:val="20"/>
              </w:rPr>
            </w:pPr>
            <w:r>
              <w:t>9-其他。</w:t>
            </w:r>
          </w:p>
        </w:tc>
      </w:tr>
      <w:tr w:rsidR="00A052DC" w14:paraId="6D3D45B5" w14:textId="77777777">
        <w:tc>
          <w:tcPr>
            <w:tcW w:w="1347" w:type="dxa"/>
            <w:shd w:val="clear" w:color="auto" w:fill="auto"/>
          </w:tcPr>
          <w:p w14:paraId="3ACB8EA8" w14:textId="77777777" w:rsidR="00A052DC" w:rsidRDefault="009F0A60">
            <w:pPr>
              <w:pStyle w:val="B"/>
              <w:rPr>
                <w:szCs w:val="20"/>
              </w:rPr>
            </w:pPr>
            <w:r>
              <w:rPr>
                <w:szCs w:val="20"/>
              </w:rPr>
              <w:t>INVTYPE</w:t>
            </w:r>
          </w:p>
        </w:tc>
        <w:tc>
          <w:tcPr>
            <w:tcW w:w="1571" w:type="dxa"/>
            <w:shd w:val="clear" w:color="auto" w:fill="auto"/>
          </w:tcPr>
          <w:p w14:paraId="2E2C978D" w14:textId="77777777" w:rsidR="00A052DC" w:rsidRDefault="009F0A60">
            <w:pPr>
              <w:pStyle w:val="B"/>
              <w:rPr>
                <w:szCs w:val="20"/>
              </w:rPr>
            </w:pPr>
            <w:r>
              <w:rPr>
                <w:rFonts w:hint="eastAsia"/>
                <w:szCs w:val="20"/>
              </w:rPr>
              <w:t>投资品种类型</w:t>
            </w:r>
          </w:p>
        </w:tc>
        <w:tc>
          <w:tcPr>
            <w:tcW w:w="1348" w:type="dxa"/>
            <w:shd w:val="clear" w:color="auto" w:fill="auto"/>
          </w:tcPr>
          <w:p w14:paraId="7FBED1DD" w14:textId="77777777" w:rsidR="00A052DC" w:rsidRDefault="009F0A60">
            <w:pPr>
              <w:pStyle w:val="B"/>
              <w:rPr>
                <w:szCs w:val="20"/>
              </w:rPr>
            </w:pPr>
            <w:r>
              <w:rPr>
                <w:rFonts w:hint="eastAsia"/>
                <w:szCs w:val="20"/>
              </w:rPr>
              <w:t>字符型，</w:t>
            </w:r>
            <w:r>
              <w:rPr>
                <w:szCs w:val="20"/>
              </w:rPr>
              <w:t>3</w:t>
            </w:r>
          </w:p>
        </w:tc>
        <w:tc>
          <w:tcPr>
            <w:tcW w:w="4161" w:type="dxa"/>
            <w:shd w:val="clear" w:color="auto" w:fill="auto"/>
          </w:tcPr>
          <w:p w14:paraId="5685FCBA" w14:textId="77777777" w:rsidR="00A052DC" w:rsidRDefault="009F0A60">
            <w:pPr>
              <w:pStyle w:val="B"/>
              <w:rPr>
                <w:szCs w:val="20"/>
              </w:rPr>
            </w:pPr>
            <w:r>
              <w:rPr>
                <w:rFonts w:hint="eastAsia"/>
                <w:szCs w:val="20"/>
              </w:rPr>
              <w:t>非必填项。如H0105CODE=1或2，则为</w:t>
            </w:r>
            <w:r>
              <w:rPr>
                <w:rFonts w:hint="eastAsia"/>
              </w:rPr>
              <w:t>必填项，见</w:t>
            </w:r>
            <w:r>
              <w:t>QFII/RQFII投资品种类型代码表。</w:t>
            </w:r>
            <w:r>
              <w:rPr>
                <w:rFonts w:hint="eastAsia"/>
                <w:szCs w:val="20"/>
              </w:rPr>
              <w:t>如H0105CODE≠1或2，则此字段为空。</w:t>
            </w:r>
          </w:p>
        </w:tc>
      </w:tr>
      <w:tr w:rsidR="00A052DC" w14:paraId="7C9DFF3D" w14:textId="77777777">
        <w:tc>
          <w:tcPr>
            <w:tcW w:w="1347" w:type="dxa"/>
            <w:shd w:val="clear" w:color="auto" w:fill="auto"/>
          </w:tcPr>
          <w:p w14:paraId="62A81E4C" w14:textId="77777777" w:rsidR="00A052DC" w:rsidRDefault="009F0A60">
            <w:pPr>
              <w:pStyle w:val="B"/>
              <w:rPr>
                <w:szCs w:val="20"/>
              </w:rPr>
            </w:pPr>
            <w:r>
              <w:rPr>
                <w:szCs w:val="20"/>
              </w:rPr>
              <w:t>H0106</w:t>
            </w:r>
          </w:p>
        </w:tc>
        <w:tc>
          <w:tcPr>
            <w:tcW w:w="1571" w:type="dxa"/>
            <w:shd w:val="clear" w:color="auto" w:fill="auto"/>
          </w:tcPr>
          <w:p w14:paraId="669F3907" w14:textId="77777777" w:rsidR="00A052DC" w:rsidRDefault="009F0A60">
            <w:pPr>
              <w:pStyle w:val="B"/>
              <w:rPr>
                <w:szCs w:val="20"/>
              </w:rPr>
            </w:pPr>
            <w:r>
              <w:rPr>
                <w:rFonts w:hint="eastAsia"/>
                <w:szCs w:val="20"/>
              </w:rPr>
              <w:t>金融衍生产品的合约类别</w:t>
            </w:r>
          </w:p>
        </w:tc>
        <w:tc>
          <w:tcPr>
            <w:tcW w:w="1348" w:type="dxa"/>
            <w:shd w:val="clear" w:color="auto" w:fill="auto"/>
          </w:tcPr>
          <w:p w14:paraId="055B9F35" w14:textId="77777777" w:rsidR="00A052DC" w:rsidRDefault="009F0A60">
            <w:pPr>
              <w:pStyle w:val="B"/>
              <w:rPr>
                <w:szCs w:val="20"/>
              </w:rPr>
            </w:pPr>
            <w:r>
              <w:rPr>
                <w:rFonts w:hint="eastAsia"/>
                <w:szCs w:val="20"/>
              </w:rPr>
              <w:t>整数型</w:t>
            </w:r>
          </w:p>
        </w:tc>
        <w:tc>
          <w:tcPr>
            <w:tcW w:w="4161" w:type="dxa"/>
            <w:shd w:val="clear" w:color="auto" w:fill="auto"/>
          </w:tcPr>
          <w:p w14:paraId="26F769AE" w14:textId="77777777" w:rsidR="00A052DC" w:rsidRDefault="009F0A60">
            <w:pPr>
              <w:pStyle w:val="B"/>
              <w:widowControl w:val="0"/>
              <w:rPr>
                <w:szCs w:val="20"/>
              </w:rPr>
            </w:pPr>
            <w:r>
              <w:rPr>
                <w:rFonts w:hint="eastAsia"/>
                <w:szCs w:val="20"/>
              </w:rPr>
              <w:t>非必填项。如</w:t>
            </w:r>
            <w:r>
              <w:rPr>
                <w:szCs w:val="20"/>
              </w:rPr>
              <w:t>H0105=15</w:t>
            </w:r>
            <w:r>
              <w:rPr>
                <w:rFonts w:hint="eastAsia"/>
                <w:szCs w:val="20"/>
              </w:rPr>
              <w:t>，则为必填项，</w:t>
            </w:r>
            <w:r>
              <w:rPr>
                <w:szCs w:val="20"/>
              </w:rPr>
              <w:t>见金融衍生产品的合约类别代码表</w:t>
            </w:r>
            <w:r>
              <w:rPr>
                <w:rFonts w:hint="eastAsia"/>
                <w:szCs w:val="20"/>
              </w:rPr>
              <w:t>。如</w:t>
            </w:r>
            <w:r>
              <w:rPr>
                <w:szCs w:val="20"/>
              </w:rPr>
              <w:t>H0105</w:t>
            </w:r>
            <w:r>
              <w:rPr>
                <w:rFonts w:hint="eastAsia"/>
                <w:szCs w:val="20"/>
              </w:rPr>
              <w:t>≠</w:t>
            </w:r>
            <w:r>
              <w:rPr>
                <w:szCs w:val="20"/>
              </w:rPr>
              <w:t>15</w:t>
            </w:r>
            <w:r>
              <w:rPr>
                <w:rFonts w:hint="eastAsia"/>
                <w:szCs w:val="20"/>
              </w:rPr>
              <w:t>，则此字段为空。</w:t>
            </w:r>
          </w:p>
        </w:tc>
      </w:tr>
      <w:tr w:rsidR="00A052DC" w14:paraId="69D8AD77" w14:textId="77777777">
        <w:tc>
          <w:tcPr>
            <w:tcW w:w="1347" w:type="dxa"/>
            <w:shd w:val="clear" w:color="auto" w:fill="auto"/>
          </w:tcPr>
          <w:p w14:paraId="5455CEDB" w14:textId="77777777" w:rsidR="00A052DC" w:rsidRDefault="009F0A60">
            <w:pPr>
              <w:pStyle w:val="B"/>
              <w:widowControl w:val="0"/>
              <w:rPr>
                <w:szCs w:val="20"/>
              </w:rPr>
            </w:pPr>
            <w:r>
              <w:rPr>
                <w:szCs w:val="20"/>
              </w:rPr>
              <w:t>H0107</w:t>
            </w:r>
          </w:p>
        </w:tc>
        <w:tc>
          <w:tcPr>
            <w:tcW w:w="1571" w:type="dxa"/>
            <w:shd w:val="clear" w:color="auto" w:fill="auto"/>
          </w:tcPr>
          <w:p w14:paraId="7AED7F99" w14:textId="77777777" w:rsidR="00A052DC" w:rsidRDefault="009F0A60">
            <w:pPr>
              <w:pStyle w:val="B"/>
              <w:widowControl w:val="0"/>
              <w:rPr>
                <w:szCs w:val="20"/>
              </w:rPr>
            </w:pPr>
            <w:r>
              <w:rPr>
                <w:rFonts w:hint="eastAsia"/>
                <w:szCs w:val="20"/>
              </w:rPr>
              <w:t>金融衍生产品的风险类别</w:t>
            </w:r>
          </w:p>
        </w:tc>
        <w:tc>
          <w:tcPr>
            <w:tcW w:w="1348" w:type="dxa"/>
            <w:shd w:val="clear" w:color="auto" w:fill="auto"/>
          </w:tcPr>
          <w:p w14:paraId="0444FAD6" w14:textId="77777777" w:rsidR="00A052DC" w:rsidRDefault="009F0A60">
            <w:pPr>
              <w:pStyle w:val="B"/>
              <w:widowControl w:val="0"/>
              <w:rPr>
                <w:szCs w:val="20"/>
              </w:rPr>
            </w:pPr>
            <w:r>
              <w:rPr>
                <w:rFonts w:hint="eastAsia"/>
                <w:szCs w:val="20"/>
              </w:rPr>
              <w:t>整数型</w:t>
            </w:r>
          </w:p>
        </w:tc>
        <w:tc>
          <w:tcPr>
            <w:tcW w:w="4161" w:type="dxa"/>
            <w:shd w:val="clear" w:color="auto" w:fill="auto"/>
          </w:tcPr>
          <w:p w14:paraId="655786BB" w14:textId="77777777" w:rsidR="00A052DC" w:rsidRDefault="009F0A60">
            <w:pPr>
              <w:pStyle w:val="B"/>
              <w:widowControl w:val="0"/>
              <w:rPr>
                <w:szCs w:val="20"/>
              </w:rPr>
            </w:pPr>
            <w:r>
              <w:rPr>
                <w:rFonts w:hint="eastAsia"/>
                <w:szCs w:val="20"/>
              </w:rPr>
              <w:t>非必填项。如</w:t>
            </w:r>
            <w:r>
              <w:rPr>
                <w:szCs w:val="20"/>
              </w:rPr>
              <w:t>H0105=15</w:t>
            </w:r>
            <w:r>
              <w:rPr>
                <w:rFonts w:hint="eastAsia"/>
                <w:szCs w:val="20"/>
              </w:rPr>
              <w:t>，则为必填项</w:t>
            </w:r>
            <w:r>
              <w:rPr>
                <w:szCs w:val="20"/>
              </w:rPr>
              <w:t>，见金融衍生产品的风险类别代码表</w:t>
            </w:r>
            <w:r>
              <w:rPr>
                <w:rFonts w:hint="eastAsia"/>
                <w:szCs w:val="20"/>
              </w:rPr>
              <w:t>。如</w:t>
            </w:r>
            <w:r>
              <w:rPr>
                <w:szCs w:val="20"/>
              </w:rPr>
              <w:t>H0105</w:t>
            </w:r>
            <w:r>
              <w:rPr>
                <w:rFonts w:hint="eastAsia"/>
                <w:szCs w:val="20"/>
              </w:rPr>
              <w:t>≠</w:t>
            </w:r>
            <w:r>
              <w:rPr>
                <w:szCs w:val="20"/>
              </w:rPr>
              <w:t>15</w:t>
            </w:r>
            <w:r>
              <w:rPr>
                <w:rFonts w:hint="eastAsia"/>
                <w:szCs w:val="20"/>
              </w:rPr>
              <w:t>，则此字段为空。</w:t>
            </w:r>
          </w:p>
        </w:tc>
      </w:tr>
      <w:tr w:rsidR="00A052DC" w14:paraId="445141EB" w14:textId="77777777">
        <w:tc>
          <w:tcPr>
            <w:tcW w:w="1347" w:type="dxa"/>
            <w:shd w:val="clear" w:color="auto" w:fill="auto"/>
          </w:tcPr>
          <w:p w14:paraId="38839FE6" w14:textId="77777777" w:rsidR="00A052DC" w:rsidRDefault="009F0A60">
            <w:pPr>
              <w:pStyle w:val="B"/>
              <w:widowControl w:val="0"/>
              <w:rPr>
                <w:szCs w:val="20"/>
              </w:rPr>
            </w:pPr>
            <w:r>
              <w:rPr>
                <w:szCs w:val="20"/>
              </w:rPr>
              <w:t>H0108</w:t>
            </w:r>
          </w:p>
        </w:tc>
        <w:tc>
          <w:tcPr>
            <w:tcW w:w="1571" w:type="dxa"/>
            <w:shd w:val="clear" w:color="auto" w:fill="auto"/>
          </w:tcPr>
          <w:p w14:paraId="2C9A0316" w14:textId="77777777" w:rsidR="00A052DC" w:rsidRDefault="009F0A60">
            <w:pPr>
              <w:pStyle w:val="B"/>
              <w:widowControl w:val="0"/>
              <w:rPr>
                <w:szCs w:val="20"/>
              </w:rPr>
            </w:pPr>
            <w:r>
              <w:rPr>
                <w:rFonts w:hint="eastAsia"/>
                <w:szCs w:val="20"/>
              </w:rPr>
              <w:t>投资工具代码</w:t>
            </w:r>
          </w:p>
          <w:p w14:paraId="2B75363D" w14:textId="77777777" w:rsidR="00A052DC" w:rsidRDefault="009F0A60">
            <w:pPr>
              <w:rPr>
                <w:rFonts w:ascii="黑体" w:eastAsia="黑体" w:hAnsi="黑体"/>
                <w:sz w:val="20"/>
                <w:szCs w:val="20"/>
              </w:rPr>
            </w:pPr>
            <w:r>
              <w:rPr>
                <w:rFonts w:ascii="黑体" w:eastAsia="黑体" w:hAnsi="黑体" w:hint="eastAsia"/>
                <w:sz w:val="20"/>
                <w:szCs w:val="20"/>
              </w:rPr>
              <w:t>（逐支报送使用）</w:t>
            </w:r>
          </w:p>
        </w:tc>
        <w:tc>
          <w:tcPr>
            <w:tcW w:w="1348" w:type="dxa"/>
            <w:shd w:val="clear" w:color="auto" w:fill="auto"/>
          </w:tcPr>
          <w:p w14:paraId="4AAE946E" w14:textId="77777777" w:rsidR="00A052DC" w:rsidRDefault="009F0A60">
            <w:pPr>
              <w:pStyle w:val="B"/>
              <w:widowControl w:val="0"/>
              <w:rPr>
                <w:szCs w:val="20"/>
              </w:rPr>
            </w:pPr>
            <w:r>
              <w:rPr>
                <w:rFonts w:hint="eastAsia"/>
                <w:szCs w:val="20"/>
              </w:rPr>
              <w:t>字符型，</w:t>
            </w:r>
            <w:r>
              <w:rPr>
                <w:szCs w:val="20"/>
              </w:rPr>
              <w:t>255</w:t>
            </w:r>
          </w:p>
        </w:tc>
        <w:tc>
          <w:tcPr>
            <w:tcW w:w="4161" w:type="dxa"/>
            <w:shd w:val="clear" w:color="auto" w:fill="auto"/>
          </w:tcPr>
          <w:p w14:paraId="26812ABC" w14:textId="77777777" w:rsidR="00A052DC" w:rsidRDefault="009F0A60">
            <w:pPr>
              <w:pStyle w:val="B"/>
              <w:widowControl w:val="0"/>
              <w:rPr>
                <w:szCs w:val="20"/>
              </w:rPr>
            </w:pPr>
            <w:r>
              <w:rPr>
                <w:rFonts w:hint="eastAsia"/>
                <w:szCs w:val="20"/>
              </w:rPr>
              <w:t>必填项。如</w:t>
            </w:r>
            <w:r>
              <w:rPr>
                <w:szCs w:val="20"/>
              </w:rPr>
              <w:t>H0105=11</w:t>
            </w:r>
            <w:r>
              <w:rPr>
                <w:rFonts w:hint="eastAsia"/>
                <w:szCs w:val="20"/>
              </w:rPr>
              <w:t>、</w:t>
            </w:r>
            <w:r>
              <w:rPr>
                <w:szCs w:val="20"/>
              </w:rPr>
              <w:t>12</w:t>
            </w:r>
            <w:r>
              <w:rPr>
                <w:rFonts w:hint="eastAsia"/>
                <w:szCs w:val="20"/>
              </w:rPr>
              <w:t>、</w:t>
            </w:r>
            <w:r>
              <w:rPr>
                <w:szCs w:val="20"/>
              </w:rPr>
              <w:t>13</w:t>
            </w:r>
            <w:r>
              <w:rPr>
                <w:rFonts w:hint="eastAsia"/>
                <w:szCs w:val="20"/>
              </w:rPr>
              <w:t>、</w:t>
            </w:r>
            <w:r>
              <w:rPr>
                <w:szCs w:val="20"/>
              </w:rPr>
              <w:t>14</w:t>
            </w:r>
            <w:r>
              <w:rPr>
                <w:rFonts w:hint="eastAsia"/>
                <w:szCs w:val="20"/>
              </w:rPr>
              <w:t>、</w:t>
            </w:r>
            <w:r>
              <w:rPr>
                <w:szCs w:val="20"/>
              </w:rPr>
              <w:t>15</w:t>
            </w:r>
            <w:r>
              <w:rPr>
                <w:rFonts w:hint="eastAsia"/>
                <w:szCs w:val="20"/>
              </w:rPr>
              <w:t>、</w:t>
            </w:r>
            <w:r>
              <w:rPr>
                <w:szCs w:val="20"/>
              </w:rPr>
              <w:t>16</w:t>
            </w:r>
            <w:r>
              <w:rPr>
                <w:rFonts w:hint="eastAsia"/>
                <w:szCs w:val="20"/>
              </w:rPr>
              <w:t>、20、21、22、23或24，并选择逐支报送，则填写实际代码；如选择汇总报送，则填写“</w:t>
            </w:r>
            <w:r>
              <w:rPr>
                <w:szCs w:val="20"/>
              </w:rPr>
              <w:t>N/A</w:t>
            </w:r>
            <w:r>
              <w:rPr>
                <w:rFonts w:hint="eastAsia"/>
                <w:szCs w:val="20"/>
              </w:rPr>
              <w:t>”。如</w:t>
            </w:r>
            <w:r>
              <w:rPr>
                <w:szCs w:val="20"/>
              </w:rPr>
              <w:t>H0105=17</w:t>
            </w:r>
            <w:r>
              <w:rPr>
                <w:rFonts w:hint="eastAsia"/>
                <w:szCs w:val="20"/>
              </w:rPr>
              <w:t>、</w:t>
            </w:r>
            <w:r>
              <w:rPr>
                <w:szCs w:val="20"/>
              </w:rPr>
              <w:t>18</w:t>
            </w:r>
            <w:r>
              <w:rPr>
                <w:rFonts w:hint="eastAsia"/>
                <w:szCs w:val="20"/>
              </w:rPr>
              <w:t>或</w:t>
            </w:r>
            <w:r>
              <w:rPr>
                <w:szCs w:val="20"/>
              </w:rPr>
              <w:t>19</w:t>
            </w:r>
            <w:r>
              <w:rPr>
                <w:rFonts w:hint="eastAsia"/>
                <w:szCs w:val="20"/>
              </w:rPr>
              <w:t>，则填写“</w:t>
            </w:r>
            <w:r>
              <w:rPr>
                <w:szCs w:val="20"/>
              </w:rPr>
              <w:t>N/A</w:t>
            </w:r>
            <w:r>
              <w:rPr>
                <w:rFonts w:hint="eastAsia"/>
                <w:szCs w:val="20"/>
              </w:rPr>
              <w:t>”。</w:t>
            </w:r>
          </w:p>
        </w:tc>
      </w:tr>
      <w:tr w:rsidR="00A052DC" w14:paraId="1BC493F5" w14:textId="77777777">
        <w:tc>
          <w:tcPr>
            <w:tcW w:w="1347" w:type="dxa"/>
            <w:shd w:val="clear" w:color="auto" w:fill="auto"/>
          </w:tcPr>
          <w:p w14:paraId="7C5AA31E" w14:textId="77777777" w:rsidR="00A052DC" w:rsidRDefault="009F0A60">
            <w:pPr>
              <w:pStyle w:val="B"/>
              <w:widowControl w:val="0"/>
              <w:rPr>
                <w:szCs w:val="20"/>
              </w:rPr>
            </w:pPr>
            <w:r>
              <w:rPr>
                <w:szCs w:val="20"/>
              </w:rPr>
              <w:t>H0109</w:t>
            </w:r>
          </w:p>
        </w:tc>
        <w:tc>
          <w:tcPr>
            <w:tcW w:w="1571" w:type="dxa"/>
            <w:shd w:val="clear" w:color="auto" w:fill="auto"/>
          </w:tcPr>
          <w:p w14:paraId="3C30B26E" w14:textId="77777777" w:rsidR="00A052DC" w:rsidRDefault="009F0A60">
            <w:pPr>
              <w:pStyle w:val="B"/>
              <w:widowControl w:val="0"/>
              <w:rPr>
                <w:szCs w:val="20"/>
              </w:rPr>
            </w:pPr>
            <w:r>
              <w:rPr>
                <w:rFonts w:hint="eastAsia"/>
                <w:szCs w:val="20"/>
              </w:rPr>
              <w:t>投资工具发行人名称（逐支报送使用）</w:t>
            </w:r>
          </w:p>
        </w:tc>
        <w:tc>
          <w:tcPr>
            <w:tcW w:w="1348" w:type="dxa"/>
            <w:shd w:val="clear" w:color="auto" w:fill="auto"/>
          </w:tcPr>
          <w:p w14:paraId="3339FB9B" w14:textId="77777777" w:rsidR="00A052DC" w:rsidRDefault="009F0A60">
            <w:pPr>
              <w:pStyle w:val="B"/>
              <w:widowControl w:val="0"/>
              <w:rPr>
                <w:szCs w:val="20"/>
              </w:rPr>
            </w:pPr>
            <w:r>
              <w:rPr>
                <w:rFonts w:hint="eastAsia"/>
                <w:szCs w:val="20"/>
              </w:rPr>
              <w:t>字符型，</w:t>
            </w:r>
            <w:r>
              <w:rPr>
                <w:szCs w:val="20"/>
              </w:rPr>
              <w:t>255</w:t>
            </w:r>
          </w:p>
        </w:tc>
        <w:tc>
          <w:tcPr>
            <w:tcW w:w="4161" w:type="dxa"/>
            <w:shd w:val="clear" w:color="auto" w:fill="auto"/>
          </w:tcPr>
          <w:p w14:paraId="52763463" w14:textId="77777777" w:rsidR="00A052DC" w:rsidRDefault="009F0A60">
            <w:pPr>
              <w:pStyle w:val="B"/>
              <w:widowControl w:val="0"/>
              <w:rPr>
                <w:szCs w:val="20"/>
              </w:rPr>
            </w:pPr>
            <w:r>
              <w:rPr>
                <w:rFonts w:hint="eastAsia"/>
                <w:szCs w:val="20"/>
              </w:rPr>
              <w:t>非必填项。如</w:t>
            </w:r>
            <w:r>
              <w:rPr>
                <w:szCs w:val="20"/>
              </w:rPr>
              <w:t>H0108</w:t>
            </w:r>
            <w:r>
              <w:rPr>
                <w:rFonts w:hint="eastAsia"/>
                <w:szCs w:val="20"/>
              </w:rPr>
              <w:t>≠</w:t>
            </w:r>
            <w:r>
              <w:rPr>
                <w:szCs w:val="20"/>
              </w:rPr>
              <w:t>N/A</w:t>
            </w:r>
            <w:r>
              <w:rPr>
                <w:rFonts w:hint="eastAsia"/>
                <w:szCs w:val="20"/>
              </w:rPr>
              <w:t>，则填写实际名称；如</w:t>
            </w:r>
            <w:r>
              <w:rPr>
                <w:szCs w:val="20"/>
              </w:rPr>
              <w:t>H0108=N/A</w:t>
            </w:r>
            <w:r>
              <w:rPr>
                <w:rFonts w:hint="eastAsia"/>
                <w:szCs w:val="20"/>
              </w:rPr>
              <w:t>，本字段为空。</w:t>
            </w:r>
          </w:p>
        </w:tc>
      </w:tr>
      <w:tr w:rsidR="00A052DC" w14:paraId="43BA5858" w14:textId="77777777">
        <w:tc>
          <w:tcPr>
            <w:tcW w:w="1347" w:type="dxa"/>
            <w:shd w:val="clear" w:color="auto" w:fill="auto"/>
          </w:tcPr>
          <w:p w14:paraId="5F6CD73F" w14:textId="77777777" w:rsidR="00A052DC" w:rsidRDefault="009F0A60">
            <w:pPr>
              <w:pStyle w:val="B"/>
              <w:widowControl w:val="0"/>
              <w:rPr>
                <w:szCs w:val="20"/>
              </w:rPr>
            </w:pPr>
            <w:r>
              <w:rPr>
                <w:szCs w:val="20"/>
              </w:rPr>
              <w:t>H0109CODE</w:t>
            </w:r>
          </w:p>
        </w:tc>
        <w:tc>
          <w:tcPr>
            <w:tcW w:w="1571" w:type="dxa"/>
            <w:shd w:val="clear" w:color="auto" w:fill="auto"/>
          </w:tcPr>
          <w:p w14:paraId="6D8A8365" w14:textId="77777777" w:rsidR="00A052DC" w:rsidRDefault="009F0A60">
            <w:pPr>
              <w:pStyle w:val="B"/>
              <w:widowControl w:val="0"/>
              <w:rPr>
                <w:szCs w:val="20"/>
              </w:rPr>
            </w:pPr>
            <w:r>
              <w:rPr>
                <w:rFonts w:hAnsi="宋体" w:hint="eastAsia"/>
                <w:color w:val="000000"/>
              </w:rPr>
              <w:t>投资工具发行人所属国家/地区</w:t>
            </w:r>
          </w:p>
        </w:tc>
        <w:tc>
          <w:tcPr>
            <w:tcW w:w="1348" w:type="dxa"/>
            <w:shd w:val="clear" w:color="auto" w:fill="auto"/>
          </w:tcPr>
          <w:p w14:paraId="75DFAF07" w14:textId="77777777" w:rsidR="00A052DC" w:rsidRDefault="009F0A60">
            <w:pPr>
              <w:pStyle w:val="B"/>
              <w:widowControl w:val="0"/>
              <w:rPr>
                <w:szCs w:val="20"/>
              </w:rPr>
            </w:pPr>
            <w:r>
              <w:rPr>
                <w:rFonts w:hint="eastAsia"/>
                <w:szCs w:val="20"/>
              </w:rPr>
              <w:t>字符型，</w:t>
            </w:r>
            <w:r>
              <w:rPr>
                <w:szCs w:val="20"/>
              </w:rPr>
              <w:t>3</w:t>
            </w:r>
          </w:p>
        </w:tc>
        <w:tc>
          <w:tcPr>
            <w:tcW w:w="4161" w:type="dxa"/>
            <w:shd w:val="clear" w:color="auto" w:fill="auto"/>
          </w:tcPr>
          <w:p w14:paraId="214A8AC4" w14:textId="77777777" w:rsidR="00A052DC" w:rsidRDefault="009F0A60">
            <w:pPr>
              <w:pStyle w:val="B"/>
              <w:widowControl w:val="0"/>
              <w:rPr>
                <w:szCs w:val="20"/>
              </w:rPr>
            </w:pPr>
            <w:r>
              <w:rPr>
                <w:rFonts w:hint="eastAsia"/>
                <w:szCs w:val="20"/>
              </w:rPr>
              <w:t>必填项，见国家和地区代码表的</w:t>
            </w:r>
            <w:r>
              <w:rPr>
                <w:szCs w:val="20"/>
              </w:rPr>
              <w:t>3</w:t>
            </w:r>
            <w:r>
              <w:rPr>
                <w:rFonts w:hint="eastAsia"/>
                <w:szCs w:val="20"/>
              </w:rPr>
              <w:t>位字母代码。</w:t>
            </w:r>
          </w:p>
        </w:tc>
      </w:tr>
      <w:tr w:rsidR="00A052DC" w14:paraId="74CAD6C2" w14:textId="77777777">
        <w:tc>
          <w:tcPr>
            <w:tcW w:w="1347" w:type="dxa"/>
            <w:shd w:val="clear" w:color="auto" w:fill="auto"/>
          </w:tcPr>
          <w:p w14:paraId="5EDC0B52" w14:textId="77777777" w:rsidR="00A052DC" w:rsidRDefault="009F0A60">
            <w:pPr>
              <w:pStyle w:val="B"/>
              <w:widowControl w:val="0"/>
              <w:rPr>
                <w:szCs w:val="20"/>
              </w:rPr>
            </w:pPr>
            <w:r>
              <w:rPr>
                <w:szCs w:val="20"/>
              </w:rPr>
              <w:t>H0110</w:t>
            </w:r>
          </w:p>
        </w:tc>
        <w:tc>
          <w:tcPr>
            <w:tcW w:w="1571" w:type="dxa"/>
            <w:shd w:val="clear" w:color="auto" w:fill="auto"/>
          </w:tcPr>
          <w:p w14:paraId="3AAB4373" w14:textId="77777777" w:rsidR="00A052DC" w:rsidRDefault="009F0A60">
            <w:pPr>
              <w:pStyle w:val="B"/>
              <w:widowControl w:val="0"/>
              <w:rPr>
                <w:szCs w:val="20"/>
              </w:rPr>
            </w:pPr>
            <w:r>
              <w:rPr>
                <w:rFonts w:hint="eastAsia"/>
                <w:szCs w:val="20"/>
              </w:rPr>
              <w:t>投资工具发行人所属部门</w:t>
            </w:r>
          </w:p>
        </w:tc>
        <w:tc>
          <w:tcPr>
            <w:tcW w:w="1348" w:type="dxa"/>
            <w:shd w:val="clear" w:color="auto" w:fill="auto"/>
          </w:tcPr>
          <w:p w14:paraId="57475384" w14:textId="77777777" w:rsidR="00A052DC" w:rsidRDefault="009F0A60">
            <w:pPr>
              <w:pStyle w:val="B"/>
              <w:widowControl w:val="0"/>
              <w:rPr>
                <w:szCs w:val="20"/>
              </w:rPr>
            </w:pPr>
            <w:r>
              <w:rPr>
                <w:rFonts w:hint="eastAsia"/>
                <w:szCs w:val="20"/>
              </w:rPr>
              <w:t>整数型</w:t>
            </w:r>
          </w:p>
        </w:tc>
        <w:tc>
          <w:tcPr>
            <w:tcW w:w="4161" w:type="dxa"/>
            <w:shd w:val="clear" w:color="auto" w:fill="auto"/>
          </w:tcPr>
          <w:p w14:paraId="665BC664" w14:textId="77777777" w:rsidR="00A052DC" w:rsidRDefault="009F0A60">
            <w:pPr>
              <w:pStyle w:val="B"/>
              <w:widowControl w:val="0"/>
              <w:rPr>
                <w:szCs w:val="20"/>
              </w:rPr>
            </w:pPr>
            <w:r>
              <w:rPr>
                <w:rFonts w:hint="eastAsia"/>
                <w:szCs w:val="20"/>
              </w:rPr>
              <w:t>必填项，见投资者（被投资者）部门代码表。</w:t>
            </w:r>
          </w:p>
          <w:p w14:paraId="69D6E98E" w14:textId="77777777" w:rsidR="00A052DC" w:rsidRDefault="009F0A60">
            <w:pPr>
              <w:rPr>
                <w:rFonts w:ascii="黑体" w:eastAsia="黑体" w:hAnsi="黑体"/>
                <w:sz w:val="20"/>
                <w:szCs w:val="20"/>
              </w:rPr>
            </w:pPr>
            <w:r>
              <w:rPr>
                <w:rFonts w:ascii="黑体" w:eastAsia="黑体" w:hAnsi="黑体" w:hint="eastAsia"/>
                <w:kern w:val="0"/>
                <w:sz w:val="20"/>
                <w:szCs w:val="20"/>
              </w:rPr>
              <w:t>同一投资工具代码（</w:t>
            </w:r>
            <w:r>
              <w:rPr>
                <w:rFonts w:ascii="黑体" w:eastAsia="黑体" w:hAnsi="黑体"/>
                <w:kern w:val="0"/>
                <w:sz w:val="20"/>
                <w:szCs w:val="20"/>
              </w:rPr>
              <w:t>H010</w:t>
            </w:r>
            <w:r>
              <w:rPr>
                <w:rFonts w:ascii="黑体" w:eastAsia="黑体" w:hAnsi="黑体" w:hint="eastAsia"/>
                <w:kern w:val="0"/>
                <w:sz w:val="20"/>
                <w:szCs w:val="20"/>
              </w:rPr>
              <w:t>8，逐支报送使用），其所属部门（</w:t>
            </w:r>
            <w:r>
              <w:rPr>
                <w:rFonts w:ascii="黑体" w:eastAsia="黑体" w:hAnsi="黑体"/>
                <w:kern w:val="0"/>
                <w:sz w:val="20"/>
                <w:szCs w:val="20"/>
              </w:rPr>
              <w:t>H0110</w:t>
            </w:r>
            <w:r>
              <w:rPr>
                <w:rFonts w:ascii="黑体" w:eastAsia="黑体" w:hAnsi="黑体" w:hint="eastAsia"/>
                <w:kern w:val="0"/>
                <w:sz w:val="20"/>
                <w:szCs w:val="20"/>
              </w:rPr>
              <w:t>）应一致。</w:t>
            </w:r>
          </w:p>
        </w:tc>
      </w:tr>
      <w:tr w:rsidR="00A052DC" w14:paraId="18F8AD99" w14:textId="77777777">
        <w:tc>
          <w:tcPr>
            <w:tcW w:w="1347" w:type="dxa"/>
            <w:shd w:val="clear" w:color="auto" w:fill="auto"/>
          </w:tcPr>
          <w:p w14:paraId="249DB914" w14:textId="77777777" w:rsidR="00A052DC" w:rsidRDefault="009F0A60">
            <w:pPr>
              <w:pStyle w:val="B"/>
              <w:widowControl w:val="0"/>
              <w:rPr>
                <w:szCs w:val="20"/>
              </w:rPr>
            </w:pPr>
            <w:r>
              <w:rPr>
                <w:szCs w:val="20"/>
              </w:rPr>
              <w:t>H0111</w:t>
            </w:r>
          </w:p>
        </w:tc>
        <w:tc>
          <w:tcPr>
            <w:tcW w:w="1571" w:type="dxa"/>
            <w:shd w:val="clear" w:color="auto" w:fill="auto"/>
          </w:tcPr>
          <w:p w14:paraId="51D1FD9F" w14:textId="77777777" w:rsidR="00A052DC" w:rsidRDefault="009F0A60">
            <w:pPr>
              <w:pStyle w:val="B"/>
              <w:widowControl w:val="0"/>
              <w:rPr>
                <w:szCs w:val="20"/>
              </w:rPr>
            </w:pPr>
            <w:r>
              <w:rPr>
                <w:rFonts w:hint="eastAsia"/>
                <w:szCs w:val="20"/>
              </w:rPr>
              <w:t>非居民委托人与境内发行人的关系</w:t>
            </w:r>
          </w:p>
        </w:tc>
        <w:tc>
          <w:tcPr>
            <w:tcW w:w="1348" w:type="dxa"/>
            <w:shd w:val="clear" w:color="auto" w:fill="auto"/>
          </w:tcPr>
          <w:p w14:paraId="7FFB8FEE" w14:textId="77777777" w:rsidR="00A052DC" w:rsidRDefault="009F0A60">
            <w:pPr>
              <w:pStyle w:val="B"/>
              <w:widowControl w:val="0"/>
              <w:rPr>
                <w:szCs w:val="20"/>
              </w:rPr>
            </w:pPr>
            <w:r>
              <w:rPr>
                <w:rFonts w:hint="eastAsia"/>
                <w:szCs w:val="20"/>
              </w:rPr>
              <w:t>整数型</w:t>
            </w:r>
          </w:p>
        </w:tc>
        <w:tc>
          <w:tcPr>
            <w:tcW w:w="4161" w:type="dxa"/>
            <w:shd w:val="clear" w:color="auto" w:fill="auto"/>
          </w:tcPr>
          <w:p w14:paraId="70CD8F20" w14:textId="77777777" w:rsidR="00A052DC" w:rsidRDefault="009F0A60">
            <w:pPr>
              <w:pStyle w:val="B"/>
              <w:widowControl w:val="0"/>
              <w:rPr>
                <w:szCs w:val="20"/>
              </w:rPr>
            </w:pPr>
            <w:r>
              <w:rPr>
                <w:rFonts w:hint="eastAsia"/>
                <w:szCs w:val="20"/>
              </w:rPr>
              <w:t>必填项，见对方与本机构</w:t>
            </w:r>
            <w:r>
              <w:rPr>
                <w:szCs w:val="20"/>
              </w:rPr>
              <w:t>/</w:t>
            </w:r>
            <w:r>
              <w:rPr>
                <w:rFonts w:hint="eastAsia"/>
                <w:szCs w:val="20"/>
              </w:rPr>
              <w:t>被代理居民机构</w:t>
            </w:r>
            <w:r>
              <w:rPr>
                <w:szCs w:val="20"/>
              </w:rPr>
              <w:t>/</w:t>
            </w:r>
            <w:r>
              <w:rPr>
                <w:rFonts w:hint="eastAsia"/>
                <w:szCs w:val="20"/>
              </w:rPr>
              <w:t>委托人的关系代码表。</w:t>
            </w:r>
          </w:p>
        </w:tc>
      </w:tr>
      <w:tr w:rsidR="00A052DC" w14:paraId="123AA4A4" w14:textId="77777777">
        <w:tc>
          <w:tcPr>
            <w:tcW w:w="1347" w:type="dxa"/>
            <w:shd w:val="clear" w:color="auto" w:fill="auto"/>
          </w:tcPr>
          <w:p w14:paraId="17287A83" w14:textId="77777777" w:rsidR="00A052DC" w:rsidRDefault="009F0A60">
            <w:pPr>
              <w:pStyle w:val="B"/>
              <w:widowControl w:val="0"/>
              <w:rPr>
                <w:szCs w:val="20"/>
              </w:rPr>
            </w:pPr>
            <w:r>
              <w:rPr>
                <w:szCs w:val="20"/>
              </w:rPr>
              <w:t>H0112</w:t>
            </w:r>
          </w:p>
        </w:tc>
        <w:tc>
          <w:tcPr>
            <w:tcW w:w="1571" w:type="dxa"/>
            <w:shd w:val="clear" w:color="auto" w:fill="auto"/>
          </w:tcPr>
          <w:p w14:paraId="06F0A259" w14:textId="77777777" w:rsidR="00A052DC" w:rsidRDefault="009F0A60">
            <w:pPr>
              <w:pStyle w:val="B"/>
              <w:widowControl w:val="0"/>
              <w:rPr>
                <w:szCs w:val="20"/>
              </w:rPr>
            </w:pPr>
            <w:r>
              <w:rPr>
                <w:rFonts w:hint="eastAsia"/>
                <w:szCs w:val="20"/>
              </w:rPr>
              <w:t>投资工具的原始期限</w:t>
            </w:r>
          </w:p>
        </w:tc>
        <w:tc>
          <w:tcPr>
            <w:tcW w:w="1348" w:type="dxa"/>
            <w:shd w:val="clear" w:color="auto" w:fill="auto"/>
          </w:tcPr>
          <w:p w14:paraId="5890F0FE" w14:textId="77777777" w:rsidR="00A052DC" w:rsidRDefault="009F0A60">
            <w:pPr>
              <w:pStyle w:val="B"/>
              <w:widowControl w:val="0"/>
              <w:rPr>
                <w:szCs w:val="20"/>
              </w:rPr>
            </w:pPr>
            <w:r>
              <w:rPr>
                <w:rFonts w:hint="eastAsia"/>
                <w:szCs w:val="20"/>
              </w:rPr>
              <w:t>整数型</w:t>
            </w:r>
          </w:p>
        </w:tc>
        <w:tc>
          <w:tcPr>
            <w:tcW w:w="4161" w:type="dxa"/>
            <w:shd w:val="clear" w:color="auto" w:fill="auto"/>
          </w:tcPr>
          <w:p w14:paraId="4B7A371C" w14:textId="77777777" w:rsidR="00A052DC" w:rsidRDefault="009F0A60">
            <w:pPr>
              <w:pStyle w:val="B"/>
              <w:widowControl w:val="0"/>
            </w:pPr>
            <w:r>
              <w:rPr>
                <w:rFonts w:hint="eastAsia"/>
              </w:rPr>
              <w:t>非必填项。当</w:t>
            </w:r>
            <w:r>
              <w:t>H0105=11</w:t>
            </w:r>
            <w:r>
              <w:rPr>
                <w:rFonts w:hint="eastAsia"/>
              </w:rPr>
              <w:t>、</w:t>
            </w:r>
            <w:r>
              <w:t>12</w:t>
            </w:r>
            <w:r>
              <w:rPr>
                <w:rFonts w:hint="eastAsia"/>
              </w:rPr>
              <w:t>、</w:t>
            </w:r>
            <w:r>
              <w:t>13</w:t>
            </w:r>
            <w:r>
              <w:rPr>
                <w:rFonts w:hint="eastAsia"/>
              </w:rPr>
              <w:t>、</w:t>
            </w:r>
            <w:r>
              <w:t>14</w:t>
            </w:r>
            <w:r>
              <w:rPr>
                <w:rFonts w:hint="eastAsia"/>
              </w:rPr>
              <w:t>、</w:t>
            </w:r>
            <w:r>
              <w:t>15</w:t>
            </w:r>
            <w:r>
              <w:rPr>
                <w:rFonts w:hint="eastAsia"/>
                <w:szCs w:val="20"/>
              </w:rPr>
              <w:t>、</w:t>
            </w:r>
            <w:r>
              <w:rPr>
                <w:szCs w:val="20"/>
              </w:rPr>
              <w:t>20</w:t>
            </w:r>
            <w:r>
              <w:rPr>
                <w:rFonts w:hint="eastAsia"/>
              </w:rPr>
              <w:t>或</w:t>
            </w:r>
            <w:r>
              <w:rPr>
                <w:szCs w:val="20"/>
              </w:rPr>
              <w:t>24</w:t>
            </w:r>
            <w:r>
              <w:rPr>
                <w:rFonts w:hint="eastAsia"/>
              </w:rPr>
              <w:t>时，该项为空；当</w:t>
            </w:r>
            <w:r>
              <w:t>H0105=16</w:t>
            </w:r>
            <w:r>
              <w:rPr>
                <w:rFonts w:hint="eastAsia"/>
              </w:rPr>
              <w:t>、</w:t>
            </w:r>
            <w:r>
              <w:t>17</w:t>
            </w:r>
            <w:r>
              <w:rPr>
                <w:rFonts w:hint="eastAsia"/>
              </w:rPr>
              <w:t>、</w:t>
            </w:r>
            <w:r>
              <w:t>18</w:t>
            </w:r>
            <w:r>
              <w:rPr>
                <w:rFonts w:hint="eastAsia"/>
              </w:rPr>
              <w:t>、</w:t>
            </w:r>
            <w:r>
              <w:t>19</w:t>
            </w:r>
            <w:r>
              <w:rPr>
                <w:rFonts w:hint="eastAsia"/>
              </w:rPr>
              <w:t>、</w:t>
            </w:r>
            <w:r>
              <w:t>21、22或23时，该项必须2</w:t>
            </w:r>
            <w:r>
              <w:rPr>
                <w:rFonts w:hint="eastAsia"/>
              </w:rPr>
              <w:t>选</w:t>
            </w:r>
            <w:r>
              <w:t>1:</w:t>
            </w:r>
          </w:p>
          <w:p w14:paraId="2AA10A29" w14:textId="77777777" w:rsidR="00A052DC" w:rsidRDefault="009F0A60">
            <w:pPr>
              <w:pStyle w:val="B"/>
              <w:widowControl w:val="0"/>
            </w:pPr>
            <w:r>
              <w:t>1-一年及以下；</w:t>
            </w:r>
          </w:p>
          <w:p w14:paraId="7F0F8A54" w14:textId="77777777" w:rsidR="00A052DC" w:rsidRDefault="009F0A60">
            <w:pPr>
              <w:rPr>
                <w:rFonts w:ascii="黑体" w:eastAsia="黑体" w:hAnsi="黑体"/>
                <w:sz w:val="20"/>
                <w:szCs w:val="20"/>
              </w:rPr>
            </w:pPr>
            <w:r>
              <w:rPr>
                <w:rFonts w:ascii="黑体" w:eastAsia="黑体" w:hAnsi="黑体" w:hint="eastAsia"/>
                <w:kern w:val="0"/>
                <w:sz w:val="20"/>
                <w:szCs w:val="20"/>
              </w:rPr>
              <w:t>2-一年以上。</w:t>
            </w:r>
          </w:p>
        </w:tc>
      </w:tr>
      <w:tr w:rsidR="00A052DC" w14:paraId="3A929785" w14:textId="77777777">
        <w:tc>
          <w:tcPr>
            <w:tcW w:w="1347" w:type="dxa"/>
            <w:shd w:val="clear" w:color="auto" w:fill="auto"/>
          </w:tcPr>
          <w:p w14:paraId="6ECADF3F" w14:textId="77777777" w:rsidR="00A052DC" w:rsidRDefault="009F0A60">
            <w:pPr>
              <w:pStyle w:val="B"/>
              <w:widowControl w:val="0"/>
              <w:rPr>
                <w:szCs w:val="20"/>
              </w:rPr>
            </w:pPr>
            <w:r>
              <w:rPr>
                <w:szCs w:val="20"/>
              </w:rPr>
              <w:t>H0113</w:t>
            </w:r>
          </w:p>
        </w:tc>
        <w:tc>
          <w:tcPr>
            <w:tcW w:w="1571" w:type="dxa"/>
            <w:shd w:val="clear" w:color="auto" w:fill="auto"/>
          </w:tcPr>
          <w:p w14:paraId="77E37283" w14:textId="77777777" w:rsidR="00A052DC" w:rsidRDefault="009F0A60">
            <w:pPr>
              <w:pStyle w:val="B"/>
              <w:widowControl w:val="0"/>
              <w:rPr>
                <w:szCs w:val="20"/>
              </w:rPr>
            </w:pPr>
            <w:r>
              <w:rPr>
                <w:rFonts w:hint="eastAsia"/>
                <w:szCs w:val="20"/>
              </w:rPr>
              <w:t>原始币种</w:t>
            </w:r>
          </w:p>
        </w:tc>
        <w:tc>
          <w:tcPr>
            <w:tcW w:w="1348" w:type="dxa"/>
            <w:shd w:val="clear" w:color="auto" w:fill="auto"/>
          </w:tcPr>
          <w:p w14:paraId="6BAD0AE4" w14:textId="77777777" w:rsidR="00A052DC" w:rsidRDefault="009F0A60">
            <w:pPr>
              <w:pStyle w:val="B"/>
              <w:widowControl w:val="0"/>
              <w:rPr>
                <w:szCs w:val="20"/>
              </w:rPr>
            </w:pPr>
            <w:r>
              <w:rPr>
                <w:rFonts w:hint="eastAsia"/>
                <w:szCs w:val="20"/>
              </w:rPr>
              <w:t>字符型，</w:t>
            </w:r>
            <w:r>
              <w:rPr>
                <w:szCs w:val="20"/>
              </w:rPr>
              <w:t>3</w:t>
            </w:r>
          </w:p>
        </w:tc>
        <w:tc>
          <w:tcPr>
            <w:tcW w:w="4161" w:type="dxa"/>
            <w:shd w:val="clear" w:color="auto" w:fill="auto"/>
          </w:tcPr>
          <w:p w14:paraId="6887BE0B" w14:textId="77777777" w:rsidR="00A052DC" w:rsidRDefault="009F0A60">
            <w:pPr>
              <w:pStyle w:val="B"/>
              <w:widowControl w:val="0"/>
              <w:rPr>
                <w:szCs w:val="20"/>
              </w:rPr>
            </w:pPr>
            <w:r>
              <w:rPr>
                <w:rFonts w:hint="eastAsia"/>
                <w:szCs w:val="20"/>
              </w:rPr>
              <w:t>必填项。见币种代码表。</w:t>
            </w:r>
          </w:p>
        </w:tc>
      </w:tr>
      <w:tr w:rsidR="00A052DC" w14:paraId="3D04B20B" w14:textId="77777777">
        <w:tc>
          <w:tcPr>
            <w:tcW w:w="1347" w:type="dxa"/>
            <w:shd w:val="clear" w:color="auto" w:fill="auto"/>
          </w:tcPr>
          <w:p w14:paraId="24CB95E5" w14:textId="77777777" w:rsidR="00A052DC" w:rsidRDefault="009F0A60">
            <w:pPr>
              <w:pStyle w:val="B"/>
              <w:widowControl w:val="0"/>
              <w:rPr>
                <w:szCs w:val="20"/>
              </w:rPr>
            </w:pPr>
            <w:r>
              <w:rPr>
                <w:szCs w:val="20"/>
              </w:rPr>
              <w:t>H0114</w:t>
            </w:r>
          </w:p>
        </w:tc>
        <w:tc>
          <w:tcPr>
            <w:tcW w:w="1571" w:type="dxa"/>
            <w:shd w:val="clear" w:color="auto" w:fill="auto"/>
          </w:tcPr>
          <w:p w14:paraId="31423E18" w14:textId="77777777" w:rsidR="00A052DC" w:rsidRDefault="009F0A60">
            <w:pPr>
              <w:pStyle w:val="B"/>
              <w:widowControl w:val="0"/>
              <w:rPr>
                <w:szCs w:val="20"/>
              </w:rPr>
            </w:pPr>
            <w:r>
              <w:rPr>
                <w:rFonts w:hint="eastAsia"/>
                <w:szCs w:val="20"/>
              </w:rPr>
              <w:t>上月末市值</w:t>
            </w:r>
          </w:p>
        </w:tc>
        <w:tc>
          <w:tcPr>
            <w:tcW w:w="1348" w:type="dxa"/>
            <w:shd w:val="clear" w:color="auto" w:fill="auto"/>
          </w:tcPr>
          <w:p w14:paraId="5554F8A2" w14:textId="77777777" w:rsidR="00A052DC" w:rsidRDefault="009F0A60">
            <w:pPr>
              <w:pStyle w:val="B"/>
              <w:widowControl w:val="0"/>
              <w:rPr>
                <w:szCs w:val="20"/>
              </w:rPr>
            </w:pPr>
            <w:r>
              <w:rPr>
                <w:rFonts w:hint="eastAsia"/>
                <w:szCs w:val="20"/>
              </w:rPr>
              <w:t>数值型，</w:t>
            </w:r>
            <w:r>
              <w:rPr>
                <w:szCs w:val="20"/>
              </w:rPr>
              <w:t>22.2</w:t>
            </w:r>
          </w:p>
        </w:tc>
        <w:tc>
          <w:tcPr>
            <w:tcW w:w="4161" w:type="dxa"/>
            <w:shd w:val="clear" w:color="auto" w:fill="auto"/>
          </w:tcPr>
          <w:p w14:paraId="37D3377E" w14:textId="77777777" w:rsidR="00A052DC" w:rsidRDefault="009F0A60">
            <w:pPr>
              <w:pStyle w:val="B"/>
              <w:widowControl w:val="0"/>
              <w:rPr>
                <w:szCs w:val="20"/>
              </w:rPr>
            </w:pPr>
            <w:r>
              <w:rPr>
                <w:rFonts w:hint="eastAsia"/>
                <w:szCs w:val="20"/>
              </w:rPr>
              <w:t>必填项。</w:t>
            </w:r>
          </w:p>
        </w:tc>
      </w:tr>
      <w:tr w:rsidR="00A052DC" w14:paraId="0C2C5F10" w14:textId="77777777">
        <w:tc>
          <w:tcPr>
            <w:tcW w:w="1347" w:type="dxa"/>
            <w:shd w:val="clear" w:color="auto" w:fill="auto"/>
          </w:tcPr>
          <w:p w14:paraId="782F1E98" w14:textId="77777777" w:rsidR="00A052DC" w:rsidRDefault="009F0A60">
            <w:pPr>
              <w:pStyle w:val="B"/>
              <w:widowControl w:val="0"/>
              <w:rPr>
                <w:szCs w:val="20"/>
              </w:rPr>
            </w:pPr>
            <w:r>
              <w:rPr>
                <w:szCs w:val="20"/>
              </w:rPr>
              <w:t>H0115</w:t>
            </w:r>
          </w:p>
        </w:tc>
        <w:tc>
          <w:tcPr>
            <w:tcW w:w="1571" w:type="dxa"/>
            <w:shd w:val="clear" w:color="auto" w:fill="auto"/>
          </w:tcPr>
          <w:p w14:paraId="42B59BD0" w14:textId="77777777" w:rsidR="00A052DC" w:rsidRDefault="009F0A60">
            <w:pPr>
              <w:pStyle w:val="B"/>
              <w:widowControl w:val="0"/>
              <w:rPr>
                <w:szCs w:val="20"/>
              </w:rPr>
            </w:pPr>
            <w:r>
              <w:rPr>
                <w:rFonts w:hint="eastAsia"/>
                <w:szCs w:val="20"/>
              </w:rPr>
              <w:t>本月买入</w:t>
            </w:r>
            <w:r>
              <w:rPr>
                <w:szCs w:val="20"/>
              </w:rPr>
              <w:t>/</w:t>
            </w:r>
            <w:r>
              <w:rPr>
                <w:rFonts w:hint="eastAsia"/>
                <w:szCs w:val="20"/>
              </w:rPr>
              <w:t>申购</w:t>
            </w:r>
            <w:r>
              <w:rPr>
                <w:szCs w:val="20"/>
              </w:rPr>
              <w:t>/(</w:t>
            </w:r>
            <w:r>
              <w:rPr>
                <w:rFonts w:hint="eastAsia"/>
                <w:szCs w:val="20"/>
              </w:rPr>
              <w:t>现金</w:t>
            </w:r>
            <w:r>
              <w:rPr>
                <w:szCs w:val="20"/>
              </w:rPr>
              <w:t>)</w:t>
            </w:r>
            <w:r>
              <w:rPr>
                <w:rFonts w:hint="eastAsia"/>
                <w:szCs w:val="20"/>
              </w:rPr>
              <w:t>结算付款额</w:t>
            </w:r>
          </w:p>
        </w:tc>
        <w:tc>
          <w:tcPr>
            <w:tcW w:w="1348" w:type="dxa"/>
            <w:shd w:val="clear" w:color="auto" w:fill="auto"/>
          </w:tcPr>
          <w:p w14:paraId="4C27584C" w14:textId="77777777" w:rsidR="00A052DC" w:rsidRDefault="009F0A60">
            <w:pPr>
              <w:pStyle w:val="B"/>
              <w:widowControl w:val="0"/>
              <w:rPr>
                <w:szCs w:val="20"/>
              </w:rPr>
            </w:pPr>
            <w:r>
              <w:rPr>
                <w:rFonts w:hint="eastAsia"/>
                <w:szCs w:val="20"/>
              </w:rPr>
              <w:t>数值型，</w:t>
            </w:r>
            <w:r>
              <w:rPr>
                <w:szCs w:val="20"/>
              </w:rPr>
              <w:t>22.2</w:t>
            </w:r>
          </w:p>
        </w:tc>
        <w:tc>
          <w:tcPr>
            <w:tcW w:w="4161" w:type="dxa"/>
            <w:shd w:val="clear" w:color="auto" w:fill="auto"/>
          </w:tcPr>
          <w:p w14:paraId="1C733E5E" w14:textId="77777777" w:rsidR="00A052DC" w:rsidRDefault="009F0A60">
            <w:pPr>
              <w:pStyle w:val="B"/>
              <w:widowControl w:val="0"/>
              <w:rPr>
                <w:szCs w:val="20"/>
              </w:rPr>
            </w:pPr>
            <w:r>
              <w:rPr>
                <w:rFonts w:hint="eastAsia"/>
                <w:szCs w:val="20"/>
              </w:rPr>
              <w:t>必填项，必须≥</w:t>
            </w:r>
            <w:r>
              <w:rPr>
                <w:szCs w:val="20"/>
              </w:rPr>
              <w:t>0</w:t>
            </w:r>
            <w:r>
              <w:rPr>
                <w:rFonts w:hint="eastAsia"/>
                <w:szCs w:val="20"/>
              </w:rPr>
              <w:t>。</w:t>
            </w:r>
          </w:p>
        </w:tc>
      </w:tr>
      <w:tr w:rsidR="00A052DC" w14:paraId="2DE502EF" w14:textId="77777777">
        <w:tc>
          <w:tcPr>
            <w:tcW w:w="1347" w:type="dxa"/>
            <w:shd w:val="clear" w:color="auto" w:fill="auto"/>
          </w:tcPr>
          <w:p w14:paraId="1D47A428" w14:textId="77777777" w:rsidR="00A052DC" w:rsidRDefault="009F0A60">
            <w:pPr>
              <w:pStyle w:val="B"/>
              <w:widowControl w:val="0"/>
              <w:rPr>
                <w:szCs w:val="20"/>
              </w:rPr>
            </w:pPr>
            <w:r>
              <w:rPr>
                <w:szCs w:val="20"/>
              </w:rPr>
              <w:t>H0116</w:t>
            </w:r>
          </w:p>
        </w:tc>
        <w:tc>
          <w:tcPr>
            <w:tcW w:w="1571" w:type="dxa"/>
            <w:shd w:val="clear" w:color="auto" w:fill="auto"/>
          </w:tcPr>
          <w:p w14:paraId="607166F9" w14:textId="77777777" w:rsidR="00A052DC" w:rsidRDefault="009F0A60">
            <w:pPr>
              <w:pStyle w:val="B"/>
              <w:widowControl w:val="0"/>
              <w:rPr>
                <w:szCs w:val="20"/>
              </w:rPr>
            </w:pPr>
            <w:r>
              <w:rPr>
                <w:rFonts w:hint="eastAsia"/>
                <w:szCs w:val="20"/>
              </w:rPr>
              <w:t>本月卖出</w:t>
            </w:r>
            <w:r>
              <w:rPr>
                <w:szCs w:val="20"/>
              </w:rPr>
              <w:t>/</w:t>
            </w:r>
            <w:r>
              <w:rPr>
                <w:rFonts w:hint="eastAsia"/>
                <w:szCs w:val="20"/>
              </w:rPr>
              <w:t>赎回</w:t>
            </w:r>
            <w:r>
              <w:rPr>
                <w:szCs w:val="20"/>
              </w:rPr>
              <w:t>/(</w:t>
            </w:r>
            <w:r>
              <w:rPr>
                <w:rFonts w:hint="eastAsia"/>
                <w:szCs w:val="20"/>
              </w:rPr>
              <w:t>现金</w:t>
            </w:r>
            <w:r>
              <w:rPr>
                <w:szCs w:val="20"/>
              </w:rPr>
              <w:t>)</w:t>
            </w:r>
            <w:r>
              <w:rPr>
                <w:rFonts w:hint="eastAsia"/>
                <w:szCs w:val="20"/>
              </w:rPr>
              <w:t>结算收款额</w:t>
            </w:r>
          </w:p>
        </w:tc>
        <w:tc>
          <w:tcPr>
            <w:tcW w:w="1348" w:type="dxa"/>
            <w:shd w:val="clear" w:color="auto" w:fill="auto"/>
          </w:tcPr>
          <w:p w14:paraId="7988537E" w14:textId="77777777" w:rsidR="00A052DC" w:rsidRDefault="009F0A60">
            <w:pPr>
              <w:pStyle w:val="B"/>
              <w:widowControl w:val="0"/>
              <w:rPr>
                <w:szCs w:val="20"/>
              </w:rPr>
            </w:pPr>
            <w:r>
              <w:rPr>
                <w:rFonts w:hint="eastAsia"/>
                <w:szCs w:val="20"/>
              </w:rPr>
              <w:t>数值型，</w:t>
            </w:r>
            <w:r>
              <w:rPr>
                <w:szCs w:val="20"/>
              </w:rPr>
              <w:t>22.2</w:t>
            </w:r>
          </w:p>
        </w:tc>
        <w:tc>
          <w:tcPr>
            <w:tcW w:w="4161" w:type="dxa"/>
            <w:shd w:val="clear" w:color="auto" w:fill="auto"/>
          </w:tcPr>
          <w:p w14:paraId="7DF7FE55" w14:textId="77777777" w:rsidR="00A052DC" w:rsidRDefault="009F0A60">
            <w:pPr>
              <w:pStyle w:val="B"/>
              <w:widowControl w:val="0"/>
              <w:rPr>
                <w:szCs w:val="20"/>
              </w:rPr>
            </w:pPr>
            <w:r>
              <w:rPr>
                <w:rFonts w:hint="eastAsia"/>
                <w:szCs w:val="20"/>
              </w:rPr>
              <w:t>必填项，必须≥</w:t>
            </w:r>
            <w:r>
              <w:rPr>
                <w:szCs w:val="20"/>
              </w:rPr>
              <w:t>0</w:t>
            </w:r>
            <w:r>
              <w:rPr>
                <w:rFonts w:hint="eastAsia"/>
                <w:szCs w:val="20"/>
              </w:rPr>
              <w:t>。</w:t>
            </w:r>
          </w:p>
        </w:tc>
      </w:tr>
      <w:tr w:rsidR="00A052DC" w14:paraId="6BBD8D00" w14:textId="77777777">
        <w:tc>
          <w:tcPr>
            <w:tcW w:w="1347" w:type="dxa"/>
            <w:shd w:val="clear" w:color="auto" w:fill="auto"/>
          </w:tcPr>
          <w:p w14:paraId="45AE4EA2" w14:textId="77777777" w:rsidR="00A052DC" w:rsidRDefault="009F0A60">
            <w:pPr>
              <w:pStyle w:val="B"/>
              <w:widowControl w:val="0"/>
              <w:rPr>
                <w:szCs w:val="20"/>
              </w:rPr>
            </w:pPr>
            <w:r>
              <w:rPr>
                <w:szCs w:val="20"/>
              </w:rPr>
              <w:t>H0116AMT</w:t>
            </w:r>
          </w:p>
        </w:tc>
        <w:tc>
          <w:tcPr>
            <w:tcW w:w="1571" w:type="dxa"/>
            <w:shd w:val="clear" w:color="auto" w:fill="auto"/>
          </w:tcPr>
          <w:p w14:paraId="4B0B8573" w14:textId="77777777" w:rsidR="00A052DC" w:rsidRDefault="009F0A60">
            <w:pPr>
              <w:pStyle w:val="B"/>
              <w:widowControl w:val="0"/>
              <w:rPr>
                <w:szCs w:val="20"/>
              </w:rPr>
            </w:pPr>
            <w:r>
              <w:rPr>
                <w:rFonts w:hint="eastAsia"/>
                <w:szCs w:val="20"/>
              </w:rPr>
              <w:t>本月卖出</w:t>
            </w:r>
            <w:r>
              <w:rPr>
                <w:szCs w:val="20"/>
              </w:rPr>
              <w:t>/</w:t>
            </w:r>
            <w:r>
              <w:rPr>
                <w:rFonts w:hint="eastAsia"/>
                <w:szCs w:val="20"/>
              </w:rPr>
              <w:t>赎回</w:t>
            </w:r>
            <w:r>
              <w:rPr>
                <w:szCs w:val="20"/>
              </w:rPr>
              <w:t>/(</w:t>
            </w:r>
            <w:r>
              <w:rPr>
                <w:rFonts w:hint="eastAsia"/>
                <w:szCs w:val="20"/>
              </w:rPr>
              <w:t>现金</w:t>
            </w:r>
            <w:r>
              <w:rPr>
                <w:szCs w:val="20"/>
              </w:rPr>
              <w:t>)</w:t>
            </w:r>
            <w:r>
              <w:rPr>
                <w:rFonts w:hint="eastAsia"/>
                <w:szCs w:val="20"/>
              </w:rPr>
              <w:t>结算收款额其中：债券到期或提前兑付的本息金额</w:t>
            </w:r>
          </w:p>
        </w:tc>
        <w:tc>
          <w:tcPr>
            <w:tcW w:w="1348" w:type="dxa"/>
            <w:shd w:val="clear" w:color="auto" w:fill="auto"/>
          </w:tcPr>
          <w:p w14:paraId="140B7C80" w14:textId="77777777" w:rsidR="00A052DC" w:rsidRDefault="009F0A60">
            <w:pPr>
              <w:pStyle w:val="B"/>
              <w:widowControl w:val="0"/>
              <w:rPr>
                <w:szCs w:val="20"/>
              </w:rPr>
            </w:pPr>
            <w:r>
              <w:rPr>
                <w:rFonts w:hint="eastAsia"/>
                <w:szCs w:val="20"/>
              </w:rPr>
              <w:t>数值型，</w:t>
            </w:r>
            <w:r>
              <w:rPr>
                <w:szCs w:val="20"/>
              </w:rPr>
              <w:t>22.2</w:t>
            </w:r>
          </w:p>
        </w:tc>
        <w:tc>
          <w:tcPr>
            <w:tcW w:w="4161" w:type="dxa"/>
            <w:shd w:val="clear" w:color="auto" w:fill="auto"/>
          </w:tcPr>
          <w:p w14:paraId="17B3E74F" w14:textId="77777777" w:rsidR="00A052DC" w:rsidRDefault="009F0A60">
            <w:pPr>
              <w:pStyle w:val="B"/>
              <w:widowControl w:val="0"/>
              <w:rPr>
                <w:szCs w:val="20"/>
              </w:rPr>
            </w:pPr>
            <w:r>
              <w:rPr>
                <w:rFonts w:hint="eastAsia"/>
                <w:szCs w:val="20"/>
              </w:rPr>
              <w:t>非必填项。当</w:t>
            </w:r>
            <w:r>
              <w:rPr>
                <w:szCs w:val="20"/>
              </w:rPr>
              <w:t>H0105=16</w:t>
            </w:r>
            <w:r>
              <w:rPr>
                <w:rFonts w:hint="eastAsia"/>
                <w:szCs w:val="20"/>
              </w:rPr>
              <w:t>、</w:t>
            </w:r>
            <w:r>
              <w:rPr>
                <w:szCs w:val="20"/>
              </w:rPr>
              <w:t>17</w:t>
            </w:r>
            <w:r>
              <w:rPr>
                <w:rFonts w:hint="eastAsia"/>
                <w:szCs w:val="20"/>
              </w:rPr>
              <w:t>、</w:t>
            </w:r>
            <w:r>
              <w:rPr>
                <w:szCs w:val="20"/>
              </w:rPr>
              <w:t>18</w:t>
            </w:r>
            <w:r>
              <w:rPr>
                <w:rFonts w:hint="eastAsia"/>
                <w:szCs w:val="20"/>
              </w:rPr>
              <w:t>、</w:t>
            </w:r>
            <w:r>
              <w:rPr>
                <w:szCs w:val="20"/>
              </w:rPr>
              <w:t>19</w:t>
            </w:r>
            <w:r>
              <w:rPr>
                <w:rFonts w:hint="eastAsia"/>
                <w:szCs w:val="20"/>
              </w:rPr>
              <w:t>、21、22或23时，必须≥0。当H0105=11、12、13、14、</w:t>
            </w:r>
            <w:r>
              <w:rPr>
                <w:szCs w:val="20"/>
              </w:rPr>
              <w:t>15</w:t>
            </w:r>
            <w:r>
              <w:rPr>
                <w:rFonts w:hint="eastAsia"/>
                <w:szCs w:val="20"/>
              </w:rPr>
              <w:t>、20或24时，该项为空。</w:t>
            </w:r>
          </w:p>
        </w:tc>
      </w:tr>
      <w:tr w:rsidR="00A052DC" w14:paraId="309C8848" w14:textId="77777777">
        <w:tc>
          <w:tcPr>
            <w:tcW w:w="1347" w:type="dxa"/>
            <w:shd w:val="clear" w:color="auto" w:fill="auto"/>
          </w:tcPr>
          <w:p w14:paraId="61D727E4" w14:textId="77777777" w:rsidR="00A052DC" w:rsidRDefault="009F0A60">
            <w:pPr>
              <w:pStyle w:val="B"/>
              <w:widowControl w:val="0"/>
              <w:rPr>
                <w:szCs w:val="20"/>
              </w:rPr>
            </w:pPr>
            <w:r>
              <w:rPr>
                <w:szCs w:val="20"/>
              </w:rPr>
              <w:t>H0117</w:t>
            </w:r>
          </w:p>
        </w:tc>
        <w:tc>
          <w:tcPr>
            <w:tcW w:w="1571" w:type="dxa"/>
            <w:shd w:val="clear" w:color="auto" w:fill="auto"/>
          </w:tcPr>
          <w:p w14:paraId="16224F71" w14:textId="77777777" w:rsidR="00A052DC" w:rsidRDefault="009F0A60">
            <w:pPr>
              <w:pStyle w:val="B"/>
              <w:widowControl w:val="0"/>
              <w:rPr>
                <w:szCs w:val="20"/>
              </w:rPr>
            </w:pPr>
            <w:r>
              <w:rPr>
                <w:rFonts w:hint="eastAsia"/>
                <w:szCs w:val="20"/>
              </w:rPr>
              <w:t>本月非交易变动</w:t>
            </w:r>
          </w:p>
        </w:tc>
        <w:tc>
          <w:tcPr>
            <w:tcW w:w="1348" w:type="dxa"/>
            <w:shd w:val="clear" w:color="auto" w:fill="auto"/>
          </w:tcPr>
          <w:p w14:paraId="3D4E4DF6" w14:textId="77777777" w:rsidR="00A052DC" w:rsidRDefault="009F0A60">
            <w:pPr>
              <w:pStyle w:val="B"/>
              <w:widowControl w:val="0"/>
              <w:rPr>
                <w:szCs w:val="20"/>
              </w:rPr>
            </w:pPr>
            <w:r>
              <w:rPr>
                <w:rFonts w:hint="eastAsia"/>
                <w:szCs w:val="20"/>
              </w:rPr>
              <w:t>数值型，</w:t>
            </w:r>
            <w:r>
              <w:rPr>
                <w:szCs w:val="20"/>
              </w:rPr>
              <w:t>22.2</w:t>
            </w:r>
          </w:p>
        </w:tc>
        <w:tc>
          <w:tcPr>
            <w:tcW w:w="4161" w:type="dxa"/>
            <w:shd w:val="clear" w:color="auto" w:fill="auto"/>
          </w:tcPr>
          <w:p w14:paraId="00119AC8" w14:textId="77777777" w:rsidR="00A052DC" w:rsidRDefault="009F0A60">
            <w:pPr>
              <w:pStyle w:val="B"/>
              <w:widowControl w:val="0"/>
              <w:rPr>
                <w:szCs w:val="20"/>
              </w:rPr>
            </w:pPr>
            <w:r>
              <w:rPr>
                <w:rFonts w:hint="eastAsia"/>
                <w:szCs w:val="20"/>
              </w:rPr>
              <w:t>必填项，必须满足：</w:t>
            </w:r>
          </w:p>
          <w:p w14:paraId="3E6B97EA" w14:textId="77777777" w:rsidR="00A052DC" w:rsidRDefault="009F0A60">
            <w:pPr>
              <w:pStyle w:val="B"/>
              <w:widowControl w:val="0"/>
              <w:rPr>
                <w:szCs w:val="20"/>
              </w:rPr>
            </w:pPr>
            <w:r>
              <w:rPr>
                <w:szCs w:val="20"/>
              </w:rPr>
              <w:t>H0117=H0120-H0114-</w:t>
            </w:r>
            <w:r>
              <w:rPr>
                <w:rFonts w:hint="eastAsia"/>
                <w:szCs w:val="20"/>
              </w:rPr>
              <w:t>（</w:t>
            </w:r>
            <w:r>
              <w:rPr>
                <w:szCs w:val="20"/>
              </w:rPr>
              <w:t>H0115-H0116</w:t>
            </w:r>
            <w:r>
              <w:rPr>
                <w:rFonts w:hint="eastAsia"/>
                <w:szCs w:val="20"/>
              </w:rPr>
              <w:t>）。</w:t>
            </w:r>
          </w:p>
          <w:p w14:paraId="40AFBAC2" w14:textId="77777777" w:rsidR="00A052DC" w:rsidRDefault="009F0A60">
            <w:pPr>
              <w:pStyle w:val="B"/>
              <w:widowControl w:val="0"/>
              <w:rPr>
                <w:szCs w:val="20"/>
              </w:rPr>
            </w:pPr>
            <w:r>
              <w:rPr>
                <w:szCs w:val="20"/>
              </w:rPr>
              <w:t>H0117=H0118+H0119</w:t>
            </w:r>
            <w:r>
              <w:rPr>
                <w:rFonts w:hint="eastAsia"/>
                <w:szCs w:val="20"/>
              </w:rPr>
              <w:t>。</w:t>
            </w:r>
          </w:p>
        </w:tc>
      </w:tr>
      <w:tr w:rsidR="00A052DC" w14:paraId="56570BB8" w14:textId="77777777">
        <w:tc>
          <w:tcPr>
            <w:tcW w:w="1347" w:type="dxa"/>
            <w:shd w:val="clear" w:color="auto" w:fill="auto"/>
          </w:tcPr>
          <w:p w14:paraId="002509E7" w14:textId="77777777" w:rsidR="00A052DC" w:rsidRDefault="009F0A60">
            <w:pPr>
              <w:pStyle w:val="B"/>
              <w:widowControl w:val="0"/>
              <w:rPr>
                <w:szCs w:val="20"/>
              </w:rPr>
            </w:pPr>
            <w:r>
              <w:rPr>
                <w:szCs w:val="20"/>
              </w:rPr>
              <w:t>H0118</w:t>
            </w:r>
          </w:p>
        </w:tc>
        <w:tc>
          <w:tcPr>
            <w:tcW w:w="1571" w:type="dxa"/>
            <w:shd w:val="clear" w:color="auto" w:fill="auto"/>
          </w:tcPr>
          <w:p w14:paraId="27F98AEE" w14:textId="77777777" w:rsidR="00A052DC" w:rsidRDefault="009F0A60">
            <w:pPr>
              <w:pStyle w:val="B"/>
              <w:widowControl w:val="0"/>
              <w:rPr>
                <w:szCs w:val="20"/>
              </w:rPr>
            </w:pPr>
            <w:r>
              <w:rPr>
                <w:rFonts w:hint="eastAsia"/>
              </w:rPr>
              <w:t>注销</w:t>
            </w:r>
            <w:r>
              <w:rPr>
                <w:rFonts w:hint="eastAsia"/>
                <w:szCs w:val="20"/>
              </w:rPr>
              <w:t>、调整</w:t>
            </w:r>
            <w:r>
              <w:rPr>
                <w:rFonts w:hint="eastAsia"/>
              </w:rPr>
              <w:t>或重新分类至其他项目统计的金额</w:t>
            </w:r>
          </w:p>
        </w:tc>
        <w:tc>
          <w:tcPr>
            <w:tcW w:w="1348" w:type="dxa"/>
            <w:shd w:val="clear" w:color="auto" w:fill="auto"/>
          </w:tcPr>
          <w:p w14:paraId="2B53A627" w14:textId="77777777" w:rsidR="00A052DC" w:rsidRDefault="009F0A60">
            <w:pPr>
              <w:pStyle w:val="B"/>
              <w:widowControl w:val="0"/>
              <w:rPr>
                <w:szCs w:val="20"/>
              </w:rPr>
            </w:pPr>
            <w:r>
              <w:rPr>
                <w:rFonts w:hint="eastAsia"/>
                <w:szCs w:val="20"/>
              </w:rPr>
              <w:t>数值型，</w:t>
            </w:r>
            <w:r>
              <w:rPr>
                <w:szCs w:val="20"/>
              </w:rPr>
              <w:t>22.2</w:t>
            </w:r>
          </w:p>
        </w:tc>
        <w:tc>
          <w:tcPr>
            <w:tcW w:w="4161" w:type="dxa"/>
            <w:shd w:val="clear" w:color="auto" w:fill="auto"/>
          </w:tcPr>
          <w:p w14:paraId="4319F84A" w14:textId="77777777" w:rsidR="00A052DC" w:rsidRDefault="009F0A60">
            <w:pPr>
              <w:pStyle w:val="B"/>
              <w:widowControl w:val="0"/>
              <w:rPr>
                <w:szCs w:val="20"/>
              </w:rPr>
            </w:pPr>
            <w:r>
              <w:rPr>
                <w:rFonts w:hint="eastAsia"/>
                <w:szCs w:val="20"/>
              </w:rPr>
              <w:t>必填项。</w:t>
            </w:r>
          </w:p>
        </w:tc>
      </w:tr>
      <w:tr w:rsidR="00A052DC" w14:paraId="6D0F5888" w14:textId="77777777">
        <w:tc>
          <w:tcPr>
            <w:tcW w:w="1347" w:type="dxa"/>
            <w:shd w:val="clear" w:color="auto" w:fill="auto"/>
          </w:tcPr>
          <w:p w14:paraId="64696DB4" w14:textId="77777777" w:rsidR="00A052DC" w:rsidRDefault="009F0A60">
            <w:pPr>
              <w:pStyle w:val="B"/>
              <w:widowControl w:val="0"/>
              <w:rPr>
                <w:szCs w:val="20"/>
              </w:rPr>
            </w:pPr>
            <w:r>
              <w:rPr>
                <w:szCs w:val="20"/>
              </w:rPr>
              <w:t>H0119</w:t>
            </w:r>
          </w:p>
        </w:tc>
        <w:tc>
          <w:tcPr>
            <w:tcW w:w="1571" w:type="dxa"/>
            <w:shd w:val="clear" w:color="auto" w:fill="auto"/>
          </w:tcPr>
          <w:p w14:paraId="3BA286C1" w14:textId="77777777" w:rsidR="00A052DC" w:rsidRDefault="009F0A60">
            <w:pPr>
              <w:pStyle w:val="B"/>
              <w:widowControl w:val="0"/>
              <w:rPr>
                <w:szCs w:val="20"/>
              </w:rPr>
            </w:pPr>
            <w:r>
              <w:rPr>
                <w:rFonts w:hint="eastAsia"/>
              </w:rPr>
              <w:t>价值重估因素</w:t>
            </w:r>
          </w:p>
        </w:tc>
        <w:tc>
          <w:tcPr>
            <w:tcW w:w="1348" w:type="dxa"/>
            <w:shd w:val="clear" w:color="auto" w:fill="auto"/>
          </w:tcPr>
          <w:p w14:paraId="65187752" w14:textId="77777777" w:rsidR="00A052DC" w:rsidRDefault="009F0A60">
            <w:pPr>
              <w:pStyle w:val="B"/>
              <w:widowControl w:val="0"/>
              <w:rPr>
                <w:szCs w:val="20"/>
              </w:rPr>
            </w:pPr>
            <w:r>
              <w:rPr>
                <w:rFonts w:hint="eastAsia"/>
                <w:szCs w:val="20"/>
              </w:rPr>
              <w:t>数值型，</w:t>
            </w:r>
            <w:r>
              <w:rPr>
                <w:szCs w:val="20"/>
              </w:rPr>
              <w:t>22.2</w:t>
            </w:r>
          </w:p>
        </w:tc>
        <w:tc>
          <w:tcPr>
            <w:tcW w:w="4161" w:type="dxa"/>
            <w:shd w:val="clear" w:color="auto" w:fill="auto"/>
          </w:tcPr>
          <w:p w14:paraId="76A6837D" w14:textId="77777777" w:rsidR="00A052DC" w:rsidRDefault="009F0A60">
            <w:pPr>
              <w:pStyle w:val="B"/>
              <w:widowControl w:val="0"/>
              <w:rPr>
                <w:szCs w:val="20"/>
              </w:rPr>
            </w:pPr>
            <w:r>
              <w:rPr>
                <w:rFonts w:hint="eastAsia"/>
                <w:szCs w:val="20"/>
              </w:rPr>
              <w:t>必填项。</w:t>
            </w:r>
          </w:p>
        </w:tc>
      </w:tr>
      <w:tr w:rsidR="00A052DC" w14:paraId="02C28617" w14:textId="77777777">
        <w:tc>
          <w:tcPr>
            <w:tcW w:w="1347" w:type="dxa"/>
            <w:shd w:val="clear" w:color="auto" w:fill="auto"/>
          </w:tcPr>
          <w:p w14:paraId="00C438A5" w14:textId="77777777" w:rsidR="00A052DC" w:rsidRDefault="009F0A60">
            <w:pPr>
              <w:pStyle w:val="B"/>
              <w:widowControl w:val="0"/>
              <w:rPr>
                <w:szCs w:val="20"/>
              </w:rPr>
            </w:pPr>
            <w:r>
              <w:rPr>
                <w:szCs w:val="20"/>
              </w:rPr>
              <w:t>H0120</w:t>
            </w:r>
          </w:p>
        </w:tc>
        <w:tc>
          <w:tcPr>
            <w:tcW w:w="1571" w:type="dxa"/>
            <w:shd w:val="clear" w:color="auto" w:fill="auto"/>
          </w:tcPr>
          <w:p w14:paraId="02BDC053" w14:textId="77777777" w:rsidR="00A052DC" w:rsidRDefault="009F0A60">
            <w:pPr>
              <w:pStyle w:val="B"/>
              <w:widowControl w:val="0"/>
              <w:rPr>
                <w:szCs w:val="20"/>
              </w:rPr>
            </w:pPr>
            <w:r>
              <w:rPr>
                <w:rFonts w:hint="eastAsia"/>
                <w:szCs w:val="20"/>
              </w:rPr>
              <w:t>本月末市值</w:t>
            </w:r>
          </w:p>
        </w:tc>
        <w:tc>
          <w:tcPr>
            <w:tcW w:w="1348" w:type="dxa"/>
            <w:shd w:val="clear" w:color="auto" w:fill="auto"/>
          </w:tcPr>
          <w:p w14:paraId="4487F457" w14:textId="77777777" w:rsidR="00A052DC" w:rsidRDefault="009F0A60">
            <w:pPr>
              <w:pStyle w:val="B"/>
              <w:widowControl w:val="0"/>
              <w:rPr>
                <w:szCs w:val="20"/>
              </w:rPr>
            </w:pPr>
            <w:r>
              <w:rPr>
                <w:rFonts w:hint="eastAsia"/>
                <w:szCs w:val="20"/>
              </w:rPr>
              <w:t>数值型，</w:t>
            </w:r>
            <w:r>
              <w:rPr>
                <w:szCs w:val="20"/>
              </w:rPr>
              <w:t>22.2</w:t>
            </w:r>
          </w:p>
        </w:tc>
        <w:tc>
          <w:tcPr>
            <w:tcW w:w="4161" w:type="dxa"/>
            <w:shd w:val="clear" w:color="auto" w:fill="auto"/>
          </w:tcPr>
          <w:p w14:paraId="2EB577D2" w14:textId="77777777" w:rsidR="00A052DC" w:rsidRDefault="009F0A60">
            <w:pPr>
              <w:pStyle w:val="B"/>
              <w:widowControl w:val="0"/>
              <w:rPr>
                <w:szCs w:val="20"/>
              </w:rPr>
            </w:pPr>
            <w:r>
              <w:rPr>
                <w:rFonts w:hint="eastAsia"/>
                <w:szCs w:val="20"/>
              </w:rPr>
              <w:t>必填项。</w:t>
            </w:r>
          </w:p>
        </w:tc>
      </w:tr>
      <w:tr w:rsidR="00A052DC" w14:paraId="64884032" w14:textId="77777777">
        <w:tc>
          <w:tcPr>
            <w:tcW w:w="1347" w:type="dxa"/>
            <w:shd w:val="clear" w:color="auto" w:fill="auto"/>
          </w:tcPr>
          <w:p w14:paraId="7B9EC8D0" w14:textId="77777777" w:rsidR="00A052DC" w:rsidRDefault="009F0A60">
            <w:pPr>
              <w:pStyle w:val="B"/>
              <w:widowControl w:val="0"/>
              <w:rPr>
                <w:szCs w:val="20"/>
              </w:rPr>
            </w:pPr>
            <w:r>
              <w:rPr>
                <w:szCs w:val="20"/>
              </w:rPr>
              <w:t>H0121</w:t>
            </w:r>
          </w:p>
        </w:tc>
        <w:tc>
          <w:tcPr>
            <w:tcW w:w="1571" w:type="dxa"/>
            <w:shd w:val="clear" w:color="auto" w:fill="auto"/>
          </w:tcPr>
          <w:p w14:paraId="158AD711" w14:textId="77777777" w:rsidR="00A052DC" w:rsidRDefault="009F0A60">
            <w:pPr>
              <w:pStyle w:val="B"/>
              <w:widowControl w:val="0"/>
              <w:rPr>
                <w:szCs w:val="20"/>
              </w:rPr>
            </w:pPr>
            <w:r>
              <w:rPr>
                <w:rFonts w:hint="eastAsia"/>
              </w:rPr>
              <w:t>本月末市值其中</w:t>
            </w:r>
            <w:r>
              <w:rPr>
                <w:rFonts w:hint="eastAsia"/>
                <w:szCs w:val="20"/>
              </w:rPr>
              <w:t>：</w:t>
            </w:r>
            <w:r>
              <w:rPr>
                <w:rFonts w:hint="eastAsia"/>
              </w:rPr>
              <w:t>剩余期限在一年及以下</w:t>
            </w:r>
          </w:p>
        </w:tc>
        <w:tc>
          <w:tcPr>
            <w:tcW w:w="1348" w:type="dxa"/>
            <w:shd w:val="clear" w:color="auto" w:fill="auto"/>
          </w:tcPr>
          <w:p w14:paraId="0A696931" w14:textId="77777777" w:rsidR="00A052DC" w:rsidRDefault="009F0A60">
            <w:pPr>
              <w:pStyle w:val="B"/>
              <w:widowControl w:val="0"/>
              <w:rPr>
                <w:szCs w:val="20"/>
              </w:rPr>
            </w:pPr>
            <w:r>
              <w:rPr>
                <w:rFonts w:hint="eastAsia"/>
              </w:rPr>
              <w:t>数值型，</w:t>
            </w:r>
            <w:r>
              <w:t>22.2</w:t>
            </w:r>
          </w:p>
        </w:tc>
        <w:tc>
          <w:tcPr>
            <w:tcW w:w="4161" w:type="dxa"/>
            <w:shd w:val="clear" w:color="auto" w:fill="auto"/>
          </w:tcPr>
          <w:p w14:paraId="08F53141" w14:textId="77777777" w:rsidR="00A052DC" w:rsidRDefault="009F0A60">
            <w:pPr>
              <w:rPr>
                <w:rFonts w:ascii="黑体" w:eastAsia="黑体" w:hAnsi="黑体"/>
                <w:sz w:val="20"/>
                <w:szCs w:val="20"/>
              </w:rPr>
            </w:pPr>
            <w:r>
              <w:rPr>
                <w:rFonts w:ascii="黑体" w:eastAsia="黑体" w:hAnsi="黑体" w:hint="eastAsia"/>
                <w:kern w:val="0"/>
                <w:sz w:val="20"/>
                <w:szCs w:val="20"/>
              </w:rPr>
              <w:t>必填项。当</w:t>
            </w:r>
            <w:r>
              <w:rPr>
                <w:rFonts w:ascii="黑体" w:eastAsia="黑体" w:hAnsi="黑体"/>
                <w:kern w:val="0"/>
                <w:sz w:val="20"/>
                <w:szCs w:val="20"/>
              </w:rPr>
              <w:t>H0105=16</w:t>
            </w:r>
            <w:r>
              <w:rPr>
                <w:rFonts w:ascii="黑体" w:eastAsia="黑体" w:hAnsi="黑体" w:hint="eastAsia"/>
                <w:kern w:val="0"/>
                <w:sz w:val="20"/>
                <w:szCs w:val="20"/>
              </w:rPr>
              <w:t>、</w:t>
            </w:r>
            <w:r>
              <w:rPr>
                <w:rFonts w:ascii="黑体" w:eastAsia="黑体" w:hAnsi="黑体"/>
                <w:kern w:val="0"/>
                <w:sz w:val="20"/>
                <w:szCs w:val="20"/>
              </w:rPr>
              <w:t>17</w:t>
            </w:r>
            <w:r>
              <w:rPr>
                <w:rFonts w:ascii="黑体" w:eastAsia="黑体" w:hAnsi="黑体" w:hint="eastAsia"/>
                <w:kern w:val="0"/>
                <w:sz w:val="20"/>
                <w:szCs w:val="20"/>
              </w:rPr>
              <w:t>、</w:t>
            </w:r>
            <w:r>
              <w:rPr>
                <w:rFonts w:ascii="黑体" w:eastAsia="黑体" w:hAnsi="黑体"/>
                <w:kern w:val="0"/>
                <w:sz w:val="20"/>
                <w:szCs w:val="20"/>
              </w:rPr>
              <w:t>18</w:t>
            </w:r>
            <w:r>
              <w:rPr>
                <w:rFonts w:ascii="黑体" w:eastAsia="黑体" w:hAnsi="黑体" w:hint="eastAsia"/>
                <w:kern w:val="0"/>
                <w:sz w:val="20"/>
                <w:szCs w:val="20"/>
              </w:rPr>
              <w:t>、</w:t>
            </w:r>
            <w:r>
              <w:rPr>
                <w:rFonts w:ascii="黑体" w:eastAsia="黑体" w:hAnsi="黑体"/>
                <w:kern w:val="0"/>
                <w:sz w:val="20"/>
                <w:szCs w:val="20"/>
              </w:rPr>
              <w:t>19</w:t>
            </w:r>
            <w:r>
              <w:rPr>
                <w:rFonts w:ascii="黑体" w:eastAsia="黑体" w:hAnsi="黑体" w:hint="eastAsia"/>
                <w:kern w:val="0"/>
                <w:sz w:val="20"/>
                <w:szCs w:val="20"/>
              </w:rPr>
              <w:t>、</w:t>
            </w:r>
            <w:r>
              <w:rPr>
                <w:rFonts w:ascii="黑体" w:eastAsia="黑体" w:hAnsi="黑体"/>
                <w:kern w:val="0"/>
                <w:sz w:val="20"/>
                <w:szCs w:val="20"/>
              </w:rPr>
              <w:t>21、22或23</w:t>
            </w:r>
            <w:r>
              <w:rPr>
                <w:rFonts w:ascii="黑体" w:eastAsia="黑体" w:hAnsi="黑体" w:hint="eastAsia"/>
                <w:kern w:val="0"/>
                <w:sz w:val="20"/>
                <w:szCs w:val="20"/>
              </w:rPr>
              <w:t>时，且</w:t>
            </w:r>
            <w:r>
              <w:rPr>
                <w:rFonts w:ascii="黑体" w:eastAsia="黑体" w:hAnsi="黑体"/>
                <w:kern w:val="0"/>
                <w:sz w:val="20"/>
                <w:szCs w:val="20"/>
              </w:rPr>
              <w:t>H112=1</w:t>
            </w:r>
            <w:r>
              <w:rPr>
                <w:rFonts w:ascii="黑体" w:eastAsia="黑体" w:hAnsi="黑体" w:hint="eastAsia"/>
                <w:kern w:val="0"/>
                <w:sz w:val="20"/>
                <w:szCs w:val="20"/>
              </w:rPr>
              <w:t>时，</w:t>
            </w:r>
            <w:r>
              <w:rPr>
                <w:rFonts w:ascii="黑体" w:eastAsia="黑体" w:hAnsi="黑体"/>
                <w:kern w:val="0"/>
                <w:sz w:val="20"/>
                <w:szCs w:val="20"/>
              </w:rPr>
              <w:t>H0120=H0121</w:t>
            </w:r>
            <w:r>
              <w:rPr>
                <w:rFonts w:ascii="黑体" w:eastAsia="黑体" w:hAnsi="黑体" w:hint="eastAsia"/>
                <w:kern w:val="0"/>
                <w:sz w:val="20"/>
                <w:szCs w:val="20"/>
              </w:rPr>
              <w:t>。</w:t>
            </w:r>
          </w:p>
          <w:p w14:paraId="416F43C9" w14:textId="77777777" w:rsidR="00A052DC" w:rsidRDefault="009F0A60">
            <w:pPr>
              <w:rPr>
                <w:rFonts w:ascii="黑体" w:eastAsia="黑体" w:hAnsi="黑体"/>
                <w:kern w:val="0"/>
                <w:sz w:val="20"/>
                <w:szCs w:val="20"/>
                <w:highlight w:val="yellow"/>
              </w:rPr>
            </w:pPr>
            <w:r>
              <w:rPr>
                <w:rFonts w:ascii="黑体" w:eastAsia="黑体" w:hAnsi="黑体" w:hint="eastAsia"/>
                <w:sz w:val="20"/>
                <w:szCs w:val="20"/>
              </w:rPr>
              <w:t>当</w:t>
            </w:r>
            <w:r>
              <w:rPr>
                <w:rFonts w:ascii="黑体" w:eastAsia="黑体" w:hAnsi="黑体"/>
                <w:sz w:val="20"/>
                <w:szCs w:val="20"/>
              </w:rPr>
              <w:t>H0105=11、12、13、14</w:t>
            </w:r>
            <w:r>
              <w:rPr>
                <w:rFonts w:ascii="黑体" w:eastAsia="黑体" w:hAnsi="黑体" w:hint="eastAsia"/>
                <w:sz w:val="20"/>
                <w:szCs w:val="20"/>
              </w:rPr>
              <w:t>、</w:t>
            </w:r>
            <w:r>
              <w:rPr>
                <w:rFonts w:ascii="黑体" w:eastAsia="黑体" w:hAnsi="黑体"/>
                <w:sz w:val="20"/>
                <w:szCs w:val="20"/>
              </w:rPr>
              <w:t>15</w:t>
            </w:r>
            <w:r>
              <w:rPr>
                <w:rFonts w:ascii="黑体" w:eastAsia="黑体" w:hAnsi="黑体" w:hint="eastAsia"/>
                <w:sz w:val="20"/>
                <w:szCs w:val="20"/>
              </w:rPr>
              <w:t>、</w:t>
            </w:r>
            <w:r>
              <w:rPr>
                <w:rFonts w:ascii="黑体" w:eastAsia="黑体" w:hAnsi="黑体"/>
                <w:sz w:val="20"/>
                <w:szCs w:val="20"/>
              </w:rPr>
              <w:t>20</w:t>
            </w:r>
            <w:r>
              <w:rPr>
                <w:rFonts w:ascii="黑体" w:eastAsia="黑体" w:hAnsi="黑体" w:hint="eastAsia"/>
                <w:sz w:val="20"/>
                <w:szCs w:val="20"/>
              </w:rPr>
              <w:t>或</w:t>
            </w:r>
            <w:r>
              <w:rPr>
                <w:rFonts w:ascii="黑体" w:eastAsia="黑体" w:hAnsi="黑体"/>
                <w:sz w:val="20"/>
                <w:szCs w:val="20"/>
              </w:rPr>
              <w:t>24时，该项为0。</w:t>
            </w:r>
          </w:p>
        </w:tc>
      </w:tr>
      <w:tr w:rsidR="00A052DC" w14:paraId="123ED43C" w14:textId="77777777">
        <w:tc>
          <w:tcPr>
            <w:tcW w:w="1347" w:type="dxa"/>
            <w:shd w:val="clear" w:color="auto" w:fill="auto"/>
          </w:tcPr>
          <w:p w14:paraId="5A13B79F" w14:textId="77777777" w:rsidR="00A052DC" w:rsidRDefault="009F0A60">
            <w:pPr>
              <w:pStyle w:val="B"/>
              <w:widowControl w:val="0"/>
              <w:rPr>
                <w:szCs w:val="20"/>
              </w:rPr>
            </w:pPr>
            <w:r>
              <w:rPr>
                <w:szCs w:val="20"/>
              </w:rPr>
              <w:t>H0122</w:t>
            </w:r>
          </w:p>
        </w:tc>
        <w:tc>
          <w:tcPr>
            <w:tcW w:w="1571" w:type="dxa"/>
            <w:shd w:val="clear" w:color="auto" w:fill="auto"/>
          </w:tcPr>
          <w:p w14:paraId="41783976" w14:textId="77777777" w:rsidR="00A052DC" w:rsidRDefault="009F0A60">
            <w:pPr>
              <w:pStyle w:val="B"/>
              <w:widowControl w:val="0"/>
              <w:rPr>
                <w:szCs w:val="20"/>
              </w:rPr>
            </w:pPr>
            <w:r>
              <w:rPr>
                <w:rFonts w:hint="eastAsia"/>
                <w:szCs w:val="20"/>
              </w:rPr>
              <w:t>本月红利或利息收入</w:t>
            </w:r>
          </w:p>
        </w:tc>
        <w:tc>
          <w:tcPr>
            <w:tcW w:w="1348" w:type="dxa"/>
            <w:shd w:val="clear" w:color="auto" w:fill="auto"/>
          </w:tcPr>
          <w:p w14:paraId="3C413085" w14:textId="77777777" w:rsidR="00A052DC" w:rsidRDefault="009F0A60">
            <w:pPr>
              <w:pStyle w:val="B"/>
              <w:widowControl w:val="0"/>
              <w:rPr>
                <w:szCs w:val="20"/>
              </w:rPr>
            </w:pPr>
            <w:r>
              <w:rPr>
                <w:rFonts w:hint="eastAsia"/>
                <w:szCs w:val="20"/>
              </w:rPr>
              <w:t>数值型，</w:t>
            </w:r>
            <w:r>
              <w:rPr>
                <w:szCs w:val="20"/>
              </w:rPr>
              <w:t>22.2</w:t>
            </w:r>
          </w:p>
        </w:tc>
        <w:tc>
          <w:tcPr>
            <w:tcW w:w="4161" w:type="dxa"/>
            <w:shd w:val="clear" w:color="auto" w:fill="auto"/>
          </w:tcPr>
          <w:p w14:paraId="2BEF3130" w14:textId="77777777" w:rsidR="00A052DC" w:rsidRDefault="009F0A60">
            <w:pPr>
              <w:pStyle w:val="B"/>
              <w:widowControl w:val="0"/>
              <w:rPr>
                <w:szCs w:val="20"/>
              </w:rPr>
            </w:pPr>
            <w:r>
              <w:rPr>
                <w:rFonts w:hint="eastAsia"/>
                <w:szCs w:val="20"/>
              </w:rPr>
              <w:t>必填项。</w:t>
            </w:r>
          </w:p>
        </w:tc>
      </w:tr>
      <w:tr w:rsidR="00A052DC" w14:paraId="2A0E35CA" w14:textId="77777777">
        <w:tc>
          <w:tcPr>
            <w:tcW w:w="1347" w:type="dxa"/>
            <w:shd w:val="clear" w:color="auto" w:fill="auto"/>
          </w:tcPr>
          <w:p w14:paraId="0F60B474" w14:textId="77777777" w:rsidR="00A052DC" w:rsidRDefault="009F0A60">
            <w:pPr>
              <w:pStyle w:val="B"/>
              <w:widowControl w:val="0"/>
              <w:rPr>
                <w:szCs w:val="20"/>
              </w:rPr>
            </w:pPr>
            <w:r>
              <w:rPr>
                <w:szCs w:val="20"/>
              </w:rPr>
              <w:t>H0123</w:t>
            </w:r>
          </w:p>
        </w:tc>
        <w:tc>
          <w:tcPr>
            <w:tcW w:w="1571" w:type="dxa"/>
            <w:shd w:val="clear" w:color="auto" w:fill="auto"/>
          </w:tcPr>
          <w:p w14:paraId="0BF77187" w14:textId="77777777" w:rsidR="00A052DC" w:rsidRDefault="009F0A60">
            <w:pPr>
              <w:pStyle w:val="B"/>
              <w:widowControl w:val="0"/>
              <w:rPr>
                <w:szCs w:val="20"/>
              </w:rPr>
            </w:pPr>
            <w:r>
              <w:rPr>
                <w:rFonts w:hint="eastAsia"/>
                <w:szCs w:val="20"/>
              </w:rPr>
              <w:t>本月未实现收益（仅适用于货币市场基金份额）</w:t>
            </w:r>
          </w:p>
        </w:tc>
        <w:tc>
          <w:tcPr>
            <w:tcW w:w="1348" w:type="dxa"/>
            <w:shd w:val="clear" w:color="auto" w:fill="auto"/>
          </w:tcPr>
          <w:p w14:paraId="2ECB020A" w14:textId="77777777" w:rsidR="00A052DC" w:rsidRDefault="009F0A60">
            <w:pPr>
              <w:pStyle w:val="B"/>
              <w:widowControl w:val="0"/>
              <w:rPr>
                <w:szCs w:val="20"/>
              </w:rPr>
            </w:pPr>
            <w:r>
              <w:rPr>
                <w:rFonts w:hint="eastAsia"/>
                <w:szCs w:val="20"/>
              </w:rPr>
              <w:t>数值型，</w:t>
            </w:r>
            <w:r>
              <w:rPr>
                <w:szCs w:val="20"/>
              </w:rPr>
              <w:t>22.2</w:t>
            </w:r>
          </w:p>
        </w:tc>
        <w:tc>
          <w:tcPr>
            <w:tcW w:w="4161" w:type="dxa"/>
            <w:shd w:val="clear" w:color="auto" w:fill="auto"/>
          </w:tcPr>
          <w:p w14:paraId="3D1A03BD" w14:textId="77777777" w:rsidR="00A052DC" w:rsidRDefault="009F0A60">
            <w:pPr>
              <w:pStyle w:val="B"/>
              <w:rPr>
                <w:szCs w:val="20"/>
              </w:rPr>
            </w:pPr>
            <w:r>
              <w:rPr>
                <w:rFonts w:hint="eastAsia"/>
                <w:szCs w:val="20"/>
              </w:rPr>
              <w:t>必填项。当</w:t>
            </w:r>
            <w:r>
              <w:rPr>
                <w:szCs w:val="20"/>
              </w:rPr>
              <w:t>H0105=13</w:t>
            </w:r>
            <w:r>
              <w:rPr>
                <w:rFonts w:hint="eastAsia"/>
                <w:szCs w:val="20"/>
              </w:rPr>
              <w:t>时，必须≥</w:t>
            </w:r>
            <w:r>
              <w:rPr>
                <w:szCs w:val="20"/>
              </w:rPr>
              <w:t>0</w:t>
            </w:r>
            <w:r>
              <w:rPr>
                <w:rFonts w:hint="eastAsia"/>
                <w:szCs w:val="20"/>
              </w:rPr>
              <w:t>。当</w:t>
            </w:r>
            <w:r>
              <w:rPr>
                <w:szCs w:val="20"/>
              </w:rPr>
              <w:t>H0105</w:t>
            </w:r>
            <w:r>
              <w:rPr>
                <w:rFonts w:hint="eastAsia"/>
                <w:szCs w:val="20"/>
              </w:rPr>
              <w:t>≠</w:t>
            </w:r>
            <w:r>
              <w:rPr>
                <w:szCs w:val="20"/>
              </w:rPr>
              <w:t>13</w:t>
            </w:r>
            <w:r>
              <w:rPr>
                <w:rFonts w:hint="eastAsia"/>
                <w:szCs w:val="20"/>
              </w:rPr>
              <w:t>时，则为</w:t>
            </w:r>
            <w:r>
              <w:rPr>
                <w:szCs w:val="20"/>
              </w:rPr>
              <w:t>0</w:t>
            </w:r>
            <w:r>
              <w:rPr>
                <w:rFonts w:hint="eastAsia"/>
                <w:szCs w:val="20"/>
              </w:rPr>
              <w:t>。</w:t>
            </w:r>
          </w:p>
        </w:tc>
      </w:tr>
      <w:tr w:rsidR="00A052DC" w14:paraId="42985247" w14:textId="77777777">
        <w:tc>
          <w:tcPr>
            <w:tcW w:w="1347" w:type="dxa"/>
            <w:shd w:val="clear" w:color="auto" w:fill="auto"/>
          </w:tcPr>
          <w:p w14:paraId="7E324ED6" w14:textId="77777777" w:rsidR="00A052DC" w:rsidRDefault="009F0A60">
            <w:pPr>
              <w:pStyle w:val="B"/>
              <w:widowControl w:val="0"/>
              <w:rPr>
                <w:szCs w:val="20"/>
              </w:rPr>
            </w:pPr>
            <w:r>
              <w:rPr>
                <w:szCs w:val="20"/>
              </w:rPr>
              <w:t>H0124</w:t>
            </w:r>
          </w:p>
        </w:tc>
        <w:tc>
          <w:tcPr>
            <w:tcW w:w="1571" w:type="dxa"/>
            <w:shd w:val="clear" w:color="auto" w:fill="auto"/>
          </w:tcPr>
          <w:p w14:paraId="6B075A61" w14:textId="77777777" w:rsidR="00A052DC" w:rsidRDefault="009F0A60">
            <w:pPr>
              <w:pStyle w:val="B"/>
              <w:widowControl w:val="0"/>
              <w:rPr>
                <w:szCs w:val="20"/>
              </w:rPr>
            </w:pPr>
            <w:r>
              <w:rPr>
                <w:rFonts w:hint="eastAsia"/>
                <w:szCs w:val="20"/>
              </w:rPr>
              <w:t>金融衍生产品的名义本金币种</w:t>
            </w:r>
          </w:p>
        </w:tc>
        <w:tc>
          <w:tcPr>
            <w:tcW w:w="1348" w:type="dxa"/>
            <w:shd w:val="clear" w:color="auto" w:fill="auto"/>
          </w:tcPr>
          <w:p w14:paraId="14233826" w14:textId="77777777" w:rsidR="00A052DC" w:rsidRDefault="009F0A60">
            <w:pPr>
              <w:pStyle w:val="B"/>
              <w:widowControl w:val="0"/>
              <w:rPr>
                <w:szCs w:val="20"/>
              </w:rPr>
            </w:pPr>
            <w:r>
              <w:rPr>
                <w:rFonts w:hint="eastAsia"/>
                <w:szCs w:val="20"/>
              </w:rPr>
              <w:t>字符型，</w:t>
            </w:r>
            <w:r>
              <w:rPr>
                <w:szCs w:val="20"/>
              </w:rPr>
              <w:t>3</w:t>
            </w:r>
          </w:p>
        </w:tc>
        <w:tc>
          <w:tcPr>
            <w:tcW w:w="4161" w:type="dxa"/>
            <w:shd w:val="clear" w:color="auto" w:fill="auto"/>
          </w:tcPr>
          <w:p w14:paraId="262DB57D" w14:textId="77777777" w:rsidR="00A052DC" w:rsidRDefault="009F0A60">
            <w:pPr>
              <w:pStyle w:val="B"/>
              <w:rPr>
                <w:szCs w:val="20"/>
              </w:rPr>
            </w:pPr>
            <w:r>
              <w:rPr>
                <w:rFonts w:hint="eastAsia"/>
                <w:szCs w:val="20"/>
              </w:rPr>
              <w:t>必填项。当</w:t>
            </w:r>
            <w:r>
              <w:rPr>
                <w:szCs w:val="20"/>
              </w:rPr>
              <w:t>H0105=15</w:t>
            </w:r>
            <w:r>
              <w:rPr>
                <w:rFonts w:hint="eastAsia"/>
                <w:szCs w:val="20"/>
              </w:rPr>
              <w:t>时，见币种代码表。当</w:t>
            </w:r>
            <w:r>
              <w:rPr>
                <w:szCs w:val="20"/>
              </w:rPr>
              <w:t>H0105</w:t>
            </w:r>
            <w:r>
              <w:rPr>
                <w:rFonts w:hint="eastAsia"/>
                <w:szCs w:val="20"/>
              </w:rPr>
              <w:t>≠</w:t>
            </w:r>
            <w:r>
              <w:rPr>
                <w:szCs w:val="20"/>
              </w:rPr>
              <w:t>15</w:t>
            </w:r>
            <w:r>
              <w:rPr>
                <w:rFonts w:hint="eastAsia"/>
                <w:szCs w:val="20"/>
              </w:rPr>
              <w:t>时，填“</w:t>
            </w:r>
            <w:r>
              <w:rPr>
                <w:szCs w:val="20"/>
              </w:rPr>
              <w:t>N/A</w:t>
            </w:r>
            <w:r>
              <w:rPr>
                <w:rFonts w:hint="eastAsia"/>
                <w:szCs w:val="20"/>
              </w:rPr>
              <w:t>”。</w:t>
            </w:r>
          </w:p>
        </w:tc>
      </w:tr>
      <w:tr w:rsidR="00A052DC" w14:paraId="460EF437" w14:textId="77777777">
        <w:tc>
          <w:tcPr>
            <w:tcW w:w="1347" w:type="dxa"/>
            <w:shd w:val="clear" w:color="auto" w:fill="auto"/>
          </w:tcPr>
          <w:p w14:paraId="68994DC6" w14:textId="77777777" w:rsidR="00A052DC" w:rsidRDefault="009F0A60">
            <w:pPr>
              <w:pStyle w:val="B"/>
              <w:widowControl w:val="0"/>
              <w:rPr>
                <w:szCs w:val="20"/>
              </w:rPr>
            </w:pPr>
            <w:r>
              <w:rPr>
                <w:szCs w:val="20"/>
              </w:rPr>
              <w:t>H0125</w:t>
            </w:r>
          </w:p>
        </w:tc>
        <w:tc>
          <w:tcPr>
            <w:tcW w:w="1571" w:type="dxa"/>
            <w:shd w:val="clear" w:color="auto" w:fill="auto"/>
          </w:tcPr>
          <w:p w14:paraId="5C4998EB" w14:textId="77777777" w:rsidR="00A052DC" w:rsidRDefault="009F0A60">
            <w:pPr>
              <w:pStyle w:val="B"/>
              <w:widowControl w:val="0"/>
              <w:rPr>
                <w:szCs w:val="20"/>
              </w:rPr>
            </w:pPr>
            <w:r>
              <w:rPr>
                <w:rFonts w:hint="eastAsia"/>
                <w:szCs w:val="20"/>
              </w:rPr>
              <w:t>金融衍生产品的本月末名义本金金额</w:t>
            </w:r>
          </w:p>
        </w:tc>
        <w:tc>
          <w:tcPr>
            <w:tcW w:w="1348" w:type="dxa"/>
            <w:shd w:val="clear" w:color="auto" w:fill="auto"/>
          </w:tcPr>
          <w:p w14:paraId="0E7C501B" w14:textId="77777777" w:rsidR="00A052DC" w:rsidRDefault="009F0A60">
            <w:pPr>
              <w:pStyle w:val="B"/>
              <w:widowControl w:val="0"/>
              <w:rPr>
                <w:szCs w:val="20"/>
              </w:rPr>
            </w:pPr>
            <w:r>
              <w:rPr>
                <w:rFonts w:hint="eastAsia"/>
                <w:szCs w:val="20"/>
              </w:rPr>
              <w:t>数值型，</w:t>
            </w:r>
            <w:r>
              <w:rPr>
                <w:szCs w:val="20"/>
              </w:rPr>
              <w:t>22.2</w:t>
            </w:r>
          </w:p>
        </w:tc>
        <w:tc>
          <w:tcPr>
            <w:tcW w:w="4161" w:type="dxa"/>
            <w:shd w:val="clear" w:color="auto" w:fill="auto"/>
          </w:tcPr>
          <w:p w14:paraId="5219E264" w14:textId="77777777" w:rsidR="00A052DC" w:rsidRDefault="009F0A60">
            <w:pPr>
              <w:pStyle w:val="B"/>
              <w:rPr>
                <w:szCs w:val="20"/>
              </w:rPr>
            </w:pPr>
            <w:r>
              <w:rPr>
                <w:rFonts w:hint="eastAsia"/>
                <w:szCs w:val="20"/>
              </w:rPr>
              <w:t>必填项。当</w:t>
            </w:r>
            <w:r>
              <w:rPr>
                <w:szCs w:val="20"/>
              </w:rPr>
              <w:t>H0105=15</w:t>
            </w:r>
            <w:r>
              <w:rPr>
                <w:rFonts w:hint="eastAsia"/>
                <w:szCs w:val="20"/>
              </w:rPr>
              <w:t>时，必须≥</w:t>
            </w:r>
            <w:r>
              <w:rPr>
                <w:szCs w:val="20"/>
              </w:rPr>
              <w:t>0</w:t>
            </w:r>
            <w:r>
              <w:rPr>
                <w:rFonts w:hint="eastAsia"/>
                <w:szCs w:val="20"/>
              </w:rPr>
              <w:t>。当</w:t>
            </w:r>
            <w:r>
              <w:rPr>
                <w:szCs w:val="20"/>
              </w:rPr>
              <w:t>H0105</w:t>
            </w:r>
            <w:r>
              <w:rPr>
                <w:rFonts w:hint="eastAsia"/>
                <w:szCs w:val="20"/>
              </w:rPr>
              <w:t>≠</w:t>
            </w:r>
            <w:r>
              <w:rPr>
                <w:szCs w:val="20"/>
              </w:rPr>
              <w:t>15</w:t>
            </w:r>
            <w:r>
              <w:rPr>
                <w:rFonts w:hint="eastAsia"/>
                <w:szCs w:val="20"/>
              </w:rPr>
              <w:t>时，本字段为</w:t>
            </w:r>
            <w:r>
              <w:rPr>
                <w:szCs w:val="20"/>
              </w:rPr>
              <w:t>0</w:t>
            </w:r>
            <w:r>
              <w:rPr>
                <w:rFonts w:hint="eastAsia"/>
                <w:szCs w:val="20"/>
              </w:rPr>
              <w:t>。</w:t>
            </w:r>
          </w:p>
        </w:tc>
      </w:tr>
      <w:tr w:rsidR="00A052DC" w14:paraId="1F5BFDC3" w14:textId="77777777">
        <w:tc>
          <w:tcPr>
            <w:tcW w:w="1347" w:type="dxa"/>
            <w:shd w:val="clear" w:color="auto" w:fill="auto"/>
          </w:tcPr>
          <w:p w14:paraId="46BBAC4F" w14:textId="77777777" w:rsidR="00A052DC" w:rsidRDefault="009F0A60">
            <w:pPr>
              <w:pStyle w:val="B"/>
              <w:widowControl w:val="0"/>
              <w:rPr>
                <w:szCs w:val="20"/>
              </w:rPr>
            </w:pPr>
            <w:r>
              <w:rPr>
                <w:szCs w:val="20"/>
              </w:rPr>
              <w:t>H0126</w:t>
            </w:r>
          </w:p>
        </w:tc>
        <w:tc>
          <w:tcPr>
            <w:tcW w:w="1571" w:type="dxa"/>
            <w:shd w:val="clear" w:color="auto" w:fill="auto"/>
          </w:tcPr>
          <w:p w14:paraId="28CE33BC" w14:textId="77777777" w:rsidR="00A052DC" w:rsidRDefault="009F0A60">
            <w:pPr>
              <w:pStyle w:val="B"/>
              <w:widowControl w:val="0"/>
              <w:rPr>
                <w:szCs w:val="20"/>
              </w:rPr>
            </w:pPr>
            <w:r>
              <w:rPr>
                <w:rFonts w:hAnsi="宋体" w:hint="eastAsia"/>
                <w:color w:val="000000"/>
              </w:rPr>
              <w:t>本月末未到期/未偿付债券面值</w:t>
            </w:r>
          </w:p>
        </w:tc>
        <w:tc>
          <w:tcPr>
            <w:tcW w:w="1348" w:type="dxa"/>
            <w:shd w:val="clear" w:color="auto" w:fill="auto"/>
          </w:tcPr>
          <w:p w14:paraId="09A36F65" w14:textId="77777777" w:rsidR="00A052DC" w:rsidRDefault="009F0A60">
            <w:pPr>
              <w:pStyle w:val="B"/>
              <w:widowControl w:val="0"/>
              <w:rPr>
                <w:szCs w:val="20"/>
              </w:rPr>
            </w:pPr>
            <w:r>
              <w:rPr>
                <w:rFonts w:hint="eastAsia"/>
                <w:szCs w:val="20"/>
              </w:rPr>
              <w:t>数值型，</w:t>
            </w:r>
            <w:r>
              <w:rPr>
                <w:szCs w:val="20"/>
              </w:rPr>
              <w:t>22.2</w:t>
            </w:r>
          </w:p>
        </w:tc>
        <w:tc>
          <w:tcPr>
            <w:tcW w:w="4161" w:type="dxa"/>
            <w:shd w:val="clear" w:color="auto" w:fill="auto"/>
          </w:tcPr>
          <w:p w14:paraId="5DF51CBA" w14:textId="77777777" w:rsidR="00A052DC" w:rsidRDefault="009F0A60">
            <w:pPr>
              <w:pStyle w:val="B"/>
              <w:widowControl w:val="0"/>
              <w:rPr>
                <w:szCs w:val="20"/>
              </w:rPr>
            </w:pPr>
            <w:r>
              <w:rPr>
                <w:rFonts w:hint="eastAsia"/>
                <w:szCs w:val="20"/>
              </w:rPr>
              <w:t>非必填项。当</w:t>
            </w:r>
            <w:r>
              <w:rPr>
                <w:szCs w:val="20"/>
              </w:rPr>
              <w:t>H0105=16</w:t>
            </w:r>
            <w:r>
              <w:rPr>
                <w:rFonts w:hint="eastAsia"/>
                <w:szCs w:val="20"/>
              </w:rPr>
              <w:t>、</w:t>
            </w:r>
            <w:r>
              <w:rPr>
                <w:szCs w:val="20"/>
              </w:rPr>
              <w:t>17</w:t>
            </w:r>
            <w:r>
              <w:rPr>
                <w:rFonts w:hint="eastAsia"/>
                <w:szCs w:val="20"/>
              </w:rPr>
              <w:t>、</w:t>
            </w:r>
            <w:r>
              <w:rPr>
                <w:szCs w:val="20"/>
              </w:rPr>
              <w:t>18</w:t>
            </w:r>
            <w:r>
              <w:rPr>
                <w:rFonts w:hint="eastAsia"/>
                <w:szCs w:val="20"/>
              </w:rPr>
              <w:t>、</w:t>
            </w:r>
            <w:r>
              <w:rPr>
                <w:szCs w:val="20"/>
              </w:rPr>
              <w:t>19</w:t>
            </w:r>
            <w:r>
              <w:rPr>
                <w:rFonts w:hint="eastAsia"/>
                <w:szCs w:val="20"/>
              </w:rPr>
              <w:t>、21、22或23时，必须≥0。当H0105=11、12、13、</w:t>
            </w:r>
            <w:r>
              <w:rPr>
                <w:szCs w:val="20"/>
              </w:rPr>
              <w:t>14</w:t>
            </w:r>
            <w:r>
              <w:rPr>
                <w:rFonts w:hint="eastAsia"/>
                <w:szCs w:val="20"/>
              </w:rPr>
              <w:t>、</w:t>
            </w:r>
            <w:r>
              <w:rPr>
                <w:szCs w:val="20"/>
              </w:rPr>
              <w:t>15</w:t>
            </w:r>
            <w:r>
              <w:rPr>
                <w:rFonts w:hint="eastAsia"/>
                <w:szCs w:val="20"/>
              </w:rPr>
              <w:t>、20或24时，该项为0。</w:t>
            </w:r>
          </w:p>
        </w:tc>
      </w:tr>
      <w:tr w:rsidR="00A052DC" w14:paraId="62197AE2" w14:textId="77777777">
        <w:tc>
          <w:tcPr>
            <w:tcW w:w="1347" w:type="dxa"/>
            <w:shd w:val="clear" w:color="auto" w:fill="auto"/>
          </w:tcPr>
          <w:p w14:paraId="2722F4CA" w14:textId="77777777" w:rsidR="00A052DC" w:rsidRDefault="009F0A60">
            <w:pPr>
              <w:pStyle w:val="B"/>
              <w:widowControl w:val="0"/>
              <w:rPr>
                <w:szCs w:val="20"/>
              </w:rPr>
            </w:pPr>
            <w:r>
              <w:rPr>
                <w:szCs w:val="20"/>
              </w:rPr>
              <w:t>REMARK</w:t>
            </w:r>
          </w:p>
        </w:tc>
        <w:tc>
          <w:tcPr>
            <w:tcW w:w="1571" w:type="dxa"/>
            <w:shd w:val="clear" w:color="auto" w:fill="auto"/>
          </w:tcPr>
          <w:p w14:paraId="03159FC9" w14:textId="77777777" w:rsidR="00A052DC" w:rsidRDefault="009F0A60">
            <w:pPr>
              <w:pStyle w:val="B"/>
              <w:widowControl w:val="0"/>
              <w:rPr>
                <w:szCs w:val="20"/>
              </w:rPr>
            </w:pPr>
            <w:r>
              <w:rPr>
                <w:rFonts w:hint="eastAsia"/>
                <w:szCs w:val="20"/>
              </w:rPr>
              <w:t>备注</w:t>
            </w:r>
          </w:p>
        </w:tc>
        <w:tc>
          <w:tcPr>
            <w:tcW w:w="1348" w:type="dxa"/>
            <w:shd w:val="clear" w:color="auto" w:fill="auto"/>
          </w:tcPr>
          <w:p w14:paraId="6F9F908C" w14:textId="77777777" w:rsidR="00A052DC" w:rsidRDefault="009F0A60">
            <w:pPr>
              <w:pStyle w:val="B"/>
              <w:widowControl w:val="0"/>
              <w:rPr>
                <w:szCs w:val="20"/>
              </w:rPr>
            </w:pPr>
            <w:r>
              <w:rPr>
                <w:rFonts w:hint="eastAsia"/>
                <w:szCs w:val="20"/>
              </w:rPr>
              <w:t>字符型，</w:t>
            </w:r>
            <w:r>
              <w:rPr>
                <w:szCs w:val="20"/>
              </w:rPr>
              <w:t>512</w:t>
            </w:r>
          </w:p>
        </w:tc>
        <w:tc>
          <w:tcPr>
            <w:tcW w:w="4161" w:type="dxa"/>
            <w:shd w:val="clear" w:color="auto" w:fill="auto"/>
          </w:tcPr>
          <w:p w14:paraId="57794358" w14:textId="77777777" w:rsidR="00A052DC" w:rsidRDefault="009F0A60">
            <w:pPr>
              <w:pStyle w:val="B"/>
              <w:widowControl w:val="0"/>
              <w:rPr>
                <w:szCs w:val="20"/>
              </w:rPr>
            </w:pPr>
            <w:r>
              <w:rPr>
                <w:rFonts w:hint="eastAsia"/>
                <w:szCs w:val="20"/>
              </w:rPr>
              <w:t>当</w:t>
            </w:r>
            <w:r>
              <w:rPr>
                <w:szCs w:val="20"/>
              </w:rPr>
              <w:t>H0</w:t>
            </w:r>
            <w:r>
              <w:rPr>
                <w:rFonts w:hint="eastAsia"/>
                <w:szCs w:val="20"/>
              </w:rPr>
              <w:t>1</w:t>
            </w:r>
            <w:r>
              <w:rPr>
                <w:szCs w:val="20"/>
              </w:rPr>
              <w:t>0</w:t>
            </w:r>
            <w:r>
              <w:rPr>
                <w:rFonts w:hint="eastAsia"/>
                <w:szCs w:val="20"/>
              </w:rPr>
              <w:t>5≠</w:t>
            </w:r>
            <w:r>
              <w:rPr>
                <w:szCs w:val="20"/>
              </w:rPr>
              <w:t>15</w:t>
            </w:r>
            <w:r>
              <w:rPr>
                <w:rFonts w:hint="eastAsia"/>
                <w:szCs w:val="20"/>
              </w:rPr>
              <w:t>时，H0114、H0120、H0121和</w:t>
            </w:r>
            <w:r>
              <w:rPr>
                <w:szCs w:val="20"/>
              </w:rPr>
              <w:t>H0122</w:t>
            </w:r>
            <w:r>
              <w:rPr>
                <w:rFonts w:hint="eastAsia"/>
                <w:szCs w:val="20"/>
              </w:rPr>
              <w:t>中任一项</w:t>
            </w:r>
            <w:r>
              <w:rPr>
                <w:szCs w:val="20"/>
              </w:rPr>
              <w:t>为负数</w:t>
            </w:r>
            <w:r>
              <w:rPr>
                <w:rFonts w:hint="eastAsia"/>
                <w:szCs w:val="20"/>
              </w:rPr>
              <w:t>为必填项。</w:t>
            </w:r>
          </w:p>
        </w:tc>
      </w:tr>
    </w:tbl>
    <w:p w14:paraId="068C09DF" w14:textId="77777777" w:rsidR="00A052DC" w:rsidRDefault="00A052DC">
      <w:pPr>
        <w:ind w:firstLine="480"/>
      </w:pPr>
    </w:p>
    <w:p w14:paraId="4563545A" w14:textId="77777777" w:rsidR="00A052DC" w:rsidRDefault="009F0A60" w:rsidP="0020251D">
      <w:pPr>
        <w:pStyle w:val="3"/>
        <w:ind w:left="0"/>
        <w:rPr>
          <w:rFonts w:ascii="Times New Roman" w:hAnsi="Times New Roman"/>
        </w:rPr>
      </w:pPr>
      <w:bookmarkStart w:id="3659" w:name="_Toc317756151"/>
      <w:bookmarkStart w:id="3660" w:name="_Toc380356305"/>
      <w:bookmarkStart w:id="3661" w:name="_Toc380571009"/>
      <w:bookmarkStart w:id="3662" w:name="_Toc91455336"/>
      <w:bookmarkStart w:id="3663" w:name="_Toc454391460"/>
      <w:bookmarkStart w:id="3664" w:name="_Toc328635589"/>
      <w:bookmarkStart w:id="3665" w:name="_Toc101684509"/>
      <w:r>
        <w:rPr>
          <w:rFonts w:ascii="Times New Roman" w:hAnsi="Times New Roman"/>
        </w:rPr>
        <w:t>H02</w:t>
      </w:r>
      <w:r>
        <w:rPr>
          <w:rFonts w:ascii="Times New Roman" w:hAnsi="Times New Roman" w:hint="eastAsia"/>
        </w:rPr>
        <w:t>表：为居民托管业务统计（</w:t>
      </w:r>
      <w:r>
        <w:rPr>
          <w:rFonts w:ascii="Times New Roman" w:hAnsi="Times New Roman" w:hint="eastAsia"/>
        </w:rPr>
        <w:t>QDII/RQDII/QDLP/QDIE</w:t>
      </w:r>
      <w:r>
        <w:rPr>
          <w:rFonts w:ascii="Times New Roman" w:hAnsi="Times New Roman" w:hint="eastAsia"/>
        </w:rPr>
        <w:t>等）</w:t>
      </w:r>
      <w:bookmarkEnd w:id="3659"/>
      <w:bookmarkEnd w:id="3660"/>
      <w:bookmarkEnd w:id="3661"/>
      <w:bookmarkEnd w:id="3662"/>
      <w:bookmarkEnd w:id="3663"/>
      <w:bookmarkEnd w:id="3664"/>
      <w:bookmarkEnd w:id="3665"/>
    </w:p>
    <w:p w14:paraId="0EA7DE36" w14:textId="77777777" w:rsidR="00A052DC" w:rsidRDefault="009F0A60" w:rsidP="0020251D">
      <w:pPr>
        <w:pStyle w:val="4"/>
        <w:numPr>
          <w:ilvl w:val="3"/>
          <w:numId w:val="1"/>
        </w:numPr>
        <w:jc w:val="left"/>
      </w:pPr>
      <w:bookmarkStart w:id="3666" w:name="_Toc454391461"/>
      <w:bookmarkStart w:id="3667" w:name="_Toc380571010"/>
      <w:r>
        <w:rPr>
          <w:rFonts w:hint="eastAsia"/>
        </w:rPr>
        <w:t>数据术语解释</w:t>
      </w:r>
      <w:bookmarkEnd w:id="3666"/>
      <w:bookmarkEnd w:id="366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6379"/>
      </w:tblGrid>
      <w:tr w:rsidR="00A052DC" w14:paraId="6EB5E235" w14:textId="77777777">
        <w:trPr>
          <w:cantSplit/>
        </w:trPr>
        <w:tc>
          <w:tcPr>
            <w:tcW w:w="2093" w:type="dxa"/>
          </w:tcPr>
          <w:p w14:paraId="5904651A" w14:textId="77777777" w:rsidR="00A052DC" w:rsidRDefault="009F0A60">
            <w:pPr>
              <w:jc w:val="center"/>
              <w:rPr>
                <w:rFonts w:ascii="黑体" w:eastAsia="黑体" w:hAnsi="黑体"/>
                <w:b/>
                <w:sz w:val="20"/>
                <w:szCs w:val="20"/>
              </w:rPr>
            </w:pPr>
            <w:r>
              <w:rPr>
                <w:rFonts w:ascii="黑体" w:eastAsia="黑体" w:hAnsi="黑体" w:hint="eastAsia"/>
                <w:b/>
                <w:sz w:val="20"/>
                <w:szCs w:val="20"/>
              </w:rPr>
              <w:t>基础数据项</w:t>
            </w:r>
          </w:p>
        </w:tc>
        <w:tc>
          <w:tcPr>
            <w:tcW w:w="6379" w:type="dxa"/>
          </w:tcPr>
          <w:p w14:paraId="18A78C16" w14:textId="77777777" w:rsidR="00A052DC" w:rsidRDefault="009F0A60">
            <w:pPr>
              <w:jc w:val="center"/>
              <w:rPr>
                <w:rFonts w:ascii="黑体" w:eastAsia="黑体" w:hAnsi="黑体"/>
                <w:b/>
                <w:sz w:val="20"/>
                <w:szCs w:val="20"/>
              </w:rPr>
            </w:pPr>
            <w:r>
              <w:rPr>
                <w:rFonts w:ascii="黑体" w:eastAsia="黑体" w:hAnsi="黑体" w:hint="eastAsia"/>
                <w:b/>
                <w:sz w:val="20"/>
                <w:szCs w:val="20"/>
              </w:rPr>
              <w:t>定义</w:t>
            </w:r>
          </w:p>
        </w:tc>
      </w:tr>
      <w:tr w:rsidR="00A052DC" w14:paraId="3FEC7731" w14:textId="77777777">
        <w:trPr>
          <w:cantSplit/>
        </w:trPr>
        <w:tc>
          <w:tcPr>
            <w:tcW w:w="2093" w:type="dxa"/>
          </w:tcPr>
          <w:p w14:paraId="52B410A0" w14:textId="77777777" w:rsidR="00A052DC" w:rsidRDefault="009F0A60">
            <w:pPr>
              <w:rPr>
                <w:rFonts w:ascii="黑体" w:eastAsia="黑体" w:hAnsi="黑体"/>
                <w:sz w:val="20"/>
                <w:szCs w:val="20"/>
              </w:rPr>
            </w:pPr>
            <w:r>
              <w:rPr>
                <w:rFonts w:ascii="黑体" w:eastAsia="黑体" w:hAnsi="黑体" w:hint="eastAsia"/>
                <w:sz w:val="20"/>
                <w:szCs w:val="20"/>
              </w:rPr>
              <w:t>数据自编码</w:t>
            </w:r>
          </w:p>
        </w:tc>
        <w:tc>
          <w:tcPr>
            <w:tcW w:w="6379" w:type="dxa"/>
          </w:tcPr>
          <w:p w14:paraId="60EEB040" w14:textId="77777777" w:rsidR="00A052DC" w:rsidRDefault="009F0A60">
            <w:pPr>
              <w:rPr>
                <w:rFonts w:ascii="黑体" w:eastAsia="黑体" w:hAnsi="黑体"/>
                <w:sz w:val="20"/>
                <w:szCs w:val="20"/>
              </w:rPr>
            </w:pPr>
            <w:r>
              <w:rPr>
                <w:rFonts w:ascii="黑体" w:eastAsia="黑体" w:hAnsi="黑体" w:hint="eastAsia"/>
                <w:sz w:val="20"/>
                <w:szCs w:val="20"/>
              </w:rPr>
              <w:t>该编码用于标识金融机构报送的每一条数据，按给定规则编码，便于进行增删改查等操作。建议规则：机构代码（18位，不足18位补a）+报表代码（5位，不足5位补a）+报送期（6位）+顺序号（7位，从0000001开始增加）。</w:t>
            </w:r>
          </w:p>
        </w:tc>
      </w:tr>
      <w:tr w:rsidR="00A052DC" w14:paraId="288A84DE" w14:textId="77777777">
        <w:trPr>
          <w:cantSplit/>
        </w:trPr>
        <w:tc>
          <w:tcPr>
            <w:tcW w:w="2093" w:type="dxa"/>
          </w:tcPr>
          <w:p w14:paraId="6DA57AE0" w14:textId="77777777" w:rsidR="00A052DC" w:rsidRDefault="009F0A60">
            <w:pPr>
              <w:rPr>
                <w:rFonts w:ascii="黑体" w:eastAsia="黑体" w:hAnsi="黑体"/>
                <w:sz w:val="20"/>
                <w:szCs w:val="20"/>
              </w:rPr>
            </w:pPr>
            <w:r>
              <w:rPr>
                <w:rFonts w:ascii="黑体" w:eastAsia="黑体" w:hAnsi="黑体" w:hint="eastAsia"/>
                <w:sz w:val="20"/>
                <w:szCs w:val="20"/>
              </w:rPr>
              <w:t>申报主体代码</w:t>
            </w:r>
          </w:p>
        </w:tc>
        <w:tc>
          <w:tcPr>
            <w:tcW w:w="6379" w:type="dxa"/>
          </w:tcPr>
          <w:p w14:paraId="0067C8AF" w14:textId="77777777" w:rsidR="00A052DC" w:rsidRDefault="009F0A60">
            <w:pPr>
              <w:rPr>
                <w:rFonts w:ascii="黑体" w:eastAsia="黑体" w:hAnsi="黑体"/>
                <w:sz w:val="20"/>
                <w:szCs w:val="20"/>
              </w:rPr>
            </w:pPr>
            <w:r>
              <w:rPr>
                <w:rFonts w:ascii="黑体" w:eastAsia="黑体" w:hAnsi="黑体" w:hint="eastAsia"/>
                <w:sz w:val="20"/>
                <w:szCs w:val="20"/>
              </w:rPr>
              <w:t>申报主体的12位金融机构标识码，如果没有金融机构标识码，则填报统一社会信用代码法定载体（如营业执照）上统一社会信用代码中的第9至17位或国家外汇管理局及其分支局签发的特殊机构代码赋码通知书上的机构代码、个人身份代码。</w:t>
            </w:r>
          </w:p>
        </w:tc>
      </w:tr>
      <w:tr w:rsidR="00A052DC" w14:paraId="14CF883B" w14:textId="77777777">
        <w:trPr>
          <w:cantSplit/>
        </w:trPr>
        <w:tc>
          <w:tcPr>
            <w:tcW w:w="2093" w:type="dxa"/>
          </w:tcPr>
          <w:p w14:paraId="65180154" w14:textId="77777777" w:rsidR="00A052DC" w:rsidRDefault="009F0A60">
            <w:pPr>
              <w:rPr>
                <w:rFonts w:ascii="黑体" w:eastAsia="黑体" w:hAnsi="黑体"/>
                <w:sz w:val="20"/>
                <w:szCs w:val="20"/>
              </w:rPr>
            </w:pPr>
            <w:r>
              <w:rPr>
                <w:rFonts w:ascii="黑体" w:eastAsia="黑体" w:hAnsi="黑体" w:hint="eastAsia"/>
                <w:sz w:val="20"/>
                <w:szCs w:val="20"/>
              </w:rPr>
              <w:t>报告期</w:t>
            </w:r>
          </w:p>
        </w:tc>
        <w:tc>
          <w:tcPr>
            <w:tcW w:w="6379" w:type="dxa"/>
          </w:tcPr>
          <w:p w14:paraId="64F7E315" w14:textId="77777777" w:rsidR="00A052DC" w:rsidRDefault="009F0A60">
            <w:pPr>
              <w:rPr>
                <w:rFonts w:ascii="黑体" w:eastAsia="黑体" w:hAnsi="黑体"/>
                <w:sz w:val="20"/>
                <w:szCs w:val="20"/>
              </w:rPr>
            </w:pPr>
            <w:r>
              <w:rPr>
                <w:rFonts w:ascii="黑体" w:eastAsia="黑体" w:hAnsi="黑体" w:hint="eastAsia"/>
                <w:sz w:val="20"/>
                <w:szCs w:val="20"/>
              </w:rPr>
              <w:t>业务发生月份，格式为YYYYMM。</w:t>
            </w:r>
          </w:p>
        </w:tc>
      </w:tr>
      <w:tr w:rsidR="00A052DC" w14:paraId="25568C27" w14:textId="77777777">
        <w:trPr>
          <w:cantSplit/>
        </w:trPr>
        <w:tc>
          <w:tcPr>
            <w:tcW w:w="2093" w:type="dxa"/>
          </w:tcPr>
          <w:p w14:paraId="78A9EC9D" w14:textId="77777777" w:rsidR="00A052DC" w:rsidRDefault="009F0A60">
            <w:pPr>
              <w:rPr>
                <w:rFonts w:ascii="黑体" w:eastAsia="黑体" w:hAnsi="黑体"/>
                <w:sz w:val="20"/>
                <w:szCs w:val="20"/>
              </w:rPr>
            </w:pPr>
            <w:r>
              <w:rPr>
                <w:rFonts w:ascii="黑体" w:eastAsia="黑体" w:hAnsi="黑体" w:hint="eastAsia"/>
                <w:sz w:val="20"/>
                <w:szCs w:val="20"/>
              </w:rPr>
              <w:t>居民委托人代码</w:t>
            </w:r>
          </w:p>
        </w:tc>
        <w:tc>
          <w:tcPr>
            <w:tcW w:w="6379" w:type="dxa"/>
          </w:tcPr>
          <w:p w14:paraId="29E7312E" w14:textId="77777777" w:rsidR="00A052DC" w:rsidRDefault="009F0A60">
            <w:pPr>
              <w:rPr>
                <w:rFonts w:ascii="黑体" w:eastAsia="黑体" w:hAnsi="黑体"/>
                <w:sz w:val="20"/>
                <w:szCs w:val="20"/>
              </w:rPr>
            </w:pPr>
            <w:r>
              <w:rPr>
                <w:rFonts w:ascii="黑体" w:eastAsia="黑体" w:hAnsi="黑体" w:hint="eastAsia"/>
                <w:sz w:val="20"/>
                <w:szCs w:val="20"/>
              </w:rPr>
              <w:t>QDII/RQDII/QDLP/QDIE机构代码，如果QDII/RQDII/QDLP/QDIE机构为境内银行，则为国家外汇管理局及其分支局签发的银行12位金融机构标识码；如果QDII/RQDII/QDLP/QDIE机构为保险公司、基金管理公司、证券公司等机构，QDII/RQDII/QDLP/QDIE机构代码为</w:t>
            </w:r>
            <w:r>
              <w:rPr>
                <w:rFonts w:ascii="黑体" w:eastAsia="黑体" w:hint="eastAsia"/>
                <w:sz w:val="20"/>
                <w:szCs w:val="20"/>
              </w:rPr>
              <w:t>统一社会信用代码中的第9至17位</w:t>
            </w:r>
            <w:r>
              <w:rPr>
                <w:rFonts w:ascii="黑体" w:eastAsia="黑体" w:hAnsi="黑体" w:hint="eastAsia"/>
                <w:sz w:val="20"/>
                <w:szCs w:val="20"/>
              </w:rPr>
              <w:t>。</w:t>
            </w:r>
          </w:p>
        </w:tc>
      </w:tr>
      <w:tr w:rsidR="00A052DC" w14:paraId="697D9EF9" w14:textId="77777777">
        <w:trPr>
          <w:cantSplit/>
        </w:trPr>
        <w:tc>
          <w:tcPr>
            <w:tcW w:w="2093" w:type="dxa"/>
          </w:tcPr>
          <w:p w14:paraId="044B70DD" w14:textId="77777777" w:rsidR="00A052DC" w:rsidRDefault="009F0A60">
            <w:pPr>
              <w:rPr>
                <w:rFonts w:ascii="黑体" w:eastAsia="黑体" w:hAnsi="黑体"/>
                <w:sz w:val="20"/>
                <w:szCs w:val="20"/>
              </w:rPr>
            </w:pPr>
            <w:r>
              <w:rPr>
                <w:rFonts w:ascii="黑体" w:eastAsia="黑体" w:hAnsi="黑体" w:hint="eastAsia"/>
                <w:sz w:val="20"/>
                <w:szCs w:val="20"/>
              </w:rPr>
              <w:t>居民委托人名称</w:t>
            </w:r>
          </w:p>
        </w:tc>
        <w:tc>
          <w:tcPr>
            <w:tcW w:w="6379" w:type="dxa"/>
          </w:tcPr>
          <w:p w14:paraId="5D3586B4" w14:textId="77777777" w:rsidR="00A052DC" w:rsidRDefault="009F0A60">
            <w:pPr>
              <w:rPr>
                <w:rFonts w:ascii="黑体" w:eastAsia="黑体" w:hAnsi="黑体"/>
                <w:sz w:val="20"/>
                <w:szCs w:val="20"/>
              </w:rPr>
            </w:pPr>
            <w:r>
              <w:rPr>
                <w:rFonts w:ascii="黑体" w:eastAsia="黑体" w:hAnsi="黑体" w:hint="eastAsia"/>
                <w:sz w:val="20"/>
                <w:szCs w:val="20"/>
              </w:rPr>
              <w:t>指委托金融机构进行托管的居民机构（即QDII/RQDII/QDLP/QDIE机构）的英文或中文全称。</w:t>
            </w:r>
          </w:p>
        </w:tc>
      </w:tr>
      <w:tr w:rsidR="00A052DC" w14:paraId="57903A40" w14:textId="77777777">
        <w:trPr>
          <w:cantSplit/>
        </w:trPr>
        <w:tc>
          <w:tcPr>
            <w:tcW w:w="2093" w:type="dxa"/>
          </w:tcPr>
          <w:p w14:paraId="1348B2C4" w14:textId="77777777" w:rsidR="00A052DC" w:rsidRDefault="009F0A60">
            <w:pPr>
              <w:rPr>
                <w:rFonts w:ascii="黑体" w:eastAsia="黑体" w:hAnsi="黑体"/>
                <w:sz w:val="20"/>
                <w:szCs w:val="20"/>
              </w:rPr>
            </w:pPr>
            <w:r>
              <w:rPr>
                <w:rFonts w:ascii="黑体" w:eastAsia="黑体" w:hAnsi="黑体" w:hint="eastAsia"/>
                <w:sz w:val="20"/>
                <w:szCs w:val="20"/>
              </w:rPr>
              <w:t>居民委托人所属部门</w:t>
            </w:r>
          </w:p>
        </w:tc>
        <w:tc>
          <w:tcPr>
            <w:tcW w:w="6379" w:type="dxa"/>
          </w:tcPr>
          <w:p w14:paraId="66FEC9CA" w14:textId="77777777" w:rsidR="00A052DC" w:rsidRDefault="009F0A60">
            <w:pPr>
              <w:rPr>
                <w:rFonts w:ascii="黑体" w:eastAsia="黑体" w:hAnsi="黑体"/>
                <w:sz w:val="20"/>
                <w:szCs w:val="20"/>
              </w:rPr>
            </w:pPr>
            <w:r>
              <w:rPr>
                <w:rFonts w:ascii="黑体" w:eastAsia="黑体" w:hAnsi="黑体" w:hint="eastAsia"/>
                <w:sz w:val="20"/>
                <w:szCs w:val="20"/>
              </w:rPr>
              <w:t>居民委托人所属部门代码，见投资者（被投资者）部门代码表。</w:t>
            </w:r>
          </w:p>
        </w:tc>
      </w:tr>
      <w:tr w:rsidR="00A052DC" w14:paraId="78E99453" w14:textId="77777777">
        <w:trPr>
          <w:cantSplit/>
        </w:trPr>
        <w:tc>
          <w:tcPr>
            <w:tcW w:w="2093" w:type="dxa"/>
          </w:tcPr>
          <w:p w14:paraId="53178A5B" w14:textId="77777777" w:rsidR="00A052DC" w:rsidRDefault="009F0A60">
            <w:pPr>
              <w:rPr>
                <w:rFonts w:ascii="黑体" w:eastAsia="黑体" w:hAnsi="黑体"/>
                <w:sz w:val="20"/>
                <w:szCs w:val="20"/>
              </w:rPr>
            </w:pPr>
            <w:r>
              <w:rPr>
                <w:rFonts w:ascii="黑体" w:eastAsia="黑体" w:hAnsi="黑体" w:hint="eastAsia"/>
                <w:sz w:val="20"/>
                <w:szCs w:val="20"/>
              </w:rPr>
              <w:t>业务编号</w:t>
            </w:r>
          </w:p>
        </w:tc>
        <w:tc>
          <w:tcPr>
            <w:tcW w:w="6379" w:type="dxa"/>
          </w:tcPr>
          <w:p w14:paraId="4923AE7C" w14:textId="77777777" w:rsidR="00A052DC" w:rsidRDefault="009F0A60">
            <w:pPr>
              <w:rPr>
                <w:rFonts w:ascii="黑体" w:eastAsia="黑体" w:hAnsi="黑体"/>
                <w:sz w:val="20"/>
                <w:szCs w:val="20"/>
              </w:rPr>
            </w:pPr>
            <w:r>
              <w:rPr>
                <w:rFonts w:ascii="黑体" w:eastAsia="黑体" w:hAnsi="黑体"/>
                <w:sz w:val="20"/>
                <w:szCs w:val="20"/>
              </w:rPr>
              <w:t>外汇局签发的Q</w:t>
            </w:r>
            <w:r>
              <w:rPr>
                <w:rFonts w:ascii="黑体" w:eastAsia="黑体" w:hAnsi="黑体" w:hint="eastAsia"/>
                <w:sz w:val="20"/>
                <w:szCs w:val="20"/>
              </w:rPr>
              <w:t>D</w:t>
            </w:r>
            <w:r>
              <w:rPr>
                <w:rFonts w:ascii="黑体" w:eastAsia="黑体" w:hAnsi="黑体"/>
                <w:sz w:val="20"/>
                <w:szCs w:val="20"/>
              </w:rPr>
              <w:t>II</w:t>
            </w:r>
            <w:r>
              <w:rPr>
                <w:rFonts w:ascii="黑体" w:eastAsia="黑体" w:hAnsi="黑体" w:hint="eastAsia"/>
                <w:sz w:val="20"/>
                <w:szCs w:val="20"/>
              </w:rPr>
              <w:t>业务</w:t>
            </w:r>
            <w:r>
              <w:rPr>
                <w:rFonts w:ascii="黑体" w:eastAsia="黑体" w:hAnsi="黑体"/>
                <w:sz w:val="20"/>
                <w:szCs w:val="20"/>
              </w:rPr>
              <w:t>编号。</w:t>
            </w:r>
          </w:p>
        </w:tc>
      </w:tr>
      <w:tr w:rsidR="00A052DC" w14:paraId="6DC96F17" w14:textId="77777777">
        <w:trPr>
          <w:cantSplit/>
        </w:trPr>
        <w:tc>
          <w:tcPr>
            <w:tcW w:w="2093" w:type="dxa"/>
          </w:tcPr>
          <w:p w14:paraId="33EC26B8" w14:textId="77777777" w:rsidR="00A052DC" w:rsidRDefault="009F0A60">
            <w:pPr>
              <w:rPr>
                <w:rFonts w:ascii="黑体" w:eastAsia="黑体" w:hAnsi="黑体"/>
                <w:sz w:val="20"/>
                <w:szCs w:val="20"/>
              </w:rPr>
            </w:pPr>
            <w:r>
              <w:rPr>
                <w:rFonts w:ascii="黑体" w:eastAsia="黑体" w:hAnsi="黑体" w:hint="eastAsia"/>
                <w:sz w:val="20"/>
                <w:szCs w:val="20"/>
              </w:rPr>
              <w:t>居民委托人产品名称</w:t>
            </w:r>
          </w:p>
        </w:tc>
        <w:tc>
          <w:tcPr>
            <w:tcW w:w="6379" w:type="dxa"/>
          </w:tcPr>
          <w:p w14:paraId="05963059" w14:textId="77777777" w:rsidR="00A052DC" w:rsidRDefault="009F0A60">
            <w:pPr>
              <w:rPr>
                <w:rFonts w:ascii="黑体" w:eastAsia="黑体" w:hAnsi="黑体"/>
                <w:sz w:val="20"/>
                <w:szCs w:val="20"/>
              </w:rPr>
            </w:pPr>
            <w:r>
              <w:rPr>
                <w:rFonts w:ascii="黑体" w:eastAsia="黑体" w:hAnsi="黑体" w:hint="eastAsia"/>
                <w:sz w:val="20"/>
                <w:szCs w:val="20"/>
              </w:rPr>
              <w:t>指居民委托人所托管产品全称。</w:t>
            </w:r>
          </w:p>
        </w:tc>
      </w:tr>
      <w:tr w:rsidR="00A052DC" w14:paraId="24456785" w14:textId="77777777">
        <w:trPr>
          <w:cantSplit/>
        </w:trPr>
        <w:tc>
          <w:tcPr>
            <w:tcW w:w="2093" w:type="dxa"/>
          </w:tcPr>
          <w:p w14:paraId="63B7BE5D" w14:textId="77777777" w:rsidR="00A052DC" w:rsidRDefault="009F0A60">
            <w:pPr>
              <w:rPr>
                <w:rFonts w:ascii="黑体" w:eastAsia="黑体" w:hAnsi="黑体"/>
                <w:sz w:val="20"/>
                <w:szCs w:val="20"/>
              </w:rPr>
            </w:pPr>
            <w:r>
              <w:rPr>
                <w:rFonts w:ascii="黑体" w:eastAsia="黑体" w:hAnsi="黑体" w:hint="eastAsia"/>
                <w:sz w:val="20"/>
                <w:szCs w:val="20"/>
              </w:rPr>
              <w:t>投资工具类型</w:t>
            </w:r>
          </w:p>
        </w:tc>
        <w:tc>
          <w:tcPr>
            <w:tcW w:w="6379" w:type="dxa"/>
          </w:tcPr>
          <w:p w14:paraId="1B0EDD1D" w14:textId="77777777" w:rsidR="00A052DC" w:rsidRDefault="009F0A60">
            <w:pPr>
              <w:rPr>
                <w:rFonts w:ascii="黑体" w:eastAsia="黑体" w:hAnsi="黑体"/>
                <w:sz w:val="20"/>
                <w:szCs w:val="20"/>
              </w:rPr>
            </w:pPr>
            <w:r>
              <w:rPr>
                <w:rFonts w:ascii="黑体" w:eastAsia="黑体" w:hAnsi="黑体" w:hint="eastAsia"/>
                <w:sz w:val="20"/>
                <w:szCs w:val="20"/>
              </w:rPr>
              <w:t>指居民委托人产品在境外投向的工具类型，见QFII/RQFII/QDII/RQDII/QDLP/QDIE投资工具类型代码表。</w:t>
            </w:r>
          </w:p>
        </w:tc>
      </w:tr>
      <w:tr w:rsidR="00A052DC" w14:paraId="1A0C9EBF" w14:textId="77777777">
        <w:trPr>
          <w:cantSplit/>
        </w:trPr>
        <w:tc>
          <w:tcPr>
            <w:tcW w:w="2093" w:type="dxa"/>
          </w:tcPr>
          <w:p w14:paraId="15A125D2" w14:textId="77777777" w:rsidR="00A052DC" w:rsidRDefault="009F0A60">
            <w:pPr>
              <w:rPr>
                <w:rFonts w:ascii="黑体" w:eastAsia="黑体" w:hAnsi="黑体"/>
                <w:sz w:val="20"/>
                <w:szCs w:val="20"/>
              </w:rPr>
            </w:pPr>
            <w:r>
              <w:rPr>
                <w:rFonts w:ascii="黑体" w:eastAsia="黑体" w:hAnsi="黑体" w:hint="eastAsia"/>
                <w:sz w:val="20"/>
                <w:szCs w:val="20"/>
              </w:rPr>
              <w:t>业务类型</w:t>
            </w:r>
          </w:p>
        </w:tc>
        <w:tc>
          <w:tcPr>
            <w:tcW w:w="6379" w:type="dxa"/>
          </w:tcPr>
          <w:p w14:paraId="6234AE39" w14:textId="77777777" w:rsidR="00A052DC" w:rsidRDefault="009F0A60">
            <w:pPr>
              <w:rPr>
                <w:rFonts w:ascii="黑体" w:eastAsia="黑体" w:hAnsi="黑体"/>
                <w:sz w:val="20"/>
                <w:szCs w:val="20"/>
              </w:rPr>
            </w:pPr>
            <w:r>
              <w:rPr>
                <w:rFonts w:ascii="黑体" w:eastAsia="黑体" w:hAnsi="黑体" w:hint="eastAsia"/>
                <w:sz w:val="20"/>
                <w:szCs w:val="20"/>
              </w:rPr>
              <w:t>包括：</w:t>
            </w:r>
            <w:r>
              <w:rPr>
                <w:rFonts w:ascii="黑体" w:eastAsia="黑体" w:hAnsi="黑体"/>
                <w:sz w:val="20"/>
                <w:szCs w:val="20"/>
              </w:rPr>
              <w:t>1-QDII；2-RQDII；3-QDLP;4-QDIE;5-债券通（QDII/RQDII除外）；6-债券通（QDII/RQDII）；7-</w:t>
            </w:r>
            <w:r>
              <w:rPr>
                <w:rFonts w:ascii="黑体" w:eastAsia="黑体" w:hAnsi="黑体" w:hint="eastAsia"/>
                <w:sz w:val="20"/>
                <w:szCs w:val="20"/>
              </w:rPr>
              <w:t>跨境理财通；</w:t>
            </w:r>
            <w:r>
              <w:rPr>
                <w:rFonts w:ascii="黑体" w:eastAsia="黑体" w:hAnsi="黑体"/>
                <w:sz w:val="20"/>
                <w:szCs w:val="20"/>
              </w:rPr>
              <w:t>9-其他。</w:t>
            </w:r>
            <w:r>
              <w:rPr>
                <w:rFonts w:ascii="黑体" w:eastAsia="黑体" w:hAnsi="黑体" w:hint="eastAsia"/>
                <w:sz w:val="20"/>
                <w:szCs w:val="20"/>
              </w:rPr>
              <w:t>其中，</w:t>
            </w:r>
            <w:r>
              <w:rPr>
                <w:rFonts w:ascii="黑体" w:eastAsia="黑体" w:hAnsi="黑体"/>
                <w:sz w:val="20"/>
                <w:szCs w:val="20"/>
              </w:rPr>
              <w:t>6-</w:t>
            </w:r>
            <w:r>
              <w:rPr>
                <w:rFonts w:ascii="黑体" w:eastAsia="黑体" w:hAnsi="黑体" w:hint="eastAsia"/>
                <w:sz w:val="20"/>
                <w:szCs w:val="20"/>
              </w:rPr>
              <w:t>债券通（</w:t>
            </w:r>
            <w:r>
              <w:rPr>
                <w:rFonts w:ascii="黑体" w:eastAsia="黑体" w:hAnsi="黑体"/>
                <w:sz w:val="20"/>
                <w:szCs w:val="20"/>
              </w:rPr>
              <w:t>QDII/RQDII）为QDII或RQDII机构通过债券通（南向通）渠道进行的债券投资，此类数据无需在5-</w:t>
            </w:r>
            <w:r>
              <w:rPr>
                <w:rFonts w:ascii="黑体" w:eastAsia="黑体" w:hAnsi="黑体" w:hint="eastAsia"/>
                <w:sz w:val="20"/>
                <w:szCs w:val="20"/>
              </w:rPr>
              <w:t>债券通（</w:t>
            </w:r>
            <w:r>
              <w:rPr>
                <w:rFonts w:ascii="黑体" w:eastAsia="黑体" w:hAnsi="黑体"/>
                <w:sz w:val="20"/>
                <w:szCs w:val="20"/>
              </w:rPr>
              <w:t>QDII/RQDII除外）项目下重复报送，5-</w:t>
            </w:r>
            <w:r>
              <w:rPr>
                <w:rFonts w:ascii="黑体" w:eastAsia="黑体" w:hAnsi="黑体" w:hint="eastAsia"/>
                <w:sz w:val="20"/>
                <w:szCs w:val="20"/>
              </w:rPr>
              <w:t>债券通（</w:t>
            </w:r>
            <w:r>
              <w:rPr>
                <w:rFonts w:ascii="黑体" w:eastAsia="黑体" w:hAnsi="黑体"/>
                <w:sz w:val="20"/>
                <w:szCs w:val="20"/>
              </w:rPr>
              <w:t>QDII/RQDII除外）仅包含托管银行连接模式下QDII或RQDII机构以外通过债券通（南向通）进行债券投资的数据。</w:t>
            </w:r>
          </w:p>
        </w:tc>
      </w:tr>
      <w:tr w:rsidR="00A052DC" w14:paraId="04B8B9F5" w14:textId="77777777">
        <w:trPr>
          <w:cantSplit/>
        </w:trPr>
        <w:tc>
          <w:tcPr>
            <w:tcW w:w="2093" w:type="dxa"/>
          </w:tcPr>
          <w:p w14:paraId="7132B749" w14:textId="77777777" w:rsidR="00A052DC" w:rsidRDefault="009F0A60">
            <w:pPr>
              <w:rPr>
                <w:rFonts w:ascii="黑体" w:eastAsia="黑体" w:hAnsi="黑体"/>
                <w:sz w:val="20"/>
                <w:szCs w:val="20"/>
              </w:rPr>
            </w:pPr>
            <w:r>
              <w:rPr>
                <w:rFonts w:ascii="黑体" w:eastAsia="黑体" w:hAnsi="黑体" w:hint="eastAsia"/>
                <w:sz w:val="20"/>
                <w:szCs w:val="20"/>
              </w:rPr>
              <w:t>投资品种类型</w:t>
            </w:r>
          </w:p>
        </w:tc>
        <w:tc>
          <w:tcPr>
            <w:tcW w:w="6379" w:type="dxa"/>
          </w:tcPr>
          <w:p w14:paraId="41AE6AAC" w14:textId="77777777" w:rsidR="00A052DC" w:rsidRDefault="009F0A60">
            <w:pPr>
              <w:rPr>
                <w:rFonts w:ascii="黑体" w:eastAsia="黑体" w:hAnsi="黑体"/>
                <w:sz w:val="20"/>
                <w:szCs w:val="20"/>
              </w:rPr>
            </w:pPr>
            <w:r>
              <w:rPr>
                <w:rFonts w:ascii="黑体" w:eastAsia="黑体" w:hAnsi="黑体" w:hint="eastAsia"/>
                <w:sz w:val="20"/>
                <w:szCs w:val="20"/>
              </w:rPr>
              <w:t>非必填项，当业务类型为1、2、3、4时必填，见QDII/RQDII/QDLP/QDIE投资品种类型代码表。填写规则如下：</w:t>
            </w:r>
          </w:p>
          <w:p w14:paraId="5B3F2BC3" w14:textId="77777777" w:rsidR="00A052DC" w:rsidRDefault="009F0A60">
            <w:pPr>
              <w:rPr>
                <w:rFonts w:ascii="黑体" w:eastAsia="黑体" w:hAnsi="黑体"/>
                <w:kern w:val="0"/>
                <w:sz w:val="20"/>
                <w:szCs w:val="20"/>
              </w:rPr>
            </w:pPr>
            <w:r>
              <w:rPr>
                <w:rFonts w:ascii="黑体" w:eastAsia="黑体" w:hAnsi="黑体" w:hint="eastAsia"/>
                <w:kern w:val="0"/>
                <w:sz w:val="20"/>
                <w:szCs w:val="20"/>
              </w:rPr>
              <w:t>“投资工具类型”填写11-16时，“投资品种类型”填写“N/A”；</w:t>
            </w:r>
          </w:p>
          <w:p w14:paraId="217ECB88" w14:textId="77777777" w:rsidR="00A052DC" w:rsidRDefault="009F0A60">
            <w:pPr>
              <w:rPr>
                <w:rFonts w:ascii="黑体" w:eastAsia="黑体" w:hAnsi="黑体"/>
                <w:kern w:val="0"/>
                <w:sz w:val="20"/>
                <w:szCs w:val="20"/>
              </w:rPr>
            </w:pPr>
            <w:r>
              <w:rPr>
                <w:rFonts w:ascii="黑体" w:eastAsia="黑体" w:hAnsi="黑体" w:hint="eastAsia"/>
                <w:kern w:val="0"/>
                <w:sz w:val="20"/>
                <w:szCs w:val="20"/>
              </w:rPr>
              <w:t>“投资工具类型”填写17时，“投资品种类型”应填写“T11”或“T12”；“投资工具类型”填写18时，“投资品种类型”应在以下值中选择其一填写：“T21”、“T22”、“T23”、“T24”、“T25”；</w:t>
            </w:r>
          </w:p>
          <w:p w14:paraId="1852E545" w14:textId="77777777" w:rsidR="00A052DC" w:rsidRDefault="009F0A60">
            <w:pPr>
              <w:rPr>
                <w:rFonts w:ascii="黑体" w:eastAsia="黑体" w:hAnsi="黑体"/>
                <w:kern w:val="0"/>
                <w:sz w:val="20"/>
                <w:szCs w:val="20"/>
              </w:rPr>
            </w:pPr>
            <w:r>
              <w:rPr>
                <w:rFonts w:ascii="黑体" w:eastAsia="黑体" w:hAnsi="黑体" w:hint="eastAsia"/>
                <w:kern w:val="0"/>
                <w:sz w:val="20"/>
                <w:szCs w:val="20"/>
              </w:rPr>
              <w:t>“投资工具类型”填写19时，“投资品种类型”应在以下值中选择其一填写：“T31”、“T32”、“T33”、“T34”、“T35”、“T36”。</w:t>
            </w:r>
          </w:p>
          <w:p w14:paraId="3F3238C5" w14:textId="77777777" w:rsidR="00A052DC" w:rsidRDefault="009F0A60">
            <w:pPr>
              <w:rPr>
                <w:rFonts w:ascii="黑体" w:eastAsia="黑体" w:hAnsi="黑体"/>
                <w:kern w:val="0"/>
                <w:sz w:val="20"/>
                <w:szCs w:val="20"/>
              </w:rPr>
            </w:pPr>
            <w:r>
              <w:rPr>
                <w:rFonts w:ascii="黑体" w:eastAsia="黑体" w:hAnsi="黑体" w:hint="eastAsia"/>
                <w:sz w:val="20"/>
                <w:szCs w:val="20"/>
              </w:rPr>
              <w:t>当业务类型为5、6、7、9时，此项为空。</w:t>
            </w:r>
          </w:p>
        </w:tc>
      </w:tr>
      <w:tr w:rsidR="00A052DC" w14:paraId="37ECB787" w14:textId="77777777">
        <w:trPr>
          <w:cantSplit/>
        </w:trPr>
        <w:tc>
          <w:tcPr>
            <w:tcW w:w="2093" w:type="dxa"/>
          </w:tcPr>
          <w:p w14:paraId="3DC29E0E" w14:textId="77777777" w:rsidR="00A052DC" w:rsidRDefault="009F0A60">
            <w:pPr>
              <w:rPr>
                <w:rFonts w:ascii="黑体" w:eastAsia="黑体" w:hAnsi="黑体"/>
                <w:sz w:val="20"/>
                <w:szCs w:val="20"/>
              </w:rPr>
            </w:pPr>
            <w:r>
              <w:rPr>
                <w:rFonts w:ascii="黑体" w:eastAsia="黑体" w:hAnsi="黑体" w:hint="eastAsia"/>
                <w:sz w:val="20"/>
                <w:szCs w:val="20"/>
              </w:rPr>
              <w:t>金融衍生产品的合约类别</w:t>
            </w:r>
          </w:p>
        </w:tc>
        <w:tc>
          <w:tcPr>
            <w:tcW w:w="6379" w:type="dxa"/>
          </w:tcPr>
          <w:p w14:paraId="6E3665CF" w14:textId="77777777" w:rsidR="00A052DC" w:rsidRDefault="009F0A60">
            <w:pPr>
              <w:rPr>
                <w:rFonts w:ascii="黑体" w:eastAsia="黑体" w:hAnsi="黑体"/>
                <w:sz w:val="20"/>
                <w:szCs w:val="20"/>
              </w:rPr>
            </w:pPr>
            <w:r>
              <w:rPr>
                <w:rFonts w:ascii="黑体" w:eastAsia="黑体" w:hAnsi="黑体" w:hint="eastAsia"/>
                <w:sz w:val="20"/>
                <w:szCs w:val="20"/>
              </w:rPr>
              <w:t>按远期类和期权类合约两大类划分。见金融衍生产品的合约类别代码表。对于结构复杂的产品，应根据其核心特征进行归类。</w:t>
            </w:r>
          </w:p>
        </w:tc>
      </w:tr>
      <w:tr w:rsidR="00A052DC" w14:paraId="1537CA70" w14:textId="77777777">
        <w:trPr>
          <w:cantSplit/>
        </w:trPr>
        <w:tc>
          <w:tcPr>
            <w:tcW w:w="2093" w:type="dxa"/>
          </w:tcPr>
          <w:p w14:paraId="0F497D4E" w14:textId="77777777" w:rsidR="00A052DC" w:rsidRDefault="009F0A60">
            <w:pPr>
              <w:rPr>
                <w:rFonts w:ascii="黑体" w:eastAsia="黑体" w:hAnsi="黑体"/>
                <w:sz w:val="20"/>
                <w:szCs w:val="20"/>
              </w:rPr>
            </w:pPr>
            <w:r>
              <w:rPr>
                <w:rFonts w:ascii="黑体" w:eastAsia="黑体" w:hAnsi="黑体" w:hint="eastAsia"/>
                <w:sz w:val="20"/>
                <w:szCs w:val="20"/>
              </w:rPr>
              <w:t>金融衍生产品的风险类别</w:t>
            </w:r>
          </w:p>
        </w:tc>
        <w:tc>
          <w:tcPr>
            <w:tcW w:w="6379" w:type="dxa"/>
          </w:tcPr>
          <w:p w14:paraId="1158C2D9" w14:textId="77777777" w:rsidR="00A052DC" w:rsidRDefault="009F0A60">
            <w:pPr>
              <w:rPr>
                <w:rFonts w:ascii="黑体" w:eastAsia="黑体" w:hAnsi="黑体"/>
                <w:sz w:val="20"/>
                <w:szCs w:val="20"/>
              </w:rPr>
            </w:pPr>
            <w:r>
              <w:rPr>
                <w:rFonts w:ascii="黑体" w:eastAsia="黑体" w:hAnsi="黑体" w:hint="eastAsia"/>
                <w:sz w:val="20"/>
                <w:szCs w:val="20"/>
              </w:rPr>
              <w:t>金融衍生产品按金融风险主要挂钩指标进行分类，见金融衍生产品的风险类别代码表。如，权证的金融风险类别为股权类产品，商品期货的金融风险类别为商品类产品。对于具有一个以上风险类别的产品，如果产品为敞口风险的简单组合，应按照各风险细项分别记录；如果难以分离风险细项，则按照最重要原则在单一风险细目项记录，无法辨别重要性的，则按照商品、股权、外汇、单一货币利率和信用类的序列记录。</w:t>
            </w:r>
          </w:p>
        </w:tc>
      </w:tr>
      <w:tr w:rsidR="00A052DC" w14:paraId="0B398F04" w14:textId="77777777">
        <w:trPr>
          <w:cantSplit/>
        </w:trPr>
        <w:tc>
          <w:tcPr>
            <w:tcW w:w="2093" w:type="dxa"/>
          </w:tcPr>
          <w:p w14:paraId="185DE8BB" w14:textId="77777777" w:rsidR="00A052DC" w:rsidRDefault="009F0A60">
            <w:pPr>
              <w:rPr>
                <w:rFonts w:ascii="黑体" w:eastAsia="黑体" w:hAnsi="黑体"/>
                <w:sz w:val="20"/>
                <w:szCs w:val="20"/>
              </w:rPr>
            </w:pPr>
            <w:r>
              <w:rPr>
                <w:rFonts w:ascii="黑体" w:eastAsia="黑体" w:hAnsi="黑体" w:hint="eastAsia"/>
                <w:sz w:val="20"/>
                <w:szCs w:val="20"/>
              </w:rPr>
              <w:t>投资工具代码</w:t>
            </w:r>
            <w:r>
              <w:rPr>
                <w:rFonts w:ascii="黑体" w:eastAsia="黑体" w:hAnsi="黑体"/>
                <w:sz w:val="20"/>
                <w:szCs w:val="20"/>
              </w:rPr>
              <w:t>（逐支报送使用）</w:t>
            </w:r>
          </w:p>
        </w:tc>
        <w:tc>
          <w:tcPr>
            <w:tcW w:w="6379" w:type="dxa"/>
          </w:tcPr>
          <w:p w14:paraId="65B610B1" w14:textId="77777777" w:rsidR="00A052DC" w:rsidRDefault="009F0A60">
            <w:pPr>
              <w:rPr>
                <w:rFonts w:ascii="黑体" w:eastAsia="黑体" w:hAnsi="黑体"/>
                <w:sz w:val="20"/>
                <w:szCs w:val="20"/>
              </w:rPr>
            </w:pPr>
            <w:r>
              <w:rPr>
                <w:rFonts w:ascii="黑体" w:eastAsia="黑体" w:hAnsi="黑体" w:hint="eastAsia"/>
                <w:sz w:val="20"/>
                <w:szCs w:val="20"/>
              </w:rPr>
              <w:t>除证券和金融衍生产品外的其他工具，此项填写“N/A”。对于选择报送证券或金融衍生产品汇总信息的，此项填写“N/A”。对于选择报送逐支证券或金融衍生产品的，请按以下要求填写此项：</w:t>
            </w:r>
          </w:p>
          <w:p w14:paraId="14AB5070" w14:textId="77777777" w:rsidR="00A052DC" w:rsidRDefault="009F0A60">
            <w:pPr>
              <w:rPr>
                <w:rFonts w:ascii="黑体" w:eastAsia="黑体" w:hAnsi="黑体"/>
                <w:sz w:val="20"/>
                <w:szCs w:val="20"/>
              </w:rPr>
            </w:pPr>
            <w:r>
              <w:rPr>
                <w:rFonts w:ascii="黑体" w:eastAsia="黑体" w:hAnsi="黑体" w:hint="eastAsia"/>
                <w:sz w:val="20"/>
                <w:szCs w:val="20"/>
              </w:rPr>
              <w:t>投资工具代码指本机构托管的、登记在居民机构或个人名下的境外证券或金融衍生产品的代码（带有上市地信息的代码）。投资产品代码的填写规则为：投资产品代码需为唯一性代码，优先填写ISIN代码；没有ISIN代码的，填写当地市场唯一通行的代码；没有当地市场代码的，填写本机构自编代码，但需确保唯一性。</w:t>
            </w:r>
          </w:p>
        </w:tc>
      </w:tr>
      <w:tr w:rsidR="00A052DC" w14:paraId="77D49B01" w14:textId="77777777">
        <w:trPr>
          <w:cantSplit/>
        </w:trPr>
        <w:tc>
          <w:tcPr>
            <w:tcW w:w="2093" w:type="dxa"/>
          </w:tcPr>
          <w:p w14:paraId="3A303404" w14:textId="77777777" w:rsidR="00A052DC" w:rsidRDefault="009F0A60">
            <w:pPr>
              <w:rPr>
                <w:rFonts w:ascii="黑体" w:eastAsia="黑体" w:hAnsi="黑体"/>
                <w:sz w:val="20"/>
                <w:szCs w:val="20"/>
              </w:rPr>
            </w:pPr>
            <w:r>
              <w:rPr>
                <w:rFonts w:ascii="黑体" w:eastAsia="黑体" w:hAnsi="黑体" w:hint="eastAsia"/>
                <w:sz w:val="20"/>
                <w:szCs w:val="20"/>
              </w:rPr>
              <w:t>投资工具发行人名称</w:t>
            </w:r>
            <w:r>
              <w:rPr>
                <w:rFonts w:ascii="黑体" w:eastAsia="黑体" w:hAnsi="黑体"/>
                <w:sz w:val="20"/>
                <w:szCs w:val="20"/>
              </w:rPr>
              <w:t>（逐支报送使用）</w:t>
            </w:r>
          </w:p>
        </w:tc>
        <w:tc>
          <w:tcPr>
            <w:tcW w:w="6379" w:type="dxa"/>
          </w:tcPr>
          <w:p w14:paraId="664853B2" w14:textId="77777777" w:rsidR="00A052DC" w:rsidRDefault="009F0A60">
            <w:pPr>
              <w:rPr>
                <w:rFonts w:ascii="黑体" w:eastAsia="黑体" w:hAnsi="黑体"/>
                <w:sz w:val="20"/>
                <w:szCs w:val="20"/>
              </w:rPr>
            </w:pPr>
            <w:r>
              <w:rPr>
                <w:rFonts w:ascii="黑体" w:eastAsia="黑体" w:hAnsi="黑体" w:hint="eastAsia"/>
                <w:sz w:val="20"/>
                <w:szCs w:val="20"/>
              </w:rPr>
              <w:t>除证券和金融衍生产品外的其他工具，此项为空。对于选择报送证券或金融衍生产品汇总信息的，此项为空。</w:t>
            </w:r>
          </w:p>
          <w:p w14:paraId="7FBFB01F" w14:textId="77777777" w:rsidR="00A052DC" w:rsidRDefault="009F0A60">
            <w:pPr>
              <w:rPr>
                <w:rFonts w:ascii="黑体" w:eastAsia="黑体" w:hAnsi="黑体"/>
                <w:sz w:val="20"/>
                <w:szCs w:val="20"/>
              </w:rPr>
            </w:pPr>
            <w:r>
              <w:rPr>
                <w:rFonts w:ascii="黑体" w:eastAsia="黑体" w:hAnsi="黑体" w:hint="eastAsia"/>
                <w:sz w:val="20"/>
                <w:szCs w:val="20"/>
              </w:rPr>
              <w:t>对于选择报送逐支证券或金融衍生产品的，请填写境外证券或金融衍生产品的发行主体全称，按其英文或中文全称填列。对于无法明确其发行人或部分场内交易的金融衍生产品，如交易所交易的股指期货或商品期货，其投资工具发行人可填写为相关交易所名称。</w:t>
            </w:r>
          </w:p>
        </w:tc>
      </w:tr>
      <w:tr w:rsidR="00A052DC" w14:paraId="698697B0" w14:textId="77777777">
        <w:trPr>
          <w:cantSplit/>
        </w:trPr>
        <w:tc>
          <w:tcPr>
            <w:tcW w:w="2093" w:type="dxa"/>
          </w:tcPr>
          <w:p w14:paraId="324B7E69" w14:textId="77777777" w:rsidR="00A052DC" w:rsidRDefault="009F0A60">
            <w:pPr>
              <w:rPr>
                <w:rFonts w:ascii="黑体" w:eastAsia="黑体" w:hAnsi="黑体"/>
                <w:sz w:val="20"/>
                <w:szCs w:val="20"/>
              </w:rPr>
            </w:pPr>
            <w:r>
              <w:rPr>
                <w:rFonts w:ascii="黑体" w:eastAsia="黑体" w:hAnsi="黑体" w:hint="eastAsia"/>
                <w:sz w:val="20"/>
                <w:szCs w:val="20"/>
              </w:rPr>
              <w:t>投资工具发行市场</w:t>
            </w:r>
          </w:p>
        </w:tc>
        <w:tc>
          <w:tcPr>
            <w:tcW w:w="6379" w:type="dxa"/>
          </w:tcPr>
          <w:p w14:paraId="153D3E2A" w14:textId="77777777" w:rsidR="00A052DC" w:rsidRDefault="009F0A60">
            <w:pPr>
              <w:rPr>
                <w:rFonts w:ascii="黑体" w:eastAsia="黑体" w:hAnsi="黑体"/>
                <w:sz w:val="20"/>
                <w:szCs w:val="20"/>
              </w:rPr>
            </w:pPr>
            <w:r>
              <w:rPr>
                <w:rFonts w:ascii="黑体" w:eastAsia="黑体" w:hAnsi="黑体" w:hint="eastAsia"/>
                <w:sz w:val="20"/>
                <w:szCs w:val="20"/>
              </w:rPr>
              <w:t>发行相关投资工具的市场所在国家/地区。如为存贷款及应收应付款等非流动性工具，为对手方所在国家/地区。见国家和地区代码表。</w:t>
            </w:r>
          </w:p>
        </w:tc>
      </w:tr>
      <w:tr w:rsidR="00A052DC" w14:paraId="76DFF6B8" w14:textId="77777777">
        <w:trPr>
          <w:cantSplit/>
        </w:trPr>
        <w:tc>
          <w:tcPr>
            <w:tcW w:w="2093" w:type="dxa"/>
          </w:tcPr>
          <w:p w14:paraId="6B76313F" w14:textId="77777777" w:rsidR="00A052DC" w:rsidRDefault="009F0A60">
            <w:pPr>
              <w:rPr>
                <w:rFonts w:ascii="黑体" w:eastAsia="黑体" w:hAnsi="黑体"/>
                <w:sz w:val="20"/>
                <w:szCs w:val="20"/>
              </w:rPr>
            </w:pPr>
            <w:r>
              <w:rPr>
                <w:rFonts w:ascii="黑体" w:eastAsia="黑体" w:hAnsi="黑体" w:hint="eastAsia"/>
                <w:sz w:val="20"/>
                <w:szCs w:val="20"/>
              </w:rPr>
              <w:t>投资工具发行人所属国家/地区</w:t>
            </w:r>
          </w:p>
        </w:tc>
        <w:tc>
          <w:tcPr>
            <w:tcW w:w="6379" w:type="dxa"/>
          </w:tcPr>
          <w:p w14:paraId="304C36D3" w14:textId="77777777" w:rsidR="00A052DC" w:rsidRDefault="009F0A60">
            <w:pPr>
              <w:rPr>
                <w:rFonts w:ascii="黑体" w:eastAsia="黑体" w:hAnsi="黑体"/>
                <w:sz w:val="20"/>
                <w:szCs w:val="20"/>
              </w:rPr>
            </w:pPr>
            <w:r>
              <w:rPr>
                <w:rFonts w:ascii="黑体" w:eastAsia="黑体" w:hAnsi="黑体" w:hint="eastAsia"/>
                <w:sz w:val="20"/>
                <w:szCs w:val="20"/>
              </w:rPr>
              <w:t>填报金融机构托管的、居民持有的境外投资产品的发行人国家/地区代码。即：①对于所持有的公开上市证券，按照发行主体的注册地（国家）填报，如，持有的是中国银行在香港发行的H股，其发行人所属国家/地区应为中国；②对于无法确定其注册地（国家），应按照该证券的发行场所所在国家/地区填列，如香港上市；③对于场外交易的证券，应确定证券发行人的国家/地区信息。如为存贷款及应收应付款等非流动性工具，为对手方所在国家/地区。见国家和地区代码表。</w:t>
            </w:r>
          </w:p>
        </w:tc>
      </w:tr>
      <w:tr w:rsidR="00A052DC" w14:paraId="359B05D5" w14:textId="77777777">
        <w:trPr>
          <w:cantSplit/>
        </w:trPr>
        <w:tc>
          <w:tcPr>
            <w:tcW w:w="2093" w:type="dxa"/>
          </w:tcPr>
          <w:p w14:paraId="0908E848" w14:textId="77777777" w:rsidR="00A052DC" w:rsidRDefault="009F0A60">
            <w:pPr>
              <w:rPr>
                <w:rFonts w:ascii="黑体" w:eastAsia="黑体" w:hAnsi="黑体"/>
                <w:sz w:val="20"/>
                <w:szCs w:val="20"/>
              </w:rPr>
            </w:pPr>
            <w:r>
              <w:rPr>
                <w:rFonts w:ascii="黑体" w:eastAsia="黑体" w:hAnsi="黑体" w:hint="eastAsia"/>
                <w:sz w:val="20"/>
                <w:szCs w:val="20"/>
              </w:rPr>
              <w:t>投资工具发行人所属部门</w:t>
            </w:r>
          </w:p>
        </w:tc>
        <w:tc>
          <w:tcPr>
            <w:tcW w:w="6379" w:type="dxa"/>
          </w:tcPr>
          <w:p w14:paraId="35C3DA50" w14:textId="77777777" w:rsidR="00A052DC" w:rsidRDefault="009F0A60">
            <w:pPr>
              <w:rPr>
                <w:rFonts w:ascii="黑体" w:eastAsia="黑体" w:hAnsi="黑体"/>
                <w:sz w:val="20"/>
                <w:szCs w:val="20"/>
              </w:rPr>
            </w:pPr>
            <w:r>
              <w:rPr>
                <w:rFonts w:ascii="黑体" w:eastAsia="黑体" w:hAnsi="黑体" w:hint="eastAsia"/>
                <w:sz w:val="20"/>
                <w:szCs w:val="20"/>
              </w:rPr>
              <w:t>投资工具发行人所属部门代码，见投资者（被投资者）部门代码表。</w:t>
            </w:r>
          </w:p>
        </w:tc>
      </w:tr>
      <w:tr w:rsidR="00A052DC" w14:paraId="245507CD" w14:textId="77777777">
        <w:trPr>
          <w:cantSplit/>
        </w:trPr>
        <w:tc>
          <w:tcPr>
            <w:tcW w:w="2093" w:type="dxa"/>
          </w:tcPr>
          <w:p w14:paraId="173B7CE5" w14:textId="77777777" w:rsidR="00A052DC" w:rsidRDefault="009F0A60">
            <w:pPr>
              <w:rPr>
                <w:rFonts w:ascii="黑体" w:eastAsia="黑体" w:hAnsi="黑体"/>
                <w:sz w:val="20"/>
                <w:szCs w:val="20"/>
              </w:rPr>
            </w:pPr>
            <w:r>
              <w:rPr>
                <w:rFonts w:ascii="黑体" w:eastAsia="黑体" w:hAnsi="黑体" w:hint="eastAsia"/>
                <w:sz w:val="20"/>
                <w:szCs w:val="20"/>
              </w:rPr>
              <w:t>投资工具发行人与居民委托人的关系</w:t>
            </w:r>
          </w:p>
        </w:tc>
        <w:tc>
          <w:tcPr>
            <w:tcW w:w="6379" w:type="dxa"/>
          </w:tcPr>
          <w:p w14:paraId="60331FBA" w14:textId="77777777" w:rsidR="00A052DC" w:rsidRDefault="009F0A60">
            <w:pPr>
              <w:rPr>
                <w:rFonts w:ascii="黑体" w:eastAsia="黑体" w:hAnsi="黑体"/>
                <w:sz w:val="20"/>
                <w:szCs w:val="20"/>
              </w:rPr>
            </w:pPr>
            <w:r>
              <w:rPr>
                <w:rFonts w:ascii="黑体" w:eastAsia="黑体" w:hAnsi="黑体" w:hint="eastAsia"/>
                <w:sz w:val="20"/>
                <w:szCs w:val="20"/>
              </w:rPr>
              <w:t>见对方与本机构/被代理居民机构/委托人的关系代码表。请按以下四种情况填列：1-对手方是居民委托人的境外直接投资者，即持有居民委托人表决权≥10%；2-对手方是居民委托人的境外直接投资企业，即是居民委托人持有表决权在10%及以上的境外分支机构、子机构、联营机构或合营机构；3-对手方是居民委托人的境外联属机构，即双方有共同母公司，但相互持有表决权＜10%或相互不持有表决权；4-对手方与境内委托人无关联关系，或双方均处于中国境内。</w:t>
            </w:r>
          </w:p>
        </w:tc>
      </w:tr>
      <w:tr w:rsidR="00A052DC" w14:paraId="5CE2D08B" w14:textId="77777777">
        <w:trPr>
          <w:cantSplit/>
        </w:trPr>
        <w:tc>
          <w:tcPr>
            <w:tcW w:w="2093" w:type="dxa"/>
          </w:tcPr>
          <w:p w14:paraId="6D190628" w14:textId="77777777" w:rsidR="00A052DC" w:rsidRDefault="009F0A60">
            <w:pPr>
              <w:rPr>
                <w:rFonts w:ascii="黑体" w:eastAsia="黑体" w:hAnsi="黑体"/>
                <w:sz w:val="20"/>
                <w:szCs w:val="20"/>
              </w:rPr>
            </w:pPr>
            <w:r>
              <w:rPr>
                <w:rFonts w:ascii="黑体" w:eastAsia="黑体" w:hAnsi="黑体" w:hint="eastAsia"/>
                <w:sz w:val="20"/>
                <w:szCs w:val="20"/>
              </w:rPr>
              <w:t>投资工具的原始期限</w:t>
            </w:r>
          </w:p>
        </w:tc>
        <w:tc>
          <w:tcPr>
            <w:tcW w:w="6379" w:type="dxa"/>
          </w:tcPr>
          <w:p w14:paraId="740E1FB1" w14:textId="77777777" w:rsidR="00A052DC" w:rsidRDefault="009F0A60">
            <w:pPr>
              <w:rPr>
                <w:rFonts w:ascii="黑体" w:eastAsia="黑体" w:hAnsi="黑体"/>
                <w:sz w:val="20"/>
                <w:szCs w:val="20"/>
              </w:rPr>
            </w:pPr>
            <w:r>
              <w:rPr>
                <w:rFonts w:ascii="黑体" w:eastAsia="黑体" w:hAnsi="黑体" w:hint="eastAsia"/>
                <w:sz w:val="20"/>
                <w:szCs w:val="20"/>
              </w:rPr>
              <w:t>按以下两种情况填列：①一年及以下，含不定期；②一年以上。其中，不定期或活期类工具归入①，永久性债券和非参与性优先股归入②。本项仅适用于</w:t>
            </w:r>
            <w:r>
              <w:rPr>
                <w:rFonts w:ascii="黑体" w:eastAsia="黑体" w:hAnsi="黑体"/>
                <w:sz w:val="20"/>
                <w:szCs w:val="20"/>
              </w:rPr>
              <w:t>H0204下</w:t>
            </w:r>
            <w:r>
              <w:rPr>
                <w:rFonts w:ascii="黑体" w:eastAsia="黑体" w:hAnsi="黑体" w:hint="eastAsia"/>
                <w:sz w:val="20"/>
                <w:szCs w:val="20"/>
              </w:rPr>
              <w:t>(16)</w:t>
            </w:r>
            <w:r>
              <w:rPr>
                <w:rFonts w:ascii="黑体" w:eastAsia="黑体" w:hAnsi="黑体"/>
                <w:sz w:val="20"/>
                <w:szCs w:val="20"/>
              </w:rPr>
              <w:t>-</w:t>
            </w:r>
            <w:r>
              <w:rPr>
                <w:rFonts w:ascii="黑体" w:eastAsia="黑体" w:hAnsi="黑体" w:hint="eastAsia"/>
                <w:sz w:val="20"/>
                <w:szCs w:val="20"/>
              </w:rPr>
              <w:t>(19)以及（2</w:t>
            </w:r>
            <w:r>
              <w:rPr>
                <w:rFonts w:ascii="黑体" w:eastAsia="黑体" w:hAnsi="黑体"/>
                <w:sz w:val="20"/>
                <w:szCs w:val="20"/>
              </w:rPr>
              <w:t>1）</w:t>
            </w:r>
            <w:r>
              <w:rPr>
                <w:rFonts w:ascii="黑体" w:eastAsia="黑体" w:hAnsi="黑体" w:hint="eastAsia"/>
                <w:sz w:val="20"/>
                <w:szCs w:val="20"/>
              </w:rPr>
              <w:t>-（23）</w:t>
            </w:r>
            <w:r>
              <w:rPr>
                <w:rFonts w:ascii="黑体" w:eastAsia="黑体" w:hAnsi="黑体"/>
                <w:sz w:val="20"/>
                <w:szCs w:val="20"/>
              </w:rPr>
              <w:t>类工具，</w:t>
            </w:r>
            <w:r>
              <w:rPr>
                <w:rFonts w:ascii="黑体" w:eastAsia="黑体" w:hAnsi="黑体" w:hint="eastAsia"/>
                <w:sz w:val="20"/>
                <w:szCs w:val="20"/>
              </w:rPr>
              <w:t>(11)</w:t>
            </w:r>
            <w:r>
              <w:rPr>
                <w:rFonts w:ascii="黑体" w:eastAsia="黑体" w:hAnsi="黑体"/>
                <w:sz w:val="20"/>
                <w:szCs w:val="20"/>
              </w:rPr>
              <w:t>-</w:t>
            </w:r>
            <w:r>
              <w:rPr>
                <w:rFonts w:ascii="黑体" w:eastAsia="黑体" w:hAnsi="黑体" w:hint="eastAsia"/>
                <w:sz w:val="20"/>
                <w:szCs w:val="20"/>
              </w:rPr>
              <w:t>(15)以及(20)类工具不需填写本项。</w:t>
            </w:r>
          </w:p>
        </w:tc>
      </w:tr>
      <w:tr w:rsidR="00A052DC" w14:paraId="19A6D013" w14:textId="77777777">
        <w:trPr>
          <w:cantSplit/>
        </w:trPr>
        <w:tc>
          <w:tcPr>
            <w:tcW w:w="2093" w:type="dxa"/>
          </w:tcPr>
          <w:p w14:paraId="04675F75" w14:textId="77777777" w:rsidR="00A052DC" w:rsidRDefault="009F0A60">
            <w:pPr>
              <w:rPr>
                <w:rFonts w:ascii="黑体" w:eastAsia="黑体" w:hAnsi="黑体"/>
                <w:sz w:val="20"/>
                <w:szCs w:val="20"/>
              </w:rPr>
            </w:pPr>
            <w:r>
              <w:rPr>
                <w:rFonts w:ascii="黑体" w:eastAsia="黑体" w:hAnsi="黑体" w:hint="eastAsia"/>
                <w:sz w:val="20"/>
                <w:szCs w:val="20"/>
              </w:rPr>
              <w:t>原始币种</w:t>
            </w:r>
          </w:p>
        </w:tc>
        <w:tc>
          <w:tcPr>
            <w:tcW w:w="6379" w:type="dxa"/>
          </w:tcPr>
          <w:p w14:paraId="0CC5C1C1" w14:textId="77777777" w:rsidR="00A052DC" w:rsidRDefault="009F0A60">
            <w:pPr>
              <w:rPr>
                <w:rFonts w:ascii="黑体" w:eastAsia="黑体" w:hAnsi="黑体"/>
                <w:sz w:val="20"/>
                <w:szCs w:val="20"/>
              </w:rPr>
            </w:pPr>
            <w:r>
              <w:rPr>
                <w:rFonts w:ascii="黑体" w:eastAsia="黑体" w:hAnsi="黑体" w:hint="eastAsia"/>
                <w:sz w:val="20"/>
                <w:szCs w:val="20"/>
              </w:rPr>
              <w:t>指居民所托管工具的计价币种。</w:t>
            </w:r>
          </w:p>
        </w:tc>
      </w:tr>
      <w:tr w:rsidR="00A052DC" w14:paraId="77BB5744" w14:textId="77777777">
        <w:trPr>
          <w:cantSplit/>
        </w:trPr>
        <w:tc>
          <w:tcPr>
            <w:tcW w:w="2093" w:type="dxa"/>
          </w:tcPr>
          <w:p w14:paraId="2F891CE7" w14:textId="77777777" w:rsidR="00A052DC" w:rsidRDefault="009F0A60">
            <w:pPr>
              <w:rPr>
                <w:rFonts w:ascii="黑体" w:eastAsia="黑体" w:hAnsi="黑体"/>
                <w:sz w:val="20"/>
                <w:szCs w:val="20"/>
              </w:rPr>
            </w:pPr>
            <w:r>
              <w:rPr>
                <w:rFonts w:ascii="黑体" w:eastAsia="黑体" w:hAnsi="黑体" w:hint="eastAsia"/>
                <w:sz w:val="20"/>
                <w:szCs w:val="20"/>
              </w:rPr>
              <w:t>上月末市值</w:t>
            </w:r>
          </w:p>
        </w:tc>
        <w:tc>
          <w:tcPr>
            <w:tcW w:w="6379" w:type="dxa"/>
          </w:tcPr>
          <w:p w14:paraId="3A26A601" w14:textId="77777777" w:rsidR="00A052DC" w:rsidRDefault="009F0A60">
            <w:pPr>
              <w:rPr>
                <w:rFonts w:ascii="黑体" w:eastAsia="黑体" w:hAnsi="黑体"/>
                <w:sz w:val="20"/>
                <w:szCs w:val="20"/>
              </w:rPr>
            </w:pPr>
            <w:r>
              <w:rPr>
                <w:rFonts w:ascii="黑体" w:eastAsia="黑体" w:hAnsi="黑体" w:hint="eastAsia"/>
                <w:sz w:val="20"/>
                <w:szCs w:val="20"/>
              </w:rPr>
              <w:t>指上月末居民所托管工具的公允价值。应优先使用上月最后一个交易日收盘价计算的市场价值（债券类工具应按全价计值）。如无市场价值，则按照惯例填报公允价值。如为存贷款或应收应付款，则为上月末账面余额。对于金融衍生产品，如填报的是小汇总数据，不得将公允价值为正值的合约与公允价值为负值的合约进行轧差合并。</w:t>
            </w:r>
          </w:p>
        </w:tc>
      </w:tr>
      <w:tr w:rsidR="00A052DC" w14:paraId="75DF2B05" w14:textId="77777777">
        <w:trPr>
          <w:cantSplit/>
        </w:trPr>
        <w:tc>
          <w:tcPr>
            <w:tcW w:w="2093" w:type="dxa"/>
          </w:tcPr>
          <w:p w14:paraId="690FC2E9" w14:textId="77777777" w:rsidR="00A052DC" w:rsidRDefault="009F0A60">
            <w:pPr>
              <w:rPr>
                <w:rFonts w:ascii="黑体" w:eastAsia="黑体" w:hAnsi="黑体"/>
                <w:sz w:val="20"/>
                <w:szCs w:val="20"/>
              </w:rPr>
            </w:pPr>
            <w:r>
              <w:rPr>
                <w:rFonts w:ascii="黑体" w:eastAsia="黑体" w:hAnsi="黑体" w:hint="eastAsia"/>
                <w:sz w:val="20"/>
                <w:szCs w:val="20"/>
              </w:rPr>
              <w:t>本月买入/申购/(现金)结算付款额</w:t>
            </w:r>
          </w:p>
        </w:tc>
        <w:tc>
          <w:tcPr>
            <w:tcW w:w="6379" w:type="dxa"/>
          </w:tcPr>
          <w:p w14:paraId="1CB5648D" w14:textId="77777777" w:rsidR="00A052DC" w:rsidRDefault="009F0A60">
            <w:pPr>
              <w:rPr>
                <w:rFonts w:ascii="黑体" w:eastAsia="黑体" w:hAnsi="黑体"/>
                <w:sz w:val="20"/>
                <w:szCs w:val="20"/>
              </w:rPr>
            </w:pPr>
            <w:r>
              <w:rPr>
                <w:rFonts w:ascii="黑体" w:eastAsia="黑体" w:hAnsi="黑体" w:hint="eastAsia"/>
                <w:sz w:val="20"/>
                <w:szCs w:val="20"/>
              </w:rPr>
              <w:t>指本月内，居民所托管产品买入、申购以及支付衍生产品期权费或结算衍生产品支付的金额。不包括相关股票发行机构因股票分割或发行红利股而产生的新的股票。与发行新股获得融资不同，股票分割和红利股不产生新的融资，不应记录为交易。如为存贷款或应收应付类产品，本月如为净增加，则填报在该项下，否则，填报在本月卖出</w:t>
            </w:r>
            <w:r>
              <w:rPr>
                <w:rFonts w:ascii="黑体" w:eastAsia="黑体" w:hAnsi="黑体"/>
                <w:sz w:val="20"/>
                <w:szCs w:val="20"/>
              </w:rPr>
              <w:t>/赎回/(现金)结算收款额项下</w:t>
            </w:r>
            <w:r>
              <w:rPr>
                <w:rFonts w:ascii="黑体" w:eastAsia="黑体" w:hAnsi="黑体" w:hint="eastAsia"/>
                <w:sz w:val="20"/>
                <w:szCs w:val="20"/>
              </w:rPr>
              <w:t>。</w:t>
            </w:r>
          </w:p>
        </w:tc>
      </w:tr>
      <w:tr w:rsidR="00A052DC" w14:paraId="511E7540" w14:textId="77777777">
        <w:trPr>
          <w:cantSplit/>
        </w:trPr>
        <w:tc>
          <w:tcPr>
            <w:tcW w:w="2093" w:type="dxa"/>
          </w:tcPr>
          <w:p w14:paraId="0D8248B2" w14:textId="77777777" w:rsidR="00A052DC" w:rsidRDefault="009F0A60">
            <w:pPr>
              <w:rPr>
                <w:rFonts w:ascii="黑体" w:eastAsia="黑体" w:hAnsi="黑体"/>
                <w:sz w:val="20"/>
                <w:szCs w:val="20"/>
              </w:rPr>
            </w:pPr>
            <w:r>
              <w:rPr>
                <w:rFonts w:ascii="黑体" w:eastAsia="黑体" w:hAnsi="黑体" w:hint="eastAsia"/>
                <w:sz w:val="20"/>
                <w:szCs w:val="20"/>
              </w:rPr>
              <w:t>本月卖出/赎回/(现金)结算收款额</w:t>
            </w:r>
          </w:p>
        </w:tc>
        <w:tc>
          <w:tcPr>
            <w:tcW w:w="6379" w:type="dxa"/>
          </w:tcPr>
          <w:p w14:paraId="5A2B7B1A" w14:textId="77777777" w:rsidR="00A052DC" w:rsidRDefault="009F0A60">
            <w:pPr>
              <w:rPr>
                <w:rFonts w:ascii="黑体" w:eastAsia="黑体" w:hAnsi="黑体"/>
                <w:sz w:val="20"/>
                <w:szCs w:val="20"/>
              </w:rPr>
            </w:pPr>
            <w:r>
              <w:rPr>
                <w:rFonts w:ascii="黑体" w:eastAsia="黑体" w:hAnsi="黑体" w:hint="eastAsia"/>
                <w:sz w:val="20"/>
                <w:szCs w:val="20"/>
              </w:rPr>
              <w:t>指本月内，居民所托管产品卖出、赎回及收到衍生产品期权费或结算衍生产品获得的相关结算额。对于存贷款或应收应付类工具，本月如为净减少，则填报在该项下，否则，填报在本月买入/申购/(现金)结算付款额</w:t>
            </w:r>
            <w:r>
              <w:rPr>
                <w:rFonts w:ascii="黑体" w:eastAsia="黑体" w:hAnsi="黑体"/>
                <w:sz w:val="20"/>
                <w:szCs w:val="20"/>
              </w:rPr>
              <w:t>下。</w:t>
            </w:r>
          </w:p>
        </w:tc>
      </w:tr>
      <w:tr w:rsidR="00A052DC" w14:paraId="36D28DE2" w14:textId="77777777">
        <w:trPr>
          <w:cantSplit/>
        </w:trPr>
        <w:tc>
          <w:tcPr>
            <w:tcW w:w="2093" w:type="dxa"/>
          </w:tcPr>
          <w:p w14:paraId="18850C2B" w14:textId="77777777" w:rsidR="00A052DC" w:rsidRDefault="009F0A60">
            <w:pPr>
              <w:rPr>
                <w:rFonts w:ascii="黑体" w:eastAsia="黑体" w:hAnsi="黑体"/>
                <w:sz w:val="20"/>
                <w:szCs w:val="20"/>
              </w:rPr>
            </w:pPr>
            <w:r>
              <w:rPr>
                <w:rFonts w:ascii="黑体" w:eastAsia="黑体" w:hAnsi="黑体" w:hint="eastAsia"/>
                <w:sz w:val="20"/>
                <w:szCs w:val="20"/>
              </w:rPr>
              <w:t>本月卖出</w:t>
            </w:r>
            <w:r>
              <w:rPr>
                <w:rFonts w:ascii="黑体" w:eastAsia="黑体" w:hAnsi="黑体"/>
                <w:sz w:val="20"/>
                <w:szCs w:val="20"/>
              </w:rPr>
              <w:t>/赎回/(现金)结算收款额</w:t>
            </w:r>
            <w:r>
              <w:rPr>
                <w:rFonts w:ascii="黑体" w:eastAsia="黑体" w:hAnsi="宋体" w:hint="eastAsia"/>
                <w:color w:val="000000"/>
                <w:sz w:val="20"/>
                <w:szCs w:val="20"/>
              </w:rPr>
              <w:t>其中：债券到期或提前兑付的本息金额</w:t>
            </w:r>
          </w:p>
        </w:tc>
        <w:tc>
          <w:tcPr>
            <w:tcW w:w="6379" w:type="dxa"/>
          </w:tcPr>
          <w:p w14:paraId="43308106" w14:textId="77777777" w:rsidR="00A052DC" w:rsidRDefault="009F0A60">
            <w:pPr>
              <w:rPr>
                <w:rFonts w:ascii="黑体" w:eastAsia="黑体" w:hAnsi="黑体"/>
                <w:sz w:val="20"/>
                <w:szCs w:val="20"/>
              </w:rPr>
            </w:pPr>
            <w:r>
              <w:rPr>
                <w:rFonts w:ascii="黑体" w:eastAsia="黑体" w:hAnsi="黑体" w:hint="eastAsia"/>
                <w:sz w:val="20"/>
                <w:szCs w:val="20"/>
              </w:rPr>
              <w:t>指本月内，债券发行人在债券到期日或到期日之前部分或全部偿还的本金和利息。本项仅限债务证券使用，非债务性工具不填报此项。</w:t>
            </w:r>
          </w:p>
        </w:tc>
      </w:tr>
      <w:tr w:rsidR="00A052DC" w14:paraId="7FDDEBBC" w14:textId="77777777">
        <w:trPr>
          <w:cantSplit/>
        </w:trPr>
        <w:tc>
          <w:tcPr>
            <w:tcW w:w="2093" w:type="dxa"/>
          </w:tcPr>
          <w:p w14:paraId="4699F49D" w14:textId="77777777" w:rsidR="00A052DC" w:rsidRDefault="009F0A60">
            <w:pPr>
              <w:rPr>
                <w:rFonts w:ascii="黑体" w:eastAsia="黑体" w:hAnsi="黑体"/>
                <w:sz w:val="20"/>
                <w:szCs w:val="20"/>
              </w:rPr>
            </w:pPr>
            <w:r>
              <w:rPr>
                <w:rFonts w:ascii="黑体" w:eastAsia="黑体" w:hAnsi="黑体" w:hint="eastAsia"/>
                <w:sz w:val="20"/>
                <w:szCs w:val="20"/>
              </w:rPr>
              <w:t>本月非交易变动</w:t>
            </w:r>
          </w:p>
        </w:tc>
        <w:tc>
          <w:tcPr>
            <w:tcW w:w="6379" w:type="dxa"/>
          </w:tcPr>
          <w:p w14:paraId="1B49F8E3" w14:textId="77777777" w:rsidR="00A052DC" w:rsidRDefault="009F0A60">
            <w:pPr>
              <w:rPr>
                <w:rFonts w:ascii="黑体" w:eastAsia="黑体" w:hAnsi="黑体"/>
                <w:sz w:val="20"/>
                <w:szCs w:val="20"/>
              </w:rPr>
            </w:pPr>
            <w:r>
              <w:rPr>
                <w:rFonts w:ascii="黑体" w:eastAsia="黑体" w:hAnsi="黑体" w:hint="eastAsia"/>
                <w:sz w:val="20"/>
                <w:szCs w:val="20"/>
              </w:rPr>
              <w:t>反映统计期间居民所托管工具除买卖等交易因素以外的非交易因素引起的变动。须满足以下校验关系：本月非交易变动</w:t>
            </w:r>
            <w:r>
              <w:rPr>
                <w:rFonts w:ascii="黑体" w:eastAsia="黑体" w:hAnsi="黑体"/>
                <w:sz w:val="20"/>
                <w:szCs w:val="20"/>
              </w:rPr>
              <w:t>=本月末市值-上月末市值-[</w:t>
            </w:r>
            <w:r>
              <w:rPr>
                <w:rFonts w:ascii="黑体" w:eastAsia="黑体" w:hAnsi="黑体" w:hint="eastAsia"/>
                <w:sz w:val="20"/>
                <w:szCs w:val="20"/>
              </w:rPr>
              <w:t>本月买入</w:t>
            </w:r>
            <w:r>
              <w:rPr>
                <w:rFonts w:ascii="黑体" w:eastAsia="黑体" w:hAnsi="黑体"/>
                <w:sz w:val="20"/>
                <w:szCs w:val="20"/>
              </w:rPr>
              <w:t>/申购/(现金)结算付款额-本月卖出/赎回/(现金)结算收款额]</w:t>
            </w:r>
            <w:r>
              <w:rPr>
                <w:rFonts w:ascii="黑体" w:eastAsia="黑体" w:hAnsi="黑体" w:hint="eastAsia"/>
                <w:sz w:val="20"/>
                <w:szCs w:val="20"/>
              </w:rPr>
              <w:t>。</w:t>
            </w:r>
          </w:p>
        </w:tc>
      </w:tr>
      <w:tr w:rsidR="00A052DC" w14:paraId="1734AE7B" w14:textId="77777777">
        <w:trPr>
          <w:cantSplit/>
        </w:trPr>
        <w:tc>
          <w:tcPr>
            <w:tcW w:w="2093" w:type="dxa"/>
          </w:tcPr>
          <w:p w14:paraId="7FA9923D" w14:textId="77777777" w:rsidR="00A052DC" w:rsidRDefault="009F0A60">
            <w:pPr>
              <w:rPr>
                <w:rFonts w:ascii="黑体" w:eastAsia="黑体" w:hAnsi="黑体"/>
                <w:sz w:val="20"/>
                <w:szCs w:val="20"/>
              </w:rPr>
            </w:pPr>
            <w:r>
              <w:rPr>
                <w:rFonts w:ascii="黑体" w:eastAsia="黑体" w:hAnsi="黑体" w:hint="eastAsia"/>
                <w:sz w:val="20"/>
                <w:szCs w:val="20"/>
              </w:rPr>
              <w:t>注销、调整或重新分类至其他项目统计的金额</w:t>
            </w:r>
          </w:p>
        </w:tc>
        <w:tc>
          <w:tcPr>
            <w:tcW w:w="6379" w:type="dxa"/>
          </w:tcPr>
          <w:p w14:paraId="275C339C" w14:textId="77777777" w:rsidR="00A052DC" w:rsidRDefault="009F0A60">
            <w:pPr>
              <w:rPr>
                <w:rFonts w:ascii="黑体" w:eastAsia="黑体" w:hAnsi="黑体"/>
                <w:sz w:val="20"/>
                <w:szCs w:val="20"/>
              </w:rPr>
            </w:pPr>
            <w:r>
              <w:rPr>
                <w:rFonts w:ascii="黑体" w:eastAsia="黑体" w:hAnsi="黑体" w:hint="eastAsia"/>
                <w:sz w:val="20"/>
                <w:szCs w:val="20"/>
              </w:rPr>
              <w:t>指非交易因素和非价值重估因素引起的相关工具资产数量增减和价值变动，包括但不限于本月因居民委托人注销或重新分类相关投资，也包括其他不能归类为价值重估或汇率波动引起的资产价值变动。该项目须满足以下校验关系：本月非交易变动</w:t>
            </w:r>
            <w:r>
              <w:rPr>
                <w:rFonts w:ascii="黑体" w:eastAsia="黑体" w:hAnsi="黑体"/>
                <w:sz w:val="20"/>
                <w:szCs w:val="20"/>
              </w:rPr>
              <w:t>=</w:t>
            </w:r>
            <w:r>
              <w:rPr>
                <w:rFonts w:ascii="黑体" w:eastAsia="黑体" w:hAnsi="黑体" w:hint="eastAsia"/>
                <w:sz w:val="20"/>
                <w:szCs w:val="20"/>
              </w:rPr>
              <w:t>注销、调整或重新分类至其他项目统计的金额</w:t>
            </w:r>
            <w:r>
              <w:rPr>
                <w:rFonts w:ascii="黑体" w:eastAsia="黑体" w:hAnsi="黑体"/>
                <w:sz w:val="20"/>
                <w:szCs w:val="20"/>
              </w:rPr>
              <w:t>+价值重估因素。</w:t>
            </w:r>
          </w:p>
        </w:tc>
      </w:tr>
      <w:tr w:rsidR="00A052DC" w14:paraId="5EA4C7A8" w14:textId="77777777">
        <w:trPr>
          <w:cantSplit/>
        </w:trPr>
        <w:tc>
          <w:tcPr>
            <w:tcW w:w="2093" w:type="dxa"/>
          </w:tcPr>
          <w:p w14:paraId="5B16711C" w14:textId="77777777" w:rsidR="00A052DC" w:rsidRDefault="009F0A60">
            <w:pPr>
              <w:rPr>
                <w:rFonts w:ascii="黑体" w:eastAsia="黑体" w:hAnsi="黑体"/>
                <w:sz w:val="20"/>
                <w:szCs w:val="20"/>
              </w:rPr>
            </w:pPr>
            <w:r>
              <w:rPr>
                <w:rFonts w:ascii="黑体" w:eastAsia="黑体" w:hAnsi="黑体" w:hint="eastAsia"/>
                <w:sz w:val="20"/>
                <w:szCs w:val="20"/>
              </w:rPr>
              <w:t>价值重估因素</w:t>
            </w:r>
          </w:p>
        </w:tc>
        <w:tc>
          <w:tcPr>
            <w:tcW w:w="6379" w:type="dxa"/>
          </w:tcPr>
          <w:p w14:paraId="06FE2381" w14:textId="77777777" w:rsidR="00A052DC" w:rsidRDefault="009F0A60">
            <w:pPr>
              <w:rPr>
                <w:rFonts w:ascii="黑体" w:eastAsia="黑体" w:hAnsi="黑体"/>
                <w:sz w:val="20"/>
                <w:szCs w:val="20"/>
              </w:rPr>
            </w:pPr>
            <w:r>
              <w:rPr>
                <w:rFonts w:ascii="黑体" w:eastAsia="黑体" w:hAnsi="黑体" w:hint="eastAsia"/>
                <w:sz w:val="20"/>
                <w:szCs w:val="20"/>
              </w:rPr>
              <w:t>指当期市场价格或近似参考价格变动引起的价值变化（重估损益）。该项目须满足以下校验关系：本月非交易变动=注销、调整或重新分类至其他项目统计的金额+价值重估因素。</w:t>
            </w:r>
          </w:p>
        </w:tc>
      </w:tr>
      <w:tr w:rsidR="00A052DC" w14:paraId="1BACB6CF" w14:textId="77777777">
        <w:trPr>
          <w:cantSplit/>
        </w:trPr>
        <w:tc>
          <w:tcPr>
            <w:tcW w:w="2093" w:type="dxa"/>
          </w:tcPr>
          <w:p w14:paraId="728C4FEB" w14:textId="77777777" w:rsidR="00A052DC" w:rsidRDefault="009F0A60">
            <w:pPr>
              <w:rPr>
                <w:rFonts w:ascii="黑体" w:eastAsia="黑体" w:hAnsi="黑体"/>
                <w:sz w:val="20"/>
                <w:szCs w:val="20"/>
              </w:rPr>
            </w:pPr>
            <w:r>
              <w:rPr>
                <w:rFonts w:ascii="黑体" w:eastAsia="黑体" w:hAnsi="黑体" w:hint="eastAsia"/>
                <w:sz w:val="20"/>
                <w:szCs w:val="20"/>
              </w:rPr>
              <w:t>本月末市值</w:t>
            </w:r>
          </w:p>
        </w:tc>
        <w:tc>
          <w:tcPr>
            <w:tcW w:w="6379" w:type="dxa"/>
          </w:tcPr>
          <w:p w14:paraId="0BE2ED0D" w14:textId="77777777" w:rsidR="00A052DC" w:rsidRDefault="009F0A60">
            <w:pPr>
              <w:rPr>
                <w:rFonts w:ascii="黑体" w:eastAsia="黑体" w:hAnsi="黑体"/>
                <w:sz w:val="20"/>
                <w:szCs w:val="20"/>
              </w:rPr>
            </w:pPr>
            <w:r>
              <w:rPr>
                <w:rFonts w:ascii="黑体" w:eastAsia="黑体" w:hAnsi="黑体" w:hint="eastAsia"/>
                <w:sz w:val="20"/>
                <w:szCs w:val="20"/>
              </w:rPr>
              <w:t>指本月末居民所托管工具的公允价值。应优先使用本月最后一个交易日收盘价计算的市场价值（债券类工具应按全价计值）。如无市场价值，则按照惯例填报公允价值。如为存贷款或应收应付款，则为本月末账面余额。对于金融衍生产品，如填报的是小汇总数据，不得将公允价值为正值的合约与公允价值为负值合约进行轧差合并。</w:t>
            </w:r>
          </w:p>
        </w:tc>
      </w:tr>
      <w:tr w:rsidR="00A052DC" w14:paraId="1ACBB303" w14:textId="77777777">
        <w:trPr>
          <w:cantSplit/>
        </w:trPr>
        <w:tc>
          <w:tcPr>
            <w:tcW w:w="2093" w:type="dxa"/>
          </w:tcPr>
          <w:p w14:paraId="4BEDE7AF" w14:textId="77777777" w:rsidR="00A052DC" w:rsidRDefault="009F0A60">
            <w:pPr>
              <w:rPr>
                <w:rFonts w:ascii="黑体" w:eastAsia="黑体" w:hAnsi="黑体"/>
                <w:sz w:val="20"/>
                <w:szCs w:val="20"/>
              </w:rPr>
            </w:pPr>
            <w:r>
              <w:rPr>
                <w:rFonts w:ascii="黑体" w:eastAsia="黑体" w:hAnsi="黑体" w:hint="eastAsia"/>
                <w:sz w:val="20"/>
                <w:szCs w:val="20"/>
              </w:rPr>
              <w:t>本月末市值其中：剩余期限在一年及以下</w:t>
            </w:r>
          </w:p>
        </w:tc>
        <w:tc>
          <w:tcPr>
            <w:tcW w:w="6379" w:type="dxa"/>
          </w:tcPr>
          <w:p w14:paraId="00DDFF2B" w14:textId="77777777" w:rsidR="00A052DC" w:rsidRDefault="009F0A60">
            <w:pPr>
              <w:rPr>
                <w:rFonts w:ascii="黑体" w:eastAsia="黑体" w:hAnsi="黑体"/>
                <w:sz w:val="20"/>
                <w:szCs w:val="20"/>
              </w:rPr>
            </w:pPr>
            <w:r>
              <w:rPr>
                <w:rFonts w:ascii="黑体" w:eastAsia="黑体" w:hAnsi="黑体" w:hint="eastAsia"/>
                <w:sz w:val="20"/>
                <w:szCs w:val="20"/>
              </w:rPr>
              <w:t>“投资工具类型”项的值为11-15或20时，该项为0；“投资工具类型”项的值为16-19或21-23时，该项按以下要求填写：</w:t>
            </w:r>
          </w:p>
          <w:p w14:paraId="5F92B8E3" w14:textId="77777777" w:rsidR="00A052DC" w:rsidRDefault="009F0A60">
            <w:pPr>
              <w:rPr>
                <w:rFonts w:ascii="黑体" w:eastAsia="黑体" w:hAnsi="黑体"/>
                <w:sz w:val="20"/>
                <w:szCs w:val="20"/>
              </w:rPr>
            </w:pPr>
            <w:r>
              <w:rPr>
                <w:rFonts w:ascii="黑体" w:eastAsia="黑体" w:hAnsi="黑体" w:hint="eastAsia"/>
                <w:sz w:val="20"/>
                <w:szCs w:val="20"/>
              </w:rPr>
              <w:t>指自本月末至最终到期的期限在一年及以下的债务类工具的价值（按所持证券的原始币种）。应优先使用公开市场期末市场价值，如无市场价值，则按照申报主体的记账惯例填报公允价值。如为存贷款或应收应付款，则为本月末账面余额。</w:t>
            </w:r>
          </w:p>
        </w:tc>
      </w:tr>
      <w:tr w:rsidR="00A052DC" w14:paraId="43D63B79" w14:textId="77777777">
        <w:trPr>
          <w:cantSplit/>
        </w:trPr>
        <w:tc>
          <w:tcPr>
            <w:tcW w:w="2093" w:type="dxa"/>
          </w:tcPr>
          <w:p w14:paraId="139F312A" w14:textId="77777777" w:rsidR="00A052DC" w:rsidRDefault="009F0A60">
            <w:pPr>
              <w:rPr>
                <w:rFonts w:ascii="黑体" w:eastAsia="黑体" w:hAnsi="黑体"/>
                <w:sz w:val="20"/>
                <w:szCs w:val="20"/>
              </w:rPr>
            </w:pPr>
            <w:r>
              <w:rPr>
                <w:rFonts w:ascii="黑体" w:eastAsia="黑体" w:hAnsi="黑体" w:hint="eastAsia"/>
                <w:sz w:val="20"/>
                <w:szCs w:val="20"/>
              </w:rPr>
              <w:t>本月红利或利息收入</w:t>
            </w:r>
          </w:p>
        </w:tc>
        <w:tc>
          <w:tcPr>
            <w:tcW w:w="6379" w:type="dxa"/>
          </w:tcPr>
          <w:p w14:paraId="5D2DDF23" w14:textId="77777777" w:rsidR="00A052DC" w:rsidRDefault="009F0A60">
            <w:pPr>
              <w:rPr>
                <w:rFonts w:ascii="黑体" w:eastAsia="黑体" w:hAnsi="黑体"/>
                <w:sz w:val="20"/>
                <w:szCs w:val="20"/>
              </w:rPr>
            </w:pPr>
            <w:r>
              <w:rPr>
                <w:rFonts w:ascii="黑体" w:eastAsia="黑体" w:hAnsi="黑体" w:hint="eastAsia"/>
                <w:sz w:val="20"/>
                <w:szCs w:val="20"/>
              </w:rPr>
              <w:t>指按照权责发生制原则，本月居民所托管的股本证券、投资基金份额、债券或债务类产品确认的红利、股息或利息收入。指当月数，而非累计数。对于股票股息，按照除息日当日投资者持有的股票份数乘每股派息金额填报。</w:t>
            </w:r>
          </w:p>
        </w:tc>
      </w:tr>
      <w:tr w:rsidR="00A052DC" w14:paraId="49EA2BC0" w14:textId="77777777">
        <w:trPr>
          <w:cantSplit/>
        </w:trPr>
        <w:tc>
          <w:tcPr>
            <w:tcW w:w="2093" w:type="dxa"/>
          </w:tcPr>
          <w:p w14:paraId="0CB4712B" w14:textId="77777777" w:rsidR="00A052DC" w:rsidRDefault="009F0A60">
            <w:pPr>
              <w:rPr>
                <w:rFonts w:ascii="黑体" w:eastAsia="黑体" w:hAnsi="黑体"/>
                <w:sz w:val="20"/>
                <w:szCs w:val="20"/>
              </w:rPr>
            </w:pPr>
            <w:r>
              <w:rPr>
                <w:rFonts w:ascii="黑体" w:eastAsia="黑体" w:hAnsi="黑体" w:hint="eastAsia"/>
                <w:sz w:val="20"/>
                <w:szCs w:val="20"/>
              </w:rPr>
              <w:t>金融衍生产品的名义本金币种</w:t>
            </w:r>
          </w:p>
        </w:tc>
        <w:tc>
          <w:tcPr>
            <w:tcW w:w="6379" w:type="dxa"/>
          </w:tcPr>
          <w:p w14:paraId="01663ACB" w14:textId="77777777" w:rsidR="00A052DC" w:rsidRDefault="009F0A60">
            <w:pPr>
              <w:rPr>
                <w:rFonts w:ascii="黑体" w:eastAsia="黑体" w:hAnsi="黑体"/>
                <w:sz w:val="20"/>
                <w:szCs w:val="20"/>
              </w:rPr>
            </w:pPr>
            <w:r>
              <w:rPr>
                <w:rFonts w:ascii="黑体" w:eastAsia="黑体" w:hAnsi="黑体" w:hint="eastAsia"/>
                <w:sz w:val="20"/>
                <w:szCs w:val="20"/>
              </w:rPr>
              <w:t>指本月末仍存续的金融衍生品名义本金的计价币种。如涉及双币种，请选取基础币种或按本机构惯例填报。</w:t>
            </w:r>
          </w:p>
        </w:tc>
      </w:tr>
      <w:tr w:rsidR="00A052DC" w14:paraId="0D24A721" w14:textId="77777777">
        <w:trPr>
          <w:cantSplit/>
        </w:trPr>
        <w:tc>
          <w:tcPr>
            <w:tcW w:w="2093" w:type="dxa"/>
          </w:tcPr>
          <w:p w14:paraId="379D52D2" w14:textId="77777777" w:rsidR="00A052DC" w:rsidRDefault="009F0A60">
            <w:pPr>
              <w:rPr>
                <w:rFonts w:ascii="黑体" w:eastAsia="黑体" w:hAnsi="黑体"/>
                <w:sz w:val="20"/>
                <w:szCs w:val="20"/>
              </w:rPr>
            </w:pPr>
            <w:r>
              <w:rPr>
                <w:rFonts w:ascii="黑体" w:eastAsia="黑体" w:hAnsi="黑体" w:hint="eastAsia"/>
                <w:sz w:val="20"/>
                <w:szCs w:val="20"/>
              </w:rPr>
              <w:t>金融衍生产品的本月末名义本金金额</w:t>
            </w:r>
          </w:p>
        </w:tc>
        <w:tc>
          <w:tcPr>
            <w:tcW w:w="6379" w:type="dxa"/>
          </w:tcPr>
          <w:p w14:paraId="297F2113" w14:textId="77777777" w:rsidR="00A052DC" w:rsidRDefault="009F0A60">
            <w:pPr>
              <w:rPr>
                <w:rFonts w:ascii="黑体" w:eastAsia="黑体" w:hAnsi="黑体"/>
                <w:sz w:val="20"/>
                <w:szCs w:val="20"/>
              </w:rPr>
            </w:pPr>
            <w:r>
              <w:rPr>
                <w:rFonts w:ascii="黑体" w:eastAsia="黑体" w:hAnsi="黑体" w:hint="eastAsia"/>
                <w:sz w:val="20"/>
                <w:szCs w:val="20"/>
              </w:rPr>
              <w:t>指本月末仍存续的金融衍生品合约的名义本金价值。对于本金价值可变的合约，填报本月末合约本金。</w:t>
            </w:r>
          </w:p>
        </w:tc>
      </w:tr>
      <w:tr w:rsidR="00A052DC" w14:paraId="078312FF" w14:textId="77777777">
        <w:trPr>
          <w:cantSplit/>
        </w:trPr>
        <w:tc>
          <w:tcPr>
            <w:tcW w:w="2093" w:type="dxa"/>
          </w:tcPr>
          <w:p w14:paraId="522C4C91" w14:textId="77777777" w:rsidR="00A052DC" w:rsidRDefault="009F0A60">
            <w:pPr>
              <w:rPr>
                <w:rFonts w:ascii="黑体" w:eastAsia="黑体" w:hAnsi="黑体"/>
                <w:sz w:val="20"/>
                <w:szCs w:val="20"/>
              </w:rPr>
            </w:pPr>
            <w:r>
              <w:rPr>
                <w:rFonts w:ascii="黑体" w:eastAsia="黑体" w:hAnsi="黑体" w:hint="eastAsia"/>
                <w:sz w:val="20"/>
                <w:szCs w:val="20"/>
              </w:rPr>
              <w:t>本月末</w:t>
            </w:r>
            <w:r>
              <w:rPr>
                <w:rFonts w:ascii="黑体" w:eastAsia="黑体" w:hAnsi="黑体"/>
                <w:color w:val="000000"/>
                <w:sz w:val="20"/>
                <w:szCs w:val="20"/>
              </w:rPr>
              <w:t>未到期/未偿付</w:t>
            </w:r>
            <w:r>
              <w:rPr>
                <w:rFonts w:ascii="黑体" w:eastAsia="黑体" w:hAnsi="黑体" w:hint="eastAsia"/>
                <w:sz w:val="20"/>
                <w:szCs w:val="20"/>
              </w:rPr>
              <w:t>债券面值</w:t>
            </w:r>
          </w:p>
        </w:tc>
        <w:tc>
          <w:tcPr>
            <w:tcW w:w="6379" w:type="dxa"/>
          </w:tcPr>
          <w:p w14:paraId="08823DA2" w14:textId="77777777" w:rsidR="00A052DC" w:rsidRDefault="009F0A60">
            <w:pPr>
              <w:rPr>
                <w:rFonts w:ascii="黑体" w:eastAsia="黑体" w:hAnsi="黑体"/>
                <w:sz w:val="20"/>
                <w:szCs w:val="20"/>
              </w:rPr>
            </w:pPr>
            <w:r>
              <w:rPr>
                <w:rFonts w:ascii="黑体" w:eastAsia="黑体" w:hAnsi="黑体" w:hint="eastAsia"/>
                <w:sz w:val="20"/>
                <w:szCs w:val="20"/>
              </w:rPr>
              <w:t>债券面值为债券发行人在债券到期时需向持有人偿还的本金金额。本项应填报为债券票面金额与本月末投资者持有债券数量的乘积。本项仅限债务证券使用，非债务性工具不填报此项。</w:t>
            </w:r>
          </w:p>
        </w:tc>
      </w:tr>
      <w:tr w:rsidR="00A052DC" w14:paraId="2E96400A" w14:textId="77777777">
        <w:trPr>
          <w:cantSplit/>
        </w:trPr>
        <w:tc>
          <w:tcPr>
            <w:tcW w:w="2093" w:type="dxa"/>
          </w:tcPr>
          <w:p w14:paraId="4A7C7B61" w14:textId="77777777" w:rsidR="00A052DC" w:rsidRDefault="009F0A60">
            <w:pPr>
              <w:rPr>
                <w:rFonts w:ascii="黑体" w:eastAsia="黑体" w:hAnsi="黑体"/>
                <w:sz w:val="20"/>
                <w:szCs w:val="20"/>
              </w:rPr>
            </w:pPr>
            <w:r>
              <w:rPr>
                <w:rFonts w:ascii="黑体" w:eastAsia="黑体" w:hAnsi="黑体" w:hint="eastAsia"/>
                <w:sz w:val="20"/>
                <w:szCs w:val="20"/>
              </w:rPr>
              <w:t>备注</w:t>
            </w:r>
          </w:p>
        </w:tc>
        <w:tc>
          <w:tcPr>
            <w:tcW w:w="6379" w:type="dxa"/>
          </w:tcPr>
          <w:p w14:paraId="249621AA" w14:textId="77777777" w:rsidR="00A052DC" w:rsidRDefault="009F0A60">
            <w:pPr>
              <w:rPr>
                <w:rFonts w:ascii="黑体" w:eastAsia="黑体" w:hAnsi="黑体"/>
                <w:sz w:val="20"/>
                <w:szCs w:val="20"/>
              </w:rPr>
            </w:pPr>
            <w:r>
              <w:rPr>
                <w:rFonts w:ascii="黑体" w:eastAsia="黑体" w:hAnsi="黑体" w:hint="eastAsia"/>
                <w:sz w:val="20"/>
                <w:szCs w:val="20"/>
              </w:rPr>
              <w:t>需要说明的备注事项。</w:t>
            </w:r>
          </w:p>
        </w:tc>
      </w:tr>
    </w:tbl>
    <w:p w14:paraId="55238BD5" w14:textId="77777777" w:rsidR="00A052DC" w:rsidRDefault="009F0A60">
      <w:pPr>
        <w:pStyle w:val="4"/>
        <w:numPr>
          <w:ilvl w:val="3"/>
          <w:numId w:val="1"/>
        </w:numPr>
        <w:jc w:val="left"/>
      </w:pPr>
      <w:bookmarkStart w:id="3668" w:name="_Toc454391462"/>
      <w:bookmarkStart w:id="3669" w:name="_Toc380571011"/>
      <w:r>
        <w:rPr>
          <w:rFonts w:hint="eastAsia"/>
        </w:rPr>
        <w:t>数据格式</w:t>
      </w:r>
      <w:bookmarkEnd w:id="3668"/>
      <w:bookmarkEnd w:id="3669"/>
    </w:p>
    <w:p w14:paraId="4FB8602A" w14:textId="77777777" w:rsidR="00A052DC" w:rsidRDefault="009F0A60">
      <w:pPr>
        <w:ind w:firstLine="425"/>
      </w:pPr>
      <w:r>
        <w:t>&lt;REC&gt;</w:t>
      </w:r>
    </w:p>
    <w:p w14:paraId="6F4E19C6" w14:textId="77777777" w:rsidR="00A052DC" w:rsidRDefault="009F0A60">
      <w:pPr>
        <w:ind w:firstLine="425"/>
      </w:pPr>
      <w:r>
        <w:t>&lt;ACTIONTYPE&gt;</w:t>
      </w:r>
      <w:r w:rsidR="00A412F6" w:rsidRPr="00A412F6">
        <w:t>操作类型</w:t>
      </w:r>
      <w:r>
        <w:t>&lt;/ACTIONTYPE&gt;</w:t>
      </w:r>
    </w:p>
    <w:p w14:paraId="223FBE10" w14:textId="77777777" w:rsidR="00A052DC" w:rsidRDefault="009F0A60">
      <w:pPr>
        <w:ind w:firstLine="425"/>
      </w:pPr>
      <w:r>
        <w:t>&lt;ACTIONDESC&gt;</w:t>
      </w:r>
      <w:r w:rsidR="00A412F6" w:rsidRPr="00A412F6">
        <w:t>删除原因</w:t>
      </w:r>
      <w:r>
        <w:t>&lt;/ACTIONDESC&gt;</w:t>
      </w:r>
    </w:p>
    <w:p w14:paraId="026B2C7B" w14:textId="77777777" w:rsidR="00A052DC" w:rsidRDefault="009F0A60">
      <w:pPr>
        <w:ind w:firstLine="425"/>
      </w:pPr>
      <w:r>
        <w:t>&lt;SNOCODE&gt;</w:t>
      </w:r>
      <w:r w:rsidR="00A412F6" w:rsidRPr="00A412F6">
        <w:t>数据自编码</w:t>
      </w:r>
      <w:r>
        <w:t>&lt;/SNOCODE&gt;</w:t>
      </w:r>
    </w:p>
    <w:p w14:paraId="649614CB" w14:textId="77777777" w:rsidR="00A052DC" w:rsidRDefault="009F0A60">
      <w:pPr>
        <w:ind w:firstLine="425"/>
      </w:pPr>
      <w:r>
        <w:t>&lt;OBJCODE&gt;</w:t>
      </w:r>
      <w:r w:rsidR="00A412F6" w:rsidRPr="00A412F6">
        <w:t>申报主体代码</w:t>
      </w:r>
      <w:r>
        <w:t>&lt;/OBJCODE&gt;</w:t>
      </w:r>
    </w:p>
    <w:p w14:paraId="6CA88CBB" w14:textId="77777777" w:rsidR="00A052DC" w:rsidRDefault="009F0A60">
      <w:pPr>
        <w:ind w:firstLine="425"/>
      </w:pPr>
      <w:r>
        <w:t>&lt;BUOCMONTH&gt;</w:t>
      </w:r>
      <w:r w:rsidR="00A412F6" w:rsidRPr="00A412F6">
        <w:t>报告期</w:t>
      </w:r>
      <w:r>
        <w:t>&lt;/BUOCMONTH&gt;</w:t>
      </w:r>
    </w:p>
    <w:p w14:paraId="192BE2BD" w14:textId="77777777" w:rsidR="00A052DC" w:rsidRDefault="009F0A60">
      <w:pPr>
        <w:ind w:firstLine="425"/>
      </w:pPr>
      <w:r>
        <w:t>&lt;H0201CODE&gt;</w:t>
      </w:r>
      <w:r w:rsidR="00A412F6" w:rsidRPr="00A412F6">
        <w:t>居民委托人代码</w:t>
      </w:r>
      <w:r>
        <w:t>&lt;/H0201CODE&gt;</w:t>
      </w:r>
    </w:p>
    <w:p w14:paraId="43A6296D" w14:textId="77777777" w:rsidR="00A052DC" w:rsidRDefault="009F0A60">
      <w:pPr>
        <w:ind w:firstLine="425"/>
      </w:pPr>
      <w:r>
        <w:t>&lt;H0201&gt;</w:t>
      </w:r>
      <w:r w:rsidR="00A412F6" w:rsidRPr="00A412F6">
        <w:t>居民委托人名称</w:t>
      </w:r>
      <w:r>
        <w:t>&lt;/H0201&gt;</w:t>
      </w:r>
    </w:p>
    <w:p w14:paraId="58902059" w14:textId="77777777" w:rsidR="00A052DC" w:rsidRDefault="009F0A60">
      <w:pPr>
        <w:ind w:firstLine="425"/>
      </w:pPr>
      <w:r>
        <w:t>&lt;H0202&gt;</w:t>
      </w:r>
      <w:r w:rsidR="00A412F6" w:rsidRPr="00A412F6">
        <w:t>居民委托人所属部门</w:t>
      </w:r>
      <w:r>
        <w:t>&lt;/H0202&gt;</w:t>
      </w:r>
    </w:p>
    <w:p w14:paraId="2C35E9CC" w14:textId="77777777" w:rsidR="00A052DC" w:rsidRDefault="009F0A60">
      <w:pPr>
        <w:ind w:firstLine="425"/>
      </w:pPr>
      <w:r>
        <w:t>&lt;H0203CODE&gt;</w:t>
      </w:r>
      <w:r w:rsidR="00A412F6" w:rsidRPr="00A412F6">
        <w:t>业务编号</w:t>
      </w:r>
      <w:r>
        <w:t>&lt;/H0203CODE&gt;</w:t>
      </w:r>
    </w:p>
    <w:p w14:paraId="2B570D6E" w14:textId="77777777" w:rsidR="00A052DC" w:rsidRDefault="009F0A60">
      <w:pPr>
        <w:ind w:firstLine="425"/>
      </w:pPr>
      <w:r>
        <w:t>&lt;H0203&gt;</w:t>
      </w:r>
      <w:r w:rsidR="00A412F6" w:rsidRPr="00A412F6">
        <w:t>居民委托人产品名称</w:t>
      </w:r>
      <w:r>
        <w:t>&lt;/H0203&gt;</w:t>
      </w:r>
    </w:p>
    <w:p w14:paraId="45AAF207" w14:textId="77777777" w:rsidR="00A052DC" w:rsidRDefault="009F0A60">
      <w:pPr>
        <w:ind w:firstLine="425"/>
      </w:pPr>
      <w:r>
        <w:t>&lt;H0204&gt;</w:t>
      </w:r>
      <w:r w:rsidR="00A412F6" w:rsidRPr="00A412F6">
        <w:t>投资工具类型</w:t>
      </w:r>
      <w:r>
        <w:t>&lt;/H0204&gt;</w:t>
      </w:r>
    </w:p>
    <w:p w14:paraId="4A13D1CE" w14:textId="77777777" w:rsidR="00A052DC" w:rsidRDefault="009F0A60">
      <w:pPr>
        <w:ind w:firstLine="425"/>
      </w:pPr>
      <w:r>
        <w:t>&lt;H0204CODE&gt;</w:t>
      </w:r>
      <w:r w:rsidR="00A412F6" w:rsidRPr="00A412F6">
        <w:t>业务类型</w:t>
      </w:r>
      <w:r>
        <w:t>&lt;/H0204CODE&gt;</w:t>
      </w:r>
    </w:p>
    <w:p w14:paraId="7564AED0" w14:textId="77777777" w:rsidR="00A052DC" w:rsidRDefault="009F0A60">
      <w:pPr>
        <w:ind w:firstLine="425"/>
      </w:pPr>
      <w:r>
        <w:t>&lt;INVTYPE&gt;</w:t>
      </w:r>
      <w:r w:rsidR="00A412F6" w:rsidRPr="00A412F6">
        <w:t>投资品种类型</w:t>
      </w:r>
      <w:r>
        <w:t>&lt;/INVTYPE&gt;</w:t>
      </w:r>
    </w:p>
    <w:p w14:paraId="32935FBE" w14:textId="77777777" w:rsidR="00A052DC" w:rsidRDefault="009F0A60">
      <w:pPr>
        <w:ind w:firstLine="425"/>
      </w:pPr>
      <w:r>
        <w:t>&lt;H0205&gt;</w:t>
      </w:r>
      <w:r w:rsidR="00A412F6" w:rsidRPr="00A412F6">
        <w:t>金融衍生产品的合约类别</w:t>
      </w:r>
      <w:r>
        <w:t>&lt;/H0205&gt;</w:t>
      </w:r>
    </w:p>
    <w:p w14:paraId="5ACCD15E" w14:textId="77777777" w:rsidR="00A052DC" w:rsidRDefault="009F0A60">
      <w:pPr>
        <w:ind w:firstLine="425"/>
      </w:pPr>
      <w:r>
        <w:t>&lt;H0206&gt;</w:t>
      </w:r>
      <w:r w:rsidR="00A412F6" w:rsidRPr="00A412F6">
        <w:t>金融衍生产品的风险类别</w:t>
      </w:r>
      <w:r>
        <w:t>&lt;/H0206&gt;</w:t>
      </w:r>
    </w:p>
    <w:p w14:paraId="7E88D8B7" w14:textId="77777777" w:rsidR="00A052DC" w:rsidRDefault="009F0A60">
      <w:pPr>
        <w:ind w:firstLine="425"/>
      </w:pPr>
      <w:r>
        <w:t>&lt;H0207&gt;</w:t>
      </w:r>
      <w:r w:rsidR="00A412F6" w:rsidRPr="00A412F6">
        <w:t>投资工具代码</w:t>
      </w:r>
      <w:r>
        <w:t>(</w:t>
      </w:r>
      <w:r w:rsidR="00A412F6" w:rsidRPr="00A412F6">
        <w:t>逐支报送使用</w:t>
      </w:r>
      <w:r>
        <w:t>)&lt;/H0207&gt;</w:t>
      </w:r>
    </w:p>
    <w:p w14:paraId="62EECEF4" w14:textId="77777777" w:rsidR="00A052DC" w:rsidRDefault="009F0A60">
      <w:pPr>
        <w:ind w:firstLine="425"/>
      </w:pPr>
      <w:r>
        <w:t>&lt;H0208&gt;</w:t>
      </w:r>
      <w:r w:rsidR="00A412F6" w:rsidRPr="00A412F6">
        <w:t>投资工具发行人名称（逐支报送使用）</w:t>
      </w:r>
      <w:r>
        <w:t>&lt;/H0208&gt;</w:t>
      </w:r>
    </w:p>
    <w:p w14:paraId="7E8644D2" w14:textId="77777777" w:rsidR="00A052DC" w:rsidRDefault="009F0A60">
      <w:pPr>
        <w:ind w:firstLine="425"/>
      </w:pPr>
      <w:r>
        <w:t>&lt;H0209&gt;</w:t>
      </w:r>
      <w:r w:rsidR="00A412F6" w:rsidRPr="00A412F6">
        <w:t>投资工具发行市场</w:t>
      </w:r>
      <w:r>
        <w:t>&lt;/H0209&gt;</w:t>
      </w:r>
    </w:p>
    <w:p w14:paraId="000B38DC" w14:textId="77777777" w:rsidR="00A052DC" w:rsidRDefault="009F0A60">
      <w:pPr>
        <w:ind w:firstLine="425"/>
      </w:pPr>
      <w:r>
        <w:t>&lt;H0210&gt;</w:t>
      </w:r>
      <w:r w:rsidR="00A412F6" w:rsidRPr="00A412F6">
        <w:t>投资工具发行人所属国家</w:t>
      </w:r>
      <w:r>
        <w:t>/</w:t>
      </w:r>
      <w:r w:rsidR="00A412F6" w:rsidRPr="00A412F6">
        <w:t>地区</w:t>
      </w:r>
      <w:r>
        <w:t>&lt;/H0210&gt;</w:t>
      </w:r>
    </w:p>
    <w:p w14:paraId="4990FA1B" w14:textId="77777777" w:rsidR="00A052DC" w:rsidRDefault="009F0A60">
      <w:pPr>
        <w:ind w:firstLine="425"/>
      </w:pPr>
      <w:r>
        <w:t>&lt;H0211&gt;</w:t>
      </w:r>
      <w:r w:rsidR="00A412F6" w:rsidRPr="00A412F6">
        <w:t>投资工具发行人所属部门</w:t>
      </w:r>
      <w:r>
        <w:t>&lt;/H0211&gt;</w:t>
      </w:r>
    </w:p>
    <w:p w14:paraId="59D7C1C3" w14:textId="77777777" w:rsidR="00A052DC" w:rsidRDefault="009F0A60">
      <w:pPr>
        <w:ind w:firstLine="425"/>
      </w:pPr>
      <w:r>
        <w:t>&lt;H0212&gt;</w:t>
      </w:r>
      <w:r w:rsidR="00A412F6" w:rsidRPr="00A412F6">
        <w:t>投资工具发行人与居民委托人的关系</w:t>
      </w:r>
      <w:r>
        <w:t>&lt;/H0212&gt;</w:t>
      </w:r>
    </w:p>
    <w:p w14:paraId="45314928" w14:textId="77777777" w:rsidR="00A052DC" w:rsidRDefault="009F0A60">
      <w:pPr>
        <w:ind w:firstLine="425"/>
      </w:pPr>
      <w:r>
        <w:t>&lt;H0213&gt;</w:t>
      </w:r>
      <w:r w:rsidR="00A412F6" w:rsidRPr="00A412F6">
        <w:t>投资工具的原始期限</w:t>
      </w:r>
      <w:r>
        <w:t>&lt;/H0213&gt;</w:t>
      </w:r>
    </w:p>
    <w:p w14:paraId="0ED04BEA" w14:textId="77777777" w:rsidR="00A052DC" w:rsidRDefault="009F0A60">
      <w:pPr>
        <w:ind w:firstLine="425"/>
      </w:pPr>
      <w:r>
        <w:t>&lt;H0214&gt;</w:t>
      </w:r>
      <w:r w:rsidR="00A412F6" w:rsidRPr="00A412F6">
        <w:t>原始币种</w:t>
      </w:r>
      <w:r>
        <w:t>&lt;/H0214&gt;</w:t>
      </w:r>
    </w:p>
    <w:p w14:paraId="67FD1550" w14:textId="77777777" w:rsidR="00A052DC" w:rsidRDefault="009F0A60">
      <w:pPr>
        <w:ind w:firstLine="425"/>
      </w:pPr>
      <w:r>
        <w:t>&lt;H0215&gt;</w:t>
      </w:r>
      <w:r w:rsidR="00A412F6" w:rsidRPr="00A412F6">
        <w:t>上月末市值</w:t>
      </w:r>
      <w:r>
        <w:t>&lt;/H0215&gt;</w:t>
      </w:r>
    </w:p>
    <w:p w14:paraId="73279EF0" w14:textId="77777777" w:rsidR="00A052DC" w:rsidRDefault="009F0A60">
      <w:pPr>
        <w:ind w:firstLine="425"/>
      </w:pPr>
      <w:r>
        <w:t>&lt;H0216&gt;</w:t>
      </w:r>
      <w:r w:rsidR="00A412F6" w:rsidRPr="00A412F6">
        <w:t>本月买入</w:t>
      </w:r>
      <w:r>
        <w:t>/</w:t>
      </w:r>
      <w:r w:rsidR="00A412F6" w:rsidRPr="00A412F6">
        <w:t>申购</w:t>
      </w:r>
      <w:r>
        <w:t>/(</w:t>
      </w:r>
      <w:r w:rsidR="00A412F6" w:rsidRPr="00A412F6">
        <w:t>现金</w:t>
      </w:r>
      <w:r>
        <w:t>)</w:t>
      </w:r>
      <w:r w:rsidR="00A412F6" w:rsidRPr="00A412F6">
        <w:t>结算付款额</w:t>
      </w:r>
      <w:r>
        <w:t>&lt;/H0216&gt;</w:t>
      </w:r>
    </w:p>
    <w:p w14:paraId="52094736" w14:textId="77777777" w:rsidR="00A052DC" w:rsidRDefault="009F0A60">
      <w:pPr>
        <w:ind w:firstLine="425"/>
      </w:pPr>
      <w:r>
        <w:t>&lt;H0217&gt;</w:t>
      </w:r>
      <w:r w:rsidR="00A412F6" w:rsidRPr="00A412F6">
        <w:t>本月卖出</w:t>
      </w:r>
      <w:r>
        <w:t>/</w:t>
      </w:r>
      <w:r w:rsidR="00A412F6" w:rsidRPr="00A412F6">
        <w:t>赎回</w:t>
      </w:r>
      <w:r>
        <w:t>/(</w:t>
      </w:r>
      <w:r w:rsidR="00A412F6" w:rsidRPr="00A412F6">
        <w:t>现金</w:t>
      </w:r>
      <w:r>
        <w:t>)</w:t>
      </w:r>
      <w:r w:rsidR="00A412F6" w:rsidRPr="00A412F6">
        <w:t>结算收款额</w:t>
      </w:r>
      <w:r>
        <w:t>&lt;/H0217&gt;</w:t>
      </w:r>
    </w:p>
    <w:p w14:paraId="48FDBD5B" w14:textId="77777777" w:rsidR="00A052DC" w:rsidRDefault="009F0A60">
      <w:pPr>
        <w:ind w:firstLine="425"/>
      </w:pPr>
      <w:r>
        <w:t>&lt;H0217AMT&gt;</w:t>
      </w:r>
      <w:r>
        <w:rPr>
          <w:rFonts w:hint="eastAsia"/>
        </w:rPr>
        <w:t>本月卖出</w:t>
      </w:r>
      <w:r>
        <w:t>/</w:t>
      </w:r>
      <w:r>
        <w:rPr>
          <w:rFonts w:hint="eastAsia"/>
        </w:rPr>
        <w:t>赎回</w:t>
      </w:r>
      <w:r>
        <w:t>/(</w:t>
      </w:r>
      <w:r>
        <w:rPr>
          <w:rFonts w:hint="eastAsia"/>
        </w:rPr>
        <w:t>现金</w:t>
      </w:r>
      <w:r>
        <w:t>)</w:t>
      </w:r>
      <w:r>
        <w:rPr>
          <w:rFonts w:hint="eastAsia"/>
        </w:rPr>
        <w:t>结算收款额其中：债券到期或提前兑付的本息金额</w:t>
      </w:r>
      <w:r>
        <w:t>&lt;/H0217AMT&gt;</w:t>
      </w:r>
    </w:p>
    <w:p w14:paraId="495624A0" w14:textId="77777777" w:rsidR="00563761" w:rsidRDefault="00F347E1" w:rsidP="0020251D">
      <w:pPr>
        <w:ind w:firstLine="425"/>
        <w:outlineLvl w:val="0"/>
      </w:pPr>
      <w:r w:rsidRPr="00F347E1">
        <w:rPr>
          <w:rFonts w:hint="eastAsia"/>
        </w:rPr>
        <w:t>&lt;H0218&gt;</w:t>
      </w:r>
      <w:r w:rsidRPr="00F347E1">
        <w:rPr>
          <w:rFonts w:hint="eastAsia"/>
        </w:rPr>
        <w:t>本月非交易变动</w:t>
      </w:r>
      <w:r w:rsidRPr="00F347E1">
        <w:rPr>
          <w:rFonts w:hint="eastAsia"/>
        </w:rPr>
        <w:t>&lt;/H0218&gt;</w:t>
      </w:r>
    </w:p>
    <w:p w14:paraId="08C7DC6E" w14:textId="77777777" w:rsidR="00A052DC" w:rsidRDefault="009F0A60">
      <w:pPr>
        <w:ind w:firstLine="425"/>
      </w:pPr>
      <w:r>
        <w:t>&lt;H0219&gt;</w:t>
      </w:r>
      <w:r w:rsidR="00A412F6" w:rsidRPr="00A412F6">
        <w:t>注销</w:t>
      </w:r>
      <w:r w:rsidR="00A412F6" w:rsidRPr="00A412F6">
        <w:rPr>
          <w:rFonts w:hint="eastAsia"/>
        </w:rPr>
        <w:t>、调整</w:t>
      </w:r>
      <w:r w:rsidR="00A412F6" w:rsidRPr="00A412F6">
        <w:t>或重新分类至其他项目统计的金额</w:t>
      </w:r>
      <w:r>
        <w:t>&lt;/H0219&gt;</w:t>
      </w:r>
    </w:p>
    <w:p w14:paraId="76601451" w14:textId="77777777" w:rsidR="00A052DC" w:rsidRDefault="009F0A60">
      <w:pPr>
        <w:ind w:firstLine="425"/>
      </w:pPr>
      <w:r>
        <w:t>&lt;H0220&gt;</w:t>
      </w:r>
      <w:r w:rsidR="00A412F6" w:rsidRPr="00A412F6">
        <w:t>价值重估因素</w:t>
      </w:r>
      <w:r>
        <w:t>&lt;/H0220&gt;</w:t>
      </w:r>
    </w:p>
    <w:p w14:paraId="5EF855A5" w14:textId="77777777" w:rsidR="00A052DC" w:rsidRDefault="009F0A60">
      <w:pPr>
        <w:ind w:firstLine="425"/>
      </w:pPr>
      <w:r>
        <w:t>&lt;H0221&gt;</w:t>
      </w:r>
      <w:r w:rsidR="00A412F6" w:rsidRPr="00A412F6">
        <w:t>本月末市值</w:t>
      </w:r>
      <w:r>
        <w:t>&lt;/H0221&gt;</w:t>
      </w:r>
    </w:p>
    <w:p w14:paraId="77FA7C45" w14:textId="77777777" w:rsidR="00A052DC" w:rsidRDefault="009F0A60">
      <w:pPr>
        <w:ind w:firstLine="425"/>
      </w:pPr>
      <w:r>
        <w:t>&lt;H0222&gt;</w:t>
      </w:r>
      <w:r w:rsidR="00A412F6" w:rsidRPr="00A412F6">
        <w:t>本月末市值其中：剩余期限在一年及以下</w:t>
      </w:r>
      <w:r>
        <w:t>&lt;/H0222&gt;</w:t>
      </w:r>
    </w:p>
    <w:p w14:paraId="5F7E6165" w14:textId="77777777" w:rsidR="00A052DC" w:rsidRDefault="009F0A60">
      <w:pPr>
        <w:ind w:firstLine="425"/>
      </w:pPr>
      <w:r>
        <w:t>&lt;H0223&gt;</w:t>
      </w:r>
      <w:r w:rsidR="00A412F6" w:rsidRPr="00A412F6">
        <w:t>本月红利或利息收入</w:t>
      </w:r>
      <w:r>
        <w:t>&lt;/H0223&gt;</w:t>
      </w:r>
    </w:p>
    <w:p w14:paraId="0E6B4320" w14:textId="77777777" w:rsidR="00A052DC" w:rsidRDefault="009F0A60">
      <w:pPr>
        <w:ind w:firstLine="425"/>
      </w:pPr>
      <w:r>
        <w:t>&lt;H0224&gt;</w:t>
      </w:r>
      <w:r w:rsidR="00A412F6" w:rsidRPr="00A412F6">
        <w:t>金融衍生产品的名义本金币种</w:t>
      </w:r>
      <w:r>
        <w:t>&lt;/H0224&gt;</w:t>
      </w:r>
    </w:p>
    <w:p w14:paraId="43FAD786" w14:textId="77777777" w:rsidR="00A052DC" w:rsidRDefault="009F0A60">
      <w:pPr>
        <w:ind w:firstLine="425"/>
      </w:pPr>
      <w:r>
        <w:t>&lt;H0225&gt;</w:t>
      </w:r>
      <w:r w:rsidR="00A412F6" w:rsidRPr="00A412F6">
        <w:t>金融衍生产品的本月末名义本金金额</w:t>
      </w:r>
      <w:r>
        <w:t>&lt;/H0225&gt;</w:t>
      </w:r>
    </w:p>
    <w:p w14:paraId="092B12AA" w14:textId="77777777" w:rsidR="00A052DC" w:rsidRDefault="009F0A60">
      <w:pPr>
        <w:ind w:firstLine="425"/>
      </w:pPr>
      <w:r>
        <w:t>&lt;H0226&gt;</w:t>
      </w:r>
      <w:r w:rsidR="00A412F6" w:rsidRPr="00A412F6">
        <w:rPr>
          <w:rFonts w:hint="eastAsia"/>
        </w:rPr>
        <w:t>本月末</w:t>
      </w:r>
      <w:r w:rsidR="00A412F6" w:rsidRPr="00A412F6">
        <w:t>未到期</w:t>
      </w:r>
      <w:r w:rsidR="00A412F6" w:rsidRPr="00A412F6">
        <w:t>/</w:t>
      </w:r>
      <w:r w:rsidR="00A412F6" w:rsidRPr="00A412F6">
        <w:t>未偿付</w:t>
      </w:r>
      <w:r w:rsidR="00A412F6" w:rsidRPr="00A412F6">
        <w:rPr>
          <w:rFonts w:hint="eastAsia"/>
        </w:rPr>
        <w:t>债券面值</w:t>
      </w:r>
      <w:r>
        <w:t>&lt;/H0126&gt;</w:t>
      </w:r>
    </w:p>
    <w:p w14:paraId="5477B536" w14:textId="77777777" w:rsidR="00A052DC" w:rsidRDefault="009F0A60">
      <w:pPr>
        <w:ind w:firstLine="425"/>
      </w:pPr>
      <w:r>
        <w:t>&lt;REMARK&gt;</w:t>
      </w:r>
      <w:r>
        <w:rPr>
          <w:rFonts w:hAnsi="宋体"/>
        </w:rPr>
        <w:t>备注</w:t>
      </w:r>
      <w:r>
        <w:t>&lt;/REMARK&gt;</w:t>
      </w:r>
    </w:p>
    <w:p w14:paraId="0F6FADF7" w14:textId="77777777" w:rsidR="00A052DC" w:rsidRDefault="009F0A60">
      <w:pPr>
        <w:ind w:firstLine="425"/>
      </w:pPr>
      <w:r>
        <w:t>&lt;/REC&gt;</w:t>
      </w:r>
    </w:p>
    <w:p w14:paraId="4A718BEF" w14:textId="77777777" w:rsidR="00A052DC" w:rsidRDefault="009F0A60" w:rsidP="0020251D">
      <w:pPr>
        <w:pStyle w:val="4"/>
        <w:numPr>
          <w:ilvl w:val="3"/>
          <w:numId w:val="1"/>
        </w:numPr>
        <w:jc w:val="left"/>
      </w:pPr>
      <w:bookmarkStart w:id="3670" w:name="_Toc454391463"/>
      <w:bookmarkStart w:id="3671" w:name="_Toc380571012"/>
      <w:bookmarkStart w:id="3672" w:name="_Toc454391464"/>
      <w:bookmarkEnd w:id="3670"/>
      <w:r>
        <w:rPr>
          <w:rFonts w:hint="eastAsia"/>
        </w:rPr>
        <w:t>数据字典</w:t>
      </w:r>
      <w:bookmarkEnd w:id="3671"/>
      <w:bookmarkEnd w:id="367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6"/>
        <w:gridCol w:w="1645"/>
        <w:gridCol w:w="1358"/>
        <w:gridCol w:w="4303"/>
      </w:tblGrid>
      <w:tr w:rsidR="00A052DC" w14:paraId="0A5FB88E" w14:textId="77777777">
        <w:trPr>
          <w:tblHeader/>
        </w:trPr>
        <w:tc>
          <w:tcPr>
            <w:tcW w:w="0" w:type="auto"/>
            <w:shd w:val="clear" w:color="000000" w:fill="C0C0C0"/>
          </w:tcPr>
          <w:p w14:paraId="01123A4D" w14:textId="77777777" w:rsidR="00A052DC" w:rsidRDefault="009F0A60">
            <w:pPr>
              <w:pStyle w:val="B1"/>
            </w:pPr>
            <w:r>
              <w:rPr>
                <w:rFonts w:hint="eastAsia"/>
              </w:rPr>
              <w:t>字段</w:t>
            </w:r>
          </w:p>
        </w:tc>
        <w:tc>
          <w:tcPr>
            <w:tcW w:w="0" w:type="auto"/>
            <w:shd w:val="clear" w:color="000000" w:fill="C0C0C0"/>
          </w:tcPr>
          <w:p w14:paraId="335353B8" w14:textId="77777777" w:rsidR="00A052DC" w:rsidRDefault="009F0A60">
            <w:pPr>
              <w:pStyle w:val="B1"/>
            </w:pPr>
            <w:r>
              <w:rPr>
                <w:rFonts w:hint="eastAsia"/>
              </w:rPr>
              <w:t>内容</w:t>
            </w:r>
          </w:p>
        </w:tc>
        <w:tc>
          <w:tcPr>
            <w:tcW w:w="1358" w:type="dxa"/>
            <w:shd w:val="clear" w:color="000000" w:fill="C0C0C0"/>
          </w:tcPr>
          <w:p w14:paraId="1EBF9915" w14:textId="77777777" w:rsidR="00A052DC" w:rsidRDefault="009F0A60">
            <w:pPr>
              <w:pStyle w:val="B1"/>
            </w:pPr>
            <w:r>
              <w:rPr>
                <w:rFonts w:hint="eastAsia"/>
              </w:rPr>
              <w:t>类型（长度）</w:t>
            </w:r>
          </w:p>
        </w:tc>
        <w:tc>
          <w:tcPr>
            <w:tcW w:w="4303" w:type="dxa"/>
            <w:shd w:val="clear" w:color="000000" w:fill="C0C0C0"/>
          </w:tcPr>
          <w:p w14:paraId="37607470" w14:textId="77777777" w:rsidR="00A052DC" w:rsidRDefault="009F0A60">
            <w:pPr>
              <w:pStyle w:val="B1"/>
            </w:pPr>
            <w:r>
              <w:rPr>
                <w:rFonts w:hint="eastAsia"/>
              </w:rPr>
              <w:t>校验</w:t>
            </w:r>
          </w:p>
        </w:tc>
      </w:tr>
      <w:tr w:rsidR="00A052DC" w14:paraId="4791F47E" w14:textId="77777777">
        <w:tc>
          <w:tcPr>
            <w:tcW w:w="0" w:type="auto"/>
            <w:shd w:val="clear" w:color="auto" w:fill="auto"/>
          </w:tcPr>
          <w:p w14:paraId="1537E2E0" w14:textId="77777777" w:rsidR="00A052DC" w:rsidRDefault="009F0A60">
            <w:pPr>
              <w:pStyle w:val="B"/>
              <w:rPr>
                <w:szCs w:val="20"/>
              </w:rPr>
            </w:pPr>
            <w:r>
              <w:rPr>
                <w:szCs w:val="20"/>
              </w:rPr>
              <w:t>ACTIONTYPE</w:t>
            </w:r>
          </w:p>
        </w:tc>
        <w:tc>
          <w:tcPr>
            <w:tcW w:w="0" w:type="auto"/>
            <w:shd w:val="clear" w:color="auto" w:fill="auto"/>
          </w:tcPr>
          <w:p w14:paraId="1C076333" w14:textId="77777777" w:rsidR="00A052DC" w:rsidRDefault="009F0A60">
            <w:pPr>
              <w:pStyle w:val="B"/>
              <w:rPr>
                <w:szCs w:val="20"/>
              </w:rPr>
            </w:pPr>
            <w:r>
              <w:rPr>
                <w:rFonts w:hint="eastAsia"/>
                <w:szCs w:val="20"/>
              </w:rPr>
              <w:t>操作类型</w:t>
            </w:r>
          </w:p>
        </w:tc>
        <w:tc>
          <w:tcPr>
            <w:tcW w:w="1358" w:type="dxa"/>
            <w:shd w:val="clear" w:color="auto" w:fill="auto"/>
          </w:tcPr>
          <w:p w14:paraId="62755B5D" w14:textId="77777777" w:rsidR="00A052DC" w:rsidRDefault="009F0A60">
            <w:pPr>
              <w:pStyle w:val="B"/>
              <w:rPr>
                <w:szCs w:val="20"/>
              </w:rPr>
            </w:pPr>
            <w:r>
              <w:rPr>
                <w:rFonts w:hint="eastAsia"/>
                <w:szCs w:val="20"/>
              </w:rPr>
              <w:t>字符型，</w:t>
            </w:r>
            <w:r>
              <w:rPr>
                <w:szCs w:val="20"/>
              </w:rPr>
              <w:t>1</w:t>
            </w:r>
          </w:p>
        </w:tc>
        <w:tc>
          <w:tcPr>
            <w:tcW w:w="4303" w:type="dxa"/>
            <w:shd w:val="clear" w:color="auto" w:fill="auto"/>
          </w:tcPr>
          <w:p w14:paraId="4B3EF5B2" w14:textId="77777777" w:rsidR="00A052DC" w:rsidRDefault="009F0A60">
            <w:pPr>
              <w:pStyle w:val="B"/>
              <w:rPr>
                <w:szCs w:val="20"/>
              </w:rPr>
            </w:pPr>
            <w:r>
              <w:rPr>
                <w:rFonts w:hint="eastAsia"/>
                <w:szCs w:val="20"/>
              </w:rPr>
              <w:t>必填项</w:t>
            </w:r>
            <w:r w:rsidR="004D1828">
              <w:rPr>
                <w:rFonts w:hint="eastAsia"/>
                <w:szCs w:val="20"/>
              </w:rPr>
              <w:t>。</w:t>
            </w:r>
          </w:p>
          <w:p w14:paraId="4964919E" w14:textId="77777777" w:rsidR="00A052DC" w:rsidRDefault="009F0A60">
            <w:pPr>
              <w:pStyle w:val="B"/>
              <w:rPr>
                <w:szCs w:val="20"/>
              </w:rPr>
            </w:pPr>
            <w:r>
              <w:rPr>
                <w:szCs w:val="20"/>
              </w:rPr>
              <w:t>A</w:t>
            </w:r>
            <w:r w:rsidR="00AE4602">
              <w:rPr>
                <w:rFonts w:hint="eastAsia"/>
                <w:szCs w:val="20"/>
              </w:rPr>
              <w:t>-</w:t>
            </w:r>
            <w:r>
              <w:rPr>
                <w:rFonts w:hint="eastAsia"/>
                <w:szCs w:val="20"/>
              </w:rPr>
              <w:t>新建</w:t>
            </w:r>
          </w:p>
          <w:p w14:paraId="32334014" w14:textId="77777777" w:rsidR="00A052DC" w:rsidRDefault="009F0A60">
            <w:pPr>
              <w:pStyle w:val="B"/>
              <w:rPr>
                <w:szCs w:val="20"/>
              </w:rPr>
            </w:pPr>
            <w:r>
              <w:rPr>
                <w:szCs w:val="20"/>
              </w:rPr>
              <w:t>C</w:t>
            </w:r>
            <w:r w:rsidR="00AE4602">
              <w:rPr>
                <w:rFonts w:hint="eastAsia"/>
                <w:szCs w:val="20"/>
              </w:rPr>
              <w:t>-</w:t>
            </w:r>
            <w:r>
              <w:rPr>
                <w:rFonts w:hint="eastAsia"/>
                <w:szCs w:val="20"/>
              </w:rPr>
              <w:t>修改</w:t>
            </w:r>
          </w:p>
          <w:p w14:paraId="732E0565" w14:textId="77777777" w:rsidR="00A052DC" w:rsidRDefault="009F0A60">
            <w:pPr>
              <w:pStyle w:val="B"/>
              <w:rPr>
                <w:szCs w:val="20"/>
              </w:rPr>
            </w:pPr>
            <w:r>
              <w:rPr>
                <w:szCs w:val="20"/>
              </w:rPr>
              <w:t>D</w:t>
            </w:r>
            <w:r w:rsidR="00AE4602">
              <w:rPr>
                <w:rFonts w:hint="eastAsia"/>
                <w:szCs w:val="20"/>
              </w:rPr>
              <w:t>-</w:t>
            </w:r>
            <w:r>
              <w:rPr>
                <w:rFonts w:hint="eastAsia"/>
                <w:szCs w:val="20"/>
              </w:rPr>
              <w:t>删除</w:t>
            </w:r>
          </w:p>
        </w:tc>
      </w:tr>
      <w:tr w:rsidR="00A052DC" w14:paraId="030FDAA2" w14:textId="77777777">
        <w:tc>
          <w:tcPr>
            <w:tcW w:w="0" w:type="auto"/>
            <w:shd w:val="clear" w:color="auto" w:fill="auto"/>
          </w:tcPr>
          <w:p w14:paraId="455D68E7" w14:textId="77777777" w:rsidR="00A052DC" w:rsidRDefault="009F0A60">
            <w:pPr>
              <w:pStyle w:val="B"/>
              <w:rPr>
                <w:szCs w:val="20"/>
              </w:rPr>
            </w:pPr>
            <w:r>
              <w:rPr>
                <w:szCs w:val="20"/>
              </w:rPr>
              <w:t>ACTIONDESC</w:t>
            </w:r>
          </w:p>
        </w:tc>
        <w:tc>
          <w:tcPr>
            <w:tcW w:w="0" w:type="auto"/>
            <w:shd w:val="clear" w:color="auto" w:fill="auto"/>
          </w:tcPr>
          <w:p w14:paraId="2B8E4BAC" w14:textId="77777777" w:rsidR="00A052DC" w:rsidRDefault="009F0A60">
            <w:pPr>
              <w:pStyle w:val="B"/>
              <w:rPr>
                <w:szCs w:val="20"/>
              </w:rPr>
            </w:pPr>
            <w:r>
              <w:rPr>
                <w:rFonts w:hint="eastAsia"/>
                <w:szCs w:val="20"/>
              </w:rPr>
              <w:t>删除原因</w:t>
            </w:r>
          </w:p>
        </w:tc>
        <w:tc>
          <w:tcPr>
            <w:tcW w:w="1358" w:type="dxa"/>
            <w:shd w:val="clear" w:color="auto" w:fill="auto"/>
          </w:tcPr>
          <w:p w14:paraId="0CF9D297" w14:textId="77777777" w:rsidR="00A052DC" w:rsidRDefault="009F0A60">
            <w:pPr>
              <w:pStyle w:val="B"/>
              <w:rPr>
                <w:szCs w:val="20"/>
              </w:rPr>
            </w:pPr>
            <w:r>
              <w:rPr>
                <w:rFonts w:hint="eastAsia"/>
                <w:szCs w:val="20"/>
              </w:rPr>
              <w:t>字符型，</w:t>
            </w:r>
            <w:r>
              <w:rPr>
                <w:szCs w:val="20"/>
              </w:rPr>
              <w:t>128</w:t>
            </w:r>
          </w:p>
        </w:tc>
        <w:tc>
          <w:tcPr>
            <w:tcW w:w="4303" w:type="dxa"/>
            <w:shd w:val="clear" w:color="auto" w:fill="auto"/>
          </w:tcPr>
          <w:p w14:paraId="67109ACF" w14:textId="77777777" w:rsidR="00A052DC" w:rsidRDefault="00DD6AA3">
            <w:pPr>
              <w:pStyle w:val="B"/>
              <w:rPr>
                <w:szCs w:val="20"/>
              </w:rPr>
            </w:pPr>
            <w:r>
              <w:rPr>
                <w:rFonts w:hint="eastAsia"/>
                <w:szCs w:val="20"/>
              </w:rPr>
              <w:t>非必填项，当操作类型（ACTIONTYPE）为删除时必填。</w:t>
            </w:r>
          </w:p>
        </w:tc>
      </w:tr>
      <w:tr w:rsidR="00A052DC" w14:paraId="60E243B8" w14:textId="77777777">
        <w:tc>
          <w:tcPr>
            <w:tcW w:w="0" w:type="auto"/>
            <w:shd w:val="clear" w:color="auto" w:fill="auto"/>
          </w:tcPr>
          <w:p w14:paraId="12432DC1" w14:textId="77777777" w:rsidR="00A052DC" w:rsidRDefault="009F0A60">
            <w:pPr>
              <w:pStyle w:val="B"/>
              <w:rPr>
                <w:szCs w:val="20"/>
              </w:rPr>
            </w:pPr>
            <w:r>
              <w:rPr>
                <w:szCs w:val="20"/>
              </w:rPr>
              <w:t>SNOCODE</w:t>
            </w:r>
          </w:p>
        </w:tc>
        <w:tc>
          <w:tcPr>
            <w:tcW w:w="0" w:type="auto"/>
            <w:shd w:val="clear" w:color="auto" w:fill="auto"/>
          </w:tcPr>
          <w:p w14:paraId="363F01BC" w14:textId="77777777" w:rsidR="00A052DC" w:rsidRDefault="009F0A60">
            <w:pPr>
              <w:pStyle w:val="B"/>
              <w:rPr>
                <w:szCs w:val="20"/>
              </w:rPr>
            </w:pPr>
            <w:r>
              <w:rPr>
                <w:rFonts w:hint="eastAsia"/>
                <w:szCs w:val="20"/>
              </w:rPr>
              <w:t>数据自编码</w:t>
            </w:r>
          </w:p>
        </w:tc>
        <w:tc>
          <w:tcPr>
            <w:tcW w:w="1358" w:type="dxa"/>
            <w:shd w:val="clear" w:color="auto" w:fill="auto"/>
          </w:tcPr>
          <w:p w14:paraId="2A3251C1" w14:textId="77777777" w:rsidR="00A052DC" w:rsidRDefault="009F0A60">
            <w:pPr>
              <w:pStyle w:val="B"/>
              <w:rPr>
                <w:szCs w:val="20"/>
              </w:rPr>
            </w:pPr>
            <w:r>
              <w:rPr>
                <w:rFonts w:hint="eastAsia"/>
                <w:szCs w:val="20"/>
              </w:rPr>
              <w:t>字符型，36</w:t>
            </w:r>
          </w:p>
        </w:tc>
        <w:tc>
          <w:tcPr>
            <w:tcW w:w="4303" w:type="dxa"/>
            <w:shd w:val="clear" w:color="auto" w:fill="auto"/>
          </w:tcPr>
          <w:p w14:paraId="67772563" w14:textId="77777777" w:rsidR="00A052DC" w:rsidRDefault="009F0A60">
            <w:pPr>
              <w:pStyle w:val="B"/>
              <w:rPr>
                <w:szCs w:val="20"/>
              </w:rPr>
            </w:pPr>
            <w:r>
              <w:rPr>
                <w:rFonts w:hint="eastAsia"/>
                <w:szCs w:val="20"/>
              </w:rPr>
              <w:t>必填项。</w:t>
            </w:r>
            <w:r>
              <w:rPr>
                <w:szCs w:val="20"/>
              </w:rPr>
              <w:t>对于接口报送的填报主体，数据自编码中的报送期（6位）应与报告期（YYYYMM）一致。</w:t>
            </w:r>
          </w:p>
        </w:tc>
      </w:tr>
      <w:tr w:rsidR="00A052DC" w14:paraId="02F5661F" w14:textId="77777777">
        <w:tc>
          <w:tcPr>
            <w:tcW w:w="0" w:type="auto"/>
            <w:shd w:val="clear" w:color="auto" w:fill="auto"/>
          </w:tcPr>
          <w:p w14:paraId="634CD43D" w14:textId="77777777" w:rsidR="00A052DC" w:rsidRDefault="009F0A60">
            <w:pPr>
              <w:pStyle w:val="B"/>
              <w:rPr>
                <w:szCs w:val="20"/>
              </w:rPr>
            </w:pPr>
            <w:r>
              <w:rPr>
                <w:szCs w:val="20"/>
              </w:rPr>
              <w:t>OBJCODE</w:t>
            </w:r>
          </w:p>
        </w:tc>
        <w:tc>
          <w:tcPr>
            <w:tcW w:w="0" w:type="auto"/>
            <w:shd w:val="clear" w:color="auto" w:fill="auto"/>
          </w:tcPr>
          <w:p w14:paraId="157725AB" w14:textId="77777777" w:rsidR="00A052DC" w:rsidRDefault="009F0A60">
            <w:pPr>
              <w:pStyle w:val="B"/>
              <w:rPr>
                <w:szCs w:val="20"/>
              </w:rPr>
            </w:pPr>
            <w:r>
              <w:rPr>
                <w:rFonts w:hint="eastAsia"/>
                <w:szCs w:val="20"/>
              </w:rPr>
              <w:t>申报主体代码</w:t>
            </w:r>
          </w:p>
        </w:tc>
        <w:tc>
          <w:tcPr>
            <w:tcW w:w="1358" w:type="dxa"/>
            <w:shd w:val="clear" w:color="auto" w:fill="auto"/>
          </w:tcPr>
          <w:p w14:paraId="16ECCE1E" w14:textId="77777777" w:rsidR="00A052DC" w:rsidRDefault="009F0A60">
            <w:pPr>
              <w:pStyle w:val="B"/>
              <w:rPr>
                <w:szCs w:val="20"/>
              </w:rPr>
            </w:pPr>
            <w:r>
              <w:rPr>
                <w:rFonts w:hint="eastAsia"/>
                <w:szCs w:val="20"/>
              </w:rPr>
              <w:t>字符型，</w:t>
            </w:r>
            <w:r>
              <w:rPr>
                <w:szCs w:val="20"/>
              </w:rPr>
              <w:t>1</w:t>
            </w:r>
            <w:r>
              <w:rPr>
                <w:rFonts w:hint="eastAsia"/>
                <w:szCs w:val="20"/>
              </w:rPr>
              <w:t>8</w:t>
            </w:r>
          </w:p>
        </w:tc>
        <w:tc>
          <w:tcPr>
            <w:tcW w:w="4303" w:type="dxa"/>
            <w:shd w:val="clear" w:color="auto" w:fill="auto"/>
          </w:tcPr>
          <w:p w14:paraId="15AC02D5" w14:textId="77777777" w:rsidR="00A052DC" w:rsidRDefault="009F0A60">
            <w:pPr>
              <w:pStyle w:val="B"/>
              <w:rPr>
                <w:szCs w:val="20"/>
              </w:rPr>
            </w:pPr>
            <w:r>
              <w:rPr>
                <w:rFonts w:hint="eastAsia"/>
                <w:szCs w:val="20"/>
              </w:rPr>
              <w:t>申报主体的12位金融机构标识码，如果没有金融机构标识码，则填报统一社会信用代码法定载体（如营业执照）上统一社会信用代码中的第9至17位或国家外汇管理局及其分支局签发的特殊机构代码赋码通知书上的机构代码、个人身份代码。</w:t>
            </w:r>
          </w:p>
        </w:tc>
      </w:tr>
      <w:tr w:rsidR="00A052DC" w14:paraId="14BF4AA1" w14:textId="77777777">
        <w:trPr>
          <w:trHeight w:val="476"/>
        </w:trPr>
        <w:tc>
          <w:tcPr>
            <w:tcW w:w="0" w:type="auto"/>
            <w:shd w:val="clear" w:color="auto" w:fill="auto"/>
          </w:tcPr>
          <w:p w14:paraId="1B5B6458" w14:textId="77777777" w:rsidR="00A052DC" w:rsidRDefault="009F0A60">
            <w:pPr>
              <w:pStyle w:val="B"/>
              <w:rPr>
                <w:szCs w:val="20"/>
              </w:rPr>
            </w:pPr>
            <w:r>
              <w:rPr>
                <w:szCs w:val="20"/>
              </w:rPr>
              <w:t>BUOCMONTH</w:t>
            </w:r>
          </w:p>
        </w:tc>
        <w:tc>
          <w:tcPr>
            <w:tcW w:w="0" w:type="auto"/>
            <w:shd w:val="clear" w:color="auto" w:fill="auto"/>
          </w:tcPr>
          <w:p w14:paraId="1C25367A" w14:textId="77777777" w:rsidR="00A052DC" w:rsidRDefault="009F0A60">
            <w:pPr>
              <w:pStyle w:val="B"/>
              <w:rPr>
                <w:szCs w:val="20"/>
              </w:rPr>
            </w:pPr>
            <w:r>
              <w:rPr>
                <w:rFonts w:hint="eastAsia"/>
                <w:szCs w:val="20"/>
              </w:rPr>
              <w:t>报告期</w:t>
            </w:r>
          </w:p>
        </w:tc>
        <w:tc>
          <w:tcPr>
            <w:tcW w:w="1358" w:type="dxa"/>
            <w:shd w:val="clear" w:color="auto" w:fill="auto"/>
          </w:tcPr>
          <w:p w14:paraId="5AA79AC5" w14:textId="77777777" w:rsidR="00A052DC" w:rsidRDefault="009F0A60">
            <w:pPr>
              <w:pStyle w:val="B"/>
              <w:rPr>
                <w:szCs w:val="20"/>
              </w:rPr>
            </w:pPr>
            <w:r>
              <w:rPr>
                <w:rFonts w:hint="eastAsia"/>
                <w:szCs w:val="20"/>
              </w:rPr>
              <w:t>数值型，</w:t>
            </w:r>
            <w:r>
              <w:rPr>
                <w:szCs w:val="20"/>
              </w:rPr>
              <w:t>6</w:t>
            </w:r>
          </w:p>
        </w:tc>
        <w:tc>
          <w:tcPr>
            <w:tcW w:w="4303" w:type="dxa"/>
            <w:shd w:val="clear" w:color="auto" w:fill="auto"/>
          </w:tcPr>
          <w:p w14:paraId="6AE95719" w14:textId="77777777" w:rsidR="00A052DC" w:rsidRDefault="009F0A60">
            <w:pPr>
              <w:pStyle w:val="B"/>
              <w:rPr>
                <w:szCs w:val="20"/>
              </w:rPr>
            </w:pPr>
            <w:r>
              <w:rPr>
                <w:rFonts w:hint="eastAsia"/>
                <w:szCs w:val="20"/>
              </w:rPr>
              <w:t>必填项，格式为</w:t>
            </w:r>
            <w:r>
              <w:rPr>
                <w:szCs w:val="20"/>
              </w:rPr>
              <w:t>YYYYMM</w:t>
            </w:r>
            <w:r>
              <w:rPr>
                <w:rFonts w:hint="eastAsia"/>
                <w:szCs w:val="20"/>
              </w:rPr>
              <w:t>。</w:t>
            </w:r>
          </w:p>
        </w:tc>
      </w:tr>
      <w:tr w:rsidR="00A052DC" w14:paraId="713335E0" w14:textId="77777777">
        <w:tc>
          <w:tcPr>
            <w:tcW w:w="0" w:type="auto"/>
            <w:shd w:val="clear" w:color="auto" w:fill="auto"/>
          </w:tcPr>
          <w:p w14:paraId="099EAF60" w14:textId="77777777" w:rsidR="00A052DC" w:rsidRDefault="009F0A60">
            <w:pPr>
              <w:pStyle w:val="B"/>
              <w:rPr>
                <w:szCs w:val="20"/>
              </w:rPr>
            </w:pPr>
            <w:r>
              <w:rPr>
                <w:szCs w:val="20"/>
              </w:rPr>
              <w:t>H0201CODE</w:t>
            </w:r>
          </w:p>
        </w:tc>
        <w:tc>
          <w:tcPr>
            <w:tcW w:w="0" w:type="auto"/>
            <w:shd w:val="clear" w:color="auto" w:fill="auto"/>
          </w:tcPr>
          <w:p w14:paraId="27BAA1C9" w14:textId="77777777" w:rsidR="00A052DC" w:rsidRDefault="009F0A60">
            <w:pPr>
              <w:pStyle w:val="B"/>
              <w:rPr>
                <w:szCs w:val="20"/>
              </w:rPr>
            </w:pPr>
            <w:r>
              <w:rPr>
                <w:rFonts w:hint="eastAsia"/>
                <w:szCs w:val="20"/>
              </w:rPr>
              <w:t>居民委托人代码</w:t>
            </w:r>
          </w:p>
        </w:tc>
        <w:tc>
          <w:tcPr>
            <w:tcW w:w="1358" w:type="dxa"/>
            <w:shd w:val="clear" w:color="auto" w:fill="auto"/>
          </w:tcPr>
          <w:p w14:paraId="3DDD606E" w14:textId="77777777" w:rsidR="00A052DC" w:rsidRDefault="009F0A60">
            <w:pPr>
              <w:pStyle w:val="B"/>
              <w:rPr>
                <w:szCs w:val="20"/>
              </w:rPr>
            </w:pPr>
            <w:r>
              <w:rPr>
                <w:rFonts w:hint="eastAsia"/>
                <w:szCs w:val="20"/>
              </w:rPr>
              <w:t>字符型，</w:t>
            </w:r>
            <w:r>
              <w:rPr>
                <w:szCs w:val="20"/>
              </w:rPr>
              <w:t>12</w:t>
            </w:r>
          </w:p>
        </w:tc>
        <w:tc>
          <w:tcPr>
            <w:tcW w:w="4303" w:type="dxa"/>
            <w:shd w:val="clear" w:color="auto" w:fill="auto"/>
          </w:tcPr>
          <w:p w14:paraId="70C92F94" w14:textId="77777777" w:rsidR="00A052DC" w:rsidRDefault="009F0A60">
            <w:pPr>
              <w:pStyle w:val="B"/>
              <w:rPr>
                <w:szCs w:val="20"/>
              </w:rPr>
            </w:pPr>
            <w:r>
              <w:rPr>
                <w:rFonts w:hint="eastAsia"/>
                <w:szCs w:val="20"/>
              </w:rPr>
              <w:t>必填项，</w:t>
            </w:r>
            <w:r>
              <w:rPr>
                <w:szCs w:val="20"/>
              </w:rPr>
              <w:t>QDII</w:t>
            </w:r>
            <w:r>
              <w:rPr>
                <w:rFonts w:hint="eastAsia"/>
                <w:szCs w:val="20"/>
              </w:rPr>
              <w:t>/RQDII/QDLP/QDIE机构代码，其中银行类机构为12位代码，非银行机构为9位代码。如果为非QDII/RQDII/QDLP/QDIE，填写12个0。</w:t>
            </w:r>
          </w:p>
        </w:tc>
      </w:tr>
      <w:tr w:rsidR="00A052DC" w14:paraId="1CE3B405" w14:textId="77777777">
        <w:tc>
          <w:tcPr>
            <w:tcW w:w="0" w:type="auto"/>
            <w:shd w:val="clear" w:color="auto" w:fill="auto"/>
          </w:tcPr>
          <w:p w14:paraId="54A6CEFB" w14:textId="77777777" w:rsidR="00A052DC" w:rsidRDefault="009F0A60">
            <w:pPr>
              <w:pStyle w:val="B"/>
              <w:widowControl w:val="0"/>
              <w:rPr>
                <w:szCs w:val="20"/>
              </w:rPr>
            </w:pPr>
            <w:r>
              <w:rPr>
                <w:szCs w:val="20"/>
              </w:rPr>
              <w:t>H0201</w:t>
            </w:r>
          </w:p>
        </w:tc>
        <w:tc>
          <w:tcPr>
            <w:tcW w:w="0" w:type="auto"/>
            <w:shd w:val="clear" w:color="auto" w:fill="auto"/>
          </w:tcPr>
          <w:p w14:paraId="1E5F4FB9" w14:textId="77777777" w:rsidR="00A052DC" w:rsidRDefault="009F0A60">
            <w:pPr>
              <w:pStyle w:val="B"/>
              <w:widowControl w:val="0"/>
              <w:rPr>
                <w:szCs w:val="20"/>
              </w:rPr>
            </w:pPr>
            <w:r>
              <w:rPr>
                <w:rFonts w:hint="eastAsia"/>
                <w:szCs w:val="20"/>
              </w:rPr>
              <w:t>居民委托人名称</w:t>
            </w:r>
          </w:p>
        </w:tc>
        <w:tc>
          <w:tcPr>
            <w:tcW w:w="1358" w:type="dxa"/>
            <w:shd w:val="clear" w:color="auto" w:fill="auto"/>
          </w:tcPr>
          <w:p w14:paraId="49822C32" w14:textId="77777777" w:rsidR="00A052DC" w:rsidRDefault="009F0A60">
            <w:pPr>
              <w:pStyle w:val="B"/>
              <w:widowControl w:val="0"/>
              <w:rPr>
                <w:szCs w:val="20"/>
              </w:rPr>
            </w:pPr>
            <w:r>
              <w:rPr>
                <w:rFonts w:hint="eastAsia"/>
                <w:szCs w:val="20"/>
              </w:rPr>
              <w:t>字符型，</w:t>
            </w:r>
            <w:r>
              <w:rPr>
                <w:szCs w:val="20"/>
              </w:rPr>
              <w:t>255</w:t>
            </w:r>
          </w:p>
        </w:tc>
        <w:tc>
          <w:tcPr>
            <w:tcW w:w="4303" w:type="dxa"/>
            <w:shd w:val="clear" w:color="auto" w:fill="auto"/>
          </w:tcPr>
          <w:p w14:paraId="21E658A7" w14:textId="77777777" w:rsidR="00A052DC" w:rsidRDefault="009F0A60">
            <w:pPr>
              <w:pStyle w:val="B"/>
              <w:widowControl w:val="0"/>
              <w:rPr>
                <w:szCs w:val="20"/>
              </w:rPr>
            </w:pPr>
            <w:r>
              <w:rPr>
                <w:rFonts w:hint="eastAsia"/>
                <w:szCs w:val="20"/>
              </w:rPr>
              <w:t>必填项。</w:t>
            </w:r>
          </w:p>
        </w:tc>
      </w:tr>
      <w:tr w:rsidR="00A052DC" w14:paraId="5F1D95EB" w14:textId="77777777">
        <w:tc>
          <w:tcPr>
            <w:tcW w:w="0" w:type="auto"/>
            <w:shd w:val="clear" w:color="auto" w:fill="auto"/>
          </w:tcPr>
          <w:p w14:paraId="667DE3E1" w14:textId="77777777" w:rsidR="00A052DC" w:rsidRDefault="009F0A60">
            <w:pPr>
              <w:pStyle w:val="B"/>
              <w:widowControl w:val="0"/>
              <w:rPr>
                <w:szCs w:val="20"/>
              </w:rPr>
            </w:pPr>
            <w:r>
              <w:rPr>
                <w:szCs w:val="20"/>
              </w:rPr>
              <w:t>H0202</w:t>
            </w:r>
          </w:p>
        </w:tc>
        <w:tc>
          <w:tcPr>
            <w:tcW w:w="0" w:type="auto"/>
            <w:shd w:val="clear" w:color="auto" w:fill="auto"/>
          </w:tcPr>
          <w:p w14:paraId="069C1432" w14:textId="77777777" w:rsidR="00A052DC" w:rsidRDefault="009F0A60">
            <w:pPr>
              <w:pStyle w:val="B"/>
              <w:widowControl w:val="0"/>
              <w:rPr>
                <w:szCs w:val="20"/>
              </w:rPr>
            </w:pPr>
            <w:r>
              <w:rPr>
                <w:rFonts w:hint="eastAsia"/>
                <w:szCs w:val="20"/>
              </w:rPr>
              <w:t>居民委托人所属部门</w:t>
            </w:r>
          </w:p>
        </w:tc>
        <w:tc>
          <w:tcPr>
            <w:tcW w:w="1358" w:type="dxa"/>
            <w:shd w:val="clear" w:color="auto" w:fill="auto"/>
          </w:tcPr>
          <w:p w14:paraId="2CBF7365" w14:textId="77777777" w:rsidR="00A052DC" w:rsidRDefault="009F0A60">
            <w:pPr>
              <w:pStyle w:val="B"/>
              <w:widowControl w:val="0"/>
              <w:rPr>
                <w:szCs w:val="20"/>
              </w:rPr>
            </w:pPr>
            <w:r>
              <w:rPr>
                <w:rFonts w:hint="eastAsia"/>
                <w:szCs w:val="20"/>
              </w:rPr>
              <w:t>整数型</w:t>
            </w:r>
          </w:p>
        </w:tc>
        <w:tc>
          <w:tcPr>
            <w:tcW w:w="4303" w:type="dxa"/>
            <w:shd w:val="clear" w:color="auto" w:fill="auto"/>
          </w:tcPr>
          <w:p w14:paraId="47BAAA21" w14:textId="77777777" w:rsidR="00A052DC" w:rsidRDefault="009F0A60">
            <w:pPr>
              <w:pStyle w:val="B"/>
              <w:widowControl w:val="0"/>
              <w:rPr>
                <w:szCs w:val="20"/>
              </w:rPr>
            </w:pPr>
            <w:r>
              <w:rPr>
                <w:rFonts w:hint="eastAsia"/>
                <w:szCs w:val="20"/>
              </w:rPr>
              <w:t>必填项，</w:t>
            </w:r>
            <w:r>
              <w:rPr>
                <w:szCs w:val="20"/>
              </w:rPr>
              <w:t>见投资者（被投资者）部门代码表</w:t>
            </w:r>
            <w:r>
              <w:rPr>
                <w:rFonts w:hint="eastAsia"/>
                <w:szCs w:val="20"/>
              </w:rPr>
              <w:t>。</w:t>
            </w:r>
          </w:p>
        </w:tc>
      </w:tr>
      <w:tr w:rsidR="00A052DC" w14:paraId="651C2C2B" w14:textId="77777777">
        <w:tc>
          <w:tcPr>
            <w:tcW w:w="0" w:type="auto"/>
            <w:shd w:val="clear" w:color="auto" w:fill="auto"/>
          </w:tcPr>
          <w:p w14:paraId="0D0D41B9" w14:textId="77777777" w:rsidR="00A052DC" w:rsidRDefault="009F0A60">
            <w:pPr>
              <w:pStyle w:val="B"/>
              <w:widowControl w:val="0"/>
              <w:rPr>
                <w:szCs w:val="20"/>
              </w:rPr>
            </w:pPr>
            <w:r>
              <w:rPr>
                <w:szCs w:val="20"/>
              </w:rPr>
              <w:t>H0203CODE</w:t>
            </w:r>
          </w:p>
        </w:tc>
        <w:tc>
          <w:tcPr>
            <w:tcW w:w="0" w:type="auto"/>
            <w:shd w:val="clear" w:color="auto" w:fill="auto"/>
          </w:tcPr>
          <w:p w14:paraId="509F1885" w14:textId="77777777" w:rsidR="00A052DC" w:rsidRDefault="009F0A60">
            <w:pPr>
              <w:pStyle w:val="B"/>
              <w:widowControl w:val="0"/>
              <w:rPr>
                <w:szCs w:val="20"/>
              </w:rPr>
            </w:pPr>
            <w:r>
              <w:rPr>
                <w:rFonts w:hint="eastAsia"/>
                <w:szCs w:val="20"/>
              </w:rPr>
              <w:t>业务编号</w:t>
            </w:r>
          </w:p>
        </w:tc>
        <w:tc>
          <w:tcPr>
            <w:tcW w:w="1358" w:type="dxa"/>
            <w:shd w:val="clear" w:color="auto" w:fill="auto"/>
          </w:tcPr>
          <w:p w14:paraId="027C76A5" w14:textId="77777777" w:rsidR="00A052DC" w:rsidRDefault="009F0A60">
            <w:pPr>
              <w:pStyle w:val="B"/>
              <w:widowControl w:val="0"/>
              <w:rPr>
                <w:szCs w:val="20"/>
              </w:rPr>
            </w:pPr>
            <w:r>
              <w:rPr>
                <w:rFonts w:hint="eastAsia"/>
                <w:szCs w:val="20"/>
              </w:rPr>
              <w:t>字符型，</w:t>
            </w:r>
            <w:r>
              <w:rPr>
                <w:szCs w:val="20"/>
              </w:rPr>
              <w:t>255</w:t>
            </w:r>
          </w:p>
        </w:tc>
        <w:tc>
          <w:tcPr>
            <w:tcW w:w="4303" w:type="dxa"/>
            <w:shd w:val="clear" w:color="auto" w:fill="auto"/>
          </w:tcPr>
          <w:p w14:paraId="7BE040A0" w14:textId="77777777" w:rsidR="00A052DC" w:rsidRDefault="009F0A60">
            <w:pPr>
              <w:pStyle w:val="B"/>
              <w:widowControl w:val="0"/>
              <w:rPr>
                <w:szCs w:val="20"/>
              </w:rPr>
            </w:pPr>
            <w:r>
              <w:rPr>
                <w:rFonts w:hint="eastAsia"/>
                <w:szCs w:val="20"/>
              </w:rPr>
              <w:t>填写外汇局签发的QDII业务编号</w:t>
            </w:r>
            <w:r>
              <w:rPr>
                <w:szCs w:val="20"/>
              </w:rPr>
              <w:t>。</w:t>
            </w:r>
            <w:r>
              <w:rPr>
                <w:rFonts w:hint="eastAsia"/>
                <w:szCs w:val="20"/>
              </w:rPr>
              <w:t>当业务类型为1时为必填项。</w:t>
            </w:r>
          </w:p>
        </w:tc>
      </w:tr>
      <w:tr w:rsidR="00A052DC" w14:paraId="326F5D1B" w14:textId="77777777">
        <w:tc>
          <w:tcPr>
            <w:tcW w:w="0" w:type="auto"/>
            <w:shd w:val="clear" w:color="auto" w:fill="auto"/>
          </w:tcPr>
          <w:p w14:paraId="04D749B6" w14:textId="77777777" w:rsidR="00A052DC" w:rsidRDefault="009F0A60">
            <w:pPr>
              <w:pStyle w:val="B"/>
              <w:widowControl w:val="0"/>
              <w:rPr>
                <w:szCs w:val="20"/>
              </w:rPr>
            </w:pPr>
            <w:r>
              <w:rPr>
                <w:szCs w:val="20"/>
              </w:rPr>
              <w:t>H0203</w:t>
            </w:r>
          </w:p>
        </w:tc>
        <w:tc>
          <w:tcPr>
            <w:tcW w:w="0" w:type="auto"/>
            <w:shd w:val="clear" w:color="auto" w:fill="auto"/>
          </w:tcPr>
          <w:p w14:paraId="523387A9" w14:textId="77777777" w:rsidR="00A052DC" w:rsidRDefault="009F0A60">
            <w:pPr>
              <w:pStyle w:val="B"/>
              <w:widowControl w:val="0"/>
              <w:rPr>
                <w:szCs w:val="20"/>
              </w:rPr>
            </w:pPr>
            <w:r>
              <w:rPr>
                <w:rFonts w:hint="eastAsia"/>
                <w:szCs w:val="20"/>
              </w:rPr>
              <w:t>居民委托人产品名称</w:t>
            </w:r>
          </w:p>
        </w:tc>
        <w:tc>
          <w:tcPr>
            <w:tcW w:w="1358" w:type="dxa"/>
            <w:shd w:val="clear" w:color="auto" w:fill="auto"/>
          </w:tcPr>
          <w:p w14:paraId="1DE82F3F" w14:textId="77777777" w:rsidR="00A052DC" w:rsidRDefault="009F0A60">
            <w:pPr>
              <w:pStyle w:val="B"/>
              <w:widowControl w:val="0"/>
              <w:rPr>
                <w:szCs w:val="20"/>
              </w:rPr>
            </w:pPr>
            <w:r>
              <w:rPr>
                <w:rFonts w:hint="eastAsia"/>
                <w:szCs w:val="20"/>
              </w:rPr>
              <w:t>字符型，</w:t>
            </w:r>
            <w:r>
              <w:rPr>
                <w:szCs w:val="20"/>
              </w:rPr>
              <w:t>255</w:t>
            </w:r>
          </w:p>
        </w:tc>
        <w:tc>
          <w:tcPr>
            <w:tcW w:w="4303" w:type="dxa"/>
            <w:shd w:val="clear" w:color="auto" w:fill="auto"/>
          </w:tcPr>
          <w:p w14:paraId="6F6936FC" w14:textId="77777777" w:rsidR="00A052DC" w:rsidRDefault="009F0A60">
            <w:pPr>
              <w:pStyle w:val="B"/>
              <w:widowControl w:val="0"/>
              <w:rPr>
                <w:szCs w:val="20"/>
              </w:rPr>
            </w:pPr>
            <w:r>
              <w:rPr>
                <w:rFonts w:hint="eastAsia"/>
                <w:szCs w:val="20"/>
              </w:rPr>
              <w:t>必填项。</w:t>
            </w:r>
          </w:p>
        </w:tc>
      </w:tr>
      <w:tr w:rsidR="00A052DC" w14:paraId="089F16EE" w14:textId="77777777">
        <w:tc>
          <w:tcPr>
            <w:tcW w:w="0" w:type="auto"/>
            <w:shd w:val="clear" w:color="auto" w:fill="auto"/>
          </w:tcPr>
          <w:p w14:paraId="75539C83" w14:textId="77777777" w:rsidR="00A052DC" w:rsidRDefault="009F0A60">
            <w:pPr>
              <w:pStyle w:val="B"/>
              <w:widowControl w:val="0"/>
              <w:rPr>
                <w:szCs w:val="20"/>
              </w:rPr>
            </w:pPr>
            <w:r>
              <w:rPr>
                <w:szCs w:val="20"/>
              </w:rPr>
              <w:t>H0204</w:t>
            </w:r>
          </w:p>
        </w:tc>
        <w:tc>
          <w:tcPr>
            <w:tcW w:w="0" w:type="auto"/>
            <w:shd w:val="clear" w:color="auto" w:fill="auto"/>
          </w:tcPr>
          <w:p w14:paraId="23A84747" w14:textId="77777777" w:rsidR="00A052DC" w:rsidRDefault="009F0A60">
            <w:pPr>
              <w:pStyle w:val="B"/>
              <w:widowControl w:val="0"/>
              <w:rPr>
                <w:szCs w:val="20"/>
              </w:rPr>
            </w:pPr>
            <w:r>
              <w:rPr>
                <w:rFonts w:hint="eastAsia"/>
                <w:szCs w:val="20"/>
              </w:rPr>
              <w:t>投资工具类型</w:t>
            </w:r>
          </w:p>
        </w:tc>
        <w:tc>
          <w:tcPr>
            <w:tcW w:w="1358" w:type="dxa"/>
            <w:shd w:val="clear" w:color="auto" w:fill="auto"/>
          </w:tcPr>
          <w:p w14:paraId="09C321AC" w14:textId="77777777" w:rsidR="00A052DC" w:rsidRDefault="009F0A60">
            <w:pPr>
              <w:pStyle w:val="B"/>
              <w:widowControl w:val="0"/>
              <w:rPr>
                <w:szCs w:val="20"/>
              </w:rPr>
            </w:pPr>
            <w:r>
              <w:rPr>
                <w:rFonts w:hint="eastAsia"/>
                <w:szCs w:val="20"/>
              </w:rPr>
              <w:t>整数型</w:t>
            </w:r>
          </w:p>
        </w:tc>
        <w:tc>
          <w:tcPr>
            <w:tcW w:w="4303" w:type="dxa"/>
            <w:shd w:val="clear" w:color="auto" w:fill="auto"/>
          </w:tcPr>
          <w:p w14:paraId="1DEF83C6" w14:textId="77777777" w:rsidR="00A052DC" w:rsidRDefault="009F0A60">
            <w:pPr>
              <w:pStyle w:val="B"/>
              <w:widowControl w:val="0"/>
              <w:rPr>
                <w:szCs w:val="20"/>
              </w:rPr>
            </w:pPr>
            <w:r>
              <w:rPr>
                <w:rFonts w:hint="eastAsia"/>
                <w:szCs w:val="20"/>
              </w:rPr>
              <w:t>非必填项</w:t>
            </w:r>
            <w:r>
              <w:rPr>
                <w:szCs w:val="20"/>
              </w:rPr>
              <w:t>，</w:t>
            </w:r>
            <w:r>
              <w:rPr>
                <w:rFonts w:hint="eastAsia"/>
                <w:szCs w:val="20"/>
              </w:rPr>
              <w:t>当H0204CODE=1、2、3、4时，此项必填</w:t>
            </w:r>
            <w:r>
              <w:rPr>
                <w:rFonts w:hint="eastAsia"/>
              </w:rPr>
              <w:t>，</w:t>
            </w:r>
            <w:r>
              <w:t>见QFII/RQFII/QDII/RQDII/QDLP/QDIE投资工具类型代码表</w:t>
            </w:r>
            <w:r>
              <w:rPr>
                <w:rFonts w:hint="eastAsia"/>
                <w:szCs w:val="20"/>
              </w:rPr>
              <w:t>；当</w:t>
            </w:r>
            <w:r>
              <w:rPr>
                <w:szCs w:val="20"/>
              </w:rPr>
              <w:t>H0204CODE=5、6、7、9时，此项为空</w:t>
            </w:r>
            <w:r>
              <w:t>。</w:t>
            </w:r>
          </w:p>
        </w:tc>
      </w:tr>
      <w:tr w:rsidR="00A052DC" w14:paraId="2DFE33B6" w14:textId="77777777">
        <w:tc>
          <w:tcPr>
            <w:tcW w:w="0" w:type="auto"/>
            <w:shd w:val="clear" w:color="auto" w:fill="auto"/>
          </w:tcPr>
          <w:p w14:paraId="5A3F4D53" w14:textId="77777777" w:rsidR="00A052DC" w:rsidRDefault="009F0A60">
            <w:pPr>
              <w:pStyle w:val="B"/>
              <w:widowControl w:val="0"/>
              <w:rPr>
                <w:szCs w:val="20"/>
              </w:rPr>
            </w:pPr>
            <w:r>
              <w:rPr>
                <w:rFonts w:hint="eastAsia"/>
                <w:szCs w:val="20"/>
              </w:rPr>
              <w:t>H0204CODE</w:t>
            </w:r>
          </w:p>
        </w:tc>
        <w:tc>
          <w:tcPr>
            <w:tcW w:w="0" w:type="auto"/>
            <w:shd w:val="clear" w:color="auto" w:fill="auto"/>
          </w:tcPr>
          <w:p w14:paraId="49865114" w14:textId="77777777" w:rsidR="00A052DC" w:rsidRDefault="009F0A60">
            <w:pPr>
              <w:pStyle w:val="B"/>
              <w:widowControl w:val="0"/>
              <w:rPr>
                <w:szCs w:val="20"/>
              </w:rPr>
            </w:pPr>
            <w:r>
              <w:rPr>
                <w:rFonts w:hint="eastAsia"/>
                <w:szCs w:val="20"/>
              </w:rPr>
              <w:t>业务类型</w:t>
            </w:r>
          </w:p>
        </w:tc>
        <w:tc>
          <w:tcPr>
            <w:tcW w:w="1358" w:type="dxa"/>
            <w:shd w:val="clear" w:color="auto" w:fill="auto"/>
          </w:tcPr>
          <w:p w14:paraId="40E143A2" w14:textId="77777777" w:rsidR="00A052DC" w:rsidRDefault="009F0A60">
            <w:pPr>
              <w:pStyle w:val="B"/>
              <w:widowControl w:val="0"/>
              <w:rPr>
                <w:szCs w:val="20"/>
              </w:rPr>
            </w:pPr>
            <w:r>
              <w:rPr>
                <w:rFonts w:hint="eastAsia"/>
                <w:szCs w:val="20"/>
              </w:rPr>
              <w:t>整数型</w:t>
            </w:r>
          </w:p>
        </w:tc>
        <w:tc>
          <w:tcPr>
            <w:tcW w:w="4303" w:type="dxa"/>
            <w:shd w:val="clear" w:color="auto" w:fill="auto"/>
          </w:tcPr>
          <w:p w14:paraId="1CEC6FC0" w14:textId="77777777" w:rsidR="00DC00A8" w:rsidRDefault="009F0A60">
            <w:pPr>
              <w:rPr>
                <w:rFonts w:ascii="黑体" w:eastAsia="黑体" w:hAnsi="黑体"/>
                <w:kern w:val="0"/>
                <w:sz w:val="20"/>
                <w:szCs w:val="20"/>
              </w:rPr>
            </w:pPr>
            <w:r>
              <w:rPr>
                <w:rFonts w:ascii="黑体" w:eastAsia="黑体" w:hAnsi="黑体" w:hint="eastAsia"/>
                <w:kern w:val="0"/>
                <w:sz w:val="20"/>
                <w:szCs w:val="20"/>
              </w:rPr>
              <w:t>必填项，包括：</w:t>
            </w:r>
          </w:p>
          <w:p w14:paraId="3587E0AF" w14:textId="77777777" w:rsidR="00DC00A8" w:rsidRDefault="009F0A60">
            <w:pPr>
              <w:rPr>
                <w:rFonts w:ascii="黑体" w:eastAsia="黑体" w:hAnsi="黑体"/>
                <w:kern w:val="0"/>
                <w:sz w:val="20"/>
                <w:szCs w:val="20"/>
              </w:rPr>
            </w:pPr>
            <w:r>
              <w:rPr>
                <w:rFonts w:ascii="黑体" w:eastAsia="黑体" w:hAnsi="黑体"/>
                <w:kern w:val="0"/>
                <w:sz w:val="20"/>
                <w:szCs w:val="20"/>
              </w:rPr>
              <w:t>1-QDII</w:t>
            </w:r>
            <w:r>
              <w:rPr>
                <w:rFonts w:ascii="黑体" w:eastAsia="黑体" w:hAnsi="黑体" w:hint="eastAsia"/>
                <w:kern w:val="0"/>
                <w:sz w:val="20"/>
                <w:szCs w:val="20"/>
              </w:rPr>
              <w:t>；</w:t>
            </w:r>
          </w:p>
          <w:p w14:paraId="38C35B70" w14:textId="77777777" w:rsidR="00A052DC" w:rsidRDefault="009F0A60">
            <w:pPr>
              <w:rPr>
                <w:rFonts w:ascii="黑体" w:eastAsia="黑体" w:hAnsi="黑体"/>
                <w:kern w:val="0"/>
                <w:sz w:val="20"/>
                <w:szCs w:val="20"/>
              </w:rPr>
            </w:pPr>
            <w:r>
              <w:rPr>
                <w:rFonts w:ascii="黑体" w:eastAsia="黑体" w:hAnsi="黑体"/>
                <w:kern w:val="0"/>
                <w:sz w:val="20"/>
                <w:szCs w:val="20"/>
              </w:rPr>
              <w:t>2-RQDII</w:t>
            </w:r>
            <w:r>
              <w:rPr>
                <w:rFonts w:ascii="黑体" w:eastAsia="黑体" w:hAnsi="黑体" w:hint="eastAsia"/>
                <w:kern w:val="0"/>
                <w:sz w:val="20"/>
                <w:szCs w:val="20"/>
              </w:rPr>
              <w:t>；</w:t>
            </w:r>
          </w:p>
          <w:p w14:paraId="3997A491" w14:textId="77777777" w:rsidR="00A052DC" w:rsidRDefault="009F0A60">
            <w:pPr>
              <w:rPr>
                <w:rFonts w:ascii="黑体" w:eastAsia="黑体" w:hAnsi="黑体"/>
                <w:kern w:val="0"/>
                <w:sz w:val="20"/>
                <w:szCs w:val="20"/>
              </w:rPr>
            </w:pPr>
            <w:r>
              <w:rPr>
                <w:rFonts w:ascii="黑体" w:eastAsia="黑体" w:hAnsi="黑体"/>
                <w:kern w:val="0"/>
                <w:sz w:val="20"/>
                <w:szCs w:val="20"/>
              </w:rPr>
              <w:t>3-QDLP；</w:t>
            </w:r>
          </w:p>
          <w:p w14:paraId="09911018" w14:textId="77777777" w:rsidR="00A052DC" w:rsidRDefault="009F0A60">
            <w:pPr>
              <w:rPr>
                <w:rFonts w:ascii="黑体" w:eastAsia="黑体" w:hAnsi="黑体"/>
                <w:kern w:val="0"/>
                <w:sz w:val="20"/>
                <w:szCs w:val="20"/>
              </w:rPr>
            </w:pPr>
            <w:r>
              <w:rPr>
                <w:rFonts w:ascii="黑体" w:eastAsia="黑体" w:hAnsi="黑体"/>
                <w:kern w:val="0"/>
                <w:sz w:val="20"/>
                <w:szCs w:val="20"/>
              </w:rPr>
              <w:t>4-QDIE</w:t>
            </w:r>
            <w:r>
              <w:rPr>
                <w:rFonts w:ascii="黑体" w:eastAsia="黑体" w:hAnsi="黑体" w:hint="eastAsia"/>
                <w:kern w:val="0"/>
                <w:sz w:val="20"/>
                <w:szCs w:val="20"/>
              </w:rPr>
              <w:t>；</w:t>
            </w:r>
          </w:p>
          <w:p w14:paraId="1D230BCA" w14:textId="77777777" w:rsidR="00A052DC" w:rsidRDefault="009F0A60">
            <w:pPr>
              <w:rPr>
                <w:rFonts w:ascii="黑体" w:eastAsia="黑体" w:hAnsi="黑体"/>
                <w:kern w:val="0"/>
                <w:sz w:val="20"/>
                <w:szCs w:val="20"/>
              </w:rPr>
            </w:pPr>
            <w:r>
              <w:rPr>
                <w:rFonts w:ascii="黑体" w:eastAsia="黑体" w:hAnsi="黑体"/>
                <w:kern w:val="0"/>
                <w:sz w:val="20"/>
                <w:szCs w:val="20"/>
              </w:rPr>
              <w:t>5-债券通（QDII/RQDII除外）；</w:t>
            </w:r>
          </w:p>
          <w:p w14:paraId="6487F828" w14:textId="77777777" w:rsidR="00A052DC" w:rsidRDefault="009F0A60">
            <w:pPr>
              <w:rPr>
                <w:rFonts w:ascii="黑体" w:eastAsia="黑体" w:hAnsi="黑体"/>
                <w:kern w:val="0"/>
                <w:sz w:val="20"/>
                <w:szCs w:val="20"/>
              </w:rPr>
            </w:pPr>
            <w:r>
              <w:rPr>
                <w:rFonts w:ascii="黑体" w:eastAsia="黑体" w:hAnsi="黑体"/>
                <w:kern w:val="0"/>
                <w:sz w:val="20"/>
                <w:szCs w:val="20"/>
              </w:rPr>
              <w:t>6-债券通（QDII/RQDII）；</w:t>
            </w:r>
          </w:p>
          <w:p w14:paraId="4F480413" w14:textId="77777777" w:rsidR="00A052DC" w:rsidRDefault="009F0A60">
            <w:pPr>
              <w:rPr>
                <w:rFonts w:ascii="黑体" w:eastAsia="黑体" w:hAnsi="黑体"/>
                <w:kern w:val="0"/>
                <w:sz w:val="20"/>
                <w:szCs w:val="20"/>
              </w:rPr>
            </w:pPr>
            <w:r>
              <w:rPr>
                <w:rFonts w:ascii="黑体" w:eastAsia="黑体" w:hAnsi="黑体"/>
                <w:kern w:val="0"/>
                <w:sz w:val="20"/>
                <w:szCs w:val="20"/>
              </w:rPr>
              <w:t>7-跨境理财通；</w:t>
            </w:r>
          </w:p>
          <w:p w14:paraId="18D13C2C" w14:textId="77777777" w:rsidR="00A052DC" w:rsidRDefault="009F0A60">
            <w:pPr>
              <w:rPr>
                <w:rFonts w:ascii="黑体" w:eastAsia="黑体" w:hAnsi="黑体"/>
                <w:sz w:val="20"/>
                <w:szCs w:val="20"/>
              </w:rPr>
            </w:pPr>
            <w:r>
              <w:rPr>
                <w:rFonts w:ascii="黑体" w:eastAsia="黑体" w:hAnsi="黑体"/>
                <w:kern w:val="0"/>
                <w:sz w:val="20"/>
                <w:szCs w:val="20"/>
              </w:rPr>
              <w:t>9-</w:t>
            </w:r>
            <w:r>
              <w:rPr>
                <w:rFonts w:ascii="黑体" w:eastAsia="黑体" w:hAnsi="黑体" w:hint="eastAsia"/>
                <w:kern w:val="0"/>
                <w:sz w:val="20"/>
                <w:szCs w:val="20"/>
              </w:rPr>
              <w:t>其他。</w:t>
            </w:r>
          </w:p>
        </w:tc>
      </w:tr>
      <w:tr w:rsidR="00A052DC" w14:paraId="119EDCFA" w14:textId="77777777">
        <w:tc>
          <w:tcPr>
            <w:tcW w:w="0" w:type="auto"/>
            <w:shd w:val="clear" w:color="auto" w:fill="auto"/>
          </w:tcPr>
          <w:p w14:paraId="0C128AC9" w14:textId="77777777" w:rsidR="00A052DC" w:rsidRDefault="009F0A60">
            <w:pPr>
              <w:pStyle w:val="B"/>
              <w:widowControl w:val="0"/>
              <w:rPr>
                <w:szCs w:val="20"/>
              </w:rPr>
            </w:pPr>
            <w:r>
              <w:rPr>
                <w:szCs w:val="20"/>
              </w:rPr>
              <w:t>INVTYPE</w:t>
            </w:r>
          </w:p>
        </w:tc>
        <w:tc>
          <w:tcPr>
            <w:tcW w:w="0" w:type="auto"/>
            <w:shd w:val="clear" w:color="auto" w:fill="auto"/>
          </w:tcPr>
          <w:p w14:paraId="3E63074D" w14:textId="77777777" w:rsidR="00A052DC" w:rsidRDefault="009F0A60">
            <w:pPr>
              <w:pStyle w:val="B"/>
              <w:widowControl w:val="0"/>
              <w:rPr>
                <w:szCs w:val="20"/>
              </w:rPr>
            </w:pPr>
            <w:r>
              <w:rPr>
                <w:rFonts w:hint="eastAsia"/>
                <w:szCs w:val="20"/>
              </w:rPr>
              <w:t>投资品种类型</w:t>
            </w:r>
          </w:p>
        </w:tc>
        <w:tc>
          <w:tcPr>
            <w:tcW w:w="1358" w:type="dxa"/>
            <w:shd w:val="clear" w:color="auto" w:fill="auto"/>
          </w:tcPr>
          <w:p w14:paraId="781BFD58" w14:textId="77777777" w:rsidR="00A052DC" w:rsidRDefault="009F0A60">
            <w:pPr>
              <w:pStyle w:val="B"/>
              <w:widowControl w:val="0"/>
              <w:rPr>
                <w:szCs w:val="20"/>
              </w:rPr>
            </w:pPr>
            <w:r>
              <w:rPr>
                <w:rFonts w:hint="eastAsia"/>
                <w:szCs w:val="20"/>
              </w:rPr>
              <w:t>字符型，</w:t>
            </w:r>
            <w:r>
              <w:rPr>
                <w:szCs w:val="20"/>
              </w:rPr>
              <w:t>3</w:t>
            </w:r>
          </w:p>
        </w:tc>
        <w:tc>
          <w:tcPr>
            <w:tcW w:w="4303" w:type="dxa"/>
            <w:shd w:val="clear" w:color="auto" w:fill="auto"/>
          </w:tcPr>
          <w:p w14:paraId="64D31A25" w14:textId="77777777" w:rsidR="00A052DC" w:rsidRDefault="009F0A60">
            <w:pPr>
              <w:pStyle w:val="B"/>
              <w:widowControl w:val="0"/>
              <w:rPr>
                <w:szCs w:val="20"/>
              </w:rPr>
            </w:pPr>
            <w:r>
              <w:rPr>
                <w:rFonts w:hint="eastAsia"/>
                <w:szCs w:val="20"/>
              </w:rPr>
              <w:t>非必填项</w:t>
            </w:r>
            <w:r>
              <w:rPr>
                <w:szCs w:val="20"/>
              </w:rPr>
              <w:t>，见QDII</w:t>
            </w:r>
            <w:r>
              <w:rPr>
                <w:rFonts w:hint="eastAsia"/>
                <w:szCs w:val="20"/>
              </w:rPr>
              <w:t>/RQDII/QDLP/QDIE</w:t>
            </w:r>
            <w:r>
              <w:rPr>
                <w:szCs w:val="20"/>
              </w:rPr>
              <w:t>投资品种类型代码表</w:t>
            </w:r>
            <w:r>
              <w:rPr>
                <w:rFonts w:hint="eastAsia"/>
                <w:szCs w:val="20"/>
              </w:rPr>
              <w:t>。当业务类型为5、6、7、9时，此项为空。</w:t>
            </w:r>
          </w:p>
        </w:tc>
      </w:tr>
      <w:tr w:rsidR="00A052DC" w14:paraId="6CCDFF8C" w14:textId="77777777">
        <w:tc>
          <w:tcPr>
            <w:tcW w:w="0" w:type="auto"/>
            <w:shd w:val="clear" w:color="auto" w:fill="auto"/>
          </w:tcPr>
          <w:p w14:paraId="16902D01" w14:textId="77777777" w:rsidR="00A052DC" w:rsidRDefault="009F0A60">
            <w:pPr>
              <w:pStyle w:val="B"/>
              <w:widowControl w:val="0"/>
              <w:rPr>
                <w:szCs w:val="20"/>
              </w:rPr>
            </w:pPr>
            <w:r>
              <w:rPr>
                <w:szCs w:val="20"/>
              </w:rPr>
              <w:t>H0205</w:t>
            </w:r>
          </w:p>
        </w:tc>
        <w:tc>
          <w:tcPr>
            <w:tcW w:w="0" w:type="auto"/>
            <w:shd w:val="clear" w:color="auto" w:fill="auto"/>
          </w:tcPr>
          <w:p w14:paraId="341B2C19" w14:textId="77777777" w:rsidR="00A052DC" w:rsidRDefault="009F0A60">
            <w:pPr>
              <w:pStyle w:val="B"/>
              <w:widowControl w:val="0"/>
              <w:rPr>
                <w:szCs w:val="20"/>
              </w:rPr>
            </w:pPr>
            <w:r>
              <w:rPr>
                <w:rFonts w:hint="eastAsia"/>
                <w:szCs w:val="20"/>
              </w:rPr>
              <w:t>金融衍生产品的合约类别</w:t>
            </w:r>
          </w:p>
        </w:tc>
        <w:tc>
          <w:tcPr>
            <w:tcW w:w="1358" w:type="dxa"/>
            <w:shd w:val="clear" w:color="auto" w:fill="auto"/>
          </w:tcPr>
          <w:p w14:paraId="11777F6B" w14:textId="77777777" w:rsidR="00A052DC" w:rsidRDefault="009F0A60">
            <w:pPr>
              <w:pStyle w:val="B"/>
              <w:widowControl w:val="0"/>
              <w:rPr>
                <w:szCs w:val="20"/>
              </w:rPr>
            </w:pPr>
            <w:r>
              <w:rPr>
                <w:rFonts w:hint="eastAsia"/>
                <w:szCs w:val="20"/>
              </w:rPr>
              <w:t>整数型</w:t>
            </w:r>
          </w:p>
        </w:tc>
        <w:tc>
          <w:tcPr>
            <w:tcW w:w="4303" w:type="dxa"/>
            <w:shd w:val="clear" w:color="auto" w:fill="auto"/>
          </w:tcPr>
          <w:p w14:paraId="305FF886" w14:textId="77777777" w:rsidR="00A052DC" w:rsidRDefault="009F0A60">
            <w:pPr>
              <w:pStyle w:val="B"/>
              <w:widowControl w:val="0"/>
              <w:rPr>
                <w:szCs w:val="20"/>
              </w:rPr>
            </w:pPr>
            <w:r>
              <w:rPr>
                <w:rFonts w:hint="eastAsia"/>
                <w:szCs w:val="20"/>
              </w:rPr>
              <w:t>非必填项。如</w:t>
            </w:r>
            <w:r>
              <w:rPr>
                <w:szCs w:val="20"/>
              </w:rPr>
              <w:t>H0204=15</w:t>
            </w:r>
            <w:r>
              <w:rPr>
                <w:rFonts w:hint="eastAsia"/>
                <w:szCs w:val="20"/>
              </w:rPr>
              <w:t>，则为必填项，</w:t>
            </w:r>
            <w:r>
              <w:rPr>
                <w:szCs w:val="20"/>
              </w:rPr>
              <w:t>见金融衍生产品的合约类别代码表</w:t>
            </w:r>
            <w:r>
              <w:rPr>
                <w:rFonts w:hint="eastAsia"/>
                <w:szCs w:val="20"/>
              </w:rPr>
              <w:t>。如</w:t>
            </w:r>
            <w:r>
              <w:rPr>
                <w:szCs w:val="20"/>
              </w:rPr>
              <w:t>H0204</w:t>
            </w:r>
            <w:r>
              <w:rPr>
                <w:rFonts w:hint="eastAsia"/>
                <w:szCs w:val="20"/>
              </w:rPr>
              <w:t>≠</w:t>
            </w:r>
            <w:r>
              <w:rPr>
                <w:szCs w:val="20"/>
              </w:rPr>
              <w:t>15</w:t>
            </w:r>
            <w:r>
              <w:rPr>
                <w:rFonts w:hint="eastAsia"/>
                <w:szCs w:val="20"/>
              </w:rPr>
              <w:t>，则本字段为空。</w:t>
            </w:r>
          </w:p>
        </w:tc>
      </w:tr>
      <w:tr w:rsidR="00A052DC" w14:paraId="4E6DAC09" w14:textId="77777777">
        <w:tc>
          <w:tcPr>
            <w:tcW w:w="0" w:type="auto"/>
            <w:shd w:val="clear" w:color="auto" w:fill="auto"/>
          </w:tcPr>
          <w:p w14:paraId="35D19A04" w14:textId="77777777" w:rsidR="00A052DC" w:rsidRDefault="009F0A60">
            <w:pPr>
              <w:pStyle w:val="B"/>
              <w:widowControl w:val="0"/>
              <w:rPr>
                <w:szCs w:val="20"/>
              </w:rPr>
            </w:pPr>
            <w:r>
              <w:rPr>
                <w:szCs w:val="20"/>
              </w:rPr>
              <w:t>H0206</w:t>
            </w:r>
          </w:p>
        </w:tc>
        <w:tc>
          <w:tcPr>
            <w:tcW w:w="0" w:type="auto"/>
            <w:shd w:val="clear" w:color="auto" w:fill="auto"/>
          </w:tcPr>
          <w:p w14:paraId="450E648B" w14:textId="77777777" w:rsidR="00A052DC" w:rsidRDefault="009F0A60">
            <w:pPr>
              <w:pStyle w:val="B"/>
              <w:widowControl w:val="0"/>
              <w:rPr>
                <w:szCs w:val="20"/>
              </w:rPr>
            </w:pPr>
            <w:r>
              <w:rPr>
                <w:rFonts w:hint="eastAsia"/>
                <w:szCs w:val="20"/>
              </w:rPr>
              <w:t>金融衍生产品的风险类别</w:t>
            </w:r>
          </w:p>
        </w:tc>
        <w:tc>
          <w:tcPr>
            <w:tcW w:w="1358" w:type="dxa"/>
            <w:shd w:val="clear" w:color="auto" w:fill="auto"/>
          </w:tcPr>
          <w:p w14:paraId="54340136" w14:textId="77777777" w:rsidR="00A052DC" w:rsidRDefault="009F0A60">
            <w:pPr>
              <w:pStyle w:val="B"/>
              <w:widowControl w:val="0"/>
              <w:rPr>
                <w:szCs w:val="20"/>
              </w:rPr>
            </w:pPr>
            <w:r>
              <w:rPr>
                <w:rFonts w:hint="eastAsia"/>
                <w:szCs w:val="20"/>
              </w:rPr>
              <w:t>整数型</w:t>
            </w:r>
          </w:p>
        </w:tc>
        <w:tc>
          <w:tcPr>
            <w:tcW w:w="4303" w:type="dxa"/>
            <w:shd w:val="clear" w:color="auto" w:fill="auto"/>
          </w:tcPr>
          <w:p w14:paraId="6A1F50DA" w14:textId="77777777" w:rsidR="00A052DC" w:rsidRDefault="009F0A60">
            <w:pPr>
              <w:pStyle w:val="B"/>
              <w:widowControl w:val="0"/>
              <w:rPr>
                <w:szCs w:val="20"/>
              </w:rPr>
            </w:pPr>
            <w:r>
              <w:rPr>
                <w:rFonts w:hint="eastAsia"/>
                <w:szCs w:val="20"/>
              </w:rPr>
              <w:t>非必填项。如</w:t>
            </w:r>
            <w:r>
              <w:rPr>
                <w:szCs w:val="20"/>
              </w:rPr>
              <w:t>H0204=15</w:t>
            </w:r>
            <w:r>
              <w:rPr>
                <w:rFonts w:hint="eastAsia"/>
                <w:szCs w:val="20"/>
              </w:rPr>
              <w:t>，则为必填项</w:t>
            </w:r>
            <w:r>
              <w:rPr>
                <w:szCs w:val="20"/>
              </w:rPr>
              <w:t>，见金融衍生产品的风险类别代码表</w:t>
            </w:r>
            <w:r>
              <w:rPr>
                <w:rFonts w:hint="eastAsia"/>
                <w:szCs w:val="20"/>
              </w:rPr>
              <w:t>。如</w:t>
            </w:r>
            <w:r>
              <w:rPr>
                <w:szCs w:val="20"/>
              </w:rPr>
              <w:t>H0204</w:t>
            </w:r>
            <w:r>
              <w:rPr>
                <w:rFonts w:hint="eastAsia"/>
                <w:szCs w:val="20"/>
              </w:rPr>
              <w:t>≠</w:t>
            </w:r>
            <w:r>
              <w:rPr>
                <w:szCs w:val="20"/>
              </w:rPr>
              <w:t>15</w:t>
            </w:r>
            <w:r>
              <w:rPr>
                <w:rFonts w:hint="eastAsia"/>
                <w:szCs w:val="20"/>
              </w:rPr>
              <w:t>，则本字段为空。</w:t>
            </w:r>
          </w:p>
        </w:tc>
      </w:tr>
      <w:tr w:rsidR="00A052DC" w14:paraId="5A04A67C" w14:textId="77777777">
        <w:tc>
          <w:tcPr>
            <w:tcW w:w="0" w:type="auto"/>
            <w:shd w:val="clear" w:color="auto" w:fill="auto"/>
          </w:tcPr>
          <w:p w14:paraId="606DC43D" w14:textId="77777777" w:rsidR="00A052DC" w:rsidRDefault="009F0A60">
            <w:pPr>
              <w:pStyle w:val="B"/>
              <w:widowControl w:val="0"/>
              <w:rPr>
                <w:szCs w:val="20"/>
              </w:rPr>
            </w:pPr>
            <w:r>
              <w:rPr>
                <w:szCs w:val="20"/>
              </w:rPr>
              <w:t>H0207</w:t>
            </w:r>
          </w:p>
        </w:tc>
        <w:tc>
          <w:tcPr>
            <w:tcW w:w="0" w:type="auto"/>
            <w:shd w:val="clear" w:color="auto" w:fill="auto"/>
          </w:tcPr>
          <w:p w14:paraId="6E0E325F" w14:textId="77777777" w:rsidR="00A052DC" w:rsidRDefault="009F0A60">
            <w:pPr>
              <w:pStyle w:val="B"/>
              <w:widowControl w:val="0"/>
              <w:rPr>
                <w:szCs w:val="20"/>
              </w:rPr>
            </w:pPr>
            <w:r>
              <w:rPr>
                <w:rFonts w:hint="eastAsia"/>
                <w:szCs w:val="20"/>
              </w:rPr>
              <w:t>投资工具代码（逐支报送使用）</w:t>
            </w:r>
          </w:p>
        </w:tc>
        <w:tc>
          <w:tcPr>
            <w:tcW w:w="1358" w:type="dxa"/>
            <w:shd w:val="clear" w:color="auto" w:fill="auto"/>
          </w:tcPr>
          <w:p w14:paraId="31AF5B07" w14:textId="77777777" w:rsidR="00A052DC" w:rsidRDefault="009F0A60">
            <w:pPr>
              <w:pStyle w:val="B"/>
              <w:widowControl w:val="0"/>
              <w:rPr>
                <w:szCs w:val="20"/>
              </w:rPr>
            </w:pPr>
            <w:r>
              <w:rPr>
                <w:rFonts w:hint="eastAsia"/>
                <w:szCs w:val="20"/>
              </w:rPr>
              <w:t>字符型，</w:t>
            </w:r>
            <w:r>
              <w:rPr>
                <w:szCs w:val="20"/>
              </w:rPr>
              <w:t>255</w:t>
            </w:r>
          </w:p>
        </w:tc>
        <w:tc>
          <w:tcPr>
            <w:tcW w:w="4303" w:type="dxa"/>
            <w:shd w:val="clear" w:color="auto" w:fill="auto"/>
          </w:tcPr>
          <w:p w14:paraId="2F43E067" w14:textId="77777777" w:rsidR="00A052DC" w:rsidRDefault="009F0A60">
            <w:pPr>
              <w:pStyle w:val="B"/>
              <w:widowControl w:val="0"/>
              <w:rPr>
                <w:szCs w:val="20"/>
              </w:rPr>
            </w:pPr>
            <w:r>
              <w:rPr>
                <w:rFonts w:hint="eastAsia"/>
                <w:szCs w:val="20"/>
              </w:rPr>
              <w:t>必填项。如</w:t>
            </w:r>
            <w:r>
              <w:rPr>
                <w:szCs w:val="20"/>
              </w:rPr>
              <w:t>H0204=11</w:t>
            </w:r>
            <w:r>
              <w:rPr>
                <w:rFonts w:hint="eastAsia"/>
                <w:szCs w:val="20"/>
              </w:rPr>
              <w:t>、</w:t>
            </w:r>
            <w:r>
              <w:rPr>
                <w:szCs w:val="20"/>
              </w:rPr>
              <w:t>12</w:t>
            </w:r>
            <w:r>
              <w:rPr>
                <w:rFonts w:hint="eastAsia"/>
                <w:szCs w:val="20"/>
              </w:rPr>
              <w:t>、</w:t>
            </w:r>
            <w:r>
              <w:rPr>
                <w:szCs w:val="20"/>
              </w:rPr>
              <w:t>13</w:t>
            </w:r>
            <w:r>
              <w:rPr>
                <w:rFonts w:hint="eastAsia"/>
                <w:szCs w:val="20"/>
              </w:rPr>
              <w:t>、</w:t>
            </w:r>
            <w:r>
              <w:rPr>
                <w:szCs w:val="20"/>
              </w:rPr>
              <w:t>14</w:t>
            </w:r>
            <w:r>
              <w:rPr>
                <w:rFonts w:hint="eastAsia"/>
                <w:szCs w:val="20"/>
              </w:rPr>
              <w:t>、</w:t>
            </w:r>
            <w:r>
              <w:rPr>
                <w:szCs w:val="20"/>
              </w:rPr>
              <w:t>15</w:t>
            </w:r>
            <w:r>
              <w:rPr>
                <w:rFonts w:hint="eastAsia"/>
                <w:szCs w:val="20"/>
              </w:rPr>
              <w:t>、</w:t>
            </w:r>
            <w:r>
              <w:rPr>
                <w:szCs w:val="20"/>
              </w:rPr>
              <w:t>16</w:t>
            </w:r>
            <w:r>
              <w:rPr>
                <w:rFonts w:hint="eastAsia"/>
                <w:szCs w:val="20"/>
              </w:rPr>
              <w:t>、20、21、22或23，并选择逐支报送，则填写实际代码；如选择汇总报送，则填写“</w:t>
            </w:r>
            <w:r>
              <w:rPr>
                <w:szCs w:val="20"/>
              </w:rPr>
              <w:t>N/A</w:t>
            </w:r>
            <w:r>
              <w:rPr>
                <w:rFonts w:hint="eastAsia"/>
                <w:szCs w:val="20"/>
              </w:rPr>
              <w:t>”。如</w:t>
            </w:r>
            <w:r>
              <w:rPr>
                <w:szCs w:val="20"/>
              </w:rPr>
              <w:t>H0204=17</w:t>
            </w:r>
            <w:r>
              <w:rPr>
                <w:rFonts w:hint="eastAsia"/>
                <w:szCs w:val="20"/>
              </w:rPr>
              <w:t>、</w:t>
            </w:r>
            <w:r>
              <w:rPr>
                <w:szCs w:val="20"/>
              </w:rPr>
              <w:t>18</w:t>
            </w:r>
            <w:r>
              <w:rPr>
                <w:rFonts w:hint="eastAsia"/>
                <w:szCs w:val="20"/>
              </w:rPr>
              <w:t>或</w:t>
            </w:r>
            <w:r>
              <w:rPr>
                <w:szCs w:val="20"/>
              </w:rPr>
              <w:t>19</w:t>
            </w:r>
            <w:r>
              <w:rPr>
                <w:rFonts w:hint="eastAsia"/>
                <w:szCs w:val="20"/>
              </w:rPr>
              <w:t>，则填写“</w:t>
            </w:r>
            <w:r>
              <w:rPr>
                <w:szCs w:val="20"/>
              </w:rPr>
              <w:t>N/A</w:t>
            </w:r>
            <w:r>
              <w:rPr>
                <w:rFonts w:hint="eastAsia"/>
                <w:szCs w:val="20"/>
              </w:rPr>
              <w:t>”。</w:t>
            </w:r>
          </w:p>
        </w:tc>
      </w:tr>
      <w:tr w:rsidR="00A052DC" w14:paraId="760D7391" w14:textId="77777777">
        <w:tc>
          <w:tcPr>
            <w:tcW w:w="0" w:type="auto"/>
            <w:shd w:val="clear" w:color="auto" w:fill="auto"/>
          </w:tcPr>
          <w:p w14:paraId="7F73BF6E" w14:textId="77777777" w:rsidR="00A052DC" w:rsidRDefault="009F0A60">
            <w:pPr>
              <w:pStyle w:val="B"/>
              <w:widowControl w:val="0"/>
              <w:rPr>
                <w:szCs w:val="20"/>
              </w:rPr>
            </w:pPr>
            <w:r>
              <w:rPr>
                <w:szCs w:val="20"/>
              </w:rPr>
              <w:t>H0208</w:t>
            </w:r>
          </w:p>
        </w:tc>
        <w:tc>
          <w:tcPr>
            <w:tcW w:w="0" w:type="auto"/>
            <w:shd w:val="clear" w:color="auto" w:fill="auto"/>
          </w:tcPr>
          <w:p w14:paraId="1683DDBE" w14:textId="77777777" w:rsidR="00A052DC" w:rsidRDefault="009F0A60">
            <w:pPr>
              <w:pStyle w:val="B"/>
              <w:widowControl w:val="0"/>
              <w:rPr>
                <w:szCs w:val="20"/>
              </w:rPr>
            </w:pPr>
            <w:r>
              <w:rPr>
                <w:rFonts w:hint="eastAsia"/>
                <w:szCs w:val="20"/>
              </w:rPr>
              <w:t>投资工具发行人名称（逐支报送使用）</w:t>
            </w:r>
          </w:p>
        </w:tc>
        <w:tc>
          <w:tcPr>
            <w:tcW w:w="1358" w:type="dxa"/>
            <w:shd w:val="clear" w:color="auto" w:fill="auto"/>
          </w:tcPr>
          <w:p w14:paraId="5BDE8263" w14:textId="77777777" w:rsidR="00A052DC" w:rsidRDefault="009F0A60">
            <w:pPr>
              <w:pStyle w:val="B"/>
              <w:widowControl w:val="0"/>
              <w:rPr>
                <w:szCs w:val="20"/>
              </w:rPr>
            </w:pPr>
            <w:r>
              <w:rPr>
                <w:rFonts w:hint="eastAsia"/>
                <w:szCs w:val="20"/>
              </w:rPr>
              <w:t>字符型，</w:t>
            </w:r>
            <w:r>
              <w:rPr>
                <w:szCs w:val="20"/>
              </w:rPr>
              <w:t>255</w:t>
            </w:r>
          </w:p>
        </w:tc>
        <w:tc>
          <w:tcPr>
            <w:tcW w:w="4303" w:type="dxa"/>
            <w:shd w:val="clear" w:color="auto" w:fill="auto"/>
          </w:tcPr>
          <w:p w14:paraId="023CEAEF" w14:textId="77777777" w:rsidR="00A052DC" w:rsidRDefault="009F0A60">
            <w:pPr>
              <w:pStyle w:val="B"/>
              <w:widowControl w:val="0"/>
              <w:rPr>
                <w:szCs w:val="20"/>
              </w:rPr>
            </w:pPr>
            <w:r>
              <w:rPr>
                <w:rFonts w:hint="eastAsia"/>
                <w:szCs w:val="20"/>
              </w:rPr>
              <w:t>非必填项。如</w:t>
            </w:r>
            <w:r>
              <w:rPr>
                <w:szCs w:val="20"/>
              </w:rPr>
              <w:t>H0207</w:t>
            </w:r>
            <w:r>
              <w:rPr>
                <w:rFonts w:hint="eastAsia"/>
                <w:szCs w:val="20"/>
              </w:rPr>
              <w:t>≠</w:t>
            </w:r>
            <w:r>
              <w:rPr>
                <w:szCs w:val="20"/>
              </w:rPr>
              <w:t>N/A</w:t>
            </w:r>
            <w:r>
              <w:rPr>
                <w:rFonts w:hint="eastAsia"/>
                <w:szCs w:val="20"/>
              </w:rPr>
              <w:t>，则填写实际名称；如</w:t>
            </w:r>
            <w:r>
              <w:rPr>
                <w:szCs w:val="20"/>
              </w:rPr>
              <w:t>H0207=N/A</w:t>
            </w:r>
            <w:r>
              <w:rPr>
                <w:rFonts w:hint="eastAsia"/>
                <w:szCs w:val="20"/>
              </w:rPr>
              <w:t>，本字段为空。</w:t>
            </w:r>
          </w:p>
        </w:tc>
      </w:tr>
      <w:tr w:rsidR="00A052DC" w14:paraId="1E116806" w14:textId="77777777">
        <w:tc>
          <w:tcPr>
            <w:tcW w:w="0" w:type="auto"/>
            <w:shd w:val="clear" w:color="auto" w:fill="auto"/>
          </w:tcPr>
          <w:p w14:paraId="7D1769FA" w14:textId="77777777" w:rsidR="00A052DC" w:rsidRDefault="009F0A60">
            <w:pPr>
              <w:pStyle w:val="B"/>
              <w:widowControl w:val="0"/>
              <w:rPr>
                <w:szCs w:val="20"/>
              </w:rPr>
            </w:pPr>
            <w:r>
              <w:rPr>
                <w:szCs w:val="20"/>
              </w:rPr>
              <w:t>H0209</w:t>
            </w:r>
          </w:p>
        </w:tc>
        <w:tc>
          <w:tcPr>
            <w:tcW w:w="0" w:type="auto"/>
            <w:shd w:val="clear" w:color="auto" w:fill="auto"/>
          </w:tcPr>
          <w:p w14:paraId="064986BF" w14:textId="77777777" w:rsidR="00A052DC" w:rsidRDefault="009F0A60">
            <w:pPr>
              <w:pStyle w:val="B"/>
              <w:widowControl w:val="0"/>
              <w:rPr>
                <w:szCs w:val="20"/>
              </w:rPr>
            </w:pPr>
            <w:r>
              <w:rPr>
                <w:rFonts w:hint="eastAsia"/>
                <w:szCs w:val="20"/>
              </w:rPr>
              <w:t>投资工具发行市场</w:t>
            </w:r>
          </w:p>
        </w:tc>
        <w:tc>
          <w:tcPr>
            <w:tcW w:w="1358" w:type="dxa"/>
            <w:shd w:val="clear" w:color="auto" w:fill="auto"/>
          </w:tcPr>
          <w:p w14:paraId="4DC308A8" w14:textId="77777777" w:rsidR="00A052DC" w:rsidRDefault="009F0A60">
            <w:pPr>
              <w:pStyle w:val="B"/>
              <w:widowControl w:val="0"/>
              <w:rPr>
                <w:szCs w:val="20"/>
              </w:rPr>
            </w:pPr>
            <w:r>
              <w:rPr>
                <w:rFonts w:hint="eastAsia"/>
                <w:szCs w:val="20"/>
              </w:rPr>
              <w:t>字符型，</w:t>
            </w:r>
            <w:r>
              <w:rPr>
                <w:szCs w:val="20"/>
              </w:rPr>
              <w:t>3</w:t>
            </w:r>
          </w:p>
        </w:tc>
        <w:tc>
          <w:tcPr>
            <w:tcW w:w="4303" w:type="dxa"/>
            <w:shd w:val="clear" w:color="auto" w:fill="auto"/>
          </w:tcPr>
          <w:p w14:paraId="4E2FE282" w14:textId="77777777" w:rsidR="00A052DC" w:rsidRDefault="009F0A60">
            <w:pPr>
              <w:pStyle w:val="B"/>
              <w:widowControl w:val="0"/>
              <w:rPr>
                <w:szCs w:val="20"/>
              </w:rPr>
            </w:pPr>
            <w:r>
              <w:rPr>
                <w:rFonts w:hint="eastAsia"/>
                <w:szCs w:val="20"/>
              </w:rPr>
              <w:t>必填项，</w:t>
            </w:r>
            <w:r>
              <w:rPr>
                <w:szCs w:val="20"/>
              </w:rPr>
              <w:t>见国家和地区代码表</w:t>
            </w:r>
            <w:r>
              <w:rPr>
                <w:rFonts w:hint="eastAsia"/>
                <w:szCs w:val="20"/>
              </w:rPr>
              <w:t>的</w:t>
            </w:r>
            <w:r>
              <w:rPr>
                <w:szCs w:val="20"/>
              </w:rPr>
              <w:t>3</w:t>
            </w:r>
            <w:r>
              <w:rPr>
                <w:rFonts w:hint="eastAsia"/>
                <w:szCs w:val="20"/>
              </w:rPr>
              <w:t>位字母代码,必须≠</w:t>
            </w:r>
            <w:r>
              <w:rPr>
                <w:szCs w:val="20"/>
              </w:rPr>
              <w:t>CHN</w:t>
            </w:r>
            <w:r>
              <w:rPr>
                <w:rFonts w:hint="eastAsia"/>
                <w:szCs w:val="20"/>
              </w:rPr>
              <w:t>或N/A</w:t>
            </w:r>
            <w:r>
              <w:rPr>
                <w:szCs w:val="20"/>
              </w:rPr>
              <w:t>。</w:t>
            </w:r>
          </w:p>
        </w:tc>
      </w:tr>
      <w:tr w:rsidR="00A052DC" w14:paraId="53FB2263" w14:textId="77777777">
        <w:tc>
          <w:tcPr>
            <w:tcW w:w="0" w:type="auto"/>
            <w:shd w:val="clear" w:color="auto" w:fill="auto"/>
          </w:tcPr>
          <w:p w14:paraId="1CD07D02" w14:textId="77777777" w:rsidR="00A052DC" w:rsidRDefault="009F0A60">
            <w:pPr>
              <w:pStyle w:val="B"/>
              <w:widowControl w:val="0"/>
              <w:rPr>
                <w:szCs w:val="20"/>
              </w:rPr>
            </w:pPr>
            <w:r>
              <w:rPr>
                <w:szCs w:val="20"/>
              </w:rPr>
              <w:t>H0210</w:t>
            </w:r>
          </w:p>
        </w:tc>
        <w:tc>
          <w:tcPr>
            <w:tcW w:w="0" w:type="auto"/>
            <w:shd w:val="clear" w:color="auto" w:fill="auto"/>
          </w:tcPr>
          <w:p w14:paraId="05586C81" w14:textId="77777777" w:rsidR="00A052DC" w:rsidRDefault="009F0A60">
            <w:pPr>
              <w:pStyle w:val="B"/>
              <w:widowControl w:val="0"/>
              <w:rPr>
                <w:szCs w:val="20"/>
              </w:rPr>
            </w:pPr>
            <w:r>
              <w:rPr>
                <w:rFonts w:hint="eastAsia"/>
                <w:szCs w:val="20"/>
              </w:rPr>
              <w:t>投资工具发行人所属国家</w:t>
            </w:r>
            <w:r>
              <w:rPr>
                <w:szCs w:val="20"/>
              </w:rPr>
              <w:t>/</w:t>
            </w:r>
            <w:r>
              <w:rPr>
                <w:rFonts w:hint="eastAsia"/>
                <w:szCs w:val="20"/>
              </w:rPr>
              <w:t>地区</w:t>
            </w:r>
          </w:p>
        </w:tc>
        <w:tc>
          <w:tcPr>
            <w:tcW w:w="1358" w:type="dxa"/>
            <w:shd w:val="clear" w:color="auto" w:fill="auto"/>
          </w:tcPr>
          <w:p w14:paraId="2C473BE0" w14:textId="77777777" w:rsidR="00A052DC" w:rsidRDefault="009F0A60">
            <w:pPr>
              <w:pStyle w:val="B"/>
              <w:widowControl w:val="0"/>
              <w:rPr>
                <w:szCs w:val="20"/>
              </w:rPr>
            </w:pPr>
            <w:r>
              <w:rPr>
                <w:rFonts w:hint="eastAsia"/>
                <w:szCs w:val="20"/>
              </w:rPr>
              <w:t>字符型，</w:t>
            </w:r>
            <w:r>
              <w:rPr>
                <w:szCs w:val="20"/>
              </w:rPr>
              <w:t>3</w:t>
            </w:r>
          </w:p>
        </w:tc>
        <w:tc>
          <w:tcPr>
            <w:tcW w:w="4303" w:type="dxa"/>
            <w:shd w:val="clear" w:color="auto" w:fill="auto"/>
          </w:tcPr>
          <w:p w14:paraId="43D0BDE4" w14:textId="77777777" w:rsidR="00A052DC" w:rsidRDefault="009F0A60">
            <w:pPr>
              <w:pStyle w:val="B"/>
              <w:widowControl w:val="0"/>
              <w:rPr>
                <w:szCs w:val="20"/>
              </w:rPr>
            </w:pPr>
            <w:r>
              <w:rPr>
                <w:rFonts w:hint="eastAsia"/>
                <w:szCs w:val="20"/>
              </w:rPr>
              <w:t>必填项，</w:t>
            </w:r>
            <w:r>
              <w:rPr>
                <w:szCs w:val="20"/>
              </w:rPr>
              <w:t>见国家和地区代码表</w:t>
            </w:r>
            <w:r>
              <w:rPr>
                <w:rFonts w:hint="eastAsia"/>
                <w:szCs w:val="20"/>
              </w:rPr>
              <w:t>的</w:t>
            </w:r>
            <w:r>
              <w:rPr>
                <w:szCs w:val="20"/>
              </w:rPr>
              <w:t>3</w:t>
            </w:r>
            <w:r>
              <w:rPr>
                <w:rFonts w:hint="eastAsia"/>
                <w:szCs w:val="20"/>
              </w:rPr>
              <w:t>位字母代码。</w:t>
            </w:r>
          </w:p>
          <w:p w14:paraId="3A11B28A" w14:textId="77777777" w:rsidR="00A052DC" w:rsidRDefault="009F0A60">
            <w:pPr>
              <w:rPr>
                <w:rFonts w:ascii="黑体" w:eastAsia="黑体" w:hAnsi="黑体"/>
                <w:sz w:val="20"/>
                <w:szCs w:val="20"/>
              </w:rPr>
            </w:pPr>
            <w:r>
              <w:rPr>
                <w:rFonts w:ascii="黑体" w:eastAsia="黑体" w:hAnsi="黑体" w:hint="eastAsia"/>
                <w:kern w:val="0"/>
                <w:sz w:val="20"/>
                <w:szCs w:val="20"/>
              </w:rPr>
              <w:t>逐支报送时，</w:t>
            </w:r>
            <w:r>
              <w:rPr>
                <w:rFonts w:ascii="黑体" w:eastAsia="黑体" w:hAnsi="黑体"/>
                <w:kern w:val="0"/>
                <w:sz w:val="20"/>
                <w:szCs w:val="20"/>
              </w:rPr>
              <w:t>H020</w:t>
            </w:r>
            <w:r>
              <w:rPr>
                <w:rFonts w:ascii="黑体" w:eastAsia="黑体" w:hAnsi="黑体" w:hint="eastAsia"/>
                <w:kern w:val="0"/>
                <w:sz w:val="20"/>
                <w:szCs w:val="20"/>
              </w:rPr>
              <w:t>7为同一投资工具代码的，其所属国家（</w:t>
            </w:r>
            <w:r>
              <w:rPr>
                <w:rFonts w:ascii="黑体" w:eastAsia="黑体" w:hAnsi="黑体"/>
                <w:kern w:val="0"/>
                <w:sz w:val="20"/>
                <w:szCs w:val="20"/>
              </w:rPr>
              <w:t>H0210</w:t>
            </w:r>
            <w:r>
              <w:rPr>
                <w:rFonts w:ascii="黑体" w:eastAsia="黑体" w:hAnsi="黑体" w:hint="eastAsia"/>
                <w:kern w:val="0"/>
                <w:sz w:val="20"/>
                <w:szCs w:val="20"/>
              </w:rPr>
              <w:t>）应前后一致。</w:t>
            </w:r>
          </w:p>
        </w:tc>
      </w:tr>
      <w:tr w:rsidR="00A052DC" w14:paraId="59761995" w14:textId="77777777">
        <w:tc>
          <w:tcPr>
            <w:tcW w:w="0" w:type="auto"/>
            <w:shd w:val="clear" w:color="auto" w:fill="auto"/>
          </w:tcPr>
          <w:p w14:paraId="64630A07" w14:textId="77777777" w:rsidR="00A052DC" w:rsidRDefault="009F0A60">
            <w:pPr>
              <w:pStyle w:val="B"/>
              <w:widowControl w:val="0"/>
              <w:rPr>
                <w:szCs w:val="20"/>
              </w:rPr>
            </w:pPr>
            <w:r>
              <w:rPr>
                <w:szCs w:val="20"/>
              </w:rPr>
              <w:t>H0211</w:t>
            </w:r>
          </w:p>
        </w:tc>
        <w:tc>
          <w:tcPr>
            <w:tcW w:w="0" w:type="auto"/>
            <w:shd w:val="clear" w:color="auto" w:fill="auto"/>
          </w:tcPr>
          <w:p w14:paraId="4684951F" w14:textId="77777777" w:rsidR="00A052DC" w:rsidRDefault="009F0A60">
            <w:pPr>
              <w:pStyle w:val="B"/>
              <w:widowControl w:val="0"/>
              <w:rPr>
                <w:szCs w:val="20"/>
              </w:rPr>
            </w:pPr>
            <w:r>
              <w:rPr>
                <w:rFonts w:hint="eastAsia"/>
                <w:szCs w:val="20"/>
              </w:rPr>
              <w:t>投资工具发行人所属部门</w:t>
            </w:r>
          </w:p>
        </w:tc>
        <w:tc>
          <w:tcPr>
            <w:tcW w:w="1358" w:type="dxa"/>
            <w:shd w:val="clear" w:color="auto" w:fill="auto"/>
          </w:tcPr>
          <w:p w14:paraId="67599349" w14:textId="77777777" w:rsidR="00A052DC" w:rsidRDefault="009F0A60">
            <w:pPr>
              <w:pStyle w:val="B"/>
              <w:widowControl w:val="0"/>
              <w:rPr>
                <w:szCs w:val="20"/>
              </w:rPr>
            </w:pPr>
            <w:r>
              <w:rPr>
                <w:rFonts w:hint="eastAsia"/>
                <w:szCs w:val="20"/>
              </w:rPr>
              <w:t>整数型</w:t>
            </w:r>
          </w:p>
        </w:tc>
        <w:tc>
          <w:tcPr>
            <w:tcW w:w="4303" w:type="dxa"/>
            <w:shd w:val="clear" w:color="auto" w:fill="auto"/>
          </w:tcPr>
          <w:p w14:paraId="72744D3B" w14:textId="77777777" w:rsidR="00A052DC" w:rsidRDefault="009F0A60">
            <w:pPr>
              <w:pStyle w:val="B"/>
              <w:widowControl w:val="0"/>
              <w:rPr>
                <w:szCs w:val="20"/>
              </w:rPr>
            </w:pPr>
            <w:r>
              <w:rPr>
                <w:rFonts w:hint="eastAsia"/>
                <w:szCs w:val="20"/>
              </w:rPr>
              <w:t>必填项，</w:t>
            </w:r>
            <w:r>
              <w:rPr>
                <w:szCs w:val="20"/>
              </w:rPr>
              <w:t>见投资者（被投资者）部门代码表。</w:t>
            </w:r>
          </w:p>
          <w:p w14:paraId="72C3B7FB" w14:textId="77777777" w:rsidR="00A052DC" w:rsidRDefault="009F0A60">
            <w:pPr>
              <w:rPr>
                <w:rFonts w:ascii="黑体" w:eastAsia="黑体" w:hAnsi="黑体"/>
                <w:sz w:val="20"/>
                <w:szCs w:val="20"/>
              </w:rPr>
            </w:pPr>
            <w:r>
              <w:rPr>
                <w:rFonts w:ascii="黑体" w:eastAsia="黑体" w:hAnsi="黑体" w:hint="eastAsia"/>
                <w:kern w:val="0"/>
                <w:sz w:val="20"/>
                <w:szCs w:val="20"/>
              </w:rPr>
              <w:t>逐支报送时，</w:t>
            </w:r>
            <w:r>
              <w:rPr>
                <w:rFonts w:ascii="黑体" w:eastAsia="黑体" w:hAnsi="黑体"/>
                <w:kern w:val="0"/>
                <w:sz w:val="20"/>
                <w:szCs w:val="20"/>
              </w:rPr>
              <w:t>H020</w:t>
            </w:r>
            <w:r>
              <w:rPr>
                <w:rFonts w:ascii="黑体" w:eastAsia="黑体" w:hAnsi="黑体" w:hint="eastAsia"/>
                <w:kern w:val="0"/>
                <w:sz w:val="20"/>
                <w:szCs w:val="20"/>
              </w:rPr>
              <w:t>7为同一投资工具代码的，其所属部门（</w:t>
            </w:r>
            <w:r>
              <w:rPr>
                <w:rFonts w:ascii="黑体" w:eastAsia="黑体" w:hAnsi="黑体"/>
                <w:kern w:val="0"/>
                <w:sz w:val="20"/>
                <w:szCs w:val="20"/>
              </w:rPr>
              <w:t>H0211</w:t>
            </w:r>
            <w:r>
              <w:rPr>
                <w:rFonts w:ascii="黑体" w:eastAsia="黑体" w:hAnsi="黑体" w:hint="eastAsia"/>
                <w:kern w:val="0"/>
                <w:sz w:val="20"/>
                <w:szCs w:val="20"/>
              </w:rPr>
              <w:t>）应前后一致。</w:t>
            </w:r>
          </w:p>
        </w:tc>
      </w:tr>
      <w:tr w:rsidR="00A052DC" w14:paraId="2CE84288" w14:textId="77777777">
        <w:tc>
          <w:tcPr>
            <w:tcW w:w="0" w:type="auto"/>
            <w:shd w:val="clear" w:color="auto" w:fill="auto"/>
          </w:tcPr>
          <w:p w14:paraId="22C05DA5" w14:textId="77777777" w:rsidR="00A052DC" w:rsidRDefault="009F0A60">
            <w:pPr>
              <w:pStyle w:val="B"/>
              <w:widowControl w:val="0"/>
              <w:rPr>
                <w:szCs w:val="20"/>
              </w:rPr>
            </w:pPr>
            <w:r>
              <w:rPr>
                <w:szCs w:val="20"/>
              </w:rPr>
              <w:t>H0212</w:t>
            </w:r>
          </w:p>
        </w:tc>
        <w:tc>
          <w:tcPr>
            <w:tcW w:w="0" w:type="auto"/>
            <w:shd w:val="clear" w:color="auto" w:fill="auto"/>
          </w:tcPr>
          <w:p w14:paraId="48D547BA" w14:textId="77777777" w:rsidR="00A052DC" w:rsidRDefault="009F0A60">
            <w:pPr>
              <w:pStyle w:val="B"/>
              <w:widowControl w:val="0"/>
              <w:rPr>
                <w:szCs w:val="20"/>
              </w:rPr>
            </w:pPr>
            <w:r>
              <w:rPr>
                <w:rFonts w:hint="eastAsia"/>
                <w:szCs w:val="20"/>
              </w:rPr>
              <w:t>投资工具发行人与居民委托人的关系</w:t>
            </w:r>
          </w:p>
        </w:tc>
        <w:tc>
          <w:tcPr>
            <w:tcW w:w="1358" w:type="dxa"/>
            <w:shd w:val="clear" w:color="auto" w:fill="auto"/>
          </w:tcPr>
          <w:p w14:paraId="392D7AAB" w14:textId="77777777" w:rsidR="00A052DC" w:rsidRDefault="009F0A60">
            <w:pPr>
              <w:pStyle w:val="B"/>
              <w:widowControl w:val="0"/>
              <w:rPr>
                <w:szCs w:val="20"/>
              </w:rPr>
            </w:pPr>
            <w:r>
              <w:rPr>
                <w:rFonts w:hint="eastAsia"/>
                <w:szCs w:val="20"/>
              </w:rPr>
              <w:t>整数型</w:t>
            </w:r>
          </w:p>
        </w:tc>
        <w:tc>
          <w:tcPr>
            <w:tcW w:w="4303" w:type="dxa"/>
            <w:shd w:val="clear" w:color="auto" w:fill="auto"/>
          </w:tcPr>
          <w:p w14:paraId="20C7D2A2" w14:textId="77777777" w:rsidR="00A052DC" w:rsidRDefault="009F0A60">
            <w:pPr>
              <w:pStyle w:val="B"/>
              <w:widowControl w:val="0"/>
              <w:rPr>
                <w:szCs w:val="20"/>
              </w:rPr>
            </w:pPr>
            <w:r>
              <w:rPr>
                <w:rFonts w:hint="eastAsia"/>
                <w:szCs w:val="20"/>
              </w:rPr>
              <w:t>必填项，见对方与本机构</w:t>
            </w:r>
            <w:r>
              <w:rPr>
                <w:szCs w:val="20"/>
              </w:rPr>
              <w:t>/</w:t>
            </w:r>
            <w:r>
              <w:rPr>
                <w:rFonts w:hint="eastAsia"/>
                <w:szCs w:val="20"/>
              </w:rPr>
              <w:t>被代理居民机构</w:t>
            </w:r>
            <w:r>
              <w:rPr>
                <w:szCs w:val="20"/>
              </w:rPr>
              <w:t>/</w:t>
            </w:r>
            <w:r>
              <w:rPr>
                <w:rFonts w:hint="eastAsia"/>
                <w:szCs w:val="20"/>
              </w:rPr>
              <w:t>委托人的关系代码表。</w:t>
            </w:r>
          </w:p>
        </w:tc>
      </w:tr>
      <w:tr w:rsidR="00A052DC" w14:paraId="4A9B7E37" w14:textId="77777777">
        <w:tc>
          <w:tcPr>
            <w:tcW w:w="0" w:type="auto"/>
            <w:shd w:val="clear" w:color="auto" w:fill="auto"/>
          </w:tcPr>
          <w:p w14:paraId="654D1F4A" w14:textId="77777777" w:rsidR="00A052DC" w:rsidRDefault="009F0A60">
            <w:pPr>
              <w:pStyle w:val="B"/>
              <w:widowControl w:val="0"/>
              <w:rPr>
                <w:szCs w:val="20"/>
              </w:rPr>
            </w:pPr>
            <w:r>
              <w:rPr>
                <w:szCs w:val="20"/>
              </w:rPr>
              <w:t>H0213</w:t>
            </w:r>
          </w:p>
        </w:tc>
        <w:tc>
          <w:tcPr>
            <w:tcW w:w="0" w:type="auto"/>
            <w:shd w:val="clear" w:color="auto" w:fill="auto"/>
          </w:tcPr>
          <w:p w14:paraId="5AB64973" w14:textId="77777777" w:rsidR="00A052DC" w:rsidRDefault="009F0A60">
            <w:pPr>
              <w:pStyle w:val="B"/>
              <w:widowControl w:val="0"/>
              <w:rPr>
                <w:szCs w:val="20"/>
              </w:rPr>
            </w:pPr>
            <w:r>
              <w:rPr>
                <w:rFonts w:hint="eastAsia"/>
                <w:szCs w:val="20"/>
              </w:rPr>
              <w:t>投资工具的原始期限</w:t>
            </w:r>
          </w:p>
        </w:tc>
        <w:tc>
          <w:tcPr>
            <w:tcW w:w="1358" w:type="dxa"/>
            <w:shd w:val="clear" w:color="auto" w:fill="auto"/>
          </w:tcPr>
          <w:p w14:paraId="1E2CAC60" w14:textId="77777777" w:rsidR="00A052DC" w:rsidRDefault="009F0A60">
            <w:pPr>
              <w:pStyle w:val="B"/>
              <w:widowControl w:val="0"/>
              <w:rPr>
                <w:szCs w:val="20"/>
              </w:rPr>
            </w:pPr>
            <w:r>
              <w:rPr>
                <w:rFonts w:hint="eastAsia"/>
                <w:szCs w:val="20"/>
              </w:rPr>
              <w:t>整数型</w:t>
            </w:r>
          </w:p>
        </w:tc>
        <w:tc>
          <w:tcPr>
            <w:tcW w:w="4303" w:type="dxa"/>
            <w:shd w:val="clear" w:color="auto" w:fill="auto"/>
          </w:tcPr>
          <w:p w14:paraId="32DDB26C" w14:textId="77777777" w:rsidR="00A052DC" w:rsidRDefault="009F0A60">
            <w:pPr>
              <w:pStyle w:val="B"/>
              <w:widowControl w:val="0"/>
              <w:rPr>
                <w:szCs w:val="20"/>
              </w:rPr>
            </w:pPr>
            <w:r>
              <w:rPr>
                <w:rFonts w:hint="eastAsia"/>
                <w:szCs w:val="20"/>
              </w:rPr>
              <w:t>非必填项。当</w:t>
            </w:r>
            <w:r>
              <w:rPr>
                <w:szCs w:val="20"/>
              </w:rPr>
              <w:t>H0204=11</w:t>
            </w:r>
            <w:r>
              <w:rPr>
                <w:rFonts w:hint="eastAsia"/>
                <w:szCs w:val="20"/>
              </w:rPr>
              <w:t>、</w:t>
            </w:r>
            <w:r>
              <w:rPr>
                <w:szCs w:val="20"/>
              </w:rPr>
              <w:t>12</w:t>
            </w:r>
            <w:r>
              <w:rPr>
                <w:rFonts w:hint="eastAsia"/>
                <w:szCs w:val="20"/>
              </w:rPr>
              <w:t>、</w:t>
            </w:r>
            <w:r>
              <w:rPr>
                <w:szCs w:val="20"/>
              </w:rPr>
              <w:t>13</w:t>
            </w:r>
            <w:r>
              <w:rPr>
                <w:rFonts w:hint="eastAsia"/>
                <w:szCs w:val="20"/>
              </w:rPr>
              <w:t>、</w:t>
            </w:r>
            <w:r>
              <w:rPr>
                <w:szCs w:val="20"/>
              </w:rPr>
              <w:t>14</w:t>
            </w:r>
            <w:r>
              <w:rPr>
                <w:rFonts w:hint="eastAsia"/>
                <w:szCs w:val="20"/>
              </w:rPr>
              <w:t>、</w:t>
            </w:r>
            <w:r>
              <w:rPr>
                <w:szCs w:val="20"/>
              </w:rPr>
              <w:t>15</w:t>
            </w:r>
            <w:r>
              <w:rPr>
                <w:rFonts w:hint="eastAsia"/>
                <w:szCs w:val="20"/>
              </w:rPr>
              <w:t>或20时，该项为空；当</w:t>
            </w:r>
            <w:r>
              <w:rPr>
                <w:szCs w:val="20"/>
              </w:rPr>
              <w:t>H0204=16</w:t>
            </w:r>
            <w:r>
              <w:rPr>
                <w:rFonts w:hint="eastAsia"/>
                <w:szCs w:val="20"/>
              </w:rPr>
              <w:t>、</w:t>
            </w:r>
            <w:r>
              <w:rPr>
                <w:szCs w:val="20"/>
              </w:rPr>
              <w:t>17</w:t>
            </w:r>
            <w:r>
              <w:rPr>
                <w:rFonts w:hint="eastAsia"/>
                <w:szCs w:val="20"/>
              </w:rPr>
              <w:t>、</w:t>
            </w:r>
            <w:r>
              <w:rPr>
                <w:szCs w:val="20"/>
              </w:rPr>
              <w:t>18</w:t>
            </w:r>
            <w:r>
              <w:rPr>
                <w:rFonts w:hint="eastAsia"/>
                <w:szCs w:val="20"/>
              </w:rPr>
              <w:t>、</w:t>
            </w:r>
            <w:r>
              <w:rPr>
                <w:szCs w:val="20"/>
              </w:rPr>
              <w:t>19</w:t>
            </w:r>
            <w:r>
              <w:rPr>
                <w:rFonts w:hint="eastAsia"/>
                <w:szCs w:val="20"/>
              </w:rPr>
              <w:t>、21、22或23时，该项必须</w:t>
            </w:r>
            <w:r>
              <w:rPr>
                <w:szCs w:val="20"/>
              </w:rPr>
              <w:t>2</w:t>
            </w:r>
            <w:r>
              <w:rPr>
                <w:rFonts w:hint="eastAsia"/>
                <w:szCs w:val="20"/>
              </w:rPr>
              <w:t>选</w:t>
            </w:r>
            <w:r>
              <w:rPr>
                <w:szCs w:val="20"/>
              </w:rPr>
              <w:t>1</w:t>
            </w:r>
            <w:r>
              <w:rPr>
                <w:rFonts w:hint="eastAsia"/>
                <w:szCs w:val="20"/>
              </w:rPr>
              <w:t>：</w:t>
            </w:r>
          </w:p>
          <w:p w14:paraId="7E12A103" w14:textId="77777777" w:rsidR="00A052DC" w:rsidRDefault="009F0A60">
            <w:pPr>
              <w:pStyle w:val="B"/>
              <w:widowControl w:val="0"/>
              <w:rPr>
                <w:szCs w:val="20"/>
              </w:rPr>
            </w:pPr>
            <w:r>
              <w:rPr>
                <w:szCs w:val="20"/>
              </w:rPr>
              <w:t>1-</w:t>
            </w:r>
            <w:r>
              <w:rPr>
                <w:rFonts w:hint="eastAsia"/>
                <w:szCs w:val="20"/>
              </w:rPr>
              <w:t>一年及以下；</w:t>
            </w:r>
          </w:p>
          <w:p w14:paraId="2BB7F0BE" w14:textId="77777777" w:rsidR="00A052DC" w:rsidRDefault="009F0A60">
            <w:pPr>
              <w:pStyle w:val="B"/>
              <w:widowControl w:val="0"/>
              <w:rPr>
                <w:szCs w:val="20"/>
              </w:rPr>
            </w:pPr>
            <w:r>
              <w:rPr>
                <w:szCs w:val="20"/>
              </w:rPr>
              <w:t>2-</w:t>
            </w:r>
            <w:r>
              <w:rPr>
                <w:rFonts w:hint="eastAsia"/>
                <w:szCs w:val="20"/>
              </w:rPr>
              <w:t>一年以上。</w:t>
            </w:r>
          </w:p>
        </w:tc>
      </w:tr>
      <w:tr w:rsidR="00A052DC" w14:paraId="29E5F325" w14:textId="77777777">
        <w:tc>
          <w:tcPr>
            <w:tcW w:w="0" w:type="auto"/>
            <w:shd w:val="clear" w:color="auto" w:fill="auto"/>
          </w:tcPr>
          <w:p w14:paraId="4A45F1FA" w14:textId="77777777" w:rsidR="00A052DC" w:rsidRDefault="009F0A60">
            <w:pPr>
              <w:pStyle w:val="B"/>
              <w:widowControl w:val="0"/>
              <w:rPr>
                <w:szCs w:val="20"/>
              </w:rPr>
            </w:pPr>
            <w:r>
              <w:rPr>
                <w:szCs w:val="20"/>
              </w:rPr>
              <w:t>H0214</w:t>
            </w:r>
          </w:p>
        </w:tc>
        <w:tc>
          <w:tcPr>
            <w:tcW w:w="0" w:type="auto"/>
            <w:shd w:val="clear" w:color="auto" w:fill="auto"/>
          </w:tcPr>
          <w:p w14:paraId="7860D02B" w14:textId="77777777" w:rsidR="00A052DC" w:rsidRDefault="009F0A60">
            <w:pPr>
              <w:pStyle w:val="B"/>
              <w:widowControl w:val="0"/>
              <w:rPr>
                <w:szCs w:val="20"/>
              </w:rPr>
            </w:pPr>
            <w:r>
              <w:rPr>
                <w:rFonts w:hint="eastAsia"/>
                <w:szCs w:val="20"/>
              </w:rPr>
              <w:t>原始币种</w:t>
            </w:r>
          </w:p>
        </w:tc>
        <w:tc>
          <w:tcPr>
            <w:tcW w:w="1358" w:type="dxa"/>
            <w:shd w:val="clear" w:color="auto" w:fill="auto"/>
          </w:tcPr>
          <w:p w14:paraId="351F0559" w14:textId="77777777" w:rsidR="00A052DC" w:rsidRDefault="009F0A60">
            <w:pPr>
              <w:pStyle w:val="B"/>
              <w:widowControl w:val="0"/>
              <w:rPr>
                <w:szCs w:val="20"/>
              </w:rPr>
            </w:pPr>
            <w:r>
              <w:rPr>
                <w:rFonts w:hint="eastAsia"/>
                <w:szCs w:val="20"/>
              </w:rPr>
              <w:t>字符型，</w:t>
            </w:r>
            <w:r>
              <w:rPr>
                <w:szCs w:val="20"/>
              </w:rPr>
              <w:t>3</w:t>
            </w:r>
          </w:p>
        </w:tc>
        <w:tc>
          <w:tcPr>
            <w:tcW w:w="4303" w:type="dxa"/>
            <w:shd w:val="clear" w:color="auto" w:fill="auto"/>
          </w:tcPr>
          <w:p w14:paraId="021CE766" w14:textId="77777777" w:rsidR="00A052DC" w:rsidRDefault="009F0A60">
            <w:pPr>
              <w:pStyle w:val="B"/>
              <w:widowControl w:val="0"/>
              <w:rPr>
                <w:szCs w:val="20"/>
              </w:rPr>
            </w:pPr>
            <w:r>
              <w:rPr>
                <w:rFonts w:hint="eastAsia"/>
                <w:szCs w:val="20"/>
              </w:rPr>
              <w:t>必填项</w:t>
            </w:r>
            <w:r w:rsidR="004346E5">
              <w:rPr>
                <w:rFonts w:hint="eastAsia"/>
                <w:szCs w:val="20"/>
              </w:rPr>
              <w:t>，</w:t>
            </w:r>
            <w:r>
              <w:rPr>
                <w:rFonts w:hint="eastAsia"/>
                <w:szCs w:val="20"/>
              </w:rPr>
              <w:t>见币种代码表。</w:t>
            </w:r>
          </w:p>
        </w:tc>
      </w:tr>
      <w:tr w:rsidR="00A052DC" w14:paraId="1C6048B4" w14:textId="77777777">
        <w:tc>
          <w:tcPr>
            <w:tcW w:w="0" w:type="auto"/>
            <w:shd w:val="clear" w:color="auto" w:fill="auto"/>
          </w:tcPr>
          <w:p w14:paraId="75ADAA08" w14:textId="77777777" w:rsidR="00A052DC" w:rsidRDefault="009F0A60">
            <w:pPr>
              <w:pStyle w:val="B"/>
              <w:widowControl w:val="0"/>
              <w:rPr>
                <w:szCs w:val="20"/>
              </w:rPr>
            </w:pPr>
            <w:r>
              <w:rPr>
                <w:szCs w:val="20"/>
              </w:rPr>
              <w:t>H0215</w:t>
            </w:r>
          </w:p>
        </w:tc>
        <w:tc>
          <w:tcPr>
            <w:tcW w:w="0" w:type="auto"/>
            <w:shd w:val="clear" w:color="auto" w:fill="auto"/>
          </w:tcPr>
          <w:p w14:paraId="2260F2B7" w14:textId="77777777" w:rsidR="00A052DC" w:rsidRDefault="009F0A60">
            <w:pPr>
              <w:pStyle w:val="B"/>
              <w:widowControl w:val="0"/>
              <w:rPr>
                <w:szCs w:val="20"/>
              </w:rPr>
            </w:pPr>
            <w:r>
              <w:rPr>
                <w:rFonts w:hint="eastAsia"/>
                <w:szCs w:val="20"/>
              </w:rPr>
              <w:t>上月末市值</w:t>
            </w:r>
          </w:p>
        </w:tc>
        <w:tc>
          <w:tcPr>
            <w:tcW w:w="1358" w:type="dxa"/>
            <w:shd w:val="clear" w:color="auto" w:fill="auto"/>
          </w:tcPr>
          <w:p w14:paraId="7C4C090E" w14:textId="77777777" w:rsidR="00A052DC" w:rsidRDefault="009F0A60">
            <w:pPr>
              <w:pStyle w:val="B"/>
              <w:widowControl w:val="0"/>
              <w:rPr>
                <w:szCs w:val="20"/>
              </w:rPr>
            </w:pPr>
            <w:r>
              <w:rPr>
                <w:rFonts w:hint="eastAsia"/>
                <w:szCs w:val="20"/>
              </w:rPr>
              <w:t>数值型，</w:t>
            </w:r>
            <w:r>
              <w:rPr>
                <w:szCs w:val="20"/>
              </w:rPr>
              <w:t>22.2</w:t>
            </w:r>
          </w:p>
        </w:tc>
        <w:tc>
          <w:tcPr>
            <w:tcW w:w="4303" w:type="dxa"/>
            <w:shd w:val="clear" w:color="auto" w:fill="auto"/>
          </w:tcPr>
          <w:p w14:paraId="0C044F3B" w14:textId="77777777" w:rsidR="00A052DC" w:rsidRDefault="009F0A60">
            <w:pPr>
              <w:pStyle w:val="B"/>
              <w:widowControl w:val="0"/>
              <w:rPr>
                <w:szCs w:val="20"/>
              </w:rPr>
            </w:pPr>
            <w:r>
              <w:rPr>
                <w:rFonts w:hint="eastAsia"/>
                <w:szCs w:val="20"/>
              </w:rPr>
              <w:t>必填项。</w:t>
            </w:r>
          </w:p>
        </w:tc>
      </w:tr>
      <w:tr w:rsidR="00A052DC" w14:paraId="46D0043D" w14:textId="77777777">
        <w:tc>
          <w:tcPr>
            <w:tcW w:w="0" w:type="auto"/>
            <w:shd w:val="clear" w:color="auto" w:fill="auto"/>
          </w:tcPr>
          <w:p w14:paraId="34D1D2B2" w14:textId="77777777" w:rsidR="00A052DC" w:rsidRDefault="009F0A60">
            <w:pPr>
              <w:pStyle w:val="B"/>
              <w:widowControl w:val="0"/>
              <w:rPr>
                <w:szCs w:val="20"/>
              </w:rPr>
            </w:pPr>
            <w:r>
              <w:rPr>
                <w:szCs w:val="20"/>
              </w:rPr>
              <w:t>H0216</w:t>
            </w:r>
          </w:p>
        </w:tc>
        <w:tc>
          <w:tcPr>
            <w:tcW w:w="0" w:type="auto"/>
            <w:shd w:val="clear" w:color="auto" w:fill="auto"/>
          </w:tcPr>
          <w:p w14:paraId="708CBE11" w14:textId="77777777" w:rsidR="00A052DC" w:rsidRDefault="009F0A60">
            <w:pPr>
              <w:pStyle w:val="B"/>
              <w:widowControl w:val="0"/>
              <w:rPr>
                <w:szCs w:val="20"/>
              </w:rPr>
            </w:pPr>
            <w:r>
              <w:rPr>
                <w:rFonts w:hint="eastAsia"/>
                <w:szCs w:val="20"/>
              </w:rPr>
              <w:t>本月买入</w:t>
            </w:r>
            <w:r>
              <w:rPr>
                <w:szCs w:val="20"/>
              </w:rPr>
              <w:t>/</w:t>
            </w:r>
            <w:r>
              <w:rPr>
                <w:rFonts w:hint="eastAsia"/>
                <w:szCs w:val="20"/>
              </w:rPr>
              <w:t>申购</w:t>
            </w:r>
            <w:r>
              <w:rPr>
                <w:szCs w:val="20"/>
              </w:rPr>
              <w:t>/(</w:t>
            </w:r>
            <w:r>
              <w:rPr>
                <w:rFonts w:hint="eastAsia"/>
                <w:szCs w:val="20"/>
              </w:rPr>
              <w:t>现金</w:t>
            </w:r>
            <w:r>
              <w:rPr>
                <w:szCs w:val="20"/>
              </w:rPr>
              <w:t>)</w:t>
            </w:r>
            <w:r>
              <w:rPr>
                <w:rFonts w:hint="eastAsia"/>
                <w:szCs w:val="20"/>
              </w:rPr>
              <w:t>结算付款额</w:t>
            </w:r>
          </w:p>
        </w:tc>
        <w:tc>
          <w:tcPr>
            <w:tcW w:w="1358" w:type="dxa"/>
            <w:shd w:val="clear" w:color="auto" w:fill="auto"/>
          </w:tcPr>
          <w:p w14:paraId="62649659" w14:textId="77777777" w:rsidR="00A052DC" w:rsidRDefault="009F0A60">
            <w:pPr>
              <w:pStyle w:val="B"/>
              <w:widowControl w:val="0"/>
              <w:rPr>
                <w:szCs w:val="20"/>
              </w:rPr>
            </w:pPr>
            <w:r>
              <w:rPr>
                <w:rFonts w:hint="eastAsia"/>
                <w:szCs w:val="20"/>
              </w:rPr>
              <w:t>数值型，</w:t>
            </w:r>
            <w:r>
              <w:rPr>
                <w:szCs w:val="20"/>
              </w:rPr>
              <w:t>22.2</w:t>
            </w:r>
          </w:p>
        </w:tc>
        <w:tc>
          <w:tcPr>
            <w:tcW w:w="4303" w:type="dxa"/>
            <w:shd w:val="clear" w:color="auto" w:fill="auto"/>
          </w:tcPr>
          <w:p w14:paraId="47E8BE0E" w14:textId="77777777" w:rsidR="00A052DC" w:rsidRDefault="009F0A60">
            <w:pPr>
              <w:pStyle w:val="B"/>
              <w:widowControl w:val="0"/>
              <w:rPr>
                <w:szCs w:val="20"/>
              </w:rPr>
            </w:pPr>
            <w:r>
              <w:rPr>
                <w:rFonts w:hint="eastAsia"/>
                <w:szCs w:val="20"/>
              </w:rPr>
              <w:t>必填项，必须≥</w:t>
            </w:r>
            <w:r>
              <w:rPr>
                <w:szCs w:val="20"/>
              </w:rPr>
              <w:t>0</w:t>
            </w:r>
            <w:r>
              <w:rPr>
                <w:rFonts w:hint="eastAsia"/>
                <w:szCs w:val="20"/>
              </w:rPr>
              <w:t>。</w:t>
            </w:r>
          </w:p>
        </w:tc>
      </w:tr>
      <w:tr w:rsidR="00A052DC" w14:paraId="391AEB70" w14:textId="77777777">
        <w:tc>
          <w:tcPr>
            <w:tcW w:w="0" w:type="auto"/>
            <w:shd w:val="clear" w:color="auto" w:fill="auto"/>
          </w:tcPr>
          <w:p w14:paraId="353F7A3E" w14:textId="77777777" w:rsidR="00A052DC" w:rsidRDefault="009F0A60">
            <w:pPr>
              <w:pStyle w:val="B"/>
              <w:widowControl w:val="0"/>
              <w:rPr>
                <w:szCs w:val="20"/>
              </w:rPr>
            </w:pPr>
            <w:r>
              <w:rPr>
                <w:szCs w:val="20"/>
              </w:rPr>
              <w:t>H0217</w:t>
            </w:r>
          </w:p>
        </w:tc>
        <w:tc>
          <w:tcPr>
            <w:tcW w:w="0" w:type="auto"/>
            <w:shd w:val="clear" w:color="auto" w:fill="auto"/>
          </w:tcPr>
          <w:p w14:paraId="5F416D72" w14:textId="77777777" w:rsidR="00A052DC" w:rsidRDefault="009F0A60">
            <w:pPr>
              <w:pStyle w:val="B"/>
              <w:widowControl w:val="0"/>
              <w:rPr>
                <w:szCs w:val="20"/>
              </w:rPr>
            </w:pPr>
            <w:r>
              <w:rPr>
                <w:rFonts w:hint="eastAsia"/>
                <w:szCs w:val="20"/>
              </w:rPr>
              <w:t>本月卖出</w:t>
            </w:r>
            <w:r>
              <w:rPr>
                <w:szCs w:val="20"/>
              </w:rPr>
              <w:t>/</w:t>
            </w:r>
            <w:r>
              <w:rPr>
                <w:rFonts w:hint="eastAsia"/>
                <w:szCs w:val="20"/>
              </w:rPr>
              <w:t>赎回</w:t>
            </w:r>
            <w:r>
              <w:rPr>
                <w:szCs w:val="20"/>
              </w:rPr>
              <w:t>/(</w:t>
            </w:r>
            <w:r>
              <w:rPr>
                <w:rFonts w:hint="eastAsia"/>
                <w:szCs w:val="20"/>
              </w:rPr>
              <w:t>现金</w:t>
            </w:r>
            <w:r>
              <w:rPr>
                <w:szCs w:val="20"/>
              </w:rPr>
              <w:t>)</w:t>
            </w:r>
            <w:r>
              <w:rPr>
                <w:rFonts w:hint="eastAsia"/>
                <w:szCs w:val="20"/>
              </w:rPr>
              <w:t>结算收款额</w:t>
            </w:r>
          </w:p>
        </w:tc>
        <w:tc>
          <w:tcPr>
            <w:tcW w:w="1358" w:type="dxa"/>
            <w:shd w:val="clear" w:color="auto" w:fill="auto"/>
          </w:tcPr>
          <w:p w14:paraId="6C108ED8" w14:textId="77777777" w:rsidR="00A052DC" w:rsidRDefault="009F0A60">
            <w:pPr>
              <w:pStyle w:val="B"/>
              <w:widowControl w:val="0"/>
              <w:rPr>
                <w:szCs w:val="20"/>
              </w:rPr>
            </w:pPr>
            <w:r>
              <w:rPr>
                <w:rFonts w:hint="eastAsia"/>
                <w:szCs w:val="20"/>
              </w:rPr>
              <w:t>数值型，</w:t>
            </w:r>
            <w:r>
              <w:rPr>
                <w:szCs w:val="20"/>
              </w:rPr>
              <w:t>22.2</w:t>
            </w:r>
          </w:p>
        </w:tc>
        <w:tc>
          <w:tcPr>
            <w:tcW w:w="4303" w:type="dxa"/>
            <w:shd w:val="clear" w:color="auto" w:fill="auto"/>
          </w:tcPr>
          <w:p w14:paraId="5244EBE7" w14:textId="77777777" w:rsidR="00A052DC" w:rsidRDefault="009F0A60">
            <w:pPr>
              <w:pStyle w:val="B"/>
              <w:widowControl w:val="0"/>
              <w:rPr>
                <w:szCs w:val="20"/>
              </w:rPr>
            </w:pPr>
            <w:r>
              <w:rPr>
                <w:rFonts w:hint="eastAsia"/>
                <w:szCs w:val="20"/>
              </w:rPr>
              <w:t>必填项，必须≥</w:t>
            </w:r>
            <w:r>
              <w:rPr>
                <w:szCs w:val="20"/>
              </w:rPr>
              <w:t>0</w:t>
            </w:r>
            <w:r>
              <w:rPr>
                <w:rFonts w:hint="eastAsia"/>
                <w:szCs w:val="20"/>
              </w:rPr>
              <w:t>。</w:t>
            </w:r>
          </w:p>
        </w:tc>
      </w:tr>
      <w:tr w:rsidR="00A052DC" w14:paraId="390760C9" w14:textId="77777777">
        <w:tc>
          <w:tcPr>
            <w:tcW w:w="0" w:type="auto"/>
            <w:shd w:val="clear" w:color="auto" w:fill="auto"/>
          </w:tcPr>
          <w:p w14:paraId="58C6FE74" w14:textId="77777777" w:rsidR="00A052DC" w:rsidRDefault="009F0A60">
            <w:pPr>
              <w:pStyle w:val="B"/>
              <w:widowControl w:val="0"/>
              <w:rPr>
                <w:szCs w:val="20"/>
              </w:rPr>
            </w:pPr>
            <w:r>
              <w:rPr>
                <w:szCs w:val="20"/>
              </w:rPr>
              <w:t>H0217AMT</w:t>
            </w:r>
          </w:p>
        </w:tc>
        <w:tc>
          <w:tcPr>
            <w:tcW w:w="0" w:type="auto"/>
            <w:shd w:val="clear" w:color="auto" w:fill="auto"/>
          </w:tcPr>
          <w:p w14:paraId="651C8F04" w14:textId="77777777" w:rsidR="00A052DC" w:rsidRDefault="009F0A60">
            <w:pPr>
              <w:pStyle w:val="B"/>
              <w:widowControl w:val="0"/>
              <w:rPr>
                <w:szCs w:val="20"/>
              </w:rPr>
            </w:pPr>
            <w:r>
              <w:rPr>
                <w:rFonts w:hint="eastAsia"/>
                <w:szCs w:val="20"/>
              </w:rPr>
              <w:t>本月卖出</w:t>
            </w:r>
            <w:r>
              <w:rPr>
                <w:szCs w:val="20"/>
              </w:rPr>
              <w:t>/</w:t>
            </w:r>
            <w:r>
              <w:rPr>
                <w:rFonts w:hint="eastAsia"/>
                <w:szCs w:val="20"/>
              </w:rPr>
              <w:t>赎回</w:t>
            </w:r>
            <w:r>
              <w:rPr>
                <w:szCs w:val="20"/>
              </w:rPr>
              <w:t>/(</w:t>
            </w:r>
            <w:r>
              <w:rPr>
                <w:rFonts w:hint="eastAsia"/>
                <w:szCs w:val="20"/>
              </w:rPr>
              <w:t>现金</w:t>
            </w:r>
            <w:r>
              <w:rPr>
                <w:szCs w:val="20"/>
              </w:rPr>
              <w:t>)</w:t>
            </w:r>
            <w:r>
              <w:rPr>
                <w:rFonts w:hint="eastAsia"/>
                <w:szCs w:val="20"/>
              </w:rPr>
              <w:t>结算收款额其中：债券到期或提前兑付的本息金额</w:t>
            </w:r>
          </w:p>
        </w:tc>
        <w:tc>
          <w:tcPr>
            <w:tcW w:w="1358" w:type="dxa"/>
            <w:shd w:val="clear" w:color="auto" w:fill="auto"/>
          </w:tcPr>
          <w:p w14:paraId="13A7755B" w14:textId="77777777" w:rsidR="00A052DC" w:rsidRDefault="009F0A60">
            <w:pPr>
              <w:pStyle w:val="B"/>
              <w:widowControl w:val="0"/>
              <w:rPr>
                <w:szCs w:val="20"/>
              </w:rPr>
            </w:pPr>
            <w:r>
              <w:rPr>
                <w:rFonts w:hint="eastAsia"/>
                <w:szCs w:val="20"/>
              </w:rPr>
              <w:t>数值型，</w:t>
            </w:r>
            <w:r>
              <w:rPr>
                <w:szCs w:val="20"/>
              </w:rPr>
              <w:t>22.2</w:t>
            </w:r>
          </w:p>
        </w:tc>
        <w:tc>
          <w:tcPr>
            <w:tcW w:w="4303" w:type="dxa"/>
            <w:shd w:val="clear" w:color="auto" w:fill="auto"/>
          </w:tcPr>
          <w:p w14:paraId="1A4DE2ED" w14:textId="77777777" w:rsidR="00A052DC" w:rsidRDefault="009F0A60">
            <w:pPr>
              <w:pStyle w:val="B"/>
              <w:widowControl w:val="0"/>
              <w:rPr>
                <w:szCs w:val="20"/>
              </w:rPr>
            </w:pPr>
            <w:r>
              <w:rPr>
                <w:rFonts w:hint="eastAsia"/>
                <w:szCs w:val="20"/>
              </w:rPr>
              <w:t>非必填项。当</w:t>
            </w:r>
            <w:r>
              <w:rPr>
                <w:szCs w:val="20"/>
              </w:rPr>
              <w:t>H0204=16</w:t>
            </w:r>
            <w:r>
              <w:rPr>
                <w:rFonts w:hint="eastAsia"/>
                <w:szCs w:val="20"/>
              </w:rPr>
              <w:t>、</w:t>
            </w:r>
            <w:r>
              <w:rPr>
                <w:szCs w:val="20"/>
              </w:rPr>
              <w:t>17</w:t>
            </w:r>
            <w:r>
              <w:rPr>
                <w:rFonts w:hint="eastAsia"/>
                <w:szCs w:val="20"/>
              </w:rPr>
              <w:t>、</w:t>
            </w:r>
            <w:r>
              <w:rPr>
                <w:szCs w:val="20"/>
              </w:rPr>
              <w:t>18</w:t>
            </w:r>
            <w:r>
              <w:rPr>
                <w:rFonts w:hint="eastAsia"/>
                <w:szCs w:val="20"/>
              </w:rPr>
              <w:t>、</w:t>
            </w:r>
            <w:r>
              <w:rPr>
                <w:szCs w:val="20"/>
              </w:rPr>
              <w:t>19</w:t>
            </w:r>
            <w:r>
              <w:rPr>
                <w:rFonts w:hint="eastAsia"/>
                <w:szCs w:val="20"/>
              </w:rPr>
              <w:t>、</w:t>
            </w:r>
            <w:r>
              <w:rPr>
                <w:szCs w:val="20"/>
              </w:rPr>
              <w:t>21、22或23时，必须≥0</w:t>
            </w:r>
            <w:r>
              <w:rPr>
                <w:rFonts w:hint="eastAsia"/>
                <w:szCs w:val="20"/>
              </w:rPr>
              <w:t>。当</w:t>
            </w:r>
            <w:r>
              <w:rPr>
                <w:szCs w:val="20"/>
              </w:rPr>
              <w:t>H0204=11、12、13、14</w:t>
            </w:r>
            <w:r>
              <w:rPr>
                <w:rFonts w:hint="eastAsia"/>
                <w:szCs w:val="20"/>
              </w:rPr>
              <w:t>、</w:t>
            </w:r>
            <w:r>
              <w:rPr>
                <w:szCs w:val="20"/>
              </w:rPr>
              <w:t>15</w:t>
            </w:r>
            <w:r>
              <w:rPr>
                <w:rFonts w:hint="eastAsia"/>
                <w:szCs w:val="20"/>
              </w:rPr>
              <w:t>或</w:t>
            </w:r>
            <w:r>
              <w:rPr>
                <w:szCs w:val="20"/>
              </w:rPr>
              <w:t>20时，该项为空。</w:t>
            </w:r>
          </w:p>
        </w:tc>
      </w:tr>
      <w:tr w:rsidR="00A052DC" w14:paraId="23A45ADB" w14:textId="77777777">
        <w:tc>
          <w:tcPr>
            <w:tcW w:w="0" w:type="auto"/>
            <w:shd w:val="clear" w:color="auto" w:fill="auto"/>
          </w:tcPr>
          <w:p w14:paraId="6B18CBD2" w14:textId="77777777" w:rsidR="00A052DC" w:rsidRDefault="009F0A60">
            <w:pPr>
              <w:pStyle w:val="B"/>
              <w:widowControl w:val="0"/>
              <w:rPr>
                <w:szCs w:val="20"/>
              </w:rPr>
            </w:pPr>
            <w:r>
              <w:rPr>
                <w:szCs w:val="20"/>
              </w:rPr>
              <w:t>H0218</w:t>
            </w:r>
          </w:p>
        </w:tc>
        <w:tc>
          <w:tcPr>
            <w:tcW w:w="0" w:type="auto"/>
            <w:shd w:val="clear" w:color="auto" w:fill="auto"/>
          </w:tcPr>
          <w:p w14:paraId="31501819" w14:textId="77777777" w:rsidR="00A052DC" w:rsidRDefault="009F0A60">
            <w:pPr>
              <w:pStyle w:val="B"/>
              <w:widowControl w:val="0"/>
              <w:rPr>
                <w:szCs w:val="20"/>
              </w:rPr>
            </w:pPr>
            <w:r>
              <w:rPr>
                <w:rFonts w:hint="eastAsia"/>
                <w:szCs w:val="20"/>
              </w:rPr>
              <w:t>本月非交易变动</w:t>
            </w:r>
          </w:p>
        </w:tc>
        <w:tc>
          <w:tcPr>
            <w:tcW w:w="1358" w:type="dxa"/>
            <w:shd w:val="clear" w:color="auto" w:fill="auto"/>
          </w:tcPr>
          <w:p w14:paraId="68B944A1" w14:textId="77777777" w:rsidR="00A052DC" w:rsidRDefault="009F0A60">
            <w:pPr>
              <w:pStyle w:val="B"/>
              <w:widowControl w:val="0"/>
              <w:rPr>
                <w:szCs w:val="20"/>
              </w:rPr>
            </w:pPr>
            <w:r>
              <w:rPr>
                <w:rFonts w:hint="eastAsia"/>
                <w:szCs w:val="20"/>
              </w:rPr>
              <w:t>数值型，</w:t>
            </w:r>
            <w:r>
              <w:rPr>
                <w:szCs w:val="20"/>
              </w:rPr>
              <w:t>22.2</w:t>
            </w:r>
          </w:p>
        </w:tc>
        <w:tc>
          <w:tcPr>
            <w:tcW w:w="4303" w:type="dxa"/>
            <w:shd w:val="clear" w:color="auto" w:fill="auto"/>
          </w:tcPr>
          <w:p w14:paraId="268AD49E" w14:textId="77777777" w:rsidR="00A052DC" w:rsidRDefault="009F0A60">
            <w:pPr>
              <w:pStyle w:val="B"/>
              <w:widowControl w:val="0"/>
              <w:rPr>
                <w:szCs w:val="20"/>
              </w:rPr>
            </w:pPr>
            <w:r>
              <w:rPr>
                <w:rFonts w:hint="eastAsia"/>
                <w:szCs w:val="20"/>
              </w:rPr>
              <w:t>必填项，必须满足：</w:t>
            </w:r>
          </w:p>
          <w:p w14:paraId="370B7C1A" w14:textId="77777777" w:rsidR="00A052DC" w:rsidRDefault="009F0A60">
            <w:pPr>
              <w:pStyle w:val="B"/>
              <w:widowControl w:val="0"/>
              <w:rPr>
                <w:szCs w:val="20"/>
              </w:rPr>
            </w:pPr>
            <w:r>
              <w:rPr>
                <w:szCs w:val="20"/>
              </w:rPr>
              <w:t>H0218=H0221-H0215-</w:t>
            </w:r>
            <w:r>
              <w:rPr>
                <w:rFonts w:hint="eastAsia"/>
                <w:szCs w:val="20"/>
              </w:rPr>
              <w:t>（</w:t>
            </w:r>
            <w:r>
              <w:rPr>
                <w:szCs w:val="20"/>
              </w:rPr>
              <w:t>H0216-H0217</w:t>
            </w:r>
            <w:r>
              <w:rPr>
                <w:rFonts w:hint="eastAsia"/>
                <w:szCs w:val="20"/>
              </w:rPr>
              <w:t>）。</w:t>
            </w:r>
          </w:p>
          <w:p w14:paraId="4EA4CEF5" w14:textId="77777777" w:rsidR="00A052DC" w:rsidRDefault="009F0A60">
            <w:pPr>
              <w:rPr>
                <w:rFonts w:ascii="黑体" w:eastAsia="黑体" w:hAnsi="黑体"/>
                <w:sz w:val="20"/>
                <w:szCs w:val="20"/>
              </w:rPr>
            </w:pPr>
            <w:r>
              <w:rPr>
                <w:rFonts w:ascii="黑体" w:eastAsia="黑体" w:hAnsi="黑体"/>
                <w:sz w:val="20"/>
                <w:szCs w:val="20"/>
              </w:rPr>
              <w:t>H0218=H0219+H0220。</w:t>
            </w:r>
          </w:p>
        </w:tc>
      </w:tr>
      <w:tr w:rsidR="00A052DC" w14:paraId="054263D6" w14:textId="77777777">
        <w:tc>
          <w:tcPr>
            <w:tcW w:w="0" w:type="auto"/>
            <w:shd w:val="clear" w:color="auto" w:fill="auto"/>
          </w:tcPr>
          <w:p w14:paraId="733E52D4" w14:textId="77777777" w:rsidR="00A052DC" w:rsidRDefault="009F0A60">
            <w:pPr>
              <w:pStyle w:val="B"/>
              <w:widowControl w:val="0"/>
              <w:rPr>
                <w:szCs w:val="20"/>
              </w:rPr>
            </w:pPr>
            <w:r>
              <w:rPr>
                <w:szCs w:val="20"/>
              </w:rPr>
              <w:t>H0219</w:t>
            </w:r>
          </w:p>
        </w:tc>
        <w:tc>
          <w:tcPr>
            <w:tcW w:w="0" w:type="auto"/>
            <w:shd w:val="clear" w:color="auto" w:fill="auto"/>
          </w:tcPr>
          <w:p w14:paraId="38FC95F6" w14:textId="77777777" w:rsidR="00A052DC" w:rsidRDefault="009F0A60">
            <w:pPr>
              <w:pStyle w:val="B"/>
              <w:widowControl w:val="0"/>
              <w:rPr>
                <w:szCs w:val="20"/>
              </w:rPr>
            </w:pPr>
            <w:r>
              <w:rPr>
                <w:rFonts w:hint="eastAsia"/>
              </w:rPr>
              <w:t>注销</w:t>
            </w:r>
            <w:r>
              <w:rPr>
                <w:rFonts w:hint="eastAsia"/>
                <w:szCs w:val="20"/>
              </w:rPr>
              <w:t>、调整</w:t>
            </w:r>
            <w:r>
              <w:rPr>
                <w:rFonts w:hint="eastAsia"/>
              </w:rPr>
              <w:t>或重新分类至其他项目统计的金额</w:t>
            </w:r>
          </w:p>
        </w:tc>
        <w:tc>
          <w:tcPr>
            <w:tcW w:w="1358" w:type="dxa"/>
            <w:shd w:val="clear" w:color="auto" w:fill="auto"/>
          </w:tcPr>
          <w:p w14:paraId="4D11DD73" w14:textId="77777777" w:rsidR="00A052DC" w:rsidRDefault="009F0A60">
            <w:pPr>
              <w:pStyle w:val="B"/>
              <w:widowControl w:val="0"/>
              <w:rPr>
                <w:szCs w:val="20"/>
              </w:rPr>
            </w:pPr>
            <w:r>
              <w:rPr>
                <w:rFonts w:hint="eastAsia"/>
                <w:szCs w:val="20"/>
              </w:rPr>
              <w:t>数值型，</w:t>
            </w:r>
            <w:r>
              <w:rPr>
                <w:szCs w:val="20"/>
              </w:rPr>
              <w:t>22.2</w:t>
            </w:r>
          </w:p>
        </w:tc>
        <w:tc>
          <w:tcPr>
            <w:tcW w:w="4303" w:type="dxa"/>
            <w:shd w:val="clear" w:color="auto" w:fill="auto"/>
          </w:tcPr>
          <w:p w14:paraId="416971E0" w14:textId="77777777" w:rsidR="00A052DC" w:rsidRDefault="009F0A60">
            <w:pPr>
              <w:pStyle w:val="B"/>
              <w:widowControl w:val="0"/>
              <w:rPr>
                <w:szCs w:val="20"/>
              </w:rPr>
            </w:pPr>
            <w:r>
              <w:rPr>
                <w:rFonts w:hint="eastAsia"/>
                <w:szCs w:val="20"/>
              </w:rPr>
              <w:t>必填项。</w:t>
            </w:r>
          </w:p>
        </w:tc>
      </w:tr>
      <w:tr w:rsidR="00A052DC" w14:paraId="4BE88D5F" w14:textId="77777777">
        <w:tc>
          <w:tcPr>
            <w:tcW w:w="0" w:type="auto"/>
            <w:shd w:val="clear" w:color="auto" w:fill="auto"/>
          </w:tcPr>
          <w:p w14:paraId="5EFCCAD4" w14:textId="77777777" w:rsidR="00A052DC" w:rsidRDefault="009F0A60">
            <w:pPr>
              <w:pStyle w:val="B"/>
              <w:widowControl w:val="0"/>
              <w:rPr>
                <w:szCs w:val="20"/>
              </w:rPr>
            </w:pPr>
            <w:r>
              <w:rPr>
                <w:szCs w:val="20"/>
              </w:rPr>
              <w:t>H0220</w:t>
            </w:r>
          </w:p>
        </w:tc>
        <w:tc>
          <w:tcPr>
            <w:tcW w:w="0" w:type="auto"/>
            <w:shd w:val="clear" w:color="auto" w:fill="auto"/>
          </w:tcPr>
          <w:p w14:paraId="22FE08CD" w14:textId="77777777" w:rsidR="00A052DC" w:rsidRDefault="009F0A60">
            <w:pPr>
              <w:pStyle w:val="B"/>
              <w:widowControl w:val="0"/>
              <w:rPr>
                <w:szCs w:val="20"/>
              </w:rPr>
            </w:pPr>
            <w:r>
              <w:rPr>
                <w:rFonts w:hint="eastAsia"/>
              </w:rPr>
              <w:t>价值重估因素</w:t>
            </w:r>
          </w:p>
        </w:tc>
        <w:tc>
          <w:tcPr>
            <w:tcW w:w="1358" w:type="dxa"/>
            <w:shd w:val="clear" w:color="auto" w:fill="auto"/>
          </w:tcPr>
          <w:p w14:paraId="06A45587" w14:textId="77777777" w:rsidR="00A052DC" w:rsidRDefault="009F0A60">
            <w:pPr>
              <w:pStyle w:val="B"/>
              <w:widowControl w:val="0"/>
              <w:rPr>
                <w:szCs w:val="20"/>
              </w:rPr>
            </w:pPr>
            <w:r>
              <w:rPr>
                <w:rFonts w:hint="eastAsia"/>
                <w:szCs w:val="20"/>
              </w:rPr>
              <w:t>数值型，</w:t>
            </w:r>
            <w:r>
              <w:rPr>
                <w:szCs w:val="20"/>
              </w:rPr>
              <w:t>22.2</w:t>
            </w:r>
          </w:p>
        </w:tc>
        <w:tc>
          <w:tcPr>
            <w:tcW w:w="4303" w:type="dxa"/>
            <w:shd w:val="clear" w:color="auto" w:fill="auto"/>
          </w:tcPr>
          <w:p w14:paraId="6971C03B" w14:textId="77777777" w:rsidR="00A052DC" w:rsidRDefault="009F0A60">
            <w:pPr>
              <w:pStyle w:val="B"/>
              <w:widowControl w:val="0"/>
              <w:rPr>
                <w:szCs w:val="20"/>
              </w:rPr>
            </w:pPr>
            <w:r>
              <w:rPr>
                <w:rFonts w:hint="eastAsia"/>
                <w:szCs w:val="20"/>
              </w:rPr>
              <w:t>必填项。</w:t>
            </w:r>
          </w:p>
        </w:tc>
      </w:tr>
      <w:tr w:rsidR="00A052DC" w14:paraId="281F1C99" w14:textId="77777777">
        <w:tc>
          <w:tcPr>
            <w:tcW w:w="0" w:type="auto"/>
            <w:shd w:val="clear" w:color="auto" w:fill="auto"/>
          </w:tcPr>
          <w:p w14:paraId="33844B9B" w14:textId="77777777" w:rsidR="00A052DC" w:rsidRDefault="009F0A60">
            <w:pPr>
              <w:pStyle w:val="B"/>
              <w:widowControl w:val="0"/>
              <w:rPr>
                <w:szCs w:val="20"/>
              </w:rPr>
            </w:pPr>
            <w:r>
              <w:rPr>
                <w:szCs w:val="20"/>
              </w:rPr>
              <w:t>H0221</w:t>
            </w:r>
          </w:p>
        </w:tc>
        <w:tc>
          <w:tcPr>
            <w:tcW w:w="0" w:type="auto"/>
            <w:shd w:val="clear" w:color="auto" w:fill="auto"/>
          </w:tcPr>
          <w:p w14:paraId="755547D5" w14:textId="77777777" w:rsidR="00A052DC" w:rsidRDefault="009F0A60">
            <w:pPr>
              <w:pStyle w:val="B"/>
              <w:widowControl w:val="0"/>
              <w:rPr>
                <w:szCs w:val="20"/>
              </w:rPr>
            </w:pPr>
            <w:r>
              <w:rPr>
                <w:rFonts w:hint="eastAsia"/>
                <w:szCs w:val="20"/>
              </w:rPr>
              <w:t>本月末市值</w:t>
            </w:r>
          </w:p>
        </w:tc>
        <w:tc>
          <w:tcPr>
            <w:tcW w:w="1358" w:type="dxa"/>
            <w:shd w:val="clear" w:color="auto" w:fill="auto"/>
          </w:tcPr>
          <w:p w14:paraId="63B19E01" w14:textId="77777777" w:rsidR="00A052DC" w:rsidRDefault="009F0A60">
            <w:pPr>
              <w:pStyle w:val="B"/>
              <w:widowControl w:val="0"/>
              <w:rPr>
                <w:szCs w:val="20"/>
              </w:rPr>
            </w:pPr>
            <w:r>
              <w:rPr>
                <w:rFonts w:hint="eastAsia"/>
                <w:szCs w:val="20"/>
              </w:rPr>
              <w:t>数值型，</w:t>
            </w:r>
            <w:r>
              <w:rPr>
                <w:szCs w:val="20"/>
              </w:rPr>
              <w:t>22.2</w:t>
            </w:r>
          </w:p>
        </w:tc>
        <w:tc>
          <w:tcPr>
            <w:tcW w:w="4303" w:type="dxa"/>
            <w:shd w:val="clear" w:color="auto" w:fill="auto"/>
          </w:tcPr>
          <w:p w14:paraId="30076E4C" w14:textId="77777777" w:rsidR="00A052DC" w:rsidRDefault="009F0A60">
            <w:pPr>
              <w:pStyle w:val="B"/>
              <w:widowControl w:val="0"/>
              <w:rPr>
                <w:szCs w:val="20"/>
              </w:rPr>
            </w:pPr>
            <w:r>
              <w:rPr>
                <w:rFonts w:hint="eastAsia"/>
                <w:szCs w:val="20"/>
              </w:rPr>
              <w:t>必填项。</w:t>
            </w:r>
          </w:p>
        </w:tc>
      </w:tr>
      <w:tr w:rsidR="00A052DC" w14:paraId="2BB28F71" w14:textId="77777777">
        <w:tc>
          <w:tcPr>
            <w:tcW w:w="0" w:type="auto"/>
            <w:shd w:val="clear" w:color="auto" w:fill="auto"/>
          </w:tcPr>
          <w:p w14:paraId="4C98DBE5" w14:textId="77777777" w:rsidR="00A052DC" w:rsidRDefault="009F0A60">
            <w:pPr>
              <w:pStyle w:val="B"/>
              <w:widowControl w:val="0"/>
              <w:rPr>
                <w:szCs w:val="20"/>
              </w:rPr>
            </w:pPr>
            <w:r>
              <w:rPr>
                <w:szCs w:val="20"/>
              </w:rPr>
              <w:t>H0222</w:t>
            </w:r>
          </w:p>
        </w:tc>
        <w:tc>
          <w:tcPr>
            <w:tcW w:w="0" w:type="auto"/>
            <w:shd w:val="clear" w:color="auto" w:fill="auto"/>
          </w:tcPr>
          <w:p w14:paraId="1F38B084" w14:textId="77777777" w:rsidR="00A052DC" w:rsidRDefault="009F0A60">
            <w:pPr>
              <w:pStyle w:val="B"/>
              <w:widowControl w:val="0"/>
              <w:rPr>
                <w:szCs w:val="20"/>
              </w:rPr>
            </w:pPr>
            <w:r>
              <w:rPr>
                <w:rFonts w:hint="eastAsia"/>
                <w:szCs w:val="20"/>
              </w:rPr>
              <w:t>本月末市值其中：剩余期限在一年及以下</w:t>
            </w:r>
          </w:p>
        </w:tc>
        <w:tc>
          <w:tcPr>
            <w:tcW w:w="1358" w:type="dxa"/>
            <w:shd w:val="clear" w:color="auto" w:fill="auto"/>
          </w:tcPr>
          <w:p w14:paraId="5CD88700" w14:textId="77777777" w:rsidR="00A052DC" w:rsidRDefault="009F0A60">
            <w:pPr>
              <w:pStyle w:val="B"/>
              <w:widowControl w:val="0"/>
              <w:rPr>
                <w:szCs w:val="20"/>
              </w:rPr>
            </w:pPr>
            <w:r>
              <w:rPr>
                <w:rFonts w:hint="eastAsia"/>
                <w:szCs w:val="20"/>
              </w:rPr>
              <w:t>数值型，</w:t>
            </w:r>
            <w:r>
              <w:rPr>
                <w:szCs w:val="20"/>
              </w:rPr>
              <w:t>22.2</w:t>
            </w:r>
          </w:p>
        </w:tc>
        <w:tc>
          <w:tcPr>
            <w:tcW w:w="4303" w:type="dxa"/>
            <w:shd w:val="clear" w:color="auto" w:fill="auto"/>
          </w:tcPr>
          <w:p w14:paraId="79BFFD0A" w14:textId="77777777" w:rsidR="00A052DC" w:rsidRDefault="009F0A60">
            <w:pPr>
              <w:pStyle w:val="B"/>
              <w:widowControl w:val="0"/>
              <w:rPr>
                <w:szCs w:val="20"/>
              </w:rPr>
            </w:pPr>
            <w:r>
              <w:rPr>
                <w:rFonts w:hint="eastAsia"/>
                <w:szCs w:val="20"/>
              </w:rPr>
              <w:t>必填项。当</w:t>
            </w:r>
            <w:r>
              <w:rPr>
                <w:szCs w:val="20"/>
              </w:rPr>
              <w:t>H0204=16</w:t>
            </w:r>
            <w:r>
              <w:rPr>
                <w:rFonts w:hint="eastAsia"/>
                <w:szCs w:val="20"/>
              </w:rPr>
              <w:t>、</w:t>
            </w:r>
            <w:r>
              <w:rPr>
                <w:szCs w:val="20"/>
              </w:rPr>
              <w:t>17</w:t>
            </w:r>
            <w:r>
              <w:rPr>
                <w:rFonts w:hint="eastAsia"/>
                <w:szCs w:val="20"/>
              </w:rPr>
              <w:t>、</w:t>
            </w:r>
            <w:r>
              <w:rPr>
                <w:szCs w:val="20"/>
              </w:rPr>
              <w:t>18</w:t>
            </w:r>
            <w:r>
              <w:rPr>
                <w:rFonts w:hint="eastAsia"/>
                <w:szCs w:val="20"/>
              </w:rPr>
              <w:t>、</w:t>
            </w:r>
            <w:r>
              <w:rPr>
                <w:szCs w:val="20"/>
              </w:rPr>
              <w:t>19</w:t>
            </w:r>
            <w:r>
              <w:rPr>
                <w:rFonts w:hint="eastAsia"/>
                <w:szCs w:val="20"/>
              </w:rPr>
              <w:t>、21、22或23时，且</w:t>
            </w:r>
            <w:r>
              <w:rPr>
                <w:szCs w:val="20"/>
              </w:rPr>
              <w:t>H0213=1</w:t>
            </w:r>
            <w:r>
              <w:rPr>
                <w:rFonts w:hint="eastAsia"/>
                <w:szCs w:val="20"/>
              </w:rPr>
              <w:t>时，</w:t>
            </w:r>
            <w:r>
              <w:rPr>
                <w:szCs w:val="20"/>
              </w:rPr>
              <w:t>H0221=H0222</w:t>
            </w:r>
            <w:r>
              <w:rPr>
                <w:rFonts w:hint="eastAsia"/>
                <w:szCs w:val="20"/>
              </w:rPr>
              <w:t>。</w:t>
            </w:r>
          </w:p>
          <w:p w14:paraId="555B5401" w14:textId="77777777" w:rsidR="00A052DC" w:rsidRDefault="009F0A60">
            <w:pPr>
              <w:rPr>
                <w:rFonts w:ascii="黑体" w:eastAsia="黑体" w:hAnsi="黑体"/>
                <w:b/>
                <w:bCs/>
                <w:sz w:val="20"/>
                <w:szCs w:val="20"/>
              </w:rPr>
            </w:pPr>
            <w:r>
              <w:rPr>
                <w:rFonts w:ascii="黑体" w:eastAsia="黑体" w:hAnsi="黑体" w:hint="eastAsia"/>
                <w:kern w:val="0"/>
                <w:sz w:val="20"/>
                <w:szCs w:val="20"/>
              </w:rPr>
              <w:t>当</w:t>
            </w:r>
            <w:r>
              <w:rPr>
                <w:rFonts w:ascii="黑体" w:eastAsia="黑体" w:hAnsi="黑体"/>
                <w:kern w:val="0"/>
                <w:sz w:val="20"/>
                <w:szCs w:val="20"/>
              </w:rPr>
              <w:t>H0204=11、12、13、14</w:t>
            </w:r>
            <w:r>
              <w:rPr>
                <w:rFonts w:ascii="黑体" w:eastAsia="黑体" w:hAnsi="黑体" w:hint="eastAsia"/>
                <w:kern w:val="0"/>
                <w:sz w:val="20"/>
                <w:szCs w:val="20"/>
              </w:rPr>
              <w:t>、</w:t>
            </w:r>
            <w:r>
              <w:rPr>
                <w:rFonts w:ascii="黑体" w:eastAsia="黑体" w:hAnsi="黑体"/>
                <w:kern w:val="0"/>
                <w:sz w:val="20"/>
                <w:szCs w:val="20"/>
              </w:rPr>
              <w:t>15</w:t>
            </w:r>
            <w:r>
              <w:rPr>
                <w:rFonts w:ascii="黑体" w:eastAsia="黑体" w:hAnsi="黑体" w:hint="eastAsia"/>
                <w:kern w:val="0"/>
                <w:sz w:val="20"/>
                <w:szCs w:val="20"/>
              </w:rPr>
              <w:t>或20时，该项填</w:t>
            </w:r>
            <w:r>
              <w:rPr>
                <w:rFonts w:ascii="黑体" w:eastAsia="黑体" w:hAnsi="黑体"/>
                <w:kern w:val="0"/>
                <w:sz w:val="20"/>
                <w:szCs w:val="20"/>
              </w:rPr>
              <w:t>0</w:t>
            </w:r>
            <w:r>
              <w:rPr>
                <w:rFonts w:ascii="黑体" w:eastAsia="黑体" w:hAnsi="黑体" w:hint="eastAsia"/>
                <w:kern w:val="0"/>
                <w:sz w:val="20"/>
                <w:szCs w:val="20"/>
              </w:rPr>
              <w:t>。</w:t>
            </w:r>
          </w:p>
        </w:tc>
      </w:tr>
      <w:tr w:rsidR="00A052DC" w14:paraId="54402727" w14:textId="77777777">
        <w:tc>
          <w:tcPr>
            <w:tcW w:w="0" w:type="auto"/>
            <w:shd w:val="clear" w:color="auto" w:fill="auto"/>
          </w:tcPr>
          <w:p w14:paraId="7C35BD29" w14:textId="77777777" w:rsidR="00A052DC" w:rsidRDefault="009F0A60">
            <w:pPr>
              <w:pStyle w:val="B"/>
              <w:widowControl w:val="0"/>
              <w:rPr>
                <w:szCs w:val="20"/>
              </w:rPr>
            </w:pPr>
            <w:r>
              <w:rPr>
                <w:szCs w:val="20"/>
              </w:rPr>
              <w:t>H0223</w:t>
            </w:r>
          </w:p>
        </w:tc>
        <w:tc>
          <w:tcPr>
            <w:tcW w:w="0" w:type="auto"/>
            <w:shd w:val="clear" w:color="auto" w:fill="auto"/>
          </w:tcPr>
          <w:p w14:paraId="34A6C94D" w14:textId="77777777" w:rsidR="00A052DC" w:rsidRDefault="009F0A60">
            <w:pPr>
              <w:pStyle w:val="B"/>
              <w:widowControl w:val="0"/>
              <w:rPr>
                <w:szCs w:val="20"/>
              </w:rPr>
            </w:pPr>
            <w:r>
              <w:rPr>
                <w:rFonts w:hint="eastAsia"/>
                <w:szCs w:val="20"/>
              </w:rPr>
              <w:t>本月红利或利息收入</w:t>
            </w:r>
          </w:p>
        </w:tc>
        <w:tc>
          <w:tcPr>
            <w:tcW w:w="1358" w:type="dxa"/>
            <w:shd w:val="clear" w:color="auto" w:fill="auto"/>
          </w:tcPr>
          <w:p w14:paraId="7D856F1A" w14:textId="77777777" w:rsidR="00A052DC" w:rsidRDefault="009F0A60">
            <w:pPr>
              <w:pStyle w:val="B"/>
              <w:widowControl w:val="0"/>
              <w:rPr>
                <w:szCs w:val="20"/>
              </w:rPr>
            </w:pPr>
            <w:r>
              <w:rPr>
                <w:rFonts w:hint="eastAsia"/>
                <w:szCs w:val="20"/>
              </w:rPr>
              <w:t>数值型，</w:t>
            </w:r>
            <w:r>
              <w:rPr>
                <w:szCs w:val="20"/>
              </w:rPr>
              <w:t>22.2</w:t>
            </w:r>
          </w:p>
        </w:tc>
        <w:tc>
          <w:tcPr>
            <w:tcW w:w="4303" w:type="dxa"/>
            <w:shd w:val="clear" w:color="auto" w:fill="auto"/>
          </w:tcPr>
          <w:p w14:paraId="03043A60" w14:textId="77777777" w:rsidR="00A052DC" w:rsidRDefault="009F0A60">
            <w:pPr>
              <w:pStyle w:val="B"/>
              <w:widowControl w:val="0"/>
              <w:rPr>
                <w:szCs w:val="20"/>
              </w:rPr>
            </w:pPr>
            <w:r>
              <w:rPr>
                <w:rFonts w:hint="eastAsia"/>
                <w:szCs w:val="20"/>
              </w:rPr>
              <w:t>必填项。</w:t>
            </w:r>
          </w:p>
        </w:tc>
      </w:tr>
      <w:tr w:rsidR="00A052DC" w14:paraId="2FAF6813" w14:textId="77777777">
        <w:tc>
          <w:tcPr>
            <w:tcW w:w="0" w:type="auto"/>
            <w:shd w:val="clear" w:color="auto" w:fill="auto"/>
          </w:tcPr>
          <w:p w14:paraId="3C2AD870" w14:textId="77777777" w:rsidR="00A052DC" w:rsidRDefault="009F0A60">
            <w:pPr>
              <w:pStyle w:val="B"/>
              <w:widowControl w:val="0"/>
              <w:rPr>
                <w:szCs w:val="20"/>
              </w:rPr>
            </w:pPr>
            <w:r>
              <w:rPr>
                <w:szCs w:val="20"/>
              </w:rPr>
              <w:t>H0224</w:t>
            </w:r>
          </w:p>
        </w:tc>
        <w:tc>
          <w:tcPr>
            <w:tcW w:w="0" w:type="auto"/>
            <w:shd w:val="clear" w:color="auto" w:fill="auto"/>
          </w:tcPr>
          <w:p w14:paraId="52BE264A" w14:textId="77777777" w:rsidR="00A052DC" w:rsidRDefault="009F0A60">
            <w:pPr>
              <w:pStyle w:val="B"/>
              <w:widowControl w:val="0"/>
              <w:rPr>
                <w:szCs w:val="20"/>
              </w:rPr>
            </w:pPr>
            <w:r>
              <w:rPr>
                <w:rFonts w:hint="eastAsia"/>
                <w:szCs w:val="20"/>
              </w:rPr>
              <w:t>金融衍生产品的名义本金币种</w:t>
            </w:r>
          </w:p>
        </w:tc>
        <w:tc>
          <w:tcPr>
            <w:tcW w:w="1358" w:type="dxa"/>
            <w:shd w:val="clear" w:color="auto" w:fill="auto"/>
          </w:tcPr>
          <w:p w14:paraId="63CFCA69" w14:textId="77777777" w:rsidR="00A052DC" w:rsidRDefault="009F0A60">
            <w:pPr>
              <w:pStyle w:val="B"/>
              <w:widowControl w:val="0"/>
              <w:rPr>
                <w:szCs w:val="20"/>
              </w:rPr>
            </w:pPr>
            <w:r>
              <w:rPr>
                <w:rFonts w:hint="eastAsia"/>
                <w:szCs w:val="20"/>
              </w:rPr>
              <w:t>字符型，</w:t>
            </w:r>
            <w:r>
              <w:rPr>
                <w:szCs w:val="20"/>
              </w:rPr>
              <w:t>3</w:t>
            </w:r>
          </w:p>
        </w:tc>
        <w:tc>
          <w:tcPr>
            <w:tcW w:w="4303" w:type="dxa"/>
            <w:shd w:val="clear" w:color="auto" w:fill="auto"/>
          </w:tcPr>
          <w:p w14:paraId="3594FCB4" w14:textId="77777777" w:rsidR="00A052DC" w:rsidRDefault="009F0A60">
            <w:pPr>
              <w:pStyle w:val="B"/>
              <w:rPr>
                <w:szCs w:val="20"/>
              </w:rPr>
            </w:pPr>
            <w:r>
              <w:rPr>
                <w:rFonts w:hint="eastAsia"/>
                <w:szCs w:val="20"/>
              </w:rPr>
              <w:t>必填项。当</w:t>
            </w:r>
            <w:r>
              <w:rPr>
                <w:szCs w:val="20"/>
              </w:rPr>
              <w:t>H0204=15</w:t>
            </w:r>
            <w:r>
              <w:rPr>
                <w:rFonts w:hint="eastAsia"/>
                <w:szCs w:val="20"/>
              </w:rPr>
              <w:t>时，为必填项，见币种代码表；当</w:t>
            </w:r>
            <w:r>
              <w:rPr>
                <w:szCs w:val="20"/>
              </w:rPr>
              <w:t>H0204</w:t>
            </w:r>
            <w:r>
              <w:rPr>
                <w:rFonts w:hint="eastAsia"/>
                <w:szCs w:val="20"/>
              </w:rPr>
              <w:t>≠</w:t>
            </w:r>
            <w:r>
              <w:rPr>
                <w:szCs w:val="20"/>
              </w:rPr>
              <w:t>15</w:t>
            </w:r>
            <w:r>
              <w:rPr>
                <w:rFonts w:hint="eastAsia"/>
                <w:szCs w:val="20"/>
              </w:rPr>
              <w:t>时，此字段为</w:t>
            </w:r>
            <w:r>
              <w:rPr>
                <w:szCs w:val="20"/>
              </w:rPr>
              <w:t>N/A</w:t>
            </w:r>
            <w:r>
              <w:rPr>
                <w:rFonts w:hint="eastAsia"/>
                <w:szCs w:val="20"/>
              </w:rPr>
              <w:t>。</w:t>
            </w:r>
          </w:p>
        </w:tc>
      </w:tr>
      <w:tr w:rsidR="00A052DC" w14:paraId="4F29B37A" w14:textId="77777777">
        <w:tc>
          <w:tcPr>
            <w:tcW w:w="0" w:type="auto"/>
            <w:shd w:val="clear" w:color="auto" w:fill="auto"/>
          </w:tcPr>
          <w:p w14:paraId="77385CD8" w14:textId="77777777" w:rsidR="00A052DC" w:rsidRDefault="009F0A60">
            <w:pPr>
              <w:pStyle w:val="B"/>
              <w:widowControl w:val="0"/>
              <w:rPr>
                <w:szCs w:val="20"/>
              </w:rPr>
            </w:pPr>
            <w:r>
              <w:rPr>
                <w:szCs w:val="20"/>
              </w:rPr>
              <w:t>H0225</w:t>
            </w:r>
          </w:p>
        </w:tc>
        <w:tc>
          <w:tcPr>
            <w:tcW w:w="0" w:type="auto"/>
            <w:shd w:val="clear" w:color="auto" w:fill="auto"/>
          </w:tcPr>
          <w:p w14:paraId="484EB04C" w14:textId="77777777" w:rsidR="00A052DC" w:rsidRDefault="009F0A60">
            <w:pPr>
              <w:pStyle w:val="B"/>
              <w:widowControl w:val="0"/>
              <w:rPr>
                <w:szCs w:val="20"/>
              </w:rPr>
            </w:pPr>
            <w:r>
              <w:rPr>
                <w:rFonts w:hint="eastAsia"/>
                <w:szCs w:val="20"/>
              </w:rPr>
              <w:t>金融衍生产品的本月末名义本金金额</w:t>
            </w:r>
          </w:p>
        </w:tc>
        <w:tc>
          <w:tcPr>
            <w:tcW w:w="1358" w:type="dxa"/>
            <w:shd w:val="clear" w:color="auto" w:fill="auto"/>
          </w:tcPr>
          <w:p w14:paraId="0DCE27C2" w14:textId="77777777" w:rsidR="00A052DC" w:rsidRDefault="009F0A60">
            <w:pPr>
              <w:pStyle w:val="B"/>
              <w:widowControl w:val="0"/>
              <w:rPr>
                <w:szCs w:val="20"/>
              </w:rPr>
            </w:pPr>
            <w:r>
              <w:rPr>
                <w:rFonts w:hint="eastAsia"/>
                <w:szCs w:val="20"/>
              </w:rPr>
              <w:t>数值型，</w:t>
            </w:r>
            <w:r>
              <w:rPr>
                <w:szCs w:val="20"/>
              </w:rPr>
              <w:t>22.2</w:t>
            </w:r>
          </w:p>
        </w:tc>
        <w:tc>
          <w:tcPr>
            <w:tcW w:w="4303" w:type="dxa"/>
            <w:shd w:val="clear" w:color="auto" w:fill="auto"/>
          </w:tcPr>
          <w:p w14:paraId="38D7F047" w14:textId="77777777" w:rsidR="00A052DC" w:rsidRDefault="009F0A60">
            <w:pPr>
              <w:pStyle w:val="B"/>
              <w:widowControl w:val="0"/>
              <w:rPr>
                <w:szCs w:val="20"/>
              </w:rPr>
            </w:pPr>
            <w:r>
              <w:rPr>
                <w:rFonts w:hint="eastAsia"/>
                <w:szCs w:val="20"/>
              </w:rPr>
              <w:t>必填项。当</w:t>
            </w:r>
            <w:r>
              <w:rPr>
                <w:szCs w:val="20"/>
              </w:rPr>
              <w:t>H0204=15</w:t>
            </w:r>
            <w:r>
              <w:rPr>
                <w:rFonts w:hint="eastAsia"/>
                <w:szCs w:val="20"/>
              </w:rPr>
              <w:t>时，为必填项，且必须≥</w:t>
            </w:r>
            <w:r>
              <w:rPr>
                <w:szCs w:val="20"/>
              </w:rPr>
              <w:t>0</w:t>
            </w:r>
            <w:r>
              <w:rPr>
                <w:rFonts w:hint="eastAsia"/>
                <w:szCs w:val="20"/>
              </w:rPr>
              <w:t>；当</w:t>
            </w:r>
            <w:r>
              <w:rPr>
                <w:szCs w:val="20"/>
              </w:rPr>
              <w:t>H0204</w:t>
            </w:r>
            <w:r>
              <w:rPr>
                <w:rFonts w:hint="eastAsia"/>
                <w:szCs w:val="20"/>
              </w:rPr>
              <w:t>≠</w:t>
            </w:r>
            <w:r>
              <w:rPr>
                <w:szCs w:val="20"/>
              </w:rPr>
              <w:t>15</w:t>
            </w:r>
            <w:r>
              <w:rPr>
                <w:rFonts w:hint="eastAsia"/>
                <w:szCs w:val="20"/>
              </w:rPr>
              <w:t>时，填</w:t>
            </w:r>
            <w:r>
              <w:rPr>
                <w:szCs w:val="20"/>
              </w:rPr>
              <w:t>0</w:t>
            </w:r>
            <w:r>
              <w:rPr>
                <w:rFonts w:hint="eastAsia"/>
                <w:szCs w:val="20"/>
              </w:rPr>
              <w:t>。</w:t>
            </w:r>
          </w:p>
        </w:tc>
      </w:tr>
      <w:tr w:rsidR="00A052DC" w14:paraId="1175291E" w14:textId="77777777">
        <w:tc>
          <w:tcPr>
            <w:tcW w:w="0" w:type="auto"/>
            <w:shd w:val="clear" w:color="auto" w:fill="auto"/>
          </w:tcPr>
          <w:p w14:paraId="0DD72770" w14:textId="77777777" w:rsidR="00A052DC" w:rsidRDefault="009F0A60">
            <w:pPr>
              <w:pStyle w:val="B"/>
              <w:widowControl w:val="0"/>
              <w:rPr>
                <w:szCs w:val="20"/>
              </w:rPr>
            </w:pPr>
            <w:r>
              <w:rPr>
                <w:szCs w:val="20"/>
              </w:rPr>
              <w:t>H0226</w:t>
            </w:r>
          </w:p>
        </w:tc>
        <w:tc>
          <w:tcPr>
            <w:tcW w:w="0" w:type="auto"/>
            <w:shd w:val="clear" w:color="auto" w:fill="auto"/>
          </w:tcPr>
          <w:p w14:paraId="1210BE8B" w14:textId="77777777" w:rsidR="00A052DC" w:rsidRDefault="009F0A60">
            <w:pPr>
              <w:pStyle w:val="B"/>
              <w:widowControl w:val="0"/>
              <w:rPr>
                <w:szCs w:val="20"/>
              </w:rPr>
            </w:pPr>
            <w:r>
              <w:rPr>
                <w:rFonts w:hint="eastAsia"/>
                <w:color w:val="000000"/>
              </w:rPr>
              <w:t>本月末</w:t>
            </w:r>
            <w:r>
              <w:rPr>
                <w:color w:val="000000"/>
              </w:rPr>
              <w:t>未到期/未偿付</w:t>
            </w:r>
            <w:r>
              <w:rPr>
                <w:rFonts w:hint="eastAsia"/>
                <w:color w:val="000000"/>
              </w:rPr>
              <w:t>债券面值</w:t>
            </w:r>
          </w:p>
        </w:tc>
        <w:tc>
          <w:tcPr>
            <w:tcW w:w="1358" w:type="dxa"/>
            <w:shd w:val="clear" w:color="auto" w:fill="auto"/>
          </w:tcPr>
          <w:p w14:paraId="276A9F95" w14:textId="77777777" w:rsidR="00A052DC" w:rsidRDefault="009F0A60">
            <w:pPr>
              <w:pStyle w:val="B"/>
              <w:widowControl w:val="0"/>
              <w:rPr>
                <w:szCs w:val="20"/>
              </w:rPr>
            </w:pPr>
            <w:r>
              <w:rPr>
                <w:rFonts w:hint="eastAsia"/>
                <w:szCs w:val="20"/>
              </w:rPr>
              <w:t>数值型，</w:t>
            </w:r>
            <w:r>
              <w:rPr>
                <w:szCs w:val="20"/>
              </w:rPr>
              <w:t>22.2</w:t>
            </w:r>
          </w:p>
        </w:tc>
        <w:tc>
          <w:tcPr>
            <w:tcW w:w="4303" w:type="dxa"/>
            <w:shd w:val="clear" w:color="auto" w:fill="auto"/>
          </w:tcPr>
          <w:p w14:paraId="4078DCBD" w14:textId="77777777" w:rsidR="00A052DC" w:rsidRDefault="009F0A60">
            <w:pPr>
              <w:pStyle w:val="B"/>
              <w:rPr>
                <w:szCs w:val="20"/>
              </w:rPr>
            </w:pPr>
            <w:r>
              <w:rPr>
                <w:rFonts w:hint="eastAsia"/>
                <w:szCs w:val="20"/>
              </w:rPr>
              <w:t>非必填项。当H0204=16、17、18、19、21、22或23时，必须≥0。</w:t>
            </w:r>
          </w:p>
          <w:p w14:paraId="77B90EAE" w14:textId="77777777" w:rsidR="00A052DC" w:rsidRDefault="009F0A60">
            <w:pPr>
              <w:pStyle w:val="B"/>
              <w:widowControl w:val="0"/>
              <w:rPr>
                <w:szCs w:val="20"/>
              </w:rPr>
            </w:pPr>
            <w:r>
              <w:rPr>
                <w:rFonts w:hint="eastAsia"/>
                <w:szCs w:val="20"/>
              </w:rPr>
              <w:t>当H0204=11、12、13、14、15或20时，该项填0。</w:t>
            </w:r>
          </w:p>
        </w:tc>
      </w:tr>
      <w:tr w:rsidR="00A052DC" w14:paraId="0650EFE2" w14:textId="77777777">
        <w:tc>
          <w:tcPr>
            <w:tcW w:w="0" w:type="auto"/>
            <w:shd w:val="clear" w:color="auto" w:fill="auto"/>
          </w:tcPr>
          <w:p w14:paraId="56B719C5" w14:textId="77777777" w:rsidR="00A052DC" w:rsidRDefault="009F0A60">
            <w:pPr>
              <w:pStyle w:val="B"/>
              <w:widowControl w:val="0"/>
              <w:rPr>
                <w:szCs w:val="20"/>
              </w:rPr>
            </w:pPr>
            <w:r>
              <w:rPr>
                <w:szCs w:val="20"/>
              </w:rPr>
              <w:t>REMARK</w:t>
            </w:r>
          </w:p>
        </w:tc>
        <w:tc>
          <w:tcPr>
            <w:tcW w:w="0" w:type="auto"/>
            <w:shd w:val="clear" w:color="auto" w:fill="auto"/>
          </w:tcPr>
          <w:p w14:paraId="49648B68" w14:textId="77777777" w:rsidR="00A052DC" w:rsidRDefault="009F0A60">
            <w:pPr>
              <w:pStyle w:val="B"/>
              <w:widowControl w:val="0"/>
              <w:rPr>
                <w:szCs w:val="20"/>
              </w:rPr>
            </w:pPr>
            <w:r>
              <w:rPr>
                <w:rFonts w:hint="eastAsia"/>
                <w:szCs w:val="20"/>
              </w:rPr>
              <w:t>备注</w:t>
            </w:r>
          </w:p>
        </w:tc>
        <w:tc>
          <w:tcPr>
            <w:tcW w:w="1358" w:type="dxa"/>
            <w:shd w:val="clear" w:color="auto" w:fill="auto"/>
          </w:tcPr>
          <w:p w14:paraId="314503C0" w14:textId="77777777" w:rsidR="00A052DC" w:rsidRDefault="009F0A60">
            <w:pPr>
              <w:pStyle w:val="B"/>
              <w:widowControl w:val="0"/>
              <w:rPr>
                <w:szCs w:val="20"/>
              </w:rPr>
            </w:pPr>
            <w:r>
              <w:rPr>
                <w:rFonts w:hint="eastAsia"/>
                <w:szCs w:val="20"/>
              </w:rPr>
              <w:t>字符型，</w:t>
            </w:r>
            <w:r>
              <w:rPr>
                <w:szCs w:val="20"/>
              </w:rPr>
              <w:t>512</w:t>
            </w:r>
          </w:p>
        </w:tc>
        <w:tc>
          <w:tcPr>
            <w:tcW w:w="4303" w:type="dxa"/>
            <w:shd w:val="clear" w:color="auto" w:fill="auto"/>
          </w:tcPr>
          <w:p w14:paraId="3FADB6F7" w14:textId="77777777" w:rsidR="00A052DC" w:rsidRDefault="009F0A60">
            <w:pPr>
              <w:pStyle w:val="B"/>
              <w:widowControl w:val="0"/>
              <w:rPr>
                <w:szCs w:val="20"/>
              </w:rPr>
            </w:pPr>
            <w:r>
              <w:rPr>
                <w:rFonts w:hint="eastAsia"/>
                <w:szCs w:val="20"/>
              </w:rPr>
              <w:t>当</w:t>
            </w:r>
            <w:r>
              <w:rPr>
                <w:szCs w:val="20"/>
              </w:rPr>
              <w:t>H0204</w:t>
            </w:r>
            <w:r>
              <w:rPr>
                <w:rFonts w:hint="eastAsia"/>
                <w:szCs w:val="20"/>
              </w:rPr>
              <w:t>≠</w:t>
            </w:r>
            <w:r>
              <w:rPr>
                <w:szCs w:val="20"/>
              </w:rPr>
              <w:t>15</w:t>
            </w:r>
            <w:r>
              <w:rPr>
                <w:rFonts w:hint="eastAsia"/>
                <w:szCs w:val="20"/>
              </w:rPr>
              <w:t>时，H0215、H0221、H0222和</w:t>
            </w:r>
            <w:r>
              <w:rPr>
                <w:szCs w:val="20"/>
              </w:rPr>
              <w:t>H0223</w:t>
            </w:r>
            <w:r>
              <w:rPr>
                <w:rFonts w:hint="eastAsia"/>
                <w:szCs w:val="20"/>
              </w:rPr>
              <w:t>中任一项</w:t>
            </w:r>
            <w:r>
              <w:rPr>
                <w:szCs w:val="20"/>
              </w:rPr>
              <w:t>为负数</w:t>
            </w:r>
            <w:r>
              <w:rPr>
                <w:rFonts w:hint="eastAsia"/>
                <w:szCs w:val="20"/>
              </w:rPr>
              <w:t>时为必填项。</w:t>
            </w:r>
          </w:p>
        </w:tc>
      </w:tr>
    </w:tbl>
    <w:p w14:paraId="6A0F75E2" w14:textId="77777777" w:rsidR="00A052DC" w:rsidRDefault="00A052DC"/>
    <w:p w14:paraId="6E2A5590" w14:textId="77777777" w:rsidR="00A052DC" w:rsidRDefault="009F0A60" w:rsidP="0020251D">
      <w:pPr>
        <w:pStyle w:val="3"/>
        <w:ind w:left="0"/>
        <w:rPr>
          <w:rFonts w:ascii="Times New Roman" w:hAnsi="Times New Roman"/>
        </w:rPr>
      </w:pPr>
      <w:bookmarkStart w:id="3673" w:name="_Toc454382500"/>
      <w:bookmarkStart w:id="3674" w:name="_Toc454399419"/>
      <w:bookmarkStart w:id="3675" w:name="_Toc455167841"/>
      <w:bookmarkStart w:id="3676" w:name="_Toc455152937"/>
      <w:bookmarkStart w:id="3677" w:name="_Toc455156665"/>
      <w:bookmarkStart w:id="3678" w:name="_Toc454780295"/>
      <w:bookmarkStart w:id="3679" w:name="_Toc455164116"/>
      <w:bookmarkStart w:id="3680" w:name="_Toc454459195"/>
      <w:bookmarkStart w:id="3681" w:name="_Toc454464918"/>
      <w:bookmarkStart w:id="3682" w:name="_Toc454391465"/>
      <w:bookmarkStart w:id="3683" w:name="_Toc380356306"/>
      <w:bookmarkStart w:id="3684" w:name="_Toc91455337"/>
      <w:bookmarkStart w:id="3685" w:name="_Toc380571013"/>
      <w:bookmarkStart w:id="3686" w:name="_Toc454391466"/>
      <w:bookmarkStart w:id="3687" w:name="_Toc101684510"/>
      <w:bookmarkEnd w:id="3673"/>
      <w:bookmarkEnd w:id="3674"/>
      <w:bookmarkEnd w:id="3675"/>
      <w:bookmarkEnd w:id="3676"/>
      <w:bookmarkEnd w:id="3677"/>
      <w:bookmarkEnd w:id="3678"/>
      <w:bookmarkEnd w:id="3679"/>
      <w:bookmarkEnd w:id="3680"/>
      <w:bookmarkEnd w:id="3681"/>
      <w:bookmarkEnd w:id="3682"/>
      <w:r>
        <w:rPr>
          <w:rFonts w:ascii="Times New Roman" w:hAnsi="Times New Roman"/>
        </w:rPr>
        <w:t>I01</w:t>
      </w:r>
      <w:r>
        <w:rPr>
          <w:rFonts w:ascii="Times New Roman" w:hAnsi="Times New Roman" w:hint="eastAsia"/>
        </w:rPr>
        <w:t>表：为非居民提供直接保险服务</w:t>
      </w:r>
      <w:bookmarkEnd w:id="3683"/>
      <w:bookmarkEnd w:id="3684"/>
      <w:bookmarkEnd w:id="3685"/>
      <w:bookmarkEnd w:id="3686"/>
      <w:bookmarkEnd w:id="3687"/>
    </w:p>
    <w:p w14:paraId="692155D1" w14:textId="77777777" w:rsidR="00A052DC" w:rsidRDefault="009F0A60" w:rsidP="0020251D">
      <w:pPr>
        <w:pStyle w:val="4"/>
        <w:numPr>
          <w:ilvl w:val="3"/>
          <w:numId w:val="1"/>
        </w:numPr>
        <w:jc w:val="left"/>
      </w:pPr>
      <w:bookmarkStart w:id="3688" w:name="_Toc454391467"/>
      <w:bookmarkStart w:id="3689" w:name="_Toc380571014"/>
      <w:r>
        <w:rPr>
          <w:rFonts w:hint="eastAsia"/>
        </w:rPr>
        <w:t>数据术语解释</w:t>
      </w:r>
      <w:bookmarkEnd w:id="3688"/>
      <w:bookmarkEnd w:id="3689"/>
    </w:p>
    <w:p w14:paraId="3EE63155" w14:textId="77777777" w:rsidR="00A052DC" w:rsidRDefault="00A052DC">
      <w:pPr>
        <w:spacing w:line="240" w:lineRule="exact"/>
        <w:rPr>
          <w:sz w:val="18"/>
        </w:rPr>
      </w:pP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6662"/>
      </w:tblGrid>
      <w:tr w:rsidR="00A052DC" w14:paraId="49A97E61" w14:textId="77777777">
        <w:trPr>
          <w:cantSplit/>
        </w:trPr>
        <w:tc>
          <w:tcPr>
            <w:tcW w:w="1668" w:type="dxa"/>
            <w:noWrap/>
          </w:tcPr>
          <w:p w14:paraId="1FFF4DC4" w14:textId="77777777" w:rsidR="00A052DC" w:rsidRDefault="009F0A60">
            <w:pPr>
              <w:pStyle w:val="B1"/>
            </w:pPr>
            <w:r>
              <w:rPr>
                <w:rFonts w:hint="eastAsia"/>
              </w:rPr>
              <w:t>基础数据项</w:t>
            </w:r>
          </w:p>
        </w:tc>
        <w:tc>
          <w:tcPr>
            <w:tcW w:w="6662" w:type="dxa"/>
            <w:noWrap/>
          </w:tcPr>
          <w:p w14:paraId="20572169" w14:textId="77777777" w:rsidR="00A052DC" w:rsidRDefault="009F0A60">
            <w:pPr>
              <w:pStyle w:val="B1"/>
            </w:pPr>
            <w:r>
              <w:rPr>
                <w:rFonts w:hint="eastAsia"/>
              </w:rPr>
              <w:t>定义</w:t>
            </w:r>
          </w:p>
        </w:tc>
      </w:tr>
      <w:tr w:rsidR="00A052DC" w14:paraId="2C0BD2C3" w14:textId="77777777">
        <w:trPr>
          <w:cantSplit/>
        </w:trPr>
        <w:tc>
          <w:tcPr>
            <w:tcW w:w="1668" w:type="dxa"/>
          </w:tcPr>
          <w:p w14:paraId="066222CA" w14:textId="77777777" w:rsidR="00A052DC" w:rsidRDefault="009F0A60">
            <w:pPr>
              <w:pStyle w:val="B"/>
              <w:rPr>
                <w:szCs w:val="20"/>
              </w:rPr>
            </w:pPr>
            <w:r>
              <w:rPr>
                <w:rFonts w:hint="eastAsia"/>
                <w:szCs w:val="20"/>
              </w:rPr>
              <w:t>数据自编码</w:t>
            </w:r>
          </w:p>
        </w:tc>
        <w:tc>
          <w:tcPr>
            <w:tcW w:w="6662" w:type="dxa"/>
            <w:noWrap/>
          </w:tcPr>
          <w:p w14:paraId="7DDD40CC" w14:textId="77777777" w:rsidR="00A052DC" w:rsidRDefault="009F0A60">
            <w:pPr>
              <w:pStyle w:val="B"/>
              <w:rPr>
                <w:szCs w:val="20"/>
              </w:rPr>
            </w:pPr>
            <w:r>
              <w:rPr>
                <w:rFonts w:hint="eastAsia"/>
                <w:szCs w:val="20"/>
              </w:rPr>
              <w:t>该编码用于标识金融机构报送的每一条数据，按给定规则编码，便于进行增删改查等操作。建议规则：机构代码（18位，不足18位补</w:t>
            </w:r>
            <w:r>
              <w:rPr>
                <w:szCs w:val="20"/>
              </w:rPr>
              <w:t>a</w:t>
            </w:r>
            <w:r>
              <w:rPr>
                <w:rFonts w:hint="eastAsia"/>
                <w:szCs w:val="20"/>
              </w:rPr>
              <w:t>）</w:t>
            </w:r>
            <w:r>
              <w:rPr>
                <w:szCs w:val="20"/>
              </w:rPr>
              <w:t>+</w:t>
            </w:r>
            <w:r>
              <w:rPr>
                <w:rFonts w:hint="eastAsia"/>
                <w:szCs w:val="20"/>
              </w:rPr>
              <w:t>报表代码（</w:t>
            </w:r>
            <w:r>
              <w:rPr>
                <w:szCs w:val="20"/>
              </w:rPr>
              <w:t>5</w:t>
            </w:r>
            <w:r>
              <w:rPr>
                <w:rFonts w:hint="eastAsia"/>
                <w:szCs w:val="20"/>
              </w:rPr>
              <w:t>位，不足</w:t>
            </w:r>
            <w:r>
              <w:rPr>
                <w:szCs w:val="20"/>
              </w:rPr>
              <w:t>5</w:t>
            </w:r>
            <w:r>
              <w:rPr>
                <w:rFonts w:hint="eastAsia"/>
                <w:szCs w:val="20"/>
              </w:rPr>
              <w:t>位补</w:t>
            </w:r>
            <w:r>
              <w:rPr>
                <w:szCs w:val="20"/>
              </w:rPr>
              <w:t>a</w:t>
            </w:r>
            <w:r>
              <w:rPr>
                <w:rFonts w:hint="eastAsia"/>
                <w:szCs w:val="20"/>
              </w:rPr>
              <w:t>）</w:t>
            </w:r>
            <w:r>
              <w:rPr>
                <w:szCs w:val="20"/>
              </w:rPr>
              <w:t>+</w:t>
            </w:r>
            <w:r>
              <w:rPr>
                <w:rFonts w:hint="eastAsia"/>
                <w:szCs w:val="20"/>
              </w:rPr>
              <w:t>报送期（</w:t>
            </w:r>
            <w:r>
              <w:rPr>
                <w:szCs w:val="20"/>
              </w:rPr>
              <w:t>6</w:t>
            </w:r>
            <w:r>
              <w:rPr>
                <w:rFonts w:hint="eastAsia"/>
                <w:szCs w:val="20"/>
              </w:rPr>
              <w:t>位）</w:t>
            </w:r>
            <w:r>
              <w:rPr>
                <w:szCs w:val="20"/>
              </w:rPr>
              <w:t>+</w:t>
            </w:r>
            <w:r>
              <w:rPr>
                <w:rFonts w:hint="eastAsia"/>
                <w:szCs w:val="20"/>
              </w:rPr>
              <w:t>顺序号（</w:t>
            </w:r>
            <w:r>
              <w:rPr>
                <w:szCs w:val="20"/>
              </w:rPr>
              <w:t>7</w:t>
            </w:r>
            <w:r>
              <w:rPr>
                <w:rFonts w:hint="eastAsia"/>
                <w:szCs w:val="20"/>
              </w:rPr>
              <w:t>位，从</w:t>
            </w:r>
            <w:r>
              <w:rPr>
                <w:szCs w:val="20"/>
              </w:rPr>
              <w:t>0000001</w:t>
            </w:r>
            <w:r>
              <w:rPr>
                <w:rFonts w:hint="eastAsia"/>
                <w:szCs w:val="20"/>
              </w:rPr>
              <w:t>开始增加）。</w:t>
            </w:r>
          </w:p>
        </w:tc>
      </w:tr>
      <w:tr w:rsidR="00A052DC" w14:paraId="08B72246" w14:textId="77777777">
        <w:trPr>
          <w:cantSplit/>
        </w:trPr>
        <w:tc>
          <w:tcPr>
            <w:tcW w:w="1668" w:type="dxa"/>
          </w:tcPr>
          <w:p w14:paraId="5CA15808" w14:textId="77777777" w:rsidR="00A052DC" w:rsidRDefault="009F0A60">
            <w:pPr>
              <w:pStyle w:val="B"/>
              <w:rPr>
                <w:szCs w:val="20"/>
              </w:rPr>
            </w:pPr>
            <w:r>
              <w:rPr>
                <w:rFonts w:hint="eastAsia"/>
                <w:szCs w:val="20"/>
              </w:rPr>
              <w:t>申报主体代码</w:t>
            </w:r>
          </w:p>
        </w:tc>
        <w:tc>
          <w:tcPr>
            <w:tcW w:w="6662" w:type="dxa"/>
            <w:noWrap/>
          </w:tcPr>
          <w:p w14:paraId="34BB18E7" w14:textId="77777777" w:rsidR="00A052DC" w:rsidRDefault="009F0A60">
            <w:pPr>
              <w:pStyle w:val="B"/>
              <w:rPr>
                <w:szCs w:val="20"/>
              </w:rPr>
            </w:pPr>
            <w:r>
              <w:rPr>
                <w:rFonts w:hint="eastAsia"/>
                <w:szCs w:val="20"/>
              </w:rPr>
              <w:t>申报主体的12位金融机构标识码，如果没有金融机构标识码，则填报统一社会信用代码法定载体（如营业执照）上统一社会信用代码中的第9至17位或国家外汇管理局及其分支局签发的特殊机构代码赋码通知书上的机构代码、个人身份代码。</w:t>
            </w:r>
          </w:p>
        </w:tc>
      </w:tr>
      <w:tr w:rsidR="00A052DC" w14:paraId="424E55F7" w14:textId="77777777">
        <w:trPr>
          <w:cantSplit/>
        </w:trPr>
        <w:tc>
          <w:tcPr>
            <w:tcW w:w="1668" w:type="dxa"/>
          </w:tcPr>
          <w:p w14:paraId="74AA8E6D" w14:textId="77777777" w:rsidR="00A052DC" w:rsidRDefault="009F0A60">
            <w:pPr>
              <w:pStyle w:val="B"/>
              <w:rPr>
                <w:szCs w:val="20"/>
              </w:rPr>
            </w:pPr>
            <w:r>
              <w:rPr>
                <w:rFonts w:hint="eastAsia"/>
                <w:szCs w:val="20"/>
              </w:rPr>
              <w:t>报告期</w:t>
            </w:r>
          </w:p>
        </w:tc>
        <w:tc>
          <w:tcPr>
            <w:tcW w:w="6662" w:type="dxa"/>
            <w:noWrap/>
          </w:tcPr>
          <w:p w14:paraId="4E26D1E0" w14:textId="77777777" w:rsidR="00A052DC" w:rsidRDefault="009F0A60">
            <w:pPr>
              <w:pStyle w:val="B"/>
              <w:rPr>
                <w:szCs w:val="20"/>
              </w:rPr>
            </w:pPr>
            <w:r>
              <w:rPr>
                <w:rFonts w:hint="eastAsia"/>
                <w:szCs w:val="20"/>
              </w:rPr>
              <w:t>业务发生月份，格式为</w:t>
            </w:r>
            <w:r>
              <w:rPr>
                <w:szCs w:val="20"/>
              </w:rPr>
              <w:t>YYYYMM</w:t>
            </w:r>
            <w:r>
              <w:rPr>
                <w:rFonts w:hint="eastAsia"/>
                <w:szCs w:val="20"/>
              </w:rPr>
              <w:t>。</w:t>
            </w:r>
          </w:p>
        </w:tc>
      </w:tr>
      <w:tr w:rsidR="00A052DC" w14:paraId="3D038698" w14:textId="77777777">
        <w:trPr>
          <w:cantSplit/>
        </w:trPr>
        <w:tc>
          <w:tcPr>
            <w:tcW w:w="1668" w:type="dxa"/>
          </w:tcPr>
          <w:p w14:paraId="5244CB88" w14:textId="77777777" w:rsidR="00A052DC" w:rsidRDefault="009F0A60">
            <w:pPr>
              <w:pStyle w:val="B"/>
              <w:rPr>
                <w:szCs w:val="20"/>
              </w:rPr>
            </w:pPr>
            <w:r>
              <w:rPr>
                <w:rFonts w:hint="eastAsia"/>
                <w:szCs w:val="20"/>
              </w:rPr>
              <w:t>保险类别</w:t>
            </w:r>
          </w:p>
        </w:tc>
        <w:tc>
          <w:tcPr>
            <w:tcW w:w="6662" w:type="dxa"/>
            <w:noWrap/>
          </w:tcPr>
          <w:p w14:paraId="34410257" w14:textId="77777777" w:rsidR="00A052DC" w:rsidRDefault="009F0A60">
            <w:pPr>
              <w:pStyle w:val="B"/>
              <w:rPr>
                <w:szCs w:val="20"/>
              </w:rPr>
            </w:pPr>
            <w:r>
              <w:rPr>
                <w:rFonts w:hint="eastAsia"/>
                <w:szCs w:val="20"/>
              </w:rPr>
              <w:t>对非居民投保人的直接保险划分为两类，</w:t>
            </w:r>
            <w:r>
              <w:rPr>
                <w:szCs w:val="20"/>
              </w:rPr>
              <w:t>1-</w:t>
            </w:r>
            <w:r>
              <w:rPr>
                <w:rFonts w:hint="eastAsia"/>
                <w:szCs w:val="20"/>
              </w:rPr>
              <w:t>人寿保险和年金，包括长期人寿保险、储蓄保险、长期健康险，及年金（即养老金）；</w:t>
            </w:r>
            <w:r>
              <w:rPr>
                <w:szCs w:val="20"/>
              </w:rPr>
              <w:t>2-</w:t>
            </w:r>
            <w:r>
              <w:rPr>
                <w:rFonts w:hint="eastAsia"/>
                <w:szCs w:val="20"/>
              </w:rPr>
              <w:t>非人寿保险，即除</w:t>
            </w:r>
            <w:r>
              <w:rPr>
                <w:szCs w:val="20"/>
              </w:rPr>
              <w:t>1</w:t>
            </w:r>
            <w:r>
              <w:rPr>
                <w:rFonts w:hint="eastAsia"/>
                <w:szCs w:val="20"/>
              </w:rPr>
              <w:t>以外的其他保险，如短期健康险、财险等。</w:t>
            </w:r>
          </w:p>
        </w:tc>
      </w:tr>
      <w:tr w:rsidR="00A052DC" w14:paraId="094AD0FD" w14:textId="77777777">
        <w:trPr>
          <w:cantSplit/>
        </w:trPr>
        <w:tc>
          <w:tcPr>
            <w:tcW w:w="1668" w:type="dxa"/>
          </w:tcPr>
          <w:p w14:paraId="4B4F3788" w14:textId="77777777" w:rsidR="00A052DC" w:rsidRDefault="009F0A60">
            <w:pPr>
              <w:pStyle w:val="B"/>
              <w:rPr>
                <w:szCs w:val="20"/>
              </w:rPr>
            </w:pPr>
            <w:r>
              <w:rPr>
                <w:rFonts w:hint="eastAsia"/>
                <w:szCs w:val="20"/>
              </w:rPr>
              <w:t>保单持有人所属国家</w:t>
            </w:r>
            <w:r>
              <w:rPr>
                <w:szCs w:val="20"/>
              </w:rPr>
              <w:t>/</w:t>
            </w:r>
            <w:r>
              <w:rPr>
                <w:rFonts w:hint="eastAsia"/>
                <w:szCs w:val="20"/>
              </w:rPr>
              <w:t>地区</w:t>
            </w:r>
          </w:p>
        </w:tc>
        <w:tc>
          <w:tcPr>
            <w:tcW w:w="6662" w:type="dxa"/>
            <w:noWrap/>
          </w:tcPr>
          <w:p w14:paraId="39122CBB" w14:textId="77777777" w:rsidR="00A052DC" w:rsidRDefault="009F0A60">
            <w:pPr>
              <w:pStyle w:val="B"/>
              <w:rPr>
                <w:szCs w:val="20"/>
              </w:rPr>
            </w:pPr>
            <w:r>
              <w:rPr>
                <w:rFonts w:hint="eastAsia"/>
                <w:szCs w:val="20"/>
              </w:rPr>
              <w:t>见国家和地区代码表，填报相关非居民保单持有人所属国家</w:t>
            </w:r>
            <w:r>
              <w:rPr>
                <w:szCs w:val="20"/>
              </w:rPr>
              <w:t>/</w:t>
            </w:r>
            <w:r>
              <w:rPr>
                <w:rFonts w:hint="eastAsia"/>
                <w:szCs w:val="20"/>
              </w:rPr>
              <w:t>地区代码。保单持有人即</w:t>
            </w:r>
            <w:r>
              <w:rPr>
                <w:szCs w:val="20"/>
              </w:rPr>
              <w:t>保单所有人，是拥有</w:t>
            </w:r>
            <w:r>
              <w:rPr>
                <w:rFonts w:hint="eastAsia"/>
                <w:szCs w:val="20"/>
              </w:rPr>
              <w:t>保单</w:t>
            </w:r>
            <w:r>
              <w:rPr>
                <w:szCs w:val="20"/>
              </w:rPr>
              <w:t>各种权利的人</w:t>
            </w:r>
            <w:r>
              <w:rPr>
                <w:rFonts w:hint="eastAsia"/>
                <w:szCs w:val="20"/>
              </w:rPr>
              <w:t>，一般为投保人。</w:t>
            </w:r>
          </w:p>
        </w:tc>
      </w:tr>
      <w:tr w:rsidR="00A052DC" w14:paraId="119B1946" w14:textId="77777777">
        <w:trPr>
          <w:cantSplit/>
        </w:trPr>
        <w:tc>
          <w:tcPr>
            <w:tcW w:w="1668" w:type="dxa"/>
          </w:tcPr>
          <w:p w14:paraId="16401F3A" w14:textId="77777777" w:rsidR="00A052DC" w:rsidRDefault="009F0A60">
            <w:pPr>
              <w:pStyle w:val="B"/>
              <w:rPr>
                <w:szCs w:val="20"/>
              </w:rPr>
            </w:pPr>
            <w:r>
              <w:rPr>
                <w:rFonts w:hint="eastAsia"/>
                <w:szCs w:val="20"/>
              </w:rPr>
              <w:t>保单持有人所属部门</w:t>
            </w:r>
          </w:p>
        </w:tc>
        <w:tc>
          <w:tcPr>
            <w:tcW w:w="6662" w:type="dxa"/>
            <w:noWrap/>
          </w:tcPr>
          <w:p w14:paraId="34FAB915" w14:textId="77777777" w:rsidR="00A052DC" w:rsidRDefault="009F0A60">
            <w:pPr>
              <w:pStyle w:val="B"/>
              <w:rPr>
                <w:szCs w:val="20"/>
              </w:rPr>
            </w:pPr>
            <w:r>
              <w:rPr>
                <w:rFonts w:hint="eastAsia"/>
                <w:szCs w:val="20"/>
              </w:rPr>
              <w:t>见投资者（被投资者）部门代码表。请按非居民保单持有人的主营业务归类。</w:t>
            </w:r>
          </w:p>
        </w:tc>
      </w:tr>
      <w:tr w:rsidR="00A052DC" w14:paraId="20E54858" w14:textId="77777777">
        <w:trPr>
          <w:cantSplit/>
        </w:trPr>
        <w:tc>
          <w:tcPr>
            <w:tcW w:w="1668" w:type="dxa"/>
          </w:tcPr>
          <w:p w14:paraId="06254037" w14:textId="77777777" w:rsidR="00A052DC" w:rsidRDefault="009F0A60">
            <w:pPr>
              <w:pStyle w:val="B"/>
              <w:rPr>
                <w:szCs w:val="20"/>
              </w:rPr>
            </w:pPr>
            <w:r>
              <w:rPr>
                <w:rFonts w:hint="eastAsia"/>
                <w:szCs w:val="20"/>
              </w:rPr>
              <w:t>保单持有人与本机构的关系</w:t>
            </w:r>
          </w:p>
        </w:tc>
        <w:tc>
          <w:tcPr>
            <w:tcW w:w="6662" w:type="dxa"/>
            <w:noWrap/>
          </w:tcPr>
          <w:p w14:paraId="5E1D30C8" w14:textId="77777777" w:rsidR="00A052DC" w:rsidRDefault="009F0A60">
            <w:pPr>
              <w:pStyle w:val="B"/>
              <w:rPr>
                <w:szCs w:val="20"/>
              </w:rPr>
            </w:pPr>
            <w:r>
              <w:rPr>
                <w:rFonts w:hint="eastAsia"/>
                <w:szCs w:val="20"/>
              </w:rPr>
              <w:t>见对方与本机构</w:t>
            </w:r>
            <w:r>
              <w:rPr>
                <w:szCs w:val="20"/>
              </w:rPr>
              <w:t>/</w:t>
            </w:r>
            <w:r>
              <w:rPr>
                <w:rFonts w:hint="eastAsia"/>
                <w:szCs w:val="20"/>
              </w:rPr>
              <w:t>被代理居民机构</w:t>
            </w:r>
            <w:r>
              <w:rPr>
                <w:szCs w:val="20"/>
              </w:rPr>
              <w:t>/</w:t>
            </w:r>
            <w:r>
              <w:rPr>
                <w:rFonts w:hint="eastAsia"/>
                <w:szCs w:val="20"/>
              </w:rPr>
              <w:t>委托人的关系代码表。</w:t>
            </w:r>
          </w:p>
        </w:tc>
      </w:tr>
      <w:tr w:rsidR="00A052DC" w14:paraId="5A882FE5" w14:textId="77777777">
        <w:trPr>
          <w:cantSplit/>
        </w:trPr>
        <w:tc>
          <w:tcPr>
            <w:tcW w:w="1668" w:type="dxa"/>
          </w:tcPr>
          <w:p w14:paraId="171509B9" w14:textId="77777777" w:rsidR="00A052DC" w:rsidRDefault="009F0A60">
            <w:pPr>
              <w:pStyle w:val="B"/>
              <w:rPr>
                <w:szCs w:val="20"/>
              </w:rPr>
            </w:pPr>
            <w:r>
              <w:rPr>
                <w:rFonts w:hint="eastAsia"/>
                <w:szCs w:val="20"/>
              </w:rPr>
              <w:t>填表币种</w:t>
            </w:r>
          </w:p>
        </w:tc>
        <w:tc>
          <w:tcPr>
            <w:tcW w:w="6662" w:type="dxa"/>
            <w:noWrap/>
          </w:tcPr>
          <w:p w14:paraId="1D22C910" w14:textId="77777777" w:rsidR="00A052DC" w:rsidRDefault="009F0A60">
            <w:pPr>
              <w:pStyle w:val="B"/>
              <w:rPr>
                <w:szCs w:val="20"/>
              </w:rPr>
            </w:pPr>
            <w:r>
              <w:rPr>
                <w:rFonts w:hint="eastAsia"/>
                <w:szCs w:val="20"/>
              </w:rPr>
              <w:t>见币种代码表，指报告机构报送本表数据所采用的币种。</w:t>
            </w:r>
          </w:p>
        </w:tc>
      </w:tr>
      <w:tr w:rsidR="00A052DC" w14:paraId="688B42B2" w14:textId="77777777">
        <w:trPr>
          <w:cantSplit/>
        </w:trPr>
        <w:tc>
          <w:tcPr>
            <w:tcW w:w="1668" w:type="dxa"/>
          </w:tcPr>
          <w:p w14:paraId="35A2502A" w14:textId="77777777" w:rsidR="00A052DC" w:rsidRDefault="009F0A60">
            <w:pPr>
              <w:pStyle w:val="B"/>
              <w:rPr>
                <w:szCs w:val="20"/>
              </w:rPr>
            </w:pPr>
            <w:r>
              <w:rPr>
                <w:rFonts w:hint="eastAsia"/>
                <w:szCs w:val="20"/>
              </w:rPr>
              <w:t>本月已赚保费总额</w:t>
            </w:r>
          </w:p>
        </w:tc>
        <w:tc>
          <w:tcPr>
            <w:tcW w:w="6662" w:type="dxa"/>
            <w:noWrap/>
          </w:tcPr>
          <w:p w14:paraId="2EEA2B48" w14:textId="77777777" w:rsidR="00A052DC" w:rsidRDefault="009F0A60">
            <w:pPr>
              <w:pStyle w:val="B"/>
              <w:rPr>
                <w:szCs w:val="20"/>
              </w:rPr>
            </w:pPr>
            <w:r>
              <w:rPr>
                <w:rFonts w:hint="eastAsia"/>
                <w:szCs w:val="20"/>
              </w:rPr>
              <w:t>指作为直接保险的保险人，按照权责发生制原则，当月对非居民的已赚保费。计算公式为本月已赚保费=保险业务收入-分出保费-提取未到期责任准备金。</w:t>
            </w:r>
          </w:p>
        </w:tc>
      </w:tr>
      <w:tr w:rsidR="00A052DC" w14:paraId="4C3881C5" w14:textId="77777777">
        <w:trPr>
          <w:cantSplit/>
        </w:trPr>
        <w:tc>
          <w:tcPr>
            <w:tcW w:w="1668" w:type="dxa"/>
          </w:tcPr>
          <w:p w14:paraId="418A82D3" w14:textId="77777777" w:rsidR="00A052DC" w:rsidRDefault="009F0A60">
            <w:pPr>
              <w:pStyle w:val="B"/>
              <w:rPr>
                <w:szCs w:val="20"/>
              </w:rPr>
            </w:pPr>
            <w:r>
              <w:rPr>
                <w:rFonts w:hint="eastAsia"/>
                <w:szCs w:val="20"/>
              </w:rPr>
              <w:t>本月归属于非居民保单持有人的收益（补充保费）</w:t>
            </w:r>
          </w:p>
        </w:tc>
        <w:tc>
          <w:tcPr>
            <w:tcW w:w="6662" w:type="dxa"/>
            <w:noWrap/>
          </w:tcPr>
          <w:p w14:paraId="79C9C286" w14:textId="77777777" w:rsidR="00A052DC" w:rsidRDefault="009F0A60">
            <w:pPr>
              <w:pStyle w:val="B"/>
              <w:rPr>
                <w:szCs w:val="20"/>
              </w:rPr>
            </w:pPr>
            <w:r>
              <w:rPr>
                <w:rFonts w:hint="eastAsia"/>
              </w:rPr>
              <w:t>指保险公司将保险责任准备金（包括未决赔款准备金、未到期准备金、寿险准备金、长期健康险准备金）进行投资而获取的投资收益，</w:t>
            </w:r>
            <w:r>
              <w:rPr>
                <w:rFonts w:hint="eastAsia"/>
                <w:szCs w:val="20"/>
              </w:rPr>
              <w:t>该</w:t>
            </w:r>
            <w:r>
              <w:rPr>
                <w:rFonts w:hint="eastAsia"/>
              </w:rPr>
              <w:t>收益</w:t>
            </w:r>
            <w:r>
              <w:rPr>
                <w:rFonts w:hint="eastAsia"/>
                <w:szCs w:val="20"/>
              </w:rPr>
              <w:t>是保险公司对</w:t>
            </w:r>
            <w:r>
              <w:rPr>
                <w:rFonts w:hint="eastAsia"/>
              </w:rPr>
              <w:t>保单持有人的</w:t>
            </w:r>
            <w:r>
              <w:rPr>
                <w:rFonts w:hint="eastAsia"/>
                <w:szCs w:val="20"/>
              </w:rPr>
              <w:t>预付保费或应收福利进行投资而获取的回报，被视为由保单持有人以费用的名义投回给保险公司，故称为</w:t>
            </w:r>
            <w:r>
              <w:rPr>
                <w:rFonts w:hint="eastAsia"/>
              </w:rPr>
              <w:t>补充保费。申报主体可根据保险责任准备金投资回报情况，拆分出对非居民保单持有人的责任准备金产生的回报。</w:t>
            </w:r>
          </w:p>
        </w:tc>
      </w:tr>
      <w:tr w:rsidR="00A052DC" w14:paraId="1E03C288" w14:textId="77777777">
        <w:trPr>
          <w:cantSplit/>
        </w:trPr>
        <w:tc>
          <w:tcPr>
            <w:tcW w:w="1668" w:type="dxa"/>
          </w:tcPr>
          <w:p w14:paraId="2ED73C68" w14:textId="77777777" w:rsidR="00A052DC" w:rsidRDefault="009F0A60">
            <w:pPr>
              <w:pStyle w:val="B"/>
              <w:rPr>
                <w:szCs w:val="20"/>
              </w:rPr>
            </w:pPr>
            <w:r>
              <w:rPr>
                <w:rFonts w:hint="eastAsia"/>
                <w:szCs w:val="20"/>
              </w:rPr>
              <w:t>本月索赔</w:t>
            </w:r>
            <w:r>
              <w:rPr>
                <w:szCs w:val="20"/>
              </w:rPr>
              <w:t>/</w:t>
            </w:r>
            <w:r>
              <w:rPr>
                <w:rFonts w:hint="eastAsia"/>
                <w:szCs w:val="20"/>
              </w:rPr>
              <w:t>福利支出总额</w:t>
            </w:r>
          </w:p>
        </w:tc>
        <w:tc>
          <w:tcPr>
            <w:tcW w:w="6662" w:type="dxa"/>
            <w:noWrap/>
          </w:tcPr>
          <w:p w14:paraId="12353375" w14:textId="77777777" w:rsidR="00A052DC" w:rsidRDefault="009F0A60">
            <w:pPr>
              <w:pStyle w:val="B"/>
              <w:rPr>
                <w:szCs w:val="20"/>
              </w:rPr>
            </w:pPr>
            <w:r>
              <w:rPr>
                <w:rFonts w:hint="eastAsia"/>
                <w:szCs w:val="20"/>
              </w:rPr>
              <w:t>按照权责发生制原则，作为直接保险的保险人应付非居民保单持有人的人寿险福利和非人寿险索赔。</w:t>
            </w:r>
            <w:r>
              <w:rPr>
                <w:rFonts w:hint="eastAsia"/>
                <w:b/>
                <w:szCs w:val="20"/>
              </w:rPr>
              <w:t>索赔支出</w:t>
            </w:r>
            <w:r>
              <w:rPr>
                <w:rFonts w:hint="eastAsia"/>
                <w:szCs w:val="20"/>
              </w:rPr>
              <w:t>包括会计期内已付索赔加上未付索赔准备金的变化，对于人寿保险而言，</w:t>
            </w:r>
            <w:r>
              <w:rPr>
                <w:rFonts w:hint="eastAsia"/>
                <w:b/>
                <w:szCs w:val="20"/>
              </w:rPr>
              <w:t>索赔支出</w:t>
            </w:r>
            <w:r>
              <w:rPr>
                <w:rFonts w:hint="eastAsia"/>
                <w:szCs w:val="20"/>
              </w:rPr>
              <w:t>等于赔付支出加上未决赔款准备金（包括寿险和长期健康险的对应准备金部分）的变化。即，当导致有效索赔的事件发生时，无论是否在该期间支付、理赔或者报告，基于权责发生制的索赔即视为到期，纳入本项统计中。</w:t>
            </w:r>
          </w:p>
        </w:tc>
      </w:tr>
      <w:tr w:rsidR="00A052DC" w14:paraId="41AB4149" w14:textId="77777777">
        <w:trPr>
          <w:cantSplit/>
        </w:trPr>
        <w:tc>
          <w:tcPr>
            <w:tcW w:w="1668" w:type="dxa"/>
          </w:tcPr>
          <w:p w14:paraId="114AA9A2" w14:textId="77777777" w:rsidR="00A052DC" w:rsidRDefault="009F0A60">
            <w:pPr>
              <w:pStyle w:val="B"/>
              <w:rPr>
                <w:szCs w:val="20"/>
              </w:rPr>
            </w:pPr>
            <w:r>
              <w:rPr>
                <w:rFonts w:hint="eastAsia"/>
                <w:szCs w:val="20"/>
              </w:rPr>
              <w:t>上月末保单责任准备金余额</w:t>
            </w:r>
          </w:p>
        </w:tc>
        <w:tc>
          <w:tcPr>
            <w:tcW w:w="6662" w:type="dxa"/>
            <w:noWrap/>
          </w:tcPr>
          <w:p w14:paraId="785A779A" w14:textId="77777777" w:rsidR="00A052DC" w:rsidRDefault="009F0A60">
            <w:pPr>
              <w:pStyle w:val="B"/>
              <w:rPr>
                <w:szCs w:val="20"/>
              </w:rPr>
            </w:pPr>
            <w:r>
              <w:rPr>
                <w:rFonts w:hint="eastAsia"/>
                <w:szCs w:val="20"/>
              </w:rPr>
              <w:t>指截至上月末，本保险机构对非居民的保险责任准备金，对于非寿险而言，包括</w:t>
            </w:r>
            <w:r>
              <w:rPr>
                <w:szCs w:val="20"/>
              </w:rPr>
              <w:t>未决赔款准备金</w:t>
            </w:r>
            <w:r>
              <w:rPr>
                <w:rFonts w:hint="eastAsia"/>
                <w:szCs w:val="20"/>
              </w:rPr>
              <w:t>余额和未到期责任准备金余额。其中，</w:t>
            </w:r>
            <w:r>
              <w:rPr>
                <w:szCs w:val="20"/>
              </w:rPr>
              <w:t>未决赔款准备金</w:t>
            </w:r>
            <w:r>
              <w:rPr>
                <w:rFonts w:hint="eastAsia"/>
                <w:szCs w:val="20"/>
              </w:rPr>
              <w:t>余额，</w:t>
            </w:r>
            <w:r>
              <w:rPr>
                <w:szCs w:val="20"/>
              </w:rPr>
              <w:t>是指</w:t>
            </w:r>
            <w:r>
              <w:rPr>
                <w:rFonts w:hint="eastAsia"/>
                <w:szCs w:val="20"/>
              </w:rPr>
              <w:t>保险公司</w:t>
            </w:r>
            <w:r>
              <w:rPr>
                <w:szCs w:val="20"/>
              </w:rPr>
              <w:t>在</w:t>
            </w:r>
            <w:r>
              <w:rPr>
                <w:rFonts w:hint="eastAsia"/>
                <w:szCs w:val="20"/>
              </w:rPr>
              <w:t>当期发</w:t>
            </w:r>
            <w:r>
              <w:rPr>
                <w:szCs w:val="20"/>
              </w:rPr>
              <w:t>生</w:t>
            </w:r>
            <w:r>
              <w:rPr>
                <w:rFonts w:hint="eastAsia"/>
                <w:szCs w:val="20"/>
              </w:rPr>
              <w:t>保险责任</w:t>
            </w:r>
            <w:r>
              <w:rPr>
                <w:szCs w:val="20"/>
              </w:rPr>
              <w:t>而未赔偿或未给付保险金，在</w:t>
            </w:r>
            <w:r>
              <w:rPr>
                <w:rFonts w:hint="eastAsia"/>
                <w:szCs w:val="20"/>
              </w:rPr>
              <w:t>当期保险费</w:t>
            </w:r>
            <w:r>
              <w:rPr>
                <w:szCs w:val="20"/>
              </w:rPr>
              <w:t>中提取的资金</w:t>
            </w:r>
            <w:r>
              <w:rPr>
                <w:rFonts w:hint="eastAsia"/>
                <w:szCs w:val="20"/>
              </w:rPr>
              <w:t>，包括针对已发生已报告的保险事故和已发生未报告的保险事故而计提的准备金</w:t>
            </w:r>
            <w:r>
              <w:rPr>
                <w:szCs w:val="20"/>
              </w:rPr>
              <w:t>。</w:t>
            </w:r>
            <w:r>
              <w:rPr>
                <w:rFonts w:hint="eastAsia"/>
                <w:szCs w:val="20"/>
              </w:rPr>
              <w:t>未到期责任准备金，</w:t>
            </w:r>
            <w:r>
              <w:rPr>
                <w:szCs w:val="20"/>
              </w:rPr>
              <w:t>指</w:t>
            </w:r>
            <w:r>
              <w:rPr>
                <w:rFonts w:hint="eastAsia"/>
                <w:szCs w:val="20"/>
              </w:rPr>
              <w:t>保险公司</w:t>
            </w:r>
            <w:r>
              <w:rPr>
                <w:szCs w:val="20"/>
              </w:rPr>
              <w:t>在会计</w:t>
            </w:r>
            <w:r>
              <w:rPr>
                <w:rFonts w:hint="eastAsia"/>
                <w:szCs w:val="20"/>
              </w:rPr>
              <w:t>期核算</w:t>
            </w:r>
            <w:r>
              <w:rPr>
                <w:szCs w:val="20"/>
              </w:rPr>
              <w:t>时，将保险责任尚未满期的，应属于下</w:t>
            </w:r>
            <w:r>
              <w:rPr>
                <w:rFonts w:hint="eastAsia"/>
                <w:szCs w:val="20"/>
              </w:rPr>
              <w:t>一期</w:t>
            </w:r>
            <w:r>
              <w:rPr>
                <w:szCs w:val="20"/>
              </w:rPr>
              <w:t>的部分保险费提存出来所形成的准备金。</w:t>
            </w:r>
            <w:r>
              <w:rPr>
                <w:rFonts w:hint="eastAsia"/>
                <w:szCs w:val="20"/>
              </w:rPr>
              <w:t>对于寿险而言，包括寿险责任准备金和长期健康险责任准备金。</w:t>
            </w:r>
          </w:p>
        </w:tc>
      </w:tr>
      <w:tr w:rsidR="00A052DC" w14:paraId="7314559C" w14:textId="77777777">
        <w:trPr>
          <w:cantSplit/>
        </w:trPr>
        <w:tc>
          <w:tcPr>
            <w:tcW w:w="1668" w:type="dxa"/>
          </w:tcPr>
          <w:p w14:paraId="61F46E8D" w14:textId="77777777" w:rsidR="00A052DC" w:rsidRDefault="009F0A60">
            <w:pPr>
              <w:pStyle w:val="B"/>
              <w:rPr>
                <w:szCs w:val="20"/>
              </w:rPr>
            </w:pPr>
            <w:r>
              <w:rPr>
                <w:rFonts w:hint="eastAsia"/>
                <w:szCs w:val="20"/>
              </w:rPr>
              <w:t>本月末保单责任准备金余额</w:t>
            </w:r>
          </w:p>
        </w:tc>
        <w:tc>
          <w:tcPr>
            <w:tcW w:w="6662" w:type="dxa"/>
            <w:noWrap/>
          </w:tcPr>
          <w:p w14:paraId="7941F9AD" w14:textId="77777777" w:rsidR="00A052DC" w:rsidRDefault="009F0A60">
            <w:pPr>
              <w:pStyle w:val="B"/>
              <w:rPr>
                <w:szCs w:val="20"/>
              </w:rPr>
            </w:pPr>
            <w:r>
              <w:rPr>
                <w:rFonts w:hint="eastAsia"/>
                <w:szCs w:val="20"/>
              </w:rPr>
              <w:t>指截至本月末，本保险机构对非居民的保险责任准备金，对于非寿险而言，包括</w:t>
            </w:r>
            <w:r>
              <w:rPr>
                <w:szCs w:val="20"/>
              </w:rPr>
              <w:t>未决赔款准备金</w:t>
            </w:r>
            <w:r>
              <w:rPr>
                <w:rFonts w:hint="eastAsia"/>
                <w:szCs w:val="20"/>
              </w:rPr>
              <w:t>余额和未到期责任准备金余额。其中，</w:t>
            </w:r>
            <w:r>
              <w:rPr>
                <w:szCs w:val="20"/>
              </w:rPr>
              <w:t>未决赔款准备金</w:t>
            </w:r>
            <w:r>
              <w:rPr>
                <w:rFonts w:hint="eastAsia"/>
                <w:szCs w:val="20"/>
              </w:rPr>
              <w:t>余额，</w:t>
            </w:r>
            <w:r>
              <w:rPr>
                <w:szCs w:val="20"/>
              </w:rPr>
              <w:t>是指</w:t>
            </w:r>
            <w:r>
              <w:rPr>
                <w:rFonts w:hint="eastAsia"/>
                <w:szCs w:val="20"/>
              </w:rPr>
              <w:t>保险公司</w:t>
            </w:r>
            <w:r>
              <w:rPr>
                <w:szCs w:val="20"/>
              </w:rPr>
              <w:t>在</w:t>
            </w:r>
            <w:r>
              <w:rPr>
                <w:rFonts w:hint="eastAsia"/>
                <w:szCs w:val="20"/>
              </w:rPr>
              <w:t>当期发</w:t>
            </w:r>
            <w:r>
              <w:rPr>
                <w:szCs w:val="20"/>
              </w:rPr>
              <w:t>生</w:t>
            </w:r>
            <w:r>
              <w:rPr>
                <w:rFonts w:hint="eastAsia"/>
                <w:szCs w:val="20"/>
              </w:rPr>
              <w:t>保险责任</w:t>
            </w:r>
            <w:r>
              <w:rPr>
                <w:szCs w:val="20"/>
              </w:rPr>
              <w:t>而未赔偿或未给付保险金，在</w:t>
            </w:r>
            <w:r>
              <w:rPr>
                <w:rFonts w:hint="eastAsia"/>
                <w:szCs w:val="20"/>
              </w:rPr>
              <w:t>当期保险费</w:t>
            </w:r>
            <w:r>
              <w:rPr>
                <w:szCs w:val="20"/>
              </w:rPr>
              <w:t>中提取的资金</w:t>
            </w:r>
            <w:r>
              <w:rPr>
                <w:rFonts w:hint="eastAsia"/>
                <w:szCs w:val="20"/>
              </w:rPr>
              <w:t>，包括针对已发生已报告的保险事故和已发生未报告的保险事故而计提的准备金</w:t>
            </w:r>
            <w:r>
              <w:rPr>
                <w:szCs w:val="20"/>
              </w:rPr>
              <w:t>。</w:t>
            </w:r>
            <w:r>
              <w:rPr>
                <w:rFonts w:hint="eastAsia"/>
                <w:szCs w:val="20"/>
              </w:rPr>
              <w:t>未到期责任准备金，</w:t>
            </w:r>
            <w:r>
              <w:rPr>
                <w:szCs w:val="20"/>
              </w:rPr>
              <w:t>指</w:t>
            </w:r>
            <w:r>
              <w:rPr>
                <w:rFonts w:hint="eastAsia"/>
                <w:szCs w:val="20"/>
              </w:rPr>
              <w:t>保险公司</w:t>
            </w:r>
            <w:r>
              <w:rPr>
                <w:szCs w:val="20"/>
              </w:rPr>
              <w:t>在会计</w:t>
            </w:r>
            <w:r>
              <w:rPr>
                <w:rFonts w:hint="eastAsia"/>
                <w:szCs w:val="20"/>
              </w:rPr>
              <w:t>期核算</w:t>
            </w:r>
            <w:r>
              <w:rPr>
                <w:szCs w:val="20"/>
              </w:rPr>
              <w:t>时，将保险责任尚未满期的，应属于下</w:t>
            </w:r>
            <w:r>
              <w:rPr>
                <w:rFonts w:hint="eastAsia"/>
                <w:szCs w:val="20"/>
              </w:rPr>
              <w:t>一期</w:t>
            </w:r>
            <w:r>
              <w:rPr>
                <w:szCs w:val="20"/>
              </w:rPr>
              <w:t>的部分保险费提存出来所形成的准备金。</w:t>
            </w:r>
            <w:r>
              <w:rPr>
                <w:rFonts w:hint="eastAsia"/>
                <w:szCs w:val="20"/>
              </w:rPr>
              <w:t>对于寿险而言，包括寿险责任准备金和长期健康险责任准备金。</w:t>
            </w:r>
          </w:p>
        </w:tc>
      </w:tr>
      <w:tr w:rsidR="00A052DC" w14:paraId="39B19608" w14:textId="77777777">
        <w:trPr>
          <w:cantSplit/>
        </w:trPr>
        <w:tc>
          <w:tcPr>
            <w:tcW w:w="1668" w:type="dxa"/>
          </w:tcPr>
          <w:p w14:paraId="6E2533EF" w14:textId="77777777" w:rsidR="00A052DC" w:rsidRDefault="009F0A60">
            <w:pPr>
              <w:pStyle w:val="B"/>
              <w:rPr>
                <w:szCs w:val="20"/>
              </w:rPr>
            </w:pPr>
            <w:r>
              <w:rPr>
                <w:rFonts w:hint="eastAsia"/>
                <w:szCs w:val="20"/>
              </w:rPr>
              <w:t>备注</w:t>
            </w:r>
          </w:p>
        </w:tc>
        <w:tc>
          <w:tcPr>
            <w:tcW w:w="6662" w:type="dxa"/>
            <w:noWrap/>
          </w:tcPr>
          <w:p w14:paraId="2446582E" w14:textId="77777777" w:rsidR="00A052DC" w:rsidRDefault="009F0A60">
            <w:pPr>
              <w:pStyle w:val="B"/>
              <w:rPr>
                <w:szCs w:val="20"/>
              </w:rPr>
            </w:pPr>
            <w:r>
              <w:rPr>
                <w:rFonts w:hint="eastAsia"/>
                <w:szCs w:val="20"/>
              </w:rPr>
              <w:t>指在填报本月数据时，需特别说明的部分。如，是否为与进出口相关的涉外保险业务。</w:t>
            </w:r>
          </w:p>
        </w:tc>
      </w:tr>
    </w:tbl>
    <w:p w14:paraId="6CD58905" w14:textId="77777777" w:rsidR="00A052DC" w:rsidRDefault="00A052DC"/>
    <w:p w14:paraId="56F67608" w14:textId="77777777" w:rsidR="00A052DC" w:rsidRDefault="009F0A60" w:rsidP="0020251D">
      <w:pPr>
        <w:pStyle w:val="4"/>
        <w:numPr>
          <w:ilvl w:val="3"/>
          <w:numId w:val="1"/>
        </w:numPr>
        <w:jc w:val="left"/>
      </w:pPr>
      <w:bookmarkStart w:id="3690" w:name="_Toc454391468"/>
      <w:bookmarkStart w:id="3691" w:name="_Toc454391469"/>
      <w:bookmarkStart w:id="3692" w:name="_Toc380571015"/>
      <w:bookmarkEnd w:id="3690"/>
      <w:r>
        <w:rPr>
          <w:rFonts w:hint="eastAsia"/>
        </w:rPr>
        <w:t>数据格式</w:t>
      </w:r>
      <w:bookmarkEnd w:id="3691"/>
      <w:bookmarkEnd w:id="3692"/>
    </w:p>
    <w:p w14:paraId="481AFC6E" w14:textId="77777777" w:rsidR="00A052DC" w:rsidRDefault="009F0A60">
      <w:pPr>
        <w:ind w:firstLine="284"/>
      </w:pPr>
      <w:r>
        <w:t>&lt;REC&gt;</w:t>
      </w:r>
    </w:p>
    <w:p w14:paraId="4E52D489" w14:textId="77777777" w:rsidR="00A052DC" w:rsidRDefault="009F0A60">
      <w:pPr>
        <w:ind w:firstLine="284"/>
      </w:pPr>
      <w:r>
        <w:t>&lt;ACTIONTYPE&gt;</w:t>
      </w:r>
      <w:r>
        <w:rPr>
          <w:rFonts w:hAnsi="宋体"/>
        </w:rPr>
        <w:t>操作类型</w:t>
      </w:r>
      <w:r>
        <w:t>&lt;/ACTIONTYPE&gt;</w:t>
      </w:r>
    </w:p>
    <w:p w14:paraId="5AB07E09" w14:textId="77777777" w:rsidR="00A052DC" w:rsidRDefault="009F0A60">
      <w:pPr>
        <w:ind w:firstLine="284"/>
      </w:pPr>
      <w:r>
        <w:t>&lt;ACTIONDESC&gt;</w:t>
      </w:r>
      <w:r>
        <w:rPr>
          <w:rFonts w:hAnsi="宋体"/>
        </w:rPr>
        <w:t>删除原因</w:t>
      </w:r>
      <w:r>
        <w:t>&lt;/ACTIONDESC&gt;</w:t>
      </w:r>
    </w:p>
    <w:p w14:paraId="3FDFF92F" w14:textId="77777777" w:rsidR="00A052DC" w:rsidRDefault="009F0A60">
      <w:pPr>
        <w:ind w:firstLine="284"/>
      </w:pPr>
      <w:r>
        <w:t>&lt;SNOCODE&gt;</w:t>
      </w:r>
      <w:r>
        <w:rPr>
          <w:rFonts w:hAnsi="宋体"/>
        </w:rPr>
        <w:t>数据自编码</w:t>
      </w:r>
      <w:r>
        <w:t>&lt;/SNOCODE&gt;</w:t>
      </w:r>
    </w:p>
    <w:p w14:paraId="0E6758B8" w14:textId="77777777" w:rsidR="00A052DC" w:rsidRDefault="009F0A60">
      <w:pPr>
        <w:ind w:firstLine="284"/>
      </w:pPr>
      <w:r>
        <w:t>&lt;OBJCODE&gt;</w:t>
      </w:r>
      <w:r>
        <w:rPr>
          <w:rFonts w:hAnsi="宋体"/>
        </w:rPr>
        <w:t>申报主体代码</w:t>
      </w:r>
      <w:r>
        <w:t>&lt;/OBJCODE&gt;</w:t>
      </w:r>
    </w:p>
    <w:p w14:paraId="2DC339C0" w14:textId="77777777" w:rsidR="00A052DC" w:rsidRDefault="009F0A60">
      <w:pPr>
        <w:ind w:firstLine="284"/>
      </w:pPr>
      <w:r>
        <w:t>&lt;BUOCMONTH&gt;</w:t>
      </w:r>
      <w:r>
        <w:rPr>
          <w:rFonts w:hAnsi="宋体"/>
        </w:rPr>
        <w:t>报告期</w:t>
      </w:r>
      <w:r>
        <w:t>&lt;/BUOCMONTH&gt;</w:t>
      </w:r>
    </w:p>
    <w:p w14:paraId="358B495A" w14:textId="77777777" w:rsidR="00A052DC" w:rsidRDefault="009F0A60">
      <w:pPr>
        <w:ind w:firstLine="284"/>
      </w:pPr>
      <w:r>
        <w:t>&lt;I0101&gt;</w:t>
      </w:r>
      <w:r>
        <w:rPr>
          <w:rFonts w:hAnsi="宋体"/>
        </w:rPr>
        <w:t>保险类别</w:t>
      </w:r>
      <w:r>
        <w:t>&lt;/I0101&gt;</w:t>
      </w:r>
    </w:p>
    <w:p w14:paraId="3B89C9ED" w14:textId="77777777" w:rsidR="00A052DC" w:rsidRDefault="009F0A60">
      <w:pPr>
        <w:ind w:firstLine="284"/>
      </w:pPr>
      <w:r>
        <w:t>&lt;I0102&gt;</w:t>
      </w:r>
      <w:r>
        <w:rPr>
          <w:rFonts w:hAnsi="宋体"/>
        </w:rPr>
        <w:t>保单持有人所属国家</w:t>
      </w:r>
      <w:r>
        <w:t>/</w:t>
      </w:r>
      <w:r>
        <w:rPr>
          <w:rFonts w:hAnsi="宋体"/>
        </w:rPr>
        <w:t>地区</w:t>
      </w:r>
      <w:r>
        <w:t>&lt;/I0102&gt;</w:t>
      </w:r>
    </w:p>
    <w:p w14:paraId="301466D6" w14:textId="77777777" w:rsidR="00A052DC" w:rsidRDefault="009F0A60">
      <w:pPr>
        <w:ind w:firstLine="284"/>
      </w:pPr>
      <w:r>
        <w:t>&lt;I0103&gt;</w:t>
      </w:r>
      <w:r>
        <w:rPr>
          <w:rFonts w:hAnsi="宋体"/>
        </w:rPr>
        <w:t>保单持有人所属部门</w:t>
      </w:r>
      <w:r>
        <w:t>&lt;/I0103&gt;</w:t>
      </w:r>
    </w:p>
    <w:p w14:paraId="19B9DC23" w14:textId="77777777" w:rsidR="00A052DC" w:rsidRDefault="009F0A60">
      <w:pPr>
        <w:ind w:firstLine="284"/>
      </w:pPr>
      <w:r>
        <w:t>&lt;I0104&gt;</w:t>
      </w:r>
      <w:r>
        <w:rPr>
          <w:rFonts w:hAnsi="宋体"/>
        </w:rPr>
        <w:t>保单持有人与本机构的关系</w:t>
      </w:r>
      <w:r>
        <w:t>&lt;/I0104&gt;</w:t>
      </w:r>
    </w:p>
    <w:p w14:paraId="0A3EEDA1" w14:textId="77777777" w:rsidR="00A052DC" w:rsidRDefault="009F0A60">
      <w:pPr>
        <w:ind w:firstLine="284"/>
      </w:pPr>
      <w:r>
        <w:t>&lt;I0105&gt;</w:t>
      </w:r>
      <w:r>
        <w:rPr>
          <w:rFonts w:hAnsi="宋体"/>
        </w:rPr>
        <w:t>填表币种</w:t>
      </w:r>
      <w:r>
        <w:t>&lt;/I0105&gt;</w:t>
      </w:r>
    </w:p>
    <w:p w14:paraId="2B2EF4D5" w14:textId="77777777" w:rsidR="00A052DC" w:rsidRDefault="009F0A60">
      <w:pPr>
        <w:ind w:firstLine="284"/>
      </w:pPr>
      <w:r>
        <w:t>&lt;I0106&gt;</w:t>
      </w:r>
      <w:r>
        <w:rPr>
          <w:rFonts w:hAnsi="宋体"/>
        </w:rPr>
        <w:t>本月已赚保费总额</w:t>
      </w:r>
      <w:r>
        <w:t>&lt;/I0106&gt;</w:t>
      </w:r>
    </w:p>
    <w:p w14:paraId="437363D3" w14:textId="77777777" w:rsidR="00A052DC" w:rsidRDefault="009F0A60">
      <w:pPr>
        <w:ind w:firstLine="284"/>
      </w:pPr>
      <w:r>
        <w:t>&lt;I0107&gt;</w:t>
      </w:r>
      <w:r>
        <w:rPr>
          <w:rFonts w:hAnsi="宋体"/>
        </w:rPr>
        <w:t>本月归属于非居民保单持有人的收益（补充保费）</w:t>
      </w:r>
      <w:r>
        <w:t>&lt;/I0107&gt;</w:t>
      </w:r>
    </w:p>
    <w:p w14:paraId="3CC96454" w14:textId="77777777" w:rsidR="00A052DC" w:rsidRDefault="009F0A60">
      <w:pPr>
        <w:ind w:firstLine="284"/>
      </w:pPr>
      <w:r>
        <w:t>&lt;I0108&gt;</w:t>
      </w:r>
      <w:r>
        <w:rPr>
          <w:rFonts w:hAnsi="宋体"/>
        </w:rPr>
        <w:t>本月索赔</w:t>
      </w:r>
      <w:r>
        <w:t>/</w:t>
      </w:r>
      <w:r>
        <w:rPr>
          <w:rFonts w:hAnsi="宋体"/>
        </w:rPr>
        <w:t>福利支出总额</w:t>
      </w:r>
      <w:r>
        <w:t>&lt;/I0108&gt;</w:t>
      </w:r>
    </w:p>
    <w:p w14:paraId="151AB9B8" w14:textId="77777777" w:rsidR="00A052DC" w:rsidRDefault="009F0A60">
      <w:pPr>
        <w:ind w:firstLine="284"/>
      </w:pPr>
      <w:r>
        <w:t>&lt;I0109&gt;</w:t>
      </w:r>
      <w:r>
        <w:rPr>
          <w:rFonts w:hAnsi="宋体"/>
        </w:rPr>
        <w:t>上月末保单责任准备金余额</w:t>
      </w:r>
      <w:r>
        <w:t>&lt;/I0109&gt;</w:t>
      </w:r>
    </w:p>
    <w:p w14:paraId="3D537B18" w14:textId="77777777" w:rsidR="00A052DC" w:rsidRDefault="009F0A60">
      <w:pPr>
        <w:ind w:firstLine="284"/>
      </w:pPr>
      <w:r>
        <w:t>&lt;I0110&gt;</w:t>
      </w:r>
      <w:r>
        <w:rPr>
          <w:rFonts w:hAnsi="宋体"/>
        </w:rPr>
        <w:t>本月末保单责任准备金余额</w:t>
      </w:r>
      <w:r>
        <w:t>&lt;/I0110&gt;</w:t>
      </w:r>
    </w:p>
    <w:p w14:paraId="46A62AD9" w14:textId="77777777" w:rsidR="00A052DC" w:rsidRDefault="009F0A60">
      <w:pPr>
        <w:ind w:firstLine="284"/>
      </w:pPr>
      <w:r>
        <w:t>&lt;I0111&gt;</w:t>
      </w:r>
      <w:r>
        <w:rPr>
          <w:rFonts w:hAnsi="宋体"/>
        </w:rPr>
        <w:t>备注</w:t>
      </w:r>
      <w:r>
        <w:t>&lt;/I0111&gt;</w:t>
      </w:r>
    </w:p>
    <w:p w14:paraId="6FC6AC95" w14:textId="77777777" w:rsidR="00A052DC" w:rsidRDefault="009F0A60">
      <w:pPr>
        <w:ind w:firstLine="284"/>
      </w:pPr>
      <w:r>
        <w:t>&lt;/REC&gt;</w:t>
      </w:r>
    </w:p>
    <w:p w14:paraId="33D7C398" w14:textId="77777777" w:rsidR="00A052DC" w:rsidRDefault="009F0A60" w:rsidP="0020251D">
      <w:pPr>
        <w:pStyle w:val="4"/>
        <w:numPr>
          <w:ilvl w:val="3"/>
          <w:numId w:val="1"/>
        </w:numPr>
        <w:jc w:val="left"/>
      </w:pPr>
      <w:bookmarkStart w:id="3693" w:name="_Toc380571016"/>
      <w:bookmarkStart w:id="3694" w:name="_Toc454391470"/>
      <w:r>
        <w:rPr>
          <w:rFonts w:hint="eastAsia"/>
        </w:rPr>
        <w:t>数据字典</w:t>
      </w:r>
      <w:bookmarkEnd w:id="3693"/>
      <w:bookmarkEnd w:id="369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6"/>
        <w:gridCol w:w="1226"/>
        <w:gridCol w:w="1421"/>
        <w:gridCol w:w="4659"/>
      </w:tblGrid>
      <w:tr w:rsidR="00A052DC" w14:paraId="7AA4A8F8" w14:textId="77777777">
        <w:trPr>
          <w:tblHeader/>
          <w:jc w:val="center"/>
        </w:trPr>
        <w:tc>
          <w:tcPr>
            <w:tcW w:w="0" w:type="auto"/>
            <w:shd w:val="clear" w:color="auto" w:fill="C0C0C0"/>
            <w:noWrap/>
          </w:tcPr>
          <w:p w14:paraId="7777749C" w14:textId="77777777" w:rsidR="00A052DC" w:rsidRDefault="009F0A60">
            <w:pPr>
              <w:pStyle w:val="B1"/>
            </w:pPr>
            <w:r>
              <w:rPr>
                <w:rFonts w:hint="eastAsia"/>
              </w:rPr>
              <w:t>字段</w:t>
            </w:r>
          </w:p>
        </w:tc>
        <w:tc>
          <w:tcPr>
            <w:tcW w:w="0" w:type="auto"/>
            <w:shd w:val="clear" w:color="auto" w:fill="C0C0C0"/>
            <w:noWrap/>
          </w:tcPr>
          <w:p w14:paraId="3CC16F12" w14:textId="77777777" w:rsidR="00A052DC" w:rsidRDefault="009F0A60">
            <w:pPr>
              <w:pStyle w:val="B1"/>
            </w:pPr>
            <w:r>
              <w:rPr>
                <w:rFonts w:hint="eastAsia"/>
              </w:rPr>
              <w:t>内容</w:t>
            </w:r>
          </w:p>
        </w:tc>
        <w:tc>
          <w:tcPr>
            <w:tcW w:w="0" w:type="auto"/>
            <w:shd w:val="clear" w:color="auto" w:fill="C0C0C0"/>
            <w:noWrap/>
          </w:tcPr>
          <w:p w14:paraId="63CEDCAE" w14:textId="77777777" w:rsidR="00A052DC" w:rsidRDefault="009F0A60">
            <w:pPr>
              <w:pStyle w:val="B1"/>
            </w:pPr>
            <w:r>
              <w:rPr>
                <w:rFonts w:hint="eastAsia"/>
              </w:rPr>
              <w:t>类型（长度）</w:t>
            </w:r>
          </w:p>
        </w:tc>
        <w:tc>
          <w:tcPr>
            <w:tcW w:w="0" w:type="auto"/>
            <w:shd w:val="clear" w:color="auto" w:fill="C0C0C0"/>
          </w:tcPr>
          <w:p w14:paraId="11F4E292" w14:textId="77777777" w:rsidR="00A052DC" w:rsidRDefault="009F0A60">
            <w:pPr>
              <w:pStyle w:val="B1"/>
            </w:pPr>
            <w:r>
              <w:rPr>
                <w:rFonts w:hint="eastAsia"/>
              </w:rPr>
              <w:t>校验</w:t>
            </w:r>
          </w:p>
        </w:tc>
      </w:tr>
      <w:tr w:rsidR="00A052DC" w14:paraId="2331C89B" w14:textId="77777777">
        <w:trPr>
          <w:jc w:val="center"/>
        </w:trPr>
        <w:tc>
          <w:tcPr>
            <w:tcW w:w="0" w:type="auto"/>
            <w:noWrap/>
          </w:tcPr>
          <w:p w14:paraId="19F31933" w14:textId="77777777" w:rsidR="00A052DC" w:rsidRDefault="009F0A60">
            <w:pPr>
              <w:pStyle w:val="B"/>
              <w:rPr>
                <w:szCs w:val="20"/>
              </w:rPr>
            </w:pPr>
            <w:r>
              <w:rPr>
                <w:szCs w:val="20"/>
              </w:rPr>
              <w:t>ACTIONTYPE</w:t>
            </w:r>
          </w:p>
        </w:tc>
        <w:tc>
          <w:tcPr>
            <w:tcW w:w="0" w:type="auto"/>
          </w:tcPr>
          <w:p w14:paraId="1E1A6A9C" w14:textId="77777777" w:rsidR="00A052DC" w:rsidRDefault="009F0A60">
            <w:pPr>
              <w:pStyle w:val="B"/>
              <w:rPr>
                <w:szCs w:val="20"/>
              </w:rPr>
            </w:pPr>
            <w:r>
              <w:rPr>
                <w:rFonts w:hint="eastAsia"/>
                <w:szCs w:val="20"/>
              </w:rPr>
              <w:t>操作类型</w:t>
            </w:r>
          </w:p>
        </w:tc>
        <w:tc>
          <w:tcPr>
            <w:tcW w:w="0" w:type="auto"/>
            <w:noWrap/>
          </w:tcPr>
          <w:p w14:paraId="7678952C" w14:textId="77777777" w:rsidR="00A052DC" w:rsidRDefault="009F0A60">
            <w:pPr>
              <w:pStyle w:val="B"/>
              <w:rPr>
                <w:szCs w:val="20"/>
              </w:rPr>
            </w:pPr>
            <w:r>
              <w:rPr>
                <w:rFonts w:hint="eastAsia"/>
                <w:szCs w:val="20"/>
              </w:rPr>
              <w:t>字符型，</w:t>
            </w:r>
            <w:r>
              <w:rPr>
                <w:szCs w:val="20"/>
              </w:rPr>
              <w:t>1</w:t>
            </w:r>
          </w:p>
        </w:tc>
        <w:tc>
          <w:tcPr>
            <w:tcW w:w="0" w:type="auto"/>
          </w:tcPr>
          <w:p w14:paraId="0AFFA329" w14:textId="77777777" w:rsidR="00A052DC" w:rsidRDefault="009F0A60">
            <w:pPr>
              <w:pStyle w:val="B"/>
              <w:rPr>
                <w:szCs w:val="20"/>
              </w:rPr>
            </w:pPr>
            <w:r>
              <w:rPr>
                <w:rFonts w:hint="eastAsia"/>
                <w:szCs w:val="20"/>
              </w:rPr>
              <w:t>必填项</w:t>
            </w:r>
            <w:r w:rsidR="004346E5">
              <w:rPr>
                <w:rFonts w:hint="eastAsia"/>
                <w:szCs w:val="20"/>
              </w:rPr>
              <w:t>。</w:t>
            </w:r>
          </w:p>
          <w:p w14:paraId="0C231E36" w14:textId="77777777" w:rsidR="00A052DC" w:rsidRDefault="009F0A60">
            <w:pPr>
              <w:pStyle w:val="B"/>
              <w:rPr>
                <w:szCs w:val="20"/>
              </w:rPr>
            </w:pPr>
            <w:r>
              <w:rPr>
                <w:szCs w:val="20"/>
              </w:rPr>
              <w:t>A</w:t>
            </w:r>
            <w:r w:rsidR="00AE4602">
              <w:rPr>
                <w:szCs w:val="20"/>
              </w:rPr>
              <w:t>-</w:t>
            </w:r>
            <w:r>
              <w:rPr>
                <w:szCs w:val="20"/>
              </w:rPr>
              <w:t>新建</w:t>
            </w:r>
          </w:p>
          <w:p w14:paraId="3A4AA794" w14:textId="77777777" w:rsidR="00A052DC" w:rsidRDefault="009F0A60">
            <w:pPr>
              <w:pStyle w:val="B"/>
              <w:rPr>
                <w:szCs w:val="20"/>
              </w:rPr>
            </w:pPr>
            <w:r>
              <w:rPr>
                <w:szCs w:val="20"/>
              </w:rPr>
              <w:t>C</w:t>
            </w:r>
            <w:r w:rsidR="00AE4602">
              <w:rPr>
                <w:szCs w:val="20"/>
              </w:rPr>
              <w:t>-</w:t>
            </w:r>
            <w:r>
              <w:rPr>
                <w:szCs w:val="20"/>
              </w:rPr>
              <w:t>修改</w:t>
            </w:r>
          </w:p>
          <w:p w14:paraId="5D0BA7D0" w14:textId="77777777" w:rsidR="00A052DC" w:rsidRDefault="009F0A60">
            <w:pPr>
              <w:pStyle w:val="B"/>
              <w:rPr>
                <w:szCs w:val="20"/>
              </w:rPr>
            </w:pPr>
            <w:r>
              <w:rPr>
                <w:szCs w:val="20"/>
              </w:rPr>
              <w:t>D</w:t>
            </w:r>
            <w:r w:rsidR="00AE4602">
              <w:rPr>
                <w:szCs w:val="20"/>
              </w:rPr>
              <w:t>-</w:t>
            </w:r>
            <w:r>
              <w:rPr>
                <w:szCs w:val="20"/>
              </w:rPr>
              <w:t>删除</w:t>
            </w:r>
          </w:p>
        </w:tc>
      </w:tr>
      <w:tr w:rsidR="00A052DC" w14:paraId="55F05324" w14:textId="77777777">
        <w:trPr>
          <w:jc w:val="center"/>
        </w:trPr>
        <w:tc>
          <w:tcPr>
            <w:tcW w:w="0" w:type="auto"/>
            <w:noWrap/>
          </w:tcPr>
          <w:p w14:paraId="47E9A751" w14:textId="77777777" w:rsidR="00A052DC" w:rsidRDefault="009F0A60">
            <w:pPr>
              <w:pStyle w:val="B"/>
              <w:rPr>
                <w:szCs w:val="20"/>
              </w:rPr>
            </w:pPr>
            <w:r>
              <w:rPr>
                <w:szCs w:val="20"/>
              </w:rPr>
              <w:t>ACTIONDESC</w:t>
            </w:r>
          </w:p>
        </w:tc>
        <w:tc>
          <w:tcPr>
            <w:tcW w:w="0" w:type="auto"/>
          </w:tcPr>
          <w:p w14:paraId="69C4B36D" w14:textId="77777777" w:rsidR="00A052DC" w:rsidRDefault="009F0A60">
            <w:pPr>
              <w:pStyle w:val="B"/>
              <w:rPr>
                <w:szCs w:val="20"/>
              </w:rPr>
            </w:pPr>
            <w:r>
              <w:rPr>
                <w:rFonts w:hint="eastAsia"/>
                <w:szCs w:val="20"/>
              </w:rPr>
              <w:t>删除原因</w:t>
            </w:r>
          </w:p>
        </w:tc>
        <w:tc>
          <w:tcPr>
            <w:tcW w:w="0" w:type="auto"/>
            <w:noWrap/>
          </w:tcPr>
          <w:p w14:paraId="3A24571B" w14:textId="77777777" w:rsidR="00A052DC" w:rsidRDefault="009F0A60">
            <w:pPr>
              <w:pStyle w:val="B"/>
              <w:rPr>
                <w:szCs w:val="20"/>
              </w:rPr>
            </w:pPr>
            <w:r>
              <w:rPr>
                <w:rFonts w:hint="eastAsia"/>
                <w:szCs w:val="20"/>
              </w:rPr>
              <w:t>字符型，</w:t>
            </w:r>
            <w:r>
              <w:rPr>
                <w:szCs w:val="20"/>
              </w:rPr>
              <w:t>128</w:t>
            </w:r>
          </w:p>
        </w:tc>
        <w:tc>
          <w:tcPr>
            <w:tcW w:w="0" w:type="auto"/>
          </w:tcPr>
          <w:p w14:paraId="1F2E7FFA" w14:textId="77777777" w:rsidR="00A052DC" w:rsidRDefault="00DD6AA3">
            <w:pPr>
              <w:pStyle w:val="B"/>
              <w:rPr>
                <w:szCs w:val="20"/>
              </w:rPr>
            </w:pPr>
            <w:r>
              <w:rPr>
                <w:rFonts w:hint="eastAsia"/>
                <w:szCs w:val="20"/>
              </w:rPr>
              <w:t>非必填项，当操作类型（ACTIONTYPE）为删除时必填。</w:t>
            </w:r>
          </w:p>
        </w:tc>
      </w:tr>
      <w:tr w:rsidR="00A052DC" w14:paraId="38B100D4" w14:textId="77777777">
        <w:trPr>
          <w:jc w:val="center"/>
        </w:trPr>
        <w:tc>
          <w:tcPr>
            <w:tcW w:w="0" w:type="auto"/>
            <w:noWrap/>
          </w:tcPr>
          <w:p w14:paraId="7FB26431" w14:textId="77777777" w:rsidR="00A052DC" w:rsidRDefault="009F0A60">
            <w:pPr>
              <w:pStyle w:val="B"/>
              <w:rPr>
                <w:szCs w:val="20"/>
              </w:rPr>
            </w:pPr>
            <w:r>
              <w:rPr>
                <w:szCs w:val="20"/>
              </w:rPr>
              <w:t>SNOCODE</w:t>
            </w:r>
          </w:p>
        </w:tc>
        <w:tc>
          <w:tcPr>
            <w:tcW w:w="0" w:type="auto"/>
          </w:tcPr>
          <w:p w14:paraId="79BA9D04" w14:textId="77777777" w:rsidR="00A052DC" w:rsidRDefault="009F0A60">
            <w:pPr>
              <w:pStyle w:val="B"/>
              <w:rPr>
                <w:szCs w:val="20"/>
              </w:rPr>
            </w:pPr>
            <w:r>
              <w:rPr>
                <w:rFonts w:hint="eastAsia"/>
                <w:szCs w:val="20"/>
              </w:rPr>
              <w:t>数据自编码</w:t>
            </w:r>
          </w:p>
        </w:tc>
        <w:tc>
          <w:tcPr>
            <w:tcW w:w="0" w:type="auto"/>
            <w:noWrap/>
          </w:tcPr>
          <w:p w14:paraId="07268DFB" w14:textId="77777777" w:rsidR="00A052DC" w:rsidRDefault="009F0A60">
            <w:pPr>
              <w:pStyle w:val="B"/>
              <w:rPr>
                <w:szCs w:val="20"/>
              </w:rPr>
            </w:pPr>
            <w:r>
              <w:rPr>
                <w:rFonts w:hint="eastAsia"/>
                <w:szCs w:val="20"/>
              </w:rPr>
              <w:t>字符型，</w:t>
            </w:r>
            <w:r>
              <w:rPr>
                <w:szCs w:val="20"/>
              </w:rPr>
              <w:t>36</w:t>
            </w:r>
          </w:p>
        </w:tc>
        <w:tc>
          <w:tcPr>
            <w:tcW w:w="0" w:type="auto"/>
          </w:tcPr>
          <w:p w14:paraId="6D217C78" w14:textId="77777777" w:rsidR="00A052DC" w:rsidRDefault="009F0A60">
            <w:pPr>
              <w:pStyle w:val="B"/>
              <w:rPr>
                <w:szCs w:val="20"/>
              </w:rPr>
            </w:pPr>
            <w:r>
              <w:rPr>
                <w:rFonts w:hint="eastAsia"/>
                <w:szCs w:val="20"/>
              </w:rPr>
              <w:t>必填项。对于接口报送的填报主体，数据自编码中的报送期（6位）应与报告期（YYYYMM）一致。</w:t>
            </w:r>
          </w:p>
        </w:tc>
      </w:tr>
      <w:tr w:rsidR="00A052DC" w14:paraId="104A3116" w14:textId="77777777">
        <w:trPr>
          <w:jc w:val="center"/>
        </w:trPr>
        <w:tc>
          <w:tcPr>
            <w:tcW w:w="0" w:type="auto"/>
            <w:noWrap/>
          </w:tcPr>
          <w:p w14:paraId="79799AF5" w14:textId="77777777" w:rsidR="00A052DC" w:rsidRDefault="009F0A60">
            <w:pPr>
              <w:pStyle w:val="B"/>
              <w:rPr>
                <w:szCs w:val="20"/>
              </w:rPr>
            </w:pPr>
            <w:r>
              <w:rPr>
                <w:szCs w:val="20"/>
              </w:rPr>
              <w:t>OBJCODE</w:t>
            </w:r>
          </w:p>
        </w:tc>
        <w:tc>
          <w:tcPr>
            <w:tcW w:w="0" w:type="auto"/>
          </w:tcPr>
          <w:p w14:paraId="493A8FF5" w14:textId="77777777" w:rsidR="00A052DC" w:rsidRDefault="009F0A60">
            <w:pPr>
              <w:pStyle w:val="B"/>
              <w:rPr>
                <w:szCs w:val="20"/>
              </w:rPr>
            </w:pPr>
            <w:r>
              <w:rPr>
                <w:rFonts w:hint="eastAsia"/>
                <w:szCs w:val="20"/>
              </w:rPr>
              <w:t>申报主体代码</w:t>
            </w:r>
          </w:p>
        </w:tc>
        <w:tc>
          <w:tcPr>
            <w:tcW w:w="0" w:type="auto"/>
            <w:noWrap/>
          </w:tcPr>
          <w:p w14:paraId="66B173A8" w14:textId="77777777" w:rsidR="00A052DC" w:rsidRDefault="009F0A60">
            <w:pPr>
              <w:pStyle w:val="B"/>
              <w:rPr>
                <w:szCs w:val="20"/>
              </w:rPr>
            </w:pPr>
            <w:r>
              <w:rPr>
                <w:rFonts w:hint="eastAsia"/>
                <w:szCs w:val="20"/>
              </w:rPr>
              <w:t>字符型，</w:t>
            </w:r>
            <w:r>
              <w:rPr>
                <w:szCs w:val="20"/>
              </w:rPr>
              <w:t>18</w:t>
            </w:r>
          </w:p>
        </w:tc>
        <w:tc>
          <w:tcPr>
            <w:tcW w:w="0" w:type="auto"/>
          </w:tcPr>
          <w:p w14:paraId="40AEE313" w14:textId="77777777" w:rsidR="00A052DC" w:rsidRDefault="009F0A60">
            <w:pPr>
              <w:pStyle w:val="B"/>
              <w:widowControl w:val="0"/>
              <w:rPr>
                <w:szCs w:val="20"/>
              </w:rPr>
            </w:pPr>
            <w:r>
              <w:rPr>
                <w:rFonts w:hint="eastAsia"/>
                <w:szCs w:val="20"/>
              </w:rPr>
              <w:t>申报主体的12位金融机构标识码，如果没有金融机构标识码，则填报统一社会信用代码法定载体（如营业执照）上统一社会信用代码中的第9至17位或国家外汇管理局及其分支局签发的特殊机构代码赋码通知书上的机构代码、个人身份代码。</w:t>
            </w:r>
          </w:p>
        </w:tc>
      </w:tr>
      <w:tr w:rsidR="00A052DC" w14:paraId="3CFB7E7A" w14:textId="77777777">
        <w:trPr>
          <w:jc w:val="center"/>
        </w:trPr>
        <w:tc>
          <w:tcPr>
            <w:tcW w:w="0" w:type="auto"/>
            <w:noWrap/>
          </w:tcPr>
          <w:p w14:paraId="0949E306" w14:textId="77777777" w:rsidR="00A052DC" w:rsidRDefault="009F0A60">
            <w:pPr>
              <w:pStyle w:val="B"/>
              <w:widowControl w:val="0"/>
              <w:rPr>
                <w:szCs w:val="20"/>
              </w:rPr>
            </w:pPr>
            <w:r>
              <w:rPr>
                <w:szCs w:val="20"/>
              </w:rPr>
              <w:t>BUOCMONTH</w:t>
            </w:r>
          </w:p>
        </w:tc>
        <w:tc>
          <w:tcPr>
            <w:tcW w:w="0" w:type="auto"/>
          </w:tcPr>
          <w:p w14:paraId="72972256" w14:textId="77777777" w:rsidR="00A052DC" w:rsidRDefault="009F0A60">
            <w:pPr>
              <w:pStyle w:val="B"/>
              <w:widowControl w:val="0"/>
              <w:rPr>
                <w:szCs w:val="20"/>
              </w:rPr>
            </w:pPr>
            <w:r>
              <w:rPr>
                <w:rFonts w:hint="eastAsia"/>
                <w:szCs w:val="20"/>
              </w:rPr>
              <w:t>报告期</w:t>
            </w:r>
          </w:p>
        </w:tc>
        <w:tc>
          <w:tcPr>
            <w:tcW w:w="0" w:type="auto"/>
            <w:noWrap/>
          </w:tcPr>
          <w:p w14:paraId="2B0D302F" w14:textId="77777777" w:rsidR="00A052DC" w:rsidRDefault="009F0A60">
            <w:pPr>
              <w:pStyle w:val="B"/>
              <w:widowControl w:val="0"/>
              <w:rPr>
                <w:szCs w:val="20"/>
              </w:rPr>
            </w:pPr>
            <w:r>
              <w:rPr>
                <w:rFonts w:hint="eastAsia"/>
                <w:szCs w:val="20"/>
              </w:rPr>
              <w:t>数值型，</w:t>
            </w:r>
            <w:r>
              <w:rPr>
                <w:szCs w:val="20"/>
              </w:rPr>
              <w:t>6</w:t>
            </w:r>
          </w:p>
        </w:tc>
        <w:tc>
          <w:tcPr>
            <w:tcW w:w="0" w:type="auto"/>
          </w:tcPr>
          <w:p w14:paraId="33FE4721" w14:textId="77777777" w:rsidR="00A052DC" w:rsidRDefault="009F0A60">
            <w:pPr>
              <w:pStyle w:val="B"/>
              <w:widowControl w:val="0"/>
              <w:rPr>
                <w:szCs w:val="20"/>
              </w:rPr>
            </w:pPr>
            <w:r>
              <w:rPr>
                <w:rFonts w:hint="eastAsia"/>
                <w:szCs w:val="20"/>
              </w:rPr>
              <w:t>必填项，格式为</w:t>
            </w:r>
            <w:r>
              <w:rPr>
                <w:szCs w:val="20"/>
              </w:rPr>
              <w:t>YYYYMM。</w:t>
            </w:r>
          </w:p>
        </w:tc>
      </w:tr>
      <w:tr w:rsidR="00A052DC" w14:paraId="113870CB" w14:textId="77777777">
        <w:trPr>
          <w:jc w:val="center"/>
        </w:trPr>
        <w:tc>
          <w:tcPr>
            <w:tcW w:w="0" w:type="auto"/>
            <w:noWrap/>
          </w:tcPr>
          <w:p w14:paraId="172FDEB9" w14:textId="77777777" w:rsidR="00A052DC" w:rsidRDefault="009F0A60">
            <w:pPr>
              <w:pStyle w:val="B"/>
              <w:widowControl w:val="0"/>
              <w:rPr>
                <w:szCs w:val="20"/>
              </w:rPr>
            </w:pPr>
            <w:r>
              <w:rPr>
                <w:szCs w:val="20"/>
              </w:rPr>
              <w:t>I0101</w:t>
            </w:r>
          </w:p>
        </w:tc>
        <w:tc>
          <w:tcPr>
            <w:tcW w:w="0" w:type="auto"/>
          </w:tcPr>
          <w:p w14:paraId="22800EDD" w14:textId="77777777" w:rsidR="00A052DC" w:rsidRDefault="009F0A60">
            <w:pPr>
              <w:pStyle w:val="B"/>
              <w:widowControl w:val="0"/>
              <w:rPr>
                <w:szCs w:val="20"/>
              </w:rPr>
            </w:pPr>
            <w:r>
              <w:rPr>
                <w:rFonts w:hint="eastAsia"/>
                <w:szCs w:val="20"/>
              </w:rPr>
              <w:t>保险类别</w:t>
            </w:r>
          </w:p>
        </w:tc>
        <w:tc>
          <w:tcPr>
            <w:tcW w:w="0" w:type="auto"/>
            <w:noWrap/>
          </w:tcPr>
          <w:p w14:paraId="25C6FBD8" w14:textId="77777777" w:rsidR="00A052DC" w:rsidRDefault="009F0A60">
            <w:pPr>
              <w:pStyle w:val="B"/>
              <w:widowControl w:val="0"/>
              <w:rPr>
                <w:szCs w:val="20"/>
              </w:rPr>
            </w:pPr>
            <w:r>
              <w:rPr>
                <w:rFonts w:hint="eastAsia"/>
                <w:szCs w:val="20"/>
              </w:rPr>
              <w:t>整数型</w:t>
            </w:r>
          </w:p>
        </w:tc>
        <w:tc>
          <w:tcPr>
            <w:tcW w:w="0" w:type="auto"/>
          </w:tcPr>
          <w:p w14:paraId="5DB852DA" w14:textId="77777777" w:rsidR="00A052DC" w:rsidRDefault="009F0A60">
            <w:pPr>
              <w:pStyle w:val="B"/>
              <w:widowControl w:val="0"/>
              <w:rPr>
                <w:szCs w:val="20"/>
              </w:rPr>
            </w:pPr>
            <w:r>
              <w:rPr>
                <w:rFonts w:hint="eastAsia"/>
                <w:szCs w:val="20"/>
              </w:rPr>
              <w:t>必填项。必须</w:t>
            </w:r>
            <w:r>
              <w:rPr>
                <w:szCs w:val="20"/>
              </w:rPr>
              <w:t>2选1：</w:t>
            </w:r>
          </w:p>
          <w:p w14:paraId="034F56AE" w14:textId="77777777" w:rsidR="00A052DC" w:rsidRDefault="009F0A60">
            <w:pPr>
              <w:rPr>
                <w:rFonts w:ascii="黑体" w:eastAsia="黑体" w:hAnsi="黑体"/>
                <w:sz w:val="20"/>
                <w:szCs w:val="20"/>
              </w:rPr>
            </w:pPr>
            <w:r>
              <w:rPr>
                <w:rFonts w:ascii="黑体" w:eastAsia="黑体" w:hAnsi="黑体"/>
                <w:sz w:val="20"/>
                <w:szCs w:val="20"/>
              </w:rPr>
              <w:t>1-</w:t>
            </w:r>
            <w:r>
              <w:rPr>
                <w:rFonts w:ascii="黑体" w:eastAsia="黑体" w:hAnsi="黑体" w:hint="eastAsia"/>
                <w:sz w:val="20"/>
                <w:szCs w:val="20"/>
              </w:rPr>
              <w:t>人寿保险和年金，包括长期人寿保险、储蓄保险、长期健康险，及年金（即养老金）；</w:t>
            </w:r>
          </w:p>
          <w:p w14:paraId="15BD10C1" w14:textId="77777777" w:rsidR="00A052DC" w:rsidRDefault="009F0A60">
            <w:pPr>
              <w:rPr>
                <w:rFonts w:ascii="黑体" w:eastAsia="黑体" w:hAnsi="黑体"/>
                <w:sz w:val="20"/>
                <w:szCs w:val="20"/>
              </w:rPr>
            </w:pPr>
            <w:r>
              <w:rPr>
                <w:rFonts w:ascii="黑体" w:eastAsia="黑体" w:hAnsi="黑体"/>
                <w:sz w:val="20"/>
                <w:szCs w:val="20"/>
              </w:rPr>
              <w:t>2-</w:t>
            </w:r>
            <w:r>
              <w:rPr>
                <w:rFonts w:ascii="黑体" w:eastAsia="黑体" w:hAnsi="黑体" w:hint="eastAsia"/>
                <w:sz w:val="20"/>
                <w:szCs w:val="20"/>
              </w:rPr>
              <w:t>非人寿保险，即除</w:t>
            </w:r>
            <w:r>
              <w:rPr>
                <w:rFonts w:ascii="黑体" w:eastAsia="黑体" w:hAnsi="黑体"/>
                <w:sz w:val="20"/>
                <w:szCs w:val="20"/>
              </w:rPr>
              <w:t>1以外的其他保险，如短期健康险、财险等。</w:t>
            </w:r>
          </w:p>
        </w:tc>
      </w:tr>
      <w:tr w:rsidR="00A052DC" w14:paraId="69769C95" w14:textId="77777777">
        <w:trPr>
          <w:jc w:val="center"/>
        </w:trPr>
        <w:tc>
          <w:tcPr>
            <w:tcW w:w="0" w:type="auto"/>
            <w:noWrap/>
          </w:tcPr>
          <w:p w14:paraId="3D4BDA76" w14:textId="77777777" w:rsidR="00A052DC" w:rsidRDefault="009F0A60">
            <w:pPr>
              <w:pStyle w:val="B"/>
              <w:widowControl w:val="0"/>
              <w:rPr>
                <w:szCs w:val="20"/>
              </w:rPr>
            </w:pPr>
            <w:r>
              <w:rPr>
                <w:szCs w:val="20"/>
              </w:rPr>
              <w:t>I0102</w:t>
            </w:r>
          </w:p>
        </w:tc>
        <w:tc>
          <w:tcPr>
            <w:tcW w:w="0" w:type="auto"/>
          </w:tcPr>
          <w:p w14:paraId="2208BBFB" w14:textId="77777777" w:rsidR="00A052DC" w:rsidRDefault="009F0A60">
            <w:pPr>
              <w:pStyle w:val="B"/>
              <w:widowControl w:val="0"/>
              <w:rPr>
                <w:szCs w:val="20"/>
              </w:rPr>
            </w:pPr>
            <w:r>
              <w:rPr>
                <w:rFonts w:hint="eastAsia"/>
                <w:szCs w:val="20"/>
              </w:rPr>
              <w:t>保单持有人所属国家</w:t>
            </w:r>
            <w:r>
              <w:rPr>
                <w:szCs w:val="20"/>
              </w:rPr>
              <w:t>/地区</w:t>
            </w:r>
          </w:p>
        </w:tc>
        <w:tc>
          <w:tcPr>
            <w:tcW w:w="0" w:type="auto"/>
            <w:noWrap/>
          </w:tcPr>
          <w:p w14:paraId="4420613A" w14:textId="77777777" w:rsidR="00A052DC" w:rsidRDefault="009F0A60">
            <w:pPr>
              <w:pStyle w:val="B"/>
              <w:widowControl w:val="0"/>
              <w:rPr>
                <w:szCs w:val="20"/>
              </w:rPr>
            </w:pPr>
            <w:r>
              <w:rPr>
                <w:rFonts w:hint="eastAsia"/>
                <w:szCs w:val="20"/>
              </w:rPr>
              <w:t>字符型，</w:t>
            </w:r>
            <w:r>
              <w:rPr>
                <w:szCs w:val="20"/>
              </w:rPr>
              <w:t>3</w:t>
            </w:r>
          </w:p>
        </w:tc>
        <w:tc>
          <w:tcPr>
            <w:tcW w:w="0" w:type="auto"/>
          </w:tcPr>
          <w:p w14:paraId="293ECE21" w14:textId="77777777" w:rsidR="00A052DC" w:rsidRDefault="009F0A60">
            <w:pPr>
              <w:pStyle w:val="B"/>
              <w:widowControl w:val="0"/>
              <w:rPr>
                <w:szCs w:val="20"/>
              </w:rPr>
            </w:pPr>
            <w:r>
              <w:rPr>
                <w:rFonts w:hint="eastAsia"/>
                <w:szCs w:val="20"/>
              </w:rPr>
              <w:t>必填项，见国家和地区代码表的</w:t>
            </w:r>
            <w:r>
              <w:rPr>
                <w:szCs w:val="20"/>
              </w:rPr>
              <w:t>3位字母代码</w:t>
            </w:r>
            <w:r>
              <w:rPr>
                <w:rFonts w:hint="eastAsia"/>
                <w:szCs w:val="20"/>
              </w:rPr>
              <w:t>，</w:t>
            </w:r>
            <w:r>
              <w:rPr>
                <w:szCs w:val="20"/>
              </w:rPr>
              <w:t>必须≠CHN或N/A</w:t>
            </w:r>
            <w:r>
              <w:rPr>
                <w:rFonts w:hint="eastAsia"/>
                <w:szCs w:val="20"/>
              </w:rPr>
              <w:t>。</w:t>
            </w:r>
          </w:p>
        </w:tc>
      </w:tr>
      <w:tr w:rsidR="00A052DC" w14:paraId="252EEAA3" w14:textId="77777777">
        <w:trPr>
          <w:jc w:val="center"/>
        </w:trPr>
        <w:tc>
          <w:tcPr>
            <w:tcW w:w="0" w:type="auto"/>
            <w:noWrap/>
          </w:tcPr>
          <w:p w14:paraId="0661DCBE" w14:textId="77777777" w:rsidR="00A052DC" w:rsidRDefault="009F0A60">
            <w:pPr>
              <w:pStyle w:val="B"/>
              <w:widowControl w:val="0"/>
              <w:rPr>
                <w:szCs w:val="20"/>
              </w:rPr>
            </w:pPr>
            <w:r>
              <w:rPr>
                <w:szCs w:val="20"/>
              </w:rPr>
              <w:t>I0103</w:t>
            </w:r>
          </w:p>
        </w:tc>
        <w:tc>
          <w:tcPr>
            <w:tcW w:w="0" w:type="auto"/>
          </w:tcPr>
          <w:p w14:paraId="735E2BFA" w14:textId="77777777" w:rsidR="00A052DC" w:rsidRDefault="009F0A60">
            <w:pPr>
              <w:pStyle w:val="B"/>
              <w:widowControl w:val="0"/>
              <w:rPr>
                <w:szCs w:val="20"/>
              </w:rPr>
            </w:pPr>
            <w:r>
              <w:rPr>
                <w:rFonts w:hint="eastAsia"/>
                <w:szCs w:val="20"/>
              </w:rPr>
              <w:t>保单持有人所属部门</w:t>
            </w:r>
          </w:p>
        </w:tc>
        <w:tc>
          <w:tcPr>
            <w:tcW w:w="0" w:type="auto"/>
            <w:noWrap/>
          </w:tcPr>
          <w:p w14:paraId="7ECA168B" w14:textId="77777777" w:rsidR="00A052DC" w:rsidRDefault="009F0A60">
            <w:pPr>
              <w:pStyle w:val="B"/>
              <w:widowControl w:val="0"/>
              <w:rPr>
                <w:szCs w:val="20"/>
              </w:rPr>
            </w:pPr>
            <w:r>
              <w:rPr>
                <w:rFonts w:hint="eastAsia"/>
                <w:szCs w:val="20"/>
              </w:rPr>
              <w:t>整数型</w:t>
            </w:r>
          </w:p>
        </w:tc>
        <w:tc>
          <w:tcPr>
            <w:tcW w:w="0" w:type="auto"/>
          </w:tcPr>
          <w:p w14:paraId="29CFD519" w14:textId="77777777" w:rsidR="00A052DC" w:rsidRDefault="009F0A60">
            <w:pPr>
              <w:pStyle w:val="B"/>
              <w:widowControl w:val="0"/>
              <w:rPr>
                <w:szCs w:val="20"/>
              </w:rPr>
            </w:pPr>
            <w:r>
              <w:rPr>
                <w:rFonts w:hint="eastAsia"/>
                <w:szCs w:val="20"/>
              </w:rPr>
              <w:t>必填项，见投资者（被投资者）部门代码表。</w:t>
            </w:r>
          </w:p>
        </w:tc>
      </w:tr>
      <w:tr w:rsidR="00A052DC" w14:paraId="624D5393" w14:textId="77777777">
        <w:trPr>
          <w:jc w:val="center"/>
        </w:trPr>
        <w:tc>
          <w:tcPr>
            <w:tcW w:w="0" w:type="auto"/>
            <w:noWrap/>
          </w:tcPr>
          <w:p w14:paraId="13EC3ECB" w14:textId="77777777" w:rsidR="00A052DC" w:rsidRDefault="009F0A60">
            <w:pPr>
              <w:pStyle w:val="B"/>
              <w:widowControl w:val="0"/>
              <w:rPr>
                <w:szCs w:val="20"/>
              </w:rPr>
            </w:pPr>
            <w:r>
              <w:rPr>
                <w:szCs w:val="20"/>
              </w:rPr>
              <w:t>I0104</w:t>
            </w:r>
          </w:p>
        </w:tc>
        <w:tc>
          <w:tcPr>
            <w:tcW w:w="0" w:type="auto"/>
          </w:tcPr>
          <w:p w14:paraId="6931A179" w14:textId="77777777" w:rsidR="00A052DC" w:rsidRDefault="009F0A60">
            <w:pPr>
              <w:pStyle w:val="B"/>
              <w:widowControl w:val="0"/>
              <w:rPr>
                <w:szCs w:val="20"/>
              </w:rPr>
            </w:pPr>
            <w:r>
              <w:rPr>
                <w:rFonts w:hint="eastAsia"/>
                <w:szCs w:val="20"/>
              </w:rPr>
              <w:t>保单持有人与本机构的关系</w:t>
            </w:r>
          </w:p>
        </w:tc>
        <w:tc>
          <w:tcPr>
            <w:tcW w:w="0" w:type="auto"/>
            <w:noWrap/>
          </w:tcPr>
          <w:p w14:paraId="300C93D9" w14:textId="77777777" w:rsidR="00A052DC" w:rsidRDefault="009F0A60">
            <w:pPr>
              <w:pStyle w:val="B"/>
              <w:widowControl w:val="0"/>
              <w:rPr>
                <w:szCs w:val="20"/>
              </w:rPr>
            </w:pPr>
            <w:r>
              <w:rPr>
                <w:rFonts w:hint="eastAsia"/>
                <w:szCs w:val="20"/>
              </w:rPr>
              <w:t>整数型</w:t>
            </w:r>
          </w:p>
        </w:tc>
        <w:tc>
          <w:tcPr>
            <w:tcW w:w="0" w:type="auto"/>
          </w:tcPr>
          <w:p w14:paraId="6D90AD18" w14:textId="77777777" w:rsidR="00A052DC" w:rsidRDefault="009F0A60">
            <w:pPr>
              <w:pStyle w:val="B"/>
              <w:widowControl w:val="0"/>
              <w:rPr>
                <w:szCs w:val="20"/>
              </w:rPr>
            </w:pPr>
            <w:r>
              <w:rPr>
                <w:rFonts w:hint="eastAsia"/>
                <w:szCs w:val="20"/>
              </w:rPr>
              <w:t>必填项，见对方与本机构</w:t>
            </w:r>
            <w:r>
              <w:rPr>
                <w:szCs w:val="20"/>
              </w:rPr>
              <w:t>/被代理居民机构/委托人的关系代码表。</w:t>
            </w:r>
          </w:p>
        </w:tc>
      </w:tr>
      <w:tr w:rsidR="00A052DC" w14:paraId="1C99921F" w14:textId="77777777">
        <w:trPr>
          <w:jc w:val="center"/>
        </w:trPr>
        <w:tc>
          <w:tcPr>
            <w:tcW w:w="0" w:type="auto"/>
            <w:noWrap/>
          </w:tcPr>
          <w:p w14:paraId="4B8C10EF" w14:textId="77777777" w:rsidR="00A052DC" w:rsidRDefault="009F0A60">
            <w:pPr>
              <w:pStyle w:val="B"/>
              <w:widowControl w:val="0"/>
              <w:rPr>
                <w:szCs w:val="20"/>
              </w:rPr>
            </w:pPr>
            <w:r>
              <w:rPr>
                <w:szCs w:val="20"/>
              </w:rPr>
              <w:t>I0105</w:t>
            </w:r>
          </w:p>
        </w:tc>
        <w:tc>
          <w:tcPr>
            <w:tcW w:w="0" w:type="auto"/>
          </w:tcPr>
          <w:p w14:paraId="57727531" w14:textId="77777777" w:rsidR="00A052DC" w:rsidRDefault="009F0A60">
            <w:pPr>
              <w:pStyle w:val="B"/>
              <w:widowControl w:val="0"/>
              <w:rPr>
                <w:szCs w:val="20"/>
              </w:rPr>
            </w:pPr>
            <w:r>
              <w:rPr>
                <w:rFonts w:hint="eastAsia"/>
                <w:szCs w:val="20"/>
              </w:rPr>
              <w:t>填表币种</w:t>
            </w:r>
          </w:p>
        </w:tc>
        <w:tc>
          <w:tcPr>
            <w:tcW w:w="0" w:type="auto"/>
            <w:noWrap/>
          </w:tcPr>
          <w:p w14:paraId="5D06C6DE" w14:textId="77777777" w:rsidR="00A052DC" w:rsidRDefault="009F0A60">
            <w:pPr>
              <w:pStyle w:val="B"/>
              <w:widowControl w:val="0"/>
              <w:rPr>
                <w:szCs w:val="20"/>
              </w:rPr>
            </w:pPr>
            <w:r>
              <w:rPr>
                <w:rFonts w:hint="eastAsia"/>
                <w:szCs w:val="20"/>
              </w:rPr>
              <w:t>字符型，</w:t>
            </w:r>
            <w:r>
              <w:rPr>
                <w:szCs w:val="20"/>
              </w:rPr>
              <w:t>3</w:t>
            </w:r>
          </w:p>
        </w:tc>
        <w:tc>
          <w:tcPr>
            <w:tcW w:w="0" w:type="auto"/>
          </w:tcPr>
          <w:p w14:paraId="68082C54" w14:textId="77777777" w:rsidR="00A052DC" w:rsidRDefault="009F0A60">
            <w:pPr>
              <w:pStyle w:val="B"/>
              <w:widowControl w:val="0"/>
              <w:rPr>
                <w:szCs w:val="20"/>
              </w:rPr>
            </w:pPr>
            <w:r>
              <w:rPr>
                <w:rFonts w:hint="eastAsia"/>
                <w:szCs w:val="20"/>
              </w:rPr>
              <w:t>必填项，见币种代码表。</w:t>
            </w:r>
          </w:p>
        </w:tc>
      </w:tr>
      <w:tr w:rsidR="00A052DC" w14:paraId="4D25D219" w14:textId="77777777">
        <w:trPr>
          <w:jc w:val="center"/>
        </w:trPr>
        <w:tc>
          <w:tcPr>
            <w:tcW w:w="0" w:type="auto"/>
            <w:noWrap/>
          </w:tcPr>
          <w:p w14:paraId="4A876F8D" w14:textId="77777777" w:rsidR="00A052DC" w:rsidRDefault="009F0A60">
            <w:pPr>
              <w:pStyle w:val="B"/>
              <w:widowControl w:val="0"/>
              <w:rPr>
                <w:szCs w:val="20"/>
              </w:rPr>
            </w:pPr>
            <w:r>
              <w:rPr>
                <w:szCs w:val="20"/>
              </w:rPr>
              <w:t>I0106</w:t>
            </w:r>
          </w:p>
        </w:tc>
        <w:tc>
          <w:tcPr>
            <w:tcW w:w="0" w:type="auto"/>
          </w:tcPr>
          <w:p w14:paraId="48CF4838" w14:textId="77777777" w:rsidR="00A052DC" w:rsidRDefault="009F0A60">
            <w:pPr>
              <w:pStyle w:val="B"/>
              <w:widowControl w:val="0"/>
              <w:rPr>
                <w:szCs w:val="20"/>
              </w:rPr>
            </w:pPr>
            <w:r>
              <w:rPr>
                <w:rFonts w:hint="eastAsia"/>
                <w:szCs w:val="20"/>
              </w:rPr>
              <w:t>本月已赚保费总额</w:t>
            </w:r>
          </w:p>
        </w:tc>
        <w:tc>
          <w:tcPr>
            <w:tcW w:w="0" w:type="auto"/>
            <w:noWrap/>
          </w:tcPr>
          <w:p w14:paraId="53125792" w14:textId="77777777" w:rsidR="00A052DC" w:rsidRDefault="009F0A60">
            <w:pPr>
              <w:pStyle w:val="B"/>
              <w:widowControl w:val="0"/>
              <w:rPr>
                <w:szCs w:val="20"/>
              </w:rPr>
            </w:pPr>
            <w:r>
              <w:rPr>
                <w:rFonts w:hint="eastAsia"/>
                <w:szCs w:val="20"/>
              </w:rPr>
              <w:t>数值型，</w:t>
            </w:r>
            <w:r>
              <w:rPr>
                <w:szCs w:val="20"/>
              </w:rPr>
              <w:t>22.2</w:t>
            </w:r>
          </w:p>
        </w:tc>
        <w:tc>
          <w:tcPr>
            <w:tcW w:w="0" w:type="auto"/>
          </w:tcPr>
          <w:p w14:paraId="01B663F8" w14:textId="77777777" w:rsidR="00A052DC" w:rsidRDefault="009F0A60">
            <w:pPr>
              <w:pStyle w:val="B"/>
              <w:widowControl w:val="0"/>
              <w:rPr>
                <w:szCs w:val="20"/>
              </w:rPr>
            </w:pPr>
            <w:r>
              <w:rPr>
                <w:rFonts w:hint="eastAsia"/>
                <w:szCs w:val="20"/>
              </w:rPr>
              <w:t>必填项。</w:t>
            </w:r>
          </w:p>
        </w:tc>
      </w:tr>
      <w:tr w:rsidR="00A052DC" w14:paraId="3E0E8682" w14:textId="77777777">
        <w:trPr>
          <w:jc w:val="center"/>
        </w:trPr>
        <w:tc>
          <w:tcPr>
            <w:tcW w:w="0" w:type="auto"/>
            <w:noWrap/>
          </w:tcPr>
          <w:p w14:paraId="3EF9DAFB" w14:textId="77777777" w:rsidR="00A052DC" w:rsidRDefault="009F0A60">
            <w:pPr>
              <w:pStyle w:val="B"/>
              <w:widowControl w:val="0"/>
              <w:rPr>
                <w:szCs w:val="20"/>
              </w:rPr>
            </w:pPr>
            <w:r>
              <w:rPr>
                <w:szCs w:val="20"/>
              </w:rPr>
              <w:t>I0107</w:t>
            </w:r>
          </w:p>
        </w:tc>
        <w:tc>
          <w:tcPr>
            <w:tcW w:w="0" w:type="auto"/>
          </w:tcPr>
          <w:p w14:paraId="1252AE1F" w14:textId="77777777" w:rsidR="00A052DC" w:rsidRDefault="009F0A60">
            <w:pPr>
              <w:pStyle w:val="B"/>
              <w:widowControl w:val="0"/>
              <w:rPr>
                <w:szCs w:val="20"/>
              </w:rPr>
            </w:pPr>
            <w:r>
              <w:rPr>
                <w:rFonts w:hint="eastAsia"/>
                <w:szCs w:val="20"/>
              </w:rPr>
              <w:t>本月归属于非居民保单持有人的收益（补充保费）</w:t>
            </w:r>
          </w:p>
        </w:tc>
        <w:tc>
          <w:tcPr>
            <w:tcW w:w="0" w:type="auto"/>
            <w:noWrap/>
          </w:tcPr>
          <w:p w14:paraId="08EE9410" w14:textId="77777777" w:rsidR="00A052DC" w:rsidRDefault="009F0A60">
            <w:pPr>
              <w:pStyle w:val="B"/>
              <w:widowControl w:val="0"/>
              <w:rPr>
                <w:szCs w:val="20"/>
              </w:rPr>
            </w:pPr>
            <w:r>
              <w:rPr>
                <w:rFonts w:hint="eastAsia"/>
                <w:szCs w:val="20"/>
              </w:rPr>
              <w:t>数值型，</w:t>
            </w:r>
            <w:r>
              <w:rPr>
                <w:szCs w:val="20"/>
              </w:rPr>
              <w:t>22.2</w:t>
            </w:r>
          </w:p>
        </w:tc>
        <w:tc>
          <w:tcPr>
            <w:tcW w:w="0" w:type="auto"/>
          </w:tcPr>
          <w:p w14:paraId="43B2D126" w14:textId="77777777" w:rsidR="00A052DC" w:rsidRDefault="009F0A60">
            <w:pPr>
              <w:pStyle w:val="B"/>
              <w:widowControl w:val="0"/>
              <w:rPr>
                <w:szCs w:val="20"/>
              </w:rPr>
            </w:pPr>
            <w:r>
              <w:rPr>
                <w:rFonts w:hint="eastAsia"/>
                <w:szCs w:val="20"/>
              </w:rPr>
              <w:t>必填项。</w:t>
            </w:r>
          </w:p>
        </w:tc>
      </w:tr>
      <w:tr w:rsidR="00A052DC" w14:paraId="28672B74" w14:textId="77777777">
        <w:trPr>
          <w:jc w:val="center"/>
        </w:trPr>
        <w:tc>
          <w:tcPr>
            <w:tcW w:w="0" w:type="auto"/>
            <w:noWrap/>
          </w:tcPr>
          <w:p w14:paraId="4E4AEBB0" w14:textId="77777777" w:rsidR="00A052DC" w:rsidRDefault="009F0A60">
            <w:pPr>
              <w:pStyle w:val="B"/>
              <w:widowControl w:val="0"/>
              <w:rPr>
                <w:szCs w:val="20"/>
              </w:rPr>
            </w:pPr>
            <w:r>
              <w:rPr>
                <w:szCs w:val="20"/>
              </w:rPr>
              <w:t>I0108</w:t>
            </w:r>
          </w:p>
        </w:tc>
        <w:tc>
          <w:tcPr>
            <w:tcW w:w="0" w:type="auto"/>
          </w:tcPr>
          <w:p w14:paraId="2B409D33" w14:textId="77777777" w:rsidR="00A052DC" w:rsidRDefault="009F0A60">
            <w:pPr>
              <w:pStyle w:val="B"/>
              <w:widowControl w:val="0"/>
              <w:rPr>
                <w:szCs w:val="20"/>
              </w:rPr>
            </w:pPr>
            <w:r>
              <w:rPr>
                <w:rFonts w:hint="eastAsia"/>
                <w:szCs w:val="20"/>
              </w:rPr>
              <w:t>本月索赔</w:t>
            </w:r>
            <w:r>
              <w:rPr>
                <w:szCs w:val="20"/>
              </w:rPr>
              <w:t>/福利</w:t>
            </w:r>
            <w:r>
              <w:rPr>
                <w:rFonts w:hint="eastAsia"/>
                <w:szCs w:val="20"/>
              </w:rPr>
              <w:t>支出</w:t>
            </w:r>
            <w:r>
              <w:rPr>
                <w:szCs w:val="20"/>
              </w:rPr>
              <w:t>总额</w:t>
            </w:r>
          </w:p>
        </w:tc>
        <w:tc>
          <w:tcPr>
            <w:tcW w:w="0" w:type="auto"/>
            <w:noWrap/>
          </w:tcPr>
          <w:p w14:paraId="68DB7455" w14:textId="77777777" w:rsidR="00A052DC" w:rsidRDefault="009F0A60">
            <w:pPr>
              <w:pStyle w:val="B"/>
              <w:widowControl w:val="0"/>
              <w:rPr>
                <w:szCs w:val="20"/>
              </w:rPr>
            </w:pPr>
            <w:r>
              <w:rPr>
                <w:rFonts w:hint="eastAsia"/>
                <w:szCs w:val="20"/>
              </w:rPr>
              <w:t>数值型，</w:t>
            </w:r>
            <w:r>
              <w:rPr>
                <w:szCs w:val="20"/>
              </w:rPr>
              <w:t>22.2</w:t>
            </w:r>
          </w:p>
        </w:tc>
        <w:tc>
          <w:tcPr>
            <w:tcW w:w="0" w:type="auto"/>
          </w:tcPr>
          <w:p w14:paraId="460AD3AB" w14:textId="77777777" w:rsidR="00A052DC" w:rsidRDefault="009F0A60">
            <w:pPr>
              <w:pStyle w:val="B"/>
              <w:widowControl w:val="0"/>
              <w:rPr>
                <w:szCs w:val="20"/>
              </w:rPr>
            </w:pPr>
            <w:r>
              <w:rPr>
                <w:rFonts w:hint="eastAsia"/>
                <w:szCs w:val="20"/>
              </w:rPr>
              <w:t>必填项。</w:t>
            </w:r>
          </w:p>
        </w:tc>
      </w:tr>
      <w:tr w:rsidR="00A052DC" w14:paraId="762AB7A5" w14:textId="77777777">
        <w:trPr>
          <w:jc w:val="center"/>
        </w:trPr>
        <w:tc>
          <w:tcPr>
            <w:tcW w:w="0" w:type="auto"/>
            <w:noWrap/>
          </w:tcPr>
          <w:p w14:paraId="18FABCF0" w14:textId="77777777" w:rsidR="00A052DC" w:rsidRDefault="009F0A60">
            <w:pPr>
              <w:pStyle w:val="B"/>
              <w:widowControl w:val="0"/>
              <w:rPr>
                <w:szCs w:val="20"/>
              </w:rPr>
            </w:pPr>
            <w:r>
              <w:rPr>
                <w:szCs w:val="20"/>
              </w:rPr>
              <w:t>I0109</w:t>
            </w:r>
          </w:p>
        </w:tc>
        <w:tc>
          <w:tcPr>
            <w:tcW w:w="0" w:type="auto"/>
          </w:tcPr>
          <w:p w14:paraId="662EF4B7" w14:textId="77777777" w:rsidR="00A052DC" w:rsidRDefault="009F0A60">
            <w:pPr>
              <w:pStyle w:val="B"/>
              <w:widowControl w:val="0"/>
              <w:rPr>
                <w:szCs w:val="20"/>
              </w:rPr>
            </w:pPr>
            <w:r>
              <w:rPr>
                <w:rFonts w:hint="eastAsia"/>
                <w:szCs w:val="20"/>
              </w:rPr>
              <w:t>上月末保单责任准备金余额</w:t>
            </w:r>
          </w:p>
        </w:tc>
        <w:tc>
          <w:tcPr>
            <w:tcW w:w="0" w:type="auto"/>
            <w:noWrap/>
          </w:tcPr>
          <w:p w14:paraId="326EECCB" w14:textId="77777777" w:rsidR="00A052DC" w:rsidRDefault="009F0A60">
            <w:pPr>
              <w:pStyle w:val="B"/>
              <w:widowControl w:val="0"/>
              <w:rPr>
                <w:szCs w:val="20"/>
              </w:rPr>
            </w:pPr>
            <w:r>
              <w:rPr>
                <w:rFonts w:hint="eastAsia"/>
                <w:szCs w:val="20"/>
              </w:rPr>
              <w:t>数值型，</w:t>
            </w:r>
            <w:r>
              <w:rPr>
                <w:szCs w:val="20"/>
              </w:rPr>
              <w:t>22.2</w:t>
            </w:r>
          </w:p>
        </w:tc>
        <w:tc>
          <w:tcPr>
            <w:tcW w:w="0" w:type="auto"/>
          </w:tcPr>
          <w:p w14:paraId="647EF931" w14:textId="77777777" w:rsidR="00A052DC" w:rsidRDefault="009F0A60">
            <w:pPr>
              <w:pStyle w:val="B"/>
              <w:widowControl w:val="0"/>
              <w:rPr>
                <w:szCs w:val="20"/>
              </w:rPr>
            </w:pPr>
            <w:r>
              <w:rPr>
                <w:rFonts w:hint="eastAsia"/>
                <w:szCs w:val="20"/>
              </w:rPr>
              <w:t>必填项。</w:t>
            </w:r>
          </w:p>
        </w:tc>
      </w:tr>
      <w:tr w:rsidR="00A052DC" w14:paraId="32AA4EE0" w14:textId="77777777">
        <w:trPr>
          <w:jc w:val="center"/>
        </w:trPr>
        <w:tc>
          <w:tcPr>
            <w:tcW w:w="0" w:type="auto"/>
            <w:noWrap/>
          </w:tcPr>
          <w:p w14:paraId="5FD435E4" w14:textId="77777777" w:rsidR="00A052DC" w:rsidRDefault="009F0A60">
            <w:pPr>
              <w:pStyle w:val="B"/>
              <w:widowControl w:val="0"/>
              <w:rPr>
                <w:szCs w:val="20"/>
              </w:rPr>
            </w:pPr>
            <w:r>
              <w:rPr>
                <w:szCs w:val="20"/>
              </w:rPr>
              <w:t>I0110</w:t>
            </w:r>
          </w:p>
        </w:tc>
        <w:tc>
          <w:tcPr>
            <w:tcW w:w="0" w:type="auto"/>
          </w:tcPr>
          <w:p w14:paraId="6B245CE5" w14:textId="77777777" w:rsidR="00A052DC" w:rsidRDefault="009F0A60">
            <w:pPr>
              <w:pStyle w:val="B"/>
              <w:widowControl w:val="0"/>
              <w:rPr>
                <w:szCs w:val="20"/>
              </w:rPr>
            </w:pPr>
            <w:r>
              <w:rPr>
                <w:rFonts w:hint="eastAsia"/>
                <w:szCs w:val="20"/>
              </w:rPr>
              <w:t>本月末保单责任准备金余额</w:t>
            </w:r>
          </w:p>
        </w:tc>
        <w:tc>
          <w:tcPr>
            <w:tcW w:w="0" w:type="auto"/>
            <w:noWrap/>
          </w:tcPr>
          <w:p w14:paraId="6D0C9AB3" w14:textId="77777777" w:rsidR="00A052DC" w:rsidRDefault="009F0A60">
            <w:pPr>
              <w:pStyle w:val="B"/>
              <w:widowControl w:val="0"/>
              <w:rPr>
                <w:szCs w:val="20"/>
              </w:rPr>
            </w:pPr>
            <w:r>
              <w:rPr>
                <w:rFonts w:hint="eastAsia"/>
                <w:szCs w:val="20"/>
              </w:rPr>
              <w:t>数值型，</w:t>
            </w:r>
            <w:r>
              <w:rPr>
                <w:szCs w:val="20"/>
              </w:rPr>
              <w:t>22.2</w:t>
            </w:r>
          </w:p>
        </w:tc>
        <w:tc>
          <w:tcPr>
            <w:tcW w:w="0" w:type="auto"/>
          </w:tcPr>
          <w:p w14:paraId="1797B93E" w14:textId="77777777" w:rsidR="00A052DC" w:rsidRDefault="009F0A60">
            <w:pPr>
              <w:pStyle w:val="B"/>
              <w:widowControl w:val="0"/>
              <w:rPr>
                <w:szCs w:val="20"/>
              </w:rPr>
            </w:pPr>
            <w:r>
              <w:rPr>
                <w:rFonts w:hint="eastAsia"/>
                <w:szCs w:val="20"/>
              </w:rPr>
              <w:t>必填项。</w:t>
            </w:r>
          </w:p>
        </w:tc>
      </w:tr>
      <w:tr w:rsidR="00A052DC" w14:paraId="20FA6534" w14:textId="77777777">
        <w:trPr>
          <w:jc w:val="center"/>
        </w:trPr>
        <w:tc>
          <w:tcPr>
            <w:tcW w:w="0" w:type="auto"/>
            <w:noWrap/>
          </w:tcPr>
          <w:p w14:paraId="4AA0A890" w14:textId="77777777" w:rsidR="00A052DC" w:rsidRDefault="009F0A60">
            <w:pPr>
              <w:pStyle w:val="B"/>
              <w:widowControl w:val="0"/>
              <w:rPr>
                <w:szCs w:val="20"/>
              </w:rPr>
            </w:pPr>
            <w:r>
              <w:rPr>
                <w:szCs w:val="20"/>
              </w:rPr>
              <w:t>I0111</w:t>
            </w:r>
          </w:p>
        </w:tc>
        <w:tc>
          <w:tcPr>
            <w:tcW w:w="0" w:type="auto"/>
          </w:tcPr>
          <w:p w14:paraId="106F7734" w14:textId="77777777" w:rsidR="00A052DC" w:rsidRDefault="009F0A60">
            <w:pPr>
              <w:pStyle w:val="B"/>
              <w:widowControl w:val="0"/>
              <w:rPr>
                <w:szCs w:val="20"/>
              </w:rPr>
            </w:pPr>
            <w:r>
              <w:rPr>
                <w:rFonts w:hint="eastAsia"/>
                <w:szCs w:val="20"/>
              </w:rPr>
              <w:t>备注</w:t>
            </w:r>
          </w:p>
        </w:tc>
        <w:tc>
          <w:tcPr>
            <w:tcW w:w="0" w:type="auto"/>
            <w:noWrap/>
          </w:tcPr>
          <w:p w14:paraId="1F3CC608" w14:textId="77777777" w:rsidR="00A052DC" w:rsidRDefault="009F0A60">
            <w:pPr>
              <w:pStyle w:val="B"/>
              <w:widowControl w:val="0"/>
              <w:rPr>
                <w:szCs w:val="20"/>
              </w:rPr>
            </w:pPr>
            <w:r>
              <w:rPr>
                <w:rFonts w:hint="eastAsia"/>
                <w:szCs w:val="20"/>
              </w:rPr>
              <w:t>字符型，</w:t>
            </w:r>
            <w:r>
              <w:rPr>
                <w:szCs w:val="20"/>
              </w:rPr>
              <w:t>512</w:t>
            </w:r>
          </w:p>
        </w:tc>
        <w:tc>
          <w:tcPr>
            <w:tcW w:w="0" w:type="auto"/>
          </w:tcPr>
          <w:p w14:paraId="7985E6F6" w14:textId="77777777" w:rsidR="00A052DC" w:rsidRDefault="009F0A60">
            <w:pPr>
              <w:pStyle w:val="B"/>
              <w:widowControl w:val="0"/>
              <w:rPr>
                <w:szCs w:val="20"/>
              </w:rPr>
            </w:pPr>
            <w:r>
              <w:rPr>
                <w:rFonts w:hint="eastAsia"/>
                <w:szCs w:val="20"/>
              </w:rPr>
              <w:t>当I0106-I0110</w:t>
            </w:r>
            <w:r>
              <w:rPr>
                <w:szCs w:val="20"/>
              </w:rPr>
              <w:t>各项中任何一项为负数时为</w:t>
            </w:r>
            <w:r>
              <w:rPr>
                <w:rFonts w:hint="eastAsia"/>
                <w:szCs w:val="20"/>
              </w:rPr>
              <w:t>必填项。</w:t>
            </w:r>
          </w:p>
        </w:tc>
      </w:tr>
    </w:tbl>
    <w:p w14:paraId="41093CDB" w14:textId="77777777" w:rsidR="00A052DC" w:rsidRDefault="00A052DC"/>
    <w:p w14:paraId="1A70638B" w14:textId="77777777" w:rsidR="00A052DC" w:rsidRDefault="009F0A60" w:rsidP="0020251D">
      <w:pPr>
        <w:pStyle w:val="3"/>
        <w:ind w:left="0"/>
        <w:rPr>
          <w:rFonts w:ascii="Times New Roman" w:hAnsi="Times New Roman"/>
        </w:rPr>
      </w:pPr>
      <w:bookmarkStart w:id="3695" w:name="_Toc380356307"/>
      <w:bookmarkStart w:id="3696" w:name="_Toc454391471"/>
      <w:bookmarkStart w:id="3697" w:name="_Toc380571017"/>
      <w:bookmarkStart w:id="3698" w:name="_Toc91455338"/>
      <w:bookmarkStart w:id="3699" w:name="_Toc101684511"/>
      <w:r>
        <w:rPr>
          <w:rFonts w:ascii="Times New Roman" w:hAnsi="Times New Roman"/>
        </w:rPr>
        <w:t>I02</w:t>
      </w:r>
      <w:r>
        <w:rPr>
          <w:rFonts w:ascii="Times New Roman" w:hAnsi="Times New Roman" w:hint="eastAsia"/>
        </w:rPr>
        <w:t>表：</w:t>
      </w:r>
      <w:bookmarkStart w:id="3700" w:name="_Toc372634080"/>
      <w:r>
        <w:rPr>
          <w:rFonts w:ascii="Times New Roman" w:hAnsi="Times New Roman" w:hint="eastAsia"/>
        </w:rPr>
        <w:t>为非居民提供再保险服务（分入保险）</w:t>
      </w:r>
      <w:bookmarkEnd w:id="3695"/>
      <w:bookmarkEnd w:id="3696"/>
      <w:bookmarkEnd w:id="3697"/>
      <w:bookmarkEnd w:id="3698"/>
      <w:bookmarkEnd w:id="3699"/>
      <w:bookmarkEnd w:id="3700"/>
    </w:p>
    <w:p w14:paraId="64A797FF" w14:textId="77777777" w:rsidR="00A052DC" w:rsidRDefault="009F0A60" w:rsidP="0020251D">
      <w:pPr>
        <w:pStyle w:val="4"/>
        <w:numPr>
          <w:ilvl w:val="3"/>
          <w:numId w:val="1"/>
        </w:numPr>
        <w:jc w:val="left"/>
      </w:pPr>
      <w:bookmarkStart w:id="3701" w:name="_Toc380571018"/>
      <w:bookmarkStart w:id="3702" w:name="_Toc454391472"/>
      <w:r>
        <w:rPr>
          <w:rFonts w:hint="eastAsia"/>
        </w:rPr>
        <w:t>数据术语解释</w:t>
      </w:r>
      <w:bookmarkEnd w:id="3701"/>
      <w:bookmarkEnd w:id="3702"/>
    </w:p>
    <w:p w14:paraId="0C7EFCF0" w14:textId="77777777" w:rsidR="00A052DC" w:rsidRDefault="00A052DC">
      <w:pPr>
        <w:spacing w:line="240" w:lineRule="exact"/>
        <w:rPr>
          <w:sz w:val="18"/>
        </w:rPr>
      </w:pPr>
    </w:p>
    <w:tbl>
      <w:tblPr>
        <w:tblW w:w="8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6442"/>
      </w:tblGrid>
      <w:tr w:rsidR="00A052DC" w14:paraId="0AA22462" w14:textId="77777777">
        <w:trPr>
          <w:cantSplit/>
          <w:jc w:val="center"/>
        </w:trPr>
        <w:tc>
          <w:tcPr>
            <w:tcW w:w="1587" w:type="dxa"/>
            <w:noWrap/>
          </w:tcPr>
          <w:p w14:paraId="7EBA3ADB" w14:textId="77777777" w:rsidR="00A052DC" w:rsidRDefault="009F0A60">
            <w:pPr>
              <w:pStyle w:val="B1"/>
            </w:pPr>
            <w:r>
              <w:rPr>
                <w:rFonts w:hint="eastAsia"/>
              </w:rPr>
              <w:t>基础数据项</w:t>
            </w:r>
          </w:p>
        </w:tc>
        <w:tc>
          <w:tcPr>
            <w:tcW w:w="6442" w:type="dxa"/>
            <w:noWrap/>
          </w:tcPr>
          <w:p w14:paraId="4970E230" w14:textId="77777777" w:rsidR="00A052DC" w:rsidRDefault="009F0A60">
            <w:pPr>
              <w:pStyle w:val="B1"/>
            </w:pPr>
            <w:r>
              <w:rPr>
                <w:rFonts w:hint="eastAsia"/>
              </w:rPr>
              <w:t>定义</w:t>
            </w:r>
          </w:p>
        </w:tc>
      </w:tr>
      <w:tr w:rsidR="00A052DC" w14:paraId="1E68AB8E" w14:textId="77777777">
        <w:trPr>
          <w:cantSplit/>
          <w:jc w:val="center"/>
        </w:trPr>
        <w:tc>
          <w:tcPr>
            <w:tcW w:w="1587" w:type="dxa"/>
          </w:tcPr>
          <w:p w14:paraId="095A6805" w14:textId="77777777" w:rsidR="00A052DC" w:rsidRDefault="009F0A60">
            <w:pPr>
              <w:pStyle w:val="B"/>
              <w:rPr>
                <w:szCs w:val="20"/>
              </w:rPr>
            </w:pPr>
            <w:r>
              <w:rPr>
                <w:rFonts w:hint="eastAsia"/>
                <w:szCs w:val="20"/>
              </w:rPr>
              <w:t>数据自编码</w:t>
            </w:r>
          </w:p>
        </w:tc>
        <w:tc>
          <w:tcPr>
            <w:tcW w:w="6442" w:type="dxa"/>
            <w:noWrap/>
          </w:tcPr>
          <w:p w14:paraId="6C5545EE" w14:textId="77777777" w:rsidR="00A052DC" w:rsidRDefault="009F0A60">
            <w:pPr>
              <w:pStyle w:val="B"/>
              <w:rPr>
                <w:szCs w:val="20"/>
              </w:rPr>
            </w:pPr>
            <w:r>
              <w:rPr>
                <w:rFonts w:hint="eastAsia"/>
                <w:szCs w:val="20"/>
              </w:rPr>
              <w:t>该编码用于标识金融机构报送的每一条数据，按给定规则编码，便于进行增删改查等操作。建议规则：机构代码（18位，不足18位补</w:t>
            </w:r>
            <w:r>
              <w:rPr>
                <w:szCs w:val="20"/>
              </w:rPr>
              <w:t>a</w:t>
            </w:r>
            <w:r>
              <w:rPr>
                <w:rFonts w:hint="eastAsia"/>
                <w:szCs w:val="20"/>
              </w:rPr>
              <w:t>）</w:t>
            </w:r>
            <w:r>
              <w:rPr>
                <w:szCs w:val="20"/>
              </w:rPr>
              <w:t>+</w:t>
            </w:r>
            <w:r>
              <w:rPr>
                <w:rFonts w:hint="eastAsia"/>
                <w:szCs w:val="20"/>
              </w:rPr>
              <w:t>报表代码（</w:t>
            </w:r>
            <w:r>
              <w:rPr>
                <w:szCs w:val="20"/>
              </w:rPr>
              <w:t>5</w:t>
            </w:r>
            <w:r>
              <w:rPr>
                <w:rFonts w:hint="eastAsia"/>
                <w:szCs w:val="20"/>
              </w:rPr>
              <w:t>位，不足</w:t>
            </w:r>
            <w:r>
              <w:rPr>
                <w:szCs w:val="20"/>
              </w:rPr>
              <w:t>5</w:t>
            </w:r>
            <w:r>
              <w:rPr>
                <w:rFonts w:hint="eastAsia"/>
                <w:szCs w:val="20"/>
              </w:rPr>
              <w:t>位补</w:t>
            </w:r>
            <w:r>
              <w:rPr>
                <w:szCs w:val="20"/>
              </w:rPr>
              <w:t>a</w:t>
            </w:r>
            <w:r>
              <w:rPr>
                <w:rFonts w:hint="eastAsia"/>
                <w:szCs w:val="20"/>
              </w:rPr>
              <w:t>）</w:t>
            </w:r>
            <w:r>
              <w:rPr>
                <w:szCs w:val="20"/>
              </w:rPr>
              <w:t>+</w:t>
            </w:r>
            <w:r>
              <w:rPr>
                <w:rFonts w:hint="eastAsia"/>
                <w:szCs w:val="20"/>
              </w:rPr>
              <w:t>报送期（</w:t>
            </w:r>
            <w:r>
              <w:rPr>
                <w:szCs w:val="20"/>
              </w:rPr>
              <w:t>6</w:t>
            </w:r>
            <w:r>
              <w:rPr>
                <w:rFonts w:hint="eastAsia"/>
                <w:szCs w:val="20"/>
              </w:rPr>
              <w:t>位）</w:t>
            </w:r>
            <w:r>
              <w:rPr>
                <w:szCs w:val="20"/>
              </w:rPr>
              <w:t>+</w:t>
            </w:r>
            <w:r>
              <w:rPr>
                <w:rFonts w:hint="eastAsia"/>
                <w:szCs w:val="20"/>
              </w:rPr>
              <w:t>顺序号（</w:t>
            </w:r>
            <w:r>
              <w:rPr>
                <w:szCs w:val="20"/>
              </w:rPr>
              <w:t>7</w:t>
            </w:r>
            <w:r>
              <w:rPr>
                <w:rFonts w:hint="eastAsia"/>
                <w:szCs w:val="20"/>
              </w:rPr>
              <w:t>位，从</w:t>
            </w:r>
            <w:r>
              <w:rPr>
                <w:szCs w:val="20"/>
              </w:rPr>
              <w:t>0000001</w:t>
            </w:r>
            <w:r>
              <w:rPr>
                <w:rFonts w:hint="eastAsia"/>
                <w:szCs w:val="20"/>
              </w:rPr>
              <w:t>开始增加）。</w:t>
            </w:r>
          </w:p>
        </w:tc>
      </w:tr>
      <w:tr w:rsidR="00A052DC" w14:paraId="20DC5A54" w14:textId="77777777">
        <w:trPr>
          <w:cantSplit/>
          <w:jc w:val="center"/>
        </w:trPr>
        <w:tc>
          <w:tcPr>
            <w:tcW w:w="1587" w:type="dxa"/>
          </w:tcPr>
          <w:p w14:paraId="308A363C" w14:textId="77777777" w:rsidR="00A052DC" w:rsidRDefault="009F0A60">
            <w:pPr>
              <w:pStyle w:val="B"/>
              <w:rPr>
                <w:szCs w:val="20"/>
              </w:rPr>
            </w:pPr>
            <w:r>
              <w:rPr>
                <w:rFonts w:hint="eastAsia"/>
                <w:szCs w:val="20"/>
              </w:rPr>
              <w:t>申报主体代码</w:t>
            </w:r>
          </w:p>
        </w:tc>
        <w:tc>
          <w:tcPr>
            <w:tcW w:w="6442" w:type="dxa"/>
            <w:noWrap/>
          </w:tcPr>
          <w:p w14:paraId="414F78DC" w14:textId="77777777" w:rsidR="00A052DC" w:rsidRDefault="009F0A60">
            <w:pPr>
              <w:pStyle w:val="B"/>
              <w:rPr>
                <w:szCs w:val="20"/>
              </w:rPr>
            </w:pPr>
            <w:r>
              <w:rPr>
                <w:rFonts w:hint="eastAsia"/>
                <w:szCs w:val="20"/>
              </w:rPr>
              <w:t>申报主体的12位金融机构标识码，如果没有金融机构标识码，则填报统一社会信用代码法定载体（如营业执照）上统一社会信用代码中的第9至17位或国家外汇管理局及其分支局签发的特殊机构代码赋码通知书上的机构代码、个人身份代码。</w:t>
            </w:r>
          </w:p>
        </w:tc>
      </w:tr>
      <w:tr w:rsidR="00A052DC" w14:paraId="556C1AA3" w14:textId="77777777">
        <w:trPr>
          <w:cantSplit/>
          <w:jc w:val="center"/>
        </w:trPr>
        <w:tc>
          <w:tcPr>
            <w:tcW w:w="1587" w:type="dxa"/>
          </w:tcPr>
          <w:p w14:paraId="40820A27" w14:textId="77777777" w:rsidR="00A052DC" w:rsidRDefault="009F0A60">
            <w:pPr>
              <w:pStyle w:val="B"/>
              <w:rPr>
                <w:szCs w:val="20"/>
              </w:rPr>
            </w:pPr>
            <w:r>
              <w:rPr>
                <w:rFonts w:hint="eastAsia"/>
                <w:szCs w:val="20"/>
              </w:rPr>
              <w:t>报告期</w:t>
            </w:r>
          </w:p>
        </w:tc>
        <w:tc>
          <w:tcPr>
            <w:tcW w:w="6442" w:type="dxa"/>
            <w:noWrap/>
          </w:tcPr>
          <w:p w14:paraId="57CC5880" w14:textId="77777777" w:rsidR="00A052DC" w:rsidRDefault="009F0A60">
            <w:pPr>
              <w:pStyle w:val="B"/>
              <w:rPr>
                <w:szCs w:val="20"/>
              </w:rPr>
            </w:pPr>
            <w:r>
              <w:rPr>
                <w:rFonts w:hint="eastAsia"/>
                <w:szCs w:val="20"/>
              </w:rPr>
              <w:t>业务发生月份，格式为</w:t>
            </w:r>
            <w:r>
              <w:rPr>
                <w:szCs w:val="20"/>
              </w:rPr>
              <w:t>YYYYMM</w:t>
            </w:r>
            <w:r>
              <w:rPr>
                <w:rFonts w:hint="eastAsia"/>
                <w:szCs w:val="20"/>
              </w:rPr>
              <w:t>。</w:t>
            </w:r>
          </w:p>
        </w:tc>
      </w:tr>
      <w:tr w:rsidR="00A052DC" w14:paraId="42E42C78" w14:textId="77777777">
        <w:trPr>
          <w:cantSplit/>
          <w:jc w:val="center"/>
        </w:trPr>
        <w:tc>
          <w:tcPr>
            <w:tcW w:w="1587" w:type="dxa"/>
          </w:tcPr>
          <w:p w14:paraId="2F46CDE3" w14:textId="77777777" w:rsidR="00A052DC" w:rsidRDefault="009F0A60">
            <w:pPr>
              <w:pStyle w:val="B"/>
              <w:rPr>
                <w:szCs w:val="20"/>
              </w:rPr>
            </w:pPr>
            <w:r>
              <w:rPr>
                <w:rFonts w:hint="eastAsia"/>
                <w:szCs w:val="20"/>
              </w:rPr>
              <w:t>保险类别</w:t>
            </w:r>
          </w:p>
        </w:tc>
        <w:tc>
          <w:tcPr>
            <w:tcW w:w="6442" w:type="dxa"/>
            <w:noWrap/>
          </w:tcPr>
          <w:p w14:paraId="4A553BCE" w14:textId="77777777" w:rsidR="00A052DC" w:rsidRDefault="009F0A60">
            <w:pPr>
              <w:pStyle w:val="B"/>
              <w:rPr>
                <w:szCs w:val="20"/>
              </w:rPr>
            </w:pPr>
            <w:r>
              <w:rPr>
                <w:rFonts w:hint="eastAsia"/>
                <w:szCs w:val="20"/>
              </w:rPr>
              <w:t>从非居民保险公司分入的保险业务划分为两类，</w:t>
            </w:r>
            <w:r>
              <w:rPr>
                <w:szCs w:val="20"/>
              </w:rPr>
              <w:t>1-</w:t>
            </w:r>
            <w:r>
              <w:rPr>
                <w:rFonts w:hint="eastAsia"/>
                <w:szCs w:val="20"/>
              </w:rPr>
              <w:t>人寿保险和年金，包括长期人寿保险、储蓄保险、长期健康险，及年金（即养老金）；</w:t>
            </w:r>
            <w:r>
              <w:rPr>
                <w:szCs w:val="20"/>
              </w:rPr>
              <w:t>2-</w:t>
            </w:r>
            <w:r>
              <w:rPr>
                <w:rFonts w:hint="eastAsia"/>
                <w:szCs w:val="20"/>
              </w:rPr>
              <w:t>非人寿保险，即除</w:t>
            </w:r>
            <w:r>
              <w:rPr>
                <w:szCs w:val="20"/>
              </w:rPr>
              <w:t>1</w:t>
            </w:r>
            <w:r>
              <w:rPr>
                <w:rFonts w:hint="eastAsia"/>
                <w:szCs w:val="20"/>
              </w:rPr>
              <w:t>以外的其他保险，如短期健康险、财险等。</w:t>
            </w:r>
          </w:p>
        </w:tc>
      </w:tr>
      <w:tr w:rsidR="00A052DC" w14:paraId="064C36F6" w14:textId="77777777">
        <w:trPr>
          <w:cantSplit/>
          <w:jc w:val="center"/>
        </w:trPr>
        <w:tc>
          <w:tcPr>
            <w:tcW w:w="1587" w:type="dxa"/>
          </w:tcPr>
          <w:p w14:paraId="468AE13E" w14:textId="77777777" w:rsidR="00A052DC" w:rsidRDefault="009F0A60">
            <w:pPr>
              <w:pStyle w:val="B"/>
              <w:rPr>
                <w:szCs w:val="20"/>
              </w:rPr>
            </w:pPr>
            <w:r>
              <w:rPr>
                <w:rFonts w:hint="eastAsia"/>
                <w:szCs w:val="20"/>
              </w:rPr>
              <w:t>再保险分出人所属国家</w:t>
            </w:r>
            <w:r>
              <w:rPr>
                <w:szCs w:val="20"/>
              </w:rPr>
              <w:t>/</w:t>
            </w:r>
            <w:r>
              <w:rPr>
                <w:rFonts w:hint="eastAsia"/>
                <w:szCs w:val="20"/>
              </w:rPr>
              <w:t>地区</w:t>
            </w:r>
          </w:p>
        </w:tc>
        <w:tc>
          <w:tcPr>
            <w:tcW w:w="6442" w:type="dxa"/>
            <w:noWrap/>
          </w:tcPr>
          <w:p w14:paraId="58EFE5B5" w14:textId="77777777" w:rsidR="00A052DC" w:rsidRDefault="009F0A60">
            <w:pPr>
              <w:pStyle w:val="B"/>
              <w:rPr>
                <w:szCs w:val="20"/>
              </w:rPr>
            </w:pPr>
            <w:r>
              <w:rPr>
                <w:rFonts w:hint="eastAsia"/>
                <w:szCs w:val="20"/>
              </w:rPr>
              <w:t>见国家和地区代码表，填报相关非居民保单持有人（即再保险分出人）所属国家</w:t>
            </w:r>
            <w:r>
              <w:rPr>
                <w:szCs w:val="20"/>
              </w:rPr>
              <w:t>/</w:t>
            </w:r>
            <w:r>
              <w:rPr>
                <w:rFonts w:hint="eastAsia"/>
                <w:szCs w:val="20"/>
              </w:rPr>
              <w:t>地区代码。</w:t>
            </w:r>
          </w:p>
        </w:tc>
      </w:tr>
      <w:tr w:rsidR="00A052DC" w14:paraId="52688206" w14:textId="77777777">
        <w:trPr>
          <w:cantSplit/>
          <w:jc w:val="center"/>
        </w:trPr>
        <w:tc>
          <w:tcPr>
            <w:tcW w:w="1587" w:type="dxa"/>
          </w:tcPr>
          <w:p w14:paraId="34E5258E" w14:textId="77777777" w:rsidR="00A052DC" w:rsidRDefault="009F0A60">
            <w:pPr>
              <w:pStyle w:val="B"/>
              <w:rPr>
                <w:szCs w:val="20"/>
              </w:rPr>
            </w:pPr>
            <w:r>
              <w:rPr>
                <w:rFonts w:hint="eastAsia"/>
                <w:szCs w:val="20"/>
              </w:rPr>
              <w:t>再保险分出人所属部门</w:t>
            </w:r>
          </w:p>
        </w:tc>
        <w:tc>
          <w:tcPr>
            <w:tcW w:w="6442" w:type="dxa"/>
            <w:noWrap/>
          </w:tcPr>
          <w:p w14:paraId="55DE762D" w14:textId="77777777" w:rsidR="00A052DC" w:rsidRDefault="009F0A60">
            <w:pPr>
              <w:pStyle w:val="B"/>
              <w:rPr>
                <w:szCs w:val="20"/>
              </w:rPr>
            </w:pPr>
            <w:r>
              <w:rPr>
                <w:rFonts w:hint="eastAsia"/>
                <w:szCs w:val="20"/>
              </w:rPr>
              <w:t>见投资者（被投资者）部门代码表，由于再保险的保单持有人为境外保险公司，因此所属部门为：</w:t>
            </w:r>
            <w:r>
              <w:rPr>
                <w:szCs w:val="20"/>
              </w:rPr>
              <w:t>7-</w:t>
            </w:r>
            <w:r>
              <w:rPr>
                <w:rFonts w:hint="eastAsia"/>
                <w:szCs w:val="20"/>
              </w:rPr>
              <w:t>保险公司和养老金。</w:t>
            </w:r>
          </w:p>
        </w:tc>
      </w:tr>
      <w:tr w:rsidR="00A052DC" w14:paraId="41368A93" w14:textId="77777777">
        <w:trPr>
          <w:cantSplit/>
          <w:jc w:val="center"/>
        </w:trPr>
        <w:tc>
          <w:tcPr>
            <w:tcW w:w="1587" w:type="dxa"/>
          </w:tcPr>
          <w:p w14:paraId="0E510CAE" w14:textId="77777777" w:rsidR="00A052DC" w:rsidRDefault="009F0A60">
            <w:pPr>
              <w:pStyle w:val="B"/>
              <w:rPr>
                <w:szCs w:val="20"/>
              </w:rPr>
            </w:pPr>
            <w:r>
              <w:rPr>
                <w:rFonts w:hint="eastAsia"/>
                <w:szCs w:val="20"/>
              </w:rPr>
              <w:t>再保险分出人与本机构的关系</w:t>
            </w:r>
          </w:p>
        </w:tc>
        <w:tc>
          <w:tcPr>
            <w:tcW w:w="6442" w:type="dxa"/>
            <w:noWrap/>
          </w:tcPr>
          <w:p w14:paraId="56602349" w14:textId="77777777" w:rsidR="00A052DC" w:rsidRDefault="009F0A60">
            <w:pPr>
              <w:pStyle w:val="B"/>
              <w:rPr>
                <w:szCs w:val="20"/>
              </w:rPr>
            </w:pPr>
            <w:r>
              <w:rPr>
                <w:rFonts w:hint="eastAsia"/>
                <w:szCs w:val="20"/>
              </w:rPr>
              <w:t>见对方与本机构</w:t>
            </w:r>
            <w:r>
              <w:rPr>
                <w:szCs w:val="20"/>
              </w:rPr>
              <w:t>/</w:t>
            </w:r>
            <w:r>
              <w:rPr>
                <w:rFonts w:hint="eastAsia"/>
                <w:szCs w:val="20"/>
              </w:rPr>
              <w:t>被代理居民机构</w:t>
            </w:r>
            <w:r>
              <w:rPr>
                <w:szCs w:val="20"/>
              </w:rPr>
              <w:t>/</w:t>
            </w:r>
            <w:r>
              <w:rPr>
                <w:rFonts w:hint="eastAsia"/>
                <w:szCs w:val="20"/>
              </w:rPr>
              <w:t>委托人的关系代码表。</w:t>
            </w:r>
          </w:p>
        </w:tc>
      </w:tr>
      <w:tr w:rsidR="00A052DC" w14:paraId="35CC2B57" w14:textId="77777777">
        <w:trPr>
          <w:cantSplit/>
          <w:jc w:val="center"/>
        </w:trPr>
        <w:tc>
          <w:tcPr>
            <w:tcW w:w="1587" w:type="dxa"/>
          </w:tcPr>
          <w:p w14:paraId="646F082F" w14:textId="77777777" w:rsidR="00A052DC" w:rsidRDefault="009F0A60">
            <w:pPr>
              <w:pStyle w:val="B"/>
              <w:rPr>
                <w:szCs w:val="20"/>
              </w:rPr>
            </w:pPr>
            <w:r>
              <w:rPr>
                <w:rFonts w:hint="eastAsia"/>
                <w:szCs w:val="20"/>
              </w:rPr>
              <w:t>填表币种</w:t>
            </w:r>
          </w:p>
        </w:tc>
        <w:tc>
          <w:tcPr>
            <w:tcW w:w="6442" w:type="dxa"/>
            <w:noWrap/>
          </w:tcPr>
          <w:p w14:paraId="1299EAAA" w14:textId="77777777" w:rsidR="00A052DC" w:rsidRDefault="009F0A60">
            <w:pPr>
              <w:pStyle w:val="B"/>
              <w:rPr>
                <w:szCs w:val="20"/>
              </w:rPr>
            </w:pPr>
            <w:r>
              <w:rPr>
                <w:rFonts w:hint="eastAsia"/>
                <w:szCs w:val="20"/>
              </w:rPr>
              <w:t>见币种代码表，指报告机构报送本表数据所采用的币种。</w:t>
            </w:r>
          </w:p>
        </w:tc>
      </w:tr>
      <w:tr w:rsidR="00A052DC" w14:paraId="7B04BD4D" w14:textId="77777777">
        <w:trPr>
          <w:cantSplit/>
          <w:jc w:val="center"/>
        </w:trPr>
        <w:tc>
          <w:tcPr>
            <w:tcW w:w="1587" w:type="dxa"/>
          </w:tcPr>
          <w:p w14:paraId="74A76931" w14:textId="77777777" w:rsidR="00A052DC" w:rsidRDefault="009F0A60">
            <w:pPr>
              <w:pStyle w:val="B"/>
              <w:rPr>
                <w:szCs w:val="20"/>
              </w:rPr>
            </w:pPr>
            <w:r>
              <w:rPr>
                <w:rFonts w:hint="eastAsia"/>
                <w:szCs w:val="20"/>
              </w:rPr>
              <w:t>本月分入业务已赚分保费收入</w:t>
            </w:r>
          </w:p>
        </w:tc>
        <w:tc>
          <w:tcPr>
            <w:tcW w:w="6442" w:type="dxa"/>
            <w:noWrap/>
          </w:tcPr>
          <w:p w14:paraId="557B6CAB" w14:textId="77777777" w:rsidR="00A052DC" w:rsidRDefault="009F0A60">
            <w:pPr>
              <w:pStyle w:val="B"/>
              <w:rPr>
                <w:szCs w:val="20"/>
              </w:rPr>
            </w:pPr>
            <w:r>
              <w:rPr>
                <w:rFonts w:hint="eastAsia"/>
                <w:szCs w:val="20"/>
              </w:rPr>
              <w:t>指作为本机构（再保险接受人），按照权责发生制原则，当月已实现对非居民再保险分出人的保费收入。</w:t>
            </w:r>
          </w:p>
        </w:tc>
      </w:tr>
      <w:tr w:rsidR="00A052DC" w14:paraId="3065AD5A" w14:textId="77777777">
        <w:trPr>
          <w:cantSplit/>
          <w:jc w:val="center"/>
        </w:trPr>
        <w:tc>
          <w:tcPr>
            <w:tcW w:w="1587" w:type="dxa"/>
          </w:tcPr>
          <w:p w14:paraId="7FDF235D" w14:textId="77777777" w:rsidR="00A052DC" w:rsidRDefault="009F0A60">
            <w:pPr>
              <w:pStyle w:val="B"/>
              <w:rPr>
                <w:szCs w:val="20"/>
              </w:rPr>
            </w:pPr>
            <w:r>
              <w:rPr>
                <w:rFonts w:hint="eastAsia"/>
                <w:szCs w:val="20"/>
              </w:rPr>
              <w:t>本月归属于非居民保单持有人的收益（补充保费）</w:t>
            </w:r>
          </w:p>
        </w:tc>
        <w:tc>
          <w:tcPr>
            <w:tcW w:w="6442" w:type="dxa"/>
            <w:noWrap/>
          </w:tcPr>
          <w:p w14:paraId="2E5C924F" w14:textId="77777777" w:rsidR="00A052DC" w:rsidRDefault="009F0A60">
            <w:pPr>
              <w:pStyle w:val="B"/>
              <w:widowControl w:val="0"/>
              <w:rPr>
                <w:szCs w:val="20"/>
              </w:rPr>
            </w:pPr>
            <w:r>
              <w:rPr>
                <w:rFonts w:hint="eastAsia"/>
                <w:szCs w:val="20"/>
              </w:rPr>
              <w:t>指本机构运用准备金进行投资而获取的投资收益，本表将这部分收益视同再保险分出人投入本机构的补充保费。</w:t>
            </w:r>
            <w:r>
              <w:rPr>
                <w:rFonts w:hint="eastAsia"/>
                <w:color w:val="000000"/>
              </w:rPr>
              <w:t>申报主体可根据分保责任准备金投资回报情况，拆分出对非居民保单持有人的责任准备金产生的回报。</w:t>
            </w:r>
          </w:p>
        </w:tc>
      </w:tr>
      <w:tr w:rsidR="00A052DC" w14:paraId="352C8C9C" w14:textId="77777777">
        <w:trPr>
          <w:cantSplit/>
          <w:jc w:val="center"/>
        </w:trPr>
        <w:tc>
          <w:tcPr>
            <w:tcW w:w="1587" w:type="dxa"/>
          </w:tcPr>
          <w:p w14:paraId="47B82891" w14:textId="77777777" w:rsidR="00A052DC" w:rsidRDefault="009F0A60">
            <w:pPr>
              <w:pStyle w:val="B"/>
              <w:widowControl w:val="0"/>
              <w:rPr>
                <w:szCs w:val="20"/>
              </w:rPr>
            </w:pPr>
            <w:r>
              <w:rPr>
                <w:rFonts w:hint="eastAsia"/>
                <w:szCs w:val="20"/>
              </w:rPr>
              <w:t>本月分保费用支出</w:t>
            </w:r>
          </w:p>
        </w:tc>
        <w:tc>
          <w:tcPr>
            <w:tcW w:w="6442" w:type="dxa"/>
            <w:noWrap/>
          </w:tcPr>
          <w:p w14:paraId="7EF91877" w14:textId="77777777" w:rsidR="00A052DC" w:rsidRDefault="009F0A60">
            <w:pPr>
              <w:pStyle w:val="B"/>
              <w:widowControl w:val="0"/>
              <w:rPr>
                <w:szCs w:val="20"/>
              </w:rPr>
            </w:pPr>
            <w:r>
              <w:rPr>
                <w:rFonts w:hint="eastAsia"/>
                <w:szCs w:val="20"/>
              </w:rPr>
              <w:t>指按照权责发生制，本月本机构应向再保险分出人支付的分保费用。</w:t>
            </w:r>
          </w:p>
        </w:tc>
      </w:tr>
      <w:tr w:rsidR="00A052DC" w14:paraId="50C04489" w14:textId="77777777">
        <w:trPr>
          <w:cantSplit/>
          <w:jc w:val="center"/>
        </w:trPr>
        <w:tc>
          <w:tcPr>
            <w:tcW w:w="1587" w:type="dxa"/>
          </w:tcPr>
          <w:p w14:paraId="091B0E6C" w14:textId="77777777" w:rsidR="00A052DC" w:rsidRDefault="009F0A60">
            <w:pPr>
              <w:pStyle w:val="B"/>
              <w:widowControl w:val="0"/>
              <w:rPr>
                <w:szCs w:val="20"/>
              </w:rPr>
            </w:pPr>
            <w:r>
              <w:rPr>
                <w:rFonts w:hint="eastAsia"/>
                <w:szCs w:val="20"/>
              </w:rPr>
              <w:t>本月分保赔款支出</w:t>
            </w:r>
          </w:p>
        </w:tc>
        <w:tc>
          <w:tcPr>
            <w:tcW w:w="6442" w:type="dxa"/>
            <w:noWrap/>
          </w:tcPr>
          <w:p w14:paraId="6E04FF3A" w14:textId="77777777" w:rsidR="00A052DC" w:rsidRDefault="009F0A60">
            <w:pPr>
              <w:pStyle w:val="B"/>
              <w:widowControl w:val="0"/>
              <w:rPr>
                <w:szCs w:val="20"/>
              </w:rPr>
            </w:pPr>
            <w:r>
              <w:rPr>
                <w:rFonts w:hint="eastAsia"/>
                <w:szCs w:val="20"/>
              </w:rPr>
              <w:t>指按照权责发生制，本月本机构应向再保险分出人支付的分保索赔</w:t>
            </w:r>
            <w:r>
              <w:rPr>
                <w:szCs w:val="20"/>
              </w:rPr>
              <w:t>/</w:t>
            </w:r>
            <w:r>
              <w:rPr>
                <w:rFonts w:hint="eastAsia"/>
                <w:szCs w:val="20"/>
              </w:rPr>
              <w:t>红利。</w:t>
            </w:r>
          </w:p>
        </w:tc>
      </w:tr>
      <w:tr w:rsidR="00A052DC" w14:paraId="23243047" w14:textId="77777777">
        <w:trPr>
          <w:cantSplit/>
          <w:jc w:val="center"/>
        </w:trPr>
        <w:tc>
          <w:tcPr>
            <w:tcW w:w="1587" w:type="dxa"/>
          </w:tcPr>
          <w:p w14:paraId="7B122E55" w14:textId="77777777" w:rsidR="00A052DC" w:rsidRDefault="009F0A60">
            <w:pPr>
              <w:pStyle w:val="B"/>
              <w:widowControl w:val="0"/>
              <w:rPr>
                <w:szCs w:val="20"/>
              </w:rPr>
            </w:pPr>
            <w:r>
              <w:rPr>
                <w:rFonts w:hint="eastAsia"/>
                <w:szCs w:val="20"/>
              </w:rPr>
              <w:t>上月末分保责任准备金余额</w:t>
            </w:r>
          </w:p>
        </w:tc>
        <w:tc>
          <w:tcPr>
            <w:tcW w:w="6442" w:type="dxa"/>
            <w:noWrap/>
          </w:tcPr>
          <w:p w14:paraId="038868AC" w14:textId="77777777" w:rsidR="00A052DC" w:rsidRDefault="009F0A60">
            <w:pPr>
              <w:pStyle w:val="B"/>
              <w:widowControl w:val="0"/>
              <w:rPr>
                <w:szCs w:val="20"/>
              </w:rPr>
            </w:pPr>
            <w:r>
              <w:rPr>
                <w:rFonts w:hint="eastAsia"/>
                <w:szCs w:val="20"/>
              </w:rPr>
              <w:t>指截至上月末，本机构对非居民再保险分出人的责任准备金余额，对于非寿险而言，包括未决赔款准备金余额和未到期责任准备金余额。其中，未决赔款准备金余额，是指保险公司在当期发生保险责任而未赔偿或未给付保险金，在当期保险费中提取的资金，包括针对已发生已报告的保险事故和已发生未报告的保险事故而计提的准备金。未到期责任准备金，指保险公司在会计期核算时，将保险责任尚未满期的，应属于下一期的部分保险费提存出来所形成的准备金。对于寿险而言，包括寿险责任准备金和长期健康险责任准备金。</w:t>
            </w:r>
          </w:p>
        </w:tc>
      </w:tr>
      <w:tr w:rsidR="00A052DC" w14:paraId="34D2C58E" w14:textId="77777777">
        <w:trPr>
          <w:cantSplit/>
          <w:jc w:val="center"/>
        </w:trPr>
        <w:tc>
          <w:tcPr>
            <w:tcW w:w="1587" w:type="dxa"/>
          </w:tcPr>
          <w:p w14:paraId="3E5CEA8F" w14:textId="77777777" w:rsidR="00A052DC" w:rsidRDefault="009F0A60">
            <w:pPr>
              <w:pStyle w:val="B"/>
              <w:widowControl w:val="0"/>
              <w:rPr>
                <w:szCs w:val="20"/>
              </w:rPr>
            </w:pPr>
            <w:r>
              <w:rPr>
                <w:rFonts w:hint="eastAsia"/>
                <w:szCs w:val="20"/>
              </w:rPr>
              <w:t>本月末分保责任准备金余额</w:t>
            </w:r>
          </w:p>
        </w:tc>
        <w:tc>
          <w:tcPr>
            <w:tcW w:w="6442" w:type="dxa"/>
            <w:noWrap/>
          </w:tcPr>
          <w:p w14:paraId="0D9F56D4" w14:textId="77777777" w:rsidR="00A052DC" w:rsidRDefault="009F0A60">
            <w:pPr>
              <w:pStyle w:val="B"/>
              <w:widowControl w:val="0"/>
              <w:rPr>
                <w:szCs w:val="20"/>
              </w:rPr>
            </w:pPr>
            <w:r>
              <w:rPr>
                <w:rFonts w:hint="eastAsia"/>
                <w:szCs w:val="20"/>
              </w:rPr>
              <w:t>指截至本月末，本机构对非居民再保险分出人的责任准备金余额，对于非寿险而言，包括未决赔款准备金余额和未到期责任准备金余额。其中，未决赔款准备金余额，是指保险公司在当期发生保险责任而未赔偿或未给付保险金，在当期保险费中提取的资金，包括针对已发生已报告的保险事故和已发生未报告的保险事故而计提的准备金。未到期责任准备金，指保险公司在会计期核算时，将保险责任尚未满期的，应属于下一期的部分保险费提存出来所形成的准备金。对于寿险而言，包括寿险责任准备金和长期健康险责任准备金。</w:t>
            </w:r>
          </w:p>
        </w:tc>
      </w:tr>
      <w:tr w:rsidR="00A052DC" w14:paraId="65A234D1" w14:textId="77777777">
        <w:trPr>
          <w:cantSplit/>
          <w:jc w:val="center"/>
        </w:trPr>
        <w:tc>
          <w:tcPr>
            <w:tcW w:w="1587" w:type="dxa"/>
          </w:tcPr>
          <w:p w14:paraId="14F19774" w14:textId="77777777" w:rsidR="00A052DC" w:rsidRDefault="009F0A60">
            <w:pPr>
              <w:pStyle w:val="B"/>
              <w:widowControl w:val="0"/>
              <w:rPr>
                <w:szCs w:val="20"/>
              </w:rPr>
            </w:pPr>
            <w:r>
              <w:rPr>
                <w:rFonts w:hint="eastAsia"/>
                <w:szCs w:val="20"/>
              </w:rPr>
              <w:t>备注</w:t>
            </w:r>
          </w:p>
        </w:tc>
        <w:tc>
          <w:tcPr>
            <w:tcW w:w="6442" w:type="dxa"/>
            <w:noWrap/>
          </w:tcPr>
          <w:p w14:paraId="134BFFD4" w14:textId="77777777" w:rsidR="00A052DC" w:rsidRDefault="009F0A60">
            <w:pPr>
              <w:pStyle w:val="B"/>
              <w:widowControl w:val="0"/>
              <w:rPr>
                <w:szCs w:val="20"/>
              </w:rPr>
            </w:pPr>
            <w:r>
              <w:rPr>
                <w:rFonts w:hint="eastAsia"/>
                <w:szCs w:val="20"/>
              </w:rPr>
              <w:t>指在填报本月数据时，需特别说明的部分。包括但不限于本期数据如发生较大变动，填写相关原因等。</w:t>
            </w:r>
          </w:p>
        </w:tc>
      </w:tr>
    </w:tbl>
    <w:p w14:paraId="1AD116BC" w14:textId="77777777" w:rsidR="00A052DC" w:rsidRDefault="00A052DC"/>
    <w:p w14:paraId="6261F7D9" w14:textId="77777777" w:rsidR="00A052DC" w:rsidRDefault="009F0A60" w:rsidP="0020251D">
      <w:pPr>
        <w:pStyle w:val="4"/>
        <w:numPr>
          <w:ilvl w:val="3"/>
          <w:numId w:val="1"/>
        </w:numPr>
        <w:jc w:val="left"/>
      </w:pPr>
      <w:bookmarkStart w:id="3703" w:name="_Toc454391473"/>
      <w:bookmarkStart w:id="3704" w:name="_Toc454391474"/>
      <w:bookmarkStart w:id="3705" w:name="_Toc380571019"/>
      <w:bookmarkEnd w:id="3703"/>
      <w:r>
        <w:rPr>
          <w:rFonts w:hint="eastAsia"/>
        </w:rPr>
        <w:t>数据格式</w:t>
      </w:r>
      <w:bookmarkEnd w:id="3704"/>
      <w:bookmarkEnd w:id="3705"/>
    </w:p>
    <w:p w14:paraId="636E1998" w14:textId="77777777" w:rsidR="00A052DC" w:rsidRDefault="009F0A60">
      <w:pPr>
        <w:ind w:firstLine="426"/>
      </w:pPr>
      <w:r>
        <w:t>&lt;REC&gt;</w:t>
      </w:r>
    </w:p>
    <w:p w14:paraId="11D8CD4A" w14:textId="77777777" w:rsidR="00A052DC" w:rsidRDefault="009F0A60">
      <w:pPr>
        <w:ind w:firstLine="426"/>
      </w:pPr>
      <w:r>
        <w:t>&lt;ACTIONTYPE&gt;</w:t>
      </w:r>
      <w:r>
        <w:rPr>
          <w:rFonts w:hAnsi="宋体"/>
        </w:rPr>
        <w:t>操作类型</w:t>
      </w:r>
      <w:r>
        <w:t>&lt;/ACTIONTYPE&gt;</w:t>
      </w:r>
    </w:p>
    <w:p w14:paraId="45484708" w14:textId="77777777" w:rsidR="00A052DC" w:rsidRDefault="009F0A60">
      <w:pPr>
        <w:ind w:firstLine="426"/>
      </w:pPr>
      <w:r>
        <w:t>&lt;ACTIONDESC&gt;</w:t>
      </w:r>
      <w:r>
        <w:rPr>
          <w:rFonts w:hAnsi="宋体"/>
        </w:rPr>
        <w:t>删除原因</w:t>
      </w:r>
      <w:r>
        <w:t>&lt;/ACTIONDESC&gt;</w:t>
      </w:r>
    </w:p>
    <w:p w14:paraId="00D9CBC3" w14:textId="77777777" w:rsidR="00A052DC" w:rsidRDefault="009F0A60">
      <w:pPr>
        <w:ind w:firstLine="426"/>
      </w:pPr>
      <w:r>
        <w:t>&lt;SNOCODE&gt;</w:t>
      </w:r>
      <w:r>
        <w:rPr>
          <w:rFonts w:hAnsi="宋体"/>
        </w:rPr>
        <w:t>数据自编码</w:t>
      </w:r>
      <w:r>
        <w:t>&lt;/SNOCODE&gt;</w:t>
      </w:r>
    </w:p>
    <w:p w14:paraId="3E6AA0C0" w14:textId="77777777" w:rsidR="00A052DC" w:rsidRDefault="009F0A60">
      <w:pPr>
        <w:ind w:firstLine="426"/>
      </w:pPr>
      <w:r>
        <w:t>&lt;OBJCODE&gt;</w:t>
      </w:r>
      <w:r>
        <w:rPr>
          <w:rFonts w:hAnsi="宋体"/>
        </w:rPr>
        <w:t>申报主体代码</w:t>
      </w:r>
      <w:r>
        <w:t>&lt;/OBJCODE&gt;</w:t>
      </w:r>
    </w:p>
    <w:p w14:paraId="1BA5C656" w14:textId="77777777" w:rsidR="00A052DC" w:rsidRDefault="009F0A60">
      <w:pPr>
        <w:ind w:firstLine="426"/>
      </w:pPr>
      <w:r>
        <w:t>&lt;BUOCMONTH&gt;</w:t>
      </w:r>
      <w:r>
        <w:rPr>
          <w:rFonts w:hAnsi="宋体"/>
        </w:rPr>
        <w:t>报告期</w:t>
      </w:r>
      <w:r>
        <w:t>&lt;/BUOCMONTH&gt;</w:t>
      </w:r>
    </w:p>
    <w:p w14:paraId="41B6955A" w14:textId="77777777" w:rsidR="00A052DC" w:rsidRDefault="009F0A60">
      <w:pPr>
        <w:ind w:firstLine="426"/>
      </w:pPr>
      <w:r>
        <w:t>&lt;I0201&gt;</w:t>
      </w:r>
      <w:r>
        <w:rPr>
          <w:rFonts w:hAnsi="宋体"/>
        </w:rPr>
        <w:t>保险类别</w:t>
      </w:r>
      <w:r>
        <w:t>&lt;/I0201&gt;</w:t>
      </w:r>
    </w:p>
    <w:p w14:paraId="148C7BCF" w14:textId="77777777" w:rsidR="00A052DC" w:rsidRDefault="009F0A60">
      <w:pPr>
        <w:ind w:firstLine="426"/>
      </w:pPr>
      <w:r>
        <w:t>&lt;I0202&gt;</w:t>
      </w:r>
      <w:r>
        <w:rPr>
          <w:rFonts w:hAnsi="宋体"/>
        </w:rPr>
        <w:t>再保险分出人所属国家</w:t>
      </w:r>
      <w:r>
        <w:t>/</w:t>
      </w:r>
      <w:r>
        <w:rPr>
          <w:rFonts w:hAnsi="宋体"/>
        </w:rPr>
        <w:t>地区</w:t>
      </w:r>
      <w:r>
        <w:t>&lt;/I0202&gt;</w:t>
      </w:r>
    </w:p>
    <w:p w14:paraId="6C766D11" w14:textId="77777777" w:rsidR="00A052DC" w:rsidRDefault="009F0A60">
      <w:pPr>
        <w:ind w:firstLine="426"/>
      </w:pPr>
      <w:r>
        <w:t>&lt;I0203&gt;</w:t>
      </w:r>
      <w:r>
        <w:rPr>
          <w:rFonts w:hAnsi="宋体"/>
        </w:rPr>
        <w:t>再保险分出人所属部门</w:t>
      </w:r>
      <w:r>
        <w:t>&lt;/I0203&gt;</w:t>
      </w:r>
    </w:p>
    <w:p w14:paraId="16432036" w14:textId="77777777" w:rsidR="00A052DC" w:rsidRDefault="009F0A60">
      <w:pPr>
        <w:ind w:firstLine="426"/>
      </w:pPr>
      <w:r>
        <w:t>&lt;I0204&gt;</w:t>
      </w:r>
      <w:r>
        <w:rPr>
          <w:rFonts w:hAnsi="宋体"/>
        </w:rPr>
        <w:t>再保险分出人与本机构的关系</w:t>
      </w:r>
      <w:r>
        <w:t>&lt;/I0204&gt;</w:t>
      </w:r>
    </w:p>
    <w:p w14:paraId="283774FC" w14:textId="77777777" w:rsidR="00A052DC" w:rsidRDefault="009F0A60">
      <w:pPr>
        <w:ind w:firstLine="426"/>
      </w:pPr>
      <w:r>
        <w:t>&lt;I0205&gt;</w:t>
      </w:r>
      <w:r>
        <w:rPr>
          <w:rFonts w:hAnsi="宋体"/>
        </w:rPr>
        <w:t>填表币种</w:t>
      </w:r>
      <w:r>
        <w:t>&lt;/I0205&gt;</w:t>
      </w:r>
    </w:p>
    <w:p w14:paraId="728FB851" w14:textId="77777777" w:rsidR="00A052DC" w:rsidRDefault="009F0A60">
      <w:pPr>
        <w:ind w:firstLine="426"/>
      </w:pPr>
      <w:r>
        <w:t>&lt;I0206&gt;</w:t>
      </w:r>
      <w:r>
        <w:rPr>
          <w:rFonts w:hAnsi="宋体"/>
        </w:rPr>
        <w:t>本月分入业务已赚分保费收入</w:t>
      </w:r>
      <w:r>
        <w:t>&lt;/I0206&gt;</w:t>
      </w:r>
    </w:p>
    <w:p w14:paraId="0E9EF44A" w14:textId="77777777" w:rsidR="00A052DC" w:rsidRDefault="009F0A60">
      <w:pPr>
        <w:ind w:firstLine="426"/>
      </w:pPr>
      <w:r>
        <w:t>&lt;I0207&gt;</w:t>
      </w:r>
      <w:r>
        <w:rPr>
          <w:rFonts w:hAnsi="宋体"/>
        </w:rPr>
        <w:t>本月归属于非居民保单持有人的收益（补充保费）</w:t>
      </w:r>
      <w:r>
        <w:t>&lt;/I0207&gt;</w:t>
      </w:r>
    </w:p>
    <w:p w14:paraId="030E6DEA" w14:textId="77777777" w:rsidR="00A052DC" w:rsidRDefault="009F0A60">
      <w:pPr>
        <w:ind w:firstLine="426"/>
      </w:pPr>
      <w:r>
        <w:t>&lt;I0208&gt;</w:t>
      </w:r>
      <w:r>
        <w:rPr>
          <w:rFonts w:hAnsi="宋体"/>
        </w:rPr>
        <w:t>本月分保费用支出</w:t>
      </w:r>
      <w:r>
        <w:t>&lt;/I0208&gt;</w:t>
      </w:r>
    </w:p>
    <w:p w14:paraId="5B9B51DE" w14:textId="77777777" w:rsidR="00A052DC" w:rsidRDefault="009F0A60">
      <w:pPr>
        <w:ind w:firstLine="426"/>
      </w:pPr>
      <w:r>
        <w:t>&lt;I0209&gt;</w:t>
      </w:r>
      <w:r>
        <w:rPr>
          <w:rFonts w:hAnsi="宋体"/>
        </w:rPr>
        <w:t>本月分保赔款支出</w:t>
      </w:r>
      <w:r>
        <w:t>&lt;/I0209&gt;</w:t>
      </w:r>
    </w:p>
    <w:p w14:paraId="70A0A3C4" w14:textId="77777777" w:rsidR="00A052DC" w:rsidRDefault="009F0A60">
      <w:pPr>
        <w:ind w:firstLine="426"/>
      </w:pPr>
      <w:r>
        <w:t>&lt;I0210&gt;</w:t>
      </w:r>
      <w:r>
        <w:rPr>
          <w:rFonts w:hAnsi="宋体"/>
        </w:rPr>
        <w:t>上月末分保责任准备金余额</w:t>
      </w:r>
      <w:r>
        <w:t>&lt;/I0210&gt;</w:t>
      </w:r>
    </w:p>
    <w:p w14:paraId="5DB7792F" w14:textId="77777777" w:rsidR="00A052DC" w:rsidRDefault="009F0A60">
      <w:pPr>
        <w:ind w:firstLine="426"/>
      </w:pPr>
      <w:r>
        <w:t>&lt;I0211&gt;</w:t>
      </w:r>
      <w:r>
        <w:rPr>
          <w:rFonts w:hAnsi="宋体"/>
        </w:rPr>
        <w:t>本月末分保责任准备金余额</w:t>
      </w:r>
      <w:r>
        <w:t>&lt;/I0211&gt;</w:t>
      </w:r>
    </w:p>
    <w:p w14:paraId="62B0D7F7" w14:textId="77777777" w:rsidR="00A052DC" w:rsidRDefault="009F0A60">
      <w:pPr>
        <w:ind w:firstLine="426"/>
      </w:pPr>
      <w:r>
        <w:t>&lt;I0212&gt;</w:t>
      </w:r>
      <w:r>
        <w:rPr>
          <w:rFonts w:hAnsi="宋体"/>
        </w:rPr>
        <w:t>备注</w:t>
      </w:r>
      <w:r>
        <w:t>&lt;/I0212&gt;</w:t>
      </w:r>
    </w:p>
    <w:p w14:paraId="3559FB0B" w14:textId="77777777" w:rsidR="00A052DC" w:rsidRDefault="009F0A60">
      <w:pPr>
        <w:ind w:firstLine="426"/>
      </w:pPr>
      <w:r>
        <w:t>&lt;/REC&gt;</w:t>
      </w:r>
    </w:p>
    <w:p w14:paraId="5800A671" w14:textId="77777777" w:rsidR="00A052DC" w:rsidRDefault="009F0A60" w:rsidP="0020251D">
      <w:pPr>
        <w:pStyle w:val="4"/>
        <w:numPr>
          <w:ilvl w:val="3"/>
          <w:numId w:val="1"/>
        </w:numPr>
        <w:jc w:val="left"/>
      </w:pPr>
      <w:bookmarkStart w:id="3706" w:name="_Toc454391475"/>
      <w:bookmarkStart w:id="3707" w:name="_Toc380571020"/>
      <w:r>
        <w:rPr>
          <w:rFonts w:hint="eastAsia"/>
        </w:rPr>
        <w:t>数据字典</w:t>
      </w:r>
      <w:bookmarkEnd w:id="3706"/>
      <w:bookmarkEnd w:id="3707"/>
    </w:p>
    <w:tbl>
      <w:tblPr>
        <w:tblW w:w="8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7"/>
        <w:gridCol w:w="1666"/>
        <w:gridCol w:w="1560"/>
        <w:gridCol w:w="4078"/>
        <w:gridCol w:w="11"/>
      </w:tblGrid>
      <w:tr w:rsidR="00A052DC" w14:paraId="5519B399" w14:textId="77777777">
        <w:trPr>
          <w:gridAfter w:val="1"/>
          <w:wAfter w:w="11" w:type="dxa"/>
          <w:tblHeader/>
          <w:jc w:val="center"/>
        </w:trPr>
        <w:tc>
          <w:tcPr>
            <w:tcW w:w="1347" w:type="dxa"/>
            <w:shd w:val="clear" w:color="auto" w:fill="C0C0C0"/>
            <w:noWrap/>
          </w:tcPr>
          <w:p w14:paraId="2BFE27E6" w14:textId="77777777" w:rsidR="00A052DC" w:rsidRDefault="009F0A60">
            <w:pPr>
              <w:pStyle w:val="B1"/>
            </w:pPr>
            <w:r>
              <w:rPr>
                <w:rFonts w:hint="eastAsia"/>
              </w:rPr>
              <w:t>字段</w:t>
            </w:r>
          </w:p>
        </w:tc>
        <w:tc>
          <w:tcPr>
            <w:tcW w:w="1666" w:type="dxa"/>
            <w:shd w:val="clear" w:color="auto" w:fill="C0C0C0"/>
            <w:noWrap/>
          </w:tcPr>
          <w:p w14:paraId="504D7D24" w14:textId="77777777" w:rsidR="00A052DC" w:rsidRDefault="009F0A60">
            <w:pPr>
              <w:pStyle w:val="B1"/>
            </w:pPr>
            <w:r>
              <w:rPr>
                <w:rFonts w:hint="eastAsia"/>
              </w:rPr>
              <w:t>内容</w:t>
            </w:r>
          </w:p>
        </w:tc>
        <w:tc>
          <w:tcPr>
            <w:tcW w:w="1560" w:type="dxa"/>
            <w:shd w:val="clear" w:color="auto" w:fill="C0C0C0"/>
            <w:noWrap/>
          </w:tcPr>
          <w:p w14:paraId="47C6BF12" w14:textId="77777777" w:rsidR="00A052DC" w:rsidRDefault="009F0A60">
            <w:pPr>
              <w:pStyle w:val="B1"/>
            </w:pPr>
            <w:r>
              <w:rPr>
                <w:rFonts w:hint="eastAsia"/>
              </w:rPr>
              <w:t>类型（长度）</w:t>
            </w:r>
          </w:p>
        </w:tc>
        <w:tc>
          <w:tcPr>
            <w:tcW w:w="4078" w:type="dxa"/>
            <w:shd w:val="clear" w:color="auto" w:fill="C0C0C0"/>
          </w:tcPr>
          <w:p w14:paraId="2E9CEC15" w14:textId="77777777" w:rsidR="00A052DC" w:rsidRDefault="009F0A60">
            <w:pPr>
              <w:pStyle w:val="B1"/>
            </w:pPr>
            <w:r>
              <w:rPr>
                <w:rFonts w:hint="eastAsia"/>
              </w:rPr>
              <w:t>校验</w:t>
            </w:r>
          </w:p>
        </w:tc>
      </w:tr>
      <w:tr w:rsidR="00A052DC" w14:paraId="6004AA32" w14:textId="77777777">
        <w:trPr>
          <w:gridAfter w:val="1"/>
          <w:wAfter w:w="11" w:type="dxa"/>
          <w:jc w:val="center"/>
        </w:trPr>
        <w:tc>
          <w:tcPr>
            <w:tcW w:w="1347" w:type="dxa"/>
            <w:noWrap/>
          </w:tcPr>
          <w:p w14:paraId="560BE9D8" w14:textId="77777777" w:rsidR="00A052DC" w:rsidRDefault="009F0A60">
            <w:pPr>
              <w:pStyle w:val="B"/>
              <w:rPr>
                <w:szCs w:val="20"/>
              </w:rPr>
            </w:pPr>
            <w:r>
              <w:rPr>
                <w:szCs w:val="20"/>
              </w:rPr>
              <w:t>ACTIONTYPE</w:t>
            </w:r>
          </w:p>
        </w:tc>
        <w:tc>
          <w:tcPr>
            <w:tcW w:w="1666" w:type="dxa"/>
          </w:tcPr>
          <w:p w14:paraId="2216E793" w14:textId="77777777" w:rsidR="00A052DC" w:rsidRDefault="009F0A60">
            <w:pPr>
              <w:pStyle w:val="B"/>
              <w:rPr>
                <w:szCs w:val="20"/>
              </w:rPr>
            </w:pPr>
            <w:r>
              <w:rPr>
                <w:rFonts w:hint="eastAsia"/>
                <w:szCs w:val="20"/>
              </w:rPr>
              <w:t>操作类型</w:t>
            </w:r>
          </w:p>
        </w:tc>
        <w:tc>
          <w:tcPr>
            <w:tcW w:w="1560" w:type="dxa"/>
            <w:noWrap/>
          </w:tcPr>
          <w:p w14:paraId="63BEBFA7" w14:textId="77777777" w:rsidR="00A052DC" w:rsidRDefault="009F0A60">
            <w:pPr>
              <w:pStyle w:val="B"/>
              <w:rPr>
                <w:szCs w:val="20"/>
              </w:rPr>
            </w:pPr>
            <w:r>
              <w:rPr>
                <w:rFonts w:hint="eastAsia"/>
                <w:szCs w:val="20"/>
              </w:rPr>
              <w:t>字符型，</w:t>
            </w:r>
            <w:r>
              <w:rPr>
                <w:szCs w:val="20"/>
              </w:rPr>
              <w:t>1</w:t>
            </w:r>
          </w:p>
        </w:tc>
        <w:tc>
          <w:tcPr>
            <w:tcW w:w="4078" w:type="dxa"/>
          </w:tcPr>
          <w:p w14:paraId="27CB4DEC" w14:textId="77777777" w:rsidR="00A052DC" w:rsidRDefault="009F0A60">
            <w:pPr>
              <w:pStyle w:val="B"/>
              <w:rPr>
                <w:szCs w:val="20"/>
              </w:rPr>
            </w:pPr>
            <w:r>
              <w:rPr>
                <w:rFonts w:hint="eastAsia"/>
                <w:szCs w:val="20"/>
              </w:rPr>
              <w:t>必填项</w:t>
            </w:r>
            <w:r w:rsidR="004346E5">
              <w:rPr>
                <w:rFonts w:hint="eastAsia"/>
                <w:szCs w:val="20"/>
              </w:rPr>
              <w:t>。</w:t>
            </w:r>
          </w:p>
          <w:p w14:paraId="3D7931EC" w14:textId="77777777" w:rsidR="00A052DC" w:rsidRDefault="009F0A60">
            <w:pPr>
              <w:pStyle w:val="B"/>
              <w:rPr>
                <w:szCs w:val="20"/>
              </w:rPr>
            </w:pPr>
            <w:r>
              <w:rPr>
                <w:szCs w:val="20"/>
              </w:rPr>
              <w:t>A</w:t>
            </w:r>
            <w:r w:rsidR="00AE4602">
              <w:rPr>
                <w:rFonts w:hint="eastAsia"/>
                <w:szCs w:val="20"/>
              </w:rPr>
              <w:t>-</w:t>
            </w:r>
            <w:r>
              <w:rPr>
                <w:rFonts w:hint="eastAsia"/>
                <w:szCs w:val="20"/>
              </w:rPr>
              <w:t>新建</w:t>
            </w:r>
          </w:p>
          <w:p w14:paraId="6D7D06BE" w14:textId="77777777" w:rsidR="00A052DC" w:rsidRDefault="009F0A60">
            <w:pPr>
              <w:pStyle w:val="B"/>
              <w:rPr>
                <w:szCs w:val="20"/>
              </w:rPr>
            </w:pPr>
            <w:r>
              <w:rPr>
                <w:szCs w:val="20"/>
              </w:rPr>
              <w:t>C</w:t>
            </w:r>
            <w:r w:rsidR="00AE4602">
              <w:rPr>
                <w:rFonts w:hint="eastAsia"/>
                <w:szCs w:val="20"/>
              </w:rPr>
              <w:t>-</w:t>
            </w:r>
            <w:r>
              <w:rPr>
                <w:rFonts w:hint="eastAsia"/>
                <w:szCs w:val="20"/>
              </w:rPr>
              <w:t>修改</w:t>
            </w:r>
          </w:p>
          <w:p w14:paraId="7078A952" w14:textId="77777777" w:rsidR="00A052DC" w:rsidRDefault="009F0A60">
            <w:pPr>
              <w:pStyle w:val="B"/>
              <w:rPr>
                <w:szCs w:val="20"/>
              </w:rPr>
            </w:pPr>
            <w:r>
              <w:rPr>
                <w:szCs w:val="20"/>
              </w:rPr>
              <w:t>D</w:t>
            </w:r>
            <w:r w:rsidR="00AE4602">
              <w:rPr>
                <w:rFonts w:hint="eastAsia"/>
                <w:szCs w:val="20"/>
              </w:rPr>
              <w:t>-</w:t>
            </w:r>
            <w:r>
              <w:rPr>
                <w:rFonts w:hint="eastAsia"/>
                <w:szCs w:val="20"/>
              </w:rPr>
              <w:t>删除</w:t>
            </w:r>
          </w:p>
        </w:tc>
      </w:tr>
      <w:tr w:rsidR="00A052DC" w14:paraId="0DE89B83" w14:textId="77777777">
        <w:trPr>
          <w:gridAfter w:val="1"/>
          <w:wAfter w:w="11" w:type="dxa"/>
          <w:jc w:val="center"/>
        </w:trPr>
        <w:tc>
          <w:tcPr>
            <w:tcW w:w="1347" w:type="dxa"/>
            <w:noWrap/>
          </w:tcPr>
          <w:p w14:paraId="2E02204C" w14:textId="77777777" w:rsidR="00A052DC" w:rsidRDefault="009F0A60">
            <w:pPr>
              <w:pStyle w:val="B"/>
              <w:rPr>
                <w:szCs w:val="20"/>
              </w:rPr>
            </w:pPr>
            <w:r>
              <w:rPr>
                <w:szCs w:val="20"/>
              </w:rPr>
              <w:t>ACTIONDESC</w:t>
            </w:r>
          </w:p>
        </w:tc>
        <w:tc>
          <w:tcPr>
            <w:tcW w:w="1666" w:type="dxa"/>
          </w:tcPr>
          <w:p w14:paraId="229DDF2D" w14:textId="77777777" w:rsidR="00A052DC" w:rsidRDefault="009F0A60">
            <w:pPr>
              <w:pStyle w:val="B"/>
              <w:rPr>
                <w:szCs w:val="20"/>
              </w:rPr>
            </w:pPr>
            <w:r>
              <w:rPr>
                <w:rFonts w:hint="eastAsia"/>
                <w:szCs w:val="20"/>
              </w:rPr>
              <w:t>删除原因</w:t>
            </w:r>
          </w:p>
        </w:tc>
        <w:tc>
          <w:tcPr>
            <w:tcW w:w="1560" w:type="dxa"/>
            <w:noWrap/>
          </w:tcPr>
          <w:p w14:paraId="1D87737A" w14:textId="77777777" w:rsidR="00A052DC" w:rsidRDefault="009F0A60">
            <w:pPr>
              <w:pStyle w:val="B"/>
              <w:rPr>
                <w:szCs w:val="20"/>
              </w:rPr>
            </w:pPr>
            <w:r>
              <w:rPr>
                <w:rFonts w:hint="eastAsia"/>
                <w:szCs w:val="20"/>
              </w:rPr>
              <w:t>字符型，</w:t>
            </w:r>
            <w:r>
              <w:rPr>
                <w:szCs w:val="20"/>
              </w:rPr>
              <w:t>128</w:t>
            </w:r>
          </w:p>
        </w:tc>
        <w:tc>
          <w:tcPr>
            <w:tcW w:w="4078" w:type="dxa"/>
          </w:tcPr>
          <w:p w14:paraId="7065D6A6" w14:textId="77777777" w:rsidR="00A052DC" w:rsidRDefault="00DD6AA3">
            <w:pPr>
              <w:pStyle w:val="B"/>
              <w:rPr>
                <w:szCs w:val="20"/>
              </w:rPr>
            </w:pPr>
            <w:r>
              <w:rPr>
                <w:rFonts w:hint="eastAsia"/>
                <w:szCs w:val="20"/>
              </w:rPr>
              <w:t>非必填项，当操作类型（ACTIONTYPE）为删除时必填。</w:t>
            </w:r>
          </w:p>
        </w:tc>
      </w:tr>
      <w:tr w:rsidR="00A052DC" w14:paraId="07208E79" w14:textId="77777777">
        <w:trPr>
          <w:gridAfter w:val="1"/>
          <w:wAfter w:w="11" w:type="dxa"/>
          <w:jc w:val="center"/>
        </w:trPr>
        <w:tc>
          <w:tcPr>
            <w:tcW w:w="1347" w:type="dxa"/>
            <w:noWrap/>
          </w:tcPr>
          <w:p w14:paraId="2FA2B826" w14:textId="77777777" w:rsidR="00A052DC" w:rsidRDefault="009F0A60">
            <w:pPr>
              <w:pStyle w:val="B"/>
              <w:rPr>
                <w:szCs w:val="20"/>
              </w:rPr>
            </w:pPr>
            <w:r>
              <w:rPr>
                <w:szCs w:val="20"/>
              </w:rPr>
              <w:t>SNOCODE</w:t>
            </w:r>
          </w:p>
        </w:tc>
        <w:tc>
          <w:tcPr>
            <w:tcW w:w="1666" w:type="dxa"/>
          </w:tcPr>
          <w:p w14:paraId="107F4F31" w14:textId="77777777" w:rsidR="00A052DC" w:rsidRDefault="009F0A60">
            <w:pPr>
              <w:pStyle w:val="B"/>
              <w:rPr>
                <w:szCs w:val="20"/>
              </w:rPr>
            </w:pPr>
            <w:r>
              <w:rPr>
                <w:rFonts w:hint="eastAsia"/>
                <w:szCs w:val="20"/>
              </w:rPr>
              <w:t>数据自编码</w:t>
            </w:r>
          </w:p>
        </w:tc>
        <w:tc>
          <w:tcPr>
            <w:tcW w:w="1560" w:type="dxa"/>
            <w:noWrap/>
          </w:tcPr>
          <w:p w14:paraId="7F0DC5EA" w14:textId="77777777" w:rsidR="00A052DC" w:rsidRDefault="009F0A60">
            <w:pPr>
              <w:pStyle w:val="B"/>
              <w:rPr>
                <w:szCs w:val="20"/>
              </w:rPr>
            </w:pPr>
            <w:r>
              <w:rPr>
                <w:rFonts w:hint="eastAsia"/>
                <w:szCs w:val="20"/>
              </w:rPr>
              <w:t>字符型，36</w:t>
            </w:r>
          </w:p>
        </w:tc>
        <w:tc>
          <w:tcPr>
            <w:tcW w:w="4078" w:type="dxa"/>
          </w:tcPr>
          <w:p w14:paraId="4E6EAE46" w14:textId="77777777" w:rsidR="00A052DC" w:rsidRDefault="009F0A60">
            <w:pPr>
              <w:pStyle w:val="B"/>
              <w:rPr>
                <w:szCs w:val="20"/>
              </w:rPr>
            </w:pPr>
            <w:r>
              <w:rPr>
                <w:rFonts w:hint="eastAsia"/>
                <w:szCs w:val="20"/>
              </w:rPr>
              <w:t>必填项。</w:t>
            </w:r>
            <w:r>
              <w:rPr>
                <w:szCs w:val="20"/>
              </w:rPr>
              <w:t>对于接口报送的填报主体，数据自编码中的报送期（6位）应与报告期（YYYYMM）一致。</w:t>
            </w:r>
          </w:p>
        </w:tc>
      </w:tr>
      <w:tr w:rsidR="00A052DC" w14:paraId="6E879862" w14:textId="77777777">
        <w:trPr>
          <w:gridAfter w:val="1"/>
          <w:wAfter w:w="11" w:type="dxa"/>
          <w:jc w:val="center"/>
        </w:trPr>
        <w:tc>
          <w:tcPr>
            <w:tcW w:w="1347" w:type="dxa"/>
            <w:noWrap/>
          </w:tcPr>
          <w:p w14:paraId="07065FAC" w14:textId="77777777" w:rsidR="00A052DC" w:rsidRDefault="009F0A60">
            <w:pPr>
              <w:pStyle w:val="B"/>
              <w:rPr>
                <w:szCs w:val="20"/>
              </w:rPr>
            </w:pPr>
            <w:r>
              <w:rPr>
                <w:szCs w:val="20"/>
              </w:rPr>
              <w:t>OBJCODE</w:t>
            </w:r>
          </w:p>
        </w:tc>
        <w:tc>
          <w:tcPr>
            <w:tcW w:w="1666" w:type="dxa"/>
          </w:tcPr>
          <w:p w14:paraId="1A91074E" w14:textId="77777777" w:rsidR="00A052DC" w:rsidRDefault="009F0A60">
            <w:pPr>
              <w:pStyle w:val="B"/>
              <w:rPr>
                <w:szCs w:val="20"/>
              </w:rPr>
            </w:pPr>
            <w:r>
              <w:rPr>
                <w:rFonts w:hint="eastAsia"/>
                <w:szCs w:val="20"/>
              </w:rPr>
              <w:t>申报主体代码</w:t>
            </w:r>
          </w:p>
        </w:tc>
        <w:tc>
          <w:tcPr>
            <w:tcW w:w="1560" w:type="dxa"/>
            <w:noWrap/>
          </w:tcPr>
          <w:p w14:paraId="48D1E931" w14:textId="77777777" w:rsidR="00A052DC" w:rsidRDefault="009F0A60">
            <w:pPr>
              <w:pStyle w:val="B"/>
              <w:rPr>
                <w:szCs w:val="20"/>
              </w:rPr>
            </w:pPr>
            <w:r>
              <w:rPr>
                <w:rFonts w:hint="eastAsia"/>
                <w:szCs w:val="20"/>
              </w:rPr>
              <w:t>字符型，</w:t>
            </w:r>
            <w:r>
              <w:rPr>
                <w:szCs w:val="20"/>
              </w:rPr>
              <w:t>1</w:t>
            </w:r>
            <w:r>
              <w:rPr>
                <w:rFonts w:hint="eastAsia"/>
                <w:szCs w:val="20"/>
              </w:rPr>
              <w:t>8</w:t>
            </w:r>
          </w:p>
        </w:tc>
        <w:tc>
          <w:tcPr>
            <w:tcW w:w="4078" w:type="dxa"/>
          </w:tcPr>
          <w:p w14:paraId="37EBDCEF" w14:textId="77777777" w:rsidR="00A052DC" w:rsidRDefault="009F0A60">
            <w:pPr>
              <w:pStyle w:val="B"/>
              <w:rPr>
                <w:szCs w:val="20"/>
              </w:rPr>
            </w:pPr>
            <w:r>
              <w:rPr>
                <w:rFonts w:hint="eastAsia"/>
                <w:szCs w:val="20"/>
              </w:rPr>
              <w:t>申报主体的12位金融机构标识码，如果没有金融机构标识码，则填报统一社会信用代码法定载体（如营业执照）上统一社会信用代码中的第9至17位或国家外汇管理局及其分支局签发的特殊机构代码赋码通知书上的机构代码、个人身份代码。</w:t>
            </w:r>
          </w:p>
        </w:tc>
      </w:tr>
      <w:tr w:rsidR="00A052DC" w14:paraId="598F9B70" w14:textId="77777777">
        <w:trPr>
          <w:gridAfter w:val="1"/>
          <w:wAfter w:w="11" w:type="dxa"/>
          <w:jc w:val="center"/>
        </w:trPr>
        <w:tc>
          <w:tcPr>
            <w:tcW w:w="1347" w:type="dxa"/>
            <w:noWrap/>
          </w:tcPr>
          <w:p w14:paraId="62EDE674" w14:textId="77777777" w:rsidR="00A052DC" w:rsidRDefault="009F0A60">
            <w:pPr>
              <w:pStyle w:val="B"/>
              <w:rPr>
                <w:szCs w:val="20"/>
              </w:rPr>
            </w:pPr>
            <w:r>
              <w:rPr>
                <w:szCs w:val="20"/>
              </w:rPr>
              <w:t>BUOCMONTH</w:t>
            </w:r>
          </w:p>
        </w:tc>
        <w:tc>
          <w:tcPr>
            <w:tcW w:w="1666" w:type="dxa"/>
          </w:tcPr>
          <w:p w14:paraId="5BAEDDE9" w14:textId="77777777" w:rsidR="00A052DC" w:rsidRDefault="009F0A60">
            <w:pPr>
              <w:pStyle w:val="B"/>
              <w:rPr>
                <w:szCs w:val="20"/>
              </w:rPr>
            </w:pPr>
            <w:r>
              <w:rPr>
                <w:rFonts w:hint="eastAsia"/>
                <w:szCs w:val="20"/>
              </w:rPr>
              <w:t>报告期</w:t>
            </w:r>
          </w:p>
        </w:tc>
        <w:tc>
          <w:tcPr>
            <w:tcW w:w="1560" w:type="dxa"/>
            <w:noWrap/>
          </w:tcPr>
          <w:p w14:paraId="5E841174" w14:textId="77777777" w:rsidR="00A052DC" w:rsidRDefault="009F0A60">
            <w:pPr>
              <w:pStyle w:val="B"/>
              <w:rPr>
                <w:szCs w:val="20"/>
              </w:rPr>
            </w:pPr>
            <w:r>
              <w:rPr>
                <w:rFonts w:hint="eastAsia"/>
                <w:szCs w:val="20"/>
              </w:rPr>
              <w:t>数值型，</w:t>
            </w:r>
            <w:r>
              <w:rPr>
                <w:szCs w:val="20"/>
              </w:rPr>
              <w:t>6</w:t>
            </w:r>
          </w:p>
        </w:tc>
        <w:tc>
          <w:tcPr>
            <w:tcW w:w="4078" w:type="dxa"/>
          </w:tcPr>
          <w:p w14:paraId="0B9E78DE" w14:textId="77777777" w:rsidR="00A052DC" w:rsidRDefault="009F0A60">
            <w:pPr>
              <w:pStyle w:val="B"/>
              <w:rPr>
                <w:szCs w:val="20"/>
              </w:rPr>
            </w:pPr>
            <w:r>
              <w:rPr>
                <w:rFonts w:hint="eastAsia"/>
                <w:szCs w:val="20"/>
              </w:rPr>
              <w:t>必填项，格式为</w:t>
            </w:r>
            <w:r>
              <w:rPr>
                <w:szCs w:val="20"/>
              </w:rPr>
              <w:t>YYYYMM</w:t>
            </w:r>
            <w:r>
              <w:rPr>
                <w:rFonts w:hint="eastAsia"/>
                <w:szCs w:val="20"/>
              </w:rPr>
              <w:t>。</w:t>
            </w:r>
          </w:p>
        </w:tc>
      </w:tr>
      <w:tr w:rsidR="00A052DC" w14:paraId="52FF9325" w14:textId="77777777">
        <w:trPr>
          <w:gridAfter w:val="1"/>
          <w:wAfter w:w="11" w:type="dxa"/>
          <w:jc w:val="center"/>
        </w:trPr>
        <w:tc>
          <w:tcPr>
            <w:tcW w:w="1347" w:type="dxa"/>
            <w:noWrap/>
          </w:tcPr>
          <w:p w14:paraId="754AF9C4" w14:textId="77777777" w:rsidR="00A052DC" w:rsidRDefault="009F0A60">
            <w:pPr>
              <w:pStyle w:val="B"/>
              <w:rPr>
                <w:szCs w:val="20"/>
              </w:rPr>
            </w:pPr>
            <w:r>
              <w:rPr>
                <w:szCs w:val="20"/>
              </w:rPr>
              <w:t>I0201</w:t>
            </w:r>
          </w:p>
        </w:tc>
        <w:tc>
          <w:tcPr>
            <w:tcW w:w="1666" w:type="dxa"/>
          </w:tcPr>
          <w:p w14:paraId="585CCB7D" w14:textId="77777777" w:rsidR="00A052DC" w:rsidRDefault="009F0A60">
            <w:pPr>
              <w:pStyle w:val="B"/>
              <w:rPr>
                <w:szCs w:val="20"/>
              </w:rPr>
            </w:pPr>
            <w:r>
              <w:rPr>
                <w:rFonts w:hint="eastAsia"/>
                <w:szCs w:val="20"/>
              </w:rPr>
              <w:t>保险类别</w:t>
            </w:r>
          </w:p>
        </w:tc>
        <w:tc>
          <w:tcPr>
            <w:tcW w:w="1560" w:type="dxa"/>
            <w:noWrap/>
          </w:tcPr>
          <w:p w14:paraId="7AF75AD7" w14:textId="77777777" w:rsidR="00A052DC" w:rsidRDefault="009F0A60">
            <w:pPr>
              <w:pStyle w:val="B"/>
              <w:rPr>
                <w:szCs w:val="20"/>
              </w:rPr>
            </w:pPr>
            <w:r>
              <w:rPr>
                <w:rFonts w:hint="eastAsia"/>
                <w:szCs w:val="20"/>
              </w:rPr>
              <w:t>整数型</w:t>
            </w:r>
          </w:p>
        </w:tc>
        <w:tc>
          <w:tcPr>
            <w:tcW w:w="4078" w:type="dxa"/>
          </w:tcPr>
          <w:p w14:paraId="7E64E18A" w14:textId="77777777" w:rsidR="00A052DC" w:rsidRDefault="009F0A60">
            <w:pPr>
              <w:pStyle w:val="B"/>
              <w:rPr>
                <w:szCs w:val="20"/>
              </w:rPr>
            </w:pPr>
            <w:r>
              <w:rPr>
                <w:rFonts w:hint="eastAsia"/>
                <w:szCs w:val="20"/>
              </w:rPr>
              <w:t>必填项。必须</w:t>
            </w:r>
            <w:r>
              <w:rPr>
                <w:szCs w:val="20"/>
              </w:rPr>
              <w:t>2</w:t>
            </w:r>
            <w:r>
              <w:rPr>
                <w:rFonts w:hint="eastAsia"/>
                <w:szCs w:val="20"/>
              </w:rPr>
              <w:t>选</w:t>
            </w:r>
            <w:r>
              <w:rPr>
                <w:szCs w:val="20"/>
              </w:rPr>
              <w:t>1</w:t>
            </w:r>
            <w:r>
              <w:rPr>
                <w:rFonts w:hint="eastAsia"/>
                <w:szCs w:val="20"/>
              </w:rPr>
              <w:t>：</w:t>
            </w:r>
          </w:p>
          <w:p w14:paraId="7F2D59A6" w14:textId="77777777" w:rsidR="00A052DC" w:rsidRDefault="009F0A60">
            <w:pPr>
              <w:pStyle w:val="B"/>
              <w:rPr>
                <w:szCs w:val="20"/>
              </w:rPr>
            </w:pPr>
            <w:r>
              <w:rPr>
                <w:szCs w:val="20"/>
              </w:rPr>
              <w:t>1-</w:t>
            </w:r>
            <w:r>
              <w:rPr>
                <w:rFonts w:hint="eastAsia"/>
                <w:szCs w:val="20"/>
              </w:rPr>
              <w:t>人寿保险和年金，包括长期人寿保险、储蓄保险、长期健康险，及年金（即养老金）；</w:t>
            </w:r>
          </w:p>
          <w:p w14:paraId="09D53283" w14:textId="77777777" w:rsidR="00A052DC" w:rsidRDefault="009F0A60">
            <w:pPr>
              <w:pStyle w:val="B"/>
              <w:rPr>
                <w:szCs w:val="20"/>
              </w:rPr>
            </w:pPr>
            <w:r>
              <w:rPr>
                <w:szCs w:val="20"/>
              </w:rPr>
              <w:t>2-</w:t>
            </w:r>
            <w:r>
              <w:rPr>
                <w:rFonts w:hint="eastAsia"/>
                <w:szCs w:val="20"/>
              </w:rPr>
              <w:t>非人寿保险，即除</w:t>
            </w:r>
            <w:r>
              <w:rPr>
                <w:szCs w:val="20"/>
              </w:rPr>
              <w:t>1</w:t>
            </w:r>
            <w:r>
              <w:rPr>
                <w:rFonts w:hint="eastAsia"/>
                <w:szCs w:val="20"/>
              </w:rPr>
              <w:t>以外的其他保险，如短期健康险、财险等。</w:t>
            </w:r>
          </w:p>
        </w:tc>
      </w:tr>
      <w:tr w:rsidR="00A052DC" w14:paraId="4ED11EAB" w14:textId="77777777">
        <w:trPr>
          <w:gridAfter w:val="1"/>
          <w:wAfter w:w="11" w:type="dxa"/>
          <w:jc w:val="center"/>
        </w:trPr>
        <w:tc>
          <w:tcPr>
            <w:tcW w:w="1347" w:type="dxa"/>
            <w:noWrap/>
          </w:tcPr>
          <w:p w14:paraId="31BCDE31" w14:textId="77777777" w:rsidR="00A052DC" w:rsidRDefault="009F0A60">
            <w:pPr>
              <w:pStyle w:val="B"/>
              <w:rPr>
                <w:szCs w:val="20"/>
              </w:rPr>
            </w:pPr>
            <w:r>
              <w:rPr>
                <w:szCs w:val="20"/>
              </w:rPr>
              <w:t>I0202</w:t>
            </w:r>
          </w:p>
        </w:tc>
        <w:tc>
          <w:tcPr>
            <w:tcW w:w="1666" w:type="dxa"/>
          </w:tcPr>
          <w:p w14:paraId="35A4B8EC" w14:textId="77777777" w:rsidR="00A052DC" w:rsidRDefault="009F0A60">
            <w:pPr>
              <w:pStyle w:val="B"/>
              <w:rPr>
                <w:szCs w:val="20"/>
              </w:rPr>
            </w:pPr>
            <w:r>
              <w:rPr>
                <w:rFonts w:hint="eastAsia"/>
                <w:szCs w:val="20"/>
              </w:rPr>
              <w:t>再保险分出人所属国家</w:t>
            </w:r>
            <w:r>
              <w:rPr>
                <w:szCs w:val="20"/>
              </w:rPr>
              <w:t>/</w:t>
            </w:r>
            <w:r>
              <w:rPr>
                <w:rFonts w:hint="eastAsia"/>
                <w:szCs w:val="20"/>
              </w:rPr>
              <w:t>地区</w:t>
            </w:r>
          </w:p>
        </w:tc>
        <w:tc>
          <w:tcPr>
            <w:tcW w:w="1560" w:type="dxa"/>
            <w:noWrap/>
          </w:tcPr>
          <w:p w14:paraId="0B56F547" w14:textId="77777777" w:rsidR="00A052DC" w:rsidRDefault="009F0A60">
            <w:pPr>
              <w:pStyle w:val="B"/>
              <w:rPr>
                <w:szCs w:val="20"/>
              </w:rPr>
            </w:pPr>
            <w:r>
              <w:rPr>
                <w:rFonts w:hint="eastAsia"/>
                <w:szCs w:val="20"/>
              </w:rPr>
              <w:t>字符型，</w:t>
            </w:r>
            <w:r>
              <w:rPr>
                <w:szCs w:val="20"/>
              </w:rPr>
              <w:t>3</w:t>
            </w:r>
          </w:p>
        </w:tc>
        <w:tc>
          <w:tcPr>
            <w:tcW w:w="4078" w:type="dxa"/>
          </w:tcPr>
          <w:p w14:paraId="220C5978" w14:textId="77777777" w:rsidR="00A052DC" w:rsidRDefault="009F0A60">
            <w:pPr>
              <w:pStyle w:val="B"/>
              <w:rPr>
                <w:szCs w:val="20"/>
              </w:rPr>
            </w:pPr>
            <w:r>
              <w:rPr>
                <w:rFonts w:hint="eastAsia"/>
                <w:szCs w:val="20"/>
              </w:rPr>
              <w:t>必填项，见国家和地区代码表的</w:t>
            </w:r>
            <w:r>
              <w:rPr>
                <w:szCs w:val="20"/>
              </w:rPr>
              <w:t>3</w:t>
            </w:r>
            <w:r>
              <w:rPr>
                <w:rFonts w:hint="eastAsia"/>
                <w:szCs w:val="20"/>
              </w:rPr>
              <w:t>位字母代码，必须≠</w:t>
            </w:r>
            <w:r>
              <w:rPr>
                <w:szCs w:val="20"/>
              </w:rPr>
              <w:t>CHN</w:t>
            </w:r>
            <w:r>
              <w:rPr>
                <w:rFonts w:hint="eastAsia"/>
                <w:szCs w:val="20"/>
              </w:rPr>
              <w:t>或N/A。</w:t>
            </w:r>
          </w:p>
        </w:tc>
      </w:tr>
      <w:tr w:rsidR="00A052DC" w14:paraId="54B144A7" w14:textId="77777777">
        <w:trPr>
          <w:gridAfter w:val="1"/>
          <w:wAfter w:w="11" w:type="dxa"/>
          <w:jc w:val="center"/>
        </w:trPr>
        <w:tc>
          <w:tcPr>
            <w:tcW w:w="1347" w:type="dxa"/>
            <w:noWrap/>
          </w:tcPr>
          <w:p w14:paraId="47926A4D" w14:textId="77777777" w:rsidR="00A052DC" w:rsidRDefault="009F0A60">
            <w:pPr>
              <w:pStyle w:val="B"/>
              <w:rPr>
                <w:szCs w:val="20"/>
              </w:rPr>
            </w:pPr>
            <w:r>
              <w:rPr>
                <w:szCs w:val="20"/>
              </w:rPr>
              <w:t>I0203</w:t>
            </w:r>
          </w:p>
        </w:tc>
        <w:tc>
          <w:tcPr>
            <w:tcW w:w="1666" w:type="dxa"/>
          </w:tcPr>
          <w:p w14:paraId="5704E031" w14:textId="77777777" w:rsidR="00A052DC" w:rsidRDefault="009F0A60">
            <w:pPr>
              <w:pStyle w:val="B"/>
              <w:rPr>
                <w:szCs w:val="20"/>
              </w:rPr>
            </w:pPr>
            <w:r>
              <w:rPr>
                <w:rFonts w:hint="eastAsia"/>
                <w:szCs w:val="20"/>
              </w:rPr>
              <w:t>再保险分出人所属部门</w:t>
            </w:r>
          </w:p>
        </w:tc>
        <w:tc>
          <w:tcPr>
            <w:tcW w:w="1560" w:type="dxa"/>
            <w:noWrap/>
          </w:tcPr>
          <w:p w14:paraId="711997EE" w14:textId="77777777" w:rsidR="00A052DC" w:rsidRDefault="009F0A60">
            <w:pPr>
              <w:pStyle w:val="B"/>
              <w:rPr>
                <w:szCs w:val="20"/>
              </w:rPr>
            </w:pPr>
            <w:r>
              <w:rPr>
                <w:rFonts w:hint="eastAsia"/>
                <w:szCs w:val="20"/>
              </w:rPr>
              <w:t>整数型</w:t>
            </w:r>
          </w:p>
        </w:tc>
        <w:tc>
          <w:tcPr>
            <w:tcW w:w="4078" w:type="dxa"/>
          </w:tcPr>
          <w:p w14:paraId="7DE68762" w14:textId="77777777" w:rsidR="00A052DC" w:rsidRDefault="009F0A60">
            <w:pPr>
              <w:pStyle w:val="B"/>
              <w:rPr>
                <w:szCs w:val="20"/>
              </w:rPr>
            </w:pPr>
            <w:r>
              <w:rPr>
                <w:rFonts w:hint="eastAsia"/>
                <w:szCs w:val="20"/>
              </w:rPr>
              <w:t>必填项，见投资者（被投资者）部门代码表。</w:t>
            </w:r>
          </w:p>
          <w:p w14:paraId="0FE4B99C" w14:textId="77777777" w:rsidR="00A052DC" w:rsidRDefault="009F0A60">
            <w:pPr>
              <w:rPr>
                <w:rFonts w:ascii="黑体" w:eastAsia="黑体" w:hAnsi="黑体"/>
                <w:sz w:val="20"/>
                <w:szCs w:val="20"/>
              </w:rPr>
            </w:pPr>
            <w:r>
              <w:rPr>
                <w:rFonts w:ascii="黑体" w:eastAsia="黑体" w:hAnsi="黑体" w:hint="eastAsia"/>
                <w:kern w:val="0"/>
                <w:sz w:val="20"/>
                <w:szCs w:val="20"/>
              </w:rPr>
              <w:t>“</w:t>
            </w:r>
            <w:r>
              <w:rPr>
                <w:rFonts w:ascii="黑体" w:eastAsia="黑体" w:hAnsi="黑体"/>
                <w:kern w:val="0"/>
                <w:sz w:val="20"/>
                <w:szCs w:val="20"/>
              </w:rPr>
              <w:t>I0203</w:t>
            </w:r>
            <w:r>
              <w:rPr>
                <w:rFonts w:ascii="黑体" w:eastAsia="黑体" w:hAnsi="黑体" w:hint="eastAsia"/>
                <w:kern w:val="0"/>
                <w:sz w:val="20"/>
                <w:szCs w:val="20"/>
              </w:rPr>
              <w:t>再保险分出人所属部门”</w:t>
            </w:r>
            <w:r>
              <w:rPr>
                <w:rFonts w:ascii="黑体" w:eastAsia="黑体" w:hAnsi="黑体"/>
                <w:kern w:val="0"/>
                <w:sz w:val="20"/>
                <w:szCs w:val="20"/>
              </w:rPr>
              <w:t>=</w:t>
            </w:r>
            <w:r>
              <w:rPr>
                <w:rFonts w:ascii="黑体" w:eastAsia="黑体" w:hAnsi="黑体" w:hint="eastAsia"/>
                <w:kern w:val="0"/>
                <w:sz w:val="20"/>
                <w:szCs w:val="20"/>
              </w:rPr>
              <w:t>7-保险公司和养老金。</w:t>
            </w:r>
          </w:p>
        </w:tc>
      </w:tr>
      <w:tr w:rsidR="00A052DC" w14:paraId="5D10E6CC" w14:textId="77777777">
        <w:trPr>
          <w:gridAfter w:val="1"/>
          <w:wAfter w:w="11" w:type="dxa"/>
          <w:jc w:val="center"/>
        </w:trPr>
        <w:tc>
          <w:tcPr>
            <w:tcW w:w="1347" w:type="dxa"/>
            <w:noWrap/>
          </w:tcPr>
          <w:p w14:paraId="2FA3903D" w14:textId="77777777" w:rsidR="00A052DC" w:rsidRDefault="009F0A60">
            <w:pPr>
              <w:pStyle w:val="B"/>
              <w:rPr>
                <w:szCs w:val="20"/>
              </w:rPr>
            </w:pPr>
            <w:r>
              <w:rPr>
                <w:szCs w:val="20"/>
              </w:rPr>
              <w:t>I0204</w:t>
            </w:r>
          </w:p>
        </w:tc>
        <w:tc>
          <w:tcPr>
            <w:tcW w:w="1666" w:type="dxa"/>
          </w:tcPr>
          <w:p w14:paraId="30E13845" w14:textId="77777777" w:rsidR="00A052DC" w:rsidRDefault="009F0A60">
            <w:pPr>
              <w:pStyle w:val="B"/>
              <w:rPr>
                <w:szCs w:val="20"/>
              </w:rPr>
            </w:pPr>
            <w:r>
              <w:rPr>
                <w:rFonts w:hint="eastAsia"/>
                <w:szCs w:val="20"/>
              </w:rPr>
              <w:t>再保险分出人与本机构的关系</w:t>
            </w:r>
          </w:p>
        </w:tc>
        <w:tc>
          <w:tcPr>
            <w:tcW w:w="1560" w:type="dxa"/>
            <w:noWrap/>
          </w:tcPr>
          <w:p w14:paraId="4B388D2D" w14:textId="77777777" w:rsidR="00A052DC" w:rsidRDefault="009F0A60">
            <w:pPr>
              <w:pStyle w:val="B"/>
              <w:rPr>
                <w:szCs w:val="20"/>
              </w:rPr>
            </w:pPr>
            <w:r>
              <w:rPr>
                <w:rFonts w:hint="eastAsia"/>
                <w:szCs w:val="20"/>
              </w:rPr>
              <w:t>整数型</w:t>
            </w:r>
          </w:p>
        </w:tc>
        <w:tc>
          <w:tcPr>
            <w:tcW w:w="4078" w:type="dxa"/>
          </w:tcPr>
          <w:p w14:paraId="538CD695" w14:textId="77777777" w:rsidR="00A052DC" w:rsidRDefault="009F0A60">
            <w:pPr>
              <w:pStyle w:val="B"/>
              <w:rPr>
                <w:szCs w:val="20"/>
              </w:rPr>
            </w:pPr>
            <w:r>
              <w:rPr>
                <w:rFonts w:hint="eastAsia"/>
                <w:szCs w:val="20"/>
              </w:rPr>
              <w:t>必填项，见对方与本机构</w:t>
            </w:r>
            <w:r>
              <w:rPr>
                <w:szCs w:val="20"/>
              </w:rPr>
              <w:t>/</w:t>
            </w:r>
            <w:r>
              <w:rPr>
                <w:rFonts w:hint="eastAsia"/>
                <w:szCs w:val="20"/>
              </w:rPr>
              <w:t>被代理居民机构</w:t>
            </w:r>
            <w:r>
              <w:rPr>
                <w:szCs w:val="20"/>
              </w:rPr>
              <w:t>/</w:t>
            </w:r>
            <w:r>
              <w:rPr>
                <w:rFonts w:hint="eastAsia"/>
                <w:szCs w:val="20"/>
              </w:rPr>
              <w:t>委托人的关系代码表。</w:t>
            </w:r>
          </w:p>
        </w:tc>
      </w:tr>
      <w:tr w:rsidR="00A052DC" w14:paraId="4A50810E" w14:textId="77777777">
        <w:trPr>
          <w:gridAfter w:val="1"/>
          <w:wAfter w:w="11" w:type="dxa"/>
          <w:jc w:val="center"/>
        </w:trPr>
        <w:tc>
          <w:tcPr>
            <w:tcW w:w="1347" w:type="dxa"/>
            <w:noWrap/>
          </w:tcPr>
          <w:p w14:paraId="6C7303B0" w14:textId="77777777" w:rsidR="00A052DC" w:rsidRDefault="009F0A60">
            <w:pPr>
              <w:pStyle w:val="B"/>
              <w:rPr>
                <w:szCs w:val="20"/>
              </w:rPr>
            </w:pPr>
            <w:r>
              <w:rPr>
                <w:szCs w:val="20"/>
              </w:rPr>
              <w:t>I0205</w:t>
            </w:r>
          </w:p>
        </w:tc>
        <w:tc>
          <w:tcPr>
            <w:tcW w:w="1666" w:type="dxa"/>
          </w:tcPr>
          <w:p w14:paraId="13616024" w14:textId="77777777" w:rsidR="00A052DC" w:rsidRDefault="009F0A60">
            <w:pPr>
              <w:pStyle w:val="B"/>
              <w:rPr>
                <w:szCs w:val="20"/>
              </w:rPr>
            </w:pPr>
            <w:r>
              <w:rPr>
                <w:rFonts w:hint="eastAsia"/>
                <w:szCs w:val="20"/>
              </w:rPr>
              <w:t>填表币种</w:t>
            </w:r>
          </w:p>
        </w:tc>
        <w:tc>
          <w:tcPr>
            <w:tcW w:w="1560" w:type="dxa"/>
            <w:noWrap/>
          </w:tcPr>
          <w:p w14:paraId="19B1F975" w14:textId="77777777" w:rsidR="00A052DC" w:rsidRDefault="009F0A60">
            <w:pPr>
              <w:pStyle w:val="B"/>
              <w:rPr>
                <w:szCs w:val="20"/>
              </w:rPr>
            </w:pPr>
            <w:r>
              <w:rPr>
                <w:rFonts w:hint="eastAsia"/>
                <w:szCs w:val="20"/>
              </w:rPr>
              <w:t>字符型，</w:t>
            </w:r>
            <w:r>
              <w:rPr>
                <w:szCs w:val="20"/>
              </w:rPr>
              <w:t>3</w:t>
            </w:r>
          </w:p>
        </w:tc>
        <w:tc>
          <w:tcPr>
            <w:tcW w:w="4078" w:type="dxa"/>
          </w:tcPr>
          <w:p w14:paraId="5BBBAFB4" w14:textId="77777777" w:rsidR="00A052DC" w:rsidRDefault="009F0A60">
            <w:pPr>
              <w:pStyle w:val="B"/>
              <w:rPr>
                <w:szCs w:val="20"/>
              </w:rPr>
            </w:pPr>
            <w:r>
              <w:rPr>
                <w:rFonts w:hint="eastAsia"/>
                <w:szCs w:val="20"/>
              </w:rPr>
              <w:t>必填项，见币种代码表。</w:t>
            </w:r>
          </w:p>
        </w:tc>
      </w:tr>
      <w:tr w:rsidR="00A052DC" w14:paraId="6AF97E21" w14:textId="77777777">
        <w:trPr>
          <w:gridAfter w:val="1"/>
          <w:wAfter w:w="11" w:type="dxa"/>
          <w:jc w:val="center"/>
        </w:trPr>
        <w:tc>
          <w:tcPr>
            <w:tcW w:w="1347" w:type="dxa"/>
            <w:noWrap/>
          </w:tcPr>
          <w:p w14:paraId="0D73C8CF" w14:textId="77777777" w:rsidR="00A052DC" w:rsidRDefault="009F0A60">
            <w:pPr>
              <w:pStyle w:val="B"/>
              <w:rPr>
                <w:szCs w:val="20"/>
              </w:rPr>
            </w:pPr>
            <w:r>
              <w:rPr>
                <w:szCs w:val="20"/>
              </w:rPr>
              <w:t>I0206</w:t>
            </w:r>
          </w:p>
        </w:tc>
        <w:tc>
          <w:tcPr>
            <w:tcW w:w="1666" w:type="dxa"/>
          </w:tcPr>
          <w:p w14:paraId="2DEB750F" w14:textId="77777777" w:rsidR="00A052DC" w:rsidRDefault="009F0A60">
            <w:pPr>
              <w:pStyle w:val="B"/>
              <w:rPr>
                <w:szCs w:val="20"/>
              </w:rPr>
            </w:pPr>
            <w:r>
              <w:rPr>
                <w:rFonts w:hint="eastAsia"/>
                <w:szCs w:val="20"/>
              </w:rPr>
              <w:t>本月分入业务已赚分保费收入</w:t>
            </w:r>
          </w:p>
        </w:tc>
        <w:tc>
          <w:tcPr>
            <w:tcW w:w="1560" w:type="dxa"/>
            <w:noWrap/>
          </w:tcPr>
          <w:p w14:paraId="3CF67B58" w14:textId="77777777" w:rsidR="00A052DC" w:rsidRDefault="009F0A60">
            <w:pPr>
              <w:pStyle w:val="B"/>
              <w:rPr>
                <w:szCs w:val="20"/>
              </w:rPr>
            </w:pPr>
            <w:r>
              <w:rPr>
                <w:rFonts w:hint="eastAsia"/>
                <w:szCs w:val="20"/>
              </w:rPr>
              <w:t>数值型，</w:t>
            </w:r>
            <w:r>
              <w:rPr>
                <w:szCs w:val="20"/>
              </w:rPr>
              <w:t>22.2</w:t>
            </w:r>
          </w:p>
        </w:tc>
        <w:tc>
          <w:tcPr>
            <w:tcW w:w="4078" w:type="dxa"/>
          </w:tcPr>
          <w:p w14:paraId="56E6AFF7" w14:textId="77777777" w:rsidR="00A052DC" w:rsidRDefault="009F0A60">
            <w:pPr>
              <w:pStyle w:val="B"/>
              <w:rPr>
                <w:szCs w:val="20"/>
              </w:rPr>
            </w:pPr>
            <w:r>
              <w:rPr>
                <w:rFonts w:hint="eastAsia"/>
                <w:szCs w:val="20"/>
              </w:rPr>
              <w:t>必填项。</w:t>
            </w:r>
          </w:p>
        </w:tc>
      </w:tr>
      <w:tr w:rsidR="00A052DC" w14:paraId="5FF1E99B" w14:textId="77777777">
        <w:trPr>
          <w:gridAfter w:val="1"/>
          <w:wAfter w:w="11" w:type="dxa"/>
          <w:jc w:val="center"/>
        </w:trPr>
        <w:tc>
          <w:tcPr>
            <w:tcW w:w="1347" w:type="dxa"/>
            <w:noWrap/>
          </w:tcPr>
          <w:p w14:paraId="0068AB4F" w14:textId="77777777" w:rsidR="00A052DC" w:rsidRDefault="009F0A60">
            <w:pPr>
              <w:pStyle w:val="B"/>
              <w:rPr>
                <w:szCs w:val="20"/>
              </w:rPr>
            </w:pPr>
            <w:r>
              <w:rPr>
                <w:szCs w:val="20"/>
              </w:rPr>
              <w:t>I0207</w:t>
            </w:r>
          </w:p>
        </w:tc>
        <w:tc>
          <w:tcPr>
            <w:tcW w:w="1666" w:type="dxa"/>
          </w:tcPr>
          <w:p w14:paraId="4A8097CB" w14:textId="77777777" w:rsidR="00A052DC" w:rsidRDefault="009F0A60">
            <w:pPr>
              <w:pStyle w:val="B"/>
              <w:rPr>
                <w:szCs w:val="20"/>
              </w:rPr>
            </w:pPr>
            <w:r>
              <w:rPr>
                <w:rFonts w:hint="eastAsia"/>
                <w:szCs w:val="20"/>
              </w:rPr>
              <w:t>本月归属于非居民保单持有人的收益（补充保费）</w:t>
            </w:r>
          </w:p>
        </w:tc>
        <w:tc>
          <w:tcPr>
            <w:tcW w:w="1560" w:type="dxa"/>
            <w:noWrap/>
          </w:tcPr>
          <w:p w14:paraId="424C1306" w14:textId="77777777" w:rsidR="00A052DC" w:rsidRDefault="009F0A60">
            <w:pPr>
              <w:pStyle w:val="B"/>
              <w:rPr>
                <w:szCs w:val="20"/>
              </w:rPr>
            </w:pPr>
            <w:r>
              <w:rPr>
                <w:rFonts w:hint="eastAsia"/>
                <w:szCs w:val="20"/>
              </w:rPr>
              <w:t>数值型，</w:t>
            </w:r>
            <w:r>
              <w:rPr>
                <w:szCs w:val="20"/>
              </w:rPr>
              <w:t>22.2</w:t>
            </w:r>
          </w:p>
        </w:tc>
        <w:tc>
          <w:tcPr>
            <w:tcW w:w="4078" w:type="dxa"/>
          </w:tcPr>
          <w:p w14:paraId="7B82B1F4" w14:textId="77777777" w:rsidR="00A052DC" w:rsidRDefault="009F0A60">
            <w:pPr>
              <w:pStyle w:val="B"/>
              <w:rPr>
                <w:szCs w:val="20"/>
              </w:rPr>
            </w:pPr>
            <w:r>
              <w:rPr>
                <w:rFonts w:hint="eastAsia"/>
                <w:szCs w:val="20"/>
              </w:rPr>
              <w:t>必填项，必须≥</w:t>
            </w:r>
            <w:r>
              <w:rPr>
                <w:szCs w:val="20"/>
              </w:rPr>
              <w:t>0</w:t>
            </w:r>
            <w:r>
              <w:rPr>
                <w:rFonts w:hint="eastAsia"/>
                <w:szCs w:val="20"/>
              </w:rPr>
              <w:t>。</w:t>
            </w:r>
          </w:p>
        </w:tc>
      </w:tr>
      <w:tr w:rsidR="00A052DC" w14:paraId="56B7FE49" w14:textId="77777777">
        <w:trPr>
          <w:gridAfter w:val="1"/>
          <w:wAfter w:w="11" w:type="dxa"/>
          <w:jc w:val="center"/>
        </w:trPr>
        <w:tc>
          <w:tcPr>
            <w:tcW w:w="1347" w:type="dxa"/>
            <w:noWrap/>
          </w:tcPr>
          <w:p w14:paraId="5E9BC4D6" w14:textId="77777777" w:rsidR="00A052DC" w:rsidRDefault="009F0A60">
            <w:pPr>
              <w:pStyle w:val="B"/>
              <w:rPr>
                <w:szCs w:val="20"/>
              </w:rPr>
            </w:pPr>
            <w:r>
              <w:rPr>
                <w:szCs w:val="20"/>
              </w:rPr>
              <w:t>I0208</w:t>
            </w:r>
          </w:p>
        </w:tc>
        <w:tc>
          <w:tcPr>
            <w:tcW w:w="1666" w:type="dxa"/>
          </w:tcPr>
          <w:p w14:paraId="18DB244E" w14:textId="77777777" w:rsidR="00A052DC" w:rsidRDefault="009F0A60">
            <w:pPr>
              <w:pStyle w:val="B"/>
              <w:rPr>
                <w:szCs w:val="20"/>
              </w:rPr>
            </w:pPr>
            <w:r>
              <w:rPr>
                <w:rFonts w:hint="eastAsia"/>
                <w:szCs w:val="20"/>
              </w:rPr>
              <w:t>本月分保费用支出</w:t>
            </w:r>
          </w:p>
        </w:tc>
        <w:tc>
          <w:tcPr>
            <w:tcW w:w="1560" w:type="dxa"/>
            <w:noWrap/>
          </w:tcPr>
          <w:p w14:paraId="2A0C80A8" w14:textId="77777777" w:rsidR="00A052DC" w:rsidRDefault="009F0A60">
            <w:pPr>
              <w:pStyle w:val="B"/>
              <w:rPr>
                <w:szCs w:val="20"/>
              </w:rPr>
            </w:pPr>
            <w:r>
              <w:rPr>
                <w:rFonts w:hint="eastAsia"/>
                <w:szCs w:val="20"/>
              </w:rPr>
              <w:t>数值型，</w:t>
            </w:r>
            <w:r>
              <w:rPr>
                <w:szCs w:val="20"/>
              </w:rPr>
              <w:t>22.2</w:t>
            </w:r>
          </w:p>
        </w:tc>
        <w:tc>
          <w:tcPr>
            <w:tcW w:w="4078" w:type="dxa"/>
          </w:tcPr>
          <w:p w14:paraId="3CB068F9" w14:textId="77777777" w:rsidR="00A052DC" w:rsidRDefault="009F0A60">
            <w:pPr>
              <w:pStyle w:val="B"/>
              <w:rPr>
                <w:szCs w:val="20"/>
              </w:rPr>
            </w:pPr>
            <w:r>
              <w:rPr>
                <w:rFonts w:hint="eastAsia"/>
                <w:szCs w:val="20"/>
              </w:rPr>
              <w:t>必填项。</w:t>
            </w:r>
          </w:p>
        </w:tc>
      </w:tr>
      <w:tr w:rsidR="00A052DC" w14:paraId="656F5049" w14:textId="77777777">
        <w:trPr>
          <w:gridAfter w:val="1"/>
          <w:wAfter w:w="11" w:type="dxa"/>
          <w:jc w:val="center"/>
        </w:trPr>
        <w:tc>
          <w:tcPr>
            <w:tcW w:w="1347" w:type="dxa"/>
            <w:noWrap/>
          </w:tcPr>
          <w:p w14:paraId="6BA30A96" w14:textId="77777777" w:rsidR="00A052DC" w:rsidRDefault="009F0A60">
            <w:pPr>
              <w:pStyle w:val="B"/>
              <w:rPr>
                <w:szCs w:val="20"/>
              </w:rPr>
            </w:pPr>
            <w:r>
              <w:rPr>
                <w:szCs w:val="20"/>
              </w:rPr>
              <w:t>I0209</w:t>
            </w:r>
          </w:p>
        </w:tc>
        <w:tc>
          <w:tcPr>
            <w:tcW w:w="1666" w:type="dxa"/>
          </w:tcPr>
          <w:p w14:paraId="68DA150D" w14:textId="77777777" w:rsidR="00A052DC" w:rsidRDefault="009F0A60">
            <w:pPr>
              <w:pStyle w:val="B"/>
              <w:rPr>
                <w:szCs w:val="20"/>
              </w:rPr>
            </w:pPr>
            <w:r>
              <w:rPr>
                <w:rFonts w:hint="eastAsia"/>
                <w:szCs w:val="20"/>
              </w:rPr>
              <w:t>本月分保赔款支出</w:t>
            </w:r>
          </w:p>
        </w:tc>
        <w:tc>
          <w:tcPr>
            <w:tcW w:w="1560" w:type="dxa"/>
            <w:noWrap/>
          </w:tcPr>
          <w:p w14:paraId="1166779B" w14:textId="77777777" w:rsidR="00A052DC" w:rsidRDefault="009F0A60">
            <w:pPr>
              <w:pStyle w:val="B"/>
              <w:rPr>
                <w:szCs w:val="20"/>
              </w:rPr>
            </w:pPr>
            <w:r>
              <w:rPr>
                <w:rFonts w:hint="eastAsia"/>
                <w:szCs w:val="20"/>
              </w:rPr>
              <w:t>数值型，</w:t>
            </w:r>
            <w:r>
              <w:rPr>
                <w:szCs w:val="20"/>
              </w:rPr>
              <w:t>22.2</w:t>
            </w:r>
          </w:p>
        </w:tc>
        <w:tc>
          <w:tcPr>
            <w:tcW w:w="4078" w:type="dxa"/>
          </w:tcPr>
          <w:p w14:paraId="23072DA8" w14:textId="77777777" w:rsidR="00A052DC" w:rsidRDefault="009F0A60">
            <w:pPr>
              <w:pStyle w:val="B"/>
              <w:rPr>
                <w:szCs w:val="20"/>
              </w:rPr>
            </w:pPr>
            <w:r>
              <w:rPr>
                <w:rFonts w:hint="eastAsia"/>
                <w:szCs w:val="20"/>
              </w:rPr>
              <w:t>必填项。</w:t>
            </w:r>
          </w:p>
        </w:tc>
      </w:tr>
      <w:tr w:rsidR="00A052DC" w14:paraId="73A467AC" w14:textId="77777777">
        <w:trPr>
          <w:gridAfter w:val="1"/>
          <w:wAfter w:w="11" w:type="dxa"/>
          <w:jc w:val="center"/>
        </w:trPr>
        <w:tc>
          <w:tcPr>
            <w:tcW w:w="1347" w:type="dxa"/>
            <w:noWrap/>
          </w:tcPr>
          <w:p w14:paraId="7A67DA95" w14:textId="77777777" w:rsidR="00A052DC" w:rsidRDefault="009F0A60">
            <w:pPr>
              <w:pStyle w:val="B"/>
              <w:rPr>
                <w:szCs w:val="20"/>
              </w:rPr>
            </w:pPr>
            <w:r>
              <w:rPr>
                <w:szCs w:val="20"/>
              </w:rPr>
              <w:t>I0210</w:t>
            </w:r>
          </w:p>
        </w:tc>
        <w:tc>
          <w:tcPr>
            <w:tcW w:w="1666" w:type="dxa"/>
          </w:tcPr>
          <w:p w14:paraId="7D396CB4" w14:textId="77777777" w:rsidR="00A052DC" w:rsidRDefault="009F0A60">
            <w:pPr>
              <w:pStyle w:val="B"/>
              <w:rPr>
                <w:szCs w:val="20"/>
              </w:rPr>
            </w:pPr>
            <w:r>
              <w:rPr>
                <w:rFonts w:hint="eastAsia"/>
                <w:szCs w:val="20"/>
              </w:rPr>
              <w:t>上月末分保责任准备金余额</w:t>
            </w:r>
          </w:p>
        </w:tc>
        <w:tc>
          <w:tcPr>
            <w:tcW w:w="1560" w:type="dxa"/>
            <w:noWrap/>
          </w:tcPr>
          <w:p w14:paraId="1F0C28DC" w14:textId="77777777" w:rsidR="00A052DC" w:rsidRDefault="009F0A60">
            <w:pPr>
              <w:pStyle w:val="B"/>
              <w:rPr>
                <w:szCs w:val="20"/>
              </w:rPr>
            </w:pPr>
            <w:r>
              <w:rPr>
                <w:rFonts w:hint="eastAsia"/>
                <w:szCs w:val="20"/>
              </w:rPr>
              <w:t>数值型，</w:t>
            </w:r>
            <w:r>
              <w:rPr>
                <w:szCs w:val="20"/>
              </w:rPr>
              <w:t>22.2</w:t>
            </w:r>
          </w:p>
        </w:tc>
        <w:tc>
          <w:tcPr>
            <w:tcW w:w="4078" w:type="dxa"/>
          </w:tcPr>
          <w:p w14:paraId="30882FF4" w14:textId="77777777" w:rsidR="00A052DC" w:rsidRDefault="009F0A60">
            <w:pPr>
              <w:pStyle w:val="B"/>
              <w:rPr>
                <w:szCs w:val="20"/>
              </w:rPr>
            </w:pPr>
            <w:r>
              <w:rPr>
                <w:rFonts w:hint="eastAsia"/>
                <w:szCs w:val="20"/>
              </w:rPr>
              <w:t>必填项。</w:t>
            </w:r>
          </w:p>
        </w:tc>
      </w:tr>
      <w:tr w:rsidR="00A052DC" w14:paraId="7472B64D" w14:textId="77777777">
        <w:trPr>
          <w:gridAfter w:val="1"/>
          <w:wAfter w:w="11" w:type="dxa"/>
          <w:jc w:val="center"/>
        </w:trPr>
        <w:tc>
          <w:tcPr>
            <w:tcW w:w="1347" w:type="dxa"/>
            <w:noWrap/>
          </w:tcPr>
          <w:p w14:paraId="052A2EFE" w14:textId="77777777" w:rsidR="00A052DC" w:rsidRDefault="009F0A60">
            <w:pPr>
              <w:pStyle w:val="B"/>
              <w:rPr>
                <w:szCs w:val="20"/>
              </w:rPr>
            </w:pPr>
            <w:r>
              <w:rPr>
                <w:szCs w:val="20"/>
              </w:rPr>
              <w:t>I0211</w:t>
            </w:r>
          </w:p>
        </w:tc>
        <w:tc>
          <w:tcPr>
            <w:tcW w:w="1666" w:type="dxa"/>
          </w:tcPr>
          <w:p w14:paraId="3E598357" w14:textId="77777777" w:rsidR="00A052DC" w:rsidRDefault="009F0A60">
            <w:pPr>
              <w:pStyle w:val="B"/>
              <w:rPr>
                <w:szCs w:val="20"/>
              </w:rPr>
            </w:pPr>
            <w:r>
              <w:rPr>
                <w:rFonts w:hint="eastAsia"/>
                <w:szCs w:val="20"/>
              </w:rPr>
              <w:t>本月末分保责任准备金余额</w:t>
            </w:r>
          </w:p>
        </w:tc>
        <w:tc>
          <w:tcPr>
            <w:tcW w:w="1560" w:type="dxa"/>
            <w:noWrap/>
          </w:tcPr>
          <w:p w14:paraId="0B107BDF" w14:textId="77777777" w:rsidR="00A052DC" w:rsidRDefault="009F0A60">
            <w:pPr>
              <w:pStyle w:val="B"/>
              <w:rPr>
                <w:szCs w:val="20"/>
              </w:rPr>
            </w:pPr>
            <w:r>
              <w:rPr>
                <w:rFonts w:hint="eastAsia"/>
                <w:szCs w:val="20"/>
              </w:rPr>
              <w:t>数值型，</w:t>
            </w:r>
            <w:r>
              <w:rPr>
                <w:szCs w:val="20"/>
              </w:rPr>
              <w:t>22.2</w:t>
            </w:r>
          </w:p>
        </w:tc>
        <w:tc>
          <w:tcPr>
            <w:tcW w:w="4078" w:type="dxa"/>
          </w:tcPr>
          <w:p w14:paraId="126CD6A2" w14:textId="77777777" w:rsidR="00A052DC" w:rsidRDefault="009F0A60">
            <w:pPr>
              <w:pStyle w:val="B"/>
              <w:rPr>
                <w:szCs w:val="20"/>
              </w:rPr>
            </w:pPr>
            <w:r>
              <w:rPr>
                <w:rFonts w:hint="eastAsia"/>
                <w:szCs w:val="20"/>
              </w:rPr>
              <w:t>必填项。</w:t>
            </w:r>
          </w:p>
        </w:tc>
      </w:tr>
      <w:tr w:rsidR="00A052DC" w14:paraId="56D2D642" w14:textId="77777777">
        <w:trPr>
          <w:jc w:val="center"/>
        </w:trPr>
        <w:tc>
          <w:tcPr>
            <w:tcW w:w="1347" w:type="dxa"/>
            <w:noWrap/>
          </w:tcPr>
          <w:p w14:paraId="6FC8A3AD" w14:textId="77777777" w:rsidR="00A052DC" w:rsidRDefault="009F0A60">
            <w:pPr>
              <w:pStyle w:val="B"/>
              <w:rPr>
                <w:szCs w:val="20"/>
              </w:rPr>
            </w:pPr>
            <w:r>
              <w:rPr>
                <w:szCs w:val="20"/>
              </w:rPr>
              <w:t>I0212</w:t>
            </w:r>
          </w:p>
        </w:tc>
        <w:tc>
          <w:tcPr>
            <w:tcW w:w="1666" w:type="dxa"/>
          </w:tcPr>
          <w:p w14:paraId="7F3C1FDA" w14:textId="77777777" w:rsidR="00A052DC" w:rsidRDefault="009F0A60">
            <w:pPr>
              <w:pStyle w:val="B"/>
              <w:rPr>
                <w:szCs w:val="20"/>
              </w:rPr>
            </w:pPr>
            <w:r>
              <w:rPr>
                <w:rFonts w:hint="eastAsia"/>
                <w:szCs w:val="20"/>
              </w:rPr>
              <w:t>备注</w:t>
            </w:r>
          </w:p>
        </w:tc>
        <w:tc>
          <w:tcPr>
            <w:tcW w:w="1560" w:type="dxa"/>
            <w:noWrap/>
          </w:tcPr>
          <w:p w14:paraId="409EDFB6" w14:textId="77777777" w:rsidR="00A052DC" w:rsidRDefault="009F0A60">
            <w:pPr>
              <w:pStyle w:val="B"/>
              <w:rPr>
                <w:szCs w:val="20"/>
              </w:rPr>
            </w:pPr>
            <w:r>
              <w:rPr>
                <w:rFonts w:hint="eastAsia"/>
                <w:szCs w:val="20"/>
              </w:rPr>
              <w:t>字符型，</w:t>
            </w:r>
            <w:r>
              <w:rPr>
                <w:szCs w:val="20"/>
              </w:rPr>
              <w:t>512</w:t>
            </w:r>
          </w:p>
        </w:tc>
        <w:tc>
          <w:tcPr>
            <w:tcW w:w="4089" w:type="dxa"/>
            <w:gridSpan w:val="2"/>
          </w:tcPr>
          <w:p w14:paraId="29F92A27" w14:textId="77777777" w:rsidR="00A052DC" w:rsidRDefault="009F0A60">
            <w:pPr>
              <w:pStyle w:val="B"/>
              <w:rPr>
                <w:szCs w:val="20"/>
              </w:rPr>
            </w:pPr>
            <w:r>
              <w:rPr>
                <w:rFonts w:hint="eastAsia"/>
                <w:szCs w:val="20"/>
              </w:rPr>
              <w:t>当</w:t>
            </w:r>
            <w:r>
              <w:rPr>
                <w:szCs w:val="20"/>
              </w:rPr>
              <w:t>I0208-I0211各项中任何一项为负数</w:t>
            </w:r>
            <w:r>
              <w:rPr>
                <w:rFonts w:hint="eastAsia"/>
                <w:szCs w:val="20"/>
              </w:rPr>
              <w:t>时为必填项。</w:t>
            </w:r>
          </w:p>
        </w:tc>
      </w:tr>
    </w:tbl>
    <w:p w14:paraId="717295BD" w14:textId="77777777" w:rsidR="00A052DC" w:rsidRDefault="00A052DC"/>
    <w:p w14:paraId="53E765DA" w14:textId="77777777" w:rsidR="00A052DC" w:rsidRDefault="009F0A60" w:rsidP="0020251D">
      <w:pPr>
        <w:pStyle w:val="3"/>
        <w:ind w:left="0"/>
        <w:rPr>
          <w:rFonts w:ascii="Times New Roman" w:hAnsi="Times New Roman"/>
        </w:rPr>
      </w:pPr>
      <w:bookmarkStart w:id="3708" w:name="_Toc454382503"/>
      <w:bookmarkStart w:id="3709" w:name="_Toc454391476"/>
      <w:bookmarkStart w:id="3710" w:name="_Toc455156668"/>
      <w:bookmarkStart w:id="3711" w:name="_Toc454459198"/>
      <w:bookmarkStart w:id="3712" w:name="_Toc454464921"/>
      <w:bookmarkStart w:id="3713" w:name="_Toc455164119"/>
      <w:bookmarkStart w:id="3714" w:name="_Toc455152940"/>
      <w:bookmarkStart w:id="3715" w:name="_Toc454399422"/>
      <w:bookmarkStart w:id="3716" w:name="_Toc455167844"/>
      <w:bookmarkStart w:id="3717" w:name="_Toc454780298"/>
      <w:bookmarkStart w:id="3718" w:name="_Toc91455339"/>
      <w:bookmarkStart w:id="3719" w:name="_Toc454391477"/>
      <w:bookmarkStart w:id="3720" w:name="_Toc380571021"/>
      <w:bookmarkStart w:id="3721" w:name="_Toc380356308"/>
      <w:bookmarkStart w:id="3722" w:name="_Toc101684512"/>
      <w:bookmarkEnd w:id="3708"/>
      <w:bookmarkEnd w:id="3709"/>
      <w:bookmarkEnd w:id="3710"/>
      <w:bookmarkEnd w:id="3711"/>
      <w:bookmarkEnd w:id="3712"/>
      <w:bookmarkEnd w:id="3713"/>
      <w:bookmarkEnd w:id="3714"/>
      <w:bookmarkEnd w:id="3715"/>
      <w:bookmarkEnd w:id="3716"/>
      <w:bookmarkEnd w:id="3717"/>
      <w:r>
        <w:rPr>
          <w:rFonts w:ascii="Times New Roman" w:hAnsi="Times New Roman"/>
        </w:rPr>
        <w:t>I03</w:t>
      </w:r>
      <w:r>
        <w:rPr>
          <w:rFonts w:ascii="Times New Roman" w:hAnsi="Times New Roman" w:hint="eastAsia"/>
        </w:rPr>
        <w:t>表：从非居民保险机构获得再保险服务（分出保险）</w:t>
      </w:r>
      <w:bookmarkEnd w:id="3718"/>
      <w:bookmarkEnd w:id="3719"/>
      <w:bookmarkEnd w:id="3720"/>
      <w:bookmarkEnd w:id="3721"/>
      <w:bookmarkEnd w:id="3722"/>
    </w:p>
    <w:p w14:paraId="6F3B2F23" w14:textId="77777777" w:rsidR="00A052DC" w:rsidRDefault="009F0A60" w:rsidP="0020251D">
      <w:pPr>
        <w:pStyle w:val="4"/>
        <w:numPr>
          <w:ilvl w:val="3"/>
          <w:numId w:val="1"/>
        </w:numPr>
        <w:jc w:val="left"/>
      </w:pPr>
      <w:bookmarkStart w:id="3723" w:name="_Toc380571022"/>
      <w:bookmarkStart w:id="3724" w:name="_Toc454391478"/>
      <w:r>
        <w:rPr>
          <w:rFonts w:hint="eastAsia"/>
        </w:rPr>
        <w:t>数据术语解释</w:t>
      </w:r>
      <w:bookmarkEnd w:id="3723"/>
      <w:bookmarkEnd w:id="3724"/>
    </w:p>
    <w:p w14:paraId="4C8C54D7" w14:textId="77777777" w:rsidR="00A052DC" w:rsidRDefault="00A052DC">
      <w:pPr>
        <w:spacing w:line="240" w:lineRule="exact"/>
        <w:rPr>
          <w:sz w:val="18"/>
        </w:rPr>
      </w:pPr>
    </w:p>
    <w:tbl>
      <w:tblPr>
        <w:tblW w:w="8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0"/>
        <w:gridCol w:w="6119"/>
      </w:tblGrid>
      <w:tr w:rsidR="00A052DC" w14:paraId="5AC878E1" w14:textId="77777777">
        <w:trPr>
          <w:cantSplit/>
          <w:jc w:val="center"/>
        </w:trPr>
        <w:tc>
          <w:tcPr>
            <w:tcW w:w="2350" w:type="dxa"/>
            <w:noWrap/>
          </w:tcPr>
          <w:p w14:paraId="3E9F9126" w14:textId="77777777" w:rsidR="00A052DC" w:rsidRDefault="009F0A60">
            <w:pPr>
              <w:pStyle w:val="B1"/>
            </w:pPr>
            <w:r>
              <w:rPr>
                <w:rFonts w:hint="eastAsia"/>
              </w:rPr>
              <w:t>基础数据项</w:t>
            </w:r>
          </w:p>
        </w:tc>
        <w:tc>
          <w:tcPr>
            <w:tcW w:w="6119" w:type="dxa"/>
            <w:noWrap/>
          </w:tcPr>
          <w:p w14:paraId="0A903EDE" w14:textId="77777777" w:rsidR="00A052DC" w:rsidRDefault="009F0A60">
            <w:pPr>
              <w:pStyle w:val="B1"/>
            </w:pPr>
            <w:r>
              <w:rPr>
                <w:rFonts w:hint="eastAsia"/>
              </w:rPr>
              <w:t>定义</w:t>
            </w:r>
          </w:p>
        </w:tc>
      </w:tr>
      <w:tr w:rsidR="00A052DC" w14:paraId="4C22C408" w14:textId="77777777">
        <w:trPr>
          <w:cantSplit/>
          <w:jc w:val="center"/>
        </w:trPr>
        <w:tc>
          <w:tcPr>
            <w:tcW w:w="2350" w:type="dxa"/>
          </w:tcPr>
          <w:p w14:paraId="57D22C59" w14:textId="77777777" w:rsidR="00A052DC" w:rsidRDefault="009F0A60">
            <w:pPr>
              <w:pStyle w:val="B"/>
              <w:rPr>
                <w:szCs w:val="20"/>
              </w:rPr>
            </w:pPr>
            <w:r>
              <w:rPr>
                <w:rFonts w:hint="eastAsia"/>
                <w:szCs w:val="20"/>
              </w:rPr>
              <w:t>数据自编码</w:t>
            </w:r>
          </w:p>
        </w:tc>
        <w:tc>
          <w:tcPr>
            <w:tcW w:w="6119" w:type="dxa"/>
            <w:noWrap/>
          </w:tcPr>
          <w:p w14:paraId="34FC3FA7" w14:textId="77777777" w:rsidR="00A052DC" w:rsidRDefault="009F0A60">
            <w:pPr>
              <w:pStyle w:val="B"/>
              <w:rPr>
                <w:szCs w:val="20"/>
              </w:rPr>
            </w:pPr>
            <w:r>
              <w:rPr>
                <w:rFonts w:hint="eastAsia"/>
                <w:szCs w:val="20"/>
              </w:rPr>
              <w:t>该编码用于标识金融机构报送的每一条数据，按给定规则编码，便于进行增删改查等操作。建议规则：机构代码（18位，不足18位补</w:t>
            </w:r>
            <w:r>
              <w:rPr>
                <w:szCs w:val="20"/>
              </w:rPr>
              <w:t>a</w:t>
            </w:r>
            <w:r>
              <w:rPr>
                <w:rFonts w:hint="eastAsia"/>
                <w:szCs w:val="20"/>
              </w:rPr>
              <w:t>）</w:t>
            </w:r>
            <w:r>
              <w:rPr>
                <w:szCs w:val="20"/>
              </w:rPr>
              <w:t>+</w:t>
            </w:r>
            <w:r>
              <w:rPr>
                <w:rFonts w:hint="eastAsia"/>
                <w:szCs w:val="20"/>
              </w:rPr>
              <w:t>报表代码（</w:t>
            </w:r>
            <w:r>
              <w:rPr>
                <w:szCs w:val="20"/>
              </w:rPr>
              <w:t>5</w:t>
            </w:r>
            <w:r>
              <w:rPr>
                <w:rFonts w:hint="eastAsia"/>
                <w:szCs w:val="20"/>
              </w:rPr>
              <w:t>位，不足</w:t>
            </w:r>
            <w:r>
              <w:rPr>
                <w:szCs w:val="20"/>
              </w:rPr>
              <w:t>5</w:t>
            </w:r>
            <w:r>
              <w:rPr>
                <w:rFonts w:hint="eastAsia"/>
                <w:szCs w:val="20"/>
              </w:rPr>
              <w:t>位补</w:t>
            </w:r>
            <w:r>
              <w:rPr>
                <w:szCs w:val="20"/>
              </w:rPr>
              <w:t>a</w:t>
            </w:r>
            <w:r>
              <w:rPr>
                <w:rFonts w:hint="eastAsia"/>
                <w:szCs w:val="20"/>
              </w:rPr>
              <w:t>）</w:t>
            </w:r>
            <w:r>
              <w:rPr>
                <w:szCs w:val="20"/>
              </w:rPr>
              <w:t>+</w:t>
            </w:r>
            <w:r>
              <w:rPr>
                <w:rFonts w:hint="eastAsia"/>
                <w:szCs w:val="20"/>
              </w:rPr>
              <w:t>报送期（</w:t>
            </w:r>
            <w:r>
              <w:rPr>
                <w:szCs w:val="20"/>
              </w:rPr>
              <w:t>6</w:t>
            </w:r>
            <w:r>
              <w:rPr>
                <w:rFonts w:hint="eastAsia"/>
                <w:szCs w:val="20"/>
              </w:rPr>
              <w:t>位）</w:t>
            </w:r>
            <w:r>
              <w:rPr>
                <w:szCs w:val="20"/>
              </w:rPr>
              <w:t>+</w:t>
            </w:r>
            <w:r>
              <w:rPr>
                <w:rFonts w:hint="eastAsia"/>
                <w:szCs w:val="20"/>
              </w:rPr>
              <w:t>顺序号（</w:t>
            </w:r>
            <w:r>
              <w:rPr>
                <w:szCs w:val="20"/>
              </w:rPr>
              <w:t>7</w:t>
            </w:r>
            <w:r>
              <w:rPr>
                <w:rFonts w:hint="eastAsia"/>
                <w:szCs w:val="20"/>
              </w:rPr>
              <w:t>位，从</w:t>
            </w:r>
            <w:r>
              <w:rPr>
                <w:szCs w:val="20"/>
              </w:rPr>
              <w:t>0000001</w:t>
            </w:r>
            <w:r>
              <w:rPr>
                <w:rFonts w:hint="eastAsia"/>
                <w:szCs w:val="20"/>
              </w:rPr>
              <w:t>开始增加）。</w:t>
            </w:r>
          </w:p>
        </w:tc>
      </w:tr>
      <w:tr w:rsidR="00A052DC" w14:paraId="4ED4CE8F" w14:textId="77777777">
        <w:trPr>
          <w:cantSplit/>
          <w:jc w:val="center"/>
        </w:trPr>
        <w:tc>
          <w:tcPr>
            <w:tcW w:w="2350" w:type="dxa"/>
          </w:tcPr>
          <w:p w14:paraId="6CC742FE" w14:textId="77777777" w:rsidR="00A052DC" w:rsidRDefault="009F0A60">
            <w:pPr>
              <w:pStyle w:val="B"/>
              <w:rPr>
                <w:szCs w:val="20"/>
              </w:rPr>
            </w:pPr>
            <w:r>
              <w:rPr>
                <w:rFonts w:hint="eastAsia"/>
                <w:szCs w:val="20"/>
              </w:rPr>
              <w:t>申报主体代码</w:t>
            </w:r>
          </w:p>
        </w:tc>
        <w:tc>
          <w:tcPr>
            <w:tcW w:w="6119" w:type="dxa"/>
            <w:noWrap/>
          </w:tcPr>
          <w:p w14:paraId="3361ED2E" w14:textId="77777777" w:rsidR="00A052DC" w:rsidRDefault="009F0A60">
            <w:pPr>
              <w:pStyle w:val="B"/>
              <w:rPr>
                <w:szCs w:val="20"/>
              </w:rPr>
            </w:pPr>
            <w:r>
              <w:rPr>
                <w:rFonts w:hint="eastAsia"/>
                <w:szCs w:val="20"/>
              </w:rPr>
              <w:t>申报主体的12位金融机构标识码，如果没有金融机构标识码，则填报统一社会信用代码法定载体（如营业执照）上统一社会信用代码中的第9至17位或国家外汇管理局及其分支局签发的特殊机构代码赋码通知书上的机构代码、个人身份代码。</w:t>
            </w:r>
          </w:p>
        </w:tc>
      </w:tr>
      <w:tr w:rsidR="00A052DC" w14:paraId="622D0105" w14:textId="77777777">
        <w:trPr>
          <w:cantSplit/>
          <w:jc w:val="center"/>
        </w:trPr>
        <w:tc>
          <w:tcPr>
            <w:tcW w:w="2350" w:type="dxa"/>
          </w:tcPr>
          <w:p w14:paraId="55051D6A" w14:textId="77777777" w:rsidR="00A052DC" w:rsidRDefault="009F0A60">
            <w:pPr>
              <w:pStyle w:val="B"/>
              <w:rPr>
                <w:szCs w:val="20"/>
              </w:rPr>
            </w:pPr>
            <w:r>
              <w:rPr>
                <w:rFonts w:hint="eastAsia"/>
                <w:szCs w:val="20"/>
              </w:rPr>
              <w:t>报告期</w:t>
            </w:r>
          </w:p>
        </w:tc>
        <w:tc>
          <w:tcPr>
            <w:tcW w:w="6119" w:type="dxa"/>
            <w:noWrap/>
          </w:tcPr>
          <w:p w14:paraId="404640B4" w14:textId="77777777" w:rsidR="00A052DC" w:rsidRDefault="009F0A60">
            <w:pPr>
              <w:pStyle w:val="B"/>
              <w:rPr>
                <w:szCs w:val="20"/>
              </w:rPr>
            </w:pPr>
            <w:r>
              <w:rPr>
                <w:rFonts w:hint="eastAsia"/>
                <w:szCs w:val="20"/>
              </w:rPr>
              <w:t>业务发生月份，格式为</w:t>
            </w:r>
            <w:r>
              <w:rPr>
                <w:szCs w:val="20"/>
              </w:rPr>
              <w:t>YYYYMM</w:t>
            </w:r>
            <w:r>
              <w:rPr>
                <w:rFonts w:hint="eastAsia"/>
                <w:szCs w:val="20"/>
              </w:rPr>
              <w:t>。</w:t>
            </w:r>
          </w:p>
        </w:tc>
      </w:tr>
      <w:tr w:rsidR="00A052DC" w14:paraId="744592A1" w14:textId="77777777">
        <w:trPr>
          <w:cantSplit/>
          <w:jc w:val="center"/>
        </w:trPr>
        <w:tc>
          <w:tcPr>
            <w:tcW w:w="2350" w:type="dxa"/>
          </w:tcPr>
          <w:p w14:paraId="738D0F87" w14:textId="77777777" w:rsidR="00A052DC" w:rsidRDefault="009F0A60">
            <w:pPr>
              <w:pStyle w:val="B"/>
              <w:rPr>
                <w:szCs w:val="20"/>
              </w:rPr>
            </w:pPr>
            <w:r>
              <w:rPr>
                <w:rFonts w:hint="eastAsia"/>
                <w:szCs w:val="20"/>
              </w:rPr>
              <w:t>保险类别</w:t>
            </w:r>
          </w:p>
        </w:tc>
        <w:tc>
          <w:tcPr>
            <w:tcW w:w="6119" w:type="dxa"/>
            <w:noWrap/>
          </w:tcPr>
          <w:p w14:paraId="0599B1C5" w14:textId="77777777" w:rsidR="00A052DC" w:rsidRDefault="009F0A60">
            <w:pPr>
              <w:pStyle w:val="B"/>
              <w:rPr>
                <w:szCs w:val="20"/>
              </w:rPr>
            </w:pPr>
            <w:r>
              <w:rPr>
                <w:rFonts w:hint="eastAsia"/>
                <w:szCs w:val="20"/>
              </w:rPr>
              <w:t>向非居民保险保险公司分出的保险划分为两类，</w:t>
            </w:r>
            <w:r>
              <w:rPr>
                <w:szCs w:val="20"/>
              </w:rPr>
              <w:t>1-</w:t>
            </w:r>
            <w:r>
              <w:rPr>
                <w:rFonts w:hint="eastAsia"/>
                <w:szCs w:val="20"/>
              </w:rPr>
              <w:t>人寿保险和年金，包括长期人寿保险、储蓄保险、长期健康险，及年金（即养老金）；</w:t>
            </w:r>
            <w:r>
              <w:rPr>
                <w:szCs w:val="20"/>
              </w:rPr>
              <w:t>2-</w:t>
            </w:r>
            <w:r>
              <w:rPr>
                <w:rFonts w:hint="eastAsia"/>
                <w:szCs w:val="20"/>
              </w:rPr>
              <w:t>非人寿保险，即除</w:t>
            </w:r>
            <w:r>
              <w:rPr>
                <w:szCs w:val="20"/>
              </w:rPr>
              <w:t>1-</w:t>
            </w:r>
            <w:r>
              <w:rPr>
                <w:rFonts w:hint="eastAsia"/>
                <w:szCs w:val="20"/>
              </w:rPr>
              <w:t>以外的其他保险，如短期健康险、财险等。</w:t>
            </w:r>
          </w:p>
        </w:tc>
      </w:tr>
      <w:tr w:rsidR="00A052DC" w14:paraId="156CD3A0" w14:textId="77777777">
        <w:trPr>
          <w:cantSplit/>
          <w:jc w:val="center"/>
        </w:trPr>
        <w:tc>
          <w:tcPr>
            <w:tcW w:w="2350" w:type="dxa"/>
          </w:tcPr>
          <w:p w14:paraId="2C170FF1" w14:textId="77777777" w:rsidR="00A052DC" w:rsidRDefault="009F0A60">
            <w:pPr>
              <w:pStyle w:val="B"/>
              <w:rPr>
                <w:szCs w:val="20"/>
              </w:rPr>
            </w:pPr>
            <w:r>
              <w:rPr>
                <w:rFonts w:hint="eastAsia"/>
                <w:szCs w:val="20"/>
              </w:rPr>
              <w:t>再保险接受人所属国家</w:t>
            </w:r>
            <w:r>
              <w:rPr>
                <w:szCs w:val="20"/>
              </w:rPr>
              <w:t>/</w:t>
            </w:r>
            <w:r>
              <w:rPr>
                <w:rFonts w:hint="eastAsia"/>
                <w:szCs w:val="20"/>
              </w:rPr>
              <w:t>地区</w:t>
            </w:r>
          </w:p>
        </w:tc>
        <w:tc>
          <w:tcPr>
            <w:tcW w:w="6119" w:type="dxa"/>
            <w:noWrap/>
          </w:tcPr>
          <w:p w14:paraId="0BCB684C" w14:textId="77777777" w:rsidR="00A052DC" w:rsidRDefault="009F0A60">
            <w:pPr>
              <w:pStyle w:val="B"/>
              <w:rPr>
                <w:szCs w:val="20"/>
              </w:rPr>
            </w:pPr>
            <w:r>
              <w:rPr>
                <w:rFonts w:hint="eastAsia"/>
                <w:szCs w:val="20"/>
              </w:rPr>
              <w:t>见国家和地区代码表，填报相关提供再保险的非居民保险机构（即再保险接受人）所属国家</w:t>
            </w:r>
            <w:r>
              <w:rPr>
                <w:szCs w:val="20"/>
              </w:rPr>
              <w:t>/</w:t>
            </w:r>
            <w:r>
              <w:rPr>
                <w:rFonts w:hint="eastAsia"/>
                <w:szCs w:val="20"/>
              </w:rPr>
              <w:t>地区代码。</w:t>
            </w:r>
          </w:p>
        </w:tc>
      </w:tr>
      <w:tr w:rsidR="00A052DC" w14:paraId="3E1CD802" w14:textId="77777777">
        <w:trPr>
          <w:cantSplit/>
          <w:jc w:val="center"/>
        </w:trPr>
        <w:tc>
          <w:tcPr>
            <w:tcW w:w="2350" w:type="dxa"/>
          </w:tcPr>
          <w:p w14:paraId="0AFF5474" w14:textId="77777777" w:rsidR="00A052DC" w:rsidRDefault="009F0A60">
            <w:pPr>
              <w:pStyle w:val="B"/>
              <w:rPr>
                <w:szCs w:val="20"/>
              </w:rPr>
            </w:pPr>
            <w:r>
              <w:rPr>
                <w:rFonts w:hint="eastAsia"/>
                <w:szCs w:val="20"/>
              </w:rPr>
              <w:t>再保险接受人所属部门</w:t>
            </w:r>
          </w:p>
        </w:tc>
        <w:tc>
          <w:tcPr>
            <w:tcW w:w="6119" w:type="dxa"/>
            <w:noWrap/>
          </w:tcPr>
          <w:p w14:paraId="0057A9E1" w14:textId="77777777" w:rsidR="00A052DC" w:rsidRDefault="009F0A60">
            <w:pPr>
              <w:pStyle w:val="B"/>
              <w:rPr>
                <w:szCs w:val="20"/>
              </w:rPr>
            </w:pPr>
            <w:r>
              <w:rPr>
                <w:rFonts w:hint="eastAsia"/>
                <w:szCs w:val="20"/>
              </w:rPr>
              <w:t>见投资者（被投资者）部门代码表。由于提供再保险的为境外保险公司，因此所属部门为：</w:t>
            </w:r>
            <w:r>
              <w:rPr>
                <w:szCs w:val="20"/>
              </w:rPr>
              <w:t>7-</w:t>
            </w:r>
            <w:r>
              <w:rPr>
                <w:rFonts w:hint="eastAsia"/>
                <w:szCs w:val="20"/>
              </w:rPr>
              <w:t>保险公司和养老金。</w:t>
            </w:r>
          </w:p>
        </w:tc>
      </w:tr>
      <w:tr w:rsidR="00A052DC" w14:paraId="19E5C102" w14:textId="77777777">
        <w:trPr>
          <w:cantSplit/>
          <w:jc w:val="center"/>
        </w:trPr>
        <w:tc>
          <w:tcPr>
            <w:tcW w:w="2350" w:type="dxa"/>
          </w:tcPr>
          <w:p w14:paraId="73979233" w14:textId="77777777" w:rsidR="00A052DC" w:rsidRDefault="009F0A60">
            <w:pPr>
              <w:pStyle w:val="B"/>
              <w:rPr>
                <w:szCs w:val="20"/>
              </w:rPr>
            </w:pPr>
            <w:r>
              <w:rPr>
                <w:rFonts w:hint="eastAsia"/>
                <w:szCs w:val="20"/>
              </w:rPr>
              <w:t>再保险接受人与本机构的关系</w:t>
            </w:r>
          </w:p>
        </w:tc>
        <w:tc>
          <w:tcPr>
            <w:tcW w:w="6119" w:type="dxa"/>
            <w:noWrap/>
          </w:tcPr>
          <w:p w14:paraId="18D0B613" w14:textId="77777777" w:rsidR="00A052DC" w:rsidRDefault="009F0A60">
            <w:pPr>
              <w:pStyle w:val="B"/>
              <w:rPr>
                <w:szCs w:val="20"/>
              </w:rPr>
            </w:pPr>
            <w:r>
              <w:rPr>
                <w:rFonts w:hint="eastAsia"/>
                <w:szCs w:val="20"/>
              </w:rPr>
              <w:t>见对方与本机构</w:t>
            </w:r>
            <w:r>
              <w:rPr>
                <w:szCs w:val="20"/>
              </w:rPr>
              <w:t>/</w:t>
            </w:r>
            <w:r>
              <w:rPr>
                <w:rFonts w:hint="eastAsia"/>
                <w:szCs w:val="20"/>
              </w:rPr>
              <w:t>被代理居民机构</w:t>
            </w:r>
            <w:r>
              <w:rPr>
                <w:szCs w:val="20"/>
              </w:rPr>
              <w:t>/</w:t>
            </w:r>
            <w:r>
              <w:rPr>
                <w:rFonts w:hint="eastAsia"/>
                <w:szCs w:val="20"/>
              </w:rPr>
              <w:t>委托人的关系代码表。</w:t>
            </w:r>
          </w:p>
        </w:tc>
      </w:tr>
      <w:tr w:rsidR="00A052DC" w14:paraId="22BEF4BB" w14:textId="77777777">
        <w:trPr>
          <w:cantSplit/>
          <w:jc w:val="center"/>
        </w:trPr>
        <w:tc>
          <w:tcPr>
            <w:tcW w:w="2350" w:type="dxa"/>
          </w:tcPr>
          <w:p w14:paraId="1E2A35DB" w14:textId="77777777" w:rsidR="00A052DC" w:rsidRDefault="009F0A60">
            <w:pPr>
              <w:pStyle w:val="B"/>
              <w:rPr>
                <w:szCs w:val="20"/>
              </w:rPr>
            </w:pPr>
            <w:r>
              <w:rPr>
                <w:rFonts w:hint="eastAsia"/>
                <w:szCs w:val="20"/>
              </w:rPr>
              <w:t>填表币种</w:t>
            </w:r>
          </w:p>
        </w:tc>
        <w:tc>
          <w:tcPr>
            <w:tcW w:w="6119" w:type="dxa"/>
            <w:noWrap/>
          </w:tcPr>
          <w:p w14:paraId="5460DB03" w14:textId="77777777" w:rsidR="00A052DC" w:rsidRDefault="009F0A60">
            <w:pPr>
              <w:pStyle w:val="B"/>
              <w:rPr>
                <w:szCs w:val="20"/>
              </w:rPr>
            </w:pPr>
            <w:r>
              <w:rPr>
                <w:rFonts w:hint="eastAsia"/>
                <w:szCs w:val="20"/>
              </w:rPr>
              <w:t>见币种代码表，指报告机构报送本表数据所采用的币种。</w:t>
            </w:r>
          </w:p>
        </w:tc>
      </w:tr>
      <w:tr w:rsidR="00A052DC" w14:paraId="508F2A5D" w14:textId="77777777">
        <w:trPr>
          <w:cantSplit/>
          <w:jc w:val="center"/>
        </w:trPr>
        <w:tc>
          <w:tcPr>
            <w:tcW w:w="2350" w:type="dxa"/>
          </w:tcPr>
          <w:p w14:paraId="12BF8054" w14:textId="77777777" w:rsidR="00A052DC" w:rsidRDefault="009F0A60">
            <w:pPr>
              <w:pStyle w:val="B"/>
              <w:rPr>
                <w:szCs w:val="20"/>
              </w:rPr>
            </w:pPr>
            <w:r>
              <w:rPr>
                <w:rFonts w:hint="eastAsia"/>
                <w:szCs w:val="20"/>
              </w:rPr>
              <w:t>本月分出业务保费支出</w:t>
            </w:r>
          </w:p>
        </w:tc>
        <w:tc>
          <w:tcPr>
            <w:tcW w:w="6119" w:type="dxa"/>
            <w:noWrap/>
          </w:tcPr>
          <w:p w14:paraId="57AADA8D" w14:textId="77777777" w:rsidR="00A052DC" w:rsidRDefault="009F0A60">
            <w:pPr>
              <w:pStyle w:val="B"/>
              <w:rPr>
                <w:szCs w:val="20"/>
              </w:rPr>
            </w:pPr>
            <w:r>
              <w:rPr>
                <w:rFonts w:hint="eastAsia"/>
                <w:szCs w:val="20"/>
              </w:rPr>
              <w:t>指本月本机构向非居民再保险接受人支付的分出保费。</w:t>
            </w:r>
          </w:p>
        </w:tc>
      </w:tr>
      <w:tr w:rsidR="00A052DC" w14:paraId="31A2559D" w14:textId="77777777">
        <w:trPr>
          <w:cantSplit/>
          <w:jc w:val="center"/>
        </w:trPr>
        <w:tc>
          <w:tcPr>
            <w:tcW w:w="2350" w:type="dxa"/>
          </w:tcPr>
          <w:p w14:paraId="1F591524" w14:textId="77777777" w:rsidR="00A052DC" w:rsidRDefault="009F0A60">
            <w:pPr>
              <w:pStyle w:val="B"/>
              <w:rPr>
                <w:szCs w:val="20"/>
              </w:rPr>
            </w:pPr>
            <w:r>
              <w:rPr>
                <w:rFonts w:hint="eastAsia"/>
                <w:szCs w:val="20"/>
              </w:rPr>
              <w:t>本月摊回分保费用收入</w:t>
            </w:r>
          </w:p>
        </w:tc>
        <w:tc>
          <w:tcPr>
            <w:tcW w:w="6119" w:type="dxa"/>
            <w:noWrap/>
          </w:tcPr>
          <w:p w14:paraId="378CDA60" w14:textId="77777777" w:rsidR="00A052DC" w:rsidRDefault="009F0A60">
            <w:pPr>
              <w:pStyle w:val="B"/>
              <w:rPr>
                <w:szCs w:val="20"/>
              </w:rPr>
            </w:pPr>
            <w:r>
              <w:rPr>
                <w:rFonts w:hint="eastAsia"/>
                <w:szCs w:val="20"/>
              </w:rPr>
              <w:t>指本月本机构从再保险接受人获得的摊回的分保费用，以及退保。</w:t>
            </w:r>
          </w:p>
        </w:tc>
      </w:tr>
      <w:tr w:rsidR="00A052DC" w14:paraId="38D06940" w14:textId="77777777">
        <w:trPr>
          <w:cantSplit/>
          <w:jc w:val="center"/>
        </w:trPr>
        <w:tc>
          <w:tcPr>
            <w:tcW w:w="2350" w:type="dxa"/>
          </w:tcPr>
          <w:p w14:paraId="3BBB3F7A" w14:textId="77777777" w:rsidR="00A052DC" w:rsidRDefault="009F0A60">
            <w:pPr>
              <w:pStyle w:val="B"/>
              <w:rPr>
                <w:szCs w:val="20"/>
              </w:rPr>
            </w:pPr>
            <w:r>
              <w:rPr>
                <w:rFonts w:hint="eastAsia"/>
                <w:szCs w:val="20"/>
              </w:rPr>
              <w:t>本月摊回赔付成本收入</w:t>
            </w:r>
          </w:p>
        </w:tc>
        <w:tc>
          <w:tcPr>
            <w:tcW w:w="6119" w:type="dxa"/>
            <w:noWrap/>
          </w:tcPr>
          <w:p w14:paraId="197F0430" w14:textId="77777777" w:rsidR="00A052DC" w:rsidRDefault="009F0A60">
            <w:pPr>
              <w:pStyle w:val="B"/>
              <w:rPr>
                <w:szCs w:val="20"/>
              </w:rPr>
            </w:pPr>
            <w:r>
              <w:rPr>
                <w:rFonts w:hint="eastAsia"/>
                <w:szCs w:val="20"/>
              </w:rPr>
              <w:t>指本月本机构从再保险接受人获得的摊回的赔付成本。</w:t>
            </w:r>
          </w:p>
        </w:tc>
      </w:tr>
      <w:tr w:rsidR="00A052DC" w14:paraId="47901460" w14:textId="77777777">
        <w:trPr>
          <w:cantSplit/>
          <w:jc w:val="center"/>
        </w:trPr>
        <w:tc>
          <w:tcPr>
            <w:tcW w:w="2350" w:type="dxa"/>
          </w:tcPr>
          <w:p w14:paraId="2E627E7D" w14:textId="77777777" w:rsidR="00A052DC" w:rsidRDefault="009F0A60">
            <w:pPr>
              <w:pStyle w:val="B"/>
              <w:rPr>
                <w:szCs w:val="20"/>
              </w:rPr>
            </w:pPr>
            <w:r>
              <w:rPr>
                <w:rFonts w:hint="eastAsia"/>
                <w:szCs w:val="20"/>
              </w:rPr>
              <w:t>上月末应收分保责任准备金余额</w:t>
            </w:r>
          </w:p>
        </w:tc>
        <w:tc>
          <w:tcPr>
            <w:tcW w:w="6119" w:type="dxa"/>
            <w:noWrap/>
          </w:tcPr>
          <w:p w14:paraId="139B4AC5" w14:textId="77777777" w:rsidR="00A052DC" w:rsidRDefault="009F0A60">
            <w:pPr>
              <w:pStyle w:val="B"/>
              <w:rPr>
                <w:szCs w:val="20"/>
              </w:rPr>
            </w:pPr>
            <w:r>
              <w:rPr>
                <w:rFonts w:hint="eastAsia"/>
                <w:szCs w:val="20"/>
              </w:rPr>
              <w:t>指截至上月末，本机构应收非居民再保险接受人的摊回的责任准备金余额，对于非寿险而言，包括未决赔款准备金余额和未到期责任准备金余额。其中，未决赔款准备金余额，是指保险公司在当期发生保险责任而未赔偿或未给付保险金，在当期保险费中提取的资金，包括针对已发生已报告的保险事故和已发生未报告的保险事故而计提的准备金。未到期责任准备金，指保险公司在会计期核算时，将保险责任尚未满期的，应属于下一期的部分保险费提存出来所形成的准备金。对于寿险而言，包括寿险责任准备金和长期健康险责任准备金。</w:t>
            </w:r>
          </w:p>
        </w:tc>
      </w:tr>
      <w:tr w:rsidR="00A052DC" w14:paraId="79A778C4" w14:textId="77777777">
        <w:trPr>
          <w:cantSplit/>
          <w:jc w:val="center"/>
        </w:trPr>
        <w:tc>
          <w:tcPr>
            <w:tcW w:w="2350" w:type="dxa"/>
          </w:tcPr>
          <w:p w14:paraId="7D6A722D" w14:textId="77777777" w:rsidR="00A052DC" w:rsidRDefault="009F0A60">
            <w:pPr>
              <w:pStyle w:val="B"/>
              <w:rPr>
                <w:szCs w:val="20"/>
              </w:rPr>
            </w:pPr>
            <w:r>
              <w:rPr>
                <w:rFonts w:hint="eastAsia"/>
                <w:szCs w:val="20"/>
              </w:rPr>
              <w:t>本月末应收分保责任准备金余额</w:t>
            </w:r>
          </w:p>
        </w:tc>
        <w:tc>
          <w:tcPr>
            <w:tcW w:w="6119" w:type="dxa"/>
            <w:noWrap/>
          </w:tcPr>
          <w:p w14:paraId="77AB173D" w14:textId="77777777" w:rsidR="00A052DC" w:rsidRDefault="009F0A60">
            <w:pPr>
              <w:pStyle w:val="B"/>
              <w:rPr>
                <w:szCs w:val="20"/>
              </w:rPr>
            </w:pPr>
            <w:r>
              <w:rPr>
                <w:rFonts w:hint="eastAsia"/>
                <w:szCs w:val="20"/>
              </w:rPr>
              <w:t>指截至本月末，本机构应收非居民再保险接受人的摊回的责任准备金余额，对于非寿险而言，包括未决赔款准备金余额和未到期责任准备金余额。其中，未决赔款准备金余额，是指保险公司在当期发生保险责任而未赔偿或未给付保险金，在当期保险费中提取的资金，包括针对已发生已报告的保险事故和已发生未报告的保险事故而计提的准备金。未到期责任准备金，指保险公司在会计期核算时，将保险责任尚未满期的，应属于下一期的部分保险费提存出来所形成的准备金。对于寿险而言，包括寿险责任准备金和长期健康险责任准备金。</w:t>
            </w:r>
          </w:p>
        </w:tc>
      </w:tr>
      <w:tr w:rsidR="00A052DC" w14:paraId="33A81856" w14:textId="77777777">
        <w:trPr>
          <w:cantSplit/>
          <w:jc w:val="center"/>
        </w:trPr>
        <w:tc>
          <w:tcPr>
            <w:tcW w:w="2350" w:type="dxa"/>
          </w:tcPr>
          <w:p w14:paraId="28D0EFEA" w14:textId="77777777" w:rsidR="00A052DC" w:rsidRDefault="009F0A60">
            <w:pPr>
              <w:pStyle w:val="B"/>
              <w:rPr>
                <w:szCs w:val="20"/>
              </w:rPr>
            </w:pPr>
            <w:r>
              <w:rPr>
                <w:rFonts w:hint="eastAsia"/>
                <w:szCs w:val="20"/>
              </w:rPr>
              <w:t>备注</w:t>
            </w:r>
          </w:p>
        </w:tc>
        <w:tc>
          <w:tcPr>
            <w:tcW w:w="6119" w:type="dxa"/>
            <w:noWrap/>
          </w:tcPr>
          <w:p w14:paraId="7290AF75" w14:textId="77777777" w:rsidR="00A052DC" w:rsidRDefault="009F0A60">
            <w:pPr>
              <w:pStyle w:val="B"/>
              <w:rPr>
                <w:szCs w:val="20"/>
              </w:rPr>
            </w:pPr>
            <w:r>
              <w:rPr>
                <w:rFonts w:hint="eastAsia"/>
                <w:szCs w:val="20"/>
              </w:rPr>
              <w:t>指在填报本月数据时，需特别说明的部分。包括但不限于本期数据如发生较大变动，填写相关原因等。</w:t>
            </w:r>
          </w:p>
        </w:tc>
      </w:tr>
    </w:tbl>
    <w:p w14:paraId="52BA6665" w14:textId="77777777" w:rsidR="00A052DC" w:rsidRDefault="00A052DC"/>
    <w:p w14:paraId="53F711A6" w14:textId="77777777" w:rsidR="00A052DC" w:rsidRDefault="009F0A60" w:rsidP="0020251D">
      <w:pPr>
        <w:pStyle w:val="4"/>
        <w:numPr>
          <w:ilvl w:val="3"/>
          <w:numId w:val="1"/>
        </w:numPr>
        <w:jc w:val="left"/>
      </w:pPr>
      <w:bookmarkStart w:id="3725" w:name="_Toc454391479"/>
      <w:bookmarkStart w:id="3726" w:name="_Toc380571023"/>
      <w:bookmarkStart w:id="3727" w:name="_Toc454391480"/>
      <w:bookmarkEnd w:id="3725"/>
      <w:r>
        <w:rPr>
          <w:rFonts w:hint="eastAsia"/>
        </w:rPr>
        <w:t>数据格式</w:t>
      </w:r>
      <w:bookmarkEnd w:id="3726"/>
      <w:bookmarkEnd w:id="3727"/>
    </w:p>
    <w:p w14:paraId="486CE8CB" w14:textId="77777777" w:rsidR="00A052DC" w:rsidRDefault="009F0A60">
      <w:pPr>
        <w:ind w:firstLine="480"/>
      </w:pPr>
      <w:r>
        <w:t>&lt;REC&gt;</w:t>
      </w:r>
    </w:p>
    <w:p w14:paraId="152B8545" w14:textId="77777777" w:rsidR="00A052DC" w:rsidRDefault="009F0A60">
      <w:pPr>
        <w:ind w:firstLine="480"/>
      </w:pPr>
      <w:r>
        <w:t>&lt;ACTIONTYPE&gt;</w:t>
      </w:r>
      <w:r>
        <w:rPr>
          <w:rFonts w:hAnsi="宋体"/>
        </w:rPr>
        <w:t>操作类型</w:t>
      </w:r>
      <w:r>
        <w:t>&lt;/ACTIONTYPE&gt;</w:t>
      </w:r>
    </w:p>
    <w:p w14:paraId="41A47385" w14:textId="77777777" w:rsidR="00A052DC" w:rsidRDefault="009F0A60">
      <w:pPr>
        <w:ind w:firstLine="480"/>
      </w:pPr>
      <w:r>
        <w:t>&lt;ACTIONDESC&gt;</w:t>
      </w:r>
      <w:r>
        <w:rPr>
          <w:rFonts w:hAnsi="宋体"/>
        </w:rPr>
        <w:t>删除原因</w:t>
      </w:r>
      <w:r>
        <w:t>&lt;/ACTIONDESC&gt;</w:t>
      </w:r>
    </w:p>
    <w:p w14:paraId="5CF08BC8" w14:textId="77777777" w:rsidR="00A052DC" w:rsidRDefault="009F0A60">
      <w:pPr>
        <w:ind w:firstLine="480"/>
      </w:pPr>
      <w:r>
        <w:t>&lt;SNOCODE&gt;</w:t>
      </w:r>
      <w:r>
        <w:rPr>
          <w:rFonts w:hAnsi="宋体"/>
        </w:rPr>
        <w:t>数据自编码</w:t>
      </w:r>
      <w:r>
        <w:t>&lt;/SNOCODE&gt;</w:t>
      </w:r>
    </w:p>
    <w:p w14:paraId="132F6907" w14:textId="77777777" w:rsidR="00A052DC" w:rsidRDefault="009F0A60">
      <w:pPr>
        <w:ind w:firstLine="480"/>
      </w:pPr>
      <w:r>
        <w:t>&lt;OBJCODE&gt;</w:t>
      </w:r>
      <w:r>
        <w:rPr>
          <w:rFonts w:hAnsi="宋体"/>
        </w:rPr>
        <w:t>申报主体代码</w:t>
      </w:r>
      <w:r>
        <w:t>&lt;/OBJCODE&gt;</w:t>
      </w:r>
    </w:p>
    <w:p w14:paraId="1CDCDE34" w14:textId="77777777" w:rsidR="00A052DC" w:rsidRDefault="009F0A60">
      <w:pPr>
        <w:ind w:firstLine="480"/>
      </w:pPr>
      <w:r>
        <w:t>&lt;BUOCMONTH&gt;</w:t>
      </w:r>
      <w:r>
        <w:rPr>
          <w:rFonts w:hAnsi="宋体"/>
        </w:rPr>
        <w:t>报告期</w:t>
      </w:r>
      <w:r>
        <w:t>&lt;/BUOCMONTH&gt;</w:t>
      </w:r>
    </w:p>
    <w:p w14:paraId="60452E41" w14:textId="77777777" w:rsidR="00A052DC" w:rsidRDefault="009F0A60">
      <w:pPr>
        <w:ind w:firstLine="480"/>
      </w:pPr>
      <w:r>
        <w:t>&lt;I0301&gt;</w:t>
      </w:r>
      <w:r>
        <w:rPr>
          <w:rFonts w:hAnsi="宋体"/>
        </w:rPr>
        <w:t>保险类别</w:t>
      </w:r>
      <w:r>
        <w:t>&lt;/I0301&gt;</w:t>
      </w:r>
    </w:p>
    <w:p w14:paraId="590C6AC0" w14:textId="77777777" w:rsidR="00A052DC" w:rsidRDefault="009F0A60">
      <w:pPr>
        <w:ind w:firstLine="480"/>
      </w:pPr>
      <w:r>
        <w:t>&lt;I0302&gt;</w:t>
      </w:r>
      <w:r>
        <w:rPr>
          <w:rFonts w:hAnsi="宋体"/>
        </w:rPr>
        <w:t>再保险接受人所属国家</w:t>
      </w:r>
      <w:r>
        <w:t>/</w:t>
      </w:r>
      <w:r>
        <w:rPr>
          <w:rFonts w:hAnsi="宋体"/>
        </w:rPr>
        <w:t>地区</w:t>
      </w:r>
      <w:r>
        <w:t>&lt;/I0302&gt;</w:t>
      </w:r>
    </w:p>
    <w:p w14:paraId="4C681A3F" w14:textId="77777777" w:rsidR="00A052DC" w:rsidRDefault="009F0A60">
      <w:pPr>
        <w:ind w:firstLine="480"/>
      </w:pPr>
      <w:r>
        <w:t>&lt;I0303&gt;</w:t>
      </w:r>
      <w:r>
        <w:rPr>
          <w:rFonts w:hAnsi="宋体"/>
        </w:rPr>
        <w:t>再保险接受人所属部门</w:t>
      </w:r>
      <w:r>
        <w:t>&lt;/I0303&gt;</w:t>
      </w:r>
    </w:p>
    <w:p w14:paraId="50C3BC33" w14:textId="77777777" w:rsidR="00A052DC" w:rsidRDefault="009F0A60">
      <w:pPr>
        <w:ind w:firstLine="480"/>
      </w:pPr>
      <w:r>
        <w:t>&lt;I0304&gt;</w:t>
      </w:r>
      <w:r>
        <w:rPr>
          <w:rFonts w:hAnsi="宋体"/>
        </w:rPr>
        <w:t>再保险接受人与本机构的关系</w:t>
      </w:r>
      <w:r>
        <w:t>&lt;/I0304&gt;</w:t>
      </w:r>
    </w:p>
    <w:p w14:paraId="0017DE27" w14:textId="77777777" w:rsidR="00A052DC" w:rsidRDefault="009F0A60">
      <w:pPr>
        <w:ind w:firstLine="480"/>
      </w:pPr>
      <w:r>
        <w:t>&lt;I0305&gt;</w:t>
      </w:r>
      <w:r>
        <w:rPr>
          <w:rFonts w:hAnsi="宋体"/>
        </w:rPr>
        <w:t>填表币种</w:t>
      </w:r>
      <w:r>
        <w:t>&lt;/I0305&gt;</w:t>
      </w:r>
    </w:p>
    <w:p w14:paraId="2EB227AE" w14:textId="77777777" w:rsidR="00A052DC" w:rsidRDefault="009F0A60">
      <w:pPr>
        <w:ind w:firstLine="480"/>
      </w:pPr>
      <w:r>
        <w:t>&lt;I0306&gt;</w:t>
      </w:r>
      <w:r>
        <w:rPr>
          <w:rFonts w:hAnsi="宋体"/>
        </w:rPr>
        <w:t>本月分出业务保费支出</w:t>
      </w:r>
      <w:r>
        <w:t>&lt;/I0306&gt;</w:t>
      </w:r>
    </w:p>
    <w:p w14:paraId="03A909D2" w14:textId="77777777" w:rsidR="00A052DC" w:rsidRDefault="009F0A60">
      <w:pPr>
        <w:ind w:firstLine="480"/>
      </w:pPr>
      <w:r>
        <w:t>&lt;I0307&gt;</w:t>
      </w:r>
      <w:r>
        <w:rPr>
          <w:rFonts w:hAnsi="宋体"/>
        </w:rPr>
        <w:t>本月摊回分保费用收入</w:t>
      </w:r>
      <w:r>
        <w:t>&lt;/I0307&gt;</w:t>
      </w:r>
    </w:p>
    <w:p w14:paraId="06EA629B" w14:textId="77777777" w:rsidR="00A052DC" w:rsidRDefault="009F0A60">
      <w:pPr>
        <w:ind w:firstLine="480"/>
      </w:pPr>
      <w:r>
        <w:t>&lt;I0308&gt;</w:t>
      </w:r>
      <w:r>
        <w:rPr>
          <w:rFonts w:hAnsi="宋体"/>
        </w:rPr>
        <w:t>本月摊回赔付成本收入</w:t>
      </w:r>
      <w:r>
        <w:t>&lt;/I0308&gt;</w:t>
      </w:r>
    </w:p>
    <w:p w14:paraId="68D59951" w14:textId="77777777" w:rsidR="00A052DC" w:rsidRDefault="009F0A60">
      <w:pPr>
        <w:ind w:firstLine="480"/>
      </w:pPr>
      <w:r>
        <w:t>&lt;I0309&gt;</w:t>
      </w:r>
      <w:r>
        <w:rPr>
          <w:rFonts w:hAnsi="宋体"/>
        </w:rPr>
        <w:t>上月末应收分保责任准备金余额</w:t>
      </w:r>
      <w:r>
        <w:t>&lt;/I0309&gt;</w:t>
      </w:r>
    </w:p>
    <w:p w14:paraId="65679D6D" w14:textId="77777777" w:rsidR="00A052DC" w:rsidRDefault="009F0A60">
      <w:pPr>
        <w:ind w:firstLine="480"/>
      </w:pPr>
      <w:r>
        <w:t>&lt;I0310&gt;</w:t>
      </w:r>
      <w:r>
        <w:rPr>
          <w:rFonts w:hAnsi="宋体"/>
        </w:rPr>
        <w:t>本月末应收分保责任准备金余额</w:t>
      </w:r>
      <w:r>
        <w:t>&lt;/I0310&gt;</w:t>
      </w:r>
    </w:p>
    <w:p w14:paraId="530F591B" w14:textId="77777777" w:rsidR="00A052DC" w:rsidRDefault="009F0A60">
      <w:pPr>
        <w:ind w:firstLine="480"/>
      </w:pPr>
      <w:r>
        <w:t>&lt;I0311&gt;</w:t>
      </w:r>
      <w:r>
        <w:rPr>
          <w:rFonts w:hAnsi="宋体"/>
        </w:rPr>
        <w:t>备注</w:t>
      </w:r>
      <w:r>
        <w:t>&lt;/I0311&gt;</w:t>
      </w:r>
    </w:p>
    <w:p w14:paraId="0EDA39FA" w14:textId="77777777" w:rsidR="00A052DC" w:rsidRDefault="009F0A60">
      <w:pPr>
        <w:ind w:firstLine="480"/>
      </w:pPr>
      <w:r>
        <w:t>&lt;/REC&gt;</w:t>
      </w:r>
    </w:p>
    <w:p w14:paraId="64EEE523" w14:textId="77777777" w:rsidR="00A052DC" w:rsidRDefault="009F0A60" w:rsidP="0020251D">
      <w:pPr>
        <w:pStyle w:val="4"/>
        <w:numPr>
          <w:ilvl w:val="3"/>
          <w:numId w:val="1"/>
        </w:numPr>
        <w:jc w:val="left"/>
      </w:pPr>
      <w:bookmarkStart w:id="3728" w:name="_Toc380571024"/>
      <w:bookmarkStart w:id="3729" w:name="_Toc454391481"/>
      <w:r>
        <w:rPr>
          <w:rFonts w:hint="eastAsia"/>
        </w:rPr>
        <w:t>数据字典</w:t>
      </w:r>
      <w:bookmarkEnd w:id="3728"/>
      <w:bookmarkEnd w:id="37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268"/>
        <w:gridCol w:w="1418"/>
        <w:gridCol w:w="3452"/>
      </w:tblGrid>
      <w:tr w:rsidR="00A052DC" w14:paraId="5B4CE111" w14:textId="77777777">
        <w:trPr>
          <w:tblHeader/>
        </w:trPr>
        <w:tc>
          <w:tcPr>
            <w:tcW w:w="1384" w:type="dxa"/>
            <w:shd w:val="clear" w:color="auto" w:fill="C0C0C0"/>
            <w:noWrap/>
          </w:tcPr>
          <w:p w14:paraId="3BD96E32" w14:textId="77777777" w:rsidR="00A052DC" w:rsidRDefault="009F0A60">
            <w:pPr>
              <w:pStyle w:val="B1"/>
            </w:pPr>
            <w:r>
              <w:rPr>
                <w:rFonts w:hint="eastAsia"/>
              </w:rPr>
              <w:t>字段</w:t>
            </w:r>
          </w:p>
        </w:tc>
        <w:tc>
          <w:tcPr>
            <w:tcW w:w="2268" w:type="dxa"/>
            <w:shd w:val="clear" w:color="auto" w:fill="C0C0C0"/>
            <w:noWrap/>
          </w:tcPr>
          <w:p w14:paraId="1F653F05" w14:textId="77777777" w:rsidR="00A052DC" w:rsidRDefault="009F0A60">
            <w:pPr>
              <w:pStyle w:val="B1"/>
            </w:pPr>
            <w:r>
              <w:rPr>
                <w:rFonts w:hint="eastAsia"/>
              </w:rPr>
              <w:t>内容</w:t>
            </w:r>
          </w:p>
        </w:tc>
        <w:tc>
          <w:tcPr>
            <w:tcW w:w="1418" w:type="dxa"/>
            <w:shd w:val="clear" w:color="auto" w:fill="C0C0C0"/>
            <w:noWrap/>
          </w:tcPr>
          <w:p w14:paraId="0A2F67E7" w14:textId="77777777" w:rsidR="00A052DC" w:rsidRDefault="009F0A60">
            <w:pPr>
              <w:pStyle w:val="B1"/>
            </w:pPr>
            <w:r>
              <w:rPr>
                <w:rFonts w:hint="eastAsia"/>
              </w:rPr>
              <w:t>类型（长度）</w:t>
            </w:r>
          </w:p>
        </w:tc>
        <w:tc>
          <w:tcPr>
            <w:tcW w:w="3452" w:type="dxa"/>
            <w:shd w:val="clear" w:color="auto" w:fill="C0C0C0"/>
          </w:tcPr>
          <w:p w14:paraId="57B1CE86" w14:textId="77777777" w:rsidR="00A052DC" w:rsidRDefault="009F0A60">
            <w:pPr>
              <w:pStyle w:val="B1"/>
            </w:pPr>
            <w:r>
              <w:rPr>
                <w:rFonts w:hint="eastAsia"/>
              </w:rPr>
              <w:t>校验</w:t>
            </w:r>
          </w:p>
        </w:tc>
      </w:tr>
      <w:tr w:rsidR="00A052DC" w14:paraId="4EA1950A" w14:textId="77777777">
        <w:tc>
          <w:tcPr>
            <w:tcW w:w="1384" w:type="dxa"/>
            <w:noWrap/>
          </w:tcPr>
          <w:p w14:paraId="2F6322B7" w14:textId="77777777" w:rsidR="00A052DC" w:rsidRDefault="009F0A60">
            <w:pPr>
              <w:pStyle w:val="B"/>
              <w:rPr>
                <w:szCs w:val="20"/>
              </w:rPr>
            </w:pPr>
            <w:r>
              <w:rPr>
                <w:szCs w:val="20"/>
              </w:rPr>
              <w:t>ACTIONTYPE</w:t>
            </w:r>
          </w:p>
        </w:tc>
        <w:tc>
          <w:tcPr>
            <w:tcW w:w="2268" w:type="dxa"/>
          </w:tcPr>
          <w:p w14:paraId="0937A2A5" w14:textId="77777777" w:rsidR="00A052DC" w:rsidRDefault="009F0A60">
            <w:pPr>
              <w:pStyle w:val="B"/>
              <w:rPr>
                <w:szCs w:val="20"/>
              </w:rPr>
            </w:pPr>
            <w:r>
              <w:rPr>
                <w:rFonts w:hint="eastAsia"/>
                <w:szCs w:val="20"/>
              </w:rPr>
              <w:t>操作类型</w:t>
            </w:r>
          </w:p>
        </w:tc>
        <w:tc>
          <w:tcPr>
            <w:tcW w:w="1418" w:type="dxa"/>
            <w:noWrap/>
          </w:tcPr>
          <w:p w14:paraId="36675774" w14:textId="77777777" w:rsidR="00A052DC" w:rsidRDefault="009F0A60">
            <w:pPr>
              <w:pStyle w:val="B"/>
              <w:rPr>
                <w:szCs w:val="20"/>
              </w:rPr>
            </w:pPr>
            <w:r>
              <w:rPr>
                <w:rFonts w:hint="eastAsia"/>
                <w:szCs w:val="20"/>
              </w:rPr>
              <w:t>字符型，</w:t>
            </w:r>
            <w:r>
              <w:rPr>
                <w:szCs w:val="20"/>
              </w:rPr>
              <w:t>1</w:t>
            </w:r>
          </w:p>
        </w:tc>
        <w:tc>
          <w:tcPr>
            <w:tcW w:w="3452" w:type="dxa"/>
          </w:tcPr>
          <w:p w14:paraId="3592C9DE" w14:textId="77777777" w:rsidR="00A052DC" w:rsidRDefault="009F0A60">
            <w:pPr>
              <w:pStyle w:val="B"/>
              <w:rPr>
                <w:szCs w:val="20"/>
              </w:rPr>
            </w:pPr>
            <w:r>
              <w:rPr>
                <w:rFonts w:hint="eastAsia"/>
                <w:szCs w:val="20"/>
              </w:rPr>
              <w:t>必填项</w:t>
            </w:r>
            <w:r w:rsidR="006F5A61">
              <w:rPr>
                <w:rFonts w:hint="eastAsia"/>
                <w:szCs w:val="20"/>
              </w:rPr>
              <w:t>。</w:t>
            </w:r>
          </w:p>
          <w:p w14:paraId="5B57237C" w14:textId="77777777" w:rsidR="00A052DC" w:rsidRDefault="009F0A60">
            <w:pPr>
              <w:pStyle w:val="B"/>
              <w:rPr>
                <w:szCs w:val="20"/>
              </w:rPr>
            </w:pPr>
            <w:r>
              <w:rPr>
                <w:szCs w:val="20"/>
              </w:rPr>
              <w:t>A</w:t>
            </w:r>
            <w:r w:rsidR="00AE4602">
              <w:rPr>
                <w:rFonts w:hint="eastAsia"/>
                <w:szCs w:val="20"/>
              </w:rPr>
              <w:t>-</w:t>
            </w:r>
            <w:r>
              <w:rPr>
                <w:rFonts w:hint="eastAsia"/>
                <w:szCs w:val="20"/>
              </w:rPr>
              <w:t>新建</w:t>
            </w:r>
          </w:p>
          <w:p w14:paraId="38F94415" w14:textId="77777777" w:rsidR="00A052DC" w:rsidRDefault="009F0A60">
            <w:pPr>
              <w:pStyle w:val="B"/>
              <w:rPr>
                <w:szCs w:val="20"/>
              </w:rPr>
            </w:pPr>
            <w:r>
              <w:rPr>
                <w:szCs w:val="20"/>
              </w:rPr>
              <w:t>C</w:t>
            </w:r>
            <w:r w:rsidR="00AE4602">
              <w:rPr>
                <w:rFonts w:hint="eastAsia"/>
                <w:szCs w:val="20"/>
              </w:rPr>
              <w:t>-</w:t>
            </w:r>
            <w:r>
              <w:rPr>
                <w:rFonts w:hint="eastAsia"/>
                <w:szCs w:val="20"/>
              </w:rPr>
              <w:t>修改</w:t>
            </w:r>
          </w:p>
          <w:p w14:paraId="4DB5B305" w14:textId="77777777" w:rsidR="00A052DC" w:rsidRDefault="009F0A60">
            <w:pPr>
              <w:pStyle w:val="B"/>
              <w:rPr>
                <w:szCs w:val="20"/>
              </w:rPr>
            </w:pPr>
            <w:r>
              <w:rPr>
                <w:szCs w:val="20"/>
              </w:rPr>
              <w:t>D</w:t>
            </w:r>
            <w:r w:rsidR="00AE4602">
              <w:rPr>
                <w:rFonts w:hint="eastAsia"/>
                <w:szCs w:val="20"/>
              </w:rPr>
              <w:t>-</w:t>
            </w:r>
            <w:r>
              <w:rPr>
                <w:rFonts w:hint="eastAsia"/>
                <w:szCs w:val="20"/>
              </w:rPr>
              <w:t>删除</w:t>
            </w:r>
          </w:p>
        </w:tc>
      </w:tr>
      <w:tr w:rsidR="00A052DC" w14:paraId="5F3E8E09" w14:textId="77777777">
        <w:tc>
          <w:tcPr>
            <w:tcW w:w="1384" w:type="dxa"/>
            <w:noWrap/>
          </w:tcPr>
          <w:p w14:paraId="27DF92C0" w14:textId="77777777" w:rsidR="00A052DC" w:rsidRDefault="009F0A60">
            <w:pPr>
              <w:pStyle w:val="B"/>
              <w:rPr>
                <w:szCs w:val="20"/>
              </w:rPr>
            </w:pPr>
            <w:r>
              <w:rPr>
                <w:szCs w:val="20"/>
              </w:rPr>
              <w:t>ACTIONDESC</w:t>
            </w:r>
          </w:p>
        </w:tc>
        <w:tc>
          <w:tcPr>
            <w:tcW w:w="2268" w:type="dxa"/>
          </w:tcPr>
          <w:p w14:paraId="470D9BBA" w14:textId="77777777" w:rsidR="00A052DC" w:rsidRDefault="009F0A60">
            <w:pPr>
              <w:pStyle w:val="B"/>
              <w:rPr>
                <w:szCs w:val="20"/>
              </w:rPr>
            </w:pPr>
            <w:r>
              <w:rPr>
                <w:rFonts w:hint="eastAsia"/>
                <w:szCs w:val="20"/>
              </w:rPr>
              <w:t>删除原因</w:t>
            </w:r>
          </w:p>
        </w:tc>
        <w:tc>
          <w:tcPr>
            <w:tcW w:w="1418" w:type="dxa"/>
            <w:noWrap/>
          </w:tcPr>
          <w:p w14:paraId="701C0F73" w14:textId="77777777" w:rsidR="00A052DC" w:rsidRDefault="009F0A60">
            <w:pPr>
              <w:pStyle w:val="B"/>
              <w:rPr>
                <w:szCs w:val="20"/>
              </w:rPr>
            </w:pPr>
            <w:r>
              <w:rPr>
                <w:rFonts w:hint="eastAsia"/>
                <w:szCs w:val="20"/>
              </w:rPr>
              <w:t>字符型，</w:t>
            </w:r>
            <w:r>
              <w:rPr>
                <w:szCs w:val="20"/>
              </w:rPr>
              <w:t>128</w:t>
            </w:r>
          </w:p>
        </w:tc>
        <w:tc>
          <w:tcPr>
            <w:tcW w:w="3452" w:type="dxa"/>
          </w:tcPr>
          <w:p w14:paraId="7F89A9A8" w14:textId="77777777" w:rsidR="00A052DC" w:rsidRDefault="00DD6AA3">
            <w:pPr>
              <w:pStyle w:val="B"/>
              <w:rPr>
                <w:szCs w:val="20"/>
              </w:rPr>
            </w:pPr>
            <w:r>
              <w:rPr>
                <w:rFonts w:hint="eastAsia"/>
                <w:szCs w:val="20"/>
              </w:rPr>
              <w:t>非必填项，当操作类型（ACTIONTYPE）为删除时必填。</w:t>
            </w:r>
          </w:p>
        </w:tc>
      </w:tr>
      <w:tr w:rsidR="00A052DC" w14:paraId="2B474ED0" w14:textId="77777777">
        <w:tc>
          <w:tcPr>
            <w:tcW w:w="1384" w:type="dxa"/>
            <w:noWrap/>
          </w:tcPr>
          <w:p w14:paraId="7DDBE0C8" w14:textId="77777777" w:rsidR="00A052DC" w:rsidRDefault="009F0A60">
            <w:pPr>
              <w:pStyle w:val="B"/>
              <w:rPr>
                <w:szCs w:val="20"/>
              </w:rPr>
            </w:pPr>
            <w:r>
              <w:rPr>
                <w:szCs w:val="20"/>
              </w:rPr>
              <w:t>SNOCODE</w:t>
            </w:r>
          </w:p>
        </w:tc>
        <w:tc>
          <w:tcPr>
            <w:tcW w:w="2268" w:type="dxa"/>
          </w:tcPr>
          <w:p w14:paraId="774B5FF9" w14:textId="77777777" w:rsidR="00A052DC" w:rsidRDefault="009F0A60">
            <w:pPr>
              <w:pStyle w:val="B"/>
              <w:rPr>
                <w:szCs w:val="20"/>
              </w:rPr>
            </w:pPr>
            <w:r>
              <w:rPr>
                <w:rFonts w:hint="eastAsia"/>
                <w:szCs w:val="20"/>
              </w:rPr>
              <w:t>数据自编码</w:t>
            </w:r>
          </w:p>
        </w:tc>
        <w:tc>
          <w:tcPr>
            <w:tcW w:w="1418" w:type="dxa"/>
            <w:noWrap/>
          </w:tcPr>
          <w:p w14:paraId="21ADD576" w14:textId="77777777" w:rsidR="00A052DC" w:rsidRDefault="009F0A60">
            <w:pPr>
              <w:pStyle w:val="B"/>
              <w:rPr>
                <w:szCs w:val="20"/>
              </w:rPr>
            </w:pPr>
            <w:r>
              <w:rPr>
                <w:rFonts w:hint="eastAsia"/>
                <w:szCs w:val="20"/>
              </w:rPr>
              <w:t>字符型，36</w:t>
            </w:r>
          </w:p>
        </w:tc>
        <w:tc>
          <w:tcPr>
            <w:tcW w:w="3452" w:type="dxa"/>
          </w:tcPr>
          <w:p w14:paraId="24E2C90A" w14:textId="77777777" w:rsidR="00A052DC" w:rsidRDefault="009F0A60">
            <w:pPr>
              <w:pStyle w:val="B"/>
              <w:rPr>
                <w:szCs w:val="20"/>
              </w:rPr>
            </w:pPr>
            <w:r>
              <w:rPr>
                <w:rFonts w:hint="eastAsia"/>
                <w:szCs w:val="20"/>
              </w:rPr>
              <w:t>必填项。</w:t>
            </w:r>
            <w:r>
              <w:rPr>
                <w:szCs w:val="20"/>
              </w:rPr>
              <w:t>对于接口报送的填报主体，数据自编码中的报送期（6位）应与报告期（YYYYMM）一致。</w:t>
            </w:r>
          </w:p>
        </w:tc>
      </w:tr>
      <w:tr w:rsidR="00A052DC" w14:paraId="2B90A794" w14:textId="77777777">
        <w:tc>
          <w:tcPr>
            <w:tcW w:w="1384" w:type="dxa"/>
            <w:noWrap/>
          </w:tcPr>
          <w:p w14:paraId="69A754A8" w14:textId="77777777" w:rsidR="00A052DC" w:rsidRDefault="009F0A60">
            <w:pPr>
              <w:pStyle w:val="B"/>
              <w:rPr>
                <w:szCs w:val="20"/>
              </w:rPr>
            </w:pPr>
            <w:r>
              <w:rPr>
                <w:szCs w:val="20"/>
              </w:rPr>
              <w:t>OBJCODE</w:t>
            </w:r>
          </w:p>
        </w:tc>
        <w:tc>
          <w:tcPr>
            <w:tcW w:w="2268" w:type="dxa"/>
          </w:tcPr>
          <w:p w14:paraId="53679BBA" w14:textId="77777777" w:rsidR="00A052DC" w:rsidRDefault="009F0A60">
            <w:pPr>
              <w:pStyle w:val="B"/>
              <w:rPr>
                <w:szCs w:val="20"/>
              </w:rPr>
            </w:pPr>
            <w:r>
              <w:rPr>
                <w:rFonts w:hint="eastAsia"/>
                <w:szCs w:val="20"/>
              </w:rPr>
              <w:t>申报主体代码</w:t>
            </w:r>
          </w:p>
        </w:tc>
        <w:tc>
          <w:tcPr>
            <w:tcW w:w="1418" w:type="dxa"/>
            <w:noWrap/>
          </w:tcPr>
          <w:p w14:paraId="48CE2196" w14:textId="77777777" w:rsidR="00A052DC" w:rsidRDefault="009F0A60">
            <w:pPr>
              <w:pStyle w:val="B"/>
              <w:rPr>
                <w:szCs w:val="20"/>
              </w:rPr>
            </w:pPr>
            <w:r>
              <w:rPr>
                <w:rFonts w:hint="eastAsia"/>
                <w:szCs w:val="20"/>
              </w:rPr>
              <w:t>字符型，</w:t>
            </w:r>
            <w:r>
              <w:rPr>
                <w:szCs w:val="20"/>
              </w:rPr>
              <w:t>1</w:t>
            </w:r>
            <w:r>
              <w:rPr>
                <w:rFonts w:hint="eastAsia"/>
                <w:szCs w:val="20"/>
              </w:rPr>
              <w:t>8</w:t>
            </w:r>
          </w:p>
        </w:tc>
        <w:tc>
          <w:tcPr>
            <w:tcW w:w="3452" w:type="dxa"/>
          </w:tcPr>
          <w:p w14:paraId="26EB4A5D" w14:textId="77777777" w:rsidR="00A052DC" w:rsidRDefault="009F0A60">
            <w:pPr>
              <w:pStyle w:val="B"/>
              <w:rPr>
                <w:szCs w:val="20"/>
              </w:rPr>
            </w:pPr>
            <w:r>
              <w:rPr>
                <w:rFonts w:hint="eastAsia"/>
                <w:szCs w:val="20"/>
              </w:rPr>
              <w:t>申报主体的12位金融机构标识码，如果没有金融机构标识码，则填报统一社会信用代码法定载体（如营业执照）上统一社会信用代码中的第9至17位或国家外汇管理局及其分支局签发的特殊机构代码赋码通知书上的机构代码、个人身份代码。</w:t>
            </w:r>
          </w:p>
        </w:tc>
      </w:tr>
      <w:tr w:rsidR="00A052DC" w14:paraId="71823B41" w14:textId="77777777">
        <w:tc>
          <w:tcPr>
            <w:tcW w:w="1384" w:type="dxa"/>
            <w:noWrap/>
          </w:tcPr>
          <w:p w14:paraId="6779B1C7" w14:textId="77777777" w:rsidR="00A052DC" w:rsidRDefault="009F0A60">
            <w:pPr>
              <w:pStyle w:val="B"/>
              <w:rPr>
                <w:szCs w:val="20"/>
              </w:rPr>
            </w:pPr>
            <w:r>
              <w:rPr>
                <w:szCs w:val="20"/>
              </w:rPr>
              <w:t>BUOCMONTH</w:t>
            </w:r>
          </w:p>
        </w:tc>
        <w:tc>
          <w:tcPr>
            <w:tcW w:w="2268" w:type="dxa"/>
          </w:tcPr>
          <w:p w14:paraId="42A61767" w14:textId="77777777" w:rsidR="00A052DC" w:rsidRDefault="009F0A60">
            <w:pPr>
              <w:pStyle w:val="B"/>
              <w:rPr>
                <w:szCs w:val="20"/>
              </w:rPr>
            </w:pPr>
            <w:r>
              <w:rPr>
                <w:rFonts w:hint="eastAsia"/>
                <w:szCs w:val="20"/>
              </w:rPr>
              <w:t>报告期</w:t>
            </w:r>
          </w:p>
        </w:tc>
        <w:tc>
          <w:tcPr>
            <w:tcW w:w="1418" w:type="dxa"/>
            <w:noWrap/>
          </w:tcPr>
          <w:p w14:paraId="78DCAAC6" w14:textId="77777777" w:rsidR="00A052DC" w:rsidRDefault="009F0A60">
            <w:pPr>
              <w:pStyle w:val="B"/>
              <w:rPr>
                <w:szCs w:val="20"/>
              </w:rPr>
            </w:pPr>
            <w:r>
              <w:rPr>
                <w:rFonts w:hint="eastAsia"/>
                <w:szCs w:val="20"/>
              </w:rPr>
              <w:t>数值型，</w:t>
            </w:r>
            <w:r>
              <w:rPr>
                <w:szCs w:val="20"/>
              </w:rPr>
              <w:t>6</w:t>
            </w:r>
          </w:p>
        </w:tc>
        <w:tc>
          <w:tcPr>
            <w:tcW w:w="3452" w:type="dxa"/>
          </w:tcPr>
          <w:p w14:paraId="44905E66" w14:textId="77777777" w:rsidR="00A052DC" w:rsidRDefault="009F0A60">
            <w:pPr>
              <w:pStyle w:val="B"/>
              <w:rPr>
                <w:szCs w:val="20"/>
              </w:rPr>
            </w:pPr>
            <w:r>
              <w:rPr>
                <w:rFonts w:hint="eastAsia"/>
                <w:szCs w:val="20"/>
              </w:rPr>
              <w:t>必填项，格式为</w:t>
            </w:r>
            <w:r>
              <w:rPr>
                <w:szCs w:val="20"/>
              </w:rPr>
              <w:t>YYYYMM</w:t>
            </w:r>
            <w:r>
              <w:rPr>
                <w:rFonts w:hint="eastAsia"/>
                <w:szCs w:val="20"/>
              </w:rPr>
              <w:t>。</w:t>
            </w:r>
          </w:p>
        </w:tc>
      </w:tr>
      <w:tr w:rsidR="00A052DC" w14:paraId="2079E330" w14:textId="77777777">
        <w:tc>
          <w:tcPr>
            <w:tcW w:w="1384" w:type="dxa"/>
            <w:noWrap/>
          </w:tcPr>
          <w:p w14:paraId="2C282267" w14:textId="77777777" w:rsidR="00A052DC" w:rsidRDefault="009F0A60">
            <w:pPr>
              <w:pStyle w:val="B"/>
              <w:rPr>
                <w:szCs w:val="20"/>
              </w:rPr>
            </w:pPr>
            <w:r>
              <w:rPr>
                <w:szCs w:val="20"/>
              </w:rPr>
              <w:t>I0301</w:t>
            </w:r>
          </w:p>
        </w:tc>
        <w:tc>
          <w:tcPr>
            <w:tcW w:w="2268" w:type="dxa"/>
          </w:tcPr>
          <w:p w14:paraId="1ABC9194" w14:textId="77777777" w:rsidR="00A052DC" w:rsidRDefault="009F0A60">
            <w:pPr>
              <w:pStyle w:val="B"/>
              <w:rPr>
                <w:szCs w:val="20"/>
              </w:rPr>
            </w:pPr>
            <w:r>
              <w:rPr>
                <w:rFonts w:hint="eastAsia"/>
                <w:szCs w:val="20"/>
              </w:rPr>
              <w:t>保险类别</w:t>
            </w:r>
          </w:p>
        </w:tc>
        <w:tc>
          <w:tcPr>
            <w:tcW w:w="1418" w:type="dxa"/>
            <w:noWrap/>
          </w:tcPr>
          <w:p w14:paraId="4F298B2B" w14:textId="77777777" w:rsidR="00A052DC" w:rsidRDefault="009F0A60">
            <w:pPr>
              <w:pStyle w:val="B"/>
              <w:rPr>
                <w:szCs w:val="20"/>
              </w:rPr>
            </w:pPr>
            <w:r>
              <w:rPr>
                <w:rFonts w:hint="eastAsia"/>
                <w:szCs w:val="20"/>
              </w:rPr>
              <w:t>整数型</w:t>
            </w:r>
          </w:p>
        </w:tc>
        <w:tc>
          <w:tcPr>
            <w:tcW w:w="3452" w:type="dxa"/>
          </w:tcPr>
          <w:p w14:paraId="07CCD780" w14:textId="77777777" w:rsidR="00A052DC" w:rsidRDefault="009F0A60">
            <w:pPr>
              <w:pStyle w:val="B"/>
              <w:rPr>
                <w:szCs w:val="20"/>
              </w:rPr>
            </w:pPr>
            <w:r>
              <w:rPr>
                <w:rFonts w:hint="eastAsia"/>
                <w:szCs w:val="20"/>
              </w:rPr>
              <w:t>必填项。必须</w:t>
            </w:r>
            <w:r>
              <w:rPr>
                <w:szCs w:val="20"/>
              </w:rPr>
              <w:t>2</w:t>
            </w:r>
            <w:r>
              <w:rPr>
                <w:rFonts w:hint="eastAsia"/>
                <w:szCs w:val="20"/>
              </w:rPr>
              <w:t>选</w:t>
            </w:r>
            <w:r>
              <w:rPr>
                <w:szCs w:val="20"/>
              </w:rPr>
              <w:t>1</w:t>
            </w:r>
            <w:r>
              <w:rPr>
                <w:rFonts w:hint="eastAsia"/>
                <w:szCs w:val="20"/>
              </w:rPr>
              <w:t>：</w:t>
            </w:r>
          </w:p>
          <w:p w14:paraId="58740C09" w14:textId="77777777" w:rsidR="00A052DC" w:rsidRDefault="009F0A60">
            <w:pPr>
              <w:pStyle w:val="B"/>
              <w:rPr>
                <w:szCs w:val="20"/>
              </w:rPr>
            </w:pPr>
            <w:r>
              <w:rPr>
                <w:szCs w:val="20"/>
              </w:rPr>
              <w:t>1-</w:t>
            </w:r>
            <w:r>
              <w:rPr>
                <w:rFonts w:hint="eastAsia"/>
                <w:szCs w:val="20"/>
              </w:rPr>
              <w:t>人寿保险和年金，包括长期人寿保险、储蓄保险、长期健康险，及年金（即养老金）；</w:t>
            </w:r>
          </w:p>
          <w:p w14:paraId="76FE9A7F" w14:textId="77777777" w:rsidR="00A052DC" w:rsidRDefault="009F0A60">
            <w:pPr>
              <w:pStyle w:val="B"/>
              <w:rPr>
                <w:szCs w:val="20"/>
              </w:rPr>
            </w:pPr>
            <w:r>
              <w:rPr>
                <w:szCs w:val="20"/>
              </w:rPr>
              <w:t>2-</w:t>
            </w:r>
            <w:r>
              <w:rPr>
                <w:rFonts w:hint="eastAsia"/>
                <w:szCs w:val="20"/>
              </w:rPr>
              <w:t>非人寿保险，即除</w:t>
            </w:r>
            <w:r>
              <w:rPr>
                <w:szCs w:val="20"/>
              </w:rPr>
              <w:t>1</w:t>
            </w:r>
            <w:r>
              <w:rPr>
                <w:rFonts w:hint="eastAsia"/>
                <w:szCs w:val="20"/>
              </w:rPr>
              <w:t>以外的其他保险，如短期健康险、财险等。</w:t>
            </w:r>
          </w:p>
        </w:tc>
      </w:tr>
      <w:tr w:rsidR="00A052DC" w14:paraId="46A25BFA" w14:textId="77777777">
        <w:tc>
          <w:tcPr>
            <w:tcW w:w="1384" w:type="dxa"/>
            <w:noWrap/>
          </w:tcPr>
          <w:p w14:paraId="7F0D7563" w14:textId="77777777" w:rsidR="00A052DC" w:rsidRDefault="009F0A60">
            <w:pPr>
              <w:pStyle w:val="B"/>
              <w:rPr>
                <w:szCs w:val="20"/>
              </w:rPr>
            </w:pPr>
            <w:r>
              <w:rPr>
                <w:szCs w:val="20"/>
              </w:rPr>
              <w:t>I0302</w:t>
            </w:r>
          </w:p>
        </w:tc>
        <w:tc>
          <w:tcPr>
            <w:tcW w:w="2268" w:type="dxa"/>
          </w:tcPr>
          <w:p w14:paraId="425D45B6" w14:textId="77777777" w:rsidR="00A052DC" w:rsidRDefault="009F0A60">
            <w:pPr>
              <w:pStyle w:val="B"/>
              <w:rPr>
                <w:szCs w:val="20"/>
              </w:rPr>
            </w:pPr>
            <w:r>
              <w:rPr>
                <w:rFonts w:hint="eastAsia"/>
                <w:szCs w:val="20"/>
              </w:rPr>
              <w:t>再保险接受人所属国家</w:t>
            </w:r>
            <w:r>
              <w:rPr>
                <w:szCs w:val="20"/>
              </w:rPr>
              <w:t>/</w:t>
            </w:r>
            <w:r>
              <w:rPr>
                <w:rFonts w:hint="eastAsia"/>
                <w:szCs w:val="20"/>
              </w:rPr>
              <w:t>地区</w:t>
            </w:r>
          </w:p>
        </w:tc>
        <w:tc>
          <w:tcPr>
            <w:tcW w:w="1418" w:type="dxa"/>
            <w:noWrap/>
          </w:tcPr>
          <w:p w14:paraId="0F481C94" w14:textId="77777777" w:rsidR="00A052DC" w:rsidRDefault="009F0A60">
            <w:pPr>
              <w:pStyle w:val="B"/>
              <w:rPr>
                <w:szCs w:val="20"/>
              </w:rPr>
            </w:pPr>
            <w:r>
              <w:rPr>
                <w:rFonts w:hint="eastAsia"/>
                <w:szCs w:val="20"/>
              </w:rPr>
              <w:t>字符型，</w:t>
            </w:r>
            <w:r>
              <w:rPr>
                <w:szCs w:val="20"/>
              </w:rPr>
              <w:t>3</w:t>
            </w:r>
          </w:p>
        </w:tc>
        <w:tc>
          <w:tcPr>
            <w:tcW w:w="3452" w:type="dxa"/>
          </w:tcPr>
          <w:p w14:paraId="5C7D1BDA" w14:textId="77777777" w:rsidR="00A052DC" w:rsidRDefault="009F0A60">
            <w:pPr>
              <w:pStyle w:val="B"/>
              <w:rPr>
                <w:szCs w:val="20"/>
              </w:rPr>
            </w:pPr>
            <w:r>
              <w:rPr>
                <w:rFonts w:hint="eastAsia"/>
                <w:szCs w:val="20"/>
              </w:rPr>
              <w:t>必填项，见国家和地区代码表的</w:t>
            </w:r>
            <w:r>
              <w:rPr>
                <w:szCs w:val="20"/>
              </w:rPr>
              <w:t>3</w:t>
            </w:r>
            <w:r>
              <w:rPr>
                <w:rFonts w:hint="eastAsia"/>
                <w:szCs w:val="20"/>
              </w:rPr>
              <w:t>位字母代码,必须≠</w:t>
            </w:r>
            <w:r>
              <w:rPr>
                <w:szCs w:val="20"/>
              </w:rPr>
              <w:t>CHN</w:t>
            </w:r>
            <w:r>
              <w:rPr>
                <w:rFonts w:hint="eastAsia"/>
                <w:szCs w:val="20"/>
              </w:rPr>
              <w:t>或N/A。</w:t>
            </w:r>
          </w:p>
        </w:tc>
      </w:tr>
      <w:tr w:rsidR="00A052DC" w14:paraId="58D0116B" w14:textId="77777777">
        <w:tc>
          <w:tcPr>
            <w:tcW w:w="1384" w:type="dxa"/>
            <w:noWrap/>
          </w:tcPr>
          <w:p w14:paraId="5DAF613B" w14:textId="77777777" w:rsidR="00A052DC" w:rsidRDefault="009F0A60">
            <w:pPr>
              <w:pStyle w:val="B"/>
              <w:rPr>
                <w:szCs w:val="20"/>
              </w:rPr>
            </w:pPr>
            <w:r>
              <w:rPr>
                <w:szCs w:val="20"/>
              </w:rPr>
              <w:t>I0303</w:t>
            </w:r>
          </w:p>
        </w:tc>
        <w:tc>
          <w:tcPr>
            <w:tcW w:w="2268" w:type="dxa"/>
          </w:tcPr>
          <w:p w14:paraId="2C32055A" w14:textId="77777777" w:rsidR="00A052DC" w:rsidRDefault="009F0A60">
            <w:pPr>
              <w:pStyle w:val="B"/>
              <w:rPr>
                <w:szCs w:val="20"/>
              </w:rPr>
            </w:pPr>
            <w:r>
              <w:rPr>
                <w:rFonts w:hint="eastAsia"/>
                <w:szCs w:val="20"/>
              </w:rPr>
              <w:t>再保险接受人所属部门</w:t>
            </w:r>
          </w:p>
        </w:tc>
        <w:tc>
          <w:tcPr>
            <w:tcW w:w="1418" w:type="dxa"/>
            <w:noWrap/>
          </w:tcPr>
          <w:p w14:paraId="16041D46" w14:textId="77777777" w:rsidR="00A052DC" w:rsidRDefault="009F0A60">
            <w:pPr>
              <w:pStyle w:val="B"/>
              <w:rPr>
                <w:szCs w:val="20"/>
              </w:rPr>
            </w:pPr>
            <w:r>
              <w:rPr>
                <w:rFonts w:hint="eastAsia"/>
                <w:szCs w:val="20"/>
              </w:rPr>
              <w:t>整数型</w:t>
            </w:r>
          </w:p>
        </w:tc>
        <w:tc>
          <w:tcPr>
            <w:tcW w:w="3452" w:type="dxa"/>
          </w:tcPr>
          <w:p w14:paraId="36E3B629" w14:textId="77777777" w:rsidR="00A052DC" w:rsidRDefault="009F0A60">
            <w:pPr>
              <w:pStyle w:val="B"/>
              <w:rPr>
                <w:szCs w:val="20"/>
              </w:rPr>
            </w:pPr>
            <w:r>
              <w:rPr>
                <w:rFonts w:hint="eastAsia"/>
                <w:szCs w:val="20"/>
              </w:rPr>
              <w:t>必填项，见投资者（被投资者）部门代码表。“I0303再保险接受人所属部门”=7-保险公司和养老金。</w:t>
            </w:r>
          </w:p>
        </w:tc>
      </w:tr>
      <w:tr w:rsidR="00A052DC" w14:paraId="7A97282D" w14:textId="77777777">
        <w:tc>
          <w:tcPr>
            <w:tcW w:w="1384" w:type="dxa"/>
            <w:noWrap/>
          </w:tcPr>
          <w:p w14:paraId="41391D7F" w14:textId="77777777" w:rsidR="00A052DC" w:rsidRDefault="009F0A60">
            <w:pPr>
              <w:pStyle w:val="B"/>
              <w:rPr>
                <w:szCs w:val="20"/>
              </w:rPr>
            </w:pPr>
            <w:r>
              <w:rPr>
                <w:szCs w:val="20"/>
              </w:rPr>
              <w:t>I0304</w:t>
            </w:r>
          </w:p>
        </w:tc>
        <w:tc>
          <w:tcPr>
            <w:tcW w:w="2268" w:type="dxa"/>
          </w:tcPr>
          <w:p w14:paraId="472D72FE" w14:textId="77777777" w:rsidR="00A052DC" w:rsidRDefault="009F0A60">
            <w:pPr>
              <w:pStyle w:val="B"/>
              <w:rPr>
                <w:szCs w:val="20"/>
              </w:rPr>
            </w:pPr>
            <w:r>
              <w:rPr>
                <w:rFonts w:hint="eastAsia"/>
                <w:szCs w:val="20"/>
              </w:rPr>
              <w:t>再保险接受人与本机构的关系</w:t>
            </w:r>
          </w:p>
        </w:tc>
        <w:tc>
          <w:tcPr>
            <w:tcW w:w="1418" w:type="dxa"/>
            <w:noWrap/>
          </w:tcPr>
          <w:p w14:paraId="35A15CA8" w14:textId="77777777" w:rsidR="00A052DC" w:rsidRDefault="009F0A60">
            <w:pPr>
              <w:pStyle w:val="B"/>
              <w:rPr>
                <w:szCs w:val="20"/>
              </w:rPr>
            </w:pPr>
            <w:r>
              <w:rPr>
                <w:rFonts w:hint="eastAsia"/>
                <w:szCs w:val="20"/>
              </w:rPr>
              <w:t>整数型</w:t>
            </w:r>
          </w:p>
        </w:tc>
        <w:tc>
          <w:tcPr>
            <w:tcW w:w="3452" w:type="dxa"/>
          </w:tcPr>
          <w:p w14:paraId="0A6C5F78" w14:textId="77777777" w:rsidR="00A052DC" w:rsidRDefault="009F0A60">
            <w:pPr>
              <w:pStyle w:val="B"/>
              <w:rPr>
                <w:szCs w:val="20"/>
              </w:rPr>
            </w:pPr>
            <w:r>
              <w:rPr>
                <w:rFonts w:hint="eastAsia"/>
                <w:szCs w:val="20"/>
              </w:rPr>
              <w:t>必填项。见对方与本机构</w:t>
            </w:r>
            <w:r>
              <w:rPr>
                <w:szCs w:val="20"/>
              </w:rPr>
              <w:t>/</w:t>
            </w:r>
            <w:r>
              <w:rPr>
                <w:rFonts w:hint="eastAsia"/>
                <w:szCs w:val="20"/>
              </w:rPr>
              <w:t>被代理居民机构</w:t>
            </w:r>
            <w:r>
              <w:rPr>
                <w:szCs w:val="20"/>
              </w:rPr>
              <w:t>/</w:t>
            </w:r>
            <w:r>
              <w:rPr>
                <w:rFonts w:hint="eastAsia"/>
                <w:szCs w:val="20"/>
              </w:rPr>
              <w:t>委托人的关系代码表。</w:t>
            </w:r>
          </w:p>
        </w:tc>
      </w:tr>
      <w:tr w:rsidR="00A052DC" w14:paraId="3034A86D" w14:textId="77777777">
        <w:tc>
          <w:tcPr>
            <w:tcW w:w="1384" w:type="dxa"/>
            <w:noWrap/>
          </w:tcPr>
          <w:p w14:paraId="13ED3F49" w14:textId="77777777" w:rsidR="00A052DC" w:rsidRDefault="009F0A60">
            <w:pPr>
              <w:pStyle w:val="B"/>
              <w:rPr>
                <w:szCs w:val="20"/>
              </w:rPr>
            </w:pPr>
            <w:r>
              <w:rPr>
                <w:szCs w:val="20"/>
              </w:rPr>
              <w:t>I0305</w:t>
            </w:r>
          </w:p>
        </w:tc>
        <w:tc>
          <w:tcPr>
            <w:tcW w:w="2268" w:type="dxa"/>
          </w:tcPr>
          <w:p w14:paraId="0FA18D98" w14:textId="77777777" w:rsidR="00A052DC" w:rsidRDefault="009F0A60">
            <w:pPr>
              <w:pStyle w:val="B"/>
              <w:rPr>
                <w:szCs w:val="20"/>
              </w:rPr>
            </w:pPr>
            <w:r>
              <w:rPr>
                <w:rFonts w:hint="eastAsia"/>
                <w:szCs w:val="20"/>
              </w:rPr>
              <w:t>填表币种</w:t>
            </w:r>
          </w:p>
        </w:tc>
        <w:tc>
          <w:tcPr>
            <w:tcW w:w="1418" w:type="dxa"/>
            <w:noWrap/>
          </w:tcPr>
          <w:p w14:paraId="43C1AAEE" w14:textId="77777777" w:rsidR="00A052DC" w:rsidRDefault="009F0A60">
            <w:pPr>
              <w:pStyle w:val="B"/>
              <w:rPr>
                <w:szCs w:val="20"/>
              </w:rPr>
            </w:pPr>
            <w:r>
              <w:rPr>
                <w:rFonts w:hint="eastAsia"/>
                <w:szCs w:val="20"/>
              </w:rPr>
              <w:t>字符型，</w:t>
            </w:r>
            <w:r>
              <w:rPr>
                <w:szCs w:val="20"/>
              </w:rPr>
              <w:t>3</w:t>
            </w:r>
          </w:p>
        </w:tc>
        <w:tc>
          <w:tcPr>
            <w:tcW w:w="3452" w:type="dxa"/>
          </w:tcPr>
          <w:p w14:paraId="77C73477" w14:textId="77777777" w:rsidR="00A052DC" w:rsidRDefault="009F0A60">
            <w:pPr>
              <w:pStyle w:val="B"/>
              <w:rPr>
                <w:szCs w:val="20"/>
              </w:rPr>
            </w:pPr>
            <w:r>
              <w:rPr>
                <w:rFonts w:hint="eastAsia"/>
                <w:szCs w:val="20"/>
              </w:rPr>
              <w:t>必填项，见币种代码表。</w:t>
            </w:r>
          </w:p>
        </w:tc>
      </w:tr>
      <w:tr w:rsidR="00A052DC" w14:paraId="18AAA4CA" w14:textId="77777777">
        <w:tc>
          <w:tcPr>
            <w:tcW w:w="1384" w:type="dxa"/>
            <w:noWrap/>
          </w:tcPr>
          <w:p w14:paraId="6F2E265A" w14:textId="77777777" w:rsidR="00A052DC" w:rsidRDefault="009F0A60">
            <w:pPr>
              <w:pStyle w:val="B"/>
              <w:rPr>
                <w:szCs w:val="20"/>
              </w:rPr>
            </w:pPr>
            <w:r>
              <w:rPr>
                <w:szCs w:val="20"/>
              </w:rPr>
              <w:t>I0306</w:t>
            </w:r>
          </w:p>
        </w:tc>
        <w:tc>
          <w:tcPr>
            <w:tcW w:w="2268" w:type="dxa"/>
          </w:tcPr>
          <w:p w14:paraId="588232D8" w14:textId="77777777" w:rsidR="00A052DC" w:rsidRDefault="009F0A60">
            <w:pPr>
              <w:pStyle w:val="B"/>
              <w:rPr>
                <w:szCs w:val="20"/>
              </w:rPr>
            </w:pPr>
            <w:r>
              <w:rPr>
                <w:rFonts w:hint="eastAsia"/>
                <w:szCs w:val="20"/>
              </w:rPr>
              <w:t>本月分出业务保费支出</w:t>
            </w:r>
          </w:p>
        </w:tc>
        <w:tc>
          <w:tcPr>
            <w:tcW w:w="1418" w:type="dxa"/>
            <w:noWrap/>
          </w:tcPr>
          <w:p w14:paraId="15E574E5" w14:textId="77777777" w:rsidR="00A052DC" w:rsidRDefault="009F0A60">
            <w:pPr>
              <w:pStyle w:val="B"/>
              <w:rPr>
                <w:szCs w:val="20"/>
              </w:rPr>
            </w:pPr>
            <w:r>
              <w:rPr>
                <w:rFonts w:hint="eastAsia"/>
                <w:szCs w:val="20"/>
              </w:rPr>
              <w:t>数值型，</w:t>
            </w:r>
            <w:r>
              <w:rPr>
                <w:szCs w:val="20"/>
              </w:rPr>
              <w:t>22.2</w:t>
            </w:r>
          </w:p>
        </w:tc>
        <w:tc>
          <w:tcPr>
            <w:tcW w:w="3452" w:type="dxa"/>
          </w:tcPr>
          <w:p w14:paraId="1EC2224D" w14:textId="77777777" w:rsidR="00A052DC" w:rsidRDefault="009F0A60">
            <w:pPr>
              <w:pStyle w:val="B"/>
              <w:rPr>
                <w:szCs w:val="20"/>
              </w:rPr>
            </w:pPr>
            <w:r>
              <w:rPr>
                <w:rFonts w:hint="eastAsia"/>
                <w:szCs w:val="20"/>
              </w:rPr>
              <w:t>必填项。</w:t>
            </w:r>
          </w:p>
        </w:tc>
      </w:tr>
      <w:tr w:rsidR="00A052DC" w14:paraId="74C723D0" w14:textId="77777777">
        <w:tc>
          <w:tcPr>
            <w:tcW w:w="1384" w:type="dxa"/>
            <w:noWrap/>
          </w:tcPr>
          <w:p w14:paraId="6580916D" w14:textId="77777777" w:rsidR="00A052DC" w:rsidRDefault="009F0A60">
            <w:pPr>
              <w:pStyle w:val="B"/>
              <w:rPr>
                <w:szCs w:val="20"/>
              </w:rPr>
            </w:pPr>
            <w:r>
              <w:rPr>
                <w:szCs w:val="20"/>
              </w:rPr>
              <w:t>I0307</w:t>
            </w:r>
          </w:p>
        </w:tc>
        <w:tc>
          <w:tcPr>
            <w:tcW w:w="2268" w:type="dxa"/>
          </w:tcPr>
          <w:p w14:paraId="1057FDB5" w14:textId="77777777" w:rsidR="00A052DC" w:rsidRDefault="009F0A60">
            <w:pPr>
              <w:pStyle w:val="B"/>
              <w:rPr>
                <w:szCs w:val="20"/>
              </w:rPr>
            </w:pPr>
            <w:r>
              <w:rPr>
                <w:rFonts w:hint="eastAsia"/>
                <w:szCs w:val="20"/>
              </w:rPr>
              <w:t>本月摊回分保费用收入</w:t>
            </w:r>
          </w:p>
        </w:tc>
        <w:tc>
          <w:tcPr>
            <w:tcW w:w="1418" w:type="dxa"/>
            <w:noWrap/>
          </w:tcPr>
          <w:p w14:paraId="1AACCCF1" w14:textId="77777777" w:rsidR="00A052DC" w:rsidRDefault="009F0A60">
            <w:pPr>
              <w:pStyle w:val="B"/>
              <w:rPr>
                <w:szCs w:val="20"/>
              </w:rPr>
            </w:pPr>
            <w:r>
              <w:rPr>
                <w:rFonts w:hint="eastAsia"/>
                <w:szCs w:val="20"/>
              </w:rPr>
              <w:t>数值型，</w:t>
            </w:r>
            <w:r>
              <w:rPr>
                <w:szCs w:val="20"/>
              </w:rPr>
              <w:t>22.2</w:t>
            </w:r>
          </w:p>
        </w:tc>
        <w:tc>
          <w:tcPr>
            <w:tcW w:w="3452" w:type="dxa"/>
          </w:tcPr>
          <w:p w14:paraId="723EF843" w14:textId="77777777" w:rsidR="00A052DC" w:rsidRDefault="009F0A60">
            <w:pPr>
              <w:pStyle w:val="B"/>
              <w:rPr>
                <w:szCs w:val="20"/>
              </w:rPr>
            </w:pPr>
            <w:r>
              <w:rPr>
                <w:rFonts w:hint="eastAsia"/>
                <w:szCs w:val="20"/>
              </w:rPr>
              <w:t>必填项。</w:t>
            </w:r>
          </w:p>
        </w:tc>
      </w:tr>
      <w:tr w:rsidR="00A052DC" w14:paraId="4EA5C54D" w14:textId="77777777">
        <w:tc>
          <w:tcPr>
            <w:tcW w:w="1384" w:type="dxa"/>
            <w:noWrap/>
          </w:tcPr>
          <w:p w14:paraId="16B5DDF9" w14:textId="77777777" w:rsidR="00A052DC" w:rsidRDefault="009F0A60">
            <w:pPr>
              <w:pStyle w:val="B"/>
              <w:rPr>
                <w:szCs w:val="20"/>
              </w:rPr>
            </w:pPr>
            <w:r>
              <w:rPr>
                <w:szCs w:val="20"/>
              </w:rPr>
              <w:t>I0308</w:t>
            </w:r>
          </w:p>
        </w:tc>
        <w:tc>
          <w:tcPr>
            <w:tcW w:w="2268" w:type="dxa"/>
          </w:tcPr>
          <w:p w14:paraId="5A11533A" w14:textId="77777777" w:rsidR="00A052DC" w:rsidRDefault="009F0A60">
            <w:pPr>
              <w:pStyle w:val="B"/>
              <w:rPr>
                <w:szCs w:val="20"/>
              </w:rPr>
            </w:pPr>
            <w:r>
              <w:rPr>
                <w:rFonts w:hint="eastAsia"/>
                <w:szCs w:val="20"/>
              </w:rPr>
              <w:t>本月摊回赔付成本收入</w:t>
            </w:r>
          </w:p>
        </w:tc>
        <w:tc>
          <w:tcPr>
            <w:tcW w:w="1418" w:type="dxa"/>
            <w:noWrap/>
          </w:tcPr>
          <w:p w14:paraId="65B2B3A1" w14:textId="77777777" w:rsidR="00A052DC" w:rsidRDefault="009F0A60">
            <w:pPr>
              <w:pStyle w:val="B"/>
              <w:rPr>
                <w:szCs w:val="20"/>
              </w:rPr>
            </w:pPr>
            <w:r>
              <w:rPr>
                <w:rFonts w:hint="eastAsia"/>
                <w:szCs w:val="20"/>
              </w:rPr>
              <w:t>数值型，</w:t>
            </w:r>
            <w:r>
              <w:rPr>
                <w:szCs w:val="20"/>
              </w:rPr>
              <w:t>22.2</w:t>
            </w:r>
          </w:p>
        </w:tc>
        <w:tc>
          <w:tcPr>
            <w:tcW w:w="3452" w:type="dxa"/>
          </w:tcPr>
          <w:p w14:paraId="13A22658" w14:textId="77777777" w:rsidR="00A052DC" w:rsidRDefault="009F0A60">
            <w:pPr>
              <w:pStyle w:val="B"/>
              <w:rPr>
                <w:szCs w:val="20"/>
              </w:rPr>
            </w:pPr>
            <w:r>
              <w:rPr>
                <w:rFonts w:hint="eastAsia"/>
                <w:szCs w:val="20"/>
              </w:rPr>
              <w:t>必填项。</w:t>
            </w:r>
          </w:p>
        </w:tc>
      </w:tr>
      <w:tr w:rsidR="00A052DC" w14:paraId="5A6835C0" w14:textId="77777777">
        <w:tc>
          <w:tcPr>
            <w:tcW w:w="1384" w:type="dxa"/>
            <w:noWrap/>
          </w:tcPr>
          <w:p w14:paraId="488EF1D0" w14:textId="77777777" w:rsidR="00A052DC" w:rsidRDefault="009F0A60">
            <w:pPr>
              <w:pStyle w:val="B"/>
              <w:rPr>
                <w:szCs w:val="20"/>
              </w:rPr>
            </w:pPr>
            <w:r>
              <w:rPr>
                <w:szCs w:val="20"/>
              </w:rPr>
              <w:t>I0309</w:t>
            </w:r>
          </w:p>
        </w:tc>
        <w:tc>
          <w:tcPr>
            <w:tcW w:w="2268" w:type="dxa"/>
          </w:tcPr>
          <w:p w14:paraId="2EDFA669" w14:textId="77777777" w:rsidR="00A052DC" w:rsidRDefault="009F0A60">
            <w:pPr>
              <w:pStyle w:val="B"/>
              <w:rPr>
                <w:szCs w:val="20"/>
              </w:rPr>
            </w:pPr>
            <w:r>
              <w:rPr>
                <w:rFonts w:hint="eastAsia"/>
                <w:szCs w:val="20"/>
              </w:rPr>
              <w:t>上月末应收分保责任准备金余额</w:t>
            </w:r>
          </w:p>
        </w:tc>
        <w:tc>
          <w:tcPr>
            <w:tcW w:w="1418" w:type="dxa"/>
            <w:noWrap/>
          </w:tcPr>
          <w:p w14:paraId="54FFC88F" w14:textId="77777777" w:rsidR="00A052DC" w:rsidRDefault="009F0A60">
            <w:pPr>
              <w:pStyle w:val="B"/>
              <w:rPr>
                <w:szCs w:val="20"/>
              </w:rPr>
            </w:pPr>
            <w:r>
              <w:rPr>
                <w:rFonts w:hint="eastAsia"/>
                <w:szCs w:val="20"/>
              </w:rPr>
              <w:t>数值型，</w:t>
            </w:r>
            <w:r>
              <w:rPr>
                <w:szCs w:val="20"/>
              </w:rPr>
              <w:t>22.2</w:t>
            </w:r>
          </w:p>
        </w:tc>
        <w:tc>
          <w:tcPr>
            <w:tcW w:w="3452" w:type="dxa"/>
          </w:tcPr>
          <w:p w14:paraId="73BDFB8D" w14:textId="77777777" w:rsidR="00A052DC" w:rsidRDefault="009F0A60">
            <w:pPr>
              <w:pStyle w:val="B"/>
              <w:rPr>
                <w:szCs w:val="20"/>
              </w:rPr>
            </w:pPr>
            <w:r>
              <w:rPr>
                <w:rFonts w:hint="eastAsia"/>
                <w:szCs w:val="20"/>
              </w:rPr>
              <w:t>必填项。</w:t>
            </w:r>
          </w:p>
        </w:tc>
      </w:tr>
      <w:tr w:rsidR="00A052DC" w14:paraId="370D1660" w14:textId="77777777">
        <w:tc>
          <w:tcPr>
            <w:tcW w:w="1384" w:type="dxa"/>
            <w:noWrap/>
          </w:tcPr>
          <w:p w14:paraId="6AE2E562" w14:textId="77777777" w:rsidR="00A052DC" w:rsidRDefault="009F0A60">
            <w:pPr>
              <w:pStyle w:val="B"/>
              <w:rPr>
                <w:szCs w:val="20"/>
              </w:rPr>
            </w:pPr>
            <w:r>
              <w:rPr>
                <w:szCs w:val="20"/>
              </w:rPr>
              <w:t>I0310</w:t>
            </w:r>
          </w:p>
        </w:tc>
        <w:tc>
          <w:tcPr>
            <w:tcW w:w="2268" w:type="dxa"/>
          </w:tcPr>
          <w:p w14:paraId="1D86CA41" w14:textId="77777777" w:rsidR="00A052DC" w:rsidRDefault="009F0A60">
            <w:pPr>
              <w:pStyle w:val="B"/>
              <w:rPr>
                <w:szCs w:val="20"/>
              </w:rPr>
            </w:pPr>
            <w:r>
              <w:rPr>
                <w:rFonts w:hint="eastAsia"/>
                <w:szCs w:val="20"/>
              </w:rPr>
              <w:t>本月末应收分保责任准备金余额</w:t>
            </w:r>
          </w:p>
        </w:tc>
        <w:tc>
          <w:tcPr>
            <w:tcW w:w="1418" w:type="dxa"/>
            <w:noWrap/>
          </w:tcPr>
          <w:p w14:paraId="5709D795" w14:textId="77777777" w:rsidR="00A052DC" w:rsidRDefault="009F0A60">
            <w:pPr>
              <w:pStyle w:val="B"/>
              <w:rPr>
                <w:szCs w:val="20"/>
              </w:rPr>
            </w:pPr>
            <w:r>
              <w:rPr>
                <w:rFonts w:hint="eastAsia"/>
                <w:szCs w:val="20"/>
              </w:rPr>
              <w:t>数值型，</w:t>
            </w:r>
            <w:r>
              <w:rPr>
                <w:szCs w:val="20"/>
              </w:rPr>
              <w:t>22.2</w:t>
            </w:r>
          </w:p>
        </w:tc>
        <w:tc>
          <w:tcPr>
            <w:tcW w:w="3452" w:type="dxa"/>
          </w:tcPr>
          <w:p w14:paraId="2FA06345" w14:textId="77777777" w:rsidR="00A052DC" w:rsidRDefault="009F0A60">
            <w:pPr>
              <w:pStyle w:val="B"/>
              <w:rPr>
                <w:szCs w:val="20"/>
              </w:rPr>
            </w:pPr>
            <w:r>
              <w:rPr>
                <w:rFonts w:hint="eastAsia"/>
                <w:szCs w:val="20"/>
              </w:rPr>
              <w:t>必填项。</w:t>
            </w:r>
          </w:p>
        </w:tc>
      </w:tr>
      <w:tr w:rsidR="00A052DC" w14:paraId="580F1EC1" w14:textId="77777777">
        <w:tc>
          <w:tcPr>
            <w:tcW w:w="1384" w:type="dxa"/>
            <w:noWrap/>
          </w:tcPr>
          <w:p w14:paraId="0C201F38" w14:textId="77777777" w:rsidR="00A052DC" w:rsidRDefault="009F0A60">
            <w:pPr>
              <w:pStyle w:val="B"/>
              <w:rPr>
                <w:szCs w:val="20"/>
              </w:rPr>
            </w:pPr>
            <w:r>
              <w:rPr>
                <w:szCs w:val="20"/>
              </w:rPr>
              <w:t>I0311</w:t>
            </w:r>
          </w:p>
        </w:tc>
        <w:tc>
          <w:tcPr>
            <w:tcW w:w="2268" w:type="dxa"/>
          </w:tcPr>
          <w:p w14:paraId="475A5F9D" w14:textId="77777777" w:rsidR="00A052DC" w:rsidRDefault="009F0A60">
            <w:pPr>
              <w:pStyle w:val="B"/>
              <w:rPr>
                <w:szCs w:val="20"/>
              </w:rPr>
            </w:pPr>
            <w:r>
              <w:rPr>
                <w:rFonts w:hint="eastAsia"/>
                <w:szCs w:val="20"/>
              </w:rPr>
              <w:t>备注</w:t>
            </w:r>
          </w:p>
        </w:tc>
        <w:tc>
          <w:tcPr>
            <w:tcW w:w="1418" w:type="dxa"/>
            <w:noWrap/>
          </w:tcPr>
          <w:p w14:paraId="7112F3AE" w14:textId="77777777" w:rsidR="00A052DC" w:rsidRDefault="009F0A60">
            <w:pPr>
              <w:pStyle w:val="B"/>
              <w:rPr>
                <w:szCs w:val="20"/>
              </w:rPr>
            </w:pPr>
            <w:r>
              <w:rPr>
                <w:rFonts w:hint="eastAsia"/>
                <w:szCs w:val="20"/>
              </w:rPr>
              <w:t>字符型，</w:t>
            </w:r>
            <w:r>
              <w:rPr>
                <w:szCs w:val="20"/>
              </w:rPr>
              <w:t>512</w:t>
            </w:r>
          </w:p>
        </w:tc>
        <w:tc>
          <w:tcPr>
            <w:tcW w:w="3452" w:type="dxa"/>
          </w:tcPr>
          <w:p w14:paraId="7F1B5EC1" w14:textId="77777777" w:rsidR="00A052DC" w:rsidRDefault="009F0A60">
            <w:pPr>
              <w:pStyle w:val="B"/>
              <w:rPr>
                <w:szCs w:val="20"/>
              </w:rPr>
            </w:pPr>
            <w:r>
              <w:rPr>
                <w:rFonts w:hint="eastAsia"/>
                <w:szCs w:val="20"/>
              </w:rPr>
              <w:t>当</w:t>
            </w:r>
            <w:r>
              <w:rPr>
                <w:szCs w:val="20"/>
              </w:rPr>
              <w:t>I0306-I0310各项中任何一项为负数</w:t>
            </w:r>
            <w:r>
              <w:rPr>
                <w:rFonts w:hint="eastAsia"/>
                <w:szCs w:val="20"/>
              </w:rPr>
              <w:t>时为必填项。</w:t>
            </w:r>
          </w:p>
        </w:tc>
      </w:tr>
    </w:tbl>
    <w:p w14:paraId="571BA9B4" w14:textId="77777777" w:rsidR="00A052DC" w:rsidRDefault="00A052DC"/>
    <w:p w14:paraId="5B4A4531" w14:textId="77777777" w:rsidR="00A052DC" w:rsidRDefault="009F0A60" w:rsidP="0020251D">
      <w:pPr>
        <w:pStyle w:val="3"/>
        <w:ind w:left="0"/>
        <w:rPr>
          <w:rFonts w:ascii="Times New Roman" w:hAnsi="Times New Roman"/>
        </w:rPr>
      </w:pPr>
      <w:bookmarkStart w:id="3730" w:name="_Toc380356309"/>
      <w:bookmarkStart w:id="3731" w:name="_Toc380571025"/>
      <w:bookmarkStart w:id="3732" w:name="_Toc91455340"/>
      <w:bookmarkStart w:id="3733" w:name="_Toc454391482"/>
      <w:bookmarkStart w:id="3734" w:name="_Toc101684513"/>
      <w:r>
        <w:rPr>
          <w:rFonts w:ascii="Times New Roman" w:hAnsi="Times New Roman"/>
        </w:rPr>
        <w:t>X01</w:t>
      </w:r>
      <w:r>
        <w:rPr>
          <w:rFonts w:ascii="Times New Roman" w:hAnsi="Times New Roman" w:hint="eastAsia"/>
        </w:rPr>
        <w:t>表：银行进出口贸易融资余额</w:t>
      </w:r>
      <w:bookmarkEnd w:id="3730"/>
      <w:bookmarkEnd w:id="3731"/>
      <w:bookmarkEnd w:id="3732"/>
      <w:bookmarkEnd w:id="3733"/>
      <w:bookmarkEnd w:id="3734"/>
    </w:p>
    <w:p w14:paraId="4B4D4ABB" w14:textId="77777777" w:rsidR="00A052DC" w:rsidRDefault="009F0A60" w:rsidP="0020251D">
      <w:pPr>
        <w:pStyle w:val="4"/>
        <w:numPr>
          <w:ilvl w:val="3"/>
          <w:numId w:val="1"/>
        </w:numPr>
        <w:jc w:val="left"/>
      </w:pPr>
      <w:bookmarkStart w:id="3735" w:name="_Toc380571026"/>
      <w:bookmarkStart w:id="3736" w:name="_Toc454391483"/>
      <w:r>
        <w:rPr>
          <w:rFonts w:hint="eastAsia"/>
        </w:rPr>
        <w:t>数据术语解释</w:t>
      </w:r>
      <w:bookmarkEnd w:id="3735"/>
      <w:bookmarkEnd w:id="3736"/>
    </w:p>
    <w:p w14:paraId="6F38D148" w14:textId="77777777" w:rsidR="00A052DC" w:rsidRDefault="00A052DC">
      <w:pPr>
        <w:spacing w:line="240" w:lineRule="exact"/>
        <w:rPr>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2"/>
        <w:gridCol w:w="6060"/>
      </w:tblGrid>
      <w:tr w:rsidR="00A052DC" w14:paraId="02956E64" w14:textId="77777777">
        <w:trPr>
          <w:cantSplit/>
          <w:jc w:val="center"/>
        </w:trPr>
        <w:tc>
          <w:tcPr>
            <w:tcW w:w="0" w:type="auto"/>
            <w:shd w:val="clear" w:color="auto" w:fill="auto"/>
            <w:noWrap/>
          </w:tcPr>
          <w:p w14:paraId="71C19FD4" w14:textId="77777777" w:rsidR="00A052DC" w:rsidRDefault="009F0A60">
            <w:pPr>
              <w:pStyle w:val="B1"/>
            </w:pPr>
            <w:r>
              <w:rPr>
                <w:rFonts w:hint="eastAsia"/>
              </w:rPr>
              <w:t>基础数据项</w:t>
            </w:r>
          </w:p>
        </w:tc>
        <w:tc>
          <w:tcPr>
            <w:tcW w:w="0" w:type="auto"/>
          </w:tcPr>
          <w:p w14:paraId="2C1D7EC7" w14:textId="77777777" w:rsidR="00A052DC" w:rsidRDefault="009F0A60">
            <w:pPr>
              <w:pStyle w:val="B1"/>
            </w:pPr>
            <w:r>
              <w:rPr>
                <w:rFonts w:hint="eastAsia"/>
              </w:rPr>
              <w:t>定义</w:t>
            </w:r>
          </w:p>
        </w:tc>
      </w:tr>
      <w:tr w:rsidR="00A052DC" w14:paraId="29617321" w14:textId="77777777">
        <w:trPr>
          <w:cantSplit/>
          <w:jc w:val="center"/>
        </w:trPr>
        <w:tc>
          <w:tcPr>
            <w:tcW w:w="0" w:type="auto"/>
            <w:shd w:val="clear" w:color="auto" w:fill="auto"/>
          </w:tcPr>
          <w:p w14:paraId="39B89A7E" w14:textId="77777777" w:rsidR="00A052DC" w:rsidRDefault="009F0A60">
            <w:pPr>
              <w:pStyle w:val="B"/>
              <w:rPr>
                <w:szCs w:val="20"/>
              </w:rPr>
            </w:pPr>
            <w:r>
              <w:rPr>
                <w:rFonts w:hint="eastAsia"/>
                <w:szCs w:val="20"/>
              </w:rPr>
              <w:t>数据自编码</w:t>
            </w:r>
          </w:p>
        </w:tc>
        <w:tc>
          <w:tcPr>
            <w:tcW w:w="0" w:type="auto"/>
          </w:tcPr>
          <w:p w14:paraId="7A0B9509" w14:textId="77777777" w:rsidR="00A052DC" w:rsidRDefault="009F0A60">
            <w:pPr>
              <w:pStyle w:val="B"/>
              <w:rPr>
                <w:szCs w:val="20"/>
              </w:rPr>
            </w:pPr>
            <w:r>
              <w:rPr>
                <w:rFonts w:hint="eastAsia"/>
                <w:szCs w:val="20"/>
              </w:rPr>
              <w:t>该编码用于标识金融机构报送的每一条数据，按给定规则编码，便于进行增删改查等操作。建议规则：机构代码（18位，不足18位补</w:t>
            </w:r>
            <w:r>
              <w:rPr>
                <w:szCs w:val="20"/>
              </w:rPr>
              <w:t>a</w:t>
            </w:r>
            <w:r>
              <w:rPr>
                <w:rFonts w:hint="eastAsia"/>
                <w:szCs w:val="20"/>
              </w:rPr>
              <w:t>）</w:t>
            </w:r>
            <w:r>
              <w:rPr>
                <w:szCs w:val="20"/>
              </w:rPr>
              <w:t>+</w:t>
            </w:r>
            <w:r>
              <w:rPr>
                <w:rFonts w:hint="eastAsia"/>
                <w:szCs w:val="20"/>
              </w:rPr>
              <w:t>报表代码（</w:t>
            </w:r>
            <w:r>
              <w:rPr>
                <w:szCs w:val="20"/>
              </w:rPr>
              <w:t>5</w:t>
            </w:r>
            <w:r>
              <w:rPr>
                <w:rFonts w:hint="eastAsia"/>
                <w:szCs w:val="20"/>
              </w:rPr>
              <w:t>位，不足</w:t>
            </w:r>
            <w:r>
              <w:rPr>
                <w:szCs w:val="20"/>
              </w:rPr>
              <w:t>5</w:t>
            </w:r>
            <w:r>
              <w:rPr>
                <w:rFonts w:hint="eastAsia"/>
                <w:szCs w:val="20"/>
              </w:rPr>
              <w:t>位补</w:t>
            </w:r>
            <w:r>
              <w:rPr>
                <w:szCs w:val="20"/>
              </w:rPr>
              <w:t>a</w:t>
            </w:r>
            <w:r>
              <w:rPr>
                <w:rFonts w:hint="eastAsia"/>
                <w:szCs w:val="20"/>
              </w:rPr>
              <w:t>）</w:t>
            </w:r>
            <w:r>
              <w:rPr>
                <w:szCs w:val="20"/>
              </w:rPr>
              <w:t>+</w:t>
            </w:r>
            <w:r>
              <w:rPr>
                <w:rFonts w:hint="eastAsia"/>
                <w:szCs w:val="20"/>
              </w:rPr>
              <w:t>报送期（</w:t>
            </w:r>
            <w:r>
              <w:rPr>
                <w:szCs w:val="20"/>
              </w:rPr>
              <w:t>6</w:t>
            </w:r>
            <w:r>
              <w:rPr>
                <w:rFonts w:hint="eastAsia"/>
                <w:szCs w:val="20"/>
              </w:rPr>
              <w:t>位）</w:t>
            </w:r>
            <w:r>
              <w:rPr>
                <w:szCs w:val="20"/>
              </w:rPr>
              <w:t>+</w:t>
            </w:r>
            <w:r>
              <w:rPr>
                <w:rFonts w:hint="eastAsia"/>
                <w:szCs w:val="20"/>
              </w:rPr>
              <w:t>顺序号（</w:t>
            </w:r>
            <w:r>
              <w:rPr>
                <w:szCs w:val="20"/>
              </w:rPr>
              <w:t>7</w:t>
            </w:r>
            <w:r>
              <w:rPr>
                <w:rFonts w:hint="eastAsia"/>
                <w:szCs w:val="20"/>
              </w:rPr>
              <w:t>位，从</w:t>
            </w:r>
            <w:r>
              <w:rPr>
                <w:szCs w:val="20"/>
              </w:rPr>
              <w:t>0000001</w:t>
            </w:r>
            <w:r>
              <w:rPr>
                <w:rFonts w:hint="eastAsia"/>
                <w:szCs w:val="20"/>
              </w:rPr>
              <w:t>开始增加）。</w:t>
            </w:r>
          </w:p>
        </w:tc>
      </w:tr>
      <w:tr w:rsidR="00A052DC" w14:paraId="158DDDFC" w14:textId="77777777">
        <w:trPr>
          <w:cantSplit/>
          <w:jc w:val="center"/>
        </w:trPr>
        <w:tc>
          <w:tcPr>
            <w:tcW w:w="0" w:type="auto"/>
            <w:shd w:val="clear" w:color="auto" w:fill="auto"/>
          </w:tcPr>
          <w:p w14:paraId="1A8A9261" w14:textId="77777777" w:rsidR="00A052DC" w:rsidRDefault="009F0A60">
            <w:pPr>
              <w:pStyle w:val="B"/>
              <w:rPr>
                <w:szCs w:val="20"/>
              </w:rPr>
            </w:pPr>
            <w:r>
              <w:rPr>
                <w:rFonts w:hint="eastAsia"/>
                <w:szCs w:val="20"/>
              </w:rPr>
              <w:t>申报主体代码</w:t>
            </w:r>
          </w:p>
        </w:tc>
        <w:tc>
          <w:tcPr>
            <w:tcW w:w="0" w:type="auto"/>
          </w:tcPr>
          <w:p w14:paraId="511E6176" w14:textId="77777777" w:rsidR="00A052DC" w:rsidRDefault="009F0A60">
            <w:pPr>
              <w:pStyle w:val="B"/>
              <w:rPr>
                <w:szCs w:val="20"/>
              </w:rPr>
            </w:pPr>
            <w:r>
              <w:rPr>
                <w:rFonts w:hint="eastAsia"/>
                <w:szCs w:val="20"/>
              </w:rPr>
              <w:t>申报主体的12位金融机构标识码，如果没有金融机构标识码，则填报统一社会信用代码法定载体（如营业执照）上统一社会信用代码中的第9至17位或国家外汇管理局及其分支局签发的特殊机构代码赋码通知书上的机构代码、个人身份代码。</w:t>
            </w:r>
          </w:p>
        </w:tc>
      </w:tr>
      <w:tr w:rsidR="00A052DC" w14:paraId="212C01E9" w14:textId="77777777">
        <w:trPr>
          <w:cantSplit/>
          <w:jc w:val="center"/>
        </w:trPr>
        <w:tc>
          <w:tcPr>
            <w:tcW w:w="0" w:type="auto"/>
            <w:shd w:val="clear" w:color="auto" w:fill="auto"/>
          </w:tcPr>
          <w:p w14:paraId="7E89D885" w14:textId="77777777" w:rsidR="00A052DC" w:rsidRDefault="009F0A60">
            <w:pPr>
              <w:pStyle w:val="B"/>
              <w:rPr>
                <w:szCs w:val="20"/>
              </w:rPr>
            </w:pPr>
            <w:r>
              <w:rPr>
                <w:rFonts w:hint="eastAsia"/>
                <w:szCs w:val="20"/>
              </w:rPr>
              <w:t>报告期</w:t>
            </w:r>
          </w:p>
        </w:tc>
        <w:tc>
          <w:tcPr>
            <w:tcW w:w="0" w:type="auto"/>
          </w:tcPr>
          <w:p w14:paraId="09446D91" w14:textId="77777777" w:rsidR="00A052DC" w:rsidRDefault="009F0A60">
            <w:pPr>
              <w:pStyle w:val="B"/>
              <w:rPr>
                <w:szCs w:val="20"/>
              </w:rPr>
            </w:pPr>
            <w:r>
              <w:rPr>
                <w:rFonts w:hint="eastAsia"/>
                <w:szCs w:val="20"/>
              </w:rPr>
              <w:t>业务发生月份，格式为</w:t>
            </w:r>
            <w:r>
              <w:rPr>
                <w:szCs w:val="20"/>
              </w:rPr>
              <w:t>YYYYMM</w:t>
            </w:r>
            <w:r>
              <w:rPr>
                <w:rFonts w:hint="eastAsia"/>
                <w:szCs w:val="20"/>
              </w:rPr>
              <w:t>。</w:t>
            </w:r>
          </w:p>
        </w:tc>
      </w:tr>
      <w:tr w:rsidR="00A052DC" w14:paraId="33E6E92B" w14:textId="77777777">
        <w:trPr>
          <w:cantSplit/>
          <w:jc w:val="center"/>
        </w:trPr>
        <w:tc>
          <w:tcPr>
            <w:tcW w:w="0" w:type="auto"/>
            <w:shd w:val="clear" w:color="auto" w:fill="auto"/>
          </w:tcPr>
          <w:p w14:paraId="3051FDE5" w14:textId="77777777" w:rsidR="00A052DC" w:rsidRDefault="009F0A60">
            <w:pPr>
              <w:pStyle w:val="B"/>
              <w:rPr>
                <w:szCs w:val="20"/>
              </w:rPr>
            </w:pPr>
            <w:r>
              <w:rPr>
                <w:rFonts w:hint="eastAsia"/>
                <w:szCs w:val="20"/>
              </w:rPr>
              <w:t>银行进口贸易融资业务——境外银行提供贸易融资</w:t>
            </w:r>
          </w:p>
        </w:tc>
        <w:tc>
          <w:tcPr>
            <w:tcW w:w="0" w:type="auto"/>
          </w:tcPr>
          <w:p w14:paraId="54860126" w14:textId="77777777" w:rsidR="00A052DC" w:rsidRDefault="009F0A60">
            <w:pPr>
              <w:pStyle w:val="B"/>
              <w:rPr>
                <w:szCs w:val="20"/>
              </w:rPr>
            </w:pPr>
            <w:r>
              <w:rPr>
                <w:rFonts w:hint="eastAsia"/>
                <w:szCs w:val="20"/>
              </w:rPr>
              <w:t>指境外银行为境内进口企业向境外出口企业在境外垫付进口货款。此项目由最终与境外银行发生代付等业务关系的境内银行填报。为海外代付（境内银行名义融资）</w:t>
            </w:r>
            <w:r>
              <w:rPr>
                <w:szCs w:val="20"/>
              </w:rPr>
              <w:t>+境内银行提供担保+境内银行</w:t>
            </w:r>
            <w:r>
              <w:rPr>
                <w:rFonts w:hint="eastAsia"/>
                <w:szCs w:val="20"/>
              </w:rPr>
              <w:t>居间业务。</w:t>
            </w:r>
          </w:p>
        </w:tc>
      </w:tr>
      <w:tr w:rsidR="00A052DC" w14:paraId="5285E03E" w14:textId="77777777">
        <w:trPr>
          <w:cantSplit/>
          <w:jc w:val="center"/>
        </w:trPr>
        <w:tc>
          <w:tcPr>
            <w:tcW w:w="0" w:type="auto"/>
            <w:shd w:val="clear" w:color="auto" w:fill="auto"/>
          </w:tcPr>
          <w:p w14:paraId="3C8BF2B5" w14:textId="77777777" w:rsidR="00A052DC" w:rsidRDefault="009F0A60">
            <w:pPr>
              <w:pStyle w:val="B"/>
              <w:rPr>
                <w:szCs w:val="20"/>
              </w:rPr>
            </w:pPr>
            <w:r>
              <w:rPr>
                <w:rFonts w:hint="eastAsia"/>
                <w:szCs w:val="20"/>
              </w:rPr>
              <w:t>银行进口贸易融资业务——境外银行提供贸易融资，其中：人民币</w:t>
            </w:r>
          </w:p>
        </w:tc>
        <w:tc>
          <w:tcPr>
            <w:tcW w:w="0" w:type="auto"/>
          </w:tcPr>
          <w:p w14:paraId="5FEAECA8" w14:textId="77777777" w:rsidR="00A052DC" w:rsidRDefault="009F0A60">
            <w:pPr>
              <w:pStyle w:val="B"/>
              <w:widowControl w:val="0"/>
              <w:rPr>
                <w:szCs w:val="20"/>
              </w:rPr>
            </w:pPr>
            <w:r>
              <w:rPr>
                <w:rFonts w:hint="eastAsia"/>
                <w:szCs w:val="20"/>
              </w:rPr>
              <w:t>指银行进口贸易融资业务下，境外银行提供贸易融资</w:t>
            </w:r>
            <w:r>
              <w:rPr>
                <w:szCs w:val="20"/>
              </w:rPr>
              <w:t>余额中的人民币部分。</w:t>
            </w:r>
          </w:p>
        </w:tc>
      </w:tr>
      <w:tr w:rsidR="00A052DC" w14:paraId="11B01185" w14:textId="77777777">
        <w:trPr>
          <w:cantSplit/>
          <w:jc w:val="center"/>
        </w:trPr>
        <w:tc>
          <w:tcPr>
            <w:tcW w:w="0" w:type="auto"/>
            <w:shd w:val="clear" w:color="auto" w:fill="auto"/>
          </w:tcPr>
          <w:p w14:paraId="74F883FC" w14:textId="77777777" w:rsidR="00A052DC" w:rsidRDefault="009F0A60">
            <w:pPr>
              <w:pStyle w:val="B"/>
              <w:rPr>
                <w:szCs w:val="20"/>
              </w:rPr>
            </w:pPr>
            <w:r>
              <w:rPr>
                <w:rFonts w:hint="eastAsia"/>
                <w:szCs w:val="20"/>
              </w:rPr>
              <w:t>海外代付（境内银行名义融资）</w:t>
            </w:r>
          </w:p>
        </w:tc>
        <w:tc>
          <w:tcPr>
            <w:tcW w:w="0" w:type="auto"/>
          </w:tcPr>
          <w:p w14:paraId="7CEC561A" w14:textId="77777777" w:rsidR="00A052DC" w:rsidRDefault="009F0A60">
            <w:pPr>
              <w:pStyle w:val="B"/>
              <w:rPr>
                <w:szCs w:val="20"/>
              </w:rPr>
            </w:pPr>
            <w:r>
              <w:rPr>
                <w:rFonts w:hint="eastAsia"/>
                <w:szCs w:val="20"/>
              </w:rPr>
              <w:t>指境内银行以自身名义直接从境外银行融资，委托境外银行为境内进口企业在境外向境外出口企业支付货款；在境内银行以自身名义从境外银行融资时，境内银行与境外代付银行存在债务关系；境内进口企业与境内银行存在债务关系，但与境外银行无直接债务关系。</w:t>
            </w:r>
          </w:p>
        </w:tc>
      </w:tr>
      <w:tr w:rsidR="00A052DC" w14:paraId="446C36AA" w14:textId="77777777">
        <w:trPr>
          <w:cantSplit/>
          <w:jc w:val="center"/>
        </w:trPr>
        <w:tc>
          <w:tcPr>
            <w:tcW w:w="0" w:type="auto"/>
            <w:shd w:val="clear" w:color="auto" w:fill="auto"/>
          </w:tcPr>
          <w:p w14:paraId="2A9CC85A" w14:textId="77777777" w:rsidR="00A052DC" w:rsidRDefault="009F0A60">
            <w:pPr>
              <w:pStyle w:val="B"/>
              <w:rPr>
                <w:szCs w:val="20"/>
              </w:rPr>
            </w:pPr>
            <w:r>
              <w:rPr>
                <w:rFonts w:hint="eastAsia"/>
                <w:szCs w:val="20"/>
              </w:rPr>
              <w:t>海外代付（境内银行名义融资），其中：人民币</w:t>
            </w:r>
          </w:p>
        </w:tc>
        <w:tc>
          <w:tcPr>
            <w:tcW w:w="0" w:type="auto"/>
          </w:tcPr>
          <w:p w14:paraId="5BBEDE8A" w14:textId="77777777" w:rsidR="00A052DC" w:rsidRDefault="009F0A60">
            <w:pPr>
              <w:pStyle w:val="B"/>
              <w:rPr>
                <w:szCs w:val="20"/>
              </w:rPr>
            </w:pPr>
            <w:r>
              <w:rPr>
                <w:rFonts w:hint="eastAsia"/>
                <w:szCs w:val="20"/>
              </w:rPr>
              <w:t>指海外代付（境内银行名义融资）余额中的人民币部分。</w:t>
            </w:r>
          </w:p>
        </w:tc>
      </w:tr>
      <w:tr w:rsidR="00A052DC" w14:paraId="3F0400FC" w14:textId="77777777">
        <w:trPr>
          <w:cantSplit/>
          <w:jc w:val="center"/>
        </w:trPr>
        <w:tc>
          <w:tcPr>
            <w:tcW w:w="0" w:type="auto"/>
            <w:shd w:val="clear" w:color="auto" w:fill="auto"/>
          </w:tcPr>
          <w:p w14:paraId="0679EC22" w14:textId="77777777" w:rsidR="00A052DC" w:rsidRDefault="009F0A60">
            <w:pPr>
              <w:pStyle w:val="B"/>
              <w:rPr>
                <w:szCs w:val="20"/>
              </w:rPr>
            </w:pPr>
            <w:r>
              <w:rPr>
                <w:rFonts w:hint="eastAsia"/>
                <w:szCs w:val="20"/>
              </w:rPr>
              <w:t>海外代付（境内银行名义融资）（90天及以下）</w:t>
            </w:r>
          </w:p>
        </w:tc>
        <w:tc>
          <w:tcPr>
            <w:tcW w:w="0" w:type="auto"/>
          </w:tcPr>
          <w:p w14:paraId="0E6475B3" w14:textId="77777777" w:rsidR="00A052DC" w:rsidRDefault="009F0A60">
            <w:pPr>
              <w:pStyle w:val="B"/>
              <w:rPr>
                <w:szCs w:val="20"/>
              </w:rPr>
            </w:pPr>
            <w:r>
              <w:rPr>
                <w:rFonts w:hint="eastAsia"/>
                <w:szCs w:val="20"/>
              </w:rPr>
              <w:t>指</w:t>
            </w:r>
            <w:r>
              <w:rPr>
                <w:szCs w:val="20"/>
              </w:rPr>
              <w:t>90</w:t>
            </w:r>
            <w:r>
              <w:rPr>
                <w:rFonts w:hint="eastAsia"/>
                <w:szCs w:val="20"/>
              </w:rPr>
              <w:t>天及以下的境内银行以自身名义直接从境外银行融资，委托境外银行为境内进口企业在境外向境外出口企业支付货款；在境内银行以自身名义从境外银行融资时，境内银行与境外代付银行存在债务关系；境内进口企业与境内银行存在债务关系，但与境外银行无直接债务关系。</w:t>
            </w:r>
          </w:p>
        </w:tc>
      </w:tr>
      <w:tr w:rsidR="00A052DC" w14:paraId="5381E77A" w14:textId="77777777">
        <w:trPr>
          <w:cantSplit/>
          <w:jc w:val="center"/>
        </w:trPr>
        <w:tc>
          <w:tcPr>
            <w:tcW w:w="0" w:type="auto"/>
            <w:shd w:val="clear" w:color="auto" w:fill="auto"/>
          </w:tcPr>
          <w:p w14:paraId="17A69CCA" w14:textId="77777777" w:rsidR="00A052DC" w:rsidRDefault="009F0A60">
            <w:pPr>
              <w:pStyle w:val="B"/>
              <w:rPr>
                <w:szCs w:val="20"/>
              </w:rPr>
            </w:pPr>
            <w:r>
              <w:rPr>
                <w:rFonts w:hint="eastAsia"/>
                <w:szCs w:val="20"/>
              </w:rPr>
              <w:t>海外代付（境内银行名义融资）（90天及以下），其中：人民币</w:t>
            </w:r>
          </w:p>
        </w:tc>
        <w:tc>
          <w:tcPr>
            <w:tcW w:w="0" w:type="auto"/>
          </w:tcPr>
          <w:p w14:paraId="6DD9B1AB" w14:textId="77777777" w:rsidR="00A052DC" w:rsidRDefault="009F0A60">
            <w:pPr>
              <w:pStyle w:val="B"/>
              <w:rPr>
                <w:szCs w:val="20"/>
              </w:rPr>
            </w:pPr>
            <w:r>
              <w:rPr>
                <w:rFonts w:hint="eastAsia"/>
                <w:szCs w:val="20"/>
              </w:rPr>
              <w:t>指</w:t>
            </w:r>
            <w:r>
              <w:rPr>
                <w:szCs w:val="20"/>
              </w:rPr>
              <w:t>90</w:t>
            </w:r>
            <w:r>
              <w:rPr>
                <w:rFonts w:hint="eastAsia"/>
                <w:szCs w:val="20"/>
              </w:rPr>
              <w:t>天及以下海外代付（境内银行名义融资）余额中的人民币部分。</w:t>
            </w:r>
          </w:p>
        </w:tc>
      </w:tr>
      <w:tr w:rsidR="00A052DC" w14:paraId="658EB04B" w14:textId="77777777">
        <w:trPr>
          <w:cantSplit/>
          <w:jc w:val="center"/>
        </w:trPr>
        <w:tc>
          <w:tcPr>
            <w:tcW w:w="0" w:type="auto"/>
            <w:shd w:val="clear" w:color="auto" w:fill="auto"/>
          </w:tcPr>
          <w:p w14:paraId="399A24FD" w14:textId="77777777" w:rsidR="00A052DC" w:rsidRDefault="009F0A60">
            <w:pPr>
              <w:pStyle w:val="B"/>
              <w:rPr>
                <w:szCs w:val="20"/>
              </w:rPr>
            </w:pPr>
            <w:r>
              <w:rPr>
                <w:rFonts w:hint="eastAsia"/>
                <w:szCs w:val="20"/>
              </w:rPr>
              <w:t>境内银行提供担保</w:t>
            </w:r>
          </w:p>
        </w:tc>
        <w:tc>
          <w:tcPr>
            <w:tcW w:w="0" w:type="auto"/>
          </w:tcPr>
          <w:p w14:paraId="6989C670" w14:textId="77777777" w:rsidR="00A052DC" w:rsidRDefault="009F0A60">
            <w:pPr>
              <w:pStyle w:val="B"/>
              <w:rPr>
                <w:szCs w:val="20"/>
              </w:rPr>
            </w:pPr>
            <w:r>
              <w:rPr>
                <w:rFonts w:hint="eastAsia"/>
                <w:szCs w:val="20"/>
              </w:rPr>
              <w:t>指境内进口企业直接从境外银行融资，委托境外银行为其在境外向境外出口企业支付货款，境内银行为境内进口企业从境外银行融资的行为提供担保；此时，境内进口企业作为主债务人承担对境外银行的债务，其与境内银行无直接债务关系，境内银行作为担保人在境内进口企业无法履行还款义务时承担还款责任。</w:t>
            </w:r>
          </w:p>
        </w:tc>
      </w:tr>
      <w:tr w:rsidR="00A052DC" w14:paraId="1C895C36" w14:textId="77777777">
        <w:trPr>
          <w:cantSplit/>
          <w:jc w:val="center"/>
        </w:trPr>
        <w:tc>
          <w:tcPr>
            <w:tcW w:w="0" w:type="auto"/>
            <w:shd w:val="clear" w:color="auto" w:fill="auto"/>
          </w:tcPr>
          <w:p w14:paraId="2E0E25E2" w14:textId="77777777" w:rsidR="00A052DC" w:rsidRDefault="009F0A60">
            <w:pPr>
              <w:pStyle w:val="B"/>
              <w:rPr>
                <w:szCs w:val="20"/>
              </w:rPr>
            </w:pPr>
            <w:r>
              <w:rPr>
                <w:rFonts w:hint="eastAsia"/>
                <w:szCs w:val="20"/>
              </w:rPr>
              <w:t>境内银行提供担保，其中：人民币</w:t>
            </w:r>
          </w:p>
        </w:tc>
        <w:tc>
          <w:tcPr>
            <w:tcW w:w="0" w:type="auto"/>
          </w:tcPr>
          <w:p w14:paraId="6FD01382" w14:textId="77777777" w:rsidR="00A052DC" w:rsidRDefault="009F0A60">
            <w:pPr>
              <w:pStyle w:val="B"/>
              <w:rPr>
                <w:szCs w:val="20"/>
              </w:rPr>
            </w:pPr>
            <w:r>
              <w:rPr>
                <w:rFonts w:hint="eastAsia"/>
                <w:szCs w:val="20"/>
              </w:rPr>
              <w:t>指</w:t>
            </w:r>
            <w:r>
              <w:rPr>
                <w:szCs w:val="20"/>
              </w:rPr>
              <w:t>境内银行提供担保余额中的人民币部分。</w:t>
            </w:r>
          </w:p>
        </w:tc>
      </w:tr>
      <w:tr w:rsidR="00A052DC" w14:paraId="70AE16EB" w14:textId="77777777">
        <w:trPr>
          <w:cantSplit/>
          <w:jc w:val="center"/>
        </w:trPr>
        <w:tc>
          <w:tcPr>
            <w:tcW w:w="0" w:type="auto"/>
            <w:shd w:val="clear" w:color="auto" w:fill="auto"/>
          </w:tcPr>
          <w:p w14:paraId="5CA3525E" w14:textId="77777777" w:rsidR="00A052DC" w:rsidRDefault="009F0A60">
            <w:pPr>
              <w:pStyle w:val="B"/>
              <w:rPr>
                <w:szCs w:val="20"/>
              </w:rPr>
            </w:pPr>
            <w:r>
              <w:rPr>
                <w:rFonts w:hint="eastAsia"/>
                <w:szCs w:val="20"/>
              </w:rPr>
              <w:t>境内银行居间业务</w:t>
            </w:r>
          </w:p>
        </w:tc>
        <w:tc>
          <w:tcPr>
            <w:tcW w:w="0" w:type="auto"/>
          </w:tcPr>
          <w:p w14:paraId="009BB652" w14:textId="77777777" w:rsidR="00A052DC" w:rsidRDefault="009F0A60">
            <w:pPr>
              <w:pStyle w:val="B"/>
              <w:rPr>
                <w:szCs w:val="20"/>
              </w:rPr>
            </w:pPr>
            <w:r>
              <w:rPr>
                <w:rFonts w:hint="eastAsia"/>
                <w:szCs w:val="20"/>
              </w:rPr>
              <w:t>指境内进口企业直接从境外银行融资，委托境外银行为其在境外向境外出口企业支付货款，境内银行仅为境外银行和境内进口企业提供居间服务；此时，境内进口企业与境外银行存在债务关系，境内银行与境内进口企业、境外银行之间不存在债权债务关系。</w:t>
            </w:r>
          </w:p>
        </w:tc>
      </w:tr>
      <w:tr w:rsidR="00A052DC" w14:paraId="7A5D6440" w14:textId="77777777">
        <w:trPr>
          <w:cantSplit/>
          <w:jc w:val="center"/>
        </w:trPr>
        <w:tc>
          <w:tcPr>
            <w:tcW w:w="0" w:type="auto"/>
            <w:shd w:val="clear" w:color="auto" w:fill="auto"/>
          </w:tcPr>
          <w:p w14:paraId="61B218E0" w14:textId="77777777" w:rsidR="00A052DC" w:rsidRDefault="009F0A60">
            <w:pPr>
              <w:pStyle w:val="B"/>
              <w:rPr>
                <w:szCs w:val="20"/>
              </w:rPr>
            </w:pPr>
            <w:r>
              <w:rPr>
                <w:rFonts w:hint="eastAsia"/>
                <w:szCs w:val="20"/>
              </w:rPr>
              <w:t>境内银行居间业务，其中：人民币</w:t>
            </w:r>
          </w:p>
        </w:tc>
        <w:tc>
          <w:tcPr>
            <w:tcW w:w="0" w:type="auto"/>
          </w:tcPr>
          <w:p w14:paraId="08713726" w14:textId="77777777" w:rsidR="00A052DC" w:rsidRDefault="009F0A60">
            <w:pPr>
              <w:pStyle w:val="B"/>
              <w:rPr>
                <w:szCs w:val="20"/>
              </w:rPr>
            </w:pPr>
            <w:r>
              <w:rPr>
                <w:rFonts w:hint="eastAsia"/>
                <w:szCs w:val="20"/>
              </w:rPr>
              <w:t>指</w:t>
            </w:r>
            <w:r>
              <w:rPr>
                <w:szCs w:val="20"/>
              </w:rPr>
              <w:t>境内银行居间业务余额中的人民币部分。</w:t>
            </w:r>
          </w:p>
        </w:tc>
      </w:tr>
      <w:tr w:rsidR="00A052DC" w14:paraId="175FD7B4" w14:textId="77777777">
        <w:trPr>
          <w:cantSplit/>
          <w:jc w:val="center"/>
        </w:trPr>
        <w:tc>
          <w:tcPr>
            <w:tcW w:w="0" w:type="auto"/>
            <w:shd w:val="clear" w:color="auto" w:fill="auto"/>
          </w:tcPr>
          <w:p w14:paraId="6BDBD4F9" w14:textId="77777777" w:rsidR="00A052DC" w:rsidRDefault="009F0A60">
            <w:pPr>
              <w:pStyle w:val="B"/>
              <w:rPr>
                <w:szCs w:val="20"/>
              </w:rPr>
            </w:pPr>
            <w:r>
              <w:rPr>
                <w:rFonts w:hint="eastAsia"/>
                <w:szCs w:val="20"/>
              </w:rPr>
              <w:t>银行出口贸易融资业务——境外银行提供贸易融资</w:t>
            </w:r>
          </w:p>
        </w:tc>
        <w:tc>
          <w:tcPr>
            <w:tcW w:w="0" w:type="auto"/>
          </w:tcPr>
          <w:p w14:paraId="6B8639AF" w14:textId="77777777" w:rsidR="00A052DC" w:rsidRDefault="009F0A60">
            <w:pPr>
              <w:pStyle w:val="B"/>
              <w:rPr>
                <w:szCs w:val="20"/>
              </w:rPr>
            </w:pPr>
            <w:r>
              <w:rPr>
                <w:rFonts w:hint="eastAsia"/>
                <w:szCs w:val="20"/>
              </w:rPr>
              <w:t>境外银行提供贷款性质融资</w:t>
            </w:r>
            <w:r>
              <w:rPr>
                <w:szCs w:val="20"/>
              </w:rPr>
              <w:t>+</w:t>
            </w:r>
            <w:r>
              <w:rPr>
                <w:rFonts w:hint="eastAsia"/>
                <w:szCs w:val="20"/>
              </w:rPr>
              <w:t>境外银行承兑远期信用证和应付未付即期信用证（境内银行为交单行）。</w:t>
            </w:r>
          </w:p>
        </w:tc>
      </w:tr>
      <w:tr w:rsidR="00A052DC" w14:paraId="561348ED" w14:textId="77777777">
        <w:trPr>
          <w:cantSplit/>
          <w:jc w:val="center"/>
        </w:trPr>
        <w:tc>
          <w:tcPr>
            <w:tcW w:w="0" w:type="auto"/>
            <w:shd w:val="clear" w:color="auto" w:fill="auto"/>
          </w:tcPr>
          <w:p w14:paraId="52E2C1DF" w14:textId="77777777" w:rsidR="00A052DC" w:rsidRDefault="009F0A60">
            <w:pPr>
              <w:pStyle w:val="B"/>
              <w:rPr>
                <w:szCs w:val="20"/>
              </w:rPr>
            </w:pPr>
            <w:r>
              <w:rPr>
                <w:rFonts w:hint="eastAsia"/>
                <w:szCs w:val="20"/>
              </w:rPr>
              <w:t>银行出口贸易融资业务——境外银行提供贸易融资，其中：人民币</w:t>
            </w:r>
          </w:p>
        </w:tc>
        <w:tc>
          <w:tcPr>
            <w:tcW w:w="0" w:type="auto"/>
          </w:tcPr>
          <w:p w14:paraId="60346BAA" w14:textId="77777777" w:rsidR="00A052DC" w:rsidRDefault="009F0A60">
            <w:pPr>
              <w:pStyle w:val="B"/>
              <w:rPr>
                <w:szCs w:val="20"/>
              </w:rPr>
            </w:pPr>
            <w:r>
              <w:rPr>
                <w:rFonts w:hint="eastAsia"/>
                <w:szCs w:val="20"/>
              </w:rPr>
              <w:t>指银行出口贸易融资业务下，境外银行提供贸易融资余额中的人民币部分。</w:t>
            </w:r>
          </w:p>
        </w:tc>
      </w:tr>
      <w:tr w:rsidR="00A052DC" w14:paraId="3B051D03" w14:textId="77777777">
        <w:trPr>
          <w:cantSplit/>
          <w:jc w:val="center"/>
        </w:trPr>
        <w:tc>
          <w:tcPr>
            <w:tcW w:w="0" w:type="auto"/>
            <w:shd w:val="clear" w:color="auto" w:fill="auto"/>
          </w:tcPr>
          <w:p w14:paraId="3CE182B7" w14:textId="77777777" w:rsidR="00A052DC" w:rsidRDefault="009F0A60">
            <w:pPr>
              <w:pStyle w:val="B"/>
              <w:rPr>
                <w:szCs w:val="20"/>
              </w:rPr>
            </w:pPr>
            <w:r>
              <w:rPr>
                <w:rFonts w:hint="eastAsia"/>
                <w:szCs w:val="20"/>
              </w:rPr>
              <w:t>境外银行提供贷款性质融资</w:t>
            </w:r>
          </w:p>
        </w:tc>
        <w:tc>
          <w:tcPr>
            <w:tcW w:w="0" w:type="auto"/>
          </w:tcPr>
          <w:p w14:paraId="32607F6C" w14:textId="77777777" w:rsidR="00A052DC" w:rsidRDefault="009F0A60">
            <w:pPr>
              <w:pStyle w:val="B"/>
              <w:rPr>
                <w:szCs w:val="20"/>
              </w:rPr>
            </w:pPr>
            <w:r>
              <w:rPr>
                <w:rFonts w:hint="eastAsia"/>
                <w:szCs w:val="20"/>
              </w:rPr>
              <w:t>指经由境内银行提供担保或居间服务，境外银行直接对境内出口企业提供贷款性质的贸易融资，境内出口商从境外进口商收回货款后再向境外银行偿还的行为。</w:t>
            </w:r>
          </w:p>
        </w:tc>
      </w:tr>
      <w:tr w:rsidR="00A052DC" w14:paraId="2873F738" w14:textId="77777777">
        <w:trPr>
          <w:cantSplit/>
          <w:jc w:val="center"/>
        </w:trPr>
        <w:tc>
          <w:tcPr>
            <w:tcW w:w="0" w:type="auto"/>
            <w:shd w:val="clear" w:color="auto" w:fill="auto"/>
          </w:tcPr>
          <w:p w14:paraId="4E36E091" w14:textId="77777777" w:rsidR="00A052DC" w:rsidRDefault="009F0A60">
            <w:pPr>
              <w:pStyle w:val="B"/>
              <w:rPr>
                <w:szCs w:val="20"/>
              </w:rPr>
            </w:pPr>
            <w:r>
              <w:rPr>
                <w:rFonts w:hint="eastAsia"/>
                <w:szCs w:val="20"/>
              </w:rPr>
              <w:t>境外银行提供贷款性质融资，其中：人民币</w:t>
            </w:r>
          </w:p>
        </w:tc>
        <w:tc>
          <w:tcPr>
            <w:tcW w:w="0" w:type="auto"/>
          </w:tcPr>
          <w:p w14:paraId="2A520AC5" w14:textId="77777777" w:rsidR="00A052DC" w:rsidRDefault="009F0A60">
            <w:pPr>
              <w:pStyle w:val="B"/>
              <w:rPr>
                <w:szCs w:val="20"/>
              </w:rPr>
            </w:pPr>
            <w:r>
              <w:rPr>
                <w:rFonts w:hint="eastAsia"/>
                <w:szCs w:val="20"/>
              </w:rPr>
              <w:t>指</w:t>
            </w:r>
            <w:r>
              <w:rPr>
                <w:szCs w:val="20"/>
              </w:rPr>
              <w:t>境外银行提供贷款性质融资余额中的人民币部分。</w:t>
            </w:r>
          </w:p>
        </w:tc>
      </w:tr>
      <w:tr w:rsidR="00A052DC" w14:paraId="09B7E70F" w14:textId="77777777">
        <w:trPr>
          <w:cantSplit/>
          <w:jc w:val="center"/>
        </w:trPr>
        <w:tc>
          <w:tcPr>
            <w:tcW w:w="0" w:type="auto"/>
            <w:shd w:val="clear" w:color="auto" w:fill="auto"/>
          </w:tcPr>
          <w:p w14:paraId="03DFD60C" w14:textId="77777777" w:rsidR="00A052DC" w:rsidRDefault="009F0A60">
            <w:pPr>
              <w:pStyle w:val="B"/>
              <w:rPr>
                <w:szCs w:val="20"/>
              </w:rPr>
            </w:pPr>
            <w:r>
              <w:rPr>
                <w:rFonts w:hint="eastAsia"/>
                <w:szCs w:val="20"/>
              </w:rPr>
              <w:t>境外银行承兑远期信用证及应付未付即期信用证（境内银行为交单行）</w:t>
            </w:r>
          </w:p>
        </w:tc>
        <w:tc>
          <w:tcPr>
            <w:tcW w:w="0" w:type="auto"/>
          </w:tcPr>
          <w:p w14:paraId="3D232E66" w14:textId="77777777" w:rsidR="00A052DC" w:rsidRDefault="009F0A60">
            <w:pPr>
              <w:pStyle w:val="B"/>
              <w:rPr>
                <w:szCs w:val="20"/>
              </w:rPr>
            </w:pPr>
            <w:r>
              <w:rPr>
                <w:rFonts w:hint="eastAsia"/>
                <w:szCs w:val="20"/>
              </w:rPr>
              <w:t>指对应月末境内银行作为交单行统计的境外银行向境内出口企业开出信用证并且承兑的余额，以及月末应付未付即期信用证余额。</w:t>
            </w:r>
          </w:p>
        </w:tc>
      </w:tr>
      <w:tr w:rsidR="00A052DC" w14:paraId="184D968C" w14:textId="77777777">
        <w:trPr>
          <w:cantSplit/>
          <w:jc w:val="center"/>
        </w:trPr>
        <w:tc>
          <w:tcPr>
            <w:tcW w:w="0" w:type="auto"/>
            <w:shd w:val="clear" w:color="auto" w:fill="auto"/>
          </w:tcPr>
          <w:p w14:paraId="6F27E26B" w14:textId="77777777" w:rsidR="00A052DC" w:rsidRDefault="009F0A60">
            <w:pPr>
              <w:pStyle w:val="B"/>
              <w:rPr>
                <w:szCs w:val="20"/>
              </w:rPr>
            </w:pPr>
            <w:r>
              <w:rPr>
                <w:rFonts w:hint="eastAsia"/>
                <w:szCs w:val="20"/>
              </w:rPr>
              <w:t>境外银行承兑远期信用证及应付未付即期信用证（境内银行为交单行），其中：人民币</w:t>
            </w:r>
          </w:p>
        </w:tc>
        <w:tc>
          <w:tcPr>
            <w:tcW w:w="0" w:type="auto"/>
          </w:tcPr>
          <w:p w14:paraId="68261702" w14:textId="77777777" w:rsidR="00A052DC" w:rsidRDefault="009F0A60">
            <w:pPr>
              <w:pStyle w:val="B"/>
              <w:rPr>
                <w:szCs w:val="20"/>
              </w:rPr>
            </w:pPr>
            <w:r>
              <w:rPr>
                <w:rFonts w:hint="eastAsia"/>
                <w:szCs w:val="20"/>
              </w:rPr>
              <w:t>指境外银行承兑远期信用证和应付未付即期信用证（境内银行为交单行）余额中的人民币部分。</w:t>
            </w:r>
          </w:p>
        </w:tc>
      </w:tr>
      <w:tr w:rsidR="00A052DC" w14:paraId="0EE4C449" w14:textId="77777777">
        <w:trPr>
          <w:cantSplit/>
          <w:jc w:val="center"/>
        </w:trPr>
        <w:tc>
          <w:tcPr>
            <w:tcW w:w="0" w:type="auto"/>
            <w:shd w:val="clear" w:color="auto" w:fill="auto"/>
          </w:tcPr>
          <w:p w14:paraId="73954522" w14:textId="77777777" w:rsidR="00A052DC" w:rsidRDefault="009F0A60">
            <w:pPr>
              <w:pStyle w:val="B"/>
              <w:rPr>
                <w:szCs w:val="20"/>
              </w:rPr>
            </w:pPr>
            <w:r>
              <w:rPr>
                <w:rFonts w:hint="eastAsia"/>
                <w:szCs w:val="20"/>
              </w:rPr>
              <w:t>备注</w:t>
            </w:r>
          </w:p>
        </w:tc>
        <w:tc>
          <w:tcPr>
            <w:tcW w:w="0" w:type="auto"/>
          </w:tcPr>
          <w:p w14:paraId="408A261C" w14:textId="77777777" w:rsidR="00A052DC" w:rsidRDefault="009F0A60">
            <w:pPr>
              <w:pStyle w:val="B"/>
              <w:rPr>
                <w:szCs w:val="20"/>
              </w:rPr>
            </w:pPr>
            <w:r>
              <w:rPr>
                <w:rFonts w:hint="eastAsia"/>
                <w:szCs w:val="20"/>
              </w:rPr>
              <w:t>填报本表时需特别说明的情况。</w:t>
            </w:r>
          </w:p>
        </w:tc>
      </w:tr>
    </w:tbl>
    <w:p w14:paraId="794ADC43" w14:textId="77777777" w:rsidR="00A052DC" w:rsidRDefault="00A052DC"/>
    <w:p w14:paraId="47F0FBF0" w14:textId="77777777" w:rsidR="00A052DC" w:rsidRDefault="009F0A60" w:rsidP="0020251D">
      <w:pPr>
        <w:pStyle w:val="4"/>
        <w:numPr>
          <w:ilvl w:val="3"/>
          <w:numId w:val="1"/>
        </w:numPr>
        <w:jc w:val="left"/>
      </w:pPr>
      <w:bookmarkStart w:id="3737" w:name="_Toc454391484"/>
      <w:bookmarkStart w:id="3738" w:name="_Toc454391485"/>
      <w:bookmarkStart w:id="3739" w:name="_Toc380571027"/>
      <w:bookmarkEnd w:id="3737"/>
      <w:r>
        <w:rPr>
          <w:rFonts w:hint="eastAsia"/>
        </w:rPr>
        <w:t>数据格式</w:t>
      </w:r>
      <w:bookmarkEnd w:id="3738"/>
      <w:bookmarkEnd w:id="3739"/>
    </w:p>
    <w:p w14:paraId="02FDFAEF" w14:textId="77777777" w:rsidR="00A052DC" w:rsidRDefault="009F0A60">
      <w:pPr>
        <w:ind w:firstLine="480"/>
        <w:rPr>
          <w:szCs w:val="21"/>
        </w:rPr>
      </w:pPr>
      <w:r>
        <w:rPr>
          <w:szCs w:val="21"/>
        </w:rPr>
        <w:t>&lt;REC&gt;</w:t>
      </w:r>
    </w:p>
    <w:p w14:paraId="64906702" w14:textId="77777777" w:rsidR="00A052DC" w:rsidRDefault="009F0A60">
      <w:pPr>
        <w:ind w:firstLine="480"/>
        <w:rPr>
          <w:szCs w:val="21"/>
        </w:rPr>
      </w:pPr>
      <w:r>
        <w:rPr>
          <w:szCs w:val="21"/>
        </w:rPr>
        <w:t>&lt;ACTIONTYPE&gt;</w:t>
      </w:r>
      <w:r>
        <w:rPr>
          <w:rFonts w:hAnsi="宋体"/>
          <w:szCs w:val="21"/>
        </w:rPr>
        <w:t>操作类型</w:t>
      </w:r>
      <w:r>
        <w:rPr>
          <w:szCs w:val="21"/>
        </w:rPr>
        <w:t>&lt;/ACTIONTYPE&gt;</w:t>
      </w:r>
    </w:p>
    <w:p w14:paraId="12CC9CCF" w14:textId="77777777" w:rsidR="00A052DC" w:rsidRDefault="009F0A60">
      <w:pPr>
        <w:ind w:firstLine="480"/>
        <w:rPr>
          <w:szCs w:val="21"/>
        </w:rPr>
      </w:pPr>
      <w:r>
        <w:rPr>
          <w:szCs w:val="21"/>
        </w:rPr>
        <w:t>&lt;ACTIONDESC&gt;</w:t>
      </w:r>
      <w:r>
        <w:rPr>
          <w:rFonts w:hAnsi="宋体"/>
          <w:szCs w:val="21"/>
        </w:rPr>
        <w:t>删除原因</w:t>
      </w:r>
      <w:r>
        <w:rPr>
          <w:szCs w:val="21"/>
        </w:rPr>
        <w:t>&lt;/ACTIONDESC&gt;</w:t>
      </w:r>
    </w:p>
    <w:p w14:paraId="4EA87CF3" w14:textId="77777777" w:rsidR="00A052DC" w:rsidRDefault="009F0A60">
      <w:pPr>
        <w:ind w:firstLine="480"/>
        <w:rPr>
          <w:szCs w:val="21"/>
        </w:rPr>
      </w:pPr>
      <w:r>
        <w:rPr>
          <w:szCs w:val="21"/>
        </w:rPr>
        <w:t>&lt;SNOCODE&gt;</w:t>
      </w:r>
      <w:r>
        <w:rPr>
          <w:rFonts w:hAnsi="宋体"/>
          <w:szCs w:val="21"/>
        </w:rPr>
        <w:t>数据自编码</w:t>
      </w:r>
      <w:r>
        <w:rPr>
          <w:szCs w:val="21"/>
        </w:rPr>
        <w:t>&lt;/SNOCODE&gt;</w:t>
      </w:r>
    </w:p>
    <w:p w14:paraId="30CE689F" w14:textId="77777777" w:rsidR="00A052DC" w:rsidRDefault="009F0A60">
      <w:pPr>
        <w:ind w:firstLine="480"/>
        <w:rPr>
          <w:szCs w:val="21"/>
        </w:rPr>
      </w:pPr>
      <w:r>
        <w:rPr>
          <w:szCs w:val="21"/>
        </w:rPr>
        <w:t>&lt;OBJCODE&gt;</w:t>
      </w:r>
      <w:r>
        <w:rPr>
          <w:rFonts w:hAnsi="宋体"/>
          <w:szCs w:val="21"/>
        </w:rPr>
        <w:t>申报主体代码</w:t>
      </w:r>
      <w:r>
        <w:rPr>
          <w:szCs w:val="21"/>
        </w:rPr>
        <w:t>&lt;/OBJCODE&gt;</w:t>
      </w:r>
    </w:p>
    <w:p w14:paraId="79905647" w14:textId="77777777" w:rsidR="00A052DC" w:rsidRDefault="009F0A60">
      <w:pPr>
        <w:ind w:firstLine="480"/>
        <w:rPr>
          <w:szCs w:val="21"/>
        </w:rPr>
      </w:pPr>
      <w:r>
        <w:rPr>
          <w:szCs w:val="21"/>
        </w:rPr>
        <w:t>&lt;BUOCMONTH&gt;</w:t>
      </w:r>
      <w:r>
        <w:rPr>
          <w:rFonts w:hAnsi="宋体"/>
          <w:szCs w:val="21"/>
        </w:rPr>
        <w:t>报告期</w:t>
      </w:r>
      <w:r>
        <w:rPr>
          <w:szCs w:val="21"/>
        </w:rPr>
        <w:t>&lt;/BUOCMONTH&gt;</w:t>
      </w:r>
    </w:p>
    <w:p w14:paraId="314ADCAD" w14:textId="77777777" w:rsidR="00A052DC" w:rsidRDefault="009F0A60">
      <w:pPr>
        <w:ind w:firstLine="480"/>
        <w:rPr>
          <w:szCs w:val="21"/>
        </w:rPr>
      </w:pPr>
      <w:r>
        <w:rPr>
          <w:szCs w:val="21"/>
        </w:rPr>
        <w:t>&lt;X1000&gt;</w:t>
      </w:r>
      <w:r>
        <w:rPr>
          <w:rFonts w:hAnsi="宋体"/>
          <w:szCs w:val="21"/>
        </w:rPr>
        <w:t>银行进口贸易融资业务</w:t>
      </w:r>
      <w:r w:rsidR="00891512">
        <w:rPr>
          <w:rFonts w:hint="eastAsia"/>
          <w:szCs w:val="20"/>
        </w:rPr>
        <w:t>——</w:t>
      </w:r>
      <w:r>
        <w:rPr>
          <w:rFonts w:hAnsi="宋体"/>
          <w:szCs w:val="21"/>
        </w:rPr>
        <w:t>境外银行提供贸易融资</w:t>
      </w:r>
      <w:r>
        <w:rPr>
          <w:szCs w:val="21"/>
        </w:rPr>
        <w:t>&lt;/X1000&gt;</w:t>
      </w:r>
    </w:p>
    <w:p w14:paraId="2000AE7E" w14:textId="77777777" w:rsidR="00A052DC" w:rsidRDefault="009F0A60">
      <w:pPr>
        <w:ind w:firstLine="480"/>
        <w:rPr>
          <w:szCs w:val="21"/>
        </w:rPr>
      </w:pPr>
      <w:r>
        <w:rPr>
          <w:szCs w:val="21"/>
        </w:rPr>
        <w:t>&lt;X1001&gt;</w:t>
      </w:r>
      <w:r>
        <w:t>银行进口贸易融资业务</w:t>
      </w:r>
      <w:r w:rsidR="00891512">
        <w:rPr>
          <w:rFonts w:hint="eastAsia"/>
          <w:szCs w:val="20"/>
        </w:rPr>
        <w:t>——</w:t>
      </w:r>
      <w:r>
        <w:t>境外银行提供贸易融资，其中：人民币</w:t>
      </w:r>
      <w:r>
        <w:rPr>
          <w:szCs w:val="21"/>
        </w:rPr>
        <w:t>&lt;/X1001&gt;</w:t>
      </w:r>
    </w:p>
    <w:p w14:paraId="5532E2DA" w14:textId="77777777" w:rsidR="00A052DC" w:rsidRDefault="009F0A60">
      <w:pPr>
        <w:ind w:firstLine="480"/>
        <w:rPr>
          <w:szCs w:val="21"/>
        </w:rPr>
      </w:pPr>
      <w:r>
        <w:rPr>
          <w:szCs w:val="21"/>
        </w:rPr>
        <w:t>&lt;X1100&gt;</w:t>
      </w:r>
      <w:r>
        <w:rPr>
          <w:rFonts w:hAnsi="宋体"/>
          <w:szCs w:val="21"/>
        </w:rPr>
        <w:t>海外代付（境内银行名义融资）</w:t>
      </w:r>
      <w:r>
        <w:rPr>
          <w:szCs w:val="21"/>
        </w:rPr>
        <w:t>&lt;/X1100&gt;</w:t>
      </w:r>
    </w:p>
    <w:p w14:paraId="1C359F30" w14:textId="77777777" w:rsidR="00A052DC" w:rsidRDefault="009F0A60">
      <w:pPr>
        <w:ind w:firstLine="480"/>
        <w:rPr>
          <w:szCs w:val="21"/>
        </w:rPr>
      </w:pPr>
      <w:r>
        <w:rPr>
          <w:szCs w:val="21"/>
        </w:rPr>
        <w:t>&lt;X1101&gt;</w:t>
      </w:r>
      <w:r>
        <w:t>海外代付（境内银行名义融资），其中：人民币</w:t>
      </w:r>
      <w:r>
        <w:rPr>
          <w:szCs w:val="21"/>
        </w:rPr>
        <w:t>&lt;/X1101&gt;</w:t>
      </w:r>
    </w:p>
    <w:p w14:paraId="5028ADAF" w14:textId="77777777" w:rsidR="00A052DC" w:rsidRDefault="009F0A60">
      <w:pPr>
        <w:ind w:firstLine="480"/>
        <w:rPr>
          <w:szCs w:val="21"/>
        </w:rPr>
      </w:pPr>
      <w:r>
        <w:rPr>
          <w:szCs w:val="21"/>
        </w:rPr>
        <w:t>&lt;X1110&gt;</w:t>
      </w:r>
      <w:r>
        <w:rPr>
          <w:rFonts w:hAnsi="宋体"/>
          <w:szCs w:val="21"/>
        </w:rPr>
        <w:t>海外代付（境内银行名义融资）（</w:t>
      </w:r>
      <w:r>
        <w:rPr>
          <w:szCs w:val="21"/>
        </w:rPr>
        <w:t>90</w:t>
      </w:r>
      <w:r>
        <w:rPr>
          <w:rFonts w:hAnsi="宋体"/>
          <w:szCs w:val="21"/>
        </w:rPr>
        <w:t>天及以下）</w:t>
      </w:r>
      <w:r>
        <w:rPr>
          <w:szCs w:val="21"/>
        </w:rPr>
        <w:t>&lt;/X1110&gt;</w:t>
      </w:r>
    </w:p>
    <w:p w14:paraId="439BE3B9" w14:textId="77777777" w:rsidR="00A052DC" w:rsidRDefault="009F0A60">
      <w:pPr>
        <w:ind w:firstLine="480"/>
        <w:rPr>
          <w:szCs w:val="21"/>
        </w:rPr>
      </w:pPr>
      <w:r>
        <w:rPr>
          <w:szCs w:val="21"/>
        </w:rPr>
        <w:t>&lt;X1111&gt;</w:t>
      </w:r>
      <w:r>
        <w:t>海外代付（境内银行名义融资）（</w:t>
      </w:r>
      <w:r>
        <w:t>90</w:t>
      </w:r>
      <w:r>
        <w:t>天及以下），其中：人民币</w:t>
      </w:r>
      <w:r>
        <w:rPr>
          <w:szCs w:val="21"/>
        </w:rPr>
        <w:t>&lt;/X1111&gt;</w:t>
      </w:r>
    </w:p>
    <w:p w14:paraId="4E7BFF2E" w14:textId="77777777" w:rsidR="00A052DC" w:rsidRDefault="009F0A60">
      <w:pPr>
        <w:ind w:firstLine="480"/>
        <w:rPr>
          <w:szCs w:val="21"/>
        </w:rPr>
      </w:pPr>
      <w:r>
        <w:rPr>
          <w:szCs w:val="21"/>
        </w:rPr>
        <w:t>&lt;X1200&gt;</w:t>
      </w:r>
      <w:r>
        <w:rPr>
          <w:rFonts w:hAnsi="宋体"/>
          <w:szCs w:val="21"/>
        </w:rPr>
        <w:t>境内银行提供担保</w:t>
      </w:r>
      <w:r>
        <w:rPr>
          <w:szCs w:val="21"/>
        </w:rPr>
        <w:t>&lt;/X1200&gt;</w:t>
      </w:r>
    </w:p>
    <w:p w14:paraId="05F972CA" w14:textId="77777777" w:rsidR="00A052DC" w:rsidRDefault="009F0A60">
      <w:pPr>
        <w:ind w:firstLine="480"/>
        <w:rPr>
          <w:szCs w:val="21"/>
        </w:rPr>
      </w:pPr>
      <w:r>
        <w:rPr>
          <w:szCs w:val="21"/>
        </w:rPr>
        <w:t>&lt;X1201&gt;</w:t>
      </w:r>
      <w:r>
        <w:t>境内银行提供担保，其中：人民币</w:t>
      </w:r>
      <w:r>
        <w:rPr>
          <w:szCs w:val="21"/>
        </w:rPr>
        <w:t>&lt;/X1201&gt;</w:t>
      </w:r>
    </w:p>
    <w:p w14:paraId="4DB55226" w14:textId="77777777" w:rsidR="00A052DC" w:rsidRDefault="009F0A60">
      <w:pPr>
        <w:ind w:firstLine="480"/>
        <w:rPr>
          <w:szCs w:val="21"/>
        </w:rPr>
      </w:pPr>
      <w:r>
        <w:rPr>
          <w:szCs w:val="21"/>
        </w:rPr>
        <w:t>&lt;X1300&gt;</w:t>
      </w:r>
      <w:r>
        <w:rPr>
          <w:rFonts w:hAnsi="宋体"/>
          <w:szCs w:val="21"/>
        </w:rPr>
        <w:t>境内银行居间业务</w:t>
      </w:r>
      <w:r>
        <w:rPr>
          <w:szCs w:val="21"/>
        </w:rPr>
        <w:t>&lt;/X1300&gt;</w:t>
      </w:r>
    </w:p>
    <w:p w14:paraId="401D606F" w14:textId="77777777" w:rsidR="00A052DC" w:rsidRDefault="009F0A60">
      <w:pPr>
        <w:ind w:firstLine="480"/>
        <w:rPr>
          <w:szCs w:val="21"/>
        </w:rPr>
      </w:pPr>
      <w:r>
        <w:rPr>
          <w:szCs w:val="21"/>
        </w:rPr>
        <w:t>&lt;X1301&gt;</w:t>
      </w:r>
      <w:r>
        <w:t>境内银行居间业务，其中：人民币</w:t>
      </w:r>
      <w:r>
        <w:rPr>
          <w:szCs w:val="21"/>
        </w:rPr>
        <w:t>&lt;/X1301&gt;</w:t>
      </w:r>
    </w:p>
    <w:p w14:paraId="420959FE" w14:textId="77777777" w:rsidR="00A052DC" w:rsidRDefault="009F0A60">
      <w:pPr>
        <w:ind w:firstLine="480"/>
        <w:rPr>
          <w:szCs w:val="21"/>
        </w:rPr>
      </w:pPr>
      <w:r>
        <w:rPr>
          <w:szCs w:val="21"/>
        </w:rPr>
        <w:t>&lt;X2000&gt;</w:t>
      </w:r>
      <w:r>
        <w:rPr>
          <w:rFonts w:hAnsi="宋体"/>
          <w:szCs w:val="21"/>
        </w:rPr>
        <w:t>银行出口贸易融资业务</w:t>
      </w:r>
      <w:r w:rsidR="00891512">
        <w:rPr>
          <w:rFonts w:hint="eastAsia"/>
          <w:szCs w:val="20"/>
        </w:rPr>
        <w:t>——</w:t>
      </w:r>
      <w:r>
        <w:rPr>
          <w:rFonts w:hAnsi="宋体"/>
          <w:szCs w:val="21"/>
        </w:rPr>
        <w:t>境外银行提供贸易融资</w:t>
      </w:r>
      <w:r>
        <w:rPr>
          <w:szCs w:val="21"/>
        </w:rPr>
        <w:t>&lt;/X2000&gt;</w:t>
      </w:r>
    </w:p>
    <w:p w14:paraId="7BCE2CAD" w14:textId="77777777" w:rsidR="00A052DC" w:rsidRDefault="009F0A60">
      <w:pPr>
        <w:ind w:firstLine="480"/>
        <w:rPr>
          <w:szCs w:val="21"/>
        </w:rPr>
      </w:pPr>
      <w:r>
        <w:rPr>
          <w:szCs w:val="21"/>
        </w:rPr>
        <w:t>&lt;X2001&gt;</w:t>
      </w:r>
      <w:r>
        <w:rPr>
          <w:rFonts w:hAnsi="宋体"/>
          <w:szCs w:val="21"/>
        </w:rPr>
        <w:t>银行出口贸易融资业务</w:t>
      </w:r>
      <w:r w:rsidR="00891512">
        <w:rPr>
          <w:rFonts w:hint="eastAsia"/>
          <w:szCs w:val="20"/>
        </w:rPr>
        <w:t>——</w:t>
      </w:r>
      <w:r>
        <w:rPr>
          <w:rFonts w:hAnsi="宋体"/>
          <w:szCs w:val="21"/>
        </w:rPr>
        <w:t>境外银行提供贸易融资</w:t>
      </w:r>
      <w:r>
        <w:t>，其中：人民币</w:t>
      </w:r>
      <w:r>
        <w:rPr>
          <w:szCs w:val="21"/>
        </w:rPr>
        <w:t>&lt;/X2001&gt;</w:t>
      </w:r>
    </w:p>
    <w:p w14:paraId="2F94ED06" w14:textId="77777777" w:rsidR="00A052DC" w:rsidRDefault="009F0A60">
      <w:pPr>
        <w:ind w:firstLine="480"/>
        <w:rPr>
          <w:szCs w:val="21"/>
        </w:rPr>
      </w:pPr>
      <w:r>
        <w:rPr>
          <w:szCs w:val="21"/>
        </w:rPr>
        <w:t>&lt;X2100&gt;</w:t>
      </w:r>
      <w:r>
        <w:rPr>
          <w:rFonts w:hAnsi="宋体"/>
          <w:szCs w:val="21"/>
        </w:rPr>
        <w:t>境外银行提供贷款性质融资</w:t>
      </w:r>
      <w:r>
        <w:rPr>
          <w:szCs w:val="21"/>
        </w:rPr>
        <w:t>&lt;/X2100&gt;</w:t>
      </w:r>
    </w:p>
    <w:p w14:paraId="7F55C289" w14:textId="77777777" w:rsidR="00A052DC" w:rsidRDefault="009F0A60">
      <w:pPr>
        <w:ind w:firstLine="480"/>
        <w:rPr>
          <w:szCs w:val="21"/>
        </w:rPr>
      </w:pPr>
      <w:r>
        <w:rPr>
          <w:szCs w:val="21"/>
        </w:rPr>
        <w:t>&lt;X2101&gt;</w:t>
      </w:r>
      <w:r>
        <w:rPr>
          <w:rFonts w:hAnsi="宋体"/>
          <w:szCs w:val="21"/>
        </w:rPr>
        <w:t>境外银行提供贷款性质融资</w:t>
      </w:r>
      <w:r>
        <w:t>，其中：人民币</w:t>
      </w:r>
      <w:r>
        <w:rPr>
          <w:szCs w:val="21"/>
        </w:rPr>
        <w:t>&lt;/X2101&gt;</w:t>
      </w:r>
    </w:p>
    <w:p w14:paraId="18150D4A" w14:textId="77777777" w:rsidR="00A052DC" w:rsidRDefault="009F0A60">
      <w:pPr>
        <w:ind w:leftChars="228" w:left="479"/>
        <w:rPr>
          <w:szCs w:val="21"/>
        </w:rPr>
      </w:pPr>
      <w:r>
        <w:rPr>
          <w:szCs w:val="21"/>
        </w:rPr>
        <w:t>&lt;X2200&gt;</w:t>
      </w:r>
      <w:r>
        <w:rPr>
          <w:rFonts w:hAnsi="宋体"/>
          <w:szCs w:val="21"/>
        </w:rPr>
        <w:t>境外银行承兑远期信用证及应付未付即期信用证（境内银行为交单行）</w:t>
      </w:r>
      <w:r>
        <w:rPr>
          <w:szCs w:val="21"/>
        </w:rPr>
        <w:t>&lt;/X2200&gt;</w:t>
      </w:r>
    </w:p>
    <w:p w14:paraId="7AAB8BBF" w14:textId="77777777" w:rsidR="00A052DC" w:rsidRDefault="009F0A60">
      <w:pPr>
        <w:ind w:firstLine="480"/>
        <w:rPr>
          <w:szCs w:val="21"/>
        </w:rPr>
      </w:pPr>
      <w:r>
        <w:rPr>
          <w:szCs w:val="21"/>
        </w:rPr>
        <w:t>&lt;X2201&gt;</w:t>
      </w:r>
      <w:r>
        <w:rPr>
          <w:rFonts w:hAnsi="宋体"/>
          <w:szCs w:val="21"/>
        </w:rPr>
        <w:t>境外银行承兑远期信用证及应付未付即期信用证（境内银行为交单行）</w:t>
      </w:r>
      <w:r>
        <w:t>，其中：人民币</w:t>
      </w:r>
      <w:r>
        <w:rPr>
          <w:szCs w:val="21"/>
        </w:rPr>
        <w:t>&lt;/X2201&gt;</w:t>
      </w:r>
    </w:p>
    <w:p w14:paraId="221D239D" w14:textId="77777777" w:rsidR="00A052DC" w:rsidRDefault="009F0A60">
      <w:pPr>
        <w:ind w:firstLine="480"/>
        <w:rPr>
          <w:szCs w:val="21"/>
        </w:rPr>
      </w:pPr>
      <w:r>
        <w:rPr>
          <w:szCs w:val="21"/>
        </w:rPr>
        <w:t>&lt;REMARK&gt;</w:t>
      </w:r>
      <w:r>
        <w:rPr>
          <w:rFonts w:hAnsi="宋体"/>
          <w:szCs w:val="21"/>
        </w:rPr>
        <w:t>备注</w:t>
      </w:r>
      <w:r>
        <w:rPr>
          <w:szCs w:val="21"/>
        </w:rPr>
        <w:t>&lt;/REMARK&gt;</w:t>
      </w:r>
    </w:p>
    <w:p w14:paraId="52EBF003" w14:textId="77777777" w:rsidR="00A052DC" w:rsidRDefault="009F0A60">
      <w:pPr>
        <w:ind w:firstLine="480"/>
        <w:rPr>
          <w:szCs w:val="21"/>
        </w:rPr>
      </w:pPr>
      <w:r>
        <w:rPr>
          <w:szCs w:val="21"/>
        </w:rPr>
        <w:t>&lt;/REC&gt;</w:t>
      </w:r>
    </w:p>
    <w:p w14:paraId="406382D9" w14:textId="77777777" w:rsidR="00A052DC" w:rsidRDefault="009F0A60" w:rsidP="0020251D">
      <w:pPr>
        <w:pStyle w:val="4"/>
        <w:numPr>
          <w:ilvl w:val="3"/>
          <w:numId w:val="1"/>
        </w:numPr>
        <w:jc w:val="left"/>
      </w:pPr>
      <w:bookmarkStart w:id="3740" w:name="_Toc454391486"/>
      <w:r>
        <w:rPr>
          <w:rFonts w:hint="eastAsia"/>
        </w:rPr>
        <w:t>数据字典</w:t>
      </w:r>
      <w:bookmarkEnd w:id="374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7"/>
        <w:gridCol w:w="1880"/>
        <w:gridCol w:w="1417"/>
        <w:gridCol w:w="3878"/>
      </w:tblGrid>
      <w:tr w:rsidR="00A052DC" w14:paraId="38880B1A" w14:textId="77777777">
        <w:trPr>
          <w:tblHeader/>
          <w:jc w:val="center"/>
        </w:trPr>
        <w:tc>
          <w:tcPr>
            <w:tcW w:w="1347" w:type="dxa"/>
            <w:shd w:val="clear" w:color="auto" w:fill="C0C0C0"/>
            <w:noWrap/>
            <w:vAlign w:val="center"/>
          </w:tcPr>
          <w:p w14:paraId="449F9DEB" w14:textId="77777777" w:rsidR="00A052DC" w:rsidRDefault="009F0A60">
            <w:pPr>
              <w:pStyle w:val="B1"/>
            </w:pPr>
            <w:r>
              <w:rPr>
                <w:rFonts w:hint="eastAsia"/>
              </w:rPr>
              <w:t>字段</w:t>
            </w:r>
          </w:p>
        </w:tc>
        <w:tc>
          <w:tcPr>
            <w:tcW w:w="1880" w:type="dxa"/>
            <w:shd w:val="clear" w:color="auto" w:fill="C0C0C0"/>
            <w:noWrap/>
            <w:vAlign w:val="center"/>
          </w:tcPr>
          <w:p w14:paraId="3A7A071B" w14:textId="77777777" w:rsidR="00A052DC" w:rsidRDefault="009F0A60">
            <w:pPr>
              <w:pStyle w:val="B1"/>
            </w:pPr>
            <w:r>
              <w:rPr>
                <w:rFonts w:hint="eastAsia"/>
              </w:rPr>
              <w:t>内容</w:t>
            </w:r>
          </w:p>
        </w:tc>
        <w:tc>
          <w:tcPr>
            <w:tcW w:w="1417" w:type="dxa"/>
            <w:shd w:val="clear" w:color="auto" w:fill="C0C0C0"/>
            <w:noWrap/>
            <w:vAlign w:val="center"/>
          </w:tcPr>
          <w:p w14:paraId="766F5C44" w14:textId="77777777" w:rsidR="00A052DC" w:rsidRDefault="009F0A60">
            <w:pPr>
              <w:pStyle w:val="B1"/>
            </w:pPr>
            <w:r>
              <w:rPr>
                <w:rFonts w:hint="eastAsia"/>
              </w:rPr>
              <w:t>类型（长度）</w:t>
            </w:r>
          </w:p>
        </w:tc>
        <w:tc>
          <w:tcPr>
            <w:tcW w:w="3878" w:type="dxa"/>
            <w:shd w:val="clear" w:color="auto" w:fill="C0C0C0"/>
            <w:vAlign w:val="center"/>
          </w:tcPr>
          <w:p w14:paraId="29338528" w14:textId="77777777" w:rsidR="00A052DC" w:rsidRDefault="009F0A60">
            <w:pPr>
              <w:pStyle w:val="B1"/>
            </w:pPr>
            <w:r>
              <w:rPr>
                <w:rFonts w:hint="eastAsia"/>
              </w:rPr>
              <w:t>校验</w:t>
            </w:r>
          </w:p>
        </w:tc>
      </w:tr>
      <w:tr w:rsidR="00A052DC" w14:paraId="4F014AD9" w14:textId="77777777">
        <w:trPr>
          <w:jc w:val="center"/>
        </w:trPr>
        <w:tc>
          <w:tcPr>
            <w:tcW w:w="1347" w:type="dxa"/>
            <w:noWrap/>
          </w:tcPr>
          <w:p w14:paraId="561EA76E" w14:textId="77777777" w:rsidR="00A052DC" w:rsidRDefault="009F0A60">
            <w:pPr>
              <w:pStyle w:val="B"/>
              <w:rPr>
                <w:szCs w:val="20"/>
              </w:rPr>
            </w:pPr>
            <w:r>
              <w:rPr>
                <w:rFonts w:hint="eastAsia"/>
                <w:szCs w:val="20"/>
              </w:rPr>
              <w:t>ACTIONTYPE</w:t>
            </w:r>
          </w:p>
        </w:tc>
        <w:tc>
          <w:tcPr>
            <w:tcW w:w="1880" w:type="dxa"/>
          </w:tcPr>
          <w:p w14:paraId="710A0FA2" w14:textId="77777777" w:rsidR="00A052DC" w:rsidRDefault="009F0A60">
            <w:pPr>
              <w:pStyle w:val="B"/>
              <w:rPr>
                <w:szCs w:val="20"/>
              </w:rPr>
            </w:pPr>
            <w:r>
              <w:rPr>
                <w:rFonts w:hint="eastAsia"/>
                <w:szCs w:val="20"/>
              </w:rPr>
              <w:t>操作类型</w:t>
            </w:r>
          </w:p>
        </w:tc>
        <w:tc>
          <w:tcPr>
            <w:tcW w:w="1417" w:type="dxa"/>
            <w:noWrap/>
          </w:tcPr>
          <w:p w14:paraId="2A06B08A" w14:textId="77777777" w:rsidR="00A052DC" w:rsidRDefault="009F0A60">
            <w:pPr>
              <w:pStyle w:val="B"/>
              <w:rPr>
                <w:szCs w:val="20"/>
              </w:rPr>
            </w:pPr>
            <w:r>
              <w:rPr>
                <w:rFonts w:hint="eastAsia"/>
                <w:szCs w:val="20"/>
              </w:rPr>
              <w:t>字符型，1</w:t>
            </w:r>
          </w:p>
        </w:tc>
        <w:tc>
          <w:tcPr>
            <w:tcW w:w="3878" w:type="dxa"/>
          </w:tcPr>
          <w:p w14:paraId="5DAF6D2E" w14:textId="77777777" w:rsidR="00A052DC" w:rsidRDefault="009F0A60">
            <w:pPr>
              <w:pStyle w:val="B"/>
              <w:rPr>
                <w:szCs w:val="20"/>
              </w:rPr>
            </w:pPr>
            <w:r>
              <w:rPr>
                <w:rFonts w:hint="eastAsia"/>
                <w:szCs w:val="20"/>
              </w:rPr>
              <w:t>必填项</w:t>
            </w:r>
            <w:r w:rsidR="006F5A61">
              <w:rPr>
                <w:rFonts w:hint="eastAsia"/>
                <w:szCs w:val="20"/>
              </w:rPr>
              <w:t>。</w:t>
            </w:r>
          </w:p>
          <w:p w14:paraId="2DFC6FC1" w14:textId="77777777" w:rsidR="00A052DC" w:rsidRDefault="009F0A60">
            <w:pPr>
              <w:pStyle w:val="B"/>
              <w:rPr>
                <w:szCs w:val="20"/>
              </w:rPr>
            </w:pPr>
            <w:r>
              <w:rPr>
                <w:rFonts w:hint="eastAsia"/>
                <w:szCs w:val="20"/>
              </w:rPr>
              <w:t>A</w:t>
            </w:r>
            <w:r w:rsidR="00AE4602">
              <w:rPr>
                <w:rFonts w:hint="eastAsia"/>
                <w:szCs w:val="20"/>
              </w:rPr>
              <w:t>-</w:t>
            </w:r>
            <w:r>
              <w:rPr>
                <w:rFonts w:hint="eastAsia"/>
                <w:szCs w:val="20"/>
              </w:rPr>
              <w:t>新建</w:t>
            </w:r>
          </w:p>
          <w:p w14:paraId="4858041F" w14:textId="77777777" w:rsidR="00A052DC" w:rsidRDefault="009F0A60">
            <w:pPr>
              <w:pStyle w:val="B"/>
              <w:rPr>
                <w:szCs w:val="20"/>
              </w:rPr>
            </w:pPr>
            <w:r>
              <w:rPr>
                <w:rFonts w:hint="eastAsia"/>
                <w:szCs w:val="20"/>
              </w:rPr>
              <w:t>C</w:t>
            </w:r>
            <w:r w:rsidR="00AE4602">
              <w:rPr>
                <w:rFonts w:hint="eastAsia"/>
                <w:szCs w:val="20"/>
              </w:rPr>
              <w:t>-</w:t>
            </w:r>
            <w:r>
              <w:rPr>
                <w:rFonts w:hint="eastAsia"/>
                <w:szCs w:val="20"/>
              </w:rPr>
              <w:t>修改</w:t>
            </w:r>
          </w:p>
          <w:p w14:paraId="73A2FE43" w14:textId="77777777" w:rsidR="00A052DC" w:rsidRDefault="009F0A60">
            <w:pPr>
              <w:pStyle w:val="B"/>
              <w:rPr>
                <w:szCs w:val="20"/>
              </w:rPr>
            </w:pPr>
            <w:r>
              <w:rPr>
                <w:rFonts w:hint="eastAsia"/>
                <w:szCs w:val="20"/>
              </w:rPr>
              <w:t>D</w:t>
            </w:r>
            <w:r w:rsidR="00AE4602">
              <w:rPr>
                <w:rFonts w:hint="eastAsia"/>
                <w:szCs w:val="20"/>
              </w:rPr>
              <w:t>-</w:t>
            </w:r>
            <w:r>
              <w:rPr>
                <w:rFonts w:hint="eastAsia"/>
                <w:szCs w:val="20"/>
              </w:rPr>
              <w:t>删除</w:t>
            </w:r>
          </w:p>
        </w:tc>
      </w:tr>
      <w:tr w:rsidR="00A052DC" w14:paraId="670567F2" w14:textId="77777777">
        <w:trPr>
          <w:jc w:val="center"/>
        </w:trPr>
        <w:tc>
          <w:tcPr>
            <w:tcW w:w="1347" w:type="dxa"/>
            <w:noWrap/>
          </w:tcPr>
          <w:p w14:paraId="7FA14011" w14:textId="77777777" w:rsidR="00A052DC" w:rsidRDefault="009F0A60">
            <w:pPr>
              <w:pStyle w:val="B"/>
              <w:rPr>
                <w:szCs w:val="20"/>
              </w:rPr>
            </w:pPr>
            <w:r>
              <w:rPr>
                <w:rFonts w:hint="eastAsia"/>
                <w:szCs w:val="20"/>
              </w:rPr>
              <w:t>ACTIONDESC</w:t>
            </w:r>
          </w:p>
        </w:tc>
        <w:tc>
          <w:tcPr>
            <w:tcW w:w="1880" w:type="dxa"/>
          </w:tcPr>
          <w:p w14:paraId="6823D930" w14:textId="77777777" w:rsidR="00A052DC" w:rsidRDefault="009F0A60">
            <w:pPr>
              <w:pStyle w:val="B"/>
              <w:rPr>
                <w:szCs w:val="20"/>
              </w:rPr>
            </w:pPr>
            <w:r>
              <w:rPr>
                <w:rFonts w:hint="eastAsia"/>
                <w:szCs w:val="20"/>
              </w:rPr>
              <w:t>删除原因</w:t>
            </w:r>
          </w:p>
        </w:tc>
        <w:tc>
          <w:tcPr>
            <w:tcW w:w="1417" w:type="dxa"/>
            <w:noWrap/>
          </w:tcPr>
          <w:p w14:paraId="425000F2" w14:textId="77777777" w:rsidR="00A052DC" w:rsidRDefault="009F0A60">
            <w:pPr>
              <w:pStyle w:val="B"/>
              <w:rPr>
                <w:szCs w:val="20"/>
              </w:rPr>
            </w:pPr>
            <w:r>
              <w:rPr>
                <w:rFonts w:hint="eastAsia"/>
                <w:szCs w:val="20"/>
              </w:rPr>
              <w:t>字符型，128</w:t>
            </w:r>
          </w:p>
        </w:tc>
        <w:tc>
          <w:tcPr>
            <w:tcW w:w="3878" w:type="dxa"/>
          </w:tcPr>
          <w:p w14:paraId="12411D15" w14:textId="77777777" w:rsidR="00A052DC" w:rsidRDefault="00DD6AA3">
            <w:pPr>
              <w:pStyle w:val="B"/>
              <w:rPr>
                <w:szCs w:val="20"/>
              </w:rPr>
            </w:pPr>
            <w:r>
              <w:rPr>
                <w:rFonts w:hint="eastAsia"/>
                <w:szCs w:val="20"/>
              </w:rPr>
              <w:t>非必填项，当操作类型（ACTIONTYPE）为删除时必填。</w:t>
            </w:r>
          </w:p>
        </w:tc>
      </w:tr>
      <w:tr w:rsidR="00A052DC" w14:paraId="49E5FEB4" w14:textId="77777777">
        <w:trPr>
          <w:jc w:val="center"/>
        </w:trPr>
        <w:tc>
          <w:tcPr>
            <w:tcW w:w="1347" w:type="dxa"/>
            <w:noWrap/>
          </w:tcPr>
          <w:p w14:paraId="5571AD64" w14:textId="77777777" w:rsidR="00A052DC" w:rsidRDefault="009F0A60">
            <w:pPr>
              <w:pStyle w:val="B"/>
              <w:rPr>
                <w:szCs w:val="20"/>
              </w:rPr>
            </w:pPr>
            <w:r>
              <w:rPr>
                <w:rFonts w:hint="eastAsia"/>
                <w:szCs w:val="20"/>
              </w:rPr>
              <w:t>SNOCODE</w:t>
            </w:r>
          </w:p>
        </w:tc>
        <w:tc>
          <w:tcPr>
            <w:tcW w:w="1880" w:type="dxa"/>
          </w:tcPr>
          <w:p w14:paraId="0515C68C" w14:textId="77777777" w:rsidR="00A052DC" w:rsidRDefault="009F0A60">
            <w:pPr>
              <w:pStyle w:val="B"/>
              <w:rPr>
                <w:szCs w:val="20"/>
              </w:rPr>
            </w:pPr>
            <w:r>
              <w:rPr>
                <w:rFonts w:hint="eastAsia"/>
                <w:szCs w:val="20"/>
              </w:rPr>
              <w:t>数据自编码</w:t>
            </w:r>
          </w:p>
        </w:tc>
        <w:tc>
          <w:tcPr>
            <w:tcW w:w="1417" w:type="dxa"/>
            <w:noWrap/>
          </w:tcPr>
          <w:p w14:paraId="2F6EADF2" w14:textId="77777777" w:rsidR="00A052DC" w:rsidRDefault="009F0A60">
            <w:pPr>
              <w:pStyle w:val="B"/>
              <w:rPr>
                <w:szCs w:val="20"/>
              </w:rPr>
            </w:pPr>
            <w:r>
              <w:rPr>
                <w:rFonts w:hint="eastAsia"/>
                <w:szCs w:val="20"/>
              </w:rPr>
              <w:t>字符型，36</w:t>
            </w:r>
          </w:p>
        </w:tc>
        <w:tc>
          <w:tcPr>
            <w:tcW w:w="3878" w:type="dxa"/>
          </w:tcPr>
          <w:p w14:paraId="4413E286" w14:textId="77777777" w:rsidR="00A052DC" w:rsidRDefault="009F0A60">
            <w:pPr>
              <w:pStyle w:val="B"/>
              <w:rPr>
                <w:szCs w:val="20"/>
              </w:rPr>
            </w:pPr>
            <w:r>
              <w:rPr>
                <w:rFonts w:hint="eastAsia"/>
                <w:szCs w:val="20"/>
              </w:rPr>
              <w:t>必填项。</w:t>
            </w:r>
            <w:r>
              <w:rPr>
                <w:szCs w:val="20"/>
              </w:rPr>
              <w:t>对于接口报送的填报主体，数据自编码中的报送期（6位）应与报告期（YYYYMM）一致。</w:t>
            </w:r>
          </w:p>
        </w:tc>
      </w:tr>
      <w:tr w:rsidR="00A052DC" w14:paraId="38A54764" w14:textId="77777777">
        <w:trPr>
          <w:jc w:val="center"/>
        </w:trPr>
        <w:tc>
          <w:tcPr>
            <w:tcW w:w="1347" w:type="dxa"/>
            <w:noWrap/>
          </w:tcPr>
          <w:p w14:paraId="176918EF" w14:textId="77777777" w:rsidR="00A052DC" w:rsidRDefault="009F0A60">
            <w:pPr>
              <w:pStyle w:val="B"/>
              <w:rPr>
                <w:szCs w:val="20"/>
              </w:rPr>
            </w:pPr>
            <w:r>
              <w:rPr>
                <w:rFonts w:hint="eastAsia"/>
                <w:szCs w:val="20"/>
              </w:rPr>
              <w:t>OBJCODE</w:t>
            </w:r>
          </w:p>
        </w:tc>
        <w:tc>
          <w:tcPr>
            <w:tcW w:w="1880" w:type="dxa"/>
          </w:tcPr>
          <w:p w14:paraId="35EE3EA0" w14:textId="77777777" w:rsidR="00A052DC" w:rsidRDefault="009F0A60">
            <w:pPr>
              <w:pStyle w:val="B"/>
              <w:rPr>
                <w:szCs w:val="20"/>
              </w:rPr>
            </w:pPr>
            <w:r>
              <w:rPr>
                <w:rFonts w:hint="eastAsia"/>
                <w:szCs w:val="20"/>
              </w:rPr>
              <w:t>申报主体代码</w:t>
            </w:r>
          </w:p>
        </w:tc>
        <w:tc>
          <w:tcPr>
            <w:tcW w:w="1417" w:type="dxa"/>
            <w:noWrap/>
          </w:tcPr>
          <w:p w14:paraId="0FE543A3" w14:textId="77777777" w:rsidR="00A052DC" w:rsidRDefault="009F0A60">
            <w:pPr>
              <w:pStyle w:val="B"/>
              <w:rPr>
                <w:szCs w:val="20"/>
              </w:rPr>
            </w:pPr>
            <w:r>
              <w:rPr>
                <w:rFonts w:hint="eastAsia"/>
                <w:szCs w:val="20"/>
              </w:rPr>
              <w:t>字符型，18</w:t>
            </w:r>
          </w:p>
        </w:tc>
        <w:tc>
          <w:tcPr>
            <w:tcW w:w="3878" w:type="dxa"/>
          </w:tcPr>
          <w:p w14:paraId="696090F0" w14:textId="77777777" w:rsidR="00A052DC" w:rsidRDefault="009F0A60">
            <w:pPr>
              <w:pStyle w:val="B"/>
              <w:rPr>
                <w:szCs w:val="20"/>
              </w:rPr>
            </w:pPr>
            <w:r>
              <w:rPr>
                <w:rFonts w:hint="eastAsia"/>
                <w:szCs w:val="20"/>
              </w:rPr>
              <w:t>申报主体的12位金融机构标识码，如果没有金融机构标识码，则填报统一社会信用代码法定载体（如营业执照）上统一社会信用代码中的第9至17位或国家外汇管理局及其分支局签发的特殊机构代码赋码通知书上的机构代码、个人身份代码。</w:t>
            </w:r>
          </w:p>
        </w:tc>
      </w:tr>
      <w:tr w:rsidR="00A052DC" w14:paraId="18C47C96" w14:textId="77777777">
        <w:trPr>
          <w:jc w:val="center"/>
        </w:trPr>
        <w:tc>
          <w:tcPr>
            <w:tcW w:w="1347" w:type="dxa"/>
            <w:noWrap/>
          </w:tcPr>
          <w:p w14:paraId="37B09900" w14:textId="77777777" w:rsidR="00A052DC" w:rsidRDefault="009F0A60">
            <w:pPr>
              <w:pStyle w:val="B"/>
              <w:rPr>
                <w:szCs w:val="20"/>
              </w:rPr>
            </w:pPr>
            <w:r>
              <w:rPr>
                <w:rFonts w:hint="eastAsia"/>
                <w:szCs w:val="20"/>
              </w:rPr>
              <w:t>BUOCMONTH</w:t>
            </w:r>
          </w:p>
        </w:tc>
        <w:tc>
          <w:tcPr>
            <w:tcW w:w="1880" w:type="dxa"/>
          </w:tcPr>
          <w:p w14:paraId="0CEA6E65" w14:textId="77777777" w:rsidR="00A052DC" w:rsidRDefault="009F0A60">
            <w:pPr>
              <w:pStyle w:val="B"/>
              <w:rPr>
                <w:szCs w:val="20"/>
              </w:rPr>
            </w:pPr>
            <w:r>
              <w:rPr>
                <w:rFonts w:hint="eastAsia"/>
                <w:szCs w:val="20"/>
              </w:rPr>
              <w:t>报告期</w:t>
            </w:r>
          </w:p>
        </w:tc>
        <w:tc>
          <w:tcPr>
            <w:tcW w:w="1417" w:type="dxa"/>
            <w:noWrap/>
          </w:tcPr>
          <w:p w14:paraId="1899C08E" w14:textId="77777777" w:rsidR="00A052DC" w:rsidRDefault="009F0A60">
            <w:pPr>
              <w:pStyle w:val="B"/>
              <w:rPr>
                <w:szCs w:val="20"/>
              </w:rPr>
            </w:pPr>
            <w:r>
              <w:rPr>
                <w:rFonts w:hint="eastAsia"/>
                <w:szCs w:val="20"/>
              </w:rPr>
              <w:t>数值型，6</w:t>
            </w:r>
          </w:p>
        </w:tc>
        <w:tc>
          <w:tcPr>
            <w:tcW w:w="3878" w:type="dxa"/>
          </w:tcPr>
          <w:p w14:paraId="5D7CD356" w14:textId="77777777" w:rsidR="00A052DC" w:rsidRDefault="009F0A60">
            <w:pPr>
              <w:pStyle w:val="B"/>
              <w:rPr>
                <w:szCs w:val="20"/>
              </w:rPr>
            </w:pPr>
            <w:r>
              <w:rPr>
                <w:rFonts w:hint="eastAsia"/>
                <w:szCs w:val="20"/>
              </w:rPr>
              <w:t>必填项，格式为YYYYMM。</w:t>
            </w:r>
          </w:p>
        </w:tc>
      </w:tr>
      <w:tr w:rsidR="00A052DC" w14:paraId="220193C4" w14:textId="77777777">
        <w:trPr>
          <w:jc w:val="center"/>
        </w:trPr>
        <w:tc>
          <w:tcPr>
            <w:tcW w:w="1347" w:type="dxa"/>
            <w:noWrap/>
          </w:tcPr>
          <w:p w14:paraId="44EC4103" w14:textId="77777777" w:rsidR="00A052DC" w:rsidRDefault="009F0A60">
            <w:pPr>
              <w:rPr>
                <w:rFonts w:ascii="黑体" w:eastAsia="黑体" w:hAnsi="黑体"/>
                <w:sz w:val="20"/>
                <w:szCs w:val="20"/>
              </w:rPr>
            </w:pPr>
            <w:r>
              <w:rPr>
                <w:rFonts w:ascii="黑体" w:eastAsia="黑体" w:hAnsi="黑体" w:hint="eastAsia"/>
                <w:sz w:val="20"/>
                <w:szCs w:val="20"/>
              </w:rPr>
              <w:t>X1000</w:t>
            </w:r>
          </w:p>
        </w:tc>
        <w:tc>
          <w:tcPr>
            <w:tcW w:w="1880" w:type="dxa"/>
          </w:tcPr>
          <w:p w14:paraId="3686E49C" w14:textId="77777777" w:rsidR="00A052DC" w:rsidRDefault="009F0A60">
            <w:pPr>
              <w:rPr>
                <w:rFonts w:ascii="黑体" w:eastAsia="黑体" w:hAnsi="黑体"/>
                <w:sz w:val="20"/>
                <w:szCs w:val="20"/>
              </w:rPr>
            </w:pPr>
            <w:r>
              <w:rPr>
                <w:rFonts w:ascii="黑体" w:eastAsia="黑体" w:hAnsi="黑体" w:hint="eastAsia"/>
                <w:sz w:val="20"/>
                <w:szCs w:val="20"/>
              </w:rPr>
              <w:t>银行进口贸易融资业务</w:t>
            </w:r>
            <w:r w:rsidR="00891512">
              <w:rPr>
                <w:rFonts w:hint="eastAsia"/>
                <w:szCs w:val="20"/>
              </w:rPr>
              <w:t>——</w:t>
            </w:r>
            <w:r>
              <w:rPr>
                <w:rFonts w:ascii="黑体" w:eastAsia="黑体" w:hAnsi="黑体" w:hint="eastAsia"/>
                <w:sz w:val="20"/>
                <w:szCs w:val="20"/>
              </w:rPr>
              <w:t>境外银行提供贸易融资</w:t>
            </w:r>
          </w:p>
        </w:tc>
        <w:tc>
          <w:tcPr>
            <w:tcW w:w="1417" w:type="dxa"/>
            <w:noWrap/>
          </w:tcPr>
          <w:p w14:paraId="6FFD0A50"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3878" w:type="dxa"/>
          </w:tcPr>
          <w:p w14:paraId="59819081" w14:textId="77777777" w:rsidR="00A052DC" w:rsidRDefault="009F0A60">
            <w:pPr>
              <w:pStyle w:val="B"/>
              <w:rPr>
                <w:szCs w:val="20"/>
              </w:rPr>
            </w:pPr>
            <w:r>
              <w:rPr>
                <w:rFonts w:hint="eastAsia"/>
                <w:szCs w:val="20"/>
              </w:rPr>
              <w:t>必填项，项目的金额≥0,且必须满足：</w:t>
            </w:r>
          </w:p>
          <w:p w14:paraId="5A917F00" w14:textId="77777777" w:rsidR="00A052DC" w:rsidRDefault="009F0A60">
            <w:pPr>
              <w:rPr>
                <w:rFonts w:ascii="黑体" w:eastAsia="黑体" w:hAnsi="黑体"/>
                <w:sz w:val="20"/>
                <w:szCs w:val="20"/>
              </w:rPr>
            </w:pPr>
            <w:r>
              <w:rPr>
                <w:rFonts w:ascii="黑体" w:eastAsia="黑体" w:hAnsi="黑体" w:hint="eastAsia"/>
                <w:sz w:val="20"/>
                <w:szCs w:val="20"/>
              </w:rPr>
              <w:t>1000=1100+1200+1300；</w:t>
            </w:r>
          </w:p>
          <w:p w14:paraId="1AC2108C" w14:textId="77777777" w:rsidR="00A052DC" w:rsidRDefault="009F0A60">
            <w:pPr>
              <w:rPr>
                <w:rFonts w:ascii="黑体" w:eastAsia="黑体" w:hAnsi="黑体"/>
                <w:sz w:val="20"/>
                <w:szCs w:val="20"/>
              </w:rPr>
            </w:pPr>
            <w:r>
              <w:rPr>
                <w:rFonts w:ascii="黑体" w:eastAsia="黑体" w:hAnsi="黑体" w:hint="eastAsia"/>
                <w:sz w:val="20"/>
                <w:szCs w:val="20"/>
              </w:rPr>
              <w:t>1000≥1001。</w:t>
            </w:r>
          </w:p>
        </w:tc>
      </w:tr>
      <w:tr w:rsidR="00A052DC" w14:paraId="0837D1DF" w14:textId="77777777">
        <w:trPr>
          <w:jc w:val="center"/>
        </w:trPr>
        <w:tc>
          <w:tcPr>
            <w:tcW w:w="1347" w:type="dxa"/>
            <w:noWrap/>
          </w:tcPr>
          <w:p w14:paraId="318E95EE" w14:textId="77777777" w:rsidR="00A052DC" w:rsidRDefault="009F0A60">
            <w:pPr>
              <w:rPr>
                <w:rFonts w:ascii="黑体" w:eastAsia="黑体" w:hAnsi="黑体"/>
                <w:sz w:val="20"/>
                <w:szCs w:val="20"/>
              </w:rPr>
            </w:pPr>
            <w:r>
              <w:rPr>
                <w:rFonts w:ascii="黑体" w:eastAsia="黑体" w:hAnsi="黑体" w:hint="eastAsia"/>
                <w:sz w:val="20"/>
                <w:szCs w:val="20"/>
              </w:rPr>
              <w:t>X1001</w:t>
            </w:r>
          </w:p>
        </w:tc>
        <w:tc>
          <w:tcPr>
            <w:tcW w:w="1880" w:type="dxa"/>
          </w:tcPr>
          <w:p w14:paraId="461A8920" w14:textId="77777777" w:rsidR="00A052DC" w:rsidRDefault="009F0A60">
            <w:pPr>
              <w:rPr>
                <w:rFonts w:ascii="黑体" w:eastAsia="黑体" w:hAnsi="黑体"/>
                <w:sz w:val="20"/>
                <w:szCs w:val="20"/>
              </w:rPr>
            </w:pPr>
            <w:r>
              <w:rPr>
                <w:rFonts w:ascii="黑体" w:eastAsia="黑体" w:hAnsi="黑体" w:hint="eastAsia"/>
                <w:sz w:val="20"/>
                <w:szCs w:val="20"/>
              </w:rPr>
              <w:t>银行进口贸易融资业务</w:t>
            </w:r>
            <w:r w:rsidR="00891512">
              <w:rPr>
                <w:rFonts w:hint="eastAsia"/>
                <w:szCs w:val="20"/>
              </w:rPr>
              <w:t>——</w:t>
            </w:r>
            <w:r>
              <w:rPr>
                <w:rFonts w:ascii="黑体" w:eastAsia="黑体" w:hAnsi="黑体" w:hint="eastAsia"/>
                <w:sz w:val="20"/>
                <w:szCs w:val="20"/>
              </w:rPr>
              <w:t>境外银行提供贸易融资，其中：人民币</w:t>
            </w:r>
          </w:p>
        </w:tc>
        <w:tc>
          <w:tcPr>
            <w:tcW w:w="1417" w:type="dxa"/>
            <w:noWrap/>
          </w:tcPr>
          <w:p w14:paraId="030B7D46"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3878" w:type="dxa"/>
          </w:tcPr>
          <w:p w14:paraId="6AD1A870" w14:textId="77777777" w:rsidR="00A052DC" w:rsidRDefault="009F0A60">
            <w:pPr>
              <w:pStyle w:val="B"/>
              <w:rPr>
                <w:szCs w:val="20"/>
              </w:rPr>
            </w:pPr>
            <w:r>
              <w:rPr>
                <w:rFonts w:hint="eastAsia"/>
                <w:szCs w:val="20"/>
              </w:rPr>
              <w:t>必填项，项目的金额≥0。</w:t>
            </w:r>
          </w:p>
        </w:tc>
      </w:tr>
      <w:tr w:rsidR="00A052DC" w14:paraId="6489EFB3" w14:textId="77777777">
        <w:trPr>
          <w:jc w:val="center"/>
        </w:trPr>
        <w:tc>
          <w:tcPr>
            <w:tcW w:w="1347" w:type="dxa"/>
            <w:noWrap/>
          </w:tcPr>
          <w:p w14:paraId="607B01E5" w14:textId="77777777" w:rsidR="00A052DC" w:rsidRDefault="009F0A60">
            <w:pPr>
              <w:rPr>
                <w:rFonts w:ascii="黑体" w:eastAsia="黑体" w:hAnsi="黑体"/>
                <w:sz w:val="20"/>
                <w:szCs w:val="20"/>
              </w:rPr>
            </w:pPr>
            <w:r>
              <w:rPr>
                <w:rFonts w:ascii="黑体" w:eastAsia="黑体" w:hAnsi="黑体" w:hint="eastAsia"/>
                <w:sz w:val="20"/>
                <w:szCs w:val="20"/>
              </w:rPr>
              <w:t>X1100</w:t>
            </w:r>
          </w:p>
        </w:tc>
        <w:tc>
          <w:tcPr>
            <w:tcW w:w="1880" w:type="dxa"/>
          </w:tcPr>
          <w:p w14:paraId="6A049CA2" w14:textId="77777777" w:rsidR="00A052DC" w:rsidRDefault="009F0A60">
            <w:pPr>
              <w:rPr>
                <w:rFonts w:ascii="黑体" w:eastAsia="黑体" w:hAnsi="黑体"/>
                <w:sz w:val="20"/>
                <w:szCs w:val="20"/>
              </w:rPr>
            </w:pPr>
            <w:r>
              <w:rPr>
                <w:rFonts w:ascii="黑体" w:eastAsia="黑体" w:hAnsi="黑体" w:hint="eastAsia"/>
                <w:sz w:val="20"/>
                <w:szCs w:val="20"/>
              </w:rPr>
              <w:t>海外代付（境内银行名义融资）</w:t>
            </w:r>
          </w:p>
        </w:tc>
        <w:tc>
          <w:tcPr>
            <w:tcW w:w="1417" w:type="dxa"/>
            <w:noWrap/>
          </w:tcPr>
          <w:p w14:paraId="4DF9E903"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3878" w:type="dxa"/>
          </w:tcPr>
          <w:p w14:paraId="076D0317" w14:textId="77777777" w:rsidR="00A052DC" w:rsidRDefault="009F0A60">
            <w:pPr>
              <w:pStyle w:val="B"/>
              <w:rPr>
                <w:szCs w:val="20"/>
              </w:rPr>
            </w:pPr>
            <w:r>
              <w:rPr>
                <w:rFonts w:hint="eastAsia"/>
                <w:szCs w:val="20"/>
              </w:rPr>
              <w:t>必填项，项目的金额≥0,且必须满足：</w:t>
            </w:r>
          </w:p>
          <w:p w14:paraId="7C1C4B84" w14:textId="77777777" w:rsidR="00A052DC" w:rsidRDefault="009F0A60">
            <w:pPr>
              <w:pStyle w:val="B"/>
              <w:rPr>
                <w:szCs w:val="20"/>
              </w:rPr>
            </w:pPr>
            <w:r>
              <w:rPr>
                <w:rFonts w:hint="eastAsia"/>
                <w:szCs w:val="20"/>
              </w:rPr>
              <w:t>1100≥1101。</w:t>
            </w:r>
          </w:p>
        </w:tc>
      </w:tr>
      <w:tr w:rsidR="00A052DC" w14:paraId="5BD2B5ED" w14:textId="77777777">
        <w:trPr>
          <w:jc w:val="center"/>
        </w:trPr>
        <w:tc>
          <w:tcPr>
            <w:tcW w:w="1347" w:type="dxa"/>
            <w:noWrap/>
          </w:tcPr>
          <w:p w14:paraId="1ABDA3D6" w14:textId="77777777" w:rsidR="00A052DC" w:rsidRDefault="009F0A60">
            <w:pPr>
              <w:rPr>
                <w:rFonts w:ascii="黑体" w:eastAsia="黑体" w:hAnsi="黑体"/>
                <w:sz w:val="20"/>
                <w:szCs w:val="20"/>
              </w:rPr>
            </w:pPr>
            <w:r>
              <w:rPr>
                <w:rFonts w:ascii="黑体" w:eastAsia="黑体" w:hAnsi="黑体" w:hint="eastAsia"/>
                <w:sz w:val="20"/>
                <w:szCs w:val="20"/>
              </w:rPr>
              <w:t>X1101</w:t>
            </w:r>
          </w:p>
        </w:tc>
        <w:tc>
          <w:tcPr>
            <w:tcW w:w="1880" w:type="dxa"/>
          </w:tcPr>
          <w:p w14:paraId="7842FB3E" w14:textId="77777777" w:rsidR="00A052DC" w:rsidRDefault="009F0A60">
            <w:pPr>
              <w:rPr>
                <w:rFonts w:ascii="黑体" w:eastAsia="黑体" w:hAnsi="黑体"/>
                <w:sz w:val="20"/>
                <w:szCs w:val="20"/>
              </w:rPr>
            </w:pPr>
            <w:r>
              <w:rPr>
                <w:rFonts w:ascii="黑体" w:eastAsia="黑体" w:hAnsi="黑体" w:hint="eastAsia"/>
                <w:sz w:val="20"/>
                <w:szCs w:val="20"/>
              </w:rPr>
              <w:t>海外代付（境内银行名义融资），其中：人民币</w:t>
            </w:r>
          </w:p>
        </w:tc>
        <w:tc>
          <w:tcPr>
            <w:tcW w:w="1417" w:type="dxa"/>
            <w:noWrap/>
          </w:tcPr>
          <w:p w14:paraId="3CAD63B3"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3878" w:type="dxa"/>
          </w:tcPr>
          <w:p w14:paraId="62D68C56" w14:textId="77777777" w:rsidR="00A052DC" w:rsidRDefault="009F0A60">
            <w:pPr>
              <w:pStyle w:val="B"/>
              <w:rPr>
                <w:szCs w:val="20"/>
              </w:rPr>
            </w:pPr>
            <w:r>
              <w:rPr>
                <w:rFonts w:hint="eastAsia"/>
                <w:szCs w:val="20"/>
              </w:rPr>
              <w:t>必填项，项目的金额≥0。</w:t>
            </w:r>
          </w:p>
        </w:tc>
      </w:tr>
      <w:tr w:rsidR="00A052DC" w14:paraId="1DE306D7" w14:textId="77777777">
        <w:trPr>
          <w:jc w:val="center"/>
        </w:trPr>
        <w:tc>
          <w:tcPr>
            <w:tcW w:w="1347" w:type="dxa"/>
            <w:noWrap/>
          </w:tcPr>
          <w:p w14:paraId="3D9A3A83" w14:textId="77777777" w:rsidR="00A052DC" w:rsidRDefault="009F0A60">
            <w:pPr>
              <w:rPr>
                <w:rFonts w:ascii="黑体" w:eastAsia="黑体" w:hAnsi="黑体"/>
                <w:sz w:val="20"/>
                <w:szCs w:val="20"/>
              </w:rPr>
            </w:pPr>
            <w:r>
              <w:rPr>
                <w:rFonts w:ascii="黑体" w:eastAsia="黑体" w:hAnsi="黑体" w:hint="eastAsia"/>
                <w:sz w:val="20"/>
                <w:szCs w:val="20"/>
              </w:rPr>
              <w:t>X1110</w:t>
            </w:r>
          </w:p>
        </w:tc>
        <w:tc>
          <w:tcPr>
            <w:tcW w:w="1880" w:type="dxa"/>
          </w:tcPr>
          <w:p w14:paraId="60C37F44" w14:textId="77777777" w:rsidR="00A052DC" w:rsidRDefault="009F0A60">
            <w:pPr>
              <w:rPr>
                <w:rFonts w:ascii="黑体" w:eastAsia="黑体" w:hAnsi="黑体"/>
                <w:sz w:val="20"/>
                <w:szCs w:val="20"/>
              </w:rPr>
            </w:pPr>
            <w:r>
              <w:rPr>
                <w:rFonts w:ascii="黑体" w:eastAsia="黑体" w:hAnsi="黑体" w:hint="eastAsia"/>
                <w:sz w:val="20"/>
                <w:szCs w:val="20"/>
              </w:rPr>
              <w:t>海外代付（境内银行名义融资）（90天及以下）</w:t>
            </w:r>
          </w:p>
        </w:tc>
        <w:tc>
          <w:tcPr>
            <w:tcW w:w="1417" w:type="dxa"/>
            <w:noWrap/>
          </w:tcPr>
          <w:p w14:paraId="46F63F13"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3878" w:type="dxa"/>
          </w:tcPr>
          <w:p w14:paraId="6FDEA0E7" w14:textId="77777777" w:rsidR="00A052DC" w:rsidRDefault="009F0A60">
            <w:pPr>
              <w:pStyle w:val="B"/>
              <w:rPr>
                <w:szCs w:val="20"/>
              </w:rPr>
            </w:pPr>
            <w:r>
              <w:rPr>
                <w:rFonts w:hint="eastAsia"/>
                <w:szCs w:val="20"/>
              </w:rPr>
              <w:t>必填项，项目的金额≥0,且必须满足：</w:t>
            </w:r>
          </w:p>
          <w:p w14:paraId="4ACFB86D" w14:textId="77777777" w:rsidR="00A052DC" w:rsidRDefault="009F0A60">
            <w:pPr>
              <w:pStyle w:val="B"/>
              <w:rPr>
                <w:szCs w:val="20"/>
              </w:rPr>
            </w:pPr>
            <w:r>
              <w:rPr>
                <w:rFonts w:hint="eastAsia"/>
                <w:szCs w:val="20"/>
              </w:rPr>
              <w:t>1110≥1111。</w:t>
            </w:r>
          </w:p>
        </w:tc>
      </w:tr>
      <w:tr w:rsidR="00A052DC" w14:paraId="7CEE0070" w14:textId="77777777">
        <w:trPr>
          <w:jc w:val="center"/>
        </w:trPr>
        <w:tc>
          <w:tcPr>
            <w:tcW w:w="1347" w:type="dxa"/>
            <w:noWrap/>
          </w:tcPr>
          <w:p w14:paraId="298A2665" w14:textId="77777777" w:rsidR="00A052DC" w:rsidRDefault="009F0A60">
            <w:pPr>
              <w:rPr>
                <w:rFonts w:ascii="黑体" w:eastAsia="黑体" w:hAnsi="黑体"/>
                <w:sz w:val="20"/>
                <w:szCs w:val="20"/>
              </w:rPr>
            </w:pPr>
            <w:r>
              <w:rPr>
                <w:rFonts w:ascii="黑体" w:eastAsia="黑体" w:hAnsi="黑体" w:hint="eastAsia"/>
                <w:sz w:val="20"/>
                <w:szCs w:val="20"/>
              </w:rPr>
              <w:t>X1111</w:t>
            </w:r>
          </w:p>
        </w:tc>
        <w:tc>
          <w:tcPr>
            <w:tcW w:w="1880" w:type="dxa"/>
          </w:tcPr>
          <w:p w14:paraId="33EFC4B0" w14:textId="77777777" w:rsidR="00A052DC" w:rsidRDefault="009F0A60">
            <w:pPr>
              <w:rPr>
                <w:rFonts w:ascii="黑体" w:eastAsia="黑体" w:hAnsi="黑体"/>
                <w:sz w:val="20"/>
                <w:szCs w:val="20"/>
              </w:rPr>
            </w:pPr>
            <w:r>
              <w:rPr>
                <w:rFonts w:ascii="黑体" w:eastAsia="黑体" w:hAnsi="黑体" w:hint="eastAsia"/>
                <w:sz w:val="20"/>
                <w:szCs w:val="20"/>
              </w:rPr>
              <w:t>海外代付（境内银行名义融资）（90天及以下），其中：人民币</w:t>
            </w:r>
          </w:p>
        </w:tc>
        <w:tc>
          <w:tcPr>
            <w:tcW w:w="1417" w:type="dxa"/>
            <w:noWrap/>
          </w:tcPr>
          <w:p w14:paraId="10595F2B"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3878" w:type="dxa"/>
          </w:tcPr>
          <w:p w14:paraId="4FA4B62F" w14:textId="77777777" w:rsidR="00A052DC" w:rsidRDefault="009F0A60">
            <w:pPr>
              <w:pStyle w:val="B"/>
              <w:rPr>
                <w:szCs w:val="20"/>
              </w:rPr>
            </w:pPr>
            <w:r>
              <w:rPr>
                <w:rFonts w:hint="eastAsia"/>
                <w:szCs w:val="20"/>
              </w:rPr>
              <w:t>必填项，项目的金额≥0。</w:t>
            </w:r>
          </w:p>
        </w:tc>
      </w:tr>
      <w:tr w:rsidR="00A052DC" w14:paraId="65F5835E" w14:textId="77777777">
        <w:trPr>
          <w:jc w:val="center"/>
        </w:trPr>
        <w:tc>
          <w:tcPr>
            <w:tcW w:w="1347" w:type="dxa"/>
            <w:noWrap/>
          </w:tcPr>
          <w:p w14:paraId="5193C0F2" w14:textId="77777777" w:rsidR="00A052DC" w:rsidRDefault="009F0A60">
            <w:pPr>
              <w:rPr>
                <w:rFonts w:ascii="黑体" w:eastAsia="黑体" w:hAnsi="黑体"/>
                <w:sz w:val="20"/>
                <w:szCs w:val="20"/>
              </w:rPr>
            </w:pPr>
            <w:r>
              <w:rPr>
                <w:rFonts w:ascii="黑体" w:eastAsia="黑体" w:hAnsi="黑体" w:hint="eastAsia"/>
                <w:sz w:val="20"/>
                <w:szCs w:val="20"/>
              </w:rPr>
              <w:t>X1200</w:t>
            </w:r>
          </w:p>
        </w:tc>
        <w:tc>
          <w:tcPr>
            <w:tcW w:w="1880" w:type="dxa"/>
          </w:tcPr>
          <w:p w14:paraId="2C5DF249" w14:textId="77777777" w:rsidR="00A052DC" w:rsidRDefault="009F0A60">
            <w:pPr>
              <w:rPr>
                <w:rFonts w:ascii="黑体" w:eastAsia="黑体" w:hAnsi="黑体"/>
                <w:sz w:val="20"/>
                <w:szCs w:val="20"/>
              </w:rPr>
            </w:pPr>
            <w:r>
              <w:rPr>
                <w:rFonts w:ascii="黑体" w:eastAsia="黑体" w:hAnsi="黑体" w:hint="eastAsia"/>
                <w:sz w:val="20"/>
                <w:szCs w:val="20"/>
              </w:rPr>
              <w:t>境内银行提供担保</w:t>
            </w:r>
          </w:p>
        </w:tc>
        <w:tc>
          <w:tcPr>
            <w:tcW w:w="1417" w:type="dxa"/>
            <w:noWrap/>
          </w:tcPr>
          <w:p w14:paraId="2B24A35A"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3878" w:type="dxa"/>
          </w:tcPr>
          <w:p w14:paraId="379B7C74" w14:textId="77777777" w:rsidR="00A052DC" w:rsidRDefault="009F0A60">
            <w:pPr>
              <w:pStyle w:val="B"/>
              <w:rPr>
                <w:szCs w:val="20"/>
              </w:rPr>
            </w:pPr>
            <w:r>
              <w:rPr>
                <w:rFonts w:hint="eastAsia"/>
                <w:szCs w:val="20"/>
              </w:rPr>
              <w:t>必填项，项目的金额≥0,且必须满足：</w:t>
            </w:r>
          </w:p>
          <w:p w14:paraId="63022FED" w14:textId="77777777" w:rsidR="00A052DC" w:rsidRDefault="009F0A60">
            <w:pPr>
              <w:pStyle w:val="B"/>
              <w:rPr>
                <w:szCs w:val="20"/>
              </w:rPr>
            </w:pPr>
            <w:r>
              <w:rPr>
                <w:rFonts w:hint="eastAsia"/>
                <w:szCs w:val="20"/>
              </w:rPr>
              <w:t>1200≥1201。</w:t>
            </w:r>
          </w:p>
        </w:tc>
      </w:tr>
      <w:tr w:rsidR="00A052DC" w14:paraId="45EA252E" w14:textId="77777777">
        <w:trPr>
          <w:jc w:val="center"/>
        </w:trPr>
        <w:tc>
          <w:tcPr>
            <w:tcW w:w="1347" w:type="dxa"/>
            <w:noWrap/>
          </w:tcPr>
          <w:p w14:paraId="16BD990C" w14:textId="77777777" w:rsidR="00A052DC" w:rsidRDefault="009F0A60">
            <w:pPr>
              <w:rPr>
                <w:rFonts w:ascii="黑体" w:eastAsia="黑体" w:hAnsi="黑体"/>
                <w:sz w:val="20"/>
                <w:szCs w:val="20"/>
              </w:rPr>
            </w:pPr>
            <w:r>
              <w:rPr>
                <w:rFonts w:ascii="黑体" w:eastAsia="黑体" w:hAnsi="黑体" w:hint="eastAsia"/>
                <w:sz w:val="20"/>
                <w:szCs w:val="20"/>
              </w:rPr>
              <w:t>X1201</w:t>
            </w:r>
          </w:p>
        </w:tc>
        <w:tc>
          <w:tcPr>
            <w:tcW w:w="1880" w:type="dxa"/>
          </w:tcPr>
          <w:p w14:paraId="02A52A6B" w14:textId="77777777" w:rsidR="00A052DC" w:rsidRDefault="009F0A60">
            <w:pPr>
              <w:rPr>
                <w:rFonts w:ascii="黑体" w:eastAsia="黑体" w:hAnsi="黑体"/>
                <w:sz w:val="20"/>
                <w:szCs w:val="20"/>
              </w:rPr>
            </w:pPr>
            <w:r>
              <w:rPr>
                <w:rFonts w:ascii="黑体" w:eastAsia="黑体" w:hAnsi="黑体" w:hint="eastAsia"/>
                <w:sz w:val="20"/>
                <w:szCs w:val="20"/>
              </w:rPr>
              <w:t>境内银行提供担保，其中：人民币</w:t>
            </w:r>
          </w:p>
        </w:tc>
        <w:tc>
          <w:tcPr>
            <w:tcW w:w="1417" w:type="dxa"/>
            <w:noWrap/>
          </w:tcPr>
          <w:p w14:paraId="1559022C"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3878" w:type="dxa"/>
          </w:tcPr>
          <w:p w14:paraId="12B5076A" w14:textId="77777777" w:rsidR="00A052DC" w:rsidRDefault="009F0A60">
            <w:pPr>
              <w:pStyle w:val="B"/>
              <w:rPr>
                <w:szCs w:val="20"/>
              </w:rPr>
            </w:pPr>
            <w:r>
              <w:rPr>
                <w:rFonts w:hint="eastAsia"/>
                <w:szCs w:val="20"/>
              </w:rPr>
              <w:t>必填项，项目的金额≥0。</w:t>
            </w:r>
          </w:p>
        </w:tc>
      </w:tr>
      <w:tr w:rsidR="00A052DC" w14:paraId="19F30982" w14:textId="77777777">
        <w:trPr>
          <w:jc w:val="center"/>
        </w:trPr>
        <w:tc>
          <w:tcPr>
            <w:tcW w:w="1347" w:type="dxa"/>
            <w:noWrap/>
          </w:tcPr>
          <w:p w14:paraId="42A12DFA" w14:textId="77777777" w:rsidR="00A052DC" w:rsidRDefault="009F0A60">
            <w:pPr>
              <w:rPr>
                <w:rFonts w:ascii="黑体" w:eastAsia="黑体" w:hAnsi="黑体"/>
                <w:sz w:val="20"/>
                <w:szCs w:val="20"/>
              </w:rPr>
            </w:pPr>
            <w:r>
              <w:rPr>
                <w:rFonts w:ascii="黑体" w:eastAsia="黑体" w:hAnsi="黑体" w:hint="eastAsia"/>
                <w:sz w:val="20"/>
                <w:szCs w:val="20"/>
              </w:rPr>
              <w:t>X1300</w:t>
            </w:r>
          </w:p>
        </w:tc>
        <w:tc>
          <w:tcPr>
            <w:tcW w:w="1880" w:type="dxa"/>
          </w:tcPr>
          <w:p w14:paraId="3C6DA89C" w14:textId="77777777" w:rsidR="00A052DC" w:rsidRDefault="009F0A60">
            <w:pPr>
              <w:rPr>
                <w:rFonts w:ascii="黑体" w:eastAsia="黑体" w:hAnsi="黑体"/>
                <w:sz w:val="20"/>
                <w:szCs w:val="20"/>
              </w:rPr>
            </w:pPr>
            <w:r>
              <w:rPr>
                <w:rFonts w:ascii="黑体" w:eastAsia="黑体" w:hAnsi="黑体" w:hint="eastAsia"/>
                <w:sz w:val="20"/>
                <w:szCs w:val="20"/>
              </w:rPr>
              <w:t>境内银行居间业务</w:t>
            </w:r>
          </w:p>
        </w:tc>
        <w:tc>
          <w:tcPr>
            <w:tcW w:w="1417" w:type="dxa"/>
            <w:noWrap/>
          </w:tcPr>
          <w:p w14:paraId="55EA4BE0"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3878" w:type="dxa"/>
          </w:tcPr>
          <w:p w14:paraId="186DBD19" w14:textId="77777777" w:rsidR="00A052DC" w:rsidRDefault="009F0A60">
            <w:pPr>
              <w:pStyle w:val="B"/>
              <w:rPr>
                <w:szCs w:val="20"/>
              </w:rPr>
            </w:pPr>
            <w:r>
              <w:rPr>
                <w:rFonts w:hint="eastAsia"/>
                <w:szCs w:val="20"/>
              </w:rPr>
              <w:t>必填项，项目的金额≥0,且必须满足：</w:t>
            </w:r>
          </w:p>
          <w:p w14:paraId="44FC3110" w14:textId="77777777" w:rsidR="00A052DC" w:rsidRDefault="009F0A60">
            <w:pPr>
              <w:pStyle w:val="B"/>
              <w:rPr>
                <w:szCs w:val="20"/>
              </w:rPr>
            </w:pPr>
            <w:r>
              <w:rPr>
                <w:rFonts w:hint="eastAsia"/>
                <w:szCs w:val="20"/>
              </w:rPr>
              <w:t>1300≥1301。</w:t>
            </w:r>
          </w:p>
        </w:tc>
      </w:tr>
      <w:tr w:rsidR="00A052DC" w14:paraId="0064559E" w14:textId="77777777">
        <w:trPr>
          <w:jc w:val="center"/>
        </w:trPr>
        <w:tc>
          <w:tcPr>
            <w:tcW w:w="1347" w:type="dxa"/>
            <w:noWrap/>
          </w:tcPr>
          <w:p w14:paraId="1BC079C6" w14:textId="77777777" w:rsidR="00A052DC" w:rsidRDefault="009F0A60">
            <w:pPr>
              <w:rPr>
                <w:rFonts w:ascii="黑体" w:eastAsia="黑体" w:hAnsi="黑体"/>
                <w:sz w:val="20"/>
                <w:szCs w:val="20"/>
              </w:rPr>
            </w:pPr>
            <w:r>
              <w:rPr>
                <w:rFonts w:ascii="黑体" w:eastAsia="黑体" w:hAnsi="黑体" w:hint="eastAsia"/>
                <w:sz w:val="20"/>
                <w:szCs w:val="20"/>
              </w:rPr>
              <w:t>X1301</w:t>
            </w:r>
          </w:p>
        </w:tc>
        <w:tc>
          <w:tcPr>
            <w:tcW w:w="1880" w:type="dxa"/>
          </w:tcPr>
          <w:p w14:paraId="420C6796" w14:textId="77777777" w:rsidR="00A052DC" w:rsidRDefault="009F0A60">
            <w:pPr>
              <w:rPr>
                <w:rFonts w:ascii="黑体" w:eastAsia="黑体" w:hAnsi="黑体"/>
                <w:sz w:val="20"/>
                <w:szCs w:val="20"/>
              </w:rPr>
            </w:pPr>
            <w:r>
              <w:rPr>
                <w:rFonts w:ascii="黑体" w:eastAsia="黑体" w:hAnsi="黑体" w:hint="eastAsia"/>
                <w:sz w:val="20"/>
                <w:szCs w:val="20"/>
              </w:rPr>
              <w:t>境内银行居间业务，其中：人民币</w:t>
            </w:r>
          </w:p>
        </w:tc>
        <w:tc>
          <w:tcPr>
            <w:tcW w:w="1417" w:type="dxa"/>
            <w:noWrap/>
          </w:tcPr>
          <w:p w14:paraId="70EECA58"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3878" w:type="dxa"/>
          </w:tcPr>
          <w:p w14:paraId="13D57E8B" w14:textId="77777777" w:rsidR="00A052DC" w:rsidRDefault="009F0A60">
            <w:pPr>
              <w:pStyle w:val="B"/>
              <w:rPr>
                <w:szCs w:val="20"/>
              </w:rPr>
            </w:pPr>
            <w:r>
              <w:rPr>
                <w:rFonts w:hint="eastAsia"/>
                <w:szCs w:val="20"/>
              </w:rPr>
              <w:t>必填项，项目的金额≥0。</w:t>
            </w:r>
          </w:p>
        </w:tc>
      </w:tr>
      <w:tr w:rsidR="00A052DC" w14:paraId="167CF3A5" w14:textId="77777777">
        <w:trPr>
          <w:jc w:val="center"/>
        </w:trPr>
        <w:tc>
          <w:tcPr>
            <w:tcW w:w="1347" w:type="dxa"/>
            <w:noWrap/>
          </w:tcPr>
          <w:p w14:paraId="24354DF1" w14:textId="77777777" w:rsidR="00A052DC" w:rsidRDefault="009F0A60">
            <w:pPr>
              <w:rPr>
                <w:rFonts w:ascii="黑体" w:eastAsia="黑体" w:hAnsi="黑体"/>
                <w:sz w:val="20"/>
                <w:szCs w:val="20"/>
              </w:rPr>
            </w:pPr>
            <w:r>
              <w:rPr>
                <w:rFonts w:ascii="黑体" w:eastAsia="黑体" w:hAnsi="黑体" w:hint="eastAsia"/>
                <w:sz w:val="20"/>
                <w:szCs w:val="20"/>
              </w:rPr>
              <w:t>X2000</w:t>
            </w:r>
          </w:p>
        </w:tc>
        <w:tc>
          <w:tcPr>
            <w:tcW w:w="1880" w:type="dxa"/>
          </w:tcPr>
          <w:p w14:paraId="2BFBCB3A" w14:textId="77777777" w:rsidR="00A052DC" w:rsidRDefault="009F0A60">
            <w:pPr>
              <w:rPr>
                <w:rFonts w:ascii="黑体" w:eastAsia="黑体" w:hAnsi="黑体"/>
                <w:sz w:val="20"/>
                <w:szCs w:val="20"/>
              </w:rPr>
            </w:pPr>
            <w:r>
              <w:rPr>
                <w:rFonts w:ascii="黑体" w:eastAsia="黑体" w:hAnsi="黑体" w:hint="eastAsia"/>
                <w:sz w:val="20"/>
                <w:szCs w:val="20"/>
              </w:rPr>
              <w:t>银行出口贸易融资业务</w:t>
            </w:r>
            <w:r w:rsidR="00891512">
              <w:rPr>
                <w:rFonts w:hint="eastAsia"/>
                <w:szCs w:val="20"/>
              </w:rPr>
              <w:t>——</w:t>
            </w:r>
            <w:r>
              <w:rPr>
                <w:rFonts w:ascii="黑体" w:eastAsia="黑体" w:hAnsi="黑体" w:hint="eastAsia"/>
                <w:sz w:val="20"/>
                <w:szCs w:val="20"/>
              </w:rPr>
              <w:t>境外银行提供贸易融资</w:t>
            </w:r>
          </w:p>
        </w:tc>
        <w:tc>
          <w:tcPr>
            <w:tcW w:w="1417" w:type="dxa"/>
            <w:noWrap/>
          </w:tcPr>
          <w:p w14:paraId="75B04C87"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3878" w:type="dxa"/>
          </w:tcPr>
          <w:p w14:paraId="0774DCCB" w14:textId="77777777" w:rsidR="00A052DC" w:rsidRDefault="009F0A60">
            <w:pPr>
              <w:pStyle w:val="B"/>
              <w:rPr>
                <w:szCs w:val="20"/>
              </w:rPr>
            </w:pPr>
            <w:r>
              <w:rPr>
                <w:rFonts w:hint="eastAsia"/>
                <w:szCs w:val="20"/>
              </w:rPr>
              <w:t>必填项，项目的金额≥0,且必须满足：</w:t>
            </w:r>
          </w:p>
          <w:p w14:paraId="29471411" w14:textId="77777777" w:rsidR="00A052DC" w:rsidRDefault="009F0A60">
            <w:pPr>
              <w:pStyle w:val="B"/>
              <w:rPr>
                <w:szCs w:val="20"/>
              </w:rPr>
            </w:pPr>
            <w:r>
              <w:rPr>
                <w:rFonts w:hint="eastAsia"/>
                <w:szCs w:val="20"/>
              </w:rPr>
              <w:t>2000=2100+2200；</w:t>
            </w:r>
          </w:p>
          <w:p w14:paraId="26D98C1F" w14:textId="77777777" w:rsidR="00A052DC" w:rsidRDefault="009F0A60">
            <w:pPr>
              <w:pStyle w:val="B"/>
              <w:rPr>
                <w:szCs w:val="20"/>
              </w:rPr>
            </w:pPr>
            <w:r>
              <w:rPr>
                <w:rFonts w:hint="eastAsia"/>
                <w:szCs w:val="20"/>
              </w:rPr>
              <w:t>2000≥2001。</w:t>
            </w:r>
          </w:p>
          <w:p w14:paraId="02E140BB" w14:textId="77777777" w:rsidR="00A052DC" w:rsidRDefault="00A052DC">
            <w:pPr>
              <w:pStyle w:val="B"/>
              <w:rPr>
                <w:szCs w:val="20"/>
              </w:rPr>
            </w:pPr>
          </w:p>
        </w:tc>
      </w:tr>
      <w:tr w:rsidR="00A052DC" w14:paraId="525805BD" w14:textId="77777777">
        <w:trPr>
          <w:jc w:val="center"/>
        </w:trPr>
        <w:tc>
          <w:tcPr>
            <w:tcW w:w="1347" w:type="dxa"/>
            <w:noWrap/>
          </w:tcPr>
          <w:p w14:paraId="529BACC7" w14:textId="77777777" w:rsidR="00A052DC" w:rsidRDefault="009F0A60">
            <w:pPr>
              <w:rPr>
                <w:rFonts w:ascii="黑体" w:eastAsia="黑体" w:hAnsi="黑体"/>
                <w:sz w:val="20"/>
                <w:szCs w:val="20"/>
              </w:rPr>
            </w:pPr>
            <w:r>
              <w:rPr>
                <w:rFonts w:ascii="黑体" w:eastAsia="黑体" w:hAnsi="黑体" w:hint="eastAsia"/>
                <w:sz w:val="20"/>
                <w:szCs w:val="20"/>
              </w:rPr>
              <w:t>X2001</w:t>
            </w:r>
          </w:p>
        </w:tc>
        <w:tc>
          <w:tcPr>
            <w:tcW w:w="1880" w:type="dxa"/>
          </w:tcPr>
          <w:p w14:paraId="394022BD" w14:textId="77777777" w:rsidR="00A052DC" w:rsidRDefault="009F0A60">
            <w:pPr>
              <w:rPr>
                <w:rFonts w:ascii="黑体" w:eastAsia="黑体" w:hAnsi="黑体"/>
                <w:sz w:val="20"/>
                <w:szCs w:val="20"/>
              </w:rPr>
            </w:pPr>
            <w:r>
              <w:rPr>
                <w:rFonts w:ascii="黑体" w:eastAsia="黑体" w:hAnsi="黑体" w:hint="eastAsia"/>
                <w:sz w:val="20"/>
                <w:szCs w:val="20"/>
              </w:rPr>
              <w:t>银行出口贸易融资业务</w:t>
            </w:r>
            <w:r w:rsidR="00891512">
              <w:rPr>
                <w:rFonts w:hint="eastAsia"/>
                <w:szCs w:val="20"/>
              </w:rPr>
              <w:t>——</w:t>
            </w:r>
            <w:r>
              <w:rPr>
                <w:rFonts w:ascii="黑体" w:eastAsia="黑体" w:hAnsi="黑体" w:hint="eastAsia"/>
                <w:sz w:val="20"/>
                <w:szCs w:val="20"/>
              </w:rPr>
              <w:t>境外银行提供贸易融资，其中：人民币</w:t>
            </w:r>
          </w:p>
        </w:tc>
        <w:tc>
          <w:tcPr>
            <w:tcW w:w="1417" w:type="dxa"/>
            <w:noWrap/>
          </w:tcPr>
          <w:p w14:paraId="6C817B55"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3878" w:type="dxa"/>
          </w:tcPr>
          <w:p w14:paraId="3E656171" w14:textId="77777777" w:rsidR="00A052DC" w:rsidRDefault="009F0A60">
            <w:pPr>
              <w:pStyle w:val="B"/>
              <w:rPr>
                <w:szCs w:val="20"/>
              </w:rPr>
            </w:pPr>
            <w:r>
              <w:rPr>
                <w:rFonts w:hint="eastAsia"/>
                <w:szCs w:val="20"/>
              </w:rPr>
              <w:t>必填项，项目的金额≥0。</w:t>
            </w:r>
          </w:p>
        </w:tc>
      </w:tr>
      <w:tr w:rsidR="00A052DC" w14:paraId="610C2EFB" w14:textId="77777777">
        <w:trPr>
          <w:jc w:val="center"/>
        </w:trPr>
        <w:tc>
          <w:tcPr>
            <w:tcW w:w="1347" w:type="dxa"/>
            <w:noWrap/>
          </w:tcPr>
          <w:p w14:paraId="15E10DC3" w14:textId="77777777" w:rsidR="00A052DC" w:rsidRDefault="009F0A60">
            <w:pPr>
              <w:rPr>
                <w:rFonts w:ascii="黑体" w:eastAsia="黑体" w:hAnsi="黑体"/>
                <w:sz w:val="20"/>
                <w:szCs w:val="20"/>
              </w:rPr>
            </w:pPr>
            <w:r>
              <w:rPr>
                <w:rFonts w:ascii="黑体" w:eastAsia="黑体" w:hAnsi="黑体" w:hint="eastAsia"/>
                <w:sz w:val="20"/>
                <w:szCs w:val="20"/>
              </w:rPr>
              <w:t>X2100</w:t>
            </w:r>
          </w:p>
        </w:tc>
        <w:tc>
          <w:tcPr>
            <w:tcW w:w="1880" w:type="dxa"/>
          </w:tcPr>
          <w:p w14:paraId="75D9AD1B" w14:textId="77777777" w:rsidR="00A052DC" w:rsidRDefault="009F0A60">
            <w:pPr>
              <w:rPr>
                <w:rFonts w:ascii="黑体" w:eastAsia="黑体" w:hAnsi="黑体"/>
                <w:sz w:val="20"/>
                <w:szCs w:val="20"/>
              </w:rPr>
            </w:pPr>
            <w:r>
              <w:rPr>
                <w:rFonts w:ascii="黑体" w:eastAsia="黑体" w:hAnsi="黑体" w:hint="eastAsia"/>
                <w:sz w:val="20"/>
                <w:szCs w:val="20"/>
              </w:rPr>
              <w:t>境外银行提供贷款性质融资</w:t>
            </w:r>
          </w:p>
        </w:tc>
        <w:tc>
          <w:tcPr>
            <w:tcW w:w="1417" w:type="dxa"/>
            <w:noWrap/>
          </w:tcPr>
          <w:p w14:paraId="3AD2D8A6"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3878" w:type="dxa"/>
          </w:tcPr>
          <w:p w14:paraId="45CE2B40" w14:textId="77777777" w:rsidR="00A052DC" w:rsidRDefault="009F0A60">
            <w:pPr>
              <w:pStyle w:val="B"/>
              <w:rPr>
                <w:szCs w:val="20"/>
              </w:rPr>
            </w:pPr>
            <w:r>
              <w:rPr>
                <w:rFonts w:hint="eastAsia"/>
                <w:szCs w:val="20"/>
              </w:rPr>
              <w:t>必填项，项目的金额≥0,且必须满足：</w:t>
            </w:r>
          </w:p>
          <w:p w14:paraId="115E1304" w14:textId="77777777" w:rsidR="00A052DC" w:rsidRDefault="009F0A60">
            <w:pPr>
              <w:pStyle w:val="B"/>
              <w:rPr>
                <w:szCs w:val="20"/>
              </w:rPr>
            </w:pPr>
            <w:r>
              <w:rPr>
                <w:rFonts w:hint="eastAsia"/>
                <w:szCs w:val="20"/>
              </w:rPr>
              <w:t>2100≥2101。</w:t>
            </w:r>
          </w:p>
        </w:tc>
      </w:tr>
      <w:tr w:rsidR="00A052DC" w14:paraId="3B319BFB" w14:textId="77777777">
        <w:trPr>
          <w:jc w:val="center"/>
        </w:trPr>
        <w:tc>
          <w:tcPr>
            <w:tcW w:w="1347" w:type="dxa"/>
            <w:noWrap/>
          </w:tcPr>
          <w:p w14:paraId="2B734BAB" w14:textId="77777777" w:rsidR="00A052DC" w:rsidRDefault="009F0A60">
            <w:pPr>
              <w:rPr>
                <w:rFonts w:ascii="黑体" w:eastAsia="黑体" w:hAnsi="黑体"/>
                <w:sz w:val="20"/>
                <w:szCs w:val="20"/>
              </w:rPr>
            </w:pPr>
            <w:r>
              <w:rPr>
                <w:rFonts w:ascii="黑体" w:eastAsia="黑体" w:hAnsi="黑体" w:hint="eastAsia"/>
                <w:sz w:val="20"/>
                <w:szCs w:val="20"/>
              </w:rPr>
              <w:t>X2101</w:t>
            </w:r>
          </w:p>
        </w:tc>
        <w:tc>
          <w:tcPr>
            <w:tcW w:w="1880" w:type="dxa"/>
          </w:tcPr>
          <w:p w14:paraId="012ABBF6" w14:textId="77777777" w:rsidR="00A052DC" w:rsidRDefault="009F0A60">
            <w:pPr>
              <w:rPr>
                <w:rFonts w:ascii="黑体" w:eastAsia="黑体" w:hAnsi="黑体"/>
                <w:sz w:val="20"/>
                <w:szCs w:val="20"/>
              </w:rPr>
            </w:pPr>
            <w:r>
              <w:rPr>
                <w:rFonts w:ascii="黑体" w:eastAsia="黑体" w:hAnsi="黑体" w:hint="eastAsia"/>
                <w:sz w:val="20"/>
                <w:szCs w:val="20"/>
              </w:rPr>
              <w:t>境外银行提供贷款性质融资，其中：人民币</w:t>
            </w:r>
          </w:p>
        </w:tc>
        <w:tc>
          <w:tcPr>
            <w:tcW w:w="1417" w:type="dxa"/>
            <w:noWrap/>
          </w:tcPr>
          <w:p w14:paraId="5F7981DD"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3878" w:type="dxa"/>
          </w:tcPr>
          <w:p w14:paraId="5377EFA6" w14:textId="77777777" w:rsidR="00A052DC" w:rsidRDefault="009F0A60">
            <w:pPr>
              <w:pStyle w:val="B"/>
              <w:rPr>
                <w:szCs w:val="20"/>
              </w:rPr>
            </w:pPr>
            <w:r>
              <w:rPr>
                <w:rFonts w:hint="eastAsia"/>
                <w:szCs w:val="20"/>
              </w:rPr>
              <w:t>必填项，项目的金额≥0。</w:t>
            </w:r>
          </w:p>
        </w:tc>
      </w:tr>
      <w:tr w:rsidR="00A052DC" w14:paraId="3BE9CFA5" w14:textId="77777777">
        <w:trPr>
          <w:jc w:val="center"/>
        </w:trPr>
        <w:tc>
          <w:tcPr>
            <w:tcW w:w="1347" w:type="dxa"/>
            <w:noWrap/>
          </w:tcPr>
          <w:p w14:paraId="7939BC81" w14:textId="77777777" w:rsidR="00A052DC" w:rsidRDefault="009F0A60">
            <w:pPr>
              <w:rPr>
                <w:rFonts w:ascii="黑体" w:eastAsia="黑体" w:hAnsi="黑体"/>
                <w:sz w:val="20"/>
                <w:szCs w:val="20"/>
              </w:rPr>
            </w:pPr>
            <w:r>
              <w:rPr>
                <w:rFonts w:ascii="黑体" w:eastAsia="黑体" w:hAnsi="黑体" w:hint="eastAsia"/>
                <w:sz w:val="20"/>
                <w:szCs w:val="20"/>
              </w:rPr>
              <w:t>X2200</w:t>
            </w:r>
          </w:p>
        </w:tc>
        <w:tc>
          <w:tcPr>
            <w:tcW w:w="1880" w:type="dxa"/>
          </w:tcPr>
          <w:p w14:paraId="37019647" w14:textId="77777777" w:rsidR="00A052DC" w:rsidRDefault="009F0A60">
            <w:pPr>
              <w:rPr>
                <w:rFonts w:ascii="黑体" w:eastAsia="黑体" w:hAnsi="黑体"/>
                <w:sz w:val="20"/>
                <w:szCs w:val="20"/>
              </w:rPr>
            </w:pPr>
            <w:r>
              <w:rPr>
                <w:rFonts w:ascii="黑体" w:eastAsia="黑体" w:hAnsi="黑体" w:hint="eastAsia"/>
                <w:sz w:val="20"/>
                <w:szCs w:val="20"/>
              </w:rPr>
              <w:t>境外银行承兑远期信用证及应付未付即期信用证（境内银行为交单行）</w:t>
            </w:r>
          </w:p>
        </w:tc>
        <w:tc>
          <w:tcPr>
            <w:tcW w:w="1417" w:type="dxa"/>
            <w:noWrap/>
          </w:tcPr>
          <w:p w14:paraId="52EEED8B"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3878" w:type="dxa"/>
          </w:tcPr>
          <w:p w14:paraId="331BDFD6" w14:textId="77777777" w:rsidR="00A052DC" w:rsidRDefault="009F0A60">
            <w:pPr>
              <w:pStyle w:val="B"/>
              <w:rPr>
                <w:szCs w:val="20"/>
              </w:rPr>
            </w:pPr>
            <w:r>
              <w:rPr>
                <w:rFonts w:hint="eastAsia"/>
                <w:szCs w:val="20"/>
              </w:rPr>
              <w:t>必填项，项目的金额≥0,且必须满足：</w:t>
            </w:r>
          </w:p>
          <w:p w14:paraId="4F66F5A0" w14:textId="77777777" w:rsidR="00A052DC" w:rsidRDefault="009F0A60">
            <w:pPr>
              <w:pStyle w:val="B"/>
              <w:rPr>
                <w:szCs w:val="20"/>
              </w:rPr>
            </w:pPr>
            <w:r>
              <w:rPr>
                <w:rFonts w:hint="eastAsia"/>
                <w:szCs w:val="20"/>
              </w:rPr>
              <w:t>2200≥2201。</w:t>
            </w:r>
          </w:p>
        </w:tc>
      </w:tr>
      <w:tr w:rsidR="00A052DC" w14:paraId="6FC0F350" w14:textId="77777777">
        <w:trPr>
          <w:jc w:val="center"/>
        </w:trPr>
        <w:tc>
          <w:tcPr>
            <w:tcW w:w="1347" w:type="dxa"/>
            <w:noWrap/>
          </w:tcPr>
          <w:p w14:paraId="13CFC296" w14:textId="77777777" w:rsidR="00A052DC" w:rsidRDefault="009F0A60">
            <w:pPr>
              <w:rPr>
                <w:rFonts w:ascii="黑体" w:eastAsia="黑体" w:hAnsi="黑体"/>
                <w:sz w:val="20"/>
                <w:szCs w:val="20"/>
              </w:rPr>
            </w:pPr>
            <w:r>
              <w:rPr>
                <w:rFonts w:ascii="黑体" w:eastAsia="黑体" w:hAnsi="黑体" w:hint="eastAsia"/>
                <w:sz w:val="20"/>
                <w:szCs w:val="20"/>
              </w:rPr>
              <w:t>X2201</w:t>
            </w:r>
          </w:p>
        </w:tc>
        <w:tc>
          <w:tcPr>
            <w:tcW w:w="1880" w:type="dxa"/>
          </w:tcPr>
          <w:p w14:paraId="2468BF93" w14:textId="77777777" w:rsidR="00A052DC" w:rsidRDefault="009F0A60">
            <w:pPr>
              <w:rPr>
                <w:rFonts w:ascii="黑体" w:eastAsia="黑体" w:hAnsi="黑体"/>
                <w:sz w:val="20"/>
                <w:szCs w:val="20"/>
              </w:rPr>
            </w:pPr>
            <w:r>
              <w:rPr>
                <w:rFonts w:ascii="黑体" w:eastAsia="黑体" w:hAnsi="黑体" w:hint="eastAsia"/>
                <w:sz w:val="20"/>
                <w:szCs w:val="20"/>
              </w:rPr>
              <w:t>境外银行承兑远期信用证及应付未付即期信用证（境内银行为交单行），其中：人民币</w:t>
            </w:r>
          </w:p>
        </w:tc>
        <w:tc>
          <w:tcPr>
            <w:tcW w:w="1417" w:type="dxa"/>
            <w:noWrap/>
          </w:tcPr>
          <w:p w14:paraId="618A1E07" w14:textId="77777777" w:rsidR="00A052DC" w:rsidRDefault="009F0A60">
            <w:pPr>
              <w:rPr>
                <w:rFonts w:ascii="黑体" w:eastAsia="黑体" w:hAnsi="黑体"/>
                <w:sz w:val="20"/>
                <w:szCs w:val="20"/>
              </w:rPr>
            </w:pPr>
            <w:r>
              <w:rPr>
                <w:rFonts w:ascii="黑体" w:eastAsia="黑体" w:hAnsi="黑体" w:hint="eastAsia"/>
                <w:sz w:val="20"/>
                <w:szCs w:val="20"/>
              </w:rPr>
              <w:t>数值型，22.2</w:t>
            </w:r>
          </w:p>
        </w:tc>
        <w:tc>
          <w:tcPr>
            <w:tcW w:w="3878" w:type="dxa"/>
          </w:tcPr>
          <w:p w14:paraId="0AAED228" w14:textId="77777777" w:rsidR="00A052DC" w:rsidRDefault="009F0A60">
            <w:pPr>
              <w:pStyle w:val="B"/>
              <w:rPr>
                <w:szCs w:val="20"/>
              </w:rPr>
            </w:pPr>
            <w:r>
              <w:rPr>
                <w:rFonts w:hint="eastAsia"/>
                <w:szCs w:val="20"/>
              </w:rPr>
              <w:t>必填项，项目的金额≥0。</w:t>
            </w:r>
          </w:p>
        </w:tc>
      </w:tr>
      <w:tr w:rsidR="00A052DC" w14:paraId="0FB50A1E" w14:textId="77777777">
        <w:trPr>
          <w:jc w:val="center"/>
        </w:trPr>
        <w:tc>
          <w:tcPr>
            <w:tcW w:w="1347" w:type="dxa"/>
            <w:noWrap/>
          </w:tcPr>
          <w:p w14:paraId="58433966" w14:textId="77777777" w:rsidR="00A052DC" w:rsidRDefault="009F0A60">
            <w:pPr>
              <w:pStyle w:val="B"/>
              <w:rPr>
                <w:szCs w:val="20"/>
              </w:rPr>
            </w:pPr>
            <w:r>
              <w:rPr>
                <w:rFonts w:hint="eastAsia"/>
                <w:szCs w:val="20"/>
              </w:rPr>
              <w:t>REMARK</w:t>
            </w:r>
          </w:p>
        </w:tc>
        <w:tc>
          <w:tcPr>
            <w:tcW w:w="1880" w:type="dxa"/>
          </w:tcPr>
          <w:p w14:paraId="25FDE947" w14:textId="77777777" w:rsidR="00A052DC" w:rsidRDefault="009F0A60">
            <w:pPr>
              <w:pStyle w:val="B"/>
              <w:rPr>
                <w:szCs w:val="20"/>
              </w:rPr>
            </w:pPr>
            <w:r>
              <w:rPr>
                <w:rFonts w:hint="eastAsia"/>
                <w:szCs w:val="20"/>
              </w:rPr>
              <w:t>备注</w:t>
            </w:r>
          </w:p>
        </w:tc>
        <w:tc>
          <w:tcPr>
            <w:tcW w:w="1417" w:type="dxa"/>
            <w:noWrap/>
          </w:tcPr>
          <w:p w14:paraId="18EB1FDD" w14:textId="77777777" w:rsidR="00A052DC" w:rsidRDefault="009F0A60">
            <w:pPr>
              <w:pStyle w:val="B"/>
              <w:rPr>
                <w:szCs w:val="20"/>
              </w:rPr>
            </w:pPr>
            <w:r>
              <w:rPr>
                <w:rFonts w:hint="eastAsia"/>
                <w:szCs w:val="20"/>
              </w:rPr>
              <w:t>字符型，512</w:t>
            </w:r>
          </w:p>
        </w:tc>
        <w:tc>
          <w:tcPr>
            <w:tcW w:w="3878" w:type="dxa"/>
          </w:tcPr>
          <w:p w14:paraId="0F321750" w14:textId="77777777" w:rsidR="00A052DC" w:rsidRDefault="009F0A60">
            <w:pPr>
              <w:pStyle w:val="B"/>
              <w:rPr>
                <w:szCs w:val="20"/>
              </w:rPr>
            </w:pPr>
            <w:r>
              <w:rPr>
                <w:rFonts w:hint="eastAsia"/>
                <w:szCs w:val="20"/>
              </w:rPr>
              <w:t>非必填项。</w:t>
            </w:r>
          </w:p>
        </w:tc>
      </w:tr>
    </w:tbl>
    <w:p w14:paraId="2F51E143" w14:textId="77777777" w:rsidR="00A052DC" w:rsidRDefault="009F0A60">
      <w:pPr>
        <w:pStyle w:val="2"/>
        <w:rPr>
          <w:rFonts w:ascii="Times New Roman" w:hAnsi="Times New Roman"/>
        </w:rPr>
      </w:pPr>
      <w:bookmarkStart w:id="3741" w:name="_Toc454382506"/>
      <w:bookmarkStart w:id="3742" w:name="_Toc454391487"/>
      <w:bookmarkStart w:id="3743" w:name="_Toc454399425"/>
      <w:bookmarkStart w:id="3744" w:name="_Toc454459201"/>
      <w:bookmarkStart w:id="3745" w:name="_Toc454464924"/>
      <w:bookmarkStart w:id="3746" w:name="_Toc454780301"/>
      <w:bookmarkStart w:id="3747" w:name="_Toc455152943"/>
      <w:bookmarkStart w:id="3748" w:name="_Toc455156671"/>
      <w:bookmarkStart w:id="3749" w:name="_Toc455164122"/>
      <w:bookmarkStart w:id="3750" w:name="_Toc455167847"/>
      <w:bookmarkStart w:id="3751" w:name="_Toc449108996"/>
      <w:bookmarkStart w:id="3752" w:name="_Toc452557318"/>
      <w:bookmarkStart w:id="3753" w:name="_Toc452562000"/>
      <w:bookmarkStart w:id="3754" w:name="_Toc454275941"/>
      <w:bookmarkStart w:id="3755" w:name="_Toc454285587"/>
      <w:bookmarkStart w:id="3756" w:name="_Toc454382507"/>
      <w:bookmarkStart w:id="3757" w:name="_Toc454391488"/>
      <w:bookmarkStart w:id="3758" w:name="_Toc454399426"/>
      <w:bookmarkStart w:id="3759" w:name="_Toc454459202"/>
      <w:bookmarkStart w:id="3760" w:name="_Toc454464925"/>
      <w:bookmarkStart w:id="3761" w:name="_Toc454780302"/>
      <w:bookmarkStart w:id="3762" w:name="_Toc455152944"/>
      <w:bookmarkStart w:id="3763" w:name="_Toc455156672"/>
      <w:bookmarkStart w:id="3764" w:name="_Toc455164123"/>
      <w:bookmarkStart w:id="3765" w:name="_Toc455167848"/>
      <w:bookmarkStart w:id="3766" w:name="_Toc449108997"/>
      <w:bookmarkStart w:id="3767" w:name="_Toc452557319"/>
      <w:bookmarkStart w:id="3768" w:name="_Toc452562001"/>
      <w:bookmarkStart w:id="3769" w:name="_Toc454275942"/>
      <w:bookmarkStart w:id="3770" w:name="_Toc454285588"/>
      <w:bookmarkStart w:id="3771" w:name="_Toc454382508"/>
      <w:bookmarkStart w:id="3772" w:name="_Toc454391489"/>
      <w:bookmarkStart w:id="3773" w:name="_Toc454399427"/>
      <w:bookmarkStart w:id="3774" w:name="_Toc454459203"/>
      <w:bookmarkStart w:id="3775" w:name="_Toc454464926"/>
      <w:bookmarkStart w:id="3776" w:name="_Toc454780303"/>
      <w:bookmarkStart w:id="3777" w:name="_Toc455152945"/>
      <w:bookmarkStart w:id="3778" w:name="_Toc455156673"/>
      <w:bookmarkStart w:id="3779" w:name="_Toc455164124"/>
      <w:bookmarkStart w:id="3780" w:name="_Toc455167849"/>
      <w:bookmarkStart w:id="3781" w:name="_Toc449108998"/>
      <w:bookmarkStart w:id="3782" w:name="_Toc452557320"/>
      <w:bookmarkStart w:id="3783" w:name="_Toc452562002"/>
      <w:bookmarkStart w:id="3784" w:name="_Toc454275943"/>
      <w:bookmarkStart w:id="3785" w:name="_Toc454285589"/>
      <w:bookmarkStart w:id="3786" w:name="_Toc454382509"/>
      <w:bookmarkStart w:id="3787" w:name="_Toc454391490"/>
      <w:bookmarkStart w:id="3788" w:name="_Toc454399428"/>
      <w:bookmarkStart w:id="3789" w:name="_Toc454459204"/>
      <w:bookmarkStart w:id="3790" w:name="_Toc454464927"/>
      <w:bookmarkStart w:id="3791" w:name="_Toc454780304"/>
      <w:bookmarkStart w:id="3792" w:name="_Toc455152946"/>
      <w:bookmarkStart w:id="3793" w:name="_Toc455156674"/>
      <w:bookmarkStart w:id="3794" w:name="_Toc455164125"/>
      <w:bookmarkStart w:id="3795" w:name="_Toc455167850"/>
      <w:bookmarkStart w:id="3796" w:name="_Toc449108999"/>
      <w:bookmarkStart w:id="3797" w:name="_Toc452557321"/>
      <w:bookmarkStart w:id="3798" w:name="_Toc452562003"/>
      <w:bookmarkStart w:id="3799" w:name="_Toc454275944"/>
      <w:bookmarkStart w:id="3800" w:name="_Toc454285590"/>
      <w:bookmarkStart w:id="3801" w:name="_Toc454382510"/>
      <w:bookmarkStart w:id="3802" w:name="_Toc454391491"/>
      <w:bookmarkStart w:id="3803" w:name="_Toc454399429"/>
      <w:bookmarkStart w:id="3804" w:name="_Toc454459205"/>
      <w:bookmarkStart w:id="3805" w:name="_Toc454464928"/>
      <w:bookmarkStart w:id="3806" w:name="_Toc454780305"/>
      <w:bookmarkStart w:id="3807" w:name="_Toc455152947"/>
      <w:bookmarkStart w:id="3808" w:name="_Toc455156675"/>
      <w:bookmarkStart w:id="3809" w:name="_Toc455164126"/>
      <w:bookmarkStart w:id="3810" w:name="_Toc455167851"/>
      <w:bookmarkStart w:id="3811" w:name="_Toc449109000"/>
      <w:bookmarkStart w:id="3812" w:name="_Toc452557322"/>
      <w:bookmarkStart w:id="3813" w:name="_Toc452562004"/>
      <w:bookmarkStart w:id="3814" w:name="_Toc454275945"/>
      <w:bookmarkStart w:id="3815" w:name="_Toc454285591"/>
      <w:bookmarkStart w:id="3816" w:name="_Toc454382511"/>
      <w:bookmarkStart w:id="3817" w:name="_Toc454391492"/>
      <w:bookmarkStart w:id="3818" w:name="_Toc454399430"/>
      <w:bookmarkStart w:id="3819" w:name="_Toc454459206"/>
      <w:bookmarkStart w:id="3820" w:name="_Toc454464929"/>
      <w:bookmarkStart w:id="3821" w:name="_Toc454780306"/>
      <w:bookmarkStart w:id="3822" w:name="_Toc455152948"/>
      <w:bookmarkStart w:id="3823" w:name="_Toc455156676"/>
      <w:bookmarkStart w:id="3824" w:name="_Toc455164127"/>
      <w:bookmarkStart w:id="3825" w:name="_Toc455167852"/>
      <w:bookmarkStart w:id="3826" w:name="_Toc449109001"/>
      <w:bookmarkStart w:id="3827" w:name="_Toc452557323"/>
      <w:bookmarkStart w:id="3828" w:name="_Toc452562005"/>
      <w:bookmarkStart w:id="3829" w:name="_Toc454275946"/>
      <w:bookmarkStart w:id="3830" w:name="_Toc454285592"/>
      <w:bookmarkStart w:id="3831" w:name="_Toc454382512"/>
      <w:bookmarkStart w:id="3832" w:name="_Toc454391493"/>
      <w:bookmarkStart w:id="3833" w:name="_Toc454399431"/>
      <w:bookmarkStart w:id="3834" w:name="_Toc454459207"/>
      <w:bookmarkStart w:id="3835" w:name="_Toc454464930"/>
      <w:bookmarkStart w:id="3836" w:name="_Toc454780307"/>
      <w:bookmarkStart w:id="3837" w:name="_Toc455152949"/>
      <w:bookmarkStart w:id="3838" w:name="_Toc455156677"/>
      <w:bookmarkStart w:id="3839" w:name="_Toc455164128"/>
      <w:bookmarkStart w:id="3840" w:name="_Toc455167853"/>
      <w:bookmarkStart w:id="3841" w:name="_Toc449109002"/>
      <w:bookmarkStart w:id="3842" w:name="_Toc452557324"/>
      <w:bookmarkStart w:id="3843" w:name="_Toc452562006"/>
      <w:bookmarkStart w:id="3844" w:name="_Toc454275947"/>
      <w:bookmarkStart w:id="3845" w:name="_Toc454285593"/>
      <w:bookmarkStart w:id="3846" w:name="_Toc454382513"/>
      <w:bookmarkStart w:id="3847" w:name="_Toc454391494"/>
      <w:bookmarkStart w:id="3848" w:name="_Toc454399432"/>
      <w:bookmarkStart w:id="3849" w:name="_Toc454459208"/>
      <w:bookmarkStart w:id="3850" w:name="_Toc454464931"/>
      <w:bookmarkStart w:id="3851" w:name="_Toc454780308"/>
      <w:bookmarkStart w:id="3852" w:name="_Toc455152950"/>
      <w:bookmarkStart w:id="3853" w:name="_Toc455156678"/>
      <w:bookmarkStart w:id="3854" w:name="_Toc455164129"/>
      <w:bookmarkStart w:id="3855" w:name="_Toc455167854"/>
      <w:bookmarkStart w:id="3856" w:name="_Toc449109003"/>
      <w:bookmarkStart w:id="3857" w:name="_Toc452557325"/>
      <w:bookmarkStart w:id="3858" w:name="_Toc452562007"/>
      <w:bookmarkStart w:id="3859" w:name="_Toc454275948"/>
      <w:bookmarkStart w:id="3860" w:name="_Toc454285594"/>
      <w:bookmarkStart w:id="3861" w:name="_Toc454382514"/>
      <w:bookmarkStart w:id="3862" w:name="_Toc454391495"/>
      <w:bookmarkStart w:id="3863" w:name="_Toc454399433"/>
      <w:bookmarkStart w:id="3864" w:name="_Toc454459209"/>
      <w:bookmarkStart w:id="3865" w:name="_Toc454464932"/>
      <w:bookmarkStart w:id="3866" w:name="_Toc454780309"/>
      <w:bookmarkStart w:id="3867" w:name="_Toc455152951"/>
      <w:bookmarkStart w:id="3868" w:name="_Toc455156679"/>
      <w:bookmarkStart w:id="3869" w:name="_Toc455164130"/>
      <w:bookmarkStart w:id="3870" w:name="_Toc455167855"/>
      <w:bookmarkStart w:id="3871" w:name="_Toc449109004"/>
      <w:bookmarkStart w:id="3872" w:name="_Toc452557326"/>
      <w:bookmarkStart w:id="3873" w:name="_Toc452562008"/>
      <w:bookmarkStart w:id="3874" w:name="_Toc454275949"/>
      <w:bookmarkStart w:id="3875" w:name="_Toc454285595"/>
      <w:bookmarkStart w:id="3876" w:name="_Toc454382515"/>
      <w:bookmarkStart w:id="3877" w:name="_Toc454391496"/>
      <w:bookmarkStart w:id="3878" w:name="_Toc454399434"/>
      <w:bookmarkStart w:id="3879" w:name="_Toc454459210"/>
      <w:bookmarkStart w:id="3880" w:name="_Toc454464933"/>
      <w:bookmarkStart w:id="3881" w:name="_Toc454780310"/>
      <w:bookmarkStart w:id="3882" w:name="_Toc455152952"/>
      <w:bookmarkStart w:id="3883" w:name="_Toc455156680"/>
      <w:bookmarkStart w:id="3884" w:name="_Toc455164131"/>
      <w:bookmarkStart w:id="3885" w:name="_Toc455167856"/>
      <w:bookmarkStart w:id="3886" w:name="_Toc449109005"/>
      <w:bookmarkStart w:id="3887" w:name="_Toc452557327"/>
      <w:bookmarkStart w:id="3888" w:name="_Toc452562009"/>
      <w:bookmarkStart w:id="3889" w:name="_Toc454275950"/>
      <w:bookmarkStart w:id="3890" w:name="_Toc454285596"/>
      <w:bookmarkStart w:id="3891" w:name="_Toc454382516"/>
      <w:bookmarkStart w:id="3892" w:name="_Toc454391497"/>
      <w:bookmarkStart w:id="3893" w:name="_Toc454399435"/>
      <w:bookmarkStart w:id="3894" w:name="_Toc454459211"/>
      <w:bookmarkStart w:id="3895" w:name="_Toc454464934"/>
      <w:bookmarkStart w:id="3896" w:name="_Toc454780311"/>
      <w:bookmarkStart w:id="3897" w:name="_Toc455152953"/>
      <w:bookmarkStart w:id="3898" w:name="_Toc455156681"/>
      <w:bookmarkStart w:id="3899" w:name="_Toc455164132"/>
      <w:bookmarkStart w:id="3900" w:name="_Toc455167857"/>
      <w:bookmarkStart w:id="3901" w:name="_Toc449109006"/>
      <w:bookmarkStart w:id="3902" w:name="_Toc452557328"/>
      <w:bookmarkStart w:id="3903" w:name="_Toc452562010"/>
      <w:bookmarkStart w:id="3904" w:name="_Toc454275951"/>
      <w:bookmarkStart w:id="3905" w:name="_Toc454285597"/>
      <w:bookmarkStart w:id="3906" w:name="_Toc454382517"/>
      <w:bookmarkStart w:id="3907" w:name="_Toc454391498"/>
      <w:bookmarkStart w:id="3908" w:name="_Toc454399436"/>
      <w:bookmarkStart w:id="3909" w:name="_Toc454459212"/>
      <w:bookmarkStart w:id="3910" w:name="_Toc454464935"/>
      <w:bookmarkStart w:id="3911" w:name="_Toc454780312"/>
      <w:bookmarkStart w:id="3912" w:name="_Toc455152954"/>
      <w:bookmarkStart w:id="3913" w:name="_Toc455156682"/>
      <w:bookmarkStart w:id="3914" w:name="_Toc455164133"/>
      <w:bookmarkStart w:id="3915" w:name="_Toc455167858"/>
      <w:bookmarkStart w:id="3916" w:name="_Toc449109007"/>
      <w:bookmarkStart w:id="3917" w:name="_Toc452557329"/>
      <w:bookmarkStart w:id="3918" w:name="_Toc452562011"/>
      <w:bookmarkStart w:id="3919" w:name="_Toc454275952"/>
      <w:bookmarkStart w:id="3920" w:name="_Toc454285598"/>
      <w:bookmarkStart w:id="3921" w:name="_Toc454382518"/>
      <w:bookmarkStart w:id="3922" w:name="_Toc454391499"/>
      <w:bookmarkStart w:id="3923" w:name="_Toc454399437"/>
      <w:bookmarkStart w:id="3924" w:name="_Toc454459213"/>
      <w:bookmarkStart w:id="3925" w:name="_Toc454464936"/>
      <w:bookmarkStart w:id="3926" w:name="_Toc454780313"/>
      <w:bookmarkStart w:id="3927" w:name="_Toc455152955"/>
      <w:bookmarkStart w:id="3928" w:name="_Toc455156683"/>
      <w:bookmarkStart w:id="3929" w:name="_Toc455164134"/>
      <w:bookmarkStart w:id="3930" w:name="_Toc455167859"/>
      <w:bookmarkStart w:id="3931" w:name="_Toc449109066"/>
      <w:bookmarkStart w:id="3932" w:name="_Toc452557388"/>
      <w:bookmarkStart w:id="3933" w:name="_Toc452562070"/>
      <w:bookmarkStart w:id="3934" w:name="_Toc454276011"/>
      <w:bookmarkStart w:id="3935" w:name="_Toc454285657"/>
      <w:bookmarkStart w:id="3936" w:name="_Toc454382577"/>
      <w:bookmarkStart w:id="3937" w:name="_Toc454391558"/>
      <w:bookmarkStart w:id="3938" w:name="_Toc454399496"/>
      <w:bookmarkStart w:id="3939" w:name="_Toc454459272"/>
      <w:bookmarkStart w:id="3940" w:name="_Toc454464995"/>
      <w:bookmarkStart w:id="3941" w:name="_Toc454780372"/>
      <w:bookmarkStart w:id="3942" w:name="_Toc455153014"/>
      <w:bookmarkStart w:id="3943" w:name="_Toc455156742"/>
      <w:bookmarkStart w:id="3944" w:name="_Toc455164193"/>
      <w:bookmarkStart w:id="3945" w:name="_Toc455167918"/>
      <w:bookmarkStart w:id="3946" w:name="_Toc449109067"/>
      <w:bookmarkStart w:id="3947" w:name="_Toc452557389"/>
      <w:bookmarkStart w:id="3948" w:name="_Toc452562071"/>
      <w:bookmarkStart w:id="3949" w:name="_Toc454276012"/>
      <w:bookmarkStart w:id="3950" w:name="_Toc454285658"/>
      <w:bookmarkStart w:id="3951" w:name="_Toc454382578"/>
      <w:bookmarkStart w:id="3952" w:name="_Toc454391559"/>
      <w:bookmarkStart w:id="3953" w:name="_Toc454399497"/>
      <w:bookmarkStart w:id="3954" w:name="_Toc454459273"/>
      <w:bookmarkStart w:id="3955" w:name="_Toc454464996"/>
      <w:bookmarkStart w:id="3956" w:name="_Toc454780373"/>
      <w:bookmarkStart w:id="3957" w:name="_Toc455153015"/>
      <w:bookmarkStart w:id="3958" w:name="_Toc455156743"/>
      <w:bookmarkStart w:id="3959" w:name="_Toc455164194"/>
      <w:bookmarkStart w:id="3960" w:name="_Toc455167919"/>
      <w:bookmarkStart w:id="3961" w:name="_Toc527131864"/>
      <w:bookmarkStart w:id="3962" w:name="_Toc527132935"/>
      <w:bookmarkStart w:id="3963" w:name="_Toc527963457"/>
      <w:bookmarkStart w:id="3964" w:name="_Toc527965049"/>
      <w:bookmarkStart w:id="3965" w:name="_Toc532300850"/>
      <w:bookmarkStart w:id="3966" w:name="_Toc533586986"/>
      <w:bookmarkStart w:id="3967" w:name="_Toc533750159"/>
      <w:bookmarkStart w:id="3968" w:name="_Toc527131865"/>
      <w:bookmarkStart w:id="3969" w:name="_Toc527132936"/>
      <w:bookmarkStart w:id="3970" w:name="_Toc527963458"/>
      <w:bookmarkStart w:id="3971" w:name="_Toc527965050"/>
      <w:bookmarkStart w:id="3972" w:name="_Toc532300851"/>
      <w:bookmarkStart w:id="3973" w:name="_Toc533586987"/>
      <w:bookmarkStart w:id="3974" w:name="_Toc533750160"/>
      <w:bookmarkStart w:id="3975" w:name="_Toc527131866"/>
      <w:bookmarkStart w:id="3976" w:name="_Toc527132937"/>
      <w:bookmarkStart w:id="3977" w:name="_Toc527963459"/>
      <w:bookmarkStart w:id="3978" w:name="_Toc527965051"/>
      <w:bookmarkStart w:id="3979" w:name="_Toc532300852"/>
      <w:bookmarkStart w:id="3980" w:name="_Toc533586988"/>
      <w:bookmarkStart w:id="3981" w:name="_Toc533750161"/>
      <w:bookmarkStart w:id="3982" w:name="_Toc527131919"/>
      <w:bookmarkStart w:id="3983" w:name="_Toc527132990"/>
      <w:bookmarkStart w:id="3984" w:name="_Toc527963512"/>
      <w:bookmarkStart w:id="3985" w:name="_Toc527965104"/>
      <w:bookmarkStart w:id="3986" w:name="_Toc532300905"/>
      <w:bookmarkStart w:id="3987" w:name="_Toc533587041"/>
      <w:bookmarkStart w:id="3988" w:name="_Toc533750214"/>
      <w:bookmarkStart w:id="3989" w:name="_Toc527131920"/>
      <w:bookmarkStart w:id="3990" w:name="_Toc527132991"/>
      <w:bookmarkStart w:id="3991" w:name="_Toc527963513"/>
      <w:bookmarkStart w:id="3992" w:name="_Toc527965105"/>
      <w:bookmarkStart w:id="3993" w:name="_Toc532300906"/>
      <w:bookmarkStart w:id="3994" w:name="_Toc533587042"/>
      <w:bookmarkStart w:id="3995" w:name="_Toc533750215"/>
      <w:bookmarkStart w:id="3996" w:name="_Toc527131921"/>
      <w:bookmarkStart w:id="3997" w:name="_Toc527132992"/>
      <w:bookmarkStart w:id="3998" w:name="_Toc527963514"/>
      <w:bookmarkStart w:id="3999" w:name="_Toc527965106"/>
      <w:bookmarkStart w:id="4000" w:name="_Toc532300907"/>
      <w:bookmarkStart w:id="4001" w:name="_Toc533587043"/>
      <w:bookmarkStart w:id="4002" w:name="_Toc533750216"/>
      <w:bookmarkStart w:id="4003" w:name="_Toc527131922"/>
      <w:bookmarkStart w:id="4004" w:name="_Toc527132993"/>
      <w:bookmarkStart w:id="4005" w:name="_Toc527963515"/>
      <w:bookmarkStart w:id="4006" w:name="_Toc527965107"/>
      <w:bookmarkStart w:id="4007" w:name="_Toc532300908"/>
      <w:bookmarkStart w:id="4008" w:name="_Toc533587044"/>
      <w:bookmarkStart w:id="4009" w:name="_Toc533750217"/>
      <w:bookmarkStart w:id="4010" w:name="_Toc527131923"/>
      <w:bookmarkStart w:id="4011" w:name="_Toc527132994"/>
      <w:bookmarkStart w:id="4012" w:name="_Toc527963516"/>
      <w:bookmarkStart w:id="4013" w:name="_Toc527965108"/>
      <w:bookmarkStart w:id="4014" w:name="_Toc532300909"/>
      <w:bookmarkStart w:id="4015" w:name="_Toc533587045"/>
      <w:bookmarkStart w:id="4016" w:name="_Toc533750218"/>
      <w:bookmarkStart w:id="4017" w:name="_Toc527131924"/>
      <w:bookmarkStart w:id="4018" w:name="_Toc527132995"/>
      <w:bookmarkStart w:id="4019" w:name="_Toc527963517"/>
      <w:bookmarkStart w:id="4020" w:name="_Toc527965109"/>
      <w:bookmarkStart w:id="4021" w:name="_Toc532300910"/>
      <w:bookmarkStart w:id="4022" w:name="_Toc533587046"/>
      <w:bookmarkStart w:id="4023" w:name="_Toc533750219"/>
      <w:bookmarkStart w:id="4024" w:name="_Toc527131925"/>
      <w:bookmarkStart w:id="4025" w:name="_Toc527132996"/>
      <w:bookmarkStart w:id="4026" w:name="_Toc527963518"/>
      <w:bookmarkStart w:id="4027" w:name="_Toc527965110"/>
      <w:bookmarkStart w:id="4028" w:name="_Toc532300911"/>
      <w:bookmarkStart w:id="4029" w:name="_Toc533587047"/>
      <w:bookmarkStart w:id="4030" w:name="_Toc533750220"/>
      <w:bookmarkStart w:id="4031" w:name="_Toc527131926"/>
      <w:bookmarkStart w:id="4032" w:name="_Toc527132997"/>
      <w:bookmarkStart w:id="4033" w:name="_Toc527963519"/>
      <w:bookmarkStart w:id="4034" w:name="_Toc527965111"/>
      <w:bookmarkStart w:id="4035" w:name="_Toc532300912"/>
      <w:bookmarkStart w:id="4036" w:name="_Toc533587048"/>
      <w:bookmarkStart w:id="4037" w:name="_Toc533750221"/>
      <w:bookmarkStart w:id="4038" w:name="_Toc527131927"/>
      <w:bookmarkStart w:id="4039" w:name="_Toc527132998"/>
      <w:bookmarkStart w:id="4040" w:name="_Toc527963520"/>
      <w:bookmarkStart w:id="4041" w:name="_Toc527965112"/>
      <w:bookmarkStart w:id="4042" w:name="_Toc532300913"/>
      <w:bookmarkStart w:id="4043" w:name="_Toc533587049"/>
      <w:bookmarkStart w:id="4044" w:name="_Toc533750222"/>
      <w:bookmarkStart w:id="4045" w:name="_Toc527131928"/>
      <w:bookmarkStart w:id="4046" w:name="_Toc527132999"/>
      <w:bookmarkStart w:id="4047" w:name="_Toc527963521"/>
      <w:bookmarkStart w:id="4048" w:name="_Toc527965113"/>
      <w:bookmarkStart w:id="4049" w:name="_Toc532300914"/>
      <w:bookmarkStart w:id="4050" w:name="_Toc533587050"/>
      <w:bookmarkStart w:id="4051" w:name="_Toc533750223"/>
      <w:bookmarkStart w:id="4052" w:name="_Toc527131929"/>
      <w:bookmarkStart w:id="4053" w:name="_Toc527133000"/>
      <w:bookmarkStart w:id="4054" w:name="_Toc527963522"/>
      <w:bookmarkStart w:id="4055" w:name="_Toc527965114"/>
      <w:bookmarkStart w:id="4056" w:name="_Toc532300915"/>
      <w:bookmarkStart w:id="4057" w:name="_Toc533587051"/>
      <w:bookmarkStart w:id="4058" w:name="_Toc533750224"/>
      <w:bookmarkStart w:id="4059" w:name="_Toc527131930"/>
      <w:bookmarkStart w:id="4060" w:name="_Toc527133001"/>
      <w:bookmarkStart w:id="4061" w:name="_Toc527963523"/>
      <w:bookmarkStart w:id="4062" w:name="_Toc527965115"/>
      <w:bookmarkStart w:id="4063" w:name="_Toc532300916"/>
      <w:bookmarkStart w:id="4064" w:name="_Toc533587052"/>
      <w:bookmarkStart w:id="4065" w:name="_Toc533750225"/>
      <w:bookmarkStart w:id="4066" w:name="_Toc527131931"/>
      <w:bookmarkStart w:id="4067" w:name="_Toc527133002"/>
      <w:bookmarkStart w:id="4068" w:name="_Toc527963524"/>
      <w:bookmarkStart w:id="4069" w:name="_Toc527965116"/>
      <w:bookmarkStart w:id="4070" w:name="_Toc532300917"/>
      <w:bookmarkStart w:id="4071" w:name="_Toc533587053"/>
      <w:bookmarkStart w:id="4072" w:name="_Toc533750226"/>
      <w:bookmarkStart w:id="4073" w:name="_Toc527131932"/>
      <w:bookmarkStart w:id="4074" w:name="_Toc527133003"/>
      <w:bookmarkStart w:id="4075" w:name="_Toc527963525"/>
      <w:bookmarkStart w:id="4076" w:name="_Toc527965117"/>
      <w:bookmarkStart w:id="4077" w:name="_Toc532300918"/>
      <w:bookmarkStart w:id="4078" w:name="_Toc533587054"/>
      <w:bookmarkStart w:id="4079" w:name="_Toc533750227"/>
      <w:bookmarkStart w:id="4080" w:name="_Toc527131933"/>
      <w:bookmarkStart w:id="4081" w:name="_Toc527133004"/>
      <w:bookmarkStart w:id="4082" w:name="_Toc527963526"/>
      <w:bookmarkStart w:id="4083" w:name="_Toc527965118"/>
      <w:bookmarkStart w:id="4084" w:name="_Toc532300919"/>
      <w:bookmarkStart w:id="4085" w:name="_Toc533587055"/>
      <w:bookmarkStart w:id="4086" w:name="_Toc533750228"/>
      <w:bookmarkStart w:id="4087" w:name="_Toc527131934"/>
      <w:bookmarkStart w:id="4088" w:name="_Toc527133005"/>
      <w:bookmarkStart w:id="4089" w:name="_Toc527963527"/>
      <w:bookmarkStart w:id="4090" w:name="_Toc527965119"/>
      <w:bookmarkStart w:id="4091" w:name="_Toc532300920"/>
      <w:bookmarkStart w:id="4092" w:name="_Toc533587056"/>
      <w:bookmarkStart w:id="4093" w:name="_Toc533750229"/>
      <w:bookmarkStart w:id="4094" w:name="_Toc527131935"/>
      <w:bookmarkStart w:id="4095" w:name="_Toc527133006"/>
      <w:bookmarkStart w:id="4096" w:name="_Toc527963528"/>
      <w:bookmarkStart w:id="4097" w:name="_Toc527965120"/>
      <w:bookmarkStart w:id="4098" w:name="_Toc532300921"/>
      <w:bookmarkStart w:id="4099" w:name="_Toc533587057"/>
      <w:bookmarkStart w:id="4100" w:name="_Toc533750230"/>
      <w:bookmarkStart w:id="4101" w:name="_Toc527131936"/>
      <w:bookmarkStart w:id="4102" w:name="_Toc527133007"/>
      <w:bookmarkStart w:id="4103" w:name="_Toc527963529"/>
      <w:bookmarkStart w:id="4104" w:name="_Toc527965121"/>
      <w:bookmarkStart w:id="4105" w:name="_Toc532300922"/>
      <w:bookmarkStart w:id="4106" w:name="_Toc533587058"/>
      <w:bookmarkStart w:id="4107" w:name="_Toc533750231"/>
      <w:bookmarkStart w:id="4108" w:name="_Toc527131937"/>
      <w:bookmarkStart w:id="4109" w:name="_Toc527133008"/>
      <w:bookmarkStart w:id="4110" w:name="_Toc527963530"/>
      <w:bookmarkStart w:id="4111" w:name="_Toc527965122"/>
      <w:bookmarkStart w:id="4112" w:name="_Toc532300923"/>
      <w:bookmarkStart w:id="4113" w:name="_Toc533587059"/>
      <w:bookmarkStart w:id="4114" w:name="_Toc533750232"/>
      <w:bookmarkStart w:id="4115" w:name="_Toc527131938"/>
      <w:bookmarkStart w:id="4116" w:name="_Toc527133009"/>
      <w:bookmarkStart w:id="4117" w:name="_Toc527963531"/>
      <w:bookmarkStart w:id="4118" w:name="_Toc527965123"/>
      <w:bookmarkStart w:id="4119" w:name="_Toc532300924"/>
      <w:bookmarkStart w:id="4120" w:name="_Toc533587060"/>
      <w:bookmarkStart w:id="4121" w:name="_Toc533750233"/>
      <w:bookmarkStart w:id="4122" w:name="_Toc527131939"/>
      <w:bookmarkStart w:id="4123" w:name="_Toc527133010"/>
      <w:bookmarkStart w:id="4124" w:name="_Toc527963532"/>
      <w:bookmarkStart w:id="4125" w:name="_Toc527965124"/>
      <w:bookmarkStart w:id="4126" w:name="_Toc532300925"/>
      <w:bookmarkStart w:id="4127" w:name="_Toc533587061"/>
      <w:bookmarkStart w:id="4128" w:name="_Toc533750234"/>
      <w:bookmarkStart w:id="4129" w:name="_Toc454382581"/>
      <w:bookmarkStart w:id="4130" w:name="_Toc454391565"/>
      <w:bookmarkStart w:id="4131" w:name="_Toc454399500"/>
      <w:bookmarkStart w:id="4132" w:name="_Toc454459276"/>
      <w:bookmarkStart w:id="4133" w:name="_Toc454464999"/>
      <w:bookmarkStart w:id="4134" w:name="_Toc454780376"/>
      <w:bookmarkStart w:id="4135" w:name="_Toc455153018"/>
      <w:bookmarkStart w:id="4136" w:name="_Toc455156746"/>
      <w:bookmarkStart w:id="4137" w:name="_Toc455164197"/>
      <w:bookmarkStart w:id="4138" w:name="_Toc455167922"/>
      <w:bookmarkStart w:id="4139" w:name="_Toc454382582"/>
      <w:bookmarkStart w:id="4140" w:name="_Toc454391566"/>
      <w:bookmarkStart w:id="4141" w:name="_Toc454399501"/>
      <w:bookmarkStart w:id="4142" w:name="_Toc454459277"/>
      <w:bookmarkStart w:id="4143" w:name="_Toc454465000"/>
      <w:bookmarkStart w:id="4144" w:name="_Toc454780377"/>
      <w:bookmarkStart w:id="4145" w:name="_Toc455153019"/>
      <w:bookmarkStart w:id="4146" w:name="_Toc455156747"/>
      <w:bookmarkStart w:id="4147" w:name="_Toc455164198"/>
      <w:bookmarkStart w:id="4148" w:name="_Toc455167923"/>
      <w:bookmarkStart w:id="4149" w:name="_Toc527132036"/>
      <w:bookmarkStart w:id="4150" w:name="_Toc527133107"/>
      <w:bookmarkStart w:id="4151" w:name="_Toc527963629"/>
      <w:bookmarkStart w:id="4152" w:name="_Toc527965221"/>
      <w:bookmarkStart w:id="4153" w:name="_Toc532301022"/>
      <w:bookmarkStart w:id="4154" w:name="_Toc533587158"/>
      <w:bookmarkStart w:id="4155" w:name="_Toc533750331"/>
      <w:bookmarkStart w:id="4156" w:name="_Toc527132037"/>
      <w:bookmarkStart w:id="4157" w:name="_Toc527133108"/>
      <w:bookmarkStart w:id="4158" w:name="_Toc527963630"/>
      <w:bookmarkStart w:id="4159" w:name="_Toc527965222"/>
      <w:bookmarkStart w:id="4160" w:name="_Toc532301023"/>
      <w:bookmarkStart w:id="4161" w:name="_Toc533587159"/>
      <w:bookmarkStart w:id="4162" w:name="_Toc533750332"/>
      <w:bookmarkStart w:id="4163" w:name="_Toc527132091"/>
      <w:bookmarkStart w:id="4164" w:name="_Toc527133162"/>
      <w:bookmarkStart w:id="4165" w:name="_Toc527963684"/>
      <w:bookmarkStart w:id="4166" w:name="_Toc527965276"/>
      <w:bookmarkStart w:id="4167" w:name="_Toc532301077"/>
      <w:bookmarkStart w:id="4168" w:name="_Toc533587213"/>
      <w:bookmarkStart w:id="4169" w:name="_Toc533750386"/>
      <w:bookmarkStart w:id="4170" w:name="_Toc527132092"/>
      <w:bookmarkStart w:id="4171" w:name="_Toc527133163"/>
      <w:bookmarkStart w:id="4172" w:name="_Toc527963685"/>
      <w:bookmarkStart w:id="4173" w:name="_Toc527965277"/>
      <w:bookmarkStart w:id="4174" w:name="_Toc532301078"/>
      <w:bookmarkStart w:id="4175" w:name="_Toc533587214"/>
      <w:bookmarkStart w:id="4176" w:name="_Toc533750387"/>
      <w:bookmarkStart w:id="4177" w:name="_Toc527132093"/>
      <w:bookmarkStart w:id="4178" w:name="_Toc527133164"/>
      <w:bookmarkStart w:id="4179" w:name="_Toc527963686"/>
      <w:bookmarkStart w:id="4180" w:name="_Toc527965278"/>
      <w:bookmarkStart w:id="4181" w:name="_Toc532301079"/>
      <w:bookmarkStart w:id="4182" w:name="_Toc533587215"/>
      <w:bookmarkStart w:id="4183" w:name="_Toc533750388"/>
      <w:bookmarkStart w:id="4184" w:name="_Toc527132094"/>
      <w:bookmarkStart w:id="4185" w:name="_Toc527133165"/>
      <w:bookmarkStart w:id="4186" w:name="_Toc527963687"/>
      <w:bookmarkStart w:id="4187" w:name="_Toc527965279"/>
      <w:bookmarkStart w:id="4188" w:name="_Toc532301080"/>
      <w:bookmarkStart w:id="4189" w:name="_Toc533587216"/>
      <w:bookmarkStart w:id="4190" w:name="_Toc533750389"/>
      <w:bookmarkStart w:id="4191" w:name="_Toc527132095"/>
      <w:bookmarkStart w:id="4192" w:name="_Toc527133166"/>
      <w:bookmarkStart w:id="4193" w:name="_Toc527963688"/>
      <w:bookmarkStart w:id="4194" w:name="_Toc527965280"/>
      <w:bookmarkStart w:id="4195" w:name="_Toc532301081"/>
      <w:bookmarkStart w:id="4196" w:name="_Toc533587217"/>
      <w:bookmarkStart w:id="4197" w:name="_Toc533750390"/>
      <w:bookmarkStart w:id="4198" w:name="_Toc527132096"/>
      <w:bookmarkStart w:id="4199" w:name="_Toc527133167"/>
      <w:bookmarkStart w:id="4200" w:name="_Toc527963689"/>
      <w:bookmarkStart w:id="4201" w:name="_Toc527965281"/>
      <w:bookmarkStart w:id="4202" w:name="_Toc532301082"/>
      <w:bookmarkStart w:id="4203" w:name="_Toc533587218"/>
      <w:bookmarkStart w:id="4204" w:name="_Toc533750391"/>
      <w:bookmarkStart w:id="4205" w:name="_Toc527132097"/>
      <w:bookmarkStart w:id="4206" w:name="_Toc527133168"/>
      <w:bookmarkStart w:id="4207" w:name="_Toc527963690"/>
      <w:bookmarkStart w:id="4208" w:name="_Toc527965282"/>
      <w:bookmarkStart w:id="4209" w:name="_Toc532301083"/>
      <w:bookmarkStart w:id="4210" w:name="_Toc533587219"/>
      <w:bookmarkStart w:id="4211" w:name="_Toc533750392"/>
      <w:bookmarkStart w:id="4212" w:name="_Toc527132098"/>
      <w:bookmarkStart w:id="4213" w:name="_Toc527133169"/>
      <w:bookmarkStart w:id="4214" w:name="_Toc527963691"/>
      <w:bookmarkStart w:id="4215" w:name="_Toc527965283"/>
      <w:bookmarkStart w:id="4216" w:name="_Toc532301084"/>
      <w:bookmarkStart w:id="4217" w:name="_Toc533587220"/>
      <w:bookmarkStart w:id="4218" w:name="_Toc533750393"/>
      <w:bookmarkStart w:id="4219" w:name="_Toc527132099"/>
      <w:bookmarkStart w:id="4220" w:name="_Toc527133170"/>
      <w:bookmarkStart w:id="4221" w:name="_Toc527963692"/>
      <w:bookmarkStart w:id="4222" w:name="_Toc527965284"/>
      <w:bookmarkStart w:id="4223" w:name="_Toc532301085"/>
      <w:bookmarkStart w:id="4224" w:name="_Toc533587221"/>
      <w:bookmarkStart w:id="4225" w:name="_Toc533750394"/>
      <w:bookmarkStart w:id="4226" w:name="_Toc527132100"/>
      <w:bookmarkStart w:id="4227" w:name="_Toc527133171"/>
      <w:bookmarkStart w:id="4228" w:name="_Toc527963693"/>
      <w:bookmarkStart w:id="4229" w:name="_Toc527965285"/>
      <w:bookmarkStart w:id="4230" w:name="_Toc532301086"/>
      <w:bookmarkStart w:id="4231" w:name="_Toc533587222"/>
      <w:bookmarkStart w:id="4232" w:name="_Toc533750395"/>
      <w:bookmarkStart w:id="4233" w:name="_Toc527132101"/>
      <w:bookmarkStart w:id="4234" w:name="_Toc527133172"/>
      <w:bookmarkStart w:id="4235" w:name="_Toc527963694"/>
      <w:bookmarkStart w:id="4236" w:name="_Toc527965286"/>
      <w:bookmarkStart w:id="4237" w:name="_Toc532301087"/>
      <w:bookmarkStart w:id="4238" w:name="_Toc533587223"/>
      <w:bookmarkStart w:id="4239" w:name="_Toc533750396"/>
      <w:bookmarkStart w:id="4240" w:name="_Toc527132102"/>
      <w:bookmarkStart w:id="4241" w:name="_Toc527133173"/>
      <w:bookmarkStart w:id="4242" w:name="_Toc527963695"/>
      <w:bookmarkStart w:id="4243" w:name="_Toc527965287"/>
      <w:bookmarkStart w:id="4244" w:name="_Toc532301088"/>
      <w:bookmarkStart w:id="4245" w:name="_Toc533587224"/>
      <w:bookmarkStart w:id="4246" w:name="_Toc533750397"/>
      <w:bookmarkStart w:id="4247" w:name="_Toc527132103"/>
      <w:bookmarkStart w:id="4248" w:name="_Toc527133174"/>
      <w:bookmarkStart w:id="4249" w:name="_Toc527963696"/>
      <w:bookmarkStart w:id="4250" w:name="_Toc527965288"/>
      <w:bookmarkStart w:id="4251" w:name="_Toc532301089"/>
      <w:bookmarkStart w:id="4252" w:name="_Toc533587225"/>
      <w:bookmarkStart w:id="4253" w:name="_Toc533750398"/>
      <w:bookmarkStart w:id="4254" w:name="_Toc527132104"/>
      <w:bookmarkStart w:id="4255" w:name="_Toc527133175"/>
      <w:bookmarkStart w:id="4256" w:name="_Toc527963697"/>
      <w:bookmarkStart w:id="4257" w:name="_Toc527965289"/>
      <w:bookmarkStart w:id="4258" w:name="_Toc532301090"/>
      <w:bookmarkStart w:id="4259" w:name="_Toc533587226"/>
      <w:bookmarkStart w:id="4260" w:name="_Toc533750399"/>
      <w:bookmarkStart w:id="4261" w:name="_Toc527132105"/>
      <w:bookmarkStart w:id="4262" w:name="_Toc527133176"/>
      <w:bookmarkStart w:id="4263" w:name="_Toc527963698"/>
      <w:bookmarkStart w:id="4264" w:name="_Toc527965290"/>
      <w:bookmarkStart w:id="4265" w:name="_Toc532301091"/>
      <w:bookmarkStart w:id="4266" w:name="_Toc533587227"/>
      <w:bookmarkStart w:id="4267" w:name="_Toc533750400"/>
      <w:bookmarkStart w:id="4268" w:name="_Toc527132106"/>
      <w:bookmarkStart w:id="4269" w:name="_Toc527133177"/>
      <w:bookmarkStart w:id="4270" w:name="_Toc527963699"/>
      <w:bookmarkStart w:id="4271" w:name="_Toc527965291"/>
      <w:bookmarkStart w:id="4272" w:name="_Toc532301092"/>
      <w:bookmarkStart w:id="4273" w:name="_Toc533587228"/>
      <w:bookmarkStart w:id="4274" w:name="_Toc533750401"/>
      <w:bookmarkStart w:id="4275" w:name="_Toc527132107"/>
      <w:bookmarkStart w:id="4276" w:name="_Toc527133178"/>
      <w:bookmarkStart w:id="4277" w:name="_Toc527963700"/>
      <w:bookmarkStart w:id="4278" w:name="_Toc527965292"/>
      <w:bookmarkStart w:id="4279" w:name="_Toc532301093"/>
      <w:bookmarkStart w:id="4280" w:name="_Toc533587229"/>
      <w:bookmarkStart w:id="4281" w:name="_Toc533750402"/>
      <w:bookmarkStart w:id="4282" w:name="_Toc527132108"/>
      <w:bookmarkStart w:id="4283" w:name="_Toc527133179"/>
      <w:bookmarkStart w:id="4284" w:name="_Toc527963701"/>
      <w:bookmarkStart w:id="4285" w:name="_Toc527965293"/>
      <w:bookmarkStart w:id="4286" w:name="_Toc532301094"/>
      <w:bookmarkStart w:id="4287" w:name="_Toc533587230"/>
      <w:bookmarkStart w:id="4288" w:name="_Toc533750403"/>
      <w:bookmarkStart w:id="4289" w:name="_Toc527132109"/>
      <w:bookmarkStart w:id="4290" w:name="_Toc527133180"/>
      <w:bookmarkStart w:id="4291" w:name="_Toc527963702"/>
      <w:bookmarkStart w:id="4292" w:name="_Toc527965294"/>
      <w:bookmarkStart w:id="4293" w:name="_Toc532301095"/>
      <w:bookmarkStart w:id="4294" w:name="_Toc533587231"/>
      <w:bookmarkStart w:id="4295" w:name="_Toc533750404"/>
      <w:bookmarkStart w:id="4296" w:name="_Toc527132110"/>
      <w:bookmarkStart w:id="4297" w:name="_Toc527133181"/>
      <w:bookmarkStart w:id="4298" w:name="_Toc527963703"/>
      <w:bookmarkStart w:id="4299" w:name="_Toc527965295"/>
      <w:bookmarkStart w:id="4300" w:name="_Toc532301096"/>
      <w:bookmarkStart w:id="4301" w:name="_Toc533587232"/>
      <w:bookmarkStart w:id="4302" w:name="_Toc533750405"/>
      <w:bookmarkStart w:id="4303" w:name="_Toc454391570"/>
      <w:bookmarkStart w:id="4304" w:name="_Toc527132111"/>
      <w:bookmarkStart w:id="4305" w:name="_Toc527133182"/>
      <w:bookmarkStart w:id="4306" w:name="_Toc527963704"/>
      <w:bookmarkStart w:id="4307" w:name="_Toc527965296"/>
      <w:bookmarkStart w:id="4308" w:name="_Toc532301097"/>
      <w:bookmarkStart w:id="4309" w:name="_Toc533587233"/>
      <w:bookmarkStart w:id="4310" w:name="_Toc533750406"/>
      <w:bookmarkStart w:id="4311" w:name="_Toc454382584"/>
      <w:bookmarkStart w:id="4312" w:name="_Toc454391572"/>
      <w:bookmarkStart w:id="4313" w:name="_Toc454399503"/>
      <w:bookmarkStart w:id="4314" w:name="_Toc454459279"/>
      <w:bookmarkStart w:id="4315" w:name="_Toc454465002"/>
      <w:bookmarkStart w:id="4316" w:name="_Toc454780379"/>
      <w:bookmarkStart w:id="4317" w:name="_Toc455153021"/>
      <w:bookmarkStart w:id="4318" w:name="_Toc455156749"/>
      <w:bookmarkStart w:id="4319" w:name="_Toc455164200"/>
      <w:bookmarkStart w:id="4320" w:name="_Toc455167925"/>
      <w:bookmarkStart w:id="4321" w:name="_Toc454382585"/>
      <w:bookmarkStart w:id="4322" w:name="_Toc454391573"/>
      <w:bookmarkStart w:id="4323" w:name="_Toc454399504"/>
      <w:bookmarkStart w:id="4324" w:name="_Toc454459280"/>
      <w:bookmarkStart w:id="4325" w:name="_Toc454465003"/>
      <w:bookmarkStart w:id="4326" w:name="_Toc454780380"/>
      <w:bookmarkStart w:id="4327" w:name="_Toc455153022"/>
      <w:bookmarkStart w:id="4328" w:name="_Toc455156750"/>
      <w:bookmarkStart w:id="4329" w:name="_Toc455164201"/>
      <w:bookmarkStart w:id="4330" w:name="_Toc455167926"/>
      <w:bookmarkStart w:id="4331" w:name="_Toc454391574"/>
      <w:bookmarkStart w:id="4332" w:name="_Toc91455341"/>
      <w:bookmarkStart w:id="4333" w:name="_Toc101684514"/>
      <w:bookmarkEnd w:id="2936"/>
      <w:bookmarkEnd w:id="2937"/>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r>
        <w:rPr>
          <w:rFonts w:ascii="Times New Roman" w:hAnsi="Times New Roman" w:hint="eastAsia"/>
        </w:rPr>
        <w:t>机构外币现钞存取数据</w:t>
      </w:r>
      <w:bookmarkEnd w:id="4331"/>
      <w:bookmarkEnd w:id="4332"/>
      <w:bookmarkEnd w:id="4333"/>
    </w:p>
    <w:p w14:paraId="733BA24D" w14:textId="77777777" w:rsidR="00A052DC" w:rsidRDefault="009F0A60" w:rsidP="0020251D">
      <w:pPr>
        <w:pStyle w:val="3"/>
        <w:ind w:left="0"/>
        <w:rPr>
          <w:rFonts w:ascii="Times New Roman" w:hAnsi="Times New Roman"/>
        </w:rPr>
      </w:pPr>
      <w:bookmarkStart w:id="4334" w:name="_Toc91455342"/>
      <w:bookmarkStart w:id="4335" w:name="_Toc454391575"/>
      <w:bookmarkStart w:id="4336" w:name="_Toc101684515"/>
      <w:r>
        <w:rPr>
          <w:rFonts w:ascii="Times New Roman" w:hAnsi="Times New Roman" w:hint="eastAsia"/>
        </w:rPr>
        <w:t>机构外币现钞存入数据表</w:t>
      </w:r>
      <w:bookmarkEnd w:id="4334"/>
      <w:bookmarkEnd w:id="4335"/>
      <w:bookmarkEnd w:id="4336"/>
    </w:p>
    <w:p w14:paraId="51CE5171" w14:textId="77777777" w:rsidR="00A052DC" w:rsidRDefault="009F0A60" w:rsidP="0020251D">
      <w:pPr>
        <w:pStyle w:val="4"/>
        <w:numPr>
          <w:ilvl w:val="3"/>
          <w:numId w:val="1"/>
        </w:numPr>
        <w:jc w:val="left"/>
      </w:pPr>
      <w:bookmarkStart w:id="4337" w:name="_Toc454391576"/>
      <w:r>
        <w:rPr>
          <w:rFonts w:hint="eastAsia"/>
        </w:rPr>
        <w:t>数据术语解释</w:t>
      </w:r>
      <w:bookmarkEnd w:id="4337"/>
    </w:p>
    <w:tbl>
      <w:tblPr>
        <w:tblW w:w="8530" w:type="dxa"/>
        <w:jc w:val="center"/>
        <w:tblLook w:val="04A0" w:firstRow="1" w:lastRow="0" w:firstColumn="1" w:lastColumn="0" w:noHBand="0" w:noVBand="1"/>
      </w:tblPr>
      <w:tblGrid>
        <w:gridCol w:w="1955"/>
        <w:gridCol w:w="6575"/>
      </w:tblGrid>
      <w:tr w:rsidR="00A052DC" w14:paraId="104F6FAE" w14:textId="77777777">
        <w:trPr>
          <w:trHeight w:val="20"/>
          <w:jc w:val="center"/>
        </w:trPr>
        <w:tc>
          <w:tcPr>
            <w:tcW w:w="1955" w:type="dxa"/>
            <w:tcBorders>
              <w:top w:val="single" w:sz="4" w:space="0" w:color="auto"/>
              <w:left w:val="single" w:sz="4" w:space="0" w:color="auto"/>
              <w:bottom w:val="single" w:sz="4" w:space="0" w:color="auto"/>
              <w:right w:val="single" w:sz="4" w:space="0" w:color="auto"/>
            </w:tcBorders>
            <w:shd w:val="clear" w:color="000000" w:fill="BFBFBF"/>
            <w:vAlign w:val="center"/>
          </w:tcPr>
          <w:p w14:paraId="7317446C" w14:textId="77777777" w:rsidR="00A052DC" w:rsidRDefault="009F0A60">
            <w:pPr>
              <w:pStyle w:val="B1"/>
            </w:pPr>
            <w:r>
              <w:rPr>
                <w:rFonts w:hint="eastAsia"/>
              </w:rPr>
              <w:t>基础数据项</w:t>
            </w:r>
          </w:p>
        </w:tc>
        <w:tc>
          <w:tcPr>
            <w:tcW w:w="6575" w:type="dxa"/>
            <w:tcBorders>
              <w:top w:val="single" w:sz="4" w:space="0" w:color="auto"/>
              <w:left w:val="nil"/>
              <w:bottom w:val="single" w:sz="4" w:space="0" w:color="auto"/>
              <w:right w:val="single" w:sz="4" w:space="0" w:color="auto"/>
            </w:tcBorders>
            <w:shd w:val="clear" w:color="000000" w:fill="BFBFBF"/>
            <w:vAlign w:val="center"/>
          </w:tcPr>
          <w:p w14:paraId="5EA8E469" w14:textId="77777777" w:rsidR="00A052DC" w:rsidRDefault="009F0A60">
            <w:pPr>
              <w:pStyle w:val="B1"/>
            </w:pPr>
            <w:r>
              <w:rPr>
                <w:rFonts w:hint="eastAsia"/>
              </w:rPr>
              <w:t>定义</w:t>
            </w:r>
          </w:p>
        </w:tc>
      </w:tr>
      <w:tr w:rsidR="00A052DC" w14:paraId="3A0E297A" w14:textId="77777777">
        <w:trPr>
          <w:trHeight w:val="20"/>
          <w:jc w:val="center"/>
        </w:trPr>
        <w:tc>
          <w:tcPr>
            <w:tcW w:w="1955" w:type="dxa"/>
            <w:tcBorders>
              <w:top w:val="single" w:sz="4" w:space="0" w:color="auto"/>
              <w:left w:val="single" w:sz="4" w:space="0" w:color="auto"/>
              <w:bottom w:val="single" w:sz="4" w:space="0" w:color="auto"/>
              <w:right w:val="single" w:sz="4" w:space="0" w:color="auto"/>
            </w:tcBorders>
            <w:shd w:val="clear" w:color="000000" w:fill="auto"/>
          </w:tcPr>
          <w:p w14:paraId="527C3064"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申报号码</w:t>
            </w:r>
          </w:p>
        </w:tc>
        <w:tc>
          <w:tcPr>
            <w:tcW w:w="6575" w:type="dxa"/>
            <w:tcBorders>
              <w:top w:val="single" w:sz="4" w:space="0" w:color="auto"/>
              <w:left w:val="nil"/>
              <w:bottom w:val="single" w:sz="4" w:space="0" w:color="auto"/>
              <w:right w:val="single" w:sz="4" w:space="0" w:color="auto"/>
            </w:tcBorders>
            <w:shd w:val="clear" w:color="000000" w:fill="auto"/>
          </w:tcPr>
          <w:p w14:paraId="01593F6E"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指由境内银行按国家外汇管理局要求编制的号码，共计26位。开户行/经办行12位金融机构标识码+6位交易日期（YYMMDD）+1位业务代码（C存,Q取）+7位流水号。</w:t>
            </w:r>
          </w:p>
          <w:p w14:paraId="57E2FCEE"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通过账户办理的外币现钞存入业务填写开户行的金融机构标识码，不通过账户办理的外币现钞存入业务填写经办行的金融机构标识码。</w:t>
            </w:r>
          </w:p>
        </w:tc>
      </w:tr>
      <w:tr w:rsidR="00A052DC" w14:paraId="3CE54281" w14:textId="77777777">
        <w:trPr>
          <w:trHeight w:val="20"/>
          <w:jc w:val="center"/>
        </w:trPr>
        <w:tc>
          <w:tcPr>
            <w:tcW w:w="1955" w:type="dxa"/>
            <w:tcBorders>
              <w:top w:val="nil"/>
              <w:left w:val="single" w:sz="4" w:space="0" w:color="auto"/>
              <w:bottom w:val="single" w:sz="4" w:space="0" w:color="auto"/>
              <w:right w:val="single" w:sz="4" w:space="0" w:color="auto"/>
            </w:tcBorders>
            <w:shd w:val="clear" w:color="auto" w:fill="auto"/>
            <w:vAlign w:val="center"/>
          </w:tcPr>
          <w:p w14:paraId="4C5A0BA8"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银行业务编号</w:t>
            </w:r>
          </w:p>
        </w:tc>
        <w:tc>
          <w:tcPr>
            <w:tcW w:w="6575" w:type="dxa"/>
            <w:tcBorders>
              <w:top w:val="nil"/>
              <w:left w:val="nil"/>
              <w:bottom w:val="single" w:sz="4" w:space="0" w:color="auto"/>
              <w:right w:val="single" w:sz="4" w:space="0" w:color="auto"/>
            </w:tcBorders>
            <w:shd w:val="clear" w:color="auto" w:fill="auto"/>
            <w:vAlign w:val="center"/>
          </w:tcPr>
          <w:p w14:paraId="357DF9CF"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指该业务在银行的业务编号。</w:t>
            </w:r>
          </w:p>
        </w:tc>
      </w:tr>
      <w:tr w:rsidR="00A052DC" w14:paraId="68CC6059" w14:textId="77777777">
        <w:trPr>
          <w:trHeight w:val="20"/>
          <w:jc w:val="center"/>
        </w:trPr>
        <w:tc>
          <w:tcPr>
            <w:tcW w:w="1955" w:type="dxa"/>
            <w:tcBorders>
              <w:top w:val="nil"/>
              <w:left w:val="single" w:sz="4" w:space="0" w:color="auto"/>
              <w:bottom w:val="single" w:sz="4" w:space="0" w:color="auto"/>
              <w:right w:val="single" w:sz="4" w:space="0" w:color="auto"/>
            </w:tcBorders>
            <w:shd w:val="clear" w:color="auto" w:fill="auto"/>
            <w:vAlign w:val="center"/>
          </w:tcPr>
          <w:p w14:paraId="42353391"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机构代码</w:t>
            </w:r>
          </w:p>
        </w:tc>
        <w:tc>
          <w:tcPr>
            <w:tcW w:w="6575" w:type="dxa"/>
            <w:tcBorders>
              <w:top w:val="nil"/>
              <w:left w:val="nil"/>
              <w:bottom w:val="single" w:sz="4" w:space="0" w:color="auto"/>
              <w:right w:val="single" w:sz="4" w:space="0" w:color="auto"/>
            </w:tcBorders>
            <w:shd w:val="clear" w:color="auto" w:fill="auto"/>
            <w:vAlign w:val="center"/>
          </w:tcPr>
          <w:p w14:paraId="0E082050"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指统一社会信用代码法定载体（如营业执照）上统一社会信用代码中的第9至17位或国家外汇管理局</w:t>
            </w:r>
            <w:r>
              <w:rPr>
                <w:rFonts w:ascii="黑体" w:eastAsia="黑体" w:hAnsi="黑体" w:hint="eastAsia"/>
                <w:sz w:val="20"/>
                <w:szCs w:val="20"/>
              </w:rPr>
              <w:t>及其分支局</w:t>
            </w:r>
            <w:r>
              <w:rPr>
                <w:rFonts w:ascii="黑体" w:eastAsia="黑体" w:hAnsi="黑体" w:cs="宋体" w:hint="eastAsia"/>
                <w:color w:val="000000"/>
                <w:kern w:val="0"/>
                <w:sz w:val="20"/>
                <w:szCs w:val="20"/>
              </w:rPr>
              <w:t>签发的特殊机构代码赋码通知书上的机构代码。</w:t>
            </w:r>
          </w:p>
        </w:tc>
      </w:tr>
      <w:tr w:rsidR="00A052DC" w14:paraId="12BAB915" w14:textId="77777777">
        <w:trPr>
          <w:trHeight w:val="20"/>
          <w:jc w:val="center"/>
        </w:trPr>
        <w:tc>
          <w:tcPr>
            <w:tcW w:w="1955" w:type="dxa"/>
            <w:tcBorders>
              <w:top w:val="nil"/>
              <w:left w:val="single" w:sz="4" w:space="0" w:color="auto"/>
              <w:bottom w:val="single" w:sz="4" w:space="0" w:color="auto"/>
              <w:right w:val="single" w:sz="4" w:space="0" w:color="auto"/>
            </w:tcBorders>
            <w:shd w:val="clear" w:color="auto" w:fill="auto"/>
            <w:vAlign w:val="center"/>
          </w:tcPr>
          <w:p w14:paraId="03991485"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机构名称</w:t>
            </w:r>
          </w:p>
        </w:tc>
        <w:tc>
          <w:tcPr>
            <w:tcW w:w="6575" w:type="dxa"/>
            <w:tcBorders>
              <w:top w:val="nil"/>
              <w:left w:val="nil"/>
              <w:bottom w:val="single" w:sz="4" w:space="0" w:color="auto"/>
              <w:right w:val="single" w:sz="4" w:space="0" w:color="auto"/>
            </w:tcBorders>
            <w:shd w:val="clear" w:color="auto" w:fill="auto"/>
            <w:vAlign w:val="center"/>
          </w:tcPr>
          <w:p w14:paraId="22B4F228"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指营业执照、或国家外汇管理局</w:t>
            </w:r>
            <w:r>
              <w:rPr>
                <w:rFonts w:ascii="黑体" w:eastAsia="黑体" w:hAnsi="黑体" w:hint="eastAsia"/>
                <w:sz w:val="20"/>
                <w:szCs w:val="20"/>
              </w:rPr>
              <w:t>及其分支局</w:t>
            </w:r>
            <w:r>
              <w:rPr>
                <w:rFonts w:ascii="黑体" w:eastAsia="黑体" w:hAnsi="黑体" w:cs="宋体" w:hint="eastAsia"/>
                <w:color w:val="000000"/>
                <w:kern w:val="0"/>
                <w:sz w:val="20"/>
                <w:szCs w:val="20"/>
              </w:rPr>
              <w:t>签发的特殊机构代码赋码通知书上的名称。</w:t>
            </w:r>
          </w:p>
        </w:tc>
      </w:tr>
      <w:tr w:rsidR="00A052DC" w14:paraId="2B036650" w14:textId="77777777">
        <w:trPr>
          <w:trHeight w:val="20"/>
          <w:jc w:val="center"/>
        </w:trPr>
        <w:tc>
          <w:tcPr>
            <w:tcW w:w="1955" w:type="dxa"/>
            <w:tcBorders>
              <w:top w:val="nil"/>
              <w:left w:val="single" w:sz="4" w:space="0" w:color="auto"/>
              <w:bottom w:val="single" w:sz="4" w:space="0" w:color="auto"/>
              <w:right w:val="single" w:sz="4" w:space="0" w:color="auto"/>
            </w:tcBorders>
            <w:shd w:val="clear" w:color="auto" w:fill="auto"/>
            <w:vAlign w:val="center"/>
          </w:tcPr>
          <w:p w14:paraId="205B1839"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交易时间</w:t>
            </w:r>
          </w:p>
        </w:tc>
        <w:tc>
          <w:tcPr>
            <w:tcW w:w="6575" w:type="dxa"/>
            <w:tcBorders>
              <w:top w:val="single" w:sz="4" w:space="0" w:color="auto"/>
              <w:left w:val="nil"/>
              <w:bottom w:val="single" w:sz="4" w:space="0" w:color="auto"/>
              <w:right w:val="single" w:sz="4" w:space="0" w:color="auto"/>
            </w:tcBorders>
            <w:shd w:val="clear" w:color="auto" w:fill="auto"/>
            <w:noWrap/>
            <w:vAlign w:val="center"/>
          </w:tcPr>
          <w:p w14:paraId="61BD0205"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业务办理日期和时间。</w:t>
            </w:r>
          </w:p>
        </w:tc>
      </w:tr>
      <w:tr w:rsidR="00A052DC" w14:paraId="4F4B205F" w14:textId="77777777">
        <w:trPr>
          <w:trHeight w:val="20"/>
          <w:jc w:val="center"/>
        </w:trPr>
        <w:tc>
          <w:tcPr>
            <w:tcW w:w="1955" w:type="dxa"/>
            <w:tcBorders>
              <w:top w:val="nil"/>
              <w:left w:val="single" w:sz="4" w:space="0" w:color="auto"/>
              <w:bottom w:val="single" w:sz="4" w:space="0" w:color="auto"/>
              <w:right w:val="single" w:sz="4" w:space="0" w:color="auto"/>
            </w:tcBorders>
            <w:shd w:val="clear" w:color="auto" w:fill="auto"/>
            <w:vAlign w:val="center"/>
          </w:tcPr>
          <w:p w14:paraId="3C78E580"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现钞收入币种</w:t>
            </w:r>
          </w:p>
        </w:tc>
        <w:tc>
          <w:tcPr>
            <w:tcW w:w="6575" w:type="dxa"/>
            <w:tcBorders>
              <w:top w:val="single" w:sz="4" w:space="0" w:color="auto"/>
              <w:left w:val="nil"/>
              <w:bottom w:val="single" w:sz="4" w:space="0" w:color="auto"/>
              <w:right w:val="single" w:sz="4" w:space="0" w:color="auto"/>
            </w:tcBorders>
            <w:shd w:val="clear" w:color="auto" w:fill="auto"/>
            <w:vAlign w:val="center"/>
          </w:tcPr>
          <w:p w14:paraId="0509428F"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机构外币现钞收入币种。</w:t>
            </w:r>
          </w:p>
        </w:tc>
      </w:tr>
      <w:tr w:rsidR="00A052DC" w14:paraId="20959A1D" w14:textId="77777777">
        <w:trPr>
          <w:trHeight w:val="20"/>
          <w:jc w:val="center"/>
        </w:trPr>
        <w:tc>
          <w:tcPr>
            <w:tcW w:w="1955" w:type="dxa"/>
            <w:tcBorders>
              <w:top w:val="nil"/>
              <w:left w:val="single" w:sz="4" w:space="0" w:color="auto"/>
              <w:bottom w:val="single" w:sz="4" w:space="0" w:color="auto"/>
              <w:right w:val="single" w:sz="4" w:space="0" w:color="auto"/>
            </w:tcBorders>
            <w:shd w:val="clear" w:color="auto" w:fill="auto"/>
            <w:vAlign w:val="center"/>
          </w:tcPr>
          <w:p w14:paraId="1025ADBD"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现钞收入金额</w:t>
            </w:r>
          </w:p>
        </w:tc>
        <w:tc>
          <w:tcPr>
            <w:tcW w:w="6575" w:type="dxa"/>
            <w:tcBorders>
              <w:top w:val="nil"/>
              <w:left w:val="nil"/>
              <w:bottom w:val="single" w:sz="4" w:space="0" w:color="auto"/>
              <w:right w:val="single" w:sz="4" w:space="0" w:color="auto"/>
            </w:tcBorders>
            <w:shd w:val="clear" w:color="auto" w:fill="auto"/>
            <w:vAlign w:val="center"/>
          </w:tcPr>
          <w:p w14:paraId="1086DB3E"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机构外币现钞收入金额，包括机构现钞结汇和机构现钞存入账户。</w:t>
            </w:r>
          </w:p>
        </w:tc>
      </w:tr>
      <w:tr w:rsidR="00A052DC" w14:paraId="476BD016" w14:textId="77777777">
        <w:trPr>
          <w:trHeight w:val="20"/>
          <w:jc w:val="center"/>
        </w:trPr>
        <w:tc>
          <w:tcPr>
            <w:tcW w:w="1955" w:type="dxa"/>
            <w:tcBorders>
              <w:top w:val="nil"/>
              <w:left w:val="single" w:sz="4" w:space="0" w:color="auto"/>
              <w:bottom w:val="single" w:sz="4" w:space="0" w:color="auto"/>
              <w:right w:val="single" w:sz="4" w:space="0" w:color="auto"/>
            </w:tcBorders>
            <w:shd w:val="clear" w:color="auto" w:fill="auto"/>
            <w:vAlign w:val="center"/>
          </w:tcPr>
          <w:p w14:paraId="2646140B"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现钞收入折美元金额</w:t>
            </w:r>
          </w:p>
        </w:tc>
        <w:tc>
          <w:tcPr>
            <w:tcW w:w="6575" w:type="dxa"/>
            <w:tcBorders>
              <w:top w:val="nil"/>
              <w:left w:val="nil"/>
              <w:bottom w:val="single" w:sz="4" w:space="0" w:color="auto"/>
              <w:right w:val="single" w:sz="4" w:space="0" w:color="auto"/>
            </w:tcBorders>
            <w:shd w:val="clear" w:color="auto" w:fill="auto"/>
            <w:vAlign w:val="center"/>
          </w:tcPr>
          <w:p w14:paraId="697BA4BD"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机构外币现钞收入金额折美元，包括机构现钞结汇和机构现钞存入账户。机构现钞折美元金额应等于结汇金额折美元与存汇金额折美元之和。</w:t>
            </w:r>
          </w:p>
        </w:tc>
      </w:tr>
      <w:tr w:rsidR="00A052DC" w14:paraId="412D2847" w14:textId="77777777">
        <w:trPr>
          <w:trHeight w:val="20"/>
          <w:jc w:val="center"/>
        </w:trPr>
        <w:tc>
          <w:tcPr>
            <w:tcW w:w="1955" w:type="dxa"/>
            <w:tcBorders>
              <w:top w:val="nil"/>
              <w:left w:val="single" w:sz="4" w:space="0" w:color="auto"/>
              <w:bottom w:val="single" w:sz="4" w:space="0" w:color="auto"/>
              <w:right w:val="single" w:sz="4" w:space="0" w:color="auto"/>
            </w:tcBorders>
            <w:shd w:val="clear" w:color="auto" w:fill="auto"/>
            <w:vAlign w:val="center"/>
          </w:tcPr>
          <w:p w14:paraId="0E1AA547"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结汇金额</w:t>
            </w:r>
          </w:p>
        </w:tc>
        <w:tc>
          <w:tcPr>
            <w:tcW w:w="6575" w:type="dxa"/>
            <w:tcBorders>
              <w:top w:val="nil"/>
              <w:left w:val="nil"/>
              <w:bottom w:val="single" w:sz="4" w:space="0" w:color="auto"/>
              <w:right w:val="single" w:sz="4" w:space="0" w:color="auto"/>
            </w:tcBorders>
            <w:shd w:val="clear" w:color="auto" w:fill="auto"/>
            <w:vAlign w:val="center"/>
          </w:tcPr>
          <w:p w14:paraId="2F433AA2"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机构现钞结汇金额。</w:t>
            </w:r>
          </w:p>
        </w:tc>
      </w:tr>
      <w:tr w:rsidR="00A052DC" w14:paraId="351CF506" w14:textId="77777777">
        <w:trPr>
          <w:trHeight w:val="20"/>
          <w:jc w:val="center"/>
        </w:trPr>
        <w:tc>
          <w:tcPr>
            <w:tcW w:w="1955" w:type="dxa"/>
            <w:tcBorders>
              <w:top w:val="nil"/>
              <w:left w:val="single" w:sz="4" w:space="0" w:color="auto"/>
              <w:bottom w:val="single" w:sz="4" w:space="0" w:color="auto"/>
              <w:right w:val="single" w:sz="4" w:space="0" w:color="auto"/>
            </w:tcBorders>
            <w:shd w:val="clear" w:color="auto" w:fill="auto"/>
            <w:vAlign w:val="center"/>
          </w:tcPr>
          <w:p w14:paraId="7C6EF3F2"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结汇金额折美元</w:t>
            </w:r>
          </w:p>
        </w:tc>
        <w:tc>
          <w:tcPr>
            <w:tcW w:w="6575" w:type="dxa"/>
            <w:tcBorders>
              <w:top w:val="nil"/>
              <w:left w:val="nil"/>
              <w:bottom w:val="single" w:sz="4" w:space="0" w:color="auto"/>
              <w:right w:val="single" w:sz="4" w:space="0" w:color="auto"/>
            </w:tcBorders>
            <w:shd w:val="clear" w:color="auto" w:fill="auto"/>
            <w:vAlign w:val="center"/>
          </w:tcPr>
          <w:p w14:paraId="4791880B"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机构现钞结汇金额折美元。</w:t>
            </w:r>
          </w:p>
        </w:tc>
      </w:tr>
      <w:tr w:rsidR="00A052DC" w14:paraId="56B61677" w14:textId="77777777">
        <w:trPr>
          <w:trHeight w:val="20"/>
          <w:jc w:val="center"/>
        </w:trPr>
        <w:tc>
          <w:tcPr>
            <w:tcW w:w="1955" w:type="dxa"/>
            <w:tcBorders>
              <w:top w:val="nil"/>
              <w:left w:val="single" w:sz="4" w:space="0" w:color="auto"/>
              <w:bottom w:val="single" w:sz="4" w:space="0" w:color="auto"/>
              <w:right w:val="single" w:sz="4" w:space="0" w:color="auto"/>
            </w:tcBorders>
            <w:shd w:val="clear" w:color="auto" w:fill="auto"/>
            <w:vAlign w:val="center"/>
          </w:tcPr>
          <w:p w14:paraId="32F0B7A7"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结汇人民币账号</w:t>
            </w:r>
          </w:p>
        </w:tc>
        <w:tc>
          <w:tcPr>
            <w:tcW w:w="6575" w:type="dxa"/>
            <w:tcBorders>
              <w:top w:val="nil"/>
              <w:left w:val="nil"/>
              <w:bottom w:val="single" w:sz="4" w:space="0" w:color="auto"/>
              <w:right w:val="single" w:sz="4" w:space="0" w:color="auto"/>
            </w:tcBorders>
            <w:shd w:val="clear" w:color="auto" w:fill="auto"/>
            <w:vAlign w:val="center"/>
          </w:tcPr>
          <w:p w14:paraId="57C25EA7"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机构现钞结汇转入人民币账户的账号。</w:t>
            </w:r>
          </w:p>
        </w:tc>
      </w:tr>
      <w:tr w:rsidR="00A052DC" w14:paraId="7075A753" w14:textId="77777777">
        <w:trPr>
          <w:trHeight w:val="20"/>
          <w:jc w:val="center"/>
        </w:trPr>
        <w:tc>
          <w:tcPr>
            <w:tcW w:w="1955" w:type="dxa"/>
            <w:tcBorders>
              <w:top w:val="nil"/>
              <w:left w:val="single" w:sz="4" w:space="0" w:color="auto"/>
              <w:bottom w:val="single" w:sz="4" w:space="0" w:color="auto"/>
              <w:right w:val="single" w:sz="4" w:space="0" w:color="auto"/>
            </w:tcBorders>
            <w:shd w:val="clear" w:color="auto" w:fill="auto"/>
            <w:vAlign w:val="center"/>
          </w:tcPr>
          <w:p w14:paraId="2288BF5B"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人民币账户开户行代码</w:t>
            </w:r>
          </w:p>
        </w:tc>
        <w:tc>
          <w:tcPr>
            <w:tcW w:w="6575" w:type="dxa"/>
            <w:tcBorders>
              <w:top w:val="nil"/>
              <w:left w:val="nil"/>
              <w:bottom w:val="single" w:sz="4" w:space="0" w:color="auto"/>
              <w:right w:val="single" w:sz="4" w:space="0" w:color="auto"/>
            </w:tcBorders>
            <w:shd w:val="clear" w:color="auto" w:fill="auto"/>
            <w:vAlign w:val="center"/>
          </w:tcPr>
          <w:p w14:paraId="7321BDA7"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机构现钞结汇转入人民币账户的银行代码。填写12位金融机构标识码。</w:t>
            </w:r>
          </w:p>
        </w:tc>
      </w:tr>
      <w:tr w:rsidR="00A052DC" w14:paraId="58FA75AD" w14:textId="77777777">
        <w:trPr>
          <w:trHeight w:val="20"/>
          <w:jc w:val="center"/>
        </w:trPr>
        <w:tc>
          <w:tcPr>
            <w:tcW w:w="1955" w:type="dxa"/>
            <w:tcBorders>
              <w:top w:val="nil"/>
              <w:left w:val="single" w:sz="4" w:space="0" w:color="auto"/>
              <w:bottom w:val="single" w:sz="4" w:space="0" w:color="auto"/>
              <w:right w:val="single" w:sz="4" w:space="0" w:color="auto"/>
            </w:tcBorders>
            <w:shd w:val="clear" w:color="auto" w:fill="auto"/>
            <w:vAlign w:val="center"/>
          </w:tcPr>
          <w:p w14:paraId="6CA11E80"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存汇金额</w:t>
            </w:r>
          </w:p>
        </w:tc>
        <w:tc>
          <w:tcPr>
            <w:tcW w:w="6575" w:type="dxa"/>
            <w:tcBorders>
              <w:top w:val="nil"/>
              <w:left w:val="nil"/>
              <w:bottom w:val="single" w:sz="4" w:space="0" w:color="auto"/>
              <w:right w:val="single" w:sz="4" w:space="0" w:color="auto"/>
            </w:tcBorders>
            <w:shd w:val="clear" w:color="auto" w:fill="auto"/>
            <w:vAlign w:val="center"/>
          </w:tcPr>
          <w:p w14:paraId="7C1BFE5F"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机构现钞存入外汇现汇账户金额。</w:t>
            </w:r>
          </w:p>
        </w:tc>
      </w:tr>
      <w:tr w:rsidR="00A052DC" w14:paraId="4A6DA7C9" w14:textId="77777777">
        <w:trPr>
          <w:trHeight w:val="20"/>
          <w:jc w:val="center"/>
        </w:trPr>
        <w:tc>
          <w:tcPr>
            <w:tcW w:w="1955" w:type="dxa"/>
            <w:tcBorders>
              <w:top w:val="nil"/>
              <w:left w:val="single" w:sz="4" w:space="0" w:color="auto"/>
              <w:bottom w:val="single" w:sz="4" w:space="0" w:color="auto"/>
              <w:right w:val="single" w:sz="4" w:space="0" w:color="auto"/>
            </w:tcBorders>
            <w:shd w:val="clear" w:color="auto" w:fill="auto"/>
            <w:vAlign w:val="center"/>
          </w:tcPr>
          <w:p w14:paraId="1B814EBC"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存汇金额折美元</w:t>
            </w:r>
          </w:p>
        </w:tc>
        <w:tc>
          <w:tcPr>
            <w:tcW w:w="6575" w:type="dxa"/>
            <w:tcBorders>
              <w:top w:val="nil"/>
              <w:left w:val="nil"/>
              <w:bottom w:val="single" w:sz="4" w:space="0" w:color="auto"/>
              <w:right w:val="single" w:sz="4" w:space="0" w:color="auto"/>
            </w:tcBorders>
            <w:shd w:val="clear" w:color="auto" w:fill="auto"/>
            <w:vAlign w:val="center"/>
          </w:tcPr>
          <w:p w14:paraId="4AB63074"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机构现钞存入外汇现汇账户金额折美元。</w:t>
            </w:r>
          </w:p>
        </w:tc>
      </w:tr>
      <w:tr w:rsidR="00A052DC" w14:paraId="43DD2439" w14:textId="77777777">
        <w:trPr>
          <w:trHeight w:val="20"/>
          <w:jc w:val="center"/>
        </w:trPr>
        <w:tc>
          <w:tcPr>
            <w:tcW w:w="1955" w:type="dxa"/>
            <w:tcBorders>
              <w:top w:val="nil"/>
              <w:left w:val="single" w:sz="4" w:space="0" w:color="auto"/>
              <w:bottom w:val="single" w:sz="4" w:space="0" w:color="auto"/>
              <w:right w:val="single" w:sz="4" w:space="0" w:color="auto"/>
            </w:tcBorders>
            <w:shd w:val="clear" w:color="auto" w:fill="auto"/>
            <w:vAlign w:val="center"/>
          </w:tcPr>
          <w:p w14:paraId="6BCA9518"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存汇账号</w:t>
            </w:r>
          </w:p>
        </w:tc>
        <w:tc>
          <w:tcPr>
            <w:tcW w:w="6575" w:type="dxa"/>
            <w:tcBorders>
              <w:top w:val="nil"/>
              <w:left w:val="nil"/>
              <w:bottom w:val="single" w:sz="4" w:space="0" w:color="auto"/>
              <w:right w:val="single" w:sz="4" w:space="0" w:color="auto"/>
            </w:tcBorders>
            <w:shd w:val="clear" w:color="auto" w:fill="auto"/>
            <w:vAlign w:val="center"/>
          </w:tcPr>
          <w:p w14:paraId="55C6BA12"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机构现钞存入外汇现汇账户的账号。</w:t>
            </w:r>
          </w:p>
        </w:tc>
      </w:tr>
      <w:tr w:rsidR="00A052DC" w14:paraId="006E0B51" w14:textId="77777777">
        <w:trPr>
          <w:trHeight w:val="20"/>
          <w:jc w:val="center"/>
        </w:trPr>
        <w:tc>
          <w:tcPr>
            <w:tcW w:w="1955" w:type="dxa"/>
            <w:tcBorders>
              <w:top w:val="nil"/>
              <w:left w:val="single" w:sz="4" w:space="0" w:color="auto"/>
              <w:bottom w:val="single" w:sz="4" w:space="0" w:color="auto"/>
              <w:right w:val="single" w:sz="4" w:space="0" w:color="auto"/>
            </w:tcBorders>
            <w:shd w:val="clear" w:color="auto" w:fill="auto"/>
            <w:vAlign w:val="center"/>
          </w:tcPr>
          <w:p w14:paraId="15C376D3" w14:textId="77777777" w:rsidR="00A052DC" w:rsidRDefault="009F0A60">
            <w:pPr>
              <w:widowControl/>
              <w:rPr>
                <w:rFonts w:ascii="黑体" w:eastAsia="黑体" w:hAnsi="黑体" w:cs="宋体"/>
                <w:kern w:val="0"/>
                <w:sz w:val="20"/>
                <w:szCs w:val="20"/>
              </w:rPr>
            </w:pPr>
            <w:r>
              <w:rPr>
                <w:rFonts w:ascii="黑体" w:eastAsia="黑体" w:hAnsi="黑体" w:cs="宋体" w:hint="eastAsia"/>
                <w:kern w:val="0"/>
                <w:sz w:val="20"/>
                <w:szCs w:val="20"/>
              </w:rPr>
              <w:t>现钞来源说明</w:t>
            </w:r>
          </w:p>
        </w:tc>
        <w:tc>
          <w:tcPr>
            <w:tcW w:w="6575" w:type="dxa"/>
            <w:tcBorders>
              <w:top w:val="nil"/>
              <w:left w:val="nil"/>
              <w:bottom w:val="single" w:sz="4" w:space="0" w:color="auto"/>
              <w:right w:val="single" w:sz="4" w:space="0" w:color="auto"/>
            </w:tcBorders>
            <w:shd w:val="clear" w:color="auto" w:fill="auto"/>
            <w:vAlign w:val="center"/>
          </w:tcPr>
          <w:p w14:paraId="06B24782" w14:textId="77777777" w:rsidR="00A052DC" w:rsidRDefault="009F0A60">
            <w:pPr>
              <w:widowControl/>
              <w:rPr>
                <w:rFonts w:ascii="黑体" w:eastAsia="黑体" w:hAnsi="黑体" w:cs="宋体"/>
                <w:kern w:val="0"/>
                <w:sz w:val="20"/>
                <w:szCs w:val="20"/>
              </w:rPr>
            </w:pPr>
            <w:r>
              <w:rPr>
                <w:rFonts w:ascii="黑体" w:eastAsia="黑体" w:hAnsi="黑体" w:cs="宋体" w:hint="eastAsia"/>
                <w:color w:val="000000"/>
                <w:kern w:val="0"/>
                <w:sz w:val="20"/>
                <w:szCs w:val="20"/>
              </w:rPr>
              <w:t>指现钞来源，参见现钞来源说明代码表。</w:t>
            </w:r>
            <w:r>
              <w:rPr>
                <w:rFonts w:ascii="黑体" w:eastAsia="黑体" w:hAnsi="黑体" w:cs="宋体" w:hint="eastAsia"/>
                <w:kern w:val="0"/>
                <w:sz w:val="20"/>
                <w:szCs w:val="20"/>
              </w:rPr>
              <w:t>金融机构填报现钞来源说明2位代码，</w:t>
            </w:r>
            <w:r>
              <w:rPr>
                <w:rFonts w:ascii="黑体" w:eastAsia="黑体" w:hAnsi="黑体" w:cs="宋体" w:hint="eastAsia"/>
                <w:color w:val="000000"/>
                <w:kern w:val="0"/>
                <w:sz w:val="20"/>
                <w:szCs w:val="20"/>
              </w:rPr>
              <w:t>如填写</w:t>
            </w:r>
            <w:r>
              <w:rPr>
                <w:rFonts w:ascii="黑体" w:eastAsia="黑体" w:hAnsi="黑体" w:cs="宋体"/>
                <w:color w:val="000000"/>
                <w:kern w:val="0"/>
                <w:sz w:val="20"/>
                <w:szCs w:val="20"/>
              </w:rPr>
              <w:t>08</w:t>
            </w:r>
            <w:r>
              <w:rPr>
                <w:rFonts w:ascii="黑体" w:eastAsia="黑体" w:hAnsi="黑体" w:cs="宋体" w:hint="eastAsia"/>
                <w:color w:val="000000"/>
                <w:kern w:val="0"/>
                <w:sz w:val="20"/>
                <w:szCs w:val="20"/>
              </w:rPr>
              <w:t>（</w:t>
            </w:r>
            <w:r w:rsidR="0021563C">
              <w:rPr>
                <w:rFonts w:ascii="黑体" w:eastAsia="黑体" w:hAnsi="黑体" w:cs="宋体" w:hint="eastAsia"/>
                <w:color w:val="000000"/>
                <w:kern w:val="0"/>
                <w:sz w:val="20"/>
                <w:szCs w:val="20"/>
              </w:rPr>
              <w:t>其他</w:t>
            </w:r>
            <w:r>
              <w:rPr>
                <w:rFonts w:ascii="黑体" w:eastAsia="黑体" w:hAnsi="黑体" w:cs="宋体" w:hint="eastAsia"/>
                <w:color w:val="000000"/>
                <w:kern w:val="0"/>
                <w:sz w:val="20"/>
                <w:szCs w:val="20"/>
              </w:rPr>
              <w:t>）请在备注中说明具体来源。</w:t>
            </w:r>
          </w:p>
        </w:tc>
      </w:tr>
      <w:tr w:rsidR="00A052DC" w14:paraId="09D16745" w14:textId="77777777">
        <w:trPr>
          <w:trHeight w:val="20"/>
          <w:jc w:val="center"/>
        </w:trPr>
        <w:tc>
          <w:tcPr>
            <w:tcW w:w="1955" w:type="dxa"/>
            <w:tcBorders>
              <w:top w:val="nil"/>
              <w:left w:val="single" w:sz="4" w:space="0" w:color="auto"/>
              <w:bottom w:val="single" w:sz="4" w:space="0" w:color="auto"/>
              <w:right w:val="single" w:sz="4" w:space="0" w:color="auto"/>
            </w:tcBorders>
            <w:shd w:val="clear" w:color="auto" w:fill="auto"/>
            <w:vAlign w:val="center"/>
          </w:tcPr>
          <w:p w14:paraId="18B4C1AC" w14:textId="77777777" w:rsidR="00A052DC" w:rsidRDefault="009F0A60">
            <w:pPr>
              <w:widowControl/>
              <w:rPr>
                <w:rFonts w:ascii="黑体" w:eastAsia="黑体" w:hAnsi="黑体" w:cs="宋体"/>
                <w:kern w:val="0"/>
                <w:sz w:val="20"/>
                <w:szCs w:val="20"/>
              </w:rPr>
            </w:pPr>
            <w:r>
              <w:rPr>
                <w:rFonts w:ascii="黑体" w:eastAsia="黑体" w:hAnsi="黑体" w:cs="宋体" w:hint="eastAsia"/>
                <w:kern w:val="0"/>
                <w:sz w:val="20"/>
                <w:szCs w:val="20"/>
              </w:rPr>
              <w:t>现钞来源国家（地区）代码</w:t>
            </w:r>
          </w:p>
        </w:tc>
        <w:tc>
          <w:tcPr>
            <w:tcW w:w="6575" w:type="dxa"/>
            <w:tcBorders>
              <w:top w:val="nil"/>
              <w:left w:val="nil"/>
              <w:bottom w:val="single" w:sz="4" w:space="0" w:color="auto"/>
              <w:right w:val="single" w:sz="4" w:space="0" w:color="auto"/>
            </w:tcBorders>
            <w:shd w:val="clear" w:color="auto" w:fill="auto"/>
            <w:vAlign w:val="center"/>
          </w:tcPr>
          <w:p w14:paraId="6976B382" w14:textId="77777777" w:rsidR="00A052DC" w:rsidRDefault="009F0A60">
            <w:pPr>
              <w:widowControl/>
              <w:rPr>
                <w:rFonts w:ascii="黑体" w:eastAsia="黑体" w:hAnsi="黑体" w:cs="宋体"/>
                <w:kern w:val="0"/>
                <w:sz w:val="20"/>
                <w:szCs w:val="20"/>
              </w:rPr>
            </w:pPr>
            <w:r>
              <w:rPr>
                <w:rFonts w:ascii="黑体" w:eastAsia="黑体" w:hAnsi="黑体" w:cs="宋体" w:hint="eastAsia"/>
                <w:color w:val="000000"/>
                <w:kern w:val="0"/>
                <w:sz w:val="20"/>
                <w:szCs w:val="20"/>
              </w:rPr>
              <w:t>外币现钞来源对应的国家（地区）代码。</w:t>
            </w:r>
          </w:p>
        </w:tc>
      </w:tr>
      <w:tr w:rsidR="00A052DC" w14:paraId="29685B31" w14:textId="77777777">
        <w:trPr>
          <w:trHeight w:val="20"/>
          <w:jc w:val="center"/>
        </w:trPr>
        <w:tc>
          <w:tcPr>
            <w:tcW w:w="1955" w:type="dxa"/>
            <w:tcBorders>
              <w:top w:val="single" w:sz="4" w:space="0" w:color="auto"/>
              <w:left w:val="single" w:sz="4" w:space="0" w:color="auto"/>
              <w:bottom w:val="single" w:sz="4" w:space="0" w:color="auto"/>
              <w:right w:val="single" w:sz="4" w:space="0" w:color="auto"/>
            </w:tcBorders>
            <w:shd w:val="clear" w:color="auto" w:fill="auto"/>
            <w:vAlign w:val="center"/>
          </w:tcPr>
          <w:p w14:paraId="4173868D"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备注</w:t>
            </w:r>
          </w:p>
        </w:tc>
        <w:tc>
          <w:tcPr>
            <w:tcW w:w="6575" w:type="dxa"/>
            <w:tcBorders>
              <w:top w:val="single" w:sz="4" w:space="0" w:color="auto"/>
              <w:left w:val="nil"/>
              <w:bottom w:val="single" w:sz="4" w:space="0" w:color="auto"/>
              <w:right w:val="single" w:sz="4" w:space="0" w:color="auto"/>
            </w:tcBorders>
            <w:shd w:val="clear" w:color="auto" w:fill="auto"/>
            <w:vAlign w:val="center"/>
          </w:tcPr>
          <w:p w14:paraId="07FDA9D1"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需要说明的备注事项。</w:t>
            </w:r>
          </w:p>
        </w:tc>
      </w:tr>
    </w:tbl>
    <w:p w14:paraId="237F3D58" w14:textId="77777777" w:rsidR="00A052DC" w:rsidRDefault="00A052DC"/>
    <w:p w14:paraId="63612AF0" w14:textId="77777777" w:rsidR="00A052DC" w:rsidRDefault="009F0A60" w:rsidP="0020251D">
      <w:pPr>
        <w:pStyle w:val="4"/>
        <w:numPr>
          <w:ilvl w:val="3"/>
          <w:numId w:val="1"/>
        </w:numPr>
        <w:jc w:val="left"/>
      </w:pPr>
      <w:bookmarkStart w:id="4338" w:name="_Toc454391577"/>
      <w:r>
        <w:rPr>
          <w:rFonts w:hint="eastAsia"/>
        </w:rPr>
        <w:t>数据格式</w:t>
      </w:r>
      <w:bookmarkEnd w:id="4338"/>
    </w:p>
    <w:p w14:paraId="21B92E74" w14:textId="77777777" w:rsidR="00A052DC" w:rsidRDefault="009F0A60">
      <w:pPr>
        <w:widowControl/>
        <w:rPr>
          <w:rFonts w:cs="宋体"/>
          <w:color w:val="000000"/>
          <w:kern w:val="0"/>
          <w:szCs w:val="21"/>
        </w:rPr>
      </w:pPr>
      <w:r>
        <w:rPr>
          <w:rFonts w:cs="宋体"/>
          <w:color w:val="000000"/>
          <w:kern w:val="0"/>
          <w:szCs w:val="21"/>
        </w:rPr>
        <w:t>&lt;REC&gt;</w:t>
      </w:r>
    </w:p>
    <w:p w14:paraId="5837D5E1" w14:textId="77777777" w:rsidR="00A052DC" w:rsidRDefault="009F0A60">
      <w:pPr>
        <w:widowControl/>
        <w:rPr>
          <w:rFonts w:cs="宋体"/>
          <w:color w:val="000000"/>
          <w:kern w:val="0"/>
          <w:szCs w:val="21"/>
        </w:rPr>
      </w:pPr>
      <w:r>
        <w:rPr>
          <w:rFonts w:cs="宋体"/>
          <w:color w:val="000000"/>
          <w:kern w:val="0"/>
          <w:szCs w:val="21"/>
        </w:rPr>
        <w:t>&lt;ACTIONTYPE&gt;</w:t>
      </w:r>
      <w:r>
        <w:rPr>
          <w:rFonts w:hAnsi="宋体" w:cs="宋体"/>
          <w:color w:val="000000"/>
          <w:kern w:val="0"/>
          <w:szCs w:val="21"/>
        </w:rPr>
        <w:t>操作类型</w:t>
      </w:r>
      <w:r>
        <w:rPr>
          <w:rFonts w:cs="宋体"/>
          <w:color w:val="000000"/>
          <w:kern w:val="0"/>
          <w:szCs w:val="21"/>
        </w:rPr>
        <w:t>&lt;/ACTIONTYPE&gt;</w:t>
      </w:r>
    </w:p>
    <w:p w14:paraId="71150C5A" w14:textId="77777777" w:rsidR="00A052DC" w:rsidRDefault="009F0A60">
      <w:pPr>
        <w:widowControl/>
        <w:rPr>
          <w:rFonts w:cs="宋体"/>
          <w:color w:val="000000"/>
          <w:kern w:val="0"/>
          <w:szCs w:val="21"/>
        </w:rPr>
      </w:pPr>
      <w:r>
        <w:rPr>
          <w:rFonts w:cs="宋体"/>
          <w:color w:val="000000"/>
          <w:kern w:val="0"/>
          <w:szCs w:val="21"/>
        </w:rPr>
        <w:t>&lt;ACTIONDESC&gt;</w:t>
      </w:r>
      <w:r>
        <w:rPr>
          <w:rFonts w:hAnsi="宋体" w:cs="宋体"/>
          <w:color w:val="000000"/>
          <w:kern w:val="0"/>
          <w:szCs w:val="21"/>
        </w:rPr>
        <w:t>修改</w:t>
      </w:r>
      <w:r>
        <w:rPr>
          <w:rFonts w:cs="宋体"/>
          <w:color w:val="000000"/>
          <w:kern w:val="0"/>
          <w:szCs w:val="21"/>
        </w:rPr>
        <w:t>/</w:t>
      </w:r>
      <w:r>
        <w:rPr>
          <w:rFonts w:hAnsi="宋体" w:cs="宋体"/>
          <w:color w:val="000000"/>
          <w:kern w:val="0"/>
          <w:szCs w:val="21"/>
        </w:rPr>
        <w:t>删除原因</w:t>
      </w:r>
      <w:r>
        <w:rPr>
          <w:rFonts w:cs="宋体"/>
          <w:color w:val="000000"/>
          <w:kern w:val="0"/>
          <w:szCs w:val="21"/>
        </w:rPr>
        <w:t>&lt;/ACTIONDESC&gt;</w:t>
      </w:r>
    </w:p>
    <w:p w14:paraId="4F87BCF3" w14:textId="77777777" w:rsidR="00A052DC" w:rsidRDefault="009F0A60">
      <w:pPr>
        <w:widowControl/>
        <w:rPr>
          <w:rFonts w:cs="宋体"/>
          <w:color w:val="000000"/>
          <w:kern w:val="0"/>
          <w:szCs w:val="21"/>
        </w:rPr>
      </w:pPr>
      <w:r>
        <w:rPr>
          <w:rFonts w:cs="宋体"/>
          <w:color w:val="000000"/>
          <w:kern w:val="0"/>
          <w:szCs w:val="21"/>
        </w:rPr>
        <w:t>&lt;RPTNO&gt;</w:t>
      </w:r>
      <w:r>
        <w:rPr>
          <w:rFonts w:hAnsi="宋体" w:cs="宋体"/>
          <w:color w:val="000000"/>
          <w:kern w:val="0"/>
          <w:szCs w:val="21"/>
        </w:rPr>
        <w:t>申报号码</w:t>
      </w:r>
      <w:r>
        <w:rPr>
          <w:rFonts w:cs="宋体"/>
          <w:color w:val="000000"/>
          <w:kern w:val="0"/>
          <w:szCs w:val="21"/>
        </w:rPr>
        <w:t>&lt;/RPTNO&gt;</w:t>
      </w:r>
    </w:p>
    <w:p w14:paraId="2568919E" w14:textId="77777777" w:rsidR="00A052DC" w:rsidRDefault="009F0A60">
      <w:pPr>
        <w:widowControl/>
        <w:rPr>
          <w:rFonts w:cs="宋体"/>
          <w:color w:val="000000"/>
          <w:kern w:val="0"/>
          <w:sz w:val="22"/>
        </w:rPr>
      </w:pPr>
      <w:r>
        <w:rPr>
          <w:rFonts w:cs="宋体"/>
          <w:color w:val="000000"/>
          <w:kern w:val="0"/>
          <w:szCs w:val="21"/>
        </w:rPr>
        <w:t>&lt;</w:t>
      </w:r>
      <w:r>
        <w:rPr>
          <w:rFonts w:cs="宋体"/>
          <w:color w:val="000000"/>
          <w:kern w:val="0"/>
          <w:sz w:val="22"/>
        </w:rPr>
        <w:t>BANKBIZCODE&gt;</w:t>
      </w:r>
      <w:r>
        <w:rPr>
          <w:rFonts w:hAnsi="宋体" w:cs="宋体"/>
          <w:color w:val="000000"/>
          <w:kern w:val="0"/>
          <w:szCs w:val="21"/>
        </w:rPr>
        <w:t>银行业务编号</w:t>
      </w:r>
      <w:r>
        <w:rPr>
          <w:rFonts w:cs="宋体"/>
          <w:color w:val="000000"/>
          <w:kern w:val="0"/>
          <w:sz w:val="22"/>
        </w:rPr>
        <w:t>&lt;/BANKBIZCODE&gt;</w:t>
      </w:r>
    </w:p>
    <w:p w14:paraId="37A71DFC" w14:textId="77777777" w:rsidR="00A052DC" w:rsidRDefault="009F0A60">
      <w:pPr>
        <w:widowControl/>
        <w:rPr>
          <w:rFonts w:cs="宋体"/>
          <w:color w:val="000000"/>
          <w:kern w:val="0"/>
          <w:sz w:val="22"/>
        </w:rPr>
      </w:pPr>
      <w:r>
        <w:rPr>
          <w:rFonts w:cs="宋体"/>
          <w:color w:val="000000"/>
          <w:kern w:val="0"/>
          <w:szCs w:val="21"/>
        </w:rPr>
        <w:t>&lt;CUSTCODE&gt;</w:t>
      </w:r>
      <w:r>
        <w:rPr>
          <w:rFonts w:hAnsi="宋体" w:cs="宋体"/>
          <w:color w:val="000000"/>
          <w:kern w:val="0"/>
          <w:szCs w:val="21"/>
        </w:rPr>
        <w:t>机构代码</w:t>
      </w:r>
      <w:r>
        <w:rPr>
          <w:rFonts w:cs="宋体"/>
          <w:color w:val="000000"/>
          <w:kern w:val="0"/>
          <w:szCs w:val="21"/>
        </w:rPr>
        <w:t>&lt;/CUSTCODE&gt;</w:t>
      </w:r>
    </w:p>
    <w:p w14:paraId="2136203E" w14:textId="77777777" w:rsidR="00A052DC" w:rsidRDefault="009F0A60">
      <w:pPr>
        <w:widowControl/>
        <w:rPr>
          <w:rFonts w:cs="宋体"/>
          <w:color w:val="000000"/>
          <w:kern w:val="0"/>
          <w:szCs w:val="21"/>
        </w:rPr>
      </w:pPr>
      <w:r>
        <w:rPr>
          <w:rFonts w:cs="宋体"/>
          <w:color w:val="000000"/>
          <w:kern w:val="0"/>
          <w:szCs w:val="21"/>
        </w:rPr>
        <w:t>&lt;CUSTNAME&gt;</w:t>
      </w:r>
      <w:r>
        <w:rPr>
          <w:rFonts w:hAnsi="宋体" w:cs="宋体"/>
          <w:color w:val="000000"/>
          <w:kern w:val="0"/>
          <w:szCs w:val="21"/>
        </w:rPr>
        <w:t>机构名称</w:t>
      </w:r>
      <w:r>
        <w:rPr>
          <w:rFonts w:cs="宋体"/>
          <w:color w:val="000000"/>
          <w:kern w:val="0"/>
          <w:szCs w:val="21"/>
        </w:rPr>
        <w:t>&lt;/CUSTNAME&gt;</w:t>
      </w:r>
    </w:p>
    <w:p w14:paraId="347FC03E" w14:textId="77777777" w:rsidR="00A052DC" w:rsidRDefault="009F0A60">
      <w:pPr>
        <w:widowControl/>
        <w:rPr>
          <w:rFonts w:cs="宋体"/>
          <w:color w:val="000000"/>
          <w:kern w:val="0"/>
          <w:sz w:val="22"/>
        </w:rPr>
      </w:pPr>
      <w:r>
        <w:rPr>
          <w:rFonts w:cs="宋体"/>
          <w:color w:val="000000"/>
          <w:kern w:val="0"/>
          <w:sz w:val="22"/>
        </w:rPr>
        <w:t>&lt;DEALTIME&gt;</w:t>
      </w:r>
      <w:r>
        <w:rPr>
          <w:rFonts w:hAnsi="宋体" w:cs="宋体"/>
          <w:color w:val="000000"/>
          <w:kern w:val="0"/>
          <w:sz w:val="22"/>
        </w:rPr>
        <w:t>交易时间</w:t>
      </w:r>
      <w:r>
        <w:rPr>
          <w:rFonts w:cs="宋体"/>
          <w:color w:val="000000"/>
          <w:kern w:val="0"/>
          <w:sz w:val="22"/>
        </w:rPr>
        <w:t>&lt;/DEALTIME&gt;</w:t>
      </w:r>
    </w:p>
    <w:p w14:paraId="23FEDC92" w14:textId="77777777" w:rsidR="00A052DC" w:rsidRDefault="009F0A60">
      <w:pPr>
        <w:widowControl/>
        <w:rPr>
          <w:rFonts w:cs="宋体"/>
          <w:color w:val="000000"/>
          <w:kern w:val="0"/>
          <w:sz w:val="22"/>
        </w:rPr>
      </w:pPr>
      <w:r>
        <w:rPr>
          <w:rFonts w:cs="宋体"/>
          <w:color w:val="000000"/>
          <w:kern w:val="0"/>
          <w:sz w:val="22"/>
        </w:rPr>
        <w:t>&lt;TXCCY&gt;</w:t>
      </w:r>
      <w:r>
        <w:rPr>
          <w:rFonts w:hAnsi="宋体" w:cs="宋体"/>
          <w:color w:val="000000"/>
          <w:kern w:val="0"/>
          <w:szCs w:val="21"/>
        </w:rPr>
        <w:t>现钞收入币种</w:t>
      </w:r>
      <w:r>
        <w:rPr>
          <w:rFonts w:cs="宋体"/>
          <w:color w:val="000000"/>
          <w:kern w:val="0"/>
          <w:sz w:val="22"/>
        </w:rPr>
        <w:t>&lt;/TXCCY&gt;</w:t>
      </w:r>
    </w:p>
    <w:p w14:paraId="0360A2E9" w14:textId="77777777" w:rsidR="00A052DC" w:rsidRDefault="009F0A60">
      <w:pPr>
        <w:widowControl/>
        <w:rPr>
          <w:rFonts w:cs="宋体"/>
          <w:color w:val="000000"/>
          <w:kern w:val="0"/>
          <w:szCs w:val="21"/>
        </w:rPr>
      </w:pPr>
      <w:r>
        <w:rPr>
          <w:rFonts w:cs="宋体"/>
          <w:color w:val="000000"/>
          <w:kern w:val="0"/>
          <w:sz w:val="22"/>
        </w:rPr>
        <w:t>&lt;C</w:t>
      </w:r>
      <w:r>
        <w:rPr>
          <w:rFonts w:cs="宋体"/>
          <w:color w:val="000000"/>
          <w:kern w:val="0"/>
          <w:szCs w:val="21"/>
        </w:rPr>
        <w:t>SHAMT&gt;</w:t>
      </w:r>
      <w:r>
        <w:rPr>
          <w:rFonts w:hAnsi="宋体" w:cs="宋体"/>
          <w:color w:val="000000"/>
          <w:kern w:val="0"/>
          <w:szCs w:val="21"/>
        </w:rPr>
        <w:t>现钞收入金额</w:t>
      </w:r>
      <w:r>
        <w:rPr>
          <w:rFonts w:cs="宋体"/>
          <w:color w:val="000000"/>
          <w:kern w:val="0"/>
          <w:szCs w:val="21"/>
        </w:rPr>
        <w:t>&lt;/CSHAMT&gt;</w:t>
      </w:r>
    </w:p>
    <w:p w14:paraId="2D567E44" w14:textId="77777777" w:rsidR="00A052DC" w:rsidRDefault="009F0A60">
      <w:pPr>
        <w:widowControl/>
        <w:rPr>
          <w:rFonts w:cs="宋体"/>
          <w:color w:val="000000"/>
          <w:kern w:val="0"/>
          <w:szCs w:val="21"/>
        </w:rPr>
      </w:pPr>
      <w:r>
        <w:rPr>
          <w:rFonts w:cs="宋体"/>
          <w:color w:val="000000"/>
          <w:kern w:val="0"/>
          <w:szCs w:val="21"/>
        </w:rPr>
        <w:t>&lt;CSHAMTUSD&gt;</w:t>
      </w:r>
      <w:r>
        <w:rPr>
          <w:rFonts w:hAnsi="宋体" w:cs="宋体"/>
          <w:color w:val="000000"/>
          <w:kern w:val="0"/>
          <w:szCs w:val="21"/>
        </w:rPr>
        <w:t>现钞收入折美元金额</w:t>
      </w:r>
      <w:r>
        <w:rPr>
          <w:rFonts w:cs="宋体"/>
          <w:color w:val="000000"/>
          <w:kern w:val="0"/>
          <w:szCs w:val="21"/>
        </w:rPr>
        <w:t>&lt;/CSHAMTUSD&gt;</w:t>
      </w:r>
    </w:p>
    <w:p w14:paraId="6A36C454" w14:textId="77777777" w:rsidR="00A052DC" w:rsidRDefault="009F0A60">
      <w:pPr>
        <w:widowControl/>
        <w:rPr>
          <w:rFonts w:cs="宋体"/>
          <w:color w:val="000000"/>
          <w:kern w:val="0"/>
          <w:szCs w:val="21"/>
        </w:rPr>
      </w:pPr>
      <w:r>
        <w:rPr>
          <w:rFonts w:cs="宋体"/>
          <w:color w:val="000000"/>
          <w:kern w:val="0"/>
          <w:szCs w:val="21"/>
        </w:rPr>
        <w:t>&lt;LCYAMT&gt;</w:t>
      </w:r>
      <w:r>
        <w:rPr>
          <w:rFonts w:hAnsi="宋体" w:cs="宋体"/>
          <w:color w:val="000000"/>
          <w:kern w:val="0"/>
          <w:szCs w:val="21"/>
        </w:rPr>
        <w:t>结汇金额</w:t>
      </w:r>
      <w:r>
        <w:rPr>
          <w:rFonts w:cs="宋体"/>
          <w:color w:val="000000"/>
          <w:kern w:val="0"/>
          <w:szCs w:val="21"/>
        </w:rPr>
        <w:t>&lt;/LCYAMT&gt;</w:t>
      </w:r>
    </w:p>
    <w:p w14:paraId="5216AB3F" w14:textId="77777777" w:rsidR="00A052DC" w:rsidRDefault="009F0A60">
      <w:pPr>
        <w:widowControl/>
        <w:rPr>
          <w:rFonts w:cs="宋体"/>
          <w:color w:val="000000"/>
          <w:kern w:val="0"/>
          <w:szCs w:val="21"/>
        </w:rPr>
      </w:pPr>
      <w:r>
        <w:rPr>
          <w:rFonts w:cs="宋体"/>
          <w:color w:val="000000"/>
          <w:kern w:val="0"/>
          <w:szCs w:val="21"/>
        </w:rPr>
        <w:t>&lt;LCYAMTUSD&gt;</w:t>
      </w:r>
      <w:r>
        <w:rPr>
          <w:rFonts w:hAnsi="宋体" w:cs="宋体"/>
          <w:color w:val="000000"/>
          <w:kern w:val="0"/>
          <w:szCs w:val="21"/>
        </w:rPr>
        <w:t>结汇金额折美元</w:t>
      </w:r>
      <w:r>
        <w:rPr>
          <w:rFonts w:cs="宋体"/>
          <w:color w:val="000000"/>
          <w:kern w:val="0"/>
          <w:szCs w:val="21"/>
        </w:rPr>
        <w:t>&lt;/LCYAMTUSD&gt;</w:t>
      </w:r>
    </w:p>
    <w:p w14:paraId="4AB47CD5" w14:textId="77777777" w:rsidR="00A052DC" w:rsidRDefault="009F0A60">
      <w:pPr>
        <w:widowControl/>
        <w:rPr>
          <w:rFonts w:cs="宋体"/>
          <w:color w:val="000000"/>
          <w:kern w:val="0"/>
          <w:szCs w:val="21"/>
        </w:rPr>
      </w:pPr>
      <w:r>
        <w:rPr>
          <w:rFonts w:cs="宋体"/>
          <w:color w:val="000000"/>
          <w:kern w:val="0"/>
          <w:szCs w:val="21"/>
        </w:rPr>
        <w:t>&lt;LCYACCT&gt;</w:t>
      </w:r>
      <w:r>
        <w:rPr>
          <w:rFonts w:hAnsi="宋体" w:cs="宋体"/>
          <w:color w:val="000000"/>
          <w:kern w:val="0"/>
          <w:szCs w:val="21"/>
        </w:rPr>
        <w:t>结汇人民币账号</w:t>
      </w:r>
      <w:r>
        <w:rPr>
          <w:rFonts w:cs="宋体"/>
          <w:color w:val="000000"/>
          <w:kern w:val="0"/>
          <w:szCs w:val="21"/>
        </w:rPr>
        <w:t>&lt;/LCYACCT&gt;</w:t>
      </w:r>
    </w:p>
    <w:p w14:paraId="0925D545" w14:textId="77777777" w:rsidR="00A052DC" w:rsidRDefault="009F0A60">
      <w:pPr>
        <w:widowControl/>
        <w:rPr>
          <w:rFonts w:cs="宋体"/>
          <w:color w:val="000000"/>
          <w:kern w:val="0"/>
          <w:szCs w:val="21"/>
        </w:rPr>
      </w:pPr>
      <w:r>
        <w:rPr>
          <w:rFonts w:cs="宋体"/>
          <w:color w:val="000000"/>
          <w:kern w:val="0"/>
          <w:szCs w:val="21"/>
        </w:rPr>
        <w:t>&lt;OPPBANKCODE&gt;</w:t>
      </w:r>
      <w:r>
        <w:rPr>
          <w:rFonts w:hAnsi="宋体" w:cs="宋体"/>
          <w:color w:val="000000"/>
          <w:kern w:val="0"/>
          <w:szCs w:val="21"/>
        </w:rPr>
        <w:t>人民币账户开户行代码</w:t>
      </w:r>
      <w:r>
        <w:rPr>
          <w:rFonts w:cs="宋体"/>
          <w:color w:val="000000"/>
          <w:kern w:val="0"/>
          <w:szCs w:val="21"/>
        </w:rPr>
        <w:t>&lt;/OPPBANKCODE&gt;</w:t>
      </w:r>
    </w:p>
    <w:p w14:paraId="0B735C09" w14:textId="77777777" w:rsidR="00A052DC" w:rsidRDefault="009F0A60">
      <w:pPr>
        <w:widowControl/>
        <w:rPr>
          <w:rFonts w:cs="宋体"/>
          <w:color w:val="000000"/>
          <w:kern w:val="0"/>
          <w:szCs w:val="21"/>
        </w:rPr>
      </w:pPr>
      <w:r>
        <w:rPr>
          <w:rFonts w:cs="宋体"/>
          <w:color w:val="000000"/>
          <w:kern w:val="0"/>
          <w:szCs w:val="21"/>
        </w:rPr>
        <w:t>&lt;DPSTFXAMT&gt;</w:t>
      </w:r>
      <w:r>
        <w:rPr>
          <w:rFonts w:hAnsi="宋体" w:cs="宋体"/>
          <w:color w:val="000000"/>
          <w:kern w:val="0"/>
          <w:szCs w:val="21"/>
        </w:rPr>
        <w:t>存汇金额</w:t>
      </w:r>
      <w:r>
        <w:rPr>
          <w:rFonts w:cs="宋体"/>
          <w:color w:val="000000"/>
          <w:kern w:val="0"/>
          <w:szCs w:val="21"/>
        </w:rPr>
        <w:t>&lt;/DPSTFXAMT&gt;</w:t>
      </w:r>
    </w:p>
    <w:p w14:paraId="639E7FF0" w14:textId="77777777" w:rsidR="00A052DC" w:rsidRDefault="009F0A60">
      <w:pPr>
        <w:widowControl/>
        <w:rPr>
          <w:rFonts w:cs="宋体"/>
          <w:color w:val="000000"/>
          <w:kern w:val="0"/>
          <w:szCs w:val="21"/>
        </w:rPr>
      </w:pPr>
      <w:r>
        <w:rPr>
          <w:rFonts w:cs="宋体"/>
          <w:color w:val="000000"/>
          <w:kern w:val="0"/>
          <w:szCs w:val="21"/>
        </w:rPr>
        <w:t>&lt;DPSTFXAMTUSD&gt;</w:t>
      </w:r>
      <w:r>
        <w:rPr>
          <w:rFonts w:hAnsi="宋体" w:cs="宋体"/>
          <w:color w:val="000000"/>
          <w:kern w:val="0"/>
          <w:szCs w:val="21"/>
        </w:rPr>
        <w:t>存汇金额折美元</w:t>
      </w:r>
      <w:r>
        <w:rPr>
          <w:rFonts w:cs="宋体"/>
          <w:color w:val="000000"/>
          <w:kern w:val="0"/>
          <w:szCs w:val="21"/>
        </w:rPr>
        <w:t>&lt;/DPSTFXAMTUSD&gt;</w:t>
      </w:r>
    </w:p>
    <w:p w14:paraId="529EFCA4" w14:textId="77777777" w:rsidR="00A052DC" w:rsidRDefault="009F0A60">
      <w:pPr>
        <w:widowControl/>
        <w:rPr>
          <w:rFonts w:cs="宋体"/>
          <w:color w:val="000000"/>
          <w:kern w:val="0"/>
          <w:szCs w:val="21"/>
        </w:rPr>
      </w:pPr>
      <w:r>
        <w:rPr>
          <w:rFonts w:cs="宋体"/>
          <w:color w:val="000000"/>
          <w:kern w:val="0"/>
          <w:szCs w:val="21"/>
        </w:rPr>
        <w:t>&lt;DPSTFXACCT&gt;</w:t>
      </w:r>
      <w:r>
        <w:rPr>
          <w:rFonts w:hAnsi="宋体" w:cs="宋体"/>
          <w:color w:val="000000"/>
          <w:kern w:val="0"/>
          <w:szCs w:val="21"/>
        </w:rPr>
        <w:t>存汇账号</w:t>
      </w:r>
      <w:r>
        <w:rPr>
          <w:rFonts w:cs="宋体"/>
          <w:color w:val="000000"/>
          <w:kern w:val="0"/>
          <w:szCs w:val="21"/>
        </w:rPr>
        <w:t>&lt;/DPSTFXACCT&gt;</w:t>
      </w:r>
    </w:p>
    <w:p w14:paraId="384F1358" w14:textId="77777777" w:rsidR="00A052DC" w:rsidRDefault="009F0A60">
      <w:pPr>
        <w:widowControl/>
        <w:rPr>
          <w:rFonts w:cs="宋体"/>
          <w:color w:val="000000"/>
          <w:kern w:val="0"/>
          <w:szCs w:val="21"/>
        </w:rPr>
      </w:pPr>
      <w:r>
        <w:rPr>
          <w:rFonts w:cs="宋体"/>
          <w:color w:val="000000"/>
          <w:kern w:val="0"/>
          <w:szCs w:val="21"/>
        </w:rPr>
        <w:t>&lt;CSHSRCDESC&gt;</w:t>
      </w:r>
      <w:r>
        <w:rPr>
          <w:rFonts w:hAnsi="宋体" w:cs="宋体"/>
          <w:color w:val="000000"/>
          <w:kern w:val="0"/>
          <w:szCs w:val="21"/>
        </w:rPr>
        <w:t>现钞来源说明</w:t>
      </w:r>
      <w:r>
        <w:rPr>
          <w:rFonts w:cs="宋体"/>
          <w:color w:val="000000"/>
          <w:kern w:val="0"/>
          <w:szCs w:val="21"/>
        </w:rPr>
        <w:t>&lt;/CSHSRCDESC&gt;</w:t>
      </w:r>
    </w:p>
    <w:p w14:paraId="4CA5E2CC" w14:textId="77777777" w:rsidR="00A052DC" w:rsidRDefault="009F0A60">
      <w:pPr>
        <w:widowControl/>
        <w:rPr>
          <w:rFonts w:cs="宋体"/>
          <w:color w:val="000000"/>
          <w:kern w:val="0"/>
          <w:szCs w:val="21"/>
        </w:rPr>
      </w:pPr>
      <w:r>
        <w:rPr>
          <w:rFonts w:cs="宋体"/>
          <w:color w:val="000000"/>
          <w:kern w:val="0"/>
          <w:szCs w:val="21"/>
        </w:rPr>
        <w:t>&lt;CSHSRCCTY&gt;</w:t>
      </w:r>
      <w:r>
        <w:rPr>
          <w:rFonts w:hAnsi="宋体" w:cs="宋体"/>
          <w:color w:val="000000"/>
          <w:kern w:val="0"/>
          <w:szCs w:val="21"/>
        </w:rPr>
        <w:t>现钞来源国家（地区）</w:t>
      </w:r>
      <w:r>
        <w:rPr>
          <w:rFonts w:cs="宋体"/>
          <w:color w:val="000000"/>
          <w:kern w:val="0"/>
          <w:szCs w:val="21"/>
        </w:rPr>
        <w:t>&lt;/CSHSRCCTY&gt;</w:t>
      </w:r>
    </w:p>
    <w:p w14:paraId="12FA7F0F" w14:textId="77777777" w:rsidR="00A052DC" w:rsidRDefault="009F0A60">
      <w:pPr>
        <w:widowControl/>
        <w:rPr>
          <w:rFonts w:cs="宋体"/>
          <w:color w:val="000000"/>
          <w:kern w:val="0"/>
          <w:szCs w:val="21"/>
        </w:rPr>
      </w:pPr>
      <w:r>
        <w:rPr>
          <w:rFonts w:cs="宋体"/>
          <w:color w:val="000000"/>
          <w:kern w:val="0"/>
          <w:szCs w:val="21"/>
        </w:rPr>
        <w:t>&lt;REMARK&gt;</w:t>
      </w:r>
      <w:r>
        <w:rPr>
          <w:rFonts w:hAnsi="宋体" w:cs="宋体"/>
          <w:color w:val="000000"/>
          <w:kern w:val="0"/>
          <w:szCs w:val="21"/>
        </w:rPr>
        <w:t>备注</w:t>
      </w:r>
      <w:r>
        <w:rPr>
          <w:rFonts w:cs="宋体"/>
          <w:color w:val="000000"/>
          <w:kern w:val="0"/>
          <w:szCs w:val="21"/>
        </w:rPr>
        <w:t>&lt;/REMARK&gt;</w:t>
      </w:r>
    </w:p>
    <w:p w14:paraId="2EE918D9" w14:textId="77777777" w:rsidR="00A052DC" w:rsidRDefault="009F0A60">
      <w:pPr>
        <w:widowControl/>
        <w:rPr>
          <w:rFonts w:cs="宋体"/>
          <w:color w:val="000000"/>
          <w:kern w:val="0"/>
          <w:szCs w:val="21"/>
        </w:rPr>
      </w:pPr>
      <w:r>
        <w:rPr>
          <w:rFonts w:cs="宋体"/>
          <w:color w:val="000000"/>
          <w:kern w:val="0"/>
          <w:szCs w:val="21"/>
        </w:rPr>
        <w:t>&lt;/REC&gt;</w:t>
      </w:r>
    </w:p>
    <w:p w14:paraId="3F6B11BA" w14:textId="77777777" w:rsidR="00A052DC" w:rsidRDefault="009F0A60" w:rsidP="0020251D">
      <w:pPr>
        <w:pStyle w:val="4"/>
        <w:numPr>
          <w:ilvl w:val="3"/>
          <w:numId w:val="1"/>
        </w:numPr>
        <w:jc w:val="left"/>
      </w:pPr>
      <w:bookmarkStart w:id="4339" w:name="_Toc454391578"/>
      <w:bookmarkStart w:id="4340" w:name="_Toc454391579"/>
      <w:bookmarkEnd w:id="4339"/>
      <w:r>
        <w:rPr>
          <w:rFonts w:hint="eastAsia"/>
        </w:rPr>
        <w:t>数据字典</w:t>
      </w:r>
      <w:bookmarkEnd w:id="4340"/>
    </w:p>
    <w:tbl>
      <w:tblPr>
        <w:tblW w:w="8687" w:type="dxa"/>
        <w:jc w:val="center"/>
        <w:tblLook w:val="04A0" w:firstRow="1" w:lastRow="0" w:firstColumn="1" w:lastColumn="0" w:noHBand="0" w:noVBand="1"/>
      </w:tblPr>
      <w:tblGrid>
        <w:gridCol w:w="1516"/>
        <w:gridCol w:w="1863"/>
        <w:gridCol w:w="1233"/>
        <w:gridCol w:w="1057"/>
        <w:gridCol w:w="3018"/>
      </w:tblGrid>
      <w:tr w:rsidR="00A052DC" w14:paraId="7BB674D8" w14:textId="77777777">
        <w:trPr>
          <w:trHeight w:val="472"/>
          <w:jc w:val="center"/>
        </w:trPr>
        <w:tc>
          <w:tcPr>
            <w:tcW w:w="1516" w:type="dxa"/>
            <w:tcBorders>
              <w:top w:val="single" w:sz="4" w:space="0" w:color="auto"/>
              <w:left w:val="single" w:sz="4" w:space="0" w:color="auto"/>
              <w:bottom w:val="single" w:sz="4" w:space="0" w:color="auto"/>
              <w:right w:val="single" w:sz="4" w:space="0" w:color="auto"/>
            </w:tcBorders>
            <w:shd w:val="clear" w:color="000000" w:fill="BFBFBF"/>
            <w:vAlign w:val="center"/>
          </w:tcPr>
          <w:p w14:paraId="0993DEB2" w14:textId="77777777" w:rsidR="00A052DC" w:rsidRDefault="009F0A60">
            <w:pPr>
              <w:widowControl/>
              <w:jc w:val="center"/>
              <w:rPr>
                <w:rFonts w:ascii="黑体" w:eastAsia="黑体" w:hAnsi="黑体" w:cs="宋体"/>
                <w:b/>
                <w:bCs/>
                <w:color w:val="000000"/>
                <w:kern w:val="0"/>
                <w:sz w:val="20"/>
                <w:szCs w:val="20"/>
              </w:rPr>
            </w:pPr>
            <w:r>
              <w:rPr>
                <w:rFonts w:ascii="黑体" w:eastAsia="黑体" w:hAnsi="黑体" w:cs="宋体" w:hint="eastAsia"/>
                <w:b/>
                <w:bCs/>
                <w:color w:val="000000"/>
                <w:kern w:val="0"/>
                <w:sz w:val="20"/>
                <w:szCs w:val="20"/>
              </w:rPr>
              <w:t>字段名</w:t>
            </w:r>
          </w:p>
        </w:tc>
        <w:tc>
          <w:tcPr>
            <w:tcW w:w="1863" w:type="dxa"/>
            <w:tcBorders>
              <w:top w:val="single" w:sz="4" w:space="0" w:color="auto"/>
              <w:left w:val="single" w:sz="4" w:space="0" w:color="auto"/>
              <w:bottom w:val="single" w:sz="4" w:space="0" w:color="auto"/>
              <w:right w:val="single" w:sz="4" w:space="0" w:color="auto"/>
            </w:tcBorders>
            <w:shd w:val="clear" w:color="000000" w:fill="BFBFBF"/>
            <w:vAlign w:val="center"/>
          </w:tcPr>
          <w:p w14:paraId="08D30924" w14:textId="77777777" w:rsidR="00A052DC" w:rsidRDefault="009F0A60">
            <w:pPr>
              <w:widowControl/>
              <w:jc w:val="center"/>
              <w:rPr>
                <w:rFonts w:ascii="黑体" w:eastAsia="黑体" w:hAnsi="黑体" w:cs="宋体"/>
                <w:b/>
                <w:bCs/>
                <w:color w:val="000000"/>
                <w:kern w:val="0"/>
                <w:sz w:val="20"/>
                <w:szCs w:val="20"/>
              </w:rPr>
            </w:pPr>
            <w:r>
              <w:rPr>
                <w:rFonts w:ascii="黑体" w:eastAsia="黑体" w:hAnsi="黑体" w:cs="宋体" w:hint="eastAsia"/>
                <w:b/>
                <w:bCs/>
                <w:color w:val="000000"/>
                <w:kern w:val="0"/>
                <w:sz w:val="20"/>
                <w:szCs w:val="20"/>
              </w:rPr>
              <w:t>基础数据项</w:t>
            </w:r>
          </w:p>
        </w:tc>
        <w:tc>
          <w:tcPr>
            <w:tcW w:w="1233" w:type="dxa"/>
            <w:tcBorders>
              <w:top w:val="single" w:sz="4" w:space="0" w:color="auto"/>
              <w:left w:val="nil"/>
              <w:bottom w:val="single" w:sz="4" w:space="0" w:color="auto"/>
              <w:right w:val="single" w:sz="4" w:space="0" w:color="auto"/>
            </w:tcBorders>
            <w:shd w:val="clear" w:color="000000" w:fill="BFBFBF"/>
            <w:vAlign w:val="center"/>
          </w:tcPr>
          <w:p w14:paraId="23125F94" w14:textId="77777777" w:rsidR="00A052DC" w:rsidRDefault="009F0A60">
            <w:pPr>
              <w:widowControl/>
              <w:jc w:val="center"/>
              <w:rPr>
                <w:rFonts w:ascii="黑体" w:eastAsia="黑体" w:hAnsi="黑体" w:cs="宋体"/>
                <w:b/>
                <w:bCs/>
                <w:color w:val="000000"/>
                <w:kern w:val="0"/>
                <w:sz w:val="20"/>
                <w:szCs w:val="20"/>
              </w:rPr>
            </w:pPr>
            <w:r>
              <w:rPr>
                <w:rFonts w:ascii="黑体" w:eastAsia="黑体" w:hAnsi="黑体" w:cs="宋体" w:hint="eastAsia"/>
                <w:b/>
                <w:bCs/>
                <w:color w:val="000000"/>
                <w:kern w:val="0"/>
                <w:sz w:val="20"/>
                <w:szCs w:val="20"/>
              </w:rPr>
              <w:t>数据类型</w:t>
            </w:r>
          </w:p>
        </w:tc>
        <w:tc>
          <w:tcPr>
            <w:tcW w:w="1057" w:type="dxa"/>
            <w:tcBorders>
              <w:top w:val="single" w:sz="4" w:space="0" w:color="auto"/>
              <w:left w:val="nil"/>
              <w:bottom w:val="single" w:sz="4" w:space="0" w:color="auto"/>
              <w:right w:val="single" w:sz="4" w:space="0" w:color="auto"/>
            </w:tcBorders>
            <w:shd w:val="clear" w:color="000000" w:fill="BFBFBF"/>
            <w:vAlign w:val="center"/>
          </w:tcPr>
          <w:p w14:paraId="12E97EC5" w14:textId="77777777" w:rsidR="00A052DC" w:rsidRDefault="009F0A60">
            <w:pPr>
              <w:widowControl/>
              <w:jc w:val="center"/>
              <w:rPr>
                <w:rFonts w:ascii="黑体" w:eastAsia="黑体" w:hAnsi="黑体" w:cs="宋体"/>
                <w:b/>
                <w:bCs/>
                <w:color w:val="000000"/>
                <w:kern w:val="0"/>
                <w:sz w:val="20"/>
                <w:szCs w:val="20"/>
              </w:rPr>
            </w:pPr>
            <w:r>
              <w:rPr>
                <w:rFonts w:ascii="黑体" w:eastAsia="黑体" w:hAnsi="黑体" w:cs="宋体" w:hint="eastAsia"/>
                <w:b/>
                <w:bCs/>
                <w:color w:val="000000"/>
                <w:kern w:val="0"/>
                <w:sz w:val="20"/>
                <w:szCs w:val="20"/>
              </w:rPr>
              <w:t>数据长度</w:t>
            </w:r>
          </w:p>
        </w:tc>
        <w:tc>
          <w:tcPr>
            <w:tcW w:w="3018" w:type="dxa"/>
            <w:tcBorders>
              <w:top w:val="single" w:sz="4" w:space="0" w:color="auto"/>
              <w:left w:val="nil"/>
              <w:bottom w:val="single" w:sz="4" w:space="0" w:color="auto"/>
              <w:right w:val="single" w:sz="4" w:space="0" w:color="auto"/>
            </w:tcBorders>
            <w:shd w:val="clear" w:color="000000" w:fill="BFBFBF"/>
            <w:vAlign w:val="center"/>
          </w:tcPr>
          <w:p w14:paraId="22B1026B" w14:textId="77777777" w:rsidR="00A052DC" w:rsidRDefault="009F0A60">
            <w:pPr>
              <w:widowControl/>
              <w:jc w:val="center"/>
              <w:rPr>
                <w:rFonts w:ascii="黑体" w:eastAsia="黑体" w:hAnsi="黑体" w:cs="宋体"/>
                <w:b/>
                <w:bCs/>
                <w:color w:val="000000"/>
                <w:kern w:val="0"/>
                <w:sz w:val="20"/>
                <w:szCs w:val="20"/>
              </w:rPr>
            </w:pPr>
            <w:r>
              <w:rPr>
                <w:rFonts w:ascii="黑体" w:eastAsia="黑体" w:hAnsi="黑体" w:cs="宋体" w:hint="eastAsia"/>
                <w:b/>
                <w:bCs/>
                <w:color w:val="000000"/>
                <w:kern w:val="0"/>
                <w:sz w:val="20"/>
                <w:szCs w:val="20"/>
              </w:rPr>
              <w:t>校验</w:t>
            </w:r>
          </w:p>
        </w:tc>
      </w:tr>
      <w:tr w:rsidR="00A052DC" w14:paraId="5F01568B" w14:textId="77777777">
        <w:trPr>
          <w:trHeight w:val="270"/>
          <w:jc w:val="center"/>
        </w:trPr>
        <w:tc>
          <w:tcPr>
            <w:tcW w:w="1516" w:type="dxa"/>
            <w:tcBorders>
              <w:top w:val="nil"/>
              <w:left w:val="single" w:sz="4" w:space="0" w:color="auto"/>
              <w:bottom w:val="single" w:sz="4" w:space="0" w:color="auto"/>
              <w:right w:val="single" w:sz="4" w:space="0" w:color="auto"/>
            </w:tcBorders>
            <w:vAlign w:val="center"/>
          </w:tcPr>
          <w:p w14:paraId="21AD8898"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ACTIONTYPE</w:t>
            </w:r>
          </w:p>
        </w:tc>
        <w:tc>
          <w:tcPr>
            <w:tcW w:w="1863" w:type="dxa"/>
            <w:tcBorders>
              <w:top w:val="nil"/>
              <w:left w:val="single" w:sz="4" w:space="0" w:color="auto"/>
              <w:bottom w:val="single" w:sz="4" w:space="0" w:color="auto"/>
              <w:right w:val="single" w:sz="4" w:space="0" w:color="auto"/>
            </w:tcBorders>
            <w:shd w:val="clear" w:color="auto" w:fill="auto"/>
            <w:vAlign w:val="center"/>
          </w:tcPr>
          <w:p w14:paraId="195DE818"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操作类型</w:t>
            </w:r>
          </w:p>
        </w:tc>
        <w:tc>
          <w:tcPr>
            <w:tcW w:w="1233" w:type="dxa"/>
            <w:tcBorders>
              <w:top w:val="nil"/>
              <w:left w:val="nil"/>
              <w:bottom w:val="single" w:sz="4" w:space="0" w:color="auto"/>
              <w:right w:val="single" w:sz="4" w:space="0" w:color="auto"/>
            </w:tcBorders>
            <w:shd w:val="clear" w:color="auto" w:fill="auto"/>
            <w:vAlign w:val="center"/>
          </w:tcPr>
          <w:p w14:paraId="429D8F06"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字符</w:t>
            </w:r>
          </w:p>
        </w:tc>
        <w:tc>
          <w:tcPr>
            <w:tcW w:w="1057" w:type="dxa"/>
            <w:tcBorders>
              <w:top w:val="nil"/>
              <w:left w:val="nil"/>
              <w:bottom w:val="single" w:sz="4" w:space="0" w:color="auto"/>
              <w:right w:val="single" w:sz="4" w:space="0" w:color="auto"/>
            </w:tcBorders>
            <w:shd w:val="clear" w:color="auto" w:fill="auto"/>
            <w:vAlign w:val="center"/>
          </w:tcPr>
          <w:p w14:paraId="3184BCC3"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1</w:t>
            </w:r>
          </w:p>
        </w:tc>
        <w:tc>
          <w:tcPr>
            <w:tcW w:w="3018" w:type="dxa"/>
            <w:tcBorders>
              <w:top w:val="nil"/>
              <w:left w:val="nil"/>
              <w:bottom w:val="single" w:sz="4" w:space="0" w:color="auto"/>
              <w:right w:val="single" w:sz="4" w:space="0" w:color="auto"/>
            </w:tcBorders>
            <w:shd w:val="clear" w:color="auto" w:fill="auto"/>
            <w:vAlign w:val="center"/>
          </w:tcPr>
          <w:p w14:paraId="4C4A47AD" w14:textId="77777777" w:rsidR="006F5A61"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必填项。</w:t>
            </w:r>
          </w:p>
          <w:p w14:paraId="58AC9296" w14:textId="77777777" w:rsidR="006F5A61"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A-新建</w:t>
            </w:r>
          </w:p>
          <w:p w14:paraId="6F805D0E" w14:textId="77777777" w:rsidR="006F5A61"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C-修改</w:t>
            </w:r>
          </w:p>
          <w:p w14:paraId="2A7ED6C0"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D-删除</w:t>
            </w:r>
          </w:p>
        </w:tc>
      </w:tr>
      <w:tr w:rsidR="00A052DC" w14:paraId="50D44D79" w14:textId="77777777">
        <w:trPr>
          <w:trHeight w:val="525"/>
          <w:jc w:val="center"/>
        </w:trPr>
        <w:tc>
          <w:tcPr>
            <w:tcW w:w="1516" w:type="dxa"/>
            <w:tcBorders>
              <w:top w:val="nil"/>
              <w:left w:val="single" w:sz="4" w:space="0" w:color="auto"/>
              <w:bottom w:val="single" w:sz="4" w:space="0" w:color="auto"/>
              <w:right w:val="single" w:sz="4" w:space="0" w:color="auto"/>
            </w:tcBorders>
            <w:vAlign w:val="center"/>
          </w:tcPr>
          <w:p w14:paraId="516207AF"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ACTIONDESC</w:t>
            </w:r>
          </w:p>
        </w:tc>
        <w:tc>
          <w:tcPr>
            <w:tcW w:w="1863" w:type="dxa"/>
            <w:tcBorders>
              <w:top w:val="nil"/>
              <w:left w:val="single" w:sz="4" w:space="0" w:color="auto"/>
              <w:bottom w:val="single" w:sz="4" w:space="0" w:color="auto"/>
              <w:right w:val="single" w:sz="4" w:space="0" w:color="auto"/>
            </w:tcBorders>
            <w:shd w:val="clear" w:color="auto" w:fill="auto"/>
            <w:vAlign w:val="center"/>
          </w:tcPr>
          <w:p w14:paraId="38CDA1B6"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修改/删除原因</w:t>
            </w:r>
          </w:p>
        </w:tc>
        <w:tc>
          <w:tcPr>
            <w:tcW w:w="1233" w:type="dxa"/>
            <w:tcBorders>
              <w:top w:val="nil"/>
              <w:left w:val="nil"/>
              <w:bottom w:val="single" w:sz="4" w:space="0" w:color="auto"/>
              <w:right w:val="single" w:sz="4" w:space="0" w:color="auto"/>
            </w:tcBorders>
            <w:shd w:val="clear" w:color="auto" w:fill="auto"/>
            <w:vAlign w:val="center"/>
          </w:tcPr>
          <w:p w14:paraId="43C1947D"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字符</w:t>
            </w:r>
          </w:p>
        </w:tc>
        <w:tc>
          <w:tcPr>
            <w:tcW w:w="1057" w:type="dxa"/>
            <w:tcBorders>
              <w:top w:val="nil"/>
              <w:left w:val="nil"/>
              <w:bottom w:val="single" w:sz="4" w:space="0" w:color="auto"/>
              <w:right w:val="single" w:sz="4" w:space="0" w:color="auto"/>
            </w:tcBorders>
            <w:shd w:val="clear" w:color="auto" w:fill="auto"/>
            <w:vAlign w:val="center"/>
          </w:tcPr>
          <w:p w14:paraId="746A6349"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128</w:t>
            </w:r>
          </w:p>
        </w:tc>
        <w:tc>
          <w:tcPr>
            <w:tcW w:w="3018" w:type="dxa"/>
            <w:tcBorders>
              <w:top w:val="nil"/>
              <w:left w:val="nil"/>
              <w:bottom w:val="single" w:sz="4" w:space="0" w:color="auto"/>
              <w:right w:val="single" w:sz="4" w:space="0" w:color="auto"/>
            </w:tcBorders>
            <w:shd w:val="clear" w:color="auto" w:fill="auto"/>
            <w:vAlign w:val="center"/>
          </w:tcPr>
          <w:p w14:paraId="306FEC98" w14:textId="77777777" w:rsidR="00A052DC" w:rsidRDefault="00DD6AA3">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非必填项</w:t>
            </w:r>
            <w:r w:rsidR="009F0A60">
              <w:rPr>
                <w:rFonts w:ascii="黑体" w:eastAsia="黑体" w:hAnsi="黑体" w:cs="宋体" w:hint="eastAsia"/>
                <w:color w:val="000000"/>
                <w:kern w:val="0"/>
                <w:sz w:val="20"/>
                <w:szCs w:val="20"/>
              </w:rPr>
              <w:t>。当操作类型为C/D时，不得为空。</w:t>
            </w:r>
          </w:p>
        </w:tc>
      </w:tr>
      <w:tr w:rsidR="00A052DC" w14:paraId="6B677EC9" w14:textId="77777777">
        <w:trPr>
          <w:trHeight w:val="525"/>
          <w:jc w:val="center"/>
        </w:trPr>
        <w:tc>
          <w:tcPr>
            <w:tcW w:w="1516" w:type="dxa"/>
            <w:tcBorders>
              <w:top w:val="nil"/>
              <w:left w:val="single" w:sz="4" w:space="0" w:color="auto"/>
              <w:bottom w:val="single" w:sz="4" w:space="0" w:color="auto"/>
              <w:right w:val="single" w:sz="4" w:space="0" w:color="auto"/>
            </w:tcBorders>
            <w:vAlign w:val="center"/>
          </w:tcPr>
          <w:p w14:paraId="7BACF504"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RPTNO</w:t>
            </w:r>
          </w:p>
        </w:tc>
        <w:tc>
          <w:tcPr>
            <w:tcW w:w="1863" w:type="dxa"/>
            <w:tcBorders>
              <w:top w:val="nil"/>
              <w:left w:val="single" w:sz="4" w:space="0" w:color="auto"/>
              <w:bottom w:val="single" w:sz="4" w:space="0" w:color="auto"/>
              <w:right w:val="single" w:sz="4" w:space="0" w:color="auto"/>
            </w:tcBorders>
            <w:shd w:val="clear" w:color="auto" w:fill="auto"/>
            <w:vAlign w:val="center"/>
          </w:tcPr>
          <w:p w14:paraId="3540A765"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申报号码</w:t>
            </w:r>
          </w:p>
        </w:tc>
        <w:tc>
          <w:tcPr>
            <w:tcW w:w="1233" w:type="dxa"/>
            <w:tcBorders>
              <w:top w:val="nil"/>
              <w:left w:val="nil"/>
              <w:bottom w:val="single" w:sz="4" w:space="0" w:color="auto"/>
              <w:right w:val="single" w:sz="4" w:space="0" w:color="auto"/>
            </w:tcBorders>
            <w:shd w:val="clear" w:color="auto" w:fill="auto"/>
            <w:vAlign w:val="center"/>
          </w:tcPr>
          <w:p w14:paraId="0C629ACC"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字符</w:t>
            </w:r>
          </w:p>
        </w:tc>
        <w:tc>
          <w:tcPr>
            <w:tcW w:w="1057" w:type="dxa"/>
            <w:tcBorders>
              <w:top w:val="nil"/>
              <w:left w:val="nil"/>
              <w:bottom w:val="single" w:sz="4" w:space="0" w:color="auto"/>
              <w:right w:val="single" w:sz="4" w:space="0" w:color="auto"/>
            </w:tcBorders>
            <w:shd w:val="clear" w:color="auto" w:fill="auto"/>
            <w:vAlign w:val="center"/>
          </w:tcPr>
          <w:p w14:paraId="3DD93410"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26</w:t>
            </w:r>
          </w:p>
        </w:tc>
        <w:tc>
          <w:tcPr>
            <w:tcW w:w="3018" w:type="dxa"/>
            <w:tcBorders>
              <w:top w:val="nil"/>
              <w:left w:val="nil"/>
              <w:bottom w:val="single" w:sz="4" w:space="0" w:color="auto"/>
              <w:right w:val="single" w:sz="4" w:space="0" w:color="auto"/>
            </w:tcBorders>
            <w:shd w:val="clear" w:color="auto" w:fill="auto"/>
            <w:vAlign w:val="center"/>
          </w:tcPr>
          <w:p w14:paraId="50AF2D3E"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共计26位，12位金融机构标识码+6位交易日期（YYMMDD）+1位业务代码（C存,Q取）+7位流水号。</w:t>
            </w:r>
          </w:p>
        </w:tc>
      </w:tr>
      <w:tr w:rsidR="00A052DC" w14:paraId="289240E9" w14:textId="77777777">
        <w:trPr>
          <w:trHeight w:val="525"/>
          <w:jc w:val="center"/>
        </w:trPr>
        <w:tc>
          <w:tcPr>
            <w:tcW w:w="1516" w:type="dxa"/>
            <w:tcBorders>
              <w:top w:val="nil"/>
              <w:left w:val="single" w:sz="4" w:space="0" w:color="auto"/>
              <w:bottom w:val="single" w:sz="4" w:space="0" w:color="auto"/>
              <w:right w:val="single" w:sz="4" w:space="0" w:color="auto"/>
            </w:tcBorders>
            <w:vAlign w:val="center"/>
          </w:tcPr>
          <w:p w14:paraId="7C77C7FF"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BANKBIZCODE</w:t>
            </w:r>
          </w:p>
        </w:tc>
        <w:tc>
          <w:tcPr>
            <w:tcW w:w="1863" w:type="dxa"/>
            <w:tcBorders>
              <w:top w:val="nil"/>
              <w:left w:val="single" w:sz="4" w:space="0" w:color="auto"/>
              <w:bottom w:val="single" w:sz="4" w:space="0" w:color="auto"/>
              <w:right w:val="single" w:sz="4" w:space="0" w:color="auto"/>
            </w:tcBorders>
            <w:shd w:val="clear" w:color="auto" w:fill="auto"/>
            <w:vAlign w:val="center"/>
          </w:tcPr>
          <w:p w14:paraId="1A407FE5"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银行业务编号</w:t>
            </w:r>
          </w:p>
        </w:tc>
        <w:tc>
          <w:tcPr>
            <w:tcW w:w="1233" w:type="dxa"/>
            <w:tcBorders>
              <w:top w:val="nil"/>
              <w:left w:val="nil"/>
              <w:bottom w:val="single" w:sz="4" w:space="0" w:color="auto"/>
              <w:right w:val="single" w:sz="4" w:space="0" w:color="auto"/>
            </w:tcBorders>
            <w:shd w:val="clear" w:color="auto" w:fill="auto"/>
            <w:vAlign w:val="center"/>
          </w:tcPr>
          <w:p w14:paraId="37772A37"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字符</w:t>
            </w:r>
          </w:p>
        </w:tc>
        <w:tc>
          <w:tcPr>
            <w:tcW w:w="1057" w:type="dxa"/>
            <w:tcBorders>
              <w:top w:val="nil"/>
              <w:left w:val="nil"/>
              <w:bottom w:val="single" w:sz="4" w:space="0" w:color="auto"/>
              <w:right w:val="single" w:sz="4" w:space="0" w:color="auto"/>
            </w:tcBorders>
            <w:shd w:val="clear" w:color="auto" w:fill="auto"/>
            <w:vAlign w:val="center"/>
          </w:tcPr>
          <w:p w14:paraId="719B5865"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60</w:t>
            </w:r>
          </w:p>
        </w:tc>
        <w:tc>
          <w:tcPr>
            <w:tcW w:w="3018" w:type="dxa"/>
            <w:tcBorders>
              <w:top w:val="nil"/>
              <w:left w:val="nil"/>
              <w:bottom w:val="single" w:sz="4" w:space="0" w:color="auto"/>
              <w:right w:val="single" w:sz="4" w:space="0" w:color="auto"/>
            </w:tcBorders>
            <w:shd w:val="clear" w:color="auto" w:fill="auto"/>
            <w:vAlign w:val="center"/>
          </w:tcPr>
          <w:p w14:paraId="6F9B016A"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必填项。该笔业务在银行的业务编号。</w:t>
            </w:r>
          </w:p>
        </w:tc>
      </w:tr>
      <w:tr w:rsidR="00A052DC" w14:paraId="111F6666" w14:textId="77777777">
        <w:trPr>
          <w:trHeight w:val="525"/>
          <w:jc w:val="center"/>
        </w:trPr>
        <w:tc>
          <w:tcPr>
            <w:tcW w:w="1516" w:type="dxa"/>
            <w:tcBorders>
              <w:top w:val="nil"/>
              <w:left w:val="single" w:sz="4" w:space="0" w:color="auto"/>
              <w:bottom w:val="single" w:sz="4" w:space="0" w:color="auto"/>
              <w:right w:val="single" w:sz="4" w:space="0" w:color="auto"/>
            </w:tcBorders>
            <w:vAlign w:val="center"/>
          </w:tcPr>
          <w:p w14:paraId="0DD0F8CC"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CUSTCODE</w:t>
            </w:r>
          </w:p>
        </w:tc>
        <w:tc>
          <w:tcPr>
            <w:tcW w:w="1863" w:type="dxa"/>
            <w:tcBorders>
              <w:top w:val="nil"/>
              <w:left w:val="single" w:sz="4" w:space="0" w:color="auto"/>
              <w:bottom w:val="single" w:sz="4" w:space="0" w:color="auto"/>
              <w:right w:val="single" w:sz="4" w:space="0" w:color="auto"/>
            </w:tcBorders>
            <w:shd w:val="clear" w:color="auto" w:fill="auto"/>
            <w:vAlign w:val="center"/>
          </w:tcPr>
          <w:p w14:paraId="24E56EE5"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机构代码</w:t>
            </w:r>
          </w:p>
        </w:tc>
        <w:tc>
          <w:tcPr>
            <w:tcW w:w="1233" w:type="dxa"/>
            <w:tcBorders>
              <w:top w:val="nil"/>
              <w:left w:val="nil"/>
              <w:bottom w:val="single" w:sz="4" w:space="0" w:color="auto"/>
              <w:right w:val="single" w:sz="4" w:space="0" w:color="auto"/>
            </w:tcBorders>
            <w:shd w:val="clear" w:color="auto" w:fill="auto"/>
            <w:vAlign w:val="center"/>
          </w:tcPr>
          <w:p w14:paraId="10DC174B"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字符</w:t>
            </w:r>
          </w:p>
        </w:tc>
        <w:tc>
          <w:tcPr>
            <w:tcW w:w="1057" w:type="dxa"/>
            <w:tcBorders>
              <w:top w:val="nil"/>
              <w:left w:val="nil"/>
              <w:bottom w:val="single" w:sz="4" w:space="0" w:color="auto"/>
              <w:right w:val="single" w:sz="4" w:space="0" w:color="auto"/>
            </w:tcBorders>
            <w:shd w:val="clear" w:color="auto" w:fill="auto"/>
            <w:vAlign w:val="center"/>
          </w:tcPr>
          <w:p w14:paraId="66765263"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18</w:t>
            </w:r>
          </w:p>
        </w:tc>
        <w:tc>
          <w:tcPr>
            <w:tcW w:w="3018" w:type="dxa"/>
            <w:tcBorders>
              <w:top w:val="nil"/>
              <w:left w:val="nil"/>
              <w:bottom w:val="single" w:sz="4" w:space="0" w:color="auto"/>
              <w:right w:val="single" w:sz="4" w:space="0" w:color="auto"/>
            </w:tcBorders>
            <w:shd w:val="clear" w:color="auto" w:fill="auto"/>
            <w:vAlign w:val="center"/>
          </w:tcPr>
          <w:p w14:paraId="64439E5E"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必填项。按统一社会信用代码中的9位主体标识码（组织机构代码）或特殊机构赋码编制规则进行校验，字段长度仍预留18位。</w:t>
            </w:r>
          </w:p>
        </w:tc>
      </w:tr>
      <w:tr w:rsidR="00A052DC" w14:paraId="60F15FC7" w14:textId="77777777">
        <w:trPr>
          <w:trHeight w:val="525"/>
          <w:jc w:val="center"/>
        </w:trPr>
        <w:tc>
          <w:tcPr>
            <w:tcW w:w="1516" w:type="dxa"/>
            <w:tcBorders>
              <w:top w:val="nil"/>
              <w:left w:val="single" w:sz="4" w:space="0" w:color="auto"/>
              <w:bottom w:val="single" w:sz="4" w:space="0" w:color="auto"/>
              <w:right w:val="single" w:sz="4" w:space="0" w:color="auto"/>
            </w:tcBorders>
            <w:vAlign w:val="center"/>
          </w:tcPr>
          <w:p w14:paraId="7CA82042"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CUSTNAME</w:t>
            </w:r>
          </w:p>
        </w:tc>
        <w:tc>
          <w:tcPr>
            <w:tcW w:w="1863" w:type="dxa"/>
            <w:tcBorders>
              <w:top w:val="nil"/>
              <w:left w:val="single" w:sz="4" w:space="0" w:color="auto"/>
              <w:bottom w:val="single" w:sz="4" w:space="0" w:color="auto"/>
              <w:right w:val="single" w:sz="4" w:space="0" w:color="auto"/>
            </w:tcBorders>
            <w:shd w:val="clear" w:color="auto" w:fill="auto"/>
            <w:vAlign w:val="center"/>
          </w:tcPr>
          <w:p w14:paraId="58EA6F93"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机构名称</w:t>
            </w:r>
          </w:p>
        </w:tc>
        <w:tc>
          <w:tcPr>
            <w:tcW w:w="1233" w:type="dxa"/>
            <w:tcBorders>
              <w:top w:val="nil"/>
              <w:left w:val="nil"/>
              <w:bottom w:val="single" w:sz="4" w:space="0" w:color="auto"/>
              <w:right w:val="single" w:sz="4" w:space="0" w:color="auto"/>
            </w:tcBorders>
            <w:shd w:val="clear" w:color="auto" w:fill="auto"/>
            <w:vAlign w:val="center"/>
          </w:tcPr>
          <w:p w14:paraId="34C72DF3"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字符</w:t>
            </w:r>
          </w:p>
        </w:tc>
        <w:tc>
          <w:tcPr>
            <w:tcW w:w="1057" w:type="dxa"/>
            <w:tcBorders>
              <w:top w:val="nil"/>
              <w:left w:val="nil"/>
              <w:bottom w:val="single" w:sz="4" w:space="0" w:color="auto"/>
              <w:right w:val="single" w:sz="4" w:space="0" w:color="auto"/>
            </w:tcBorders>
            <w:shd w:val="clear" w:color="auto" w:fill="auto"/>
            <w:vAlign w:val="center"/>
          </w:tcPr>
          <w:p w14:paraId="583A8B0F"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128</w:t>
            </w:r>
          </w:p>
        </w:tc>
        <w:tc>
          <w:tcPr>
            <w:tcW w:w="3018" w:type="dxa"/>
            <w:tcBorders>
              <w:top w:val="nil"/>
              <w:left w:val="nil"/>
              <w:bottom w:val="single" w:sz="4" w:space="0" w:color="auto"/>
              <w:right w:val="single" w:sz="4" w:space="0" w:color="auto"/>
            </w:tcBorders>
            <w:shd w:val="clear" w:color="auto" w:fill="auto"/>
            <w:vAlign w:val="center"/>
          </w:tcPr>
          <w:p w14:paraId="58F598BD"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必填项。</w:t>
            </w:r>
          </w:p>
        </w:tc>
      </w:tr>
      <w:tr w:rsidR="00A052DC" w14:paraId="34E50750" w14:textId="77777777">
        <w:trPr>
          <w:trHeight w:val="525"/>
          <w:jc w:val="center"/>
        </w:trPr>
        <w:tc>
          <w:tcPr>
            <w:tcW w:w="1516" w:type="dxa"/>
            <w:tcBorders>
              <w:top w:val="nil"/>
              <w:left w:val="single" w:sz="4" w:space="0" w:color="auto"/>
              <w:bottom w:val="single" w:sz="4" w:space="0" w:color="auto"/>
              <w:right w:val="single" w:sz="4" w:space="0" w:color="auto"/>
            </w:tcBorders>
            <w:vAlign w:val="center"/>
          </w:tcPr>
          <w:p w14:paraId="26F43C52"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DEALTIME</w:t>
            </w:r>
          </w:p>
        </w:tc>
        <w:tc>
          <w:tcPr>
            <w:tcW w:w="1863" w:type="dxa"/>
            <w:tcBorders>
              <w:top w:val="nil"/>
              <w:left w:val="single" w:sz="4" w:space="0" w:color="auto"/>
              <w:bottom w:val="single" w:sz="4" w:space="0" w:color="auto"/>
              <w:right w:val="single" w:sz="4" w:space="0" w:color="auto"/>
            </w:tcBorders>
            <w:shd w:val="clear" w:color="auto" w:fill="auto"/>
            <w:vAlign w:val="center"/>
          </w:tcPr>
          <w:p w14:paraId="02BAE644"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交易时间</w:t>
            </w:r>
          </w:p>
        </w:tc>
        <w:tc>
          <w:tcPr>
            <w:tcW w:w="1233" w:type="dxa"/>
            <w:tcBorders>
              <w:top w:val="nil"/>
              <w:left w:val="nil"/>
              <w:bottom w:val="single" w:sz="4" w:space="0" w:color="auto"/>
              <w:right w:val="single" w:sz="4" w:space="0" w:color="auto"/>
            </w:tcBorders>
            <w:shd w:val="clear" w:color="auto" w:fill="auto"/>
            <w:vAlign w:val="center"/>
          </w:tcPr>
          <w:p w14:paraId="57207553"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字符</w:t>
            </w:r>
          </w:p>
        </w:tc>
        <w:tc>
          <w:tcPr>
            <w:tcW w:w="1057" w:type="dxa"/>
            <w:tcBorders>
              <w:top w:val="nil"/>
              <w:left w:val="nil"/>
              <w:bottom w:val="single" w:sz="4" w:space="0" w:color="auto"/>
              <w:right w:val="single" w:sz="4" w:space="0" w:color="auto"/>
            </w:tcBorders>
            <w:shd w:val="clear" w:color="auto" w:fill="auto"/>
            <w:vAlign w:val="center"/>
          </w:tcPr>
          <w:p w14:paraId="1341DAF5"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20</w:t>
            </w:r>
          </w:p>
        </w:tc>
        <w:tc>
          <w:tcPr>
            <w:tcW w:w="3018" w:type="dxa"/>
            <w:tcBorders>
              <w:top w:val="nil"/>
              <w:left w:val="nil"/>
              <w:bottom w:val="single" w:sz="4" w:space="0" w:color="auto"/>
              <w:right w:val="single" w:sz="4" w:space="0" w:color="auto"/>
            </w:tcBorders>
            <w:shd w:val="clear" w:color="auto" w:fill="auto"/>
            <w:vAlign w:val="center"/>
          </w:tcPr>
          <w:p w14:paraId="60799F66"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必填项。YYYY-MM-DD hh:mm:ss</w:t>
            </w:r>
            <w:r w:rsidR="005D2C5E">
              <w:rPr>
                <w:rFonts w:ascii="黑体" w:eastAsia="黑体" w:hAnsi="黑体" w:cs="宋体" w:hint="eastAsia"/>
                <w:color w:val="000000"/>
                <w:kern w:val="0"/>
                <w:sz w:val="20"/>
                <w:szCs w:val="20"/>
              </w:rPr>
              <w:t>。</w:t>
            </w:r>
          </w:p>
        </w:tc>
      </w:tr>
      <w:tr w:rsidR="00A052DC" w14:paraId="07A42448" w14:textId="77777777">
        <w:trPr>
          <w:trHeight w:val="270"/>
          <w:jc w:val="center"/>
        </w:trPr>
        <w:tc>
          <w:tcPr>
            <w:tcW w:w="1516" w:type="dxa"/>
            <w:tcBorders>
              <w:top w:val="nil"/>
              <w:left w:val="single" w:sz="4" w:space="0" w:color="auto"/>
              <w:bottom w:val="single" w:sz="4" w:space="0" w:color="auto"/>
              <w:right w:val="single" w:sz="4" w:space="0" w:color="auto"/>
            </w:tcBorders>
            <w:vAlign w:val="center"/>
          </w:tcPr>
          <w:p w14:paraId="51565A2F"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TXCCY</w:t>
            </w:r>
          </w:p>
        </w:tc>
        <w:tc>
          <w:tcPr>
            <w:tcW w:w="1863" w:type="dxa"/>
            <w:tcBorders>
              <w:top w:val="nil"/>
              <w:left w:val="single" w:sz="4" w:space="0" w:color="auto"/>
              <w:bottom w:val="single" w:sz="4" w:space="0" w:color="auto"/>
              <w:right w:val="single" w:sz="4" w:space="0" w:color="auto"/>
            </w:tcBorders>
            <w:shd w:val="clear" w:color="auto" w:fill="auto"/>
            <w:vAlign w:val="center"/>
          </w:tcPr>
          <w:p w14:paraId="78CE99E8"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现钞收入币种</w:t>
            </w:r>
          </w:p>
        </w:tc>
        <w:tc>
          <w:tcPr>
            <w:tcW w:w="1233" w:type="dxa"/>
            <w:tcBorders>
              <w:top w:val="nil"/>
              <w:left w:val="nil"/>
              <w:bottom w:val="single" w:sz="4" w:space="0" w:color="auto"/>
              <w:right w:val="single" w:sz="4" w:space="0" w:color="auto"/>
            </w:tcBorders>
            <w:shd w:val="clear" w:color="auto" w:fill="auto"/>
            <w:vAlign w:val="center"/>
          </w:tcPr>
          <w:p w14:paraId="28F35B82"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字符</w:t>
            </w:r>
          </w:p>
        </w:tc>
        <w:tc>
          <w:tcPr>
            <w:tcW w:w="1057" w:type="dxa"/>
            <w:tcBorders>
              <w:top w:val="nil"/>
              <w:left w:val="nil"/>
              <w:bottom w:val="single" w:sz="4" w:space="0" w:color="auto"/>
              <w:right w:val="single" w:sz="4" w:space="0" w:color="auto"/>
            </w:tcBorders>
            <w:shd w:val="clear" w:color="auto" w:fill="auto"/>
            <w:vAlign w:val="center"/>
          </w:tcPr>
          <w:p w14:paraId="1B0A5861"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3</w:t>
            </w:r>
          </w:p>
        </w:tc>
        <w:tc>
          <w:tcPr>
            <w:tcW w:w="3018" w:type="dxa"/>
            <w:tcBorders>
              <w:top w:val="nil"/>
              <w:left w:val="nil"/>
              <w:bottom w:val="single" w:sz="4" w:space="0" w:color="auto"/>
              <w:right w:val="single" w:sz="4" w:space="0" w:color="auto"/>
            </w:tcBorders>
            <w:shd w:val="clear" w:color="auto" w:fill="auto"/>
            <w:vAlign w:val="center"/>
          </w:tcPr>
          <w:p w14:paraId="76ED4605"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必填项，见币种代码表。</w:t>
            </w:r>
          </w:p>
        </w:tc>
      </w:tr>
      <w:tr w:rsidR="00A052DC" w14:paraId="6AFBAF73" w14:textId="77777777">
        <w:trPr>
          <w:trHeight w:val="270"/>
          <w:jc w:val="center"/>
        </w:trPr>
        <w:tc>
          <w:tcPr>
            <w:tcW w:w="1516" w:type="dxa"/>
            <w:tcBorders>
              <w:top w:val="nil"/>
              <w:left w:val="single" w:sz="4" w:space="0" w:color="auto"/>
              <w:bottom w:val="single" w:sz="4" w:space="0" w:color="auto"/>
              <w:right w:val="single" w:sz="4" w:space="0" w:color="auto"/>
            </w:tcBorders>
            <w:vAlign w:val="center"/>
          </w:tcPr>
          <w:p w14:paraId="3F109860"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CSHAMT</w:t>
            </w:r>
          </w:p>
        </w:tc>
        <w:tc>
          <w:tcPr>
            <w:tcW w:w="1863" w:type="dxa"/>
            <w:tcBorders>
              <w:top w:val="nil"/>
              <w:left w:val="single" w:sz="4" w:space="0" w:color="auto"/>
              <w:bottom w:val="single" w:sz="4" w:space="0" w:color="auto"/>
              <w:right w:val="single" w:sz="4" w:space="0" w:color="auto"/>
            </w:tcBorders>
            <w:shd w:val="clear" w:color="auto" w:fill="auto"/>
            <w:vAlign w:val="center"/>
          </w:tcPr>
          <w:p w14:paraId="7AB279E1"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现钞收入金额</w:t>
            </w:r>
          </w:p>
        </w:tc>
        <w:tc>
          <w:tcPr>
            <w:tcW w:w="1233" w:type="dxa"/>
            <w:tcBorders>
              <w:top w:val="nil"/>
              <w:left w:val="nil"/>
              <w:bottom w:val="single" w:sz="4" w:space="0" w:color="auto"/>
              <w:right w:val="single" w:sz="4" w:space="0" w:color="auto"/>
            </w:tcBorders>
            <w:shd w:val="clear" w:color="auto" w:fill="auto"/>
            <w:vAlign w:val="center"/>
          </w:tcPr>
          <w:p w14:paraId="2BFAB93B"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数值</w:t>
            </w:r>
          </w:p>
        </w:tc>
        <w:tc>
          <w:tcPr>
            <w:tcW w:w="1057" w:type="dxa"/>
            <w:tcBorders>
              <w:top w:val="nil"/>
              <w:left w:val="nil"/>
              <w:bottom w:val="single" w:sz="4" w:space="0" w:color="auto"/>
              <w:right w:val="single" w:sz="4" w:space="0" w:color="auto"/>
            </w:tcBorders>
            <w:shd w:val="clear" w:color="auto" w:fill="auto"/>
            <w:vAlign w:val="center"/>
          </w:tcPr>
          <w:p w14:paraId="4CA0D616"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22.2</w:t>
            </w:r>
          </w:p>
        </w:tc>
        <w:tc>
          <w:tcPr>
            <w:tcW w:w="3018" w:type="dxa"/>
            <w:tcBorders>
              <w:top w:val="nil"/>
              <w:left w:val="nil"/>
              <w:bottom w:val="single" w:sz="4" w:space="0" w:color="auto"/>
              <w:right w:val="single" w:sz="4" w:space="0" w:color="auto"/>
            </w:tcBorders>
            <w:shd w:val="clear" w:color="auto" w:fill="auto"/>
            <w:vAlign w:val="center"/>
          </w:tcPr>
          <w:p w14:paraId="5141F909"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必填项。机构现钞金额为结汇金额、存汇金额的总和。</w:t>
            </w:r>
          </w:p>
        </w:tc>
      </w:tr>
      <w:tr w:rsidR="00A052DC" w14:paraId="5B7AC21E" w14:textId="77777777">
        <w:trPr>
          <w:trHeight w:val="270"/>
          <w:jc w:val="center"/>
        </w:trPr>
        <w:tc>
          <w:tcPr>
            <w:tcW w:w="1516" w:type="dxa"/>
            <w:tcBorders>
              <w:top w:val="nil"/>
              <w:left w:val="single" w:sz="4" w:space="0" w:color="auto"/>
              <w:bottom w:val="single" w:sz="4" w:space="0" w:color="auto"/>
              <w:right w:val="single" w:sz="4" w:space="0" w:color="auto"/>
            </w:tcBorders>
            <w:vAlign w:val="center"/>
          </w:tcPr>
          <w:p w14:paraId="5486BF2B"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CSHAMTUSD</w:t>
            </w:r>
          </w:p>
        </w:tc>
        <w:tc>
          <w:tcPr>
            <w:tcW w:w="1863" w:type="dxa"/>
            <w:tcBorders>
              <w:top w:val="nil"/>
              <w:left w:val="single" w:sz="4" w:space="0" w:color="auto"/>
              <w:bottom w:val="single" w:sz="4" w:space="0" w:color="auto"/>
              <w:right w:val="single" w:sz="4" w:space="0" w:color="auto"/>
            </w:tcBorders>
            <w:shd w:val="clear" w:color="auto" w:fill="auto"/>
            <w:vAlign w:val="center"/>
          </w:tcPr>
          <w:p w14:paraId="5060C024"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现钞收入折美元金额</w:t>
            </w:r>
          </w:p>
        </w:tc>
        <w:tc>
          <w:tcPr>
            <w:tcW w:w="1233" w:type="dxa"/>
            <w:tcBorders>
              <w:top w:val="nil"/>
              <w:left w:val="nil"/>
              <w:bottom w:val="single" w:sz="4" w:space="0" w:color="auto"/>
              <w:right w:val="single" w:sz="4" w:space="0" w:color="auto"/>
            </w:tcBorders>
            <w:shd w:val="clear" w:color="auto" w:fill="auto"/>
            <w:vAlign w:val="center"/>
          </w:tcPr>
          <w:p w14:paraId="2AB81805"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数值</w:t>
            </w:r>
          </w:p>
        </w:tc>
        <w:tc>
          <w:tcPr>
            <w:tcW w:w="1057" w:type="dxa"/>
            <w:tcBorders>
              <w:top w:val="nil"/>
              <w:left w:val="nil"/>
              <w:bottom w:val="single" w:sz="4" w:space="0" w:color="auto"/>
              <w:right w:val="single" w:sz="4" w:space="0" w:color="auto"/>
            </w:tcBorders>
            <w:shd w:val="clear" w:color="auto" w:fill="auto"/>
            <w:vAlign w:val="center"/>
          </w:tcPr>
          <w:p w14:paraId="737E43B7"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22.2</w:t>
            </w:r>
          </w:p>
        </w:tc>
        <w:tc>
          <w:tcPr>
            <w:tcW w:w="3018" w:type="dxa"/>
            <w:tcBorders>
              <w:top w:val="nil"/>
              <w:left w:val="nil"/>
              <w:bottom w:val="single" w:sz="4" w:space="0" w:color="auto"/>
              <w:right w:val="single" w:sz="4" w:space="0" w:color="auto"/>
            </w:tcBorders>
            <w:shd w:val="clear" w:color="auto" w:fill="auto"/>
            <w:vAlign w:val="center"/>
          </w:tcPr>
          <w:p w14:paraId="4DF8C3C2"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必填项。机构现钞折美元金额为结汇金额折美元、存汇金额折美元的总和。</w:t>
            </w:r>
          </w:p>
        </w:tc>
      </w:tr>
      <w:tr w:rsidR="00A052DC" w14:paraId="2D4AE8D6" w14:textId="77777777">
        <w:trPr>
          <w:trHeight w:val="270"/>
          <w:jc w:val="center"/>
        </w:trPr>
        <w:tc>
          <w:tcPr>
            <w:tcW w:w="1516" w:type="dxa"/>
            <w:tcBorders>
              <w:top w:val="nil"/>
              <w:left w:val="single" w:sz="4" w:space="0" w:color="auto"/>
              <w:bottom w:val="single" w:sz="4" w:space="0" w:color="auto"/>
              <w:right w:val="single" w:sz="4" w:space="0" w:color="auto"/>
            </w:tcBorders>
            <w:vAlign w:val="center"/>
          </w:tcPr>
          <w:p w14:paraId="0F75CE2C" w14:textId="77777777" w:rsidR="00A052DC" w:rsidRDefault="009F0A60">
            <w:pPr>
              <w:widowControl/>
              <w:rPr>
                <w:rFonts w:ascii="黑体" w:eastAsia="黑体" w:hAnsi="黑体" w:cs="宋体"/>
                <w:color w:val="000000"/>
                <w:kern w:val="0"/>
                <w:sz w:val="20"/>
                <w:szCs w:val="20"/>
              </w:rPr>
            </w:pPr>
            <w:r>
              <w:rPr>
                <w:rFonts w:ascii="黑体" w:eastAsia="黑体" w:hAnsi="黑体" w:hint="eastAsia"/>
                <w:sz w:val="20"/>
                <w:szCs w:val="20"/>
              </w:rPr>
              <w:t>LCYAMT</w:t>
            </w:r>
          </w:p>
        </w:tc>
        <w:tc>
          <w:tcPr>
            <w:tcW w:w="1863" w:type="dxa"/>
            <w:tcBorders>
              <w:top w:val="nil"/>
              <w:left w:val="single" w:sz="4" w:space="0" w:color="auto"/>
              <w:bottom w:val="single" w:sz="4" w:space="0" w:color="auto"/>
              <w:right w:val="single" w:sz="4" w:space="0" w:color="auto"/>
            </w:tcBorders>
            <w:shd w:val="clear" w:color="auto" w:fill="auto"/>
            <w:vAlign w:val="center"/>
          </w:tcPr>
          <w:p w14:paraId="35731639"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结汇金额</w:t>
            </w:r>
          </w:p>
        </w:tc>
        <w:tc>
          <w:tcPr>
            <w:tcW w:w="1233" w:type="dxa"/>
            <w:tcBorders>
              <w:top w:val="nil"/>
              <w:left w:val="nil"/>
              <w:bottom w:val="single" w:sz="4" w:space="0" w:color="auto"/>
              <w:right w:val="single" w:sz="4" w:space="0" w:color="auto"/>
            </w:tcBorders>
            <w:shd w:val="clear" w:color="auto" w:fill="auto"/>
            <w:vAlign w:val="center"/>
          </w:tcPr>
          <w:p w14:paraId="1B2850F1"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数值</w:t>
            </w:r>
          </w:p>
        </w:tc>
        <w:tc>
          <w:tcPr>
            <w:tcW w:w="1057" w:type="dxa"/>
            <w:tcBorders>
              <w:top w:val="nil"/>
              <w:left w:val="nil"/>
              <w:bottom w:val="single" w:sz="4" w:space="0" w:color="auto"/>
              <w:right w:val="single" w:sz="4" w:space="0" w:color="auto"/>
            </w:tcBorders>
            <w:shd w:val="clear" w:color="auto" w:fill="auto"/>
            <w:vAlign w:val="center"/>
          </w:tcPr>
          <w:p w14:paraId="74B5E4EB"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22.2</w:t>
            </w:r>
          </w:p>
        </w:tc>
        <w:tc>
          <w:tcPr>
            <w:tcW w:w="3018" w:type="dxa"/>
            <w:tcBorders>
              <w:top w:val="nil"/>
              <w:left w:val="nil"/>
              <w:bottom w:val="single" w:sz="4" w:space="0" w:color="auto"/>
              <w:right w:val="single" w:sz="4" w:space="0" w:color="auto"/>
            </w:tcBorders>
            <w:shd w:val="clear" w:color="auto" w:fill="auto"/>
            <w:vAlign w:val="center"/>
          </w:tcPr>
          <w:p w14:paraId="011C147E" w14:textId="77777777" w:rsidR="00A052DC" w:rsidRDefault="00DD6AA3">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非必填项</w:t>
            </w:r>
            <w:r w:rsidR="009F0A60">
              <w:rPr>
                <w:rFonts w:ascii="黑体" w:eastAsia="黑体" w:hAnsi="黑体" w:cs="宋体" w:hint="eastAsia"/>
                <w:color w:val="000000"/>
                <w:kern w:val="0"/>
                <w:sz w:val="20"/>
                <w:szCs w:val="20"/>
              </w:rPr>
              <w:t>。结汇金额与存汇金额不同时为空。</w:t>
            </w:r>
          </w:p>
        </w:tc>
      </w:tr>
      <w:tr w:rsidR="00A052DC" w14:paraId="4137D292" w14:textId="77777777">
        <w:trPr>
          <w:trHeight w:val="270"/>
          <w:jc w:val="center"/>
        </w:trPr>
        <w:tc>
          <w:tcPr>
            <w:tcW w:w="1516" w:type="dxa"/>
            <w:tcBorders>
              <w:top w:val="nil"/>
              <w:left w:val="single" w:sz="4" w:space="0" w:color="auto"/>
              <w:bottom w:val="single" w:sz="4" w:space="0" w:color="auto"/>
              <w:right w:val="single" w:sz="4" w:space="0" w:color="auto"/>
            </w:tcBorders>
            <w:vAlign w:val="center"/>
          </w:tcPr>
          <w:p w14:paraId="2DD32306" w14:textId="77777777" w:rsidR="00A052DC" w:rsidRDefault="009F0A60">
            <w:pPr>
              <w:widowControl/>
              <w:rPr>
                <w:rFonts w:ascii="黑体" w:eastAsia="黑体" w:hAnsi="黑体" w:cs="宋体"/>
                <w:color w:val="000000"/>
                <w:kern w:val="0"/>
                <w:sz w:val="20"/>
                <w:szCs w:val="20"/>
              </w:rPr>
            </w:pPr>
            <w:r>
              <w:rPr>
                <w:rFonts w:ascii="黑体" w:eastAsia="黑体" w:hAnsi="黑体" w:hint="eastAsia"/>
                <w:sz w:val="20"/>
                <w:szCs w:val="20"/>
              </w:rPr>
              <w:t>LCYAMTUSD</w:t>
            </w:r>
          </w:p>
        </w:tc>
        <w:tc>
          <w:tcPr>
            <w:tcW w:w="1863" w:type="dxa"/>
            <w:tcBorders>
              <w:top w:val="nil"/>
              <w:left w:val="single" w:sz="4" w:space="0" w:color="auto"/>
              <w:bottom w:val="single" w:sz="4" w:space="0" w:color="auto"/>
              <w:right w:val="single" w:sz="4" w:space="0" w:color="auto"/>
            </w:tcBorders>
            <w:shd w:val="clear" w:color="auto" w:fill="auto"/>
            <w:vAlign w:val="center"/>
          </w:tcPr>
          <w:p w14:paraId="17F374E3"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结汇金额折美元</w:t>
            </w:r>
          </w:p>
        </w:tc>
        <w:tc>
          <w:tcPr>
            <w:tcW w:w="1233" w:type="dxa"/>
            <w:tcBorders>
              <w:top w:val="nil"/>
              <w:left w:val="nil"/>
              <w:bottom w:val="single" w:sz="4" w:space="0" w:color="auto"/>
              <w:right w:val="single" w:sz="4" w:space="0" w:color="auto"/>
            </w:tcBorders>
            <w:shd w:val="clear" w:color="auto" w:fill="auto"/>
            <w:vAlign w:val="center"/>
          </w:tcPr>
          <w:p w14:paraId="71D7E02C"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数值</w:t>
            </w:r>
          </w:p>
        </w:tc>
        <w:tc>
          <w:tcPr>
            <w:tcW w:w="1057" w:type="dxa"/>
            <w:tcBorders>
              <w:top w:val="nil"/>
              <w:left w:val="nil"/>
              <w:bottom w:val="single" w:sz="4" w:space="0" w:color="auto"/>
              <w:right w:val="single" w:sz="4" w:space="0" w:color="auto"/>
            </w:tcBorders>
            <w:shd w:val="clear" w:color="auto" w:fill="auto"/>
            <w:vAlign w:val="center"/>
          </w:tcPr>
          <w:p w14:paraId="01BFE6EB"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22.2</w:t>
            </w:r>
          </w:p>
        </w:tc>
        <w:tc>
          <w:tcPr>
            <w:tcW w:w="3018" w:type="dxa"/>
            <w:tcBorders>
              <w:top w:val="nil"/>
              <w:left w:val="nil"/>
              <w:bottom w:val="single" w:sz="4" w:space="0" w:color="auto"/>
              <w:right w:val="single" w:sz="4" w:space="0" w:color="auto"/>
            </w:tcBorders>
            <w:shd w:val="clear" w:color="auto" w:fill="auto"/>
            <w:vAlign w:val="center"/>
          </w:tcPr>
          <w:p w14:paraId="3A0A8908" w14:textId="77777777" w:rsidR="00A052DC" w:rsidRDefault="00DD6AA3">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非必填项</w:t>
            </w:r>
            <w:r w:rsidR="009F0A60">
              <w:rPr>
                <w:rFonts w:ascii="黑体" w:eastAsia="黑体" w:hAnsi="黑体" w:cs="宋体" w:hint="eastAsia"/>
                <w:color w:val="000000"/>
                <w:kern w:val="0"/>
                <w:sz w:val="20"/>
                <w:szCs w:val="20"/>
              </w:rPr>
              <w:t>。结汇金额为空时，该项数据为空。</w:t>
            </w:r>
          </w:p>
        </w:tc>
      </w:tr>
      <w:tr w:rsidR="00A052DC" w14:paraId="2D7611BF" w14:textId="77777777">
        <w:trPr>
          <w:trHeight w:val="270"/>
          <w:jc w:val="center"/>
        </w:trPr>
        <w:tc>
          <w:tcPr>
            <w:tcW w:w="1516" w:type="dxa"/>
            <w:tcBorders>
              <w:top w:val="nil"/>
              <w:left w:val="single" w:sz="4" w:space="0" w:color="auto"/>
              <w:bottom w:val="single" w:sz="4" w:space="0" w:color="auto"/>
              <w:right w:val="single" w:sz="4" w:space="0" w:color="auto"/>
            </w:tcBorders>
            <w:vAlign w:val="center"/>
          </w:tcPr>
          <w:p w14:paraId="159613A4"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LCYACCT</w:t>
            </w:r>
          </w:p>
        </w:tc>
        <w:tc>
          <w:tcPr>
            <w:tcW w:w="1863" w:type="dxa"/>
            <w:tcBorders>
              <w:top w:val="nil"/>
              <w:left w:val="single" w:sz="4" w:space="0" w:color="auto"/>
              <w:bottom w:val="single" w:sz="4" w:space="0" w:color="auto"/>
              <w:right w:val="single" w:sz="4" w:space="0" w:color="auto"/>
            </w:tcBorders>
            <w:shd w:val="clear" w:color="auto" w:fill="auto"/>
            <w:vAlign w:val="center"/>
          </w:tcPr>
          <w:p w14:paraId="397C43EF"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结汇人民币账号</w:t>
            </w:r>
          </w:p>
        </w:tc>
        <w:tc>
          <w:tcPr>
            <w:tcW w:w="1233" w:type="dxa"/>
            <w:tcBorders>
              <w:top w:val="nil"/>
              <w:left w:val="nil"/>
              <w:bottom w:val="single" w:sz="4" w:space="0" w:color="auto"/>
              <w:right w:val="single" w:sz="4" w:space="0" w:color="auto"/>
            </w:tcBorders>
            <w:shd w:val="clear" w:color="auto" w:fill="auto"/>
            <w:vAlign w:val="center"/>
          </w:tcPr>
          <w:p w14:paraId="6F46FAFE"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字符</w:t>
            </w:r>
          </w:p>
        </w:tc>
        <w:tc>
          <w:tcPr>
            <w:tcW w:w="1057" w:type="dxa"/>
            <w:tcBorders>
              <w:top w:val="nil"/>
              <w:left w:val="nil"/>
              <w:bottom w:val="single" w:sz="4" w:space="0" w:color="auto"/>
              <w:right w:val="single" w:sz="4" w:space="0" w:color="auto"/>
            </w:tcBorders>
            <w:shd w:val="clear" w:color="auto" w:fill="auto"/>
            <w:vAlign w:val="center"/>
          </w:tcPr>
          <w:p w14:paraId="1117D3F1"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32</w:t>
            </w:r>
          </w:p>
        </w:tc>
        <w:tc>
          <w:tcPr>
            <w:tcW w:w="3018" w:type="dxa"/>
            <w:tcBorders>
              <w:top w:val="nil"/>
              <w:left w:val="nil"/>
              <w:bottom w:val="single" w:sz="4" w:space="0" w:color="auto"/>
              <w:right w:val="single" w:sz="4" w:space="0" w:color="auto"/>
            </w:tcBorders>
            <w:shd w:val="clear" w:color="auto" w:fill="auto"/>
            <w:vAlign w:val="center"/>
          </w:tcPr>
          <w:p w14:paraId="5A2A8D28" w14:textId="77777777" w:rsidR="00A052DC" w:rsidRDefault="00DD6AA3">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非必填项</w:t>
            </w:r>
            <w:r w:rsidR="009F0A60">
              <w:rPr>
                <w:rFonts w:ascii="黑体" w:eastAsia="黑体" w:hAnsi="黑体" w:cs="宋体" w:hint="eastAsia"/>
                <w:color w:val="000000"/>
                <w:kern w:val="0"/>
                <w:sz w:val="20"/>
                <w:szCs w:val="20"/>
              </w:rPr>
              <w:t>。结汇金额为空时，该项数据为空。</w:t>
            </w:r>
          </w:p>
        </w:tc>
      </w:tr>
      <w:tr w:rsidR="00A052DC" w14:paraId="2C3AAB4C" w14:textId="77777777">
        <w:trPr>
          <w:trHeight w:val="270"/>
          <w:jc w:val="center"/>
        </w:trPr>
        <w:tc>
          <w:tcPr>
            <w:tcW w:w="1516" w:type="dxa"/>
            <w:tcBorders>
              <w:top w:val="nil"/>
              <w:left w:val="single" w:sz="4" w:space="0" w:color="auto"/>
              <w:bottom w:val="single" w:sz="4" w:space="0" w:color="auto"/>
              <w:right w:val="single" w:sz="4" w:space="0" w:color="auto"/>
            </w:tcBorders>
            <w:vAlign w:val="center"/>
          </w:tcPr>
          <w:p w14:paraId="25939A8A"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OPPBANKCODE</w:t>
            </w:r>
          </w:p>
        </w:tc>
        <w:tc>
          <w:tcPr>
            <w:tcW w:w="1863" w:type="dxa"/>
            <w:tcBorders>
              <w:top w:val="nil"/>
              <w:left w:val="single" w:sz="4" w:space="0" w:color="auto"/>
              <w:bottom w:val="single" w:sz="4" w:space="0" w:color="auto"/>
              <w:right w:val="single" w:sz="4" w:space="0" w:color="auto"/>
            </w:tcBorders>
            <w:shd w:val="clear" w:color="auto" w:fill="auto"/>
            <w:vAlign w:val="center"/>
          </w:tcPr>
          <w:p w14:paraId="2A9C64EB"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人民币账户开户行代码</w:t>
            </w:r>
          </w:p>
        </w:tc>
        <w:tc>
          <w:tcPr>
            <w:tcW w:w="1233" w:type="dxa"/>
            <w:tcBorders>
              <w:top w:val="nil"/>
              <w:left w:val="nil"/>
              <w:bottom w:val="single" w:sz="4" w:space="0" w:color="auto"/>
              <w:right w:val="single" w:sz="4" w:space="0" w:color="auto"/>
            </w:tcBorders>
            <w:shd w:val="clear" w:color="auto" w:fill="auto"/>
            <w:vAlign w:val="center"/>
          </w:tcPr>
          <w:p w14:paraId="4CD85B78"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字符</w:t>
            </w:r>
          </w:p>
        </w:tc>
        <w:tc>
          <w:tcPr>
            <w:tcW w:w="1057" w:type="dxa"/>
            <w:tcBorders>
              <w:top w:val="nil"/>
              <w:left w:val="nil"/>
              <w:bottom w:val="single" w:sz="4" w:space="0" w:color="auto"/>
              <w:right w:val="single" w:sz="4" w:space="0" w:color="auto"/>
            </w:tcBorders>
            <w:shd w:val="clear" w:color="auto" w:fill="auto"/>
            <w:vAlign w:val="center"/>
          </w:tcPr>
          <w:p w14:paraId="2339EB1A"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12</w:t>
            </w:r>
          </w:p>
        </w:tc>
        <w:tc>
          <w:tcPr>
            <w:tcW w:w="3018" w:type="dxa"/>
            <w:tcBorders>
              <w:top w:val="nil"/>
              <w:left w:val="nil"/>
              <w:bottom w:val="single" w:sz="4" w:space="0" w:color="auto"/>
              <w:right w:val="single" w:sz="4" w:space="0" w:color="auto"/>
            </w:tcBorders>
            <w:shd w:val="clear" w:color="auto" w:fill="auto"/>
            <w:vAlign w:val="center"/>
          </w:tcPr>
          <w:p w14:paraId="7FFD1C7C" w14:textId="77777777" w:rsidR="00A052DC" w:rsidRDefault="00DD6AA3">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非必填项</w:t>
            </w:r>
            <w:r w:rsidR="009F0A60">
              <w:rPr>
                <w:rFonts w:ascii="黑体" w:eastAsia="黑体" w:hAnsi="黑体" w:cs="宋体" w:hint="eastAsia"/>
                <w:color w:val="000000"/>
                <w:kern w:val="0"/>
                <w:sz w:val="20"/>
                <w:szCs w:val="20"/>
              </w:rPr>
              <w:t>。结汇金额为空时，该项数据为空。</w:t>
            </w:r>
          </w:p>
        </w:tc>
      </w:tr>
      <w:tr w:rsidR="00A052DC" w14:paraId="52E0800D" w14:textId="77777777">
        <w:trPr>
          <w:trHeight w:val="270"/>
          <w:jc w:val="center"/>
        </w:trPr>
        <w:tc>
          <w:tcPr>
            <w:tcW w:w="1516" w:type="dxa"/>
            <w:tcBorders>
              <w:top w:val="nil"/>
              <w:left w:val="single" w:sz="4" w:space="0" w:color="auto"/>
              <w:bottom w:val="single" w:sz="4" w:space="0" w:color="auto"/>
              <w:right w:val="single" w:sz="4" w:space="0" w:color="auto"/>
            </w:tcBorders>
            <w:vAlign w:val="center"/>
          </w:tcPr>
          <w:p w14:paraId="61CA4BF6"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DPSTFXAMT</w:t>
            </w:r>
          </w:p>
        </w:tc>
        <w:tc>
          <w:tcPr>
            <w:tcW w:w="1863" w:type="dxa"/>
            <w:tcBorders>
              <w:top w:val="nil"/>
              <w:left w:val="single" w:sz="4" w:space="0" w:color="auto"/>
              <w:bottom w:val="single" w:sz="4" w:space="0" w:color="auto"/>
              <w:right w:val="single" w:sz="4" w:space="0" w:color="auto"/>
            </w:tcBorders>
            <w:shd w:val="clear" w:color="auto" w:fill="auto"/>
            <w:vAlign w:val="center"/>
          </w:tcPr>
          <w:p w14:paraId="28D115E7"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存汇金额</w:t>
            </w:r>
          </w:p>
        </w:tc>
        <w:tc>
          <w:tcPr>
            <w:tcW w:w="1233" w:type="dxa"/>
            <w:tcBorders>
              <w:top w:val="nil"/>
              <w:left w:val="nil"/>
              <w:bottom w:val="single" w:sz="4" w:space="0" w:color="auto"/>
              <w:right w:val="single" w:sz="4" w:space="0" w:color="auto"/>
            </w:tcBorders>
            <w:shd w:val="clear" w:color="auto" w:fill="auto"/>
            <w:vAlign w:val="center"/>
          </w:tcPr>
          <w:p w14:paraId="78420A38"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数值</w:t>
            </w:r>
          </w:p>
        </w:tc>
        <w:tc>
          <w:tcPr>
            <w:tcW w:w="1057" w:type="dxa"/>
            <w:tcBorders>
              <w:top w:val="nil"/>
              <w:left w:val="nil"/>
              <w:bottom w:val="single" w:sz="4" w:space="0" w:color="auto"/>
              <w:right w:val="single" w:sz="4" w:space="0" w:color="auto"/>
            </w:tcBorders>
            <w:shd w:val="clear" w:color="auto" w:fill="auto"/>
            <w:vAlign w:val="center"/>
          </w:tcPr>
          <w:p w14:paraId="188EF53E"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22.2</w:t>
            </w:r>
          </w:p>
        </w:tc>
        <w:tc>
          <w:tcPr>
            <w:tcW w:w="3018" w:type="dxa"/>
            <w:tcBorders>
              <w:top w:val="nil"/>
              <w:left w:val="nil"/>
              <w:bottom w:val="single" w:sz="4" w:space="0" w:color="auto"/>
              <w:right w:val="single" w:sz="4" w:space="0" w:color="auto"/>
            </w:tcBorders>
            <w:shd w:val="clear" w:color="auto" w:fill="auto"/>
            <w:vAlign w:val="center"/>
          </w:tcPr>
          <w:p w14:paraId="3F62F868" w14:textId="77777777" w:rsidR="00A052DC" w:rsidRDefault="00DD6AA3">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非必填项</w:t>
            </w:r>
            <w:r w:rsidR="009F0A60">
              <w:rPr>
                <w:rFonts w:ascii="黑体" w:eastAsia="黑体" w:hAnsi="黑体" w:cs="宋体" w:hint="eastAsia"/>
                <w:color w:val="000000"/>
                <w:kern w:val="0"/>
                <w:sz w:val="20"/>
                <w:szCs w:val="20"/>
              </w:rPr>
              <w:t>。结汇金额与存汇金额不同时为空。</w:t>
            </w:r>
          </w:p>
        </w:tc>
      </w:tr>
      <w:tr w:rsidR="00A052DC" w14:paraId="3AA31110" w14:textId="77777777">
        <w:trPr>
          <w:trHeight w:val="270"/>
          <w:jc w:val="center"/>
        </w:trPr>
        <w:tc>
          <w:tcPr>
            <w:tcW w:w="1516" w:type="dxa"/>
            <w:tcBorders>
              <w:top w:val="nil"/>
              <w:left w:val="single" w:sz="4" w:space="0" w:color="auto"/>
              <w:bottom w:val="single" w:sz="4" w:space="0" w:color="auto"/>
              <w:right w:val="single" w:sz="4" w:space="0" w:color="auto"/>
            </w:tcBorders>
            <w:vAlign w:val="center"/>
          </w:tcPr>
          <w:p w14:paraId="099D5D80"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DPSTFXAMTUSD</w:t>
            </w:r>
          </w:p>
        </w:tc>
        <w:tc>
          <w:tcPr>
            <w:tcW w:w="1863" w:type="dxa"/>
            <w:tcBorders>
              <w:top w:val="nil"/>
              <w:left w:val="single" w:sz="4" w:space="0" w:color="auto"/>
              <w:bottom w:val="single" w:sz="4" w:space="0" w:color="auto"/>
              <w:right w:val="single" w:sz="4" w:space="0" w:color="auto"/>
            </w:tcBorders>
            <w:shd w:val="clear" w:color="auto" w:fill="auto"/>
            <w:vAlign w:val="center"/>
          </w:tcPr>
          <w:p w14:paraId="7518A4C1"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存汇金额折美元</w:t>
            </w:r>
          </w:p>
        </w:tc>
        <w:tc>
          <w:tcPr>
            <w:tcW w:w="1233" w:type="dxa"/>
            <w:tcBorders>
              <w:top w:val="nil"/>
              <w:left w:val="nil"/>
              <w:bottom w:val="single" w:sz="4" w:space="0" w:color="auto"/>
              <w:right w:val="single" w:sz="4" w:space="0" w:color="auto"/>
            </w:tcBorders>
            <w:shd w:val="clear" w:color="auto" w:fill="auto"/>
            <w:vAlign w:val="center"/>
          </w:tcPr>
          <w:p w14:paraId="4D75753A"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数值</w:t>
            </w:r>
          </w:p>
        </w:tc>
        <w:tc>
          <w:tcPr>
            <w:tcW w:w="1057" w:type="dxa"/>
            <w:tcBorders>
              <w:top w:val="nil"/>
              <w:left w:val="nil"/>
              <w:bottom w:val="single" w:sz="4" w:space="0" w:color="auto"/>
              <w:right w:val="single" w:sz="4" w:space="0" w:color="auto"/>
            </w:tcBorders>
            <w:shd w:val="clear" w:color="auto" w:fill="auto"/>
            <w:vAlign w:val="center"/>
          </w:tcPr>
          <w:p w14:paraId="2E1F0850"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22.2</w:t>
            </w:r>
          </w:p>
        </w:tc>
        <w:tc>
          <w:tcPr>
            <w:tcW w:w="3018" w:type="dxa"/>
            <w:tcBorders>
              <w:top w:val="nil"/>
              <w:left w:val="nil"/>
              <w:bottom w:val="single" w:sz="4" w:space="0" w:color="auto"/>
              <w:right w:val="single" w:sz="4" w:space="0" w:color="auto"/>
            </w:tcBorders>
            <w:shd w:val="clear" w:color="auto" w:fill="auto"/>
            <w:vAlign w:val="center"/>
          </w:tcPr>
          <w:p w14:paraId="778EC185" w14:textId="77777777" w:rsidR="00A052DC" w:rsidRDefault="00DD6AA3">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非必填项</w:t>
            </w:r>
            <w:r w:rsidR="009F0A60">
              <w:rPr>
                <w:rFonts w:ascii="黑体" w:eastAsia="黑体" w:hAnsi="黑体" w:cs="宋体" w:hint="eastAsia"/>
                <w:color w:val="000000"/>
                <w:kern w:val="0"/>
                <w:sz w:val="20"/>
                <w:szCs w:val="20"/>
              </w:rPr>
              <w:t>。存汇金额为空时，该项数据为空。</w:t>
            </w:r>
          </w:p>
        </w:tc>
      </w:tr>
      <w:tr w:rsidR="00A052DC" w14:paraId="339FC650" w14:textId="77777777">
        <w:trPr>
          <w:trHeight w:val="270"/>
          <w:jc w:val="center"/>
        </w:trPr>
        <w:tc>
          <w:tcPr>
            <w:tcW w:w="1516" w:type="dxa"/>
            <w:tcBorders>
              <w:top w:val="nil"/>
              <w:left w:val="single" w:sz="4" w:space="0" w:color="auto"/>
              <w:bottom w:val="single" w:sz="4" w:space="0" w:color="auto"/>
              <w:right w:val="single" w:sz="4" w:space="0" w:color="auto"/>
            </w:tcBorders>
            <w:vAlign w:val="center"/>
          </w:tcPr>
          <w:p w14:paraId="1CD2757F"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DPSTFXACCT</w:t>
            </w:r>
          </w:p>
        </w:tc>
        <w:tc>
          <w:tcPr>
            <w:tcW w:w="1863" w:type="dxa"/>
            <w:tcBorders>
              <w:top w:val="nil"/>
              <w:left w:val="single" w:sz="4" w:space="0" w:color="auto"/>
              <w:bottom w:val="single" w:sz="4" w:space="0" w:color="auto"/>
              <w:right w:val="single" w:sz="4" w:space="0" w:color="auto"/>
            </w:tcBorders>
            <w:shd w:val="clear" w:color="auto" w:fill="auto"/>
            <w:vAlign w:val="center"/>
          </w:tcPr>
          <w:p w14:paraId="50F24514"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存汇账号</w:t>
            </w:r>
          </w:p>
        </w:tc>
        <w:tc>
          <w:tcPr>
            <w:tcW w:w="1233" w:type="dxa"/>
            <w:tcBorders>
              <w:top w:val="nil"/>
              <w:left w:val="nil"/>
              <w:bottom w:val="single" w:sz="4" w:space="0" w:color="auto"/>
              <w:right w:val="single" w:sz="4" w:space="0" w:color="auto"/>
            </w:tcBorders>
            <w:shd w:val="clear" w:color="auto" w:fill="auto"/>
            <w:vAlign w:val="center"/>
          </w:tcPr>
          <w:p w14:paraId="7950F617"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字符</w:t>
            </w:r>
          </w:p>
        </w:tc>
        <w:tc>
          <w:tcPr>
            <w:tcW w:w="1057" w:type="dxa"/>
            <w:tcBorders>
              <w:top w:val="nil"/>
              <w:left w:val="nil"/>
              <w:bottom w:val="single" w:sz="4" w:space="0" w:color="auto"/>
              <w:right w:val="single" w:sz="4" w:space="0" w:color="auto"/>
            </w:tcBorders>
            <w:shd w:val="clear" w:color="auto" w:fill="auto"/>
            <w:vAlign w:val="center"/>
          </w:tcPr>
          <w:p w14:paraId="31FDCACA"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32</w:t>
            </w:r>
          </w:p>
        </w:tc>
        <w:tc>
          <w:tcPr>
            <w:tcW w:w="3018" w:type="dxa"/>
            <w:tcBorders>
              <w:top w:val="nil"/>
              <w:left w:val="nil"/>
              <w:bottom w:val="single" w:sz="4" w:space="0" w:color="auto"/>
              <w:right w:val="single" w:sz="4" w:space="0" w:color="auto"/>
            </w:tcBorders>
            <w:shd w:val="clear" w:color="auto" w:fill="auto"/>
            <w:vAlign w:val="center"/>
          </w:tcPr>
          <w:p w14:paraId="705979BA" w14:textId="77777777" w:rsidR="00A052DC" w:rsidRDefault="00DD6AA3">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非必填项</w:t>
            </w:r>
            <w:r w:rsidR="009F0A60">
              <w:rPr>
                <w:rFonts w:ascii="黑体" w:eastAsia="黑体" w:hAnsi="黑体" w:cs="宋体" w:hint="eastAsia"/>
                <w:color w:val="000000"/>
                <w:kern w:val="0"/>
                <w:sz w:val="20"/>
                <w:szCs w:val="20"/>
              </w:rPr>
              <w:t>。账户存钞时填写外汇现汇账户账号。</w:t>
            </w:r>
          </w:p>
        </w:tc>
      </w:tr>
      <w:tr w:rsidR="00A052DC" w14:paraId="2C555796" w14:textId="77777777">
        <w:trPr>
          <w:trHeight w:val="270"/>
          <w:jc w:val="center"/>
        </w:trPr>
        <w:tc>
          <w:tcPr>
            <w:tcW w:w="1516" w:type="dxa"/>
            <w:tcBorders>
              <w:top w:val="nil"/>
              <w:left w:val="single" w:sz="4" w:space="0" w:color="auto"/>
              <w:bottom w:val="single" w:sz="4" w:space="0" w:color="auto"/>
              <w:right w:val="single" w:sz="4" w:space="0" w:color="auto"/>
            </w:tcBorders>
            <w:vAlign w:val="center"/>
          </w:tcPr>
          <w:p w14:paraId="1387BAB7" w14:textId="77777777" w:rsidR="00A052DC" w:rsidRDefault="009F0A60">
            <w:pPr>
              <w:widowControl/>
              <w:rPr>
                <w:rFonts w:ascii="黑体" w:eastAsia="黑体" w:hAnsi="黑体" w:cs="宋体"/>
                <w:kern w:val="0"/>
                <w:sz w:val="20"/>
                <w:szCs w:val="20"/>
              </w:rPr>
            </w:pPr>
            <w:r>
              <w:rPr>
                <w:rFonts w:ascii="黑体" w:eastAsia="黑体" w:hAnsi="黑体" w:cs="宋体" w:hint="eastAsia"/>
                <w:kern w:val="0"/>
                <w:sz w:val="20"/>
                <w:szCs w:val="20"/>
              </w:rPr>
              <w:t>CSHSRCDESC</w:t>
            </w:r>
          </w:p>
        </w:tc>
        <w:tc>
          <w:tcPr>
            <w:tcW w:w="1863" w:type="dxa"/>
            <w:tcBorders>
              <w:top w:val="nil"/>
              <w:left w:val="single" w:sz="4" w:space="0" w:color="auto"/>
              <w:bottom w:val="single" w:sz="4" w:space="0" w:color="auto"/>
              <w:right w:val="single" w:sz="4" w:space="0" w:color="auto"/>
            </w:tcBorders>
            <w:shd w:val="clear" w:color="auto" w:fill="auto"/>
            <w:vAlign w:val="center"/>
          </w:tcPr>
          <w:p w14:paraId="5912B52D" w14:textId="77777777" w:rsidR="00A052DC" w:rsidRDefault="009F0A60">
            <w:pPr>
              <w:widowControl/>
              <w:rPr>
                <w:rFonts w:ascii="黑体" w:eastAsia="黑体" w:hAnsi="黑体" w:cs="宋体"/>
                <w:kern w:val="0"/>
                <w:sz w:val="20"/>
                <w:szCs w:val="20"/>
              </w:rPr>
            </w:pPr>
            <w:r>
              <w:rPr>
                <w:rFonts w:ascii="黑体" w:eastAsia="黑体" w:hAnsi="黑体" w:cs="宋体" w:hint="eastAsia"/>
                <w:kern w:val="0"/>
                <w:sz w:val="20"/>
                <w:szCs w:val="20"/>
              </w:rPr>
              <w:t>现钞来源说明</w:t>
            </w:r>
          </w:p>
        </w:tc>
        <w:tc>
          <w:tcPr>
            <w:tcW w:w="1233" w:type="dxa"/>
            <w:tcBorders>
              <w:top w:val="nil"/>
              <w:left w:val="nil"/>
              <w:bottom w:val="single" w:sz="4" w:space="0" w:color="auto"/>
              <w:right w:val="single" w:sz="4" w:space="0" w:color="auto"/>
            </w:tcBorders>
            <w:shd w:val="clear" w:color="auto" w:fill="auto"/>
            <w:vAlign w:val="center"/>
          </w:tcPr>
          <w:p w14:paraId="3DBD701D" w14:textId="77777777" w:rsidR="00A052DC" w:rsidRDefault="009F0A60">
            <w:pPr>
              <w:widowControl/>
              <w:jc w:val="left"/>
              <w:rPr>
                <w:rFonts w:ascii="黑体" w:eastAsia="黑体" w:hAnsi="黑体" w:cs="宋体"/>
                <w:kern w:val="0"/>
                <w:sz w:val="20"/>
                <w:szCs w:val="20"/>
              </w:rPr>
            </w:pPr>
            <w:r>
              <w:rPr>
                <w:rFonts w:ascii="黑体" w:eastAsia="黑体" w:hAnsi="黑体" w:cs="宋体" w:hint="eastAsia"/>
                <w:kern w:val="0"/>
                <w:sz w:val="20"/>
                <w:szCs w:val="20"/>
              </w:rPr>
              <w:t>字符</w:t>
            </w:r>
          </w:p>
        </w:tc>
        <w:tc>
          <w:tcPr>
            <w:tcW w:w="1057" w:type="dxa"/>
            <w:tcBorders>
              <w:top w:val="nil"/>
              <w:left w:val="nil"/>
              <w:bottom w:val="single" w:sz="4" w:space="0" w:color="auto"/>
              <w:right w:val="single" w:sz="4" w:space="0" w:color="auto"/>
            </w:tcBorders>
            <w:shd w:val="clear" w:color="auto" w:fill="auto"/>
            <w:vAlign w:val="center"/>
          </w:tcPr>
          <w:p w14:paraId="2782F08A" w14:textId="77777777" w:rsidR="00A052DC" w:rsidRDefault="009F0A60">
            <w:pPr>
              <w:widowControl/>
              <w:jc w:val="left"/>
              <w:rPr>
                <w:rFonts w:ascii="黑体" w:eastAsia="黑体" w:hAnsi="黑体" w:cs="宋体"/>
                <w:kern w:val="0"/>
                <w:sz w:val="20"/>
                <w:szCs w:val="20"/>
              </w:rPr>
            </w:pPr>
            <w:r>
              <w:rPr>
                <w:rFonts w:ascii="黑体" w:eastAsia="黑体" w:hAnsi="黑体" w:cs="宋体" w:hint="eastAsia"/>
                <w:kern w:val="0"/>
                <w:sz w:val="20"/>
                <w:szCs w:val="20"/>
              </w:rPr>
              <w:t>20</w:t>
            </w:r>
          </w:p>
        </w:tc>
        <w:tc>
          <w:tcPr>
            <w:tcW w:w="3018" w:type="dxa"/>
            <w:tcBorders>
              <w:top w:val="nil"/>
              <w:left w:val="nil"/>
              <w:bottom w:val="single" w:sz="4" w:space="0" w:color="auto"/>
              <w:right w:val="single" w:sz="4" w:space="0" w:color="auto"/>
            </w:tcBorders>
            <w:shd w:val="clear" w:color="auto" w:fill="auto"/>
            <w:vAlign w:val="center"/>
          </w:tcPr>
          <w:p w14:paraId="6552961A" w14:textId="77777777" w:rsidR="00A052DC" w:rsidRDefault="009F0A60">
            <w:pPr>
              <w:widowControl/>
              <w:rPr>
                <w:rFonts w:ascii="黑体" w:eastAsia="黑体" w:hAnsi="黑体" w:cs="宋体"/>
                <w:kern w:val="0"/>
                <w:sz w:val="20"/>
                <w:szCs w:val="20"/>
              </w:rPr>
            </w:pPr>
            <w:r>
              <w:rPr>
                <w:rFonts w:ascii="黑体" w:eastAsia="黑体" w:hAnsi="黑体" w:cs="宋体" w:hint="eastAsia"/>
                <w:kern w:val="0"/>
                <w:sz w:val="20"/>
                <w:szCs w:val="20"/>
              </w:rPr>
              <w:t>必填项，参见现钞来源说明代码表。如填写08（</w:t>
            </w:r>
            <w:r w:rsidR="0021563C">
              <w:rPr>
                <w:rFonts w:ascii="黑体" w:eastAsia="黑体" w:hAnsi="黑体" w:cs="宋体" w:hint="eastAsia"/>
                <w:kern w:val="0"/>
                <w:sz w:val="20"/>
                <w:szCs w:val="20"/>
              </w:rPr>
              <w:t>其他</w:t>
            </w:r>
            <w:r>
              <w:rPr>
                <w:rFonts w:ascii="黑体" w:eastAsia="黑体" w:hAnsi="黑体" w:cs="宋体" w:hint="eastAsia"/>
                <w:kern w:val="0"/>
                <w:sz w:val="20"/>
                <w:szCs w:val="20"/>
              </w:rPr>
              <w:t>）请在备注中说明具体来源。</w:t>
            </w:r>
          </w:p>
        </w:tc>
      </w:tr>
      <w:tr w:rsidR="00A052DC" w14:paraId="7498347A" w14:textId="77777777">
        <w:trPr>
          <w:trHeight w:val="1020"/>
          <w:jc w:val="center"/>
        </w:trPr>
        <w:tc>
          <w:tcPr>
            <w:tcW w:w="1516" w:type="dxa"/>
            <w:tcBorders>
              <w:top w:val="single" w:sz="4" w:space="0" w:color="auto"/>
              <w:left w:val="single" w:sz="4" w:space="0" w:color="auto"/>
              <w:bottom w:val="single" w:sz="4" w:space="0" w:color="auto"/>
              <w:right w:val="single" w:sz="4" w:space="0" w:color="auto"/>
            </w:tcBorders>
            <w:vAlign w:val="center"/>
          </w:tcPr>
          <w:p w14:paraId="610DDDCC" w14:textId="77777777" w:rsidR="00A052DC" w:rsidRDefault="009F0A60">
            <w:pPr>
              <w:widowControl/>
              <w:rPr>
                <w:rFonts w:ascii="黑体" w:eastAsia="黑体" w:hAnsi="黑体" w:cs="宋体"/>
                <w:kern w:val="0"/>
                <w:sz w:val="20"/>
                <w:szCs w:val="20"/>
              </w:rPr>
            </w:pPr>
            <w:r>
              <w:rPr>
                <w:rFonts w:ascii="黑体" w:eastAsia="黑体" w:hAnsi="黑体" w:cs="宋体" w:hint="eastAsia"/>
                <w:kern w:val="0"/>
                <w:sz w:val="20"/>
                <w:szCs w:val="20"/>
              </w:rPr>
              <w:t>CSHSRCCTY</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14:paraId="6C02BFD0" w14:textId="77777777" w:rsidR="00A052DC" w:rsidRDefault="009F0A60">
            <w:pPr>
              <w:widowControl/>
              <w:rPr>
                <w:rFonts w:ascii="黑体" w:eastAsia="黑体" w:hAnsi="黑体" w:cs="宋体"/>
                <w:kern w:val="0"/>
                <w:sz w:val="20"/>
                <w:szCs w:val="20"/>
              </w:rPr>
            </w:pPr>
            <w:r>
              <w:rPr>
                <w:rFonts w:ascii="黑体" w:eastAsia="黑体" w:hAnsi="黑体" w:cs="宋体" w:hint="eastAsia"/>
                <w:kern w:val="0"/>
                <w:sz w:val="20"/>
                <w:szCs w:val="20"/>
              </w:rPr>
              <w:t>现钞来源国家（地区）</w:t>
            </w:r>
          </w:p>
        </w:tc>
        <w:tc>
          <w:tcPr>
            <w:tcW w:w="1233" w:type="dxa"/>
            <w:tcBorders>
              <w:top w:val="single" w:sz="4" w:space="0" w:color="auto"/>
              <w:left w:val="nil"/>
              <w:bottom w:val="single" w:sz="4" w:space="0" w:color="auto"/>
              <w:right w:val="single" w:sz="4" w:space="0" w:color="auto"/>
            </w:tcBorders>
            <w:shd w:val="clear" w:color="auto" w:fill="auto"/>
            <w:vAlign w:val="center"/>
          </w:tcPr>
          <w:p w14:paraId="40856D32" w14:textId="77777777" w:rsidR="00A052DC" w:rsidRDefault="009F0A60">
            <w:pPr>
              <w:widowControl/>
              <w:jc w:val="left"/>
              <w:rPr>
                <w:rFonts w:ascii="黑体" w:eastAsia="黑体" w:hAnsi="黑体" w:cs="宋体"/>
                <w:kern w:val="0"/>
                <w:sz w:val="20"/>
                <w:szCs w:val="20"/>
              </w:rPr>
            </w:pPr>
            <w:r>
              <w:rPr>
                <w:rFonts w:ascii="黑体" w:eastAsia="黑体" w:hAnsi="黑体" w:cs="宋体" w:hint="eastAsia"/>
                <w:kern w:val="0"/>
                <w:sz w:val="20"/>
                <w:szCs w:val="20"/>
              </w:rPr>
              <w:t>字符</w:t>
            </w:r>
          </w:p>
        </w:tc>
        <w:tc>
          <w:tcPr>
            <w:tcW w:w="1057" w:type="dxa"/>
            <w:tcBorders>
              <w:top w:val="single" w:sz="4" w:space="0" w:color="auto"/>
              <w:left w:val="nil"/>
              <w:bottom w:val="single" w:sz="4" w:space="0" w:color="auto"/>
              <w:right w:val="single" w:sz="4" w:space="0" w:color="auto"/>
            </w:tcBorders>
            <w:shd w:val="clear" w:color="auto" w:fill="auto"/>
            <w:vAlign w:val="center"/>
          </w:tcPr>
          <w:p w14:paraId="59BB00E3" w14:textId="77777777" w:rsidR="00A052DC" w:rsidRDefault="009F0A60">
            <w:pPr>
              <w:widowControl/>
              <w:jc w:val="left"/>
              <w:rPr>
                <w:rFonts w:ascii="黑体" w:eastAsia="黑体" w:hAnsi="黑体" w:cs="宋体"/>
                <w:kern w:val="0"/>
                <w:sz w:val="20"/>
                <w:szCs w:val="20"/>
              </w:rPr>
            </w:pPr>
            <w:r>
              <w:rPr>
                <w:rFonts w:ascii="黑体" w:eastAsia="黑体" w:hAnsi="黑体" w:cs="宋体" w:hint="eastAsia"/>
                <w:kern w:val="0"/>
                <w:sz w:val="20"/>
                <w:szCs w:val="20"/>
              </w:rPr>
              <w:t>3</w:t>
            </w:r>
          </w:p>
        </w:tc>
        <w:tc>
          <w:tcPr>
            <w:tcW w:w="3018" w:type="dxa"/>
            <w:tcBorders>
              <w:top w:val="single" w:sz="4" w:space="0" w:color="auto"/>
              <w:left w:val="nil"/>
              <w:bottom w:val="single" w:sz="4" w:space="0" w:color="auto"/>
              <w:right w:val="single" w:sz="4" w:space="0" w:color="auto"/>
            </w:tcBorders>
            <w:shd w:val="clear" w:color="auto" w:fill="auto"/>
            <w:vAlign w:val="center"/>
          </w:tcPr>
          <w:p w14:paraId="761DE99D" w14:textId="77777777" w:rsidR="00A052DC" w:rsidRDefault="009F0A60">
            <w:pPr>
              <w:widowControl/>
              <w:rPr>
                <w:rFonts w:ascii="黑体" w:eastAsia="黑体" w:hAnsi="黑体" w:cs="宋体"/>
                <w:kern w:val="0"/>
                <w:sz w:val="20"/>
                <w:szCs w:val="20"/>
              </w:rPr>
            </w:pPr>
            <w:r>
              <w:rPr>
                <w:rFonts w:ascii="黑体" w:eastAsia="黑体" w:hAnsi="黑体" w:cs="宋体" w:hint="eastAsia"/>
                <w:kern w:val="0"/>
                <w:sz w:val="20"/>
                <w:szCs w:val="20"/>
              </w:rPr>
              <w:t>见国家和地区代码表。</w:t>
            </w:r>
          </w:p>
        </w:tc>
      </w:tr>
      <w:tr w:rsidR="00A052DC" w14:paraId="7C439577" w14:textId="77777777">
        <w:trPr>
          <w:trHeight w:val="1020"/>
          <w:jc w:val="center"/>
        </w:trPr>
        <w:tc>
          <w:tcPr>
            <w:tcW w:w="1516" w:type="dxa"/>
            <w:tcBorders>
              <w:top w:val="single" w:sz="4" w:space="0" w:color="auto"/>
              <w:left w:val="single" w:sz="4" w:space="0" w:color="auto"/>
              <w:bottom w:val="single" w:sz="4" w:space="0" w:color="auto"/>
              <w:right w:val="single" w:sz="4" w:space="0" w:color="auto"/>
            </w:tcBorders>
            <w:vAlign w:val="center"/>
          </w:tcPr>
          <w:p w14:paraId="0E2223AF" w14:textId="77777777" w:rsidR="00A052DC" w:rsidRDefault="009F0A60">
            <w:pPr>
              <w:widowControl/>
              <w:rPr>
                <w:rFonts w:ascii="黑体" w:eastAsia="黑体" w:hAnsi="黑体" w:cs="宋体"/>
                <w:kern w:val="0"/>
                <w:sz w:val="20"/>
                <w:szCs w:val="20"/>
              </w:rPr>
            </w:pPr>
            <w:r>
              <w:rPr>
                <w:rFonts w:ascii="黑体" w:eastAsia="黑体" w:hAnsi="黑体" w:cs="宋体" w:hint="eastAsia"/>
                <w:kern w:val="0"/>
                <w:sz w:val="20"/>
                <w:szCs w:val="20"/>
              </w:rPr>
              <w:t>REMARK</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14:paraId="4EBFB1B0" w14:textId="77777777" w:rsidR="00A052DC" w:rsidRDefault="009F0A60">
            <w:pPr>
              <w:widowControl/>
              <w:rPr>
                <w:rFonts w:ascii="黑体" w:eastAsia="黑体" w:hAnsi="黑体" w:cs="宋体"/>
                <w:kern w:val="0"/>
                <w:sz w:val="20"/>
                <w:szCs w:val="20"/>
              </w:rPr>
            </w:pPr>
            <w:r>
              <w:rPr>
                <w:rFonts w:ascii="黑体" w:eastAsia="黑体" w:hAnsi="黑体" w:cs="宋体" w:hint="eastAsia"/>
                <w:kern w:val="0"/>
                <w:sz w:val="20"/>
                <w:szCs w:val="20"/>
              </w:rPr>
              <w:t>备注</w:t>
            </w:r>
          </w:p>
        </w:tc>
        <w:tc>
          <w:tcPr>
            <w:tcW w:w="1233" w:type="dxa"/>
            <w:tcBorders>
              <w:top w:val="single" w:sz="4" w:space="0" w:color="auto"/>
              <w:left w:val="nil"/>
              <w:bottom w:val="single" w:sz="4" w:space="0" w:color="auto"/>
              <w:right w:val="single" w:sz="4" w:space="0" w:color="auto"/>
            </w:tcBorders>
            <w:shd w:val="clear" w:color="auto" w:fill="auto"/>
            <w:vAlign w:val="center"/>
          </w:tcPr>
          <w:p w14:paraId="2B1080DC" w14:textId="77777777" w:rsidR="00A052DC" w:rsidRDefault="009F0A60">
            <w:pPr>
              <w:widowControl/>
              <w:jc w:val="left"/>
              <w:rPr>
                <w:rFonts w:ascii="黑体" w:eastAsia="黑体" w:hAnsi="黑体" w:cs="宋体"/>
                <w:kern w:val="0"/>
                <w:sz w:val="20"/>
                <w:szCs w:val="20"/>
              </w:rPr>
            </w:pPr>
            <w:r>
              <w:rPr>
                <w:rFonts w:ascii="黑体" w:eastAsia="黑体" w:hAnsi="黑体" w:cs="宋体" w:hint="eastAsia"/>
                <w:kern w:val="0"/>
                <w:sz w:val="20"/>
                <w:szCs w:val="20"/>
              </w:rPr>
              <w:t>字符</w:t>
            </w:r>
          </w:p>
        </w:tc>
        <w:tc>
          <w:tcPr>
            <w:tcW w:w="1057" w:type="dxa"/>
            <w:tcBorders>
              <w:top w:val="single" w:sz="4" w:space="0" w:color="auto"/>
              <w:left w:val="nil"/>
              <w:bottom w:val="single" w:sz="4" w:space="0" w:color="auto"/>
              <w:right w:val="single" w:sz="4" w:space="0" w:color="auto"/>
            </w:tcBorders>
            <w:shd w:val="clear" w:color="auto" w:fill="auto"/>
            <w:vAlign w:val="center"/>
          </w:tcPr>
          <w:p w14:paraId="332C3C2F" w14:textId="77777777" w:rsidR="00A052DC" w:rsidRDefault="009F0A60">
            <w:pPr>
              <w:widowControl/>
              <w:jc w:val="left"/>
              <w:rPr>
                <w:rFonts w:ascii="黑体" w:eastAsia="黑体" w:hAnsi="黑体" w:cs="宋体"/>
                <w:kern w:val="0"/>
                <w:sz w:val="20"/>
                <w:szCs w:val="20"/>
              </w:rPr>
            </w:pPr>
            <w:r>
              <w:rPr>
                <w:rFonts w:ascii="黑体" w:eastAsia="黑体" w:hAnsi="黑体" w:cs="宋体" w:hint="eastAsia"/>
                <w:kern w:val="0"/>
                <w:sz w:val="20"/>
                <w:szCs w:val="20"/>
              </w:rPr>
              <w:t>256</w:t>
            </w:r>
          </w:p>
        </w:tc>
        <w:tc>
          <w:tcPr>
            <w:tcW w:w="3018" w:type="dxa"/>
            <w:tcBorders>
              <w:top w:val="single" w:sz="4" w:space="0" w:color="auto"/>
              <w:left w:val="nil"/>
              <w:bottom w:val="single" w:sz="4" w:space="0" w:color="auto"/>
              <w:right w:val="single" w:sz="4" w:space="0" w:color="auto"/>
            </w:tcBorders>
            <w:shd w:val="clear" w:color="auto" w:fill="auto"/>
            <w:vAlign w:val="center"/>
          </w:tcPr>
          <w:p w14:paraId="430D9CC2" w14:textId="77777777" w:rsidR="00A052DC" w:rsidRDefault="009F0A60">
            <w:pPr>
              <w:widowControl/>
              <w:rPr>
                <w:rFonts w:ascii="黑体" w:eastAsia="黑体" w:hAnsi="黑体" w:cs="宋体"/>
                <w:kern w:val="0"/>
                <w:sz w:val="20"/>
                <w:szCs w:val="20"/>
              </w:rPr>
            </w:pPr>
            <w:r>
              <w:rPr>
                <w:rFonts w:ascii="黑体" w:eastAsia="黑体" w:hAnsi="黑体" w:cs="宋体" w:hint="eastAsia"/>
                <w:kern w:val="0"/>
                <w:sz w:val="20"/>
                <w:szCs w:val="20"/>
              </w:rPr>
              <w:t>非必填项。如现钞来源说明为08则为必填。</w:t>
            </w:r>
          </w:p>
        </w:tc>
      </w:tr>
    </w:tbl>
    <w:p w14:paraId="47C9F203" w14:textId="77777777" w:rsidR="00A052DC" w:rsidRDefault="009F0A60">
      <w:pPr>
        <w:pStyle w:val="3"/>
        <w:ind w:left="0"/>
        <w:rPr>
          <w:rFonts w:ascii="Times New Roman" w:hAnsi="Times New Roman"/>
        </w:rPr>
      </w:pPr>
      <w:bookmarkStart w:id="4341" w:name="_Toc454382588"/>
      <w:bookmarkStart w:id="4342" w:name="_Toc454399507"/>
      <w:bookmarkStart w:id="4343" w:name="_Toc454465006"/>
      <w:bookmarkStart w:id="4344" w:name="_Toc454391580"/>
      <w:bookmarkStart w:id="4345" w:name="_Toc455153025"/>
      <w:bookmarkStart w:id="4346" w:name="_Toc454780383"/>
      <w:bookmarkStart w:id="4347" w:name="_Toc455156753"/>
      <w:bookmarkStart w:id="4348" w:name="_Toc455164204"/>
      <w:bookmarkStart w:id="4349" w:name="_Toc455167929"/>
      <w:bookmarkStart w:id="4350" w:name="_Toc454459283"/>
      <w:bookmarkStart w:id="4351" w:name="_Toc456772775"/>
      <w:bookmarkStart w:id="4352" w:name="_Toc454391582"/>
      <w:bookmarkStart w:id="4353" w:name="_Toc91455343"/>
      <w:bookmarkStart w:id="4354" w:name="_Toc101684516"/>
      <w:bookmarkEnd w:id="4341"/>
      <w:bookmarkEnd w:id="4342"/>
      <w:bookmarkEnd w:id="4343"/>
      <w:bookmarkEnd w:id="4344"/>
      <w:bookmarkEnd w:id="4345"/>
      <w:bookmarkEnd w:id="4346"/>
      <w:bookmarkEnd w:id="4347"/>
      <w:bookmarkEnd w:id="4348"/>
      <w:bookmarkEnd w:id="4349"/>
      <w:bookmarkEnd w:id="4350"/>
      <w:bookmarkEnd w:id="4351"/>
      <w:r>
        <w:rPr>
          <w:rFonts w:ascii="Times New Roman" w:hAnsi="Times New Roman" w:hint="eastAsia"/>
        </w:rPr>
        <w:t>机构外币现钞提取数据表</w:t>
      </w:r>
      <w:bookmarkEnd w:id="4352"/>
      <w:bookmarkEnd w:id="4353"/>
      <w:bookmarkEnd w:id="4354"/>
    </w:p>
    <w:p w14:paraId="295639A1" w14:textId="77777777" w:rsidR="00A052DC" w:rsidRDefault="009F0A60" w:rsidP="0020251D">
      <w:pPr>
        <w:pStyle w:val="4"/>
        <w:numPr>
          <w:ilvl w:val="3"/>
          <w:numId w:val="1"/>
        </w:numPr>
        <w:jc w:val="left"/>
      </w:pPr>
      <w:bookmarkStart w:id="4355" w:name="_Toc454391583"/>
      <w:r>
        <w:rPr>
          <w:rFonts w:hint="eastAsia"/>
        </w:rPr>
        <w:t>数据术语解释</w:t>
      </w:r>
      <w:bookmarkEnd w:id="4355"/>
    </w:p>
    <w:p w14:paraId="6BED957A" w14:textId="77777777" w:rsidR="00A052DC" w:rsidRDefault="00A052DC"/>
    <w:tbl>
      <w:tblPr>
        <w:tblW w:w="5000" w:type="pct"/>
        <w:jc w:val="center"/>
        <w:tblLook w:val="04A0" w:firstRow="1" w:lastRow="0" w:firstColumn="1" w:lastColumn="0" w:noHBand="0" w:noVBand="1"/>
      </w:tblPr>
      <w:tblGrid>
        <w:gridCol w:w="2262"/>
        <w:gridCol w:w="6260"/>
      </w:tblGrid>
      <w:tr w:rsidR="00A052DC" w14:paraId="23321229" w14:textId="77777777">
        <w:trPr>
          <w:trHeight w:val="270"/>
          <w:jc w:val="center"/>
        </w:trPr>
        <w:tc>
          <w:tcPr>
            <w:tcW w:w="1327" w:type="pct"/>
            <w:tcBorders>
              <w:top w:val="single" w:sz="4" w:space="0" w:color="auto"/>
              <w:left w:val="single" w:sz="4" w:space="0" w:color="auto"/>
              <w:bottom w:val="single" w:sz="4" w:space="0" w:color="auto"/>
              <w:right w:val="single" w:sz="4" w:space="0" w:color="auto"/>
            </w:tcBorders>
            <w:shd w:val="clear" w:color="000000" w:fill="BFBFBF"/>
            <w:vAlign w:val="center"/>
          </w:tcPr>
          <w:p w14:paraId="148C47CF" w14:textId="77777777" w:rsidR="00A052DC" w:rsidRDefault="009F0A60">
            <w:pPr>
              <w:widowControl/>
              <w:jc w:val="center"/>
              <w:rPr>
                <w:rFonts w:ascii="黑体" w:eastAsia="黑体" w:hAnsi="黑体" w:cs="宋体"/>
                <w:b/>
                <w:bCs/>
                <w:color w:val="000000"/>
                <w:kern w:val="0"/>
                <w:sz w:val="20"/>
                <w:szCs w:val="20"/>
              </w:rPr>
            </w:pPr>
            <w:r>
              <w:rPr>
                <w:rFonts w:ascii="黑体" w:eastAsia="黑体" w:hAnsi="黑体" w:cs="宋体" w:hint="eastAsia"/>
                <w:b/>
                <w:bCs/>
                <w:color w:val="000000"/>
                <w:kern w:val="0"/>
                <w:sz w:val="20"/>
                <w:szCs w:val="20"/>
              </w:rPr>
              <w:t>基础数据项</w:t>
            </w:r>
          </w:p>
        </w:tc>
        <w:tc>
          <w:tcPr>
            <w:tcW w:w="3673" w:type="pct"/>
            <w:tcBorders>
              <w:top w:val="single" w:sz="4" w:space="0" w:color="auto"/>
              <w:left w:val="nil"/>
              <w:bottom w:val="single" w:sz="4" w:space="0" w:color="auto"/>
              <w:right w:val="single" w:sz="4" w:space="0" w:color="auto"/>
            </w:tcBorders>
            <w:shd w:val="clear" w:color="000000" w:fill="BFBFBF"/>
            <w:vAlign w:val="center"/>
          </w:tcPr>
          <w:p w14:paraId="64AB859F" w14:textId="77777777" w:rsidR="00A052DC" w:rsidRDefault="009F0A60">
            <w:pPr>
              <w:widowControl/>
              <w:jc w:val="center"/>
              <w:rPr>
                <w:rFonts w:ascii="黑体" w:eastAsia="黑体" w:hAnsi="黑体" w:cs="宋体"/>
                <w:b/>
                <w:bCs/>
                <w:color w:val="000000"/>
                <w:kern w:val="0"/>
                <w:sz w:val="20"/>
                <w:szCs w:val="20"/>
              </w:rPr>
            </w:pPr>
            <w:r>
              <w:rPr>
                <w:rFonts w:ascii="黑体" w:eastAsia="黑体" w:hAnsi="黑体" w:cs="宋体" w:hint="eastAsia"/>
                <w:b/>
                <w:bCs/>
                <w:color w:val="000000"/>
                <w:kern w:val="0"/>
                <w:sz w:val="20"/>
                <w:szCs w:val="20"/>
              </w:rPr>
              <w:t>定义</w:t>
            </w:r>
          </w:p>
        </w:tc>
      </w:tr>
      <w:tr w:rsidR="00A052DC" w14:paraId="4BD0B3BB" w14:textId="77777777">
        <w:trPr>
          <w:trHeight w:val="270"/>
          <w:jc w:val="center"/>
        </w:trPr>
        <w:tc>
          <w:tcPr>
            <w:tcW w:w="1327" w:type="pct"/>
            <w:tcBorders>
              <w:top w:val="single" w:sz="4" w:space="0" w:color="auto"/>
              <w:left w:val="single" w:sz="4" w:space="0" w:color="auto"/>
              <w:bottom w:val="single" w:sz="4" w:space="0" w:color="auto"/>
              <w:right w:val="single" w:sz="4" w:space="0" w:color="auto"/>
            </w:tcBorders>
            <w:shd w:val="clear" w:color="000000" w:fill="auto"/>
          </w:tcPr>
          <w:p w14:paraId="52EF69DD"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申报号码</w:t>
            </w:r>
          </w:p>
        </w:tc>
        <w:tc>
          <w:tcPr>
            <w:tcW w:w="3673" w:type="pct"/>
            <w:tcBorders>
              <w:top w:val="single" w:sz="4" w:space="0" w:color="auto"/>
              <w:left w:val="nil"/>
              <w:bottom w:val="single" w:sz="4" w:space="0" w:color="auto"/>
              <w:right w:val="single" w:sz="4" w:space="0" w:color="auto"/>
            </w:tcBorders>
            <w:shd w:val="clear" w:color="000000" w:fill="auto"/>
          </w:tcPr>
          <w:p w14:paraId="45BD1B40"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指由境内银行按国家外汇管理局要求编制的号码，共计26位。开户行/经办行12位金融机构标识码+6位交易日期（YYMMDD）+1位业务代码（C存,Q取）+7位流水号。</w:t>
            </w:r>
          </w:p>
          <w:p w14:paraId="02CB4989"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通过账户办理的外币现钞提取业务填写开户行的金融机构标识码，不通过账户办理的外币现钞提取业务填写经办行的金融机构标识码。</w:t>
            </w:r>
          </w:p>
        </w:tc>
      </w:tr>
      <w:tr w:rsidR="00A052DC" w14:paraId="2C095B44" w14:textId="77777777">
        <w:trPr>
          <w:trHeight w:val="270"/>
          <w:jc w:val="center"/>
        </w:trPr>
        <w:tc>
          <w:tcPr>
            <w:tcW w:w="1327" w:type="pct"/>
            <w:tcBorders>
              <w:top w:val="single" w:sz="4" w:space="0" w:color="auto"/>
              <w:left w:val="single" w:sz="4" w:space="0" w:color="auto"/>
              <w:bottom w:val="single" w:sz="4" w:space="0" w:color="auto"/>
              <w:right w:val="single" w:sz="4" w:space="0" w:color="auto"/>
            </w:tcBorders>
            <w:shd w:val="clear" w:color="000000" w:fill="auto"/>
            <w:vAlign w:val="center"/>
          </w:tcPr>
          <w:p w14:paraId="208BF829" w14:textId="77777777" w:rsidR="00A052DC" w:rsidRDefault="009F0A60">
            <w:pPr>
              <w:widowControl/>
              <w:jc w:val="left"/>
              <w:rPr>
                <w:rFonts w:ascii="黑体" w:eastAsia="黑体" w:hAnsi="黑体" w:cs="宋体"/>
                <w:b/>
                <w:bCs/>
                <w:color w:val="000000"/>
                <w:kern w:val="0"/>
                <w:sz w:val="20"/>
                <w:szCs w:val="20"/>
              </w:rPr>
            </w:pPr>
            <w:r>
              <w:rPr>
                <w:rFonts w:ascii="黑体" w:eastAsia="黑体" w:hAnsi="黑体" w:cs="宋体" w:hint="eastAsia"/>
                <w:color w:val="000000"/>
                <w:kern w:val="0"/>
                <w:sz w:val="20"/>
                <w:szCs w:val="20"/>
              </w:rPr>
              <w:t>银行业务编号</w:t>
            </w:r>
          </w:p>
        </w:tc>
        <w:tc>
          <w:tcPr>
            <w:tcW w:w="3673" w:type="pct"/>
            <w:tcBorders>
              <w:top w:val="single" w:sz="4" w:space="0" w:color="auto"/>
              <w:left w:val="nil"/>
              <w:bottom w:val="single" w:sz="4" w:space="0" w:color="auto"/>
              <w:right w:val="single" w:sz="4" w:space="0" w:color="auto"/>
            </w:tcBorders>
            <w:shd w:val="clear" w:color="000000" w:fill="auto"/>
            <w:vAlign w:val="center"/>
          </w:tcPr>
          <w:p w14:paraId="34BC049A" w14:textId="77777777" w:rsidR="00A052DC" w:rsidRDefault="009F0A60">
            <w:pPr>
              <w:widowControl/>
              <w:jc w:val="left"/>
              <w:rPr>
                <w:rFonts w:ascii="黑体" w:eastAsia="黑体" w:hAnsi="黑体" w:cs="宋体"/>
                <w:b/>
                <w:bCs/>
                <w:color w:val="000000"/>
                <w:kern w:val="0"/>
                <w:sz w:val="20"/>
                <w:szCs w:val="20"/>
              </w:rPr>
            </w:pPr>
            <w:r>
              <w:rPr>
                <w:rFonts w:ascii="黑体" w:eastAsia="黑体" w:hAnsi="黑体" w:cs="宋体" w:hint="eastAsia"/>
                <w:color w:val="000000"/>
                <w:kern w:val="0"/>
                <w:sz w:val="20"/>
                <w:szCs w:val="20"/>
              </w:rPr>
              <w:t>指该业务在银行的业务编号。</w:t>
            </w:r>
          </w:p>
        </w:tc>
      </w:tr>
      <w:tr w:rsidR="00A052DC" w14:paraId="6C7CEB08" w14:textId="77777777">
        <w:trPr>
          <w:trHeight w:val="270"/>
          <w:jc w:val="center"/>
        </w:trPr>
        <w:tc>
          <w:tcPr>
            <w:tcW w:w="1327" w:type="pct"/>
            <w:tcBorders>
              <w:top w:val="single" w:sz="4" w:space="0" w:color="auto"/>
              <w:left w:val="single" w:sz="4" w:space="0" w:color="auto"/>
              <w:bottom w:val="single" w:sz="4" w:space="0" w:color="auto"/>
              <w:right w:val="single" w:sz="4" w:space="0" w:color="auto"/>
            </w:tcBorders>
            <w:shd w:val="clear" w:color="000000" w:fill="auto"/>
            <w:vAlign w:val="center"/>
          </w:tcPr>
          <w:p w14:paraId="7DFF18F0"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机构代码</w:t>
            </w:r>
          </w:p>
        </w:tc>
        <w:tc>
          <w:tcPr>
            <w:tcW w:w="3673" w:type="pct"/>
            <w:tcBorders>
              <w:top w:val="single" w:sz="4" w:space="0" w:color="auto"/>
              <w:left w:val="nil"/>
              <w:bottom w:val="single" w:sz="4" w:space="0" w:color="auto"/>
              <w:right w:val="single" w:sz="4" w:space="0" w:color="auto"/>
            </w:tcBorders>
            <w:shd w:val="clear" w:color="000000" w:fill="auto"/>
            <w:vAlign w:val="center"/>
          </w:tcPr>
          <w:p w14:paraId="3E6CBC34"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指统一社会信用代码法定载体（如营业执照）上统一社会信用代码中的第9至17位或国家外汇管理局</w:t>
            </w:r>
            <w:r>
              <w:rPr>
                <w:rFonts w:ascii="黑体" w:eastAsia="黑体" w:hAnsi="黑体" w:hint="eastAsia"/>
                <w:sz w:val="20"/>
                <w:szCs w:val="20"/>
              </w:rPr>
              <w:t>及其分支局</w:t>
            </w:r>
            <w:r>
              <w:rPr>
                <w:rFonts w:ascii="黑体" w:eastAsia="黑体" w:hAnsi="黑体" w:cs="宋体" w:hint="eastAsia"/>
                <w:color w:val="000000"/>
                <w:kern w:val="0"/>
                <w:sz w:val="20"/>
                <w:szCs w:val="20"/>
              </w:rPr>
              <w:t>签发的特殊机构代码赋码通知书上的机构代码。</w:t>
            </w:r>
          </w:p>
        </w:tc>
      </w:tr>
      <w:tr w:rsidR="00A052DC" w14:paraId="442EF795" w14:textId="77777777">
        <w:trPr>
          <w:trHeight w:val="765"/>
          <w:jc w:val="center"/>
        </w:trPr>
        <w:tc>
          <w:tcPr>
            <w:tcW w:w="1327" w:type="pct"/>
            <w:tcBorders>
              <w:top w:val="nil"/>
              <w:left w:val="single" w:sz="4" w:space="0" w:color="auto"/>
              <w:bottom w:val="single" w:sz="4" w:space="0" w:color="auto"/>
              <w:right w:val="single" w:sz="4" w:space="0" w:color="auto"/>
            </w:tcBorders>
            <w:shd w:val="clear" w:color="auto" w:fill="auto"/>
            <w:vAlign w:val="center"/>
          </w:tcPr>
          <w:p w14:paraId="0F519170"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机构名称</w:t>
            </w:r>
          </w:p>
        </w:tc>
        <w:tc>
          <w:tcPr>
            <w:tcW w:w="3673" w:type="pct"/>
            <w:tcBorders>
              <w:top w:val="nil"/>
              <w:left w:val="nil"/>
              <w:bottom w:val="single" w:sz="4" w:space="0" w:color="auto"/>
              <w:right w:val="single" w:sz="4" w:space="0" w:color="auto"/>
            </w:tcBorders>
            <w:shd w:val="clear" w:color="auto" w:fill="auto"/>
            <w:vAlign w:val="center"/>
          </w:tcPr>
          <w:p w14:paraId="47452F28"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指营业执照、或国家外汇管理局</w:t>
            </w:r>
            <w:r>
              <w:rPr>
                <w:rFonts w:ascii="黑体" w:eastAsia="黑体" w:hAnsi="黑体" w:hint="eastAsia"/>
                <w:sz w:val="20"/>
                <w:szCs w:val="20"/>
              </w:rPr>
              <w:t>及其分支局</w:t>
            </w:r>
            <w:r>
              <w:rPr>
                <w:rFonts w:ascii="黑体" w:eastAsia="黑体" w:hAnsi="黑体" w:cs="宋体" w:hint="eastAsia"/>
                <w:color w:val="000000"/>
                <w:kern w:val="0"/>
                <w:sz w:val="20"/>
                <w:szCs w:val="20"/>
              </w:rPr>
              <w:t>签发的特殊机构代码赋码通知书上的名称。</w:t>
            </w:r>
          </w:p>
        </w:tc>
      </w:tr>
      <w:tr w:rsidR="00A052DC" w14:paraId="5FDE1D81" w14:textId="77777777">
        <w:trPr>
          <w:trHeight w:val="765"/>
          <w:jc w:val="center"/>
        </w:trPr>
        <w:tc>
          <w:tcPr>
            <w:tcW w:w="1327" w:type="pct"/>
            <w:tcBorders>
              <w:top w:val="nil"/>
              <w:left w:val="single" w:sz="4" w:space="0" w:color="auto"/>
              <w:bottom w:val="single" w:sz="4" w:space="0" w:color="auto"/>
              <w:right w:val="single" w:sz="4" w:space="0" w:color="auto"/>
            </w:tcBorders>
            <w:shd w:val="clear" w:color="auto" w:fill="auto"/>
            <w:vAlign w:val="center"/>
          </w:tcPr>
          <w:p w14:paraId="58DCF81A"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交易时间</w:t>
            </w:r>
          </w:p>
        </w:tc>
        <w:tc>
          <w:tcPr>
            <w:tcW w:w="3673" w:type="pct"/>
            <w:tcBorders>
              <w:top w:val="nil"/>
              <w:left w:val="nil"/>
              <w:bottom w:val="single" w:sz="4" w:space="0" w:color="auto"/>
              <w:right w:val="single" w:sz="4" w:space="0" w:color="auto"/>
            </w:tcBorders>
            <w:shd w:val="clear" w:color="auto" w:fill="auto"/>
            <w:vAlign w:val="center"/>
          </w:tcPr>
          <w:p w14:paraId="3026E9A5"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业务办理日期和时间。</w:t>
            </w:r>
          </w:p>
        </w:tc>
      </w:tr>
      <w:tr w:rsidR="00A052DC" w14:paraId="4E368DB3" w14:textId="77777777">
        <w:trPr>
          <w:trHeight w:val="270"/>
          <w:jc w:val="center"/>
        </w:trPr>
        <w:tc>
          <w:tcPr>
            <w:tcW w:w="1327" w:type="pct"/>
            <w:tcBorders>
              <w:top w:val="nil"/>
              <w:left w:val="single" w:sz="4" w:space="0" w:color="auto"/>
              <w:bottom w:val="single" w:sz="4" w:space="0" w:color="auto"/>
              <w:right w:val="single" w:sz="4" w:space="0" w:color="auto"/>
            </w:tcBorders>
            <w:shd w:val="clear" w:color="auto" w:fill="auto"/>
            <w:vAlign w:val="center"/>
          </w:tcPr>
          <w:p w14:paraId="671ED167"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现钞提取币种</w:t>
            </w:r>
          </w:p>
        </w:tc>
        <w:tc>
          <w:tcPr>
            <w:tcW w:w="3673" w:type="pct"/>
            <w:tcBorders>
              <w:top w:val="nil"/>
              <w:left w:val="nil"/>
              <w:bottom w:val="single" w:sz="4" w:space="0" w:color="auto"/>
              <w:right w:val="single" w:sz="4" w:space="0" w:color="auto"/>
            </w:tcBorders>
            <w:shd w:val="clear" w:color="auto" w:fill="auto"/>
            <w:vAlign w:val="center"/>
          </w:tcPr>
          <w:p w14:paraId="245439B5"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提取外币现钞的币种。</w:t>
            </w:r>
          </w:p>
        </w:tc>
      </w:tr>
      <w:tr w:rsidR="00A052DC" w14:paraId="750FDB8D" w14:textId="77777777">
        <w:trPr>
          <w:trHeight w:val="510"/>
          <w:jc w:val="center"/>
        </w:trPr>
        <w:tc>
          <w:tcPr>
            <w:tcW w:w="1327" w:type="pct"/>
            <w:tcBorders>
              <w:top w:val="nil"/>
              <w:left w:val="single" w:sz="4" w:space="0" w:color="auto"/>
              <w:bottom w:val="single" w:sz="4" w:space="0" w:color="auto"/>
              <w:right w:val="single" w:sz="4" w:space="0" w:color="auto"/>
            </w:tcBorders>
            <w:shd w:val="clear" w:color="auto" w:fill="auto"/>
            <w:vAlign w:val="center"/>
          </w:tcPr>
          <w:p w14:paraId="1DE6E7AB"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现钞提取金额</w:t>
            </w:r>
          </w:p>
        </w:tc>
        <w:tc>
          <w:tcPr>
            <w:tcW w:w="3673" w:type="pct"/>
            <w:tcBorders>
              <w:top w:val="nil"/>
              <w:left w:val="nil"/>
              <w:bottom w:val="single" w:sz="4" w:space="0" w:color="auto"/>
              <w:right w:val="single" w:sz="4" w:space="0" w:color="auto"/>
            </w:tcBorders>
            <w:shd w:val="clear" w:color="auto" w:fill="auto"/>
            <w:vAlign w:val="center"/>
          </w:tcPr>
          <w:p w14:paraId="3E524438"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提取外币现钞的金额，包括购汇提钞和账户提钞。</w:t>
            </w:r>
          </w:p>
        </w:tc>
      </w:tr>
      <w:tr w:rsidR="00A052DC" w14:paraId="0168115D" w14:textId="77777777">
        <w:trPr>
          <w:trHeight w:val="510"/>
          <w:jc w:val="center"/>
        </w:trPr>
        <w:tc>
          <w:tcPr>
            <w:tcW w:w="1327" w:type="pct"/>
            <w:tcBorders>
              <w:top w:val="nil"/>
              <w:left w:val="single" w:sz="4" w:space="0" w:color="auto"/>
              <w:bottom w:val="single" w:sz="4" w:space="0" w:color="auto"/>
              <w:right w:val="single" w:sz="4" w:space="0" w:color="auto"/>
            </w:tcBorders>
            <w:shd w:val="clear" w:color="auto" w:fill="auto"/>
            <w:vAlign w:val="center"/>
          </w:tcPr>
          <w:p w14:paraId="7C66ADCD"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现钞提取金额折美元</w:t>
            </w:r>
          </w:p>
        </w:tc>
        <w:tc>
          <w:tcPr>
            <w:tcW w:w="3673" w:type="pct"/>
            <w:tcBorders>
              <w:top w:val="nil"/>
              <w:left w:val="nil"/>
              <w:bottom w:val="single" w:sz="4" w:space="0" w:color="auto"/>
              <w:right w:val="single" w:sz="4" w:space="0" w:color="auto"/>
            </w:tcBorders>
            <w:shd w:val="clear" w:color="auto" w:fill="auto"/>
            <w:vAlign w:val="center"/>
          </w:tcPr>
          <w:p w14:paraId="0A267BCD"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提取外币现钞的金额折美元，包括购汇提钞和账户提钞。</w:t>
            </w:r>
          </w:p>
        </w:tc>
      </w:tr>
      <w:tr w:rsidR="00A052DC" w14:paraId="26648BE5" w14:textId="77777777">
        <w:trPr>
          <w:trHeight w:val="270"/>
          <w:jc w:val="center"/>
        </w:trPr>
        <w:tc>
          <w:tcPr>
            <w:tcW w:w="1327" w:type="pct"/>
            <w:tcBorders>
              <w:top w:val="nil"/>
              <w:left w:val="single" w:sz="4" w:space="0" w:color="auto"/>
              <w:bottom w:val="single" w:sz="4" w:space="0" w:color="auto"/>
              <w:right w:val="single" w:sz="4" w:space="0" w:color="auto"/>
            </w:tcBorders>
            <w:shd w:val="clear" w:color="auto" w:fill="auto"/>
            <w:vAlign w:val="center"/>
          </w:tcPr>
          <w:p w14:paraId="106EBE82"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购汇提钞金额</w:t>
            </w:r>
          </w:p>
        </w:tc>
        <w:tc>
          <w:tcPr>
            <w:tcW w:w="3673" w:type="pct"/>
            <w:tcBorders>
              <w:top w:val="nil"/>
              <w:left w:val="nil"/>
              <w:bottom w:val="single" w:sz="4" w:space="0" w:color="auto"/>
              <w:right w:val="single" w:sz="4" w:space="0" w:color="auto"/>
            </w:tcBorders>
            <w:shd w:val="clear" w:color="auto" w:fill="auto"/>
            <w:vAlign w:val="center"/>
          </w:tcPr>
          <w:p w14:paraId="038F2AAB"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购汇提钞的金额。</w:t>
            </w:r>
          </w:p>
        </w:tc>
      </w:tr>
      <w:tr w:rsidR="00A052DC" w14:paraId="39041D5E" w14:textId="77777777">
        <w:trPr>
          <w:trHeight w:val="270"/>
          <w:jc w:val="center"/>
        </w:trPr>
        <w:tc>
          <w:tcPr>
            <w:tcW w:w="1327" w:type="pct"/>
            <w:tcBorders>
              <w:top w:val="nil"/>
              <w:left w:val="single" w:sz="4" w:space="0" w:color="auto"/>
              <w:bottom w:val="single" w:sz="4" w:space="0" w:color="auto"/>
              <w:right w:val="single" w:sz="4" w:space="0" w:color="auto"/>
            </w:tcBorders>
            <w:shd w:val="clear" w:color="auto" w:fill="auto"/>
            <w:vAlign w:val="center"/>
          </w:tcPr>
          <w:p w14:paraId="7A57A100"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购汇提钞折美元金额</w:t>
            </w:r>
          </w:p>
        </w:tc>
        <w:tc>
          <w:tcPr>
            <w:tcW w:w="3673" w:type="pct"/>
            <w:tcBorders>
              <w:top w:val="nil"/>
              <w:left w:val="nil"/>
              <w:bottom w:val="single" w:sz="4" w:space="0" w:color="auto"/>
              <w:right w:val="single" w:sz="4" w:space="0" w:color="auto"/>
            </w:tcBorders>
            <w:shd w:val="clear" w:color="auto" w:fill="auto"/>
            <w:vAlign w:val="center"/>
          </w:tcPr>
          <w:p w14:paraId="0EC8662A"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购汇提钞的金额折美元。</w:t>
            </w:r>
          </w:p>
        </w:tc>
      </w:tr>
      <w:tr w:rsidR="00A052DC" w14:paraId="4855E85C" w14:textId="77777777">
        <w:trPr>
          <w:trHeight w:val="270"/>
          <w:jc w:val="center"/>
        </w:trPr>
        <w:tc>
          <w:tcPr>
            <w:tcW w:w="1327" w:type="pct"/>
            <w:tcBorders>
              <w:top w:val="nil"/>
              <w:left w:val="single" w:sz="4" w:space="0" w:color="auto"/>
              <w:bottom w:val="single" w:sz="4" w:space="0" w:color="auto"/>
              <w:right w:val="single" w:sz="4" w:space="0" w:color="auto"/>
            </w:tcBorders>
            <w:shd w:val="clear" w:color="auto" w:fill="auto"/>
            <w:vAlign w:val="center"/>
          </w:tcPr>
          <w:p w14:paraId="6DE77D42"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购汇账户账号</w:t>
            </w:r>
          </w:p>
        </w:tc>
        <w:tc>
          <w:tcPr>
            <w:tcW w:w="3673" w:type="pct"/>
            <w:tcBorders>
              <w:top w:val="nil"/>
              <w:left w:val="nil"/>
              <w:bottom w:val="single" w:sz="4" w:space="0" w:color="auto"/>
              <w:right w:val="single" w:sz="4" w:space="0" w:color="auto"/>
            </w:tcBorders>
            <w:shd w:val="clear" w:color="auto" w:fill="auto"/>
            <w:vAlign w:val="center"/>
          </w:tcPr>
          <w:p w14:paraId="64BD2C35"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购汇资金来源账户的账号。</w:t>
            </w:r>
          </w:p>
        </w:tc>
      </w:tr>
      <w:tr w:rsidR="00A052DC" w14:paraId="3487F919" w14:textId="77777777">
        <w:trPr>
          <w:trHeight w:val="765"/>
          <w:jc w:val="center"/>
        </w:trPr>
        <w:tc>
          <w:tcPr>
            <w:tcW w:w="1327" w:type="pct"/>
            <w:tcBorders>
              <w:top w:val="nil"/>
              <w:left w:val="single" w:sz="4" w:space="0" w:color="auto"/>
              <w:bottom w:val="single" w:sz="4" w:space="0" w:color="auto"/>
              <w:right w:val="single" w:sz="4" w:space="0" w:color="auto"/>
            </w:tcBorders>
            <w:shd w:val="clear" w:color="auto" w:fill="auto"/>
            <w:vAlign w:val="center"/>
          </w:tcPr>
          <w:p w14:paraId="22BFFBF9"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购汇账户开户行代码</w:t>
            </w:r>
          </w:p>
        </w:tc>
        <w:tc>
          <w:tcPr>
            <w:tcW w:w="3673" w:type="pct"/>
            <w:tcBorders>
              <w:top w:val="nil"/>
              <w:left w:val="nil"/>
              <w:bottom w:val="single" w:sz="4" w:space="0" w:color="auto"/>
              <w:right w:val="single" w:sz="4" w:space="0" w:color="auto"/>
            </w:tcBorders>
            <w:shd w:val="clear" w:color="auto" w:fill="auto"/>
            <w:vAlign w:val="center"/>
          </w:tcPr>
          <w:p w14:paraId="3A323E2C"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购汇资金来源账户的开户行代码。填写12位金融机构标识码。</w:t>
            </w:r>
          </w:p>
        </w:tc>
      </w:tr>
      <w:tr w:rsidR="00A052DC" w14:paraId="756C3E2A" w14:textId="77777777">
        <w:trPr>
          <w:trHeight w:val="270"/>
          <w:jc w:val="center"/>
        </w:trPr>
        <w:tc>
          <w:tcPr>
            <w:tcW w:w="1327" w:type="pct"/>
            <w:tcBorders>
              <w:top w:val="nil"/>
              <w:left w:val="single" w:sz="4" w:space="0" w:color="auto"/>
              <w:bottom w:val="single" w:sz="4" w:space="0" w:color="auto"/>
              <w:right w:val="single" w:sz="4" w:space="0" w:color="auto"/>
            </w:tcBorders>
            <w:shd w:val="clear" w:color="auto" w:fill="auto"/>
            <w:vAlign w:val="center"/>
          </w:tcPr>
          <w:p w14:paraId="5F6C0920"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账户提钞金额</w:t>
            </w:r>
          </w:p>
        </w:tc>
        <w:tc>
          <w:tcPr>
            <w:tcW w:w="3673" w:type="pct"/>
            <w:tcBorders>
              <w:top w:val="nil"/>
              <w:left w:val="nil"/>
              <w:bottom w:val="single" w:sz="4" w:space="0" w:color="auto"/>
              <w:right w:val="single" w:sz="4" w:space="0" w:color="auto"/>
            </w:tcBorders>
            <w:shd w:val="clear" w:color="auto" w:fill="auto"/>
            <w:vAlign w:val="center"/>
          </w:tcPr>
          <w:p w14:paraId="4EA6F0AF"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账户内提钞金额，为现汇账户提钞。</w:t>
            </w:r>
          </w:p>
        </w:tc>
      </w:tr>
      <w:tr w:rsidR="00A052DC" w14:paraId="57756E7A" w14:textId="77777777">
        <w:trPr>
          <w:trHeight w:val="270"/>
          <w:jc w:val="center"/>
        </w:trPr>
        <w:tc>
          <w:tcPr>
            <w:tcW w:w="1327" w:type="pct"/>
            <w:tcBorders>
              <w:top w:val="nil"/>
              <w:left w:val="single" w:sz="4" w:space="0" w:color="auto"/>
              <w:bottom w:val="single" w:sz="4" w:space="0" w:color="auto"/>
              <w:right w:val="single" w:sz="4" w:space="0" w:color="auto"/>
            </w:tcBorders>
            <w:shd w:val="clear" w:color="auto" w:fill="auto"/>
            <w:vAlign w:val="center"/>
          </w:tcPr>
          <w:p w14:paraId="5499D43B"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账户提钞金额折美元</w:t>
            </w:r>
          </w:p>
        </w:tc>
        <w:tc>
          <w:tcPr>
            <w:tcW w:w="3673" w:type="pct"/>
            <w:tcBorders>
              <w:top w:val="nil"/>
              <w:left w:val="nil"/>
              <w:bottom w:val="single" w:sz="4" w:space="0" w:color="auto"/>
              <w:right w:val="single" w:sz="4" w:space="0" w:color="auto"/>
            </w:tcBorders>
            <w:shd w:val="clear" w:color="auto" w:fill="auto"/>
            <w:vAlign w:val="center"/>
          </w:tcPr>
          <w:p w14:paraId="2C6FC8C1"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账户内提钞金额折美元。</w:t>
            </w:r>
          </w:p>
        </w:tc>
      </w:tr>
      <w:tr w:rsidR="00A052DC" w14:paraId="709132C8" w14:textId="77777777">
        <w:trPr>
          <w:trHeight w:val="270"/>
          <w:jc w:val="center"/>
        </w:trPr>
        <w:tc>
          <w:tcPr>
            <w:tcW w:w="1327" w:type="pct"/>
            <w:tcBorders>
              <w:top w:val="nil"/>
              <w:left w:val="single" w:sz="4" w:space="0" w:color="auto"/>
              <w:bottom w:val="single" w:sz="4" w:space="0" w:color="auto"/>
              <w:right w:val="single" w:sz="4" w:space="0" w:color="auto"/>
            </w:tcBorders>
            <w:shd w:val="clear" w:color="auto" w:fill="auto"/>
            <w:vAlign w:val="center"/>
          </w:tcPr>
          <w:p w14:paraId="4F1C1A68"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提钞账户账号</w:t>
            </w:r>
          </w:p>
        </w:tc>
        <w:tc>
          <w:tcPr>
            <w:tcW w:w="3673" w:type="pct"/>
            <w:tcBorders>
              <w:top w:val="nil"/>
              <w:left w:val="nil"/>
              <w:bottom w:val="single" w:sz="4" w:space="0" w:color="auto"/>
              <w:right w:val="single" w:sz="4" w:space="0" w:color="auto"/>
            </w:tcBorders>
            <w:shd w:val="clear" w:color="auto" w:fill="auto"/>
            <w:vAlign w:val="center"/>
          </w:tcPr>
          <w:p w14:paraId="042DEAB1"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提取现钞账户的账号，为现汇账户账号。</w:t>
            </w:r>
          </w:p>
        </w:tc>
      </w:tr>
      <w:tr w:rsidR="00A052DC" w14:paraId="0CFC05E6" w14:textId="77777777">
        <w:trPr>
          <w:trHeight w:val="270"/>
          <w:jc w:val="center"/>
        </w:trPr>
        <w:tc>
          <w:tcPr>
            <w:tcW w:w="1327" w:type="pct"/>
            <w:tcBorders>
              <w:top w:val="nil"/>
              <w:left w:val="single" w:sz="4" w:space="0" w:color="auto"/>
              <w:bottom w:val="single" w:sz="4" w:space="0" w:color="auto"/>
              <w:right w:val="single" w:sz="4" w:space="0" w:color="auto"/>
            </w:tcBorders>
            <w:shd w:val="clear" w:color="auto" w:fill="auto"/>
            <w:vAlign w:val="center"/>
          </w:tcPr>
          <w:p w14:paraId="0D56227D" w14:textId="77777777" w:rsidR="00A052DC" w:rsidRDefault="009F0A60">
            <w:pPr>
              <w:widowControl/>
              <w:rPr>
                <w:rFonts w:ascii="黑体" w:eastAsia="黑体" w:hAnsi="黑体" w:cs="宋体"/>
                <w:kern w:val="0"/>
                <w:sz w:val="20"/>
                <w:szCs w:val="20"/>
              </w:rPr>
            </w:pPr>
            <w:r>
              <w:rPr>
                <w:rFonts w:ascii="黑体" w:eastAsia="黑体" w:hAnsi="黑体" w:cs="宋体" w:hint="eastAsia"/>
                <w:kern w:val="0"/>
                <w:sz w:val="20"/>
                <w:szCs w:val="20"/>
              </w:rPr>
              <w:t>现钞提取用途说明</w:t>
            </w:r>
          </w:p>
        </w:tc>
        <w:tc>
          <w:tcPr>
            <w:tcW w:w="3673" w:type="pct"/>
            <w:tcBorders>
              <w:top w:val="nil"/>
              <w:left w:val="nil"/>
              <w:bottom w:val="single" w:sz="4" w:space="0" w:color="auto"/>
              <w:right w:val="single" w:sz="4" w:space="0" w:color="auto"/>
            </w:tcBorders>
            <w:shd w:val="clear" w:color="auto" w:fill="auto"/>
            <w:vAlign w:val="center"/>
          </w:tcPr>
          <w:p w14:paraId="3C75C464" w14:textId="77777777" w:rsidR="00A052DC" w:rsidRDefault="009F0A60">
            <w:pPr>
              <w:widowControl/>
              <w:rPr>
                <w:rFonts w:ascii="黑体" w:eastAsia="黑体" w:hAnsi="黑体" w:cs="宋体"/>
                <w:kern w:val="0"/>
                <w:sz w:val="20"/>
                <w:szCs w:val="20"/>
              </w:rPr>
            </w:pPr>
            <w:r>
              <w:rPr>
                <w:rFonts w:ascii="黑体" w:eastAsia="黑体" w:hAnsi="黑体" w:cs="宋体" w:hint="eastAsia"/>
                <w:color w:val="000000"/>
                <w:kern w:val="0"/>
                <w:sz w:val="20"/>
                <w:szCs w:val="20"/>
              </w:rPr>
              <w:t>指现钞提取用途，参见现钞提取用途代码表。</w:t>
            </w:r>
            <w:r>
              <w:rPr>
                <w:rFonts w:ascii="黑体" w:eastAsia="黑体" w:hAnsi="黑体" w:cs="宋体" w:hint="eastAsia"/>
                <w:kern w:val="0"/>
                <w:sz w:val="20"/>
                <w:szCs w:val="20"/>
              </w:rPr>
              <w:t>金融机构填报现钞提取说明2位代码，</w:t>
            </w:r>
            <w:r>
              <w:rPr>
                <w:rFonts w:ascii="黑体" w:eastAsia="黑体" w:hAnsi="黑体" w:cs="宋体" w:hint="eastAsia"/>
                <w:color w:val="000000"/>
                <w:kern w:val="0"/>
                <w:sz w:val="20"/>
                <w:szCs w:val="20"/>
              </w:rPr>
              <w:t>如填写08（</w:t>
            </w:r>
            <w:r w:rsidR="0021563C">
              <w:rPr>
                <w:rFonts w:ascii="黑体" w:eastAsia="黑体" w:hAnsi="黑体" w:cs="宋体" w:hint="eastAsia"/>
                <w:color w:val="000000"/>
                <w:kern w:val="0"/>
                <w:sz w:val="20"/>
                <w:szCs w:val="20"/>
              </w:rPr>
              <w:t>其他</w:t>
            </w:r>
            <w:r>
              <w:rPr>
                <w:rFonts w:ascii="黑体" w:eastAsia="黑体" w:hAnsi="黑体" w:cs="宋体" w:hint="eastAsia"/>
                <w:color w:val="000000"/>
                <w:kern w:val="0"/>
                <w:sz w:val="20"/>
                <w:szCs w:val="20"/>
              </w:rPr>
              <w:t>）请在备注中说明具体用途。</w:t>
            </w:r>
          </w:p>
        </w:tc>
      </w:tr>
      <w:tr w:rsidR="00A052DC" w14:paraId="287E2AE2" w14:textId="77777777">
        <w:trPr>
          <w:trHeight w:val="934"/>
          <w:jc w:val="center"/>
        </w:trPr>
        <w:tc>
          <w:tcPr>
            <w:tcW w:w="1327" w:type="pct"/>
            <w:tcBorders>
              <w:top w:val="single" w:sz="4" w:space="0" w:color="auto"/>
              <w:left w:val="single" w:sz="4" w:space="0" w:color="auto"/>
              <w:bottom w:val="single" w:sz="4" w:space="0" w:color="auto"/>
              <w:right w:val="single" w:sz="4" w:space="0" w:color="auto"/>
            </w:tcBorders>
            <w:shd w:val="clear" w:color="auto" w:fill="auto"/>
            <w:vAlign w:val="center"/>
          </w:tcPr>
          <w:p w14:paraId="3B7B0CAA" w14:textId="77777777" w:rsidR="00A052DC" w:rsidRDefault="009F0A60">
            <w:pPr>
              <w:widowControl/>
              <w:rPr>
                <w:rFonts w:ascii="黑体" w:eastAsia="黑体" w:hAnsi="黑体" w:cs="宋体"/>
                <w:kern w:val="0"/>
                <w:sz w:val="20"/>
                <w:szCs w:val="20"/>
              </w:rPr>
            </w:pPr>
            <w:r>
              <w:rPr>
                <w:rFonts w:ascii="黑体" w:eastAsia="黑体" w:hAnsi="黑体" w:cs="宋体" w:hint="eastAsia"/>
                <w:kern w:val="0"/>
                <w:sz w:val="20"/>
                <w:szCs w:val="20"/>
              </w:rPr>
              <w:t>现钞去向国家（地区）代码</w:t>
            </w:r>
          </w:p>
        </w:tc>
        <w:tc>
          <w:tcPr>
            <w:tcW w:w="3673" w:type="pct"/>
            <w:tcBorders>
              <w:top w:val="single" w:sz="4" w:space="0" w:color="auto"/>
              <w:left w:val="nil"/>
              <w:bottom w:val="single" w:sz="4" w:space="0" w:color="auto"/>
              <w:right w:val="single" w:sz="4" w:space="0" w:color="auto"/>
            </w:tcBorders>
            <w:shd w:val="clear" w:color="auto" w:fill="auto"/>
            <w:vAlign w:val="center"/>
          </w:tcPr>
          <w:p w14:paraId="7AA1B3DD" w14:textId="77777777" w:rsidR="00A052DC" w:rsidRDefault="009F0A60">
            <w:pPr>
              <w:widowControl/>
              <w:rPr>
                <w:rFonts w:ascii="黑体" w:eastAsia="黑体" w:hAnsi="黑体" w:cs="宋体"/>
                <w:kern w:val="0"/>
                <w:sz w:val="20"/>
                <w:szCs w:val="20"/>
              </w:rPr>
            </w:pPr>
            <w:r>
              <w:rPr>
                <w:rFonts w:ascii="黑体" w:eastAsia="黑体" w:hAnsi="黑体" w:cs="宋体" w:hint="eastAsia"/>
                <w:kern w:val="0"/>
                <w:sz w:val="20"/>
                <w:szCs w:val="20"/>
              </w:rPr>
              <w:t>外币现钞提取后去往国家（地区）代码。</w:t>
            </w:r>
          </w:p>
        </w:tc>
      </w:tr>
      <w:tr w:rsidR="00A052DC" w14:paraId="4BB19788" w14:textId="77777777">
        <w:trPr>
          <w:trHeight w:val="267"/>
          <w:jc w:val="center"/>
        </w:trPr>
        <w:tc>
          <w:tcPr>
            <w:tcW w:w="1327" w:type="pct"/>
            <w:tcBorders>
              <w:top w:val="single" w:sz="4" w:space="0" w:color="auto"/>
              <w:left w:val="single" w:sz="4" w:space="0" w:color="auto"/>
              <w:bottom w:val="single" w:sz="4" w:space="0" w:color="auto"/>
              <w:right w:val="single" w:sz="4" w:space="0" w:color="auto"/>
            </w:tcBorders>
            <w:shd w:val="clear" w:color="auto" w:fill="auto"/>
            <w:vAlign w:val="center"/>
          </w:tcPr>
          <w:p w14:paraId="0B3FF4D9" w14:textId="77777777" w:rsidR="00A052DC" w:rsidRDefault="009F0A60">
            <w:pPr>
              <w:widowControl/>
              <w:rPr>
                <w:rFonts w:ascii="黑体" w:eastAsia="黑体" w:hAnsi="黑体" w:cs="宋体"/>
                <w:kern w:val="0"/>
                <w:sz w:val="20"/>
                <w:szCs w:val="20"/>
              </w:rPr>
            </w:pPr>
            <w:r>
              <w:rPr>
                <w:rFonts w:ascii="黑体" w:eastAsia="黑体" w:hAnsi="黑体" w:cs="宋体" w:hint="eastAsia"/>
                <w:kern w:val="0"/>
                <w:sz w:val="20"/>
                <w:szCs w:val="20"/>
              </w:rPr>
              <w:t>备注</w:t>
            </w:r>
          </w:p>
        </w:tc>
        <w:tc>
          <w:tcPr>
            <w:tcW w:w="3673" w:type="pct"/>
            <w:tcBorders>
              <w:top w:val="single" w:sz="4" w:space="0" w:color="auto"/>
              <w:left w:val="nil"/>
              <w:bottom w:val="single" w:sz="4" w:space="0" w:color="auto"/>
              <w:right w:val="single" w:sz="4" w:space="0" w:color="auto"/>
            </w:tcBorders>
            <w:shd w:val="clear" w:color="auto" w:fill="auto"/>
            <w:vAlign w:val="center"/>
          </w:tcPr>
          <w:p w14:paraId="2FA0ED05" w14:textId="77777777" w:rsidR="00A052DC" w:rsidRDefault="009F0A60">
            <w:pPr>
              <w:widowControl/>
              <w:rPr>
                <w:rFonts w:ascii="黑体" w:eastAsia="黑体" w:hAnsi="黑体" w:cs="宋体"/>
                <w:kern w:val="0"/>
                <w:sz w:val="20"/>
                <w:szCs w:val="20"/>
              </w:rPr>
            </w:pPr>
            <w:r>
              <w:rPr>
                <w:rFonts w:ascii="黑体" w:eastAsia="黑体" w:hAnsi="黑体" w:cs="宋体" w:hint="eastAsia"/>
                <w:kern w:val="0"/>
                <w:sz w:val="20"/>
                <w:szCs w:val="20"/>
              </w:rPr>
              <w:t>需要说明的备注事项。</w:t>
            </w:r>
          </w:p>
        </w:tc>
      </w:tr>
    </w:tbl>
    <w:p w14:paraId="770F1784" w14:textId="77777777" w:rsidR="00A052DC" w:rsidRDefault="009F0A60">
      <w:pPr>
        <w:pStyle w:val="4"/>
        <w:numPr>
          <w:ilvl w:val="3"/>
          <w:numId w:val="1"/>
        </w:numPr>
        <w:jc w:val="left"/>
      </w:pPr>
      <w:bookmarkStart w:id="4356" w:name="_Toc454391584"/>
      <w:r>
        <w:rPr>
          <w:rFonts w:hint="eastAsia"/>
        </w:rPr>
        <w:t>数据格式</w:t>
      </w:r>
      <w:bookmarkEnd w:id="4356"/>
    </w:p>
    <w:p w14:paraId="19061E5D" w14:textId="77777777" w:rsidR="00A052DC" w:rsidRDefault="009F0A60">
      <w:pPr>
        <w:ind w:firstLine="482"/>
        <w:rPr>
          <w:szCs w:val="21"/>
        </w:rPr>
      </w:pPr>
      <w:r>
        <w:rPr>
          <w:szCs w:val="21"/>
        </w:rPr>
        <w:t>&lt;REC&gt;</w:t>
      </w:r>
    </w:p>
    <w:p w14:paraId="1AC78F8F" w14:textId="77777777" w:rsidR="00A052DC" w:rsidRDefault="009F0A60">
      <w:pPr>
        <w:ind w:firstLine="482"/>
        <w:rPr>
          <w:szCs w:val="21"/>
        </w:rPr>
      </w:pPr>
      <w:r>
        <w:rPr>
          <w:szCs w:val="21"/>
        </w:rPr>
        <w:t>&lt;ACTIONTYPE&gt;</w:t>
      </w:r>
      <w:r>
        <w:rPr>
          <w:szCs w:val="21"/>
        </w:rPr>
        <w:t>操作类型</w:t>
      </w:r>
      <w:r>
        <w:rPr>
          <w:szCs w:val="21"/>
        </w:rPr>
        <w:t>&lt;/ACTIONTYPE&gt;</w:t>
      </w:r>
    </w:p>
    <w:p w14:paraId="74DB1625" w14:textId="77777777" w:rsidR="00A052DC" w:rsidRDefault="009F0A60">
      <w:pPr>
        <w:ind w:firstLine="482"/>
        <w:rPr>
          <w:szCs w:val="21"/>
        </w:rPr>
      </w:pPr>
      <w:r>
        <w:rPr>
          <w:szCs w:val="21"/>
        </w:rPr>
        <w:t>&lt;ACTIONDESC&gt;</w:t>
      </w:r>
      <w:r>
        <w:rPr>
          <w:szCs w:val="21"/>
        </w:rPr>
        <w:t>修改</w:t>
      </w:r>
      <w:r>
        <w:rPr>
          <w:szCs w:val="21"/>
        </w:rPr>
        <w:t>/</w:t>
      </w:r>
      <w:r>
        <w:rPr>
          <w:szCs w:val="21"/>
        </w:rPr>
        <w:t>删除原因</w:t>
      </w:r>
      <w:r>
        <w:rPr>
          <w:szCs w:val="21"/>
        </w:rPr>
        <w:t>&lt;/ACTIONDESC&gt;</w:t>
      </w:r>
    </w:p>
    <w:p w14:paraId="13ED884C" w14:textId="77777777" w:rsidR="00A052DC" w:rsidRDefault="009F0A60">
      <w:pPr>
        <w:ind w:firstLine="482"/>
        <w:rPr>
          <w:szCs w:val="21"/>
        </w:rPr>
      </w:pPr>
      <w:r>
        <w:rPr>
          <w:szCs w:val="21"/>
        </w:rPr>
        <w:t>&lt;RPTNO&gt;</w:t>
      </w:r>
      <w:r>
        <w:rPr>
          <w:szCs w:val="21"/>
        </w:rPr>
        <w:t>申报号码</w:t>
      </w:r>
      <w:r>
        <w:rPr>
          <w:szCs w:val="21"/>
        </w:rPr>
        <w:t>&lt;/RPTNO&gt;</w:t>
      </w:r>
    </w:p>
    <w:p w14:paraId="1A929305" w14:textId="77777777" w:rsidR="00A052DC" w:rsidRDefault="009F0A60">
      <w:pPr>
        <w:ind w:firstLine="482"/>
        <w:rPr>
          <w:szCs w:val="21"/>
        </w:rPr>
      </w:pPr>
      <w:r>
        <w:rPr>
          <w:szCs w:val="21"/>
        </w:rPr>
        <w:t>&lt;BANKBIZCODE&gt;</w:t>
      </w:r>
      <w:r>
        <w:rPr>
          <w:szCs w:val="21"/>
        </w:rPr>
        <w:t>银行业务编号</w:t>
      </w:r>
      <w:r>
        <w:rPr>
          <w:szCs w:val="21"/>
        </w:rPr>
        <w:t>&lt;/BANKBIZCODE&gt;</w:t>
      </w:r>
    </w:p>
    <w:p w14:paraId="041EDE44" w14:textId="77777777" w:rsidR="00A052DC" w:rsidRDefault="009F0A60">
      <w:pPr>
        <w:ind w:firstLine="482"/>
        <w:rPr>
          <w:szCs w:val="21"/>
        </w:rPr>
      </w:pPr>
      <w:r>
        <w:rPr>
          <w:szCs w:val="21"/>
        </w:rPr>
        <w:t>&lt;CUSTCODE&gt;</w:t>
      </w:r>
      <w:r>
        <w:rPr>
          <w:szCs w:val="21"/>
        </w:rPr>
        <w:t>机构代码</w:t>
      </w:r>
      <w:r>
        <w:rPr>
          <w:szCs w:val="21"/>
        </w:rPr>
        <w:t>&lt;/CUSTCODE&gt;</w:t>
      </w:r>
    </w:p>
    <w:p w14:paraId="2F419A11" w14:textId="77777777" w:rsidR="00A052DC" w:rsidRDefault="009F0A60">
      <w:pPr>
        <w:ind w:firstLine="482"/>
        <w:rPr>
          <w:szCs w:val="21"/>
        </w:rPr>
      </w:pPr>
      <w:r>
        <w:rPr>
          <w:szCs w:val="21"/>
        </w:rPr>
        <w:t>&lt;CUSTNAME&gt;</w:t>
      </w:r>
      <w:r>
        <w:rPr>
          <w:szCs w:val="21"/>
        </w:rPr>
        <w:t>机构名称</w:t>
      </w:r>
      <w:r>
        <w:rPr>
          <w:szCs w:val="21"/>
        </w:rPr>
        <w:t>&lt;/CUSTNAME&gt;</w:t>
      </w:r>
    </w:p>
    <w:p w14:paraId="02C03CF8" w14:textId="77777777" w:rsidR="00A052DC" w:rsidRDefault="009F0A60">
      <w:pPr>
        <w:ind w:firstLine="482"/>
        <w:rPr>
          <w:szCs w:val="21"/>
        </w:rPr>
      </w:pPr>
      <w:r>
        <w:rPr>
          <w:szCs w:val="21"/>
        </w:rPr>
        <w:t>&lt;DEALTIME&gt;</w:t>
      </w:r>
      <w:r>
        <w:rPr>
          <w:szCs w:val="21"/>
        </w:rPr>
        <w:t>交易时间</w:t>
      </w:r>
      <w:r>
        <w:rPr>
          <w:szCs w:val="21"/>
        </w:rPr>
        <w:t>&lt;/DEALTIME&gt;</w:t>
      </w:r>
    </w:p>
    <w:p w14:paraId="23EFB1D0" w14:textId="77777777" w:rsidR="00A052DC" w:rsidRDefault="009F0A60">
      <w:pPr>
        <w:ind w:firstLine="482"/>
        <w:rPr>
          <w:szCs w:val="21"/>
        </w:rPr>
      </w:pPr>
      <w:r>
        <w:rPr>
          <w:szCs w:val="21"/>
        </w:rPr>
        <w:t>&lt;TXCCY&gt;</w:t>
      </w:r>
      <w:r>
        <w:rPr>
          <w:szCs w:val="21"/>
        </w:rPr>
        <w:t>现钞提取币种</w:t>
      </w:r>
      <w:r>
        <w:rPr>
          <w:szCs w:val="21"/>
        </w:rPr>
        <w:t>&lt;/TXCCY&gt;</w:t>
      </w:r>
    </w:p>
    <w:p w14:paraId="3D85497D" w14:textId="77777777" w:rsidR="00A052DC" w:rsidRDefault="009F0A60">
      <w:pPr>
        <w:ind w:firstLine="482"/>
        <w:rPr>
          <w:szCs w:val="21"/>
        </w:rPr>
      </w:pPr>
      <w:r>
        <w:rPr>
          <w:szCs w:val="21"/>
        </w:rPr>
        <w:t>&lt;CSHDRAWAMT&gt;</w:t>
      </w:r>
      <w:r>
        <w:rPr>
          <w:szCs w:val="21"/>
        </w:rPr>
        <w:t>现钞提取金额</w:t>
      </w:r>
      <w:r>
        <w:rPr>
          <w:szCs w:val="21"/>
        </w:rPr>
        <w:t>&lt;/CSHDRAWAMT&gt;</w:t>
      </w:r>
    </w:p>
    <w:p w14:paraId="3D61117C" w14:textId="77777777" w:rsidR="00A052DC" w:rsidRDefault="009F0A60">
      <w:pPr>
        <w:ind w:firstLine="482"/>
        <w:rPr>
          <w:szCs w:val="21"/>
        </w:rPr>
      </w:pPr>
      <w:r>
        <w:rPr>
          <w:szCs w:val="21"/>
        </w:rPr>
        <w:t>&lt;CSHDRAWAMTUSD&gt;</w:t>
      </w:r>
      <w:r>
        <w:rPr>
          <w:szCs w:val="21"/>
        </w:rPr>
        <w:t>现钞提取金额折美元</w:t>
      </w:r>
      <w:r>
        <w:rPr>
          <w:szCs w:val="21"/>
        </w:rPr>
        <w:t>&lt;/CSHDRAWAMTUSD&gt;</w:t>
      </w:r>
    </w:p>
    <w:p w14:paraId="4FE88A0D" w14:textId="77777777" w:rsidR="00563761" w:rsidRDefault="006D105B" w:rsidP="0020251D">
      <w:pPr>
        <w:rPr>
          <w:szCs w:val="21"/>
        </w:rPr>
      </w:pPr>
      <w:r w:rsidRPr="006D105B">
        <w:rPr>
          <w:rFonts w:hint="eastAsia"/>
          <w:szCs w:val="21"/>
        </w:rPr>
        <w:t>&lt;PURFXDRAWAMT&gt;</w:t>
      </w:r>
      <w:r w:rsidRPr="006D105B">
        <w:rPr>
          <w:rFonts w:hint="eastAsia"/>
          <w:szCs w:val="21"/>
        </w:rPr>
        <w:t>购汇提钞金额</w:t>
      </w:r>
      <w:r w:rsidRPr="006D105B">
        <w:rPr>
          <w:rFonts w:hint="eastAsia"/>
          <w:szCs w:val="21"/>
        </w:rPr>
        <w:t>&lt;/PURFXDRAWAMT&gt;</w:t>
      </w:r>
    </w:p>
    <w:p w14:paraId="270503EB" w14:textId="77777777" w:rsidR="00A052DC" w:rsidRDefault="009F0A60">
      <w:pPr>
        <w:ind w:firstLine="482"/>
        <w:rPr>
          <w:szCs w:val="21"/>
        </w:rPr>
      </w:pPr>
      <w:r>
        <w:rPr>
          <w:szCs w:val="21"/>
        </w:rPr>
        <w:t>&lt;PURFXDRAWAMTUSD&gt;</w:t>
      </w:r>
      <w:r>
        <w:rPr>
          <w:szCs w:val="21"/>
        </w:rPr>
        <w:t>购汇提钞折美元金额</w:t>
      </w:r>
      <w:r>
        <w:rPr>
          <w:szCs w:val="21"/>
        </w:rPr>
        <w:t>&lt;/PURFXDRAWAMTUSD&gt;</w:t>
      </w:r>
    </w:p>
    <w:p w14:paraId="06741721" w14:textId="77777777" w:rsidR="00A052DC" w:rsidRDefault="009F0A60">
      <w:pPr>
        <w:ind w:firstLine="482"/>
        <w:rPr>
          <w:szCs w:val="21"/>
        </w:rPr>
      </w:pPr>
      <w:r>
        <w:rPr>
          <w:szCs w:val="21"/>
        </w:rPr>
        <w:t>&lt;PURFXACCT&gt;</w:t>
      </w:r>
      <w:r>
        <w:rPr>
          <w:szCs w:val="21"/>
        </w:rPr>
        <w:t>购汇账户账号</w:t>
      </w:r>
      <w:r>
        <w:rPr>
          <w:szCs w:val="21"/>
        </w:rPr>
        <w:t>&lt;/PURFXACCT&gt;</w:t>
      </w:r>
    </w:p>
    <w:p w14:paraId="2EA80EC7" w14:textId="77777777" w:rsidR="00A052DC" w:rsidRDefault="009F0A60">
      <w:pPr>
        <w:ind w:firstLine="482"/>
        <w:rPr>
          <w:szCs w:val="21"/>
        </w:rPr>
      </w:pPr>
      <w:r>
        <w:rPr>
          <w:szCs w:val="21"/>
        </w:rPr>
        <w:t>&lt;OPPBANKCODE&gt;</w:t>
      </w:r>
      <w:r>
        <w:rPr>
          <w:szCs w:val="21"/>
        </w:rPr>
        <w:t>购汇账户开户行代码</w:t>
      </w:r>
      <w:r>
        <w:rPr>
          <w:szCs w:val="21"/>
        </w:rPr>
        <w:t>&lt;/OPPBANKCODE&gt;</w:t>
      </w:r>
    </w:p>
    <w:p w14:paraId="004BAE35" w14:textId="77777777" w:rsidR="00A052DC" w:rsidRDefault="009F0A60">
      <w:pPr>
        <w:ind w:firstLine="482"/>
        <w:rPr>
          <w:szCs w:val="21"/>
        </w:rPr>
      </w:pPr>
      <w:r>
        <w:rPr>
          <w:szCs w:val="21"/>
        </w:rPr>
        <w:t>&lt;ACCTDRAWAMT&gt;</w:t>
      </w:r>
      <w:r>
        <w:rPr>
          <w:szCs w:val="21"/>
        </w:rPr>
        <w:t>账户提钞金额</w:t>
      </w:r>
      <w:r>
        <w:rPr>
          <w:szCs w:val="21"/>
        </w:rPr>
        <w:t>&lt;/ACCTDRAWAMT&gt;</w:t>
      </w:r>
    </w:p>
    <w:p w14:paraId="7266C66C" w14:textId="77777777" w:rsidR="00A052DC" w:rsidRDefault="009F0A60">
      <w:pPr>
        <w:ind w:firstLine="482"/>
        <w:rPr>
          <w:szCs w:val="21"/>
        </w:rPr>
      </w:pPr>
      <w:r>
        <w:rPr>
          <w:szCs w:val="21"/>
        </w:rPr>
        <w:t>&lt;ACCTDRAWAMTUSD&gt;</w:t>
      </w:r>
      <w:r>
        <w:rPr>
          <w:szCs w:val="21"/>
        </w:rPr>
        <w:t>账户提钞金额折美元</w:t>
      </w:r>
      <w:r>
        <w:rPr>
          <w:szCs w:val="21"/>
        </w:rPr>
        <w:t>&lt;/ACCTDRAWAMTUSD&gt;</w:t>
      </w:r>
    </w:p>
    <w:p w14:paraId="6BD70CA7" w14:textId="77777777" w:rsidR="00A052DC" w:rsidRDefault="009F0A60">
      <w:pPr>
        <w:ind w:firstLine="482"/>
        <w:rPr>
          <w:szCs w:val="21"/>
        </w:rPr>
      </w:pPr>
      <w:r>
        <w:rPr>
          <w:szCs w:val="21"/>
        </w:rPr>
        <w:t>&lt;DRAWACCT&gt;</w:t>
      </w:r>
      <w:r>
        <w:rPr>
          <w:szCs w:val="21"/>
        </w:rPr>
        <w:t>提钞账户账号</w:t>
      </w:r>
      <w:r>
        <w:rPr>
          <w:szCs w:val="21"/>
        </w:rPr>
        <w:t>&lt;/DRAWACCT&gt;</w:t>
      </w:r>
    </w:p>
    <w:p w14:paraId="340D4ECA" w14:textId="77777777" w:rsidR="00A052DC" w:rsidRDefault="009F0A60">
      <w:pPr>
        <w:ind w:firstLine="482"/>
        <w:rPr>
          <w:szCs w:val="21"/>
        </w:rPr>
      </w:pPr>
      <w:r>
        <w:rPr>
          <w:szCs w:val="21"/>
        </w:rPr>
        <w:t>&lt;CSHDRAWDESC&gt;</w:t>
      </w:r>
      <w:r>
        <w:rPr>
          <w:szCs w:val="21"/>
        </w:rPr>
        <w:t>现钞提取用途说明</w:t>
      </w:r>
      <w:r>
        <w:rPr>
          <w:szCs w:val="21"/>
        </w:rPr>
        <w:t>&lt;/CSHDRAWDESC&gt;</w:t>
      </w:r>
    </w:p>
    <w:p w14:paraId="7D94796A" w14:textId="77777777" w:rsidR="00A052DC" w:rsidRDefault="009F0A60">
      <w:pPr>
        <w:ind w:firstLine="482"/>
        <w:rPr>
          <w:szCs w:val="21"/>
        </w:rPr>
      </w:pPr>
      <w:r>
        <w:rPr>
          <w:szCs w:val="21"/>
        </w:rPr>
        <w:t>&lt;CSHDSTCTY&gt;</w:t>
      </w:r>
      <w:r>
        <w:rPr>
          <w:szCs w:val="21"/>
        </w:rPr>
        <w:t>现钞去向国家</w:t>
      </w:r>
      <w:r>
        <w:rPr>
          <w:szCs w:val="21"/>
        </w:rPr>
        <w:t>(</w:t>
      </w:r>
      <w:r>
        <w:rPr>
          <w:szCs w:val="21"/>
        </w:rPr>
        <w:t>地区</w:t>
      </w:r>
      <w:r>
        <w:rPr>
          <w:szCs w:val="21"/>
        </w:rPr>
        <w:t>)&lt;/CSHDSTCTY&gt;</w:t>
      </w:r>
    </w:p>
    <w:p w14:paraId="4402D623" w14:textId="77777777" w:rsidR="00A052DC" w:rsidRDefault="009F0A60">
      <w:pPr>
        <w:ind w:firstLine="482"/>
        <w:rPr>
          <w:szCs w:val="21"/>
        </w:rPr>
      </w:pPr>
      <w:r>
        <w:rPr>
          <w:szCs w:val="21"/>
        </w:rPr>
        <w:t>&lt;REMARK&gt;</w:t>
      </w:r>
      <w:r>
        <w:rPr>
          <w:szCs w:val="21"/>
        </w:rPr>
        <w:t>备注</w:t>
      </w:r>
      <w:r>
        <w:rPr>
          <w:szCs w:val="21"/>
        </w:rPr>
        <w:t>&lt;/REMARK&gt;</w:t>
      </w:r>
    </w:p>
    <w:p w14:paraId="3BDDD5A8" w14:textId="77777777" w:rsidR="00A052DC" w:rsidRDefault="009F0A60">
      <w:pPr>
        <w:ind w:firstLine="482"/>
        <w:rPr>
          <w:szCs w:val="21"/>
        </w:rPr>
      </w:pPr>
      <w:r>
        <w:rPr>
          <w:szCs w:val="21"/>
        </w:rPr>
        <w:t>&lt;/REC&gt;</w:t>
      </w:r>
    </w:p>
    <w:p w14:paraId="485A58CF" w14:textId="77777777" w:rsidR="00A052DC" w:rsidRDefault="009F0A60" w:rsidP="0020251D">
      <w:pPr>
        <w:pStyle w:val="4"/>
        <w:numPr>
          <w:ilvl w:val="3"/>
          <w:numId w:val="1"/>
        </w:numPr>
        <w:jc w:val="left"/>
      </w:pPr>
      <w:bookmarkStart w:id="4357" w:name="_Toc454391585"/>
      <w:r>
        <w:rPr>
          <w:rFonts w:hint="eastAsia"/>
        </w:rPr>
        <w:t>数据字典</w:t>
      </w:r>
      <w:bookmarkEnd w:id="4357"/>
    </w:p>
    <w:tbl>
      <w:tblPr>
        <w:tblW w:w="5000" w:type="pct"/>
        <w:jc w:val="center"/>
        <w:tblLook w:val="04A0" w:firstRow="1" w:lastRow="0" w:firstColumn="1" w:lastColumn="0" w:noHBand="0" w:noVBand="1"/>
      </w:tblPr>
      <w:tblGrid>
        <w:gridCol w:w="1827"/>
        <w:gridCol w:w="2144"/>
        <w:gridCol w:w="1127"/>
        <w:gridCol w:w="1070"/>
        <w:gridCol w:w="2354"/>
      </w:tblGrid>
      <w:tr w:rsidR="00A052DC" w14:paraId="389C7DFA" w14:textId="77777777">
        <w:trPr>
          <w:trHeight w:val="270"/>
          <w:jc w:val="center"/>
        </w:trPr>
        <w:tc>
          <w:tcPr>
            <w:tcW w:w="1072" w:type="pct"/>
            <w:tcBorders>
              <w:top w:val="single" w:sz="4" w:space="0" w:color="auto"/>
              <w:left w:val="single" w:sz="4" w:space="0" w:color="auto"/>
              <w:bottom w:val="single" w:sz="4" w:space="0" w:color="auto"/>
              <w:right w:val="single" w:sz="4" w:space="0" w:color="auto"/>
            </w:tcBorders>
            <w:shd w:val="clear" w:color="000000" w:fill="BFBFBF"/>
            <w:vAlign w:val="center"/>
          </w:tcPr>
          <w:p w14:paraId="4D0DE1AD" w14:textId="77777777" w:rsidR="00A052DC" w:rsidRDefault="009F0A60">
            <w:pPr>
              <w:widowControl/>
              <w:jc w:val="center"/>
              <w:rPr>
                <w:rFonts w:ascii="黑体" w:eastAsia="黑体" w:hAnsi="黑体" w:cs="宋体"/>
                <w:b/>
                <w:bCs/>
                <w:color w:val="000000"/>
                <w:kern w:val="0"/>
                <w:sz w:val="20"/>
                <w:szCs w:val="20"/>
              </w:rPr>
            </w:pPr>
            <w:r>
              <w:rPr>
                <w:rFonts w:ascii="黑体" w:eastAsia="黑体" w:hAnsi="黑体" w:cs="宋体" w:hint="eastAsia"/>
                <w:b/>
                <w:bCs/>
                <w:color w:val="000000"/>
                <w:kern w:val="0"/>
                <w:sz w:val="20"/>
                <w:szCs w:val="20"/>
              </w:rPr>
              <w:t>字段名</w:t>
            </w:r>
          </w:p>
        </w:tc>
        <w:tc>
          <w:tcPr>
            <w:tcW w:w="1258" w:type="pct"/>
            <w:tcBorders>
              <w:top w:val="single" w:sz="4" w:space="0" w:color="auto"/>
              <w:left w:val="single" w:sz="4" w:space="0" w:color="auto"/>
              <w:bottom w:val="single" w:sz="4" w:space="0" w:color="auto"/>
              <w:right w:val="single" w:sz="4" w:space="0" w:color="auto"/>
            </w:tcBorders>
            <w:shd w:val="clear" w:color="000000" w:fill="BFBFBF"/>
            <w:vAlign w:val="center"/>
          </w:tcPr>
          <w:p w14:paraId="289799F1" w14:textId="77777777" w:rsidR="00A052DC" w:rsidRDefault="009F0A60">
            <w:pPr>
              <w:widowControl/>
              <w:jc w:val="center"/>
              <w:rPr>
                <w:rFonts w:ascii="黑体" w:eastAsia="黑体" w:hAnsi="黑体" w:cs="宋体"/>
                <w:b/>
                <w:bCs/>
                <w:color w:val="000000"/>
                <w:kern w:val="0"/>
                <w:sz w:val="20"/>
                <w:szCs w:val="20"/>
              </w:rPr>
            </w:pPr>
            <w:r>
              <w:rPr>
                <w:rFonts w:ascii="黑体" w:eastAsia="黑体" w:hAnsi="黑体" w:cs="宋体" w:hint="eastAsia"/>
                <w:b/>
                <w:bCs/>
                <w:color w:val="000000"/>
                <w:kern w:val="0"/>
                <w:sz w:val="20"/>
                <w:szCs w:val="20"/>
              </w:rPr>
              <w:t>基础数据项</w:t>
            </w:r>
          </w:p>
        </w:tc>
        <w:tc>
          <w:tcPr>
            <w:tcW w:w="661" w:type="pct"/>
            <w:tcBorders>
              <w:top w:val="single" w:sz="4" w:space="0" w:color="auto"/>
              <w:left w:val="nil"/>
              <w:bottom w:val="single" w:sz="4" w:space="0" w:color="auto"/>
              <w:right w:val="single" w:sz="4" w:space="0" w:color="auto"/>
            </w:tcBorders>
            <w:shd w:val="clear" w:color="000000" w:fill="BFBFBF"/>
            <w:vAlign w:val="center"/>
          </w:tcPr>
          <w:p w14:paraId="5AF98233" w14:textId="77777777" w:rsidR="00A052DC" w:rsidRDefault="009F0A60">
            <w:pPr>
              <w:widowControl/>
              <w:jc w:val="center"/>
              <w:rPr>
                <w:rFonts w:ascii="黑体" w:eastAsia="黑体" w:hAnsi="黑体" w:cs="宋体"/>
                <w:b/>
                <w:bCs/>
                <w:color w:val="000000"/>
                <w:kern w:val="0"/>
                <w:sz w:val="20"/>
                <w:szCs w:val="20"/>
              </w:rPr>
            </w:pPr>
            <w:r>
              <w:rPr>
                <w:rFonts w:ascii="黑体" w:eastAsia="黑体" w:hAnsi="黑体" w:cs="宋体" w:hint="eastAsia"/>
                <w:b/>
                <w:bCs/>
                <w:color w:val="000000"/>
                <w:kern w:val="0"/>
                <w:sz w:val="20"/>
                <w:szCs w:val="20"/>
              </w:rPr>
              <w:t>数据类型</w:t>
            </w:r>
          </w:p>
        </w:tc>
        <w:tc>
          <w:tcPr>
            <w:tcW w:w="628" w:type="pct"/>
            <w:tcBorders>
              <w:top w:val="single" w:sz="4" w:space="0" w:color="auto"/>
              <w:left w:val="nil"/>
              <w:bottom w:val="single" w:sz="4" w:space="0" w:color="auto"/>
              <w:right w:val="single" w:sz="4" w:space="0" w:color="auto"/>
            </w:tcBorders>
            <w:shd w:val="clear" w:color="000000" w:fill="BFBFBF"/>
            <w:vAlign w:val="center"/>
          </w:tcPr>
          <w:p w14:paraId="3104BB97" w14:textId="77777777" w:rsidR="00A052DC" w:rsidRDefault="009F0A60">
            <w:pPr>
              <w:widowControl/>
              <w:jc w:val="center"/>
              <w:rPr>
                <w:rFonts w:ascii="黑体" w:eastAsia="黑体" w:hAnsi="黑体" w:cs="宋体"/>
                <w:b/>
                <w:bCs/>
                <w:color w:val="000000"/>
                <w:kern w:val="0"/>
                <w:sz w:val="20"/>
                <w:szCs w:val="20"/>
              </w:rPr>
            </w:pPr>
            <w:r>
              <w:rPr>
                <w:rFonts w:ascii="黑体" w:eastAsia="黑体" w:hAnsi="黑体" w:cs="宋体" w:hint="eastAsia"/>
                <w:b/>
                <w:bCs/>
                <w:color w:val="000000"/>
                <w:kern w:val="0"/>
                <w:sz w:val="20"/>
                <w:szCs w:val="20"/>
              </w:rPr>
              <w:t>数据长度</w:t>
            </w:r>
          </w:p>
        </w:tc>
        <w:tc>
          <w:tcPr>
            <w:tcW w:w="1381" w:type="pct"/>
            <w:tcBorders>
              <w:top w:val="single" w:sz="4" w:space="0" w:color="auto"/>
              <w:left w:val="nil"/>
              <w:bottom w:val="single" w:sz="4" w:space="0" w:color="auto"/>
              <w:right w:val="single" w:sz="4" w:space="0" w:color="auto"/>
            </w:tcBorders>
            <w:shd w:val="clear" w:color="000000" w:fill="BFBFBF"/>
            <w:vAlign w:val="center"/>
          </w:tcPr>
          <w:p w14:paraId="1D9D5A43" w14:textId="77777777" w:rsidR="00A052DC" w:rsidRDefault="009F0A60">
            <w:pPr>
              <w:widowControl/>
              <w:jc w:val="center"/>
              <w:rPr>
                <w:rFonts w:ascii="黑体" w:eastAsia="黑体" w:hAnsi="黑体" w:cs="宋体"/>
                <w:b/>
                <w:bCs/>
                <w:color w:val="000000"/>
                <w:kern w:val="0"/>
                <w:sz w:val="20"/>
                <w:szCs w:val="20"/>
              </w:rPr>
            </w:pPr>
            <w:r>
              <w:rPr>
                <w:rFonts w:ascii="黑体" w:eastAsia="黑体" w:hAnsi="黑体" w:cs="宋体" w:hint="eastAsia"/>
                <w:b/>
                <w:bCs/>
                <w:color w:val="000000"/>
                <w:kern w:val="0"/>
                <w:sz w:val="20"/>
                <w:szCs w:val="20"/>
              </w:rPr>
              <w:t>校验</w:t>
            </w:r>
          </w:p>
        </w:tc>
      </w:tr>
      <w:tr w:rsidR="00A052DC" w14:paraId="61E5FB94" w14:textId="77777777">
        <w:trPr>
          <w:trHeight w:val="270"/>
          <w:jc w:val="center"/>
        </w:trPr>
        <w:tc>
          <w:tcPr>
            <w:tcW w:w="1072" w:type="pct"/>
            <w:tcBorders>
              <w:top w:val="nil"/>
              <w:left w:val="single" w:sz="4" w:space="0" w:color="auto"/>
              <w:bottom w:val="single" w:sz="4" w:space="0" w:color="auto"/>
              <w:right w:val="single" w:sz="4" w:space="0" w:color="auto"/>
            </w:tcBorders>
            <w:vAlign w:val="center"/>
          </w:tcPr>
          <w:p w14:paraId="6699BE27"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ACTIONTYPE</w:t>
            </w:r>
          </w:p>
        </w:tc>
        <w:tc>
          <w:tcPr>
            <w:tcW w:w="1258" w:type="pct"/>
            <w:tcBorders>
              <w:top w:val="nil"/>
              <w:left w:val="single" w:sz="4" w:space="0" w:color="auto"/>
              <w:bottom w:val="single" w:sz="4" w:space="0" w:color="auto"/>
              <w:right w:val="single" w:sz="4" w:space="0" w:color="auto"/>
            </w:tcBorders>
            <w:shd w:val="clear" w:color="auto" w:fill="auto"/>
            <w:vAlign w:val="center"/>
          </w:tcPr>
          <w:p w14:paraId="3320D24F"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操作类型</w:t>
            </w:r>
          </w:p>
        </w:tc>
        <w:tc>
          <w:tcPr>
            <w:tcW w:w="661" w:type="pct"/>
            <w:tcBorders>
              <w:top w:val="nil"/>
              <w:left w:val="nil"/>
              <w:bottom w:val="single" w:sz="4" w:space="0" w:color="auto"/>
              <w:right w:val="single" w:sz="4" w:space="0" w:color="auto"/>
            </w:tcBorders>
            <w:shd w:val="clear" w:color="auto" w:fill="auto"/>
            <w:vAlign w:val="center"/>
          </w:tcPr>
          <w:p w14:paraId="0D30E902"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字符</w:t>
            </w:r>
          </w:p>
        </w:tc>
        <w:tc>
          <w:tcPr>
            <w:tcW w:w="628" w:type="pct"/>
            <w:tcBorders>
              <w:top w:val="nil"/>
              <w:left w:val="nil"/>
              <w:bottom w:val="single" w:sz="4" w:space="0" w:color="auto"/>
              <w:right w:val="single" w:sz="4" w:space="0" w:color="auto"/>
            </w:tcBorders>
            <w:shd w:val="clear" w:color="auto" w:fill="auto"/>
            <w:vAlign w:val="center"/>
          </w:tcPr>
          <w:p w14:paraId="2867B012"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1</w:t>
            </w:r>
          </w:p>
        </w:tc>
        <w:tc>
          <w:tcPr>
            <w:tcW w:w="1381" w:type="pct"/>
            <w:tcBorders>
              <w:top w:val="nil"/>
              <w:left w:val="nil"/>
              <w:bottom w:val="single" w:sz="4" w:space="0" w:color="auto"/>
              <w:right w:val="single" w:sz="4" w:space="0" w:color="auto"/>
            </w:tcBorders>
            <w:shd w:val="clear" w:color="auto" w:fill="auto"/>
            <w:vAlign w:val="center"/>
          </w:tcPr>
          <w:p w14:paraId="2CDA5AD0" w14:textId="77777777" w:rsidR="006F5A61" w:rsidRPr="006F5A61" w:rsidRDefault="006F5A61" w:rsidP="006F5A61">
            <w:pPr>
              <w:widowControl/>
              <w:rPr>
                <w:rFonts w:ascii="黑体" w:eastAsia="黑体" w:hAnsi="黑体" w:cs="宋体"/>
                <w:color w:val="000000"/>
                <w:kern w:val="0"/>
                <w:sz w:val="20"/>
                <w:szCs w:val="20"/>
              </w:rPr>
            </w:pPr>
            <w:r w:rsidRPr="006F5A61">
              <w:rPr>
                <w:rFonts w:ascii="黑体" w:eastAsia="黑体" w:hAnsi="黑体" w:cs="宋体" w:hint="eastAsia"/>
                <w:color w:val="000000"/>
                <w:kern w:val="0"/>
                <w:sz w:val="20"/>
                <w:szCs w:val="20"/>
              </w:rPr>
              <w:t>必填项。</w:t>
            </w:r>
          </w:p>
          <w:p w14:paraId="4FDAA0D9" w14:textId="77777777" w:rsidR="006F5A61" w:rsidRPr="006F5A61" w:rsidRDefault="006F5A61" w:rsidP="006F5A61">
            <w:pPr>
              <w:widowControl/>
              <w:rPr>
                <w:rFonts w:ascii="黑体" w:eastAsia="黑体" w:hAnsi="黑体" w:cs="宋体"/>
                <w:color w:val="000000"/>
                <w:kern w:val="0"/>
                <w:sz w:val="20"/>
                <w:szCs w:val="20"/>
              </w:rPr>
            </w:pPr>
            <w:r w:rsidRPr="006F5A61">
              <w:rPr>
                <w:rFonts w:ascii="黑体" w:eastAsia="黑体" w:hAnsi="黑体" w:cs="宋体" w:hint="eastAsia"/>
                <w:color w:val="000000"/>
                <w:kern w:val="0"/>
                <w:sz w:val="20"/>
                <w:szCs w:val="20"/>
              </w:rPr>
              <w:t>A-新建</w:t>
            </w:r>
          </w:p>
          <w:p w14:paraId="11598305" w14:textId="77777777" w:rsidR="006F5A61" w:rsidRPr="006F5A61" w:rsidRDefault="006F5A61" w:rsidP="006F5A61">
            <w:pPr>
              <w:widowControl/>
              <w:rPr>
                <w:rFonts w:ascii="黑体" w:eastAsia="黑体" w:hAnsi="黑体" w:cs="宋体"/>
                <w:color w:val="000000"/>
                <w:kern w:val="0"/>
                <w:sz w:val="20"/>
                <w:szCs w:val="20"/>
              </w:rPr>
            </w:pPr>
            <w:r w:rsidRPr="006F5A61">
              <w:rPr>
                <w:rFonts w:ascii="黑体" w:eastAsia="黑体" w:hAnsi="黑体" w:cs="宋体" w:hint="eastAsia"/>
                <w:color w:val="000000"/>
                <w:kern w:val="0"/>
                <w:sz w:val="20"/>
                <w:szCs w:val="20"/>
              </w:rPr>
              <w:t>C-修改</w:t>
            </w:r>
          </w:p>
          <w:p w14:paraId="320416A8" w14:textId="77777777" w:rsidR="00A052DC" w:rsidRDefault="006F5A61" w:rsidP="006F5A61">
            <w:pPr>
              <w:widowControl/>
              <w:rPr>
                <w:rFonts w:ascii="黑体" w:eastAsia="黑体" w:hAnsi="黑体" w:cs="宋体"/>
                <w:color w:val="000000"/>
                <w:kern w:val="0"/>
                <w:sz w:val="20"/>
                <w:szCs w:val="20"/>
              </w:rPr>
            </w:pPr>
            <w:r w:rsidRPr="006F5A61">
              <w:rPr>
                <w:rFonts w:ascii="黑体" w:eastAsia="黑体" w:hAnsi="黑体" w:cs="宋体" w:hint="eastAsia"/>
                <w:color w:val="000000"/>
                <w:kern w:val="0"/>
                <w:sz w:val="20"/>
                <w:szCs w:val="20"/>
              </w:rPr>
              <w:t>D-删除</w:t>
            </w:r>
          </w:p>
        </w:tc>
      </w:tr>
      <w:tr w:rsidR="00A052DC" w14:paraId="3D0C9EDF" w14:textId="77777777">
        <w:trPr>
          <w:trHeight w:val="270"/>
          <w:jc w:val="center"/>
        </w:trPr>
        <w:tc>
          <w:tcPr>
            <w:tcW w:w="1072" w:type="pct"/>
            <w:tcBorders>
              <w:top w:val="nil"/>
              <w:left w:val="single" w:sz="4" w:space="0" w:color="auto"/>
              <w:bottom w:val="single" w:sz="4" w:space="0" w:color="auto"/>
              <w:right w:val="single" w:sz="4" w:space="0" w:color="auto"/>
            </w:tcBorders>
            <w:vAlign w:val="center"/>
          </w:tcPr>
          <w:p w14:paraId="4EF140B8"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ACTIONDESC</w:t>
            </w:r>
          </w:p>
        </w:tc>
        <w:tc>
          <w:tcPr>
            <w:tcW w:w="1258" w:type="pct"/>
            <w:tcBorders>
              <w:top w:val="nil"/>
              <w:left w:val="single" w:sz="4" w:space="0" w:color="auto"/>
              <w:bottom w:val="single" w:sz="4" w:space="0" w:color="auto"/>
              <w:right w:val="single" w:sz="4" w:space="0" w:color="auto"/>
            </w:tcBorders>
            <w:shd w:val="clear" w:color="auto" w:fill="auto"/>
            <w:vAlign w:val="center"/>
          </w:tcPr>
          <w:p w14:paraId="184CB886"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修改/删除原因</w:t>
            </w:r>
          </w:p>
        </w:tc>
        <w:tc>
          <w:tcPr>
            <w:tcW w:w="661" w:type="pct"/>
            <w:tcBorders>
              <w:top w:val="nil"/>
              <w:left w:val="nil"/>
              <w:bottom w:val="single" w:sz="4" w:space="0" w:color="auto"/>
              <w:right w:val="single" w:sz="4" w:space="0" w:color="auto"/>
            </w:tcBorders>
            <w:shd w:val="clear" w:color="auto" w:fill="auto"/>
            <w:vAlign w:val="center"/>
          </w:tcPr>
          <w:p w14:paraId="524FB2D0"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字符</w:t>
            </w:r>
          </w:p>
        </w:tc>
        <w:tc>
          <w:tcPr>
            <w:tcW w:w="628" w:type="pct"/>
            <w:tcBorders>
              <w:top w:val="nil"/>
              <w:left w:val="nil"/>
              <w:bottom w:val="single" w:sz="4" w:space="0" w:color="auto"/>
              <w:right w:val="single" w:sz="4" w:space="0" w:color="auto"/>
            </w:tcBorders>
            <w:shd w:val="clear" w:color="auto" w:fill="auto"/>
            <w:vAlign w:val="center"/>
          </w:tcPr>
          <w:p w14:paraId="568BB000"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128</w:t>
            </w:r>
          </w:p>
        </w:tc>
        <w:tc>
          <w:tcPr>
            <w:tcW w:w="1381" w:type="pct"/>
            <w:tcBorders>
              <w:top w:val="nil"/>
              <w:left w:val="nil"/>
              <w:bottom w:val="single" w:sz="4" w:space="0" w:color="auto"/>
              <w:right w:val="single" w:sz="4" w:space="0" w:color="auto"/>
            </w:tcBorders>
            <w:shd w:val="clear" w:color="auto" w:fill="auto"/>
            <w:vAlign w:val="center"/>
          </w:tcPr>
          <w:p w14:paraId="47EBD30E" w14:textId="77777777" w:rsidR="00A052DC" w:rsidRDefault="00DD6AA3">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非必填项</w:t>
            </w:r>
            <w:r w:rsidR="009F0A60">
              <w:rPr>
                <w:rFonts w:ascii="黑体" w:eastAsia="黑体" w:hAnsi="黑体" w:cs="宋体" w:hint="eastAsia"/>
                <w:color w:val="000000"/>
                <w:kern w:val="0"/>
                <w:sz w:val="20"/>
                <w:szCs w:val="20"/>
              </w:rPr>
              <w:t>。当操作类型为C/D时，不得为空。</w:t>
            </w:r>
          </w:p>
        </w:tc>
      </w:tr>
      <w:tr w:rsidR="00A052DC" w14:paraId="4B25FE5D" w14:textId="77777777">
        <w:trPr>
          <w:trHeight w:val="270"/>
          <w:jc w:val="center"/>
        </w:trPr>
        <w:tc>
          <w:tcPr>
            <w:tcW w:w="1072" w:type="pct"/>
            <w:tcBorders>
              <w:top w:val="nil"/>
              <w:left w:val="single" w:sz="4" w:space="0" w:color="auto"/>
              <w:bottom w:val="single" w:sz="4" w:space="0" w:color="auto"/>
              <w:right w:val="single" w:sz="4" w:space="0" w:color="auto"/>
            </w:tcBorders>
            <w:vAlign w:val="center"/>
          </w:tcPr>
          <w:p w14:paraId="2837A23C"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RPTNO</w:t>
            </w:r>
          </w:p>
        </w:tc>
        <w:tc>
          <w:tcPr>
            <w:tcW w:w="1258" w:type="pct"/>
            <w:tcBorders>
              <w:top w:val="nil"/>
              <w:left w:val="single" w:sz="4" w:space="0" w:color="auto"/>
              <w:bottom w:val="single" w:sz="4" w:space="0" w:color="auto"/>
              <w:right w:val="single" w:sz="4" w:space="0" w:color="auto"/>
            </w:tcBorders>
            <w:shd w:val="clear" w:color="auto" w:fill="auto"/>
            <w:vAlign w:val="center"/>
          </w:tcPr>
          <w:p w14:paraId="7957ADBD"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申报号码</w:t>
            </w:r>
          </w:p>
        </w:tc>
        <w:tc>
          <w:tcPr>
            <w:tcW w:w="661" w:type="pct"/>
            <w:tcBorders>
              <w:top w:val="nil"/>
              <w:left w:val="nil"/>
              <w:bottom w:val="single" w:sz="4" w:space="0" w:color="auto"/>
              <w:right w:val="single" w:sz="4" w:space="0" w:color="auto"/>
            </w:tcBorders>
            <w:shd w:val="clear" w:color="auto" w:fill="auto"/>
            <w:vAlign w:val="center"/>
          </w:tcPr>
          <w:p w14:paraId="33B1129D"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字符</w:t>
            </w:r>
          </w:p>
        </w:tc>
        <w:tc>
          <w:tcPr>
            <w:tcW w:w="628" w:type="pct"/>
            <w:tcBorders>
              <w:top w:val="nil"/>
              <w:left w:val="nil"/>
              <w:bottom w:val="single" w:sz="4" w:space="0" w:color="auto"/>
              <w:right w:val="single" w:sz="4" w:space="0" w:color="auto"/>
            </w:tcBorders>
            <w:shd w:val="clear" w:color="auto" w:fill="auto"/>
            <w:vAlign w:val="center"/>
          </w:tcPr>
          <w:p w14:paraId="2B23DAB1"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26</w:t>
            </w:r>
          </w:p>
        </w:tc>
        <w:tc>
          <w:tcPr>
            <w:tcW w:w="1381" w:type="pct"/>
            <w:tcBorders>
              <w:top w:val="nil"/>
              <w:left w:val="nil"/>
              <w:bottom w:val="single" w:sz="4" w:space="0" w:color="auto"/>
              <w:right w:val="single" w:sz="4" w:space="0" w:color="auto"/>
            </w:tcBorders>
            <w:shd w:val="clear" w:color="auto" w:fill="auto"/>
            <w:vAlign w:val="center"/>
          </w:tcPr>
          <w:p w14:paraId="198980FC"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共计26位。12位金融机构标识码+6位交易日期（YYMMDD）+1位业务代码（C存,Q取）+7位流水号。</w:t>
            </w:r>
          </w:p>
        </w:tc>
      </w:tr>
      <w:tr w:rsidR="00A052DC" w14:paraId="1905D315" w14:textId="77777777">
        <w:trPr>
          <w:trHeight w:val="270"/>
          <w:jc w:val="center"/>
        </w:trPr>
        <w:tc>
          <w:tcPr>
            <w:tcW w:w="1072" w:type="pct"/>
            <w:tcBorders>
              <w:top w:val="nil"/>
              <w:left w:val="single" w:sz="4" w:space="0" w:color="auto"/>
              <w:bottom w:val="single" w:sz="4" w:space="0" w:color="auto"/>
              <w:right w:val="single" w:sz="4" w:space="0" w:color="auto"/>
            </w:tcBorders>
            <w:vAlign w:val="center"/>
          </w:tcPr>
          <w:p w14:paraId="0B9C262E"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BANKBIZCODE</w:t>
            </w:r>
          </w:p>
        </w:tc>
        <w:tc>
          <w:tcPr>
            <w:tcW w:w="1258" w:type="pct"/>
            <w:tcBorders>
              <w:top w:val="nil"/>
              <w:left w:val="single" w:sz="4" w:space="0" w:color="auto"/>
              <w:bottom w:val="single" w:sz="4" w:space="0" w:color="auto"/>
              <w:right w:val="single" w:sz="4" w:space="0" w:color="auto"/>
            </w:tcBorders>
            <w:shd w:val="clear" w:color="auto" w:fill="auto"/>
            <w:vAlign w:val="center"/>
          </w:tcPr>
          <w:p w14:paraId="007177E0"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银行业务编号</w:t>
            </w:r>
          </w:p>
        </w:tc>
        <w:tc>
          <w:tcPr>
            <w:tcW w:w="661" w:type="pct"/>
            <w:tcBorders>
              <w:top w:val="nil"/>
              <w:left w:val="nil"/>
              <w:bottom w:val="single" w:sz="4" w:space="0" w:color="auto"/>
              <w:right w:val="single" w:sz="4" w:space="0" w:color="auto"/>
            </w:tcBorders>
            <w:shd w:val="clear" w:color="auto" w:fill="auto"/>
            <w:vAlign w:val="center"/>
          </w:tcPr>
          <w:p w14:paraId="1C107297"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字符</w:t>
            </w:r>
          </w:p>
        </w:tc>
        <w:tc>
          <w:tcPr>
            <w:tcW w:w="628" w:type="pct"/>
            <w:tcBorders>
              <w:top w:val="nil"/>
              <w:left w:val="nil"/>
              <w:bottom w:val="single" w:sz="4" w:space="0" w:color="auto"/>
              <w:right w:val="single" w:sz="4" w:space="0" w:color="auto"/>
            </w:tcBorders>
            <w:shd w:val="clear" w:color="auto" w:fill="auto"/>
            <w:vAlign w:val="center"/>
          </w:tcPr>
          <w:p w14:paraId="3E08D6C2"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60</w:t>
            </w:r>
          </w:p>
        </w:tc>
        <w:tc>
          <w:tcPr>
            <w:tcW w:w="1381" w:type="pct"/>
            <w:tcBorders>
              <w:top w:val="nil"/>
              <w:left w:val="nil"/>
              <w:bottom w:val="single" w:sz="4" w:space="0" w:color="auto"/>
              <w:right w:val="single" w:sz="4" w:space="0" w:color="auto"/>
            </w:tcBorders>
            <w:shd w:val="clear" w:color="auto" w:fill="auto"/>
            <w:vAlign w:val="center"/>
          </w:tcPr>
          <w:p w14:paraId="7423B5E4"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必填项。该笔业务在银行的业务编号。</w:t>
            </w:r>
          </w:p>
        </w:tc>
      </w:tr>
      <w:tr w:rsidR="00A052DC" w14:paraId="64242767" w14:textId="77777777">
        <w:trPr>
          <w:trHeight w:val="270"/>
          <w:jc w:val="center"/>
        </w:trPr>
        <w:tc>
          <w:tcPr>
            <w:tcW w:w="1072" w:type="pct"/>
            <w:tcBorders>
              <w:top w:val="nil"/>
              <w:left w:val="single" w:sz="4" w:space="0" w:color="auto"/>
              <w:bottom w:val="single" w:sz="4" w:space="0" w:color="auto"/>
              <w:right w:val="single" w:sz="4" w:space="0" w:color="auto"/>
            </w:tcBorders>
            <w:vAlign w:val="center"/>
          </w:tcPr>
          <w:p w14:paraId="0F7F8BCC"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CUSTCODE</w:t>
            </w:r>
          </w:p>
        </w:tc>
        <w:tc>
          <w:tcPr>
            <w:tcW w:w="1258" w:type="pct"/>
            <w:tcBorders>
              <w:top w:val="nil"/>
              <w:left w:val="single" w:sz="4" w:space="0" w:color="auto"/>
              <w:bottom w:val="single" w:sz="4" w:space="0" w:color="auto"/>
              <w:right w:val="single" w:sz="4" w:space="0" w:color="auto"/>
            </w:tcBorders>
            <w:shd w:val="clear" w:color="auto" w:fill="auto"/>
            <w:vAlign w:val="center"/>
          </w:tcPr>
          <w:p w14:paraId="2B22C94F"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机构代码</w:t>
            </w:r>
          </w:p>
        </w:tc>
        <w:tc>
          <w:tcPr>
            <w:tcW w:w="661" w:type="pct"/>
            <w:tcBorders>
              <w:top w:val="nil"/>
              <w:left w:val="nil"/>
              <w:bottom w:val="single" w:sz="4" w:space="0" w:color="auto"/>
              <w:right w:val="single" w:sz="4" w:space="0" w:color="auto"/>
            </w:tcBorders>
            <w:shd w:val="clear" w:color="auto" w:fill="auto"/>
            <w:vAlign w:val="center"/>
          </w:tcPr>
          <w:p w14:paraId="70919804"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字符</w:t>
            </w:r>
          </w:p>
        </w:tc>
        <w:tc>
          <w:tcPr>
            <w:tcW w:w="628" w:type="pct"/>
            <w:tcBorders>
              <w:top w:val="nil"/>
              <w:left w:val="nil"/>
              <w:bottom w:val="single" w:sz="4" w:space="0" w:color="auto"/>
              <w:right w:val="single" w:sz="4" w:space="0" w:color="auto"/>
            </w:tcBorders>
            <w:shd w:val="clear" w:color="auto" w:fill="auto"/>
            <w:vAlign w:val="center"/>
          </w:tcPr>
          <w:p w14:paraId="1C81B3C3"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18</w:t>
            </w:r>
          </w:p>
        </w:tc>
        <w:tc>
          <w:tcPr>
            <w:tcW w:w="1381" w:type="pct"/>
            <w:tcBorders>
              <w:top w:val="nil"/>
              <w:left w:val="nil"/>
              <w:bottom w:val="single" w:sz="4" w:space="0" w:color="auto"/>
              <w:right w:val="single" w:sz="4" w:space="0" w:color="auto"/>
            </w:tcBorders>
            <w:shd w:val="clear" w:color="auto" w:fill="auto"/>
            <w:vAlign w:val="center"/>
          </w:tcPr>
          <w:p w14:paraId="36D9FF4E"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必填项。按统一社会信用代码中的9位主体标识码（组织机构代码）或特殊机构赋码编制规则进行校验，字段长度仍预留18位。</w:t>
            </w:r>
          </w:p>
        </w:tc>
      </w:tr>
      <w:tr w:rsidR="00A052DC" w14:paraId="273335C0" w14:textId="77777777">
        <w:trPr>
          <w:trHeight w:val="270"/>
          <w:jc w:val="center"/>
        </w:trPr>
        <w:tc>
          <w:tcPr>
            <w:tcW w:w="1072" w:type="pct"/>
            <w:tcBorders>
              <w:top w:val="nil"/>
              <w:left w:val="single" w:sz="4" w:space="0" w:color="auto"/>
              <w:bottom w:val="single" w:sz="4" w:space="0" w:color="auto"/>
              <w:right w:val="single" w:sz="4" w:space="0" w:color="auto"/>
            </w:tcBorders>
            <w:vAlign w:val="center"/>
          </w:tcPr>
          <w:p w14:paraId="5A0892FA"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CUSTNAME</w:t>
            </w:r>
          </w:p>
        </w:tc>
        <w:tc>
          <w:tcPr>
            <w:tcW w:w="1258" w:type="pct"/>
            <w:tcBorders>
              <w:top w:val="nil"/>
              <w:left w:val="single" w:sz="4" w:space="0" w:color="auto"/>
              <w:bottom w:val="single" w:sz="4" w:space="0" w:color="auto"/>
              <w:right w:val="single" w:sz="4" w:space="0" w:color="auto"/>
            </w:tcBorders>
            <w:shd w:val="clear" w:color="auto" w:fill="auto"/>
            <w:vAlign w:val="center"/>
          </w:tcPr>
          <w:p w14:paraId="15FB64A1"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机构名称</w:t>
            </w:r>
          </w:p>
        </w:tc>
        <w:tc>
          <w:tcPr>
            <w:tcW w:w="661" w:type="pct"/>
            <w:tcBorders>
              <w:top w:val="nil"/>
              <w:left w:val="nil"/>
              <w:bottom w:val="single" w:sz="4" w:space="0" w:color="auto"/>
              <w:right w:val="single" w:sz="4" w:space="0" w:color="auto"/>
            </w:tcBorders>
            <w:shd w:val="clear" w:color="auto" w:fill="auto"/>
            <w:vAlign w:val="center"/>
          </w:tcPr>
          <w:p w14:paraId="685025DD"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字符</w:t>
            </w:r>
          </w:p>
        </w:tc>
        <w:tc>
          <w:tcPr>
            <w:tcW w:w="628" w:type="pct"/>
            <w:tcBorders>
              <w:top w:val="nil"/>
              <w:left w:val="nil"/>
              <w:bottom w:val="single" w:sz="4" w:space="0" w:color="auto"/>
              <w:right w:val="single" w:sz="4" w:space="0" w:color="auto"/>
            </w:tcBorders>
            <w:shd w:val="clear" w:color="auto" w:fill="auto"/>
            <w:vAlign w:val="center"/>
          </w:tcPr>
          <w:p w14:paraId="65C98405"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128</w:t>
            </w:r>
          </w:p>
        </w:tc>
        <w:tc>
          <w:tcPr>
            <w:tcW w:w="1381" w:type="pct"/>
            <w:tcBorders>
              <w:top w:val="nil"/>
              <w:left w:val="nil"/>
              <w:bottom w:val="single" w:sz="4" w:space="0" w:color="auto"/>
              <w:right w:val="single" w:sz="4" w:space="0" w:color="auto"/>
            </w:tcBorders>
            <w:shd w:val="clear" w:color="auto" w:fill="auto"/>
            <w:vAlign w:val="center"/>
          </w:tcPr>
          <w:p w14:paraId="7EDAB3DE"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必填项。</w:t>
            </w:r>
          </w:p>
        </w:tc>
      </w:tr>
      <w:tr w:rsidR="00A052DC" w14:paraId="4AC1F695" w14:textId="77777777">
        <w:trPr>
          <w:trHeight w:val="270"/>
          <w:jc w:val="center"/>
        </w:trPr>
        <w:tc>
          <w:tcPr>
            <w:tcW w:w="1072" w:type="pct"/>
            <w:tcBorders>
              <w:top w:val="nil"/>
              <w:left w:val="single" w:sz="4" w:space="0" w:color="auto"/>
              <w:bottom w:val="single" w:sz="4" w:space="0" w:color="auto"/>
              <w:right w:val="single" w:sz="4" w:space="0" w:color="auto"/>
            </w:tcBorders>
            <w:vAlign w:val="center"/>
          </w:tcPr>
          <w:p w14:paraId="72A1C204"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DEALTIME</w:t>
            </w:r>
          </w:p>
        </w:tc>
        <w:tc>
          <w:tcPr>
            <w:tcW w:w="1258" w:type="pct"/>
            <w:tcBorders>
              <w:top w:val="nil"/>
              <w:left w:val="single" w:sz="4" w:space="0" w:color="auto"/>
              <w:bottom w:val="single" w:sz="4" w:space="0" w:color="auto"/>
              <w:right w:val="single" w:sz="4" w:space="0" w:color="auto"/>
            </w:tcBorders>
            <w:shd w:val="clear" w:color="auto" w:fill="auto"/>
            <w:vAlign w:val="center"/>
          </w:tcPr>
          <w:p w14:paraId="429D074B"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交易时间</w:t>
            </w:r>
          </w:p>
        </w:tc>
        <w:tc>
          <w:tcPr>
            <w:tcW w:w="661" w:type="pct"/>
            <w:tcBorders>
              <w:top w:val="nil"/>
              <w:left w:val="nil"/>
              <w:bottom w:val="single" w:sz="4" w:space="0" w:color="auto"/>
              <w:right w:val="single" w:sz="4" w:space="0" w:color="auto"/>
            </w:tcBorders>
            <w:shd w:val="clear" w:color="auto" w:fill="auto"/>
            <w:vAlign w:val="center"/>
          </w:tcPr>
          <w:p w14:paraId="1D2D9B32"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字符</w:t>
            </w:r>
          </w:p>
        </w:tc>
        <w:tc>
          <w:tcPr>
            <w:tcW w:w="628" w:type="pct"/>
            <w:tcBorders>
              <w:top w:val="nil"/>
              <w:left w:val="nil"/>
              <w:bottom w:val="single" w:sz="4" w:space="0" w:color="auto"/>
              <w:right w:val="single" w:sz="4" w:space="0" w:color="auto"/>
            </w:tcBorders>
            <w:shd w:val="clear" w:color="auto" w:fill="auto"/>
            <w:vAlign w:val="center"/>
          </w:tcPr>
          <w:p w14:paraId="79A7838F"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20</w:t>
            </w:r>
          </w:p>
        </w:tc>
        <w:tc>
          <w:tcPr>
            <w:tcW w:w="1381" w:type="pct"/>
            <w:tcBorders>
              <w:top w:val="nil"/>
              <w:left w:val="nil"/>
              <w:bottom w:val="single" w:sz="4" w:space="0" w:color="auto"/>
              <w:right w:val="single" w:sz="4" w:space="0" w:color="auto"/>
            </w:tcBorders>
            <w:shd w:val="clear" w:color="auto" w:fill="auto"/>
            <w:vAlign w:val="center"/>
          </w:tcPr>
          <w:p w14:paraId="2A6F0035" w14:textId="77777777" w:rsidR="006F5A61"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必填项。</w:t>
            </w:r>
          </w:p>
          <w:p w14:paraId="7F67C372"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YYYY-MM-DD hh:mm:ss</w:t>
            </w:r>
            <w:r w:rsidR="005D2C5E">
              <w:rPr>
                <w:rFonts w:ascii="黑体" w:eastAsia="黑体" w:hAnsi="黑体" w:cs="宋体" w:hint="eastAsia"/>
                <w:color w:val="000000"/>
                <w:kern w:val="0"/>
                <w:sz w:val="20"/>
                <w:szCs w:val="20"/>
              </w:rPr>
              <w:t>。</w:t>
            </w:r>
          </w:p>
        </w:tc>
      </w:tr>
      <w:tr w:rsidR="00A052DC" w14:paraId="50E15838" w14:textId="77777777">
        <w:trPr>
          <w:trHeight w:val="270"/>
          <w:jc w:val="center"/>
        </w:trPr>
        <w:tc>
          <w:tcPr>
            <w:tcW w:w="1072" w:type="pct"/>
            <w:tcBorders>
              <w:top w:val="nil"/>
              <w:left w:val="single" w:sz="4" w:space="0" w:color="auto"/>
              <w:bottom w:val="single" w:sz="4" w:space="0" w:color="auto"/>
              <w:right w:val="single" w:sz="4" w:space="0" w:color="auto"/>
            </w:tcBorders>
            <w:vAlign w:val="center"/>
          </w:tcPr>
          <w:p w14:paraId="0E1D89E0"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TXCCY</w:t>
            </w:r>
          </w:p>
        </w:tc>
        <w:tc>
          <w:tcPr>
            <w:tcW w:w="1258" w:type="pct"/>
            <w:tcBorders>
              <w:top w:val="nil"/>
              <w:left w:val="single" w:sz="4" w:space="0" w:color="auto"/>
              <w:bottom w:val="single" w:sz="4" w:space="0" w:color="auto"/>
              <w:right w:val="single" w:sz="4" w:space="0" w:color="auto"/>
            </w:tcBorders>
            <w:shd w:val="clear" w:color="auto" w:fill="auto"/>
            <w:vAlign w:val="center"/>
          </w:tcPr>
          <w:p w14:paraId="1E3EFE64"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现钞支出币种</w:t>
            </w:r>
          </w:p>
        </w:tc>
        <w:tc>
          <w:tcPr>
            <w:tcW w:w="661" w:type="pct"/>
            <w:tcBorders>
              <w:top w:val="nil"/>
              <w:left w:val="nil"/>
              <w:bottom w:val="single" w:sz="4" w:space="0" w:color="auto"/>
              <w:right w:val="single" w:sz="4" w:space="0" w:color="auto"/>
            </w:tcBorders>
            <w:shd w:val="clear" w:color="auto" w:fill="auto"/>
            <w:vAlign w:val="center"/>
          </w:tcPr>
          <w:p w14:paraId="71B1F5A7"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字符</w:t>
            </w:r>
          </w:p>
        </w:tc>
        <w:tc>
          <w:tcPr>
            <w:tcW w:w="628" w:type="pct"/>
            <w:tcBorders>
              <w:top w:val="nil"/>
              <w:left w:val="nil"/>
              <w:bottom w:val="single" w:sz="4" w:space="0" w:color="auto"/>
              <w:right w:val="single" w:sz="4" w:space="0" w:color="auto"/>
            </w:tcBorders>
            <w:shd w:val="clear" w:color="auto" w:fill="auto"/>
            <w:vAlign w:val="center"/>
          </w:tcPr>
          <w:p w14:paraId="5329F1C4"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3</w:t>
            </w:r>
          </w:p>
        </w:tc>
        <w:tc>
          <w:tcPr>
            <w:tcW w:w="1381" w:type="pct"/>
            <w:tcBorders>
              <w:top w:val="nil"/>
              <w:left w:val="nil"/>
              <w:bottom w:val="single" w:sz="4" w:space="0" w:color="auto"/>
              <w:right w:val="single" w:sz="4" w:space="0" w:color="auto"/>
            </w:tcBorders>
            <w:shd w:val="clear" w:color="auto" w:fill="auto"/>
            <w:vAlign w:val="center"/>
          </w:tcPr>
          <w:p w14:paraId="0B2CCDD7"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必填项，见币种代码表。</w:t>
            </w:r>
          </w:p>
        </w:tc>
      </w:tr>
      <w:tr w:rsidR="00A052DC" w14:paraId="5C98114F" w14:textId="77777777">
        <w:trPr>
          <w:trHeight w:val="270"/>
          <w:jc w:val="center"/>
        </w:trPr>
        <w:tc>
          <w:tcPr>
            <w:tcW w:w="1072" w:type="pct"/>
            <w:tcBorders>
              <w:top w:val="nil"/>
              <w:left w:val="single" w:sz="4" w:space="0" w:color="auto"/>
              <w:bottom w:val="single" w:sz="4" w:space="0" w:color="auto"/>
              <w:right w:val="single" w:sz="4" w:space="0" w:color="auto"/>
            </w:tcBorders>
            <w:vAlign w:val="center"/>
          </w:tcPr>
          <w:p w14:paraId="70022F23"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CSHDRAWAMT</w:t>
            </w:r>
          </w:p>
        </w:tc>
        <w:tc>
          <w:tcPr>
            <w:tcW w:w="1258" w:type="pct"/>
            <w:tcBorders>
              <w:top w:val="nil"/>
              <w:left w:val="single" w:sz="4" w:space="0" w:color="auto"/>
              <w:bottom w:val="single" w:sz="4" w:space="0" w:color="auto"/>
              <w:right w:val="single" w:sz="4" w:space="0" w:color="auto"/>
            </w:tcBorders>
            <w:shd w:val="clear" w:color="auto" w:fill="auto"/>
            <w:vAlign w:val="center"/>
          </w:tcPr>
          <w:p w14:paraId="1ED746E8"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现钞提取金额</w:t>
            </w:r>
          </w:p>
        </w:tc>
        <w:tc>
          <w:tcPr>
            <w:tcW w:w="661" w:type="pct"/>
            <w:tcBorders>
              <w:top w:val="nil"/>
              <w:left w:val="nil"/>
              <w:bottom w:val="single" w:sz="4" w:space="0" w:color="auto"/>
              <w:right w:val="single" w:sz="4" w:space="0" w:color="auto"/>
            </w:tcBorders>
            <w:shd w:val="clear" w:color="auto" w:fill="auto"/>
            <w:vAlign w:val="center"/>
          </w:tcPr>
          <w:p w14:paraId="43C7E90E"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数值</w:t>
            </w:r>
          </w:p>
        </w:tc>
        <w:tc>
          <w:tcPr>
            <w:tcW w:w="628" w:type="pct"/>
            <w:tcBorders>
              <w:top w:val="nil"/>
              <w:left w:val="nil"/>
              <w:bottom w:val="single" w:sz="4" w:space="0" w:color="auto"/>
              <w:right w:val="single" w:sz="4" w:space="0" w:color="auto"/>
            </w:tcBorders>
            <w:shd w:val="clear" w:color="auto" w:fill="auto"/>
            <w:vAlign w:val="center"/>
          </w:tcPr>
          <w:p w14:paraId="67448F75"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22.2</w:t>
            </w:r>
          </w:p>
        </w:tc>
        <w:tc>
          <w:tcPr>
            <w:tcW w:w="1381" w:type="pct"/>
            <w:tcBorders>
              <w:top w:val="nil"/>
              <w:left w:val="nil"/>
              <w:bottom w:val="single" w:sz="4" w:space="0" w:color="auto"/>
              <w:right w:val="single" w:sz="4" w:space="0" w:color="auto"/>
            </w:tcBorders>
            <w:shd w:val="clear" w:color="auto" w:fill="auto"/>
            <w:vAlign w:val="center"/>
          </w:tcPr>
          <w:p w14:paraId="4C405F62"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必填项。现钞提取金额为购汇提钞金额和账户提钞金额的总和。</w:t>
            </w:r>
          </w:p>
        </w:tc>
      </w:tr>
      <w:tr w:rsidR="00A052DC" w14:paraId="03C1D966" w14:textId="77777777">
        <w:trPr>
          <w:trHeight w:val="270"/>
          <w:jc w:val="center"/>
        </w:trPr>
        <w:tc>
          <w:tcPr>
            <w:tcW w:w="1072" w:type="pct"/>
            <w:tcBorders>
              <w:top w:val="nil"/>
              <w:left w:val="single" w:sz="4" w:space="0" w:color="auto"/>
              <w:bottom w:val="single" w:sz="4" w:space="0" w:color="auto"/>
              <w:right w:val="single" w:sz="4" w:space="0" w:color="auto"/>
            </w:tcBorders>
            <w:vAlign w:val="center"/>
          </w:tcPr>
          <w:p w14:paraId="50DCF451"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CSHDRAWAMTUSD</w:t>
            </w:r>
          </w:p>
        </w:tc>
        <w:tc>
          <w:tcPr>
            <w:tcW w:w="1258" w:type="pct"/>
            <w:tcBorders>
              <w:top w:val="nil"/>
              <w:left w:val="single" w:sz="4" w:space="0" w:color="auto"/>
              <w:bottom w:val="single" w:sz="4" w:space="0" w:color="auto"/>
              <w:right w:val="single" w:sz="4" w:space="0" w:color="auto"/>
            </w:tcBorders>
            <w:shd w:val="clear" w:color="auto" w:fill="auto"/>
            <w:vAlign w:val="center"/>
          </w:tcPr>
          <w:p w14:paraId="4795A17D"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现钞提取金额折美元</w:t>
            </w:r>
          </w:p>
        </w:tc>
        <w:tc>
          <w:tcPr>
            <w:tcW w:w="661" w:type="pct"/>
            <w:tcBorders>
              <w:top w:val="nil"/>
              <w:left w:val="nil"/>
              <w:bottom w:val="single" w:sz="4" w:space="0" w:color="auto"/>
              <w:right w:val="single" w:sz="4" w:space="0" w:color="auto"/>
            </w:tcBorders>
            <w:shd w:val="clear" w:color="auto" w:fill="auto"/>
            <w:vAlign w:val="center"/>
          </w:tcPr>
          <w:p w14:paraId="52611EFC"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数值</w:t>
            </w:r>
          </w:p>
        </w:tc>
        <w:tc>
          <w:tcPr>
            <w:tcW w:w="628" w:type="pct"/>
            <w:tcBorders>
              <w:top w:val="nil"/>
              <w:left w:val="nil"/>
              <w:bottom w:val="single" w:sz="4" w:space="0" w:color="auto"/>
              <w:right w:val="single" w:sz="4" w:space="0" w:color="auto"/>
            </w:tcBorders>
            <w:shd w:val="clear" w:color="auto" w:fill="auto"/>
            <w:vAlign w:val="center"/>
          </w:tcPr>
          <w:p w14:paraId="72EE9CEF"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22.2</w:t>
            </w:r>
          </w:p>
        </w:tc>
        <w:tc>
          <w:tcPr>
            <w:tcW w:w="1381" w:type="pct"/>
            <w:tcBorders>
              <w:top w:val="nil"/>
              <w:left w:val="nil"/>
              <w:bottom w:val="single" w:sz="4" w:space="0" w:color="auto"/>
              <w:right w:val="single" w:sz="4" w:space="0" w:color="auto"/>
            </w:tcBorders>
            <w:shd w:val="clear" w:color="auto" w:fill="auto"/>
            <w:vAlign w:val="center"/>
          </w:tcPr>
          <w:p w14:paraId="47077289"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必填项。现钞提取金额折美元为购汇提钞折美元金额和账户提钞折美元金额的总和。</w:t>
            </w:r>
          </w:p>
        </w:tc>
      </w:tr>
      <w:tr w:rsidR="00A052DC" w14:paraId="0E24C6E7" w14:textId="77777777">
        <w:trPr>
          <w:trHeight w:val="270"/>
          <w:jc w:val="center"/>
        </w:trPr>
        <w:tc>
          <w:tcPr>
            <w:tcW w:w="1072" w:type="pct"/>
            <w:tcBorders>
              <w:top w:val="nil"/>
              <w:left w:val="single" w:sz="4" w:space="0" w:color="auto"/>
              <w:bottom w:val="single" w:sz="4" w:space="0" w:color="auto"/>
              <w:right w:val="single" w:sz="4" w:space="0" w:color="auto"/>
            </w:tcBorders>
            <w:vAlign w:val="center"/>
          </w:tcPr>
          <w:p w14:paraId="3EBDD98C"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PURFXDRAWAMT</w:t>
            </w:r>
          </w:p>
        </w:tc>
        <w:tc>
          <w:tcPr>
            <w:tcW w:w="1258" w:type="pct"/>
            <w:tcBorders>
              <w:top w:val="nil"/>
              <w:left w:val="single" w:sz="4" w:space="0" w:color="auto"/>
              <w:bottom w:val="single" w:sz="4" w:space="0" w:color="auto"/>
              <w:right w:val="single" w:sz="4" w:space="0" w:color="auto"/>
            </w:tcBorders>
            <w:shd w:val="clear" w:color="auto" w:fill="auto"/>
            <w:vAlign w:val="center"/>
          </w:tcPr>
          <w:p w14:paraId="144FB23E"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购汇提钞金额</w:t>
            </w:r>
          </w:p>
        </w:tc>
        <w:tc>
          <w:tcPr>
            <w:tcW w:w="661" w:type="pct"/>
            <w:tcBorders>
              <w:top w:val="nil"/>
              <w:left w:val="nil"/>
              <w:bottom w:val="single" w:sz="4" w:space="0" w:color="auto"/>
              <w:right w:val="single" w:sz="4" w:space="0" w:color="auto"/>
            </w:tcBorders>
            <w:shd w:val="clear" w:color="auto" w:fill="auto"/>
            <w:vAlign w:val="center"/>
          </w:tcPr>
          <w:p w14:paraId="5075BAF5"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数值</w:t>
            </w:r>
          </w:p>
        </w:tc>
        <w:tc>
          <w:tcPr>
            <w:tcW w:w="628" w:type="pct"/>
            <w:tcBorders>
              <w:top w:val="nil"/>
              <w:left w:val="nil"/>
              <w:bottom w:val="single" w:sz="4" w:space="0" w:color="auto"/>
              <w:right w:val="single" w:sz="4" w:space="0" w:color="auto"/>
            </w:tcBorders>
            <w:shd w:val="clear" w:color="auto" w:fill="auto"/>
            <w:vAlign w:val="center"/>
          </w:tcPr>
          <w:p w14:paraId="4F9218F4"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22.2</w:t>
            </w:r>
          </w:p>
        </w:tc>
        <w:tc>
          <w:tcPr>
            <w:tcW w:w="1381" w:type="pct"/>
            <w:tcBorders>
              <w:top w:val="nil"/>
              <w:left w:val="nil"/>
              <w:bottom w:val="single" w:sz="4" w:space="0" w:color="auto"/>
              <w:right w:val="single" w:sz="4" w:space="0" w:color="auto"/>
            </w:tcBorders>
            <w:shd w:val="clear" w:color="auto" w:fill="auto"/>
            <w:vAlign w:val="center"/>
          </w:tcPr>
          <w:p w14:paraId="32D41B36" w14:textId="77777777" w:rsidR="00A052DC" w:rsidRDefault="00DD6AA3">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非必填项</w:t>
            </w:r>
            <w:r w:rsidR="009F0A60">
              <w:rPr>
                <w:rFonts w:ascii="黑体" w:eastAsia="黑体" w:hAnsi="黑体" w:cs="宋体" w:hint="eastAsia"/>
                <w:color w:val="000000"/>
                <w:kern w:val="0"/>
                <w:sz w:val="20"/>
                <w:szCs w:val="20"/>
              </w:rPr>
              <w:t>。购汇提钞金额、账户提钞金额不得同时为空。</w:t>
            </w:r>
          </w:p>
        </w:tc>
      </w:tr>
      <w:tr w:rsidR="00A052DC" w14:paraId="581744E2" w14:textId="77777777">
        <w:trPr>
          <w:trHeight w:val="270"/>
          <w:jc w:val="center"/>
        </w:trPr>
        <w:tc>
          <w:tcPr>
            <w:tcW w:w="1072" w:type="pct"/>
            <w:tcBorders>
              <w:top w:val="nil"/>
              <w:left w:val="single" w:sz="4" w:space="0" w:color="auto"/>
              <w:bottom w:val="single" w:sz="4" w:space="0" w:color="auto"/>
              <w:right w:val="single" w:sz="4" w:space="0" w:color="auto"/>
            </w:tcBorders>
            <w:vAlign w:val="center"/>
          </w:tcPr>
          <w:p w14:paraId="33EF4F0E"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PURFXDRAWAMTUSD</w:t>
            </w:r>
          </w:p>
        </w:tc>
        <w:tc>
          <w:tcPr>
            <w:tcW w:w="1258" w:type="pct"/>
            <w:tcBorders>
              <w:top w:val="nil"/>
              <w:left w:val="single" w:sz="4" w:space="0" w:color="auto"/>
              <w:bottom w:val="single" w:sz="4" w:space="0" w:color="auto"/>
              <w:right w:val="single" w:sz="4" w:space="0" w:color="auto"/>
            </w:tcBorders>
            <w:shd w:val="clear" w:color="auto" w:fill="auto"/>
            <w:vAlign w:val="center"/>
          </w:tcPr>
          <w:p w14:paraId="7EB89C55"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购汇提钞折美元金额</w:t>
            </w:r>
          </w:p>
        </w:tc>
        <w:tc>
          <w:tcPr>
            <w:tcW w:w="661" w:type="pct"/>
            <w:tcBorders>
              <w:top w:val="nil"/>
              <w:left w:val="nil"/>
              <w:bottom w:val="single" w:sz="4" w:space="0" w:color="auto"/>
              <w:right w:val="single" w:sz="4" w:space="0" w:color="auto"/>
            </w:tcBorders>
            <w:shd w:val="clear" w:color="auto" w:fill="auto"/>
            <w:vAlign w:val="center"/>
          </w:tcPr>
          <w:p w14:paraId="0B525754"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数值</w:t>
            </w:r>
          </w:p>
        </w:tc>
        <w:tc>
          <w:tcPr>
            <w:tcW w:w="628" w:type="pct"/>
            <w:tcBorders>
              <w:top w:val="nil"/>
              <w:left w:val="nil"/>
              <w:bottom w:val="single" w:sz="4" w:space="0" w:color="auto"/>
              <w:right w:val="single" w:sz="4" w:space="0" w:color="auto"/>
            </w:tcBorders>
            <w:shd w:val="clear" w:color="auto" w:fill="auto"/>
            <w:vAlign w:val="center"/>
          </w:tcPr>
          <w:p w14:paraId="70ECDB19"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22.2</w:t>
            </w:r>
          </w:p>
        </w:tc>
        <w:tc>
          <w:tcPr>
            <w:tcW w:w="1381" w:type="pct"/>
            <w:tcBorders>
              <w:top w:val="nil"/>
              <w:left w:val="nil"/>
              <w:bottom w:val="single" w:sz="4" w:space="0" w:color="auto"/>
              <w:right w:val="single" w:sz="4" w:space="0" w:color="auto"/>
            </w:tcBorders>
            <w:shd w:val="clear" w:color="auto" w:fill="auto"/>
            <w:vAlign w:val="center"/>
          </w:tcPr>
          <w:p w14:paraId="499E4704" w14:textId="77777777" w:rsidR="00A052DC" w:rsidRDefault="00DD6AA3">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非必填项</w:t>
            </w:r>
            <w:r w:rsidR="009F0A60">
              <w:rPr>
                <w:rFonts w:ascii="黑体" w:eastAsia="黑体" w:hAnsi="黑体" w:cs="宋体" w:hint="eastAsia"/>
                <w:color w:val="000000"/>
                <w:kern w:val="0"/>
                <w:sz w:val="20"/>
                <w:szCs w:val="20"/>
              </w:rPr>
              <w:t>。购汇提钞金额为空时，该项数据为空。</w:t>
            </w:r>
          </w:p>
        </w:tc>
      </w:tr>
      <w:tr w:rsidR="00A052DC" w14:paraId="1C409376" w14:textId="77777777">
        <w:trPr>
          <w:trHeight w:val="270"/>
          <w:jc w:val="center"/>
        </w:trPr>
        <w:tc>
          <w:tcPr>
            <w:tcW w:w="1072" w:type="pct"/>
            <w:tcBorders>
              <w:top w:val="nil"/>
              <w:left w:val="single" w:sz="4" w:space="0" w:color="auto"/>
              <w:bottom w:val="single" w:sz="4" w:space="0" w:color="auto"/>
              <w:right w:val="single" w:sz="4" w:space="0" w:color="auto"/>
            </w:tcBorders>
            <w:vAlign w:val="center"/>
          </w:tcPr>
          <w:p w14:paraId="0FBA898A"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PURFXACCT</w:t>
            </w:r>
          </w:p>
        </w:tc>
        <w:tc>
          <w:tcPr>
            <w:tcW w:w="1258" w:type="pct"/>
            <w:tcBorders>
              <w:top w:val="nil"/>
              <w:left w:val="single" w:sz="4" w:space="0" w:color="auto"/>
              <w:bottom w:val="single" w:sz="4" w:space="0" w:color="auto"/>
              <w:right w:val="single" w:sz="4" w:space="0" w:color="auto"/>
            </w:tcBorders>
            <w:shd w:val="clear" w:color="auto" w:fill="auto"/>
            <w:vAlign w:val="center"/>
          </w:tcPr>
          <w:p w14:paraId="023B3B25"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购汇账户账号</w:t>
            </w:r>
          </w:p>
        </w:tc>
        <w:tc>
          <w:tcPr>
            <w:tcW w:w="661" w:type="pct"/>
            <w:tcBorders>
              <w:top w:val="nil"/>
              <w:left w:val="nil"/>
              <w:bottom w:val="single" w:sz="4" w:space="0" w:color="auto"/>
              <w:right w:val="single" w:sz="4" w:space="0" w:color="auto"/>
            </w:tcBorders>
            <w:shd w:val="clear" w:color="auto" w:fill="auto"/>
            <w:vAlign w:val="center"/>
          </w:tcPr>
          <w:p w14:paraId="35589CE9"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字符</w:t>
            </w:r>
          </w:p>
        </w:tc>
        <w:tc>
          <w:tcPr>
            <w:tcW w:w="628" w:type="pct"/>
            <w:tcBorders>
              <w:top w:val="nil"/>
              <w:left w:val="nil"/>
              <w:bottom w:val="single" w:sz="4" w:space="0" w:color="auto"/>
              <w:right w:val="single" w:sz="4" w:space="0" w:color="auto"/>
            </w:tcBorders>
            <w:shd w:val="clear" w:color="auto" w:fill="auto"/>
            <w:vAlign w:val="center"/>
          </w:tcPr>
          <w:p w14:paraId="23885F68"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32</w:t>
            </w:r>
          </w:p>
        </w:tc>
        <w:tc>
          <w:tcPr>
            <w:tcW w:w="1381" w:type="pct"/>
            <w:tcBorders>
              <w:top w:val="nil"/>
              <w:left w:val="nil"/>
              <w:bottom w:val="single" w:sz="4" w:space="0" w:color="auto"/>
              <w:right w:val="single" w:sz="4" w:space="0" w:color="auto"/>
            </w:tcBorders>
            <w:shd w:val="clear" w:color="auto" w:fill="auto"/>
            <w:vAlign w:val="center"/>
          </w:tcPr>
          <w:p w14:paraId="41C0CB35" w14:textId="77777777" w:rsidR="00A052DC" w:rsidRDefault="00DD6AA3">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非必填项</w:t>
            </w:r>
            <w:r w:rsidR="009F0A60">
              <w:rPr>
                <w:rFonts w:ascii="黑体" w:eastAsia="黑体" w:hAnsi="黑体" w:cs="宋体" w:hint="eastAsia"/>
                <w:color w:val="000000"/>
                <w:kern w:val="0"/>
                <w:sz w:val="20"/>
                <w:szCs w:val="20"/>
              </w:rPr>
              <w:t>。购汇提钞金额为空时，该项数据为空。</w:t>
            </w:r>
          </w:p>
        </w:tc>
      </w:tr>
      <w:tr w:rsidR="00A052DC" w14:paraId="5FF8F099" w14:textId="77777777">
        <w:trPr>
          <w:trHeight w:val="270"/>
          <w:jc w:val="center"/>
        </w:trPr>
        <w:tc>
          <w:tcPr>
            <w:tcW w:w="1072" w:type="pct"/>
            <w:tcBorders>
              <w:top w:val="nil"/>
              <w:left w:val="single" w:sz="4" w:space="0" w:color="auto"/>
              <w:bottom w:val="single" w:sz="4" w:space="0" w:color="auto"/>
              <w:right w:val="single" w:sz="4" w:space="0" w:color="auto"/>
            </w:tcBorders>
            <w:vAlign w:val="center"/>
          </w:tcPr>
          <w:p w14:paraId="7465DC39"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OPPBANKCODE</w:t>
            </w:r>
          </w:p>
        </w:tc>
        <w:tc>
          <w:tcPr>
            <w:tcW w:w="1258" w:type="pct"/>
            <w:tcBorders>
              <w:top w:val="nil"/>
              <w:left w:val="single" w:sz="4" w:space="0" w:color="auto"/>
              <w:bottom w:val="single" w:sz="4" w:space="0" w:color="auto"/>
              <w:right w:val="single" w:sz="4" w:space="0" w:color="auto"/>
            </w:tcBorders>
            <w:shd w:val="clear" w:color="auto" w:fill="auto"/>
            <w:vAlign w:val="center"/>
          </w:tcPr>
          <w:p w14:paraId="02BE660E"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购汇账户开户行代码</w:t>
            </w:r>
          </w:p>
        </w:tc>
        <w:tc>
          <w:tcPr>
            <w:tcW w:w="661" w:type="pct"/>
            <w:tcBorders>
              <w:top w:val="nil"/>
              <w:left w:val="nil"/>
              <w:bottom w:val="single" w:sz="4" w:space="0" w:color="auto"/>
              <w:right w:val="single" w:sz="4" w:space="0" w:color="auto"/>
            </w:tcBorders>
            <w:shd w:val="clear" w:color="auto" w:fill="auto"/>
            <w:vAlign w:val="center"/>
          </w:tcPr>
          <w:p w14:paraId="5D5DD790"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字符</w:t>
            </w:r>
          </w:p>
        </w:tc>
        <w:tc>
          <w:tcPr>
            <w:tcW w:w="628" w:type="pct"/>
            <w:tcBorders>
              <w:top w:val="nil"/>
              <w:left w:val="nil"/>
              <w:bottom w:val="single" w:sz="4" w:space="0" w:color="auto"/>
              <w:right w:val="single" w:sz="4" w:space="0" w:color="auto"/>
            </w:tcBorders>
            <w:shd w:val="clear" w:color="auto" w:fill="auto"/>
            <w:vAlign w:val="center"/>
          </w:tcPr>
          <w:p w14:paraId="74239D28"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12</w:t>
            </w:r>
          </w:p>
        </w:tc>
        <w:tc>
          <w:tcPr>
            <w:tcW w:w="1381" w:type="pct"/>
            <w:tcBorders>
              <w:top w:val="nil"/>
              <w:left w:val="nil"/>
              <w:bottom w:val="single" w:sz="4" w:space="0" w:color="auto"/>
              <w:right w:val="single" w:sz="4" w:space="0" w:color="auto"/>
            </w:tcBorders>
            <w:shd w:val="clear" w:color="auto" w:fill="auto"/>
            <w:vAlign w:val="center"/>
          </w:tcPr>
          <w:p w14:paraId="15510351" w14:textId="77777777" w:rsidR="00A052DC" w:rsidRDefault="00DD6AA3">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非必填项</w:t>
            </w:r>
            <w:r w:rsidR="009F0A60">
              <w:rPr>
                <w:rFonts w:ascii="黑体" w:eastAsia="黑体" w:hAnsi="黑体" w:cs="宋体" w:hint="eastAsia"/>
                <w:color w:val="000000"/>
                <w:kern w:val="0"/>
                <w:sz w:val="20"/>
                <w:szCs w:val="20"/>
              </w:rPr>
              <w:t>。购汇提钞金额为空时，该项数据为空。</w:t>
            </w:r>
          </w:p>
        </w:tc>
      </w:tr>
      <w:tr w:rsidR="00A052DC" w14:paraId="39EEB375" w14:textId="77777777">
        <w:trPr>
          <w:trHeight w:val="270"/>
          <w:jc w:val="center"/>
        </w:trPr>
        <w:tc>
          <w:tcPr>
            <w:tcW w:w="1072" w:type="pct"/>
            <w:tcBorders>
              <w:top w:val="nil"/>
              <w:left w:val="single" w:sz="4" w:space="0" w:color="auto"/>
              <w:bottom w:val="single" w:sz="4" w:space="0" w:color="auto"/>
              <w:right w:val="single" w:sz="4" w:space="0" w:color="auto"/>
            </w:tcBorders>
            <w:vAlign w:val="center"/>
          </w:tcPr>
          <w:p w14:paraId="6C3303EF"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ACCTDRAWAMT</w:t>
            </w:r>
          </w:p>
        </w:tc>
        <w:tc>
          <w:tcPr>
            <w:tcW w:w="1258" w:type="pct"/>
            <w:tcBorders>
              <w:top w:val="nil"/>
              <w:left w:val="single" w:sz="4" w:space="0" w:color="auto"/>
              <w:bottom w:val="single" w:sz="4" w:space="0" w:color="auto"/>
              <w:right w:val="single" w:sz="4" w:space="0" w:color="auto"/>
            </w:tcBorders>
            <w:shd w:val="clear" w:color="auto" w:fill="auto"/>
            <w:vAlign w:val="center"/>
          </w:tcPr>
          <w:p w14:paraId="7C2AC64E"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账户提钞金额</w:t>
            </w:r>
          </w:p>
        </w:tc>
        <w:tc>
          <w:tcPr>
            <w:tcW w:w="661" w:type="pct"/>
            <w:tcBorders>
              <w:top w:val="nil"/>
              <w:left w:val="nil"/>
              <w:bottom w:val="single" w:sz="4" w:space="0" w:color="auto"/>
              <w:right w:val="single" w:sz="4" w:space="0" w:color="auto"/>
            </w:tcBorders>
            <w:shd w:val="clear" w:color="auto" w:fill="auto"/>
            <w:vAlign w:val="center"/>
          </w:tcPr>
          <w:p w14:paraId="1006A07D"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数值</w:t>
            </w:r>
          </w:p>
        </w:tc>
        <w:tc>
          <w:tcPr>
            <w:tcW w:w="628" w:type="pct"/>
            <w:tcBorders>
              <w:top w:val="nil"/>
              <w:left w:val="nil"/>
              <w:bottom w:val="single" w:sz="4" w:space="0" w:color="auto"/>
              <w:right w:val="single" w:sz="4" w:space="0" w:color="auto"/>
            </w:tcBorders>
            <w:shd w:val="clear" w:color="auto" w:fill="auto"/>
            <w:vAlign w:val="center"/>
          </w:tcPr>
          <w:p w14:paraId="6947A284"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22.2</w:t>
            </w:r>
          </w:p>
        </w:tc>
        <w:tc>
          <w:tcPr>
            <w:tcW w:w="1381" w:type="pct"/>
            <w:tcBorders>
              <w:top w:val="nil"/>
              <w:left w:val="nil"/>
              <w:bottom w:val="single" w:sz="4" w:space="0" w:color="auto"/>
              <w:right w:val="single" w:sz="4" w:space="0" w:color="auto"/>
            </w:tcBorders>
            <w:shd w:val="clear" w:color="auto" w:fill="auto"/>
            <w:vAlign w:val="center"/>
          </w:tcPr>
          <w:p w14:paraId="7C328A40" w14:textId="77777777" w:rsidR="00A052DC" w:rsidRDefault="00DD6AA3">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非必填项</w:t>
            </w:r>
            <w:r w:rsidR="009F0A60">
              <w:rPr>
                <w:rFonts w:ascii="黑体" w:eastAsia="黑体" w:hAnsi="黑体" w:cs="宋体" w:hint="eastAsia"/>
                <w:color w:val="000000"/>
                <w:kern w:val="0"/>
                <w:sz w:val="20"/>
                <w:szCs w:val="20"/>
              </w:rPr>
              <w:t>。购汇提钞金额、账户提钞金额不得同时为空。</w:t>
            </w:r>
          </w:p>
        </w:tc>
      </w:tr>
      <w:tr w:rsidR="00A052DC" w14:paraId="65FF9B1F" w14:textId="77777777">
        <w:trPr>
          <w:trHeight w:val="270"/>
          <w:jc w:val="center"/>
        </w:trPr>
        <w:tc>
          <w:tcPr>
            <w:tcW w:w="1072" w:type="pct"/>
            <w:tcBorders>
              <w:top w:val="nil"/>
              <w:left w:val="single" w:sz="4" w:space="0" w:color="auto"/>
              <w:bottom w:val="single" w:sz="4" w:space="0" w:color="auto"/>
              <w:right w:val="single" w:sz="4" w:space="0" w:color="auto"/>
            </w:tcBorders>
            <w:vAlign w:val="center"/>
          </w:tcPr>
          <w:p w14:paraId="1567733D"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ACCTDRAWAMTUSD</w:t>
            </w:r>
          </w:p>
        </w:tc>
        <w:tc>
          <w:tcPr>
            <w:tcW w:w="1258" w:type="pct"/>
            <w:tcBorders>
              <w:top w:val="nil"/>
              <w:left w:val="single" w:sz="4" w:space="0" w:color="auto"/>
              <w:bottom w:val="single" w:sz="4" w:space="0" w:color="auto"/>
              <w:right w:val="single" w:sz="4" w:space="0" w:color="auto"/>
            </w:tcBorders>
            <w:shd w:val="clear" w:color="auto" w:fill="auto"/>
            <w:vAlign w:val="center"/>
          </w:tcPr>
          <w:p w14:paraId="3CBC9592"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账户提钞金额折美元</w:t>
            </w:r>
          </w:p>
        </w:tc>
        <w:tc>
          <w:tcPr>
            <w:tcW w:w="661" w:type="pct"/>
            <w:tcBorders>
              <w:top w:val="nil"/>
              <w:left w:val="nil"/>
              <w:bottom w:val="single" w:sz="4" w:space="0" w:color="auto"/>
              <w:right w:val="single" w:sz="4" w:space="0" w:color="auto"/>
            </w:tcBorders>
            <w:shd w:val="clear" w:color="auto" w:fill="auto"/>
            <w:vAlign w:val="center"/>
          </w:tcPr>
          <w:p w14:paraId="29C2D489"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数值</w:t>
            </w:r>
          </w:p>
        </w:tc>
        <w:tc>
          <w:tcPr>
            <w:tcW w:w="628" w:type="pct"/>
            <w:tcBorders>
              <w:top w:val="nil"/>
              <w:left w:val="nil"/>
              <w:bottom w:val="single" w:sz="4" w:space="0" w:color="auto"/>
              <w:right w:val="single" w:sz="4" w:space="0" w:color="auto"/>
            </w:tcBorders>
            <w:shd w:val="clear" w:color="auto" w:fill="auto"/>
            <w:vAlign w:val="center"/>
          </w:tcPr>
          <w:p w14:paraId="32606516"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22.2</w:t>
            </w:r>
          </w:p>
        </w:tc>
        <w:tc>
          <w:tcPr>
            <w:tcW w:w="1381" w:type="pct"/>
            <w:tcBorders>
              <w:top w:val="nil"/>
              <w:left w:val="nil"/>
              <w:bottom w:val="single" w:sz="4" w:space="0" w:color="auto"/>
              <w:right w:val="single" w:sz="4" w:space="0" w:color="auto"/>
            </w:tcBorders>
            <w:shd w:val="clear" w:color="auto" w:fill="auto"/>
            <w:vAlign w:val="center"/>
          </w:tcPr>
          <w:p w14:paraId="3712C440" w14:textId="77777777" w:rsidR="00A052DC" w:rsidRDefault="00DD6AA3">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非必填项</w:t>
            </w:r>
            <w:r w:rsidR="009F0A60">
              <w:rPr>
                <w:rFonts w:ascii="黑体" w:eastAsia="黑体" w:hAnsi="黑体" w:cs="宋体" w:hint="eastAsia"/>
                <w:color w:val="000000"/>
                <w:kern w:val="0"/>
                <w:sz w:val="20"/>
                <w:szCs w:val="20"/>
              </w:rPr>
              <w:t>。账户提钞金额为空时，该项数据为空。</w:t>
            </w:r>
          </w:p>
        </w:tc>
      </w:tr>
      <w:tr w:rsidR="00A052DC" w14:paraId="6D614CB5" w14:textId="77777777">
        <w:trPr>
          <w:trHeight w:val="270"/>
          <w:jc w:val="center"/>
        </w:trPr>
        <w:tc>
          <w:tcPr>
            <w:tcW w:w="1072" w:type="pct"/>
            <w:tcBorders>
              <w:top w:val="nil"/>
              <w:left w:val="single" w:sz="4" w:space="0" w:color="auto"/>
              <w:bottom w:val="single" w:sz="4" w:space="0" w:color="auto"/>
              <w:right w:val="single" w:sz="4" w:space="0" w:color="auto"/>
            </w:tcBorders>
            <w:vAlign w:val="center"/>
          </w:tcPr>
          <w:p w14:paraId="19EEE63B"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DRAWACCT</w:t>
            </w:r>
          </w:p>
        </w:tc>
        <w:tc>
          <w:tcPr>
            <w:tcW w:w="1258" w:type="pct"/>
            <w:tcBorders>
              <w:top w:val="nil"/>
              <w:left w:val="single" w:sz="4" w:space="0" w:color="auto"/>
              <w:bottom w:val="single" w:sz="4" w:space="0" w:color="auto"/>
              <w:right w:val="single" w:sz="4" w:space="0" w:color="auto"/>
            </w:tcBorders>
            <w:shd w:val="clear" w:color="auto" w:fill="auto"/>
            <w:vAlign w:val="center"/>
          </w:tcPr>
          <w:p w14:paraId="7D032379"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提钞账户账号</w:t>
            </w:r>
          </w:p>
        </w:tc>
        <w:tc>
          <w:tcPr>
            <w:tcW w:w="661" w:type="pct"/>
            <w:tcBorders>
              <w:top w:val="nil"/>
              <w:left w:val="nil"/>
              <w:bottom w:val="single" w:sz="4" w:space="0" w:color="auto"/>
              <w:right w:val="single" w:sz="4" w:space="0" w:color="auto"/>
            </w:tcBorders>
            <w:shd w:val="clear" w:color="auto" w:fill="auto"/>
            <w:vAlign w:val="center"/>
          </w:tcPr>
          <w:p w14:paraId="7C74C214"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字符</w:t>
            </w:r>
          </w:p>
        </w:tc>
        <w:tc>
          <w:tcPr>
            <w:tcW w:w="628" w:type="pct"/>
            <w:tcBorders>
              <w:top w:val="nil"/>
              <w:left w:val="nil"/>
              <w:bottom w:val="single" w:sz="4" w:space="0" w:color="auto"/>
              <w:right w:val="single" w:sz="4" w:space="0" w:color="auto"/>
            </w:tcBorders>
            <w:shd w:val="clear" w:color="auto" w:fill="auto"/>
            <w:vAlign w:val="center"/>
          </w:tcPr>
          <w:p w14:paraId="2646737A"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32</w:t>
            </w:r>
          </w:p>
        </w:tc>
        <w:tc>
          <w:tcPr>
            <w:tcW w:w="1381" w:type="pct"/>
            <w:tcBorders>
              <w:top w:val="nil"/>
              <w:left w:val="nil"/>
              <w:bottom w:val="single" w:sz="4" w:space="0" w:color="auto"/>
              <w:right w:val="single" w:sz="4" w:space="0" w:color="auto"/>
            </w:tcBorders>
            <w:shd w:val="clear" w:color="auto" w:fill="auto"/>
            <w:vAlign w:val="center"/>
          </w:tcPr>
          <w:p w14:paraId="77C8CCAF" w14:textId="77777777" w:rsidR="00A052DC" w:rsidRDefault="00DD6AA3">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非必填项</w:t>
            </w:r>
            <w:r w:rsidR="009F0A60">
              <w:rPr>
                <w:rFonts w:ascii="黑体" w:eastAsia="黑体" w:hAnsi="黑体" w:cs="宋体" w:hint="eastAsia"/>
                <w:color w:val="000000"/>
                <w:kern w:val="0"/>
                <w:sz w:val="20"/>
                <w:szCs w:val="20"/>
              </w:rPr>
              <w:t>。账户提钞时填写提钞账户账号。</w:t>
            </w:r>
          </w:p>
        </w:tc>
      </w:tr>
      <w:tr w:rsidR="00A052DC" w14:paraId="7F07A32B" w14:textId="77777777">
        <w:trPr>
          <w:trHeight w:val="270"/>
          <w:jc w:val="center"/>
        </w:trPr>
        <w:tc>
          <w:tcPr>
            <w:tcW w:w="1072" w:type="pct"/>
            <w:tcBorders>
              <w:top w:val="nil"/>
              <w:left w:val="single" w:sz="4" w:space="0" w:color="auto"/>
              <w:bottom w:val="single" w:sz="4" w:space="0" w:color="auto"/>
              <w:right w:val="single" w:sz="4" w:space="0" w:color="auto"/>
            </w:tcBorders>
            <w:vAlign w:val="center"/>
          </w:tcPr>
          <w:p w14:paraId="48C8B4C3" w14:textId="77777777" w:rsidR="00A052DC" w:rsidRDefault="009F0A60">
            <w:pPr>
              <w:widowControl/>
              <w:jc w:val="left"/>
              <w:rPr>
                <w:rFonts w:ascii="黑体" w:eastAsia="黑体" w:hAnsi="黑体" w:cs="宋体"/>
                <w:kern w:val="0"/>
                <w:sz w:val="20"/>
                <w:szCs w:val="20"/>
              </w:rPr>
            </w:pPr>
            <w:r>
              <w:rPr>
                <w:rFonts w:ascii="黑体" w:eastAsia="黑体" w:hAnsi="黑体" w:cs="宋体" w:hint="eastAsia"/>
                <w:kern w:val="0"/>
                <w:sz w:val="20"/>
                <w:szCs w:val="20"/>
              </w:rPr>
              <w:t>CSHDRAWDESC</w:t>
            </w:r>
          </w:p>
        </w:tc>
        <w:tc>
          <w:tcPr>
            <w:tcW w:w="1258" w:type="pct"/>
            <w:tcBorders>
              <w:top w:val="nil"/>
              <w:left w:val="single" w:sz="4" w:space="0" w:color="auto"/>
              <w:bottom w:val="single" w:sz="4" w:space="0" w:color="auto"/>
              <w:right w:val="single" w:sz="4" w:space="0" w:color="auto"/>
            </w:tcBorders>
            <w:shd w:val="clear" w:color="auto" w:fill="auto"/>
            <w:vAlign w:val="center"/>
          </w:tcPr>
          <w:p w14:paraId="56CB842A" w14:textId="77777777" w:rsidR="00A052DC" w:rsidRDefault="009F0A60">
            <w:pPr>
              <w:widowControl/>
              <w:jc w:val="left"/>
              <w:rPr>
                <w:rFonts w:ascii="黑体" w:eastAsia="黑体" w:hAnsi="黑体" w:cs="宋体"/>
                <w:kern w:val="0"/>
                <w:sz w:val="20"/>
                <w:szCs w:val="20"/>
              </w:rPr>
            </w:pPr>
            <w:r>
              <w:rPr>
                <w:rFonts w:ascii="黑体" w:eastAsia="黑体" w:hAnsi="黑体" w:cs="宋体" w:hint="eastAsia"/>
                <w:kern w:val="0"/>
                <w:sz w:val="20"/>
                <w:szCs w:val="20"/>
              </w:rPr>
              <w:t>现钞提取用途说明</w:t>
            </w:r>
          </w:p>
        </w:tc>
        <w:tc>
          <w:tcPr>
            <w:tcW w:w="661" w:type="pct"/>
            <w:tcBorders>
              <w:top w:val="nil"/>
              <w:left w:val="nil"/>
              <w:bottom w:val="single" w:sz="4" w:space="0" w:color="auto"/>
              <w:right w:val="single" w:sz="4" w:space="0" w:color="auto"/>
            </w:tcBorders>
            <w:shd w:val="clear" w:color="auto" w:fill="auto"/>
            <w:vAlign w:val="center"/>
          </w:tcPr>
          <w:p w14:paraId="589A2B9A" w14:textId="77777777" w:rsidR="00A052DC" w:rsidRDefault="009F0A60">
            <w:pPr>
              <w:widowControl/>
              <w:jc w:val="left"/>
              <w:rPr>
                <w:rFonts w:ascii="黑体" w:eastAsia="黑体" w:hAnsi="黑体" w:cs="宋体"/>
                <w:kern w:val="0"/>
                <w:sz w:val="20"/>
                <w:szCs w:val="20"/>
              </w:rPr>
            </w:pPr>
            <w:r>
              <w:rPr>
                <w:rFonts w:ascii="黑体" w:eastAsia="黑体" w:hAnsi="黑体" w:cs="宋体" w:hint="eastAsia"/>
                <w:kern w:val="0"/>
                <w:sz w:val="20"/>
                <w:szCs w:val="20"/>
              </w:rPr>
              <w:t>字符</w:t>
            </w:r>
          </w:p>
        </w:tc>
        <w:tc>
          <w:tcPr>
            <w:tcW w:w="628" w:type="pct"/>
            <w:tcBorders>
              <w:top w:val="nil"/>
              <w:left w:val="nil"/>
              <w:bottom w:val="single" w:sz="4" w:space="0" w:color="auto"/>
              <w:right w:val="single" w:sz="4" w:space="0" w:color="auto"/>
            </w:tcBorders>
            <w:shd w:val="clear" w:color="auto" w:fill="auto"/>
            <w:vAlign w:val="center"/>
          </w:tcPr>
          <w:p w14:paraId="2D87A5D0" w14:textId="77777777" w:rsidR="00A052DC" w:rsidRDefault="009F0A60">
            <w:pPr>
              <w:widowControl/>
              <w:jc w:val="left"/>
              <w:rPr>
                <w:rFonts w:ascii="黑体" w:eastAsia="黑体" w:hAnsi="黑体" w:cs="宋体"/>
                <w:kern w:val="0"/>
                <w:sz w:val="20"/>
                <w:szCs w:val="20"/>
              </w:rPr>
            </w:pPr>
            <w:r>
              <w:rPr>
                <w:rFonts w:ascii="黑体" w:eastAsia="黑体" w:hAnsi="黑体" w:cs="宋体" w:hint="eastAsia"/>
                <w:kern w:val="0"/>
                <w:sz w:val="20"/>
                <w:szCs w:val="20"/>
              </w:rPr>
              <w:t>20</w:t>
            </w:r>
          </w:p>
        </w:tc>
        <w:tc>
          <w:tcPr>
            <w:tcW w:w="1381" w:type="pct"/>
            <w:tcBorders>
              <w:top w:val="nil"/>
              <w:left w:val="nil"/>
              <w:bottom w:val="single" w:sz="4" w:space="0" w:color="auto"/>
              <w:right w:val="single" w:sz="4" w:space="0" w:color="auto"/>
            </w:tcBorders>
            <w:shd w:val="clear" w:color="auto" w:fill="auto"/>
            <w:vAlign w:val="center"/>
          </w:tcPr>
          <w:p w14:paraId="47F0E17F" w14:textId="77777777" w:rsidR="00A052DC" w:rsidRDefault="009F0A60">
            <w:pPr>
              <w:widowControl/>
              <w:rPr>
                <w:rFonts w:ascii="黑体" w:eastAsia="黑体" w:hAnsi="黑体" w:cs="宋体"/>
                <w:kern w:val="0"/>
                <w:sz w:val="20"/>
                <w:szCs w:val="20"/>
              </w:rPr>
            </w:pPr>
            <w:r>
              <w:rPr>
                <w:rFonts w:ascii="黑体" w:eastAsia="黑体" w:hAnsi="黑体" w:cs="宋体" w:hint="eastAsia"/>
                <w:kern w:val="0"/>
                <w:sz w:val="20"/>
                <w:szCs w:val="20"/>
              </w:rPr>
              <w:t>必填项，参见现钞提取用途说明代码表。如填写08（</w:t>
            </w:r>
            <w:r w:rsidR="0021563C">
              <w:rPr>
                <w:rFonts w:ascii="黑体" w:eastAsia="黑体" w:hAnsi="黑体" w:cs="宋体" w:hint="eastAsia"/>
                <w:kern w:val="0"/>
                <w:sz w:val="20"/>
                <w:szCs w:val="20"/>
              </w:rPr>
              <w:t>其他</w:t>
            </w:r>
            <w:r>
              <w:rPr>
                <w:rFonts w:ascii="黑体" w:eastAsia="黑体" w:hAnsi="黑体" w:cs="宋体" w:hint="eastAsia"/>
                <w:kern w:val="0"/>
                <w:sz w:val="20"/>
                <w:szCs w:val="20"/>
              </w:rPr>
              <w:t>）请在备注中说明具体用途。</w:t>
            </w:r>
          </w:p>
        </w:tc>
      </w:tr>
      <w:tr w:rsidR="00A052DC" w14:paraId="0E6A660E" w14:textId="77777777">
        <w:trPr>
          <w:trHeight w:val="1020"/>
          <w:jc w:val="center"/>
        </w:trPr>
        <w:tc>
          <w:tcPr>
            <w:tcW w:w="1072" w:type="pct"/>
            <w:tcBorders>
              <w:top w:val="single" w:sz="4" w:space="0" w:color="auto"/>
              <w:left w:val="single" w:sz="4" w:space="0" w:color="auto"/>
              <w:bottom w:val="single" w:sz="4" w:space="0" w:color="auto"/>
              <w:right w:val="single" w:sz="4" w:space="0" w:color="auto"/>
            </w:tcBorders>
            <w:vAlign w:val="center"/>
          </w:tcPr>
          <w:p w14:paraId="630BA740" w14:textId="77777777" w:rsidR="00A052DC" w:rsidRDefault="009F0A60">
            <w:pPr>
              <w:widowControl/>
              <w:jc w:val="left"/>
              <w:rPr>
                <w:rFonts w:ascii="黑体" w:eastAsia="黑体" w:hAnsi="黑体" w:cs="宋体"/>
                <w:kern w:val="0"/>
                <w:sz w:val="20"/>
                <w:szCs w:val="20"/>
              </w:rPr>
            </w:pPr>
            <w:r>
              <w:rPr>
                <w:rFonts w:ascii="黑体" w:eastAsia="黑体" w:hAnsi="黑体" w:cs="宋体" w:hint="eastAsia"/>
                <w:kern w:val="0"/>
                <w:sz w:val="20"/>
                <w:szCs w:val="20"/>
              </w:rPr>
              <w:t>CSHDSTCTY</w:t>
            </w:r>
          </w:p>
        </w:tc>
        <w:tc>
          <w:tcPr>
            <w:tcW w:w="1258" w:type="pct"/>
            <w:tcBorders>
              <w:top w:val="single" w:sz="4" w:space="0" w:color="auto"/>
              <w:left w:val="single" w:sz="4" w:space="0" w:color="auto"/>
              <w:bottom w:val="single" w:sz="4" w:space="0" w:color="auto"/>
              <w:right w:val="single" w:sz="4" w:space="0" w:color="auto"/>
            </w:tcBorders>
            <w:shd w:val="clear" w:color="auto" w:fill="auto"/>
            <w:vAlign w:val="center"/>
          </w:tcPr>
          <w:p w14:paraId="511C1B30" w14:textId="77777777" w:rsidR="00A052DC" w:rsidRDefault="009F0A60">
            <w:pPr>
              <w:widowControl/>
              <w:jc w:val="left"/>
              <w:rPr>
                <w:rFonts w:ascii="黑体" w:eastAsia="黑体" w:hAnsi="黑体" w:cs="宋体"/>
                <w:kern w:val="0"/>
                <w:sz w:val="20"/>
                <w:szCs w:val="20"/>
              </w:rPr>
            </w:pPr>
            <w:r>
              <w:rPr>
                <w:rFonts w:ascii="黑体" w:eastAsia="黑体" w:hAnsi="黑体" w:cs="宋体" w:hint="eastAsia"/>
                <w:kern w:val="0"/>
                <w:sz w:val="20"/>
                <w:szCs w:val="20"/>
              </w:rPr>
              <w:t>现钞去向国家（地区）</w:t>
            </w:r>
          </w:p>
        </w:tc>
        <w:tc>
          <w:tcPr>
            <w:tcW w:w="661" w:type="pct"/>
            <w:tcBorders>
              <w:top w:val="single" w:sz="4" w:space="0" w:color="auto"/>
              <w:left w:val="nil"/>
              <w:bottom w:val="single" w:sz="4" w:space="0" w:color="auto"/>
              <w:right w:val="single" w:sz="4" w:space="0" w:color="auto"/>
            </w:tcBorders>
            <w:shd w:val="clear" w:color="auto" w:fill="auto"/>
            <w:vAlign w:val="center"/>
          </w:tcPr>
          <w:p w14:paraId="3E4BF194" w14:textId="77777777" w:rsidR="00A052DC" w:rsidRDefault="009F0A60">
            <w:pPr>
              <w:widowControl/>
              <w:jc w:val="left"/>
              <w:rPr>
                <w:rFonts w:ascii="黑体" w:eastAsia="黑体" w:hAnsi="黑体" w:cs="宋体"/>
                <w:kern w:val="0"/>
                <w:sz w:val="20"/>
                <w:szCs w:val="20"/>
              </w:rPr>
            </w:pPr>
            <w:r>
              <w:rPr>
                <w:rFonts w:ascii="黑体" w:eastAsia="黑体" w:hAnsi="黑体" w:cs="宋体" w:hint="eastAsia"/>
                <w:kern w:val="0"/>
                <w:sz w:val="20"/>
                <w:szCs w:val="20"/>
              </w:rPr>
              <w:t>字符</w:t>
            </w:r>
          </w:p>
        </w:tc>
        <w:tc>
          <w:tcPr>
            <w:tcW w:w="628" w:type="pct"/>
            <w:tcBorders>
              <w:top w:val="single" w:sz="4" w:space="0" w:color="auto"/>
              <w:left w:val="nil"/>
              <w:bottom w:val="single" w:sz="4" w:space="0" w:color="auto"/>
              <w:right w:val="single" w:sz="4" w:space="0" w:color="auto"/>
            </w:tcBorders>
            <w:shd w:val="clear" w:color="auto" w:fill="auto"/>
            <w:vAlign w:val="center"/>
          </w:tcPr>
          <w:p w14:paraId="027F9F40" w14:textId="77777777" w:rsidR="00A052DC" w:rsidRDefault="009F0A60">
            <w:pPr>
              <w:widowControl/>
              <w:jc w:val="left"/>
              <w:rPr>
                <w:rFonts w:ascii="黑体" w:eastAsia="黑体" w:hAnsi="黑体" w:cs="宋体"/>
                <w:kern w:val="0"/>
                <w:sz w:val="20"/>
                <w:szCs w:val="20"/>
              </w:rPr>
            </w:pPr>
            <w:r>
              <w:rPr>
                <w:rFonts w:ascii="黑体" w:eastAsia="黑体" w:hAnsi="黑体" w:cs="宋体" w:hint="eastAsia"/>
                <w:kern w:val="0"/>
                <w:sz w:val="20"/>
                <w:szCs w:val="20"/>
              </w:rPr>
              <w:t>3</w:t>
            </w:r>
          </w:p>
        </w:tc>
        <w:tc>
          <w:tcPr>
            <w:tcW w:w="1381" w:type="pct"/>
            <w:tcBorders>
              <w:top w:val="single" w:sz="4" w:space="0" w:color="auto"/>
              <w:left w:val="nil"/>
              <w:bottom w:val="single" w:sz="4" w:space="0" w:color="auto"/>
              <w:right w:val="single" w:sz="4" w:space="0" w:color="auto"/>
            </w:tcBorders>
            <w:shd w:val="clear" w:color="auto" w:fill="auto"/>
            <w:vAlign w:val="center"/>
          </w:tcPr>
          <w:p w14:paraId="750CFD9D" w14:textId="77777777" w:rsidR="00A052DC" w:rsidRDefault="009F0A60">
            <w:pPr>
              <w:widowControl/>
              <w:rPr>
                <w:rFonts w:ascii="黑体" w:eastAsia="黑体" w:hAnsi="黑体" w:cs="宋体"/>
                <w:kern w:val="0"/>
                <w:sz w:val="20"/>
                <w:szCs w:val="20"/>
              </w:rPr>
            </w:pPr>
            <w:r>
              <w:rPr>
                <w:rFonts w:ascii="黑体" w:eastAsia="黑体" w:hAnsi="黑体" w:cs="宋体" w:hint="eastAsia"/>
                <w:kern w:val="0"/>
                <w:sz w:val="20"/>
                <w:szCs w:val="20"/>
              </w:rPr>
              <w:t>见国家和地区代码表。</w:t>
            </w:r>
          </w:p>
        </w:tc>
      </w:tr>
      <w:tr w:rsidR="00A052DC" w14:paraId="6AB6B579" w14:textId="77777777">
        <w:trPr>
          <w:trHeight w:val="710"/>
          <w:jc w:val="center"/>
        </w:trPr>
        <w:tc>
          <w:tcPr>
            <w:tcW w:w="1072" w:type="pct"/>
            <w:tcBorders>
              <w:top w:val="single" w:sz="4" w:space="0" w:color="auto"/>
              <w:left w:val="single" w:sz="4" w:space="0" w:color="auto"/>
              <w:bottom w:val="single" w:sz="4" w:space="0" w:color="auto"/>
              <w:right w:val="single" w:sz="4" w:space="0" w:color="auto"/>
            </w:tcBorders>
            <w:vAlign w:val="center"/>
          </w:tcPr>
          <w:p w14:paraId="22D9CE6D" w14:textId="77777777" w:rsidR="00A052DC" w:rsidRDefault="009F0A60">
            <w:pPr>
              <w:widowControl/>
              <w:jc w:val="left"/>
              <w:rPr>
                <w:rFonts w:ascii="黑体" w:eastAsia="黑体" w:hAnsi="黑体" w:cs="宋体"/>
                <w:kern w:val="0"/>
                <w:sz w:val="20"/>
                <w:szCs w:val="20"/>
              </w:rPr>
            </w:pPr>
            <w:r>
              <w:rPr>
                <w:rFonts w:ascii="黑体" w:eastAsia="黑体" w:hAnsi="黑体" w:cs="宋体" w:hint="eastAsia"/>
                <w:kern w:val="0"/>
                <w:sz w:val="20"/>
                <w:szCs w:val="20"/>
              </w:rPr>
              <w:t>REMARK</w:t>
            </w:r>
          </w:p>
        </w:tc>
        <w:tc>
          <w:tcPr>
            <w:tcW w:w="1258" w:type="pct"/>
            <w:tcBorders>
              <w:top w:val="single" w:sz="4" w:space="0" w:color="auto"/>
              <w:left w:val="single" w:sz="4" w:space="0" w:color="auto"/>
              <w:bottom w:val="single" w:sz="4" w:space="0" w:color="auto"/>
              <w:right w:val="single" w:sz="4" w:space="0" w:color="auto"/>
            </w:tcBorders>
            <w:shd w:val="clear" w:color="auto" w:fill="auto"/>
            <w:vAlign w:val="center"/>
          </w:tcPr>
          <w:p w14:paraId="18D0ECF0" w14:textId="77777777" w:rsidR="00A052DC" w:rsidRDefault="009F0A60">
            <w:pPr>
              <w:widowControl/>
              <w:jc w:val="left"/>
              <w:rPr>
                <w:rFonts w:ascii="黑体" w:eastAsia="黑体" w:hAnsi="黑体" w:cs="宋体"/>
                <w:kern w:val="0"/>
                <w:sz w:val="20"/>
                <w:szCs w:val="20"/>
              </w:rPr>
            </w:pPr>
            <w:r>
              <w:rPr>
                <w:rFonts w:ascii="黑体" w:eastAsia="黑体" w:hAnsi="黑体" w:cs="宋体" w:hint="eastAsia"/>
                <w:kern w:val="0"/>
                <w:sz w:val="20"/>
                <w:szCs w:val="20"/>
              </w:rPr>
              <w:t>备注</w:t>
            </w:r>
          </w:p>
        </w:tc>
        <w:tc>
          <w:tcPr>
            <w:tcW w:w="661" w:type="pct"/>
            <w:tcBorders>
              <w:top w:val="single" w:sz="4" w:space="0" w:color="auto"/>
              <w:left w:val="nil"/>
              <w:bottom w:val="single" w:sz="4" w:space="0" w:color="auto"/>
              <w:right w:val="single" w:sz="4" w:space="0" w:color="auto"/>
            </w:tcBorders>
            <w:shd w:val="clear" w:color="auto" w:fill="auto"/>
            <w:vAlign w:val="center"/>
          </w:tcPr>
          <w:p w14:paraId="221E75A7" w14:textId="77777777" w:rsidR="00A052DC" w:rsidRDefault="009F0A60">
            <w:pPr>
              <w:widowControl/>
              <w:jc w:val="left"/>
              <w:rPr>
                <w:rFonts w:ascii="黑体" w:eastAsia="黑体" w:hAnsi="黑体" w:cs="宋体"/>
                <w:kern w:val="0"/>
                <w:sz w:val="20"/>
                <w:szCs w:val="20"/>
              </w:rPr>
            </w:pPr>
            <w:r>
              <w:rPr>
                <w:rFonts w:ascii="黑体" w:eastAsia="黑体" w:hAnsi="黑体" w:cs="宋体" w:hint="eastAsia"/>
                <w:kern w:val="0"/>
                <w:sz w:val="20"/>
                <w:szCs w:val="20"/>
              </w:rPr>
              <w:t>字符</w:t>
            </w:r>
          </w:p>
        </w:tc>
        <w:tc>
          <w:tcPr>
            <w:tcW w:w="628" w:type="pct"/>
            <w:tcBorders>
              <w:top w:val="single" w:sz="4" w:space="0" w:color="auto"/>
              <w:left w:val="nil"/>
              <w:bottom w:val="single" w:sz="4" w:space="0" w:color="auto"/>
              <w:right w:val="single" w:sz="4" w:space="0" w:color="auto"/>
            </w:tcBorders>
            <w:shd w:val="clear" w:color="auto" w:fill="auto"/>
            <w:vAlign w:val="center"/>
          </w:tcPr>
          <w:p w14:paraId="05943F92" w14:textId="77777777" w:rsidR="00A052DC" w:rsidRDefault="009F0A60">
            <w:pPr>
              <w:widowControl/>
              <w:jc w:val="left"/>
              <w:rPr>
                <w:rFonts w:ascii="黑体" w:eastAsia="黑体" w:hAnsi="黑体" w:cs="宋体"/>
                <w:kern w:val="0"/>
                <w:sz w:val="20"/>
                <w:szCs w:val="20"/>
              </w:rPr>
            </w:pPr>
            <w:r>
              <w:rPr>
                <w:rFonts w:ascii="黑体" w:eastAsia="黑体" w:hAnsi="黑体" w:cs="宋体" w:hint="eastAsia"/>
                <w:kern w:val="0"/>
                <w:sz w:val="20"/>
                <w:szCs w:val="20"/>
              </w:rPr>
              <w:t>256</w:t>
            </w:r>
          </w:p>
        </w:tc>
        <w:tc>
          <w:tcPr>
            <w:tcW w:w="1381" w:type="pct"/>
            <w:tcBorders>
              <w:top w:val="single" w:sz="4" w:space="0" w:color="auto"/>
              <w:left w:val="nil"/>
              <w:bottom w:val="single" w:sz="4" w:space="0" w:color="auto"/>
              <w:right w:val="single" w:sz="4" w:space="0" w:color="auto"/>
            </w:tcBorders>
            <w:shd w:val="clear" w:color="auto" w:fill="auto"/>
            <w:vAlign w:val="center"/>
          </w:tcPr>
          <w:p w14:paraId="2357647C" w14:textId="77777777" w:rsidR="00A052DC" w:rsidRDefault="009F0A60">
            <w:pPr>
              <w:widowControl/>
              <w:rPr>
                <w:rFonts w:ascii="黑体" w:eastAsia="黑体" w:hAnsi="黑体" w:cs="宋体"/>
                <w:kern w:val="0"/>
                <w:sz w:val="20"/>
                <w:szCs w:val="20"/>
              </w:rPr>
            </w:pPr>
            <w:r>
              <w:rPr>
                <w:rFonts w:ascii="黑体" w:eastAsia="黑体" w:hAnsi="黑体" w:cs="宋体" w:hint="eastAsia"/>
                <w:kern w:val="0"/>
                <w:sz w:val="20"/>
                <w:szCs w:val="20"/>
              </w:rPr>
              <w:t>非必填项。如现钞来源说明为08则为必填。</w:t>
            </w:r>
          </w:p>
        </w:tc>
      </w:tr>
    </w:tbl>
    <w:p w14:paraId="7E5CC748" w14:textId="77777777" w:rsidR="00A052DC" w:rsidRDefault="00A052DC"/>
    <w:p w14:paraId="48561DAD" w14:textId="77777777" w:rsidR="00A052DC" w:rsidRDefault="00A052DC"/>
    <w:p w14:paraId="2ABD4DE4" w14:textId="77777777" w:rsidR="00A052DC" w:rsidRDefault="009F0A60" w:rsidP="0020251D">
      <w:pPr>
        <w:pStyle w:val="2"/>
        <w:rPr>
          <w:rFonts w:ascii="Times New Roman" w:hAnsi="Times New Roman"/>
        </w:rPr>
      </w:pPr>
      <w:bookmarkStart w:id="4358" w:name="_Toc502428235"/>
      <w:bookmarkStart w:id="4359" w:name="_Toc91455344"/>
      <w:bookmarkStart w:id="4360" w:name="_Toc101684517"/>
      <w:r>
        <w:rPr>
          <w:rFonts w:ascii="Times New Roman" w:hAnsi="Times New Roman"/>
        </w:rPr>
        <w:t>银行卡境外交易数据</w:t>
      </w:r>
      <w:bookmarkEnd w:id="4358"/>
      <w:bookmarkEnd w:id="4359"/>
      <w:bookmarkEnd w:id="4360"/>
    </w:p>
    <w:p w14:paraId="3B61E7B7" w14:textId="77777777" w:rsidR="00A052DC" w:rsidRDefault="009F0A60" w:rsidP="0020251D">
      <w:pPr>
        <w:pStyle w:val="3"/>
        <w:ind w:left="0"/>
        <w:rPr>
          <w:rFonts w:ascii="Times New Roman" w:hAnsi="Times New Roman"/>
        </w:rPr>
      </w:pPr>
      <w:bookmarkStart w:id="4361" w:name="_Toc91455345"/>
      <w:bookmarkStart w:id="4362" w:name="_Toc502428236"/>
      <w:bookmarkStart w:id="4363" w:name="_Toc101684518"/>
      <w:r>
        <w:rPr>
          <w:rFonts w:ascii="Times New Roman" w:hAnsi="Times New Roman"/>
        </w:rPr>
        <w:t>银行卡境外提现明细数据</w:t>
      </w:r>
      <w:bookmarkEnd w:id="4361"/>
      <w:bookmarkEnd w:id="4362"/>
      <w:bookmarkEnd w:id="4363"/>
    </w:p>
    <w:p w14:paraId="360320B0" w14:textId="77777777" w:rsidR="00A052DC" w:rsidRDefault="009F0A60" w:rsidP="0020251D">
      <w:pPr>
        <w:pStyle w:val="4"/>
        <w:numPr>
          <w:ilvl w:val="3"/>
          <w:numId w:val="1"/>
        </w:numPr>
        <w:jc w:val="left"/>
      </w:pPr>
      <w:r>
        <w:rPr>
          <w:rFonts w:hint="eastAsia"/>
        </w:rPr>
        <w:t>数据术语解释</w:t>
      </w:r>
    </w:p>
    <w:tbl>
      <w:tblPr>
        <w:tblW w:w="839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009"/>
        <w:gridCol w:w="6383"/>
      </w:tblGrid>
      <w:tr w:rsidR="00A052DC" w14:paraId="052DB531" w14:textId="77777777">
        <w:trPr>
          <w:trHeight w:val="262"/>
          <w:jc w:val="center"/>
        </w:trPr>
        <w:tc>
          <w:tcPr>
            <w:tcW w:w="2009" w:type="dxa"/>
            <w:tcBorders>
              <w:top w:val="single" w:sz="6" w:space="0" w:color="auto"/>
              <w:left w:val="single" w:sz="6" w:space="0" w:color="auto"/>
              <w:bottom w:val="single" w:sz="6" w:space="0" w:color="auto"/>
              <w:right w:val="single" w:sz="6" w:space="0" w:color="auto"/>
            </w:tcBorders>
            <w:shd w:val="clear" w:color="auto" w:fill="BFBFBF"/>
            <w:vAlign w:val="center"/>
          </w:tcPr>
          <w:p w14:paraId="3109C52C" w14:textId="77777777" w:rsidR="00A052DC" w:rsidRDefault="009F0A60">
            <w:pPr>
              <w:jc w:val="center"/>
              <w:rPr>
                <w:rFonts w:ascii="黑体" w:eastAsia="黑体" w:hAnsi="黑体"/>
                <w:b/>
                <w:color w:val="000000"/>
                <w:sz w:val="20"/>
                <w:szCs w:val="20"/>
              </w:rPr>
            </w:pPr>
            <w:r>
              <w:rPr>
                <w:rFonts w:ascii="黑体" w:eastAsia="黑体" w:hAnsi="黑体" w:hint="eastAsia"/>
                <w:b/>
                <w:color w:val="000000"/>
                <w:sz w:val="20"/>
                <w:szCs w:val="20"/>
              </w:rPr>
              <w:t>基础数据项</w:t>
            </w:r>
          </w:p>
        </w:tc>
        <w:tc>
          <w:tcPr>
            <w:tcW w:w="6383" w:type="dxa"/>
            <w:tcBorders>
              <w:top w:val="single" w:sz="6" w:space="0" w:color="auto"/>
              <w:left w:val="single" w:sz="6" w:space="0" w:color="auto"/>
              <w:bottom w:val="single" w:sz="6" w:space="0" w:color="auto"/>
              <w:right w:val="single" w:sz="6" w:space="0" w:color="auto"/>
            </w:tcBorders>
            <w:shd w:val="clear" w:color="auto" w:fill="BFBFBF"/>
            <w:vAlign w:val="center"/>
          </w:tcPr>
          <w:p w14:paraId="5EDDFC87" w14:textId="77777777" w:rsidR="00A052DC" w:rsidRDefault="009F0A60">
            <w:pPr>
              <w:jc w:val="center"/>
              <w:rPr>
                <w:rFonts w:ascii="黑体" w:eastAsia="黑体" w:hAnsi="黑体"/>
                <w:b/>
                <w:sz w:val="20"/>
                <w:szCs w:val="20"/>
              </w:rPr>
            </w:pPr>
            <w:r>
              <w:rPr>
                <w:rFonts w:ascii="黑体" w:eastAsia="黑体" w:hAnsi="黑体" w:hint="eastAsia"/>
                <w:b/>
                <w:sz w:val="20"/>
                <w:szCs w:val="20"/>
              </w:rPr>
              <w:t>定义</w:t>
            </w:r>
          </w:p>
        </w:tc>
      </w:tr>
      <w:tr w:rsidR="00A052DC" w14:paraId="45D0D6F7" w14:textId="77777777">
        <w:trPr>
          <w:trHeight w:val="1424"/>
          <w:jc w:val="center"/>
        </w:trPr>
        <w:tc>
          <w:tcPr>
            <w:tcW w:w="2009" w:type="dxa"/>
            <w:tcBorders>
              <w:top w:val="single" w:sz="6" w:space="0" w:color="auto"/>
              <w:left w:val="single" w:sz="6" w:space="0" w:color="auto"/>
              <w:bottom w:val="single" w:sz="6" w:space="0" w:color="auto"/>
              <w:right w:val="single" w:sz="6" w:space="0" w:color="auto"/>
            </w:tcBorders>
            <w:vAlign w:val="center"/>
          </w:tcPr>
          <w:p w14:paraId="458CCCBA" w14:textId="77777777" w:rsidR="00A052DC" w:rsidRDefault="009F0A60">
            <w:pPr>
              <w:jc w:val="left"/>
              <w:rPr>
                <w:rFonts w:ascii="黑体" w:eastAsia="黑体" w:hAnsi="黑体"/>
                <w:color w:val="000000"/>
                <w:sz w:val="20"/>
                <w:szCs w:val="20"/>
              </w:rPr>
            </w:pPr>
            <w:r>
              <w:rPr>
                <w:rFonts w:ascii="黑体" w:eastAsia="黑体" w:hAnsi="黑体" w:hint="eastAsia"/>
                <w:color w:val="000000"/>
                <w:sz w:val="20"/>
                <w:szCs w:val="20"/>
              </w:rPr>
              <w:t>业务参号</w:t>
            </w:r>
          </w:p>
        </w:tc>
        <w:tc>
          <w:tcPr>
            <w:tcW w:w="6383" w:type="dxa"/>
            <w:tcBorders>
              <w:top w:val="single" w:sz="6" w:space="0" w:color="auto"/>
              <w:left w:val="single" w:sz="6" w:space="0" w:color="auto"/>
              <w:bottom w:val="single" w:sz="6" w:space="0" w:color="auto"/>
              <w:right w:val="single" w:sz="6" w:space="0" w:color="auto"/>
            </w:tcBorders>
            <w:vAlign w:val="center"/>
          </w:tcPr>
          <w:p w14:paraId="4596D0B0" w14:textId="77777777" w:rsidR="00A052DC" w:rsidRDefault="009F0A60">
            <w:pPr>
              <w:rPr>
                <w:rFonts w:ascii="黑体" w:eastAsia="黑体" w:hAnsi="黑体"/>
                <w:sz w:val="20"/>
                <w:szCs w:val="20"/>
              </w:rPr>
            </w:pPr>
            <w:r>
              <w:rPr>
                <w:rFonts w:ascii="黑体" w:eastAsia="黑体" w:hAnsi="黑体" w:hint="eastAsia"/>
                <w:sz w:val="20"/>
                <w:szCs w:val="20"/>
              </w:rPr>
              <w:t>该编码用于标识金融机构报送的每一条数据，按给定规则编码，便于进行增删改查等操作。编制规则：</w:t>
            </w:r>
            <w:r>
              <w:rPr>
                <w:rFonts w:ascii="黑体" w:eastAsia="黑体" w:hAnsi="黑体"/>
                <w:sz w:val="20"/>
                <w:szCs w:val="20"/>
              </w:rPr>
              <w:t>27</w:t>
            </w:r>
            <w:r>
              <w:rPr>
                <w:rFonts w:ascii="黑体" w:eastAsia="黑体" w:hAnsi="黑体" w:hint="eastAsia"/>
                <w:sz w:val="20"/>
                <w:szCs w:val="20"/>
              </w:rPr>
              <w:t>位，</w:t>
            </w:r>
            <w:r>
              <w:rPr>
                <w:rFonts w:ascii="黑体" w:eastAsia="黑体" w:hAnsi="黑体"/>
                <w:sz w:val="20"/>
                <w:szCs w:val="20"/>
              </w:rPr>
              <w:t>T+</w:t>
            </w:r>
            <w:r>
              <w:rPr>
                <w:rFonts w:ascii="黑体" w:eastAsia="黑体" w:hAnsi="黑体" w:hint="eastAsia"/>
                <w:sz w:val="20"/>
                <w:szCs w:val="20"/>
              </w:rPr>
              <w:t>发卡网点所在地外汇局代码（</w:t>
            </w:r>
            <w:r>
              <w:rPr>
                <w:rFonts w:ascii="黑体" w:eastAsia="黑体" w:hAnsi="黑体"/>
                <w:sz w:val="20"/>
                <w:szCs w:val="20"/>
              </w:rPr>
              <w:t xml:space="preserve">6 </w:t>
            </w:r>
            <w:r>
              <w:rPr>
                <w:rFonts w:ascii="黑体" w:eastAsia="黑体" w:hAnsi="黑体" w:hint="eastAsia"/>
                <w:sz w:val="20"/>
                <w:szCs w:val="20"/>
              </w:rPr>
              <w:t>位）</w:t>
            </w:r>
            <w:r>
              <w:rPr>
                <w:rFonts w:ascii="黑体" w:eastAsia="黑体" w:hAnsi="黑体"/>
                <w:sz w:val="20"/>
                <w:szCs w:val="20"/>
              </w:rPr>
              <w:t>+</w:t>
            </w:r>
            <w:r>
              <w:rPr>
                <w:rFonts w:ascii="黑体" w:eastAsia="黑体" w:hAnsi="黑体" w:hint="eastAsia"/>
                <w:sz w:val="20"/>
                <w:szCs w:val="20"/>
              </w:rPr>
              <w:t>金融机构代码（</w:t>
            </w:r>
            <w:r>
              <w:rPr>
                <w:rFonts w:ascii="黑体" w:eastAsia="黑体" w:hAnsi="黑体"/>
                <w:sz w:val="20"/>
                <w:szCs w:val="20"/>
              </w:rPr>
              <w:t>4</w:t>
            </w:r>
            <w:r>
              <w:rPr>
                <w:rFonts w:ascii="黑体" w:eastAsia="黑体" w:hAnsi="黑体" w:hint="eastAsia"/>
                <w:sz w:val="20"/>
                <w:szCs w:val="20"/>
              </w:rPr>
              <w:t>位）</w:t>
            </w:r>
            <w:r>
              <w:rPr>
                <w:rFonts w:ascii="黑体" w:eastAsia="黑体" w:hAnsi="黑体"/>
                <w:sz w:val="20"/>
                <w:szCs w:val="20"/>
              </w:rPr>
              <w:t>+</w:t>
            </w:r>
            <w:r>
              <w:rPr>
                <w:rFonts w:ascii="黑体" w:eastAsia="黑体" w:hAnsi="黑体" w:hint="eastAsia"/>
                <w:sz w:val="20"/>
                <w:szCs w:val="20"/>
              </w:rPr>
              <w:t>交易日期（</w:t>
            </w:r>
            <w:r>
              <w:rPr>
                <w:rFonts w:ascii="黑体" w:eastAsia="黑体" w:hAnsi="黑体"/>
                <w:sz w:val="20"/>
                <w:szCs w:val="20"/>
              </w:rPr>
              <w:t>8</w:t>
            </w:r>
            <w:r>
              <w:rPr>
                <w:rFonts w:ascii="黑体" w:eastAsia="黑体" w:hAnsi="黑体" w:hint="eastAsia"/>
                <w:sz w:val="20"/>
                <w:szCs w:val="20"/>
              </w:rPr>
              <w:t>位，yyyymmdd）</w:t>
            </w:r>
            <w:r>
              <w:rPr>
                <w:rFonts w:ascii="黑体" w:eastAsia="黑体" w:hAnsi="黑体"/>
                <w:sz w:val="20"/>
                <w:szCs w:val="20"/>
              </w:rPr>
              <w:t>+</w:t>
            </w:r>
            <w:r>
              <w:rPr>
                <w:rFonts w:ascii="黑体" w:eastAsia="黑体" w:hAnsi="黑体" w:hint="eastAsia"/>
                <w:sz w:val="20"/>
                <w:szCs w:val="20"/>
              </w:rPr>
              <w:t>银行卡类型（</w:t>
            </w:r>
            <w:r>
              <w:rPr>
                <w:rFonts w:ascii="黑体" w:eastAsia="黑体" w:hAnsi="黑体"/>
                <w:sz w:val="20"/>
                <w:szCs w:val="20"/>
              </w:rPr>
              <w:t>1-</w:t>
            </w:r>
            <w:r>
              <w:rPr>
                <w:rFonts w:ascii="黑体" w:eastAsia="黑体" w:hAnsi="黑体" w:hint="eastAsia"/>
                <w:sz w:val="20"/>
                <w:szCs w:val="20"/>
              </w:rPr>
              <w:t>借记卡；</w:t>
            </w:r>
            <w:r>
              <w:rPr>
                <w:rFonts w:ascii="黑体" w:eastAsia="黑体" w:hAnsi="黑体"/>
                <w:sz w:val="20"/>
                <w:szCs w:val="20"/>
              </w:rPr>
              <w:t>2-</w:t>
            </w:r>
            <w:r>
              <w:rPr>
                <w:rFonts w:ascii="黑体" w:eastAsia="黑体" w:hAnsi="黑体" w:hint="eastAsia"/>
                <w:sz w:val="20"/>
                <w:szCs w:val="20"/>
              </w:rPr>
              <w:t>贷记卡；</w:t>
            </w:r>
            <w:r>
              <w:rPr>
                <w:rFonts w:ascii="黑体" w:eastAsia="黑体" w:hAnsi="黑体"/>
                <w:sz w:val="20"/>
                <w:szCs w:val="20"/>
              </w:rPr>
              <w:t>3-</w:t>
            </w:r>
            <w:r>
              <w:rPr>
                <w:rFonts w:ascii="黑体" w:eastAsia="黑体" w:hAnsi="黑体" w:hint="eastAsia"/>
                <w:sz w:val="20"/>
                <w:szCs w:val="20"/>
              </w:rPr>
              <w:t>准贷记卡）</w:t>
            </w:r>
            <w:r>
              <w:rPr>
                <w:rFonts w:ascii="黑体" w:eastAsia="黑体" w:hAnsi="黑体"/>
                <w:sz w:val="20"/>
                <w:szCs w:val="20"/>
              </w:rPr>
              <w:t>+</w:t>
            </w:r>
            <w:r>
              <w:rPr>
                <w:rFonts w:ascii="黑体" w:eastAsia="黑体" w:hAnsi="黑体" w:hint="eastAsia"/>
                <w:sz w:val="20"/>
                <w:szCs w:val="20"/>
              </w:rPr>
              <w:t>顺序号（</w:t>
            </w:r>
            <w:r>
              <w:rPr>
                <w:rFonts w:ascii="黑体" w:eastAsia="黑体" w:hAnsi="黑体"/>
                <w:sz w:val="20"/>
                <w:szCs w:val="20"/>
              </w:rPr>
              <w:t>7</w:t>
            </w:r>
            <w:r>
              <w:rPr>
                <w:rFonts w:ascii="黑体" w:eastAsia="黑体" w:hAnsi="黑体" w:hint="eastAsia"/>
                <w:sz w:val="20"/>
                <w:szCs w:val="20"/>
              </w:rPr>
              <w:t>位，从</w:t>
            </w:r>
            <w:r>
              <w:rPr>
                <w:rFonts w:ascii="黑体" w:eastAsia="黑体" w:hAnsi="黑体"/>
                <w:sz w:val="20"/>
                <w:szCs w:val="20"/>
              </w:rPr>
              <w:t>0000001</w:t>
            </w:r>
            <w:r>
              <w:rPr>
                <w:rFonts w:ascii="黑体" w:eastAsia="黑体" w:hAnsi="黑体" w:hint="eastAsia"/>
                <w:sz w:val="20"/>
                <w:szCs w:val="20"/>
              </w:rPr>
              <w:t>开始增加）。</w:t>
            </w:r>
          </w:p>
        </w:tc>
      </w:tr>
      <w:tr w:rsidR="00A052DC" w14:paraId="11292B11" w14:textId="77777777">
        <w:trPr>
          <w:jc w:val="center"/>
        </w:trPr>
        <w:tc>
          <w:tcPr>
            <w:tcW w:w="2009" w:type="dxa"/>
            <w:vAlign w:val="center"/>
          </w:tcPr>
          <w:p w14:paraId="77D39233" w14:textId="77777777" w:rsidR="00A052DC" w:rsidRDefault="009F0A60">
            <w:pPr>
              <w:jc w:val="left"/>
              <w:rPr>
                <w:rFonts w:ascii="黑体" w:eastAsia="黑体" w:hAnsi="黑体"/>
                <w:color w:val="000000"/>
                <w:kern w:val="0"/>
                <w:sz w:val="20"/>
                <w:szCs w:val="20"/>
              </w:rPr>
            </w:pPr>
            <w:r>
              <w:rPr>
                <w:rFonts w:ascii="黑体" w:eastAsia="黑体" w:hAnsi="黑体" w:hint="eastAsia"/>
                <w:color w:val="000000"/>
                <w:kern w:val="0"/>
                <w:sz w:val="20"/>
                <w:szCs w:val="20"/>
              </w:rPr>
              <w:t>持卡人身份证件类型</w:t>
            </w:r>
          </w:p>
        </w:tc>
        <w:tc>
          <w:tcPr>
            <w:tcW w:w="6383" w:type="dxa"/>
            <w:vAlign w:val="center"/>
          </w:tcPr>
          <w:p w14:paraId="0A9CB1E1" w14:textId="77777777" w:rsidR="00A052DC" w:rsidRDefault="009F0A60">
            <w:pPr>
              <w:rPr>
                <w:rFonts w:ascii="黑体" w:eastAsia="黑体" w:hAnsi="黑体"/>
                <w:kern w:val="0"/>
                <w:sz w:val="20"/>
                <w:szCs w:val="20"/>
              </w:rPr>
            </w:pPr>
            <w:r>
              <w:rPr>
                <w:rFonts w:ascii="黑体" w:eastAsia="黑体" w:hAnsi="黑体" w:hint="eastAsia"/>
                <w:kern w:val="0"/>
                <w:sz w:val="20"/>
                <w:szCs w:val="20"/>
              </w:rPr>
              <w:t>持卡人办理银行卡所使用的身份证件类型</w:t>
            </w:r>
          </w:p>
          <w:p w14:paraId="3860C840" w14:textId="77777777" w:rsidR="00A052DC" w:rsidRDefault="009F0A60">
            <w:pPr>
              <w:rPr>
                <w:rFonts w:ascii="黑体" w:eastAsia="黑体" w:hAnsi="黑体"/>
                <w:kern w:val="0"/>
                <w:sz w:val="20"/>
                <w:szCs w:val="20"/>
              </w:rPr>
            </w:pPr>
            <w:r>
              <w:rPr>
                <w:rFonts w:ascii="黑体" w:eastAsia="黑体" w:hAnsi="黑体" w:hint="eastAsia"/>
                <w:kern w:val="0"/>
                <w:sz w:val="20"/>
                <w:szCs w:val="20"/>
              </w:rPr>
              <w:t>境内个人：</w:t>
            </w:r>
          </w:p>
          <w:p w14:paraId="73EF0BF9" w14:textId="77777777" w:rsidR="00A052DC" w:rsidRDefault="009F0A60">
            <w:pPr>
              <w:rPr>
                <w:rFonts w:ascii="黑体" w:eastAsia="黑体" w:hAnsi="黑体"/>
                <w:kern w:val="0"/>
                <w:sz w:val="20"/>
                <w:szCs w:val="20"/>
              </w:rPr>
            </w:pPr>
            <w:r>
              <w:rPr>
                <w:rFonts w:ascii="黑体" w:eastAsia="黑体" w:hAnsi="黑体"/>
                <w:kern w:val="0"/>
                <w:sz w:val="20"/>
                <w:szCs w:val="20"/>
              </w:rPr>
              <w:t>01</w:t>
            </w:r>
            <w:r>
              <w:rPr>
                <w:rFonts w:ascii="黑体" w:eastAsia="黑体" w:hAnsi="黑体" w:hint="eastAsia"/>
                <w:kern w:val="0"/>
                <w:sz w:val="20"/>
                <w:szCs w:val="20"/>
              </w:rPr>
              <w:t>居民身份证</w:t>
            </w:r>
          </w:p>
          <w:p w14:paraId="34AB4FA9" w14:textId="77777777" w:rsidR="00A052DC" w:rsidRDefault="009F0A60">
            <w:pPr>
              <w:rPr>
                <w:rFonts w:ascii="黑体" w:eastAsia="黑体" w:hAnsi="黑体"/>
                <w:kern w:val="0"/>
                <w:sz w:val="20"/>
                <w:szCs w:val="20"/>
              </w:rPr>
            </w:pPr>
            <w:r>
              <w:rPr>
                <w:rFonts w:ascii="黑体" w:eastAsia="黑体" w:hAnsi="黑体"/>
                <w:kern w:val="0"/>
                <w:sz w:val="20"/>
                <w:szCs w:val="20"/>
              </w:rPr>
              <w:t>02</w:t>
            </w:r>
            <w:r>
              <w:rPr>
                <w:rFonts w:ascii="黑体" w:eastAsia="黑体" w:hAnsi="黑体" w:hint="eastAsia"/>
                <w:kern w:val="0"/>
                <w:sz w:val="20"/>
                <w:szCs w:val="20"/>
              </w:rPr>
              <w:t>军人身份证件</w:t>
            </w:r>
          </w:p>
          <w:p w14:paraId="2B1BD825" w14:textId="77777777" w:rsidR="00A052DC" w:rsidRDefault="009F0A60">
            <w:pPr>
              <w:rPr>
                <w:rFonts w:ascii="黑体" w:eastAsia="黑体" w:hAnsi="黑体"/>
                <w:kern w:val="0"/>
                <w:sz w:val="20"/>
                <w:szCs w:val="20"/>
              </w:rPr>
            </w:pPr>
            <w:r>
              <w:rPr>
                <w:rFonts w:ascii="黑体" w:eastAsia="黑体" w:hAnsi="黑体"/>
                <w:kern w:val="0"/>
                <w:sz w:val="20"/>
                <w:szCs w:val="20"/>
              </w:rPr>
              <w:t>03</w:t>
            </w:r>
            <w:r>
              <w:rPr>
                <w:rFonts w:ascii="黑体" w:eastAsia="黑体" w:hAnsi="黑体" w:hint="eastAsia"/>
                <w:kern w:val="0"/>
                <w:sz w:val="20"/>
                <w:szCs w:val="20"/>
              </w:rPr>
              <w:t>武装警察身份证件</w:t>
            </w:r>
          </w:p>
          <w:p w14:paraId="663FBD6F" w14:textId="77777777" w:rsidR="00A052DC" w:rsidRDefault="009F0A60">
            <w:pPr>
              <w:rPr>
                <w:rFonts w:ascii="黑体" w:eastAsia="黑体" w:hAnsi="黑体"/>
                <w:kern w:val="0"/>
                <w:sz w:val="20"/>
                <w:szCs w:val="20"/>
              </w:rPr>
            </w:pPr>
            <w:r>
              <w:rPr>
                <w:rFonts w:ascii="黑体" w:eastAsia="黑体" w:hAnsi="黑体" w:hint="eastAsia"/>
                <w:kern w:val="0"/>
                <w:sz w:val="20"/>
                <w:szCs w:val="20"/>
              </w:rPr>
              <w:t>境外个人：</w:t>
            </w:r>
          </w:p>
          <w:p w14:paraId="36533BCB" w14:textId="77777777" w:rsidR="00A052DC" w:rsidRDefault="009F0A60">
            <w:pPr>
              <w:rPr>
                <w:rFonts w:ascii="黑体" w:eastAsia="黑体" w:hAnsi="黑体"/>
                <w:kern w:val="0"/>
                <w:sz w:val="20"/>
                <w:szCs w:val="20"/>
              </w:rPr>
            </w:pPr>
            <w:r>
              <w:rPr>
                <w:rFonts w:ascii="黑体" w:eastAsia="黑体" w:hAnsi="黑体"/>
                <w:kern w:val="0"/>
                <w:sz w:val="20"/>
                <w:szCs w:val="20"/>
              </w:rPr>
              <w:t>04</w:t>
            </w:r>
            <w:r>
              <w:rPr>
                <w:rFonts w:ascii="黑体" w:eastAsia="黑体" w:hAnsi="黑体" w:hint="eastAsia"/>
                <w:kern w:val="0"/>
                <w:sz w:val="20"/>
                <w:szCs w:val="20"/>
              </w:rPr>
              <w:t>护照</w:t>
            </w:r>
          </w:p>
          <w:p w14:paraId="3229A6E0" w14:textId="77777777" w:rsidR="00A052DC" w:rsidRDefault="009F0A60">
            <w:pPr>
              <w:rPr>
                <w:rFonts w:ascii="黑体" w:eastAsia="黑体" w:hAnsi="黑体"/>
                <w:kern w:val="0"/>
                <w:sz w:val="20"/>
                <w:szCs w:val="20"/>
              </w:rPr>
            </w:pPr>
            <w:r>
              <w:rPr>
                <w:rFonts w:ascii="黑体" w:eastAsia="黑体" w:hAnsi="黑体"/>
                <w:kern w:val="0"/>
                <w:sz w:val="20"/>
                <w:szCs w:val="20"/>
              </w:rPr>
              <w:t>05</w:t>
            </w:r>
            <w:r>
              <w:rPr>
                <w:rFonts w:ascii="黑体" w:eastAsia="黑体" w:hAnsi="黑体" w:hint="eastAsia"/>
                <w:kern w:val="0"/>
                <w:sz w:val="20"/>
                <w:szCs w:val="20"/>
              </w:rPr>
              <w:t>外国人永久居留身份证</w:t>
            </w:r>
          </w:p>
          <w:p w14:paraId="02F3A7D6" w14:textId="77777777" w:rsidR="00A052DC" w:rsidRDefault="009F0A60">
            <w:pPr>
              <w:rPr>
                <w:rFonts w:ascii="黑体" w:eastAsia="黑体" w:hAnsi="黑体"/>
                <w:kern w:val="0"/>
                <w:sz w:val="20"/>
                <w:szCs w:val="20"/>
              </w:rPr>
            </w:pPr>
            <w:r>
              <w:rPr>
                <w:rFonts w:ascii="黑体" w:eastAsia="黑体" w:hAnsi="黑体"/>
                <w:kern w:val="0"/>
                <w:sz w:val="20"/>
                <w:szCs w:val="20"/>
              </w:rPr>
              <w:t>06</w:t>
            </w:r>
            <w:r>
              <w:rPr>
                <w:rFonts w:ascii="黑体" w:eastAsia="黑体" w:hAnsi="黑体" w:hint="eastAsia"/>
                <w:kern w:val="0"/>
                <w:sz w:val="20"/>
                <w:szCs w:val="20"/>
              </w:rPr>
              <w:t>港澳居民来往内地通行证</w:t>
            </w:r>
          </w:p>
          <w:p w14:paraId="587A62A8" w14:textId="77777777" w:rsidR="00A052DC" w:rsidRDefault="009F0A60">
            <w:pPr>
              <w:rPr>
                <w:rFonts w:ascii="黑体" w:eastAsia="黑体" w:hAnsi="黑体"/>
                <w:kern w:val="0"/>
                <w:sz w:val="20"/>
                <w:szCs w:val="20"/>
              </w:rPr>
            </w:pPr>
            <w:r>
              <w:rPr>
                <w:rFonts w:ascii="黑体" w:eastAsia="黑体" w:hAnsi="黑体"/>
                <w:kern w:val="0"/>
                <w:sz w:val="20"/>
                <w:szCs w:val="20"/>
              </w:rPr>
              <w:t>07</w:t>
            </w:r>
            <w:r>
              <w:rPr>
                <w:rFonts w:ascii="黑体" w:eastAsia="黑体" w:hAnsi="黑体" w:hint="eastAsia"/>
                <w:kern w:val="0"/>
                <w:sz w:val="20"/>
                <w:szCs w:val="20"/>
              </w:rPr>
              <w:t>台湾居民来往大陆通行证</w:t>
            </w:r>
          </w:p>
          <w:p w14:paraId="6A279D6C" w14:textId="77777777" w:rsidR="00A052DC" w:rsidRDefault="009F0A60">
            <w:pPr>
              <w:rPr>
                <w:rFonts w:ascii="黑体" w:eastAsia="黑体" w:hAnsi="黑体"/>
                <w:kern w:val="0"/>
                <w:sz w:val="20"/>
                <w:szCs w:val="20"/>
              </w:rPr>
            </w:pPr>
            <w:r>
              <w:rPr>
                <w:rFonts w:ascii="黑体" w:eastAsia="黑体" w:hAnsi="黑体"/>
                <w:kern w:val="0"/>
                <w:sz w:val="20"/>
                <w:szCs w:val="20"/>
              </w:rPr>
              <w:t>09</w:t>
            </w:r>
            <w:r>
              <w:rPr>
                <w:rFonts w:ascii="黑体" w:eastAsia="黑体" w:hAnsi="黑体" w:hint="eastAsia"/>
                <w:kern w:val="0"/>
                <w:sz w:val="20"/>
                <w:szCs w:val="20"/>
              </w:rPr>
              <w:t>中国护照</w:t>
            </w:r>
          </w:p>
          <w:p w14:paraId="0CCF39A4" w14:textId="77777777" w:rsidR="00A052DC" w:rsidRDefault="009F0A60">
            <w:pPr>
              <w:rPr>
                <w:rFonts w:ascii="黑体" w:eastAsia="黑体" w:hAnsi="黑体"/>
                <w:kern w:val="0"/>
                <w:sz w:val="20"/>
                <w:szCs w:val="20"/>
              </w:rPr>
            </w:pPr>
            <w:r>
              <w:rPr>
                <w:rFonts w:ascii="黑体" w:eastAsia="黑体" w:hAnsi="黑体"/>
                <w:kern w:val="0"/>
                <w:sz w:val="20"/>
                <w:szCs w:val="20"/>
              </w:rPr>
              <w:t>10</w:t>
            </w:r>
            <w:r>
              <w:rPr>
                <w:rFonts w:ascii="黑体" w:eastAsia="黑体" w:hAnsi="黑体" w:hint="eastAsia"/>
                <w:kern w:val="0"/>
                <w:sz w:val="20"/>
                <w:szCs w:val="20"/>
              </w:rPr>
              <w:t>外交官证</w:t>
            </w:r>
          </w:p>
          <w:p w14:paraId="04E2F04B" w14:textId="77777777" w:rsidR="00A052DC" w:rsidRDefault="009F0A60">
            <w:pPr>
              <w:rPr>
                <w:rFonts w:ascii="黑体" w:eastAsia="黑体" w:hAnsi="黑体"/>
                <w:kern w:val="0"/>
                <w:sz w:val="20"/>
                <w:szCs w:val="20"/>
              </w:rPr>
            </w:pPr>
            <w:r>
              <w:rPr>
                <w:rFonts w:ascii="黑体" w:eastAsia="黑体" w:hAnsi="黑体"/>
                <w:kern w:val="0"/>
                <w:sz w:val="20"/>
                <w:szCs w:val="20"/>
              </w:rPr>
              <w:t>11</w:t>
            </w:r>
            <w:r>
              <w:rPr>
                <w:rFonts w:ascii="黑体" w:eastAsia="黑体" w:hAnsi="黑体" w:hint="eastAsia"/>
                <w:kern w:val="0"/>
                <w:sz w:val="20"/>
                <w:szCs w:val="20"/>
              </w:rPr>
              <w:t>其他身份证件</w:t>
            </w:r>
          </w:p>
        </w:tc>
      </w:tr>
      <w:tr w:rsidR="00A052DC" w14:paraId="6DE520EB" w14:textId="77777777">
        <w:trPr>
          <w:trHeight w:val="420"/>
          <w:jc w:val="center"/>
        </w:trPr>
        <w:tc>
          <w:tcPr>
            <w:tcW w:w="2009" w:type="dxa"/>
            <w:tcBorders>
              <w:top w:val="single" w:sz="4" w:space="0" w:color="auto"/>
            </w:tcBorders>
            <w:vAlign w:val="center"/>
          </w:tcPr>
          <w:p w14:paraId="7365D907" w14:textId="77777777" w:rsidR="00A052DC" w:rsidRDefault="009F0A60">
            <w:pPr>
              <w:jc w:val="left"/>
              <w:rPr>
                <w:rFonts w:ascii="黑体" w:eastAsia="黑体" w:hAnsi="黑体"/>
                <w:color w:val="000000"/>
                <w:kern w:val="0"/>
                <w:sz w:val="20"/>
                <w:szCs w:val="20"/>
              </w:rPr>
            </w:pPr>
            <w:r>
              <w:rPr>
                <w:rFonts w:ascii="黑体" w:eastAsia="黑体" w:hAnsi="黑体" w:hint="eastAsia"/>
                <w:color w:val="000000"/>
                <w:kern w:val="0"/>
                <w:sz w:val="20"/>
                <w:szCs w:val="20"/>
              </w:rPr>
              <w:t>持卡人国家</w:t>
            </w:r>
            <w:r>
              <w:rPr>
                <w:rFonts w:ascii="黑体" w:eastAsia="黑体" w:hAnsi="黑体"/>
                <w:color w:val="000000"/>
                <w:kern w:val="0"/>
                <w:sz w:val="20"/>
                <w:szCs w:val="20"/>
              </w:rPr>
              <w:t>/地区</w:t>
            </w:r>
          </w:p>
        </w:tc>
        <w:tc>
          <w:tcPr>
            <w:tcW w:w="6383" w:type="dxa"/>
            <w:tcBorders>
              <w:top w:val="single" w:sz="4" w:space="0" w:color="auto"/>
            </w:tcBorders>
            <w:vAlign w:val="center"/>
          </w:tcPr>
          <w:p w14:paraId="2543E80B" w14:textId="77777777" w:rsidR="00A052DC" w:rsidRDefault="009F0A60">
            <w:pPr>
              <w:rPr>
                <w:rFonts w:ascii="黑体" w:eastAsia="黑体" w:hAnsi="黑体"/>
                <w:sz w:val="20"/>
                <w:szCs w:val="20"/>
              </w:rPr>
            </w:pPr>
            <w:r>
              <w:rPr>
                <w:rFonts w:ascii="黑体" w:eastAsia="黑体" w:hAnsi="黑体" w:hint="eastAsia"/>
                <w:sz w:val="20"/>
                <w:szCs w:val="20"/>
              </w:rPr>
              <w:t>持卡人办理银行卡所使用的身份证件的签发国家</w:t>
            </w:r>
            <w:r>
              <w:rPr>
                <w:rFonts w:ascii="黑体" w:eastAsia="黑体" w:hAnsi="黑体"/>
                <w:sz w:val="20"/>
                <w:szCs w:val="20"/>
              </w:rPr>
              <w:t>/</w:t>
            </w:r>
            <w:r>
              <w:rPr>
                <w:rFonts w:ascii="黑体" w:eastAsia="黑体" w:hAnsi="黑体" w:hint="eastAsia"/>
                <w:sz w:val="20"/>
                <w:szCs w:val="20"/>
              </w:rPr>
              <w:t>地区</w:t>
            </w:r>
          </w:p>
          <w:p w14:paraId="3929A345" w14:textId="77777777" w:rsidR="00A052DC" w:rsidRDefault="009F0A60">
            <w:pPr>
              <w:rPr>
                <w:rFonts w:ascii="黑体" w:eastAsia="黑体" w:hAnsi="黑体"/>
                <w:kern w:val="0"/>
                <w:sz w:val="20"/>
                <w:szCs w:val="20"/>
              </w:rPr>
            </w:pPr>
            <w:r>
              <w:rPr>
                <w:rFonts w:ascii="黑体" w:eastAsia="黑体" w:hAnsi="黑体" w:hint="eastAsia"/>
                <w:kern w:val="0"/>
                <w:sz w:val="20"/>
                <w:szCs w:val="20"/>
              </w:rPr>
              <w:t>境内个人，全部填写中国。</w:t>
            </w:r>
          </w:p>
          <w:p w14:paraId="0D696D87" w14:textId="77777777" w:rsidR="00A052DC" w:rsidRDefault="009F0A60">
            <w:pPr>
              <w:rPr>
                <w:rFonts w:ascii="黑体" w:eastAsia="黑体" w:hAnsi="黑体"/>
                <w:kern w:val="0"/>
                <w:sz w:val="20"/>
                <w:szCs w:val="20"/>
              </w:rPr>
            </w:pPr>
            <w:r>
              <w:rPr>
                <w:rFonts w:ascii="黑体" w:eastAsia="黑体" w:hAnsi="黑体" w:hint="eastAsia"/>
                <w:kern w:val="0"/>
                <w:sz w:val="20"/>
                <w:szCs w:val="20"/>
              </w:rPr>
              <w:t>身份证件类型为中国护照的，填写中国。</w:t>
            </w:r>
          </w:p>
          <w:p w14:paraId="209B9742" w14:textId="77777777" w:rsidR="00A052DC" w:rsidRDefault="009F0A60">
            <w:pPr>
              <w:rPr>
                <w:rFonts w:ascii="黑体" w:eastAsia="黑体" w:hAnsi="黑体"/>
                <w:kern w:val="0"/>
                <w:sz w:val="20"/>
                <w:szCs w:val="20"/>
              </w:rPr>
            </w:pPr>
            <w:r>
              <w:rPr>
                <w:rFonts w:ascii="黑体" w:eastAsia="黑体" w:hAnsi="黑体" w:hint="eastAsia"/>
                <w:kern w:val="0"/>
                <w:sz w:val="20"/>
                <w:szCs w:val="20"/>
              </w:rPr>
              <w:t>港澳居民来往内地通行证，填写香港</w:t>
            </w:r>
            <w:r>
              <w:rPr>
                <w:rFonts w:ascii="黑体" w:eastAsia="黑体" w:hAnsi="黑体"/>
                <w:kern w:val="0"/>
                <w:sz w:val="20"/>
                <w:szCs w:val="20"/>
              </w:rPr>
              <w:t>/</w:t>
            </w:r>
            <w:r>
              <w:rPr>
                <w:rFonts w:ascii="黑体" w:eastAsia="黑体" w:hAnsi="黑体" w:hint="eastAsia"/>
                <w:kern w:val="0"/>
                <w:sz w:val="20"/>
                <w:szCs w:val="20"/>
              </w:rPr>
              <w:t>澳门。</w:t>
            </w:r>
          </w:p>
          <w:p w14:paraId="0C066FD5" w14:textId="77777777" w:rsidR="00A052DC" w:rsidRDefault="009F0A60">
            <w:pPr>
              <w:rPr>
                <w:rFonts w:ascii="黑体" w:eastAsia="黑体" w:hAnsi="黑体"/>
                <w:kern w:val="0"/>
                <w:sz w:val="20"/>
                <w:szCs w:val="20"/>
              </w:rPr>
            </w:pPr>
            <w:r>
              <w:rPr>
                <w:rFonts w:ascii="黑体" w:eastAsia="黑体" w:hAnsi="黑体" w:hint="eastAsia"/>
                <w:kern w:val="0"/>
                <w:sz w:val="20"/>
                <w:szCs w:val="20"/>
              </w:rPr>
              <w:t>台湾居民来往大陆通行证，填写台湾。</w:t>
            </w:r>
          </w:p>
          <w:p w14:paraId="6DFD0256" w14:textId="77777777" w:rsidR="00A052DC" w:rsidRDefault="009F0A60">
            <w:pPr>
              <w:rPr>
                <w:rFonts w:ascii="黑体" w:eastAsia="黑体" w:hAnsi="黑体"/>
                <w:kern w:val="0"/>
                <w:sz w:val="20"/>
                <w:szCs w:val="20"/>
              </w:rPr>
            </w:pPr>
            <w:r>
              <w:rPr>
                <w:rFonts w:ascii="黑体" w:eastAsia="黑体" w:hAnsi="黑体" w:hint="eastAsia"/>
                <w:kern w:val="0"/>
                <w:sz w:val="20"/>
                <w:szCs w:val="20"/>
              </w:rPr>
              <w:t>其他境外个人（含外国护照</w:t>
            </w:r>
            <w:r>
              <w:rPr>
                <w:rFonts w:ascii="黑体" w:eastAsia="黑体" w:hAnsi="黑体"/>
                <w:kern w:val="0"/>
                <w:sz w:val="20"/>
                <w:szCs w:val="20"/>
              </w:rPr>
              <w:t>/</w:t>
            </w:r>
            <w:r>
              <w:rPr>
                <w:rFonts w:ascii="黑体" w:eastAsia="黑体" w:hAnsi="黑体" w:hint="eastAsia"/>
                <w:kern w:val="0"/>
                <w:sz w:val="20"/>
                <w:szCs w:val="20"/>
              </w:rPr>
              <w:t>外国人永久居留身份证），填写中国之外的其他国家</w:t>
            </w:r>
            <w:r>
              <w:rPr>
                <w:rFonts w:ascii="黑体" w:eastAsia="黑体" w:hAnsi="黑体"/>
                <w:kern w:val="0"/>
                <w:sz w:val="20"/>
                <w:szCs w:val="20"/>
              </w:rPr>
              <w:t>/</w:t>
            </w:r>
            <w:r>
              <w:rPr>
                <w:rFonts w:ascii="黑体" w:eastAsia="黑体" w:hAnsi="黑体" w:hint="eastAsia"/>
                <w:kern w:val="0"/>
                <w:sz w:val="20"/>
                <w:szCs w:val="20"/>
              </w:rPr>
              <w:t>地区。</w:t>
            </w:r>
          </w:p>
          <w:p w14:paraId="1E4F93C8" w14:textId="77777777" w:rsidR="00A052DC" w:rsidRDefault="009F0A60">
            <w:pPr>
              <w:rPr>
                <w:rFonts w:ascii="黑体" w:eastAsia="黑体" w:hAnsi="黑体"/>
                <w:kern w:val="0"/>
                <w:sz w:val="20"/>
                <w:szCs w:val="20"/>
              </w:rPr>
            </w:pPr>
            <w:r>
              <w:rPr>
                <w:rFonts w:ascii="黑体" w:eastAsia="黑体" w:hAnsi="黑体" w:hint="eastAsia"/>
                <w:kern w:val="0"/>
                <w:sz w:val="20"/>
                <w:szCs w:val="20"/>
              </w:rPr>
              <w:t>如无法获得持卡人身份证件的签发国家</w:t>
            </w:r>
            <w:r>
              <w:rPr>
                <w:rFonts w:ascii="黑体" w:eastAsia="黑体" w:hAnsi="黑体"/>
                <w:kern w:val="0"/>
                <w:sz w:val="20"/>
                <w:szCs w:val="20"/>
              </w:rPr>
              <w:t>/地区</w:t>
            </w:r>
            <w:r>
              <w:rPr>
                <w:rFonts w:ascii="黑体" w:eastAsia="黑体" w:hAnsi="黑体" w:hint="eastAsia"/>
                <w:kern w:val="0"/>
                <w:sz w:val="20"/>
                <w:szCs w:val="20"/>
              </w:rPr>
              <w:t>，</w:t>
            </w:r>
            <w:r>
              <w:rPr>
                <w:rFonts w:ascii="黑体" w:eastAsia="黑体" w:hAnsi="黑体"/>
                <w:kern w:val="0"/>
                <w:sz w:val="20"/>
                <w:szCs w:val="20"/>
              </w:rPr>
              <w:t>填写其他。</w:t>
            </w:r>
          </w:p>
        </w:tc>
      </w:tr>
      <w:tr w:rsidR="00A052DC" w14:paraId="5EBCAED1" w14:textId="77777777">
        <w:trPr>
          <w:jc w:val="center"/>
        </w:trPr>
        <w:tc>
          <w:tcPr>
            <w:tcW w:w="2009" w:type="dxa"/>
            <w:vAlign w:val="center"/>
          </w:tcPr>
          <w:p w14:paraId="0A2CB93B" w14:textId="77777777" w:rsidR="00A052DC" w:rsidRDefault="009F0A60">
            <w:pPr>
              <w:jc w:val="left"/>
              <w:rPr>
                <w:rFonts w:ascii="黑体" w:eastAsia="黑体" w:hAnsi="黑体"/>
                <w:color w:val="000000"/>
                <w:kern w:val="0"/>
                <w:sz w:val="20"/>
                <w:szCs w:val="20"/>
              </w:rPr>
            </w:pPr>
            <w:r>
              <w:rPr>
                <w:rFonts w:ascii="黑体" w:eastAsia="黑体" w:hAnsi="黑体" w:hint="eastAsia"/>
                <w:color w:val="000000"/>
                <w:kern w:val="0"/>
                <w:sz w:val="20"/>
                <w:szCs w:val="20"/>
              </w:rPr>
              <w:t>身份证件号码</w:t>
            </w:r>
          </w:p>
        </w:tc>
        <w:tc>
          <w:tcPr>
            <w:tcW w:w="6383" w:type="dxa"/>
            <w:vAlign w:val="center"/>
          </w:tcPr>
          <w:p w14:paraId="70CAC899" w14:textId="77777777" w:rsidR="00A052DC" w:rsidRDefault="009F0A60">
            <w:pPr>
              <w:rPr>
                <w:rFonts w:ascii="黑体" w:eastAsia="黑体" w:hAnsi="黑体"/>
                <w:kern w:val="0"/>
                <w:sz w:val="20"/>
                <w:szCs w:val="20"/>
              </w:rPr>
            </w:pPr>
            <w:r>
              <w:rPr>
                <w:rFonts w:ascii="黑体" w:eastAsia="黑体" w:hAnsi="黑体" w:hint="eastAsia"/>
                <w:kern w:val="0"/>
                <w:sz w:val="20"/>
                <w:szCs w:val="20"/>
              </w:rPr>
              <w:t>境内个人：</w:t>
            </w:r>
          </w:p>
          <w:p w14:paraId="2E7E9051" w14:textId="77777777" w:rsidR="00A052DC" w:rsidRDefault="009F0A60">
            <w:pPr>
              <w:rPr>
                <w:rFonts w:ascii="黑体" w:eastAsia="黑体" w:hAnsi="黑体"/>
                <w:kern w:val="0"/>
                <w:sz w:val="20"/>
                <w:szCs w:val="20"/>
              </w:rPr>
            </w:pPr>
            <w:r>
              <w:rPr>
                <w:rFonts w:ascii="黑体" w:eastAsia="黑体" w:hAnsi="黑体" w:hint="eastAsia"/>
                <w:kern w:val="0"/>
                <w:sz w:val="20"/>
                <w:szCs w:val="20"/>
              </w:rPr>
              <w:t>身份证件类型为身份证的，</w:t>
            </w:r>
            <w:r>
              <w:rPr>
                <w:rFonts w:ascii="黑体" w:eastAsia="黑体" w:hAnsi="黑体"/>
                <w:kern w:val="0"/>
                <w:sz w:val="20"/>
                <w:szCs w:val="20"/>
              </w:rPr>
              <w:t>18</w:t>
            </w:r>
            <w:r>
              <w:rPr>
                <w:rFonts w:ascii="黑体" w:eastAsia="黑体" w:hAnsi="黑体" w:hint="eastAsia"/>
                <w:kern w:val="0"/>
                <w:sz w:val="20"/>
                <w:szCs w:val="20"/>
              </w:rPr>
              <w:t>位，由全部数字或数字加最末一位大写英文字符组成。符合公安部身份证号码校验规则。</w:t>
            </w:r>
          </w:p>
          <w:p w14:paraId="48733B48" w14:textId="77777777" w:rsidR="00A052DC" w:rsidRDefault="009F0A60">
            <w:pPr>
              <w:rPr>
                <w:rFonts w:ascii="黑体" w:eastAsia="黑体" w:hAnsi="黑体"/>
                <w:kern w:val="0"/>
                <w:sz w:val="20"/>
                <w:szCs w:val="20"/>
              </w:rPr>
            </w:pPr>
            <w:r>
              <w:rPr>
                <w:rFonts w:ascii="黑体" w:eastAsia="黑体" w:hAnsi="黑体" w:hint="eastAsia"/>
                <w:kern w:val="0"/>
                <w:sz w:val="20"/>
                <w:szCs w:val="20"/>
              </w:rPr>
              <w:t>境外个人：</w:t>
            </w:r>
          </w:p>
          <w:p w14:paraId="07B61A6B" w14:textId="77777777" w:rsidR="00A052DC" w:rsidRDefault="009F0A60">
            <w:pPr>
              <w:rPr>
                <w:rFonts w:ascii="黑体" w:eastAsia="黑体" w:hAnsi="黑体"/>
                <w:kern w:val="0"/>
                <w:sz w:val="20"/>
                <w:szCs w:val="20"/>
              </w:rPr>
            </w:pPr>
            <w:r>
              <w:rPr>
                <w:rFonts w:ascii="黑体" w:eastAsia="黑体" w:hAnsi="黑体" w:hint="eastAsia"/>
                <w:kern w:val="0"/>
                <w:sz w:val="20"/>
                <w:szCs w:val="20"/>
              </w:rPr>
              <w:t>身份证件类型为外国护照的，只允许输入大写字母和数字、中文。</w:t>
            </w:r>
          </w:p>
          <w:p w14:paraId="70202581" w14:textId="77777777" w:rsidR="00A052DC" w:rsidRDefault="009F0A60">
            <w:pPr>
              <w:rPr>
                <w:rFonts w:ascii="黑体" w:eastAsia="黑体" w:hAnsi="黑体"/>
                <w:kern w:val="0"/>
                <w:sz w:val="20"/>
                <w:szCs w:val="20"/>
              </w:rPr>
            </w:pPr>
            <w:r>
              <w:rPr>
                <w:rFonts w:ascii="黑体" w:eastAsia="黑体" w:hAnsi="黑体" w:hint="eastAsia"/>
                <w:kern w:val="0"/>
                <w:sz w:val="20"/>
                <w:szCs w:val="20"/>
              </w:rPr>
              <w:t>身份证件类型为外国人永久居留身份证的，填写15位外国人永久居留身份证号码（国别码</w:t>
            </w:r>
            <w:r>
              <w:rPr>
                <w:rFonts w:ascii="黑体" w:eastAsia="黑体" w:hAnsi="黑体"/>
                <w:kern w:val="0"/>
                <w:sz w:val="20"/>
                <w:szCs w:val="20"/>
              </w:rPr>
              <w:t>3</w:t>
            </w:r>
            <w:r>
              <w:rPr>
                <w:rFonts w:ascii="黑体" w:eastAsia="黑体" w:hAnsi="黑体" w:hint="eastAsia"/>
                <w:kern w:val="0"/>
                <w:sz w:val="20"/>
                <w:szCs w:val="20"/>
              </w:rPr>
              <w:t>位大写字母</w:t>
            </w:r>
            <w:r>
              <w:rPr>
                <w:rFonts w:ascii="黑体" w:eastAsia="黑体" w:hAnsi="黑体"/>
                <w:kern w:val="0"/>
                <w:sz w:val="20"/>
                <w:szCs w:val="20"/>
              </w:rPr>
              <w:t>+ 12</w:t>
            </w:r>
            <w:r>
              <w:rPr>
                <w:rFonts w:ascii="黑体" w:eastAsia="黑体" w:hAnsi="黑体" w:hint="eastAsia"/>
                <w:kern w:val="0"/>
                <w:sz w:val="20"/>
                <w:szCs w:val="20"/>
              </w:rPr>
              <w:t>位数字）。</w:t>
            </w:r>
          </w:p>
          <w:p w14:paraId="1C4BAD44" w14:textId="77777777" w:rsidR="00A052DC" w:rsidRDefault="009F0A60">
            <w:pPr>
              <w:rPr>
                <w:rFonts w:ascii="黑体" w:eastAsia="黑体" w:hAnsi="黑体"/>
                <w:kern w:val="0"/>
                <w:sz w:val="20"/>
                <w:szCs w:val="20"/>
              </w:rPr>
            </w:pPr>
            <w:r>
              <w:rPr>
                <w:rFonts w:ascii="黑体" w:eastAsia="黑体" w:hAnsi="黑体" w:hint="eastAsia"/>
                <w:kern w:val="0"/>
                <w:sz w:val="20"/>
                <w:szCs w:val="20"/>
              </w:rPr>
              <w:t>身份证件类型为港澳居民往来内地通行证的，输入通行证号（第一个字母是</w:t>
            </w:r>
            <w:r>
              <w:rPr>
                <w:rFonts w:ascii="黑体" w:eastAsia="黑体" w:hAnsi="黑体"/>
                <w:kern w:val="0"/>
                <w:sz w:val="20"/>
                <w:szCs w:val="20"/>
              </w:rPr>
              <w:t>H</w:t>
            </w:r>
            <w:r>
              <w:rPr>
                <w:rFonts w:ascii="黑体" w:eastAsia="黑体" w:hAnsi="黑体" w:hint="eastAsia"/>
                <w:kern w:val="0"/>
                <w:sz w:val="20"/>
                <w:szCs w:val="20"/>
              </w:rPr>
              <w:t>或者</w:t>
            </w:r>
            <w:r>
              <w:rPr>
                <w:rFonts w:ascii="黑体" w:eastAsia="黑体" w:hAnsi="黑体"/>
                <w:kern w:val="0"/>
                <w:sz w:val="20"/>
                <w:szCs w:val="20"/>
              </w:rPr>
              <w:t>M</w:t>
            </w:r>
            <w:r>
              <w:rPr>
                <w:rFonts w:ascii="黑体" w:eastAsia="黑体" w:hAnsi="黑体" w:hint="eastAsia"/>
                <w:kern w:val="0"/>
                <w:sz w:val="20"/>
                <w:szCs w:val="20"/>
              </w:rPr>
              <w:t>，后面共</w:t>
            </w:r>
            <w:r>
              <w:rPr>
                <w:rFonts w:ascii="黑体" w:eastAsia="黑体" w:hAnsi="黑体"/>
                <w:kern w:val="0"/>
                <w:sz w:val="20"/>
                <w:szCs w:val="20"/>
              </w:rPr>
              <w:t>8</w:t>
            </w:r>
            <w:r>
              <w:rPr>
                <w:rFonts w:ascii="黑体" w:eastAsia="黑体" w:hAnsi="黑体" w:hint="eastAsia"/>
                <w:kern w:val="0"/>
                <w:sz w:val="20"/>
                <w:szCs w:val="20"/>
              </w:rPr>
              <w:t>位数字。当首字母为</w:t>
            </w:r>
            <w:r>
              <w:rPr>
                <w:rFonts w:ascii="黑体" w:eastAsia="黑体" w:hAnsi="黑体"/>
                <w:kern w:val="0"/>
                <w:sz w:val="20"/>
                <w:szCs w:val="20"/>
              </w:rPr>
              <w:t>“H”时为</w:t>
            </w:r>
            <w:r>
              <w:rPr>
                <w:rFonts w:ascii="黑体" w:eastAsia="黑体" w:hAnsi="黑体" w:hint="eastAsia"/>
                <w:kern w:val="0"/>
                <w:sz w:val="20"/>
                <w:szCs w:val="20"/>
              </w:rPr>
              <w:t>“</w:t>
            </w:r>
            <w:r>
              <w:rPr>
                <w:rFonts w:ascii="黑体" w:eastAsia="黑体" w:hAnsi="黑体"/>
                <w:kern w:val="0"/>
                <w:sz w:val="20"/>
                <w:szCs w:val="20"/>
              </w:rPr>
              <w:t>香港</w:t>
            </w:r>
            <w:r>
              <w:rPr>
                <w:rFonts w:ascii="黑体" w:eastAsia="黑体" w:hAnsi="黑体" w:hint="eastAsia"/>
                <w:kern w:val="0"/>
                <w:sz w:val="20"/>
                <w:szCs w:val="20"/>
              </w:rPr>
              <w:t>”</w:t>
            </w:r>
            <w:r>
              <w:rPr>
                <w:rFonts w:ascii="黑体" w:eastAsia="黑体" w:hAnsi="黑体"/>
                <w:kern w:val="0"/>
                <w:sz w:val="20"/>
                <w:szCs w:val="20"/>
              </w:rPr>
              <w:t>，当首字母为“M”时为</w:t>
            </w:r>
            <w:r>
              <w:rPr>
                <w:rFonts w:ascii="黑体" w:eastAsia="黑体" w:hAnsi="黑体" w:hint="eastAsia"/>
                <w:kern w:val="0"/>
                <w:sz w:val="20"/>
                <w:szCs w:val="20"/>
              </w:rPr>
              <w:t>“</w:t>
            </w:r>
            <w:r>
              <w:rPr>
                <w:rFonts w:ascii="黑体" w:eastAsia="黑体" w:hAnsi="黑体"/>
                <w:kern w:val="0"/>
                <w:sz w:val="20"/>
                <w:szCs w:val="20"/>
              </w:rPr>
              <w:t>澳门</w:t>
            </w:r>
            <w:r>
              <w:rPr>
                <w:rFonts w:ascii="黑体" w:eastAsia="黑体" w:hAnsi="黑体" w:hint="eastAsia"/>
                <w:kern w:val="0"/>
                <w:sz w:val="20"/>
                <w:szCs w:val="20"/>
              </w:rPr>
              <w:t>”）。</w:t>
            </w:r>
          </w:p>
          <w:p w14:paraId="1E42D6A8" w14:textId="77777777" w:rsidR="00A052DC" w:rsidRDefault="009F0A60">
            <w:pPr>
              <w:rPr>
                <w:rFonts w:ascii="黑体" w:eastAsia="黑体" w:hAnsi="黑体"/>
                <w:kern w:val="0"/>
                <w:sz w:val="20"/>
                <w:szCs w:val="20"/>
              </w:rPr>
            </w:pPr>
            <w:r>
              <w:rPr>
                <w:rFonts w:ascii="黑体" w:eastAsia="黑体" w:hAnsi="黑体" w:hint="eastAsia"/>
                <w:kern w:val="0"/>
                <w:sz w:val="20"/>
                <w:szCs w:val="20"/>
              </w:rPr>
              <w:t>身份证件类型为台湾居民来往内地通行证的，输入通行证号。</w:t>
            </w:r>
          </w:p>
          <w:p w14:paraId="0531B36A" w14:textId="77777777" w:rsidR="00A052DC" w:rsidRDefault="009F0A60">
            <w:pPr>
              <w:rPr>
                <w:rFonts w:ascii="黑体" w:eastAsia="黑体" w:hAnsi="黑体"/>
                <w:kern w:val="0"/>
                <w:sz w:val="20"/>
                <w:szCs w:val="20"/>
              </w:rPr>
            </w:pPr>
            <w:r>
              <w:rPr>
                <w:rFonts w:ascii="黑体" w:eastAsia="黑体" w:hAnsi="黑体" w:hint="eastAsia"/>
                <w:kern w:val="0"/>
                <w:sz w:val="20"/>
                <w:szCs w:val="20"/>
              </w:rPr>
              <w:t>其他身份证件类型，按有关部门的相关要求进行校验。</w:t>
            </w:r>
          </w:p>
        </w:tc>
      </w:tr>
      <w:tr w:rsidR="00A052DC" w14:paraId="4F27BCC8" w14:textId="77777777">
        <w:trPr>
          <w:jc w:val="center"/>
        </w:trPr>
        <w:tc>
          <w:tcPr>
            <w:tcW w:w="2009" w:type="dxa"/>
            <w:vAlign w:val="center"/>
          </w:tcPr>
          <w:p w14:paraId="078B6271" w14:textId="77777777" w:rsidR="00A052DC" w:rsidRDefault="009F0A60">
            <w:pPr>
              <w:jc w:val="left"/>
              <w:rPr>
                <w:rFonts w:ascii="黑体" w:eastAsia="黑体" w:hAnsi="黑体"/>
                <w:color w:val="000000"/>
                <w:kern w:val="0"/>
                <w:sz w:val="20"/>
                <w:szCs w:val="20"/>
              </w:rPr>
            </w:pPr>
            <w:r>
              <w:rPr>
                <w:rFonts w:ascii="黑体" w:eastAsia="黑体" w:hAnsi="黑体" w:hint="eastAsia"/>
                <w:color w:val="000000"/>
                <w:kern w:val="0"/>
                <w:sz w:val="20"/>
                <w:szCs w:val="20"/>
              </w:rPr>
              <w:t>持卡人姓名</w:t>
            </w:r>
          </w:p>
        </w:tc>
        <w:tc>
          <w:tcPr>
            <w:tcW w:w="6383" w:type="dxa"/>
            <w:vAlign w:val="center"/>
          </w:tcPr>
          <w:p w14:paraId="094C4CB7" w14:textId="77777777" w:rsidR="00A052DC" w:rsidRDefault="009F0A60">
            <w:pPr>
              <w:rPr>
                <w:rFonts w:ascii="黑体" w:eastAsia="黑体" w:hAnsi="黑体"/>
                <w:kern w:val="0"/>
                <w:sz w:val="20"/>
                <w:szCs w:val="20"/>
              </w:rPr>
            </w:pPr>
            <w:r>
              <w:rPr>
                <w:rFonts w:ascii="黑体" w:eastAsia="黑体" w:hAnsi="黑体" w:hint="eastAsia"/>
                <w:kern w:val="0"/>
                <w:sz w:val="20"/>
                <w:szCs w:val="20"/>
              </w:rPr>
              <w:t>指持卡人开卡使用的有效身份证件上的姓名。</w:t>
            </w:r>
          </w:p>
        </w:tc>
      </w:tr>
      <w:tr w:rsidR="00A052DC" w14:paraId="7801C19D" w14:textId="77777777">
        <w:trPr>
          <w:jc w:val="center"/>
        </w:trPr>
        <w:tc>
          <w:tcPr>
            <w:tcW w:w="2009" w:type="dxa"/>
            <w:vAlign w:val="center"/>
          </w:tcPr>
          <w:p w14:paraId="42821641" w14:textId="77777777" w:rsidR="00A052DC" w:rsidRDefault="009F0A60">
            <w:pPr>
              <w:jc w:val="left"/>
              <w:rPr>
                <w:rFonts w:ascii="黑体" w:eastAsia="黑体" w:hAnsi="黑体"/>
                <w:color w:val="000000"/>
                <w:kern w:val="0"/>
                <w:sz w:val="20"/>
                <w:szCs w:val="20"/>
              </w:rPr>
            </w:pPr>
            <w:r>
              <w:rPr>
                <w:rFonts w:ascii="黑体" w:eastAsia="黑体" w:hAnsi="黑体" w:hint="eastAsia"/>
                <w:color w:val="000000"/>
                <w:kern w:val="0"/>
                <w:sz w:val="20"/>
                <w:szCs w:val="20"/>
              </w:rPr>
              <w:t>卡号</w:t>
            </w:r>
          </w:p>
        </w:tc>
        <w:tc>
          <w:tcPr>
            <w:tcW w:w="6383" w:type="dxa"/>
            <w:vAlign w:val="center"/>
          </w:tcPr>
          <w:p w14:paraId="139C8E0A" w14:textId="77777777" w:rsidR="00A052DC" w:rsidRDefault="009F0A60">
            <w:pPr>
              <w:rPr>
                <w:rFonts w:ascii="黑体" w:eastAsia="黑体" w:hAnsi="黑体"/>
                <w:kern w:val="0"/>
                <w:sz w:val="20"/>
                <w:szCs w:val="20"/>
              </w:rPr>
            </w:pPr>
            <w:r>
              <w:rPr>
                <w:rFonts w:ascii="黑体" w:eastAsia="黑体" w:hAnsi="黑体" w:hint="eastAsia"/>
                <w:kern w:val="0"/>
                <w:sz w:val="20"/>
                <w:szCs w:val="20"/>
              </w:rPr>
              <w:t>指持卡人境外提现使用的银行卡卡号。</w:t>
            </w:r>
          </w:p>
        </w:tc>
      </w:tr>
      <w:tr w:rsidR="00A052DC" w14:paraId="5B9E74AF" w14:textId="77777777">
        <w:trPr>
          <w:jc w:val="center"/>
        </w:trPr>
        <w:tc>
          <w:tcPr>
            <w:tcW w:w="2009" w:type="dxa"/>
            <w:vAlign w:val="center"/>
          </w:tcPr>
          <w:p w14:paraId="766D95C6" w14:textId="77777777" w:rsidR="00A052DC" w:rsidRDefault="009F0A60">
            <w:pPr>
              <w:jc w:val="left"/>
              <w:rPr>
                <w:rFonts w:ascii="黑体" w:eastAsia="黑体" w:hAnsi="黑体"/>
                <w:color w:val="000000"/>
                <w:kern w:val="0"/>
                <w:sz w:val="20"/>
                <w:szCs w:val="20"/>
              </w:rPr>
            </w:pPr>
            <w:r>
              <w:rPr>
                <w:rFonts w:ascii="黑体" w:eastAsia="黑体" w:hAnsi="黑体" w:hint="eastAsia"/>
                <w:color w:val="000000"/>
                <w:kern w:val="0"/>
                <w:sz w:val="20"/>
                <w:szCs w:val="20"/>
              </w:rPr>
              <w:t>交易货币币种</w:t>
            </w:r>
          </w:p>
        </w:tc>
        <w:tc>
          <w:tcPr>
            <w:tcW w:w="6383" w:type="dxa"/>
            <w:vAlign w:val="center"/>
          </w:tcPr>
          <w:p w14:paraId="6517C2F1" w14:textId="77777777" w:rsidR="00A052DC" w:rsidRDefault="009F0A60">
            <w:pPr>
              <w:rPr>
                <w:rFonts w:ascii="黑体" w:eastAsia="黑体" w:hAnsi="黑体"/>
                <w:kern w:val="0"/>
                <w:sz w:val="20"/>
                <w:szCs w:val="20"/>
              </w:rPr>
            </w:pPr>
            <w:r>
              <w:rPr>
                <w:rFonts w:ascii="黑体" w:eastAsia="黑体" w:hAnsi="黑体" w:hint="eastAsia"/>
                <w:kern w:val="0"/>
                <w:sz w:val="20"/>
                <w:szCs w:val="20"/>
              </w:rPr>
              <w:t>指持卡人境外提现的原始币种。</w:t>
            </w:r>
          </w:p>
        </w:tc>
      </w:tr>
      <w:tr w:rsidR="00A052DC" w14:paraId="1F655B7A" w14:textId="77777777">
        <w:trPr>
          <w:jc w:val="center"/>
        </w:trPr>
        <w:tc>
          <w:tcPr>
            <w:tcW w:w="2009" w:type="dxa"/>
            <w:vAlign w:val="center"/>
          </w:tcPr>
          <w:p w14:paraId="68EF554F" w14:textId="77777777" w:rsidR="00A052DC" w:rsidRDefault="009F0A60">
            <w:pPr>
              <w:jc w:val="left"/>
              <w:rPr>
                <w:rFonts w:ascii="黑体" w:eastAsia="黑体" w:hAnsi="黑体"/>
                <w:color w:val="000000"/>
                <w:kern w:val="0"/>
                <w:sz w:val="20"/>
                <w:szCs w:val="20"/>
              </w:rPr>
            </w:pPr>
            <w:r>
              <w:rPr>
                <w:rFonts w:ascii="黑体" w:eastAsia="黑体" w:hAnsi="黑体" w:hint="eastAsia"/>
                <w:color w:val="000000"/>
                <w:kern w:val="0"/>
                <w:sz w:val="20"/>
                <w:szCs w:val="20"/>
              </w:rPr>
              <w:t>交易货币金额</w:t>
            </w:r>
          </w:p>
        </w:tc>
        <w:tc>
          <w:tcPr>
            <w:tcW w:w="6383" w:type="dxa"/>
            <w:vAlign w:val="center"/>
          </w:tcPr>
          <w:p w14:paraId="40A89B94" w14:textId="77777777" w:rsidR="00A052DC" w:rsidRDefault="009F0A60">
            <w:pPr>
              <w:rPr>
                <w:rFonts w:ascii="黑体" w:eastAsia="黑体" w:hAnsi="黑体"/>
                <w:kern w:val="0"/>
                <w:sz w:val="20"/>
                <w:szCs w:val="20"/>
              </w:rPr>
            </w:pPr>
            <w:r>
              <w:rPr>
                <w:rFonts w:ascii="黑体" w:eastAsia="黑体" w:hAnsi="黑体" w:hint="eastAsia"/>
                <w:kern w:val="0"/>
                <w:sz w:val="20"/>
                <w:szCs w:val="20"/>
              </w:rPr>
              <w:t>指</w:t>
            </w:r>
            <w:r>
              <w:rPr>
                <w:rFonts w:ascii="黑体" w:eastAsia="黑体" w:hAnsi="黑体"/>
                <w:kern w:val="0"/>
                <w:sz w:val="20"/>
                <w:szCs w:val="20"/>
              </w:rPr>
              <w:t>持卡人境外提现的</w:t>
            </w:r>
            <w:r>
              <w:rPr>
                <w:rFonts w:ascii="黑体" w:eastAsia="黑体" w:hAnsi="黑体" w:hint="eastAsia"/>
                <w:kern w:val="0"/>
                <w:sz w:val="20"/>
                <w:szCs w:val="20"/>
              </w:rPr>
              <w:t>原币金额。如无法获取交易原币金额，可选择清算币种及相应金额填列。填写单位为1货币单位。</w:t>
            </w:r>
          </w:p>
        </w:tc>
      </w:tr>
      <w:tr w:rsidR="00A052DC" w14:paraId="1AF261CF" w14:textId="77777777">
        <w:trPr>
          <w:jc w:val="center"/>
        </w:trPr>
        <w:tc>
          <w:tcPr>
            <w:tcW w:w="2009" w:type="dxa"/>
            <w:vAlign w:val="center"/>
          </w:tcPr>
          <w:p w14:paraId="0E732194" w14:textId="77777777" w:rsidR="00A052DC" w:rsidRDefault="009F0A60">
            <w:pPr>
              <w:jc w:val="left"/>
              <w:rPr>
                <w:rFonts w:ascii="黑体" w:eastAsia="黑体" w:hAnsi="黑体"/>
                <w:color w:val="000000"/>
                <w:kern w:val="0"/>
                <w:sz w:val="20"/>
                <w:szCs w:val="20"/>
              </w:rPr>
            </w:pPr>
            <w:r>
              <w:rPr>
                <w:rFonts w:ascii="黑体" w:eastAsia="黑体" w:hAnsi="黑体" w:hint="eastAsia"/>
                <w:color w:val="000000"/>
                <w:kern w:val="0"/>
                <w:sz w:val="20"/>
                <w:szCs w:val="20"/>
              </w:rPr>
              <w:t>交易货币折人民币金额</w:t>
            </w:r>
          </w:p>
        </w:tc>
        <w:tc>
          <w:tcPr>
            <w:tcW w:w="6383" w:type="dxa"/>
            <w:vAlign w:val="center"/>
          </w:tcPr>
          <w:p w14:paraId="71DBDE77" w14:textId="77777777" w:rsidR="00A052DC" w:rsidRDefault="009F0A60">
            <w:pPr>
              <w:rPr>
                <w:rFonts w:ascii="黑体" w:eastAsia="黑体" w:hAnsi="黑体"/>
                <w:kern w:val="0"/>
                <w:sz w:val="20"/>
                <w:szCs w:val="20"/>
              </w:rPr>
            </w:pPr>
            <w:r>
              <w:rPr>
                <w:rFonts w:ascii="黑体" w:eastAsia="黑体" w:hAnsi="黑体" w:hint="eastAsia"/>
                <w:kern w:val="0"/>
                <w:sz w:val="20"/>
                <w:szCs w:val="20"/>
              </w:rPr>
              <w:t>指发卡行将交易货币折算为人民币的金额。各种货币折算人民币的汇率，由银行按照审慎合理的原则自行确定。填写单位为1元人民币。</w:t>
            </w:r>
          </w:p>
        </w:tc>
      </w:tr>
      <w:tr w:rsidR="00A052DC" w14:paraId="4428A150" w14:textId="77777777">
        <w:trPr>
          <w:jc w:val="center"/>
        </w:trPr>
        <w:tc>
          <w:tcPr>
            <w:tcW w:w="2009" w:type="dxa"/>
            <w:vAlign w:val="center"/>
          </w:tcPr>
          <w:p w14:paraId="5F9F0F4D" w14:textId="77777777" w:rsidR="00A052DC" w:rsidRDefault="009F0A60">
            <w:pPr>
              <w:jc w:val="left"/>
              <w:rPr>
                <w:rFonts w:ascii="黑体" w:eastAsia="黑体" w:hAnsi="黑体"/>
                <w:color w:val="000000"/>
                <w:kern w:val="0"/>
                <w:sz w:val="20"/>
                <w:szCs w:val="20"/>
              </w:rPr>
            </w:pPr>
            <w:r>
              <w:rPr>
                <w:rFonts w:ascii="黑体" w:eastAsia="黑体" w:hAnsi="黑体"/>
                <w:color w:val="000000"/>
                <w:kern w:val="0"/>
                <w:sz w:val="20"/>
                <w:szCs w:val="20"/>
              </w:rPr>
              <w:t xml:space="preserve">MCC </w:t>
            </w:r>
            <w:r>
              <w:rPr>
                <w:rFonts w:ascii="黑体" w:eastAsia="黑体" w:hAnsi="黑体" w:hint="eastAsia"/>
                <w:color w:val="000000"/>
                <w:kern w:val="0"/>
                <w:sz w:val="20"/>
                <w:szCs w:val="20"/>
              </w:rPr>
              <w:t>码</w:t>
            </w:r>
          </w:p>
        </w:tc>
        <w:tc>
          <w:tcPr>
            <w:tcW w:w="6383" w:type="dxa"/>
            <w:vAlign w:val="center"/>
          </w:tcPr>
          <w:p w14:paraId="741AD34A" w14:textId="77777777" w:rsidR="00A052DC" w:rsidRDefault="009F0A60">
            <w:pPr>
              <w:rPr>
                <w:rFonts w:ascii="黑体" w:eastAsia="黑体" w:hAnsi="黑体"/>
                <w:kern w:val="0"/>
                <w:sz w:val="20"/>
                <w:szCs w:val="20"/>
              </w:rPr>
            </w:pPr>
            <w:r>
              <w:rPr>
                <w:rFonts w:ascii="黑体" w:eastAsia="黑体" w:hAnsi="黑体" w:hint="eastAsia"/>
                <w:kern w:val="0"/>
                <w:sz w:val="20"/>
                <w:szCs w:val="20"/>
              </w:rPr>
              <w:t>指商户类别码（</w:t>
            </w:r>
            <w:r>
              <w:rPr>
                <w:rFonts w:ascii="黑体" w:eastAsia="黑体" w:hAnsi="黑体"/>
                <w:kern w:val="0"/>
                <w:sz w:val="20"/>
                <w:szCs w:val="20"/>
              </w:rPr>
              <w:t>Merchant Category Code</w:t>
            </w:r>
            <w:r>
              <w:rPr>
                <w:rFonts w:ascii="黑体" w:eastAsia="黑体" w:hAnsi="黑体" w:hint="eastAsia"/>
                <w:kern w:val="0"/>
                <w:sz w:val="20"/>
                <w:szCs w:val="20"/>
              </w:rPr>
              <w:t>），是银行卡清算组织制定的具体标识一家商户的主营业务范围和行业归属的代码，在柜台提取现钞为</w:t>
            </w:r>
            <w:r>
              <w:rPr>
                <w:rFonts w:ascii="黑体" w:eastAsia="黑体" w:hAnsi="黑体"/>
                <w:kern w:val="0"/>
                <w:sz w:val="20"/>
                <w:szCs w:val="20"/>
              </w:rPr>
              <w:t>6010</w:t>
            </w:r>
            <w:r>
              <w:rPr>
                <w:rFonts w:ascii="黑体" w:eastAsia="黑体" w:hAnsi="黑体" w:hint="eastAsia"/>
                <w:kern w:val="0"/>
                <w:sz w:val="20"/>
                <w:szCs w:val="20"/>
              </w:rPr>
              <w:t>，在自助提款机提取现钞为</w:t>
            </w:r>
            <w:r>
              <w:rPr>
                <w:rFonts w:ascii="黑体" w:eastAsia="黑体" w:hAnsi="黑体"/>
                <w:kern w:val="0"/>
                <w:sz w:val="20"/>
                <w:szCs w:val="20"/>
              </w:rPr>
              <w:t>6011</w:t>
            </w:r>
            <w:r>
              <w:rPr>
                <w:rFonts w:ascii="黑体" w:eastAsia="黑体" w:hAnsi="黑体" w:hint="eastAsia"/>
                <w:kern w:val="0"/>
                <w:sz w:val="20"/>
                <w:szCs w:val="20"/>
              </w:rPr>
              <w:t>。</w:t>
            </w:r>
          </w:p>
        </w:tc>
      </w:tr>
      <w:tr w:rsidR="00A052DC" w14:paraId="2F6A3E0F" w14:textId="77777777">
        <w:trPr>
          <w:jc w:val="center"/>
        </w:trPr>
        <w:tc>
          <w:tcPr>
            <w:tcW w:w="2009" w:type="dxa"/>
            <w:vAlign w:val="center"/>
          </w:tcPr>
          <w:p w14:paraId="65C15566" w14:textId="77777777" w:rsidR="00A052DC" w:rsidRDefault="009F0A60">
            <w:pPr>
              <w:jc w:val="left"/>
              <w:rPr>
                <w:rFonts w:ascii="黑体" w:eastAsia="黑体" w:hAnsi="黑体"/>
                <w:color w:val="000000"/>
                <w:kern w:val="0"/>
                <w:sz w:val="20"/>
                <w:szCs w:val="20"/>
              </w:rPr>
            </w:pPr>
            <w:r>
              <w:rPr>
                <w:rFonts w:ascii="黑体" w:eastAsia="黑体" w:hAnsi="黑体" w:hint="eastAsia"/>
                <w:color w:val="000000"/>
                <w:kern w:val="0"/>
                <w:sz w:val="20"/>
                <w:szCs w:val="20"/>
              </w:rPr>
              <w:t>银行卡类型</w:t>
            </w:r>
          </w:p>
        </w:tc>
        <w:tc>
          <w:tcPr>
            <w:tcW w:w="6383" w:type="dxa"/>
            <w:vAlign w:val="center"/>
          </w:tcPr>
          <w:p w14:paraId="44F61401" w14:textId="77777777" w:rsidR="00A052DC" w:rsidRDefault="009F0A60">
            <w:pPr>
              <w:rPr>
                <w:rFonts w:ascii="黑体" w:eastAsia="黑体" w:hAnsi="黑体"/>
                <w:kern w:val="0"/>
                <w:sz w:val="20"/>
                <w:szCs w:val="20"/>
              </w:rPr>
            </w:pPr>
            <w:r>
              <w:rPr>
                <w:rFonts w:ascii="黑体" w:eastAsia="黑体" w:hAnsi="黑体" w:hint="eastAsia"/>
                <w:kern w:val="0"/>
                <w:sz w:val="20"/>
                <w:szCs w:val="20"/>
              </w:rPr>
              <w:t>含</w:t>
            </w:r>
            <w:r>
              <w:rPr>
                <w:rFonts w:ascii="黑体" w:eastAsia="黑体" w:hAnsi="黑体"/>
                <w:kern w:val="0"/>
                <w:sz w:val="20"/>
                <w:szCs w:val="20"/>
              </w:rPr>
              <w:t>借记卡</w:t>
            </w:r>
            <w:r>
              <w:rPr>
                <w:rFonts w:ascii="黑体" w:eastAsia="黑体" w:hAnsi="黑体" w:hint="eastAsia"/>
                <w:kern w:val="0"/>
                <w:sz w:val="20"/>
                <w:szCs w:val="20"/>
              </w:rPr>
              <w:t>、贷记卡</w:t>
            </w:r>
            <w:r>
              <w:rPr>
                <w:rFonts w:ascii="黑体" w:eastAsia="黑体" w:hAnsi="黑体"/>
                <w:kern w:val="0"/>
                <w:sz w:val="20"/>
                <w:szCs w:val="20"/>
              </w:rPr>
              <w:t>和</w:t>
            </w:r>
            <w:r>
              <w:rPr>
                <w:rFonts w:ascii="黑体" w:eastAsia="黑体" w:hAnsi="黑体" w:hint="eastAsia"/>
                <w:kern w:val="0"/>
                <w:sz w:val="20"/>
                <w:szCs w:val="20"/>
              </w:rPr>
              <w:t>准贷记卡。</w:t>
            </w:r>
          </w:p>
        </w:tc>
      </w:tr>
      <w:tr w:rsidR="00A052DC" w14:paraId="60F37FFD" w14:textId="77777777">
        <w:trPr>
          <w:jc w:val="center"/>
        </w:trPr>
        <w:tc>
          <w:tcPr>
            <w:tcW w:w="2009" w:type="dxa"/>
            <w:vAlign w:val="center"/>
          </w:tcPr>
          <w:p w14:paraId="19DB9B2B" w14:textId="77777777" w:rsidR="00A052DC" w:rsidRDefault="009F0A60">
            <w:pPr>
              <w:jc w:val="left"/>
              <w:rPr>
                <w:rFonts w:ascii="黑体" w:eastAsia="黑体" w:hAnsi="黑体"/>
                <w:color w:val="000000"/>
                <w:kern w:val="0"/>
                <w:sz w:val="20"/>
                <w:szCs w:val="20"/>
              </w:rPr>
            </w:pPr>
            <w:r>
              <w:rPr>
                <w:rFonts w:ascii="黑体" w:eastAsia="黑体" w:hAnsi="黑体" w:hint="eastAsia"/>
                <w:color w:val="000000"/>
                <w:kern w:val="0"/>
                <w:sz w:val="20"/>
                <w:szCs w:val="20"/>
              </w:rPr>
              <w:t>银行卡清算渠道</w:t>
            </w:r>
          </w:p>
        </w:tc>
        <w:tc>
          <w:tcPr>
            <w:tcW w:w="6383" w:type="dxa"/>
            <w:vAlign w:val="center"/>
          </w:tcPr>
          <w:p w14:paraId="18DC92AC" w14:textId="77777777" w:rsidR="00A052DC" w:rsidRDefault="009F0A60">
            <w:pPr>
              <w:rPr>
                <w:rFonts w:ascii="黑体" w:eastAsia="黑体" w:hAnsi="黑体"/>
                <w:kern w:val="0"/>
                <w:sz w:val="20"/>
                <w:szCs w:val="20"/>
              </w:rPr>
            </w:pPr>
            <w:r>
              <w:rPr>
                <w:rFonts w:ascii="黑体" w:eastAsia="黑体" w:hAnsi="黑体" w:hint="eastAsia"/>
                <w:kern w:val="0"/>
                <w:sz w:val="20"/>
                <w:szCs w:val="20"/>
              </w:rPr>
              <w:t>银行卡所使用的卡组织清算渠道或其他清算渠道，请按以下序号填列：</w:t>
            </w:r>
            <w:r>
              <w:rPr>
                <w:rFonts w:ascii="黑体" w:eastAsia="黑体" w:hAnsi="黑体"/>
                <w:kern w:val="0"/>
                <w:sz w:val="20"/>
                <w:szCs w:val="20"/>
              </w:rPr>
              <w:t>1-</w:t>
            </w:r>
            <w:r>
              <w:rPr>
                <w:rFonts w:ascii="黑体" w:eastAsia="黑体" w:hAnsi="黑体" w:hint="eastAsia"/>
                <w:kern w:val="0"/>
                <w:sz w:val="20"/>
                <w:szCs w:val="20"/>
              </w:rPr>
              <w:t>银联；</w:t>
            </w:r>
            <w:r>
              <w:rPr>
                <w:rFonts w:ascii="黑体" w:eastAsia="黑体" w:hAnsi="黑体"/>
                <w:kern w:val="0"/>
                <w:sz w:val="20"/>
                <w:szCs w:val="20"/>
              </w:rPr>
              <w:t>2-</w:t>
            </w:r>
            <w:r>
              <w:rPr>
                <w:rFonts w:ascii="黑体" w:eastAsia="黑体" w:hAnsi="黑体" w:hint="eastAsia"/>
                <w:kern w:val="0"/>
                <w:sz w:val="20"/>
                <w:szCs w:val="20"/>
              </w:rPr>
              <w:t>威士（</w:t>
            </w:r>
            <w:r>
              <w:rPr>
                <w:rFonts w:ascii="黑体" w:eastAsia="黑体" w:hAnsi="黑体"/>
                <w:kern w:val="0"/>
                <w:sz w:val="20"/>
                <w:szCs w:val="20"/>
              </w:rPr>
              <w:t>Visa</w:t>
            </w:r>
            <w:r>
              <w:rPr>
                <w:rFonts w:ascii="黑体" w:eastAsia="黑体" w:hAnsi="黑体" w:hint="eastAsia"/>
                <w:kern w:val="0"/>
                <w:sz w:val="20"/>
                <w:szCs w:val="20"/>
              </w:rPr>
              <w:t>）；</w:t>
            </w:r>
            <w:r>
              <w:rPr>
                <w:rFonts w:ascii="黑体" w:eastAsia="黑体" w:hAnsi="黑体"/>
                <w:kern w:val="0"/>
                <w:sz w:val="20"/>
                <w:szCs w:val="20"/>
              </w:rPr>
              <w:t>3-</w:t>
            </w:r>
            <w:r>
              <w:rPr>
                <w:rFonts w:ascii="黑体" w:eastAsia="黑体" w:hAnsi="黑体" w:hint="eastAsia"/>
                <w:kern w:val="0"/>
                <w:sz w:val="20"/>
                <w:szCs w:val="20"/>
              </w:rPr>
              <w:t>万事达（</w:t>
            </w:r>
            <w:r>
              <w:rPr>
                <w:rFonts w:ascii="黑体" w:eastAsia="黑体" w:hAnsi="黑体"/>
                <w:kern w:val="0"/>
                <w:sz w:val="20"/>
                <w:szCs w:val="20"/>
              </w:rPr>
              <w:t>Mastercard</w:t>
            </w:r>
            <w:r>
              <w:rPr>
                <w:rFonts w:ascii="黑体" w:eastAsia="黑体" w:hAnsi="黑体" w:hint="eastAsia"/>
                <w:kern w:val="0"/>
                <w:sz w:val="20"/>
                <w:szCs w:val="20"/>
              </w:rPr>
              <w:t>）；</w:t>
            </w:r>
            <w:r>
              <w:rPr>
                <w:rFonts w:ascii="黑体" w:eastAsia="黑体" w:hAnsi="黑体"/>
                <w:kern w:val="0"/>
                <w:sz w:val="20"/>
                <w:szCs w:val="20"/>
              </w:rPr>
              <w:t>4-</w:t>
            </w:r>
            <w:r>
              <w:rPr>
                <w:rFonts w:ascii="黑体" w:eastAsia="黑体" w:hAnsi="黑体" w:hint="eastAsia"/>
                <w:kern w:val="0"/>
                <w:sz w:val="20"/>
                <w:szCs w:val="20"/>
              </w:rPr>
              <w:t>美国运通（</w:t>
            </w:r>
            <w:r>
              <w:rPr>
                <w:rFonts w:ascii="黑体" w:eastAsia="黑体" w:hAnsi="黑体"/>
                <w:kern w:val="0"/>
                <w:sz w:val="20"/>
                <w:szCs w:val="20"/>
              </w:rPr>
              <w:t>AMERICAN EXPRESS</w:t>
            </w:r>
            <w:r>
              <w:rPr>
                <w:rFonts w:ascii="黑体" w:eastAsia="黑体" w:hAnsi="黑体" w:hint="eastAsia"/>
                <w:kern w:val="0"/>
                <w:sz w:val="20"/>
                <w:szCs w:val="20"/>
              </w:rPr>
              <w:t>）；</w:t>
            </w:r>
            <w:r>
              <w:rPr>
                <w:rFonts w:ascii="黑体" w:eastAsia="黑体" w:hAnsi="黑体"/>
                <w:kern w:val="0"/>
                <w:sz w:val="20"/>
                <w:szCs w:val="20"/>
              </w:rPr>
              <w:t>5-</w:t>
            </w:r>
            <w:r>
              <w:rPr>
                <w:rFonts w:ascii="黑体" w:eastAsia="黑体" w:hAnsi="黑体" w:hint="eastAsia"/>
                <w:kern w:val="0"/>
                <w:sz w:val="20"/>
                <w:szCs w:val="20"/>
              </w:rPr>
              <w:t>大来（</w:t>
            </w:r>
            <w:r>
              <w:rPr>
                <w:rFonts w:ascii="黑体" w:eastAsia="黑体" w:hAnsi="黑体"/>
                <w:kern w:val="0"/>
                <w:sz w:val="20"/>
                <w:szCs w:val="20"/>
              </w:rPr>
              <w:t>DINERS CLUB</w:t>
            </w:r>
            <w:r>
              <w:rPr>
                <w:rFonts w:ascii="黑体" w:eastAsia="黑体" w:hAnsi="黑体" w:hint="eastAsia"/>
                <w:kern w:val="0"/>
                <w:sz w:val="20"/>
                <w:szCs w:val="20"/>
              </w:rPr>
              <w:t>）；</w:t>
            </w:r>
            <w:r>
              <w:rPr>
                <w:rFonts w:ascii="黑体" w:eastAsia="黑体" w:hAnsi="黑体"/>
                <w:kern w:val="0"/>
                <w:sz w:val="20"/>
                <w:szCs w:val="20"/>
              </w:rPr>
              <w:t>6-</w:t>
            </w:r>
            <w:r>
              <w:rPr>
                <w:rFonts w:ascii="黑体" w:eastAsia="黑体" w:hAnsi="黑体" w:hint="eastAsia"/>
                <w:kern w:val="0"/>
                <w:sz w:val="20"/>
                <w:szCs w:val="20"/>
              </w:rPr>
              <w:t>吉士美（</w:t>
            </w:r>
            <w:r>
              <w:rPr>
                <w:rFonts w:ascii="黑体" w:eastAsia="黑体" w:hAnsi="黑体"/>
                <w:kern w:val="0"/>
                <w:sz w:val="20"/>
                <w:szCs w:val="20"/>
              </w:rPr>
              <w:t>JCB</w:t>
            </w:r>
            <w:r>
              <w:rPr>
                <w:rFonts w:ascii="黑体" w:eastAsia="黑体" w:hAnsi="黑体" w:hint="eastAsia"/>
                <w:kern w:val="0"/>
                <w:sz w:val="20"/>
                <w:szCs w:val="20"/>
              </w:rPr>
              <w:t>）；</w:t>
            </w:r>
            <w:r>
              <w:rPr>
                <w:rFonts w:ascii="黑体" w:eastAsia="黑体" w:hAnsi="黑体"/>
                <w:kern w:val="0"/>
                <w:sz w:val="20"/>
                <w:szCs w:val="20"/>
              </w:rPr>
              <w:t>7-</w:t>
            </w:r>
            <w:r>
              <w:rPr>
                <w:rFonts w:ascii="黑体" w:eastAsia="黑体" w:hAnsi="黑体" w:hint="eastAsia"/>
                <w:kern w:val="0"/>
                <w:sz w:val="20"/>
                <w:szCs w:val="20"/>
              </w:rPr>
              <w:t>发卡行自行清算；</w:t>
            </w:r>
            <w:r w:rsidR="00A052DC" w:rsidRPr="009F0A60">
              <w:rPr>
                <w:rFonts w:ascii="黑体" w:eastAsia="黑体" w:hAnsi="黑体"/>
                <w:kern w:val="0"/>
                <w:sz w:val="20"/>
                <w:szCs w:val="20"/>
              </w:rPr>
              <w:t>9-连通；8-</w:t>
            </w:r>
            <w:r w:rsidR="00A052DC" w:rsidRPr="009F0A60">
              <w:rPr>
                <w:rFonts w:ascii="黑体" w:eastAsia="黑体" w:hAnsi="黑体" w:hint="eastAsia"/>
                <w:kern w:val="0"/>
                <w:sz w:val="20"/>
                <w:szCs w:val="20"/>
              </w:rPr>
              <w:t>其他</w:t>
            </w:r>
            <w:r>
              <w:rPr>
                <w:rFonts w:ascii="黑体" w:eastAsia="黑体" w:hAnsi="黑体" w:hint="eastAsia"/>
                <w:kern w:val="0"/>
                <w:sz w:val="20"/>
                <w:szCs w:val="20"/>
              </w:rPr>
              <w:t>。</w:t>
            </w:r>
          </w:p>
        </w:tc>
      </w:tr>
      <w:tr w:rsidR="00A052DC" w14:paraId="16FC64A9" w14:textId="77777777">
        <w:trPr>
          <w:jc w:val="center"/>
        </w:trPr>
        <w:tc>
          <w:tcPr>
            <w:tcW w:w="2009" w:type="dxa"/>
            <w:vAlign w:val="center"/>
          </w:tcPr>
          <w:p w14:paraId="7881ECE4" w14:textId="77777777" w:rsidR="00A052DC" w:rsidRDefault="009F0A60">
            <w:pPr>
              <w:jc w:val="left"/>
              <w:rPr>
                <w:rFonts w:ascii="黑体" w:eastAsia="黑体" w:hAnsi="黑体"/>
                <w:color w:val="000000"/>
                <w:kern w:val="0"/>
                <w:sz w:val="20"/>
                <w:szCs w:val="20"/>
              </w:rPr>
            </w:pPr>
            <w:r>
              <w:rPr>
                <w:rFonts w:ascii="黑体" w:eastAsia="黑体" w:hAnsi="黑体" w:hint="eastAsia"/>
                <w:color w:val="000000"/>
                <w:kern w:val="0"/>
                <w:sz w:val="20"/>
                <w:szCs w:val="20"/>
              </w:rPr>
              <w:t>发卡行金融机构代码</w:t>
            </w:r>
          </w:p>
        </w:tc>
        <w:tc>
          <w:tcPr>
            <w:tcW w:w="6383" w:type="dxa"/>
            <w:vAlign w:val="center"/>
          </w:tcPr>
          <w:p w14:paraId="2B69DAD2" w14:textId="77777777" w:rsidR="00A052DC" w:rsidRDefault="009F0A60">
            <w:pPr>
              <w:rPr>
                <w:rFonts w:ascii="黑体" w:eastAsia="黑体" w:hAnsi="黑体"/>
                <w:kern w:val="0"/>
                <w:sz w:val="20"/>
                <w:szCs w:val="20"/>
              </w:rPr>
            </w:pPr>
            <w:r>
              <w:rPr>
                <w:rFonts w:ascii="黑体" w:eastAsia="黑体" w:hAnsi="黑体" w:hint="eastAsia"/>
                <w:kern w:val="0"/>
                <w:sz w:val="20"/>
                <w:szCs w:val="20"/>
              </w:rPr>
              <w:t>由国家外汇管理局编制的金融机构代码。填写发卡行的金融机构代码。</w:t>
            </w:r>
          </w:p>
        </w:tc>
      </w:tr>
      <w:tr w:rsidR="00A052DC" w14:paraId="1A550329" w14:textId="77777777">
        <w:trPr>
          <w:trHeight w:val="520"/>
          <w:jc w:val="center"/>
        </w:trPr>
        <w:tc>
          <w:tcPr>
            <w:tcW w:w="2009" w:type="dxa"/>
            <w:vAlign w:val="center"/>
          </w:tcPr>
          <w:p w14:paraId="6BAE6DFA" w14:textId="77777777" w:rsidR="00A052DC" w:rsidRDefault="009F0A60">
            <w:pPr>
              <w:jc w:val="left"/>
              <w:rPr>
                <w:rFonts w:ascii="黑体" w:eastAsia="黑体" w:hAnsi="黑体"/>
                <w:color w:val="000000"/>
                <w:kern w:val="0"/>
                <w:sz w:val="20"/>
                <w:szCs w:val="20"/>
              </w:rPr>
            </w:pPr>
            <w:r>
              <w:rPr>
                <w:rFonts w:ascii="黑体" w:eastAsia="黑体" w:hAnsi="黑体" w:hint="eastAsia"/>
                <w:color w:val="000000"/>
                <w:kern w:val="0"/>
                <w:sz w:val="20"/>
                <w:szCs w:val="20"/>
              </w:rPr>
              <w:t>发卡网点所在地外汇局代码</w:t>
            </w:r>
          </w:p>
        </w:tc>
        <w:tc>
          <w:tcPr>
            <w:tcW w:w="6383" w:type="dxa"/>
            <w:vAlign w:val="center"/>
          </w:tcPr>
          <w:p w14:paraId="1DBDEDB5" w14:textId="77777777" w:rsidR="00A052DC" w:rsidRDefault="009F0A60">
            <w:pPr>
              <w:rPr>
                <w:rFonts w:ascii="黑体" w:eastAsia="黑体" w:hAnsi="黑体"/>
                <w:kern w:val="0"/>
                <w:sz w:val="20"/>
                <w:szCs w:val="20"/>
              </w:rPr>
            </w:pPr>
            <w:r>
              <w:rPr>
                <w:rFonts w:ascii="黑体" w:eastAsia="黑体" w:hAnsi="黑体" w:hint="eastAsia"/>
                <w:kern w:val="0"/>
                <w:sz w:val="20"/>
                <w:szCs w:val="20"/>
              </w:rPr>
              <w:t>填写发卡行所在地外汇局</w:t>
            </w:r>
            <w:r>
              <w:rPr>
                <w:rFonts w:ascii="黑体" w:eastAsia="黑体" w:hAnsi="黑体"/>
                <w:kern w:val="0"/>
                <w:sz w:val="20"/>
                <w:szCs w:val="20"/>
              </w:rPr>
              <w:t>6</w:t>
            </w:r>
            <w:r>
              <w:rPr>
                <w:rFonts w:ascii="黑体" w:eastAsia="黑体" w:hAnsi="黑体" w:hint="eastAsia"/>
                <w:kern w:val="0"/>
                <w:sz w:val="20"/>
                <w:szCs w:val="20"/>
              </w:rPr>
              <w:t>位代码，如果金融机构所在地没有外汇局，填写该地</w:t>
            </w:r>
            <w:r>
              <w:rPr>
                <w:rFonts w:ascii="黑体" w:eastAsia="黑体" w:hAnsi="黑体" w:hint="eastAsia"/>
                <w:color w:val="000000"/>
                <w:kern w:val="0"/>
                <w:sz w:val="20"/>
                <w:szCs w:val="20"/>
              </w:rPr>
              <w:t>区上级外汇局</w:t>
            </w:r>
            <w:r>
              <w:rPr>
                <w:rFonts w:ascii="黑体" w:eastAsia="黑体" w:hAnsi="黑体"/>
                <w:color w:val="000000"/>
                <w:kern w:val="0"/>
                <w:sz w:val="20"/>
                <w:szCs w:val="20"/>
              </w:rPr>
              <w:t>6位代码。信用卡若无法区分发卡网点，则填写卡中心所在地外汇局代码。</w:t>
            </w:r>
          </w:p>
        </w:tc>
      </w:tr>
      <w:tr w:rsidR="00A052DC" w14:paraId="1C3CCECD" w14:textId="77777777">
        <w:trPr>
          <w:trHeight w:val="444"/>
          <w:jc w:val="center"/>
        </w:trPr>
        <w:tc>
          <w:tcPr>
            <w:tcW w:w="2009" w:type="dxa"/>
            <w:tcBorders>
              <w:bottom w:val="single" w:sz="4" w:space="0" w:color="auto"/>
            </w:tcBorders>
            <w:vAlign w:val="center"/>
          </w:tcPr>
          <w:p w14:paraId="4A66FD88" w14:textId="77777777" w:rsidR="00A052DC" w:rsidRDefault="009F0A60">
            <w:pPr>
              <w:jc w:val="left"/>
              <w:rPr>
                <w:rFonts w:ascii="黑体" w:eastAsia="黑体" w:hAnsi="黑体"/>
                <w:color w:val="000000"/>
                <w:kern w:val="0"/>
                <w:sz w:val="20"/>
                <w:szCs w:val="20"/>
              </w:rPr>
            </w:pPr>
            <w:r>
              <w:rPr>
                <w:rFonts w:ascii="黑体" w:eastAsia="黑体" w:hAnsi="黑体" w:hint="eastAsia"/>
                <w:color w:val="000000"/>
                <w:kern w:val="0"/>
                <w:sz w:val="20"/>
                <w:szCs w:val="20"/>
              </w:rPr>
              <w:t>交易授权日期及时间</w:t>
            </w:r>
          </w:p>
        </w:tc>
        <w:tc>
          <w:tcPr>
            <w:tcW w:w="6383" w:type="dxa"/>
            <w:tcBorders>
              <w:bottom w:val="single" w:sz="4" w:space="0" w:color="auto"/>
            </w:tcBorders>
            <w:vAlign w:val="center"/>
          </w:tcPr>
          <w:p w14:paraId="6C1928BD" w14:textId="77777777" w:rsidR="00A052DC" w:rsidRDefault="009F0A60">
            <w:pPr>
              <w:rPr>
                <w:rFonts w:ascii="黑体" w:eastAsia="黑体" w:hAnsi="黑体"/>
                <w:kern w:val="0"/>
                <w:sz w:val="20"/>
                <w:szCs w:val="20"/>
              </w:rPr>
            </w:pPr>
            <w:r>
              <w:rPr>
                <w:rFonts w:ascii="黑体" w:eastAsia="黑体" w:hAnsi="黑体" w:hint="eastAsia"/>
                <w:kern w:val="0"/>
                <w:sz w:val="20"/>
                <w:szCs w:val="20"/>
              </w:rPr>
              <w:t>交易授权日期和时间，格式为</w:t>
            </w:r>
            <w:r>
              <w:rPr>
                <w:rFonts w:ascii="黑体" w:eastAsia="黑体" w:hAnsi="黑体"/>
                <w:kern w:val="0"/>
                <w:sz w:val="20"/>
                <w:szCs w:val="20"/>
              </w:rPr>
              <w:t>yyyy-mm-dd HH:MM:SS</w:t>
            </w:r>
            <w:r>
              <w:rPr>
                <w:rFonts w:ascii="黑体" w:eastAsia="黑体" w:hAnsi="黑体" w:hint="eastAsia"/>
                <w:kern w:val="0"/>
                <w:sz w:val="20"/>
                <w:szCs w:val="20"/>
              </w:rPr>
              <w:t>。如无法获取交易授权日期和时间，可选择清算日期和时间填列。</w:t>
            </w:r>
          </w:p>
        </w:tc>
      </w:tr>
      <w:tr w:rsidR="00A052DC" w14:paraId="780F8D0D" w14:textId="77777777">
        <w:trPr>
          <w:trHeight w:val="315"/>
          <w:jc w:val="center"/>
        </w:trPr>
        <w:tc>
          <w:tcPr>
            <w:tcW w:w="2009" w:type="dxa"/>
            <w:tcBorders>
              <w:top w:val="single" w:sz="4" w:space="0" w:color="auto"/>
            </w:tcBorders>
            <w:vAlign w:val="center"/>
          </w:tcPr>
          <w:p w14:paraId="63D656ED" w14:textId="77777777" w:rsidR="00A052DC" w:rsidRDefault="009F0A60">
            <w:pPr>
              <w:jc w:val="left"/>
              <w:rPr>
                <w:rFonts w:ascii="黑体" w:eastAsia="黑体" w:hAnsi="黑体"/>
                <w:color w:val="000000"/>
                <w:kern w:val="0"/>
                <w:sz w:val="20"/>
                <w:szCs w:val="20"/>
              </w:rPr>
            </w:pPr>
            <w:r>
              <w:rPr>
                <w:rFonts w:ascii="黑体" w:eastAsia="黑体" w:hAnsi="黑体" w:hint="eastAsia"/>
                <w:color w:val="000000"/>
                <w:kern w:val="0"/>
                <w:sz w:val="20"/>
                <w:szCs w:val="20"/>
              </w:rPr>
              <w:t>交易国家或地区</w:t>
            </w:r>
          </w:p>
        </w:tc>
        <w:tc>
          <w:tcPr>
            <w:tcW w:w="6383" w:type="dxa"/>
            <w:tcBorders>
              <w:top w:val="single" w:sz="4" w:space="0" w:color="auto"/>
            </w:tcBorders>
            <w:vAlign w:val="center"/>
          </w:tcPr>
          <w:p w14:paraId="30D1B4BD" w14:textId="77777777" w:rsidR="00A052DC" w:rsidRDefault="009F0A60">
            <w:pPr>
              <w:rPr>
                <w:rFonts w:ascii="黑体" w:eastAsia="黑体" w:hAnsi="黑体"/>
                <w:kern w:val="0"/>
                <w:sz w:val="20"/>
                <w:szCs w:val="20"/>
              </w:rPr>
            </w:pPr>
            <w:r>
              <w:rPr>
                <w:rFonts w:ascii="黑体" w:eastAsia="黑体" w:hAnsi="黑体" w:hint="eastAsia"/>
                <w:kern w:val="0"/>
                <w:sz w:val="20"/>
                <w:szCs w:val="20"/>
              </w:rPr>
              <w:t>指境外提现所在地</w:t>
            </w:r>
            <w:r>
              <w:rPr>
                <w:rFonts w:ascii="黑体" w:eastAsia="黑体" w:hAnsi="黑体" w:hint="eastAsia"/>
                <w:sz w:val="20"/>
                <w:szCs w:val="20"/>
              </w:rPr>
              <w:t>。</w:t>
            </w:r>
          </w:p>
        </w:tc>
      </w:tr>
      <w:tr w:rsidR="00A052DC" w14:paraId="5928A4C6" w14:textId="77777777">
        <w:trPr>
          <w:jc w:val="center"/>
        </w:trPr>
        <w:tc>
          <w:tcPr>
            <w:tcW w:w="2009" w:type="dxa"/>
            <w:vAlign w:val="center"/>
          </w:tcPr>
          <w:p w14:paraId="07A31620" w14:textId="77777777" w:rsidR="00A052DC" w:rsidRDefault="009F0A60">
            <w:pPr>
              <w:jc w:val="left"/>
              <w:rPr>
                <w:rFonts w:ascii="黑体" w:eastAsia="黑体" w:hAnsi="黑体"/>
                <w:color w:val="000000"/>
                <w:kern w:val="0"/>
                <w:sz w:val="20"/>
                <w:szCs w:val="20"/>
              </w:rPr>
            </w:pPr>
            <w:r>
              <w:rPr>
                <w:rFonts w:ascii="黑体" w:eastAsia="黑体" w:hAnsi="黑体" w:hint="eastAsia"/>
                <w:color w:val="000000"/>
                <w:kern w:val="0"/>
                <w:sz w:val="20"/>
                <w:szCs w:val="20"/>
              </w:rPr>
              <w:t>银行内部流水号</w:t>
            </w:r>
          </w:p>
        </w:tc>
        <w:tc>
          <w:tcPr>
            <w:tcW w:w="6383" w:type="dxa"/>
            <w:vAlign w:val="center"/>
          </w:tcPr>
          <w:p w14:paraId="16947A68" w14:textId="77777777" w:rsidR="00A052DC" w:rsidRDefault="009F0A60">
            <w:pPr>
              <w:rPr>
                <w:rFonts w:ascii="黑体" w:eastAsia="黑体" w:hAnsi="黑体"/>
                <w:kern w:val="0"/>
                <w:sz w:val="20"/>
                <w:szCs w:val="20"/>
              </w:rPr>
            </w:pPr>
            <w:r>
              <w:rPr>
                <w:rFonts w:ascii="黑体" w:eastAsia="黑体" w:hAnsi="黑体" w:hint="eastAsia"/>
                <w:kern w:val="0"/>
                <w:sz w:val="20"/>
                <w:szCs w:val="20"/>
              </w:rPr>
              <w:t>指银行业务系统的内部流水号。</w:t>
            </w:r>
          </w:p>
        </w:tc>
      </w:tr>
      <w:tr w:rsidR="00A052DC" w14:paraId="7F859DA3" w14:textId="77777777">
        <w:trPr>
          <w:jc w:val="center"/>
        </w:trPr>
        <w:tc>
          <w:tcPr>
            <w:tcW w:w="2009" w:type="dxa"/>
            <w:vAlign w:val="center"/>
          </w:tcPr>
          <w:p w14:paraId="0746143A" w14:textId="77777777" w:rsidR="00A052DC" w:rsidRDefault="009F0A60">
            <w:pPr>
              <w:jc w:val="left"/>
              <w:rPr>
                <w:rFonts w:ascii="黑体" w:eastAsia="黑体" w:hAnsi="黑体"/>
                <w:color w:val="000000"/>
                <w:kern w:val="0"/>
                <w:sz w:val="20"/>
                <w:szCs w:val="20"/>
              </w:rPr>
            </w:pPr>
            <w:r>
              <w:rPr>
                <w:rFonts w:ascii="黑体" w:eastAsia="黑体" w:hAnsi="黑体" w:hint="eastAsia"/>
                <w:color w:val="000000"/>
                <w:kern w:val="0"/>
                <w:sz w:val="20"/>
                <w:szCs w:val="20"/>
              </w:rPr>
              <w:t>卡组织单号</w:t>
            </w:r>
          </w:p>
        </w:tc>
        <w:tc>
          <w:tcPr>
            <w:tcW w:w="6383" w:type="dxa"/>
            <w:vAlign w:val="center"/>
          </w:tcPr>
          <w:p w14:paraId="2682B5CF" w14:textId="77777777" w:rsidR="00A052DC" w:rsidRDefault="009F0A60">
            <w:pPr>
              <w:rPr>
                <w:rFonts w:ascii="黑体" w:eastAsia="黑体" w:hAnsi="黑体"/>
                <w:color w:val="000000"/>
                <w:kern w:val="0"/>
                <w:sz w:val="20"/>
                <w:szCs w:val="20"/>
              </w:rPr>
            </w:pPr>
            <w:r>
              <w:rPr>
                <w:rFonts w:ascii="黑体" w:eastAsia="黑体" w:hAnsi="黑体" w:hint="eastAsia"/>
                <w:color w:val="000000"/>
                <w:kern w:val="0"/>
                <w:sz w:val="20"/>
                <w:szCs w:val="20"/>
              </w:rPr>
              <w:t>指银行卡清算组织交易授权文件中的唯一标识业务编号。</w:t>
            </w:r>
          </w:p>
        </w:tc>
      </w:tr>
    </w:tbl>
    <w:p w14:paraId="43FD7571" w14:textId="77777777" w:rsidR="00A052DC" w:rsidRDefault="009F0A60">
      <w:pPr>
        <w:pStyle w:val="4"/>
        <w:numPr>
          <w:ilvl w:val="3"/>
          <w:numId w:val="1"/>
        </w:numPr>
        <w:jc w:val="left"/>
      </w:pPr>
      <w:r>
        <w:rPr>
          <w:rFonts w:hint="eastAsia"/>
        </w:rPr>
        <w:t>数据格式</w:t>
      </w:r>
    </w:p>
    <w:p w14:paraId="6D8F5A5F" w14:textId="77777777" w:rsidR="00A052DC" w:rsidRDefault="009F0A60">
      <w:pPr>
        <w:ind w:firstLine="482"/>
        <w:rPr>
          <w:szCs w:val="21"/>
        </w:rPr>
      </w:pPr>
      <w:r>
        <w:rPr>
          <w:szCs w:val="21"/>
        </w:rPr>
        <w:t>&lt; REC &gt;</w:t>
      </w:r>
    </w:p>
    <w:p w14:paraId="2F8AE50D" w14:textId="77777777" w:rsidR="00A052DC" w:rsidRDefault="009F0A60">
      <w:pPr>
        <w:ind w:firstLine="482"/>
        <w:rPr>
          <w:szCs w:val="21"/>
        </w:rPr>
      </w:pPr>
      <w:r>
        <w:rPr>
          <w:szCs w:val="21"/>
        </w:rPr>
        <w:t>&lt; OPER_TYPE_CODE&gt;</w:t>
      </w:r>
      <w:r>
        <w:rPr>
          <w:szCs w:val="21"/>
        </w:rPr>
        <w:t>操作类型</w:t>
      </w:r>
      <w:r>
        <w:rPr>
          <w:szCs w:val="21"/>
        </w:rPr>
        <w:t>&lt;/OPER_TYPE_CODE&gt;</w:t>
      </w:r>
    </w:p>
    <w:p w14:paraId="7E81E4FB" w14:textId="77777777" w:rsidR="00A052DC" w:rsidRDefault="009F0A60">
      <w:pPr>
        <w:ind w:firstLine="482"/>
        <w:rPr>
          <w:szCs w:val="21"/>
        </w:rPr>
      </w:pPr>
      <w:r>
        <w:rPr>
          <w:szCs w:val="21"/>
        </w:rPr>
        <w:t>&lt; REASON_CODE&gt;</w:t>
      </w:r>
      <w:r>
        <w:rPr>
          <w:szCs w:val="21"/>
        </w:rPr>
        <w:t>修改</w:t>
      </w:r>
      <w:r>
        <w:rPr>
          <w:szCs w:val="21"/>
        </w:rPr>
        <w:t>/</w:t>
      </w:r>
      <w:r>
        <w:rPr>
          <w:szCs w:val="21"/>
        </w:rPr>
        <w:t>删除原因</w:t>
      </w:r>
      <w:r>
        <w:rPr>
          <w:szCs w:val="21"/>
        </w:rPr>
        <w:t>&lt;/ REASON_CODE&gt;</w:t>
      </w:r>
    </w:p>
    <w:p w14:paraId="583A7967" w14:textId="77777777" w:rsidR="00A052DC" w:rsidRDefault="009F0A60">
      <w:pPr>
        <w:ind w:firstLine="482"/>
        <w:rPr>
          <w:szCs w:val="21"/>
        </w:rPr>
      </w:pPr>
      <w:r>
        <w:rPr>
          <w:szCs w:val="21"/>
        </w:rPr>
        <w:t>&lt;REFNO &gt;</w:t>
      </w:r>
      <w:r>
        <w:rPr>
          <w:szCs w:val="21"/>
        </w:rPr>
        <w:t>业务参号</w:t>
      </w:r>
      <w:r>
        <w:rPr>
          <w:szCs w:val="21"/>
        </w:rPr>
        <w:t>&lt;/REFNO &gt;</w:t>
      </w:r>
    </w:p>
    <w:p w14:paraId="565046F3" w14:textId="77777777" w:rsidR="00A052DC" w:rsidRDefault="009F0A60">
      <w:pPr>
        <w:ind w:firstLine="482"/>
        <w:rPr>
          <w:szCs w:val="21"/>
        </w:rPr>
      </w:pPr>
      <w:r>
        <w:rPr>
          <w:szCs w:val="21"/>
        </w:rPr>
        <w:t>&lt;CERT_TYPE_CODE &gt;</w:t>
      </w:r>
      <w:r>
        <w:rPr>
          <w:szCs w:val="21"/>
        </w:rPr>
        <w:t>持卡人身份证件类型</w:t>
      </w:r>
      <w:r>
        <w:rPr>
          <w:szCs w:val="21"/>
        </w:rPr>
        <w:t>&lt;/CERT_TYPE_CODE &gt;</w:t>
      </w:r>
    </w:p>
    <w:p w14:paraId="60BEACA5" w14:textId="77777777" w:rsidR="00563761" w:rsidRDefault="00D06A80" w:rsidP="0020251D">
      <w:pPr>
        <w:rPr>
          <w:szCs w:val="21"/>
        </w:rPr>
      </w:pPr>
      <w:r w:rsidRPr="00D06A80">
        <w:rPr>
          <w:rFonts w:hint="eastAsia"/>
          <w:szCs w:val="21"/>
        </w:rPr>
        <w:t>&lt;PTY_COUNTRY_CODE &gt;</w:t>
      </w:r>
      <w:r w:rsidRPr="00D06A80">
        <w:rPr>
          <w:rFonts w:hint="eastAsia"/>
          <w:szCs w:val="21"/>
        </w:rPr>
        <w:t>持卡人国家</w:t>
      </w:r>
      <w:r w:rsidRPr="00D06A80">
        <w:rPr>
          <w:rFonts w:hint="eastAsia"/>
          <w:szCs w:val="21"/>
        </w:rPr>
        <w:t>/</w:t>
      </w:r>
      <w:r w:rsidRPr="00D06A80">
        <w:rPr>
          <w:rFonts w:hint="eastAsia"/>
          <w:szCs w:val="21"/>
        </w:rPr>
        <w:t>地区</w:t>
      </w:r>
      <w:r w:rsidRPr="00D06A80">
        <w:rPr>
          <w:rFonts w:hint="eastAsia"/>
          <w:szCs w:val="21"/>
        </w:rPr>
        <w:t>&lt;/PTY_COUNTRY_CODE &gt;</w:t>
      </w:r>
    </w:p>
    <w:p w14:paraId="0DF22404" w14:textId="77777777" w:rsidR="00A052DC" w:rsidRDefault="009F0A60">
      <w:pPr>
        <w:ind w:firstLine="482"/>
        <w:rPr>
          <w:szCs w:val="21"/>
        </w:rPr>
      </w:pPr>
      <w:r>
        <w:rPr>
          <w:szCs w:val="21"/>
        </w:rPr>
        <w:t>&lt; ID_CODE &gt;</w:t>
      </w:r>
      <w:r>
        <w:rPr>
          <w:szCs w:val="21"/>
        </w:rPr>
        <w:t>身份证件号码</w:t>
      </w:r>
      <w:r>
        <w:rPr>
          <w:szCs w:val="21"/>
        </w:rPr>
        <w:t>&lt;/ ID_CODE &gt;</w:t>
      </w:r>
    </w:p>
    <w:p w14:paraId="1D5C5A6A" w14:textId="77777777" w:rsidR="00A052DC" w:rsidRDefault="009F0A60">
      <w:pPr>
        <w:ind w:firstLine="482"/>
        <w:rPr>
          <w:szCs w:val="21"/>
        </w:rPr>
      </w:pPr>
      <w:r>
        <w:rPr>
          <w:szCs w:val="21"/>
        </w:rPr>
        <w:t>&lt; PERSON_NAME &gt;</w:t>
      </w:r>
      <w:r>
        <w:rPr>
          <w:szCs w:val="21"/>
        </w:rPr>
        <w:t>持卡人姓名</w:t>
      </w:r>
      <w:r>
        <w:rPr>
          <w:szCs w:val="21"/>
        </w:rPr>
        <w:t>&lt;/ PERSON_NAME &gt;</w:t>
      </w:r>
    </w:p>
    <w:p w14:paraId="7B054761" w14:textId="77777777" w:rsidR="00A052DC" w:rsidRDefault="009F0A60">
      <w:pPr>
        <w:ind w:firstLine="482"/>
        <w:rPr>
          <w:szCs w:val="21"/>
        </w:rPr>
      </w:pPr>
      <w:r>
        <w:rPr>
          <w:szCs w:val="21"/>
        </w:rPr>
        <w:t>&lt;ACCTNO &gt;</w:t>
      </w:r>
      <w:r>
        <w:rPr>
          <w:szCs w:val="21"/>
        </w:rPr>
        <w:t>卡号</w:t>
      </w:r>
      <w:r>
        <w:rPr>
          <w:szCs w:val="21"/>
        </w:rPr>
        <w:t>&lt;/ACCTNO &gt;</w:t>
      </w:r>
    </w:p>
    <w:p w14:paraId="14906142" w14:textId="77777777" w:rsidR="00A052DC" w:rsidRDefault="009F0A60">
      <w:pPr>
        <w:ind w:firstLine="482"/>
        <w:rPr>
          <w:szCs w:val="21"/>
        </w:rPr>
      </w:pPr>
      <w:r>
        <w:rPr>
          <w:szCs w:val="21"/>
        </w:rPr>
        <w:t>&lt; JY_ CCY_CODE &gt;</w:t>
      </w:r>
      <w:r>
        <w:rPr>
          <w:szCs w:val="21"/>
        </w:rPr>
        <w:t>交易货币币种</w:t>
      </w:r>
      <w:r>
        <w:rPr>
          <w:szCs w:val="21"/>
        </w:rPr>
        <w:t>&lt;/ JY_ CCY_CODE &gt;</w:t>
      </w:r>
    </w:p>
    <w:p w14:paraId="01EFCEC3" w14:textId="77777777" w:rsidR="00A052DC" w:rsidRDefault="009F0A60">
      <w:pPr>
        <w:ind w:firstLine="482"/>
        <w:rPr>
          <w:szCs w:val="21"/>
        </w:rPr>
      </w:pPr>
      <w:r>
        <w:rPr>
          <w:szCs w:val="21"/>
        </w:rPr>
        <w:t>&lt; JY_AMT &gt;</w:t>
      </w:r>
      <w:r>
        <w:rPr>
          <w:szCs w:val="21"/>
        </w:rPr>
        <w:t>交易货币金额</w:t>
      </w:r>
      <w:r>
        <w:rPr>
          <w:szCs w:val="21"/>
        </w:rPr>
        <w:t>&lt;/ JY_AMT &gt;</w:t>
      </w:r>
    </w:p>
    <w:p w14:paraId="67DBC1A4" w14:textId="77777777" w:rsidR="00A052DC" w:rsidRDefault="009F0A60">
      <w:pPr>
        <w:ind w:firstLine="482"/>
        <w:rPr>
          <w:szCs w:val="21"/>
        </w:rPr>
      </w:pPr>
      <w:r>
        <w:rPr>
          <w:szCs w:val="21"/>
        </w:rPr>
        <w:t>&lt; QS_AMT_RMB &gt;</w:t>
      </w:r>
      <w:r>
        <w:rPr>
          <w:szCs w:val="21"/>
        </w:rPr>
        <w:t>交易货币折人民币金额</w:t>
      </w:r>
      <w:r>
        <w:rPr>
          <w:szCs w:val="21"/>
        </w:rPr>
        <w:t>&lt;/ QS_AMT_RMB &gt;</w:t>
      </w:r>
    </w:p>
    <w:p w14:paraId="74A09043" w14:textId="77777777" w:rsidR="00A052DC" w:rsidRDefault="009F0A60">
      <w:pPr>
        <w:ind w:firstLine="482"/>
        <w:rPr>
          <w:szCs w:val="21"/>
        </w:rPr>
      </w:pPr>
      <w:r>
        <w:rPr>
          <w:szCs w:val="21"/>
        </w:rPr>
        <w:t xml:space="preserve">&lt; MCC_CODE &gt; MCC </w:t>
      </w:r>
      <w:r>
        <w:rPr>
          <w:szCs w:val="21"/>
        </w:rPr>
        <w:t>码</w:t>
      </w:r>
      <w:r>
        <w:rPr>
          <w:szCs w:val="21"/>
        </w:rPr>
        <w:t>&lt;/ MCC_CODE &gt;</w:t>
      </w:r>
    </w:p>
    <w:p w14:paraId="4ECB4975" w14:textId="77777777" w:rsidR="00A052DC" w:rsidRDefault="009F0A60">
      <w:pPr>
        <w:ind w:firstLine="482"/>
        <w:rPr>
          <w:szCs w:val="21"/>
        </w:rPr>
      </w:pPr>
      <w:r>
        <w:rPr>
          <w:szCs w:val="21"/>
        </w:rPr>
        <w:t>&lt; CARD _TYPE_CODE &gt;</w:t>
      </w:r>
      <w:r>
        <w:rPr>
          <w:szCs w:val="21"/>
        </w:rPr>
        <w:t>银行卡类型</w:t>
      </w:r>
      <w:r>
        <w:rPr>
          <w:szCs w:val="21"/>
        </w:rPr>
        <w:t>&lt;/ CARD _TYPE_CODE &gt;</w:t>
      </w:r>
    </w:p>
    <w:p w14:paraId="67CDF5BA" w14:textId="77777777" w:rsidR="00A052DC" w:rsidRDefault="009F0A60">
      <w:pPr>
        <w:ind w:firstLine="482"/>
        <w:rPr>
          <w:szCs w:val="21"/>
        </w:rPr>
      </w:pPr>
      <w:r>
        <w:rPr>
          <w:szCs w:val="21"/>
        </w:rPr>
        <w:t>&lt; CARD_CHNL_CODE &gt;</w:t>
      </w:r>
      <w:r>
        <w:rPr>
          <w:szCs w:val="21"/>
        </w:rPr>
        <w:t>银行卡清算渠道</w:t>
      </w:r>
      <w:r>
        <w:rPr>
          <w:szCs w:val="21"/>
        </w:rPr>
        <w:t>&lt;/ CARD_CHNL_CODE &gt;</w:t>
      </w:r>
    </w:p>
    <w:p w14:paraId="6358D3CF" w14:textId="77777777" w:rsidR="00A052DC" w:rsidRDefault="009F0A60">
      <w:pPr>
        <w:ind w:firstLine="482"/>
        <w:rPr>
          <w:szCs w:val="21"/>
        </w:rPr>
      </w:pPr>
      <w:r>
        <w:rPr>
          <w:szCs w:val="21"/>
        </w:rPr>
        <w:t>&lt; BANK_CODE &gt;</w:t>
      </w:r>
      <w:r>
        <w:rPr>
          <w:szCs w:val="21"/>
        </w:rPr>
        <w:t>发卡行金融机构代码</w:t>
      </w:r>
      <w:r>
        <w:rPr>
          <w:szCs w:val="21"/>
        </w:rPr>
        <w:t>&lt;/ BANK_CODE &gt;</w:t>
      </w:r>
    </w:p>
    <w:p w14:paraId="61C293F9" w14:textId="77777777" w:rsidR="00A052DC" w:rsidRDefault="009F0A60">
      <w:pPr>
        <w:ind w:firstLine="482"/>
        <w:rPr>
          <w:szCs w:val="21"/>
        </w:rPr>
      </w:pPr>
      <w:r>
        <w:rPr>
          <w:szCs w:val="21"/>
        </w:rPr>
        <w:t>&lt;BRANCH_SAFECODE&gt;</w:t>
      </w:r>
      <w:r>
        <w:rPr>
          <w:szCs w:val="21"/>
        </w:rPr>
        <w:t>发卡网点所在地外汇局代码</w:t>
      </w:r>
      <w:r>
        <w:rPr>
          <w:szCs w:val="21"/>
        </w:rPr>
        <w:t>&lt;/BRANCH_SAFECODE&gt;</w:t>
      </w:r>
    </w:p>
    <w:p w14:paraId="00B3A741" w14:textId="77777777" w:rsidR="00A052DC" w:rsidRDefault="009F0A60">
      <w:pPr>
        <w:ind w:firstLine="482"/>
        <w:rPr>
          <w:szCs w:val="21"/>
        </w:rPr>
      </w:pPr>
      <w:r>
        <w:rPr>
          <w:szCs w:val="21"/>
        </w:rPr>
        <w:t>&lt; BIZ_DEAL_TIME &gt;</w:t>
      </w:r>
      <w:r>
        <w:rPr>
          <w:szCs w:val="21"/>
        </w:rPr>
        <w:t>交易授权日期及时间</w:t>
      </w:r>
      <w:r>
        <w:rPr>
          <w:szCs w:val="21"/>
        </w:rPr>
        <w:t>&lt;/ BIZ_DEAL_TIME &gt;</w:t>
      </w:r>
    </w:p>
    <w:p w14:paraId="07241C64" w14:textId="77777777" w:rsidR="00A052DC" w:rsidRDefault="009F0A60">
      <w:pPr>
        <w:ind w:firstLine="482"/>
        <w:rPr>
          <w:szCs w:val="21"/>
        </w:rPr>
      </w:pPr>
      <w:r>
        <w:rPr>
          <w:szCs w:val="21"/>
        </w:rPr>
        <w:t>&lt; COUNTRY_CODE &gt;</w:t>
      </w:r>
      <w:r>
        <w:rPr>
          <w:szCs w:val="21"/>
        </w:rPr>
        <w:t>交易国家或地区</w:t>
      </w:r>
      <w:r>
        <w:rPr>
          <w:szCs w:val="21"/>
        </w:rPr>
        <w:t>&lt;/ COUNTRY_CODE &gt;</w:t>
      </w:r>
    </w:p>
    <w:p w14:paraId="0F61EF84" w14:textId="77777777" w:rsidR="00A052DC" w:rsidRDefault="009F0A60">
      <w:pPr>
        <w:ind w:firstLine="482"/>
        <w:rPr>
          <w:szCs w:val="21"/>
        </w:rPr>
      </w:pPr>
      <w:r>
        <w:rPr>
          <w:szCs w:val="21"/>
        </w:rPr>
        <w:t>&lt; BANK_SELF_NUM &gt;</w:t>
      </w:r>
      <w:r>
        <w:rPr>
          <w:szCs w:val="21"/>
        </w:rPr>
        <w:t>银行内部流水号</w:t>
      </w:r>
      <w:r>
        <w:rPr>
          <w:szCs w:val="21"/>
        </w:rPr>
        <w:t>&lt;/ BANK_SELF_NUM &gt;</w:t>
      </w:r>
    </w:p>
    <w:p w14:paraId="3B2E48FF" w14:textId="77777777" w:rsidR="00A052DC" w:rsidRDefault="009F0A60">
      <w:pPr>
        <w:ind w:firstLine="482"/>
        <w:rPr>
          <w:szCs w:val="21"/>
        </w:rPr>
      </w:pPr>
      <w:r>
        <w:rPr>
          <w:szCs w:val="21"/>
        </w:rPr>
        <w:t>&lt; CARD_ SELF_NUM &gt;</w:t>
      </w:r>
      <w:r>
        <w:rPr>
          <w:szCs w:val="21"/>
        </w:rPr>
        <w:t>卡组织单号</w:t>
      </w:r>
      <w:r>
        <w:rPr>
          <w:szCs w:val="21"/>
        </w:rPr>
        <w:t>&lt;/ CARD_ SELF_NUM &gt;</w:t>
      </w:r>
    </w:p>
    <w:p w14:paraId="79B33D01" w14:textId="77777777" w:rsidR="00A052DC" w:rsidRDefault="009F0A60">
      <w:pPr>
        <w:ind w:firstLine="482"/>
        <w:rPr>
          <w:szCs w:val="21"/>
        </w:rPr>
      </w:pPr>
      <w:r>
        <w:rPr>
          <w:szCs w:val="21"/>
        </w:rPr>
        <w:t>&lt;/ REC &gt;</w:t>
      </w:r>
    </w:p>
    <w:p w14:paraId="6C385A21" w14:textId="77777777" w:rsidR="00A052DC" w:rsidRDefault="009F0A60" w:rsidP="0020251D">
      <w:pPr>
        <w:pStyle w:val="4"/>
        <w:numPr>
          <w:ilvl w:val="3"/>
          <w:numId w:val="1"/>
        </w:numPr>
        <w:jc w:val="left"/>
      </w:pPr>
      <w:r>
        <w:rPr>
          <w:rFonts w:hint="eastAsia"/>
        </w:rPr>
        <w:t>数据字典</w:t>
      </w:r>
    </w:p>
    <w:tbl>
      <w:tblPr>
        <w:tblpPr w:leftFromText="180" w:rightFromText="180" w:vertAnchor="text" w:horzAnchor="margin" w:tblpXSpec="center" w:tblpY="121"/>
        <w:tblW w:w="8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4"/>
        <w:gridCol w:w="1853"/>
        <w:gridCol w:w="1417"/>
        <w:gridCol w:w="3862"/>
      </w:tblGrid>
      <w:tr w:rsidR="00A052DC" w14:paraId="31194441" w14:textId="77777777">
        <w:trPr>
          <w:tblHeader/>
        </w:trPr>
        <w:tc>
          <w:tcPr>
            <w:tcW w:w="1374" w:type="dxa"/>
            <w:shd w:val="clear" w:color="auto" w:fill="BFBFBF"/>
            <w:vAlign w:val="center"/>
          </w:tcPr>
          <w:p w14:paraId="48E68D1D" w14:textId="77777777" w:rsidR="00A052DC" w:rsidRDefault="009F0A60">
            <w:pPr>
              <w:jc w:val="center"/>
              <w:rPr>
                <w:rFonts w:ascii="黑体" w:eastAsia="黑体" w:hAnsi="黑体"/>
                <w:b/>
                <w:sz w:val="20"/>
                <w:szCs w:val="20"/>
              </w:rPr>
            </w:pPr>
            <w:r>
              <w:rPr>
                <w:rFonts w:ascii="黑体" w:eastAsia="黑体" w:hAnsi="黑体" w:hint="eastAsia"/>
                <w:b/>
                <w:sz w:val="20"/>
                <w:szCs w:val="20"/>
              </w:rPr>
              <w:t>字段</w:t>
            </w:r>
          </w:p>
        </w:tc>
        <w:tc>
          <w:tcPr>
            <w:tcW w:w="1853" w:type="dxa"/>
            <w:shd w:val="clear" w:color="auto" w:fill="BFBFBF"/>
            <w:vAlign w:val="center"/>
          </w:tcPr>
          <w:p w14:paraId="4FC06561" w14:textId="77777777" w:rsidR="00A052DC" w:rsidRDefault="009F0A60">
            <w:pPr>
              <w:jc w:val="center"/>
              <w:rPr>
                <w:rFonts w:ascii="黑体" w:eastAsia="黑体" w:hAnsi="黑体"/>
                <w:b/>
                <w:sz w:val="20"/>
                <w:szCs w:val="20"/>
              </w:rPr>
            </w:pPr>
            <w:r>
              <w:rPr>
                <w:rFonts w:ascii="黑体" w:eastAsia="黑体" w:hAnsi="黑体" w:hint="eastAsia"/>
                <w:b/>
                <w:sz w:val="20"/>
                <w:szCs w:val="20"/>
              </w:rPr>
              <w:t>内容</w:t>
            </w:r>
          </w:p>
        </w:tc>
        <w:tc>
          <w:tcPr>
            <w:tcW w:w="1417" w:type="dxa"/>
            <w:shd w:val="clear" w:color="auto" w:fill="BFBFBF"/>
            <w:vAlign w:val="center"/>
          </w:tcPr>
          <w:p w14:paraId="22FE1DE5" w14:textId="77777777" w:rsidR="00A052DC" w:rsidRDefault="009F0A60">
            <w:pPr>
              <w:jc w:val="center"/>
              <w:rPr>
                <w:rFonts w:ascii="黑体" w:eastAsia="黑体" w:hAnsi="黑体"/>
                <w:b/>
                <w:sz w:val="20"/>
                <w:szCs w:val="20"/>
              </w:rPr>
            </w:pPr>
            <w:r>
              <w:rPr>
                <w:rFonts w:ascii="黑体" w:eastAsia="黑体" w:hAnsi="黑体" w:hint="eastAsia"/>
                <w:b/>
                <w:sz w:val="20"/>
                <w:szCs w:val="20"/>
              </w:rPr>
              <w:t>类型（长度）</w:t>
            </w:r>
          </w:p>
        </w:tc>
        <w:tc>
          <w:tcPr>
            <w:tcW w:w="3862" w:type="dxa"/>
            <w:shd w:val="clear" w:color="auto" w:fill="BFBFBF"/>
            <w:vAlign w:val="center"/>
          </w:tcPr>
          <w:p w14:paraId="09CDA400" w14:textId="77777777" w:rsidR="00A052DC" w:rsidRDefault="009F0A60">
            <w:pPr>
              <w:jc w:val="center"/>
              <w:rPr>
                <w:rFonts w:ascii="黑体" w:eastAsia="黑体" w:hAnsi="黑体"/>
                <w:b/>
                <w:sz w:val="20"/>
                <w:szCs w:val="20"/>
              </w:rPr>
            </w:pPr>
            <w:r>
              <w:rPr>
                <w:rFonts w:ascii="黑体" w:eastAsia="黑体" w:hAnsi="黑体" w:hint="eastAsia"/>
                <w:b/>
                <w:sz w:val="20"/>
                <w:szCs w:val="20"/>
              </w:rPr>
              <w:t>校验</w:t>
            </w:r>
          </w:p>
        </w:tc>
      </w:tr>
      <w:tr w:rsidR="00A052DC" w14:paraId="7BB952CD" w14:textId="77777777">
        <w:tc>
          <w:tcPr>
            <w:tcW w:w="1374" w:type="dxa"/>
          </w:tcPr>
          <w:p w14:paraId="315C4A8E" w14:textId="77777777" w:rsidR="00A052DC" w:rsidRDefault="009F0A60">
            <w:pPr>
              <w:rPr>
                <w:rFonts w:ascii="黑体" w:eastAsia="黑体" w:hAnsi="黑体"/>
                <w:sz w:val="20"/>
                <w:szCs w:val="20"/>
              </w:rPr>
            </w:pPr>
            <w:r>
              <w:rPr>
                <w:rFonts w:ascii="黑体" w:eastAsia="黑体" w:hAnsi="黑体"/>
                <w:sz w:val="20"/>
                <w:szCs w:val="20"/>
              </w:rPr>
              <w:t>OPER_TYPE_CODE</w:t>
            </w:r>
          </w:p>
        </w:tc>
        <w:tc>
          <w:tcPr>
            <w:tcW w:w="1853" w:type="dxa"/>
          </w:tcPr>
          <w:p w14:paraId="3CA4F45D" w14:textId="77777777" w:rsidR="00A052DC" w:rsidRDefault="009F0A60">
            <w:pPr>
              <w:rPr>
                <w:rFonts w:ascii="黑体" w:eastAsia="黑体" w:hAnsi="黑体"/>
                <w:sz w:val="20"/>
                <w:szCs w:val="20"/>
              </w:rPr>
            </w:pPr>
            <w:r>
              <w:rPr>
                <w:rFonts w:ascii="黑体" w:eastAsia="黑体" w:hAnsi="黑体" w:hint="eastAsia"/>
                <w:sz w:val="20"/>
                <w:szCs w:val="20"/>
              </w:rPr>
              <w:t>操作类型</w:t>
            </w:r>
          </w:p>
        </w:tc>
        <w:tc>
          <w:tcPr>
            <w:tcW w:w="1417" w:type="dxa"/>
          </w:tcPr>
          <w:p w14:paraId="1F3F7844" w14:textId="77777777" w:rsidR="00A052DC" w:rsidRDefault="009F0A60">
            <w:pPr>
              <w:jc w:val="left"/>
              <w:rPr>
                <w:rFonts w:ascii="黑体" w:eastAsia="黑体" w:hAnsi="黑体"/>
                <w:sz w:val="20"/>
                <w:szCs w:val="20"/>
              </w:rPr>
            </w:pPr>
            <w:r>
              <w:rPr>
                <w:rFonts w:ascii="黑体" w:eastAsia="黑体" w:hAnsi="黑体" w:hint="eastAsia"/>
                <w:sz w:val="20"/>
                <w:szCs w:val="20"/>
              </w:rPr>
              <w:t>字符型，</w:t>
            </w:r>
            <w:r>
              <w:rPr>
                <w:rFonts w:ascii="黑体" w:eastAsia="黑体" w:hAnsi="黑体"/>
                <w:sz w:val="20"/>
                <w:szCs w:val="20"/>
              </w:rPr>
              <w:t>1</w:t>
            </w:r>
          </w:p>
        </w:tc>
        <w:tc>
          <w:tcPr>
            <w:tcW w:w="3862" w:type="dxa"/>
          </w:tcPr>
          <w:p w14:paraId="60F5926E" w14:textId="77777777" w:rsidR="00A052DC" w:rsidRDefault="009F0A60">
            <w:pPr>
              <w:rPr>
                <w:rFonts w:ascii="黑体" w:eastAsia="黑体" w:hAnsi="黑体"/>
                <w:sz w:val="20"/>
                <w:szCs w:val="20"/>
              </w:rPr>
            </w:pPr>
            <w:r>
              <w:rPr>
                <w:rFonts w:ascii="黑体" w:eastAsia="黑体" w:hAnsi="黑体" w:hint="eastAsia"/>
                <w:sz w:val="20"/>
                <w:szCs w:val="20"/>
              </w:rPr>
              <w:t>必填项，</w:t>
            </w:r>
          </w:p>
          <w:p w14:paraId="47FF7BF9" w14:textId="77777777" w:rsidR="00A052DC" w:rsidRDefault="009F0A60">
            <w:pPr>
              <w:rPr>
                <w:rFonts w:ascii="黑体" w:eastAsia="黑体" w:hAnsi="黑体"/>
                <w:sz w:val="20"/>
                <w:szCs w:val="20"/>
              </w:rPr>
            </w:pPr>
            <w:r>
              <w:rPr>
                <w:rFonts w:ascii="黑体" w:eastAsia="黑体" w:hAnsi="黑体"/>
                <w:sz w:val="20"/>
                <w:szCs w:val="20"/>
              </w:rPr>
              <w:t>A</w:t>
            </w:r>
            <w:r w:rsidR="00AE4602">
              <w:rPr>
                <w:rFonts w:ascii="黑体" w:eastAsia="黑体" w:hAnsi="黑体" w:hint="eastAsia"/>
                <w:sz w:val="20"/>
                <w:szCs w:val="20"/>
              </w:rPr>
              <w:t>-</w:t>
            </w:r>
            <w:r>
              <w:rPr>
                <w:rFonts w:ascii="黑体" w:eastAsia="黑体" w:hAnsi="黑体" w:hint="eastAsia"/>
                <w:sz w:val="20"/>
                <w:szCs w:val="20"/>
              </w:rPr>
              <w:t>新建</w:t>
            </w:r>
          </w:p>
          <w:p w14:paraId="2F43DC85" w14:textId="77777777" w:rsidR="00A052DC" w:rsidRDefault="009F0A60">
            <w:pPr>
              <w:rPr>
                <w:rFonts w:ascii="黑体" w:eastAsia="黑体" w:hAnsi="黑体"/>
                <w:sz w:val="20"/>
                <w:szCs w:val="20"/>
              </w:rPr>
            </w:pPr>
            <w:r>
              <w:rPr>
                <w:rFonts w:ascii="黑体" w:eastAsia="黑体" w:hAnsi="黑体"/>
                <w:sz w:val="20"/>
                <w:szCs w:val="20"/>
              </w:rPr>
              <w:t>C</w:t>
            </w:r>
            <w:r w:rsidR="00AE4602">
              <w:rPr>
                <w:rFonts w:ascii="黑体" w:eastAsia="黑体" w:hAnsi="黑体" w:hint="eastAsia"/>
                <w:sz w:val="20"/>
                <w:szCs w:val="20"/>
              </w:rPr>
              <w:t>-</w:t>
            </w:r>
            <w:r>
              <w:rPr>
                <w:rFonts w:ascii="黑体" w:eastAsia="黑体" w:hAnsi="黑体" w:hint="eastAsia"/>
                <w:sz w:val="20"/>
                <w:szCs w:val="20"/>
              </w:rPr>
              <w:t>修改</w:t>
            </w:r>
          </w:p>
          <w:p w14:paraId="596FA4B8" w14:textId="77777777" w:rsidR="00A052DC" w:rsidRDefault="009F0A60">
            <w:pPr>
              <w:rPr>
                <w:rFonts w:ascii="黑体" w:eastAsia="黑体" w:hAnsi="黑体"/>
                <w:sz w:val="20"/>
                <w:szCs w:val="20"/>
              </w:rPr>
            </w:pPr>
            <w:r>
              <w:rPr>
                <w:rFonts w:ascii="黑体" w:eastAsia="黑体" w:hAnsi="黑体"/>
                <w:sz w:val="20"/>
                <w:szCs w:val="20"/>
              </w:rPr>
              <w:t>D</w:t>
            </w:r>
            <w:r w:rsidR="00AE4602">
              <w:rPr>
                <w:rFonts w:ascii="黑体" w:eastAsia="黑体" w:hAnsi="黑体" w:hint="eastAsia"/>
                <w:sz w:val="20"/>
                <w:szCs w:val="20"/>
              </w:rPr>
              <w:t>-</w:t>
            </w:r>
            <w:r>
              <w:rPr>
                <w:rFonts w:ascii="黑体" w:eastAsia="黑体" w:hAnsi="黑体" w:hint="eastAsia"/>
                <w:sz w:val="20"/>
                <w:szCs w:val="20"/>
              </w:rPr>
              <w:t>删除</w:t>
            </w:r>
          </w:p>
          <w:p w14:paraId="2B0F0ED9" w14:textId="77777777" w:rsidR="00A052DC" w:rsidRDefault="009F0A60">
            <w:pPr>
              <w:rPr>
                <w:rFonts w:ascii="黑体" w:eastAsia="黑体" w:hAnsi="黑体"/>
                <w:sz w:val="20"/>
                <w:szCs w:val="20"/>
              </w:rPr>
            </w:pPr>
            <w:r>
              <w:rPr>
                <w:rFonts w:ascii="黑体" w:eastAsia="黑体" w:hAnsi="黑体" w:hint="eastAsia"/>
                <w:sz w:val="20"/>
                <w:szCs w:val="20"/>
              </w:rPr>
              <w:t>对于外汇局反馈的错误数据，应使用原业务参号</w:t>
            </w:r>
            <w:r>
              <w:rPr>
                <w:rFonts w:ascii="黑体" w:eastAsia="黑体" w:hAnsi="黑体"/>
                <w:sz w:val="20"/>
                <w:szCs w:val="20"/>
              </w:rPr>
              <w:t>重新报送</w:t>
            </w:r>
            <w:r>
              <w:rPr>
                <w:rFonts w:ascii="黑体" w:eastAsia="黑体" w:hAnsi="黑体" w:hint="eastAsia"/>
                <w:sz w:val="20"/>
                <w:szCs w:val="20"/>
              </w:rPr>
              <w:t>，操作类型为</w:t>
            </w:r>
            <w:r>
              <w:rPr>
                <w:rFonts w:ascii="黑体" w:eastAsia="黑体" w:hAnsi="黑体"/>
                <w:sz w:val="20"/>
                <w:szCs w:val="20"/>
              </w:rPr>
              <w:t>A</w:t>
            </w:r>
            <w:r>
              <w:rPr>
                <w:rFonts w:ascii="黑体" w:eastAsia="黑体" w:hAnsi="黑体" w:hint="eastAsia"/>
                <w:sz w:val="20"/>
                <w:szCs w:val="20"/>
              </w:rPr>
              <w:t>新建。</w:t>
            </w:r>
          </w:p>
        </w:tc>
      </w:tr>
      <w:tr w:rsidR="00A052DC" w14:paraId="44ADC6EF" w14:textId="77777777">
        <w:tc>
          <w:tcPr>
            <w:tcW w:w="1374" w:type="dxa"/>
          </w:tcPr>
          <w:p w14:paraId="0FAA769D" w14:textId="77777777" w:rsidR="00A052DC" w:rsidRDefault="009F0A60">
            <w:pPr>
              <w:rPr>
                <w:rFonts w:ascii="黑体" w:eastAsia="黑体" w:hAnsi="黑体"/>
                <w:sz w:val="20"/>
                <w:szCs w:val="20"/>
              </w:rPr>
            </w:pPr>
            <w:r>
              <w:rPr>
                <w:rFonts w:ascii="黑体" w:eastAsia="黑体" w:hAnsi="黑体"/>
                <w:sz w:val="20"/>
                <w:szCs w:val="20"/>
              </w:rPr>
              <w:t>REASON_CODE</w:t>
            </w:r>
          </w:p>
        </w:tc>
        <w:tc>
          <w:tcPr>
            <w:tcW w:w="1853" w:type="dxa"/>
          </w:tcPr>
          <w:p w14:paraId="19952D7E" w14:textId="77777777" w:rsidR="00A052DC" w:rsidRDefault="009F0A60">
            <w:pPr>
              <w:rPr>
                <w:rFonts w:ascii="黑体" w:eastAsia="黑体" w:hAnsi="黑体"/>
                <w:sz w:val="20"/>
                <w:szCs w:val="20"/>
              </w:rPr>
            </w:pPr>
            <w:r>
              <w:rPr>
                <w:rFonts w:ascii="黑体" w:eastAsia="黑体" w:hAnsi="黑体" w:hint="eastAsia"/>
                <w:sz w:val="20"/>
                <w:szCs w:val="20"/>
              </w:rPr>
              <w:t>修改</w:t>
            </w:r>
            <w:r>
              <w:rPr>
                <w:rFonts w:ascii="黑体" w:eastAsia="黑体" w:hAnsi="黑体"/>
                <w:sz w:val="20"/>
                <w:szCs w:val="20"/>
              </w:rPr>
              <w:t>/</w:t>
            </w:r>
            <w:r>
              <w:rPr>
                <w:rFonts w:ascii="黑体" w:eastAsia="黑体" w:hAnsi="黑体" w:hint="eastAsia"/>
                <w:sz w:val="20"/>
                <w:szCs w:val="20"/>
              </w:rPr>
              <w:t>删除原因</w:t>
            </w:r>
          </w:p>
        </w:tc>
        <w:tc>
          <w:tcPr>
            <w:tcW w:w="1417" w:type="dxa"/>
          </w:tcPr>
          <w:p w14:paraId="0AFF070E" w14:textId="77777777" w:rsidR="00A052DC" w:rsidRDefault="009F0A60">
            <w:pPr>
              <w:jc w:val="left"/>
              <w:rPr>
                <w:rFonts w:ascii="黑体" w:eastAsia="黑体" w:hAnsi="黑体"/>
                <w:sz w:val="20"/>
                <w:szCs w:val="20"/>
              </w:rPr>
            </w:pPr>
            <w:r>
              <w:rPr>
                <w:rFonts w:ascii="黑体" w:eastAsia="黑体" w:hAnsi="黑体" w:hint="eastAsia"/>
                <w:sz w:val="20"/>
                <w:szCs w:val="20"/>
              </w:rPr>
              <w:t>字符型，</w:t>
            </w:r>
            <w:r>
              <w:rPr>
                <w:rFonts w:ascii="黑体" w:eastAsia="黑体" w:hAnsi="黑体"/>
                <w:sz w:val="20"/>
                <w:szCs w:val="20"/>
              </w:rPr>
              <w:t>128</w:t>
            </w:r>
          </w:p>
        </w:tc>
        <w:tc>
          <w:tcPr>
            <w:tcW w:w="3862" w:type="dxa"/>
          </w:tcPr>
          <w:p w14:paraId="74BE541D" w14:textId="77777777" w:rsidR="00A052DC" w:rsidRDefault="009F0A60">
            <w:pPr>
              <w:rPr>
                <w:rFonts w:ascii="黑体" w:eastAsia="黑体" w:hAnsi="黑体"/>
                <w:sz w:val="20"/>
                <w:szCs w:val="20"/>
              </w:rPr>
            </w:pPr>
            <w:r>
              <w:rPr>
                <w:rFonts w:ascii="黑体" w:eastAsia="黑体" w:hAnsi="黑体" w:hint="eastAsia"/>
                <w:sz w:val="20"/>
                <w:szCs w:val="20"/>
              </w:rPr>
              <w:t>如果操作类型字段值为</w:t>
            </w:r>
            <w:r>
              <w:rPr>
                <w:rFonts w:ascii="黑体" w:eastAsia="黑体" w:hAnsi="黑体"/>
                <w:sz w:val="20"/>
                <w:szCs w:val="20"/>
              </w:rPr>
              <w:t>C</w:t>
            </w:r>
            <w:r>
              <w:rPr>
                <w:rFonts w:ascii="黑体" w:eastAsia="黑体" w:hAnsi="黑体" w:hint="eastAsia"/>
                <w:sz w:val="20"/>
                <w:szCs w:val="20"/>
              </w:rPr>
              <w:t>或</w:t>
            </w:r>
            <w:r>
              <w:rPr>
                <w:rFonts w:ascii="黑体" w:eastAsia="黑体" w:hAnsi="黑体"/>
                <w:sz w:val="20"/>
                <w:szCs w:val="20"/>
              </w:rPr>
              <w:t>D</w:t>
            </w:r>
            <w:r>
              <w:rPr>
                <w:rFonts w:ascii="黑体" w:eastAsia="黑体" w:hAnsi="黑体" w:hint="eastAsia"/>
                <w:sz w:val="20"/>
                <w:szCs w:val="20"/>
              </w:rPr>
              <w:t>，则此字段为必填字段。</w:t>
            </w:r>
          </w:p>
        </w:tc>
      </w:tr>
      <w:tr w:rsidR="00A052DC" w14:paraId="59A40E34" w14:textId="77777777">
        <w:tc>
          <w:tcPr>
            <w:tcW w:w="1374" w:type="dxa"/>
            <w:vAlign w:val="center"/>
          </w:tcPr>
          <w:p w14:paraId="59B595F7" w14:textId="77777777" w:rsidR="00A052DC" w:rsidRDefault="009F0A60">
            <w:pPr>
              <w:rPr>
                <w:rFonts w:ascii="黑体" w:eastAsia="黑体" w:hAnsi="黑体"/>
                <w:sz w:val="20"/>
                <w:szCs w:val="20"/>
              </w:rPr>
            </w:pPr>
            <w:r>
              <w:rPr>
                <w:rFonts w:ascii="黑体" w:eastAsia="黑体" w:hAnsi="黑体"/>
                <w:sz w:val="20"/>
                <w:szCs w:val="20"/>
              </w:rPr>
              <w:t>REFNO</w:t>
            </w:r>
          </w:p>
        </w:tc>
        <w:tc>
          <w:tcPr>
            <w:tcW w:w="1853" w:type="dxa"/>
            <w:vAlign w:val="center"/>
          </w:tcPr>
          <w:p w14:paraId="26470816" w14:textId="77777777" w:rsidR="00A052DC" w:rsidRDefault="009F0A60">
            <w:pPr>
              <w:rPr>
                <w:rFonts w:ascii="黑体" w:eastAsia="黑体" w:hAnsi="黑体"/>
                <w:sz w:val="20"/>
                <w:szCs w:val="20"/>
              </w:rPr>
            </w:pPr>
            <w:r>
              <w:rPr>
                <w:rFonts w:ascii="黑体" w:eastAsia="黑体" w:hAnsi="黑体" w:hint="eastAsia"/>
                <w:sz w:val="20"/>
                <w:szCs w:val="20"/>
              </w:rPr>
              <w:t>业务参号</w:t>
            </w:r>
          </w:p>
        </w:tc>
        <w:tc>
          <w:tcPr>
            <w:tcW w:w="1417" w:type="dxa"/>
            <w:vAlign w:val="center"/>
          </w:tcPr>
          <w:p w14:paraId="0E0E084A" w14:textId="77777777" w:rsidR="00A052DC" w:rsidRDefault="009F0A60">
            <w:pPr>
              <w:jc w:val="left"/>
              <w:rPr>
                <w:rFonts w:ascii="黑体" w:eastAsia="黑体" w:hAnsi="黑体"/>
                <w:sz w:val="20"/>
                <w:szCs w:val="20"/>
              </w:rPr>
            </w:pPr>
            <w:r>
              <w:rPr>
                <w:rFonts w:ascii="黑体" w:eastAsia="黑体" w:hAnsi="黑体" w:hint="eastAsia"/>
                <w:sz w:val="20"/>
                <w:szCs w:val="20"/>
              </w:rPr>
              <w:t>字符型，</w:t>
            </w:r>
            <w:r>
              <w:rPr>
                <w:rFonts w:ascii="黑体" w:eastAsia="黑体" w:hAnsi="黑体"/>
                <w:sz w:val="20"/>
                <w:szCs w:val="20"/>
              </w:rPr>
              <w:t>27</w:t>
            </w:r>
          </w:p>
        </w:tc>
        <w:tc>
          <w:tcPr>
            <w:tcW w:w="3862" w:type="dxa"/>
            <w:vAlign w:val="center"/>
          </w:tcPr>
          <w:p w14:paraId="4B60BF9F" w14:textId="77777777" w:rsidR="00A052DC" w:rsidRDefault="009F0A60">
            <w:pPr>
              <w:rPr>
                <w:rFonts w:ascii="黑体" w:eastAsia="黑体" w:hAnsi="黑体"/>
                <w:sz w:val="20"/>
                <w:szCs w:val="20"/>
              </w:rPr>
            </w:pPr>
            <w:r>
              <w:rPr>
                <w:rFonts w:ascii="黑体" w:eastAsia="黑体" w:hAnsi="黑体" w:hint="eastAsia"/>
                <w:sz w:val="20"/>
                <w:szCs w:val="20"/>
              </w:rPr>
              <w:t>必填项，</w:t>
            </w:r>
            <w:r>
              <w:rPr>
                <w:rFonts w:ascii="黑体" w:eastAsia="黑体" w:hAnsi="黑体"/>
                <w:sz w:val="20"/>
                <w:szCs w:val="20"/>
              </w:rPr>
              <w:t>27</w:t>
            </w:r>
            <w:r>
              <w:rPr>
                <w:rFonts w:ascii="黑体" w:eastAsia="黑体" w:hAnsi="黑体" w:hint="eastAsia"/>
                <w:sz w:val="20"/>
                <w:szCs w:val="20"/>
              </w:rPr>
              <w:t>位，</w:t>
            </w:r>
            <w:r>
              <w:rPr>
                <w:rFonts w:ascii="黑体" w:eastAsia="黑体" w:hAnsi="黑体"/>
                <w:sz w:val="20"/>
                <w:szCs w:val="20"/>
              </w:rPr>
              <w:t>T+</w:t>
            </w:r>
            <w:r>
              <w:rPr>
                <w:rFonts w:ascii="黑体" w:eastAsia="黑体" w:hAnsi="黑体" w:hint="eastAsia"/>
                <w:sz w:val="20"/>
                <w:szCs w:val="20"/>
              </w:rPr>
              <w:t>发卡网点所在地外汇局代码（</w:t>
            </w:r>
            <w:r>
              <w:rPr>
                <w:rFonts w:ascii="黑体" w:eastAsia="黑体" w:hAnsi="黑体"/>
                <w:sz w:val="20"/>
                <w:szCs w:val="20"/>
              </w:rPr>
              <w:t xml:space="preserve">6 </w:t>
            </w:r>
            <w:r>
              <w:rPr>
                <w:rFonts w:ascii="黑体" w:eastAsia="黑体" w:hAnsi="黑体" w:hint="eastAsia"/>
                <w:sz w:val="20"/>
                <w:szCs w:val="20"/>
              </w:rPr>
              <w:t>位）</w:t>
            </w:r>
            <w:r>
              <w:rPr>
                <w:rFonts w:ascii="黑体" w:eastAsia="黑体" w:hAnsi="黑体"/>
                <w:sz w:val="20"/>
                <w:szCs w:val="20"/>
              </w:rPr>
              <w:t>+</w:t>
            </w:r>
            <w:r>
              <w:rPr>
                <w:rFonts w:ascii="黑体" w:eastAsia="黑体" w:hAnsi="黑体" w:hint="eastAsia"/>
                <w:sz w:val="20"/>
                <w:szCs w:val="20"/>
              </w:rPr>
              <w:t>金融机构代码（</w:t>
            </w:r>
            <w:r>
              <w:rPr>
                <w:rFonts w:ascii="黑体" w:eastAsia="黑体" w:hAnsi="黑体"/>
                <w:sz w:val="20"/>
                <w:szCs w:val="20"/>
              </w:rPr>
              <w:t>4</w:t>
            </w:r>
            <w:r>
              <w:rPr>
                <w:rFonts w:ascii="黑体" w:eastAsia="黑体" w:hAnsi="黑体" w:hint="eastAsia"/>
                <w:sz w:val="20"/>
                <w:szCs w:val="20"/>
              </w:rPr>
              <w:t>位）</w:t>
            </w:r>
            <w:r>
              <w:rPr>
                <w:rFonts w:ascii="黑体" w:eastAsia="黑体" w:hAnsi="黑体"/>
                <w:sz w:val="20"/>
                <w:szCs w:val="20"/>
              </w:rPr>
              <w:t>+</w:t>
            </w:r>
            <w:r>
              <w:rPr>
                <w:rFonts w:ascii="黑体" w:eastAsia="黑体" w:hAnsi="黑体" w:hint="eastAsia"/>
                <w:sz w:val="20"/>
                <w:szCs w:val="20"/>
              </w:rPr>
              <w:t>交易日期（</w:t>
            </w:r>
            <w:r>
              <w:rPr>
                <w:rFonts w:ascii="黑体" w:eastAsia="黑体" w:hAnsi="黑体"/>
                <w:sz w:val="20"/>
                <w:szCs w:val="20"/>
              </w:rPr>
              <w:t>8</w:t>
            </w:r>
            <w:r>
              <w:rPr>
                <w:rFonts w:ascii="黑体" w:eastAsia="黑体" w:hAnsi="黑体" w:hint="eastAsia"/>
                <w:sz w:val="20"/>
                <w:szCs w:val="20"/>
              </w:rPr>
              <w:t>位，yyyymmdd）</w:t>
            </w:r>
            <w:r>
              <w:rPr>
                <w:rFonts w:ascii="黑体" w:eastAsia="黑体" w:hAnsi="黑体"/>
                <w:sz w:val="20"/>
                <w:szCs w:val="20"/>
              </w:rPr>
              <w:t>+</w:t>
            </w:r>
            <w:r>
              <w:rPr>
                <w:rFonts w:ascii="黑体" w:eastAsia="黑体" w:hAnsi="黑体" w:hint="eastAsia"/>
                <w:sz w:val="20"/>
                <w:szCs w:val="20"/>
              </w:rPr>
              <w:t>银行卡类型（</w:t>
            </w:r>
            <w:r>
              <w:rPr>
                <w:rFonts w:ascii="黑体" w:eastAsia="黑体" w:hAnsi="黑体"/>
                <w:sz w:val="20"/>
                <w:szCs w:val="20"/>
              </w:rPr>
              <w:t>1-</w:t>
            </w:r>
            <w:r>
              <w:rPr>
                <w:rFonts w:ascii="黑体" w:eastAsia="黑体" w:hAnsi="黑体" w:hint="eastAsia"/>
                <w:sz w:val="20"/>
                <w:szCs w:val="20"/>
              </w:rPr>
              <w:t>借记卡；</w:t>
            </w:r>
            <w:r>
              <w:rPr>
                <w:rFonts w:ascii="黑体" w:eastAsia="黑体" w:hAnsi="黑体"/>
                <w:sz w:val="20"/>
                <w:szCs w:val="20"/>
              </w:rPr>
              <w:t>2-</w:t>
            </w:r>
            <w:r>
              <w:rPr>
                <w:rFonts w:ascii="黑体" w:eastAsia="黑体" w:hAnsi="黑体" w:hint="eastAsia"/>
                <w:sz w:val="20"/>
                <w:szCs w:val="20"/>
              </w:rPr>
              <w:t>贷记卡；</w:t>
            </w:r>
            <w:r>
              <w:rPr>
                <w:rFonts w:ascii="黑体" w:eastAsia="黑体" w:hAnsi="黑体"/>
                <w:sz w:val="20"/>
                <w:szCs w:val="20"/>
              </w:rPr>
              <w:t>3-</w:t>
            </w:r>
            <w:r>
              <w:rPr>
                <w:rFonts w:ascii="黑体" w:eastAsia="黑体" w:hAnsi="黑体" w:hint="eastAsia"/>
                <w:sz w:val="20"/>
                <w:szCs w:val="20"/>
              </w:rPr>
              <w:t>准贷记卡）</w:t>
            </w:r>
            <w:r>
              <w:rPr>
                <w:rFonts w:ascii="黑体" w:eastAsia="黑体" w:hAnsi="黑体"/>
                <w:sz w:val="20"/>
                <w:szCs w:val="20"/>
              </w:rPr>
              <w:t>+</w:t>
            </w:r>
            <w:r>
              <w:rPr>
                <w:rFonts w:ascii="黑体" w:eastAsia="黑体" w:hAnsi="黑体" w:hint="eastAsia"/>
                <w:sz w:val="20"/>
                <w:szCs w:val="20"/>
              </w:rPr>
              <w:t>顺序号（</w:t>
            </w:r>
            <w:r>
              <w:rPr>
                <w:rFonts w:ascii="黑体" w:eastAsia="黑体" w:hAnsi="黑体"/>
                <w:sz w:val="20"/>
                <w:szCs w:val="20"/>
              </w:rPr>
              <w:t>7</w:t>
            </w:r>
            <w:r>
              <w:rPr>
                <w:rFonts w:ascii="黑体" w:eastAsia="黑体" w:hAnsi="黑体" w:hint="eastAsia"/>
                <w:sz w:val="20"/>
                <w:szCs w:val="20"/>
              </w:rPr>
              <w:t>位，从</w:t>
            </w:r>
            <w:r>
              <w:rPr>
                <w:rFonts w:ascii="黑体" w:eastAsia="黑体" w:hAnsi="黑体"/>
                <w:sz w:val="20"/>
                <w:szCs w:val="20"/>
              </w:rPr>
              <w:t>0000001</w:t>
            </w:r>
            <w:r>
              <w:rPr>
                <w:rFonts w:ascii="黑体" w:eastAsia="黑体" w:hAnsi="黑体" w:hint="eastAsia"/>
                <w:sz w:val="20"/>
                <w:szCs w:val="20"/>
              </w:rPr>
              <w:t>开始增加）。</w:t>
            </w:r>
          </w:p>
        </w:tc>
      </w:tr>
      <w:tr w:rsidR="00A052DC" w14:paraId="28308766" w14:textId="77777777">
        <w:trPr>
          <w:trHeight w:val="275"/>
        </w:trPr>
        <w:tc>
          <w:tcPr>
            <w:tcW w:w="1374" w:type="dxa"/>
            <w:vAlign w:val="center"/>
          </w:tcPr>
          <w:p w14:paraId="05C1B9C2" w14:textId="77777777" w:rsidR="00A052DC" w:rsidRDefault="009F0A60">
            <w:pPr>
              <w:rPr>
                <w:rFonts w:ascii="黑体" w:eastAsia="黑体" w:hAnsi="黑体"/>
                <w:sz w:val="20"/>
                <w:szCs w:val="20"/>
              </w:rPr>
            </w:pPr>
            <w:r>
              <w:rPr>
                <w:rFonts w:ascii="黑体" w:eastAsia="黑体" w:hAnsi="黑体"/>
                <w:sz w:val="20"/>
                <w:szCs w:val="20"/>
              </w:rPr>
              <w:t>CERT_TYPE_CODE</w:t>
            </w:r>
          </w:p>
        </w:tc>
        <w:tc>
          <w:tcPr>
            <w:tcW w:w="1853" w:type="dxa"/>
            <w:vAlign w:val="center"/>
          </w:tcPr>
          <w:p w14:paraId="74000B49" w14:textId="77777777" w:rsidR="00A052DC" w:rsidRDefault="009F0A60">
            <w:pPr>
              <w:rPr>
                <w:rFonts w:ascii="黑体" w:eastAsia="黑体" w:hAnsi="黑体"/>
                <w:sz w:val="20"/>
                <w:szCs w:val="20"/>
              </w:rPr>
            </w:pPr>
            <w:r>
              <w:rPr>
                <w:rFonts w:ascii="黑体" w:eastAsia="黑体" w:hAnsi="黑体" w:hint="eastAsia"/>
                <w:sz w:val="20"/>
                <w:szCs w:val="20"/>
              </w:rPr>
              <w:t>持卡人身份证件类型</w:t>
            </w:r>
          </w:p>
        </w:tc>
        <w:tc>
          <w:tcPr>
            <w:tcW w:w="1417" w:type="dxa"/>
            <w:vAlign w:val="center"/>
          </w:tcPr>
          <w:p w14:paraId="40BDD81F" w14:textId="77777777" w:rsidR="00A052DC" w:rsidRDefault="009F0A60">
            <w:pPr>
              <w:jc w:val="left"/>
              <w:rPr>
                <w:rFonts w:ascii="黑体" w:eastAsia="黑体" w:hAnsi="黑体"/>
                <w:sz w:val="20"/>
                <w:szCs w:val="20"/>
              </w:rPr>
            </w:pPr>
            <w:r>
              <w:rPr>
                <w:rFonts w:ascii="黑体" w:eastAsia="黑体" w:hAnsi="黑体" w:hint="eastAsia"/>
                <w:sz w:val="20"/>
                <w:szCs w:val="20"/>
              </w:rPr>
              <w:t>字符型，</w:t>
            </w:r>
            <w:r>
              <w:rPr>
                <w:rFonts w:ascii="黑体" w:eastAsia="黑体" w:hAnsi="黑体"/>
                <w:sz w:val="20"/>
                <w:szCs w:val="20"/>
              </w:rPr>
              <w:t>2</w:t>
            </w:r>
          </w:p>
        </w:tc>
        <w:tc>
          <w:tcPr>
            <w:tcW w:w="3862" w:type="dxa"/>
            <w:vAlign w:val="center"/>
          </w:tcPr>
          <w:p w14:paraId="4E18E69E" w14:textId="77777777" w:rsidR="00A052DC" w:rsidRDefault="009F0A60">
            <w:pPr>
              <w:rPr>
                <w:rFonts w:ascii="黑体" w:eastAsia="黑体" w:hAnsi="黑体"/>
                <w:sz w:val="20"/>
                <w:szCs w:val="20"/>
              </w:rPr>
            </w:pPr>
            <w:r>
              <w:rPr>
                <w:rFonts w:ascii="黑体" w:eastAsia="黑体" w:hAnsi="黑体" w:hint="eastAsia"/>
                <w:sz w:val="20"/>
                <w:szCs w:val="20"/>
              </w:rPr>
              <w:t>必填项，</w:t>
            </w:r>
          </w:p>
          <w:p w14:paraId="2C540E92" w14:textId="77777777" w:rsidR="00A052DC" w:rsidRDefault="009F0A60">
            <w:pPr>
              <w:rPr>
                <w:rFonts w:ascii="黑体" w:eastAsia="黑体" w:hAnsi="黑体"/>
                <w:kern w:val="0"/>
                <w:sz w:val="20"/>
                <w:szCs w:val="20"/>
              </w:rPr>
            </w:pPr>
            <w:r>
              <w:rPr>
                <w:rFonts w:ascii="黑体" w:eastAsia="黑体" w:hAnsi="黑体" w:hint="eastAsia"/>
                <w:kern w:val="0"/>
                <w:sz w:val="20"/>
                <w:szCs w:val="20"/>
              </w:rPr>
              <w:t>境内个人：</w:t>
            </w:r>
          </w:p>
          <w:p w14:paraId="2FBFC258" w14:textId="77777777" w:rsidR="00A052DC" w:rsidRDefault="009F0A60">
            <w:pPr>
              <w:rPr>
                <w:rFonts w:ascii="黑体" w:eastAsia="黑体" w:hAnsi="黑体"/>
                <w:kern w:val="0"/>
                <w:sz w:val="20"/>
                <w:szCs w:val="20"/>
              </w:rPr>
            </w:pPr>
            <w:r>
              <w:rPr>
                <w:rFonts w:ascii="黑体" w:eastAsia="黑体" w:hAnsi="黑体"/>
                <w:kern w:val="0"/>
                <w:sz w:val="20"/>
                <w:szCs w:val="20"/>
              </w:rPr>
              <w:t>01</w:t>
            </w:r>
            <w:r>
              <w:rPr>
                <w:rFonts w:ascii="黑体" w:eastAsia="黑体" w:hAnsi="黑体" w:hint="eastAsia"/>
                <w:kern w:val="0"/>
                <w:sz w:val="20"/>
                <w:szCs w:val="20"/>
              </w:rPr>
              <w:t>居民身份证</w:t>
            </w:r>
          </w:p>
          <w:p w14:paraId="6A8F727F" w14:textId="77777777" w:rsidR="00A052DC" w:rsidRDefault="009F0A60">
            <w:pPr>
              <w:rPr>
                <w:rFonts w:ascii="黑体" w:eastAsia="黑体" w:hAnsi="黑体"/>
                <w:kern w:val="0"/>
                <w:sz w:val="20"/>
                <w:szCs w:val="20"/>
              </w:rPr>
            </w:pPr>
            <w:r>
              <w:rPr>
                <w:rFonts w:ascii="黑体" w:eastAsia="黑体" w:hAnsi="黑体"/>
                <w:kern w:val="0"/>
                <w:sz w:val="20"/>
                <w:szCs w:val="20"/>
              </w:rPr>
              <w:t>02</w:t>
            </w:r>
            <w:r>
              <w:rPr>
                <w:rFonts w:ascii="黑体" w:eastAsia="黑体" w:hAnsi="黑体" w:hint="eastAsia"/>
                <w:kern w:val="0"/>
                <w:sz w:val="20"/>
                <w:szCs w:val="20"/>
              </w:rPr>
              <w:t>军人身份证件</w:t>
            </w:r>
          </w:p>
          <w:p w14:paraId="1C286BBF" w14:textId="77777777" w:rsidR="00A052DC" w:rsidRDefault="009F0A60">
            <w:pPr>
              <w:rPr>
                <w:rFonts w:ascii="黑体" w:eastAsia="黑体" w:hAnsi="黑体"/>
                <w:kern w:val="0"/>
                <w:sz w:val="20"/>
                <w:szCs w:val="20"/>
              </w:rPr>
            </w:pPr>
            <w:r>
              <w:rPr>
                <w:rFonts w:ascii="黑体" w:eastAsia="黑体" w:hAnsi="黑体"/>
                <w:kern w:val="0"/>
                <w:sz w:val="20"/>
                <w:szCs w:val="20"/>
              </w:rPr>
              <w:t>03</w:t>
            </w:r>
            <w:r>
              <w:rPr>
                <w:rFonts w:ascii="黑体" w:eastAsia="黑体" w:hAnsi="黑体" w:hint="eastAsia"/>
                <w:kern w:val="0"/>
                <w:sz w:val="20"/>
                <w:szCs w:val="20"/>
              </w:rPr>
              <w:t>武装警察身份证件</w:t>
            </w:r>
          </w:p>
          <w:p w14:paraId="55BA50A8" w14:textId="77777777" w:rsidR="00A052DC" w:rsidRDefault="009F0A60">
            <w:pPr>
              <w:rPr>
                <w:rFonts w:ascii="黑体" w:eastAsia="黑体" w:hAnsi="黑体"/>
                <w:kern w:val="0"/>
                <w:sz w:val="20"/>
                <w:szCs w:val="20"/>
              </w:rPr>
            </w:pPr>
            <w:r>
              <w:rPr>
                <w:rFonts w:ascii="黑体" w:eastAsia="黑体" w:hAnsi="黑体" w:hint="eastAsia"/>
                <w:kern w:val="0"/>
                <w:sz w:val="20"/>
                <w:szCs w:val="20"/>
              </w:rPr>
              <w:t>境外个人：</w:t>
            </w:r>
          </w:p>
          <w:p w14:paraId="67B527CD" w14:textId="77777777" w:rsidR="00A052DC" w:rsidRDefault="009F0A60">
            <w:pPr>
              <w:rPr>
                <w:rFonts w:ascii="黑体" w:eastAsia="黑体" w:hAnsi="黑体"/>
                <w:kern w:val="0"/>
                <w:sz w:val="20"/>
                <w:szCs w:val="20"/>
              </w:rPr>
            </w:pPr>
            <w:r>
              <w:rPr>
                <w:rFonts w:ascii="黑体" w:eastAsia="黑体" w:hAnsi="黑体"/>
                <w:kern w:val="0"/>
                <w:sz w:val="20"/>
                <w:szCs w:val="20"/>
              </w:rPr>
              <w:t>04</w:t>
            </w:r>
            <w:r>
              <w:rPr>
                <w:rFonts w:ascii="黑体" w:eastAsia="黑体" w:hAnsi="黑体" w:hint="eastAsia"/>
                <w:kern w:val="0"/>
                <w:sz w:val="20"/>
                <w:szCs w:val="20"/>
              </w:rPr>
              <w:t>外国护照</w:t>
            </w:r>
          </w:p>
          <w:p w14:paraId="2BC4DD75" w14:textId="77777777" w:rsidR="00A052DC" w:rsidRDefault="009F0A60">
            <w:pPr>
              <w:rPr>
                <w:rFonts w:ascii="黑体" w:eastAsia="黑体" w:hAnsi="黑体"/>
                <w:kern w:val="0"/>
                <w:sz w:val="20"/>
                <w:szCs w:val="20"/>
              </w:rPr>
            </w:pPr>
            <w:r>
              <w:rPr>
                <w:rFonts w:ascii="黑体" w:eastAsia="黑体" w:hAnsi="黑体"/>
                <w:kern w:val="0"/>
                <w:sz w:val="20"/>
                <w:szCs w:val="20"/>
              </w:rPr>
              <w:t>05</w:t>
            </w:r>
            <w:r>
              <w:rPr>
                <w:rFonts w:ascii="黑体" w:eastAsia="黑体" w:hAnsi="黑体" w:hint="eastAsia"/>
                <w:kern w:val="0"/>
                <w:sz w:val="20"/>
                <w:szCs w:val="20"/>
              </w:rPr>
              <w:t>外国人永久居留身份证</w:t>
            </w:r>
          </w:p>
          <w:p w14:paraId="3A70A041" w14:textId="77777777" w:rsidR="00A052DC" w:rsidRDefault="009F0A60">
            <w:pPr>
              <w:rPr>
                <w:rFonts w:ascii="黑体" w:eastAsia="黑体" w:hAnsi="黑体"/>
                <w:kern w:val="0"/>
                <w:sz w:val="20"/>
                <w:szCs w:val="20"/>
              </w:rPr>
            </w:pPr>
            <w:r>
              <w:rPr>
                <w:rFonts w:ascii="黑体" w:eastAsia="黑体" w:hAnsi="黑体"/>
                <w:kern w:val="0"/>
                <w:sz w:val="20"/>
                <w:szCs w:val="20"/>
              </w:rPr>
              <w:t>06</w:t>
            </w:r>
            <w:r>
              <w:rPr>
                <w:rFonts w:ascii="黑体" w:eastAsia="黑体" w:hAnsi="黑体" w:hint="eastAsia"/>
                <w:kern w:val="0"/>
                <w:sz w:val="20"/>
                <w:szCs w:val="20"/>
              </w:rPr>
              <w:t>港澳居民来往内地通行证</w:t>
            </w:r>
          </w:p>
          <w:p w14:paraId="0DC0B3C9" w14:textId="77777777" w:rsidR="00A052DC" w:rsidRDefault="009F0A60">
            <w:pPr>
              <w:rPr>
                <w:rFonts w:ascii="黑体" w:eastAsia="黑体" w:hAnsi="黑体"/>
                <w:kern w:val="0"/>
                <w:sz w:val="20"/>
                <w:szCs w:val="20"/>
              </w:rPr>
            </w:pPr>
            <w:r>
              <w:rPr>
                <w:rFonts w:ascii="黑体" w:eastAsia="黑体" w:hAnsi="黑体"/>
                <w:kern w:val="0"/>
                <w:sz w:val="20"/>
                <w:szCs w:val="20"/>
              </w:rPr>
              <w:t>07</w:t>
            </w:r>
            <w:r>
              <w:rPr>
                <w:rFonts w:ascii="黑体" w:eastAsia="黑体" w:hAnsi="黑体" w:hint="eastAsia"/>
                <w:kern w:val="0"/>
                <w:sz w:val="20"/>
                <w:szCs w:val="20"/>
              </w:rPr>
              <w:t>台湾居民来往大陆通行证</w:t>
            </w:r>
          </w:p>
          <w:p w14:paraId="34BDD527" w14:textId="77777777" w:rsidR="00A052DC" w:rsidRDefault="009F0A60">
            <w:pPr>
              <w:rPr>
                <w:rFonts w:ascii="黑体" w:eastAsia="黑体" w:hAnsi="黑体"/>
                <w:kern w:val="0"/>
                <w:sz w:val="20"/>
                <w:szCs w:val="20"/>
              </w:rPr>
            </w:pPr>
            <w:r>
              <w:rPr>
                <w:rFonts w:ascii="黑体" w:eastAsia="黑体" w:hAnsi="黑体"/>
                <w:kern w:val="0"/>
                <w:sz w:val="20"/>
                <w:szCs w:val="20"/>
              </w:rPr>
              <w:t>09</w:t>
            </w:r>
            <w:r>
              <w:rPr>
                <w:rFonts w:ascii="黑体" w:eastAsia="黑体" w:hAnsi="黑体" w:hint="eastAsia"/>
                <w:kern w:val="0"/>
                <w:sz w:val="20"/>
                <w:szCs w:val="20"/>
              </w:rPr>
              <w:t>中国护照</w:t>
            </w:r>
          </w:p>
          <w:p w14:paraId="71A6F64F" w14:textId="77777777" w:rsidR="00A052DC" w:rsidRDefault="009F0A60">
            <w:pPr>
              <w:rPr>
                <w:rFonts w:ascii="黑体" w:eastAsia="黑体" w:hAnsi="黑体"/>
                <w:kern w:val="0"/>
                <w:sz w:val="20"/>
                <w:szCs w:val="20"/>
              </w:rPr>
            </w:pPr>
            <w:r>
              <w:rPr>
                <w:rFonts w:ascii="黑体" w:eastAsia="黑体" w:hAnsi="黑体"/>
                <w:kern w:val="0"/>
                <w:sz w:val="20"/>
                <w:szCs w:val="20"/>
              </w:rPr>
              <w:t>10</w:t>
            </w:r>
            <w:r>
              <w:rPr>
                <w:rFonts w:ascii="黑体" w:eastAsia="黑体" w:hAnsi="黑体" w:hint="eastAsia"/>
                <w:kern w:val="0"/>
                <w:sz w:val="20"/>
                <w:szCs w:val="20"/>
              </w:rPr>
              <w:t>外交官证</w:t>
            </w:r>
          </w:p>
          <w:p w14:paraId="2D4416EF" w14:textId="77777777" w:rsidR="00A052DC" w:rsidRDefault="009F0A60">
            <w:pPr>
              <w:rPr>
                <w:rFonts w:ascii="黑体" w:eastAsia="黑体" w:hAnsi="黑体"/>
                <w:sz w:val="20"/>
                <w:szCs w:val="20"/>
              </w:rPr>
            </w:pPr>
            <w:r>
              <w:rPr>
                <w:rFonts w:ascii="黑体" w:eastAsia="黑体" w:hAnsi="黑体"/>
                <w:kern w:val="0"/>
                <w:sz w:val="20"/>
                <w:szCs w:val="20"/>
              </w:rPr>
              <w:t>11</w:t>
            </w:r>
            <w:r>
              <w:rPr>
                <w:rFonts w:ascii="黑体" w:eastAsia="黑体" w:hAnsi="黑体" w:hint="eastAsia"/>
                <w:kern w:val="0"/>
                <w:sz w:val="20"/>
                <w:szCs w:val="20"/>
              </w:rPr>
              <w:t>其他身份证件</w:t>
            </w:r>
          </w:p>
        </w:tc>
      </w:tr>
      <w:tr w:rsidR="00A052DC" w14:paraId="5269290E" w14:textId="77777777">
        <w:trPr>
          <w:trHeight w:val="308"/>
        </w:trPr>
        <w:tc>
          <w:tcPr>
            <w:tcW w:w="1374" w:type="dxa"/>
            <w:vAlign w:val="center"/>
          </w:tcPr>
          <w:p w14:paraId="68C70CD9" w14:textId="77777777" w:rsidR="00A052DC" w:rsidRDefault="009F0A60">
            <w:pPr>
              <w:rPr>
                <w:rFonts w:ascii="黑体" w:eastAsia="黑体" w:hAnsi="黑体"/>
                <w:sz w:val="20"/>
                <w:szCs w:val="20"/>
              </w:rPr>
            </w:pPr>
            <w:r>
              <w:rPr>
                <w:rFonts w:ascii="黑体" w:eastAsia="黑体" w:hAnsi="黑体"/>
                <w:sz w:val="20"/>
                <w:szCs w:val="20"/>
              </w:rPr>
              <w:t>PTY_COUNTRY_CODE</w:t>
            </w:r>
          </w:p>
        </w:tc>
        <w:tc>
          <w:tcPr>
            <w:tcW w:w="1853" w:type="dxa"/>
            <w:vAlign w:val="center"/>
          </w:tcPr>
          <w:p w14:paraId="3744D4E6" w14:textId="77777777" w:rsidR="00A052DC" w:rsidRDefault="009F0A60">
            <w:pPr>
              <w:rPr>
                <w:rFonts w:ascii="黑体" w:eastAsia="黑体" w:hAnsi="黑体"/>
                <w:kern w:val="0"/>
                <w:sz w:val="20"/>
                <w:szCs w:val="20"/>
              </w:rPr>
            </w:pPr>
            <w:r>
              <w:rPr>
                <w:rFonts w:ascii="黑体" w:eastAsia="黑体" w:hAnsi="黑体" w:hint="eastAsia"/>
                <w:kern w:val="0"/>
                <w:sz w:val="20"/>
                <w:szCs w:val="20"/>
              </w:rPr>
              <w:t>持卡人国家</w:t>
            </w:r>
            <w:r>
              <w:rPr>
                <w:rFonts w:ascii="黑体" w:eastAsia="黑体" w:hAnsi="黑体"/>
                <w:kern w:val="0"/>
                <w:sz w:val="20"/>
                <w:szCs w:val="20"/>
              </w:rPr>
              <w:t>/</w:t>
            </w:r>
            <w:r>
              <w:rPr>
                <w:rFonts w:ascii="黑体" w:eastAsia="黑体" w:hAnsi="黑体" w:hint="eastAsia"/>
                <w:kern w:val="0"/>
                <w:sz w:val="20"/>
                <w:szCs w:val="20"/>
              </w:rPr>
              <w:t>地区</w:t>
            </w:r>
          </w:p>
        </w:tc>
        <w:tc>
          <w:tcPr>
            <w:tcW w:w="1417" w:type="dxa"/>
            <w:vAlign w:val="center"/>
          </w:tcPr>
          <w:p w14:paraId="66A83CE4" w14:textId="77777777" w:rsidR="00A052DC" w:rsidRDefault="009F0A60">
            <w:pPr>
              <w:jc w:val="left"/>
              <w:rPr>
                <w:rFonts w:ascii="黑体" w:eastAsia="黑体" w:hAnsi="黑体"/>
                <w:sz w:val="20"/>
                <w:szCs w:val="20"/>
              </w:rPr>
            </w:pPr>
            <w:r>
              <w:rPr>
                <w:rFonts w:ascii="黑体" w:eastAsia="黑体" w:hAnsi="黑体" w:hint="eastAsia"/>
                <w:sz w:val="20"/>
                <w:szCs w:val="20"/>
              </w:rPr>
              <w:t>字符型，</w:t>
            </w:r>
            <w:r>
              <w:rPr>
                <w:rFonts w:ascii="黑体" w:eastAsia="黑体" w:hAnsi="黑体"/>
                <w:sz w:val="20"/>
                <w:szCs w:val="20"/>
              </w:rPr>
              <w:t>3</w:t>
            </w:r>
          </w:p>
        </w:tc>
        <w:tc>
          <w:tcPr>
            <w:tcW w:w="3862" w:type="dxa"/>
            <w:vAlign w:val="center"/>
          </w:tcPr>
          <w:p w14:paraId="5F34DFA7" w14:textId="77777777" w:rsidR="00A052DC" w:rsidRDefault="009F0A60">
            <w:pPr>
              <w:rPr>
                <w:rFonts w:ascii="黑体" w:eastAsia="黑体" w:hAnsi="黑体"/>
                <w:sz w:val="20"/>
                <w:szCs w:val="20"/>
              </w:rPr>
            </w:pPr>
            <w:r>
              <w:rPr>
                <w:rFonts w:ascii="黑体" w:eastAsia="黑体" w:hAnsi="黑体" w:hint="eastAsia"/>
                <w:sz w:val="20"/>
                <w:szCs w:val="20"/>
              </w:rPr>
              <w:t>必填项，见国家和地区代码表。</w:t>
            </w:r>
          </w:p>
          <w:p w14:paraId="0A74E7EE" w14:textId="77777777" w:rsidR="00A052DC" w:rsidRDefault="009F0A60">
            <w:pPr>
              <w:rPr>
                <w:rFonts w:ascii="黑体" w:eastAsia="黑体" w:hAnsi="黑体"/>
                <w:kern w:val="0"/>
                <w:sz w:val="20"/>
                <w:szCs w:val="20"/>
              </w:rPr>
            </w:pPr>
            <w:r>
              <w:rPr>
                <w:rFonts w:ascii="黑体" w:eastAsia="黑体" w:hAnsi="黑体" w:hint="eastAsia"/>
                <w:kern w:val="0"/>
                <w:sz w:val="20"/>
                <w:szCs w:val="20"/>
              </w:rPr>
              <w:t>境内个人，全部填写中国的代码。</w:t>
            </w:r>
          </w:p>
          <w:p w14:paraId="41F25C45" w14:textId="77777777" w:rsidR="00A052DC" w:rsidRDefault="009F0A60">
            <w:pPr>
              <w:rPr>
                <w:rFonts w:ascii="黑体" w:eastAsia="黑体" w:hAnsi="黑体"/>
                <w:kern w:val="0"/>
                <w:sz w:val="20"/>
                <w:szCs w:val="20"/>
              </w:rPr>
            </w:pPr>
            <w:r>
              <w:rPr>
                <w:rFonts w:ascii="黑体" w:eastAsia="黑体" w:hAnsi="黑体" w:hint="eastAsia"/>
                <w:kern w:val="0"/>
                <w:sz w:val="20"/>
                <w:szCs w:val="20"/>
              </w:rPr>
              <w:t>身份证件类型为中国护照的，填写中国的代码。</w:t>
            </w:r>
          </w:p>
          <w:p w14:paraId="09CA8F7F" w14:textId="77777777" w:rsidR="00A052DC" w:rsidRDefault="009F0A60">
            <w:pPr>
              <w:rPr>
                <w:rFonts w:ascii="黑体" w:eastAsia="黑体" w:hAnsi="黑体"/>
                <w:kern w:val="0"/>
                <w:sz w:val="20"/>
                <w:szCs w:val="20"/>
              </w:rPr>
            </w:pPr>
            <w:r>
              <w:rPr>
                <w:rFonts w:ascii="黑体" w:eastAsia="黑体" w:hAnsi="黑体" w:hint="eastAsia"/>
                <w:kern w:val="0"/>
                <w:sz w:val="20"/>
                <w:szCs w:val="20"/>
              </w:rPr>
              <w:t>港澳居民来往内地通行证，填写香港</w:t>
            </w:r>
            <w:r>
              <w:rPr>
                <w:rFonts w:ascii="黑体" w:eastAsia="黑体" w:hAnsi="黑体"/>
                <w:kern w:val="0"/>
                <w:sz w:val="20"/>
                <w:szCs w:val="20"/>
              </w:rPr>
              <w:t>/</w:t>
            </w:r>
            <w:r>
              <w:rPr>
                <w:rFonts w:ascii="黑体" w:eastAsia="黑体" w:hAnsi="黑体" w:hint="eastAsia"/>
                <w:kern w:val="0"/>
                <w:sz w:val="20"/>
                <w:szCs w:val="20"/>
              </w:rPr>
              <w:t>澳门的代码。</w:t>
            </w:r>
          </w:p>
          <w:p w14:paraId="3AEFB91A" w14:textId="77777777" w:rsidR="00A052DC" w:rsidRDefault="009F0A60">
            <w:pPr>
              <w:rPr>
                <w:rFonts w:ascii="黑体" w:eastAsia="黑体" w:hAnsi="黑体"/>
                <w:kern w:val="0"/>
                <w:sz w:val="20"/>
                <w:szCs w:val="20"/>
              </w:rPr>
            </w:pPr>
            <w:r>
              <w:rPr>
                <w:rFonts w:ascii="黑体" w:eastAsia="黑体" w:hAnsi="黑体" w:hint="eastAsia"/>
                <w:kern w:val="0"/>
                <w:sz w:val="20"/>
                <w:szCs w:val="20"/>
              </w:rPr>
              <w:t>台湾居民来往大陆通行证，填写台湾的代码。</w:t>
            </w:r>
          </w:p>
          <w:p w14:paraId="199CFC9B" w14:textId="77777777" w:rsidR="00A052DC" w:rsidRDefault="009F0A60">
            <w:pPr>
              <w:rPr>
                <w:rFonts w:ascii="黑体" w:eastAsia="黑体" w:hAnsi="黑体"/>
                <w:kern w:val="0"/>
                <w:sz w:val="20"/>
                <w:szCs w:val="20"/>
              </w:rPr>
            </w:pPr>
            <w:r>
              <w:rPr>
                <w:rFonts w:ascii="黑体" w:eastAsia="黑体" w:hAnsi="黑体" w:hint="eastAsia"/>
                <w:kern w:val="0"/>
                <w:sz w:val="20"/>
                <w:szCs w:val="20"/>
              </w:rPr>
              <w:t>其他境外个人（含外国护照</w:t>
            </w:r>
            <w:r>
              <w:rPr>
                <w:rFonts w:ascii="黑体" w:eastAsia="黑体" w:hAnsi="黑体"/>
                <w:kern w:val="0"/>
                <w:sz w:val="20"/>
                <w:szCs w:val="20"/>
              </w:rPr>
              <w:t>/</w:t>
            </w:r>
            <w:r>
              <w:rPr>
                <w:rFonts w:ascii="黑体" w:eastAsia="黑体" w:hAnsi="黑体" w:hint="eastAsia"/>
                <w:kern w:val="0"/>
                <w:sz w:val="20"/>
                <w:szCs w:val="20"/>
              </w:rPr>
              <w:t>外国人永久居留身份证），填写中国之外的其他国家</w:t>
            </w:r>
            <w:r>
              <w:rPr>
                <w:rFonts w:ascii="黑体" w:eastAsia="黑体" w:hAnsi="黑体"/>
                <w:kern w:val="0"/>
                <w:sz w:val="20"/>
                <w:szCs w:val="20"/>
              </w:rPr>
              <w:t>/</w:t>
            </w:r>
            <w:r>
              <w:rPr>
                <w:rFonts w:ascii="黑体" w:eastAsia="黑体" w:hAnsi="黑体" w:hint="eastAsia"/>
                <w:kern w:val="0"/>
                <w:sz w:val="20"/>
                <w:szCs w:val="20"/>
              </w:rPr>
              <w:t>地区的代码。</w:t>
            </w:r>
          </w:p>
          <w:p w14:paraId="369377D6" w14:textId="77777777" w:rsidR="00A052DC" w:rsidRDefault="009F0A60">
            <w:pPr>
              <w:rPr>
                <w:rFonts w:ascii="黑体" w:eastAsia="黑体" w:hAnsi="黑体"/>
                <w:kern w:val="0"/>
                <w:sz w:val="20"/>
                <w:szCs w:val="20"/>
              </w:rPr>
            </w:pPr>
            <w:r>
              <w:rPr>
                <w:rFonts w:ascii="黑体" w:eastAsia="黑体" w:hAnsi="黑体" w:hint="eastAsia"/>
                <w:kern w:val="0"/>
                <w:sz w:val="20"/>
                <w:szCs w:val="20"/>
              </w:rPr>
              <w:t>其他，请填写（</w:t>
            </w:r>
            <w:r>
              <w:rPr>
                <w:rFonts w:ascii="黑体" w:eastAsia="黑体" w:hAnsi="黑体"/>
                <w:kern w:val="0"/>
                <w:sz w:val="20"/>
                <w:szCs w:val="20"/>
              </w:rPr>
              <w:t>000）</w:t>
            </w:r>
            <w:r>
              <w:rPr>
                <w:rFonts w:ascii="黑体" w:eastAsia="黑体" w:hAnsi="黑体" w:hint="eastAsia"/>
                <w:kern w:val="0"/>
                <w:sz w:val="20"/>
                <w:szCs w:val="20"/>
              </w:rPr>
              <w:t>。</w:t>
            </w:r>
          </w:p>
        </w:tc>
      </w:tr>
      <w:tr w:rsidR="00A052DC" w14:paraId="3FEF392E" w14:textId="77777777">
        <w:trPr>
          <w:trHeight w:val="620"/>
        </w:trPr>
        <w:tc>
          <w:tcPr>
            <w:tcW w:w="1374" w:type="dxa"/>
            <w:vAlign w:val="center"/>
          </w:tcPr>
          <w:p w14:paraId="2758CF89" w14:textId="77777777" w:rsidR="00A052DC" w:rsidRDefault="009F0A60">
            <w:pPr>
              <w:rPr>
                <w:rFonts w:ascii="黑体" w:eastAsia="黑体" w:hAnsi="黑体"/>
                <w:sz w:val="20"/>
                <w:szCs w:val="20"/>
              </w:rPr>
            </w:pPr>
            <w:r>
              <w:rPr>
                <w:rFonts w:ascii="黑体" w:eastAsia="黑体" w:hAnsi="黑体"/>
                <w:sz w:val="20"/>
                <w:szCs w:val="20"/>
              </w:rPr>
              <w:t>ID_CODE</w:t>
            </w:r>
          </w:p>
        </w:tc>
        <w:tc>
          <w:tcPr>
            <w:tcW w:w="1853" w:type="dxa"/>
            <w:vAlign w:val="center"/>
          </w:tcPr>
          <w:p w14:paraId="151E7F42" w14:textId="77777777" w:rsidR="00A052DC" w:rsidRDefault="009F0A60">
            <w:pPr>
              <w:rPr>
                <w:rFonts w:ascii="黑体" w:eastAsia="黑体" w:hAnsi="黑体"/>
                <w:sz w:val="20"/>
                <w:szCs w:val="20"/>
              </w:rPr>
            </w:pPr>
            <w:r>
              <w:rPr>
                <w:rFonts w:ascii="黑体" w:eastAsia="黑体" w:hAnsi="黑体" w:hint="eastAsia"/>
                <w:kern w:val="0"/>
                <w:sz w:val="20"/>
                <w:szCs w:val="20"/>
              </w:rPr>
              <w:t>身份证件号码</w:t>
            </w:r>
          </w:p>
        </w:tc>
        <w:tc>
          <w:tcPr>
            <w:tcW w:w="1417" w:type="dxa"/>
            <w:vAlign w:val="center"/>
          </w:tcPr>
          <w:p w14:paraId="4E04BB33" w14:textId="77777777" w:rsidR="00A052DC" w:rsidRDefault="009F0A60">
            <w:pPr>
              <w:jc w:val="left"/>
              <w:rPr>
                <w:rFonts w:ascii="黑体" w:eastAsia="黑体" w:hAnsi="黑体"/>
                <w:sz w:val="20"/>
                <w:szCs w:val="20"/>
              </w:rPr>
            </w:pPr>
            <w:r>
              <w:rPr>
                <w:rFonts w:ascii="黑体" w:eastAsia="黑体" w:hAnsi="黑体" w:hint="eastAsia"/>
                <w:sz w:val="20"/>
                <w:szCs w:val="20"/>
              </w:rPr>
              <w:t>字符型，</w:t>
            </w:r>
            <w:r>
              <w:rPr>
                <w:rFonts w:ascii="黑体" w:eastAsia="黑体" w:hAnsi="黑体"/>
                <w:sz w:val="20"/>
                <w:szCs w:val="20"/>
              </w:rPr>
              <w:t>128</w:t>
            </w:r>
          </w:p>
        </w:tc>
        <w:tc>
          <w:tcPr>
            <w:tcW w:w="3862" w:type="dxa"/>
            <w:vAlign w:val="center"/>
          </w:tcPr>
          <w:p w14:paraId="268E8485" w14:textId="77777777" w:rsidR="00A052DC" w:rsidRDefault="009F0A60">
            <w:pPr>
              <w:rPr>
                <w:rFonts w:ascii="黑体" w:eastAsia="黑体" w:hAnsi="黑体"/>
                <w:kern w:val="0"/>
                <w:sz w:val="20"/>
                <w:szCs w:val="20"/>
              </w:rPr>
            </w:pPr>
            <w:r>
              <w:rPr>
                <w:rFonts w:ascii="黑体" w:eastAsia="黑体" w:hAnsi="黑体" w:hint="eastAsia"/>
                <w:kern w:val="0"/>
                <w:sz w:val="20"/>
                <w:szCs w:val="20"/>
              </w:rPr>
              <w:t>必填项，</w:t>
            </w:r>
          </w:p>
          <w:p w14:paraId="447EB8DC" w14:textId="77777777" w:rsidR="00A052DC" w:rsidRDefault="009F0A60">
            <w:pPr>
              <w:rPr>
                <w:rFonts w:ascii="黑体" w:eastAsia="黑体" w:hAnsi="黑体"/>
                <w:kern w:val="0"/>
                <w:sz w:val="20"/>
                <w:szCs w:val="20"/>
              </w:rPr>
            </w:pPr>
            <w:r>
              <w:rPr>
                <w:rFonts w:ascii="黑体" w:eastAsia="黑体" w:hAnsi="黑体" w:hint="eastAsia"/>
                <w:kern w:val="0"/>
                <w:sz w:val="20"/>
                <w:szCs w:val="20"/>
              </w:rPr>
              <w:t>身份证件号码</w:t>
            </w:r>
            <w:r>
              <w:rPr>
                <w:rFonts w:ascii="黑体" w:eastAsia="黑体" w:hAnsi="黑体"/>
                <w:kern w:val="0"/>
                <w:sz w:val="20"/>
                <w:szCs w:val="20"/>
              </w:rPr>
              <w:t xml:space="preserve">: </w:t>
            </w:r>
            <w:r>
              <w:rPr>
                <w:rFonts w:ascii="黑体" w:eastAsia="黑体" w:hAnsi="黑体" w:hint="eastAsia"/>
                <w:kern w:val="0"/>
                <w:sz w:val="20"/>
                <w:szCs w:val="20"/>
              </w:rPr>
              <w:t>半角格式；</w:t>
            </w:r>
          </w:p>
          <w:p w14:paraId="4C86A1E5" w14:textId="77777777" w:rsidR="00A052DC" w:rsidRDefault="009F0A60">
            <w:pPr>
              <w:rPr>
                <w:rFonts w:ascii="黑体" w:eastAsia="黑体" w:hAnsi="黑体"/>
                <w:kern w:val="0"/>
                <w:sz w:val="20"/>
                <w:szCs w:val="20"/>
              </w:rPr>
            </w:pPr>
            <w:r>
              <w:rPr>
                <w:rFonts w:ascii="黑体" w:eastAsia="黑体" w:hAnsi="黑体" w:hint="eastAsia"/>
                <w:kern w:val="0"/>
                <w:sz w:val="20"/>
                <w:szCs w:val="20"/>
              </w:rPr>
              <w:t>境内个人：</w:t>
            </w:r>
          </w:p>
          <w:p w14:paraId="63FD9D17" w14:textId="77777777" w:rsidR="00A052DC" w:rsidRDefault="009F0A60">
            <w:pPr>
              <w:rPr>
                <w:rFonts w:ascii="黑体" w:eastAsia="黑体" w:hAnsi="黑体"/>
                <w:kern w:val="0"/>
                <w:sz w:val="20"/>
                <w:szCs w:val="20"/>
              </w:rPr>
            </w:pPr>
            <w:r>
              <w:rPr>
                <w:rFonts w:ascii="黑体" w:eastAsia="黑体" w:hAnsi="黑体" w:hint="eastAsia"/>
                <w:kern w:val="0"/>
                <w:sz w:val="20"/>
                <w:szCs w:val="20"/>
              </w:rPr>
              <w:t>身份证件类型为身份证的，</w:t>
            </w:r>
            <w:r>
              <w:rPr>
                <w:rFonts w:ascii="黑体" w:eastAsia="黑体" w:hAnsi="黑体"/>
                <w:kern w:val="0"/>
                <w:sz w:val="20"/>
                <w:szCs w:val="20"/>
              </w:rPr>
              <w:t>18</w:t>
            </w:r>
            <w:r>
              <w:rPr>
                <w:rFonts w:ascii="黑体" w:eastAsia="黑体" w:hAnsi="黑体" w:hint="eastAsia"/>
                <w:kern w:val="0"/>
                <w:sz w:val="20"/>
                <w:szCs w:val="20"/>
              </w:rPr>
              <w:t>位，由全部数字或数字加最末一位大写英文字符组成。符合公安部身份证号码校验规则。</w:t>
            </w:r>
          </w:p>
          <w:p w14:paraId="13805F76" w14:textId="77777777" w:rsidR="00A052DC" w:rsidRDefault="009F0A60">
            <w:pPr>
              <w:rPr>
                <w:rFonts w:ascii="黑体" w:eastAsia="黑体" w:hAnsi="黑体"/>
                <w:kern w:val="0"/>
                <w:sz w:val="20"/>
                <w:szCs w:val="20"/>
              </w:rPr>
            </w:pPr>
            <w:r>
              <w:rPr>
                <w:rFonts w:ascii="黑体" w:eastAsia="黑体" w:hAnsi="黑体" w:hint="eastAsia"/>
                <w:kern w:val="0"/>
                <w:sz w:val="20"/>
                <w:szCs w:val="20"/>
              </w:rPr>
              <w:t>境外个人：</w:t>
            </w:r>
          </w:p>
          <w:p w14:paraId="3EDAFF1E" w14:textId="77777777" w:rsidR="00A052DC" w:rsidRDefault="009F0A60">
            <w:pPr>
              <w:rPr>
                <w:rFonts w:ascii="黑体" w:eastAsia="黑体" w:hAnsi="黑体"/>
                <w:kern w:val="0"/>
                <w:sz w:val="20"/>
                <w:szCs w:val="20"/>
              </w:rPr>
            </w:pPr>
            <w:r>
              <w:rPr>
                <w:rFonts w:ascii="黑体" w:eastAsia="黑体" w:hAnsi="黑体" w:hint="eastAsia"/>
                <w:kern w:val="0"/>
                <w:sz w:val="20"/>
                <w:szCs w:val="20"/>
              </w:rPr>
              <w:t>身份证件类型为外国护照的，只允许输入大写字母和数字、中文。</w:t>
            </w:r>
          </w:p>
          <w:p w14:paraId="727A0626" w14:textId="77777777" w:rsidR="00A052DC" w:rsidRDefault="009F0A60">
            <w:pPr>
              <w:rPr>
                <w:rFonts w:ascii="黑体" w:eastAsia="黑体" w:hAnsi="黑体"/>
                <w:kern w:val="0"/>
                <w:sz w:val="20"/>
                <w:szCs w:val="20"/>
              </w:rPr>
            </w:pPr>
            <w:r>
              <w:rPr>
                <w:rFonts w:ascii="黑体" w:eastAsia="黑体" w:hAnsi="黑体" w:hint="eastAsia"/>
                <w:kern w:val="0"/>
                <w:sz w:val="20"/>
                <w:szCs w:val="20"/>
              </w:rPr>
              <w:t>身份证件类型为外国人永久居留身份证的，填写15位外国人永久居留身份证号码（国别码</w:t>
            </w:r>
            <w:r>
              <w:rPr>
                <w:rFonts w:ascii="黑体" w:eastAsia="黑体" w:hAnsi="黑体"/>
                <w:kern w:val="0"/>
                <w:sz w:val="20"/>
                <w:szCs w:val="20"/>
              </w:rPr>
              <w:t>3</w:t>
            </w:r>
            <w:r>
              <w:rPr>
                <w:rFonts w:ascii="黑体" w:eastAsia="黑体" w:hAnsi="黑体" w:hint="eastAsia"/>
                <w:kern w:val="0"/>
                <w:sz w:val="20"/>
                <w:szCs w:val="20"/>
              </w:rPr>
              <w:t>位大写字母</w:t>
            </w:r>
            <w:r>
              <w:rPr>
                <w:rFonts w:ascii="黑体" w:eastAsia="黑体" w:hAnsi="黑体"/>
                <w:kern w:val="0"/>
                <w:sz w:val="20"/>
                <w:szCs w:val="20"/>
              </w:rPr>
              <w:t>+ 12</w:t>
            </w:r>
            <w:r>
              <w:rPr>
                <w:rFonts w:ascii="黑体" w:eastAsia="黑体" w:hAnsi="黑体" w:hint="eastAsia"/>
                <w:kern w:val="0"/>
                <w:sz w:val="20"/>
                <w:szCs w:val="20"/>
              </w:rPr>
              <w:t>位数字）。</w:t>
            </w:r>
          </w:p>
          <w:p w14:paraId="4E4AE15B" w14:textId="77777777" w:rsidR="00A052DC" w:rsidRDefault="009F0A60">
            <w:pPr>
              <w:rPr>
                <w:rFonts w:ascii="黑体" w:eastAsia="黑体" w:hAnsi="黑体"/>
                <w:kern w:val="0"/>
                <w:sz w:val="20"/>
                <w:szCs w:val="20"/>
              </w:rPr>
            </w:pPr>
            <w:r>
              <w:rPr>
                <w:rFonts w:ascii="黑体" w:eastAsia="黑体" w:hAnsi="黑体" w:hint="eastAsia"/>
                <w:kern w:val="0"/>
                <w:sz w:val="20"/>
                <w:szCs w:val="20"/>
              </w:rPr>
              <w:t>身份证件类型为港澳居民往来内地通行证的，输入通行证号（第一个字母是</w:t>
            </w:r>
            <w:r>
              <w:rPr>
                <w:rFonts w:ascii="黑体" w:eastAsia="黑体" w:hAnsi="黑体"/>
                <w:kern w:val="0"/>
                <w:sz w:val="20"/>
                <w:szCs w:val="20"/>
              </w:rPr>
              <w:t>H</w:t>
            </w:r>
            <w:r>
              <w:rPr>
                <w:rFonts w:ascii="黑体" w:eastAsia="黑体" w:hAnsi="黑体" w:hint="eastAsia"/>
                <w:kern w:val="0"/>
                <w:sz w:val="20"/>
                <w:szCs w:val="20"/>
              </w:rPr>
              <w:t>或者</w:t>
            </w:r>
            <w:r>
              <w:rPr>
                <w:rFonts w:ascii="黑体" w:eastAsia="黑体" w:hAnsi="黑体"/>
                <w:kern w:val="0"/>
                <w:sz w:val="20"/>
                <w:szCs w:val="20"/>
              </w:rPr>
              <w:t>M</w:t>
            </w:r>
            <w:r>
              <w:rPr>
                <w:rFonts w:ascii="黑体" w:eastAsia="黑体" w:hAnsi="黑体" w:hint="eastAsia"/>
                <w:kern w:val="0"/>
                <w:sz w:val="20"/>
                <w:szCs w:val="20"/>
              </w:rPr>
              <w:t>，后面共</w:t>
            </w:r>
            <w:r>
              <w:rPr>
                <w:rFonts w:ascii="黑体" w:eastAsia="黑体" w:hAnsi="黑体"/>
                <w:kern w:val="0"/>
                <w:sz w:val="20"/>
                <w:szCs w:val="20"/>
              </w:rPr>
              <w:t>8</w:t>
            </w:r>
            <w:r>
              <w:rPr>
                <w:rFonts w:ascii="黑体" w:eastAsia="黑体" w:hAnsi="黑体" w:hint="eastAsia"/>
                <w:kern w:val="0"/>
                <w:sz w:val="20"/>
                <w:szCs w:val="20"/>
              </w:rPr>
              <w:t>位数字。当首字母为</w:t>
            </w:r>
            <w:r>
              <w:rPr>
                <w:rFonts w:ascii="黑体" w:eastAsia="黑体" w:hAnsi="黑体"/>
                <w:kern w:val="0"/>
                <w:sz w:val="20"/>
                <w:szCs w:val="20"/>
              </w:rPr>
              <w:t>“H”时为</w:t>
            </w:r>
            <w:r>
              <w:rPr>
                <w:rFonts w:ascii="黑体" w:eastAsia="黑体" w:hAnsi="黑体" w:hint="eastAsia"/>
                <w:kern w:val="0"/>
                <w:sz w:val="20"/>
                <w:szCs w:val="20"/>
              </w:rPr>
              <w:t>“</w:t>
            </w:r>
            <w:r>
              <w:rPr>
                <w:rFonts w:ascii="黑体" w:eastAsia="黑体" w:hAnsi="黑体"/>
                <w:kern w:val="0"/>
                <w:sz w:val="20"/>
                <w:szCs w:val="20"/>
              </w:rPr>
              <w:t>香港</w:t>
            </w:r>
            <w:r>
              <w:rPr>
                <w:rFonts w:ascii="黑体" w:eastAsia="黑体" w:hAnsi="黑体" w:hint="eastAsia"/>
                <w:kern w:val="0"/>
                <w:sz w:val="20"/>
                <w:szCs w:val="20"/>
              </w:rPr>
              <w:t>”</w:t>
            </w:r>
            <w:r>
              <w:rPr>
                <w:rFonts w:ascii="黑体" w:eastAsia="黑体" w:hAnsi="黑体"/>
                <w:kern w:val="0"/>
                <w:sz w:val="20"/>
                <w:szCs w:val="20"/>
              </w:rPr>
              <w:t>，当首字母为“M”时为</w:t>
            </w:r>
            <w:r>
              <w:rPr>
                <w:rFonts w:ascii="黑体" w:eastAsia="黑体" w:hAnsi="黑体" w:hint="eastAsia"/>
                <w:kern w:val="0"/>
                <w:sz w:val="20"/>
                <w:szCs w:val="20"/>
              </w:rPr>
              <w:t>“</w:t>
            </w:r>
            <w:r>
              <w:rPr>
                <w:rFonts w:ascii="黑体" w:eastAsia="黑体" w:hAnsi="黑体"/>
                <w:kern w:val="0"/>
                <w:sz w:val="20"/>
                <w:szCs w:val="20"/>
              </w:rPr>
              <w:t>澳门</w:t>
            </w:r>
            <w:r>
              <w:rPr>
                <w:rFonts w:ascii="黑体" w:eastAsia="黑体" w:hAnsi="黑体" w:hint="eastAsia"/>
                <w:kern w:val="0"/>
                <w:sz w:val="20"/>
                <w:szCs w:val="20"/>
              </w:rPr>
              <w:t>”）。</w:t>
            </w:r>
          </w:p>
          <w:p w14:paraId="29B43C26" w14:textId="77777777" w:rsidR="00A052DC" w:rsidRDefault="009F0A60">
            <w:pPr>
              <w:rPr>
                <w:rFonts w:ascii="黑体" w:eastAsia="黑体" w:hAnsi="黑体"/>
                <w:kern w:val="0"/>
                <w:sz w:val="20"/>
                <w:szCs w:val="20"/>
              </w:rPr>
            </w:pPr>
            <w:r>
              <w:rPr>
                <w:rFonts w:ascii="黑体" w:eastAsia="黑体" w:hAnsi="黑体" w:hint="eastAsia"/>
                <w:kern w:val="0"/>
                <w:sz w:val="20"/>
                <w:szCs w:val="20"/>
              </w:rPr>
              <w:t>身份证件类型为台湾居民来往内地通行证的，输入通行证号。</w:t>
            </w:r>
          </w:p>
          <w:p w14:paraId="02743A5A" w14:textId="77777777" w:rsidR="00A052DC" w:rsidRDefault="009F0A60">
            <w:pPr>
              <w:rPr>
                <w:rFonts w:ascii="黑体" w:eastAsia="黑体" w:hAnsi="黑体"/>
                <w:sz w:val="20"/>
                <w:szCs w:val="20"/>
              </w:rPr>
            </w:pPr>
            <w:r>
              <w:rPr>
                <w:rFonts w:ascii="黑体" w:eastAsia="黑体" w:hAnsi="黑体" w:hint="eastAsia"/>
                <w:kern w:val="0"/>
                <w:sz w:val="20"/>
                <w:szCs w:val="20"/>
              </w:rPr>
              <w:t>其他身份证件类型，按有关部门的相关要求进行校验。</w:t>
            </w:r>
          </w:p>
        </w:tc>
      </w:tr>
      <w:tr w:rsidR="00A052DC" w14:paraId="6CF15937" w14:textId="77777777">
        <w:tc>
          <w:tcPr>
            <w:tcW w:w="1374" w:type="dxa"/>
            <w:vAlign w:val="center"/>
          </w:tcPr>
          <w:p w14:paraId="5771732D" w14:textId="77777777" w:rsidR="00A052DC" w:rsidRDefault="009F0A60">
            <w:pPr>
              <w:rPr>
                <w:rFonts w:ascii="黑体" w:eastAsia="黑体" w:hAnsi="黑体"/>
                <w:sz w:val="20"/>
                <w:szCs w:val="20"/>
              </w:rPr>
            </w:pPr>
            <w:r>
              <w:rPr>
                <w:rFonts w:ascii="黑体" w:eastAsia="黑体" w:hAnsi="黑体"/>
                <w:sz w:val="20"/>
                <w:szCs w:val="20"/>
              </w:rPr>
              <w:t>PERSON_NAME</w:t>
            </w:r>
          </w:p>
        </w:tc>
        <w:tc>
          <w:tcPr>
            <w:tcW w:w="1853" w:type="dxa"/>
            <w:vAlign w:val="center"/>
          </w:tcPr>
          <w:p w14:paraId="365C718C" w14:textId="77777777" w:rsidR="00A052DC" w:rsidRDefault="009F0A60">
            <w:pPr>
              <w:rPr>
                <w:rFonts w:ascii="黑体" w:eastAsia="黑体" w:hAnsi="黑体"/>
                <w:sz w:val="20"/>
                <w:szCs w:val="20"/>
              </w:rPr>
            </w:pPr>
            <w:r>
              <w:rPr>
                <w:rFonts w:ascii="黑体" w:eastAsia="黑体" w:hAnsi="黑体" w:hint="eastAsia"/>
                <w:kern w:val="0"/>
                <w:sz w:val="20"/>
                <w:szCs w:val="20"/>
              </w:rPr>
              <w:t>持卡人姓名</w:t>
            </w:r>
          </w:p>
        </w:tc>
        <w:tc>
          <w:tcPr>
            <w:tcW w:w="1417" w:type="dxa"/>
            <w:vAlign w:val="center"/>
          </w:tcPr>
          <w:p w14:paraId="137CC66D" w14:textId="77777777" w:rsidR="00A052DC" w:rsidRDefault="009F0A60">
            <w:pPr>
              <w:jc w:val="left"/>
              <w:rPr>
                <w:rFonts w:ascii="黑体" w:eastAsia="黑体" w:hAnsi="黑体"/>
                <w:sz w:val="20"/>
                <w:szCs w:val="20"/>
              </w:rPr>
            </w:pPr>
            <w:r>
              <w:rPr>
                <w:rFonts w:ascii="黑体" w:eastAsia="黑体" w:hAnsi="黑体" w:hint="eastAsia"/>
                <w:sz w:val="20"/>
                <w:szCs w:val="20"/>
              </w:rPr>
              <w:t>字符型，</w:t>
            </w:r>
            <w:r>
              <w:rPr>
                <w:rFonts w:ascii="黑体" w:eastAsia="黑体" w:hAnsi="黑体"/>
                <w:sz w:val="20"/>
                <w:szCs w:val="20"/>
              </w:rPr>
              <w:t>128</w:t>
            </w:r>
          </w:p>
        </w:tc>
        <w:tc>
          <w:tcPr>
            <w:tcW w:w="3862" w:type="dxa"/>
            <w:vAlign w:val="center"/>
          </w:tcPr>
          <w:p w14:paraId="34D510C6" w14:textId="77777777" w:rsidR="00A052DC" w:rsidRDefault="009F0A60">
            <w:pPr>
              <w:rPr>
                <w:rFonts w:ascii="黑体" w:eastAsia="黑体" w:hAnsi="黑体"/>
                <w:sz w:val="20"/>
                <w:szCs w:val="20"/>
              </w:rPr>
            </w:pPr>
            <w:r>
              <w:rPr>
                <w:rFonts w:ascii="黑体" w:eastAsia="黑体" w:hAnsi="黑体" w:hint="eastAsia"/>
                <w:kern w:val="0"/>
                <w:sz w:val="20"/>
                <w:szCs w:val="20"/>
              </w:rPr>
              <w:t>必填项。</w:t>
            </w:r>
            <w:r>
              <w:rPr>
                <w:rFonts w:ascii="黑体" w:eastAsia="黑体" w:hAnsi="黑体" w:hint="eastAsia"/>
                <w:sz w:val="20"/>
                <w:szCs w:val="20"/>
              </w:rPr>
              <w:t>持卡人身份证件上填写的</w:t>
            </w:r>
            <w:r>
              <w:rPr>
                <w:rFonts w:ascii="黑体" w:eastAsia="黑体" w:hAnsi="黑体" w:hint="eastAsia"/>
                <w:kern w:val="0"/>
                <w:sz w:val="20"/>
                <w:szCs w:val="20"/>
              </w:rPr>
              <w:t>姓名，只允许录入汉字、字母（半角）或符号（仅支持半角格式的点“.” 和“-”以及中文格式的“·”）中间允许有空格。</w:t>
            </w:r>
          </w:p>
        </w:tc>
      </w:tr>
      <w:tr w:rsidR="00A052DC" w14:paraId="4A7D8660" w14:textId="77777777">
        <w:tc>
          <w:tcPr>
            <w:tcW w:w="1374" w:type="dxa"/>
            <w:vAlign w:val="center"/>
          </w:tcPr>
          <w:p w14:paraId="01F8724B" w14:textId="77777777" w:rsidR="00A052DC" w:rsidRDefault="009F0A60">
            <w:pPr>
              <w:rPr>
                <w:rFonts w:ascii="黑体" w:eastAsia="黑体" w:hAnsi="黑体"/>
                <w:sz w:val="20"/>
                <w:szCs w:val="20"/>
              </w:rPr>
            </w:pPr>
            <w:r>
              <w:rPr>
                <w:rFonts w:ascii="黑体" w:eastAsia="黑体" w:hAnsi="黑体"/>
                <w:sz w:val="20"/>
                <w:szCs w:val="20"/>
              </w:rPr>
              <w:t>ACCTNO</w:t>
            </w:r>
          </w:p>
        </w:tc>
        <w:tc>
          <w:tcPr>
            <w:tcW w:w="1853" w:type="dxa"/>
            <w:vAlign w:val="center"/>
          </w:tcPr>
          <w:p w14:paraId="33455C85" w14:textId="77777777" w:rsidR="00A052DC" w:rsidRDefault="009F0A60">
            <w:pPr>
              <w:rPr>
                <w:rFonts w:ascii="黑体" w:eastAsia="黑体" w:hAnsi="黑体"/>
                <w:sz w:val="20"/>
                <w:szCs w:val="20"/>
              </w:rPr>
            </w:pPr>
            <w:r>
              <w:rPr>
                <w:rFonts w:ascii="黑体" w:eastAsia="黑体" w:hAnsi="黑体" w:hint="eastAsia"/>
                <w:kern w:val="0"/>
                <w:sz w:val="20"/>
                <w:szCs w:val="20"/>
              </w:rPr>
              <w:t>卡号</w:t>
            </w:r>
          </w:p>
        </w:tc>
        <w:tc>
          <w:tcPr>
            <w:tcW w:w="1417" w:type="dxa"/>
            <w:vAlign w:val="center"/>
          </w:tcPr>
          <w:p w14:paraId="06FB39C8" w14:textId="77777777" w:rsidR="00A052DC" w:rsidRDefault="009F0A60">
            <w:pPr>
              <w:jc w:val="left"/>
              <w:rPr>
                <w:rFonts w:ascii="黑体" w:eastAsia="黑体" w:hAnsi="黑体"/>
                <w:sz w:val="20"/>
                <w:szCs w:val="20"/>
              </w:rPr>
            </w:pPr>
            <w:r>
              <w:rPr>
                <w:rFonts w:ascii="黑体" w:eastAsia="黑体" w:hAnsi="黑体" w:hint="eastAsia"/>
                <w:sz w:val="20"/>
                <w:szCs w:val="20"/>
              </w:rPr>
              <w:t>字符型，</w:t>
            </w:r>
            <w:r>
              <w:rPr>
                <w:rFonts w:ascii="黑体" w:eastAsia="黑体" w:hAnsi="黑体"/>
                <w:sz w:val="20"/>
                <w:szCs w:val="20"/>
              </w:rPr>
              <w:t>32</w:t>
            </w:r>
          </w:p>
        </w:tc>
        <w:tc>
          <w:tcPr>
            <w:tcW w:w="3862" w:type="dxa"/>
            <w:vAlign w:val="center"/>
          </w:tcPr>
          <w:p w14:paraId="6EE46181" w14:textId="77777777" w:rsidR="00A052DC" w:rsidRDefault="009F0A60">
            <w:pPr>
              <w:rPr>
                <w:rFonts w:ascii="黑体" w:eastAsia="黑体" w:hAnsi="黑体"/>
                <w:sz w:val="20"/>
                <w:szCs w:val="20"/>
              </w:rPr>
            </w:pPr>
            <w:r>
              <w:rPr>
                <w:rFonts w:ascii="黑体" w:eastAsia="黑体" w:hAnsi="黑体" w:hint="eastAsia"/>
                <w:kern w:val="0"/>
                <w:sz w:val="20"/>
                <w:szCs w:val="20"/>
              </w:rPr>
              <w:t>必填项。</w:t>
            </w:r>
            <w:r>
              <w:rPr>
                <w:rFonts w:ascii="黑体" w:eastAsia="黑体" w:hAnsi="黑体" w:hint="eastAsia"/>
                <w:sz w:val="20"/>
                <w:szCs w:val="20"/>
              </w:rPr>
              <w:t>境外提现使用的银行卡卡号。</w:t>
            </w:r>
          </w:p>
        </w:tc>
      </w:tr>
      <w:tr w:rsidR="00A052DC" w14:paraId="0BBEBCB6" w14:textId="77777777">
        <w:tc>
          <w:tcPr>
            <w:tcW w:w="1374" w:type="dxa"/>
            <w:vAlign w:val="center"/>
          </w:tcPr>
          <w:p w14:paraId="4C98FC19" w14:textId="77777777" w:rsidR="00A052DC" w:rsidRDefault="009F0A60">
            <w:pPr>
              <w:rPr>
                <w:rFonts w:ascii="黑体" w:eastAsia="黑体" w:hAnsi="黑体"/>
                <w:sz w:val="20"/>
                <w:szCs w:val="20"/>
              </w:rPr>
            </w:pPr>
            <w:r>
              <w:rPr>
                <w:rFonts w:ascii="黑体" w:eastAsia="黑体" w:hAnsi="黑体"/>
                <w:sz w:val="20"/>
                <w:szCs w:val="20"/>
              </w:rPr>
              <w:t>JY_ CCY_CODE</w:t>
            </w:r>
          </w:p>
        </w:tc>
        <w:tc>
          <w:tcPr>
            <w:tcW w:w="1853" w:type="dxa"/>
            <w:vAlign w:val="center"/>
          </w:tcPr>
          <w:p w14:paraId="240C2227" w14:textId="77777777" w:rsidR="00A052DC" w:rsidRDefault="009F0A60">
            <w:pPr>
              <w:rPr>
                <w:rFonts w:ascii="黑体" w:eastAsia="黑体" w:hAnsi="黑体"/>
                <w:kern w:val="0"/>
                <w:sz w:val="20"/>
                <w:szCs w:val="20"/>
              </w:rPr>
            </w:pPr>
            <w:r>
              <w:rPr>
                <w:rFonts w:ascii="黑体" w:eastAsia="黑体" w:hAnsi="黑体" w:hint="eastAsia"/>
                <w:kern w:val="0"/>
                <w:sz w:val="20"/>
                <w:szCs w:val="20"/>
              </w:rPr>
              <w:t>交易货币币种</w:t>
            </w:r>
          </w:p>
        </w:tc>
        <w:tc>
          <w:tcPr>
            <w:tcW w:w="1417" w:type="dxa"/>
            <w:vAlign w:val="center"/>
          </w:tcPr>
          <w:p w14:paraId="0086E832" w14:textId="77777777" w:rsidR="00A052DC" w:rsidRDefault="009F0A60">
            <w:pPr>
              <w:jc w:val="left"/>
              <w:rPr>
                <w:rFonts w:ascii="黑体" w:eastAsia="黑体" w:hAnsi="黑体"/>
                <w:kern w:val="0"/>
                <w:sz w:val="20"/>
                <w:szCs w:val="20"/>
              </w:rPr>
            </w:pPr>
            <w:r>
              <w:rPr>
                <w:rFonts w:ascii="黑体" w:eastAsia="黑体" w:hAnsi="黑体"/>
                <w:kern w:val="0"/>
                <w:sz w:val="20"/>
                <w:szCs w:val="20"/>
              </w:rPr>
              <w:t>字符型，3</w:t>
            </w:r>
          </w:p>
        </w:tc>
        <w:tc>
          <w:tcPr>
            <w:tcW w:w="3862" w:type="dxa"/>
            <w:vAlign w:val="center"/>
          </w:tcPr>
          <w:p w14:paraId="52867837" w14:textId="77777777" w:rsidR="00A052DC" w:rsidRDefault="009F0A60">
            <w:pPr>
              <w:rPr>
                <w:rFonts w:ascii="黑体" w:eastAsia="黑体" w:hAnsi="黑体"/>
                <w:kern w:val="0"/>
                <w:sz w:val="20"/>
                <w:szCs w:val="20"/>
              </w:rPr>
            </w:pPr>
            <w:r>
              <w:rPr>
                <w:rFonts w:ascii="黑体" w:eastAsia="黑体" w:hAnsi="黑体" w:hint="eastAsia"/>
                <w:kern w:val="0"/>
                <w:sz w:val="20"/>
                <w:szCs w:val="20"/>
              </w:rPr>
              <w:t>必填项，见币种代码表。</w:t>
            </w:r>
          </w:p>
        </w:tc>
      </w:tr>
      <w:tr w:rsidR="00A052DC" w14:paraId="33949DC9" w14:textId="77777777">
        <w:tc>
          <w:tcPr>
            <w:tcW w:w="1374" w:type="dxa"/>
            <w:tcBorders>
              <w:top w:val="single" w:sz="4" w:space="0" w:color="auto"/>
              <w:left w:val="single" w:sz="4" w:space="0" w:color="auto"/>
              <w:bottom w:val="single" w:sz="4" w:space="0" w:color="auto"/>
              <w:right w:val="single" w:sz="4" w:space="0" w:color="auto"/>
            </w:tcBorders>
            <w:vAlign w:val="center"/>
          </w:tcPr>
          <w:p w14:paraId="2F5A522F" w14:textId="77777777" w:rsidR="00A052DC" w:rsidRDefault="009F0A60">
            <w:pPr>
              <w:rPr>
                <w:rFonts w:ascii="黑体" w:eastAsia="黑体" w:hAnsi="黑体"/>
                <w:sz w:val="20"/>
                <w:szCs w:val="20"/>
              </w:rPr>
            </w:pPr>
            <w:r>
              <w:rPr>
                <w:rFonts w:ascii="黑体" w:eastAsia="黑体" w:hAnsi="黑体"/>
                <w:sz w:val="20"/>
                <w:szCs w:val="20"/>
              </w:rPr>
              <w:t>JY_AMT</w:t>
            </w:r>
          </w:p>
        </w:tc>
        <w:tc>
          <w:tcPr>
            <w:tcW w:w="1853" w:type="dxa"/>
            <w:tcBorders>
              <w:top w:val="single" w:sz="4" w:space="0" w:color="auto"/>
              <w:left w:val="single" w:sz="4" w:space="0" w:color="auto"/>
              <w:bottom w:val="single" w:sz="4" w:space="0" w:color="auto"/>
              <w:right w:val="single" w:sz="4" w:space="0" w:color="auto"/>
            </w:tcBorders>
            <w:vAlign w:val="center"/>
          </w:tcPr>
          <w:p w14:paraId="370F942A" w14:textId="77777777" w:rsidR="00A052DC" w:rsidRDefault="009F0A60">
            <w:pPr>
              <w:rPr>
                <w:rFonts w:ascii="黑体" w:eastAsia="黑体" w:hAnsi="黑体"/>
                <w:kern w:val="0"/>
                <w:sz w:val="20"/>
                <w:szCs w:val="20"/>
              </w:rPr>
            </w:pPr>
            <w:r>
              <w:rPr>
                <w:rFonts w:ascii="黑体" w:eastAsia="黑体" w:hAnsi="黑体" w:hint="eastAsia"/>
                <w:kern w:val="0"/>
                <w:sz w:val="20"/>
                <w:szCs w:val="20"/>
              </w:rPr>
              <w:t>交易货币金额</w:t>
            </w:r>
          </w:p>
        </w:tc>
        <w:tc>
          <w:tcPr>
            <w:tcW w:w="1417" w:type="dxa"/>
            <w:tcBorders>
              <w:top w:val="single" w:sz="4" w:space="0" w:color="auto"/>
              <w:left w:val="single" w:sz="4" w:space="0" w:color="auto"/>
              <w:bottom w:val="single" w:sz="4" w:space="0" w:color="auto"/>
              <w:right w:val="single" w:sz="4" w:space="0" w:color="auto"/>
            </w:tcBorders>
            <w:vAlign w:val="center"/>
          </w:tcPr>
          <w:p w14:paraId="6BB3E6D9" w14:textId="77777777" w:rsidR="00A052DC" w:rsidRDefault="009F0A60">
            <w:pPr>
              <w:jc w:val="left"/>
              <w:rPr>
                <w:rFonts w:ascii="黑体" w:eastAsia="黑体" w:hAnsi="黑体"/>
                <w:kern w:val="0"/>
                <w:sz w:val="20"/>
                <w:szCs w:val="20"/>
              </w:rPr>
            </w:pPr>
            <w:r>
              <w:rPr>
                <w:rFonts w:ascii="黑体" w:eastAsia="黑体" w:hAnsi="黑体"/>
                <w:kern w:val="0"/>
                <w:sz w:val="20"/>
                <w:szCs w:val="20"/>
              </w:rPr>
              <w:t>数值型，22</w:t>
            </w:r>
            <w:r>
              <w:rPr>
                <w:rFonts w:ascii="黑体" w:eastAsia="黑体" w:hAnsi="黑体" w:hint="eastAsia"/>
                <w:kern w:val="0"/>
                <w:sz w:val="20"/>
                <w:szCs w:val="20"/>
              </w:rPr>
              <w:t>.2</w:t>
            </w:r>
          </w:p>
        </w:tc>
        <w:tc>
          <w:tcPr>
            <w:tcW w:w="3862" w:type="dxa"/>
            <w:tcBorders>
              <w:top w:val="single" w:sz="4" w:space="0" w:color="auto"/>
              <w:left w:val="single" w:sz="4" w:space="0" w:color="auto"/>
              <w:bottom w:val="single" w:sz="4" w:space="0" w:color="auto"/>
              <w:right w:val="single" w:sz="4" w:space="0" w:color="auto"/>
            </w:tcBorders>
            <w:vAlign w:val="center"/>
          </w:tcPr>
          <w:p w14:paraId="6FABF9A2" w14:textId="77777777" w:rsidR="00A052DC" w:rsidRDefault="009F0A60">
            <w:pPr>
              <w:rPr>
                <w:rFonts w:ascii="黑体" w:eastAsia="黑体" w:hAnsi="黑体"/>
                <w:kern w:val="0"/>
                <w:sz w:val="20"/>
                <w:szCs w:val="20"/>
              </w:rPr>
            </w:pPr>
            <w:r>
              <w:rPr>
                <w:rFonts w:ascii="黑体" w:eastAsia="黑体" w:hAnsi="黑体" w:hint="eastAsia"/>
                <w:kern w:val="0"/>
                <w:sz w:val="20"/>
                <w:szCs w:val="20"/>
              </w:rPr>
              <w:t>必填项。</w:t>
            </w:r>
          </w:p>
        </w:tc>
      </w:tr>
      <w:tr w:rsidR="00A052DC" w14:paraId="7CEB9721" w14:textId="77777777">
        <w:trPr>
          <w:trHeight w:val="424"/>
        </w:trPr>
        <w:tc>
          <w:tcPr>
            <w:tcW w:w="1374" w:type="dxa"/>
            <w:vAlign w:val="center"/>
          </w:tcPr>
          <w:p w14:paraId="6775EB14" w14:textId="77777777" w:rsidR="00A052DC" w:rsidRDefault="009F0A60">
            <w:pPr>
              <w:rPr>
                <w:rFonts w:ascii="黑体" w:eastAsia="黑体" w:hAnsi="黑体"/>
                <w:sz w:val="20"/>
                <w:szCs w:val="20"/>
              </w:rPr>
            </w:pPr>
            <w:r>
              <w:rPr>
                <w:rFonts w:ascii="黑体" w:eastAsia="黑体" w:hAnsi="黑体"/>
                <w:sz w:val="20"/>
                <w:szCs w:val="20"/>
              </w:rPr>
              <w:t>QS_AMT_RMB</w:t>
            </w:r>
          </w:p>
        </w:tc>
        <w:tc>
          <w:tcPr>
            <w:tcW w:w="1853" w:type="dxa"/>
            <w:vAlign w:val="center"/>
          </w:tcPr>
          <w:p w14:paraId="31C84DE9" w14:textId="77777777" w:rsidR="00A052DC" w:rsidRDefault="009F0A60">
            <w:pPr>
              <w:rPr>
                <w:rFonts w:ascii="黑体" w:eastAsia="黑体" w:hAnsi="黑体"/>
                <w:kern w:val="0"/>
                <w:sz w:val="20"/>
                <w:szCs w:val="20"/>
              </w:rPr>
            </w:pPr>
            <w:r>
              <w:rPr>
                <w:rFonts w:ascii="黑体" w:eastAsia="黑体" w:hAnsi="黑体" w:hint="eastAsia"/>
                <w:kern w:val="0"/>
                <w:sz w:val="20"/>
                <w:szCs w:val="20"/>
              </w:rPr>
              <w:t>交易货币折人民币金额</w:t>
            </w:r>
          </w:p>
        </w:tc>
        <w:tc>
          <w:tcPr>
            <w:tcW w:w="1417" w:type="dxa"/>
            <w:vAlign w:val="center"/>
          </w:tcPr>
          <w:p w14:paraId="6C61AFD8" w14:textId="77777777" w:rsidR="00A052DC" w:rsidRDefault="009F0A60">
            <w:pPr>
              <w:jc w:val="left"/>
              <w:rPr>
                <w:rFonts w:ascii="黑体" w:eastAsia="黑体" w:hAnsi="黑体"/>
                <w:kern w:val="0"/>
                <w:sz w:val="20"/>
                <w:szCs w:val="20"/>
              </w:rPr>
            </w:pPr>
            <w:r>
              <w:rPr>
                <w:rFonts w:ascii="黑体" w:eastAsia="黑体" w:hAnsi="黑体"/>
                <w:kern w:val="0"/>
                <w:sz w:val="20"/>
                <w:szCs w:val="20"/>
              </w:rPr>
              <w:t>数值型，22</w:t>
            </w:r>
            <w:r>
              <w:rPr>
                <w:rFonts w:ascii="黑体" w:eastAsia="黑体" w:hAnsi="黑体" w:hint="eastAsia"/>
                <w:kern w:val="0"/>
                <w:sz w:val="20"/>
                <w:szCs w:val="20"/>
              </w:rPr>
              <w:t>.2</w:t>
            </w:r>
          </w:p>
        </w:tc>
        <w:tc>
          <w:tcPr>
            <w:tcW w:w="3862" w:type="dxa"/>
            <w:vAlign w:val="center"/>
          </w:tcPr>
          <w:p w14:paraId="7AA3E741" w14:textId="77777777" w:rsidR="00A052DC" w:rsidRDefault="009F0A60">
            <w:pPr>
              <w:rPr>
                <w:rFonts w:ascii="黑体" w:eastAsia="黑体" w:hAnsi="黑体"/>
                <w:kern w:val="0"/>
                <w:sz w:val="20"/>
                <w:szCs w:val="20"/>
              </w:rPr>
            </w:pPr>
            <w:r>
              <w:rPr>
                <w:rFonts w:ascii="黑体" w:eastAsia="黑体" w:hAnsi="黑体" w:hint="eastAsia"/>
                <w:kern w:val="0"/>
                <w:sz w:val="20"/>
                <w:szCs w:val="20"/>
              </w:rPr>
              <w:t>必填项。</w:t>
            </w:r>
          </w:p>
        </w:tc>
      </w:tr>
      <w:tr w:rsidR="00A052DC" w14:paraId="1C7C9E0A" w14:textId="77777777">
        <w:tc>
          <w:tcPr>
            <w:tcW w:w="1374" w:type="dxa"/>
            <w:vAlign w:val="center"/>
          </w:tcPr>
          <w:p w14:paraId="7511CA31" w14:textId="77777777" w:rsidR="00A052DC" w:rsidRDefault="009F0A60">
            <w:pPr>
              <w:rPr>
                <w:rFonts w:ascii="黑体" w:eastAsia="黑体" w:hAnsi="黑体"/>
                <w:sz w:val="20"/>
                <w:szCs w:val="20"/>
              </w:rPr>
            </w:pPr>
            <w:r>
              <w:rPr>
                <w:rFonts w:ascii="黑体" w:eastAsia="黑体" w:hAnsi="黑体"/>
                <w:sz w:val="20"/>
                <w:szCs w:val="20"/>
              </w:rPr>
              <w:t>MCC_CODE</w:t>
            </w:r>
          </w:p>
        </w:tc>
        <w:tc>
          <w:tcPr>
            <w:tcW w:w="1853" w:type="dxa"/>
            <w:vAlign w:val="center"/>
          </w:tcPr>
          <w:p w14:paraId="4686A7B8" w14:textId="77777777" w:rsidR="00A052DC" w:rsidRDefault="009F0A60">
            <w:pPr>
              <w:rPr>
                <w:rFonts w:ascii="黑体" w:eastAsia="黑体" w:hAnsi="黑体"/>
                <w:kern w:val="0"/>
                <w:sz w:val="20"/>
                <w:szCs w:val="20"/>
              </w:rPr>
            </w:pPr>
            <w:r>
              <w:rPr>
                <w:rFonts w:ascii="黑体" w:eastAsia="黑体" w:hAnsi="黑体"/>
                <w:kern w:val="0"/>
                <w:sz w:val="20"/>
                <w:szCs w:val="20"/>
              </w:rPr>
              <w:t xml:space="preserve">MCC </w:t>
            </w:r>
            <w:r>
              <w:rPr>
                <w:rFonts w:ascii="黑体" w:eastAsia="黑体" w:hAnsi="黑体" w:hint="eastAsia"/>
                <w:kern w:val="0"/>
                <w:sz w:val="20"/>
                <w:szCs w:val="20"/>
              </w:rPr>
              <w:t>码</w:t>
            </w:r>
          </w:p>
        </w:tc>
        <w:tc>
          <w:tcPr>
            <w:tcW w:w="1417" w:type="dxa"/>
            <w:vAlign w:val="center"/>
          </w:tcPr>
          <w:p w14:paraId="36DD29AB" w14:textId="77777777" w:rsidR="00A052DC" w:rsidRDefault="009F0A60">
            <w:pPr>
              <w:jc w:val="left"/>
              <w:rPr>
                <w:rFonts w:ascii="黑体" w:eastAsia="黑体" w:hAnsi="黑体"/>
                <w:kern w:val="0"/>
                <w:sz w:val="20"/>
                <w:szCs w:val="20"/>
              </w:rPr>
            </w:pPr>
            <w:r>
              <w:rPr>
                <w:rFonts w:ascii="黑体" w:eastAsia="黑体" w:hAnsi="黑体" w:hint="eastAsia"/>
                <w:kern w:val="0"/>
                <w:sz w:val="20"/>
                <w:szCs w:val="20"/>
              </w:rPr>
              <w:t>字符型，</w:t>
            </w:r>
            <w:r>
              <w:rPr>
                <w:rFonts w:ascii="黑体" w:eastAsia="黑体" w:hAnsi="黑体"/>
                <w:kern w:val="0"/>
                <w:sz w:val="20"/>
                <w:szCs w:val="20"/>
              </w:rPr>
              <w:t>4</w:t>
            </w:r>
          </w:p>
        </w:tc>
        <w:tc>
          <w:tcPr>
            <w:tcW w:w="3862" w:type="dxa"/>
            <w:vAlign w:val="center"/>
          </w:tcPr>
          <w:p w14:paraId="5D944735" w14:textId="77777777" w:rsidR="00A052DC" w:rsidRDefault="009F0A60">
            <w:pPr>
              <w:rPr>
                <w:rFonts w:ascii="黑体" w:eastAsia="黑体" w:hAnsi="黑体"/>
                <w:kern w:val="0"/>
                <w:sz w:val="20"/>
                <w:szCs w:val="20"/>
              </w:rPr>
            </w:pPr>
            <w:r>
              <w:rPr>
                <w:rFonts w:ascii="黑体" w:eastAsia="黑体" w:hAnsi="黑体" w:hint="eastAsia"/>
                <w:kern w:val="0"/>
                <w:sz w:val="20"/>
                <w:szCs w:val="20"/>
              </w:rPr>
              <w:t>必填项。只能为</w:t>
            </w:r>
            <w:r>
              <w:rPr>
                <w:rFonts w:ascii="黑体" w:eastAsia="黑体" w:hAnsi="黑体"/>
                <w:kern w:val="0"/>
                <w:sz w:val="20"/>
                <w:szCs w:val="20"/>
              </w:rPr>
              <w:t>6010</w:t>
            </w:r>
            <w:r>
              <w:rPr>
                <w:rFonts w:ascii="黑体" w:eastAsia="黑体" w:hAnsi="黑体" w:hint="eastAsia"/>
                <w:kern w:val="0"/>
                <w:sz w:val="20"/>
                <w:szCs w:val="20"/>
              </w:rPr>
              <w:t>或</w:t>
            </w:r>
            <w:r>
              <w:rPr>
                <w:rFonts w:ascii="黑体" w:eastAsia="黑体" w:hAnsi="黑体"/>
                <w:kern w:val="0"/>
                <w:sz w:val="20"/>
                <w:szCs w:val="20"/>
              </w:rPr>
              <w:t>6011</w:t>
            </w:r>
            <w:r>
              <w:rPr>
                <w:rFonts w:ascii="黑体" w:eastAsia="黑体" w:hAnsi="黑体" w:hint="eastAsia"/>
                <w:kern w:val="0"/>
                <w:sz w:val="20"/>
                <w:szCs w:val="20"/>
              </w:rPr>
              <w:t>。</w:t>
            </w:r>
          </w:p>
        </w:tc>
      </w:tr>
      <w:tr w:rsidR="00A052DC" w14:paraId="3FDAA759" w14:textId="77777777">
        <w:tc>
          <w:tcPr>
            <w:tcW w:w="1374" w:type="dxa"/>
            <w:vAlign w:val="center"/>
          </w:tcPr>
          <w:p w14:paraId="73C79AAE" w14:textId="77777777" w:rsidR="00A052DC" w:rsidRDefault="009F0A60">
            <w:pPr>
              <w:rPr>
                <w:rFonts w:ascii="黑体" w:eastAsia="黑体" w:hAnsi="黑体"/>
                <w:sz w:val="20"/>
                <w:szCs w:val="20"/>
              </w:rPr>
            </w:pPr>
            <w:r>
              <w:rPr>
                <w:rFonts w:ascii="黑体" w:eastAsia="黑体" w:hAnsi="黑体"/>
                <w:sz w:val="20"/>
                <w:szCs w:val="20"/>
              </w:rPr>
              <w:t>CARD _TYPE_CODE</w:t>
            </w:r>
          </w:p>
        </w:tc>
        <w:tc>
          <w:tcPr>
            <w:tcW w:w="1853" w:type="dxa"/>
            <w:vAlign w:val="center"/>
          </w:tcPr>
          <w:p w14:paraId="4B85F621" w14:textId="77777777" w:rsidR="00A052DC" w:rsidRDefault="009F0A60">
            <w:pPr>
              <w:rPr>
                <w:rFonts w:ascii="黑体" w:eastAsia="黑体" w:hAnsi="黑体"/>
                <w:kern w:val="0"/>
                <w:sz w:val="20"/>
                <w:szCs w:val="20"/>
              </w:rPr>
            </w:pPr>
            <w:r>
              <w:rPr>
                <w:rFonts w:ascii="黑体" w:eastAsia="黑体" w:hAnsi="黑体" w:hint="eastAsia"/>
                <w:kern w:val="0"/>
                <w:sz w:val="20"/>
                <w:szCs w:val="20"/>
              </w:rPr>
              <w:t>银行卡类型</w:t>
            </w:r>
          </w:p>
        </w:tc>
        <w:tc>
          <w:tcPr>
            <w:tcW w:w="1417" w:type="dxa"/>
            <w:vAlign w:val="center"/>
          </w:tcPr>
          <w:p w14:paraId="6D401FA2" w14:textId="77777777" w:rsidR="00A052DC" w:rsidRDefault="009F0A60">
            <w:pPr>
              <w:jc w:val="left"/>
              <w:rPr>
                <w:rFonts w:ascii="黑体" w:eastAsia="黑体" w:hAnsi="黑体"/>
                <w:kern w:val="0"/>
                <w:sz w:val="20"/>
                <w:szCs w:val="20"/>
              </w:rPr>
            </w:pPr>
            <w:r>
              <w:rPr>
                <w:rFonts w:ascii="黑体" w:eastAsia="黑体" w:hAnsi="黑体" w:hint="eastAsia"/>
                <w:kern w:val="0"/>
                <w:sz w:val="20"/>
                <w:szCs w:val="20"/>
              </w:rPr>
              <w:t>字符型，</w:t>
            </w:r>
            <w:r>
              <w:rPr>
                <w:rFonts w:ascii="黑体" w:eastAsia="黑体" w:hAnsi="黑体"/>
                <w:kern w:val="0"/>
                <w:sz w:val="20"/>
                <w:szCs w:val="20"/>
              </w:rPr>
              <w:t>1</w:t>
            </w:r>
          </w:p>
        </w:tc>
        <w:tc>
          <w:tcPr>
            <w:tcW w:w="3862" w:type="dxa"/>
            <w:vAlign w:val="center"/>
          </w:tcPr>
          <w:p w14:paraId="500A8D46" w14:textId="77777777" w:rsidR="00A052DC" w:rsidRDefault="009F0A60">
            <w:pPr>
              <w:rPr>
                <w:rFonts w:ascii="黑体" w:eastAsia="黑体" w:hAnsi="黑体"/>
                <w:kern w:val="0"/>
                <w:sz w:val="20"/>
                <w:szCs w:val="20"/>
              </w:rPr>
            </w:pPr>
            <w:r>
              <w:rPr>
                <w:rFonts w:ascii="黑体" w:eastAsia="黑体" w:hAnsi="黑体" w:hint="eastAsia"/>
                <w:kern w:val="0"/>
                <w:sz w:val="20"/>
                <w:szCs w:val="20"/>
              </w:rPr>
              <w:t>必填项。</w:t>
            </w:r>
            <w:r>
              <w:rPr>
                <w:rFonts w:ascii="黑体" w:eastAsia="黑体" w:hAnsi="黑体"/>
                <w:kern w:val="0"/>
                <w:sz w:val="20"/>
                <w:szCs w:val="20"/>
              </w:rPr>
              <w:t>1-</w:t>
            </w:r>
            <w:r>
              <w:rPr>
                <w:rFonts w:ascii="黑体" w:eastAsia="黑体" w:hAnsi="黑体" w:hint="eastAsia"/>
                <w:kern w:val="0"/>
                <w:sz w:val="20"/>
                <w:szCs w:val="20"/>
              </w:rPr>
              <w:t>借记卡，</w:t>
            </w:r>
            <w:r>
              <w:rPr>
                <w:rFonts w:ascii="黑体" w:eastAsia="黑体" w:hAnsi="黑体"/>
                <w:kern w:val="0"/>
                <w:sz w:val="20"/>
                <w:szCs w:val="20"/>
              </w:rPr>
              <w:t>2-</w:t>
            </w:r>
            <w:r>
              <w:rPr>
                <w:rFonts w:ascii="黑体" w:eastAsia="黑体" w:hAnsi="黑体" w:hint="eastAsia"/>
                <w:kern w:val="0"/>
                <w:sz w:val="20"/>
                <w:szCs w:val="20"/>
              </w:rPr>
              <w:t>贷记卡，</w:t>
            </w:r>
            <w:r>
              <w:rPr>
                <w:rFonts w:ascii="黑体" w:eastAsia="黑体" w:hAnsi="黑体"/>
                <w:kern w:val="0"/>
                <w:sz w:val="20"/>
                <w:szCs w:val="20"/>
              </w:rPr>
              <w:t>3-</w:t>
            </w:r>
            <w:r>
              <w:rPr>
                <w:rFonts w:ascii="黑体" w:eastAsia="黑体" w:hAnsi="黑体" w:hint="eastAsia"/>
                <w:kern w:val="0"/>
                <w:sz w:val="20"/>
                <w:szCs w:val="20"/>
              </w:rPr>
              <w:t>准贷记卡。</w:t>
            </w:r>
          </w:p>
        </w:tc>
      </w:tr>
      <w:tr w:rsidR="00A052DC" w14:paraId="2B94B025" w14:textId="77777777">
        <w:tc>
          <w:tcPr>
            <w:tcW w:w="1374" w:type="dxa"/>
            <w:vAlign w:val="center"/>
          </w:tcPr>
          <w:p w14:paraId="4252D0E8" w14:textId="77777777" w:rsidR="00A052DC" w:rsidRDefault="009F0A60">
            <w:pPr>
              <w:rPr>
                <w:rFonts w:ascii="黑体" w:eastAsia="黑体" w:hAnsi="黑体"/>
                <w:sz w:val="20"/>
                <w:szCs w:val="20"/>
              </w:rPr>
            </w:pPr>
            <w:r>
              <w:rPr>
                <w:rFonts w:ascii="黑体" w:eastAsia="黑体" w:hAnsi="黑体"/>
                <w:sz w:val="20"/>
                <w:szCs w:val="20"/>
              </w:rPr>
              <w:t>CARD_CHNL_CODE</w:t>
            </w:r>
          </w:p>
        </w:tc>
        <w:tc>
          <w:tcPr>
            <w:tcW w:w="1853" w:type="dxa"/>
            <w:vAlign w:val="center"/>
          </w:tcPr>
          <w:p w14:paraId="7E252A5F" w14:textId="77777777" w:rsidR="00A052DC" w:rsidRDefault="009F0A60">
            <w:pPr>
              <w:rPr>
                <w:rFonts w:ascii="黑体" w:eastAsia="黑体" w:hAnsi="黑体"/>
                <w:kern w:val="0"/>
                <w:sz w:val="20"/>
                <w:szCs w:val="20"/>
              </w:rPr>
            </w:pPr>
            <w:r>
              <w:rPr>
                <w:rFonts w:ascii="黑体" w:eastAsia="黑体" w:hAnsi="黑体" w:hint="eastAsia"/>
                <w:kern w:val="0"/>
                <w:sz w:val="20"/>
                <w:szCs w:val="20"/>
              </w:rPr>
              <w:t>银行卡清算渠道</w:t>
            </w:r>
          </w:p>
        </w:tc>
        <w:tc>
          <w:tcPr>
            <w:tcW w:w="1417" w:type="dxa"/>
            <w:vAlign w:val="center"/>
          </w:tcPr>
          <w:p w14:paraId="72D77366" w14:textId="77777777" w:rsidR="00A052DC" w:rsidRDefault="009F0A60">
            <w:pPr>
              <w:jc w:val="left"/>
              <w:rPr>
                <w:rFonts w:ascii="黑体" w:eastAsia="黑体" w:hAnsi="黑体"/>
                <w:kern w:val="0"/>
                <w:sz w:val="20"/>
                <w:szCs w:val="20"/>
              </w:rPr>
            </w:pPr>
            <w:r>
              <w:rPr>
                <w:rFonts w:ascii="黑体" w:eastAsia="黑体" w:hAnsi="黑体" w:hint="eastAsia"/>
                <w:kern w:val="0"/>
                <w:sz w:val="20"/>
                <w:szCs w:val="20"/>
              </w:rPr>
              <w:t>字符型，</w:t>
            </w:r>
            <w:r>
              <w:rPr>
                <w:rFonts w:ascii="黑体" w:eastAsia="黑体" w:hAnsi="黑体"/>
                <w:kern w:val="0"/>
                <w:sz w:val="20"/>
                <w:szCs w:val="20"/>
              </w:rPr>
              <w:t>1</w:t>
            </w:r>
          </w:p>
        </w:tc>
        <w:tc>
          <w:tcPr>
            <w:tcW w:w="3862" w:type="dxa"/>
            <w:vAlign w:val="center"/>
          </w:tcPr>
          <w:p w14:paraId="4E72F7AE" w14:textId="77777777" w:rsidR="00A052DC" w:rsidRDefault="009F0A60" w:rsidP="006F5A61">
            <w:pPr>
              <w:rPr>
                <w:rFonts w:ascii="黑体" w:eastAsia="黑体" w:hAnsi="黑体"/>
                <w:kern w:val="0"/>
                <w:sz w:val="20"/>
                <w:szCs w:val="20"/>
              </w:rPr>
            </w:pPr>
            <w:r>
              <w:rPr>
                <w:rFonts w:ascii="黑体" w:eastAsia="黑体" w:hAnsi="黑体" w:hint="eastAsia"/>
                <w:kern w:val="0"/>
                <w:sz w:val="20"/>
                <w:szCs w:val="20"/>
              </w:rPr>
              <w:t>必填项。</w:t>
            </w:r>
            <w:r>
              <w:rPr>
                <w:rFonts w:ascii="黑体" w:eastAsia="黑体" w:hAnsi="黑体"/>
                <w:kern w:val="0"/>
                <w:sz w:val="20"/>
                <w:szCs w:val="20"/>
              </w:rPr>
              <w:t>1-</w:t>
            </w:r>
            <w:r>
              <w:rPr>
                <w:rFonts w:ascii="黑体" w:eastAsia="黑体" w:hAnsi="黑体" w:hint="eastAsia"/>
                <w:kern w:val="0"/>
                <w:sz w:val="20"/>
                <w:szCs w:val="20"/>
              </w:rPr>
              <w:t>银联</w:t>
            </w:r>
            <w:r w:rsidR="006F5A61">
              <w:rPr>
                <w:rFonts w:ascii="黑体" w:eastAsia="黑体" w:hAnsi="黑体" w:hint="eastAsia"/>
                <w:kern w:val="0"/>
                <w:sz w:val="20"/>
                <w:szCs w:val="20"/>
              </w:rPr>
              <w:t>，</w:t>
            </w:r>
            <w:r>
              <w:rPr>
                <w:rFonts w:ascii="黑体" w:eastAsia="黑体" w:hAnsi="黑体"/>
                <w:kern w:val="0"/>
                <w:sz w:val="20"/>
                <w:szCs w:val="20"/>
              </w:rPr>
              <w:t>2-</w:t>
            </w:r>
            <w:r>
              <w:rPr>
                <w:rFonts w:ascii="黑体" w:eastAsia="黑体" w:hAnsi="黑体" w:hint="eastAsia"/>
                <w:kern w:val="0"/>
                <w:sz w:val="20"/>
                <w:szCs w:val="20"/>
              </w:rPr>
              <w:t>威士（</w:t>
            </w:r>
            <w:r>
              <w:rPr>
                <w:rFonts w:ascii="黑体" w:eastAsia="黑体" w:hAnsi="黑体"/>
                <w:kern w:val="0"/>
                <w:sz w:val="20"/>
                <w:szCs w:val="20"/>
              </w:rPr>
              <w:t>Visa</w:t>
            </w:r>
            <w:r>
              <w:rPr>
                <w:rFonts w:ascii="黑体" w:eastAsia="黑体" w:hAnsi="黑体" w:hint="eastAsia"/>
                <w:kern w:val="0"/>
                <w:sz w:val="20"/>
                <w:szCs w:val="20"/>
              </w:rPr>
              <w:t>）</w:t>
            </w:r>
            <w:r w:rsidR="006F5A61">
              <w:rPr>
                <w:rFonts w:ascii="黑体" w:eastAsia="黑体" w:hAnsi="黑体" w:hint="eastAsia"/>
                <w:kern w:val="0"/>
                <w:sz w:val="20"/>
                <w:szCs w:val="20"/>
              </w:rPr>
              <w:t>，</w:t>
            </w:r>
            <w:r>
              <w:rPr>
                <w:rFonts w:ascii="黑体" w:eastAsia="黑体" w:hAnsi="黑体"/>
                <w:kern w:val="0"/>
                <w:sz w:val="20"/>
                <w:szCs w:val="20"/>
              </w:rPr>
              <w:t>3-</w:t>
            </w:r>
            <w:r>
              <w:rPr>
                <w:rFonts w:ascii="黑体" w:eastAsia="黑体" w:hAnsi="黑体" w:hint="eastAsia"/>
                <w:kern w:val="0"/>
                <w:sz w:val="20"/>
                <w:szCs w:val="20"/>
              </w:rPr>
              <w:t>万事达（</w:t>
            </w:r>
            <w:r>
              <w:rPr>
                <w:rFonts w:ascii="黑体" w:eastAsia="黑体" w:hAnsi="黑体"/>
                <w:kern w:val="0"/>
                <w:sz w:val="20"/>
                <w:szCs w:val="20"/>
              </w:rPr>
              <w:t>Mastercard</w:t>
            </w:r>
            <w:r>
              <w:rPr>
                <w:rFonts w:ascii="黑体" w:eastAsia="黑体" w:hAnsi="黑体" w:hint="eastAsia"/>
                <w:kern w:val="0"/>
                <w:sz w:val="20"/>
                <w:szCs w:val="20"/>
              </w:rPr>
              <w:t>）</w:t>
            </w:r>
            <w:r w:rsidR="006F5A61">
              <w:rPr>
                <w:rFonts w:ascii="黑体" w:eastAsia="黑体" w:hAnsi="黑体" w:hint="eastAsia"/>
                <w:kern w:val="0"/>
                <w:sz w:val="20"/>
                <w:szCs w:val="20"/>
              </w:rPr>
              <w:t>，</w:t>
            </w:r>
            <w:r>
              <w:rPr>
                <w:rFonts w:ascii="黑体" w:eastAsia="黑体" w:hAnsi="黑体"/>
                <w:kern w:val="0"/>
                <w:sz w:val="20"/>
                <w:szCs w:val="20"/>
              </w:rPr>
              <w:t>4-</w:t>
            </w:r>
            <w:r>
              <w:rPr>
                <w:rFonts w:ascii="黑体" w:eastAsia="黑体" w:hAnsi="黑体" w:hint="eastAsia"/>
                <w:kern w:val="0"/>
                <w:sz w:val="20"/>
                <w:szCs w:val="20"/>
              </w:rPr>
              <w:t>美国运通（</w:t>
            </w:r>
            <w:r>
              <w:rPr>
                <w:rFonts w:ascii="黑体" w:eastAsia="黑体" w:hAnsi="黑体"/>
                <w:kern w:val="0"/>
                <w:sz w:val="20"/>
                <w:szCs w:val="20"/>
              </w:rPr>
              <w:t>AMERICAN EXPRESS</w:t>
            </w:r>
            <w:r>
              <w:rPr>
                <w:rFonts w:ascii="黑体" w:eastAsia="黑体" w:hAnsi="黑体" w:hint="eastAsia"/>
                <w:kern w:val="0"/>
                <w:sz w:val="20"/>
                <w:szCs w:val="20"/>
              </w:rPr>
              <w:t>）</w:t>
            </w:r>
            <w:r w:rsidR="006F5A61">
              <w:rPr>
                <w:rFonts w:ascii="黑体" w:eastAsia="黑体" w:hAnsi="黑体" w:hint="eastAsia"/>
                <w:kern w:val="0"/>
                <w:sz w:val="20"/>
                <w:szCs w:val="20"/>
              </w:rPr>
              <w:t>，</w:t>
            </w:r>
            <w:r>
              <w:rPr>
                <w:rFonts w:ascii="黑体" w:eastAsia="黑体" w:hAnsi="黑体"/>
                <w:kern w:val="0"/>
                <w:sz w:val="20"/>
                <w:szCs w:val="20"/>
              </w:rPr>
              <w:t>5-</w:t>
            </w:r>
            <w:r>
              <w:rPr>
                <w:rFonts w:ascii="黑体" w:eastAsia="黑体" w:hAnsi="黑体" w:hint="eastAsia"/>
                <w:kern w:val="0"/>
                <w:sz w:val="20"/>
                <w:szCs w:val="20"/>
              </w:rPr>
              <w:t>大来（</w:t>
            </w:r>
            <w:r>
              <w:rPr>
                <w:rFonts w:ascii="黑体" w:eastAsia="黑体" w:hAnsi="黑体"/>
                <w:kern w:val="0"/>
                <w:sz w:val="20"/>
                <w:szCs w:val="20"/>
              </w:rPr>
              <w:t>DINERS CLUB</w:t>
            </w:r>
            <w:r>
              <w:rPr>
                <w:rFonts w:ascii="黑体" w:eastAsia="黑体" w:hAnsi="黑体" w:hint="eastAsia"/>
                <w:kern w:val="0"/>
                <w:sz w:val="20"/>
                <w:szCs w:val="20"/>
              </w:rPr>
              <w:t>）</w:t>
            </w:r>
            <w:r w:rsidR="006F5A61">
              <w:rPr>
                <w:rFonts w:ascii="黑体" w:eastAsia="黑体" w:hAnsi="黑体" w:hint="eastAsia"/>
                <w:kern w:val="0"/>
                <w:sz w:val="20"/>
                <w:szCs w:val="20"/>
              </w:rPr>
              <w:t>，</w:t>
            </w:r>
            <w:r>
              <w:rPr>
                <w:rFonts w:ascii="黑体" w:eastAsia="黑体" w:hAnsi="黑体"/>
                <w:kern w:val="0"/>
                <w:sz w:val="20"/>
                <w:szCs w:val="20"/>
              </w:rPr>
              <w:t>6-</w:t>
            </w:r>
            <w:r>
              <w:rPr>
                <w:rFonts w:ascii="黑体" w:eastAsia="黑体" w:hAnsi="黑体" w:hint="eastAsia"/>
                <w:kern w:val="0"/>
                <w:sz w:val="20"/>
                <w:szCs w:val="20"/>
              </w:rPr>
              <w:t>吉士美（</w:t>
            </w:r>
            <w:r>
              <w:rPr>
                <w:rFonts w:ascii="黑体" w:eastAsia="黑体" w:hAnsi="黑体"/>
                <w:kern w:val="0"/>
                <w:sz w:val="20"/>
                <w:szCs w:val="20"/>
              </w:rPr>
              <w:t>JCB</w:t>
            </w:r>
            <w:r>
              <w:rPr>
                <w:rFonts w:ascii="黑体" w:eastAsia="黑体" w:hAnsi="黑体" w:hint="eastAsia"/>
                <w:kern w:val="0"/>
                <w:sz w:val="20"/>
                <w:szCs w:val="20"/>
              </w:rPr>
              <w:t>）</w:t>
            </w:r>
            <w:r w:rsidR="006F5A61">
              <w:rPr>
                <w:rFonts w:ascii="黑体" w:eastAsia="黑体" w:hAnsi="黑体" w:hint="eastAsia"/>
                <w:kern w:val="0"/>
                <w:sz w:val="20"/>
                <w:szCs w:val="20"/>
              </w:rPr>
              <w:t>，</w:t>
            </w:r>
            <w:r>
              <w:rPr>
                <w:rFonts w:ascii="黑体" w:eastAsia="黑体" w:hAnsi="黑体"/>
                <w:kern w:val="0"/>
                <w:sz w:val="20"/>
                <w:szCs w:val="20"/>
              </w:rPr>
              <w:t>7-</w:t>
            </w:r>
            <w:r>
              <w:rPr>
                <w:rFonts w:ascii="黑体" w:eastAsia="黑体" w:hAnsi="黑体" w:hint="eastAsia"/>
                <w:kern w:val="0"/>
                <w:sz w:val="20"/>
                <w:szCs w:val="20"/>
              </w:rPr>
              <w:t>发卡行自行清算</w:t>
            </w:r>
            <w:r w:rsidR="006F5A61">
              <w:rPr>
                <w:rFonts w:ascii="黑体" w:eastAsia="黑体" w:hAnsi="黑体" w:hint="eastAsia"/>
                <w:kern w:val="0"/>
                <w:sz w:val="20"/>
                <w:szCs w:val="20"/>
              </w:rPr>
              <w:t>，</w:t>
            </w:r>
            <w:r>
              <w:rPr>
                <w:rFonts w:ascii="黑体" w:eastAsia="黑体" w:hAnsi="黑体"/>
                <w:kern w:val="0"/>
                <w:sz w:val="20"/>
                <w:szCs w:val="20"/>
              </w:rPr>
              <w:t>9</w:t>
            </w:r>
            <w:r w:rsidR="00A052DC" w:rsidRPr="009F0A60">
              <w:rPr>
                <w:rFonts w:ascii="黑体" w:eastAsia="黑体" w:hAnsi="黑体"/>
                <w:kern w:val="0"/>
                <w:sz w:val="20"/>
                <w:szCs w:val="20"/>
              </w:rPr>
              <w:t>-连通</w:t>
            </w:r>
            <w:r w:rsidR="006F5A61">
              <w:rPr>
                <w:rFonts w:ascii="黑体" w:eastAsia="黑体" w:hAnsi="黑体" w:hint="eastAsia"/>
                <w:kern w:val="0"/>
                <w:sz w:val="20"/>
                <w:szCs w:val="20"/>
              </w:rPr>
              <w:t>，</w:t>
            </w:r>
            <w:r w:rsidR="00A052DC" w:rsidRPr="009F0A60">
              <w:rPr>
                <w:rFonts w:ascii="黑体" w:eastAsia="黑体" w:hAnsi="黑体"/>
                <w:kern w:val="0"/>
                <w:sz w:val="20"/>
                <w:szCs w:val="20"/>
              </w:rPr>
              <w:t>8-</w:t>
            </w:r>
            <w:r w:rsidR="00A052DC" w:rsidRPr="009F0A60">
              <w:rPr>
                <w:rFonts w:ascii="黑体" w:eastAsia="黑体" w:hAnsi="黑体" w:hint="eastAsia"/>
                <w:kern w:val="0"/>
                <w:sz w:val="20"/>
                <w:szCs w:val="20"/>
              </w:rPr>
              <w:t>其他。</w:t>
            </w:r>
          </w:p>
        </w:tc>
      </w:tr>
      <w:tr w:rsidR="00A052DC" w14:paraId="75D4A71A" w14:textId="77777777">
        <w:tc>
          <w:tcPr>
            <w:tcW w:w="1374" w:type="dxa"/>
            <w:vAlign w:val="center"/>
          </w:tcPr>
          <w:p w14:paraId="02363E6E" w14:textId="77777777" w:rsidR="00A052DC" w:rsidRDefault="009F0A60">
            <w:pPr>
              <w:rPr>
                <w:rFonts w:ascii="黑体" w:eastAsia="黑体" w:hAnsi="黑体"/>
                <w:sz w:val="20"/>
                <w:szCs w:val="20"/>
              </w:rPr>
            </w:pPr>
            <w:r>
              <w:rPr>
                <w:rFonts w:ascii="黑体" w:eastAsia="黑体" w:hAnsi="黑体"/>
                <w:sz w:val="20"/>
                <w:szCs w:val="20"/>
              </w:rPr>
              <w:t xml:space="preserve">BANK_CODE </w:t>
            </w:r>
          </w:p>
        </w:tc>
        <w:tc>
          <w:tcPr>
            <w:tcW w:w="1853" w:type="dxa"/>
            <w:vAlign w:val="center"/>
          </w:tcPr>
          <w:p w14:paraId="7605C445" w14:textId="77777777" w:rsidR="00A052DC" w:rsidRDefault="009F0A60">
            <w:pPr>
              <w:rPr>
                <w:rFonts w:ascii="黑体" w:eastAsia="黑体" w:hAnsi="黑体"/>
                <w:kern w:val="0"/>
                <w:sz w:val="20"/>
                <w:szCs w:val="20"/>
              </w:rPr>
            </w:pPr>
            <w:r>
              <w:rPr>
                <w:rFonts w:ascii="黑体" w:eastAsia="黑体" w:hAnsi="黑体" w:hint="eastAsia"/>
                <w:kern w:val="0"/>
                <w:sz w:val="20"/>
                <w:szCs w:val="20"/>
              </w:rPr>
              <w:t>发卡行金融机构代码</w:t>
            </w:r>
          </w:p>
        </w:tc>
        <w:tc>
          <w:tcPr>
            <w:tcW w:w="1417" w:type="dxa"/>
            <w:vAlign w:val="center"/>
          </w:tcPr>
          <w:p w14:paraId="564781C1" w14:textId="77777777" w:rsidR="00A052DC" w:rsidRDefault="009F0A60">
            <w:pPr>
              <w:jc w:val="left"/>
              <w:rPr>
                <w:rFonts w:ascii="黑体" w:eastAsia="黑体" w:hAnsi="黑体"/>
                <w:kern w:val="0"/>
                <w:sz w:val="20"/>
                <w:szCs w:val="20"/>
              </w:rPr>
            </w:pPr>
            <w:r>
              <w:rPr>
                <w:rFonts w:ascii="黑体" w:eastAsia="黑体" w:hAnsi="黑体" w:hint="eastAsia"/>
                <w:kern w:val="0"/>
                <w:sz w:val="20"/>
                <w:szCs w:val="20"/>
              </w:rPr>
              <w:t>字符型，</w:t>
            </w:r>
            <w:r>
              <w:rPr>
                <w:rFonts w:ascii="黑体" w:eastAsia="黑体" w:hAnsi="黑体"/>
                <w:kern w:val="0"/>
                <w:sz w:val="20"/>
                <w:szCs w:val="20"/>
              </w:rPr>
              <w:t>4</w:t>
            </w:r>
          </w:p>
        </w:tc>
        <w:tc>
          <w:tcPr>
            <w:tcW w:w="3862" w:type="dxa"/>
            <w:vAlign w:val="center"/>
          </w:tcPr>
          <w:p w14:paraId="1049AF3E" w14:textId="77777777" w:rsidR="00A052DC" w:rsidRDefault="009F0A60">
            <w:pPr>
              <w:pStyle w:val="B"/>
              <w:widowControl w:val="0"/>
              <w:rPr>
                <w:szCs w:val="20"/>
              </w:rPr>
            </w:pPr>
            <w:r>
              <w:rPr>
                <w:rFonts w:hint="eastAsia"/>
                <w:szCs w:val="20"/>
              </w:rPr>
              <w:t>必填项。</w:t>
            </w:r>
          </w:p>
        </w:tc>
      </w:tr>
      <w:tr w:rsidR="00A052DC" w14:paraId="7B0C057F" w14:textId="77777777">
        <w:trPr>
          <w:trHeight w:val="575"/>
        </w:trPr>
        <w:tc>
          <w:tcPr>
            <w:tcW w:w="1374" w:type="dxa"/>
            <w:vAlign w:val="center"/>
          </w:tcPr>
          <w:p w14:paraId="7A1B7884" w14:textId="77777777" w:rsidR="00A052DC" w:rsidRDefault="009F0A60">
            <w:pPr>
              <w:rPr>
                <w:rFonts w:ascii="黑体" w:eastAsia="黑体" w:hAnsi="黑体"/>
                <w:sz w:val="20"/>
                <w:szCs w:val="20"/>
              </w:rPr>
            </w:pPr>
            <w:r>
              <w:rPr>
                <w:rFonts w:ascii="黑体" w:eastAsia="黑体" w:hAnsi="黑体"/>
                <w:sz w:val="20"/>
                <w:szCs w:val="20"/>
              </w:rPr>
              <w:t>BRANCH_SAFECODE</w:t>
            </w:r>
          </w:p>
        </w:tc>
        <w:tc>
          <w:tcPr>
            <w:tcW w:w="1853" w:type="dxa"/>
            <w:vAlign w:val="center"/>
          </w:tcPr>
          <w:p w14:paraId="0AEB6BB3" w14:textId="77777777" w:rsidR="00A052DC" w:rsidRDefault="009F0A60">
            <w:pPr>
              <w:rPr>
                <w:rFonts w:ascii="黑体" w:eastAsia="黑体" w:hAnsi="黑体"/>
                <w:kern w:val="0"/>
                <w:sz w:val="20"/>
                <w:szCs w:val="20"/>
              </w:rPr>
            </w:pPr>
            <w:r>
              <w:rPr>
                <w:rFonts w:ascii="黑体" w:eastAsia="黑体" w:hAnsi="黑体" w:hint="eastAsia"/>
                <w:kern w:val="0"/>
                <w:sz w:val="20"/>
                <w:szCs w:val="20"/>
              </w:rPr>
              <w:t>发卡网点所在地外汇局代码</w:t>
            </w:r>
          </w:p>
        </w:tc>
        <w:tc>
          <w:tcPr>
            <w:tcW w:w="1417" w:type="dxa"/>
            <w:vAlign w:val="center"/>
          </w:tcPr>
          <w:p w14:paraId="048F5C5E" w14:textId="77777777" w:rsidR="00A052DC" w:rsidRDefault="009F0A60">
            <w:pPr>
              <w:jc w:val="left"/>
              <w:rPr>
                <w:rFonts w:ascii="黑体" w:eastAsia="黑体" w:hAnsi="黑体"/>
                <w:kern w:val="0"/>
                <w:sz w:val="20"/>
                <w:szCs w:val="20"/>
              </w:rPr>
            </w:pPr>
            <w:r>
              <w:rPr>
                <w:rFonts w:ascii="黑体" w:eastAsia="黑体" w:hAnsi="黑体" w:hint="eastAsia"/>
                <w:kern w:val="0"/>
                <w:sz w:val="20"/>
                <w:szCs w:val="20"/>
              </w:rPr>
              <w:t>字符型，</w:t>
            </w:r>
            <w:r>
              <w:rPr>
                <w:rFonts w:ascii="黑体" w:eastAsia="黑体" w:hAnsi="黑体"/>
                <w:kern w:val="0"/>
                <w:sz w:val="20"/>
                <w:szCs w:val="20"/>
              </w:rPr>
              <w:t>6</w:t>
            </w:r>
          </w:p>
        </w:tc>
        <w:tc>
          <w:tcPr>
            <w:tcW w:w="3862" w:type="dxa"/>
            <w:vAlign w:val="center"/>
          </w:tcPr>
          <w:p w14:paraId="0AD72751" w14:textId="77777777" w:rsidR="00A052DC" w:rsidRDefault="009F0A60">
            <w:pPr>
              <w:rPr>
                <w:rFonts w:ascii="黑体" w:eastAsia="黑体" w:hAnsi="黑体"/>
                <w:kern w:val="0"/>
                <w:sz w:val="20"/>
                <w:szCs w:val="20"/>
              </w:rPr>
            </w:pPr>
            <w:r>
              <w:rPr>
                <w:rFonts w:ascii="黑体" w:eastAsia="黑体" w:hAnsi="黑体" w:hint="eastAsia"/>
                <w:kern w:val="0"/>
                <w:sz w:val="20"/>
                <w:szCs w:val="20"/>
              </w:rPr>
              <w:t>必填项，见外汇局代码表。</w:t>
            </w:r>
          </w:p>
        </w:tc>
      </w:tr>
      <w:tr w:rsidR="00A052DC" w14:paraId="24AC4785" w14:textId="77777777">
        <w:trPr>
          <w:trHeight w:val="371"/>
        </w:trPr>
        <w:tc>
          <w:tcPr>
            <w:tcW w:w="1374" w:type="dxa"/>
            <w:vAlign w:val="center"/>
          </w:tcPr>
          <w:p w14:paraId="173BC663" w14:textId="77777777" w:rsidR="00A052DC" w:rsidRDefault="009F0A60">
            <w:pPr>
              <w:rPr>
                <w:rFonts w:ascii="黑体" w:eastAsia="黑体" w:hAnsi="黑体"/>
                <w:sz w:val="20"/>
                <w:szCs w:val="20"/>
              </w:rPr>
            </w:pPr>
            <w:r>
              <w:rPr>
                <w:rFonts w:ascii="黑体" w:eastAsia="黑体" w:hAnsi="黑体"/>
                <w:sz w:val="20"/>
                <w:szCs w:val="20"/>
              </w:rPr>
              <w:t>BIZ_DEAL_TIME</w:t>
            </w:r>
          </w:p>
        </w:tc>
        <w:tc>
          <w:tcPr>
            <w:tcW w:w="1853" w:type="dxa"/>
            <w:vAlign w:val="center"/>
          </w:tcPr>
          <w:p w14:paraId="6B367125" w14:textId="77777777" w:rsidR="00A052DC" w:rsidRDefault="009F0A60">
            <w:pPr>
              <w:rPr>
                <w:rFonts w:ascii="黑体" w:eastAsia="黑体" w:hAnsi="黑体"/>
                <w:kern w:val="0"/>
                <w:sz w:val="20"/>
                <w:szCs w:val="20"/>
              </w:rPr>
            </w:pPr>
            <w:r>
              <w:rPr>
                <w:rFonts w:ascii="黑体" w:eastAsia="黑体" w:hAnsi="黑体" w:hint="eastAsia"/>
                <w:kern w:val="0"/>
                <w:sz w:val="20"/>
                <w:szCs w:val="20"/>
              </w:rPr>
              <w:t>交易授权日期及时间</w:t>
            </w:r>
          </w:p>
        </w:tc>
        <w:tc>
          <w:tcPr>
            <w:tcW w:w="1417" w:type="dxa"/>
            <w:vAlign w:val="center"/>
          </w:tcPr>
          <w:p w14:paraId="229F8697" w14:textId="77777777" w:rsidR="00A052DC" w:rsidRDefault="009F0A60">
            <w:pPr>
              <w:jc w:val="left"/>
              <w:rPr>
                <w:rFonts w:ascii="黑体" w:eastAsia="黑体" w:hAnsi="黑体"/>
                <w:kern w:val="0"/>
                <w:sz w:val="20"/>
                <w:szCs w:val="20"/>
              </w:rPr>
            </w:pPr>
            <w:r>
              <w:rPr>
                <w:rFonts w:ascii="黑体" w:eastAsia="黑体" w:hAnsi="黑体" w:hint="eastAsia"/>
                <w:kern w:val="0"/>
                <w:sz w:val="20"/>
                <w:szCs w:val="20"/>
              </w:rPr>
              <w:t>时间型</w:t>
            </w:r>
          </w:p>
        </w:tc>
        <w:tc>
          <w:tcPr>
            <w:tcW w:w="3862" w:type="dxa"/>
            <w:vAlign w:val="center"/>
          </w:tcPr>
          <w:p w14:paraId="5CFB02EE" w14:textId="77777777" w:rsidR="00A052DC" w:rsidRDefault="009F0A60">
            <w:pPr>
              <w:rPr>
                <w:rFonts w:ascii="黑体" w:eastAsia="黑体" w:hAnsi="黑体"/>
                <w:kern w:val="0"/>
                <w:sz w:val="20"/>
                <w:szCs w:val="20"/>
              </w:rPr>
            </w:pPr>
            <w:r>
              <w:rPr>
                <w:rFonts w:ascii="黑体" w:eastAsia="黑体" w:hAnsi="黑体" w:hint="eastAsia"/>
                <w:kern w:val="0"/>
                <w:sz w:val="20"/>
                <w:szCs w:val="20"/>
              </w:rPr>
              <w:t>必填项。格式为</w:t>
            </w:r>
            <w:r>
              <w:rPr>
                <w:rFonts w:ascii="黑体" w:eastAsia="黑体" w:hAnsi="黑体"/>
                <w:kern w:val="0"/>
                <w:sz w:val="20"/>
                <w:szCs w:val="20"/>
              </w:rPr>
              <w:t>yyyy-mm-dd HH:MM:SS</w:t>
            </w:r>
            <w:r>
              <w:rPr>
                <w:rFonts w:ascii="黑体" w:eastAsia="黑体" w:hAnsi="黑体" w:hint="eastAsia"/>
                <w:kern w:val="0"/>
                <w:sz w:val="20"/>
                <w:szCs w:val="20"/>
              </w:rPr>
              <w:t>。</w:t>
            </w:r>
          </w:p>
        </w:tc>
      </w:tr>
      <w:tr w:rsidR="00A052DC" w14:paraId="7F323AF3" w14:textId="77777777">
        <w:tc>
          <w:tcPr>
            <w:tcW w:w="1374" w:type="dxa"/>
            <w:vAlign w:val="center"/>
          </w:tcPr>
          <w:p w14:paraId="004071BE" w14:textId="77777777" w:rsidR="00A052DC" w:rsidRDefault="009F0A60">
            <w:pPr>
              <w:rPr>
                <w:rFonts w:ascii="黑体" w:eastAsia="黑体" w:hAnsi="黑体"/>
                <w:sz w:val="20"/>
                <w:szCs w:val="20"/>
              </w:rPr>
            </w:pPr>
            <w:r>
              <w:rPr>
                <w:rFonts w:ascii="黑体" w:eastAsia="黑体" w:hAnsi="黑体"/>
                <w:sz w:val="20"/>
                <w:szCs w:val="20"/>
              </w:rPr>
              <w:t>COUNTRY_CODE</w:t>
            </w:r>
          </w:p>
        </w:tc>
        <w:tc>
          <w:tcPr>
            <w:tcW w:w="1853" w:type="dxa"/>
            <w:vAlign w:val="center"/>
          </w:tcPr>
          <w:p w14:paraId="435830E2" w14:textId="77777777" w:rsidR="00A052DC" w:rsidRDefault="009F0A60">
            <w:pPr>
              <w:rPr>
                <w:rFonts w:ascii="黑体" w:eastAsia="黑体" w:hAnsi="黑体"/>
                <w:sz w:val="20"/>
                <w:szCs w:val="20"/>
              </w:rPr>
            </w:pPr>
            <w:r>
              <w:rPr>
                <w:rFonts w:ascii="黑体" w:eastAsia="黑体" w:hAnsi="黑体" w:hint="eastAsia"/>
                <w:kern w:val="0"/>
                <w:sz w:val="20"/>
                <w:szCs w:val="20"/>
              </w:rPr>
              <w:t>交易国家或地区</w:t>
            </w:r>
          </w:p>
        </w:tc>
        <w:tc>
          <w:tcPr>
            <w:tcW w:w="1417" w:type="dxa"/>
            <w:vAlign w:val="center"/>
          </w:tcPr>
          <w:p w14:paraId="2958240C" w14:textId="77777777" w:rsidR="00A052DC" w:rsidRDefault="009F0A60">
            <w:pPr>
              <w:jc w:val="left"/>
              <w:rPr>
                <w:rFonts w:ascii="黑体" w:eastAsia="黑体" w:hAnsi="黑体"/>
                <w:sz w:val="20"/>
                <w:szCs w:val="20"/>
              </w:rPr>
            </w:pPr>
            <w:r>
              <w:rPr>
                <w:rFonts w:ascii="黑体" w:eastAsia="黑体" w:hAnsi="黑体" w:hint="eastAsia"/>
                <w:sz w:val="20"/>
                <w:szCs w:val="20"/>
              </w:rPr>
              <w:t>字符型，</w:t>
            </w:r>
            <w:r>
              <w:rPr>
                <w:rFonts w:ascii="黑体" w:eastAsia="黑体" w:hAnsi="黑体"/>
                <w:sz w:val="20"/>
                <w:szCs w:val="20"/>
              </w:rPr>
              <w:t>3</w:t>
            </w:r>
          </w:p>
        </w:tc>
        <w:tc>
          <w:tcPr>
            <w:tcW w:w="3862" w:type="dxa"/>
            <w:vAlign w:val="center"/>
          </w:tcPr>
          <w:p w14:paraId="356BAF56" w14:textId="77777777" w:rsidR="00A052DC" w:rsidRDefault="009F0A60">
            <w:pPr>
              <w:rPr>
                <w:rFonts w:ascii="黑体" w:eastAsia="黑体" w:hAnsi="黑体"/>
                <w:sz w:val="20"/>
                <w:szCs w:val="20"/>
              </w:rPr>
            </w:pPr>
            <w:r>
              <w:rPr>
                <w:rFonts w:ascii="黑体" w:eastAsia="黑体" w:hAnsi="黑体" w:hint="eastAsia"/>
                <w:sz w:val="20"/>
                <w:szCs w:val="20"/>
              </w:rPr>
              <w:t>必填项，见国家和地区代码表。</w:t>
            </w:r>
          </w:p>
        </w:tc>
      </w:tr>
      <w:tr w:rsidR="00A052DC" w14:paraId="145FD0E8" w14:textId="77777777">
        <w:tc>
          <w:tcPr>
            <w:tcW w:w="1374" w:type="dxa"/>
            <w:vAlign w:val="center"/>
          </w:tcPr>
          <w:p w14:paraId="450C6BC5" w14:textId="77777777" w:rsidR="00A052DC" w:rsidRDefault="009F0A60">
            <w:pPr>
              <w:rPr>
                <w:rFonts w:ascii="黑体" w:eastAsia="黑体" w:hAnsi="黑体"/>
                <w:sz w:val="20"/>
                <w:szCs w:val="20"/>
              </w:rPr>
            </w:pPr>
            <w:r>
              <w:rPr>
                <w:rFonts w:ascii="黑体" w:eastAsia="黑体" w:hAnsi="黑体"/>
                <w:sz w:val="20"/>
                <w:szCs w:val="20"/>
              </w:rPr>
              <w:t>BANK_SELF_NUM</w:t>
            </w:r>
          </w:p>
        </w:tc>
        <w:tc>
          <w:tcPr>
            <w:tcW w:w="1853" w:type="dxa"/>
            <w:vAlign w:val="center"/>
          </w:tcPr>
          <w:p w14:paraId="088F4933" w14:textId="77777777" w:rsidR="00A052DC" w:rsidRDefault="009F0A60">
            <w:pPr>
              <w:rPr>
                <w:rFonts w:ascii="黑体" w:eastAsia="黑体" w:hAnsi="黑体"/>
                <w:sz w:val="20"/>
                <w:szCs w:val="20"/>
              </w:rPr>
            </w:pPr>
            <w:r>
              <w:rPr>
                <w:rFonts w:ascii="黑体" w:eastAsia="黑体" w:hAnsi="黑体" w:hint="eastAsia"/>
                <w:kern w:val="0"/>
                <w:sz w:val="20"/>
                <w:szCs w:val="20"/>
              </w:rPr>
              <w:t>银行内部流水号</w:t>
            </w:r>
          </w:p>
        </w:tc>
        <w:tc>
          <w:tcPr>
            <w:tcW w:w="1417" w:type="dxa"/>
            <w:vAlign w:val="center"/>
          </w:tcPr>
          <w:p w14:paraId="7BF7DAD4" w14:textId="77777777" w:rsidR="00A052DC" w:rsidRDefault="009F0A60">
            <w:pPr>
              <w:jc w:val="left"/>
              <w:rPr>
                <w:rFonts w:ascii="黑体" w:eastAsia="黑体" w:hAnsi="黑体"/>
                <w:sz w:val="20"/>
                <w:szCs w:val="20"/>
              </w:rPr>
            </w:pPr>
            <w:r>
              <w:rPr>
                <w:rFonts w:ascii="黑体" w:eastAsia="黑体" w:hAnsi="黑体" w:hint="eastAsia"/>
                <w:kern w:val="0"/>
                <w:sz w:val="20"/>
                <w:szCs w:val="20"/>
              </w:rPr>
              <w:t>字符型，</w:t>
            </w:r>
            <w:r>
              <w:rPr>
                <w:rFonts w:ascii="黑体" w:eastAsia="黑体" w:hAnsi="黑体"/>
                <w:kern w:val="0"/>
                <w:sz w:val="20"/>
                <w:szCs w:val="20"/>
              </w:rPr>
              <w:t>128</w:t>
            </w:r>
          </w:p>
        </w:tc>
        <w:tc>
          <w:tcPr>
            <w:tcW w:w="3862" w:type="dxa"/>
            <w:vAlign w:val="center"/>
          </w:tcPr>
          <w:p w14:paraId="6E92E4C8" w14:textId="77777777" w:rsidR="00A052DC" w:rsidRDefault="009F0A60">
            <w:pPr>
              <w:rPr>
                <w:rFonts w:ascii="黑体" w:eastAsia="黑体" w:hAnsi="黑体"/>
                <w:sz w:val="20"/>
                <w:szCs w:val="20"/>
              </w:rPr>
            </w:pPr>
            <w:r>
              <w:rPr>
                <w:rFonts w:ascii="黑体" w:eastAsia="黑体" w:hAnsi="黑体" w:hint="eastAsia"/>
                <w:kern w:val="0"/>
                <w:sz w:val="20"/>
                <w:szCs w:val="20"/>
              </w:rPr>
              <w:t>必填项。该笔业务在银行的业务编号。</w:t>
            </w:r>
          </w:p>
        </w:tc>
      </w:tr>
      <w:tr w:rsidR="00A052DC" w14:paraId="7A3C00DC" w14:textId="77777777">
        <w:tc>
          <w:tcPr>
            <w:tcW w:w="1374" w:type="dxa"/>
            <w:vAlign w:val="center"/>
          </w:tcPr>
          <w:p w14:paraId="3ADE1EB0" w14:textId="77777777" w:rsidR="00A052DC" w:rsidRDefault="009F0A60">
            <w:pPr>
              <w:rPr>
                <w:rFonts w:ascii="黑体" w:eastAsia="黑体" w:hAnsi="黑体"/>
                <w:sz w:val="20"/>
                <w:szCs w:val="20"/>
              </w:rPr>
            </w:pPr>
            <w:r>
              <w:rPr>
                <w:rFonts w:ascii="黑体" w:eastAsia="黑体" w:hAnsi="黑体"/>
                <w:sz w:val="20"/>
                <w:szCs w:val="20"/>
              </w:rPr>
              <w:t>CARD_ SELF_NUM</w:t>
            </w:r>
          </w:p>
        </w:tc>
        <w:tc>
          <w:tcPr>
            <w:tcW w:w="1853" w:type="dxa"/>
            <w:vAlign w:val="center"/>
          </w:tcPr>
          <w:p w14:paraId="764C0792" w14:textId="77777777" w:rsidR="00A052DC" w:rsidRDefault="009F0A60">
            <w:pPr>
              <w:rPr>
                <w:rFonts w:ascii="黑体" w:eastAsia="黑体" w:hAnsi="黑体"/>
                <w:sz w:val="20"/>
                <w:szCs w:val="20"/>
              </w:rPr>
            </w:pPr>
            <w:r>
              <w:rPr>
                <w:rFonts w:ascii="黑体" w:eastAsia="黑体" w:hAnsi="黑体" w:hint="eastAsia"/>
                <w:kern w:val="0"/>
                <w:sz w:val="20"/>
                <w:szCs w:val="20"/>
              </w:rPr>
              <w:t>卡组织单号</w:t>
            </w:r>
          </w:p>
        </w:tc>
        <w:tc>
          <w:tcPr>
            <w:tcW w:w="1417" w:type="dxa"/>
            <w:vAlign w:val="center"/>
          </w:tcPr>
          <w:p w14:paraId="5DCB70BC" w14:textId="77777777" w:rsidR="00A052DC" w:rsidRDefault="009F0A60">
            <w:pPr>
              <w:jc w:val="left"/>
              <w:rPr>
                <w:rFonts w:ascii="黑体" w:eastAsia="黑体" w:hAnsi="黑体"/>
                <w:sz w:val="20"/>
                <w:szCs w:val="20"/>
              </w:rPr>
            </w:pPr>
            <w:r>
              <w:rPr>
                <w:rFonts w:ascii="黑体" w:eastAsia="黑体" w:hAnsi="黑体" w:hint="eastAsia"/>
                <w:kern w:val="0"/>
                <w:sz w:val="20"/>
                <w:szCs w:val="20"/>
              </w:rPr>
              <w:t>字符型，</w:t>
            </w:r>
            <w:r>
              <w:rPr>
                <w:rFonts w:ascii="黑体" w:eastAsia="黑体" w:hAnsi="黑体"/>
                <w:kern w:val="0"/>
                <w:sz w:val="20"/>
                <w:szCs w:val="20"/>
              </w:rPr>
              <w:t>128</w:t>
            </w:r>
          </w:p>
        </w:tc>
        <w:tc>
          <w:tcPr>
            <w:tcW w:w="3862" w:type="dxa"/>
            <w:vAlign w:val="center"/>
          </w:tcPr>
          <w:p w14:paraId="60B0D082" w14:textId="77777777" w:rsidR="00A052DC" w:rsidRDefault="009F0A60">
            <w:pPr>
              <w:rPr>
                <w:rFonts w:ascii="黑体" w:eastAsia="黑体" w:hAnsi="黑体"/>
                <w:sz w:val="20"/>
                <w:szCs w:val="20"/>
              </w:rPr>
            </w:pPr>
            <w:r>
              <w:rPr>
                <w:rFonts w:ascii="黑体" w:eastAsia="黑体" w:hAnsi="黑体" w:hint="eastAsia"/>
                <w:kern w:val="0"/>
                <w:sz w:val="20"/>
                <w:szCs w:val="20"/>
              </w:rPr>
              <w:t>必填项。该笔业务在卡组织的业务编号。</w:t>
            </w:r>
          </w:p>
        </w:tc>
      </w:tr>
    </w:tbl>
    <w:p w14:paraId="6AF9FEDE" w14:textId="77777777" w:rsidR="00A052DC" w:rsidRDefault="009F0A60">
      <w:pPr>
        <w:pStyle w:val="3"/>
        <w:ind w:left="0"/>
        <w:rPr>
          <w:rFonts w:ascii="Times New Roman" w:hAnsi="Times New Roman"/>
        </w:rPr>
      </w:pPr>
      <w:bookmarkStart w:id="4364" w:name="_Toc91455346"/>
      <w:bookmarkStart w:id="4365" w:name="_Toc502428237"/>
      <w:bookmarkStart w:id="4366" w:name="_Toc101684519"/>
      <w:r>
        <w:rPr>
          <w:rFonts w:ascii="Times New Roman" w:hAnsi="Times New Roman"/>
        </w:rPr>
        <w:t>银行卡境外消费明细数据</w:t>
      </w:r>
      <w:bookmarkEnd w:id="4364"/>
      <w:bookmarkEnd w:id="4365"/>
      <w:bookmarkEnd w:id="4366"/>
    </w:p>
    <w:p w14:paraId="13B369BC" w14:textId="77777777" w:rsidR="00A052DC" w:rsidRDefault="009F0A60" w:rsidP="0020251D">
      <w:pPr>
        <w:pStyle w:val="4"/>
        <w:numPr>
          <w:ilvl w:val="3"/>
          <w:numId w:val="1"/>
        </w:numPr>
        <w:jc w:val="left"/>
      </w:pPr>
      <w:r>
        <w:rPr>
          <w:rFonts w:hint="eastAsia"/>
        </w:rPr>
        <w:t>数据术语解释</w:t>
      </w:r>
    </w:p>
    <w:tbl>
      <w:tblPr>
        <w:tblW w:w="853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151"/>
        <w:gridCol w:w="6379"/>
      </w:tblGrid>
      <w:tr w:rsidR="00A052DC" w14:paraId="635B3220" w14:textId="77777777">
        <w:trPr>
          <w:trHeight w:val="262"/>
          <w:jc w:val="center"/>
        </w:trPr>
        <w:tc>
          <w:tcPr>
            <w:tcW w:w="2151" w:type="dxa"/>
            <w:tcBorders>
              <w:top w:val="single" w:sz="6" w:space="0" w:color="auto"/>
              <w:left w:val="single" w:sz="6" w:space="0" w:color="auto"/>
              <w:bottom w:val="single" w:sz="6" w:space="0" w:color="auto"/>
              <w:right w:val="single" w:sz="6" w:space="0" w:color="auto"/>
            </w:tcBorders>
            <w:shd w:val="clear" w:color="auto" w:fill="BFBFBF"/>
            <w:vAlign w:val="center"/>
          </w:tcPr>
          <w:p w14:paraId="64EC181A" w14:textId="77777777" w:rsidR="00A052DC" w:rsidRDefault="009F0A60">
            <w:pPr>
              <w:jc w:val="center"/>
              <w:rPr>
                <w:rFonts w:ascii="黑体" w:eastAsia="黑体" w:hAnsi="黑体"/>
                <w:b/>
                <w:sz w:val="20"/>
                <w:szCs w:val="20"/>
              </w:rPr>
            </w:pPr>
            <w:r>
              <w:rPr>
                <w:rFonts w:ascii="黑体" w:eastAsia="黑体" w:hAnsi="黑体" w:hint="eastAsia"/>
                <w:b/>
                <w:sz w:val="20"/>
                <w:szCs w:val="20"/>
              </w:rPr>
              <w:t>基础数据项</w:t>
            </w:r>
          </w:p>
        </w:tc>
        <w:tc>
          <w:tcPr>
            <w:tcW w:w="6379" w:type="dxa"/>
            <w:tcBorders>
              <w:top w:val="single" w:sz="6" w:space="0" w:color="auto"/>
              <w:left w:val="single" w:sz="6" w:space="0" w:color="auto"/>
              <w:bottom w:val="single" w:sz="6" w:space="0" w:color="auto"/>
              <w:right w:val="single" w:sz="6" w:space="0" w:color="auto"/>
            </w:tcBorders>
            <w:shd w:val="clear" w:color="auto" w:fill="BFBFBF"/>
            <w:vAlign w:val="center"/>
          </w:tcPr>
          <w:p w14:paraId="5065903C" w14:textId="77777777" w:rsidR="00A052DC" w:rsidRDefault="009F0A60">
            <w:pPr>
              <w:jc w:val="center"/>
              <w:rPr>
                <w:rFonts w:ascii="黑体" w:eastAsia="黑体" w:hAnsi="黑体"/>
                <w:b/>
                <w:sz w:val="20"/>
                <w:szCs w:val="20"/>
              </w:rPr>
            </w:pPr>
            <w:r>
              <w:rPr>
                <w:rFonts w:ascii="黑体" w:eastAsia="黑体" w:hAnsi="黑体" w:hint="eastAsia"/>
                <w:b/>
                <w:sz w:val="20"/>
                <w:szCs w:val="20"/>
              </w:rPr>
              <w:t>定义</w:t>
            </w:r>
          </w:p>
        </w:tc>
      </w:tr>
      <w:tr w:rsidR="00A052DC" w14:paraId="1B01362C" w14:textId="77777777">
        <w:trPr>
          <w:trHeight w:val="1424"/>
          <w:jc w:val="center"/>
        </w:trPr>
        <w:tc>
          <w:tcPr>
            <w:tcW w:w="2151" w:type="dxa"/>
            <w:tcBorders>
              <w:top w:val="single" w:sz="6" w:space="0" w:color="auto"/>
              <w:left w:val="single" w:sz="6" w:space="0" w:color="auto"/>
              <w:bottom w:val="single" w:sz="6" w:space="0" w:color="auto"/>
              <w:right w:val="single" w:sz="6" w:space="0" w:color="auto"/>
            </w:tcBorders>
            <w:vAlign w:val="center"/>
          </w:tcPr>
          <w:p w14:paraId="3C9ED7C8" w14:textId="77777777" w:rsidR="00A052DC" w:rsidRDefault="009F0A60">
            <w:pPr>
              <w:rPr>
                <w:rFonts w:ascii="黑体" w:eastAsia="黑体" w:hAnsi="黑体"/>
                <w:sz w:val="20"/>
                <w:szCs w:val="20"/>
              </w:rPr>
            </w:pPr>
            <w:r>
              <w:rPr>
                <w:rFonts w:ascii="黑体" w:eastAsia="黑体" w:hAnsi="黑体" w:hint="eastAsia"/>
                <w:sz w:val="20"/>
                <w:szCs w:val="20"/>
              </w:rPr>
              <w:t>业务参号</w:t>
            </w:r>
          </w:p>
        </w:tc>
        <w:tc>
          <w:tcPr>
            <w:tcW w:w="6379" w:type="dxa"/>
            <w:tcBorders>
              <w:top w:val="single" w:sz="6" w:space="0" w:color="auto"/>
              <w:left w:val="single" w:sz="6" w:space="0" w:color="auto"/>
              <w:bottom w:val="single" w:sz="6" w:space="0" w:color="auto"/>
              <w:right w:val="single" w:sz="6" w:space="0" w:color="auto"/>
            </w:tcBorders>
            <w:vAlign w:val="center"/>
          </w:tcPr>
          <w:p w14:paraId="34C8EB8C" w14:textId="77777777" w:rsidR="00A052DC" w:rsidRDefault="009F0A60">
            <w:pPr>
              <w:rPr>
                <w:rFonts w:ascii="黑体" w:eastAsia="黑体" w:hAnsi="黑体"/>
                <w:sz w:val="20"/>
                <w:szCs w:val="20"/>
              </w:rPr>
            </w:pPr>
            <w:r>
              <w:rPr>
                <w:rFonts w:ascii="黑体" w:eastAsia="黑体" w:hAnsi="黑体" w:hint="eastAsia"/>
                <w:sz w:val="20"/>
                <w:szCs w:val="20"/>
              </w:rPr>
              <w:t>该编码用于标识金融机构报送的每一条数据，按给定规则编码，便于进行增删改查等操作。编制规则：</w:t>
            </w:r>
            <w:r>
              <w:rPr>
                <w:rFonts w:ascii="黑体" w:eastAsia="黑体" w:hAnsi="黑体"/>
                <w:sz w:val="20"/>
                <w:szCs w:val="20"/>
              </w:rPr>
              <w:t>27</w:t>
            </w:r>
            <w:r>
              <w:rPr>
                <w:rFonts w:ascii="黑体" w:eastAsia="黑体" w:hAnsi="黑体" w:hint="eastAsia"/>
                <w:sz w:val="20"/>
                <w:szCs w:val="20"/>
              </w:rPr>
              <w:t>位，</w:t>
            </w:r>
            <w:r>
              <w:rPr>
                <w:rFonts w:ascii="黑体" w:eastAsia="黑体" w:hAnsi="黑体"/>
                <w:sz w:val="20"/>
                <w:szCs w:val="20"/>
              </w:rPr>
              <w:t>X+</w:t>
            </w:r>
            <w:r>
              <w:rPr>
                <w:rFonts w:ascii="黑体" w:eastAsia="黑体" w:hAnsi="黑体" w:hint="eastAsia"/>
                <w:sz w:val="20"/>
                <w:szCs w:val="20"/>
              </w:rPr>
              <w:t>发卡网点所在地外汇局代码（</w:t>
            </w:r>
            <w:r>
              <w:rPr>
                <w:rFonts w:ascii="黑体" w:eastAsia="黑体" w:hAnsi="黑体"/>
                <w:sz w:val="20"/>
                <w:szCs w:val="20"/>
              </w:rPr>
              <w:t xml:space="preserve">6 </w:t>
            </w:r>
            <w:r>
              <w:rPr>
                <w:rFonts w:ascii="黑体" w:eastAsia="黑体" w:hAnsi="黑体" w:hint="eastAsia"/>
                <w:sz w:val="20"/>
                <w:szCs w:val="20"/>
              </w:rPr>
              <w:t>位）</w:t>
            </w:r>
            <w:r>
              <w:rPr>
                <w:rFonts w:ascii="黑体" w:eastAsia="黑体" w:hAnsi="黑体"/>
                <w:sz w:val="20"/>
                <w:szCs w:val="20"/>
              </w:rPr>
              <w:t>+</w:t>
            </w:r>
            <w:r>
              <w:rPr>
                <w:rFonts w:ascii="黑体" w:eastAsia="黑体" w:hAnsi="黑体" w:hint="eastAsia"/>
                <w:sz w:val="20"/>
                <w:szCs w:val="20"/>
              </w:rPr>
              <w:t>金融机构代码（</w:t>
            </w:r>
            <w:r>
              <w:rPr>
                <w:rFonts w:ascii="黑体" w:eastAsia="黑体" w:hAnsi="黑体"/>
                <w:sz w:val="20"/>
                <w:szCs w:val="20"/>
              </w:rPr>
              <w:t>4</w:t>
            </w:r>
            <w:r>
              <w:rPr>
                <w:rFonts w:ascii="黑体" w:eastAsia="黑体" w:hAnsi="黑体" w:hint="eastAsia"/>
                <w:sz w:val="20"/>
                <w:szCs w:val="20"/>
              </w:rPr>
              <w:t>位）</w:t>
            </w:r>
            <w:r>
              <w:rPr>
                <w:rFonts w:ascii="黑体" w:eastAsia="黑体" w:hAnsi="黑体"/>
                <w:sz w:val="20"/>
                <w:szCs w:val="20"/>
              </w:rPr>
              <w:t>+</w:t>
            </w:r>
            <w:r>
              <w:rPr>
                <w:rFonts w:ascii="黑体" w:eastAsia="黑体" w:hAnsi="黑体" w:hint="eastAsia"/>
                <w:sz w:val="20"/>
                <w:szCs w:val="20"/>
              </w:rPr>
              <w:t>交易日期（</w:t>
            </w:r>
            <w:r>
              <w:rPr>
                <w:rFonts w:ascii="黑体" w:eastAsia="黑体" w:hAnsi="黑体"/>
                <w:sz w:val="20"/>
                <w:szCs w:val="20"/>
              </w:rPr>
              <w:t>8</w:t>
            </w:r>
            <w:r>
              <w:rPr>
                <w:rFonts w:ascii="黑体" w:eastAsia="黑体" w:hAnsi="黑体" w:hint="eastAsia"/>
                <w:sz w:val="20"/>
                <w:szCs w:val="20"/>
              </w:rPr>
              <w:t>位，yyyymmdd）</w:t>
            </w:r>
            <w:r>
              <w:rPr>
                <w:rFonts w:ascii="黑体" w:eastAsia="黑体" w:hAnsi="黑体"/>
                <w:sz w:val="20"/>
                <w:szCs w:val="20"/>
              </w:rPr>
              <w:t>+</w:t>
            </w:r>
            <w:r>
              <w:rPr>
                <w:rFonts w:ascii="黑体" w:eastAsia="黑体" w:hAnsi="黑体" w:hint="eastAsia"/>
                <w:sz w:val="20"/>
                <w:szCs w:val="20"/>
              </w:rPr>
              <w:t>银行卡类型（</w:t>
            </w:r>
            <w:r>
              <w:rPr>
                <w:rFonts w:ascii="黑体" w:eastAsia="黑体" w:hAnsi="黑体"/>
                <w:sz w:val="20"/>
                <w:szCs w:val="20"/>
              </w:rPr>
              <w:t>1-</w:t>
            </w:r>
            <w:r>
              <w:rPr>
                <w:rFonts w:ascii="黑体" w:eastAsia="黑体" w:hAnsi="黑体" w:hint="eastAsia"/>
                <w:sz w:val="20"/>
                <w:szCs w:val="20"/>
              </w:rPr>
              <w:t>借记卡；</w:t>
            </w:r>
            <w:r>
              <w:rPr>
                <w:rFonts w:ascii="黑体" w:eastAsia="黑体" w:hAnsi="黑体"/>
                <w:sz w:val="20"/>
                <w:szCs w:val="20"/>
              </w:rPr>
              <w:t>2-</w:t>
            </w:r>
            <w:r>
              <w:rPr>
                <w:rFonts w:ascii="黑体" w:eastAsia="黑体" w:hAnsi="黑体" w:hint="eastAsia"/>
                <w:sz w:val="20"/>
                <w:szCs w:val="20"/>
              </w:rPr>
              <w:t>贷记卡；</w:t>
            </w:r>
            <w:r>
              <w:rPr>
                <w:rFonts w:ascii="黑体" w:eastAsia="黑体" w:hAnsi="黑体"/>
                <w:sz w:val="20"/>
                <w:szCs w:val="20"/>
              </w:rPr>
              <w:t>3-</w:t>
            </w:r>
            <w:r>
              <w:rPr>
                <w:rFonts w:ascii="黑体" w:eastAsia="黑体" w:hAnsi="黑体" w:hint="eastAsia"/>
                <w:sz w:val="20"/>
                <w:szCs w:val="20"/>
              </w:rPr>
              <w:t>准贷记卡）</w:t>
            </w:r>
            <w:r>
              <w:rPr>
                <w:rFonts w:ascii="黑体" w:eastAsia="黑体" w:hAnsi="黑体"/>
                <w:sz w:val="20"/>
                <w:szCs w:val="20"/>
              </w:rPr>
              <w:t>+</w:t>
            </w:r>
            <w:r>
              <w:rPr>
                <w:rFonts w:ascii="黑体" w:eastAsia="黑体" w:hAnsi="黑体" w:hint="eastAsia"/>
                <w:sz w:val="20"/>
                <w:szCs w:val="20"/>
              </w:rPr>
              <w:t>顺序号（</w:t>
            </w:r>
            <w:r>
              <w:rPr>
                <w:rFonts w:ascii="黑体" w:eastAsia="黑体" w:hAnsi="黑体"/>
                <w:sz w:val="20"/>
                <w:szCs w:val="20"/>
              </w:rPr>
              <w:t>7</w:t>
            </w:r>
            <w:r>
              <w:rPr>
                <w:rFonts w:ascii="黑体" w:eastAsia="黑体" w:hAnsi="黑体" w:hint="eastAsia"/>
                <w:sz w:val="20"/>
                <w:szCs w:val="20"/>
              </w:rPr>
              <w:t>位，从</w:t>
            </w:r>
            <w:r>
              <w:rPr>
                <w:rFonts w:ascii="黑体" w:eastAsia="黑体" w:hAnsi="黑体"/>
                <w:sz w:val="20"/>
                <w:szCs w:val="20"/>
              </w:rPr>
              <w:t>0000001</w:t>
            </w:r>
            <w:r>
              <w:rPr>
                <w:rFonts w:ascii="黑体" w:eastAsia="黑体" w:hAnsi="黑体" w:hint="eastAsia"/>
                <w:sz w:val="20"/>
                <w:szCs w:val="20"/>
              </w:rPr>
              <w:t>开始增加）。</w:t>
            </w:r>
          </w:p>
        </w:tc>
      </w:tr>
      <w:tr w:rsidR="00A052DC" w14:paraId="05217230" w14:textId="77777777">
        <w:trPr>
          <w:jc w:val="center"/>
        </w:trPr>
        <w:tc>
          <w:tcPr>
            <w:tcW w:w="2151" w:type="dxa"/>
            <w:vAlign w:val="center"/>
          </w:tcPr>
          <w:p w14:paraId="1888076F" w14:textId="77777777" w:rsidR="00A052DC" w:rsidRDefault="009F0A60">
            <w:pPr>
              <w:rPr>
                <w:rFonts w:ascii="黑体" w:eastAsia="黑体" w:hAnsi="黑体"/>
                <w:kern w:val="0"/>
                <w:sz w:val="20"/>
                <w:szCs w:val="20"/>
              </w:rPr>
            </w:pPr>
            <w:r>
              <w:rPr>
                <w:rFonts w:ascii="黑体" w:eastAsia="黑体" w:hAnsi="黑体" w:hint="eastAsia"/>
                <w:kern w:val="0"/>
                <w:sz w:val="20"/>
                <w:szCs w:val="20"/>
              </w:rPr>
              <w:t>持卡人身份证件类型</w:t>
            </w:r>
          </w:p>
        </w:tc>
        <w:tc>
          <w:tcPr>
            <w:tcW w:w="6379" w:type="dxa"/>
            <w:vAlign w:val="center"/>
          </w:tcPr>
          <w:p w14:paraId="3591F1CF" w14:textId="77777777" w:rsidR="00A052DC" w:rsidRDefault="009F0A60">
            <w:pPr>
              <w:rPr>
                <w:rFonts w:ascii="黑体" w:eastAsia="黑体" w:hAnsi="黑体"/>
                <w:kern w:val="0"/>
                <w:sz w:val="20"/>
                <w:szCs w:val="20"/>
              </w:rPr>
            </w:pPr>
            <w:r>
              <w:rPr>
                <w:rFonts w:ascii="黑体" w:eastAsia="黑体" w:hAnsi="黑体" w:hint="eastAsia"/>
                <w:kern w:val="0"/>
                <w:sz w:val="20"/>
                <w:szCs w:val="20"/>
              </w:rPr>
              <w:t>持卡人办理银行卡所使用的身份证件类型</w:t>
            </w:r>
          </w:p>
          <w:p w14:paraId="3AF66CCA" w14:textId="77777777" w:rsidR="00A052DC" w:rsidRDefault="009F0A60">
            <w:pPr>
              <w:rPr>
                <w:rFonts w:ascii="黑体" w:eastAsia="黑体" w:hAnsi="黑体"/>
                <w:kern w:val="0"/>
                <w:sz w:val="20"/>
                <w:szCs w:val="20"/>
              </w:rPr>
            </w:pPr>
            <w:r>
              <w:rPr>
                <w:rFonts w:ascii="黑体" w:eastAsia="黑体" w:hAnsi="黑体" w:hint="eastAsia"/>
                <w:kern w:val="0"/>
                <w:sz w:val="20"/>
                <w:szCs w:val="20"/>
              </w:rPr>
              <w:t>境内个人：</w:t>
            </w:r>
          </w:p>
          <w:p w14:paraId="1AB84C04" w14:textId="77777777" w:rsidR="00A052DC" w:rsidRDefault="009F0A60">
            <w:pPr>
              <w:rPr>
                <w:rFonts w:ascii="黑体" w:eastAsia="黑体" w:hAnsi="黑体"/>
                <w:kern w:val="0"/>
                <w:sz w:val="20"/>
                <w:szCs w:val="20"/>
              </w:rPr>
            </w:pPr>
            <w:r>
              <w:rPr>
                <w:rFonts w:ascii="黑体" w:eastAsia="黑体" w:hAnsi="黑体"/>
                <w:kern w:val="0"/>
                <w:sz w:val="20"/>
                <w:szCs w:val="20"/>
              </w:rPr>
              <w:t>01</w:t>
            </w:r>
            <w:r>
              <w:rPr>
                <w:rFonts w:ascii="黑体" w:eastAsia="黑体" w:hAnsi="黑体" w:hint="eastAsia"/>
                <w:kern w:val="0"/>
                <w:sz w:val="20"/>
                <w:szCs w:val="20"/>
              </w:rPr>
              <w:t>居民身份证</w:t>
            </w:r>
            <w:r w:rsidR="006F5A61">
              <w:rPr>
                <w:rFonts w:ascii="黑体" w:eastAsia="黑体" w:hAnsi="黑体" w:hint="eastAsia"/>
                <w:kern w:val="0"/>
                <w:sz w:val="20"/>
                <w:szCs w:val="20"/>
              </w:rPr>
              <w:t>；</w:t>
            </w:r>
          </w:p>
          <w:p w14:paraId="2B48E5A2" w14:textId="77777777" w:rsidR="00A052DC" w:rsidRDefault="009F0A60">
            <w:pPr>
              <w:rPr>
                <w:rFonts w:ascii="黑体" w:eastAsia="黑体" w:hAnsi="黑体"/>
                <w:kern w:val="0"/>
                <w:sz w:val="20"/>
                <w:szCs w:val="20"/>
              </w:rPr>
            </w:pPr>
            <w:r>
              <w:rPr>
                <w:rFonts w:ascii="黑体" w:eastAsia="黑体" w:hAnsi="黑体"/>
                <w:kern w:val="0"/>
                <w:sz w:val="20"/>
                <w:szCs w:val="20"/>
              </w:rPr>
              <w:t>02</w:t>
            </w:r>
            <w:r>
              <w:rPr>
                <w:rFonts w:ascii="黑体" w:eastAsia="黑体" w:hAnsi="黑体" w:hint="eastAsia"/>
                <w:kern w:val="0"/>
                <w:sz w:val="20"/>
                <w:szCs w:val="20"/>
              </w:rPr>
              <w:t>军人身份证件</w:t>
            </w:r>
            <w:r w:rsidR="006F5A61">
              <w:rPr>
                <w:rFonts w:ascii="黑体" w:eastAsia="黑体" w:hAnsi="黑体" w:hint="eastAsia"/>
                <w:kern w:val="0"/>
                <w:sz w:val="20"/>
                <w:szCs w:val="20"/>
              </w:rPr>
              <w:t>；</w:t>
            </w:r>
          </w:p>
          <w:p w14:paraId="269E49D3" w14:textId="77777777" w:rsidR="00A052DC" w:rsidRDefault="009F0A60">
            <w:pPr>
              <w:rPr>
                <w:rFonts w:ascii="黑体" w:eastAsia="黑体" w:hAnsi="黑体"/>
                <w:kern w:val="0"/>
                <w:sz w:val="20"/>
                <w:szCs w:val="20"/>
              </w:rPr>
            </w:pPr>
            <w:r>
              <w:rPr>
                <w:rFonts w:ascii="黑体" w:eastAsia="黑体" w:hAnsi="黑体"/>
                <w:kern w:val="0"/>
                <w:sz w:val="20"/>
                <w:szCs w:val="20"/>
              </w:rPr>
              <w:t>03</w:t>
            </w:r>
            <w:r>
              <w:rPr>
                <w:rFonts w:ascii="黑体" w:eastAsia="黑体" w:hAnsi="黑体" w:hint="eastAsia"/>
                <w:kern w:val="0"/>
                <w:sz w:val="20"/>
                <w:szCs w:val="20"/>
              </w:rPr>
              <w:t>武装警察身份证件</w:t>
            </w:r>
            <w:r w:rsidR="006F5A61">
              <w:rPr>
                <w:rFonts w:ascii="黑体" w:eastAsia="黑体" w:hAnsi="黑体" w:hint="eastAsia"/>
                <w:kern w:val="0"/>
                <w:sz w:val="20"/>
                <w:szCs w:val="20"/>
              </w:rPr>
              <w:t>。</w:t>
            </w:r>
          </w:p>
          <w:p w14:paraId="2182F28E" w14:textId="77777777" w:rsidR="00A052DC" w:rsidRDefault="009F0A60">
            <w:pPr>
              <w:rPr>
                <w:rFonts w:ascii="黑体" w:eastAsia="黑体" w:hAnsi="黑体"/>
                <w:kern w:val="0"/>
                <w:sz w:val="20"/>
                <w:szCs w:val="20"/>
              </w:rPr>
            </w:pPr>
            <w:r>
              <w:rPr>
                <w:rFonts w:ascii="黑体" w:eastAsia="黑体" w:hAnsi="黑体" w:hint="eastAsia"/>
                <w:kern w:val="0"/>
                <w:sz w:val="20"/>
                <w:szCs w:val="20"/>
              </w:rPr>
              <w:t>境外个人：</w:t>
            </w:r>
          </w:p>
          <w:p w14:paraId="379FEF54" w14:textId="77777777" w:rsidR="00A052DC" w:rsidRDefault="009F0A60">
            <w:pPr>
              <w:rPr>
                <w:rFonts w:ascii="黑体" w:eastAsia="黑体" w:hAnsi="黑体"/>
                <w:kern w:val="0"/>
                <w:sz w:val="20"/>
                <w:szCs w:val="20"/>
              </w:rPr>
            </w:pPr>
            <w:r>
              <w:rPr>
                <w:rFonts w:ascii="黑体" w:eastAsia="黑体" w:hAnsi="黑体"/>
                <w:kern w:val="0"/>
                <w:sz w:val="20"/>
                <w:szCs w:val="20"/>
              </w:rPr>
              <w:t>04</w:t>
            </w:r>
            <w:r>
              <w:rPr>
                <w:rFonts w:ascii="黑体" w:eastAsia="黑体" w:hAnsi="黑体" w:hint="eastAsia"/>
                <w:kern w:val="0"/>
                <w:sz w:val="20"/>
                <w:szCs w:val="20"/>
              </w:rPr>
              <w:t>护照</w:t>
            </w:r>
            <w:r w:rsidR="006F5A61">
              <w:rPr>
                <w:rFonts w:ascii="黑体" w:eastAsia="黑体" w:hAnsi="黑体" w:hint="eastAsia"/>
                <w:kern w:val="0"/>
                <w:sz w:val="20"/>
                <w:szCs w:val="20"/>
              </w:rPr>
              <w:t>；</w:t>
            </w:r>
          </w:p>
          <w:p w14:paraId="0DAD36C5" w14:textId="77777777" w:rsidR="00A052DC" w:rsidRDefault="009F0A60">
            <w:pPr>
              <w:rPr>
                <w:rFonts w:ascii="黑体" w:eastAsia="黑体" w:hAnsi="黑体"/>
                <w:kern w:val="0"/>
                <w:sz w:val="20"/>
                <w:szCs w:val="20"/>
              </w:rPr>
            </w:pPr>
            <w:r>
              <w:rPr>
                <w:rFonts w:ascii="黑体" w:eastAsia="黑体" w:hAnsi="黑体"/>
                <w:kern w:val="0"/>
                <w:sz w:val="20"/>
                <w:szCs w:val="20"/>
              </w:rPr>
              <w:t>05</w:t>
            </w:r>
            <w:r>
              <w:rPr>
                <w:rFonts w:ascii="黑体" w:eastAsia="黑体" w:hAnsi="黑体" w:hint="eastAsia"/>
                <w:kern w:val="0"/>
                <w:sz w:val="20"/>
                <w:szCs w:val="20"/>
              </w:rPr>
              <w:t>外国人永久居留身份证</w:t>
            </w:r>
            <w:r w:rsidR="006F5A61">
              <w:rPr>
                <w:rFonts w:ascii="黑体" w:eastAsia="黑体" w:hAnsi="黑体" w:hint="eastAsia"/>
                <w:kern w:val="0"/>
                <w:sz w:val="20"/>
                <w:szCs w:val="20"/>
              </w:rPr>
              <w:t>；</w:t>
            </w:r>
          </w:p>
          <w:p w14:paraId="491AE175" w14:textId="77777777" w:rsidR="00A052DC" w:rsidRDefault="009F0A60">
            <w:pPr>
              <w:rPr>
                <w:rFonts w:ascii="黑体" w:eastAsia="黑体" w:hAnsi="黑体"/>
                <w:kern w:val="0"/>
                <w:sz w:val="20"/>
                <w:szCs w:val="20"/>
              </w:rPr>
            </w:pPr>
            <w:r>
              <w:rPr>
                <w:rFonts w:ascii="黑体" w:eastAsia="黑体" w:hAnsi="黑体"/>
                <w:kern w:val="0"/>
                <w:sz w:val="20"/>
                <w:szCs w:val="20"/>
              </w:rPr>
              <w:t>06</w:t>
            </w:r>
            <w:r>
              <w:rPr>
                <w:rFonts w:ascii="黑体" w:eastAsia="黑体" w:hAnsi="黑体" w:hint="eastAsia"/>
                <w:kern w:val="0"/>
                <w:sz w:val="20"/>
                <w:szCs w:val="20"/>
              </w:rPr>
              <w:t>港澳居民来往内地通行证</w:t>
            </w:r>
            <w:r w:rsidR="006F5A61">
              <w:rPr>
                <w:rFonts w:ascii="黑体" w:eastAsia="黑体" w:hAnsi="黑体" w:hint="eastAsia"/>
                <w:kern w:val="0"/>
                <w:sz w:val="20"/>
                <w:szCs w:val="20"/>
              </w:rPr>
              <w:t>；</w:t>
            </w:r>
          </w:p>
          <w:p w14:paraId="274820B2" w14:textId="77777777" w:rsidR="00A052DC" w:rsidRDefault="009F0A60">
            <w:pPr>
              <w:rPr>
                <w:rFonts w:ascii="黑体" w:eastAsia="黑体" w:hAnsi="黑体"/>
                <w:kern w:val="0"/>
                <w:sz w:val="20"/>
                <w:szCs w:val="20"/>
              </w:rPr>
            </w:pPr>
            <w:r>
              <w:rPr>
                <w:rFonts w:ascii="黑体" w:eastAsia="黑体" w:hAnsi="黑体"/>
                <w:kern w:val="0"/>
                <w:sz w:val="20"/>
                <w:szCs w:val="20"/>
              </w:rPr>
              <w:t>07</w:t>
            </w:r>
            <w:r>
              <w:rPr>
                <w:rFonts w:ascii="黑体" w:eastAsia="黑体" w:hAnsi="黑体" w:hint="eastAsia"/>
                <w:kern w:val="0"/>
                <w:sz w:val="20"/>
                <w:szCs w:val="20"/>
              </w:rPr>
              <w:t>台湾居民来往大陆通行证</w:t>
            </w:r>
            <w:r w:rsidR="006F5A61">
              <w:rPr>
                <w:rFonts w:ascii="黑体" w:eastAsia="黑体" w:hAnsi="黑体" w:hint="eastAsia"/>
                <w:kern w:val="0"/>
                <w:sz w:val="20"/>
                <w:szCs w:val="20"/>
              </w:rPr>
              <w:t>；</w:t>
            </w:r>
          </w:p>
          <w:p w14:paraId="151B0251" w14:textId="77777777" w:rsidR="00A052DC" w:rsidRDefault="009F0A60">
            <w:pPr>
              <w:rPr>
                <w:rFonts w:ascii="黑体" w:eastAsia="黑体" w:hAnsi="黑体"/>
                <w:kern w:val="0"/>
                <w:sz w:val="20"/>
                <w:szCs w:val="20"/>
              </w:rPr>
            </w:pPr>
            <w:r>
              <w:rPr>
                <w:rFonts w:ascii="黑体" w:eastAsia="黑体" w:hAnsi="黑体"/>
                <w:kern w:val="0"/>
                <w:sz w:val="20"/>
                <w:szCs w:val="20"/>
              </w:rPr>
              <w:t>09</w:t>
            </w:r>
            <w:r>
              <w:rPr>
                <w:rFonts w:ascii="黑体" w:eastAsia="黑体" w:hAnsi="黑体" w:hint="eastAsia"/>
                <w:kern w:val="0"/>
                <w:sz w:val="20"/>
                <w:szCs w:val="20"/>
              </w:rPr>
              <w:t>中国护照</w:t>
            </w:r>
            <w:r w:rsidR="006F5A61">
              <w:rPr>
                <w:rFonts w:ascii="黑体" w:eastAsia="黑体" w:hAnsi="黑体" w:hint="eastAsia"/>
                <w:kern w:val="0"/>
                <w:sz w:val="20"/>
                <w:szCs w:val="20"/>
              </w:rPr>
              <w:t>；</w:t>
            </w:r>
          </w:p>
          <w:p w14:paraId="48349300" w14:textId="77777777" w:rsidR="00A052DC" w:rsidRDefault="009F0A60">
            <w:pPr>
              <w:rPr>
                <w:rFonts w:ascii="黑体" w:eastAsia="黑体" w:hAnsi="黑体"/>
                <w:kern w:val="0"/>
                <w:sz w:val="20"/>
                <w:szCs w:val="20"/>
              </w:rPr>
            </w:pPr>
            <w:r>
              <w:rPr>
                <w:rFonts w:ascii="黑体" w:eastAsia="黑体" w:hAnsi="黑体"/>
                <w:kern w:val="0"/>
                <w:sz w:val="20"/>
                <w:szCs w:val="20"/>
              </w:rPr>
              <w:t>10</w:t>
            </w:r>
            <w:r>
              <w:rPr>
                <w:rFonts w:ascii="黑体" w:eastAsia="黑体" w:hAnsi="黑体" w:hint="eastAsia"/>
                <w:kern w:val="0"/>
                <w:sz w:val="20"/>
                <w:szCs w:val="20"/>
              </w:rPr>
              <w:t>外交官证</w:t>
            </w:r>
            <w:r w:rsidR="006F5A61">
              <w:rPr>
                <w:rFonts w:ascii="黑体" w:eastAsia="黑体" w:hAnsi="黑体" w:hint="eastAsia"/>
                <w:kern w:val="0"/>
                <w:sz w:val="20"/>
                <w:szCs w:val="20"/>
              </w:rPr>
              <w:t>；</w:t>
            </w:r>
          </w:p>
          <w:p w14:paraId="23F83BF9" w14:textId="77777777" w:rsidR="00A052DC" w:rsidRDefault="009F0A60">
            <w:pPr>
              <w:rPr>
                <w:rFonts w:ascii="黑体" w:eastAsia="黑体" w:hAnsi="黑体"/>
                <w:kern w:val="0"/>
                <w:sz w:val="20"/>
                <w:szCs w:val="20"/>
              </w:rPr>
            </w:pPr>
            <w:r>
              <w:rPr>
                <w:rFonts w:ascii="黑体" w:eastAsia="黑体" w:hAnsi="黑体"/>
                <w:kern w:val="0"/>
                <w:sz w:val="20"/>
                <w:szCs w:val="20"/>
              </w:rPr>
              <w:t>11</w:t>
            </w:r>
            <w:r>
              <w:rPr>
                <w:rFonts w:ascii="黑体" w:eastAsia="黑体" w:hAnsi="黑体" w:hint="eastAsia"/>
                <w:kern w:val="0"/>
                <w:sz w:val="20"/>
                <w:szCs w:val="20"/>
              </w:rPr>
              <w:t>其他身份证件</w:t>
            </w:r>
            <w:r w:rsidR="006F5A61">
              <w:rPr>
                <w:rFonts w:ascii="黑体" w:eastAsia="黑体" w:hAnsi="黑体" w:hint="eastAsia"/>
                <w:kern w:val="0"/>
                <w:sz w:val="20"/>
                <w:szCs w:val="20"/>
              </w:rPr>
              <w:t>。</w:t>
            </w:r>
          </w:p>
        </w:tc>
      </w:tr>
      <w:tr w:rsidR="00A052DC" w14:paraId="7AB51EEC" w14:textId="77777777">
        <w:trPr>
          <w:trHeight w:val="420"/>
          <w:jc w:val="center"/>
        </w:trPr>
        <w:tc>
          <w:tcPr>
            <w:tcW w:w="2151" w:type="dxa"/>
            <w:tcBorders>
              <w:top w:val="single" w:sz="4" w:space="0" w:color="auto"/>
            </w:tcBorders>
            <w:vAlign w:val="center"/>
          </w:tcPr>
          <w:p w14:paraId="6F264DC9" w14:textId="77777777" w:rsidR="00A052DC" w:rsidRDefault="009F0A60">
            <w:pPr>
              <w:rPr>
                <w:rFonts w:ascii="黑体" w:eastAsia="黑体" w:hAnsi="黑体"/>
                <w:kern w:val="0"/>
                <w:sz w:val="20"/>
                <w:szCs w:val="20"/>
              </w:rPr>
            </w:pPr>
            <w:r>
              <w:rPr>
                <w:rFonts w:ascii="黑体" w:eastAsia="黑体" w:hAnsi="黑体" w:hint="eastAsia"/>
                <w:kern w:val="0"/>
                <w:sz w:val="20"/>
                <w:szCs w:val="20"/>
              </w:rPr>
              <w:t>持卡人国家</w:t>
            </w:r>
            <w:r>
              <w:rPr>
                <w:rFonts w:ascii="黑体" w:eastAsia="黑体" w:hAnsi="黑体"/>
                <w:kern w:val="0"/>
                <w:sz w:val="20"/>
                <w:szCs w:val="20"/>
              </w:rPr>
              <w:t>/</w:t>
            </w:r>
            <w:r>
              <w:rPr>
                <w:rFonts w:ascii="黑体" w:eastAsia="黑体" w:hAnsi="黑体" w:hint="eastAsia"/>
                <w:kern w:val="0"/>
                <w:sz w:val="20"/>
                <w:szCs w:val="20"/>
              </w:rPr>
              <w:t>地区</w:t>
            </w:r>
          </w:p>
        </w:tc>
        <w:tc>
          <w:tcPr>
            <w:tcW w:w="6379" w:type="dxa"/>
            <w:tcBorders>
              <w:top w:val="single" w:sz="4" w:space="0" w:color="auto"/>
            </w:tcBorders>
            <w:vAlign w:val="center"/>
          </w:tcPr>
          <w:p w14:paraId="2B831A9F" w14:textId="77777777" w:rsidR="00A052DC" w:rsidRDefault="009F0A60">
            <w:pPr>
              <w:rPr>
                <w:rFonts w:ascii="黑体" w:eastAsia="黑体" w:hAnsi="黑体"/>
                <w:sz w:val="20"/>
                <w:szCs w:val="20"/>
              </w:rPr>
            </w:pPr>
            <w:r>
              <w:rPr>
                <w:rFonts w:ascii="黑体" w:eastAsia="黑体" w:hAnsi="黑体" w:hint="eastAsia"/>
                <w:sz w:val="20"/>
                <w:szCs w:val="20"/>
              </w:rPr>
              <w:t>持卡人办理银行卡所使用的身份证件的签发国家</w:t>
            </w:r>
            <w:r>
              <w:rPr>
                <w:rFonts w:ascii="黑体" w:eastAsia="黑体" w:hAnsi="黑体"/>
                <w:sz w:val="20"/>
                <w:szCs w:val="20"/>
              </w:rPr>
              <w:t>/</w:t>
            </w:r>
            <w:r>
              <w:rPr>
                <w:rFonts w:ascii="黑体" w:eastAsia="黑体" w:hAnsi="黑体" w:hint="eastAsia"/>
                <w:sz w:val="20"/>
                <w:szCs w:val="20"/>
              </w:rPr>
              <w:t>地区</w:t>
            </w:r>
          </w:p>
          <w:p w14:paraId="5FA11050" w14:textId="77777777" w:rsidR="00A052DC" w:rsidRDefault="009F0A60">
            <w:pPr>
              <w:rPr>
                <w:rFonts w:ascii="黑体" w:eastAsia="黑体" w:hAnsi="黑体"/>
                <w:kern w:val="0"/>
                <w:sz w:val="20"/>
                <w:szCs w:val="20"/>
              </w:rPr>
            </w:pPr>
            <w:r>
              <w:rPr>
                <w:rFonts w:ascii="黑体" w:eastAsia="黑体" w:hAnsi="黑体" w:hint="eastAsia"/>
                <w:kern w:val="0"/>
                <w:sz w:val="20"/>
                <w:szCs w:val="20"/>
              </w:rPr>
              <w:t>境内个人，全部填写中国。</w:t>
            </w:r>
          </w:p>
          <w:p w14:paraId="40FBC300" w14:textId="77777777" w:rsidR="00A052DC" w:rsidRDefault="009F0A60">
            <w:pPr>
              <w:rPr>
                <w:rFonts w:ascii="黑体" w:eastAsia="黑体" w:hAnsi="黑体"/>
                <w:kern w:val="0"/>
                <w:sz w:val="20"/>
                <w:szCs w:val="20"/>
              </w:rPr>
            </w:pPr>
            <w:r>
              <w:rPr>
                <w:rFonts w:ascii="黑体" w:eastAsia="黑体" w:hAnsi="黑体" w:hint="eastAsia"/>
                <w:kern w:val="0"/>
                <w:sz w:val="20"/>
                <w:szCs w:val="20"/>
              </w:rPr>
              <w:t>身份证件类型为中国护照的，填写中国。</w:t>
            </w:r>
          </w:p>
          <w:p w14:paraId="1574AD18" w14:textId="77777777" w:rsidR="00A052DC" w:rsidRDefault="009F0A60">
            <w:pPr>
              <w:rPr>
                <w:rFonts w:ascii="黑体" w:eastAsia="黑体" w:hAnsi="黑体"/>
                <w:kern w:val="0"/>
                <w:sz w:val="20"/>
                <w:szCs w:val="20"/>
              </w:rPr>
            </w:pPr>
            <w:r>
              <w:rPr>
                <w:rFonts w:ascii="黑体" w:eastAsia="黑体" w:hAnsi="黑体" w:hint="eastAsia"/>
                <w:kern w:val="0"/>
                <w:sz w:val="20"/>
                <w:szCs w:val="20"/>
              </w:rPr>
              <w:t>港澳居民来往内地通行证，填写香港</w:t>
            </w:r>
            <w:r>
              <w:rPr>
                <w:rFonts w:ascii="黑体" w:eastAsia="黑体" w:hAnsi="黑体"/>
                <w:kern w:val="0"/>
                <w:sz w:val="20"/>
                <w:szCs w:val="20"/>
              </w:rPr>
              <w:t>/</w:t>
            </w:r>
            <w:r>
              <w:rPr>
                <w:rFonts w:ascii="黑体" w:eastAsia="黑体" w:hAnsi="黑体" w:hint="eastAsia"/>
                <w:kern w:val="0"/>
                <w:sz w:val="20"/>
                <w:szCs w:val="20"/>
              </w:rPr>
              <w:t>澳门。</w:t>
            </w:r>
          </w:p>
          <w:p w14:paraId="3821403F" w14:textId="77777777" w:rsidR="00A052DC" w:rsidRDefault="009F0A60">
            <w:pPr>
              <w:rPr>
                <w:rFonts w:ascii="黑体" w:eastAsia="黑体" w:hAnsi="黑体"/>
                <w:kern w:val="0"/>
                <w:sz w:val="20"/>
                <w:szCs w:val="20"/>
              </w:rPr>
            </w:pPr>
            <w:r>
              <w:rPr>
                <w:rFonts w:ascii="黑体" w:eastAsia="黑体" w:hAnsi="黑体" w:hint="eastAsia"/>
                <w:kern w:val="0"/>
                <w:sz w:val="20"/>
                <w:szCs w:val="20"/>
              </w:rPr>
              <w:t>台湾居民来往大陆通行证，填写台湾。</w:t>
            </w:r>
          </w:p>
          <w:p w14:paraId="6EAA7226" w14:textId="77777777" w:rsidR="00A052DC" w:rsidRDefault="009F0A60">
            <w:pPr>
              <w:rPr>
                <w:rFonts w:ascii="黑体" w:eastAsia="黑体" w:hAnsi="黑体"/>
                <w:kern w:val="0"/>
                <w:sz w:val="20"/>
                <w:szCs w:val="20"/>
              </w:rPr>
            </w:pPr>
            <w:r>
              <w:rPr>
                <w:rFonts w:ascii="黑体" w:eastAsia="黑体" w:hAnsi="黑体" w:hint="eastAsia"/>
                <w:kern w:val="0"/>
                <w:sz w:val="20"/>
                <w:szCs w:val="20"/>
              </w:rPr>
              <w:t>其他境外个人（含外国护照</w:t>
            </w:r>
            <w:r>
              <w:rPr>
                <w:rFonts w:ascii="黑体" w:eastAsia="黑体" w:hAnsi="黑体"/>
                <w:kern w:val="0"/>
                <w:sz w:val="20"/>
                <w:szCs w:val="20"/>
              </w:rPr>
              <w:t>/</w:t>
            </w:r>
            <w:r>
              <w:rPr>
                <w:rFonts w:ascii="黑体" w:eastAsia="黑体" w:hAnsi="黑体" w:hint="eastAsia"/>
                <w:kern w:val="0"/>
                <w:sz w:val="20"/>
                <w:szCs w:val="20"/>
              </w:rPr>
              <w:t>外国人永久居留身份证），填写中国之外的其他国家</w:t>
            </w:r>
            <w:r>
              <w:rPr>
                <w:rFonts w:ascii="黑体" w:eastAsia="黑体" w:hAnsi="黑体"/>
                <w:kern w:val="0"/>
                <w:sz w:val="20"/>
                <w:szCs w:val="20"/>
              </w:rPr>
              <w:t>/</w:t>
            </w:r>
            <w:r>
              <w:rPr>
                <w:rFonts w:ascii="黑体" w:eastAsia="黑体" w:hAnsi="黑体" w:hint="eastAsia"/>
                <w:kern w:val="0"/>
                <w:sz w:val="20"/>
                <w:szCs w:val="20"/>
              </w:rPr>
              <w:t>地区。</w:t>
            </w:r>
          </w:p>
          <w:p w14:paraId="1BE9FDAA" w14:textId="77777777" w:rsidR="00A052DC" w:rsidRDefault="009F0A60">
            <w:pPr>
              <w:rPr>
                <w:rFonts w:ascii="黑体" w:eastAsia="黑体" w:hAnsi="黑体"/>
                <w:kern w:val="0"/>
                <w:sz w:val="20"/>
                <w:szCs w:val="20"/>
              </w:rPr>
            </w:pPr>
            <w:r>
              <w:rPr>
                <w:rFonts w:ascii="黑体" w:eastAsia="黑体" w:hAnsi="黑体" w:hint="eastAsia"/>
                <w:kern w:val="0"/>
                <w:sz w:val="20"/>
                <w:szCs w:val="20"/>
              </w:rPr>
              <w:t>如无法获得持卡人身份证件的签发国家</w:t>
            </w:r>
            <w:r>
              <w:rPr>
                <w:rFonts w:ascii="黑体" w:eastAsia="黑体" w:hAnsi="黑体"/>
                <w:kern w:val="0"/>
                <w:sz w:val="20"/>
                <w:szCs w:val="20"/>
              </w:rPr>
              <w:t>/地区</w:t>
            </w:r>
            <w:r>
              <w:rPr>
                <w:rFonts w:ascii="黑体" w:eastAsia="黑体" w:hAnsi="黑体" w:hint="eastAsia"/>
                <w:kern w:val="0"/>
                <w:sz w:val="20"/>
                <w:szCs w:val="20"/>
              </w:rPr>
              <w:t>，</w:t>
            </w:r>
            <w:r>
              <w:rPr>
                <w:rFonts w:ascii="黑体" w:eastAsia="黑体" w:hAnsi="黑体"/>
                <w:kern w:val="0"/>
                <w:sz w:val="20"/>
                <w:szCs w:val="20"/>
              </w:rPr>
              <w:t>填写其他。</w:t>
            </w:r>
          </w:p>
        </w:tc>
      </w:tr>
      <w:tr w:rsidR="00A052DC" w14:paraId="7D2F5188" w14:textId="77777777">
        <w:trPr>
          <w:jc w:val="center"/>
        </w:trPr>
        <w:tc>
          <w:tcPr>
            <w:tcW w:w="2151" w:type="dxa"/>
            <w:vAlign w:val="center"/>
          </w:tcPr>
          <w:p w14:paraId="11703E78" w14:textId="77777777" w:rsidR="00A052DC" w:rsidRDefault="009F0A60">
            <w:pPr>
              <w:rPr>
                <w:rFonts w:ascii="黑体" w:eastAsia="黑体" w:hAnsi="黑体"/>
                <w:kern w:val="0"/>
                <w:sz w:val="20"/>
                <w:szCs w:val="20"/>
              </w:rPr>
            </w:pPr>
            <w:r>
              <w:rPr>
                <w:rFonts w:ascii="黑体" w:eastAsia="黑体" w:hAnsi="黑体" w:hint="eastAsia"/>
                <w:kern w:val="0"/>
                <w:sz w:val="20"/>
                <w:szCs w:val="20"/>
              </w:rPr>
              <w:t>身份证件号码</w:t>
            </w:r>
          </w:p>
        </w:tc>
        <w:tc>
          <w:tcPr>
            <w:tcW w:w="6379" w:type="dxa"/>
            <w:vAlign w:val="center"/>
          </w:tcPr>
          <w:p w14:paraId="1A194974" w14:textId="77777777" w:rsidR="00A052DC" w:rsidRDefault="009F0A60">
            <w:pPr>
              <w:rPr>
                <w:rFonts w:ascii="黑体" w:eastAsia="黑体" w:hAnsi="黑体"/>
                <w:kern w:val="0"/>
                <w:sz w:val="20"/>
                <w:szCs w:val="20"/>
              </w:rPr>
            </w:pPr>
            <w:r>
              <w:rPr>
                <w:rFonts w:ascii="黑体" w:eastAsia="黑体" w:hAnsi="黑体" w:hint="eastAsia"/>
                <w:kern w:val="0"/>
                <w:sz w:val="20"/>
                <w:szCs w:val="20"/>
              </w:rPr>
              <w:t>境内个人：</w:t>
            </w:r>
          </w:p>
          <w:p w14:paraId="5723A208" w14:textId="77777777" w:rsidR="00A052DC" w:rsidRDefault="009F0A60">
            <w:pPr>
              <w:rPr>
                <w:rFonts w:ascii="黑体" w:eastAsia="黑体" w:hAnsi="黑体"/>
                <w:kern w:val="0"/>
                <w:sz w:val="20"/>
                <w:szCs w:val="20"/>
              </w:rPr>
            </w:pPr>
            <w:r>
              <w:rPr>
                <w:rFonts w:ascii="黑体" w:eastAsia="黑体" w:hAnsi="黑体" w:hint="eastAsia"/>
                <w:kern w:val="0"/>
                <w:sz w:val="20"/>
                <w:szCs w:val="20"/>
              </w:rPr>
              <w:t>身份证件类型为身份证的，</w:t>
            </w:r>
            <w:r>
              <w:rPr>
                <w:rFonts w:ascii="黑体" w:eastAsia="黑体" w:hAnsi="黑体"/>
                <w:kern w:val="0"/>
                <w:sz w:val="20"/>
                <w:szCs w:val="20"/>
              </w:rPr>
              <w:t>18</w:t>
            </w:r>
            <w:r>
              <w:rPr>
                <w:rFonts w:ascii="黑体" w:eastAsia="黑体" w:hAnsi="黑体" w:hint="eastAsia"/>
                <w:kern w:val="0"/>
                <w:sz w:val="20"/>
                <w:szCs w:val="20"/>
              </w:rPr>
              <w:t>位，由全部数字或数字加最末一位大写英文字符组成。符合公安部身份证号码校验规则。</w:t>
            </w:r>
          </w:p>
          <w:p w14:paraId="0D0C0445" w14:textId="77777777" w:rsidR="00A052DC" w:rsidRDefault="009F0A60">
            <w:pPr>
              <w:rPr>
                <w:rFonts w:ascii="黑体" w:eastAsia="黑体" w:hAnsi="黑体"/>
                <w:kern w:val="0"/>
                <w:sz w:val="20"/>
                <w:szCs w:val="20"/>
              </w:rPr>
            </w:pPr>
            <w:r>
              <w:rPr>
                <w:rFonts w:ascii="黑体" w:eastAsia="黑体" w:hAnsi="黑体" w:hint="eastAsia"/>
                <w:kern w:val="0"/>
                <w:sz w:val="20"/>
                <w:szCs w:val="20"/>
              </w:rPr>
              <w:t>境外个人：</w:t>
            </w:r>
          </w:p>
          <w:p w14:paraId="210C8C1B" w14:textId="77777777" w:rsidR="00A052DC" w:rsidRDefault="009F0A60">
            <w:pPr>
              <w:rPr>
                <w:rFonts w:ascii="黑体" w:eastAsia="黑体" w:hAnsi="黑体"/>
                <w:kern w:val="0"/>
                <w:sz w:val="20"/>
                <w:szCs w:val="20"/>
              </w:rPr>
            </w:pPr>
            <w:r>
              <w:rPr>
                <w:rFonts w:ascii="黑体" w:eastAsia="黑体" w:hAnsi="黑体" w:hint="eastAsia"/>
                <w:kern w:val="0"/>
                <w:sz w:val="20"/>
                <w:szCs w:val="20"/>
              </w:rPr>
              <w:t>身份证件类型为外国护照的，只允许输入大写字母和数字、中文。</w:t>
            </w:r>
          </w:p>
          <w:p w14:paraId="7967B4C2" w14:textId="77777777" w:rsidR="00A052DC" w:rsidRDefault="009F0A60">
            <w:pPr>
              <w:rPr>
                <w:rFonts w:ascii="黑体" w:eastAsia="黑体" w:hAnsi="黑体"/>
                <w:kern w:val="0"/>
                <w:sz w:val="20"/>
                <w:szCs w:val="20"/>
              </w:rPr>
            </w:pPr>
            <w:r>
              <w:rPr>
                <w:rFonts w:ascii="黑体" w:eastAsia="黑体" w:hAnsi="黑体" w:hint="eastAsia"/>
                <w:kern w:val="0"/>
                <w:sz w:val="20"/>
                <w:szCs w:val="20"/>
              </w:rPr>
              <w:t>身份证件类型为外国人永久居留身份证的，填写15位外国人永久居留身份证号码（国别码</w:t>
            </w:r>
            <w:r>
              <w:rPr>
                <w:rFonts w:ascii="黑体" w:eastAsia="黑体" w:hAnsi="黑体"/>
                <w:kern w:val="0"/>
                <w:sz w:val="20"/>
                <w:szCs w:val="20"/>
              </w:rPr>
              <w:t>3</w:t>
            </w:r>
            <w:r>
              <w:rPr>
                <w:rFonts w:ascii="黑体" w:eastAsia="黑体" w:hAnsi="黑体" w:hint="eastAsia"/>
                <w:kern w:val="0"/>
                <w:sz w:val="20"/>
                <w:szCs w:val="20"/>
              </w:rPr>
              <w:t>位大写字母</w:t>
            </w:r>
            <w:r>
              <w:rPr>
                <w:rFonts w:ascii="黑体" w:eastAsia="黑体" w:hAnsi="黑体"/>
                <w:kern w:val="0"/>
                <w:sz w:val="20"/>
                <w:szCs w:val="20"/>
              </w:rPr>
              <w:t>+ 12</w:t>
            </w:r>
            <w:r>
              <w:rPr>
                <w:rFonts w:ascii="黑体" w:eastAsia="黑体" w:hAnsi="黑体" w:hint="eastAsia"/>
                <w:kern w:val="0"/>
                <w:sz w:val="20"/>
                <w:szCs w:val="20"/>
              </w:rPr>
              <w:t>位数字）。</w:t>
            </w:r>
          </w:p>
          <w:p w14:paraId="1A8E6539" w14:textId="77777777" w:rsidR="00A052DC" w:rsidRDefault="009F0A60">
            <w:pPr>
              <w:rPr>
                <w:rFonts w:ascii="黑体" w:eastAsia="黑体" w:hAnsi="黑体"/>
                <w:kern w:val="0"/>
                <w:sz w:val="20"/>
                <w:szCs w:val="20"/>
              </w:rPr>
            </w:pPr>
            <w:r>
              <w:rPr>
                <w:rFonts w:ascii="黑体" w:eastAsia="黑体" w:hAnsi="黑体" w:hint="eastAsia"/>
                <w:kern w:val="0"/>
                <w:sz w:val="20"/>
                <w:szCs w:val="20"/>
              </w:rPr>
              <w:t>身份证件类型为港澳居民往来内地通行证的，输入通行证号（第一个字母是</w:t>
            </w:r>
            <w:r>
              <w:rPr>
                <w:rFonts w:ascii="黑体" w:eastAsia="黑体" w:hAnsi="黑体"/>
                <w:kern w:val="0"/>
                <w:sz w:val="20"/>
                <w:szCs w:val="20"/>
              </w:rPr>
              <w:t>H</w:t>
            </w:r>
            <w:r>
              <w:rPr>
                <w:rFonts w:ascii="黑体" w:eastAsia="黑体" w:hAnsi="黑体" w:hint="eastAsia"/>
                <w:kern w:val="0"/>
                <w:sz w:val="20"/>
                <w:szCs w:val="20"/>
              </w:rPr>
              <w:t>或者</w:t>
            </w:r>
            <w:r>
              <w:rPr>
                <w:rFonts w:ascii="黑体" w:eastAsia="黑体" w:hAnsi="黑体"/>
                <w:kern w:val="0"/>
                <w:sz w:val="20"/>
                <w:szCs w:val="20"/>
              </w:rPr>
              <w:t>M</w:t>
            </w:r>
            <w:r>
              <w:rPr>
                <w:rFonts w:ascii="黑体" w:eastAsia="黑体" w:hAnsi="黑体" w:hint="eastAsia"/>
                <w:kern w:val="0"/>
                <w:sz w:val="20"/>
                <w:szCs w:val="20"/>
              </w:rPr>
              <w:t>，后面共</w:t>
            </w:r>
            <w:r>
              <w:rPr>
                <w:rFonts w:ascii="黑体" w:eastAsia="黑体" w:hAnsi="黑体"/>
                <w:kern w:val="0"/>
                <w:sz w:val="20"/>
                <w:szCs w:val="20"/>
              </w:rPr>
              <w:t>8</w:t>
            </w:r>
            <w:r>
              <w:rPr>
                <w:rFonts w:ascii="黑体" w:eastAsia="黑体" w:hAnsi="黑体" w:hint="eastAsia"/>
                <w:kern w:val="0"/>
                <w:sz w:val="20"/>
                <w:szCs w:val="20"/>
              </w:rPr>
              <w:t>位数字。当首字母为</w:t>
            </w:r>
            <w:r>
              <w:rPr>
                <w:rFonts w:ascii="黑体" w:eastAsia="黑体" w:hAnsi="黑体"/>
                <w:kern w:val="0"/>
                <w:sz w:val="20"/>
                <w:szCs w:val="20"/>
              </w:rPr>
              <w:t>“H”时为</w:t>
            </w:r>
            <w:r>
              <w:rPr>
                <w:rFonts w:ascii="黑体" w:eastAsia="黑体" w:hAnsi="黑体" w:hint="eastAsia"/>
                <w:kern w:val="0"/>
                <w:sz w:val="20"/>
                <w:szCs w:val="20"/>
              </w:rPr>
              <w:t>“</w:t>
            </w:r>
            <w:r>
              <w:rPr>
                <w:rFonts w:ascii="黑体" w:eastAsia="黑体" w:hAnsi="黑体"/>
                <w:kern w:val="0"/>
                <w:sz w:val="20"/>
                <w:szCs w:val="20"/>
              </w:rPr>
              <w:t>香港</w:t>
            </w:r>
            <w:r>
              <w:rPr>
                <w:rFonts w:ascii="黑体" w:eastAsia="黑体" w:hAnsi="黑体" w:hint="eastAsia"/>
                <w:kern w:val="0"/>
                <w:sz w:val="20"/>
                <w:szCs w:val="20"/>
              </w:rPr>
              <w:t>”</w:t>
            </w:r>
            <w:r>
              <w:rPr>
                <w:rFonts w:ascii="黑体" w:eastAsia="黑体" w:hAnsi="黑体"/>
                <w:kern w:val="0"/>
                <w:sz w:val="20"/>
                <w:szCs w:val="20"/>
              </w:rPr>
              <w:t>，当首字母为“M”时为</w:t>
            </w:r>
            <w:r>
              <w:rPr>
                <w:rFonts w:ascii="黑体" w:eastAsia="黑体" w:hAnsi="黑体" w:hint="eastAsia"/>
                <w:kern w:val="0"/>
                <w:sz w:val="20"/>
                <w:szCs w:val="20"/>
              </w:rPr>
              <w:t>“</w:t>
            </w:r>
            <w:r>
              <w:rPr>
                <w:rFonts w:ascii="黑体" w:eastAsia="黑体" w:hAnsi="黑体"/>
                <w:kern w:val="0"/>
                <w:sz w:val="20"/>
                <w:szCs w:val="20"/>
              </w:rPr>
              <w:t>澳门</w:t>
            </w:r>
            <w:r>
              <w:rPr>
                <w:rFonts w:ascii="黑体" w:eastAsia="黑体" w:hAnsi="黑体" w:hint="eastAsia"/>
                <w:kern w:val="0"/>
                <w:sz w:val="20"/>
                <w:szCs w:val="20"/>
              </w:rPr>
              <w:t>”）。</w:t>
            </w:r>
          </w:p>
          <w:p w14:paraId="63CE012A" w14:textId="77777777" w:rsidR="00A052DC" w:rsidRDefault="009F0A60">
            <w:pPr>
              <w:rPr>
                <w:rFonts w:ascii="黑体" w:eastAsia="黑体" w:hAnsi="黑体"/>
                <w:kern w:val="0"/>
                <w:sz w:val="20"/>
                <w:szCs w:val="20"/>
              </w:rPr>
            </w:pPr>
            <w:r>
              <w:rPr>
                <w:rFonts w:ascii="黑体" w:eastAsia="黑体" w:hAnsi="黑体" w:hint="eastAsia"/>
                <w:kern w:val="0"/>
                <w:sz w:val="20"/>
                <w:szCs w:val="20"/>
              </w:rPr>
              <w:t>身份证件类型为台湾居民来往内地通行证的，输入通行证号。</w:t>
            </w:r>
          </w:p>
          <w:p w14:paraId="710F90B5" w14:textId="77777777" w:rsidR="00A052DC" w:rsidRDefault="009F0A60">
            <w:pPr>
              <w:rPr>
                <w:rFonts w:ascii="黑体" w:eastAsia="黑体" w:hAnsi="黑体"/>
                <w:kern w:val="0"/>
                <w:sz w:val="20"/>
                <w:szCs w:val="20"/>
              </w:rPr>
            </w:pPr>
            <w:r>
              <w:rPr>
                <w:rFonts w:ascii="黑体" w:eastAsia="黑体" w:hAnsi="黑体" w:hint="eastAsia"/>
                <w:kern w:val="0"/>
                <w:sz w:val="20"/>
                <w:szCs w:val="20"/>
              </w:rPr>
              <w:t>其他身份证件类型，按有关部门的相关要求进行校验。</w:t>
            </w:r>
          </w:p>
        </w:tc>
      </w:tr>
      <w:tr w:rsidR="00A052DC" w14:paraId="4DC2EAD3" w14:textId="77777777">
        <w:trPr>
          <w:jc w:val="center"/>
        </w:trPr>
        <w:tc>
          <w:tcPr>
            <w:tcW w:w="2151" w:type="dxa"/>
            <w:vAlign w:val="center"/>
          </w:tcPr>
          <w:p w14:paraId="1B57D042" w14:textId="77777777" w:rsidR="00A052DC" w:rsidRDefault="009F0A60">
            <w:pPr>
              <w:rPr>
                <w:rFonts w:ascii="黑体" w:eastAsia="黑体" w:hAnsi="黑体"/>
                <w:kern w:val="0"/>
                <w:sz w:val="20"/>
                <w:szCs w:val="20"/>
              </w:rPr>
            </w:pPr>
            <w:r>
              <w:rPr>
                <w:rFonts w:ascii="黑体" w:eastAsia="黑体" w:hAnsi="黑体" w:hint="eastAsia"/>
                <w:kern w:val="0"/>
                <w:sz w:val="20"/>
                <w:szCs w:val="20"/>
              </w:rPr>
              <w:t>持卡人姓名</w:t>
            </w:r>
          </w:p>
        </w:tc>
        <w:tc>
          <w:tcPr>
            <w:tcW w:w="6379" w:type="dxa"/>
            <w:vAlign w:val="center"/>
          </w:tcPr>
          <w:p w14:paraId="12DD4594" w14:textId="77777777" w:rsidR="00A052DC" w:rsidRDefault="009F0A60">
            <w:pPr>
              <w:rPr>
                <w:rFonts w:ascii="黑体" w:eastAsia="黑体" w:hAnsi="黑体"/>
                <w:kern w:val="0"/>
                <w:sz w:val="20"/>
                <w:szCs w:val="20"/>
              </w:rPr>
            </w:pPr>
            <w:r>
              <w:rPr>
                <w:rFonts w:ascii="黑体" w:eastAsia="黑体" w:hAnsi="黑体" w:hint="eastAsia"/>
                <w:kern w:val="0"/>
                <w:sz w:val="20"/>
                <w:szCs w:val="20"/>
              </w:rPr>
              <w:t>指</w:t>
            </w:r>
            <w:r>
              <w:rPr>
                <w:rFonts w:ascii="黑体" w:eastAsia="黑体" w:hAnsi="黑体"/>
                <w:kern w:val="0"/>
                <w:sz w:val="20"/>
                <w:szCs w:val="20"/>
              </w:rPr>
              <w:t>持卡人开卡使用的有效身份证件上的姓名。</w:t>
            </w:r>
          </w:p>
        </w:tc>
      </w:tr>
      <w:tr w:rsidR="00A052DC" w14:paraId="72D362BC" w14:textId="77777777">
        <w:trPr>
          <w:jc w:val="center"/>
        </w:trPr>
        <w:tc>
          <w:tcPr>
            <w:tcW w:w="2151" w:type="dxa"/>
            <w:vAlign w:val="center"/>
          </w:tcPr>
          <w:p w14:paraId="49B77300" w14:textId="77777777" w:rsidR="00A052DC" w:rsidRDefault="009F0A60">
            <w:pPr>
              <w:rPr>
                <w:rFonts w:ascii="黑体" w:eastAsia="黑体" w:hAnsi="黑体"/>
                <w:kern w:val="0"/>
                <w:sz w:val="20"/>
                <w:szCs w:val="20"/>
              </w:rPr>
            </w:pPr>
            <w:r>
              <w:rPr>
                <w:rFonts w:ascii="黑体" w:eastAsia="黑体" w:hAnsi="黑体" w:hint="eastAsia"/>
                <w:kern w:val="0"/>
                <w:sz w:val="20"/>
                <w:szCs w:val="20"/>
              </w:rPr>
              <w:t>卡号</w:t>
            </w:r>
          </w:p>
        </w:tc>
        <w:tc>
          <w:tcPr>
            <w:tcW w:w="6379" w:type="dxa"/>
            <w:vAlign w:val="center"/>
          </w:tcPr>
          <w:p w14:paraId="1DC39261" w14:textId="77777777" w:rsidR="00A052DC" w:rsidRDefault="009F0A60">
            <w:pPr>
              <w:rPr>
                <w:rFonts w:ascii="黑体" w:eastAsia="黑体" w:hAnsi="黑体"/>
                <w:kern w:val="0"/>
                <w:sz w:val="20"/>
                <w:szCs w:val="20"/>
              </w:rPr>
            </w:pPr>
            <w:r>
              <w:rPr>
                <w:rFonts w:ascii="黑体" w:eastAsia="黑体" w:hAnsi="黑体" w:hint="eastAsia"/>
                <w:kern w:val="0"/>
                <w:sz w:val="20"/>
                <w:szCs w:val="20"/>
              </w:rPr>
              <w:t>指持卡人</w:t>
            </w:r>
            <w:r>
              <w:rPr>
                <w:rFonts w:ascii="黑体" w:eastAsia="黑体" w:hAnsi="黑体"/>
                <w:kern w:val="0"/>
                <w:sz w:val="20"/>
                <w:szCs w:val="20"/>
              </w:rPr>
              <w:t>境外</w:t>
            </w:r>
            <w:r>
              <w:rPr>
                <w:rFonts w:ascii="黑体" w:eastAsia="黑体" w:hAnsi="黑体" w:hint="eastAsia"/>
                <w:kern w:val="0"/>
                <w:sz w:val="20"/>
                <w:szCs w:val="20"/>
              </w:rPr>
              <w:t>消费</w:t>
            </w:r>
            <w:r>
              <w:rPr>
                <w:rFonts w:ascii="黑体" w:eastAsia="黑体" w:hAnsi="黑体"/>
                <w:kern w:val="0"/>
                <w:sz w:val="20"/>
                <w:szCs w:val="20"/>
              </w:rPr>
              <w:t>使用的银行卡卡号。</w:t>
            </w:r>
          </w:p>
        </w:tc>
      </w:tr>
      <w:tr w:rsidR="00A052DC" w14:paraId="51DEC102" w14:textId="77777777">
        <w:trPr>
          <w:jc w:val="center"/>
        </w:trPr>
        <w:tc>
          <w:tcPr>
            <w:tcW w:w="2151" w:type="dxa"/>
            <w:vAlign w:val="center"/>
          </w:tcPr>
          <w:p w14:paraId="327FBBC9" w14:textId="77777777" w:rsidR="00A052DC" w:rsidRDefault="009F0A60">
            <w:pPr>
              <w:rPr>
                <w:rFonts w:ascii="黑体" w:eastAsia="黑体" w:hAnsi="黑体"/>
                <w:kern w:val="0"/>
                <w:sz w:val="20"/>
                <w:szCs w:val="20"/>
              </w:rPr>
            </w:pPr>
            <w:r>
              <w:rPr>
                <w:rFonts w:ascii="黑体" w:eastAsia="黑体" w:hAnsi="黑体" w:hint="eastAsia"/>
                <w:kern w:val="0"/>
                <w:sz w:val="20"/>
                <w:szCs w:val="20"/>
              </w:rPr>
              <w:t>交易货币币种</w:t>
            </w:r>
          </w:p>
        </w:tc>
        <w:tc>
          <w:tcPr>
            <w:tcW w:w="6379" w:type="dxa"/>
            <w:vAlign w:val="center"/>
          </w:tcPr>
          <w:p w14:paraId="6953E0AA" w14:textId="77777777" w:rsidR="00A052DC" w:rsidRDefault="009F0A60">
            <w:pPr>
              <w:rPr>
                <w:rFonts w:ascii="黑体" w:eastAsia="黑体" w:hAnsi="黑体"/>
                <w:kern w:val="0"/>
                <w:sz w:val="20"/>
                <w:szCs w:val="20"/>
              </w:rPr>
            </w:pPr>
            <w:r>
              <w:rPr>
                <w:rFonts w:ascii="黑体" w:eastAsia="黑体" w:hAnsi="黑体"/>
                <w:kern w:val="0"/>
                <w:sz w:val="20"/>
                <w:szCs w:val="20"/>
              </w:rPr>
              <w:t>指持卡人境外</w:t>
            </w:r>
            <w:r>
              <w:rPr>
                <w:rFonts w:ascii="黑体" w:eastAsia="黑体" w:hAnsi="黑体" w:hint="eastAsia"/>
                <w:kern w:val="0"/>
                <w:sz w:val="20"/>
                <w:szCs w:val="20"/>
              </w:rPr>
              <w:t>消费</w:t>
            </w:r>
            <w:r>
              <w:rPr>
                <w:rFonts w:ascii="黑体" w:eastAsia="黑体" w:hAnsi="黑体"/>
                <w:kern w:val="0"/>
                <w:sz w:val="20"/>
                <w:szCs w:val="20"/>
              </w:rPr>
              <w:t>的原始币种。</w:t>
            </w:r>
          </w:p>
        </w:tc>
      </w:tr>
      <w:tr w:rsidR="00A052DC" w14:paraId="6D4D59E2" w14:textId="77777777">
        <w:trPr>
          <w:jc w:val="center"/>
        </w:trPr>
        <w:tc>
          <w:tcPr>
            <w:tcW w:w="2151" w:type="dxa"/>
            <w:vAlign w:val="center"/>
          </w:tcPr>
          <w:p w14:paraId="699F4F1A" w14:textId="77777777" w:rsidR="00A052DC" w:rsidRDefault="009F0A60">
            <w:pPr>
              <w:rPr>
                <w:rFonts w:ascii="黑体" w:eastAsia="黑体" w:hAnsi="黑体"/>
                <w:kern w:val="0"/>
                <w:sz w:val="20"/>
                <w:szCs w:val="20"/>
              </w:rPr>
            </w:pPr>
            <w:r>
              <w:rPr>
                <w:rFonts w:ascii="黑体" w:eastAsia="黑体" w:hAnsi="黑体" w:hint="eastAsia"/>
                <w:kern w:val="0"/>
                <w:sz w:val="20"/>
                <w:szCs w:val="20"/>
              </w:rPr>
              <w:t>交易货币金额</w:t>
            </w:r>
          </w:p>
        </w:tc>
        <w:tc>
          <w:tcPr>
            <w:tcW w:w="6379" w:type="dxa"/>
            <w:vAlign w:val="center"/>
          </w:tcPr>
          <w:p w14:paraId="1FAA8F6F" w14:textId="77777777" w:rsidR="00A052DC" w:rsidRDefault="009F0A60">
            <w:pPr>
              <w:rPr>
                <w:rFonts w:ascii="黑体" w:eastAsia="黑体" w:hAnsi="黑体"/>
                <w:kern w:val="0"/>
                <w:sz w:val="20"/>
                <w:szCs w:val="20"/>
              </w:rPr>
            </w:pPr>
            <w:r>
              <w:rPr>
                <w:rFonts w:ascii="黑体" w:eastAsia="黑体" w:hAnsi="黑体" w:hint="eastAsia"/>
                <w:kern w:val="0"/>
                <w:sz w:val="20"/>
                <w:szCs w:val="20"/>
              </w:rPr>
              <w:t>指</w:t>
            </w:r>
            <w:r>
              <w:rPr>
                <w:rFonts w:ascii="黑体" w:eastAsia="黑体" w:hAnsi="黑体"/>
                <w:kern w:val="0"/>
                <w:sz w:val="20"/>
                <w:szCs w:val="20"/>
              </w:rPr>
              <w:t>持卡人境外</w:t>
            </w:r>
            <w:r>
              <w:rPr>
                <w:rFonts w:ascii="黑体" w:eastAsia="黑体" w:hAnsi="黑体" w:hint="eastAsia"/>
                <w:kern w:val="0"/>
                <w:sz w:val="20"/>
                <w:szCs w:val="20"/>
              </w:rPr>
              <w:t>消费</w:t>
            </w:r>
            <w:r>
              <w:rPr>
                <w:rFonts w:ascii="黑体" w:eastAsia="黑体" w:hAnsi="黑体"/>
                <w:kern w:val="0"/>
                <w:sz w:val="20"/>
                <w:szCs w:val="20"/>
              </w:rPr>
              <w:t>的原币金额。</w:t>
            </w:r>
            <w:r>
              <w:rPr>
                <w:rFonts w:ascii="黑体" w:eastAsia="黑体" w:hAnsi="黑体" w:hint="eastAsia"/>
                <w:kern w:val="0"/>
                <w:sz w:val="20"/>
                <w:szCs w:val="20"/>
              </w:rPr>
              <w:t>如无法获取交易原币金额，可选择清算币种及相应金额填列。填写单位为1货币单位。</w:t>
            </w:r>
          </w:p>
        </w:tc>
      </w:tr>
      <w:tr w:rsidR="00A052DC" w14:paraId="6683FD93" w14:textId="77777777">
        <w:trPr>
          <w:jc w:val="center"/>
        </w:trPr>
        <w:tc>
          <w:tcPr>
            <w:tcW w:w="2151" w:type="dxa"/>
            <w:vAlign w:val="center"/>
          </w:tcPr>
          <w:p w14:paraId="4B7E14A8" w14:textId="77777777" w:rsidR="00A052DC" w:rsidRDefault="009F0A60">
            <w:pPr>
              <w:rPr>
                <w:rFonts w:ascii="黑体" w:eastAsia="黑体" w:hAnsi="黑体"/>
                <w:kern w:val="0"/>
                <w:sz w:val="20"/>
                <w:szCs w:val="20"/>
              </w:rPr>
            </w:pPr>
            <w:r>
              <w:rPr>
                <w:rFonts w:ascii="黑体" w:eastAsia="黑体" w:hAnsi="黑体" w:hint="eastAsia"/>
                <w:kern w:val="0"/>
                <w:sz w:val="20"/>
                <w:szCs w:val="20"/>
              </w:rPr>
              <w:t>交易货币折人民币金额</w:t>
            </w:r>
          </w:p>
        </w:tc>
        <w:tc>
          <w:tcPr>
            <w:tcW w:w="6379" w:type="dxa"/>
            <w:vAlign w:val="center"/>
          </w:tcPr>
          <w:p w14:paraId="3EEB5E0D" w14:textId="77777777" w:rsidR="00A052DC" w:rsidRDefault="009F0A60">
            <w:pPr>
              <w:rPr>
                <w:rFonts w:ascii="黑体" w:eastAsia="黑体" w:hAnsi="黑体"/>
                <w:kern w:val="0"/>
                <w:sz w:val="20"/>
                <w:szCs w:val="20"/>
              </w:rPr>
            </w:pPr>
            <w:r>
              <w:rPr>
                <w:rFonts w:ascii="黑体" w:eastAsia="黑体" w:hAnsi="黑体"/>
                <w:kern w:val="0"/>
                <w:sz w:val="20"/>
                <w:szCs w:val="20"/>
              </w:rPr>
              <w:t>指发卡行将交易货币折算为人民币的金额。各种货币折算人民币的汇率</w:t>
            </w:r>
            <w:r>
              <w:rPr>
                <w:rFonts w:ascii="黑体" w:eastAsia="黑体" w:hAnsi="黑体" w:hint="eastAsia"/>
                <w:kern w:val="0"/>
                <w:sz w:val="20"/>
                <w:szCs w:val="20"/>
              </w:rPr>
              <w:t>，</w:t>
            </w:r>
            <w:r>
              <w:rPr>
                <w:rFonts w:ascii="黑体" w:eastAsia="黑体" w:hAnsi="黑体"/>
                <w:kern w:val="0"/>
                <w:sz w:val="20"/>
                <w:szCs w:val="20"/>
              </w:rPr>
              <w:t>由银行按照审慎合理的原则自行确定</w:t>
            </w:r>
            <w:r>
              <w:rPr>
                <w:rFonts w:ascii="黑体" w:eastAsia="黑体" w:hAnsi="黑体" w:hint="eastAsia"/>
                <w:kern w:val="0"/>
                <w:sz w:val="20"/>
                <w:szCs w:val="20"/>
              </w:rPr>
              <w:t>。填写单位为1元人民币。</w:t>
            </w:r>
          </w:p>
        </w:tc>
      </w:tr>
      <w:tr w:rsidR="00A052DC" w14:paraId="7DC38637" w14:textId="77777777">
        <w:trPr>
          <w:jc w:val="center"/>
        </w:trPr>
        <w:tc>
          <w:tcPr>
            <w:tcW w:w="2151" w:type="dxa"/>
            <w:vAlign w:val="center"/>
          </w:tcPr>
          <w:p w14:paraId="70A3DCF9" w14:textId="77777777" w:rsidR="00A052DC" w:rsidRDefault="009F0A60">
            <w:pPr>
              <w:rPr>
                <w:rFonts w:ascii="黑体" w:eastAsia="黑体" w:hAnsi="黑体"/>
                <w:kern w:val="0"/>
                <w:sz w:val="20"/>
                <w:szCs w:val="20"/>
              </w:rPr>
            </w:pPr>
            <w:r>
              <w:rPr>
                <w:rFonts w:ascii="黑体" w:eastAsia="黑体" w:hAnsi="黑体"/>
                <w:kern w:val="0"/>
                <w:sz w:val="20"/>
                <w:szCs w:val="20"/>
              </w:rPr>
              <w:t xml:space="preserve">MCC </w:t>
            </w:r>
            <w:r>
              <w:rPr>
                <w:rFonts w:ascii="黑体" w:eastAsia="黑体" w:hAnsi="黑体" w:hint="eastAsia"/>
                <w:kern w:val="0"/>
                <w:sz w:val="20"/>
                <w:szCs w:val="20"/>
              </w:rPr>
              <w:t>码</w:t>
            </w:r>
          </w:p>
        </w:tc>
        <w:tc>
          <w:tcPr>
            <w:tcW w:w="6379" w:type="dxa"/>
            <w:vAlign w:val="center"/>
          </w:tcPr>
          <w:p w14:paraId="59611DDD" w14:textId="77777777" w:rsidR="00A052DC" w:rsidRDefault="009F0A60">
            <w:pPr>
              <w:rPr>
                <w:rFonts w:ascii="黑体" w:eastAsia="黑体" w:hAnsi="黑体"/>
                <w:kern w:val="0"/>
                <w:sz w:val="20"/>
                <w:szCs w:val="20"/>
              </w:rPr>
            </w:pPr>
            <w:r>
              <w:rPr>
                <w:rFonts w:ascii="黑体" w:eastAsia="黑体" w:hAnsi="黑体" w:hint="eastAsia"/>
                <w:kern w:val="0"/>
                <w:sz w:val="20"/>
                <w:szCs w:val="20"/>
              </w:rPr>
              <w:t>指商户类别码（</w:t>
            </w:r>
            <w:r>
              <w:rPr>
                <w:rFonts w:ascii="黑体" w:eastAsia="黑体" w:hAnsi="黑体"/>
                <w:kern w:val="0"/>
                <w:sz w:val="20"/>
                <w:szCs w:val="20"/>
              </w:rPr>
              <w:t>Merchant Category Code</w:t>
            </w:r>
            <w:r>
              <w:rPr>
                <w:rFonts w:ascii="黑体" w:eastAsia="黑体" w:hAnsi="黑体" w:hint="eastAsia"/>
                <w:kern w:val="0"/>
                <w:sz w:val="20"/>
                <w:szCs w:val="20"/>
              </w:rPr>
              <w:t>），是银行卡清算组织制定的具体标识一家商户的主营业务范围和行业归属的代码，不包括</w:t>
            </w:r>
            <w:r>
              <w:rPr>
                <w:rFonts w:ascii="黑体" w:eastAsia="黑体" w:hAnsi="黑体"/>
                <w:kern w:val="0"/>
                <w:sz w:val="20"/>
                <w:szCs w:val="20"/>
              </w:rPr>
              <w:t>6010</w:t>
            </w:r>
            <w:r>
              <w:rPr>
                <w:rFonts w:ascii="黑体" w:eastAsia="黑体" w:hAnsi="黑体" w:hint="eastAsia"/>
                <w:kern w:val="0"/>
                <w:sz w:val="20"/>
                <w:szCs w:val="20"/>
              </w:rPr>
              <w:t>（金融机构</w:t>
            </w:r>
            <w:r>
              <w:rPr>
                <w:rFonts w:ascii="黑体" w:eastAsia="黑体" w:hAnsi="黑体"/>
                <w:kern w:val="0"/>
                <w:sz w:val="20"/>
                <w:szCs w:val="20"/>
              </w:rPr>
              <w:t>-</w:t>
            </w:r>
            <w:r>
              <w:rPr>
                <w:rFonts w:ascii="黑体" w:eastAsia="黑体" w:hAnsi="黑体" w:hint="eastAsia"/>
                <w:kern w:val="0"/>
                <w:sz w:val="20"/>
                <w:szCs w:val="20"/>
              </w:rPr>
              <w:t>银行柜台服务）和</w:t>
            </w:r>
            <w:r>
              <w:rPr>
                <w:rFonts w:ascii="黑体" w:eastAsia="黑体" w:hAnsi="黑体"/>
                <w:kern w:val="0"/>
                <w:sz w:val="20"/>
                <w:szCs w:val="20"/>
              </w:rPr>
              <w:t>6011</w:t>
            </w:r>
            <w:r>
              <w:rPr>
                <w:rFonts w:ascii="黑体" w:eastAsia="黑体" w:hAnsi="黑体" w:hint="eastAsia"/>
                <w:kern w:val="0"/>
                <w:sz w:val="20"/>
                <w:szCs w:val="20"/>
              </w:rPr>
              <w:t>（金融机构</w:t>
            </w:r>
            <w:r>
              <w:rPr>
                <w:rFonts w:ascii="黑体" w:eastAsia="黑体" w:hAnsi="黑体"/>
                <w:kern w:val="0"/>
                <w:sz w:val="20"/>
                <w:szCs w:val="20"/>
              </w:rPr>
              <w:t>-</w:t>
            </w:r>
            <w:r>
              <w:rPr>
                <w:rFonts w:ascii="黑体" w:eastAsia="黑体" w:hAnsi="黑体" w:hint="eastAsia"/>
                <w:kern w:val="0"/>
                <w:sz w:val="20"/>
                <w:szCs w:val="20"/>
              </w:rPr>
              <w:t>自动提款机服务）。</w:t>
            </w:r>
          </w:p>
        </w:tc>
      </w:tr>
      <w:tr w:rsidR="00A052DC" w14:paraId="558ACEC1" w14:textId="77777777">
        <w:trPr>
          <w:jc w:val="center"/>
        </w:trPr>
        <w:tc>
          <w:tcPr>
            <w:tcW w:w="2151" w:type="dxa"/>
            <w:vAlign w:val="center"/>
          </w:tcPr>
          <w:p w14:paraId="5100F181" w14:textId="77777777" w:rsidR="00A052DC" w:rsidRDefault="009F0A60">
            <w:pPr>
              <w:rPr>
                <w:rFonts w:ascii="黑体" w:eastAsia="黑体" w:hAnsi="黑体"/>
                <w:kern w:val="0"/>
                <w:sz w:val="20"/>
                <w:szCs w:val="20"/>
              </w:rPr>
            </w:pPr>
            <w:r>
              <w:rPr>
                <w:rFonts w:ascii="黑体" w:eastAsia="黑体" w:hAnsi="黑体" w:hint="eastAsia"/>
                <w:kern w:val="0"/>
                <w:sz w:val="20"/>
                <w:szCs w:val="20"/>
              </w:rPr>
              <w:t>银行卡类型</w:t>
            </w:r>
          </w:p>
        </w:tc>
        <w:tc>
          <w:tcPr>
            <w:tcW w:w="6379" w:type="dxa"/>
            <w:vAlign w:val="center"/>
          </w:tcPr>
          <w:p w14:paraId="2C3DAFB7" w14:textId="77777777" w:rsidR="00A052DC" w:rsidRDefault="009F0A60">
            <w:pPr>
              <w:rPr>
                <w:rFonts w:ascii="黑体" w:eastAsia="黑体" w:hAnsi="黑体"/>
                <w:kern w:val="0"/>
                <w:sz w:val="20"/>
                <w:szCs w:val="20"/>
              </w:rPr>
            </w:pPr>
            <w:r>
              <w:rPr>
                <w:rFonts w:ascii="黑体" w:eastAsia="黑体" w:hAnsi="黑体" w:hint="eastAsia"/>
                <w:kern w:val="0"/>
                <w:sz w:val="20"/>
                <w:szCs w:val="20"/>
              </w:rPr>
              <w:t>含</w:t>
            </w:r>
            <w:r>
              <w:rPr>
                <w:rFonts w:ascii="黑体" w:eastAsia="黑体" w:hAnsi="黑体"/>
                <w:kern w:val="0"/>
                <w:sz w:val="20"/>
                <w:szCs w:val="20"/>
              </w:rPr>
              <w:t>借记卡</w:t>
            </w:r>
            <w:r>
              <w:rPr>
                <w:rFonts w:ascii="黑体" w:eastAsia="黑体" w:hAnsi="黑体" w:hint="eastAsia"/>
                <w:kern w:val="0"/>
                <w:sz w:val="20"/>
                <w:szCs w:val="20"/>
              </w:rPr>
              <w:t>、贷记卡和准贷记卡。</w:t>
            </w:r>
          </w:p>
        </w:tc>
      </w:tr>
      <w:tr w:rsidR="00A052DC" w14:paraId="21395D9D" w14:textId="77777777">
        <w:trPr>
          <w:jc w:val="center"/>
        </w:trPr>
        <w:tc>
          <w:tcPr>
            <w:tcW w:w="2151" w:type="dxa"/>
            <w:vAlign w:val="center"/>
          </w:tcPr>
          <w:p w14:paraId="492AA2B2" w14:textId="77777777" w:rsidR="00A052DC" w:rsidRDefault="009F0A60">
            <w:pPr>
              <w:rPr>
                <w:rFonts w:ascii="黑体" w:eastAsia="黑体" w:hAnsi="黑体"/>
                <w:kern w:val="0"/>
                <w:sz w:val="20"/>
                <w:szCs w:val="20"/>
              </w:rPr>
            </w:pPr>
            <w:r>
              <w:rPr>
                <w:rFonts w:ascii="黑体" w:eastAsia="黑体" w:hAnsi="黑体" w:hint="eastAsia"/>
                <w:kern w:val="0"/>
                <w:sz w:val="20"/>
                <w:szCs w:val="20"/>
              </w:rPr>
              <w:t>银行卡清算渠道</w:t>
            </w:r>
          </w:p>
        </w:tc>
        <w:tc>
          <w:tcPr>
            <w:tcW w:w="6379" w:type="dxa"/>
            <w:vAlign w:val="center"/>
          </w:tcPr>
          <w:p w14:paraId="03B065AD" w14:textId="77777777" w:rsidR="00A052DC" w:rsidRDefault="009F0A60">
            <w:pPr>
              <w:rPr>
                <w:rFonts w:ascii="黑体" w:eastAsia="黑体" w:hAnsi="黑体"/>
                <w:kern w:val="0"/>
                <w:sz w:val="20"/>
                <w:szCs w:val="20"/>
              </w:rPr>
            </w:pPr>
            <w:r>
              <w:rPr>
                <w:rFonts w:ascii="黑体" w:eastAsia="黑体" w:hAnsi="黑体" w:hint="eastAsia"/>
                <w:kern w:val="0"/>
                <w:sz w:val="20"/>
                <w:szCs w:val="20"/>
              </w:rPr>
              <w:t>银行卡所使用的卡组织清算渠道或其他清算渠道，请按以下序号填列：</w:t>
            </w:r>
            <w:r>
              <w:rPr>
                <w:rFonts w:ascii="黑体" w:eastAsia="黑体" w:hAnsi="黑体"/>
                <w:kern w:val="0"/>
                <w:sz w:val="20"/>
                <w:szCs w:val="20"/>
              </w:rPr>
              <w:t>1-</w:t>
            </w:r>
            <w:r>
              <w:rPr>
                <w:rFonts w:ascii="黑体" w:eastAsia="黑体" w:hAnsi="黑体" w:hint="eastAsia"/>
                <w:kern w:val="0"/>
                <w:sz w:val="20"/>
                <w:szCs w:val="20"/>
              </w:rPr>
              <w:t>银联；</w:t>
            </w:r>
            <w:r>
              <w:rPr>
                <w:rFonts w:ascii="黑体" w:eastAsia="黑体" w:hAnsi="黑体"/>
                <w:kern w:val="0"/>
                <w:sz w:val="20"/>
                <w:szCs w:val="20"/>
              </w:rPr>
              <w:t>2-</w:t>
            </w:r>
            <w:r>
              <w:rPr>
                <w:rFonts w:ascii="黑体" w:eastAsia="黑体" w:hAnsi="黑体" w:hint="eastAsia"/>
                <w:kern w:val="0"/>
                <w:sz w:val="20"/>
                <w:szCs w:val="20"/>
              </w:rPr>
              <w:t>威士（</w:t>
            </w:r>
            <w:r>
              <w:rPr>
                <w:rFonts w:ascii="黑体" w:eastAsia="黑体" w:hAnsi="黑体"/>
                <w:kern w:val="0"/>
                <w:sz w:val="20"/>
                <w:szCs w:val="20"/>
              </w:rPr>
              <w:t>Visa</w:t>
            </w:r>
            <w:r>
              <w:rPr>
                <w:rFonts w:ascii="黑体" w:eastAsia="黑体" w:hAnsi="黑体" w:hint="eastAsia"/>
                <w:kern w:val="0"/>
                <w:sz w:val="20"/>
                <w:szCs w:val="20"/>
              </w:rPr>
              <w:t>）；</w:t>
            </w:r>
            <w:r>
              <w:rPr>
                <w:rFonts w:ascii="黑体" w:eastAsia="黑体" w:hAnsi="黑体"/>
                <w:kern w:val="0"/>
                <w:sz w:val="20"/>
                <w:szCs w:val="20"/>
              </w:rPr>
              <w:t>3-</w:t>
            </w:r>
            <w:r>
              <w:rPr>
                <w:rFonts w:ascii="黑体" w:eastAsia="黑体" w:hAnsi="黑体" w:hint="eastAsia"/>
                <w:kern w:val="0"/>
                <w:sz w:val="20"/>
                <w:szCs w:val="20"/>
              </w:rPr>
              <w:t>万事达（</w:t>
            </w:r>
            <w:r>
              <w:rPr>
                <w:rFonts w:ascii="黑体" w:eastAsia="黑体" w:hAnsi="黑体"/>
                <w:kern w:val="0"/>
                <w:sz w:val="20"/>
                <w:szCs w:val="20"/>
              </w:rPr>
              <w:t>Mastercard</w:t>
            </w:r>
            <w:r>
              <w:rPr>
                <w:rFonts w:ascii="黑体" w:eastAsia="黑体" w:hAnsi="黑体" w:hint="eastAsia"/>
                <w:kern w:val="0"/>
                <w:sz w:val="20"/>
                <w:szCs w:val="20"/>
              </w:rPr>
              <w:t>）；</w:t>
            </w:r>
            <w:r>
              <w:rPr>
                <w:rFonts w:ascii="黑体" w:eastAsia="黑体" w:hAnsi="黑体"/>
                <w:kern w:val="0"/>
                <w:sz w:val="20"/>
                <w:szCs w:val="20"/>
              </w:rPr>
              <w:t>4-</w:t>
            </w:r>
            <w:r>
              <w:rPr>
                <w:rFonts w:ascii="黑体" w:eastAsia="黑体" w:hAnsi="黑体" w:hint="eastAsia"/>
                <w:kern w:val="0"/>
                <w:sz w:val="20"/>
                <w:szCs w:val="20"/>
              </w:rPr>
              <w:t>美国运通（</w:t>
            </w:r>
            <w:r>
              <w:rPr>
                <w:rFonts w:ascii="黑体" w:eastAsia="黑体" w:hAnsi="黑体"/>
                <w:kern w:val="0"/>
                <w:sz w:val="20"/>
                <w:szCs w:val="20"/>
              </w:rPr>
              <w:t>AMERICAN EXPRESS</w:t>
            </w:r>
            <w:r>
              <w:rPr>
                <w:rFonts w:ascii="黑体" w:eastAsia="黑体" w:hAnsi="黑体" w:hint="eastAsia"/>
                <w:kern w:val="0"/>
                <w:sz w:val="20"/>
                <w:szCs w:val="20"/>
              </w:rPr>
              <w:t>）；</w:t>
            </w:r>
            <w:r>
              <w:rPr>
                <w:rFonts w:ascii="黑体" w:eastAsia="黑体" w:hAnsi="黑体"/>
                <w:kern w:val="0"/>
                <w:sz w:val="20"/>
                <w:szCs w:val="20"/>
              </w:rPr>
              <w:t>5-</w:t>
            </w:r>
            <w:r>
              <w:rPr>
                <w:rFonts w:ascii="黑体" w:eastAsia="黑体" w:hAnsi="黑体" w:hint="eastAsia"/>
                <w:kern w:val="0"/>
                <w:sz w:val="20"/>
                <w:szCs w:val="20"/>
              </w:rPr>
              <w:t>大来（</w:t>
            </w:r>
            <w:r>
              <w:rPr>
                <w:rFonts w:ascii="黑体" w:eastAsia="黑体" w:hAnsi="黑体"/>
                <w:kern w:val="0"/>
                <w:sz w:val="20"/>
                <w:szCs w:val="20"/>
              </w:rPr>
              <w:t>DINERS CLUB</w:t>
            </w:r>
            <w:r>
              <w:rPr>
                <w:rFonts w:ascii="黑体" w:eastAsia="黑体" w:hAnsi="黑体" w:hint="eastAsia"/>
                <w:kern w:val="0"/>
                <w:sz w:val="20"/>
                <w:szCs w:val="20"/>
              </w:rPr>
              <w:t>）；</w:t>
            </w:r>
            <w:r>
              <w:rPr>
                <w:rFonts w:ascii="黑体" w:eastAsia="黑体" w:hAnsi="黑体"/>
                <w:kern w:val="0"/>
                <w:sz w:val="20"/>
                <w:szCs w:val="20"/>
              </w:rPr>
              <w:t>6-</w:t>
            </w:r>
            <w:r>
              <w:rPr>
                <w:rFonts w:ascii="黑体" w:eastAsia="黑体" w:hAnsi="黑体" w:hint="eastAsia"/>
                <w:kern w:val="0"/>
                <w:sz w:val="20"/>
                <w:szCs w:val="20"/>
              </w:rPr>
              <w:t>吉士美（</w:t>
            </w:r>
            <w:r>
              <w:rPr>
                <w:rFonts w:ascii="黑体" w:eastAsia="黑体" w:hAnsi="黑体"/>
                <w:kern w:val="0"/>
                <w:sz w:val="20"/>
                <w:szCs w:val="20"/>
              </w:rPr>
              <w:t>JCB</w:t>
            </w:r>
            <w:r>
              <w:rPr>
                <w:rFonts w:ascii="黑体" w:eastAsia="黑体" w:hAnsi="黑体" w:hint="eastAsia"/>
                <w:kern w:val="0"/>
                <w:sz w:val="20"/>
                <w:szCs w:val="20"/>
              </w:rPr>
              <w:t>）；</w:t>
            </w:r>
            <w:r>
              <w:rPr>
                <w:rFonts w:ascii="黑体" w:eastAsia="黑体" w:hAnsi="黑体"/>
                <w:kern w:val="0"/>
                <w:sz w:val="20"/>
                <w:szCs w:val="20"/>
              </w:rPr>
              <w:t>7-</w:t>
            </w:r>
            <w:r>
              <w:rPr>
                <w:rFonts w:ascii="黑体" w:eastAsia="黑体" w:hAnsi="黑体" w:hint="eastAsia"/>
                <w:kern w:val="0"/>
                <w:sz w:val="20"/>
                <w:szCs w:val="20"/>
              </w:rPr>
              <w:t>发卡行自行清算；</w:t>
            </w:r>
            <w:r w:rsidR="00A052DC" w:rsidRPr="009F0A60">
              <w:rPr>
                <w:rFonts w:ascii="黑体" w:eastAsia="黑体" w:hAnsi="黑体"/>
                <w:kern w:val="0"/>
                <w:sz w:val="20"/>
                <w:szCs w:val="20"/>
              </w:rPr>
              <w:t>9-连通；8-</w:t>
            </w:r>
            <w:r w:rsidR="00A052DC" w:rsidRPr="009F0A60">
              <w:rPr>
                <w:rFonts w:ascii="黑体" w:eastAsia="黑体" w:hAnsi="黑体" w:hint="eastAsia"/>
                <w:kern w:val="0"/>
                <w:sz w:val="20"/>
                <w:szCs w:val="20"/>
              </w:rPr>
              <w:t>其他。</w:t>
            </w:r>
          </w:p>
        </w:tc>
      </w:tr>
      <w:tr w:rsidR="00A052DC" w14:paraId="4C210B79" w14:textId="77777777">
        <w:trPr>
          <w:jc w:val="center"/>
        </w:trPr>
        <w:tc>
          <w:tcPr>
            <w:tcW w:w="2151" w:type="dxa"/>
            <w:vAlign w:val="center"/>
          </w:tcPr>
          <w:p w14:paraId="30C9199E" w14:textId="77777777" w:rsidR="00A052DC" w:rsidRDefault="009F0A60">
            <w:pPr>
              <w:rPr>
                <w:rFonts w:ascii="黑体" w:eastAsia="黑体" w:hAnsi="黑体"/>
                <w:kern w:val="0"/>
                <w:sz w:val="20"/>
                <w:szCs w:val="20"/>
              </w:rPr>
            </w:pPr>
            <w:r>
              <w:rPr>
                <w:rFonts w:ascii="黑体" w:eastAsia="黑体" w:hAnsi="黑体" w:hint="eastAsia"/>
                <w:kern w:val="0"/>
                <w:sz w:val="20"/>
                <w:szCs w:val="20"/>
              </w:rPr>
              <w:t>发卡行金融机构代码</w:t>
            </w:r>
          </w:p>
        </w:tc>
        <w:tc>
          <w:tcPr>
            <w:tcW w:w="6379" w:type="dxa"/>
            <w:vAlign w:val="center"/>
          </w:tcPr>
          <w:p w14:paraId="2DE8841D" w14:textId="77777777" w:rsidR="00A052DC" w:rsidRDefault="009F0A60">
            <w:pPr>
              <w:rPr>
                <w:rFonts w:ascii="黑体" w:eastAsia="黑体" w:hAnsi="黑体"/>
                <w:kern w:val="0"/>
                <w:sz w:val="20"/>
                <w:szCs w:val="20"/>
              </w:rPr>
            </w:pPr>
            <w:r>
              <w:rPr>
                <w:rFonts w:ascii="黑体" w:eastAsia="黑体" w:hAnsi="黑体" w:hint="eastAsia"/>
                <w:kern w:val="0"/>
                <w:sz w:val="20"/>
                <w:szCs w:val="20"/>
              </w:rPr>
              <w:t>由国家外汇管理局编制的金融机构代码。填写发卡行的金融机构代码。</w:t>
            </w:r>
          </w:p>
        </w:tc>
      </w:tr>
      <w:tr w:rsidR="00A052DC" w14:paraId="39E982AF" w14:textId="77777777">
        <w:trPr>
          <w:trHeight w:val="520"/>
          <w:jc w:val="center"/>
        </w:trPr>
        <w:tc>
          <w:tcPr>
            <w:tcW w:w="2151" w:type="dxa"/>
            <w:vAlign w:val="center"/>
          </w:tcPr>
          <w:p w14:paraId="2AC210FA" w14:textId="77777777" w:rsidR="00A052DC" w:rsidRDefault="009F0A60">
            <w:pPr>
              <w:rPr>
                <w:rFonts w:ascii="黑体" w:eastAsia="黑体" w:hAnsi="黑体"/>
                <w:kern w:val="0"/>
                <w:sz w:val="20"/>
                <w:szCs w:val="20"/>
              </w:rPr>
            </w:pPr>
            <w:r>
              <w:rPr>
                <w:rFonts w:ascii="黑体" w:eastAsia="黑体" w:hAnsi="黑体" w:hint="eastAsia"/>
                <w:kern w:val="0"/>
                <w:sz w:val="20"/>
                <w:szCs w:val="20"/>
              </w:rPr>
              <w:t>发卡网点所在地外汇局代码</w:t>
            </w:r>
          </w:p>
        </w:tc>
        <w:tc>
          <w:tcPr>
            <w:tcW w:w="6379" w:type="dxa"/>
            <w:vAlign w:val="center"/>
          </w:tcPr>
          <w:p w14:paraId="72120F7F" w14:textId="77777777" w:rsidR="00A052DC" w:rsidRDefault="009F0A60">
            <w:pPr>
              <w:rPr>
                <w:rFonts w:ascii="黑体" w:eastAsia="黑体" w:hAnsi="黑体"/>
                <w:kern w:val="0"/>
                <w:sz w:val="20"/>
                <w:szCs w:val="20"/>
              </w:rPr>
            </w:pPr>
            <w:r>
              <w:rPr>
                <w:rFonts w:ascii="黑体" w:eastAsia="黑体" w:hAnsi="黑体" w:hint="eastAsia"/>
                <w:kern w:val="0"/>
                <w:sz w:val="20"/>
                <w:szCs w:val="20"/>
              </w:rPr>
              <w:t>填写发卡行所在地外汇局</w:t>
            </w:r>
            <w:r>
              <w:rPr>
                <w:rFonts w:ascii="黑体" w:eastAsia="黑体" w:hAnsi="黑体"/>
                <w:kern w:val="0"/>
                <w:sz w:val="20"/>
                <w:szCs w:val="20"/>
              </w:rPr>
              <w:t>6</w:t>
            </w:r>
            <w:r>
              <w:rPr>
                <w:rFonts w:ascii="黑体" w:eastAsia="黑体" w:hAnsi="黑体" w:hint="eastAsia"/>
                <w:kern w:val="0"/>
                <w:sz w:val="20"/>
                <w:szCs w:val="20"/>
              </w:rPr>
              <w:t>位代码，如果金融机构所在地没有外汇局，填写该地区上级外汇局</w:t>
            </w:r>
            <w:r>
              <w:rPr>
                <w:rFonts w:ascii="黑体" w:eastAsia="黑体" w:hAnsi="黑体"/>
                <w:kern w:val="0"/>
                <w:sz w:val="20"/>
                <w:szCs w:val="20"/>
              </w:rPr>
              <w:t>6位代码。信用卡若无法区分发卡网点，则填写卡中心所在地外汇局代码。</w:t>
            </w:r>
          </w:p>
        </w:tc>
      </w:tr>
      <w:tr w:rsidR="00A052DC" w14:paraId="4E4ABA10" w14:textId="77777777">
        <w:trPr>
          <w:trHeight w:val="444"/>
          <w:jc w:val="center"/>
        </w:trPr>
        <w:tc>
          <w:tcPr>
            <w:tcW w:w="2151" w:type="dxa"/>
            <w:tcBorders>
              <w:bottom w:val="single" w:sz="4" w:space="0" w:color="auto"/>
            </w:tcBorders>
            <w:vAlign w:val="center"/>
          </w:tcPr>
          <w:p w14:paraId="4E473DAE" w14:textId="77777777" w:rsidR="00A052DC" w:rsidRDefault="009F0A60">
            <w:pPr>
              <w:rPr>
                <w:rFonts w:ascii="黑体" w:eastAsia="黑体" w:hAnsi="黑体"/>
                <w:kern w:val="0"/>
                <w:sz w:val="20"/>
                <w:szCs w:val="20"/>
              </w:rPr>
            </w:pPr>
            <w:r>
              <w:rPr>
                <w:rFonts w:ascii="黑体" w:eastAsia="黑体" w:hAnsi="黑体" w:hint="eastAsia"/>
                <w:kern w:val="0"/>
                <w:sz w:val="20"/>
                <w:szCs w:val="20"/>
              </w:rPr>
              <w:t>交易授权日期及时间</w:t>
            </w:r>
          </w:p>
        </w:tc>
        <w:tc>
          <w:tcPr>
            <w:tcW w:w="6379" w:type="dxa"/>
            <w:tcBorders>
              <w:bottom w:val="single" w:sz="4" w:space="0" w:color="auto"/>
            </w:tcBorders>
            <w:vAlign w:val="center"/>
          </w:tcPr>
          <w:p w14:paraId="1E160857" w14:textId="77777777" w:rsidR="00A052DC" w:rsidRDefault="009F0A60">
            <w:pPr>
              <w:rPr>
                <w:rFonts w:ascii="黑体" w:eastAsia="黑体" w:hAnsi="黑体"/>
                <w:kern w:val="0"/>
                <w:sz w:val="20"/>
                <w:szCs w:val="20"/>
              </w:rPr>
            </w:pPr>
            <w:r>
              <w:rPr>
                <w:rFonts w:ascii="黑体" w:eastAsia="黑体" w:hAnsi="黑体"/>
                <w:kern w:val="0"/>
                <w:sz w:val="20"/>
                <w:szCs w:val="20"/>
              </w:rPr>
              <w:t>交易授权日期和时间，</w:t>
            </w:r>
            <w:r>
              <w:rPr>
                <w:rFonts w:ascii="黑体" w:eastAsia="黑体" w:hAnsi="黑体" w:hint="eastAsia"/>
                <w:kern w:val="0"/>
                <w:sz w:val="20"/>
                <w:szCs w:val="20"/>
              </w:rPr>
              <w:t>格式为</w:t>
            </w:r>
            <w:r>
              <w:rPr>
                <w:rFonts w:ascii="黑体" w:eastAsia="黑体" w:hAnsi="黑体"/>
                <w:kern w:val="0"/>
                <w:sz w:val="20"/>
                <w:szCs w:val="20"/>
              </w:rPr>
              <w:t>yyyy-mm-dd HH:MM:SS</w:t>
            </w:r>
            <w:r>
              <w:rPr>
                <w:rFonts w:ascii="黑体" w:eastAsia="黑体" w:hAnsi="黑体" w:hint="eastAsia"/>
                <w:kern w:val="0"/>
                <w:sz w:val="20"/>
                <w:szCs w:val="20"/>
              </w:rPr>
              <w:t>。如无法获取交易授权日期和时间，可选择清算日期和时间填列。</w:t>
            </w:r>
          </w:p>
        </w:tc>
      </w:tr>
      <w:tr w:rsidR="00A052DC" w14:paraId="566195C9" w14:textId="77777777">
        <w:trPr>
          <w:trHeight w:val="315"/>
          <w:jc w:val="center"/>
        </w:trPr>
        <w:tc>
          <w:tcPr>
            <w:tcW w:w="2151" w:type="dxa"/>
            <w:tcBorders>
              <w:top w:val="single" w:sz="4" w:space="0" w:color="auto"/>
            </w:tcBorders>
            <w:vAlign w:val="center"/>
          </w:tcPr>
          <w:p w14:paraId="23D0C417" w14:textId="77777777" w:rsidR="00A052DC" w:rsidRDefault="009F0A60">
            <w:pPr>
              <w:rPr>
                <w:rFonts w:ascii="黑体" w:eastAsia="黑体" w:hAnsi="黑体"/>
                <w:kern w:val="0"/>
                <w:sz w:val="20"/>
                <w:szCs w:val="20"/>
              </w:rPr>
            </w:pPr>
            <w:r>
              <w:rPr>
                <w:rFonts w:ascii="黑体" w:eastAsia="黑体" w:hAnsi="黑体" w:hint="eastAsia"/>
                <w:kern w:val="0"/>
                <w:sz w:val="20"/>
                <w:szCs w:val="20"/>
              </w:rPr>
              <w:t>交易国家或地区</w:t>
            </w:r>
          </w:p>
        </w:tc>
        <w:tc>
          <w:tcPr>
            <w:tcW w:w="6379" w:type="dxa"/>
            <w:tcBorders>
              <w:top w:val="single" w:sz="4" w:space="0" w:color="auto"/>
            </w:tcBorders>
            <w:vAlign w:val="center"/>
          </w:tcPr>
          <w:p w14:paraId="1AFF7CC0" w14:textId="77777777" w:rsidR="00A052DC" w:rsidRDefault="009F0A60">
            <w:pPr>
              <w:rPr>
                <w:rFonts w:ascii="黑体" w:eastAsia="黑体" w:hAnsi="黑体"/>
                <w:kern w:val="0"/>
                <w:sz w:val="20"/>
                <w:szCs w:val="20"/>
              </w:rPr>
            </w:pPr>
            <w:r>
              <w:rPr>
                <w:rFonts w:ascii="黑体" w:eastAsia="黑体" w:hAnsi="黑体"/>
                <w:kern w:val="0"/>
                <w:sz w:val="20"/>
                <w:szCs w:val="20"/>
              </w:rPr>
              <w:t>指境外</w:t>
            </w:r>
            <w:r>
              <w:rPr>
                <w:rFonts w:ascii="黑体" w:eastAsia="黑体" w:hAnsi="黑体" w:hint="eastAsia"/>
                <w:kern w:val="0"/>
                <w:sz w:val="20"/>
                <w:szCs w:val="20"/>
              </w:rPr>
              <w:t>消费</w:t>
            </w:r>
            <w:r>
              <w:rPr>
                <w:rFonts w:ascii="黑体" w:eastAsia="黑体" w:hAnsi="黑体"/>
                <w:kern w:val="0"/>
                <w:sz w:val="20"/>
                <w:szCs w:val="20"/>
              </w:rPr>
              <w:t>所在地</w:t>
            </w:r>
            <w:r>
              <w:rPr>
                <w:rFonts w:ascii="黑体" w:eastAsia="黑体" w:hAnsi="黑体"/>
                <w:sz w:val="20"/>
                <w:szCs w:val="20"/>
              </w:rPr>
              <w:t>。</w:t>
            </w:r>
          </w:p>
        </w:tc>
      </w:tr>
      <w:tr w:rsidR="00A052DC" w14:paraId="15D962B2" w14:textId="77777777">
        <w:trPr>
          <w:jc w:val="center"/>
        </w:trPr>
        <w:tc>
          <w:tcPr>
            <w:tcW w:w="2151" w:type="dxa"/>
            <w:vAlign w:val="center"/>
          </w:tcPr>
          <w:p w14:paraId="78BC1728" w14:textId="77777777" w:rsidR="00A052DC" w:rsidRDefault="009F0A60">
            <w:pPr>
              <w:rPr>
                <w:rFonts w:ascii="黑体" w:eastAsia="黑体" w:hAnsi="黑体"/>
                <w:kern w:val="0"/>
                <w:sz w:val="20"/>
                <w:szCs w:val="20"/>
              </w:rPr>
            </w:pPr>
            <w:r>
              <w:rPr>
                <w:rFonts w:ascii="黑体" w:eastAsia="黑体" w:hAnsi="黑体" w:hint="eastAsia"/>
                <w:kern w:val="0"/>
                <w:sz w:val="20"/>
                <w:szCs w:val="20"/>
              </w:rPr>
              <w:t>银行内部流水号</w:t>
            </w:r>
          </w:p>
        </w:tc>
        <w:tc>
          <w:tcPr>
            <w:tcW w:w="6379" w:type="dxa"/>
            <w:vAlign w:val="center"/>
          </w:tcPr>
          <w:p w14:paraId="62D1633F" w14:textId="77777777" w:rsidR="00A052DC" w:rsidRDefault="009F0A60">
            <w:pPr>
              <w:rPr>
                <w:rFonts w:ascii="黑体" w:eastAsia="黑体" w:hAnsi="黑体"/>
                <w:kern w:val="0"/>
                <w:sz w:val="20"/>
                <w:szCs w:val="20"/>
              </w:rPr>
            </w:pPr>
            <w:r>
              <w:rPr>
                <w:rFonts w:ascii="黑体" w:eastAsia="黑体" w:hAnsi="黑体" w:hint="eastAsia"/>
                <w:kern w:val="0"/>
                <w:sz w:val="20"/>
                <w:szCs w:val="20"/>
              </w:rPr>
              <w:t>指</w:t>
            </w:r>
            <w:r>
              <w:rPr>
                <w:rFonts w:ascii="黑体" w:eastAsia="黑体" w:hAnsi="黑体"/>
                <w:kern w:val="0"/>
                <w:sz w:val="20"/>
                <w:szCs w:val="20"/>
              </w:rPr>
              <w:t>银行业务系统的</w:t>
            </w:r>
            <w:r>
              <w:rPr>
                <w:rFonts w:ascii="黑体" w:eastAsia="黑体" w:hAnsi="黑体" w:hint="eastAsia"/>
                <w:kern w:val="0"/>
                <w:sz w:val="20"/>
                <w:szCs w:val="20"/>
              </w:rPr>
              <w:t>内部</w:t>
            </w:r>
            <w:r>
              <w:rPr>
                <w:rFonts w:ascii="黑体" w:eastAsia="黑体" w:hAnsi="黑体"/>
                <w:kern w:val="0"/>
                <w:sz w:val="20"/>
                <w:szCs w:val="20"/>
              </w:rPr>
              <w:t>流水号。</w:t>
            </w:r>
          </w:p>
        </w:tc>
      </w:tr>
      <w:tr w:rsidR="00A052DC" w14:paraId="0E3CAD74" w14:textId="77777777">
        <w:trPr>
          <w:jc w:val="center"/>
        </w:trPr>
        <w:tc>
          <w:tcPr>
            <w:tcW w:w="2151" w:type="dxa"/>
            <w:vAlign w:val="center"/>
          </w:tcPr>
          <w:p w14:paraId="4FAC1557" w14:textId="77777777" w:rsidR="00A052DC" w:rsidRDefault="009F0A60">
            <w:pPr>
              <w:rPr>
                <w:rFonts w:ascii="黑体" w:eastAsia="黑体" w:hAnsi="黑体"/>
                <w:kern w:val="0"/>
                <w:sz w:val="20"/>
                <w:szCs w:val="20"/>
              </w:rPr>
            </w:pPr>
            <w:r>
              <w:rPr>
                <w:rFonts w:ascii="黑体" w:eastAsia="黑体" w:hAnsi="黑体" w:hint="eastAsia"/>
                <w:kern w:val="0"/>
                <w:sz w:val="20"/>
                <w:szCs w:val="20"/>
              </w:rPr>
              <w:t>卡组织单号</w:t>
            </w:r>
          </w:p>
        </w:tc>
        <w:tc>
          <w:tcPr>
            <w:tcW w:w="6379" w:type="dxa"/>
            <w:vAlign w:val="center"/>
          </w:tcPr>
          <w:p w14:paraId="17BB79CF" w14:textId="77777777" w:rsidR="00A052DC" w:rsidRDefault="009F0A60">
            <w:pPr>
              <w:rPr>
                <w:rFonts w:ascii="黑体" w:eastAsia="黑体" w:hAnsi="黑体"/>
                <w:kern w:val="0"/>
                <w:sz w:val="20"/>
                <w:szCs w:val="20"/>
              </w:rPr>
            </w:pPr>
            <w:r>
              <w:rPr>
                <w:rFonts w:ascii="黑体" w:eastAsia="黑体" w:hAnsi="黑体"/>
                <w:color w:val="000000"/>
                <w:kern w:val="0"/>
                <w:sz w:val="20"/>
                <w:szCs w:val="20"/>
              </w:rPr>
              <w:t>指银行卡清算组织交易授权文件中的唯一标识业务编号。</w:t>
            </w:r>
          </w:p>
        </w:tc>
      </w:tr>
      <w:tr w:rsidR="00A052DC" w14:paraId="3CBDD75F" w14:textId="77777777">
        <w:trPr>
          <w:jc w:val="center"/>
        </w:trPr>
        <w:tc>
          <w:tcPr>
            <w:tcW w:w="2151" w:type="dxa"/>
            <w:vAlign w:val="center"/>
          </w:tcPr>
          <w:p w14:paraId="48D6F7E8" w14:textId="77777777" w:rsidR="00A052DC" w:rsidRDefault="009F0A60">
            <w:pPr>
              <w:rPr>
                <w:rFonts w:ascii="黑体" w:eastAsia="黑体" w:hAnsi="黑体"/>
                <w:kern w:val="0"/>
                <w:sz w:val="20"/>
                <w:szCs w:val="20"/>
              </w:rPr>
            </w:pPr>
            <w:r>
              <w:rPr>
                <w:rFonts w:ascii="黑体" w:eastAsia="黑体" w:hAnsi="黑体" w:hint="eastAsia"/>
                <w:kern w:val="0"/>
                <w:sz w:val="20"/>
                <w:szCs w:val="20"/>
              </w:rPr>
              <w:t>交易商户名称</w:t>
            </w:r>
          </w:p>
        </w:tc>
        <w:tc>
          <w:tcPr>
            <w:tcW w:w="6379" w:type="dxa"/>
            <w:vAlign w:val="center"/>
          </w:tcPr>
          <w:p w14:paraId="79F16508" w14:textId="77777777" w:rsidR="00A052DC" w:rsidRDefault="009F0A60">
            <w:pPr>
              <w:rPr>
                <w:rFonts w:ascii="黑体" w:eastAsia="黑体" w:hAnsi="黑体"/>
                <w:kern w:val="0"/>
                <w:sz w:val="20"/>
                <w:szCs w:val="20"/>
              </w:rPr>
            </w:pPr>
            <w:r>
              <w:rPr>
                <w:rFonts w:ascii="黑体" w:eastAsia="黑体" w:hAnsi="黑体" w:hint="eastAsia"/>
                <w:kern w:val="0"/>
                <w:sz w:val="20"/>
                <w:szCs w:val="20"/>
              </w:rPr>
              <w:t>指交易商户的全称。</w:t>
            </w:r>
          </w:p>
        </w:tc>
      </w:tr>
      <w:tr w:rsidR="00A052DC" w14:paraId="70C5B791" w14:textId="77777777">
        <w:trPr>
          <w:jc w:val="center"/>
        </w:trPr>
        <w:tc>
          <w:tcPr>
            <w:tcW w:w="2151" w:type="dxa"/>
            <w:vAlign w:val="center"/>
          </w:tcPr>
          <w:p w14:paraId="59FC2DE7" w14:textId="77777777" w:rsidR="00A052DC" w:rsidRDefault="009F0A60">
            <w:pPr>
              <w:rPr>
                <w:rFonts w:ascii="黑体" w:eastAsia="黑体" w:hAnsi="黑体"/>
                <w:kern w:val="0"/>
                <w:sz w:val="20"/>
                <w:szCs w:val="20"/>
              </w:rPr>
            </w:pPr>
            <w:r>
              <w:rPr>
                <w:rFonts w:ascii="黑体" w:eastAsia="黑体" w:hAnsi="黑体" w:hint="eastAsia"/>
                <w:kern w:val="0"/>
                <w:sz w:val="20"/>
                <w:szCs w:val="20"/>
              </w:rPr>
              <w:t>交易商户类型</w:t>
            </w:r>
          </w:p>
        </w:tc>
        <w:tc>
          <w:tcPr>
            <w:tcW w:w="6379" w:type="dxa"/>
            <w:vAlign w:val="center"/>
          </w:tcPr>
          <w:p w14:paraId="3A79E151" w14:textId="77777777" w:rsidR="00A052DC" w:rsidRDefault="009F0A60">
            <w:pPr>
              <w:rPr>
                <w:rFonts w:ascii="黑体" w:eastAsia="黑体" w:hAnsi="黑体"/>
                <w:kern w:val="0"/>
                <w:sz w:val="20"/>
                <w:szCs w:val="20"/>
              </w:rPr>
            </w:pPr>
            <w:r>
              <w:rPr>
                <w:rFonts w:ascii="黑体" w:eastAsia="黑体" w:hAnsi="黑体" w:hint="eastAsia"/>
                <w:kern w:val="0"/>
                <w:sz w:val="20"/>
                <w:szCs w:val="20"/>
              </w:rPr>
              <w:t>指交易商户的类型，包括实体商户和网络商户。</w:t>
            </w:r>
          </w:p>
        </w:tc>
      </w:tr>
    </w:tbl>
    <w:p w14:paraId="6C201907" w14:textId="77777777" w:rsidR="00A052DC" w:rsidRDefault="009F0A60">
      <w:pPr>
        <w:pStyle w:val="4"/>
        <w:numPr>
          <w:ilvl w:val="3"/>
          <w:numId w:val="1"/>
        </w:numPr>
        <w:jc w:val="left"/>
      </w:pPr>
      <w:r>
        <w:rPr>
          <w:rFonts w:hint="eastAsia"/>
        </w:rPr>
        <w:t>数据格式</w:t>
      </w:r>
    </w:p>
    <w:p w14:paraId="266D1C5A" w14:textId="77777777" w:rsidR="00A052DC" w:rsidRDefault="009F0A60">
      <w:pPr>
        <w:ind w:firstLine="482"/>
        <w:rPr>
          <w:szCs w:val="21"/>
        </w:rPr>
      </w:pPr>
      <w:r>
        <w:rPr>
          <w:szCs w:val="21"/>
        </w:rPr>
        <w:t>&lt; REC &gt;</w:t>
      </w:r>
    </w:p>
    <w:p w14:paraId="42E57772" w14:textId="77777777" w:rsidR="00A052DC" w:rsidRDefault="009F0A60">
      <w:pPr>
        <w:ind w:firstLine="482"/>
        <w:rPr>
          <w:szCs w:val="21"/>
        </w:rPr>
      </w:pPr>
      <w:r>
        <w:rPr>
          <w:szCs w:val="21"/>
        </w:rPr>
        <w:t>&lt; OPER_TYPE_CODE&gt;</w:t>
      </w:r>
      <w:r>
        <w:rPr>
          <w:szCs w:val="21"/>
        </w:rPr>
        <w:t>操作类型</w:t>
      </w:r>
      <w:r>
        <w:rPr>
          <w:szCs w:val="21"/>
        </w:rPr>
        <w:t>&lt;/OPER_TYPE_CODE&gt;</w:t>
      </w:r>
    </w:p>
    <w:p w14:paraId="78242694" w14:textId="77777777" w:rsidR="00A052DC" w:rsidRDefault="009F0A60">
      <w:pPr>
        <w:ind w:firstLine="482"/>
        <w:rPr>
          <w:szCs w:val="21"/>
        </w:rPr>
      </w:pPr>
      <w:r>
        <w:rPr>
          <w:szCs w:val="21"/>
        </w:rPr>
        <w:t>&lt; REASON_CODE&gt;</w:t>
      </w:r>
      <w:r>
        <w:rPr>
          <w:szCs w:val="21"/>
        </w:rPr>
        <w:t>修改</w:t>
      </w:r>
      <w:r>
        <w:rPr>
          <w:szCs w:val="21"/>
        </w:rPr>
        <w:t>/</w:t>
      </w:r>
      <w:r>
        <w:rPr>
          <w:szCs w:val="21"/>
        </w:rPr>
        <w:t>删除原因</w:t>
      </w:r>
      <w:r>
        <w:rPr>
          <w:szCs w:val="21"/>
        </w:rPr>
        <w:t>&lt;/ REASON_CODE&gt;</w:t>
      </w:r>
    </w:p>
    <w:p w14:paraId="1DE8F7A0" w14:textId="77777777" w:rsidR="00A052DC" w:rsidRDefault="009F0A60">
      <w:pPr>
        <w:ind w:firstLine="482"/>
        <w:rPr>
          <w:szCs w:val="21"/>
        </w:rPr>
      </w:pPr>
      <w:r>
        <w:rPr>
          <w:szCs w:val="21"/>
        </w:rPr>
        <w:t>&lt;REFNO &gt;</w:t>
      </w:r>
      <w:r>
        <w:rPr>
          <w:szCs w:val="21"/>
        </w:rPr>
        <w:t>业务参号</w:t>
      </w:r>
      <w:r>
        <w:rPr>
          <w:szCs w:val="21"/>
        </w:rPr>
        <w:t>&lt;/REFNO &gt;</w:t>
      </w:r>
    </w:p>
    <w:p w14:paraId="0D707258" w14:textId="77777777" w:rsidR="00A052DC" w:rsidRDefault="009F0A60">
      <w:pPr>
        <w:ind w:firstLine="482"/>
        <w:rPr>
          <w:szCs w:val="21"/>
        </w:rPr>
      </w:pPr>
      <w:r>
        <w:rPr>
          <w:szCs w:val="21"/>
        </w:rPr>
        <w:t>&lt;CERT_TYPE_CODE &gt;</w:t>
      </w:r>
      <w:r>
        <w:rPr>
          <w:szCs w:val="21"/>
        </w:rPr>
        <w:t>持卡人身份证件类型</w:t>
      </w:r>
      <w:r>
        <w:rPr>
          <w:szCs w:val="21"/>
        </w:rPr>
        <w:t>&lt;/CERT_TYPE_CODE &gt;</w:t>
      </w:r>
    </w:p>
    <w:p w14:paraId="2DDF5CCE" w14:textId="77777777" w:rsidR="00563761" w:rsidRDefault="006C7F1A" w:rsidP="0020251D">
      <w:pPr>
        <w:rPr>
          <w:szCs w:val="21"/>
        </w:rPr>
      </w:pPr>
      <w:r w:rsidRPr="006C7F1A">
        <w:rPr>
          <w:rFonts w:hint="eastAsia"/>
          <w:szCs w:val="21"/>
        </w:rPr>
        <w:t>&lt;PTY_COUNTRY_CODE &gt;</w:t>
      </w:r>
      <w:r w:rsidRPr="006C7F1A">
        <w:rPr>
          <w:rFonts w:hint="eastAsia"/>
          <w:szCs w:val="21"/>
        </w:rPr>
        <w:t>持卡人国家</w:t>
      </w:r>
      <w:r w:rsidRPr="006C7F1A">
        <w:rPr>
          <w:rFonts w:hint="eastAsia"/>
          <w:szCs w:val="21"/>
        </w:rPr>
        <w:t>/</w:t>
      </w:r>
      <w:r w:rsidRPr="006C7F1A">
        <w:rPr>
          <w:rFonts w:hint="eastAsia"/>
          <w:szCs w:val="21"/>
        </w:rPr>
        <w:t>地区</w:t>
      </w:r>
      <w:r w:rsidRPr="006C7F1A">
        <w:rPr>
          <w:rFonts w:hint="eastAsia"/>
          <w:szCs w:val="21"/>
        </w:rPr>
        <w:t>&lt;/PTY_COUNTRY_CODE &gt;</w:t>
      </w:r>
    </w:p>
    <w:p w14:paraId="6CF82592" w14:textId="77777777" w:rsidR="00A052DC" w:rsidRDefault="009F0A60">
      <w:pPr>
        <w:ind w:firstLine="482"/>
        <w:rPr>
          <w:szCs w:val="21"/>
        </w:rPr>
      </w:pPr>
      <w:r>
        <w:rPr>
          <w:szCs w:val="21"/>
        </w:rPr>
        <w:t>&lt; ID_CODE &gt;</w:t>
      </w:r>
      <w:r>
        <w:rPr>
          <w:szCs w:val="21"/>
        </w:rPr>
        <w:t>身份证件号码</w:t>
      </w:r>
      <w:r>
        <w:rPr>
          <w:szCs w:val="21"/>
        </w:rPr>
        <w:t>&lt;/ ID_CODE &gt;</w:t>
      </w:r>
    </w:p>
    <w:p w14:paraId="06C650F9" w14:textId="77777777" w:rsidR="00A052DC" w:rsidRDefault="009F0A60">
      <w:pPr>
        <w:ind w:firstLine="482"/>
        <w:rPr>
          <w:szCs w:val="21"/>
        </w:rPr>
      </w:pPr>
      <w:r>
        <w:rPr>
          <w:szCs w:val="21"/>
        </w:rPr>
        <w:t>&lt; PERSON_NAME &gt;</w:t>
      </w:r>
      <w:r>
        <w:rPr>
          <w:szCs w:val="21"/>
        </w:rPr>
        <w:t>持卡人姓名</w:t>
      </w:r>
      <w:r>
        <w:rPr>
          <w:szCs w:val="21"/>
        </w:rPr>
        <w:t>&lt;/ PERSON_NAME &gt;</w:t>
      </w:r>
    </w:p>
    <w:p w14:paraId="011D088C" w14:textId="77777777" w:rsidR="00A052DC" w:rsidRDefault="009F0A60">
      <w:pPr>
        <w:ind w:firstLine="482"/>
        <w:rPr>
          <w:szCs w:val="21"/>
        </w:rPr>
      </w:pPr>
      <w:r>
        <w:rPr>
          <w:szCs w:val="21"/>
        </w:rPr>
        <w:t>&lt;ACCTNO &gt;</w:t>
      </w:r>
      <w:r>
        <w:rPr>
          <w:szCs w:val="21"/>
        </w:rPr>
        <w:t>卡号</w:t>
      </w:r>
      <w:r>
        <w:rPr>
          <w:szCs w:val="21"/>
        </w:rPr>
        <w:t>&lt;/ACCTNO &gt;</w:t>
      </w:r>
    </w:p>
    <w:p w14:paraId="51DD9D27" w14:textId="77777777" w:rsidR="00A052DC" w:rsidRDefault="009F0A60">
      <w:pPr>
        <w:ind w:firstLine="482"/>
        <w:rPr>
          <w:szCs w:val="21"/>
        </w:rPr>
      </w:pPr>
      <w:r>
        <w:rPr>
          <w:szCs w:val="21"/>
        </w:rPr>
        <w:t>&lt; JY_ CCY_CODE &gt;</w:t>
      </w:r>
      <w:r>
        <w:rPr>
          <w:szCs w:val="21"/>
        </w:rPr>
        <w:t>交易货币币种</w:t>
      </w:r>
      <w:r>
        <w:rPr>
          <w:szCs w:val="21"/>
        </w:rPr>
        <w:t>&lt;/ JY_ CCY_CODE &gt;</w:t>
      </w:r>
    </w:p>
    <w:p w14:paraId="3DE2C726" w14:textId="77777777" w:rsidR="00A052DC" w:rsidRDefault="009F0A60">
      <w:pPr>
        <w:ind w:firstLine="482"/>
        <w:rPr>
          <w:szCs w:val="21"/>
        </w:rPr>
      </w:pPr>
      <w:r>
        <w:rPr>
          <w:szCs w:val="21"/>
        </w:rPr>
        <w:t>&lt; JY_AMT &gt;</w:t>
      </w:r>
      <w:r>
        <w:rPr>
          <w:szCs w:val="21"/>
        </w:rPr>
        <w:t>交易货币金额</w:t>
      </w:r>
      <w:r>
        <w:rPr>
          <w:szCs w:val="21"/>
        </w:rPr>
        <w:t>&lt;/ JY_AMT &gt;</w:t>
      </w:r>
    </w:p>
    <w:p w14:paraId="3FFEC3E9" w14:textId="77777777" w:rsidR="00A052DC" w:rsidRDefault="009F0A60">
      <w:pPr>
        <w:ind w:firstLine="482"/>
        <w:rPr>
          <w:szCs w:val="21"/>
        </w:rPr>
      </w:pPr>
      <w:r>
        <w:rPr>
          <w:szCs w:val="21"/>
        </w:rPr>
        <w:t>&lt; QS_AMT_RMB &gt;</w:t>
      </w:r>
      <w:r>
        <w:rPr>
          <w:szCs w:val="21"/>
        </w:rPr>
        <w:t>交易货币折人民币金额</w:t>
      </w:r>
      <w:r>
        <w:rPr>
          <w:szCs w:val="21"/>
        </w:rPr>
        <w:t>&lt;/ QS_AMT_RMB &gt;</w:t>
      </w:r>
    </w:p>
    <w:p w14:paraId="2BAEA9F2" w14:textId="77777777" w:rsidR="00A052DC" w:rsidRDefault="009F0A60">
      <w:pPr>
        <w:ind w:firstLine="482"/>
        <w:rPr>
          <w:szCs w:val="21"/>
        </w:rPr>
      </w:pPr>
      <w:r>
        <w:rPr>
          <w:szCs w:val="21"/>
        </w:rPr>
        <w:t xml:space="preserve">&lt; MCC_CODE &gt; MCC </w:t>
      </w:r>
      <w:r>
        <w:rPr>
          <w:szCs w:val="21"/>
        </w:rPr>
        <w:t>码</w:t>
      </w:r>
      <w:r>
        <w:rPr>
          <w:szCs w:val="21"/>
        </w:rPr>
        <w:t>&lt;/ MCC_CODE &gt;</w:t>
      </w:r>
    </w:p>
    <w:p w14:paraId="66BA7CC2" w14:textId="77777777" w:rsidR="00A052DC" w:rsidRDefault="009F0A60">
      <w:pPr>
        <w:ind w:firstLine="482"/>
        <w:rPr>
          <w:szCs w:val="21"/>
        </w:rPr>
      </w:pPr>
      <w:r>
        <w:rPr>
          <w:szCs w:val="21"/>
        </w:rPr>
        <w:t>&lt; CARD _TYPE_CODE &gt;</w:t>
      </w:r>
      <w:r>
        <w:rPr>
          <w:szCs w:val="21"/>
        </w:rPr>
        <w:t>银行卡类型</w:t>
      </w:r>
      <w:r>
        <w:rPr>
          <w:szCs w:val="21"/>
        </w:rPr>
        <w:t>&lt;/ CARD _TYPE_CODE &gt;</w:t>
      </w:r>
    </w:p>
    <w:p w14:paraId="1B510222" w14:textId="77777777" w:rsidR="00A052DC" w:rsidRDefault="009F0A60">
      <w:pPr>
        <w:ind w:firstLine="482"/>
        <w:rPr>
          <w:szCs w:val="21"/>
        </w:rPr>
      </w:pPr>
      <w:r>
        <w:rPr>
          <w:szCs w:val="21"/>
        </w:rPr>
        <w:t>&lt; CARD_CHNL_CODE &gt;</w:t>
      </w:r>
      <w:r>
        <w:rPr>
          <w:szCs w:val="21"/>
        </w:rPr>
        <w:t>银行卡清算渠道</w:t>
      </w:r>
      <w:r>
        <w:rPr>
          <w:szCs w:val="21"/>
        </w:rPr>
        <w:t>&lt;/ CARD_CHNL_CODE &gt;</w:t>
      </w:r>
    </w:p>
    <w:p w14:paraId="0DCB9C29" w14:textId="77777777" w:rsidR="00A052DC" w:rsidRDefault="009F0A60">
      <w:pPr>
        <w:ind w:firstLine="482"/>
        <w:rPr>
          <w:szCs w:val="21"/>
        </w:rPr>
      </w:pPr>
      <w:r>
        <w:rPr>
          <w:szCs w:val="21"/>
        </w:rPr>
        <w:t>&lt; BANK_CODE &gt;</w:t>
      </w:r>
      <w:r>
        <w:rPr>
          <w:szCs w:val="21"/>
        </w:rPr>
        <w:t>发卡行金融机构代码</w:t>
      </w:r>
      <w:r>
        <w:rPr>
          <w:szCs w:val="21"/>
        </w:rPr>
        <w:t>&lt;/ BANK_CODE &gt;</w:t>
      </w:r>
    </w:p>
    <w:p w14:paraId="57328126" w14:textId="77777777" w:rsidR="00A052DC" w:rsidRDefault="009F0A60">
      <w:pPr>
        <w:ind w:firstLine="482"/>
        <w:rPr>
          <w:szCs w:val="21"/>
        </w:rPr>
      </w:pPr>
      <w:r>
        <w:rPr>
          <w:szCs w:val="21"/>
        </w:rPr>
        <w:t>&lt;BRANCH_SAFECODE&gt;</w:t>
      </w:r>
      <w:r>
        <w:rPr>
          <w:szCs w:val="21"/>
        </w:rPr>
        <w:t>发卡网点所在地外汇局代码</w:t>
      </w:r>
      <w:r>
        <w:rPr>
          <w:szCs w:val="21"/>
        </w:rPr>
        <w:t>&lt;/BRANCH_SAFECODE&gt;</w:t>
      </w:r>
    </w:p>
    <w:p w14:paraId="479167BF" w14:textId="77777777" w:rsidR="00A052DC" w:rsidRDefault="009F0A60">
      <w:pPr>
        <w:ind w:firstLine="482"/>
        <w:rPr>
          <w:szCs w:val="21"/>
        </w:rPr>
      </w:pPr>
      <w:r>
        <w:rPr>
          <w:szCs w:val="21"/>
        </w:rPr>
        <w:t>&lt; BIZ_DEAL_TIME &gt;</w:t>
      </w:r>
      <w:r>
        <w:rPr>
          <w:szCs w:val="21"/>
        </w:rPr>
        <w:t>交易授权日期及时间</w:t>
      </w:r>
      <w:r>
        <w:rPr>
          <w:szCs w:val="21"/>
        </w:rPr>
        <w:t>&lt;/ BIZ_DEAL_TIME &gt;</w:t>
      </w:r>
    </w:p>
    <w:p w14:paraId="3045D52B" w14:textId="77777777" w:rsidR="00A052DC" w:rsidRDefault="009F0A60">
      <w:pPr>
        <w:ind w:firstLine="482"/>
        <w:rPr>
          <w:szCs w:val="21"/>
        </w:rPr>
      </w:pPr>
      <w:r>
        <w:rPr>
          <w:szCs w:val="21"/>
        </w:rPr>
        <w:t>&lt; COUNTRY_CODE &gt;</w:t>
      </w:r>
      <w:r>
        <w:rPr>
          <w:szCs w:val="21"/>
        </w:rPr>
        <w:t>交易国家或地区</w:t>
      </w:r>
      <w:r>
        <w:rPr>
          <w:szCs w:val="21"/>
        </w:rPr>
        <w:t>&lt;/ COUNTRY_CODE &gt;</w:t>
      </w:r>
    </w:p>
    <w:p w14:paraId="020F90BE" w14:textId="77777777" w:rsidR="00A052DC" w:rsidRDefault="009F0A60">
      <w:pPr>
        <w:ind w:firstLine="482"/>
        <w:rPr>
          <w:szCs w:val="21"/>
        </w:rPr>
      </w:pPr>
      <w:r>
        <w:rPr>
          <w:szCs w:val="21"/>
        </w:rPr>
        <w:t>&lt; BANK_SELF_NUM &gt;</w:t>
      </w:r>
      <w:r>
        <w:rPr>
          <w:szCs w:val="21"/>
        </w:rPr>
        <w:t>银行内部流水号</w:t>
      </w:r>
      <w:r>
        <w:rPr>
          <w:szCs w:val="21"/>
        </w:rPr>
        <w:t>&lt;/ BANK_SELF_NUM &gt;</w:t>
      </w:r>
    </w:p>
    <w:p w14:paraId="2A306C64" w14:textId="77777777" w:rsidR="00A052DC" w:rsidRDefault="009F0A60">
      <w:pPr>
        <w:ind w:firstLine="482"/>
        <w:rPr>
          <w:szCs w:val="21"/>
        </w:rPr>
      </w:pPr>
      <w:r>
        <w:rPr>
          <w:szCs w:val="21"/>
        </w:rPr>
        <w:t>&lt; CARD_ SELF_NUM &gt;</w:t>
      </w:r>
      <w:r>
        <w:rPr>
          <w:szCs w:val="21"/>
        </w:rPr>
        <w:t>卡组织单号</w:t>
      </w:r>
      <w:r>
        <w:rPr>
          <w:szCs w:val="21"/>
        </w:rPr>
        <w:t>&lt;/ CARD_ SELF_NUM &gt;</w:t>
      </w:r>
    </w:p>
    <w:p w14:paraId="1EBB07FB" w14:textId="77777777" w:rsidR="00A052DC" w:rsidRDefault="009F0A60">
      <w:pPr>
        <w:ind w:firstLine="482"/>
        <w:rPr>
          <w:szCs w:val="21"/>
        </w:rPr>
      </w:pPr>
      <w:r>
        <w:rPr>
          <w:szCs w:val="21"/>
        </w:rPr>
        <w:t>&lt; SH_NAME &gt;</w:t>
      </w:r>
      <w:r>
        <w:rPr>
          <w:szCs w:val="21"/>
        </w:rPr>
        <w:t>交易商户名称</w:t>
      </w:r>
      <w:r>
        <w:rPr>
          <w:szCs w:val="21"/>
        </w:rPr>
        <w:t>&lt;/ SH_NAME &gt;</w:t>
      </w:r>
    </w:p>
    <w:p w14:paraId="082DF5E3" w14:textId="77777777" w:rsidR="00A052DC" w:rsidRDefault="009F0A60">
      <w:pPr>
        <w:ind w:firstLine="482"/>
        <w:rPr>
          <w:szCs w:val="21"/>
        </w:rPr>
      </w:pPr>
      <w:r>
        <w:rPr>
          <w:szCs w:val="21"/>
        </w:rPr>
        <w:t>&lt; JY_CHNL &gt;</w:t>
      </w:r>
      <w:r>
        <w:rPr>
          <w:szCs w:val="21"/>
        </w:rPr>
        <w:t>交易商户类型</w:t>
      </w:r>
      <w:r>
        <w:rPr>
          <w:szCs w:val="21"/>
        </w:rPr>
        <w:t>&lt;/ JY_CHNL &gt;</w:t>
      </w:r>
    </w:p>
    <w:p w14:paraId="663EC6CD" w14:textId="77777777" w:rsidR="00A052DC" w:rsidRDefault="009F0A60">
      <w:pPr>
        <w:ind w:firstLine="482"/>
        <w:rPr>
          <w:szCs w:val="21"/>
        </w:rPr>
      </w:pPr>
      <w:r>
        <w:rPr>
          <w:szCs w:val="21"/>
        </w:rPr>
        <w:t>&lt;/ REC &gt;</w:t>
      </w:r>
    </w:p>
    <w:p w14:paraId="115D8F4D" w14:textId="77777777" w:rsidR="00A052DC" w:rsidRDefault="009F0A60" w:rsidP="0020251D">
      <w:pPr>
        <w:pStyle w:val="4"/>
        <w:numPr>
          <w:ilvl w:val="3"/>
          <w:numId w:val="1"/>
        </w:numPr>
        <w:jc w:val="left"/>
      </w:pPr>
      <w:r>
        <w:rPr>
          <w:rFonts w:hint="eastAsia"/>
        </w:rPr>
        <w:t>数据字典</w:t>
      </w:r>
    </w:p>
    <w:tbl>
      <w:tblPr>
        <w:tblpPr w:leftFromText="180" w:rightFromText="180" w:vertAnchor="text" w:horzAnchor="margin" w:tblpXSpec="center" w:tblpY="121"/>
        <w:tblW w:w="8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701"/>
        <w:gridCol w:w="1417"/>
        <w:gridCol w:w="3862"/>
      </w:tblGrid>
      <w:tr w:rsidR="00A052DC" w14:paraId="316AC45B" w14:textId="77777777">
        <w:trPr>
          <w:trHeight w:val="20"/>
          <w:tblHeader/>
        </w:trPr>
        <w:tc>
          <w:tcPr>
            <w:tcW w:w="1526" w:type="dxa"/>
            <w:shd w:val="clear" w:color="auto" w:fill="BFBFBF"/>
            <w:vAlign w:val="center"/>
          </w:tcPr>
          <w:p w14:paraId="4D4F34DE" w14:textId="77777777" w:rsidR="00A052DC" w:rsidRDefault="009F0A60">
            <w:pPr>
              <w:jc w:val="center"/>
              <w:rPr>
                <w:rFonts w:ascii="黑体" w:eastAsia="黑体" w:hAnsi="黑体"/>
                <w:b/>
                <w:sz w:val="20"/>
                <w:szCs w:val="20"/>
              </w:rPr>
            </w:pPr>
            <w:r>
              <w:rPr>
                <w:rFonts w:ascii="黑体" w:eastAsia="黑体" w:hAnsi="黑体" w:hint="eastAsia"/>
                <w:b/>
                <w:sz w:val="20"/>
                <w:szCs w:val="20"/>
              </w:rPr>
              <w:t>字段</w:t>
            </w:r>
          </w:p>
        </w:tc>
        <w:tc>
          <w:tcPr>
            <w:tcW w:w="1701" w:type="dxa"/>
            <w:shd w:val="clear" w:color="auto" w:fill="BFBFBF"/>
            <w:vAlign w:val="center"/>
          </w:tcPr>
          <w:p w14:paraId="72AC15D1" w14:textId="77777777" w:rsidR="00A052DC" w:rsidRDefault="009F0A60">
            <w:pPr>
              <w:jc w:val="center"/>
              <w:rPr>
                <w:rFonts w:ascii="黑体" w:eastAsia="黑体" w:hAnsi="黑体"/>
                <w:b/>
                <w:sz w:val="20"/>
                <w:szCs w:val="20"/>
              </w:rPr>
            </w:pPr>
            <w:r>
              <w:rPr>
                <w:rFonts w:ascii="黑体" w:eastAsia="黑体" w:hAnsi="黑体" w:hint="eastAsia"/>
                <w:b/>
                <w:sz w:val="20"/>
                <w:szCs w:val="20"/>
              </w:rPr>
              <w:t>内容</w:t>
            </w:r>
          </w:p>
        </w:tc>
        <w:tc>
          <w:tcPr>
            <w:tcW w:w="1417" w:type="dxa"/>
            <w:shd w:val="clear" w:color="auto" w:fill="BFBFBF"/>
            <w:vAlign w:val="center"/>
          </w:tcPr>
          <w:p w14:paraId="4ECDE5B7" w14:textId="77777777" w:rsidR="00A052DC" w:rsidRDefault="009F0A60">
            <w:pPr>
              <w:jc w:val="center"/>
              <w:rPr>
                <w:rFonts w:ascii="黑体" w:eastAsia="黑体" w:hAnsi="黑体"/>
                <w:b/>
                <w:sz w:val="20"/>
                <w:szCs w:val="20"/>
              </w:rPr>
            </w:pPr>
            <w:r>
              <w:rPr>
                <w:rFonts w:ascii="黑体" w:eastAsia="黑体" w:hAnsi="黑体" w:hint="eastAsia"/>
                <w:b/>
                <w:sz w:val="20"/>
                <w:szCs w:val="20"/>
              </w:rPr>
              <w:t>类型（长度）</w:t>
            </w:r>
          </w:p>
        </w:tc>
        <w:tc>
          <w:tcPr>
            <w:tcW w:w="3862" w:type="dxa"/>
            <w:shd w:val="clear" w:color="auto" w:fill="BFBFBF"/>
            <w:vAlign w:val="center"/>
          </w:tcPr>
          <w:p w14:paraId="4BF281CF" w14:textId="77777777" w:rsidR="00A052DC" w:rsidRDefault="009F0A60">
            <w:pPr>
              <w:jc w:val="center"/>
              <w:rPr>
                <w:rFonts w:ascii="黑体" w:eastAsia="黑体" w:hAnsi="黑体"/>
                <w:b/>
                <w:sz w:val="20"/>
                <w:szCs w:val="20"/>
              </w:rPr>
            </w:pPr>
            <w:r>
              <w:rPr>
                <w:rFonts w:ascii="黑体" w:eastAsia="黑体" w:hAnsi="黑体" w:hint="eastAsia"/>
                <w:b/>
                <w:sz w:val="20"/>
                <w:szCs w:val="20"/>
              </w:rPr>
              <w:t>校验</w:t>
            </w:r>
          </w:p>
        </w:tc>
      </w:tr>
      <w:tr w:rsidR="00A052DC" w14:paraId="111DBE56" w14:textId="77777777">
        <w:trPr>
          <w:trHeight w:val="20"/>
        </w:trPr>
        <w:tc>
          <w:tcPr>
            <w:tcW w:w="1526" w:type="dxa"/>
          </w:tcPr>
          <w:p w14:paraId="67FBAEF3" w14:textId="77777777" w:rsidR="00A052DC" w:rsidRDefault="009F0A60">
            <w:pPr>
              <w:rPr>
                <w:rFonts w:ascii="黑体" w:eastAsia="黑体" w:hAnsi="黑体"/>
                <w:sz w:val="20"/>
                <w:szCs w:val="20"/>
              </w:rPr>
            </w:pPr>
            <w:r>
              <w:rPr>
                <w:rFonts w:ascii="黑体" w:eastAsia="黑体" w:hAnsi="黑体"/>
                <w:sz w:val="20"/>
                <w:szCs w:val="20"/>
              </w:rPr>
              <w:t>OPER_TYPE_CODE</w:t>
            </w:r>
          </w:p>
        </w:tc>
        <w:tc>
          <w:tcPr>
            <w:tcW w:w="1701" w:type="dxa"/>
          </w:tcPr>
          <w:p w14:paraId="3D737C97" w14:textId="77777777" w:rsidR="00A052DC" w:rsidRDefault="009F0A60">
            <w:pPr>
              <w:rPr>
                <w:rFonts w:ascii="黑体" w:eastAsia="黑体" w:hAnsi="黑体"/>
                <w:sz w:val="20"/>
                <w:szCs w:val="20"/>
              </w:rPr>
            </w:pPr>
            <w:r>
              <w:rPr>
                <w:rFonts w:ascii="黑体" w:eastAsia="黑体" w:hAnsi="黑体" w:hint="eastAsia"/>
                <w:sz w:val="20"/>
                <w:szCs w:val="20"/>
              </w:rPr>
              <w:t>操作类型</w:t>
            </w:r>
          </w:p>
        </w:tc>
        <w:tc>
          <w:tcPr>
            <w:tcW w:w="1417" w:type="dxa"/>
          </w:tcPr>
          <w:p w14:paraId="127F7E4E" w14:textId="77777777" w:rsidR="00A052DC" w:rsidRDefault="009F0A60">
            <w:pPr>
              <w:jc w:val="left"/>
              <w:rPr>
                <w:rFonts w:ascii="黑体" w:eastAsia="黑体" w:hAnsi="黑体"/>
                <w:sz w:val="20"/>
                <w:szCs w:val="20"/>
              </w:rPr>
            </w:pPr>
            <w:r>
              <w:rPr>
                <w:rFonts w:ascii="黑体" w:eastAsia="黑体" w:hAnsi="黑体" w:hint="eastAsia"/>
                <w:sz w:val="20"/>
                <w:szCs w:val="20"/>
              </w:rPr>
              <w:t>字符型，</w:t>
            </w:r>
            <w:r>
              <w:rPr>
                <w:rFonts w:ascii="黑体" w:eastAsia="黑体" w:hAnsi="黑体"/>
                <w:sz w:val="20"/>
                <w:szCs w:val="20"/>
              </w:rPr>
              <w:t>1</w:t>
            </w:r>
          </w:p>
        </w:tc>
        <w:tc>
          <w:tcPr>
            <w:tcW w:w="3862" w:type="dxa"/>
          </w:tcPr>
          <w:p w14:paraId="401D3AD2" w14:textId="77777777" w:rsidR="00A052DC" w:rsidRDefault="009F0A60">
            <w:pPr>
              <w:rPr>
                <w:rFonts w:ascii="黑体" w:eastAsia="黑体" w:hAnsi="黑体"/>
                <w:sz w:val="20"/>
                <w:szCs w:val="20"/>
              </w:rPr>
            </w:pPr>
            <w:r>
              <w:rPr>
                <w:rFonts w:ascii="黑体" w:eastAsia="黑体" w:hAnsi="黑体" w:hint="eastAsia"/>
                <w:sz w:val="20"/>
                <w:szCs w:val="20"/>
              </w:rPr>
              <w:t>必填项，</w:t>
            </w:r>
          </w:p>
          <w:p w14:paraId="3C6664E1" w14:textId="77777777" w:rsidR="00A052DC" w:rsidRDefault="009F0A60">
            <w:pPr>
              <w:rPr>
                <w:rFonts w:ascii="黑体" w:eastAsia="黑体" w:hAnsi="黑体"/>
                <w:sz w:val="20"/>
                <w:szCs w:val="20"/>
              </w:rPr>
            </w:pPr>
            <w:r>
              <w:rPr>
                <w:rFonts w:ascii="黑体" w:eastAsia="黑体" w:hAnsi="黑体"/>
                <w:sz w:val="20"/>
                <w:szCs w:val="20"/>
              </w:rPr>
              <w:t>A</w:t>
            </w:r>
            <w:r w:rsidR="00AE4602">
              <w:rPr>
                <w:rFonts w:ascii="黑体" w:eastAsia="黑体" w:hAnsi="黑体" w:hint="eastAsia"/>
                <w:sz w:val="20"/>
                <w:szCs w:val="20"/>
              </w:rPr>
              <w:t>-</w:t>
            </w:r>
            <w:r>
              <w:rPr>
                <w:rFonts w:ascii="黑体" w:eastAsia="黑体" w:hAnsi="黑体" w:hint="eastAsia"/>
                <w:sz w:val="20"/>
                <w:szCs w:val="20"/>
              </w:rPr>
              <w:t>新建</w:t>
            </w:r>
          </w:p>
          <w:p w14:paraId="3F38D65E" w14:textId="77777777" w:rsidR="00A052DC" w:rsidRDefault="009F0A60">
            <w:pPr>
              <w:rPr>
                <w:rFonts w:ascii="黑体" w:eastAsia="黑体" w:hAnsi="黑体"/>
                <w:sz w:val="20"/>
                <w:szCs w:val="20"/>
              </w:rPr>
            </w:pPr>
            <w:r>
              <w:rPr>
                <w:rFonts w:ascii="黑体" w:eastAsia="黑体" w:hAnsi="黑体"/>
                <w:sz w:val="20"/>
                <w:szCs w:val="20"/>
              </w:rPr>
              <w:t>C</w:t>
            </w:r>
            <w:r w:rsidR="00AE4602">
              <w:rPr>
                <w:rFonts w:ascii="黑体" w:eastAsia="黑体" w:hAnsi="黑体" w:hint="eastAsia"/>
                <w:sz w:val="20"/>
                <w:szCs w:val="20"/>
              </w:rPr>
              <w:t>-</w:t>
            </w:r>
            <w:r>
              <w:rPr>
                <w:rFonts w:ascii="黑体" w:eastAsia="黑体" w:hAnsi="黑体" w:hint="eastAsia"/>
                <w:sz w:val="20"/>
                <w:szCs w:val="20"/>
              </w:rPr>
              <w:t>修改</w:t>
            </w:r>
          </w:p>
          <w:p w14:paraId="0284AAB2" w14:textId="77777777" w:rsidR="00A052DC" w:rsidRDefault="009F0A60">
            <w:pPr>
              <w:rPr>
                <w:rFonts w:ascii="黑体" w:eastAsia="黑体" w:hAnsi="黑体"/>
                <w:sz w:val="20"/>
                <w:szCs w:val="20"/>
              </w:rPr>
            </w:pPr>
            <w:r>
              <w:rPr>
                <w:rFonts w:ascii="黑体" w:eastAsia="黑体" w:hAnsi="黑体"/>
                <w:sz w:val="20"/>
                <w:szCs w:val="20"/>
              </w:rPr>
              <w:t>D</w:t>
            </w:r>
            <w:r w:rsidR="00AE4602">
              <w:rPr>
                <w:rFonts w:ascii="黑体" w:eastAsia="黑体" w:hAnsi="黑体" w:hint="eastAsia"/>
                <w:sz w:val="20"/>
                <w:szCs w:val="20"/>
              </w:rPr>
              <w:t>-</w:t>
            </w:r>
            <w:r>
              <w:rPr>
                <w:rFonts w:ascii="黑体" w:eastAsia="黑体" w:hAnsi="黑体" w:hint="eastAsia"/>
                <w:sz w:val="20"/>
                <w:szCs w:val="20"/>
              </w:rPr>
              <w:t>删除</w:t>
            </w:r>
          </w:p>
          <w:p w14:paraId="36951A46" w14:textId="77777777" w:rsidR="00A052DC" w:rsidRDefault="009F0A60">
            <w:pPr>
              <w:rPr>
                <w:rFonts w:ascii="黑体" w:eastAsia="黑体" w:hAnsi="黑体"/>
                <w:sz w:val="20"/>
                <w:szCs w:val="20"/>
              </w:rPr>
            </w:pPr>
            <w:r>
              <w:rPr>
                <w:rFonts w:ascii="黑体" w:eastAsia="黑体" w:hAnsi="黑体" w:hint="eastAsia"/>
                <w:sz w:val="20"/>
                <w:szCs w:val="20"/>
              </w:rPr>
              <w:t>对于外汇局反馈的错误数据，应使用原业务参号</w:t>
            </w:r>
            <w:r>
              <w:rPr>
                <w:rFonts w:ascii="黑体" w:eastAsia="黑体" w:hAnsi="黑体"/>
                <w:sz w:val="20"/>
                <w:szCs w:val="20"/>
              </w:rPr>
              <w:t>重新报送</w:t>
            </w:r>
            <w:r>
              <w:rPr>
                <w:rFonts w:ascii="黑体" w:eastAsia="黑体" w:hAnsi="黑体" w:hint="eastAsia"/>
                <w:sz w:val="20"/>
                <w:szCs w:val="20"/>
              </w:rPr>
              <w:t>，操作类型为</w:t>
            </w:r>
            <w:r>
              <w:rPr>
                <w:rFonts w:ascii="黑体" w:eastAsia="黑体" w:hAnsi="黑体"/>
                <w:sz w:val="20"/>
                <w:szCs w:val="20"/>
              </w:rPr>
              <w:t>A</w:t>
            </w:r>
            <w:r>
              <w:rPr>
                <w:rFonts w:ascii="黑体" w:eastAsia="黑体" w:hAnsi="黑体" w:hint="eastAsia"/>
                <w:sz w:val="20"/>
                <w:szCs w:val="20"/>
              </w:rPr>
              <w:t>新建。</w:t>
            </w:r>
          </w:p>
        </w:tc>
      </w:tr>
      <w:tr w:rsidR="00A052DC" w14:paraId="103413D4" w14:textId="77777777">
        <w:trPr>
          <w:trHeight w:val="20"/>
        </w:trPr>
        <w:tc>
          <w:tcPr>
            <w:tcW w:w="1526" w:type="dxa"/>
          </w:tcPr>
          <w:p w14:paraId="3D1B97A0" w14:textId="77777777" w:rsidR="00A052DC" w:rsidRDefault="009F0A60">
            <w:pPr>
              <w:rPr>
                <w:rFonts w:ascii="黑体" w:eastAsia="黑体" w:hAnsi="黑体"/>
                <w:sz w:val="20"/>
                <w:szCs w:val="20"/>
              </w:rPr>
            </w:pPr>
            <w:r>
              <w:rPr>
                <w:rFonts w:ascii="黑体" w:eastAsia="黑体" w:hAnsi="黑体"/>
                <w:sz w:val="20"/>
                <w:szCs w:val="20"/>
              </w:rPr>
              <w:t>REASON_CODE</w:t>
            </w:r>
          </w:p>
        </w:tc>
        <w:tc>
          <w:tcPr>
            <w:tcW w:w="1701" w:type="dxa"/>
          </w:tcPr>
          <w:p w14:paraId="6694994F" w14:textId="77777777" w:rsidR="00A052DC" w:rsidRDefault="009F0A60">
            <w:pPr>
              <w:rPr>
                <w:rFonts w:ascii="黑体" w:eastAsia="黑体" w:hAnsi="黑体"/>
                <w:sz w:val="20"/>
                <w:szCs w:val="20"/>
              </w:rPr>
            </w:pPr>
            <w:r>
              <w:rPr>
                <w:rFonts w:ascii="黑体" w:eastAsia="黑体" w:hAnsi="黑体" w:hint="eastAsia"/>
                <w:sz w:val="20"/>
                <w:szCs w:val="20"/>
              </w:rPr>
              <w:t>修改</w:t>
            </w:r>
            <w:r>
              <w:rPr>
                <w:rFonts w:ascii="黑体" w:eastAsia="黑体" w:hAnsi="黑体"/>
                <w:sz w:val="20"/>
                <w:szCs w:val="20"/>
              </w:rPr>
              <w:t>/</w:t>
            </w:r>
            <w:r>
              <w:rPr>
                <w:rFonts w:ascii="黑体" w:eastAsia="黑体" w:hAnsi="黑体" w:hint="eastAsia"/>
                <w:sz w:val="20"/>
                <w:szCs w:val="20"/>
              </w:rPr>
              <w:t>删除原因</w:t>
            </w:r>
          </w:p>
        </w:tc>
        <w:tc>
          <w:tcPr>
            <w:tcW w:w="1417" w:type="dxa"/>
          </w:tcPr>
          <w:p w14:paraId="6DCA50C6" w14:textId="77777777" w:rsidR="00A052DC" w:rsidRDefault="009F0A60">
            <w:pPr>
              <w:jc w:val="left"/>
              <w:rPr>
                <w:rFonts w:ascii="黑体" w:eastAsia="黑体" w:hAnsi="黑体"/>
                <w:sz w:val="20"/>
                <w:szCs w:val="20"/>
              </w:rPr>
            </w:pPr>
            <w:r>
              <w:rPr>
                <w:rFonts w:ascii="黑体" w:eastAsia="黑体" w:hAnsi="黑体" w:hint="eastAsia"/>
                <w:sz w:val="20"/>
                <w:szCs w:val="20"/>
              </w:rPr>
              <w:t>字符型，</w:t>
            </w:r>
            <w:r>
              <w:rPr>
                <w:rFonts w:ascii="黑体" w:eastAsia="黑体" w:hAnsi="黑体"/>
                <w:sz w:val="20"/>
                <w:szCs w:val="20"/>
              </w:rPr>
              <w:t>128</w:t>
            </w:r>
          </w:p>
        </w:tc>
        <w:tc>
          <w:tcPr>
            <w:tcW w:w="3862" w:type="dxa"/>
          </w:tcPr>
          <w:p w14:paraId="0589BD69" w14:textId="77777777" w:rsidR="00A052DC" w:rsidRDefault="009F0A60">
            <w:pPr>
              <w:rPr>
                <w:rFonts w:ascii="黑体" w:eastAsia="黑体" w:hAnsi="黑体"/>
                <w:sz w:val="20"/>
                <w:szCs w:val="20"/>
              </w:rPr>
            </w:pPr>
            <w:r>
              <w:rPr>
                <w:rFonts w:ascii="黑体" w:eastAsia="黑体" w:hAnsi="黑体" w:hint="eastAsia"/>
                <w:sz w:val="20"/>
                <w:szCs w:val="20"/>
              </w:rPr>
              <w:t>如果操作类型字段值为</w:t>
            </w:r>
            <w:r>
              <w:rPr>
                <w:rFonts w:ascii="黑体" w:eastAsia="黑体" w:hAnsi="黑体"/>
                <w:sz w:val="20"/>
                <w:szCs w:val="20"/>
              </w:rPr>
              <w:t>C</w:t>
            </w:r>
            <w:r>
              <w:rPr>
                <w:rFonts w:ascii="黑体" w:eastAsia="黑体" w:hAnsi="黑体" w:hint="eastAsia"/>
                <w:sz w:val="20"/>
                <w:szCs w:val="20"/>
              </w:rPr>
              <w:t>或</w:t>
            </w:r>
            <w:r>
              <w:rPr>
                <w:rFonts w:ascii="黑体" w:eastAsia="黑体" w:hAnsi="黑体"/>
                <w:sz w:val="20"/>
                <w:szCs w:val="20"/>
              </w:rPr>
              <w:t>D</w:t>
            </w:r>
            <w:r>
              <w:rPr>
                <w:rFonts w:ascii="黑体" w:eastAsia="黑体" w:hAnsi="黑体" w:hint="eastAsia"/>
                <w:sz w:val="20"/>
                <w:szCs w:val="20"/>
              </w:rPr>
              <w:t>，则此字段为必填字段。</w:t>
            </w:r>
          </w:p>
        </w:tc>
      </w:tr>
      <w:tr w:rsidR="00A052DC" w14:paraId="212CCA32" w14:textId="77777777">
        <w:trPr>
          <w:trHeight w:val="20"/>
        </w:trPr>
        <w:tc>
          <w:tcPr>
            <w:tcW w:w="1526" w:type="dxa"/>
            <w:vAlign w:val="center"/>
          </w:tcPr>
          <w:p w14:paraId="38E965B6" w14:textId="77777777" w:rsidR="00A052DC" w:rsidRDefault="009F0A60">
            <w:pPr>
              <w:rPr>
                <w:rFonts w:ascii="黑体" w:eastAsia="黑体" w:hAnsi="黑体"/>
                <w:sz w:val="20"/>
                <w:szCs w:val="20"/>
              </w:rPr>
            </w:pPr>
            <w:r>
              <w:rPr>
                <w:rFonts w:ascii="黑体" w:eastAsia="黑体" w:hAnsi="黑体"/>
                <w:sz w:val="20"/>
                <w:szCs w:val="20"/>
              </w:rPr>
              <w:t>REFNO</w:t>
            </w:r>
          </w:p>
        </w:tc>
        <w:tc>
          <w:tcPr>
            <w:tcW w:w="1701" w:type="dxa"/>
            <w:vAlign w:val="center"/>
          </w:tcPr>
          <w:p w14:paraId="6CEFCBB5" w14:textId="77777777" w:rsidR="00A052DC" w:rsidRDefault="009F0A60">
            <w:pPr>
              <w:rPr>
                <w:rFonts w:ascii="黑体" w:eastAsia="黑体" w:hAnsi="黑体"/>
                <w:sz w:val="20"/>
                <w:szCs w:val="20"/>
              </w:rPr>
            </w:pPr>
            <w:r>
              <w:rPr>
                <w:rFonts w:ascii="黑体" w:eastAsia="黑体" w:hAnsi="黑体" w:hint="eastAsia"/>
                <w:sz w:val="20"/>
                <w:szCs w:val="20"/>
              </w:rPr>
              <w:t>业务参号</w:t>
            </w:r>
          </w:p>
        </w:tc>
        <w:tc>
          <w:tcPr>
            <w:tcW w:w="1417" w:type="dxa"/>
            <w:vAlign w:val="center"/>
          </w:tcPr>
          <w:p w14:paraId="4666E1BA" w14:textId="77777777" w:rsidR="00A052DC" w:rsidRDefault="009F0A60">
            <w:pPr>
              <w:jc w:val="left"/>
              <w:rPr>
                <w:rFonts w:ascii="黑体" w:eastAsia="黑体" w:hAnsi="黑体"/>
                <w:sz w:val="20"/>
                <w:szCs w:val="20"/>
              </w:rPr>
            </w:pPr>
            <w:r>
              <w:rPr>
                <w:rFonts w:ascii="黑体" w:eastAsia="黑体" w:hAnsi="黑体" w:hint="eastAsia"/>
                <w:sz w:val="20"/>
                <w:szCs w:val="20"/>
              </w:rPr>
              <w:t>字符型，</w:t>
            </w:r>
            <w:r>
              <w:rPr>
                <w:rFonts w:ascii="黑体" w:eastAsia="黑体" w:hAnsi="黑体"/>
                <w:sz w:val="20"/>
                <w:szCs w:val="20"/>
              </w:rPr>
              <w:t>27</w:t>
            </w:r>
          </w:p>
        </w:tc>
        <w:tc>
          <w:tcPr>
            <w:tcW w:w="3862" w:type="dxa"/>
            <w:vAlign w:val="center"/>
          </w:tcPr>
          <w:p w14:paraId="73EE89E3" w14:textId="77777777" w:rsidR="00A052DC" w:rsidRDefault="009F0A60">
            <w:pPr>
              <w:rPr>
                <w:rFonts w:ascii="黑体" w:eastAsia="黑体" w:hAnsi="黑体"/>
                <w:sz w:val="20"/>
                <w:szCs w:val="20"/>
              </w:rPr>
            </w:pPr>
            <w:r>
              <w:rPr>
                <w:rFonts w:ascii="黑体" w:eastAsia="黑体" w:hAnsi="黑体" w:hint="eastAsia"/>
                <w:sz w:val="20"/>
                <w:szCs w:val="20"/>
              </w:rPr>
              <w:t>必填项，</w:t>
            </w:r>
            <w:r>
              <w:rPr>
                <w:rFonts w:ascii="黑体" w:eastAsia="黑体" w:hAnsi="黑体"/>
                <w:sz w:val="20"/>
                <w:szCs w:val="20"/>
              </w:rPr>
              <w:t>27</w:t>
            </w:r>
            <w:r>
              <w:rPr>
                <w:rFonts w:ascii="黑体" w:eastAsia="黑体" w:hAnsi="黑体" w:hint="eastAsia"/>
                <w:sz w:val="20"/>
                <w:szCs w:val="20"/>
              </w:rPr>
              <w:t>位，</w:t>
            </w:r>
            <w:r>
              <w:rPr>
                <w:rFonts w:ascii="黑体" w:eastAsia="黑体" w:hAnsi="黑体"/>
                <w:sz w:val="20"/>
                <w:szCs w:val="20"/>
              </w:rPr>
              <w:t>X+</w:t>
            </w:r>
            <w:r>
              <w:rPr>
                <w:rFonts w:ascii="黑体" w:eastAsia="黑体" w:hAnsi="黑体" w:hint="eastAsia"/>
                <w:sz w:val="20"/>
                <w:szCs w:val="20"/>
              </w:rPr>
              <w:t>所属外汇局代码（</w:t>
            </w:r>
            <w:r>
              <w:rPr>
                <w:rFonts w:ascii="黑体" w:eastAsia="黑体" w:hAnsi="黑体"/>
                <w:sz w:val="20"/>
                <w:szCs w:val="20"/>
              </w:rPr>
              <w:t xml:space="preserve">6 </w:t>
            </w:r>
            <w:r>
              <w:rPr>
                <w:rFonts w:ascii="黑体" w:eastAsia="黑体" w:hAnsi="黑体" w:hint="eastAsia"/>
                <w:sz w:val="20"/>
                <w:szCs w:val="20"/>
              </w:rPr>
              <w:t>位）</w:t>
            </w:r>
            <w:r>
              <w:rPr>
                <w:rFonts w:ascii="黑体" w:eastAsia="黑体" w:hAnsi="黑体"/>
                <w:sz w:val="20"/>
                <w:szCs w:val="20"/>
              </w:rPr>
              <w:t>+</w:t>
            </w:r>
            <w:r>
              <w:rPr>
                <w:rFonts w:ascii="黑体" w:eastAsia="黑体" w:hAnsi="黑体" w:hint="eastAsia"/>
                <w:sz w:val="20"/>
                <w:szCs w:val="20"/>
              </w:rPr>
              <w:t>金融机构代码（</w:t>
            </w:r>
            <w:r>
              <w:rPr>
                <w:rFonts w:ascii="黑体" w:eastAsia="黑体" w:hAnsi="黑体"/>
                <w:sz w:val="20"/>
                <w:szCs w:val="20"/>
              </w:rPr>
              <w:t>4</w:t>
            </w:r>
            <w:r>
              <w:rPr>
                <w:rFonts w:ascii="黑体" w:eastAsia="黑体" w:hAnsi="黑体" w:hint="eastAsia"/>
                <w:sz w:val="20"/>
                <w:szCs w:val="20"/>
              </w:rPr>
              <w:t>位）</w:t>
            </w:r>
            <w:r>
              <w:rPr>
                <w:rFonts w:ascii="黑体" w:eastAsia="黑体" w:hAnsi="黑体"/>
                <w:sz w:val="20"/>
                <w:szCs w:val="20"/>
              </w:rPr>
              <w:t>+</w:t>
            </w:r>
            <w:r>
              <w:rPr>
                <w:rFonts w:ascii="黑体" w:eastAsia="黑体" w:hAnsi="黑体" w:hint="eastAsia"/>
                <w:sz w:val="20"/>
                <w:szCs w:val="20"/>
              </w:rPr>
              <w:t>交易日期（</w:t>
            </w:r>
            <w:r>
              <w:rPr>
                <w:rFonts w:ascii="黑体" w:eastAsia="黑体" w:hAnsi="黑体"/>
                <w:sz w:val="20"/>
                <w:szCs w:val="20"/>
              </w:rPr>
              <w:t>8</w:t>
            </w:r>
            <w:r>
              <w:rPr>
                <w:rFonts w:ascii="黑体" w:eastAsia="黑体" w:hAnsi="黑体" w:hint="eastAsia"/>
                <w:sz w:val="20"/>
                <w:szCs w:val="20"/>
              </w:rPr>
              <w:t>位，yyyymmdd）</w:t>
            </w:r>
            <w:r>
              <w:rPr>
                <w:rFonts w:ascii="黑体" w:eastAsia="黑体" w:hAnsi="黑体"/>
                <w:sz w:val="20"/>
                <w:szCs w:val="20"/>
              </w:rPr>
              <w:t>+</w:t>
            </w:r>
            <w:r>
              <w:rPr>
                <w:rFonts w:ascii="黑体" w:eastAsia="黑体" w:hAnsi="黑体" w:hint="eastAsia"/>
                <w:sz w:val="20"/>
                <w:szCs w:val="20"/>
              </w:rPr>
              <w:t>银行卡类型（</w:t>
            </w:r>
            <w:r>
              <w:rPr>
                <w:rFonts w:ascii="黑体" w:eastAsia="黑体" w:hAnsi="黑体"/>
                <w:sz w:val="20"/>
                <w:szCs w:val="20"/>
              </w:rPr>
              <w:t>1-</w:t>
            </w:r>
            <w:r>
              <w:rPr>
                <w:rFonts w:ascii="黑体" w:eastAsia="黑体" w:hAnsi="黑体" w:hint="eastAsia"/>
                <w:sz w:val="20"/>
                <w:szCs w:val="20"/>
              </w:rPr>
              <w:t>借记卡；</w:t>
            </w:r>
            <w:r>
              <w:rPr>
                <w:rFonts w:ascii="黑体" w:eastAsia="黑体" w:hAnsi="黑体"/>
                <w:sz w:val="20"/>
                <w:szCs w:val="20"/>
              </w:rPr>
              <w:t>2-</w:t>
            </w:r>
            <w:r>
              <w:rPr>
                <w:rFonts w:ascii="黑体" w:eastAsia="黑体" w:hAnsi="黑体" w:hint="eastAsia"/>
                <w:sz w:val="20"/>
                <w:szCs w:val="20"/>
              </w:rPr>
              <w:t>贷记卡；</w:t>
            </w:r>
            <w:r>
              <w:rPr>
                <w:rFonts w:ascii="黑体" w:eastAsia="黑体" w:hAnsi="黑体"/>
                <w:sz w:val="20"/>
                <w:szCs w:val="20"/>
              </w:rPr>
              <w:t>3-</w:t>
            </w:r>
            <w:r>
              <w:rPr>
                <w:rFonts w:ascii="黑体" w:eastAsia="黑体" w:hAnsi="黑体" w:hint="eastAsia"/>
                <w:sz w:val="20"/>
                <w:szCs w:val="20"/>
              </w:rPr>
              <w:t>准贷记卡）</w:t>
            </w:r>
            <w:r>
              <w:rPr>
                <w:rFonts w:ascii="黑体" w:eastAsia="黑体" w:hAnsi="黑体"/>
                <w:sz w:val="20"/>
                <w:szCs w:val="20"/>
              </w:rPr>
              <w:t>+</w:t>
            </w:r>
            <w:r>
              <w:rPr>
                <w:rFonts w:ascii="黑体" w:eastAsia="黑体" w:hAnsi="黑体" w:hint="eastAsia"/>
                <w:sz w:val="20"/>
                <w:szCs w:val="20"/>
              </w:rPr>
              <w:t>顺序号（</w:t>
            </w:r>
            <w:r>
              <w:rPr>
                <w:rFonts w:ascii="黑体" w:eastAsia="黑体" w:hAnsi="黑体"/>
                <w:sz w:val="20"/>
                <w:szCs w:val="20"/>
              </w:rPr>
              <w:t>7</w:t>
            </w:r>
            <w:r>
              <w:rPr>
                <w:rFonts w:ascii="黑体" w:eastAsia="黑体" w:hAnsi="黑体" w:hint="eastAsia"/>
                <w:sz w:val="20"/>
                <w:szCs w:val="20"/>
              </w:rPr>
              <w:t>位，从</w:t>
            </w:r>
            <w:r>
              <w:rPr>
                <w:rFonts w:ascii="黑体" w:eastAsia="黑体" w:hAnsi="黑体"/>
                <w:sz w:val="20"/>
                <w:szCs w:val="20"/>
              </w:rPr>
              <w:t>0000001</w:t>
            </w:r>
            <w:r>
              <w:rPr>
                <w:rFonts w:ascii="黑体" w:eastAsia="黑体" w:hAnsi="黑体" w:hint="eastAsia"/>
                <w:sz w:val="20"/>
                <w:szCs w:val="20"/>
              </w:rPr>
              <w:t>开始增加）。</w:t>
            </w:r>
          </w:p>
        </w:tc>
      </w:tr>
      <w:tr w:rsidR="00A052DC" w14:paraId="5B79500F" w14:textId="77777777">
        <w:trPr>
          <w:trHeight w:val="20"/>
        </w:trPr>
        <w:tc>
          <w:tcPr>
            <w:tcW w:w="1526" w:type="dxa"/>
            <w:vAlign w:val="center"/>
          </w:tcPr>
          <w:p w14:paraId="4E559609" w14:textId="77777777" w:rsidR="00A052DC" w:rsidRDefault="009F0A60">
            <w:pPr>
              <w:rPr>
                <w:rFonts w:ascii="黑体" w:eastAsia="黑体" w:hAnsi="黑体"/>
                <w:sz w:val="20"/>
                <w:szCs w:val="20"/>
              </w:rPr>
            </w:pPr>
            <w:r>
              <w:rPr>
                <w:rFonts w:ascii="黑体" w:eastAsia="黑体" w:hAnsi="黑体"/>
                <w:sz w:val="20"/>
                <w:szCs w:val="20"/>
              </w:rPr>
              <w:t>CERT_TYPE_CODE</w:t>
            </w:r>
          </w:p>
        </w:tc>
        <w:tc>
          <w:tcPr>
            <w:tcW w:w="1701" w:type="dxa"/>
            <w:vAlign w:val="center"/>
          </w:tcPr>
          <w:p w14:paraId="4469C81D" w14:textId="77777777" w:rsidR="00A052DC" w:rsidRDefault="009F0A60">
            <w:pPr>
              <w:rPr>
                <w:rFonts w:ascii="黑体" w:eastAsia="黑体" w:hAnsi="黑体"/>
                <w:sz w:val="20"/>
                <w:szCs w:val="20"/>
              </w:rPr>
            </w:pPr>
            <w:r>
              <w:rPr>
                <w:rFonts w:ascii="黑体" w:eastAsia="黑体" w:hAnsi="黑体" w:hint="eastAsia"/>
                <w:sz w:val="20"/>
                <w:szCs w:val="20"/>
              </w:rPr>
              <w:t>持卡人身份证件类型</w:t>
            </w:r>
          </w:p>
        </w:tc>
        <w:tc>
          <w:tcPr>
            <w:tcW w:w="1417" w:type="dxa"/>
            <w:vAlign w:val="center"/>
          </w:tcPr>
          <w:p w14:paraId="292EC924" w14:textId="77777777" w:rsidR="00A052DC" w:rsidRDefault="009F0A60">
            <w:pPr>
              <w:jc w:val="left"/>
              <w:rPr>
                <w:rFonts w:ascii="黑体" w:eastAsia="黑体" w:hAnsi="黑体"/>
                <w:sz w:val="20"/>
                <w:szCs w:val="20"/>
              </w:rPr>
            </w:pPr>
            <w:r>
              <w:rPr>
                <w:rFonts w:ascii="黑体" w:eastAsia="黑体" w:hAnsi="黑体" w:hint="eastAsia"/>
                <w:sz w:val="20"/>
                <w:szCs w:val="20"/>
              </w:rPr>
              <w:t>字符型，</w:t>
            </w:r>
            <w:r>
              <w:rPr>
                <w:rFonts w:ascii="黑体" w:eastAsia="黑体" w:hAnsi="黑体"/>
                <w:sz w:val="20"/>
                <w:szCs w:val="20"/>
              </w:rPr>
              <w:t>2</w:t>
            </w:r>
          </w:p>
        </w:tc>
        <w:tc>
          <w:tcPr>
            <w:tcW w:w="3862" w:type="dxa"/>
            <w:vAlign w:val="center"/>
          </w:tcPr>
          <w:p w14:paraId="02E7444C" w14:textId="77777777" w:rsidR="00A052DC" w:rsidRDefault="009F0A60">
            <w:pPr>
              <w:rPr>
                <w:rFonts w:ascii="黑体" w:eastAsia="黑体" w:hAnsi="黑体"/>
                <w:sz w:val="20"/>
                <w:szCs w:val="20"/>
              </w:rPr>
            </w:pPr>
            <w:r>
              <w:rPr>
                <w:rFonts w:ascii="黑体" w:eastAsia="黑体" w:hAnsi="黑体" w:hint="eastAsia"/>
                <w:sz w:val="20"/>
                <w:szCs w:val="20"/>
              </w:rPr>
              <w:t>必填项，</w:t>
            </w:r>
          </w:p>
          <w:p w14:paraId="7D33BF65" w14:textId="77777777" w:rsidR="00A052DC" w:rsidRDefault="009F0A60">
            <w:pPr>
              <w:rPr>
                <w:rFonts w:ascii="黑体" w:eastAsia="黑体" w:hAnsi="黑体"/>
                <w:sz w:val="20"/>
                <w:szCs w:val="20"/>
              </w:rPr>
            </w:pPr>
            <w:r>
              <w:rPr>
                <w:rFonts w:ascii="黑体" w:eastAsia="黑体" w:hAnsi="黑体" w:hint="eastAsia"/>
                <w:sz w:val="20"/>
                <w:szCs w:val="20"/>
              </w:rPr>
              <w:t>境内个人：</w:t>
            </w:r>
          </w:p>
          <w:p w14:paraId="454270D7" w14:textId="77777777" w:rsidR="00A052DC" w:rsidRDefault="009F0A60">
            <w:pPr>
              <w:rPr>
                <w:rFonts w:ascii="黑体" w:eastAsia="黑体" w:hAnsi="黑体"/>
                <w:sz w:val="20"/>
                <w:szCs w:val="20"/>
              </w:rPr>
            </w:pPr>
            <w:r>
              <w:rPr>
                <w:rFonts w:ascii="黑体" w:eastAsia="黑体" w:hAnsi="黑体"/>
                <w:sz w:val="20"/>
                <w:szCs w:val="20"/>
              </w:rPr>
              <w:t>01</w:t>
            </w:r>
            <w:r>
              <w:rPr>
                <w:rFonts w:ascii="黑体" w:eastAsia="黑体" w:hAnsi="黑体" w:hint="eastAsia"/>
                <w:sz w:val="20"/>
                <w:szCs w:val="20"/>
              </w:rPr>
              <w:t>居民身份证</w:t>
            </w:r>
            <w:r w:rsidR="006F5A61">
              <w:rPr>
                <w:rFonts w:ascii="黑体" w:eastAsia="黑体" w:hAnsi="黑体" w:hint="eastAsia"/>
                <w:sz w:val="20"/>
                <w:szCs w:val="20"/>
              </w:rPr>
              <w:t>；</w:t>
            </w:r>
          </w:p>
          <w:p w14:paraId="20EFCF49" w14:textId="77777777" w:rsidR="00A052DC" w:rsidRDefault="009F0A60">
            <w:pPr>
              <w:rPr>
                <w:rFonts w:ascii="黑体" w:eastAsia="黑体" w:hAnsi="黑体"/>
                <w:sz w:val="20"/>
                <w:szCs w:val="20"/>
              </w:rPr>
            </w:pPr>
            <w:r>
              <w:rPr>
                <w:rFonts w:ascii="黑体" w:eastAsia="黑体" w:hAnsi="黑体"/>
                <w:sz w:val="20"/>
                <w:szCs w:val="20"/>
              </w:rPr>
              <w:t>02</w:t>
            </w:r>
            <w:r>
              <w:rPr>
                <w:rFonts w:ascii="黑体" w:eastAsia="黑体" w:hAnsi="黑体" w:hint="eastAsia"/>
                <w:sz w:val="20"/>
                <w:szCs w:val="20"/>
              </w:rPr>
              <w:t>军人身份证件</w:t>
            </w:r>
            <w:r w:rsidR="006F5A61">
              <w:rPr>
                <w:rFonts w:ascii="黑体" w:eastAsia="黑体" w:hAnsi="黑体" w:hint="eastAsia"/>
                <w:sz w:val="20"/>
                <w:szCs w:val="20"/>
              </w:rPr>
              <w:t>；</w:t>
            </w:r>
          </w:p>
          <w:p w14:paraId="2AEFDB91" w14:textId="77777777" w:rsidR="00A052DC" w:rsidRDefault="009F0A60">
            <w:pPr>
              <w:rPr>
                <w:rFonts w:ascii="黑体" w:eastAsia="黑体" w:hAnsi="黑体"/>
                <w:sz w:val="20"/>
                <w:szCs w:val="20"/>
              </w:rPr>
            </w:pPr>
            <w:r>
              <w:rPr>
                <w:rFonts w:ascii="黑体" w:eastAsia="黑体" w:hAnsi="黑体"/>
                <w:sz w:val="20"/>
                <w:szCs w:val="20"/>
              </w:rPr>
              <w:t>03</w:t>
            </w:r>
            <w:r>
              <w:rPr>
                <w:rFonts w:ascii="黑体" w:eastAsia="黑体" w:hAnsi="黑体" w:hint="eastAsia"/>
                <w:sz w:val="20"/>
                <w:szCs w:val="20"/>
              </w:rPr>
              <w:t>武装警察身份证件</w:t>
            </w:r>
            <w:r w:rsidR="006F5A61">
              <w:rPr>
                <w:rFonts w:ascii="黑体" w:eastAsia="黑体" w:hAnsi="黑体" w:hint="eastAsia"/>
                <w:sz w:val="20"/>
                <w:szCs w:val="20"/>
              </w:rPr>
              <w:t>。</w:t>
            </w:r>
          </w:p>
          <w:p w14:paraId="4EC71E6B" w14:textId="77777777" w:rsidR="00A052DC" w:rsidRDefault="009F0A60">
            <w:pPr>
              <w:rPr>
                <w:rFonts w:ascii="黑体" w:eastAsia="黑体" w:hAnsi="黑体"/>
                <w:sz w:val="20"/>
                <w:szCs w:val="20"/>
              </w:rPr>
            </w:pPr>
            <w:r>
              <w:rPr>
                <w:rFonts w:ascii="黑体" w:eastAsia="黑体" w:hAnsi="黑体" w:hint="eastAsia"/>
                <w:sz w:val="20"/>
                <w:szCs w:val="20"/>
              </w:rPr>
              <w:t>境外个人：</w:t>
            </w:r>
          </w:p>
          <w:p w14:paraId="47E6D96B" w14:textId="77777777" w:rsidR="00A052DC" w:rsidRDefault="009F0A60">
            <w:pPr>
              <w:rPr>
                <w:rFonts w:ascii="黑体" w:eastAsia="黑体" w:hAnsi="黑体"/>
                <w:sz w:val="20"/>
                <w:szCs w:val="20"/>
              </w:rPr>
            </w:pPr>
            <w:r>
              <w:rPr>
                <w:rFonts w:ascii="黑体" w:eastAsia="黑体" w:hAnsi="黑体"/>
                <w:sz w:val="20"/>
                <w:szCs w:val="20"/>
              </w:rPr>
              <w:t>04</w:t>
            </w:r>
            <w:r>
              <w:rPr>
                <w:rFonts w:ascii="黑体" w:eastAsia="黑体" w:hAnsi="黑体" w:hint="eastAsia"/>
                <w:sz w:val="20"/>
                <w:szCs w:val="20"/>
              </w:rPr>
              <w:t>外国护照</w:t>
            </w:r>
            <w:r w:rsidR="006F5A61">
              <w:rPr>
                <w:rFonts w:ascii="黑体" w:eastAsia="黑体" w:hAnsi="黑体" w:hint="eastAsia"/>
                <w:sz w:val="20"/>
                <w:szCs w:val="20"/>
              </w:rPr>
              <w:t>；</w:t>
            </w:r>
          </w:p>
          <w:p w14:paraId="7E2FC2F2" w14:textId="77777777" w:rsidR="00A052DC" w:rsidRDefault="009F0A60">
            <w:pPr>
              <w:rPr>
                <w:rFonts w:ascii="黑体" w:eastAsia="黑体" w:hAnsi="黑体"/>
                <w:sz w:val="20"/>
                <w:szCs w:val="20"/>
              </w:rPr>
            </w:pPr>
            <w:r>
              <w:rPr>
                <w:rFonts w:ascii="黑体" w:eastAsia="黑体" w:hAnsi="黑体"/>
                <w:sz w:val="20"/>
                <w:szCs w:val="20"/>
              </w:rPr>
              <w:t>05</w:t>
            </w:r>
            <w:r>
              <w:rPr>
                <w:rFonts w:ascii="黑体" w:eastAsia="黑体" w:hAnsi="黑体" w:hint="eastAsia"/>
                <w:sz w:val="20"/>
                <w:szCs w:val="20"/>
              </w:rPr>
              <w:t>外国人永久居留身份证</w:t>
            </w:r>
            <w:r w:rsidR="006F5A61">
              <w:rPr>
                <w:rFonts w:ascii="黑体" w:eastAsia="黑体" w:hAnsi="黑体" w:hint="eastAsia"/>
                <w:sz w:val="20"/>
                <w:szCs w:val="20"/>
              </w:rPr>
              <w:t>；</w:t>
            </w:r>
          </w:p>
          <w:p w14:paraId="0956BF65" w14:textId="77777777" w:rsidR="00A052DC" w:rsidRDefault="009F0A60">
            <w:pPr>
              <w:rPr>
                <w:rFonts w:ascii="黑体" w:eastAsia="黑体" w:hAnsi="黑体"/>
                <w:sz w:val="20"/>
                <w:szCs w:val="20"/>
              </w:rPr>
            </w:pPr>
            <w:r>
              <w:rPr>
                <w:rFonts w:ascii="黑体" w:eastAsia="黑体" w:hAnsi="黑体"/>
                <w:sz w:val="20"/>
                <w:szCs w:val="20"/>
              </w:rPr>
              <w:t>06</w:t>
            </w:r>
            <w:r>
              <w:rPr>
                <w:rFonts w:ascii="黑体" w:eastAsia="黑体" w:hAnsi="黑体" w:hint="eastAsia"/>
                <w:sz w:val="20"/>
                <w:szCs w:val="20"/>
              </w:rPr>
              <w:t>港澳居民来往内地通行证</w:t>
            </w:r>
            <w:r w:rsidR="006F5A61">
              <w:rPr>
                <w:rFonts w:ascii="黑体" w:eastAsia="黑体" w:hAnsi="黑体" w:hint="eastAsia"/>
                <w:sz w:val="20"/>
                <w:szCs w:val="20"/>
              </w:rPr>
              <w:t>；</w:t>
            </w:r>
          </w:p>
          <w:p w14:paraId="5FF9345F" w14:textId="77777777" w:rsidR="00A052DC" w:rsidRDefault="009F0A60">
            <w:pPr>
              <w:rPr>
                <w:rFonts w:ascii="黑体" w:eastAsia="黑体" w:hAnsi="黑体"/>
                <w:sz w:val="20"/>
                <w:szCs w:val="20"/>
              </w:rPr>
            </w:pPr>
            <w:r>
              <w:rPr>
                <w:rFonts w:ascii="黑体" w:eastAsia="黑体" w:hAnsi="黑体"/>
                <w:sz w:val="20"/>
                <w:szCs w:val="20"/>
              </w:rPr>
              <w:t>07</w:t>
            </w:r>
            <w:r>
              <w:rPr>
                <w:rFonts w:ascii="黑体" w:eastAsia="黑体" w:hAnsi="黑体" w:hint="eastAsia"/>
                <w:sz w:val="20"/>
                <w:szCs w:val="20"/>
              </w:rPr>
              <w:t>台湾居民来往大陆通行证</w:t>
            </w:r>
            <w:r w:rsidR="006F5A61">
              <w:rPr>
                <w:rFonts w:ascii="黑体" w:eastAsia="黑体" w:hAnsi="黑体" w:hint="eastAsia"/>
                <w:sz w:val="20"/>
                <w:szCs w:val="20"/>
              </w:rPr>
              <w:t>；</w:t>
            </w:r>
          </w:p>
          <w:p w14:paraId="765B0091" w14:textId="77777777" w:rsidR="00A052DC" w:rsidRDefault="009F0A60">
            <w:pPr>
              <w:rPr>
                <w:rFonts w:ascii="黑体" w:eastAsia="黑体" w:hAnsi="黑体"/>
                <w:sz w:val="20"/>
                <w:szCs w:val="20"/>
              </w:rPr>
            </w:pPr>
            <w:r>
              <w:rPr>
                <w:rFonts w:ascii="黑体" w:eastAsia="黑体" w:hAnsi="黑体"/>
                <w:sz w:val="20"/>
                <w:szCs w:val="20"/>
              </w:rPr>
              <w:t>09</w:t>
            </w:r>
            <w:r>
              <w:rPr>
                <w:rFonts w:ascii="黑体" w:eastAsia="黑体" w:hAnsi="黑体" w:hint="eastAsia"/>
                <w:sz w:val="20"/>
                <w:szCs w:val="20"/>
              </w:rPr>
              <w:t>中国护照</w:t>
            </w:r>
            <w:r w:rsidR="006F5A61">
              <w:rPr>
                <w:rFonts w:ascii="黑体" w:eastAsia="黑体" w:hAnsi="黑体" w:hint="eastAsia"/>
                <w:sz w:val="20"/>
                <w:szCs w:val="20"/>
              </w:rPr>
              <w:t>；</w:t>
            </w:r>
          </w:p>
          <w:p w14:paraId="1C31B5A3" w14:textId="77777777" w:rsidR="00A052DC" w:rsidRDefault="009F0A60">
            <w:pPr>
              <w:rPr>
                <w:rFonts w:ascii="黑体" w:eastAsia="黑体" w:hAnsi="黑体"/>
                <w:sz w:val="20"/>
                <w:szCs w:val="20"/>
              </w:rPr>
            </w:pPr>
            <w:r>
              <w:rPr>
                <w:rFonts w:ascii="黑体" w:eastAsia="黑体" w:hAnsi="黑体"/>
                <w:sz w:val="20"/>
                <w:szCs w:val="20"/>
              </w:rPr>
              <w:t>10</w:t>
            </w:r>
            <w:r>
              <w:rPr>
                <w:rFonts w:ascii="黑体" w:eastAsia="黑体" w:hAnsi="黑体" w:hint="eastAsia"/>
                <w:sz w:val="20"/>
                <w:szCs w:val="20"/>
              </w:rPr>
              <w:t>外交官证</w:t>
            </w:r>
            <w:r w:rsidR="006F5A61">
              <w:rPr>
                <w:rFonts w:ascii="黑体" w:eastAsia="黑体" w:hAnsi="黑体" w:hint="eastAsia"/>
                <w:sz w:val="20"/>
                <w:szCs w:val="20"/>
              </w:rPr>
              <w:t>；</w:t>
            </w:r>
          </w:p>
          <w:p w14:paraId="3A11E48A" w14:textId="77777777" w:rsidR="00A052DC" w:rsidRDefault="009F0A60">
            <w:pPr>
              <w:rPr>
                <w:rFonts w:ascii="黑体" w:eastAsia="黑体" w:hAnsi="黑体"/>
                <w:sz w:val="20"/>
                <w:szCs w:val="20"/>
              </w:rPr>
            </w:pPr>
            <w:r>
              <w:rPr>
                <w:rFonts w:ascii="黑体" w:eastAsia="黑体" w:hAnsi="黑体"/>
                <w:sz w:val="20"/>
                <w:szCs w:val="20"/>
              </w:rPr>
              <w:t>11</w:t>
            </w:r>
            <w:r>
              <w:rPr>
                <w:rFonts w:ascii="黑体" w:eastAsia="黑体" w:hAnsi="黑体" w:hint="eastAsia"/>
                <w:sz w:val="20"/>
                <w:szCs w:val="20"/>
              </w:rPr>
              <w:t>其他身份证件</w:t>
            </w:r>
            <w:r w:rsidR="006F5A61">
              <w:rPr>
                <w:rFonts w:ascii="黑体" w:eastAsia="黑体" w:hAnsi="黑体" w:hint="eastAsia"/>
                <w:sz w:val="20"/>
                <w:szCs w:val="20"/>
              </w:rPr>
              <w:t>。</w:t>
            </w:r>
          </w:p>
        </w:tc>
      </w:tr>
      <w:tr w:rsidR="00A052DC" w14:paraId="302BC6D6" w14:textId="77777777">
        <w:trPr>
          <w:trHeight w:val="20"/>
        </w:trPr>
        <w:tc>
          <w:tcPr>
            <w:tcW w:w="1526" w:type="dxa"/>
            <w:vAlign w:val="center"/>
          </w:tcPr>
          <w:p w14:paraId="580125B1" w14:textId="77777777" w:rsidR="00A052DC" w:rsidRDefault="009F0A60">
            <w:pPr>
              <w:pStyle w:val="B"/>
            </w:pPr>
            <w:r>
              <w:t>PTY_COUNTRY_CODE</w:t>
            </w:r>
          </w:p>
        </w:tc>
        <w:tc>
          <w:tcPr>
            <w:tcW w:w="1701" w:type="dxa"/>
            <w:vAlign w:val="center"/>
          </w:tcPr>
          <w:p w14:paraId="3F0FD3C3" w14:textId="77777777" w:rsidR="00A052DC" w:rsidRDefault="009F0A60">
            <w:pPr>
              <w:pStyle w:val="B"/>
            </w:pPr>
            <w:r>
              <w:rPr>
                <w:rFonts w:hint="eastAsia"/>
              </w:rPr>
              <w:t>持卡人国家</w:t>
            </w:r>
            <w:r>
              <w:t>/</w:t>
            </w:r>
            <w:r>
              <w:rPr>
                <w:rFonts w:hint="eastAsia"/>
              </w:rPr>
              <w:t>地区</w:t>
            </w:r>
          </w:p>
        </w:tc>
        <w:tc>
          <w:tcPr>
            <w:tcW w:w="1417" w:type="dxa"/>
            <w:vAlign w:val="center"/>
          </w:tcPr>
          <w:p w14:paraId="5D3BBF39" w14:textId="77777777" w:rsidR="00A052DC" w:rsidRDefault="009F0A60">
            <w:pPr>
              <w:pStyle w:val="B"/>
            </w:pPr>
            <w:r>
              <w:rPr>
                <w:rFonts w:hint="eastAsia"/>
              </w:rPr>
              <w:t>字符型，</w:t>
            </w:r>
            <w:r>
              <w:t>3</w:t>
            </w:r>
          </w:p>
        </w:tc>
        <w:tc>
          <w:tcPr>
            <w:tcW w:w="3862" w:type="dxa"/>
            <w:vAlign w:val="center"/>
          </w:tcPr>
          <w:p w14:paraId="5823D050" w14:textId="77777777" w:rsidR="00A052DC" w:rsidRDefault="009F0A60">
            <w:pPr>
              <w:pStyle w:val="B"/>
            </w:pPr>
            <w:r>
              <w:rPr>
                <w:rFonts w:hint="eastAsia"/>
              </w:rPr>
              <w:t>必填项，见国家和地区代码表。</w:t>
            </w:r>
          </w:p>
          <w:p w14:paraId="70FB6866" w14:textId="77777777" w:rsidR="00A052DC" w:rsidRDefault="009F0A60">
            <w:pPr>
              <w:pStyle w:val="B"/>
            </w:pPr>
            <w:r>
              <w:rPr>
                <w:rFonts w:hint="eastAsia"/>
              </w:rPr>
              <w:t>境内个人，全部填写中国。</w:t>
            </w:r>
          </w:p>
          <w:p w14:paraId="77E0FB00" w14:textId="77777777" w:rsidR="00A052DC" w:rsidRDefault="009F0A60">
            <w:pPr>
              <w:pStyle w:val="B"/>
            </w:pPr>
            <w:r>
              <w:rPr>
                <w:rFonts w:hint="eastAsia"/>
              </w:rPr>
              <w:t>身份证件类型为中国护照的，填写中国。</w:t>
            </w:r>
          </w:p>
          <w:p w14:paraId="0D0A2936" w14:textId="77777777" w:rsidR="00A052DC" w:rsidRDefault="009F0A60">
            <w:pPr>
              <w:pStyle w:val="B"/>
            </w:pPr>
            <w:r>
              <w:rPr>
                <w:rFonts w:hint="eastAsia"/>
              </w:rPr>
              <w:t>港澳居民来往内地通行证，填写香港</w:t>
            </w:r>
            <w:r>
              <w:t>/</w:t>
            </w:r>
            <w:r>
              <w:rPr>
                <w:rFonts w:hint="eastAsia"/>
              </w:rPr>
              <w:t>澳门。</w:t>
            </w:r>
          </w:p>
          <w:p w14:paraId="59DBB9FB" w14:textId="77777777" w:rsidR="00A052DC" w:rsidRDefault="009F0A60">
            <w:pPr>
              <w:pStyle w:val="B"/>
            </w:pPr>
            <w:r>
              <w:rPr>
                <w:rFonts w:hint="eastAsia"/>
              </w:rPr>
              <w:t>台湾居民来往大陆通行证，填写台湾。</w:t>
            </w:r>
          </w:p>
          <w:p w14:paraId="5D7AC951" w14:textId="77777777" w:rsidR="00A052DC" w:rsidRDefault="009F0A60">
            <w:pPr>
              <w:pStyle w:val="B"/>
            </w:pPr>
            <w:r>
              <w:rPr>
                <w:rFonts w:hint="eastAsia"/>
              </w:rPr>
              <w:t>其他境外个人（含外国护照</w:t>
            </w:r>
            <w:r>
              <w:t>/</w:t>
            </w:r>
            <w:r>
              <w:rPr>
                <w:rFonts w:hint="eastAsia"/>
              </w:rPr>
              <w:t>外国人永久居留身份证），填写中国之外的其他国家</w:t>
            </w:r>
            <w:r>
              <w:t>/</w:t>
            </w:r>
            <w:r>
              <w:rPr>
                <w:rFonts w:hint="eastAsia"/>
              </w:rPr>
              <w:t>地区。</w:t>
            </w:r>
          </w:p>
          <w:p w14:paraId="4A8A2149" w14:textId="77777777" w:rsidR="00A052DC" w:rsidRDefault="009F0A60">
            <w:pPr>
              <w:pStyle w:val="B"/>
            </w:pPr>
            <w:r>
              <w:rPr>
                <w:rFonts w:hint="eastAsia"/>
              </w:rPr>
              <w:t>其他，请填写（</w:t>
            </w:r>
            <w:r>
              <w:t>000</w:t>
            </w:r>
            <w:r>
              <w:rPr>
                <w:rFonts w:hint="eastAsia"/>
              </w:rPr>
              <w:t>）。</w:t>
            </w:r>
          </w:p>
        </w:tc>
      </w:tr>
      <w:tr w:rsidR="00A052DC" w14:paraId="59CA8156" w14:textId="77777777">
        <w:trPr>
          <w:trHeight w:val="20"/>
        </w:trPr>
        <w:tc>
          <w:tcPr>
            <w:tcW w:w="1526" w:type="dxa"/>
            <w:vAlign w:val="center"/>
          </w:tcPr>
          <w:p w14:paraId="1A77C700" w14:textId="77777777" w:rsidR="00A052DC" w:rsidRDefault="009F0A60">
            <w:pPr>
              <w:rPr>
                <w:rFonts w:ascii="黑体" w:eastAsia="黑体" w:hAnsi="黑体"/>
                <w:sz w:val="20"/>
                <w:szCs w:val="20"/>
              </w:rPr>
            </w:pPr>
            <w:r>
              <w:rPr>
                <w:rFonts w:ascii="黑体" w:eastAsia="黑体" w:hAnsi="黑体"/>
                <w:sz w:val="20"/>
                <w:szCs w:val="20"/>
              </w:rPr>
              <w:t>ID_CODE</w:t>
            </w:r>
          </w:p>
        </w:tc>
        <w:tc>
          <w:tcPr>
            <w:tcW w:w="1701" w:type="dxa"/>
            <w:vAlign w:val="center"/>
          </w:tcPr>
          <w:p w14:paraId="001A1AE1" w14:textId="77777777" w:rsidR="00A052DC" w:rsidRDefault="009F0A60">
            <w:pPr>
              <w:rPr>
                <w:rFonts w:ascii="黑体" w:eastAsia="黑体" w:hAnsi="黑体"/>
                <w:sz w:val="20"/>
                <w:szCs w:val="20"/>
              </w:rPr>
            </w:pPr>
            <w:r>
              <w:rPr>
                <w:rFonts w:ascii="黑体" w:eastAsia="黑体" w:hAnsi="黑体" w:hint="eastAsia"/>
                <w:sz w:val="20"/>
                <w:szCs w:val="20"/>
              </w:rPr>
              <w:t>身份证件号码</w:t>
            </w:r>
          </w:p>
        </w:tc>
        <w:tc>
          <w:tcPr>
            <w:tcW w:w="1417" w:type="dxa"/>
            <w:vAlign w:val="center"/>
          </w:tcPr>
          <w:p w14:paraId="0485CEFB" w14:textId="77777777" w:rsidR="00A052DC" w:rsidRDefault="009F0A60">
            <w:pPr>
              <w:jc w:val="left"/>
              <w:rPr>
                <w:rFonts w:ascii="黑体" w:eastAsia="黑体" w:hAnsi="黑体"/>
                <w:sz w:val="20"/>
                <w:szCs w:val="20"/>
              </w:rPr>
            </w:pPr>
            <w:r>
              <w:rPr>
                <w:rFonts w:ascii="黑体" w:eastAsia="黑体" w:hAnsi="黑体" w:hint="eastAsia"/>
                <w:sz w:val="20"/>
                <w:szCs w:val="20"/>
              </w:rPr>
              <w:t>字符型，</w:t>
            </w:r>
            <w:r>
              <w:rPr>
                <w:rFonts w:ascii="黑体" w:eastAsia="黑体" w:hAnsi="黑体"/>
                <w:sz w:val="20"/>
                <w:szCs w:val="20"/>
              </w:rPr>
              <w:t>128</w:t>
            </w:r>
          </w:p>
        </w:tc>
        <w:tc>
          <w:tcPr>
            <w:tcW w:w="3862" w:type="dxa"/>
            <w:vAlign w:val="center"/>
          </w:tcPr>
          <w:p w14:paraId="1C62313A" w14:textId="77777777" w:rsidR="00A052DC" w:rsidRDefault="009F0A60">
            <w:pPr>
              <w:rPr>
                <w:rFonts w:ascii="黑体" w:eastAsia="黑体" w:hAnsi="黑体"/>
                <w:sz w:val="20"/>
                <w:szCs w:val="20"/>
              </w:rPr>
            </w:pPr>
            <w:r>
              <w:rPr>
                <w:rFonts w:ascii="黑体" w:eastAsia="黑体" w:hAnsi="黑体" w:hint="eastAsia"/>
                <w:sz w:val="20"/>
                <w:szCs w:val="20"/>
              </w:rPr>
              <w:t>必填项</w:t>
            </w:r>
          </w:p>
          <w:p w14:paraId="7E074F33" w14:textId="77777777" w:rsidR="00A052DC" w:rsidRDefault="009F0A60">
            <w:pPr>
              <w:rPr>
                <w:rFonts w:ascii="黑体" w:eastAsia="黑体" w:hAnsi="黑体"/>
                <w:sz w:val="20"/>
                <w:szCs w:val="20"/>
              </w:rPr>
            </w:pPr>
            <w:r>
              <w:rPr>
                <w:rFonts w:ascii="黑体" w:eastAsia="黑体" w:hAnsi="黑体" w:hint="eastAsia"/>
                <w:sz w:val="20"/>
                <w:szCs w:val="20"/>
              </w:rPr>
              <w:t>身份证件号码：半角格式；</w:t>
            </w:r>
          </w:p>
          <w:p w14:paraId="79765C56" w14:textId="77777777" w:rsidR="00A052DC" w:rsidRDefault="009F0A60">
            <w:pPr>
              <w:rPr>
                <w:rFonts w:ascii="黑体" w:eastAsia="黑体" w:hAnsi="黑体"/>
                <w:sz w:val="20"/>
                <w:szCs w:val="20"/>
              </w:rPr>
            </w:pPr>
            <w:r>
              <w:rPr>
                <w:rFonts w:ascii="黑体" w:eastAsia="黑体" w:hAnsi="黑体" w:hint="eastAsia"/>
                <w:sz w:val="20"/>
                <w:szCs w:val="20"/>
              </w:rPr>
              <w:t>境内个人：</w:t>
            </w:r>
          </w:p>
          <w:p w14:paraId="4CC13AC4" w14:textId="77777777" w:rsidR="00A052DC" w:rsidRDefault="009F0A60">
            <w:pPr>
              <w:rPr>
                <w:rFonts w:ascii="黑体" w:eastAsia="黑体" w:hAnsi="黑体"/>
                <w:sz w:val="20"/>
                <w:szCs w:val="20"/>
              </w:rPr>
            </w:pPr>
            <w:r>
              <w:rPr>
                <w:rFonts w:ascii="黑体" w:eastAsia="黑体" w:hAnsi="黑体" w:hint="eastAsia"/>
                <w:sz w:val="20"/>
                <w:szCs w:val="20"/>
              </w:rPr>
              <w:t>身份证件类型为身份证的，</w:t>
            </w:r>
            <w:r>
              <w:rPr>
                <w:rFonts w:ascii="黑体" w:eastAsia="黑体" w:hAnsi="黑体"/>
                <w:sz w:val="20"/>
                <w:szCs w:val="20"/>
              </w:rPr>
              <w:t>18</w:t>
            </w:r>
            <w:r>
              <w:rPr>
                <w:rFonts w:ascii="黑体" w:eastAsia="黑体" w:hAnsi="黑体" w:hint="eastAsia"/>
                <w:sz w:val="20"/>
                <w:szCs w:val="20"/>
              </w:rPr>
              <w:t>位，由全部数字或数字加最末一位大写英文字符组成。符合公安部身份证号码校验规则。</w:t>
            </w:r>
          </w:p>
          <w:p w14:paraId="2BF83DDB" w14:textId="77777777" w:rsidR="00A052DC" w:rsidRDefault="009F0A60">
            <w:pPr>
              <w:rPr>
                <w:rFonts w:ascii="黑体" w:eastAsia="黑体" w:hAnsi="黑体"/>
                <w:sz w:val="20"/>
                <w:szCs w:val="20"/>
              </w:rPr>
            </w:pPr>
            <w:r>
              <w:rPr>
                <w:rFonts w:ascii="黑体" w:eastAsia="黑体" w:hAnsi="黑体" w:hint="eastAsia"/>
                <w:sz w:val="20"/>
                <w:szCs w:val="20"/>
              </w:rPr>
              <w:t>境外个人：</w:t>
            </w:r>
          </w:p>
          <w:p w14:paraId="6D69CD6D" w14:textId="77777777" w:rsidR="00A052DC" w:rsidRDefault="009F0A60">
            <w:pPr>
              <w:rPr>
                <w:rFonts w:ascii="黑体" w:eastAsia="黑体" w:hAnsi="黑体"/>
                <w:sz w:val="20"/>
                <w:szCs w:val="20"/>
              </w:rPr>
            </w:pPr>
            <w:r>
              <w:rPr>
                <w:rFonts w:ascii="黑体" w:eastAsia="黑体" w:hAnsi="黑体" w:hint="eastAsia"/>
                <w:sz w:val="20"/>
                <w:szCs w:val="20"/>
              </w:rPr>
              <w:t>身份证件类型为外国护照的，只允许输入大写字母和数字、中文。</w:t>
            </w:r>
          </w:p>
          <w:p w14:paraId="0EFACAC2" w14:textId="77777777" w:rsidR="00A052DC" w:rsidRDefault="009F0A60">
            <w:pPr>
              <w:rPr>
                <w:rFonts w:ascii="黑体" w:eastAsia="黑体" w:hAnsi="黑体"/>
                <w:sz w:val="20"/>
                <w:szCs w:val="20"/>
              </w:rPr>
            </w:pPr>
            <w:r>
              <w:rPr>
                <w:rFonts w:ascii="黑体" w:eastAsia="黑体" w:hAnsi="黑体" w:hint="eastAsia"/>
                <w:sz w:val="20"/>
                <w:szCs w:val="20"/>
              </w:rPr>
              <w:t>身份证件类型为外国人永久居留身份证的，填写</w:t>
            </w:r>
            <w:r>
              <w:rPr>
                <w:rFonts w:ascii="黑体" w:eastAsia="黑体" w:hAnsi="黑体"/>
                <w:sz w:val="20"/>
                <w:szCs w:val="20"/>
              </w:rPr>
              <w:t>15</w:t>
            </w:r>
            <w:r>
              <w:rPr>
                <w:rFonts w:ascii="黑体" w:eastAsia="黑体" w:hAnsi="黑体" w:hint="eastAsia"/>
                <w:sz w:val="20"/>
                <w:szCs w:val="20"/>
              </w:rPr>
              <w:t>位外国人永久居留身份证号码（国别码</w:t>
            </w:r>
            <w:r>
              <w:rPr>
                <w:rFonts w:ascii="黑体" w:eastAsia="黑体" w:hAnsi="黑体"/>
                <w:sz w:val="20"/>
                <w:szCs w:val="20"/>
              </w:rPr>
              <w:t>3</w:t>
            </w:r>
            <w:r>
              <w:rPr>
                <w:rFonts w:ascii="黑体" w:eastAsia="黑体" w:hAnsi="黑体" w:hint="eastAsia"/>
                <w:sz w:val="20"/>
                <w:szCs w:val="20"/>
              </w:rPr>
              <w:t>位大写字母</w:t>
            </w:r>
            <w:r>
              <w:rPr>
                <w:rFonts w:ascii="黑体" w:eastAsia="黑体" w:hAnsi="黑体"/>
                <w:sz w:val="20"/>
                <w:szCs w:val="20"/>
              </w:rPr>
              <w:t>+ 12</w:t>
            </w:r>
            <w:r>
              <w:rPr>
                <w:rFonts w:ascii="黑体" w:eastAsia="黑体" w:hAnsi="黑体" w:hint="eastAsia"/>
                <w:sz w:val="20"/>
                <w:szCs w:val="20"/>
              </w:rPr>
              <w:t>位数字）。</w:t>
            </w:r>
          </w:p>
          <w:p w14:paraId="46412734" w14:textId="77777777" w:rsidR="00A052DC" w:rsidRDefault="009F0A60">
            <w:pPr>
              <w:rPr>
                <w:rFonts w:ascii="黑体" w:eastAsia="黑体" w:hAnsi="黑体"/>
                <w:sz w:val="20"/>
                <w:szCs w:val="20"/>
              </w:rPr>
            </w:pPr>
            <w:r>
              <w:rPr>
                <w:rFonts w:ascii="黑体" w:eastAsia="黑体" w:hAnsi="黑体" w:hint="eastAsia"/>
                <w:sz w:val="20"/>
                <w:szCs w:val="20"/>
              </w:rPr>
              <w:t>身份证件类型为港澳居民往来内地通行证的，输入通行证号（第一个字母是</w:t>
            </w:r>
            <w:r>
              <w:rPr>
                <w:rFonts w:ascii="黑体" w:eastAsia="黑体" w:hAnsi="黑体"/>
                <w:sz w:val="20"/>
                <w:szCs w:val="20"/>
              </w:rPr>
              <w:t>H</w:t>
            </w:r>
            <w:r>
              <w:rPr>
                <w:rFonts w:ascii="黑体" w:eastAsia="黑体" w:hAnsi="黑体" w:hint="eastAsia"/>
                <w:sz w:val="20"/>
                <w:szCs w:val="20"/>
              </w:rPr>
              <w:t>或者</w:t>
            </w:r>
            <w:r>
              <w:rPr>
                <w:rFonts w:ascii="黑体" w:eastAsia="黑体" w:hAnsi="黑体"/>
                <w:sz w:val="20"/>
                <w:szCs w:val="20"/>
              </w:rPr>
              <w:t>M</w:t>
            </w:r>
            <w:r>
              <w:rPr>
                <w:rFonts w:ascii="黑体" w:eastAsia="黑体" w:hAnsi="黑体" w:hint="eastAsia"/>
                <w:sz w:val="20"/>
                <w:szCs w:val="20"/>
              </w:rPr>
              <w:t>，后面共</w:t>
            </w:r>
            <w:r>
              <w:rPr>
                <w:rFonts w:ascii="黑体" w:eastAsia="黑体" w:hAnsi="黑体"/>
                <w:sz w:val="20"/>
                <w:szCs w:val="20"/>
              </w:rPr>
              <w:t>8</w:t>
            </w:r>
            <w:r>
              <w:rPr>
                <w:rFonts w:ascii="黑体" w:eastAsia="黑体" w:hAnsi="黑体" w:hint="eastAsia"/>
                <w:sz w:val="20"/>
                <w:szCs w:val="20"/>
              </w:rPr>
              <w:t>位数字。当首字母为</w:t>
            </w:r>
            <w:r>
              <w:rPr>
                <w:rFonts w:ascii="黑体" w:eastAsia="黑体" w:hAnsi="黑体"/>
                <w:sz w:val="20"/>
                <w:szCs w:val="20"/>
              </w:rPr>
              <w:t>“H”</w:t>
            </w:r>
            <w:r>
              <w:rPr>
                <w:rFonts w:ascii="黑体" w:eastAsia="黑体" w:hAnsi="黑体" w:hint="eastAsia"/>
                <w:sz w:val="20"/>
                <w:szCs w:val="20"/>
              </w:rPr>
              <w:t>时为“香港”，当首字母为</w:t>
            </w:r>
            <w:r>
              <w:rPr>
                <w:rFonts w:ascii="黑体" w:eastAsia="黑体" w:hAnsi="黑体"/>
                <w:sz w:val="20"/>
                <w:szCs w:val="20"/>
              </w:rPr>
              <w:t>“M”</w:t>
            </w:r>
            <w:r>
              <w:rPr>
                <w:rFonts w:ascii="黑体" w:eastAsia="黑体" w:hAnsi="黑体" w:hint="eastAsia"/>
                <w:sz w:val="20"/>
                <w:szCs w:val="20"/>
              </w:rPr>
              <w:t>时为“澳门”）。</w:t>
            </w:r>
          </w:p>
          <w:p w14:paraId="4C89CE9B" w14:textId="77777777" w:rsidR="00A052DC" w:rsidRDefault="009F0A60">
            <w:pPr>
              <w:rPr>
                <w:rFonts w:ascii="黑体" w:eastAsia="黑体" w:hAnsi="黑体"/>
                <w:sz w:val="20"/>
                <w:szCs w:val="20"/>
              </w:rPr>
            </w:pPr>
            <w:r>
              <w:rPr>
                <w:rFonts w:ascii="黑体" w:eastAsia="黑体" w:hAnsi="黑体" w:hint="eastAsia"/>
                <w:sz w:val="20"/>
                <w:szCs w:val="20"/>
              </w:rPr>
              <w:t>身份证件类型为台湾居民来往内地通行证的，输入通行证号。</w:t>
            </w:r>
          </w:p>
          <w:p w14:paraId="5DC7EC8B" w14:textId="77777777" w:rsidR="00A052DC" w:rsidRDefault="009F0A60">
            <w:pPr>
              <w:rPr>
                <w:rFonts w:ascii="黑体" w:eastAsia="黑体" w:hAnsi="黑体"/>
                <w:sz w:val="20"/>
                <w:szCs w:val="20"/>
              </w:rPr>
            </w:pPr>
            <w:r>
              <w:rPr>
                <w:rFonts w:ascii="黑体" w:eastAsia="黑体" w:hAnsi="黑体" w:hint="eastAsia"/>
                <w:sz w:val="20"/>
                <w:szCs w:val="20"/>
              </w:rPr>
              <w:t>其他身份证件类型，按有关部门的相关要求进行校验。</w:t>
            </w:r>
          </w:p>
        </w:tc>
      </w:tr>
      <w:tr w:rsidR="00A052DC" w14:paraId="12EDCAE7" w14:textId="77777777">
        <w:trPr>
          <w:trHeight w:val="20"/>
        </w:trPr>
        <w:tc>
          <w:tcPr>
            <w:tcW w:w="1526" w:type="dxa"/>
            <w:vAlign w:val="center"/>
          </w:tcPr>
          <w:p w14:paraId="48D0AF36" w14:textId="77777777" w:rsidR="00A052DC" w:rsidRDefault="009F0A60">
            <w:pPr>
              <w:rPr>
                <w:rFonts w:ascii="黑体" w:eastAsia="黑体" w:hAnsi="黑体"/>
                <w:sz w:val="20"/>
                <w:szCs w:val="20"/>
              </w:rPr>
            </w:pPr>
            <w:r>
              <w:rPr>
                <w:rFonts w:ascii="黑体" w:eastAsia="黑体" w:hAnsi="黑体"/>
                <w:sz w:val="20"/>
                <w:szCs w:val="20"/>
              </w:rPr>
              <w:t>PERSON_NAME</w:t>
            </w:r>
          </w:p>
        </w:tc>
        <w:tc>
          <w:tcPr>
            <w:tcW w:w="1701" w:type="dxa"/>
            <w:vAlign w:val="center"/>
          </w:tcPr>
          <w:p w14:paraId="08DE84D6" w14:textId="77777777" w:rsidR="00A052DC" w:rsidRDefault="009F0A60">
            <w:pPr>
              <w:rPr>
                <w:rFonts w:ascii="黑体" w:eastAsia="黑体" w:hAnsi="黑体"/>
                <w:sz w:val="20"/>
                <w:szCs w:val="20"/>
              </w:rPr>
            </w:pPr>
            <w:r>
              <w:rPr>
                <w:rFonts w:ascii="黑体" w:eastAsia="黑体" w:hAnsi="黑体" w:hint="eastAsia"/>
                <w:sz w:val="20"/>
                <w:szCs w:val="20"/>
              </w:rPr>
              <w:t>持卡人姓名</w:t>
            </w:r>
          </w:p>
        </w:tc>
        <w:tc>
          <w:tcPr>
            <w:tcW w:w="1417" w:type="dxa"/>
            <w:vAlign w:val="center"/>
          </w:tcPr>
          <w:p w14:paraId="5B9AAD87" w14:textId="77777777" w:rsidR="00A052DC" w:rsidRDefault="009F0A60">
            <w:pPr>
              <w:jc w:val="left"/>
              <w:rPr>
                <w:rFonts w:ascii="黑体" w:eastAsia="黑体" w:hAnsi="黑体"/>
                <w:sz w:val="20"/>
                <w:szCs w:val="20"/>
              </w:rPr>
            </w:pPr>
            <w:r>
              <w:rPr>
                <w:rFonts w:ascii="黑体" w:eastAsia="黑体" w:hAnsi="黑体" w:hint="eastAsia"/>
                <w:sz w:val="20"/>
                <w:szCs w:val="20"/>
              </w:rPr>
              <w:t>字符型，</w:t>
            </w:r>
            <w:r>
              <w:rPr>
                <w:rFonts w:ascii="黑体" w:eastAsia="黑体" w:hAnsi="黑体"/>
                <w:sz w:val="20"/>
                <w:szCs w:val="20"/>
              </w:rPr>
              <w:t>128</w:t>
            </w:r>
          </w:p>
        </w:tc>
        <w:tc>
          <w:tcPr>
            <w:tcW w:w="3862" w:type="dxa"/>
            <w:vAlign w:val="center"/>
          </w:tcPr>
          <w:p w14:paraId="57FFFF30" w14:textId="77777777" w:rsidR="00A052DC" w:rsidRDefault="009F0A60">
            <w:pPr>
              <w:rPr>
                <w:rFonts w:ascii="黑体" w:eastAsia="黑体" w:hAnsi="黑体"/>
                <w:sz w:val="20"/>
                <w:szCs w:val="20"/>
              </w:rPr>
            </w:pPr>
            <w:r>
              <w:rPr>
                <w:rFonts w:ascii="黑体" w:eastAsia="黑体" w:hAnsi="黑体" w:hint="eastAsia"/>
                <w:kern w:val="0"/>
                <w:sz w:val="20"/>
                <w:szCs w:val="20"/>
              </w:rPr>
              <w:t>必填项。</w:t>
            </w:r>
            <w:r>
              <w:rPr>
                <w:rFonts w:ascii="黑体" w:eastAsia="黑体" w:hAnsi="黑体" w:hint="eastAsia"/>
                <w:sz w:val="20"/>
                <w:szCs w:val="20"/>
              </w:rPr>
              <w:t>持卡人身份证件上填写的</w:t>
            </w:r>
            <w:r>
              <w:rPr>
                <w:rFonts w:ascii="黑体" w:eastAsia="黑体" w:hAnsi="黑体" w:hint="eastAsia"/>
                <w:kern w:val="0"/>
                <w:sz w:val="20"/>
                <w:szCs w:val="20"/>
              </w:rPr>
              <w:t>姓名，只允许录入汉字、字母（半角）或符号（仅支持半角格式的点“.” 和“-”以及中文格式的“·”）中间允许有空格。</w:t>
            </w:r>
          </w:p>
        </w:tc>
      </w:tr>
      <w:tr w:rsidR="00A052DC" w14:paraId="733C46FE" w14:textId="77777777">
        <w:trPr>
          <w:trHeight w:val="20"/>
        </w:trPr>
        <w:tc>
          <w:tcPr>
            <w:tcW w:w="1526" w:type="dxa"/>
            <w:vAlign w:val="center"/>
          </w:tcPr>
          <w:p w14:paraId="478DBA10" w14:textId="77777777" w:rsidR="00A052DC" w:rsidRDefault="009F0A60">
            <w:pPr>
              <w:rPr>
                <w:rFonts w:ascii="黑体" w:eastAsia="黑体" w:hAnsi="黑体"/>
                <w:sz w:val="20"/>
                <w:szCs w:val="20"/>
              </w:rPr>
            </w:pPr>
            <w:r>
              <w:rPr>
                <w:rFonts w:ascii="黑体" w:eastAsia="黑体" w:hAnsi="黑体"/>
                <w:sz w:val="20"/>
                <w:szCs w:val="20"/>
              </w:rPr>
              <w:t>ACCTNO</w:t>
            </w:r>
          </w:p>
        </w:tc>
        <w:tc>
          <w:tcPr>
            <w:tcW w:w="1701" w:type="dxa"/>
            <w:vAlign w:val="center"/>
          </w:tcPr>
          <w:p w14:paraId="2327CFDB" w14:textId="77777777" w:rsidR="00A052DC" w:rsidRDefault="009F0A60">
            <w:pPr>
              <w:rPr>
                <w:rFonts w:ascii="黑体" w:eastAsia="黑体" w:hAnsi="黑体"/>
                <w:sz w:val="20"/>
                <w:szCs w:val="20"/>
              </w:rPr>
            </w:pPr>
            <w:r>
              <w:rPr>
                <w:rFonts w:ascii="黑体" w:eastAsia="黑体" w:hAnsi="黑体" w:hint="eastAsia"/>
                <w:sz w:val="20"/>
                <w:szCs w:val="20"/>
              </w:rPr>
              <w:t>卡号</w:t>
            </w:r>
          </w:p>
        </w:tc>
        <w:tc>
          <w:tcPr>
            <w:tcW w:w="1417" w:type="dxa"/>
            <w:vAlign w:val="center"/>
          </w:tcPr>
          <w:p w14:paraId="495DC872" w14:textId="77777777" w:rsidR="00A052DC" w:rsidRDefault="009F0A60">
            <w:pPr>
              <w:jc w:val="left"/>
              <w:rPr>
                <w:rFonts w:ascii="黑体" w:eastAsia="黑体" w:hAnsi="黑体"/>
                <w:sz w:val="20"/>
                <w:szCs w:val="20"/>
              </w:rPr>
            </w:pPr>
            <w:r>
              <w:rPr>
                <w:rFonts w:ascii="黑体" w:eastAsia="黑体" w:hAnsi="黑体" w:hint="eastAsia"/>
                <w:sz w:val="20"/>
                <w:szCs w:val="20"/>
              </w:rPr>
              <w:t>字符型，</w:t>
            </w:r>
            <w:r>
              <w:rPr>
                <w:rFonts w:ascii="黑体" w:eastAsia="黑体" w:hAnsi="黑体"/>
                <w:sz w:val="20"/>
                <w:szCs w:val="20"/>
              </w:rPr>
              <w:t>32</w:t>
            </w:r>
          </w:p>
        </w:tc>
        <w:tc>
          <w:tcPr>
            <w:tcW w:w="3862" w:type="dxa"/>
            <w:vAlign w:val="center"/>
          </w:tcPr>
          <w:p w14:paraId="2DDF869F" w14:textId="77777777" w:rsidR="00A052DC" w:rsidRDefault="009F0A60">
            <w:pPr>
              <w:rPr>
                <w:rFonts w:ascii="黑体" w:eastAsia="黑体" w:hAnsi="黑体"/>
                <w:sz w:val="20"/>
                <w:szCs w:val="20"/>
              </w:rPr>
            </w:pPr>
            <w:r>
              <w:rPr>
                <w:rFonts w:ascii="黑体" w:eastAsia="黑体" w:hAnsi="黑体" w:hint="eastAsia"/>
                <w:sz w:val="20"/>
                <w:szCs w:val="20"/>
              </w:rPr>
              <w:t>必填项。境外消费使用的银行卡卡号。</w:t>
            </w:r>
          </w:p>
        </w:tc>
      </w:tr>
      <w:tr w:rsidR="00A052DC" w14:paraId="79A04B94" w14:textId="77777777">
        <w:trPr>
          <w:trHeight w:val="20"/>
        </w:trPr>
        <w:tc>
          <w:tcPr>
            <w:tcW w:w="1526" w:type="dxa"/>
            <w:vAlign w:val="center"/>
          </w:tcPr>
          <w:p w14:paraId="6A7C782E" w14:textId="77777777" w:rsidR="00A052DC" w:rsidRDefault="009F0A60">
            <w:pPr>
              <w:rPr>
                <w:rFonts w:ascii="黑体" w:eastAsia="黑体" w:hAnsi="黑体"/>
                <w:sz w:val="20"/>
                <w:szCs w:val="20"/>
              </w:rPr>
            </w:pPr>
            <w:r>
              <w:rPr>
                <w:rFonts w:ascii="黑体" w:eastAsia="黑体" w:hAnsi="黑体"/>
                <w:sz w:val="20"/>
                <w:szCs w:val="20"/>
              </w:rPr>
              <w:t>JY_ CCY_CODE</w:t>
            </w:r>
          </w:p>
        </w:tc>
        <w:tc>
          <w:tcPr>
            <w:tcW w:w="1701" w:type="dxa"/>
            <w:vAlign w:val="center"/>
          </w:tcPr>
          <w:p w14:paraId="441B6AEE" w14:textId="77777777" w:rsidR="00A052DC" w:rsidRDefault="009F0A60">
            <w:pPr>
              <w:rPr>
                <w:rFonts w:ascii="黑体" w:eastAsia="黑体" w:hAnsi="黑体"/>
                <w:sz w:val="20"/>
                <w:szCs w:val="20"/>
              </w:rPr>
            </w:pPr>
            <w:r>
              <w:rPr>
                <w:rFonts w:ascii="黑体" w:eastAsia="黑体" w:hAnsi="黑体" w:hint="eastAsia"/>
                <w:sz w:val="20"/>
                <w:szCs w:val="20"/>
              </w:rPr>
              <w:t>交易货币币种</w:t>
            </w:r>
          </w:p>
        </w:tc>
        <w:tc>
          <w:tcPr>
            <w:tcW w:w="1417" w:type="dxa"/>
            <w:vAlign w:val="center"/>
          </w:tcPr>
          <w:p w14:paraId="6AE20DB7" w14:textId="77777777" w:rsidR="00A052DC" w:rsidRDefault="009F0A60">
            <w:pPr>
              <w:jc w:val="left"/>
              <w:rPr>
                <w:rFonts w:ascii="黑体" w:eastAsia="黑体" w:hAnsi="黑体"/>
                <w:sz w:val="20"/>
                <w:szCs w:val="20"/>
              </w:rPr>
            </w:pPr>
            <w:r>
              <w:rPr>
                <w:rFonts w:ascii="黑体" w:eastAsia="黑体" w:hAnsi="黑体" w:hint="eastAsia"/>
                <w:sz w:val="20"/>
                <w:szCs w:val="20"/>
              </w:rPr>
              <w:t>字符型，</w:t>
            </w:r>
            <w:r>
              <w:rPr>
                <w:rFonts w:ascii="黑体" w:eastAsia="黑体" w:hAnsi="黑体"/>
                <w:sz w:val="20"/>
                <w:szCs w:val="20"/>
              </w:rPr>
              <w:t>3</w:t>
            </w:r>
          </w:p>
        </w:tc>
        <w:tc>
          <w:tcPr>
            <w:tcW w:w="3862" w:type="dxa"/>
            <w:vAlign w:val="center"/>
          </w:tcPr>
          <w:p w14:paraId="7D351CD6" w14:textId="77777777" w:rsidR="00A052DC" w:rsidRDefault="009F0A60">
            <w:pPr>
              <w:rPr>
                <w:rFonts w:ascii="黑体" w:eastAsia="黑体" w:hAnsi="黑体"/>
                <w:sz w:val="20"/>
                <w:szCs w:val="20"/>
              </w:rPr>
            </w:pPr>
            <w:r>
              <w:rPr>
                <w:rFonts w:ascii="黑体" w:eastAsia="黑体" w:hAnsi="黑体" w:hint="eastAsia"/>
                <w:sz w:val="20"/>
                <w:szCs w:val="20"/>
              </w:rPr>
              <w:t>必填项，见币种代码表。</w:t>
            </w:r>
          </w:p>
        </w:tc>
      </w:tr>
      <w:tr w:rsidR="00A052DC" w14:paraId="334FBE97" w14:textId="77777777">
        <w:trPr>
          <w:trHeight w:val="20"/>
        </w:trPr>
        <w:tc>
          <w:tcPr>
            <w:tcW w:w="1526" w:type="dxa"/>
            <w:tcBorders>
              <w:top w:val="single" w:sz="4" w:space="0" w:color="auto"/>
              <w:left w:val="single" w:sz="4" w:space="0" w:color="auto"/>
              <w:bottom w:val="single" w:sz="4" w:space="0" w:color="auto"/>
              <w:right w:val="single" w:sz="4" w:space="0" w:color="auto"/>
            </w:tcBorders>
            <w:vAlign w:val="center"/>
          </w:tcPr>
          <w:p w14:paraId="15806720" w14:textId="77777777" w:rsidR="00A052DC" w:rsidRDefault="009F0A60">
            <w:pPr>
              <w:rPr>
                <w:rFonts w:ascii="黑体" w:eastAsia="黑体" w:hAnsi="黑体"/>
                <w:sz w:val="20"/>
                <w:szCs w:val="20"/>
              </w:rPr>
            </w:pPr>
            <w:r>
              <w:rPr>
                <w:rFonts w:ascii="黑体" w:eastAsia="黑体" w:hAnsi="黑体"/>
                <w:sz w:val="20"/>
                <w:szCs w:val="20"/>
              </w:rPr>
              <w:t>JY_AMT</w:t>
            </w:r>
          </w:p>
        </w:tc>
        <w:tc>
          <w:tcPr>
            <w:tcW w:w="1701" w:type="dxa"/>
            <w:tcBorders>
              <w:top w:val="single" w:sz="4" w:space="0" w:color="auto"/>
              <w:left w:val="single" w:sz="4" w:space="0" w:color="auto"/>
              <w:bottom w:val="single" w:sz="4" w:space="0" w:color="auto"/>
              <w:right w:val="single" w:sz="4" w:space="0" w:color="auto"/>
            </w:tcBorders>
            <w:vAlign w:val="center"/>
          </w:tcPr>
          <w:p w14:paraId="7A0101ED" w14:textId="77777777" w:rsidR="00A052DC" w:rsidRDefault="009F0A60">
            <w:pPr>
              <w:rPr>
                <w:rFonts w:ascii="黑体" w:eastAsia="黑体" w:hAnsi="黑体"/>
                <w:sz w:val="20"/>
                <w:szCs w:val="20"/>
              </w:rPr>
            </w:pPr>
            <w:r>
              <w:rPr>
                <w:rFonts w:ascii="黑体" w:eastAsia="黑体" w:hAnsi="黑体" w:hint="eastAsia"/>
                <w:sz w:val="20"/>
                <w:szCs w:val="20"/>
              </w:rPr>
              <w:t>交易货币金额</w:t>
            </w:r>
          </w:p>
        </w:tc>
        <w:tc>
          <w:tcPr>
            <w:tcW w:w="1417" w:type="dxa"/>
            <w:tcBorders>
              <w:top w:val="single" w:sz="4" w:space="0" w:color="auto"/>
              <w:left w:val="single" w:sz="4" w:space="0" w:color="auto"/>
              <w:bottom w:val="single" w:sz="4" w:space="0" w:color="auto"/>
              <w:right w:val="single" w:sz="4" w:space="0" w:color="auto"/>
            </w:tcBorders>
            <w:vAlign w:val="center"/>
          </w:tcPr>
          <w:p w14:paraId="13B3CFFF" w14:textId="77777777" w:rsidR="00A052DC" w:rsidRDefault="009F0A60">
            <w:pPr>
              <w:jc w:val="left"/>
              <w:rPr>
                <w:rFonts w:ascii="黑体" w:eastAsia="黑体" w:hAnsi="黑体"/>
                <w:sz w:val="20"/>
                <w:szCs w:val="20"/>
              </w:rPr>
            </w:pPr>
            <w:r>
              <w:rPr>
                <w:rFonts w:ascii="黑体" w:eastAsia="黑体" w:hAnsi="黑体" w:hint="eastAsia"/>
                <w:sz w:val="20"/>
                <w:szCs w:val="20"/>
              </w:rPr>
              <w:t>数值型，</w:t>
            </w:r>
            <w:r>
              <w:rPr>
                <w:rFonts w:ascii="黑体" w:eastAsia="黑体" w:hAnsi="黑体"/>
                <w:sz w:val="20"/>
                <w:szCs w:val="20"/>
              </w:rPr>
              <w:t>22.2</w:t>
            </w:r>
          </w:p>
        </w:tc>
        <w:tc>
          <w:tcPr>
            <w:tcW w:w="3862" w:type="dxa"/>
            <w:tcBorders>
              <w:top w:val="single" w:sz="4" w:space="0" w:color="auto"/>
              <w:left w:val="single" w:sz="4" w:space="0" w:color="auto"/>
              <w:bottom w:val="single" w:sz="4" w:space="0" w:color="auto"/>
              <w:right w:val="single" w:sz="4" w:space="0" w:color="auto"/>
            </w:tcBorders>
            <w:vAlign w:val="center"/>
          </w:tcPr>
          <w:p w14:paraId="743F1684"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r w:rsidR="00A052DC" w14:paraId="47D51139" w14:textId="77777777">
        <w:trPr>
          <w:trHeight w:val="20"/>
        </w:trPr>
        <w:tc>
          <w:tcPr>
            <w:tcW w:w="1526" w:type="dxa"/>
            <w:vAlign w:val="center"/>
          </w:tcPr>
          <w:p w14:paraId="154F6B6B" w14:textId="77777777" w:rsidR="00A052DC" w:rsidRDefault="009F0A60">
            <w:pPr>
              <w:rPr>
                <w:rFonts w:ascii="黑体" w:eastAsia="黑体" w:hAnsi="黑体"/>
                <w:sz w:val="20"/>
                <w:szCs w:val="20"/>
              </w:rPr>
            </w:pPr>
            <w:r>
              <w:rPr>
                <w:rFonts w:ascii="黑体" w:eastAsia="黑体" w:hAnsi="黑体"/>
                <w:sz w:val="20"/>
                <w:szCs w:val="20"/>
              </w:rPr>
              <w:t>QS_AMT_RMB</w:t>
            </w:r>
          </w:p>
        </w:tc>
        <w:tc>
          <w:tcPr>
            <w:tcW w:w="1701" w:type="dxa"/>
            <w:vAlign w:val="center"/>
          </w:tcPr>
          <w:p w14:paraId="22D8A311" w14:textId="77777777" w:rsidR="00A052DC" w:rsidRDefault="009F0A60">
            <w:pPr>
              <w:rPr>
                <w:rFonts w:ascii="黑体" w:eastAsia="黑体" w:hAnsi="黑体"/>
                <w:sz w:val="20"/>
                <w:szCs w:val="20"/>
              </w:rPr>
            </w:pPr>
            <w:r>
              <w:rPr>
                <w:rFonts w:ascii="黑体" w:eastAsia="黑体" w:hAnsi="黑体" w:hint="eastAsia"/>
                <w:sz w:val="20"/>
                <w:szCs w:val="20"/>
              </w:rPr>
              <w:t>交易货币折人民币金额</w:t>
            </w:r>
          </w:p>
        </w:tc>
        <w:tc>
          <w:tcPr>
            <w:tcW w:w="1417" w:type="dxa"/>
            <w:vAlign w:val="center"/>
          </w:tcPr>
          <w:p w14:paraId="6BF489AE" w14:textId="77777777" w:rsidR="00A052DC" w:rsidRDefault="009F0A60">
            <w:pPr>
              <w:jc w:val="left"/>
              <w:rPr>
                <w:rFonts w:ascii="黑体" w:eastAsia="黑体" w:hAnsi="黑体"/>
                <w:sz w:val="20"/>
                <w:szCs w:val="20"/>
              </w:rPr>
            </w:pPr>
            <w:r>
              <w:rPr>
                <w:rFonts w:ascii="黑体" w:eastAsia="黑体" w:hAnsi="黑体" w:hint="eastAsia"/>
                <w:sz w:val="20"/>
                <w:szCs w:val="20"/>
              </w:rPr>
              <w:t>数值型，</w:t>
            </w:r>
            <w:r>
              <w:rPr>
                <w:rFonts w:ascii="黑体" w:eastAsia="黑体" w:hAnsi="黑体"/>
                <w:sz w:val="20"/>
                <w:szCs w:val="20"/>
              </w:rPr>
              <w:t>22.2</w:t>
            </w:r>
          </w:p>
        </w:tc>
        <w:tc>
          <w:tcPr>
            <w:tcW w:w="3862" w:type="dxa"/>
            <w:vAlign w:val="center"/>
          </w:tcPr>
          <w:p w14:paraId="1F52D57E"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r w:rsidR="00A052DC" w14:paraId="31A91B94" w14:textId="77777777">
        <w:trPr>
          <w:trHeight w:val="20"/>
        </w:trPr>
        <w:tc>
          <w:tcPr>
            <w:tcW w:w="1526" w:type="dxa"/>
            <w:vAlign w:val="center"/>
          </w:tcPr>
          <w:p w14:paraId="5402985D" w14:textId="77777777" w:rsidR="00A052DC" w:rsidRDefault="009F0A60">
            <w:pPr>
              <w:rPr>
                <w:rFonts w:ascii="黑体" w:eastAsia="黑体" w:hAnsi="黑体"/>
                <w:sz w:val="20"/>
                <w:szCs w:val="20"/>
              </w:rPr>
            </w:pPr>
            <w:r>
              <w:rPr>
                <w:rFonts w:ascii="黑体" w:eastAsia="黑体" w:hAnsi="黑体"/>
                <w:sz w:val="20"/>
                <w:szCs w:val="20"/>
              </w:rPr>
              <w:t>MCC_CODE</w:t>
            </w:r>
          </w:p>
        </w:tc>
        <w:tc>
          <w:tcPr>
            <w:tcW w:w="1701" w:type="dxa"/>
            <w:vAlign w:val="center"/>
          </w:tcPr>
          <w:p w14:paraId="029C0DC4" w14:textId="77777777" w:rsidR="00A052DC" w:rsidRDefault="009F0A60">
            <w:pPr>
              <w:rPr>
                <w:rFonts w:ascii="黑体" w:eastAsia="黑体" w:hAnsi="黑体"/>
                <w:sz w:val="20"/>
                <w:szCs w:val="20"/>
              </w:rPr>
            </w:pPr>
            <w:r>
              <w:rPr>
                <w:rFonts w:ascii="黑体" w:eastAsia="黑体" w:hAnsi="黑体"/>
                <w:sz w:val="20"/>
                <w:szCs w:val="20"/>
              </w:rPr>
              <w:t xml:space="preserve">MCC </w:t>
            </w:r>
            <w:r>
              <w:rPr>
                <w:rFonts w:ascii="黑体" w:eastAsia="黑体" w:hAnsi="黑体" w:hint="eastAsia"/>
                <w:sz w:val="20"/>
                <w:szCs w:val="20"/>
              </w:rPr>
              <w:t>码</w:t>
            </w:r>
          </w:p>
        </w:tc>
        <w:tc>
          <w:tcPr>
            <w:tcW w:w="1417" w:type="dxa"/>
            <w:vAlign w:val="center"/>
          </w:tcPr>
          <w:p w14:paraId="37C8D3D9" w14:textId="77777777" w:rsidR="00A052DC" w:rsidRDefault="009F0A60">
            <w:pPr>
              <w:jc w:val="left"/>
              <w:rPr>
                <w:rFonts w:ascii="黑体" w:eastAsia="黑体" w:hAnsi="黑体"/>
                <w:sz w:val="20"/>
                <w:szCs w:val="20"/>
              </w:rPr>
            </w:pPr>
            <w:r>
              <w:rPr>
                <w:rFonts w:ascii="黑体" w:eastAsia="黑体" w:hAnsi="黑体" w:hint="eastAsia"/>
                <w:sz w:val="20"/>
                <w:szCs w:val="20"/>
              </w:rPr>
              <w:t>字符型，</w:t>
            </w:r>
            <w:r>
              <w:rPr>
                <w:rFonts w:ascii="黑体" w:eastAsia="黑体" w:hAnsi="黑体"/>
                <w:sz w:val="20"/>
                <w:szCs w:val="20"/>
              </w:rPr>
              <w:t>4</w:t>
            </w:r>
          </w:p>
        </w:tc>
        <w:tc>
          <w:tcPr>
            <w:tcW w:w="3862" w:type="dxa"/>
            <w:vAlign w:val="center"/>
          </w:tcPr>
          <w:p w14:paraId="2E73F5CA" w14:textId="77777777" w:rsidR="00A052DC" w:rsidRDefault="009F0A60">
            <w:pPr>
              <w:rPr>
                <w:rFonts w:ascii="黑体" w:eastAsia="黑体" w:hAnsi="黑体"/>
                <w:sz w:val="20"/>
                <w:szCs w:val="20"/>
              </w:rPr>
            </w:pPr>
            <w:r>
              <w:rPr>
                <w:rFonts w:ascii="黑体" w:eastAsia="黑体" w:hAnsi="黑体" w:hint="eastAsia"/>
                <w:sz w:val="20"/>
                <w:szCs w:val="20"/>
              </w:rPr>
              <w:t>必填项。除境外提现数据的</w:t>
            </w:r>
            <w:r>
              <w:rPr>
                <w:rFonts w:ascii="黑体" w:eastAsia="黑体" w:hAnsi="黑体"/>
                <w:sz w:val="20"/>
                <w:szCs w:val="20"/>
              </w:rPr>
              <w:t>6010</w:t>
            </w:r>
            <w:r>
              <w:rPr>
                <w:rFonts w:ascii="黑体" w:eastAsia="黑体" w:hAnsi="黑体" w:hint="eastAsia"/>
                <w:sz w:val="20"/>
                <w:szCs w:val="20"/>
              </w:rPr>
              <w:t>（金融机构</w:t>
            </w:r>
            <w:r>
              <w:rPr>
                <w:rFonts w:ascii="黑体" w:eastAsia="黑体" w:hAnsi="黑体"/>
                <w:sz w:val="20"/>
                <w:szCs w:val="20"/>
              </w:rPr>
              <w:t>-</w:t>
            </w:r>
            <w:r>
              <w:rPr>
                <w:rFonts w:ascii="黑体" w:eastAsia="黑体" w:hAnsi="黑体" w:hint="eastAsia"/>
                <w:sz w:val="20"/>
                <w:szCs w:val="20"/>
              </w:rPr>
              <w:t>银行柜台服务）和</w:t>
            </w:r>
            <w:r>
              <w:rPr>
                <w:rFonts w:ascii="黑体" w:eastAsia="黑体" w:hAnsi="黑体"/>
                <w:sz w:val="20"/>
                <w:szCs w:val="20"/>
              </w:rPr>
              <w:t>6011</w:t>
            </w:r>
            <w:r>
              <w:rPr>
                <w:rFonts w:ascii="黑体" w:eastAsia="黑体" w:hAnsi="黑体" w:hint="eastAsia"/>
                <w:sz w:val="20"/>
                <w:szCs w:val="20"/>
              </w:rPr>
              <w:t>（金融机构</w:t>
            </w:r>
            <w:r>
              <w:rPr>
                <w:rFonts w:ascii="黑体" w:eastAsia="黑体" w:hAnsi="黑体"/>
                <w:sz w:val="20"/>
                <w:szCs w:val="20"/>
              </w:rPr>
              <w:t>-</w:t>
            </w:r>
            <w:r>
              <w:rPr>
                <w:rFonts w:ascii="黑体" w:eastAsia="黑体" w:hAnsi="黑体" w:hint="eastAsia"/>
                <w:sz w:val="20"/>
                <w:szCs w:val="20"/>
              </w:rPr>
              <w:t>自动提款机服务）外。</w:t>
            </w:r>
          </w:p>
        </w:tc>
      </w:tr>
      <w:tr w:rsidR="00A052DC" w14:paraId="61927193" w14:textId="77777777">
        <w:trPr>
          <w:trHeight w:val="20"/>
        </w:trPr>
        <w:tc>
          <w:tcPr>
            <w:tcW w:w="1526" w:type="dxa"/>
            <w:vAlign w:val="center"/>
          </w:tcPr>
          <w:p w14:paraId="3F93C466" w14:textId="77777777" w:rsidR="00A052DC" w:rsidRDefault="009F0A60">
            <w:pPr>
              <w:rPr>
                <w:rFonts w:ascii="黑体" w:eastAsia="黑体" w:hAnsi="黑体"/>
                <w:sz w:val="20"/>
                <w:szCs w:val="20"/>
              </w:rPr>
            </w:pPr>
            <w:r>
              <w:rPr>
                <w:rFonts w:ascii="黑体" w:eastAsia="黑体" w:hAnsi="黑体"/>
                <w:sz w:val="20"/>
                <w:szCs w:val="20"/>
              </w:rPr>
              <w:t>CARD _TYPE_CODE</w:t>
            </w:r>
          </w:p>
        </w:tc>
        <w:tc>
          <w:tcPr>
            <w:tcW w:w="1701" w:type="dxa"/>
            <w:vAlign w:val="center"/>
          </w:tcPr>
          <w:p w14:paraId="22E24969" w14:textId="77777777" w:rsidR="00A052DC" w:rsidRDefault="009F0A60">
            <w:pPr>
              <w:rPr>
                <w:rFonts w:ascii="黑体" w:eastAsia="黑体" w:hAnsi="黑体"/>
                <w:sz w:val="20"/>
                <w:szCs w:val="20"/>
              </w:rPr>
            </w:pPr>
            <w:r>
              <w:rPr>
                <w:rFonts w:ascii="黑体" w:eastAsia="黑体" w:hAnsi="黑体" w:hint="eastAsia"/>
                <w:sz w:val="20"/>
                <w:szCs w:val="20"/>
              </w:rPr>
              <w:t>银行卡类型</w:t>
            </w:r>
          </w:p>
        </w:tc>
        <w:tc>
          <w:tcPr>
            <w:tcW w:w="1417" w:type="dxa"/>
            <w:vAlign w:val="center"/>
          </w:tcPr>
          <w:p w14:paraId="5E26F824" w14:textId="77777777" w:rsidR="00A052DC" w:rsidRDefault="009F0A60">
            <w:pPr>
              <w:jc w:val="left"/>
              <w:rPr>
                <w:rFonts w:ascii="黑体" w:eastAsia="黑体" w:hAnsi="黑体"/>
                <w:sz w:val="20"/>
                <w:szCs w:val="20"/>
              </w:rPr>
            </w:pPr>
            <w:r>
              <w:rPr>
                <w:rFonts w:ascii="黑体" w:eastAsia="黑体" w:hAnsi="黑体" w:hint="eastAsia"/>
                <w:sz w:val="20"/>
                <w:szCs w:val="20"/>
              </w:rPr>
              <w:t>字符型，</w:t>
            </w:r>
            <w:r>
              <w:rPr>
                <w:rFonts w:ascii="黑体" w:eastAsia="黑体" w:hAnsi="黑体"/>
                <w:sz w:val="20"/>
                <w:szCs w:val="20"/>
              </w:rPr>
              <w:t>1</w:t>
            </w:r>
          </w:p>
        </w:tc>
        <w:tc>
          <w:tcPr>
            <w:tcW w:w="3862" w:type="dxa"/>
            <w:vAlign w:val="center"/>
          </w:tcPr>
          <w:p w14:paraId="180A635C" w14:textId="77777777" w:rsidR="00A052DC" w:rsidRDefault="009F0A60">
            <w:pPr>
              <w:rPr>
                <w:rFonts w:ascii="黑体" w:eastAsia="黑体" w:hAnsi="黑体"/>
                <w:sz w:val="20"/>
                <w:szCs w:val="20"/>
              </w:rPr>
            </w:pPr>
            <w:r>
              <w:rPr>
                <w:rFonts w:ascii="黑体" w:eastAsia="黑体" w:hAnsi="黑体" w:hint="eastAsia"/>
                <w:sz w:val="20"/>
                <w:szCs w:val="20"/>
              </w:rPr>
              <w:t>必填项。</w:t>
            </w:r>
            <w:r>
              <w:rPr>
                <w:rFonts w:ascii="黑体" w:eastAsia="黑体" w:hAnsi="黑体"/>
                <w:sz w:val="20"/>
                <w:szCs w:val="20"/>
              </w:rPr>
              <w:t>1-</w:t>
            </w:r>
            <w:r>
              <w:rPr>
                <w:rFonts w:ascii="黑体" w:eastAsia="黑体" w:hAnsi="黑体" w:hint="eastAsia"/>
                <w:sz w:val="20"/>
                <w:szCs w:val="20"/>
              </w:rPr>
              <w:t>借记卡，</w:t>
            </w:r>
            <w:r>
              <w:rPr>
                <w:rFonts w:ascii="黑体" w:eastAsia="黑体" w:hAnsi="黑体"/>
                <w:sz w:val="20"/>
                <w:szCs w:val="20"/>
              </w:rPr>
              <w:t>2-</w:t>
            </w:r>
            <w:r>
              <w:rPr>
                <w:rFonts w:ascii="黑体" w:eastAsia="黑体" w:hAnsi="黑体" w:hint="eastAsia"/>
                <w:sz w:val="20"/>
                <w:szCs w:val="20"/>
              </w:rPr>
              <w:t>贷记卡，</w:t>
            </w:r>
            <w:r>
              <w:rPr>
                <w:rFonts w:ascii="黑体" w:eastAsia="黑体" w:hAnsi="黑体"/>
                <w:sz w:val="20"/>
                <w:szCs w:val="20"/>
              </w:rPr>
              <w:t>3-</w:t>
            </w:r>
            <w:r>
              <w:rPr>
                <w:rFonts w:ascii="黑体" w:eastAsia="黑体" w:hAnsi="黑体" w:hint="eastAsia"/>
                <w:sz w:val="20"/>
                <w:szCs w:val="20"/>
              </w:rPr>
              <w:t>准贷记卡。</w:t>
            </w:r>
          </w:p>
        </w:tc>
      </w:tr>
      <w:tr w:rsidR="00A052DC" w14:paraId="27000ED6" w14:textId="77777777">
        <w:trPr>
          <w:trHeight w:val="20"/>
        </w:trPr>
        <w:tc>
          <w:tcPr>
            <w:tcW w:w="1526" w:type="dxa"/>
            <w:vAlign w:val="center"/>
          </w:tcPr>
          <w:p w14:paraId="4A1BF43C" w14:textId="77777777" w:rsidR="00A052DC" w:rsidRDefault="009F0A60">
            <w:pPr>
              <w:rPr>
                <w:rFonts w:ascii="黑体" w:eastAsia="黑体" w:hAnsi="黑体"/>
                <w:sz w:val="20"/>
                <w:szCs w:val="20"/>
              </w:rPr>
            </w:pPr>
            <w:r>
              <w:rPr>
                <w:rFonts w:ascii="黑体" w:eastAsia="黑体" w:hAnsi="黑体"/>
                <w:sz w:val="20"/>
                <w:szCs w:val="20"/>
              </w:rPr>
              <w:t>CARD_CHNL_CODE</w:t>
            </w:r>
          </w:p>
        </w:tc>
        <w:tc>
          <w:tcPr>
            <w:tcW w:w="1701" w:type="dxa"/>
            <w:vAlign w:val="center"/>
          </w:tcPr>
          <w:p w14:paraId="2D7587DA" w14:textId="77777777" w:rsidR="00A052DC" w:rsidRDefault="009F0A60">
            <w:pPr>
              <w:rPr>
                <w:rFonts w:ascii="黑体" w:eastAsia="黑体" w:hAnsi="黑体"/>
                <w:sz w:val="20"/>
                <w:szCs w:val="20"/>
              </w:rPr>
            </w:pPr>
            <w:r>
              <w:rPr>
                <w:rFonts w:ascii="黑体" w:eastAsia="黑体" w:hAnsi="黑体" w:hint="eastAsia"/>
                <w:sz w:val="20"/>
                <w:szCs w:val="20"/>
              </w:rPr>
              <w:t>银行卡清算渠道</w:t>
            </w:r>
          </w:p>
        </w:tc>
        <w:tc>
          <w:tcPr>
            <w:tcW w:w="1417" w:type="dxa"/>
            <w:vAlign w:val="center"/>
          </w:tcPr>
          <w:p w14:paraId="10E978CF" w14:textId="77777777" w:rsidR="00A052DC" w:rsidRDefault="009F0A60">
            <w:pPr>
              <w:jc w:val="left"/>
              <w:rPr>
                <w:rFonts w:ascii="黑体" w:eastAsia="黑体" w:hAnsi="黑体"/>
                <w:sz w:val="20"/>
                <w:szCs w:val="20"/>
              </w:rPr>
            </w:pPr>
            <w:r>
              <w:rPr>
                <w:rFonts w:ascii="黑体" w:eastAsia="黑体" w:hAnsi="黑体" w:hint="eastAsia"/>
                <w:sz w:val="20"/>
                <w:szCs w:val="20"/>
              </w:rPr>
              <w:t>字符型，</w:t>
            </w:r>
            <w:r>
              <w:rPr>
                <w:rFonts w:ascii="黑体" w:eastAsia="黑体" w:hAnsi="黑体"/>
                <w:sz w:val="20"/>
                <w:szCs w:val="20"/>
              </w:rPr>
              <w:t>1</w:t>
            </w:r>
          </w:p>
        </w:tc>
        <w:tc>
          <w:tcPr>
            <w:tcW w:w="3862" w:type="dxa"/>
            <w:vAlign w:val="center"/>
          </w:tcPr>
          <w:p w14:paraId="67CC6308" w14:textId="77777777" w:rsidR="00A052DC" w:rsidRDefault="009F0A60" w:rsidP="006F5A61">
            <w:pPr>
              <w:rPr>
                <w:rFonts w:ascii="黑体" w:eastAsia="黑体" w:hAnsi="黑体"/>
                <w:sz w:val="20"/>
                <w:szCs w:val="20"/>
              </w:rPr>
            </w:pPr>
            <w:r>
              <w:rPr>
                <w:rFonts w:ascii="黑体" w:eastAsia="黑体" w:hAnsi="黑体" w:hint="eastAsia"/>
                <w:sz w:val="20"/>
                <w:szCs w:val="20"/>
              </w:rPr>
              <w:t>必填项。</w:t>
            </w:r>
            <w:r>
              <w:rPr>
                <w:rFonts w:ascii="黑体" w:eastAsia="黑体" w:hAnsi="黑体"/>
                <w:sz w:val="20"/>
                <w:szCs w:val="20"/>
              </w:rPr>
              <w:t>1-</w:t>
            </w:r>
            <w:r>
              <w:rPr>
                <w:rFonts w:ascii="黑体" w:eastAsia="黑体" w:hAnsi="黑体" w:hint="eastAsia"/>
                <w:sz w:val="20"/>
                <w:szCs w:val="20"/>
              </w:rPr>
              <w:t>银联</w:t>
            </w:r>
            <w:r w:rsidR="006F5A61">
              <w:rPr>
                <w:rFonts w:ascii="黑体" w:eastAsia="黑体" w:hAnsi="黑体" w:hint="eastAsia"/>
                <w:sz w:val="20"/>
                <w:szCs w:val="20"/>
              </w:rPr>
              <w:t>，</w:t>
            </w:r>
            <w:r>
              <w:rPr>
                <w:rFonts w:ascii="黑体" w:eastAsia="黑体" w:hAnsi="黑体"/>
                <w:sz w:val="20"/>
                <w:szCs w:val="20"/>
              </w:rPr>
              <w:t>2-</w:t>
            </w:r>
            <w:r>
              <w:rPr>
                <w:rFonts w:ascii="黑体" w:eastAsia="黑体" w:hAnsi="黑体" w:hint="eastAsia"/>
                <w:sz w:val="20"/>
                <w:szCs w:val="20"/>
              </w:rPr>
              <w:t>威士（</w:t>
            </w:r>
            <w:r>
              <w:rPr>
                <w:rFonts w:ascii="黑体" w:eastAsia="黑体" w:hAnsi="黑体"/>
                <w:sz w:val="20"/>
                <w:szCs w:val="20"/>
              </w:rPr>
              <w:t>Visa</w:t>
            </w:r>
            <w:r>
              <w:rPr>
                <w:rFonts w:ascii="黑体" w:eastAsia="黑体" w:hAnsi="黑体" w:hint="eastAsia"/>
                <w:sz w:val="20"/>
                <w:szCs w:val="20"/>
              </w:rPr>
              <w:t>）</w:t>
            </w:r>
            <w:r w:rsidR="006F5A61">
              <w:rPr>
                <w:rFonts w:ascii="黑体" w:eastAsia="黑体" w:hAnsi="黑体" w:hint="eastAsia"/>
                <w:sz w:val="20"/>
                <w:szCs w:val="20"/>
              </w:rPr>
              <w:t>，</w:t>
            </w:r>
            <w:r>
              <w:rPr>
                <w:rFonts w:ascii="黑体" w:eastAsia="黑体" w:hAnsi="黑体"/>
                <w:sz w:val="20"/>
                <w:szCs w:val="20"/>
              </w:rPr>
              <w:t>3-</w:t>
            </w:r>
            <w:r>
              <w:rPr>
                <w:rFonts w:ascii="黑体" w:eastAsia="黑体" w:hAnsi="黑体" w:hint="eastAsia"/>
                <w:sz w:val="20"/>
                <w:szCs w:val="20"/>
              </w:rPr>
              <w:t>万事达（</w:t>
            </w:r>
            <w:r>
              <w:rPr>
                <w:rFonts w:ascii="黑体" w:eastAsia="黑体" w:hAnsi="黑体"/>
                <w:sz w:val="20"/>
                <w:szCs w:val="20"/>
              </w:rPr>
              <w:t>Mastercard</w:t>
            </w:r>
            <w:r>
              <w:rPr>
                <w:rFonts w:ascii="黑体" w:eastAsia="黑体" w:hAnsi="黑体" w:hint="eastAsia"/>
                <w:sz w:val="20"/>
                <w:szCs w:val="20"/>
              </w:rPr>
              <w:t>）</w:t>
            </w:r>
            <w:r w:rsidR="006F5A61">
              <w:rPr>
                <w:rFonts w:ascii="黑体" w:eastAsia="黑体" w:hAnsi="黑体" w:hint="eastAsia"/>
                <w:sz w:val="20"/>
                <w:szCs w:val="20"/>
              </w:rPr>
              <w:t>，</w:t>
            </w:r>
            <w:r>
              <w:rPr>
                <w:rFonts w:ascii="黑体" w:eastAsia="黑体" w:hAnsi="黑体"/>
                <w:sz w:val="20"/>
                <w:szCs w:val="20"/>
              </w:rPr>
              <w:t>4-</w:t>
            </w:r>
            <w:r>
              <w:rPr>
                <w:rFonts w:ascii="黑体" w:eastAsia="黑体" w:hAnsi="黑体" w:hint="eastAsia"/>
                <w:sz w:val="20"/>
                <w:szCs w:val="20"/>
              </w:rPr>
              <w:t>美国运通（</w:t>
            </w:r>
            <w:r>
              <w:rPr>
                <w:rFonts w:ascii="黑体" w:eastAsia="黑体" w:hAnsi="黑体"/>
                <w:sz w:val="20"/>
                <w:szCs w:val="20"/>
              </w:rPr>
              <w:t>AMERICAN EXPRESS</w:t>
            </w:r>
            <w:r>
              <w:rPr>
                <w:rFonts w:ascii="黑体" w:eastAsia="黑体" w:hAnsi="黑体" w:hint="eastAsia"/>
                <w:sz w:val="20"/>
                <w:szCs w:val="20"/>
              </w:rPr>
              <w:t>）</w:t>
            </w:r>
            <w:r w:rsidR="006F5A61">
              <w:rPr>
                <w:rFonts w:ascii="黑体" w:eastAsia="黑体" w:hAnsi="黑体" w:hint="eastAsia"/>
                <w:sz w:val="20"/>
                <w:szCs w:val="20"/>
              </w:rPr>
              <w:t>，</w:t>
            </w:r>
            <w:r>
              <w:rPr>
                <w:rFonts w:ascii="黑体" w:eastAsia="黑体" w:hAnsi="黑体"/>
                <w:sz w:val="20"/>
                <w:szCs w:val="20"/>
              </w:rPr>
              <w:t>5-</w:t>
            </w:r>
            <w:r>
              <w:rPr>
                <w:rFonts w:ascii="黑体" w:eastAsia="黑体" w:hAnsi="黑体" w:hint="eastAsia"/>
                <w:sz w:val="20"/>
                <w:szCs w:val="20"/>
              </w:rPr>
              <w:t>大来（</w:t>
            </w:r>
            <w:r>
              <w:rPr>
                <w:rFonts w:ascii="黑体" w:eastAsia="黑体" w:hAnsi="黑体"/>
                <w:sz w:val="20"/>
                <w:szCs w:val="20"/>
              </w:rPr>
              <w:t>DINERS CLUB</w:t>
            </w:r>
            <w:r>
              <w:rPr>
                <w:rFonts w:ascii="黑体" w:eastAsia="黑体" w:hAnsi="黑体" w:hint="eastAsia"/>
                <w:sz w:val="20"/>
                <w:szCs w:val="20"/>
              </w:rPr>
              <w:t>）</w:t>
            </w:r>
            <w:r w:rsidR="006F5A61">
              <w:rPr>
                <w:rFonts w:ascii="黑体" w:eastAsia="黑体" w:hAnsi="黑体" w:hint="eastAsia"/>
                <w:sz w:val="20"/>
                <w:szCs w:val="20"/>
              </w:rPr>
              <w:t>，</w:t>
            </w:r>
            <w:r>
              <w:rPr>
                <w:rFonts w:ascii="黑体" w:eastAsia="黑体" w:hAnsi="黑体"/>
                <w:sz w:val="20"/>
                <w:szCs w:val="20"/>
              </w:rPr>
              <w:t>6-</w:t>
            </w:r>
            <w:r>
              <w:rPr>
                <w:rFonts w:ascii="黑体" w:eastAsia="黑体" w:hAnsi="黑体" w:hint="eastAsia"/>
                <w:sz w:val="20"/>
                <w:szCs w:val="20"/>
              </w:rPr>
              <w:t>吉士美（</w:t>
            </w:r>
            <w:r>
              <w:rPr>
                <w:rFonts w:ascii="黑体" w:eastAsia="黑体" w:hAnsi="黑体"/>
                <w:sz w:val="20"/>
                <w:szCs w:val="20"/>
              </w:rPr>
              <w:t>JCB</w:t>
            </w:r>
            <w:r>
              <w:rPr>
                <w:rFonts w:ascii="黑体" w:eastAsia="黑体" w:hAnsi="黑体" w:hint="eastAsia"/>
                <w:sz w:val="20"/>
                <w:szCs w:val="20"/>
              </w:rPr>
              <w:t>）</w:t>
            </w:r>
            <w:r w:rsidR="006F5A61">
              <w:rPr>
                <w:rFonts w:ascii="黑体" w:eastAsia="黑体" w:hAnsi="黑体" w:hint="eastAsia"/>
                <w:sz w:val="20"/>
                <w:szCs w:val="20"/>
              </w:rPr>
              <w:t>，</w:t>
            </w:r>
            <w:r>
              <w:rPr>
                <w:rFonts w:ascii="黑体" w:eastAsia="黑体" w:hAnsi="黑体"/>
                <w:sz w:val="20"/>
                <w:szCs w:val="20"/>
              </w:rPr>
              <w:t>7-</w:t>
            </w:r>
            <w:r>
              <w:rPr>
                <w:rFonts w:ascii="黑体" w:eastAsia="黑体" w:hAnsi="黑体" w:hint="eastAsia"/>
                <w:sz w:val="20"/>
                <w:szCs w:val="20"/>
              </w:rPr>
              <w:t>发卡行自行清算</w:t>
            </w:r>
            <w:r w:rsidR="006F5A61">
              <w:rPr>
                <w:rFonts w:ascii="黑体" w:eastAsia="黑体" w:hAnsi="黑体" w:hint="eastAsia"/>
                <w:sz w:val="20"/>
                <w:szCs w:val="20"/>
              </w:rPr>
              <w:t>，</w:t>
            </w:r>
            <w:r w:rsidR="00A052DC" w:rsidRPr="009F0A60">
              <w:rPr>
                <w:rFonts w:ascii="黑体" w:eastAsia="黑体" w:hAnsi="黑体"/>
                <w:kern w:val="0"/>
                <w:sz w:val="20"/>
                <w:szCs w:val="20"/>
              </w:rPr>
              <w:t>9-连通</w:t>
            </w:r>
            <w:r w:rsidR="006F5A61">
              <w:rPr>
                <w:rFonts w:ascii="黑体" w:eastAsia="黑体" w:hAnsi="黑体" w:hint="eastAsia"/>
                <w:kern w:val="0"/>
                <w:sz w:val="20"/>
                <w:szCs w:val="20"/>
              </w:rPr>
              <w:t>，</w:t>
            </w:r>
            <w:r w:rsidR="00A052DC" w:rsidRPr="009F0A60">
              <w:rPr>
                <w:rFonts w:ascii="黑体" w:eastAsia="黑体" w:hAnsi="黑体"/>
                <w:kern w:val="0"/>
                <w:sz w:val="20"/>
                <w:szCs w:val="20"/>
              </w:rPr>
              <w:t>8-</w:t>
            </w:r>
            <w:r w:rsidR="00A052DC" w:rsidRPr="009F0A60">
              <w:rPr>
                <w:rFonts w:ascii="黑体" w:eastAsia="黑体" w:hAnsi="黑体" w:hint="eastAsia"/>
                <w:kern w:val="0"/>
                <w:sz w:val="20"/>
                <w:szCs w:val="20"/>
              </w:rPr>
              <w:t>其他。</w:t>
            </w:r>
          </w:p>
        </w:tc>
      </w:tr>
      <w:tr w:rsidR="00A052DC" w14:paraId="61105EFB" w14:textId="77777777">
        <w:trPr>
          <w:trHeight w:val="20"/>
        </w:trPr>
        <w:tc>
          <w:tcPr>
            <w:tcW w:w="1526" w:type="dxa"/>
            <w:vAlign w:val="center"/>
          </w:tcPr>
          <w:p w14:paraId="4845F4EB" w14:textId="77777777" w:rsidR="00A052DC" w:rsidRDefault="009F0A60">
            <w:pPr>
              <w:rPr>
                <w:rFonts w:ascii="黑体" w:eastAsia="黑体" w:hAnsi="黑体"/>
                <w:sz w:val="20"/>
                <w:szCs w:val="20"/>
              </w:rPr>
            </w:pPr>
            <w:r>
              <w:rPr>
                <w:rFonts w:ascii="黑体" w:eastAsia="黑体" w:hAnsi="黑体"/>
                <w:sz w:val="20"/>
                <w:szCs w:val="20"/>
              </w:rPr>
              <w:t xml:space="preserve">BANK_CODE </w:t>
            </w:r>
          </w:p>
        </w:tc>
        <w:tc>
          <w:tcPr>
            <w:tcW w:w="1701" w:type="dxa"/>
            <w:vAlign w:val="center"/>
          </w:tcPr>
          <w:p w14:paraId="3ED1B8A8" w14:textId="77777777" w:rsidR="00A052DC" w:rsidRDefault="009F0A60">
            <w:pPr>
              <w:rPr>
                <w:rFonts w:ascii="黑体" w:eastAsia="黑体" w:hAnsi="黑体"/>
                <w:sz w:val="20"/>
                <w:szCs w:val="20"/>
              </w:rPr>
            </w:pPr>
            <w:r>
              <w:rPr>
                <w:rFonts w:ascii="黑体" w:eastAsia="黑体" w:hAnsi="黑体" w:hint="eastAsia"/>
                <w:sz w:val="20"/>
                <w:szCs w:val="20"/>
              </w:rPr>
              <w:t>发卡行金融机构代码</w:t>
            </w:r>
          </w:p>
        </w:tc>
        <w:tc>
          <w:tcPr>
            <w:tcW w:w="1417" w:type="dxa"/>
            <w:vAlign w:val="center"/>
          </w:tcPr>
          <w:p w14:paraId="0EA5E458" w14:textId="77777777" w:rsidR="00A052DC" w:rsidRDefault="009F0A60">
            <w:pPr>
              <w:jc w:val="left"/>
              <w:rPr>
                <w:rFonts w:ascii="黑体" w:eastAsia="黑体" w:hAnsi="黑体"/>
                <w:sz w:val="20"/>
                <w:szCs w:val="20"/>
              </w:rPr>
            </w:pPr>
            <w:r>
              <w:rPr>
                <w:rFonts w:ascii="黑体" w:eastAsia="黑体" w:hAnsi="黑体" w:hint="eastAsia"/>
                <w:sz w:val="20"/>
                <w:szCs w:val="20"/>
              </w:rPr>
              <w:t>字符型，</w:t>
            </w:r>
            <w:r>
              <w:rPr>
                <w:rFonts w:ascii="黑体" w:eastAsia="黑体" w:hAnsi="黑体"/>
                <w:sz w:val="20"/>
                <w:szCs w:val="20"/>
              </w:rPr>
              <w:t>4</w:t>
            </w:r>
          </w:p>
        </w:tc>
        <w:tc>
          <w:tcPr>
            <w:tcW w:w="3862" w:type="dxa"/>
            <w:vAlign w:val="center"/>
          </w:tcPr>
          <w:p w14:paraId="0D35B93F" w14:textId="77777777" w:rsidR="00A052DC" w:rsidRDefault="009F0A60">
            <w:pPr>
              <w:rPr>
                <w:rFonts w:ascii="黑体" w:eastAsia="黑体" w:hAnsi="黑体"/>
                <w:sz w:val="20"/>
                <w:szCs w:val="20"/>
              </w:rPr>
            </w:pPr>
            <w:r>
              <w:rPr>
                <w:rFonts w:ascii="黑体" w:eastAsia="黑体" w:hAnsi="黑体" w:hint="eastAsia"/>
                <w:sz w:val="20"/>
                <w:szCs w:val="20"/>
              </w:rPr>
              <w:t>必填项。</w:t>
            </w:r>
          </w:p>
        </w:tc>
      </w:tr>
      <w:tr w:rsidR="00A052DC" w14:paraId="4B4A963C" w14:textId="77777777">
        <w:trPr>
          <w:trHeight w:val="20"/>
        </w:trPr>
        <w:tc>
          <w:tcPr>
            <w:tcW w:w="1526" w:type="dxa"/>
            <w:vAlign w:val="center"/>
          </w:tcPr>
          <w:p w14:paraId="4C18ACC2" w14:textId="77777777" w:rsidR="00A052DC" w:rsidRDefault="009F0A60">
            <w:pPr>
              <w:rPr>
                <w:rFonts w:ascii="黑体" w:eastAsia="黑体" w:hAnsi="黑体"/>
                <w:sz w:val="20"/>
                <w:szCs w:val="20"/>
              </w:rPr>
            </w:pPr>
            <w:r>
              <w:rPr>
                <w:rFonts w:ascii="黑体" w:eastAsia="黑体" w:hAnsi="黑体"/>
                <w:sz w:val="20"/>
                <w:szCs w:val="20"/>
              </w:rPr>
              <w:t>BRANCH_SAFECODE</w:t>
            </w:r>
          </w:p>
        </w:tc>
        <w:tc>
          <w:tcPr>
            <w:tcW w:w="1701" w:type="dxa"/>
            <w:vAlign w:val="center"/>
          </w:tcPr>
          <w:p w14:paraId="69A865B1" w14:textId="77777777" w:rsidR="00A052DC" w:rsidRDefault="009F0A60">
            <w:pPr>
              <w:rPr>
                <w:rFonts w:ascii="黑体" w:eastAsia="黑体" w:hAnsi="黑体"/>
                <w:sz w:val="20"/>
                <w:szCs w:val="20"/>
              </w:rPr>
            </w:pPr>
            <w:r>
              <w:rPr>
                <w:rFonts w:ascii="黑体" w:eastAsia="黑体" w:hAnsi="黑体" w:hint="eastAsia"/>
                <w:sz w:val="20"/>
                <w:szCs w:val="20"/>
              </w:rPr>
              <w:t>发卡网点所在地外汇局代码</w:t>
            </w:r>
          </w:p>
        </w:tc>
        <w:tc>
          <w:tcPr>
            <w:tcW w:w="1417" w:type="dxa"/>
            <w:vAlign w:val="center"/>
          </w:tcPr>
          <w:p w14:paraId="7C52219F" w14:textId="77777777" w:rsidR="00A052DC" w:rsidRDefault="009F0A60">
            <w:pPr>
              <w:jc w:val="left"/>
              <w:rPr>
                <w:rFonts w:ascii="黑体" w:eastAsia="黑体" w:hAnsi="黑体"/>
                <w:sz w:val="20"/>
                <w:szCs w:val="20"/>
              </w:rPr>
            </w:pPr>
            <w:r>
              <w:rPr>
                <w:rFonts w:ascii="黑体" w:eastAsia="黑体" w:hAnsi="黑体" w:hint="eastAsia"/>
                <w:sz w:val="20"/>
                <w:szCs w:val="20"/>
              </w:rPr>
              <w:t>字符型，</w:t>
            </w:r>
            <w:r>
              <w:rPr>
                <w:rFonts w:ascii="黑体" w:eastAsia="黑体" w:hAnsi="黑体"/>
                <w:sz w:val="20"/>
                <w:szCs w:val="20"/>
              </w:rPr>
              <w:t>6</w:t>
            </w:r>
          </w:p>
        </w:tc>
        <w:tc>
          <w:tcPr>
            <w:tcW w:w="3862" w:type="dxa"/>
            <w:vAlign w:val="center"/>
          </w:tcPr>
          <w:p w14:paraId="75E0C74C" w14:textId="77777777" w:rsidR="00A052DC" w:rsidRDefault="009F0A60">
            <w:pPr>
              <w:rPr>
                <w:rFonts w:ascii="黑体" w:eastAsia="黑体" w:hAnsi="黑体"/>
                <w:sz w:val="20"/>
                <w:szCs w:val="20"/>
              </w:rPr>
            </w:pPr>
            <w:r>
              <w:rPr>
                <w:rFonts w:ascii="黑体" w:eastAsia="黑体" w:hAnsi="黑体" w:hint="eastAsia"/>
                <w:sz w:val="20"/>
                <w:szCs w:val="20"/>
              </w:rPr>
              <w:t>必填项，见外汇局代码表。</w:t>
            </w:r>
          </w:p>
        </w:tc>
      </w:tr>
      <w:tr w:rsidR="00A052DC" w14:paraId="4EDBA99F" w14:textId="77777777">
        <w:trPr>
          <w:trHeight w:val="20"/>
        </w:trPr>
        <w:tc>
          <w:tcPr>
            <w:tcW w:w="1526" w:type="dxa"/>
            <w:vAlign w:val="center"/>
          </w:tcPr>
          <w:p w14:paraId="07725DBB" w14:textId="77777777" w:rsidR="00A052DC" w:rsidRDefault="009F0A60">
            <w:pPr>
              <w:rPr>
                <w:rFonts w:ascii="黑体" w:eastAsia="黑体" w:hAnsi="黑体"/>
                <w:sz w:val="20"/>
                <w:szCs w:val="20"/>
              </w:rPr>
            </w:pPr>
            <w:r>
              <w:rPr>
                <w:rFonts w:ascii="黑体" w:eastAsia="黑体" w:hAnsi="黑体"/>
                <w:sz w:val="20"/>
                <w:szCs w:val="20"/>
              </w:rPr>
              <w:t>BIZ_DEAL_TIME</w:t>
            </w:r>
          </w:p>
        </w:tc>
        <w:tc>
          <w:tcPr>
            <w:tcW w:w="1701" w:type="dxa"/>
            <w:vAlign w:val="center"/>
          </w:tcPr>
          <w:p w14:paraId="498291EB" w14:textId="77777777" w:rsidR="00A052DC" w:rsidRDefault="009F0A60">
            <w:pPr>
              <w:rPr>
                <w:rFonts w:ascii="黑体" w:eastAsia="黑体" w:hAnsi="黑体"/>
                <w:sz w:val="20"/>
                <w:szCs w:val="20"/>
              </w:rPr>
            </w:pPr>
            <w:r>
              <w:rPr>
                <w:rFonts w:ascii="黑体" w:eastAsia="黑体" w:hAnsi="黑体" w:hint="eastAsia"/>
                <w:sz w:val="20"/>
                <w:szCs w:val="20"/>
              </w:rPr>
              <w:t>交易授权日期及时间</w:t>
            </w:r>
          </w:p>
        </w:tc>
        <w:tc>
          <w:tcPr>
            <w:tcW w:w="1417" w:type="dxa"/>
            <w:vAlign w:val="center"/>
          </w:tcPr>
          <w:p w14:paraId="3124CD0C" w14:textId="77777777" w:rsidR="00A052DC" w:rsidRDefault="009F0A60">
            <w:pPr>
              <w:jc w:val="left"/>
              <w:rPr>
                <w:rFonts w:ascii="黑体" w:eastAsia="黑体" w:hAnsi="黑体"/>
                <w:sz w:val="20"/>
                <w:szCs w:val="20"/>
              </w:rPr>
            </w:pPr>
            <w:r>
              <w:rPr>
                <w:rFonts w:ascii="黑体" w:eastAsia="黑体" w:hAnsi="黑体" w:hint="eastAsia"/>
                <w:sz w:val="20"/>
                <w:szCs w:val="20"/>
              </w:rPr>
              <w:t>时间型</w:t>
            </w:r>
          </w:p>
        </w:tc>
        <w:tc>
          <w:tcPr>
            <w:tcW w:w="3862" w:type="dxa"/>
            <w:vAlign w:val="center"/>
          </w:tcPr>
          <w:p w14:paraId="6BDB15AE" w14:textId="77777777" w:rsidR="00A052DC" w:rsidRDefault="009F0A60">
            <w:pPr>
              <w:rPr>
                <w:rFonts w:ascii="黑体" w:eastAsia="黑体" w:hAnsi="黑体"/>
                <w:sz w:val="20"/>
                <w:szCs w:val="20"/>
              </w:rPr>
            </w:pPr>
            <w:r>
              <w:rPr>
                <w:rFonts w:ascii="黑体" w:eastAsia="黑体" w:hAnsi="黑体" w:hint="eastAsia"/>
                <w:sz w:val="20"/>
                <w:szCs w:val="20"/>
              </w:rPr>
              <w:t>必填项。格式为</w:t>
            </w:r>
            <w:r>
              <w:rPr>
                <w:rFonts w:ascii="黑体" w:eastAsia="黑体" w:hAnsi="黑体"/>
                <w:sz w:val="20"/>
                <w:szCs w:val="20"/>
              </w:rPr>
              <w:t>yyyy-mm-dd HH:MM:SS</w:t>
            </w:r>
            <w:r>
              <w:rPr>
                <w:rFonts w:ascii="黑体" w:eastAsia="黑体" w:hAnsi="黑体" w:hint="eastAsia"/>
                <w:sz w:val="20"/>
                <w:szCs w:val="20"/>
              </w:rPr>
              <w:t>。</w:t>
            </w:r>
          </w:p>
        </w:tc>
      </w:tr>
      <w:tr w:rsidR="00A052DC" w14:paraId="0E6707FB" w14:textId="77777777">
        <w:trPr>
          <w:trHeight w:val="20"/>
        </w:trPr>
        <w:tc>
          <w:tcPr>
            <w:tcW w:w="1526" w:type="dxa"/>
            <w:vAlign w:val="center"/>
          </w:tcPr>
          <w:p w14:paraId="5C072AE0" w14:textId="77777777" w:rsidR="00A052DC" w:rsidRDefault="009F0A60">
            <w:pPr>
              <w:rPr>
                <w:rFonts w:ascii="黑体" w:eastAsia="黑体" w:hAnsi="黑体"/>
                <w:sz w:val="20"/>
                <w:szCs w:val="20"/>
              </w:rPr>
            </w:pPr>
            <w:r>
              <w:rPr>
                <w:rFonts w:ascii="黑体" w:eastAsia="黑体" w:hAnsi="黑体"/>
                <w:sz w:val="20"/>
                <w:szCs w:val="20"/>
              </w:rPr>
              <w:t>COUNTRY_CODE</w:t>
            </w:r>
          </w:p>
        </w:tc>
        <w:tc>
          <w:tcPr>
            <w:tcW w:w="1701" w:type="dxa"/>
            <w:vAlign w:val="center"/>
          </w:tcPr>
          <w:p w14:paraId="1A04C5B8" w14:textId="77777777" w:rsidR="00A052DC" w:rsidRDefault="009F0A60">
            <w:pPr>
              <w:rPr>
                <w:rFonts w:ascii="黑体" w:eastAsia="黑体" w:hAnsi="黑体"/>
                <w:sz w:val="20"/>
                <w:szCs w:val="20"/>
              </w:rPr>
            </w:pPr>
            <w:r>
              <w:rPr>
                <w:rFonts w:ascii="黑体" w:eastAsia="黑体" w:hAnsi="黑体" w:hint="eastAsia"/>
                <w:sz w:val="20"/>
                <w:szCs w:val="20"/>
              </w:rPr>
              <w:t>交易国家或地区</w:t>
            </w:r>
          </w:p>
        </w:tc>
        <w:tc>
          <w:tcPr>
            <w:tcW w:w="1417" w:type="dxa"/>
            <w:vAlign w:val="center"/>
          </w:tcPr>
          <w:p w14:paraId="4421DE5D" w14:textId="77777777" w:rsidR="00A052DC" w:rsidRDefault="009F0A60">
            <w:pPr>
              <w:jc w:val="left"/>
              <w:rPr>
                <w:rFonts w:ascii="黑体" w:eastAsia="黑体" w:hAnsi="黑体"/>
                <w:sz w:val="20"/>
                <w:szCs w:val="20"/>
              </w:rPr>
            </w:pPr>
            <w:r>
              <w:rPr>
                <w:rFonts w:ascii="黑体" w:eastAsia="黑体" w:hAnsi="黑体" w:hint="eastAsia"/>
                <w:sz w:val="20"/>
                <w:szCs w:val="20"/>
              </w:rPr>
              <w:t>字符型，</w:t>
            </w:r>
            <w:r>
              <w:rPr>
                <w:rFonts w:ascii="黑体" w:eastAsia="黑体" w:hAnsi="黑体"/>
                <w:sz w:val="20"/>
                <w:szCs w:val="20"/>
              </w:rPr>
              <w:t>3</w:t>
            </w:r>
          </w:p>
        </w:tc>
        <w:tc>
          <w:tcPr>
            <w:tcW w:w="3862" w:type="dxa"/>
            <w:vAlign w:val="center"/>
          </w:tcPr>
          <w:p w14:paraId="625C6A4D" w14:textId="77777777" w:rsidR="00A052DC" w:rsidRDefault="009F0A60">
            <w:pPr>
              <w:rPr>
                <w:rFonts w:ascii="黑体" w:eastAsia="黑体" w:hAnsi="黑体"/>
                <w:sz w:val="20"/>
                <w:szCs w:val="20"/>
              </w:rPr>
            </w:pPr>
            <w:r>
              <w:rPr>
                <w:rFonts w:ascii="黑体" w:eastAsia="黑体" w:hAnsi="黑体" w:hint="eastAsia"/>
                <w:sz w:val="20"/>
                <w:szCs w:val="20"/>
              </w:rPr>
              <w:t>必填项，见国家和地区代码表。</w:t>
            </w:r>
          </w:p>
        </w:tc>
      </w:tr>
      <w:tr w:rsidR="00A052DC" w14:paraId="3CEAA3E8" w14:textId="77777777">
        <w:trPr>
          <w:trHeight w:val="20"/>
        </w:trPr>
        <w:tc>
          <w:tcPr>
            <w:tcW w:w="1526" w:type="dxa"/>
            <w:vAlign w:val="center"/>
          </w:tcPr>
          <w:p w14:paraId="21A9F344" w14:textId="77777777" w:rsidR="00A052DC" w:rsidRDefault="009F0A60">
            <w:pPr>
              <w:rPr>
                <w:rFonts w:ascii="黑体" w:eastAsia="黑体" w:hAnsi="黑体"/>
                <w:sz w:val="20"/>
                <w:szCs w:val="20"/>
              </w:rPr>
            </w:pPr>
            <w:r>
              <w:rPr>
                <w:rFonts w:ascii="黑体" w:eastAsia="黑体" w:hAnsi="黑体"/>
                <w:sz w:val="20"/>
                <w:szCs w:val="20"/>
              </w:rPr>
              <w:t>BANK_SELF_NUM</w:t>
            </w:r>
          </w:p>
        </w:tc>
        <w:tc>
          <w:tcPr>
            <w:tcW w:w="1701" w:type="dxa"/>
            <w:vAlign w:val="center"/>
          </w:tcPr>
          <w:p w14:paraId="0FE62B55" w14:textId="77777777" w:rsidR="00A052DC" w:rsidRDefault="009F0A60">
            <w:pPr>
              <w:rPr>
                <w:rFonts w:ascii="黑体" w:eastAsia="黑体" w:hAnsi="黑体"/>
                <w:sz w:val="20"/>
                <w:szCs w:val="20"/>
              </w:rPr>
            </w:pPr>
            <w:r>
              <w:rPr>
                <w:rFonts w:ascii="黑体" w:eastAsia="黑体" w:hAnsi="黑体" w:hint="eastAsia"/>
                <w:sz w:val="20"/>
                <w:szCs w:val="20"/>
              </w:rPr>
              <w:t>银行内部流水号</w:t>
            </w:r>
          </w:p>
        </w:tc>
        <w:tc>
          <w:tcPr>
            <w:tcW w:w="1417" w:type="dxa"/>
            <w:vAlign w:val="center"/>
          </w:tcPr>
          <w:p w14:paraId="0C191521" w14:textId="77777777" w:rsidR="00A052DC" w:rsidRDefault="009F0A60">
            <w:pPr>
              <w:jc w:val="left"/>
              <w:rPr>
                <w:rFonts w:ascii="黑体" w:eastAsia="黑体" w:hAnsi="黑体"/>
                <w:sz w:val="20"/>
                <w:szCs w:val="20"/>
              </w:rPr>
            </w:pPr>
            <w:r>
              <w:rPr>
                <w:rFonts w:ascii="黑体" w:eastAsia="黑体" w:hAnsi="黑体" w:hint="eastAsia"/>
                <w:sz w:val="20"/>
                <w:szCs w:val="20"/>
              </w:rPr>
              <w:t>字符型，</w:t>
            </w:r>
            <w:r>
              <w:rPr>
                <w:rFonts w:ascii="黑体" w:eastAsia="黑体" w:hAnsi="黑体"/>
                <w:sz w:val="20"/>
                <w:szCs w:val="20"/>
              </w:rPr>
              <w:t>128</w:t>
            </w:r>
          </w:p>
        </w:tc>
        <w:tc>
          <w:tcPr>
            <w:tcW w:w="3862" w:type="dxa"/>
            <w:vAlign w:val="center"/>
          </w:tcPr>
          <w:p w14:paraId="394C3DC6" w14:textId="77777777" w:rsidR="00A052DC" w:rsidRDefault="009F0A60">
            <w:pPr>
              <w:rPr>
                <w:rFonts w:ascii="黑体" w:eastAsia="黑体" w:hAnsi="黑体"/>
                <w:sz w:val="20"/>
                <w:szCs w:val="20"/>
              </w:rPr>
            </w:pPr>
            <w:r>
              <w:rPr>
                <w:rFonts w:ascii="黑体" w:eastAsia="黑体" w:hAnsi="黑体" w:hint="eastAsia"/>
                <w:sz w:val="20"/>
                <w:szCs w:val="20"/>
              </w:rPr>
              <w:t>必填项。该笔业务在银行的业务编号。</w:t>
            </w:r>
          </w:p>
        </w:tc>
      </w:tr>
      <w:tr w:rsidR="00A052DC" w14:paraId="67F287F3" w14:textId="77777777">
        <w:trPr>
          <w:trHeight w:val="20"/>
        </w:trPr>
        <w:tc>
          <w:tcPr>
            <w:tcW w:w="1526" w:type="dxa"/>
            <w:vAlign w:val="center"/>
          </w:tcPr>
          <w:p w14:paraId="109EBFFE" w14:textId="77777777" w:rsidR="00A052DC" w:rsidRDefault="009F0A60">
            <w:pPr>
              <w:rPr>
                <w:rFonts w:ascii="黑体" w:eastAsia="黑体" w:hAnsi="黑体"/>
                <w:sz w:val="20"/>
                <w:szCs w:val="20"/>
              </w:rPr>
            </w:pPr>
            <w:r>
              <w:rPr>
                <w:rFonts w:ascii="黑体" w:eastAsia="黑体" w:hAnsi="黑体"/>
                <w:sz w:val="20"/>
                <w:szCs w:val="20"/>
              </w:rPr>
              <w:t>CARD_ SELF_NUM</w:t>
            </w:r>
          </w:p>
        </w:tc>
        <w:tc>
          <w:tcPr>
            <w:tcW w:w="1701" w:type="dxa"/>
            <w:vAlign w:val="center"/>
          </w:tcPr>
          <w:p w14:paraId="35383C68" w14:textId="77777777" w:rsidR="00A052DC" w:rsidRDefault="009F0A60">
            <w:pPr>
              <w:rPr>
                <w:rFonts w:ascii="黑体" w:eastAsia="黑体" w:hAnsi="黑体"/>
                <w:sz w:val="20"/>
                <w:szCs w:val="20"/>
              </w:rPr>
            </w:pPr>
            <w:r>
              <w:rPr>
                <w:rFonts w:ascii="黑体" w:eastAsia="黑体" w:hAnsi="黑体" w:hint="eastAsia"/>
                <w:sz w:val="20"/>
                <w:szCs w:val="20"/>
              </w:rPr>
              <w:t>卡组织单号</w:t>
            </w:r>
          </w:p>
        </w:tc>
        <w:tc>
          <w:tcPr>
            <w:tcW w:w="1417" w:type="dxa"/>
            <w:vAlign w:val="center"/>
          </w:tcPr>
          <w:p w14:paraId="4972200C" w14:textId="77777777" w:rsidR="00A052DC" w:rsidRDefault="009F0A60">
            <w:pPr>
              <w:jc w:val="left"/>
              <w:rPr>
                <w:rFonts w:ascii="黑体" w:eastAsia="黑体" w:hAnsi="黑体"/>
                <w:sz w:val="20"/>
                <w:szCs w:val="20"/>
              </w:rPr>
            </w:pPr>
            <w:r>
              <w:rPr>
                <w:rFonts w:ascii="黑体" w:eastAsia="黑体" w:hAnsi="黑体" w:hint="eastAsia"/>
                <w:sz w:val="20"/>
                <w:szCs w:val="20"/>
              </w:rPr>
              <w:t>字符型，</w:t>
            </w:r>
            <w:r>
              <w:rPr>
                <w:rFonts w:ascii="黑体" w:eastAsia="黑体" w:hAnsi="黑体"/>
                <w:sz w:val="20"/>
                <w:szCs w:val="20"/>
              </w:rPr>
              <w:t>128</w:t>
            </w:r>
          </w:p>
        </w:tc>
        <w:tc>
          <w:tcPr>
            <w:tcW w:w="3862" w:type="dxa"/>
            <w:vAlign w:val="center"/>
          </w:tcPr>
          <w:p w14:paraId="3A444407" w14:textId="77777777" w:rsidR="00A052DC" w:rsidRDefault="009F0A60">
            <w:pPr>
              <w:rPr>
                <w:rFonts w:ascii="黑体" w:eastAsia="黑体" w:hAnsi="黑体"/>
                <w:sz w:val="20"/>
                <w:szCs w:val="20"/>
              </w:rPr>
            </w:pPr>
            <w:r>
              <w:rPr>
                <w:rFonts w:ascii="黑体" w:eastAsia="黑体" w:hAnsi="黑体" w:hint="eastAsia"/>
                <w:sz w:val="20"/>
                <w:szCs w:val="20"/>
              </w:rPr>
              <w:t>必填项。该笔业务在卡组织的业务编号。</w:t>
            </w:r>
          </w:p>
        </w:tc>
      </w:tr>
      <w:tr w:rsidR="00A052DC" w14:paraId="00AC8EC0" w14:textId="77777777">
        <w:trPr>
          <w:trHeight w:val="20"/>
        </w:trPr>
        <w:tc>
          <w:tcPr>
            <w:tcW w:w="1526" w:type="dxa"/>
            <w:vAlign w:val="center"/>
          </w:tcPr>
          <w:p w14:paraId="5E565316" w14:textId="77777777" w:rsidR="00A052DC" w:rsidRDefault="009F0A60">
            <w:pPr>
              <w:rPr>
                <w:rFonts w:ascii="黑体" w:eastAsia="黑体" w:hAnsi="黑体"/>
                <w:sz w:val="20"/>
                <w:szCs w:val="20"/>
              </w:rPr>
            </w:pPr>
            <w:r>
              <w:rPr>
                <w:rFonts w:ascii="黑体" w:eastAsia="黑体" w:hAnsi="黑体"/>
                <w:sz w:val="20"/>
                <w:szCs w:val="20"/>
              </w:rPr>
              <w:t>SH_NAME</w:t>
            </w:r>
          </w:p>
        </w:tc>
        <w:tc>
          <w:tcPr>
            <w:tcW w:w="1701" w:type="dxa"/>
            <w:vAlign w:val="center"/>
          </w:tcPr>
          <w:p w14:paraId="30BE5CB8" w14:textId="77777777" w:rsidR="00A052DC" w:rsidRDefault="009F0A60">
            <w:pPr>
              <w:rPr>
                <w:rFonts w:ascii="黑体" w:eastAsia="黑体" w:hAnsi="黑体"/>
                <w:sz w:val="20"/>
                <w:szCs w:val="20"/>
              </w:rPr>
            </w:pPr>
            <w:r>
              <w:rPr>
                <w:rFonts w:ascii="黑体" w:eastAsia="黑体" w:hAnsi="黑体" w:hint="eastAsia"/>
                <w:sz w:val="20"/>
                <w:szCs w:val="20"/>
              </w:rPr>
              <w:t>交易商户名称</w:t>
            </w:r>
          </w:p>
        </w:tc>
        <w:tc>
          <w:tcPr>
            <w:tcW w:w="1417" w:type="dxa"/>
            <w:vAlign w:val="center"/>
          </w:tcPr>
          <w:p w14:paraId="11F7BDA3" w14:textId="77777777" w:rsidR="00A052DC" w:rsidRDefault="009F0A60">
            <w:pPr>
              <w:jc w:val="left"/>
              <w:rPr>
                <w:rFonts w:ascii="黑体" w:eastAsia="黑体" w:hAnsi="黑体"/>
                <w:sz w:val="20"/>
                <w:szCs w:val="20"/>
              </w:rPr>
            </w:pPr>
            <w:r>
              <w:rPr>
                <w:rFonts w:ascii="黑体" w:eastAsia="黑体" w:hAnsi="黑体" w:hint="eastAsia"/>
                <w:sz w:val="20"/>
                <w:szCs w:val="20"/>
              </w:rPr>
              <w:t>字符型，</w:t>
            </w:r>
            <w:r>
              <w:rPr>
                <w:rFonts w:ascii="黑体" w:eastAsia="黑体" w:hAnsi="黑体"/>
                <w:sz w:val="20"/>
                <w:szCs w:val="20"/>
              </w:rPr>
              <w:t>128</w:t>
            </w:r>
          </w:p>
        </w:tc>
        <w:tc>
          <w:tcPr>
            <w:tcW w:w="3862" w:type="dxa"/>
            <w:vAlign w:val="center"/>
          </w:tcPr>
          <w:p w14:paraId="6832D1EE" w14:textId="77777777" w:rsidR="00A052DC" w:rsidRDefault="009F0A60">
            <w:pPr>
              <w:rPr>
                <w:rFonts w:ascii="黑体" w:eastAsia="黑体" w:hAnsi="黑体"/>
                <w:sz w:val="20"/>
                <w:szCs w:val="20"/>
              </w:rPr>
            </w:pPr>
            <w:r>
              <w:rPr>
                <w:rFonts w:ascii="黑体" w:eastAsia="黑体" w:hAnsi="黑体" w:hint="eastAsia"/>
                <w:sz w:val="20"/>
                <w:szCs w:val="20"/>
              </w:rPr>
              <w:t>必填项。该笔业务交易商户的全称。</w:t>
            </w:r>
          </w:p>
        </w:tc>
      </w:tr>
      <w:tr w:rsidR="00A052DC" w14:paraId="2AE3DA30" w14:textId="77777777">
        <w:trPr>
          <w:trHeight w:val="20"/>
        </w:trPr>
        <w:tc>
          <w:tcPr>
            <w:tcW w:w="1526" w:type="dxa"/>
            <w:vAlign w:val="center"/>
          </w:tcPr>
          <w:p w14:paraId="76ED15D1" w14:textId="77777777" w:rsidR="00A052DC" w:rsidRDefault="009F0A60">
            <w:pPr>
              <w:rPr>
                <w:rFonts w:ascii="黑体" w:eastAsia="黑体" w:hAnsi="黑体"/>
                <w:sz w:val="20"/>
                <w:szCs w:val="20"/>
              </w:rPr>
            </w:pPr>
            <w:r>
              <w:rPr>
                <w:rFonts w:ascii="黑体" w:eastAsia="黑体" w:hAnsi="黑体"/>
                <w:sz w:val="20"/>
                <w:szCs w:val="20"/>
              </w:rPr>
              <w:t>JY_CHNL</w:t>
            </w:r>
          </w:p>
        </w:tc>
        <w:tc>
          <w:tcPr>
            <w:tcW w:w="1701" w:type="dxa"/>
            <w:vAlign w:val="center"/>
          </w:tcPr>
          <w:p w14:paraId="006AEA5E" w14:textId="77777777" w:rsidR="00A052DC" w:rsidRDefault="009F0A60">
            <w:pPr>
              <w:rPr>
                <w:rFonts w:ascii="黑体" w:eastAsia="黑体" w:hAnsi="黑体"/>
                <w:sz w:val="20"/>
                <w:szCs w:val="20"/>
              </w:rPr>
            </w:pPr>
            <w:r>
              <w:rPr>
                <w:rFonts w:ascii="黑体" w:eastAsia="黑体" w:hAnsi="黑体" w:hint="eastAsia"/>
                <w:sz w:val="20"/>
                <w:szCs w:val="20"/>
              </w:rPr>
              <w:t>交易商户类型</w:t>
            </w:r>
          </w:p>
        </w:tc>
        <w:tc>
          <w:tcPr>
            <w:tcW w:w="1417" w:type="dxa"/>
            <w:vAlign w:val="center"/>
          </w:tcPr>
          <w:p w14:paraId="20ADC555" w14:textId="77777777" w:rsidR="00A052DC" w:rsidRDefault="009F0A60">
            <w:pPr>
              <w:jc w:val="left"/>
              <w:rPr>
                <w:rFonts w:ascii="黑体" w:eastAsia="黑体" w:hAnsi="黑体"/>
                <w:sz w:val="20"/>
                <w:szCs w:val="20"/>
              </w:rPr>
            </w:pPr>
            <w:r>
              <w:rPr>
                <w:rFonts w:ascii="黑体" w:eastAsia="黑体" w:hAnsi="黑体" w:hint="eastAsia"/>
                <w:sz w:val="20"/>
                <w:szCs w:val="20"/>
              </w:rPr>
              <w:t>字符型，</w:t>
            </w:r>
            <w:r>
              <w:rPr>
                <w:rFonts w:ascii="黑体" w:eastAsia="黑体" w:hAnsi="黑体"/>
                <w:sz w:val="20"/>
                <w:szCs w:val="20"/>
              </w:rPr>
              <w:t>1</w:t>
            </w:r>
          </w:p>
        </w:tc>
        <w:tc>
          <w:tcPr>
            <w:tcW w:w="3862" w:type="dxa"/>
            <w:vAlign w:val="center"/>
          </w:tcPr>
          <w:p w14:paraId="457815A9" w14:textId="77777777" w:rsidR="00A052DC" w:rsidRDefault="009F0A60">
            <w:pPr>
              <w:rPr>
                <w:rFonts w:ascii="黑体" w:eastAsia="黑体" w:hAnsi="黑体"/>
                <w:sz w:val="20"/>
                <w:szCs w:val="20"/>
              </w:rPr>
            </w:pPr>
            <w:r>
              <w:rPr>
                <w:rFonts w:ascii="黑体" w:eastAsia="黑体" w:hAnsi="黑体" w:hint="eastAsia"/>
                <w:sz w:val="20"/>
                <w:szCs w:val="20"/>
              </w:rPr>
              <w:t>必填项。</w:t>
            </w:r>
            <w:r>
              <w:rPr>
                <w:rFonts w:ascii="黑体" w:eastAsia="黑体" w:hAnsi="黑体"/>
                <w:sz w:val="20"/>
                <w:szCs w:val="20"/>
              </w:rPr>
              <w:t>1-</w:t>
            </w:r>
            <w:r>
              <w:rPr>
                <w:rFonts w:ascii="黑体" w:eastAsia="黑体" w:hAnsi="黑体" w:hint="eastAsia"/>
                <w:sz w:val="20"/>
                <w:szCs w:val="20"/>
              </w:rPr>
              <w:t>实体特约商户，</w:t>
            </w:r>
            <w:r>
              <w:rPr>
                <w:rFonts w:ascii="黑体" w:eastAsia="黑体" w:hAnsi="黑体"/>
                <w:sz w:val="20"/>
                <w:szCs w:val="20"/>
              </w:rPr>
              <w:t>2-</w:t>
            </w:r>
            <w:r>
              <w:rPr>
                <w:rFonts w:ascii="黑体" w:eastAsia="黑体" w:hAnsi="黑体" w:hint="eastAsia"/>
                <w:sz w:val="20"/>
                <w:szCs w:val="20"/>
              </w:rPr>
              <w:t>网络特约商户。</w:t>
            </w:r>
          </w:p>
        </w:tc>
      </w:tr>
    </w:tbl>
    <w:p w14:paraId="023620E2" w14:textId="77777777" w:rsidR="00A052DC" w:rsidRDefault="009F0A60">
      <w:pPr>
        <w:pStyle w:val="2"/>
        <w:rPr>
          <w:rFonts w:ascii="Times New Roman" w:hAnsi="Times New Roman"/>
        </w:rPr>
      </w:pPr>
      <w:bookmarkStart w:id="4367" w:name="_Toc101684520"/>
      <w:r>
        <w:rPr>
          <w:rFonts w:ascii="Times New Roman" w:hAnsi="Times New Roman" w:hint="eastAsia"/>
        </w:rPr>
        <w:t>涉嫌外汇违规账户信息</w:t>
      </w:r>
      <w:bookmarkEnd w:id="4367"/>
    </w:p>
    <w:p w14:paraId="71982F7A" w14:textId="77777777" w:rsidR="00A052DC" w:rsidRDefault="009F0A60" w:rsidP="0020251D">
      <w:pPr>
        <w:pStyle w:val="3"/>
        <w:ind w:left="0"/>
        <w:rPr>
          <w:rFonts w:ascii="Times New Roman" w:hAnsi="Times New Roman"/>
        </w:rPr>
      </w:pPr>
      <w:bookmarkStart w:id="4368" w:name="_Toc90625141"/>
      <w:bookmarkStart w:id="4369" w:name="_Toc91455348"/>
      <w:bookmarkStart w:id="4370" w:name="_Toc101684521"/>
      <w:r>
        <w:rPr>
          <w:rFonts w:ascii="Times New Roman" w:hAnsi="Times New Roman" w:hint="eastAsia"/>
        </w:rPr>
        <w:t>涉嫌外汇违规账户查询回复信息</w:t>
      </w:r>
      <w:bookmarkEnd w:id="4368"/>
      <w:bookmarkEnd w:id="4369"/>
      <w:bookmarkEnd w:id="4370"/>
    </w:p>
    <w:p w14:paraId="7662500F" w14:textId="77777777" w:rsidR="00A052DC" w:rsidRDefault="009F0A60" w:rsidP="0020251D">
      <w:pPr>
        <w:pStyle w:val="4"/>
        <w:numPr>
          <w:ilvl w:val="3"/>
          <w:numId w:val="1"/>
        </w:numPr>
        <w:jc w:val="left"/>
      </w:pPr>
      <w:r>
        <w:rPr>
          <w:rFonts w:hint="eastAsia"/>
        </w:rPr>
        <w:t>数据术语解释</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59"/>
        <w:gridCol w:w="6961"/>
      </w:tblGrid>
      <w:tr w:rsidR="00A052DC" w14:paraId="692A0C63" w14:textId="77777777">
        <w:trPr>
          <w:tblHeader/>
        </w:trPr>
        <w:tc>
          <w:tcPr>
            <w:tcW w:w="1559" w:type="dxa"/>
            <w:shd w:val="clear" w:color="auto" w:fill="BFBFBF" w:themeFill="background1" w:themeFillShade="BF"/>
          </w:tcPr>
          <w:p w14:paraId="34A64038" w14:textId="77777777" w:rsidR="00A052DC" w:rsidRDefault="009F0A60">
            <w:pPr>
              <w:jc w:val="center"/>
              <w:rPr>
                <w:rFonts w:eastAsia="黑体"/>
                <w:b/>
                <w:color w:val="000000"/>
                <w:sz w:val="20"/>
                <w:szCs w:val="20"/>
              </w:rPr>
            </w:pPr>
            <w:r>
              <w:rPr>
                <w:rFonts w:eastAsia="黑体" w:hint="eastAsia"/>
                <w:b/>
                <w:color w:val="000000"/>
                <w:sz w:val="20"/>
                <w:szCs w:val="20"/>
              </w:rPr>
              <w:t>基础数据项</w:t>
            </w:r>
          </w:p>
        </w:tc>
        <w:tc>
          <w:tcPr>
            <w:tcW w:w="6961" w:type="dxa"/>
            <w:shd w:val="clear" w:color="auto" w:fill="BFBFBF" w:themeFill="background1" w:themeFillShade="BF"/>
          </w:tcPr>
          <w:p w14:paraId="68FA660E" w14:textId="77777777" w:rsidR="00A052DC" w:rsidRDefault="009F0A60">
            <w:pPr>
              <w:jc w:val="center"/>
              <w:rPr>
                <w:rFonts w:eastAsia="黑体"/>
                <w:b/>
                <w:color w:val="000000"/>
                <w:sz w:val="20"/>
                <w:szCs w:val="20"/>
              </w:rPr>
            </w:pPr>
            <w:r>
              <w:rPr>
                <w:rFonts w:eastAsia="黑体" w:hint="eastAsia"/>
                <w:b/>
                <w:color w:val="000000"/>
                <w:sz w:val="20"/>
                <w:szCs w:val="20"/>
              </w:rPr>
              <w:t>定义</w:t>
            </w:r>
          </w:p>
        </w:tc>
      </w:tr>
      <w:tr w:rsidR="00A052DC" w14:paraId="0CAB5741" w14:textId="77777777">
        <w:tc>
          <w:tcPr>
            <w:tcW w:w="1559" w:type="dxa"/>
          </w:tcPr>
          <w:p w14:paraId="0D2A21FC" w14:textId="77777777" w:rsidR="00A052DC" w:rsidRDefault="009F0A60">
            <w:pPr>
              <w:pStyle w:val="B"/>
              <w:widowControl w:val="0"/>
              <w:rPr>
                <w:rFonts w:ascii="Times New Roman" w:hAnsi="Times New Roman"/>
                <w:color w:val="000000"/>
                <w:szCs w:val="20"/>
              </w:rPr>
            </w:pPr>
            <w:r>
              <w:rPr>
                <w:rFonts w:ascii="Times New Roman" w:hAnsi="Times New Roman" w:hint="eastAsia"/>
                <w:color w:val="000000"/>
              </w:rPr>
              <w:t>查询流水号</w:t>
            </w:r>
          </w:p>
        </w:tc>
        <w:tc>
          <w:tcPr>
            <w:tcW w:w="6961" w:type="dxa"/>
          </w:tcPr>
          <w:p w14:paraId="2466893B" w14:textId="77777777" w:rsidR="00A052DC" w:rsidRDefault="009F0A60">
            <w:pPr>
              <w:rPr>
                <w:rFonts w:eastAsia="黑体"/>
                <w:color w:val="000000"/>
                <w:sz w:val="20"/>
                <w:szCs w:val="20"/>
              </w:rPr>
            </w:pPr>
            <w:r>
              <w:rPr>
                <w:rFonts w:eastAsia="黑体" w:hint="eastAsia"/>
                <w:color w:val="000000"/>
                <w:sz w:val="20"/>
                <w:szCs w:val="20"/>
              </w:rPr>
              <w:t>用于唯一标识查询回复信息，长度为</w:t>
            </w:r>
            <w:r>
              <w:rPr>
                <w:rFonts w:eastAsia="黑体"/>
                <w:color w:val="000000"/>
                <w:sz w:val="20"/>
                <w:szCs w:val="20"/>
              </w:rPr>
              <w:t>22</w:t>
            </w:r>
            <w:r>
              <w:rPr>
                <w:rFonts w:eastAsia="黑体" w:hint="eastAsia"/>
                <w:color w:val="000000"/>
                <w:sz w:val="20"/>
                <w:szCs w:val="20"/>
              </w:rPr>
              <w:t>位，即该回复信息对应的涉嫌外汇违规账户查询信息的查询流水号。</w:t>
            </w:r>
          </w:p>
        </w:tc>
      </w:tr>
      <w:tr w:rsidR="00A052DC" w14:paraId="78358705" w14:textId="77777777">
        <w:tc>
          <w:tcPr>
            <w:tcW w:w="1559" w:type="dxa"/>
          </w:tcPr>
          <w:p w14:paraId="243F22A5" w14:textId="77777777" w:rsidR="00A052DC" w:rsidRDefault="009F0A60">
            <w:pPr>
              <w:pStyle w:val="B"/>
              <w:widowControl w:val="0"/>
              <w:rPr>
                <w:rFonts w:ascii="Times New Roman" w:hAnsi="Times New Roman"/>
                <w:color w:val="000000"/>
                <w:szCs w:val="20"/>
              </w:rPr>
            </w:pPr>
            <w:r>
              <w:rPr>
                <w:rFonts w:ascii="Times New Roman" w:hAnsi="Times New Roman" w:hint="eastAsia"/>
                <w:color w:val="000000"/>
              </w:rPr>
              <w:t>回复意见</w:t>
            </w:r>
          </w:p>
        </w:tc>
        <w:tc>
          <w:tcPr>
            <w:tcW w:w="6961" w:type="dxa"/>
          </w:tcPr>
          <w:p w14:paraId="2520D91A" w14:textId="77777777" w:rsidR="00A052DC" w:rsidRDefault="009F0A60">
            <w:pPr>
              <w:rPr>
                <w:rFonts w:eastAsia="黑体"/>
                <w:color w:val="000000"/>
                <w:sz w:val="20"/>
                <w:szCs w:val="20"/>
              </w:rPr>
            </w:pPr>
            <w:r>
              <w:rPr>
                <w:rFonts w:eastAsia="黑体" w:hint="eastAsia"/>
                <w:color w:val="000000"/>
                <w:sz w:val="20"/>
                <w:szCs w:val="20"/>
              </w:rPr>
              <w:t>金融机构是否能够按要求向外汇局报送相关数据。</w:t>
            </w:r>
          </w:p>
        </w:tc>
      </w:tr>
      <w:tr w:rsidR="00A052DC" w14:paraId="677C9501" w14:textId="77777777">
        <w:tc>
          <w:tcPr>
            <w:tcW w:w="1559" w:type="dxa"/>
          </w:tcPr>
          <w:p w14:paraId="3889BD15" w14:textId="77777777" w:rsidR="00A052DC" w:rsidRDefault="009F0A60">
            <w:pPr>
              <w:pStyle w:val="B"/>
              <w:widowControl w:val="0"/>
              <w:rPr>
                <w:rFonts w:ascii="Times New Roman" w:hAnsi="Times New Roman"/>
                <w:color w:val="000000"/>
                <w:szCs w:val="20"/>
              </w:rPr>
            </w:pPr>
            <w:r>
              <w:rPr>
                <w:rFonts w:ascii="Times New Roman" w:hAnsi="Times New Roman" w:hint="eastAsia"/>
                <w:color w:val="000000"/>
              </w:rPr>
              <w:t>回复意见详细信息</w:t>
            </w:r>
          </w:p>
        </w:tc>
        <w:tc>
          <w:tcPr>
            <w:tcW w:w="6961" w:type="dxa"/>
          </w:tcPr>
          <w:p w14:paraId="1727A89F" w14:textId="77777777" w:rsidR="00A052DC" w:rsidRDefault="009F0A60">
            <w:pPr>
              <w:rPr>
                <w:rFonts w:eastAsia="黑体"/>
                <w:color w:val="000000"/>
                <w:sz w:val="20"/>
                <w:szCs w:val="20"/>
              </w:rPr>
            </w:pPr>
            <w:r>
              <w:rPr>
                <w:rFonts w:eastAsia="黑体" w:hint="eastAsia"/>
                <w:color w:val="000000"/>
                <w:sz w:val="20"/>
                <w:szCs w:val="20"/>
              </w:rPr>
              <w:t>填写不能按要求报送相关数据的原因。如能够按要求报送数据，此项可不填。</w:t>
            </w:r>
          </w:p>
        </w:tc>
      </w:tr>
      <w:tr w:rsidR="00A052DC" w14:paraId="14BECF68" w14:textId="77777777">
        <w:tc>
          <w:tcPr>
            <w:tcW w:w="1559" w:type="dxa"/>
          </w:tcPr>
          <w:p w14:paraId="316D3EE0" w14:textId="77777777" w:rsidR="00A052DC" w:rsidRDefault="009F0A60">
            <w:pPr>
              <w:pStyle w:val="B"/>
              <w:widowControl w:val="0"/>
              <w:rPr>
                <w:rFonts w:ascii="Times New Roman" w:hAnsi="Times New Roman"/>
                <w:color w:val="000000"/>
                <w:szCs w:val="20"/>
              </w:rPr>
            </w:pPr>
            <w:r>
              <w:rPr>
                <w:rFonts w:ascii="Times New Roman" w:hAnsi="Times New Roman" w:hint="eastAsia"/>
                <w:color w:val="000000"/>
              </w:rPr>
              <w:t>回复时间</w:t>
            </w:r>
          </w:p>
        </w:tc>
        <w:tc>
          <w:tcPr>
            <w:tcW w:w="6961" w:type="dxa"/>
          </w:tcPr>
          <w:p w14:paraId="4711E659" w14:textId="77777777" w:rsidR="00A052DC" w:rsidRDefault="009F0A60">
            <w:pPr>
              <w:rPr>
                <w:rFonts w:eastAsia="黑体"/>
                <w:color w:val="000000"/>
                <w:sz w:val="20"/>
                <w:szCs w:val="20"/>
              </w:rPr>
            </w:pPr>
            <w:r>
              <w:rPr>
                <w:rFonts w:eastAsia="黑体" w:hint="eastAsia"/>
                <w:color w:val="000000"/>
                <w:sz w:val="20"/>
                <w:szCs w:val="20"/>
              </w:rPr>
              <w:t>银行回复外汇局查询要求的时间</w:t>
            </w:r>
            <w:r w:rsidR="005D2C5E">
              <w:rPr>
                <w:rFonts w:eastAsia="黑体" w:hint="eastAsia"/>
                <w:color w:val="000000"/>
                <w:sz w:val="20"/>
                <w:szCs w:val="20"/>
              </w:rPr>
              <w:t>。</w:t>
            </w:r>
          </w:p>
        </w:tc>
      </w:tr>
      <w:tr w:rsidR="00A052DC" w14:paraId="074D612D" w14:textId="77777777">
        <w:tc>
          <w:tcPr>
            <w:tcW w:w="1559" w:type="dxa"/>
          </w:tcPr>
          <w:p w14:paraId="772791E9" w14:textId="77777777" w:rsidR="00A052DC" w:rsidRDefault="009F0A60">
            <w:pPr>
              <w:pStyle w:val="B"/>
              <w:widowControl w:val="0"/>
              <w:rPr>
                <w:rFonts w:ascii="Times New Roman" w:hAnsi="Times New Roman"/>
                <w:color w:val="000000"/>
                <w:szCs w:val="20"/>
              </w:rPr>
            </w:pPr>
            <w:r>
              <w:rPr>
                <w:rFonts w:ascii="Times New Roman" w:hAnsi="Times New Roman" w:hint="eastAsia"/>
                <w:color w:val="000000"/>
              </w:rPr>
              <w:t>回复人</w:t>
            </w:r>
          </w:p>
        </w:tc>
        <w:tc>
          <w:tcPr>
            <w:tcW w:w="6961" w:type="dxa"/>
          </w:tcPr>
          <w:p w14:paraId="44157C46" w14:textId="77777777" w:rsidR="00A052DC" w:rsidRDefault="009F0A60">
            <w:pPr>
              <w:rPr>
                <w:rFonts w:eastAsia="黑体"/>
                <w:color w:val="000000"/>
                <w:sz w:val="20"/>
                <w:szCs w:val="20"/>
              </w:rPr>
            </w:pPr>
            <w:r>
              <w:rPr>
                <w:rFonts w:eastAsia="黑体" w:hint="eastAsia"/>
                <w:color w:val="000000"/>
                <w:sz w:val="20"/>
                <w:szCs w:val="20"/>
              </w:rPr>
              <w:t>银行回复外汇局查询要求的经办人姓名</w:t>
            </w:r>
            <w:r w:rsidR="005D2C5E">
              <w:rPr>
                <w:rFonts w:eastAsia="黑体" w:hint="eastAsia"/>
                <w:color w:val="000000"/>
                <w:sz w:val="20"/>
                <w:szCs w:val="20"/>
              </w:rPr>
              <w:t>。</w:t>
            </w:r>
          </w:p>
        </w:tc>
      </w:tr>
      <w:tr w:rsidR="00A052DC" w14:paraId="21C44E46" w14:textId="77777777">
        <w:tc>
          <w:tcPr>
            <w:tcW w:w="1559" w:type="dxa"/>
          </w:tcPr>
          <w:p w14:paraId="3E95A35C" w14:textId="77777777" w:rsidR="00A052DC" w:rsidRDefault="009F0A60">
            <w:pPr>
              <w:pStyle w:val="B"/>
              <w:widowControl w:val="0"/>
              <w:rPr>
                <w:rFonts w:ascii="Times New Roman" w:hAnsi="Times New Roman"/>
                <w:color w:val="000000"/>
                <w:szCs w:val="20"/>
              </w:rPr>
            </w:pPr>
            <w:r>
              <w:rPr>
                <w:rFonts w:ascii="Times New Roman" w:hAnsi="Times New Roman" w:hint="eastAsia"/>
                <w:color w:val="000000"/>
              </w:rPr>
              <w:t>回复人电话</w:t>
            </w:r>
          </w:p>
        </w:tc>
        <w:tc>
          <w:tcPr>
            <w:tcW w:w="6961" w:type="dxa"/>
          </w:tcPr>
          <w:p w14:paraId="0DA8DA1D" w14:textId="77777777" w:rsidR="00A052DC" w:rsidRDefault="009F0A60">
            <w:pPr>
              <w:rPr>
                <w:rFonts w:eastAsia="黑体"/>
                <w:color w:val="000000"/>
                <w:sz w:val="20"/>
                <w:szCs w:val="20"/>
              </w:rPr>
            </w:pPr>
            <w:r>
              <w:rPr>
                <w:rFonts w:eastAsia="黑体" w:hint="eastAsia"/>
                <w:color w:val="000000"/>
                <w:sz w:val="20"/>
                <w:szCs w:val="20"/>
              </w:rPr>
              <w:t>银行回复外汇局查询要求的经办人电话</w:t>
            </w:r>
            <w:r w:rsidR="005D2C5E">
              <w:rPr>
                <w:rFonts w:eastAsia="黑体" w:hint="eastAsia"/>
                <w:color w:val="000000"/>
                <w:sz w:val="20"/>
                <w:szCs w:val="20"/>
              </w:rPr>
              <w:t>。</w:t>
            </w:r>
          </w:p>
        </w:tc>
      </w:tr>
      <w:tr w:rsidR="00A052DC" w14:paraId="5B9DC5A9" w14:textId="77777777">
        <w:tc>
          <w:tcPr>
            <w:tcW w:w="1559" w:type="dxa"/>
          </w:tcPr>
          <w:p w14:paraId="02FB8EB4" w14:textId="77777777" w:rsidR="00A052DC" w:rsidRDefault="009F0A60">
            <w:pPr>
              <w:pStyle w:val="B"/>
              <w:widowControl w:val="0"/>
              <w:rPr>
                <w:rFonts w:ascii="Times New Roman" w:hAnsi="Times New Roman"/>
                <w:color w:val="000000"/>
                <w:szCs w:val="20"/>
              </w:rPr>
            </w:pPr>
            <w:r>
              <w:rPr>
                <w:rFonts w:ascii="Times New Roman" w:hAnsi="Times New Roman" w:hint="eastAsia"/>
                <w:color w:val="000000"/>
              </w:rPr>
              <w:t>回复人所属机构名称</w:t>
            </w:r>
          </w:p>
        </w:tc>
        <w:tc>
          <w:tcPr>
            <w:tcW w:w="6961" w:type="dxa"/>
          </w:tcPr>
          <w:p w14:paraId="079E3682" w14:textId="77777777" w:rsidR="00A052DC" w:rsidRDefault="009F0A60">
            <w:pPr>
              <w:rPr>
                <w:rFonts w:eastAsia="黑体"/>
                <w:color w:val="000000"/>
                <w:sz w:val="20"/>
                <w:szCs w:val="20"/>
              </w:rPr>
            </w:pPr>
            <w:r>
              <w:rPr>
                <w:rFonts w:eastAsia="黑体" w:hint="eastAsia"/>
                <w:color w:val="000000"/>
                <w:sz w:val="20"/>
                <w:szCs w:val="20"/>
              </w:rPr>
              <w:t>回复外汇局查询要求的机构全称</w:t>
            </w:r>
            <w:r w:rsidR="005D2C5E">
              <w:rPr>
                <w:rFonts w:eastAsia="黑体" w:hint="eastAsia"/>
                <w:color w:val="000000"/>
                <w:sz w:val="20"/>
                <w:szCs w:val="20"/>
              </w:rPr>
              <w:t>。</w:t>
            </w:r>
          </w:p>
        </w:tc>
      </w:tr>
      <w:tr w:rsidR="00A052DC" w14:paraId="0B2C834E" w14:textId="77777777">
        <w:tc>
          <w:tcPr>
            <w:tcW w:w="1559" w:type="dxa"/>
          </w:tcPr>
          <w:p w14:paraId="4EB4CA36" w14:textId="77777777" w:rsidR="00A052DC" w:rsidRDefault="009F0A60">
            <w:pPr>
              <w:pStyle w:val="B"/>
              <w:widowControl w:val="0"/>
              <w:rPr>
                <w:rFonts w:ascii="Times New Roman" w:hAnsi="Times New Roman"/>
                <w:color w:val="000000"/>
                <w:szCs w:val="20"/>
              </w:rPr>
            </w:pPr>
            <w:r>
              <w:rPr>
                <w:rFonts w:ascii="Times New Roman" w:hAnsi="Times New Roman" w:hint="eastAsia"/>
                <w:color w:val="000000"/>
              </w:rPr>
              <w:t>备注</w:t>
            </w:r>
          </w:p>
        </w:tc>
        <w:tc>
          <w:tcPr>
            <w:tcW w:w="6961" w:type="dxa"/>
          </w:tcPr>
          <w:p w14:paraId="08BE64C5" w14:textId="77777777" w:rsidR="00A052DC" w:rsidRDefault="009F0A60">
            <w:pPr>
              <w:rPr>
                <w:rFonts w:eastAsia="黑体"/>
                <w:color w:val="000000"/>
                <w:sz w:val="20"/>
                <w:szCs w:val="20"/>
              </w:rPr>
            </w:pPr>
            <w:r>
              <w:rPr>
                <w:rFonts w:eastAsia="黑体" w:hint="eastAsia"/>
                <w:color w:val="000000"/>
                <w:sz w:val="20"/>
                <w:szCs w:val="20"/>
              </w:rPr>
              <w:t>各经办人员需要说明的备注事项</w:t>
            </w:r>
            <w:r w:rsidR="005D2C5E">
              <w:rPr>
                <w:rFonts w:eastAsia="黑体" w:hint="eastAsia"/>
                <w:color w:val="000000"/>
                <w:sz w:val="20"/>
                <w:szCs w:val="20"/>
              </w:rPr>
              <w:t>。</w:t>
            </w:r>
          </w:p>
        </w:tc>
      </w:tr>
    </w:tbl>
    <w:p w14:paraId="45B6017B" w14:textId="77777777" w:rsidR="00A052DC" w:rsidRDefault="009F0A60">
      <w:pPr>
        <w:pStyle w:val="4"/>
        <w:numPr>
          <w:ilvl w:val="3"/>
          <w:numId w:val="1"/>
        </w:numPr>
        <w:jc w:val="left"/>
      </w:pPr>
      <w:r>
        <w:rPr>
          <w:rFonts w:hint="eastAsia"/>
        </w:rPr>
        <w:t>数据格式</w:t>
      </w:r>
    </w:p>
    <w:p w14:paraId="7263A3B9" w14:textId="77777777" w:rsidR="00A052DC" w:rsidRDefault="009F0A60">
      <w:r>
        <w:t>&lt;REC&gt;</w:t>
      </w:r>
    </w:p>
    <w:p w14:paraId="738CDA74" w14:textId="77777777" w:rsidR="00A052DC" w:rsidRDefault="009F0A60">
      <w:r>
        <w:t>&lt;ACTIONTYPE&gt;</w:t>
      </w:r>
      <w:r>
        <w:rPr>
          <w:rFonts w:hint="eastAsia"/>
        </w:rPr>
        <w:t>操作类型</w:t>
      </w:r>
      <w:r>
        <w:t>&lt;/ACTIONTYPE&gt;</w:t>
      </w:r>
    </w:p>
    <w:p w14:paraId="7DA583DB" w14:textId="77777777" w:rsidR="00A052DC" w:rsidRDefault="009F0A60">
      <w:r>
        <w:t>&lt;REPLYNUM&gt;</w:t>
      </w:r>
      <w:r>
        <w:rPr>
          <w:rFonts w:hint="eastAsia"/>
        </w:rPr>
        <w:t>查询流水号</w:t>
      </w:r>
      <w:r>
        <w:t>&lt;/REPLYNUM&gt;</w:t>
      </w:r>
      <w:r>
        <w:tab/>
      </w:r>
    </w:p>
    <w:p w14:paraId="51C0622B" w14:textId="77777777" w:rsidR="00A052DC" w:rsidRDefault="009F0A60">
      <w:r>
        <w:t>&lt;REPLYSTAT&gt;</w:t>
      </w:r>
      <w:r>
        <w:rPr>
          <w:rFonts w:hint="eastAsia"/>
        </w:rPr>
        <w:t>回复意见</w:t>
      </w:r>
      <w:r>
        <w:t>&lt;/REPLYSTAT&gt;</w:t>
      </w:r>
      <w:r>
        <w:tab/>
      </w:r>
    </w:p>
    <w:p w14:paraId="5C82DDF7" w14:textId="77777777" w:rsidR="00A052DC" w:rsidRDefault="009F0A60">
      <w:r>
        <w:t>&lt;REPLYINFO&gt;</w:t>
      </w:r>
      <w:r>
        <w:rPr>
          <w:rFonts w:hint="eastAsia"/>
        </w:rPr>
        <w:t>回复意见详细信息</w:t>
      </w:r>
      <w:r>
        <w:t>&lt;/REPLYINFO&gt;</w:t>
      </w:r>
      <w:r>
        <w:tab/>
      </w:r>
    </w:p>
    <w:p w14:paraId="238A3E79" w14:textId="77777777" w:rsidR="00A052DC" w:rsidRDefault="009F0A60">
      <w:r>
        <w:t>&lt;REPLYDATE&gt;</w:t>
      </w:r>
      <w:r>
        <w:rPr>
          <w:rFonts w:hint="eastAsia"/>
        </w:rPr>
        <w:t>回复时间</w:t>
      </w:r>
      <w:r>
        <w:t>&lt;/REPLYDATE&gt;</w:t>
      </w:r>
      <w:r>
        <w:tab/>
      </w:r>
    </w:p>
    <w:p w14:paraId="098B7776" w14:textId="77777777" w:rsidR="00A052DC" w:rsidRDefault="009F0A60">
      <w:r>
        <w:t>&lt;REPLIER&gt;</w:t>
      </w:r>
      <w:r>
        <w:rPr>
          <w:rFonts w:hint="eastAsia"/>
        </w:rPr>
        <w:t>回复人</w:t>
      </w:r>
      <w:r>
        <w:t>&lt;/REPLIER&gt;</w:t>
      </w:r>
    </w:p>
    <w:p w14:paraId="467292A1" w14:textId="77777777" w:rsidR="00A052DC" w:rsidRDefault="009F0A60">
      <w:r>
        <w:t>&lt;REPLYTEL&gt;</w:t>
      </w:r>
      <w:r>
        <w:rPr>
          <w:rFonts w:hint="eastAsia"/>
        </w:rPr>
        <w:t>回复人电话</w:t>
      </w:r>
      <w:r>
        <w:t>&lt;/REPLYTEL&gt;</w:t>
      </w:r>
    </w:p>
    <w:p w14:paraId="346FFD23" w14:textId="77777777" w:rsidR="00A052DC" w:rsidRDefault="009F0A60">
      <w:r>
        <w:t>&lt;REPLYINST&gt;</w:t>
      </w:r>
      <w:r>
        <w:rPr>
          <w:rFonts w:hint="eastAsia"/>
        </w:rPr>
        <w:t>回复人所属机构名称</w:t>
      </w:r>
      <w:r>
        <w:t>&lt;/REPLYINST&gt;</w:t>
      </w:r>
      <w:r>
        <w:tab/>
      </w:r>
    </w:p>
    <w:p w14:paraId="474EE89A" w14:textId="77777777" w:rsidR="00A052DC" w:rsidRDefault="009F0A60">
      <w:r>
        <w:t>&lt;REMARKS&gt;</w:t>
      </w:r>
      <w:r>
        <w:rPr>
          <w:rFonts w:hint="eastAsia"/>
        </w:rPr>
        <w:t>备注</w:t>
      </w:r>
      <w:r>
        <w:t>&lt;/REMARKS&gt;</w:t>
      </w:r>
    </w:p>
    <w:p w14:paraId="393E4153" w14:textId="77777777" w:rsidR="00A052DC" w:rsidRDefault="009F0A60">
      <w:r>
        <w:t>&lt;/REC&gt;</w:t>
      </w:r>
    </w:p>
    <w:p w14:paraId="245CDDC7" w14:textId="77777777" w:rsidR="00A052DC" w:rsidRDefault="009F0A60" w:rsidP="0020251D">
      <w:pPr>
        <w:pStyle w:val="4"/>
        <w:numPr>
          <w:ilvl w:val="3"/>
          <w:numId w:val="1"/>
        </w:numPr>
        <w:jc w:val="left"/>
      </w:pPr>
      <w:r>
        <w:t>数据字典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6"/>
        <w:gridCol w:w="1536"/>
        <w:gridCol w:w="1676"/>
        <w:gridCol w:w="3491"/>
      </w:tblGrid>
      <w:tr w:rsidR="00A052DC" w14:paraId="768230A8" w14:textId="77777777">
        <w:trPr>
          <w:tblHeader/>
        </w:trPr>
        <w:tc>
          <w:tcPr>
            <w:tcW w:w="1816" w:type="dxa"/>
            <w:shd w:val="clear" w:color="auto" w:fill="C0C0C0"/>
          </w:tcPr>
          <w:p w14:paraId="19B4DFDB" w14:textId="77777777" w:rsidR="00A052DC" w:rsidRDefault="009F0A60">
            <w:pPr>
              <w:jc w:val="center"/>
              <w:rPr>
                <w:rFonts w:eastAsia="黑体"/>
                <w:b/>
                <w:color w:val="000000"/>
                <w:sz w:val="20"/>
                <w:szCs w:val="20"/>
              </w:rPr>
            </w:pPr>
            <w:r>
              <w:rPr>
                <w:rFonts w:eastAsia="黑体" w:hint="eastAsia"/>
                <w:b/>
                <w:color w:val="000000"/>
                <w:sz w:val="20"/>
                <w:szCs w:val="20"/>
              </w:rPr>
              <w:t>字段</w:t>
            </w:r>
          </w:p>
        </w:tc>
        <w:tc>
          <w:tcPr>
            <w:tcW w:w="1536" w:type="dxa"/>
            <w:shd w:val="clear" w:color="auto" w:fill="C0C0C0"/>
          </w:tcPr>
          <w:p w14:paraId="4AFC8FC0" w14:textId="77777777" w:rsidR="00A052DC" w:rsidRDefault="009F0A60">
            <w:pPr>
              <w:jc w:val="center"/>
              <w:rPr>
                <w:rFonts w:eastAsia="黑体"/>
                <w:b/>
                <w:color w:val="000000"/>
                <w:sz w:val="20"/>
                <w:szCs w:val="20"/>
              </w:rPr>
            </w:pPr>
            <w:r>
              <w:rPr>
                <w:rFonts w:eastAsia="黑体" w:hint="eastAsia"/>
                <w:b/>
                <w:color w:val="000000"/>
                <w:sz w:val="20"/>
                <w:szCs w:val="20"/>
              </w:rPr>
              <w:t>内容</w:t>
            </w:r>
          </w:p>
        </w:tc>
        <w:tc>
          <w:tcPr>
            <w:tcW w:w="1676" w:type="dxa"/>
            <w:shd w:val="clear" w:color="auto" w:fill="C0C0C0"/>
          </w:tcPr>
          <w:p w14:paraId="5623A59F" w14:textId="77777777" w:rsidR="00A052DC" w:rsidRDefault="009F0A60">
            <w:pPr>
              <w:jc w:val="center"/>
              <w:rPr>
                <w:rFonts w:eastAsia="黑体"/>
                <w:b/>
                <w:color w:val="000000"/>
                <w:sz w:val="20"/>
                <w:szCs w:val="20"/>
              </w:rPr>
            </w:pPr>
            <w:r>
              <w:rPr>
                <w:rFonts w:eastAsia="黑体" w:hint="eastAsia"/>
                <w:b/>
                <w:color w:val="000000"/>
                <w:sz w:val="20"/>
                <w:szCs w:val="20"/>
              </w:rPr>
              <w:t>类型（长度）</w:t>
            </w:r>
          </w:p>
        </w:tc>
        <w:tc>
          <w:tcPr>
            <w:tcW w:w="3491" w:type="dxa"/>
            <w:shd w:val="clear" w:color="auto" w:fill="C0C0C0"/>
          </w:tcPr>
          <w:p w14:paraId="30959BAE" w14:textId="77777777" w:rsidR="00A052DC" w:rsidRDefault="009F0A60">
            <w:pPr>
              <w:jc w:val="center"/>
              <w:rPr>
                <w:rFonts w:eastAsia="黑体"/>
                <w:b/>
                <w:color w:val="000000"/>
                <w:sz w:val="20"/>
                <w:szCs w:val="20"/>
              </w:rPr>
            </w:pPr>
            <w:r>
              <w:rPr>
                <w:rFonts w:eastAsia="黑体" w:hint="eastAsia"/>
                <w:b/>
                <w:color w:val="000000"/>
                <w:sz w:val="20"/>
                <w:szCs w:val="20"/>
              </w:rPr>
              <w:t>校验</w:t>
            </w:r>
          </w:p>
        </w:tc>
      </w:tr>
      <w:tr w:rsidR="00A052DC" w14:paraId="64C8AE36" w14:textId="77777777">
        <w:tc>
          <w:tcPr>
            <w:tcW w:w="1816" w:type="dxa"/>
            <w:tcBorders>
              <w:top w:val="single" w:sz="4" w:space="0" w:color="auto"/>
              <w:left w:val="single" w:sz="4" w:space="0" w:color="auto"/>
              <w:bottom w:val="single" w:sz="4" w:space="0" w:color="auto"/>
              <w:right w:val="single" w:sz="4" w:space="0" w:color="auto"/>
            </w:tcBorders>
          </w:tcPr>
          <w:p w14:paraId="7B91A40C" w14:textId="77777777" w:rsidR="00A052DC" w:rsidRDefault="009F0A60">
            <w:pPr>
              <w:pStyle w:val="B"/>
              <w:rPr>
                <w:color w:val="000000"/>
              </w:rPr>
            </w:pPr>
            <w:r>
              <w:t>ACTIONTYPE</w:t>
            </w:r>
          </w:p>
        </w:tc>
        <w:tc>
          <w:tcPr>
            <w:tcW w:w="1536" w:type="dxa"/>
            <w:tcBorders>
              <w:top w:val="single" w:sz="4" w:space="0" w:color="auto"/>
              <w:left w:val="single" w:sz="4" w:space="0" w:color="auto"/>
              <w:bottom w:val="single" w:sz="4" w:space="0" w:color="auto"/>
              <w:right w:val="single" w:sz="4" w:space="0" w:color="auto"/>
            </w:tcBorders>
          </w:tcPr>
          <w:p w14:paraId="1D4F6CDA" w14:textId="77777777" w:rsidR="00A052DC" w:rsidRDefault="009F0A60">
            <w:pPr>
              <w:pStyle w:val="B"/>
              <w:rPr>
                <w:color w:val="000000"/>
              </w:rPr>
            </w:pPr>
            <w:r>
              <w:rPr>
                <w:rFonts w:hint="eastAsia"/>
              </w:rPr>
              <w:t>操作类型</w:t>
            </w:r>
          </w:p>
        </w:tc>
        <w:tc>
          <w:tcPr>
            <w:tcW w:w="1676" w:type="dxa"/>
            <w:tcBorders>
              <w:top w:val="single" w:sz="4" w:space="0" w:color="auto"/>
              <w:left w:val="single" w:sz="4" w:space="0" w:color="auto"/>
              <w:bottom w:val="single" w:sz="4" w:space="0" w:color="auto"/>
              <w:right w:val="single" w:sz="4" w:space="0" w:color="auto"/>
            </w:tcBorders>
          </w:tcPr>
          <w:p w14:paraId="0B0FB0DA" w14:textId="77777777" w:rsidR="00A052DC" w:rsidRDefault="009F0A60">
            <w:pPr>
              <w:pStyle w:val="B"/>
              <w:rPr>
                <w:color w:val="000000"/>
              </w:rPr>
            </w:pPr>
            <w:r>
              <w:rPr>
                <w:rFonts w:hint="eastAsia"/>
              </w:rPr>
              <w:t>字符型，</w:t>
            </w:r>
            <w:r>
              <w:t>1</w:t>
            </w:r>
          </w:p>
        </w:tc>
        <w:tc>
          <w:tcPr>
            <w:tcW w:w="3491" w:type="dxa"/>
            <w:tcBorders>
              <w:top w:val="single" w:sz="4" w:space="0" w:color="auto"/>
              <w:left w:val="single" w:sz="4" w:space="0" w:color="auto"/>
              <w:bottom w:val="single" w:sz="4" w:space="0" w:color="auto"/>
              <w:right w:val="single" w:sz="4" w:space="0" w:color="auto"/>
            </w:tcBorders>
          </w:tcPr>
          <w:p w14:paraId="740063DF" w14:textId="77777777" w:rsidR="00A052DC" w:rsidRDefault="009F0A60">
            <w:pPr>
              <w:pStyle w:val="B"/>
            </w:pPr>
            <w:r>
              <w:t>A</w:t>
            </w:r>
            <w:r w:rsidR="00AE4602">
              <w:t>-</w:t>
            </w:r>
            <w:r>
              <w:t>新建</w:t>
            </w:r>
          </w:p>
          <w:p w14:paraId="4E04698E" w14:textId="77777777" w:rsidR="00A052DC" w:rsidRDefault="009F0A60">
            <w:pPr>
              <w:pStyle w:val="B"/>
            </w:pPr>
            <w:r>
              <w:t>C</w:t>
            </w:r>
            <w:r w:rsidR="00AE4602">
              <w:t>-</w:t>
            </w:r>
            <w:r>
              <w:t>修改</w:t>
            </w:r>
          </w:p>
          <w:p w14:paraId="1A525D0E" w14:textId="77777777" w:rsidR="00A052DC" w:rsidRDefault="009F0A60">
            <w:pPr>
              <w:pStyle w:val="B"/>
              <w:rPr>
                <w:color w:val="000000"/>
              </w:rPr>
            </w:pPr>
            <w:r>
              <w:t>R-</w:t>
            </w:r>
            <w:r>
              <w:rPr>
                <w:rFonts w:hint="eastAsia"/>
              </w:rPr>
              <w:t>申报无误（银行反馈），预留，暂不用</w:t>
            </w:r>
          </w:p>
        </w:tc>
      </w:tr>
      <w:tr w:rsidR="00A052DC" w14:paraId="3FA29FD5" w14:textId="77777777">
        <w:tc>
          <w:tcPr>
            <w:tcW w:w="1816" w:type="dxa"/>
            <w:tcBorders>
              <w:top w:val="single" w:sz="4" w:space="0" w:color="auto"/>
              <w:left w:val="single" w:sz="4" w:space="0" w:color="auto"/>
              <w:bottom w:val="single" w:sz="4" w:space="0" w:color="auto"/>
              <w:right w:val="single" w:sz="4" w:space="0" w:color="auto"/>
            </w:tcBorders>
          </w:tcPr>
          <w:p w14:paraId="01D03C71" w14:textId="77777777" w:rsidR="00A052DC" w:rsidRDefault="009F0A60">
            <w:pPr>
              <w:pStyle w:val="B"/>
              <w:rPr>
                <w:color w:val="000000"/>
              </w:rPr>
            </w:pPr>
            <w:r>
              <w:rPr>
                <w:color w:val="000000"/>
              </w:rPr>
              <w:t>REPLYNUM</w:t>
            </w:r>
          </w:p>
        </w:tc>
        <w:tc>
          <w:tcPr>
            <w:tcW w:w="1536" w:type="dxa"/>
            <w:tcBorders>
              <w:top w:val="single" w:sz="4" w:space="0" w:color="auto"/>
              <w:left w:val="single" w:sz="4" w:space="0" w:color="auto"/>
              <w:bottom w:val="single" w:sz="4" w:space="0" w:color="auto"/>
              <w:right w:val="single" w:sz="4" w:space="0" w:color="auto"/>
            </w:tcBorders>
          </w:tcPr>
          <w:p w14:paraId="2CAB60F7" w14:textId="77777777" w:rsidR="00A052DC" w:rsidRDefault="009F0A60">
            <w:pPr>
              <w:pStyle w:val="B"/>
              <w:rPr>
                <w:color w:val="000000"/>
              </w:rPr>
            </w:pPr>
            <w:r>
              <w:rPr>
                <w:rFonts w:hint="eastAsia"/>
                <w:color w:val="000000"/>
              </w:rPr>
              <w:t>查询流水号</w:t>
            </w:r>
          </w:p>
        </w:tc>
        <w:tc>
          <w:tcPr>
            <w:tcW w:w="1676" w:type="dxa"/>
            <w:tcBorders>
              <w:top w:val="single" w:sz="4" w:space="0" w:color="auto"/>
              <w:left w:val="single" w:sz="4" w:space="0" w:color="auto"/>
              <w:bottom w:val="single" w:sz="4" w:space="0" w:color="auto"/>
              <w:right w:val="single" w:sz="4" w:space="0" w:color="auto"/>
            </w:tcBorders>
          </w:tcPr>
          <w:p w14:paraId="45B3BA20" w14:textId="77777777" w:rsidR="00A052DC" w:rsidRDefault="009F0A60">
            <w:pPr>
              <w:pStyle w:val="B"/>
              <w:rPr>
                <w:color w:val="000000"/>
              </w:rPr>
            </w:pPr>
            <w:r>
              <w:rPr>
                <w:rFonts w:hint="eastAsia"/>
                <w:color w:val="000000"/>
              </w:rPr>
              <w:t>字符型，</w:t>
            </w:r>
            <w:r>
              <w:rPr>
                <w:color w:val="000000"/>
              </w:rPr>
              <w:t>22</w:t>
            </w:r>
          </w:p>
        </w:tc>
        <w:tc>
          <w:tcPr>
            <w:tcW w:w="3491" w:type="dxa"/>
            <w:tcBorders>
              <w:top w:val="single" w:sz="4" w:space="0" w:color="auto"/>
              <w:left w:val="single" w:sz="4" w:space="0" w:color="auto"/>
              <w:bottom w:val="single" w:sz="4" w:space="0" w:color="auto"/>
              <w:right w:val="single" w:sz="4" w:space="0" w:color="auto"/>
            </w:tcBorders>
          </w:tcPr>
          <w:p w14:paraId="1AF838AA" w14:textId="77777777" w:rsidR="00A052DC" w:rsidRDefault="009F0A60">
            <w:pPr>
              <w:pStyle w:val="B"/>
              <w:rPr>
                <w:color w:val="000000"/>
              </w:rPr>
            </w:pPr>
            <w:r>
              <w:rPr>
                <w:rFonts w:hint="eastAsia"/>
                <w:color w:val="000000"/>
              </w:rPr>
              <w:t>必填</w:t>
            </w:r>
            <w:r w:rsidR="006F5A61">
              <w:rPr>
                <w:rFonts w:hint="eastAsia"/>
                <w:color w:val="000000"/>
              </w:rPr>
              <w:t>项</w:t>
            </w:r>
            <w:r>
              <w:rPr>
                <w:rFonts w:hint="eastAsia"/>
                <w:color w:val="000000"/>
              </w:rPr>
              <w:t>，</w:t>
            </w:r>
            <w:r>
              <w:rPr>
                <w:color w:val="000000"/>
              </w:rPr>
              <w:t>22</w:t>
            </w:r>
            <w:r>
              <w:rPr>
                <w:rFonts w:hint="eastAsia"/>
                <w:color w:val="000000"/>
              </w:rPr>
              <w:t>位，该回复信息对应的外汇局下发的查询信息的流水号。</w:t>
            </w:r>
          </w:p>
        </w:tc>
      </w:tr>
      <w:tr w:rsidR="00A052DC" w14:paraId="0A1F6B08" w14:textId="77777777">
        <w:tc>
          <w:tcPr>
            <w:tcW w:w="1816" w:type="dxa"/>
            <w:tcBorders>
              <w:top w:val="single" w:sz="4" w:space="0" w:color="auto"/>
              <w:left w:val="single" w:sz="4" w:space="0" w:color="auto"/>
              <w:bottom w:val="single" w:sz="4" w:space="0" w:color="auto"/>
              <w:right w:val="single" w:sz="4" w:space="0" w:color="auto"/>
            </w:tcBorders>
          </w:tcPr>
          <w:p w14:paraId="5CDA928E" w14:textId="77777777" w:rsidR="00A052DC" w:rsidRDefault="009F0A60">
            <w:pPr>
              <w:pStyle w:val="B"/>
              <w:rPr>
                <w:color w:val="000000"/>
              </w:rPr>
            </w:pPr>
            <w:r>
              <w:rPr>
                <w:color w:val="000000"/>
              </w:rPr>
              <w:t>REPLYSTAT</w:t>
            </w:r>
          </w:p>
        </w:tc>
        <w:tc>
          <w:tcPr>
            <w:tcW w:w="1536" w:type="dxa"/>
            <w:tcBorders>
              <w:top w:val="single" w:sz="4" w:space="0" w:color="auto"/>
              <w:left w:val="single" w:sz="4" w:space="0" w:color="auto"/>
              <w:bottom w:val="single" w:sz="4" w:space="0" w:color="auto"/>
              <w:right w:val="single" w:sz="4" w:space="0" w:color="auto"/>
            </w:tcBorders>
          </w:tcPr>
          <w:p w14:paraId="48354C2B" w14:textId="77777777" w:rsidR="00A052DC" w:rsidRDefault="009F0A60">
            <w:pPr>
              <w:pStyle w:val="B"/>
              <w:rPr>
                <w:color w:val="000000"/>
              </w:rPr>
            </w:pPr>
            <w:r>
              <w:rPr>
                <w:rFonts w:hint="eastAsia"/>
                <w:color w:val="000000"/>
              </w:rPr>
              <w:t>回复意见</w:t>
            </w:r>
          </w:p>
        </w:tc>
        <w:tc>
          <w:tcPr>
            <w:tcW w:w="1676" w:type="dxa"/>
            <w:tcBorders>
              <w:top w:val="single" w:sz="4" w:space="0" w:color="auto"/>
              <w:left w:val="single" w:sz="4" w:space="0" w:color="auto"/>
              <w:bottom w:val="single" w:sz="4" w:space="0" w:color="auto"/>
              <w:right w:val="single" w:sz="4" w:space="0" w:color="auto"/>
            </w:tcBorders>
          </w:tcPr>
          <w:p w14:paraId="3FB7EDC1" w14:textId="77777777" w:rsidR="00A052DC" w:rsidRDefault="009F0A60">
            <w:pPr>
              <w:pStyle w:val="B"/>
              <w:rPr>
                <w:color w:val="000000"/>
              </w:rPr>
            </w:pPr>
            <w:r>
              <w:rPr>
                <w:rFonts w:hint="eastAsia"/>
                <w:color w:val="000000"/>
              </w:rPr>
              <w:t>字符型，</w:t>
            </w:r>
            <w:r>
              <w:rPr>
                <w:color w:val="000000"/>
              </w:rPr>
              <w:t>1</w:t>
            </w:r>
          </w:p>
        </w:tc>
        <w:tc>
          <w:tcPr>
            <w:tcW w:w="3491" w:type="dxa"/>
            <w:tcBorders>
              <w:top w:val="single" w:sz="4" w:space="0" w:color="auto"/>
              <w:left w:val="single" w:sz="4" w:space="0" w:color="auto"/>
              <w:bottom w:val="single" w:sz="4" w:space="0" w:color="auto"/>
              <w:right w:val="single" w:sz="4" w:space="0" w:color="auto"/>
            </w:tcBorders>
          </w:tcPr>
          <w:p w14:paraId="0E28E0AE" w14:textId="77777777" w:rsidR="00A052DC" w:rsidRDefault="009F0A60">
            <w:pPr>
              <w:pStyle w:val="B"/>
              <w:rPr>
                <w:color w:val="000000"/>
              </w:rPr>
            </w:pPr>
            <w:r>
              <w:rPr>
                <w:rFonts w:hint="eastAsia"/>
                <w:color w:val="000000"/>
              </w:rPr>
              <w:t>必填项，</w:t>
            </w:r>
            <w:r>
              <w:rPr>
                <w:color w:val="000000"/>
              </w:rPr>
              <w:t>2</w:t>
            </w:r>
            <w:r>
              <w:rPr>
                <w:rFonts w:hint="eastAsia"/>
                <w:color w:val="000000"/>
              </w:rPr>
              <w:t>选</w:t>
            </w:r>
            <w:r>
              <w:rPr>
                <w:color w:val="000000"/>
              </w:rPr>
              <w:t>1</w:t>
            </w:r>
            <w:r>
              <w:rPr>
                <w:rFonts w:hint="eastAsia"/>
                <w:color w:val="000000"/>
              </w:rPr>
              <w:t>：</w:t>
            </w:r>
          </w:p>
          <w:p w14:paraId="51402556" w14:textId="77777777" w:rsidR="00A052DC" w:rsidRDefault="009F0A60">
            <w:pPr>
              <w:pStyle w:val="B"/>
            </w:pPr>
            <w:r>
              <w:t>Y-</w:t>
            </w:r>
            <w:r>
              <w:rPr>
                <w:rFonts w:hint="eastAsia"/>
              </w:rPr>
              <w:t>能够</w:t>
            </w:r>
            <w:r>
              <w:t>报送；</w:t>
            </w:r>
          </w:p>
          <w:p w14:paraId="24E541F0" w14:textId="77777777" w:rsidR="00A052DC" w:rsidRDefault="009F0A60">
            <w:pPr>
              <w:pStyle w:val="B"/>
            </w:pPr>
            <w:r>
              <w:t>N-</w:t>
            </w:r>
            <w:r>
              <w:rPr>
                <w:rFonts w:hint="eastAsia"/>
              </w:rPr>
              <w:t>无法</w:t>
            </w:r>
            <w:r>
              <w:t>报送。</w:t>
            </w:r>
          </w:p>
        </w:tc>
      </w:tr>
      <w:tr w:rsidR="00A052DC" w14:paraId="7F52CAFC" w14:textId="77777777">
        <w:tc>
          <w:tcPr>
            <w:tcW w:w="1816" w:type="dxa"/>
            <w:tcBorders>
              <w:top w:val="single" w:sz="4" w:space="0" w:color="auto"/>
              <w:left w:val="single" w:sz="4" w:space="0" w:color="auto"/>
              <w:bottom w:val="single" w:sz="4" w:space="0" w:color="auto"/>
              <w:right w:val="single" w:sz="4" w:space="0" w:color="auto"/>
            </w:tcBorders>
          </w:tcPr>
          <w:p w14:paraId="7259D963" w14:textId="77777777" w:rsidR="00A052DC" w:rsidRDefault="009F0A60">
            <w:pPr>
              <w:pStyle w:val="B"/>
              <w:rPr>
                <w:color w:val="000000"/>
              </w:rPr>
            </w:pPr>
            <w:r>
              <w:rPr>
                <w:color w:val="000000"/>
              </w:rPr>
              <w:t>REPLYINFO</w:t>
            </w:r>
          </w:p>
        </w:tc>
        <w:tc>
          <w:tcPr>
            <w:tcW w:w="1536" w:type="dxa"/>
            <w:tcBorders>
              <w:top w:val="single" w:sz="4" w:space="0" w:color="auto"/>
              <w:left w:val="single" w:sz="4" w:space="0" w:color="auto"/>
              <w:bottom w:val="single" w:sz="4" w:space="0" w:color="auto"/>
              <w:right w:val="single" w:sz="4" w:space="0" w:color="auto"/>
            </w:tcBorders>
          </w:tcPr>
          <w:p w14:paraId="7BF58FBD" w14:textId="77777777" w:rsidR="00A052DC" w:rsidRDefault="009F0A60">
            <w:pPr>
              <w:pStyle w:val="B"/>
              <w:rPr>
                <w:color w:val="000000"/>
              </w:rPr>
            </w:pPr>
            <w:r>
              <w:rPr>
                <w:rFonts w:hint="eastAsia"/>
                <w:color w:val="000000"/>
              </w:rPr>
              <w:t>回复意见详细信息</w:t>
            </w:r>
          </w:p>
        </w:tc>
        <w:tc>
          <w:tcPr>
            <w:tcW w:w="1676" w:type="dxa"/>
            <w:tcBorders>
              <w:top w:val="single" w:sz="4" w:space="0" w:color="auto"/>
              <w:left w:val="single" w:sz="4" w:space="0" w:color="auto"/>
              <w:bottom w:val="single" w:sz="4" w:space="0" w:color="auto"/>
              <w:right w:val="single" w:sz="4" w:space="0" w:color="auto"/>
            </w:tcBorders>
          </w:tcPr>
          <w:p w14:paraId="169851B4" w14:textId="77777777" w:rsidR="00A052DC" w:rsidRDefault="009F0A60">
            <w:pPr>
              <w:pStyle w:val="B"/>
              <w:rPr>
                <w:color w:val="000000"/>
              </w:rPr>
            </w:pPr>
            <w:r>
              <w:rPr>
                <w:rFonts w:hint="eastAsia"/>
                <w:color w:val="000000"/>
              </w:rPr>
              <w:t>变长字符型，512</w:t>
            </w:r>
          </w:p>
        </w:tc>
        <w:tc>
          <w:tcPr>
            <w:tcW w:w="3491" w:type="dxa"/>
            <w:tcBorders>
              <w:top w:val="single" w:sz="4" w:space="0" w:color="auto"/>
              <w:left w:val="single" w:sz="4" w:space="0" w:color="auto"/>
              <w:bottom w:val="single" w:sz="4" w:space="0" w:color="auto"/>
              <w:right w:val="single" w:sz="4" w:space="0" w:color="auto"/>
            </w:tcBorders>
          </w:tcPr>
          <w:p w14:paraId="6C832C99" w14:textId="77777777" w:rsidR="00A052DC" w:rsidRDefault="00DD6AA3">
            <w:pPr>
              <w:pStyle w:val="B"/>
              <w:rPr>
                <w:color w:val="000000"/>
              </w:rPr>
            </w:pPr>
            <w:r>
              <w:rPr>
                <w:rFonts w:hint="eastAsia"/>
                <w:color w:val="000000"/>
              </w:rPr>
              <w:t>非必填项</w:t>
            </w:r>
            <w:r w:rsidR="009F0A60">
              <w:rPr>
                <w:rFonts w:hint="eastAsia"/>
                <w:color w:val="000000"/>
              </w:rPr>
              <w:t>，</w:t>
            </w:r>
            <w:r w:rsidR="009F0A60">
              <w:rPr>
                <w:color w:val="000000"/>
              </w:rPr>
              <w:t>REPLYSTAT=N</w:t>
            </w:r>
            <w:r w:rsidR="009F0A60">
              <w:rPr>
                <w:rFonts w:hint="eastAsia"/>
                <w:color w:val="000000"/>
              </w:rPr>
              <w:t>时必填。</w:t>
            </w:r>
          </w:p>
        </w:tc>
      </w:tr>
      <w:tr w:rsidR="00A052DC" w14:paraId="578AE5BE" w14:textId="77777777">
        <w:tc>
          <w:tcPr>
            <w:tcW w:w="1816" w:type="dxa"/>
            <w:tcBorders>
              <w:top w:val="single" w:sz="4" w:space="0" w:color="auto"/>
              <w:left w:val="single" w:sz="4" w:space="0" w:color="auto"/>
              <w:bottom w:val="single" w:sz="4" w:space="0" w:color="auto"/>
              <w:right w:val="single" w:sz="4" w:space="0" w:color="auto"/>
            </w:tcBorders>
          </w:tcPr>
          <w:p w14:paraId="26422AD9" w14:textId="77777777" w:rsidR="00A052DC" w:rsidRDefault="009F0A60">
            <w:pPr>
              <w:pStyle w:val="B"/>
              <w:rPr>
                <w:color w:val="000000"/>
              </w:rPr>
            </w:pPr>
            <w:r>
              <w:rPr>
                <w:color w:val="000000"/>
              </w:rPr>
              <w:t>REPLYDATE</w:t>
            </w:r>
          </w:p>
        </w:tc>
        <w:tc>
          <w:tcPr>
            <w:tcW w:w="1536" w:type="dxa"/>
            <w:tcBorders>
              <w:top w:val="single" w:sz="4" w:space="0" w:color="auto"/>
              <w:left w:val="single" w:sz="4" w:space="0" w:color="auto"/>
              <w:bottom w:val="single" w:sz="4" w:space="0" w:color="auto"/>
              <w:right w:val="single" w:sz="4" w:space="0" w:color="auto"/>
            </w:tcBorders>
          </w:tcPr>
          <w:p w14:paraId="53727FB4" w14:textId="77777777" w:rsidR="00A052DC" w:rsidRDefault="009F0A60">
            <w:pPr>
              <w:pStyle w:val="B"/>
              <w:rPr>
                <w:color w:val="000000"/>
              </w:rPr>
            </w:pPr>
            <w:r>
              <w:rPr>
                <w:rFonts w:hint="eastAsia"/>
                <w:color w:val="000000"/>
              </w:rPr>
              <w:t>回复时间</w:t>
            </w:r>
          </w:p>
        </w:tc>
        <w:tc>
          <w:tcPr>
            <w:tcW w:w="1676" w:type="dxa"/>
            <w:tcBorders>
              <w:top w:val="single" w:sz="4" w:space="0" w:color="auto"/>
              <w:left w:val="single" w:sz="4" w:space="0" w:color="auto"/>
              <w:bottom w:val="single" w:sz="4" w:space="0" w:color="auto"/>
              <w:right w:val="single" w:sz="4" w:space="0" w:color="auto"/>
            </w:tcBorders>
          </w:tcPr>
          <w:p w14:paraId="6A99F10F" w14:textId="77777777" w:rsidR="00A052DC" w:rsidRDefault="009F0A60">
            <w:pPr>
              <w:pStyle w:val="B"/>
              <w:rPr>
                <w:color w:val="000000"/>
              </w:rPr>
            </w:pPr>
            <w:r>
              <w:rPr>
                <w:rFonts w:hint="eastAsia"/>
                <w:color w:val="000000"/>
              </w:rPr>
              <w:t>日期型，</w:t>
            </w:r>
            <w:r>
              <w:rPr>
                <w:color w:val="000000"/>
              </w:rPr>
              <w:t>8</w:t>
            </w:r>
          </w:p>
        </w:tc>
        <w:tc>
          <w:tcPr>
            <w:tcW w:w="3491" w:type="dxa"/>
            <w:tcBorders>
              <w:top w:val="single" w:sz="4" w:space="0" w:color="auto"/>
              <w:left w:val="single" w:sz="4" w:space="0" w:color="auto"/>
              <w:bottom w:val="single" w:sz="4" w:space="0" w:color="auto"/>
              <w:right w:val="single" w:sz="4" w:space="0" w:color="auto"/>
            </w:tcBorders>
          </w:tcPr>
          <w:p w14:paraId="2EC1B008" w14:textId="77777777" w:rsidR="00A052DC" w:rsidRDefault="009F0A60">
            <w:pPr>
              <w:pStyle w:val="B"/>
              <w:rPr>
                <w:color w:val="000000"/>
              </w:rPr>
            </w:pPr>
            <w:r>
              <w:rPr>
                <w:rFonts w:hint="eastAsia"/>
                <w:color w:val="000000"/>
              </w:rPr>
              <w:t>必填项，格式为</w:t>
            </w:r>
            <w:r>
              <w:rPr>
                <w:color w:val="000000"/>
              </w:rPr>
              <w:t>YYYYMMDD</w:t>
            </w:r>
            <w:r>
              <w:rPr>
                <w:rFonts w:hint="eastAsia"/>
                <w:color w:val="000000"/>
              </w:rPr>
              <w:t>。</w:t>
            </w:r>
          </w:p>
        </w:tc>
      </w:tr>
      <w:tr w:rsidR="00A052DC" w14:paraId="70D3F98D" w14:textId="77777777">
        <w:tc>
          <w:tcPr>
            <w:tcW w:w="1816" w:type="dxa"/>
            <w:tcBorders>
              <w:top w:val="single" w:sz="4" w:space="0" w:color="auto"/>
              <w:left w:val="single" w:sz="4" w:space="0" w:color="auto"/>
              <w:bottom w:val="single" w:sz="4" w:space="0" w:color="auto"/>
              <w:right w:val="single" w:sz="4" w:space="0" w:color="auto"/>
            </w:tcBorders>
          </w:tcPr>
          <w:p w14:paraId="069C84C4" w14:textId="77777777" w:rsidR="00A052DC" w:rsidRDefault="009F0A60">
            <w:pPr>
              <w:pStyle w:val="B"/>
              <w:rPr>
                <w:color w:val="000000"/>
              </w:rPr>
            </w:pPr>
            <w:r>
              <w:rPr>
                <w:color w:val="000000"/>
              </w:rPr>
              <w:t>REPLIER</w:t>
            </w:r>
          </w:p>
        </w:tc>
        <w:tc>
          <w:tcPr>
            <w:tcW w:w="1536" w:type="dxa"/>
            <w:tcBorders>
              <w:top w:val="single" w:sz="4" w:space="0" w:color="auto"/>
              <w:left w:val="single" w:sz="4" w:space="0" w:color="auto"/>
              <w:bottom w:val="single" w:sz="4" w:space="0" w:color="auto"/>
              <w:right w:val="single" w:sz="4" w:space="0" w:color="auto"/>
            </w:tcBorders>
          </w:tcPr>
          <w:p w14:paraId="3D9E0568" w14:textId="77777777" w:rsidR="00A052DC" w:rsidRDefault="009F0A60">
            <w:pPr>
              <w:pStyle w:val="B"/>
              <w:rPr>
                <w:color w:val="000000"/>
              </w:rPr>
            </w:pPr>
            <w:r>
              <w:rPr>
                <w:rFonts w:hint="eastAsia"/>
                <w:color w:val="000000"/>
              </w:rPr>
              <w:t>回复人</w:t>
            </w:r>
          </w:p>
        </w:tc>
        <w:tc>
          <w:tcPr>
            <w:tcW w:w="1676" w:type="dxa"/>
            <w:tcBorders>
              <w:top w:val="single" w:sz="4" w:space="0" w:color="auto"/>
              <w:left w:val="single" w:sz="4" w:space="0" w:color="auto"/>
              <w:bottom w:val="single" w:sz="4" w:space="0" w:color="auto"/>
              <w:right w:val="single" w:sz="4" w:space="0" w:color="auto"/>
            </w:tcBorders>
          </w:tcPr>
          <w:p w14:paraId="72423514" w14:textId="77777777" w:rsidR="00A052DC" w:rsidRDefault="009F0A60">
            <w:pPr>
              <w:pStyle w:val="B"/>
              <w:rPr>
                <w:color w:val="000000"/>
              </w:rPr>
            </w:pPr>
            <w:r>
              <w:rPr>
                <w:rFonts w:hint="eastAsia"/>
                <w:color w:val="000000"/>
              </w:rPr>
              <w:t>字符型，</w:t>
            </w:r>
            <w:r>
              <w:rPr>
                <w:color w:val="000000"/>
              </w:rPr>
              <w:t>128</w:t>
            </w:r>
          </w:p>
        </w:tc>
        <w:tc>
          <w:tcPr>
            <w:tcW w:w="3491" w:type="dxa"/>
            <w:tcBorders>
              <w:top w:val="single" w:sz="4" w:space="0" w:color="auto"/>
              <w:left w:val="single" w:sz="4" w:space="0" w:color="auto"/>
              <w:bottom w:val="single" w:sz="4" w:space="0" w:color="auto"/>
              <w:right w:val="single" w:sz="4" w:space="0" w:color="auto"/>
            </w:tcBorders>
          </w:tcPr>
          <w:p w14:paraId="70FB3959" w14:textId="77777777" w:rsidR="00A052DC" w:rsidRDefault="009F0A60">
            <w:pPr>
              <w:pStyle w:val="B"/>
              <w:rPr>
                <w:color w:val="000000"/>
              </w:rPr>
            </w:pPr>
            <w:r>
              <w:rPr>
                <w:rFonts w:hint="eastAsia"/>
                <w:color w:val="000000"/>
              </w:rPr>
              <w:t>必填项，若有多个相关回复人，使用半角英文逗号进行分隔。</w:t>
            </w:r>
          </w:p>
        </w:tc>
      </w:tr>
      <w:tr w:rsidR="00A052DC" w14:paraId="544FACF0" w14:textId="77777777">
        <w:tc>
          <w:tcPr>
            <w:tcW w:w="1816" w:type="dxa"/>
            <w:tcBorders>
              <w:top w:val="single" w:sz="4" w:space="0" w:color="auto"/>
              <w:left w:val="single" w:sz="4" w:space="0" w:color="auto"/>
              <w:bottom w:val="single" w:sz="4" w:space="0" w:color="auto"/>
              <w:right w:val="single" w:sz="4" w:space="0" w:color="auto"/>
            </w:tcBorders>
          </w:tcPr>
          <w:p w14:paraId="0F19778F" w14:textId="77777777" w:rsidR="00A052DC" w:rsidRDefault="009F0A60">
            <w:pPr>
              <w:pStyle w:val="B"/>
              <w:rPr>
                <w:color w:val="000000"/>
              </w:rPr>
            </w:pPr>
            <w:r>
              <w:rPr>
                <w:color w:val="000000"/>
              </w:rPr>
              <w:t>REPLYTEL</w:t>
            </w:r>
          </w:p>
        </w:tc>
        <w:tc>
          <w:tcPr>
            <w:tcW w:w="1536" w:type="dxa"/>
            <w:tcBorders>
              <w:top w:val="single" w:sz="4" w:space="0" w:color="auto"/>
              <w:left w:val="single" w:sz="4" w:space="0" w:color="auto"/>
              <w:bottom w:val="single" w:sz="4" w:space="0" w:color="auto"/>
              <w:right w:val="single" w:sz="4" w:space="0" w:color="auto"/>
            </w:tcBorders>
          </w:tcPr>
          <w:p w14:paraId="5F0C5AA0" w14:textId="77777777" w:rsidR="00A052DC" w:rsidRDefault="009F0A60">
            <w:pPr>
              <w:pStyle w:val="B"/>
              <w:rPr>
                <w:color w:val="000000"/>
              </w:rPr>
            </w:pPr>
            <w:r>
              <w:rPr>
                <w:rFonts w:hint="eastAsia"/>
                <w:color w:val="000000"/>
              </w:rPr>
              <w:t>回复人电话</w:t>
            </w:r>
          </w:p>
        </w:tc>
        <w:tc>
          <w:tcPr>
            <w:tcW w:w="1676" w:type="dxa"/>
            <w:tcBorders>
              <w:top w:val="single" w:sz="4" w:space="0" w:color="auto"/>
              <w:left w:val="single" w:sz="4" w:space="0" w:color="auto"/>
              <w:bottom w:val="single" w:sz="4" w:space="0" w:color="auto"/>
              <w:right w:val="single" w:sz="4" w:space="0" w:color="auto"/>
            </w:tcBorders>
          </w:tcPr>
          <w:p w14:paraId="77FD965F" w14:textId="77777777" w:rsidR="00A052DC" w:rsidRDefault="009F0A60">
            <w:pPr>
              <w:pStyle w:val="B"/>
              <w:rPr>
                <w:color w:val="000000"/>
              </w:rPr>
            </w:pPr>
            <w:r>
              <w:rPr>
                <w:rFonts w:hint="eastAsia"/>
                <w:color w:val="000000"/>
              </w:rPr>
              <w:t>字符型，</w:t>
            </w:r>
            <w:r>
              <w:rPr>
                <w:color w:val="000000"/>
              </w:rPr>
              <w:t>128</w:t>
            </w:r>
          </w:p>
        </w:tc>
        <w:tc>
          <w:tcPr>
            <w:tcW w:w="3491" w:type="dxa"/>
            <w:tcBorders>
              <w:top w:val="single" w:sz="4" w:space="0" w:color="auto"/>
              <w:left w:val="single" w:sz="4" w:space="0" w:color="auto"/>
              <w:bottom w:val="single" w:sz="4" w:space="0" w:color="auto"/>
              <w:right w:val="single" w:sz="4" w:space="0" w:color="auto"/>
            </w:tcBorders>
          </w:tcPr>
          <w:p w14:paraId="567EAA14" w14:textId="77777777" w:rsidR="00A052DC" w:rsidRDefault="009F0A60">
            <w:pPr>
              <w:pStyle w:val="B"/>
              <w:rPr>
                <w:color w:val="000000"/>
              </w:rPr>
            </w:pPr>
            <w:r>
              <w:rPr>
                <w:rFonts w:hint="eastAsia"/>
                <w:color w:val="000000"/>
              </w:rPr>
              <w:t>必填项，手机号码应按照</w:t>
            </w:r>
            <w:r>
              <w:rPr>
                <w:color w:val="000000"/>
              </w:rPr>
              <w:t>11</w:t>
            </w:r>
            <w:r>
              <w:rPr>
                <w:rFonts w:hint="eastAsia"/>
                <w:color w:val="000000"/>
              </w:rPr>
              <w:t>位填写，座机号码使用</w:t>
            </w:r>
            <w:r>
              <w:rPr>
                <w:color w:val="000000"/>
              </w:rPr>
              <w:t>-</w:t>
            </w:r>
            <w:r>
              <w:rPr>
                <w:rFonts w:hint="eastAsia"/>
                <w:color w:val="000000"/>
              </w:rPr>
              <w:t>连接区号和电话号码。若存在多个电话号码，使用半角英文逗号进行分隔。</w:t>
            </w:r>
          </w:p>
        </w:tc>
      </w:tr>
      <w:tr w:rsidR="00A052DC" w14:paraId="776294BB" w14:textId="77777777">
        <w:tc>
          <w:tcPr>
            <w:tcW w:w="1816" w:type="dxa"/>
            <w:tcBorders>
              <w:top w:val="single" w:sz="4" w:space="0" w:color="auto"/>
              <w:left w:val="single" w:sz="4" w:space="0" w:color="auto"/>
              <w:bottom w:val="single" w:sz="4" w:space="0" w:color="auto"/>
              <w:right w:val="single" w:sz="4" w:space="0" w:color="auto"/>
            </w:tcBorders>
          </w:tcPr>
          <w:p w14:paraId="0FAA4DB4" w14:textId="77777777" w:rsidR="00A052DC" w:rsidRDefault="009F0A60">
            <w:pPr>
              <w:pStyle w:val="B"/>
              <w:rPr>
                <w:color w:val="000000"/>
              </w:rPr>
            </w:pPr>
            <w:r>
              <w:rPr>
                <w:color w:val="000000"/>
              </w:rPr>
              <w:t>REPLYINST</w:t>
            </w:r>
          </w:p>
        </w:tc>
        <w:tc>
          <w:tcPr>
            <w:tcW w:w="1536" w:type="dxa"/>
            <w:tcBorders>
              <w:top w:val="single" w:sz="4" w:space="0" w:color="auto"/>
              <w:left w:val="single" w:sz="4" w:space="0" w:color="auto"/>
              <w:bottom w:val="single" w:sz="4" w:space="0" w:color="auto"/>
              <w:right w:val="single" w:sz="4" w:space="0" w:color="auto"/>
            </w:tcBorders>
          </w:tcPr>
          <w:p w14:paraId="1373B60E" w14:textId="77777777" w:rsidR="00A052DC" w:rsidRDefault="009F0A60">
            <w:pPr>
              <w:pStyle w:val="B"/>
              <w:rPr>
                <w:color w:val="000000"/>
              </w:rPr>
            </w:pPr>
            <w:r>
              <w:rPr>
                <w:rFonts w:hint="eastAsia"/>
                <w:color w:val="000000"/>
              </w:rPr>
              <w:t>回复人所属机构名称</w:t>
            </w:r>
          </w:p>
        </w:tc>
        <w:tc>
          <w:tcPr>
            <w:tcW w:w="1676" w:type="dxa"/>
            <w:tcBorders>
              <w:top w:val="single" w:sz="4" w:space="0" w:color="auto"/>
              <w:left w:val="single" w:sz="4" w:space="0" w:color="auto"/>
              <w:bottom w:val="single" w:sz="4" w:space="0" w:color="auto"/>
              <w:right w:val="single" w:sz="4" w:space="0" w:color="auto"/>
            </w:tcBorders>
          </w:tcPr>
          <w:p w14:paraId="591BEB62" w14:textId="77777777" w:rsidR="00A052DC" w:rsidRDefault="009F0A60">
            <w:pPr>
              <w:pStyle w:val="B"/>
              <w:rPr>
                <w:color w:val="000000"/>
              </w:rPr>
            </w:pPr>
            <w:r>
              <w:rPr>
                <w:rFonts w:hint="eastAsia"/>
                <w:color w:val="000000"/>
              </w:rPr>
              <w:t>变长字符型，</w:t>
            </w:r>
            <w:r>
              <w:rPr>
                <w:color w:val="000000"/>
              </w:rPr>
              <w:t>128</w:t>
            </w:r>
          </w:p>
        </w:tc>
        <w:tc>
          <w:tcPr>
            <w:tcW w:w="3491" w:type="dxa"/>
            <w:tcBorders>
              <w:top w:val="single" w:sz="4" w:space="0" w:color="auto"/>
              <w:left w:val="single" w:sz="4" w:space="0" w:color="auto"/>
              <w:bottom w:val="single" w:sz="4" w:space="0" w:color="auto"/>
              <w:right w:val="single" w:sz="4" w:space="0" w:color="auto"/>
            </w:tcBorders>
          </w:tcPr>
          <w:p w14:paraId="1F220690" w14:textId="77777777" w:rsidR="00A052DC" w:rsidRDefault="009F0A60">
            <w:pPr>
              <w:pStyle w:val="B"/>
              <w:rPr>
                <w:color w:val="000000"/>
              </w:rPr>
            </w:pPr>
            <w:r>
              <w:rPr>
                <w:rFonts w:hint="eastAsia"/>
                <w:color w:val="000000"/>
              </w:rPr>
              <w:t>必填项。</w:t>
            </w:r>
          </w:p>
        </w:tc>
      </w:tr>
      <w:tr w:rsidR="00A052DC" w14:paraId="5B9B5964" w14:textId="77777777">
        <w:tc>
          <w:tcPr>
            <w:tcW w:w="1816" w:type="dxa"/>
            <w:tcBorders>
              <w:top w:val="single" w:sz="4" w:space="0" w:color="auto"/>
              <w:left w:val="single" w:sz="4" w:space="0" w:color="auto"/>
              <w:bottom w:val="single" w:sz="4" w:space="0" w:color="auto"/>
              <w:right w:val="single" w:sz="4" w:space="0" w:color="auto"/>
            </w:tcBorders>
          </w:tcPr>
          <w:p w14:paraId="1BF0C2A5" w14:textId="77777777" w:rsidR="00A052DC" w:rsidRDefault="009F0A60">
            <w:pPr>
              <w:pStyle w:val="B"/>
              <w:rPr>
                <w:color w:val="000000"/>
              </w:rPr>
            </w:pPr>
            <w:r>
              <w:rPr>
                <w:color w:val="000000"/>
              </w:rPr>
              <w:t>REMARKS</w:t>
            </w:r>
          </w:p>
        </w:tc>
        <w:tc>
          <w:tcPr>
            <w:tcW w:w="1536" w:type="dxa"/>
            <w:tcBorders>
              <w:top w:val="single" w:sz="4" w:space="0" w:color="auto"/>
              <w:left w:val="single" w:sz="4" w:space="0" w:color="auto"/>
              <w:bottom w:val="single" w:sz="4" w:space="0" w:color="auto"/>
              <w:right w:val="single" w:sz="4" w:space="0" w:color="auto"/>
            </w:tcBorders>
          </w:tcPr>
          <w:p w14:paraId="7E67FF64" w14:textId="77777777" w:rsidR="00A052DC" w:rsidRDefault="009F0A60">
            <w:pPr>
              <w:pStyle w:val="B"/>
              <w:rPr>
                <w:color w:val="000000"/>
              </w:rPr>
            </w:pPr>
            <w:r>
              <w:rPr>
                <w:rFonts w:hint="eastAsia"/>
                <w:color w:val="000000"/>
              </w:rPr>
              <w:t>备注</w:t>
            </w:r>
          </w:p>
        </w:tc>
        <w:tc>
          <w:tcPr>
            <w:tcW w:w="1676" w:type="dxa"/>
            <w:tcBorders>
              <w:top w:val="single" w:sz="4" w:space="0" w:color="auto"/>
              <w:left w:val="single" w:sz="4" w:space="0" w:color="auto"/>
              <w:bottom w:val="single" w:sz="4" w:space="0" w:color="auto"/>
              <w:right w:val="single" w:sz="4" w:space="0" w:color="auto"/>
            </w:tcBorders>
          </w:tcPr>
          <w:p w14:paraId="76BD9C28" w14:textId="77777777" w:rsidR="00A052DC" w:rsidRDefault="009F0A60">
            <w:pPr>
              <w:pStyle w:val="B"/>
              <w:rPr>
                <w:color w:val="000000"/>
              </w:rPr>
            </w:pPr>
            <w:r>
              <w:rPr>
                <w:rFonts w:hint="eastAsia"/>
                <w:color w:val="000000"/>
              </w:rPr>
              <w:t>变长字符型，</w:t>
            </w:r>
            <w:r>
              <w:rPr>
                <w:color w:val="000000"/>
              </w:rPr>
              <w:t>128</w:t>
            </w:r>
          </w:p>
        </w:tc>
        <w:tc>
          <w:tcPr>
            <w:tcW w:w="3491" w:type="dxa"/>
            <w:tcBorders>
              <w:top w:val="single" w:sz="4" w:space="0" w:color="auto"/>
              <w:left w:val="single" w:sz="4" w:space="0" w:color="auto"/>
              <w:bottom w:val="single" w:sz="4" w:space="0" w:color="auto"/>
              <w:right w:val="single" w:sz="4" w:space="0" w:color="auto"/>
            </w:tcBorders>
          </w:tcPr>
          <w:p w14:paraId="631C9C0C" w14:textId="77777777" w:rsidR="00A052DC" w:rsidRDefault="00DD6AA3">
            <w:pPr>
              <w:pStyle w:val="B"/>
              <w:rPr>
                <w:color w:val="000000"/>
              </w:rPr>
            </w:pPr>
            <w:r>
              <w:rPr>
                <w:rFonts w:hint="eastAsia"/>
                <w:color w:val="000000"/>
              </w:rPr>
              <w:t>非必填项</w:t>
            </w:r>
            <w:r w:rsidR="009F0A60">
              <w:rPr>
                <w:rFonts w:hint="eastAsia"/>
                <w:color w:val="000000"/>
              </w:rPr>
              <w:t>。</w:t>
            </w:r>
          </w:p>
        </w:tc>
      </w:tr>
    </w:tbl>
    <w:p w14:paraId="71C133C8" w14:textId="77777777" w:rsidR="00A052DC" w:rsidRDefault="009F0A60">
      <w:pPr>
        <w:pStyle w:val="3"/>
        <w:ind w:left="0"/>
        <w:rPr>
          <w:rFonts w:ascii="Times New Roman" w:hAnsi="Times New Roman"/>
        </w:rPr>
      </w:pPr>
      <w:bookmarkStart w:id="4371" w:name="_Toc91455349"/>
      <w:bookmarkStart w:id="4372" w:name="_Toc101684522"/>
      <w:r>
        <w:rPr>
          <w:rFonts w:ascii="Times New Roman" w:hAnsi="Times New Roman" w:hint="eastAsia"/>
        </w:rPr>
        <w:t>涉嫌外汇违规账户基础信息</w:t>
      </w:r>
      <w:bookmarkEnd w:id="4371"/>
      <w:bookmarkEnd w:id="4372"/>
    </w:p>
    <w:p w14:paraId="1BEC736C" w14:textId="77777777" w:rsidR="00A052DC" w:rsidRDefault="009F0A60" w:rsidP="0020251D">
      <w:pPr>
        <w:pStyle w:val="4"/>
        <w:numPr>
          <w:ilvl w:val="3"/>
          <w:numId w:val="1"/>
        </w:numPr>
        <w:jc w:val="left"/>
      </w:pPr>
      <w:r>
        <w:rPr>
          <w:rFonts w:hint="eastAsia"/>
        </w:rPr>
        <w:t>数据术语解释</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59"/>
        <w:gridCol w:w="6961"/>
      </w:tblGrid>
      <w:tr w:rsidR="00A052DC" w14:paraId="22CE0321" w14:textId="77777777">
        <w:tc>
          <w:tcPr>
            <w:tcW w:w="1559" w:type="dxa"/>
            <w:shd w:val="clear" w:color="auto" w:fill="D7D7D7"/>
            <w:vAlign w:val="center"/>
          </w:tcPr>
          <w:p w14:paraId="5914C223" w14:textId="77777777" w:rsidR="00A052DC" w:rsidRDefault="009F0A60">
            <w:pPr>
              <w:pStyle w:val="B1"/>
            </w:pPr>
            <w:r>
              <w:rPr>
                <w:rFonts w:hint="eastAsia"/>
              </w:rPr>
              <w:t>基础数据项</w:t>
            </w:r>
          </w:p>
        </w:tc>
        <w:tc>
          <w:tcPr>
            <w:tcW w:w="6961" w:type="dxa"/>
            <w:shd w:val="clear" w:color="auto" w:fill="D7D7D7"/>
            <w:vAlign w:val="center"/>
          </w:tcPr>
          <w:p w14:paraId="0C6892A2" w14:textId="77777777" w:rsidR="00A052DC" w:rsidRDefault="009F0A60">
            <w:pPr>
              <w:pStyle w:val="B1"/>
            </w:pPr>
            <w:r>
              <w:rPr>
                <w:rFonts w:hint="eastAsia"/>
              </w:rPr>
              <w:t>定义</w:t>
            </w:r>
          </w:p>
        </w:tc>
      </w:tr>
      <w:tr w:rsidR="00A052DC" w14:paraId="440BEDFF" w14:textId="77777777">
        <w:trPr>
          <w:trHeight w:val="90"/>
        </w:trPr>
        <w:tc>
          <w:tcPr>
            <w:tcW w:w="1559" w:type="dxa"/>
          </w:tcPr>
          <w:p w14:paraId="545ADE41" w14:textId="77777777" w:rsidR="00A052DC" w:rsidRDefault="009F0A60">
            <w:pPr>
              <w:pStyle w:val="B"/>
              <w:widowControl w:val="0"/>
              <w:rPr>
                <w:rFonts w:ascii="Times New Roman" w:hAnsi="Times New Roman"/>
                <w:color w:val="000000"/>
                <w:szCs w:val="20"/>
              </w:rPr>
            </w:pPr>
            <w:r>
              <w:rPr>
                <w:rFonts w:ascii="Times New Roman" w:hAnsi="Times New Roman" w:hint="eastAsia"/>
                <w:color w:val="000000"/>
              </w:rPr>
              <w:t>回复流水号</w:t>
            </w:r>
          </w:p>
        </w:tc>
        <w:tc>
          <w:tcPr>
            <w:tcW w:w="6961" w:type="dxa"/>
          </w:tcPr>
          <w:p w14:paraId="3D0D5894" w14:textId="77777777" w:rsidR="00A052DC" w:rsidRDefault="009F0A60">
            <w:pPr>
              <w:rPr>
                <w:rFonts w:ascii="黑体" w:eastAsia="黑体" w:hAnsi="黑体"/>
                <w:color w:val="000000"/>
                <w:sz w:val="20"/>
                <w:szCs w:val="20"/>
              </w:rPr>
            </w:pPr>
            <w:r>
              <w:rPr>
                <w:rFonts w:ascii="黑体" w:eastAsia="黑体" w:hAnsi="黑体" w:hint="eastAsia"/>
                <w:color w:val="000000"/>
                <w:sz w:val="20"/>
                <w:szCs w:val="20"/>
              </w:rPr>
              <w:t>用于唯一标识金融机构报送的涉嫌外汇违规账户基础信息，长度为22位，编号规则为报送机构（总行）的金融机构代码（4位）+回复时间（8位，YYYYMMDD）+回复流水号（10位）。</w:t>
            </w:r>
          </w:p>
        </w:tc>
      </w:tr>
      <w:tr w:rsidR="00A052DC" w14:paraId="73CDB1F9" w14:textId="77777777">
        <w:trPr>
          <w:trHeight w:val="90"/>
        </w:trPr>
        <w:tc>
          <w:tcPr>
            <w:tcW w:w="1559" w:type="dxa"/>
          </w:tcPr>
          <w:p w14:paraId="18B62D60" w14:textId="77777777" w:rsidR="00A052DC" w:rsidRDefault="009F0A60">
            <w:pPr>
              <w:pStyle w:val="B"/>
              <w:widowControl w:val="0"/>
              <w:rPr>
                <w:rFonts w:ascii="Times New Roman" w:hAnsi="Times New Roman"/>
                <w:color w:val="000000"/>
                <w:szCs w:val="20"/>
              </w:rPr>
            </w:pPr>
            <w:r>
              <w:rPr>
                <w:rFonts w:ascii="Times New Roman" w:hAnsi="Times New Roman" w:hint="eastAsia"/>
                <w:color w:val="000000"/>
              </w:rPr>
              <w:t>查询流水号</w:t>
            </w:r>
          </w:p>
        </w:tc>
        <w:tc>
          <w:tcPr>
            <w:tcW w:w="6961" w:type="dxa"/>
          </w:tcPr>
          <w:p w14:paraId="1FF77845" w14:textId="77777777" w:rsidR="00A052DC" w:rsidRDefault="009F0A60">
            <w:pPr>
              <w:rPr>
                <w:rFonts w:eastAsia="黑体"/>
                <w:color w:val="000000"/>
                <w:sz w:val="20"/>
                <w:szCs w:val="20"/>
              </w:rPr>
            </w:pPr>
            <w:r>
              <w:rPr>
                <w:rFonts w:eastAsia="黑体" w:hint="eastAsia"/>
                <w:color w:val="000000"/>
                <w:sz w:val="20"/>
                <w:szCs w:val="20"/>
              </w:rPr>
              <w:t>该信息对应查询信息的查询流水号。</w:t>
            </w:r>
          </w:p>
        </w:tc>
      </w:tr>
      <w:tr w:rsidR="00A052DC" w14:paraId="64278A15" w14:textId="77777777">
        <w:trPr>
          <w:trHeight w:val="90"/>
        </w:trPr>
        <w:tc>
          <w:tcPr>
            <w:tcW w:w="1559" w:type="dxa"/>
          </w:tcPr>
          <w:p w14:paraId="3531A587" w14:textId="77777777" w:rsidR="00A052DC" w:rsidRDefault="009F0A60">
            <w:pPr>
              <w:pStyle w:val="B"/>
              <w:widowControl w:val="0"/>
              <w:rPr>
                <w:rFonts w:ascii="Times New Roman" w:hAnsi="Times New Roman"/>
                <w:color w:val="000000"/>
              </w:rPr>
            </w:pPr>
            <w:r>
              <w:rPr>
                <w:rFonts w:ascii="Times New Roman" w:hAnsi="Times New Roman" w:hint="eastAsia"/>
                <w:color w:val="000000"/>
              </w:rPr>
              <w:t>银行业务参号</w:t>
            </w:r>
          </w:p>
        </w:tc>
        <w:tc>
          <w:tcPr>
            <w:tcW w:w="6961" w:type="dxa"/>
          </w:tcPr>
          <w:p w14:paraId="4CA8007D" w14:textId="77777777" w:rsidR="00A052DC" w:rsidRDefault="009F0A60">
            <w:pPr>
              <w:rPr>
                <w:rFonts w:eastAsia="黑体"/>
                <w:color w:val="000000"/>
                <w:sz w:val="20"/>
                <w:szCs w:val="20"/>
              </w:rPr>
            </w:pPr>
            <w:r>
              <w:rPr>
                <w:rFonts w:eastAsia="黑体" w:hint="eastAsia"/>
                <w:color w:val="000000"/>
                <w:sz w:val="20"/>
                <w:szCs w:val="20"/>
              </w:rPr>
              <w:t>银行办理该账户开户业务的唯一标识。</w:t>
            </w:r>
          </w:p>
        </w:tc>
      </w:tr>
      <w:tr w:rsidR="00A052DC" w14:paraId="4FE277A3" w14:textId="77777777">
        <w:trPr>
          <w:trHeight w:val="90"/>
        </w:trPr>
        <w:tc>
          <w:tcPr>
            <w:tcW w:w="1559" w:type="dxa"/>
            <w:vAlign w:val="center"/>
          </w:tcPr>
          <w:p w14:paraId="5BE93D31" w14:textId="77777777" w:rsidR="00A052DC" w:rsidRDefault="009F0A60">
            <w:pPr>
              <w:pStyle w:val="B"/>
              <w:widowControl w:val="0"/>
              <w:rPr>
                <w:rFonts w:ascii="Times New Roman" w:hAnsi="Times New Roman"/>
                <w:color w:val="000000"/>
                <w:szCs w:val="20"/>
              </w:rPr>
            </w:pPr>
            <w:r>
              <w:rPr>
                <w:rFonts w:ascii="Times New Roman" w:hAnsi="Times New Roman" w:hint="eastAsia"/>
                <w:color w:val="000000"/>
                <w:szCs w:val="20"/>
              </w:rPr>
              <w:t>开户主体名称</w:t>
            </w:r>
          </w:p>
        </w:tc>
        <w:tc>
          <w:tcPr>
            <w:tcW w:w="6961" w:type="dxa"/>
            <w:vAlign w:val="center"/>
          </w:tcPr>
          <w:p w14:paraId="1DDD5A6B" w14:textId="77777777" w:rsidR="00A052DC" w:rsidRDefault="009F0A60">
            <w:pPr>
              <w:rPr>
                <w:rFonts w:eastAsia="黑体"/>
                <w:color w:val="000000"/>
                <w:sz w:val="20"/>
                <w:szCs w:val="20"/>
              </w:rPr>
            </w:pPr>
            <w:r>
              <w:rPr>
                <w:rFonts w:eastAsia="黑体" w:hint="eastAsia"/>
                <w:color w:val="000000"/>
                <w:sz w:val="20"/>
                <w:szCs w:val="20"/>
              </w:rPr>
              <w:t>对机构指收款人预留银行印鉴、营业执照或国家外汇管理局及其分支局签发的特殊机构代码赋码通知书上的名称；对个人指个人身份证件上的名称。</w:t>
            </w:r>
          </w:p>
        </w:tc>
      </w:tr>
      <w:tr w:rsidR="00A052DC" w14:paraId="0420C47C" w14:textId="77777777">
        <w:tc>
          <w:tcPr>
            <w:tcW w:w="1559" w:type="dxa"/>
            <w:vAlign w:val="center"/>
          </w:tcPr>
          <w:p w14:paraId="3E148DF8" w14:textId="77777777" w:rsidR="00A052DC" w:rsidRDefault="009F0A60">
            <w:pPr>
              <w:pStyle w:val="B"/>
              <w:widowControl w:val="0"/>
              <w:rPr>
                <w:rFonts w:ascii="Times New Roman" w:hAnsi="Times New Roman"/>
                <w:color w:val="000000"/>
                <w:szCs w:val="20"/>
              </w:rPr>
            </w:pPr>
            <w:r>
              <w:rPr>
                <w:rFonts w:ascii="Times New Roman" w:hAnsi="Times New Roman" w:hint="eastAsia"/>
                <w:color w:val="000000"/>
                <w:szCs w:val="20"/>
              </w:rPr>
              <w:t>开户主体类型</w:t>
            </w:r>
          </w:p>
        </w:tc>
        <w:tc>
          <w:tcPr>
            <w:tcW w:w="6961" w:type="dxa"/>
            <w:vAlign w:val="center"/>
          </w:tcPr>
          <w:p w14:paraId="35973032" w14:textId="77777777" w:rsidR="00A052DC" w:rsidRDefault="009F0A60">
            <w:pPr>
              <w:rPr>
                <w:rFonts w:eastAsia="黑体"/>
                <w:color w:val="000000"/>
                <w:sz w:val="20"/>
                <w:szCs w:val="20"/>
              </w:rPr>
            </w:pPr>
            <w:r>
              <w:rPr>
                <w:rFonts w:eastAsia="黑体" w:hint="eastAsia"/>
                <w:color w:val="000000"/>
                <w:sz w:val="20"/>
                <w:szCs w:val="20"/>
              </w:rPr>
              <w:t>如主体为机构，则选择机构；如主体为个人，则选择个人。</w:t>
            </w:r>
          </w:p>
        </w:tc>
      </w:tr>
      <w:tr w:rsidR="00A052DC" w14:paraId="50E2323D" w14:textId="77777777">
        <w:tc>
          <w:tcPr>
            <w:tcW w:w="1559" w:type="dxa"/>
            <w:vAlign w:val="center"/>
          </w:tcPr>
          <w:p w14:paraId="781E861C" w14:textId="77777777" w:rsidR="00A052DC" w:rsidRDefault="009F0A60">
            <w:pPr>
              <w:pStyle w:val="B"/>
              <w:widowControl w:val="0"/>
              <w:rPr>
                <w:rFonts w:ascii="Times New Roman" w:hAnsi="Times New Roman"/>
                <w:color w:val="000000"/>
                <w:szCs w:val="20"/>
              </w:rPr>
            </w:pPr>
            <w:r>
              <w:rPr>
                <w:rFonts w:ascii="Times New Roman" w:hAnsi="Times New Roman" w:hint="eastAsia"/>
                <w:color w:val="000000"/>
                <w:szCs w:val="20"/>
              </w:rPr>
              <w:t>证件类型</w:t>
            </w:r>
          </w:p>
        </w:tc>
        <w:tc>
          <w:tcPr>
            <w:tcW w:w="6961" w:type="dxa"/>
            <w:vAlign w:val="center"/>
          </w:tcPr>
          <w:p w14:paraId="460BE1CC" w14:textId="77777777" w:rsidR="00A052DC" w:rsidRDefault="009F0A60">
            <w:pPr>
              <w:rPr>
                <w:rFonts w:eastAsia="黑体"/>
                <w:color w:val="000000"/>
                <w:sz w:val="20"/>
                <w:szCs w:val="20"/>
              </w:rPr>
            </w:pPr>
            <w:r>
              <w:rPr>
                <w:rFonts w:eastAsia="黑体" w:hint="eastAsia"/>
                <w:color w:val="000000"/>
                <w:sz w:val="20"/>
                <w:szCs w:val="20"/>
              </w:rPr>
              <w:t>如主体为机构，则指统一社会信用代码、特殊机构代码；如主体为个人，则指居民身份证、外国护照、港澳台通行证、外国人永久居留身份证、港澳台居民身份证等。</w:t>
            </w:r>
          </w:p>
        </w:tc>
      </w:tr>
      <w:tr w:rsidR="00A052DC" w14:paraId="57D5B97D" w14:textId="77777777">
        <w:tc>
          <w:tcPr>
            <w:tcW w:w="1559" w:type="dxa"/>
            <w:vAlign w:val="center"/>
          </w:tcPr>
          <w:p w14:paraId="10AE33EA" w14:textId="77777777" w:rsidR="00A052DC" w:rsidRDefault="009F0A60">
            <w:pPr>
              <w:pStyle w:val="B"/>
              <w:widowControl w:val="0"/>
              <w:rPr>
                <w:rFonts w:ascii="Times New Roman" w:hAnsi="Times New Roman"/>
                <w:color w:val="000000"/>
                <w:szCs w:val="20"/>
              </w:rPr>
            </w:pPr>
            <w:r>
              <w:rPr>
                <w:rFonts w:ascii="Times New Roman" w:hAnsi="Times New Roman" w:hint="eastAsia"/>
                <w:color w:val="000000"/>
                <w:szCs w:val="20"/>
              </w:rPr>
              <w:t>证件号码</w:t>
            </w:r>
          </w:p>
        </w:tc>
        <w:tc>
          <w:tcPr>
            <w:tcW w:w="6961" w:type="dxa"/>
            <w:vAlign w:val="center"/>
          </w:tcPr>
          <w:p w14:paraId="060A651D" w14:textId="77777777" w:rsidR="00A052DC" w:rsidRDefault="009F0A60">
            <w:pPr>
              <w:rPr>
                <w:rFonts w:eastAsia="黑体"/>
                <w:color w:val="000000"/>
                <w:sz w:val="20"/>
                <w:szCs w:val="20"/>
              </w:rPr>
            </w:pPr>
            <w:r>
              <w:rPr>
                <w:rFonts w:eastAsia="黑体" w:hint="eastAsia"/>
                <w:color w:val="000000"/>
                <w:sz w:val="20"/>
                <w:szCs w:val="20"/>
              </w:rPr>
              <w:t>对机构指统一社会信用代码法定载体（如营业执照）上的统一社会信用代码中的</w:t>
            </w:r>
            <w:r>
              <w:rPr>
                <w:rFonts w:eastAsia="黑体"/>
                <w:color w:val="000000"/>
                <w:sz w:val="20"/>
                <w:szCs w:val="20"/>
              </w:rPr>
              <w:t>9</w:t>
            </w:r>
            <w:r>
              <w:rPr>
                <w:rFonts w:eastAsia="黑体" w:hint="eastAsia"/>
                <w:color w:val="000000"/>
                <w:sz w:val="20"/>
                <w:szCs w:val="20"/>
              </w:rPr>
              <w:t>位主体标识码（组织机构代码）或国家外汇管理局及其分支局签发的特殊机构代码赋码通知书上的机构代码；对个人指包括境内居民个人的身份证号、军官证号等以及境外居民个人的护照号等。</w:t>
            </w:r>
          </w:p>
        </w:tc>
      </w:tr>
      <w:tr w:rsidR="00A052DC" w14:paraId="5B7A8B21" w14:textId="77777777">
        <w:tc>
          <w:tcPr>
            <w:tcW w:w="1559" w:type="dxa"/>
            <w:vAlign w:val="center"/>
          </w:tcPr>
          <w:p w14:paraId="3D39D3D7" w14:textId="77777777" w:rsidR="00A052DC" w:rsidRDefault="009F0A60">
            <w:pPr>
              <w:pStyle w:val="B"/>
              <w:widowControl w:val="0"/>
              <w:rPr>
                <w:rFonts w:ascii="Times New Roman" w:hAnsi="Times New Roman"/>
                <w:color w:val="000000"/>
                <w:szCs w:val="20"/>
              </w:rPr>
            </w:pPr>
            <w:r>
              <w:rPr>
                <w:rFonts w:ascii="Times New Roman" w:hAnsi="Times New Roman" w:hint="eastAsia"/>
                <w:color w:val="000000"/>
                <w:szCs w:val="20"/>
              </w:rPr>
              <w:t>地址</w:t>
            </w:r>
          </w:p>
        </w:tc>
        <w:tc>
          <w:tcPr>
            <w:tcW w:w="6961" w:type="dxa"/>
            <w:vAlign w:val="center"/>
          </w:tcPr>
          <w:p w14:paraId="6E80BA5E" w14:textId="77777777" w:rsidR="00A052DC" w:rsidRDefault="009F0A60">
            <w:pPr>
              <w:rPr>
                <w:rFonts w:eastAsia="黑体"/>
                <w:color w:val="000000"/>
                <w:sz w:val="20"/>
                <w:szCs w:val="20"/>
              </w:rPr>
            </w:pPr>
            <w:r>
              <w:rPr>
                <w:rFonts w:eastAsia="黑体" w:hint="eastAsia"/>
                <w:color w:val="000000"/>
                <w:sz w:val="20"/>
                <w:szCs w:val="20"/>
              </w:rPr>
              <w:t>指银行在开户过程中采集的，能够与开户主体相关联的地址信息，可为开户主体的注册地址、经营地址、常住地址或其他等。</w:t>
            </w:r>
          </w:p>
        </w:tc>
      </w:tr>
      <w:tr w:rsidR="00A052DC" w14:paraId="554B102B" w14:textId="77777777">
        <w:tc>
          <w:tcPr>
            <w:tcW w:w="1559" w:type="dxa"/>
            <w:vAlign w:val="center"/>
          </w:tcPr>
          <w:p w14:paraId="073848E2" w14:textId="77777777" w:rsidR="00A052DC" w:rsidRDefault="009F0A60">
            <w:pPr>
              <w:pStyle w:val="B"/>
              <w:widowControl w:val="0"/>
              <w:rPr>
                <w:rFonts w:ascii="Times New Roman" w:hAnsi="Times New Roman"/>
                <w:color w:val="000000"/>
                <w:szCs w:val="20"/>
              </w:rPr>
            </w:pPr>
            <w:r>
              <w:rPr>
                <w:rFonts w:ascii="Times New Roman" w:hAnsi="Times New Roman" w:hint="eastAsia"/>
                <w:color w:val="000000"/>
                <w:szCs w:val="20"/>
              </w:rPr>
              <w:t>开户时间</w:t>
            </w:r>
          </w:p>
        </w:tc>
        <w:tc>
          <w:tcPr>
            <w:tcW w:w="6961" w:type="dxa"/>
            <w:vAlign w:val="center"/>
          </w:tcPr>
          <w:p w14:paraId="1550BC0E" w14:textId="77777777" w:rsidR="00A052DC" w:rsidRDefault="009F0A60">
            <w:pPr>
              <w:rPr>
                <w:rFonts w:eastAsia="黑体"/>
                <w:color w:val="000000"/>
                <w:sz w:val="20"/>
                <w:szCs w:val="20"/>
              </w:rPr>
            </w:pPr>
            <w:r>
              <w:rPr>
                <w:rFonts w:eastAsia="黑体" w:hint="eastAsia"/>
                <w:color w:val="000000"/>
                <w:sz w:val="20"/>
                <w:szCs w:val="20"/>
              </w:rPr>
              <w:t>账户开户日期。</w:t>
            </w:r>
          </w:p>
        </w:tc>
      </w:tr>
      <w:tr w:rsidR="00A052DC" w14:paraId="39221FB4" w14:textId="77777777">
        <w:tc>
          <w:tcPr>
            <w:tcW w:w="1559" w:type="dxa"/>
            <w:vAlign w:val="center"/>
          </w:tcPr>
          <w:p w14:paraId="3BB82C78" w14:textId="77777777" w:rsidR="00A052DC" w:rsidRDefault="009F0A60">
            <w:pPr>
              <w:pStyle w:val="B"/>
              <w:widowControl w:val="0"/>
              <w:rPr>
                <w:rFonts w:ascii="Times New Roman" w:hAnsi="Times New Roman"/>
                <w:color w:val="000000"/>
                <w:szCs w:val="20"/>
              </w:rPr>
            </w:pPr>
            <w:r>
              <w:rPr>
                <w:rFonts w:ascii="Times New Roman" w:hAnsi="Times New Roman" w:hint="eastAsia"/>
                <w:color w:val="000000"/>
                <w:szCs w:val="20"/>
              </w:rPr>
              <w:t>销户时间</w:t>
            </w:r>
          </w:p>
        </w:tc>
        <w:tc>
          <w:tcPr>
            <w:tcW w:w="6961" w:type="dxa"/>
            <w:vAlign w:val="center"/>
          </w:tcPr>
          <w:p w14:paraId="238ED22F" w14:textId="77777777" w:rsidR="00A052DC" w:rsidRDefault="009F0A60">
            <w:pPr>
              <w:rPr>
                <w:rFonts w:eastAsia="黑体"/>
                <w:color w:val="000000"/>
                <w:sz w:val="20"/>
                <w:szCs w:val="20"/>
              </w:rPr>
            </w:pPr>
            <w:r>
              <w:rPr>
                <w:rFonts w:eastAsia="黑体" w:hint="eastAsia"/>
                <w:color w:val="000000"/>
                <w:sz w:val="20"/>
                <w:szCs w:val="20"/>
              </w:rPr>
              <w:t>账户销户日期。</w:t>
            </w:r>
          </w:p>
        </w:tc>
      </w:tr>
      <w:tr w:rsidR="00A052DC" w14:paraId="2DD95D29" w14:textId="77777777">
        <w:tc>
          <w:tcPr>
            <w:tcW w:w="1559" w:type="dxa"/>
            <w:vAlign w:val="center"/>
          </w:tcPr>
          <w:p w14:paraId="6D2712EE" w14:textId="77777777" w:rsidR="00A052DC" w:rsidRDefault="009F0A60">
            <w:pPr>
              <w:pStyle w:val="B"/>
              <w:widowControl w:val="0"/>
              <w:rPr>
                <w:rFonts w:ascii="Times New Roman" w:hAnsi="Times New Roman"/>
                <w:color w:val="000000"/>
                <w:szCs w:val="20"/>
              </w:rPr>
            </w:pPr>
            <w:r>
              <w:rPr>
                <w:rFonts w:ascii="Times New Roman" w:hAnsi="Times New Roman" w:hint="eastAsia"/>
                <w:color w:val="000000"/>
                <w:szCs w:val="20"/>
              </w:rPr>
              <w:t>金融机构代码</w:t>
            </w:r>
          </w:p>
        </w:tc>
        <w:tc>
          <w:tcPr>
            <w:tcW w:w="6961" w:type="dxa"/>
            <w:vAlign w:val="center"/>
          </w:tcPr>
          <w:p w14:paraId="0F0E2CCD" w14:textId="77777777" w:rsidR="00A052DC" w:rsidRDefault="009F0A60">
            <w:pPr>
              <w:rPr>
                <w:rFonts w:eastAsia="黑体"/>
                <w:color w:val="000000"/>
                <w:sz w:val="20"/>
                <w:szCs w:val="20"/>
              </w:rPr>
            </w:pPr>
            <w:r>
              <w:rPr>
                <w:rFonts w:eastAsia="黑体" w:hint="eastAsia"/>
                <w:color w:val="000000"/>
                <w:sz w:val="20"/>
                <w:szCs w:val="20"/>
              </w:rPr>
              <w:t>国家外汇管理局赋予的</w:t>
            </w:r>
            <w:r>
              <w:rPr>
                <w:rFonts w:eastAsia="黑体" w:hint="eastAsia"/>
                <w:color w:val="000000"/>
                <w:sz w:val="20"/>
                <w:szCs w:val="20"/>
              </w:rPr>
              <w:t>4</w:t>
            </w:r>
            <w:r>
              <w:rPr>
                <w:rFonts w:eastAsia="黑体" w:hint="eastAsia"/>
                <w:color w:val="000000"/>
                <w:sz w:val="20"/>
                <w:szCs w:val="20"/>
              </w:rPr>
              <w:t>位金融机构代码。</w:t>
            </w:r>
          </w:p>
        </w:tc>
      </w:tr>
      <w:tr w:rsidR="00A052DC" w14:paraId="4AFDFE26" w14:textId="77777777">
        <w:tc>
          <w:tcPr>
            <w:tcW w:w="1559" w:type="dxa"/>
            <w:vAlign w:val="center"/>
          </w:tcPr>
          <w:p w14:paraId="06D7B993" w14:textId="77777777" w:rsidR="00A052DC" w:rsidRDefault="009F0A60">
            <w:pPr>
              <w:pStyle w:val="B"/>
              <w:widowControl w:val="0"/>
              <w:rPr>
                <w:rFonts w:ascii="Times New Roman" w:hAnsi="Times New Roman"/>
                <w:color w:val="000000"/>
                <w:szCs w:val="20"/>
              </w:rPr>
            </w:pPr>
            <w:r>
              <w:rPr>
                <w:rFonts w:ascii="Times New Roman" w:hAnsi="Times New Roman" w:hint="eastAsia"/>
                <w:color w:val="000000"/>
                <w:szCs w:val="20"/>
              </w:rPr>
              <w:t>金融机构标识码</w:t>
            </w:r>
          </w:p>
        </w:tc>
        <w:tc>
          <w:tcPr>
            <w:tcW w:w="6961" w:type="dxa"/>
            <w:vAlign w:val="center"/>
          </w:tcPr>
          <w:p w14:paraId="1CF7016A" w14:textId="77777777" w:rsidR="00A052DC" w:rsidRDefault="009F0A60">
            <w:pPr>
              <w:rPr>
                <w:rFonts w:eastAsia="黑体"/>
                <w:color w:val="000000"/>
                <w:sz w:val="20"/>
                <w:szCs w:val="20"/>
              </w:rPr>
            </w:pPr>
            <w:r>
              <w:rPr>
                <w:rFonts w:eastAsia="黑体" w:hint="eastAsia"/>
                <w:color w:val="000000"/>
                <w:sz w:val="20"/>
                <w:szCs w:val="20"/>
              </w:rPr>
              <w:t>国家外汇管理局及其分支局编制的</w:t>
            </w:r>
            <w:r>
              <w:rPr>
                <w:rFonts w:eastAsia="黑体"/>
                <w:color w:val="000000"/>
                <w:sz w:val="20"/>
                <w:szCs w:val="20"/>
              </w:rPr>
              <w:t>12</w:t>
            </w:r>
            <w:r>
              <w:rPr>
                <w:rFonts w:eastAsia="黑体" w:hint="eastAsia"/>
                <w:color w:val="000000"/>
                <w:sz w:val="20"/>
                <w:szCs w:val="20"/>
              </w:rPr>
              <w:t>位金融机构标识码编码。对于未开办外汇业务并未申领金融机构标识码的银行分支机构，应填报其上一级机构的金融机构标识码，若上级机构也无金融机构标识码，则填报再上一级的，以此类推。</w:t>
            </w:r>
          </w:p>
        </w:tc>
      </w:tr>
      <w:tr w:rsidR="00A052DC" w14:paraId="341688BC" w14:textId="77777777">
        <w:tc>
          <w:tcPr>
            <w:tcW w:w="1559" w:type="dxa"/>
            <w:vAlign w:val="center"/>
          </w:tcPr>
          <w:p w14:paraId="0D0BCBF4" w14:textId="77777777" w:rsidR="00A052DC" w:rsidRDefault="009F0A60">
            <w:pPr>
              <w:pStyle w:val="B"/>
              <w:widowControl w:val="0"/>
              <w:rPr>
                <w:rFonts w:ascii="Times New Roman" w:hAnsi="Times New Roman"/>
                <w:color w:val="000000"/>
                <w:szCs w:val="20"/>
              </w:rPr>
            </w:pPr>
            <w:r>
              <w:rPr>
                <w:rFonts w:ascii="Times New Roman" w:hAnsi="Times New Roman" w:hint="eastAsia"/>
                <w:color w:val="000000"/>
                <w:szCs w:val="20"/>
              </w:rPr>
              <w:t>开户银行名称</w:t>
            </w:r>
          </w:p>
        </w:tc>
        <w:tc>
          <w:tcPr>
            <w:tcW w:w="6961" w:type="dxa"/>
            <w:vAlign w:val="center"/>
          </w:tcPr>
          <w:p w14:paraId="189C0272" w14:textId="77777777" w:rsidR="00A052DC" w:rsidRDefault="009F0A60">
            <w:pPr>
              <w:rPr>
                <w:rFonts w:eastAsia="黑体"/>
                <w:color w:val="000000"/>
                <w:sz w:val="20"/>
                <w:szCs w:val="20"/>
              </w:rPr>
            </w:pPr>
            <w:r>
              <w:rPr>
                <w:rFonts w:eastAsia="黑体" w:hint="eastAsia"/>
                <w:color w:val="000000"/>
                <w:sz w:val="20"/>
                <w:szCs w:val="20"/>
              </w:rPr>
              <w:t>账户开户银行全称。</w:t>
            </w:r>
          </w:p>
        </w:tc>
      </w:tr>
      <w:tr w:rsidR="00A052DC" w14:paraId="040C59DF" w14:textId="77777777">
        <w:tc>
          <w:tcPr>
            <w:tcW w:w="1559" w:type="dxa"/>
            <w:vAlign w:val="center"/>
          </w:tcPr>
          <w:p w14:paraId="5F886C69" w14:textId="77777777" w:rsidR="00A052DC" w:rsidRDefault="009F0A60">
            <w:pPr>
              <w:pStyle w:val="B"/>
              <w:widowControl w:val="0"/>
              <w:rPr>
                <w:rFonts w:ascii="Times New Roman" w:hAnsi="Times New Roman"/>
                <w:color w:val="000000"/>
                <w:szCs w:val="20"/>
              </w:rPr>
            </w:pPr>
            <w:r>
              <w:rPr>
                <w:rFonts w:ascii="Times New Roman" w:hAnsi="Times New Roman" w:hint="eastAsia"/>
                <w:color w:val="000000"/>
                <w:szCs w:val="20"/>
              </w:rPr>
              <w:t>账户账号</w:t>
            </w:r>
          </w:p>
        </w:tc>
        <w:tc>
          <w:tcPr>
            <w:tcW w:w="6961" w:type="dxa"/>
            <w:vAlign w:val="center"/>
          </w:tcPr>
          <w:p w14:paraId="0FB3E95D" w14:textId="77777777" w:rsidR="00A052DC" w:rsidRDefault="009F0A60">
            <w:pPr>
              <w:rPr>
                <w:rFonts w:eastAsia="黑体"/>
                <w:color w:val="000000"/>
                <w:sz w:val="20"/>
                <w:szCs w:val="20"/>
              </w:rPr>
            </w:pPr>
            <w:r>
              <w:rPr>
                <w:rFonts w:eastAsia="黑体" w:hint="eastAsia"/>
                <w:color w:val="000000"/>
                <w:sz w:val="20"/>
                <w:szCs w:val="20"/>
              </w:rPr>
              <w:t>涉嫌外汇违规的外汇账户</w:t>
            </w:r>
            <w:r>
              <w:rPr>
                <w:rFonts w:eastAsia="黑体"/>
                <w:color w:val="000000"/>
                <w:sz w:val="20"/>
                <w:szCs w:val="20"/>
              </w:rPr>
              <w:t>/</w:t>
            </w:r>
            <w:r>
              <w:rPr>
                <w:rFonts w:eastAsia="黑体" w:hint="eastAsia"/>
                <w:color w:val="000000"/>
                <w:sz w:val="20"/>
                <w:szCs w:val="20"/>
              </w:rPr>
              <w:t>人民币账户的账号。</w:t>
            </w:r>
          </w:p>
        </w:tc>
      </w:tr>
      <w:tr w:rsidR="00A052DC" w14:paraId="3D259C8F" w14:textId="77777777">
        <w:tc>
          <w:tcPr>
            <w:tcW w:w="1559" w:type="dxa"/>
            <w:vAlign w:val="center"/>
          </w:tcPr>
          <w:p w14:paraId="68E0859E" w14:textId="77777777" w:rsidR="00A052DC" w:rsidRDefault="009F0A60">
            <w:pPr>
              <w:pStyle w:val="B"/>
              <w:widowControl w:val="0"/>
              <w:rPr>
                <w:rFonts w:ascii="Times New Roman" w:hAnsi="Times New Roman"/>
                <w:color w:val="000000"/>
                <w:szCs w:val="20"/>
              </w:rPr>
            </w:pPr>
            <w:r>
              <w:rPr>
                <w:rFonts w:ascii="Times New Roman" w:hAnsi="Times New Roman" w:hint="eastAsia"/>
                <w:color w:val="000000"/>
                <w:szCs w:val="20"/>
              </w:rPr>
              <w:t>卡号</w:t>
            </w:r>
          </w:p>
        </w:tc>
        <w:tc>
          <w:tcPr>
            <w:tcW w:w="6961" w:type="dxa"/>
            <w:vAlign w:val="center"/>
          </w:tcPr>
          <w:p w14:paraId="0872F4CA" w14:textId="77777777" w:rsidR="00A052DC" w:rsidRDefault="009F0A60">
            <w:pPr>
              <w:rPr>
                <w:rFonts w:eastAsia="黑体"/>
                <w:color w:val="000000"/>
                <w:sz w:val="20"/>
                <w:szCs w:val="20"/>
              </w:rPr>
            </w:pPr>
            <w:r>
              <w:rPr>
                <w:rFonts w:eastAsia="黑体" w:hint="eastAsia"/>
                <w:color w:val="000000"/>
                <w:sz w:val="20"/>
                <w:szCs w:val="20"/>
              </w:rPr>
              <w:t>涉嫌外汇违规银行卡的卡号。</w:t>
            </w:r>
          </w:p>
        </w:tc>
      </w:tr>
      <w:tr w:rsidR="00A052DC" w14:paraId="7697EB15" w14:textId="77777777">
        <w:tc>
          <w:tcPr>
            <w:tcW w:w="1559" w:type="dxa"/>
            <w:vAlign w:val="center"/>
          </w:tcPr>
          <w:p w14:paraId="66F3F61C" w14:textId="77777777" w:rsidR="00A052DC" w:rsidRDefault="009F0A60">
            <w:pPr>
              <w:pStyle w:val="B"/>
              <w:widowControl w:val="0"/>
              <w:rPr>
                <w:rFonts w:ascii="Times New Roman" w:hAnsi="Times New Roman"/>
                <w:color w:val="000000"/>
                <w:szCs w:val="20"/>
              </w:rPr>
            </w:pPr>
            <w:r>
              <w:rPr>
                <w:rFonts w:ascii="Times New Roman" w:hAnsi="Times New Roman" w:hint="eastAsia"/>
                <w:color w:val="000000"/>
                <w:szCs w:val="20"/>
              </w:rPr>
              <w:t>联系人</w:t>
            </w:r>
          </w:p>
        </w:tc>
        <w:tc>
          <w:tcPr>
            <w:tcW w:w="6961" w:type="dxa"/>
            <w:vAlign w:val="center"/>
          </w:tcPr>
          <w:p w14:paraId="38357A0C" w14:textId="77777777" w:rsidR="00A052DC" w:rsidRDefault="009F0A60">
            <w:pPr>
              <w:rPr>
                <w:rFonts w:eastAsia="黑体"/>
                <w:color w:val="000000"/>
                <w:sz w:val="20"/>
                <w:szCs w:val="20"/>
              </w:rPr>
            </w:pPr>
            <w:r>
              <w:rPr>
                <w:rFonts w:eastAsia="黑体" w:hint="eastAsia"/>
                <w:color w:val="000000"/>
                <w:sz w:val="20"/>
                <w:szCs w:val="20"/>
              </w:rPr>
              <w:t>填报该账户基础信息的银行工作人员姓名。</w:t>
            </w:r>
          </w:p>
        </w:tc>
      </w:tr>
      <w:tr w:rsidR="00A052DC" w14:paraId="15EDF8FC" w14:textId="77777777">
        <w:tc>
          <w:tcPr>
            <w:tcW w:w="1559" w:type="dxa"/>
            <w:vAlign w:val="center"/>
          </w:tcPr>
          <w:p w14:paraId="3D2284D5" w14:textId="77777777" w:rsidR="00A052DC" w:rsidRDefault="009F0A60">
            <w:pPr>
              <w:pStyle w:val="B"/>
              <w:widowControl w:val="0"/>
              <w:rPr>
                <w:rFonts w:ascii="Times New Roman" w:hAnsi="Times New Roman"/>
                <w:color w:val="000000"/>
                <w:szCs w:val="20"/>
              </w:rPr>
            </w:pPr>
            <w:r>
              <w:rPr>
                <w:rFonts w:ascii="Times New Roman" w:hAnsi="Times New Roman" w:hint="eastAsia"/>
                <w:color w:val="000000"/>
                <w:szCs w:val="20"/>
              </w:rPr>
              <w:t>联系电话</w:t>
            </w:r>
          </w:p>
        </w:tc>
        <w:tc>
          <w:tcPr>
            <w:tcW w:w="6961" w:type="dxa"/>
            <w:vAlign w:val="center"/>
          </w:tcPr>
          <w:p w14:paraId="704EB120" w14:textId="77777777" w:rsidR="00A052DC" w:rsidRDefault="009F0A60">
            <w:pPr>
              <w:rPr>
                <w:rFonts w:eastAsia="黑体"/>
                <w:color w:val="000000"/>
                <w:sz w:val="20"/>
                <w:szCs w:val="20"/>
              </w:rPr>
            </w:pPr>
            <w:r>
              <w:rPr>
                <w:rFonts w:eastAsia="黑体" w:hint="eastAsia"/>
                <w:color w:val="000000"/>
                <w:sz w:val="20"/>
                <w:szCs w:val="20"/>
              </w:rPr>
              <w:t>填报该账户基础信息的银行工作人员联系电话。</w:t>
            </w:r>
          </w:p>
        </w:tc>
      </w:tr>
      <w:tr w:rsidR="00A052DC" w14:paraId="10D10559" w14:textId="77777777">
        <w:tc>
          <w:tcPr>
            <w:tcW w:w="1559" w:type="dxa"/>
            <w:vAlign w:val="center"/>
          </w:tcPr>
          <w:p w14:paraId="6575A5CD" w14:textId="77777777" w:rsidR="00A052DC" w:rsidRDefault="009F0A60">
            <w:pPr>
              <w:pStyle w:val="B"/>
              <w:widowControl w:val="0"/>
              <w:rPr>
                <w:rFonts w:ascii="Times New Roman" w:hAnsi="Times New Roman"/>
                <w:color w:val="000000"/>
                <w:szCs w:val="20"/>
              </w:rPr>
            </w:pPr>
            <w:r>
              <w:rPr>
                <w:rFonts w:ascii="Times New Roman" w:hAnsi="Times New Roman" w:hint="eastAsia"/>
                <w:color w:val="000000"/>
                <w:szCs w:val="20"/>
              </w:rPr>
              <w:t>报送时间</w:t>
            </w:r>
          </w:p>
        </w:tc>
        <w:tc>
          <w:tcPr>
            <w:tcW w:w="6961" w:type="dxa"/>
            <w:vAlign w:val="center"/>
          </w:tcPr>
          <w:p w14:paraId="6D668389" w14:textId="77777777" w:rsidR="00A052DC" w:rsidRDefault="009F0A60">
            <w:pPr>
              <w:rPr>
                <w:rFonts w:eastAsia="黑体"/>
                <w:color w:val="000000"/>
                <w:sz w:val="20"/>
                <w:szCs w:val="20"/>
              </w:rPr>
            </w:pPr>
            <w:r>
              <w:rPr>
                <w:rFonts w:eastAsia="黑体" w:hint="eastAsia"/>
                <w:color w:val="000000"/>
                <w:sz w:val="20"/>
                <w:szCs w:val="20"/>
              </w:rPr>
              <w:t>报送该信息的日期。</w:t>
            </w:r>
          </w:p>
        </w:tc>
      </w:tr>
      <w:tr w:rsidR="00A052DC" w14:paraId="4403A302" w14:textId="77777777">
        <w:tc>
          <w:tcPr>
            <w:tcW w:w="1559" w:type="dxa"/>
            <w:vAlign w:val="center"/>
          </w:tcPr>
          <w:p w14:paraId="3DC6F46F" w14:textId="77777777" w:rsidR="00A052DC" w:rsidRDefault="009F0A60">
            <w:pPr>
              <w:pStyle w:val="B"/>
              <w:widowControl w:val="0"/>
              <w:rPr>
                <w:rFonts w:ascii="Times New Roman" w:hAnsi="Times New Roman"/>
                <w:color w:val="000000"/>
                <w:szCs w:val="20"/>
              </w:rPr>
            </w:pPr>
            <w:r>
              <w:rPr>
                <w:rFonts w:ascii="Times New Roman" w:hAnsi="Times New Roman" w:hint="eastAsia"/>
                <w:color w:val="000000"/>
                <w:szCs w:val="20"/>
              </w:rPr>
              <w:t>账户状态</w:t>
            </w:r>
          </w:p>
        </w:tc>
        <w:tc>
          <w:tcPr>
            <w:tcW w:w="6961" w:type="dxa"/>
            <w:vAlign w:val="center"/>
          </w:tcPr>
          <w:p w14:paraId="149C1CA5" w14:textId="77777777" w:rsidR="00A052DC" w:rsidRDefault="009F0A60" w:rsidP="00F82B9D">
            <w:pPr>
              <w:rPr>
                <w:rFonts w:eastAsia="黑体"/>
                <w:color w:val="000000"/>
                <w:sz w:val="20"/>
                <w:szCs w:val="20"/>
              </w:rPr>
            </w:pPr>
            <w:r>
              <w:rPr>
                <w:rFonts w:eastAsia="黑体" w:hint="eastAsia"/>
                <w:color w:val="000000"/>
                <w:sz w:val="20"/>
                <w:szCs w:val="20"/>
              </w:rPr>
              <w:t>该账户当前状态，</w:t>
            </w:r>
            <w:r>
              <w:rPr>
                <w:rFonts w:eastAsia="黑体" w:hint="eastAsia"/>
                <w:color w:val="000000"/>
                <w:sz w:val="20"/>
                <w:szCs w:val="20"/>
              </w:rPr>
              <w:t>1</w:t>
            </w:r>
            <w:r w:rsidR="00F82B9D">
              <w:rPr>
                <w:rFonts w:eastAsia="黑体" w:hint="eastAsia"/>
                <w:color w:val="000000"/>
                <w:sz w:val="20"/>
                <w:szCs w:val="20"/>
              </w:rPr>
              <w:t>-</w:t>
            </w:r>
            <w:r>
              <w:rPr>
                <w:rFonts w:eastAsia="黑体" w:hint="eastAsia"/>
                <w:color w:val="000000"/>
                <w:sz w:val="20"/>
                <w:szCs w:val="20"/>
              </w:rPr>
              <w:t>正常；</w:t>
            </w:r>
            <w:r>
              <w:rPr>
                <w:rFonts w:eastAsia="黑体" w:hint="eastAsia"/>
                <w:color w:val="000000"/>
                <w:sz w:val="20"/>
                <w:szCs w:val="20"/>
              </w:rPr>
              <w:t>2</w:t>
            </w:r>
            <w:r w:rsidR="00F82B9D">
              <w:rPr>
                <w:rFonts w:eastAsia="黑体" w:hint="eastAsia"/>
                <w:color w:val="000000"/>
                <w:sz w:val="20"/>
                <w:szCs w:val="20"/>
              </w:rPr>
              <w:t>-</w:t>
            </w:r>
            <w:r>
              <w:rPr>
                <w:rFonts w:eastAsia="黑体" w:hint="eastAsia"/>
                <w:color w:val="000000"/>
                <w:sz w:val="20"/>
                <w:szCs w:val="20"/>
              </w:rPr>
              <w:t>销户；</w:t>
            </w:r>
            <w:r>
              <w:rPr>
                <w:rFonts w:eastAsia="黑体" w:hint="eastAsia"/>
                <w:color w:val="000000"/>
                <w:sz w:val="20"/>
                <w:szCs w:val="20"/>
              </w:rPr>
              <w:t>3</w:t>
            </w:r>
            <w:r w:rsidR="00F82B9D">
              <w:rPr>
                <w:rFonts w:eastAsia="黑体" w:hint="eastAsia"/>
                <w:color w:val="000000"/>
                <w:sz w:val="20"/>
                <w:szCs w:val="20"/>
              </w:rPr>
              <w:t>-</w:t>
            </w:r>
            <w:r>
              <w:rPr>
                <w:rFonts w:eastAsia="黑体" w:hint="eastAsia"/>
                <w:color w:val="000000"/>
                <w:sz w:val="20"/>
                <w:szCs w:val="20"/>
              </w:rPr>
              <w:t>其他。</w:t>
            </w:r>
          </w:p>
        </w:tc>
      </w:tr>
      <w:tr w:rsidR="00A052DC" w14:paraId="1773ECA6" w14:textId="77777777">
        <w:tc>
          <w:tcPr>
            <w:tcW w:w="1559" w:type="dxa"/>
            <w:vAlign w:val="center"/>
          </w:tcPr>
          <w:p w14:paraId="5A915EFD" w14:textId="77777777" w:rsidR="00A052DC" w:rsidRDefault="009F0A60">
            <w:pPr>
              <w:pStyle w:val="B"/>
              <w:widowControl w:val="0"/>
              <w:rPr>
                <w:rFonts w:ascii="Times New Roman" w:hAnsi="Times New Roman"/>
                <w:color w:val="000000"/>
                <w:szCs w:val="20"/>
              </w:rPr>
            </w:pPr>
            <w:r>
              <w:rPr>
                <w:rFonts w:ascii="Times New Roman" w:hAnsi="Times New Roman" w:hint="eastAsia"/>
                <w:color w:val="000000"/>
                <w:szCs w:val="20"/>
              </w:rPr>
              <w:t>是否被司法查冻扣</w:t>
            </w:r>
          </w:p>
        </w:tc>
        <w:tc>
          <w:tcPr>
            <w:tcW w:w="6961" w:type="dxa"/>
            <w:vAlign w:val="center"/>
          </w:tcPr>
          <w:p w14:paraId="15F5F2E5" w14:textId="77777777" w:rsidR="00A052DC" w:rsidRDefault="009F0A60">
            <w:pPr>
              <w:rPr>
                <w:rFonts w:eastAsia="黑体"/>
                <w:color w:val="000000"/>
                <w:sz w:val="20"/>
                <w:szCs w:val="20"/>
              </w:rPr>
            </w:pPr>
            <w:r>
              <w:rPr>
                <w:rFonts w:eastAsia="黑体" w:hint="eastAsia"/>
                <w:color w:val="000000"/>
                <w:sz w:val="20"/>
                <w:szCs w:val="20"/>
              </w:rPr>
              <w:t>账户是否被其他司法机关，如公安、检察院、法院等部门申请查询、冻结或扣划，指账户当前状态，不考虑曾经被查冻扣，现已解冻的的情况。</w:t>
            </w:r>
          </w:p>
        </w:tc>
      </w:tr>
    </w:tbl>
    <w:p w14:paraId="554A4B49" w14:textId="77777777" w:rsidR="00A052DC" w:rsidRDefault="009F0A60">
      <w:pPr>
        <w:pStyle w:val="4"/>
        <w:numPr>
          <w:ilvl w:val="3"/>
          <w:numId w:val="1"/>
        </w:numPr>
        <w:jc w:val="left"/>
      </w:pPr>
      <w:r>
        <w:rPr>
          <w:rFonts w:hint="eastAsia"/>
        </w:rPr>
        <w:t>数据格式</w:t>
      </w:r>
    </w:p>
    <w:p w14:paraId="1E370517" w14:textId="77777777" w:rsidR="00A052DC" w:rsidRDefault="009F0A60">
      <w:r>
        <w:t>&lt;REC&gt;</w:t>
      </w:r>
    </w:p>
    <w:p w14:paraId="3FCB0777" w14:textId="77777777" w:rsidR="00A052DC" w:rsidRDefault="009F0A60">
      <w:r>
        <w:t>&lt;ACTIONTYPE&gt;</w:t>
      </w:r>
      <w:r>
        <w:rPr>
          <w:rFonts w:hint="eastAsia"/>
        </w:rPr>
        <w:t>操作类型</w:t>
      </w:r>
      <w:r>
        <w:t>&lt;/ACTIONTYPE&gt;</w:t>
      </w:r>
    </w:p>
    <w:p w14:paraId="6AEA3E57" w14:textId="77777777" w:rsidR="00A052DC" w:rsidRDefault="009F0A60">
      <w:r>
        <w:t>&lt;ACTIONDESC&gt;</w:t>
      </w:r>
      <w:r>
        <w:rPr>
          <w:rFonts w:hint="eastAsia"/>
        </w:rPr>
        <w:t>修改</w:t>
      </w:r>
      <w:r>
        <w:t>/</w:t>
      </w:r>
      <w:r>
        <w:rPr>
          <w:rFonts w:hint="eastAsia"/>
        </w:rPr>
        <w:t>删除原因</w:t>
      </w:r>
      <w:r>
        <w:t>&lt;/ACTIONDESC&gt;</w:t>
      </w:r>
    </w:p>
    <w:p w14:paraId="37666ED7" w14:textId="77777777" w:rsidR="00A052DC" w:rsidRDefault="009F0A60">
      <w:r>
        <w:t>&lt;REPLYNUM&gt;</w:t>
      </w:r>
      <w:r>
        <w:rPr>
          <w:rFonts w:hint="eastAsia"/>
        </w:rPr>
        <w:t>回复流水号</w:t>
      </w:r>
      <w:r>
        <w:t>&lt;/REPLYNUM&gt;</w:t>
      </w:r>
    </w:p>
    <w:p w14:paraId="6FB702D9" w14:textId="77777777" w:rsidR="00A052DC" w:rsidRDefault="009F0A60">
      <w:r>
        <w:t>&lt;APPLYNUM&gt;</w:t>
      </w:r>
      <w:r>
        <w:rPr>
          <w:rFonts w:hint="eastAsia"/>
        </w:rPr>
        <w:t>查询流水号</w:t>
      </w:r>
      <w:r>
        <w:t>&lt;/APPLYNUM&gt;</w:t>
      </w:r>
    </w:p>
    <w:p w14:paraId="5AF52961" w14:textId="77777777" w:rsidR="00A052DC" w:rsidRDefault="009F0A60">
      <w:r>
        <w:t>&lt;BUSCODE&gt;</w:t>
      </w:r>
      <w:r>
        <w:rPr>
          <w:rFonts w:hint="eastAsia"/>
        </w:rPr>
        <w:t>银行业务参号</w:t>
      </w:r>
      <w:r>
        <w:t>&lt;/BUSCODE&gt;</w:t>
      </w:r>
    </w:p>
    <w:p w14:paraId="0A415378" w14:textId="77777777" w:rsidR="00A052DC" w:rsidRDefault="009F0A60">
      <w:r>
        <w:t>&lt;ENNAME&gt;</w:t>
      </w:r>
      <w:r>
        <w:rPr>
          <w:rFonts w:hint="eastAsia"/>
        </w:rPr>
        <w:t>开户主体名称</w:t>
      </w:r>
      <w:r>
        <w:t>&lt;/ENNAME&gt;</w:t>
      </w:r>
    </w:p>
    <w:p w14:paraId="072BE549" w14:textId="77777777" w:rsidR="00A052DC" w:rsidRDefault="009F0A60">
      <w:r>
        <w:t>&lt;AMTYPE&gt;</w:t>
      </w:r>
      <w:r>
        <w:rPr>
          <w:rFonts w:hint="eastAsia"/>
        </w:rPr>
        <w:t>开户主体类型</w:t>
      </w:r>
      <w:r>
        <w:t>&lt;/AMTYPE&gt;</w:t>
      </w:r>
    </w:p>
    <w:p w14:paraId="3A07C7F5" w14:textId="77777777" w:rsidR="00A052DC" w:rsidRDefault="009F0A60">
      <w:r>
        <w:t>&lt;CERTNAME&gt;</w:t>
      </w:r>
      <w:r>
        <w:rPr>
          <w:rFonts w:hint="eastAsia"/>
        </w:rPr>
        <w:t>证件类型</w:t>
      </w:r>
      <w:r>
        <w:t>&lt;/CERTNAME&gt;</w:t>
      </w:r>
    </w:p>
    <w:p w14:paraId="578EE2CF" w14:textId="77777777" w:rsidR="00A052DC" w:rsidRDefault="009F0A60">
      <w:r>
        <w:t>&lt;ENCODE&gt;</w:t>
      </w:r>
      <w:r>
        <w:rPr>
          <w:rFonts w:hint="eastAsia"/>
        </w:rPr>
        <w:t>证件号码</w:t>
      </w:r>
      <w:r>
        <w:t>&lt;/ENCODE&gt;</w:t>
      </w:r>
    </w:p>
    <w:p w14:paraId="1FA0131E" w14:textId="77777777" w:rsidR="00A052DC" w:rsidRDefault="009F0A60">
      <w:r>
        <w:t>&lt;ENADDR&gt;</w:t>
      </w:r>
      <w:r>
        <w:rPr>
          <w:rFonts w:hint="eastAsia"/>
        </w:rPr>
        <w:t>地址</w:t>
      </w:r>
      <w:r>
        <w:t>&lt;/ENADDR&gt;</w:t>
      </w:r>
    </w:p>
    <w:p w14:paraId="5B0A194C" w14:textId="77777777" w:rsidR="00A052DC" w:rsidRDefault="009F0A60">
      <w:r>
        <w:t>&lt;OPENDATE&gt;</w:t>
      </w:r>
      <w:r>
        <w:rPr>
          <w:rFonts w:hint="eastAsia"/>
        </w:rPr>
        <w:t>开户时间</w:t>
      </w:r>
      <w:r>
        <w:t>&lt;/OPENDATE&gt;</w:t>
      </w:r>
    </w:p>
    <w:p w14:paraId="2D7969AD" w14:textId="77777777" w:rsidR="00A052DC" w:rsidRDefault="009F0A60">
      <w:r>
        <w:t>&lt;CLOSEDATE&gt;</w:t>
      </w:r>
      <w:r>
        <w:rPr>
          <w:rFonts w:hint="eastAsia"/>
        </w:rPr>
        <w:t>销户时间</w:t>
      </w:r>
      <w:r>
        <w:t>&lt;/CLOSEDATE&gt;</w:t>
      </w:r>
    </w:p>
    <w:p w14:paraId="25D7EF5C" w14:textId="77777777" w:rsidR="00A052DC" w:rsidRDefault="009F0A60">
      <w:r>
        <w:t>&lt;BRANCHCODE&gt;</w:t>
      </w:r>
      <w:r>
        <w:rPr>
          <w:rFonts w:hint="eastAsia"/>
        </w:rPr>
        <w:t>金融机构代码</w:t>
      </w:r>
      <w:r>
        <w:t>&lt;/BRANCHCODE&gt;</w:t>
      </w:r>
    </w:p>
    <w:p w14:paraId="68066A45" w14:textId="77777777" w:rsidR="00A052DC" w:rsidRDefault="009F0A60">
      <w:r>
        <w:t>&lt;BRANCHIDCODE&gt;</w:t>
      </w:r>
      <w:r>
        <w:rPr>
          <w:rFonts w:hint="eastAsia"/>
        </w:rPr>
        <w:t>金融机构标识码</w:t>
      </w:r>
      <w:r>
        <w:t>&lt;/BRANCHIDCODE&gt;</w:t>
      </w:r>
    </w:p>
    <w:p w14:paraId="5927CEB4" w14:textId="77777777" w:rsidR="00A052DC" w:rsidRDefault="009F0A60">
      <w:r>
        <w:t>&lt;BRANCHNAME&gt;</w:t>
      </w:r>
      <w:r>
        <w:rPr>
          <w:rFonts w:hint="eastAsia"/>
        </w:rPr>
        <w:t>开户银行名称</w:t>
      </w:r>
      <w:r>
        <w:t>&lt;/BRANCHNAME&gt;</w:t>
      </w:r>
    </w:p>
    <w:p w14:paraId="6731AFF9" w14:textId="77777777" w:rsidR="00A052DC" w:rsidRDefault="009F0A60">
      <w:r>
        <w:t>&lt;ACCOUNTNO&gt;</w:t>
      </w:r>
      <w:r>
        <w:rPr>
          <w:rFonts w:hint="eastAsia"/>
        </w:rPr>
        <w:t>账户账号</w:t>
      </w:r>
      <w:r>
        <w:t>&lt;/ACCOUNTNO&gt;</w:t>
      </w:r>
    </w:p>
    <w:p w14:paraId="7838C277" w14:textId="77777777" w:rsidR="00A052DC" w:rsidRDefault="009F0A60">
      <w:r>
        <w:rPr>
          <w:rFonts w:hint="eastAsia"/>
        </w:rPr>
        <w:t>&lt;CARDNO&gt;</w:t>
      </w:r>
      <w:r>
        <w:rPr>
          <w:rFonts w:hint="eastAsia"/>
          <w:color w:val="000000"/>
          <w:szCs w:val="20"/>
        </w:rPr>
        <w:t>卡号</w:t>
      </w:r>
      <w:r>
        <w:rPr>
          <w:rFonts w:hint="eastAsia"/>
        </w:rPr>
        <w:t>&lt;/CARDNO&gt;</w:t>
      </w:r>
    </w:p>
    <w:p w14:paraId="3489355C" w14:textId="77777777" w:rsidR="00A052DC" w:rsidRDefault="009F0A60">
      <w:r>
        <w:t>&lt;CONTACT&gt;</w:t>
      </w:r>
      <w:r>
        <w:rPr>
          <w:rFonts w:hint="eastAsia"/>
        </w:rPr>
        <w:t>联系人</w:t>
      </w:r>
      <w:r>
        <w:t>&lt;/CONTACT&gt;</w:t>
      </w:r>
    </w:p>
    <w:p w14:paraId="0ED0D414" w14:textId="77777777" w:rsidR="00A052DC" w:rsidRDefault="009F0A60">
      <w:r>
        <w:t>&lt;CONTACTTEL&gt;</w:t>
      </w:r>
      <w:r>
        <w:rPr>
          <w:rFonts w:hint="eastAsia"/>
        </w:rPr>
        <w:t>联系电话</w:t>
      </w:r>
      <w:r>
        <w:t>&lt;/CONTACTTEL&gt;</w:t>
      </w:r>
    </w:p>
    <w:p w14:paraId="7C64CBF1" w14:textId="77777777" w:rsidR="00A052DC" w:rsidRDefault="009F0A60">
      <w:r>
        <w:t>&lt;RPTDATE&gt;</w:t>
      </w:r>
      <w:r>
        <w:rPr>
          <w:rFonts w:hint="eastAsia"/>
        </w:rPr>
        <w:t>报送时间</w:t>
      </w:r>
      <w:r>
        <w:t>&lt;/RPTDATE&gt;</w:t>
      </w:r>
    </w:p>
    <w:p w14:paraId="41F0E419" w14:textId="77777777" w:rsidR="00A052DC" w:rsidRDefault="009F0A60">
      <w:r>
        <w:t>&lt;ACCSTATE&gt;</w:t>
      </w:r>
      <w:r>
        <w:rPr>
          <w:rFonts w:hint="eastAsia"/>
        </w:rPr>
        <w:t>账户状态</w:t>
      </w:r>
      <w:r>
        <w:t>&lt;/ACCSTATE&gt;</w:t>
      </w:r>
    </w:p>
    <w:p w14:paraId="516B5D2F" w14:textId="77777777" w:rsidR="00A052DC" w:rsidRDefault="009F0A60">
      <w:r>
        <w:t>&lt;IFFREEZE&gt;</w:t>
      </w:r>
      <w:r>
        <w:rPr>
          <w:rFonts w:hint="eastAsia"/>
        </w:rPr>
        <w:t>是否被司法查冻扣</w:t>
      </w:r>
      <w:r>
        <w:t>&lt;/IFFREEZE&gt;</w:t>
      </w:r>
    </w:p>
    <w:p w14:paraId="1EE2C691" w14:textId="77777777" w:rsidR="00A052DC" w:rsidRDefault="009F0A60">
      <w:r>
        <w:t>&lt;/REC&gt;</w:t>
      </w:r>
    </w:p>
    <w:p w14:paraId="7CE87121" w14:textId="77777777" w:rsidR="00A052DC" w:rsidRDefault="009F0A60" w:rsidP="0020251D">
      <w:pPr>
        <w:pStyle w:val="4"/>
        <w:numPr>
          <w:ilvl w:val="3"/>
          <w:numId w:val="1"/>
        </w:numPr>
        <w:jc w:val="left"/>
      </w:pPr>
      <w:r>
        <w:t>数据字典</w:t>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843"/>
        <w:gridCol w:w="1701"/>
        <w:gridCol w:w="3543"/>
      </w:tblGrid>
      <w:tr w:rsidR="00A052DC" w14:paraId="52602135" w14:textId="77777777">
        <w:trPr>
          <w:trHeight w:val="90"/>
          <w:tblHeader/>
          <w:jc w:val="center"/>
        </w:trPr>
        <w:tc>
          <w:tcPr>
            <w:tcW w:w="1560" w:type="dxa"/>
            <w:shd w:val="clear" w:color="auto" w:fill="C0C0C0"/>
          </w:tcPr>
          <w:p w14:paraId="7C48F1A0" w14:textId="77777777" w:rsidR="00A052DC" w:rsidRDefault="009F0A60">
            <w:pPr>
              <w:jc w:val="center"/>
              <w:rPr>
                <w:rFonts w:ascii="黑体" w:eastAsia="黑体" w:hAnsi="黑体"/>
                <w:b/>
                <w:color w:val="000000"/>
                <w:sz w:val="20"/>
                <w:szCs w:val="20"/>
              </w:rPr>
            </w:pPr>
            <w:r>
              <w:rPr>
                <w:rFonts w:ascii="黑体" w:eastAsia="黑体" w:hAnsi="黑体" w:hint="eastAsia"/>
                <w:b/>
                <w:color w:val="000000"/>
                <w:sz w:val="20"/>
                <w:szCs w:val="20"/>
              </w:rPr>
              <w:t>字段</w:t>
            </w:r>
          </w:p>
        </w:tc>
        <w:tc>
          <w:tcPr>
            <w:tcW w:w="1843" w:type="dxa"/>
            <w:shd w:val="clear" w:color="auto" w:fill="C0C0C0"/>
          </w:tcPr>
          <w:p w14:paraId="156A8409" w14:textId="77777777" w:rsidR="00A052DC" w:rsidRDefault="009F0A60">
            <w:pPr>
              <w:jc w:val="center"/>
              <w:rPr>
                <w:rFonts w:ascii="黑体" w:eastAsia="黑体" w:hAnsi="黑体"/>
                <w:b/>
                <w:color w:val="000000"/>
                <w:sz w:val="20"/>
                <w:szCs w:val="20"/>
              </w:rPr>
            </w:pPr>
            <w:r>
              <w:rPr>
                <w:rFonts w:ascii="黑体" w:eastAsia="黑体" w:hAnsi="黑体" w:hint="eastAsia"/>
                <w:b/>
                <w:color w:val="000000"/>
                <w:sz w:val="20"/>
                <w:szCs w:val="20"/>
              </w:rPr>
              <w:t>内容</w:t>
            </w:r>
          </w:p>
        </w:tc>
        <w:tc>
          <w:tcPr>
            <w:tcW w:w="1701" w:type="dxa"/>
            <w:shd w:val="clear" w:color="auto" w:fill="C0C0C0"/>
          </w:tcPr>
          <w:p w14:paraId="3257F8F4" w14:textId="77777777" w:rsidR="00A052DC" w:rsidRDefault="009F0A60">
            <w:pPr>
              <w:jc w:val="center"/>
              <w:rPr>
                <w:rFonts w:ascii="黑体" w:eastAsia="黑体" w:hAnsi="黑体"/>
                <w:b/>
                <w:color w:val="000000"/>
                <w:sz w:val="20"/>
                <w:szCs w:val="20"/>
              </w:rPr>
            </w:pPr>
            <w:r>
              <w:rPr>
                <w:rFonts w:ascii="黑体" w:eastAsia="黑体" w:hAnsi="黑体" w:hint="eastAsia"/>
                <w:b/>
                <w:color w:val="000000"/>
                <w:sz w:val="20"/>
                <w:szCs w:val="20"/>
              </w:rPr>
              <w:t>类型（长度）</w:t>
            </w:r>
          </w:p>
        </w:tc>
        <w:tc>
          <w:tcPr>
            <w:tcW w:w="3543" w:type="dxa"/>
            <w:shd w:val="clear" w:color="auto" w:fill="C0C0C0"/>
          </w:tcPr>
          <w:p w14:paraId="73F67E81" w14:textId="77777777" w:rsidR="00A052DC" w:rsidRDefault="009F0A60">
            <w:pPr>
              <w:jc w:val="center"/>
              <w:rPr>
                <w:rFonts w:ascii="黑体" w:eastAsia="黑体" w:hAnsi="黑体"/>
                <w:b/>
                <w:color w:val="000000"/>
                <w:sz w:val="20"/>
                <w:szCs w:val="20"/>
              </w:rPr>
            </w:pPr>
            <w:r>
              <w:rPr>
                <w:rFonts w:ascii="黑体" w:eastAsia="黑体" w:hAnsi="黑体" w:hint="eastAsia"/>
                <w:b/>
                <w:color w:val="000000"/>
                <w:sz w:val="20"/>
                <w:szCs w:val="20"/>
              </w:rPr>
              <w:t>校验</w:t>
            </w:r>
          </w:p>
        </w:tc>
      </w:tr>
      <w:tr w:rsidR="00A052DC" w14:paraId="640C6A75" w14:textId="77777777">
        <w:trPr>
          <w:jc w:val="center"/>
        </w:trPr>
        <w:tc>
          <w:tcPr>
            <w:tcW w:w="1560" w:type="dxa"/>
            <w:tcBorders>
              <w:top w:val="single" w:sz="4" w:space="0" w:color="auto"/>
              <w:left w:val="single" w:sz="4" w:space="0" w:color="auto"/>
              <w:bottom w:val="single" w:sz="4" w:space="0" w:color="auto"/>
              <w:right w:val="single" w:sz="4" w:space="0" w:color="auto"/>
            </w:tcBorders>
          </w:tcPr>
          <w:p w14:paraId="4CE6E251" w14:textId="77777777" w:rsidR="00A052DC" w:rsidRDefault="009F0A60">
            <w:pPr>
              <w:pStyle w:val="B"/>
              <w:widowControl w:val="0"/>
              <w:rPr>
                <w:color w:val="000000"/>
                <w:szCs w:val="20"/>
              </w:rPr>
            </w:pPr>
            <w:r>
              <w:rPr>
                <w:szCs w:val="20"/>
              </w:rPr>
              <w:t>ACTIONTYPE</w:t>
            </w:r>
          </w:p>
        </w:tc>
        <w:tc>
          <w:tcPr>
            <w:tcW w:w="1843" w:type="dxa"/>
            <w:tcBorders>
              <w:top w:val="single" w:sz="4" w:space="0" w:color="auto"/>
              <w:left w:val="single" w:sz="4" w:space="0" w:color="auto"/>
              <w:bottom w:val="single" w:sz="4" w:space="0" w:color="auto"/>
              <w:right w:val="single" w:sz="4" w:space="0" w:color="auto"/>
            </w:tcBorders>
          </w:tcPr>
          <w:p w14:paraId="50852520" w14:textId="77777777" w:rsidR="00A052DC" w:rsidRDefault="009F0A60">
            <w:pPr>
              <w:pStyle w:val="B"/>
              <w:widowControl w:val="0"/>
              <w:rPr>
                <w:color w:val="000000"/>
                <w:szCs w:val="20"/>
              </w:rPr>
            </w:pPr>
            <w:r>
              <w:rPr>
                <w:rFonts w:hint="eastAsia"/>
                <w:szCs w:val="20"/>
              </w:rPr>
              <w:t>操作类型</w:t>
            </w:r>
          </w:p>
        </w:tc>
        <w:tc>
          <w:tcPr>
            <w:tcW w:w="1701" w:type="dxa"/>
            <w:tcBorders>
              <w:top w:val="single" w:sz="4" w:space="0" w:color="auto"/>
              <w:left w:val="single" w:sz="4" w:space="0" w:color="auto"/>
              <w:bottom w:val="single" w:sz="4" w:space="0" w:color="auto"/>
              <w:right w:val="single" w:sz="4" w:space="0" w:color="auto"/>
            </w:tcBorders>
          </w:tcPr>
          <w:p w14:paraId="1EEE2574" w14:textId="77777777" w:rsidR="00A052DC" w:rsidRDefault="009F0A60">
            <w:pPr>
              <w:pStyle w:val="B"/>
              <w:widowControl w:val="0"/>
              <w:rPr>
                <w:color w:val="000000"/>
                <w:szCs w:val="20"/>
              </w:rPr>
            </w:pPr>
            <w:r>
              <w:rPr>
                <w:rFonts w:hint="eastAsia"/>
                <w:szCs w:val="20"/>
              </w:rPr>
              <w:t>字符型，</w:t>
            </w:r>
            <w:r>
              <w:rPr>
                <w:szCs w:val="20"/>
              </w:rPr>
              <w:t>1</w:t>
            </w:r>
          </w:p>
        </w:tc>
        <w:tc>
          <w:tcPr>
            <w:tcW w:w="3543" w:type="dxa"/>
            <w:tcBorders>
              <w:top w:val="single" w:sz="4" w:space="0" w:color="auto"/>
              <w:left w:val="single" w:sz="4" w:space="0" w:color="auto"/>
              <w:bottom w:val="single" w:sz="4" w:space="0" w:color="auto"/>
              <w:right w:val="single" w:sz="4" w:space="0" w:color="auto"/>
            </w:tcBorders>
          </w:tcPr>
          <w:p w14:paraId="311F8B0A" w14:textId="77777777" w:rsidR="00A052DC" w:rsidRDefault="009F0A60">
            <w:pPr>
              <w:rPr>
                <w:rFonts w:ascii="黑体" w:eastAsia="黑体" w:hAnsi="黑体"/>
                <w:sz w:val="20"/>
                <w:szCs w:val="20"/>
              </w:rPr>
            </w:pPr>
            <w:r>
              <w:rPr>
                <w:rFonts w:ascii="黑体" w:eastAsia="黑体" w:hAnsi="黑体"/>
                <w:sz w:val="20"/>
                <w:szCs w:val="20"/>
              </w:rPr>
              <w:t>A</w:t>
            </w:r>
            <w:r w:rsidR="00AE4602">
              <w:rPr>
                <w:rFonts w:ascii="黑体" w:eastAsia="黑体" w:hAnsi="黑体"/>
                <w:sz w:val="20"/>
                <w:szCs w:val="20"/>
              </w:rPr>
              <w:t>-</w:t>
            </w:r>
            <w:r>
              <w:rPr>
                <w:rFonts w:ascii="黑体" w:eastAsia="黑体" w:hAnsi="黑体"/>
                <w:sz w:val="20"/>
                <w:szCs w:val="20"/>
              </w:rPr>
              <w:t>新建</w:t>
            </w:r>
            <w:r>
              <w:rPr>
                <w:rFonts w:ascii="黑体" w:eastAsia="黑体" w:hAnsi="黑体" w:hint="eastAsia"/>
                <w:sz w:val="20"/>
                <w:szCs w:val="20"/>
              </w:rPr>
              <w:t>；</w:t>
            </w:r>
          </w:p>
          <w:p w14:paraId="2225C571" w14:textId="77777777" w:rsidR="00A052DC" w:rsidRDefault="009F0A60">
            <w:pPr>
              <w:rPr>
                <w:rFonts w:ascii="黑体" w:eastAsia="黑体" w:hAnsi="黑体"/>
                <w:sz w:val="20"/>
                <w:szCs w:val="20"/>
              </w:rPr>
            </w:pPr>
            <w:r>
              <w:rPr>
                <w:rFonts w:ascii="黑体" w:eastAsia="黑体" w:hAnsi="黑体"/>
                <w:sz w:val="20"/>
                <w:szCs w:val="20"/>
              </w:rPr>
              <w:t>C</w:t>
            </w:r>
            <w:r w:rsidR="00AE4602">
              <w:rPr>
                <w:rFonts w:ascii="黑体" w:eastAsia="黑体" w:hAnsi="黑体"/>
                <w:sz w:val="20"/>
                <w:szCs w:val="20"/>
              </w:rPr>
              <w:t>-</w:t>
            </w:r>
            <w:r>
              <w:rPr>
                <w:rFonts w:ascii="黑体" w:eastAsia="黑体" w:hAnsi="黑体"/>
                <w:sz w:val="20"/>
                <w:szCs w:val="20"/>
              </w:rPr>
              <w:t>修改</w:t>
            </w:r>
            <w:r>
              <w:rPr>
                <w:rFonts w:ascii="黑体" w:eastAsia="黑体" w:hAnsi="黑体" w:hint="eastAsia"/>
                <w:sz w:val="20"/>
                <w:szCs w:val="20"/>
              </w:rPr>
              <w:t>；</w:t>
            </w:r>
          </w:p>
          <w:p w14:paraId="1E144C7B" w14:textId="77777777" w:rsidR="00A052DC" w:rsidRDefault="009F0A60">
            <w:pPr>
              <w:rPr>
                <w:rFonts w:ascii="黑体" w:eastAsia="黑体" w:hAnsi="黑体"/>
                <w:sz w:val="20"/>
                <w:szCs w:val="20"/>
              </w:rPr>
            </w:pPr>
            <w:r>
              <w:rPr>
                <w:rFonts w:ascii="黑体" w:eastAsia="黑体" w:hAnsi="黑体"/>
                <w:sz w:val="20"/>
                <w:szCs w:val="20"/>
              </w:rPr>
              <w:t>D</w:t>
            </w:r>
            <w:r w:rsidR="00AE4602">
              <w:rPr>
                <w:rFonts w:ascii="黑体" w:eastAsia="黑体" w:hAnsi="黑体"/>
                <w:sz w:val="20"/>
                <w:szCs w:val="20"/>
              </w:rPr>
              <w:t>-</w:t>
            </w:r>
            <w:r>
              <w:rPr>
                <w:rFonts w:ascii="黑体" w:eastAsia="黑体" w:hAnsi="黑体"/>
                <w:sz w:val="20"/>
                <w:szCs w:val="20"/>
              </w:rPr>
              <w:t>删除</w:t>
            </w:r>
            <w:r>
              <w:rPr>
                <w:rFonts w:ascii="黑体" w:eastAsia="黑体" w:hAnsi="黑体" w:hint="eastAsia"/>
                <w:sz w:val="20"/>
                <w:szCs w:val="20"/>
              </w:rPr>
              <w:t>；</w:t>
            </w:r>
          </w:p>
          <w:p w14:paraId="0BC6C8A7" w14:textId="77777777" w:rsidR="00A052DC" w:rsidRDefault="009F0A60">
            <w:pPr>
              <w:pStyle w:val="B"/>
              <w:widowControl w:val="0"/>
              <w:rPr>
                <w:color w:val="000000"/>
                <w:szCs w:val="20"/>
              </w:rPr>
            </w:pPr>
            <w:r>
              <w:rPr>
                <w:rFonts w:hint="eastAsia"/>
                <w:szCs w:val="20"/>
              </w:rPr>
              <w:t>R-申报无误（银行反馈），预留，暂不用</w:t>
            </w:r>
          </w:p>
        </w:tc>
      </w:tr>
      <w:tr w:rsidR="00A052DC" w14:paraId="1362FFE0" w14:textId="77777777">
        <w:trPr>
          <w:jc w:val="center"/>
        </w:trPr>
        <w:tc>
          <w:tcPr>
            <w:tcW w:w="1560" w:type="dxa"/>
            <w:tcBorders>
              <w:top w:val="single" w:sz="4" w:space="0" w:color="auto"/>
              <w:left w:val="single" w:sz="4" w:space="0" w:color="auto"/>
              <w:bottom w:val="single" w:sz="4" w:space="0" w:color="auto"/>
              <w:right w:val="single" w:sz="4" w:space="0" w:color="auto"/>
            </w:tcBorders>
          </w:tcPr>
          <w:p w14:paraId="4B5D08C2" w14:textId="77777777" w:rsidR="00A052DC" w:rsidRDefault="009F0A60">
            <w:pPr>
              <w:pStyle w:val="B"/>
              <w:widowControl w:val="0"/>
              <w:rPr>
                <w:color w:val="000000"/>
                <w:szCs w:val="20"/>
              </w:rPr>
            </w:pPr>
            <w:r>
              <w:rPr>
                <w:szCs w:val="20"/>
              </w:rPr>
              <w:t>ACTIONDESC</w:t>
            </w:r>
          </w:p>
        </w:tc>
        <w:tc>
          <w:tcPr>
            <w:tcW w:w="1843" w:type="dxa"/>
            <w:tcBorders>
              <w:top w:val="single" w:sz="4" w:space="0" w:color="auto"/>
              <w:left w:val="single" w:sz="4" w:space="0" w:color="auto"/>
              <w:bottom w:val="single" w:sz="4" w:space="0" w:color="auto"/>
              <w:right w:val="single" w:sz="4" w:space="0" w:color="auto"/>
            </w:tcBorders>
          </w:tcPr>
          <w:p w14:paraId="4B25D6CA" w14:textId="77777777" w:rsidR="00A052DC" w:rsidRDefault="009F0A60">
            <w:pPr>
              <w:rPr>
                <w:color w:val="000000"/>
              </w:rPr>
            </w:pPr>
            <w:r>
              <w:rPr>
                <w:rFonts w:ascii="黑体" w:eastAsia="黑体" w:hAnsi="黑体" w:hint="eastAsia"/>
                <w:sz w:val="20"/>
                <w:szCs w:val="20"/>
              </w:rPr>
              <w:t>修改</w:t>
            </w:r>
            <w:r>
              <w:rPr>
                <w:rFonts w:ascii="黑体" w:eastAsia="黑体" w:hAnsi="黑体"/>
                <w:sz w:val="20"/>
                <w:szCs w:val="20"/>
              </w:rPr>
              <w:t>/删除原因</w:t>
            </w:r>
          </w:p>
        </w:tc>
        <w:tc>
          <w:tcPr>
            <w:tcW w:w="1701" w:type="dxa"/>
            <w:tcBorders>
              <w:top w:val="single" w:sz="4" w:space="0" w:color="auto"/>
              <w:left w:val="single" w:sz="4" w:space="0" w:color="auto"/>
              <w:bottom w:val="single" w:sz="4" w:space="0" w:color="auto"/>
              <w:right w:val="single" w:sz="4" w:space="0" w:color="auto"/>
            </w:tcBorders>
          </w:tcPr>
          <w:p w14:paraId="05ADD4D5" w14:textId="77777777" w:rsidR="00A052DC" w:rsidRDefault="009F0A60">
            <w:pPr>
              <w:pStyle w:val="B"/>
              <w:widowControl w:val="0"/>
              <w:rPr>
                <w:color w:val="000000"/>
                <w:szCs w:val="20"/>
              </w:rPr>
            </w:pPr>
            <w:r>
              <w:rPr>
                <w:rFonts w:hint="eastAsia"/>
                <w:szCs w:val="20"/>
              </w:rPr>
              <w:t>变长字符型，</w:t>
            </w:r>
            <w:r>
              <w:rPr>
                <w:szCs w:val="20"/>
              </w:rPr>
              <w:t>128</w:t>
            </w:r>
          </w:p>
        </w:tc>
        <w:tc>
          <w:tcPr>
            <w:tcW w:w="3543" w:type="dxa"/>
            <w:tcBorders>
              <w:top w:val="single" w:sz="4" w:space="0" w:color="auto"/>
              <w:left w:val="single" w:sz="4" w:space="0" w:color="auto"/>
              <w:bottom w:val="single" w:sz="4" w:space="0" w:color="auto"/>
              <w:right w:val="single" w:sz="4" w:space="0" w:color="auto"/>
            </w:tcBorders>
          </w:tcPr>
          <w:p w14:paraId="78CAB3DC" w14:textId="77777777" w:rsidR="00A052DC" w:rsidRDefault="00DD6AA3">
            <w:pPr>
              <w:pStyle w:val="B"/>
              <w:widowControl w:val="0"/>
              <w:rPr>
                <w:color w:val="000000"/>
                <w:szCs w:val="20"/>
              </w:rPr>
            </w:pPr>
            <w:r>
              <w:rPr>
                <w:rFonts w:hint="eastAsia"/>
                <w:color w:val="000000"/>
                <w:szCs w:val="20"/>
              </w:rPr>
              <w:t>非必填项</w:t>
            </w:r>
            <w:r w:rsidR="009F0A60">
              <w:rPr>
                <w:rFonts w:hint="eastAsia"/>
                <w:color w:val="000000"/>
                <w:szCs w:val="20"/>
              </w:rPr>
              <w:t>，若</w:t>
            </w:r>
            <w:r w:rsidR="009F0A60">
              <w:rPr>
                <w:rFonts w:hint="eastAsia"/>
                <w:szCs w:val="20"/>
              </w:rPr>
              <w:t>ACTIONTYPE=D，此项必填。</w:t>
            </w:r>
          </w:p>
        </w:tc>
      </w:tr>
      <w:tr w:rsidR="00A052DC" w14:paraId="65BFF9EF" w14:textId="77777777">
        <w:trPr>
          <w:jc w:val="center"/>
        </w:trPr>
        <w:tc>
          <w:tcPr>
            <w:tcW w:w="1560" w:type="dxa"/>
            <w:tcBorders>
              <w:top w:val="single" w:sz="4" w:space="0" w:color="auto"/>
              <w:left w:val="single" w:sz="4" w:space="0" w:color="auto"/>
              <w:bottom w:val="single" w:sz="4" w:space="0" w:color="auto"/>
              <w:right w:val="single" w:sz="4" w:space="0" w:color="auto"/>
            </w:tcBorders>
          </w:tcPr>
          <w:p w14:paraId="57FEFF14" w14:textId="77777777" w:rsidR="00A052DC" w:rsidRDefault="009F0A60">
            <w:pPr>
              <w:pStyle w:val="B"/>
              <w:widowControl w:val="0"/>
              <w:rPr>
                <w:color w:val="000000"/>
                <w:szCs w:val="20"/>
              </w:rPr>
            </w:pPr>
            <w:r>
              <w:rPr>
                <w:color w:val="000000"/>
                <w:szCs w:val="20"/>
              </w:rPr>
              <w:t>REPLYNUM</w:t>
            </w:r>
          </w:p>
        </w:tc>
        <w:tc>
          <w:tcPr>
            <w:tcW w:w="1843" w:type="dxa"/>
            <w:tcBorders>
              <w:top w:val="single" w:sz="4" w:space="0" w:color="auto"/>
              <w:left w:val="single" w:sz="4" w:space="0" w:color="auto"/>
              <w:bottom w:val="single" w:sz="4" w:space="0" w:color="auto"/>
              <w:right w:val="single" w:sz="4" w:space="0" w:color="auto"/>
            </w:tcBorders>
          </w:tcPr>
          <w:p w14:paraId="6C8C7FC6" w14:textId="77777777" w:rsidR="00A052DC" w:rsidRDefault="009F0A60">
            <w:pPr>
              <w:pStyle w:val="B"/>
              <w:widowControl w:val="0"/>
              <w:rPr>
                <w:color w:val="000000"/>
                <w:szCs w:val="20"/>
              </w:rPr>
            </w:pPr>
            <w:r>
              <w:rPr>
                <w:rFonts w:hint="eastAsia"/>
                <w:color w:val="000000"/>
                <w:szCs w:val="20"/>
              </w:rPr>
              <w:t>回复流水号</w:t>
            </w:r>
          </w:p>
        </w:tc>
        <w:tc>
          <w:tcPr>
            <w:tcW w:w="1701" w:type="dxa"/>
            <w:tcBorders>
              <w:top w:val="single" w:sz="4" w:space="0" w:color="auto"/>
              <w:left w:val="single" w:sz="4" w:space="0" w:color="auto"/>
              <w:bottom w:val="single" w:sz="4" w:space="0" w:color="auto"/>
              <w:right w:val="single" w:sz="4" w:space="0" w:color="auto"/>
            </w:tcBorders>
          </w:tcPr>
          <w:p w14:paraId="650EC324" w14:textId="77777777" w:rsidR="00A052DC" w:rsidRDefault="009F0A60">
            <w:pPr>
              <w:pStyle w:val="B"/>
              <w:widowControl w:val="0"/>
              <w:rPr>
                <w:color w:val="000000"/>
                <w:szCs w:val="20"/>
              </w:rPr>
            </w:pPr>
            <w:r>
              <w:rPr>
                <w:rFonts w:hint="eastAsia"/>
                <w:color w:val="000000"/>
                <w:szCs w:val="20"/>
              </w:rPr>
              <w:t>字符型，</w:t>
            </w:r>
            <w:r>
              <w:rPr>
                <w:color w:val="000000"/>
                <w:szCs w:val="20"/>
              </w:rPr>
              <w:t>22</w:t>
            </w:r>
          </w:p>
        </w:tc>
        <w:tc>
          <w:tcPr>
            <w:tcW w:w="3543" w:type="dxa"/>
            <w:tcBorders>
              <w:top w:val="single" w:sz="4" w:space="0" w:color="auto"/>
              <w:left w:val="single" w:sz="4" w:space="0" w:color="auto"/>
              <w:bottom w:val="single" w:sz="4" w:space="0" w:color="auto"/>
              <w:right w:val="single" w:sz="4" w:space="0" w:color="auto"/>
            </w:tcBorders>
          </w:tcPr>
          <w:p w14:paraId="026131CB" w14:textId="77777777" w:rsidR="00A052DC" w:rsidRDefault="009F0A60">
            <w:pPr>
              <w:pStyle w:val="B"/>
              <w:widowControl w:val="0"/>
              <w:rPr>
                <w:color w:val="000000"/>
                <w:szCs w:val="20"/>
              </w:rPr>
            </w:pPr>
            <w:r>
              <w:rPr>
                <w:rFonts w:hint="eastAsia"/>
                <w:color w:val="000000"/>
                <w:szCs w:val="20"/>
              </w:rPr>
              <w:t>必填项，用于唯一标识金融机构报送的账户基础信息，长度为22位，编号规则为报送机构（总行）的金融机构代码（4位）+回复时间（8位，YYYYMMDD）+回复流水号（10位）。</w:t>
            </w:r>
          </w:p>
        </w:tc>
      </w:tr>
      <w:tr w:rsidR="00A052DC" w14:paraId="3EDF83E7" w14:textId="77777777">
        <w:trPr>
          <w:jc w:val="center"/>
        </w:trPr>
        <w:tc>
          <w:tcPr>
            <w:tcW w:w="1560" w:type="dxa"/>
            <w:tcBorders>
              <w:top w:val="single" w:sz="4" w:space="0" w:color="auto"/>
              <w:left w:val="single" w:sz="4" w:space="0" w:color="auto"/>
              <w:bottom w:val="single" w:sz="4" w:space="0" w:color="auto"/>
              <w:right w:val="single" w:sz="4" w:space="0" w:color="auto"/>
            </w:tcBorders>
          </w:tcPr>
          <w:p w14:paraId="10E420B8" w14:textId="77777777" w:rsidR="00A052DC" w:rsidRDefault="009F0A60">
            <w:pPr>
              <w:pStyle w:val="B"/>
              <w:widowControl w:val="0"/>
              <w:rPr>
                <w:color w:val="000000"/>
                <w:szCs w:val="20"/>
              </w:rPr>
            </w:pPr>
            <w:r>
              <w:rPr>
                <w:color w:val="000000"/>
                <w:szCs w:val="20"/>
              </w:rPr>
              <w:t>APPLYNUM</w:t>
            </w:r>
          </w:p>
        </w:tc>
        <w:tc>
          <w:tcPr>
            <w:tcW w:w="1843" w:type="dxa"/>
            <w:tcBorders>
              <w:top w:val="single" w:sz="4" w:space="0" w:color="auto"/>
              <w:left w:val="single" w:sz="4" w:space="0" w:color="auto"/>
              <w:bottom w:val="single" w:sz="4" w:space="0" w:color="auto"/>
              <w:right w:val="single" w:sz="4" w:space="0" w:color="auto"/>
            </w:tcBorders>
          </w:tcPr>
          <w:p w14:paraId="1AC7E3A0" w14:textId="77777777" w:rsidR="00A052DC" w:rsidRDefault="009F0A60">
            <w:pPr>
              <w:pStyle w:val="B"/>
              <w:widowControl w:val="0"/>
              <w:rPr>
                <w:color w:val="000000"/>
                <w:szCs w:val="20"/>
              </w:rPr>
            </w:pPr>
            <w:r>
              <w:rPr>
                <w:rFonts w:hint="eastAsia"/>
                <w:color w:val="000000"/>
                <w:szCs w:val="20"/>
              </w:rPr>
              <w:t>查询流水号</w:t>
            </w:r>
          </w:p>
        </w:tc>
        <w:tc>
          <w:tcPr>
            <w:tcW w:w="1701" w:type="dxa"/>
            <w:tcBorders>
              <w:top w:val="single" w:sz="4" w:space="0" w:color="auto"/>
              <w:left w:val="single" w:sz="4" w:space="0" w:color="auto"/>
              <w:bottom w:val="single" w:sz="4" w:space="0" w:color="auto"/>
              <w:right w:val="single" w:sz="4" w:space="0" w:color="auto"/>
            </w:tcBorders>
          </w:tcPr>
          <w:p w14:paraId="01742E1F" w14:textId="77777777" w:rsidR="00A052DC" w:rsidRDefault="009F0A60">
            <w:pPr>
              <w:pStyle w:val="B"/>
              <w:widowControl w:val="0"/>
              <w:rPr>
                <w:color w:val="000000"/>
                <w:szCs w:val="20"/>
              </w:rPr>
            </w:pPr>
            <w:r>
              <w:rPr>
                <w:rFonts w:hint="eastAsia"/>
                <w:color w:val="000000"/>
                <w:szCs w:val="20"/>
              </w:rPr>
              <w:t>字符型，</w:t>
            </w:r>
            <w:r>
              <w:rPr>
                <w:color w:val="000000"/>
                <w:szCs w:val="20"/>
              </w:rPr>
              <w:t>22</w:t>
            </w:r>
          </w:p>
        </w:tc>
        <w:tc>
          <w:tcPr>
            <w:tcW w:w="3543" w:type="dxa"/>
            <w:tcBorders>
              <w:top w:val="single" w:sz="4" w:space="0" w:color="auto"/>
              <w:left w:val="single" w:sz="4" w:space="0" w:color="auto"/>
              <w:bottom w:val="single" w:sz="4" w:space="0" w:color="auto"/>
              <w:right w:val="single" w:sz="4" w:space="0" w:color="auto"/>
            </w:tcBorders>
          </w:tcPr>
          <w:p w14:paraId="611A0931" w14:textId="77777777" w:rsidR="00A052DC" w:rsidRDefault="009F0A60">
            <w:pPr>
              <w:pStyle w:val="B"/>
              <w:widowControl w:val="0"/>
              <w:rPr>
                <w:color w:val="000000"/>
                <w:szCs w:val="20"/>
              </w:rPr>
            </w:pPr>
            <w:r>
              <w:rPr>
                <w:rFonts w:hint="eastAsia"/>
                <w:color w:val="000000"/>
                <w:szCs w:val="20"/>
              </w:rPr>
              <w:t>必填</w:t>
            </w:r>
            <w:r w:rsidR="00F82B9D">
              <w:rPr>
                <w:rFonts w:hint="eastAsia"/>
                <w:color w:val="000000"/>
                <w:szCs w:val="20"/>
              </w:rPr>
              <w:t>项</w:t>
            </w:r>
            <w:r>
              <w:rPr>
                <w:rFonts w:hint="eastAsia"/>
                <w:color w:val="000000"/>
                <w:szCs w:val="20"/>
              </w:rPr>
              <w:t>，外汇局下发查询信息的查询流水号</w:t>
            </w:r>
            <w:r w:rsidR="005D2C5E">
              <w:rPr>
                <w:rFonts w:hint="eastAsia"/>
                <w:color w:val="000000"/>
                <w:szCs w:val="20"/>
              </w:rPr>
              <w:t>。</w:t>
            </w:r>
          </w:p>
        </w:tc>
      </w:tr>
      <w:tr w:rsidR="00A052DC" w14:paraId="79AA34BA" w14:textId="77777777">
        <w:trPr>
          <w:jc w:val="center"/>
        </w:trPr>
        <w:tc>
          <w:tcPr>
            <w:tcW w:w="1560" w:type="dxa"/>
            <w:tcBorders>
              <w:top w:val="single" w:sz="4" w:space="0" w:color="auto"/>
              <w:left w:val="single" w:sz="4" w:space="0" w:color="auto"/>
              <w:bottom w:val="single" w:sz="4" w:space="0" w:color="auto"/>
              <w:right w:val="single" w:sz="4" w:space="0" w:color="auto"/>
            </w:tcBorders>
          </w:tcPr>
          <w:p w14:paraId="1FD417D3" w14:textId="77777777" w:rsidR="00A052DC" w:rsidRDefault="009F0A60">
            <w:pPr>
              <w:pStyle w:val="B"/>
              <w:widowControl w:val="0"/>
              <w:rPr>
                <w:color w:val="000000"/>
                <w:szCs w:val="20"/>
              </w:rPr>
            </w:pPr>
            <w:r>
              <w:rPr>
                <w:rFonts w:hint="eastAsia"/>
              </w:rPr>
              <w:t>BUSCODE</w:t>
            </w:r>
          </w:p>
        </w:tc>
        <w:tc>
          <w:tcPr>
            <w:tcW w:w="1843" w:type="dxa"/>
            <w:tcBorders>
              <w:top w:val="single" w:sz="4" w:space="0" w:color="auto"/>
              <w:left w:val="single" w:sz="4" w:space="0" w:color="auto"/>
              <w:bottom w:val="single" w:sz="4" w:space="0" w:color="auto"/>
              <w:right w:val="single" w:sz="4" w:space="0" w:color="auto"/>
            </w:tcBorders>
          </w:tcPr>
          <w:p w14:paraId="26A2CA80" w14:textId="77777777" w:rsidR="00A052DC" w:rsidRDefault="009F0A60">
            <w:pPr>
              <w:pStyle w:val="B"/>
              <w:widowControl w:val="0"/>
              <w:rPr>
                <w:color w:val="000000"/>
                <w:szCs w:val="20"/>
              </w:rPr>
            </w:pPr>
            <w:r>
              <w:rPr>
                <w:rFonts w:hint="eastAsia"/>
              </w:rPr>
              <w:t>银行业务参号</w:t>
            </w:r>
          </w:p>
        </w:tc>
        <w:tc>
          <w:tcPr>
            <w:tcW w:w="1701" w:type="dxa"/>
            <w:tcBorders>
              <w:top w:val="single" w:sz="4" w:space="0" w:color="auto"/>
              <w:left w:val="single" w:sz="4" w:space="0" w:color="auto"/>
              <w:bottom w:val="single" w:sz="4" w:space="0" w:color="auto"/>
              <w:right w:val="single" w:sz="4" w:space="0" w:color="auto"/>
            </w:tcBorders>
          </w:tcPr>
          <w:p w14:paraId="4E3F69F7" w14:textId="77777777" w:rsidR="00A052DC" w:rsidRDefault="009F0A60">
            <w:pPr>
              <w:pStyle w:val="B"/>
              <w:widowControl w:val="0"/>
              <w:rPr>
                <w:color w:val="000000"/>
                <w:szCs w:val="20"/>
              </w:rPr>
            </w:pPr>
            <w:r>
              <w:rPr>
                <w:rFonts w:hint="eastAsia"/>
              </w:rPr>
              <w:t>字符型，32</w:t>
            </w:r>
          </w:p>
        </w:tc>
        <w:tc>
          <w:tcPr>
            <w:tcW w:w="3543" w:type="dxa"/>
            <w:tcBorders>
              <w:top w:val="single" w:sz="4" w:space="0" w:color="auto"/>
              <w:left w:val="single" w:sz="4" w:space="0" w:color="auto"/>
              <w:bottom w:val="single" w:sz="4" w:space="0" w:color="auto"/>
              <w:right w:val="single" w:sz="4" w:space="0" w:color="auto"/>
            </w:tcBorders>
          </w:tcPr>
          <w:p w14:paraId="71D0FDEC" w14:textId="77777777" w:rsidR="00A052DC" w:rsidRDefault="009F0A60">
            <w:pPr>
              <w:pStyle w:val="B"/>
              <w:widowControl w:val="0"/>
              <w:rPr>
                <w:color w:val="000000"/>
                <w:szCs w:val="20"/>
              </w:rPr>
            </w:pPr>
            <w:r>
              <w:rPr>
                <w:rFonts w:hint="eastAsia"/>
              </w:rPr>
              <w:t>必填</w:t>
            </w:r>
            <w:r>
              <w:rPr>
                <w:rFonts w:hint="eastAsia"/>
                <w:color w:val="000000"/>
                <w:szCs w:val="20"/>
              </w:rPr>
              <w:t>项</w:t>
            </w:r>
            <w:r>
              <w:rPr>
                <w:rFonts w:hint="eastAsia"/>
              </w:rPr>
              <w:t>。</w:t>
            </w:r>
          </w:p>
        </w:tc>
      </w:tr>
      <w:tr w:rsidR="00A052DC" w14:paraId="7D72C621" w14:textId="77777777">
        <w:trPr>
          <w:jc w:val="center"/>
        </w:trPr>
        <w:tc>
          <w:tcPr>
            <w:tcW w:w="1560" w:type="dxa"/>
            <w:tcBorders>
              <w:top w:val="single" w:sz="4" w:space="0" w:color="auto"/>
              <w:left w:val="single" w:sz="4" w:space="0" w:color="auto"/>
              <w:bottom w:val="single" w:sz="4" w:space="0" w:color="auto"/>
              <w:right w:val="single" w:sz="4" w:space="0" w:color="auto"/>
            </w:tcBorders>
          </w:tcPr>
          <w:p w14:paraId="11B5B64A" w14:textId="77777777" w:rsidR="00A052DC" w:rsidRDefault="009F0A60">
            <w:pPr>
              <w:pStyle w:val="B"/>
              <w:widowControl w:val="0"/>
              <w:rPr>
                <w:color w:val="000000"/>
                <w:szCs w:val="20"/>
              </w:rPr>
            </w:pPr>
            <w:r>
              <w:rPr>
                <w:color w:val="000000"/>
                <w:szCs w:val="20"/>
              </w:rPr>
              <w:t>ENNAME</w:t>
            </w:r>
          </w:p>
        </w:tc>
        <w:tc>
          <w:tcPr>
            <w:tcW w:w="1843" w:type="dxa"/>
            <w:tcBorders>
              <w:top w:val="single" w:sz="4" w:space="0" w:color="auto"/>
              <w:left w:val="single" w:sz="4" w:space="0" w:color="auto"/>
              <w:bottom w:val="single" w:sz="4" w:space="0" w:color="auto"/>
              <w:right w:val="single" w:sz="4" w:space="0" w:color="auto"/>
            </w:tcBorders>
          </w:tcPr>
          <w:p w14:paraId="031EEBF6" w14:textId="77777777" w:rsidR="00A052DC" w:rsidRDefault="009F0A60">
            <w:pPr>
              <w:pStyle w:val="B"/>
              <w:widowControl w:val="0"/>
              <w:rPr>
                <w:color w:val="000000"/>
                <w:szCs w:val="20"/>
              </w:rPr>
            </w:pPr>
            <w:r>
              <w:rPr>
                <w:rFonts w:hint="eastAsia"/>
                <w:color w:val="000000"/>
                <w:szCs w:val="20"/>
              </w:rPr>
              <w:t>开户主体名称</w:t>
            </w:r>
          </w:p>
        </w:tc>
        <w:tc>
          <w:tcPr>
            <w:tcW w:w="1701" w:type="dxa"/>
            <w:tcBorders>
              <w:top w:val="single" w:sz="4" w:space="0" w:color="auto"/>
              <w:left w:val="single" w:sz="4" w:space="0" w:color="auto"/>
              <w:bottom w:val="single" w:sz="4" w:space="0" w:color="auto"/>
              <w:right w:val="single" w:sz="4" w:space="0" w:color="auto"/>
            </w:tcBorders>
          </w:tcPr>
          <w:p w14:paraId="544EDCE3" w14:textId="77777777" w:rsidR="00A052DC" w:rsidRDefault="009F0A60">
            <w:pPr>
              <w:pStyle w:val="B"/>
              <w:widowControl w:val="0"/>
              <w:rPr>
                <w:color w:val="000000"/>
                <w:szCs w:val="20"/>
              </w:rPr>
            </w:pPr>
            <w:r>
              <w:rPr>
                <w:rFonts w:hint="eastAsia"/>
                <w:color w:val="000000"/>
                <w:szCs w:val="20"/>
              </w:rPr>
              <w:t>变长字符型，</w:t>
            </w:r>
            <w:r>
              <w:rPr>
                <w:color w:val="000000"/>
                <w:szCs w:val="20"/>
              </w:rPr>
              <w:t>128</w:t>
            </w:r>
          </w:p>
        </w:tc>
        <w:tc>
          <w:tcPr>
            <w:tcW w:w="3543" w:type="dxa"/>
            <w:tcBorders>
              <w:top w:val="single" w:sz="4" w:space="0" w:color="auto"/>
              <w:left w:val="single" w:sz="4" w:space="0" w:color="auto"/>
              <w:bottom w:val="single" w:sz="4" w:space="0" w:color="auto"/>
              <w:right w:val="single" w:sz="4" w:space="0" w:color="auto"/>
            </w:tcBorders>
          </w:tcPr>
          <w:p w14:paraId="707CC3DC" w14:textId="77777777" w:rsidR="00A052DC" w:rsidRDefault="009F0A60">
            <w:pPr>
              <w:pStyle w:val="B"/>
              <w:widowControl w:val="0"/>
              <w:rPr>
                <w:color w:val="000000"/>
                <w:szCs w:val="20"/>
              </w:rPr>
            </w:pPr>
            <w:r>
              <w:rPr>
                <w:rFonts w:hint="eastAsia"/>
                <w:color w:val="000000"/>
                <w:szCs w:val="20"/>
              </w:rPr>
              <w:t>必填项。</w:t>
            </w:r>
          </w:p>
        </w:tc>
      </w:tr>
      <w:tr w:rsidR="00A052DC" w14:paraId="5667FF51" w14:textId="77777777">
        <w:trPr>
          <w:jc w:val="center"/>
        </w:trPr>
        <w:tc>
          <w:tcPr>
            <w:tcW w:w="1560" w:type="dxa"/>
            <w:tcBorders>
              <w:top w:val="single" w:sz="4" w:space="0" w:color="auto"/>
              <w:left w:val="single" w:sz="4" w:space="0" w:color="auto"/>
              <w:bottom w:val="single" w:sz="4" w:space="0" w:color="auto"/>
              <w:right w:val="single" w:sz="4" w:space="0" w:color="auto"/>
            </w:tcBorders>
          </w:tcPr>
          <w:p w14:paraId="3727DFE4" w14:textId="77777777" w:rsidR="00A052DC" w:rsidRDefault="009F0A60">
            <w:pPr>
              <w:pStyle w:val="B"/>
              <w:widowControl w:val="0"/>
              <w:rPr>
                <w:color w:val="000000"/>
                <w:szCs w:val="20"/>
              </w:rPr>
            </w:pPr>
            <w:r>
              <w:rPr>
                <w:color w:val="000000"/>
                <w:szCs w:val="20"/>
              </w:rPr>
              <w:t>AMTYPE</w:t>
            </w:r>
          </w:p>
        </w:tc>
        <w:tc>
          <w:tcPr>
            <w:tcW w:w="1843" w:type="dxa"/>
            <w:tcBorders>
              <w:top w:val="single" w:sz="4" w:space="0" w:color="auto"/>
              <w:left w:val="single" w:sz="4" w:space="0" w:color="auto"/>
              <w:bottom w:val="single" w:sz="4" w:space="0" w:color="auto"/>
              <w:right w:val="single" w:sz="4" w:space="0" w:color="auto"/>
            </w:tcBorders>
          </w:tcPr>
          <w:p w14:paraId="0FC50A11" w14:textId="77777777" w:rsidR="00A052DC" w:rsidRDefault="009F0A60">
            <w:pPr>
              <w:pStyle w:val="B"/>
              <w:widowControl w:val="0"/>
              <w:rPr>
                <w:color w:val="000000"/>
                <w:szCs w:val="20"/>
              </w:rPr>
            </w:pPr>
            <w:r>
              <w:rPr>
                <w:rFonts w:hint="eastAsia"/>
                <w:color w:val="000000"/>
                <w:szCs w:val="20"/>
              </w:rPr>
              <w:t>开户主体类型</w:t>
            </w:r>
          </w:p>
        </w:tc>
        <w:tc>
          <w:tcPr>
            <w:tcW w:w="1701" w:type="dxa"/>
            <w:tcBorders>
              <w:top w:val="single" w:sz="4" w:space="0" w:color="auto"/>
              <w:left w:val="single" w:sz="4" w:space="0" w:color="auto"/>
              <w:bottom w:val="single" w:sz="4" w:space="0" w:color="auto"/>
              <w:right w:val="single" w:sz="4" w:space="0" w:color="auto"/>
            </w:tcBorders>
          </w:tcPr>
          <w:p w14:paraId="151FF8A8" w14:textId="77777777" w:rsidR="00A052DC" w:rsidRDefault="009F0A60">
            <w:pPr>
              <w:pStyle w:val="B"/>
              <w:widowControl w:val="0"/>
              <w:rPr>
                <w:color w:val="000000"/>
                <w:szCs w:val="20"/>
              </w:rPr>
            </w:pPr>
            <w:r>
              <w:rPr>
                <w:rFonts w:hint="eastAsia"/>
                <w:color w:val="000000"/>
                <w:szCs w:val="20"/>
              </w:rPr>
              <w:t>字符型，</w:t>
            </w:r>
            <w:r>
              <w:rPr>
                <w:color w:val="000000"/>
                <w:szCs w:val="20"/>
              </w:rPr>
              <w:t xml:space="preserve">1 </w:t>
            </w:r>
          </w:p>
        </w:tc>
        <w:tc>
          <w:tcPr>
            <w:tcW w:w="3543" w:type="dxa"/>
            <w:tcBorders>
              <w:top w:val="single" w:sz="4" w:space="0" w:color="auto"/>
              <w:left w:val="single" w:sz="4" w:space="0" w:color="auto"/>
              <w:bottom w:val="single" w:sz="4" w:space="0" w:color="auto"/>
              <w:right w:val="single" w:sz="4" w:space="0" w:color="auto"/>
            </w:tcBorders>
          </w:tcPr>
          <w:p w14:paraId="06930DA4" w14:textId="77777777" w:rsidR="00A052DC" w:rsidRDefault="009F0A60">
            <w:pPr>
              <w:rPr>
                <w:rFonts w:ascii="黑体" w:eastAsia="黑体" w:hAnsi="黑体"/>
                <w:color w:val="000000"/>
                <w:sz w:val="20"/>
                <w:szCs w:val="20"/>
              </w:rPr>
            </w:pPr>
            <w:r>
              <w:rPr>
                <w:rFonts w:ascii="黑体" w:eastAsia="黑体" w:hAnsi="黑体" w:hint="eastAsia"/>
                <w:color w:val="000000"/>
                <w:sz w:val="20"/>
                <w:szCs w:val="20"/>
              </w:rPr>
              <w:t>必填项，</w:t>
            </w:r>
            <w:r>
              <w:rPr>
                <w:rFonts w:ascii="黑体" w:eastAsia="黑体" w:hAnsi="黑体"/>
                <w:color w:val="000000"/>
                <w:sz w:val="20"/>
                <w:szCs w:val="20"/>
              </w:rPr>
              <w:t>2选1：</w:t>
            </w:r>
          </w:p>
          <w:p w14:paraId="527F006D" w14:textId="77777777" w:rsidR="00A052DC" w:rsidRDefault="009F0A60">
            <w:pPr>
              <w:rPr>
                <w:rFonts w:ascii="黑体" w:eastAsia="黑体" w:hAnsi="黑体"/>
                <w:color w:val="000000"/>
                <w:sz w:val="20"/>
                <w:szCs w:val="20"/>
              </w:rPr>
            </w:pPr>
            <w:r>
              <w:rPr>
                <w:rFonts w:ascii="黑体" w:eastAsia="黑体" w:hAnsi="黑体"/>
                <w:color w:val="000000"/>
                <w:sz w:val="20"/>
                <w:szCs w:val="20"/>
              </w:rPr>
              <w:t>P-个人；</w:t>
            </w:r>
          </w:p>
          <w:p w14:paraId="6D404A1C" w14:textId="77777777" w:rsidR="00A052DC" w:rsidRDefault="009F0A60">
            <w:pPr>
              <w:pStyle w:val="B"/>
              <w:widowControl w:val="0"/>
              <w:rPr>
                <w:color w:val="000000"/>
                <w:szCs w:val="20"/>
              </w:rPr>
            </w:pPr>
            <w:r>
              <w:rPr>
                <w:rFonts w:hint="eastAsia"/>
                <w:color w:val="000000"/>
                <w:szCs w:val="20"/>
              </w:rPr>
              <w:t>C-机构。</w:t>
            </w:r>
          </w:p>
        </w:tc>
      </w:tr>
      <w:tr w:rsidR="00A052DC" w14:paraId="4DB2EE2B" w14:textId="77777777">
        <w:trPr>
          <w:jc w:val="center"/>
        </w:trPr>
        <w:tc>
          <w:tcPr>
            <w:tcW w:w="1560" w:type="dxa"/>
            <w:tcBorders>
              <w:top w:val="single" w:sz="4" w:space="0" w:color="auto"/>
              <w:left w:val="single" w:sz="4" w:space="0" w:color="auto"/>
              <w:bottom w:val="single" w:sz="4" w:space="0" w:color="auto"/>
              <w:right w:val="single" w:sz="4" w:space="0" w:color="auto"/>
            </w:tcBorders>
          </w:tcPr>
          <w:p w14:paraId="6EBABD09" w14:textId="77777777" w:rsidR="00A052DC" w:rsidRDefault="009F0A60">
            <w:pPr>
              <w:pStyle w:val="B"/>
              <w:widowControl w:val="0"/>
              <w:rPr>
                <w:color w:val="000000"/>
                <w:szCs w:val="20"/>
              </w:rPr>
            </w:pPr>
            <w:r>
              <w:rPr>
                <w:color w:val="000000"/>
                <w:szCs w:val="20"/>
              </w:rPr>
              <w:t>CERTNAME</w:t>
            </w:r>
          </w:p>
        </w:tc>
        <w:tc>
          <w:tcPr>
            <w:tcW w:w="1843" w:type="dxa"/>
            <w:tcBorders>
              <w:top w:val="single" w:sz="4" w:space="0" w:color="auto"/>
              <w:left w:val="single" w:sz="4" w:space="0" w:color="auto"/>
              <w:bottom w:val="single" w:sz="4" w:space="0" w:color="auto"/>
              <w:right w:val="single" w:sz="4" w:space="0" w:color="auto"/>
            </w:tcBorders>
          </w:tcPr>
          <w:p w14:paraId="0CF2F0B8" w14:textId="77777777" w:rsidR="00A052DC" w:rsidRDefault="009F0A60">
            <w:pPr>
              <w:pStyle w:val="B"/>
              <w:widowControl w:val="0"/>
              <w:rPr>
                <w:color w:val="000000"/>
                <w:szCs w:val="20"/>
              </w:rPr>
            </w:pPr>
            <w:r>
              <w:rPr>
                <w:rFonts w:hint="eastAsia"/>
                <w:color w:val="000000"/>
                <w:szCs w:val="20"/>
              </w:rPr>
              <w:t>证件类型</w:t>
            </w:r>
          </w:p>
        </w:tc>
        <w:tc>
          <w:tcPr>
            <w:tcW w:w="1701" w:type="dxa"/>
            <w:tcBorders>
              <w:top w:val="single" w:sz="4" w:space="0" w:color="auto"/>
              <w:left w:val="single" w:sz="4" w:space="0" w:color="auto"/>
              <w:bottom w:val="single" w:sz="4" w:space="0" w:color="auto"/>
              <w:right w:val="single" w:sz="4" w:space="0" w:color="auto"/>
            </w:tcBorders>
          </w:tcPr>
          <w:p w14:paraId="5F096C6D" w14:textId="77777777" w:rsidR="00A052DC" w:rsidRDefault="009F0A60">
            <w:pPr>
              <w:pStyle w:val="B"/>
              <w:widowControl w:val="0"/>
              <w:rPr>
                <w:color w:val="000000"/>
                <w:szCs w:val="20"/>
              </w:rPr>
            </w:pPr>
            <w:r>
              <w:rPr>
                <w:rFonts w:hint="eastAsia"/>
                <w:color w:val="000000"/>
                <w:szCs w:val="20"/>
              </w:rPr>
              <w:t>字符型，2</w:t>
            </w:r>
          </w:p>
        </w:tc>
        <w:tc>
          <w:tcPr>
            <w:tcW w:w="3543" w:type="dxa"/>
            <w:tcBorders>
              <w:top w:val="single" w:sz="4" w:space="0" w:color="auto"/>
              <w:left w:val="single" w:sz="4" w:space="0" w:color="auto"/>
              <w:bottom w:val="single" w:sz="4" w:space="0" w:color="auto"/>
              <w:right w:val="single" w:sz="4" w:space="0" w:color="auto"/>
            </w:tcBorders>
          </w:tcPr>
          <w:p w14:paraId="07918A89" w14:textId="77777777" w:rsidR="00881462" w:rsidRDefault="009F0A60">
            <w:pPr>
              <w:pStyle w:val="B"/>
            </w:pPr>
            <w:r>
              <w:rPr>
                <w:rFonts w:hint="eastAsia"/>
              </w:rPr>
              <w:t>必填项。</w:t>
            </w:r>
          </w:p>
          <w:p w14:paraId="757C63B0" w14:textId="77777777" w:rsidR="00881462" w:rsidRDefault="009F0A60">
            <w:pPr>
              <w:pStyle w:val="B"/>
            </w:pPr>
            <w:r>
              <w:rPr>
                <w:rFonts w:hint="eastAsia"/>
              </w:rPr>
              <w:t>若</w:t>
            </w:r>
            <w:r>
              <w:t>AMTYPE=P，则</w:t>
            </w:r>
            <w:r>
              <w:rPr>
                <w:rFonts w:hint="eastAsia"/>
              </w:rPr>
              <w:t>11</w:t>
            </w:r>
            <w:r>
              <w:t>选1：</w:t>
            </w:r>
          </w:p>
          <w:p w14:paraId="40094070" w14:textId="77777777" w:rsidR="00881462" w:rsidRDefault="009F0A60">
            <w:pPr>
              <w:pStyle w:val="B"/>
            </w:pPr>
            <w:r>
              <w:t>01</w:t>
            </w:r>
            <w:r w:rsidR="00C16D18">
              <w:rPr>
                <w:rFonts w:hint="eastAsia"/>
              </w:rPr>
              <w:t>-</w:t>
            </w:r>
            <w:r>
              <w:rPr>
                <w:rFonts w:hint="eastAsia"/>
              </w:rPr>
              <w:t>居民身份证；</w:t>
            </w:r>
          </w:p>
          <w:p w14:paraId="3DF9D8F0" w14:textId="77777777" w:rsidR="00881462" w:rsidRDefault="009F0A60">
            <w:pPr>
              <w:pStyle w:val="B"/>
            </w:pPr>
            <w:r>
              <w:t>02</w:t>
            </w:r>
            <w:r w:rsidR="00C16D18">
              <w:rPr>
                <w:rFonts w:hint="eastAsia"/>
              </w:rPr>
              <w:t>-</w:t>
            </w:r>
            <w:r>
              <w:rPr>
                <w:rFonts w:hint="eastAsia"/>
              </w:rPr>
              <w:t>军人身份证件；</w:t>
            </w:r>
          </w:p>
          <w:p w14:paraId="35043745" w14:textId="77777777" w:rsidR="00881462" w:rsidRDefault="009F0A60">
            <w:pPr>
              <w:pStyle w:val="B"/>
            </w:pPr>
            <w:r>
              <w:t>03</w:t>
            </w:r>
            <w:r w:rsidR="00C16D18">
              <w:rPr>
                <w:rFonts w:hint="eastAsia"/>
              </w:rPr>
              <w:t>-</w:t>
            </w:r>
            <w:r>
              <w:rPr>
                <w:rFonts w:hint="eastAsia"/>
              </w:rPr>
              <w:t>武装警察身份证件；</w:t>
            </w:r>
          </w:p>
          <w:p w14:paraId="7DC921DD" w14:textId="77777777" w:rsidR="00881462" w:rsidRDefault="009F0A60">
            <w:pPr>
              <w:pStyle w:val="B"/>
            </w:pPr>
            <w:r>
              <w:t>04</w:t>
            </w:r>
            <w:r w:rsidR="00C16D18">
              <w:rPr>
                <w:rFonts w:hint="eastAsia"/>
              </w:rPr>
              <w:t>-</w:t>
            </w:r>
            <w:r>
              <w:rPr>
                <w:rFonts w:hint="eastAsia"/>
              </w:rPr>
              <w:t>护照；</w:t>
            </w:r>
          </w:p>
          <w:p w14:paraId="28250649" w14:textId="77777777" w:rsidR="00881462" w:rsidRDefault="009F0A60">
            <w:pPr>
              <w:pStyle w:val="B"/>
            </w:pPr>
            <w:r>
              <w:t>05</w:t>
            </w:r>
            <w:r w:rsidR="00C16D18">
              <w:rPr>
                <w:rFonts w:hint="eastAsia"/>
              </w:rPr>
              <w:t>-</w:t>
            </w:r>
            <w:r>
              <w:rPr>
                <w:rFonts w:hint="eastAsia"/>
              </w:rPr>
              <w:t>外国人永久居留身份证；</w:t>
            </w:r>
          </w:p>
          <w:p w14:paraId="2F6EE0AF" w14:textId="77777777" w:rsidR="00881462" w:rsidRDefault="009F0A60">
            <w:pPr>
              <w:pStyle w:val="B"/>
            </w:pPr>
            <w:r>
              <w:t>06</w:t>
            </w:r>
            <w:r w:rsidR="00C16D18">
              <w:rPr>
                <w:rFonts w:hint="eastAsia"/>
              </w:rPr>
              <w:t>-</w:t>
            </w:r>
            <w:r>
              <w:rPr>
                <w:rFonts w:hint="eastAsia"/>
              </w:rPr>
              <w:t>港澳居民来往内地通行证；</w:t>
            </w:r>
          </w:p>
          <w:p w14:paraId="4BAE5BF6" w14:textId="77777777" w:rsidR="00881462" w:rsidRDefault="009F0A60">
            <w:pPr>
              <w:pStyle w:val="B"/>
            </w:pPr>
            <w:r>
              <w:t>07</w:t>
            </w:r>
            <w:r w:rsidR="00C16D18">
              <w:rPr>
                <w:rFonts w:hint="eastAsia"/>
              </w:rPr>
              <w:t>-</w:t>
            </w:r>
            <w:r>
              <w:rPr>
                <w:rFonts w:hint="eastAsia"/>
              </w:rPr>
              <w:t>台湾居民来往大陆通行证；</w:t>
            </w:r>
          </w:p>
          <w:p w14:paraId="7B0AC3A8" w14:textId="77777777" w:rsidR="00881462" w:rsidRDefault="009F0A60">
            <w:pPr>
              <w:pStyle w:val="B"/>
            </w:pPr>
            <w:r>
              <w:t>09</w:t>
            </w:r>
            <w:r w:rsidR="00C16D18">
              <w:rPr>
                <w:rFonts w:hint="eastAsia"/>
              </w:rPr>
              <w:t>-</w:t>
            </w:r>
            <w:r>
              <w:rPr>
                <w:rFonts w:hint="eastAsia"/>
              </w:rPr>
              <w:t>中国护照；</w:t>
            </w:r>
          </w:p>
          <w:p w14:paraId="6700F552" w14:textId="77777777" w:rsidR="00881462" w:rsidRDefault="009F0A60">
            <w:pPr>
              <w:pStyle w:val="B"/>
            </w:pPr>
            <w:r>
              <w:t>10</w:t>
            </w:r>
            <w:r w:rsidR="00C16D18">
              <w:rPr>
                <w:rFonts w:hint="eastAsia"/>
              </w:rPr>
              <w:t>-</w:t>
            </w:r>
            <w:r>
              <w:rPr>
                <w:rFonts w:hint="eastAsia"/>
              </w:rPr>
              <w:t>外交官证；</w:t>
            </w:r>
          </w:p>
          <w:p w14:paraId="2AD03D35" w14:textId="77777777" w:rsidR="00881462" w:rsidRDefault="009F0A60">
            <w:pPr>
              <w:pStyle w:val="B"/>
            </w:pPr>
            <w:r>
              <w:t>11</w:t>
            </w:r>
            <w:r w:rsidR="00C16D18">
              <w:rPr>
                <w:rFonts w:hint="eastAsia"/>
              </w:rPr>
              <w:t>-</w:t>
            </w:r>
            <w:r>
              <w:rPr>
                <w:rFonts w:hint="eastAsia"/>
              </w:rPr>
              <w:t>其他。</w:t>
            </w:r>
          </w:p>
          <w:p w14:paraId="11C8DBBF" w14:textId="77777777" w:rsidR="00881462" w:rsidRDefault="009F0A60">
            <w:pPr>
              <w:pStyle w:val="B"/>
            </w:pPr>
            <w:r>
              <w:rPr>
                <w:rFonts w:hint="eastAsia"/>
              </w:rPr>
              <w:t>若</w:t>
            </w:r>
            <w:r>
              <w:t>AMTYPE=C，则</w:t>
            </w:r>
            <w:r>
              <w:rPr>
                <w:rFonts w:hint="eastAsia"/>
              </w:rPr>
              <w:t>2</w:t>
            </w:r>
            <w:r>
              <w:t>选1：</w:t>
            </w:r>
          </w:p>
          <w:p w14:paraId="61A2D86B" w14:textId="77777777" w:rsidR="00881462" w:rsidRDefault="009F0A60">
            <w:pPr>
              <w:pStyle w:val="B"/>
            </w:pPr>
            <w:r>
              <w:rPr>
                <w:rFonts w:hint="eastAsia"/>
              </w:rPr>
              <w:t>0</w:t>
            </w:r>
            <w:r>
              <w:t>1-统一社会信用代码；</w:t>
            </w:r>
          </w:p>
          <w:p w14:paraId="3F557D41" w14:textId="77777777" w:rsidR="00881462" w:rsidRDefault="009F0A60">
            <w:pPr>
              <w:pStyle w:val="B"/>
            </w:pPr>
            <w:r>
              <w:rPr>
                <w:rFonts w:hint="eastAsia"/>
              </w:rPr>
              <w:t>0</w:t>
            </w:r>
            <w:r>
              <w:t>2-特殊机构代码</w:t>
            </w:r>
            <w:r>
              <w:rPr>
                <w:rFonts w:hint="eastAsia"/>
              </w:rPr>
              <w:t>。</w:t>
            </w:r>
          </w:p>
        </w:tc>
      </w:tr>
      <w:tr w:rsidR="00A052DC" w14:paraId="01C8CB3A" w14:textId="77777777">
        <w:trPr>
          <w:jc w:val="center"/>
        </w:trPr>
        <w:tc>
          <w:tcPr>
            <w:tcW w:w="1560" w:type="dxa"/>
            <w:tcBorders>
              <w:top w:val="single" w:sz="4" w:space="0" w:color="auto"/>
              <w:left w:val="single" w:sz="4" w:space="0" w:color="auto"/>
              <w:bottom w:val="single" w:sz="4" w:space="0" w:color="auto"/>
              <w:right w:val="single" w:sz="4" w:space="0" w:color="auto"/>
            </w:tcBorders>
          </w:tcPr>
          <w:p w14:paraId="6467D35E" w14:textId="77777777" w:rsidR="00A052DC" w:rsidRDefault="009F0A60">
            <w:pPr>
              <w:pStyle w:val="B"/>
              <w:widowControl w:val="0"/>
              <w:rPr>
                <w:color w:val="000000"/>
                <w:szCs w:val="20"/>
              </w:rPr>
            </w:pPr>
            <w:r>
              <w:rPr>
                <w:color w:val="000000"/>
                <w:szCs w:val="20"/>
              </w:rPr>
              <w:t>ENCODE</w:t>
            </w:r>
          </w:p>
        </w:tc>
        <w:tc>
          <w:tcPr>
            <w:tcW w:w="1843" w:type="dxa"/>
            <w:tcBorders>
              <w:top w:val="single" w:sz="4" w:space="0" w:color="auto"/>
              <w:left w:val="single" w:sz="4" w:space="0" w:color="auto"/>
              <w:bottom w:val="single" w:sz="4" w:space="0" w:color="auto"/>
              <w:right w:val="single" w:sz="4" w:space="0" w:color="auto"/>
            </w:tcBorders>
          </w:tcPr>
          <w:p w14:paraId="7E249EA0" w14:textId="77777777" w:rsidR="00A052DC" w:rsidRDefault="009F0A60">
            <w:pPr>
              <w:pStyle w:val="B"/>
              <w:widowControl w:val="0"/>
              <w:rPr>
                <w:color w:val="000000"/>
                <w:szCs w:val="20"/>
              </w:rPr>
            </w:pPr>
            <w:r>
              <w:rPr>
                <w:rFonts w:hint="eastAsia"/>
                <w:color w:val="000000"/>
                <w:szCs w:val="20"/>
              </w:rPr>
              <w:t>证件号码</w:t>
            </w:r>
          </w:p>
        </w:tc>
        <w:tc>
          <w:tcPr>
            <w:tcW w:w="1701" w:type="dxa"/>
            <w:tcBorders>
              <w:top w:val="single" w:sz="4" w:space="0" w:color="auto"/>
              <w:left w:val="single" w:sz="4" w:space="0" w:color="auto"/>
              <w:bottom w:val="single" w:sz="4" w:space="0" w:color="auto"/>
              <w:right w:val="single" w:sz="4" w:space="0" w:color="auto"/>
            </w:tcBorders>
          </w:tcPr>
          <w:p w14:paraId="5DE66C64" w14:textId="77777777" w:rsidR="00A052DC" w:rsidRDefault="009F0A60">
            <w:pPr>
              <w:pStyle w:val="B"/>
              <w:widowControl w:val="0"/>
              <w:rPr>
                <w:color w:val="000000"/>
                <w:szCs w:val="20"/>
              </w:rPr>
            </w:pPr>
            <w:r>
              <w:rPr>
                <w:rFonts w:hint="eastAsia"/>
                <w:color w:val="000000"/>
                <w:szCs w:val="20"/>
              </w:rPr>
              <w:t>变长字符型，</w:t>
            </w:r>
            <w:r>
              <w:rPr>
                <w:color w:val="000000"/>
                <w:szCs w:val="20"/>
              </w:rPr>
              <w:t>32</w:t>
            </w:r>
          </w:p>
        </w:tc>
        <w:tc>
          <w:tcPr>
            <w:tcW w:w="3543" w:type="dxa"/>
            <w:tcBorders>
              <w:top w:val="single" w:sz="4" w:space="0" w:color="auto"/>
              <w:left w:val="single" w:sz="4" w:space="0" w:color="auto"/>
              <w:bottom w:val="single" w:sz="4" w:space="0" w:color="auto"/>
              <w:right w:val="single" w:sz="4" w:space="0" w:color="auto"/>
            </w:tcBorders>
          </w:tcPr>
          <w:p w14:paraId="6BD9135D" w14:textId="77777777" w:rsidR="00881462" w:rsidRDefault="009F0A60">
            <w:pPr>
              <w:pStyle w:val="B"/>
              <w:rPr>
                <w:kern w:val="2"/>
                <w:sz w:val="21"/>
              </w:rPr>
            </w:pPr>
            <w:r>
              <w:rPr>
                <w:rFonts w:hint="eastAsia"/>
              </w:rPr>
              <w:t>必填</w:t>
            </w:r>
            <w:r w:rsidR="00C16D18">
              <w:rPr>
                <w:rFonts w:hint="eastAsia"/>
              </w:rPr>
              <w:t>项</w:t>
            </w:r>
            <w:r>
              <w:rPr>
                <w:rFonts w:hint="eastAsia"/>
              </w:rPr>
              <w:t>，需与证件类型保持一致</w:t>
            </w:r>
          </w:p>
        </w:tc>
      </w:tr>
      <w:tr w:rsidR="00A052DC" w14:paraId="441E6C16" w14:textId="77777777">
        <w:trPr>
          <w:jc w:val="center"/>
        </w:trPr>
        <w:tc>
          <w:tcPr>
            <w:tcW w:w="1560" w:type="dxa"/>
            <w:tcBorders>
              <w:top w:val="single" w:sz="4" w:space="0" w:color="auto"/>
              <w:left w:val="single" w:sz="4" w:space="0" w:color="auto"/>
              <w:bottom w:val="single" w:sz="4" w:space="0" w:color="auto"/>
              <w:right w:val="single" w:sz="4" w:space="0" w:color="auto"/>
            </w:tcBorders>
          </w:tcPr>
          <w:p w14:paraId="0F292E0A" w14:textId="77777777" w:rsidR="00A052DC" w:rsidRDefault="009F0A60">
            <w:pPr>
              <w:pStyle w:val="B"/>
              <w:widowControl w:val="0"/>
              <w:rPr>
                <w:color w:val="000000"/>
                <w:szCs w:val="20"/>
              </w:rPr>
            </w:pPr>
            <w:r>
              <w:rPr>
                <w:color w:val="000000"/>
                <w:szCs w:val="20"/>
              </w:rPr>
              <w:t>ENADDR</w:t>
            </w:r>
          </w:p>
        </w:tc>
        <w:tc>
          <w:tcPr>
            <w:tcW w:w="1843" w:type="dxa"/>
            <w:tcBorders>
              <w:top w:val="single" w:sz="4" w:space="0" w:color="auto"/>
              <w:left w:val="single" w:sz="4" w:space="0" w:color="auto"/>
              <w:bottom w:val="single" w:sz="4" w:space="0" w:color="auto"/>
              <w:right w:val="single" w:sz="4" w:space="0" w:color="auto"/>
            </w:tcBorders>
          </w:tcPr>
          <w:p w14:paraId="39D7F16E" w14:textId="77777777" w:rsidR="00A052DC" w:rsidRDefault="009F0A60">
            <w:pPr>
              <w:pStyle w:val="B"/>
              <w:widowControl w:val="0"/>
              <w:rPr>
                <w:color w:val="000000"/>
                <w:szCs w:val="20"/>
              </w:rPr>
            </w:pPr>
            <w:r>
              <w:rPr>
                <w:rFonts w:hint="eastAsia"/>
                <w:color w:val="000000"/>
                <w:szCs w:val="20"/>
              </w:rPr>
              <w:t>地址</w:t>
            </w:r>
          </w:p>
        </w:tc>
        <w:tc>
          <w:tcPr>
            <w:tcW w:w="1701" w:type="dxa"/>
            <w:tcBorders>
              <w:top w:val="single" w:sz="4" w:space="0" w:color="auto"/>
              <w:left w:val="single" w:sz="4" w:space="0" w:color="auto"/>
              <w:bottom w:val="single" w:sz="4" w:space="0" w:color="auto"/>
              <w:right w:val="single" w:sz="4" w:space="0" w:color="auto"/>
            </w:tcBorders>
          </w:tcPr>
          <w:p w14:paraId="2C55D17E" w14:textId="77777777" w:rsidR="00A052DC" w:rsidRDefault="009F0A60">
            <w:pPr>
              <w:pStyle w:val="B"/>
              <w:widowControl w:val="0"/>
              <w:rPr>
                <w:color w:val="000000"/>
                <w:szCs w:val="20"/>
              </w:rPr>
            </w:pPr>
            <w:r>
              <w:rPr>
                <w:rFonts w:hint="eastAsia"/>
                <w:color w:val="000000"/>
                <w:szCs w:val="20"/>
              </w:rPr>
              <w:t>变长字符型，</w:t>
            </w:r>
            <w:r>
              <w:rPr>
                <w:color w:val="000000"/>
                <w:szCs w:val="20"/>
              </w:rPr>
              <w:t>128</w:t>
            </w:r>
          </w:p>
        </w:tc>
        <w:tc>
          <w:tcPr>
            <w:tcW w:w="3543" w:type="dxa"/>
            <w:tcBorders>
              <w:top w:val="single" w:sz="4" w:space="0" w:color="auto"/>
              <w:left w:val="single" w:sz="4" w:space="0" w:color="auto"/>
              <w:bottom w:val="single" w:sz="4" w:space="0" w:color="auto"/>
              <w:right w:val="single" w:sz="4" w:space="0" w:color="auto"/>
            </w:tcBorders>
          </w:tcPr>
          <w:p w14:paraId="7352A204" w14:textId="77777777" w:rsidR="00881462" w:rsidRDefault="00DD6AA3">
            <w:pPr>
              <w:pStyle w:val="B"/>
              <w:rPr>
                <w:kern w:val="2"/>
                <w:sz w:val="21"/>
              </w:rPr>
            </w:pPr>
            <w:r>
              <w:rPr>
                <w:rFonts w:hint="eastAsia"/>
              </w:rPr>
              <w:t>非必填项</w:t>
            </w:r>
            <w:r w:rsidR="009F0A60">
              <w:rPr>
                <w:rFonts w:hint="eastAsia"/>
              </w:rPr>
              <w:t>，指银行在开户过程中采集的，能够与开户主体相关联的地址信息，可为开户主体的注册地址、经营地址、常住地址等。</w:t>
            </w:r>
          </w:p>
        </w:tc>
      </w:tr>
      <w:tr w:rsidR="00A052DC" w14:paraId="0B95B0BA" w14:textId="77777777">
        <w:trPr>
          <w:trHeight w:val="90"/>
          <w:jc w:val="center"/>
        </w:trPr>
        <w:tc>
          <w:tcPr>
            <w:tcW w:w="1560" w:type="dxa"/>
            <w:tcBorders>
              <w:top w:val="single" w:sz="4" w:space="0" w:color="auto"/>
              <w:left w:val="single" w:sz="4" w:space="0" w:color="auto"/>
              <w:bottom w:val="single" w:sz="4" w:space="0" w:color="auto"/>
              <w:right w:val="single" w:sz="4" w:space="0" w:color="auto"/>
            </w:tcBorders>
          </w:tcPr>
          <w:p w14:paraId="5E2572EA" w14:textId="77777777" w:rsidR="00A052DC" w:rsidRDefault="009F0A60">
            <w:pPr>
              <w:pStyle w:val="B"/>
              <w:widowControl w:val="0"/>
              <w:rPr>
                <w:color w:val="000000"/>
                <w:szCs w:val="20"/>
              </w:rPr>
            </w:pPr>
            <w:r>
              <w:rPr>
                <w:color w:val="000000"/>
                <w:szCs w:val="20"/>
              </w:rPr>
              <w:t>OPENDATE</w:t>
            </w:r>
          </w:p>
        </w:tc>
        <w:tc>
          <w:tcPr>
            <w:tcW w:w="1843" w:type="dxa"/>
            <w:tcBorders>
              <w:top w:val="single" w:sz="4" w:space="0" w:color="auto"/>
              <w:left w:val="single" w:sz="4" w:space="0" w:color="auto"/>
              <w:bottom w:val="single" w:sz="4" w:space="0" w:color="auto"/>
              <w:right w:val="single" w:sz="4" w:space="0" w:color="auto"/>
            </w:tcBorders>
          </w:tcPr>
          <w:p w14:paraId="5DB65C90" w14:textId="77777777" w:rsidR="00A052DC" w:rsidRDefault="009F0A60">
            <w:pPr>
              <w:pStyle w:val="B"/>
              <w:widowControl w:val="0"/>
              <w:rPr>
                <w:color w:val="000000"/>
                <w:szCs w:val="20"/>
              </w:rPr>
            </w:pPr>
            <w:r>
              <w:rPr>
                <w:rFonts w:hint="eastAsia"/>
                <w:color w:val="000000"/>
                <w:szCs w:val="20"/>
              </w:rPr>
              <w:t>开户时间</w:t>
            </w:r>
          </w:p>
        </w:tc>
        <w:tc>
          <w:tcPr>
            <w:tcW w:w="1701" w:type="dxa"/>
            <w:tcBorders>
              <w:top w:val="single" w:sz="4" w:space="0" w:color="auto"/>
              <w:left w:val="single" w:sz="4" w:space="0" w:color="auto"/>
              <w:bottom w:val="single" w:sz="4" w:space="0" w:color="auto"/>
              <w:right w:val="single" w:sz="4" w:space="0" w:color="auto"/>
            </w:tcBorders>
          </w:tcPr>
          <w:p w14:paraId="3809ED2F" w14:textId="77777777" w:rsidR="00A052DC" w:rsidRDefault="009F0A60">
            <w:pPr>
              <w:pStyle w:val="B"/>
              <w:widowControl w:val="0"/>
              <w:rPr>
                <w:color w:val="000000"/>
                <w:szCs w:val="20"/>
              </w:rPr>
            </w:pPr>
            <w:r>
              <w:rPr>
                <w:rFonts w:hint="eastAsia"/>
                <w:color w:val="000000"/>
                <w:szCs w:val="20"/>
              </w:rPr>
              <w:t>日期型</w:t>
            </w:r>
            <w:r w:rsidR="008E09E1">
              <w:rPr>
                <w:rFonts w:hint="eastAsia"/>
                <w:color w:val="000000"/>
                <w:szCs w:val="20"/>
              </w:rPr>
              <w:t>,8</w:t>
            </w:r>
          </w:p>
        </w:tc>
        <w:tc>
          <w:tcPr>
            <w:tcW w:w="3543" w:type="dxa"/>
            <w:tcBorders>
              <w:top w:val="single" w:sz="4" w:space="0" w:color="auto"/>
              <w:left w:val="single" w:sz="4" w:space="0" w:color="auto"/>
              <w:bottom w:val="single" w:sz="4" w:space="0" w:color="auto"/>
              <w:right w:val="single" w:sz="4" w:space="0" w:color="auto"/>
            </w:tcBorders>
          </w:tcPr>
          <w:p w14:paraId="6FDCFAFD" w14:textId="77777777" w:rsidR="00881462" w:rsidRDefault="009F0A60">
            <w:pPr>
              <w:pStyle w:val="B"/>
              <w:rPr>
                <w:kern w:val="2"/>
                <w:sz w:val="21"/>
              </w:rPr>
            </w:pPr>
            <w:r>
              <w:rPr>
                <w:rFonts w:hint="eastAsia"/>
              </w:rPr>
              <w:t>必填</w:t>
            </w:r>
            <w:r w:rsidR="00C16D18">
              <w:rPr>
                <w:rFonts w:hint="eastAsia"/>
              </w:rPr>
              <w:t>项</w:t>
            </w:r>
            <w:r>
              <w:rPr>
                <w:rFonts w:hint="eastAsia"/>
              </w:rPr>
              <w:t>，格式YYYYMMDD。</w:t>
            </w:r>
          </w:p>
        </w:tc>
      </w:tr>
      <w:tr w:rsidR="00A052DC" w14:paraId="4FC26563" w14:textId="77777777">
        <w:trPr>
          <w:trHeight w:val="90"/>
          <w:jc w:val="center"/>
        </w:trPr>
        <w:tc>
          <w:tcPr>
            <w:tcW w:w="1560" w:type="dxa"/>
            <w:tcBorders>
              <w:top w:val="single" w:sz="4" w:space="0" w:color="auto"/>
              <w:left w:val="single" w:sz="4" w:space="0" w:color="auto"/>
              <w:bottom w:val="single" w:sz="4" w:space="0" w:color="auto"/>
              <w:right w:val="single" w:sz="4" w:space="0" w:color="auto"/>
            </w:tcBorders>
          </w:tcPr>
          <w:p w14:paraId="08A989F1" w14:textId="77777777" w:rsidR="00A052DC" w:rsidRDefault="009F0A60">
            <w:pPr>
              <w:pStyle w:val="B"/>
              <w:widowControl w:val="0"/>
              <w:rPr>
                <w:color w:val="000000"/>
                <w:szCs w:val="20"/>
              </w:rPr>
            </w:pPr>
            <w:r>
              <w:t>CLOSEDATE</w:t>
            </w:r>
          </w:p>
        </w:tc>
        <w:tc>
          <w:tcPr>
            <w:tcW w:w="1843" w:type="dxa"/>
            <w:tcBorders>
              <w:top w:val="single" w:sz="4" w:space="0" w:color="auto"/>
              <w:left w:val="single" w:sz="4" w:space="0" w:color="auto"/>
              <w:bottom w:val="single" w:sz="4" w:space="0" w:color="auto"/>
              <w:right w:val="single" w:sz="4" w:space="0" w:color="auto"/>
            </w:tcBorders>
          </w:tcPr>
          <w:p w14:paraId="6B1DA922" w14:textId="77777777" w:rsidR="00A052DC" w:rsidRDefault="009F0A60">
            <w:pPr>
              <w:pStyle w:val="B"/>
              <w:widowControl w:val="0"/>
              <w:rPr>
                <w:color w:val="000000"/>
                <w:szCs w:val="20"/>
              </w:rPr>
            </w:pPr>
            <w:r>
              <w:rPr>
                <w:rFonts w:hint="eastAsia"/>
              </w:rPr>
              <w:t>销户时间</w:t>
            </w:r>
          </w:p>
        </w:tc>
        <w:tc>
          <w:tcPr>
            <w:tcW w:w="1701" w:type="dxa"/>
            <w:tcBorders>
              <w:top w:val="single" w:sz="4" w:space="0" w:color="auto"/>
              <w:left w:val="single" w:sz="4" w:space="0" w:color="auto"/>
              <w:bottom w:val="single" w:sz="4" w:space="0" w:color="auto"/>
              <w:right w:val="single" w:sz="4" w:space="0" w:color="auto"/>
            </w:tcBorders>
          </w:tcPr>
          <w:p w14:paraId="6BEE5B3C" w14:textId="77777777" w:rsidR="00A052DC" w:rsidRDefault="009F0A60">
            <w:pPr>
              <w:pStyle w:val="B"/>
              <w:widowControl w:val="0"/>
              <w:rPr>
                <w:color w:val="000000"/>
                <w:szCs w:val="20"/>
              </w:rPr>
            </w:pPr>
            <w:r>
              <w:rPr>
                <w:rFonts w:hint="eastAsia"/>
                <w:color w:val="000000"/>
                <w:szCs w:val="20"/>
              </w:rPr>
              <w:t>日期型</w:t>
            </w:r>
            <w:r w:rsidR="008E09E1">
              <w:rPr>
                <w:rFonts w:hint="eastAsia"/>
                <w:color w:val="000000"/>
                <w:szCs w:val="20"/>
              </w:rPr>
              <w:t>,8</w:t>
            </w:r>
          </w:p>
        </w:tc>
        <w:tc>
          <w:tcPr>
            <w:tcW w:w="3543" w:type="dxa"/>
            <w:tcBorders>
              <w:top w:val="single" w:sz="4" w:space="0" w:color="auto"/>
              <w:left w:val="single" w:sz="4" w:space="0" w:color="auto"/>
              <w:bottom w:val="single" w:sz="4" w:space="0" w:color="auto"/>
              <w:right w:val="single" w:sz="4" w:space="0" w:color="auto"/>
            </w:tcBorders>
          </w:tcPr>
          <w:p w14:paraId="322EFD91" w14:textId="77777777" w:rsidR="00881462" w:rsidRDefault="00DD6AA3">
            <w:pPr>
              <w:pStyle w:val="B"/>
              <w:rPr>
                <w:kern w:val="2"/>
                <w:sz w:val="21"/>
              </w:rPr>
            </w:pPr>
            <w:r>
              <w:rPr>
                <w:rFonts w:hint="eastAsia"/>
              </w:rPr>
              <w:t>非必填项</w:t>
            </w:r>
            <w:r w:rsidR="009F0A60">
              <w:rPr>
                <w:rFonts w:hint="eastAsia"/>
              </w:rPr>
              <w:t>，格式YYYYMMDD。如该账户处在销户状态，则此项必填。</w:t>
            </w:r>
          </w:p>
        </w:tc>
      </w:tr>
      <w:tr w:rsidR="00A052DC" w14:paraId="39F55A3A" w14:textId="77777777">
        <w:trPr>
          <w:jc w:val="center"/>
        </w:trPr>
        <w:tc>
          <w:tcPr>
            <w:tcW w:w="1560" w:type="dxa"/>
            <w:tcBorders>
              <w:top w:val="single" w:sz="4" w:space="0" w:color="auto"/>
              <w:left w:val="single" w:sz="4" w:space="0" w:color="auto"/>
              <w:bottom w:val="single" w:sz="4" w:space="0" w:color="auto"/>
              <w:right w:val="single" w:sz="4" w:space="0" w:color="auto"/>
            </w:tcBorders>
          </w:tcPr>
          <w:p w14:paraId="6FB86C44" w14:textId="77777777" w:rsidR="00A052DC" w:rsidRDefault="009F0A60">
            <w:pPr>
              <w:pStyle w:val="B"/>
              <w:widowControl w:val="0"/>
              <w:rPr>
                <w:color w:val="000000"/>
                <w:szCs w:val="20"/>
              </w:rPr>
            </w:pPr>
            <w:r>
              <w:rPr>
                <w:color w:val="000000"/>
                <w:szCs w:val="20"/>
              </w:rPr>
              <w:t>BRANCHCODE</w:t>
            </w:r>
          </w:p>
        </w:tc>
        <w:tc>
          <w:tcPr>
            <w:tcW w:w="1843" w:type="dxa"/>
            <w:tcBorders>
              <w:top w:val="single" w:sz="4" w:space="0" w:color="auto"/>
              <w:left w:val="single" w:sz="4" w:space="0" w:color="auto"/>
              <w:bottom w:val="single" w:sz="4" w:space="0" w:color="auto"/>
              <w:right w:val="single" w:sz="4" w:space="0" w:color="auto"/>
            </w:tcBorders>
          </w:tcPr>
          <w:p w14:paraId="111E5CB9" w14:textId="77777777" w:rsidR="00A052DC" w:rsidRDefault="009F0A60">
            <w:pPr>
              <w:pStyle w:val="B"/>
              <w:widowControl w:val="0"/>
              <w:rPr>
                <w:color w:val="000000"/>
                <w:szCs w:val="20"/>
              </w:rPr>
            </w:pPr>
            <w:r>
              <w:rPr>
                <w:rFonts w:hint="eastAsia"/>
                <w:color w:val="000000"/>
                <w:szCs w:val="20"/>
              </w:rPr>
              <w:t>金融机构代码</w:t>
            </w:r>
          </w:p>
        </w:tc>
        <w:tc>
          <w:tcPr>
            <w:tcW w:w="1701" w:type="dxa"/>
            <w:tcBorders>
              <w:top w:val="single" w:sz="4" w:space="0" w:color="auto"/>
              <w:left w:val="single" w:sz="4" w:space="0" w:color="auto"/>
              <w:bottom w:val="single" w:sz="4" w:space="0" w:color="auto"/>
              <w:right w:val="single" w:sz="4" w:space="0" w:color="auto"/>
            </w:tcBorders>
            <w:vAlign w:val="center"/>
          </w:tcPr>
          <w:p w14:paraId="54D7EDF6" w14:textId="77777777" w:rsidR="00A052DC" w:rsidRDefault="009F0A60">
            <w:pPr>
              <w:jc w:val="left"/>
              <w:rPr>
                <w:rFonts w:ascii="黑体" w:eastAsia="黑体" w:hAnsi="黑体"/>
                <w:color w:val="000000"/>
                <w:sz w:val="20"/>
                <w:szCs w:val="20"/>
              </w:rPr>
            </w:pPr>
            <w:r>
              <w:rPr>
                <w:rFonts w:ascii="黑体" w:eastAsia="黑体" w:hAnsi="黑体" w:hint="eastAsia"/>
                <w:color w:val="000000"/>
                <w:sz w:val="20"/>
                <w:szCs w:val="20"/>
              </w:rPr>
              <w:t>字符型，</w:t>
            </w:r>
            <w:r>
              <w:rPr>
                <w:rFonts w:ascii="黑体" w:eastAsia="黑体" w:hAnsi="黑体"/>
                <w:color w:val="000000"/>
                <w:sz w:val="20"/>
                <w:szCs w:val="20"/>
              </w:rPr>
              <w:t>4</w:t>
            </w:r>
          </w:p>
        </w:tc>
        <w:tc>
          <w:tcPr>
            <w:tcW w:w="3543" w:type="dxa"/>
            <w:tcBorders>
              <w:top w:val="single" w:sz="4" w:space="0" w:color="auto"/>
              <w:left w:val="single" w:sz="4" w:space="0" w:color="auto"/>
              <w:bottom w:val="single" w:sz="4" w:space="0" w:color="auto"/>
              <w:right w:val="single" w:sz="4" w:space="0" w:color="auto"/>
            </w:tcBorders>
            <w:vAlign w:val="center"/>
          </w:tcPr>
          <w:p w14:paraId="7AD0DE84" w14:textId="77777777" w:rsidR="00881462" w:rsidRDefault="009F0A60">
            <w:pPr>
              <w:pStyle w:val="B"/>
            </w:pPr>
            <w:r>
              <w:rPr>
                <w:rFonts w:hint="eastAsia"/>
              </w:rPr>
              <w:t>必填</w:t>
            </w:r>
            <w:r w:rsidR="00C16D18">
              <w:rPr>
                <w:rFonts w:hint="eastAsia"/>
              </w:rPr>
              <w:t>项</w:t>
            </w:r>
            <w:r>
              <w:rPr>
                <w:rFonts w:hint="eastAsia"/>
              </w:rPr>
              <w:t>。</w:t>
            </w:r>
          </w:p>
        </w:tc>
      </w:tr>
      <w:tr w:rsidR="00A052DC" w14:paraId="160A822A" w14:textId="77777777">
        <w:trPr>
          <w:jc w:val="center"/>
        </w:trPr>
        <w:tc>
          <w:tcPr>
            <w:tcW w:w="1560" w:type="dxa"/>
            <w:tcBorders>
              <w:top w:val="single" w:sz="4" w:space="0" w:color="auto"/>
              <w:left w:val="single" w:sz="4" w:space="0" w:color="auto"/>
              <w:bottom w:val="single" w:sz="4" w:space="0" w:color="auto"/>
              <w:right w:val="single" w:sz="4" w:space="0" w:color="auto"/>
            </w:tcBorders>
          </w:tcPr>
          <w:p w14:paraId="149328AF" w14:textId="77777777" w:rsidR="00A052DC" w:rsidRDefault="009F0A60">
            <w:pPr>
              <w:pStyle w:val="B"/>
              <w:widowControl w:val="0"/>
              <w:rPr>
                <w:color w:val="000000"/>
                <w:szCs w:val="20"/>
              </w:rPr>
            </w:pPr>
            <w:r>
              <w:rPr>
                <w:color w:val="000000"/>
                <w:szCs w:val="20"/>
              </w:rPr>
              <w:t>BRANCHIDCODE</w:t>
            </w:r>
          </w:p>
        </w:tc>
        <w:tc>
          <w:tcPr>
            <w:tcW w:w="1843" w:type="dxa"/>
            <w:tcBorders>
              <w:top w:val="single" w:sz="4" w:space="0" w:color="auto"/>
              <w:left w:val="single" w:sz="4" w:space="0" w:color="auto"/>
              <w:bottom w:val="single" w:sz="4" w:space="0" w:color="auto"/>
              <w:right w:val="single" w:sz="4" w:space="0" w:color="auto"/>
            </w:tcBorders>
          </w:tcPr>
          <w:p w14:paraId="6C8C6B3B" w14:textId="77777777" w:rsidR="00A052DC" w:rsidRDefault="009F0A60">
            <w:pPr>
              <w:pStyle w:val="B"/>
              <w:widowControl w:val="0"/>
              <w:rPr>
                <w:color w:val="000000"/>
                <w:szCs w:val="20"/>
              </w:rPr>
            </w:pPr>
            <w:r>
              <w:rPr>
                <w:rFonts w:hint="eastAsia"/>
                <w:color w:val="000000"/>
                <w:szCs w:val="20"/>
              </w:rPr>
              <w:t>金融机构标识码</w:t>
            </w:r>
          </w:p>
        </w:tc>
        <w:tc>
          <w:tcPr>
            <w:tcW w:w="1701" w:type="dxa"/>
            <w:tcBorders>
              <w:top w:val="single" w:sz="4" w:space="0" w:color="auto"/>
              <w:left w:val="single" w:sz="4" w:space="0" w:color="auto"/>
              <w:bottom w:val="single" w:sz="4" w:space="0" w:color="auto"/>
              <w:right w:val="single" w:sz="4" w:space="0" w:color="auto"/>
            </w:tcBorders>
          </w:tcPr>
          <w:p w14:paraId="61FAB656" w14:textId="77777777" w:rsidR="00A052DC" w:rsidRDefault="009F0A60">
            <w:pPr>
              <w:pStyle w:val="B"/>
              <w:widowControl w:val="0"/>
              <w:rPr>
                <w:color w:val="000000"/>
                <w:szCs w:val="20"/>
              </w:rPr>
            </w:pPr>
            <w:r>
              <w:rPr>
                <w:rFonts w:hint="eastAsia"/>
                <w:color w:val="000000"/>
                <w:szCs w:val="20"/>
              </w:rPr>
              <w:t>字符型，</w:t>
            </w:r>
            <w:r>
              <w:rPr>
                <w:color w:val="000000"/>
                <w:szCs w:val="20"/>
              </w:rPr>
              <w:t>12</w:t>
            </w:r>
          </w:p>
        </w:tc>
        <w:tc>
          <w:tcPr>
            <w:tcW w:w="3543" w:type="dxa"/>
            <w:tcBorders>
              <w:top w:val="single" w:sz="4" w:space="0" w:color="auto"/>
              <w:left w:val="single" w:sz="4" w:space="0" w:color="auto"/>
              <w:bottom w:val="single" w:sz="4" w:space="0" w:color="auto"/>
              <w:right w:val="single" w:sz="4" w:space="0" w:color="auto"/>
            </w:tcBorders>
          </w:tcPr>
          <w:p w14:paraId="6A31DD7A" w14:textId="77777777" w:rsidR="00881462" w:rsidRDefault="009F0A60">
            <w:pPr>
              <w:pStyle w:val="B"/>
            </w:pPr>
            <w:r>
              <w:rPr>
                <w:rFonts w:hint="eastAsia"/>
              </w:rPr>
              <w:t>必填</w:t>
            </w:r>
            <w:r w:rsidR="00C16D18">
              <w:rPr>
                <w:rFonts w:hint="eastAsia"/>
              </w:rPr>
              <w:t>项</w:t>
            </w:r>
            <w:r>
              <w:rPr>
                <w:rFonts w:hint="eastAsia"/>
              </w:rPr>
              <w:t>。</w:t>
            </w:r>
          </w:p>
        </w:tc>
      </w:tr>
      <w:tr w:rsidR="00A052DC" w14:paraId="7D33823C" w14:textId="77777777">
        <w:trPr>
          <w:jc w:val="center"/>
        </w:trPr>
        <w:tc>
          <w:tcPr>
            <w:tcW w:w="1560" w:type="dxa"/>
            <w:tcBorders>
              <w:top w:val="single" w:sz="4" w:space="0" w:color="auto"/>
              <w:left w:val="single" w:sz="4" w:space="0" w:color="auto"/>
              <w:bottom w:val="single" w:sz="4" w:space="0" w:color="auto"/>
              <w:right w:val="single" w:sz="4" w:space="0" w:color="auto"/>
            </w:tcBorders>
          </w:tcPr>
          <w:p w14:paraId="2C304DDD" w14:textId="77777777" w:rsidR="00A052DC" w:rsidRDefault="009F0A60">
            <w:pPr>
              <w:pStyle w:val="B"/>
              <w:widowControl w:val="0"/>
              <w:rPr>
                <w:color w:val="000000"/>
                <w:szCs w:val="20"/>
              </w:rPr>
            </w:pPr>
            <w:r>
              <w:rPr>
                <w:color w:val="000000"/>
                <w:szCs w:val="20"/>
              </w:rPr>
              <w:t>BRANCHNAME</w:t>
            </w:r>
          </w:p>
        </w:tc>
        <w:tc>
          <w:tcPr>
            <w:tcW w:w="1843" w:type="dxa"/>
            <w:tcBorders>
              <w:top w:val="single" w:sz="4" w:space="0" w:color="auto"/>
              <w:left w:val="single" w:sz="4" w:space="0" w:color="auto"/>
              <w:bottom w:val="single" w:sz="4" w:space="0" w:color="auto"/>
              <w:right w:val="single" w:sz="4" w:space="0" w:color="auto"/>
            </w:tcBorders>
          </w:tcPr>
          <w:p w14:paraId="5427F17F" w14:textId="77777777" w:rsidR="00A052DC" w:rsidRDefault="009F0A60">
            <w:pPr>
              <w:pStyle w:val="B"/>
              <w:widowControl w:val="0"/>
              <w:rPr>
                <w:color w:val="000000"/>
                <w:szCs w:val="20"/>
              </w:rPr>
            </w:pPr>
            <w:r>
              <w:rPr>
                <w:rFonts w:hint="eastAsia"/>
                <w:color w:val="000000"/>
                <w:szCs w:val="20"/>
              </w:rPr>
              <w:t>开户银行名称</w:t>
            </w:r>
          </w:p>
        </w:tc>
        <w:tc>
          <w:tcPr>
            <w:tcW w:w="1701" w:type="dxa"/>
            <w:tcBorders>
              <w:top w:val="single" w:sz="4" w:space="0" w:color="auto"/>
              <w:left w:val="single" w:sz="4" w:space="0" w:color="auto"/>
              <w:bottom w:val="single" w:sz="4" w:space="0" w:color="auto"/>
              <w:right w:val="single" w:sz="4" w:space="0" w:color="auto"/>
            </w:tcBorders>
          </w:tcPr>
          <w:p w14:paraId="1B6889A7" w14:textId="77777777" w:rsidR="00A052DC" w:rsidRDefault="009F0A60">
            <w:pPr>
              <w:pStyle w:val="B"/>
              <w:widowControl w:val="0"/>
              <w:rPr>
                <w:color w:val="000000"/>
                <w:szCs w:val="20"/>
              </w:rPr>
            </w:pPr>
            <w:r>
              <w:rPr>
                <w:rFonts w:hint="eastAsia"/>
                <w:color w:val="000000"/>
                <w:szCs w:val="20"/>
              </w:rPr>
              <w:t>变长字符型，</w:t>
            </w:r>
            <w:r>
              <w:rPr>
                <w:color w:val="000000"/>
                <w:szCs w:val="20"/>
              </w:rPr>
              <w:t>128</w:t>
            </w:r>
          </w:p>
        </w:tc>
        <w:tc>
          <w:tcPr>
            <w:tcW w:w="3543" w:type="dxa"/>
            <w:tcBorders>
              <w:top w:val="single" w:sz="4" w:space="0" w:color="auto"/>
              <w:left w:val="single" w:sz="4" w:space="0" w:color="auto"/>
              <w:bottom w:val="single" w:sz="4" w:space="0" w:color="auto"/>
              <w:right w:val="single" w:sz="4" w:space="0" w:color="auto"/>
            </w:tcBorders>
          </w:tcPr>
          <w:p w14:paraId="14759075" w14:textId="77777777" w:rsidR="00881462" w:rsidRDefault="009F0A60">
            <w:pPr>
              <w:pStyle w:val="B"/>
            </w:pPr>
            <w:r>
              <w:rPr>
                <w:rFonts w:hint="eastAsia"/>
              </w:rPr>
              <w:t>必填</w:t>
            </w:r>
            <w:r w:rsidR="00C16D18">
              <w:rPr>
                <w:rFonts w:hint="eastAsia"/>
              </w:rPr>
              <w:t>项</w:t>
            </w:r>
            <w:r>
              <w:rPr>
                <w:rFonts w:hint="eastAsia"/>
              </w:rPr>
              <w:t>。</w:t>
            </w:r>
          </w:p>
        </w:tc>
      </w:tr>
      <w:tr w:rsidR="00A052DC" w14:paraId="3C8CE68A" w14:textId="77777777">
        <w:trPr>
          <w:jc w:val="center"/>
        </w:trPr>
        <w:tc>
          <w:tcPr>
            <w:tcW w:w="1560" w:type="dxa"/>
            <w:tcBorders>
              <w:top w:val="single" w:sz="4" w:space="0" w:color="auto"/>
              <w:left w:val="single" w:sz="4" w:space="0" w:color="auto"/>
              <w:bottom w:val="single" w:sz="4" w:space="0" w:color="auto"/>
              <w:right w:val="single" w:sz="4" w:space="0" w:color="auto"/>
            </w:tcBorders>
          </w:tcPr>
          <w:p w14:paraId="3C183EAB" w14:textId="77777777" w:rsidR="00A052DC" w:rsidRDefault="009F0A60">
            <w:pPr>
              <w:pStyle w:val="B"/>
              <w:widowControl w:val="0"/>
              <w:rPr>
                <w:color w:val="000000"/>
                <w:szCs w:val="20"/>
              </w:rPr>
            </w:pPr>
            <w:r>
              <w:rPr>
                <w:color w:val="000000"/>
                <w:szCs w:val="20"/>
              </w:rPr>
              <w:t>ACCOUNTNO</w:t>
            </w:r>
          </w:p>
        </w:tc>
        <w:tc>
          <w:tcPr>
            <w:tcW w:w="1843" w:type="dxa"/>
            <w:tcBorders>
              <w:top w:val="single" w:sz="4" w:space="0" w:color="auto"/>
              <w:left w:val="single" w:sz="4" w:space="0" w:color="auto"/>
              <w:bottom w:val="single" w:sz="4" w:space="0" w:color="auto"/>
              <w:right w:val="single" w:sz="4" w:space="0" w:color="auto"/>
            </w:tcBorders>
          </w:tcPr>
          <w:p w14:paraId="0928FE2A" w14:textId="77777777" w:rsidR="00A052DC" w:rsidRDefault="009F0A60">
            <w:pPr>
              <w:pStyle w:val="B"/>
              <w:widowControl w:val="0"/>
              <w:rPr>
                <w:color w:val="000000"/>
                <w:szCs w:val="20"/>
              </w:rPr>
            </w:pPr>
            <w:r>
              <w:rPr>
                <w:rFonts w:hint="eastAsia"/>
                <w:color w:val="000000"/>
                <w:szCs w:val="20"/>
              </w:rPr>
              <w:t>账户账号</w:t>
            </w:r>
          </w:p>
        </w:tc>
        <w:tc>
          <w:tcPr>
            <w:tcW w:w="1701" w:type="dxa"/>
            <w:tcBorders>
              <w:top w:val="single" w:sz="4" w:space="0" w:color="auto"/>
              <w:left w:val="single" w:sz="4" w:space="0" w:color="auto"/>
              <w:bottom w:val="single" w:sz="4" w:space="0" w:color="auto"/>
              <w:right w:val="single" w:sz="4" w:space="0" w:color="auto"/>
            </w:tcBorders>
          </w:tcPr>
          <w:p w14:paraId="04AB5526" w14:textId="77777777" w:rsidR="00A052DC" w:rsidRDefault="009F0A60">
            <w:pPr>
              <w:jc w:val="left"/>
              <w:rPr>
                <w:rFonts w:ascii="黑体" w:eastAsia="黑体" w:hAnsi="黑体"/>
                <w:color w:val="000000"/>
                <w:sz w:val="20"/>
                <w:szCs w:val="20"/>
              </w:rPr>
            </w:pPr>
            <w:r>
              <w:rPr>
                <w:rFonts w:ascii="黑体" w:eastAsia="黑体" w:hAnsi="黑体" w:hint="eastAsia"/>
                <w:color w:val="000000"/>
                <w:sz w:val="20"/>
                <w:szCs w:val="20"/>
              </w:rPr>
              <w:t>变长字符型，</w:t>
            </w:r>
            <w:r>
              <w:rPr>
                <w:rFonts w:ascii="黑体" w:eastAsia="黑体" w:hAnsi="黑体"/>
                <w:color w:val="000000"/>
                <w:sz w:val="20"/>
                <w:szCs w:val="20"/>
              </w:rPr>
              <w:t>64</w:t>
            </w:r>
          </w:p>
        </w:tc>
        <w:tc>
          <w:tcPr>
            <w:tcW w:w="3543" w:type="dxa"/>
            <w:tcBorders>
              <w:top w:val="single" w:sz="4" w:space="0" w:color="auto"/>
              <w:left w:val="single" w:sz="4" w:space="0" w:color="auto"/>
              <w:bottom w:val="single" w:sz="4" w:space="0" w:color="auto"/>
              <w:right w:val="single" w:sz="4" w:space="0" w:color="auto"/>
            </w:tcBorders>
          </w:tcPr>
          <w:p w14:paraId="3BEE35A6" w14:textId="77777777" w:rsidR="00881462" w:rsidRDefault="00DD6AA3">
            <w:pPr>
              <w:pStyle w:val="B"/>
            </w:pPr>
            <w:r>
              <w:rPr>
                <w:rFonts w:hint="eastAsia"/>
              </w:rPr>
              <w:t>非必填项</w:t>
            </w:r>
            <w:r w:rsidR="009F0A60">
              <w:rPr>
                <w:rFonts w:hint="eastAsia"/>
              </w:rPr>
              <w:t>，若卡号为空，则此项必填。</w:t>
            </w:r>
          </w:p>
        </w:tc>
      </w:tr>
      <w:tr w:rsidR="00A052DC" w14:paraId="469BC2FD" w14:textId="77777777">
        <w:trPr>
          <w:jc w:val="center"/>
        </w:trPr>
        <w:tc>
          <w:tcPr>
            <w:tcW w:w="1560" w:type="dxa"/>
            <w:tcBorders>
              <w:top w:val="single" w:sz="4" w:space="0" w:color="auto"/>
              <w:left w:val="single" w:sz="4" w:space="0" w:color="auto"/>
              <w:bottom w:val="single" w:sz="4" w:space="0" w:color="auto"/>
              <w:right w:val="single" w:sz="4" w:space="0" w:color="auto"/>
            </w:tcBorders>
          </w:tcPr>
          <w:p w14:paraId="04750FAF" w14:textId="77777777" w:rsidR="00A052DC" w:rsidRDefault="009F0A60">
            <w:pPr>
              <w:pStyle w:val="B"/>
              <w:widowControl w:val="0"/>
              <w:rPr>
                <w:color w:val="000000"/>
                <w:szCs w:val="20"/>
              </w:rPr>
            </w:pPr>
            <w:r>
              <w:rPr>
                <w:rFonts w:hint="eastAsia"/>
                <w:color w:val="000000"/>
                <w:szCs w:val="20"/>
              </w:rPr>
              <w:t>CARDNO</w:t>
            </w:r>
          </w:p>
        </w:tc>
        <w:tc>
          <w:tcPr>
            <w:tcW w:w="1843" w:type="dxa"/>
            <w:tcBorders>
              <w:top w:val="single" w:sz="4" w:space="0" w:color="auto"/>
              <w:left w:val="single" w:sz="4" w:space="0" w:color="auto"/>
              <w:bottom w:val="single" w:sz="4" w:space="0" w:color="auto"/>
              <w:right w:val="single" w:sz="4" w:space="0" w:color="auto"/>
            </w:tcBorders>
          </w:tcPr>
          <w:p w14:paraId="19E74DFF" w14:textId="77777777" w:rsidR="00A052DC" w:rsidRDefault="009F0A60">
            <w:pPr>
              <w:pStyle w:val="B"/>
              <w:widowControl w:val="0"/>
              <w:rPr>
                <w:color w:val="000000"/>
                <w:szCs w:val="20"/>
              </w:rPr>
            </w:pPr>
            <w:r>
              <w:rPr>
                <w:rFonts w:hint="eastAsia"/>
                <w:color w:val="000000"/>
                <w:szCs w:val="20"/>
              </w:rPr>
              <w:t>卡号</w:t>
            </w:r>
          </w:p>
        </w:tc>
        <w:tc>
          <w:tcPr>
            <w:tcW w:w="1701" w:type="dxa"/>
            <w:tcBorders>
              <w:top w:val="single" w:sz="4" w:space="0" w:color="auto"/>
              <w:left w:val="single" w:sz="4" w:space="0" w:color="auto"/>
              <w:bottom w:val="single" w:sz="4" w:space="0" w:color="auto"/>
              <w:right w:val="single" w:sz="4" w:space="0" w:color="auto"/>
            </w:tcBorders>
          </w:tcPr>
          <w:p w14:paraId="59A7E390" w14:textId="77777777" w:rsidR="00A052DC" w:rsidRDefault="009F0A60">
            <w:pPr>
              <w:jc w:val="left"/>
              <w:rPr>
                <w:rFonts w:ascii="黑体" w:eastAsia="黑体" w:hAnsi="黑体"/>
                <w:color w:val="000000"/>
                <w:sz w:val="20"/>
                <w:szCs w:val="20"/>
              </w:rPr>
            </w:pPr>
            <w:r>
              <w:rPr>
                <w:rFonts w:ascii="黑体" w:eastAsia="黑体" w:hAnsi="黑体" w:hint="eastAsia"/>
                <w:color w:val="000000"/>
                <w:sz w:val="20"/>
                <w:szCs w:val="20"/>
              </w:rPr>
              <w:t>变长字符型，</w:t>
            </w:r>
            <w:r>
              <w:rPr>
                <w:rFonts w:ascii="黑体" w:eastAsia="黑体" w:hAnsi="黑体"/>
                <w:color w:val="000000"/>
                <w:sz w:val="20"/>
                <w:szCs w:val="20"/>
              </w:rPr>
              <w:t>64</w:t>
            </w:r>
          </w:p>
        </w:tc>
        <w:tc>
          <w:tcPr>
            <w:tcW w:w="3543" w:type="dxa"/>
            <w:tcBorders>
              <w:top w:val="single" w:sz="4" w:space="0" w:color="auto"/>
              <w:left w:val="single" w:sz="4" w:space="0" w:color="auto"/>
              <w:bottom w:val="single" w:sz="4" w:space="0" w:color="auto"/>
              <w:right w:val="single" w:sz="4" w:space="0" w:color="auto"/>
            </w:tcBorders>
          </w:tcPr>
          <w:p w14:paraId="18D1E06F" w14:textId="77777777" w:rsidR="00881462" w:rsidRDefault="00DD6AA3">
            <w:pPr>
              <w:pStyle w:val="B"/>
            </w:pPr>
            <w:r>
              <w:rPr>
                <w:rFonts w:hint="eastAsia"/>
              </w:rPr>
              <w:t>非必填项</w:t>
            </w:r>
            <w:r w:rsidR="009F0A60">
              <w:rPr>
                <w:rFonts w:hint="eastAsia"/>
              </w:rPr>
              <w:t>，若账户账号为空，则此项必填。</w:t>
            </w:r>
          </w:p>
        </w:tc>
      </w:tr>
      <w:tr w:rsidR="00A052DC" w14:paraId="79A9CF52" w14:textId="77777777">
        <w:trPr>
          <w:jc w:val="center"/>
        </w:trPr>
        <w:tc>
          <w:tcPr>
            <w:tcW w:w="1560" w:type="dxa"/>
            <w:tcBorders>
              <w:top w:val="single" w:sz="4" w:space="0" w:color="auto"/>
              <w:left w:val="single" w:sz="4" w:space="0" w:color="auto"/>
              <w:bottom w:val="single" w:sz="4" w:space="0" w:color="auto"/>
              <w:right w:val="single" w:sz="4" w:space="0" w:color="auto"/>
            </w:tcBorders>
          </w:tcPr>
          <w:p w14:paraId="60943462" w14:textId="77777777" w:rsidR="00A052DC" w:rsidRDefault="009F0A60">
            <w:pPr>
              <w:pStyle w:val="B"/>
              <w:widowControl w:val="0"/>
              <w:rPr>
                <w:color w:val="000000"/>
                <w:szCs w:val="20"/>
              </w:rPr>
            </w:pPr>
            <w:r>
              <w:rPr>
                <w:color w:val="000000"/>
                <w:szCs w:val="20"/>
              </w:rPr>
              <w:t>CONTACT</w:t>
            </w:r>
          </w:p>
        </w:tc>
        <w:tc>
          <w:tcPr>
            <w:tcW w:w="1843" w:type="dxa"/>
            <w:tcBorders>
              <w:top w:val="single" w:sz="4" w:space="0" w:color="auto"/>
              <w:left w:val="single" w:sz="4" w:space="0" w:color="auto"/>
              <w:bottom w:val="single" w:sz="4" w:space="0" w:color="auto"/>
              <w:right w:val="single" w:sz="4" w:space="0" w:color="auto"/>
            </w:tcBorders>
          </w:tcPr>
          <w:p w14:paraId="30AA7097" w14:textId="77777777" w:rsidR="00A052DC" w:rsidRDefault="009F0A60">
            <w:pPr>
              <w:pStyle w:val="B"/>
              <w:widowControl w:val="0"/>
              <w:rPr>
                <w:color w:val="000000"/>
                <w:szCs w:val="20"/>
              </w:rPr>
            </w:pPr>
            <w:r>
              <w:rPr>
                <w:rFonts w:hint="eastAsia"/>
                <w:color w:val="000000"/>
                <w:szCs w:val="20"/>
              </w:rPr>
              <w:t>联系人</w:t>
            </w:r>
          </w:p>
        </w:tc>
        <w:tc>
          <w:tcPr>
            <w:tcW w:w="1701" w:type="dxa"/>
            <w:tcBorders>
              <w:top w:val="single" w:sz="4" w:space="0" w:color="auto"/>
              <w:left w:val="single" w:sz="4" w:space="0" w:color="auto"/>
              <w:bottom w:val="single" w:sz="4" w:space="0" w:color="auto"/>
              <w:right w:val="single" w:sz="4" w:space="0" w:color="auto"/>
            </w:tcBorders>
          </w:tcPr>
          <w:p w14:paraId="15AE144B" w14:textId="77777777" w:rsidR="00A052DC" w:rsidRDefault="009F0A60">
            <w:pPr>
              <w:pStyle w:val="B"/>
              <w:widowControl w:val="0"/>
              <w:rPr>
                <w:color w:val="000000"/>
                <w:szCs w:val="20"/>
              </w:rPr>
            </w:pPr>
            <w:r>
              <w:rPr>
                <w:rFonts w:hint="eastAsia"/>
                <w:color w:val="000000"/>
                <w:szCs w:val="20"/>
              </w:rPr>
              <w:t>变长字符型，</w:t>
            </w:r>
            <w:r>
              <w:rPr>
                <w:color w:val="000000"/>
                <w:szCs w:val="20"/>
              </w:rPr>
              <w:t>64</w:t>
            </w:r>
          </w:p>
        </w:tc>
        <w:tc>
          <w:tcPr>
            <w:tcW w:w="3543" w:type="dxa"/>
            <w:tcBorders>
              <w:top w:val="single" w:sz="4" w:space="0" w:color="auto"/>
              <w:left w:val="single" w:sz="4" w:space="0" w:color="auto"/>
              <w:bottom w:val="single" w:sz="4" w:space="0" w:color="auto"/>
              <w:right w:val="single" w:sz="4" w:space="0" w:color="auto"/>
            </w:tcBorders>
          </w:tcPr>
          <w:p w14:paraId="524D4701" w14:textId="77777777" w:rsidR="00881462" w:rsidRDefault="009F0A60">
            <w:pPr>
              <w:pStyle w:val="B"/>
            </w:pPr>
            <w:r>
              <w:rPr>
                <w:rFonts w:hint="eastAsia"/>
              </w:rPr>
              <w:t>必填</w:t>
            </w:r>
            <w:r w:rsidR="00C16D18" w:rsidRPr="00C16D18">
              <w:rPr>
                <w:rFonts w:hint="eastAsia"/>
              </w:rPr>
              <w:t>项</w:t>
            </w:r>
            <w:r>
              <w:rPr>
                <w:rFonts w:hint="eastAsia"/>
              </w:rPr>
              <w:t>，填写联系人姓名。</w:t>
            </w:r>
          </w:p>
        </w:tc>
      </w:tr>
      <w:tr w:rsidR="00A052DC" w14:paraId="16D610A4" w14:textId="77777777">
        <w:trPr>
          <w:jc w:val="center"/>
        </w:trPr>
        <w:tc>
          <w:tcPr>
            <w:tcW w:w="1560" w:type="dxa"/>
            <w:tcBorders>
              <w:top w:val="single" w:sz="4" w:space="0" w:color="auto"/>
              <w:left w:val="single" w:sz="4" w:space="0" w:color="auto"/>
              <w:bottom w:val="single" w:sz="4" w:space="0" w:color="auto"/>
              <w:right w:val="single" w:sz="4" w:space="0" w:color="auto"/>
            </w:tcBorders>
          </w:tcPr>
          <w:p w14:paraId="02837474" w14:textId="77777777" w:rsidR="00A052DC" w:rsidRDefault="009F0A60">
            <w:pPr>
              <w:pStyle w:val="B"/>
              <w:widowControl w:val="0"/>
              <w:rPr>
                <w:color w:val="000000"/>
                <w:szCs w:val="20"/>
              </w:rPr>
            </w:pPr>
            <w:r>
              <w:rPr>
                <w:color w:val="000000"/>
                <w:szCs w:val="20"/>
              </w:rPr>
              <w:t>CONTACTTEL</w:t>
            </w:r>
          </w:p>
        </w:tc>
        <w:tc>
          <w:tcPr>
            <w:tcW w:w="1843" w:type="dxa"/>
            <w:tcBorders>
              <w:top w:val="single" w:sz="4" w:space="0" w:color="auto"/>
              <w:left w:val="single" w:sz="4" w:space="0" w:color="auto"/>
              <w:bottom w:val="single" w:sz="4" w:space="0" w:color="auto"/>
              <w:right w:val="single" w:sz="4" w:space="0" w:color="auto"/>
            </w:tcBorders>
          </w:tcPr>
          <w:p w14:paraId="08173CC4" w14:textId="77777777" w:rsidR="00A052DC" w:rsidRDefault="009F0A60">
            <w:pPr>
              <w:pStyle w:val="B"/>
              <w:widowControl w:val="0"/>
              <w:rPr>
                <w:color w:val="000000"/>
                <w:szCs w:val="20"/>
              </w:rPr>
            </w:pPr>
            <w:r>
              <w:rPr>
                <w:rFonts w:hint="eastAsia"/>
                <w:color w:val="000000"/>
                <w:szCs w:val="20"/>
              </w:rPr>
              <w:t>联系电话</w:t>
            </w:r>
          </w:p>
        </w:tc>
        <w:tc>
          <w:tcPr>
            <w:tcW w:w="1701" w:type="dxa"/>
            <w:tcBorders>
              <w:top w:val="single" w:sz="4" w:space="0" w:color="auto"/>
              <w:left w:val="single" w:sz="4" w:space="0" w:color="auto"/>
              <w:bottom w:val="single" w:sz="4" w:space="0" w:color="auto"/>
              <w:right w:val="single" w:sz="4" w:space="0" w:color="auto"/>
            </w:tcBorders>
          </w:tcPr>
          <w:p w14:paraId="7E82EEA3" w14:textId="77777777" w:rsidR="00A052DC" w:rsidRDefault="009F0A60">
            <w:pPr>
              <w:pStyle w:val="B"/>
              <w:widowControl w:val="0"/>
              <w:rPr>
                <w:color w:val="000000"/>
                <w:szCs w:val="20"/>
              </w:rPr>
            </w:pPr>
            <w:r>
              <w:rPr>
                <w:rFonts w:hint="eastAsia"/>
                <w:color w:val="000000"/>
                <w:szCs w:val="20"/>
              </w:rPr>
              <w:t>变长字符型，</w:t>
            </w:r>
            <w:r>
              <w:rPr>
                <w:color w:val="000000"/>
                <w:szCs w:val="20"/>
              </w:rPr>
              <w:t>20</w:t>
            </w:r>
          </w:p>
        </w:tc>
        <w:tc>
          <w:tcPr>
            <w:tcW w:w="3543" w:type="dxa"/>
            <w:tcBorders>
              <w:top w:val="single" w:sz="4" w:space="0" w:color="auto"/>
              <w:left w:val="single" w:sz="4" w:space="0" w:color="auto"/>
              <w:bottom w:val="single" w:sz="4" w:space="0" w:color="auto"/>
              <w:right w:val="single" w:sz="4" w:space="0" w:color="auto"/>
            </w:tcBorders>
          </w:tcPr>
          <w:p w14:paraId="0009E656" w14:textId="77777777" w:rsidR="00A052DC" w:rsidRDefault="009F0A60" w:rsidP="00C16D18">
            <w:pPr>
              <w:rPr>
                <w:rFonts w:ascii="黑体" w:eastAsia="黑体" w:hAnsi="黑体"/>
                <w:color w:val="000000"/>
                <w:sz w:val="20"/>
                <w:szCs w:val="20"/>
              </w:rPr>
            </w:pPr>
            <w:r>
              <w:rPr>
                <w:rFonts w:ascii="黑体" w:eastAsia="黑体" w:hAnsi="黑体" w:hint="eastAsia"/>
                <w:color w:val="000000"/>
                <w:sz w:val="20"/>
                <w:szCs w:val="20"/>
              </w:rPr>
              <w:t>必填</w:t>
            </w:r>
            <w:r w:rsidR="00C16D18" w:rsidRPr="00C16D18">
              <w:rPr>
                <w:rFonts w:ascii="黑体" w:eastAsia="黑体" w:hAnsi="黑体" w:hint="eastAsia"/>
                <w:color w:val="000000"/>
                <w:sz w:val="20"/>
                <w:szCs w:val="20"/>
              </w:rPr>
              <w:t>项</w:t>
            </w:r>
            <w:r w:rsidR="00C16D18">
              <w:rPr>
                <w:rFonts w:ascii="黑体" w:eastAsia="黑体" w:hAnsi="黑体" w:hint="eastAsia"/>
                <w:color w:val="000000"/>
                <w:sz w:val="20"/>
                <w:szCs w:val="20"/>
              </w:rPr>
              <w:t>,</w:t>
            </w:r>
            <w:r>
              <w:rPr>
                <w:rFonts w:ascii="黑体" w:eastAsia="黑体" w:hAnsi="黑体" w:hint="eastAsia"/>
                <w:color w:val="000000"/>
                <w:sz w:val="20"/>
                <w:szCs w:val="20"/>
              </w:rPr>
              <w:t>填写手机号或区号</w:t>
            </w:r>
            <w:r>
              <w:rPr>
                <w:rFonts w:ascii="黑体" w:eastAsia="黑体" w:hAnsi="黑体"/>
                <w:color w:val="000000"/>
                <w:sz w:val="20"/>
                <w:szCs w:val="20"/>
              </w:rPr>
              <w:t>-座机号。</w:t>
            </w:r>
            <w:r>
              <w:rPr>
                <w:rFonts w:eastAsia="黑体" w:hint="eastAsia"/>
                <w:color w:val="000000"/>
                <w:sz w:val="20"/>
                <w:szCs w:val="20"/>
              </w:rPr>
              <w:t>有多个联系电话时用英文半角逗号分隔。</w:t>
            </w:r>
          </w:p>
        </w:tc>
      </w:tr>
      <w:tr w:rsidR="00A052DC" w14:paraId="041786E8" w14:textId="77777777">
        <w:trPr>
          <w:jc w:val="center"/>
        </w:trPr>
        <w:tc>
          <w:tcPr>
            <w:tcW w:w="1560" w:type="dxa"/>
            <w:tcBorders>
              <w:top w:val="single" w:sz="4" w:space="0" w:color="auto"/>
              <w:left w:val="single" w:sz="4" w:space="0" w:color="auto"/>
              <w:bottom w:val="single" w:sz="4" w:space="0" w:color="auto"/>
              <w:right w:val="single" w:sz="4" w:space="0" w:color="auto"/>
            </w:tcBorders>
          </w:tcPr>
          <w:p w14:paraId="2D491B2E" w14:textId="77777777" w:rsidR="00A052DC" w:rsidRDefault="009F0A60">
            <w:pPr>
              <w:pStyle w:val="B"/>
              <w:widowControl w:val="0"/>
              <w:rPr>
                <w:color w:val="000000"/>
                <w:szCs w:val="20"/>
              </w:rPr>
            </w:pPr>
            <w:r>
              <w:rPr>
                <w:color w:val="000000"/>
                <w:szCs w:val="20"/>
              </w:rPr>
              <w:t>RPTDATE</w:t>
            </w:r>
          </w:p>
        </w:tc>
        <w:tc>
          <w:tcPr>
            <w:tcW w:w="1843" w:type="dxa"/>
            <w:tcBorders>
              <w:top w:val="single" w:sz="4" w:space="0" w:color="auto"/>
              <w:left w:val="single" w:sz="4" w:space="0" w:color="auto"/>
              <w:bottom w:val="single" w:sz="4" w:space="0" w:color="auto"/>
              <w:right w:val="single" w:sz="4" w:space="0" w:color="auto"/>
            </w:tcBorders>
          </w:tcPr>
          <w:p w14:paraId="68A46C4C" w14:textId="77777777" w:rsidR="00A052DC" w:rsidRDefault="009F0A60">
            <w:pPr>
              <w:pStyle w:val="B"/>
              <w:widowControl w:val="0"/>
              <w:rPr>
                <w:color w:val="000000"/>
                <w:szCs w:val="20"/>
              </w:rPr>
            </w:pPr>
            <w:r>
              <w:rPr>
                <w:rFonts w:hint="eastAsia"/>
                <w:color w:val="000000"/>
                <w:szCs w:val="20"/>
              </w:rPr>
              <w:t>报送时间</w:t>
            </w:r>
          </w:p>
        </w:tc>
        <w:tc>
          <w:tcPr>
            <w:tcW w:w="1701" w:type="dxa"/>
            <w:tcBorders>
              <w:top w:val="single" w:sz="4" w:space="0" w:color="auto"/>
              <w:left w:val="single" w:sz="4" w:space="0" w:color="auto"/>
              <w:bottom w:val="single" w:sz="4" w:space="0" w:color="auto"/>
              <w:right w:val="single" w:sz="4" w:space="0" w:color="auto"/>
            </w:tcBorders>
          </w:tcPr>
          <w:p w14:paraId="06DB9D45" w14:textId="77777777" w:rsidR="00A052DC" w:rsidRDefault="009F0A60">
            <w:pPr>
              <w:pStyle w:val="B"/>
              <w:widowControl w:val="0"/>
              <w:rPr>
                <w:color w:val="000000"/>
                <w:szCs w:val="20"/>
              </w:rPr>
            </w:pPr>
            <w:r>
              <w:rPr>
                <w:rFonts w:hint="eastAsia"/>
                <w:color w:val="000000"/>
                <w:szCs w:val="20"/>
              </w:rPr>
              <w:t>日期型，</w:t>
            </w:r>
            <w:r>
              <w:rPr>
                <w:color w:val="000000"/>
                <w:szCs w:val="20"/>
              </w:rPr>
              <w:t>8</w:t>
            </w:r>
          </w:p>
        </w:tc>
        <w:tc>
          <w:tcPr>
            <w:tcW w:w="3543" w:type="dxa"/>
            <w:tcBorders>
              <w:top w:val="single" w:sz="4" w:space="0" w:color="auto"/>
              <w:left w:val="single" w:sz="4" w:space="0" w:color="auto"/>
              <w:bottom w:val="single" w:sz="4" w:space="0" w:color="auto"/>
              <w:right w:val="single" w:sz="4" w:space="0" w:color="auto"/>
            </w:tcBorders>
          </w:tcPr>
          <w:p w14:paraId="322D04A2" w14:textId="77777777" w:rsidR="00A052DC" w:rsidRDefault="009F0A60">
            <w:pPr>
              <w:rPr>
                <w:rFonts w:ascii="黑体" w:eastAsia="黑体" w:hAnsi="黑体"/>
                <w:color w:val="000000"/>
                <w:kern w:val="0"/>
                <w:sz w:val="20"/>
                <w:szCs w:val="20"/>
              </w:rPr>
            </w:pPr>
            <w:r>
              <w:rPr>
                <w:rFonts w:ascii="黑体" w:eastAsia="黑体" w:hAnsi="黑体" w:hint="eastAsia"/>
                <w:color w:val="000000"/>
                <w:kern w:val="0"/>
                <w:sz w:val="20"/>
                <w:szCs w:val="20"/>
              </w:rPr>
              <w:t>必填，格式</w:t>
            </w:r>
            <w:r>
              <w:rPr>
                <w:rFonts w:ascii="黑体" w:eastAsia="黑体" w:hAnsi="黑体"/>
                <w:color w:val="000000"/>
                <w:kern w:val="0"/>
                <w:sz w:val="20"/>
                <w:szCs w:val="20"/>
              </w:rPr>
              <w:t>YYYYMMDD</w:t>
            </w:r>
            <w:r>
              <w:rPr>
                <w:rFonts w:ascii="黑体" w:eastAsia="黑体" w:hAnsi="黑体" w:hint="eastAsia"/>
                <w:color w:val="000000"/>
                <w:kern w:val="0"/>
                <w:sz w:val="20"/>
                <w:szCs w:val="20"/>
              </w:rPr>
              <w:t>。</w:t>
            </w:r>
          </w:p>
        </w:tc>
      </w:tr>
      <w:tr w:rsidR="00A052DC" w14:paraId="041B54D1" w14:textId="77777777">
        <w:trPr>
          <w:jc w:val="center"/>
        </w:trPr>
        <w:tc>
          <w:tcPr>
            <w:tcW w:w="1560" w:type="dxa"/>
            <w:tcBorders>
              <w:top w:val="single" w:sz="4" w:space="0" w:color="auto"/>
              <w:left w:val="single" w:sz="4" w:space="0" w:color="auto"/>
              <w:bottom w:val="single" w:sz="4" w:space="0" w:color="auto"/>
              <w:right w:val="single" w:sz="4" w:space="0" w:color="auto"/>
            </w:tcBorders>
          </w:tcPr>
          <w:p w14:paraId="159F33C6" w14:textId="77777777" w:rsidR="00A052DC" w:rsidRDefault="009F0A60">
            <w:pPr>
              <w:pStyle w:val="B"/>
              <w:widowControl w:val="0"/>
              <w:rPr>
                <w:rFonts w:ascii="Times New Roman" w:hAnsi="Times New Roman"/>
                <w:color w:val="000000"/>
                <w:szCs w:val="20"/>
              </w:rPr>
            </w:pPr>
            <w:r>
              <w:t>ACCSTATE</w:t>
            </w:r>
          </w:p>
        </w:tc>
        <w:tc>
          <w:tcPr>
            <w:tcW w:w="1843" w:type="dxa"/>
            <w:tcBorders>
              <w:top w:val="single" w:sz="4" w:space="0" w:color="auto"/>
              <w:left w:val="single" w:sz="4" w:space="0" w:color="auto"/>
              <w:bottom w:val="single" w:sz="4" w:space="0" w:color="auto"/>
              <w:right w:val="single" w:sz="4" w:space="0" w:color="auto"/>
            </w:tcBorders>
          </w:tcPr>
          <w:p w14:paraId="1791DCF8" w14:textId="77777777" w:rsidR="00A052DC" w:rsidRDefault="009F0A60">
            <w:pPr>
              <w:pStyle w:val="B"/>
              <w:widowControl w:val="0"/>
              <w:rPr>
                <w:rFonts w:ascii="Times New Roman" w:hAnsi="Times New Roman"/>
                <w:color w:val="000000"/>
                <w:szCs w:val="20"/>
              </w:rPr>
            </w:pPr>
            <w:r>
              <w:rPr>
                <w:rFonts w:hint="eastAsia"/>
              </w:rPr>
              <w:t>账户状态</w:t>
            </w:r>
          </w:p>
        </w:tc>
        <w:tc>
          <w:tcPr>
            <w:tcW w:w="1701" w:type="dxa"/>
            <w:tcBorders>
              <w:top w:val="single" w:sz="4" w:space="0" w:color="auto"/>
              <w:left w:val="single" w:sz="4" w:space="0" w:color="auto"/>
              <w:bottom w:val="single" w:sz="4" w:space="0" w:color="auto"/>
              <w:right w:val="single" w:sz="4" w:space="0" w:color="auto"/>
            </w:tcBorders>
          </w:tcPr>
          <w:p w14:paraId="51D6C5BF" w14:textId="77777777" w:rsidR="00A052DC" w:rsidRDefault="009F0A60">
            <w:pPr>
              <w:pStyle w:val="B"/>
              <w:widowControl w:val="0"/>
              <w:rPr>
                <w:rFonts w:ascii="Times New Roman" w:hAnsi="Times New Roman"/>
                <w:color w:val="000000"/>
                <w:szCs w:val="20"/>
              </w:rPr>
            </w:pPr>
            <w:r>
              <w:rPr>
                <w:rFonts w:ascii="Times New Roman" w:hAnsi="Times New Roman" w:hint="eastAsia"/>
                <w:color w:val="000000"/>
                <w:szCs w:val="20"/>
              </w:rPr>
              <w:t>字符型，</w:t>
            </w:r>
            <w:r>
              <w:rPr>
                <w:rFonts w:ascii="Times New Roman" w:hAnsi="Times New Roman" w:hint="eastAsia"/>
                <w:color w:val="000000"/>
                <w:szCs w:val="20"/>
              </w:rPr>
              <w:t>1</w:t>
            </w:r>
          </w:p>
        </w:tc>
        <w:tc>
          <w:tcPr>
            <w:tcW w:w="3543" w:type="dxa"/>
            <w:tcBorders>
              <w:top w:val="single" w:sz="4" w:space="0" w:color="auto"/>
              <w:left w:val="single" w:sz="4" w:space="0" w:color="auto"/>
              <w:bottom w:val="single" w:sz="4" w:space="0" w:color="auto"/>
              <w:right w:val="single" w:sz="4" w:space="0" w:color="auto"/>
            </w:tcBorders>
          </w:tcPr>
          <w:p w14:paraId="376D1E4F" w14:textId="77777777" w:rsidR="00881462" w:rsidRDefault="009F0A60">
            <w:pPr>
              <w:pStyle w:val="B"/>
            </w:pPr>
            <w:r>
              <w:rPr>
                <w:rFonts w:hint="eastAsia"/>
              </w:rPr>
              <w:t>必填</w:t>
            </w:r>
            <w:r w:rsidR="00C16D18" w:rsidRPr="00C16D18">
              <w:rPr>
                <w:rFonts w:hint="eastAsia"/>
              </w:rPr>
              <w:t>项</w:t>
            </w:r>
            <w:r>
              <w:rPr>
                <w:rFonts w:hint="eastAsia"/>
              </w:rPr>
              <w:t>，3选1：</w:t>
            </w:r>
          </w:p>
          <w:p w14:paraId="70308215" w14:textId="77777777" w:rsidR="00881462" w:rsidRDefault="009F0A60">
            <w:pPr>
              <w:pStyle w:val="B"/>
            </w:pPr>
            <w:r>
              <w:rPr>
                <w:rFonts w:hint="eastAsia"/>
              </w:rPr>
              <w:t>1-正常；</w:t>
            </w:r>
          </w:p>
          <w:p w14:paraId="0FFB411D" w14:textId="77777777" w:rsidR="00881462" w:rsidRDefault="009F0A60">
            <w:pPr>
              <w:pStyle w:val="B"/>
            </w:pPr>
            <w:r>
              <w:rPr>
                <w:rFonts w:hint="eastAsia"/>
              </w:rPr>
              <w:t>2-销户；</w:t>
            </w:r>
          </w:p>
          <w:p w14:paraId="34FDB526" w14:textId="77777777" w:rsidR="00881462" w:rsidRDefault="009F0A60">
            <w:pPr>
              <w:pStyle w:val="B"/>
            </w:pPr>
            <w:r>
              <w:rPr>
                <w:rFonts w:hint="eastAsia"/>
              </w:rPr>
              <w:t>3-其他。</w:t>
            </w:r>
          </w:p>
        </w:tc>
      </w:tr>
      <w:tr w:rsidR="00A052DC" w14:paraId="5201028F" w14:textId="77777777">
        <w:trPr>
          <w:jc w:val="center"/>
        </w:trPr>
        <w:tc>
          <w:tcPr>
            <w:tcW w:w="1560" w:type="dxa"/>
          </w:tcPr>
          <w:p w14:paraId="27917985" w14:textId="77777777" w:rsidR="00A052DC" w:rsidRDefault="009F0A60">
            <w:pPr>
              <w:pStyle w:val="B"/>
              <w:widowControl w:val="0"/>
              <w:rPr>
                <w:color w:val="000000"/>
                <w:szCs w:val="20"/>
              </w:rPr>
            </w:pPr>
            <w:r>
              <w:rPr>
                <w:color w:val="000000"/>
                <w:szCs w:val="20"/>
              </w:rPr>
              <w:t>IFFREEZE</w:t>
            </w:r>
          </w:p>
        </w:tc>
        <w:tc>
          <w:tcPr>
            <w:tcW w:w="1843" w:type="dxa"/>
          </w:tcPr>
          <w:p w14:paraId="12EFA183" w14:textId="77777777" w:rsidR="00A052DC" w:rsidRDefault="009F0A60">
            <w:pPr>
              <w:pStyle w:val="B"/>
              <w:widowControl w:val="0"/>
              <w:rPr>
                <w:color w:val="000000"/>
                <w:szCs w:val="20"/>
              </w:rPr>
            </w:pPr>
            <w:r>
              <w:rPr>
                <w:rFonts w:hint="eastAsia"/>
                <w:color w:val="000000"/>
                <w:szCs w:val="20"/>
              </w:rPr>
              <w:t>是否被司法查冻扣</w:t>
            </w:r>
          </w:p>
        </w:tc>
        <w:tc>
          <w:tcPr>
            <w:tcW w:w="1701" w:type="dxa"/>
          </w:tcPr>
          <w:p w14:paraId="0E13C8ED" w14:textId="77777777" w:rsidR="00A052DC" w:rsidRDefault="009F0A60">
            <w:pPr>
              <w:pStyle w:val="B"/>
              <w:widowControl w:val="0"/>
              <w:rPr>
                <w:color w:val="000000"/>
                <w:szCs w:val="20"/>
              </w:rPr>
            </w:pPr>
            <w:r>
              <w:rPr>
                <w:rFonts w:hint="eastAsia"/>
                <w:color w:val="000000"/>
                <w:szCs w:val="20"/>
              </w:rPr>
              <w:t>字符型，</w:t>
            </w:r>
            <w:r>
              <w:rPr>
                <w:color w:val="000000"/>
                <w:szCs w:val="20"/>
              </w:rPr>
              <w:t>1</w:t>
            </w:r>
          </w:p>
        </w:tc>
        <w:tc>
          <w:tcPr>
            <w:tcW w:w="3543" w:type="dxa"/>
          </w:tcPr>
          <w:p w14:paraId="280FF7A1" w14:textId="77777777" w:rsidR="00881462" w:rsidRDefault="009F0A60">
            <w:pPr>
              <w:pStyle w:val="B"/>
            </w:pPr>
            <w:r>
              <w:rPr>
                <w:rFonts w:hint="eastAsia"/>
              </w:rPr>
              <w:t>必填</w:t>
            </w:r>
            <w:r w:rsidR="00C16D18" w:rsidRPr="00C16D18">
              <w:rPr>
                <w:rFonts w:hint="eastAsia"/>
              </w:rPr>
              <w:t>项</w:t>
            </w:r>
            <w:r>
              <w:rPr>
                <w:rFonts w:hint="eastAsia"/>
              </w:rPr>
              <w:t>，</w:t>
            </w:r>
            <w:r>
              <w:t>2选1：</w:t>
            </w:r>
          </w:p>
          <w:p w14:paraId="079B9290" w14:textId="77777777" w:rsidR="00881462" w:rsidRDefault="009F0A60">
            <w:pPr>
              <w:pStyle w:val="B"/>
            </w:pPr>
            <w:r>
              <w:t>1-是；</w:t>
            </w:r>
          </w:p>
          <w:p w14:paraId="76526531" w14:textId="77777777" w:rsidR="00881462" w:rsidRDefault="009F0A60">
            <w:pPr>
              <w:pStyle w:val="B"/>
            </w:pPr>
            <w:r>
              <w:t>0-否</w:t>
            </w:r>
            <w:r>
              <w:rPr>
                <w:rFonts w:hint="eastAsia"/>
              </w:rPr>
              <w:t>。</w:t>
            </w:r>
          </w:p>
        </w:tc>
      </w:tr>
    </w:tbl>
    <w:p w14:paraId="0BCC083C" w14:textId="77777777" w:rsidR="00A052DC" w:rsidRDefault="009F0A60">
      <w:pPr>
        <w:pStyle w:val="3"/>
        <w:ind w:left="0"/>
        <w:rPr>
          <w:rFonts w:ascii="Times New Roman" w:hAnsi="Times New Roman"/>
        </w:rPr>
      </w:pPr>
      <w:bookmarkStart w:id="4373" w:name="_Toc91455350"/>
      <w:bookmarkStart w:id="4374" w:name="_Toc101684523"/>
      <w:r>
        <w:rPr>
          <w:rFonts w:ascii="Times New Roman" w:hAnsi="Times New Roman" w:hint="eastAsia"/>
        </w:rPr>
        <w:t>涉嫌外汇违规账户交易明细信息</w:t>
      </w:r>
      <w:bookmarkEnd w:id="4373"/>
      <w:bookmarkEnd w:id="4374"/>
    </w:p>
    <w:p w14:paraId="2D64A8EF" w14:textId="77777777" w:rsidR="00A052DC" w:rsidRDefault="009F0A60" w:rsidP="0020251D">
      <w:pPr>
        <w:pStyle w:val="4"/>
        <w:numPr>
          <w:ilvl w:val="3"/>
          <w:numId w:val="1"/>
        </w:numPr>
        <w:jc w:val="left"/>
      </w:pPr>
      <w:r>
        <w:rPr>
          <w:rFonts w:hint="eastAsia"/>
        </w:rPr>
        <w:t>数据术语解释</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59"/>
        <w:gridCol w:w="6961"/>
      </w:tblGrid>
      <w:tr w:rsidR="00A052DC" w14:paraId="1EE26459" w14:textId="77777777">
        <w:trPr>
          <w:jc w:val="center"/>
        </w:trPr>
        <w:tc>
          <w:tcPr>
            <w:tcW w:w="1559" w:type="dxa"/>
            <w:shd w:val="clear" w:color="auto" w:fill="D7D7D7"/>
          </w:tcPr>
          <w:p w14:paraId="09B1A913" w14:textId="77777777" w:rsidR="00A052DC" w:rsidRDefault="009F0A60">
            <w:pPr>
              <w:jc w:val="center"/>
              <w:rPr>
                <w:rFonts w:ascii="黑体" w:eastAsia="黑体" w:hAnsi="黑体"/>
                <w:b/>
                <w:color w:val="000000"/>
                <w:sz w:val="20"/>
                <w:szCs w:val="20"/>
              </w:rPr>
            </w:pPr>
            <w:r>
              <w:rPr>
                <w:rFonts w:ascii="黑体" w:eastAsia="黑体" w:hAnsi="黑体" w:hint="eastAsia"/>
                <w:b/>
                <w:color w:val="000000"/>
                <w:sz w:val="20"/>
                <w:szCs w:val="20"/>
              </w:rPr>
              <w:t>基础数据项</w:t>
            </w:r>
          </w:p>
        </w:tc>
        <w:tc>
          <w:tcPr>
            <w:tcW w:w="6961" w:type="dxa"/>
            <w:shd w:val="clear" w:color="auto" w:fill="D7D7D7"/>
          </w:tcPr>
          <w:p w14:paraId="7FB005FB" w14:textId="77777777" w:rsidR="00A052DC" w:rsidRDefault="009F0A60">
            <w:pPr>
              <w:jc w:val="center"/>
              <w:rPr>
                <w:rFonts w:ascii="黑体" w:eastAsia="黑体" w:hAnsi="黑体"/>
                <w:b/>
                <w:color w:val="000000"/>
                <w:sz w:val="20"/>
                <w:szCs w:val="20"/>
              </w:rPr>
            </w:pPr>
            <w:r>
              <w:rPr>
                <w:rFonts w:ascii="黑体" w:eastAsia="黑体" w:hAnsi="黑体" w:hint="eastAsia"/>
                <w:b/>
                <w:color w:val="000000"/>
                <w:sz w:val="20"/>
                <w:szCs w:val="20"/>
              </w:rPr>
              <w:t>定义</w:t>
            </w:r>
          </w:p>
        </w:tc>
      </w:tr>
      <w:tr w:rsidR="00A052DC" w14:paraId="4295D748" w14:textId="77777777">
        <w:trPr>
          <w:jc w:val="center"/>
        </w:trPr>
        <w:tc>
          <w:tcPr>
            <w:tcW w:w="1559" w:type="dxa"/>
          </w:tcPr>
          <w:p w14:paraId="6E306F0A" w14:textId="77777777" w:rsidR="00A052DC" w:rsidRDefault="009F0A60">
            <w:pPr>
              <w:pStyle w:val="B"/>
              <w:widowControl w:val="0"/>
              <w:rPr>
                <w:color w:val="000000"/>
                <w:szCs w:val="20"/>
              </w:rPr>
            </w:pPr>
            <w:r>
              <w:rPr>
                <w:rFonts w:hint="eastAsia"/>
                <w:color w:val="000000"/>
              </w:rPr>
              <w:t>回复流水号</w:t>
            </w:r>
          </w:p>
        </w:tc>
        <w:tc>
          <w:tcPr>
            <w:tcW w:w="6961" w:type="dxa"/>
          </w:tcPr>
          <w:p w14:paraId="5320C220" w14:textId="77777777" w:rsidR="00A052DC" w:rsidRDefault="009F0A60">
            <w:pPr>
              <w:rPr>
                <w:rFonts w:ascii="黑体" w:eastAsia="黑体" w:hAnsi="黑体"/>
                <w:color w:val="000000"/>
                <w:sz w:val="20"/>
                <w:szCs w:val="20"/>
              </w:rPr>
            </w:pPr>
            <w:r>
              <w:rPr>
                <w:rFonts w:ascii="黑体" w:eastAsia="黑体" w:hAnsi="黑体" w:hint="eastAsia"/>
                <w:color w:val="000000"/>
                <w:sz w:val="20"/>
                <w:szCs w:val="20"/>
              </w:rPr>
              <w:t>用于唯一标识金融机构报送的账户交易明细信息，长度为</w:t>
            </w:r>
            <w:r>
              <w:rPr>
                <w:rFonts w:ascii="黑体" w:eastAsia="黑体" w:hAnsi="黑体"/>
                <w:color w:val="000000"/>
                <w:sz w:val="20"/>
                <w:szCs w:val="20"/>
              </w:rPr>
              <w:t>22</w:t>
            </w:r>
            <w:r>
              <w:rPr>
                <w:rFonts w:ascii="黑体" w:eastAsia="黑体" w:hAnsi="黑体" w:hint="eastAsia"/>
                <w:color w:val="000000"/>
                <w:sz w:val="20"/>
                <w:szCs w:val="20"/>
              </w:rPr>
              <w:t>位，编号规则为报送机构（总行）的金融机构代码（</w:t>
            </w:r>
            <w:r>
              <w:rPr>
                <w:rFonts w:ascii="黑体" w:eastAsia="黑体" w:hAnsi="黑体"/>
                <w:color w:val="000000"/>
                <w:sz w:val="20"/>
                <w:szCs w:val="20"/>
              </w:rPr>
              <w:t>4</w:t>
            </w:r>
            <w:r>
              <w:rPr>
                <w:rFonts w:ascii="黑体" w:eastAsia="黑体" w:hAnsi="黑体" w:hint="eastAsia"/>
                <w:color w:val="000000"/>
                <w:sz w:val="20"/>
                <w:szCs w:val="20"/>
              </w:rPr>
              <w:t>位）</w:t>
            </w:r>
            <w:r>
              <w:rPr>
                <w:rFonts w:ascii="黑体" w:eastAsia="黑体" w:hAnsi="黑体"/>
                <w:color w:val="000000"/>
                <w:sz w:val="20"/>
                <w:szCs w:val="20"/>
              </w:rPr>
              <w:t>+</w:t>
            </w:r>
            <w:r>
              <w:rPr>
                <w:rFonts w:ascii="黑体" w:eastAsia="黑体" w:hAnsi="黑体" w:hint="eastAsia"/>
                <w:color w:val="000000"/>
                <w:sz w:val="20"/>
                <w:szCs w:val="20"/>
              </w:rPr>
              <w:t>回复时间（</w:t>
            </w:r>
            <w:r>
              <w:rPr>
                <w:rFonts w:ascii="黑体" w:eastAsia="黑体" w:hAnsi="黑体"/>
                <w:color w:val="000000"/>
                <w:sz w:val="20"/>
                <w:szCs w:val="20"/>
              </w:rPr>
              <w:t>8</w:t>
            </w:r>
            <w:r>
              <w:rPr>
                <w:rFonts w:ascii="黑体" w:eastAsia="黑体" w:hAnsi="黑体" w:hint="eastAsia"/>
                <w:color w:val="000000"/>
                <w:sz w:val="20"/>
                <w:szCs w:val="20"/>
              </w:rPr>
              <w:t>位，</w:t>
            </w:r>
            <w:r>
              <w:rPr>
                <w:rFonts w:ascii="黑体" w:eastAsia="黑体" w:hAnsi="黑体"/>
                <w:color w:val="000000"/>
                <w:sz w:val="20"/>
                <w:szCs w:val="20"/>
              </w:rPr>
              <w:t>YYYYMMDD</w:t>
            </w:r>
            <w:r>
              <w:rPr>
                <w:rFonts w:ascii="黑体" w:eastAsia="黑体" w:hAnsi="黑体" w:hint="eastAsia"/>
                <w:color w:val="000000"/>
                <w:sz w:val="20"/>
                <w:szCs w:val="20"/>
              </w:rPr>
              <w:t>）</w:t>
            </w:r>
            <w:r>
              <w:rPr>
                <w:rFonts w:ascii="黑体" w:eastAsia="黑体" w:hAnsi="黑体"/>
                <w:color w:val="000000"/>
                <w:sz w:val="20"/>
                <w:szCs w:val="20"/>
              </w:rPr>
              <w:t>+</w:t>
            </w:r>
            <w:r>
              <w:rPr>
                <w:rFonts w:ascii="黑体" w:eastAsia="黑体" w:hAnsi="黑体" w:hint="eastAsia"/>
                <w:color w:val="000000"/>
                <w:sz w:val="20"/>
                <w:szCs w:val="20"/>
              </w:rPr>
              <w:t>回复流水号（</w:t>
            </w:r>
            <w:r>
              <w:rPr>
                <w:rFonts w:ascii="黑体" w:eastAsia="黑体" w:hAnsi="黑体"/>
                <w:color w:val="000000"/>
                <w:sz w:val="20"/>
                <w:szCs w:val="20"/>
              </w:rPr>
              <w:t>10</w:t>
            </w:r>
            <w:r>
              <w:rPr>
                <w:rFonts w:ascii="黑体" w:eastAsia="黑体" w:hAnsi="黑体" w:hint="eastAsia"/>
                <w:color w:val="000000"/>
                <w:sz w:val="20"/>
                <w:szCs w:val="20"/>
              </w:rPr>
              <w:t>位）。</w:t>
            </w:r>
          </w:p>
          <w:p w14:paraId="2AC42A41" w14:textId="77777777" w:rsidR="00A052DC" w:rsidRDefault="009F0A60">
            <w:pPr>
              <w:rPr>
                <w:rFonts w:ascii="黑体" w:eastAsia="黑体" w:hAnsi="黑体"/>
                <w:color w:val="000000"/>
                <w:sz w:val="20"/>
                <w:szCs w:val="20"/>
              </w:rPr>
            </w:pPr>
            <w:r>
              <w:rPr>
                <w:rFonts w:ascii="黑体" w:eastAsia="黑体" w:hAnsi="黑体" w:hint="eastAsia"/>
                <w:color w:val="000000"/>
                <w:sz w:val="20"/>
                <w:szCs w:val="20"/>
              </w:rPr>
              <w:t>同一账户账号或卡号的交易流水号，应按时间顺序升序排列，精确到微秒。</w:t>
            </w:r>
          </w:p>
        </w:tc>
      </w:tr>
      <w:tr w:rsidR="00A052DC" w14:paraId="7FF404FB" w14:textId="77777777">
        <w:trPr>
          <w:jc w:val="center"/>
        </w:trPr>
        <w:tc>
          <w:tcPr>
            <w:tcW w:w="1559" w:type="dxa"/>
          </w:tcPr>
          <w:p w14:paraId="0970AC91" w14:textId="77777777" w:rsidR="00A052DC" w:rsidRDefault="009F0A60">
            <w:pPr>
              <w:pStyle w:val="B"/>
              <w:widowControl w:val="0"/>
              <w:rPr>
                <w:color w:val="000000"/>
              </w:rPr>
            </w:pPr>
            <w:r>
              <w:rPr>
                <w:rFonts w:hint="eastAsia"/>
                <w:color w:val="000000"/>
              </w:rPr>
              <w:t>查询流水号</w:t>
            </w:r>
          </w:p>
        </w:tc>
        <w:tc>
          <w:tcPr>
            <w:tcW w:w="6961" w:type="dxa"/>
          </w:tcPr>
          <w:p w14:paraId="4298EE1F" w14:textId="77777777" w:rsidR="00A052DC" w:rsidRDefault="009F0A60">
            <w:pPr>
              <w:rPr>
                <w:rFonts w:ascii="黑体" w:eastAsia="黑体" w:hAnsi="黑体"/>
                <w:color w:val="000000"/>
                <w:sz w:val="20"/>
                <w:szCs w:val="20"/>
              </w:rPr>
            </w:pPr>
            <w:r>
              <w:rPr>
                <w:rFonts w:ascii="黑体" w:eastAsia="黑体" w:hAnsi="黑体" w:hint="eastAsia"/>
                <w:color w:val="000000"/>
                <w:sz w:val="20"/>
                <w:szCs w:val="20"/>
              </w:rPr>
              <w:t>该信息对应查询要求的查询流水号。</w:t>
            </w:r>
          </w:p>
        </w:tc>
      </w:tr>
      <w:tr w:rsidR="00A052DC" w14:paraId="65137FD5" w14:textId="77777777">
        <w:trPr>
          <w:jc w:val="center"/>
        </w:trPr>
        <w:tc>
          <w:tcPr>
            <w:tcW w:w="1559" w:type="dxa"/>
          </w:tcPr>
          <w:p w14:paraId="4F701CB3" w14:textId="77777777" w:rsidR="00A052DC" w:rsidRDefault="009F0A60">
            <w:pPr>
              <w:pStyle w:val="B"/>
              <w:widowControl w:val="0"/>
              <w:rPr>
                <w:color w:val="000000"/>
              </w:rPr>
            </w:pPr>
            <w:r>
              <w:rPr>
                <w:rFonts w:hint="eastAsia"/>
                <w:color w:val="000000"/>
              </w:rPr>
              <w:t>银行业务参号</w:t>
            </w:r>
          </w:p>
        </w:tc>
        <w:tc>
          <w:tcPr>
            <w:tcW w:w="6961" w:type="dxa"/>
          </w:tcPr>
          <w:p w14:paraId="1B09E143" w14:textId="77777777" w:rsidR="00A052DC" w:rsidRDefault="009F0A60">
            <w:pPr>
              <w:rPr>
                <w:rFonts w:ascii="黑体" w:eastAsia="黑体" w:hAnsi="黑体"/>
                <w:color w:val="000000"/>
                <w:sz w:val="20"/>
                <w:szCs w:val="20"/>
              </w:rPr>
            </w:pPr>
            <w:r>
              <w:rPr>
                <w:rFonts w:ascii="黑体" w:eastAsia="黑体" w:hAnsi="黑体" w:hint="eastAsia"/>
                <w:color w:val="000000"/>
                <w:sz w:val="20"/>
                <w:szCs w:val="20"/>
              </w:rPr>
              <w:t>银行办理该交易业务的唯一标识。</w:t>
            </w:r>
          </w:p>
        </w:tc>
      </w:tr>
      <w:tr w:rsidR="00A052DC" w14:paraId="6ABDE744" w14:textId="77777777">
        <w:trPr>
          <w:jc w:val="center"/>
        </w:trPr>
        <w:tc>
          <w:tcPr>
            <w:tcW w:w="1559" w:type="dxa"/>
            <w:vAlign w:val="center"/>
          </w:tcPr>
          <w:p w14:paraId="381C0CEF" w14:textId="77777777" w:rsidR="00A052DC" w:rsidRDefault="009F0A60">
            <w:pPr>
              <w:pStyle w:val="B"/>
              <w:widowControl w:val="0"/>
              <w:rPr>
                <w:color w:val="000000"/>
                <w:szCs w:val="20"/>
              </w:rPr>
            </w:pPr>
            <w:r>
              <w:rPr>
                <w:rFonts w:hint="eastAsia"/>
                <w:color w:val="000000"/>
                <w:szCs w:val="20"/>
              </w:rPr>
              <w:t>证件号码</w:t>
            </w:r>
          </w:p>
        </w:tc>
        <w:tc>
          <w:tcPr>
            <w:tcW w:w="6961" w:type="dxa"/>
            <w:vAlign w:val="center"/>
          </w:tcPr>
          <w:p w14:paraId="2728FEA6" w14:textId="77777777" w:rsidR="00A052DC" w:rsidRDefault="009F0A60">
            <w:pPr>
              <w:rPr>
                <w:rFonts w:ascii="黑体" w:eastAsia="黑体" w:hAnsi="黑体"/>
                <w:color w:val="000000"/>
                <w:kern w:val="0"/>
                <w:sz w:val="20"/>
                <w:szCs w:val="20"/>
              </w:rPr>
            </w:pPr>
            <w:r>
              <w:rPr>
                <w:rFonts w:ascii="黑体" w:eastAsia="黑体" w:hAnsi="黑体" w:hint="eastAsia"/>
                <w:color w:val="000000"/>
                <w:sz w:val="20"/>
                <w:szCs w:val="20"/>
              </w:rPr>
              <w:t>对机构指统一社会信用代码法定载体（如营业执照）上的统一社会信用代码中的第9至17位或国家外汇管理局及其分支局签发的特殊机构代码赋码通知书上的机构代码；对个人指包括境内居民个人的身份证号、军官证号等以及境外居民个人的护照号等。</w:t>
            </w:r>
          </w:p>
        </w:tc>
      </w:tr>
      <w:tr w:rsidR="00A052DC" w14:paraId="6F872100" w14:textId="77777777">
        <w:trPr>
          <w:jc w:val="center"/>
        </w:trPr>
        <w:tc>
          <w:tcPr>
            <w:tcW w:w="1559" w:type="dxa"/>
            <w:vAlign w:val="center"/>
          </w:tcPr>
          <w:p w14:paraId="125E080D" w14:textId="77777777" w:rsidR="00A052DC" w:rsidRDefault="009F0A60">
            <w:pPr>
              <w:pStyle w:val="B"/>
              <w:widowControl w:val="0"/>
              <w:rPr>
                <w:color w:val="000000"/>
                <w:szCs w:val="20"/>
              </w:rPr>
            </w:pPr>
            <w:r>
              <w:rPr>
                <w:rFonts w:hint="eastAsia"/>
                <w:color w:val="000000"/>
                <w:szCs w:val="20"/>
              </w:rPr>
              <w:t>账户账号</w:t>
            </w:r>
          </w:p>
        </w:tc>
        <w:tc>
          <w:tcPr>
            <w:tcW w:w="6961" w:type="dxa"/>
            <w:vAlign w:val="center"/>
          </w:tcPr>
          <w:p w14:paraId="3C67A73A" w14:textId="77777777" w:rsidR="00A052DC" w:rsidRDefault="009F0A60">
            <w:pPr>
              <w:rPr>
                <w:rFonts w:ascii="黑体" w:eastAsia="黑体" w:hAnsi="黑体"/>
                <w:color w:val="000000"/>
                <w:sz w:val="20"/>
                <w:szCs w:val="20"/>
              </w:rPr>
            </w:pPr>
            <w:r>
              <w:rPr>
                <w:rFonts w:ascii="黑体" w:eastAsia="黑体" w:hAnsi="黑体" w:hint="eastAsia"/>
                <w:color w:val="000000"/>
                <w:sz w:val="20"/>
                <w:szCs w:val="20"/>
              </w:rPr>
              <w:t>涉嫌外汇违规的外汇账户</w:t>
            </w:r>
            <w:r>
              <w:rPr>
                <w:rFonts w:ascii="黑体" w:eastAsia="黑体" w:hAnsi="黑体"/>
                <w:color w:val="000000"/>
                <w:sz w:val="20"/>
                <w:szCs w:val="20"/>
              </w:rPr>
              <w:t>/</w:t>
            </w:r>
            <w:r>
              <w:rPr>
                <w:rFonts w:ascii="黑体" w:eastAsia="黑体" w:hAnsi="黑体" w:hint="eastAsia"/>
                <w:color w:val="000000"/>
                <w:sz w:val="20"/>
                <w:szCs w:val="20"/>
              </w:rPr>
              <w:t>人民币账户</w:t>
            </w:r>
            <w:r>
              <w:rPr>
                <w:rFonts w:ascii="黑体" w:eastAsia="黑体" w:hAnsi="黑体"/>
                <w:color w:val="000000"/>
                <w:sz w:val="20"/>
                <w:szCs w:val="20"/>
              </w:rPr>
              <w:t>/</w:t>
            </w:r>
            <w:r>
              <w:rPr>
                <w:rFonts w:ascii="黑体" w:eastAsia="黑体" w:hAnsi="黑体" w:hint="eastAsia"/>
                <w:color w:val="000000"/>
                <w:sz w:val="20"/>
                <w:szCs w:val="20"/>
              </w:rPr>
              <w:t>银行卡的账号，账户账号与卡号至少填写一个。</w:t>
            </w:r>
          </w:p>
        </w:tc>
      </w:tr>
      <w:tr w:rsidR="00A052DC" w14:paraId="68D1C873" w14:textId="77777777">
        <w:trPr>
          <w:jc w:val="center"/>
        </w:trPr>
        <w:tc>
          <w:tcPr>
            <w:tcW w:w="1559" w:type="dxa"/>
            <w:vAlign w:val="center"/>
          </w:tcPr>
          <w:p w14:paraId="2E0A0166" w14:textId="77777777" w:rsidR="00A052DC" w:rsidRDefault="009F0A60">
            <w:pPr>
              <w:pStyle w:val="B"/>
              <w:widowControl w:val="0"/>
              <w:rPr>
                <w:color w:val="000000"/>
                <w:szCs w:val="20"/>
              </w:rPr>
            </w:pPr>
            <w:r>
              <w:rPr>
                <w:rFonts w:hint="eastAsia"/>
                <w:color w:val="000000"/>
                <w:szCs w:val="20"/>
              </w:rPr>
              <w:t>卡号</w:t>
            </w:r>
          </w:p>
        </w:tc>
        <w:tc>
          <w:tcPr>
            <w:tcW w:w="6961" w:type="dxa"/>
            <w:vAlign w:val="center"/>
          </w:tcPr>
          <w:p w14:paraId="50E47E65" w14:textId="77777777" w:rsidR="00A052DC" w:rsidRDefault="009F0A60">
            <w:pPr>
              <w:rPr>
                <w:rFonts w:ascii="黑体" w:eastAsia="黑体" w:hAnsi="黑体"/>
                <w:color w:val="000000"/>
                <w:sz w:val="20"/>
                <w:szCs w:val="20"/>
              </w:rPr>
            </w:pPr>
            <w:r>
              <w:rPr>
                <w:rFonts w:ascii="黑体" w:eastAsia="黑体" w:hAnsi="黑体" w:hint="eastAsia"/>
                <w:color w:val="000000"/>
                <w:sz w:val="20"/>
                <w:szCs w:val="20"/>
              </w:rPr>
              <w:t>涉嫌外汇违规的卡号，账户账号与卡号至少填写一个。</w:t>
            </w:r>
          </w:p>
        </w:tc>
      </w:tr>
      <w:tr w:rsidR="00A052DC" w14:paraId="7CE50846" w14:textId="77777777">
        <w:trPr>
          <w:jc w:val="center"/>
        </w:trPr>
        <w:tc>
          <w:tcPr>
            <w:tcW w:w="1559" w:type="dxa"/>
          </w:tcPr>
          <w:p w14:paraId="5303C2DC" w14:textId="77777777" w:rsidR="00A052DC" w:rsidRDefault="009F0A60">
            <w:pPr>
              <w:pStyle w:val="B"/>
              <w:widowControl w:val="0"/>
              <w:rPr>
                <w:color w:val="000000"/>
                <w:szCs w:val="20"/>
              </w:rPr>
            </w:pPr>
            <w:r>
              <w:rPr>
                <w:rFonts w:hint="eastAsia"/>
                <w:color w:val="000000"/>
                <w:szCs w:val="20"/>
              </w:rPr>
              <w:t>交易日期</w:t>
            </w:r>
          </w:p>
        </w:tc>
        <w:tc>
          <w:tcPr>
            <w:tcW w:w="6961" w:type="dxa"/>
          </w:tcPr>
          <w:p w14:paraId="52575F04" w14:textId="77777777" w:rsidR="00A052DC" w:rsidRDefault="009F0A60">
            <w:pPr>
              <w:pStyle w:val="B"/>
              <w:widowControl w:val="0"/>
              <w:rPr>
                <w:color w:val="000000"/>
                <w:szCs w:val="20"/>
              </w:rPr>
            </w:pPr>
            <w:r>
              <w:rPr>
                <w:rFonts w:hint="eastAsia"/>
                <w:color w:val="000000"/>
                <w:szCs w:val="20"/>
              </w:rPr>
              <w:t>交易发生的日期，格式为</w:t>
            </w:r>
            <w:r>
              <w:rPr>
                <w:color w:val="000000"/>
                <w:szCs w:val="20"/>
              </w:rPr>
              <w:t>YYYYMMDD</w:t>
            </w:r>
            <w:r>
              <w:rPr>
                <w:rFonts w:hint="eastAsia"/>
                <w:color w:val="000000"/>
                <w:szCs w:val="20"/>
              </w:rPr>
              <w:t>。</w:t>
            </w:r>
          </w:p>
        </w:tc>
      </w:tr>
      <w:tr w:rsidR="00A052DC" w14:paraId="4272938C" w14:textId="77777777">
        <w:trPr>
          <w:jc w:val="center"/>
        </w:trPr>
        <w:tc>
          <w:tcPr>
            <w:tcW w:w="1559" w:type="dxa"/>
          </w:tcPr>
          <w:p w14:paraId="797B4DE0" w14:textId="77777777" w:rsidR="00A052DC" w:rsidRDefault="009F0A60">
            <w:pPr>
              <w:pStyle w:val="B"/>
              <w:widowControl w:val="0"/>
              <w:rPr>
                <w:color w:val="000000"/>
                <w:szCs w:val="20"/>
              </w:rPr>
            </w:pPr>
            <w:r>
              <w:rPr>
                <w:rFonts w:hint="eastAsia"/>
                <w:color w:val="000000"/>
                <w:szCs w:val="20"/>
              </w:rPr>
              <w:t>交易时间</w:t>
            </w:r>
          </w:p>
        </w:tc>
        <w:tc>
          <w:tcPr>
            <w:tcW w:w="6961" w:type="dxa"/>
          </w:tcPr>
          <w:p w14:paraId="0A6792AC" w14:textId="77777777" w:rsidR="00A052DC" w:rsidRDefault="009F0A60">
            <w:pPr>
              <w:pStyle w:val="B"/>
              <w:widowControl w:val="0"/>
              <w:rPr>
                <w:color w:val="000000"/>
                <w:szCs w:val="20"/>
              </w:rPr>
            </w:pPr>
            <w:r>
              <w:rPr>
                <w:rFonts w:hint="eastAsia"/>
                <w:color w:val="000000"/>
                <w:szCs w:val="20"/>
              </w:rPr>
              <w:t>交易发生的时间，格式为</w:t>
            </w:r>
            <w:r>
              <w:rPr>
                <w:color w:val="000000"/>
                <w:szCs w:val="20"/>
              </w:rPr>
              <w:t>HH:MM:SS</w:t>
            </w:r>
            <w:r>
              <w:rPr>
                <w:rFonts w:hint="eastAsia"/>
                <w:color w:val="000000"/>
                <w:szCs w:val="20"/>
              </w:rPr>
              <w:t>。</w:t>
            </w:r>
          </w:p>
        </w:tc>
      </w:tr>
      <w:tr w:rsidR="00A052DC" w14:paraId="13452995" w14:textId="77777777">
        <w:trPr>
          <w:jc w:val="center"/>
        </w:trPr>
        <w:tc>
          <w:tcPr>
            <w:tcW w:w="1559" w:type="dxa"/>
          </w:tcPr>
          <w:p w14:paraId="40932B24" w14:textId="77777777" w:rsidR="00A052DC" w:rsidRDefault="009F0A60">
            <w:pPr>
              <w:pStyle w:val="B"/>
              <w:widowControl w:val="0"/>
              <w:rPr>
                <w:color w:val="000000"/>
                <w:szCs w:val="20"/>
              </w:rPr>
            </w:pPr>
            <w:r>
              <w:rPr>
                <w:rFonts w:hint="eastAsia"/>
                <w:color w:val="000000"/>
                <w:szCs w:val="20"/>
              </w:rPr>
              <w:t>交易方式</w:t>
            </w:r>
          </w:p>
        </w:tc>
        <w:tc>
          <w:tcPr>
            <w:tcW w:w="6961" w:type="dxa"/>
          </w:tcPr>
          <w:p w14:paraId="68EAD047" w14:textId="77777777" w:rsidR="00A052DC" w:rsidRDefault="009F0A60">
            <w:pPr>
              <w:pStyle w:val="B"/>
              <w:widowControl w:val="0"/>
              <w:rPr>
                <w:color w:val="000000"/>
                <w:szCs w:val="20"/>
              </w:rPr>
            </w:pPr>
            <w:r>
              <w:rPr>
                <w:rFonts w:hint="eastAsia"/>
                <w:color w:val="000000"/>
                <w:szCs w:val="20"/>
              </w:rPr>
              <w:t>交易发生的具体方式：柜面、网上银行、第三方支付、</w:t>
            </w:r>
            <w:r>
              <w:rPr>
                <w:color w:val="000000"/>
                <w:szCs w:val="20"/>
              </w:rPr>
              <w:t>POS</w:t>
            </w:r>
            <w:r>
              <w:rPr>
                <w:rFonts w:hint="eastAsia"/>
                <w:color w:val="000000"/>
                <w:szCs w:val="20"/>
              </w:rPr>
              <w:t>消费、</w:t>
            </w:r>
            <w:r>
              <w:rPr>
                <w:color w:val="000000"/>
                <w:szCs w:val="20"/>
              </w:rPr>
              <w:t>ATM</w:t>
            </w:r>
            <w:r>
              <w:rPr>
                <w:rFonts w:hint="eastAsia"/>
                <w:color w:val="000000"/>
                <w:szCs w:val="20"/>
              </w:rPr>
              <w:t>取现等。</w:t>
            </w:r>
          </w:p>
        </w:tc>
      </w:tr>
      <w:tr w:rsidR="00A052DC" w14:paraId="4BE3EB65" w14:textId="77777777">
        <w:trPr>
          <w:jc w:val="center"/>
        </w:trPr>
        <w:tc>
          <w:tcPr>
            <w:tcW w:w="1559" w:type="dxa"/>
          </w:tcPr>
          <w:p w14:paraId="5F590149" w14:textId="77777777" w:rsidR="00A052DC" w:rsidRDefault="009F0A60">
            <w:pPr>
              <w:pStyle w:val="B"/>
              <w:widowControl w:val="0"/>
              <w:rPr>
                <w:color w:val="000000"/>
                <w:szCs w:val="20"/>
              </w:rPr>
            </w:pPr>
            <w:r>
              <w:rPr>
                <w:rFonts w:hint="eastAsia"/>
                <w:color w:val="000000"/>
                <w:szCs w:val="20"/>
              </w:rPr>
              <w:t>摘要（备注）</w:t>
            </w:r>
          </w:p>
        </w:tc>
        <w:tc>
          <w:tcPr>
            <w:tcW w:w="6961" w:type="dxa"/>
          </w:tcPr>
          <w:p w14:paraId="74932449" w14:textId="77777777" w:rsidR="00A052DC" w:rsidRDefault="009F0A60">
            <w:pPr>
              <w:pStyle w:val="B"/>
              <w:widowControl w:val="0"/>
              <w:rPr>
                <w:color w:val="000000"/>
                <w:szCs w:val="20"/>
              </w:rPr>
            </w:pPr>
            <w:r>
              <w:rPr>
                <w:rFonts w:hint="eastAsia"/>
                <w:color w:val="000000"/>
                <w:szCs w:val="20"/>
              </w:rPr>
              <w:t>交易中由收</w:t>
            </w:r>
            <w:r>
              <w:rPr>
                <w:color w:val="000000"/>
                <w:szCs w:val="20"/>
              </w:rPr>
              <w:t>/</w:t>
            </w:r>
            <w:r>
              <w:rPr>
                <w:rFonts w:hint="eastAsia"/>
                <w:color w:val="000000"/>
                <w:szCs w:val="20"/>
              </w:rPr>
              <w:t>付款人填写的交易附言等备注信息。</w:t>
            </w:r>
          </w:p>
        </w:tc>
      </w:tr>
      <w:tr w:rsidR="00A052DC" w14:paraId="19516093" w14:textId="77777777">
        <w:trPr>
          <w:jc w:val="center"/>
        </w:trPr>
        <w:tc>
          <w:tcPr>
            <w:tcW w:w="1559" w:type="dxa"/>
          </w:tcPr>
          <w:p w14:paraId="01CA6AAC" w14:textId="77777777" w:rsidR="00A052DC" w:rsidRDefault="009F0A60">
            <w:pPr>
              <w:pStyle w:val="B"/>
              <w:widowControl w:val="0"/>
              <w:rPr>
                <w:color w:val="000000"/>
                <w:szCs w:val="20"/>
              </w:rPr>
            </w:pPr>
            <w:r>
              <w:rPr>
                <w:rFonts w:hint="eastAsia"/>
                <w:color w:val="000000"/>
                <w:szCs w:val="20"/>
              </w:rPr>
              <w:t>币别</w:t>
            </w:r>
          </w:p>
        </w:tc>
        <w:tc>
          <w:tcPr>
            <w:tcW w:w="6961" w:type="dxa"/>
          </w:tcPr>
          <w:p w14:paraId="4D6AE7F4" w14:textId="77777777" w:rsidR="00A052DC" w:rsidRDefault="009F0A60">
            <w:pPr>
              <w:pStyle w:val="B"/>
              <w:widowControl w:val="0"/>
              <w:rPr>
                <w:color w:val="000000"/>
                <w:szCs w:val="20"/>
              </w:rPr>
            </w:pPr>
            <w:r>
              <w:rPr>
                <w:rFonts w:hint="eastAsia"/>
                <w:color w:val="000000"/>
                <w:szCs w:val="20"/>
              </w:rPr>
              <w:t>交易货币的币种。</w:t>
            </w:r>
          </w:p>
        </w:tc>
      </w:tr>
      <w:tr w:rsidR="00A052DC" w14:paraId="3E7C5972" w14:textId="77777777">
        <w:trPr>
          <w:jc w:val="center"/>
        </w:trPr>
        <w:tc>
          <w:tcPr>
            <w:tcW w:w="1559" w:type="dxa"/>
          </w:tcPr>
          <w:p w14:paraId="61F2A537" w14:textId="77777777" w:rsidR="00A052DC" w:rsidRDefault="009F0A60">
            <w:pPr>
              <w:pStyle w:val="B"/>
              <w:widowControl w:val="0"/>
              <w:rPr>
                <w:color w:val="000000"/>
                <w:szCs w:val="20"/>
              </w:rPr>
            </w:pPr>
            <w:r>
              <w:rPr>
                <w:rFonts w:hint="eastAsia"/>
                <w:color w:val="000000"/>
                <w:szCs w:val="20"/>
              </w:rPr>
              <w:t>借贷（收付）标记</w:t>
            </w:r>
          </w:p>
        </w:tc>
        <w:tc>
          <w:tcPr>
            <w:tcW w:w="6961" w:type="dxa"/>
          </w:tcPr>
          <w:p w14:paraId="34B92990" w14:textId="77777777" w:rsidR="00A052DC" w:rsidRDefault="009F0A60">
            <w:pPr>
              <w:pStyle w:val="B"/>
              <w:widowControl w:val="0"/>
              <w:rPr>
                <w:color w:val="000000"/>
                <w:szCs w:val="20"/>
              </w:rPr>
            </w:pPr>
            <w:r>
              <w:rPr>
                <w:rFonts w:hint="eastAsia"/>
                <w:color w:val="000000"/>
                <w:szCs w:val="20"/>
              </w:rPr>
              <w:t>交易发生的具体方向：付款</w:t>
            </w:r>
            <w:r>
              <w:rPr>
                <w:color w:val="000000"/>
                <w:szCs w:val="20"/>
              </w:rPr>
              <w:t>/</w:t>
            </w:r>
            <w:r>
              <w:rPr>
                <w:rFonts w:hint="eastAsia"/>
                <w:color w:val="000000"/>
                <w:szCs w:val="20"/>
              </w:rPr>
              <w:t>收款。</w:t>
            </w:r>
          </w:p>
        </w:tc>
      </w:tr>
      <w:tr w:rsidR="00A052DC" w14:paraId="21C0A465" w14:textId="77777777">
        <w:trPr>
          <w:jc w:val="center"/>
        </w:trPr>
        <w:tc>
          <w:tcPr>
            <w:tcW w:w="1559" w:type="dxa"/>
          </w:tcPr>
          <w:p w14:paraId="438045FA" w14:textId="77777777" w:rsidR="00A052DC" w:rsidRDefault="009F0A60">
            <w:pPr>
              <w:pStyle w:val="B"/>
              <w:widowControl w:val="0"/>
              <w:rPr>
                <w:color w:val="000000"/>
                <w:szCs w:val="20"/>
              </w:rPr>
            </w:pPr>
            <w:r>
              <w:rPr>
                <w:rFonts w:hint="eastAsia"/>
                <w:color w:val="000000"/>
                <w:szCs w:val="20"/>
              </w:rPr>
              <w:t>交易金额</w:t>
            </w:r>
          </w:p>
        </w:tc>
        <w:tc>
          <w:tcPr>
            <w:tcW w:w="6961" w:type="dxa"/>
          </w:tcPr>
          <w:p w14:paraId="2B096050" w14:textId="77777777" w:rsidR="00A052DC" w:rsidRDefault="009F0A60">
            <w:pPr>
              <w:pStyle w:val="B"/>
              <w:widowControl w:val="0"/>
              <w:rPr>
                <w:color w:val="000000"/>
                <w:szCs w:val="20"/>
              </w:rPr>
            </w:pPr>
            <w:r>
              <w:rPr>
                <w:rFonts w:hint="eastAsia"/>
                <w:color w:val="000000"/>
                <w:szCs w:val="20"/>
              </w:rPr>
              <w:t>交易发生的具体金额。</w:t>
            </w:r>
          </w:p>
        </w:tc>
      </w:tr>
      <w:tr w:rsidR="00A052DC" w14:paraId="7398E42D" w14:textId="77777777">
        <w:trPr>
          <w:jc w:val="center"/>
        </w:trPr>
        <w:tc>
          <w:tcPr>
            <w:tcW w:w="1559" w:type="dxa"/>
          </w:tcPr>
          <w:p w14:paraId="766F8D88" w14:textId="77777777" w:rsidR="00A052DC" w:rsidRDefault="009F0A60">
            <w:pPr>
              <w:pStyle w:val="B"/>
              <w:widowControl w:val="0"/>
              <w:rPr>
                <w:color w:val="000000"/>
                <w:szCs w:val="20"/>
              </w:rPr>
            </w:pPr>
            <w:r>
              <w:rPr>
                <w:rFonts w:hint="eastAsia"/>
                <w:color w:val="000000"/>
                <w:szCs w:val="20"/>
              </w:rPr>
              <w:t>账户余额</w:t>
            </w:r>
          </w:p>
        </w:tc>
        <w:tc>
          <w:tcPr>
            <w:tcW w:w="6961" w:type="dxa"/>
          </w:tcPr>
          <w:p w14:paraId="30958841" w14:textId="77777777" w:rsidR="00A052DC" w:rsidRDefault="009F0A60">
            <w:pPr>
              <w:pStyle w:val="B"/>
              <w:widowControl w:val="0"/>
              <w:rPr>
                <w:color w:val="000000"/>
                <w:szCs w:val="20"/>
              </w:rPr>
            </w:pPr>
            <w:r>
              <w:rPr>
                <w:rFonts w:hint="eastAsia"/>
                <w:color w:val="000000"/>
                <w:szCs w:val="20"/>
              </w:rPr>
              <w:t>交易完成后，本方账户余额。</w:t>
            </w:r>
          </w:p>
        </w:tc>
      </w:tr>
      <w:tr w:rsidR="00A052DC" w14:paraId="6BDC8ECC" w14:textId="77777777">
        <w:trPr>
          <w:jc w:val="center"/>
        </w:trPr>
        <w:tc>
          <w:tcPr>
            <w:tcW w:w="1559" w:type="dxa"/>
          </w:tcPr>
          <w:p w14:paraId="4B7685E3" w14:textId="77777777" w:rsidR="00A052DC" w:rsidRDefault="009F0A60">
            <w:pPr>
              <w:pStyle w:val="B"/>
              <w:widowControl w:val="0"/>
              <w:rPr>
                <w:color w:val="000000"/>
                <w:szCs w:val="20"/>
              </w:rPr>
            </w:pPr>
            <w:r>
              <w:rPr>
                <w:rFonts w:hint="eastAsia"/>
                <w:color w:val="000000"/>
                <w:szCs w:val="20"/>
              </w:rPr>
              <w:t>交易网点名称</w:t>
            </w:r>
          </w:p>
        </w:tc>
        <w:tc>
          <w:tcPr>
            <w:tcW w:w="6961" w:type="dxa"/>
          </w:tcPr>
          <w:p w14:paraId="1CFB32E7" w14:textId="77777777" w:rsidR="00A052DC" w:rsidRDefault="009F0A60">
            <w:pPr>
              <w:pStyle w:val="B"/>
              <w:widowControl w:val="0"/>
              <w:rPr>
                <w:color w:val="000000"/>
                <w:szCs w:val="20"/>
              </w:rPr>
            </w:pPr>
            <w:r>
              <w:rPr>
                <w:rFonts w:hint="eastAsia"/>
              </w:rPr>
              <w:t>交易办理银行网点全称</w:t>
            </w:r>
            <w:r>
              <w:rPr>
                <w:rFonts w:hint="eastAsia"/>
                <w:color w:val="000000"/>
                <w:szCs w:val="20"/>
              </w:rPr>
              <w:t>。</w:t>
            </w:r>
          </w:p>
        </w:tc>
      </w:tr>
      <w:tr w:rsidR="00A052DC" w14:paraId="785990F5" w14:textId="77777777">
        <w:trPr>
          <w:jc w:val="center"/>
        </w:trPr>
        <w:tc>
          <w:tcPr>
            <w:tcW w:w="1559" w:type="dxa"/>
          </w:tcPr>
          <w:p w14:paraId="075F21DF" w14:textId="77777777" w:rsidR="00A052DC" w:rsidRDefault="009F0A60">
            <w:pPr>
              <w:pStyle w:val="B"/>
              <w:widowControl w:val="0"/>
              <w:rPr>
                <w:color w:val="000000"/>
                <w:szCs w:val="20"/>
              </w:rPr>
            </w:pPr>
            <w:r>
              <w:rPr>
                <w:rFonts w:hint="eastAsia"/>
                <w:color w:val="000000"/>
                <w:szCs w:val="20"/>
              </w:rPr>
              <w:t>交易网点行号</w:t>
            </w:r>
          </w:p>
        </w:tc>
        <w:tc>
          <w:tcPr>
            <w:tcW w:w="6961" w:type="dxa"/>
          </w:tcPr>
          <w:p w14:paraId="67A321EE" w14:textId="77777777" w:rsidR="00A052DC" w:rsidRDefault="009F0A60">
            <w:pPr>
              <w:pStyle w:val="B"/>
              <w:widowControl w:val="0"/>
              <w:rPr>
                <w:color w:val="000000"/>
                <w:szCs w:val="20"/>
              </w:rPr>
            </w:pPr>
            <w:r>
              <w:rPr>
                <w:rFonts w:hint="eastAsia"/>
                <w:color w:val="000000"/>
                <w:szCs w:val="20"/>
              </w:rPr>
              <w:t>交易办理银行网点人民银行支付系统行号。</w:t>
            </w:r>
          </w:p>
        </w:tc>
      </w:tr>
      <w:tr w:rsidR="00A052DC" w14:paraId="7CB84459" w14:textId="77777777">
        <w:trPr>
          <w:jc w:val="center"/>
        </w:trPr>
        <w:tc>
          <w:tcPr>
            <w:tcW w:w="1559" w:type="dxa"/>
          </w:tcPr>
          <w:p w14:paraId="1F1AFD9E" w14:textId="77777777" w:rsidR="00A052DC" w:rsidRDefault="009F0A60">
            <w:pPr>
              <w:pStyle w:val="B"/>
              <w:widowControl w:val="0"/>
              <w:rPr>
                <w:color w:val="000000"/>
                <w:szCs w:val="20"/>
              </w:rPr>
            </w:pPr>
            <w:r>
              <w:rPr>
                <w:rFonts w:hint="eastAsia"/>
                <w:color w:val="000000"/>
                <w:szCs w:val="20"/>
              </w:rPr>
              <w:t>对手名称</w:t>
            </w:r>
          </w:p>
        </w:tc>
        <w:tc>
          <w:tcPr>
            <w:tcW w:w="6961" w:type="dxa"/>
          </w:tcPr>
          <w:p w14:paraId="69805E8D" w14:textId="77777777" w:rsidR="00A052DC" w:rsidRDefault="009F0A60">
            <w:pPr>
              <w:pStyle w:val="B"/>
              <w:widowControl w:val="0"/>
              <w:rPr>
                <w:color w:val="000000"/>
                <w:szCs w:val="20"/>
              </w:rPr>
            </w:pPr>
            <w:r>
              <w:rPr>
                <w:rFonts w:hint="eastAsia"/>
                <w:color w:val="000000"/>
                <w:szCs w:val="20"/>
              </w:rPr>
              <w:t>交易对手账户名全称。</w:t>
            </w:r>
          </w:p>
        </w:tc>
      </w:tr>
      <w:tr w:rsidR="00A052DC" w14:paraId="3134D04A" w14:textId="77777777">
        <w:trPr>
          <w:jc w:val="center"/>
        </w:trPr>
        <w:tc>
          <w:tcPr>
            <w:tcW w:w="1559" w:type="dxa"/>
          </w:tcPr>
          <w:p w14:paraId="44231792" w14:textId="77777777" w:rsidR="00A052DC" w:rsidRDefault="009F0A60">
            <w:pPr>
              <w:pStyle w:val="B"/>
              <w:widowControl w:val="0"/>
              <w:rPr>
                <w:color w:val="000000"/>
                <w:szCs w:val="20"/>
              </w:rPr>
            </w:pPr>
            <w:r>
              <w:rPr>
                <w:rFonts w:hint="eastAsia"/>
                <w:color w:val="000000"/>
                <w:szCs w:val="20"/>
              </w:rPr>
              <w:t>对手证件号</w:t>
            </w:r>
          </w:p>
        </w:tc>
        <w:tc>
          <w:tcPr>
            <w:tcW w:w="6961" w:type="dxa"/>
          </w:tcPr>
          <w:p w14:paraId="114C2504" w14:textId="77777777" w:rsidR="00A052DC" w:rsidRDefault="009F0A60">
            <w:pPr>
              <w:pStyle w:val="B"/>
              <w:widowControl w:val="0"/>
              <w:rPr>
                <w:color w:val="000000"/>
                <w:szCs w:val="20"/>
              </w:rPr>
            </w:pPr>
            <w:r>
              <w:rPr>
                <w:rFonts w:hint="eastAsia"/>
                <w:color w:val="000000"/>
                <w:szCs w:val="20"/>
              </w:rPr>
              <w:t>交易对手在开户银行填写的证件号码。</w:t>
            </w:r>
          </w:p>
        </w:tc>
      </w:tr>
      <w:tr w:rsidR="00A052DC" w14:paraId="5BC9A2ED" w14:textId="77777777">
        <w:trPr>
          <w:jc w:val="center"/>
        </w:trPr>
        <w:tc>
          <w:tcPr>
            <w:tcW w:w="1559" w:type="dxa"/>
          </w:tcPr>
          <w:p w14:paraId="52276572" w14:textId="77777777" w:rsidR="00A052DC" w:rsidRDefault="009F0A60">
            <w:pPr>
              <w:pStyle w:val="B"/>
              <w:widowControl w:val="0"/>
              <w:rPr>
                <w:color w:val="000000"/>
                <w:szCs w:val="20"/>
              </w:rPr>
            </w:pPr>
            <w:r>
              <w:rPr>
                <w:rFonts w:hint="eastAsia"/>
                <w:color w:val="000000"/>
                <w:szCs w:val="20"/>
              </w:rPr>
              <w:t>对手账号/卡号</w:t>
            </w:r>
          </w:p>
        </w:tc>
        <w:tc>
          <w:tcPr>
            <w:tcW w:w="6961" w:type="dxa"/>
          </w:tcPr>
          <w:p w14:paraId="4C6BB9F4" w14:textId="77777777" w:rsidR="00A052DC" w:rsidRDefault="009F0A60">
            <w:pPr>
              <w:pStyle w:val="B"/>
              <w:widowControl w:val="0"/>
              <w:rPr>
                <w:color w:val="000000"/>
                <w:szCs w:val="20"/>
              </w:rPr>
            </w:pPr>
            <w:r>
              <w:rPr>
                <w:rFonts w:hint="eastAsia"/>
                <w:color w:val="000000"/>
                <w:szCs w:val="20"/>
              </w:rPr>
              <w:t>交易对手账户账号或银行卡号。</w:t>
            </w:r>
          </w:p>
        </w:tc>
      </w:tr>
      <w:tr w:rsidR="00A052DC" w14:paraId="73CCDA54" w14:textId="77777777">
        <w:trPr>
          <w:jc w:val="center"/>
        </w:trPr>
        <w:tc>
          <w:tcPr>
            <w:tcW w:w="1559" w:type="dxa"/>
          </w:tcPr>
          <w:p w14:paraId="617C3D68" w14:textId="77777777" w:rsidR="00A052DC" w:rsidRDefault="009F0A60">
            <w:pPr>
              <w:pStyle w:val="B"/>
              <w:widowControl w:val="0"/>
              <w:rPr>
                <w:color w:val="000000"/>
                <w:szCs w:val="20"/>
              </w:rPr>
            </w:pPr>
            <w:r>
              <w:rPr>
                <w:rFonts w:hint="eastAsia"/>
                <w:color w:val="000000"/>
                <w:szCs w:val="20"/>
              </w:rPr>
              <w:t>对手开户银行名称</w:t>
            </w:r>
          </w:p>
        </w:tc>
        <w:tc>
          <w:tcPr>
            <w:tcW w:w="6961" w:type="dxa"/>
          </w:tcPr>
          <w:p w14:paraId="764C9A6A" w14:textId="77777777" w:rsidR="00A052DC" w:rsidRDefault="009F0A60">
            <w:pPr>
              <w:pStyle w:val="B"/>
              <w:widowControl w:val="0"/>
              <w:rPr>
                <w:color w:val="000000"/>
                <w:szCs w:val="20"/>
              </w:rPr>
            </w:pPr>
            <w:r>
              <w:rPr>
                <w:rFonts w:hint="eastAsia"/>
                <w:color w:val="000000"/>
                <w:szCs w:val="20"/>
              </w:rPr>
              <w:t>交易对手账户的开户银行名称，填写总行名称</w:t>
            </w:r>
            <w:r w:rsidR="00935896">
              <w:rPr>
                <w:rFonts w:hint="eastAsia"/>
                <w:color w:val="000000"/>
                <w:szCs w:val="20"/>
              </w:rPr>
              <w:t>。</w:t>
            </w:r>
          </w:p>
        </w:tc>
      </w:tr>
      <w:tr w:rsidR="00A052DC" w14:paraId="4D48C604" w14:textId="77777777">
        <w:trPr>
          <w:jc w:val="center"/>
        </w:trPr>
        <w:tc>
          <w:tcPr>
            <w:tcW w:w="1559" w:type="dxa"/>
          </w:tcPr>
          <w:p w14:paraId="14E0B23E" w14:textId="77777777" w:rsidR="00A052DC" w:rsidRDefault="009F0A60">
            <w:pPr>
              <w:pStyle w:val="B"/>
              <w:widowControl w:val="0"/>
              <w:rPr>
                <w:color w:val="000000"/>
                <w:szCs w:val="20"/>
              </w:rPr>
            </w:pPr>
            <w:r>
              <w:rPr>
                <w:rFonts w:hint="eastAsia"/>
                <w:color w:val="000000"/>
                <w:szCs w:val="20"/>
              </w:rPr>
              <w:t>对手开户行行号</w:t>
            </w:r>
          </w:p>
        </w:tc>
        <w:tc>
          <w:tcPr>
            <w:tcW w:w="6961" w:type="dxa"/>
          </w:tcPr>
          <w:p w14:paraId="0B22B364" w14:textId="77777777" w:rsidR="00A052DC" w:rsidRDefault="009F0A60">
            <w:pPr>
              <w:pStyle w:val="B"/>
              <w:widowControl w:val="0"/>
              <w:rPr>
                <w:color w:val="000000"/>
                <w:szCs w:val="20"/>
              </w:rPr>
            </w:pPr>
            <w:r>
              <w:rPr>
                <w:rFonts w:hint="eastAsia"/>
                <w:color w:val="000000"/>
                <w:szCs w:val="20"/>
              </w:rPr>
              <w:t>选填，交易对手账户开户业务办理网点的支付系统银行行号。</w:t>
            </w:r>
          </w:p>
        </w:tc>
      </w:tr>
      <w:tr w:rsidR="00A052DC" w14:paraId="18B756CA" w14:textId="77777777">
        <w:trPr>
          <w:jc w:val="center"/>
        </w:trPr>
        <w:tc>
          <w:tcPr>
            <w:tcW w:w="1559" w:type="dxa"/>
          </w:tcPr>
          <w:p w14:paraId="7BE15440" w14:textId="77777777" w:rsidR="00A052DC" w:rsidRDefault="009F0A60">
            <w:pPr>
              <w:pStyle w:val="B"/>
              <w:widowControl w:val="0"/>
              <w:rPr>
                <w:color w:val="000000"/>
                <w:szCs w:val="20"/>
              </w:rPr>
            </w:pPr>
            <w:r>
              <w:rPr>
                <w:rFonts w:hint="eastAsia"/>
                <w:color w:val="000000"/>
                <w:szCs w:val="20"/>
              </w:rPr>
              <w:t>代办人名称</w:t>
            </w:r>
          </w:p>
        </w:tc>
        <w:tc>
          <w:tcPr>
            <w:tcW w:w="6961" w:type="dxa"/>
          </w:tcPr>
          <w:p w14:paraId="0E6A226D" w14:textId="77777777" w:rsidR="00A052DC" w:rsidRDefault="009F0A60">
            <w:pPr>
              <w:pStyle w:val="B"/>
              <w:widowControl w:val="0"/>
              <w:rPr>
                <w:color w:val="000000"/>
                <w:szCs w:val="20"/>
              </w:rPr>
            </w:pPr>
            <w:r>
              <w:rPr>
                <w:rFonts w:hint="eastAsia"/>
                <w:color w:val="000000"/>
                <w:szCs w:val="20"/>
              </w:rPr>
              <w:t>仅在委托代办业务时需填写，代办交易的代办人姓名全称</w:t>
            </w:r>
            <w:r w:rsidR="005D2C5E">
              <w:rPr>
                <w:rFonts w:hint="eastAsia"/>
                <w:color w:val="000000"/>
                <w:szCs w:val="20"/>
              </w:rPr>
              <w:t>。</w:t>
            </w:r>
          </w:p>
        </w:tc>
      </w:tr>
      <w:tr w:rsidR="00A052DC" w14:paraId="06EEA1B9" w14:textId="77777777">
        <w:trPr>
          <w:jc w:val="center"/>
        </w:trPr>
        <w:tc>
          <w:tcPr>
            <w:tcW w:w="1559" w:type="dxa"/>
          </w:tcPr>
          <w:p w14:paraId="4C8936C8" w14:textId="77777777" w:rsidR="00A052DC" w:rsidRDefault="009F0A60">
            <w:pPr>
              <w:pStyle w:val="B"/>
              <w:widowControl w:val="0"/>
              <w:rPr>
                <w:color w:val="000000"/>
                <w:szCs w:val="20"/>
              </w:rPr>
            </w:pPr>
            <w:r>
              <w:rPr>
                <w:color w:val="000000"/>
                <w:szCs w:val="20"/>
              </w:rPr>
              <w:t>IP</w:t>
            </w:r>
            <w:r>
              <w:rPr>
                <w:rFonts w:hint="eastAsia"/>
                <w:color w:val="000000"/>
                <w:szCs w:val="20"/>
              </w:rPr>
              <w:t>地址</w:t>
            </w:r>
          </w:p>
        </w:tc>
        <w:tc>
          <w:tcPr>
            <w:tcW w:w="6961" w:type="dxa"/>
          </w:tcPr>
          <w:p w14:paraId="470787B9" w14:textId="77777777" w:rsidR="00A052DC" w:rsidRDefault="009F0A60">
            <w:pPr>
              <w:pStyle w:val="B"/>
              <w:widowControl w:val="0"/>
              <w:rPr>
                <w:color w:val="000000"/>
                <w:szCs w:val="20"/>
              </w:rPr>
            </w:pPr>
            <w:r>
              <w:rPr>
                <w:rFonts w:hint="eastAsia"/>
                <w:color w:val="000000"/>
                <w:szCs w:val="20"/>
              </w:rPr>
              <w:t>交易发起方使用设备的</w:t>
            </w:r>
            <w:r>
              <w:rPr>
                <w:color w:val="000000"/>
                <w:szCs w:val="20"/>
              </w:rPr>
              <w:t>IP</w:t>
            </w:r>
            <w:r>
              <w:rPr>
                <w:rFonts w:hint="eastAsia"/>
                <w:color w:val="000000"/>
                <w:szCs w:val="20"/>
              </w:rPr>
              <w:t>地址</w:t>
            </w:r>
            <w:r w:rsidR="005D2C5E">
              <w:rPr>
                <w:rFonts w:hint="eastAsia"/>
                <w:color w:val="000000"/>
                <w:szCs w:val="20"/>
              </w:rPr>
              <w:t>。</w:t>
            </w:r>
          </w:p>
        </w:tc>
      </w:tr>
      <w:tr w:rsidR="00A052DC" w14:paraId="59CF0BC5" w14:textId="77777777">
        <w:trPr>
          <w:jc w:val="center"/>
        </w:trPr>
        <w:tc>
          <w:tcPr>
            <w:tcW w:w="1559" w:type="dxa"/>
          </w:tcPr>
          <w:p w14:paraId="0BBEDDB3" w14:textId="77777777" w:rsidR="00A052DC" w:rsidRDefault="009F0A60">
            <w:pPr>
              <w:pStyle w:val="B"/>
              <w:widowControl w:val="0"/>
              <w:rPr>
                <w:color w:val="000000"/>
                <w:szCs w:val="20"/>
              </w:rPr>
            </w:pPr>
            <w:r>
              <w:rPr>
                <w:color w:val="000000"/>
                <w:szCs w:val="20"/>
              </w:rPr>
              <w:t>MAC</w:t>
            </w:r>
            <w:r>
              <w:rPr>
                <w:rFonts w:hint="eastAsia"/>
                <w:color w:val="000000"/>
                <w:szCs w:val="20"/>
              </w:rPr>
              <w:t>地址</w:t>
            </w:r>
          </w:p>
        </w:tc>
        <w:tc>
          <w:tcPr>
            <w:tcW w:w="6961" w:type="dxa"/>
          </w:tcPr>
          <w:p w14:paraId="344BC4F0" w14:textId="77777777" w:rsidR="00A052DC" w:rsidRDefault="009F0A60">
            <w:pPr>
              <w:pStyle w:val="B"/>
              <w:widowControl w:val="0"/>
              <w:rPr>
                <w:color w:val="000000"/>
                <w:szCs w:val="20"/>
              </w:rPr>
            </w:pPr>
            <w:r>
              <w:rPr>
                <w:rFonts w:hint="eastAsia"/>
                <w:color w:val="000000"/>
                <w:szCs w:val="20"/>
              </w:rPr>
              <w:t>交易发起方使用设备的</w:t>
            </w:r>
            <w:r>
              <w:rPr>
                <w:color w:val="000000"/>
                <w:szCs w:val="20"/>
              </w:rPr>
              <w:t>MAC</w:t>
            </w:r>
            <w:r>
              <w:rPr>
                <w:rFonts w:hint="eastAsia"/>
                <w:color w:val="000000"/>
                <w:szCs w:val="20"/>
              </w:rPr>
              <w:t>地址</w:t>
            </w:r>
            <w:r w:rsidR="005D2C5E">
              <w:rPr>
                <w:rFonts w:hint="eastAsia"/>
                <w:color w:val="000000"/>
                <w:szCs w:val="20"/>
              </w:rPr>
              <w:t>。</w:t>
            </w:r>
          </w:p>
        </w:tc>
      </w:tr>
    </w:tbl>
    <w:p w14:paraId="77036393" w14:textId="77777777" w:rsidR="00A052DC" w:rsidRDefault="009F0A60">
      <w:pPr>
        <w:pStyle w:val="4"/>
        <w:numPr>
          <w:ilvl w:val="3"/>
          <w:numId w:val="1"/>
        </w:numPr>
        <w:jc w:val="left"/>
      </w:pPr>
      <w:r>
        <w:rPr>
          <w:rFonts w:hint="eastAsia"/>
        </w:rPr>
        <w:t>数据格式</w:t>
      </w:r>
    </w:p>
    <w:p w14:paraId="580FE487" w14:textId="77777777" w:rsidR="00A052DC" w:rsidRDefault="009F0A60">
      <w:r>
        <w:t>&lt;REC&gt;</w:t>
      </w:r>
    </w:p>
    <w:p w14:paraId="74BEFF0F" w14:textId="77777777" w:rsidR="00A052DC" w:rsidRDefault="009F0A60">
      <w:r>
        <w:t>&lt;ACTIONTYPE&gt;</w:t>
      </w:r>
      <w:r>
        <w:rPr>
          <w:rFonts w:hint="eastAsia"/>
        </w:rPr>
        <w:t>操作类型</w:t>
      </w:r>
      <w:r>
        <w:t>&lt;/ACTIONTYPE&gt;</w:t>
      </w:r>
    </w:p>
    <w:p w14:paraId="5E4BD17E" w14:textId="77777777" w:rsidR="00A052DC" w:rsidRDefault="009F0A60">
      <w:r>
        <w:t>&lt;ACTIONDESC&gt;</w:t>
      </w:r>
      <w:r>
        <w:rPr>
          <w:rFonts w:hint="eastAsia"/>
        </w:rPr>
        <w:t>修改</w:t>
      </w:r>
      <w:r>
        <w:t>/</w:t>
      </w:r>
      <w:r>
        <w:rPr>
          <w:rFonts w:hint="eastAsia"/>
        </w:rPr>
        <w:t>删除原因</w:t>
      </w:r>
      <w:r>
        <w:t>&lt;/ACTIONDESC&gt;</w:t>
      </w:r>
    </w:p>
    <w:p w14:paraId="1DB0B01C" w14:textId="77777777" w:rsidR="00A052DC" w:rsidRDefault="009F0A60">
      <w:r>
        <w:t>&lt;REPLYNUM&gt;</w:t>
      </w:r>
      <w:r>
        <w:rPr>
          <w:rFonts w:hint="eastAsia"/>
        </w:rPr>
        <w:t>回复流水号</w:t>
      </w:r>
      <w:r>
        <w:t>&lt;/REPLYNUM&gt;</w:t>
      </w:r>
    </w:p>
    <w:p w14:paraId="1E60D3C7" w14:textId="77777777" w:rsidR="00A052DC" w:rsidRDefault="009F0A60">
      <w:r>
        <w:t>&lt;APPLYNUM&gt;</w:t>
      </w:r>
      <w:r>
        <w:rPr>
          <w:rFonts w:hint="eastAsia"/>
        </w:rPr>
        <w:t>查询流水号</w:t>
      </w:r>
      <w:r>
        <w:t>&lt;/APPLYNUM&gt;</w:t>
      </w:r>
    </w:p>
    <w:p w14:paraId="03A93637" w14:textId="77777777" w:rsidR="00A052DC" w:rsidRDefault="009F0A60">
      <w:r>
        <w:t>&lt;BUSCODE&gt;</w:t>
      </w:r>
      <w:r>
        <w:rPr>
          <w:rFonts w:hint="eastAsia"/>
        </w:rPr>
        <w:t>银行业务参号</w:t>
      </w:r>
      <w:r>
        <w:t>&lt;/BUSCODE&gt;</w:t>
      </w:r>
    </w:p>
    <w:p w14:paraId="0D9182F2" w14:textId="77777777" w:rsidR="00A052DC" w:rsidRDefault="009F0A60">
      <w:r>
        <w:t>&lt;ENCODE&gt;</w:t>
      </w:r>
      <w:r>
        <w:rPr>
          <w:rFonts w:hint="eastAsia"/>
        </w:rPr>
        <w:t>证件号码</w:t>
      </w:r>
      <w:r>
        <w:t>&lt;/ENCODE&gt;</w:t>
      </w:r>
    </w:p>
    <w:p w14:paraId="225942C6" w14:textId="77777777" w:rsidR="00A052DC" w:rsidRDefault="009F0A60">
      <w:r>
        <w:t>&lt;ACCOUNTNO&gt;</w:t>
      </w:r>
      <w:r>
        <w:rPr>
          <w:rFonts w:hint="eastAsia"/>
        </w:rPr>
        <w:t>账户账号</w:t>
      </w:r>
      <w:r>
        <w:t>&lt;/ACCOUNTNO&gt;</w:t>
      </w:r>
    </w:p>
    <w:p w14:paraId="55637CFF" w14:textId="77777777" w:rsidR="00A052DC" w:rsidRDefault="009F0A60">
      <w:r>
        <w:t>&lt;CARDNO&gt;</w:t>
      </w:r>
      <w:r>
        <w:rPr>
          <w:rFonts w:hint="eastAsia"/>
        </w:rPr>
        <w:t>卡号</w:t>
      </w:r>
      <w:r>
        <w:t>&lt;/CARDNO&gt;</w:t>
      </w:r>
    </w:p>
    <w:p w14:paraId="64BF1F05" w14:textId="77777777" w:rsidR="00A052DC" w:rsidRDefault="009F0A60">
      <w:r>
        <w:t>&lt;DEALDATE&gt;</w:t>
      </w:r>
      <w:r>
        <w:rPr>
          <w:rFonts w:hint="eastAsia"/>
        </w:rPr>
        <w:t>交易日期</w:t>
      </w:r>
      <w:r>
        <w:t>&lt;/DEALDATE&gt;</w:t>
      </w:r>
    </w:p>
    <w:p w14:paraId="13160199" w14:textId="77777777" w:rsidR="00A052DC" w:rsidRDefault="009F0A60">
      <w:r>
        <w:t>&lt;DEALTIME&gt;</w:t>
      </w:r>
      <w:r>
        <w:rPr>
          <w:rFonts w:hint="eastAsia"/>
        </w:rPr>
        <w:t>交易时间</w:t>
      </w:r>
      <w:r>
        <w:t>&lt;/DEALTIME&gt;</w:t>
      </w:r>
    </w:p>
    <w:p w14:paraId="4E480AF2" w14:textId="77777777" w:rsidR="00A052DC" w:rsidRDefault="009F0A60">
      <w:r>
        <w:t>&lt;TRANSACT&gt;</w:t>
      </w:r>
      <w:r>
        <w:rPr>
          <w:rFonts w:hint="eastAsia"/>
        </w:rPr>
        <w:t>交易方式</w:t>
      </w:r>
      <w:r>
        <w:t>&lt;/TRANSACT&gt;</w:t>
      </w:r>
    </w:p>
    <w:p w14:paraId="3CD8C0E1" w14:textId="77777777" w:rsidR="00A052DC" w:rsidRDefault="009F0A60">
      <w:r>
        <w:t>&lt;REMARKS&gt;</w:t>
      </w:r>
      <w:r>
        <w:rPr>
          <w:rFonts w:hint="eastAsia"/>
        </w:rPr>
        <w:t>摘要（备注）</w:t>
      </w:r>
      <w:r>
        <w:t>&lt;/REMARKS&gt;</w:t>
      </w:r>
    </w:p>
    <w:p w14:paraId="626C3ED8" w14:textId="77777777" w:rsidR="00A052DC" w:rsidRDefault="009F0A60">
      <w:r>
        <w:t>&lt;DEALCURR&gt;</w:t>
      </w:r>
      <w:r>
        <w:rPr>
          <w:rFonts w:hint="eastAsia"/>
        </w:rPr>
        <w:t>币别</w:t>
      </w:r>
      <w:r>
        <w:t>&lt;/DEALCURR&gt;</w:t>
      </w:r>
    </w:p>
    <w:p w14:paraId="6DB3CCC4" w14:textId="77777777" w:rsidR="00A052DC" w:rsidRDefault="009F0A60">
      <w:r>
        <w:t>&lt;PAYMENTSTAT&gt;</w:t>
      </w:r>
      <w:r>
        <w:rPr>
          <w:rFonts w:hint="eastAsia"/>
        </w:rPr>
        <w:t>借贷（收付）标记</w:t>
      </w:r>
      <w:r>
        <w:t>&lt;/PAYMENTSTAT&gt;</w:t>
      </w:r>
    </w:p>
    <w:p w14:paraId="25C3756A" w14:textId="77777777" w:rsidR="00A052DC" w:rsidRDefault="009F0A60">
      <w:r>
        <w:t>&lt;DEALAMOUNT&gt;</w:t>
      </w:r>
      <w:r>
        <w:rPr>
          <w:rFonts w:hint="eastAsia"/>
        </w:rPr>
        <w:t>交易金额</w:t>
      </w:r>
      <w:r>
        <w:t>&lt;/DEALAMOUNT&gt;</w:t>
      </w:r>
    </w:p>
    <w:p w14:paraId="567C20DF" w14:textId="77777777" w:rsidR="00A052DC" w:rsidRDefault="009F0A60">
      <w:r>
        <w:t>&lt;ACCOUNTBALAN&gt;</w:t>
      </w:r>
      <w:r>
        <w:rPr>
          <w:rFonts w:hint="eastAsia"/>
        </w:rPr>
        <w:t>账户余额</w:t>
      </w:r>
      <w:r>
        <w:t>&lt;/ACCOUNTBALAN&gt;</w:t>
      </w:r>
    </w:p>
    <w:p w14:paraId="73060225" w14:textId="77777777" w:rsidR="00A052DC" w:rsidRDefault="009F0A60">
      <w:r>
        <w:t>&lt;DEALBRANCHNAME&gt;</w:t>
      </w:r>
      <w:r>
        <w:rPr>
          <w:rFonts w:hint="eastAsia"/>
        </w:rPr>
        <w:t>交易网点名称</w:t>
      </w:r>
      <w:r>
        <w:t>&lt;/DEALBRANCHNAME&gt;</w:t>
      </w:r>
    </w:p>
    <w:p w14:paraId="488D3E4D" w14:textId="77777777" w:rsidR="00A052DC" w:rsidRDefault="009F0A60">
      <w:r>
        <w:t>&lt;DEALBRANCHCODE&gt;</w:t>
      </w:r>
      <w:r>
        <w:rPr>
          <w:rFonts w:hint="eastAsia"/>
        </w:rPr>
        <w:t>交易网点行号</w:t>
      </w:r>
      <w:r>
        <w:t>&lt;/DEALBRANCHCODE&gt;</w:t>
      </w:r>
    </w:p>
    <w:p w14:paraId="6D9BE95C" w14:textId="77777777" w:rsidR="00A052DC" w:rsidRDefault="009F0A60">
      <w:r>
        <w:t>&lt;COUNTERPARTY&gt;</w:t>
      </w:r>
      <w:r>
        <w:rPr>
          <w:rFonts w:hint="eastAsia"/>
        </w:rPr>
        <w:t>对手名称</w:t>
      </w:r>
      <w:r>
        <w:t>&lt;/COUNTERPARTY&gt;</w:t>
      </w:r>
    </w:p>
    <w:p w14:paraId="11546303" w14:textId="77777777" w:rsidR="00A052DC" w:rsidRDefault="009F0A60">
      <w:r>
        <w:t>&lt;COUNTERPARTYCODE&gt;</w:t>
      </w:r>
      <w:r>
        <w:rPr>
          <w:rFonts w:hint="eastAsia"/>
        </w:rPr>
        <w:t>对手证件号</w:t>
      </w:r>
      <w:r>
        <w:t>&lt;/COUNTERPARTYCODE&gt;</w:t>
      </w:r>
    </w:p>
    <w:p w14:paraId="6D6735D7" w14:textId="77777777" w:rsidR="00A052DC" w:rsidRDefault="009F0A60">
      <w:r>
        <w:t>&lt;COUNTERPARTYACCOUNT&gt;</w:t>
      </w:r>
      <w:r>
        <w:rPr>
          <w:rFonts w:hint="eastAsia"/>
        </w:rPr>
        <w:t>对手账号</w:t>
      </w:r>
      <w:r>
        <w:rPr>
          <w:rFonts w:hint="eastAsia"/>
        </w:rPr>
        <w:t>/</w:t>
      </w:r>
      <w:r>
        <w:rPr>
          <w:rFonts w:hint="eastAsia"/>
        </w:rPr>
        <w:t>卡号</w:t>
      </w:r>
      <w:r>
        <w:t>&lt;/COUNTERPARTYACCOUNT&gt;</w:t>
      </w:r>
    </w:p>
    <w:p w14:paraId="2B896B73" w14:textId="77777777" w:rsidR="00A052DC" w:rsidRDefault="009F0A60">
      <w:r>
        <w:t>&lt;COUNTERPARTYBRANCHNAME&gt;</w:t>
      </w:r>
      <w:r>
        <w:rPr>
          <w:rFonts w:hint="eastAsia"/>
        </w:rPr>
        <w:t>对手开户银行名称</w:t>
      </w:r>
      <w:r>
        <w:t>&lt;/COUNTERPARTYBRANCHNAME&gt;</w:t>
      </w:r>
    </w:p>
    <w:p w14:paraId="51EBD572" w14:textId="77777777" w:rsidR="00A052DC" w:rsidRDefault="009F0A60">
      <w:r>
        <w:t>&lt;COUNTERPARTYBRANCHCODE&gt;</w:t>
      </w:r>
      <w:r>
        <w:rPr>
          <w:rFonts w:hint="eastAsia"/>
        </w:rPr>
        <w:t>对手开户银行行号</w:t>
      </w:r>
      <w:r>
        <w:t>&lt;/COUNTERPARTYBRANCHCODE&gt;</w:t>
      </w:r>
    </w:p>
    <w:p w14:paraId="5F6858DE" w14:textId="77777777" w:rsidR="00A052DC" w:rsidRDefault="009F0A60">
      <w:r>
        <w:t>&lt;AGENTNAME&gt;</w:t>
      </w:r>
      <w:r>
        <w:rPr>
          <w:rFonts w:hint="eastAsia"/>
        </w:rPr>
        <w:t>代办人名称</w:t>
      </w:r>
      <w:r>
        <w:t>&lt;/AGENTNAME&gt;</w:t>
      </w:r>
    </w:p>
    <w:p w14:paraId="4126306A" w14:textId="77777777" w:rsidR="00A052DC" w:rsidRDefault="009F0A60">
      <w:r>
        <w:t>&lt;DEALIP&gt;IP</w:t>
      </w:r>
      <w:r>
        <w:rPr>
          <w:rFonts w:hint="eastAsia"/>
        </w:rPr>
        <w:t>地址</w:t>
      </w:r>
      <w:r>
        <w:t>&lt;/DEALIP&gt;</w:t>
      </w:r>
    </w:p>
    <w:p w14:paraId="711C1E55" w14:textId="77777777" w:rsidR="00A052DC" w:rsidRDefault="009F0A60">
      <w:r>
        <w:t>&lt;DEALMAC&gt;MAC</w:t>
      </w:r>
      <w:r>
        <w:rPr>
          <w:rFonts w:hint="eastAsia"/>
        </w:rPr>
        <w:t>地址</w:t>
      </w:r>
      <w:r>
        <w:t>&lt;/DEALMAC&gt;</w:t>
      </w:r>
    </w:p>
    <w:p w14:paraId="5EC49C30" w14:textId="77777777" w:rsidR="00A052DC" w:rsidRDefault="009F0A60">
      <w:r>
        <w:t>&lt;/REC&gt;</w:t>
      </w:r>
    </w:p>
    <w:p w14:paraId="37A8BA46" w14:textId="77777777" w:rsidR="00A052DC" w:rsidRDefault="009F0A60" w:rsidP="0020251D">
      <w:pPr>
        <w:pStyle w:val="4"/>
        <w:numPr>
          <w:ilvl w:val="3"/>
          <w:numId w:val="1"/>
        </w:numPr>
        <w:jc w:val="left"/>
      </w:pPr>
      <w:r>
        <w:t>数据字典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2"/>
        <w:gridCol w:w="1379"/>
        <w:gridCol w:w="1520"/>
        <w:gridCol w:w="3338"/>
      </w:tblGrid>
      <w:tr w:rsidR="00A052DC" w14:paraId="346239FE" w14:textId="77777777">
        <w:trPr>
          <w:tblHeader/>
          <w:jc w:val="center"/>
        </w:trPr>
        <w:tc>
          <w:tcPr>
            <w:tcW w:w="2282" w:type="dxa"/>
            <w:shd w:val="clear" w:color="auto" w:fill="C0C0C0"/>
          </w:tcPr>
          <w:p w14:paraId="5EFEEB4A" w14:textId="77777777" w:rsidR="00A052DC" w:rsidRDefault="009F0A60">
            <w:pPr>
              <w:jc w:val="center"/>
              <w:rPr>
                <w:rFonts w:ascii="黑体" w:eastAsia="黑体" w:hAnsi="黑体"/>
                <w:b/>
                <w:color w:val="000000"/>
                <w:sz w:val="20"/>
                <w:szCs w:val="20"/>
              </w:rPr>
            </w:pPr>
            <w:r>
              <w:rPr>
                <w:rFonts w:ascii="黑体" w:eastAsia="黑体" w:hAnsi="黑体" w:hint="eastAsia"/>
                <w:b/>
                <w:color w:val="000000"/>
                <w:sz w:val="20"/>
                <w:szCs w:val="20"/>
              </w:rPr>
              <w:t>字段</w:t>
            </w:r>
          </w:p>
        </w:tc>
        <w:tc>
          <w:tcPr>
            <w:tcW w:w="1379" w:type="dxa"/>
            <w:shd w:val="clear" w:color="auto" w:fill="C0C0C0"/>
          </w:tcPr>
          <w:p w14:paraId="74956A3E" w14:textId="77777777" w:rsidR="00A052DC" w:rsidRDefault="009F0A60">
            <w:pPr>
              <w:jc w:val="center"/>
              <w:rPr>
                <w:rFonts w:ascii="黑体" w:eastAsia="黑体" w:hAnsi="黑体"/>
                <w:b/>
                <w:color w:val="000000"/>
                <w:sz w:val="20"/>
                <w:szCs w:val="20"/>
              </w:rPr>
            </w:pPr>
            <w:r>
              <w:rPr>
                <w:rFonts w:ascii="黑体" w:eastAsia="黑体" w:hAnsi="黑体" w:hint="eastAsia"/>
                <w:b/>
                <w:color w:val="000000"/>
                <w:sz w:val="20"/>
                <w:szCs w:val="20"/>
              </w:rPr>
              <w:t>内容</w:t>
            </w:r>
          </w:p>
        </w:tc>
        <w:tc>
          <w:tcPr>
            <w:tcW w:w="1520" w:type="dxa"/>
            <w:shd w:val="clear" w:color="auto" w:fill="C0C0C0"/>
          </w:tcPr>
          <w:p w14:paraId="2319D019" w14:textId="77777777" w:rsidR="00A052DC" w:rsidRDefault="009F0A60">
            <w:pPr>
              <w:jc w:val="center"/>
              <w:rPr>
                <w:rFonts w:ascii="黑体" w:eastAsia="黑体" w:hAnsi="黑体"/>
                <w:b/>
                <w:color w:val="000000"/>
                <w:sz w:val="20"/>
                <w:szCs w:val="20"/>
              </w:rPr>
            </w:pPr>
            <w:r>
              <w:rPr>
                <w:rFonts w:ascii="黑体" w:eastAsia="黑体" w:hAnsi="黑体" w:hint="eastAsia"/>
                <w:b/>
                <w:color w:val="000000"/>
                <w:sz w:val="20"/>
                <w:szCs w:val="20"/>
              </w:rPr>
              <w:t>类型（长度）</w:t>
            </w:r>
          </w:p>
        </w:tc>
        <w:tc>
          <w:tcPr>
            <w:tcW w:w="3338" w:type="dxa"/>
            <w:shd w:val="clear" w:color="auto" w:fill="C0C0C0"/>
          </w:tcPr>
          <w:p w14:paraId="3051276C" w14:textId="77777777" w:rsidR="00A052DC" w:rsidRDefault="009F0A60">
            <w:pPr>
              <w:jc w:val="center"/>
              <w:rPr>
                <w:rFonts w:ascii="黑体" w:eastAsia="黑体" w:hAnsi="黑体"/>
                <w:b/>
                <w:color w:val="000000"/>
                <w:sz w:val="20"/>
                <w:szCs w:val="20"/>
              </w:rPr>
            </w:pPr>
            <w:r>
              <w:rPr>
                <w:rFonts w:ascii="黑体" w:eastAsia="黑体" w:hAnsi="黑体" w:hint="eastAsia"/>
                <w:b/>
                <w:color w:val="000000"/>
                <w:sz w:val="20"/>
                <w:szCs w:val="20"/>
              </w:rPr>
              <w:t>校验</w:t>
            </w:r>
          </w:p>
        </w:tc>
      </w:tr>
      <w:tr w:rsidR="00A052DC" w14:paraId="28037667" w14:textId="77777777">
        <w:trPr>
          <w:jc w:val="center"/>
        </w:trPr>
        <w:tc>
          <w:tcPr>
            <w:tcW w:w="2282" w:type="dxa"/>
            <w:tcBorders>
              <w:top w:val="single" w:sz="4" w:space="0" w:color="auto"/>
              <w:left w:val="single" w:sz="4" w:space="0" w:color="auto"/>
              <w:bottom w:val="single" w:sz="4" w:space="0" w:color="auto"/>
              <w:right w:val="single" w:sz="4" w:space="0" w:color="auto"/>
            </w:tcBorders>
          </w:tcPr>
          <w:p w14:paraId="3757A45C" w14:textId="77777777" w:rsidR="00A052DC" w:rsidRDefault="009F0A60">
            <w:pPr>
              <w:pStyle w:val="B"/>
              <w:widowControl w:val="0"/>
              <w:rPr>
                <w:color w:val="000000"/>
                <w:szCs w:val="20"/>
              </w:rPr>
            </w:pPr>
            <w:r>
              <w:rPr>
                <w:szCs w:val="20"/>
              </w:rPr>
              <w:t>ACTIONTYPE</w:t>
            </w:r>
          </w:p>
        </w:tc>
        <w:tc>
          <w:tcPr>
            <w:tcW w:w="1379" w:type="dxa"/>
            <w:tcBorders>
              <w:top w:val="single" w:sz="4" w:space="0" w:color="auto"/>
              <w:left w:val="single" w:sz="4" w:space="0" w:color="auto"/>
              <w:bottom w:val="single" w:sz="4" w:space="0" w:color="auto"/>
              <w:right w:val="single" w:sz="4" w:space="0" w:color="auto"/>
            </w:tcBorders>
          </w:tcPr>
          <w:p w14:paraId="38492428" w14:textId="77777777" w:rsidR="00A052DC" w:rsidRDefault="009F0A60">
            <w:pPr>
              <w:pStyle w:val="B"/>
              <w:widowControl w:val="0"/>
              <w:rPr>
                <w:color w:val="000000"/>
                <w:szCs w:val="20"/>
              </w:rPr>
            </w:pPr>
            <w:r>
              <w:rPr>
                <w:rFonts w:hint="eastAsia"/>
                <w:szCs w:val="20"/>
              </w:rPr>
              <w:t>操作类型</w:t>
            </w:r>
          </w:p>
        </w:tc>
        <w:tc>
          <w:tcPr>
            <w:tcW w:w="1520" w:type="dxa"/>
            <w:tcBorders>
              <w:top w:val="single" w:sz="4" w:space="0" w:color="auto"/>
              <w:left w:val="single" w:sz="4" w:space="0" w:color="auto"/>
              <w:bottom w:val="single" w:sz="4" w:space="0" w:color="auto"/>
              <w:right w:val="single" w:sz="4" w:space="0" w:color="auto"/>
            </w:tcBorders>
          </w:tcPr>
          <w:p w14:paraId="68FCD7FD" w14:textId="77777777" w:rsidR="00A052DC" w:rsidRDefault="009F0A60">
            <w:pPr>
              <w:pStyle w:val="B"/>
              <w:widowControl w:val="0"/>
              <w:rPr>
                <w:color w:val="000000"/>
                <w:szCs w:val="20"/>
              </w:rPr>
            </w:pPr>
            <w:r>
              <w:rPr>
                <w:rFonts w:hint="eastAsia"/>
                <w:szCs w:val="20"/>
              </w:rPr>
              <w:t>字符型，</w:t>
            </w:r>
            <w:r>
              <w:rPr>
                <w:szCs w:val="20"/>
              </w:rPr>
              <w:t>1</w:t>
            </w:r>
          </w:p>
        </w:tc>
        <w:tc>
          <w:tcPr>
            <w:tcW w:w="3338" w:type="dxa"/>
            <w:tcBorders>
              <w:top w:val="single" w:sz="4" w:space="0" w:color="auto"/>
              <w:left w:val="single" w:sz="4" w:space="0" w:color="auto"/>
              <w:bottom w:val="single" w:sz="4" w:space="0" w:color="auto"/>
              <w:right w:val="single" w:sz="4" w:space="0" w:color="auto"/>
            </w:tcBorders>
          </w:tcPr>
          <w:p w14:paraId="46F6ED5C" w14:textId="77777777" w:rsidR="00A052DC" w:rsidRDefault="009F0A60">
            <w:pPr>
              <w:rPr>
                <w:rFonts w:ascii="黑体" w:eastAsia="黑体" w:hAnsi="黑体"/>
                <w:sz w:val="20"/>
                <w:szCs w:val="20"/>
              </w:rPr>
            </w:pPr>
            <w:r>
              <w:rPr>
                <w:rFonts w:ascii="黑体" w:eastAsia="黑体" w:hAnsi="黑体"/>
                <w:sz w:val="20"/>
                <w:szCs w:val="20"/>
              </w:rPr>
              <w:t>A</w:t>
            </w:r>
            <w:r w:rsidR="00AE4602">
              <w:rPr>
                <w:rFonts w:ascii="黑体" w:eastAsia="黑体" w:hAnsi="黑体"/>
                <w:sz w:val="20"/>
                <w:szCs w:val="20"/>
              </w:rPr>
              <w:t>-</w:t>
            </w:r>
            <w:r>
              <w:rPr>
                <w:rFonts w:ascii="黑体" w:eastAsia="黑体" w:hAnsi="黑体"/>
                <w:sz w:val="20"/>
                <w:szCs w:val="20"/>
              </w:rPr>
              <w:t>新建</w:t>
            </w:r>
          </w:p>
          <w:p w14:paraId="09FCC435" w14:textId="77777777" w:rsidR="00A052DC" w:rsidRDefault="009F0A60">
            <w:pPr>
              <w:rPr>
                <w:rFonts w:ascii="黑体" w:eastAsia="黑体" w:hAnsi="黑体"/>
                <w:sz w:val="20"/>
                <w:szCs w:val="20"/>
              </w:rPr>
            </w:pPr>
            <w:r>
              <w:rPr>
                <w:rFonts w:ascii="黑体" w:eastAsia="黑体" w:hAnsi="黑体"/>
                <w:sz w:val="20"/>
                <w:szCs w:val="20"/>
              </w:rPr>
              <w:t>C</w:t>
            </w:r>
            <w:r w:rsidR="00AE4602">
              <w:rPr>
                <w:rFonts w:ascii="黑体" w:eastAsia="黑体" w:hAnsi="黑体"/>
                <w:sz w:val="20"/>
                <w:szCs w:val="20"/>
              </w:rPr>
              <w:t>-</w:t>
            </w:r>
            <w:r>
              <w:rPr>
                <w:rFonts w:ascii="黑体" w:eastAsia="黑体" w:hAnsi="黑体"/>
                <w:sz w:val="20"/>
                <w:szCs w:val="20"/>
              </w:rPr>
              <w:t>修改</w:t>
            </w:r>
          </w:p>
          <w:p w14:paraId="40FFDA4E" w14:textId="77777777" w:rsidR="00A052DC" w:rsidRDefault="009F0A60">
            <w:pPr>
              <w:rPr>
                <w:rFonts w:ascii="黑体" w:eastAsia="黑体" w:hAnsi="黑体"/>
                <w:sz w:val="20"/>
                <w:szCs w:val="20"/>
              </w:rPr>
            </w:pPr>
            <w:r>
              <w:rPr>
                <w:rFonts w:ascii="黑体" w:eastAsia="黑体" w:hAnsi="黑体"/>
                <w:sz w:val="20"/>
                <w:szCs w:val="20"/>
              </w:rPr>
              <w:t>D</w:t>
            </w:r>
            <w:r w:rsidR="00AE4602">
              <w:rPr>
                <w:rFonts w:ascii="黑体" w:eastAsia="黑体" w:hAnsi="黑体"/>
                <w:sz w:val="20"/>
                <w:szCs w:val="20"/>
              </w:rPr>
              <w:t>-</w:t>
            </w:r>
            <w:r>
              <w:rPr>
                <w:rFonts w:ascii="黑体" w:eastAsia="黑体" w:hAnsi="黑体"/>
                <w:sz w:val="20"/>
                <w:szCs w:val="20"/>
              </w:rPr>
              <w:t>删除</w:t>
            </w:r>
          </w:p>
          <w:p w14:paraId="3266ACE4" w14:textId="77777777" w:rsidR="00A052DC" w:rsidRDefault="009F0A60">
            <w:pPr>
              <w:pStyle w:val="B"/>
              <w:widowControl w:val="0"/>
              <w:rPr>
                <w:color w:val="000000"/>
                <w:szCs w:val="20"/>
              </w:rPr>
            </w:pPr>
            <w:r>
              <w:rPr>
                <w:rFonts w:hint="eastAsia"/>
                <w:szCs w:val="20"/>
              </w:rPr>
              <w:t>R-申报无误（银行反馈），预留，暂不用</w:t>
            </w:r>
          </w:p>
        </w:tc>
      </w:tr>
      <w:tr w:rsidR="00A052DC" w14:paraId="1B97D922" w14:textId="77777777">
        <w:trPr>
          <w:jc w:val="center"/>
        </w:trPr>
        <w:tc>
          <w:tcPr>
            <w:tcW w:w="2282" w:type="dxa"/>
            <w:tcBorders>
              <w:top w:val="single" w:sz="4" w:space="0" w:color="auto"/>
              <w:left w:val="single" w:sz="4" w:space="0" w:color="auto"/>
              <w:bottom w:val="single" w:sz="4" w:space="0" w:color="auto"/>
              <w:right w:val="single" w:sz="4" w:space="0" w:color="auto"/>
            </w:tcBorders>
          </w:tcPr>
          <w:p w14:paraId="27E22383" w14:textId="77777777" w:rsidR="00A052DC" w:rsidRDefault="009F0A60">
            <w:pPr>
              <w:pStyle w:val="B"/>
              <w:widowControl w:val="0"/>
              <w:rPr>
                <w:color w:val="000000"/>
                <w:szCs w:val="20"/>
              </w:rPr>
            </w:pPr>
            <w:r>
              <w:rPr>
                <w:szCs w:val="20"/>
              </w:rPr>
              <w:t>ACTIONDESC</w:t>
            </w:r>
          </w:p>
        </w:tc>
        <w:tc>
          <w:tcPr>
            <w:tcW w:w="1379" w:type="dxa"/>
            <w:tcBorders>
              <w:top w:val="single" w:sz="4" w:space="0" w:color="auto"/>
              <w:left w:val="single" w:sz="4" w:space="0" w:color="auto"/>
              <w:bottom w:val="single" w:sz="4" w:space="0" w:color="auto"/>
              <w:right w:val="single" w:sz="4" w:space="0" w:color="auto"/>
            </w:tcBorders>
          </w:tcPr>
          <w:p w14:paraId="2979271E" w14:textId="77777777" w:rsidR="00A052DC" w:rsidRDefault="009F0A60">
            <w:pPr>
              <w:pStyle w:val="B"/>
              <w:rPr>
                <w:color w:val="000000"/>
                <w:kern w:val="2"/>
                <w:sz w:val="21"/>
              </w:rPr>
            </w:pPr>
            <w:r>
              <w:rPr>
                <w:rFonts w:hint="eastAsia"/>
              </w:rPr>
              <w:t>修改</w:t>
            </w:r>
            <w:r>
              <w:t>/删除原因</w:t>
            </w:r>
          </w:p>
        </w:tc>
        <w:tc>
          <w:tcPr>
            <w:tcW w:w="1520" w:type="dxa"/>
            <w:tcBorders>
              <w:top w:val="single" w:sz="4" w:space="0" w:color="auto"/>
              <w:left w:val="single" w:sz="4" w:space="0" w:color="auto"/>
              <w:bottom w:val="single" w:sz="4" w:space="0" w:color="auto"/>
              <w:right w:val="single" w:sz="4" w:space="0" w:color="auto"/>
            </w:tcBorders>
          </w:tcPr>
          <w:p w14:paraId="27DE6B2A" w14:textId="77777777" w:rsidR="00A052DC" w:rsidRDefault="009F0A60">
            <w:pPr>
              <w:pStyle w:val="B"/>
              <w:widowControl w:val="0"/>
              <w:rPr>
                <w:color w:val="000000"/>
                <w:szCs w:val="20"/>
              </w:rPr>
            </w:pPr>
            <w:r>
              <w:rPr>
                <w:rFonts w:hint="eastAsia"/>
                <w:szCs w:val="20"/>
              </w:rPr>
              <w:t>字符型，</w:t>
            </w:r>
            <w:r>
              <w:rPr>
                <w:szCs w:val="20"/>
              </w:rPr>
              <w:t>128</w:t>
            </w:r>
          </w:p>
        </w:tc>
        <w:tc>
          <w:tcPr>
            <w:tcW w:w="3338" w:type="dxa"/>
            <w:tcBorders>
              <w:top w:val="single" w:sz="4" w:space="0" w:color="auto"/>
              <w:left w:val="single" w:sz="4" w:space="0" w:color="auto"/>
              <w:bottom w:val="single" w:sz="4" w:space="0" w:color="auto"/>
              <w:right w:val="single" w:sz="4" w:space="0" w:color="auto"/>
            </w:tcBorders>
          </w:tcPr>
          <w:p w14:paraId="1AC1E5C1" w14:textId="77777777" w:rsidR="00A052DC" w:rsidRDefault="00DD6AA3">
            <w:pPr>
              <w:pStyle w:val="B"/>
              <w:widowControl w:val="0"/>
              <w:rPr>
                <w:color w:val="000000"/>
                <w:szCs w:val="20"/>
              </w:rPr>
            </w:pPr>
            <w:r>
              <w:rPr>
                <w:rFonts w:hint="eastAsia"/>
                <w:color w:val="000000"/>
                <w:szCs w:val="20"/>
              </w:rPr>
              <w:t>非必填项</w:t>
            </w:r>
            <w:r w:rsidR="009F0A60">
              <w:rPr>
                <w:rFonts w:hint="eastAsia"/>
                <w:color w:val="000000"/>
                <w:szCs w:val="20"/>
              </w:rPr>
              <w:t>，若</w:t>
            </w:r>
            <w:r w:rsidR="009F0A60">
              <w:rPr>
                <w:rFonts w:hint="eastAsia"/>
                <w:szCs w:val="20"/>
              </w:rPr>
              <w:t>ACTIONTYPE=D，此项必填。</w:t>
            </w:r>
          </w:p>
        </w:tc>
      </w:tr>
      <w:tr w:rsidR="00A052DC" w14:paraId="4142C035" w14:textId="77777777">
        <w:trPr>
          <w:jc w:val="center"/>
        </w:trPr>
        <w:tc>
          <w:tcPr>
            <w:tcW w:w="2282" w:type="dxa"/>
            <w:tcBorders>
              <w:top w:val="single" w:sz="4" w:space="0" w:color="auto"/>
              <w:left w:val="single" w:sz="4" w:space="0" w:color="auto"/>
              <w:bottom w:val="single" w:sz="4" w:space="0" w:color="auto"/>
              <w:right w:val="single" w:sz="4" w:space="0" w:color="auto"/>
            </w:tcBorders>
          </w:tcPr>
          <w:p w14:paraId="2B71B3C9" w14:textId="77777777" w:rsidR="00A052DC" w:rsidRDefault="009F0A60">
            <w:pPr>
              <w:pStyle w:val="B"/>
              <w:widowControl w:val="0"/>
              <w:rPr>
                <w:color w:val="000000"/>
                <w:szCs w:val="20"/>
              </w:rPr>
            </w:pPr>
            <w:r>
              <w:rPr>
                <w:color w:val="000000"/>
                <w:szCs w:val="20"/>
              </w:rPr>
              <w:t>REPLYNUM</w:t>
            </w:r>
          </w:p>
        </w:tc>
        <w:tc>
          <w:tcPr>
            <w:tcW w:w="1379" w:type="dxa"/>
            <w:tcBorders>
              <w:top w:val="single" w:sz="4" w:space="0" w:color="auto"/>
              <w:left w:val="single" w:sz="4" w:space="0" w:color="auto"/>
              <w:bottom w:val="single" w:sz="4" w:space="0" w:color="auto"/>
              <w:right w:val="single" w:sz="4" w:space="0" w:color="auto"/>
            </w:tcBorders>
          </w:tcPr>
          <w:p w14:paraId="440AF5F8" w14:textId="77777777" w:rsidR="00A052DC" w:rsidRDefault="009F0A60">
            <w:pPr>
              <w:pStyle w:val="B"/>
              <w:widowControl w:val="0"/>
              <w:rPr>
                <w:color w:val="000000"/>
                <w:szCs w:val="20"/>
              </w:rPr>
            </w:pPr>
            <w:r>
              <w:rPr>
                <w:rFonts w:hint="eastAsia"/>
                <w:color w:val="000000"/>
                <w:szCs w:val="20"/>
              </w:rPr>
              <w:t>回复流水号</w:t>
            </w:r>
          </w:p>
        </w:tc>
        <w:tc>
          <w:tcPr>
            <w:tcW w:w="1520" w:type="dxa"/>
            <w:tcBorders>
              <w:top w:val="single" w:sz="4" w:space="0" w:color="auto"/>
              <w:left w:val="single" w:sz="4" w:space="0" w:color="auto"/>
              <w:bottom w:val="single" w:sz="4" w:space="0" w:color="auto"/>
              <w:right w:val="single" w:sz="4" w:space="0" w:color="auto"/>
            </w:tcBorders>
          </w:tcPr>
          <w:p w14:paraId="738AFDA9" w14:textId="77777777" w:rsidR="00A052DC" w:rsidRDefault="009F0A60">
            <w:pPr>
              <w:pStyle w:val="B"/>
              <w:widowControl w:val="0"/>
              <w:rPr>
                <w:color w:val="000000"/>
                <w:szCs w:val="20"/>
              </w:rPr>
            </w:pPr>
            <w:r>
              <w:rPr>
                <w:rFonts w:hint="eastAsia"/>
                <w:color w:val="000000"/>
                <w:szCs w:val="20"/>
              </w:rPr>
              <w:t>字符型，</w:t>
            </w:r>
            <w:r>
              <w:rPr>
                <w:color w:val="000000"/>
                <w:szCs w:val="20"/>
              </w:rPr>
              <w:t>22</w:t>
            </w:r>
          </w:p>
        </w:tc>
        <w:tc>
          <w:tcPr>
            <w:tcW w:w="3338" w:type="dxa"/>
            <w:tcBorders>
              <w:top w:val="single" w:sz="4" w:space="0" w:color="auto"/>
              <w:left w:val="single" w:sz="4" w:space="0" w:color="auto"/>
              <w:bottom w:val="single" w:sz="4" w:space="0" w:color="auto"/>
              <w:right w:val="single" w:sz="4" w:space="0" w:color="auto"/>
            </w:tcBorders>
          </w:tcPr>
          <w:p w14:paraId="3632430B" w14:textId="77777777" w:rsidR="00A052DC" w:rsidRDefault="009F0A60">
            <w:pPr>
              <w:pStyle w:val="B"/>
              <w:widowControl w:val="0"/>
              <w:rPr>
                <w:color w:val="000000"/>
                <w:szCs w:val="20"/>
              </w:rPr>
            </w:pPr>
            <w:r>
              <w:rPr>
                <w:rFonts w:hint="eastAsia"/>
                <w:color w:val="000000"/>
                <w:szCs w:val="20"/>
              </w:rPr>
              <w:t>必填</w:t>
            </w:r>
            <w:r w:rsidR="008E09E1">
              <w:rPr>
                <w:rFonts w:hint="eastAsia"/>
                <w:color w:val="000000"/>
                <w:szCs w:val="20"/>
              </w:rPr>
              <w:t>项</w:t>
            </w:r>
            <w:r>
              <w:rPr>
                <w:rFonts w:hint="eastAsia"/>
                <w:color w:val="000000"/>
                <w:szCs w:val="20"/>
              </w:rPr>
              <w:t>，用于唯一标识金融机构报送的账户交易明细信息，长度为</w:t>
            </w:r>
            <w:r>
              <w:rPr>
                <w:color w:val="000000"/>
                <w:szCs w:val="20"/>
              </w:rPr>
              <w:t>22</w:t>
            </w:r>
            <w:r>
              <w:rPr>
                <w:rFonts w:hint="eastAsia"/>
                <w:color w:val="000000"/>
                <w:szCs w:val="20"/>
              </w:rPr>
              <w:t>位，编号规则为报送机构（总行）的金融机构代码（</w:t>
            </w:r>
            <w:r>
              <w:rPr>
                <w:color w:val="000000"/>
                <w:szCs w:val="20"/>
              </w:rPr>
              <w:t>4</w:t>
            </w:r>
            <w:r>
              <w:rPr>
                <w:rFonts w:hint="eastAsia"/>
                <w:color w:val="000000"/>
                <w:szCs w:val="20"/>
              </w:rPr>
              <w:t>位）</w:t>
            </w:r>
            <w:r>
              <w:rPr>
                <w:color w:val="000000"/>
                <w:szCs w:val="20"/>
              </w:rPr>
              <w:t>+</w:t>
            </w:r>
            <w:r>
              <w:rPr>
                <w:rFonts w:hint="eastAsia"/>
                <w:color w:val="000000"/>
                <w:szCs w:val="20"/>
              </w:rPr>
              <w:t>回复时间（</w:t>
            </w:r>
            <w:r>
              <w:rPr>
                <w:color w:val="000000"/>
                <w:szCs w:val="20"/>
              </w:rPr>
              <w:t>8</w:t>
            </w:r>
            <w:r>
              <w:rPr>
                <w:rFonts w:hint="eastAsia"/>
                <w:color w:val="000000"/>
                <w:szCs w:val="20"/>
              </w:rPr>
              <w:t>位，</w:t>
            </w:r>
            <w:r>
              <w:rPr>
                <w:color w:val="000000"/>
                <w:szCs w:val="20"/>
              </w:rPr>
              <w:t>YYYYMMDD</w:t>
            </w:r>
            <w:r>
              <w:rPr>
                <w:rFonts w:hint="eastAsia"/>
                <w:color w:val="000000"/>
                <w:szCs w:val="20"/>
              </w:rPr>
              <w:t>）</w:t>
            </w:r>
            <w:r>
              <w:rPr>
                <w:color w:val="000000"/>
                <w:szCs w:val="20"/>
              </w:rPr>
              <w:t>+</w:t>
            </w:r>
            <w:r>
              <w:rPr>
                <w:rFonts w:hint="eastAsia"/>
                <w:color w:val="000000"/>
                <w:szCs w:val="20"/>
              </w:rPr>
              <w:t>回复流水号（</w:t>
            </w:r>
            <w:r>
              <w:rPr>
                <w:color w:val="000000"/>
                <w:szCs w:val="20"/>
              </w:rPr>
              <w:t>10</w:t>
            </w:r>
            <w:r>
              <w:rPr>
                <w:rFonts w:hint="eastAsia"/>
                <w:color w:val="000000"/>
                <w:szCs w:val="20"/>
              </w:rPr>
              <w:t>位）。</w:t>
            </w:r>
          </w:p>
        </w:tc>
      </w:tr>
      <w:tr w:rsidR="00A052DC" w14:paraId="50D31360" w14:textId="77777777">
        <w:trPr>
          <w:jc w:val="center"/>
        </w:trPr>
        <w:tc>
          <w:tcPr>
            <w:tcW w:w="2282" w:type="dxa"/>
            <w:tcBorders>
              <w:top w:val="single" w:sz="4" w:space="0" w:color="auto"/>
              <w:left w:val="single" w:sz="4" w:space="0" w:color="auto"/>
              <w:bottom w:val="single" w:sz="4" w:space="0" w:color="auto"/>
              <w:right w:val="single" w:sz="4" w:space="0" w:color="auto"/>
            </w:tcBorders>
          </w:tcPr>
          <w:p w14:paraId="38D48879" w14:textId="77777777" w:rsidR="00A052DC" w:rsidRDefault="009F0A60">
            <w:pPr>
              <w:pStyle w:val="B"/>
              <w:widowControl w:val="0"/>
              <w:rPr>
                <w:color w:val="000000"/>
                <w:szCs w:val="20"/>
              </w:rPr>
            </w:pPr>
            <w:r>
              <w:rPr>
                <w:color w:val="000000"/>
                <w:szCs w:val="20"/>
              </w:rPr>
              <w:t>APPLYNUM</w:t>
            </w:r>
          </w:p>
        </w:tc>
        <w:tc>
          <w:tcPr>
            <w:tcW w:w="1379" w:type="dxa"/>
            <w:tcBorders>
              <w:top w:val="single" w:sz="4" w:space="0" w:color="auto"/>
              <w:left w:val="single" w:sz="4" w:space="0" w:color="auto"/>
              <w:bottom w:val="single" w:sz="4" w:space="0" w:color="auto"/>
              <w:right w:val="single" w:sz="4" w:space="0" w:color="auto"/>
            </w:tcBorders>
          </w:tcPr>
          <w:p w14:paraId="4C844DEB" w14:textId="77777777" w:rsidR="00A052DC" w:rsidRDefault="009F0A60">
            <w:pPr>
              <w:pStyle w:val="B"/>
              <w:widowControl w:val="0"/>
              <w:rPr>
                <w:color w:val="000000"/>
                <w:szCs w:val="20"/>
              </w:rPr>
            </w:pPr>
            <w:r>
              <w:rPr>
                <w:rFonts w:hint="eastAsia"/>
                <w:color w:val="000000"/>
                <w:szCs w:val="20"/>
              </w:rPr>
              <w:t>查询流水号</w:t>
            </w:r>
          </w:p>
        </w:tc>
        <w:tc>
          <w:tcPr>
            <w:tcW w:w="1520" w:type="dxa"/>
            <w:tcBorders>
              <w:top w:val="single" w:sz="4" w:space="0" w:color="auto"/>
              <w:left w:val="single" w:sz="4" w:space="0" w:color="auto"/>
              <w:bottom w:val="single" w:sz="4" w:space="0" w:color="auto"/>
              <w:right w:val="single" w:sz="4" w:space="0" w:color="auto"/>
            </w:tcBorders>
          </w:tcPr>
          <w:p w14:paraId="0AAE008C" w14:textId="77777777" w:rsidR="00A052DC" w:rsidRDefault="009F0A60">
            <w:pPr>
              <w:pStyle w:val="B"/>
              <w:widowControl w:val="0"/>
              <w:rPr>
                <w:color w:val="000000"/>
                <w:szCs w:val="20"/>
              </w:rPr>
            </w:pPr>
            <w:r>
              <w:rPr>
                <w:rFonts w:hint="eastAsia"/>
                <w:color w:val="000000"/>
                <w:szCs w:val="20"/>
              </w:rPr>
              <w:t>字符型，</w:t>
            </w:r>
            <w:r>
              <w:rPr>
                <w:color w:val="000000"/>
                <w:szCs w:val="20"/>
              </w:rPr>
              <w:t>22</w:t>
            </w:r>
          </w:p>
        </w:tc>
        <w:tc>
          <w:tcPr>
            <w:tcW w:w="3338" w:type="dxa"/>
            <w:tcBorders>
              <w:top w:val="single" w:sz="4" w:space="0" w:color="auto"/>
              <w:left w:val="single" w:sz="4" w:space="0" w:color="auto"/>
              <w:bottom w:val="single" w:sz="4" w:space="0" w:color="auto"/>
              <w:right w:val="single" w:sz="4" w:space="0" w:color="auto"/>
            </w:tcBorders>
          </w:tcPr>
          <w:p w14:paraId="5057BBF9" w14:textId="77777777" w:rsidR="00A052DC" w:rsidRDefault="009F0A60">
            <w:pPr>
              <w:pStyle w:val="B"/>
              <w:widowControl w:val="0"/>
              <w:rPr>
                <w:color w:val="000000"/>
                <w:szCs w:val="20"/>
              </w:rPr>
            </w:pPr>
            <w:r>
              <w:rPr>
                <w:rFonts w:hint="eastAsia"/>
                <w:color w:val="000000"/>
                <w:szCs w:val="20"/>
              </w:rPr>
              <w:t>必填</w:t>
            </w:r>
            <w:r w:rsidR="008E09E1">
              <w:rPr>
                <w:rFonts w:hint="eastAsia"/>
                <w:color w:val="000000"/>
                <w:szCs w:val="20"/>
              </w:rPr>
              <w:t>项</w:t>
            </w:r>
            <w:r>
              <w:rPr>
                <w:rFonts w:hint="eastAsia"/>
                <w:color w:val="000000"/>
                <w:szCs w:val="20"/>
              </w:rPr>
              <w:t>，外汇局下发的查询信息的流水号</w:t>
            </w:r>
            <w:r w:rsidR="005D2C5E">
              <w:rPr>
                <w:rFonts w:hint="eastAsia"/>
                <w:color w:val="000000"/>
                <w:szCs w:val="20"/>
              </w:rPr>
              <w:t>。</w:t>
            </w:r>
          </w:p>
        </w:tc>
      </w:tr>
      <w:tr w:rsidR="00A052DC" w14:paraId="5D7A6AA0" w14:textId="77777777">
        <w:trPr>
          <w:jc w:val="center"/>
        </w:trPr>
        <w:tc>
          <w:tcPr>
            <w:tcW w:w="2282" w:type="dxa"/>
            <w:tcBorders>
              <w:top w:val="single" w:sz="4" w:space="0" w:color="auto"/>
              <w:left w:val="single" w:sz="4" w:space="0" w:color="auto"/>
              <w:bottom w:val="single" w:sz="4" w:space="0" w:color="auto"/>
              <w:right w:val="single" w:sz="4" w:space="0" w:color="auto"/>
            </w:tcBorders>
          </w:tcPr>
          <w:p w14:paraId="4C9B347F" w14:textId="77777777" w:rsidR="00A052DC" w:rsidRDefault="009F0A60">
            <w:pPr>
              <w:pStyle w:val="B"/>
              <w:widowControl w:val="0"/>
              <w:rPr>
                <w:color w:val="000000"/>
                <w:szCs w:val="20"/>
              </w:rPr>
            </w:pPr>
            <w:r>
              <w:t>BUSCODE</w:t>
            </w:r>
          </w:p>
        </w:tc>
        <w:tc>
          <w:tcPr>
            <w:tcW w:w="1379" w:type="dxa"/>
            <w:tcBorders>
              <w:top w:val="single" w:sz="4" w:space="0" w:color="auto"/>
              <w:left w:val="single" w:sz="4" w:space="0" w:color="auto"/>
              <w:bottom w:val="single" w:sz="4" w:space="0" w:color="auto"/>
              <w:right w:val="single" w:sz="4" w:space="0" w:color="auto"/>
            </w:tcBorders>
          </w:tcPr>
          <w:p w14:paraId="7939D82E" w14:textId="77777777" w:rsidR="00A052DC" w:rsidRDefault="009F0A60">
            <w:pPr>
              <w:pStyle w:val="B"/>
              <w:widowControl w:val="0"/>
              <w:rPr>
                <w:color w:val="000000"/>
                <w:szCs w:val="20"/>
              </w:rPr>
            </w:pPr>
            <w:r>
              <w:rPr>
                <w:rFonts w:ascii="Times New Roman" w:hAnsi="Times New Roman" w:hint="eastAsia"/>
                <w:color w:val="000000"/>
              </w:rPr>
              <w:t>银行业务参号</w:t>
            </w:r>
          </w:p>
        </w:tc>
        <w:tc>
          <w:tcPr>
            <w:tcW w:w="1520" w:type="dxa"/>
            <w:tcBorders>
              <w:top w:val="single" w:sz="4" w:space="0" w:color="auto"/>
              <w:left w:val="single" w:sz="4" w:space="0" w:color="auto"/>
              <w:bottom w:val="single" w:sz="4" w:space="0" w:color="auto"/>
              <w:right w:val="single" w:sz="4" w:space="0" w:color="auto"/>
            </w:tcBorders>
          </w:tcPr>
          <w:p w14:paraId="3B275A11" w14:textId="77777777" w:rsidR="00A052DC" w:rsidRDefault="009F0A60">
            <w:pPr>
              <w:pStyle w:val="B"/>
              <w:widowControl w:val="0"/>
              <w:rPr>
                <w:color w:val="000000"/>
                <w:szCs w:val="20"/>
              </w:rPr>
            </w:pPr>
            <w:r>
              <w:rPr>
                <w:rFonts w:hint="eastAsia"/>
                <w:szCs w:val="20"/>
              </w:rPr>
              <w:t>字符型，</w:t>
            </w:r>
            <w:r>
              <w:rPr>
                <w:szCs w:val="20"/>
              </w:rPr>
              <w:t>32</w:t>
            </w:r>
          </w:p>
        </w:tc>
        <w:tc>
          <w:tcPr>
            <w:tcW w:w="3338" w:type="dxa"/>
            <w:tcBorders>
              <w:top w:val="single" w:sz="4" w:space="0" w:color="auto"/>
              <w:left w:val="single" w:sz="4" w:space="0" w:color="auto"/>
              <w:bottom w:val="single" w:sz="4" w:space="0" w:color="auto"/>
              <w:right w:val="single" w:sz="4" w:space="0" w:color="auto"/>
            </w:tcBorders>
          </w:tcPr>
          <w:p w14:paraId="6FB713AB" w14:textId="77777777" w:rsidR="00A052DC" w:rsidRDefault="009F0A60">
            <w:pPr>
              <w:pStyle w:val="B"/>
              <w:widowControl w:val="0"/>
              <w:rPr>
                <w:color w:val="000000"/>
                <w:szCs w:val="20"/>
              </w:rPr>
            </w:pPr>
            <w:r>
              <w:rPr>
                <w:rFonts w:hint="eastAsia"/>
                <w:color w:val="000000"/>
                <w:szCs w:val="20"/>
              </w:rPr>
              <w:t>必填</w:t>
            </w:r>
            <w:r w:rsidR="008E09E1">
              <w:rPr>
                <w:rFonts w:hint="eastAsia"/>
                <w:color w:val="000000"/>
                <w:szCs w:val="20"/>
              </w:rPr>
              <w:t>项</w:t>
            </w:r>
            <w:r>
              <w:rPr>
                <w:rFonts w:hint="eastAsia"/>
                <w:color w:val="000000"/>
                <w:szCs w:val="20"/>
              </w:rPr>
              <w:t>。</w:t>
            </w:r>
          </w:p>
        </w:tc>
      </w:tr>
      <w:tr w:rsidR="00A052DC" w14:paraId="1F9817AE" w14:textId="77777777">
        <w:trPr>
          <w:jc w:val="center"/>
        </w:trPr>
        <w:tc>
          <w:tcPr>
            <w:tcW w:w="2282" w:type="dxa"/>
            <w:tcBorders>
              <w:top w:val="single" w:sz="4" w:space="0" w:color="auto"/>
              <w:left w:val="single" w:sz="4" w:space="0" w:color="auto"/>
              <w:bottom w:val="single" w:sz="4" w:space="0" w:color="auto"/>
              <w:right w:val="single" w:sz="4" w:space="0" w:color="auto"/>
            </w:tcBorders>
          </w:tcPr>
          <w:p w14:paraId="3C595E5B" w14:textId="77777777" w:rsidR="00A052DC" w:rsidRDefault="009F0A60">
            <w:pPr>
              <w:pStyle w:val="B"/>
              <w:widowControl w:val="0"/>
              <w:rPr>
                <w:color w:val="000000"/>
                <w:szCs w:val="20"/>
              </w:rPr>
            </w:pPr>
            <w:r>
              <w:rPr>
                <w:color w:val="000000"/>
                <w:szCs w:val="20"/>
              </w:rPr>
              <w:t>ENCODE</w:t>
            </w:r>
          </w:p>
        </w:tc>
        <w:tc>
          <w:tcPr>
            <w:tcW w:w="1379" w:type="dxa"/>
            <w:tcBorders>
              <w:top w:val="single" w:sz="4" w:space="0" w:color="auto"/>
              <w:left w:val="single" w:sz="4" w:space="0" w:color="auto"/>
              <w:bottom w:val="single" w:sz="4" w:space="0" w:color="auto"/>
              <w:right w:val="single" w:sz="4" w:space="0" w:color="auto"/>
            </w:tcBorders>
          </w:tcPr>
          <w:p w14:paraId="4B85A7EB" w14:textId="77777777" w:rsidR="00A052DC" w:rsidRDefault="009F0A60">
            <w:pPr>
              <w:pStyle w:val="B"/>
              <w:widowControl w:val="0"/>
              <w:rPr>
                <w:color w:val="000000"/>
                <w:szCs w:val="20"/>
              </w:rPr>
            </w:pPr>
            <w:r>
              <w:rPr>
                <w:rFonts w:hint="eastAsia"/>
                <w:color w:val="000000"/>
                <w:szCs w:val="20"/>
              </w:rPr>
              <w:t>证件号码</w:t>
            </w:r>
          </w:p>
        </w:tc>
        <w:tc>
          <w:tcPr>
            <w:tcW w:w="1520" w:type="dxa"/>
            <w:tcBorders>
              <w:top w:val="single" w:sz="4" w:space="0" w:color="auto"/>
              <w:left w:val="single" w:sz="4" w:space="0" w:color="auto"/>
              <w:bottom w:val="single" w:sz="4" w:space="0" w:color="auto"/>
              <w:right w:val="single" w:sz="4" w:space="0" w:color="auto"/>
            </w:tcBorders>
          </w:tcPr>
          <w:p w14:paraId="6187BA8F" w14:textId="77777777" w:rsidR="00A052DC" w:rsidRDefault="009F0A60">
            <w:pPr>
              <w:pStyle w:val="B"/>
              <w:widowControl w:val="0"/>
              <w:rPr>
                <w:color w:val="000000"/>
                <w:szCs w:val="20"/>
              </w:rPr>
            </w:pPr>
            <w:r>
              <w:rPr>
                <w:rFonts w:hint="eastAsia"/>
                <w:color w:val="000000"/>
                <w:szCs w:val="20"/>
              </w:rPr>
              <w:t>变长字符型，32</w:t>
            </w:r>
          </w:p>
        </w:tc>
        <w:tc>
          <w:tcPr>
            <w:tcW w:w="3338" w:type="dxa"/>
            <w:tcBorders>
              <w:top w:val="single" w:sz="4" w:space="0" w:color="auto"/>
              <w:left w:val="single" w:sz="4" w:space="0" w:color="auto"/>
              <w:bottom w:val="single" w:sz="4" w:space="0" w:color="auto"/>
              <w:right w:val="single" w:sz="4" w:space="0" w:color="auto"/>
            </w:tcBorders>
          </w:tcPr>
          <w:p w14:paraId="2F0CF823" w14:textId="77777777" w:rsidR="00A052DC" w:rsidRDefault="009F0A60">
            <w:pPr>
              <w:pStyle w:val="B"/>
              <w:widowControl w:val="0"/>
              <w:rPr>
                <w:color w:val="000000"/>
                <w:szCs w:val="20"/>
              </w:rPr>
            </w:pPr>
            <w:r>
              <w:rPr>
                <w:rFonts w:hint="eastAsia"/>
                <w:color w:val="000000"/>
                <w:szCs w:val="20"/>
              </w:rPr>
              <w:t>必填</w:t>
            </w:r>
            <w:r w:rsidR="008E09E1">
              <w:rPr>
                <w:rFonts w:hint="eastAsia"/>
                <w:color w:val="000000"/>
                <w:szCs w:val="20"/>
              </w:rPr>
              <w:t>项</w:t>
            </w:r>
            <w:r>
              <w:rPr>
                <w:rFonts w:hint="eastAsia"/>
                <w:color w:val="000000"/>
                <w:szCs w:val="20"/>
              </w:rPr>
              <w:t>，如果开户主体为境内机构，应填写统一社会信用代码的第9-17位；如果开户主体为境外机构，应填写特殊机构代码；如果开户主体为境内个人，应填写开户主体个人身份证件号码；如果开户主体为境外个人，应填写外国护照或港澳台通行证号码。</w:t>
            </w:r>
          </w:p>
        </w:tc>
      </w:tr>
      <w:tr w:rsidR="00A052DC" w14:paraId="0ACE6B88" w14:textId="77777777">
        <w:trPr>
          <w:jc w:val="center"/>
        </w:trPr>
        <w:tc>
          <w:tcPr>
            <w:tcW w:w="2282" w:type="dxa"/>
            <w:tcBorders>
              <w:top w:val="single" w:sz="4" w:space="0" w:color="auto"/>
              <w:left w:val="single" w:sz="4" w:space="0" w:color="auto"/>
              <w:bottom w:val="single" w:sz="4" w:space="0" w:color="auto"/>
              <w:right w:val="single" w:sz="4" w:space="0" w:color="auto"/>
            </w:tcBorders>
          </w:tcPr>
          <w:p w14:paraId="28D13432" w14:textId="77777777" w:rsidR="00A052DC" w:rsidRDefault="009F0A60">
            <w:pPr>
              <w:pStyle w:val="B"/>
              <w:widowControl w:val="0"/>
              <w:rPr>
                <w:color w:val="000000"/>
                <w:szCs w:val="20"/>
              </w:rPr>
            </w:pPr>
            <w:r>
              <w:rPr>
                <w:color w:val="000000"/>
                <w:szCs w:val="20"/>
              </w:rPr>
              <w:t>ACCOUNTNO</w:t>
            </w:r>
          </w:p>
        </w:tc>
        <w:tc>
          <w:tcPr>
            <w:tcW w:w="1379" w:type="dxa"/>
            <w:tcBorders>
              <w:top w:val="single" w:sz="4" w:space="0" w:color="auto"/>
              <w:left w:val="single" w:sz="4" w:space="0" w:color="auto"/>
              <w:bottom w:val="single" w:sz="4" w:space="0" w:color="auto"/>
              <w:right w:val="single" w:sz="4" w:space="0" w:color="auto"/>
            </w:tcBorders>
          </w:tcPr>
          <w:p w14:paraId="7CCC2EAA" w14:textId="77777777" w:rsidR="00A052DC" w:rsidRDefault="009F0A60">
            <w:pPr>
              <w:pStyle w:val="B"/>
              <w:widowControl w:val="0"/>
              <w:rPr>
                <w:color w:val="000000"/>
                <w:szCs w:val="20"/>
              </w:rPr>
            </w:pPr>
            <w:r>
              <w:rPr>
                <w:rFonts w:hint="eastAsia"/>
                <w:color w:val="000000"/>
                <w:szCs w:val="20"/>
              </w:rPr>
              <w:t>账户账号</w:t>
            </w:r>
          </w:p>
        </w:tc>
        <w:tc>
          <w:tcPr>
            <w:tcW w:w="1520" w:type="dxa"/>
            <w:tcBorders>
              <w:top w:val="single" w:sz="4" w:space="0" w:color="auto"/>
              <w:left w:val="single" w:sz="4" w:space="0" w:color="auto"/>
              <w:bottom w:val="single" w:sz="4" w:space="0" w:color="auto"/>
              <w:right w:val="single" w:sz="4" w:space="0" w:color="auto"/>
            </w:tcBorders>
          </w:tcPr>
          <w:p w14:paraId="40271B0E" w14:textId="77777777" w:rsidR="00A052DC" w:rsidRDefault="009F0A60">
            <w:pPr>
              <w:jc w:val="left"/>
              <w:rPr>
                <w:rFonts w:ascii="黑体" w:eastAsia="黑体" w:hAnsi="黑体"/>
                <w:color w:val="000000"/>
                <w:sz w:val="20"/>
                <w:szCs w:val="20"/>
              </w:rPr>
            </w:pPr>
            <w:r>
              <w:rPr>
                <w:rFonts w:ascii="黑体" w:eastAsia="黑体" w:hAnsi="黑体" w:hint="eastAsia"/>
                <w:color w:val="000000"/>
                <w:sz w:val="20"/>
                <w:szCs w:val="20"/>
              </w:rPr>
              <w:t>变长字符型，</w:t>
            </w:r>
            <w:r>
              <w:rPr>
                <w:rFonts w:ascii="黑体" w:eastAsia="黑体" w:hAnsi="黑体"/>
                <w:color w:val="000000"/>
                <w:sz w:val="20"/>
                <w:szCs w:val="20"/>
              </w:rPr>
              <w:t>64</w:t>
            </w:r>
          </w:p>
        </w:tc>
        <w:tc>
          <w:tcPr>
            <w:tcW w:w="3338" w:type="dxa"/>
            <w:tcBorders>
              <w:top w:val="single" w:sz="4" w:space="0" w:color="auto"/>
              <w:left w:val="single" w:sz="4" w:space="0" w:color="auto"/>
              <w:bottom w:val="single" w:sz="4" w:space="0" w:color="auto"/>
              <w:right w:val="single" w:sz="4" w:space="0" w:color="auto"/>
            </w:tcBorders>
          </w:tcPr>
          <w:p w14:paraId="3745C61F" w14:textId="77777777" w:rsidR="00A052DC" w:rsidRDefault="00DD6AA3">
            <w:pPr>
              <w:rPr>
                <w:rFonts w:ascii="黑体" w:eastAsia="黑体" w:hAnsi="黑体"/>
                <w:color w:val="000000"/>
                <w:kern w:val="0"/>
                <w:sz w:val="20"/>
                <w:szCs w:val="20"/>
              </w:rPr>
            </w:pPr>
            <w:r>
              <w:rPr>
                <w:rFonts w:ascii="黑体" w:eastAsia="黑体" w:hAnsi="黑体" w:hint="eastAsia"/>
                <w:color w:val="000000"/>
                <w:sz w:val="20"/>
                <w:szCs w:val="20"/>
              </w:rPr>
              <w:t>非必填项</w:t>
            </w:r>
            <w:r w:rsidR="009F0A60">
              <w:rPr>
                <w:rFonts w:ascii="黑体" w:eastAsia="黑体" w:hAnsi="黑体" w:hint="eastAsia"/>
                <w:color w:val="000000"/>
                <w:sz w:val="20"/>
                <w:szCs w:val="20"/>
              </w:rPr>
              <w:t>，若卡号为空，则必填。</w:t>
            </w:r>
          </w:p>
        </w:tc>
      </w:tr>
      <w:tr w:rsidR="00A052DC" w14:paraId="47DE910A" w14:textId="77777777">
        <w:trPr>
          <w:jc w:val="center"/>
        </w:trPr>
        <w:tc>
          <w:tcPr>
            <w:tcW w:w="2282" w:type="dxa"/>
            <w:tcBorders>
              <w:top w:val="single" w:sz="4" w:space="0" w:color="auto"/>
              <w:left w:val="single" w:sz="4" w:space="0" w:color="auto"/>
              <w:bottom w:val="single" w:sz="4" w:space="0" w:color="auto"/>
              <w:right w:val="single" w:sz="4" w:space="0" w:color="auto"/>
            </w:tcBorders>
          </w:tcPr>
          <w:p w14:paraId="2BFFF2D6" w14:textId="77777777" w:rsidR="00A052DC" w:rsidRDefault="009F0A60">
            <w:pPr>
              <w:pStyle w:val="B"/>
              <w:widowControl w:val="0"/>
              <w:rPr>
                <w:color w:val="000000"/>
                <w:szCs w:val="20"/>
              </w:rPr>
            </w:pPr>
            <w:r>
              <w:t>CARDNO</w:t>
            </w:r>
          </w:p>
        </w:tc>
        <w:tc>
          <w:tcPr>
            <w:tcW w:w="1379" w:type="dxa"/>
            <w:tcBorders>
              <w:top w:val="single" w:sz="4" w:space="0" w:color="auto"/>
              <w:left w:val="single" w:sz="4" w:space="0" w:color="auto"/>
              <w:bottom w:val="single" w:sz="4" w:space="0" w:color="auto"/>
              <w:right w:val="single" w:sz="4" w:space="0" w:color="auto"/>
            </w:tcBorders>
          </w:tcPr>
          <w:p w14:paraId="1513B896" w14:textId="77777777" w:rsidR="00A052DC" w:rsidRDefault="009F0A60">
            <w:pPr>
              <w:pStyle w:val="B"/>
              <w:widowControl w:val="0"/>
              <w:rPr>
                <w:color w:val="000000"/>
                <w:szCs w:val="20"/>
              </w:rPr>
            </w:pPr>
            <w:r>
              <w:rPr>
                <w:rFonts w:hint="eastAsia"/>
                <w:color w:val="000000"/>
                <w:szCs w:val="20"/>
              </w:rPr>
              <w:t>卡号</w:t>
            </w:r>
          </w:p>
        </w:tc>
        <w:tc>
          <w:tcPr>
            <w:tcW w:w="1520" w:type="dxa"/>
            <w:tcBorders>
              <w:top w:val="single" w:sz="4" w:space="0" w:color="auto"/>
              <w:left w:val="single" w:sz="4" w:space="0" w:color="auto"/>
              <w:bottom w:val="single" w:sz="4" w:space="0" w:color="auto"/>
              <w:right w:val="single" w:sz="4" w:space="0" w:color="auto"/>
            </w:tcBorders>
          </w:tcPr>
          <w:p w14:paraId="309D18DA" w14:textId="77777777" w:rsidR="00A052DC" w:rsidRDefault="009F0A60">
            <w:pPr>
              <w:jc w:val="left"/>
              <w:rPr>
                <w:rFonts w:ascii="黑体" w:eastAsia="黑体" w:hAnsi="黑体"/>
                <w:color w:val="000000"/>
                <w:sz w:val="20"/>
                <w:szCs w:val="20"/>
              </w:rPr>
            </w:pPr>
            <w:r>
              <w:rPr>
                <w:rFonts w:ascii="黑体" w:eastAsia="黑体" w:hAnsi="黑体" w:hint="eastAsia"/>
                <w:color w:val="000000"/>
                <w:sz w:val="20"/>
                <w:szCs w:val="20"/>
              </w:rPr>
              <w:t>变长字符型，</w:t>
            </w:r>
            <w:r>
              <w:rPr>
                <w:rFonts w:ascii="黑体" w:eastAsia="黑体" w:hAnsi="黑体"/>
                <w:color w:val="000000"/>
                <w:sz w:val="20"/>
                <w:szCs w:val="20"/>
              </w:rPr>
              <w:t>64</w:t>
            </w:r>
          </w:p>
        </w:tc>
        <w:tc>
          <w:tcPr>
            <w:tcW w:w="3338" w:type="dxa"/>
            <w:tcBorders>
              <w:top w:val="single" w:sz="4" w:space="0" w:color="auto"/>
              <w:left w:val="single" w:sz="4" w:space="0" w:color="auto"/>
              <w:bottom w:val="single" w:sz="4" w:space="0" w:color="auto"/>
              <w:right w:val="single" w:sz="4" w:space="0" w:color="auto"/>
            </w:tcBorders>
          </w:tcPr>
          <w:p w14:paraId="15CF2C2E" w14:textId="77777777" w:rsidR="00A052DC" w:rsidRDefault="00DD6AA3">
            <w:pPr>
              <w:rPr>
                <w:rFonts w:ascii="黑体" w:eastAsia="黑体" w:hAnsi="黑体"/>
                <w:color w:val="000000"/>
                <w:sz w:val="20"/>
                <w:szCs w:val="20"/>
              </w:rPr>
            </w:pPr>
            <w:r>
              <w:rPr>
                <w:rFonts w:ascii="黑体" w:eastAsia="黑体" w:hAnsi="黑体" w:hint="eastAsia"/>
                <w:color w:val="000000"/>
                <w:sz w:val="20"/>
                <w:szCs w:val="20"/>
              </w:rPr>
              <w:t>非必填项</w:t>
            </w:r>
            <w:r w:rsidR="009F0A60">
              <w:rPr>
                <w:rFonts w:ascii="黑体" w:eastAsia="黑体" w:hAnsi="黑体" w:hint="eastAsia"/>
                <w:color w:val="000000"/>
                <w:sz w:val="20"/>
                <w:szCs w:val="20"/>
              </w:rPr>
              <w:t>，若账户账号为空，则必填。</w:t>
            </w:r>
          </w:p>
        </w:tc>
      </w:tr>
      <w:tr w:rsidR="00A052DC" w14:paraId="631D2B30" w14:textId="77777777">
        <w:trPr>
          <w:jc w:val="center"/>
        </w:trPr>
        <w:tc>
          <w:tcPr>
            <w:tcW w:w="2282" w:type="dxa"/>
            <w:tcBorders>
              <w:top w:val="single" w:sz="4" w:space="0" w:color="auto"/>
              <w:left w:val="single" w:sz="4" w:space="0" w:color="auto"/>
              <w:bottom w:val="single" w:sz="4" w:space="0" w:color="auto"/>
              <w:right w:val="single" w:sz="4" w:space="0" w:color="auto"/>
            </w:tcBorders>
          </w:tcPr>
          <w:p w14:paraId="406F0C8B" w14:textId="77777777" w:rsidR="00A052DC" w:rsidRDefault="009F0A60">
            <w:pPr>
              <w:pStyle w:val="B"/>
              <w:widowControl w:val="0"/>
              <w:rPr>
                <w:color w:val="000000"/>
                <w:szCs w:val="20"/>
              </w:rPr>
            </w:pPr>
            <w:r>
              <w:rPr>
                <w:color w:val="000000"/>
                <w:szCs w:val="20"/>
              </w:rPr>
              <w:t>DEALDATE</w:t>
            </w:r>
          </w:p>
        </w:tc>
        <w:tc>
          <w:tcPr>
            <w:tcW w:w="1379" w:type="dxa"/>
            <w:tcBorders>
              <w:top w:val="single" w:sz="4" w:space="0" w:color="auto"/>
              <w:left w:val="single" w:sz="4" w:space="0" w:color="auto"/>
              <w:bottom w:val="single" w:sz="4" w:space="0" w:color="auto"/>
              <w:right w:val="single" w:sz="4" w:space="0" w:color="auto"/>
            </w:tcBorders>
          </w:tcPr>
          <w:p w14:paraId="7F40F726" w14:textId="77777777" w:rsidR="00A052DC" w:rsidRDefault="009F0A60">
            <w:pPr>
              <w:pStyle w:val="B"/>
              <w:widowControl w:val="0"/>
              <w:rPr>
                <w:color w:val="000000"/>
                <w:szCs w:val="20"/>
              </w:rPr>
            </w:pPr>
            <w:r>
              <w:rPr>
                <w:rFonts w:hint="eastAsia"/>
                <w:color w:val="000000"/>
                <w:szCs w:val="20"/>
              </w:rPr>
              <w:t>交易日期</w:t>
            </w:r>
          </w:p>
        </w:tc>
        <w:tc>
          <w:tcPr>
            <w:tcW w:w="1520" w:type="dxa"/>
            <w:tcBorders>
              <w:top w:val="single" w:sz="4" w:space="0" w:color="auto"/>
              <w:left w:val="single" w:sz="4" w:space="0" w:color="auto"/>
              <w:bottom w:val="single" w:sz="4" w:space="0" w:color="auto"/>
              <w:right w:val="single" w:sz="4" w:space="0" w:color="auto"/>
            </w:tcBorders>
          </w:tcPr>
          <w:p w14:paraId="7A567805" w14:textId="77777777" w:rsidR="00A052DC" w:rsidRDefault="009F0A60">
            <w:pPr>
              <w:pStyle w:val="B"/>
              <w:widowControl w:val="0"/>
              <w:rPr>
                <w:color w:val="000000"/>
                <w:szCs w:val="20"/>
              </w:rPr>
            </w:pPr>
            <w:r>
              <w:rPr>
                <w:rFonts w:hint="eastAsia"/>
                <w:color w:val="000000"/>
                <w:szCs w:val="20"/>
              </w:rPr>
              <w:t>日期型</w:t>
            </w:r>
            <w:r w:rsidR="008E09E1">
              <w:rPr>
                <w:rFonts w:hint="eastAsia"/>
                <w:color w:val="000000"/>
                <w:szCs w:val="20"/>
              </w:rPr>
              <w:t>，8</w:t>
            </w:r>
          </w:p>
        </w:tc>
        <w:tc>
          <w:tcPr>
            <w:tcW w:w="3338" w:type="dxa"/>
            <w:tcBorders>
              <w:top w:val="single" w:sz="4" w:space="0" w:color="auto"/>
              <w:left w:val="single" w:sz="4" w:space="0" w:color="auto"/>
              <w:bottom w:val="single" w:sz="4" w:space="0" w:color="auto"/>
              <w:right w:val="single" w:sz="4" w:space="0" w:color="auto"/>
            </w:tcBorders>
          </w:tcPr>
          <w:p w14:paraId="62474489" w14:textId="77777777" w:rsidR="00A052DC" w:rsidRDefault="009F0A60">
            <w:pPr>
              <w:pStyle w:val="B"/>
              <w:widowControl w:val="0"/>
              <w:rPr>
                <w:color w:val="000000"/>
                <w:szCs w:val="20"/>
              </w:rPr>
            </w:pPr>
            <w:r>
              <w:rPr>
                <w:rFonts w:hint="eastAsia"/>
                <w:color w:val="000000"/>
                <w:szCs w:val="20"/>
              </w:rPr>
              <w:t>必填项，格式为</w:t>
            </w:r>
            <w:r>
              <w:rPr>
                <w:color w:val="000000"/>
                <w:szCs w:val="20"/>
              </w:rPr>
              <w:t>YYYY-MM-DD</w:t>
            </w:r>
            <w:r w:rsidR="005D2C5E">
              <w:rPr>
                <w:rFonts w:hint="eastAsia"/>
                <w:color w:val="000000"/>
                <w:szCs w:val="20"/>
              </w:rPr>
              <w:t>。</w:t>
            </w:r>
          </w:p>
        </w:tc>
      </w:tr>
      <w:tr w:rsidR="00A052DC" w14:paraId="28813560" w14:textId="77777777">
        <w:trPr>
          <w:jc w:val="center"/>
        </w:trPr>
        <w:tc>
          <w:tcPr>
            <w:tcW w:w="2282" w:type="dxa"/>
            <w:tcBorders>
              <w:top w:val="single" w:sz="4" w:space="0" w:color="auto"/>
              <w:left w:val="single" w:sz="4" w:space="0" w:color="auto"/>
              <w:bottom w:val="single" w:sz="4" w:space="0" w:color="auto"/>
              <w:right w:val="single" w:sz="4" w:space="0" w:color="auto"/>
            </w:tcBorders>
          </w:tcPr>
          <w:p w14:paraId="710EAE18" w14:textId="77777777" w:rsidR="00A052DC" w:rsidRDefault="009F0A60">
            <w:pPr>
              <w:pStyle w:val="B"/>
              <w:widowControl w:val="0"/>
              <w:rPr>
                <w:color w:val="000000"/>
                <w:szCs w:val="20"/>
              </w:rPr>
            </w:pPr>
            <w:r>
              <w:rPr>
                <w:color w:val="000000"/>
                <w:szCs w:val="20"/>
              </w:rPr>
              <w:t>DEALTIME</w:t>
            </w:r>
          </w:p>
        </w:tc>
        <w:tc>
          <w:tcPr>
            <w:tcW w:w="1379" w:type="dxa"/>
            <w:tcBorders>
              <w:top w:val="single" w:sz="4" w:space="0" w:color="auto"/>
              <w:left w:val="single" w:sz="4" w:space="0" w:color="auto"/>
              <w:bottom w:val="single" w:sz="4" w:space="0" w:color="auto"/>
              <w:right w:val="single" w:sz="4" w:space="0" w:color="auto"/>
            </w:tcBorders>
          </w:tcPr>
          <w:p w14:paraId="5B39D0DE" w14:textId="77777777" w:rsidR="00A052DC" w:rsidRDefault="009F0A60">
            <w:pPr>
              <w:pStyle w:val="B"/>
              <w:widowControl w:val="0"/>
              <w:rPr>
                <w:color w:val="000000"/>
                <w:szCs w:val="20"/>
              </w:rPr>
            </w:pPr>
            <w:r>
              <w:rPr>
                <w:rFonts w:hint="eastAsia"/>
                <w:color w:val="000000"/>
                <w:szCs w:val="20"/>
              </w:rPr>
              <w:t>交易时间</w:t>
            </w:r>
          </w:p>
        </w:tc>
        <w:tc>
          <w:tcPr>
            <w:tcW w:w="1520" w:type="dxa"/>
            <w:tcBorders>
              <w:top w:val="single" w:sz="4" w:space="0" w:color="auto"/>
              <w:left w:val="single" w:sz="4" w:space="0" w:color="auto"/>
              <w:bottom w:val="single" w:sz="4" w:space="0" w:color="auto"/>
              <w:right w:val="single" w:sz="4" w:space="0" w:color="auto"/>
            </w:tcBorders>
          </w:tcPr>
          <w:p w14:paraId="540EC21E" w14:textId="77777777" w:rsidR="00A052DC" w:rsidRDefault="009F0A60" w:rsidP="00903DE9">
            <w:pPr>
              <w:pStyle w:val="B"/>
              <w:widowControl w:val="0"/>
              <w:rPr>
                <w:color w:val="000000"/>
                <w:szCs w:val="20"/>
              </w:rPr>
            </w:pPr>
            <w:r>
              <w:rPr>
                <w:rFonts w:hint="eastAsia"/>
                <w:color w:val="000000"/>
                <w:szCs w:val="20"/>
              </w:rPr>
              <w:t>时间型</w:t>
            </w:r>
          </w:p>
        </w:tc>
        <w:tc>
          <w:tcPr>
            <w:tcW w:w="3338" w:type="dxa"/>
            <w:tcBorders>
              <w:top w:val="single" w:sz="4" w:space="0" w:color="auto"/>
              <w:left w:val="single" w:sz="4" w:space="0" w:color="auto"/>
              <w:bottom w:val="single" w:sz="4" w:space="0" w:color="auto"/>
              <w:right w:val="single" w:sz="4" w:space="0" w:color="auto"/>
            </w:tcBorders>
          </w:tcPr>
          <w:p w14:paraId="5539E133" w14:textId="77777777" w:rsidR="00A052DC" w:rsidRDefault="00903DE9">
            <w:pPr>
              <w:pStyle w:val="B"/>
              <w:widowControl w:val="0"/>
              <w:rPr>
                <w:color w:val="000000"/>
                <w:szCs w:val="20"/>
              </w:rPr>
            </w:pPr>
            <w:r w:rsidRPr="00903DE9">
              <w:rPr>
                <w:rFonts w:hint="eastAsia"/>
                <w:color w:val="000000"/>
                <w:szCs w:val="20"/>
              </w:rPr>
              <w:t>必填项，格式为yyyy-mm-dd HH:MM:SS。</w:t>
            </w:r>
          </w:p>
        </w:tc>
      </w:tr>
      <w:tr w:rsidR="00A052DC" w14:paraId="63417A50" w14:textId="77777777">
        <w:trPr>
          <w:jc w:val="center"/>
        </w:trPr>
        <w:tc>
          <w:tcPr>
            <w:tcW w:w="2282" w:type="dxa"/>
            <w:tcBorders>
              <w:top w:val="single" w:sz="4" w:space="0" w:color="auto"/>
              <w:left w:val="single" w:sz="4" w:space="0" w:color="auto"/>
              <w:bottom w:val="single" w:sz="4" w:space="0" w:color="auto"/>
              <w:right w:val="single" w:sz="4" w:space="0" w:color="auto"/>
            </w:tcBorders>
          </w:tcPr>
          <w:p w14:paraId="7FE9612A" w14:textId="77777777" w:rsidR="00A052DC" w:rsidRDefault="009F0A60">
            <w:pPr>
              <w:pStyle w:val="B"/>
              <w:widowControl w:val="0"/>
              <w:rPr>
                <w:color w:val="000000"/>
                <w:szCs w:val="20"/>
              </w:rPr>
            </w:pPr>
            <w:r>
              <w:rPr>
                <w:color w:val="000000"/>
                <w:szCs w:val="20"/>
              </w:rPr>
              <w:t>TRANSACT</w:t>
            </w:r>
          </w:p>
        </w:tc>
        <w:tc>
          <w:tcPr>
            <w:tcW w:w="1379" w:type="dxa"/>
            <w:tcBorders>
              <w:top w:val="single" w:sz="4" w:space="0" w:color="auto"/>
              <w:left w:val="single" w:sz="4" w:space="0" w:color="auto"/>
              <w:bottom w:val="single" w:sz="4" w:space="0" w:color="auto"/>
              <w:right w:val="single" w:sz="4" w:space="0" w:color="auto"/>
            </w:tcBorders>
          </w:tcPr>
          <w:p w14:paraId="3741786D" w14:textId="77777777" w:rsidR="00A052DC" w:rsidRDefault="009F0A60">
            <w:pPr>
              <w:pStyle w:val="B"/>
              <w:widowControl w:val="0"/>
              <w:rPr>
                <w:color w:val="000000"/>
                <w:szCs w:val="20"/>
              </w:rPr>
            </w:pPr>
            <w:r>
              <w:rPr>
                <w:rFonts w:hint="eastAsia"/>
                <w:color w:val="000000"/>
                <w:szCs w:val="20"/>
              </w:rPr>
              <w:t>交易方式</w:t>
            </w:r>
          </w:p>
        </w:tc>
        <w:tc>
          <w:tcPr>
            <w:tcW w:w="1520" w:type="dxa"/>
            <w:tcBorders>
              <w:top w:val="single" w:sz="4" w:space="0" w:color="auto"/>
              <w:left w:val="single" w:sz="4" w:space="0" w:color="auto"/>
              <w:bottom w:val="single" w:sz="4" w:space="0" w:color="auto"/>
              <w:right w:val="single" w:sz="4" w:space="0" w:color="auto"/>
            </w:tcBorders>
          </w:tcPr>
          <w:p w14:paraId="65B5C44A" w14:textId="77777777" w:rsidR="00A052DC" w:rsidRDefault="009F0A60">
            <w:pPr>
              <w:pStyle w:val="B"/>
              <w:widowControl w:val="0"/>
              <w:rPr>
                <w:color w:val="000000"/>
                <w:szCs w:val="20"/>
              </w:rPr>
            </w:pPr>
            <w:r>
              <w:rPr>
                <w:rFonts w:hint="eastAsia"/>
                <w:color w:val="000000"/>
                <w:szCs w:val="20"/>
              </w:rPr>
              <w:t>字符型，</w:t>
            </w:r>
            <w:r>
              <w:rPr>
                <w:color w:val="000000"/>
                <w:szCs w:val="20"/>
              </w:rPr>
              <w:t>1</w:t>
            </w:r>
          </w:p>
        </w:tc>
        <w:tc>
          <w:tcPr>
            <w:tcW w:w="3338" w:type="dxa"/>
            <w:tcBorders>
              <w:top w:val="single" w:sz="4" w:space="0" w:color="auto"/>
              <w:left w:val="single" w:sz="4" w:space="0" w:color="auto"/>
              <w:bottom w:val="single" w:sz="4" w:space="0" w:color="auto"/>
              <w:right w:val="single" w:sz="4" w:space="0" w:color="auto"/>
            </w:tcBorders>
          </w:tcPr>
          <w:p w14:paraId="09382ACB" w14:textId="77777777" w:rsidR="00A052DC" w:rsidRDefault="009F0A60">
            <w:pPr>
              <w:pStyle w:val="B"/>
              <w:widowControl w:val="0"/>
              <w:rPr>
                <w:color w:val="000000"/>
                <w:szCs w:val="20"/>
              </w:rPr>
            </w:pPr>
            <w:r>
              <w:rPr>
                <w:rFonts w:hint="eastAsia"/>
                <w:color w:val="000000"/>
                <w:szCs w:val="20"/>
              </w:rPr>
              <w:t>必填项，8选1：</w:t>
            </w:r>
          </w:p>
          <w:p w14:paraId="4ACE7467" w14:textId="77777777" w:rsidR="00A052DC" w:rsidRDefault="009F0A60">
            <w:pPr>
              <w:pStyle w:val="B"/>
              <w:widowControl w:val="0"/>
              <w:rPr>
                <w:color w:val="000000"/>
                <w:szCs w:val="20"/>
              </w:rPr>
            </w:pPr>
            <w:r>
              <w:rPr>
                <w:color w:val="000000"/>
                <w:szCs w:val="20"/>
              </w:rPr>
              <w:t>1-</w:t>
            </w:r>
            <w:r>
              <w:rPr>
                <w:rFonts w:hint="eastAsia"/>
                <w:color w:val="000000"/>
                <w:szCs w:val="20"/>
              </w:rPr>
              <w:t>柜面划转；</w:t>
            </w:r>
          </w:p>
          <w:p w14:paraId="6D547845" w14:textId="77777777" w:rsidR="00A052DC" w:rsidRDefault="009F0A60">
            <w:pPr>
              <w:pStyle w:val="B"/>
              <w:widowControl w:val="0"/>
              <w:rPr>
                <w:color w:val="000000"/>
                <w:szCs w:val="20"/>
              </w:rPr>
            </w:pPr>
            <w:r>
              <w:rPr>
                <w:color w:val="000000"/>
                <w:szCs w:val="20"/>
              </w:rPr>
              <w:t>2-</w:t>
            </w:r>
            <w:r>
              <w:rPr>
                <w:rFonts w:hint="eastAsia"/>
                <w:color w:val="000000"/>
                <w:szCs w:val="20"/>
              </w:rPr>
              <w:t>网银；</w:t>
            </w:r>
          </w:p>
          <w:p w14:paraId="5C96DBA3" w14:textId="77777777" w:rsidR="00A052DC" w:rsidRDefault="009F0A60">
            <w:pPr>
              <w:pStyle w:val="B"/>
              <w:widowControl w:val="0"/>
              <w:rPr>
                <w:color w:val="000000"/>
                <w:szCs w:val="20"/>
              </w:rPr>
            </w:pPr>
            <w:r>
              <w:rPr>
                <w:color w:val="000000"/>
                <w:szCs w:val="20"/>
              </w:rPr>
              <w:t>3-</w:t>
            </w:r>
            <w:r>
              <w:rPr>
                <w:rFonts w:hint="eastAsia"/>
                <w:color w:val="000000"/>
                <w:szCs w:val="20"/>
              </w:rPr>
              <w:t>手机银行；</w:t>
            </w:r>
          </w:p>
          <w:p w14:paraId="2274DDB3" w14:textId="77777777" w:rsidR="00A052DC" w:rsidRDefault="009F0A60">
            <w:pPr>
              <w:pStyle w:val="B"/>
              <w:widowControl w:val="0"/>
              <w:rPr>
                <w:color w:val="000000"/>
                <w:szCs w:val="20"/>
              </w:rPr>
            </w:pPr>
            <w:r>
              <w:rPr>
                <w:color w:val="000000"/>
                <w:szCs w:val="20"/>
              </w:rPr>
              <w:t>4-</w:t>
            </w:r>
            <w:r>
              <w:rPr>
                <w:rFonts w:hint="eastAsia"/>
                <w:color w:val="000000"/>
                <w:szCs w:val="20"/>
              </w:rPr>
              <w:t>第三方支付；</w:t>
            </w:r>
          </w:p>
          <w:p w14:paraId="7869DB90" w14:textId="77777777" w:rsidR="00A052DC" w:rsidRDefault="009F0A60">
            <w:pPr>
              <w:pStyle w:val="B"/>
              <w:widowControl w:val="0"/>
              <w:rPr>
                <w:color w:val="000000"/>
                <w:szCs w:val="20"/>
              </w:rPr>
            </w:pPr>
            <w:r>
              <w:rPr>
                <w:color w:val="000000"/>
                <w:szCs w:val="20"/>
              </w:rPr>
              <w:t>5-POS</w:t>
            </w:r>
            <w:r>
              <w:rPr>
                <w:rFonts w:hint="eastAsia"/>
                <w:color w:val="000000"/>
                <w:szCs w:val="20"/>
              </w:rPr>
              <w:t>消费；</w:t>
            </w:r>
          </w:p>
          <w:p w14:paraId="101924B8" w14:textId="77777777" w:rsidR="00A052DC" w:rsidRDefault="009F0A60">
            <w:pPr>
              <w:pStyle w:val="B"/>
              <w:widowControl w:val="0"/>
              <w:rPr>
                <w:color w:val="000000"/>
                <w:szCs w:val="20"/>
              </w:rPr>
            </w:pPr>
            <w:r>
              <w:rPr>
                <w:color w:val="000000"/>
                <w:szCs w:val="20"/>
              </w:rPr>
              <w:t>6-ATM</w:t>
            </w:r>
            <w:r>
              <w:rPr>
                <w:rFonts w:hint="eastAsia"/>
                <w:color w:val="000000"/>
                <w:szCs w:val="20"/>
              </w:rPr>
              <w:t>划转；</w:t>
            </w:r>
          </w:p>
          <w:p w14:paraId="2FA24EA2" w14:textId="77777777" w:rsidR="00A052DC" w:rsidRDefault="009F0A60">
            <w:pPr>
              <w:pStyle w:val="B"/>
              <w:widowControl w:val="0"/>
              <w:rPr>
                <w:color w:val="000000"/>
                <w:szCs w:val="20"/>
              </w:rPr>
            </w:pPr>
            <w:r>
              <w:rPr>
                <w:rFonts w:hint="eastAsia"/>
                <w:color w:val="000000"/>
                <w:szCs w:val="20"/>
              </w:rPr>
              <w:t>7-存钞或提钞</w:t>
            </w:r>
          </w:p>
          <w:p w14:paraId="00AF61A4" w14:textId="77777777" w:rsidR="00A052DC" w:rsidRDefault="009F0A60">
            <w:pPr>
              <w:pStyle w:val="B"/>
              <w:widowControl w:val="0"/>
              <w:rPr>
                <w:color w:val="000000"/>
                <w:szCs w:val="20"/>
              </w:rPr>
            </w:pPr>
            <w:r>
              <w:rPr>
                <w:color w:val="000000"/>
                <w:szCs w:val="20"/>
              </w:rPr>
              <w:t>8-</w:t>
            </w:r>
            <w:r>
              <w:rPr>
                <w:rFonts w:hint="eastAsia"/>
                <w:color w:val="000000"/>
                <w:szCs w:val="20"/>
              </w:rPr>
              <w:t>其他。</w:t>
            </w:r>
          </w:p>
        </w:tc>
      </w:tr>
      <w:tr w:rsidR="00A052DC" w14:paraId="62325305" w14:textId="77777777">
        <w:trPr>
          <w:jc w:val="center"/>
        </w:trPr>
        <w:tc>
          <w:tcPr>
            <w:tcW w:w="2282" w:type="dxa"/>
            <w:tcBorders>
              <w:top w:val="single" w:sz="4" w:space="0" w:color="auto"/>
              <w:left w:val="single" w:sz="4" w:space="0" w:color="auto"/>
              <w:bottom w:val="single" w:sz="4" w:space="0" w:color="auto"/>
              <w:right w:val="single" w:sz="4" w:space="0" w:color="auto"/>
            </w:tcBorders>
          </w:tcPr>
          <w:p w14:paraId="61FE2F92" w14:textId="77777777" w:rsidR="00A052DC" w:rsidRDefault="009F0A60">
            <w:pPr>
              <w:pStyle w:val="B"/>
              <w:widowControl w:val="0"/>
              <w:rPr>
                <w:color w:val="000000"/>
                <w:szCs w:val="20"/>
              </w:rPr>
            </w:pPr>
            <w:r>
              <w:rPr>
                <w:color w:val="000000"/>
                <w:szCs w:val="20"/>
              </w:rPr>
              <w:t>REMARKS</w:t>
            </w:r>
          </w:p>
        </w:tc>
        <w:tc>
          <w:tcPr>
            <w:tcW w:w="1379" w:type="dxa"/>
            <w:tcBorders>
              <w:top w:val="single" w:sz="4" w:space="0" w:color="auto"/>
              <w:left w:val="single" w:sz="4" w:space="0" w:color="auto"/>
              <w:bottom w:val="single" w:sz="4" w:space="0" w:color="auto"/>
              <w:right w:val="single" w:sz="4" w:space="0" w:color="auto"/>
            </w:tcBorders>
          </w:tcPr>
          <w:p w14:paraId="6F73D78B" w14:textId="77777777" w:rsidR="00A052DC" w:rsidRDefault="009F0A60">
            <w:pPr>
              <w:pStyle w:val="B"/>
              <w:widowControl w:val="0"/>
              <w:rPr>
                <w:color w:val="000000"/>
                <w:szCs w:val="20"/>
              </w:rPr>
            </w:pPr>
            <w:r>
              <w:rPr>
                <w:rFonts w:hint="eastAsia"/>
                <w:color w:val="000000"/>
                <w:szCs w:val="20"/>
              </w:rPr>
              <w:t>摘要（备注）</w:t>
            </w:r>
          </w:p>
        </w:tc>
        <w:tc>
          <w:tcPr>
            <w:tcW w:w="1520" w:type="dxa"/>
            <w:tcBorders>
              <w:top w:val="single" w:sz="4" w:space="0" w:color="auto"/>
              <w:left w:val="single" w:sz="4" w:space="0" w:color="auto"/>
              <w:bottom w:val="single" w:sz="4" w:space="0" w:color="auto"/>
              <w:right w:val="single" w:sz="4" w:space="0" w:color="auto"/>
            </w:tcBorders>
          </w:tcPr>
          <w:p w14:paraId="4A20D1BA" w14:textId="77777777" w:rsidR="00A052DC" w:rsidRDefault="009F0A60">
            <w:pPr>
              <w:pStyle w:val="B"/>
              <w:widowControl w:val="0"/>
              <w:rPr>
                <w:color w:val="000000"/>
                <w:szCs w:val="20"/>
              </w:rPr>
            </w:pPr>
            <w:r>
              <w:rPr>
                <w:rFonts w:hint="eastAsia"/>
                <w:color w:val="000000"/>
                <w:szCs w:val="20"/>
              </w:rPr>
              <w:t>变长字符型，</w:t>
            </w:r>
            <w:r>
              <w:rPr>
                <w:color w:val="000000"/>
                <w:szCs w:val="20"/>
              </w:rPr>
              <w:t>128</w:t>
            </w:r>
          </w:p>
        </w:tc>
        <w:tc>
          <w:tcPr>
            <w:tcW w:w="3338" w:type="dxa"/>
            <w:tcBorders>
              <w:top w:val="single" w:sz="4" w:space="0" w:color="auto"/>
              <w:left w:val="single" w:sz="4" w:space="0" w:color="auto"/>
              <w:bottom w:val="single" w:sz="4" w:space="0" w:color="auto"/>
              <w:right w:val="single" w:sz="4" w:space="0" w:color="auto"/>
            </w:tcBorders>
          </w:tcPr>
          <w:p w14:paraId="681AAB81" w14:textId="77777777" w:rsidR="00A052DC" w:rsidRDefault="00DD6AA3">
            <w:pPr>
              <w:pStyle w:val="B"/>
              <w:widowControl w:val="0"/>
              <w:rPr>
                <w:color w:val="000000"/>
                <w:szCs w:val="20"/>
              </w:rPr>
            </w:pPr>
            <w:r>
              <w:rPr>
                <w:rFonts w:hint="eastAsia"/>
                <w:color w:val="000000"/>
                <w:szCs w:val="20"/>
              </w:rPr>
              <w:t>非必填项</w:t>
            </w:r>
            <w:r w:rsidR="009F0A60">
              <w:rPr>
                <w:rFonts w:hint="eastAsia"/>
                <w:color w:val="000000"/>
                <w:szCs w:val="20"/>
              </w:rPr>
              <w:t>。</w:t>
            </w:r>
          </w:p>
        </w:tc>
      </w:tr>
      <w:tr w:rsidR="00A052DC" w14:paraId="4FB2A327" w14:textId="77777777">
        <w:trPr>
          <w:jc w:val="center"/>
        </w:trPr>
        <w:tc>
          <w:tcPr>
            <w:tcW w:w="2282" w:type="dxa"/>
            <w:tcBorders>
              <w:top w:val="single" w:sz="4" w:space="0" w:color="auto"/>
              <w:left w:val="single" w:sz="4" w:space="0" w:color="auto"/>
              <w:bottom w:val="single" w:sz="4" w:space="0" w:color="auto"/>
              <w:right w:val="single" w:sz="4" w:space="0" w:color="auto"/>
            </w:tcBorders>
          </w:tcPr>
          <w:p w14:paraId="3FA7DAE1" w14:textId="77777777" w:rsidR="00A052DC" w:rsidRDefault="009F0A60">
            <w:pPr>
              <w:pStyle w:val="B"/>
              <w:widowControl w:val="0"/>
              <w:rPr>
                <w:color w:val="000000"/>
                <w:szCs w:val="20"/>
              </w:rPr>
            </w:pPr>
            <w:r>
              <w:rPr>
                <w:color w:val="000000"/>
                <w:szCs w:val="20"/>
              </w:rPr>
              <w:t>DEALCURR</w:t>
            </w:r>
          </w:p>
        </w:tc>
        <w:tc>
          <w:tcPr>
            <w:tcW w:w="1379" w:type="dxa"/>
            <w:tcBorders>
              <w:top w:val="single" w:sz="4" w:space="0" w:color="auto"/>
              <w:left w:val="single" w:sz="4" w:space="0" w:color="auto"/>
              <w:bottom w:val="single" w:sz="4" w:space="0" w:color="auto"/>
              <w:right w:val="single" w:sz="4" w:space="0" w:color="auto"/>
            </w:tcBorders>
          </w:tcPr>
          <w:p w14:paraId="2584D171" w14:textId="77777777" w:rsidR="00A052DC" w:rsidRDefault="009F0A60">
            <w:pPr>
              <w:pStyle w:val="B"/>
              <w:widowControl w:val="0"/>
              <w:rPr>
                <w:color w:val="000000"/>
                <w:szCs w:val="20"/>
              </w:rPr>
            </w:pPr>
            <w:r>
              <w:rPr>
                <w:rFonts w:hint="eastAsia"/>
                <w:color w:val="000000"/>
                <w:szCs w:val="20"/>
              </w:rPr>
              <w:t>币别</w:t>
            </w:r>
          </w:p>
        </w:tc>
        <w:tc>
          <w:tcPr>
            <w:tcW w:w="1520" w:type="dxa"/>
            <w:tcBorders>
              <w:top w:val="single" w:sz="4" w:space="0" w:color="auto"/>
              <w:left w:val="single" w:sz="4" w:space="0" w:color="auto"/>
              <w:bottom w:val="single" w:sz="4" w:space="0" w:color="auto"/>
              <w:right w:val="single" w:sz="4" w:space="0" w:color="auto"/>
            </w:tcBorders>
          </w:tcPr>
          <w:p w14:paraId="73639E82" w14:textId="77777777" w:rsidR="00A052DC" w:rsidRDefault="009F0A60">
            <w:pPr>
              <w:pStyle w:val="B"/>
              <w:widowControl w:val="0"/>
              <w:rPr>
                <w:color w:val="000000"/>
                <w:szCs w:val="20"/>
              </w:rPr>
            </w:pPr>
            <w:r>
              <w:rPr>
                <w:rFonts w:hint="eastAsia"/>
                <w:color w:val="000000"/>
                <w:szCs w:val="20"/>
              </w:rPr>
              <w:t>字符型，3</w:t>
            </w:r>
          </w:p>
        </w:tc>
        <w:tc>
          <w:tcPr>
            <w:tcW w:w="3338" w:type="dxa"/>
            <w:tcBorders>
              <w:top w:val="single" w:sz="4" w:space="0" w:color="auto"/>
              <w:left w:val="single" w:sz="4" w:space="0" w:color="auto"/>
              <w:bottom w:val="single" w:sz="4" w:space="0" w:color="auto"/>
              <w:right w:val="single" w:sz="4" w:space="0" w:color="auto"/>
            </w:tcBorders>
          </w:tcPr>
          <w:p w14:paraId="4FC4E5D9" w14:textId="77777777" w:rsidR="00A052DC" w:rsidRDefault="009F0A60">
            <w:pPr>
              <w:pStyle w:val="B"/>
              <w:widowControl w:val="0"/>
              <w:rPr>
                <w:color w:val="000000"/>
                <w:szCs w:val="20"/>
              </w:rPr>
            </w:pPr>
            <w:r>
              <w:rPr>
                <w:rFonts w:hint="eastAsia"/>
                <w:color w:val="000000"/>
                <w:szCs w:val="20"/>
              </w:rPr>
              <w:t>必填项，见币种代码表。</w:t>
            </w:r>
          </w:p>
        </w:tc>
      </w:tr>
      <w:tr w:rsidR="00A052DC" w14:paraId="1BD7AA86" w14:textId="77777777">
        <w:trPr>
          <w:jc w:val="center"/>
        </w:trPr>
        <w:tc>
          <w:tcPr>
            <w:tcW w:w="2282" w:type="dxa"/>
            <w:tcBorders>
              <w:top w:val="single" w:sz="4" w:space="0" w:color="auto"/>
              <w:left w:val="single" w:sz="4" w:space="0" w:color="auto"/>
              <w:bottom w:val="single" w:sz="4" w:space="0" w:color="auto"/>
              <w:right w:val="single" w:sz="4" w:space="0" w:color="auto"/>
            </w:tcBorders>
          </w:tcPr>
          <w:p w14:paraId="1329E989" w14:textId="77777777" w:rsidR="00A052DC" w:rsidRDefault="009F0A60">
            <w:pPr>
              <w:pStyle w:val="B"/>
              <w:widowControl w:val="0"/>
              <w:rPr>
                <w:color w:val="000000"/>
                <w:szCs w:val="20"/>
              </w:rPr>
            </w:pPr>
            <w:r>
              <w:rPr>
                <w:color w:val="000000"/>
                <w:szCs w:val="20"/>
              </w:rPr>
              <w:t>PAYMENTSTAT</w:t>
            </w:r>
          </w:p>
        </w:tc>
        <w:tc>
          <w:tcPr>
            <w:tcW w:w="1379" w:type="dxa"/>
            <w:tcBorders>
              <w:top w:val="single" w:sz="4" w:space="0" w:color="auto"/>
              <w:left w:val="single" w:sz="4" w:space="0" w:color="auto"/>
              <w:bottom w:val="single" w:sz="4" w:space="0" w:color="auto"/>
              <w:right w:val="single" w:sz="4" w:space="0" w:color="auto"/>
            </w:tcBorders>
          </w:tcPr>
          <w:p w14:paraId="49F0E27E" w14:textId="77777777" w:rsidR="00A052DC" w:rsidRDefault="009F0A60">
            <w:pPr>
              <w:pStyle w:val="B"/>
              <w:widowControl w:val="0"/>
              <w:rPr>
                <w:color w:val="000000"/>
                <w:szCs w:val="20"/>
              </w:rPr>
            </w:pPr>
            <w:r>
              <w:rPr>
                <w:rFonts w:hint="eastAsia"/>
                <w:color w:val="000000"/>
                <w:szCs w:val="20"/>
              </w:rPr>
              <w:t>借贷（收付）标记</w:t>
            </w:r>
          </w:p>
        </w:tc>
        <w:tc>
          <w:tcPr>
            <w:tcW w:w="1520" w:type="dxa"/>
            <w:tcBorders>
              <w:top w:val="single" w:sz="4" w:space="0" w:color="auto"/>
              <w:left w:val="single" w:sz="4" w:space="0" w:color="auto"/>
              <w:bottom w:val="single" w:sz="4" w:space="0" w:color="auto"/>
              <w:right w:val="single" w:sz="4" w:space="0" w:color="auto"/>
            </w:tcBorders>
          </w:tcPr>
          <w:p w14:paraId="392DDEAE" w14:textId="77777777" w:rsidR="00A052DC" w:rsidRDefault="009F0A60">
            <w:pPr>
              <w:pStyle w:val="B"/>
              <w:widowControl w:val="0"/>
              <w:rPr>
                <w:color w:val="000000"/>
                <w:szCs w:val="20"/>
              </w:rPr>
            </w:pPr>
            <w:r>
              <w:rPr>
                <w:rFonts w:hint="eastAsia"/>
                <w:color w:val="000000"/>
                <w:szCs w:val="20"/>
              </w:rPr>
              <w:t>字符型，</w:t>
            </w:r>
            <w:r>
              <w:rPr>
                <w:color w:val="000000"/>
                <w:szCs w:val="20"/>
              </w:rPr>
              <w:t>1</w:t>
            </w:r>
          </w:p>
        </w:tc>
        <w:tc>
          <w:tcPr>
            <w:tcW w:w="3338" w:type="dxa"/>
            <w:tcBorders>
              <w:top w:val="single" w:sz="4" w:space="0" w:color="auto"/>
              <w:left w:val="single" w:sz="4" w:space="0" w:color="auto"/>
              <w:bottom w:val="single" w:sz="4" w:space="0" w:color="auto"/>
              <w:right w:val="single" w:sz="4" w:space="0" w:color="auto"/>
            </w:tcBorders>
          </w:tcPr>
          <w:p w14:paraId="2FC48A0F" w14:textId="77777777" w:rsidR="00A052DC" w:rsidRDefault="009F0A60">
            <w:pPr>
              <w:pStyle w:val="B"/>
              <w:widowControl w:val="0"/>
              <w:rPr>
                <w:color w:val="000000"/>
                <w:szCs w:val="20"/>
              </w:rPr>
            </w:pPr>
            <w:r>
              <w:rPr>
                <w:rFonts w:hint="eastAsia"/>
                <w:color w:val="000000"/>
                <w:szCs w:val="20"/>
              </w:rPr>
              <w:t>必填项，2选1：</w:t>
            </w:r>
          </w:p>
          <w:p w14:paraId="21F13AEA" w14:textId="77777777" w:rsidR="00A052DC" w:rsidRDefault="009F0A60">
            <w:pPr>
              <w:rPr>
                <w:rFonts w:ascii="黑体" w:eastAsia="黑体" w:hAnsi="黑体" w:cs="宋体"/>
                <w:color w:val="000000"/>
                <w:sz w:val="20"/>
                <w:szCs w:val="20"/>
              </w:rPr>
            </w:pPr>
            <w:r>
              <w:rPr>
                <w:rFonts w:ascii="黑体" w:eastAsia="黑体" w:hAnsi="黑体" w:cs="宋体"/>
                <w:color w:val="000000"/>
                <w:kern w:val="0"/>
                <w:sz w:val="20"/>
                <w:szCs w:val="20"/>
              </w:rPr>
              <w:t>C-贷</w:t>
            </w:r>
            <w:r>
              <w:rPr>
                <w:rFonts w:ascii="黑体" w:eastAsia="黑体" w:hAnsi="黑体" w:cs="宋体" w:hint="eastAsia"/>
                <w:color w:val="000000"/>
                <w:kern w:val="0"/>
                <w:sz w:val="20"/>
                <w:szCs w:val="20"/>
              </w:rPr>
              <w:t>；</w:t>
            </w:r>
          </w:p>
          <w:p w14:paraId="3E6DF834" w14:textId="77777777" w:rsidR="00A052DC" w:rsidRDefault="009F0A60">
            <w:pPr>
              <w:pStyle w:val="B"/>
              <w:widowControl w:val="0"/>
              <w:rPr>
                <w:color w:val="000000"/>
                <w:szCs w:val="20"/>
              </w:rPr>
            </w:pPr>
            <w:r>
              <w:rPr>
                <w:rFonts w:cs="宋体" w:hint="eastAsia"/>
                <w:color w:val="000000"/>
                <w:szCs w:val="20"/>
              </w:rPr>
              <w:t>D-借。</w:t>
            </w:r>
          </w:p>
        </w:tc>
      </w:tr>
      <w:tr w:rsidR="00A052DC" w14:paraId="1BB77FDD" w14:textId="77777777">
        <w:trPr>
          <w:jc w:val="center"/>
        </w:trPr>
        <w:tc>
          <w:tcPr>
            <w:tcW w:w="2282" w:type="dxa"/>
            <w:tcBorders>
              <w:top w:val="single" w:sz="4" w:space="0" w:color="auto"/>
              <w:left w:val="single" w:sz="4" w:space="0" w:color="auto"/>
              <w:bottom w:val="single" w:sz="4" w:space="0" w:color="auto"/>
              <w:right w:val="single" w:sz="4" w:space="0" w:color="auto"/>
            </w:tcBorders>
          </w:tcPr>
          <w:p w14:paraId="3BB5A308" w14:textId="77777777" w:rsidR="00A052DC" w:rsidRDefault="009F0A60">
            <w:pPr>
              <w:pStyle w:val="B"/>
              <w:widowControl w:val="0"/>
              <w:rPr>
                <w:color w:val="000000"/>
                <w:szCs w:val="20"/>
              </w:rPr>
            </w:pPr>
            <w:r>
              <w:rPr>
                <w:color w:val="000000"/>
                <w:szCs w:val="20"/>
              </w:rPr>
              <w:t>DEALAMOUNT</w:t>
            </w:r>
          </w:p>
        </w:tc>
        <w:tc>
          <w:tcPr>
            <w:tcW w:w="1379" w:type="dxa"/>
            <w:tcBorders>
              <w:top w:val="single" w:sz="4" w:space="0" w:color="auto"/>
              <w:left w:val="single" w:sz="4" w:space="0" w:color="auto"/>
              <w:bottom w:val="single" w:sz="4" w:space="0" w:color="auto"/>
              <w:right w:val="single" w:sz="4" w:space="0" w:color="auto"/>
            </w:tcBorders>
          </w:tcPr>
          <w:p w14:paraId="423C4744" w14:textId="77777777" w:rsidR="00A052DC" w:rsidRDefault="009F0A60">
            <w:pPr>
              <w:pStyle w:val="B"/>
              <w:widowControl w:val="0"/>
              <w:rPr>
                <w:color w:val="000000"/>
                <w:szCs w:val="20"/>
              </w:rPr>
            </w:pPr>
            <w:r>
              <w:rPr>
                <w:rFonts w:hint="eastAsia"/>
                <w:color w:val="000000"/>
                <w:szCs w:val="20"/>
              </w:rPr>
              <w:t>交易金额</w:t>
            </w:r>
          </w:p>
        </w:tc>
        <w:tc>
          <w:tcPr>
            <w:tcW w:w="1520" w:type="dxa"/>
            <w:tcBorders>
              <w:top w:val="single" w:sz="4" w:space="0" w:color="auto"/>
              <w:left w:val="single" w:sz="4" w:space="0" w:color="auto"/>
              <w:bottom w:val="single" w:sz="4" w:space="0" w:color="auto"/>
              <w:right w:val="single" w:sz="4" w:space="0" w:color="auto"/>
            </w:tcBorders>
          </w:tcPr>
          <w:p w14:paraId="1D86E1FC" w14:textId="77777777" w:rsidR="00A052DC" w:rsidRDefault="009F0A60">
            <w:pPr>
              <w:pStyle w:val="B"/>
              <w:widowControl w:val="0"/>
              <w:rPr>
                <w:color w:val="000000"/>
                <w:szCs w:val="20"/>
              </w:rPr>
            </w:pPr>
            <w:r>
              <w:rPr>
                <w:rFonts w:hint="eastAsia"/>
                <w:color w:val="000000"/>
                <w:szCs w:val="20"/>
              </w:rPr>
              <w:t>变长字符型，</w:t>
            </w:r>
            <w:r>
              <w:rPr>
                <w:color w:val="000000"/>
                <w:szCs w:val="20"/>
              </w:rPr>
              <w:t>24</w:t>
            </w:r>
          </w:p>
        </w:tc>
        <w:tc>
          <w:tcPr>
            <w:tcW w:w="3338" w:type="dxa"/>
            <w:tcBorders>
              <w:top w:val="single" w:sz="4" w:space="0" w:color="auto"/>
              <w:left w:val="single" w:sz="4" w:space="0" w:color="auto"/>
              <w:bottom w:val="single" w:sz="4" w:space="0" w:color="auto"/>
              <w:right w:val="single" w:sz="4" w:space="0" w:color="auto"/>
            </w:tcBorders>
          </w:tcPr>
          <w:p w14:paraId="5A9831B3" w14:textId="77777777" w:rsidR="00A052DC" w:rsidRDefault="009F0A60">
            <w:pPr>
              <w:pStyle w:val="B"/>
              <w:widowControl w:val="0"/>
              <w:rPr>
                <w:color w:val="000000"/>
                <w:szCs w:val="20"/>
              </w:rPr>
            </w:pPr>
            <w:r>
              <w:rPr>
                <w:rFonts w:hint="eastAsia"/>
                <w:color w:val="000000"/>
                <w:szCs w:val="20"/>
              </w:rPr>
              <w:t>必填项。</w:t>
            </w:r>
          </w:p>
        </w:tc>
      </w:tr>
      <w:tr w:rsidR="00A052DC" w14:paraId="168FB80C" w14:textId="77777777">
        <w:trPr>
          <w:jc w:val="center"/>
        </w:trPr>
        <w:tc>
          <w:tcPr>
            <w:tcW w:w="2282" w:type="dxa"/>
            <w:tcBorders>
              <w:top w:val="single" w:sz="4" w:space="0" w:color="auto"/>
              <w:left w:val="single" w:sz="4" w:space="0" w:color="auto"/>
              <w:bottom w:val="single" w:sz="4" w:space="0" w:color="auto"/>
              <w:right w:val="single" w:sz="4" w:space="0" w:color="auto"/>
            </w:tcBorders>
          </w:tcPr>
          <w:p w14:paraId="69B100F9" w14:textId="77777777" w:rsidR="00A052DC" w:rsidRDefault="009F0A60">
            <w:pPr>
              <w:pStyle w:val="B"/>
              <w:widowControl w:val="0"/>
              <w:rPr>
                <w:color w:val="000000"/>
                <w:szCs w:val="20"/>
              </w:rPr>
            </w:pPr>
            <w:r>
              <w:rPr>
                <w:color w:val="000000"/>
                <w:szCs w:val="20"/>
              </w:rPr>
              <w:t>ACCOUNTBALAN</w:t>
            </w:r>
          </w:p>
        </w:tc>
        <w:tc>
          <w:tcPr>
            <w:tcW w:w="1379" w:type="dxa"/>
            <w:tcBorders>
              <w:top w:val="single" w:sz="4" w:space="0" w:color="auto"/>
              <w:left w:val="single" w:sz="4" w:space="0" w:color="auto"/>
              <w:bottom w:val="single" w:sz="4" w:space="0" w:color="auto"/>
              <w:right w:val="single" w:sz="4" w:space="0" w:color="auto"/>
            </w:tcBorders>
          </w:tcPr>
          <w:p w14:paraId="467F396E" w14:textId="77777777" w:rsidR="00A052DC" w:rsidRDefault="009F0A60">
            <w:pPr>
              <w:pStyle w:val="B"/>
              <w:widowControl w:val="0"/>
              <w:rPr>
                <w:color w:val="000000"/>
                <w:szCs w:val="20"/>
              </w:rPr>
            </w:pPr>
            <w:r>
              <w:rPr>
                <w:rFonts w:hint="eastAsia"/>
                <w:color w:val="000000"/>
                <w:szCs w:val="20"/>
              </w:rPr>
              <w:t>账户余额</w:t>
            </w:r>
          </w:p>
        </w:tc>
        <w:tc>
          <w:tcPr>
            <w:tcW w:w="1520" w:type="dxa"/>
            <w:tcBorders>
              <w:top w:val="single" w:sz="4" w:space="0" w:color="auto"/>
              <w:left w:val="single" w:sz="4" w:space="0" w:color="auto"/>
              <w:bottom w:val="single" w:sz="4" w:space="0" w:color="auto"/>
              <w:right w:val="single" w:sz="4" w:space="0" w:color="auto"/>
            </w:tcBorders>
          </w:tcPr>
          <w:p w14:paraId="19CB1D29" w14:textId="77777777" w:rsidR="00A052DC" w:rsidRDefault="009F0A60">
            <w:pPr>
              <w:pStyle w:val="B"/>
              <w:widowControl w:val="0"/>
              <w:rPr>
                <w:color w:val="000000"/>
                <w:szCs w:val="20"/>
              </w:rPr>
            </w:pPr>
            <w:r>
              <w:rPr>
                <w:rFonts w:hint="eastAsia"/>
                <w:color w:val="000000"/>
                <w:szCs w:val="20"/>
              </w:rPr>
              <w:t>变长字符型，</w:t>
            </w:r>
            <w:r>
              <w:rPr>
                <w:color w:val="000000"/>
                <w:szCs w:val="20"/>
              </w:rPr>
              <w:t>24</w:t>
            </w:r>
          </w:p>
        </w:tc>
        <w:tc>
          <w:tcPr>
            <w:tcW w:w="3338" w:type="dxa"/>
            <w:tcBorders>
              <w:top w:val="single" w:sz="4" w:space="0" w:color="auto"/>
              <w:left w:val="single" w:sz="4" w:space="0" w:color="auto"/>
              <w:bottom w:val="single" w:sz="4" w:space="0" w:color="auto"/>
              <w:right w:val="single" w:sz="4" w:space="0" w:color="auto"/>
            </w:tcBorders>
          </w:tcPr>
          <w:p w14:paraId="202A6C76" w14:textId="77777777" w:rsidR="00A052DC" w:rsidRDefault="009F0A60">
            <w:pPr>
              <w:pStyle w:val="B"/>
              <w:widowControl w:val="0"/>
              <w:rPr>
                <w:color w:val="000000"/>
                <w:szCs w:val="20"/>
              </w:rPr>
            </w:pPr>
            <w:r>
              <w:rPr>
                <w:rFonts w:hint="eastAsia"/>
                <w:color w:val="000000"/>
                <w:szCs w:val="20"/>
              </w:rPr>
              <w:t>必填项。</w:t>
            </w:r>
          </w:p>
        </w:tc>
      </w:tr>
      <w:tr w:rsidR="00A052DC" w14:paraId="316DD162" w14:textId="77777777">
        <w:trPr>
          <w:jc w:val="center"/>
        </w:trPr>
        <w:tc>
          <w:tcPr>
            <w:tcW w:w="2282" w:type="dxa"/>
            <w:tcBorders>
              <w:top w:val="single" w:sz="4" w:space="0" w:color="auto"/>
              <w:left w:val="single" w:sz="4" w:space="0" w:color="auto"/>
              <w:bottom w:val="single" w:sz="4" w:space="0" w:color="auto"/>
              <w:right w:val="single" w:sz="4" w:space="0" w:color="auto"/>
            </w:tcBorders>
          </w:tcPr>
          <w:p w14:paraId="22945B49" w14:textId="77777777" w:rsidR="00A052DC" w:rsidRDefault="009F0A60">
            <w:pPr>
              <w:pStyle w:val="B"/>
              <w:widowControl w:val="0"/>
              <w:rPr>
                <w:color w:val="000000"/>
                <w:szCs w:val="20"/>
              </w:rPr>
            </w:pPr>
            <w:r>
              <w:rPr>
                <w:color w:val="000000"/>
                <w:szCs w:val="20"/>
              </w:rPr>
              <w:t>DEALBRANCHNAME</w:t>
            </w:r>
          </w:p>
        </w:tc>
        <w:tc>
          <w:tcPr>
            <w:tcW w:w="1379" w:type="dxa"/>
            <w:tcBorders>
              <w:top w:val="single" w:sz="4" w:space="0" w:color="auto"/>
              <w:left w:val="single" w:sz="4" w:space="0" w:color="auto"/>
              <w:bottom w:val="single" w:sz="4" w:space="0" w:color="auto"/>
              <w:right w:val="single" w:sz="4" w:space="0" w:color="auto"/>
            </w:tcBorders>
          </w:tcPr>
          <w:p w14:paraId="307EB877" w14:textId="77777777" w:rsidR="00A052DC" w:rsidRDefault="009F0A60">
            <w:pPr>
              <w:pStyle w:val="B"/>
              <w:widowControl w:val="0"/>
              <w:rPr>
                <w:color w:val="000000"/>
                <w:szCs w:val="20"/>
              </w:rPr>
            </w:pPr>
            <w:r>
              <w:rPr>
                <w:rFonts w:hint="eastAsia"/>
                <w:color w:val="000000"/>
                <w:szCs w:val="20"/>
              </w:rPr>
              <w:t>交易网点名称</w:t>
            </w:r>
          </w:p>
        </w:tc>
        <w:tc>
          <w:tcPr>
            <w:tcW w:w="1520" w:type="dxa"/>
            <w:tcBorders>
              <w:top w:val="single" w:sz="4" w:space="0" w:color="auto"/>
              <w:left w:val="single" w:sz="4" w:space="0" w:color="auto"/>
              <w:bottom w:val="single" w:sz="4" w:space="0" w:color="auto"/>
              <w:right w:val="single" w:sz="4" w:space="0" w:color="auto"/>
            </w:tcBorders>
          </w:tcPr>
          <w:p w14:paraId="087788DF" w14:textId="77777777" w:rsidR="00A052DC" w:rsidRDefault="009F0A60">
            <w:pPr>
              <w:pStyle w:val="B"/>
              <w:widowControl w:val="0"/>
              <w:rPr>
                <w:color w:val="000000"/>
                <w:szCs w:val="20"/>
              </w:rPr>
            </w:pPr>
            <w:r>
              <w:rPr>
                <w:rFonts w:hint="eastAsia"/>
                <w:color w:val="000000"/>
                <w:szCs w:val="20"/>
              </w:rPr>
              <w:t>变长字符型，</w:t>
            </w:r>
            <w:r>
              <w:rPr>
                <w:color w:val="000000"/>
                <w:szCs w:val="20"/>
              </w:rPr>
              <w:t>128</w:t>
            </w:r>
          </w:p>
        </w:tc>
        <w:tc>
          <w:tcPr>
            <w:tcW w:w="3338" w:type="dxa"/>
            <w:tcBorders>
              <w:top w:val="single" w:sz="4" w:space="0" w:color="auto"/>
              <w:left w:val="single" w:sz="4" w:space="0" w:color="auto"/>
              <w:bottom w:val="single" w:sz="4" w:space="0" w:color="auto"/>
              <w:right w:val="single" w:sz="4" w:space="0" w:color="auto"/>
            </w:tcBorders>
          </w:tcPr>
          <w:p w14:paraId="6CCA8C1B" w14:textId="77777777" w:rsidR="00A052DC" w:rsidRDefault="009F0A60">
            <w:pPr>
              <w:pStyle w:val="B"/>
              <w:widowControl w:val="0"/>
              <w:rPr>
                <w:color w:val="000000"/>
                <w:szCs w:val="20"/>
              </w:rPr>
            </w:pPr>
            <w:r>
              <w:rPr>
                <w:rFonts w:hint="eastAsia"/>
                <w:color w:val="000000"/>
                <w:szCs w:val="20"/>
              </w:rPr>
              <w:t>必填项。</w:t>
            </w:r>
          </w:p>
        </w:tc>
      </w:tr>
      <w:tr w:rsidR="00A052DC" w14:paraId="4F8BB4CC" w14:textId="77777777">
        <w:trPr>
          <w:jc w:val="center"/>
        </w:trPr>
        <w:tc>
          <w:tcPr>
            <w:tcW w:w="2282" w:type="dxa"/>
            <w:tcBorders>
              <w:top w:val="single" w:sz="4" w:space="0" w:color="auto"/>
              <w:left w:val="single" w:sz="4" w:space="0" w:color="auto"/>
              <w:bottom w:val="single" w:sz="4" w:space="0" w:color="auto"/>
              <w:right w:val="single" w:sz="4" w:space="0" w:color="auto"/>
            </w:tcBorders>
          </w:tcPr>
          <w:p w14:paraId="5D0673E4" w14:textId="77777777" w:rsidR="00A052DC" w:rsidRDefault="009F0A60">
            <w:pPr>
              <w:pStyle w:val="B"/>
              <w:rPr>
                <w:szCs w:val="20"/>
              </w:rPr>
            </w:pPr>
            <w:r>
              <w:t>DEALBRANCHCODE</w:t>
            </w:r>
          </w:p>
        </w:tc>
        <w:tc>
          <w:tcPr>
            <w:tcW w:w="1379" w:type="dxa"/>
            <w:tcBorders>
              <w:top w:val="single" w:sz="4" w:space="0" w:color="auto"/>
              <w:left w:val="single" w:sz="4" w:space="0" w:color="auto"/>
              <w:bottom w:val="single" w:sz="4" w:space="0" w:color="auto"/>
              <w:right w:val="single" w:sz="4" w:space="0" w:color="auto"/>
            </w:tcBorders>
          </w:tcPr>
          <w:p w14:paraId="5B98E31E" w14:textId="77777777" w:rsidR="00A052DC" w:rsidRDefault="009F0A60">
            <w:pPr>
              <w:pStyle w:val="B"/>
              <w:rPr>
                <w:szCs w:val="20"/>
              </w:rPr>
            </w:pPr>
            <w:r>
              <w:rPr>
                <w:rFonts w:hint="eastAsia"/>
                <w:szCs w:val="20"/>
              </w:rPr>
              <w:t>交易网点行号</w:t>
            </w:r>
          </w:p>
        </w:tc>
        <w:tc>
          <w:tcPr>
            <w:tcW w:w="1520" w:type="dxa"/>
            <w:tcBorders>
              <w:top w:val="single" w:sz="4" w:space="0" w:color="auto"/>
              <w:left w:val="single" w:sz="4" w:space="0" w:color="auto"/>
              <w:bottom w:val="single" w:sz="4" w:space="0" w:color="auto"/>
              <w:right w:val="single" w:sz="4" w:space="0" w:color="auto"/>
            </w:tcBorders>
          </w:tcPr>
          <w:p w14:paraId="134DE851" w14:textId="77777777" w:rsidR="00A052DC" w:rsidRDefault="009F0A60">
            <w:pPr>
              <w:pStyle w:val="B"/>
              <w:rPr>
                <w:szCs w:val="20"/>
              </w:rPr>
            </w:pPr>
            <w:r>
              <w:rPr>
                <w:rFonts w:hint="eastAsia"/>
                <w:szCs w:val="20"/>
              </w:rPr>
              <w:t>变长字符型，24</w:t>
            </w:r>
          </w:p>
          <w:p w14:paraId="2ED62CEA" w14:textId="77777777" w:rsidR="00A052DC" w:rsidRDefault="00A052DC">
            <w:pPr>
              <w:pStyle w:val="B"/>
              <w:rPr>
                <w:szCs w:val="20"/>
              </w:rPr>
            </w:pPr>
          </w:p>
        </w:tc>
        <w:tc>
          <w:tcPr>
            <w:tcW w:w="3338" w:type="dxa"/>
            <w:tcBorders>
              <w:top w:val="single" w:sz="4" w:space="0" w:color="auto"/>
              <w:left w:val="single" w:sz="4" w:space="0" w:color="auto"/>
              <w:bottom w:val="single" w:sz="4" w:space="0" w:color="auto"/>
              <w:right w:val="single" w:sz="4" w:space="0" w:color="auto"/>
            </w:tcBorders>
          </w:tcPr>
          <w:p w14:paraId="6985DD67" w14:textId="77777777" w:rsidR="00A052DC" w:rsidRDefault="009F0A60">
            <w:pPr>
              <w:pStyle w:val="B"/>
              <w:rPr>
                <w:szCs w:val="20"/>
              </w:rPr>
            </w:pPr>
            <w:r>
              <w:rPr>
                <w:rFonts w:hint="eastAsia"/>
                <w:szCs w:val="20"/>
              </w:rPr>
              <w:t>必填项，人民银行支付系统行号。</w:t>
            </w:r>
          </w:p>
        </w:tc>
      </w:tr>
      <w:tr w:rsidR="00A052DC" w14:paraId="0BFD4FFB" w14:textId="77777777">
        <w:trPr>
          <w:jc w:val="center"/>
        </w:trPr>
        <w:tc>
          <w:tcPr>
            <w:tcW w:w="2282" w:type="dxa"/>
            <w:tcBorders>
              <w:top w:val="single" w:sz="4" w:space="0" w:color="auto"/>
              <w:left w:val="single" w:sz="4" w:space="0" w:color="auto"/>
              <w:bottom w:val="single" w:sz="4" w:space="0" w:color="auto"/>
              <w:right w:val="single" w:sz="4" w:space="0" w:color="auto"/>
            </w:tcBorders>
          </w:tcPr>
          <w:p w14:paraId="3DA3E408" w14:textId="77777777" w:rsidR="00A052DC" w:rsidRDefault="009F0A60">
            <w:pPr>
              <w:pStyle w:val="B"/>
              <w:widowControl w:val="0"/>
              <w:rPr>
                <w:color w:val="000000"/>
                <w:szCs w:val="20"/>
              </w:rPr>
            </w:pPr>
            <w:r>
              <w:rPr>
                <w:color w:val="000000"/>
                <w:szCs w:val="20"/>
              </w:rPr>
              <w:t>COUNTERPARTY</w:t>
            </w:r>
          </w:p>
        </w:tc>
        <w:tc>
          <w:tcPr>
            <w:tcW w:w="1379" w:type="dxa"/>
            <w:tcBorders>
              <w:top w:val="single" w:sz="4" w:space="0" w:color="auto"/>
              <w:left w:val="single" w:sz="4" w:space="0" w:color="auto"/>
              <w:bottom w:val="single" w:sz="4" w:space="0" w:color="auto"/>
              <w:right w:val="single" w:sz="4" w:space="0" w:color="auto"/>
            </w:tcBorders>
          </w:tcPr>
          <w:p w14:paraId="536FCC4A" w14:textId="77777777" w:rsidR="00A052DC" w:rsidRDefault="009F0A60">
            <w:pPr>
              <w:pStyle w:val="B"/>
              <w:widowControl w:val="0"/>
              <w:rPr>
                <w:color w:val="000000"/>
                <w:szCs w:val="20"/>
              </w:rPr>
            </w:pPr>
            <w:r>
              <w:rPr>
                <w:rFonts w:hint="eastAsia"/>
                <w:color w:val="000000"/>
                <w:szCs w:val="20"/>
              </w:rPr>
              <w:t>对手名称</w:t>
            </w:r>
          </w:p>
        </w:tc>
        <w:tc>
          <w:tcPr>
            <w:tcW w:w="1520" w:type="dxa"/>
            <w:tcBorders>
              <w:top w:val="single" w:sz="4" w:space="0" w:color="auto"/>
              <w:left w:val="single" w:sz="4" w:space="0" w:color="auto"/>
              <w:bottom w:val="single" w:sz="4" w:space="0" w:color="auto"/>
              <w:right w:val="single" w:sz="4" w:space="0" w:color="auto"/>
            </w:tcBorders>
          </w:tcPr>
          <w:p w14:paraId="02FD145E" w14:textId="77777777" w:rsidR="00A052DC" w:rsidRDefault="009F0A60">
            <w:pPr>
              <w:pStyle w:val="B"/>
              <w:widowControl w:val="0"/>
              <w:rPr>
                <w:color w:val="000000"/>
                <w:szCs w:val="20"/>
              </w:rPr>
            </w:pPr>
            <w:r>
              <w:rPr>
                <w:rFonts w:hint="eastAsia"/>
                <w:color w:val="000000"/>
                <w:szCs w:val="20"/>
              </w:rPr>
              <w:t>变长字符型，</w:t>
            </w:r>
            <w:r>
              <w:rPr>
                <w:color w:val="000000"/>
                <w:szCs w:val="20"/>
              </w:rPr>
              <w:t>32</w:t>
            </w:r>
          </w:p>
        </w:tc>
        <w:tc>
          <w:tcPr>
            <w:tcW w:w="3338" w:type="dxa"/>
            <w:tcBorders>
              <w:top w:val="single" w:sz="4" w:space="0" w:color="auto"/>
              <w:left w:val="single" w:sz="4" w:space="0" w:color="auto"/>
              <w:bottom w:val="single" w:sz="4" w:space="0" w:color="auto"/>
              <w:right w:val="single" w:sz="4" w:space="0" w:color="auto"/>
            </w:tcBorders>
          </w:tcPr>
          <w:p w14:paraId="420319B0" w14:textId="77777777" w:rsidR="00A052DC" w:rsidRDefault="00DD6AA3">
            <w:pPr>
              <w:pStyle w:val="B"/>
              <w:widowControl w:val="0"/>
              <w:rPr>
                <w:color w:val="000000"/>
                <w:szCs w:val="20"/>
              </w:rPr>
            </w:pPr>
            <w:r>
              <w:rPr>
                <w:rFonts w:hint="eastAsia"/>
                <w:color w:val="000000"/>
                <w:szCs w:val="20"/>
              </w:rPr>
              <w:t>非必填项</w:t>
            </w:r>
            <w:r w:rsidR="009F0A60">
              <w:rPr>
                <w:rFonts w:hint="eastAsia"/>
                <w:color w:val="000000"/>
                <w:szCs w:val="20"/>
              </w:rPr>
              <w:t>，若</w:t>
            </w:r>
            <w:r w:rsidR="009F0A60">
              <w:rPr>
                <w:color w:val="000000"/>
                <w:szCs w:val="20"/>
              </w:rPr>
              <w:t>transact</w:t>
            </w:r>
            <w:r w:rsidR="009F0A60">
              <w:rPr>
                <w:rFonts w:hint="eastAsia"/>
                <w:color w:val="000000"/>
                <w:szCs w:val="20"/>
              </w:rPr>
              <w:t>不为7或8则必填。</w:t>
            </w:r>
          </w:p>
        </w:tc>
      </w:tr>
      <w:tr w:rsidR="00A052DC" w14:paraId="08407C06" w14:textId="77777777">
        <w:trPr>
          <w:jc w:val="center"/>
        </w:trPr>
        <w:tc>
          <w:tcPr>
            <w:tcW w:w="2282" w:type="dxa"/>
            <w:tcBorders>
              <w:top w:val="single" w:sz="4" w:space="0" w:color="auto"/>
              <w:left w:val="single" w:sz="4" w:space="0" w:color="auto"/>
              <w:bottom w:val="single" w:sz="4" w:space="0" w:color="auto"/>
              <w:right w:val="single" w:sz="4" w:space="0" w:color="auto"/>
            </w:tcBorders>
          </w:tcPr>
          <w:p w14:paraId="0FF20EE7" w14:textId="77777777" w:rsidR="00A052DC" w:rsidRDefault="009F0A60">
            <w:pPr>
              <w:pStyle w:val="B"/>
              <w:widowControl w:val="0"/>
              <w:rPr>
                <w:color w:val="000000"/>
                <w:szCs w:val="20"/>
              </w:rPr>
            </w:pPr>
            <w:r>
              <w:rPr>
                <w:color w:val="000000"/>
                <w:szCs w:val="20"/>
              </w:rPr>
              <w:t>COUNTERPARTYCODE</w:t>
            </w:r>
          </w:p>
        </w:tc>
        <w:tc>
          <w:tcPr>
            <w:tcW w:w="1379" w:type="dxa"/>
            <w:tcBorders>
              <w:top w:val="single" w:sz="4" w:space="0" w:color="auto"/>
              <w:left w:val="single" w:sz="4" w:space="0" w:color="auto"/>
              <w:bottom w:val="single" w:sz="4" w:space="0" w:color="auto"/>
              <w:right w:val="single" w:sz="4" w:space="0" w:color="auto"/>
            </w:tcBorders>
          </w:tcPr>
          <w:p w14:paraId="543268AB" w14:textId="77777777" w:rsidR="00A052DC" w:rsidRDefault="009F0A60">
            <w:pPr>
              <w:pStyle w:val="B"/>
              <w:widowControl w:val="0"/>
              <w:rPr>
                <w:color w:val="000000"/>
                <w:szCs w:val="20"/>
              </w:rPr>
            </w:pPr>
            <w:r>
              <w:rPr>
                <w:rFonts w:hint="eastAsia"/>
                <w:color w:val="000000"/>
                <w:szCs w:val="20"/>
              </w:rPr>
              <w:t>对手证件号</w:t>
            </w:r>
          </w:p>
        </w:tc>
        <w:tc>
          <w:tcPr>
            <w:tcW w:w="1520" w:type="dxa"/>
            <w:tcBorders>
              <w:top w:val="single" w:sz="4" w:space="0" w:color="auto"/>
              <w:left w:val="single" w:sz="4" w:space="0" w:color="auto"/>
              <w:bottom w:val="single" w:sz="4" w:space="0" w:color="auto"/>
              <w:right w:val="single" w:sz="4" w:space="0" w:color="auto"/>
            </w:tcBorders>
          </w:tcPr>
          <w:p w14:paraId="2CE63D2B" w14:textId="77777777" w:rsidR="00A052DC" w:rsidRDefault="009F0A60">
            <w:pPr>
              <w:pStyle w:val="B"/>
              <w:widowControl w:val="0"/>
              <w:rPr>
                <w:color w:val="000000"/>
                <w:szCs w:val="20"/>
              </w:rPr>
            </w:pPr>
            <w:r>
              <w:rPr>
                <w:rFonts w:hint="eastAsia"/>
                <w:color w:val="000000"/>
                <w:szCs w:val="20"/>
              </w:rPr>
              <w:t>变长字符型，</w:t>
            </w:r>
            <w:r>
              <w:rPr>
                <w:color w:val="000000"/>
                <w:szCs w:val="20"/>
              </w:rPr>
              <w:t>128</w:t>
            </w:r>
          </w:p>
        </w:tc>
        <w:tc>
          <w:tcPr>
            <w:tcW w:w="3338" w:type="dxa"/>
            <w:tcBorders>
              <w:top w:val="single" w:sz="4" w:space="0" w:color="auto"/>
              <w:left w:val="single" w:sz="4" w:space="0" w:color="auto"/>
              <w:bottom w:val="single" w:sz="4" w:space="0" w:color="auto"/>
              <w:right w:val="single" w:sz="4" w:space="0" w:color="auto"/>
            </w:tcBorders>
          </w:tcPr>
          <w:p w14:paraId="17C55452" w14:textId="77777777" w:rsidR="00A052DC" w:rsidRDefault="00DD6AA3">
            <w:pPr>
              <w:pStyle w:val="B"/>
              <w:widowControl w:val="0"/>
              <w:rPr>
                <w:color w:val="000000"/>
                <w:szCs w:val="20"/>
              </w:rPr>
            </w:pPr>
            <w:r>
              <w:rPr>
                <w:rFonts w:hint="eastAsia"/>
                <w:color w:val="000000"/>
                <w:szCs w:val="20"/>
              </w:rPr>
              <w:t>非必填项</w:t>
            </w:r>
            <w:r w:rsidR="009F0A60">
              <w:rPr>
                <w:rFonts w:hint="eastAsia"/>
                <w:color w:val="000000"/>
                <w:szCs w:val="20"/>
              </w:rPr>
              <w:t>，若</w:t>
            </w:r>
            <w:r w:rsidR="009F0A60">
              <w:rPr>
                <w:color w:val="000000"/>
                <w:szCs w:val="20"/>
              </w:rPr>
              <w:t>transact</w:t>
            </w:r>
            <w:r w:rsidR="009F0A60">
              <w:rPr>
                <w:rFonts w:hint="eastAsia"/>
                <w:color w:val="000000"/>
                <w:szCs w:val="20"/>
              </w:rPr>
              <w:t>不为7或8且交易对手为本行用户则必填。</w:t>
            </w:r>
          </w:p>
        </w:tc>
      </w:tr>
      <w:tr w:rsidR="00A052DC" w14:paraId="34434582" w14:textId="77777777">
        <w:trPr>
          <w:jc w:val="center"/>
        </w:trPr>
        <w:tc>
          <w:tcPr>
            <w:tcW w:w="2282" w:type="dxa"/>
            <w:tcBorders>
              <w:top w:val="single" w:sz="4" w:space="0" w:color="auto"/>
              <w:left w:val="single" w:sz="4" w:space="0" w:color="auto"/>
              <w:bottom w:val="single" w:sz="4" w:space="0" w:color="auto"/>
              <w:right w:val="single" w:sz="4" w:space="0" w:color="auto"/>
            </w:tcBorders>
          </w:tcPr>
          <w:p w14:paraId="2CE2A86E" w14:textId="77777777" w:rsidR="00A052DC" w:rsidRDefault="009F0A60">
            <w:pPr>
              <w:pStyle w:val="B"/>
              <w:widowControl w:val="0"/>
              <w:rPr>
                <w:color w:val="000000"/>
                <w:szCs w:val="20"/>
              </w:rPr>
            </w:pPr>
            <w:r>
              <w:rPr>
                <w:color w:val="000000"/>
                <w:szCs w:val="20"/>
              </w:rPr>
              <w:t>COUNTERPARTYACCOUNT</w:t>
            </w:r>
          </w:p>
        </w:tc>
        <w:tc>
          <w:tcPr>
            <w:tcW w:w="1379" w:type="dxa"/>
            <w:tcBorders>
              <w:top w:val="single" w:sz="4" w:space="0" w:color="auto"/>
              <w:left w:val="single" w:sz="4" w:space="0" w:color="auto"/>
              <w:bottom w:val="single" w:sz="4" w:space="0" w:color="auto"/>
              <w:right w:val="single" w:sz="4" w:space="0" w:color="auto"/>
            </w:tcBorders>
          </w:tcPr>
          <w:p w14:paraId="0E644AEC" w14:textId="77777777" w:rsidR="00A052DC" w:rsidRDefault="009F0A60">
            <w:pPr>
              <w:pStyle w:val="B"/>
              <w:widowControl w:val="0"/>
              <w:rPr>
                <w:color w:val="000000"/>
                <w:szCs w:val="20"/>
              </w:rPr>
            </w:pPr>
            <w:r>
              <w:rPr>
                <w:rFonts w:hint="eastAsia"/>
                <w:color w:val="000000"/>
                <w:szCs w:val="20"/>
              </w:rPr>
              <w:t>对手账号/卡号</w:t>
            </w:r>
          </w:p>
        </w:tc>
        <w:tc>
          <w:tcPr>
            <w:tcW w:w="1520" w:type="dxa"/>
            <w:tcBorders>
              <w:top w:val="single" w:sz="4" w:space="0" w:color="auto"/>
              <w:left w:val="single" w:sz="4" w:space="0" w:color="auto"/>
              <w:bottom w:val="single" w:sz="4" w:space="0" w:color="auto"/>
              <w:right w:val="single" w:sz="4" w:space="0" w:color="auto"/>
            </w:tcBorders>
          </w:tcPr>
          <w:p w14:paraId="389AF3BC" w14:textId="77777777" w:rsidR="00A052DC" w:rsidRDefault="009F0A60">
            <w:pPr>
              <w:pStyle w:val="B"/>
              <w:widowControl w:val="0"/>
              <w:rPr>
                <w:color w:val="000000"/>
                <w:szCs w:val="20"/>
              </w:rPr>
            </w:pPr>
            <w:r>
              <w:rPr>
                <w:rFonts w:hint="eastAsia"/>
                <w:color w:val="000000"/>
                <w:szCs w:val="20"/>
              </w:rPr>
              <w:t>变长字符型，</w:t>
            </w:r>
            <w:r>
              <w:rPr>
                <w:color w:val="000000"/>
                <w:szCs w:val="20"/>
              </w:rPr>
              <w:t>32</w:t>
            </w:r>
          </w:p>
        </w:tc>
        <w:tc>
          <w:tcPr>
            <w:tcW w:w="3338" w:type="dxa"/>
            <w:tcBorders>
              <w:top w:val="single" w:sz="4" w:space="0" w:color="auto"/>
              <w:left w:val="single" w:sz="4" w:space="0" w:color="auto"/>
              <w:bottom w:val="single" w:sz="4" w:space="0" w:color="auto"/>
              <w:right w:val="single" w:sz="4" w:space="0" w:color="auto"/>
            </w:tcBorders>
          </w:tcPr>
          <w:p w14:paraId="2B854F63" w14:textId="77777777" w:rsidR="00A052DC" w:rsidRDefault="00DD6AA3">
            <w:pPr>
              <w:pStyle w:val="B"/>
              <w:widowControl w:val="0"/>
              <w:rPr>
                <w:color w:val="000000"/>
                <w:szCs w:val="20"/>
              </w:rPr>
            </w:pPr>
            <w:r>
              <w:rPr>
                <w:rFonts w:hint="eastAsia"/>
                <w:color w:val="000000"/>
                <w:szCs w:val="20"/>
              </w:rPr>
              <w:t>非必填项</w:t>
            </w:r>
            <w:r w:rsidR="009F0A60">
              <w:rPr>
                <w:rFonts w:hint="eastAsia"/>
                <w:color w:val="000000"/>
                <w:szCs w:val="20"/>
              </w:rPr>
              <w:t>，若</w:t>
            </w:r>
            <w:r w:rsidR="009F0A60">
              <w:rPr>
                <w:color w:val="000000"/>
                <w:szCs w:val="20"/>
              </w:rPr>
              <w:t>transact</w:t>
            </w:r>
            <w:r w:rsidR="009F0A60">
              <w:rPr>
                <w:rFonts w:hint="eastAsia"/>
                <w:color w:val="000000"/>
                <w:szCs w:val="20"/>
              </w:rPr>
              <w:t>不为7或8则必填。</w:t>
            </w:r>
          </w:p>
        </w:tc>
      </w:tr>
      <w:tr w:rsidR="00A052DC" w14:paraId="1E24652C" w14:textId="77777777">
        <w:trPr>
          <w:jc w:val="center"/>
        </w:trPr>
        <w:tc>
          <w:tcPr>
            <w:tcW w:w="2282" w:type="dxa"/>
            <w:tcBorders>
              <w:top w:val="single" w:sz="4" w:space="0" w:color="auto"/>
              <w:left w:val="single" w:sz="4" w:space="0" w:color="auto"/>
              <w:bottom w:val="single" w:sz="4" w:space="0" w:color="auto"/>
              <w:right w:val="single" w:sz="4" w:space="0" w:color="auto"/>
            </w:tcBorders>
          </w:tcPr>
          <w:p w14:paraId="13CE5D14" w14:textId="77777777" w:rsidR="00A052DC" w:rsidRDefault="009F0A60">
            <w:pPr>
              <w:pStyle w:val="B"/>
              <w:widowControl w:val="0"/>
              <w:rPr>
                <w:color w:val="000000"/>
                <w:szCs w:val="20"/>
              </w:rPr>
            </w:pPr>
            <w:r>
              <w:rPr>
                <w:color w:val="000000"/>
                <w:szCs w:val="20"/>
              </w:rPr>
              <w:t>COUNTERPARTYBRANCHNAME</w:t>
            </w:r>
          </w:p>
        </w:tc>
        <w:tc>
          <w:tcPr>
            <w:tcW w:w="1379" w:type="dxa"/>
            <w:tcBorders>
              <w:top w:val="single" w:sz="4" w:space="0" w:color="auto"/>
              <w:left w:val="single" w:sz="4" w:space="0" w:color="auto"/>
              <w:bottom w:val="single" w:sz="4" w:space="0" w:color="auto"/>
              <w:right w:val="single" w:sz="4" w:space="0" w:color="auto"/>
            </w:tcBorders>
          </w:tcPr>
          <w:p w14:paraId="6ED57B5D" w14:textId="77777777" w:rsidR="00A052DC" w:rsidRDefault="009F0A60">
            <w:pPr>
              <w:pStyle w:val="B"/>
              <w:widowControl w:val="0"/>
              <w:rPr>
                <w:color w:val="000000"/>
                <w:szCs w:val="20"/>
              </w:rPr>
            </w:pPr>
            <w:r>
              <w:rPr>
                <w:rFonts w:hint="eastAsia"/>
                <w:color w:val="000000"/>
                <w:szCs w:val="20"/>
              </w:rPr>
              <w:t>对手开户银行名称</w:t>
            </w:r>
          </w:p>
        </w:tc>
        <w:tc>
          <w:tcPr>
            <w:tcW w:w="1520" w:type="dxa"/>
            <w:tcBorders>
              <w:top w:val="single" w:sz="4" w:space="0" w:color="auto"/>
              <w:left w:val="single" w:sz="4" w:space="0" w:color="auto"/>
              <w:bottom w:val="single" w:sz="4" w:space="0" w:color="auto"/>
              <w:right w:val="single" w:sz="4" w:space="0" w:color="auto"/>
            </w:tcBorders>
          </w:tcPr>
          <w:p w14:paraId="0EEA9A58" w14:textId="77777777" w:rsidR="00A052DC" w:rsidRDefault="009F0A60">
            <w:pPr>
              <w:pStyle w:val="B"/>
              <w:widowControl w:val="0"/>
              <w:rPr>
                <w:color w:val="000000"/>
                <w:szCs w:val="20"/>
              </w:rPr>
            </w:pPr>
            <w:r>
              <w:rPr>
                <w:rFonts w:hint="eastAsia"/>
                <w:color w:val="000000"/>
                <w:szCs w:val="20"/>
              </w:rPr>
              <w:t>变长字符型，</w:t>
            </w:r>
            <w:r>
              <w:rPr>
                <w:color w:val="000000"/>
                <w:szCs w:val="20"/>
              </w:rPr>
              <w:t>128</w:t>
            </w:r>
          </w:p>
        </w:tc>
        <w:tc>
          <w:tcPr>
            <w:tcW w:w="3338" w:type="dxa"/>
            <w:tcBorders>
              <w:top w:val="single" w:sz="4" w:space="0" w:color="auto"/>
              <w:left w:val="single" w:sz="4" w:space="0" w:color="auto"/>
              <w:bottom w:val="single" w:sz="4" w:space="0" w:color="auto"/>
              <w:right w:val="single" w:sz="4" w:space="0" w:color="auto"/>
            </w:tcBorders>
          </w:tcPr>
          <w:p w14:paraId="592FE9AD" w14:textId="77777777" w:rsidR="00A052DC" w:rsidRDefault="00DD6AA3">
            <w:pPr>
              <w:pStyle w:val="B"/>
              <w:widowControl w:val="0"/>
              <w:rPr>
                <w:color w:val="000000"/>
                <w:szCs w:val="20"/>
              </w:rPr>
            </w:pPr>
            <w:r>
              <w:rPr>
                <w:rFonts w:hint="eastAsia"/>
                <w:color w:val="000000"/>
                <w:szCs w:val="20"/>
              </w:rPr>
              <w:t>非必填项</w:t>
            </w:r>
            <w:r w:rsidR="009F0A60">
              <w:rPr>
                <w:rFonts w:hint="eastAsia"/>
                <w:color w:val="000000"/>
                <w:szCs w:val="20"/>
              </w:rPr>
              <w:t>，若</w:t>
            </w:r>
            <w:r w:rsidR="009F0A60">
              <w:rPr>
                <w:color w:val="000000"/>
                <w:szCs w:val="20"/>
              </w:rPr>
              <w:t>transact</w:t>
            </w:r>
            <w:r w:rsidR="009F0A60">
              <w:rPr>
                <w:rFonts w:hint="eastAsia"/>
                <w:color w:val="000000"/>
                <w:szCs w:val="20"/>
              </w:rPr>
              <w:t>不为7或8则必填。</w:t>
            </w:r>
          </w:p>
        </w:tc>
      </w:tr>
      <w:tr w:rsidR="0079302F" w14:paraId="2794FDDD" w14:textId="77777777">
        <w:trPr>
          <w:jc w:val="center"/>
        </w:trPr>
        <w:tc>
          <w:tcPr>
            <w:tcW w:w="2282" w:type="dxa"/>
            <w:tcBorders>
              <w:top w:val="single" w:sz="4" w:space="0" w:color="auto"/>
              <w:left w:val="single" w:sz="4" w:space="0" w:color="auto"/>
              <w:bottom w:val="single" w:sz="4" w:space="0" w:color="auto"/>
              <w:right w:val="single" w:sz="4" w:space="0" w:color="auto"/>
            </w:tcBorders>
          </w:tcPr>
          <w:p w14:paraId="7549FBDC" w14:textId="77777777" w:rsidR="0079302F" w:rsidRDefault="0079302F" w:rsidP="0079302F">
            <w:pPr>
              <w:pStyle w:val="B"/>
              <w:widowControl w:val="0"/>
              <w:rPr>
                <w:color w:val="000000"/>
                <w:szCs w:val="20"/>
              </w:rPr>
            </w:pPr>
            <w:r>
              <w:t>COUNTERPARTYBRANCHCODE</w:t>
            </w:r>
            <w:r>
              <w:rPr>
                <w:color w:val="000000"/>
                <w:szCs w:val="20"/>
              </w:rPr>
              <w:t xml:space="preserve"> </w:t>
            </w:r>
          </w:p>
        </w:tc>
        <w:tc>
          <w:tcPr>
            <w:tcW w:w="1379" w:type="dxa"/>
            <w:tcBorders>
              <w:top w:val="single" w:sz="4" w:space="0" w:color="auto"/>
              <w:left w:val="single" w:sz="4" w:space="0" w:color="auto"/>
              <w:bottom w:val="single" w:sz="4" w:space="0" w:color="auto"/>
              <w:right w:val="single" w:sz="4" w:space="0" w:color="auto"/>
            </w:tcBorders>
          </w:tcPr>
          <w:p w14:paraId="32500D93" w14:textId="77777777" w:rsidR="0079302F" w:rsidRDefault="0079302F">
            <w:pPr>
              <w:pStyle w:val="B"/>
              <w:widowControl w:val="0"/>
              <w:rPr>
                <w:color w:val="000000"/>
                <w:szCs w:val="20"/>
              </w:rPr>
            </w:pPr>
            <w:r w:rsidRPr="0079302F">
              <w:rPr>
                <w:rFonts w:hint="eastAsia"/>
                <w:color w:val="000000"/>
                <w:szCs w:val="20"/>
              </w:rPr>
              <w:t>对手开户银行行号</w:t>
            </w:r>
          </w:p>
        </w:tc>
        <w:tc>
          <w:tcPr>
            <w:tcW w:w="1520" w:type="dxa"/>
            <w:tcBorders>
              <w:top w:val="single" w:sz="4" w:space="0" w:color="auto"/>
              <w:left w:val="single" w:sz="4" w:space="0" w:color="auto"/>
              <w:bottom w:val="single" w:sz="4" w:space="0" w:color="auto"/>
              <w:right w:val="single" w:sz="4" w:space="0" w:color="auto"/>
            </w:tcBorders>
          </w:tcPr>
          <w:p w14:paraId="4425948C" w14:textId="77777777" w:rsidR="0079302F" w:rsidRDefault="0079302F">
            <w:pPr>
              <w:pStyle w:val="B"/>
              <w:widowControl w:val="0"/>
              <w:rPr>
                <w:color w:val="000000"/>
                <w:szCs w:val="20"/>
              </w:rPr>
            </w:pPr>
            <w:r w:rsidRPr="0079302F">
              <w:rPr>
                <w:rFonts w:hint="eastAsia"/>
                <w:color w:val="000000"/>
                <w:szCs w:val="20"/>
              </w:rPr>
              <w:t>变长字符型，24</w:t>
            </w:r>
          </w:p>
        </w:tc>
        <w:tc>
          <w:tcPr>
            <w:tcW w:w="3338" w:type="dxa"/>
            <w:tcBorders>
              <w:top w:val="single" w:sz="4" w:space="0" w:color="auto"/>
              <w:left w:val="single" w:sz="4" w:space="0" w:color="auto"/>
              <w:bottom w:val="single" w:sz="4" w:space="0" w:color="auto"/>
              <w:right w:val="single" w:sz="4" w:space="0" w:color="auto"/>
            </w:tcBorders>
          </w:tcPr>
          <w:p w14:paraId="70C09805" w14:textId="77777777" w:rsidR="0079302F" w:rsidDel="00DD6AA3" w:rsidRDefault="009067E4" w:rsidP="009067E4">
            <w:pPr>
              <w:pStyle w:val="B"/>
              <w:widowControl w:val="0"/>
              <w:rPr>
                <w:color w:val="000000"/>
                <w:szCs w:val="20"/>
              </w:rPr>
            </w:pPr>
            <w:r w:rsidRPr="009067E4">
              <w:rPr>
                <w:rFonts w:hint="eastAsia"/>
                <w:color w:val="000000"/>
                <w:szCs w:val="20"/>
              </w:rPr>
              <w:t>非必填项</w:t>
            </w:r>
            <w:r w:rsidR="0022230C">
              <w:rPr>
                <w:rFonts w:hint="eastAsia"/>
                <w:color w:val="000000"/>
                <w:szCs w:val="20"/>
              </w:rPr>
              <w:t>，若</w:t>
            </w:r>
            <w:r w:rsidR="0022230C">
              <w:rPr>
                <w:color w:val="000000"/>
                <w:szCs w:val="20"/>
              </w:rPr>
              <w:t>transact</w:t>
            </w:r>
            <w:r w:rsidR="0022230C">
              <w:rPr>
                <w:rFonts w:hint="eastAsia"/>
                <w:color w:val="000000"/>
                <w:szCs w:val="20"/>
              </w:rPr>
              <w:t>不为7或8则必填。</w:t>
            </w:r>
          </w:p>
        </w:tc>
      </w:tr>
      <w:tr w:rsidR="00A052DC" w14:paraId="569877B4" w14:textId="77777777">
        <w:trPr>
          <w:jc w:val="center"/>
        </w:trPr>
        <w:tc>
          <w:tcPr>
            <w:tcW w:w="2282" w:type="dxa"/>
            <w:tcBorders>
              <w:top w:val="single" w:sz="4" w:space="0" w:color="auto"/>
              <w:left w:val="single" w:sz="4" w:space="0" w:color="auto"/>
              <w:bottom w:val="single" w:sz="4" w:space="0" w:color="auto"/>
              <w:right w:val="single" w:sz="4" w:space="0" w:color="auto"/>
            </w:tcBorders>
          </w:tcPr>
          <w:p w14:paraId="19DBDF7A" w14:textId="77777777" w:rsidR="00A052DC" w:rsidRDefault="009F0A60">
            <w:pPr>
              <w:pStyle w:val="B"/>
              <w:widowControl w:val="0"/>
              <w:rPr>
                <w:color w:val="000000"/>
                <w:szCs w:val="20"/>
              </w:rPr>
            </w:pPr>
            <w:r>
              <w:rPr>
                <w:color w:val="000000"/>
                <w:szCs w:val="20"/>
              </w:rPr>
              <w:t>AGENTNAME</w:t>
            </w:r>
          </w:p>
        </w:tc>
        <w:tc>
          <w:tcPr>
            <w:tcW w:w="1379" w:type="dxa"/>
            <w:tcBorders>
              <w:top w:val="single" w:sz="4" w:space="0" w:color="auto"/>
              <w:left w:val="single" w:sz="4" w:space="0" w:color="auto"/>
              <w:bottom w:val="single" w:sz="4" w:space="0" w:color="auto"/>
              <w:right w:val="single" w:sz="4" w:space="0" w:color="auto"/>
            </w:tcBorders>
          </w:tcPr>
          <w:p w14:paraId="23191D25" w14:textId="77777777" w:rsidR="00A052DC" w:rsidRDefault="009F0A60">
            <w:pPr>
              <w:pStyle w:val="B"/>
              <w:widowControl w:val="0"/>
              <w:rPr>
                <w:color w:val="000000"/>
                <w:szCs w:val="20"/>
              </w:rPr>
            </w:pPr>
            <w:r>
              <w:rPr>
                <w:rFonts w:hint="eastAsia"/>
                <w:color w:val="000000"/>
                <w:szCs w:val="20"/>
              </w:rPr>
              <w:t>代办人名称</w:t>
            </w:r>
          </w:p>
        </w:tc>
        <w:tc>
          <w:tcPr>
            <w:tcW w:w="1520" w:type="dxa"/>
            <w:tcBorders>
              <w:top w:val="single" w:sz="4" w:space="0" w:color="auto"/>
              <w:left w:val="single" w:sz="4" w:space="0" w:color="auto"/>
              <w:bottom w:val="single" w:sz="4" w:space="0" w:color="auto"/>
              <w:right w:val="single" w:sz="4" w:space="0" w:color="auto"/>
            </w:tcBorders>
          </w:tcPr>
          <w:p w14:paraId="157FD568" w14:textId="77777777" w:rsidR="00A052DC" w:rsidRDefault="009F0A60">
            <w:pPr>
              <w:pStyle w:val="B"/>
              <w:widowControl w:val="0"/>
              <w:rPr>
                <w:color w:val="000000"/>
                <w:szCs w:val="20"/>
              </w:rPr>
            </w:pPr>
            <w:r>
              <w:rPr>
                <w:rFonts w:hint="eastAsia"/>
                <w:color w:val="000000"/>
                <w:szCs w:val="20"/>
              </w:rPr>
              <w:t>变长字符型，</w:t>
            </w:r>
            <w:r>
              <w:rPr>
                <w:color w:val="000000"/>
                <w:szCs w:val="20"/>
              </w:rPr>
              <w:t>128</w:t>
            </w:r>
          </w:p>
        </w:tc>
        <w:tc>
          <w:tcPr>
            <w:tcW w:w="3338" w:type="dxa"/>
            <w:tcBorders>
              <w:top w:val="single" w:sz="4" w:space="0" w:color="auto"/>
              <w:left w:val="single" w:sz="4" w:space="0" w:color="auto"/>
              <w:bottom w:val="single" w:sz="4" w:space="0" w:color="auto"/>
              <w:right w:val="single" w:sz="4" w:space="0" w:color="auto"/>
            </w:tcBorders>
          </w:tcPr>
          <w:p w14:paraId="642ABCC3" w14:textId="77777777" w:rsidR="00A052DC" w:rsidRDefault="00DD6AA3">
            <w:pPr>
              <w:pStyle w:val="B"/>
              <w:widowControl w:val="0"/>
              <w:rPr>
                <w:color w:val="000000"/>
                <w:szCs w:val="20"/>
              </w:rPr>
            </w:pPr>
            <w:r>
              <w:rPr>
                <w:rFonts w:hint="eastAsia"/>
                <w:color w:val="000000"/>
                <w:szCs w:val="20"/>
              </w:rPr>
              <w:t>非必填项</w:t>
            </w:r>
            <w:r w:rsidR="009F0A60">
              <w:rPr>
                <w:rFonts w:hint="eastAsia"/>
                <w:color w:val="000000"/>
                <w:szCs w:val="20"/>
              </w:rPr>
              <w:t>，若为代办业务则必填。</w:t>
            </w:r>
          </w:p>
        </w:tc>
      </w:tr>
      <w:tr w:rsidR="00A052DC" w14:paraId="3975D033" w14:textId="77777777">
        <w:trPr>
          <w:jc w:val="center"/>
        </w:trPr>
        <w:tc>
          <w:tcPr>
            <w:tcW w:w="2282" w:type="dxa"/>
            <w:tcBorders>
              <w:top w:val="single" w:sz="4" w:space="0" w:color="auto"/>
              <w:left w:val="single" w:sz="4" w:space="0" w:color="auto"/>
              <w:bottom w:val="single" w:sz="4" w:space="0" w:color="auto"/>
              <w:right w:val="single" w:sz="4" w:space="0" w:color="auto"/>
            </w:tcBorders>
          </w:tcPr>
          <w:p w14:paraId="32351FB0" w14:textId="77777777" w:rsidR="00A052DC" w:rsidRDefault="009F0A60">
            <w:pPr>
              <w:pStyle w:val="B"/>
              <w:widowControl w:val="0"/>
              <w:rPr>
                <w:color w:val="000000"/>
                <w:szCs w:val="20"/>
              </w:rPr>
            </w:pPr>
            <w:r>
              <w:rPr>
                <w:color w:val="000000"/>
                <w:szCs w:val="20"/>
              </w:rPr>
              <w:t>DEALIP</w:t>
            </w:r>
          </w:p>
          <w:p w14:paraId="3B0D80F9" w14:textId="77777777" w:rsidR="00A052DC" w:rsidRDefault="00A052DC">
            <w:pPr>
              <w:pStyle w:val="B"/>
              <w:widowControl w:val="0"/>
              <w:rPr>
                <w:color w:val="000000"/>
                <w:szCs w:val="20"/>
              </w:rPr>
            </w:pPr>
          </w:p>
        </w:tc>
        <w:tc>
          <w:tcPr>
            <w:tcW w:w="1379" w:type="dxa"/>
            <w:tcBorders>
              <w:top w:val="single" w:sz="4" w:space="0" w:color="auto"/>
              <w:left w:val="single" w:sz="4" w:space="0" w:color="auto"/>
              <w:bottom w:val="single" w:sz="4" w:space="0" w:color="auto"/>
              <w:right w:val="single" w:sz="4" w:space="0" w:color="auto"/>
            </w:tcBorders>
          </w:tcPr>
          <w:p w14:paraId="1019A8BA" w14:textId="77777777" w:rsidR="00A052DC" w:rsidRDefault="009F0A60">
            <w:pPr>
              <w:pStyle w:val="B"/>
              <w:widowControl w:val="0"/>
              <w:rPr>
                <w:color w:val="000000"/>
                <w:szCs w:val="20"/>
              </w:rPr>
            </w:pPr>
            <w:r>
              <w:rPr>
                <w:color w:val="000000"/>
                <w:szCs w:val="20"/>
              </w:rPr>
              <w:t>IP</w:t>
            </w:r>
            <w:r>
              <w:rPr>
                <w:rFonts w:hint="eastAsia"/>
                <w:color w:val="000000"/>
                <w:szCs w:val="20"/>
              </w:rPr>
              <w:t>地址</w:t>
            </w:r>
          </w:p>
        </w:tc>
        <w:tc>
          <w:tcPr>
            <w:tcW w:w="1520" w:type="dxa"/>
            <w:tcBorders>
              <w:top w:val="single" w:sz="4" w:space="0" w:color="auto"/>
              <w:left w:val="single" w:sz="4" w:space="0" w:color="auto"/>
              <w:bottom w:val="single" w:sz="4" w:space="0" w:color="auto"/>
              <w:right w:val="single" w:sz="4" w:space="0" w:color="auto"/>
            </w:tcBorders>
          </w:tcPr>
          <w:p w14:paraId="436A99FF" w14:textId="77777777" w:rsidR="00A052DC" w:rsidRDefault="009F0A60">
            <w:pPr>
              <w:pStyle w:val="B"/>
              <w:widowControl w:val="0"/>
              <w:rPr>
                <w:color w:val="000000"/>
                <w:szCs w:val="20"/>
              </w:rPr>
            </w:pPr>
            <w:r>
              <w:rPr>
                <w:rFonts w:hint="eastAsia"/>
                <w:color w:val="000000"/>
                <w:szCs w:val="20"/>
              </w:rPr>
              <w:t>变长字符型，</w:t>
            </w:r>
            <w:r>
              <w:rPr>
                <w:color w:val="000000"/>
                <w:szCs w:val="20"/>
              </w:rPr>
              <w:t>128</w:t>
            </w:r>
          </w:p>
        </w:tc>
        <w:tc>
          <w:tcPr>
            <w:tcW w:w="3338" w:type="dxa"/>
            <w:tcBorders>
              <w:top w:val="single" w:sz="4" w:space="0" w:color="auto"/>
              <w:left w:val="single" w:sz="4" w:space="0" w:color="auto"/>
              <w:bottom w:val="single" w:sz="4" w:space="0" w:color="auto"/>
              <w:right w:val="single" w:sz="4" w:space="0" w:color="auto"/>
            </w:tcBorders>
          </w:tcPr>
          <w:p w14:paraId="6BA2AED7" w14:textId="77777777" w:rsidR="00A052DC" w:rsidRDefault="00DD6AA3">
            <w:pPr>
              <w:pStyle w:val="B"/>
              <w:rPr>
                <w:color w:val="000000"/>
                <w:szCs w:val="20"/>
              </w:rPr>
            </w:pPr>
            <w:r>
              <w:rPr>
                <w:rFonts w:hint="eastAsia"/>
                <w:color w:val="000000"/>
                <w:szCs w:val="20"/>
              </w:rPr>
              <w:t>非必填项</w:t>
            </w:r>
            <w:r w:rsidR="009F0A60">
              <w:rPr>
                <w:rFonts w:hint="eastAsia"/>
                <w:color w:val="000000"/>
                <w:szCs w:val="20"/>
              </w:rPr>
              <w:t>，</w:t>
            </w:r>
          </w:p>
          <w:p w14:paraId="5B1A5AD3" w14:textId="77777777" w:rsidR="00A052DC" w:rsidRDefault="009F0A60">
            <w:pPr>
              <w:pStyle w:val="B"/>
              <w:rPr>
                <w:color w:val="000000"/>
                <w:szCs w:val="20"/>
              </w:rPr>
            </w:pPr>
            <w:r>
              <w:rPr>
                <w:rFonts w:hint="eastAsia"/>
                <w:color w:val="000000"/>
                <w:szCs w:val="20"/>
              </w:rPr>
              <w:t>若transact=1或7，则无需填写；</w:t>
            </w:r>
          </w:p>
          <w:p w14:paraId="1D1B4013" w14:textId="77777777" w:rsidR="00A052DC" w:rsidRDefault="009F0A60">
            <w:pPr>
              <w:pStyle w:val="B"/>
              <w:widowControl w:val="0"/>
              <w:rPr>
                <w:color w:val="000000"/>
                <w:szCs w:val="20"/>
              </w:rPr>
            </w:pPr>
            <w:r>
              <w:rPr>
                <w:rFonts w:hint="eastAsia"/>
                <w:color w:val="000000"/>
                <w:szCs w:val="20"/>
              </w:rPr>
              <w:t>若transact&lt;&gt;1或7 必填，如无法填写则写明原因。</w:t>
            </w:r>
          </w:p>
        </w:tc>
      </w:tr>
      <w:tr w:rsidR="00A052DC" w14:paraId="08CEBB0A" w14:textId="77777777">
        <w:trPr>
          <w:jc w:val="center"/>
        </w:trPr>
        <w:tc>
          <w:tcPr>
            <w:tcW w:w="2282" w:type="dxa"/>
            <w:tcBorders>
              <w:top w:val="single" w:sz="4" w:space="0" w:color="auto"/>
              <w:left w:val="single" w:sz="4" w:space="0" w:color="auto"/>
              <w:bottom w:val="single" w:sz="4" w:space="0" w:color="auto"/>
              <w:right w:val="single" w:sz="4" w:space="0" w:color="auto"/>
            </w:tcBorders>
          </w:tcPr>
          <w:p w14:paraId="77C11050" w14:textId="77777777" w:rsidR="00A052DC" w:rsidRDefault="009F0A60">
            <w:pPr>
              <w:pStyle w:val="B"/>
              <w:widowControl w:val="0"/>
              <w:rPr>
                <w:color w:val="000000"/>
                <w:szCs w:val="20"/>
              </w:rPr>
            </w:pPr>
            <w:r>
              <w:rPr>
                <w:color w:val="000000"/>
                <w:szCs w:val="20"/>
              </w:rPr>
              <w:t>DEALMAC</w:t>
            </w:r>
          </w:p>
        </w:tc>
        <w:tc>
          <w:tcPr>
            <w:tcW w:w="1379" w:type="dxa"/>
            <w:tcBorders>
              <w:top w:val="single" w:sz="4" w:space="0" w:color="auto"/>
              <w:left w:val="single" w:sz="4" w:space="0" w:color="auto"/>
              <w:bottom w:val="single" w:sz="4" w:space="0" w:color="auto"/>
              <w:right w:val="single" w:sz="4" w:space="0" w:color="auto"/>
            </w:tcBorders>
          </w:tcPr>
          <w:p w14:paraId="449BBA75" w14:textId="77777777" w:rsidR="00A052DC" w:rsidRDefault="009F0A60">
            <w:pPr>
              <w:pStyle w:val="B"/>
              <w:widowControl w:val="0"/>
              <w:rPr>
                <w:color w:val="000000"/>
                <w:szCs w:val="20"/>
              </w:rPr>
            </w:pPr>
            <w:r>
              <w:rPr>
                <w:color w:val="000000"/>
                <w:szCs w:val="20"/>
              </w:rPr>
              <w:t>MAC</w:t>
            </w:r>
            <w:r>
              <w:rPr>
                <w:rFonts w:hint="eastAsia"/>
                <w:color w:val="000000"/>
                <w:szCs w:val="20"/>
              </w:rPr>
              <w:t>地址</w:t>
            </w:r>
          </w:p>
        </w:tc>
        <w:tc>
          <w:tcPr>
            <w:tcW w:w="1520" w:type="dxa"/>
            <w:tcBorders>
              <w:top w:val="single" w:sz="4" w:space="0" w:color="auto"/>
              <w:left w:val="single" w:sz="4" w:space="0" w:color="auto"/>
              <w:bottom w:val="single" w:sz="4" w:space="0" w:color="auto"/>
              <w:right w:val="single" w:sz="4" w:space="0" w:color="auto"/>
            </w:tcBorders>
          </w:tcPr>
          <w:p w14:paraId="254CFBD6" w14:textId="77777777" w:rsidR="00A052DC" w:rsidRDefault="009F0A60">
            <w:pPr>
              <w:pStyle w:val="B"/>
              <w:widowControl w:val="0"/>
              <w:rPr>
                <w:color w:val="000000"/>
                <w:szCs w:val="20"/>
              </w:rPr>
            </w:pPr>
            <w:r>
              <w:rPr>
                <w:rFonts w:hint="eastAsia"/>
                <w:color w:val="000000"/>
                <w:szCs w:val="20"/>
              </w:rPr>
              <w:t>变长字符型，</w:t>
            </w:r>
            <w:r>
              <w:rPr>
                <w:color w:val="000000"/>
                <w:szCs w:val="20"/>
              </w:rPr>
              <w:t>128</w:t>
            </w:r>
          </w:p>
        </w:tc>
        <w:tc>
          <w:tcPr>
            <w:tcW w:w="3338" w:type="dxa"/>
            <w:tcBorders>
              <w:top w:val="single" w:sz="4" w:space="0" w:color="auto"/>
              <w:left w:val="single" w:sz="4" w:space="0" w:color="auto"/>
              <w:bottom w:val="single" w:sz="4" w:space="0" w:color="auto"/>
              <w:right w:val="single" w:sz="4" w:space="0" w:color="auto"/>
            </w:tcBorders>
          </w:tcPr>
          <w:p w14:paraId="156618B6" w14:textId="77777777" w:rsidR="00A052DC" w:rsidRDefault="00DD6AA3">
            <w:pPr>
              <w:pStyle w:val="B"/>
              <w:widowControl w:val="0"/>
              <w:rPr>
                <w:color w:val="000000"/>
                <w:szCs w:val="20"/>
              </w:rPr>
            </w:pPr>
            <w:r>
              <w:rPr>
                <w:rFonts w:hint="eastAsia"/>
                <w:color w:val="000000"/>
                <w:szCs w:val="20"/>
              </w:rPr>
              <w:t>非必填项</w:t>
            </w:r>
            <w:r w:rsidR="009F0A60">
              <w:rPr>
                <w:rFonts w:hint="eastAsia"/>
                <w:color w:val="000000"/>
                <w:szCs w:val="20"/>
              </w:rPr>
              <w:t>，若transact=1或7，则无需填写；若transact&lt;&gt;1或7必填，如无法填写则写明原因。</w:t>
            </w:r>
          </w:p>
        </w:tc>
      </w:tr>
    </w:tbl>
    <w:p w14:paraId="7DEA1598" w14:textId="77777777" w:rsidR="00A052DC" w:rsidRDefault="009F0A60">
      <w:pPr>
        <w:pStyle w:val="2"/>
        <w:rPr>
          <w:rFonts w:ascii="Times New Roman" w:hAnsi="Times New Roman"/>
        </w:rPr>
      </w:pPr>
      <w:bookmarkStart w:id="4375" w:name="_Toc101684524"/>
      <w:r>
        <w:rPr>
          <w:rFonts w:ascii="Times New Roman" w:hint="eastAsia"/>
        </w:rPr>
        <w:t>机构大额结售汇资金来源和使用数据</w:t>
      </w:r>
      <w:bookmarkEnd w:id="4375"/>
    </w:p>
    <w:p w14:paraId="184B5372" w14:textId="77777777" w:rsidR="00A052DC" w:rsidRDefault="009F0A60" w:rsidP="0020251D">
      <w:pPr>
        <w:pStyle w:val="3"/>
        <w:ind w:left="0"/>
        <w:rPr>
          <w:rFonts w:ascii="Times New Roman" w:hAnsi="Times New Roman"/>
        </w:rPr>
      </w:pPr>
      <w:bookmarkStart w:id="4376" w:name="_Toc101684525"/>
      <w:r>
        <w:rPr>
          <w:rFonts w:ascii="Times New Roman" w:hAnsi="Times New Roman" w:hint="eastAsia"/>
        </w:rPr>
        <w:t>机构大额结汇资金使用数据</w:t>
      </w:r>
      <w:bookmarkEnd w:id="4376"/>
    </w:p>
    <w:p w14:paraId="1CCCED32" w14:textId="77777777" w:rsidR="00A052DC" w:rsidRDefault="009F0A60" w:rsidP="0020251D">
      <w:pPr>
        <w:pStyle w:val="4"/>
        <w:numPr>
          <w:ilvl w:val="3"/>
          <w:numId w:val="1"/>
        </w:numPr>
        <w:jc w:val="left"/>
      </w:pPr>
      <w:r>
        <w:rPr>
          <w:rFonts w:hint="eastAsia"/>
        </w:rPr>
        <w:t>数据术语解释</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6854"/>
      </w:tblGrid>
      <w:tr w:rsidR="00A052DC" w14:paraId="73C8C3D3" w14:textId="77777777">
        <w:trPr>
          <w:jc w:val="center"/>
        </w:trPr>
        <w:tc>
          <w:tcPr>
            <w:tcW w:w="1668" w:type="dxa"/>
            <w:shd w:val="clear" w:color="auto" w:fill="BFBFBF" w:themeFill="background1" w:themeFillShade="BF"/>
          </w:tcPr>
          <w:p w14:paraId="7CB45427" w14:textId="77777777" w:rsidR="00A052DC" w:rsidRDefault="009F0A60">
            <w:pPr>
              <w:jc w:val="center"/>
              <w:rPr>
                <w:rFonts w:ascii="黑体" w:eastAsia="黑体" w:hAnsi="黑体"/>
                <w:b/>
                <w:sz w:val="20"/>
                <w:szCs w:val="20"/>
              </w:rPr>
            </w:pPr>
            <w:r>
              <w:rPr>
                <w:rFonts w:ascii="黑体" w:eastAsia="黑体" w:hAnsi="黑体" w:hint="eastAsia"/>
                <w:b/>
                <w:sz w:val="20"/>
                <w:szCs w:val="20"/>
              </w:rPr>
              <w:t>基础数据项</w:t>
            </w:r>
          </w:p>
        </w:tc>
        <w:tc>
          <w:tcPr>
            <w:tcW w:w="6854" w:type="dxa"/>
            <w:shd w:val="clear" w:color="auto" w:fill="BFBFBF" w:themeFill="background1" w:themeFillShade="BF"/>
          </w:tcPr>
          <w:p w14:paraId="2D0D56D4" w14:textId="77777777" w:rsidR="00A052DC" w:rsidRDefault="009F0A60">
            <w:pPr>
              <w:jc w:val="center"/>
              <w:rPr>
                <w:rFonts w:ascii="黑体" w:eastAsia="黑体" w:hAnsi="黑体"/>
                <w:b/>
                <w:sz w:val="20"/>
                <w:szCs w:val="20"/>
              </w:rPr>
            </w:pPr>
            <w:r>
              <w:rPr>
                <w:rFonts w:ascii="黑体" w:eastAsia="黑体" w:hAnsi="黑体" w:hint="eastAsia"/>
                <w:b/>
                <w:sz w:val="20"/>
                <w:szCs w:val="20"/>
              </w:rPr>
              <w:t>定义</w:t>
            </w:r>
          </w:p>
        </w:tc>
      </w:tr>
      <w:tr w:rsidR="00A052DC" w14:paraId="0495003B" w14:textId="77777777">
        <w:trPr>
          <w:jc w:val="center"/>
        </w:trPr>
        <w:tc>
          <w:tcPr>
            <w:tcW w:w="1668" w:type="dxa"/>
          </w:tcPr>
          <w:p w14:paraId="780D7A6C" w14:textId="77777777" w:rsidR="00A052DC" w:rsidRDefault="009F0A60">
            <w:pPr>
              <w:rPr>
                <w:rFonts w:ascii="黑体" w:eastAsia="黑体" w:hAnsi="黑体"/>
                <w:sz w:val="20"/>
                <w:szCs w:val="20"/>
              </w:rPr>
            </w:pPr>
            <w:r>
              <w:rPr>
                <w:rFonts w:ascii="黑体" w:eastAsia="黑体" w:hAnsi="黑体" w:hint="eastAsia"/>
                <w:sz w:val="20"/>
                <w:szCs w:val="20"/>
              </w:rPr>
              <w:t>申报号码</w:t>
            </w:r>
          </w:p>
        </w:tc>
        <w:tc>
          <w:tcPr>
            <w:tcW w:w="6854" w:type="dxa"/>
          </w:tcPr>
          <w:p w14:paraId="381E7C58" w14:textId="77777777" w:rsidR="00A052DC" w:rsidRDefault="009F0A60">
            <w:pPr>
              <w:rPr>
                <w:rFonts w:ascii="黑体" w:eastAsia="黑体" w:hAnsi="黑体"/>
                <w:sz w:val="20"/>
                <w:szCs w:val="20"/>
              </w:rPr>
            </w:pPr>
            <w:r>
              <w:rPr>
                <w:rFonts w:ascii="黑体" w:eastAsia="黑体" w:hAnsi="黑体" w:hint="eastAsia"/>
                <w:sz w:val="20"/>
                <w:szCs w:val="20"/>
              </w:rPr>
              <w:t>指境内银行针对使用大额结汇资金的交易，按国家外汇管理局要求编制的号码，共计</w:t>
            </w:r>
            <w:r>
              <w:rPr>
                <w:rFonts w:ascii="黑体" w:eastAsia="黑体" w:hAnsi="黑体"/>
                <w:sz w:val="20"/>
                <w:szCs w:val="20"/>
              </w:rPr>
              <w:t>22位。编码规则：12位金融机构标识码+6位支付日期（YYMMDD）+4位银行业务流水码。交易日期不能大于系统日期。若该网点未申领12位金融机构标识码，则填写上级机构对应的12位金融机构标识码。流水码允许使用英文大写字母（A-Z）和数字（0-9）</w:t>
            </w:r>
            <w:r>
              <w:rPr>
                <w:rFonts w:ascii="黑体" w:eastAsia="黑体" w:hAnsi="黑体" w:hint="eastAsia"/>
                <w:sz w:val="20"/>
                <w:szCs w:val="20"/>
              </w:rPr>
              <w:t>，申报号码不得重复</w:t>
            </w:r>
            <w:r>
              <w:rPr>
                <w:rFonts w:ascii="黑体" w:eastAsia="黑体" w:hAnsi="黑体"/>
                <w:sz w:val="20"/>
                <w:szCs w:val="20"/>
              </w:rPr>
              <w:t>。</w:t>
            </w:r>
          </w:p>
        </w:tc>
      </w:tr>
      <w:tr w:rsidR="00A052DC" w14:paraId="5DE3263F" w14:textId="77777777">
        <w:trPr>
          <w:jc w:val="center"/>
        </w:trPr>
        <w:tc>
          <w:tcPr>
            <w:tcW w:w="1668" w:type="dxa"/>
          </w:tcPr>
          <w:p w14:paraId="63369D1D" w14:textId="77777777" w:rsidR="00A052DC" w:rsidRDefault="009F0A60">
            <w:pPr>
              <w:rPr>
                <w:rFonts w:ascii="黑体" w:eastAsia="黑体" w:hAnsi="黑体"/>
                <w:sz w:val="20"/>
                <w:szCs w:val="20"/>
              </w:rPr>
            </w:pPr>
            <w:r>
              <w:rPr>
                <w:rFonts w:ascii="黑体" w:eastAsia="黑体" w:hAnsi="黑体" w:hint="eastAsia"/>
                <w:sz w:val="20"/>
                <w:szCs w:val="20"/>
              </w:rPr>
              <w:t>银行业务参号</w:t>
            </w:r>
          </w:p>
        </w:tc>
        <w:tc>
          <w:tcPr>
            <w:tcW w:w="6854" w:type="dxa"/>
          </w:tcPr>
          <w:p w14:paraId="41365EE4" w14:textId="77777777" w:rsidR="00A052DC" w:rsidRDefault="009F0A60">
            <w:pPr>
              <w:rPr>
                <w:rFonts w:ascii="黑体" w:eastAsia="黑体" w:hAnsi="黑体"/>
                <w:sz w:val="20"/>
                <w:szCs w:val="20"/>
              </w:rPr>
            </w:pPr>
            <w:r>
              <w:rPr>
                <w:rFonts w:ascii="黑体" w:eastAsia="黑体" w:hAnsi="黑体" w:hint="eastAsia"/>
                <w:sz w:val="20"/>
                <w:szCs w:val="20"/>
              </w:rPr>
              <w:t>指该笔业务在银行的业务参号。</w:t>
            </w:r>
          </w:p>
        </w:tc>
      </w:tr>
      <w:tr w:rsidR="00A052DC" w14:paraId="114D2D21" w14:textId="77777777">
        <w:trPr>
          <w:jc w:val="center"/>
        </w:trPr>
        <w:tc>
          <w:tcPr>
            <w:tcW w:w="1668" w:type="dxa"/>
          </w:tcPr>
          <w:p w14:paraId="6E3F1B6C" w14:textId="77777777" w:rsidR="00A052DC" w:rsidRDefault="009F0A60">
            <w:pPr>
              <w:rPr>
                <w:rFonts w:ascii="黑体" w:eastAsia="黑体" w:hAnsi="黑体"/>
                <w:sz w:val="20"/>
                <w:szCs w:val="20"/>
              </w:rPr>
            </w:pPr>
            <w:r>
              <w:rPr>
                <w:rFonts w:ascii="黑体" w:eastAsia="黑体" w:hAnsi="黑体" w:hint="eastAsia"/>
                <w:sz w:val="20"/>
                <w:szCs w:val="20"/>
              </w:rPr>
              <w:t>业务类型</w:t>
            </w:r>
          </w:p>
        </w:tc>
        <w:tc>
          <w:tcPr>
            <w:tcW w:w="6854" w:type="dxa"/>
          </w:tcPr>
          <w:p w14:paraId="060BE497" w14:textId="77777777" w:rsidR="00A052DC" w:rsidRDefault="009F0A60">
            <w:pPr>
              <w:rPr>
                <w:rFonts w:ascii="黑体" w:eastAsia="黑体" w:hAnsi="黑体"/>
                <w:sz w:val="20"/>
                <w:szCs w:val="20"/>
              </w:rPr>
            </w:pPr>
            <w:r>
              <w:rPr>
                <w:rFonts w:ascii="黑体" w:eastAsia="黑体" w:hAnsi="黑体" w:hint="eastAsia"/>
                <w:sz w:val="20"/>
                <w:szCs w:val="20"/>
              </w:rPr>
              <w:t>指使用大额结汇资金交易的业务类型，包括：1-提钞；2-境内转出。</w:t>
            </w:r>
          </w:p>
        </w:tc>
      </w:tr>
      <w:tr w:rsidR="00A052DC" w14:paraId="01547A3E" w14:textId="77777777">
        <w:trPr>
          <w:jc w:val="center"/>
        </w:trPr>
        <w:tc>
          <w:tcPr>
            <w:tcW w:w="1668" w:type="dxa"/>
          </w:tcPr>
          <w:p w14:paraId="58C90E46" w14:textId="77777777" w:rsidR="00A052DC" w:rsidRDefault="009F0A60">
            <w:pPr>
              <w:rPr>
                <w:rFonts w:ascii="黑体" w:eastAsia="黑体" w:hAnsi="黑体"/>
                <w:sz w:val="20"/>
                <w:szCs w:val="20"/>
              </w:rPr>
            </w:pPr>
            <w:r>
              <w:rPr>
                <w:rFonts w:ascii="黑体" w:eastAsia="黑体" w:hAnsi="黑体" w:hint="eastAsia"/>
                <w:sz w:val="20"/>
                <w:szCs w:val="20"/>
              </w:rPr>
              <w:t>开户类型</w:t>
            </w:r>
          </w:p>
        </w:tc>
        <w:tc>
          <w:tcPr>
            <w:tcW w:w="6854" w:type="dxa"/>
          </w:tcPr>
          <w:p w14:paraId="3435719E" w14:textId="77777777" w:rsidR="00A052DC" w:rsidRDefault="009F0A60">
            <w:pPr>
              <w:rPr>
                <w:rFonts w:ascii="黑体" w:eastAsia="黑体" w:hAnsi="黑体"/>
                <w:sz w:val="20"/>
                <w:szCs w:val="20"/>
              </w:rPr>
            </w:pPr>
            <w:r>
              <w:rPr>
                <w:rFonts w:ascii="黑体" w:eastAsia="黑体" w:hAnsi="黑体" w:hint="eastAsia"/>
                <w:sz w:val="20"/>
                <w:szCs w:val="20"/>
              </w:rPr>
              <w:t>如主体为机构，则选择C-对公账户；如主体为个人，则选择D-对私账户</w:t>
            </w:r>
          </w:p>
        </w:tc>
      </w:tr>
      <w:tr w:rsidR="00A052DC" w14:paraId="027A1DF0" w14:textId="77777777">
        <w:trPr>
          <w:jc w:val="center"/>
        </w:trPr>
        <w:tc>
          <w:tcPr>
            <w:tcW w:w="1668" w:type="dxa"/>
          </w:tcPr>
          <w:p w14:paraId="20E246B6" w14:textId="77777777" w:rsidR="00A052DC" w:rsidRDefault="009F0A60">
            <w:pPr>
              <w:rPr>
                <w:rFonts w:ascii="黑体" w:eastAsia="黑体" w:hAnsi="黑体"/>
                <w:sz w:val="20"/>
                <w:szCs w:val="20"/>
              </w:rPr>
            </w:pPr>
            <w:r>
              <w:rPr>
                <w:rFonts w:ascii="黑体" w:eastAsia="黑体" w:hAnsi="黑体" w:hint="eastAsia"/>
                <w:sz w:val="20"/>
                <w:szCs w:val="20"/>
              </w:rPr>
              <w:t>开户主体名称</w:t>
            </w:r>
          </w:p>
        </w:tc>
        <w:tc>
          <w:tcPr>
            <w:tcW w:w="6854" w:type="dxa"/>
          </w:tcPr>
          <w:p w14:paraId="23BF71B6" w14:textId="77777777" w:rsidR="00A052DC" w:rsidRDefault="009F0A60">
            <w:pPr>
              <w:rPr>
                <w:rFonts w:ascii="黑体" w:eastAsia="黑体" w:hAnsi="黑体"/>
                <w:sz w:val="20"/>
                <w:szCs w:val="20"/>
              </w:rPr>
            </w:pPr>
            <w:r>
              <w:rPr>
                <w:rFonts w:ascii="黑体" w:eastAsia="黑体" w:hAnsi="黑体" w:hint="eastAsia"/>
                <w:sz w:val="20"/>
                <w:szCs w:val="20"/>
              </w:rPr>
              <w:t>指开户人预留银行印鉴、营业执照、或国家外汇管理局及其分支局签发的特殊机构代码赋码通知书上的名称。</w:t>
            </w:r>
          </w:p>
        </w:tc>
      </w:tr>
      <w:tr w:rsidR="00A052DC" w14:paraId="31C360A5" w14:textId="77777777">
        <w:trPr>
          <w:jc w:val="center"/>
        </w:trPr>
        <w:tc>
          <w:tcPr>
            <w:tcW w:w="1668" w:type="dxa"/>
          </w:tcPr>
          <w:p w14:paraId="21DB2E9C" w14:textId="77777777" w:rsidR="00A052DC" w:rsidRDefault="009F0A60">
            <w:pPr>
              <w:rPr>
                <w:rFonts w:ascii="黑体" w:eastAsia="黑体" w:hAnsi="黑体"/>
                <w:sz w:val="20"/>
                <w:szCs w:val="20"/>
              </w:rPr>
            </w:pPr>
            <w:r>
              <w:rPr>
                <w:rFonts w:ascii="黑体" w:eastAsia="黑体" w:hAnsi="黑体" w:hint="eastAsia"/>
                <w:sz w:val="20"/>
                <w:szCs w:val="20"/>
              </w:rPr>
              <w:t>开户主体代码</w:t>
            </w:r>
          </w:p>
        </w:tc>
        <w:tc>
          <w:tcPr>
            <w:tcW w:w="6854" w:type="dxa"/>
          </w:tcPr>
          <w:p w14:paraId="7097CB29" w14:textId="77777777" w:rsidR="00A052DC" w:rsidRDefault="009F0A60">
            <w:pPr>
              <w:rPr>
                <w:rFonts w:ascii="黑体" w:eastAsia="黑体" w:hAnsi="黑体"/>
                <w:sz w:val="20"/>
                <w:szCs w:val="20"/>
              </w:rPr>
            </w:pPr>
            <w:r>
              <w:rPr>
                <w:rFonts w:ascii="黑体" w:eastAsia="黑体" w:hAnsi="黑体" w:hint="eastAsia"/>
                <w:sz w:val="20"/>
                <w:szCs w:val="20"/>
              </w:rPr>
              <w:t>如果开户主体人为境内机构，应填写统一社会信用代码法定载体（如营业执照）上统一社会信用代码中的第9至17位或国家外汇管理局及其分支局签发的特殊机构代码赋码通知书上的机构代码。</w:t>
            </w:r>
          </w:p>
          <w:p w14:paraId="0A59CABD" w14:textId="77777777" w:rsidR="00A052DC" w:rsidRDefault="009F0A60">
            <w:pPr>
              <w:rPr>
                <w:rFonts w:ascii="黑体" w:eastAsia="黑体" w:hAnsi="黑体"/>
                <w:sz w:val="20"/>
                <w:szCs w:val="20"/>
              </w:rPr>
            </w:pPr>
            <w:r>
              <w:rPr>
                <w:rFonts w:ascii="黑体" w:eastAsia="黑体" w:hAnsi="黑体" w:hint="eastAsia"/>
                <w:sz w:val="20"/>
                <w:szCs w:val="20"/>
              </w:rPr>
              <w:t>如果开户主体为境内个人，应填写开户主体个人身份证件号码。</w:t>
            </w:r>
          </w:p>
        </w:tc>
      </w:tr>
      <w:tr w:rsidR="00A052DC" w14:paraId="27634802" w14:textId="77777777">
        <w:trPr>
          <w:jc w:val="center"/>
        </w:trPr>
        <w:tc>
          <w:tcPr>
            <w:tcW w:w="1668" w:type="dxa"/>
          </w:tcPr>
          <w:p w14:paraId="2F5F6552" w14:textId="77777777" w:rsidR="00A052DC" w:rsidRDefault="009F0A60">
            <w:pPr>
              <w:rPr>
                <w:rFonts w:ascii="黑体" w:eastAsia="黑体" w:hAnsi="黑体"/>
                <w:sz w:val="20"/>
                <w:szCs w:val="20"/>
              </w:rPr>
            </w:pPr>
            <w:r>
              <w:rPr>
                <w:rFonts w:ascii="黑体" w:eastAsia="黑体" w:hAnsi="黑体" w:hint="eastAsia"/>
                <w:sz w:val="20"/>
                <w:szCs w:val="20"/>
              </w:rPr>
              <w:t>账号</w:t>
            </w:r>
          </w:p>
        </w:tc>
        <w:tc>
          <w:tcPr>
            <w:tcW w:w="6854" w:type="dxa"/>
          </w:tcPr>
          <w:p w14:paraId="79BECA49" w14:textId="77777777" w:rsidR="00A052DC" w:rsidRDefault="009F0A60">
            <w:pPr>
              <w:rPr>
                <w:rFonts w:ascii="黑体" w:eastAsia="黑体" w:hAnsi="黑体"/>
                <w:sz w:val="20"/>
                <w:szCs w:val="20"/>
              </w:rPr>
            </w:pPr>
            <w:r>
              <w:rPr>
                <w:rFonts w:ascii="黑体" w:eastAsia="黑体" w:hAnsi="黑体" w:hint="eastAsia"/>
                <w:sz w:val="20"/>
                <w:szCs w:val="20"/>
              </w:rPr>
              <w:t>机构结汇所得人民币资金直接汇入的居民人民币账户账号。</w:t>
            </w:r>
          </w:p>
        </w:tc>
      </w:tr>
      <w:tr w:rsidR="00A052DC" w14:paraId="36989438" w14:textId="77777777">
        <w:trPr>
          <w:jc w:val="center"/>
        </w:trPr>
        <w:tc>
          <w:tcPr>
            <w:tcW w:w="1668" w:type="dxa"/>
          </w:tcPr>
          <w:p w14:paraId="26CE4760" w14:textId="77777777" w:rsidR="00A052DC" w:rsidRDefault="009F0A60">
            <w:pPr>
              <w:rPr>
                <w:rFonts w:ascii="黑体" w:eastAsia="黑体" w:hAnsi="黑体"/>
                <w:sz w:val="20"/>
                <w:szCs w:val="20"/>
              </w:rPr>
            </w:pPr>
            <w:r>
              <w:rPr>
                <w:rFonts w:ascii="黑体" w:eastAsia="黑体" w:hAnsi="黑体" w:hint="eastAsia"/>
                <w:sz w:val="20"/>
                <w:szCs w:val="20"/>
              </w:rPr>
              <w:t>联系人姓名</w:t>
            </w:r>
          </w:p>
        </w:tc>
        <w:tc>
          <w:tcPr>
            <w:tcW w:w="6854" w:type="dxa"/>
            <w:vAlign w:val="center"/>
          </w:tcPr>
          <w:p w14:paraId="5294EEC3" w14:textId="77777777" w:rsidR="00A052DC" w:rsidRDefault="009F0A60">
            <w:pPr>
              <w:rPr>
                <w:rFonts w:ascii="黑体" w:eastAsia="黑体" w:hAnsi="黑体"/>
                <w:sz w:val="20"/>
                <w:szCs w:val="20"/>
              </w:rPr>
            </w:pPr>
            <w:r>
              <w:rPr>
                <w:rFonts w:eastAsia="黑体" w:hint="eastAsia"/>
                <w:color w:val="000000"/>
                <w:sz w:val="20"/>
                <w:szCs w:val="20"/>
              </w:rPr>
              <w:t>填写办理开户业务的客户联系人姓名。</w:t>
            </w:r>
          </w:p>
        </w:tc>
      </w:tr>
      <w:tr w:rsidR="00A052DC" w14:paraId="5D421639" w14:textId="77777777">
        <w:trPr>
          <w:jc w:val="center"/>
        </w:trPr>
        <w:tc>
          <w:tcPr>
            <w:tcW w:w="1668" w:type="dxa"/>
          </w:tcPr>
          <w:p w14:paraId="167AF8F8" w14:textId="77777777" w:rsidR="00A052DC" w:rsidRDefault="009F0A60">
            <w:pPr>
              <w:rPr>
                <w:rFonts w:ascii="黑体" w:eastAsia="黑体" w:hAnsi="黑体"/>
                <w:sz w:val="20"/>
                <w:szCs w:val="20"/>
              </w:rPr>
            </w:pPr>
            <w:r>
              <w:rPr>
                <w:rFonts w:ascii="黑体" w:eastAsia="黑体" w:hAnsi="黑体" w:hint="eastAsia"/>
                <w:sz w:val="20"/>
                <w:szCs w:val="20"/>
              </w:rPr>
              <w:t>联系电话</w:t>
            </w:r>
          </w:p>
        </w:tc>
        <w:tc>
          <w:tcPr>
            <w:tcW w:w="6854" w:type="dxa"/>
            <w:vAlign w:val="center"/>
          </w:tcPr>
          <w:p w14:paraId="06AE06A8" w14:textId="77777777" w:rsidR="00A052DC" w:rsidRDefault="009F0A60">
            <w:pPr>
              <w:rPr>
                <w:rFonts w:ascii="黑体" w:eastAsia="黑体" w:hAnsi="黑体"/>
                <w:sz w:val="20"/>
                <w:szCs w:val="20"/>
              </w:rPr>
            </w:pPr>
            <w:r>
              <w:rPr>
                <w:rFonts w:eastAsia="黑体" w:hint="eastAsia"/>
                <w:color w:val="000000"/>
                <w:sz w:val="20"/>
                <w:szCs w:val="20"/>
              </w:rPr>
              <w:t>填报办理开户业务的客户联系人电话。</w:t>
            </w:r>
          </w:p>
        </w:tc>
      </w:tr>
      <w:tr w:rsidR="00A052DC" w14:paraId="24A75907" w14:textId="77777777">
        <w:trPr>
          <w:jc w:val="center"/>
        </w:trPr>
        <w:tc>
          <w:tcPr>
            <w:tcW w:w="1668" w:type="dxa"/>
          </w:tcPr>
          <w:p w14:paraId="4B5B7594" w14:textId="77777777" w:rsidR="00A052DC" w:rsidRDefault="009F0A60">
            <w:pPr>
              <w:rPr>
                <w:rFonts w:ascii="黑体" w:eastAsia="黑体" w:hAnsi="黑体"/>
                <w:sz w:val="20"/>
                <w:szCs w:val="20"/>
              </w:rPr>
            </w:pPr>
            <w:r>
              <w:rPr>
                <w:rFonts w:ascii="黑体" w:eastAsia="黑体" w:hAnsi="黑体" w:hint="eastAsia"/>
                <w:sz w:val="20"/>
                <w:szCs w:val="20"/>
              </w:rPr>
              <w:t>交易时间</w:t>
            </w:r>
          </w:p>
        </w:tc>
        <w:tc>
          <w:tcPr>
            <w:tcW w:w="6854" w:type="dxa"/>
            <w:vAlign w:val="center"/>
          </w:tcPr>
          <w:p w14:paraId="0EBA85B0" w14:textId="77777777" w:rsidR="00A052DC" w:rsidRDefault="009F0A60">
            <w:pPr>
              <w:rPr>
                <w:rFonts w:ascii="黑体" w:eastAsia="黑体" w:hAnsi="黑体"/>
                <w:sz w:val="20"/>
                <w:szCs w:val="20"/>
              </w:rPr>
            </w:pPr>
            <w:r>
              <w:rPr>
                <w:rFonts w:ascii="黑体" w:eastAsia="黑体" w:hAnsi="黑体" w:hint="eastAsia"/>
                <w:sz w:val="20"/>
                <w:szCs w:val="20"/>
              </w:rPr>
              <w:t>提钞或境内转出交易发生时间</w:t>
            </w:r>
            <w:r>
              <w:rPr>
                <w:rFonts w:eastAsia="黑体" w:hint="eastAsia"/>
                <w:color w:val="000000"/>
                <w:sz w:val="20"/>
                <w:szCs w:val="20"/>
              </w:rPr>
              <w:t>。</w:t>
            </w:r>
          </w:p>
        </w:tc>
      </w:tr>
      <w:tr w:rsidR="00A052DC" w14:paraId="19F362DA" w14:textId="77777777">
        <w:trPr>
          <w:jc w:val="center"/>
        </w:trPr>
        <w:tc>
          <w:tcPr>
            <w:tcW w:w="1668" w:type="dxa"/>
          </w:tcPr>
          <w:p w14:paraId="430F1BD6" w14:textId="77777777" w:rsidR="00A052DC" w:rsidRDefault="009F0A60">
            <w:pPr>
              <w:rPr>
                <w:rFonts w:ascii="黑体" w:eastAsia="黑体" w:hAnsi="黑体"/>
                <w:sz w:val="20"/>
                <w:szCs w:val="20"/>
              </w:rPr>
            </w:pPr>
            <w:r>
              <w:rPr>
                <w:rFonts w:ascii="黑体" w:eastAsia="黑体" w:hAnsi="黑体" w:hint="eastAsia"/>
                <w:sz w:val="20"/>
                <w:szCs w:val="20"/>
              </w:rPr>
              <w:t>交易附言</w:t>
            </w:r>
          </w:p>
        </w:tc>
        <w:tc>
          <w:tcPr>
            <w:tcW w:w="6854" w:type="dxa"/>
          </w:tcPr>
          <w:p w14:paraId="35ABC6B8" w14:textId="77777777" w:rsidR="00A052DC" w:rsidRDefault="009F0A60">
            <w:pPr>
              <w:rPr>
                <w:rFonts w:ascii="黑体" w:eastAsia="黑体" w:hAnsi="黑体"/>
                <w:sz w:val="20"/>
                <w:szCs w:val="20"/>
              </w:rPr>
            </w:pPr>
            <w:r>
              <w:rPr>
                <w:rFonts w:ascii="黑体" w:eastAsia="黑体" w:hAnsi="黑体" w:hint="eastAsia"/>
                <w:sz w:val="20"/>
                <w:szCs w:val="20"/>
              </w:rPr>
              <w:t>客户办理交易时填写的交易附言。</w:t>
            </w:r>
          </w:p>
        </w:tc>
      </w:tr>
      <w:tr w:rsidR="00A052DC" w14:paraId="5081DF1E" w14:textId="77777777">
        <w:trPr>
          <w:jc w:val="center"/>
        </w:trPr>
        <w:tc>
          <w:tcPr>
            <w:tcW w:w="1668" w:type="dxa"/>
          </w:tcPr>
          <w:p w14:paraId="29240F27" w14:textId="77777777" w:rsidR="00A052DC" w:rsidRDefault="009F0A60">
            <w:pPr>
              <w:rPr>
                <w:rFonts w:ascii="黑体" w:eastAsia="黑体" w:hAnsi="黑体"/>
                <w:sz w:val="20"/>
                <w:szCs w:val="20"/>
              </w:rPr>
            </w:pPr>
            <w:r>
              <w:rPr>
                <w:rFonts w:ascii="黑体" w:eastAsia="黑体" w:hAnsi="黑体" w:hint="eastAsia"/>
                <w:sz w:val="20"/>
                <w:szCs w:val="20"/>
              </w:rPr>
              <w:t>摘要说明</w:t>
            </w:r>
          </w:p>
        </w:tc>
        <w:tc>
          <w:tcPr>
            <w:tcW w:w="6854" w:type="dxa"/>
          </w:tcPr>
          <w:p w14:paraId="6766095B" w14:textId="77777777" w:rsidR="00A052DC" w:rsidRDefault="009F0A60">
            <w:pPr>
              <w:rPr>
                <w:rFonts w:ascii="黑体" w:eastAsia="黑体" w:hAnsi="黑体"/>
                <w:sz w:val="20"/>
                <w:szCs w:val="20"/>
              </w:rPr>
            </w:pPr>
            <w:r>
              <w:rPr>
                <w:rFonts w:ascii="黑体" w:eastAsia="黑体" w:hAnsi="黑体" w:hint="eastAsia"/>
                <w:sz w:val="20"/>
                <w:szCs w:val="20"/>
              </w:rPr>
              <w:t>资金用途、交易目的等。</w:t>
            </w:r>
          </w:p>
        </w:tc>
      </w:tr>
      <w:tr w:rsidR="00A052DC" w14:paraId="6705E42B" w14:textId="77777777">
        <w:trPr>
          <w:jc w:val="center"/>
        </w:trPr>
        <w:tc>
          <w:tcPr>
            <w:tcW w:w="1668" w:type="dxa"/>
          </w:tcPr>
          <w:p w14:paraId="215973CB" w14:textId="77777777" w:rsidR="00A052DC" w:rsidRDefault="009F0A60">
            <w:pPr>
              <w:rPr>
                <w:rFonts w:ascii="黑体" w:eastAsia="黑体" w:hAnsi="黑体"/>
                <w:sz w:val="20"/>
                <w:szCs w:val="20"/>
              </w:rPr>
            </w:pPr>
            <w:r>
              <w:rPr>
                <w:rFonts w:ascii="黑体" w:eastAsia="黑体" w:hAnsi="黑体" w:hint="eastAsia"/>
                <w:sz w:val="20"/>
                <w:szCs w:val="20"/>
              </w:rPr>
              <w:t>交易网点名称</w:t>
            </w:r>
          </w:p>
        </w:tc>
        <w:tc>
          <w:tcPr>
            <w:tcW w:w="6854" w:type="dxa"/>
          </w:tcPr>
          <w:p w14:paraId="7FBBE9D1" w14:textId="77777777" w:rsidR="00A052DC" w:rsidRDefault="009F0A60">
            <w:pPr>
              <w:rPr>
                <w:rFonts w:ascii="黑体" w:eastAsia="黑体" w:hAnsi="黑体"/>
                <w:sz w:val="20"/>
                <w:szCs w:val="20"/>
              </w:rPr>
            </w:pPr>
            <w:r>
              <w:rPr>
                <w:rFonts w:ascii="黑体" w:eastAsia="黑体" w:hAnsi="黑体" w:hint="eastAsia"/>
                <w:sz w:val="20"/>
                <w:szCs w:val="20"/>
              </w:rPr>
              <w:t>办理提钞或境内转出交易的金融机构网点名称。</w:t>
            </w:r>
          </w:p>
        </w:tc>
      </w:tr>
      <w:tr w:rsidR="00A052DC" w14:paraId="58B167BA" w14:textId="77777777">
        <w:trPr>
          <w:jc w:val="center"/>
        </w:trPr>
        <w:tc>
          <w:tcPr>
            <w:tcW w:w="1668" w:type="dxa"/>
          </w:tcPr>
          <w:p w14:paraId="680F3F87" w14:textId="77777777" w:rsidR="00A052DC" w:rsidRDefault="009F0A60">
            <w:pPr>
              <w:rPr>
                <w:rFonts w:ascii="黑体" w:eastAsia="黑体" w:hAnsi="黑体"/>
                <w:sz w:val="20"/>
                <w:szCs w:val="20"/>
              </w:rPr>
            </w:pPr>
            <w:r>
              <w:rPr>
                <w:rFonts w:ascii="黑体" w:eastAsia="黑体" w:hAnsi="黑体" w:hint="eastAsia"/>
                <w:sz w:val="20"/>
                <w:szCs w:val="20"/>
              </w:rPr>
              <w:t>交易对手名称</w:t>
            </w:r>
          </w:p>
        </w:tc>
        <w:tc>
          <w:tcPr>
            <w:tcW w:w="6854" w:type="dxa"/>
          </w:tcPr>
          <w:p w14:paraId="2C050C30" w14:textId="77777777" w:rsidR="00A052DC" w:rsidRDefault="009F0A60">
            <w:pPr>
              <w:rPr>
                <w:rFonts w:ascii="黑体" w:eastAsia="黑体" w:hAnsi="黑体"/>
                <w:sz w:val="20"/>
                <w:szCs w:val="20"/>
              </w:rPr>
            </w:pPr>
            <w:r>
              <w:rPr>
                <w:rFonts w:ascii="黑体" w:eastAsia="黑体" w:hAnsi="黑体" w:hint="eastAsia"/>
                <w:sz w:val="20"/>
                <w:szCs w:val="20"/>
              </w:rPr>
              <w:t>境内转出交易对手名称。</w:t>
            </w:r>
          </w:p>
        </w:tc>
      </w:tr>
      <w:tr w:rsidR="00A052DC" w14:paraId="31A29934" w14:textId="77777777">
        <w:trPr>
          <w:jc w:val="center"/>
        </w:trPr>
        <w:tc>
          <w:tcPr>
            <w:tcW w:w="1668" w:type="dxa"/>
          </w:tcPr>
          <w:p w14:paraId="28E51FB1" w14:textId="77777777" w:rsidR="00A052DC" w:rsidRDefault="009F0A60">
            <w:pPr>
              <w:rPr>
                <w:rFonts w:ascii="黑体" w:eastAsia="黑体" w:hAnsi="黑体"/>
                <w:sz w:val="20"/>
                <w:szCs w:val="20"/>
              </w:rPr>
            </w:pPr>
            <w:r>
              <w:rPr>
                <w:rFonts w:ascii="黑体" w:eastAsia="黑体" w:hAnsi="黑体" w:hint="eastAsia"/>
                <w:sz w:val="20"/>
                <w:szCs w:val="20"/>
              </w:rPr>
              <w:t>交易对手账号</w:t>
            </w:r>
          </w:p>
        </w:tc>
        <w:tc>
          <w:tcPr>
            <w:tcW w:w="6854" w:type="dxa"/>
          </w:tcPr>
          <w:p w14:paraId="78FD89F6" w14:textId="77777777" w:rsidR="00A052DC" w:rsidRDefault="009F0A60">
            <w:pPr>
              <w:rPr>
                <w:rFonts w:ascii="黑体" w:eastAsia="黑体" w:hAnsi="黑体"/>
                <w:sz w:val="20"/>
                <w:szCs w:val="20"/>
              </w:rPr>
            </w:pPr>
            <w:r>
              <w:rPr>
                <w:rFonts w:ascii="黑体" w:eastAsia="黑体" w:hAnsi="黑体" w:hint="eastAsia"/>
                <w:sz w:val="20"/>
                <w:szCs w:val="20"/>
              </w:rPr>
              <w:t>境内转出交易对手账号。</w:t>
            </w:r>
          </w:p>
        </w:tc>
      </w:tr>
      <w:tr w:rsidR="00A052DC" w14:paraId="73FC22E2" w14:textId="77777777">
        <w:trPr>
          <w:jc w:val="center"/>
        </w:trPr>
        <w:tc>
          <w:tcPr>
            <w:tcW w:w="1668" w:type="dxa"/>
          </w:tcPr>
          <w:p w14:paraId="45DC3D07" w14:textId="77777777" w:rsidR="00A052DC" w:rsidRDefault="009F0A60">
            <w:pPr>
              <w:rPr>
                <w:rFonts w:ascii="黑体" w:eastAsia="黑体" w:hAnsi="黑体"/>
                <w:sz w:val="20"/>
                <w:szCs w:val="20"/>
              </w:rPr>
            </w:pPr>
            <w:r>
              <w:rPr>
                <w:rFonts w:ascii="黑体" w:eastAsia="黑体" w:hAnsi="黑体" w:hint="eastAsia"/>
                <w:sz w:val="20"/>
                <w:szCs w:val="20"/>
              </w:rPr>
              <w:t>IP地址</w:t>
            </w:r>
          </w:p>
        </w:tc>
        <w:tc>
          <w:tcPr>
            <w:tcW w:w="6854" w:type="dxa"/>
          </w:tcPr>
          <w:p w14:paraId="2D1E06EB" w14:textId="77777777" w:rsidR="00A052DC" w:rsidRDefault="009F0A60">
            <w:pPr>
              <w:rPr>
                <w:rFonts w:ascii="黑体" w:eastAsia="黑体" w:hAnsi="黑体"/>
                <w:sz w:val="20"/>
                <w:szCs w:val="20"/>
              </w:rPr>
            </w:pPr>
            <w:r>
              <w:rPr>
                <w:rFonts w:ascii="黑体" w:eastAsia="黑体" w:hAnsi="黑体" w:hint="eastAsia"/>
                <w:sz w:val="20"/>
                <w:szCs w:val="20"/>
              </w:rPr>
              <w:t>境内转出发起方使用设备的IP地址。</w:t>
            </w:r>
          </w:p>
        </w:tc>
      </w:tr>
      <w:tr w:rsidR="00A052DC" w14:paraId="6E503B02" w14:textId="77777777">
        <w:trPr>
          <w:jc w:val="center"/>
        </w:trPr>
        <w:tc>
          <w:tcPr>
            <w:tcW w:w="1668" w:type="dxa"/>
          </w:tcPr>
          <w:p w14:paraId="2AD33D2D" w14:textId="77777777" w:rsidR="00A052DC" w:rsidRDefault="009F0A60">
            <w:pPr>
              <w:rPr>
                <w:rFonts w:ascii="黑体" w:eastAsia="黑体" w:hAnsi="黑体"/>
                <w:sz w:val="20"/>
                <w:szCs w:val="20"/>
              </w:rPr>
            </w:pPr>
            <w:r>
              <w:rPr>
                <w:rFonts w:ascii="黑体" w:eastAsia="黑体" w:hAnsi="黑体" w:hint="eastAsia"/>
                <w:sz w:val="20"/>
                <w:szCs w:val="20"/>
              </w:rPr>
              <w:t>MAC地址</w:t>
            </w:r>
          </w:p>
        </w:tc>
        <w:tc>
          <w:tcPr>
            <w:tcW w:w="6854" w:type="dxa"/>
          </w:tcPr>
          <w:p w14:paraId="04DEB19B" w14:textId="77777777" w:rsidR="00A052DC" w:rsidRDefault="009F0A60">
            <w:pPr>
              <w:rPr>
                <w:rFonts w:ascii="黑体" w:eastAsia="黑体" w:hAnsi="黑体"/>
                <w:sz w:val="20"/>
                <w:szCs w:val="20"/>
              </w:rPr>
            </w:pPr>
            <w:r>
              <w:rPr>
                <w:rFonts w:ascii="黑体" w:eastAsia="黑体" w:hAnsi="黑体" w:hint="eastAsia"/>
                <w:sz w:val="20"/>
                <w:szCs w:val="20"/>
              </w:rPr>
              <w:t>境内转出发起方使用设备的MAC地址。</w:t>
            </w:r>
          </w:p>
        </w:tc>
      </w:tr>
    </w:tbl>
    <w:p w14:paraId="16F4A24E" w14:textId="77777777" w:rsidR="00A052DC" w:rsidRDefault="009F0A60">
      <w:pPr>
        <w:pStyle w:val="4"/>
        <w:numPr>
          <w:ilvl w:val="3"/>
          <w:numId w:val="1"/>
        </w:numPr>
        <w:jc w:val="left"/>
      </w:pPr>
      <w:r>
        <w:rPr>
          <w:rFonts w:hint="eastAsia"/>
        </w:rPr>
        <w:t>数据格式</w:t>
      </w:r>
    </w:p>
    <w:p w14:paraId="42035770" w14:textId="77777777" w:rsidR="00A052DC" w:rsidRDefault="009F0A60">
      <w:r>
        <w:t>&lt;REC&gt;</w:t>
      </w:r>
    </w:p>
    <w:p w14:paraId="153E3A02" w14:textId="77777777" w:rsidR="00A052DC" w:rsidRDefault="009F0A60">
      <w:r>
        <w:t>&lt;ACTIONTYPE&gt;</w:t>
      </w:r>
      <w:r>
        <w:rPr>
          <w:rFonts w:hint="eastAsia"/>
        </w:rPr>
        <w:t>操作类型</w:t>
      </w:r>
      <w:r>
        <w:t>&lt;/ACTIONTYPE&gt;</w:t>
      </w:r>
    </w:p>
    <w:p w14:paraId="0F441BCC" w14:textId="77777777" w:rsidR="00A052DC" w:rsidRDefault="009F0A60">
      <w:r>
        <w:t>&lt;ACTIONDESC&gt;</w:t>
      </w:r>
      <w:r>
        <w:rPr>
          <w:rFonts w:hint="eastAsia"/>
        </w:rPr>
        <w:t>修改</w:t>
      </w:r>
      <w:r>
        <w:t>/</w:t>
      </w:r>
      <w:r>
        <w:rPr>
          <w:rFonts w:hint="eastAsia"/>
        </w:rPr>
        <w:t>删除原因</w:t>
      </w:r>
      <w:r>
        <w:t>&lt;/ACTIONDESC&gt;</w:t>
      </w:r>
    </w:p>
    <w:p w14:paraId="42EB1602" w14:textId="77777777" w:rsidR="00A052DC" w:rsidRDefault="009F0A60">
      <w:r>
        <w:t>&lt;RPTNO&gt;</w:t>
      </w:r>
      <w:r>
        <w:rPr>
          <w:rFonts w:hint="eastAsia"/>
        </w:rPr>
        <w:t>申报号码</w:t>
      </w:r>
      <w:r>
        <w:t>&lt;/RPTNO&gt;</w:t>
      </w:r>
    </w:p>
    <w:p w14:paraId="4FB82DB5" w14:textId="77777777" w:rsidR="00A052DC" w:rsidRDefault="009F0A60">
      <w:r>
        <w:rPr>
          <w:rFonts w:hint="eastAsia"/>
        </w:rPr>
        <w:t>&lt;BUSCODE&gt;</w:t>
      </w:r>
      <w:r>
        <w:rPr>
          <w:rFonts w:hint="eastAsia"/>
        </w:rPr>
        <w:t>银行业务参号</w:t>
      </w:r>
      <w:r>
        <w:rPr>
          <w:rFonts w:hint="eastAsia"/>
        </w:rPr>
        <w:t>&lt;/BUSCODE&gt;</w:t>
      </w:r>
    </w:p>
    <w:p w14:paraId="67BE5091" w14:textId="77777777" w:rsidR="00A052DC" w:rsidRDefault="009F0A60">
      <w:r>
        <w:t>&lt;TYPE&gt;</w:t>
      </w:r>
      <w:r>
        <w:rPr>
          <w:rFonts w:hint="eastAsia"/>
        </w:rPr>
        <w:t>业务类型</w:t>
      </w:r>
      <w:r>
        <w:t>&lt;/TYPE&gt;</w:t>
      </w:r>
      <w:r>
        <w:tab/>
      </w:r>
    </w:p>
    <w:p w14:paraId="0B25C663" w14:textId="77777777" w:rsidR="00A052DC" w:rsidRDefault="009F0A60">
      <w:r>
        <w:rPr>
          <w:rFonts w:hint="eastAsia"/>
        </w:rPr>
        <w:t>&lt;</w:t>
      </w:r>
      <w:r>
        <w:t xml:space="preserve"> CUSTTYPE</w:t>
      </w:r>
      <w:r>
        <w:rPr>
          <w:rFonts w:hint="eastAsia"/>
        </w:rPr>
        <w:t>&gt;</w:t>
      </w:r>
      <w:r>
        <w:rPr>
          <w:rFonts w:hint="eastAsia"/>
        </w:rPr>
        <w:t>开户类型</w:t>
      </w:r>
      <w:r>
        <w:rPr>
          <w:rFonts w:hint="eastAsia"/>
        </w:rPr>
        <w:t>&lt;/</w:t>
      </w:r>
      <w:r>
        <w:t xml:space="preserve"> CUSTTYPE</w:t>
      </w:r>
      <w:r>
        <w:rPr>
          <w:rFonts w:hint="eastAsia"/>
        </w:rPr>
        <w:t>&gt;</w:t>
      </w:r>
    </w:p>
    <w:p w14:paraId="4338732B" w14:textId="77777777" w:rsidR="00A052DC" w:rsidRDefault="009F0A60">
      <w:r>
        <w:t>&lt;CUSTNM&gt;</w:t>
      </w:r>
      <w:r>
        <w:rPr>
          <w:rFonts w:hint="eastAsia"/>
        </w:rPr>
        <w:t>开户主体名称</w:t>
      </w:r>
      <w:r>
        <w:t>&lt;/CUSTNM&gt;</w:t>
      </w:r>
    </w:p>
    <w:p w14:paraId="67A72318" w14:textId="77777777" w:rsidR="00A052DC" w:rsidRDefault="009F0A60">
      <w:r>
        <w:t>&lt;CUSTCOD&gt;</w:t>
      </w:r>
      <w:r>
        <w:rPr>
          <w:rFonts w:hint="eastAsia"/>
        </w:rPr>
        <w:t>开户主体代码</w:t>
      </w:r>
      <w:r>
        <w:t>&lt;/CUSTCOD&gt;</w:t>
      </w:r>
    </w:p>
    <w:p w14:paraId="11FA2DD5" w14:textId="77777777" w:rsidR="00A052DC" w:rsidRDefault="009F0A60">
      <w:r>
        <w:t>&lt;ACCTNO&gt;</w:t>
      </w:r>
      <w:r>
        <w:rPr>
          <w:rFonts w:hint="eastAsia"/>
        </w:rPr>
        <w:t>账号</w:t>
      </w:r>
      <w:r>
        <w:t>&lt;/ACCTNO&gt;</w:t>
      </w:r>
    </w:p>
    <w:p w14:paraId="45BCFD40" w14:textId="77777777" w:rsidR="00A052DC" w:rsidRDefault="009F0A60">
      <w:r>
        <w:t>&lt;</w:t>
      </w:r>
      <w:r>
        <w:rPr>
          <w:rFonts w:hint="eastAsia"/>
        </w:rPr>
        <w:t>CUST</w:t>
      </w:r>
      <w:r>
        <w:t>CONTACT&gt;</w:t>
      </w:r>
      <w:r>
        <w:rPr>
          <w:rFonts w:hint="eastAsia"/>
        </w:rPr>
        <w:t>联系人姓名</w:t>
      </w:r>
      <w:r>
        <w:t>&lt;/</w:t>
      </w:r>
      <w:r>
        <w:rPr>
          <w:rFonts w:hint="eastAsia"/>
        </w:rPr>
        <w:t>CUST</w:t>
      </w:r>
      <w:r>
        <w:t>CONTACT&gt;</w:t>
      </w:r>
    </w:p>
    <w:p w14:paraId="7E4C54EA" w14:textId="77777777" w:rsidR="00A052DC" w:rsidRDefault="009F0A60">
      <w:r>
        <w:t>&lt;</w:t>
      </w:r>
      <w:r>
        <w:rPr>
          <w:rFonts w:hint="eastAsia"/>
        </w:rPr>
        <w:t>CUST</w:t>
      </w:r>
      <w:r>
        <w:t>TEL&gt;</w:t>
      </w:r>
      <w:r>
        <w:rPr>
          <w:rFonts w:hint="eastAsia"/>
        </w:rPr>
        <w:t>联系电话</w:t>
      </w:r>
      <w:r>
        <w:t>&lt;/</w:t>
      </w:r>
      <w:r>
        <w:rPr>
          <w:rFonts w:hint="eastAsia"/>
        </w:rPr>
        <w:t>CUST</w:t>
      </w:r>
      <w:r>
        <w:t>TEL&gt;</w:t>
      </w:r>
    </w:p>
    <w:p w14:paraId="51629EF3" w14:textId="77777777" w:rsidR="00A052DC" w:rsidRDefault="009F0A60">
      <w:r>
        <w:t>&lt;DEALTIME&gt;</w:t>
      </w:r>
      <w:r>
        <w:rPr>
          <w:rFonts w:hint="eastAsia"/>
        </w:rPr>
        <w:t>交易时间</w:t>
      </w:r>
      <w:r>
        <w:t>&lt;</w:t>
      </w:r>
      <w:r>
        <w:rPr>
          <w:rFonts w:hint="eastAsia"/>
        </w:rPr>
        <w:t>/</w:t>
      </w:r>
      <w:r>
        <w:t>DEALTIME&gt;</w:t>
      </w:r>
    </w:p>
    <w:p w14:paraId="4F78B98D" w14:textId="77777777" w:rsidR="00A052DC" w:rsidRDefault="009F0A60">
      <w:r>
        <w:t>&lt;TXREM&gt;</w:t>
      </w:r>
      <w:r>
        <w:rPr>
          <w:rFonts w:hint="eastAsia"/>
        </w:rPr>
        <w:t>交易附言</w:t>
      </w:r>
      <w:r>
        <w:t>&lt;/TXREM&gt;</w:t>
      </w:r>
    </w:p>
    <w:p w14:paraId="657337ED" w14:textId="77777777" w:rsidR="00A052DC" w:rsidRDefault="009F0A60">
      <w:r>
        <w:t>&lt;TXREM_2&gt;</w:t>
      </w:r>
      <w:r>
        <w:rPr>
          <w:rFonts w:hint="eastAsia"/>
        </w:rPr>
        <w:t>摘要说明</w:t>
      </w:r>
      <w:r>
        <w:t>&lt;/TXREM_2&gt;</w:t>
      </w:r>
    </w:p>
    <w:p w14:paraId="103579E9" w14:textId="77777777" w:rsidR="00A052DC" w:rsidRDefault="009F0A60">
      <w:r>
        <w:t>&lt;DEAL_AMOUNT&gt;</w:t>
      </w:r>
      <w:r>
        <w:rPr>
          <w:rFonts w:hint="eastAsia"/>
        </w:rPr>
        <w:t>交易金额</w:t>
      </w:r>
      <w:r>
        <w:t>&lt;/DEAL_AMOUNT&gt;</w:t>
      </w:r>
    </w:p>
    <w:p w14:paraId="6E9287F4" w14:textId="77777777" w:rsidR="00A052DC" w:rsidRDefault="009F0A60">
      <w:r>
        <w:t>&lt;DEAL_BRANCH&gt;</w:t>
      </w:r>
      <w:r>
        <w:rPr>
          <w:rFonts w:hint="eastAsia"/>
        </w:rPr>
        <w:t>交易网点名称</w:t>
      </w:r>
      <w:r>
        <w:t>&lt;/DEAL_BRANCH&gt;</w:t>
      </w:r>
    </w:p>
    <w:p w14:paraId="06769135" w14:textId="77777777" w:rsidR="00A052DC" w:rsidRDefault="009F0A60">
      <w:r>
        <w:t>&lt;OPPUSER&gt;</w:t>
      </w:r>
      <w:r>
        <w:rPr>
          <w:rFonts w:hint="eastAsia"/>
        </w:rPr>
        <w:t>交易对手名称</w:t>
      </w:r>
      <w:r>
        <w:t>&lt;/OPPUSER&gt;</w:t>
      </w:r>
    </w:p>
    <w:p w14:paraId="0DAD5195" w14:textId="77777777" w:rsidR="00A052DC" w:rsidRDefault="009F0A60">
      <w:r>
        <w:t>&lt;OPPACCTNO&gt;</w:t>
      </w:r>
      <w:r>
        <w:rPr>
          <w:rFonts w:hint="eastAsia"/>
        </w:rPr>
        <w:t>交易对手账号</w:t>
      </w:r>
      <w:r>
        <w:t>&lt;/OPPACCTNO&gt;</w:t>
      </w:r>
    </w:p>
    <w:p w14:paraId="4D1F84DD" w14:textId="77777777" w:rsidR="00A052DC" w:rsidRDefault="009F0A60">
      <w:r>
        <w:t>&lt;BRANCH_NAME_2&gt;</w:t>
      </w:r>
      <w:r>
        <w:rPr>
          <w:rFonts w:hint="eastAsia"/>
        </w:rPr>
        <w:t>交易对手开户银行名称</w:t>
      </w:r>
      <w:r>
        <w:t>&lt;/BRANCH_NAME_2&gt;</w:t>
      </w:r>
    </w:p>
    <w:p w14:paraId="4D38F3EB" w14:textId="77777777" w:rsidR="00A052DC" w:rsidRDefault="009F0A60">
      <w:r>
        <w:t>&lt;IP&gt;IP</w:t>
      </w:r>
      <w:r>
        <w:rPr>
          <w:rFonts w:hint="eastAsia"/>
        </w:rPr>
        <w:t>地址</w:t>
      </w:r>
      <w:r>
        <w:t>&lt;/IP&gt;</w:t>
      </w:r>
    </w:p>
    <w:p w14:paraId="1CF24BD9" w14:textId="77777777" w:rsidR="00A052DC" w:rsidRDefault="009F0A60">
      <w:r>
        <w:t>&lt;MAC&gt;MAC</w:t>
      </w:r>
      <w:r>
        <w:rPr>
          <w:rFonts w:hint="eastAsia"/>
        </w:rPr>
        <w:t>地址</w:t>
      </w:r>
      <w:r>
        <w:t>&lt;/MAC&gt;</w:t>
      </w:r>
    </w:p>
    <w:p w14:paraId="165496A1" w14:textId="77777777" w:rsidR="00A052DC" w:rsidRDefault="009F0A60">
      <w:r>
        <w:t>&lt;REMARKS&gt;</w:t>
      </w:r>
      <w:r>
        <w:rPr>
          <w:rFonts w:hint="eastAsia"/>
        </w:rPr>
        <w:t>备注</w:t>
      </w:r>
      <w:r>
        <w:t>&lt;/REMARKS&gt;</w:t>
      </w:r>
    </w:p>
    <w:p w14:paraId="46236D50" w14:textId="77777777" w:rsidR="00A052DC" w:rsidRDefault="009F0A60">
      <w:r>
        <w:t>&lt;/REC&gt;</w:t>
      </w:r>
    </w:p>
    <w:p w14:paraId="58257332" w14:textId="77777777" w:rsidR="00A052DC" w:rsidRDefault="009F0A60" w:rsidP="0020251D">
      <w:pPr>
        <w:pStyle w:val="4"/>
        <w:numPr>
          <w:ilvl w:val="3"/>
          <w:numId w:val="1"/>
        </w:numPr>
        <w:jc w:val="left"/>
      </w:pPr>
      <w:r>
        <w:t>数据字典</w:t>
      </w:r>
    </w:p>
    <w:tbl>
      <w:tblPr>
        <w:tblW w:w="8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6"/>
        <w:gridCol w:w="1823"/>
        <w:gridCol w:w="1692"/>
        <w:gridCol w:w="3264"/>
      </w:tblGrid>
      <w:tr w:rsidR="00A052DC" w14:paraId="1DC7B1D2" w14:textId="77777777">
        <w:trPr>
          <w:cantSplit/>
          <w:trHeight w:val="300"/>
          <w:tblHeader/>
          <w:jc w:val="center"/>
        </w:trPr>
        <w:tc>
          <w:tcPr>
            <w:tcW w:w="1716" w:type="dxa"/>
            <w:shd w:val="clear" w:color="000000" w:fill="BFBFBF"/>
            <w:vAlign w:val="center"/>
          </w:tcPr>
          <w:p w14:paraId="2FC13CE7" w14:textId="77777777" w:rsidR="00A052DC" w:rsidRDefault="009F0A60">
            <w:pPr>
              <w:pStyle w:val="B1"/>
            </w:pPr>
            <w:r>
              <w:rPr>
                <w:rFonts w:hint="eastAsia"/>
              </w:rPr>
              <w:t>字段</w:t>
            </w:r>
          </w:p>
        </w:tc>
        <w:tc>
          <w:tcPr>
            <w:tcW w:w="1823" w:type="dxa"/>
            <w:shd w:val="clear" w:color="000000" w:fill="BFBFBF"/>
            <w:vAlign w:val="center"/>
          </w:tcPr>
          <w:p w14:paraId="234A2770" w14:textId="77777777" w:rsidR="00A052DC" w:rsidRDefault="009F0A60">
            <w:pPr>
              <w:pStyle w:val="B1"/>
              <w:rPr>
                <w:color w:val="000000"/>
              </w:rPr>
            </w:pPr>
            <w:r>
              <w:rPr>
                <w:rFonts w:hint="eastAsia"/>
                <w:color w:val="000000"/>
              </w:rPr>
              <w:t>内容</w:t>
            </w:r>
          </w:p>
        </w:tc>
        <w:tc>
          <w:tcPr>
            <w:tcW w:w="1692" w:type="dxa"/>
            <w:shd w:val="clear" w:color="000000" w:fill="BFBFBF"/>
            <w:vAlign w:val="center"/>
          </w:tcPr>
          <w:p w14:paraId="6ED7AC08" w14:textId="77777777" w:rsidR="00A052DC" w:rsidRDefault="009F0A60">
            <w:pPr>
              <w:pStyle w:val="B1"/>
              <w:rPr>
                <w:color w:val="000000"/>
              </w:rPr>
            </w:pPr>
            <w:r>
              <w:rPr>
                <w:rFonts w:hint="eastAsia"/>
                <w:color w:val="000000"/>
              </w:rPr>
              <w:t>类型（长度）</w:t>
            </w:r>
          </w:p>
        </w:tc>
        <w:tc>
          <w:tcPr>
            <w:tcW w:w="3264" w:type="dxa"/>
            <w:shd w:val="clear" w:color="000000" w:fill="BFBFBF"/>
            <w:vAlign w:val="center"/>
          </w:tcPr>
          <w:p w14:paraId="62EF9F86" w14:textId="77777777" w:rsidR="00A052DC" w:rsidRDefault="009F0A60">
            <w:pPr>
              <w:pStyle w:val="B1"/>
              <w:rPr>
                <w:color w:val="000000"/>
              </w:rPr>
            </w:pPr>
            <w:r>
              <w:rPr>
                <w:rFonts w:hint="eastAsia"/>
                <w:color w:val="000000"/>
              </w:rPr>
              <w:t>校验</w:t>
            </w:r>
          </w:p>
        </w:tc>
      </w:tr>
      <w:tr w:rsidR="00A052DC" w14:paraId="5A1A3842" w14:textId="77777777">
        <w:trPr>
          <w:cantSplit/>
          <w:trHeight w:val="300"/>
          <w:jc w:val="center"/>
        </w:trPr>
        <w:tc>
          <w:tcPr>
            <w:tcW w:w="1716" w:type="dxa"/>
            <w:shd w:val="clear" w:color="000000" w:fill="FFFFFF"/>
          </w:tcPr>
          <w:p w14:paraId="10FD8C79" w14:textId="77777777" w:rsidR="00A052DC" w:rsidRDefault="009F0A60">
            <w:pPr>
              <w:pStyle w:val="B"/>
              <w:rPr>
                <w:rFonts w:cs="宋体"/>
                <w:color w:val="000000"/>
                <w:szCs w:val="20"/>
              </w:rPr>
            </w:pPr>
            <w:r>
              <w:rPr>
                <w:szCs w:val="20"/>
              </w:rPr>
              <w:t>ACTIONTYPE</w:t>
            </w:r>
          </w:p>
        </w:tc>
        <w:tc>
          <w:tcPr>
            <w:tcW w:w="1823" w:type="dxa"/>
            <w:shd w:val="clear" w:color="000000" w:fill="FFFFFF"/>
          </w:tcPr>
          <w:p w14:paraId="6A02C6DC" w14:textId="77777777" w:rsidR="00A052DC" w:rsidRDefault="009F0A60">
            <w:pPr>
              <w:pStyle w:val="B"/>
              <w:rPr>
                <w:rFonts w:cs="宋体"/>
                <w:color w:val="000000"/>
                <w:szCs w:val="20"/>
              </w:rPr>
            </w:pPr>
            <w:r>
              <w:rPr>
                <w:rFonts w:hint="eastAsia"/>
                <w:szCs w:val="20"/>
              </w:rPr>
              <w:t>操作类型</w:t>
            </w:r>
          </w:p>
        </w:tc>
        <w:tc>
          <w:tcPr>
            <w:tcW w:w="1692" w:type="dxa"/>
            <w:shd w:val="clear" w:color="000000" w:fill="FFFFFF"/>
          </w:tcPr>
          <w:p w14:paraId="0793DC03" w14:textId="77777777" w:rsidR="00A052DC" w:rsidRDefault="009F0A60">
            <w:pPr>
              <w:pStyle w:val="B"/>
              <w:rPr>
                <w:rFonts w:cs="宋体"/>
                <w:color w:val="000000"/>
                <w:szCs w:val="20"/>
              </w:rPr>
            </w:pPr>
            <w:r>
              <w:rPr>
                <w:rFonts w:hint="eastAsia"/>
                <w:szCs w:val="20"/>
              </w:rPr>
              <w:t>字符型，</w:t>
            </w:r>
            <w:r>
              <w:rPr>
                <w:szCs w:val="20"/>
              </w:rPr>
              <w:t>1</w:t>
            </w:r>
          </w:p>
        </w:tc>
        <w:tc>
          <w:tcPr>
            <w:tcW w:w="3264" w:type="dxa"/>
            <w:shd w:val="clear" w:color="000000" w:fill="FFFFFF"/>
          </w:tcPr>
          <w:p w14:paraId="4E6C1CC1" w14:textId="77777777" w:rsidR="00A052DC" w:rsidRDefault="009F0A60">
            <w:pPr>
              <w:pStyle w:val="B"/>
              <w:rPr>
                <w:szCs w:val="20"/>
              </w:rPr>
            </w:pPr>
            <w:r>
              <w:rPr>
                <w:szCs w:val="20"/>
              </w:rPr>
              <w:t>A</w:t>
            </w:r>
            <w:r w:rsidR="00AE4602">
              <w:rPr>
                <w:szCs w:val="20"/>
              </w:rPr>
              <w:t>-</w:t>
            </w:r>
            <w:r>
              <w:rPr>
                <w:szCs w:val="20"/>
              </w:rPr>
              <w:t>新建</w:t>
            </w:r>
          </w:p>
          <w:p w14:paraId="249804C3" w14:textId="77777777" w:rsidR="00A052DC" w:rsidRDefault="009F0A60">
            <w:pPr>
              <w:pStyle w:val="B"/>
              <w:rPr>
                <w:szCs w:val="20"/>
              </w:rPr>
            </w:pPr>
            <w:r>
              <w:rPr>
                <w:szCs w:val="20"/>
              </w:rPr>
              <w:t>C</w:t>
            </w:r>
            <w:r w:rsidR="00AE4602">
              <w:rPr>
                <w:szCs w:val="20"/>
              </w:rPr>
              <w:t>-</w:t>
            </w:r>
            <w:r>
              <w:rPr>
                <w:szCs w:val="20"/>
              </w:rPr>
              <w:t>修改</w:t>
            </w:r>
          </w:p>
          <w:p w14:paraId="76FB6ED9" w14:textId="77777777" w:rsidR="00A052DC" w:rsidRDefault="009F0A60">
            <w:pPr>
              <w:pStyle w:val="B"/>
              <w:rPr>
                <w:szCs w:val="20"/>
              </w:rPr>
            </w:pPr>
            <w:r>
              <w:rPr>
                <w:szCs w:val="20"/>
              </w:rPr>
              <w:t>D</w:t>
            </w:r>
            <w:r w:rsidR="00AE4602">
              <w:rPr>
                <w:szCs w:val="20"/>
              </w:rPr>
              <w:t>-</w:t>
            </w:r>
            <w:r>
              <w:rPr>
                <w:szCs w:val="20"/>
              </w:rPr>
              <w:t>删除</w:t>
            </w:r>
          </w:p>
          <w:p w14:paraId="26D87C03" w14:textId="77777777" w:rsidR="00A052DC" w:rsidRDefault="009F0A60">
            <w:pPr>
              <w:pStyle w:val="B"/>
              <w:rPr>
                <w:rFonts w:cs="宋体"/>
                <w:color w:val="000000"/>
                <w:szCs w:val="20"/>
              </w:rPr>
            </w:pPr>
            <w:r>
              <w:rPr>
                <w:szCs w:val="20"/>
              </w:rPr>
              <w:t>R-申报无误（银行反馈），预留，暂不用</w:t>
            </w:r>
          </w:p>
        </w:tc>
      </w:tr>
      <w:tr w:rsidR="00A052DC" w14:paraId="32A91E22" w14:textId="77777777">
        <w:trPr>
          <w:cantSplit/>
          <w:trHeight w:val="300"/>
          <w:jc w:val="center"/>
        </w:trPr>
        <w:tc>
          <w:tcPr>
            <w:tcW w:w="1716" w:type="dxa"/>
            <w:shd w:val="clear" w:color="000000" w:fill="FFFFFF"/>
          </w:tcPr>
          <w:p w14:paraId="3AED2C85" w14:textId="77777777" w:rsidR="00A052DC" w:rsidRDefault="009F0A60">
            <w:pPr>
              <w:pStyle w:val="B"/>
              <w:rPr>
                <w:rFonts w:cs="宋体"/>
                <w:color w:val="000000"/>
                <w:szCs w:val="20"/>
              </w:rPr>
            </w:pPr>
            <w:r>
              <w:rPr>
                <w:szCs w:val="20"/>
              </w:rPr>
              <w:t>ACTIONDESC</w:t>
            </w:r>
          </w:p>
        </w:tc>
        <w:tc>
          <w:tcPr>
            <w:tcW w:w="1823" w:type="dxa"/>
            <w:shd w:val="clear" w:color="000000" w:fill="FFFFFF"/>
          </w:tcPr>
          <w:p w14:paraId="37D1BD6A" w14:textId="77777777" w:rsidR="00A052DC" w:rsidRDefault="009F0A60">
            <w:pPr>
              <w:pStyle w:val="B"/>
              <w:rPr>
                <w:rFonts w:cs="宋体"/>
                <w:color w:val="000000"/>
                <w:szCs w:val="20"/>
              </w:rPr>
            </w:pPr>
            <w:r>
              <w:rPr>
                <w:rFonts w:hint="eastAsia"/>
                <w:szCs w:val="20"/>
              </w:rPr>
              <w:t>修改</w:t>
            </w:r>
            <w:r>
              <w:rPr>
                <w:szCs w:val="20"/>
              </w:rPr>
              <w:t>/删除原因</w:t>
            </w:r>
          </w:p>
        </w:tc>
        <w:tc>
          <w:tcPr>
            <w:tcW w:w="1692" w:type="dxa"/>
            <w:shd w:val="clear" w:color="000000" w:fill="FFFFFF"/>
          </w:tcPr>
          <w:p w14:paraId="045C4FD9" w14:textId="77777777" w:rsidR="00A052DC" w:rsidRDefault="009F0A60">
            <w:pPr>
              <w:pStyle w:val="B"/>
              <w:rPr>
                <w:rFonts w:cs="宋体"/>
                <w:color w:val="000000"/>
                <w:szCs w:val="20"/>
              </w:rPr>
            </w:pPr>
            <w:r>
              <w:rPr>
                <w:rFonts w:hint="eastAsia"/>
                <w:szCs w:val="20"/>
              </w:rPr>
              <w:t>变长字符型，</w:t>
            </w:r>
            <w:r>
              <w:rPr>
                <w:szCs w:val="20"/>
              </w:rPr>
              <w:t>128</w:t>
            </w:r>
          </w:p>
        </w:tc>
        <w:tc>
          <w:tcPr>
            <w:tcW w:w="3264" w:type="dxa"/>
            <w:shd w:val="clear" w:color="000000" w:fill="FFFFFF"/>
          </w:tcPr>
          <w:p w14:paraId="646FDE1E" w14:textId="77777777" w:rsidR="00A052DC" w:rsidRDefault="009F0A60">
            <w:pPr>
              <w:pStyle w:val="B"/>
              <w:rPr>
                <w:rFonts w:cs="宋体"/>
                <w:color w:val="000000"/>
                <w:szCs w:val="20"/>
              </w:rPr>
            </w:pPr>
            <w:r>
              <w:rPr>
                <w:rFonts w:cs="宋体" w:hint="eastAsia"/>
                <w:color w:val="000000"/>
                <w:szCs w:val="20"/>
              </w:rPr>
              <w:t>如果</w:t>
            </w:r>
            <w:r>
              <w:rPr>
                <w:rFonts w:cs="宋体"/>
                <w:color w:val="000000"/>
                <w:szCs w:val="20"/>
              </w:rPr>
              <w:t>ACTIONTYPE=D，则此字段为必填字段。</w:t>
            </w:r>
          </w:p>
        </w:tc>
      </w:tr>
      <w:tr w:rsidR="00A052DC" w14:paraId="26916CB1" w14:textId="77777777">
        <w:trPr>
          <w:cantSplit/>
          <w:trHeight w:val="300"/>
          <w:jc w:val="center"/>
        </w:trPr>
        <w:tc>
          <w:tcPr>
            <w:tcW w:w="1716" w:type="dxa"/>
            <w:shd w:val="clear" w:color="000000" w:fill="FFFFFF"/>
            <w:vAlign w:val="center"/>
          </w:tcPr>
          <w:p w14:paraId="1CF5D426" w14:textId="77777777" w:rsidR="00A052DC" w:rsidRDefault="009F0A60">
            <w:pPr>
              <w:pStyle w:val="B"/>
              <w:rPr>
                <w:rFonts w:cs="宋体"/>
                <w:color w:val="000000"/>
                <w:szCs w:val="20"/>
              </w:rPr>
            </w:pPr>
            <w:r>
              <w:rPr>
                <w:rFonts w:cs="宋体"/>
                <w:color w:val="000000"/>
                <w:szCs w:val="20"/>
              </w:rPr>
              <w:t>RPTNO</w:t>
            </w:r>
          </w:p>
        </w:tc>
        <w:tc>
          <w:tcPr>
            <w:tcW w:w="1823" w:type="dxa"/>
            <w:shd w:val="clear" w:color="000000" w:fill="FFFFFF"/>
            <w:vAlign w:val="center"/>
          </w:tcPr>
          <w:p w14:paraId="1DD86875" w14:textId="77777777" w:rsidR="00A052DC" w:rsidRDefault="009F0A60">
            <w:pPr>
              <w:pStyle w:val="B"/>
              <w:rPr>
                <w:rFonts w:cs="宋体"/>
                <w:color w:val="000000"/>
                <w:szCs w:val="20"/>
              </w:rPr>
            </w:pPr>
            <w:r>
              <w:rPr>
                <w:rFonts w:cs="宋体" w:hint="eastAsia"/>
                <w:color w:val="000000"/>
                <w:szCs w:val="20"/>
              </w:rPr>
              <w:t>申报号码</w:t>
            </w:r>
          </w:p>
        </w:tc>
        <w:tc>
          <w:tcPr>
            <w:tcW w:w="1692" w:type="dxa"/>
            <w:shd w:val="clear" w:color="000000" w:fill="FFFFFF"/>
            <w:vAlign w:val="center"/>
          </w:tcPr>
          <w:p w14:paraId="122C2241" w14:textId="77777777" w:rsidR="00A052DC" w:rsidRDefault="009F0A60">
            <w:pPr>
              <w:pStyle w:val="B"/>
              <w:rPr>
                <w:rFonts w:cs="宋体"/>
                <w:color w:val="000000"/>
                <w:szCs w:val="20"/>
              </w:rPr>
            </w:pPr>
            <w:r>
              <w:rPr>
                <w:rFonts w:cs="宋体" w:hint="eastAsia"/>
                <w:color w:val="000000"/>
                <w:szCs w:val="20"/>
              </w:rPr>
              <w:t>字符型，</w:t>
            </w:r>
            <w:r>
              <w:rPr>
                <w:rFonts w:cs="宋体"/>
                <w:color w:val="000000"/>
                <w:szCs w:val="20"/>
              </w:rPr>
              <w:t>22</w:t>
            </w:r>
          </w:p>
        </w:tc>
        <w:tc>
          <w:tcPr>
            <w:tcW w:w="3264" w:type="dxa"/>
            <w:shd w:val="clear" w:color="000000" w:fill="FFFFFF"/>
            <w:vAlign w:val="center"/>
          </w:tcPr>
          <w:p w14:paraId="422AD19C" w14:textId="77777777" w:rsidR="00A052DC" w:rsidRDefault="009F0A60">
            <w:pPr>
              <w:pStyle w:val="B"/>
              <w:rPr>
                <w:szCs w:val="20"/>
              </w:rPr>
            </w:pPr>
            <w:r>
              <w:rPr>
                <w:rFonts w:cs="宋体" w:hint="eastAsia"/>
                <w:color w:val="000000"/>
                <w:szCs w:val="20"/>
              </w:rPr>
              <w:t>必填项，编码规则为：</w:t>
            </w:r>
            <w:r>
              <w:rPr>
                <w:szCs w:val="20"/>
              </w:rPr>
              <w:t>12位金融机构标识码+6位支付日期（YYMMDD）+4位银行业务流水码。</w:t>
            </w:r>
          </w:p>
          <w:p w14:paraId="7FB817C6" w14:textId="77777777" w:rsidR="00A052DC" w:rsidRDefault="009F0A60">
            <w:pPr>
              <w:pStyle w:val="B"/>
              <w:rPr>
                <w:szCs w:val="20"/>
              </w:rPr>
            </w:pPr>
            <w:r>
              <w:rPr>
                <w:rFonts w:hint="eastAsia"/>
                <w:szCs w:val="20"/>
              </w:rPr>
              <w:t>交易日期不能大于系统日期。</w:t>
            </w:r>
          </w:p>
          <w:p w14:paraId="5474F96B" w14:textId="77777777" w:rsidR="00A052DC" w:rsidRDefault="009F0A60">
            <w:pPr>
              <w:pStyle w:val="B"/>
              <w:rPr>
                <w:rFonts w:cs="宋体"/>
                <w:color w:val="000000"/>
                <w:szCs w:val="20"/>
              </w:rPr>
            </w:pPr>
            <w:r>
              <w:rPr>
                <w:rFonts w:hint="eastAsia"/>
                <w:szCs w:val="20"/>
              </w:rPr>
              <w:t>银行业务流水码允许使用半角大写英文字母（</w:t>
            </w:r>
            <w:r>
              <w:rPr>
                <w:szCs w:val="20"/>
              </w:rPr>
              <w:t>A-Z）和数字（0-9）</w:t>
            </w:r>
            <w:r>
              <w:rPr>
                <w:rFonts w:hint="eastAsia"/>
                <w:szCs w:val="20"/>
              </w:rPr>
              <w:t>。</w:t>
            </w:r>
          </w:p>
        </w:tc>
      </w:tr>
      <w:tr w:rsidR="00A052DC" w14:paraId="51E0FE4D" w14:textId="77777777">
        <w:trPr>
          <w:cantSplit/>
          <w:trHeight w:val="300"/>
          <w:jc w:val="center"/>
        </w:trPr>
        <w:tc>
          <w:tcPr>
            <w:tcW w:w="1716" w:type="dxa"/>
            <w:shd w:val="clear" w:color="000000" w:fill="FFFFFF"/>
            <w:vAlign w:val="center"/>
          </w:tcPr>
          <w:p w14:paraId="34038E94" w14:textId="77777777" w:rsidR="00A052DC" w:rsidRDefault="009F0A60">
            <w:pPr>
              <w:pStyle w:val="B"/>
              <w:rPr>
                <w:rFonts w:cs="宋体"/>
                <w:color w:val="000000"/>
                <w:szCs w:val="20"/>
              </w:rPr>
            </w:pPr>
            <w:r>
              <w:rPr>
                <w:rFonts w:cs="宋体"/>
                <w:color w:val="000000"/>
                <w:szCs w:val="20"/>
              </w:rPr>
              <w:t>BUSCODE</w:t>
            </w:r>
          </w:p>
        </w:tc>
        <w:tc>
          <w:tcPr>
            <w:tcW w:w="1823" w:type="dxa"/>
            <w:shd w:val="clear" w:color="000000" w:fill="FFFFFF"/>
            <w:vAlign w:val="center"/>
          </w:tcPr>
          <w:p w14:paraId="07819A29" w14:textId="77777777" w:rsidR="00A052DC" w:rsidRDefault="009F0A60">
            <w:pPr>
              <w:pStyle w:val="B"/>
              <w:rPr>
                <w:rFonts w:cs="宋体"/>
                <w:color w:val="000000"/>
                <w:szCs w:val="20"/>
              </w:rPr>
            </w:pPr>
            <w:r>
              <w:rPr>
                <w:rFonts w:cs="宋体" w:hint="eastAsia"/>
                <w:color w:val="000000"/>
                <w:szCs w:val="20"/>
              </w:rPr>
              <w:t>银行业务参号</w:t>
            </w:r>
          </w:p>
        </w:tc>
        <w:tc>
          <w:tcPr>
            <w:tcW w:w="1692" w:type="dxa"/>
            <w:shd w:val="clear" w:color="000000" w:fill="FFFFFF"/>
            <w:vAlign w:val="center"/>
          </w:tcPr>
          <w:p w14:paraId="1203DAEF" w14:textId="77777777" w:rsidR="00A052DC" w:rsidRDefault="009F0A60">
            <w:pPr>
              <w:pStyle w:val="B"/>
              <w:rPr>
                <w:rFonts w:cs="宋体"/>
                <w:color w:val="000000"/>
                <w:szCs w:val="20"/>
              </w:rPr>
            </w:pPr>
            <w:r>
              <w:rPr>
                <w:rFonts w:cs="宋体" w:hint="eastAsia"/>
                <w:color w:val="000000"/>
                <w:szCs w:val="20"/>
              </w:rPr>
              <w:t>变长字符型，</w:t>
            </w:r>
            <w:r>
              <w:rPr>
                <w:rFonts w:cs="宋体"/>
                <w:color w:val="000000"/>
                <w:szCs w:val="20"/>
              </w:rPr>
              <w:t>32</w:t>
            </w:r>
          </w:p>
        </w:tc>
        <w:tc>
          <w:tcPr>
            <w:tcW w:w="3264" w:type="dxa"/>
            <w:shd w:val="clear" w:color="000000" w:fill="FFFFFF"/>
            <w:vAlign w:val="center"/>
          </w:tcPr>
          <w:p w14:paraId="38F2B39A" w14:textId="77777777" w:rsidR="00A052DC" w:rsidRDefault="009F0A60">
            <w:pPr>
              <w:pStyle w:val="B"/>
              <w:rPr>
                <w:rFonts w:cs="宋体"/>
                <w:color w:val="000000"/>
                <w:szCs w:val="20"/>
              </w:rPr>
            </w:pPr>
            <w:r>
              <w:rPr>
                <w:rFonts w:cs="宋体" w:hint="eastAsia"/>
                <w:color w:val="000000"/>
                <w:szCs w:val="20"/>
              </w:rPr>
              <w:t>必填项，</w:t>
            </w:r>
            <w:r>
              <w:rPr>
                <w:rFonts w:hint="eastAsia"/>
                <w:szCs w:val="20"/>
              </w:rPr>
              <w:t>指该笔业务在银行的业务参号。</w:t>
            </w:r>
          </w:p>
        </w:tc>
      </w:tr>
      <w:tr w:rsidR="00A052DC" w14:paraId="40C7CC39" w14:textId="77777777">
        <w:trPr>
          <w:cantSplit/>
          <w:trHeight w:val="570"/>
          <w:jc w:val="center"/>
        </w:trPr>
        <w:tc>
          <w:tcPr>
            <w:tcW w:w="1716" w:type="dxa"/>
            <w:shd w:val="clear" w:color="000000" w:fill="FFFFFF"/>
            <w:vAlign w:val="center"/>
          </w:tcPr>
          <w:p w14:paraId="3F88A444" w14:textId="77777777" w:rsidR="00A052DC" w:rsidRDefault="009F0A60">
            <w:pPr>
              <w:pStyle w:val="B"/>
              <w:rPr>
                <w:rFonts w:cs="宋体"/>
                <w:color w:val="000000"/>
                <w:szCs w:val="20"/>
              </w:rPr>
            </w:pPr>
            <w:r>
              <w:rPr>
                <w:rFonts w:cs="宋体"/>
                <w:color w:val="000000"/>
                <w:szCs w:val="20"/>
              </w:rPr>
              <w:t>TYPE</w:t>
            </w:r>
          </w:p>
        </w:tc>
        <w:tc>
          <w:tcPr>
            <w:tcW w:w="1823" w:type="dxa"/>
            <w:shd w:val="clear" w:color="000000" w:fill="FFFFFF"/>
            <w:vAlign w:val="center"/>
          </w:tcPr>
          <w:p w14:paraId="7812ABCD" w14:textId="77777777" w:rsidR="00A052DC" w:rsidRDefault="009F0A60">
            <w:pPr>
              <w:pStyle w:val="B"/>
              <w:rPr>
                <w:rFonts w:cs="宋体"/>
                <w:color w:val="000000"/>
                <w:szCs w:val="20"/>
              </w:rPr>
            </w:pPr>
            <w:r>
              <w:rPr>
                <w:rFonts w:cs="宋体" w:hint="eastAsia"/>
                <w:color w:val="000000"/>
                <w:szCs w:val="20"/>
              </w:rPr>
              <w:t>业务类型</w:t>
            </w:r>
          </w:p>
        </w:tc>
        <w:tc>
          <w:tcPr>
            <w:tcW w:w="1692" w:type="dxa"/>
            <w:shd w:val="clear" w:color="000000" w:fill="FFFFFF"/>
            <w:vAlign w:val="center"/>
          </w:tcPr>
          <w:p w14:paraId="7F55D546" w14:textId="77777777" w:rsidR="00A052DC" w:rsidRDefault="009F0A60">
            <w:pPr>
              <w:pStyle w:val="B"/>
              <w:rPr>
                <w:rFonts w:cs="宋体"/>
                <w:color w:val="000000"/>
                <w:szCs w:val="20"/>
              </w:rPr>
            </w:pPr>
            <w:r>
              <w:rPr>
                <w:rFonts w:cs="宋体" w:hint="eastAsia"/>
                <w:color w:val="000000"/>
                <w:szCs w:val="20"/>
              </w:rPr>
              <w:t>字符型，</w:t>
            </w:r>
            <w:r>
              <w:rPr>
                <w:rFonts w:cs="宋体"/>
                <w:color w:val="000000"/>
                <w:szCs w:val="20"/>
              </w:rPr>
              <w:t>1</w:t>
            </w:r>
          </w:p>
        </w:tc>
        <w:tc>
          <w:tcPr>
            <w:tcW w:w="3264" w:type="dxa"/>
            <w:shd w:val="clear" w:color="000000" w:fill="FFFFFF"/>
            <w:vAlign w:val="center"/>
          </w:tcPr>
          <w:p w14:paraId="1AE3DDBC" w14:textId="77777777" w:rsidR="00A052DC" w:rsidRDefault="009F0A60">
            <w:pPr>
              <w:pStyle w:val="B"/>
              <w:rPr>
                <w:rFonts w:cs="宋体"/>
                <w:color w:val="000000"/>
                <w:szCs w:val="20"/>
              </w:rPr>
            </w:pPr>
            <w:r>
              <w:rPr>
                <w:rFonts w:cs="宋体" w:hint="eastAsia"/>
                <w:color w:val="000000"/>
                <w:szCs w:val="20"/>
              </w:rPr>
              <w:t>必填项</w:t>
            </w:r>
            <w:r>
              <w:rPr>
                <w:rFonts w:cs="宋体"/>
                <w:color w:val="000000"/>
                <w:szCs w:val="20"/>
              </w:rPr>
              <w:t>,2选1：</w:t>
            </w:r>
          </w:p>
          <w:p w14:paraId="32BE4027" w14:textId="77777777" w:rsidR="00A052DC" w:rsidRDefault="009F0A60">
            <w:pPr>
              <w:pStyle w:val="B"/>
              <w:rPr>
                <w:rFonts w:cs="宋体"/>
                <w:color w:val="000000"/>
                <w:szCs w:val="20"/>
              </w:rPr>
            </w:pPr>
            <w:r>
              <w:rPr>
                <w:rFonts w:cs="宋体"/>
                <w:color w:val="000000"/>
                <w:szCs w:val="20"/>
              </w:rPr>
              <w:t>1-提钞；</w:t>
            </w:r>
          </w:p>
          <w:p w14:paraId="47AFDD40" w14:textId="77777777" w:rsidR="00A052DC" w:rsidRDefault="009F0A60">
            <w:pPr>
              <w:pStyle w:val="B"/>
              <w:rPr>
                <w:rFonts w:cs="宋体"/>
                <w:color w:val="000000"/>
                <w:szCs w:val="20"/>
              </w:rPr>
            </w:pPr>
            <w:r>
              <w:rPr>
                <w:rFonts w:cs="宋体"/>
                <w:color w:val="000000"/>
                <w:szCs w:val="20"/>
              </w:rPr>
              <w:t>2-境内转出。</w:t>
            </w:r>
          </w:p>
        </w:tc>
      </w:tr>
      <w:tr w:rsidR="00A052DC" w14:paraId="221789DF" w14:textId="77777777">
        <w:trPr>
          <w:cantSplit/>
          <w:trHeight w:val="570"/>
          <w:jc w:val="center"/>
        </w:trPr>
        <w:tc>
          <w:tcPr>
            <w:tcW w:w="1716" w:type="dxa"/>
            <w:shd w:val="clear" w:color="000000" w:fill="FFFFFF"/>
            <w:vAlign w:val="center"/>
          </w:tcPr>
          <w:p w14:paraId="4BF276BB" w14:textId="77777777" w:rsidR="00A052DC" w:rsidRDefault="009F0A60">
            <w:pPr>
              <w:pStyle w:val="B"/>
              <w:rPr>
                <w:rFonts w:cs="宋体"/>
                <w:color w:val="000000"/>
                <w:szCs w:val="20"/>
              </w:rPr>
            </w:pPr>
            <w:r>
              <w:rPr>
                <w:rFonts w:cs="宋体"/>
                <w:color w:val="000000"/>
                <w:szCs w:val="20"/>
              </w:rPr>
              <w:t>CUSTTYPE</w:t>
            </w:r>
          </w:p>
        </w:tc>
        <w:tc>
          <w:tcPr>
            <w:tcW w:w="1823" w:type="dxa"/>
            <w:shd w:val="clear" w:color="000000" w:fill="FFFFFF"/>
            <w:vAlign w:val="center"/>
          </w:tcPr>
          <w:p w14:paraId="2FC1BD79" w14:textId="77777777" w:rsidR="00A052DC" w:rsidRDefault="009F0A60">
            <w:pPr>
              <w:pStyle w:val="B"/>
              <w:rPr>
                <w:rFonts w:cs="宋体"/>
                <w:color w:val="000000"/>
                <w:szCs w:val="20"/>
              </w:rPr>
            </w:pPr>
            <w:r>
              <w:rPr>
                <w:rFonts w:cs="宋体" w:hint="eastAsia"/>
                <w:color w:val="000000"/>
                <w:szCs w:val="20"/>
              </w:rPr>
              <w:t>开户类型</w:t>
            </w:r>
          </w:p>
        </w:tc>
        <w:tc>
          <w:tcPr>
            <w:tcW w:w="1692" w:type="dxa"/>
            <w:shd w:val="clear" w:color="000000" w:fill="FFFFFF"/>
            <w:vAlign w:val="center"/>
          </w:tcPr>
          <w:p w14:paraId="368EA71F" w14:textId="77777777" w:rsidR="00A052DC" w:rsidRDefault="009F0A60">
            <w:pPr>
              <w:pStyle w:val="B"/>
              <w:rPr>
                <w:rFonts w:cs="宋体"/>
                <w:color w:val="000000"/>
                <w:szCs w:val="20"/>
              </w:rPr>
            </w:pPr>
            <w:r>
              <w:rPr>
                <w:rFonts w:cs="宋体" w:hint="eastAsia"/>
                <w:color w:val="000000"/>
                <w:szCs w:val="20"/>
              </w:rPr>
              <w:t>字符型，</w:t>
            </w:r>
            <w:r>
              <w:rPr>
                <w:rFonts w:cs="宋体"/>
                <w:color w:val="000000"/>
                <w:szCs w:val="20"/>
              </w:rPr>
              <w:t>1</w:t>
            </w:r>
          </w:p>
        </w:tc>
        <w:tc>
          <w:tcPr>
            <w:tcW w:w="3264" w:type="dxa"/>
            <w:shd w:val="clear" w:color="000000" w:fill="FFFFFF"/>
            <w:vAlign w:val="center"/>
          </w:tcPr>
          <w:p w14:paraId="19AE13C6" w14:textId="77777777" w:rsidR="00A052DC" w:rsidRDefault="009F0A60">
            <w:pPr>
              <w:pStyle w:val="B"/>
              <w:rPr>
                <w:rFonts w:cs="宋体"/>
                <w:color w:val="000000"/>
                <w:szCs w:val="20"/>
              </w:rPr>
            </w:pPr>
            <w:r>
              <w:rPr>
                <w:rFonts w:cs="宋体" w:hint="eastAsia"/>
                <w:color w:val="000000"/>
                <w:szCs w:val="20"/>
              </w:rPr>
              <w:t>必填项，</w:t>
            </w:r>
            <w:r>
              <w:rPr>
                <w:rFonts w:cs="宋体"/>
                <w:color w:val="000000"/>
                <w:szCs w:val="20"/>
              </w:rPr>
              <w:t>2选1：</w:t>
            </w:r>
            <w:r>
              <w:rPr>
                <w:rFonts w:cs="宋体"/>
                <w:color w:val="000000"/>
                <w:szCs w:val="20"/>
              </w:rPr>
              <w:br/>
              <w:t>C-对公</w:t>
            </w:r>
            <w:r>
              <w:rPr>
                <w:rFonts w:cs="宋体" w:hint="eastAsia"/>
                <w:color w:val="000000"/>
                <w:szCs w:val="20"/>
              </w:rPr>
              <w:t>；</w:t>
            </w:r>
          </w:p>
          <w:p w14:paraId="46395FA8" w14:textId="77777777" w:rsidR="00A052DC" w:rsidRDefault="009F0A60">
            <w:pPr>
              <w:pStyle w:val="B"/>
              <w:rPr>
                <w:rFonts w:cs="宋体"/>
                <w:color w:val="000000"/>
                <w:szCs w:val="20"/>
              </w:rPr>
            </w:pPr>
            <w:r>
              <w:rPr>
                <w:rFonts w:cs="宋体"/>
                <w:color w:val="000000"/>
                <w:szCs w:val="20"/>
              </w:rPr>
              <w:t>D-对私</w:t>
            </w:r>
            <w:r>
              <w:rPr>
                <w:rFonts w:cs="宋体" w:hint="eastAsia"/>
                <w:color w:val="000000"/>
                <w:szCs w:val="20"/>
              </w:rPr>
              <w:t>。</w:t>
            </w:r>
          </w:p>
        </w:tc>
      </w:tr>
      <w:tr w:rsidR="00A052DC" w14:paraId="793EC657" w14:textId="77777777">
        <w:trPr>
          <w:cantSplit/>
          <w:trHeight w:val="300"/>
          <w:jc w:val="center"/>
        </w:trPr>
        <w:tc>
          <w:tcPr>
            <w:tcW w:w="1716" w:type="dxa"/>
            <w:shd w:val="clear" w:color="000000" w:fill="FFFFFF"/>
            <w:vAlign w:val="center"/>
          </w:tcPr>
          <w:p w14:paraId="7C1101AE" w14:textId="77777777" w:rsidR="00A052DC" w:rsidRDefault="009F0A60">
            <w:pPr>
              <w:pStyle w:val="B"/>
              <w:rPr>
                <w:rFonts w:cs="宋体"/>
                <w:color w:val="000000"/>
                <w:szCs w:val="20"/>
              </w:rPr>
            </w:pPr>
            <w:r>
              <w:rPr>
                <w:rFonts w:cs="宋体"/>
                <w:color w:val="000000"/>
                <w:szCs w:val="20"/>
              </w:rPr>
              <w:t>CUSTNM</w:t>
            </w:r>
          </w:p>
        </w:tc>
        <w:tc>
          <w:tcPr>
            <w:tcW w:w="1823" w:type="dxa"/>
            <w:shd w:val="clear" w:color="000000" w:fill="FFFFFF"/>
            <w:vAlign w:val="center"/>
          </w:tcPr>
          <w:p w14:paraId="337A6FF7" w14:textId="77777777" w:rsidR="00A052DC" w:rsidRDefault="009F0A60">
            <w:pPr>
              <w:pStyle w:val="B"/>
              <w:rPr>
                <w:rFonts w:cs="宋体"/>
                <w:color w:val="000000"/>
                <w:szCs w:val="20"/>
              </w:rPr>
            </w:pPr>
            <w:r>
              <w:rPr>
                <w:rFonts w:cs="宋体" w:hint="eastAsia"/>
                <w:color w:val="000000"/>
                <w:szCs w:val="20"/>
              </w:rPr>
              <w:t>开户主体名称</w:t>
            </w:r>
          </w:p>
        </w:tc>
        <w:tc>
          <w:tcPr>
            <w:tcW w:w="1692" w:type="dxa"/>
            <w:shd w:val="clear" w:color="000000" w:fill="FFFFFF"/>
            <w:vAlign w:val="center"/>
          </w:tcPr>
          <w:p w14:paraId="7B262507" w14:textId="77777777" w:rsidR="00A052DC" w:rsidRDefault="009F0A60">
            <w:pPr>
              <w:pStyle w:val="B"/>
              <w:rPr>
                <w:rFonts w:cs="宋体"/>
                <w:color w:val="000000"/>
                <w:szCs w:val="20"/>
              </w:rPr>
            </w:pPr>
            <w:r>
              <w:rPr>
                <w:rFonts w:cs="宋体" w:hint="eastAsia"/>
                <w:color w:val="000000"/>
                <w:szCs w:val="20"/>
              </w:rPr>
              <w:t>变长字符型，</w:t>
            </w:r>
            <w:r>
              <w:rPr>
                <w:rFonts w:cs="宋体"/>
                <w:color w:val="000000"/>
                <w:szCs w:val="20"/>
              </w:rPr>
              <w:t>128</w:t>
            </w:r>
          </w:p>
        </w:tc>
        <w:tc>
          <w:tcPr>
            <w:tcW w:w="3264" w:type="dxa"/>
            <w:shd w:val="clear" w:color="000000" w:fill="FFFFFF"/>
            <w:vAlign w:val="center"/>
          </w:tcPr>
          <w:p w14:paraId="016776A2" w14:textId="77777777" w:rsidR="00A052DC" w:rsidRDefault="009F0A60">
            <w:pPr>
              <w:pStyle w:val="B"/>
              <w:rPr>
                <w:rFonts w:cs="宋体"/>
                <w:color w:val="000000"/>
                <w:szCs w:val="20"/>
              </w:rPr>
            </w:pPr>
            <w:r>
              <w:rPr>
                <w:rFonts w:cs="宋体" w:hint="eastAsia"/>
                <w:color w:val="000000"/>
                <w:szCs w:val="20"/>
              </w:rPr>
              <w:t>必填项。</w:t>
            </w:r>
          </w:p>
        </w:tc>
      </w:tr>
      <w:tr w:rsidR="00A052DC" w14:paraId="02FDE227" w14:textId="77777777">
        <w:trPr>
          <w:cantSplit/>
          <w:trHeight w:val="1500"/>
          <w:jc w:val="center"/>
        </w:trPr>
        <w:tc>
          <w:tcPr>
            <w:tcW w:w="1716" w:type="dxa"/>
            <w:shd w:val="clear" w:color="000000" w:fill="FFFFFF"/>
            <w:vAlign w:val="center"/>
          </w:tcPr>
          <w:p w14:paraId="784BFF39" w14:textId="77777777" w:rsidR="00A052DC" w:rsidRDefault="009F0A60">
            <w:pPr>
              <w:pStyle w:val="B"/>
              <w:rPr>
                <w:rFonts w:cs="宋体"/>
                <w:color w:val="000000"/>
                <w:szCs w:val="20"/>
              </w:rPr>
            </w:pPr>
            <w:r>
              <w:rPr>
                <w:rFonts w:cs="宋体"/>
                <w:color w:val="000000"/>
                <w:szCs w:val="20"/>
              </w:rPr>
              <w:t>CUSTCOD</w:t>
            </w:r>
          </w:p>
        </w:tc>
        <w:tc>
          <w:tcPr>
            <w:tcW w:w="1823" w:type="dxa"/>
            <w:shd w:val="clear" w:color="000000" w:fill="FFFFFF"/>
            <w:vAlign w:val="center"/>
          </w:tcPr>
          <w:p w14:paraId="168B309C" w14:textId="77777777" w:rsidR="00A052DC" w:rsidRDefault="009F0A60">
            <w:pPr>
              <w:pStyle w:val="B"/>
              <w:rPr>
                <w:rFonts w:cs="宋体"/>
                <w:color w:val="000000"/>
                <w:szCs w:val="20"/>
              </w:rPr>
            </w:pPr>
            <w:r>
              <w:rPr>
                <w:rFonts w:cs="宋体" w:hint="eastAsia"/>
                <w:color w:val="000000"/>
                <w:szCs w:val="20"/>
              </w:rPr>
              <w:t>开户主体代码</w:t>
            </w:r>
          </w:p>
        </w:tc>
        <w:tc>
          <w:tcPr>
            <w:tcW w:w="1692" w:type="dxa"/>
            <w:shd w:val="clear" w:color="000000" w:fill="FFFFFF"/>
            <w:vAlign w:val="center"/>
          </w:tcPr>
          <w:p w14:paraId="74D490BC" w14:textId="77777777" w:rsidR="00A052DC" w:rsidRDefault="009F0A60">
            <w:pPr>
              <w:pStyle w:val="B"/>
              <w:rPr>
                <w:rFonts w:cs="宋体"/>
                <w:color w:val="000000"/>
                <w:szCs w:val="20"/>
              </w:rPr>
            </w:pPr>
            <w:r>
              <w:rPr>
                <w:rFonts w:cs="宋体" w:hint="eastAsia"/>
                <w:color w:val="000000"/>
                <w:szCs w:val="20"/>
              </w:rPr>
              <w:t>字符型，32</w:t>
            </w:r>
          </w:p>
        </w:tc>
        <w:tc>
          <w:tcPr>
            <w:tcW w:w="3264" w:type="dxa"/>
            <w:shd w:val="clear" w:color="000000" w:fill="FFFFFF"/>
            <w:vAlign w:val="center"/>
          </w:tcPr>
          <w:p w14:paraId="19C161C1" w14:textId="77777777" w:rsidR="00A052DC" w:rsidRDefault="009F0A60">
            <w:pPr>
              <w:pStyle w:val="B"/>
              <w:rPr>
                <w:szCs w:val="20"/>
              </w:rPr>
            </w:pPr>
            <w:r>
              <w:rPr>
                <w:rFonts w:hint="eastAsia"/>
                <w:szCs w:val="20"/>
              </w:rPr>
              <w:t>必填项，如果开户主体人为境内机构，应填写统一社会信用代码法定载体（如营业执照）上统一社会信用代码中的第9至17位或国家外汇管理局及其分支局签发的特殊机构代码赋码通知书上的机构代码。</w:t>
            </w:r>
          </w:p>
          <w:p w14:paraId="2ACFDA7E" w14:textId="77777777" w:rsidR="00A052DC" w:rsidRDefault="009F0A60">
            <w:pPr>
              <w:pStyle w:val="B"/>
              <w:rPr>
                <w:rFonts w:cs="宋体"/>
                <w:color w:val="000000"/>
                <w:szCs w:val="20"/>
              </w:rPr>
            </w:pPr>
            <w:r>
              <w:rPr>
                <w:rFonts w:hint="eastAsia"/>
                <w:szCs w:val="20"/>
              </w:rPr>
              <w:t>如果开户主体为境内个人，应填写开户主体个人身份证件号码。</w:t>
            </w:r>
          </w:p>
        </w:tc>
      </w:tr>
      <w:tr w:rsidR="00A052DC" w14:paraId="73F93B1A" w14:textId="77777777">
        <w:trPr>
          <w:cantSplit/>
          <w:trHeight w:val="300"/>
          <w:jc w:val="center"/>
        </w:trPr>
        <w:tc>
          <w:tcPr>
            <w:tcW w:w="1716" w:type="dxa"/>
            <w:shd w:val="clear" w:color="000000" w:fill="FFFFFF"/>
            <w:vAlign w:val="center"/>
          </w:tcPr>
          <w:p w14:paraId="60D9A57E" w14:textId="77777777" w:rsidR="00A052DC" w:rsidRDefault="009F0A60">
            <w:pPr>
              <w:pStyle w:val="B"/>
              <w:rPr>
                <w:rFonts w:cs="宋体"/>
                <w:color w:val="000000"/>
                <w:szCs w:val="20"/>
              </w:rPr>
            </w:pPr>
            <w:r>
              <w:rPr>
                <w:rFonts w:cs="宋体"/>
                <w:color w:val="000000"/>
                <w:szCs w:val="20"/>
              </w:rPr>
              <w:t>ACCTNO</w:t>
            </w:r>
          </w:p>
        </w:tc>
        <w:tc>
          <w:tcPr>
            <w:tcW w:w="1823" w:type="dxa"/>
            <w:shd w:val="clear" w:color="000000" w:fill="FFFFFF"/>
            <w:vAlign w:val="center"/>
          </w:tcPr>
          <w:p w14:paraId="18AEBCE1" w14:textId="77777777" w:rsidR="00A052DC" w:rsidRDefault="009F0A60">
            <w:pPr>
              <w:pStyle w:val="B"/>
              <w:rPr>
                <w:rFonts w:cs="宋体"/>
                <w:color w:val="000000"/>
                <w:szCs w:val="20"/>
              </w:rPr>
            </w:pPr>
            <w:r>
              <w:rPr>
                <w:rFonts w:cs="宋体" w:hint="eastAsia"/>
                <w:color w:val="000000"/>
                <w:szCs w:val="20"/>
              </w:rPr>
              <w:t>账号</w:t>
            </w:r>
          </w:p>
        </w:tc>
        <w:tc>
          <w:tcPr>
            <w:tcW w:w="1692" w:type="dxa"/>
            <w:shd w:val="clear" w:color="000000" w:fill="FFFFFF"/>
            <w:vAlign w:val="center"/>
          </w:tcPr>
          <w:p w14:paraId="0290AFA6" w14:textId="77777777" w:rsidR="00A052DC" w:rsidRDefault="009F0A60">
            <w:pPr>
              <w:pStyle w:val="B"/>
              <w:rPr>
                <w:rFonts w:cs="宋体"/>
                <w:color w:val="000000"/>
                <w:szCs w:val="20"/>
              </w:rPr>
            </w:pPr>
            <w:r>
              <w:rPr>
                <w:rFonts w:cs="宋体" w:hint="eastAsia"/>
                <w:color w:val="000000"/>
                <w:szCs w:val="20"/>
              </w:rPr>
              <w:t>变长字符型，</w:t>
            </w:r>
            <w:r>
              <w:rPr>
                <w:rFonts w:cs="宋体"/>
                <w:color w:val="000000"/>
                <w:szCs w:val="20"/>
              </w:rPr>
              <w:t>32</w:t>
            </w:r>
          </w:p>
        </w:tc>
        <w:tc>
          <w:tcPr>
            <w:tcW w:w="3264" w:type="dxa"/>
            <w:shd w:val="clear" w:color="000000" w:fill="FFFFFF"/>
            <w:vAlign w:val="center"/>
          </w:tcPr>
          <w:p w14:paraId="03AF37B8" w14:textId="77777777" w:rsidR="00A052DC" w:rsidRDefault="009F0A60">
            <w:pPr>
              <w:pStyle w:val="B"/>
              <w:rPr>
                <w:rFonts w:cs="宋体"/>
                <w:color w:val="000000"/>
                <w:szCs w:val="20"/>
              </w:rPr>
            </w:pPr>
            <w:r>
              <w:rPr>
                <w:rFonts w:cs="宋体" w:hint="eastAsia"/>
                <w:color w:val="000000"/>
                <w:szCs w:val="20"/>
              </w:rPr>
              <w:t>必填项。</w:t>
            </w:r>
          </w:p>
        </w:tc>
      </w:tr>
      <w:tr w:rsidR="00A052DC" w14:paraId="2D143961" w14:textId="77777777">
        <w:trPr>
          <w:cantSplit/>
          <w:trHeight w:val="285"/>
          <w:jc w:val="center"/>
        </w:trPr>
        <w:tc>
          <w:tcPr>
            <w:tcW w:w="1716" w:type="dxa"/>
            <w:shd w:val="clear" w:color="000000" w:fill="FFFFFF"/>
            <w:vAlign w:val="center"/>
          </w:tcPr>
          <w:p w14:paraId="3B5D3A30" w14:textId="77777777" w:rsidR="00A052DC" w:rsidRDefault="009F0A60">
            <w:pPr>
              <w:pStyle w:val="B"/>
              <w:rPr>
                <w:rFonts w:cs="宋体"/>
                <w:color w:val="000000"/>
                <w:szCs w:val="20"/>
              </w:rPr>
            </w:pPr>
            <w:r>
              <w:rPr>
                <w:rFonts w:cs="宋体"/>
                <w:color w:val="000000"/>
                <w:szCs w:val="20"/>
              </w:rPr>
              <w:t>CUSTCONTACT</w:t>
            </w:r>
          </w:p>
        </w:tc>
        <w:tc>
          <w:tcPr>
            <w:tcW w:w="1823" w:type="dxa"/>
            <w:shd w:val="clear" w:color="000000" w:fill="FFFFFF"/>
            <w:vAlign w:val="center"/>
          </w:tcPr>
          <w:p w14:paraId="028E27C5" w14:textId="77777777" w:rsidR="00A052DC" w:rsidRDefault="009F0A60">
            <w:pPr>
              <w:pStyle w:val="B"/>
              <w:rPr>
                <w:rFonts w:cs="宋体"/>
                <w:color w:val="000000"/>
                <w:szCs w:val="20"/>
              </w:rPr>
            </w:pPr>
            <w:r>
              <w:rPr>
                <w:rFonts w:cs="宋体" w:hint="eastAsia"/>
                <w:color w:val="000000"/>
                <w:szCs w:val="20"/>
              </w:rPr>
              <w:t>联系人姓名</w:t>
            </w:r>
          </w:p>
        </w:tc>
        <w:tc>
          <w:tcPr>
            <w:tcW w:w="1692" w:type="dxa"/>
            <w:shd w:val="clear" w:color="000000" w:fill="FFFFFF"/>
            <w:vAlign w:val="center"/>
          </w:tcPr>
          <w:p w14:paraId="22986C5C" w14:textId="77777777" w:rsidR="00A052DC" w:rsidRDefault="009F0A60">
            <w:pPr>
              <w:pStyle w:val="B"/>
              <w:rPr>
                <w:rFonts w:cs="宋体"/>
                <w:color w:val="000000"/>
                <w:szCs w:val="20"/>
              </w:rPr>
            </w:pPr>
            <w:r>
              <w:rPr>
                <w:rFonts w:cs="宋体" w:hint="eastAsia"/>
                <w:color w:val="000000"/>
                <w:szCs w:val="20"/>
              </w:rPr>
              <w:t>变长字符型，</w:t>
            </w:r>
            <w:r>
              <w:rPr>
                <w:rFonts w:cs="宋体"/>
                <w:color w:val="000000"/>
                <w:szCs w:val="20"/>
              </w:rPr>
              <w:t>128</w:t>
            </w:r>
          </w:p>
        </w:tc>
        <w:tc>
          <w:tcPr>
            <w:tcW w:w="3264" w:type="dxa"/>
            <w:shd w:val="clear" w:color="000000" w:fill="FFFFFF"/>
            <w:vAlign w:val="center"/>
          </w:tcPr>
          <w:p w14:paraId="4C81DD51" w14:textId="77777777" w:rsidR="00A052DC" w:rsidRDefault="009F0A60">
            <w:pPr>
              <w:pStyle w:val="B"/>
              <w:rPr>
                <w:rFonts w:cs="宋体"/>
                <w:color w:val="000000"/>
                <w:szCs w:val="20"/>
              </w:rPr>
            </w:pPr>
            <w:r>
              <w:rPr>
                <w:rFonts w:cs="宋体" w:hint="eastAsia"/>
                <w:color w:val="000000"/>
                <w:szCs w:val="20"/>
              </w:rPr>
              <w:t>必填项，指客户联系人姓名，多个联系人时，可用英文半角逗号分隔。</w:t>
            </w:r>
          </w:p>
        </w:tc>
      </w:tr>
      <w:tr w:rsidR="00A052DC" w14:paraId="4C8467F1" w14:textId="77777777">
        <w:trPr>
          <w:cantSplit/>
          <w:trHeight w:val="285"/>
          <w:jc w:val="center"/>
        </w:trPr>
        <w:tc>
          <w:tcPr>
            <w:tcW w:w="1716" w:type="dxa"/>
            <w:shd w:val="clear" w:color="000000" w:fill="FFFFFF"/>
            <w:vAlign w:val="center"/>
          </w:tcPr>
          <w:p w14:paraId="7BEA069E" w14:textId="77777777" w:rsidR="00A052DC" w:rsidRDefault="009F0A60">
            <w:pPr>
              <w:pStyle w:val="B"/>
              <w:rPr>
                <w:rFonts w:cs="宋体"/>
                <w:color w:val="000000"/>
                <w:szCs w:val="20"/>
              </w:rPr>
            </w:pPr>
            <w:r>
              <w:rPr>
                <w:rFonts w:cs="宋体"/>
                <w:color w:val="000000"/>
                <w:szCs w:val="20"/>
              </w:rPr>
              <w:t>CUSTTEL</w:t>
            </w:r>
          </w:p>
        </w:tc>
        <w:tc>
          <w:tcPr>
            <w:tcW w:w="1823" w:type="dxa"/>
            <w:shd w:val="clear" w:color="000000" w:fill="FFFFFF"/>
            <w:vAlign w:val="center"/>
          </w:tcPr>
          <w:p w14:paraId="5C0CC712" w14:textId="77777777" w:rsidR="00A052DC" w:rsidRDefault="009F0A60">
            <w:pPr>
              <w:pStyle w:val="B"/>
              <w:rPr>
                <w:rFonts w:cs="宋体"/>
                <w:color w:val="000000"/>
                <w:szCs w:val="20"/>
              </w:rPr>
            </w:pPr>
            <w:r>
              <w:rPr>
                <w:rFonts w:cs="宋体" w:hint="eastAsia"/>
                <w:color w:val="000000"/>
                <w:szCs w:val="20"/>
              </w:rPr>
              <w:t>联系电话</w:t>
            </w:r>
          </w:p>
        </w:tc>
        <w:tc>
          <w:tcPr>
            <w:tcW w:w="1692" w:type="dxa"/>
            <w:shd w:val="clear" w:color="000000" w:fill="FFFFFF"/>
            <w:vAlign w:val="center"/>
          </w:tcPr>
          <w:p w14:paraId="713DD820" w14:textId="77777777" w:rsidR="00A052DC" w:rsidRDefault="009F0A60">
            <w:pPr>
              <w:pStyle w:val="B"/>
              <w:rPr>
                <w:rFonts w:cs="宋体"/>
                <w:color w:val="000000"/>
                <w:szCs w:val="20"/>
              </w:rPr>
            </w:pPr>
            <w:r>
              <w:rPr>
                <w:rFonts w:cs="宋体" w:hint="eastAsia"/>
                <w:color w:val="000000"/>
                <w:szCs w:val="20"/>
              </w:rPr>
              <w:t>变长字符型，</w:t>
            </w:r>
            <w:r>
              <w:rPr>
                <w:rFonts w:cs="宋体"/>
                <w:color w:val="000000"/>
                <w:szCs w:val="20"/>
              </w:rPr>
              <w:t>128</w:t>
            </w:r>
          </w:p>
        </w:tc>
        <w:tc>
          <w:tcPr>
            <w:tcW w:w="3264" w:type="dxa"/>
            <w:shd w:val="clear" w:color="000000" w:fill="FFFFFF"/>
            <w:vAlign w:val="center"/>
          </w:tcPr>
          <w:p w14:paraId="6C99349D" w14:textId="77777777" w:rsidR="00A052DC" w:rsidRDefault="009F0A60">
            <w:pPr>
              <w:pStyle w:val="B"/>
              <w:rPr>
                <w:rFonts w:cs="宋体"/>
                <w:color w:val="000000"/>
                <w:szCs w:val="20"/>
              </w:rPr>
            </w:pPr>
            <w:r>
              <w:rPr>
                <w:rFonts w:cs="宋体" w:hint="eastAsia"/>
                <w:color w:val="000000"/>
                <w:szCs w:val="20"/>
              </w:rPr>
              <w:t>必填项，指客户联系电话，多个联系电话时，可用英文半角逗号分隔。</w:t>
            </w:r>
            <w:r>
              <w:rPr>
                <w:rFonts w:cs="宋体"/>
                <w:color w:val="000000"/>
                <w:szCs w:val="20"/>
              </w:rPr>
              <w:br/>
            </w:r>
            <w:r>
              <w:rPr>
                <w:rFonts w:cs="宋体" w:hint="eastAsia"/>
                <w:color w:val="000000"/>
                <w:szCs w:val="20"/>
              </w:rPr>
              <w:t>手机号码填写格式为</w:t>
            </w:r>
            <w:r>
              <w:rPr>
                <w:rFonts w:cs="宋体"/>
                <w:color w:val="000000"/>
                <w:szCs w:val="20"/>
              </w:rPr>
              <w:t>11位数字；固定电话填写格式为“区号-号码”，如010-12345678。</w:t>
            </w:r>
          </w:p>
        </w:tc>
      </w:tr>
      <w:tr w:rsidR="00A052DC" w14:paraId="683A3FD5" w14:textId="77777777">
        <w:trPr>
          <w:cantSplit/>
          <w:trHeight w:val="300"/>
          <w:jc w:val="center"/>
        </w:trPr>
        <w:tc>
          <w:tcPr>
            <w:tcW w:w="1716" w:type="dxa"/>
            <w:shd w:val="clear" w:color="000000" w:fill="FFFFFF"/>
            <w:vAlign w:val="center"/>
          </w:tcPr>
          <w:p w14:paraId="0E945A9A" w14:textId="77777777" w:rsidR="00A052DC" w:rsidRDefault="009F0A60">
            <w:pPr>
              <w:pStyle w:val="B"/>
              <w:rPr>
                <w:rFonts w:cs="宋体"/>
                <w:color w:val="000000"/>
                <w:szCs w:val="20"/>
              </w:rPr>
            </w:pPr>
            <w:r>
              <w:rPr>
                <w:rFonts w:cs="宋体"/>
                <w:color w:val="000000"/>
                <w:szCs w:val="20"/>
              </w:rPr>
              <w:t>DEALTIME</w:t>
            </w:r>
          </w:p>
        </w:tc>
        <w:tc>
          <w:tcPr>
            <w:tcW w:w="1823" w:type="dxa"/>
            <w:shd w:val="clear" w:color="000000" w:fill="FFFFFF"/>
            <w:vAlign w:val="center"/>
          </w:tcPr>
          <w:p w14:paraId="6C647573" w14:textId="77777777" w:rsidR="00A052DC" w:rsidRDefault="009F0A60">
            <w:pPr>
              <w:pStyle w:val="B"/>
              <w:rPr>
                <w:rFonts w:cs="宋体"/>
                <w:color w:val="000000"/>
                <w:szCs w:val="20"/>
              </w:rPr>
            </w:pPr>
            <w:r>
              <w:rPr>
                <w:rFonts w:cs="宋体" w:hint="eastAsia"/>
                <w:color w:val="000000"/>
                <w:szCs w:val="20"/>
              </w:rPr>
              <w:t>交易时间</w:t>
            </w:r>
          </w:p>
        </w:tc>
        <w:tc>
          <w:tcPr>
            <w:tcW w:w="1692" w:type="dxa"/>
            <w:shd w:val="clear" w:color="000000" w:fill="FFFFFF"/>
            <w:vAlign w:val="center"/>
          </w:tcPr>
          <w:p w14:paraId="64FA9CC2" w14:textId="77777777" w:rsidR="00A052DC" w:rsidRDefault="009F0A60">
            <w:pPr>
              <w:pStyle w:val="B"/>
              <w:rPr>
                <w:rFonts w:cs="宋体"/>
                <w:color w:val="000000"/>
                <w:szCs w:val="20"/>
              </w:rPr>
            </w:pPr>
            <w:r>
              <w:rPr>
                <w:rFonts w:cs="宋体" w:hint="eastAsia"/>
                <w:color w:val="000000"/>
                <w:szCs w:val="20"/>
              </w:rPr>
              <w:t>时间型</w:t>
            </w:r>
          </w:p>
        </w:tc>
        <w:tc>
          <w:tcPr>
            <w:tcW w:w="3264" w:type="dxa"/>
            <w:shd w:val="clear" w:color="000000" w:fill="FFFFFF"/>
            <w:vAlign w:val="center"/>
          </w:tcPr>
          <w:p w14:paraId="7D5CB289" w14:textId="77777777" w:rsidR="00A052DC" w:rsidRDefault="009F0A60">
            <w:pPr>
              <w:pStyle w:val="B"/>
              <w:rPr>
                <w:rFonts w:cs="宋体"/>
                <w:color w:val="000000"/>
                <w:szCs w:val="20"/>
              </w:rPr>
            </w:pPr>
            <w:r>
              <w:rPr>
                <w:rFonts w:cs="宋体" w:hint="eastAsia"/>
                <w:color w:val="000000"/>
                <w:szCs w:val="20"/>
              </w:rPr>
              <w:t>必填项，格式为yyyy-mm-dd HH:MM:SS。</w:t>
            </w:r>
          </w:p>
        </w:tc>
      </w:tr>
      <w:tr w:rsidR="00A052DC" w14:paraId="1A164E17" w14:textId="77777777">
        <w:trPr>
          <w:cantSplit/>
          <w:trHeight w:val="300"/>
          <w:jc w:val="center"/>
        </w:trPr>
        <w:tc>
          <w:tcPr>
            <w:tcW w:w="1716" w:type="dxa"/>
            <w:shd w:val="clear" w:color="000000" w:fill="FFFFFF"/>
            <w:vAlign w:val="center"/>
          </w:tcPr>
          <w:p w14:paraId="1DAFB735" w14:textId="77777777" w:rsidR="00A052DC" w:rsidRDefault="009F0A60">
            <w:pPr>
              <w:pStyle w:val="B"/>
              <w:rPr>
                <w:rFonts w:cs="宋体"/>
                <w:color w:val="000000"/>
                <w:szCs w:val="20"/>
              </w:rPr>
            </w:pPr>
            <w:r>
              <w:rPr>
                <w:rFonts w:cs="宋体"/>
                <w:color w:val="000000"/>
                <w:szCs w:val="20"/>
              </w:rPr>
              <w:t>TXREM</w:t>
            </w:r>
          </w:p>
        </w:tc>
        <w:tc>
          <w:tcPr>
            <w:tcW w:w="1823" w:type="dxa"/>
            <w:shd w:val="clear" w:color="000000" w:fill="FFFFFF"/>
            <w:vAlign w:val="center"/>
          </w:tcPr>
          <w:p w14:paraId="79142426" w14:textId="77777777" w:rsidR="00A052DC" w:rsidRDefault="009F0A60">
            <w:pPr>
              <w:pStyle w:val="B"/>
              <w:rPr>
                <w:rFonts w:cs="宋体"/>
                <w:color w:val="000000"/>
                <w:szCs w:val="20"/>
              </w:rPr>
            </w:pPr>
            <w:r>
              <w:rPr>
                <w:rFonts w:cs="宋体" w:hint="eastAsia"/>
                <w:color w:val="000000"/>
                <w:szCs w:val="20"/>
              </w:rPr>
              <w:t>交易附言</w:t>
            </w:r>
          </w:p>
        </w:tc>
        <w:tc>
          <w:tcPr>
            <w:tcW w:w="1692" w:type="dxa"/>
            <w:shd w:val="clear" w:color="000000" w:fill="FFFFFF"/>
            <w:vAlign w:val="center"/>
          </w:tcPr>
          <w:p w14:paraId="14BBB2FA" w14:textId="77777777" w:rsidR="00A052DC" w:rsidRDefault="009F0A60">
            <w:pPr>
              <w:pStyle w:val="B"/>
              <w:rPr>
                <w:rFonts w:cs="宋体"/>
                <w:color w:val="000000"/>
                <w:szCs w:val="20"/>
              </w:rPr>
            </w:pPr>
            <w:r>
              <w:rPr>
                <w:rFonts w:cs="宋体" w:hint="eastAsia"/>
                <w:color w:val="000000"/>
                <w:szCs w:val="20"/>
              </w:rPr>
              <w:t>变长字符型，</w:t>
            </w:r>
            <w:r>
              <w:rPr>
                <w:rFonts w:cs="宋体"/>
                <w:color w:val="000000"/>
                <w:szCs w:val="20"/>
              </w:rPr>
              <w:t>256</w:t>
            </w:r>
          </w:p>
        </w:tc>
        <w:tc>
          <w:tcPr>
            <w:tcW w:w="3264" w:type="dxa"/>
            <w:shd w:val="clear" w:color="000000" w:fill="FFFFFF"/>
            <w:vAlign w:val="center"/>
          </w:tcPr>
          <w:p w14:paraId="7FCDED52" w14:textId="77777777" w:rsidR="00A052DC" w:rsidRDefault="00DD6AA3">
            <w:pPr>
              <w:pStyle w:val="B"/>
              <w:rPr>
                <w:rFonts w:cs="宋体"/>
                <w:color w:val="000000"/>
                <w:szCs w:val="20"/>
              </w:rPr>
            </w:pPr>
            <w:r>
              <w:rPr>
                <w:rFonts w:cs="宋体" w:hint="eastAsia"/>
                <w:color w:val="000000"/>
                <w:szCs w:val="20"/>
              </w:rPr>
              <w:t>非必填项</w:t>
            </w:r>
            <w:r w:rsidR="009F0A60">
              <w:rPr>
                <w:rFonts w:cs="宋体" w:hint="eastAsia"/>
                <w:color w:val="000000"/>
                <w:szCs w:val="20"/>
              </w:rPr>
              <w:t>，客户办理交易时填写的交易附言。</w:t>
            </w:r>
          </w:p>
        </w:tc>
      </w:tr>
      <w:tr w:rsidR="00A052DC" w14:paraId="53FC1720" w14:textId="77777777">
        <w:trPr>
          <w:cantSplit/>
          <w:trHeight w:val="300"/>
          <w:jc w:val="center"/>
        </w:trPr>
        <w:tc>
          <w:tcPr>
            <w:tcW w:w="1716" w:type="dxa"/>
            <w:shd w:val="clear" w:color="000000" w:fill="FFFFFF"/>
            <w:vAlign w:val="center"/>
          </w:tcPr>
          <w:p w14:paraId="64BE8006" w14:textId="77777777" w:rsidR="00A052DC" w:rsidRDefault="009F0A60">
            <w:pPr>
              <w:pStyle w:val="B"/>
              <w:rPr>
                <w:rFonts w:cs="宋体"/>
                <w:color w:val="000000"/>
                <w:szCs w:val="20"/>
              </w:rPr>
            </w:pPr>
            <w:r>
              <w:rPr>
                <w:rFonts w:cs="宋体"/>
                <w:color w:val="000000"/>
                <w:szCs w:val="20"/>
              </w:rPr>
              <w:t>TXREM_2</w:t>
            </w:r>
          </w:p>
        </w:tc>
        <w:tc>
          <w:tcPr>
            <w:tcW w:w="1823" w:type="dxa"/>
            <w:shd w:val="clear" w:color="000000" w:fill="FFFFFF"/>
            <w:vAlign w:val="center"/>
          </w:tcPr>
          <w:p w14:paraId="7B4264CE" w14:textId="77777777" w:rsidR="00A052DC" w:rsidRDefault="009F0A60">
            <w:pPr>
              <w:pStyle w:val="B"/>
              <w:rPr>
                <w:rFonts w:cs="宋体"/>
                <w:color w:val="000000"/>
                <w:szCs w:val="20"/>
              </w:rPr>
            </w:pPr>
            <w:r>
              <w:rPr>
                <w:rFonts w:cs="宋体" w:hint="eastAsia"/>
                <w:color w:val="000000"/>
                <w:szCs w:val="20"/>
              </w:rPr>
              <w:t>摘要说明</w:t>
            </w:r>
          </w:p>
        </w:tc>
        <w:tc>
          <w:tcPr>
            <w:tcW w:w="1692" w:type="dxa"/>
            <w:shd w:val="clear" w:color="000000" w:fill="FFFFFF"/>
            <w:vAlign w:val="center"/>
          </w:tcPr>
          <w:p w14:paraId="3D2231FD" w14:textId="77777777" w:rsidR="00A052DC" w:rsidRDefault="009F0A60">
            <w:pPr>
              <w:pStyle w:val="B"/>
              <w:rPr>
                <w:rFonts w:cs="宋体"/>
                <w:color w:val="000000"/>
                <w:szCs w:val="20"/>
              </w:rPr>
            </w:pPr>
            <w:r>
              <w:rPr>
                <w:rFonts w:cs="宋体" w:hint="eastAsia"/>
                <w:color w:val="000000"/>
                <w:szCs w:val="20"/>
              </w:rPr>
              <w:t>变长字符型，</w:t>
            </w:r>
            <w:r>
              <w:rPr>
                <w:rFonts w:cs="宋体"/>
                <w:color w:val="000000"/>
                <w:szCs w:val="20"/>
              </w:rPr>
              <w:t>256</w:t>
            </w:r>
          </w:p>
        </w:tc>
        <w:tc>
          <w:tcPr>
            <w:tcW w:w="3264" w:type="dxa"/>
            <w:shd w:val="clear" w:color="000000" w:fill="FFFFFF"/>
            <w:vAlign w:val="center"/>
          </w:tcPr>
          <w:p w14:paraId="63E49A30" w14:textId="77777777" w:rsidR="00A052DC" w:rsidRDefault="009F0A60">
            <w:pPr>
              <w:pStyle w:val="B"/>
              <w:rPr>
                <w:rFonts w:cs="宋体"/>
                <w:color w:val="000000"/>
                <w:szCs w:val="20"/>
              </w:rPr>
            </w:pPr>
            <w:r>
              <w:rPr>
                <w:rFonts w:cs="宋体" w:hint="eastAsia"/>
                <w:color w:val="000000"/>
                <w:szCs w:val="20"/>
              </w:rPr>
              <w:t>必填项，资金用途、交易目的等。</w:t>
            </w:r>
          </w:p>
        </w:tc>
      </w:tr>
      <w:tr w:rsidR="00A052DC" w14:paraId="6AB7BE74" w14:textId="77777777">
        <w:trPr>
          <w:cantSplit/>
          <w:trHeight w:val="435"/>
          <w:jc w:val="center"/>
        </w:trPr>
        <w:tc>
          <w:tcPr>
            <w:tcW w:w="1716" w:type="dxa"/>
            <w:shd w:val="clear" w:color="000000" w:fill="FFFFFF"/>
            <w:vAlign w:val="center"/>
          </w:tcPr>
          <w:p w14:paraId="091011DA" w14:textId="77777777" w:rsidR="00A052DC" w:rsidRDefault="009F0A60">
            <w:pPr>
              <w:pStyle w:val="B"/>
              <w:rPr>
                <w:rFonts w:cs="宋体"/>
                <w:color w:val="000000"/>
                <w:szCs w:val="20"/>
              </w:rPr>
            </w:pPr>
            <w:r>
              <w:rPr>
                <w:rFonts w:cs="宋体"/>
                <w:color w:val="000000"/>
                <w:szCs w:val="20"/>
              </w:rPr>
              <w:t>DEAL_AMOUNT</w:t>
            </w:r>
          </w:p>
        </w:tc>
        <w:tc>
          <w:tcPr>
            <w:tcW w:w="1823" w:type="dxa"/>
            <w:shd w:val="clear" w:color="000000" w:fill="FFFFFF"/>
            <w:vAlign w:val="center"/>
          </w:tcPr>
          <w:p w14:paraId="488988E6" w14:textId="77777777" w:rsidR="00A052DC" w:rsidRDefault="009F0A60">
            <w:pPr>
              <w:pStyle w:val="B"/>
              <w:rPr>
                <w:rFonts w:cs="宋体"/>
                <w:color w:val="000000"/>
                <w:szCs w:val="20"/>
              </w:rPr>
            </w:pPr>
            <w:r>
              <w:rPr>
                <w:rFonts w:cs="宋体" w:hint="eastAsia"/>
                <w:color w:val="000000"/>
                <w:szCs w:val="20"/>
              </w:rPr>
              <w:t>交易金额</w:t>
            </w:r>
          </w:p>
        </w:tc>
        <w:tc>
          <w:tcPr>
            <w:tcW w:w="1692" w:type="dxa"/>
            <w:shd w:val="clear" w:color="000000" w:fill="FFFFFF"/>
            <w:vAlign w:val="center"/>
          </w:tcPr>
          <w:p w14:paraId="5F55BBF1" w14:textId="77777777" w:rsidR="00A052DC" w:rsidRDefault="009F0A60">
            <w:pPr>
              <w:pStyle w:val="B"/>
              <w:rPr>
                <w:rFonts w:cs="宋体"/>
                <w:color w:val="000000"/>
                <w:szCs w:val="20"/>
              </w:rPr>
            </w:pPr>
            <w:r>
              <w:rPr>
                <w:rFonts w:cs="宋体" w:hint="eastAsia"/>
                <w:color w:val="000000"/>
                <w:szCs w:val="20"/>
              </w:rPr>
              <w:t>数值型，</w:t>
            </w:r>
            <w:r>
              <w:rPr>
                <w:rFonts w:cs="宋体"/>
                <w:color w:val="000000"/>
                <w:szCs w:val="20"/>
              </w:rPr>
              <w:t>22.2</w:t>
            </w:r>
          </w:p>
        </w:tc>
        <w:tc>
          <w:tcPr>
            <w:tcW w:w="3264" w:type="dxa"/>
            <w:shd w:val="clear" w:color="000000" w:fill="FFFFFF"/>
            <w:vAlign w:val="center"/>
          </w:tcPr>
          <w:p w14:paraId="7717E4F7" w14:textId="77777777" w:rsidR="00A052DC" w:rsidRDefault="009F0A60">
            <w:pPr>
              <w:pStyle w:val="B"/>
              <w:rPr>
                <w:rFonts w:cs="宋体"/>
                <w:color w:val="000000"/>
                <w:szCs w:val="20"/>
              </w:rPr>
            </w:pPr>
            <w:r>
              <w:rPr>
                <w:rFonts w:cs="宋体" w:hint="eastAsia"/>
                <w:color w:val="000000"/>
                <w:szCs w:val="20"/>
              </w:rPr>
              <w:t>必填项，大于等于</w:t>
            </w:r>
            <w:r>
              <w:rPr>
                <w:rFonts w:cs="宋体"/>
                <w:color w:val="000000"/>
                <w:szCs w:val="20"/>
              </w:rPr>
              <w:t>0。</w:t>
            </w:r>
          </w:p>
        </w:tc>
      </w:tr>
      <w:tr w:rsidR="00A052DC" w14:paraId="7E645C71" w14:textId="77777777">
        <w:trPr>
          <w:cantSplit/>
          <w:trHeight w:val="300"/>
          <w:jc w:val="center"/>
        </w:trPr>
        <w:tc>
          <w:tcPr>
            <w:tcW w:w="1716" w:type="dxa"/>
            <w:shd w:val="clear" w:color="000000" w:fill="FFFFFF"/>
            <w:vAlign w:val="center"/>
          </w:tcPr>
          <w:p w14:paraId="2612698B" w14:textId="77777777" w:rsidR="00A052DC" w:rsidRDefault="009F0A60">
            <w:pPr>
              <w:pStyle w:val="B"/>
              <w:rPr>
                <w:rFonts w:cs="宋体"/>
                <w:color w:val="000000"/>
                <w:szCs w:val="20"/>
              </w:rPr>
            </w:pPr>
            <w:r>
              <w:rPr>
                <w:rFonts w:cs="宋体"/>
                <w:color w:val="000000"/>
                <w:szCs w:val="20"/>
              </w:rPr>
              <w:t>DEAL_BRANCH</w:t>
            </w:r>
          </w:p>
        </w:tc>
        <w:tc>
          <w:tcPr>
            <w:tcW w:w="1823" w:type="dxa"/>
            <w:shd w:val="clear" w:color="000000" w:fill="FFFFFF"/>
            <w:vAlign w:val="center"/>
          </w:tcPr>
          <w:p w14:paraId="2B67C793" w14:textId="77777777" w:rsidR="00A052DC" w:rsidRDefault="009F0A60">
            <w:pPr>
              <w:pStyle w:val="B"/>
              <w:rPr>
                <w:rFonts w:cs="宋体"/>
                <w:color w:val="000000"/>
                <w:szCs w:val="20"/>
              </w:rPr>
            </w:pPr>
            <w:r>
              <w:rPr>
                <w:rFonts w:cs="宋体" w:hint="eastAsia"/>
                <w:color w:val="000000"/>
                <w:szCs w:val="20"/>
              </w:rPr>
              <w:t>交易网点名称</w:t>
            </w:r>
          </w:p>
        </w:tc>
        <w:tc>
          <w:tcPr>
            <w:tcW w:w="1692" w:type="dxa"/>
            <w:shd w:val="clear" w:color="000000" w:fill="FFFFFF"/>
            <w:vAlign w:val="center"/>
          </w:tcPr>
          <w:p w14:paraId="47601038" w14:textId="77777777" w:rsidR="00A052DC" w:rsidRDefault="009F0A60">
            <w:pPr>
              <w:pStyle w:val="B"/>
              <w:rPr>
                <w:rFonts w:cs="宋体"/>
                <w:color w:val="000000"/>
                <w:szCs w:val="20"/>
              </w:rPr>
            </w:pPr>
            <w:r>
              <w:rPr>
                <w:rFonts w:cs="宋体" w:hint="eastAsia"/>
                <w:color w:val="000000"/>
                <w:szCs w:val="20"/>
              </w:rPr>
              <w:t>变长字符型，</w:t>
            </w:r>
            <w:r>
              <w:rPr>
                <w:rFonts w:cs="宋体"/>
                <w:color w:val="000000"/>
                <w:szCs w:val="20"/>
              </w:rPr>
              <w:t>128</w:t>
            </w:r>
          </w:p>
        </w:tc>
        <w:tc>
          <w:tcPr>
            <w:tcW w:w="3264" w:type="dxa"/>
            <w:shd w:val="clear" w:color="000000" w:fill="FFFFFF"/>
            <w:vAlign w:val="center"/>
          </w:tcPr>
          <w:p w14:paraId="4B5B0890" w14:textId="77777777" w:rsidR="00A052DC" w:rsidRDefault="009F0A60">
            <w:pPr>
              <w:pStyle w:val="B"/>
              <w:rPr>
                <w:rFonts w:cs="宋体"/>
                <w:color w:val="000000"/>
                <w:szCs w:val="20"/>
              </w:rPr>
            </w:pPr>
            <w:r>
              <w:rPr>
                <w:rFonts w:cs="宋体" w:hint="eastAsia"/>
                <w:color w:val="000000"/>
                <w:szCs w:val="20"/>
              </w:rPr>
              <w:t>必填项</w:t>
            </w:r>
            <w:r>
              <w:rPr>
                <w:rFonts w:cs="宋体"/>
                <w:color w:val="000000"/>
                <w:szCs w:val="20"/>
              </w:rPr>
              <w:t>。</w:t>
            </w:r>
            <w:r>
              <w:rPr>
                <w:rFonts w:cs="宋体" w:hint="eastAsia"/>
                <w:color w:val="000000"/>
                <w:szCs w:val="20"/>
              </w:rPr>
              <w:t>若交易为线上渠道，填写划出款项账户的开户网点名称。</w:t>
            </w:r>
          </w:p>
        </w:tc>
      </w:tr>
      <w:tr w:rsidR="00A052DC" w14:paraId="3B73598C" w14:textId="77777777">
        <w:trPr>
          <w:cantSplit/>
          <w:trHeight w:val="300"/>
          <w:jc w:val="center"/>
        </w:trPr>
        <w:tc>
          <w:tcPr>
            <w:tcW w:w="1716" w:type="dxa"/>
            <w:shd w:val="clear" w:color="000000" w:fill="FFFFFF"/>
            <w:vAlign w:val="center"/>
          </w:tcPr>
          <w:p w14:paraId="6B3B5CF9" w14:textId="77777777" w:rsidR="00A052DC" w:rsidRDefault="009F0A60">
            <w:pPr>
              <w:pStyle w:val="B"/>
              <w:rPr>
                <w:rFonts w:cs="宋体"/>
                <w:color w:val="000000"/>
                <w:szCs w:val="20"/>
              </w:rPr>
            </w:pPr>
            <w:r>
              <w:rPr>
                <w:rFonts w:cs="宋体"/>
                <w:color w:val="000000"/>
                <w:szCs w:val="20"/>
              </w:rPr>
              <w:t>OPPUSER</w:t>
            </w:r>
          </w:p>
        </w:tc>
        <w:tc>
          <w:tcPr>
            <w:tcW w:w="1823" w:type="dxa"/>
            <w:shd w:val="clear" w:color="000000" w:fill="FFFFFF"/>
            <w:vAlign w:val="center"/>
          </w:tcPr>
          <w:p w14:paraId="5F6ABB75" w14:textId="77777777" w:rsidR="00A052DC" w:rsidRDefault="009F0A60">
            <w:pPr>
              <w:pStyle w:val="B"/>
              <w:rPr>
                <w:rFonts w:cs="宋体"/>
                <w:color w:val="000000"/>
                <w:szCs w:val="20"/>
              </w:rPr>
            </w:pPr>
            <w:r>
              <w:rPr>
                <w:rFonts w:cs="宋体" w:hint="eastAsia"/>
                <w:color w:val="000000"/>
                <w:szCs w:val="20"/>
              </w:rPr>
              <w:t>交易对手名称</w:t>
            </w:r>
          </w:p>
        </w:tc>
        <w:tc>
          <w:tcPr>
            <w:tcW w:w="1692" w:type="dxa"/>
            <w:shd w:val="clear" w:color="000000" w:fill="FFFFFF"/>
            <w:vAlign w:val="center"/>
          </w:tcPr>
          <w:p w14:paraId="1CA67337" w14:textId="77777777" w:rsidR="00A052DC" w:rsidRDefault="009F0A60">
            <w:pPr>
              <w:pStyle w:val="B"/>
              <w:rPr>
                <w:rFonts w:cs="宋体"/>
                <w:color w:val="000000"/>
                <w:szCs w:val="20"/>
              </w:rPr>
            </w:pPr>
            <w:r>
              <w:rPr>
                <w:rFonts w:cs="宋体" w:hint="eastAsia"/>
                <w:color w:val="000000"/>
                <w:szCs w:val="20"/>
              </w:rPr>
              <w:t>变长字符型，</w:t>
            </w:r>
            <w:r>
              <w:rPr>
                <w:rFonts w:cs="宋体"/>
                <w:color w:val="000000"/>
                <w:szCs w:val="20"/>
              </w:rPr>
              <w:t>128</w:t>
            </w:r>
          </w:p>
        </w:tc>
        <w:tc>
          <w:tcPr>
            <w:tcW w:w="3264" w:type="dxa"/>
            <w:shd w:val="clear" w:color="000000" w:fill="FFFFFF"/>
            <w:vAlign w:val="center"/>
          </w:tcPr>
          <w:p w14:paraId="389EB430" w14:textId="77777777" w:rsidR="00A052DC" w:rsidRDefault="00DD6AA3">
            <w:pPr>
              <w:pStyle w:val="B"/>
              <w:rPr>
                <w:rFonts w:cs="宋体"/>
                <w:color w:val="000000"/>
                <w:szCs w:val="20"/>
              </w:rPr>
            </w:pPr>
            <w:r>
              <w:rPr>
                <w:rFonts w:cs="宋体" w:hint="eastAsia"/>
                <w:color w:val="000000"/>
                <w:szCs w:val="20"/>
              </w:rPr>
              <w:t>非必填项</w:t>
            </w:r>
            <w:r w:rsidR="009F0A60">
              <w:rPr>
                <w:rFonts w:cs="宋体" w:hint="eastAsia"/>
                <w:color w:val="000000"/>
                <w:szCs w:val="20"/>
              </w:rPr>
              <w:t>，若业务类型为境内转出，</w:t>
            </w:r>
            <w:r w:rsidR="009F0A60">
              <w:rPr>
                <w:rFonts w:cs="宋体"/>
                <w:color w:val="000000"/>
                <w:szCs w:val="20"/>
              </w:rPr>
              <w:t>此项必填。</w:t>
            </w:r>
          </w:p>
        </w:tc>
      </w:tr>
      <w:tr w:rsidR="00A052DC" w14:paraId="525C52F1" w14:textId="77777777">
        <w:trPr>
          <w:cantSplit/>
          <w:trHeight w:val="300"/>
          <w:jc w:val="center"/>
        </w:trPr>
        <w:tc>
          <w:tcPr>
            <w:tcW w:w="1716" w:type="dxa"/>
            <w:shd w:val="clear" w:color="000000" w:fill="FFFFFF"/>
            <w:vAlign w:val="center"/>
          </w:tcPr>
          <w:p w14:paraId="533F2DF8" w14:textId="77777777" w:rsidR="00A052DC" w:rsidRDefault="009F0A60">
            <w:pPr>
              <w:pStyle w:val="B"/>
              <w:rPr>
                <w:rFonts w:cs="宋体"/>
                <w:color w:val="000000"/>
                <w:szCs w:val="20"/>
              </w:rPr>
            </w:pPr>
            <w:r>
              <w:rPr>
                <w:rFonts w:cs="宋体"/>
                <w:color w:val="000000"/>
                <w:szCs w:val="20"/>
              </w:rPr>
              <w:t>OPPACCTNO</w:t>
            </w:r>
          </w:p>
        </w:tc>
        <w:tc>
          <w:tcPr>
            <w:tcW w:w="1823" w:type="dxa"/>
            <w:shd w:val="clear" w:color="000000" w:fill="FFFFFF"/>
            <w:vAlign w:val="center"/>
          </w:tcPr>
          <w:p w14:paraId="39D36254" w14:textId="77777777" w:rsidR="00A052DC" w:rsidRDefault="009F0A60">
            <w:pPr>
              <w:pStyle w:val="B"/>
              <w:rPr>
                <w:rFonts w:cs="宋体"/>
                <w:color w:val="000000"/>
                <w:szCs w:val="20"/>
              </w:rPr>
            </w:pPr>
            <w:r>
              <w:rPr>
                <w:rFonts w:cs="宋体" w:hint="eastAsia"/>
                <w:color w:val="000000"/>
                <w:szCs w:val="20"/>
              </w:rPr>
              <w:t>交易对手账号</w:t>
            </w:r>
          </w:p>
        </w:tc>
        <w:tc>
          <w:tcPr>
            <w:tcW w:w="1692" w:type="dxa"/>
            <w:shd w:val="clear" w:color="000000" w:fill="FFFFFF"/>
            <w:vAlign w:val="center"/>
          </w:tcPr>
          <w:p w14:paraId="7D70052E" w14:textId="77777777" w:rsidR="00A052DC" w:rsidRDefault="009F0A60">
            <w:pPr>
              <w:pStyle w:val="B"/>
              <w:rPr>
                <w:rFonts w:cs="宋体"/>
                <w:color w:val="000000"/>
                <w:szCs w:val="20"/>
              </w:rPr>
            </w:pPr>
            <w:r>
              <w:rPr>
                <w:rFonts w:cs="宋体" w:hint="eastAsia"/>
                <w:color w:val="000000"/>
                <w:szCs w:val="20"/>
              </w:rPr>
              <w:t>变长字符型，</w:t>
            </w:r>
            <w:r>
              <w:rPr>
                <w:rFonts w:cs="宋体"/>
                <w:color w:val="000000"/>
                <w:szCs w:val="20"/>
              </w:rPr>
              <w:t>32</w:t>
            </w:r>
          </w:p>
        </w:tc>
        <w:tc>
          <w:tcPr>
            <w:tcW w:w="3264" w:type="dxa"/>
            <w:shd w:val="clear" w:color="000000" w:fill="FFFFFF"/>
            <w:vAlign w:val="center"/>
          </w:tcPr>
          <w:p w14:paraId="4D83BFA7" w14:textId="77777777" w:rsidR="00A052DC" w:rsidRDefault="00DD6AA3">
            <w:pPr>
              <w:pStyle w:val="B"/>
              <w:rPr>
                <w:rFonts w:cs="宋体"/>
                <w:color w:val="000000"/>
                <w:szCs w:val="20"/>
              </w:rPr>
            </w:pPr>
            <w:r>
              <w:rPr>
                <w:rFonts w:cs="宋体" w:hint="eastAsia"/>
                <w:color w:val="000000"/>
                <w:szCs w:val="20"/>
              </w:rPr>
              <w:t>非必填项</w:t>
            </w:r>
            <w:r w:rsidR="009F0A60">
              <w:rPr>
                <w:rFonts w:cs="宋体" w:hint="eastAsia"/>
                <w:color w:val="000000"/>
                <w:szCs w:val="20"/>
              </w:rPr>
              <w:t>，若业务类型为境内转出</w:t>
            </w:r>
            <w:r w:rsidR="009F0A60">
              <w:rPr>
                <w:rFonts w:cs="宋体"/>
                <w:color w:val="000000"/>
                <w:szCs w:val="20"/>
              </w:rPr>
              <w:t>,此项必填。</w:t>
            </w:r>
          </w:p>
        </w:tc>
      </w:tr>
      <w:tr w:rsidR="00A052DC" w14:paraId="04FFC316" w14:textId="77777777">
        <w:trPr>
          <w:cantSplit/>
          <w:trHeight w:val="300"/>
          <w:jc w:val="center"/>
        </w:trPr>
        <w:tc>
          <w:tcPr>
            <w:tcW w:w="1716" w:type="dxa"/>
            <w:shd w:val="clear" w:color="000000" w:fill="FFFFFF"/>
            <w:vAlign w:val="center"/>
          </w:tcPr>
          <w:p w14:paraId="3AE6C942" w14:textId="77777777" w:rsidR="00A052DC" w:rsidRDefault="009F0A60">
            <w:pPr>
              <w:pStyle w:val="B"/>
              <w:rPr>
                <w:rFonts w:cs="宋体"/>
                <w:color w:val="000000"/>
                <w:szCs w:val="20"/>
              </w:rPr>
            </w:pPr>
            <w:r>
              <w:rPr>
                <w:rFonts w:cs="宋体"/>
                <w:color w:val="000000"/>
                <w:szCs w:val="20"/>
              </w:rPr>
              <w:t>BRANCH_NAME_2</w:t>
            </w:r>
          </w:p>
        </w:tc>
        <w:tc>
          <w:tcPr>
            <w:tcW w:w="1823" w:type="dxa"/>
            <w:shd w:val="clear" w:color="000000" w:fill="FFFFFF"/>
            <w:vAlign w:val="center"/>
          </w:tcPr>
          <w:p w14:paraId="42C3BD6C" w14:textId="77777777" w:rsidR="00A052DC" w:rsidRDefault="009F0A60">
            <w:pPr>
              <w:pStyle w:val="B"/>
              <w:rPr>
                <w:rFonts w:cs="宋体"/>
                <w:color w:val="000000"/>
                <w:szCs w:val="20"/>
              </w:rPr>
            </w:pPr>
            <w:r>
              <w:rPr>
                <w:rFonts w:cs="宋体" w:hint="eastAsia"/>
                <w:color w:val="000000"/>
                <w:szCs w:val="20"/>
              </w:rPr>
              <w:t>交易对手开户银行名称</w:t>
            </w:r>
          </w:p>
        </w:tc>
        <w:tc>
          <w:tcPr>
            <w:tcW w:w="1692" w:type="dxa"/>
            <w:shd w:val="clear" w:color="000000" w:fill="FFFFFF"/>
            <w:vAlign w:val="center"/>
          </w:tcPr>
          <w:p w14:paraId="6A46A6E8" w14:textId="77777777" w:rsidR="00A052DC" w:rsidRDefault="009F0A60">
            <w:pPr>
              <w:pStyle w:val="B"/>
              <w:rPr>
                <w:rFonts w:cs="宋体"/>
                <w:color w:val="000000"/>
                <w:szCs w:val="20"/>
              </w:rPr>
            </w:pPr>
            <w:r>
              <w:rPr>
                <w:rFonts w:cs="宋体" w:hint="eastAsia"/>
                <w:color w:val="000000"/>
                <w:szCs w:val="20"/>
              </w:rPr>
              <w:t>变长字符型，</w:t>
            </w:r>
            <w:r>
              <w:rPr>
                <w:rFonts w:cs="宋体"/>
                <w:color w:val="000000"/>
                <w:szCs w:val="20"/>
              </w:rPr>
              <w:t>128</w:t>
            </w:r>
          </w:p>
        </w:tc>
        <w:tc>
          <w:tcPr>
            <w:tcW w:w="3264" w:type="dxa"/>
            <w:shd w:val="clear" w:color="000000" w:fill="FFFFFF"/>
            <w:vAlign w:val="center"/>
          </w:tcPr>
          <w:p w14:paraId="337E07D8" w14:textId="77777777" w:rsidR="00A052DC" w:rsidRDefault="00DD6AA3">
            <w:pPr>
              <w:pStyle w:val="B"/>
              <w:rPr>
                <w:rFonts w:cs="宋体"/>
                <w:color w:val="000000"/>
                <w:szCs w:val="20"/>
              </w:rPr>
            </w:pPr>
            <w:r>
              <w:rPr>
                <w:rFonts w:cs="宋体" w:hint="eastAsia"/>
                <w:color w:val="000000"/>
                <w:szCs w:val="20"/>
              </w:rPr>
              <w:t>非必填项</w:t>
            </w:r>
            <w:r w:rsidR="009F0A60">
              <w:rPr>
                <w:rFonts w:cs="宋体" w:hint="eastAsia"/>
                <w:color w:val="000000"/>
                <w:szCs w:val="20"/>
              </w:rPr>
              <w:t>，若业务类型为境内转出，此项必填。</w:t>
            </w:r>
          </w:p>
        </w:tc>
      </w:tr>
      <w:tr w:rsidR="00A052DC" w14:paraId="4711006C" w14:textId="77777777">
        <w:trPr>
          <w:cantSplit/>
          <w:trHeight w:val="300"/>
          <w:jc w:val="center"/>
        </w:trPr>
        <w:tc>
          <w:tcPr>
            <w:tcW w:w="1716" w:type="dxa"/>
            <w:shd w:val="clear" w:color="000000" w:fill="FFFFFF"/>
            <w:vAlign w:val="center"/>
          </w:tcPr>
          <w:p w14:paraId="62EBDFC2" w14:textId="77777777" w:rsidR="00A052DC" w:rsidRDefault="009F0A60">
            <w:pPr>
              <w:pStyle w:val="B"/>
              <w:rPr>
                <w:rFonts w:cs="宋体"/>
                <w:color w:val="000000"/>
                <w:szCs w:val="20"/>
              </w:rPr>
            </w:pPr>
            <w:r>
              <w:rPr>
                <w:rFonts w:cs="宋体"/>
                <w:color w:val="000000"/>
                <w:szCs w:val="20"/>
              </w:rPr>
              <w:t>IP</w:t>
            </w:r>
          </w:p>
        </w:tc>
        <w:tc>
          <w:tcPr>
            <w:tcW w:w="1823" w:type="dxa"/>
            <w:shd w:val="clear" w:color="000000" w:fill="FFFFFF"/>
            <w:vAlign w:val="center"/>
          </w:tcPr>
          <w:p w14:paraId="0DF3FB3C" w14:textId="77777777" w:rsidR="00A052DC" w:rsidRDefault="009F0A60">
            <w:pPr>
              <w:pStyle w:val="B"/>
              <w:rPr>
                <w:rFonts w:cs="宋体"/>
                <w:color w:val="000000"/>
                <w:szCs w:val="20"/>
              </w:rPr>
            </w:pPr>
            <w:r>
              <w:rPr>
                <w:rFonts w:cs="宋体"/>
                <w:color w:val="000000"/>
                <w:szCs w:val="20"/>
              </w:rPr>
              <w:t>IP地址</w:t>
            </w:r>
          </w:p>
        </w:tc>
        <w:tc>
          <w:tcPr>
            <w:tcW w:w="1692" w:type="dxa"/>
            <w:shd w:val="clear" w:color="000000" w:fill="FFFFFF"/>
            <w:vAlign w:val="center"/>
          </w:tcPr>
          <w:p w14:paraId="63F9D388" w14:textId="77777777" w:rsidR="00A052DC" w:rsidRDefault="009F0A60">
            <w:pPr>
              <w:pStyle w:val="B"/>
              <w:rPr>
                <w:rFonts w:cs="宋体"/>
                <w:color w:val="000000"/>
                <w:szCs w:val="20"/>
              </w:rPr>
            </w:pPr>
            <w:r>
              <w:rPr>
                <w:rFonts w:cs="宋体" w:hint="eastAsia"/>
                <w:color w:val="000000"/>
                <w:szCs w:val="20"/>
              </w:rPr>
              <w:t>变长字符型，</w:t>
            </w:r>
            <w:r>
              <w:rPr>
                <w:rFonts w:cs="宋体"/>
                <w:color w:val="000000"/>
                <w:szCs w:val="20"/>
              </w:rPr>
              <w:t>128</w:t>
            </w:r>
          </w:p>
        </w:tc>
        <w:tc>
          <w:tcPr>
            <w:tcW w:w="3264" w:type="dxa"/>
            <w:shd w:val="clear" w:color="000000" w:fill="FFFFFF"/>
            <w:vAlign w:val="center"/>
          </w:tcPr>
          <w:p w14:paraId="02350517" w14:textId="77777777" w:rsidR="00A052DC" w:rsidRDefault="009F0A60">
            <w:pPr>
              <w:pStyle w:val="B"/>
              <w:rPr>
                <w:rFonts w:cs="宋体"/>
                <w:color w:val="000000"/>
                <w:szCs w:val="20"/>
              </w:rPr>
            </w:pPr>
            <w:r>
              <w:rPr>
                <w:rFonts w:cs="宋体" w:hint="eastAsia"/>
                <w:color w:val="000000"/>
                <w:szCs w:val="20"/>
              </w:rPr>
              <w:t>必填项。如果无法提供，则</w:t>
            </w:r>
            <w:r>
              <w:rPr>
                <w:rFonts w:cs="宋体"/>
                <w:color w:val="000000"/>
                <w:szCs w:val="20"/>
              </w:rPr>
              <w:t>写明原因。</w:t>
            </w:r>
          </w:p>
        </w:tc>
      </w:tr>
      <w:tr w:rsidR="00A052DC" w14:paraId="1EC08679" w14:textId="77777777">
        <w:trPr>
          <w:cantSplit/>
          <w:trHeight w:val="300"/>
          <w:jc w:val="center"/>
        </w:trPr>
        <w:tc>
          <w:tcPr>
            <w:tcW w:w="1716" w:type="dxa"/>
            <w:shd w:val="clear" w:color="000000" w:fill="FFFFFF"/>
            <w:vAlign w:val="center"/>
          </w:tcPr>
          <w:p w14:paraId="724A0A7F" w14:textId="77777777" w:rsidR="00A052DC" w:rsidRDefault="009F0A60">
            <w:pPr>
              <w:pStyle w:val="B"/>
              <w:rPr>
                <w:rFonts w:cs="宋体"/>
                <w:color w:val="000000"/>
                <w:szCs w:val="20"/>
              </w:rPr>
            </w:pPr>
            <w:r>
              <w:rPr>
                <w:rFonts w:cs="宋体"/>
                <w:color w:val="000000"/>
                <w:szCs w:val="20"/>
              </w:rPr>
              <w:t>MAC</w:t>
            </w:r>
          </w:p>
        </w:tc>
        <w:tc>
          <w:tcPr>
            <w:tcW w:w="1823" w:type="dxa"/>
            <w:shd w:val="clear" w:color="000000" w:fill="FFFFFF"/>
            <w:vAlign w:val="center"/>
          </w:tcPr>
          <w:p w14:paraId="1D81A41F" w14:textId="77777777" w:rsidR="00A052DC" w:rsidRDefault="009F0A60">
            <w:pPr>
              <w:pStyle w:val="B"/>
              <w:rPr>
                <w:rFonts w:cs="宋体"/>
                <w:color w:val="000000"/>
                <w:szCs w:val="20"/>
              </w:rPr>
            </w:pPr>
            <w:r>
              <w:rPr>
                <w:rFonts w:cs="宋体"/>
                <w:color w:val="000000"/>
                <w:szCs w:val="20"/>
              </w:rPr>
              <w:t>MAC地址</w:t>
            </w:r>
          </w:p>
        </w:tc>
        <w:tc>
          <w:tcPr>
            <w:tcW w:w="1692" w:type="dxa"/>
            <w:shd w:val="clear" w:color="000000" w:fill="FFFFFF"/>
            <w:vAlign w:val="center"/>
          </w:tcPr>
          <w:p w14:paraId="11820804" w14:textId="77777777" w:rsidR="00A052DC" w:rsidRDefault="009F0A60">
            <w:pPr>
              <w:pStyle w:val="B"/>
              <w:rPr>
                <w:rFonts w:cs="宋体"/>
                <w:color w:val="000000"/>
                <w:szCs w:val="20"/>
              </w:rPr>
            </w:pPr>
            <w:r>
              <w:rPr>
                <w:rFonts w:cs="宋体" w:hint="eastAsia"/>
                <w:color w:val="000000"/>
                <w:szCs w:val="20"/>
              </w:rPr>
              <w:t>变长字符型，</w:t>
            </w:r>
            <w:r>
              <w:rPr>
                <w:rFonts w:cs="宋体"/>
                <w:color w:val="000000"/>
                <w:szCs w:val="20"/>
              </w:rPr>
              <w:t>128</w:t>
            </w:r>
          </w:p>
        </w:tc>
        <w:tc>
          <w:tcPr>
            <w:tcW w:w="3264" w:type="dxa"/>
            <w:shd w:val="clear" w:color="000000" w:fill="FFFFFF"/>
            <w:vAlign w:val="center"/>
          </w:tcPr>
          <w:p w14:paraId="447A3142" w14:textId="77777777" w:rsidR="00A052DC" w:rsidRDefault="009F0A60">
            <w:pPr>
              <w:pStyle w:val="B"/>
              <w:rPr>
                <w:rFonts w:cs="宋体"/>
                <w:color w:val="000000"/>
                <w:szCs w:val="20"/>
              </w:rPr>
            </w:pPr>
            <w:r>
              <w:rPr>
                <w:rFonts w:cs="宋体" w:hint="eastAsia"/>
                <w:color w:val="000000"/>
                <w:szCs w:val="20"/>
              </w:rPr>
              <w:t>必填项。如果无法提供，则</w:t>
            </w:r>
            <w:r>
              <w:rPr>
                <w:rFonts w:cs="宋体"/>
                <w:color w:val="000000"/>
                <w:szCs w:val="20"/>
              </w:rPr>
              <w:t>写明原因。</w:t>
            </w:r>
          </w:p>
        </w:tc>
      </w:tr>
      <w:tr w:rsidR="00A052DC" w14:paraId="3F70CBEB" w14:textId="77777777">
        <w:trPr>
          <w:cantSplit/>
          <w:trHeight w:val="300"/>
          <w:jc w:val="center"/>
        </w:trPr>
        <w:tc>
          <w:tcPr>
            <w:tcW w:w="1716" w:type="dxa"/>
            <w:shd w:val="clear" w:color="000000" w:fill="FFFFFF"/>
            <w:vAlign w:val="center"/>
          </w:tcPr>
          <w:p w14:paraId="5AF38D19" w14:textId="77777777" w:rsidR="00A052DC" w:rsidRDefault="009F0A60">
            <w:pPr>
              <w:pStyle w:val="B"/>
              <w:rPr>
                <w:rFonts w:cs="宋体"/>
                <w:color w:val="000000"/>
                <w:szCs w:val="20"/>
              </w:rPr>
            </w:pPr>
            <w:r>
              <w:rPr>
                <w:rFonts w:cs="宋体"/>
                <w:color w:val="000000"/>
                <w:szCs w:val="20"/>
              </w:rPr>
              <w:t>REMARKS</w:t>
            </w:r>
          </w:p>
        </w:tc>
        <w:tc>
          <w:tcPr>
            <w:tcW w:w="1823" w:type="dxa"/>
            <w:shd w:val="clear" w:color="000000" w:fill="FFFFFF"/>
            <w:vAlign w:val="center"/>
          </w:tcPr>
          <w:p w14:paraId="4C78DA50" w14:textId="77777777" w:rsidR="00A052DC" w:rsidRDefault="009F0A60">
            <w:pPr>
              <w:pStyle w:val="B"/>
              <w:rPr>
                <w:rFonts w:cs="宋体"/>
                <w:color w:val="000000"/>
                <w:szCs w:val="20"/>
              </w:rPr>
            </w:pPr>
            <w:r>
              <w:rPr>
                <w:rFonts w:cs="宋体" w:hint="eastAsia"/>
                <w:color w:val="000000"/>
                <w:szCs w:val="20"/>
              </w:rPr>
              <w:t>备注</w:t>
            </w:r>
          </w:p>
        </w:tc>
        <w:tc>
          <w:tcPr>
            <w:tcW w:w="1692" w:type="dxa"/>
            <w:shd w:val="clear" w:color="000000" w:fill="FFFFFF"/>
            <w:vAlign w:val="center"/>
          </w:tcPr>
          <w:p w14:paraId="535C0DEC" w14:textId="77777777" w:rsidR="00A052DC" w:rsidRDefault="009F0A60">
            <w:pPr>
              <w:pStyle w:val="B"/>
              <w:rPr>
                <w:rFonts w:cs="宋体"/>
                <w:color w:val="000000"/>
                <w:szCs w:val="20"/>
              </w:rPr>
            </w:pPr>
            <w:r>
              <w:rPr>
                <w:rFonts w:cs="宋体" w:hint="eastAsia"/>
                <w:color w:val="000000"/>
                <w:szCs w:val="20"/>
              </w:rPr>
              <w:t>变长字符型，</w:t>
            </w:r>
            <w:r>
              <w:rPr>
                <w:rFonts w:cs="宋体"/>
                <w:color w:val="000000"/>
                <w:szCs w:val="20"/>
              </w:rPr>
              <w:t>128</w:t>
            </w:r>
          </w:p>
        </w:tc>
        <w:tc>
          <w:tcPr>
            <w:tcW w:w="3264" w:type="dxa"/>
            <w:shd w:val="clear" w:color="000000" w:fill="FFFFFF"/>
            <w:vAlign w:val="center"/>
          </w:tcPr>
          <w:p w14:paraId="0D8EEEEE" w14:textId="77777777" w:rsidR="00A052DC" w:rsidRDefault="00DD6AA3">
            <w:pPr>
              <w:pStyle w:val="B"/>
              <w:rPr>
                <w:rFonts w:cs="宋体"/>
                <w:color w:val="000000"/>
                <w:szCs w:val="20"/>
              </w:rPr>
            </w:pPr>
            <w:r>
              <w:rPr>
                <w:rFonts w:cs="宋体" w:hint="eastAsia"/>
                <w:color w:val="000000"/>
                <w:szCs w:val="20"/>
              </w:rPr>
              <w:t>非必填项</w:t>
            </w:r>
            <w:r w:rsidR="009F0A60">
              <w:rPr>
                <w:rFonts w:cs="宋体" w:hint="eastAsia"/>
                <w:color w:val="000000"/>
                <w:szCs w:val="20"/>
              </w:rPr>
              <w:t>。</w:t>
            </w:r>
          </w:p>
        </w:tc>
      </w:tr>
    </w:tbl>
    <w:p w14:paraId="654BDDB2" w14:textId="77777777" w:rsidR="00A052DC" w:rsidRDefault="009F0A60">
      <w:pPr>
        <w:pStyle w:val="3"/>
        <w:ind w:left="0"/>
        <w:rPr>
          <w:rFonts w:ascii="Times New Roman" w:hAnsi="Times New Roman"/>
        </w:rPr>
      </w:pPr>
      <w:bookmarkStart w:id="4377" w:name="_Toc101684526"/>
      <w:r>
        <w:rPr>
          <w:rFonts w:ascii="Times New Roman" w:hAnsi="Times New Roman" w:hint="eastAsia"/>
        </w:rPr>
        <w:t>机构大额购汇资金来源数据</w:t>
      </w:r>
      <w:bookmarkEnd w:id="4377"/>
    </w:p>
    <w:p w14:paraId="2A84E203" w14:textId="77777777" w:rsidR="00A052DC" w:rsidRDefault="009F0A60" w:rsidP="0020251D">
      <w:pPr>
        <w:pStyle w:val="4"/>
        <w:numPr>
          <w:ilvl w:val="3"/>
          <w:numId w:val="1"/>
        </w:numPr>
        <w:jc w:val="left"/>
      </w:pPr>
      <w:r>
        <w:rPr>
          <w:rFonts w:hint="eastAsia"/>
        </w:rPr>
        <w:t>数据术语解释</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6854"/>
      </w:tblGrid>
      <w:tr w:rsidR="00A052DC" w14:paraId="2ED67334" w14:textId="77777777">
        <w:trPr>
          <w:jc w:val="center"/>
        </w:trPr>
        <w:tc>
          <w:tcPr>
            <w:tcW w:w="1668" w:type="dxa"/>
            <w:shd w:val="clear" w:color="auto" w:fill="BFBFBF" w:themeFill="background1" w:themeFillShade="BF"/>
          </w:tcPr>
          <w:p w14:paraId="46DF5997" w14:textId="77777777" w:rsidR="00A052DC" w:rsidRDefault="009F0A60">
            <w:pPr>
              <w:jc w:val="center"/>
              <w:rPr>
                <w:rFonts w:ascii="黑体" w:eastAsia="黑体" w:hAnsi="黑体"/>
                <w:b/>
                <w:sz w:val="20"/>
                <w:szCs w:val="20"/>
              </w:rPr>
            </w:pPr>
            <w:r>
              <w:rPr>
                <w:rFonts w:ascii="黑体" w:eastAsia="黑体" w:hAnsi="黑体" w:hint="eastAsia"/>
                <w:b/>
                <w:sz w:val="20"/>
                <w:szCs w:val="20"/>
              </w:rPr>
              <w:t>基础数据项</w:t>
            </w:r>
          </w:p>
        </w:tc>
        <w:tc>
          <w:tcPr>
            <w:tcW w:w="6854" w:type="dxa"/>
            <w:shd w:val="clear" w:color="auto" w:fill="BFBFBF" w:themeFill="background1" w:themeFillShade="BF"/>
          </w:tcPr>
          <w:p w14:paraId="017CE128" w14:textId="77777777" w:rsidR="00A052DC" w:rsidRDefault="009F0A60">
            <w:pPr>
              <w:jc w:val="center"/>
              <w:rPr>
                <w:rFonts w:ascii="黑体" w:eastAsia="黑体" w:hAnsi="黑体"/>
                <w:b/>
                <w:sz w:val="20"/>
                <w:szCs w:val="20"/>
              </w:rPr>
            </w:pPr>
            <w:r>
              <w:rPr>
                <w:rFonts w:ascii="黑体" w:eastAsia="黑体" w:hAnsi="黑体" w:hint="eastAsia"/>
                <w:b/>
                <w:sz w:val="20"/>
                <w:szCs w:val="20"/>
              </w:rPr>
              <w:t>定义</w:t>
            </w:r>
          </w:p>
        </w:tc>
      </w:tr>
      <w:tr w:rsidR="00A052DC" w14:paraId="1827BE42" w14:textId="77777777">
        <w:trPr>
          <w:jc w:val="center"/>
        </w:trPr>
        <w:tc>
          <w:tcPr>
            <w:tcW w:w="1668" w:type="dxa"/>
          </w:tcPr>
          <w:p w14:paraId="740E6A28" w14:textId="77777777" w:rsidR="00A052DC" w:rsidRDefault="009F0A60">
            <w:pPr>
              <w:rPr>
                <w:rFonts w:ascii="黑体" w:eastAsia="黑体" w:hAnsi="黑体"/>
                <w:sz w:val="20"/>
                <w:szCs w:val="20"/>
              </w:rPr>
            </w:pPr>
            <w:r>
              <w:rPr>
                <w:rFonts w:ascii="黑体" w:eastAsia="黑体" w:hAnsi="黑体" w:hint="eastAsia"/>
                <w:sz w:val="20"/>
                <w:szCs w:val="20"/>
              </w:rPr>
              <w:t>申报号码</w:t>
            </w:r>
          </w:p>
        </w:tc>
        <w:tc>
          <w:tcPr>
            <w:tcW w:w="6854" w:type="dxa"/>
          </w:tcPr>
          <w:p w14:paraId="680B64D2" w14:textId="77777777" w:rsidR="00A052DC" w:rsidRDefault="009F0A60">
            <w:pPr>
              <w:rPr>
                <w:rFonts w:ascii="黑体" w:eastAsia="黑体" w:hAnsi="黑体"/>
                <w:sz w:val="20"/>
                <w:szCs w:val="20"/>
              </w:rPr>
            </w:pPr>
            <w:r>
              <w:rPr>
                <w:rFonts w:ascii="黑体" w:eastAsia="黑体" w:hAnsi="黑体" w:hint="eastAsia"/>
                <w:sz w:val="20"/>
                <w:szCs w:val="20"/>
              </w:rPr>
              <w:t>指境内银行针对大额购汇资金来源的交易，按国家外汇管理局要求编制的号码，共计</w:t>
            </w:r>
            <w:r>
              <w:rPr>
                <w:rFonts w:ascii="黑体" w:eastAsia="黑体" w:hAnsi="黑体"/>
                <w:sz w:val="20"/>
                <w:szCs w:val="20"/>
              </w:rPr>
              <w:t>22位。编码规则：12位金融机构标识码+6位支付日期（YYMMDD）+4位银行业务流水码。交易日期不能大于系统日期。若该网点未申领12位金融机构标识码，则填写上级机构对应的12位金融机构标识码。流水码允许使用英文大写字母（A-Z）和数字（0-9）。</w:t>
            </w:r>
          </w:p>
        </w:tc>
      </w:tr>
      <w:tr w:rsidR="00A052DC" w14:paraId="67ED2389" w14:textId="77777777">
        <w:trPr>
          <w:jc w:val="center"/>
        </w:trPr>
        <w:tc>
          <w:tcPr>
            <w:tcW w:w="1668" w:type="dxa"/>
          </w:tcPr>
          <w:p w14:paraId="47BAA804" w14:textId="77777777" w:rsidR="00A052DC" w:rsidRDefault="009F0A60">
            <w:pPr>
              <w:rPr>
                <w:rFonts w:ascii="黑体" w:eastAsia="黑体" w:hAnsi="黑体"/>
                <w:sz w:val="20"/>
                <w:szCs w:val="20"/>
              </w:rPr>
            </w:pPr>
            <w:r>
              <w:rPr>
                <w:rFonts w:ascii="黑体" w:eastAsia="黑体" w:hAnsi="黑体" w:hint="eastAsia"/>
                <w:sz w:val="20"/>
                <w:szCs w:val="20"/>
              </w:rPr>
              <w:t>银行业务参号</w:t>
            </w:r>
          </w:p>
        </w:tc>
        <w:tc>
          <w:tcPr>
            <w:tcW w:w="6854" w:type="dxa"/>
          </w:tcPr>
          <w:p w14:paraId="5ECC8A93" w14:textId="77777777" w:rsidR="00A052DC" w:rsidRDefault="009F0A60">
            <w:pPr>
              <w:rPr>
                <w:rFonts w:ascii="黑体" w:eastAsia="黑体" w:hAnsi="黑体"/>
                <w:sz w:val="20"/>
                <w:szCs w:val="20"/>
              </w:rPr>
            </w:pPr>
            <w:r>
              <w:rPr>
                <w:rFonts w:ascii="黑体" w:eastAsia="黑体" w:hAnsi="黑体" w:hint="eastAsia"/>
                <w:sz w:val="20"/>
                <w:szCs w:val="20"/>
              </w:rPr>
              <w:t>指该笔业务在银行的业务参号。</w:t>
            </w:r>
          </w:p>
        </w:tc>
      </w:tr>
      <w:tr w:rsidR="00A052DC" w14:paraId="29EBC334" w14:textId="77777777">
        <w:trPr>
          <w:jc w:val="center"/>
        </w:trPr>
        <w:tc>
          <w:tcPr>
            <w:tcW w:w="1668" w:type="dxa"/>
          </w:tcPr>
          <w:p w14:paraId="0F791B76" w14:textId="77777777" w:rsidR="00A052DC" w:rsidRDefault="009F0A60">
            <w:pPr>
              <w:rPr>
                <w:rFonts w:ascii="黑体" w:eastAsia="黑体" w:hAnsi="黑体"/>
                <w:sz w:val="20"/>
                <w:szCs w:val="20"/>
              </w:rPr>
            </w:pPr>
            <w:r>
              <w:rPr>
                <w:rFonts w:ascii="黑体" w:eastAsia="黑体" w:hAnsi="黑体" w:hint="eastAsia"/>
                <w:sz w:val="20"/>
                <w:szCs w:val="20"/>
              </w:rPr>
              <w:t>业务类型</w:t>
            </w:r>
          </w:p>
        </w:tc>
        <w:tc>
          <w:tcPr>
            <w:tcW w:w="6854" w:type="dxa"/>
          </w:tcPr>
          <w:p w14:paraId="341F256E" w14:textId="77777777" w:rsidR="00A052DC" w:rsidRDefault="009F0A60">
            <w:pPr>
              <w:rPr>
                <w:rFonts w:ascii="黑体" w:eastAsia="黑体" w:hAnsi="黑体"/>
                <w:sz w:val="20"/>
                <w:szCs w:val="20"/>
              </w:rPr>
            </w:pPr>
            <w:r>
              <w:rPr>
                <w:rFonts w:ascii="黑体" w:eastAsia="黑体" w:hAnsi="黑体" w:hint="eastAsia"/>
                <w:sz w:val="20"/>
                <w:szCs w:val="20"/>
              </w:rPr>
              <w:t>指大额购汇资金来源交易的业务类型，包括：1-存钞；2-境内转入。</w:t>
            </w:r>
          </w:p>
        </w:tc>
      </w:tr>
      <w:tr w:rsidR="00A052DC" w14:paraId="33C03BDF" w14:textId="77777777">
        <w:trPr>
          <w:jc w:val="center"/>
        </w:trPr>
        <w:tc>
          <w:tcPr>
            <w:tcW w:w="1668" w:type="dxa"/>
          </w:tcPr>
          <w:p w14:paraId="54AC7E5A" w14:textId="77777777" w:rsidR="00A052DC" w:rsidRDefault="009F0A60">
            <w:pPr>
              <w:rPr>
                <w:rFonts w:ascii="黑体" w:eastAsia="黑体" w:hAnsi="黑体"/>
                <w:sz w:val="20"/>
                <w:szCs w:val="20"/>
              </w:rPr>
            </w:pPr>
            <w:r>
              <w:rPr>
                <w:rFonts w:ascii="黑体" w:eastAsia="黑体" w:hAnsi="黑体" w:hint="eastAsia"/>
                <w:sz w:val="20"/>
                <w:szCs w:val="20"/>
              </w:rPr>
              <w:t>开户类型</w:t>
            </w:r>
          </w:p>
        </w:tc>
        <w:tc>
          <w:tcPr>
            <w:tcW w:w="6854" w:type="dxa"/>
          </w:tcPr>
          <w:p w14:paraId="78782213" w14:textId="77777777" w:rsidR="00A052DC" w:rsidRDefault="009F0A60">
            <w:pPr>
              <w:rPr>
                <w:rFonts w:ascii="黑体" w:eastAsia="黑体" w:hAnsi="黑体"/>
                <w:sz w:val="20"/>
                <w:szCs w:val="20"/>
              </w:rPr>
            </w:pPr>
            <w:r>
              <w:rPr>
                <w:rFonts w:ascii="黑体" w:eastAsia="黑体" w:hAnsi="黑体" w:hint="eastAsia"/>
                <w:sz w:val="20"/>
                <w:szCs w:val="20"/>
              </w:rPr>
              <w:t>如主体为机构，则选择C-对公账户；如主体为个人，则选择D-对私账户</w:t>
            </w:r>
            <w:r w:rsidR="005D2C5E">
              <w:rPr>
                <w:rFonts w:ascii="黑体" w:eastAsia="黑体" w:hAnsi="黑体" w:hint="eastAsia"/>
                <w:sz w:val="20"/>
                <w:szCs w:val="20"/>
              </w:rPr>
              <w:t>。</w:t>
            </w:r>
          </w:p>
        </w:tc>
      </w:tr>
      <w:tr w:rsidR="00A052DC" w14:paraId="65FCFB00" w14:textId="77777777">
        <w:trPr>
          <w:jc w:val="center"/>
        </w:trPr>
        <w:tc>
          <w:tcPr>
            <w:tcW w:w="1668" w:type="dxa"/>
          </w:tcPr>
          <w:p w14:paraId="70C5B559" w14:textId="77777777" w:rsidR="00A052DC" w:rsidRDefault="009F0A60">
            <w:pPr>
              <w:rPr>
                <w:rFonts w:ascii="黑体" w:eastAsia="黑体" w:hAnsi="黑体"/>
                <w:sz w:val="20"/>
                <w:szCs w:val="20"/>
              </w:rPr>
            </w:pPr>
            <w:r>
              <w:rPr>
                <w:rFonts w:ascii="黑体" w:eastAsia="黑体" w:hAnsi="黑体" w:hint="eastAsia"/>
                <w:sz w:val="20"/>
                <w:szCs w:val="20"/>
              </w:rPr>
              <w:t>开户主体名称</w:t>
            </w:r>
          </w:p>
        </w:tc>
        <w:tc>
          <w:tcPr>
            <w:tcW w:w="6854" w:type="dxa"/>
          </w:tcPr>
          <w:p w14:paraId="6BCB0147" w14:textId="77777777" w:rsidR="00A052DC" w:rsidRDefault="009F0A60">
            <w:pPr>
              <w:rPr>
                <w:rFonts w:ascii="黑体" w:eastAsia="黑体" w:hAnsi="黑体"/>
                <w:sz w:val="20"/>
                <w:szCs w:val="20"/>
              </w:rPr>
            </w:pPr>
            <w:r>
              <w:rPr>
                <w:rFonts w:ascii="黑体" w:eastAsia="黑体" w:hAnsi="黑体" w:hint="eastAsia"/>
                <w:sz w:val="20"/>
                <w:szCs w:val="20"/>
              </w:rPr>
              <w:t>指开户人预留银行印鉴、营业执照、或国家外汇管理局及其分支局签发的特殊机构代码赋码通知书上的名称。</w:t>
            </w:r>
          </w:p>
        </w:tc>
      </w:tr>
      <w:tr w:rsidR="00A052DC" w14:paraId="27B1BAA4" w14:textId="77777777">
        <w:trPr>
          <w:jc w:val="center"/>
        </w:trPr>
        <w:tc>
          <w:tcPr>
            <w:tcW w:w="1668" w:type="dxa"/>
          </w:tcPr>
          <w:p w14:paraId="353612BB" w14:textId="77777777" w:rsidR="00A052DC" w:rsidRDefault="009F0A60">
            <w:pPr>
              <w:rPr>
                <w:rFonts w:ascii="黑体" w:eastAsia="黑体" w:hAnsi="黑体"/>
                <w:sz w:val="20"/>
                <w:szCs w:val="20"/>
              </w:rPr>
            </w:pPr>
            <w:r>
              <w:rPr>
                <w:rFonts w:ascii="黑体" w:eastAsia="黑体" w:hAnsi="黑体" w:hint="eastAsia"/>
                <w:sz w:val="20"/>
                <w:szCs w:val="20"/>
              </w:rPr>
              <w:t>开户主体代码</w:t>
            </w:r>
          </w:p>
        </w:tc>
        <w:tc>
          <w:tcPr>
            <w:tcW w:w="6854" w:type="dxa"/>
          </w:tcPr>
          <w:p w14:paraId="767960B4" w14:textId="77777777" w:rsidR="00A052DC" w:rsidRDefault="009F0A60">
            <w:pPr>
              <w:rPr>
                <w:rFonts w:ascii="黑体" w:eastAsia="黑体" w:hAnsi="黑体"/>
                <w:sz w:val="20"/>
                <w:szCs w:val="20"/>
              </w:rPr>
            </w:pPr>
            <w:r>
              <w:rPr>
                <w:rFonts w:ascii="黑体" w:eastAsia="黑体" w:hAnsi="黑体" w:hint="eastAsia"/>
                <w:sz w:val="20"/>
                <w:szCs w:val="20"/>
              </w:rPr>
              <w:t>如果开户主体人为境内机构，应填写统一社会信用代码法定载体（如营业执照）上统一社会信用代码中的第9至17位或国家外汇管理局及其分支局签发的特殊机构代码赋码通知书上的机构代码。</w:t>
            </w:r>
          </w:p>
          <w:p w14:paraId="297FD240" w14:textId="77777777" w:rsidR="00A052DC" w:rsidRDefault="009F0A60">
            <w:pPr>
              <w:rPr>
                <w:rFonts w:ascii="黑体" w:eastAsia="黑体" w:hAnsi="黑体"/>
                <w:sz w:val="20"/>
                <w:szCs w:val="20"/>
              </w:rPr>
            </w:pPr>
            <w:r>
              <w:rPr>
                <w:rFonts w:ascii="黑体" w:eastAsia="黑体" w:hAnsi="黑体" w:hint="eastAsia"/>
                <w:sz w:val="20"/>
                <w:szCs w:val="20"/>
              </w:rPr>
              <w:t>如果开户主体为境内个人，应填写开户主体个人身份证件号码。</w:t>
            </w:r>
          </w:p>
        </w:tc>
      </w:tr>
      <w:tr w:rsidR="00A052DC" w14:paraId="2AFAF9D6" w14:textId="77777777">
        <w:trPr>
          <w:jc w:val="center"/>
        </w:trPr>
        <w:tc>
          <w:tcPr>
            <w:tcW w:w="1668" w:type="dxa"/>
          </w:tcPr>
          <w:p w14:paraId="6851F3CD" w14:textId="77777777" w:rsidR="00A052DC" w:rsidRDefault="009F0A60">
            <w:pPr>
              <w:rPr>
                <w:rFonts w:ascii="黑体" w:eastAsia="黑体" w:hAnsi="黑体"/>
                <w:sz w:val="20"/>
                <w:szCs w:val="20"/>
              </w:rPr>
            </w:pPr>
            <w:r>
              <w:rPr>
                <w:rFonts w:ascii="黑体" w:eastAsia="黑体" w:hAnsi="黑体" w:hint="eastAsia"/>
                <w:sz w:val="20"/>
                <w:szCs w:val="20"/>
              </w:rPr>
              <w:t>账号</w:t>
            </w:r>
          </w:p>
        </w:tc>
        <w:tc>
          <w:tcPr>
            <w:tcW w:w="6854" w:type="dxa"/>
          </w:tcPr>
          <w:p w14:paraId="2B02F197" w14:textId="77777777" w:rsidR="00A052DC" w:rsidRDefault="009F0A60">
            <w:pPr>
              <w:rPr>
                <w:rFonts w:ascii="黑体" w:eastAsia="黑体" w:hAnsi="黑体"/>
                <w:sz w:val="20"/>
                <w:szCs w:val="20"/>
              </w:rPr>
            </w:pPr>
            <w:r>
              <w:rPr>
                <w:rFonts w:ascii="黑体" w:eastAsia="黑体" w:hAnsi="黑体" w:hint="eastAsia"/>
                <w:sz w:val="20"/>
                <w:szCs w:val="20"/>
              </w:rPr>
              <w:t>作为机构购汇所用人民币资金直接来源的居民人民币账户账号。</w:t>
            </w:r>
          </w:p>
        </w:tc>
      </w:tr>
      <w:tr w:rsidR="00A052DC" w14:paraId="18A77C91" w14:textId="77777777">
        <w:trPr>
          <w:jc w:val="center"/>
        </w:trPr>
        <w:tc>
          <w:tcPr>
            <w:tcW w:w="1668" w:type="dxa"/>
          </w:tcPr>
          <w:p w14:paraId="794F4142" w14:textId="77777777" w:rsidR="00A052DC" w:rsidRDefault="009F0A60">
            <w:pPr>
              <w:rPr>
                <w:rFonts w:ascii="黑体" w:eastAsia="黑体" w:hAnsi="黑体"/>
                <w:sz w:val="20"/>
                <w:szCs w:val="20"/>
              </w:rPr>
            </w:pPr>
            <w:r>
              <w:rPr>
                <w:rFonts w:ascii="黑体" w:eastAsia="黑体" w:hAnsi="黑体" w:hint="eastAsia"/>
                <w:sz w:val="20"/>
                <w:szCs w:val="20"/>
              </w:rPr>
              <w:t>联系人姓名</w:t>
            </w:r>
          </w:p>
        </w:tc>
        <w:tc>
          <w:tcPr>
            <w:tcW w:w="6854" w:type="dxa"/>
            <w:vAlign w:val="center"/>
          </w:tcPr>
          <w:p w14:paraId="70877BDB" w14:textId="77777777" w:rsidR="00A052DC" w:rsidRDefault="009F0A60">
            <w:pPr>
              <w:rPr>
                <w:rFonts w:ascii="黑体" w:eastAsia="黑体" w:hAnsi="黑体"/>
                <w:sz w:val="20"/>
                <w:szCs w:val="20"/>
              </w:rPr>
            </w:pPr>
            <w:r>
              <w:rPr>
                <w:rFonts w:eastAsia="黑体" w:hint="eastAsia"/>
                <w:color w:val="000000"/>
                <w:sz w:val="20"/>
                <w:szCs w:val="20"/>
              </w:rPr>
              <w:t>填写办理</w:t>
            </w:r>
            <w:r>
              <w:rPr>
                <w:rFonts w:ascii="黑体" w:eastAsia="黑体" w:hAnsi="黑体" w:hint="eastAsia"/>
                <w:sz w:val="20"/>
                <w:szCs w:val="20"/>
              </w:rPr>
              <w:t>机构购汇所用人民币资金直接来源的居民人民币账户</w:t>
            </w:r>
            <w:r>
              <w:rPr>
                <w:rFonts w:eastAsia="黑体" w:hint="eastAsia"/>
                <w:color w:val="000000"/>
                <w:sz w:val="20"/>
                <w:szCs w:val="20"/>
              </w:rPr>
              <w:t>开户业务的客户联系人姓名。</w:t>
            </w:r>
          </w:p>
        </w:tc>
      </w:tr>
      <w:tr w:rsidR="00A052DC" w14:paraId="2858F619" w14:textId="77777777">
        <w:trPr>
          <w:jc w:val="center"/>
        </w:trPr>
        <w:tc>
          <w:tcPr>
            <w:tcW w:w="1668" w:type="dxa"/>
          </w:tcPr>
          <w:p w14:paraId="6C6291D4" w14:textId="77777777" w:rsidR="00A052DC" w:rsidRDefault="009F0A60">
            <w:pPr>
              <w:rPr>
                <w:rFonts w:ascii="黑体" w:eastAsia="黑体" w:hAnsi="黑体"/>
                <w:sz w:val="20"/>
                <w:szCs w:val="20"/>
              </w:rPr>
            </w:pPr>
            <w:r>
              <w:rPr>
                <w:rFonts w:ascii="黑体" w:eastAsia="黑体" w:hAnsi="黑体" w:hint="eastAsia"/>
                <w:sz w:val="20"/>
                <w:szCs w:val="20"/>
              </w:rPr>
              <w:t>联系电话</w:t>
            </w:r>
          </w:p>
        </w:tc>
        <w:tc>
          <w:tcPr>
            <w:tcW w:w="6854" w:type="dxa"/>
            <w:vAlign w:val="center"/>
          </w:tcPr>
          <w:p w14:paraId="1C8152FA" w14:textId="77777777" w:rsidR="00A052DC" w:rsidRDefault="009F0A60">
            <w:pPr>
              <w:rPr>
                <w:rFonts w:ascii="黑体" w:eastAsia="黑体" w:hAnsi="黑体"/>
                <w:sz w:val="20"/>
                <w:szCs w:val="20"/>
              </w:rPr>
            </w:pPr>
            <w:r>
              <w:rPr>
                <w:rFonts w:eastAsia="黑体" w:hint="eastAsia"/>
                <w:color w:val="000000"/>
                <w:sz w:val="20"/>
                <w:szCs w:val="20"/>
              </w:rPr>
              <w:t>填报办理</w:t>
            </w:r>
            <w:r>
              <w:rPr>
                <w:rFonts w:ascii="黑体" w:eastAsia="黑体" w:hAnsi="黑体" w:hint="eastAsia"/>
                <w:sz w:val="20"/>
                <w:szCs w:val="20"/>
              </w:rPr>
              <w:t>机构购汇所用人民币资金直接来源的居民人民币账户</w:t>
            </w:r>
            <w:r>
              <w:rPr>
                <w:rFonts w:eastAsia="黑体" w:hint="eastAsia"/>
                <w:color w:val="000000"/>
                <w:sz w:val="20"/>
                <w:szCs w:val="20"/>
              </w:rPr>
              <w:t>开户业务的客户联系人电话。</w:t>
            </w:r>
          </w:p>
        </w:tc>
      </w:tr>
      <w:tr w:rsidR="00A052DC" w14:paraId="5890E606" w14:textId="77777777">
        <w:trPr>
          <w:jc w:val="center"/>
        </w:trPr>
        <w:tc>
          <w:tcPr>
            <w:tcW w:w="1668" w:type="dxa"/>
          </w:tcPr>
          <w:p w14:paraId="77E5D62D" w14:textId="77777777" w:rsidR="00A052DC" w:rsidRDefault="009F0A60">
            <w:pPr>
              <w:rPr>
                <w:rFonts w:ascii="黑体" w:eastAsia="黑体" w:hAnsi="黑体"/>
                <w:sz w:val="20"/>
                <w:szCs w:val="20"/>
              </w:rPr>
            </w:pPr>
            <w:r>
              <w:rPr>
                <w:rFonts w:ascii="黑体" w:eastAsia="黑体" w:hAnsi="黑体" w:hint="eastAsia"/>
                <w:sz w:val="20"/>
                <w:szCs w:val="20"/>
              </w:rPr>
              <w:t>交易时间</w:t>
            </w:r>
          </w:p>
        </w:tc>
        <w:tc>
          <w:tcPr>
            <w:tcW w:w="6854" w:type="dxa"/>
            <w:vAlign w:val="center"/>
          </w:tcPr>
          <w:p w14:paraId="475665EC" w14:textId="77777777" w:rsidR="00A052DC" w:rsidRDefault="009F0A60">
            <w:pPr>
              <w:rPr>
                <w:rFonts w:ascii="黑体" w:eastAsia="黑体" w:hAnsi="黑体"/>
                <w:sz w:val="20"/>
                <w:szCs w:val="20"/>
              </w:rPr>
            </w:pPr>
            <w:r>
              <w:rPr>
                <w:rFonts w:ascii="黑体" w:eastAsia="黑体" w:hAnsi="黑体" w:hint="eastAsia"/>
                <w:sz w:val="20"/>
                <w:szCs w:val="20"/>
              </w:rPr>
              <w:t>存钞或境内转入交易发生时间</w:t>
            </w:r>
            <w:r>
              <w:rPr>
                <w:rFonts w:eastAsia="黑体" w:hint="eastAsia"/>
                <w:color w:val="000000"/>
                <w:sz w:val="20"/>
                <w:szCs w:val="20"/>
              </w:rPr>
              <w:t>。</w:t>
            </w:r>
          </w:p>
        </w:tc>
      </w:tr>
      <w:tr w:rsidR="00A052DC" w14:paraId="6BBAF793" w14:textId="77777777">
        <w:trPr>
          <w:jc w:val="center"/>
        </w:trPr>
        <w:tc>
          <w:tcPr>
            <w:tcW w:w="1668" w:type="dxa"/>
          </w:tcPr>
          <w:p w14:paraId="49D56579" w14:textId="77777777" w:rsidR="00A052DC" w:rsidRDefault="009F0A60">
            <w:pPr>
              <w:rPr>
                <w:rFonts w:ascii="黑体" w:eastAsia="黑体" w:hAnsi="黑体"/>
                <w:sz w:val="20"/>
                <w:szCs w:val="20"/>
              </w:rPr>
            </w:pPr>
            <w:r>
              <w:rPr>
                <w:rFonts w:ascii="黑体" w:eastAsia="黑体" w:hAnsi="黑体" w:hint="eastAsia"/>
                <w:sz w:val="20"/>
                <w:szCs w:val="20"/>
              </w:rPr>
              <w:t>交易附言</w:t>
            </w:r>
          </w:p>
        </w:tc>
        <w:tc>
          <w:tcPr>
            <w:tcW w:w="6854" w:type="dxa"/>
          </w:tcPr>
          <w:p w14:paraId="1AA29F03" w14:textId="77777777" w:rsidR="00A052DC" w:rsidRDefault="009F0A60">
            <w:pPr>
              <w:rPr>
                <w:rFonts w:ascii="黑体" w:eastAsia="黑体" w:hAnsi="黑体"/>
                <w:sz w:val="20"/>
                <w:szCs w:val="20"/>
              </w:rPr>
            </w:pPr>
            <w:r>
              <w:rPr>
                <w:rFonts w:ascii="黑体" w:eastAsia="黑体" w:hAnsi="黑体" w:hint="eastAsia"/>
                <w:sz w:val="20"/>
                <w:szCs w:val="20"/>
              </w:rPr>
              <w:t>客户办理交易时填写的交易附言。</w:t>
            </w:r>
          </w:p>
        </w:tc>
      </w:tr>
      <w:tr w:rsidR="00A052DC" w14:paraId="2E91894C" w14:textId="77777777">
        <w:trPr>
          <w:jc w:val="center"/>
        </w:trPr>
        <w:tc>
          <w:tcPr>
            <w:tcW w:w="1668" w:type="dxa"/>
          </w:tcPr>
          <w:p w14:paraId="7EB8B929" w14:textId="77777777" w:rsidR="00A052DC" w:rsidRDefault="009F0A60">
            <w:pPr>
              <w:rPr>
                <w:rFonts w:ascii="黑体" w:eastAsia="黑体" w:hAnsi="黑体"/>
                <w:sz w:val="20"/>
                <w:szCs w:val="20"/>
              </w:rPr>
            </w:pPr>
            <w:r>
              <w:rPr>
                <w:rFonts w:ascii="黑体" w:eastAsia="黑体" w:hAnsi="黑体" w:hint="eastAsia"/>
                <w:sz w:val="20"/>
                <w:szCs w:val="20"/>
              </w:rPr>
              <w:t>摘要说明</w:t>
            </w:r>
          </w:p>
        </w:tc>
        <w:tc>
          <w:tcPr>
            <w:tcW w:w="6854" w:type="dxa"/>
          </w:tcPr>
          <w:p w14:paraId="0FA4565B" w14:textId="77777777" w:rsidR="00A052DC" w:rsidRDefault="009F0A60">
            <w:pPr>
              <w:rPr>
                <w:rFonts w:ascii="黑体" w:eastAsia="黑体" w:hAnsi="黑体"/>
                <w:sz w:val="20"/>
                <w:szCs w:val="20"/>
              </w:rPr>
            </w:pPr>
            <w:r>
              <w:rPr>
                <w:rFonts w:ascii="黑体" w:eastAsia="黑体" w:hAnsi="黑体" w:hint="eastAsia"/>
                <w:sz w:val="20"/>
                <w:szCs w:val="20"/>
              </w:rPr>
              <w:t>资金用途、交易目的等。</w:t>
            </w:r>
          </w:p>
        </w:tc>
      </w:tr>
      <w:tr w:rsidR="00A052DC" w14:paraId="65442BDC" w14:textId="77777777">
        <w:trPr>
          <w:jc w:val="center"/>
        </w:trPr>
        <w:tc>
          <w:tcPr>
            <w:tcW w:w="1668" w:type="dxa"/>
          </w:tcPr>
          <w:p w14:paraId="204CF0D8" w14:textId="77777777" w:rsidR="00A052DC" w:rsidRDefault="009F0A60">
            <w:pPr>
              <w:rPr>
                <w:rFonts w:ascii="黑体" w:eastAsia="黑体" w:hAnsi="黑体"/>
                <w:sz w:val="20"/>
                <w:szCs w:val="20"/>
              </w:rPr>
            </w:pPr>
            <w:r>
              <w:rPr>
                <w:rFonts w:ascii="黑体" w:eastAsia="黑体" w:hAnsi="黑体" w:hint="eastAsia"/>
                <w:sz w:val="20"/>
                <w:szCs w:val="20"/>
              </w:rPr>
              <w:t>交易网点名称</w:t>
            </w:r>
          </w:p>
        </w:tc>
        <w:tc>
          <w:tcPr>
            <w:tcW w:w="6854" w:type="dxa"/>
          </w:tcPr>
          <w:p w14:paraId="42C045D7" w14:textId="77777777" w:rsidR="00A052DC" w:rsidRDefault="009F0A60">
            <w:pPr>
              <w:rPr>
                <w:rFonts w:ascii="黑体" w:eastAsia="黑体" w:hAnsi="黑体"/>
                <w:sz w:val="20"/>
                <w:szCs w:val="20"/>
              </w:rPr>
            </w:pPr>
            <w:r>
              <w:rPr>
                <w:rFonts w:ascii="黑体" w:eastAsia="黑体" w:hAnsi="黑体" w:hint="eastAsia"/>
                <w:sz w:val="20"/>
                <w:szCs w:val="20"/>
              </w:rPr>
              <w:t>办理存钞或境内转入交易的金融机构网点名称。</w:t>
            </w:r>
          </w:p>
        </w:tc>
      </w:tr>
      <w:tr w:rsidR="00A052DC" w14:paraId="39BE4275" w14:textId="77777777">
        <w:trPr>
          <w:jc w:val="center"/>
        </w:trPr>
        <w:tc>
          <w:tcPr>
            <w:tcW w:w="1668" w:type="dxa"/>
          </w:tcPr>
          <w:p w14:paraId="03538033" w14:textId="77777777" w:rsidR="00A052DC" w:rsidRDefault="009F0A60">
            <w:pPr>
              <w:rPr>
                <w:rFonts w:ascii="黑体" w:eastAsia="黑体" w:hAnsi="黑体"/>
                <w:sz w:val="20"/>
                <w:szCs w:val="20"/>
              </w:rPr>
            </w:pPr>
            <w:r>
              <w:rPr>
                <w:rFonts w:ascii="黑体" w:eastAsia="黑体" w:hAnsi="黑体" w:hint="eastAsia"/>
                <w:sz w:val="20"/>
                <w:szCs w:val="20"/>
              </w:rPr>
              <w:t>交易对手名称</w:t>
            </w:r>
          </w:p>
        </w:tc>
        <w:tc>
          <w:tcPr>
            <w:tcW w:w="6854" w:type="dxa"/>
          </w:tcPr>
          <w:p w14:paraId="3569DFDF" w14:textId="77777777" w:rsidR="00A052DC" w:rsidRDefault="009F0A60">
            <w:pPr>
              <w:rPr>
                <w:rFonts w:ascii="黑体" w:eastAsia="黑体" w:hAnsi="黑体"/>
                <w:sz w:val="20"/>
                <w:szCs w:val="20"/>
              </w:rPr>
            </w:pPr>
            <w:r>
              <w:rPr>
                <w:rFonts w:ascii="黑体" w:eastAsia="黑体" w:hAnsi="黑体" w:hint="eastAsia"/>
                <w:sz w:val="20"/>
                <w:szCs w:val="20"/>
              </w:rPr>
              <w:t>境内转入交易对手名称。</w:t>
            </w:r>
          </w:p>
        </w:tc>
      </w:tr>
      <w:tr w:rsidR="00A052DC" w14:paraId="60AF60B1" w14:textId="77777777">
        <w:trPr>
          <w:jc w:val="center"/>
        </w:trPr>
        <w:tc>
          <w:tcPr>
            <w:tcW w:w="1668" w:type="dxa"/>
          </w:tcPr>
          <w:p w14:paraId="5308682E" w14:textId="77777777" w:rsidR="00A052DC" w:rsidRDefault="009F0A60">
            <w:pPr>
              <w:rPr>
                <w:rFonts w:ascii="黑体" w:eastAsia="黑体" w:hAnsi="黑体"/>
                <w:sz w:val="20"/>
                <w:szCs w:val="20"/>
              </w:rPr>
            </w:pPr>
            <w:r>
              <w:rPr>
                <w:rFonts w:ascii="黑体" w:eastAsia="黑体" w:hAnsi="黑体" w:hint="eastAsia"/>
                <w:sz w:val="20"/>
                <w:szCs w:val="20"/>
              </w:rPr>
              <w:t>交易对手账号</w:t>
            </w:r>
          </w:p>
        </w:tc>
        <w:tc>
          <w:tcPr>
            <w:tcW w:w="6854" w:type="dxa"/>
          </w:tcPr>
          <w:p w14:paraId="04919936" w14:textId="77777777" w:rsidR="00A052DC" w:rsidRDefault="009F0A60">
            <w:pPr>
              <w:rPr>
                <w:rFonts w:ascii="黑体" w:eastAsia="黑体" w:hAnsi="黑体"/>
                <w:sz w:val="20"/>
                <w:szCs w:val="20"/>
              </w:rPr>
            </w:pPr>
            <w:r>
              <w:rPr>
                <w:rFonts w:ascii="黑体" w:eastAsia="黑体" w:hAnsi="黑体" w:hint="eastAsia"/>
                <w:sz w:val="20"/>
                <w:szCs w:val="20"/>
              </w:rPr>
              <w:t>境内转入交易对手账号。</w:t>
            </w:r>
          </w:p>
        </w:tc>
      </w:tr>
      <w:tr w:rsidR="00A052DC" w14:paraId="2AD75DB1" w14:textId="77777777">
        <w:trPr>
          <w:jc w:val="center"/>
        </w:trPr>
        <w:tc>
          <w:tcPr>
            <w:tcW w:w="1668" w:type="dxa"/>
          </w:tcPr>
          <w:p w14:paraId="431D495B" w14:textId="77777777" w:rsidR="00A052DC" w:rsidRDefault="009F0A60">
            <w:pPr>
              <w:rPr>
                <w:rFonts w:ascii="黑体" w:eastAsia="黑体" w:hAnsi="黑体"/>
                <w:sz w:val="20"/>
                <w:szCs w:val="20"/>
              </w:rPr>
            </w:pPr>
            <w:r>
              <w:rPr>
                <w:rFonts w:ascii="黑体" w:eastAsia="黑体" w:hAnsi="黑体" w:hint="eastAsia"/>
                <w:sz w:val="20"/>
                <w:szCs w:val="20"/>
              </w:rPr>
              <w:t>IP地址</w:t>
            </w:r>
          </w:p>
        </w:tc>
        <w:tc>
          <w:tcPr>
            <w:tcW w:w="6854" w:type="dxa"/>
          </w:tcPr>
          <w:p w14:paraId="559406D8" w14:textId="77777777" w:rsidR="00A052DC" w:rsidRDefault="009F0A60">
            <w:pPr>
              <w:rPr>
                <w:rFonts w:ascii="黑体" w:eastAsia="黑体" w:hAnsi="黑体"/>
                <w:sz w:val="20"/>
                <w:szCs w:val="20"/>
              </w:rPr>
            </w:pPr>
            <w:r>
              <w:rPr>
                <w:rFonts w:ascii="黑体" w:eastAsia="黑体" w:hAnsi="黑体" w:hint="eastAsia"/>
                <w:sz w:val="20"/>
                <w:szCs w:val="20"/>
              </w:rPr>
              <w:t>境内转入发起方使用设备的IP地址。</w:t>
            </w:r>
          </w:p>
        </w:tc>
      </w:tr>
      <w:tr w:rsidR="00A052DC" w14:paraId="0024EBD4" w14:textId="77777777">
        <w:trPr>
          <w:jc w:val="center"/>
        </w:trPr>
        <w:tc>
          <w:tcPr>
            <w:tcW w:w="1668" w:type="dxa"/>
          </w:tcPr>
          <w:p w14:paraId="2332253F" w14:textId="77777777" w:rsidR="00A052DC" w:rsidRDefault="009F0A60">
            <w:pPr>
              <w:rPr>
                <w:rFonts w:ascii="黑体" w:eastAsia="黑体" w:hAnsi="黑体"/>
                <w:sz w:val="20"/>
                <w:szCs w:val="20"/>
              </w:rPr>
            </w:pPr>
            <w:r>
              <w:rPr>
                <w:rFonts w:ascii="黑体" w:eastAsia="黑体" w:hAnsi="黑体" w:hint="eastAsia"/>
                <w:sz w:val="20"/>
                <w:szCs w:val="20"/>
              </w:rPr>
              <w:t>MAC地址</w:t>
            </w:r>
          </w:p>
        </w:tc>
        <w:tc>
          <w:tcPr>
            <w:tcW w:w="6854" w:type="dxa"/>
          </w:tcPr>
          <w:p w14:paraId="55CBA279" w14:textId="77777777" w:rsidR="00A052DC" w:rsidRDefault="009F0A60">
            <w:pPr>
              <w:rPr>
                <w:rFonts w:ascii="黑体" w:eastAsia="黑体" w:hAnsi="黑体"/>
                <w:sz w:val="20"/>
                <w:szCs w:val="20"/>
              </w:rPr>
            </w:pPr>
            <w:r>
              <w:rPr>
                <w:rFonts w:ascii="黑体" w:eastAsia="黑体" w:hAnsi="黑体" w:hint="eastAsia"/>
                <w:sz w:val="20"/>
                <w:szCs w:val="20"/>
              </w:rPr>
              <w:t>境内转入发起方使用设备的MAC地址。</w:t>
            </w:r>
          </w:p>
        </w:tc>
      </w:tr>
    </w:tbl>
    <w:p w14:paraId="2377DEC3" w14:textId="77777777" w:rsidR="00A052DC" w:rsidRDefault="009F0A60">
      <w:pPr>
        <w:pStyle w:val="4"/>
        <w:numPr>
          <w:ilvl w:val="3"/>
          <w:numId w:val="1"/>
        </w:numPr>
        <w:jc w:val="left"/>
      </w:pPr>
      <w:r>
        <w:rPr>
          <w:rFonts w:hint="eastAsia"/>
        </w:rPr>
        <w:t>数据格式</w:t>
      </w:r>
    </w:p>
    <w:p w14:paraId="48A9A1E7" w14:textId="77777777" w:rsidR="00A052DC" w:rsidRDefault="009F0A60">
      <w:r>
        <w:t>&lt;REC&gt;</w:t>
      </w:r>
    </w:p>
    <w:p w14:paraId="2EB4F296" w14:textId="77777777" w:rsidR="00A052DC" w:rsidRDefault="009F0A60">
      <w:r>
        <w:t>&lt;ACTIONTYPE&gt;</w:t>
      </w:r>
      <w:r>
        <w:rPr>
          <w:rFonts w:hint="eastAsia"/>
        </w:rPr>
        <w:t>操作类型</w:t>
      </w:r>
      <w:r>
        <w:t>&lt;/ACTIONTYPE&gt;</w:t>
      </w:r>
    </w:p>
    <w:p w14:paraId="6ECB2BE5" w14:textId="77777777" w:rsidR="00A052DC" w:rsidRDefault="009F0A60">
      <w:r>
        <w:t>&lt;ACTIONDESC&gt;</w:t>
      </w:r>
      <w:r>
        <w:rPr>
          <w:rFonts w:hint="eastAsia"/>
        </w:rPr>
        <w:t>修改</w:t>
      </w:r>
      <w:r>
        <w:t>/</w:t>
      </w:r>
      <w:r>
        <w:rPr>
          <w:rFonts w:hint="eastAsia"/>
        </w:rPr>
        <w:t>删除原因</w:t>
      </w:r>
      <w:r>
        <w:t>&lt;/ACTIONDESC&gt;</w:t>
      </w:r>
    </w:p>
    <w:p w14:paraId="035FF45E" w14:textId="77777777" w:rsidR="00A052DC" w:rsidRDefault="009F0A60">
      <w:r>
        <w:t>&lt;RPTNO&gt;</w:t>
      </w:r>
      <w:r>
        <w:rPr>
          <w:rFonts w:hint="eastAsia"/>
        </w:rPr>
        <w:t>申报号码</w:t>
      </w:r>
      <w:r>
        <w:t>&lt;/RPTNO&gt;</w:t>
      </w:r>
    </w:p>
    <w:p w14:paraId="132E7D83" w14:textId="77777777" w:rsidR="00A052DC" w:rsidRDefault="009F0A60">
      <w:r>
        <w:rPr>
          <w:rFonts w:hint="eastAsia"/>
        </w:rPr>
        <w:t>&lt;BUSCODE&gt;</w:t>
      </w:r>
      <w:r>
        <w:rPr>
          <w:rFonts w:hint="eastAsia"/>
        </w:rPr>
        <w:t>银行业务参号</w:t>
      </w:r>
      <w:r>
        <w:rPr>
          <w:rFonts w:hint="eastAsia"/>
        </w:rPr>
        <w:t>&lt;/BUSCODE&gt;</w:t>
      </w:r>
    </w:p>
    <w:p w14:paraId="7991C960" w14:textId="77777777" w:rsidR="00A052DC" w:rsidRDefault="009F0A60">
      <w:r>
        <w:t>&lt;TYPE&gt;</w:t>
      </w:r>
      <w:r>
        <w:rPr>
          <w:rFonts w:hint="eastAsia"/>
        </w:rPr>
        <w:t>业务类型</w:t>
      </w:r>
      <w:r>
        <w:t>&lt;/TYPE&gt;</w:t>
      </w:r>
    </w:p>
    <w:p w14:paraId="68E77051" w14:textId="77777777" w:rsidR="00A052DC" w:rsidRDefault="009F0A60">
      <w:r>
        <w:rPr>
          <w:rFonts w:hint="eastAsia"/>
        </w:rPr>
        <w:t>&lt;</w:t>
      </w:r>
      <w:r>
        <w:t xml:space="preserve"> CUSTTYPE</w:t>
      </w:r>
      <w:r>
        <w:rPr>
          <w:rFonts w:hint="eastAsia"/>
        </w:rPr>
        <w:t>&gt;</w:t>
      </w:r>
      <w:r>
        <w:rPr>
          <w:rFonts w:hint="eastAsia"/>
        </w:rPr>
        <w:t>开户类型</w:t>
      </w:r>
      <w:r>
        <w:rPr>
          <w:rFonts w:hint="eastAsia"/>
        </w:rPr>
        <w:t>&lt;/</w:t>
      </w:r>
      <w:r>
        <w:t>CUSTTYPE</w:t>
      </w:r>
      <w:r>
        <w:rPr>
          <w:rFonts w:hint="eastAsia"/>
        </w:rPr>
        <w:t>&gt;</w:t>
      </w:r>
    </w:p>
    <w:p w14:paraId="11CCCACA" w14:textId="77777777" w:rsidR="00A052DC" w:rsidRDefault="009F0A60">
      <w:r>
        <w:t>&lt;CUSTNM&gt;</w:t>
      </w:r>
      <w:r>
        <w:rPr>
          <w:rFonts w:hint="eastAsia"/>
        </w:rPr>
        <w:t>开户主体名称</w:t>
      </w:r>
      <w:r>
        <w:t>&lt;/CUSTNM&gt;</w:t>
      </w:r>
    </w:p>
    <w:p w14:paraId="788C686B" w14:textId="77777777" w:rsidR="00A052DC" w:rsidRDefault="009F0A60">
      <w:r>
        <w:t>&lt;CUSTCOD&gt;</w:t>
      </w:r>
      <w:r>
        <w:rPr>
          <w:rFonts w:hint="eastAsia"/>
        </w:rPr>
        <w:t>开户主体代码</w:t>
      </w:r>
      <w:r>
        <w:t>&lt;/CUSTCOD&gt;</w:t>
      </w:r>
    </w:p>
    <w:p w14:paraId="3D8EC430" w14:textId="77777777" w:rsidR="00A052DC" w:rsidRDefault="009F0A60">
      <w:r>
        <w:t>&lt;ACCTNO&gt;</w:t>
      </w:r>
      <w:r>
        <w:rPr>
          <w:rFonts w:hint="eastAsia"/>
        </w:rPr>
        <w:t>账号</w:t>
      </w:r>
      <w:r>
        <w:t>&lt;/ACCTNO&gt;</w:t>
      </w:r>
    </w:p>
    <w:p w14:paraId="29092DE5" w14:textId="77777777" w:rsidR="00A052DC" w:rsidRDefault="009F0A60">
      <w:r>
        <w:t>&lt;CUSTCONTACT&gt;</w:t>
      </w:r>
      <w:r>
        <w:rPr>
          <w:rFonts w:hint="eastAsia"/>
        </w:rPr>
        <w:t>联系人姓名</w:t>
      </w:r>
      <w:r>
        <w:t>&lt;/CUSTCONTACT&gt;</w:t>
      </w:r>
    </w:p>
    <w:p w14:paraId="60327677" w14:textId="77777777" w:rsidR="00A052DC" w:rsidRDefault="009F0A60">
      <w:r>
        <w:t>&lt;CUSTTEL&gt;</w:t>
      </w:r>
      <w:r>
        <w:rPr>
          <w:rFonts w:hint="eastAsia"/>
        </w:rPr>
        <w:t>联系电话</w:t>
      </w:r>
      <w:r>
        <w:t>&lt;/CUSTTEL&gt;</w:t>
      </w:r>
    </w:p>
    <w:p w14:paraId="0AF7AFFD" w14:textId="77777777" w:rsidR="00A052DC" w:rsidRDefault="009F0A60">
      <w:r>
        <w:t>&lt;DEALTIME&gt;</w:t>
      </w:r>
      <w:r>
        <w:rPr>
          <w:rFonts w:hint="eastAsia"/>
        </w:rPr>
        <w:t>交易时间</w:t>
      </w:r>
      <w:r>
        <w:t>&lt;</w:t>
      </w:r>
      <w:r>
        <w:rPr>
          <w:rFonts w:hint="eastAsia"/>
        </w:rPr>
        <w:t>/</w:t>
      </w:r>
      <w:r>
        <w:t>DEALTIME&gt;</w:t>
      </w:r>
    </w:p>
    <w:p w14:paraId="5B2740F2" w14:textId="77777777" w:rsidR="00A052DC" w:rsidRDefault="009F0A60">
      <w:r>
        <w:t>&lt;TXREM&gt;</w:t>
      </w:r>
      <w:r>
        <w:rPr>
          <w:rFonts w:hint="eastAsia"/>
        </w:rPr>
        <w:t>交易附言</w:t>
      </w:r>
      <w:r>
        <w:t>&lt;/TXREM&gt;</w:t>
      </w:r>
    </w:p>
    <w:p w14:paraId="0BF35B0F" w14:textId="77777777" w:rsidR="00A052DC" w:rsidRDefault="009F0A60">
      <w:r>
        <w:t>&lt;TXREM_2&gt;</w:t>
      </w:r>
      <w:r>
        <w:rPr>
          <w:rFonts w:hint="eastAsia"/>
        </w:rPr>
        <w:t>摘要说明</w:t>
      </w:r>
      <w:r>
        <w:t>&lt;/TXREM_2&gt;</w:t>
      </w:r>
    </w:p>
    <w:p w14:paraId="11F90B72" w14:textId="77777777" w:rsidR="00A052DC" w:rsidRDefault="009F0A60">
      <w:r>
        <w:t>&lt;DEAL_AMOUNT&gt;</w:t>
      </w:r>
      <w:r>
        <w:rPr>
          <w:rFonts w:hint="eastAsia"/>
        </w:rPr>
        <w:t>交易金额</w:t>
      </w:r>
      <w:r>
        <w:t>&lt;/DEAL_AMOUNT&gt;</w:t>
      </w:r>
    </w:p>
    <w:p w14:paraId="1A38C259" w14:textId="77777777" w:rsidR="00A052DC" w:rsidRDefault="009F0A60">
      <w:r>
        <w:t>&lt;DEAL_BRANCH&gt;</w:t>
      </w:r>
      <w:r>
        <w:rPr>
          <w:rFonts w:hint="eastAsia"/>
        </w:rPr>
        <w:t>交易网点名称</w:t>
      </w:r>
      <w:r>
        <w:t>&lt;/DEAL_BRANCH&gt;</w:t>
      </w:r>
    </w:p>
    <w:p w14:paraId="0E849113" w14:textId="77777777" w:rsidR="00A052DC" w:rsidRDefault="009F0A60">
      <w:r>
        <w:t>&lt;OPPUSER&gt;</w:t>
      </w:r>
      <w:r>
        <w:rPr>
          <w:rFonts w:hint="eastAsia"/>
        </w:rPr>
        <w:t>交易对手名称</w:t>
      </w:r>
      <w:r>
        <w:t>&lt;/OPPUSER&gt;</w:t>
      </w:r>
    </w:p>
    <w:p w14:paraId="0EBE36FC" w14:textId="77777777" w:rsidR="00A052DC" w:rsidRDefault="009F0A60">
      <w:r>
        <w:t>&lt;OPPACCTNO&gt;</w:t>
      </w:r>
      <w:r>
        <w:rPr>
          <w:rFonts w:hint="eastAsia"/>
        </w:rPr>
        <w:t>交易对手账号</w:t>
      </w:r>
      <w:r>
        <w:t>&lt;/OPPACCTNO&gt;</w:t>
      </w:r>
      <w:r>
        <w:tab/>
      </w:r>
    </w:p>
    <w:p w14:paraId="3250140D" w14:textId="77777777" w:rsidR="00A052DC" w:rsidRDefault="009F0A60">
      <w:r>
        <w:t>&lt;BRANCH_NAME_2&gt;</w:t>
      </w:r>
      <w:r>
        <w:rPr>
          <w:rFonts w:hint="eastAsia"/>
        </w:rPr>
        <w:t>交易对手开户银行名称</w:t>
      </w:r>
      <w:r>
        <w:t>&lt;/BRANCH_NAME_2&gt;</w:t>
      </w:r>
    </w:p>
    <w:p w14:paraId="451DFA88" w14:textId="77777777" w:rsidR="00A052DC" w:rsidRDefault="009F0A60">
      <w:r>
        <w:t>&lt;IP&gt;IP</w:t>
      </w:r>
      <w:r>
        <w:rPr>
          <w:rFonts w:hint="eastAsia"/>
        </w:rPr>
        <w:t>地址</w:t>
      </w:r>
      <w:r>
        <w:t>&lt;/IP&gt;</w:t>
      </w:r>
    </w:p>
    <w:p w14:paraId="2A211C02" w14:textId="77777777" w:rsidR="00A052DC" w:rsidRDefault="009F0A60">
      <w:r>
        <w:t>&lt;MAC&gt;MAC</w:t>
      </w:r>
      <w:r>
        <w:rPr>
          <w:rFonts w:hint="eastAsia"/>
        </w:rPr>
        <w:t>地址</w:t>
      </w:r>
      <w:r>
        <w:t>&lt;/MAC&gt;</w:t>
      </w:r>
    </w:p>
    <w:p w14:paraId="533C4215" w14:textId="77777777" w:rsidR="00A052DC" w:rsidRDefault="009F0A60">
      <w:r>
        <w:t>&lt;REMARKS&gt;</w:t>
      </w:r>
      <w:r>
        <w:rPr>
          <w:rFonts w:hint="eastAsia"/>
        </w:rPr>
        <w:t>备注</w:t>
      </w:r>
      <w:r>
        <w:t>&lt;/REMARKS&gt;</w:t>
      </w:r>
    </w:p>
    <w:p w14:paraId="49BFF2CD" w14:textId="77777777" w:rsidR="00A052DC" w:rsidRDefault="009F0A60">
      <w:r>
        <w:t>&lt;/REC&gt;</w:t>
      </w:r>
    </w:p>
    <w:p w14:paraId="63D26DC6" w14:textId="77777777" w:rsidR="00A052DC" w:rsidRDefault="009F0A60" w:rsidP="0020251D">
      <w:pPr>
        <w:pStyle w:val="4"/>
        <w:numPr>
          <w:ilvl w:val="3"/>
          <w:numId w:val="1"/>
        </w:numPr>
        <w:jc w:val="left"/>
      </w:pPr>
      <w:r>
        <w:t>数据字典</w:t>
      </w:r>
    </w:p>
    <w:tbl>
      <w:tblPr>
        <w:tblW w:w="8495" w:type="dxa"/>
        <w:jc w:val="center"/>
        <w:tblLook w:val="04A0" w:firstRow="1" w:lastRow="0" w:firstColumn="1" w:lastColumn="0" w:noHBand="0" w:noVBand="1"/>
      </w:tblPr>
      <w:tblGrid>
        <w:gridCol w:w="1716"/>
        <w:gridCol w:w="1823"/>
        <w:gridCol w:w="1692"/>
        <w:gridCol w:w="3264"/>
      </w:tblGrid>
      <w:tr w:rsidR="00A052DC" w14:paraId="4B65174B" w14:textId="77777777">
        <w:trPr>
          <w:cantSplit/>
          <w:trHeight w:val="300"/>
          <w:tblHeader/>
          <w:jc w:val="center"/>
        </w:trPr>
        <w:tc>
          <w:tcPr>
            <w:tcW w:w="1716" w:type="dxa"/>
            <w:tcBorders>
              <w:top w:val="single" w:sz="8" w:space="0" w:color="auto"/>
              <w:left w:val="single" w:sz="8" w:space="0" w:color="auto"/>
              <w:bottom w:val="single" w:sz="8" w:space="0" w:color="auto"/>
              <w:right w:val="single" w:sz="8" w:space="0" w:color="auto"/>
            </w:tcBorders>
            <w:shd w:val="clear" w:color="000000" w:fill="BFBFBF"/>
            <w:vAlign w:val="center"/>
          </w:tcPr>
          <w:p w14:paraId="1ACA33D3" w14:textId="77777777" w:rsidR="00A052DC" w:rsidRDefault="009F0A60">
            <w:pPr>
              <w:pStyle w:val="B1"/>
            </w:pPr>
            <w:r>
              <w:rPr>
                <w:rFonts w:hint="eastAsia"/>
              </w:rPr>
              <w:t>字段</w:t>
            </w:r>
          </w:p>
        </w:tc>
        <w:tc>
          <w:tcPr>
            <w:tcW w:w="1823" w:type="dxa"/>
            <w:tcBorders>
              <w:top w:val="single" w:sz="8" w:space="0" w:color="auto"/>
              <w:left w:val="nil"/>
              <w:bottom w:val="single" w:sz="8" w:space="0" w:color="auto"/>
              <w:right w:val="single" w:sz="8" w:space="0" w:color="auto"/>
            </w:tcBorders>
            <w:shd w:val="clear" w:color="000000" w:fill="BFBFBF"/>
            <w:vAlign w:val="center"/>
          </w:tcPr>
          <w:p w14:paraId="5A32F8E5" w14:textId="77777777" w:rsidR="00A052DC" w:rsidRDefault="009F0A60">
            <w:pPr>
              <w:pStyle w:val="B1"/>
              <w:rPr>
                <w:color w:val="000000"/>
              </w:rPr>
            </w:pPr>
            <w:r>
              <w:rPr>
                <w:rFonts w:hint="eastAsia"/>
                <w:color w:val="000000"/>
              </w:rPr>
              <w:t>内容</w:t>
            </w:r>
          </w:p>
        </w:tc>
        <w:tc>
          <w:tcPr>
            <w:tcW w:w="1692" w:type="dxa"/>
            <w:tcBorders>
              <w:top w:val="single" w:sz="8" w:space="0" w:color="auto"/>
              <w:left w:val="nil"/>
              <w:bottom w:val="single" w:sz="8" w:space="0" w:color="auto"/>
              <w:right w:val="single" w:sz="8" w:space="0" w:color="auto"/>
            </w:tcBorders>
            <w:shd w:val="clear" w:color="000000" w:fill="BFBFBF"/>
            <w:vAlign w:val="center"/>
          </w:tcPr>
          <w:p w14:paraId="708361D3" w14:textId="77777777" w:rsidR="00A052DC" w:rsidRDefault="009F0A60">
            <w:pPr>
              <w:pStyle w:val="B1"/>
              <w:rPr>
                <w:color w:val="000000"/>
              </w:rPr>
            </w:pPr>
            <w:r>
              <w:rPr>
                <w:rFonts w:hint="eastAsia"/>
                <w:color w:val="000000"/>
              </w:rPr>
              <w:t>类型（长度）</w:t>
            </w:r>
          </w:p>
        </w:tc>
        <w:tc>
          <w:tcPr>
            <w:tcW w:w="3264" w:type="dxa"/>
            <w:tcBorders>
              <w:top w:val="single" w:sz="8" w:space="0" w:color="auto"/>
              <w:left w:val="nil"/>
              <w:bottom w:val="single" w:sz="8" w:space="0" w:color="auto"/>
              <w:right w:val="single" w:sz="8" w:space="0" w:color="auto"/>
            </w:tcBorders>
            <w:shd w:val="clear" w:color="000000" w:fill="BFBFBF"/>
            <w:vAlign w:val="center"/>
          </w:tcPr>
          <w:p w14:paraId="7B4CC66C" w14:textId="77777777" w:rsidR="00A052DC" w:rsidRDefault="009F0A60">
            <w:pPr>
              <w:pStyle w:val="B1"/>
              <w:rPr>
                <w:color w:val="000000"/>
              </w:rPr>
            </w:pPr>
            <w:r>
              <w:rPr>
                <w:rFonts w:hint="eastAsia"/>
                <w:color w:val="000000"/>
              </w:rPr>
              <w:t>校验</w:t>
            </w:r>
          </w:p>
        </w:tc>
      </w:tr>
      <w:tr w:rsidR="00A052DC" w14:paraId="66683121" w14:textId="77777777">
        <w:trPr>
          <w:cantSplit/>
          <w:trHeight w:val="300"/>
          <w:jc w:val="center"/>
        </w:trPr>
        <w:tc>
          <w:tcPr>
            <w:tcW w:w="1716" w:type="dxa"/>
            <w:tcBorders>
              <w:top w:val="nil"/>
              <w:left w:val="single" w:sz="8" w:space="0" w:color="auto"/>
              <w:bottom w:val="single" w:sz="8" w:space="0" w:color="auto"/>
              <w:right w:val="single" w:sz="8" w:space="0" w:color="auto"/>
            </w:tcBorders>
            <w:shd w:val="clear" w:color="000000" w:fill="FFFFFF"/>
          </w:tcPr>
          <w:p w14:paraId="003B6E0B" w14:textId="77777777" w:rsidR="00A052DC" w:rsidRDefault="009F0A60">
            <w:pPr>
              <w:pStyle w:val="B"/>
              <w:rPr>
                <w:color w:val="000000"/>
              </w:rPr>
            </w:pPr>
            <w:r>
              <w:t>ACTIONTYPE</w:t>
            </w:r>
          </w:p>
        </w:tc>
        <w:tc>
          <w:tcPr>
            <w:tcW w:w="1823" w:type="dxa"/>
            <w:tcBorders>
              <w:top w:val="nil"/>
              <w:left w:val="nil"/>
              <w:bottom w:val="single" w:sz="8" w:space="0" w:color="auto"/>
              <w:right w:val="single" w:sz="8" w:space="0" w:color="auto"/>
            </w:tcBorders>
            <w:shd w:val="clear" w:color="000000" w:fill="FFFFFF"/>
          </w:tcPr>
          <w:p w14:paraId="02F94EA7" w14:textId="77777777" w:rsidR="00A052DC" w:rsidRDefault="009F0A60">
            <w:pPr>
              <w:pStyle w:val="B"/>
              <w:rPr>
                <w:color w:val="000000"/>
              </w:rPr>
            </w:pPr>
            <w:r>
              <w:rPr>
                <w:rFonts w:hint="eastAsia"/>
              </w:rPr>
              <w:t>操作类型</w:t>
            </w:r>
          </w:p>
        </w:tc>
        <w:tc>
          <w:tcPr>
            <w:tcW w:w="1692" w:type="dxa"/>
            <w:tcBorders>
              <w:top w:val="nil"/>
              <w:left w:val="nil"/>
              <w:bottom w:val="single" w:sz="8" w:space="0" w:color="auto"/>
              <w:right w:val="single" w:sz="8" w:space="0" w:color="auto"/>
            </w:tcBorders>
            <w:shd w:val="clear" w:color="000000" w:fill="FFFFFF"/>
          </w:tcPr>
          <w:p w14:paraId="314B080E" w14:textId="77777777" w:rsidR="00A052DC" w:rsidRDefault="009F0A60">
            <w:pPr>
              <w:pStyle w:val="B"/>
              <w:rPr>
                <w:color w:val="000000"/>
              </w:rPr>
            </w:pPr>
            <w:r>
              <w:rPr>
                <w:rFonts w:hint="eastAsia"/>
              </w:rPr>
              <w:t>字符型，</w:t>
            </w:r>
            <w:r>
              <w:t>1</w:t>
            </w:r>
          </w:p>
        </w:tc>
        <w:tc>
          <w:tcPr>
            <w:tcW w:w="3264" w:type="dxa"/>
            <w:tcBorders>
              <w:top w:val="nil"/>
              <w:left w:val="nil"/>
              <w:bottom w:val="single" w:sz="8" w:space="0" w:color="auto"/>
              <w:right w:val="single" w:sz="8" w:space="0" w:color="auto"/>
            </w:tcBorders>
            <w:shd w:val="clear" w:color="000000" w:fill="FFFFFF"/>
          </w:tcPr>
          <w:p w14:paraId="2680C975" w14:textId="77777777" w:rsidR="00A052DC" w:rsidRDefault="009F0A60">
            <w:pPr>
              <w:pStyle w:val="B"/>
            </w:pPr>
            <w:r>
              <w:t>A</w:t>
            </w:r>
            <w:r w:rsidR="00AE4602">
              <w:t>-</w:t>
            </w:r>
            <w:r>
              <w:t>新建</w:t>
            </w:r>
          </w:p>
          <w:p w14:paraId="35BD52ED" w14:textId="77777777" w:rsidR="00A052DC" w:rsidRDefault="009F0A60">
            <w:pPr>
              <w:pStyle w:val="B"/>
            </w:pPr>
            <w:r>
              <w:t>C</w:t>
            </w:r>
            <w:r w:rsidR="00AE4602">
              <w:t>-</w:t>
            </w:r>
            <w:r>
              <w:t>修改</w:t>
            </w:r>
          </w:p>
          <w:p w14:paraId="3B231FE2" w14:textId="77777777" w:rsidR="00A052DC" w:rsidRDefault="009F0A60">
            <w:pPr>
              <w:pStyle w:val="B"/>
            </w:pPr>
            <w:r>
              <w:t>D</w:t>
            </w:r>
            <w:r w:rsidR="00AE4602">
              <w:t>-</w:t>
            </w:r>
            <w:r>
              <w:t>删除</w:t>
            </w:r>
          </w:p>
          <w:p w14:paraId="4D8AF1B9" w14:textId="77777777" w:rsidR="00A052DC" w:rsidRDefault="009F0A60">
            <w:pPr>
              <w:pStyle w:val="B"/>
              <w:rPr>
                <w:color w:val="000000"/>
              </w:rPr>
            </w:pPr>
            <w:r>
              <w:t>R-申报无误（银行反馈），预留，暂不用</w:t>
            </w:r>
          </w:p>
        </w:tc>
      </w:tr>
      <w:tr w:rsidR="00A052DC" w14:paraId="728606C8" w14:textId="77777777">
        <w:trPr>
          <w:cantSplit/>
          <w:trHeight w:val="300"/>
          <w:jc w:val="center"/>
        </w:trPr>
        <w:tc>
          <w:tcPr>
            <w:tcW w:w="1716" w:type="dxa"/>
            <w:tcBorders>
              <w:top w:val="nil"/>
              <w:left w:val="single" w:sz="8" w:space="0" w:color="auto"/>
              <w:bottom w:val="single" w:sz="8" w:space="0" w:color="auto"/>
              <w:right w:val="single" w:sz="8" w:space="0" w:color="auto"/>
            </w:tcBorders>
            <w:shd w:val="clear" w:color="000000" w:fill="FFFFFF"/>
          </w:tcPr>
          <w:p w14:paraId="4631A08B" w14:textId="77777777" w:rsidR="00A052DC" w:rsidRDefault="009F0A60">
            <w:pPr>
              <w:pStyle w:val="B"/>
              <w:rPr>
                <w:color w:val="000000"/>
              </w:rPr>
            </w:pPr>
            <w:r>
              <w:t>ACTIONDESC</w:t>
            </w:r>
          </w:p>
        </w:tc>
        <w:tc>
          <w:tcPr>
            <w:tcW w:w="1823" w:type="dxa"/>
            <w:tcBorders>
              <w:top w:val="nil"/>
              <w:left w:val="nil"/>
              <w:bottom w:val="single" w:sz="8" w:space="0" w:color="auto"/>
              <w:right w:val="single" w:sz="8" w:space="0" w:color="auto"/>
            </w:tcBorders>
            <w:shd w:val="clear" w:color="000000" w:fill="FFFFFF"/>
          </w:tcPr>
          <w:p w14:paraId="78E8E15D" w14:textId="77777777" w:rsidR="00A052DC" w:rsidRDefault="009F0A60">
            <w:pPr>
              <w:pStyle w:val="B"/>
              <w:rPr>
                <w:color w:val="000000"/>
              </w:rPr>
            </w:pPr>
            <w:r>
              <w:rPr>
                <w:rFonts w:hint="eastAsia"/>
              </w:rPr>
              <w:t>修改</w:t>
            </w:r>
            <w:r>
              <w:t>/删除原因</w:t>
            </w:r>
          </w:p>
        </w:tc>
        <w:tc>
          <w:tcPr>
            <w:tcW w:w="1692" w:type="dxa"/>
            <w:tcBorders>
              <w:top w:val="nil"/>
              <w:left w:val="nil"/>
              <w:bottom w:val="single" w:sz="8" w:space="0" w:color="auto"/>
              <w:right w:val="single" w:sz="8" w:space="0" w:color="auto"/>
            </w:tcBorders>
            <w:shd w:val="clear" w:color="000000" w:fill="FFFFFF"/>
          </w:tcPr>
          <w:p w14:paraId="191AAA11" w14:textId="77777777" w:rsidR="00A052DC" w:rsidRDefault="009F0A60">
            <w:pPr>
              <w:pStyle w:val="B"/>
              <w:rPr>
                <w:color w:val="000000"/>
              </w:rPr>
            </w:pPr>
            <w:r>
              <w:rPr>
                <w:rFonts w:hint="eastAsia"/>
              </w:rPr>
              <w:t>变长字符型，</w:t>
            </w:r>
            <w:r>
              <w:t>128</w:t>
            </w:r>
          </w:p>
        </w:tc>
        <w:tc>
          <w:tcPr>
            <w:tcW w:w="3264" w:type="dxa"/>
            <w:tcBorders>
              <w:top w:val="nil"/>
              <w:left w:val="nil"/>
              <w:bottom w:val="single" w:sz="8" w:space="0" w:color="auto"/>
              <w:right w:val="single" w:sz="8" w:space="0" w:color="auto"/>
            </w:tcBorders>
            <w:shd w:val="clear" w:color="000000" w:fill="FFFFFF"/>
          </w:tcPr>
          <w:p w14:paraId="2EFB1CA1" w14:textId="77777777" w:rsidR="00A052DC" w:rsidRDefault="009F0A60">
            <w:pPr>
              <w:pStyle w:val="B"/>
              <w:rPr>
                <w:color w:val="000000"/>
              </w:rPr>
            </w:pPr>
            <w:r>
              <w:rPr>
                <w:rFonts w:hint="eastAsia"/>
                <w:color w:val="000000"/>
              </w:rPr>
              <w:t>如果</w:t>
            </w:r>
            <w:r>
              <w:rPr>
                <w:color w:val="000000"/>
              </w:rPr>
              <w:t>ACTIONTYPE=D，则此字段为必填字段。</w:t>
            </w:r>
          </w:p>
        </w:tc>
      </w:tr>
      <w:tr w:rsidR="00A052DC" w14:paraId="08AD6A57" w14:textId="77777777">
        <w:trPr>
          <w:cantSplit/>
          <w:trHeight w:val="300"/>
          <w:jc w:val="center"/>
        </w:trPr>
        <w:tc>
          <w:tcPr>
            <w:tcW w:w="1716" w:type="dxa"/>
            <w:tcBorders>
              <w:top w:val="nil"/>
              <w:left w:val="single" w:sz="8" w:space="0" w:color="auto"/>
              <w:bottom w:val="single" w:sz="8" w:space="0" w:color="auto"/>
              <w:right w:val="single" w:sz="8" w:space="0" w:color="auto"/>
            </w:tcBorders>
            <w:shd w:val="clear" w:color="000000" w:fill="FFFFFF"/>
            <w:vAlign w:val="center"/>
          </w:tcPr>
          <w:p w14:paraId="1ABF0CA3" w14:textId="77777777" w:rsidR="00A052DC" w:rsidRDefault="009F0A60">
            <w:pPr>
              <w:pStyle w:val="B"/>
              <w:rPr>
                <w:color w:val="000000"/>
              </w:rPr>
            </w:pPr>
            <w:r>
              <w:rPr>
                <w:color w:val="000000"/>
              </w:rPr>
              <w:t>RPTNO</w:t>
            </w:r>
          </w:p>
        </w:tc>
        <w:tc>
          <w:tcPr>
            <w:tcW w:w="1823" w:type="dxa"/>
            <w:tcBorders>
              <w:top w:val="nil"/>
              <w:left w:val="nil"/>
              <w:bottom w:val="single" w:sz="8" w:space="0" w:color="auto"/>
              <w:right w:val="single" w:sz="8" w:space="0" w:color="auto"/>
            </w:tcBorders>
            <w:shd w:val="clear" w:color="000000" w:fill="FFFFFF"/>
            <w:vAlign w:val="center"/>
          </w:tcPr>
          <w:p w14:paraId="2E5484EF" w14:textId="77777777" w:rsidR="00A052DC" w:rsidRDefault="009F0A60">
            <w:pPr>
              <w:pStyle w:val="B"/>
              <w:rPr>
                <w:color w:val="000000"/>
              </w:rPr>
            </w:pPr>
            <w:r>
              <w:rPr>
                <w:rFonts w:hint="eastAsia"/>
                <w:color w:val="000000"/>
              </w:rPr>
              <w:t>申报号码</w:t>
            </w:r>
          </w:p>
        </w:tc>
        <w:tc>
          <w:tcPr>
            <w:tcW w:w="1692" w:type="dxa"/>
            <w:tcBorders>
              <w:top w:val="nil"/>
              <w:left w:val="nil"/>
              <w:bottom w:val="single" w:sz="8" w:space="0" w:color="auto"/>
              <w:right w:val="single" w:sz="8" w:space="0" w:color="auto"/>
            </w:tcBorders>
            <w:shd w:val="clear" w:color="000000" w:fill="FFFFFF"/>
            <w:vAlign w:val="center"/>
          </w:tcPr>
          <w:p w14:paraId="7B7C95BE" w14:textId="77777777" w:rsidR="00A052DC" w:rsidRDefault="009F0A60">
            <w:pPr>
              <w:pStyle w:val="B"/>
              <w:rPr>
                <w:color w:val="000000"/>
              </w:rPr>
            </w:pPr>
            <w:r>
              <w:rPr>
                <w:rFonts w:hint="eastAsia"/>
                <w:color w:val="000000"/>
              </w:rPr>
              <w:t>字符型，</w:t>
            </w:r>
            <w:r>
              <w:rPr>
                <w:color w:val="000000"/>
              </w:rPr>
              <w:t>22位</w:t>
            </w:r>
          </w:p>
        </w:tc>
        <w:tc>
          <w:tcPr>
            <w:tcW w:w="3264" w:type="dxa"/>
            <w:tcBorders>
              <w:top w:val="nil"/>
              <w:left w:val="nil"/>
              <w:bottom w:val="single" w:sz="8" w:space="0" w:color="auto"/>
              <w:right w:val="single" w:sz="8" w:space="0" w:color="auto"/>
            </w:tcBorders>
            <w:shd w:val="clear" w:color="000000" w:fill="FFFFFF"/>
            <w:vAlign w:val="center"/>
          </w:tcPr>
          <w:p w14:paraId="7589A0D1" w14:textId="77777777" w:rsidR="00A052DC" w:rsidRDefault="009F0A60">
            <w:pPr>
              <w:pStyle w:val="B"/>
            </w:pPr>
            <w:r>
              <w:rPr>
                <w:rFonts w:hint="eastAsia"/>
                <w:color w:val="000000"/>
              </w:rPr>
              <w:t>必填项，编码规则为：</w:t>
            </w:r>
            <w:r>
              <w:t>12位金融机构标识码+6位支付日期（yymmdd）+4位银行业务流水码。</w:t>
            </w:r>
          </w:p>
          <w:p w14:paraId="3BEB6970" w14:textId="77777777" w:rsidR="00A052DC" w:rsidRDefault="009F0A60">
            <w:pPr>
              <w:pStyle w:val="B"/>
            </w:pPr>
            <w:r>
              <w:rPr>
                <w:rFonts w:hint="eastAsia"/>
              </w:rPr>
              <w:t>交易日期不能大于系统日期。</w:t>
            </w:r>
          </w:p>
          <w:p w14:paraId="5138BCBC" w14:textId="77777777" w:rsidR="00A052DC" w:rsidRDefault="009F0A60">
            <w:pPr>
              <w:pStyle w:val="B"/>
              <w:rPr>
                <w:color w:val="000000"/>
              </w:rPr>
            </w:pPr>
            <w:r>
              <w:rPr>
                <w:rFonts w:hint="eastAsia"/>
              </w:rPr>
              <w:t>银行业务流水码允许使用半角大写英文字母（</w:t>
            </w:r>
            <w:r>
              <w:t>A-Z）和数字（0-9）</w:t>
            </w:r>
            <w:r>
              <w:rPr>
                <w:rFonts w:hint="eastAsia"/>
              </w:rPr>
              <w:t>。</w:t>
            </w:r>
          </w:p>
        </w:tc>
      </w:tr>
      <w:tr w:rsidR="00A052DC" w14:paraId="3DF31E30" w14:textId="77777777">
        <w:trPr>
          <w:cantSplit/>
          <w:trHeight w:val="300"/>
          <w:jc w:val="center"/>
        </w:trPr>
        <w:tc>
          <w:tcPr>
            <w:tcW w:w="1716" w:type="dxa"/>
            <w:tcBorders>
              <w:top w:val="nil"/>
              <w:left w:val="single" w:sz="8" w:space="0" w:color="auto"/>
              <w:bottom w:val="single" w:sz="8" w:space="0" w:color="auto"/>
              <w:right w:val="single" w:sz="8" w:space="0" w:color="auto"/>
            </w:tcBorders>
            <w:shd w:val="clear" w:color="000000" w:fill="FFFFFF"/>
            <w:vAlign w:val="center"/>
          </w:tcPr>
          <w:p w14:paraId="7FD5509C" w14:textId="77777777" w:rsidR="00A052DC" w:rsidRDefault="009F0A60">
            <w:pPr>
              <w:pStyle w:val="B"/>
              <w:rPr>
                <w:color w:val="000000"/>
              </w:rPr>
            </w:pPr>
            <w:r>
              <w:rPr>
                <w:rFonts w:hint="eastAsia"/>
                <w:color w:val="000000"/>
              </w:rPr>
              <w:t>BUSCODE</w:t>
            </w:r>
          </w:p>
        </w:tc>
        <w:tc>
          <w:tcPr>
            <w:tcW w:w="1823" w:type="dxa"/>
            <w:tcBorders>
              <w:top w:val="nil"/>
              <w:left w:val="nil"/>
              <w:bottom w:val="single" w:sz="8" w:space="0" w:color="auto"/>
              <w:right w:val="single" w:sz="8" w:space="0" w:color="auto"/>
            </w:tcBorders>
            <w:shd w:val="clear" w:color="000000" w:fill="FFFFFF"/>
            <w:vAlign w:val="center"/>
          </w:tcPr>
          <w:p w14:paraId="35827C0A" w14:textId="77777777" w:rsidR="00A052DC" w:rsidRDefault="009F0A60">
            <w:pPr>
              <w:pStyle w:val="B"/>
              <w:rPr>
                <w:color w:val="000000"/>
              </w:rPr>
            </w:pPr>
            <w:r>
              <w:rPr>
                <w:rFonts w:hint="eastAsia"/>
                <w:color w:val="000000"/>
              </w:rPr>
              <w:t>银行业务参号</w:t>
            </w:r>
          </w:p>
        </w:tc>
        <w:tc>
          <w:tcPr>
            <w:tcW w:w="1692" w:type="dxa"/>
            <w:tcBorders>
              <w:top w:val="nil"/>
              <w:left w:val="nil"/>
              <w:bottom w:val="single" w:sz="8" w:space="0" w:color="auto"/>
              <w:right w:val="single" w:sz="8" w:space="0" w:color="auto"/>
            </w:tcBorders>
            <w:shd w:val="clear" w:color="000000" w:fill="FFFFFF"/>
            <w:vAlign w:val="center"/>
          </w:tcPr>
          <w:p w14:paraId="69DD5FC6" w14:textId="77777777" w:rsidR="00A052DC" w:rsidRDefault="009F0A60">
            <w:pPr>
              <w:pStyle w:val="B"/>
              <w:rPr>
                <w:color w:val="000000"/>
              </w:rPr>
            </w:pPr>
            <w:r>
              <w:rPr>
                <w:rFonts w:hint="eastAsia"/>
                <w:color w:val="000000"/>
              </w:rPr>
              <w:t>变长字符型，32</w:t>
            </w:r>
          </w:p>
        </w:tc>
        <w:tc>
          <w:tcPr>
            <w:tcW w:w="3264" w:type="dxa"/>
            <w:tcBorders>
              <w:top w:val="nil"/>
              <w:left w:val="nil"/>
              <w:bottom w:val="single" w:sz="8" w:space="0" w:color="auto"/>
              <w:right w:val="single" w:sz="8" w:space="0" w:color="auto"/>
            </w:tcBorders>
            <w:shd w:val="clear" w:color="000000" w:fill="FFFFFF"/>
            <w:vAlign w:val="center"/>
          </w:tcPr>
          <w:p w14:paraId="6CB02E75" w14:textId="77777777" w:rsidR="00A052DC" w:rsidRDefault="009F0A60">
            <w:pPr>
              <w:pStyle w:val="B"/>
              <w:rPr>
                <w:color w:val="000000"/>
              </w:rPr>
            </w:pPr>
            <w:r>
              <w:rPr>
                <w:rFonts w:hint="eastAsia"/>
                <w:color w:val="000000"/>
              </w:rPr>
              <w:t>必填项，</w:t>
            </w:r>
            <w:r>
              <w:rPr>
                <w:rFonts w:hint="eastAsia"/>
              </w:rPr>
              <w:t>指该笔业务在银行的业务参号。</w:t>
            </w:r>
          </w:p>
        </w:tc>
      </w:tr>
      <w:tr w:rsidR="00A052DC" w14:paraId="148C2BFD" w14:textId="77777777">
        <w:trPr>
          <w:cantSplit/>
          <w:trHeight w:val="570"/>
          <w:jc w:val="center"/>
        </w:trPr>
        <w:tc>
          <w:tcPr>
            <w:tcW w:w="1716" w:type="dxa"/>
            <w:tcBorders>
              <w:top w:val="nil"/>
              <w:left w:val="single" w:sz="8" w:space="0" w:color="auto"/>
              <w:bottom w:val="single" w:sz="8" w:space="0" w:color="auto"/>
              <w:right w:val="single" w:sz="8" w:space="0" w:color="auto"/>
            </w:tcBorders>
            <w:shd w:val="clear" w:color="000000" w:fill="FFFFFF"/>
            <w:vAlign w:val="center"/>
          </w:tcPr>
          <w:p w14:paraId="32D9EFA1" w14:textId="77777777" w:rsidR="00A052DC" w:rsidRDefault="009F0A60">
            <w:pPr>
              <w:pStyle w:val="B"/>
              <w:rPr>
                <w:color w:val="000000"/>
              </w:rPr>
            </w:pPr>
            <w:r>
              <w:rPr>
                <w:color w:val="000000"/>
              </w:rPr>
              <w:t>TYPE</w:t>
            </w:r>
          </w:p>
        </w:tc>
        <w:tc>
          <w:tcPr>
            <w:tcW w:w="1823" w:type="dxa"/>
            <w:tcBorders>
              <w:top w:val="nil"/>
              <w:left w:val="nil"/>
              <w:bottom w:val="single" w:sz="8" w:space="0" w:color="auto"/>
              <w:right w:val="single" w:sz="8" w:space="0" w:color="auto"/>
            </w:tcBorders>
            <w:shd w:val="clear" w:color="000000" w:fill="FFFFFF"/>
            <w:vAlign w:val="center"/>
          </w:tcPr>
          <w:p w14:paraId="6DCAC54F" w14:textId="77777777" w:rsidR="00A052DC" w:rsidRDefault="009F0A60">
            <w:pPr>
              <w:pStyle w:val="B"/>
              <w:rPr>
                <w:color w:val="000000"/>
              </w:rPr>
            </w:pPr>
            <w:r>
              <w:rPr>
                <w:rFonts w:hint="eastAsia"/>
                <w:color w:val="000000"/>
              </w:rPr>
              <w:t>业务类型</w:t>
            </w:r>
          </w:p>
        </w:tc>
        <w:tc>
          <w:tcPr>
            <w:tcW w:w="1692" w:type="dxa"/>
            <w:tcBorders>
              <w:top w:val="nil"/>
              <w:left w:val="nil"/>
              <w:bottom w:val="single" w:sz="8" w:space="0" w:color="auto"/>
              <w:right w:val="single" w:sz="8" w:space="0" w:color="auto"/>
            </w:tcBorders>
            <w:shd w:val="clear" w:color="000000" w:fill="FFFFFF"/>
            <w:vAlign w:val="center"/>
          </w:tcPr>
          <w:p w14:paraId="17004F07" w14:textId="77777777" w:rsidR="00A052DC" w:rsidRDefault="009F0A60">
            <w:pPr>
              <w:pStyle w:val="B"/>
              <w:rPr>
                <w:color w:val="000000"/>
              </w:rPr>
            </w:pPr>
            <w:r>
              <w:rPr>
                <w:rFonts w:hint="eastAsia"/>
                <w:color w:val="000000"/>
              </w:rPr>
              <w:t>字符型，</w:t>
            </w:r>
            <w:r>
              <w:rPr>
                <w:color w:val="000000"/>
              </w:rPr>
              <w:t>1</w:t>
            </w:r>
          </w:p>
        </w:tc>
        <w:tc>
          <w:tcPr>
            <w:tcW w:w="3264" w:type="dxa"/>
            <w:tcBorders>
              <w:top w:val="nil"/>
              <w:left w:val="nil"/>
              <w:bottom w:val="single" w:sz="8" w:space="0" w:color="auto"/>
              <w:right w:val="single" w:sz="8" w:space="0" w:color="auto"/>
            </w:tcBorders>
            <w:shd w:val="clear" w:color="000000" w:fill="FFFFFF"/>
            <w:vAlign w:val="center"/>
          </w:tcPr>
          <w:p w14:paraId="01E4859B" w14:textId="77777777" w:rsidR="00A052DC" w:rsidRDefault="009F0A60">
            <w:pPr>
              <w:pStyle w:val="B"/>
              <w:rPr>
                <w:color w:val="000000"/>
              </w:rPr>
            </w:pPr>
            <w:r>
              <w:rPr>
                <w:rFonts w:hint="eastAsia"/>
                <w:color w:val="000000"/>
              </w:rPr>
              <w:t>必填项</w:t>
            </w:r>
            <w:r>
              <w:rPr>
                <w:color w:val="000000"/>
              </w:rPr>
              <w:t>,2选1：</w:t>
            </w:r>
          </w:p>
          <w:p w14:paraId="36E6386B" w14:textId="77777777" w:rsidR="00A052DC" w:rsidRDefault="009F0A60">
            <w:pPr>
              <w:pStyle w:val="B"/>
              <w:rPr>
                <w:color w:val="000000"/>
              </w:rPr>
            </w:pPr>
            <w:r>
              <w:rPr>
                <w:color w:val="000000"/>
              </w:rPr>
              <w:t>1-存钞；</w:t>
            </w:r>
          </w:p>
          <w:p w14:paraId="390F21B0" w14:textId="77777777" w:rsidR="00A052DC" w:rsidRDefault="009F0A60">
            <w:pPr>
              <w:pStyle w:val="B"/>
              <w:rPr>
                <w:color w:val="000000"/>
              </w:rPr>
            </w:pPr>
            <w:r>
              <w:rPr>
                <w:color w:val="000000"/>
              </w:rPr>
              <w:t>2-境内转入。</w:t>
            </w:r>
          </w:p>
        </w:tc>
      </w:tr>
      <w:tr w:rsidR="00A052DC" w14:paraId="67BCFB96" w14:textId="77777777">
        <w:trPr>
          <w:cantSplit/>
          <w:trHeight w:val="570"/>
          <w:jc w:val="center"/>
        </w:trPr>
        <w:tc>
          <w:tcPr>
            <w:tcW w:w="1716" w:type="dxa"/>
            <w:tcBorders>
              <w:top w:val="nil"/>
              <w:left w:val="single" w:sz="8" w:space="0" w:color="auto"/>
              <w:bottom w:val="single" w:sz="8" w:space="0" w:color="auto"/>
              <w:right w:val="single" w:sz="8" w:space="0" w:color="auto"/>
            </w:tcBorders>
            <w:shd w:val="clear" w:color="000000" w:fill="FFFFFF"/>
            <w:vAlign w:val="center"/>
          </w:tcPr>
          <w:p w14:paraId="60805496" w14:textId="77777777" w:rsidR="00A052DC" w:rsidRDefault="009F0A60">
            <w:pPr>
              <w:pStyle w:val="B"/>
              <w:rPr>
                <w:color w:val="000000"/>
              </w:rPr>
            </w:pPr>
            <w:r>
              <w:rPr>
                <w:color w:val="000000"/>
              </w:rPr>
              <w:t>CUSTTYPE</w:t>
            </w:r>
          </w:p>
        </w:tc>
        <w:tc>
          <w:tcPr>
            <w:tcW w:w="1823" w:type="dxa"/>
            <w:tcBorders>
              <w:top w:val="nil"/>
              <w:left w:val="nil"/>
              <w:bottom w:val="single" w:sz="8" w:space="0" w:color="auto"/>
              <w:right w:val="single" w:sz="8" w:space="0" w:color="auto"/>
            </w:tcBorders>
            <w:shd w:val="clear" w:color="000000" w:fill="FFFFFF"/>
            <w:vAlign w:val="center"/>
          </w:tcPr>
          <w:p w14:paraId="3639E9DE" w14:textId="77777777" w:rsidR="00A052DC" w:rsidRDefault="009F0A60">
            <w:pPr>
              <w:pStyle w:val="B"/>
              <w:rPr>
                <w:color w:val="000000"/>
              </w:rPr>
            </w:pPr>
            <w:r>
              <w:rPr>
                <w:rFonts w:hint="eastAsia"/>
                <w:color w:val="000000"/>
              </w:rPr>
              <w:t>开户类型</w:t>
            </w:r>
          </w:p>
        </w:tc>
        <w:tc>
          <w:tcPr>
            <w:tcW w:w="1692" w:type="dxa"/>
            <w:tcBorders>
              <w:top w:val="nil"/>
              <w:left w:val="nil"/>
              <w:bottom w:val="single" w:sz="8" w:space="0" w:color="auto"/>
              <w:right w:val="single" w:sz="8" w:space="0" w:color="auto"/>
            </w:tcBorders>
            <w:shd w:val="clear" w:color="000000" w:fill="FFFFFF"/>
            <w:vAlign w:val="center"/>
          </w:tcPr>
          <w:p w14:paraId="66CDA849" w14:textId="77777777" w:rsidR="00A052DC" w:rsidRDefault="009F0A60">
            <w:pPr>
              <w:pStyle w:val="B"/>
              <w:rPr>
                <w:color w:val="000000"/>
              </w:rPr>
            </w:pPr>
            <w:r>
              <w:rPr>
                <w:rFonts w:hint="eastAsia"/>
                <w:color w:val="000000"/>
              </w:rPr>
              <w:t>字符型，</w:t>
            </w:r>
            <w:r>
              <w:rPr>
                <w:color w:val="000000"/>
              </w:rPr>
              <w:t>1</w:t>
            </w:r>
          </w:p>
        </w:tc>
        <w:tc>
          <w:tcPr>
            <w:tcW w:w="3264" w:type="dxa"/>
            <w:tcBorders>
              <w:top w:val="nil"/>
              <w:left w:val="nil"/>
              <w:bottom w:val="single" w:sz="8" w:space="0" w:color="auto"/>
              <w:right w:val="single" w:sz="8" w:space="0" w:color="auto"/>
            </w:tcBorders>
            <w:shd w:val="clear" w:color="000000" w:fill="FFFFFF"/>
            <w:vAlign w:val="center"/>
          </w:tcPr>
          <w:p w14:paraId="7ABDF306" w14:textId="77777777" w:rsidR="00A052DC" w:rsidRDefault="009F0A60">
            <w:pPr>
              <w:pStyle w:val="B"/>
              <w:rPr>
                <w:color w:val="000000"/>
              </w:rPr>
            </w:pPr>
            <w:r>
              <w:rPr>
                <w:rFonts w:hint="eastAsia"/>
                <w:color w:val="000000"/>
              </w:rPr>
              <w:t>必填项，</w:t>
            </w:r>
            <w:r>
              <w:rPr>
                <w:color w:val="000000"/>
              </w:rPr>
              <w:t>2选1：</w:t>
            </w:r>
            <w:r>
              <w:rPr>
                <w:color w:val="000000"/>
              </w:rPr>
              <w:br/>
              <w:t>C-对公</w:t>
            </w:r>
            <w:r w:rsidR="001B2484">
              <w:rPr>
                <w:rFonts w:hint="eastAsia"/>
                <w:color w:val="000000"/>
              </w:rPr>
              <w:t>；</w:t>
            </w:r>
          </w:p>
          <w:p w14:paraId="64212CB5" w14:textId="77777777" w:rsidR="00A052DC" w:rsidRDefault="009F0A60">
            <w:pPr>
              <w:pStyle w:val="B"/>
              <w:rPr>
                <w:color w:val="000000"/>
              </w:rPr>
            </w:pPr>
            <w:r>
              <w:rPr>
                <w:color w:val="000000"/>
              </w:rPr>
              <w:t>D-对私</w:t>
            </w:r>
            <w:r w:rsidR="001B2484">
              <w:rPr>
                <w:rFonts w:hint="eastAsia"/>
                <w:color w:val="000000"/>
              </w:rPr>
              <w:t>。</w:t>
            </w:r>
          </w:p>
        </w:tc>
      </w:tr>
      <w:tr w:rsidR="00A052DC" w14:paraId="50EBDB3D" w14:textId="77777777">
        <w:trPr>
          <w:cantSplit/>
          <w:trHeight w:val="300"/>
          <w:jc w:val="center"/>
        </w:trPr>
        <w:tc>
          <w:tcPr>
            <w:tcW w:w="1716" w:type="dxa"/>
            <w:tcBorders>
              <w:top w:val="nil"/>
              <w:left w:val="single" w:sz="8" w:space="0" w:color="auto"/>
              <w:bottom w:val="single" w:sz="8" w:space="0" w:color="auto"/>
              <w:right w:val="single" w:sz="8" w:space="0" w:color="auto"/>
            </w:tcBorders>
            <w:shd w:val="clear" w:color="000000" w:fill="FFFFFF"/>
            <w:vAlign w:val="center"/>
          </w:tcPr>
          <w:p w14:paraId="580C8F8B" w14:textId="77777777" w:rsidR="00A052DC" w:rsidRDefault="009F0A60">
            <w:pPr>
              <w:pStyle w:val="B"/>
              <w:rPr>
                <w:color w:val="000000"/>
              </w:rPr>
            </w:pPr>
            <w:r>
              <w:rPr>
                <w:color w:val="000000"/>
              </w:rPr>
              <w:t>CUSTNM</w:t>
            </w:r>
          </w:p>
        </w:tc>
        <w:tc>
          <w:tcPr>
            <w:tcW w:w="1823" w:type="dxa"/>
            <w:tcBorders>
              <w:top w:val="nil"/>
              <w:left w:val="nil"/>
              <w:bottom w:val="single" w:sz="8" w:space="0" w:color="auto"/>
              <w:right w:val="single" w:sz="8" w:space="0" w:color="auto"/>
            </w:tcBorders>
            <w:shd w:val="clear" w:color="000000" w:fill="FFFFFF"/>
            <w:vAlign w:val="center"/>
          </w:tcPr>
          <w:p w14:paraId="74EBB078" w14:textId="77777777" w:rsidR="00A052DC" w:rsidRDefault="009F0A60">
            <w:pPr>
              <w:pStyle w:val="B"/>
              <w:rPr>
                <w:color w:val="000000"/>
              </w:rPr>
            </w:pPr>
            <w:r>
              <w:rPr>
                <w:rFonts w:hint="eastAsia"/>
                <w:color w:val="000000"/>
              </w:rPr>
              <w:t>开户主体名称</w:t>
            </w:r>
          </w:p>
        </w:tc>
        <w:tc>
          <w:tcPr>
            <w:tcW w:w="1692" w:type="dxa"/>
            <w:tcBorders>
              <w:top w:val="nil"/>
              <w:left w:val="nil"/>
              <w:bottom w:val="single" w:sz="8" w:space="0" w:color="auto"/>
              <w:right w:val="single" w:sz="8" w:space="0" w:color="auto"/>
            </w:tcBorders>
            <w:shd w:val="clear" w:color="000000" w:fill="FFFFFF"/>
            <w:vAlign w:val="center"/>
          </w:tcPr>
          <w:p w14:paraId="10DDD7CB" w14:textId="77777777" w:rsidR="00A052DC" w:rsidRDefault="009F0A60">
            <w:pPr>
              <w:pStyle w:val="B"/>
              <w:rPr>
                <w:color w:val="000000"/>
              </w:rPr>
            </w:pPr>
            <w:r>
              <w:rPr>
                <w:rFonts w:hint="eastAsia"/>
                <w:color w:val="000000"/>
              </w:rPr>
              <w:t>变长字符型，</w:t>
            </w:r>
            <w:r>
              <w:rPr>
                <w:color w:val="000000"/>
              </w:rPr>
              <w:t>128</w:t>
            </w:r>
          </w:p>
        </w:tc>
        <w:tc>
          <w:tcPr>
            <w:tcW w:w="3264" w:type="dxa"/>
            <w:tcBorders>
              <w:top w:val="nil"/>
              <w:left w:val="nil"/>
              <w:bottom w:val="single" w:sz="8" w:space="0" w:color="auto"/>
              <w:right w:val="single" w:sz="8" w:space="0" w:color="auto"/>
            </w:tcBorders>
            <w:shd w:val="clear" w:color="000000" w:fill="FFFFFF"/>
            <w:vAlign w:val="center"/>
          </w:tcPr>
          <w:p w14:paraId="29AC4550" w14:textId="77777777" w:rsidR="00A052DC" w:rsidRDefault="009F0A60">
            <w:pPr>
              <w:pStyle w:val="B"/>
              <w:rPr>
                <w:color w:val="000000"/>
              </w:rPr>
            </w:pPr>
            <w:r>
              <w:rPr>
                <w:rFonts w:hint="eastAsia"/>
                <w:color w:val="000000"/>
              </w:rPr>
              <w:t>必填项。</w:t>
            </w:r>
          </w:p>
        </w:tc>
      </w:tr>
      <w:tr w:rsidR="00A052DC" w14:paraId="4C099723" w14:textId="77777777">
        <w:trPr>
          <w:cantSplit/>
          <w:trHeight w:val="300"/>
          <w:jc w:val="center"/>
        </w:trPr>
        <w:tc>
          <w:tcPr>
            <w:tcW w:w="1716" w:type="dxa"/>
            <w:tcBorders>
              <w:top w:val="nil"/>
              <w:left w:val="single" w:sz="8" w:space="0" w:color="auto"/>
              <w:bottom w:val="single" w:sz="8" w:space="0" w:color="auto"/>
              <w:right w:val="single" w:sz="8" w:space="0" w:color="auto"/>
            </w:tcBorders>
            <w:shd w:val="clear" w:color="000000" w:fill="FFFFFF"/>
            <w:vAlign w:val="center"/>
          </w:tcPr>
          <w:p w14:paraId="03469073" w14:textId="77777777" w:rsidR="00A052DC" w:rsidRDefault="009F0A60">
            <w:pPr>
              <w:pStyle w:val="B"/>
              <w:rPr>
                <w:color w:val="000000"/>
              </w:rPr>
            </w:pPr>
            <w:r>
              <w:rPr>
                <w:color w:val="000000"/>
              </w:rPr>
              <w:t>CUSTCOD</w:t>
            </w:r>
          </w:p>
        </w:tc>
        <w:tc>
          <w:tcPr>
            <w:tcW w:w="1823" w:type="dxa"/>
            <w:tcBorders>
              <w:top w:val="nil"/>
              <w:left w:val="nil"/>
              <w:bottom w:val="single" w:sz="8" w:space="0" w:color="auto"/>
              <w:right w:val="single" w:sz="8" w:space="0" w:color="auto"/>
            </w:tcBorders>
            <w:shd w:val="clear" w:color="000000" w:fill="FFFFFF"/>
            <w:vAlign w:val="center"/>
          </w:tcPr>
          <w:p w14:paraId="452044B9" w14:textId="77777777" w:rsidR="00A052DC" w:rsidRDefault="009F0A60">
            <w:pPr>
              <w:pStyle w:val="B"/>
              <w:rPr>
                <w:color w:val="000000"/>
              </w:rPr>
            </w:pPr>
            <w:r>
              <w:rPr>
                <w:rFonts w:hint="eastAsia"/>
                <w:color w:val="000000"/>
              </w:rPr>
              <w:t>开户主体代码</w:t>
            </w:r>
          </w:p>
        </w:tc>
        <w:tc>
          <w:tcPr>
            <w:tcW w:w="1692" w:type="dxa"/>
            <w:tcBorders>
              <w:top w:val="nil"/>
              <w:left w:val="nil"/>
              <w:bottom w:val="single" w:sz="8" w:space="0" w:color="auto"/>
              <w:right w:val="single" w:sz="8" w:space="0" w:color="auto"/>
            </w:tcBorders>
            <w:shd w:val="clear" w:color="000000" w:fill="FFFFFF"/>
            <w:vAlign w:val="center"/>
          </w:tcPr>
          <w:p w14:paraId="01F948DA" w14:textId="77777777" w:rsidR="00A052DC" w:rsidRDefault="009F0A60">
            <w:pPr>
              <w:pStyle w:val="B"/>
              <w:rPr>
                <w:color w:val="000000"/>
              </w:rPr>
            </w:pPr>
            <w:r>
              <w:rPr>
                <w:rFonts w:hint="eastAsia"/>
                <w:color w:val="000000"/>
              </w:rPr>
              <w:t>字符型，32</w:t>
            </w:r>
          </w:p>
        </w:tc>
        <w:tc>
          <w:tcPr>
            <w:tcW w:w="3264" w:type="dxa"/>
            <w:tcBorders>
              <w:top w:val="nil"/>
              <w:left w:val="nil"/>
              <w:bottom w:val="single" w:sz="8" w:space="0" w:color="auto"/>
              <w:right w:val="single" w:sz="8" w:space="0" w:color="auto"/>
            </w:tcBorders>
            <w:shd w:val="clear" w:color="000000" w:fill="FFFFFF"/>
            <w:vAlign w:val="center"/>
          </w:tcPr>
          <w:p w14:paraId="536C7CEE" w14:textId="77777777" w:rsidR="00A052DC" w:rsidRDefault="009F0A60">
            <w:pPr>
              <w:pStyle w:val="B"/>
            </w:pPr>
            <w:r>
              <w:rPr>
                <w:rFonts w:hint="eastAsia"/>
              </w:rPr>
              <w:t>如果开户主体人为境内机构，应填写统一社会信用代码法定载体（如营业执照）上统一社会信用代码中的第9至17位或；国家外汇管理局及其分支局签发的特殊机构代码赋码通知书上的机构代码。</w:t>
            </w:r>
          </w:p>
          <w:p w14:paraId="040196FA" w14:textId="77777777" w:rsidR="00A052DC" w:rsidRDefault="009F0A60">
            <w:pPr>
              <w:pStyle w:val="B"/>
              <w:rPr>
                <w:color w:val="000000"/>
              </w:rPr>
            </w:pPr>
            <w:r>
              <w:rPr>
                <w:rFonts w:hint="eastAsia"/>
              </w:rPr>
              <w:t>如果开户主体为境内个人，应填写开户主体个人身份证件号码。</w:t>
            </w:r>
          </w:p>
        </w:tc>
      </w:tr>
      <w:tr w:rsidR="00A052DC" w14:paraId="4612B9CA" w14:textId="77777777">
        <w:trPr>
          <w:cantSplit/>
          <w:trHeight w:val="300"/>
          <w:jc w:val="center"/>
        </w:trPr>
        <w:tc>
          <w:tcPr>
            <w:tcW w:w="1716" w:type="dxa"/>
            <w:tcBorders>
              <w:top w:val="nil"/>
              <w:left w:val="single" w:sz="8" w:space="0" w:color="auto"/>
              <w:bottom w:val="single" w:sz="8" w:space="0" w:color="auto"/>
              <w:right w:val="single" w:sz="8" w:space="0" w:color="auto"/>
            </w:tcBorders>
            <w:shd w:val="clear" w:color="000000" w:fill="FFFFFF"/>
            <w:vAlign w:val="center"/>
          </w:tcPr>
          <w:p w14:paraId="26F7FAE6" w14:textId="77777777" w:rsidR="00A052DC" w:rsidRDefault="009F0A60">
            <w:pPr>
              <w:pStyle w:val="B"/>
              <w:rPr>
                <w:color w:val="000000"/>
              </w:rPr>
            </w:pPr>
            <w:r>
              <w:rPr>
                <w:color w:val="000000"/>
              </w:rPr>
              <w:t>ACCTNO</w:t>
            </w:r>
          </w:p>
        </w:tc>
        <w:tc>
          <w:tcPr>
            <w:tcW w:w="1823" w:type="dxa"/>
            <w:tcBorders>
              <w:top w:val="nil"/>
              <w:left w:val="nil"/>
              <w:bottom w:val="single" w:sz="8" w:space="0" w:color="auto"/>
              <w:right w:val="single" w:sz="8" w:space="0" w:color="auto"/>
            </w:tcBorders>
            <w:shd w:val="clear" w:color="000000" w:fill="FFFFFF"/>
            <w:vAlign w:val="center"/>
          </w:tcPr>
          <w:p w14:paraId="12611396" w14:textId="77777777" w:rsidR="00A052DC" w:rsidRDefault="009F0A60">
            <w:pPr>
              <w:pStyle w:val="B"/>
              <w:rPr>
                <w:color w:val="000000"/>
              </w:rPr>
            </w:pPr>
            <w:r>
              <w:rPr>
                <w:rFonts w:hint="eastAsia"/>
                <w:color w:val="000000"/>
              </w:rPr>
              <w:t>账号</w:t>
            </w:r>
          </w:p>
        </w:tc>
        <w:tc>
          <w:tcPr>
            <w:tcW w:w="1692" w:type="dxa"/>
            <w:tcBorders>
              <w:top w:val="nil"/>
              <w:left w:val="nil"/>
              <w:bottom w:val="single" w:sz="8" w:space="0" w:color="auto"/>
              <w:right w:val="single" w:sz="8" w:space="0" w:color="auto"/>
            </w:tcBorders>
            <w:shd w:val="clear" w:color="000000" w:fill="FFFFFF"/>
            <w:vAlign w:val="center"/>
          </w:tcPr>
          <w:p w14:paraId="313926A7" w14:textId="77777777" w:rsidR="00A052DC" w:rsidRDefault="009F0A60">
            <w:pPr>
              <w:pStyle w:val="B"/>
              <w:rPr>
                <w:color w:val="000000"/>
              </w:rPr>
            </w:pPr>
            <w:r>
              <w:rPr>
                <w:rFonts w:hint="eastAsia"/>
                <w:color w:val="000000"/>
              </w:rPr>
              <w:t>变长字符型，</w:t>
            </w:r>
            <w:r>
              <w:rPr>
                <w:color w:val="000000"/>
              </w:rPr>
              <w:t>32</w:t>
            </w:r>
          </w:p>
        </w:tc>
        <w:tc>
          <w:tcPr>
            <w:tcW w:w="3264" w:type="dxa"/>
            <w:tcBorders>
              <w:top w:val="nil"/>
              <w:left w:val="nil"/>
              <w:bottom w:val="single" w:sz="8" w:space="0" w:color="auto"/>
              <w:right w:val="single" w:sz="8" w:space="0" w:color="auto"/>
            </w:tcBorders>
            <w:shd w:val="clear" w:color="000000" w:fill="FFFFFF"/>
            <w:vAlign w:val="center"/>
          </w:tcPr>
          <w:p w14:paraId="788CA13E" w14:textId="77777777" w:rsidR="00A052DC" w:rsidRDefault="009F0A60">
            <w:pPr>
              <w:pStyle w:val="B"/>
              <w:rPr>
                <w:color w:val="000000"/>
              </w:rPr>
            </w:pPr>
            <w:r>
              <w:rPr>
                <w:rFonts w:hint="eastAsia"/>
                <w:color w:val="000000"/>
              </w:rPr>
              <w:t>必填项。</w:t>
            </w:r>
          </w:p>
        </w:tc>
      </w:tr>
      <w:tr w:rsidR="00A052DC" w14:paraId="6E2BAEF8" w14:textId="77777777">
        <w:trPr>
          <w:cantSplit/>
          <w:trHeight w:val="285"/>
          <w:jc w:val="center"/>
        </w:trPr>
        <w:tc>
          <w:tcPr>
            <w:tcW w:w="1716" w:type="dxa"/>
            <w:tcBorders>
              <w:top w:val="nil"/>
              <w:left w:val="single" w:sz="8" w:space="0" w:color="auto"/>
              <w:bottom w:val="single" w:sz="8" w:space="0" w:color="000000"/>
              <w:right w:val="single" w:sz="8" w:space="0" w:color="auto"/>
            </w:tcBorders>
            <w:shd w:val="clear" w:color="000000" w:fill="FFFFFF"/>
            <w:vAlign w:val="center"/>
          </w:tcPr>
          <w:p w14:paraId="576E545F" w14:textId="77777777" w:rsidR="00A052DC" w:rsidRDefault="009F0A60">
            <w:pPr>
              <w:pStyle w:val="B"/>
              <w:rPr>
                <w:color w:val="000000"/>
              </w:rPr>
            </w:pPr>
            <w:r>
              <w:rPr>
                <w:color w:val="000000"/>
              </w:rPr>
              <w:t>CUSTCONTACT</w:t>
            </w:r>
          </w:p>
        </w:tc>
        <w:tc>
          <w:tcPr>
            <w:tcW w:w="1823" w:type="dxa"/>
            <w:tcBorders>
              <w:top w:val="nil"/>
              <w:left w:val="single" w:sz="8" w:space="0" w:color="auto"/>
              <w:bottom w:val="single" w:sz="8" w:space="0" w:color="000000"/>
              <w:right w:val="single" w:sz="8" w:space="0" w:color="auto"/>
            </w:tcBorders>
            <w:shd w:val="clear" w:color="000000" w:fill="FFFFFF"/>
            <w:vAlign w:val="center"/>
          </w:tcPr>
          <w:p w14:paraId="3EA7A01F" w14:textId="77777777" w:rsidR="00A052DC" w:rsidRDefault="009F0A60">
            <w:pPr>
              <w:pStyle w:val="B"/>
              <w:rPr>
                <w:color w:val="000000"/>
              </w:rPr>
            </w:pPr>
            <w:r>
              <w:rPr>
                <w:rFonts w:hint="eastAsia"/>
                <w:color w:val="000000"/>
              </w:rPr>
              <w:t>联系人姓名</w:t>
            </w:r>
          </w:p>
        </w:tc>
        <w:tc>
          <w:tcPr>
            <w:tcW w:w="1692" w:type="dxa"/>
            <w:tcBorders>
              <w:top w:val="nil"/>
              <w:left w:val="single" w:sz="8" w:space="0" w:color="auto"/>
              <w:bottom w:val="single" w:sz="8" w:space="0" w:color="000000"/>
              <w:right w:val="single" w:sz="8" w:space="0" w:color="auto"/>
            </w:tcBorders>
            <w:shd w:val="clear" w:color="000000" w:fill="FFFFFF"/>
            <w:vAlign w:val="center"/>
          </w:tcPr>
          <w:p w14:paraId="3FB69669" w14:textId="77777777" w:rsidR="00A052DC" w:rsidRDefault="009F0A60">
            <w:pPr>
              <w:pStyle w:val="B"/>
              <w:rPr>
                <w:color w:val="000000"/>
              </w:rPr>
            </w:pPr>
            <w:r>
              <w:rPr>
                <w:rFonts w:hint="eastAsia"/>
                <w:color w:val="000000"/>
              </w:rPr>
              <w:t>变长字符型，</w:t>
            </w:r>
            <w:r>
              <w:rPr>
                <w:color w:val="000000"/>
              </w:rPr>
              <w:t>128</w:t>
            </w:r>
          </w:p>
        </w:tc>
        <w:tc>
          <w:tcPr>
            <w:tcW w:w="3264" w:type="dxa"/>
            <w:tcBorders>
              <w:top w:val="nil"/>
              <w:left w:val="nil"/>
              <w:bottom w:val="nil"/>
              <w:right w:val="single" w:sz="8" w:space="0" w:color="auto"/>
            </w:tcBorders>
            <w:shd w:val="clear" w:color="000000" w:fill="FFFFFF"/>
            <w:vAlign w:val="center"/>
          </w:tcPr>
          <w:p w14:paraId="5AB5091E" w14:textId="77777777" w:rsidR="00A052DC" w:rsidRDefault="009F0A60">
            <w:pPr>
              <w:pStyle w:val="B"/>
              <w:rPr>
                <w:color w:val="000000"/>
              </w:rPr>
            </w:pPr>
            <w:r>
              <w:rPr>
                <w:rFonts w:hint="eastAsia"/>
                <w:color w:val="000000"/>
              </w:rPr>
              <w:t>必填项，指客户联系人姓名，多个联系人时，可用英文半角逗号分隔。</w:t>
            </w:r>
          </w:p>
        </w:tc>
      </w:tr>
      <w:tr w:rsidR="00A052DC" w14:paraId="22EFA534" w14:textId="77777777">
        <w:trPr>
          <w:cantSplit/>
          <w:trHeight w:val="285"/>
          <w:jc w:val="center"/>
        </w:trPr>
        <w:tc>
          <w:tcPr>
            <w:tcW w:w="1716" w:type="dxa"/>
            <w:tcBorders>
              <w:top w:val="single" w:sz="4" w:space="0" w:color="auto"/>
              <w:left w:val="single" w:sz="8" w:space="0" w:color="auto"/>
              <w:bottom w:val="single" w:sz="8" w:space="0" w:color="000000"/>
              <w:right w:val="single" w:sz="8" w:space="0" w:color="auto"/>
            </w:tcBorders>
            <w:shd w:val="clear" w:color="000000" w:fill="FFFFFF"/>
            <w:vAlign w:val="center"/>
          </w:tcPr>
          <w:p w14:paraId="1CE44F97" w14:textId="77777777" w:rsidR="00A052DC" w:rsidRDefault="009F0A60">
            <w:pPr>
              <w:pStyle w:val="B"/>
              <w:rPr>
                <w:color w:val="000000"/>
              </w:rPr>
            </w:pPr>
            <w:r>
              <w:rPr>
                <w:color w:val="000000"/>
              </w:rPr>
              <w:t>CUSTTEL</w:t>
            </w:r>
          </w:p>
        </w:tc>
        <w:tc>
          <w:tcPr>
            <w:tcW w:w="1823" w:type="dxa"/>
            <w:tcBorders>
              <w:top w:val="single" w:sz="4" w:space="0" w:color="auto"/>
              <w:left w:val="single" w:sz="8" w:space="0" w:color="auto"/>
              <w:bottom w:val="single" w:sz="8" w:space="0" w:color="000000"/>
              <w:right w:val="single" w:sz="8" w:space="0" w:color="auto"/>
            </w:tcBorders>
            <w:shd w:val="clear" w:color="000000" w:fill="FFFFFF"/>
            <w:vAlign w:val="center"/>
          </w:tcPr>
          <w:p w14:paraId="7DCE121E" w14:textId="77777777" w:rsidR="00A052DC" w:rsidRDefault="009F0A60">
            <w:pPr>
              <w:pStyle w:val="B"/>
              <w:rPr>
                <w:color w:val="000000"/>
              </w:rPr>
            </w:pPr>
            <w:r>
              <w:rPr>
                <w:rFonts w:hint="eastAsia"/>
                <w:color w:val="000000"/>
              </w:rPr>
              <w:t>联系电话</w:t>
            </w:r>
          </w:p>
        </w:tc>
        <w:tc>
          <w:tcPr>
            <w:tcW w:w="1692" w:type="dxa"/>
            <w:tcBorders>
              <w:top w:val="single" w:sz="4" w:space="0" w:color="auto"/>
              <w:left w:val="single" w:sz="8" w:space="0" w:color="auto"/>
              <w:bottom w:val="single" w:sz="8" w:space="0" w:color="000000"/>
              <w:right w:val="single" w:sz="8" w:space="0" w:color="auto"/>
            </w:tcBorders>
            <w:shd w:val="clear" w:color="000000" w:fill="FFFFFF"/>
            <w:vAlign w:val="center"/>
          </w:tcPr>
          <w:p w14:paraId="659A06ED" w14:textId="77777777" w:rsidR="00A052DC" w:rsidRDefault="009F0A60">
            <w:pPr>
              <w:pStyle w:val="B"/>
              <w:rPr>
                <w:color w:val="000000"/>
              </w:rPr>
            </w:pPr>
            <w:r>
              <w:rPr>
                <w:rFonts w:hint="eastAsia"/>
                <w:color w:val="000000"/>
              </w:rPr>
              <w:t>变长字符型，</w:t>
            </w:r>
            <w:r>
              <w:rPr>
                <w:color w:val="000000"/>
              </w:rPr>
              <w:t>128</w:t>
            </w:r>
          </w:p>
        </w:tc>
        <w:tc>
          <w:tcPr>
            <w:tcW w:w="3264" w:type="dxa"/>
            <w:tcBorders>
              <w:top w:val="single" w:sz="4" w:space="0" w:color="auto"/>
              <w:left w:val="nil"/>
              <w:bottom w:val="single" w:sz="4" w:space="0" w:color="auto"/>
              <w:right w:val="single" w:sz="8" w:space="0" w:color="auto"/>
            </w:tcBorders>
            <w:shd w:val="clear" w:color="000000" w:fill="FFFFFF"/>
            <w:vAlign w:val="center"/>
          </w:tcPr>
          <w:p w14:paraId="6108A004" w14:textId="77777777" w:rsidR="00A052DC" w:rsidRDefault="009F0A60">
            <w:pPr>
              <w:pStyle w:val="B"/>
              <w:rPr>
                <w:color w:val="000000"/>
              </w:rPr>
            </w:pPr>
            <w:r>
              <w:rPr>
                <w:rFonts w:hint="eastAsia"/>
                <w:color w:val="000000"/>
              </w:rPr>
              <w:t>必填项，指客户联系电话，多个联系电话时，可用英文半角逗号分隔。</w:t>
            </w:r>
            <w:r>
              <w:rPr>
                <w:color w:val="000000"/>
              </w:rPr>
              <w:br/>
            </w:r>
            <w:r>
              <w:rPr>
                <w:rFonts w:hint="eastAsia"/>
                <w:color w:val="000000"/>
              </w:rPr>
              <w:t>手机号码填写格式为</w:t>
            </w:r>
            <w:r>
              <w:rPr>
                <w:color w:val="000000"/>
              </w:rPr>
              <w:t>11位数字；固定电话填写格式为“区号-号码”，如010-12345678。</w:t>
            </w:r>
          </w:p>
        </w:tc>
      </w:tr>
      <w:tr w:rsidR="00A052DC" w14:paraId="64C7BBF2" w14:textId="77777777">
        <w:trPr>
          <w:cantSplit/>
          <w:trHeight w:val="300"/>
          <w:jc w:val="center"/>
        </w:trPr>
        <w:tc>
          <w:tcPr>
            <w:tcW w:w="1716" w:type="dxa"/>
            <w:tcBorders>
              <w:top w:val="nil"/>
              <w:left w:val="single" w:sz="8" w:space="0" w:color="auto"/>
              <w:bottom w:val="single" w:sz="8" w:space="0" w:color="auto"/>
              <w:right w:val="single" w:sz="8" w:space="0" w:color="auto"/>
            </w:tcBorders>
            <w:shd w:val="clear" w:color="000000" w:fill="FFFFFF"/>
            <w:vAlign w:val="center"/>
          </w:tcPr>
          <w:p w14:paraId="5EA17702" w14:textId="77777777" w:rsidR="00A052DC" w:rsidRDefault="009F0A60">
            <w:pPr>
              <w:pStyle w:val="B"/>
              <w:rPr>
                <w:color w:val="000000"/>
              </w:rPr>
            </w:pPr>
            <w:r>
              <w:rPr>
                <w:color w:val="000000"/>
              </w:rPr>
              <w:t>DEALTIME</w:t>
            </w:r>
          </w:p>
        </w:tc>
        <w:tc>
          <w:tcPr>
            <w:tcW w:w="1823" w:type="dxa"/>
            <w:tcBorders>
              <w:top w:val="nil"/>
              <w:left w:val="nil"/>
              <w:bottom w:val="single" w:sz="8" w:space="0" w:color="auto"/>
              <w:right w:val="single" w:sz="8" w:space="0" w:color="auto"/>
            </w:tcBorders>
            <w:shd w:val="clear" w:color="000000" w:fill="FFFFFF"/>
            <w:vAlign w:val="center"/>
          </w:tcPr>
          <w:p w14:paraId="735F6DA0" w14:textId="77777777" w:rsidR="00A052DC" w:rsidRDefault="009F0A60">
            <w:pPr>
              <w:pStyle w:val="B"/>
              <w:rPr>
                <w:color w:val="000000"/>
              </w:rPr>
            </w:pPr>
            <w:r>
              <w:rPr>
                <w:rFonts w:hint="eastAsia"/>
                <w:color w:val="000000"/>
              </w:rPr>
              <w:t>交易时间</w:t>
            </w:r>
          </w:p>
        </w:tc>
        <w:tc>
          <w:tcPr>
            <w:tcW w:w="1692" w:type="dxa"/>
            <w:tcBorders>
              <w:top w:val="nil"/>
              <w:left w:val="nil"/>
              <w:bottom w:val="single" w:sz="8" w:space="0" w:color="auto"/>
              <w:right w:val="single" w:sz="8" w:space="0" w:color="auto"/>
            </w:tcBorders>
            <w:shd w:val="clear" w:color="000000" w:fill="FFFFFF"/>
            <w:vAlign w:val="center"/>
          </w:tcPr>
          <w:p w14:paraId="2EFD9487" w14:textId="77777777" w:rsidR="00A052DC" w:rsidRDefault="009F0A60">
            <w:pPr>
              <w:pStyle w:val="B"/>
              <w:rPr>
                <w:color w:val="000000"/>
              </w:rPr>
            </w:pPr>
            <w:r>
              <w:rPr>
                <w:rFonts w:hint="eastAsia"/>
                <w:color w:val="000000"/>
              </w:rPr>
              <w:t>时间型</w:t>
            </w:r>
          </w:p>
        </w:tc>
        <w:tc>
          <w:tcPr>
            <w:tcW w:w="3264" w:type="dxa"/>
            <w:tcBorders>
              <w:top w:val="single" w:sz="4" w:space="0" w:color="auto"/>
              <w:left w:val="nil"/>
              <w:bottom w:val="single" w:sz="8" w:space="0" w:color="auto"/>
              <w:right w:val="single" w:sz="8" w:space="0" w:color="auto"/>
            </w:tcBorders>
            <w:shd w:val="clear" w:color="000000" w:fill="FFFFFF"/>
            <w:vAlign w:val="center"/>
          </w:tcPr>
          <w:p w14:paraId="5137CD31" w14:textId="77777777" w:rsidR="00A052DC" w:rsidRDefault="009F0A60">
            <w:pPr>
              <w:pStyle w:val="B"/>
              <w:rPr>
                <w:color w:val="000000"/>
              </w:rPr>
            </w:pPr>
            <w:r>
              <w:rPr>
                <w:rFonts w:hint="eastAsia"/>
                <w:color w:val="000000"/>
              </w:rPr>
              <w:t>必填项，格式为</w:t>
            </w:r>
            <w:r>
              <w:rPr>
                <w:color w:val="000000"/>
              </w:rPr>
              <w:t>YYYY-MM-DD hh:mm:ss</w:t>
            </w:r>
            <w:r w:rsidR="005D2C5E">
              <w:rPr>
                <w:rFonts w:hint="eastAsia"/>
                <w:color w:val="000000"/>
              </w:rPr>
              <w:t>。</w:t>
            </w:r>
          </w:p>
        </w:tc>
      </w:tr>
      <w:tr w:rsidR="00A052DC" w14:paraId="3F43BE39" w14:textId="77777777">
        <w:trPr>
          <w:cantSplit/>
          <w:trHeight w:val="300"/>
          <w:jc w:val="center"/>
        </w:trPr>
        <w:tc>
          <w:tcPr>
            <w:tcW w:w="1716" w:type="dxa"/>
            <w:tcBorders>
              <w:top w:val="nil"/>
              <w:left w:val="single" w:sz="8" w:space="0" w:color="auto"/>
              <w:bottom w:val="single" w:sz="8" w:space="0" w:color="auto"/>
              <w:right w:val="single" w:sz="8" w:space="0" w:color="auto"/>
            </w:tcBorders>
            <w:shd w:val="clear" w:color="000000" w:fill="FFFFFF"/>
            <w:vAlign w:val="center"/>
          </w:tcPr>
          <w:p w14:paraId="5D822960" w14:textId="77777777" w:rsidR="00A052DC" w:rsidRDefault="009F0A60">
            <w:pPr>
              <w:pStyle w:val="B"/>
              <w:rPr>
                <w:color w:val="000000"/>
              </w:rPr>
            </w:pPr>
            <w:r>
              <w:rPr>
                <w:color w:val="000000"/>
              </w:rPr>
              <w:t>TXREM</w:t>
            </w:r>
          </w:p>
        </w:tc>
        <w:tc>
          <w:tcPr>
            <w:tcW w:w="1823" w:type="dxa"/>
            <w:tcBorders>
              <w:top w:val="nil"/>
              <w:left w:val="nil"/>
              <w:bottom w:val="single" w:sz="8" w:space="0" w:color="auto"/>
              <w:right w:val="single" w:sz="8" w:space="0" w:color="auto"/>
            </w:tcBorders>
            <w:shd w:val="clear" w:color="000000" w:fill="FFFFFF"/>
            <w:vAlign w:val="center"/>
          </w:tcPr>
          <w:p w14:paraId="657A2861" w14:textId="77777777" w:rsidR="00A052DC" w:rsidRDefault="009F0A60">
            <w:pPr>
              <w:pStyle w:val="B"/>
              <w:rPr>
                <w:color w:val="000000"/>
              </w:rPr>
            </w:pPr>
            <w:r>
              <w:rPr>
                <w:rFonts w:hint="eastAsia"/>
                <w:color w:val="000000"/>
              </w:rPr>
              <w:t>交易附言</w:t>
            </w:r>
          </w:p>
        </w:tc>
        <w:tc>
          <w:tcPr>
            <w:tcW w:w="1692" w:type="dxa"/>
            <w:tcBorders>
              <w:top w:val="nil"/>
              <w:left w:val="nil"/>
              <w:bottom w:val="single" w:sz="8" w:space="0" w:color="auto"/>
              <w:right w:val="single" w:sz="8" w:space="0" w:color="auto"/>
            </w:tcBorders>
            <w:shd w:val="clear" w:color="000000" w:fill="FFFFFF"/>
            <w:vAlign w:val="center"/>
          </w:tcPr>
          <w:p w14:paraId="1A6C0FA5" w14:textId="77777777" w:rsidR="00A052DC" w:rsidRDefault="009F0A60">
            <w:pPr>
              <w:pStyle w:val="B"/>
              <w:rPr>
                <w:color w:val="000000"/>
              </w:rPr>
            </w:pPr>
            <w:r>
              <w:rPr>
                <w:rFonts w:hint="eastAsia"/>
                <w:color w:val="000000"/>
              </w:rPr>
              <w:t>变长字符型，</w:t>
            </w:r>
            <w:r>
              <w:rPr>
                <w:color w:val="000000"/>
              </w:rPr>
              <w:t>256</w:t>
            </w:r>
          </w:p>
        </w:tc>
        <w:tc>
          <w:tcPr>
            <w:tcW w:w="3264" w:type="dxa"/>
            <w:tcBorders>
              <w:top w:val="nil"/>
              <w:left w:val="nil"/>
              <w:bottom w:val="single" w:sz="8" w:space="0" w:color="auto"/>
              <w:right w:val="single" w:sz="8" w:space="0" w:color="auto"/>
            </w:tcBorders>
            <w:shd w:val="clear" w:color="000000" w:fill="FFFFFF"/>
            <w:vAlign w:val="center"/>
          </w:tcPr>
          <w:p w14:paraId="3EA0F0D4" w14:textId="77777777" w:rsidR="00A052DC" w:rsidRDefault="00DD6AA3">
            <w:pPr>
              <w:pStyle w:val="B"/>
              <w:rPr>
                <w:color w:val="000000"/>
              </w:rPr>
            </w:pPr>
            <w:r>
              <w:rPr>
                <w:rFonts w:hint="eastAsia"/>
                <w:color w:val="000000"/>
              </w:rPr>
              <w:t>非必填项</w:t>
            </w:r>
            <w:r w:rsidR="009F0A60">
              <w:rPr>
                <w:rFonts w:hint="eastAsia"/>
                <w:color w:val="000000"/>
              </w:rPr>
              <w:t>，客户办理交易时填写的交易附言。</w:t>
            </w:r>
          </w:p>
        </w:tc>
      </w:tr>
      <w:tr w:rsidR="00A052DC" w14:paraId="26374499" w14:textId="77777777">
        <w:trPr>
          <w:cantSplit/>
          <w:trHeight w:val="300"/>
          <w:jc w:val="center"/>
        </w:trPr>
        <w:tc>
          <w:tcPr>
            <w:tcW w:w="1716" w:type="dxa"/>
            <w:tcBorders>
              <w:top w:val="nil"/>
              <w:left w:val="single" w:sz="8" w:space="0" w:color="auto"/>
              <w:bottom w:val="single" w:sz="8" w:space="0" w:color="auto"/>
              <w:right w:val="single" w:sz="8" w:space="0" w:color="auto"/>
            </w:tcBorders>
            <w:shd w:val="clear" w:color="000000" w:fill="FFFFFF"/>
            <w:vAlign w:val="center"/>
          </w:tcPr>
          <w:p w14:paraId="24E555F1" w14:textId="77777777" w:rsidR="00A052DC" w:rsidRDefault="009F0A60">
            <w:pPr>
              <w:pStyle w:val="B"/>
              <w:rPr>
                <w:color w:val="000000"/>
              </w:rPr>
            </w:pPr>
            <w:r>
              <w:rPr>
                <w:color w:val="000000"/>
              </w:rPr>
              <w:t>TXREM_2</w:t>
            </w:r>
          </w:p>
        </w:tc>
        <w:tc>
          <w:tcPr>
            <w:tcW w:w="1823" w:type="dxa"/>
            <w:tcBorders>
              <w:top w:val="nil"/>
              <w:left w:val="nil"/>
              <w:bottom w:val="single" w:sz="8" w:space="0" w:color="auto"/>
              <w:right w:val="single" w:sz="8" w:space="0" w:color="auto"/>
            </w:tcBorders>
            <w:shd w:val="clear" w:color="000000" w:fill="FFFFFF"/>
            <w:vAlign w:val="center"/>
          </w:tcPr>
          <w:p w14:paraId="0D1ED219" w14:textId="77777777" w:rsidR="00A052DC" w:rsidRDefault="009F0A60">
            <w:pPr>
              <w:pStyle w:val="B"/>
              <w:rPr>
                <w:color w:val="000000"/>
              </w:rPr>
            </w:pPr>
            <w:r>
              <w:rPr>
                <w:rFonts w:hint="eastAsia"/>
                <w:color w:val="000000"/>
              </w:rPr>
              <w:t>摘要说明</w:t>
            </w:r>
          </w:p>
        </w:tc>
        <w:tc>
          <w:tcPr>
            <w:tcW w:w="1692" w:type="dxa"/>
            <w:tcBorders>
              <w:top w:val="nil"/>
              <w:left w:val="nil"/>
              <w:bottom w:val="single" w:sz="8" w:space="0" w:color="auto"/>
              <w:right w:val="single" w:sz="8" w:space="0" w:color="auto"/>
            </w:tcBorders>
            <w:shd w:val="clear" w:color="000000" w:fill="FFFFFF"/>
            <w:vAlign w:val="center"/>
          </w:tcPr>
          <w:p w14:paraId="726ED0DC" w14:textId="77777777" w:rsidR="00A052DC" w:rsidRDefault="009F0A60">
            <w:pPr>
              <w:pStyle w:val="B"/>
              <w:rPr>
                <w:color w:val="000000"/>
              </w:rPr>
            </w:pPr>
            <w:r>
              <w:rPr>
                <w:rFonts w:hint="eastAsia"/>
                <w:color w:val="000000"/>
              </w:rPr>
              <w:t>变长字符型，</w:t>
            </w:r>
            <w:r>
              <w:rPr>
                <w:color w:val="000000"/>
              </w:rPr>
              <w:t>256</w:t>
            </w:r>
          </w:p>
        </w:tc>
        <w:tc>
          <w:tcPr>
            <w:tcW w:w="3264" w:type="dxa"/>
            <w:tcBorders>
              <w:top w:val="nil"/>
              <w:left w:val="nil"/>
              <w:bottom w:val="single" w:sz="8" w:space="0" w:color="auto"/>
              <w:right w:val="single" w:sz="8" w:space="0" w:color="auto"/>
            </w:tcBorders>
            <w:shd w:val="clear" w:color="000000" w:fill="FFFFFF"/>
            <w:vAlign w:val="center"/>
          </w:tcPr>
          <w:p w14:paraId="204F8893" w14:textId="77777777" w:rsidR="00A052DC" w:rsidRDefault="009F0A60">
            <w:pPr>
              <w:pStyle w:val="B"/>
              <w:rPr>
                <w:color w:val="000000"/>
              </w:rPr>
            </w:pPr>
            <w:r>
              <w:rPr>
                <w:rFonts w:hint="eastAsia"/>
                <w:color w:val="000000"/>
              </w:rPr>
              <w:t>必填项，资金用途、交易目的等。</w:t>
            </w:r>
          </w:p>
        </w:tc>
      </w:tr>
      <w:tr w:rsidR="00A052DC" w14:paraId="55B41734" w14:textId="77777777">
        <w:trPr>
          <w:cantSplit/>
          <w:trHeight w:val="435"/>
          <w:jc w:val="center"/>
        </w:trPr>
        <w:tc>
          <w:tcPr>
            <w:tcW w:w="1716" w:type="dxa"/>
            <w:tcBorders>
              <w:top w:val="nil"/>
              <w:left w:val="single" w:sz="8" w:space="0" w:color="auto"/>
              <w:bottom w:val="single" w:sz="8" w:space="0" w:color="auto"/>
              <w:right w:val="single" w:sz="8" w:space="0" w:color="auto"/>
            </w:tcBorders>
            <w:shd w:val="clear" w:color="000000" w:fill="FFFFFF"/>
            <w:vAlign w:val="center"/>
          </w:tcPr>
          <w:p w14:paraId="314F6937" w14:textId="77777777" w:rsidR="00A052DC" w:rsidRDefault="009F0A60">
            <w:pPr>
              <w:pStyle w:val="B"/>
              <w:rPr>
                <w:color w:val="000000"/>
              </w:rPr>
            </w:pPr>
            <w:r>
              <w:rPr>
                <w:color w:val="000000"/>
              </w:rPr>
              <w:t>DEAL_AMOUNT</w:t>
            </w:r>
          </w:p>
        </w:tc>
        <w:tc>
          <w:tcPr>
            <w:tcW w:w="1823" w:type="dxa"/>
            <w:tcBorders>
              <w:top w:val="nil"/>
              <w:left w:val="nil"/>
              <w:bottom w:val="single" w:sz="8" w:space="0" w:color="auto"/>
              <w:right w:val="single" w:sz="8" w:space="0" w:color="auto"/>
            </w:tcBorders>
            <w:shd w:val="clear" w:color="000000" w:fill="FFFFFF"/>
            <w:vAlign w:val="center"/>
          </w:tcPr>
          <w:p w14:paraId="4E842F55" w14:textId="77777777" w:rsidR="00A052DC" w:rsidRDefault="009F0A60">
            <w:pPr>
              <w:pStyle w:val="B"/>
              <w:rPr>
                <w:color w:val="000000"/>
              </w:rPr>
            </w:pPr>
            <w:r>
              <w:rPr>
                <w:rFonts w:hint="eastAsia"/>
                <w:color w:val="000000"/>
              </w:rPr>
              <w:t>交易金额</w:t>
            </w:r>
          </w:p>
        </w:tc>
        <w:tc>
          <w:tcPr>
            <w:tcW w:w="1692" w:type="dxa"/>
            <w:tcBorders>
              <w:top w:val="nil"/>
              <w:left w:val="nil"/>
              <w:bottom w:val="single" w:sz="8" w:space="0" w:color="auto"/>
              <w:right w:val="single" w:sz="8" w:space="0" w:color="auto"/>
            </w:tcBorders>
            <w:shd w:val="clear" w:color="000000" w:fill="FFFFFF"/>
            <w:vAlign w:val="center"/>
          </w:tcPr>
          <w:p w14:paraId="4018AD3D" w14:textId="77777777" w:rsidR="00A052DC" w:rsidRDefault="009F0A60">
            <w:pPr>
              <w:pStyle w:val="B"/>
              <w:rPr>
                <w:color w:val="000000"/>
              </w:rPr>
            </w:pPr>
            <w:r>
              <w:rPr>
                <w:rFonts w:hint="eastAsia"/>
                <w:color w:val="000000"/>
              </w:rPr>
              <w:t>数值型，</w:t>
            </w:r>
            <w:r>
              <w:rPr>
                <w:color w:val="000000"/>
              </w:rPr>
              <w:t>22.2</w:t>
            </w:r>
          </w:p>
        </w:tc>
        <w:tc>
          <w:tcPr>
            <w:tcW w:w="3264" w:type="dxa"/>
            <w:tcBorders>
              <w:top w:val="nil"/>
              <w:left w:val="nil"/>
              <w:bottom w:val="single" w:sz="8" w:space="0" w:color="auto"/>
              <w:right w:val="single" w:sz="8" w:space="0" w:color="auto"/>
            </w:tcBorders>
            <w:shd w:val="clear" w:color="000000" w:fill="FFFFFF"/>
            <w:vAlign w:val="center"/>
          </w:tcPr>
          <w:p w14:paraId="0DBAE371" w14:textId="77777777" w:rsidR="00A052DC" w:rsidRDefault="009F0A60">
            <w:pPr>
              <w:pStyle w:val="B"/>
              <w:rPr>
                <w:color w:val="000000"/>
              </w:rPr>
            </w:pPr>
            <w:r>
              <w:rPr>
                <w:rFonts w:hint="eastAsia"/>
                <w:color w:val="000000"/>
              </w:rPr>
              <w:t>必填项，大于等于</w:t>
            </w:r>
            <w:r>
              <w:rPr>
                <w:color w:val="000000"/>
              </w:rPr>
              <w:t>0。</w:t>
            </w:r>
          </w:p>
        </w:tc>
      </w:tr>
      <w:tr w:rsidR="00A052DC" w14:paraId="30C6548A" w14:textId="77777777">
        <w:trPr>
          <w:cantSplit/>
          <w:trHeight w:val="300"/>
          <w:jc w:val="center"/>
        </w:trPr>
        <w:tc>
          <w:tcPr>
            <w:tcW w:w="1716" w:type="dxa"/>
            <w:tcBorders>
              <w:top w:val="single" w:sz="12" w:space="0" w:color="auto"/>
              <w:left w:val="single" w:sz="8" w:space="0" w:color="auto"/>
              <w:bottom w:val="single" w:sz="8" w:space="0" w:color="auto"/>
              <w:right w:val="single" w:sz="8" w:space="0" w:color="auto"/>
            </w:tcBorders>
            <w:shd w:val="clear" w:color="000000" w:fill="FFFFFF"/>
            <w:vAlign w:val="center"/>
          </w:tcPr>
          <w:p w14:paraId="78EB05B9" w14:textId="77777777" w:rsidR="00A052DC" w:rsidRDefault="009F0A60">
            <w:pPr>
              <w:pStyle w:val="B"/>
              <w:rPr>
                <w:color w:val="000000"/>
              </w:rPr>
            </w:pPr>
            <w:r>
              <w:rPr>
                <w:color w:val="000000"/>
              </w:rPr>
              <w:t>DEAL_BRANCH</w:t>
            </w:r>
          </w:p>
        </w:tc>
        <w:tc>
          <w:tcPr>
            <w:tcW w:w="1823" w:type="dxa"/>
            <w:tcBorders>
              <w:top w:val="single" w:sz="12" w:space="0" w:color="auto"/>
              <w:left w:val="nil"/>
              <w:bottom w:val="single" w:sz="8" w:space="0" w:color="auto"/>
              <w:right w:val="single" w:sz="8" w:space="0" w:color="auto"/>
            </w:tcBorders>
            <w:shd w:val="clear" w:color="000000" w:fill="FFFFFF"/>
            <w:vAlign w:val="center"/>
          </w:tcPr>
          <w:p w14:paraId="6B477042" w14:textId="77777777" w:rsidR="00A052DC" w:rsidRDefault="009F0A60">
            <w:pPr>
              <w:pStyle w:val="B"/>
              <w:rPr>
                <w:color w:val="000000"/>
              </w:rPr>
            </w:pPr>
            <w:r>
              <w:rPr>
                <w:rFonts w:hint="eastAsia"/>
                <w:color w:val="000000"/>
              </w:rPr>
              <w:t>交易网点名称</w:t>
            </w:r>
          </w:p>
        </w:tc>
        <w:tc>
          <w:tcPr>
            <w:tcW w:w="1692" w:type="dxa"/>
            <w:tcBorders>
              <w:top w:val="single" w:sz="12" w:space="0" w:color="auto"/>
              <w:left w:val="nil"/>
              <w:bottom w:val="single" w:sz="8" w:space="0" w:color="auto"/>
              <w:right w:val="single" w:sz="8" w:space="0" w:color="auto"/>
            </w:tcBorders>
            <w:shd w:val="clear" w:color="000000" w:fill="FFFFFF"/>
            <w:vAlign w:val="center"/>
          </w:tcPr>
          <w:p w14:paraId="2EAA7D1A" w14:textId="77777777" w:rsidR="00A052DC" w:rsidRDefault="009F0A60">
            <w:pPr>
              <w:pStyle w:val="B"/>
              <w:rPr>
                <w:color w:val="000000"/>
              </w:rPr>
            </w:pPr>
            <w:r>
              <w:rPr>
                <w:rFonts w:hint="eastAsia"/>
                <w:color w:val="000000"/>
              </w:rPr>
              <w:t>变长字符型，</w:t>
            </w:r>
            <w:r>
              <w:rPr>
                <w:color w:val="000000"/>
              </w:rPr>
              <w:t>128</w:t>
            </w:r>
          </w:p>
        </w:tc>
        <w:tc>
          <w:tcPr>
            <w:tcW w:w="3264" w:type="dxa"/>
            <w:tcBorders>
              <w:top w:val="single" w:sz="12" w:space="0" w:color="auto"/>
              <w:left w:val="nil"/>
              <w:bottom w:val="single" w:sz="8" w:space="0" w:color="auto"/>
              <w:right w:val="single" w:sz="8" w:space="0" w:color="auto"/>
            </w:tcBorders>
            <w:shd w:val="clear" w:color="000000" w:fill="FFFFFF"/>
            <w:vAlign w:val="center"/>
          </w:tcPr>
          <w:p w14:paraId="5D8E224A" w14:textId="77777777" w:rsidR="00A052DC" w:rsidRDefault="00DD6AA3">
            <w:pPr>
              <w:pStyle w:val="B"/>
              <w:rPr>
                <w:color w:val="000000"/>
              </w:rPr>
            </w:pPr>
            <w:r>
              <w:rPr>
                <w:rFonts w:hint="eastAsia"/>
                <w:color w:val="000000"/>
              </w:rPr>
              <w:t>非必填项</w:t>
            </w:r>
            <w:r w:rsidR="009F0A60">
              <w:rPr>
                <w:rFonts w:hint="eastAsia"/>
                <w:color w:val="000000"/>
              </w:rPr>
              <w:t>，若业务类型为存钞或交易对手为本行客户则必填</w:t>
            </w:r>
            <w:r w:rsidR="009F0A60">
              <w:rPr>
                <w:color w:val="000000"/>
              </w:rPr>
              <w:t>。</w:t>
            </w:r>
            <w:r w:rsidR="009F0A60">
              <w:rPr>
                <w:rFonts w:hint="eastAsia"/>
                <w:color w:val="000000"/>
              </w:rPr>
              <w:t>若为线上渠道，填写划出款项账户的开户网点名称。</w:t>
            </w:r>
          </w:p>
        </w:tc>
      </w:tr>
      <w:tr w:rsidR="00A052DC" w14:paraId="72E13B04" w14:textId="77777777">
        <w:trPr>
          <w:cantSplit/>
          <w:trHeight w:val="300"/>
          <w:jc w:val="center"/>
        </w:trPr>
        <w:tc>
          <w:tcPr>
            <w:tcW w:w="1716" w:type="dxa"/>
            <w:tcBorders>
              <w:top w:val="nil"/>
              <w:left w:val="single" w:sz="8" w:space="0" w:color="auto"/>
              <w:bottom w:val="single" w:sz="8" w:space="0" w:color="auto"/>
              <w:right w:val="single" w:sz="8" w:space="0" w:color="auto"/>
            </w:tcBorders>
            <w:shd w:val="clear" w:color="000000" w:fill="FFFFFF"/>
            <w:vAlign w:val="center"/>
          </w:tcPr>
          <w:p w14:paraId="43A5FBF0" w14:textId="77777777" w:rsidR="00A052DC" w:rsidRDefault="009F0A60">
            <w:pPr>
              <w:pStyle w:val="B"/>
              <w:rPr>
                <w:color w:val="000000"/>
              </w:rPr>
            </w:pPr>
            <w:r>
              <w:rPr>
                <w:color w:val="000000"/>
              </w:rPr>
              <w:t>OPPUSER</w:t>
            </w:r>
          </w:p>
        </w:tc>
        <w:tc>
          <w:tcPr>
            <w:tcW w:w="1823" w:type="dxa"/>
            <w:tcBorders>
              <w:top w:val="nil"/>
              <w:left w:val="nil"/>
              <w:bottom w:val="single" w:sz="8" w:space="0" w:color="auto"/>
              <w:right w:val="single" w:sz="8" w:space="0" w:color="auto"/>
            </w:tcBorders>
            <w:shd w:val="clear" w:color="000000" w:fill="FFFFFF"/>
            <w:vAlign w:val="center"/>
          </w:tcPr>
          <w:p w14:paraId="51BEFCCE" w14:textId="77777777" w:rsidR="00A052DC" w:rsidRDefault="009F0A60">
            <w:pPr>
              <w:pStyle w:val="B"/>
              <w:rPr>
                <w:color w:val="000000"/>
              </w:rPr>
            </w:pPr>
            <w:r>
              <w:rPr>
                <w:rFonts w:hint="eastAsia"/>
                <w:color w:val="000000"/>
              </w:rPr>
              <w:t>交易对手名称</w:t>
            </w:r>
          </w:p>
        </w:tc>
        <w:tc>
          <w:tcPr>
            <w:tcW w:w="1692" w:type="dxa"/>
            <w:tcBorders>
              <w:top w:val="nil"/>
              <w:left w:val="nil"/>
              <w:bottom w:val="single" w:sz="8" w:space="0" w:color="auto"/>
              <w:right w:val="single" w:sz="8" w:space="0" w:color="auto"/>
            </w:tcBorders>
            <w:shd w:val="clear" w:color="000000" w:fill="FFFFFF"/>
            <w:vAlign w:val="center"/>
          </w:tcPr>
          <w:p w14:paraId="26F543C7" w14:textId="77777777" w:rsidR="00A052DC" w:rsidRDefault="009F0A60">
            <w:pPr>
              <w:pStyle w:val="B"/>
              <w:rPr>
                <w:color w:val="000000"/>
              </w:rPr>
            </w:pPr>
            <w:r>
              <w:rPr>
                <w:rFonts w:hint="eastAsia"/>
                <w:color w:val="000000"/>
              </w:rPr>
              <w:t>变长字符型，</w:t>
            </w:r>
            <w:r>
              <w:rPr>
                <w:color w:val="000000"/>
              </w:rPr>
              <w:t>128</w:t>
            </w:r>
          </w:p>
        </w:tc>
        <w:tc>
          <w:tcPr>
            <w:tcW w:w="3264" w:type="dxa"/>
            <w:tcBorders>
              <w:top w:val="nil"/>
              <w:left w:val="nil"/>
              <w:bottom w:val="single" w:sz="8" w:space="0" w:color="auto"/>
              <w:right w:val="single" w:sz="8" w:space="0" w:color="auto"/>
            </w:tcBorders>
            <w:shd w:val="clear" w:color="000000" w:fill="FFFFFF"/>
            <w:vAlign w:val="center"/>
          </w:tcPr>
          <w:p w14:paraId="2A35F413" w14:textId="77777777" w:rsidR="00A052DC" w:rsidRDefault="00DD6AA3">
            <w:pPr>
              <w:pStyle w:val="B"/>
              <w:rPr>
                <w:color w:val="000000"/>
              </w:rPr>
            </w:pPr>
            <w:r>
              <w:rPr>
                <w:rFonts w:hint="eastAsia"/>
                <w:color w:val="000000"/>
              </w:rPr>
              <w:t>非必填项</w:t>
            </w:r>
            <w:r w:rsidR="009F0A60">
              <w:rPr>
                <w:rFonts w:hint="eastAsia"/>
                <w:color w:val="000000"/>
              </w:rPr>
              <w:t>，若业务类型为境内转入，</w:t>
            </w:r>
            <w:r w:rsidR="009F0A60">
              <w:rPr>
                <w:color w:val="000000"/>
              </w:rPr>
              <w:t>此项必填。</w:t>
            </w:r>
          </w:p>
        </w:tc>
      </w:tr>
      <w:tr w:rsidR="00A052DC" w14:paraId="4309D743" w14:textId="77777777">
        <w:trPr>
          <w:cantSplit/>
          <w:trHeight w:val="300"/>
          <w:jc w:val="center"/>
        </w:trPr>
        <w:tc>
          <w:tcPr>
            <w:tcW w:w="1716" w:type="dxa"/>
            <w:tcBorders>
              <w:top w:val="nil"/>
              <w:left w:val="single" w:sz="8" w:space="0" w:color="auto"/>
              <w:bottom w:val="single" w:sz="8" w:space="0" w:color="auto"/>
              <w:right w:val="single" w:sz="8" w:space="0" w:color="auto"/>
            </w:tcBorders>
            <w:shd w:val="clear" w:color="000000" w:fill="FFFFFF"/>
            <w:vAlign w:val="center"/>
          </w:tcPr>
          <w:p w14:paraId="45A1F88C" w14:textId="77777777" w:rsidR="00A052DC" w:rsidRDefault="009F0A60">
            <w:pPr>
              <w:pStyle w:val="B"/>
              <w:rPr>
                <w:color w:val="000000"/>
              </w:rPr>
            </w:pPr>
            <w:r>
              <w:rPr>
                <w:color w:val="000000"/>
              </w:rPr>
              <w:t>OPPACCTNO</w:t>
            </w:r>
          </w:p>
        </w:tc>
        <w:tc>
          <w:tcPr>
            <w:tcW w:w="1823" w:type="dxa"/>
            <w:tcBorders>
              <w:top w:val="nil"/>
              <w:left w:val="nil"/>
              <w:bottom w:val="single" w:sz="8" w:space="0" w:color="auto"/>
              <w:right w:val="single" w:sz="8" w:space="0" w:color="auto"/>
            </w:tcBorders>
            <w:shd w:val="clear" w:color="000000" w:fill="FFFFFF"/>
            <w:vAlign w:val="center"/>
          </w:tcPr>
          <w:p w14:paraId="71C8E281" w14:textId="77777777" w:rsidR="00A052DC" w:rsidRDefault="009F0A60">
            <w:pPr>
              <w:pStyle w:val="B"/>
              <w:rPr>
                <w:color w:val="000000"/>
              </w:rPr>
            </w:pPr>
            <w:r>
              <w:rPr>
                <w:rFonts w:hint="eastAsia"/>
                <w:color w:val="000000"/>
              </w:rPr>
              <w:t>交易对手账号</w:t>
            </w:r>
          </w:p>
        </w:tc>
        <w:tc>
          <w:tcPr>
            <w:tcW w:w="1692" w:type="dxa"/>
            <w:tcBorders>
              <w:top w:val="nil"/>
              <w:left w:val="nil"/>
              <w:bottom w:val="single" w:sz="8" w:space="0" w:color="auto"/>
              <w:right w:val="single" w:sz="8" w:space="0" w:color="auto"/>
            </w:tcBorders>
            <w:shd w:val="clear" w:color="000000" w:fill="FFFFFF"/>
            <w:vAlign w:val="center"/>
          </w:tcPr>
          <w:p w14:paraId="42A6724A" w14:textId="77777777" w:rsidR="00A052DC" w:rsidRDefault="009F0A60">
            <w:pPr>
              <w:pStyle w:val="B"/>
              <w:rPr>
                <w:color w:val="000000"/>
              </w:rPr>
            </w:pPr>
            <w:r>
              <w:rPr>
                <w:rFonts w:hint="eastAsia"/>
                <w:color w:val="000000"/>
              </w:rPr>
              <w:t>变长字符型，</w:t>
            </w:r>
            <w:r>
              <w:rPr>
                <w:color w:val="000000"/>
              </w:rPr>
              <w:t>32</w:t>
            </w:r>
          </w:p>
        </w:tc>
        <w:tc>
          <w:tcPr>
            <w:tcW w:w="3264" w:type="dxa"/>
            <w:tcBorders>
              <w:top w:val="nil"/>
              <w:left w:val="nil"/>
              <w:bottom w:val="single" w:sz="8" w:space="0" w:color="auto"/>
              <w:right w:val="single" w:sz="8" w:space="0" w:color="auto"/>
            </w:tcBorders>
            <w:shd w:val="clear" w:color="000000" w:fill="FFFFFF"/>
            <w:vAlign w:val="center"/>
          </w:tcPr>
          <w:p w14:paraId="067B4B71" w14:textId="77777777" w:rsidR="00A052DC" w:rsidRDefault="00DD6AA3">
            <w:pPr>
              <w:pStyle w:val="B"/>
              <w:rPr>
                <w:color w:val="000000"/>
              </w:rPr>
            </w:pPr>
            <w:r>
              <w:rPr>
                <w:rFonts w:hint="eastAsia"/>
                <w:color w:val="000000"/>
              </w:rPr>
              <w:t>非必填项</w:t>
            </w:r>
            <w:r w:rsidR="009F0A60">
              <w:rPr>
                <w:rFonts w:hint="eastAsia"/>
                <w:color w:val="000000"/>
              </w:rPr>
              <w:t>，若业务类型不为存钞（</w:t>
            </w:r>
            <w:r w:rsidR="009F0A60">
              <w:rPr>
                <w:color w:val="000000"/>
              </w:rPr>
              <w:t>TYPE!=1）,此项必填。</w:t>
            </w:r>
          </w:p>
        </w:tc>
      </w:tr>
      <w:tr w:rsidR="00A052DC" w14:paraId="012914CF" w14:textId="77777777">
        <w:trPr>
          <w:cantSplit/>
          <w:trHeight w:val="495"/>
          <w:jc w:val="center"/>
        </w:trPr>
        <w:tc>
          <w:tcPr>
            <w:tcW w:w="1716" w:type="dxa"/>
            <w:tcBorders>
              <w:top w:val="nil"/>
              <w:left w:val="single" w:sz="8" w:space="0" w:color="auto"/>
              <w:bottom w:val="single" w:sz="8" w:space="0" w:color="auto"/>
              <w:right w:val="single" w:sz="8" w:space="0" w:color="auto"/>
            </w:tcBorders>
            <w:shd w:val="clear" w:color="000000" w:fill="FFFFFF"/>
            <w:vAlign w:val="center"/>
          </w:tcPr>
          <w:p w14:paraId="6B93FB6E" w14:textId="77777777" w:rsidR="00A052DC" w:rsidRDefault="009F0A60">
            <w:pPr>
              <w:pStyle w:val="B"/>
              <w:rPr>
                <w:color w:val="000000"/>
              </w:rPr>
            </w:pPr>
            <w:r>
              <w:rPr>
                <w:color w:val="000000"/>
              </w:rPr>
              <w:t>BRANCH_NAME_2</w:t>
            </w:r>
          </w:p>
        </w:tc>
        <w:tc>
          <w:tcPr>
            <w:tcW w:w="1823" w:type="dxa"/>
            <w:tcBorders>
              <w:top w:val="nil"/>
              <w:left w:val="nil"/>
              <w:bottom w:val="single" w:sz="8" w:space="0" w:color="auto"/>
              <w:right w:val="single" w:sz="8" w:space="0" w:color="auto"/>
            </w:tcBorders>
            <w:shd w:val="clear" w:color="000000" w:fill="FFFFFF"/>
            <w:vAlign w:val="center"/>
          </w:tcPr>
          <w:p w14:paraId="27219FDA" w14:textId="77777777" w:rsidR="00A052DC" w:rsidRDefault="009F0A60">
            <w:pPr>
              <w:pStyle w:val="B"/>
              <w:rPr>
                <w:color w:val="000000"/>
              </w:rPr>
            </w:pPr>
            <w:r>
              <w:rPr>
                <w:rFonts w:hint="eastAsia"/>
                <w:color w:val="000000"/>
              </w:rPr>
              <w:t>交易对手开户银行名称</w:t>
            </w:r>
          </w:p>
        </w:tc>
        <w:tc>
          <w:tcPr>
            <w:tcW w:w="1692" w:type="dxa"/>
            <w:tcBorders>
              <w:top w:val="nil"/>
              <w:left w:val="nil"/>
              <w:bottom w:val="single" w:sz="8" w:space="0" w:color="auto"/>
              <w:right w:val="single" w:sz="8" w:space="0" w:color="auto"/>
            </w:tcBorders>
            <w:shd w:val="clear" w:color="000000" w:fill="FFFFFF"/>
            <w:vAlign w:val="center"/>
          </w:tcPr>
          <w:p w14:paraId="4FFE2F75" w14:textId="77777777" w:rsidR="00A052DC" w:rsidRDefault="009F0A60">
            <w:pPr>
              <w:pStyle w:val="B"/>
              <w:rPr>
                <w:color w:val="000000"/>
              </w:rPr>
            </w:pPr>
            <w:r>
              <w:rPr>
                <w:rFonts w:hint="eastAsia"/>
                <w:color w:val="000000"/>
              </w:rPr>
              <w:t>变长字符型，</w:t>
            </w:r>
            <w:r>
              <w:rPr>
                <w:color w:val="000000"/>
              </w:rPr>
              <w:t>128</w:t>
            </w:r>
          </w:p>
        </w:tc>
        <w:tc>
          <w:tcPr>
            <w:tcW w:w="3264" w:type="dxa"/>
            <w:tcBorders>
              <w:top w:val="nil"/>
              <w:left w:val="nil"/>
              <w:bottom w:val="single" w:sz="8" w:space="0" w:color="auto"/>
              <w:right w:val="single" w:sz="8" w:space="0" w:color="auto"/>
            </w:tcBorders>
            <w:shd w:val="clear" w:color="000000" w:fill="FFFFFF"/>
            <w:vAlign w:val="center"/>
          </w:tcPr>
          <w:p w14:paraId="656F7D5C" w14:textId="77777777" w:rsidR="00A052DC" w:rsidRDefault="00DD6AA3">
            <w:pPr>
              <w:pStyle w:val="B"/>
              <w:rPr>
                <w:color w:val="000000"/>
              </w:rPr>
            </w:pPr>
            <w:r>
              <w:rPr>
                <w:rFonts w:hint="eastAsia"/>
                <w:color w:val="000000"/>
              </w:rPr>
              <w:t>非必填项</w:t>
            </w:r>
            <w:r w:rsidR="009F0A60">
              <w:rPr>
                <w:rFonts w:hint="eastAsia"/>
                <w:color w:val="000000"/>
              </w:rPr>
              <w:t>，若业务类型为境内转入，此项必填。</w:t>
            </w:r>
          </w:p>
        </w:tc>
      </w:tr>
      <w:tr w:rsidR="00A052DC" w14:paraId="4AA9CC95" w14:textId="77777777">
        <w:trPr>
          <w:cantSplit/>
          <w:trHeight w:val="300"/>
          <w:jc w:val="center"/>
        </w:trPr>
        <w:tc>
          <w:tcPr>
            <w:tcW w:w="1716" w:type="dxa"/>
            <w:tcBorders>
              <w:top w:val="nil"/>
              <w:left w:val="single" w:sz="8" w:space="0" w:color="auto"/>
              <w:bottom w:val="single" w:sz="8" w:space="0" w:color="auto"/>
              <w:right w:val="single" w:sz="8" w:space="0" w:color="auto"/>
            </w:tcBorders>
            <w:shd w:val="clear" w:color="000000" w:fill="FFFFFF"/>
            <w:vAlign w:val="center"/>
          </w:tcPr>
          <w:p w14:paraId="200FE945" w14:textId="77777777" w:rsidR="00A052DC" w:rsidRDefault="009F0A60">
            <w:pPr>
              <w:pStyle w:val="B"/>
              <w:rPr>
                <w:color w:val="000000"/>
              </w:rPr>
            </w:pPr>
            <w:r>
              <w:rPr>
                <w:color w:val="000000"/>
              </w:rPr>
              <w:t>IP</w:t>
            </w:r>
          </w:p>
        </w:tc>
        <w:tc>
          <w:tcPr>
            <w:tcW w:w="1823" w:type="dxa"/>
            <w:tcBorders>
              <w:top w:val="nil"/>
              <w:left w:val="nil"/>
              <w:bottom w:val="single" w:sz="8" w:space="0" w:color="auto"/>
              <w:right w:val="single" w:sz="8" w:space="0" w:color="auto"/>
            </w:tcBorders>
            <w:shd w:val="clear" w:color="000000" w:fill="FFFFFF"/>
            <w:vAlign w:val="center"/>
          </w:tcPr>
          <w:p w14:paraId="1D74CC05" w14:textId="77777777" w:rsidR="00A052DC" w:rsidRDefault="009F0A60">
            <w:pPr>
              <w:pStyle w:val="B"/>
              <w:rPr>
                <w:color w:val="000000"/>
              </w:rPr>
            </w:pPr>
            <w:r>
              <w:rPr>
                <w:color w:val="000000"/>
              </w:rPr>
              <w:t>IP地址</w:t>
            </w:r>
          </w:p>
        </w:tc>
        <w:tc>
          <w:tcPr>
            <w:tcW w:w="1692" w:type="dxa"/>
            <w:tcBorders>
              <w:top w:val="nil"/>
              <w:left w:val="nil"/>
              <w:bottom w:val="single" w:sz="8" w:space="0" w:color="auto"/>
              <w:right w:val="single" w:sz="8" w:space="0" w:color="auto"/>
            </w:tcBorders>
            <w:shd w:val="clear" w:color="000000" w:fill="FFFFFF"/>
            <w:vAlign w:val="center"/>
          </w:tcPr>
          <w:p w14:paraId="24C39387" w14:textId="77777777" w:rsidR="00A052DC" w:rsidRDefault="009F0A60">
            <w:pPr>
              <w:pStyle w:val="B"/>
              <w:rPr>
                <w:color w:val="000000"/>
              </w:rPr>
            </w:pPr>
            <w:r>
              <w:rPr>
                <w:rFonts w:hint="eastAsia"/>
                <w:color w:val="000000"/>
              </w:rPr>
              <w:t>变长字符型，</w:t>
            </w:r>
            <w:r>
              <w:rPr>
                <w:color w:val="000000"/>
              </w:rPr>
              <w:t>128</w:t>
            </w:r>
          </w:p>
        </w:tc>
        <w:tc>
          <w:tcPr>
            <w:tcW w:w="3264" w:type="dxa"/>
            <w:tcBorders>
              <w:top w:val="nil"/>
              <w:left w:val="nil"/>
              <w:bottom w:val="single" w:sz="8" w:space="0" w:color="auto"/>
              <w:right w:val="single" w:sz="8" w:space="0" w:color="auto"/>
            </w:tcBorders>
            <w:shd w:val="clear" w:color="000000" w:fill="FFFFFF"/>
            <w:vAlign w:val="center"/>
          </w:tcPr>
          <w:p w14:paraId="7DFF6A9C" w14:textId="77777777" w:rsidR="00A052DC" w:rsidRDefault="009F0A60">
            <w:pPr>
              <w:pStyle w:val="B"/>
              <w:rPr>
                <w:color w:val="000000"/>
              </w:rPr>
            </w:pPr>
            <w:r>
              <w:rPr>
                <w:rFonts w:hint="eastAsia"/>
                <w:color w:val="000000"/>
              </w:rPr>
              <w:t>必填项。如果无法提供，则</w:t>
            </w:r>
            <w:r>
              <w:rPr>
                <w:color w:val="000000"/>
              </w:rPr>
              <w:t>写明原因。</w:t>
            </w:r>
          </w:p>
        </w:tc>
      </w:tr>
      <w:tr w:rsidR="00A052DC" w14:paraId="1085FD2F" w14:textId="77777777">
        <w:trPr>
          <w:cantSplit/>
          <w:trHeight w:val="300"/>
          <w:jc w:val="center"/>
        </w:trPr>
        <w:tc>
          <w:tcPr>
            <w:tcW w:w="1716" w:type="dxa"/>
            <w:tcBorders>
              <w:top w:val="nil"/>
              <w:left w:val="single" w:sz="8" w:space="0" w:color="auto"/>
              <w:bottom w:val="single" w:sz="8" w:space="0" w:color="auto"/>
              <w:right w:val="single" w:sz="8" w:space="0" w:color="auto"/>
            </w:tcBorders>
            <w:shd w:val="clear" w:color="000000" w:fill="FFFFFF"/>
            <w:vAlign w:val="center"/>
          </w:tcPr>
          <w:p w14:paraId="6F1A538E" w14:textId="77777777" w:rsidR="00A052DC" w:rsidRDefault="009F0A60">
            <w:pPr>
              <w:pStyle w:val="B"/>
              <w:rPr>
                <w:color w:val="000000"/>
              </w:rPr>
            </w:pPr>
            <w:r>
              <w:rPr>
                <w:color w:val="000000"/>
              </w:rPr>
              <w:t>MAC</w:t>
            </w:r>
          </w:p>
        </w:tc>
        <w:tc>
          <w:tcPr>
            <w:tcW w:w="1823" w:type="dxa"/>
            <w:tcBorders>
              <w:top w:val="nil"/>
              <w:left w:val="nil"/>
              <w:bottom w:val="single" w:sz="8" w:space="0" w:color="auto"/>
              <w:right w:val="single" w:sz="8" w:space="0" w:color="auto"/>
            </w:tcBorders>
            <w:shd w:val="clear" w:color="000000" w:fill="FFFFFF"/>
            <w:vAlign w:val="center"/>
          </w:tcPr>
          <w:p w14:paraId="60047036" w14:textId="77777777" w:rsidR="00A052DC" w:rsidRDefault="009F0A60">
            <w:pPr>
              <w:pStyle w:val="B"/>
              <w:rPr>
                <w:color w:val="000000"/>
              </w:rPr>
            </w:pPr>
            <w:r>
              <w:rPr>
                <w:color w:val="000000"/>
              </w:rPr>
              <w:t>MAC地址</w:t>
            </w:r>
          </w:p>
        </w:tc>
        <w:tc>
          <w:tcPr>
            <w:tcW w:w="1692" w:type="dxa"/>
            <w:tcBorders>
              <w:top w:val="nil"/>
              <w:left w:val="nil"/>
              <w:bottom w:val="single" w:sz="8" w:space="0" w:color="auto"/>
              <w:right w:val="single" w:sz="8" w:space="0" w:color="auto"/>
            </w:tcBorders>
            <w:shd w:val="clear" w:color="000000" w:fill="FFFFFF"/>
            <w:vAlign w:val="center"/>
          </w:tcPr>
          <w:p w14:paraId="2551AAC0" w14:textId="77777777" w:rsidR="00A052DC" w:rsidRDefault="009F0A60">
            <w:pPr>
              <w:pStyle w:val="B"/>
              <w:rPr>
                <w:color w:val="000000"/>
              </w:rPr>
            </w:pPr>
            <w:r>
              <w:rPr>
                <w:rFonts w:hint="eastAsia"/>
                <w:color w:val="000000"/>
              </w:rPr>
              <w:t>变长字符型，</w:t>
            </w:r>
            <w:r>
              <w:rPr>
                <w:color w:val="000000"/>
              </w:rPr>
              <w:t>128</w:t>
            </w:r>
          </w:p>
        </w:tc>
        <w:tc>
          <w:tcPr>
            <w:tcW w:w="3264" w:type="dxa"/>
            <w:tcBorders>
              <w:top w:val="nil"/>
              <w:left w:val="nil"/>
              <w:bottom w:val="single" w:sz="8" w:space="0" w:color="auto"/>
              <w:right w:val="single" w:sz="8" w:space="0" w:color="auto"/>
            </w:tcBorders>
            <w:shd w:val="clear" w:color="000000" w:fill="FFFFFF"/>
            <w:vAlign w:val="center"/>
          </w:tcPr>
          <w:p w14:paraId="49104724" w14:textId="77777777" w:rsidR="00A052DC" w:rsidRDefault="009F0A60">
            <w:pPr>
              <w:pStyle w:val="B"/>
              <w:rPr>
                <w:color w:val="000000"/>
              </w:rPr>
            </w:pPr>
            <w:r>
              <w:rPr>
                <w:rFonts w:hint="eastAsia"/>
                <w:color w:val="000000"/>
              </w:rPr>
              <w:t>必填项。如果无法提供，则</w:t>
            </w:r>
            <w:r>
              <w:rPr>
                <w:color w:val="000000"/>
              </w:rPr>
              <w:t>写明原因。</w:t>
            </w:r>
          </w:p>
        </w:tc>
      </w:tr>
      <w:tr w:rsidR="00A052DC" w14:paraId="5BD3B35C" w14:textId="77777777">
        <w:trPr>
          <w:cantSplit/>
          <w:trHeight w:val="300"/>
          <w:jc w:val="center"/>
        </w:trPr>
        <w:tc>
          <w:tcPr>
            <w:tcW w:w="1716" w:type="dxa"/>
            <w:tcBorders>
              <w:top w:val="nil"/>
              <w:left w:val="single" w:sz="8" w:space="0" w:color="auto"/>
              <w:bottom w:val="single" w:sz="8" w:space="0" w:color="auto"/>
              <w:right w:val="single" w:sz="8" w:space="0" w:color="auto"/>
            </w:tcBorders>
            <w:shd w:val="clear" w:color="000000" w:fill="FFFFFF"/>
            <w:vAlign w:val="center"/>
          </w:tcPr>
          <w:p w14:paraId="7F4EA406" w14:textId="77777777" w:rsidR="00A052DC" w:rsidRDefault="009F0A60">
            <w:pPr>
              <w:pStyle w:val="B"/>
              <w:rPr>
                <w:color w:val="000000"/>
              </w:rPr>
            </w:pPr>
            <w:r>
              <w:rPr>
                <w:color w:val="000000"/>
              </w:rPr>
              <w:t>REMARKS</w:t>
            </w:r>
          </w:p>
        </w:tc>
        <w:tc>
          <w:tcPr>
            <w:tcW w:w="1823" w:type="dxa"/>
            <w:tcBorders>
              <w:top w:val="nil"/>
              <w:left w:val="nil"/>
              <w:bottom w:val="single" w:sz="8" w:space="0" w:color="auto"/>
              <w:right w:val="single" w:sz="8" w:space="0" w:color="auto"/>
            </w:tcBorders>
            <w:shd w:val="clear" w:color="000000" w:fill="FFFFFF"/>
            <w:vAlign w:val="center"/>
          </w:tcPr>
          <w:p w14:paraId="06F783FA" w14:textId="77777777" w:rsidR="00A052DC" w:rsidRDefault="009F0A60">
            <w:pPr>
              <w:pStyle w:val="B"/>
              <w:rPr>
                <w:color w:val="000000"/>
              </w:rPr>
            </w:pPr>
            <w:r>
              <w:rPr>
                <w:rFonts w:hint="eastAsia"/>
                <w:color w:val="000000"/>
              </w:rPr>
              <w:t>备注</w:t>
            </w:r>
          </w:p>
        </w:tc>
        <w:tc>
          <w:tcPr>
            <w:tcW w:w="1692" w:type="dxa"/>
            <w:tcBorders>
              <w:top w:val="nil"/>
              <w:left w:val="nil"/>
              <w:bottom w:val="single" w:sz="8" w:space="0" w:color="auto"/>
              <w:right w:val="single" w:sz="8" w:space="0" w:color="auto"/>
            </w:tcBorders>
            <w:shd w:val="clear" w:color="000000" w:fill="FFFFFF"/>
            <w:vAlign w:val="center"/>
          </w:tcPr>
          <w:p w14:paraId="608EC2CB" w14:textId="77777777" w:rsidR="00A052DC" w:rsidRDefault="009F0A60">
            <w:pPr>
              <w:pStyle w:val="B"/>
              <w:rPr>
                <w:color w:val="000000"/>
              </w:rPr>
            </w:pPr>
            <w:r>
              <w:rPr>
                <w:rFonts w:hint="eastAsia"/>
                <w:color w:val="000000"/>
              </w:rPr>
              <w:t>变长字符型，</w:t>
            </w:r>
            <w:r>
              <w:rPr>
                <w:color w:val="000000"/>
              </w:rPr>
              <w:t>128</w:t>
            </w:r>
          </w:p>
        </w:tc>
        <w:tc>
          <w:tcPr>
            <w:tcW w:w="3264" w:type="dxa"/>
            <w:tcBorders>
              <w:top w:val="nil"/>
              <w:left w:val="nil"/>
              <w:bottom w:val="single" w:sz="8" w:space="0" w:color="auto"/>
              <w:right w:val="single" w:sz="8" w:space="0" w:color="auto"/>
            </w:tcBorders>
            <w:shd w:val="clear" w:color="000000" w:fill="FFFFFF"/>
            <w:vAlign w:val="center"/>
          </w:tcPr>
          <w:p w14:paraId="5FD3CFB1" w14:textId="77777777" w:rsidR="00A052DC" w:rsidRDefault="00DD6AA3">
            <w:pPr>
              <w:pStyle w:val="B"/>
              <w:rPr>
                <w:color w:val="000000"/>
              </w:rPr>
            </w:pPr>
            <w:r>
              <w:rPr>
                <w:rFonts w:hint="eastAsia"/>
                <w:color w:val="000000"/>
              </w:rPr>
              <w:t>非必填项</w:t>
            </w:r>
            <w:r w:rsidR="009F0A60">
              <w:rPr>
                <w:rFonts w:hint="eastAsia"/>
                <w:color w:val="000000"/>
              </w:rPr>
              <w:t>。</w:t>
            </w:r>
          </w:p>
        </w:tc>
      </w:tr>
    </w:tbl>
    <w:p w14:paraId="6394A623" w14:textId="77777777" w:rsidR="00A052DC" w:rsidRDefault="00A052DC"/>
    <w:p w14:paraId="58B68520" w14:textId="77777777" w:rsidR="00A052DC" w:rsidRDefault="009F0A60" w:rsidP="0020251D">
      <w:pPr>
        <w:pStyle w:val="1"/>
        <w:tabs>
          <w:tab w:val="left" w:pos="1440"/>
        </w:tabs>
        <w:rPr>
          <w:rFonts w:ascii="Times New Roman" w:hAnsi="Times New Roman"/>
        </w:rPr>
      </w:pPr>
      <w:bookmarkStart w:id="4378" w:name="_Toc533587336"/>
      <w:bookmarkStart w:id="4379" w:name="_Toc527965400"/>
      <w:bookmarkStart w:id="4380" w:name="_Toc532301200"/>
      <w:bookmarkStart w:id="4381" w:name="_Toc527133286"/>
      <w:bookmarkStart w:id="4382" w:name="_Toc533750509"/>
      <w:bookmarkStart w:id="4383" w:name="_Toc525912483"/>
      <w:bookmarkStart w:id="4384" w:name="_Toc525913235"/>
      <w:bookmarkStart w:id="4385" w:name="_Toc527963808"/>
      <w:bookmarkStart w:id="4386" w:name="_Toc527132215"/>
      <w:bookmarkStart w:id="4387" w:name="_Toc484008353"/>
      <w:bookmarkStart w:id="4388" w:name="_Toc91455500"/>
      <w:bookmarkStart w:id="4389" w:name="_Toc454394917"/>
      <w:bookmarkStart w:id="4390" w:name="_Toc101684527"/>
      <w:bookmarkEnd w:id="4378"/>
      <w:bookmarkEnd w:id="4379"/>
      <w:bookmarkEnd w:id="4380"/>
      <w:bookmarkEnd w:id="4381"/>
      <w:bookmarkEnd w:id="4382"/>
      <w:bookmarkEnd w:id="4383"/>
      <w:bookmarkEnd w:id="4384"/>
      <w:bookmarkEnd w:id="4385"/>
      <w:bookmarkEnd w:id="4386"/>
      <w:bookmarkEnd w:id="4387"/>
      <w:r>
        <w:rPr>
          <w:rFonts w:ascii="Times New Roman" w:hAnsi="Times New Roman" w:hint="eastAsia"/>
        </w:rPr>
        <w:t>接口文件错误反馈类型说明</w:t>
      </w:r>
      <w:bookmarkEnd w:id="4388"/>
      <w:bookmarkEnd w:id="4389"/>
      <w:bookmarkEnd w:id="4390"/>
    </w:p>
    <w:p w14:paraId="6D1DF27E" w14:textId="77777777" w:rsidR="00A052DC" w:rsidRDefault="00A052DC"/>
    <w:p w14:paraId="30ECABC2" w14:textId="77777777" w:rsidR="00A052DC" w:rsidRPr="001B2484" w:rsidRDefault="00A412F6">
      <w:pPr>
        <w:spacing w:line="360" w:lineRule="auto"/>
        <w:ind w:firstLineChars="200" w:firstLine="480"/>
        <w:rPr>
          <w:rFonts w:ascii="Times New Roman" w:hAnsi="Times New Roman"/>
          <w:sz w:val="24"/>
          <w:szCs w:val="24"/>
        </w:rPr>
      </w:pPr>
      <w:bookmarkStart w:id="4391" w:name="_Toc452562219"/>
      <w:bookmarkStart w:id="4392" w:name="_Toc452557535"/>
      <w:bookmarkStart w:id="4393" w:name="_Toc454288992"/>
      <w:bookmarkStart w:id="4394" w:name="_Toc454279346"/>
      <w:bookmarkStart w:id="4395" w:name="_Toc449109132"/>
      <w:bookmarkEnd w:id="4391"/>
      <w:bookmarkEnd w:id="4392"/>
      <w:bookmarkEnd w:id="4393"/>
      <w:bookmarkEnd w:id="4394"/>
      <w:bookmarkEnd w:id="4395"/>
      <w:r w:rsidRPr="00A412F6">
        <w:rPr>
          <w:rFonts w:ascii="Times New Roman" w:hAnsi="宋体" w:hint="eastAsia"/>
          <w:sz w:val="24"/>
          <w:szCs w:val="24"/>
        </w:rPr>
        <w:t>接口文件错误反馈类型说明不再纳入本规范，改由通过银行信息门户进行发布。接口文件错误反馈类型说明内容包括：</w:t>
      </w:r>
    </w:p>
    <w:p w14:paraId="0285FF2E" w14:textId="77777777" w:rsidR="00A052DC" w:rsidRPr="001B2484" w:rsidRDefault="00A412F6">
      <w:pPr>
        <w:spacing w:line="360" w:lineRule="auto"/>
        <w:ind w:firstLineChars="200" w:firstLine="480"/>
        <w:rPr>
          <w:rFonts w:ascii="Times New Roman" w:hAnsi="Times New Roman"/>
          <w:sz w:val="24"/>
          <w:szCs w:val="24"/>
        </w:rPr>
      </w:pPr>
      <w:r w:rsidRPr="00A412F6">
        <w:rPr>
          <w:rFonts w:ascii="Times New Roman" w:hAnsi="Times New Roman"/>
          <w:sz w:val="24"/>
          <w:szCs w:val="24"/>
        </w:rPr>
        <w:t>1.</w:t>
      </w:r>
      <w:r w:rsidRPr="00A412F6">
        <w:rPr>
          <w:rFonts w:ascii="Times New Roman" w:hAnsi="宋体" w:hint="eastAsia"/>
          <w:sz w:val="24"/>
          <w:szCs w:val="24"/>
        </w:rPr>
        <w:t>涉外收支、境内划转、账户内结售汇、组织机构基本情况表数据接口错误反馈类型说明</w:t>
      </w:r>
    </w:p>
    <w:p w14:paraId="699B490C" w14:textId="77777777" w:rsidR="00A052DC" w:rsidRPr="001B2484" w:rsidRDefault="00A412F6">
      <w:pPr>
        <w:spacing w:line="360" w:lineRule="auto"/>
        <w:ind w:firstLineChars="200" w:firstLine="480"/>
        <w:rPr>
          <w:rFonts w:ascii="Times New Roman" w:hAnsi="Times New Roman"/>
          <w:sz w:val="24"/>
          <w:szCs w:val="24"/>
        </w:rPr>
      </w:pPr>
      <w:r w:rsidRPr="00A412F6">
        <w:rPr>
          <w:rFonts w:ascii="Times New Roman" w:hAnsi="Times New Roman"/>
          <w:sz w:val="24"/>
          <w:szCs w:val="24"/>
        </w:rPr>
        <w:t>2.</w:t>
      </w:r>
      <w:r w:rsidRPr="00A412F6">
        <w:rPr>
          <w:rFonts w:ascii="Times New Roman" w:hAnsi="宋体" w:hint="eastAsia"/>
          <w:sz w:val="24"/>
          <w:szCs w:val="24"/>
        </w:rPr>
        <w:t>银行自身资本项目数据接口错误反馈类型说明</w:t>
      </w:r>
    </w:p>
    <w:p w14:paraId="054E3A31" w14:textId="77777777" w:rsidR="00A052DC" w:rsidRPr="001B2484" w:rsidRDefault="00A412F6">
      <w:pPr>
        <w:spacing w:line="360" w:lineRule="auto"/>
        <w:ind w:firstLineChars="200" w:firstLine="480"/>
        <w:rPr>
          <w:rFonts w:ascii="Times New Roman" w:hAnsi="Times New Roman"/>
          <w:sz w:val="24"/>
          <w:szCs w:val="24"/>
        </w:rPr>
      </w:pPr>
      <w:r w:rsidRPr="00A412F6">
        <w:rPr>
          <w:rFonts w:ascii="Times New Roman" w:hAnsi="Times New Roman"/>
          <w:sz w:val="24"/>
          <w:szCs w:val="24"/>
        </w:rPr>
        <w:t>3.</w:t>
      </w:r>
      <w:r w:rsidRPr="00A412F6">
        <w:rPr>
          <w:rFonts w:ascii="Times New Roman" w:hAnsi="宋体" w:hint="eastAsia"/>
          <w:sz w:val="24"/>
          <w:szCs w:val="24"/>
        </w:rPr>
        <w:t>对外金融资产负债及交易数据接口错误反馈类型说明</w:t>
      </w:r>
      <w:r w:rsidRPr="00A412F6">
        <w:rPr>
          <w:rFonts w:ascii="Times New Roman" w:hAnsi="Times New Roman"/>
          <w:sz w:val="24"/>
          <w:szCs w:val="24"/>
        </w:rPr>
        <w:tab/>
      </w:r>
    </w:p>
    <w:p w14:paraId="251B1257" w14:textId="77777777" w:rsidR="00A052DC" w:rsidRPr="001B2484" w:rsidRDefault="00A412F6">
      <w:pPr>
        <w:spacing w:line="360" w:lineRule="auto"/>
        <w:ind w:firstLineChars="200" w:firstLine="480"/>
        <w:rPr>
          <w:rFonts w:ascii="Times New Roman" w:hAnsi="Times New Roman"/>
          <w:sz w:val="24"/>
          <w:szCs w:val="24"/>
        </w:rPr>
      </w:pPr>
      <w:r w:rsidRPr="00A412F6">
        <w:rPr>
          <w:rFonts w:ascii="Times New Roman" w:hAnsi="Times New Roman"/>
          <w:sz w:val="24"/>
          <w:szCs w:val="24"/>
        </w:rPr>
        <w:t>4.</w:t>
      </w:r>
      <w:r w:rsidRPr="00A412F6">
        <w:rPr>
          <w:rFonts w:ascii="Times New Roman" w:hAnsi="宋体" w:hint="eastAsia"/>
          <w:sz w:val="24"/>
          <w:szCs w:val="24"/>
        </w:rPr>
        <w:t>外债签约信息数据接口错误反馈类型说明</w:t>
      </w:r>
    </w:p>
    <w:p w14:paraId="1A9B5159" w14:textId="77777777" w:rsidR="00A052DC" w:rsidRPr="001B2484" w:rsidRDefault="00A412F6">
      <w:pPr>
        <w:spacing w:line="360" w:lineRule="auto"/>
        <w:ind w:firstLineChars="200" w:firstLine="480"/>
        <w:rPr>
          <w:rFonts w:ascii="Times New Roman" w:hAnsi="Times New Roman"/>
          <w:sz w:val="24"/>
          <w:szCs w:val="24"/>
        </w:rPr>
      </w:pPr>
      <w:r w:rsidRPr="00A412F6">
        <w:rPr>
          <w:rFonts w:ascii="Times New Roman" w:hAnsi="Times New Roman"/>
          <w:sz w:val="24"/>
          <w:szCs w:val="24"/>
        </w:rPr>
        <w:t>5.</w:t>
      </w:r>
      <w:r w:rsidRPr="00A412F6">
        <w:rPr>
          <w:rFonts w:ascii="Times New Roman" w:hAnsi="宋体" w:hint="eastAsia"/>
          <w:sz w:val="24"/>
          <w:szCs w:val="24"/>
        </w:rPr>
        <w:t>机构外币现钞存取数据接口错误反馈类型说明</w:t>
      </w:r>
    </w:p>
    <w:p w14:paraId="538C9095" w14:textId="77777777" w:rsidR="00A052DC" w:rsidRPr="001B2484" w:rsidRDefault="00A412F6">
      <w:pPr>
        <w:spacing w:line="360" w:lineRule="auto"/>
        <w:ind w:firstLineChars="200" w:firstLine="480"/>
        <w:rPr>
          <w:rFonts w:ascii="Times New Roman" w:hAnsi="Times New Roman"/>
          <w:sz w:val="24"/>
          <w:szCs w:val="24"/>
        </w:rPr>
      </w:pPr>
      <w:r w:rsidRPr="00A412F6">
        <w:rPr>
          <w:rFonts w:ascii="Times New Roman" w:hAnsi="Times New Roman"/>
          <w:sz w:val="24"/>
          <w:szCs w:val="24"/>
        </w:rPr>
        <w:t>6.</w:t>
      </w:r>
      <w:r w:rsidRPr="00A412F6">
        <w:rPr>
          <w:rFonts w:ascii="Times New Roman" w:hAnsi="宋体" w:hint="eastAsia"/>
          <w:sz w:val="24"/>
          <w:szCs w:val="24"/>
        </w:rPr>
        <w:t>银行卡境外交易数据接口错误反馈类型说明</w:t>
      </w:r>
    </w:p>
    <w:p w14:paraId="52938862" w14:textId="77777777" w:rsidR="00A052DC" w:rsidRPr="001B2484" w:rsidRDefault="00A412F6">
      <w:pPr>
        <w:spacing w:line="360" w:lineRule="auto"/>
        <w:ind w:firstLineChars="200" w:firstLine="480"/>
        <w:rPr>
          <w:rFonts w:ascii="Times New Roman" w:hAnsi="Times New Roman"/>
          <w:sz w:val="24"/>
          <w:szCs w:val="24"/>
        </w:rPr>
      </w:pPr>
      <w:r w:rsidRPr="00A412F6">
        <w:rPr>
          <w:rFonts w:ascii="Times New Roman" w:hAnsi="Times New Roman"/>
          <w:sz w:val="24"/>
          <w:szCs w:val="24"/>
        </w:rPr>
        <w:t>7.</w:t>
      </w:r>
      <w:r w:rsidRPr="00A412F6">
        <w:rPr>
          <w:rFonts w:ascii="Times New Roman" w:hAnsi="宋体"/>
          <w:sz w:val="24"/>
          <w:szCs w:val="24"/>
        </w:rPr>
        <w:t>涉嫌外汇违规账户信息</w:t>
      </w:r>
      <w:r w:rsidRPr="00A412F6">
        <w:rPr>
          <w:rFonts w:ascii="Times New Roman" w:hAnsi="宋体" w:hint="eastAsia"/>
          <w:sz w:val="24"/>
          <w:szCs w:val="24"/>
        </w:rPr>
        <w:t>接口错误反馈类型说明</w:t>
      </w:r>
    </w:p>
    <w:p w14:paraId="00E3F2CB" w14:textId="77777777" w:rsidR="00A052DC" w:rsidRPr="001B2484" w:rsidRDefault="00A412F6">
      <w:pPr>
        <w:spacing w:line="360" w:lineRule="auto"/>
        <w:ind w:firstLineChars="200" w:firstLine="480"/>
        <w:rPr>
          <w:rFonts w:ascii="Times New Roman" w:hAnsi="Times New Roman"/>
          <w:sz w:val="24"/>
          <w:szCs w:val="24"/>
        </w:rPr>
      </w:pPr>
      <w:r w:rsidRPr="00A412F6">
        <w:rPr>
          <w:rFonts w:ascii="Times New Roman" w:hAnsi="Times New Roman"/>
          <w:sz w:val="24"/>
          <w:szCs w:val="24"/>
        </w:rPr>
        <w:t>8.</w:t>
      </w:r>
      <w:r w:rsidRPr="00A412F6">
        <w:rPr>
          <w:rFonts w:ascii="Times New Roman" w:hAnsi="宋体" w:hint="eastAsia"/>
          <w:sz w:val="24"/>
          <w:szCs w:val="24"/>
        </w:rPr>
        <w:t>机构大额结售汇资金来源</w:t>
      </w:r>
      <w:r w:rsidRPr="00A412F6">
        <w:rPr>
          <w:rFonts w:ascii="Times New Roman" w:hAnsi="宋体"/>
          <w:sz w:val="24"/>
          <w:szCs w:val="24"/>
        </w:rPr>
        <w:t>和</w:t>
      </w:r>
      <w:r w:rsidRPr="00A412F6">
        <w:rPr>
          <w:rFonts w:ascii="Times New Roman" w:hAnsi="宋体" w:hint="eastAsia"/>
          <w:sz w:val="24"/>
          <w:szCs w:val="24"/>
        </w:rPr>
        <w:t>使用</w:t>
      </w:r>
      <w:r w:rsidRPr="00A412F6">
        <w:rPr>
          <w:rFonts w:ascii="Times New Roman" w:hAnsi="宋体"/>
          <w:sz w:val="24"/>
          <w:szCs w:val="24"/>
        </w:rPr>
        <w:t>数据接口错误反馈类型说明</w:t>
      </w:r>
    </w:p>
    <w:bookmarkEnd w:id="2938"/>
    <w:p w14:paraId="43E60B65" w14:textId="77777777" w:rsidR="00A052DC" w:rsidRDefault="00A052DC">
      <w:pPr>
        <w:rPr>
          <w:rFonts w:ascii="宋体" w:hAnsi="宋体"/>
          <w:sz w:val="24"/>
          <w:szCs w:val="24"/>
        </w:rPr>
      </w:pPr>
    </w:p>
    <w:p w14:paraId="6B4FFDA1" w14:textId="77777777" w:rsidR="00A052DC" w:rsidRDefault="00A052DC">
      <w:pPr>
        <w:spacing w:line="360" w:lineRule="auto"/>
        <w:ind w:left="568"/>
        <w:rPr>
          <w:rFonts w:ascii="宋体" w:hAnsi="宋体"/>
          <w:sz w:val="24"/>
          <w:szCs w:val="24"/>
        </w:rPr>
      </w:pPr>
    </w:p>
    <w:p w14:paraId="76C1E9EB" w14:textId="77777777" w:rsidR="00A052DC" w:rsidRDefault="00A052DC">
      <w:pPr>
        <w:spacing w:line="360" w:lineRule="auto"/>
        <w:ind w:left="568"/>
        <w:rPr>
          <w:rFonts w:ascii="宋体" w:hAnsi="宋体"/>
          <w:sz w:val="24"/>
          <w:szCs w:val="24"/>
        </w:rPr>
      </w:pPr>
    </w:p>
    <w:p w14:paraId="0837D3E3" w14:textId="77777777" w:rsidR="00A052DC" w:rsidRDefault="009F0A60" w:rsidP="0020251D">
      <w:pPr>
        <w:pStyle w:val="1"/>
        <w:tabs>
          <w:tab w:val="left" w:pos="1440"/>
        </w:tabs>
        <w:rPr>
          <w:rFonts w:ascii="Times New Roman" w:hAnsi="Times New Roman"/>
        </w:rPr>
      </w:pPr>
      <w:bookmarkStart w:id="4396" w:name="_Toc454394918"/>
      <w:bookmarkStart w:id="4397" w:name="_Toc91455501"/>
      <w:bookmarkStart w:id="4398" w:name="_Toc101684528"/>
      <w:r>
        <w:rPr>
          <w:rFonts w:ascii="Times New Roman" w:hAnsi="Times New Roman" w:hint="eastAsia"/>
        </w:rPr>
        <w:t>向银行反馈数据接口规范</w:t>
      </w:r>
      <w:bookmarkStart w:id="4399" w:name="_Toc310599114"/>
      <w:bookmarkEnd w:id="4396"/>
      <w:bookmarkEnd w:id="4397"/>
      <w:bookmarkEnd w:id="4398"/>
    </w:p>
    <w:p w14:paraId="60C85426" w14:textId="77777777" w:rsidR="00A052DC" w:rsidRDefault="009F0A60" w:rsidP="0020251D">
      <w:pPr>
        <w:pStyle w:val="2"/>
        <w:rPr>
          <w:rFonts w:ascii="Times New Roman" w:hAnsi="Times New Roman"/>
        </w:rPr>
      </w:pPr>
      <w:bookmarkStart w:id="4400" w:name="_Toc454394919"/>
      <w:bookmarkStart w:id="4401" w:name="_Toc91455502"/>
      <w:bookmarkStart w:id="4402" w:name="_Toc101684529"/>
      <w:r>
        <w:rPr>
          <w:rFonts w:ascii="Times New Roman" w:hAnsi="Times New Roman" w:hint="eastAsia"/>
        </w:rPr>
        <w:t>前言</w:t>
      </w:r>
      <w:bookmarkEnd w:id="4399"/>
      <w:bookmarkEnd w:id="4400"/>
      <w:bookmarkEnd w:id="4401"/>
      <w:bookmarkEnd w:id="4402"/>
    </w:p>
    <w:p w14:paraId="005127DA" w14:textId="77777777" w:rsidR="00A052DC" w:rsidRDefault="009F0A60">
      <w:pPr>
        <w:spacing w:line="360" w:lineRule="auto"/>
        <w:ind w:firstLine="480"/>
        <w:rPr>
          <w:sz w:val="24"/>
        </w:rPr>
      </w:pPr>
      <w:r>
        <w:rPr>
          <w:rFonts w:hint="eastAsia"/>
          <w:sz w:val="24"/>
        </w:rPr>
        <w:t>本章用于明确向银行反馈涉外收支、境内划转数据、下发</w:t>
      </w:r>
      <w:r>
        <w:rPr>
          <w:rFonts w:ascii="Times New Roman" w:hAnsi="宋体" w:hint="eastAsia"/>
          <w:color w:val="000000"/>
          <w:kern w:val="0"/>
          <w:sz w:val="24"/>
          <w:szCs w:val="24"/>
        </w:rPr>
        <w:t>暂停持境内银行卡在境外提取现金个人名单和涉嫌外汇违规账户查询信息的</w:t>
      </w:r>
      <w:r>
        <w:rPr>
          <w:rFonts w:hint="eastAsia"/>
          <w:sz w:val="24"/>
        </w:rPr>
        <w:t>有关内容。</w:t>
      </w:r>
    </w:p>
    <w:p w14:paraId="447274D7" w14:textId="77777777" w:rsidR="00A052DC" w:rsidRDefault="009F0A60" w:rsidP="0020251D">
      <w:pPr>
        <w:pStyle w:val="3"/>
        <w:ind w:left="0"/>
        <w:rPr>
          <w:rFonts w:ascii="Times New Roman" w:hAnsi="Times New Roman"/>
        </w:rPr>
      </w:pPr>
      <w:bookmarkStart w:id="4403" w:name="_Toc97661336"/>
      <w:bookmarkStart w:id="4404" w:name="_Toc98764568"/>
      <w:bookmarkStart w:id="4405" w:name="_Toc97660485"/>
      <w:bookmarkStart w:id="4406" w:name="_Toc99611806"/>
      <w:bookmarkStart w:id="4407" w:name="_Toc99611387"/>
      <w:bookmarkStart w:id="4408" w:name="_Toc97821668"/>
      <w:bookmarkStart w:id="4409" w:name="_Toc95223427"/>
      <w:bookmarkStart w:id="4410" w:name="_Toc95222996"/>
      <w:bookmarkStart w:id="4411" w:name="_Toc91455503"/>
      <w:bookmarkStart w:id="4412" w:name="_Toc91582692"/>
      <w:bookmarkStart w:id="4413" w:name="_Toc93933616"/>
      <w:bookmarkStart w:id="4414" w:name="_Toc95224271"/>
      <w:bookmarkStart w:id="4415" w:name="_Toc95223850"/>
      <w:bookmarkStart w:id="4416" w:name="_Toc97821240"/>
      <w:bookmarkStart w:id="4417" w:name="_Toc93933191"/>
      <w:bookmarkStart w:id="4418" w:name="_Toc97660914"/>
      <w:bookmarkStart w:id="4419" w:name="_Toc91493829"/>
      <w:bookmarkStart w:id="4420" w:name="_Toc98754374"/>
      <w:bookmarkStart w:id="4421" w:name="_Toc93935299"/>
      <w:bookmarkStart w:id="4422" w:name="_Toc91455504"/>
      <w:bookmarkStart w:id="4423" w:name="_Toc101684530"/>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r>
        <w:rPr>
          <w:rFonts w:ascii="Times New Roman" w:hAnsi="Times New Roman" w:hint="eastAsia"/>
        </w:rPr>
        <w:t>反馈数据内容及时间安排</w:t>
      </w:r>
      <w:bookmarkEnd w:id="4422"/>
      <w:bookmarkEnd w:id="4423"/>
    </w:p>
    <w:p w14:paraId="75F9411B" w14:textId="77777777" w:rsidR="00A052DC" w:rsidRDefault="009F0A60" w:rsidP="0020251D">
      <w:pPr>
        <w:pStyle w:val="4"/>
        <w:numPr>
          <w:ilvl w:val="3"/>
          <w:numId w:val="1"/>
        </w:numPr>
        <w:jc w:val="left"/>
      </w:pPr>
      <w:r>
        <w:rPr>
          <w:rFonts w:hint="eastAsia"/>
        </w:rPr>
        <w:t>涉外收支、境内划转数据</w:t>
      </w:r>
    </w:p>
    <w:p w14:paraId="7643B1B3" w14:textId="77777777" w:rsidR="00881462" w:rsidRDefault="00A412F6">
      <w:pPr>
        <w:spacing w:line="360" w:lineRule="auto"/>
        <w:ind w:firstLineChars="200" w:firstLine="480"/>
        <w:rPr>
          <w:rFonts w:ascii="Times New Roman" w:hAnsi="宋体"/>
          <w:sz w:val="24"/>
          <w:szCs w:val="24"/>
        </w:rPr>
      </w:pPr>
      <w:r w:rsidRPr="00A412F6">
        <w:rPr>
          <w:rFonts w:ascii="Times New Roman" w:hAnsi="宋体" w:hint="eastAsia"/>
          <w:sz w:val="24"/>
          <w:szCs w:val="24"/>
        </w:rPr>
        <w:t>外汇局定期向采用全接口模式向外汇局报送涉外收支、境内划转数据的银行（以下简称全接口银行）反馈企业网上申报已审核信息，便于银行内部对申报业务的管理和监督。反馈频度为每日反馈。</w:t>
      </w:r>
    </w:p>
    <w:p w14:paraId="1E051AD6" w14:textId="77777777" w:rsidR="00881462" w:rsidRDefault="00A412F6">
      <w:pPr>
        <w:spacing w:line="360" w:lineRule="auto"/>
        <w:ind w:firstLineChars="200" w:firstLine="480"/>
        <w:rPr>
          <w:rFonts w:ascii="Times New Roman" w:hAnsi="宋体"/>
          <w:sz w:val="24"/>
          <w:szCs w:val="24"/>
        </w:rPr>
      </w:pPr>
      <w:r w:rsidRPr="00A412F6">
        <w:rPr>
          <w:rFonts w:ascii="Times New Roman" w:hAnsi="宋体" w:hint="eastAsia"/>
          <w:sz w:val="24"/>
          <w:szCs w:val="24"/>
        </w:rPr>
        <w:t>外汇局定期向采用部分接口或手工录入的银行（以下简称部分接口</w:t>
      </w:r>
      <w:r w:rsidRPr="00A412F6">
        <w:rPr>
          <w:rFonts w:ascii="Times New Roman" w:hAnsi="宋体"/>
          <w:sz w:val="24"/>
          <w:szCs w:val="24"/>
        </w:rPr>
        <w:t>/</w:t>
      </w:r>
      <w:r w:rsidRPr="00A412F6">
        <w:rPr>
          <w:rFonts w:ascii="Times New Roman" w:hAnsi="宋体" w:hint="eastAsia"/>
          <w:sz w:val="24"/>
          <w:szCs w:val="24"/>
        </w:rPr>
        <w:t>手工录入银行）反馈完整的申报</w:t>
      </w:r>
      <w:r w:rsidRPr="00A412F6">
        <w:rPr>
          <w:rFonts w:ascii="Times New Roman" w:hAnsi="宋体"/>
          <w:sz w:val="24"/>
          <w:szCs w:val="24"/>
        </w:rPr>
        <w:t>/</w:t>
      </w:r>
      <w:r w:rsidRPr="00A412F6">
        <w:rPr>
          <w:rFonts w:ascii="Times New Roman" w:hAnsi="宋体" w:hint="eastAsia"/>
          <w:sz w:val="24"/>
          <w:szCs w:val="24"/>
        </w:rPr>
        <w:t>管理信息，便于银行内部管理和统计。反馈频度为每周六反馈。</w:t>
      </w:r>
    </w:p>
    <w:p w14:paraId="44E3527E" w14:textId="77777777" w:rsidR="00881462" w:rsidRDefault="00A412F6">
      <w:pPr>
        <w:spacing w:line="360" w:lineRule="auto"/>
        <w:ind w:firstLineChars="200" w:firstLine="480"/>
        <w:rPr>
          <w:rFonts w:ascii="Times New Roman" w:hAnsi="宋体"/>
          <w:sz w:val="24"/>
          <w:szCs w:val="24"/>
        </w:rPr>
      </w:pPr>
      <w:r w:rsidRPr="00A412F6">
        <w:rPr>
          <w:rFonts w:ascii="Times New Roman" w:hAnsi="宋体" w:hint="eastAsia"/>
          <w:sz w:val="24"/>
          <w:szCs w:val="24"/>
        </w:rPr>
        <w:t>采用全手工的银行，总行用户可以通过界面功能下载数据。</w:t>
      </w:r>
    </w:p>
    <w:p w14:paraId="5FE081F0" w14:textId="77777777" w:rsidR="00881462" w:rsidRDefault="00A412F6">
      <w:pPr>
        <w:spacing w:line="360" w:lineRule="auto"/>
        <w:ind w:firstLineChars="200" w:firstLine="480"/>
        <w:rPr>
          <w:rFonts w:ascii="Times New Roman" w:hAnsi="宋体"/>
          <w:sz w:val="24"/>
          <w:szCs w:val="24"/>
        </w:rPr>
      </w:pPr>
      <w:r w:rsidRPr="00A412F6">
        <w:rPr>
          <w:rFonts w:ascii="Times New Roman" w:hAnsi="宋体" w:hint="eastAsia"/>
          <w:sz w:val="24"/>
          <w:szCs w:val="24"/>
        </w:rPr>
        <w:t>银行根据本行需要开发相应程序进行后续处理。</w:t>
      </w:r>
    </w:p>
    <w:p w14:paraId="42E5D00B" w14:textId="77777777" w:rsidR="00A052DC" w:rsidRDefault="009F0A60" w:rsidP="0020251D">
      <w:pPr>
        <w:pStyle w:val="4"/>
        <w:numPr>
          <w:ilvl w:val="3"/>
          <w:numId w:val="1"/>
        </w:numPr>
        <w:jc w:val="left"/>
      </w:pPr>
      <w:r>
        <w:rPr>
          <w:rFonts w:hint="eastAsia"/>
        </w:rPr>
        <w:t>暂停持境内银行卡在境外提取现金个人名单</w:t>
      </w:r>
    </w:p>
    <w:p w14:paraId="056B1981" w14:textId="77777777" w:rsidR="00881462" w:rsidRDefault="00A412F6">
      <w:pPr>
        <w:spacing w:line="360" w:lineRule="auto"/>
        <w:ind w:firstLineChars="200" w:firstLine="480"/>
        <w:rPr>
          <w:rFonts w:ascii="Times New Roman" w:hAnsi="宋体"/>
          <w:sz w:val="24"/>
          <w:szCs w:val="24"/>
        </w:rPr>
      </w:pPr>
      <w:r w:rsidRPr="00A412F6">
        <w:rPr>
          <w:rFonts w:ascii="Times New Roman" w:hAnsi="宋体" w:hint="eastAsia"/>
          <w:sz w:val="24"/>
          <w:szCs w:val="24"/>
        </w:rPr>
        <w:t>外汇局按日全量向金融机构下发暂停持境内银行卡在境外提取现金个人名单。暂停持境内银行卡在境外提取现金个人名单是指因违反《国家外汇管理局关于规范银行卡境外大额提取现金交易的通知》（汇发〔</w:t>
      </w:r>
      <w:r w:rsidRPr="00A412F6">
        <w:rPr>
          <w:rFonts w:ascii="Times New Roman" w:hAnsi="宋体"/>
          <w:sz w:val="24"/>
          <w:szCs w:val="24"/>
        </w:rPr>
        <w:t>2017</w:t>
      </w:r>
      <w:r w:rsidRPr="00A412F6">
        <w:rPr>
          <w:rFonts w:ascii="Times New Roman" w:hAnsi="宋体" w:hint="eastAsia"/>
          <w:sz w:val="24"/>
          <w:szCs w:val="24"/>
        </w:rPr>
        <w:t>〕</w:t>
      </w:r>
      <w:r w:rsidRPr="00A412F6">
        <w:rPr>
          <w:rFonts w:ascii="Times New Roman" w:hAnsi="宋体"/>
          <w:sz w:val="24"/>
          <w:szCs w:val="24"/>
        </w:rPr>
        <w:t>29</w:t>
      </w:r>
      <w:r w:rsidRPr="00A412F6">
        <w:rPr>
          <w:rFonts w:ascii="Times New Roman" w:hAnsi="宋体" w:hint="eastAsia"/>
          <w:sz w:val="24"/>
          <w:szCs w:val="24"/>
        </w:rPr>
        <w:t>号）或存在其他违法违规行为的被暂停持境内银行卡在境外提取现金的个人的全量名单。关于下发记录的实施时间及相关管理要求参见《国家外汇管理局关于规范银行卡境外大额提取现金交易的通知》（汇发〔</w:t>
      </w:r>
      <w:r w:rsidRPr="00A412F6">
        <w:rPr>
          <w:rFonts w:ascii="Times New Roman" w:hAnsi="宋体"/>
          <w:sz w:val="24"/>
          <w:szCs w:val="24"/>
        </w:rPr>
        <w:t>2017</w:t>
      </w:r>
      <w:r w:rsidRPr="00A412F6">
        <w:rPr>
          <w:rFonts w:ascii="Times New Roman" w:hAnsi="宋体" w:hint="eastAsia"/>
          <w:sz w:val="24"/>
          <w:szCs w:val="24"/>
        </w:rPr>
        <w:t>〕</w:t>
      </w:r>
      <w:r w:rsidRPr="00A412F6">
        <w:rPr>
          <w:rFonts w:ascii="Times New Roman" w:hAnsi="宋体"/>
          <w:sz w:val="24"/>
          <w:szCs w:val="24"/>
        </w:rPr>
        <w:t>29</w:t>
      </w:r>
      <w:r w:rsidRPr="00A412F6">
        <w:rPr>
          <w:rFonts w:ascii="Times New Roman" w:hAnsi="宋体" w:hint="eastAsia"/>
          <w:sz w:val="24"/>
          <w:szCs w:val="24"/>
        </w:rPr>
        <w:t>号）。</w:t>
      </w:r>
    </w:p>
    <w:p w14:paraId="78BE25BA" w14:textId="77777777" w:rsidR="00881462" w:rsidRDefault="00A412F6">
      <w:pPr>
        <w:spacing w:line="360" w:lineRule="auto"/>
        <w:ind w:firstLineChars="200" w:firstLine="480"/>
        <w:rPr>
          <w:rFonts w:ascii="Times New Roman" w:hAnsi="宋体"/>
          <w:sz w:val="24"/>
          <w:szCs w:val="24"/>
        </w:rPr>
      </w:pPr>
      <w:r w:rsidRPr="00A412F6">
        <w:rPr>
          <w:rFonts w:ascii="Times New Roman" w:hAnsi="宋体" w:hint="eastAsia"/>
          <w:sz w:val="24"/>
          <w:szCs w:val="24"/>
        </w:rPr>
        <w:t>采用全接口方式报送银行卡交易信息的金融机构，应同时实现接口方式接入。采用全手工的金融机构，可以通过界面功能下载数据。时间安排如下：外汇局北京时间每日</w:t>
      </w:r>
      <w:r w:rsidRPr="00A412F6">
        <w:rPr>
          <w:rFonts w:ascii="Times New Roman" w:hAnsi="宋体"/>
          <w:sz w:val="24"/>
          <w:szCs w:val="24"/>
        </w:rPr>
        <w:t>15:00</w:t>
      </w:r>
      <w:r w:rsidRPr="00A412F6">
        <w:rPr>
          <w:rFonts w:ascii="Times New Roman" w:hAnsi="宋体" w:hint="eastAsia"/>
          <w:sz w:val="24"/>
          <w:szCs w:val="24"/>
        </w:rPr>
        <w:t>起向发卡金融机构下发“暂停持境内银行卡在境外提取现金个人名单”，采用接口方式报送数据的金融机构应于</w:t>
      </w:r>
      <w:r w:rsidRPr="00A412F6">
        <w:rPr>
          <w:rFonts w:ascii="Times New Roman" w:hAnsi="宋体"/>
          <w:sz w:val="24"/>
          <w:szCs w:val="24"/>
        </w:rPr>
        <w:t>16:00</w:t>
      </w:r>
      <w:r w:rsidRPr="00A412F6">
        <w:rPr>
          <w:rFonts w:ascii="Times New Roman" w:hAnsi="宋体" w:hint="eastAsia"/>
          <w:sz w:val="24"/>
          <w:szCs w:val="24"/>
        </w:rPr>
        <w:t>前接收“暂停持境内银行卡在境外提取现金个人名单”，采用界面方式报送数据的金融机构应于</w:t>
      </w:r>
      <w:r w:rsidRPr="00A412F6">
        <w:rPr>
          <w:rFonts w:ascii="Times New Roman" w:hAnsi="宋体"/>
          <w:sz w:val="24"/>
          <w:szCs w:val="24"/>
        </w:rPr>
        <w:t>16:00</w:t>
      </w:r>
      <w:r w:rsidRPr="00A412F6">
        <w:rPr>
          <w:rFonts w:ascii="Times New Roman" w:hAnsi="宋体" w:hint="eastAsia"/>
          <w:sz w:val="24"/>
          <w:szCs w:val="24"/>
        </w:rPr>
        <w:t>前下载“暂停持境内银行卡在境外提取现金个人名单”，发卡金融机构应不晚于北京时间当日</w:t>
      </w:r>
      <w:r w:rsidRPr="00A412F6">
        <w:rPr>
          <w:rFonts w:ascii="Times New Roman" w:hAnsi="宋体"/>
          <w:sz w:val="24"/>
          <w:szCs w:val="24"/>
        </w:rPr>
        <w:t>17:00</w:t>
      </w:r>
      <w:r w:rsidRPr="00A412F6">
        <w:rPr>
          <w:rFonts w:ascii="Times New Roman" w:hAnsi="宋体" w:hint="eastAsia"/>
          <w:sz w:val="24"/>
          <w:szCs w:val="24"/>
        </w:rPr>
        <w:t>起暂停名单内所列个人使用本机构银行卡在境外提取现金。通过界面方式报送的其他要求参考《银行卡境外交易外汇管理系统操作手册（银行版）》。</w:t>
      </w:r>
    </w:p>
    <w:p w14:paraId="31BA55CB" w14:textId="77777777" w:rsidR="00A052DC" w:rsidRPr="001B2484" w:rsidRDefault="00A412F6">
      <w:pPr>
        <w:spacing w:line="360" w:lineRule="auto"/>
        <w:ind w:firstLineChars="200" w:firstLine="480"/>
        <w:rPr>
          <w:rFonts w:ascii="Times New Roman" w:hAnsi="宋体"/>
          <w:sz w:val="24"/>
          <w:szCs w:val="24"/>
        </w:rPr>
      </w:pPr>
      <w:r w:rsidRPr="00A412F6">
        <w:rPr>
          <w:rFonts w:ascii="Times New Roman" w:hAnsi="宋体" w:hint="eastAsia"/>
          <w:sz w:val="24"/>
          <w:szCs w:val="24"/>
        </w:rPr>
        <w:t>数据下发的批次及时间要求根据银行卡境外交易外汇管理要求可能调整，金融机构应预留灵活配置的机制。</w:t>
      </w:r>
    </w:p>
    <w:p w14:paraId="547A2516" w14:textId="77777777" w:rsidR="00A052DC" w:rsidRDefault="009F0A60" w:rsidP="0020251D">
      <w:pPr>
        <w:pStyle w:val="4"/>
        <w:numPr>
          <w:ilvl w:val="3"/>
          <w:numId w:val="1"/>
        </w:numPr>
        <w:spacing w:line="376" w:lineRule="auto"/>
        <w:jc w:val="left"/>
      </w:pPr>
      <w:r>
        <w:rPr>
          <w:rFonts w:hint="eastAsia"/>
        </w:rPr>
        <w:t>涉嫌外汇违规账户查询信息</w:t>
      </w:r>
    </w:p>
    <w:p w14:paraId="6CED9CC0" w14:textId="77777777" w:rsidR="00A052DC" w:rsidRPr="00B466A0" w:rsidRDefault="00A412F6">
      <w:pPr>
        <w:spacing w:line="360" w:lineRule="auto"/>
        <w:ind w:firstLineChars="200" w:firstLine="480"/>
        <w:rPr>
          <w:rFonts w:ascii="Times New Roman" w:hAnsi="宋体"/>
          <w:sz w:val="24"/>
          <w:szCs w:val="24"/>
        </w:rPr>
      </w:pPr>
      <w:r w:rsidRPr="00A412F6">
        <w:rPr>
          <w:rFonts w:ascii="Times New Roman" w:hAnsi="宋体" w:hint="eastAsia"/>
          <w:sz w:val="24"/>
          <w:szCs w:val="24"/>
        </w:rPr>
        <w:t>外汇局按日全量向金融机构下发拟查询的涉嫌外汇违规账户或主体信息。金融机构需根据外汇局下发的信息，通过接口或界面方式向外汇局反馈查询回复信息，并按要求在指定反馈日期前报送对应涉嫌外汇违规账户基础信息和账户交易明细信息。</w:t>
      </w:r>
    </w:p>
    <w:p w14:paraId="72A350D5" w14:textId="77777777" w:rsidR="00A052DC" w:rsidRDefault="009F0A60" w:rsidP="0020251D">
      <w:pPr>
        <w:pStyle w:val="2"/>
        <w:rPr>
          <w:rFonts w:ascii="Times New Roman" w:hAnsi="Times New Roman"/>
        </w:rPr>
      </w:pPr>
      <w:bookmarkStart w:id="4424" w:name="_Toc525913242"/>
      <w:bookmarkStart w:id="4425" w:name="_Toc97660487"/>
      <w:bookmarkStart w:id="4426" w:name="_Toc95223852"/>
      <w:bookmarkStart w:id="4427" w:name="_Toc97661338"/>
      <w:bookmarkStart w:id="4428" w:name="_Toc98754376"/>
      <w:bookmarkStart w:id="4429" w:name="_Toc95223429"/>
      <w:bookmarkStart w:id="4430" w:name="_Toc93935301"/>
      <w:bookmarkStart w:id="4431" w:name="_Toc525913240"/>
      <w:bookmarkStart w:id="4432" w:name="_Toc93933618"/>
      <w:bookmarkStart w:id="4433" w:name="_Toc91582694"/>
      <w:bookmarkStart w:id="4434" w:name="_Toc525912489"/>
      <w:bookmarkStart w:id="4435" w:name="_Toc525913241"/>
      <w:bookmarkStart w:id="4436" w:name="_Toc99611808"/>
      <w:bookmarkStart w:id="4437" w:name="_Toc97660916"/>
      <w:bookmarkStart w:id="4438" w:name="_Toc98764570"/>
      <w:bookmarkStart w:id="4439" w:name="_Toc99611389"/>
      <w:bookmarkStart w:id="4440" w:name="_Toc525912490"/>
      <w:bookmarkStart w:id="4441" w:name="_Toc91493831"/>
      <w:bookmarkStart w:id="4442" w:name="_Toc525912488"/>
      <w:bookmarkStart w:id="4443" w:name="_Toc91455505"/>
      <w:bookmarkStart w:id="4444" w:name="_Toc95222998"/>
      <w:bookmarkStart w:id="4445" w:name="_Toc95224273"/>
      <w:bookmarkStart w:id="4446" w:name="_Toc97821670"/>
      <w:bookmarkStart w:id="4447" w:name="_Toc97821242"/>
      <w:bookmarkStart w:id="4448" w:name="_Toc93933193"/>
      <w:bookmarkStart w:id="4449" w:name="_Toc310599115"/>
      <w:bookmarkStart w:id="4450" w:name="_Toc91455506"/>
      <w:bookmarkStart w:id="4451" w:name="_Toc454394920"/>
      <w:bookmarkStart w:id="4452" w:name="_Toc101684531"/>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r>
        <w:rPr>
          <w:rFonts w:ascii="Times New Roman" w:hAnsi="Times New Roman" w:hint="eastAsia"/>
        </w:rPr>
        <w:t>反馈文件规范</w:t>
      </w:r>
      <w:bookmarkEnd w:id="4449"/>
      <w:bookmarkEnd w:id="4450"/>
      <w:bookmarkEnd w:id="4451"/>
      <w:bookmarkEnd w:id="4452"/>
    </w:p>
    <w:p w14:paraId="7E60E88C" w14:textId="77777777" w:rsidR="00A052DC" w:rsidRDefault="009F0A60" w:rsidP="0020251D">
      <w:pPr>
        <w:pStyle w:val="3"/>
        <w:ind w:left="0"/>
        <w:rPr>
          <w:rFonts w:ascii="Times New Roman" w:hAnsi="Times New Roman"/>
        </w:rPr>
      </w:pPr>
      <w:bookmarkStart w:id="4453" w:name="_Toc91455507"/>
      <w:bookmarkStart w:id="4454" w:name="_Toc454394921"/>
      <w:bookmarkStart w:id="4455" w:name="_Toc310599117"/>
      <w:bookmarkStart w:id="4456" w:name="_Toc101684532"/>
      <w:r>
        <w:rPr>
          <w:rFonts w:ascii="Times New Roman" w:hAnsi="Times New Roman" w:hint="eastAsia"/>
        </w:rPr>
        <w:t>反馈文件命名规范</w:t>
      </w:r>
      <w:bookmarkEnd w:id="4453"/>
      <w:bookmarkEnd w:id="4454"/>
      <w:bookmarkEnd w:id="4455"/>
      <w:bookmarkEnd w:id="4456"/>
    </w:p>
    <w:p w14:paraId="66C635B9" w14:textId="77777777" w:rsidR="00881462" w:rsidRDefault="00A412F6">
      <w:pPr>
        <w:spacing w:line="360" w:lineRule="auto"/>
        <w:ind w:firstLineChars="200" w:firstLine="480"/>
        <w:rPr>
          <w:rFonts w:ascii="Times New Roman" w:hAnsi="宋体"/>
          <w:sz w:val="24"/>
          <w:szCs w:val="24"/>
        </w:rPr>
      </w:pPr>
      <w:r w:rsidRPr="00A412F6">
        <w:rPr>
          <w:rFonts w:ascii="Times New Roman" w:hAnsi="宋体" w:hint="eastAsia"/>
          <w:sz w:val="24"/>
          <w:szCs w:val="24"/>
        </w:rPr>
        <w:t>反馈文件采用</w:t>
      </w:r>
      <w:r w:rsidRPr="00A412F6">
        <w:rPr>
          <w:rFonts w:ascii="Times New Roman" w:hAnsi="宋体"/>
          <w:sz w:val="24"/>
          <w:szCs w:val="24"/>
        </w:rPr>
        <w:t>XML</w:t>
      </w:r>
      <w:r w:rsidRPr="00A412F6">
        <w:rPr>
          <w:rFonts w:ascii="Times New Roman" w:hAnsi="宋体" w:hint="eastAsia"/>
          <w:sz w:val="24"/>
          <w:szCs w:val="24"/>
        </w:rPr>
        <w:t>格式，文件名规范如下：</w:t>
      </w:r>
    </w:p>
    <w:p w14:paraId="5D07E594" w14:textId="77777777" w:rsidR="00881462" w:rsidRDefault="00A412F6" w:rsidP="003F5826">
      <w:pPr>
        <w:spacing w:before="156" w:line="360" w:lineRule="auto"/>
        <w:ind w:firstLineChars="200" w:firstLine="480"/>
        <w:rPr>
          <w:rFonts w:ascii="Times New Roman" w:hAnsi="宋体"/>
          <w:sz w:val="24"/>
          <w:szCs w:val="24"/>
        </w:rPr>
      </w:pPr>
      <w:r w:rsidRPr="00A412F6">
        <w:rPr>
          <w:rFonts w:ascii="Times New Roman" w:hAnsi="宋体" w:hint="eastAsia"/>
          <w:sz w:val="24"/>
          <w:szCs w:val="24"/>
        </w:rPr>
        <w:t>应用类型</w:t>
      </w:r>
      <w:r w:rsidRPr="00A412F6">
        <w:rPr>
          <w:rFonts w:ascii="Times New Roman" w:hAnsi="宋体"/>
          <w:sz w:val="24"/>
          <w:szCs w:val="24"/>
        </w:rPr>
        <w:t>+</w:t>
      </w:r>
      <w:r w:rsidRPr="00A412F6">
        <w:rPr>
          <w:rFonts w:ascii="Times New Roman" w:hAnsi="宋体" w:hint="eastAsia"/>
          <w:sz w:val="24"/>
          <w:szCs w:val="24"/>
        </w:rPr>
        <w:t>批号</w:t>
      </w:r>
      <w:r w:rsidRPr="00A412F6">
        <w:rPr>
          <w:rFonts w:ascii="Times New Roman" w:hAnsi="宋体"/>
          <w:sz w:val="24"/>
          <w:szCs w:val="24"/>
        </w:rPr>
        <w:t>+</w:t>
      </w:r>
      <w:r w:rsidRPr="00A412F6">
        <w:rPr>
          <w:rFonts w:ascii="Times New Roman" w:hAnsi="宋体" w:hint="eastAsia"/>
          <w:sz w:val="24"/>
          <w:szCs w:val="24"/>
        </w:rPr>
        <w:t>文件类型</w:t>
      </w:r>
      <w:r w:rsidRPr="00A412F6">
        <w:rPr>
          <w:rFonts w:ascii="Times New Roman" w:hAnsi="宋体"/>
          <w:sz w:val="24"/>
          <w:szCs w:val="24"/>
        </w:rPr>
        <w:t>+</w:t>
      </w:r>
      <w:r w:rsidRPr="00A412F6">
        <w:rPr>
          <w:rFonts w:ascii="Times New Roman" w:hAnsi="宋体" w:hint="eastAsia"/>
          <w:sz w:val="24"/>
          <w:szCs w:val="24"/>
        </w:rPr>
        <w:t>顺序号</w:t>
      </w:r>
    </w:p>
    <w:p w14:paraId="12FF43C6" w14:textId="77777777" w:rsidR="00881462" w:rsidRDefault="00A412F6">
      <w:pPr>
        <w:spacing w:line="360" w:lineRule="auto"/>
        <w:ind w:firstLineChars="200" w:firstLine="480"/>
        <w:rPr>
          <w:rFonts w:ascii="Times New Roman" w:hAnsi="宋体"/>
          <w:sz w:val="24"/>
          <w:szCs w:val="24"/>
        </w:rPr>
      </w:pPr>
      <w:r w:rsidRPr="00A412F6">
        <w:rPr>
          <w:rFonts w:ascii="Times New Roman" w:hAnsi="宋体" w:hint="eastAsia"/>
          <w:sz w:val="24"/>
          <w:szCs w:val="24"/>
        </w:rPr>
        <w:t>具体含义如下：</w:t>
      </w:r>
    </w:p>
    <w:p w14:paraId="65D7B0B5" w14:textId="77777777" w:rsidR="00A052DC" w:rsidRDefault="009F0A60">
      <w:pPr>
        <w:numPr>
          <w:ilvl w:val="0"/>
          <w:numId w:val="23"/>
        </w:numPr>
        <w:spacing w:line="360" w:lineRule="auto"/>
        <w:jc w:val="left"/>
        <w:rPr>
          <w:sz w:val="24"/>
        </w:rPr>
      </w:pPr>
      <w:r>
        <w:rPr>
          <w:rFonts w:hint="eastAsia"/>
          <w:sz w:val="24"/>
        </w:rPr>
        <w:t>应用类型：</w:t>
      </w:r>
    </w:p>
    <w:tbl>
      <w:tblPr>
        <w:tblW w:w="4687"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9"/>
        <w:gridCol w:w="6060"/>
      </w:tblGrid>
      <w:tr w:rsidR="00A052DC" w14:paraId="16F53C39" w14:textId="77777777" w:rsidTr="00423087">
        <w:tc>
          <w:tcPr>
            <w:tcW w:w="1207" w:type="pct"/>
          </w:tcPr>
          <w:p w14:paraId="1EA30F49" w14:textId="77777777" w:rsidR="00A052DC" w:rsidRDefault="009F0A60">
            <w:pPr>
              <w:jc w:val="center"/>
              <w:rPr>
                <w:rFonts w:ascii="Times New Roman" w:eastAsia="黑体" w:hAnsi="Times New Roman"/>
                <w:kern w:val="0"/>
                <w:sz w:val="20"/>
                <w:szCs w:val="20"/>
              </w:rPr>
            </w:pPr>
            <w:r>
              <w:rPr>
                <w:rFonts w:ascii="Times New Roman" w:eastAsia="黑体" w:hAnsi="Times New Roman" w:hint="eastAsia"/>
                <w:kern w:val="0"/>
                <w:sz w:val="20"/>
                <w:szCs w:val="20"/>
              </w:rPr>
              <w:t>应用类型代码</w:t>
            </w:r>
          </w:p>
        </w:tc>
        <w:tc>
          <w:tcPr>
            <w:tcW w:w="3793" w:type="pct"/>
          </w:tcPr>
          <w:p w14:paraId="708E1CD6" w14:textId="77777777" w:rsidR="00A052DC" w:rsidRDefault="009F0A60">
            <w:pPr>
              <w:jc w:val="center"/>
              <w:rPr>
                <w:rFonts w:ascii="Times New Roman" w:eastAsia="黑体" w:hAnsi="Times New Roman"/>
                <w:kern w:val="0"/>
                <w:sz w:val="20"/>
                <w:szCs w:val="20"/>
              </w:rPr>
            </w:pPr>
            <w:r>
              <w:rPr>
                <w:rFonts w:ascii="Times New Roman" w:eastAsia="黑体" w:hAnsi="Times New Roman" w:hint="eastAsia"/>
                <w:kern w:val="0"/>
                <w:sz w:val="20"/>
                <w:szCs w:val="20"/>
              </w:rPr>
              <w:t>应用类型</w:t>
            </w:r>
          </w:p>
        </w:tc>
      </w:tr>
      <w:tr w:rsidR="00A052DC" w14:paraId="7BF74CA9" w14:textId="77777777" w:rsidTr="00423087">
        <w:tc>
          <w:tcPr>
            <w:tcW w:w="1207" w:type="pct"/>
          </w:tcPr>
          <w:p w14:paraId="5914218F" w14:textId="77777777" w:rsidR="00881462" w:rsidRDefault="009F0A60">
            <w:pPr>
              <w:pStyle w:val="B"/>
              <w:jc w:val="center"/>
            </w:pPr>
            <w:r>
              <w:t>STOB</w:t>
            </w:r>
          </w:p>
        </w:tc>
        <w:tc>
          <w:tcPr>
            <w:tcW w:w="3793" w:type="pct"/>
          </w:tcPr>
          <w:p w14:paraId="74585665" w14:textId="77777777" w:rsidR="00A052DC" w:rsidRDefault="009F0A60">
            <w:pPr>
              <w:jc w:val="left"/>
              <w:rPr>
                <w:rFonts w:ascii="Times New Roman" w:eastAsia="黑体" w:hAnsi="Times New Roman"/>
                <w:kern w:val="0"/>
                <w:sz w:val="20"/>
                <w:szCs w:val="20"/>
              </w:rPr>
            </w:pPr>
            <w:r>
              <w:rPr>
                <w:rFonts w:ascii="Times New Roman" w:eastAsia="黑体" w:hAnsi="Times New Roman" w:hint="eastAsia"/>
                <w:kern w:val="0"/>
                <w:sz w:val="20"/>
                <w:szCs w:val="20"/>
              </w:rPr>
              <w:t>外汇局反馈给银行的涉外收支、境内划转数据</w:t>
            </w:r>
          </w:p>
        </w:tc>
      </w:tr>
      <w:tr w:rsidR="00A052DC" w14:paraId="1240BB17" w14:textId="77777777" w:rsidTr="00423087">
        <w:tc>
          <w:tcPr>
            <w:tcW w:w="1207" w:type="pct"/>
          </w:tcPr>
          <w:p w14:paraId="5944E5DB" w14:textId="77777777" w:rsidR="00881462" w:rsidRDefault="009F0A60">
            <w:pPr>
              <w:pStyle w:val="B"/>
              <w:jc w:val="center"/>
            </w:pPr>
            <w:r>
              <w:t>CTOB</w:t>
            </w:r>
          </w:p>
        </w:tc>
        <w:tc>
          <w:tcPr>
            <w:tcW w:w="3793" w:type="pct"/>
          </w:tcPr>
          <w:p w14:paraId="4332E324" w14:textId="77777777" w:rsidR="00A052DC" w:rsidRDefault="009F0A60">
            <w:pPr>
              <w:rPr>
                <w:rFonts w:ascii="Times New Roman" w:hAnsi="Times New Roman"/>
                <w:b/>
                <w:bCs/>
                <w:kern w:val="0"/>
                <w:sz w:val="20"/>
                <w:szCs w:val="20"/>
              </w:rPr>
            </w:pPr>
            <w:r>
              <w:rPr>
                <w:rFonts w:ascii="Times New Roman" w:eastAsia="黑体" w:hAnsi="黑体" w:hint="eastAsia"/>
                <w:kern w:val="0"/>
                <w:sz w:val="20"/>
                <w:szCs w:val="20"/>
              </w:rPr>
              <w:t>外汇局下发暂停持境内银行卡在境外提取现金个人名单</w:t>
            </w:r>
          </w:p>
        </w:tc>
      </w:tr>
      <w:tr w:rsidR="00A052DC" w14:paraId="17D2FF2F" w14:textId="77777777" w:rsidTr="00423087">
        <w:tc>
          <w:tcPr>
            <w:tcW w:w="1207" w:type="pct"/>
          </w:tcPr>
          <w:p w14:paraId="5856211E" w14:textId="77777777" w:rsidR="00881462" w:rsidRDefault="009F0A60">
            <w:pPr>
              <w:pStyle w:val="B"/>
              <w:jc w:val="center"/>
            </w:pPr>
            <w:r>
              <w:t>LTOB</w:t>
            </w:r>
          </w:p>
        </w:tc>
        <w:tc>
          <w:tcPr>
            <w:tcW w:w="3793" w:type="pct"/>
          </w:tcPr>
          <w:p w14:paraId="7B416BD7" w14:textId="77777777" w:rsidR="00A052DC" w:rsidRDefault="009F0A60">
            <w:pPr>
              <w:rPr>
                <w:rFonts w:ascii="Times New Roman" w:eastAsia="黑体" w:hAnsi="黑体"/>
                <w:kern w:val="0"/>
                <w:sz w:val="20"/>
                <w:szCs w:val="20"/>
              </w:rPr>
            </w:pPr>
            <w:r>
              <w:rPr>
                <w:rFonts w:ascii="Times New Roman" w:eastAsia="黑体" w:hAnsi="黑体" w:hint="eastAsia"/>
                <w:kern w:val="0"/>
                <w:sz w:val="20"/>
                <w:szCs w:val="20"/>
              </w:rPr>
              <w:t>涉嫌外汇违规账户查询信息</w:t>
            </w:r>
          </w:p>
        </w:tc>
      </w:tr>
    </w:tbl>
    <w:p w14:paraId="14946D18" w14:textId="77777777" w:rsidR="00A052DC" w:rsidRPr="00423087" w:rsidRDefault="00A412F6">
      <w:pPr>
        <w:numPr>
          <w:ilvl w:val="0"/>
          <w:numId w:val="23"/>
        </w:numPr>
        <w:spacing w:line="360" w:lineRule="auto"/>
        <w:jc w:val="left"/>
        <w:rPr>
          <w:rFonts w:ascii="Times New Roman" w:hAnsi="Times New Roman"/>
          <w:sz w:val="24"/>
        </w:rPr>
      </w:pPr>
      <w:r w:rsidRPr="00A412F6">
        <w:rPr>
          <w:rFonts w:ascii="Times New Roman" w:hint="eastAsia"/>
          <w:sz w:val="24"/>
        </w:rPr>
        <w:t>批号：长度七位。对于涉外收支、境内划转数据，不足七位前面补零，批号顺序增长。对于</w:t>
      </w:r>
      <w:r w:rsidRPr="00A412F6">
        <w:rPr>
          <w:rFonts w:ascii="Times New Roman" w:hAnsi="Times New Roman" w:hint="eastAsia"/>
          <w:color w:val="000000"/>
          <w:kern w:val="0"/>
          <w:sz w:val="24"/>
          <w:szCs w:val="24"/>
        </w:rPr>
        <w:t>暂停持境内银行卡在境外提取现金个人名单和涉嫌外汇违规账户查询信息，七位批号为</w:t>
      </w:r>
      <w:r w:rsidR="009F0A60" w:rsidRPr="00423087">
        <w:rPr>
          <w:rFonts w:ascii="Times New Roman" w:hAnsi="Times New Roman"/>
          <w:kern w:val="0"/>
          <w:sz w:val="24"/>
          <w:szCs w:val="20"/>
        </w:rPr>
        <w:t>6</w:t>
      </w:r>
      <w:r w:rsidR="009F0A60" w:rsidRPr="00423087">
        <w:rPr>
          <w:rFonts w:ascii="Times New Roman" w:hAnsi="Times New Roman" w:hint="eastAsia"/>
          <w:kern w:val="0"/>
          <w:sz w:val="24"/>
          <w:szCs w:val="20"/>
        </w:rPr>
        <w:t>位日期</w:t>
      </w:r>
      <w:r w:rsidR="009F0A60" w:rsidRPr="00423087">
        <w:rPr>
          <w:rFonts w:ascii="Times New Roman" w:hAnsi="Times New Roman"/>
          <w:kern w:val="0"/>
          <w:sz w:val="24"/>
          <w:szCs w:val="20"/>
        </w:rPr>
        <w:t>YYMMDD +1</w:t>
      </w:r>
      <w:r w:rsidR="009F0A60" w:rsidRPr="00423087">
        <w:rPr>
          <w:rFonts w:ascii="Times New Roman" w:hAnsi="Times New Roman" w:hint="eastAsia"/>
          <w:kern w:val="0"/>
          <w:sz w:val="24"/>
          <w:szCs w:val="20"/>
        </w:rPr>
        <w:t>位批次码，</w:t>
      </w:r>
      <w:r w:rsidRPr="00A412F6">
        <w:rPr>
          <w:rFonts w:ascii="Times New Roman" w:hAnsi="Times New Roman" w:hint="eastAsia"/>
          <w:kern w:val="0"/>
          <w:sz w:val="24"/>
          <w:szCs w:val="24"/>
        </w:rPr>
        <w:t>批次码用于区分外汇局数据下发的批次，按天重新计数，从</w:t>
      </w:r>
      <w:r w:rsidR="009F0A60" w:rsidRPr="00423087">
        <w:rPr>
          <w:rFonts w:ascii="Times New Roman" w:hAnsi="Times New Roman"/>
          <w:kern w:val="0"/>
          <w:sz w:val="24"/>
          <w:szCs w:val="24"/>
        </w:rPr>
        <w:t>1</w:t>
      </w:r>
      <w:r w:rsidRPr="00A412F6">
        <w:rPr>
          <w:rFonts w:ascii="Times New Roman" w:hAnsi="Times New Roman" w:hint="eastAsia"/>
          <w:kern w:val="0"/>
          <w:sz w:val="24"/>
          <w:szCs w:val="24"/>
        </w:rPr>
        <w:t>开始。</w:t>
      </w:r>
    </w:p>
    <w:p w14:paraId="1D29DBFB" w14:textId="77777777" w:rsidR="00A052DC" w:rsidRPr="00423087" w:rsidRDefault="00A412F6">
      <w:pPr>
        <w:numPr>
          <w:ilvl w:val="0"/>
          <w:numId w:val="23"/>
        </w:numPr>
        <w:spacing w:line="360" w:lineRule="auto"/>
        <w:jc w:val="left"/>
        <w:rPr>
          <w:rFonts w:ascii="Times New Roman" w:hAnsi="Times New Roman"/>
          <w:sz w:val="24"/>
        </w:rPr>
      </w:pPr>
      <w:r w:rsidRPr="00A412F6">
        <w:rPr>
          <w:rFonts w:ascii="Times New Roman" w:hAnsi="Times New Roman" w:hint="eastAsia"/>
          <w:sz w:val="24"/>
        </w:rPr>
        <w:t>顺序号：三位。对于涉外收支、境内划转数据，顺序号从</w:t>
      </w:r>
      <w:r w:rsidRPr="00A412F6">
        <w:rPr>
          <w:rFonts w:ascii="Times New Roman" w:hAnsi="Times New Roman"/>
          <w:sz w:val="24"/>
        </w:rPr>
        <w:t>001-999</w:t>
      </w:r>
      <w:r w:rsidRPr="00A412F6">
        <w:rPr>
          <w:rFonts w:ascii="Times New Roman" w:hAnsi="Times New Roman" w:hint="eastAsia"/>
          <w:sz w:val="24"/>
        </w:rPr>
        <w:t>；对于</w:t>
      </w:r>
      <w:r w:rsidRPr="00A412F6">
        <w:rPr>
          <w:rFonts w:ascii="Times New Roman" w:hAnsi="Times New Roman" w:hint="eastAsia"/>
          <w:color w:val="000000"/>
          <w:kern w:val="0"/>
          <w:sz w:val="24"/>
          <w:szCs w:val="24"/>
        </w:rPr>
        <w:t>暂停持境内银行卡在境外提取现金个人名单，顺序号从</w:t>
      </w:r>
      <w:r w:rsidRPr="00A412F6">
        <w:rPr>
          <w:rFonts w:ascii="Times New Roman" w:hAnsi="Times New Roman"/>
          <w:color w:val="000000"/>
          <w:kern w:val="0"/>
          <w:sz w:val="24"/>
          <w:szCs w:val="24"/>
        </w:rPr>
        <w:t>000-999</w:t>
      </w:r>
      <w:r w:rsidRPr="00A412F6">
        <w:rPr>
          <w:rFonts w:ascii="Times New Roman" w:hAnsi="Times New Roman" w:hint="eastAsia"/>
          <w:color w:val="000000"/>
          <w:kern w:val="0"/>
          <w:sz w:val="24"/>
          <w:szCs w:val="24"/>
        </w:rPr>
        <w:t>；对于涉嫌外汇违规账户查询信息，顺序号从</w:t>
      </w:r>
      <w:r w:rsidRPr="00A412F6">
        <w:rPr>
          <w:rFonts w:ascii="Times New Roman" w:hAnsi="Times New Roman"/>
          <w:color w:val="000000"/>
          <w:kern w:val="0"/>
          <w:sz w:val="24"/>
          <w:szCs w:val="24"/>
        </w:rPr>
        <w:t>000-Z99,</w:t>
      </w:r>
      <w:r w:rsidRPr="00A412F6">
        <w:rPr>
          <w:rFonts w:ascii="Times New Roman" w:hAnsi="Times New Roman" w:hint="eastAsia"/>
          <w:color w:val="000000"/>
          <w:kern w:val="0"/>
          <w:sz w:val="24"/>
          <w:szCs w:val="24"/>
        </w:rPr>
        <w:t>第一位为数字（</w:t>
      </w:r>
      <w:r w:rsidRPr="00A412F6">
        <w:rPr>
          <w:rFonts w:ascii="Times New Roman" w:hAnsi="Times New Roman"/>
          <w:color w:val="000000"/>
          <w:kern w:val="0"/>
          <w:sz w:val="24"/>
          <w:szCs w:val="24"/>
        </w:rPr>
        <w:t>0-9</w:t>
      </w:r>
      <w:r w:rsidRPr="00A412F6">
        <w:rPr>
          <w:rFonts w:ascii="Times New Roman" w:hAnsi="Times New Roman" w:hint="eastAsia"/>
          <w:color w:val="000000"/>
          <w:kern w:val="0"/>
          <w:sz w:val="24"/>
          <w:szCs w:val="24"/>
        </w:rPr>
        <w:t>）或大写半角字母（</w:t>
      </w:r>
      <w:r w:rsidRPr="00A412F6">
        <w:rPr>
          <w:rFonts w:ascii="Times New Roman" w:hAnsi="Times New Roman"/>
          <w:color w:val="000000"/>
          <w:kern w:val="0"/>
          <w:sz w:val="24"/>
          <w:szCs w:val="24"/>
        </w:rPr>
        <w:t>A-Z</w:t>
      </w:r>
      <w:r w:rsidRPr="00A412F6">
        <w:rPr>
          <w:rFonts w:ascii="Times New Roman" w:hAnsi="Times New Roman" w:hint="eastAsia"/>
          <w:color w:val="000000"/>
          <w:kern w:val="0"/>
          <w:sz w:val="24"/>
          <w:szCs w:val="24"/>
        </w:rPr>
        <w:t>），后两位为数字（</w:t>
      </w:r>
      <w:r w:rsidRPr="00A412F6">
        <w:rPr>
          <w:rFonts w:ascii="Times New Roman" w:hAnsi="Times New Roman"/>
          <w:color w:val="000000"/>
          <w:kern w:val="0"/>
          <w:sz w:val="24"/>
          <w:szCs w:val="24"/>
        </w:rPr>
        <w:t>0-9</w:t>
      </w:r>
      <w:r w:rsidRPr="00A412F6">
        <w:rPr>
          <w:rFonts w:ascii="Times New Roman" w:hAnsi="Times New Roman" w:hint="eastAsia"/>
          <w:color w:val="000000"/>
          <w:kern w:val="0"/>
          <w:sz w:val="24"/>
          <w:szCs w:val="24"/>
        </w:rPr>
        <w:t>）。顺序号</w:t>
      </w:r>
      <w:r w:rsidRPr="00A412F6">
        <w:rPr>
          <w:rFonts w:ascii="Times New Roman" w:hAnsi="Times New Roman" w:hint="eastAsia"/>
          <w:sz w:val="24"/>
        </w:rPr>
        <w:t>用于标记同批同文件类型的多个数据文件。同批同文件类型记录数超过</w:t>
      </w:r>
      <w:r w:rsidRPr="00A412F6">
        <w:rPr>
          <w:rFonts w:ascii="Times New Roman" w:hAnsi="Times New Roman"/>
          <w:sz w:val="24"/>
        </w:rPr>
        <w:t>5000</w:t>
      </w:r>
      <w:r w:rsidRPr="00A412F6">
        <w:rPr>
          <w:rFonts w:ascii="Times New Roman" w:hAnsi="Times New Roman" w:hint="eastAsia"/>
          <w:sz w:val="24"/>
        </w:rPr>
        <w:t>条，将对数据进行拆分，每个文件记录数不超过</w:t>
      </w:r>
      <w:r w:rsidRPr="00A412F6">
        <w:rPr>
          <w:rFonts w:ascii="Times New Roman" w:hAnsi="Times New Roman"/>
          <w:sz w:val="24"/>
        </w:rPr>
        <w:t>5000</w:t>
      </w:r>
      <w:r w:rsidRPr="00A412F6">
        <w:rPr>
          <w:rFonts w:ascii="Times New Roman" w:hAnsi="Times New Roman" w:hint="eastAsia"/>
          <w:sz w:val="24"/>
        </w:rPr>
        <w:t>。</w:t>
      </w:r>
    </w:p>
    <w:p w14:paraId="69E8F0BE" w14:textId="77777777" w:rsidR="00A052DC" w:rsidRDefault="00A412F6">
      <w:pPr>
        <w:numPr>
          <w:ilvl w:val="0"/>
          <w:numId w:val="23"/>
        </w:numPr>
        <w:spacing w:line="360" w:lineRule="auto"/>
        <w:jc w:val="left"/>
        <w:rPr>
          <w:sz w:val="24"/>
        </w:rPr>
      </w:pPr>
      <w:r w:rsidRPr="00A412F6">
        <w:rPr>
          <w:rFonts w:ascii="Times New Roman" w:hAnsi="Times New Roman" w:hint="eastAsia"/>
          <w:sz w:val="24"/>
        </w:rPr>
        <w:t>文件扩展名：对于涉外收支、境内划转数据，反馈文件采用</w:t>
      </w:r>
      <w:r w:rsidRPr="00A412F6">
        <w:rPr>
          <w:rFonts w:ascii="Times New Roman" w:hAnsi="Times New Roman"/>
          <w:sz w:val="24"/>
        </w:rPr>
        <w:t>XML</w:t>
      </w:r>
      <w:r w:rsidRPr="00A412F6">
        <w:rPr>
          <w:rFonts w:ascii="Times New Roman" w:hAnsi="Times New Roman" w:hint="eastAsia"/>
          <w:sz w:val="24"/>
        </w:rPr>
        <w:t>格式。对于</w:t>
      </w:r>
      <w:r w:rsidRPr="00A412F6">
        <w:rPr>
          <w:rFonts w:ascii="Times New Roman" w:hAnsi="Times New Roman" w:hint="eastAsia"/>
          <w:color w:val="000000"/>
          <w:kern w:val="0"/>
          <w:sz w:val="24"/>
          <w:szCs w:val="24"/>
        </w:rPr>
        <w:t>暂停持境内银行卡在境外提取现金个人名单，</w:t>
      </w:r>
      <w:r w:rsidRPr="00A412F6">
        <w:rPr>
          <w:rFonts w:ascii="Times New Roman" w:hAnsi="Times New Roman" w:hint="eastAsia"/>
          <w:sz w:val="24"/>
        </w:rPr>
        <w:t>反馈文件的</w:t>
      </w:r>
      <w:r w:rsidR="009F0A60" w:rsidRPr="00423087">
        <w:rPr>
          <w:rFonts w:ascii="Times New Roman" w:hAnsi="Times New Roman"/>
          <w:kern w:val="0"/>
          <w:sz w:val="24"/>
          <w:szCs w:val="20"/>
        </w:rPr>
        <w:t>控制文件扩展名为</w:t>
      </w:r>
      <w:r w:rsidR="009F0A60" w:rsidRPr="00423087">
        <w:rPr>
          <w:rFonts w:ascii="Times New Roman" w:hAnsi="Times New Roman"/>
          <w:kern w:val="0"/>
          <w:sz w:val="24"/>
          <w:szCs w:val="20"/>
        </w:rPr>
        <w:t>XML</w:t>
      </w:r>
      <w:r w:rsidR="009F0A60" w:rsidRPr="00423087">
        <w:rPr>
          <w:rFonts w:ascii="Times New Roman" w:hAnsi="Times New Roman"/>
          <w:kern w:val="0"/>
          <w:sz w:val="24"/>
          <w:szCs w:val="20"/>
        </w:rPr>
        <w:t>，</w:t>
      </w:r>
      <w:r w:rsidRPr="00A412F6">
        <w:rPr>
          <w:rFonts w:ascii="Times New Roman" w:hAnsi="Times New Roman" w:hint="eastAsia"/>
          <w:sz w:val="24"/>
        </w:rPr>
        <w:t>反馈文件的</w:t>
      </w:r>
      <w:r w:rsidR="009F0A60" w:rsidRPr="00423087">
        <w:rPr>
          <w:rFonts w:ascii="Times New Roman" w:hAnsi="Times New Roman"/>
          <w:kern w:val="0"/>
          <w:sz w:val="24"/>
          <w:szCs w:val="20"/>
        </w:rPr>
        <w:t>数据文件扩展名为</w:t>
      </w:r>
      <w:r w:rsidR="009F0A60" w:rsidRPr="00423087">
        <w:rPr>
          <w:rFonts w:ascii="Times New Roman" w:hAnsi="Times New Roman"/>
          <w:kern w:val="0"/>
          <w:sz w:val="24"/>
          <w:szCs w:val="20"/>
        </w:rPr>
        <w:t>CSV</w:t>
      </w:r>
      <w:r w:rsidR="009F0A60" w:rsidRPr="00423087">
        <w:rPr>
          <w:rFonts w:ascii="Times New Roman" w:hAnsi="Times New Roman"/>
          <w:kern w:val="0"/>
          <w:sz w:val="24"/>
          <w:szCs w:val="20"/>
        </w:rPr>
        <w:t>。对应涉嫌外汇违规账户申请信息，反馈文件采用</w:t>
      </w:r>
      <w:r w:rsidR="009F0A60" w:rsidRPr="00423087">
        <w:rPr>
          <w:rFonts w:ascii="Times New Roman" w:hAnsi="Times New Roman"/>
          <w:kern w:val="0"/>
          <w:sz w:val="24"/>
          <w:szCs w:val="20"/>
        </w:rPr>
        <w:t>XML</w:t>
      </w:r>
      <w:r w:rsidR="009F0A60" w:rsidRPr="00423087">
        <w:rPr>
          <w:rFonts w:ascii="Times New Roman" w:hAnsi="Times New Roman"/>
          <w:kern w:val="0"/>
          <w:sz w:val="24"/>
          <w:szCs w:val="20"/>
        </w:rPr>
        <w:t>格式。</w:t>
      </w:r>
    </w:p>
    <w:p w14:paraId="28688A95" w14:textId="77777777" w:rsidR="00A052DC" w:rsidRDefault="009F0A60">
      <w:pPr>
        <w:numPr>
          <w:ilvl w:val="0"/>
          <w:numId w:val="23"/>
        </w:numPr>
        <w:spacing w:line="360" w:lineRule="auto"/>
        <w:jc w:val="left"/>
        <w:rPr>
          <w:sz w:val="24"/>
        </w:rPr>
      </w:pPr>
      <w:r>
        <w:rPr>
          <w:rFonts w:hint="eastAsia"/>
          <w:sz w:val="24"/>
        </w:rPr>
        <w:t>文件类型：</w:t>
      </w:r>
    </w:p>
    <w:p w14:paraId="4D993CA3" w14:textId="77777777" w:rsidR="00A052DC" w:rsidRDefault="009F0A60">
      <w:pPr>
        <w:numPr>
          <w:ilvl w:val="0"/>
          <w:numId w:val="24"/>
        </w:numPr>
        <w:spacing w:line="360" w:lineRule="auto"/>
        <w:jc w:val="left"/>
        <w:rPr>
          <w:sz w:val="24"/>
        </w:rPr>
      </w:pPr>
      <w:r>
        <w:rPr>
          <w:rFonts w:hint="eastAsia"/>
          <w:sz w:val="24"/>
        </w:rPr>
        <w:t>涉外收支、境内划转数据文件类型如下：</w:t>
      </w:r>
    </w:p>
    <w:tbl>
      <w:tblPr>
        <w:tblW w:w="4741"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110"/>
        <w:gridCol w:w="983"/>
        <w:gridCol w:w="1238"/>
        <w:gridCol w:w="1041"/>
      </w:tblGrid>
      <w:tr w:rsidR="00A052DC" w14:paraId="2685AFBD" w14:textId="77777777">
        <w:tc>
          <w:tcPr>
            <w:tcW w:w="439" w:type="pct"/>
            <w:vMerge w:val="restart"/>
            <w:shd w:val="clear" w:color="auto" w:fill="D9D9D9"/>
            <w:vAlign w:val="center"/>
          </w:tcPr>
          <w:p w14:paraId="0AB81023" w14:textId="77777777" w:rsidR="00A052DC" w:rsidRDefault="009F0A60">
            <w:pPr>
              <w:rPr>
                <w:rFonts w:ascii="黑体" w:eastAsia="黑体"/>
                <w:sz w:val="20"/>
                <w:szCs w:val="20"/>
              </w:rPr>
            </w:pPr>
            <w:r>
              <w:rPr>
                <w:rFonts w:ascii="黑体" w:eastAsia="黑体" w:hint="eastAsia"/>
                <w:sz w:val="20"/>
                <w:szCs w:val="20"/>
              </w:rPr>
              <w:t>文件</w:t>
            </w:r>
          </w:p>
          <w:p w14:paraId="524FB6CD" w14:textId="77777777" w:rsidR="00A052DC" w:rsidRDefault="009F0A60">
            <w:pPr>
              <w:rPr>
                <w:rFonts w:ascii="黑体" w:eastAsia="黑体"/>
                <w:sz w:val="20"/>
                <w:szCs w:val="20"/>
              </w:rPr>
            </w:pPr>
            <w:r>
              <w:rPr>
                <w:rFonts w:ascii="黑体" w:eastAsia="黑体" w:hint="eastAsia"/>
                <w:sz w:val="20"/>
                <w:szCs w:val="20"/>
              </w:rPr>
              <w:t>类型</w:t>
            </w:r>
          </w:p>
        </w:tc>
        <w:tc>
          <w:tcPr>
            <w:tcW w:w="2543" w:type="pct"/>
            <w:vMerge w:val="restart"/>
            <w:shd w:val="clear" w:color="auto" w:fill="D9D9D9"/>
            <w:vAlign w:val="center"/>
          </w:tcPr>
          <w:p w14:paraId="5724B721" w14:textId="77777777" w:rsidR="00A052DC" w:rsidRDefault="009F0A60">
            <w:pPr>
              <w:rPr>
                <w:rFonts w:ascii="黑体" w:eastAsia="黑体"/>
                <w:sz w:val="20"/>
                <w:szCs w:val="20"/>
              </w:rPr>
            </w:pPr>
            <w:r>
              <w:rPr>
                <w:rFonts w:ascii="黑体" w:eastAsia="黑体" w:hint="eastAsia"/>
                <w:sz w:val="20"/>
                <w:szCs w:val="20"/>
              </w:rPr>
              <w:t>内容说明</w:t>
            </w:r>
          </w:p>
        </w:tc>
        <w:tc>
          <w:tcPr>
            <w:tcW w:w="2018" w:type="pct"/>
            <w:gridSpan w:val="3"/>
            <w:shd w:val="clear" w:color="auto" w:fill="D9D9D9"/>
          </w:tcPr>
          <w:p w14:paraId="369252F7" w14:textId="77777777" w:rsidR="00A052DC" w:rsidRDefault="009F0A60">
            <w:pPr>
              <w:rPr>
                <w:rFonts w:ascii="黑体" w:eastAsia="黑体"/>
                <w:sz w:val="20"/>
                <w:szCs w:val="20"/>
              </w:rPr>
            </w:pPr>
            <w:r>
              <w:rPr>
                <w:rFonts w:ascii="黑体" w:eastAsia="黑体" w:hint="eastAsia"/>
                <w:sz w:val="20"/>
                <w:szCs w:val="20"/>
              </w:rPr>
              <w:t>针对银行申报信息/管理信息接口方式不同，反馈内容不同。打“√”表示反馈该内容。</w:t>
            </w:r>
          </w:p>
        </w:tc>
      </w:tr>
      <w:tr w:rsidR="00A052DC" w14:paraId="5C4F76BE" w14:textId="77777777">
        <w:tc>
          <w:tcPr>
            <w:tcW w:w="439" w:type="pct"/>
            <w:vMerge/>
            <w:shd w:val="clear" w:color="auto" w:fill="D9D9D9"/>
          </w:tcPr>
          <w:p w14:paraId="71B3AF9D" w14:textId="77777777" w:rsidR="00A052DC" w:rsidRDefault="00A052DC">
            <w:pPr>
              <w:rPr>
                <w:rFonts w:ascii="黑体" w:eastAsia="黑体"/>
                <w:sz w:val="20"/>
                <w:szCs w:val="20"/>
              </w:rPr>
            </w:pPr>
          </w:p>
        </w:tc>
        <w:tc>
          <w:tcPr>
            <w:tcW w:w="2543" w:type="pct"/>
            <w:vMerge/>
            <w:shd w:val="clear" w:color="auto" w:fill="D9D9D9"/>
          </w:tcPr>
          <w:p w14:paraId="1564FE98" w14:textId="77777777" w:rsidR="00A052DC" w:rsidRDefault="00A052DC">
            <w:pPr>
              <w:rPr>
                <w:rFonts w:ascii="黑体" w:eastAsia="黑体"/>
                <w:sz w:val="20"/>
                <w:szCs w:val="20"/>
              </w:rPr>
            </w:pPr>
          </w:p>
        </w:tc>
        <w:tc>
          <w:tcPr>
            <w:tcW w:w="608" w:type="pct"/>
            <w:shd w:val="clear" w:color="auto" w:fill="D9D9D9"/>
          </w:tcPr>
          <w:p w14:paraId="5E87B7B4" w14:textId="77777777" w:rsidR="00A052DC" w:rsidRDefault="009F0A60">
            <w:pPr>
              <w:rPr>
                <w:rFonts w:ascii="黑体" w:eastAsia="黑体"/>
                <w:sz w:val="20"/>
                <w:szCs w:val="20"/>
              </w:rPr>
            </w:pPr>
            <w:r>
              <w:rPr>
                <w:rFonts w:ascii="黑体" w:eastAsia="黑体" w:hint="eastAsia"/>
                <w:sz w:val="20"/>
                <w:szCs w:val="20"/>
              </w:rPr>
              <w:t>全手工</w:t>
            </w:r>
          </w:p>
        </w:tc>
        <w:tc>
          <w:tcPr>
            <w:tcW w:w="766" w:type="pct"/>
            <w:shd w:val="clear" w:color="auto" w:fill="D9D9D9"/>
          </w:tcPr>
          <w:p w14:paraId="179F4DDC" w14:textId="77777777" w:rsidR="00A052DC" w:rsidRDefault="009F0A60">
            <w:pPr>
              <w:rPr>
                <w:rFonts w:ascii="黑体" w:eastAsia="黑体"/>
                <w:sz w:val="20"/>
                <w:szCs w:val="20"/>
              </w:rPr>
            </w:pPr>
            <w:r>
              <w:rPr>
                <w:rFonts w:ascii="黑体" w:eastAsia="黑体" w:hint="eastAsia"/>
                <w:sz w:val="20"/>
                <w:szCs w:val="20"/>
              </w:rPr>
              <w:t>部分接口部分手工</w:t>
            </w:r>
          </w:p>
        </w:tc>
        <w:tc>
          <w:tcPr>
            <w:tcW w:w="644" w:type="pct"/>
            <w:shd w:val="clear" w:color="auto" w:fill="D9D9D9"/>
          </w:tcPr>
          <w:p w14:paraId="557A9FC0" w14:textId="77777777" w:rsidR="00A052DC" w:rsidRDefault="009F0A60">
            <w:pPr>
              <w:rPr>
                <w:rFonts w:ascii="黑体" w:eastAsia="黑体"/>
                <w:sz w:val="20"/>
                <w:szCs w:val="20"/>
              </w:rPr>
            </w:pPr>
            <w:r>
              <w:rPr>
                <w:rFonts w:ascii="黑体" w:eastAsia="黑体" w:hint="eastAsia"/>
                <w:sz w:val="20"/>
                <w:szCs w:val="20"/>
              </w:rPr>
              <w:t>全接口</w:t>
            </w:r>
          </w:p>
        </w:tc>
      </w:tr>
      <w:tr w:rsidR="00A052DC" w14:paraId="178DA2B1" w14:textId="77777777">
        <w:tc>
          <w:tcPr>
            <w:tcW w:w="439" w:type="pct"/>
            <w:tcBorders>
              <w:bottom w:val="single" w:sz="4" w:space="0" w:color="auto"/>
            </w:tcBorders>
          </w:tcPr>
          <w:p w14:paraId="6F8B49BC" w14:textId="77777777" w:rsidR="00A052DC" w:rsidRDefault="009F0A60">
            <w:pPr>
              <w:rPr>
                <w:rFonts w:ascii="黑体" w:eastAsia="黑体"/>
                <w:sz w:val="20"/>
                <w:szCs w:val="20"/>
              </w:rPr>
            </w:pPr>
            <w:r>
              <w:rPr>
                <w:rFonts w:ascii="黑体" w:eastAsia="黑体" w:hint="eastAsia"/>
                <w:sz w:val="20"/>
                <w:szCs w:val="20"/>
              </w:rPr>
              <w:t>TT</w:t>
            </w:r>
          </w:p>
        </w:tc>
        <w:tc>
          <w:tcPr>
            <w:tcW w:w="2543" w:type="pct"/>
            <w:tcBorders>
              <w:bottom w:val="single" w:sz="4" w:space="0" w:color="auto"/>
            </w:tcBorders>
          </w:tcPr>
          <w:p w14:paraId="4D98B505" w14:textId="77777777" w:rsidR="00A052DC" w:rsidRDefault="009F0A60">
            <w:pPr>
              <w:rPr>
                <w:rFonts w:ascii="黑体" w:eastAsia="黑体"/>
                <w:sz w:val="20"/>
                <w:szCs w:val="20"/>
              </w:rPr>
            </w:pPr>
            <w:r>
              <w:rPr>
                <w:rFonts w:ascii="黑体" w:eastAsia="黑体" w:hint="eastAsia"/>
                <w:sz w:val="20"/>
                <w:szCs w:val="20"/>
              </w:rPr>
              <w:t>数据控制文件</w:t>
            </w:r>
          </w:p>
        </w:tc>
        <w:tc>
          <w:tcPr>
            <w:tcW w:w="608" w:type="pct"/>
            <w:tcBorders>
              <w:bottom w:val="single" w:sz="4" w:space="0" w:color="auto"/>
            </w:tcBorders>
          </w:tcPr>
          <w:p w14:paraId="7665673E" w14:textId="77777777" w:rsidR="00A052DC" w:rsidRDefault="009F0A60">
            <w:pPr>
              <w:rPr>
                <w:rFonts w:ascii="黑体" w:eastAsia="黑体"/>
                <w:sz w:val="20"/>
                <w:szCs w:val="20"/>
              </w:rPr>
            </w:pPr>
            <w:r>
              <w:rPr>
                <w:rFonts w:ascii="黑体" w:eastAsia="黑体" w:hint="eastAsia"/>
                <w:sz w:val="20"/>
                <w:szCs w:val="20"/>
              </w:rPr>
              <w:t>√</w:t>
            </w:r>
          </w:p>
        </w:tc>
        <w:tc>
          <w:tcPr>
            <w:tcW w:w="766" w:type="pct"/>
            <w:tcBorders>
              <w:bottom w:val="single" w:sz="4" w:space="0" w:color="auto"/>
            </w:tcBorders>
          </w:tcPr>
          <w:p w14:paraId="2B369AFA" w14:textId="77777777" w:rsidR="00A052DC" w:rsidRDefault="009F0A60">
            <w:pPr>
              <w:rPr>
                <w:rFonts w:ascii="黑体" w:eastAsia="黑体"/>
                <w:sz w:val="20"/>
                <w:szCs w:val="20"/>
              </w:rPr>
            </w:pPr>
            <w:r>
              <w:rPr>
                <w:rFonts w:ascii="黑体" w:eastAsia="黑体" w:hint="eastAsia"/>
                <w:sz w:val="20"/>
                <w:szCs w:val="20"/>
              </w:rPr>
              <w:t>√</w:t>
            </w:r>
          </w:p>
        </w:tc>
        <w:tc>
          <w:tcPr>
            <w:tcW w:w="644" w:type="pct"/>
            <w:tcBorders>
              <w:bottom w:val="single" w:sz="4" w:space="0" w:color="auto"/>
            </w:tcBorders>
          </w:tcPr>
          <w:p w14:paraId="68E4408F" w14:textId="77777777" w:rsidR="00A052DC" w:rsidRDefault="009F0A60">
            <w:pPr>
              <w:rPr>
                <w:rFonts w:ascii="黑体" w:eastAsia="黑体"/>
                <w:sz w:val="20"/>
                <w:szCs w:val="20"/>
              </w:rPr>
            </w:pPr>
            <w:r>
              <w:rPr>
                <w:rFonts w:ascii="黑体" w:eastAsia="黑体" w:hint="eastAsia"/>
                <w:sz w:val="20"/>
                <w:szCs w:val="20"/>
              </w:rPr>
              <w:t>√</w:t>
            </w:r>
          </w:p>
        </w:tc>
      </w:tr>
      <w:tr w:rsidR="00A052DC" w14:paraId="1504E26D" w14:textId="77777777">
        <w:tc>
          <w:tcPr>
            <w:tcW w:w="439" w:type="pct"/>
            <w:shd w:val="clear" w:color="auto" w:fill="FFFFFF" w:themeFill="background1"/>
          </w:tcPr>
          <w:p w14:paraId="2FA713A1" w14:textId="77777777" w:rsidR="00A052DC" w:rsidRDefault="009F0A60">
            <w:pPr>
              <w:rPr>
                <w:rFonts w:ascii="黑体" w:eastAsia="黑体"/>
                <w:sz w:val="20"/>
                <w:szCs w:val="20"/>
              </w:rPr>
            </w:pPr>
            <w:r>
              <w:rPr>
                <w:rFonts w:ascii="黑体" w:eastAsia="黑体" w:hint="eastAsia"/>
                <w:sz w:val="20"/>
                <w:szCs w:val="20"/>
              </w:rPr>
              <w:t>RU</w:t>
            </w:r>
          </w:p>
        </w:tc>
        <w:tc>
          <w:tcPr>
            <w:tcW w:w="2543" w:type="pct"/>
            <w:shd w:val="clear" w:color="auto" w:fill="FFFFFF" w:themeFill="background1"/>
          </w:tcPr>
          <w:p w14:paraId="37A8CB39" w14:textId="77777777" w:rsidR="00A052DC" w:rsidRDefault="009F0A60">
            <w:pPr>
              <w:rPr>
                <w:rFonts w:ascii="黑体" w:eastAsia="黑体"/>
                <w:sz w:val="20"/>
                <w:szCs w:val="20"/>
              </w:rPr>
            </w:pPr>
            <w:r>
              <w:rPr>
                <w:rFonts w:ascii="黑体" w:eastAsia="黑体" w:hint="eastAsia"/>
                <w:sz w:val="20"/>
                <w:szCs w:val="20"/>
              </w:rPr>
              <w:t>企业网上申报开通/关闭信息表</w:t>
            </w:r>
          </w:p>
        </w:tc>
        <w:tc>
          <w:tcPr>
            <w:tcW w:w="608" w:type="pct"/>
            <w:shd w:val="clear" w:color="auto" w:fill="FFFFFF" w:themeFill="background1"/>
          </w:tcPr>
          <w:p w14:paraId="61892B56" w14:textId="77777777" w:rsidR="00A052DC" w:rsidRDefault="00A052DC">
            <w:pPr>
              <w:rPr>
                <w:rFonts w:ascii="黑体" w:eastAsia="黑体"/>
                <w:sz w:val="20"/>
                <w:szCs w:val="20"/>
              </w:rPr>
            </w:pPr>
          </w:p>
        </w:tc>
        <w:tc>
          <w:tcPr>
            <w:tcW w:w="766" w:type="pct"/>
            <w:shd w:val="clear" w:color="auto" w:fill="FFFFFF" w:themeFill="background1"/>
          </w:tcPr>
          <w:p w14:paraId="66507614" w14:textId="77777777" w:rsidR="00A052DC" w:rsidRDefault="00A052DC">
            <w:pPr>
              <w:rPr>
                <w:rFonts w:ascii="黑体" w:eastAsia="黑体"/>
                <w:sz w:val="20"/>
                <w:szCs w:val="20"/>
              </w:rPr>
            </w:pPr>
          </w:p>
        </w:tc>
        <w:tc>
          <w:tcPr>
            <w:tcW w:w="644" w:type="pct"/>
            <w:shd w:val="clear" w:color="auto" w:fill="FFFFFF" w:themeFill="background1"/>
          </w:tcPr>
          <w:p w14:paraId="37CED66D" w14:textId="77777777" w:rsidR="00A052DC" w:rsidRDefault="009F0A60">
            <w:pPr>
              <w:rPr>
                <w:rFonts w:ascii="黑体" w:eastAsia="黑体"/>
                <w:sz w:val="20"/>
                <w:szCs w:val="20"/>
              </w:rPr>
            </w:pPr>
            <w:r>
              <w:rPr>
                <w:rFonts w:ascii="黑体" w:eastAsia="黑体" w:hint="eastAsia"/>
                <w:sz w:val="20"/>
                <w:szCs w:val="20"/>
              </w:rPr>
              <w:t>√</w:t>
            </w:r>
          </w:p>
        </w:tc>
      </w:tr>
      <w:tr w:rsidR="00A052DC" w14:paraId="1D5DEBC7" w14:textId="77777777">
        <w:tc>
          <w:tcPr>
            <w:tcW w:w="439" w:type="pct"/>
            <w:shd w:val="clear" w:color="auto" w:fill="FFFFFF" w:themeFill="background1"/>
          </w:tcPr>
          <w:p w14:paraId="776F265E" w14:textId="77777777" w:rsidR="00A052DC" w:rsidRDefault="009F0A60">
            <w:pPr>
              <w:rPr>
                <w:rFonts w:ascii="黑体" w:eastAsia="黑体"/>
                <w:sz w:val="20"/>
                <w:szCs w:val="20"/>
              </w:rPr>
            </w:pPr>
            <w:r>
              <w:rPr>
                <w:rFonts w:ascii="黑体" w:eastAsia="黑体" w:hint="eastAsia"/>
                <w:sz w:val="20"/>
                <w:szCs w:val="20"/>
              </w:rPr>
              <w:t>WG</w:t>
            </w:r>
          </w:p>
        </w:tc>
        <w:tc>
          <w:tcPr>
            <w:tcW w:w="2543" w:type="pct"/>
            <w:shd w:val="clear" w:color="auto" w:fill="FFFFFF" w:themeFill="background1"/>
          </w:tcPr>
          <w:p w14:paraId="7E1FDBE1" w14:textId="77777777" w:rsidR="00A052DC" w:rsidRDefault="009F0A60">
            <w:pPr>
              <w:rPr>
                <w:rFonts w:ascii="黑体" w:eastAsia="黑体"/>
                <w:sz w:val="20"/>
                <w:szCs w:val="20"/>
              </w:rPr>
            </w:pPr>
            <w:r>
              <w:rPr>
                <w:rFonts w:ascii="黑体" w:eastAsia="黑体" w:hint="eastAsia"/>
                <w:sz w:val="20"/>
                <w:szCs w:val="20"/>
              </w:rPr>
              <w:t>涉外收入申报单(基础信息+申报信息)（申报来源为网上申报数据，且银行已审核）</w:t>
            </w:r>
          </w:p>
        </w:tc>
        <w:tc>
          <w:tcPr>
            <w:tcW w:w="608" w:type="pct"/>
            <w:shd w:val="clear" w:color="auto" w:fill="FFFFFF" w:themeFill="background1"/>
          </w:tcPr>
          <w:p w14:paraId="27435122" w14:textId="77777777" w:rsidR="00A052DC" w:rsidRDefault="00A052DC">
            <w:pPr>
              <w:rPr>
                <w:rFonts w:ascii="黑体" w:eastAsia="黑体"/>
                <w:sz w:val="20"/>
                <w:szCs w:val="20"/>
              </w:rPr>
            </w:pPr>
          </w:p>
        </w:tc>
        <w:tc>
          <w:tcPr>
            <w:tcW w:w="766" w:type="pct"/>
            <w:shd w:val="clear" w:color="auto" w:fill="FFFFFF" w:themeFill="background1"/>
          </w:tcPr>
          <w:p w14:paraId="5C8C4BB5" w14:textId="77777777" w:rsidR="00A052DC" w:rsidRDefault="00A052DC">
            <w:pPr>
              <w:rPr>
                <w:rFonts w:ascii="黑体" w:eastAsia="黑体"/>
                <w:sz w:val="20"/>
                <w:szCs w:val="20"/>
              </w:rPr>
            </w:pPr>
          </w:p>
        </w:tc>
        <w:tc>
          <w:tcPr>
            <w:tcW w:w="644" w:type="pct"/>
            <w:shd w:val="clear" w:color="auto" w:fill="FFFFFF" w:themeFill="background1"/>
          </w:tcPr>
          <w:p w14:paraId="0D414E1A" w14:textId="77777777" w:rsidR="00A052DC" w:rsidRDefault="009F0A60">
            <w:pPr>
              <w:rPr>
                <w:rFonts w:ascii="黑体" w:eastAsia="黑体"/>
                <w:sz w:val="20"/>
                <w:szCs w:val="20"/>
              </w:rPr>
            </w:pPr>
            <w:r>
              <w:rPr>
                <w:rFonts w:ascii="黑体" w:eastAsia="黑体" w:hint="eastAsia"/>
                <w:sz w:val="20"/>
                <w:szCs w:val="20"/>
              </w:rPr>
              <w:t>√</w:t>
            </w:r>
          </w:p>
        </w:tc>
      </w:tr>
      <w:tr w:rsidR="00A052DC" w14:paraId="5B5396CE" w14:textId="77777777">
        <w:tc>
          <w:tcPr>
            <w:tcW w:w="439" w:type="pct"/>
            <w:shd w:val="clear" w:color="auto" w:fill="FFFFFF" w:themeFill="background1"/>
          </w:tcPr>
          <w:p w14:paraId="372AEAD7" w14:textId="77777777" w:rsidR="00A052DC" w:rsidRDefault="009F0A60">
            <w:pPr>
              <w:rPr>
                <w:rFonts w:ascii="黑体" w:eastAsia="黑体"/>
                <w:sz w:val="20"/>
                <w:szCs w:val="20"/>
              </w:rPr>
            </w:pPr>
            <w:r>
              <w:rPr>
                <w:rFonts w:ascii="黑体" w:eastAsia="黑体" w:hint="eastAsia"/>
                <w:sz w:val="20"/>
                <w:szCs w:val="20"/>
              </w:rPr>
              <w:t>WR</w:t>
            </w:r>
          </w:p>
        </w:tc>
        <w:tc>
          <w:tcPr>
            <w:tcW w:w="2543" w:type="pct"/>
            <w:shd w:val="clear" w:color="auto" w:fill="FFFFFF" w:themeFill="background1"/>
          </w:tcPr>
          <w:p w14:paraId="048000C4" w14:textId="77777777" w:rsidR="00A052DC" w:rsidRDefault="009F0A60">
            <w:pPr>
              <w:rPr>
                <w:rFonts w:ascii="黑体" w:eastAsia="黑体"/>
                <w:sz w:val="20"/>
                <w:szCs w:val="20"/>
              </w:rPr>
            </w:pPr>
            <w:r>
              <w:rPr>
                <w:rFonts w:ascii="黑体" w:eastAsia="黑体" w:hint="eastAsia"/>
                <w:sz w:val="20"/>
                <w:szCs w:val="20"/>
              </w:rPr>
              <w:t>境内收入申报单（包括基础信息+管理信息）（申报来源为网上申报数据，且银行已审核）</w:t>
            </w:r>
          </w:p>
        </w:tc>
        <w:tc>
          <w:tcPr>
            <w:tcW w:w="608" w:type="pct"/>
            <w:shd w:val="clear" w:color="auto" w:fill="FFFFFF" w:themeFill="background1"/>
          </w:tcPr>
          <w:p w14:paraId="3DAA1DB2" w14:textId="77777777" w:rsidR="00A052DC" w:rsidRDefault="00A052DC">
            <w:pPr>
              <w:rPr>
                <w:rFonts w:ascii="黑体" w:eastAsia="黑体"/>
                <w:sz w:val="20"/>
                <w:szCs w:val="20"/>
              </w:rPr>
            </w:pPr>
          </w:p>
        </w:tc>
        <w:tc>
          <w:tcPr>
            <w:tcW w:w="766" w:type="pct"/>
            <w:shd w:val="clear" w:color="auto" w:fill="FFFFFF" w:themeFill="background1"/>
          </w:tcPr>
          <w:p w14:paraId="4241FBDF" w14:textId="77777777" w:rsidR="00A052DC" w:rsidRDefault="00A052DC">
            <w:pPr>
              <w:rPr>
                <w:rFonts w:ascii="黑体" w:eastAsia="黑体"/>
                <w:sz w:val="20"/>
                <w:szCs w:val="20"/>
              </w:rPr>
            </w:pPr>
          </w:p>
        </w:tc>
        <w:tc>
          <w:tcPr>
            <w:tcW w:w="644" w:type="pct"/>
            <w:shd w:val="clear" w:color="auto" w:fill="FFFFFF" w:themeFill="background1"/>
          </w:tcPr>
          <w:p w14:paraId="78687B6A" w14:textId="77777777" w:rsidR="00A052DC" w:rsidRDefault="009F0A60">
            <w:pPr>
              <w:rPr>
                <w:rFonts w:ascii="黑体" w:eastAsia="黑体"/>
                <w:sz w:val="20"/>
                <w:szCs w:val="20"/>
              </w:rPr>
            </w:pPr>
            <w:r>
              <w:rPr>
                <w:rFonts w:ascii="黑体" w:eastAsia="黑体" w:hint="eastAsia"/>
                <w:sz w:val="20"/>
                <w:szCs w:val="20"/>
              </w:rPr>
              <w:t>√</w:t>
            </w:r>
          </w:p>
        </w:tc>
      </w:tr>
      <w:tr w:rsidR="00A052DC" w14:paraId="32D7706E" w14:textId="77777777">
        <w:tc>
          <w:tcPr>
            <w:tcW w:w="439" w:type="pct"/>
          </w:tcPr>
          <w:p w14:paraId="30CD3C12" w14:textId="77777777" w:rsidR="00A052DC" w:rsidRDefault="009F0A60">
            <w:pPr>
              <w:rPr>
                <w:rFonts w:ascii="黑体" w:eastAsia="黑体"/>
                <w:sz w:val="20"/>
                <w:szCs w:val="20"/>
              </w:rPr>
            </w:pPr>
            <w:r>
              <w:rPr>
                <w:rFonts w:ascii="黑体" w:eastAsia="黑体" w:hint="eastAsia"/>
                <w:sz w:val="20"/>
                <w:szCs w:val="20"/>
              </w:rPr>
              <w:t>RG</w:t>
            </w:r>
          </w:p>
        </w:tc>
        <w:tc>
          <w:tcPr>
            <w:tcW w:w="2543" w:type="pct"/>
          </w:tcPr>
          <w:p w14:paraId="4C865335" w14:textId="77777777" w:rsidR="00A052DC" w:rsidRDefault="009F0A60">
            <w:pPr>
              <w:rPr>
                <w:rFonts w:ascii="黑体" w:eastAsia="黑体"/>
                <w:sz w:val="20"/>
                <w:szCs w:val="20"/>
              </w:rPr>
            </w:pPr>
            <w:r>
              <w:rPr>
                <w:rFonts w:ascii="黑体" w:eastAsia="黑体" w:hint="eastAsia"/>
                <w:sz w:val="20"/>
                <w:szCs w:val="20"/>
              </w:rPr>
              <w:t>涉外收入申报单(基础信息+申报信息)</w:t>
            </w:r>
          </w:p>
        </w:tc>
        <w:tc>
          <w:tcPr>
            <w:tcW w:w="608" w:type="pct"/>
          </w:tcPr>
          <w:p w14:paraId="5832FBD5" w14:textId="77777777" w:rsidR="00A052DC" w:rsidRDefault="009F0A60">
            <w:pPr>
              <w:rPr>
                <w:rFonts w:ascii="黑体" w:eastAsia="黑体"/>
                <w:sz w:val="20"/>
                <w:szCs w:val="20"/>
              </w:rPr>
            </w:pPr>
            <w:r>
              <w:rPr>
                <w:rFonts w:ascii="黑体" w:eastAsia="黑体" w:hint="eastAsia"/>
                <w:sz w:val="20"/>
                <w:szCs w:val="20"/>
              </w:rPr>
              <w:t>√</w:t>
            </w:r>
          </w:p>
        </w:tc>
        <w:tc>
          <w:tcPr>
            <w:tcW w:w="766" w:type="pct"/>
          </w:tcPr>
          <w:p w14:paraId="36F40394" w14:textId="77777777" w:rsidR="00A052DC" w:rsidRDefault="009F0A60">
            <w:pPr>
              <w:rPr>
                <w:rFonts w:ascii="黑体" w:eastAsia="黑体"/>
                <w:sz w:val="20"/>
                <w:szCs w:val="20"/>
              </w:rPr>
            </w:pPr>
            <w:r>
              <w:rPr>
                <w:rFonts w:ascii="黑体" w:eastAsia="黑体" w:hint="eastAsia"/>
                <w:sz w:val="20"/>
                <w:szCs w:val="20"/>
              </w:rPr>
              <w:t>√</w:t>
            </w:r>
          </w:p>
        </w:tc>
        <w:tc>
          <w:tcPr>
            <w:tcW w:w="644" w:type="pct"/>
          </w:tcPr>
          <w:p w14:paraId="4A3A1F81" w14:textId="77777777" w:rsidR="00A052DC" w:rsidRDefault="00A052DC">
            <w:pPr>
              <w:rPr>
                <w:rFonts w:ascii="黑体" w:eastAsia="黑体"/>
                <w:sz w:val="20"/>
                <w:szCs w:val="20"/>
              </w:rPr>
            </w:pPr>
          </w:p>
        </w:tc>
      </w:tr>
      <w:tr w:rsidR="00A052DC" w14:paraId="0562A034" w14:textId="77777777">
        <w:tc>
          <w:tcPr>
            <w:tcW w:w="439" w:type="pct"/>
          </w:tcPr>
          <w:p w14:paraId="0E00FA44" w14:textId="77777777" w:rsidR="00A052DC" w:rsidRDefault="009F0A60">
            <w:pPr>
              <w:rPr>
                <w:rFonts w:ascii="黑体" w:eastAsia="黑体"/>
                <w:sz w:val="20"/>
                <w:szCs w:val="20"/>
              </w:rPr>
            </w:pPr>
            <w:r>
              <w:rPr>
                <w:rFonts w:ascii="黑体" w:eastAsia="黑体" w:hint="eastAsia"/>
                <w:sz w:val="20"/>
                <w:szCs w:val="20"/>
              </w:rPr>
              <w:t>RH</w:t>
            </w:r>
          </w:p>
        </w:tc>
        <w:tc>
          <w:tcPr>
            <w:tcW w:w="2543" w:type="pct"/>
          </w:tcPr>
          <w:p w14:paraId="568DAF0F" w14:textId="77777777" w:rsidR="00A052DC" w:rsidRDefault="009F0A60">
            <w:pPr>
              <w:rPr>
                <w:rFonts w:ascii="黑体" w:eastAsia="黑体"/>
                <w:sz w:val="20"/>
                <w:szCs w:val="20"/>
              </w:rPr>
            </w:pPr>
            <w:r>
              <w:rPr>
                <w:rFonts w:ascii="黑体" w:eastAsia="黑体" w:hint="eastAsia"/>
                <w:sz w:val="20"/>
                <w:szCs w:val="20"/>
              </w:rPr>
              <w:t>境外汇款申请书（包括基础信息+申报信息+管理信息）</w:t>
            </w:r>
          </w:p>
        </w:tc>
        <w:tc>
          <w:tcPr>
            <w:tcW w:w="608" w:type="pct"/>
          </w:tcPr>
          <w:p w14:paraId="1481C0AC" w14:textId="77777777" w:rsidR="00A052DC" w:rsidRDefault="009F0A60">
            <w:pPr>
              <w:rPr>
                <w:rFonts w:ascii="黑体" w:eastAsia="黑体"/>
                <w:sz w:val="20"/>
                <w:szCs w:val="20"/>
              </w:rPr>
            </w:pPr>
            <w:r>
              <w:rPr>
                <w:rFonts w:ascii="黑体" w:eastAsia="黑体" w:hint="eastAsia"/>
                <w:sz w:val="20"/>
                <w:szCs w:val="20"/>
              </w:rPr>
              <w:t>√</w:t>
            </w:r>
          </w:p>
        </w:tc>
        <w:tc>
          <w:tcPr>
            <w:tcW w:w="766" w:type="pct"/>
          </w:tcPr>
          <w:p w14:paraId="50C94161" w14:textId="77777777" w:rsidR="00A052DC" w:rsidRDefault="009F0A60">
            <w:pPr>
              <w:rPr>
                <w:rFonts w:ascii="黑体" w:eastAsia="黑体"/>
                <w:sz w:val="20"/>
                <w:szCs w:val="20"/>
              </w:rPr>
            </w:pPr>
            <w:r>
              <w:rPr>
                <w:rFonts w:ascii="黑体" w:eastAsia="黑体" w:hint="eastAsia"/>
                <w:sz w:val="20"/>
                <w:szCs w:val="20"/>
              </w:rPr>
              <w:t>√</w:t>
            </w:r>
          </w:p>
        </w:tc>
        <w:tc>
          <w:tcPr>
            <w:tcW w:w="644" w:type="pct"/>
          </w:tcPr>
          <w:p w14:paraId="53DDF73C" w14:textId="77777777" w:rsidR="00A052DC" w:rsidRDefault="00A052DC">
            <w:pPr>
              <w:rPr>
                <w:rFonts w:ascii="黑体" w:eastAsia="黑体"/>
                <w:sz w:val="20"/>
                <w:szCs w:val="20"/>
              </w:rPr>
            </w:pPr>
          </w:p>
        </w:tc>
      </w:tr>
      <w:tr w:rsidR="00A052DC" w14:paraId="61F2A61E" w14:textId="77777777">
        <w:tc>
          <w:tcPr>
            <w:tcW w:w="439" w:type="pct"/>
          </w:tcPr>
          <w:p w14:paraId="33A8917B" w14:textId="77777777" w:rsidR="00A052DC" w:rsidRDefault="009F0A60">
            <w:pPr>
              <w:rPr>
                <w:rFonts w:ascii="黑体" w:eastAsia="黑体"/>
                <w:sz w:val="20"/>
                <w:szCs w:val="20"/>
              </w:rPr>
            </w:pPr>
            <w:r>
              <w:rPr>
                <w:rFonts w:ascii="黑体" w:eastAsia="黑体" w:hint="eastAsia"/>
                <w:sz w:val="20"/>
                <w:szCs w:val="20"/>
              </w:rPr>
              <w:t>RK</w:t>
            </w:r>
          </w:p>
        </w:tc>
        <w:tc>
          <w:tcPr>
            <w:tcW w:w="2543" w:type="pct"/>
          </w:tcPr>
          <w:p w14:paraId="64E1E410" w14:textId="77777777" w:rsidR="00A052DC" w:rsidRDefault="009F0A60">
            <w:pPr>
              <w:rPr>
                <w:rFonts w:ascii="黑体" w:eastAsia="黑体"/>
                <w:sz w:val="20"/>
                <w:szCs w:val="20"/>
              </w:rPr>
            </w:pPr>
            <w:r>
              <w:rPr>
                <w:rFonts w:ascii="黑体" w:eastAsia="黑体" w:hint="eastAsia"/>
                <w:sz w:val="20"/>
                <w:szCs w:val="20"/>
              </w:rPr>
              <w:t>对外付款/承兑通知书（包括基础信息+申报信息+管理信息）</w:t>
            </w:r>
          </w:p>
        </w:tc>
        <w:tc>
          <w:tcPr>
            <w:tcW w:w="608" w:type="pct"/>
          </w:tcPr>
          <w:p w14:paraId="48F7257C" w14:textId="77777777" w:rsidR="00A052DC" w:rsidRDefault="009F0A60">
            <w:pPr>
              <w:rPr>
                <w:rFonts w:ascii="黑体" w:eastAsia="黑体"/>
                <w:sz w:val="20"/>
                <w:szCs w:val="20"/>
              </w:rPr>
            </w:pPr>
            <w:r>
              <w:rPr>
                <w:rFonts w:ascii="黑体" w:eastAsia="黑体" w:hint="eastAsia"/>
                <w:sz w:val="20"/>
                <w:szCs w:val="20"/>
              </w:rPr>
              <w:t>√</w:t>
            </w:r>
          </w:p>
        </w:tc>
        <w:tc>
          <w:tcPr>
            <w:tcW w:w="766" w:type="pct"/>
          </w:tcPr>
          <w:p w14:paraId="4C65E08F" w14:textId="77777777" w:rsidR="00A052DC" w:rsidRDefault="009F0A60">
            <w:pPr>
              <w:rPr>
                <w:rFonts w:ascii="黑体" w:eastAsia="黑体"/>
                <w:sz w:val="20"/>
                <w:szCs w:val="20"/>
              </w:rPr>
            </w:pPr>
            <w:r>
              <w:rPr>
                <w:rFonts w:ascii="黑体" w:eastAsia="黑体" w:hint="eastAsia"/>
                <w:sz w:val="20"/>
                <w:szCs w:val="20"/>
              </w:rPr>
              <w:t>√</w:t>
            </w:r>
          </w:p>
        </w:tc>
        <w:tc>
          <w:tcPr>
            <w:tcW w:w="644" w:type="pct"/>
          </w:tcPr>
          <w:p w14:paraId="7B64B7F8" w14:textId="77777777" w:rsidR="00A052DC" w:rsidRDefault="00A052DC">
            <w:pPr>
              <w:rPr>
                <w:rFonts w:ascii="黑体" w:eastAsia="黑体"/>
                <w:sz w:val="20"/>
                <w:szCs w:val="20"/>
              </w:rPr>
            </w:pPr>
          </w:p>
        </w:tc>
      </w:tr>
      <w:tr w:rsidR="00A052DC" w14:paraId="1C461E13" w14:textId="77777777">
        <w:tc>
          <w:tcPr>
            <w:tcW w:w="439" w:type="pct"/>
          </w:tcPr>
          <w:p w14:paraId="34DBC502" w14:textId="77777777" w:rsidR="00A052DC" w:rsidRDefault="009F0A60">
            <w:pPr>
              <w:rPr>
                <w:rFonts w:ascii="黑体" w:eastAsia="黑体"/>
                <w:sz w:val="20"/>
                <w:szCs w:val="20"/>
              </w:rPr>
            </w:pPr>
            <w:r>
              <w:rPr>
                <w:rFonts w:ascii="黑体" w:eastAsia="黑体" w:hint="eastAsia"/>
                <w:sz w:val="20"/>
                <w:szCs w:val="20"/>
              </w:rPr>
              <w:t>RQ</w:t>
            </w:r>
          </w:p>
        </w:tc>
        <w:tc>
          <w:tcPr>
            <w:tcW w:w="2543" w:type="pct"/>
          </w:tcPr>
          <w:p w14:paraId="6E21BE15" w14:textId="77777777" w:rsidR="00A052DC" w:rsidRDefault="009F0A60">
            <w:pPr>
              <w:rPr>
                <w:rFonts w:ascii="黑体" w:eastAsia="黑体"/>
                <w:sz w:val="20"/>
                <w:szCs w:val="20"/>
              </w:rPr>
            </w:pPr>
            <w:r>
              <w:rPr>
                <w:rFonts w:ascii="黑体" w:eastAsia="黑体" w:hint="eastAsia"/>
                <w:sz w:val="20"/>
                <w:szCs w:val="20"/>
              </w:rPr>
              <w:t>境内汇款申请书（包括基础信息+管理信息）</w:t>
            </w:r>
          </w:p>
        </w:tc>
        <w:tc>
          <w:tcPr>
            <w:tcW w:w="608" w:type="pct"/>
          </w:tcPr>
          <w:p w14:paraId="1F861C19" w14:textId="77777777" w:rsidR="00A052DC" w:rsidRDefault="009F0A60">
            <w:pPr>
              <w:rPr>
                <w:rFonts w:ascii="黑体" w:eastAsia="黑体"/>
                <w:sz w:val="20"/>
                <w:szCs w:val="20"/>
              </w:rPr>
            </w:pPr>
            <w:r>
              <w:rPr>
                <w:rFonts w:ascii="黑体" w:eastAsia="黑体" w:hint="eastAsia"/>
                <w:sz w:val="20"/>
                <w:szCs w:val="20"/>
              </w:rPr>
              <w:t>√</w:t>
            </w:r>
          </w:p>
        </w:tc>
        <w:tc>
          <w:tcPr>
            <w:tcW w:w="766" w:type="pct"/>
          </w:tcPr>
          <w:p w14:paraId="76F0B748" w14:textId="77777777" w:rsidR="00A052DC" w:rsidRDefault="009F0A60">
            <w:pPr>
              <w:rPr>
                <w:rFonts w:ascii="黑体" w:eastAsia="黑体"/>
                <w:sz w:val="20"/>
                <w:szCs w:val="20"/>
              </w:rPr>
            </w:pPr>
            <w:r>
              <w:rPr>
                <w:rFonts w:ascii="黑体" w:eastAsia="黑体" w:hint="eastAsia"/>
                <w:sz w:val="20"/>
                <w:szCs w:val="20"/>
              </w:rPr>
              <w:t>√</w:t>
            </w:r>
          </w:p>
        </w:tc>
        <w:tc>
          <w:tcPr>
            <w:tcW w:w="644" w:type="pct"/>
          </w:tcPr>
          <w:p w14:paraId="0BB43AF2" w14:textId="77777777" w:rsidR="00A052DC" w:rsidRDefault="00A052DC">
            <w:pPr>
              <w:rPr>
                <w:rFonts w:ascii="黑体" w:eastAsia="黑体"/>
                <w:sz w:val="20"/>
                <w:szCs w:val="20"/>
              </w:rPr>
            </w:pPr>
          </w:p>
        </w:tc>
      </w:tr>
      <w:tr w:rsidR="00A052DC" w14:paraId="199E5DA5" w14:textId="77777777">
        <w:tc>
          <w:tcPr>
            <w:tcW w:w="439" w:type="pct"/>
          </w:tcPr>
          <w:p w14:paraId="48FC6F4E" w14:textId="77777777" w:rsidR="00A052DC" w:rsidRDefault="009F0A60">
            <w:pPr>
              <w:rPr>
                <w:rFonts w:ascii="黑体" w:eastAsia="黑体"/>
                <w:sz w:val="20"/>
                <w:szCs w:val="20"/>
              </w:rPr>
            </w:pPr>
            <w:r>
              <w:rPr>
                <w:rFonts w:ascii="黑体" w:eastAsia="黑体" w:hint="eastAsia"/>
                <w:sz w:val="20"/>
                <w:szCs w:val="20"/>
              </w:rPr>
              <w:t>RR</w:t>
            </w:r>
          </w:p>
        </w:tc>
        <w:tc>
          <w:tcPr>
            <w:tcW w:w="2543" w:type="pct"/>
          </w:tcPr>
          <w:p w14:paraId="1746EA37" w14:textId="77777777" w:rsidR="00A052DC" w:rsidRDefault="009F0A60">
            <w:pPr>
              <w:rPr>
                <w:rFonts w:ascii="黑体" w:eastAsia="黑体"/>
                <w:sz w:val="20"/>
                <w:szCs w:val="20"/>
              </w:rPr>
            </w:pPr>
            <w:r>
              <w:rPr>
                <w:rFonts w:ascii="黑体" w:eastAsia="黑体" w:hint="eastAsia"/>
                <w:sz w:val="20"/>
                <w:szCs w:val="20"/>
              </w:rPr>
              <w:t>境内收入申报单（包括基础信息+管理信息）</w:t>
            </w:r>
          </w:p>
        </w:tc>
        <w:tc>
          <w:tcPr>
            <w:tcW w:w="608" w:type="pct"/>
          </w:tcPr>
          <w:p w14:paraId="16940285" w14:textId="77777777" w:rsidR="00A052DC" w:rsidRDefault="009F0A60">
            <w:pPr>
              <w:rPr>
                <w:rFonts w:ascii="黑体" w:eastAsia="黑体"/>
                <w:sz w:val="20"/>
                <w:szCs w:val="20"/>
              </w:rPr>
            </w:pPr>
            <w:r>
              <w:rPr>
                <w:rFonts w:ascii="黑体" w:eastAsia="黑体" w:hint="eastAsia"/>
                <w:sz w:val="20"/>
                <w:szCs w:val="20"/>
              </w:rPr>
              <w:t>√</w:t>
            </w:r>
          </w:p>
        </w:tc>
        <w:tc>
          <w:tcPr>
            <w:tcW w:w="766" w:type="pct"/>
          </w:tcPr>
          <w:p w14:paraId="4731672E" w14:textId="77777777" w:rsidR="00A052DC" w:rsidRDefault="009F0A60">
            <w:pPr>
              <w:rPr>
                <w:rFonts w:ascii="黑体" w:eastAsia="黑体"/>
                <w:sz w:val="20"/>
                <w:szCs w:val="20"/>
              </w:rPr>
            </w:pPr>
            <w:r>
              <w:rPr>
                <w:rFonts w:ascii="黑体" w:eastAsia="黑体" w:hint="eastAsia"/>
                <w:sz w:val="20"/>
                <w:szCs w:val="20"/>
              </w:rPr>
              <w:t>√</w:t>
            </w:r>
          </w:p>
        </w:tc>
        <w:tc>
          <w:tcPr>
            <w:tcW w:w="644" w:type="pct"/>
          </w:tcPr>
          <w:p w14:paraId="4D5038C3" w14:textId="77777777" w:rsidR="00A052DC" w:rsidRDefault="00A052DC">
            <w:pPr>
              <w:rPr>
                <w:rFonts w:ascii="黑体" w:eastAsia="黑体"/>
                <w:sz w:val="20"/>
                <w:szCs w:val="20"/>
              </w:rPr>
            </w:pPr>
          </w:p>
        </w:tc>
      </w:tr>
      <w:tr w:rsidR="00A052DC" w14:paraId="40D9D254" w14:textId="77777777">
        <w:tc>
          <w:tcPr>
            <w:tcW w:w="439" w:type="pct"/>
          </w:tcPr>
          <w:p w14:paraId="6B7B3D62" w14:textId="77777777" w:rsidR="00A052DC" w:rsidRDefault="009F0A60">
            <w:pPr>
              <w:rPr>
                <w:rFonts w:ascii="黑体" w:eastAsia="黑体"/>
                <w:sz w:val="20"/>
                <w:szCs w:val="20"/>
              </w:rPr>
            </w:pPr>
            <w:r>
              <w:rPr>
                <w:rFonts w:ascii="黑体" w:eastAsia="黑体" w:hint="eastAsia"/>
                <w:sz w:val="20"/>
                <w:szCs w:val="20"/>
              </w:rPr>
              <w:t>RS</w:t>
            </w:r>
          </w:p>
        </w:tc>
        <w:tc>
          <w:tcPr>
            <w:tcW w:w="2543" w:type="pct"/>
          </w:tcPr>
          <w:p w14:paraId="71EECC83" w14:textId="77777777" w:rsidR="00A052DC" w:rsidRDefault="009F0A60">
            <w:pPr>
              <w:rPr>
                <w:rFonts w:ascii="黑体" w:eastAsia="黑体"/>
                <w:sz w:val="20"/>
                <w:szCs w:val="20"/>
              </w:rPr>
            </w:pPr>
            <w:r>
              <w:rPr>
                <w:rFonts w:ascii="黑体" w:eastAsia="黑体" w:hint="eastAsia"/>
                <w:sz w:val="20"/>
                <w:szCs w:val="20"/>
              </w:rPr>
              <w:t>境内付款/承兑通知书（包括基础信息+管理信息）</w:t>
            </w:r>
          </w:p>
        </w:tc>
        <w:tc>
          <w:tcPr>
            <w:tcW w:w="608" w:type="pct"/>
          </w:tcPr>
          <w:p w14:paraId="7128BDCA" w14:textId="77777777" w:rsidR="00A052DC" w:rsidRDefault="009F0A60">
            <w:pPr>
              <w:rPr>
                <w:rFonts w:ascii="黑体" w:eastAsia="黑体"/>
                <w:sz w:val="20"/>
                <w:szCs w:val="20"/>
              </w:rPr>
            </w:pPr>
            <w:r>
              <w:rPr>
                <w:rFonts w:ascii="黑体" w:eastAsia="黑体" w:hint="eastAsia"/>
                <w:sz w:val="20"/>
                <w:szCs w:val="20"/>
              </w:rPr>
              <w:t>√</w:t>
            </w:r>
          </w:p>
        </w:tc>
        <w:tc>
          <w:tcPr>
            <w:tcW w:w="766" w:type="pct"/>
          </w:tcPr>
          <w:p w14:paraId="4305E67E" w14:textId="77777777" w:rsidR="00A052DC" w:rsidRDefault="009F0A60">
            <w:pPr>
              <w:rPr>
                <w:rFonts w:ascii="黑体" w:eastAsia="黑体"/>
                <w:sz w:val="20"/>
                <w:szCs w:val="20"/>
              </w:rPr>
            </w:pPr>
            <w:r>
              <w:rPr>
                <w:rFonts w:ascii="黑体" w:eastAsia="黑体" w:hint="eastAsia"/>
                <w:sz w:val="20"/>
                <w:szCs w:val="20"/>
              </w:rPr>
              <w:t>√</w:t>
            </w:r>
          </w:p>
        </w:tc>
        <w:tc>
          <w:tcPr>
            <w:tcW w:w="644" w:type="pct"/>
          </w:tcPr>
          <w:p w14:paraId="54685035" w14:textId="77777777" w:rsidR="00A052DC" w:rsidRDefault="00A052DC">
            <w:pPr>
              <w:rPr>
                <w:rFonts w:ascii="黑体" w:eastAsia="黑体"/>
                <w:sz w:val="20"/>
                <w:szCs w:val="20"/>
              </w:rPr>
            </w:pPr>
          </w:p>
        </w:tc>
      </w:tr>
    </w:tbl>
    <w:p w14:paraId="7F66A885" w14:textId="77777777" w:rsidR="00A052DC" w:rsidRDefault="00A052DC"/>
    <w:p w14:paraId="205BE583" w14:textId="77777777" w:rsidR="00A052DC" w:rsidRPr="00423087" w:rsidRDefault="00A412F6">
      <w:pPr>
        <w:spacing w:line="360" w:lineRule="auto"/>
        <w:ind w:firstLine="420"/>
        <w:rPr>
          <w:rFonts w:ascii="Times New Roman" w:hAnsi="Times New Roman"/>
          <w:sz w:val="24"/>
        </w:rPr>
      </w:pPr>
      <w:r w:rsidRPr="00A412F6">
        <w:rPr>
          <w:rFonts w:ascii="Times New Roman" w:hint="eastAsia"/>
          <w:sz w:val="24"/>
        </w:rPr>
        <w:t>除</w:t>
      </w:r>
      <w:r w:rsidRPr="00A412F6">
        <w:rPr>
          <w:rFonts w:ascii="Times New Roman" w:hAnsi="Times New Roman"/>
          <w:sz w:val="24"/>
        </w:rPr>
        <w:t>TT</w:t>
      </w:r>
      <w:r w:rsidRPr="00A412F6">
        <w:rPr>
          <w:rFonts w:ascii="Times New Roman" w:hint="eastAsia"/>
          <w:sz w:val="24"/>
        </w:rPr>
        <w:t>外，</w:t>
      </w:r>
      <w:r w:rsidR="0021563C">
        <w:rPr>
          <w:rFonts w:ascii="Times New Roman" w:hint="eastAsia"/>
          <w:sz w:val="24"/>
        </w:rPr>
        <w:t>其他</w:t>
      </w:r>
      <w:r w:rsidRPr="00A412F6">
        <w:rPr>
          <w:rFonts w:ascii="Times New Roman" w:hint="eastAsia"/>
          <w:sz w:val="24"/>
        </w:rPr>
        <w:t>文件类型的数据均为增量变化数据。</w:t>
      </w:r>
    </w:p>
    <w:p w14:paraId="00809B59" w14:textId="77777777" w:rsidR="00A052DC" w:rsidRPr="00423087" w:rsidRDefault="00A412F6">
      <w:pPr>
        <w:numPr>
          <w:ilvl w:val="0"/>
          <w:numId w:val="24"/>
        </w:numPr>
        <w:spacing w:line="360" w:lineRule="auto"/>
        <w:jc w:val="left"/>
        <w:rPr>
          <w:rFonts w:ascii="Times New Roman" w:hAnsi="Times New Roman"/>
          <w:sz w:val="24"/>
        </w:rPr>
      </w:pPr>
      <w:r w:rsidRPr="00A412F6">
        <w:rPr>
          <w:rFonts w:ascii="Times New Roman" w:hint="eastAsia"/>
          <w:sz w:val="24"/>
        </w:rPr>
        <w:t>暂停持境内银行卡在境外提取现金个人名单文件类型如下：</w:t>
      </w:r>
    </w:p>
    <w:p w14:paraId="60D4671E" w14:textId="77777777" w:rsidR="00A052DC" w:rsidRPr="00423087" w:rsidRDefault="009F0A60">
      <w:pPr>
        <w:spacing w:line="360" w:lineRule="auto"/>
        <w:ind w:left="2516" w:hanging="836"/>
        <w:rPr>
          <w:rFonts w:ascii="Times New Roman" w:hAnsi="Times New Roman"/>
          <w:b/>
          <w:sz w:val="24"/>
        </w:rPr>
      </w:pPr>
      <w:r w:rsidRPr="00423087">
        <w:rPr>
          <w:rFonts w:ascii="Times New Roman" w:hAnsi="Times New Roman"/>
          <w:b/>
          <w:sz w:val="24"/>
        </w:rPr>
        <w:t>TT</w:t>
      </w:r>
      <w:r w:rsidRPr="00423087">
        <w:rPr>
          <w:rFonts w:ascii="Times New Roman" w:hAnsi="Times New Roman"/>
          <w:b/>
          <w:sz w:val="24"/>
        </w:rPr>
        <w:tab/>
      </w:r>
      <w:r w:rsidRPr="00423087">
        <w:rPr>
          <w:rFonts w:ascii="Times New Roman" w:hAnsi="Times New Roman" w:hint="eastAsia"/>
          <w:b/>
          <w:sz w:val="24"/>
        </w:rPr>
        <w:t>接口控制文件</w:t>
      </w:r>
    </w:p>
    <w:p w14:paraId="4F84D62C" w14:textId="77777777" w:rsidR="00A052DC" w:rsidRPr="00423087" w:rsidRDefault="009F0A60">
      <w:pPr>
        <w:spacing w:line="360" w:lineRule="auto"/>
        <w:ind w:left="2516" w:hanging="836"/>
        <w:rPr>
          <w:rFonts w:ascii="Times New Roman" w:hAnsi="Times New Roman"/>
          <w:kern w:val="0"/>
          <w:sz w:val="24"/>
          <w:szCs w:val="20"/>
        </w:rPr>
      </w:pPr>
      <w:r w:rsidRPr="00423087">
        <w:rPr>
          <w:rFonts w:ascii="Times New Roman" w:hAnsi="Times New Roman"/>
          <w:kern w:val="0"/>
          <w:sz w:val="24"/>
          <w:szCs w:val="20"/>
        </w:rPr>
        <w:t>TN</w:t>
      </w:r>
      <w:r w:rsidRPr="00423087">
        <w:rPr>
          <w:rFonts w:ascii="Times New Roman" w:hAnsi="Times New Roman"/>
          <w:kern w:val="0"/>
          <w:sz w:val="24"/>
          <w:szCs w:val="20"/>
        </w:rPr>
        <w:tab/>
      </w:r>
      <w:r w:rsidRPr="00423087">
        <w:rPr>
          <w:rFonts w:ascii="Times New Roman" w:hAnsi="Times New Roman" w:hint="eastAsia"/>
          <w:kern w:val="0"/>
          <w:sz w:val="24"/>
          <w:szCs w:val="20"/>
        </w:rPr>
        <w:t>暂停持境内银行卡在境外提取现金个人名单</w:t>
      </w:r>
    </w:p>
    <w:p w14:paraId="361926FC" w14:textId="77777777" w:rsidR="00A052DC" w:rsidRPr="00423087" w:rsidRDefault="00A412F6">
      <w:pPr>
        <w:numPr>
          <w:ilvl w:val="0"/>
          <w:numId w:val="24"/>
        </w:numPr>
        <w:spacing w:line="360" w:lineRule="auto"/>
        <w:jc w:val="left"/>
        <w:rPr>
          <w:rFonts w:ascii="Times New Roman" w:hAnsi="Times New Roman"/>
          <w:sz w:val="24"/>
        </w:rPr>
      </w:pPr>
      <w:r w:rsidRPr="00A412F6">
        <w:rPr>
          <w:rFonts w:ascii="Times New Roman" w:hint="eastAsia"/>
          <w:sz w:val="24"/>
        </w:rPr>
        <w:t>涉嫌外汇违规账户查询信息文件类型如下：</w:t>
      </w:r>
    </w:p>
    <w:p w14:paraId="7DF95295" w14:textId="77777777" w:rsidR="00A052DC" w:rsidRPr="00423087" w:rsidRDefault="009F0A60">
      <w:pPr>
        <w:spacing w:line="360" w:lineRule="auto"/>
        <w:ind w:left="2516" w:hanging="836"/>
        <w:rPr>
          <w:rFonts w:ascii="Times New Roman" w:hAnsi="Times New Roman"/>
          <w:b/>
          <w:sz w:val="24"/>
        </w:rPr>
      </w:pPr>
      <w:r w:rsidRPr="00423087">
        <w:rPr>
          <w:rFonts w:ascii="Times New Roman" w:hAnsi="Times New Roman"/>
          <w:b/>
          <w:sz w:val="24"/>
        </w:rPr>
        <w:t>TT</w:t>
      </w:r>
      <w:r w:rsidRPr="00423087">
        <w:rPr>
          <w:rFonts w:ascii="Times New Roman" w:hAnsi="Times New Roman"/>
          <w:b/>
          <w:sz w:val="24"/>
        </w:rPr>
        <w:tab/>
      </w:r>
      <w:r w:rsidRPr="00423087">
        <w:rPr>
          <w:rFonts w:ascii="Times New Roman" w:hAnsi="Times New Roman" w:hint="eastAsia"/>
          <w:b/>
          <w:sz w:val="24"/>
        </w:rPr>
        <w:t>接口控制文件</w:t>
      </w:r>
    </w:p>
    <w:p w14:paraId="60E21171" w14:textId="77777777" w:rsidR="00A052DC" w:rsidRPr="00423087" w:rsidRDefault="009F0A60">
      <w:pPr>
        <w:spacing w:line="360" w:lineRule="auto"/>
        <w:ind w:left="2516" w:hanging="836"/>
        <w:rPr>
          <w:rFonts w:ascii="Times New Roman" w:hAnsi="Times New Roman"/>
          <w:kern w:val="0"/>
          <w:sz w:val="24"/>
          <w:szCs w:val="20"/>
        </w:rPr>
      </w:pPr>
      <w:r w:rsidRPr="00423087">
        <w:rPr>
          <w:rFonts w:ascii="Times New Roman" w:hAnsi="Times New Roman"/>
          <w:kern w:val="0"/>
          <w:sz w:val="24"/>
          <w:szCs w:val="20"/>
        </w:rPr>
        <w:t>RI</w:t>
      </w:r>
      <w:r w:rsidRPr="00423087">
        <w:rPr>
          <w:rFonts w:ascii="Times New Roman" w:hAnsi="Times New Roman"/>
          <w:kern w:val="0"/>
          <w:sz w:val="24"/>
          <w:szCs w:val="20"/>
        </w:rPr>
        <w:tab/>
      </w:r>
      <w:r w:rsidRPr="00423087">
        <w:rPr>
          <w:rFonts w:ascii="Times New Roman" w:hAnsi="Times New Roman" w:hint="eastAsia"/>
          <w:kern w:val="0"/>
          <w:sz w:val="24"/>
          <w:szCs w:val="20"/>
        </w:rPr>
        <w:t>涉嫌外汇违规账户查询信息</w:t>
      </w:r>
    </w:p>
    <w:p w14:paraId="5BC40ADE" w14:textId="77777777" w:rsidR="00A052DC" w:rsidRDefault="009F0A60" w:rsidP="0020251D">
      <w:pPr>
        <w:pStyle w:val="3"/>
        <w:ind w:left="0"/>
        <w:rPr>
          <w:rFonts w:ascii="Times New Roman" w:hAnsi="Times New Roman"/>
        </w:rPr>
      </w:pPr>
      <w:bookmarkStart w:id="4457" w:name="_Toc310599118"/>
      <w:bookmarkStart w:id="4458" w:name="_Toc91455508"/>
      <w:bookmarkStart w:id="4459" w:name="_Toc454394922"/>
      <w:bookmarkStart w:id="4460" w:name="_Toc101684533"/>
      <w:r>
        <w:rPr>
          <w:rFonts w:ascii="Times New Roman" w:hAnsi="Times New Roman" w:hint="eastAsia"/>
        </w:rPr>
        <w:t>反馈文件格式规范</w:t>
      </w:r>
      <w:bookmarkEnd w:id="4457"/>
      <w:bookmarkEnd w:id="4458"/>
      <w:bookmarkEnd w:id="4459"/>
      <w:bookmarkEnd w:id="4460"/>
    </w:p>
    <w:p w14:paraId="0AE1D94B" w14:textId="77777777" w:rsidR="00A052DC" w:rsidRDefault="009F0A60">
      <w:pPr>
        <w:spacing w:line="360" w:lineRule="auto"/>
        <w:ind w:firstLine="420"/>
        <w:rPr>
          <w:sz w:val="24"/>
        </w:rPr>
      </w:pPr>
      <w:r>
        <w:rPr>
          <w:rFonts w:hint="eastAsia"/>
          <w:sz w:val="24"/>
        </w:rPr>
        <w:t>反馈文件分成：反馈控制文件和反馈数据文件。</w:t>
      </w:r>
    </w:p>
    <w:p w14:paraId="1559C247" w14:textId="77777777" w:rsidR="00A052DC" w:rsidRDefault="009F0A60" w:rsidP="0020251D">
      <w:pPr>
        <w:pStyle w:val="4"/>
        <w:numPr>
          <w:ilvl w:val="3"/>
          <w:numId w:val="1"/>
        </w:numPr>
        <w:jc w:val="left"/>
      </w:pPr>
      <w:bookmarkStart w:id="4461" w:name="_Toc454394923"/>
      <w:bookmarkStart w:id="4462" w:name="_Toc310599119"/>
      <w:r>
        <w:rPr>
          <w:rFonts w:hint="eastAsia"/>
        </w:rPr>
        <w:t>控制文件格式</w:t>
      </w:r>
      <w:bookmarkEnd w:id="4461"/>
      <w:bookmarkEnd w:id="4462"/>
    </w:p>
    <w:p w14:paraId="2F7EE1D4" w14:textId="77777777" w:rsidR="00A052DC" w:rsidRDefault="009F0A60" w:rsidP="0020251D">
      <w:pPr>
        <w:pStyle w:val="5"/>
        <w:numPr>
          <w:ilvl w:val="4"/>
          <w:numId w:val="1"/>
        </w:numPr>
        <w:spacing w:before="120" w:after="120" w:line="360" w:lineRule="auto"/>
        <w:jc w:val="left"/>
      </w:pPr>
      <w:r>
        <w:rPr>
          <w:rFonts w:hint="eastAsia"/>
        </w:rPr>
        <w:t>涉外收支、境内划转数据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A052DC" w14:paraId="057E0C28" w14:textId="77777777">
        <w:tc>
          <w:tcPr>
            <w:tcW w:w="8522" w:type="dxa"/>
            <w:shd w:val="clear" w:color="auto" w:fill="E6E6E6"/>
          </w:tcPr>
          <w:p w14:paraId="31AA5929" w14:textId="77777777" w:rsidR="00A052DC" w:rsidRDefault="009F0A60">
            <w:pPr>
              <w:rPr>
                <w:rFonts w:ascii="黑体" w:eastAsia="黑体"/>
                <w:szCs w:val="21"/>
              </w:rPr>
            </w:pPr>
            <w:r>
              <w:rPr>
                <w:rFonts w:ascii="黑体" w:eastAsia="黑体"/>
                <w:szCs w:val="21"/>
              </w:rPr>
              <w:t>&lt;CONTROLMSG&gt;</w:t>
            </w:r>
          </w:p>
          <w:p w14:paraId="6F2B36E2" w14:textId="77777777" w:rsidR="00A052DC" w:rsidRDefault="009F0A60">
            <w:pPr>
              <w:rPr>
                <w:rFonts w:ascii="黑体" w:eastAsia="黑体"/>
                <w:szCs w:val="21"/>
              </w:rPr>
            </w:pPr>
            <w:r>
              <w:rPr>
                <w:rFonts w:ascii="黑体" w:eastAsia="黑体"/>
                <w:szCs w:val="21"/>
              </w:rPr>
              <w:tab/>
              <w:t>&lt;SOURCE&gt;</w:t>
            </w:r>
            <w:r>
              <w:rPr>
                <w:rFonts w:ascii="黑体" w:eastAsia="黑体" w:hint="eastAsia"/>
                <w:szCs w:val="21"/>
              </w:rPr>
              <w:t>数据来源系统</w:t>
            </w:r>
            <w:r>
              <w:rPr>
                <w:rFonts w:ascii="黑体" w:eastAsia="黑体"/>
                <w:szCs w:val="21"/>
              </w:rPr>
              <w:t>&lt;/SOURCE&gt;</w:t>
            </w:r>
          </w:p>
          <w:p w14:paraId="67E576C2" w14:textId="77777777" w:rsidR="00A052DC" w:rsidRDefault="009F0A60">
            <w:pPr>
              <w:rPr>
                <w:rFonts w:ascii="黑体" w:eastAsia="黑体"/>
                <w:szCs w:val="21"/>
              </w:rPr>
            </w:pPr>
            <w:r>
              <w:rPr>
                <w:rFonts w:ascii="黑体" w:eastAsia="黑体"/>
                <w:szCs w:val="21"/>
              </w:rPr>
              <w:tab/>
              <w:t>&lt;DESTINATION&gt;</w:t>
            </w:r>
            <w:r>
              <w:rPr>
                <w:rFonts w:ascii="黑体" w:eastAsia="黑体" w:hint="eastAsia"/>
                <w:szCs w:val="21"/>
              </w:rPr>
              <w:t>目标系统</w:t>
            </w:r>
            <w:r>
              <w:rPr>
                <w:rFonts w:ascii="黑体" w:eastAsia="黑体"/>
                <w:szCs w:val="21"/>
              </w:rPr>
              <w:t>&lt;/DESTINATION&gt;</w:t>
            </w:r>
          </w:p>
          <w:p w14:paraId="6909D7A7" w14:textId="77777777" w:rsidR="00A052DC" w:rsidRDefault="009F0A60">
            <w:pPr>
              <w:rPr>
                <w:rFonts w:ascii="黑体" w:eastAsia="黑体"/>
                <w:szCs w:val="21"/>
              </w:rPr>
            </w:pPr>
            <w:r>
              <w:rPr>
                <w:rFonts w:ascii="黑体" w:eastAsia="黑体"/>
                <w:szCs w:val="21"/>
              </w:rPr>
              <w:tab/>
              <w:t>&lt;BATCHCODE&gt;</w:t>
            </w:r>
            <w:r>
              <w:rPr>
                <w:rFonts w:ascii="黑体" w:eastAsia="黑体" w:hint="eastAsia"/>
                <w:szCs w:val="21"/>
              </w:rPr>
              <w:t>批号</w:t>
            </w:r>
            <w:r>
              <w:rPr>
                <w:rFonts w:ascii="黑体" w:eastAsia="黑体"/>
                <w:szCs w:val="21"/>
              </w:rPr>
              <w:t>&lt;/ BATCHCODE&gt;</w:t>
            </w:r>
          </w:p>
          <w:p w14:paraId="39A30014" w14:textId="77777777" w:rsidR="00A052DC" w:rsidRDefault="009F0A60">
            <w:pPr>
              <w:rPr>
                <w:rFonts w:ascii="黑体" w:eastAsia="黑体"/>
                <w:szCs w:val="21"/>
              </w:rPr>
            </w:pPr>
            <w:r>
              <w:rPr>
                <w:rFonts w:ascii="黑体" w:eastAsia="黑体"/>
                <w:szCs w:val="21"/>
              </w:rPr>
              <w:tab/>
              <w:t>&lt;INOUT&gt;</w:t>
            </w:r>
            <w:r>
              <w:rPr>
                <w:rFonts w:ascii="黑体" w:eastAsia="黑体" w:hint="eastAsia"/>
                <w:szCs w:val="21"/>
              </w:rPr>
              <w:t>输入/输出</w:t>
            </w:r>
            <w:r>
              <w:rPr>
                <w:rFonts w:ascii="黑体" w:eastAsia="黑体"/>
                <w:szCs w:val="21"/>
              </w:rPr>
              <w:t>&lt;/INOUT&gt;</w:t>
            </w:r>
          </w:p>
          <w:p w14:paraId="3D46D403" w14:textId="77777777" w:rsidR="00A052DC" w:rsidRDefault="009F0A60">
            <w:pPr>
              <w:rPr>
                <w:rFonts w:ascii="黑体" w:eastAsia="黑体"/>
                <w:szCs w:val="21"/>
              </w:rPr>
            </w:pPr>
            <w:r>
              <w:rPr>
                <w:rFonts w:ascii="黑体" w:eastAsia="黑体"/>
                <w:szCs w:val="21"/>
              </w:rPr>
              <w:tab/>
              <w:t>&lt;TOTALFILES&gt;</w:t>
            </w:r>
            <w:r>
              <w:rPr>
                <w:rFonts w:ascii="黑体" w:eastAsia="黑体" w:hint="eastAsia"/>
                <w:szCs w:val="21"/>
              </w:rPr>
              <w:t>总文件数</w:t>
            </w:r>
            <w:r>
              <w:rPr>
                <w:rFonts w:ascii="黑体" w:eastAsia="黑体"/>
                <w:szCs w:val="21"/>
              </w:rPr>
              <w:t>&lt;/TOTALFILES&gt;</w:t>
            </w:r>
          </w:p>
          <w:p w14:paraId="61403B46" w14:textId="77777777" w:rsidR="00A052DC" w:rsidRDefault="009F0A60">
            <w:pPr>
              <w:rPr>
                <w:rFonts w:ascii="黑体" w:eastAsia="黑体"/>
                <w:szCs w:val="21"/>
              </w:rPr>
            </w:pPr>
            <w:r>
              <w:rPr>
                <w:rFonts w:ascii="黑体" w:eastAsia="黑体"/>
                <w:szCs w:val="21"/>
              </w:rPr>
              <w:tab/>
              <w:t>&lt;FILES&gt;</w:t>
            </w:r>
          </w:p>
          <w:p w14:paraId="782ED181" w14:textId="77777777" w:rsidR="00A052DC" w:rsidRDefault="009F0A60">
            <w:pPr>
              <w:rPr>
                <w:rFonts w:ascii="黑体" w:eastAsia="黑体"/>
                <w:szCs w:val="21"/>
              </w:rPr>
            </w:pPr>
            <w:r>
              <w:rPr>
                <w:rFonts w:ascii="黑体" w:eastAsia="黑体"/>
                <w:szCs w:val="21"/>
              </w:rPr>
              <w:tab/>
            </w:r>
            <w:r>
              <w:rPr>
                <w:rFonts w:ascii="黑体" w:eastAsia="黑体"/>
                <w:szCs w:val="21"/>
              </w:rPr>
              <w:tab/>
              <w:t xml:space="preserve">&lt;FILE </w:t>
            </w:r>
            <w:r>
              <w:rPr>
                <w:rFonts w:ascii="黑体" w:eastAsia="黑体" w:hint="eastAsia"/>
                <w:szCs w:val="21"/>
              </w:rPr>
              <w:t>TABLENAME="主表名"</w:t>
            </w:r>
            <w:r>
              <w:rPr>
                <w:rFonts w:ascii="黑体" w:eastAsia="黑体"/>
                <w:szCs w:val="21"/>
              </w:rPr>
              <w:t>&gt;</w:t>
            </w:r>
          </w:p>
          <w:p w14:paraId="37284357" w14:textId="77777777" w:rsidR="00A052DC" w:rsidRDefault="009F0A60">
            <w:pPr>
              <w:rPr>
                <w:rFonts w:ascii="黑体" w:eastAsia="黑体"/>
                <w:szCs w:val="21"/>
              </w:rPr>
            </w:pPr>
            <w:r>
              <w:rPr>
                <w:rFonts w:ascii="黑体" w:eastAsia="黑体"/>
                <w:szCs w:val="21"/>
              </w:rPr>
              <w:tab/>
            </w:r>
            <w:r>
              <w:rPr>
                <w:rFonts w:ascii="黑体" w:eastAsia="黑体"/>
                <w:szCs w:val="21"/>
              </w:rPr>
              <w:tab/>
            </w:r>
            <w:r>
              <w:rPr>
                <w:rFonts w:ascii="黑体" w:eastAsia="黑体"/>
                <w:szCs w:val="21"/>
              </w:rPr>
              <w:tab/>
              <w:t>&lt;FILENAME&gt;</w:t>
            </w:r>
            <w:r>
              <w:rPr>
                <w:rFonts w:ascii="黑体" w:eastAsia="黑体" w:hint="eastAsia"/>
                <w:szCs w:val="21"/>
              </w:rPr>
              <w:t>文件名</w:t>
            </w:r>
            <w:r>
              <w:rPr>
                <w:rFonts w:ascii="黑体" w:eastAsia="黑体"/>
                <w:szCs w:val="21"/>
              </w:rPr>
              <w:t>&lt;/FILENAME&gt;</w:t>
            </w:r>
          </w:p>
          <w:p w14:paraId="1EAC35A7" w14:textId="77777777" w:rsidR="00A052DC" w:rsidRDefault="009F0A60">
            <w:pPr>
              <w:rPr>
                <w:rFonts w:ascii="黑体" w:eastAsia="黑体"/>
                <w:szCs w:val="21"/>
              </w:rPr>
            </w:pPr>
            <w:r>
              <w:rPr>
                <w:rFonts w:ascii="黑体" w:eastAsia="黑体"/>
                <w:szCs w:val="21"/>
              </w:rPr>
              <w:tab/>
            </w:r>
            <w:r>
              <w:rPr>
                <w:rFonts w:ascii="黑体" w:eastAsia="黑体"/>
                <w:szCs w:val="21"/>
              </w:rPr>
              <w:tab/>
              <w:t>&lt;/FILE&gt;</w:t>
            </w:r>
          </w:p>
          <w:p w14:paraId="4F93015D" w14:textId="77777777" w:rsidR="00A052DC" w:rsidRDefault="009F0A60">
            <w:pPr>
              <w:rPr>
                <w:rFonts w:ascii="黑体" w:eastAsia="黑体"/>
                <w:szCs w:val="21"/>
              </w:rPr>
            </w:pPr>
            <w:r>
              <w:rPr>
                <w:rFonts w:ascii="黑体" w:eastAsia="黑体"/>
                <w:szCs w:val="21"/>
              </w:rPr>
              <w:tab/>
            </w:r>
            <w:r>
              <w:rPr>
                <w:rFonts w:ascii="黑体" w:eastAsia="黑体"/>
                <w:szCs w:val="21"/>
              </w:rPr>
              <w:tab/>
            </w:r>
            <w:r>
              <w:rPr>
                <w:rFonts w:ascii="黑体" w:eastAsia="黑体" w:hint="eastAsia"/>
                <w:szCs w:val="21"/>
              </w:rPr>
              <w:t>……列出将导入的所有反馈数据文件名</w:t>
            </w:r>
          </w:p>
          <w:p w14:paraId="55A82161" w14:textId="77777777" w:rsidR="00A052DC" w:rsidRDefault="009F0A60">
            <w:pPr>
              <w:rPr>
                <w:rFonts w:ascii="黑体" w:eastAsia="黑体"/>
                <w:szCs w:val="21"/>
              </w:rPr>
            </w:pPr>
            <w:r>
              <w:rPr>
                <w:rFonts w:ascii="黑体" w:eastAsia="黑体"/>
                <w:szCs w:val="21"/>
              </w:rPr>
              <w:tab/>
              <w:t>&lt;/FILES&gt;</w:t>
            </w:r>
          </w:p>
          <w:p w14:paraId="2E1562DA" w14:textId="77777777" w:rsidR="00A052DC" w:rsidRDefault="009F0A60">
            <w:pPr>
              <w:rPr>
                <w:rFonts w:ascii="黑体" w:eastAsia="黑体"/>
                <w:szCs w:val="21"/>
              </w:rPr>
            </w:pPr>
            <w:r>
              <w:rPr>
                <w:rFonts w:ascii="黑体" w:eastAsia="黑体"/>
                <w:szCs w:val="21"/>
              </w:rPr>
              <w:t>&lt;/CONTROLMSG&gt;</w:t>
            </w:r>
          </w:p>
        </w:tc>
      </w:tr>
    </w:tbl>
    <w:p w14:paraId="4FA50E88" w14:textId="77777777" w:rsidR="00A052DC" w:rsidRDefault="00A052DC">
      <w:pPr>
        <w:spacing w:line="360" w:lineRule="auto"/>
        <w:rPr>
          <w:sz w:val="24"/>
        </w:rPr>
      </w:pPr>
    </w:p>
    <w:p w14:paraId="0A2B537F" w14:textId="77777777" w:rsidR="00A052DC" w:rsidRDefault="009F0A60">
      <w:pPr>
        <w:spacing w:line="360" w:lineRule="auto"/>
        <w:rPr>
          <w:sz w:val="24"/>
        </w:rPr>
      </w:pPr>
      <w:r>
        <w:rPr>
          <w:rFonts w:hint="eastAsia"/>
          <w:sz w:val="24"/>
        </w:rPr>
        <w:t>标签项说明：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5354"/>
      </w:tblGrid>
      <w:tr w:rsidR="00A052DC" w14:paraId="2E5D6FEA" w14:textId="77777777" w:rsidTr="00652BE7">
        <w:tc>
          <w:tcPr>
            <w:tcW w:w="3168" w:type="dxa"/>
            <w:shd w:val="clear" w:color="auto" w:fill="D9D9D9" w:themeFill="background1" w:themeFillShade="D9"/>
          </w:tcPr>
          <w:p w14:paraId="3B2EEBAE" w14:textId="77777777" w:rsidR="00E42487" w:rsidRDefault="009F0A60" w:rsidP="00E42487">
            <w:pPr>
              <w:spacing w:line="360" w:lineRule="auto"/>
              <w:jc w:val="center"/>
              <w:rPr>
                <w:rFonts w:ascii="黑体" w:eastAsia="黑体"/>
                <w:b/>
                <w:szCs w:val="21"/>
              </w:rPr>
            </w:pPr>
            <w:r>
              <w:rPr>
                <w:rFonts w:ascii="黑体" w:eastAsia="黑体" w:hint="eastAsia"/>
                <w:b/>
                <w:szCs w:val="21"/>
              </w:rPr>
              <w:t>标签名</w:t>
            </w:r>
          </w:p>
        </w:tc>
        <w:tc>
          <w:tcPr>
            <w:tcW w:w="5354" w:type="dxa"/>
            <w:shd w:val="clear" w:color="auto" w:fill="D9D9D9" w:themeFill="background1" w:themeFillShade="D9"/>
          </w:tcPr>
          <w:p w14:paraId="12144310" w14:textId="77777777" w:rsidR="00E42487" w:rsidRDefault="009F0A60" w:rsidP="00E42487">
            <w:pPr>
              <w:spacing w:line="360" w:lineRule="auto"/>
              <w:jc w:val="center"/>
              <w:rPr>
                <w:rFonts w:ascii="黑体" w:eastAsia="黑体"/>
                <w:b/>
                <w:szCs w:val="21"/>
              </w:rPr>
            </w:pPr>
            <w:r>
              <w:rPr>
                <w:rFonts w:ascii="黑体" w:eastAsia="黑体" w:hint="eastAsia"/>
                <w:b/>
                <w:szCs w:val="21"/>
              </w:rPr>
              <w:t>说明</w:t>
            </w:r>
          </w:p>
        </w:tc>
      </w:tr>
      <w:tr w:rsidR="00A052DC" w14:paraId="323AAC08" w14:textId="77777777">
        <w:tc>
          <w:tcPr>
            <w:tcW w:w="3168" w:type="dxa"/>
          </w:tcPr>
          <w:p w14:paraId="519B3933" w14:textId="77777777" w:rsidR="00A052DC" w:rsidRDefault="009F0A60">
            <w:pPr>
              <w:spacing w:line="360" w:lineRule="auto"/>
              <w:rPr>
                <w:rFonts w:ascii="黑体" w:eastAsia="黑体" w:hAnsi="宋体"/>
                <w:szCs w:val="21"/>
              </w:rPr>
            </w:pPr>
            <w:r>
              <w:rPr>
                <w:rFonts w:ascii="黑体" w:eastAsia="黑体" w:hAnsi="宋体"/>
                <w:szCs w:val="21"/>
              </w:rPr>
              <w:t>SOURCE</w:t>
            </w:r>
          </w:p>
        </w:tc>
        <w:tc>
          <w:tcPr>
            <w:tcW w:w="5354" w:type="dxa"/>
          </w:tcPr>
          <w:p w14:paraId="4AEE4786" w14:textId="77777777" w:rsidR="00A052DC" w:rsidRDefault="009F0A60">
            <w:pPr>
              <w:spacing w:line="360" w:lineRule="auto"/>
              <w:rPr>
                <w:rFonts w:ascii="黑体" w:eastAsia="黑体" w:hAnsi="宋体"/>
                <w:szCs w:val="21"/>
              </w:rPr>
            </w:pPr>
            <w:r>
              <w:rPr>
                <w:rFonts w:ascii="黑体" w:eastAsia="黑体" w:hAnsi="宋体" w:hint="eastAsia"/>
                <w:szCs w:val="21"/>
              </w:rPr>
              <w:t>同应用类型，</w:t>
            </w:r>
            <w:r>
              <w:rPr>
                <w:rFonts w:ascii="黑体" w:eastAsia="黑体" w:hAnsi="宋体"/>
                <w:szCs w:val="21"/>
              </w:rPr>
              <w:t>STOB</w:t>
            </w:r>
            <w:r w:rsidR="00BF0378">
              <w:rPr>
                <w:rFonts w:ascii="黑体" w:eastAsia="黑体" w:hAnsi="宋体" w:hint="eastAsia"/>
                <w:szCs w:val="21"/>
              </w:rPr>
              <w:t>。</w:t>
            </w:r>
          </w:p>
        </w:tc>
      </w:tr>
      <w:tr w:rsidR="00A052DC" w14:paraId="05395EB4" w14:textId="77777777">
        <w:tc>
          <w:tcPr>
            <w:tcW w:w="3168" w:type="dxa"/>
          </w:tcPr>
          <w:p w14:paraId="0FE68C45" w14:textId="77777777" w:rsidR="00A052DC" w:rsidRDefault="009F0A60">
            <w:pPr>
              <w:spacing w:line="360" w:lineRule="auto"/>
              <w:rPr>
                <w:rFonts w:ascii="黑体" w:eastAsia="黑体" w:hAnsi="宋体"/>
                <w:szCs w:val="21"/>
              </w:rPr>
            </w:pPr>
            <w:r>
              <w:rPr>
                <w:rFonts w:ascii="黑体" w:eastAsia="黑体" w:hAnsi="宋体"/>
                <w:szCs w:val="21"/>
              </w:rPr>
              <w:t>DESTINATION</w:t>
            </w:r>
          </w:p>
        </w:tc>
        <w:tc>
          <w:tcPr>
            <w:tcW w:w="5354" w:type="dxa"/>
          </w:tcPr>
          <w:p w14:paraId="1A9FF2FC" w14:textId="77777777" w:rsidR="00A052DC" w:rsidRDefault="009F0A60">
            <w:pPr>
              <w:spacing w:line="360" w:lineRule="auto"/>
              <w:rPr>
                <w:rFonts w:ascii="黑体" w:eastAsia="黑体" w:hAnsi="宋体"/>
                <w:szCs w:val="21"/>
              </w:rPr>
            </w:pPr>
            <w:r>
              <w:rPr>
                <w:rFonts w:ascii="黑体" w:eastAsia="黑体" w:hAnsi="宋体" w:hint="eastAsia"/>
                <w:szCs w:val="21"/>
              </w:rPr>
              <w:t>银行</w:t>
            </w:r>
            <w:r>
              <w:rPr>
                <w:rFonts w:ascii="黑体" w:eastAsia="黑体" w:hAnsi="宋体"/>
                <w:szCs w:val="21"/>
              </w:rPr>
              <w:t>MTS节点代码</w:t>
            </w:r>
            <w:r w:rsidR="00BF0378">
              <w:rPr>
                <w:rFonts w:ascii="黑体" w:eastAsia="黑体" w:hAnsi="宋体" w:hint="eastAsia"/>
                <w:szCs w:val="21"/>
              </w:rPr>
              <w:t>。</w:t>
            </w:r>
          </w:p>
        </w:tc>
      </w:tr>
      <w:tr w:rsidR="00A052DC" w14:paraId="1DCD1A6F" w14:textId="77777777">
        <w:tc>
          <w:tcPr>
            <w:tcW w:w="3168" w:type="dxa"/>
          </w:tcPr>
          <w:p w14:paraId="04F2D8DD" w14:textId="77777777" w:rsidR="00A052DC" w:rsidRDefault="009F0A60">
            <w:pPr>
              <w:spacing w:line="360" w:lineRule="auto"/>
              <w:rPr>
                <w:rFonts w:ascii="黑体" w:eastAsia="黑体" w:hAnsi="宋体"/>
                <w:szCs w:val="21"/>
              </w:rPr>
            </w:pPr>
            <w:r>
              <w:rPr>
                <w:rFonts w:ascii="黑体" w:eastAsia="黑体" w:hAnsi="宋体"/>
                <w:szCs w:val="21"/>
              </w:rPr>
              <w:t>BATCHCODE</w:t>
            </w:r>
          </w:p>
        </w:tc>
        <w:tc>
          <w:tcPr>
            <w:tcW w:w="5354" w:type="dxa"/>
          </w:tcPr>
          <w:p w14:paraId="737655F9" w14:textId="77777777" w:rsidR="00A052DC" w:rsidRDefault="009F0A60">
            <w:pPr>
              <w:spacing w:line="360" w:lineRule="auto"/>
              <w:rPr>
                <w:rFonts w:ascii="黑体" w:eastAsia="黑体" w:hAnsi="宋体"/>
                <w:szCs w:val="21"/>
              </w:rPr>
            </w:pPr>
            <w:r>
              <w:rPr>
                <w:rFonts w:ascii="黑体" w:eastAsia="黑体" w:hAnsi="宋体" w:hint="eastAsia"/>
                <w:szCs w:val="21"/>
              </w:rPr>
              <w:t>批号</w:t>
            </w:r>
            <w:r w:rsidR="00BF0378">
              <w:rPr>
                <w:rFonts w:ascii="黑体" w:eastAsia="黑体" w:hAnsi="宋体" w:hint="eastAsia"/>
                <w:szCs w:val="21"/>
              </w:rPr>
              <w:t>。</w:t>
            </w:r>
          </w:p>
        </w:tc>
      </w:tr>
      <w:tr w:rsidR="00A052DC" w14:paraId="042386F0" w14:textId="77777777">
        <w:tc>
          <w:tcPr>
            <w:tcW w:w="3168" w:type="dxa"/>
          </w:tcPr>
          <w:p w14:paraId="607BDA3B" w14:textId="77777777" w:rsidR="00A052DC" w:rsidRDefault="009F0A60">
            <w:pPr>
              <w:spacing w:line="360" w:lineRule="auto"/>
              <w:rPr>
                <w:rFonts w:ascii="黑体" w:eastAsia="黑体" w:hAnsi="宋体"/>
                <w:szCs w:val="21"/>
              </w:rPr>
            </w:pPr>
            <w:r>
              <w:rPr>
                <w:rFonts w:ascii="黑体" w:eastAsia="黑体"/>
                <w:szCs w:val="21"/>
              </w:rPr>
              <w:t>INOUT</w:t>
            </w:r>
          </w:p>
        </w:tc>
        <w:tc>
          <w:tcPr>
            <w:tcW w:w="5354" w:type="dxa"/>
          </w:tcPr>
          <w:p w14:paraId="0A6FF555" w14:textId="77777777" w:rsidR="00A052DC" w:rsidRDefault="009F0A60">
            <w:pPr>
              <w:spacing w:line="360" w:lineRule="auto"/>
              <w:rPr>
                <w:rFonts w:ascii="黑体" w:eastAsia="黑体" w:hAnsi="宋体"/>
                <w:szCs w:val="21"/>
              </w:rPr>
            </w:pPr>
            <w:r>
              <w:rPr>
                <w:rFonts w:ascii="黑体" w:eastAsia="黑体" w:hAnsi="宋体" w:hint="eastAsia"/>
                <w:szCs w:val="21"/>
              </w:rPr>
              <w:t>输入输出标记，此值为</w:t>
            </w:r>
            <w:r>
              <w:rPr>
                <w:rFonts w:ascii="黑体" w:eastAsia="黑体" w:hAnsi="宋体"/>
                <w:szCs w:val="21"/>
              </w:rPr>
              <w:t>OUTPUT</w:t>
            </w:r>
            <w:r w:rsidR="00BF0378">
              <w:rPr>
                <w:rFonts w:ascii="黑体" w:eastAsia="黑体" w:hAnsi="宋体" w:hint="eastAsia"/>
                <w:szCs w:val="21"/>
              </w:rPr>
              <w:t>。</w:t>
            </w:r>
          </w:p>
        </w:tc>
      </w:tr>
      <w:tr w:rsidR="00A052DC" w14:paraId="0348C4C7" w14:textId="77777777">
        <w:tc>
          <w:tcPr>
            <w:tcW w:w="3168" w:type="dxa"/>
          </w:tcPr>
          <w:p w14:paraId="61FC5C7C" w14:textId="77777777" w:rsidR="00A052DC" w:rsidRDefault="009F0A60">
            <w:pPr>
              <w:spacing w:line="360" w:lineRule="auto"/>
              <w:rPr>
                <w:rFonts w:ascii="黑体" w:eastAsia="黑体"/>
                <w:szCs w:val="21"/>
              </w:rPr>
            </w:pPr>
            <w:r>
              <w:rPr>
                <w:rFonts w:ascii="黑体" w:eastAsia="黑体"/>
                <w:szCs w:val="21"/>
              </w:rPr>
              <w:t>TOTALFILES</w:t>
            </w:r>
          </w:p>
        </w:tc>
        <w:tc>
          <w:tcPr>
            <w:tcW w:w="5354" w:type="dxa"/>
          </w:tcPr>
          <w:p w14:paraId="2974DCD6" w14:textId="77777777" w:rsidR="00A052DC" w:rsidRDefault="009F0A60">
            <w:pPr>
              <w:spacing w:line="360" w:lineRule="auto"/>
              <w:rPr>
                <w:rFonts w:ascii="黑体" w:eastAsia="黑体" w:hAnsi="宋体"/>
                <w:szCs w:val="21"/>
              </w:rPr>
            </w:pPr>
            <w:r>
              <w:rPr>
                <w:rFonts w:ascii="黑体" w:eastAsia="黑体" w:hAnsi="宋体" w:hint="eastAsia"/>
                <w:szCs w:val="21"/>
              </w:rPr>
              <w:t>反馈数据文件名列表总数</w:t>
            </w:r>
            <w:r w:rsidR="00BF0378">
              <w:rPr>
                <w:rFonts w:ascii="黑体" w:eastAsia="黑体" w:hAnsi="宋体" w:hint="eastAsia"/>
                <w:szCs w:val="21"/>
              </w:rPr>
              <w:t>。</w:t>
            </w:r>
          </w:p>
        </w:tc>
      </w:tr>
      <w:tr w:rsidR="00A052DC" w14:paraId="3F024D9F" w14:textId="77777777">
        <w:tc>
          <w:tcPr>
            <w:tcW w:w="3168" w:type="dxa"/>
          </w:tcPr>
          <w:p w14:paraId="19B1C144" w14:textId="77777777" w:rsidR="00A052DC" w:rsidRDefault="009F0A60">
            <w:pPr>
              <w:spacing w:line="360" w:lineRule="auto"/>
              <w:rPr>
                <w:rFonts w:ascii="黑体" w:eastAsia="黑体"/>
                <w:szCs w:val="21"/>
              </w:rPr>
            </w:pPr>
            <w:r>
              <w:rPr>
                <w:rFonts w:ascii="黑体" w:eastAsia="黑体"/>
                <w:szCs w:val="21"/>
              </w:rPr>
              <w:t>FILES</w:t>
            </w:r>
          </w:p>
        </w:tc>
        <w:tc>
          <w:tcPr>
            <w:tcW w:w="5354" w:type="dxa"/>
          </w:tcPr>
          <w:p w14:paraId="534FFF4F" w14:textId="77777777" w:rsidR="00A052DC" w:rsidRDefault="009F0A60">
            <w:pPr>
              <w:spacing w:line="360" w:lineRule="auto"/>
              <w:rPr>
                <w:rFonts w:ascii="黑体" w:eastAsia="黑体" w:hAnsi="宋体"/>
                <w:szCs w:val="21"/>
              </w:rPr>
            </w:pPr>
            <w:r>
              <w:rPr>
                <w:rFonts w:ascii="黑体" w:eastAsia="黑体" w:hAnsi="宋体" w:hint="eastAsia"/>
                <w:szCs w:val="21"/>
              </w:rPr>
              <w:t>文件名集合项，此标签包括一个或多个文件标签列表。</w:t>
            </w:r>
          </w:p>
        </w:tc>
      </w:tr>
      <w:tr w:rsidR="00A052DC" w14:paraId="30ADED47" w14:textId="77777777">
        <w:tc>
          <w:tcPr>
            <w:tcW w:w="3168" w:type="dxa"/>
          </w:tcPr>
          <w:p w14:paraId="56689105" w14:textId="77777777" w:rsidR="00A052DC" w:rsidRDefault="009F0A60">
            <w:pPr>
              <w:spacing w:line="360" w:lineRule="auto"/>
              <w:rPr>
                <w:rFonts w:ascii="黑体" w:eastAsia="黑体"/>
                <w:szCs w:val="21"/>
              </w:rPr>
            </w:pPr>
            <w:r>
              <w:rPr>
                <w:rFonts w:ascii="黑体" w:eastAsia="黑体"/>
                <w:szCs w:val="21"/>
              </w:rPr>
              <w:t>FILE</w:t>
            </w:r>
          </w:p>
        </w:tc>
        <w:tc>
          <w:tcPr>
            <w:tcW w:w="5354" w:type="dxa"/>
          </w:tcPr>
          <w:p w14:paraId="049058DE" w14:textId="77777777" w:rsidR="00A052DC" w:rsidRDefault="009F0A60">
            <w:pPr>
              <w:spacing w:line="360" w:lineRule="auto"/>
              <w:rPr>
                <w:rFonts w:ascii="黑体" w:eastAsia="黑体" w:hAnsi="宋体"/>
                <w:szCs w:val="21"/>
              </w:rPr>
            </w:pPr>
            <w:r>
              <w:rPr>
                <w:rFonts w:ascii="黑体" w:eastAsia="黑体" w:hAnsi="宋体" w:hint="eastAsia"/>
                <w:szCs w:val="21"/>
              </w:rPr>
              <w:t>文件标签项，此标签项包括反馈数据文件名标签项。</w:t>
            </w:r>
          </w:p>
        </w:tc>
      </w:tr>
      <w:tr w:rsidR="00A052DC" w14:paraId="1A380486" w14:textId="77777777">
        <w:tc>
          <w:tcPr>
            <w:tcW w:w="3168" w:type="dxa"/>
          </w:tcPr>
          <w:p w14:paraId="1B749237" w14:textId="77777777" w:rsidR="00A052DC" w:rsidRDefault="009F0A60">
            <w:pPr>
              <w:spacing w:line="360" w:lineRule="auto"/>
              <w:rPr>
                <w:rFonts w:ascii="黑体" w:eastAsia="黑体"/>
                <w:szCs w:val="21"/>
              </w:rPr>
            </w:pPr>
            <w:r>
              <w:rPr>
                <w:rFonts w:ascii="黑体" w:eastAsia="黑体"/>
                <w:szCs w:val="21"/>
              </w:rPr>
              <w:t>FILENAME</w:t>
            </w:r>
          </w:p>
        </w:tc>
        <w:tc>
          <w:tcPr>
            <w:tcW w:w="5354" w:type="dxa"/>
          </w:tcPr>
          <w:p w14:paraId="6219FE27" w14:textId="77777777" w:rsidR="00A052DC" w:rsidRDefault="009F0A60">
            <w:pPr>
              <w:spacing w:line="360" w:lineRule="auto"/>
              <w:rPr>
                <w:rFonts w:ascii="黑体" w:eastAsia="黑体" w:hAnsi="宋体"/>
                <w:szCs w:val="21"/>
              </w:rPr>
            </w:pPr>
            <w:r>
              <w:rPr>
                <w:rFonts w:ascii="黑体" w:eastAsia="黑体" w:hAnsi="宋体" w:hint="eastAsia"/>
                <w:szCs w:val="21"/>
              </w:rPr>
              <w:t>文件名标签，此项为反馈数据文件名称。</w:t>
            </w:r>
          </w:p>
        </w:tc>
      </w:tr>
    </w:tbl>
    <w:p w14:paraId="721240CC" w14:textId="77777777" w:rsidR="00A052DC" w:rsidRDefault="009F0A60">
      <w:pPr>
        <w:pStyle w:val="5"/>
        <w:numPr>
          <w:ilvl w:val="4"/>
          <w:numId w:val="1"/>
        </w:numPr>
        <w:spacing w:before="120" w:after="120" w:line="360" w:lineRule="auto"/>
        <w:jc w:val="left"/>
      </w:pPr>
      <w:r>
        <w:rPr>
          <w:rFonts w:hint="eastAsia"/>
        </w:rPr>
        <w:t>暂停持境内银行卡在境外提取现金个人名单</w:t>
      </w:r>
    </w:p>
    <w:p w14:paraId="414CD42F"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kern w:val="0"/>
          <w:sz w:val="24"/>
          <w:szCs w:val="20"/>
        </w:rPr>
        <w:t>&lt;MSG&gt;</w:t>
      </w:r>
    </w:p>
    <w:p w14:paraId="3B74F580"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kern w:val="0"/>
          <w:sz w:val="24"/>
          <w:szCs w:val="20"/>
        </w:rPr>
        <w:t>&lt;APPTYPE&gt;</w:t>
      </w:r>
      <w:r>
        <w:rPr>
          <w:rFonts w:ascii="Times New Roman" w:hAnsi="Times New Roman" w:hint="eastAsia"/>
          <w:kern w:val="0"/>
          <w:sz w:val="24"/>
          <w:szCs w:val="20"/>
        </w:rPr>
        <w:t>应用类型</w:t>
      </w:r>
      <w:r>
        <w:rPr>
          <w:rFonts w:ascii="Times New Roman" w:hAnsi="Times New Roman"/>
          <w:kern w:val="0"/>
          <w:sz w:val="24"/>
          <w:szCs w:val="20"/>
        </w:rPr>
        <w:t>&lt;/APPTYPE&gt;</w:t>
      </w:r>
    </w:p>
    <w:p w14:paraId="10FB14F5"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kern w:val="0"/>
          <w:sz w:val="24"/>
          <w:szCs w:val="20"/>
        </w:rPr>
        <w:t>&lt;CURRENTFILE&gt;</w:t>
      </w:r>
      <w:r>
        <w:rPr>
          <w:rFonts w:ascii="Times New Roman" w:hAnsi="Times New Roman" w:hint="eastAsia"/>
          <w:kern w:val="0"/>
          <w:sz w:val="24"/>
          <w:szCs w:val="20"/>
        </w:rPr>
        <w:t>当前文件类型</w:t>
      </w:r>
      <w:r>
        <w:rPr>
          <w:rFonts w:ascii="Times New Roman" w:hAnsi="Times New Roman"/>
          <w:kern w:val="0"/>
          <w:sz w:val="24"/>
          <w:szCs w:val="20"/>
        </w:rPr>
        <w:t>&lt;/CURRENTFILE&gt;</w:t>
      </w:r>
    </w:p>
    <w:p w14:paraId="0B5FAC3C"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kern w:val="0"/>
          <w:sz w:val="24"/>
          <w:szCs w:val="20"/>
        </w:rPr>
        <w:t>&lt;INOUT&gt;</w:t>
      </w:r>
      <w:r>
        <w:rPr>
          <w:rFonts w:ascii="Times New Roman" w:hAnsi="Times New Roman" w:hint="eastAsia"/>
          <w:kern w:val="0"/>
          <w:sz w:val="24"/>
          <w:szCs w:val="20"/>
        </w:rPr>
        <w:t>输入</w:t>
      </w:r>
      <w:r>
        <w:rPr>
          <w:rFonts w:ascii="Times New Roman" w:hAnsi="Times New Roman"/>
          <w:kern w:val="0"/>
          <w:sz w:val="24"/>
          <w:szCs w:val="20"/>
        </w:rPr>
        <w:t>/</w:t>
      </w:r>
      <w:r>
        <w:rPr>
          <w:rFonts w:ascii="Times New Roman" w:hAnsi="Times New Roman" w:hint="eastAsia"/>
          <w:kern w:val="0"/>
          <w:sz w:val="24"/>
          <w:szCs w:val="20"/>
        </w:rPr>
        <w:t>输出</w:t>
      </w:r>
      <w:r>
        <w:rPr>
          <w:rFonts w:ascii="Times New Roman" w:hAnsi="Times New Roman"/>
          <w:kern w:val="0"/>
          <w:sz w:val="24"/>
          <w:szCs w:val="20"/>
        </w:rPr>
        <w:t>&lt;/INOUT&gt;</w:t>
      </w:r>
    </w:p>
    <w:p w14:paraId="705F3A3C"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kern w:val="0"/>
          <w:sz w:val="24"/>
          <w:szCs w:val="20"/>
        </w:rPr>
        <w:t>&lt;TOTALFILES&gt;</w:t>
      </w:r>
      <w:r>
        <w:rPr>
          <w:rFonts w:ascii="Times New Roman" w:hAnsi="Times New Roman" w:hint="eastAsia"/>
          <w:kern w:val="0"/>
          <w:sz w:val="24"/>
          <w:szCs w:val="20"/>
        </w:rPr>
        <w:t>总文件数</w:t>
      </w:r>
      <w:r>
        <w:rPr>
          <w:rFonts w:ascii="Times New Roman" w:hAnsi="Times New Roman"/>
          <w:kern w:val="0"/>
          <w:sz w:val="24"/>
          <w:szCs w:val="20"/>
        </w:rPr>
        <w:t>&lt;/TOTALFILES&gt;</w:t>
      </w:r>
    </w:p>
    <w:p w14:paraId="1049F1BB"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kern w:val="0"/>
          <w:sz w:val="24"/>
          <w:szCs w:val="20"/>
        </w:rPr>
        <w:t>&lt;FILES&gt;</w:t>
      </w:r>
    </w:p>
    <w:p w14:paraId="7FCB55FE"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kern w:val="0"/>
          <w:sz w:val="24"/>
          <w:szCs w:val="20"/>
        </w:rPr>
        <w:tab/>
      </w:r>
      <w:r>
        <w:rPr>
          <w:rFonts w:ascii="Times New Roman" w:hAnsi="Times New Roman"/>
          <w:kern w:val="0"/>
          <w:sz w:val="24"/>
          <w:szCs w:val="20"/>
        </w:rPr>
        <w:tab/>
        <w:t>&lt;FILENAME&gt;</w:t>
      </w:r>
      <w:r>
        <w:rPr>
          <w:rFonts w:ascii="Times New Roman" w:hAnsi="Times New Roman" w:hint="eastAsia"/>
          <w:kern w:val="0"/>
          <w:sz w:val="24"/>
          <w:szCs w:val="20"/>
        </w:rPr>
        <w:t>文件名</w:t>
      </w:r>
      <w:r>
        <w:rPr>
          <w:rFonts w:ascii="Times New Roman" w:hAnsi="Times New Roman"/>
          <w:kern w:val="0"/>
          <w:sz w:val="24"/>
          <w:szCs w:val="20"/>
        </w:rPr>
        <w:t>&lt;/FILENAME&gt;</w:t>
      </w:r>
    </w:p>
    <w:p w14:paraId="36AEE0EB"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kern w:val="0"/>
          <w:sz w:val="24"/>
          <w:szCs w:val="20"/>
        </w:rPr>
        <w:tab/>
      </w:r>
      <w:r>
        <w:rPr>
          <w:rFonts w:ascii="Times New Roman" w:hAnsi="Times New Roman"/>
          <w:kern w:val="0"/>
          <w:sz w:val="24"/>
          <w:szCs w:val="20"/>
        </w:rPr>
        <w:tab/>
        <w:t>……</w:t>
      </w:r>
      <w:r>
        <w:rPr>
          <w:rFonts w:ascii="Times New Roman" w:hAnsi="Times New Roman" w:hint="eastAsia"/>
          <w:kern w:val="0"/>
          <w:sz w:val="24"/>
          <w:szCs w:val="20"/>
        </w:rPr>
        <w:t>列出的所有接口反馈数据文件名</w:t>
      </w:r>
    </w:p>
    <w:p w14:paraId="6DF763B8"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kern w:val="0"/>
          <w:sz w:val="24"/>
          <w:szCs w:val="20"/>
        </w:rPr>
        <w:t>&lt;/FILES&gt;</w:t>
      </w:r>
    </w:p>
    <w:p w14:paraId="46B98D91"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kern w:val="0"/>
          <w:sz w:val="24"/>
          <w:szCs w:val="20"/>
        </w:rPr>
        <w:t>&lt;/MSG&gt;</w:t>
      </w:r>
    </w:p>
    <w:p w14:paraId="5778DA1A" w14:textId="77777777" w:rsidR="00A052DC" w:rsidRDefault="009F0A60" w:rsidP="0020251D">
      <w:pPr>
        <w:pStyle w:val="5"/>
        <w:numPr>
          <w:ilvl w:val="4"/>
          <w:numId w:val="1"/>
        </w:numPr>
        <w:spacing w:before="120" w:after="120" w:line="360" w:lineRule="auto"/>
        <w:jc w:val="left"/>
      </w:pPr>
      <w:r>
        <w:rPr>
          <w:rFonts w:hint="eastAsia"/>
        </w:rPr>
        <w:t>涉嫌外汇违规账户查询信息</w:t>
      </w:r>
    </w:p>
    <w:p w14:paraId="5253FCE6"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kern w:val="0"/>
          <w:sz w:val="24"/>
          <w:szCs w:val="20"/>
        </w:rPr>
        <w:t>&lt;MSG&gt;</w:t>
      </w:r>
    </w:p>
    <w:p w14:paraId="7B19DB25"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kern w:val="0"/>
          <w:sz w:val="24"/>
          <w:szCs w:val="20"/>
        </w:rPr>
        <w:t>&lt;APPTYPE&gt;</w:t>
      </w:r>
      <w:r>
        <w:rPr>
          <w:rFonts w:ascii="Times New Roman" w:hAnsi="Times New Roman" w:hint="eastAsia"/>
          <w:kern w:val="0"/>
          <w:sz w:val="24"/>
          <w:szCs w:val="20"/>
        </w:rPr>
        <w:t>应用类型（</w:t>
      </w:r>
      <w:r>
        <w:rPr>
          <w:rFonts w:ascii="Times New Roman" w:hAnsi="Times New Roman"/>
          <w:kern w:val="0"/>
          <w:sz w:val="24"/>
          <w:szCs w:val="20"/>
        </w:rPr>
        <w:t>LTOB</w:t>
      </w:r>
      <w:r>
        <w:rPr>
          <w:rFonts w:ascii="Times New Roman" w:hAnsi="Times New Roman" w:hint="eastAsia"/>
          <w:kern w:val="0"/>
          <w:sz w:val="24"/>
          <w:szCs w:val="20"/>
        </w:rPr>
        <w:t>）</w:t>
      </w:r>
      <w:r>
        <w:rPr>
          <w:rFonts w:ascii="Times New Roman" w:hAnsi="Times New Roman"/>
          <w:kern w:val="0"/>
          <w:sz w:val="24"/>
          <w:szCs w:val="20"/>
        </w:rPr>
        <w:t>&lt;/APPTYPE&gt;</w:t>
      </w:r>
    </w:p>
    <w:p w14:paraId="29F9013F"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kern w:val="0"/>
          <w:sz w:val="24"/>
          <w:szCs w:val="20"/>
        </w:rPr>
        <w:t>&lt;CURRENTFILE&gt;</w:t>
      </w:r>
      <w:r>
        <w:rPr>
          <w:rFonts w:ascii="Times New Roman" w:hAnsi="Times New Roman" w:hint="eastAsia"/>
          <w:kern w:val="0"/>
          <w:sz w:val="24"/>
          <w:szCs w:val="20"/>
        </w:rPr>
        <w:t>当前文件类型</w:t>
      </w:r>
      <w:r>
        <w:rPr>
          <w:rFonts w:ascii="Times New Roman" w:hAnsi="Times New Roman"/>
          <w:kern w:val="0"/>
          <w:sz w:val="24"/>
          <w:szCs w:val="20"/>
        </w:rPr>
        <w:t>&lt;/CURRENTFILE&gt;</w:t>
      </w:r>
    </w:p>
    <w:p w14:paraId="50B18974"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kern w:val="0"/>
          <w:sz w:val="24"/>
          <w:szCs w:val="20"/>
        </w:rPr>
        <w:t>&lt;INOUT&gt;</w:t>
      </w:r>
      <w:r>
        <w:rPr>
          <w:rFonts w:ascii="Times New Roman" w:hAnsi="Times New Roman" w:hint="eastAsia"/>
          <w:kern w:val="0"/>
          <w:sz w:val="24"/>
          <w:szCs w:val="20"/>
        </w:rPr>
        <w:t>输入</w:t>
      </w:r>
      <w:r>
        <w:rPr>
          <w:rFonts w:ascii="Times New Roman" w:hAnsi="Times New Roman"/>
          <w:kern w:val="0"/>
          <w:sz w:val="24"/>
          <w:szCs w:val="20"/>
        </w:rPr>
        <w:t>/</w:t>
      </w:r>
      <w:r>
        <w:rPr>
          <w:rFonts w:ascii="Times New Roman" w:hAnsi="Times New Roman" w:hint="eastAsia"/>
          <w:kern w:val="0"/>
          <w:sz w:val="24"/>
          <w:szCs w:val="20"/>
        </w:rPr>
        <w:t>输出</w:t>
      </w:r>
      <w:r>
        <w:rPr>
          <w:rFonts w:ascii="Times New Roman" w:hAnsi="Times New Roman"/>
          <w:kern w:val="0"/>
          <w:sz w:val="24"/>
          <w:szCs w:val="20"/>
        </w:rPr>
        <w:t>&lt;/INOUT&gt;</w:t>
      </w:r>
    </w:p>
    <w:p w14:paraId="45F3107D"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kern w:val="0"/>
          <w:sz w:val="24"/>
          <w:szCs w:val="20"/>
        </w:rPr>
        <w:t>&lt;TOTALFILES&gt;</w:t>
      </w:r>
      <w:r>
        <w:rPr>
          <w:rFonts w:ascii="Times New Roman" w:hAnsi="Times New Roman" w:hint="eastAsia"/>
          <w:kern w:val="0"/>
          <w:sz w:val="24"/>
          <w:szCs w:val="20"/>
        </w:rPr>
        <w:t>总文件数</w:t>
      </w:r>
      <w:r>
        <w:rPr>
          <w:rFonts w:ascii="Times New Roman" w:hAnsi="Times New Roman"/>
          <w:kern w:val="0"/>
          <w:sz w:val="24"/>
          <w:szCs w:val="20"/>
        </w:rPr>
        <w:t>&lt;/TOTALFILES&gt;</w:t>
      </w:r>
    </w:p>
    <w:p w14:paraId="18CC7416"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kern w:val="0"/>
          <w:sz w:val="24"/>
          <w:szCs w:val="20"/>
        </w:rPr>
        <w:t>&lt;FILES&gt;</w:t>
      </w:r>
    </w:p>
    <w:p w14:paraId="768E4050"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kern w:val="0"/>
          <w:sz w:val="24"/>
          <w:szCs w:val="20"/>
        </w:rPr>
        <w:tab/>
      </w:r>
      <w:r>
        <w:rPr>
          <w:rFonts w:ascii="Times New Roman" w:hAnsi="Times New Roman"/>
          <w:kern w:val="0"/>
          <w:sz w:val="24"/>
          <w:szCs w:val="20"/>
        </w:rPr>
        <w:tab/>
        <w:t>&lt;FILENAME&gt;</w:t>
      </w:r>
      <w:r>
        <w:rPr>
          <w:rFonts w:ascii="Times New Roman" w:hAnsi="Times New Roman" w:hint="eastAsia"/>
          <w:kern w:val="0"/>
          <w:sz w:val="24"/>
          <w:szCs w:val="20"/>
        </w:rPr>
        <w:t>文件名</w:t>
      </w:r>
      <w:r>
        <w:rPr>
          <w:rFonts w:ascii="Times New Roman" w:hAnsi="Times New Roman"/>
          <w:kern w:val="0"/>
          <w:sz w:val="24"/>
          <w:szCs w:val="20"/>
        </w:rPr>
        <w:t>&lt;/FILENAME&gt;</w:t>
      </w:r>
    </w:p>
    <w:p w14:paraId="4A46327A"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kern w:val="0"/>
          <w:sz w:val="24"/>
          <w:szCs w:val="20"/>
        </w:rPr>
        <w:tab/>
      </w:r>
      <w:r>
        <w:rPr>
          <w:rFonts w:ascii="Times New Roman" w:hAnsi="Times New Roman"/>
          <w:kern w:val="0"/>
          <w:sz w:val="24"/>
          <w:szCs w:val="20"/>
        </w:rPr>
        <w:tab/>
      </w:r>
      <w:r>
        <w:rPr>
          <w:rFonts w:ascii="Times New Roman" w:hAnsi="Times New Roman" w:hint="eastAsia"/>
          <w:kern w:val="0"/>
          <w:sz w:val="24"/>
          <w:szCs w:val="20"/>
        </w:rPr>
        <w:t>……列出的所有接口反馈数据文件名</w:t>
      </w:r>
    </w:p>
    <w:p w14:paraId="020B3E14"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kern w:val="0"/>
          <w:sz w:val="24"/>
          <w:szCs w:val="20"/>
        </w:rPr>
        <w:t>&lt;/FILES&gt;</w:t>
      </w:r>
    </w:p>
    <w:p w14:paraId="04592AE2" w14:textId="77777777" w:rsidR="00A052DC" w:rsidRDefault="009F0A60">
      <w:pPr>
        <w:spacing w:line="360" w:lineRule="auto"/>
        <w:rPr>
          <w:sz w:val="24"/>
        </w:rPr>
      </w:pPr>
      <w:r>
        <w:rPr>
          <w:rFonts w:ascii="Times New Roman" w:hAnsi="Times New Roman" w:hint="eastAsia"/>
          <w:kern w:val="0"/>
          <w:sz w:val="24"/>
          <w:szCs w:val="20"/>
        </w:rPr>
        <w:tab/>
      </w:r>
      <w:r>
        <w:rPr>
          <w:rFonts w:ascii="Times New Roman" w:hAnsi="Times New Roman"/>
          <w:kern w:val="0"/>
          <w:sz w:val="24"/>
          <w:szCs w:val="20"/>
        </w:rPr>
        <w:t>&lt;/MSG&gt;</w:t>
      </w:r>
    </w:p>
    <w:p w14:paraId="6BCEDA9F" w14:textId="77777777" w:rsidR="00A052DC" w:rsidRDefault="009F0A60" w:rsidP="0020251D">
      <w:pPr>
        <w:pStyle w:val="4"/>
        <w:numPr>
          <w:ilvl w:val="3"/>
          <w:numId w:val="1"/>
        </w:numPr>
        <w:jc w:val="left"/>
      </w:pPr>
      <w:bookmarkStart w:id="4463" w:name="_Toc454394924"/>
      <w:bookmarkStart w:id="4464" w:name="_Toc454394925"/>
      <w:bookmarkStart w:id="4465" w:name="_Toc310599120"/>
      <w:bookmarkEnd w:id="4463"/>
      <w:r>
        <w:rPr>
          <w:rFonts w:hint="eastAsia"/>
        </w:rPr>
        <w:t>数据文件格式</w:t>
      </w:r>
      <w:bookmarkEnd w:id="4464"/>
      <w:bookmarkEnd w:id="4465"/>
    </w:p>
    <w:p w14:paraId="79A5F145" w14:textId="77777777" w:rsidR="00A052DC" w:rsidRDefault="009F0A60" w:rsidP="0020251D">
      <w:pPr>
        <w:pStyle w:val="5"/>
        <w:numPr>
          <w:ilvl w:val="4"/>
          <w:numId w:val="1"/>
        </w:numPr>
        <w:spacing w:before="120" w:after="120" w:line="360" w:lineRule="auto"/>
        <w:jc w:val="left"/>
      </w:pPr>
      <w:r>
        <w:rPr>
          <w:rFonts w:hint="eastAsia"/>
        </w:rPr>
        <w:t>涉外收支、境内划转数据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A052DC" w14:paraId="36A0C3D8" w14:textId="77777777">
        <w:tc>
          <w:tcPr>
            <w:tcW w:w="8522" w:type="dxa"/>
            <w:shd w:val="clear" w:color="auto" w:fill="E6E6E6"/>
          </w:tcPr>
          <w:p w14:paraId="6E25EE28" w14:textId="77777777" w:rsidR="00A052DC" w:rsidRDefault="009F0A60">
            <w:pPr>
              <w:autoSpaceDE w:val="0"/>
              <w:autoSpaceDN w:val="0"/>
              <w:adjustRightInd w:val="0"/>
              <w:jc w:val="left"/>
              <w:rPr>
                <w:rFonts w:ascii="黑体" w:eastAsia="黑体"/>
                <w:kern w:val="0"/>
                <w:szCs w:val="21"/>
              </w:rPr>
            </w:pPr>
            <w:r>
              <w:rPr>
                <w:rFonts w:ascii="黑体" w:eastAsia="黑体"/>
                <w:kern w:val="0"/>
                <w:szCs w:val="21"/>
              </w:rPr>
              <w:t>&lt;DATAMSG&gt;</w:t>
            </w:r>
          </w:p>
          <w:p w14:paraId="402E6BBE" w14:textId="77777777" w:rsidR="00A052DC" w:rsidRDefault="009F0A60">
            <w:pPr>
              <w:autoSpaceDE w:val="0"/>
              <w:autoSpaceDN w:val="0"/>
              <w:adjustRightInd w:val="0"/>
              <w:jc w:val="left"/>
              <w:rPr>
                <w:rFonts w:ascii="黑体" w:eastAsia="黑体"/>
                <w:kern w:val="0"/>
                <w:szCs w:val="21"/>
              </w:rPr>
            </w:pPr>
            <w:r>
              <w:rPr>
                <w:rFonts w:ascii="黑体" w:eastAsia="黑体"/>
                <w:kern w:val="0"/>
                <w:szCs w:val="21"/>
              </w:rPr>
              <w:tab/>
              <w:t>&lt;MAINTABLENAME&gt;</w:t>
            </w:r>
            <w:r>
              <w:rPr>
                <w:rFonts w:ascii="黑体" w:eastAsia="黑体" w:hint="eastAsia"/>
                <w:kern w:val="0"/>
                <w:szCs w:val="21"/>
              </w:rPr>
              <w:t>表名</w:t>
            </w:r>
            <w:r>
              <w:rPr>
                <w:rFonts w:ascii="黑体" w:eastAsia="黑体"/>
                <w:kern w:val="0"/>
                <w:szCs w:val="21"/>
              </w:rPr>
              <w:t>&lt;/MAINTABLENAME&gt;</w:t>
            </w:r>
          </w:p>
          <w:p w14:paraId="4FE83190" w14:textId="77777777" w:rsidR="00A052DC" w:rsidRDefault="009F0A60">
            <w:pPr>
              <w:autoSpaceDE w:val="0"/>
              <w:autoSpaceDN w:val="0"/>
              <w:adjustRightInd w:val="0"/>
              <w:jc w:val="left"/>
              <w:rPr>
                <w:rFonts w:ascii="黑体" w:eastAsia="黑体"/>
                <w:kern w:val="0"/>
                <w:szCs w:val="21"/>
              </w:rPr>
            </w:pPr>
            <w:r>
              <w:rPr>
                <w:rFonts w:ascii="黑体" w:eastAsia="黑体"/>
                <w:kern w:val="0"/>
                <w:szCs w:val="21"/>
              </w:rPr>
              <w:tab/>
              <w:t>&lt;MAINRECORDS&gt;</w:t>
            </w:r>
            <w:r>
              <w:rPr>
                <w:rFonts w:ascii="黑体" w:eastAsia="黑体" w:hint="eastAsia"/>
                <w:kern w:val="0"/>
                <w:szCs w:val="21"/>
              </w:rPr>
              <w:t>表记录数</w:t>
            </w:r>
            <w:r>
              <w:rPr>
                <w:rFonts w:ascii="黑体" w:eastAsia="黑体"/>
                <w:kern w:val="0"/>
                <w:szCs w:val="21"/>
              </w:rPr>
              <w:t>&lt;/MAINRECORDS&gt;</w:t>
            </w:r>
          </w:p>
          <w:p w14:paraId="19C23D7A" w14:textId="77777777" w:rsidR="00A052DC" w:rsidRDefault="009F0A60">
            <w:pPr>
              <w:autoSpaceDE w:val="0"/>
              <w:autoSpaceDN w:val="0"/>
              <w:adjustRightInd w:val="0"/>
              <w:jc w:val="left"/>
              <w:rPr>
                <w:rFonts w:ascii="黑体" w:eastAsia="黑体"/>
                <w:kern w:val="0"/>
                <w:szCs w:val="21"/>
              </w:rPr>
            </w:pPr>
            <w:r>
              <w:rPr>
                <w:rFonts w:ascii="黑体" w:eastAsia="黑体"/>
                <w:kern w:val="0"/>
                <w:szCs w:val="21"/>
              </w:rPr>
              <w:tab/>
              <w:t>&lt;RECORDITEMS&gt;</w:t>
            </w:r>
            <w:r>
              <w:rPr>
                <w:rFonts w:ascii="黑体" w:eastAsia="黑体" w:hint="eastAsia"/>
                <w:kern w:val="0"/>
                <w:szCs w:val="21"/>
              </w:rPr>
              <w:t>字段信息</w:t>
            </w:r>
            <w:r>
              <w:rPr>
                <w:rFonts w:ascii="黑体" w:eastAsia="黑体" w:hint="eastAsia"/>
                <w:b/>
                <w:kern w:val="0"/>
                <w:szCs w:val="21"/>
              </w:rPr>
              <w:t>（</w:t>
            </w:r>
            <w:r w:rsidR="00423087">
              <w:rPr>
                <w:rFonts w:ascii="黑体" w:eastAsia="黑体" w:hint="eastAsia"/>
                <w:b/>
                <w:kern w:val="0"/>
                <w:szCs w:val="21"/>
              </w:rPr>
              <w:t>分隔符</w:t>
            </w:r>
            <w:r>
              <w:rPr>
                <w:rFonts w:ascii="黑体" w:eastAsia="黑体" w:hint="eastAsia"/>
                <w:b/>
                <w:kern w:val="0"/>
                <w:szCs w:val="21"/>
              </w:rPr>
              <w:t>详见下表说明）</w:t>
            </w:r>
            <w:r>
              <w:rPr>
                <w:rFonts w:ascii="黑体" w:eastAsia="黑体"/>
                <w:kern w:val="0"/>
                <w:szCs w:val="21"/>
              </w:rPr>
              <w:t>&lt;/RECORDITEMS&gt;</w:t>
            </w:r>
          </w:p>
          <w:p w14:paraId="4BBD34D5" w14:textId="77777777" w:rsidR="00A052DC" w:rsidRDefault="009F0A60">
            <w:pPr>
              <w:autoSpaceDE w:val="0"/>
              <w:autoSpaceDN w:val="0"/>
              <w:adjustRightInd w:val="0"/>
              <w:jc w:val="left"/>
              <w:rPr>
                <w:rFonts w:ascii="黑体" w:eastAsia="黑体"/>
                <w:kern w:val="0"/>
                <w:szCs w:val="21"/>
              </w:rPr>
            </w:pPr>
            <w:r>
              <w:rPr>
                <w:rFonts w:ascii="黑体" w:eastAsia="黑体"/>
                <w:kern w:val="0"/>
                <w:szCs w:val="21"/>
              </w:rPr>
              <w:tab/>
              <w:t>&lt;PRIMARYKEYNAME&gt;</w:t>
            </w:r>
            <w:r>
              <w:rPr>
                <w:rFonts w:ascii="黑体" w:eastAsia="黑体" w:hint="eastAsia"/>
                <w:kern w:val="0"/>
                <w:szCs w:val="21"/>
              </w:rPr>
              <w:t>主键字段信息</w:t>
            </w:r>
            <w:r>
              <w:rPr>
                <w:rFonts w:ascii="黑体" w:eastAsia="黑体" w:hint="eastAsia"/>
                <w:b/>
                <w:kern w:val="0"/>
                <w:szCs w:val="21"/>
              </w:rPr>
              <w:t>（</w:t>
            </w:r>
            <w:r w:rsidR="00423087">
              <w:rPr>
                <w:rFonts w:ascii="黑体" w:eastAsia="黑体" w:hint="eastAsia"/>
                <w:b/>
                <w:kern w:val="0"/>
                <w:szCs w:val="21"/>
              </w:rPr>
              <w:t>分隔符</w:t>
            </w:r>
            <w:r>
              <w:rPr>
                <w:rFonts w:ascii="黑体" w:eastAsia="黑体" w:hint="eastAsia"/>
                <w:b/>
                <w:kern w:val="0"/>
                <w:szCs w:val="21"/>
              </w:rPr>
              <w:t>详见下表说明）</w:t>
            </w:r>
            <w:r>
              <w:rPr>
                <w:rFonts w:ascii="黑体" w:eastAsia="黑体"/>
                <w:kern w:val="0"/>
                <w:szCs w:val="21"/>
              </w:rPr>
              <w:t>&lt;/PRIMARYKEYNAME&gt;</w:t>
            </w:r>
          </w:p>
          <w:p w14:paraId="34A09C1B" w14:textId="77777777" w:rsidR="00A052DC" w:rsidRDefault="009F0A60">
            <w:pPr>
              <w:autoSpaceDE w:val="0"/>
              <w:autoSpaceDN w:val="0"/>
              <w:adjustRightInd w:val="0"/>
              <w:jc w:val="left"/>
              <w:rPr>
                <w:rFonts w:ascii="黑体" w:eastAsia="黑体"/>
                <w:kern w:val="0"/>
                <w:szCs w:val="21"/>
              </w:rPr>
            </w:pPr>
            <w:r>
              <w:rPr>
                <w:rFonts w:ascii="黑体" w:eastAsia="黑体"/>
                <w:kern w:val="0"/>
                <w:szCs w:val="21"/>
              </w:rPr>
              <w:tab/>
              <w:t>&lt;RECORDS&gt;</w:t>
            </w:r>
          </w:p>
          <w:p w14:paraId="109191A7" w14:textId="77777777" w:rsidR="00A052DC" w:rsidRDefault="009F0A60">
            <w:pPr>
              <w:autoSpaceDE w:val="0"/>
              <w:autoSpaceDN w:val="0"/>
              <w:adjustRightInd w:val="0"/>
              <w:jc w:val="left"/>
              <w:rPr>
                <w:rFonts w:ascii="黑体" w:eastAsia="黑体"/>
                <w:kern w:val="0"/>
                <w:szCs w:val="21"/>
              </w:rPr>
            </w:pPr>
            <w:r>
              <w:rPr>
                <w:rFonts w:ascii="黑体" w:eastAsia="黑体"/>
                <w:kern w:val="0"/>
                <w:szCs w:val="21"/>
              </w:rPr>
              <w:tab/>
            </w:r>
            <w:r>
              <w:rPr>
                <w:rFonts w:ascii="黑体" w:eastAsia="黑体"/>
                <w:kern w:val="0"/>
                <w:szCs w:val="21"/>
              </w:rPr>
              <w:tab/>
            </w:r>
            <w:r>
              <w:rPr>
                <w:rFonts w:ascii="黑体" w:eastAsia="黑体"/>
                <w:kern w:val="0"/>
                <w:szCs w:val="21"/>
              </w:rPr>
              <w:tab/>
            </w:r>
            <w:r>
              <w:rPr>
                <w:rFonts w:ascii="黑体" w:eastAsia="黑体" w:hint="eastAsia"/>
                <w:kern w:val="0"/>
                <w:szCs w:val="21"/>
              </w:rPr>
              <w:t>交易数据</w:t>
            </w:r>
            <w:r>
              <w:rPr>
                <w:rFonts w:ascii="黑体" w:eastAsia="黑体" w:hint="eastAsia"/>
                <w:b/>
                <w:kern w:val="0"/>
                <w:szCs w:val="21"/>
              </w:rPr>
              <w:t>（</w:t>
            </w:r>
            <w:r w:rsidR="00423087">
              <w:rPr>
                <w:rFonts w:ascii="黑体" w:eastAsia="黑体" w:hint="eastAsia"/>
                <w:b/>
                <w:kern w:val="0"/>
                <w:szCs w:val="21"/>
              </w:rPr>
              <w:t>分隔符</w:t>
            </w:r>
            <w:r>
              <w:rPr>
                <w:rFonts w:ascii="黑体" w:eastAsia="黑体" w:hint="eastAsia"/>
                <w:b/>
                <w:kern w:val="0"/>
                <w:szCs w:val="21"/>
              </w:rPr>
              <w:t>详见下表说明）</w:t>
            </w:r>
          </w:p>
          <w:p w14:paraId="3B8D5EFA" w14:textId="77777777" w:rsidR="00A052DC" w:rsidRDefault="009F0A60">
            <w:pPr>
              <w:autoSpaceDE w:val="0"/>
              <w:autoSpaceDN w:val="0"/>
              <w:adjustRightInd w:val="0"/>
              <w:jc w:val="left"/>
              <w:rPr>
                <w:rFonts w:ascii="黑体" w:eastAsia="黑体"/>
                <w:kern w:val="0"/>
                <w:szCs w:val="21"/>
              </w:rPr>
            </w:pPr>
            <w:r>
              <w:rPr>
                <w:rFonts w:ascii="黑体" w:eastAsia="黑体"/>
                <w:kern w:val="0"/>
                <w:szCs w:val="21"/>
              </w:rPr>
              <w:tab/>
              <w:t>&lt;/RECORDS&gt;</w:t>
            </w:r>
          </w:p>
          <w:p w14:paraId="39817636" w14:textId="77777777" w:rsidR="00A052DC" w:rsidRDefault="009F0A60">
            <w:pPr>
              <w:autoSpaceDE w:val="0"/>
              <w:autoSpaceDN w:val="0"/>
              <w:adjustRightInd w:val="0"/>
              <w:jc w:val="left"/>
              <w:rPr>
                <w:rFonts w:ascii="黑体" w:eastAsia="黑体"/>
                <w:kern w:val="0"/>
                <w:sz w:val="24"/>
              </w:rPr>
            </w:pPr>
            <w:r>
              <w:rPr>
                <w:rFonts w:ascii="黑体" w:eastAsia="黑体"/>
                <w:kern w:val="0"/>
                <w:szCs w:val="21"/>
              </w:rPr>
              <w:t>&lt;/DATAMSG&gt;</w:t>
            </w:r>
          </w:p>
        </w:tc>
      </w:tr>
    </w:tbl>
    <w:p w14:paraId="50860138" w14:textId="77777777" w:rsidR="00A052DC" w:rsidRDefault="00A052DC"/>
    <w:p w14:paraId="3FE9B3AF" w14:textId="77777777" w:rsidR="00A052DC" w:rsidRDefault="009F0A60">
      <w:pPr>
        <w:spacing w:line="360" w:lineRule="auto"/>
        <w:rPr>
          <w:sz w:val="24"/>
        </w:rPr>
      </w:pPr>
      <w:r>
        <w:rPr>
          <w:rFonts w:hint="eastAsia"/>
          <w:sz w:val="24"/>
        </w:rPr>
        <w:t>标签项说明：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5354"/>
      </w:tblGrid>
      <w:tr w:rsidR="00A052DC" w14:paraId="69316DD2" w14:textId="77777777" w:rsidTr="00652BE7">
        <w:tc>
          <w:tcPr>
            <w:tcW w:w="3168" w:type="dxa"/>
            <w:shd w:val="clear" w:color="auto" w:fill="D9D9D9" w:themeFill="background1" w:themeFillShade="D9"/>
          </w:tcPr>
          <w:p w14:paraId="039F2176" w14:textId="77777777" w:rsidR="00E42487" w:rsidRDefault="009F0A60" w:rsidP="00E42487">
            <w:pPr>
              <w:spacing w:line="360" w:lineRule="auto"/>
              <w:jc w:val="center"/>
              <w:rPr>
                <w:rFonts w:ascii="黑体" w:eastAsia="黑体"/>
                <w:b/>
                <w:szCs w:val="21"/>
              </w:rPr>
            </w:pPr>
            <w:r>
              <w:rPr>
                <w:rFonts w:ascii="黑体" w:eastAsia="黑体" w:hint="eastAsia"/>
                <w:b/>
                <w:szCs w:val="21"/>
              </w:rPr>
              <w:t>标签名</w:t>
            </w:r>
          </w:p>
        </w:tc>
        <w:tc>
          <w:tcPr>
            <w:tcW w:w="5354" w:type="dxa"/>
            <w:shd w:val="clear" w:color="auto" w:fill="D9D9D9" w:themeFill="background1" w:themeFillShade="D9"/>
          </w:tcPr>
          <w:p w14:paraId="0AD35A07" w14:textId="77777777" w:rsidR="00E42487" w:rsidRDefault="009F0A60" w:rsidP="00E42487">
            <w:pPr>
              <w:spacing w:line="360" w:lineRule="auto"/>
              <w:jc w:val="center"/>
              <w:rPr>
                <w:rFonts w:ascii="黑体" w:eastAsia="黑体"/>
                <w:b/>
                <w:szCs w:val="21"/>
              </w:rPr>
            </w:pPr>
            <w:r>
              <w:rPr>
                <w:rFonts w:ascii="黑体" w:eastAsia="黑体" w:hint="eastAsia"/>
                <w:b/>
                <w:szCs w:val="21"/>
              </w:rPr>
              <w:t>说明</w:t>
            </w:r>
          </w:p>
        </w:tc>
      </w:tr>
      <w:tr w:rsidR="00A052DC" w14:paraId="02A5D259" w14:textId="77777777">
        <w:tc>
          <w:tcPr>
            <w:tcW w:w="3168" w:type="dxa"/>
          </w:tcPr>
          <w:p w14:paraId="284F02BB" w14:textId="77777777" w:rsidR="00A052DC" w:rsidRDefault="009F0A60">
            <w:pPr>
              <w:spacing w:line="360" w:lineRule="auto"/>
              <w:rPr>
                <w:rFonts w:ascii="黑体" w:eastAsia="黑体" w:hAnsi="宋体"/>
                <w:szCs w:val="21"/>
              </w:rPr>
            </w:pPr>
            <w:r>
              <w:rPr>
                <w:rFonts w:ascii="黑体" w:eastAsia="黑体" w:hAnsi="宋体"/>
                <w:szCs w:val="21"/>
              </w:rPr>
              <w:t>MAINRECORDS</w:t>
            </w:r>
          </w:p>
        </w:tc>
        <w:tc>
          <w:tcPr>
            <w:tcW w:w="5354" w:type="dxa"/>
          </w:tcPr>
          <w:p w14:paraId="7A2899EB" w14:textId="77777777" w:rsidR="00A052DC" w:rsidRDefault="009F0A60">
            <w:pPr>
              <w:spacing w:line="360" w:lineRule="auto"/>
              <w:rPr>
                <w:rFonts w:ascii="黑体" w:eastAsia="黑体" w:hAnsi="宋体"/>
                <w:szCs w:val="21"/>
              </w:rPr>
            </w:pPr>
            <w:r>
              <w:rPr>
                <w:rFonts w:ascii="黑体" w:eastAsia="黑体" w:hAnsi="宋体" w:hint="eastAsia"/>
                <w:szCs w:val="21"/>
              </w:rPr>
              <w:t>表记录总数</w:t>
            </w:r>
          </w:p>
        </w:tc>
      </w:tr>
      <w:tr w:rsidR="00A052DC" w14:paraId="6A5A4916" w14:textId="77777777">
        <w:tc>
          <w:tcPr>
            <w:tcW w:w="3168" w:type="dxa"/>
          </w:tcPr>
          <w:p w14:paraId="2E834B1E" w14:textId="77777777" w:rsidR="00A052DC" w:rsidRDefault="009F0A60">
            <w:pPr>
              <w:spacing w:line="360" w:lineRule="auto"/>
              <w:rPr>
                <w:rFonts w:ascii="黑体" w:eastAsia="黑体" w:hAnsi="宋体"/>
                <w:szCs w:val="21"/>
              </w:rPr>
            </w:pPr>
            <w:r>
              <w:rPr>
                <w:rFonts w:ascii="黑体" w:eastAsia="黑体"/>
                <w:kern w:val="0"/>
                <w:szCs w:val="21"/>
              </w:rPr>
              <w:t>RECORDITEMS</w:t>
            </w:r>
          </w:p>
        </w:tc>
        <w:tc>
          <w:tcPr>
            <w:tcW w:w="5354" w:type="dxa"/>
          </w:tcPr>
          <w:p w14:paraId="7DE58CDF" w14:textId="77777777" w:rsidR="00A052DC" w:rsidRDefault="009F0A60">
            <w:pPr>
              <w:spacing w:line="360" w:lineRule="auto"/>
              <w:rPr>
                <w:rFonts w:ascii="黑体" w:eastAsia="黑体" w:hAnsi="宋体"/>
                <w:szCs w:val="21"/>
              </w:rPr>
            </w:pPr>
            <w:r>
              <w:rPr>
                <w:rFonts w:ascii="黑体" w:eastAsia="黑体" w:hAnsi="宋体" w:hint="eastAsia"/>
                <w:szCs w:val="21"/>
              </w:rPr>
              <w:t>表字段名称，此项包括一个或多个字段名称，字段名称间用▓（</w:t>
            </w:r>
            <w:r>
              <w:rPr>
                <w:rFonts w:ascii="黑体" w:eastAsia="黑体" w:hAnsi="宋体"/>
                <w:szCs w:val="21"/>
              </w:rPr>
              <w:t>16进制：0x2593</w:t>
            </w:r>
            <w:r>
              <w:rPr>
                <w:rFonts w:ascii="黑体" w:eastAsia="黑体" w:hAnsi="宋体" w:hint="eastAsia"/>
                <w:szCs w:val="21"/>
              </w:rPr>
              <w:t>）分隔。</w:t>
            </w:r>
          </w:p>
        </w:tc>
      </w:tr>
      <w:tr w:rsidR="00A052DC" w14:paraId="0A5C6CBF" w14:textId="77777777">
        <w:tc>
          <w:tcPr>
            <w:tcW w:w="3168" w:type="dxa"/>
          </w:tcPr>
          <w:p w14:paraId="24B2B76C" w14:textId="77777777" w:rsidR="00A052DC" w:rsidRDefault="009F0A60">
            <w:pPr>
              <w:spacing w:line="360" w:lineRule="auto"/>
              <w:rPr>
                <w:rFonts w:ascii="黑体" w:eastAsia="黑体" w:hAnsi="宋体"/>
                <w:szCs w:val="21"/>
              </w:rPr>
            </w:pPr>
            <w:r>
              <w:rPr>
                <w:rFonts w:ascii="黑体" w:eastAsia="黑体"/>
                <w:kern w:val="0"/>
                <w:szCs w:val="21"/>
              </w:rPr>
              <w:t>PRIMARYKEYNAME</w:t>
            </w:r>
          </w:p>
        </w:tc>
        <w:tc>
          <w:tcPr>
            <w:tcW w:w="5354" w:type="dxa"/>
          </w:tcPr>
          <w:p w14:paraId="77336952" w14:textId="77777777" w:rsidR="00A052DC" w:rsidRDefault="009F0A60">
            <w:pPr>
              <w:spacing w:line="360" w:lineRule="auto"/>
              <w:rPr>
                <w:rFonts w:ascii="黑体" w:eastAsia="黑体" w:hAnsi="宋体"/>
                <w:szCs w:val="21"/>
              </w:rPr>
            </w:pPr>
            <w:r>
              <w:rPr>
                <w:rFonts w:ascii="黑体" w:eastAsia="黑体" w:hAnsi="宋体" w:hint="eastAsia"/>
                <w:szCs w:val="21"/>
              </w:rPr>
              <w:t>主键名称，此项包括一个或多个字段名称，字段名称间用▓分隔。</w:t>
            </w:r>
          </w:p>
        </w:tc>
      </w:tr>
      <w:tr w:rsidR="00A052DC" w14:paraId="2F60DA5F" w14:textId="77777777">
        <w:tc>
          <w:tcPr>
            <w:tcW w:w="3168" w:type="dxa"/>
          </w:tcPr>
          <w:p w14:paraId="16C49BE7" w14:textId="77777777" w:rsidR="00A052DC" w:rsidRDefault="009F0A60">
            <w:pPr>
              <w:spacing w:line="360" w:lineRule="auto"/>
              <w:rPr>
                <w:rFonts w:ascii="黑体" w:eastAsia="黑体" w:hAnsi="宋体"/>
                <w:szCs w:val="21"/>
              </w:rPr>
            </w:pPr>
            <w:r>
              <w:rPr>
                <w:rFonts w:ascii="黑体" w:eastAsia="黑体"/>
                <w:kern w:val="0"/>
                <w:szCs w:val="21"/>
              </w:rPr>
              <w:t>RECORDS</w:t>
            </w:r>
          </w:p>
        </w:tc>
        <w:tc>
          <w:tcPr>
            <w:tcW w:w="5354" w:type="dxa"/>
          </w:tcPr>
          <w:p w14:paraId="0F9DAF75" w14:textId="77777777" w:rsidR="00A052DC" w:rsidRDefault="009F0A60">
            <w:pPr>
              <w:spacing w:line="360" w:lineRule="auto"/>
              <w:rPr>
                <w:rFonts w:ascii="黑体" w:eastAsia="黑体" w:hAnsi="宋体"/>
                <w:szCs w:val="21"/>
              </w:rPr>
            </w:pPr>
            <w:r>
              <w:rPr>
                <w:rFonts w:ascii="黑体" w:eastAsia="黑体" w:hAnsi="宋体" w:hint="eastAsia"/>
                <w:szCs w:val="21"/>
              </w:rPr>
              <w:t>数据记录标签项，此项包括一个或多个数据记录，每条记录间用██（</w:t>
            </w:r>
            <w:r>
              <w:rPr>
                <w:rFonts w:ascii="黑体" w:eastAsia="黑体" w:hAnsi="宋体"/>
                <w:szCs w:val="21"/>
              </w:rPr>
              <w:t>16进制：0x2588</w:t>
            </w:r>
            <w:r>
              <w:rPr>
                <w:rFonts w:ascii="黑体" w:eastAsia="黑体" w:hAnsi="宋体" w:hint="eastAsia"/>
                <w:szCs w:val="21"/>
              </w:rPr>
              <w:t>）分隔；每个记录包括一个或多个字段值，字段值间用▓分隔；每个字段值的顺序和主表字段名顺序一致。</w:t>
            </w:r>
          </w:p>
        </w:tc>
      </w:tr>
    </w:tbl>
    <w:p w14:paraId="31A63133" w14:textId="77777777" w:rsidR="00A052DC" w:rsidRDefault="00A052DC"/>
    <w:p w14:paraId="4FBA3E54" w14:textId="77777777" w:rsidR="00A052DC" w:rsidRDefault="009F0A60" w:rsidP="0020251D">
      <w:pPr>
        <w:pStyle w:val="5"/>
        <w:numPr>
          <w:ilvl w:val="4"/>
          <w:numId w:val="1"/>
        </w:numPr>
        <w:spacing w:before="120" w:after="120" w:line="360" w:lineRule="auto"/>
        <w:jc w:val="left"/>
      </w:pPr>
      <w:r>
        <w:rPr>
          <w:rFonts w:hint="eastAsia"/>
        </w:rPr>
        <w:t>暂停持境内银行卡在境外提取现金个人名单</w:t>
      </w:r>
    </w:p>
    <w:p w14:paraId="36F5FD53"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hint="eastAsia"/>
          <w:kern w:val="0"/>
          <w:sz w:val="24"/>
          <w:szCs w:val="20"/>
        </w:rPr>
        <w:t>接口数据文件为逗号分隔文件格式（</w:t>
      </w:r>
      <w:r>
        <w:rPr>
          <w:rFonts w:ascii="Times New Roman" w:hAnsi="Times New Roman"/>
          <w:kern w:val="0"/>
          <w:sz w:val="24"/>
          <w:szCs w:val="20"/>
        </w:rPr>
        <w:t>CSV</w:t>
      </w:r>
      <w:r>
        <w:rPr>
          <w:rFonts w:ascii="Times New Roman" w:hAnsi="Times New Roman" w:hint="eastAsia"/>
          <w:kern w:val="0"/>
          <w:sz w:val="24"/>
          <w:szCs w:val="20"/>
        </w:rPr>
        <w:t>）。格式要求如下：</w:t>
      </w:r>
    </w:p>
    <w:p w14:paraId="160426B5"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kern w:val="0"/>
          <w:sz w:val="24"/>
          <w:szCs w:val="20"/>
        </w:rPr>
        <w:t>1</w:t>
      </w:r>
      <w:r>
        <w:rPr>
          <w:rFonts w:ascii="Times New Roman" w:hAnsi="Times New Roman" w:hint="eastAsia"/>
          <w:kern w:val="0"/>
          <w:sz w:val="24"/>
          <w:szCs w:val="20"/>
        </w:rPr>
        <w:t>、第</w:t>
      </w:r>
      <w:r>
        <w:rPr>
          <w:rFonts w:ascii="Times New Roman" w:hAnsi="Times New Roman"/>
          <w:kern w:val="0"/>
          <w:sz w:val="24"/>
          <w:szCs w:val="20"/>
        </w:rPr>
        <w:t>1</w:t>
      </w:r>
      <w:r>
        <w:rPr>
          <w:rFonts w:ascii="Times New Roman" w:hAnsi="Times New Roman"/>
          <w:kern w:val="0"/>
          <w:sz w:val="24"/>
          <w:szCs w:val="20"/>
        </w:rPr>
        <w:t>行</w:t>
      </w:r>
      <w:r>
        <w:rPr>
          <w:rFonts w:ascii="Times New Roman" w:hAnsi="Times New Roman" w:hint="eastAsia"/>
          <w:kern w:val="0"/>
          <w:sz w:val="24"/>
          <w:szCs w:val="20"/>
        </w:rPr>
        <w:t>数据是名单记录数，名单记录数</w:t>
      </w:r>
      <w:r>
        <w:rPr>
          <w:rFonts w:ascii="Times New Roman" w:hAnsi="Times New Roman"/>
          <w:kern w:val="0"/>
          <w:sz w:val="24"/>
          <w:szCs w:val="20"/>
        </w:rPr>
        <w:t>N</w:t>
      </w:r>
      <w:r>
        <w:rPr>
          <w:rFonts w:ascii="Times New Roman" w:hAnsi="Times New Roman" w:hint="eastAsia"/>
          <w:kern w:val="0"/>
          <w:sz w:val="24"/>
          <w:szCs w:val="20"/>
        </w:rPr>
        <w:t>；</w:t>
      </w:r>
    </w:p>
    <w:p w14:paraId="384DA128"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kern w:val="0"/>
          <w:sz w:val="24"/>
          <w:szCs w:val="20"/>
        </w:rPr>
        <w:t>2</w:t>
      </w:r>
      <w:r>
        <w:rPr>
          <w:rFonts w:ascii="Times New Roman" w:hAnsi="Times New Roman" w:hint="eastAsia"/>
          <w:kern w:val="0"/>
          <w:sz w:val="24"/>
          <w:szCs w:val="20"/>
        </w:rPr>
        <w:t>、第</w:t>
      </w:r>
      <w:r>
        <w:rPr>
          <w:rFonts w:ascii="Times New Roman" w:hAnsi="Times New Roman"/>
          <w:kern w:val="0"/>
          <w:sz w:val="24"/>
          <w:szCs w:val="20"/>
        </w:rPr>
        <w:t>2</w:t>
      </w:r>
      <w:r>
        <w:rPr>
          <w:rFonts w:ascii="Times New Roman" w:hAnsi="Times New Roman" w:hint="eastAsia"/>
          <w:kern w:val="0"/>
          <w:sz w:val="24"/>
          <w:szCs w:val="20"/>
        </w:rPr>
        <w:t>行至</w:t>
      </w:r>
      <w:r>
        <w:rPr>
          <w:rFonts w:ascii="Times New Roman" w:hAnsi="Times New Roman"/>
          <w:kern w:val="0"/>
          <w:sz w:val="24"/>
          <w:szCs w:val="20"/>
        </w:rPr>
        <w:t>N+1</w:t>
      </w:r>
      <w:r>
        <w:rPr>
          <w:rFonts w:ascii="Times New Roman" w:hAnsi="Times New Roman" w:hint="eastAsia"/>
          <w:kern w:val="0"/>
          <w:sz w:val="24"/>
          <w:szCs w:val="20"/>
        </w:rPr>
        <w:t>行数据为具体</w:t>
      </w:r>
      <w:r>
        <w:rPr>
          <w:rFonts w:ascii="Times New Roman" w:hAnsi="Times New Roman"/>
          <w:kern w:val="0"/>
          <w:sz w:val="24"/>
          <w:szCs w:val="20"/>
        </w:rPr>
        <w:t>名单</w:t>
      </w:r>
      <w:r>
        <w:rPr>
          <w:rFonts w:ascii="Times New Roman" w:hAnsi="Times New Roman" w:hint="eastAsia"/>
          <w:kern w:val="0"/>
          <w:sz w:val="24"/>
          <w:szCs w:val="20"/>
        </w:rPr>
        <w:t>数据记录，</w:t>
      </w:r>
      <w:r>
        <w:rPr>
          <w:rFonts w:ascii="Times New Roman" w:hAnsi="Times New Roman"/>
          <w:kern w:val="0"/>
          <w:sz w:val="24"/>
          <w:szCs w:val="20"/>
        </w:rPr>
        <w:t>第</w:t>
      </w:r>
      <w:r>
        <w:rPr>
          <w:rFonts w:ascii="Times New Roman" w:hAnsi="Times New Roman"/>
          <w:kern w:val="0"/>
          <w:sz w:val="24"/>
          <w:szCs w:val="20"/>
        </w:rPr>
        <w:t>1</w:t>
      </w:r>
      <w:r>
        <w:rPr>
          <w:rFonts w:ascii="Times New Roman" w:hAnsi="Times New Roman" w:hint="eastAsia"/>
          <w:kern w:val="0"/>
          <w:sz w:val="24"/>
          <w:szCs w:val="20"/>
        </w:rPr>
        <w:t>列</w:t>
      </w:r>
      <w:r>
        <w:rPr>
          <w:rFonts w:ascii="Times New Roman" w:hAnsi="Times New Roman"/>
          <w:kern w:val="0"/>
          <w:sz w:val="24"/>
          <w:szCs w:val="20"/>
        </w:rPr>
        <w:t>为</w:t>
      </w:r>
      <w:r>
        <w:rPr>
          <w:rFonts w:ascii="Times New Roman" w:hAnsi="Times New Roman" w:hint="eastAsia"/>
          <w:kern w:val="0"/>
          <w:sz w:val="24"/>
          <w:szCs w:val="20"/>
        </w:rPr>
        <w:t>持卡人</w:t>
      </w:r>
      <w:r>
        <w:rPr>
          <w:rFonts w:ascii="Times New Roman" w:hAnsi="Times New Roman"/>
          <w:kern w:val="0"/>
          <w:sz w:val="24"/>
          <w:szCs w:val="20"/>
        </w:rPr>
        <w:t>证件类型</w:t>
      </w:r>
      <w:r>
        <w:rPr>
          <w:rFonts w:ascii="Times New Roman" w:hAnsi="Times New Roman" w:hint="eastAsia"/>
          <w:kern w:val="0"/>
          <w:sz w:val="24"/>
          <w:szCs w:val="20"/>
        </w:rPr>
        <w:t>，第</w:t>
      </w:r>
      <w:r>
        <w:rPr>
          <w:rFonts w:ascii="Times New Roman" w:hAnsi="Times New Roman"/>
          <w:kern w:val="0"/>
          <w:sz w:val="24"/>
          <w:szCs w:val="20"/>
        </w:rPr>
        <w:t>2</w:t>
      </w:r>
      <w:r>
        <w:rPr>
          <w:rFonts w:ascii="Times New Roman" w:hAnsi="Times New Roman" w:hint="eastAsia"/>
          <w:kern w:val="0"/>
          <w:sz w:val="24"/>
          <w:szCs w:val="20"/>
        </w:rPr>
        <w:t>列</w:t>
      </w:r>
      <w:r>
        <w:rPr>
          <w:rFonts w:ascii="Times New Roman" w:hAnsi="Times New Roman"/>
          <w:kern w:val="0"/>
          <w:sz w:val="24"/>
          <w:szCs w:val="20"/>
        </w:rPr>
        <w:t>为持卡人</w:t>
      </w:r>
      <w:r>
        <w:rPr>
          <w:rFonts w:ascii="Times New Roman" w:hAnsi="Times New Roman" w:hint="eastAsia"/>
          <w:kern w:val="0"/>
          <w:sz w:val="24"/>
          <w:szCs w:val="20"/>
        </w:rPr>
        <w:t>国家地区</w:t>
      </w:r>
      <w:r>
        <w:rPr>
          <w:rFonts w:ascii="Times New Roman" w:hAnsi="Times New Roman"/>
          <w:kern w:val="0"/>
          <w:sz w:val="24"/>
          <w:szCs w:val="20"/>
        </w:rPr>
        <w:t>，第</w:t>
      </w:r>
      <w:r>
        <w:rPr>
          <w:rFonts w:ascii="Times New Roman" w:hAnsi="Times New Roman"/>
          <w:kern w:val="0"/>
          <w:sz w:val="24"/>
          <w:szCs w:val="20"/>
        </w:rPr>
        <w:t>3</w:t>
      </w:r>
      <w:r>
        <w:rPr>
          <w:rFonts w:ascii="Times New Roman" w:hAnsi="Times New Roman" w:hint="eastAsia"/>
          <w:kern w:val="0"/>
          <w:sz w:val="24"/>
          <w:szCs w:val="20"/>
        </w:rPr>
        <w:t>列</w:t>
      </w:r>
      <w:r>
        <w:rPr>
          <w:rFonts w:ascii="Times New Roman" w:hAnsi="Times New Roman"/>
          <w:kern w:val="0"/>
          <w:sz w:val="24"/>
          <w:szCs w:val="20"/>
        </w:rPr>
        <w:t>为持卡人证件号码</w:t>
      </w:r>
      <w:r>
        <w:rPr>
          <w:rFonts w:ascii="Times New Roman" w:hAnsi="Times New Roman" w:hint="eastAsia"/>
          <w:kern w:val="0"/>
          <w:sz w:val="24"/>
          <w:szCs w:val="20"/>
        </w:rPr>
        <w:t>；</w:t>
      </w:r>
    </w:p>
    <w:p w14:paraId="152C463D"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kern w:val="0"/>
          <w:sz w:val="24"/>
          <w:szCs w:val="20"/>
        </w:rPr>
        <w:t>3</w:t>
      </w:r>
      <w:r>
        <w:rPr>
          <w:rFonts w:ascii="Times New Roman" w:hAnsi="Times New Roman" w:hint="eastAsia"/>
          <w:kern w:val="0"/>
          <w:sz w:val="24"/>
          <w:szCs w:val="20"/>
        </w:rPr>
        <w:t>、第</w:t>
      </w:r>
      <w:r>
        <w:rPr>
          <w:rFonts w:ascii="Times New Roman" w:hAnsi="Times New Roman"/>
          <w:kern w:val="0"/>
          <w:sz w:val="24"/>
          <w:szCs w:val="20"/>
        </w:rPr>
        <w:t>N+2</w:t>
      </w:r>
      <w:r>
        <w:rPr>
          <w:rFonts w:ascii="Times New Roman" w:hAnsi="Times New Roman" w:hint="eastAsia"/>
          <w:kern w:val="0"/>
          <w:sz w:val="24"/>
          <w:szCs w:val="20"/>
        </w:rPr>
        <w:t>行数据为</w:t>
      </w:r>
      <w:r>
        <w:rPr>
          <w:rFonts w:ascii="Times New Roman" w:hAnsi="Times New Roman"/>
          <w:kern w:val="0"/>
          <w:sz w:val="24"/>
          <w:szCs w:val="20"/>
        </w:rPr>
        <w:t>文件</w:t>
      </w:r>
      <w:r>
        <w:rPr>
          <w:rFonts w:ascii="Times New Roman" w:hAnsi="Times New Roman" w:hint="eastAsia"/>
          <w:kern w:val="0"/>
          <w:sz w:val="24"/>
          <w:szCs w:val="20"/>
        </w:rPr>
        <w:t>结束</w:t>
      </w:r>
      <w:r>
        <w:rPr>
          <w:rFonts w:ascii="Times New Roman" w:hAnsi="Times New Roman"/>
          <w:kern w:val="0"/>
          <w:sz w:val="24"/>
          <w:szCs w:val="20"/>
        </w:rPr>
        <w:t>标识</w:t>
      </w:r>
      <w:r>
        <w:rPr>
          <w:rFonts w:ascii="Times New Roman" w:hAnsi="Times New Roman" w:hint="eastAsia"/>
          <w:kern w:val="0"/>
          <w:sz w:val="24"/>
          <w:szCs w:val="20"/>
        </w:rPr>
        <w:t>（</w:t>
      </w:r>
      <w:r>
        <w:rPr>
          <w:rFonts w:ascii="Times New Roman" w:hAnsi="Times New Roman"/>
          <w:kern w:val="0"/>
          <w:sz w:val="24"/>
          <w:szCs w:val="20"/>
        </w:rPr>
        <w:t>END</w:t>
      </w:r>
      <w:r>
        <w:rPr>
          <w:rFonts w:ascii="Times New Roman" w:hAnsi="Times New Roman" w:hint="eastAsia"/>
          <w:kern w:val="0"/>
          <w:sz w:val="24"/>
          <w:szCs w:val="20"/>
        </w:rPr>
        <w:t>）。</w:t>
      </w:r>
    </w:p>
    <w:p w14:paraId="5E8F494E"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kern w:val="0"/>
          <w:sz w:val="24"/>
          <w:szCs w:val="20"/>
        </w:rPr>
        <w:t>CSV</w:t>
      </w:r>
      <w:r>
        <w:rPr>
          <w:rFonts w:ascii="Times New Roman" w:hAnsi="Times New Roman" w:hint="eastAsia"/>
          <w:kern w:val="0"/>
          <w:sz w:val="24"/>
          <w:szCs w:val="20"/>
        </w:rPr>
        <w:t>样例如下：</w:t>
      </w:r>
    </w:p>
    <w:p w14:paraId="39FC298D" w14:textId="77777777" w:rsidR="00A052DC" w:rsidRDefault="003C2B32">
      <w:pPr>
        <w:spacing w:line="360" w:lineRule="auto"/>
        <w:ind w:firstLineChars="200" w:firstLine="480"/>
        <w:rPr>
          <w:rFonts w:ascii="Times New Roman" w:hAnsi="Times New Roman"/>
          <w:kern w:val="0"/>
          <w:sz w:val="24"/>
          <w:szCs w:val="20"/>
        </w:rPr>
      </w:pPr>
      <w:r>
        <w:rPr>
          <w:rFonts w:ascii="Times New Roman" w:hAnsi="Times New Roman"/>
          <w:kern w:val="0"/>
          <w:sz w:val="24"/>
          <w:szCs w:val="20"/>
        </w:rPr>
        <w:pict w14:anchorId="3141F211">
          <v:shapetype id="_x0000_t202" coordsize="21600,21600" o:spt="202" path="m,l,21600r21600,l21600,xe">
            <v:stroke joinstyle="miter"/>
            <v:path gradientshapeok="t" o:connecttype="rect"/>
          </v:shapetype>
          <v:shape id="_x0000_s2059" type="#_x0000_t202" style="position:absolute;left:0;text-align:left;margin-left:42.3pt;margin-top:6.75pt;width:172.65pt;height:101.55pt;z-index:251658240;mso-height-percent:200;mso-height-percent:200;mso-width-relative:margin;mso-height-relative:margin">
            <v:textbox style="mso-next-textbox:#_x0000_s2059;mso-fit-shape-to-text:t">
              <w:txbxContent>
                <w:p w14:paraId="21FA177A" w14:textId="77777777" w:rsidR="00E54F87" w:rsidRDefault="00E54F87">
                  <w:pPr>
                    <w:spacing w:line="360" w:lineRule="auto"/>
                    <w:rPr>
                      <w:rFonts w:ascii="Times New Roman" w:hAnsi="Times New Roman"/>
                      <w:kern w:val="0"/>
                      <w:sz w:val="24"/>
                      <w:szCs w:val="20"/>
                    </w:rPr>
                  </w:pPr>
                  <w:r>
                    <w:rPr>
                      <w:rFonts w:ascii="Times New Roman" w:hAnsi="Times New Roman" w:hint="eastAsia"/>
                      <w:kern w:val="0"/>
                      <w:sz w:val="24"/>
                      <w:szCs w:val="20"/>
                    </w:rPr>
                    <w:t>2</w:t>
                  </w:r>
                </w:p>
                <w:p w14:paraId="12636D81" w14:textId="77777777" w:rsidR="00E54F87" w:rsidRDefault="00E54F87">
                  <w:pPr>
                    <w:spacing w:line="360" w:lineRule="auto"/>
                    <w:rPr>
                      <w:rFonts w:ascii="Times New Roman" w:hAnsi="Times New Roman"/>
                      <w:kern w:val="0"/>
                      <w:sz w:val="24"/>
                      <w:szCs w:val="20"/>
                    </w:rPr>
                  </w:pPr>
                  <w:r>
                    <w:rPr>
                      <w:rFonts w:ascii="Times New Roman" w:hAnsi="Times New Roman"/>
                      <w:kern w:val="0"/>
                      <w:sz w:val="24"/>
                      <w:szCs w:val="20"/>
                    </w:rPr>
                    <w:t>01</w:t>
                  </w:r>
                  <w:r>
                    <w:rPr>
                      <w:rFonts w:ascii="Times New Roman" w:hAnsi="Times New Roman" w:hint="eastAsia"/>
                      <w:kern w:val="0"/>
                      <w:sz w:val="24"/>
                      <w:szCs w:val="20"/>
                    </w:rPr>
                    <w:t>,</w:t>
                  </w:r>
                  <w:r>
                    <w:rPr>
                      <w:rFonts w:ascii="Times New Roman" w:hAnsi="Times New Roman"/>
                      <w:kern w:val="0"/>
                      <w:sz w:val="24"/>
                      <w:szCs w:val="20"/>
                    </w:rPr>
                    <w:t>CHN</w:t>
                  </w:r>
                  <w:r>
                    <w:rPr>
                      <w:rFonts w:ascii="Times New Roman" w:hAnsi="Times New Roman" w:hint="eastAsia"/>
                      <w:kern w:val="0"/>
                      <w:sz w:val="24"/>
                      <w:szCs w:val="20"/>
                    </w:rPr>
                    <w:t>,</w:t>
                  </w:r>
                  <w:r>
                    <w:rPr>
                      <w:rFonts w:ascii="Times New Roman" w:hAnsi="Times New Roman"/>
                      <w:kern w:val="0"/>
                      <w:sz w:val="24"/>
                      <w:szCs w:val="20"/>
                    </w:rPr>
                    <w:t>110105197807221000</w:t>
                  </w:r>
                </w:p>
                <w:p w14:paraId="0B6C9A99" w14:textId="77777777" w:rsidR="00E54F87" w:rsidRDefault="00E54F87">
                  <w:pPr>
                    <w:spacing w:line="360" w:lineRule="auto"/>
                    <w:rPr>
                      <w:rFonts w:ascii="Times New Roman" w:hAnsi="Times New Roman"/>
                      <w:kern w:val="0"/>
                      <w:sz w:val="24"/>
                      <w:szCs w:val="20"/>
                    </w:rPr>
                  </w:pPr>
                  <w:r>
                    <w:rPr>
                      <w:rFonts w:ascii="Times New Roman" w:hAnsi="Times New Roman"/>
                      <w:kern w:val="0"/>
                      <w:sz w:val="24"/>
                      <w:szCs w:val="20"/>
                    </w:rPr>
                    <w:t>01</w:t>
                  </w:r>
                  <w:r>
                    <w:rPr>
                      <w:rFonts w:ascii="Times New Roman" w:hAnsi="Times New Roman" w:hint="eastAsia"/>
                      <w:kern w:val="0"/>
                      <w:sz w:val="24"/>
                      <w:szCs w:val="20"/>
                    </w:rPr>
                    <w:t>,</w:t>
                  </w:r>
                  <w:r>
                    <w:rPr>
                      <w:rFonts w:ascii="Times New Roman" w:hAnsi="Times New Roman"/>
                      <w:kern w:val="0"/>
                      <w:sz w:val="24"/>
                      <w:szCs w:val="20"/>
                    </w:rPr>
                    <w:t>CHN</w:t>
                  </w:r>
                  <w:r>
                    <w:rPr>
                      <w:rFonts w:ascii="Times New Roman" w:hAnsi="Times New Roman" w:hint="eastAsia"/>
                      <w:kern w:val="0"/>
                      <w:sz w:val="24"/>
                      <w:szCs w:val="20"/>
                    </w:rPr>
                    <w:t>,</w:t>
                  </w:r>
                  <w:r>
                    <w:rPr>
                      <w:rFonts w:ascii="Times New Roman" w:hAnsi="Times New Roman"/>
                      <w:kern w:val="0"/>
                      <w:sz w:val="24"/>
                      <w:szCs w:val="20"/>
                    </w:rPr>
                    <w:t>110105197807221000</w:t>
                  </w:r>
                </w:p>
                <w:p w14:paraId="6073A3EA" w14:textId="77777777" w:rsidR="00E54F87" w:rsidRDefault="00E54F87">
                  <w:pPr>
                    <w:spacing w:line="360" w:lineRule="auto"/>
                    <w:rPr>
                      <w:rFonts w:ascii="Times New Roman" w:hAnsi="Times New Roman"/>
                      <w:kern w:val="0"/>
                      <w:sz w:val="24"/>
                      <w:szCs w:val="20"/>
                    </w:rPr>
                  </w:pPr>
                  <w:r>
                    <w:rPr>
                      <w:rFonts w:ascii="Times New Roman" w:hAnsi="Times New Roman"/>
                      <w:kern w:val="0"/>
                      <w:sz w:val="24"/>
                      <w:szCs w:val="20"/>
                    </w:rPr>
                    <w:t>END</w:t>
                  </w:r>
                </w:p>
              </w:txbxContent>
            </v:textbox>
          </v:shape>
        </w:pict>
      </w:r>
    </w:p>
    <w:p w14:paraId="19D2D580" w14:textId="77777777" w:rsidR="00A052DC" w:rsidRDefault="00A052DC">
      <w:pPr>
        <w:spacing w:line="360" w:lineRule="auto"/>
        <w:ind w:firstLineChars="200" w:firstLine="480"/>
        <w:rPr>
          <w:rFonts w:ascii="Times New Roman" w:hAnsi="Times New Roman"/>
          <w:kern w:val="0"/>
          <w:sz w:val="24"/>
          <w:szCs w:val="20"/>
        </w:rPr>
      </w:pPr>
    </w:p>
    <w:p w14:paraId="485549B8" w14:textId="77777777" w:rsidR="00A052DC" w:rsidRDefault="00A052DC">
      <w:pPr>
        <w:spacing w:line="276" w:lineRule="auto"/>
        <w:ind w:firstLineChars="200" w:firstLine="480"/>
        <w:rPr>
          <w:rFonts w:ascii="Times New Roman" w:hAnsi="Times New Roman"/>
          <w:kern w:val="0"/>
          <w:sz w:val="24"/>
          <w:szCs w:val="20"/>
        </w:rPr>
      </w:pPr>
    </w:p>
    <w:p w14:paraId="0AF9F6DB" w14:textId="77777777" w:rsidR="00A052DC" w:rsidRDefault="00A052DC"/>
    <w:p w14:paraId="327FEF53" w14:textId="77777777" w:rsidR="00A052DC" w:rsidRDefault="00A052DC"/>
    <w:p w14:paraId="710D0CBB" w14:textId="77777777" w:rsidR="00A052DC" w:rsidRDefault="00A052DC"/>
    <w:p w14:paraId="1CAE4A03" w14:textId="77777777" w:rsidR="00A052DC" w:rsidRDefault="009F0A60" w:rsidP="0020251D">
      <w:pPr>
        <w:pStyle w:val="5"/>
        <w:numPr>
          <w:ilvl w:val="4"/>
          <w:numId w:val="1"/>
        </w:numPr>
        <w:spacing w:before="120" w:after="120" w:line="360" w:lineRule="auto"/>
        <w:jc w:val="left"/>
      </w:pPr>
      <w:r>
        <w:rPr>
          <w:rFonts w:hint="eastAsia"/>
        </w:rPr>
        <w:t>涉嫌外汇违规账户查询信息</w:t>
      </w:r>
    </w:p>
    <w:p w14:paraId="655A141A"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hint="eastAsia"/>
          <w:kern w:val="0"/>
          <w:sz w:val="24"/>
          <w:szCs w:val="20"/>
        </w:rPr>
        <w:t>接口数据文件为</w:t>
      </w:r>
      <w:r>
        <w:rPr>
          <w:rFonts w:ascii="Times New Roman" w:hAnsi="Times New Roman"/>
          <w:kern w:val="0"/>
          <w:sz w:val="24"/>
          <w:szCs w:val="20"/>
        </w:rPr>
        <w:t>XML</w:t>
      </w:r>
      <w:r>
        <w:rPr>
          <w:rFonts w:ascii="Times New Roman" w:hAnsi="Times New Roman" w:hint="eastAsia"/>
          <w:kern w:val="0"/>
          <w:sz w:val="24"/>
          <w:szCs w:val="20"/>
        </w:rPr>
        <w:t>文件，每个文件对应一次查询信息，详细格式如下：</w:t>
      </w:r>
    </w:p>
    <w:tbl>
      <w:tblPr>
        <w:tblStyle w:val="af7"/>
        <w:tblW w:w="0" w:type="auto"/>
        <w:tblInd w:w="108" w:type="dxa"/>
        <w:shd w:val="clear" w:color="auto" w:fill="D9D9D9" w:themeFill="background1" w:themeFillShade="D9"/>
        <w:tblLook w:val="04A0" w:firstRow="1" w:lastRow="0" w:firstColumn="1" w:lastColumn="0" w:noHBand="0" w:noVBand="1"/>
      </w:tblPr>
      <w:tblGrid>
        <w:gridCol w:w="8414"/>
      </w:tblGrid>
      <w:tr w:rsidR="00A052DC" w14:paraId="36F907C5" w14:textId="77777777" w:rsidTr="00423087">
        <w:tc>
          <w:tcPr>
            <w:tcW w:w="8414" w:type="dxa"/>
            <w:shd w:val="clear" w:color="auto" w:fill="D9D9D9" w:themeFill="background1" w:themeFillShade="D9"/>
          </w:tcPr>
          <w:p w14:paraId="4BC2206E" w14:textId="77777777" w:rsidR="00A052DC" w:rsidRPr="00423087" w:rsidRDefault="00A412F6">
            <w:pPr>
              <w:rPr>
                <w:rFonts w:ascii="黑体" w:eastAsia="黑体" w:hAnsi="黑体"/>
              </w:rPr>
            </w:pPr>
            <w:r w:rsidRPr="00A412F6">
              <w:rPr>
                <w:rFonts w:ascii="黑体" w:eastAsia="黑体" w:hAnsi="黑体"/>
              </w:rPr>
              <w:t>&lt;REQ&gt;</w:t>
            </w:r>
          </w:p>
          <w:p w14:paraId="716306E2" w14:textId="77777777" w:rsidR="00A052DC" w:rsidRPr="00423087" w:rsidRDefault="00A412F6">
            <w:pPr>
              <w:rPr>
                <w:rFonts w:ascii="黑体" w:eastAsia="黑体" w:hAnsi="黑体"/>
              </w:rPr>
            </w:pPr>
            <w:r w:rsidRPr="00A412F6">
              <w:rPr>
                <w:rFonts w:ascii="黑体" w:eastAsia="黑体" w:hAnsi="黑体"/>
              </w:rPr>
              <w:t>&lt;APPLYNUM&gt;</w:t>
            </w:r>
            <w:r w:rsidRPr="00A412F6">
              <w:rPr>
                <w:rFonts w:ascii="黑体" w:eastAsia="黑体" w:hAnsi="黑体" w:hint="eastAsia"/>
              </w:rPr>
              <w:t>查询流水号</w:t>
            </w:r>
            <w:r w:rsidRPr="00A412F6">
              <w:rPr>
                <w:rFonts w:ascii="黑体" w:eastAsia="黑体" w:hAnsi="黑体"/>
              </w:rPr>
              <w:t>&lt;/APPLYNUM&gt;</w:t>
            </w:r>
          </w:p>
          <w:p w14:paraId="7F0BEDA8" w14:textId="77777777" w:rsidR="00A052DC" w:rsidRPr="00423087" w:rsidRDefault="00A412F6">
            <w:pPr>
              <w:rPr>
                <w:rFonts w:ascii="黑体" w:eastAsia="黑体" w:hAnsi="黑体"/>
              </w:rPr>
            </w:pPr>
            <w:r w:rsidRPr="00A412F6">
              <w:rPr>
                <w:rFonts w:ascii="黑体" w:eastAsia="黑体" w:hAnsi="黑体"/>
              </w:rPr>
              <w:t>&lt;APPLYDATE&gt;</w:t>
            </w:r>
            <w:r w:rsidRPr="00A412F6">
              <w:rPr>
                <w:rFonts w:ascii="黑体" w:eastAsia="黑体" w:hAnsi="黑体" w:hint="eastAsia"/>
              </w:rPr>
              <w:t>查询日期</w:t>
            </w:r>
            <w:r w:rsidRPr="00A412F6">
              <w:rPr>
                <w:rFonts w:ascii="黑体" w:eastAsia="黑体" w:hAnsi="黑体"/>
              </w:rPr>
              <w:t>&lt;/APPLYDATE&gt;</w:t>
            </w:r>
          </w:p>
          <w:p w14:paraId="07A9330E" w14:textId="77777777" w:rsidR="00A052DC" w:rsidRPr="00423087" w:rsidRDefault="00A412F6">
            <w:pPr>
              <w:rPr>
                <w:rFonts w:ascii="黑体" w:eastAsia="黑体" w:hAnsi="黑体"/>
              </w:rPr>
            </w:pPr>
            <w:r w:rsidRPr="00A412F6">
              <w:rPr>
                <w:rFonts w:ascii="黑体" w:eastAsia="黑体" w:hAnsi="黑体"/>
              </w:rPr>
              <w:t>&lt;ACCOUNTBANKHEAD&gt;</w:t>
            </w:r>
            <w:r w:rsidRPr="00A412F6">
              <w:rPr>
                <w:rFonts w:ascii="黑体" w:eastAsia="黑体" w:hAnsi="黑体" w:hint="eastAsia"/>
              </w:rPr>
              <w:t>查询账户所属银行名称</w:t>
            </w:r>
            <w:r w:rsidRPr="00A412F6">
              <w:rPr>
                <w:rFonts w:ascii="黑体" w:eastAsia="黑体" w:hAnsi="黑体"/>
              </w:rPr>
              <w:t>&lt;/ACCOUNTBANKHEAD&gt;</w:t>
            </w:r>
          </w:p>
          <w:p w14:paraId="01185EA8" w14:textId="77777777" w:rsidR="00A052DC" w:rsidRPr="00423087" w:rsidRDefault="00A412F6">
            <w:pPr>
              <w:rPr>
                <w:rFonts w:ascii="黑体" w:eastAsia="黑体" w:hAnsi="黑体"/>
              </w:rPr>
            </w:pPr>
            <w:r w:rsidRPr="00A412F6">
              <w:rPr>
                <w:rFonts w:ascii="黑体" w:eastAsia="黑体" w:hAnsi="黑体"/>
              </w:rPr>
              <w:t>&lt;BANKCODE&gt;</w:t>
            </w:r>
            <w:r w:rsidRPr="00A412F6">
              <w:rPr>
                <w:rFonts w:ascii="黑体" w:eastAsia="黑体" w:hAnsi="黑体" w:hint="eastAsia"/>
              </w:rPr>
              <w:t>金融机构代码</w:t>
            </w:r>
            <w:r w:rsidRPr="00A412F6">
              <w:rPr>
                <w:rFonts w:ascii="黑体" w:eastAsia="黑体" w:hAnsi="黑体"/>
              </w:rPr>
              <w:t>&lt;/BANKCODE&gt;</w:t>
            </w:r>
          </w:p>
          <w:p w14:paraId="1EF3F9D9" w14:textId="77777777" w:rsidR="00A052DC" w:rsidRPr="00423087" w:rsidRDefault="00A412F6">
            <w:pPr>
              <w:rPr>
                <w:rFonts w:ascii="黑体" w:eastAsia="黑体" w:hAnsi="黑体"/>
              </w:rPr>
            </w:pPr>
            <w:r w:rsidRPr="00A412F6">
              <w:rPr>
                <w:rFonts w:ascii="黑体" w:eastAsia="黑体" w:hAnsi="黑体"/>
              </w:rPr>
              <w:t>&lt;ENTITYS&gt;</w:t>
            </w:r>
          </w:p>
          <w:p w14:paraId="10C4B0C2" w14:textId="77777777" w:rsidR="00A052DC" w:rsidRPr="00423087" w:rsidRDefault="00A412F6">
            <w:pPr>
              <w:rPr>
                <w:rFonts w:ascii="黑体" w:eastAsia="黑体" w:hAnsi="黑体"/>
              </w:rPr>
            </w:pPr>
            <w:r w:rsidRPr="00A412F6">
              <w:rPr>
                <w:rFonts w:ascii="黑体" w:eastAsia="黑体" w:hAnsi="黑体"/>
              </w:rPr>
              <w:t>&lt;ENTITY&gt;</w:t>
            </w:r>
          </w:p>
          <w:p w14:paraId="64BDC6EC" w14:textId="77777777" w:rsidR="00A052DC" w:rsidRPr="00423087" w:rsidRDefault="00A412F6">
            <w:pPr>
              <w:rPr>
                <w:rFonts w:ascii="黑体" w:eastAsia="黑体" w:hAnsi="黑体"/>
              </w:rPr>
            </w:pPr>
            <w:r w:rsidRPr="00A412F6">
              <w:rPr>
                <w:rFonts w:ascii="黑体" w:eastAsia="黑体" w:hAnsi="黑体"/>
              </w:rPr>
              <w:tab/>
              <w:t>&lt;ENNAME&gt;</w:t>
            </w:r>
            <w:r w:rsidRPr="00A412F6">
              <w:rPr>
                <w:rFonts w:ascii="黑体" w:eastAsia="黑体" w:hAnsi="黑体" w:hint="eastAsia"/>
              </w:rPr>
              <w:t>主体名称</w:t>
            </w:r>
            <w:r w:rsidRPr="00A412F6">
              <w:rPr>
                <w:rFonts w:ascii="黑体" w:eastAsia="黑体" w:hAnsi="黑体"/>
              </w:rPr>
              <w:t>&lt;/ENNAME&gt;</w:t>
            </w:r>
          </w:p>
          <w:p w14:paraId="5F853605" w14:textId="77777777" w:rsidR="00A052DC" w:rsidRPr="00423087" w:rsidRDefault="00A412F6">
            <w:pPr>
              <w:rPr>
                <w:rFonts w:ascii="黑体" w:eastAsia="黑体" w:hAnsi="黑体"/>
              </w:rPr>
            </w:pPr>
            <w:r w:rsidRPr="00A412F6">
              <w:rPr>
                <w:rFonts w:ascii="黑体" w:eastAsia="黑体" w:hAnsi="黑体"/>
              </w:rPr>
              <w:tab/>
              <w:t>&lt;AMTYPE</w:t>
            </w:r>
            <w:r w:rsidRPr="00A412F6">
              <w:rPr>
                <w:rFonts w:ascii="黑体" w:eastAsia="黑体" w:hAnsi="黑体"/>
              </w:rPr>
              <w:tab/>
              <w:t>&gt;</w:t>
            </w:r>
            <w:r w:rsidRPr="00A412F6">
              <w:rPr>
                <w:rFonts w:ascii="黑体" w:eastAsia="黑体" w:hAnsi="黑体" w:hint="eastAsia"/>
              </w:rPr>
              <w:t>主体类型</w:t>
            </w:r>
            <w:r w:rsidRPr="00A412F6">
              <w:rPr>
                <w:rFonts w:ascii="黑体" w:eastAsia="黑体" w:hAnsi="黑体"/>
              </w:rPr>
              <w:t>&lt;/AMTYPE&gt;</w:t>
            </w:r>
          </w:p>
          <w:p w14:paraId="14763DBA" w14:textId="77777777" w:rsidR="00A052DC" w:rsidRPr="00423087" w:rsidRDefault="00A412F6">
            <w:pPr>
              <w:rPr>
                <w:rFonts w:ascii="黑体" w:eastAsia="黑体" w:hAnsi="黑体"/>
              </w:rPr>
            </w:pPr>
            <w:r w:rsidRPr="00A412F6">
              <w:rPr>
                <w:rFonts w:ascii="黑体" w:eastAsia="黑体" w:hAnsi="黑体"/>
              </w:rPr>
              <w:tab/>
              <w:t>&lt;CERTTYPE&gt;</w:t>
            </w:r>
            <w:r w:rsidRPr="00A412F6">
              <w:rPr>
                <w:rFonts w:ascii="黑体" w:eastAsia="黑体" w:hAnsi="黑体" w:hint="eastAsia"/>
              </w:rPr>
              <w:t>证件类型</w:t>
            </w:r>
            <w:r w:rsidRPr="00A412F6">
              <w:rPr>
                <w:rFonts w:ascii="黑体" w:eastAsia="黑体" w:hAnsi="黑体"/>
              </w:rPr>
              <w:t>&lt;/CERTTYPE&gt;</w:t>
            </w:r>
          </w:p>
          <w:p w14:paraId="172ACF3B" w14:textId="77777777" w:rsidR="00A052DC" w:rsidRPr="00423087" w:rsidRDefault="00A412F6">
            <w:pPr>
              <w:rPr>
                <w:rFonts w:ascii="黑体" w:eastAsia="黑体" w:hAnsi="黑体"/>
              </w:rPr>
            </w:pPr>
            <w:r w:rsidRPr="00A412F6">
              <w:rPr>
                <w:rFonts w:ascii="黑体" w:eastAsia="黑体" w:hAnsi="黑体"/>
              </w:rPr>
              <w:tab/>
              <w:t>&lt;ENCODE&gt;</w:t>
            </w:r>
            <w:r w:rsidRPr="00A412F6">
              <w:rPr>
                <w:rFonts w:ascii="黑体" w:eastAsia="黑体" w:hAnsi="黑体" w:hint="eastAsia"/>
              </w:rPr>
              <w:t>证件号码</w:t>
            </w:r>
            <w:r w:rsidRPr="00A412F6">
              <w:rPr>
                <w:rFonts w:ascii="黑体" w:eastAsia="黑体" w:hAnsi="黑体"/>
              </w:rPr>
              <w:t>&lt;/ENCODE&gt;</w:t>
            </w:r>
          </w:p>
          <w:p w14:paraId="605CC8EC" w14:textId="77777777" w:rsidR="00A052DC" w:rsidRPr="00423087" w:rsidRDefault="00A412F6">
            <w:pPr>
              <w:rPr>
                <w:rFonts w:ascii="黑体" w:eastAsia="黑体" w:hAnsi="黑体"/>
              </w:rPr>
            </w:pPr>
            <w:r w:rsidRPr="00A412F6">
              <w:rPr>
                <w:rFonts w:ascii="黑体" w:eastAsia="黑体" w:hAnsi="黑体"/>
              </w:rPr>
              <w:tab/>
              <w:t>&lt;ACCOUNTNO&gt;</w:t>
            </w:r>
            <w:r w:rsidRPr="00A412F6">
              <w:rPr>
                <w:rFonts w:ascii="黑体" w:eastAsia="黑体" w:hAnsi="黑体" w:hint="eastAsia"/>
              </w:rPr>
              <w:t>查询账号</w:t>
            </w:r>
            <w:r w:rsidRPr="00A412F6">
              <w:rPr>
                <w:rFonts w:ascii="黑体" w:eastAsia="黑体" w:hAnsi="黑体"/>
                <w:color w:val="000000"/>
                <w:szCs w:val="20"/>
              </w:rPr>
              <w:t>/</w:t>
            </w:r>
            <w:r w:rsidRPr="00A412F6">
              <w:rPr>
                <w:rFonts w:ascii="黑体" w:eastAsia="黑体" w:hAnsi="黑体" w:hint="eastAsia"/>
                <w:color w:val="000000"/>
                <w:szCs w:val="20"/>
              </w:rPr>
              <w:t>卡号</w:t>
            </w:r>
            <w:r w:rsidRPr="00A412F6">
              <w:rPr>
                <w:rFonts w:ascii="黑体" w:eastAsia="黑体" w:hAnsi="黑体"/>
              </w:rPr>
              <w:t>&lt;/ACCOUNTNO&gt;</w:t>
            </w:r>
          </w:p>
          <w:p w14:paraId="6294F24E" w14:textId="77777777" w:rsidR="00A052DC" w:rsidRPr="00423087" w:rsidRDefault="00A412F6">
            <w:pPr>
              <w:rPr>
                <w:rFonts w:ascii="黑体" w:eastAsia="黑体" w:hAnsi="黑体"/>
              </w:rPr>
            </w:pPr>
            <w:r w:rsidRPr="00A412F6">
              <w:rPr>
                <w:rFonts w:ascii="黑体" w:eastAsia="黑体" w:hAnsi="黑体"/>
              </w:rPr>
              <w:tab/>
              <w:t>&lt;TXCCY&gt;</w:t>
            </w:r>
            <w:r w:rsidRPr="00A412F6">
              <w:rPr>
                <w:rFonts w:ascii="黑体" w:eastAsia="黑体" w:hAnsi="黑体" w:hint="eastAsia"/>
              </w:rPr>
              <w:t>币种</w:t>
            </w:r>
            <w:r w:rsidRPr="00A412F6">
              <w:rPr>
                <w:rFonts w:ascii="黑体" w:eastAsia="黑体" w:hAnsi="黑体"/>
              </w:rPr>
              <w:t>&lt;/TXCCY&gt;</w:t>
            </w:r>
          </w:p>
          <w:p w14:paraId="07207BBF" w14:textId="77777777" w:rsidR="00A052DC" w:rsidRPr="00423087" w:rsidRDefault="00A412F6">
            <w:pPr>
              <w:rPr>
                <w:rFonts w:ascii="黑体" w:eastAsia="黑体" w:hAnsi="黑体"/>
              </w:rPr>
            </w:pPr>
            <w:r w:rsidRPr="00A412F6">
              <w:rPr>
                <w:rFonts w:ascii="黑体" w:eastAsia="黑体" w:hAnsi="黑体"/>
              </w:rPr>
              <w:tab/>
              <w:t>&lt;PAYMENTSTAT&gt;</w:t>
            </w:r>
            <w:r w:rsidRPr="00A412F6">
              <w:rPr>
                <w:rFonts w:ascii="黑体" w:eastAsia="黑体" w:hAnsi="黑体" w:hint="eastAsia"/>
              </w:rPr>
              <w:t>借贷（收付）标记</w:t>
            </w:r>
            <w:r w:rsidRPr="00A412F6">
              <w:rPr>
                <w:rFonts w:ascii="黑体" w:eastAsia="黑体" w:hAnsi="黑体"/>
              </w:rPr>
              <w:t>&lt;/PAYMENTSTAT&gt;</w:t>
            </w:r>
          </w:p>
          <w:p w14:paraId="043806F6" w14:textId="77777777" w:rsidR="00A052DC" w:rsidRPr="00423087" w:rsidRDefault="00A412F6">
            <w:pPr>
              <w:rPr>
                <w:rFonts w:ascii="黑体" w:eastAsia="黑体" w:hAnsi="黑体"/>
              </w:rPr>
            </w:pPr>
            <w:r w:rsidRPr="00A412F6">
              <w:rPr>
                <w:rFonts w:ascii="黑体" w:eastAsia="黑体" w:hAnsi="黑体"/>
              </w:rPr>
              <w:tab/>
              <w:t>&lt;APPLYSTARTDATE&gt;</w:t>
            </w:r>
            <w:r w:rsidRPr="00A412F6">
              <w:rPr>
                <w:rFonts w:ascii="黑体" w:eastAsia="黑体" w:hAnsi="黑体" w:hint="eastAsia"/>
              </w:rPr>
              <w:t>业务开始日期</w:t>
            </w:r>
            <w:r w:rsidRPr="00A412F6">
              <w:rPr>
                <w:rFonts w:ascii="黑体" w:eastAsia="黑体" w:hAnsi="黑体"/>
              </w:rPr>
              <w:t>&lt;/APPLYSTARTDATE&gt;</w:t>
            </w:r>
          </w:p>
          <w:p w14:paraId="746FC429" w14:textId="77777777" w:rsidR="00A052DC" w:rsidRPr="00423087" w:rsidRDefault="00A412F6">
            <w:pPr>
              <w:rPr>
                <w:rFonts w:ascii="黑体" w:eastAsia="黑体" w:hAnsi="黑体"/>
              </w:rPr>
            </w:pPr>
            <w:r w:rsidRPr="00A412F6">
              <w:rPr>
                <w:rFonts w:ascii="黑体" w:eastAsia="黑体" w:hAnsi="黑体"/>
              </w:rPr>
              <w:tab/>
              <w:t>&lt;APPLYENDDATE&gt;</w:t>
            </w:r>
            <w:r w:rsidRPr="00A412F6">
              <w:rPr>
                <w:rFonts w:ascii="黑体" w:eastAsia="黑体" w:hAnsi="黑体" w:hint="eastAsia"/>
              </w:rPr>
              <w:t>业务结束日期</w:t>
            </w:r>
            <w:r w:rsidRPr="00A412F6">
              <w:rPr>
                <w:rFonts w:ascii="黑体" w:eastAsia="黑体" w:hAnsi="黑体"/>
              </w:rPr>
              <w:t>&lt;/APPLYENDDATE&gt;</w:t>
            </w:r>
          </w:p>
          <w:p w14:paraId="7EC54CF4" w14:textId="77777777" w:rsidR="00A052DC" w:rsidRPr="00423087" w:rsidRDefault="00A412F6">
            <w:pPr>
              <w:rPr>
                <w:rFonts w:ascii="黑体" w:eastAsia="黑体" w:hAnsi="黑体"/>
              </w:rPr>
            </w:pPr>
            <w:r w:rsidRPr="00A412F6">
              <w:rPr>
                <w:rFonts w:ascii="黑体" w:eastAsia="黑体" w:hAnsi="黑体"/>
              </w:rPr>
              <w:t>&lt;/ENTITY&gt;</w:t>
            </w:r>
          </w:p>
          <w:p w14:paraId="72263AC7" w14:textId="77777777" w:rsidR="00A052DC" w:rsidRPr="00423087" w:rsidRDefault="00A412F6">
            <w:pPr>
              <w:rPr>
                <w:rFonts w:ascii="黑体" w:eastAsia="黑体" w:hAnsi="黑体"/>
              </w:rPr>
            </w:pPr>
            <w:r w:rsidRPr="00A412F6">
              <w:rPr>
                <w:rFonts w:ascii="黑体" w:eastAsia="黑体" w:hAnsi="黑体"/>
              </w:rPr>
              <w:t>&lt;/ENTITYS&gt;</w:t>
            </w:r>
          </w:p>
          <w:p w14:paraId="3FA9D429" w14:textId="77777777" w:rsidR="00A052DC" w:rsidRPr="00423087" w:rsidRDefault="00A412F6">
            <w:pPr>
              <w:rPr>
                <w:rFonts w:ascii="黑体" w:eastAsia="黑体" w:hAnsi="黑体"/>
              </w:rPr>
            </w:pPr>
            <w:r w:rsidRPr="00A412F6">
              <w:rPr>
                <w:rFonts w:ascii="黑体" w:eastAsia="黑体" w:hAnsi="黑体"/>
              </w:rPr>
              <w:t>&lt;REPLYDEADLINE&gt;</w:t>
            </w:r>
            <w:r w:rsidRPr="00A412F6">
              <w:rPr>
                <w:rFonts w:ascii="黑体" w:eastAsia="黑体" w:hAnsi="黑体" w:hint="eastAsia"/>
              </w:rPr>
              <w:t>数据反馈时间</w:t>
            </w:r>
            <w:r w:rsidRPr="00A412F6">
              <w:rPr>
                <w:rFonts w:ascii="黑体" w:eastAsia="黑体" w:hAnsi="黑体"/>
              </w:rPr>
              <w:t>&lt;/REPLYDEADLINE&gt;</w:t>
            </w:r>
          </w:p>
          <w:p w14:paraId="713D0A13" w14:textId="77777777" w:rsidR="00A052DC" w:rsidRPr="00423087" w:rsidRDefault="00A412F6">
            <w:pPr>
              <w:rPr>
                <w:rFonts w:ascii="黑体" w:eastAsia="黑体" w:hAnsi="黑体"/>
              </w:rPr>
            </w:pPr>
            <w:r w:rsidRPr="00A412F6">
              <w:rPr>
                <w:rFonts w:ascii="黑体" w:eastAsia="黑体" w:hAnsi="黑体"/>
              </w:rPr>
              <w:t>&lt;REMARKS&gt;</w:t>
            </w:r>
            <w:r w:rsidRPr="00A412F6">
              <w:rPr>
                <w:rFonts w:ascii="黑体" w:eastAsia="黑体" w:hAnsi="黑体" w:hint="eastAsia"/>
              </w:rPr>
              <w:t>备注</w:t>
            </w:r>
            <w:r w:rsidRPr="00A412F6">
              <w:rPr>
                <w:rFonts w:ascii="黑体" w:eastAsia="黑体" w:hAnsi="黑体"/>
              </w:rPr>
              <w:t>&lt;/REMARKS&gt;</w:t>
            </w:r>
          </w:p>
          <w:p w14:paraId="4DB86B4B" w14:textId="77777777" w:rsidR="00A052DC" w:rsidRDefault="00A412F6">
            <w:r w:rsidRPr="00A412F6">
              <w:rPr>
                <w:rFonts w:ascii="黑体" w:eastAsia="黑体" w:hAnsi="黑体"/>
              </w:rPr>
              <w:t>&lt;/REQ&gt;</w:t>
            </w:r>
          </w:p>
        </w:tc>
      </w:tr>
    </w:tbl>
    <w:p w14:paraId="0AABDD26" w14:textId="77777777" w:rsidR="00A052DC" w:rsidRDefault="009F0A60">
      <w:pPr>
        <w:spacing w:line="360" w:lineRule="auto"/>
        <w:ind w:firstLineChars="200" w:firstLine="480"/>
        <w:rPr>
          <w:rFonts w:ascii="Times New Roman" w:hAnsi="Times New Roman"/>
          <w:kern w:val="0"/>
          <w:sz w:val="24"/>
          <w:szCs w:val="20"/>
        </w:rPr>
      </w:pPr>
      <w:r>
        <w:rPr>
          <w:rFonts w:ascii="Times New Roman" w:hAnsi="Times New Roman" w:hint="eastAsia"/>
          <w:kern w:val="0"/>
          <w:sz w:val="24"/>
          <w:szCs w:val="20"/>
        </w:rPr>
        <w:t>每次查询信息中包含一条或多条查询特征（</w:t>
      </w:r>
      <w:r>
        <w:rPr>
          <w:rFonts w:ascii="Times New Roman" w:hAnsi="Times New Roman" w:hint="eastAsia"/>
          <w:kern w:val="0"/>
          <w:sz w:val="24"/>
          <w:szCs w:val="20"/>
        </w:rPr>
        <w:t>entity</w:t>
      </w:r>
      <w:r>
        <w:rPr>
          <w:rFonts w:ascii="Times New Roman" w:hAnsi="Times New Roman" w:hint="eastAsia"/>
          <w:kern w:val="0"/>
          <w:sz w:val="24"/>
          <w:szCs w:val="20"/>
        </w:rPr>
        <w:t>）。</w:t>
      </w:r>
    </w:p>
    <w:p w14:paraId="7E4FA057" w14:textId="77777777" w:rsidR="00F43A1A" w:rsidRDefault="00F43A1A">
      <w:pPr>
        <w:spacing w:line="360" w:lineRule="auto"/>
        <w:ind w:firstLineChars="200" w:firstLine="480"/>
        <w:rPr>
          <w:rFonts w:ascii="Times New Roman" w:hAnsi="Times New Roman"/>
          <w:kern w:val="0"/>
          <w:sz w:val="24"/>
          <w:szCs w:val="20"/>
        </w:rPr>
      </w:pPr>
    </w:p>
    <w:p w14:paraId="4FC729E2" w14:textId="77777777" w:rsidR="00F43A1A" w:rsidRDefault="00F43A1A">
      <w:pPr>
        <w:spacing w:line="360" w:lineRule="auto"/>
        <w:ind w:firstLineChars="200" w:firstLine="480"/>
        <w:rPr>
          <w:rFonts w:ascii="Times New Roman" w:hAnsi="Times New Roman"/>
          <w:kern w:val="0"/>
          <w:sz w:val="24"/>
          <w:szCs w:val="20"/>
        </w:rPr>
      </w:pPr>
    </w:p>
    <w:p w14:paraId="269E9BBE" w14:textId="77777777" w:rsidR="00F43A1A" w:rsidRDefault="00F43A1A">
      <w:pPr>
        <w:spacing w:line="360" w:lineRule="auto"/>
        <w:ind w:firstLineChars="200" w:firstLine="480"/>
        <w:rPr>
          <w:rFonts w:ascii="Times New Roman" w:hAnsi="Times New Roman"/>
          <w:kern w:val="0"/>
          <w:sz w:val="24"/>
          <w:szCs w:val="20"/>
        </w:rPr>
      </w:pPr>
    </w:p>
    <w:p w14:paraId="2DC99D4B" w14:textId="77777777" w:rsidR="00F43A1A" w:rsidRDefault="00F43A1A">
      <w:pPr>
        <w:spacing w:line="360" w:lineRule="auto"/>
        <w:ind w:firstLineChars="200" w:firstLine="480"/>
        <w:rPr>
          <w:rFonts w:ascii="Times New Roman" w:hAnsi="Times New Roman"/>
          <w:kern w:val="0"/>
          <w:sz w:val="24"/>
          <w:szCs w:val="20"/>
        </w:rPr>
      </w:pPr>
    </w:p>
    <w:p w14:paraId="2AA414D9" w14:textId="77777777" w:rsidR="00A052DC" w:rsidRDefault="009F0A60" w:rsidP="0020251D">
      <w:pPr>
        <w:pStyle w:val="3"/>
        <w:ind w:left="0"/>
        <w:rPr>
          <w:rFonts w:ascii="Times New Roman" w:hAnsi="Times New Roman"/>
        </w:rPr>
      </w:pPr>
      <w:bookmarkStart w:id="4466" w:name="_Toc454394926"/>
      <w:bookmarkStart w:id="4467" w:name="_Toc91455509"/>
      <w:bookmarkStart w:id="4468" w:name="_Toc310599121"/>
      <w:bookmarkStart w:id="4469" w:name="_Toc101684534"/>
      <w:r>
        <w:rPr>
          <w:rFonts w:ascii="Times New Roman" w:hAnsi="Times New Roman" w:hint="eastAsia"/>
        </w:rPr>
        <w:t>反馈文件在银行</w:t>
      </w:r>
      <w:r>
        <w:rPr>
          <w:rFonts w:ascii="Times New Roman" w:hAnsi="Times New Roman"/>
        </w:rPr>
        <w:t>MTS</w:t>
      </w:r>
      <w:r>
        <w:rPr>
          <w:rFonts w:ascii="Times New Roman" w:hAnsi="Times New Roman" w:hint="eastAsia"/>
        </w:rPr>
        <w:t>节点的目录规范</w:t>
      </w:r>
      <w:bookmarkEnd w:id="4466"/>
      <w:bookmarkEnd w:id="4467"/>
      <w:bookmarkEnd w:id="4468"/>
      <w:bookmarkEnd w:id="4469"/>
    </w:p>
    <w:p w14:paraId="73C0910F" w14:textId="77777777" w:rsidR="00A052DC" w:rsidRDefault="00D42F74" w:rsidP="0020251D">
      <w:pPr>
        <w:pStyle w:val="4"/>
        <w:numPr>
          <w:ilvl w:val="3"/>
          <w:numId w:val="1"/>
        </w:numPr>
        <w:jc w:val="left"/>
      </w:pPr>
      <w:r>
        <w:rPr>
          <w:rFonts w:hint="eastAsia"/>
        </w:rPr>
        <w:t xml:space="preserve"> </w:t>
      </w:r>
      <w:r w:rsidR="009F0A60">
        <w:rPr>
          <w:rFonts w:hint="eastAsia"/>
        </w:rPr>
        <w:t>涉外收支、境内划转数据</w:t>
      </w:r>
    </w:p>
    <w:p w14:paraId="3D89F08C" w14:textId="77777777" w:rsidR="00A052DC" w:rsidRDefault="004D6392">
      <w:pPr>
        <w:spacing w:line="360" w:lineRule="auto"/>
      </w:pPr>
      <w:r w:rsidRPr="004D6392">
        <w:t xml:space="preserve"> </w:t>
      </w:r>
      <w:r>
        <w:object w:dxaOrig="9270" w:dyaOrig="10456" w14:anchorId="49F04E71">
          <v:shape id="_x0000_i1026" type="#_x0000_t75" style="width:415.3pt;height:468.85pt" o:ole="">
            <v:imagedata r:id="rId17" o:title=""/>
          </v:shape>
          <o:OLEObject Type="Embed" ProgID="Visio.Drawing.15" ShapeID="_x0000_i1026" DrawAspect="Content" ObjectID="_1713896973" r:id="rId18"/>
        </w:object>
      </w:r>
    </w:p>
    <w:p w14:paraId="6FDE0DB0" w14:textId="77777777" w:rsidR="00A052DC" w:rsidRDefault="00A052DC">
      <w:pPr>
        <w:spacing w:line="360" w:lineRule="auto"/>
      </w:pPr>
    </w:p>
    <w:p w14:paraId="34C0092E" w14:textId="77777777" w:rsidR="00F43A1A" w:rsidRDefault="00F43A1A">
      <w:pPr>
        <w:spacing w:line="360" w:lineRule="auto"/>
      </w:pPr>
    </w:p>
    <w:p w14:paraId="462D0772" w14:textId="77777777" w:rsidR="00F43A1A" w:rsidRDefault="00F43A1A">
      <w:pPr>
        <w:spacing w:line="360" w:lineRule="auto"/>
      </w:pPr>
    </w:p>
    <w:p w14:paraId="4883832B" w14:textId="77777777" w:rsidR="00A052DC" w:rsidRDefault="00A052DC">
      <w:pPr>
        <w:spacing w:line="36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5354"/>
      </w:tblGrid>
      <w:tr w:rsidR="00A052DC" w14:paraId="504DAF00" w14:textId="77777777" w:rsidTr="00652BE7">
        <w:tc>
          <w:tcPr>
            <w:tcW w:w="3168" w:type="dxa"/>
            <w:shd w:val="clear" w:color="auto" w:fill="D9D9D9" w:themeFill="background1" w:themeFillShade="D9"/>
          </w:tcPr>
          <w:p w14:paraId="784BF1E4" w14:textId="77777777" w:rsidR="00E42487" w:rsidRDefault="009F0A60" w:rsidP="00E42487">
            <w:pPr>
              <w:spacing w:line="360" w:lineRule="auto"/>
              <w:jc w:val="center"/>
              <w:rPr>
                <w:rFonts w:ascii="黑体" w:eastAsia="黑体"/>
                <w:b/>
                <w:szCs w:val="21"/>
              </w:rPr>
            </w:pPr>
            <w:r>
              <w:rPr>
                <w:rFonts w:ascii="黑体" w:eastAsia="黑体" w:hint="eastAsia"/>
                <w:b/>
                <w:szCs w:val="21"/>
              </w:rPr>
              <w:t>目录路径</w:t>
            </w:r>
          </w:p>
        </w:tc>
        <w:tc>
          <w:tcPr>
            <w:tcW w:w="5354" w:type="dxa"/>
            <w:shd w:val="clear" w:color="auto" w:fill="D9D9D9" w:themeFill="background1" w:themeFillShade="D9"/>
          </w:tcPr>
          <w:p w14:paraId="148BBFE7" w14:textId="77777777" w:rsidR="00E42487" w:rsidRDefault="009F0A60" w:rsidP="00E42487">
            <w:pPr>
              <w:spacing w:line="360" w:lineRule="auto"/>
              <w:jc w:val="center"/>
              <w:rPr>
                <w:rFonts w:ascii="黑体" w:eastAsia="黑体"/>
                <w:b/>
                <w:szCs w:val="21"/>
              </w:rPr>
            </w:pPr>
            <w:r>
              <w:rPr>
                <w:rFonts w:ascii="黑体" w:eastAsia="黑体" w:hint="eastAsia"/>
                <w:b/>
                <w:szCs w:val="21"/>
              </w:rPr>
              <w:t>说明</w:t>
            </w:r>
          </w:p>
        </w:tc>
      </w:tr>
      <w:tr w:rsidR="00A052DC" w14:paraId="1A691AFA" w14:textId="77777777">
        <w:tc>
          <w:tcPr>
            <w:tcW w:w="3168" w:type="dxa"/>
          </w:tcPr>
          <w:p w14:paraId="4F3F61AD" w14:textId="77777777" w:rsidR="00A052DC" w:rsidRDefault="009F0A60">
            <w:pPr>
              <w:spacing w:line="360" w:lineRule="auto"/>
              <w:rPr>
                <w:rFonts w:ascii="黑体" w:eastAsia="黑体" w:hAnsi="宋体"/>
                <w:szCs w:val="21"/>
              </w:rPr>
            </w:pPr>
            <w:r>
              <w:rPr>
                <w:rFonts w:ascii="黑体" w:eastAsia="黑体" w:hAnsi="宋体"/>
                <w:szCs w:val="21"/>
              </w:rPr>
              <w:t>InterfaceFile</w:t>
            </w:r>
          </w:p>
        </w:tc>
        <w:tc>
          <w:tcPr>
            <w:tcW w:w="5354" w:type="dxa"/>
          </w:tcPr>
          <w:p w14:paraId="4D92F90C" w14:textId="77777777" w:rsidR="00A052DC" w:rsidRDefault="009F0A60">
            <w:pPr>
              <w:spacing w:line="360" w:lineRule="auto"/>
              <w:rPr>
                <w:rFonts w:ascii="黑体" w:eastAsia="黑体" w:hAnsi="宋体"/>
                <w:szCs w:val="21"/>
              </w:rPr>
            </w:pPr>
            <w:r>
              <w:rPr>
                <w:rFonts w:ascii="黑体" w:eastAsia="黑体" w:hAnsi="宋体" w:hint="eastAsia"/>
                <w:szCs w:val="21"/>
              </w:rPr>
              <w:t>反馈文件存放根目录（银行可自定义）</w:t>
            </w:r>
          </w:p>
        </w:tc>
      </w:tr>
      <w:tr w:rsidR="00A052DC" w14:paraId="3C9EAAFD" w14:textId="77777777">
        <w:tc>
          <w:tcPr>
            <w:tcW w:w="3168" w:type="dxa"/>
          </w:tcPr>
          <w:p w14:paraId="4D3CA596" w14:textId="77777777" w:rsidR="00A052DC" w:rsidRDefault="009F0A60">
            <w:pPr>
              <w:spacing w:line="360" w:lineRule="auto"/>
              <w:rPr>
                <w:rFonts w:ascii="黑体" w:eastAsia="黑体" w:hAnsi="宋体"/>
                <w:szCs w:val="21"/>
              </w:rPr>
            </w:pPr>
            <w:r>
              <w:rPr>
                <w:rFonts w:ascii="黑体" w:eastAsia="黑体" w:hAnsi="宋体"/>
                <w:szCs w:val="21"/>
              </w:rPr>
              <w:t>InterfaceFile</w:t>
            </w:r>
            <w:r>
              <w:rPr>
                <w:rFonts w:ascii="黑体" w:eastAsia="黑体"/>
                <w:kern w:val="0"/>
                <w:szCs w:val="21"/>
              </w:rPr>
              <w:t>/ReciveFile</w:t>
            </w:r>
          </w:p>
        </w:tc>
        <w:tc>
          <w:tcPr>
            <w:tcW w:w="5354" w:type="dxa"/>
          </w:tcPr>
          <w:p w14:paraId="2AA9513F" w14:textId="77777777" w:rsidR="00A052DC" w:rsidRDefault="009F0A60">
            <w:pPr>
              <w:spacing w:line="360" w:lineRule="auto"/>
              <w:rPr>
                <w:rFonts w:ascii="黑体" w:eastAsia="黑体" w:hAnsi="宋体"/>
                <w:szCs w:val="21"/>
              </w:rPr>
            </w:pPr>
            <w:r>
              <w:rPr>
                <w:rFonts w:ascii="黑体" w:eastAsia="黑体" w:hAnsi="宋体" w:hint="eastAsia"/>
                <w:szCs w:val="21"/>
              </w:rPr>
              <w:t>存放银行待接收的反馈文件根目录</w:t>
            </w:r>
          </w:p>
        </w:tc>
      </w:tr>
      <w:tr w:rsidR="00A052DC" w14:paraId="57451ED2" w14:textId="77777777">
        <w:tc>
          <w:tcPr>
            <w:tcW w:w="3168" w:type="dxa"/>
          </w:tcPr>
          <w:p w14:paraId="2E12823B" w14:textId="77777777" w:rsidR="00A052DC" w:rsidRDefault="009F0A60">
            <w:pPr>
              <w:spacing w:line="360" w:lineRule="auto"/>
              <w:rPr>
                <w:rFonts w:ascii="黑体" w:eastAsia="黑体"/>
                <w:kern w:val="0"/>
                <w:szCs w:val="21"/>
              </w:rPr>
            </w:pPr>
            <w:r>
              <w:rPr>
                <w:rFonts w:ascii="黑体" w:eastAsia="黑体" w:hAnsi="宋体"/>
                <w:szCs w:val="21"/>
              </w:rPr>
              <w:t>InterfaceFile</w:t>
            </w:r>
            <w:r>
              <w:rPr>
                <w:rFonts w:ascii="黑体" w:eastAsia="黑体"/>
                <w:kern w:val="0"/>
                <w:szCs w:val="21"/>
              </w:rPr>
              <w:t xml:space="preserve">/ </w:t>
            </w:r>
          </w:p>
          <w:p w14:paraId="171ACE81" w14:textId="77777777" w:rsidR="00A052DC" w:rsidRDefault="009F0A60">
            <w:pPr>
              <w:spacing w:line="360" w:lineRule="auto"/>
              <w:rPr>
                <w:rFonts w:ascii="黑体" w:eastAsia="黑体" w:hAnsi="宋体"/>
                <w:szCs w:val="21"/>
              </w:rPr>
            </w:pPr>
            <w:r>
              <w:rPr>
                <w:rFonts w:ascii="黑体" w:eastAsia="黑体"/>
                <w:kern w:val="0"/>
                <w:szCs w:val="21"/>
              </w:rPr>
              <w:t>ReciveFile /${DEST ORG}</w:t>
            </w:r>
          </w:p>
        </w:tc>
        <w:tc>
          <w:tcPr>
            <w:tcW w:w="5354" w:type="dxa"/>
          </w:tcPr>
          <w:p w14:paraId="7A70DFC2" w14:textId="77777777" w:rsidR="00A052DC" w:rsidRDefault="009F0A60">
            <w:pPr>
              <w:spacing w:line="360" w:lineRule="auto"/>
              <w:rPr>
                <w:rFonts w:ascii="黑体" w:eastAsia="黑体" w:hAnsi="宋体"/>
                <w:szCs w:val="21"/>
              </w:rPr>
            </w:pPr>
            <w:r>
              <w:rPr>
                <w:rFonts w:ascii="黑体" w:eastAsia="黑体" w:hAnsi="宋体" w:hint="eastAsia"/>
                <w:szCs w:val="21"/>
              </w:rPr>
              <w:t>银行</w:t>
            </w:r>
            <w:r>
              <w:rPr>
                <w:rFonts w:ascii="黑体" w:eastAsia="黑体" w:hAnsi="宋体"/>
                <w:szCs w:val="21"/>
              </w:rPr>
              <w:t>MTS节点代码</w:t>
            </w:r>
          </w:p>
        </w:tc>
      </w:tr>
      <w:tr w:rsidR="00A052DC" w14:paraId="55E068EA" w14:textId="77777777">
        <w:tc>
          <w:tcPr>
            <w:tcW w:w="3168" w:type="dxa"/>
          </w:tcPr>
          <w:p w14:paraId="11BC362F" w14:textId="77777777" w:rsidR="00A052DC" w:rsidRDefault="009F0A60">
            <w:pPr>
              <w:spacing w:line="360" w:lineRule="auto"/>
              <w:rPr>
                <w:rFonts w:ascii="黑体" w:eastAsia="黑体"/>
                <w:kern w:val="0"/>
                <w:szCs w:val="21"/>
              </w:rPr>
            </w:pPr>
            <w:r>
              <w:rPr>
                <w:rFonts w:ascii="黑体" w:eastAsia="黑体" w:hAnsi="宋体"/>
                <w:szCs w:val="21"/>
              </w:rPr>
              <w:t>InterfaceFile</w:t>
            </w:r>
            <w:r>
              <w:rPr>
                <w:rFonts w:ascii="黑体" w:eastAsia="黑体"/>
                <w:kern w:val="0"/>
                <w:szCs w:val="21"/>
              </w:rPr>
              <w:t xml:space="preserve">/ </w:t>
            </w:r>
          </w:p>
          <w:p w14:paraId="7C775F05" w14:textId="77777777" w:rsidR="00A052DC" w:rsidRDefault="009F0A60">
            <w:pPr>
              <w:spacing w:line="360" w:lineRule="auto"/>
              <w:rPr>
                <w:rFonts w:ascii="黑体" w:eastAsia="黑体"/>
                <w:kern w:val="0"/>
                <w:szCs w:val="21"/>
              </w:rPr>
            </w:pPr>
            <w:r>
              <w:rPr>
                <w:rFonts w:ascii="黑体" w:eastAsia="黑体"/>
                <w:kern w:val="0"/>
                <w:szCs w:val="21"/>
              </w:rPr>
              <w:t>ReciveFile /</w:t>
            </w:r>
          </w:p>
          <w:p w14:paraId="0A853AA1" w14:textId="77777777" w:rsidR="00A052DC" w:rsidRDefault="009F0A60">
            <w:pPr>
              <w:spacing w:line="360" w:lineRule="auto"/>
              <w:rPr>
                <w:rFonts w:ascii="黑体" w:eastAsia="黑体" w:hAnsi="宋体"/>
                <w:szCs w:val="21"/>
              </w:rPr>
            </w:pPr>
            <w:r>
              <w:rPr>
                <w:rFonts w:ascii="黑体" w:eastAsia="黑体"/>
                <w:kern w:val="0"/>
                <w:szCs w:val="21"/>
              </w:rPr>
              <w:t>${DEST ORG}/${SOURCE ORG}</w:t>
            </w:r>
          </w:p>
        </w:tc>
        <w:tc>
          <w:tcPr>
            <w:tcW w:w="5354" w:type="dxa"/>
          </w:tcPr>
          <w:p w14:paraId="3426F70C" w14:textId="77777777" w:rsidR="00A052DC" w:rsidRDefault="009F0A60">
            <w:pPr>
              <w:spacing w:line="360" w:lineRule="auto"/>
              <w:rPr>
                <w:rFonts w:ascii="黑体" w:eastAsia="黑体" w:hAnsi="宋体"/>
                <w:szCs w:val="21"/>
              </w:rPr>
            </w:pPr>
            <w:r>
              <w:rPr>
                <w:rFonts w:ascii="黑体" w:eastAsia="黑体" w:hAnsi="宋体"/>
                <w:szCs w:val="21"/>
              </w:rPr>
              <w:t>STOB</w:t>
            </w:r>
          </w:p>
        </w:tc>
      </w:tr>
      <w:tr w:rsidR="00A052DC" w14:paraId="068E4624" w14:textId="77777777">
        <w:tc>
          <w:tcPr>
            <w:tcW w:w="3168" w:type="dxa"/>
          </w:tcPr>
          <w:p w14:paraId="1D25C5E2" w14:textId="77777777" w:rsidR="00A052DC" w:rsidRDefault="009F0A60">
            <w:pPr>
              <w:spacing w:line="360" w:lineRule="auto"/>
              <w:rPr>
                <w:rFonts w:ascii="黑体" w:eastAsia="黑体"/>
                <w:kern w:val="0"/>
                <w:szCs w:val="21"/>
              </w:rPr>
            </w:pPr>
            <w:r>
              <w:rPr>
                <w:rFonts w:ascii="黑体" w:eastAsia="黑体" w:hAnsi="宋体"/>
                <w:szCs w:val="21"/>
              </w:rPr>
              <w:t>InterfaceFile</w:t>
            </w:r>
            <w:r>
              <w:rPr>
                <w:rFonts w:ascii="黑体" w:eastAsia="黑体"/>
                <w:kern w:val="0"/>
                <w:szCs w:val="21"/>
              </w:rPr>
              <w:t xml:space="preserve">/ </w:t>
            </w:r>
          </w:p>
          <w:p w14:paraId="4D251FA8" w14:textId="77777777" w:rsidR="00A052DC" w:rsidRDefault="009F0A60">
            <w:pPr>
              <w:spacing w:line="360" w:lineRule="auto"/>
              <w:rPr>
                <w:rFonts w:ascii="黑体" w:eastAsia="黑体"/>
                <w:kern w:val="0"/>
                <w:szCs w:val="21"/>
              </w:rPr>
            </w:pPr>
            <w:r>
              <w:rPr>
                <w:rFonts w:ascii="黑体" w:eastAsia="黑体"/>
                <w:kern w:val="0"/>
                <w:szCs w:val="21"/>
              </w:rPr>
              <w:t>ReciveFile /</w:t>
            </w:r>
          </w:p>
          <w:p w14:paraId="243C3E7C" w14:textId="77777777" w:rsidR="00A052DC" w:rsidRDefault="009F0A60">
            <w:pPr>
              <w:spacing w:line="360" w:lineRule="auto"/>
              <w:rPr>
                <w:rFonts w:ascii="黑体" w:eastAsia="黑体"/>
                <w:kern w:val="0"/>
                <w:szCs w:val="21"/>
              </w:rPr>
            </w:pPr>
            <w:r>
              <w:rPr>
                <w:rFonts w:ascii="黑体" w:eastAsia="黑体"/>
                <w:kern w:val="0"/>
                <w:szCs w:val="21"/>
              </w:rPr>
              <w:t>${DEST ORG}/</w:t>
            </w:r>
          </w:p>
          <w:p w14:paraId="3635D558" w14:textId="77777777" w:rsidR="00A052DC" w:rsidRDefault="009F0A60">
            <w:pPr>
              <w:spacing w:line="360" w:lineRule="auto"/>
              <w:rPr>
                <w:rFonts w:ascii="黑体" w:eastAsia="黑体" w:hAnsi="宋体"/>
                <w:szCs w:val="21"/>
              </w:rPr>
            </w:pPr>
            <w:r>
              <w:rPr>
                <w:rFonts w:ascii="黑体" w:eastAsia="黑体"/>
                <w:kern w:val="0"/>
                <w:szCs w:val="21"/>
              </w:rPr>
              <w:t>${SOURCE ORG}/${BATCHNO}</w:t>
            </w:r>
          </w:p>
        </w:tc>
        <w:tc>
          <w:tcPr>
            <w:tcW w:w="5354" w:type="dxa"/>
          </w:tcPr>
          <w:p w14:paraId="4A465095" w14:textId="77777777" w:rsidR="00A052DC" w:rsidRDefault="009F0A60">
            <w:pPr>
              <w:spacing w:line="360" w:lineRule="auto"/>
              <w:rPr>
                <w:rFonts w:ascii="黑体" w:eastAsia="黑体" w:hAnsi="宋体"/>
                <w:szCs w:val="21"/>
              </w:rPr>
            </w:pPr>
            <w:r>
              <w:rPr>
                <w:rFonts w:ascii="黑体" w:eastAsia="黑体" w:hAnsi="宋体" w:hint="eastAsia"/>
                <w:szCs w:val="21"/>
              </w:rPr>
              <w:t>批号目录，此目录会有一个或多个。</w:t>
            </w:r>
          </w:p>
        </w:tc>
      </w:tr>
      <w:tr w:rsidR="00A052DC" w14:paraId="1BBE664E" w14:textId="77777777">
        <w:tc>
          <w:tcPr>
            <w:tcW w:w="3168" w:type="dxa"/>
          </w:tcPr>
          <w:p w14:paraId="1B2576AC" w14:textId="77777777" w:rsidR="00A052DC" w:rsidRDefault="009F0A60">
            <w:pPr>
              <w:spacing w:line="360" w:lineRule="auto"/>
              <w:rPr>
                <w:rFonts w:ascii="黑体" w:eastAsia="黑体"/>
                <w:kern w:val="0"/>
                <w:szCs w:val="21"/>
              </w:rPr>
            </w:pPr>
            <w:r>
              <w:rPr>
                <w:rFonts w:ascii="黑体" w:eastAsia="黑体" w:hAnsi="宋体"/>
                <w:szCs w:val="21"/>
              </w:rPr>
              <w:t>InterfaceFile</w:t>
            </w:r>
            <w:r>
              <w:rPr>
                <w:rFonts w:ascii="黑体" w:eastAsia="黑体"/>
                <w:kern w:val="0"/>
                <w:szCs w:val="21"/>
              </w:rPr>
              <w:t xml:space="preserve">/ </w:t>
            </w:r>
          </w:p>
          <w:p w14:paraId="074662AE" w14:textId="77777777" w:rsidR="00A052DC" w:rsidRDefault="009F0A60">
            <w:pPr>
              <w:spacing w:line="360" w:lineRule="auto"/>
              <w:rPr>
                <w:rFonts w:ascii="黑体" w:eastAsia="黑体"/>
                <w:kern w:val="0"/>
                <w:szCs w:val="21"/>
              </w:rPr>
            </w:pPr>
            <w:r>
              <w:rPr>
                <w:rFonts w:ascii="黑体" w:eastAsia="黑体"/>
                <w:kern w:val="0"/>
                <w:szCs w:val="21"/>
              </w:rPr>
              <w:t>ReciveFile /${DEST ORG}/</w:t>
            </w:r>
          </w:p>
          <w:p w14:paraId="3244578C" w14:textId="77777777" w:rsidR="00A052DC" w:rsidRDefault="009F0A60">
            <w:pPr>
              <w:spacing w:line="360" w:lineRule="auto"/>
              <w:rPr>
                <w:rFonts w:ascii="黑体" w:eastAsia="黑体"/>
                <w:kern w:val="0"/>
                <w:szCs w:val="21"/>
              </w:rPr>
            </w:pPr>
            <w:r>
              <w:rPr>
                <w:rFonts w:ascii="黑体" w:eastAsia="黑体"/>
                <w:kern w:val="0"/>
                <w:szCs w:val="21"/>
              </w:rPr>
              <w:t>${SOURCE ORG}/</w:t>
            </w:r>
          </w:p>
          <w:p w14:paraId="02DF6164" w14:textId="77777777" w:rsidR="00A052DC" w:rsidRDefault="009F0A60">
            <w:pPr>
              <w:spacing w:line="360" w:lineRule="auto"/>
              <w:rPr>
                <w:rFonts w:ascii="黑体" w:eastAsia="黑体" w:hAnsi="宋体"/>
                <w:szCs w:val="21"/>
              </w:rPr>
            </w:pPr>
            <w:r>
              <w:rPr>
                <w:rFonts w:ascii="黑体" w:eastAsia="黑体"/>
                <w:kern w:val="0"/>
                <w:szCs w:val="21"/>
              </w:rPr>
              <w:t>${BATCHNO}/${FILES}</w:t>
            </w:r>
          </w:p>
        </w:tc>
        <w:tc>
          <w:tcPr>
            <w:tcW w:w="5354" w:type="dxa"/>
          </w:tcPr>
          <w:p w14:paraId="4EA7F066" w14:textId="77777777" w:rsidR="00A052DC" w:rsidRDefault="009F0A60">
            <w:pPr>
              <w:spacing w:line="360" w:lineRule="auto"/>
              <w:rPr>
                <w:rFonts w:ascii="黑体" w:eastAsia="黑体" w:hAnsi="宋体"/>
                <w:szCs w:val="21"/>
              </w:rPr>
            </w:pPr>
            <w:r>
              <w:rPr>
                <w:rFonts w:ascii="黑体" w:eastAsia="黑体" w:hAnsi="宋体" w:hint="eastAsia"/>
                <w:szCs w:val="21"/>
              </w:rPr>
              <w:t>反馈文件，包括一个反馈控制文件和一个或多个反馈数据文件。</w:t>
            </w:r>
          </w:p>
        </w:tc>
      </w:tr>
    </w:tbl>
    <w:p w14:paraId="7267825E" w14:textId="77777777" w:rsidR="00A052DC" w:rsidRDefault="00A052DC">
      <w:pPr>
        <w:spacing w:line="360" w:lineRule="auto"/>
        <w:rPr>
          <w:sz w:val="24"/>
        </w:rPr>
      </w:pPr>
    </w:p>
    <w:p w14:paraId="08014DA8" w14:textId="77777777" w:rsidR="00A052DC" w:rsidRDefault="009F0A60" w:rsidP="0020251D">
      <w:pPr>
        <w:pStyle w:val="4"/>
        <w:numPr>
          <w:ilvl w:val="3"/>
          <w:numId w:val="1"/>
        </w:numPr>
        <w:jc w:val="left"/>
      </w:pPr>
      <w:r>
        <w:rPr>
          <w:rFonts w:hint="eastAsia"/>
        </w:rPr>
        <w:t>暂停持境内银行卡在境外提取现金个人名单</w:t>
      </w:r>
    </w:p>
    <w:p w14:paraId="350CE319" w14:textId="77777777" w:rsidR="00A052DC" w:rsidRDefault="00A052DC">
      <w:pPr>
        <w:spacing w:line="360" w:lineRule="auto"/>
        <w:rPr>
          <w:rFonts w:ascii="Times New Roman" w:hAnsi="Times New Roman"/>
        </w:rPr>
      </w:pPr>
      <w:r w:rsidRPr="00A052DC">
        <w:rPr>
          <w:rFonts w:ascii="Times New Roman" w:hAnsi="Times New Roman"/>
        </w:rPr>
        <w:object w:dxaOrig="8056" w:dyaOrig="9060" w14:anchorId="22FE1DD8">
          <v:shape id="_x0000_i1027" type="#_x0000_t75" style="width:347.9pt;height:409.55pt" o:ole="">
            <v:imagedata r:id="rId19" o:title=""/>
          </v:shape>
          <o:OLEObject Type="Embed" ProgID="Visio.Drawing.11" ShapeID="_x0000_i1027" DrawAspect="Content" ObjectID="_1713896974" r:id="rId20"/>
        </w:object>
      </w:r>
    </w:p>
    <w:p w14:paraId="4A711158" w14:textId="77777777" w:rsidR="00A052DC" w:rsidRDefault="00A052DC">
      <w:pPr>
        <w:spacing w:line="360" w:lineRule="auto"/>
        <w:rPr>
          <w:rFonts w:ascii="Times New Roman" w:hAnsi="Times New Roman"/>
        </w:rPr>
      </w:pPr>
    </w:p>
    <w:tbl>
      <w:tblPr>
        <w:tblW w:w="7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4819"/>
      </w:tblGrid>
      <w:tr w:rsidR="00A052DC" w14:paraId="0D00DF11" w14:textId="77777777" w:rsidTr="00652BE7">
        <w:trPr>
          <w:jc w:val="center"/>
        </w:trPr>
        <w:tc>
          <w:tcPr>
            <w:tcW w:w="2802" w:type="dxa"/>
            <w:shd w:val="clear" w:color="auto" w:fill="D9D9D9" w:themeFill="background1" w:themeFillShade="D9"/>
          </w:tcPr>
          <w:p w14:paraId="6EB33FF2" w14:textId="77777777" w:rsidR="00A052DC" w:rsidRDefault="009F0A60">
            <w:pPr>
              <w:spacing w:line="360" w:lineRule="auto"/>
              <w:jc w:val="center"/>
              <w:rPr>
                <w:rFonts w:ascii="Times New Roman" w:eastAsia="黑体" w:hAnsi="Times New Roman"/>
                <w:b/>
                <w:sz w:val="20"/>
                <w:szCs w:val="21"/>
              </w:rPr>
            </w:pPr>
            <w:r>
              <w:rPr>
                <w:rFonts w:ascii="Times New Roman" w:eastAsia="黑体" w:hAnsi="Times New Roman" w:hint="eastAsia"/>
                <w:b/>
                <w:sz w:val="20"/>
                <w:szCs w:val="21"/>
              </w:rPr>
              <w:t>目录路径</w:t>
            </w:r>
          </w:p>
        </w:tc>
        <w:tc>
          <w:tcPr>
            <w:tcW w:w="4819" w:type="dxa"/>
            <w:shd w:val="clear" w:color="auto" w:fill="D9D9D9" w:themeFill="background1" w:themeFillShade="D9"/>
          </w:tcPr>
          <w:p w14:paraId="6DA92517" w14:textId="77777777" w:rsidR="00A052DC" w:rsidRDefault="009F0A60">
            <w:pPr>
              <w:spacing w:line="360" w:lineRule="auto"/>
              <w:jc w:val="center"/>
              <w:rPr>
                <w:rFonts w:ascii="Times New Roman" w:eastAsia="黑体" w:hAnsi="Times New Roman"/>
                <w:b/>
                <w:sz w:val="20"/>
                <w:szCs w:val="21"/>
              </w:rPr>
            </w:pPr>
            <w:r>
              <w:rPr>
                <w:rFonts w:ascii="Times New Roman" w:eastAsia="黑体" w:hAnsi="Times New Roman" w:hint="eastAsia"/>
                <w:b/>
                <w:sz w:val="20"/>
                <w:szCs w:val="21"/>
              </w:rPr>
              <w:t>说明</w:t>
            </w:r>
          </w:p>
        </w:tc>
      </w:tr>
      <w:tr w:rsidR="00A052DC" w14:paraId="343A0345" w14:textId="77777777">
        <w:trPr>
          <w:jc w:val="center"/>
        </w:trPr>
        <w:tc>
          <w:tcPr>
            <w:tcW w:w="2802" w:type="dxa"/>
          </w:tcPr>
          <w:p w14:paraId="757A3E74" w14:textId="77777777" w:rsidR="00A052DC" w:rsidRDefault="009F0A60">
            <w:pPr>
              <w:spacing w:line="360" w:lineRule="auto"/>
              <w:rPr>
                <w:rFonts w:ascii="Times New Roman" w:eastAsia="黑体" w:hAnsi="Times New Roman"/>
                <w:sz w:val="20"/>
                <w:szCs w:val="21"/>
              </w:rPr>
            </w:pPr>
            <w:r>
              <w:rPr>
                <w:rFonts w:ascii="Times New Roman" w:eastAsia="黑体" w:hAnsi="Times New Roman"/>
                <w:sz w:val="20"/>
                <w:szCs w:val="21"/>
              </w:rPr>
              <w:t>InterfaceFile</w:t>
            </w:r>
          </w:p>
        </w:tc>
        <w:tc>
          <w:tcPr>
            <w:tcW w:w="4819" w:type="dxa"/>
          </w:tcPr>
          <w:p w14:paraId="6DBAD994" w14:textId="77777777" w:rsidR="00A052DC" w:rsidRDefault="009F0A60">
            <w:pPr>
              <w:spacing w:line="360" w:lineRule="auto"/>
              <w:rPr>
                <w:rFonts w:ascii="Times New Roman" w:eastAsia="黑体" w:hAnsi="Times New Roman"/>
                <w:sz w:val="20"/>
                <w:szCs w:val="21"/>
              </w:rPr>
            </w:pPr>
            <w:r>
              <w:rPr>
                <w:rFonts w:ascii="Times New Roman" w:eastAsia="黑体" w:hAnsi="Times New Roman" w:hint="eastAsia"/>
                <w:sz w:val="20"/>
                <w:szCs w:val="21"/>
              </w:rPr>
              <w:t>外汇局文件存放根目录（银行可自定义）</w:t>
            </w:r>
          </w:p>
        </w:tc>
      </w:tr>
      <w:tr w:rsidR="00A052DC" w14:paraId="3B80B525" w14:textId="77777777">
        <w:trPr>
          <w:jc w:val="center"/>
        </w:trPr>
        <w:tc>
          <w:tcPr>
            <w:tcW w:w="2802" w:type="dxa"/>
          </w:tcPr>
          <w:p w14:paraId="309C3553" w14:textId="77777777" w:rsidR="00A052DC" w:rsidRDefault="009F0A60">
            <w:pPr>
              <w:spacing w:line="360" w:lineRule="auto"/>
              <w:rPr>
                <w:rFonts w:ascii="Times New Roman" w:eastAsia="黑体" w:hAnsi="Times New Roman"/>
                <w:sz w:val="20"/>
                <w:szCs w:val="21"/>
              </w:rPr>
            </w:pPr>
            <w:r>
              <w:rPr>
                <w:rFonts w:ascii="Times New Roman" w:eastAsia="黑体" w:hAnsi="Times New Roman"/>
                <w:sz w:val="20"/>
                <w:szCs w:val="21"/>
              </w:rPr>
              <w:t>InterfaceFile</w:t>
            </w:r>
            <w:r>
              <w:rPr>
                <w:rFonts w:ascii="Times New Roman" w:eastAsia="黑体" w:hAnsi="Times New Roman"/>
                <w:kern w:val="0"/>
                <w:sz w:val="20"/>
                <w:szCs w:val="21"/>
              </w:rPr>
              <w:t>/ReciveFile</w:t>
            </w:r>
          </w:p>
        </w:tc>
        <w:tc>
          <w:tcPr>
            <w:tcW w:w="4819" w:type="dxa"/>
          </w:tcPr>
          <w:p w14:paraId="73B68106" w14:textId="77777777" w:rsidR="00A052DC" w:rsidRDefault="009F0A60">
            <w:pPr>
              <w:spacing w:line="360" w:lineRule="auto"/>
              <w:rPr>
                <w:rFonts w:ascii="Times New Roman" w:eastAsia="黑体" w:hAnsi="Times New Roman"/>
                <w:sz w:val="20"/>
                <w:szCs w:val="21"/>
              </w:rPr>
            </w:pPr>
            <w:r>
              <w:rPr>
                <w:rFonts w:ascii="Times New Roman" w:eastAsia="黑体" w:hAnsi="Times New Roman" w:hint="eastAsia"/>
                <w:sz w:val="20"/>
                <w:szCs w:val="21"/>
              </w:rPr>
              <w:t>存放银行待接收的外汇局文件根目录</w:t>
            </w:r>
          </w:p>
        </w:tc>
      </w:tr>
      <w:tr w:rsidR="00A052DC" w14:paraId="683CB7DF" w14:textId="77777777">
        <w:trPr>
          <w:jc w:val="center"/>
        </w:trPr>
        <w:tc>
          <w:tcPr>
            <w:tcW w:w="2802" w:type="dxa"/>
          </w:tcPr>
          <w:p w14:paraId="53B230EB" w14:textId="77777777" w:rsidR="00A052DC" w:rsidRDefault="009F0A60">
            <w:pPr>
              <w:spacing w:line="360" w:lineRule="auto"/>
              <w:rPr>
                <w:rFonts w:ascii="Times New Roman" w:eastAsia="黑体" w:hAnsi="Times New Roman"/>
                <w:kern w:val="0"/>
                <w:sz w:val="20"/>
                <w:szCs w:val="21"/>
              </w:rPr>
            </w:pPr>
            <w:r>
              <w:rPr>
                <w:rFonts w:ascii="Times New Roman" w:eastAsia="黑体" w:hAnsi="Times New Roman"/>
                <w:sz w:val="20"/>
                <w:szCs w:val="21"/>
              </w:rPr>
              <w:t>InterfaceFile</w:t>
            </w:r>
            <w:r>
              <w:rPr>
                <w:rFonts w:ascii="Times New Roman" w:eastAsia="黑体" w:hAnsi="Times New Roman"/>
                <w:kern w:val="0"/>
                <w:sz w:val="20"/>
                <w:szCs w:val="21"/>
              </w:rPr>
              <w:t>/ReciveFile</w:t>
            </w:r>
          </w:p>
          <w:p w14:paraId="760B9776" w14:textId="77777777" w:rsidR="00A052DC" w:rsidRDefault="009F0A60">
            <w:pPr>
              <w:spacing w:line="360" w:lineRule="auto"/>
              <w:rPr>
                <w:rFonts w:ascii="Times New Roman" w:eastAsia="黑体" w:hAnsi="Times New Roman"/>
                <w:sz w:val="20"/>
                <w:szCs w:val="21"/>
              </w:rPr>
            </w:pPr>
            <w:r>
              <w:rPr>
                <w:rFonts w:ascii="Times New Roman" w:eastAsia="黑体" w:hAnsi="Times New Roman"/>
                <w:kern w:val="0"/>
                <w:sz w:val="20"/>
                <w:szCs w:val="21"/>
              </w:rPr>
              <w:t>/${DEST ORG}</w:t>
            </w:r>
          </w:p>
        </w:tc>
        <w:tc>
          <w:tcPr>
            <w:tcW w:w="4819" w:type="dxa"/>
          </w:tcPr>
          <w:p w14:paraId="35BE7FE1" w14:textId="77777777" w:rsidR="00A052DC" w:rsidRDefault="009F0A60">
            <w:pPr>
              <w:spacing w:line="360" w:lineRule="auto"/>
              <w:rPr>
                <w:rFonts w:ascii="Times New Roman" w:eastAsia="黑体" w:hAnsi="Times New Roman"/>
                <w:sz w:val="20"/>
                <w:szCs w:val="21"/>
              </w:rPr>
            </w:pPr>
            <w:r>
              <w:rPr>
                <w:rFonts w:ascii="Times New Roman" w:eastAsia="黑体" w:hAnsi="Times New Roman" w:hint="eastAsia"/>
                <w:sz w:val="20"/>
                <w:szCs w:val="21"/>
              </w:rPr>
              <w:t>银行</w:t>
            </w:r>
            <w:r>
              <w:rPr>
                <w:rFonts w:ascii="Times New Roman" w:eastAsia="黑体" w:hAnsi="Times New Roman"/>
                <w:sz w:val="20"/>
                <w:szCs w:val="21"/>
              </w:rPr>
              <w:t>MTS</w:t>
            </w:r>
            <w:r>
              <w:rPr>
                <w:rFonts w:ascii="Times New Roman" w:eastAsia="黑体" w:hAnsi="Times New Roman"/>
                <w:sz w:val="20"/>
                <w:szCs w:val="21"/>
              </w:rPr>
              <w:t>节点代码</w:t>
            </w:r>
          </w:p>
        </w:tc>
      </w:tr>
      <w:tr w:rsidR="00A052DC" w14:paraId="06B32BA3" w14:textId="77777777">
        <w:trPr>
          <w:jc w:val="center"/>
        </w:trPr>
        <w:tc>
          <w:tcPr>
            <w:tcW w:w="2802" w:type="dxa"/>
          </w:tcPr>
          <w:p w14:paraId="7C66DDBE" w14:textId="77777777" w:rsidR="00A052DC" w:rsidRDefault="009F0A60">
            <w:pPr>
              <w:spacing w:line="360" w:lineRule="auto"/>
              <w:rPr>
                <w:rFonts w:ascii="Times New Roman" w:eastAsia="黑体" w:hAnsi="Times New Roman"/>
                <w:kern w:val="0"/>
                <w:sz w:val="20"/>
                <w:szCs w:val="21"/>
              </w:rPr>
            </w:pPr>
            <w:r>
              <w:rPr>
                <w:rFonts w:ascii="Times New Roman" w:eastAsia="黑体" w:hAnsi="Times New Roman"/>
                <w:sz w:val="20"/>
                <w:szCs w:val="21"/>
              </w:rPr>
              <w:t>InterfaceFile</w:t>
            </w:r>
            <w:r>
              <w:rPr>
                <w:rFonts w:ascii="Times New Roman" w:eastAsia="黑体" w:hAnsi="Times New Roman"/>
                <w:kern w:val="0"/>
                <w:sz w:val="20"/>
                <w:szCs w:val="21"/>
              </w:rPr>
              <w:t>/ReciveFile</w:t>
            </w:r>
          </w:p>
          <w:p w14:paraId="1155CC45" w14:textId="77777777" w:rsidR="00A052DC" w:rsidRDefault="009F0A60">
            <w:pPr>
              <w:spacing w:line="360" w:lineRule="auto"/>
              <w:rPr>
                <w:rFonts w:ascii="Times New Roman" w:eastAsia="黑体" w:hAnsi="Times New Roman"/>
                <w:sz w:val="20"/>
                <w:szCs w:val="21"/>
              </w:rPr>
            </w:pPr>
            <w:r>
              <w:rPr>
                <w:rFonts w:ascii="Times New Roman" w:eastAsia="黑体" w:hAnsi="Times New Roman"/>
                <w:kern w:val="0"/>
                <w:sz w:val="20"/>
                <w:szCs w:val="21"/>
              </w:rPr>
              <w:t>/${DEST ORG}/${SOURCE ORG}</w:t>
            </w:r>
          </w:p>
        </w:tc>
        <w:tc>
          <w:tcPr>
            <w:tcW w:w="4819" w:type="dxa"/>
          </w:tcPr>
          <w:p w14:paraId="238A2B7D" w14:textId="77777777" w:rsidR="00A052DC" w:rsidRDefault="009F0A60">
            <w:pPr>
              <w:spacing w:line="360" w:lineRule="auto"/>
              <w:rPr>
                <w:rFonts w:ascii="Times New Roman" w:eastAsia="黑体" w:hAnsi="Times New Roman"/>
                <w:sz w:val="20"/>
                <w:szCs w:val="21"/>
              </w:rPr>
            </w:pPr>
            <w:r>
              <w:rPr>
                <w:rFonts w:ascii="Times New Roman" w:eastAsia="黑体" w:hAnsi="Times New Roman"/>
                <w:sz w:val="20"/>
                <w:szCs w:val="21"/>
              </w:rPr>
              <w:t>CTOB</w:t>
            </w:r>
          </w:p>
        </w:tc>
      </w:tr>
      <w:tr w:rsidR="00A052DC" w14:paraId="69324603" w14:textId="77777777">
        <w:trPr>
          <w:jc w:val="center"/>
        </w:trPr>
        <w:tc>
          <w:tcPr>
            <w:tcW w:w="2802" w:type="dxa"/>
          </w:tcPr>
          <w:p w14:paraId="229DBBCC" w14:textId="77777777" w:rsidR="00A052DC" w:rsidRDefault="009F0A60">
            <w:pPr>
              <w:spacing w:line="360" w:lineRule="auto"/>
              <w:rPr>
                <w:rFonts w:ascii="Times New Roman" w:eastAsia="黑体" w:hAnsi="Times New Roman"/>
                <w:kern w:val="0"/>
                <w:sz w:val="20"/>
                <w:szCs w:val="21"/>
              </w:rPr>
            </w:pPr>
            <w:r>
              <w:rPr>
                <w:rFonts w:ascii="Times New Roman" w:eastAsia="黑体" w:hAnsi="Times New Roman"/>
                <w:sz w:val="20"/>
                <w:szCs w:val="21"/>
              </w:rPr>
              <w:t>InterfaceFile</w:t>
            </w:r>
            <w:r>
              <w:rPr>
                <w:rFonts w:ascii="Times New Roman" w:eastAsia="黑体" w:hAnsi="Times New Roman"/>
                <w:kern w:val="0"/>
                <w:sz w:val="20"/>
                <w:szCs w:val="21"/>
              </w:rPr>
              <w:t>/ReciveFile/</w:t>
            </w:r>
          </w:p>
          <w:p w14:paraId="183A41B3" w14:textId="77777777" w:rsidR="00A052DC" w:rsidRDefault="009F0A60">
            <w:pPr>
              <w:spacing w:line="360" w:lineRule="auto"/>
              <w:rPr>
                <w:rFonts w:ascii="Times New Roman" w:eastAsia="黑体" w:hAnsi="Times New Roman"/>
                <w:kern w:val="0"/>
                <w:sz w:val="20"/>
                <w:szCs w:val="21"/>
              </w:rPr>
            </w:pPr>
            <w:r>
              <w:rPr>
                <w:rFonts w:ascii="Times New Roman" w:eastAsia="黑体" w:hAnsi="Times New Roman"/>
                <w:kern w:val="0"/>
                <w:sz w:val="20"/>
                <w:szCs w:val="21"/>
              </w:rPr>
              <w:t>${DEST ORG}/${SOURCE ORG}</w:t>
            </w:r>
          </w:p>
          <w:p w14:paraId="0DF73989" w14:textId="77777777" w:rsidR="00A052DC" w:rsidRDefault="009F0A60">
            <w:pPr>
              <w:spacing w:line="360" w:lineRule="auto"/>
              <w:rPr>
                <w:rFonts w:ascii="Times New Roman" w:eastAsia="黑体" w:hAnsi="Times New Roman"/>
                <w:sz w:val="20"/>
                <w:szCs w:val="21"/>
              </w:rPr>
            </w:pPr>
            <w:r>
              <w:rPr>
                <w:rFonts w:ascii="Times New Roman" w:eastAsia="黑体" w:hAnsi="Times New Roman"/>
                <w:kern w:val="0"/>
                <w:sz w:val="20"/>
                <w:szCs w:val="21"/>
              </w:rPr>
              <w:t>/${BATCHNO}</w:t>
            </w:r>
          </w:p>
        </w:tc>
        <w:tc>
          <w:tcPr>
            <w:tcW w:w="4819" w:type="dxa"/>
          </w:tcPr>
          <w:p w14:paraId="6066F783" w14:textId="77777777" w:rsidR="00A052DC" w:rsidRDefault="009F0A60">
            <w:pPr>
              <w:spacing w:line="360" w:lineRule="auto"/>
              <w:rPr>
                <w:rFonts w:ascii="Times New Roman" w:eastAsia="黑体" w:hAnsi="Times New Roman"/>
                <w:sz w:val="20"/>
                <w:szCs w:val="21"/>
              </w:rPr>
            </w:pPr>
            <w:r>
              <w:rPr>
                <w:rFonts w:ascii="Times New Roman" w:eastAsia="黑体" w:hAnsi="Times New Roman" w:hint="eastAsia"/>
                <w:sz w:val="20"/>
                <w:szCs w:val="21"/>
              </w:rPr>
              <w:t>批号目录，此目录会有一个或多个，为六位日期加一位批次码。</w:t>
            </w:r>
          </w:p>
        </w:tc>
      </w:tr>
      <w:tr w:rsidR="00A052DC" w14:paraId="6DA7FD40" w14:textId="77777777">
        <w:trPr>
          <w:jc w:val="center"/>
        </w:trPr>
        <w:tc>
          <w:tcPr>
            <w:tcW w:w="2802" w:type="dxa"/>
          </w:tcPr>
          <w:p w14:paraId="48B4D0BC" w14:textId="77777777" w:rsidR="00A052DC" w:rsidRDefault="009F0A60">
            <w:pPr>
              <w:spacing w:line="360" w:lineRule="auto"/>
              <w:rPr>
                <w:rFonts w:ascii="Times New Roman" w:eastAsia="黑体" w:hAnsi="Times New Roman"/>
                <w:kern w:val="0"/>
                <w:sz w:val="20"/>
                <w:szCs w:val="21"/>
              </w:rPr>
            </w:pPr>
            <w:r>
              <w:rPr>
                <w:rFonts w:ascii="Times New Roman" w:eastAsia="黑体" w:hAnsi="Times New Roman"/>
                <w:sz w:val="20"/>
                <w:szCs w:val="21"/>
              </w:rPr>
              <w:t>InterfaceFile</w:t>
            </w:r>
            <w:r>
              <w:rPr>
                <w:rFonts w:ascii="Times New Roman" w:eastAsia="黑体" w:hAnsi="Times New Roman"/>
                <w:kern w:val="0"/>
                <w:sz w:val="20"/>
                <w:szCs w:val="21"/>
              </w:rPr>
              <w:t>/ReciveFile /${DEST ORG}/${SOURCE ORG}</w:t>
            </w:r>
          </w:p>
          <w:p w14:paraId="5BB8887F" w14:textId="77777777" w:rsidR="00A052DC" w:rsidRDefault="009F0A60">
            <w:pPr>
              <w:spacing w:line="360" w:lineRule="auto"/>
              <w:rPr>
                <w:rFonts w:ascii="Times New Roman" w:eastAsia="黑体" w:hAnsi="Times New Roman"/>
                <w:sz w:val="20"/>
                <w:szCs w:val="21"/>
              </w:rPr>
            </w:pPr>
            <w:r>
              <w:rPr>
                <w:rFonts w:ascii="Times New Roman" w:eastAsia="黑体" w:hAnsi="Times New Roman"/>
                <w:kern w:val="0"/>
                <w:sz w:val="20"/>
                <w:szCs w:val="21"/>
              </w:rPr>
              <w:t>/${BATCHNO}/${FILES}</w:t>
            </w:r>
          </w:p>
        </w:tc>
        <w:tc>
          <w:tcPr>
            <w:tcW w:w="4819" w:type="dxa"/>
          </w:tcPr>
          <w:p w14:paraId="515965EC" w14:textId="77777777" w:rsidR="00A052DC" w:rsidRDefault="009F0A60">
            <w:pPr>
              <w:spacing w:line="360" w:lineRule="auto"/>
              <w:rPr>
                <w:rFonts w:ascii="Times New Roman" w:eastAsia="黑体" w:hAnsi="Times New Roman"/>
                <w:sz w:val="20"/>
                <w:szCs w:val="21"/>
              </w:rPr>
            </w:pPr>
            <w:r>
              <w:rPr>
                <w:rFonts w:ascii="Times New Roman" w:eastAsia="黑体" w:hAnsi="Times New Roman" w:hint="eastAsia"/>
                <w:sz w:val="20"/>
                <w:szCs w:val="21"/>
              </w:rPr>
              <w:t>外汇局数据文件，包括一个控制文件和一个或多个外汇局数据文件。</w:t>
            </w:r>
          </w:p>
        </w:tc>
      </w:tr>
    </w:tbl>
    <w:p w14:paraId="60AB7D61" w14:textId="77777777" w:rsidR="00A052DC" w:rsidRDefault="00A052DC">
      <w:pPr>
        <w:spacing w:line="360" w:lineRule="auto"/>
        <w:rPr>
          <w:sz w:val="24"/>
        </w:rPr>
      </w:pPr>
    </w:p>
    <w:p w14:paraId="2DF5D944" w14:textId="77777777" w:rsidR="00A052DC" w:rsidRDefault="009F0A60" w:rsidP="0020251D">
      <w:pPr>
        <w:pStyle w:val="4"/>
        <w:numPr>
          <w:ilvl w:val="3"/>
          <w:numId w:val="1"/>
        </w:numPr>
        <w:jc w:val="left"/>
      </w:pPr>
      <w:r>
        <w:rPr>
          <w:rFonts w:hint="eastAsia"/>
        </w:rPr>
        <w:t>涉嫌外汇违规账户查询信息</w:t>
      </w:r>
    </w:p>
    <w:p w14:paraId="4B9CD62D" w14:textId="77777777" w:rsidR="00A052DC" w:rsidRDefault="00A052DC">
      <w:pPr>
        <w:rPr>
          <w:rFonts w:ascii="Times New Roman" w:hAnsi="Times New Roman"/>
        </w:rPr>
      </w:pPr>
      <w:r w:rsidRPr="00A052DC">
        <w:rPr>
          <w:rFonts w:ascii="Times New Roman" w:hAnsi="Times New Roman"/>
        </w:rPr>
        <w:object w:dxaOrig="9270" w:dyaOrig="10455" w14:anchorId="09CBA450">
          <v:shape id="_x0000_i1028" type="#_x0000_t75" style="width:347.9pt;height:410.1pt" o:ole="">
            <v:imagedata r:id="rId21" o:title=""/>
          </v:shape>
          <o:OLEObject Type="Embed" ProgID="Visio.Drawing.11" ShapeID="_x0000_i1028" DrawAspect="Content" ObjectID="_1713896975" r:id="rId22"/>
        </w:object>
      </w:r>
    </w:p>
    <w:tbl>
      <w:tblPr>
        <w:tblW w:w="7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4819"/>
      </w:tblGrid>
      <w:tr w:rsidR="00A052DC" w14:paraId="063007F9" w14:textId="77777777" w:rsidTr="00652BE7">
        <w:trPr>
          <w:jc w:val="center"/>
        </w:trPr>
        <w:tc>
          <w:tcPr>
            <w:tcW w:w="2802" w:type="dxa"/>
            <w:shd w:val="clear" w:color="auto" w:fill="D9D9D9" w:themeFill="background1" w:themeFillShade="D9"/>
          </w:tcPr>
          <w:p w14:paraId="5AD15955" w14:textId="77777777" w:rsidR="00A052DC" w:rsidRDefault="009F0A60">
            <w:pPr>
              <w:spacing w:line="360" w:lineRule="auto"/>
              <w:jc w:val="center"/>
              <w:rPr>
                <w:rFonts w:ascii="Times New Roman" w:eastAsia="黑体" w:hAnsi="Times New Roman"/>
                <w:b/>
                <w:sz w:val="20"/>
                <w:szCs w:val="21"/>
              </w:rPr>
            </w:pPr>
            <w:r>
              <w:rPr>
                <w:rFonts w:ascii="Times New Roman" w:eastAsia="黑体" w:hAnsi="Times New Roman" w:hint="eastAsia"/>
                <w:b/>
                <w:sz w:val="20"/>
                <w:szCs w:val="21"/>
              </w:rPr>
              <w:t>目录路径</w:t>
            </w:r>
          </w:p>
        </w:tc>
        <w:tc>
          <w:tcPr>
            <w:tcW w:w="4819" w:type="dxa"/>
            <w:shd w:val="clear" w:color="auto" w:fill="D9D9D9" w:themeFill="background1" w:themeFillShade="D9"/>
          </w:tcPr>
          <w:p w14:paraId="2C5CFBAE" w14:textId="77777777" w:rsidR="00A052DC" w:rsidRDefault="009F0A60">
            <w:pPr>
              <w:spacing w:line="360" w:lineRule="auto"/>
              <w:jc w:val="center"/>
              <w:rPr>
                <w:rFonts w:ascii="Times New Roman" w:eastAsia="黑体" w:hAnsi="Times New Roman"/>
                <w:b/>
                <w:sz w:val="20"/>
                <w:szCs w:val="21"/>
              </w:rPr>
            </w:pPr>
            <w:r>
              <w:rPr>
                <w:rFonts w:ascii="Times New Roman" w:eastAsia="黑体" w:hAnsi="Times New Roman" w:hint="eastAsia"/>
                <w:b/>
                <w:sz w:val="20"/>
                <w:szCs w:val="21"/>
              </w:rPr>
              <w:t>说明</w:t>
            </w:r>
          </w:p>
        </w:tc>
      </w:tr>
      <w:tr w:rsidR="00A052DC" w14:paraId="51DAF996" w14:textId="77777777">
        <w:trPr>
          <w:jc w:val="center"/>
        </w:trPr>
        <w:tc>
          <w:tcPr>
            <w:tcW w:w="2802" w:type="dxa"/>
          </w:tcPr>
          <w:p w14:paraId="7BAE930D" w14:textId="77777777" w:rsidR="00A052DC" w:rsidRDefault="009F0A60">
            <w:pPr>
              <w:spacing w:line="360" w:lineRule="auto"/>
              <w:rPr>
                <w:rFonts w:ascii="Times New Roman" w:eastAsia="黑体" w:hAnsi="Times New Roman"/>
                <w:sz w:val="20"/>
                <w:szCs w:val="21"/>
              </w:rPr>
            </w:pPr>
            <w:r>
              <w:rPr>
                <w:rFonts w:ascii="Times New Roman" w:eastAsia="黑体" w:hAnsi="Times New Roman"/>
                <w:sz w:val="20"/>
                <w:szCs w:val="21"/>
              </w:rPr>
              <w:t>InterfaceFile</w:t>
            </w:r>
          </w:p>
        </w:tc>
        <w:tc>
          <w:tcPr>
            <w:tcW w:w="4819" w:type="dxa"/>
          </w:tcPr>
          <w:p w14:paraId="734C5161" w14:textId="77777777" w:rsidR="00A052DC" w:rsidRDefault="009F0A60">
            <w:pPr>
              <w:spacing w:line="360" w:lineRule="auto"/>
              <w:rPr>
                <w:rFonts w:ascii="Times New Roman" w:eastAsia="黑体" w:hAnsi="Times New Roman"/>
                <w:sz w:val="20"/>
                <w:szCs w:val="21"/>
              </w:rPr>
            </w:pPr>
            <w:r>
              <w:rPr>
                <w:rFonts w:ascii="Times New Roman" w:eastAsia="黑体" w:hAnsi="Times New Roman" w:hint="eastAsia"/>
                <w:sz w:val="20"/>
                <w:szCs w:val="21"/>
              </w:rPr>
              <w:t>外汇局文件存放根目录（银行可自定义）</w:t>
            </w:r>
          </w:p>
        </w:tc>
      </w:tr>
      <w:tr w:rsidR="00A052DC" w14:paraId="63EAE636" w14:textId="77777777">
        <w:trPr>
          <w:jc w:val="center"/>
        </w:trPr>
        <w:tc>
          <w:tcPr>
            <w:tcW w:w="2802" w:type="dxa"/>
          </w:tcPr>
          <w:p w14:paraId="58A5D95D" w14:textId="77777777" w:rsidR="00A052DC" w:rsidRDefault="009F0A60">
            <w:pPr>
              <w:spacing w:line="360" w:lineRule="auto"/>
              <w:rPr>
                <w:rFonts w:ascii="Times New Roman" w:eastAsia="黑体" w:hAnsi="Times New Roman"/>
                <w:sz w:val="20"/>
                <w:szCs w:val="21"/>
              </w:rPr>
            </w:pPr>
            <w:r>
              <w:rPr>
                <w:rFonts w:ascii="Times New Roman" w:eastAsia="黑体" w:hAnsi="Times New Roman"/>
                <w:sz w:val="20"/>
                <w:szCs w:val="21"/>
              </w:rPr>
              <w:t>InterfaceFile</w:t>
            </w:r>
            <w:r>
              <w:rPr>
                <w:rFonts w:ascii="Times New Roman" w:eastAsia="黑体" w:hAnsi="Times New Roman"/>
                <w:kern w:val="0"/>
                <w:sz w:val="20"/>
                <w:szCs w:val="21"/>
              </w:rPr>
              <w:t>/ReciveFile</w:t>
            </w:r>
          </w:p>
        </w:tc>
        <w:tc>
          <w:tcPr>
            <w:tcW w:w="4819" w:type="dxa"/>
          </w:tcPr>
          <w:p w14:paraId="6D90B7DF" w14:textId="77777777" w:rsidR="00A052DC" w:rsidRDefault="009F0A60">
            <w:pPr>
              <w:spacing w:line="360" w:lineRule="auto"/>
              <w:rPr>
                <w:rFonts w:ascii="Times New Roman" w:eastAsia="黑体" w:hAnsi="Times New Roman"/>
                <w:sz w:val="20"/>
                <w:szCs w:val="21"/>
              </w:rPr>
            </w:pPr>
            <w:r>
              <w:rPr>
                <w:rFonts w:ascii="Times New Roman" w:eastAsia="黑体" w:hAnsi="Times New Roman" w:hint="eastAsia"/>
                <w:sz w:val="20"/>
                <w:szCs w:val="21"/>
              </w:rPr>
              <w:t>存放银行待接收的外汇局文件根目录</w:t>
            </w:r>
          </w:p>
        </w:tc>
      </w:tr>
      <w:tr w:rsidR="00A052DC" w14:paraId="4366B2CE" w14:textId="77777777">
        <w:trPr>
          <w:jc w:val="center"/>
        </w:trPr>
        <w:tc>
          <w:tcPr>
            <w:tcW w:w="2802" w:type="dxa"/>
          </w:tcPr>
          <w:p w14:paraId="458E9DBA" w14:textId="77777777" w:rsidR="00A052DC" w:rsidRDefault="009F0A60">
            <w:pPr>
              <w:spacing w:line="360" w:lineRule="auto"/>
              <w:rPr>
                <w:rFonts w:ascii="Times New Roman" w:eastAsia="黑体" w:hAnsi="Times New Roman"/>
                <w:kern w:val="0"/>
                <w:sz w:val="20"/>
                <w:szCs w:val="21"/>
              </w:rPr>
            </w:pPr>
            <w:r>
              <w:rPr>
                <w:rFonts w:ascii="Times New Roman" w:eastAsia="黑体" w:hAnsi="Times New Roman"/>
                <w:sz w:val="20"/>
                <w:szCs w:val="21"/>
              </w:rPr>
              <w:t>InterfaceFile</w:t>
            </w:r>
            <w:r>
              <w:rPr>
                <w:rFonts w:ascii="Times New Roman" w:eastAsia="黑体" w:hAnsi="Times New Roman"/>
                <w:kern w:val="0"/>
                <w:sz w:val="20"/>
                <w:szCs w:val="21"/>
              </w:rPr>
              <w:t>/ReciveFile</w:t>
            </w:r>
          </w:p>
          <w:p w14:paraId="0B45C8EE" w14:textId="77777777" w:rsidR="00A052DC" w:rsidRDefault="009F0A60">
            <w:pPr>
              <w:spacing w:line="360" w:lineRule="auto"/>
              <w:rPr>
                <w:rFonts w:ascii="Times New Roman" w:eastAsia="黑体" w:hAnsi="Times New Roman"/>
                <w:sz w:val="20"/>
                <w:szCs w:val="21"/>
              </w:rPr>
            </w:pPr>
            <w:r>
              <w:rPr>
                <w:rFonts w:ascii="Times New Roman" w:eastAsia="黑体" w:hAnsi="Times New Roman"/>
                <w:kern w:val="0"/>
                <w:sz w:val="20"/>
                <w:szCs w:val="21"/>
              </w:rPr>
              <w:t>/${DEST ORG}</w:t>
            </w:r>
          </w:p>
        </w:tc>
        <w:tc>
          <w:tcPr>
            <w:tcW w:w="4819" w:type="dxa"/>
          </w:tcPr>
          <w:p w14:paraId="0F3A1C91" w14:textId="77777777" w:rsidR="00A052DC" w:rsidRDefault="009F0A60">
            <w:pPr>
              <w:spacing w:line="360" w:lineRule="auto"/>
              <w:rPr>
                <w:rFonts w:ascii="Times New Roman" w:eastAsia="黑体" w:hAnsi="Times New Roman"/>
                <w:sz w:val="20"/>
                <w:szCs w:val="21"/>
              </w:rPr>
            </w:pPr>
            <w:r>
              <w:rPr>
                <w:rFonts w:ascii="Times New Roman" w:eastAsia="黑体" w:hAnsi="Times New Roman" w:hint="eastAsia"/>
                <w:sz w:val="20"/>
                <w:szCs w:val="21"/>
              </w:rPr>
              <w:t>银行</w:t>
            </w:r>
            <w:r>
              <w:rPr>
                <w:rFonts w:ascii="Times New Roman" w:eastAsia="黑体" w:hAnsi="Times New Roman"/>
                <w:sz w:val="20"/>
                <w:szCs w:val="21"/>
              </w:rPr>
              <w:t>MTS</w:t>
            </w:r>
            <w:r>
              <w:rPr>
                <w:rFonts w:ascii="Times New Roman" w:eastAsia="黑体" w:hAnsi="Times New Roman" w:hint="eastAsia"/>
                <w:sz w:val="20"/>
                <w:szCs w:val="21"/>
              </w:rPr>
              <w:t>节点代码</w:t>
            </w:r>
          </w:p>
        </w:tc>
      </w:tr>
      <w:tr w:rsidR="00A052DC" w14:paraId="7432A202" w14:textId="77777777">
        <w:trPr>
          <w:jc w:val="center"/>
        </w:trPr>
        <w:tc>
          <w:tcPr>
            <w:tcW w:w="2802" w:type="dxa"/>
          </w:tcPr>
          <w:p w14:paraId="55E6514A" w14:textId="77777777" w:rsidR="00A052DC" w:rsidRDefault="009F0A60">
            <w:pPr>
              <w:spacing w:line="360" w:lineRule="auto"/>
              <w:rPr>
                <w:rFonts w:ascii="Times New Roman" w:eastAsia="黑体" w:hAnsi="Times New Roman"/>
                <w:kern w:val="0"/>
                <w:sz w:val="20"/>
                <w:szCs w:val="21"/>
              </w:rPr>
            </w:pPr>
            <w:r>
              <w:rPr>
                <w:rFonts w:ascii="Times New Roman" w:eastAsia="黑体" w:hAnsi="Times New Roman"/>
                <w:sz w:val="20"/>
                <w:szCs w:val="21"/>
              </w:rPr>
              <w:t>InterfaceFile</w:t>
            </w:r>
            <w:r>
              <w:rPr>
                <w:rFonts w:ascii="Times New Roman" w:eastAsia="黑体" w:hAnsi="Times New Roman"/>
                <w:kern w:val="0"/>
                <w:sz w:val="20"/>
                <w:szCs w:val="21"/>
              </w:rPr>
              <w:t>/ReciveFile</w:t>
            </w:r>
          </w:p>
          <w:p w14:paraId="7FC97685" w14:textId="77777777" w:rsidR="00A052DC" w:rsidRDefault="009F0A60">
            <w:pPr>
              <w:spacing w:line="360" w:lineRule="auto"/>
              <w:rPr>
                <w:rFonts w:ascii="Times New Roman" w:eastAsia="黑体" w:hAnsi="Times New Roman"/>
                <w:sz w:val="20"/>
                <w:szCs w:val="21"/>
              </w:rPr>
            </w:pPr>
            <w:r>
              <w:rPr>
                <w:rFonts w:ascii="Times New Roman" w:eastAsia="黑体" w:hAnsi="Times New Roman"/>
                <w:kern w:val="0"/>
                <w:sz w:val="20"/>
                <w:szCs w:val="21"/>
              </w:rPr>
              <w:t>/${DEST ORG}/${SOURCE ORG}</w:t>
            </w:r>
          </w:p>
        </w:tc>
        <w:tc>
          <w:tcPr>
            <w:tcW w:w="4819" w:type="dxa"/>
          </w:tcPr>
          <w:p w14:paraId="6ED4C912" w14:textId="77777777" w:rsidR="00A052DC" w:rsidRDefault="009F0A60">
            <w:pPr>
              <w:spacing w:line="360" w:lineRule="auto"/>
              <w:rPr>
                <w:rFonts w:ascii="Times New Roman" w:eastAsia="黑体" w:hAnsi="Times New Roman"/>
                <w:sz w:val="20"/>
                <w:szCs w:val="21"/>
              </w:rPr>
            </w:pPr>
            <w:r>
              <w:rPr>
                <w:rFonts w:ascii="Times New Roman" w:eastAsia="黑体" w:hAnsi="Times New Roman"/>
                <w:sz w:val="20"/>
                <w:szCs w:val="21"/>
              </w:rPr>
              <w:t>LTOB</w:t>
            </w:r>
          </w:p>
        </w:tc>
      </w:tr>
      <w:tr w:rsidR="00A052DC" w14:paraId="5678F49B" w14:textId="77777777">
        <w:trPr>
          <w:jc w:val="center"/>
        </w:trPr>
        <w:tc>
          <w:tcPr>
            <w:tcW w:w="2802" w:type="dxa"/>
          </w:tcPr>
          <w:p w14:paraId="557E2B46" w14:textId="77777777" w:rsidR="00A052DC" w:rsidRDefault="009F0A60">
            <w:pPr>
              <w:spacing w:line="360" w:lineRule="auto"/>
              <w:rPr>
                <w:rFonts w:ascii="Times New Roman" w:eastAsia="黑体" w:hAnsi="Times New Roman"/>
                <w:kern w:val="0"/>
                <w:sz w:val="20"/>
                <w:szCs w:val="21"/>
              </w:rPr>
            </w:pPr>
            <w:r>
              <w:rPr>
                <w:rFonts w:ascii="Times New Roman" w:eastAsia="黑体" w:hAnsi="Times New Roman"/>
                <w:sz w:val="20"/>
                <w:szCs w:val="21"/>
              </w:rPr>
              <w:t>InterfaceFile</w:t>
            </w:r>
            <w:r>
              <w:rPr>
                <w:rFonts w:ascii="Times New Roman" w:eastAsia="黑体" w:hAnsi="Times New Roman"/>
                <w:kern w:val="0"/>
                <w:sz w:val="20"/>
                <w:szCs w:val="21"/>
              </w:rPr>
              <w:t>/ReciveFile/</w:t>
            </w:r>
          </w:p>
          <w:p w14:paraId="644F02B4" w14:textId="77777777" w:rsidR="00A052DC" w:rsidRDefault="009F0A60">
            <w:pPr>
              <w:spacing w:line="360" w:lineRule="auto"/>
              <w:rPr>
                <w:rFonts w:ascii="Times New Roman" w:eastAsia="黑体" w:hAnsi="Times New Roman"/>
                <w:kern w:val="0"/>
                <w:sz w:val="20"/>
                <w:szCs w:val="21"/>
              </w:rPr>
            </w:pPr>
            <w:r>
              <w:rPr>
                <w:rFonts w:ascii="Times New Roman" w:eastAsia="黑体" w:hAnsi="Times New Roman"/>
                <w:kern w:val="0"/>
                <w:sz w:val="20"/>
                <w:szCs w:val="21"/>
              </w:rPr>
              <w:t>${DEST ORG}/${SOURCE ORG}</w:t>
            </w:r>
          </w:p>
          <w:p w14:paraId="4627B145" w14:textId="77777777" w:rsidR="00A052DC" w:rsidRDefault="009F0A60">
            <w:pPr>
              <w:spacing w:line="360" w:lineRule="auto"/>
              <w:rPr>
                <w:rFonts w:ascii="Times New Roman" w:eastAsia="黑体" w:hAnsi="Times New Roman"/>
                <w:sz w:val="20"/>
                <w:szCs w:val="21"/>
              </w:rPr>
            </w:pPr>
            <w:r>
              <w:rPr>
                <w:rFonts w:ascii="Times New Roman" w:eastAsia="黑体" w:hAnsi="Times New Roman"/>
                <w:kern w:val="0"/>
                <w:sz w:val="20"/>
                <w:szCs w:val="21"/>
              </w:rPr>
              <w:t>/${BATCHNO}</w:t>
            </w:r>
          </w:p>
        </w:tc>
        <w:tc>
          <w:tcPr>
            <w:tcW w:w="4819" w:type="dxa"/>
          </w:tcPr>
          <w:p w14:paraId="7BC883E5" w14:textId="77777777" w:rsidR="00A052DC" w:rsidRDefault="009F0A60">
            <w:pPr>
              <w:spacing w:line="360" w:lineRule="auto"/>
              <w:rPr>
                <w:rFonts w:ascii="Times New Roman" w:eastAsia="黑体" w:hAnsi="Times New Roman"/>
                <w:sz w:val="20"/>
                <w:szCs w:val="21"/>
              </w:rPr>
            </w:pPr>
            <w:r>
              <w:rPr>
                <w:rFonts w:ascii="Times New Roman" w:eastAsia="黑体" w:hAnsi="Times New Roman" w:hint="eastAsia"/>
                <w:sz w:val="20"/>
                <w:szCs w:val="21"/>
              </w:rPr>
              <w:t>批号目录，此目录会有一个或多个，为六位日期加一位批次码。</w:t>
            </w:r>
          </w:p>
        </w:tc>
      </w:tr>
      <w:tr w:rsidR="00A052DC" w14:paraId="54B22D72" w14:textId="77777777">
        <w:trPr>
          <w:jc w:val="center"/>
        </w:trPr>
        <w:tc>
          <w:tcPr>
            <w:tcW w:w="2802" w:type="dxa"/>
          </w:tcPr>
          <w:p w14:paraId="794CC76E" w14:textId="77777777" w:rsidR="00A052DC" w:rsidRDefault="009F0A60">
            <w:pPr>
              <w:spacing w:line="360" w:lineRule="auto"/>
              <w:rPr>
                <w:rFonts w:ascii="Times New Roman" w:eastAsia="黑体" w:hAnsi="Times New Roman"/>
                <w:kern w:val="0"/>
                <w:sz w:val="20"/>
                <w:szCs w:val="21"/>
              </w:rPr>
            </w:pPr>
            <w:r>
              <w:rPr>
                <w:rFonts w:ascii="Times New Roman" w:eastAsia="黑体" w:hAnsi="Times New Roman"/>
                <w:sz w:val="20"/>
                <w:szCs w:val="21"/>
              </w:rPr>
              <w:t>InterfaceFile</w:t>
            </w:r>
            <w:r>
              <w:rPr>
                <w:rFonts w:ascii="Times New Roman" w:eastAsia="黑体" w:hAnsi="Times New Roman"/>
                <w:kern w:val="0"/>
                <w:sz w:val="20"/>
                <w:szCs w:val="21"/>
              </w:rPr>
              <w:t>/ReciveFile /${DEST ORG}/${SOURCE ORG}</w:t>
            </w:r>
          </w:p>
          <w:p w14:paraId="118BC119" w14:textId="77777777" w:rsidR="00A052DC" w:rsidRDefault="009F0A60">
            <w:pPr>
              <w:spacing w:line="360" w:lineRule="auto"/>
              <w:rPr>
                <w:rFonts w:ascii="Times New Roman" w:eastAsia="黑体" w:hAnsi="Times New Roman"/>
                <w:sz w:val="20"/>
                <w:szCs w:val="21"/>
              </w:rPr>
            </w:pPr>
            <w:r>
              <w:rPr>
                <w:rFonts w:ascii="Times New Roman" w:eastAsia="黑体" w:hAnsi="Times New Roman"/>
                <w:kern w:val="0"/>
                <w:sz w:val="20"/>
                <w:szCs w:val="21"/>
              </w:rPr>
              <w:t>/${BATCHNO}/${FILES}</w:t>
            </w:r>
          </w:p>
        </w:tc>
        <w:tc>
          <w:tcPr>
            <w:tcW w:w="4819" w:type="dxa"/>
          </w:tcPr>
          <w:p w14:paraId="397B928E" w14:textId="77777777" w:rsidR="00A052DC" w:rsidRDefault="009F0A60">
            <w:pPr>
              <w:spacing w:line="360" w:lineRule="auto"/>
              <w:rPr>
                <w:rFonts w:ascii="Times New Roman" w:eastAsia="黑体" w:hAnsi="Times New Roman"/>
                <w:sz w:val="20"/>
                <w:szCs w:val="21"/>
              </w:rPr>
            </w:pPr>
            <w:r>
              <w:rPr>
                <w:rFonts w:ascii="Times New Roman" w:eastAsia="黑体" w:hAnsi="Times New Roman" w:hint="eastAsia"/>
                <w:sz w:val="20"/>
                <w:szCs w:val="21"/>
              </w:rPr>
              <w:t>外汇局数据文件，包括一个控制文件和一个或多个外汇局数据文件。</w:t>
            </w:r>
          </w:p>
        </w:tc>
      </w:tr>
    </w:tbl>
    <w:p w14:paraId="528662C7" w14:textId="77777777" w:rsidR="00A052DC" w:rsidRDefault="00A052DC">
      <w:pPr>
        <w:spacing w:line="360" w:lineRule="auto"/>
        <w:rPr>
          <w:sz w:val="24"/>
        </w:rPr>
      </w:pPr>
    </w:p>
    <w:p w14:paraId="08884982" w14:textId="77777777" w:rsidR="00A052DC" w:rsidRDefault="009F0A60" w:rsidP="0020251D">
      <w:pPr>
        <w:pStyle w:val="2"/>
        <w:rPr>
          <w:rFonts w:ascii="Times New Roman" w:hAnsi="Times New Roman"/>
        </w:rPr>
      </w:pPr>
      <w:bookmarkStart w:id="4470" w:name="_Toc91455510"/>
      <w:bookmarkStart w:id="4471" w:name="_Toc310599122"/>
      <w:bookmarkStart w:id="4472" w:name="_Toc454394927"/>
      <w:bookmarkStart w:id="4473" w:name="_Toc101684535"/>
      <w:r>
        <w:rPr>
          <w:rFonts w:ascii="Times New Roman" w:hAnsi="Times New Roman" w:hint="eastAsia"/>
        </w:rPr>
        <w:t>涉外收支、境内划转数据的数据字典</w:t>
      </w:r>
      <w:bookmarkEnd w:id="4470"/>
      <w:bookmarkEnd w:id="4471"/>
      <w:bookmarkEnd w:id="4472"/>
      <w:bookmarkEnd w:id="4473"/>
    </w:p>
    <w:p w14:paraId="6F78B233" w14:textId="77777777" w:rsidR="00A052DC" w:rsidRDefault="009F0A60" w:rsidP="0020251D">
      <w:pPr>
        <w:pStyle w:val="3"/>
        <w:ind w:left="0"/>
        <w:rPr>
          <w:rFonts w:ascii="Times New Roman" w:hAnsi="Times New Roman"/>
        </w:rPr>
      </w:pPr>
      <w:bookmarkStart w:id="4474" w:name="_Toc310599123"/>
      <w:bookmarkStart w:id="4475" w:name="_Toc454394928"/>
      <w:bookmarkStart w:id="4476" w:name="_Toc91455511"/>
      <w:bookmarkStart w:id="4477" w:name="_Toc101684536"/>
      <w:r>
        <w:rPr>
          <w:rFonts w:ascii="Times New Roman" w:hAnsi="Times New Roman" w:hint="eastAsia"/>
        </w:rPr>
        <w:t>反馈给全接口银行的信息</w:t>
      </w:r>
      <w:bookmarkEnd w:id="4474"/>
      <w:bookmarkEnd w:id="4475"/>
      <w:bookmarkEnd w:id="4476"/>
      <w:bookmarkEnd w:id="4477"/>
    </w:p>
    <w:p w14:paraId="045954A7" w14:textId="77777777" w:rsidR="00A052DC" w:rsidRDefault="009F0A60" w:rsidP="0020251D">
      <w:pPr>
        <w:pStyle w:val="4"/>
        <w:numPr>
          <w:ilvl w:val="3"/>
          <w:numId w:val="1"/>
        </w:numPr>
        <w:jc w:val="left"/>
      </w:pPr>
      <w:bookmarkStart w:id="4478" w:name="_Toc310599124"/>
      <w:bookmarkStart w:id="4479" w:name="_Toc217226925"/>
      <w:bookmarkStart w:id="4480" w:name="_Toc454394929"/>
      <w:r>
        <w:rPr>
          <w:rFonts w:hint="eastAsia"/>
        </w:rPr>
        <w:t>企业网上申报开通</w:t>
      </w:r>
      <w:r>
        <w:t>/</w:t>
      </w:r>
      <w:r>
        <w:rPr>
          <w:rFonts w:hint="eastAsia"/>
        </w:rPr>
        <w:t>关闭信息表</w:t>
      </w:r>
      <w:bookmarkEnd w:id="4478"/>
      <w:bookmarkEnd w:id="4479"/>
      <w:bookmarkEnd w:id="4480"/>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3" w:type="dxa"/>
          <w:right w:w="113" w:type="dxa"/>
        </w:tblCellMar>
        <w:tblLook w:val="04A0" w:firstRow="1" w:lastRow="0" w:firstColumn="1" w:lastColumn="0" w:noHBand="0" w:noVBand="1"/>
      </w:tblPr>
      <w:tblGrid>
        <w:gridCol w:w="2098"/>
        <w:gridCol w:w="1702"/>
        <w:gridCol w:w="1558"/>
        <w:gridCol w:w="3174"/>
      </w:tblGrid>
      <w:tr w:rsidR="00A052DC" w14:paraId="39525441" w14:textId="77777777">
        <w:trPr>
          <w:tblHeader/>
        </w:trPr>
        <w:tc>
          <w:tcPr>
            <w:tcW w:w="1229" w:type="pct"/>
            <w:shd w:val="clear" w:color="auto" w:fill="C0C0C0"/>
          </w:tcPr>
          <w:p w14:paraId="72114389" w14:textId="77777777" w:rsidR="00A052DC" w:rsidRDefault="009F0A60">
            <w:pPr>
              <w:jc w:val="center"/>
              <w:rPr>
                <w:rFonts w:ascii="黑体" w:eastAsia="黑体" w:hAnsi="黑体"/>
                <w:b/>
                <w:sz w:val="20"/>
                <w:szCs w:val="20"/>
              </w:rPr>
            </w:pPr>
            <w:r>
              <w:rPr>
                <w:rFonts w:ascii="黑体" w:eastAsia="黑体" w:hAnsi="黑体" w:hint="eastAsia"/>
                <w:b/>
                <w:sz w:val="20"/>
                <w:szCs w:val="20"/>
              </w:rPr>
              <w:t>名称</w:t>
            </w:r>
          </w:p>
        </w:tc>
        <w:tc>
          <w:tcPr>
            <w:tcW w:w="997" w:type="pct"/>
            <w:shd w:val="clear" w:color="auto" w:fill="C0C0C0"/>
          </w:tcPr>
          <w:p w14:paraId="1B58D9CE" w14:textId="77777777" w:rsidR="00A052DC" w:rsidRDefault="009F0A60">
            <w:pPr>
              <w:jc w:val="center"/>
              <w:rPr>
                <w:rFonts w:ascii="黑体" w:eastAsia="黑体" w:hAnsi="黑体"/>
                <w:b/>
                <w:sz w:val="20"/>
                <w:szCs w:val="20"/>
              </w:rPr>
            </w:pPr>
            <w:r>
              <w:rPr>
                <w:rFonts w:ascii="黑体" w:eastAsia="黑体" w:hAnsi="黑体" w:hint="eastAsia"/>
                <w:b/>
                <w:sz w:val="20"/>
                <w:szCs w:val="20"/>
              </w:rPr>
              <w:t>代码</w:t>
            </w:r>
          </w:p>
        </w:tc>
        <w:tc>
          <w:tcPr>
            <w:tcW w:w="913" w:type="pct"/>
            <w:shd w:val="clear" w:color="auto" w:fill="C0C0C0"/>
          </w:tcPr>
          <w:p w14:paraId="3AA87134" w14:textId="77777777" w:rsidR="00A052DC" w:rsidRDefault="009F0A60">
            <w:pPr>
              <w:jc w:val="center"/>
              <w:rPr>
                <w:rFonts w:ascii="黑体" w:eastAsia="黑体" w:hAnsi="黑体"/>
                <w:b/>
                <w:sz w:val="20"/>
                <w:szCs w:val="20"/>
              </w:rPr>
            </w:pPr>
            <w:r>
              <w:rPr>
                <w:rFonts w:ascii="黑体" w:eastAsia="黑体" w:hAnsi="黑体" w:hint="eastAsia"/>
                <w:b/>
                <w:sz w:val="20"/>
                <w:szCs w:val="20"/>
              </w:rPr>
              <w:t>数据(长度)</w:t>
            </w:r>
          </w:p>
        </w:tc>
        <w:tc>
          <w:tcPr>
            <w:tcW w:w="1860" w:type="pct"/>
            <w:shd w:val="clear" w:color="auto" w:fill="C0C0C0"/>
          </w:tcPr>
          <w:p w14:paraId="6B0BA8A9" w14:textId="77777777" w:rsidR="00A052DC" w:rsidRDefault="009F0A60">
            <w:pPr>
              <w:jc w:val="center"/>
              <w:rPr>
                <w:rFonts w:ascii="黑体" w:eastAsia="黑体" w:hAnsi="黑体"/>
                <w:b/>
                <w:sz w:val="20"/>
                <w:szCs w:val="20"/>
              </w:rPr>
            </w:pPr>
            <w:r>
              <w:rPr>
                <w:rFonts w:ascii="黑体" w:eastAsia="黑体" w:hAnsi="黑体" w:hint="eastAsia"/>
                <w:b/>
                <w:sz w:val="20"/>
                <w:szCs w:val="20"/>
              </w:rPr>
              <w:t>注释</w:t>
            </w:r>
          </w:p>
        </w:tc>
      </w:tr>
      <w:tr w:rsidR="00A052DC" w14:paraId="54585830" w14:textId="77777777">
        <w:tc>
          <w:tcPr>
            <w:tcW w:w="1229" w:type="pct"/>
          </w:tcPr>
          <w:p w14:paraId="26771B01" w14:textId="77777777" w:rsidR="00A052DC" w:rsidRDefault="009F0A60">
            <w:pPr>
              <w:adjustRightInd w:val="0"/>
              <w:spacing w:before="20" w:after="20"/>
              <w:ind w:right="80"/>
              <w:rPr>
                <w:rFonts w:ascii="黑体" w:eastAsia="黑体" w:hAnsi="黑体" w:cs="宋体"/>
                <w:sz w:val="20"/>
                <w:szCs w:val="20"/>
              </w:rPr>
            </w:pPr>
            <w:r>
              <w:rPr>
                <w:rFonts w:ascii="黑体" w:eastAsia="黑体" w:hAnsi="黑体" w:cs="宋体" w:hint="eastAsia"/>
                <w:sz w:val="20"/>
                <w:szCs w:val="20"/>
              </w:rPr>
              <w:t>主体标识码</w:t>
            </w:r>
          </w:p>
        </w:tc>
        <w:tc>
          <w:tcPr>
            <w:tcW w:w="997" w:type="pct"/>
          </w:tcPr>
          <w:p w14:paraId="4253C397" w14:textId="77777777" w:rsidR="00A052DC" w:rsidRDefault="009F0A60">
            <w:pPr>
              <w:adjustRightInd w:val="0"/>
              <w:spacing w:before="20" w:after="20"/>
              <w:ind w:right="80"/>
              <w:rPr>
                <w:rFonts w:ascii="黑体" w:eastAsia="黑体" w:hAnsi="黑体" w:cs="宋体"/>
                <w:sz w:val="20"/>
                <w:szCs w:val="20"/>
              </w:rPr>
            </w:pPr>
            <w:r>
              <w:rPr>
                <w:rFonts w:ascii="黑体" w:eastAsia="黑体" w:hAnsi="黑体" w:cs="宋体"/>
                <w:sz w:val="20"/>
                <w:szCs w:val="20"/>
              </w:rPr>
              <w:t>CUSTOMERCODE</w:t>
            </w:r>
          </w:p>
        </w:tc>
        <w:tc>
          <w:tcPr>
            <w:tcW w:w="913" w:type="pct"/>
          </w:tcPr>
          <w:p w14:paraId="2283439C" w14:textId="77777777" w:rsidR="00A052DC" w:rsidRDefault="009F0A60">
            <w:pPr>
              <w:adjustRightInd w:val="0"/>
              <w:spacing w:before="20" w:after="20"/>
              <w:ind w:left="80" w:right="80"/>
              <w:rPr>
                <w:rFonts w:ascii="黑体" w:eastAsia="黑体" w:hAnsi="黑体" w:cs="宋体"/>
                <w:sz w:val="20"/>
                <w:szCs w:val="20"/>
              </w:rPr>
            </w:pPr>
            <w:r>
              <w:rPr>
                <w:rFonts w:ascii="黑体" w:eastAsia="黑体" w:hAnsi="黑体" w:hint="eastAsia"/>
                <w:sz w:val="20"/>
                <w:szCs w:val="20"/>
              </w:rPr>
              <w:t>字符型，18</w:t>
            </w:r>
          </w:p>
        </w:tc>
        <w:tc>
          <w:tcPr>
            <w:tcW w:w="1860" w:type="pct"/>
          </w:tcPr>
          <w:p w14:paraId="20C583A7" w14:textId="77777777" w:rsidR="00A052DC" w:rsidRDefault="009F0A60">
            <w:pPr>
              <w:adjustRightInd w:val="0"/>
              <w:spacing w:before="20" w:after="20"/>
              <w:ind w:right="80"/>
              <w:rPr>
                <w:rFonts w:ascii="黑体" w:eastAsia="黑体" w:hAnsi="黑体" w:cs="宋体"/>
                <w:sz w:val="20"/>
                <w:szCs w:val="20"/>
              </w:rPr>
            </w:pPr>
            <w:r>
              <w:rPr>
                <w:rFonts w:ascii="黑体" w:eastAsia="黑体" w:hAnsi="黑体" w:cs="宋体" w:hint="eastAsia"/>
                <w:sz w:val="20"/>
                <w:szCs w:val="20"/>
              </w:rPr>
              <w:t>指统一社会信用代码法定载体（如营业执照）上统一社会信用代码中的第9至17位或国家外汇管理局及其分支局签发的特殊机构代码赋码通知书上的机构代码，主键。</w:t>
            </w:r>
          </w:p>
        </w:tc>
      </w:tr>
      <w:tr w:rsidR="00A052DC" w14:paraId="7068D176" w14:textId="77777777">
        <w:tc>
          <w:tcPr>
            <w:tcW w:w="1229" w:type="pct"/>
          </w:tcPr>
          <w:p w14:paraId="5C3BFDF5" w14:textId="77777777" w:rsidR="00A052DC" w:rsidRDefault="009F0A60">
            <w:pPr>
              <w:rPr>
                <w:rFonts w:ascii="黑体" w:eastAsia="黑体" w:hAnsi="黑体" w:cs="宋体"/>
                <w:sz w:val="20"/>
                <w:szCs w:val="20"/>
              </w:rPr>
            </w:pPr>
            <w:r>
              <w:rPr>
                <w:rFonts w:ascii="黑体" w:eastAsia="黑体" w:hAnsi="黑体" w:cs="宋体" w:hint="eastAsia"/>
                <w:sz w:val="20"/>
                <w:szCs w:val="20"/>
              </w:rPr>
              <w:t>机构名称</w:t>
            </w:r>
          </w:p>
        </w:tc>
        <w:tc>
          <w:tcPr>
            <w:tcW w:w="997" w:type="pct"/>
          </w:tcPr>
          <w:p w14:paraId="048A75A7" w14:textId="77777777" w:rsidR="00A052DC" w:rsidRDefault="009F0A60">
            <w:pPr>
              <w:rPr>
                <w:rFonts w:ascii="黑体" w:eastAsia="黑体" w:hAnsi="黑体" w:cs="宋体"/>
                <w:sz w:val="20"/>
                <w:szCs w:val="20"/>
              </w:rPr>
            </w:pPr>
            <w:r>
              <w:rPr>
                <w:rFonts w:ascii="黑体" w:eastAsia="黑体" w:hAnsi="黑体" w:cs="宋体"/>
                <w:sz w:val="20"/>
                <w:szCs w:val="20"/>
              </w:rPr>
              <w:t>CUSTOMERNAME</w:t>
            </w:r>
          </w:p>
        </w:tc>
        <w:tc>
          <w:tcPr>
            <w:tcW w:w="913" w:type="pct"/>
          </w:tcPr>
          <w:p w14:paraId="4ED02C62" w14:textId="77777777" w:rsidR="00A052DC" w:rsidRDefault="009F0A60">
            <w:pPr>
              <w:adjustRightInd w:val="0"/>
              <w:spacing w:before="20" w:after="20"/>
              <w:ind w:left="80" w:right="80"/>
              <w:rPr>
                <w:rFonts w:ascii="黑体" w:eastAsia="黑体" w:hAnsi="黑体" w:cs="宋体"/>
                <w:sz w:val="20"/>
                <w:szCs w:val="20"/>
              </w:rPr>
            </w:pPr>
            <w:r>
              <w:rPr>
                <w:rFonts w:ascii="黑体" w:eastAsia="黑体" w:hAnsi="黑体" w:hint="eastAsia"/>
                <w:sz w:val="20"/>
                <w:szCs w:val="20"/>
              </w:rPr>
              <w:t>字符型，</w:t>
            </w:r>
            <w:r>
              <w:rPr>
                <w:rFonts w:ascii="黑体" w:eastAsia="黑体" w:hAnsi="黑体"/>
                <w:sz w:val="20"/>
                <w:szCs w:val="20"/>
              </w:rPr>
              <w:t>128</w:t>
            </w:r>
          </w:p>
        </w:tc>
        <w:tc>
          <w:tcPr>
            <w:tcW w:w="1860" w:type="pct"/>
          </w:tcPr>
          <w:p w14:paraId="23438598" w14:textId="77777777" w:rsidR="00A052DC" w:rsidRDefault="009F0A60">
            <w:pPr>
              <w:rPr>
                <w:rFonts w:ascii="黑体" w:eastAsia="黑体" w:hAnsi="黑体" w:cs="宋体"/>
                <w:sz w:val="20"/>
                <w:szCs w:val="20"/>
              </w:rPr>
            </w:pPr>
            <w:r>
              <w:rPr>
                <w:rFonts w:ascii="黑体" w:eastAsia="黑体" w:hAnsi="黑体" w:cs="宋体" w:hint="eastAsia"/>
                <w:sz w:val="20"/>
                <w:szCs w:val="20"/>
              </w:rPr>
              <w:t>组织机构名称。</w:t>
            </w:r>
          </w:p>
        </w:tc>
      </w:tr>
      <w:tr w:rsidR="00A052DC" w14:paraId="147FA438" w14:textId="77777777">
        <w:tc>
          <w:tcPr>
            <w:tcW w:w="1229" w:type="pct"/>
          </w:tcPr>
          <w:p w14:paraId="00389362" w14:textId="77777777" w:rsidR="00A052DC" w:rsidRDefault="009F0A60">
            <w:pPr>
              <w:adjustRightInd w:val="0"/>
              <w:spacing w:before="20" w:after="20"/>
              <w:ind w:right="80"/>
              <w:rPr>
                <w:rFonts w:ascii="黑体" w:eastAsia="黑体" w:hAnsi="黑体" w:cs="宋体"/>
                <w:sz w:val="20"/>
                <w:szCs w:val="20"/>
              </w:rPr>
            </w:pPr>
            <w:r>
              <w:rPr>
                <w:rFonts w:ascii="黑体" w:eastAsia="黑体" w:hAnsi="黑体" w:cs="宋体" w:hint="eastAsia"/>
                <w:sz w:val="20"/>
                <w:szCs w:val="20"/>
              </w:rPr>
              <w:t>是否开通网上申报</w:t>
            </w:r>
          </w:p>
        </w:tc>
        <w:tc>
          <w:tcPr>
            <w:tcW w:w="997" w:type="pct"/>
          </w:tcPr>
          <w:p w14:paraId="157ABF4A" w14:textId="77777777" w:rsidR="00A052DC" w:rsidRDefault="009F0A60">
            <w:pPr>
              <w:adjustRightInd w:val="0"/>
              <w:spacing w:before="20" w:after="20"/>
              <w:ind w:right="80"/>
              <w:rPr>
                <w:rFonts w:ascii="黑体" w:eastAsia="黑体" w:hAnsi="黑体" w:cs="宋体"/>
                <w:sz w:val="20"/>
                <w:szCs w:val="20"/>
              </w:rPr>
            </w:pPr>
            <w:r>
              <w:rPr>
                <w:rFonts w:ascii="黑体" w:eastAsia="黑体" w:hAnsi="黑体" w:cs="宋体"/>
                <w:sz w:val="20"/>
                <w:szCs w:val="20"/>
              </w:rPr>
              <w:t>ISOPENDECLARE</w:t>
            </w:r>
          </w:p>
        </w:tc>
        <w:tc>
          <w:tcPr>
            <w:tcW w:w="913" w:type="pct"/>
          </w:tcPr>
          <w:p w14:paraId="21094590" w14:textId="77777777" w:rsidR="00A052DC" w:rsidRDefault="009F0A60">
            <w:pPr>
              <w:adjustRightInd w:val="0"/>
              <w:spacing w:before="20" w:after="20"/>
              <w:ind w:left="80" w:right="80"/>
              <w:rPr>
                <w:rFonts w:ascii="黑体" w:eastAsia="黑体" w:hAnsi="黑体" w:cs="宋体"/>
                <w:sz w:val="20"/>
                <w:szCs w:val="20"/>
              </w:rPr>
            </w:pPr>
            <w:r>
              <w:rPr>
                <w:rFonts w:ascii="黑体" w:eastAsia="黑体" w:hAnsi="黑体" w:hint="eastAsia"/>
                <w:sz w:val="20"/>
                <w:szCs w:val="20"/>
              </w:rPr>
              <w:t>字符型，</w:t>
            </w:r>
            <w:r>
              <w:rPr>
                <w:rFonts w:ascii="黑体" w:eastAsia="黑体" w:hAnsi="黑体"/>
                <w:sz w:val="20"/>
                <w:szCs w:val="20"/>
              </w:rPr>
              <w:t>1</w:t>
            </w:r>
          </w:p>
        </w:tc>
        <w:tc>
          <w:tcPr>
            <w:tcW w:w="1860" w:type="pct"/>
          </w:tcPr>
          <w:p w14:paraId="7BBE78B0" w14:textId="77777777" w:rsidR="00A052DC" w:rsidRDefault="009F0A60">
            <w:pPr>
              <w:rPr>
                <w:rFonts w:ascii="黑体" w:eastAsia="黑体" w:hAnsi="黑体"/>
                <w:sz w:val="20"/>
                <w:szCs w:val="20"/>
              </w:rPr>
            </w:pPr>
            <w:r>
              <w:rPr>
                <w:rFonts w:ascii="黑体" w:eastAsia="黑体" w:hAnsi="黑体" w:hint="eastAsia"/>
                <w:sz w:val="20"/>
                <w:szCs w:val="20"/>
              </w:rPr>
              <w:t>指定当前企业开通还是关闭网上申报业务。该字段无默认值。</w:t>
            </w:r>
          </w:p>
          <w:p w14:paraId="5528E003" w14:textId="77777777" w:rsidR="00A052DC" w:rsidRDefault="009F0A60">
            <w:pPr>
              <w:rPr>
                <w:rFonts w:ascii="黑体" w:eastAsia="黑体" w:hAnsi="黑体"/>
                <w:sz w:val="20"/>
                <w:szCs w:val="20"/>
              </w:rPr>
            </w:pPr>
            <w:r>
              <w:rPr>
                <w:rFonts w:ascii="黑体" w:eastAsia="黑体" w:hAnsi="黑体"/>
                <w:sz w:val="20"/>
                <w:szCs w:val="20"/>
              </w:rPr>
              <w:t>Y-开通</w:t>
            </w:r>
          </w:p>
          <w:p w14:paraId="1C26B878" w14:textId="77777777" w:rsidR="00A052DC" w:rsidRDefault="009F0A60">
            <w:pPr>
              <w:adjustRightInd w:val="0"/>
              <w:spacing w:before="20" w:after="20"/>
              <w:ind w:right="80"/>
              <w:rPr>
                <w:rFonts w:ascii="黑体" w:eastAsia="黑体" w:hAnsi="黑体" w:cs="宋体"/>
                <w:sz w:val="20"/>
                <w:szCs w:val="20"/>
              </w:rPr>
            </w:pPr>
            <w:r>
              <w:rPr>
                <w:rFonts w:ascii="黑体" w:eastAsia="黑体" w:hAnsi="黑体"/>
                <w:sz w:val="20"/>
                <w:szCs w:val="20"/>
              </w:rPr>
              <w:t>N-关闭</w:t>
            </w:r>
          </w:p>
        </w:tc>
      </w:tr>
      <w:tr w:rsidR="00A052DC" w14:paraId="3EC9B70E" w14:textId="77777777">
        <w:tc>
          <w:tcPr>
            <w:tcW w:w="1229" w:type="pct"/>
          </w:tcPr>
          <w:p w14:paraId="7FCBBCE6" w14:textId="77777777" w:rsidR="00A052DC" w:rsidRDefault="009F0A60">
            <w:pPr>
              <w:adjustRightInd w:val="0"/>
              <w:spacing w:before="20" w:after="20"/>
              <w:ind w:right="80"/>
              <w:rPr>
                <w:rFonts w:ascii="黑体" w:eastAsia="黑体" w:hAnsi="黑体" w:cs="宋体"/>
                <w:sz w:val="20"/>
                <w:szCs w:val="20"/>
              </w:rPr>
            </w:pPr>
            <w:r>
              <w:rPr>
                <w:rFonts w:ascii="黑体" w:eastAsia="黑体" w:hAnsi="黑体" w:cs="宋体" w:hint="eastAsia"/>
                <w:sz w:val="20"/>
                <w:szCs w:val="20"/>
              </w:rPr>
              <w:t>开通日期</w:t>
            </w:r>
          </w:p>
        </w:tc>
        <w:tc>
          <w:tcPr>
            <w:tcW w:w="997" w:type="pct"/>
          </w:tcPr>
          <w:p w14:paraId="461ACB79" w14:textId="77777777" w:rsidR="00A052DC" w:rsidRDefault="009F0A60">
            <w:pPr>
              <w:adjustRightInd w:val="0"/>
              <w:spacing w:before="20" w:after="20"/>
              <w:ind w:left="80" w:right="80"/>
              <w:rPr>
                <w:rFonts w:ascii="黑体" w:eastAsia="黑体" w:hAnsi="黑体" w:cs="宋体"/>
                <w:sz w:val="20"/>
                <w:szCs w:val="20"/>
              </w:rPr>
            </w:pPr>
            <w:r>
              <w:rPr>
                <w:rFonts w:ascii="黑体" w:eastAsia="黑体" w:hAnsi="黑体" w:cs="宋体"/>
                <w:sz w:val="20"/>
                <w:szCs w:val="20"/>
              </w:rPr>
              <w:t>OPENDATE</w:t>
            </w:r>
          </w:p>
        </w:tc>
        <w:tc>
          <w:tcPr>
            <w:tcW w:w="913" w:type="pct"/>
          </w:tcPr>
          <w:p w14:paraId="0CFCCDFB" w14:textId="77777777" w:rsidR="00A052DC" w:rsidRDefault="009F0A60">
            <w:pPr>
              <w:adjustRightInd w:val="0"/>
              <w:spacing w:before="20" w:after="20"/>
              <w:ind w:left="80" w:right="80"/>
              <w:rPr>
                <w:rFonts w:ascii="黑体" w:eastAsia="黑体" w:hAnsi="黑体" w:cs="宋体"/>
                <w:sz w:val="20"/>
                <w:szCs w:val="20"/>
              </w:rPr>
            </w:pPr>
            <w:r>
              <w:rPr>
                <w:rFonts w:ascii="黑体" w:eastAsia="黑体" w:hAnsi="黑体" w:cs="宋体"/>
                <w:sz w:val="20"/>
                <w:szCs w:val="20"/>
              </w:rPr>
              <w:t>TIMESTAMP</w:t>
            </w:r>
          </w:p>
        </w:tc>
        <w:tc>
          <w:tcPr>
            <w:tcW w:w="1860" w:type="pct"/>
          </w:tcPr>
          <w:p w14:paraId="5976D4AC" w14:textId="77777777" w:rsidR="00A052DC" w:rsidRDefault="009F0A60">
            <w:pPr>
              <w:adjustRightInd w:val="0"/>
              <w:spacing w:before="20" w:after="20"/>
              <w:ind w:left="80" w:right="80"/>
              <w:rPr>
                <w:rFonts w:ascii="黑体" w:eastAsia="黑体" w:hAnsi="黑体" w:cs="宋体"/>
                <w:sz w:val="20"/>
                <w:szCs w:val="20"/>
              </w:rPr>
            </w:pPr>
            <w:r>
              <w:rPr>
                <w:rFonts w:ascii="黑体" w:eastAsia="黑体" w:hAnsi="黑体" w:cs="宋体" w:hint="eastAsia"/>
                <w:sz w:val="20"/>
                <w:szCs w:val="20"/>
              </w:rPr>
              <w:t>开通日期，开通业务办理时系统日期+1。</w:t>
            </w:r>
          </w:p>
        </w:tc>
      </w:tr>
      <w:tr w:rsidR="00A052DC" w14:paraId="09FD6075" w14:textId="77777777">
        <w:tc>
          <w:tcPr>
            <w:tcW w:w="1229" w:type="pct"/>
          </w:tcPr>
          <w:p w14:paraId="5B80757E" w14:textId="77777777" w:rsidR="00A052DC" w:rsidRDefault="009F0A60">
            <w:pPr>
              <w:adjustRightInd w:val="0"/>
              <w:spacing w:before="20" w:after="20"/>
              <w:ind w:right="80"/>
              <w:rPr>
                <w:rFonts w:ascii="黑体" w:eastAsia="黑体" w:hAnsi="黑体" w:cs="宋体"/>
                <w:sz w:val="20"/>
                <w:szCs w:val="20"/>
              </w:rPr>
            </w:pPr>
            <w:r>
              <w:rPr>
                <w:rFonts w:ascii="黑体" w:eastAsia="黑体" w:hAnsi="黑体" w:cs="宋体" w:hint="eastAsia"/>
                <w:sz w:val="20"/>
                <w:szCs w:val="20"/>
              </w:rPr>
              <w:t>关闭日期</w:t>
            </w:r>
          </w:p>
        </w:tc>
        <w:tc>
          <w:tcPr>
            <w:tcW w:w="997" w:type="pct"/>
          </w:tcPr>
          <w:p w14:paraId="6A2841B5" w14:textId="77777777" w:rsidR="00A052DC" w:rsidRDefault="009F0A60">
            <w:pPr>
              <w:adjustRightInd w:val="0"/>
              <w:spacing w:before="20" w:after="20"/>
              <w:ind w:left="80" w:right="80"/>
              <w:rPr>
                <w:rFonts w:ascii="黑体" w:eastAsia="黑体" w:hAnsi="黑体" w:cs="宋体"/>
                <w:sz w:val="20"/>
                <w:szCs w:val="20"/>
              </w:rPr>
            </w:pPr>
            <w:r>
              <w:rPr>
                <w:rFonts w:ascii="黑体" w:eastAsia="黑体" w:hAnsi="黑体" w:cs="宋体"/>
                <w:sz w:val="20"/>
                <w:szCs w:val="20"/>
              </w:rPr>
              <w:t>CLOSEDATE</w:t>
            </w:r>
          </w:p>
        </w:tc>
        <w:tc>
          <w:tcPr>
            <w:tcW w:w="913" w:type="pct"/>
          </w:tcPr>
          <w:p w14:paraId="256D9BEA" w14:textId="77777777" w:rsidR="00A052DC" w:rsidRDefault="009F0A60">
            <w:pPr>
              <w:adjustRightInd w:val="0"/>
              <w:spacing w:before="20" w:after="20"/>
              <w:ind w:left="80" w:right="80"/>
              <w:rPr>
                <w:rFonts w:ascii="黑体" w:eastAsia="黑体" w:hAnsi="黑体" w:cs="宋体"/>
                <w:sz w:val="20"/>
                <w:szCs w:val="20"/>
              </w:rPr>
            </w:pPr>
            <w:r>
              <w:rPr>
                <w:rFonts w:ascii="黑体" w:eastAsia="黑体" w:hAnsi="黑体" w:cs="宋体"/>
                <w:sz w:val="20"/>
                <w:szCs w:val="20"/>
              </w:rPr>
              <w:t>TIMESTAMP</w:t>
            </w:r>
          </w:p>
        </w:tc>
        <w:tc>
          <w:tcPr>
            <w:tcW w:w="1860" w:type="pct"/>
          </w:tcPr>
          <w:p w14:paraId="79032DB5" w14:textId="77777777" w:rsidR="00A052DC" w:rsidRDefault="009F0A60">
            <w:pPr>
              <w:adjustRightInd w:val="0"/>
              <w:spacing w:before="20" w:after="20"/>
              <w:ind w:left="80" w:right="80"/>
              <w:rPr>
                <w:rFonts w:ascii="黑体" w:eastAsia="黑体" w:hAnsi="黑体" w:cs="宋体"/>
                <w:sz w:val="20"/>
                <w:szCs w:val="20"/>
              </w:rPr>
            </w:pPr>
            <w:r>
              <w:rPr>
                <w:rFonts w:ascii="黑体" w:eastAsia="黑体" w:hAnsi="黑体" w:cs="宋体" w:hint="eastAsia"/>
                <w:sz w:val="20"/>
                <w:szCs w:val="20"/>
              </w:rPr>
              <w:t>关闭日期。开通时，该值=2999年；关闭时，该值=关闭业务办理时系统日期+1。</w:t>
            </w:r>
          </w:p>
        </w:tc>
      </w:tr>
    </w:tbl>
    <w:p w14:paraId="586A2AF7" w14:textId="77777777" w:rsidR="00A052DC" w:rsidRDefault="00A052DC"/>
    <w:p w14:paraId="7BFF23FD" w14:textId="77777777" w:rsidR="00A052DC" w:rsidRDefault="009F0A60" w:rsidP="0020251D">
      <w:pPr>
        <w:pStyle w:val="4"/>
        <w:numPr>
          <w:ilvl w:val="3"/>
          <w:numId w:val="1"/>
        </w:numPr>
        <w:jc w:val="left"/>
      </w:pPr>
      <w:bookmarkStart w:id="4481" w:name="_Toc454394930"/>
      <w:bookmarkStart w:id="4482" w:name="_Toc310599125"/>
      <w:r>
        <w:rPr>
          <w:rFonts w:hint="eastAsia"/>
        </w:rPr>
        <w:t>涉外收入申报单</w:t>
      </w:r>
      <w:bookmarkEnd w:id="4481"/>
      <w:bookmarkEnd w:id="4482"/>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3" w:type="dxa"/>
          <w:right w:w="113" w:type="dxa"/>
        </w:tblCellMar>
        <w:tblLook w:val="04A0" w:firstRow="1" w:lastRow="0" w:firstColumn="1" w:lastColumn="0" w:noHBand="0" w:noVBand="1"/>
      </w:tblPr>
      <w:tblGrid>
        <w:gridCol w:w="2381"/>
        <w:gridCol w:w="1700"/>
        <w:gridCol w:w="1758"/>
        <w:gridCol w:w="2693"/>
      </w:tblGrid>
      <w:tr w:rsidR="00A052DC" w14:paraId="3DD522DA" w14:textId="77777777">
        <w:trPr>
          <w:tblHeader/>
        </w:trPr>
        <w:tc>
          <w:tcPr>
            <w:tcW w:w="1395" w:type="pct"/>
            <w:shd w:val="clear" w:color="auto" w:fill="C0C0C0"/>
          </w:tcPr>
          <w:p w14:paraId="06148E16" w14:textId="77777777" w:rsidR="00E42487" w:rsidRDefault="009F0A60" w:rsidP="00E42487">
            <w:pPr>
              <w:jc w:val="center"/>
              <w:rPr>
                <w:rFonts w:ascii="黑体" w:eastAsia="黑体" w:hAnsi="黑体"/>
                <w:b/>
                <w:sz w:val="20"/>
                <w:szCs w:val="20"/>
              </w:rPr>
            </w:pPr>
            <w:r>
              <w:rPr>
                <w:rFonts w:ascii="黑体" w:eastAsia="黑体" w:hAnsi="黑体" w:hint="eastAsia"/>
                <w:b/>
                <w:sz w:val="20"/>
                <w:szCs w:val="20"/>
              </w:rPr>
              <w:t>名称</w:t>
            </w:r>
          </w:p>
        </w:tc>
        <w:tc>
          <w:tcPr>
            <w:tcW w:w="996" w:type="pct"/>
            <w:shd w:val="clear" w:color="auto" w:fill="C0C0C0"/>
          </w:tcPr>
          <w:p w14:paraId="5D9B8821" w14:textId="77777777" w:rsidR="00E42487" w:rsidRDefault="009F0A60" w:rsidP="00E42487">
            <w:pPr>
              <w:jc w:val="center"/>
              <w:rPr>
                <w:rFonts w:ascii="黑体" w:eastAsia="黑体" w:hAnsi="黑体"/>
                <w:b/>
                <w:sz w:val="20"/>
                <w:szCs w:val="20"/>
              </w:rPr>
            </w:pPr>
            <w:r>
              <w:rPr>
                <w:rFonts w:ascii="黑体" w:eastAsia="黑体" w:hAnsi="黑体" w:hint="eastAsia"/>
                <w:b/>
                <w:sz w:val="20"/>
                <w:szCs w:val="20"/>
              </w:rPr>
              <w:t>代码</w:t>
            </w:r>
          </w:p>
        </w:tc>
        <w:tc>
          <w:tcPr>
            <w:tcW w:w="1030" w:type="pct"/>
            <w:shd w:val="clear" w:color="auto" w:fill="C0C0C0"/>
          </w:tcPr>
          <w:p w14:paraId="32C24549" w14:textId="77777777" w:rsidR="00E42487" w:rsidRDefault="009F0A60" w:rsidP="00E42487">
            <w:pPr>
              <w:jc w:val="center"/>
              <w:rPr>
                <w:rFonts w:ascii="黑体" w:eastAsia="黑体" w:hAnsi="黑体"/>
                <w:b/>
                <w:sz w:val="20"/>
                <w:szCs w:val="20"/>
              </w:rPr>
            </w:pPr>
            <w:r>
              <w:rPr>
                <w:rFonts w:ascii="黑体" w:eastAsia="黑体" w:hAnsi="黑体" w:hint="eastAsia"/>
                <w:b/>
                <w:sz w:val="20"/>
                <w:szCs w:val="20"/>
              </w:rPr>
              <w:t>数据（长度）</w:t>
            </w:r>
          </w:p>
        </w:tc>
        <w:tc>
          <w:tcPr>
            <w:tcW w:w="1578" w:type="pct"/>
            <w:shd w:val="clear" w:color="auto" w:fill="C0C0C0"/>
          </w:tcPr>
          <w:p w14:paraId="61E8DF8E" w14:textId="77777777" w:rsidR="00E42487" w:rsidRDefault="009F0A60" w:rsidP="00E42487">
            <w:pPr>
              <w:jc w:val="center"/>
              <w:rPr>
                <w:rFonts w:ascii="黑体" w:eastAsia="黑体" w:hAnsi="黑体"/>
                <w:b/>
                <w:sz w:val="20"/>
                <w:szCs w:val="20"/>
              </w:rPr>
            </w:pPr>
            <w:r>
              <w:rPr>
                <w:rFonts w:ascii="黑体" w:eastAsia="黑体" w:hAnsi="黑体" w:hint="eastAsia"/>
                <w:b/>
                <w:sz w:val="20"/>
                <w:szCs w:val="20"/>
              </w:rPr>
              <w:t>注释</w:t>
            </w:r>
          </w:p>
        </w:tc>
      </w:tr>
      <w:tr w:rsidR="00A052DC" w14:paraId="2121486C" w14:textId="77777777">
        <w:tc>
          <w:tcPr>
            <w:tcW w:w="1395" w:type="pct"/>
          </w:tcPr>
          <w:p w14:paraId="34A6DDFD"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申报号码</w:t>
            </w:r>
          </w:p>
        </w:tc>
        <w:tc>
          <w:tcPr>
            <w:tcW w:w="996" w:type="pct"/>
          </w:tcPr>
          <w:p w14:paraId="009EEFC2"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RPTNO</w:t>
            </w:r>
          </w:p>
        </w:tc>
        <w:tc>
          <w:tcPr>
            <w:tcW w:w="1030" w:type="pct"/>
          </w:tcPr>
          <w:p w14:paraId="6C608578" w14:textId="77777777" w:rsidR="00A052DC" w:rsidRDefault="009F0A60">
            <w:pPr>
              <w:adjustRightInd w:val="0"/>
              <w:spacing w:before="20" w:after="20"/>
              <w:ind w:left="80" w:right="80"/>
              <w:rPr>
                <w:rFonts w:ascii="黑体" w:eastAsia="黑体" w:hAnsi="黑体" w:cs="Microsoft Sans Serif"/>
                <w:sz w:val="20"/>
                <w:szCs w:val="20"/>
              </w:rPr>
            </w:pPr>
            <w:r>
              <w:rPr>
                <w:rFonts w:ascii="黑体" w:eastAsia="黑体" w:hAnsi="黑体" w:cs="Microsoft Sans Serif" w:hint="eastAsia"/>
                <w:sz w:val="20"/>
                <w:szCs w:val="20"/>
              </w:rPr>
              <w:t>字符型，</w:t>
            </w:r>
            <w:r>
              <w:rPr>
                <w:rFonts w:ascii="黑体" w:eastAsia="黑体" w:hAnsi="黑体" w:cs="Microsoft Sans Serif"/>
                <w:sz w:val="20"/>
                <w:szCs w:val="20"/>
              </w:rPr>
              <w:t>22</w:t>
            </w:r>
          </w:p>
        </w:tc>
        <w:tc>
          <w:tcPr>
            <w:tcW w:w="1578" w:type="pct"/>
          </w:tcPr>
          <w:p w14:paraId="4DED3BF0" w14:textId="77777777" w:rsidR="00A052DC" w:rsidRDefault="009F0A60">
            <w:pPr>
              <w:rPr>
                <w:rFonts w:ascii="黑体" w:eastAsia="黑体" w:hAnsi="黑体" w:cs="宋体"/>
                <w:sz w:val="20"/>
                <w:szCs w:val="20"/>
              </w:rPr>
            </w:pPr>
            <w:r>
              <w:rPr>
                <w:rFonts w:ascii="黑体" w:eastAsia="黑体" w:hAnsi="黑体" w:cs="宋体" w:hint="eastAsia"/>
                <w:sz w:val="20"/>
                <w:szCs w:val="20"/>
              </w:rPr>
              <w:t>编码规则：</w:t>
            </w:r>
            <w:r>
              <w:rPr>
                <w:rFonts w:ascii="黑体" w:eastAsia="黑体" w:hAnsi="黑体" w:cs="宋体"/>
                <w:sz w:val="20"/>
                <w:szCs w:val="20"/>
              </w:rPr>
              <w:t>6位地区标识码+4位银行代码+2位银行顺序码+汇入日期（yymmdd）+4位银行业务流水码。</w:t>
            </w:r>
          </w:p>
        </w:tc>
      </w:tr>
      <w:tr w:rsidR="00A052DC" w14:paraId="4F817AA1" w14:textId="77777777">
        <w:tc>
          <w:tcPr>
            <w:tcW w:w="1395" w:type="pct"/>
          </w:tcPr>
          <w:p w14:paraId="14E40FBC"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收款人类型</w:t>
            </w:r>
          </w:p>
        </w:tc>
        <w:tc>
          <w:tcPr>
            <w:tcW w:w="996" w:type="pct"/>
          </w:tcPr>
          <w:p w14:paraId="0C3C5121"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PAYEETYPE</w:t>
            </w:r>
          </w:p>
        </w:tc>
        <w:tc>
          <w:tcPr>
            <w:tcW w:w="1030" w:type="pct"/>
          </w:tcPr>
          <w:p w14:paraId="01010A73" w14:textId="77777777" w:rsidR="00A052DC" w:rsidRDefault="009F0A60">
            <w:pPr>
              <w:adjustRightInd w:val="0"/>
              <w:spacing w:before="20" w:after="20"/>
              <w:ind w:right="80"/>
              <w:rPr>
                <w:rFonts w:ascii="黑体" w:eastAsia="黑体" w:hAnsi="黑体" w:cs="Microsoft Sans Serif"/>
                <w:sz w:val="20"/>
                <w:szCs w:val="20"/>
              </w:rPr>
            </w:pPr>
            <w:r>
              <w:rPr>
                <w:rFonts w:ascii="黑体" w:eastAsia="黑体" w:hAnsi="黑体" w:cs="Microsoft Sans Serif" w:hint="eastAsia"/>
                <w:sz w:val="20"/>
                <w:szCs w:val="20"/>
              </w:rPr>
              <w:t>字符型，</w:t>
            </w:r>
            <w:r>
              <w:rPr>
                <w:rFonts w:ascii="黑体" w:eastAsia="黑体" w:hAnsi="黑体" w:cs="Microsoft Sans Serif"/>
                <w:sz w:val="20"/>
                <w:szCs w:val="20"/>
              </w:rPr>
              <w:t>1</w:t>
            </w:r>
          </w:p>
        </w:tc>
        <w:tc>
          <w:tcPr>
            <w:tcW w:w="1578" w:type="pct"/>
          </w:tcPr>
          <w:p w14:paraId="1FFA9EBE" w14:textId="77777777" w:rsidR="00A052DC" w:rsidRDefault="009F0A60">
            <w:pPr>
              <w:rPr>
                <w:rFonts w:ascii="黑体" w:eastAsia="黑体" w:hAnsi="黑体" w:cs="宋体"/>
                <w:sz w:val="20"/>
                <w:szCs w:val="20"/>
              </w:rPr>
            </w:pPr>
            <w:r>
              <w:rPr>
                <w:rFonts w:ascii="黑体" w:eastAsia="黑体" w:hAnsi="黑体" w:cs="宋体"/>
                <w:sz w:val="20"/>
                <w:szCs w:val="20"/>
              </w:rPr>
              <w:t>C</w:t>
            </w:r>
            <w:r w:rsidR="00AE4602">
              <w:rPr>
                <w:rFonts w:ascii="黑体" w:eastAsia="黑体" w:hAnsi="黑体" w:cs="宋体"/>
                <w:sz w:val="20"/>
                <w:szCs w:val="20"/>
              </w:rPr>
              <w:t>-</w:t>
            </w:r>
            <w:r>
              <w:rPr>
                <w:rFonts w:ascii="黑体" w:eastAsia="黑体" w:hAnsi="黑体" w:cs="宋体"/>
                <w:sz w:val="20"/>
                <w:szCs w:val="20"/>
              </w:rPr>
              <w:t>对公用户</w:t>
            </w:r>
          </w:p>
          <w:p w14:paraId="6CA8A501" w14:textId="77777777" w:rsidR="00A052DC" w:rsidRDefault="009F0A60">
            <w:pPr>
              <w:rPr>
                <w:rFonts w:ascii="黑体" w:eastAsia="黑体" w:hAnsi="黑体" w:cs="宋体"/>
                <w:sz w:val="20"/>
                <w:szCs w:val="20"/>
              </w:rPr>
            </w:pPr>
            <w:r>
              <w:rPr>
                <w:rFonts w:ascii="黑体" w:eastAsia="黑体" w:hAnsi="黑体" w:cs="宋体"/>
                <w:sz w:val="20"/>
                <w:szCs w:val="20"/>
              </w:rPr>
              <w:t>D</w:t>
            </w:r>
            <w:r w:rsidR="00AE4602">
              <w:rPr>
                <w:rFonts w:ascii="黑体" w:eastAsia="黑体" w:hAnsi="黑体" w:cs="宋体"/>
                <w:sz w:val="20"/>
                <w:szCs w:val="20"/>
              </w:rPr>
              <w:t>-</w:t>
            </w:r>
            <w:r>
              <w:rPr>
                <w:rFonts w:ascii="黑体" w:eastAsia="黑体" w:hAnsi="黑体" w:cs="宋体"/>
                <w:sz w:val="20"/>
                <w:szCs w:val="20"/>
              </w:rPr>
              <w:t>对私中国居民</w:t>
            </w:r>
          </w:p>
          <w:p w14:paraId="1CCF15BB" w14:textId="77777777" w:rsidR="00A052DC" w:rsidRDefault="009F0A60">
            <w:pPr>
              <w:rPr>
                <w:rFonts w:ascii="黑体" w:eastAsia="黑体" w:hAnsi="黑体" w:cs="宋体"/>
                <w:sz w:val="20"/>
                <w:szCs w:val="20"/>
              </w:rPr>
            </w:pPr>
            <w:r>
              <w:rPr>
                <w:rFonts w:ascii="黑体" w:eastAsia="黑体" w:hAnsi="黑体" w:cs="宋体"/>
                <w:sz w:val="20"/>
                <w:szCs w:val="20"/>
              </w:rPr>
              <w:t>F</w:t>
            </w:r>
            <w:r w:rsidR="00AE4602">
              <w:rPr>
                <w:rFonts w:ascii="黑体" w:eastAsia="黑体" w:hAnsi="黑体" w:cs="宋体"/>
                <w:sz w:val="20"/>
                <w:szCs w:val="20"/>
              </w:rPr>
              <w:t>-</w:t>
            </w:r>
            <w:r>
              <w:rPr>
                <w:rFonts w:ascii="黑体" w:eastAsia="黑体" w:hAnsi="黑体" w:cs="宋体"/>
                <w:sz w:val="20"/>
                <w:szCs w:val="20"/>
              </w:rPr>
              <w:t>对私中国非居民</w:t>
            </w:r>
          </w:p>
        </w:tc>
      </w:tr>
      <w:tr w:rsidR="00A052DC" w14:paraId="2EA9E5CD" w14:textId="77777777">
        <w:trPr>
          <w:trHeight w:val="178"/>
        </w:trPr>
        <w:tc>
          <w:tcPr>
            <w:tcW w:w="1395" w:type="pct"/>
          </w:tcPr>
          <w:p w14:paraId="354A4835"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个人身份证件号码</w:t>
            </w:r>
          </w:p>
        </w:tc>
        <w:tc>
          <w:tcPr>
            <w:tcW w:w="996" w:type="pct"/>
          </w:tcPr>
          <w:p w14:paraId="7DC0EB4C"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IDCODE</w:t>
            </w:r>
          </w:p>
        </w:tc>
        <w:tc>
          <w:tcPr>
            <w:tcW w:w="1030" w:type="pct"/>
          </w:tcPr>
          <w:p w14:paraId="6D0FBED7" w14:textId="77777777" w:rsidR="00A052DC" w:rsidRDefault="009F0A60">
            <w:pPr>
              <w:adjustRightInd w:val="0"/>
              <w:spacing w:before="20" w:after="20"/>
              <w:ind w:left="80" w:right="80"/>
              <w:rPr>
                <w:rFonts w:ascii="黑体" w:eastAsia="黑体" w:hAnsi="黑体" w:cs="Microsoft Sans Serif"/>
                <w:sz w:val="20"/>
                <w:szCs w:val="20"/>
              </w:rPr>
            </w:pPr>
            <w:r>
              <w:rPr>
                <w:rFonts w:ascii="黑体" w:eastAsia="黑体" w:hAnsi="黑体" w:cs="Microsoft Sans Serif" w:hint="eastAsia"/>
                <w:sz w:val="20"/>
                <w:szCs w:val="20"/>
              </w:rPr>
              <w:t>字符型，</w:t>
            </w:r>
            <w:r>
              <w:rPr>
                <w:rFonts w:ascii="黑体" w:eastAsia="黑体" w:hAnsi="黑体" w:cs="Microsoft Sans Serif"/>
                <w:sz w:val="20"/>
                <w:szCs w:val="20"/>
              </w:rPr>
              <w:t>32</w:t>
            </w:r>
          </w:p>
        </w:tc>
        <w:tc>
          <w:tcPr>
            <w:tcW w:w="1578" w:type="pct"/>
          </w:tcPr>
          <w:p w14:paraId="10191E3E" w14:textId="77777777" w:rsidR="00A052DC" w:rsidRDefault="00A052DC">
            <w:pPr>
              <w:rPr>
                <w:rFonts w:ascii="黑体" w:eastAsia="黑体" w:hAnsi="黑体" w:cs="宋体"/>
                <w:sz w:val="20"/>
                <w:szCs w:val="20"/>
              </w:rPr>
            </w:pPr>
          </w:p>
        </w:tc>
      </w:tr>
      <w:tr w:rsidR="00A052DC" w14:paraId="15AA4EC3" w14:textId="77777777">
        <w:tc>
          <w:tcPr>
            <w:tcW w:w="1395" w:type="pct"/>
          </w:tcPr>
          <w:p w14:paraId="46E1A291"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主体标识码</w:t>
            </w:r>
          </w:p>
        </w:tc>
        <w:tc>
          <w:tcPr>
            <w:tcW w:w="996" w:type="pct"/>
          </w:tcPr>
          <w:p w14:paraId="59267E40"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UNITCODE</w:t>
            </w:r>
          </w:p>
        </w:tc>
        <w:tc>
          <w:tcPr>
            <w:tcW w:w="1030" w:type="pct"/>
          </w:tcPr>
          <w:p w14:paraId="34C63478" w14:textId="77777777" w:rsidR="00A052DC" w:rsidRDefault="009F0A60">
            <w:pPr>
              <w:adjustRightInd w:val="0"/>
              <w:spacing w:before="20" w:after="20"/>
              <w:ind w:left="80" w:right="80"/>
              <w:rPr>
                <w:rFonts w:ascii="黑体" w:eastAsia="黑体" w:hAnsi="黑体" w:cs="Microsoft Sans Serif"/>
                <w:sz w:val="20"/>
                <w:szCs w:val="20"/>
              </w:rPr>
            </w:pPr>
            <w:r>
              <w:rPr>
                <w:rFonts w:ascii="黑体" w:eastAsia="黑体" w:hAnsi="黑体" w:cs="Microsoft Sans Serif" w:hint="eastAsia"/>
                <w:sz w:val="20"/>
                <w:szCs w:val="20"/>
              </w:rPr>
              <w:t>字符型，</w:t>
            </w:r>
            <w:r>
              <w:rPr>
                <w:rFonts w:ascii="黑体" w:eastAsia="黑体" w:hAnsi="黑体" w:cs="Microsoft Sans Serif"/>
                <w:sz w:val="20"/>
                <w:szCs w:val="20"/>
              </w:rPr>
              <w:t>18</w:t>
            </w:r>
          </w:p>
        </w:tc>
        <w:tc>
          <w:tcPr>
            <w:tcW w:w="1578" w:type="pct"/>
          </w:tcPr>
          <w:p w14:paraId="32D7A38E" w14:textId="77777777" w:rsidR="00A052DC" w:rsidRDefault="009F0A60">
            <w:pPr>
              <w:rPr>
                <w:rFonts w:ascii="黑体" w:eastAsia="黑体" w:hAnsi="黑体" w:cs="宋体"/>
                <w:sz w:val="20"/>
                <w:szCs w:val="20"/>
              </w:rPr>
            </w:pPr>
            <w:r>
              <w:rPr>
                <w:rFonts w:ascii="黑体" w:eastAsia="黑体" w:hAnsi="黑体" w:cs="宋体" w:hint="eastAsia"/>
                <w:sz w:val="20"/>
                <w:szCs w:val="20"/>
              </w:rPr>
              <w:t>指统一社会信用代码法定载体（如营业执照）上统一社会信用代码中的第9至17位或国家外汇管理局及其分支局签发的特殊机构代码赋码通知书上的机构代码。</w:t>
            </w:r>
          </w:p>
        </w:tc>
      </w:tr>
      <w:tr w:rsidR="00A052DC" w14:paraId="508E26FC" w14:textId="77777777">
        <w:trPr>
          <w:trHeight w:val="308"/>
        </w:trPr>
        <w:tc>
          <w:tcPr>
            <w:tcW w:w="1395" w:type="pct"/>
          </w:tcPr>
          <w:p w14:paraId="419C4FF4"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收款人名称</w:t>
            </w:r>
          </w:p>
        </w:tc>
        <w:tc>
          <w:tcPr>
            <w:tcW w:w="996" w:type="pct"/>
          </w:tcPr>
          <w:p w14:paraId="24B41790"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CUSTNAME</w:t>
            </w:r>
          </w:p>
        </w:tc>
        <w:tc>
          <w:tcPr>
            <w:tcW w:w="1030" w:type="pct"/>
          </w:tcPr>
          <w:p w14:paraId="2BF8B393" w14:textId="77777777" w:rsidR="00A052DC" w:rsidRDefault="009F0A60">
            <w:pPr>
              <w:adjustRightInd w:val="0"/>
              <w:spacing w:before="20" w:after="20"/>
              <w:ind w:left="80" w:right="80"/>
              <w:rPr>
                <w:rFonts w:ascii="黑体" w:eastAsia="黑体" w:hAnsi="黑体" w:cs="Microsoft Sans Serif"/>
                <w:sz w:val="20"/>
                <w:szCs w:val="20"/>
              </w:rPr>
            </w:pPr>
            <w:r>
              <w:rPr>
                <w:rFonts w:ascii="黑体" w:eastAsia="黑体" w:hAnsi="黑体" w:cs="Microsoft Sans Serif" w:hint="eastAsia"/>
                <w:sz w:val="20"/>
                <w:szCs w:val="20"/>
              </w:rPr>
              <w:t>字符型，</w:t>
            </w:r>
            <w:r>
              <w:rPr>
                <w:rFonts w:ascii="黑体" w:eastAsia="黑体" w:hAnsi="黑体" w:cs="Microsoft Sans Serif"/>
                <w:sz w:val="20"/>
                <w:szCs w:val="20"/>
              </w:rPr>
              <w:t>128</w:t>
            </w:r>
          </w:p>
        </w:tc>
        <w:tc>
          <w:tcPr>
            <w:tcW w:w="1578" w:type="pct"/>
          </w:tcPr>
          <w:p w14:paraId="7F0DD415" w14:textId="77777777" w:rsidR="00A052DC" w:rsidRDefault="00A052DC">
            <w:pPr>
              <w:rPr>
                <w:rFonts w:ascii="黑体" w:eastAsia="黑体" w:hAnsi="黑体" w:cs="宋体"/>
                <w:sz w:val="20"/>
                <w:szCs w:val="20"/>
              </w:rPr>
            </w:pPr>
          </w:p>
        </w:tc>
      </w:tr>
      <w:tr w:rsidR="00A052DC" w14:paraId="22EA041F" w14:textId="77777777">
        <w:tc>
          <w:tcPr>
            <w:tcW w:w="1395" w:type="pct"/>
          </w:tcPr>
          <w:p w14:paraId="787A6709"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付款人名称</w:t>
            </w:r>
          </w:p>
        </w:tc>
        <w:tc>
          <w:tcPr>
            <w:tcW w:w="996" w:type="pct"/>
          </w:tcPr>
          <w:p w14:paraId="0ACFCE24"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OPPNAME</w:t>
            </w:r>
          </w:p>
        </w:tc>
        <w:tc>
          <w:tcPr>
            <w:tcW w:w="1030" w:type="pct"/>
          </w:tcPr>
          <w:p w14:paraId="6123F6F2" w14:textId="77777777" w:rsidR="00A052DC" w:rsidRDefault="009F0A60">
            <w:pPr>
              <w:adjustRightInd w:val="0"/>
              <w:spacing w:before="20" w:after="20"/>
              <w:ind w:left="80" w:right="80"/>
              <w:rPr>
                <w:rFonts w:ascii="黑体" w:eastAsia="黑体" w:hAnsi="黑体" w:cs="Microsoft Sans Serif"/>
                <w:sz w:val="20"/>
                <w:szCs w:val="20"/>
              </w:rPr>
            </w:pPr>
            <w:r>
              <w:rPr>
                <w:rFonts w:ascii="黑体" w:eastAsia="黑体" w:hAnsi="黑体" w:cs="Microsoft Sans Serif" w:hint="eastAsia"/>
                <w:sz w:val="20"/>
                <w:szCs w:val="20"/>
              </w:rPr>
              <w:t>字符型，</w:t>
            </w:r>
            <w:r>
              <w:rPr>
                <w:rFonts w:ascii="黑体" w:eastAsia="黑体" w:hAnsi="黑体" w:cs="Microsoft Sans Serif"/>
                <w:sz w:val="20"/>
                <w:szCs w:val="20"/>
              </w:rPr>
              <w:t>128</w:t>
            </w:r>
          </w:p>
        </w:tc>
        <w:tc>
          <w:tcPr>
            <w:tcW w:w="1578" w:type="pct"/>
          </w:tcPr>
          <w:p w14:paraId="3BC580C6" w14:textId="77777777" w:rsidR="00A052DC" w:rsidRDefault="00A052DC">
            <w:pPr>
              <w:rPr>
                <w:rFonts w:ascii="黑体" w:eastAsia="黑体" w:hAnsi="黑体" w:cs="宋体"/>
                <w:sz w:val="20"/>
                <w:szCs w:val="20"/>
              </w:rPr>
            </w:pPr>
          </w:p>
        </w:tc>
      </w:tr>
      <w:tr w:rsidR="00A052DC" w14:paraId="445C3871" w14:textId="77777777">
        <w:trPr>
          <w:trHeight w:val="280"/>
        </w:trPr>
        <w:tc>
          <w:tcPr>
            <w:tcW w:w="1395" w:type="pct"/>
          </w:tcPr>
          <w:p w14:paraId="06ACEB16"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收入款币种</w:t>
            </w:r>
          </w:p>
        </w:tc>
        <w:tc>
          <w:tcPr>
            <w:tcW w:w="996" w:type="pct"/>
          </w:tcPr>
          <w:p w14:paraId="32C36BF5"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TXCCY</w:t>
            </w:r>
          </w:p>
        </w:tc>
        <w:tc>
          <w:tcPr>
            <w:tcW w:w="1030" w:type="pct"/>
          </w:tcPr>
          <w:p w14:paraId="0E115BFE" w14:textId="77777777" w:rsidR="00A052DC" w:rsidRDefault="009F0A60">
            <w:pPr>
              <w:adjustRightInd w:val="0"/>
              <w:spacing w:before="20" w:after="20"/>
              <w:ind w:left="80" w:right="80"/>
              <w:rPr>
                <w:rFonts w:ascii="黑体" w:eastAsia="黑体" w:hAnsi="黑体" w:cs="Microsoft Sans Serif"/>
                <w:sz w:val="20"/>
                <w:szCs w:val="20"/>
              </w:rPr>
            </w:pPr>
            <w:r>
              <w:rPr>
                <w:rFonts w:ascii="黑体" w:eastAsia="黑体" w:hAnsi="黑体" w:cs="Microsoft Sans Serif" w:hint="eastAsia"/>
                <w:sz w:val="20"/>
                <w:szCs w:val="20"/>
              </w:rPr>
              <w:t>字符型，</w:t>
            </w:r>
            <w:r>
              <w:rPr>
                <w:rFonts w:ascii="黑体" w:eastAsia="黑体" w:hAnsi="黑体" w:cs="Microsoft Sans Serif"/>
                <w:sz w:val="20"/>
                <w:szCs w:val="20"/>
              </w:rPr>
              <w:t>3</w:t>
            </w:r>
          </w:p>
        </w:tc>
        <w:tc>
          <w:tcPr>
            <w:tcW w:w="1578" w:type="pct"/>
          </w:tcPr>
          <w:p w14:paraId="4B02C569" w14:textId="77777777" w:rsidR="00A052DC" w:rsidRDefault="00A052DC">
            <w:pPr>
              <w:rPr>
                <w:rFonts w:ascii="黑体" w:eastAsia="黑体" w:hAnsi="黑体" w:cs="宋体"/>
                <w:sz w:val="20"/>
                <w:szCs w:val="20"/>
              </w:rPr>
            </w:pPr>
          </w:p>
        </w:tc>
      </w:tr>
      <w:tr w:rsidR="00A052DC" w14:paraId="33AAE160" w14:textId="77777777">
        <w:tc>
          <w:tcPr>
            <w:tcW w:w="1395" w:type="pct"/>
          </w:tcPr>
          <w:p w14:paraId="20EE2517"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收入款金额</w:t>
            </w:r>
          </w:p>
        </w:tc>
        <w:tc>
          <w:tcPr>
            <w:tcW w:w="996" w:type="pct"/>
          </w:tcPr>
          <w:p w14:paraId="6B119541"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TXAMT</w:t>
            </w:r>
          </w:p>
        </w:tc>
        <w:tc>
          <w:tcPr>
            <w:tcW w:w="1030" w:type="pct"/>
          </w:tcPr>
          <w:p w14:paraId="1C97DDC5" w14:textId="77777777" w:rsidR="00A052DC" w:rsidRDefault="009F0A60">
            <w:pPr>
              <w:adjustRightInd w:val="0"/>
              <w:spacing w:before="20" w:after="20"/>
              <w:ind w:left="80" w:right="80"/>
              <w:rPr>
                <w:rFonts w:ascii="黑体" w:eastAsia="黑体" w:hAnsi="黑体" w:cs="Microsoft Sans Serif"/>
                <w:sz w:val="20"/>
                <w:szCs w:val="20"/>
              </w:rPr>
            </w:pPr>
            <w:r>
              <w:rPr>
                <w:rFonts w:ascii="黑体" w:eastAsia="黑体" w:hAnsi="黑体" w:cs="Microsoft Sans Serif" w:hint="eastAsia"/>
                <w:sz w:val="20"/>
                <w:szCs w:val="20"/>
              </w:rPr>
              <w:t>数值型，</w:t>
            </w:r>
            <w:r>
              <w:rPr>
                <w:rFonts w:ascii="黑体" w:eastAsia="黑体" w:hAnsi="黑体" w:cs="Microsoft Sans Serif"/>
                <w:sz w:val="20"/>
                <w:szCs w:val="20"/>
              </w:rPr>
              <w:t>22.0</w:t>
            </w:r>
          </w:p>
        </w:tc>
        <w:tc>
          <w:tcPr>
            <w:tcW w:w="1578" w:type="pct"/>
          </w:tcPr>
          <w:p w14:paraId="09238B7D" w14:textId="77777777" w:rsidR="00A052DC" w:rsidRDefault="00A052DC">
            <w:pPr>
              <w:rPr>
                <w:rFonts w:ascii="黑体" w:eastAsia="黑体" w:hAnsi="黑体" w:cs="宋体"/>
                <w:sz w:val="20"/>
                <w:szCs w:val="20"/>
              </w:rPr>
            </w:pPr>
          </w:p>
        </w:tc>
      </w:tr>
      <w:tr w:rsidR="00A052DC" w14:paraId="51E13EC8" w14:textId="77777777">
        <w:tc>
          <w:tcPr>
            <w:tcW w:w="1395" w:type="pct"/>
          </w:tcPr>
          <w:p w14:paraId="3D94E4BC"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结汇汇率</w:t>
            </w:r>
          </w:p>
        </w:tc>
        <w:tc>
          <w:tcPr>
            <w:tcW w:w="996" w:type="pct"/>
          </w:tcPr>
          <w:p w14:paraId="1417D75E"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EXRATE</w:t>
            </w:r>
          </w:p>
        </w:tc>
        <w:tc>
          <w:tcPr>
            <w:tcW w:w="1030" w:type="pct"/>
          </w:tcPr>
          <w:p w14:paraId="71ADE72B" w14:textId="77777777" w:rsidR="00A052DC" w:rsidRDefault="009F0A60">
            <w:pPr>
              <w:adjustRightInd w:val="0"/>
              <w:spacing w:before="20" w:after="20"/>
              <w:ind w:left="80" w:right="80"/>
              <w:rPr>
                <w:rFonts w:ascii="黑体" w:eastAsia="黑体" w:hAnsi="黑体" w:cs="Microsoft Sans Serif"/>
                <w:sz w:val="20"/>
                <w:szCs w:val="20"/>
              </w:rPr>
            </w:pPr>
            <w:r>
              <w:rPr>
                <w:rFonts w:ascii="黑体" w:eastAsia="黑体" w:hAnsi="黑体" w:cs="Microsoft Sans Serif" w:hint="eastAsia"/>
                <w:sz w:val="20"/>
                <w:szCs w:val="20"/>
              </w:rPr>
              <w:t>数值型，</w:t>
            </w:r>
            <w:r>
              <w:rPr>
                <w:rFonts w:ascii="黑体" w:eastAsia="黑体" w:hAnsi="黑体" w:cs="Microsoft Sans Serif"/>
                <w:sz w:val="20"/>
                <w:szCs w:val="20"/>
              </w:rPr>
              <w:t>13.8</w:t>
            </w:r>
          </w:p>
        </w:tc>
        <w:tc>
          <w:tcPr>
            <w:tcW w:w="1578" w:type="pct"/>
          </w:tcPr>
          <w:p w14:paraId="378A5B67" w14:textId="77777777" w:rsidR="00A052DC" w:rsidRDefault="00A052DC">
            <w:pPr>
              <w:rPr>
                <w:rFonts w:ascii="黑体" w:eastAsia="黑体" w:hAnsi="黑体" w:cs="宋体"/>
                <w:sz w:val="20"/>
                <w:szCs w:val="20"/>
              </w:rPr>
            </w:pPr>
          </w:p>
        </w:tc>
      </w:tr>
      <w:tr w:rsidR="00A052DC" w14:paraId="3ED645FE" w14:textId="77777777">
        <w:tc>
          <w:tcPr>
            <w:tcW w:w="1395" w:type="pct"/>
          </w:tcPr>
          <w:p w14:paraId="4932599E"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结汇金额</w:t>
            </w:r>
          </w:p>
        </w:tc>
        <w:tc>
          <w:tcPr>
            <w:tcW w:w="996" w:type="pct"/>
          </w:tcPr>
          <w:p w14:paraId="2BA4EFDF"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LCYAMT</w:t>
            </w:r>
          </w:p>
        </w:tc>
        <w:tc>
          <w:tcPr>
            <w:tcW w:w="1030" w:type="pct"/>
          </w:tcPr>
          <w:p w14:paraId="7192FFF2" w14:textId="77777777" w:rsidR="00A052DC" w:rsidRDefault="009F0A60">
            <w:pPr>
              <w:adjustRightInd w:val="0"/>
              <w:spacing w:before="20" w:after="20"/>
              <w:ind w:left="80" w:right="80"/>
              <w:rPr>
                <w:rFonts w:ascii="黑体" w:eastAsia="黑体" w:hAnsi="黑体" w:cs="Microsoft Sans Serif"/>
                <w:sz w:val="20"/>
                <w:szCs w:val="20"/>
              </w:rPr>
            </w:pPr>
            <w:r>
              <w:rPr>
                <w:rFonts w:ascii="黑体" w:eastAsia="黑体" w:hAnsi="黑体" w:cs="Microsoft Sans Serif" w:hint="eastAsia"/>
                <w:sz w:val="20"/>
                <w:szCs w:val="20"/>
              </w:rPr>
              <w:t>数值型，</w:t>
            </w:r>
            <w:r>
              <w:rPr>
                <w:rFonts w:ascii="黑体" w:eastAsia="黑体" w:hAnsi="黑体" w:cs="Microsoft Sans Serif"/>
                <w:sz w:val="20"/>
                <w:szCs w:val="20"/>
              </w:rPr>
              <w:t>22.0</w:t>
            </w:r>
          </w:p>
        </w:tc>
        <w:tc>
          <w:tcPr>
            <w:tcW w:w="1578" w:type="pct"/>
          </w:tcPr>
          <w:p w14:paraId="2F71E120" w14:textId="77777777" w:rsidR="00A052DC" w:rsidRDefault="00A052DC">
            <w:pPr>
              <w:rPr>
                <w:rFonts w:ascii="黑体" w:eastAsia="黑体" w:hAnsi="黑体" w:cs="宋体"/>
                <w:sz w:val="20"/>
                <w:szCs w:val="20"/>
              </w:rPr>
            </w:pPr>
          </w:p>
        </w:tc>
      </w:tr>
      <w:tr w:rsidR="00A052DC" w14:paraId="263B30BA" w14:textId="77777777">
        <w:tc>
          <w:tcPr>
            <w:tcW w:w="1395" w:type="pct"/>
          </w:tcPr>
          <w:p w14:paraId="3D47F20C"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人民币账号</w:t>
            </w:r>
            <w:r>
              <w:rPr>
                <w:rFonts w:ascii="黑体" w:eastAsia="黑体" w:hAnsi="黑体" w:cs="Microsoft Sans Serif"/>
                <w:sz w:val="20"/>
                <w:szCs w:val="20"/>
              </w:rPr>
              <w:t>/银行卡号</w:t>
            </w:r>
          </w:p>
        </w:tc>
        <w:tc>
          <w:tcPr>
            <w:tcW w:w="996" w:type="pct"/>
          </w:tcPr>
          <w:p w14:paraId="0C1D88DC"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LCYACC</w:t>
            </w:r>
          </w:p>
        </w:tc>
        <w:tc>
          <w:tcPr>
            <w:tcW w:w="1030" w:type="pct"/>
          </w:tcPr>
          <w:p w14:paraId="641812DF" w14:textId="77777777" w:rsidR="00A052DC" w:rsidRDefault="009F0A60">
            <w:pPr>
              <w:adjustRightInd w:val="0"/>
              <w:spacing w:before="20" w:after="20"/>
              <w:ind w:left="80" w:right="80"/>
              <w:rPr>
                <w:rFonts w:ascii="黑体" w:eastAsia="黑体" w:hAnsi="黑体" w:cs="Microsoft Sans Serif"/>
                <w:sz w:val="20"/>
                <w:szCs w:val="20"/>
              </w:rPr>
            </w:pPr>
            <w:r>
              <w:rPr>
                <w:rFonts w:ascii="黑体" w:eastAsia="黑体" w:hAnsi="黑体" w:cs="Microsoft Sans Serif" w:hint="eastAsia"/>
                <w:sz w:val="20"/>
                <w:szCs w:val="20"/>
              </w:rPr>
              <w:t>字符型，</w:t>
            </w:r>
            <w:r>
              <w:rPr>
                <w:rFonts w:ascii="黑体" w:eastAsia="黑体" w:hAnsi="黑体" w:cs="Microsoft Sans Serif"/>
                <w:sz w:val="20"/>
                <w:szCs w:val="20"/>
              </w:rPr>
              <w:t>32</w:t>
            </w:r>
          </w:p>
        </w:tc>
        <w:tc>
          <w:tcPr>
            <w:tcW w:w="1578" w:type="pct"/>
          </w:tcPr>
          <w:p w14:paraId="0A98E2A3" w14:textId="77777777" w:rsidR="00A052DC" w:rsidRDefault="00A052DC">
            <w:pPr>
              <w:rPr>
                <w:rFonts w:ascii="黑体" w:eastAsia="黑体" w:hAnsi="黑体" w:cs="宋体"/>
                <w:sz w:val="20"/>
                <w:szCs w:val="20"/>
              </w:rPr>
            </w:pPr>
          </w:p>
        </w:tc>
      </w:tr>
      <w:tr w:rsidR="00A052DC" w14:paraId="7978844F" w14:textId="77777777">
        <w:tc>
          <w:tcPr>
            <w:tcW w:w="1395" w:type="pct"/>
          </w:tcPr>
          <w:p w14:paraId="47C91B2C"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现汇金额</w:t>
            </w:r>
          </w:p>
        </w:tc>
        <w:tc>
          <w:tcPr>
            <w:tcW w:w="996" w:type="pct"/>
          </w:tcPr>
          <w:p w14:paraId="09244B64"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FCYAMT</w:t>
            </w:r>
          </w:p>
        </w:tc>
        <w:tc>
          <w:tcPr>
            <w:tcW w:w="1030" w:type="pct"/>
          </w:tcPr>
          <w:p w14:paraId="506CFE17" w14:textId="77777777" w:rsidR="00A052DC" w:rsidRDefault="009F0A60">
            <w:pPr>
              <w:adjustRightInd w:val="0"/>
              <w:spacing w:before="20" w:after="20"/>
              <w:ind w:left="80" w:right="80"/>
              <w:rPr>
                <w:rFonts w:ascii="黑体" w:eastAsia="黑体" w:hAnsi="黑体" w:cs="Microsoft Sans Serif"/>
                <w:sz w:val="20"/>
                <w:szCs w:val="20"/>
              </w:rPr>
            </w:pPr>
            <w:r>
              <w:rPr>
                <w:rFonts w:ascii="黑体" w:eastAsia="黑体" w:hAnsi="黑体" w:cs="Microsoft Sans Serif" w:hint="eastAsia"/>
                <w:sz w:val="20"/>
                <w:szCs w:val="20"/>
              </w:rPr>
              <w:t>数值型，</w:t>
            </w:r>
            <w:r>
              <w:rPr>
                <w:rFonts w:ascii="黑体" w:eastAsia="黑体" w:hAnsi="黑体" w:cs="Microsoft Sans Serif"/>
                <w:sz w:val="20"/>
                <w:szCs w:val="20"/>
              </w:rPr>
              <w:t>22.0</w:t>
            </w:r>
          </w:p>
        </w:tc>
        <w:tc>
          <w:tcPr>
            <w:tcW w:w="1578" w:type="pct"/>
          </w:tcPr>
          <w:p w14:paraId="005C8C21" w14:textId="77777777" w:rsidR="00A052DC" w:rsidRDefault="00A052DC">
            <w:pPr>
              <w:rPr>
                <w:rFonts w:ascii="黑体" w:eastAsia="黑体" w:hAnsi="黑体" w:cs="宋体"/>
                <w:sz w:val="20"/>
                <w:szCs w:val="20"/>
              </w:rPr>
            </w:pPr>
          </w:p>
        </w:tc>
      </w:tr>
      <w:tr w:rsidR="00A052DC" w14:paraId="3F51094A" w14:textId="77777777">
        <w:tc>
          <w:tcPr>
            <w:tcW w:w="1395" w:type="pct"/>
          </w:tcPr>
          <w:p w14:paraId="1F78BEFE"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外汇账号</w:t>
            </w:r>
            <w:r>
              <w:rPr>
                <w:rFonts w:ascii="黑体" w:eastAsia="黑体" w:hAnsi="黑体" w:cs="Microsoft Sans Serif"/>
                <w:sz w:val="20"/>
                <w:szCs w:val="20"/>
              </w:rPr>
              <w:t>/银行卡号</w:t>
            </w:r>
          </w:p>
        </w:tc>
        <w:tc>
          <w:tcPr>
            <w:tcW w:w="996" w:type="pct"/>
          </w:tcPr>
          <w:p w14:paraId="7643D489"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FCYACC</w:t>
            </w:r>
          </w:p>
        </w:tc>
        <w:tc>
          <w:tcPr>
            <w:tcW w:w="1030" w:type="pct"/>
          </w:tcPr>
          <w:p w14:paraId="233D89CD" w14:textId="77777777" w:rsidR="00A052DC" w:rsidRDefault="009F0A60">
            <w:pPr>
              <w:adjustRightInd w:val="0"/>
              <w:spacing w:before="20" w:after="20"/>
              <w:ind w:left="80" w:right="80"/>
              <w:rPr>
                <w:rFonts w:ascii="黑体" w:eastAsia="黑体" w:hAnsi="黑体" w:cs="Microsoft Sans Serif"/>
                <w:sz w:val="20"/>
                <w:szCs w:val="20"/>
              </w:rPr>
            </w:pPr>
            <w:r>
              <w:rPr>
                <w:rFonts w:ascii="黑体" w:eastAsia="黑体" w:hAnsi="黑体" w:cs="Microsoft Sans Serif" w:hint="eastAsia"/>
                <w:sz w:val="20"/>
                <w:szCs w:val="20"/>
              </w:rPr>
              <w:t>字符型，</w:t>
            </w:r>
            <w:r>
              <w:rPr>
                <w:rFonts w:ascii="黑体" w:eastAsia="黑体" w:hAnsi="黑体" w:cs="Microsoft Sans Serif"/>
                <w:sz w:val="20"/>
                <w:szCs w:val="20"/>
              </w:rPr>
              <w:t>32</w:t>
            </w:r>
          </w:p>
        </w:tc>
        <w:tc>
          <w:tcPr>
            <w:tcW w:w="1578" w:type="pct"/>
          </w:tcPr>
          <w:p w14:paraId="0ADC4508" w14:textId="77777777" w:rsidR="00A052DC" w:rsidRDefault="00A052DC">
            <w:pPr>
              <w:rPr>
                <w:rFonts w:ascii="黑体" w:eastAsia="黑体" w:hAnsi="黑体" w:cs="宋体"/>
                <w:sz w:val="20"/>
                <w:szCs w:val="20"/>
              </w:rPr>
            </w:pPr>
          </w:p>
        </w:tc>
      </w:tr>
      <w:tr w:rsidR="00A052DC" w14:paraId="0F116960" w14:textId="77777777">
        <w:tc>
          <w:tcPr>
            <w:tcW w:w="1395" w:type="pct"/>
          </w:tcPr>
          <w:p w14:paraId="22DE3D5E"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其他金额</w:t>
            </w:r>
          </w:p>
        </w:tc>
        <w:tc>
          <w:tcPr>
            <w:tcW w:w="996" w:type="pct"/>
          </w:tcPr>
          <w:p w14:paraId="42E4FEB0"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OTHAMT</w:t>
            </w:r>
          </w:p>
        </w:tc>
        <w:tc>
          <w:tcPr>
            <w:tcW w:w="1030" w:type="pct"/>
          </w:tcPr>
          <w:p w14:paraId="660B80F9" w14:textId="77777777" w:rsidR="00A052DC" w:rsidRDefault="009F0A60">
            <w:pPr>
              <w:adjustRightInd w:val="0"/>
              <w:spacing w:before="20" w:after="20"/>
              <w:ind w:left="80" w:right="80"/>
              <w:rPr>
                <w:rFonts w:ascii="黑体" w:eastAsia="黑体" w:hAnsi="黑体" w:cs="Microsoft Sans Serif"/>
                <w:sz w:val="20"/>
                <w:szCs w:val="20"/>
              </w:rPr>
            </w:pPr>
            <w:r>
              <w:rPr>
                <w:rFonts w:ascii="黑体" w:eastAsia="黑体" w:hAnsi="黑体" w:cs="Microsoft Sans Serif" w:hint="eastAsia"/>
                <w:sz w:val="20"/>
                <w:szCs w:val="20"/>
              </w:rPr>
              <w:t>数值型，</w:t>
            </w:r>
            <w:r>
              <w:rPr>
                <w:rFonts w:ascii="黑体" w:eastAsia="黑体" w:hAnsi="黑体" w:cs="Microsoft Sans Serif"/>
                <w:sz w:val="20"/>
                <w:szCs w:val="20"/>
              </w:rPr>
              <w:t>22.0</w:t>
            </w:r>
          </w:p>
        </w:tc>
        <w:tc>
          <w:tcPr>
            <w:tcW w:w="1578" w:type="pct"/>
          </w:tcPr>
          <w:p w14:paraId="625FC4E5" w14:textId="77777777" w:rsidR="00A052DC" w:rsidRDefault="00A052DC">
            <w:pPr>
              <w:rPr>
                <w:rFonts w:ascii="黑体" w:eastAsia="黑体" w:hAnsi="黑体" w:cs="宋体"/>
                <w:sz w:val="20"/>
                <w:szCs w:val="20"/>
              </w:rPr>
            </w:pPr>
          </w:p>
        </w:tc>
      </w:tr>
      <w:tr w:rsidR="00A052DC" w14:paraId="38D0A03E" w14:textId="77777777">
        <w:tc>
          <w:tcPr>
            <w:tcW w:w="1395" w:type="pct"/>
          </w:tcPr>
          <w:p w14:paraId="2A0435BC" w14:textId="77777777" w:rsidR="00A052DC" w:rsidRDefault="0021563C">
            <w:pPr>
              <w:rPr>
                <w:rFonts w:ascii="黑体" w:eastAsia="黑体" w:hAnsi="黑体" w:cs="Microsoft Sans Serif"/>
                <w:sz w:val="20"/>
                <w:szCs w:val="20"/>
              </w:rPr>
            </w:pPr>
            <w:r>
              <w:rPr>
                <w:rFonts w:ascii="黑体" w:eastAsia="黑体" w:hAnsi="黑体" w:cs="Microsoft Sans Serif" w:hint="eastAsia"/>
                <w:sz w:val="20"/>
                <w:szCs w:val="20"/>
              </w:rPr>
              <w:t>其他</w:t>
            </w:r>
            <w:r w:rsidR="009F0A60">
              <w:rPr>
                <w:rFonts w:ascii="黑体" w:eastAsia="黑体" w:hAnsi="黑体" w:cs="Microsoft Sans Serif" w:hint="eastAsia"/>
                <w:sz w:val="20"/>
                <w:szCs w:val="20"/>
              </w:rPr>
              <w:t>账号</w:t>
            </w:r>
            <w:r w:rsidR="009F0A60">
              <w:rPr>
                <w:rFonts w:ascii="黑体" w:eastAsia="黑体" w:hAnsi="黑体" w:cs="Microsoft Sans Serif"/>
                <w:sz w:val="20"/>
                <w:szCs w:val="20"/>
              </w:rPr>
              <w:t>/银行卡号</w:t>
            </w:r>
          </w:p>
        </w:tc>
        <w:tc>
          <w:tcPr>
            <w:tcW w:w="996" w:type="pct"/>
          </w:tcPr>
          <w:p w14:paraId="7E8E2710"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OTHACC</w:t>
            </w:r>
          </w:p>
        </w:tc>
        <w:tc>
          <w:tcPr>
            <w:tcW w:w="1030" w:type="pct"/>
          </w:tcPr>
          <w:p w14:paraId="2E7D92BD" w14:textId="77777777" w:rsidR="00A052DC" w:rsidRDefault="009F0A60">
            <w:pPr>
              <w:adjustRightInd w:val="0"/>
              <w:spacing w:before="20" w:after="20"/>
              <w:ind w:left="80" w:right="80"/>
              <w:rPr>
                <w:rFonts w:ascii="黑体" w:eastAsia="黑体" w:hAnsi="黑体" w:cs="Microsoft Sans Serif"/>
                <w:sz w:val="20"/>
                <w:szCs w:val="20"/>
              </w:rPr>
            </w:pPr>
            <w:r>
              <w:rPr>
                <w:rFonts w:ascii="黑体" w:eastAsia="黑体" w:hAnsi="黑体" w:cs="Microsoft Sans Serif" w:hint="eastAsia"/>
                <w:sz w:val="20"/>
                <w:szCs w:val="20"/>
              </w:rPr>
              <w:t>字符型，</w:t>
            </w:r>
            <w:r>
              <w:rPr>
                <w:rFonts w:ascii="黑体" w:eastAsia="黑体" w:hAnsi="黑体" w:cs="Microsoft Sans Serif"/>
                <w:sz w:val="20"/>
                <w:szCs w:val="20"/>
              </w:rPr>
              <w:t>32</w:t>
            </w:r>
          </w:p>
        </w:tc>
        <w:tc>
          <w:tcPr>
            <w:tcW w:w="1578" w:type="pct"/>
          </w:tcPr>
          <w:p w14:paraId="2273354D" w14:textId="77777777" w:rsidR="00A052DC" w:rsidRDefault="00A052DC">
            <w:pPr>
              <w:rPr>
                <w:rFonts w:ascii="黑体" w:eastAsia="黑体" w:hAnsi="黑体" w:cs="宋体"/>
                <w:sz w:val="20"/>
                <w:szCs w:val="20"/>
              </w:rPr>
            </w:pPr>
          </w:p>
        </w:tc>
      </w:tr>
      <w:tr w:rsidR="00A052DC" w14:paraId="7F65750E" w14:textId="77777777">
        <w:tc>
          <w:tcPr>
            <w:tcW w:w="1395" w:type="pct"/>
          </w:tcPr>
          <w:p w14:paraId="36A03920"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结算方式</w:t>
            </w:r>
          </w:p>
        </w:tc>
        <w:tc>
          <w:tcPr>
            <w:tcW w:w="996" w:type="pct"/>
          </w:tcPr>
          <w:p w14:paraId="3BBC48DB"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PAYMETHOD</w:t>
            </w:r>
          </w:p>
        </w:tc>
        <w:tc>
          <w:tcPr>
            <w:tcW w:w="1030" w:type="pct"/>
          </w:tcPr>
          <w:p w14:paraId="4143D74B" w14:textId="77777777" w:rsidR="00A052DC" w:rsidRDefault="009F0A60">
            <w:pPr>
              <w:adjustRightInd w:val="0"/>
              <w:spacing w:before="20" w:after="20"/>
              <w:ind w:left="80" w:right="80"/>
              <w:rPr>
                <w:rFonts w:ascii="黑体" w:eastAsia="黑体" w:hAnsi="黑体" w:cs="Microsoft Sans Serif"/>
                <w:sz w:val="20"/>
                <w:szCs w:val="20"/>
              </w:rPr>
            </w:pPr>
            <w:r>
              <w:rPr>
                <w:rFonts w:ascii="黑体" w:eastAsia="黑体" w:hAnsi="黑体" w:cs="Microsoft Sans Serif" w:hint="eastAsia"/>
                <w:sz w:val="20"/>
                <w:szCs w:val="20"/>
              </w:rPr>
              <w:t>字符型，</w:t>
            </w:r>
            <w:r>
              <w:rPr>
                <w:rFonts w:ascii="黑体" w:eastAsia="黑体" w:hAnsi="黑体" w:cs="Microsoft Sans Serif"/>
                <w:sz w:val="20"/>
                <w:szCs w:val="20"/>
              </w:rPr>
              <w:t>6</w:t>
            </w:r>
          </w:p>
        </w:tc>
        <w:tc>
          <w:tcPr>
            <w:tcW w:w="1578" w:type="pct"/>
          </w:tcPr>
          <w:p w14:paraId="62A73B00" w14:textId="77777777" w:rsidR="00A052DC" w:rsidRDefault="009F0A60">
            <w:pPr>
              <w:rPr>
                <w:rFonts w:ascii="黑体" w:eastAsia="黑体" w:hAnsi="黑体" w:cs="宋体"/>
                <w:sz w:val="20"/>
                <w:szCs w:val="20"/>
              </w:rPr>
            </w:pPr>
            <w:r>
              <w:rPr>
                <w:rFonts w:ascii="黑体" w:eastAsia="黑体" w:hAnsi="黑体" w:cs="宋体"/>
                <w:sz w:val="20"/>
                <w:szCs w:val="20"/>
              </w:rPr>
              <w:t>L</w:t>
            </w:r>
            <w:r w:rsidR="00AE4602">
              <w:rPr>
                <w:rFonts w:ascii="黑体" w:eastAsia="黑体" w:hAnsi="黑体" w:cs="宋体"/>
                <w:sz w:val="20"/>
                <w:szCs w:val="20"/>
              </w:rPr>
              <w:t>-</w:t>
            </w:r>
            <w:r>
              <w:rPr>
                <w:rFonts w:ascii="黑体" w:eastAsia="黑体" w:hAnsi="黑体" w:cs="宋体"/>
                <w:sz w:val="20"/>
                <w:szCs w:val="20"/>
              </w:rPr>
              <w:t>信用证</w:t>
            </w:r>
          </w:p>
          <w:p w14:paraId="448F5846" w14:textId="77777777" w:rsidR="00A052DC" w:rsidRDefault="009F0A60">
            <w:pPr>
              <w:rPr>
                <w:rFonts w:ascii="黑体" w:eastAsia="黑体" w:hAnsi="黑体" w:cs="宋体"/>
                <w:sz w:val="20"/>
                <w:szCs w:val="20"/>
              </w:rPr>
            </w:pPr>
            <w:r>
              <w:rPr>
                <w:rFonts w:ascii="黑体" w:eastAsia="黑体" w:hAnsi="黑体" w:cs="宋体"/>
                <w:sz w:val="20"/>
                <w:szCs w:val="20"/>
              </w:rPr>
              <w:t>G</w:t>
            </w:r>
            <w:r w:rsidR="00AE4602">
              <w:rPr>
                <w:rFonts w:ascii="黑体" w:eastAsia="黑体" w:hAnsi="黑体" w:cs="宋体"/>
                <w:sz w:val="20"/>
                <w:szCs w:val="20"/>
              </w:rPr>
              <w:t>-</w:t>
            </w:r>
            <w:r>
              <w:rPr>
                <w:rFonts w:ascii="黑体" w:eastAsia="黑体" w:hAnsi="黑体" w:cs="宋体"/>
                <w:sz w:val="20"/>
                <w:szCs w:val="20"/>
              </w:rPr>
              <w:t>保函</w:t>
            </w:r>
          </w:p>
          <w:p w14:paraId="4A3A5723" w14:textId="77777777" w:rsidR="00A052DC" w:rsidRDefault="009F0A60">
            <w:pPr>
              <w:rPr>
                <w:rFonts w:ascii="黑体" w:eastAsia="黑体" w:hAnsi="黑体" w:cs="宋体"/>
                <w:sz w:val="20"/>
                <w:szCs w:val="20"/>
              </w:rPr>
            </w:pPr>
            <w:r>
              <w:rPr>
                <w:rFonts w:ascii="黑体" w:eastAsia="黑体" w:hAnsi="黑体" w:cs="宋体"/>
                <w:sz w:val="20"/>
                <w:szCs w:val="20"/>
              </w:rPr>
              <w:t>C</w:t>
            </w:r>
            <w:r w:rsidR="00AE4602">
              <w:rPr>
                <w:rFonts w:ascii="黑体" w:eastAsia="黑体" w:hAnsi="黑体" w:cs="宋体"/>
                <w:sz w:val="20"/>
                <w:szCs w:val="20"/>
              </w:rPr>
              <w:t>-</w:t>
            </w:r>
            <w:r>
              <w:rPr>
                <w:rFonts w:ascii="黑体" w:eastAsia="黑体" w:hAnsi="黑体" w:cs="宋体"/>
                <w:sz w:val="20"/>
                <w:szCs w:val="20"/>
              </w:rPr>
              <w:t>托收</w:t>
            </w:r>
          </w:p>
          <w:p w14:paraId="3B2DAE29" w14:textId="77777777" w:rsidR="00A052DC" w:rsidRDefault="009F0A60">
            <w:pPr>
              <w:rPr>
                <w:rFonts w:ascii="黑体" w:eastAsia="黑体" w:hAnsi="黑体" w:cs="宋体"/>
                <w:sz w:val="20"/>
                <w:szCs w:val="20"/>
              </w:rPr>
            </w:pPr>
            <w:r>
              <w:rPr>
                <w:rFonts w:ascii="黑体" w:eastAsia="黑体" w:hAnsi="黑体" w:cs="宋体"/>
                <w:sz w:val="20"/>
                <w:szCs w:val="20"/>
              </w:rPr>
              <w:t>T</w:t>
            </w:r>
            <w:r w:rsidR="00AE4602">
              <w:rPr>
                <w:rFonts w:ascii="黑体" w:eastAsia="黑体" w:hAnsi="黑体" w:cs="宋体"/>
                <w:sz w:val="20"/>
                <w:szCs w:val="20"/>
              </w:rPr>
              <w:t>-</w:t>
            </w:r>
            <w:r>
              <w:rPr>
                <w:rFonts w:ascii="黑体" w:eastAsia="黑体" w:hAnsi="黑体" w:cs="宋体"/>
                <w:sz w:val="20"/>
                <w:szCs w:val="20"/>
              </w:rPr>
              <w:t>电汇</w:t>
            </w:r>
          </w:p>
          <w:p w14:paraId="627F2991" w14:textId="77777777" w:rsidR="00A052DC" w:rsidRDefault="009F0A60">
            <w:pPr>
              <w:rPr>
                <w:rFonts w:ascii="黑体" w:eastAsia="黑体" w:hAnsi="黑体" w:cs="宋体"/>
                <w:sz w:val="20"/>
                <w:szCs w:val="20"/>
              </w:rPr>
            </w:pPr>
            <w:r>
              <w:rPr>
                <w:rFonts w:ascii="黑体" w:eastAsia="黑体" w:hAnsi="黑体" w:cs="宋体"/>
                <w:sz w:val="20"/>
                <w:szCs w:val="20"/>
              </w:rPr>
              <w:t>D</w:t>
            </w:r>
            <w:r w:rsidR="00AE4602">
              <w:rPr>
                <w:rFonts w:ascii="黑体" w:eastAsia="黑体" w:hAnsi="黑体" w:cs="宋体"/>
                <w:sz w:val="20"/>
                <w:szCs w:val="20"/>
              </w:rPr>
              <w:t>-</w:t>
            </w:r>
            <w:r>
              <w:rPr>
                <w:rFonts w:ascii="黑体" w:eastAsia="黑体" w:hAnsi="黑体" w:cs="宋体"/>
                <w:sz w:val="20"/>
                <w:szCs w:val="20"/>
              </w:rPr>
              <w:t>票汇</w:t>
            </w:r>
          </w:p>
          <w:p w14:paraId="436A953D" w14:textId="77777777" w:rsidR="00A052DC" w:rsidRDefault="009F0A60">
            <w:pPr>
              <w:rPr>
                <w:rFonts w:ascii="黑体" w:eastAsia="黑体" w:hAnsi="黑体" w:cs="宋体"/>
                <w:sz w:val="20"/>
                <w:szCs w:val="20"/>
              </w:rPr>
            </w:pPr>
            <w:r>
              <w:rPr>
                <w:rFonts w:ascii="黑体" w:eastAsia="黑体" w:hAnsi="黑体" w:cs="宋体"/>
                <w:sz w:val="20"/>
                <w:szCs w:val="20"/>
              </w:rPr>
              <w:t>M</w:t>
            </w:r>
            <w:r w:rsidR="00AE4602">
              <w:rPr>
                <w:rFonts w:ascii="黑体" w:eastAsia="黑体" w:hAnsi="黑体" w:cs="宋体"/>
                <w:sz w:val="20"/>
                <w:szCs w:val="20"/>
              </w:rPr>
              <w:t>-</w:t>
            </w:r>
            <w:r>
              <w:rPr>
                <w:rFonts w:ascii="黑体" w:eastAsia="黑体" w:hAnsi="黑体" w:cs="宋体"/>
                <w:sz w:val="20"/>
                <w:szCs w:val="20"/>
              </w:rPr>
              <w:t>信汇</w:t>
            </w:r>
          </w:p>
          <w:p w14:paraId="6AEC1EC6" w14:textId="77777777" w:rsidR="00A052DC" w:rsidRDefault="009F0A60">
            <w:pPr>
              <w:adjustRightInd w:val="0"/>
              <w:spacing w:before="20" w:after="20"/>
              <w:ind w:right="80"/>
              <w:rPr>
                <w:rFonts w:ascii="黑体" w:eastAsia="黑体" w:hAnsi="黑体" w:cs="宋体"/>
                <w:sz w:val="20"/>
                <w:szCs w:val="20"/>
              </w:rPr>
            </w:pPr>
            <w:r>
              <w:rPr>
                <w:rFonts w:ascii="黑体" w:eastAsia="黑体" w:hAnsi="黑体" w:cs="宋体"/>
                <w:sz w:val="20"/>
                <w:szCs w:val="20"/>
              </w:rPr>
              <w:t>O</w:t>
            </w:r>
            <w:r w:rsidR="00AE4602">
              <w:rPr>
                <w:rFonts w:ascii="黑体" w:eastAsia="黑体" w:hAnsi="黑体" w:cs="宋体"/>
                <w:sz w:val="20"/>
                <w:szCs w:val="20"/>
              </w:rPr>
              <w:t>-</w:t>
            </w:r>
            <w:r>
              <w:rPr>
                <w:rFonts w:ascii="黑体" w:eastAsia="黑体" w:hAnsi="黑体" w:cs="宋体"/>
                <w:sz w:val="20"/>
                <w:szCs w:val="20"/>
              </w:rPr>
              <w:t>其他</w:t>
            </w:r>
          </w:p>
        </w:tc>
      </w:tr>
      <w:tr w:rsidR="00A052DC" w14:paraId="1807603F" w14:textId="77777777">
        <w:tc>
          <w:tcPr>
            <w:tcW w:w="1395" w:type="pct"/>
          </w:tcPr>
          <w:p w14:paraId="7248A646"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银行业务编码</w:t>
            </w:r>
          </w:p>
        </w:tc>
        <w:tc>
          <w:tcPr>
            <w:tcW w:w="996" w:type="pct"/>
          </w:tcPr>
          <w:p w14:paraId="681FC5EF"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BUSICODE</w:t>
            </w:r>
          </w:p>
        </w:tc>
        <w:tc>
          <w:tcPr>
            <w:tcW w:w="1030" w:type="pct"/>
          </w:tcPr>
          <w:p w14:paraId="25F9616E" w14:textId="77777777" w:rsidR="00A052DC" w:rsidRDefault="009F0A60">
            <w:pPr>
              <w:adjustRightInd w:val="0"/>
              <w:spacing w:before="20" w:after="20"/>
              <w:ind w:left="80" w:right="80"/>
              <w:rPr>
                <w:rFonts w:ascii="黑体" w:eastAsia="黑体" w:hAnsi="黑体" w:cs="Microsoft Sans Serif"/>
                <w:sz w:val="20"/>
                <w:szCs w:val="20"/>
              </w:rPr>
            </w:pPr>
            <w:r>
              <w:rPr>
                <w:rFonts w:ascii="黑体" w:eastAsia="黑体" w:hAnsi="黑体" w:cs="Microsoft Sans Serif" w:hint="eastAsia"/>
                <w:sz w:val="20"/>
                <w:szCs w:val="20"/>
              </w:rPr>
              <w:t>字符型，</w:t>
            </w:r>
            <w:r>
              <w:rPr>
                <w:rFonts w:ascii="黑体" w:eastAsia="黑体" w:hAnsi="黑体" w:cs="Microsoft Sans Serif"/>
                <w:sz w:val="20"/>
                <w:szCs w:val="20"/>
              </w:rPr>
              <w:t>22</w:t>
            </w:r>
          </w:p>
        </w:tc>
        <w:tc>
          <w:tcPr>
            <w:tcW w:w="1578" w:type="pct"/>
          </w:tcPr>
          <w:p w14:paraId="6B1B793F" w14:textId="77777777" w:rsidR="00A052DC" w:rsidRDefault="00A052DC">
            <w:pPr>
              <w:rPr>
                <w:rFonts w:ascii="黑体" w:eastAsia="黑体" w:hAnsi="黑体" w:cs="宋体"/>
                <w:sz w:val="20"/>
                <w:szCs w:val="20"/>
              </w:rPr>
            </w:pPr>
          </w:p>
        </w:tc>
      </w:tr>
      <w:tr w:rsidR="00A052DC" w14:paraId="3D48D0F7" w14:textId="77777777">
        <w:tc>
          <w:tcPr>
            <w:tcW w:w="1395" w:type="pct"/>
          </w:tcPr>
          <w:p w14:paraId="6E041C30"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国内扣费币种</w:t>
            </w:r>
          </w:p>
        </w:tc>
        <w:tc>
          <w:tcPr>
            <w:tcW w:w="996" w:type="pct"/>
          </w:tcPr>
          <w:p w14:paraId="2EBA4C55"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INCHARGECCY</w:t>
            </w:r>
          </w:p>
        </w:tc>
        <w:tc>
          <w:tcPr>
            <w:tcW w:w="1030" w:type="pct"/>
          </w:tcPr>
          <w:p w14:paraId="3C0F2C20" w14:textId="77777777" w:rsidR="00A052DC" w:rsidRDefault="009F0A60">
            <w:pPr>
              <w:adjustRightInd w:val="0"/>
              <w:spacing w:before="20" w:after="20"/>
              <w:ind w:left="80" w:right="80"/>
              <w:rPr>
                <w:rFonts w:ascii="黑体" w:eastAsia="黑体" w:hAnsi="黑体" w:cs="Microsoft Sans Serif"/>
                <w:sz w:val="20"/>
                <w:szCs w:val="20"/>
              </w:rPr>
            </w:pPr>
            <w:r>
              <w:rPr>
                <w:rFonts w:ascii="黑体" w:eastAsia="黑体" w:hAnsi="黑体" w:cs="Microsoft Sans Serif" w:hint="eastAsia"/>
                <w:sz w:val="20"/>
                <w:szCs w:val="20"/>
              </w:rPr>
              <w:t>字符型，</w:t>
            </w:r>
            <w:r>
              <w:rPr>
                <w:rFonts w:ascii="黑体" w:eastAsia="黑体" w:hAnsi="黑体" w:cs="Microsoft Sans Serif"/>
                <w:sz w:val="20"/>
                <w:szCs w:val="20"/>
              </w:rPr>
              <w:t>3</w:t>
            </w:r>
          </w:p>
        </w:tc>
        <w:tc>
          <w:tcPr>
            <w:tcW w:w="1578" w:type="pct"/>
          </w:tcPr>
          <w:p w14:paraId="2D1C99E6" w14:textId="77777777" w:rsidR="00A052DC" w:rsidRDefault="00A052DC">
            <w:pPr>
              <w:rPr>
                <w:rFonts w:ascii="黑体" w:eastAsia="黑体" w:hAnsi="黑体" w:cs="宋体"/>
                <w:sz w:val="20"/>
                <w:szCs w:val="20"/>
              </w:rPr>
            </w:pPr>
          </w:p>
        </w:tc>
      </w:tr>
      <w:tr w:rsidR="00A052DC" w14:paraId="7E786D14" w14:textId="77777777">
        <w:tc>
          <w:tcPr>
            <w:tcW w:w="1395" w:type="pct"/>
          </w:tcPr>
          <w:p w14:paraId="2D85675A"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国内扣费金额</w:t>
            </w:r>
          </w:p>
        </w:tc>
        <w:tc>
          <w:tcPr>
            <w:tcW w:w="996" w:type="pct"/>
          </w:tcPr>
          <w:p w14:paraId="71DAB671"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INCHARGEAMT</w:t>
            </w:r>
          </w:p>
        </w:tc>
        <w:tc>
          <w:tcPr>
            <w:tcW w:w="1030" w:type="pct"/>
          </w:tcPr>
          <w:p w14:paraId="6E960994" w14:textId="77777777" w:rsidR="00A052DC" w:rsidRDefault="009F0A60">
            <w:pPr>
              <w:adjustRightInd w:val="0"/>
              <w:spacing w:before="20" w:after="20"/>
              <w:ind w:left="80" w:right="80"/>
              <w:rPr>
                <w:rFonts w:ascii="黑体" w:eastAsia="黑体" w:hAnsi="黑体" w:cs="Microsoft Sans Serif"/>
                <w:sz w:val="20"/>
                <w:szCs w:val="20"/>
              </w:rPr>
            </w:pPr>
            <w:r>
              <w:rPr>
                <w:rFonts w:ascii="黑体" w:eastAsia="黑体" w:hAnsi="黑体" w:cs="Microsoft Sans Serif" w:hint="eastAsia"/>
                <w:sz w:val="20"/>
                <w:szCs w:val="20"/>
              </w:rPr>
              <w:t>数值型，</w:t>
            </w:r>
            <w:r>
              <w:rPr>
                <w:rFonts w:ascii="黑体" w:eastAsia="黑体" w:hAnsi="黑体" w:cs="Microsoft Sans Serif"/>
                <w:sz w:val="20"/>
                <w:szCs w:val="20"/>
              </w:rPr>
              <w:t>22.0</w:t>
            </w:r>
          </w:p>
        </w:tc>
        <w:tc>
          <w:tcPr>
            <w:tcW w:w="1578" w:type="pct"/>
          </w:tcPr>
          <w:p w14:paraId="0CFA6EC7" w14:textId="77777777" w:rsidR="00A052DC" w:rsidRDefault="00A052DC">
            <w:pPr>
              <w:rPr>
                <w:rFonts w:ascii="黑体" w:eastAsia="黑体" w:hAnsi="黑体" w:cs="宋体"/>
                <w:sz w:val="20"/>
                <w:szCs w:val="20"/>
              </w:rPr>
            </w:pPr>
          </w:p>
        </w:tc>
      </w:tr>
      <w:tr w:rsidR="00A052DC" w14:paraId="19450705" w14:textId="77777777">
        <w:tc>
          <w:tcPr>
            <w:tcW w:w="1395" w:type="pct"/>
          </w:tcPr>
          <w:p w14:paraId="6CFD9F95"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国外扣费币种</w:t>
            </w:r>
          </w:p>
        </w:tc>
        <w:tc>
          <w:tcPr>
            <w:tcW w:w="996" w:type="pct"/>
          </w:tcPr>
          <w:p w14:paraId="58E01921"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OUTCHARGECCY</w:t>
            </w:r>
          </w:p>
        </w:tc>
        <w:tc>
          <w:tcPr>
            <w:tcW w:w="1030" w:type="pct"/>
          </w:tcPr>
          <w:p w14:paraId="2830E686" w14:textId="77777777" w:rsidR="00A052DC" w:rsidRDefault="009F0A60">
            <w:pPr>
              <w:adjustRightInd w:val="0"/>
              <w:spacing w:before="20" w:after="20"/>
              <w:ind w:left="80" w:right="80"/>
              <w:rPr>
                <w:rFonts w:ascii="黑体" w:eastAsia="黑体" w:hAnsi="黑体" w:cs="Microsoft Sans Serif"/>
                <w:sz w:val="20"/>
                <w:szCs w:val="20"/>
              </w:rPr>
            </w:pPr>
            <w:r>
              <w:rPr>
                <w:rFonts w:ascii="黑体" w:eastAsia="黑体" w:hAnsi="黑体" w:cs="Microsoft Sans Serif" w:hint="eastAsia"/>
                <w:sz w:val="20"/>
                <w:szCs w:val="20"/>
              </w:rPr>
              <w:t>字符型，</w:t>
            </w:r>
            <w:r>
              <w:rPr>
                <w:rFonts w:ascii="黑体" w:eastAsia="黑体" w:hAnsi="黑体" w:cs="Microsoft Sans Serif"/>
                <w:sz w:val="20"/>
                <w:szCs w:val="20"/>
              </w:rPr>
              <w:t>3</w:t>
            </w:r>
          </w:p>
        </w:tc>
        <w:tc>
          <w:tcPr>
            <w:tcW w:w="1578" w:type="pct"/>
          </w:tcPr>
          <w:p w14:paraId="77086CDB" w14:textId="77777777" w:rsidR="00A052DC" w:rsidRDefault="00A052DC">
            <w:pPr>
              <w:rPr>
                <w:rFonts w:ascii="黑体" w:eastAsia="黑体" w:hAnsi="黑体" w:cs="宋体"/>
                <w:sz w:val="20"/>
                <w:szCs w:val="20"/>
              </w:rPr>
            </w:pPr>
          </w:p>
        </w:tc>
      </w:tr>
      <w:tr w:rsidR="00A052DC" w14:paraId="689F1831" w14:textId="77777777">
        <w:trPr>
          <w:trHeight w:val="373"/>
        </w:trPr>
        <w:tc>
          <w:tcPr>
            <w:tcW w:w="1395" w:type="pct"/>
          </w:tcPr>
          <w:p w14:paraId="082B0F3B"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国外扣费金额</w:t>
            </w:r>
          </w:p>
        </w:tc>
        <w:tc>
          <w:tcPr>
            <w:tcW w:w="996" w:type="pct"/>
          </w:tcPr>
          <w:p w14:paraId="76F3F7B0"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OUTCHARGEAMT</w:t>
            </w:r>
          </w:p>
        </w:tc>
        <w:tc>
          <w:tcPr>
            <w:tcW w:w="1030" w:type="pct"/>
          </w:tcPr>
          <w:p w14:paraId="0872100E" w14:textId="77777777" w:rsidR="00A052DC" w:rsidRDefault="009F0A60">
            <w:pPr>
              <w:adjustRightInd w:val="0"/>
              <w:spacing w:before="20" w:after="20"/>
              <w:ind w:left="80" w:right="80"/>
              <w:rPr>
                <w:rFonts w:ascii="黑体" w:eastAsia="黑体" w:hAnsi="黑体" w:cs="Microsoft Sans Serif"/>
                <w:sz w:val="20"/>
                <w:szCs w:val="20"/>
              </w:rPr>
            </w:pPr>
            <w:r>
              <w:rPr>
                <w:rFonts w:ascii="黑体" w:eastAsia="黑体" w:hAnsi="黑体" w:cs="Microsoft Sans Serif" w:hint="eastAsia"/>
                <w:sz w:val="20"/>
                <w:szCs w:val="20"/>
              </w:rPr>
              <w:t>数值型，</w:t>
            </w:r>
            <w:r>
              <w:rPr>
                <w:rFonts w:ascii="黑体" w:eastAsia="黑体" w:hAnsi="黑体" w:cs="Microsoft Sans Serif"/>
                <w:sz w:val="20"/>
                <w:szCs w:val="20"/>
              </w:rPr>
              <w:t>22.0</w:t>
            </w:r>
          </w:p>
        </w:tc>
        <w:tc>
          <w:tcPr>
            <w:tcW w:w="1578" w:type="pct"/>
          </w:tcPr>
          <w:p w14:paraId="1ADE98F8" w14:textId="77777777" w:rsidR="00A052DC" w:rsidRDefault="00A052DC">
            <w:pPr>
              <w:rPr>
                <w:rFonts w:ascii="黑体" w:eastAsia="黑体" w:hAnsi="黑体" w:cs="宋体"/>
                <w:sz w:val="20"/>
                <w:szCs w:val="20"/>
              </w:rPr>
            </w:pPr>
          </w:p>
        </w:tc>
      </w:tr>
      <w:tr w:rsidR="00A052DC" w14:paraId="2DB42AC4" w14:textId="77777777">
        <w:tc>
          <w:tcPr>
            <w:tcW w:w="1395" w:type="pct"/>
          </w:tcPr>
          <w:p w14:paraId="3A6FEF2F"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付款人常驻国家</w:t>
            </w:r>
            <w:r>
              <w:rPr>
                <w:rFonts w:ascii="黑体" w:eastAsia="黑体" w:hAnsi="黑体" w:cs="Microsoft Sans Serif"/>
                <w:sz w:val="20"/>
                <w:szCs w:val="20"/>
              </w:rPr>
              <w:t>/地区代码</w:t>
            </w:r>
          </w:p>
        </w:tc>
        <w:tc>
          <w:tcPr>
            <w:tcW w:w="996" w:type="pct"/>
          </w:tcPr>
          <w:p w14:paraId="7337C0AD"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COUNTRYCODE</w:t>
            </w:r>
          </w:p>
        </w:tc>
        <w:tc>
          <w:tcPr>
            <w:tcW w:w="1030" w:type="pct"/>
          </w:tcPr>
          <w:p w14:paraId="3CE7AE8D" w14:textId="77777777" w:rsidR="00A052DC" w:rsidRDefault="009F0A60">
            <w:pPr>
              <w:adjustRightInd w:val="0"/>
              <w:spacing w:before="20" w:after="20"/>
              <w:ind w:left="80" w:right="80"/>
              <w:rPr>
                <w:rFonts w:ascii="黑体" w:eastAsia="黑体" w:hAnsi="黑体" w:cs="Microsoft Sans Serif"/>
                <w:sz w:val="20"/>
                <w:szCs w:val="20"/>
              </w:rPr>
            </w:pPr>
            <w:r>
              <w:rPr>
                <w:rFonts w:ascii="黑体" w:eastAsia="黑体" w:hAnsi="黑体" w:cs="Microsoft Sans Serif" w:hint="eastAsia"/>
                <w:sz w:val="20"/>
                <w:szCs w:val="20"/>
              </w:rPr>
              <w:t>字符型，</w:t>
            </w:r>
            <w:r>
              <w:rPr>
                <w:rFonts w:ascii="黑体" w:eastAsia="黑体" w:hAnsi="黑体" w:cs="Microsoft Sans Serif"/>
                <w:sz w:val="20"/>
                <w:szCs w:val="20"/>
              </w:rPr>
              <w:t>3</w:t>
            </w:r>
          </w:p>
        </w:tc>
        <w:tc>
          <w:tcPr>
            <w:tcW w:w="1578" w:type="pct"/>
          </w:tcPr>
          <w:p w14:paraId="1F201AE3" w14:textId="77777777" w:rsidR="00A052DC" w:rsidRDefault="00A052DC">
            <w:pPr>
              <w:rPr>
                <w:rFonts w:ascii="黑体" w:eastAsia="黑体" w:hAnsi="黑体" w:cs="宋体"/>
                <w:sz w:val="20"/>
                <w:szCs w:val="20"/>
              </w:rPr>
            </w:pPr>
          </w:p>
        </w:tc>
      </w:tr>
      <w:tr w:rsidR="00A052DC" w14:paraId="6F68256C" w14:textId="77777777">
        <w:tc>
          <w:tcPr>
            <w:tcW w:w="1395" w:type="pct"/>
          </w:tcPr>
          <w:p w14:paraId="73D972CC"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收款性质</w:t>
            </w:r>
          </w:p>
        </w:tc>
        <w:tc>
          <w:tcPr>
            <w:tcW w:w="996" w:type="pct"/>
          </w:tcPr>
          <w:p w14:paraId="7815F4E4"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PAYTYPE</w:t>
            </w:r>
          </w:p>
        </w:tc>
        <w:tc>
          <w:tcPr>
            <w:tcW w:w="1030" w:type="pct"/>
          </w:tcPr>
          <w:p w14:paraId="7D60C789" w14:textId="77777777" w:rsidR="00A052DC" w:rsidRDefault="009F0A60">
            <w:pPr>
              <w:adjustRightInd w:val="0"/>
              <w:spacing w:before="20" w:after="20"/>
              <w:ind w:left="80" w:right="80"/>
              <w:rPr>
                <w:rFonts w:ascii="黑体" w:eastAsia="黑体" w:hAnsi="黑体" w:cs="Microsoft Sans Serif"/>
                <w:sz w:val="20"/>
                <w:szCs w:val="20"/>
              </w:rPr>
            </w:pPr>
            <w:r>
              <w:rPr>
                <w:rFonts w:ascii="黑体" w:eastAsia="黑体" w:hAnsi="黑体" w:cs="Microsoft Sans Serif" w:hint="eastAsia"/>
                <w:sz w:val="20"/>
                <w:szCs w:val="20"/>
              </w:rPr>
              <w:t>字符型，</w:t>
            </w:r>
            <w:r>
              <w:rPr>
                <w:rFonts w:ascii="黑体" w:eastAsia="黑体" w:hAnsi="黑体" w:cs="Microsoft Sans Serif"/>
                <w:sz w:val="20"/>
                <w:szCs w:val="20"/>
              </w:rPr>
              <w:t>1</w:t>
            </w:r>
          </w:p>
        </w:tc>
        <w:tc>
          <w:tcPr>
            <w:tcW w:w="1578" w:type="pct"/>
          </w:tcPr>
          <w:p w14:paraId="04D3C497" w14:textId="77777777" w:rsidR="00A052DC" w:rsidRDefault="009F0A60">
            <w:pPr>
              <w:rPr>
                <w:rFonts w:ascii="黑体" w:eastAsia="黑体" w:hAnsi="黑体" w:cs="宋体"/>
                <w:sz w:val="20"/>
                <w:szCs w:val="20"/>
              </w:rPr>
            </w:pPr>
            <w:r>
              <w:rPr>
                <w:rFonts w:ascii="黑体" w:eastAsia="黑体" w:hAnsi="黑体" w:cs="宋体"/>
                <w:sz w:val="20"/>
                <w:szCs w:val="20"/>
              </w:rPr>
              <w:t>A-</w:t>
            </w:r>
            <w:r>
              <w:rPr>
                <w:rFonts w:ascii="黑体" w:eastAsia="黑体" w:hAnsi="黑体" w:cs="宋体" w:hint="eastAsia"/>
                <w:sz w:val="20"/>
                <w:szCs w:val="20"/>
              </w:rPr>
              <w:t>预收/付款</w:t>
            </w:r>
          </w:p>
          <w:p w14:paraId="4B298509" w14:textId="77777777" w:rsidR="00A052DC" w:rsidRDefault="009F0A60">
            <w:pPr>
              <w:rPr>
                <w:rFonts w:ascii="黑体" w:eastAsia="黑体" w:hAnsi="黑体" w:cs="宋体"/>
                <w:sz w:val="20"/>
                <w:szCs w:val="20"/>
              </w:rPr>
            </w:pPr>
            <w:r>
              <w:rPr>
                <w:rFonts w:ascii="黑体" w:eastAsia="黑体" w:hAnsi="黑体" w:cs="宋体"/>
                <w:sz w:val="20"/>
                <w:szCs w:val="20"/>
              </w:rPr>
              <w:t>R-</w:t>
            </w:r>
            <w:r>
              <w:rPr>
                <w:rFonts w:ascii="黑体" w:eastAsia="黑体" w:hAnsi="黑体" w:cs="宋体" w:hint="eastAsia"/>
                <w:sz w:val="20"/>
                <w:szCs w:val="20"/>
              </w:rPr>
              <w:t>退款</w:t>
            </w:r>
          </w:p>
          <w:p w14:paraId="12E17C3F" w14:textId="77777777" w:rsidR="00A052DC" w:rsidRDefault="009F0A60">
            <w:pPr>
              <w:rPr>
                <w:rFonts w:ascii="黑体" w:eastAsia="黑体" w:hAnsi="黑体" w:cs="宋体"/>
                <w:sz w:val="20"/>
                <w:szCs w:val="20"/>
              </w:rPr>
            </w:pPr>
            <w:r>
              <w:rPr>
                <w:rFonts w:ascii="黑体" w:eastAsia="黑体" w:hAnsi="黑体" w:cs="宋体"/>
                <w:sz w:val="20"/>
                <w:szCs w:val="20"/>
              </w:rPr>
              <w:t>O-</w:t>
            </w:r>
            <w:r w:rsidR="0021563C">
              <w:rPr>
                <w:rFonts w:ascii="黑体" w:eastAsia="黑体" w:hAnsi="黑体" w:cs="宋体" w:hint="eastAsia"/>
                <w:sz w:val="20"/>
                <w:szCs w:val="20"/>
              </w:rPr>
              <w:t>其他</w:t>
            </w:r>
          </w:p>
        </w:tc>
      </w:tr>
      <w:tr w:rsidR="00A052DC" w14:paraId="3638DEC3" w14:textId="77777777">
        <w:tc>
          <w:tcPr>
            <w:tcW w:w="1395" w:type="pct"/>
          </w:tcPr>
          <w:p w14:paraId="09708458"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交易编码1</w:t>
            </w:r>
          </w:p>
        </w:tc>
        <w:tc>
          <w:tcPr>
            <w:tcW w:w="996" w:type="pct"/>
          </w:tcPr>
          <w:p w14:paraId="3C91CADB"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TXCODE1</w:t>
            </w:r>
          </w:p>
        </w:tc>
        <w:tc>
          <w:tcPr>
            <w:tcW w:w="1030" w:type="pct"/>
          </w:tcPr>
          <w:p w14:paraId="402017D0" w14:textId="77777777" w:rsidR="00A052DC" w:rsidRDefault="009F0A60">
            <w:pPr>
              <w:adjustRightInd w:val="0"/>
              <w:spacing w:before="20" w:after="20"/>
              <w:ind w:left="80" w:right="80"/>
              <w:rPr>
                <w:rFonts w:ascii="黑体" w:eastAsia="黑体" w:hAnsi="黑体" w:cs="Microsoft Sans Serif"/>
                <w:sz w:val="20"/>
                <w:szCs w:val="20"/>
              </w:rPr>
            </w:pPr>
            <w:r>
              <w:rPr>
                <w:rFonts w:ascii="黑体" w:eastAsia="黑体" w:hAnsi="黑体" w:cs="Microsoft Sans Serif" w:hint="eastAsia"/>
                <w:sz w:val="20"/>
                <w:szCs w:val="20"/>
              </w:rPr>
              <w:t>字符型，</w:t>
            </w:r>
            <w:r>
              <w:rPr>
                <w:rFonts w:ascii="黑体" w:eastAsia="黑体" w:hAnsi="黑体" w:cs="Microsoft Sans Serif"/>
                <w:sz w:val="20"/>
                <w:szCs w:val="20"/>
              </w:rPr>
              <w:t>6</w:t>
            </w:r>
          </w:p>
        </w:tc>
        <w:tc>
          <w:tcPr>
            <w:tcW w:w="1578" w:type="pct"/>
          </w:tcPr>
          <w:p w14:paraId="2A3E61C0" w14:textId="77777777" w:rsidR="00A052DC" w:rsidRDefault="00A052DC">
            <w:pPr>
              <w:rPr>
                <w:rFonts w:ascii="黑体" w:eastAsia="黑体" w:hAnsi="黑体" w:cs="宋体"/>
                <w:sz w:val="20"/>
                <w:szCs w:val="20"/>
              </w:rPr>
            </w:pPr>
          </w:p>
        </w:tc>
      </w:tr>
      <w:tr w:rsidR="00A052DC" w14:paraId="4B36A516" w14:textId="77777777">
        <w:tc>
          <w:tcPr>
            <w:tcW w:w="1395" w:type="pct"/>
          </w:tcPr>
          <w:p w14:paraId="3EC6BAC7"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相应金额1</w:t>
            </w:r>
          </w:p>
        </w:tc>
        <w:tc>
          <w:tcPr>
            <w:tcW w:w="996" w:type="pct"/>
          </w:tcPr>
          <w:p w14:paraId="68F83942"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TXAMT1</w:t>
            </w:r>
          </w:p>
        </w:tc>
        <w:tc>
          <w:tcPr>
            <w:tcW w:w="1030" w:type="pct"/>
          </w:tcPr>
          <w:p w14:paraId="15B9986F" w14:textId="77777777" w:rsidR="00A052DC" w:rsidRDefault="009F0A60">
            <w:pPr>
              <w:adjustRightInd w:val="0"/>
              <w:spacing w:before="20" w:after="20"/>
              <w:ind w:left="80" w:right="80"/>
              <w:rPr>
                <w:rFonts w:ascii="黑体" w:eastAsia="黑体" w:hAnsi="黑体" w:cs="Microsoft Sans Serif"/>
                <w:sz w:val="20"/>
                <w:szCs w:val="20"/>
              </w:rPr>
            </w:pPr>
            <w:r>
              <w:rPr>
                <w:rFonts w:ascii="黑体" w:eastAsia="黑体" w:hAnsi="黑体" w:cs="Microsoft Sans Serif" w:hint="eastAsia"/>
                <w:sz w:val="20"/>
                <w:szCs w:val="20"/>
              </w:rPr>
              <w:t>数值型，</w:t>
            </w:r>
            <w:r>
              <w:rPr>
                <w:rFonts w:ascii="黑体" w:eastAsia="黑体" w:hAnsi="黑体" w:cs="Microsoft Sans Serif"/>
                <w:sz w:val="20"/>
                <w:szCs w:val="20"/>
              </w:rPr>
              <w:t>22.0</w:t>
            </w:r>
          </w:p>
        </w:tc>
        <w:tc>
          <w:tcPr>
            <w:tcW w:w="1578" w:type="pct"/>
          </w:tcPr>
          <w:p w14:paraId="0C198CAE" w14:textId="77777777" w:rsidR="00A052DC" w:rsidRDefault="00A052DC">
            <w:pPr>
              <w:rPr>
                <w:rFonts w:ascii="黑体" w:eastAsia="黑体" w:hAnsi="黑体" w:cs="宋体"/>
                <w:sz w:val="20"/>
                <w:szCs w:val="20"/>
              </w:rPr>
            </w:pPr>
          </w:p>
        </w:tc>
      </w:tr>
      <w:tr w:rsidR="00A052DC" w14:paraId="6ED22EF2" w14:textId="77777777">
        <w:tc>
          <w:tcPr>
            <w:tcW w:w="1395" w:type="pct"/>
          </w:tcPr>
          <w:p w14:paraId="0A680779"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交易附言1</w:t>
            </w:r>
          </w:p>
        </w:tc>
        <w:tc>
          <w:tcPr>
            <w:tcW w:w="996" w:type="pct"/>
          </w:tcPr>
          <w:p w14:paraId="53F37590"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TXREM1</w:t>
            </w:r>
          </w:p>
        </w:tc>
        <w:tc>
          <w:tcPr>
            <w:tcW w:w="1030" w:type="pct"/>
          </w:tcPr>
          <w:p w14:paraId="3DF1EF87" w14:textId="77777777" w:rsidR="00A052DC" w:rsidRDefault="009F0A60">
            <w:pPr>
              <w:adjustRightInd w:val="0"/>
              <w:spacing w:before="20" w:after="20"/>
              <w:ind w:left="80" w:right="80"/>
              <w:rPr>
                <w:rFonts w:ascii="黑体" w:eastAsia="黑体" w:hAnsi="黑体" w:cs="Microsoft Sans Serif"/>
                <w:sz w:val="20"/>
                <w:szCs w:val="20"/>
              </w:rPr>
            </w:pPr>
            <w:r>
              <w:rPr>
                <w:rFonts w:ascii="黑体" w:eastAsia="黑体" w:hAnsi="黑体" w:cs="Microsoft Sans Serif" w:hint="eastAsia"/>
                <w:sz w:val="20"/>
                <w:szCs w:val="20"/>
              </w:rPr>
              <w:t>字符型，256</w:t>
            </w:r>
          </w:p>
        </w:tc>
        <w:tc>
          <w:tcPr>
            <w:tcW w:w="1578" w:type="pct"/>
          </w:tcPr>
          <w:p w14:paraId="057EDC32" w14:textId="77777777" w:rsidR="00A052DC" w:rsidRDefault="00A052DC">
            <w:pPr>
              <w:rPr>
                <w:rFonts w:ascii="黑体" w:eastAsia="黑体" w:hAnsi="黑体" w:cs="宋体"/>
                <w:sz w:val="20"/>
                <w:szCs w:val="20"/>
              </w:rPr>
            </w:pPr>
          </w:p>
        </w:tc>
      </w:tr>
      <w:tr w:rsidR="00A052DC" w14:paraId="64B0856C" w14:textId="77777777">
        <w:tc>
          <w:tcPr>
            <w:tcW w:w="1395" w:type="pct"/>
          </w:tcPr>
          <w:p w14:paraId="105FF061"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交易编码2</w:t>
            </w:r>
          </w:p>
        </w:tc>
        <w:tc>
          <w:tcPr>
            <w:tcW w:w="996" w:type="pct"/>
          </w:tcPr>
          <w:p w14:paraId="4B957375"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TXCODE2</w:t>
            </w:r>
          </w:p>
        </w:tc>
        <w:tc>
          <w:tcPr>
            <w:tcW w:w="1030" w:type="pct"/>
          </w:tcPr>
          <w:p w14:paraId="3F7B2E83" w14:textId="77777777" w:rsidR="00A052DC" w:rsidRDefault="009F0A60">
            <w:pPr>
              <w:adjustRightInd w:val="0"/>
              <w:spacing w:before="20" w:after="20"/>
              <w:ind w:left="80" w:right="80"/>
              <w:rPr>
                <w:rFonts w:ascii="黑体" w:eastAsia="黑体" w:hAnsi="黑体" w:cs="Microsoft Sans Serif"/>
                <w:sz w:val="20"/>
                <w:szCs w:val="20"/>
              </w:rPr>
            </w:pPr>
            <w:r>
              <w:rPr>
                <w:rFonts w:ascii="黑体" w:eastAsia="黑体" w:hAnsi="黑体" w:cs="Microsoft Sans Serif" w:hint="eastAsia"/>
                <w:sz w:val="20"/>
                <w:szCs w:val="20"/>
              </w:rPr>
              <w:t>字符型，</w:t>
            </w:r>
            <w:r>
              <w:rPr>
                <w:rFonts w:ascii="黑体" w:eastAsia="黑体" w:hAnsi="黑体" w:cs="Microsoft Sans Serif"/>
                <w:sz w:val="20"/>
                <w:szCs w:val="20"/>
              </w:rPr>
              <w:t>6</w:t>
            </w:r>
          </w:p>
        </w:tc>
        <w:tc>
          <w:tcPr>
            <w:tcW w:w="1578" w:type="pct"/>
          </w:tcPr>
          <w:p w14:paraId="73B43DB7" w14:textId="77777777" w:rsidR="00A052DC" w:rsidRDefault="00A052DC">
            <w:pPr>
              <w:rPr>
                <w:rFonts w:ascii="黑体" w:eastAsia="黑体" w:hAnsi="黑体" w:cs="宋体"/>
                <w:sz w:val="20"/>
                <w:szCs w:val="20"/>
              </w:rPr>
            </w:pPr>
          </w:p>
        </w:tc>
      </w:tr>
      <w:tr w:rsidR="00A052DC" w14:paraId="1D48040F" w14:textId="77777777">
        <w:tc>
          <w:tcPr>
            <w:tcW w:w="1395" w:type="pct"/>
          </w:tcPr>
          <w:p w14:paraId="62FB6875"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相应金额2</w:t>
            </w:r>
          </w:p>
        </w:tc>
        <w:tc>
          <w:tcPr>
            <w:tcW w:w="996" w:type="pct"/>
          </w:tcPr>
          <w:p w14:paraId="61E343BE"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TXAMT2</w:t>
            </w:r>
          </w:p>
        </w:tc>
        <w:tc>
          <w:tcPr>
            <w:tcW w:w="1030" w:type="pct"/>
          </w:tcPr>
          <w:p w14:paraId="66AAB7CC" w14:textId="77777777" w:rsidR="00A052DC" w:rsidRDefault="009F0A60">
            <w:pPr>
              <w:adjustRightInd w:val="0"/>
              <w:spacing w:before="20" w:after="20"/>
              <w:ind w:left="80" w:right="80"/>
              <w:rPr>
                <w:rFonts w:ascii="黑体" w:eastAsia="黑体" w:hAnsi="黑体" w:cs="Microsoft Sans Serif"/>
                <w:sz w:val="20"/>
                <w:szCs w:val="20"/>
              </w:rPr>
            </w:pPr>
            <w:r>
              <w:rPr>
                <w:rFonts w:ascii="黑体" w:eastAsia="黑体" w:hAnsi="黑体" w:cs="Microsoft Sans Serif" w:hint="eastAsia"/>
                <w:sz w:val="20"/>
                <w:szCs w:val="20"/>
              </w:rPr>
              <w:t>数值型，</w:t>
            </w:r>
            <w:r>
              <w:rPr>
                <w:rFonts w:ascii="黑体" w:eastAsia="黑体" w:hAnsi="黑体" w:cs="Microsoft Sans Serif"/>
                <w:sz w:val="20"/>
                <w:szCs w:val="20"/>
              </w:rPr>
              <w:t>22.0</w:t>
            </w:r>
          </w:p>
        </w:tc>
        <w:tc>
          <w:tcPr>
            <w:tcW w:w="1578" w:type="pct"/>
          </w:tcPr>
          <w:p w14:paraId="3E59FCE7" w14:textId="77777777" w:rsidR="00A052DC" w:rsidRDefault="00A052DC">
            <w:pPr>
              <w:rPr>
                <w:rFonts w:ascii="黑体" w:eastAsia="黑体" w:hAnsi="黑体" w:cs="宋体"/>
                <w:sz w:val="20"/>
                <w:szCs w:val="20"/>
              </w:rPr>
            </w:pPr>
          </w:p>
        </w:tc>
      </w:tr>
      <w:tr w:rsidR="00A052DC" w14:paraId="3B855D20" w14:textId="77777777">
        <w:tc>
          <w:tcPr>
            <w:tcW w:w="1395" w:type="pct"/>
          </w:tcPr>
          <w:p w14:paraId="6ED07AA1"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交易附言2</w:t>
            </w:r>
          </w:p>
        </w:tc>
        <w:tc>
          <w:tcPr>
            <w:tcW w:w="996" w:type="pct"/>
          </w:tcPr>
          <w:p w14:paraId="4EFD61C2"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TXREM2</w:t>
            </w:r>
          </w:p>
        </w:tc>
        <w:tc>
          <w:tcPr>
            <w:tcW w:w="1030" w:type="pct"/>
          </w:tcPr>
          <w:p w14:paraId="699C1F46" w14:textId="77777777" w:rsidR="00A052DC" w:rsidRDefault="009F0A60">
            <w:pPr>
              <w:adjustRightInd w:val="0"/>
              <w:spacing w:before="20" w:after="20"/>
              <w:ind w:left="80" w:right="80"/>
              <w:rPr>
                <w:rFonts w:ascii="黑体" w:eastAsia="黑体" w:hAnsi="黑体" w:cs="Microsoft Sans Serif"/>
                <w:sz w:val="20"/>
                <w:szCs w:val="20"/>
              </w:rPr>
            </w:pPr>
            <w:r>
              <w:rPr>
                <w:rFonts w:ascii="黑体" w:eastAsia="黑体" w:hAnsi="黑体" w:cs="Microsoft Sans Serif" w:hint="eastAsia"/>
                <w:sz w:val="20"/>
                <w:szCs w:val="20"/>
              </w:rPr>
              <w:t>字符型，256</w:t>
            </w:r>
          </w:p>
        </w:tc>
        <w:tc>
          <w:tcPr>
            <w:tcW w:w="1578" w:type="pct"/>
          </w:tcPr>
          <w:p w14:paraId="2568AB6E" w14:textId="77777777" w:rsidR="00A052DC" w:rsidRDefault="00A052DC">
            <w:pPr>
              <w:rPr>
                <w:rFonts w:ascii="黑体" w:eastAsia="黑体" w:hAnsi="黑体" w:cs="宋体"/>
                <w:sz w:val="20"/>
                <w:szCs w:val="20"/>
              </w:rPr>
            </w:pPr>
          </w:p>
        </w:tc>
      </w:tr>
      <w:tr w:rsidR="00A052DC" w14:paraId="07A5CF9C" w14:textId="77777777">
        <w:tc>
          <w:tcPr>
            <w:tcW w:w="1395" w:type="pct"/>
          </w:tcPr>
          <w:p w14:paraId="06525704"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是否保税货物项下收汇</w:t>
            </w:r>
          </w:p>
        </w:tc>
        <w:tc>
          <w:tcPr>
            <w:tcW w:w="996" w:type="pct"/>
          </w:tcPr>
          <w:p w14:paraId="1FE0E562"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ISWRITEOFF</w:t>
            </w:r>
          </w:p>
        </w:tc>
        <w:tc>
          <w:tcPr>
            <w:tcW w:w="1030" w:type="pct"/>
          </w:tcPr>
          <w:p w14:paraId="11CCAB88" w14:textId="77777777" w:rsidR="00A052DC" w:rsidRDefault="009F0A60">
            <w:pPr>
              <w:adjustRightInd w:val="0"/>
              <w:spacing w:before="20" w:after="20"/>
              <w:ind w:left="80" w:right="80"/>
              <w:rPr>
                <w:rFonts w:ascii="黑体" w:eastAsia="黑体" w:hAnsi="黑体" w:cs="Microsoft Sans Serif"/>
                <w:sz w:val="20"/>
                <w:szCs w:val="20"/>
              </w:rPr>
            </w:pPr>
            <w:r>
              <w:rPr>
                <w:rFonts w:ascii="黑体" w:eastAsia="黑体" w:hAnsi="黑体" w:cs="Microsoft Sans Serif" w:hint="eastAsia"/>
                <w:sz w:val="20"/>
                <w:szCs w:val="20"/>
              </w:rPr>
              <w:t>字符型，</w:t>
            </w:r>
            <w:r>
              <w:rPr>
                <w:rFonts w:ascii="黑体" w:eastAsia="黑体" w:hAnsi="黑体" w:cs="Microsoft Sans Serif"/>
                <w:sz w:val="20"/>
                <w:szCs w:val="20"/>
              </w:rPr>
              <w:t>1</w:t>
            </w:r>
          </w:p>
        </w:tc>
        <w:tc>
          <w:tcPr>
            <w:tcW w:w="1578" w:type="pct"/>
          </w:tcPr>
          <w:p w14:paraId="73DD4C75" w14:textId="77777777" w:rsidR="00A052DC" w:rsidRDefault="009F0A60">
            <w:pPr>
              <w:rPr>
                <w:rFonts w:ascii="黑体" w:eastAsia="黑体" w:hAnsi="黑体" w:cs="宋体"/>
                <w:sz w:val="20"/>
                <w:szCs w:val="20"/>
              </w:rPr>
            </w:pPr>
            <w:r>
              <w:rPr>
                <w:rFonts w:ascii="黑体" w:eastAsia="黑体" w:hAnsi="黑体" w:cs="宋体"/>
                <w:sz w:val="20"/>
                <w:szCs w:val="20"/>
              </w:rPr>
              <w:t>Y-</w:t>
            </w:r>
            <w:r>
              <w:rPr>
                <w:rFonts w:ascii="黑体" w:eastAsia="黑体" w:hAnsi="黑体" w:cs="宋体" w:hint="eastAsia"/>
                <w:sz w:val="20"/>
                <w:szCs w:val="20"/>
              </w:rPr>
              <w:t>是</w:t>
            </w:r>
          </w:p>
          <w:p w14:paraId="0BCB0C5C" w14:textId="77777777" w:rsidR="00A052DC" w:rsidRDefault="009F0A60">
            <w:pPr>
              <w:rPr>
                <w:rFonts w:ascii="黑体" w:eastAsia="黑体" w:hAnsi="黑体" w:cs="宋体"/>
                <w:sz w:val="20"/>
                <w:szCs w:val="20"/>
              </w:rPr>
            </w:pPr>
            <w:r>
              <w:rPr>
                <w:rFonts w:ascii="黑体" w:eastAsia="黑体" w:hAnsi="黑体" w:cs="宋体"/>
                <w:sz w:val="20"/>
                <w:szCs w:val="20"/>
              </w:rPr>
              <w:t>N-</w:t>
            </w:r>
            <w:r>
              <w:rPr>
                <w:rFonts w:ascii="黑体" w:eastAsia="黑体" w:hAnsi="黑体" w:cs="宋体" w:hint="eastAsia"/>
                <w:sz w:val="20"/>
                <w:szCs w:val="20"/>
              </w:rPr>
              <w:t>否</w:t>
            </w:r>
          </w:p>
        </w:tc>
      </w:tr>
      <w:tr w:rsidR="00A052DC" w14:paraId="6C40AB6D" w14:textId="77777777">
        <w:tc>
          <w:tcPr>
            <w:tcW w:w="1395" w:type="pct"/>
          </w:tcPr>
          <w:p w14:paraId="7F1A5142"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外汇局批件号</w:t>
            </w:r>
            <w:r>
              <w:rPr>
                <w:rFonts w:ascii="黑体" w:eastAsia="黑体" w:hAnsi="黑体" w:cs="Microsoft Sans Serif"/>
                <w:sz w:val="20"/>
                <w:szCs w:val="20"/>
              </w:rPr>
              <w:t>/备案表号/业务编号</w:t>
            </w:r>
          </w:p>
        </w:tc>
        <w:tc>
          <w:tcPr>
            <w:tcW w:w="996" w:type="pct"/>
          </w:tcPr>
          <w:p w14:paraId="2FAC5D05"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BILLNO</w:t>
            </w:r>
          </w:p>
        </w:tc>
        <w:tc>
          <w:tcPr>
            <w:tcW w:w="1030" w:type="pct"/>
          </w:tcPr>
          <w:p w14:paraId="02794F07" w14:textId="77777777" w:rsidR="00A052DC" w:rsidRDefault="009F0A60">
            <w:pPr>
              <w:adjustRightInd w:val="0"/>
              <w:spacing w:before="20" w:after="20"/>
              <w:ind w:left="80" w:right="80"/>
              <w:rPr>
                <w:rFonts w:ascii="黑体" w:eastAsia="黑体" w:hAnsi="黑体" w:cs="Microsoft Sans Serif"/>
                <w:sz w:val="20"/>
                <w:szCs w:val="20"/>
              </w:rPr>
            </w:pPr>
            <w:r>
              <w:rPr>
                <w:rFonts w:ascii="黑体" w:eastAsia="黑体" w:hAnsi="黑体" w:cs="Microsoft Sans Serif" w:hint="eastAsia"/>
                <w:sz w:val="20"/>
                <w:szCs w:val="20"/>
              </w:rPr>
              <w:t>字符型，</w:t>
            </w:r>
            <w:r>
              <w:rPr>
                <w:rFonts w:ascii="黑体" w:eastAsia="黑体" w:hAnsi="黑体" w:cs="Microsoft Sans Serif"/>
                <w:sz w:val="20"/>
                <w:szCs w:val="20"/>
              </w:rPr>
              <w:t>50</w:t>
            </w:r>
          </w:p>
        </w:tc>
        <w:tc>
          <w:tcPr>
            <w:tcW w:w="1578" w:type="pct"/>
          </w:tcPr>
          <w:p w14:paraId="02D97A97" w14:textId="77777777" w:rsidR="00A052DC" w:rsidRDefault="00A052DC">
            <w:pPr>
              <w:rPr>
                <w:rFonts w:ascii="黑体" w:eastAsia="黑体" w:hAnsi="黑体" w:cs="宋体"/>
                <w:sz w:val="20"/>
                <w:szCs w:val="20"/>
              </w:rPr>
            </w:pPr>
          </w:p>
        </w:tc>
      </w:tr>
      <w:tr w:rsidR="00A052DC" w14:paraId="7A725D51" w14:textId="77777777">
        <w:tc>
          <w:tcPr>
            <w:tcW w:w="1395" w:type="pct"/>
          </w:tcPr>
          <w:p w14:paraId="07FD6AC2"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填报人</w:t>
            </w:r>
          </w:p>
        </w:tc>
        <w:tc>
          <w:tcPr>
            <w:tcW w:w="996" w:type="pct"/>
          </w:tcPr>
          <w:p w14:paraId="1FF5518C"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RPTUSER</w:t>
            </w:r>
          </w:p>
        </w:tc>
        <w:tc>
          <w:tcPr>
            <w:tcW w:w="1030" w:type="pct"/>
          </w:tcPr>
          <w:p w14:paraId="21461CC3" w14:textId="77777777" w:rsidR="00A052DC" w:rsidRDefault="009F0A60">
            <w:pPr>
              <w:adjustRightInd w:val="0"/>
              <w:spacing w:before="20" w:after="20"/>
              <w:ind w:left="80" w:right="80"/>
              <w:rPr>
                <w:rFonts w:ascii="黑体" w:eastAsia="黑体" w:hAnsi="黑体" w:cs="Microsoft Sans Serif"/>
                <w:sz w:val="20"/>
                <w:szCs w:val="20"/>
              </w:rPr>
            </w:pPr>
            <w:r>
              <w:rPr>
                <w:rFonts w:ascii="黑体" w:eastAsia="黑体" w:hAnsi="黑体" w:cs="Microsoft Sans Serif" w:hint="eastAsia"/>
                <w:sz w:val="20"/>
                <w:szCs w:val="20"/>
              </w:rPr>
              <w:t>字符型，</w:t>
            </w:r>
            <w:r>
              <w:rPr>
                <w:rFonts w:ascii="黑体" w:eastAsia="黑体" w:hAnsi="黑体" w:cs="Microsoft Sans Serif"/>
                <w:sz w:val="20"/>
                <w:szCs w:val="20"/>
              </w:rPr>
              <w:t>20</w:t>
            </w:r>
          </w:p>
        </w:tc>
        <w:tc>
          <w:tcPr>
            <w:tcW w:w="1578" w:type="pct"/>
          </w:tcPr>
          <w:p w14:paraId="19CA2176" w14:textId="77777777" w:rsidR="00A052DC" w:rsidRDefault="00A052DC">
            <w:pPr>
              <w:rPr>
                <w:rFonts w:ascii="黑体" w:eastAsia="黑体" w:hAnsi="黑体" w:cs="宋体"/>
                <w:sz w:val="20"/>
                <w:szCs w:val="20"/>
              </w:rPr>
            </w:pPr>
          </w:p>
        </w:tc>
      </w:tr>
      <w:tr w:rsidR="00A052DC" w14:paraId="3D961B47" w14:textId="77777777">
        <w:tc>
          <w:tcPr>
            <w:tcW w:w="1395" w:type="pct"/>
          </w:tcPr>
          <w:p w14:paraId="1072E823"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填报人电话</w:t>
            </w:r>
          </w:p>
        </w:tc>
        <w:tc>
          <w:tcPr>
            <w:tcW w:w="996" w:type="pct"/>
          </w:tcPr>
          <w:p w14:paraId="234035FF"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RPTTEL</w:t>
            </w:r>
          </w:p>
        </w:tc>
        <w:tc>
          <w:tcPr>
            <w:tcW w:w="1030" w:type="pct"/>
          </w:tcPr>
          <w:p w14:paraId="716442B6" w14:textId="77777777" w:rsidR="00A052DC" w:rsidRDefault="009F0A60">
            <w:pPr>
              <w:adjustRightInd w:val="0"/>
              <w:spacing w:before="20" w:after="20"/>
              <w:ind w:left="80" w:right="80"/>
              <w:rPr>
                <w:rFonts w:ascii="黑体" w:eastAsia="黑体" w:hAnsi="黑体" w:cs="Microsoft Sans Serif"/>
                <w:sz w:val="20"/>
                <w:szCs w:val="20"/>
              </w:rPr>
            </w:pPr>
            <w:r>
              <w:rPr>
                <w:rFonts w:ascii="黑体" w:eastAsia="黑体" w:hAnsi="黑体" w:cs="Microsoft Sans Serif" w:hint="eastAsia"/>
                <w:sz w:val="20"/>
                <w:szCs w:val="20"/>
              </w:rPr>
              <w:t>字符型，</w:t>
            </w:r>
            <w:r>
              <w:rPr>
                <w:rFonts w:ascii="黑体" w:eastAsia="黑体" w:hAnsi="黑体" w:cs="Microsoft Sans Serif"/>
                <w:sz w:val="20"/>
                <w:szCs w:val="20"/>
              </w:rPr>
              <w:t>20</w:t>
            </w:r>
          </w:p>
        </w:tc>
        <w:tc>
          <w:tcPr>
            <w:tcW w:w="1578" w:type="pct"/>
          </w:tcPr>
          <w:p w14:paraId="2E604079" w14:textId="77777777" w:rsidR="00A052DC" w:rsidRDefault="00A052DC">
            <w:pPr>
              <w:rPr>
                <w:rFonts w:ascii="黑体" w:eastAsia="黑体" w:hAnsi="黑体" w:cs="宋体"/>
                <w:sz w:val="20"/>
                <w:szCs w:val="20"/>
              </w:rPr>
            </w:pPr>
          </w:p>
        </w:tc>
      </w:tr>
      <w:tr w:rsidR="00A052DC" w14:paraId="68A5B377" w14:textId="77777777">
        <w:tc>
          <w:tcPr>
            <w:tcW w:w="1395" w:type="pct"/>
          </w:tcPr>
          <w:p w14:paraId="42A14AE9"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申报日期</w:t>
            </w:r>
          </w:p>
        </w:tc>
        <w:tc>
          <w:tcPr>
            <w:tcW w:w="996" w:type="pct"/>
          </w:tcPr>
          <w:p w14:paraId="40C39780"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RPTDATE</w:t>
            </w:r>
          </w:p>
        </w:tc>
        <w:tc>
          <w:tcPr>
            <w:tcW w:w="1030" w:type="pct"/>
          </w:tcPr>
          <w:p w14:paraId="2A97CE96"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日期型，</w:t>
            </w:r>
            <w:r>
              <w:rPr>
                <w:rFonts w:ascii="黑体" w:eastAsia="黑体" w:hAnsi="黑体" w:cs="Microsoft Sans Serif"/>
                <w:sz w:val="20"/>
                <w:szCs w:val="20"/>
              </w:rPr>
              <w:t>8</w:t>
            </w:r>
          </w:p>
        </w:tc>
        <w:tc>
          <w:tcPr>
            <w:tcW w:w="1578" w:type="pct"/>
          </w:tcPr>
          <w:p w14:paraId="1CDD161A" w14:textId="77777777" w:rsidR="00A052DC" w:rsidRDefault="009F0A60">
            <w:pPr>
              <w:rPr>
                <w:rFonts w:ascii="黑体" w:eastAsia="黑体" w:hAnsi="黑体" w:cs="宋体"/>
                <w:sz w:val="20"/>
                <w:szCs w:val="20"/>
              </w:rPr>
            </w:pPr>
            <w:r>
              <w:rPr>
                <w:rFonts w:ascii="黑体" w:eastAsia="黑体" w:hAnsi="黑体" w:cs="宋体"/>
                <w:sz w:val="20"/>
                <w:szCs w:val="20"/>
              </w:rPr>
              <w:t>YYYYMMDD</w:t>
            </w:r>
          </w:p>
        </w:tc>
      </w:tr>
      <w:tr w:rsidR="00A052DC" w14:paraId="76C4CB55" w14:textId="77777777">
        <w:tc>
          <w:tcPr>
            <w:tcW w:w="1395" w:type="pct"/>
          </w:tcPr>
          <w:p w14:paraId="37E2DC22"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收入类型</w:t>
            </w:r>
          </w:p>
        </w:tc>
        <w:tc>
          <w:tcPr>
            <w:tcW w:w="996" w:type="pct"/>
          </w:tcPr>
          <w:p w14:paraId="1523E084"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PAYATTR</w:t>
            </w:r>
          </w:p>
        </w:tc>
        <w:tc>
          <w:tcPr>
            <w:tcW w:w="1030" w:type="pct"/>
          </w:tcPr>
          <w:p w14:paraId="1C68EB77" w14:textId="77777777" w:rsidR="00A052DC" w:rsidRDefault="009F0A60">
            <w:pPr>
              <w:adjustRightInd w:val="0"/>
              <w:spacing w:before="20" w:after="20"/>
              <w:ind w:left="80" w:right="80"/>
              <w:rPr>
                <w:rFonts w:ascii="黑体" w:eastAsia="黑体" w:hAnsi="黑体" w:cs="Microsoft Sans Serif"/>
                <w:sz w:val="20"/>
                <w:szCs w:val="20"/>
              </w:rPr>
            </w:pPr>
            <w:r>
              <w:rPr>
                <w:rFonts w:ascii="黑体" w:eastAsia="黑体" w:hAnsi="黑体" w:cs="Microsoft Sans Serif" w:hint="eastAsia"/>
                <w:sz w:val="20"/>
                <w:szCs w:val="20"/>
              </w:rPr>
              <w:t>字符型，</w:t>
            </w:r>
            <w:r>
              <w:rPr>
                <w:rFonts w:ascii="黑体" w:eastAsia="黑体" w:hAnsi="黑体" w:cs="Microsoft Sans Serif"/>
                <w:sz w:val="20"/>
                <w:szCs w:val="20"/>
              </w:rPr>
              <w:t>1</w:t>
            </w:r>
          </w:p>
        </w:tc>
        <w:tc>
          <w:tcPr>
            <w:tcW w:w="1578" w:type="pct"/>
          </w:tcPr>
          <w:p w14:paraId="001E00F6" w14:textId="77777777" w:rsidR="00A052DC" w:rsidRDefault="009F0A60">
            <w:pPr>
              <w:rPr>
                <w:rFonts w:ascii="黑体" w:eastAsia="黑体" w:hAnsi="黑体" w:cs="宋体"/>
                <w:sz w:val="20"/>
                <w:szCs w:val="20"/>
              </w:rPr>
            </w:pPr>
            <w:r>
              <w:rPr>
                <w:rFonts w:ascii="黑体" w:eastAsia="黑体" w:hAnsi="黑体" w:cs="宋体"/>
                <w:sz w:val="20"/>
                <w:szCs w:val="20"/>
              </w:rPr>
              <w:t>F-福费廷</w:t>
            </w:r>
          </w:p>
          <w:p w14:paraId="1A1790D8" w14:textId="77777777" w:rsidR="00A052DC" w:rsidRDefault="009F0A60">
            <w:pPr>
              <w:rPr>
                <w:rFonts w:ascii="黑体" w:eastAsia="黑体" w:hAnsi="黑体" w:cs="宋体"/>
                <w:sz w:val="20"/>
                <w:szCs w:val="20"/>
              </w:rPr>
            </w:pPr>
            <w:r>
              <w:rPr>
                <w:rFonts w:ascii="黑体" w:eastAsia="黑体" w:hAnsi="黑体" w:cs="宋体"/>
                <w:sz w:val="20"/>
                <w:szCs w:val="20"/>
              </w:rPr>
              <w:t>T-出口保理</w:t>
            </w:r>
          </w:p>
          <w:p w14:paraId="151C8025" w14:textId="77777777" w:rsidR="00A052DC" w:rsidRDefault="009F0A60">
            <w:pPr>
              <w:rPr>
                <w:rFonts w:ascii="黑体" w:eastAsia="黑体" w:hAnsi="黑体" w:cs="宋体"/>
                <w:sz w:val="20"/>
                <w:szCs w:val="20"/>
              </w:rPr>
            </w:pPr>
            <w:r>
              <w:rPr>
                <w:rFonts w:ascii="黑体" w:eastAsia="黑体" w:hAnsi="黑体" w:cs="宋体"/>
                <w:sz w:val="20"/>
                <w:szCs w:val="20"/>
              </w:rPr>
              <w:t>N-出口押汇</w:t>
            </w:r>
          </w:p>
          <w:p w14:paraId="016CCCD7" w14:textId="77777777" w:rsidR="00A052DC" w:rsidRDefault="009F0A60">
            <w:pPr>
              <w:rPr>
                <w:rFonts w:ascii="黑体" w:eastAsia="黑体" w:hAnsi="黑体" w:cs="宋体"/>
                <w:sz w:val="20"/>
                <w:szCs w:val="20"/>
              </w:rPr>
            </w:pPr>
            <w:r>
              <w:rPr>
                <w:rFonts w:ascii="黑体" w:eastAsia="黑体" w:hAnsi="黑体" w:cs="宋体"/>
                <w:sz w:val="20"/>
                <w:szCs w:val="20"/>
              </w:rPr>
              <w:t>D-出口贴现</w:t>
            </w:r>
          </w:p>
          <w:p w14:paraId="45FAFF05" w14:textId="77777777" w:rsidR="00A052DC" w:rsidRDefault="009F0A60">
            <w:pPr>
              <w:adjustRightInd w:val="0"/>
              <w:spacing w:before="20" w:after="20"/>
              <w:ind w:right="80"/>
              <w:rPr>
                <w:rFonts w:ascii="黑体" w:eastAsia="黑体" w:hAnsi="黑体" w:cs="宋体"/>
                <w:sz w:val="20"/>
                <w:szCs w:val="20"/>
              </w:rPr>
            </w:pPr>
            <w:r>
              <w:rPr>
                <w:rFonts w:ascii="黑体" w:eastAsia="黑体" w:hAnsi="黑体" w:cs="宋体"/>
                <w:sz w:val="20"/>
                <w:szCs w:val="20"/>
              </w:rPr>
              <w:t>O-</w:t>
            </w:r>
            <w:r>
              <w:rPr>
                <w:rFonts w:ascii="黑体" w:eastAsia="黑体" w:hAnsi="黑体" w:cs="宋体" w:hint="eastAsia"/>
                <w:sz w:val="20"/>
                <w:szCs w:val="20"/>
              </w:rPr>
              <w:t>其他贸易融资</w:t>
            </w:r>
          </w:p>
          <w:p w14:paraId="49164794" w14:textId="77777777" w:rsidR="00A052DC" w:rsidRDefault="009F0A60">
            <w:pPr>
              <w:adjustRightInd w:val="0"/>
              <w:spacing w:before="20" w:after="20"/>
              <w:ind w:right="80"/>
              <w:rPr>
                <w:rFonts w:ascii="黑体" w:eastAsia="黑体" w:hAnsi="黑体" w:cs="宋体"/>
                <w:sz w:val="20"/>
                <w:szCs w:val="20"/>
              </w:rPr>
            </w:pPr>
            <w:r>
              <w:rPr>
                <w:rFonts w:ascii="黑体" w:eastAsia="黑体" w:hAnsi="黑体" w:cs="宋体" w:hint="eastAsia"/>
                <w:sz w:val="20"/>
                <w:szCs w:val="20"/>
              </w:rPr>
              <w:t>或者为空</w:t>
            </w:r>
          </w:p>
        </w:tc>
      </w:tr>
      <w:tr w:rsidR="00A052DC" w14:paraId="05C0E1FA" w14:textId="77777777">
        <w:tc>
          <w:tcPr>
            <w:tcW w:w="1395" w:type="pct"/>
          </w:tcPr>
          <w:p w14:paraId="76B98286"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已出具出口收汇核销联</w:t>
            </w:r>
          </w:p>
        </w:tc>
        <w:tc>
          <w:tcPr>
            <w:tcW w:w="996" w:type="pct"/>
          </w:tcPr>
          <w:p w14:paraId="45D13841"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ISPRINTED</w:t>
            </w:r>
          </w:p>
        </w:tc>
        <w:tc>
          <w:tcPr>
            <w:tcW w:w="1030" w:type="pct"/>
          </w:tcPr>
          <w:p w14:paraId="0667ECE9" w14:textId="77777777" w:rsidR="00A052DC" w:rsidRDefault="009F0A60">
            <w:pPr>
              <w:adjustRightInd w:val="0"/>
              <w:spacing w:before="20" w:after="20"/>
              <w:ind w:left="80" w:right="80"/>
              <w:rPr>
                <w:rFonts w:ascii="黑体" w:eastAsia="黑体" w:hAnsi="黑体" w:cs="Microsoft Sans Serif"/>
                <w:sz w:val="20"/>
                <w:szCs w:val="20"/>
              </w:rPr>
            </w:pPr>
            <w:r>
              <w:rPr>
                <w:rFonts w:ascii="黑体" w:eastAsia="黑体" w:hAnsi="黑体" w:cs="Microsoft Sans Serif" w:hint="eastAsia"/>
                <w:sz w:val="20"/>
                <w:szCs w:val="20"/>
              </w:rPr>
              <w:t>字符型，</w:t>
            </w:r>
            <w:r>
              <w:rPr>
                <w:rFonts w:ascii="黑体" w:eastAsia="黑体" w:hAnsi="黑体" w:cs="Microsoft Sans Serif"/>
                <w:sz w:val="20"/>
                <w:szCs w:val="20"/>
              </w:rPr>
              <w:t>1</w:t>
            </w:r>
          </w:p>
        </w:tc>
        <w:tc>
          <w:tcPr>
            <w:tcW w:w="1578" w:type="pct"/>
          </w:tcPr>
          <w:p w14:paraId="5BF84B35" w14:textId="77777777" w:rsidR="00A052DC" w:rsidRDefault="009F0A60">
            <w:pPr>
              <w:rPr>
                <w:rFonts w:ascii="黑体" w:eastAsia="黑体" w:hAnsi="黑体" w:cs="宋体"/>
                <w:sz w:val="20"/>
                <w:szCs w:val="20"/>
              </w:rPr>
            </w:pPr>
            <w:r>
              <w:rPr>
                <w:rFonts w:ascii="黑体" w:eastAsia="黑体" w:hAnsi="黑体" w:cs="宋体"/>
                <w:sz w:val="20"/>
                <w:szCs w:val="20"/>
              </w:rPr>
              <w:t>1-</w:t>
            </w:r>
            <w:r>
              <w:rPr>
                <w:rFonts w:ascii="黑体" w:eastAsia="黑体" w:hAnsi="黑体" w:cs="宋体" w:hint="eastAsia"/>
                <w:sz w:val="20"/>
                <w:szCs w:val="20"/>
              </w:rPr>
              <w:t>是</w:t>
            </w:r>
          </w:p>
          <w:p w14:paraId="5F6A22AB" w14:textId="77777777" w:rsidR="00A052DC" w:rsidRDefault="009F0A60">
            <w:pPr>
              <w:rPr>
                <w:rFonts w:ascii="黑体" w:eastAsia="黑体" w:hAnsi="黑体" w:cs="宋体"/>
                <w:sz w:val="20"/>
                <w:szCs w:val="20"/>
              </w:rPr>
            </w:pPr>
            <w:r>
              <w:rPr>
                <w:rFonts w:ascii="黑体" w:eastAsia="黑体" w:hAnsi="黑体" w:cs="宋体"/>
                <w:sz w:val="20"/>
                <w:szCs w:val="20"/>
              </w:rPr>
              <w:t>0-</w:t>
            </w:r>
            <w:r>
              <w:rPr>
                <w:rFonts w:ascii="黑体" w:eastAsia="黑体" w:hAnsi="黑体" w:cs="宋体" w:hint="eastAsia"/>
                <w:sz w:val="20"/>
                <w:szCs w:val="20"/>
              </w:rPr>
              <w:t>否</w:t>
            </w:r>
          </w:p>
        </w:tc>
      </w:tr>
      <w:tr w:rsidR="00A052DC" w14:paraId="366FB741" w14:textId="77777777">
        <w:tc>
          <w:tcPr>
            <w:tcW w:w="1395" w:type="pct"/>
          </w:tcPr>
          <w:p w14:paraId="53A9DDDB"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余款金额</w:t>
            </w:r>
          </w:p>
        </w:tc>
        <w:tc>
          <w:tcPr>
            <w:tcW w:w="996" w:type="pct"/>
          </w:tcPr>
          <w:p w14:paraId="36B0F094"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OSAMT</w:t>
            </w:r>
          </w:p>
        </w:tc>
        <w:tc>
          <w:tcPr>
            <w:tcW w:w="1030" w:type="pct"/>
          </w:tcPr>
          <w:p w14:paraId="3D0A2553" w14:textId="77777777" w:rsidR="00A052DC" w:rsidRDefault="009F0A60">
            <w:pPr>
              <w:adjustRightInd w:val="0"/>
              <w:spacing w:before="20" w:after="20"/>
              <w:ind w:left="80" w:right="80"/>
              <w:rPr>
                <w:rFonts w:ascii="黑体" w:eastAsia="黑体" w:hAnsi="黑体" w:cs="Microsoft Sans Serif"/>
                <w:sz w:val="20"/>
                <w:szCs w:val="20"/>
              </w:rPr>
            </w:pPr>
            <w:r>
              <w:rPr>
                <w:rFonts w:ascii="黑体" w:eastAsia="黑体" w:hAnsi="黑体" w:cs="Microsoft Sans Serif" w:hint="eastAsia"/>
                <w:sz w:val="20"/>
                <w:szCs w:val="20"/>
              </w:rPr>
              <w:t>数值型，</w:t>
            </w:r>
            <w:r>
              <w:rPr>
                <w:rFonts w:ascii="黑体" w:eastAsia="黑体" w:hAnsi="黑体" w:cs="Microsoft Sans Serif"/>
                <w:sz w:val="20"/>
                <w:szCs w:val="20"/>
              </w:rPr>
              <w:t>22.0</w:t>
            </w:r>
          </w:p>
        </w:tc>
        <w:tc>
          <w:tcPr>
            <w:tcW w:w="1578" w:type="pct"/>
          </w:tcPr>
          <w:p w14:paraId="4946A689" w14:textId="77777777" w:rsidR="00A052DC" w:rsidRDefault="00A052DC">
            <w:pPr>
              <w:rPr>
                <w:rFonts w:ascii="黑体" w:eastAsia="黑体" w:hAnsi="黑体" w:cs="宋体"/>
                <w:sz w:val="20"/>
                <w:szCs w:val="20"/>
              </w:rPr>
            </w:pPr>
          </w:p>
        </w:tc>
      </w:tr>
      <w:tr w:rsidR="00A052DC" w14:paraId="06C52AC7" w14:textId="77777777">
        <w:tc>
          <w:tcPr>
            <w:tcW w:w="1395" w:type="pct"/>
          </w:tcPr>
          <w:p w14:paraId="76D5F826"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收汇总金额中用于出口核销的金额</w:t>
            </w:r>
          </w:p>
        </w:tc>
        <w:tc>
          <w:tcPr>
            <w:tcW w:w="996" w:type="pct"/>
          </w:tcPr>
          <w:p w14:paraId="099DCB36"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WRITEOFFAMT</w:t>
            </w:r>
          </w:p>
        </w:tc>
        <w:tc>
          <w:tcPr>
            <w:tcW w:w="1030" w:type="pct"/>
          </w:tcPr>
          <w:p w14:paraId="05897E68" w14:textId="77777777" w:rsidR="00A052DC" w:rsidRDefault="009F0A60">
            <w:pPr>
              <w:adjustRightInd w:val="0"/>
              <w:spacing w:before="20" w:after="20"/>
              <w:ind w:left="80" w:right="80"/>
              <w:rPr>
                <w:rFonts w:ascii="黑体" w:eastAsia="黑体" w:hAnsi="黑体" w:cs="Microsoft Sans Serif"/>
                <w:sz w:val="20"/>
                <w:szCs w:val="20"/>
              </w:rPr>
            </w:pPr>
            <w:r>
              <w:rPr>
                <w:rFonts w:ascii="黑体" w:eastAsia="黑体" w:hAnsi="黑体" w:cs="Microsoft Sans Serif" w:hint="eastAsia"/>
                <w:sz w:val="20"/>
                <w:szCs w:val="20"/>
              </w:rPr>
              <w:t>数值型，</w:t>
            </w:r>
            <w:r>
              <w:rPr>
                <w:rFonts w:ascii="黑体" w:eastAsia="黑体" w:hAnsi="黑体" w:cs="Microsoft Sans Serif"/>
                <w:sz w:val="20"/>
                <w:szCs w:val="20"/>
              </w:rPr>
              <w:t>22.0</w:t>
            </w:r>
          </w:p>
        </w:tc>
        <w:tc>
          <w:tcPr>
            <w:tcW w:w="1578" w:type="pct"/>
          </w:tcPr>
          <w:p w14:paraId="06C32092" w14:textId="77777777" w:rsidR="00A052DC" w:rsidRDefault="00A052DC">
            <w:pPr>
              <w:rPr>
                <w:rFonts w:ascii="黑体" w:eastAsia="黑体" w:hAnsi="黑体" w:cs="宋体"/>
                <w:sz w:val="20"/>
                <w:szCs w:val="20"/>
              </w:rPr>
            </w:pPr>
          </w:p>
        </w:tc>
      </w:tr>
      <w:tr w:rsidR="00A052DC" w14:paraId="664894D5" w14:textId="77777777">
        <w:tc>
          <w:tcPr>
            <w:tcW w:w="1395" w:type="pct"/>
          </w:tcPr>
          <w:p w14:paraId="5506CE70"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填报人</w:t>
            </w:r>
          </w:p>
        </w:tc>
        <w:tc>
          <w:tcPr>
            <w:tcW w:w="996" w:type="pct"/>
          </w:tcPr>
          <w:p w14:paraId="012A76BB"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WRITEOFFUSER</w:t>
            </w:r>
          </w:p>
        </w:tc>
        <w:tc>
          <w:tcPr>
            <w:tcW w:w="1030" w:type="pct"/>
          </w:tcPr>
          <w:p w14:paraId="5519A7D1" w14:textId="77777777" w:rsidR="00A052DC" w:rsidRDefault="009F0A60">
            <w:pPr>
              <w:adjustRightInd w:val="0"/>
              <w:spacing w:before="20" w:after="20"/>
              <w:ind w:left="80" w:right="80"/>
              <w:rPr>
                <w:rFonts w:ascii="黑体" w:eastAsia="黑体" w:hAnsi="黑体" w:cs="Microsoft Sans Serif"/>
                <w:sz w:val="20"/>
                <w:szCs w:val="20"/>
              </w:rPr>
            </w:pPr>
            <w:r>
              <w:rPr>
                <w:rFonts w:ascii="黑体" w:eastAsia="黑体" w:hAnsi="黑体" w:cs="Microsoft Sans Serif" w:hint="eastAsia"/>
                <w:sz w:val="20"/>
                <w:szCs w:val="20"/>
              </w:rPr>
              <w:t>字符型，</w:t>
            </w:r>
            <w:r>
              <w:rPr>
                <w:rFonts w:ascii="黑体" w:eastAsia="黑体" w:hAnsi="黑体" w:cs="Microsoft Sans Serif"/>
                <w:sz w:val="20"/>
                <w:szCs w:val="20"/>
              </w:rPr>
              <w:t>20</w:t>
            </w:r>
          </w:p>
        </w:tc>
        <w:tc>
          <w:tcPr>
            <w:tcW w:w="1578" w:type="pct"/>
          </w:tcPr>
          <w:p w14:paraId="5447EC7F" w14:textId="77777777" w:rsidR="00A052DC" w:rsidRDefault="00A052DC">
            <w:pPr>
              <w:rPr>
                <w:rFonts w:ascii="黑体" w:eastAsia="黑体" w:hAnsi="黑体" w:cs="宋体"/>
                <w:sz w:val="20"/>
                <w:szCs w:val="20"/>
              </w:rPr>
            </w:pPr>
          </w:p>
        </w:tc>
      </w:tr>
      <w:tr w:rsidR="00A052DC" w14:paraId="3BCFAAAE" w14:textId="77777777">
        <w:trPr>
          <w:trHeight w:val="340"/>
        </w:trPr>
        <w:tc>
          <w:tcPr>
            <w:tcW w:w="1395" w:type="pct"/>
          </w:tcPr>
          <w:p w14:paraId="0982A146"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填报人联系电话</w:t>
            </w:r>
          </w:p>
        </w:tc>
        <w:tc>
          <w:tcPr>
            <w:tcW w:w="996" w:type="pct"/>
          </w:tcPr>
          <w:p w14:paraId="7371B180"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WRITEOFFTEL</w:t>
            </w:r>
          </w:p>
        </w:tc>
        <w:tc>
          <w:tcPr>
            <w:tcW w:w="1030" w:type="pct"/>
          </w:tcPr>
          <w:p w14:paraId="6BB368BE" w14:textId="77777777" w:rsidR="00A052DC" w:rsidRDefault="009F0A60">
            <w:pPr>
              <w:adjustRightInd w:val="0"/>
              <w:spacing w:before="20" w:after="20"/>
              <w:ind w:left="80" w:right="80"/>
              <w:rPr>
                <w:rFonts w:ascii="黑体" w:eastAsia="黑体" w:hAnsi="黑体" w:cs="Microsoft Sans Serif"/>
                <w:sz w:val="20"/>
                <w:szCs w:val="20"/>
              </w:rPr>
            </w:pPr>
            <w:r>
              <w:rPr>
                <w:rFonts w:ascii="黑体" w:eastAsia="黑体" w:hAnsi="黑体" w:cs="Microsoft Sans Serif" w:hint="eastAsia"/>
                <w:sz w:val="20"/>
                <w:szCs w:val="20"/>
              </w:rPr>
              <w:t>字符型，</w:t>
            </w:r>
            <w:r>
              <w:rPr>
                <w:rFonts w:ascii="黑体" w:eastAsia="黑体" w:hAnsi="黑体" w:cs="Microsoft Sans Serif"/>
                <w:sz w:val="20"/>
                <w:szCs w:val="20"/>
              </w:rPr>
              <w:t>20</w:t>
            </w:r>
          </w:p>
        </w:tc>
        <w:tc>
          <w:tcPr>
            <w:tcW w:w="1578" w:type="pct"/>
          </w:tcPr>
          <w:p w14:paraId="5CC63AEE" w14:textId="77777777" w:rsidR="00A052DC" w:rsidRDefault="00A052DC">
            <w:pPr>
              <w:rPr>
                <w:rFonts w:ascii="黑体" w:eastAsia="黑体" w:hAnsi="黑体" w:cs="宋体"/>
                <w:sz w:val="20"/>
                <w:szCs w:val="20"/>
              </w:rPr>
            </w:pPr>
          </w:p>
        </w:tc>
      </w:tr>
      <w:tr w:rsidR="00A052DC" w14:paraId="50E7BCD7" w14:textId="77777777">
        <w:tc>
          <w:tcPr>
            <w:tcW w:w="1395" w:type="pct"/>
          </w:tcPr>
          <w:p w14:paraId="28D3B678"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申报日期</w:t>
            </w:r>
          </w:p>
        </w:tc>
        <w:tc>
          <w:tcPr>
            <w:tcW w:w="996" w:type="pct"/>
          </w:tcPr>
          <w:p w14:paraId="5D0BEA97"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WRITEOFFDATE</w:t>
            </w:r>
          </w:p>
        </w:tc>
        <w:tc>
          <w:tcPr>
            <w:tcW w:w="1030" w:type="pct"/>
          </w:tcPr>
          <w:p w14:paraId="2D338A42"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日期型，</w:t>
            </w:r>
            <w:r>
              <w:rPr>
                <w:rFonts w:ascii="黑体" w:eastAsia="黑体" w:hAnsi="黑体" w:cs="Microsoft Sans Serif"/>
                <w:sz w:val="20"/>
                <w:szCs w:val="20"/>
              </w:rPr>
              <w:t>8</w:t>
            </w:r>
          </w:p>
        </w:tc>
        <w:tc>
          <w:tcPr>
            <w:tcW w:w="1578" w:type="pct"/>
          </w:tcPr>
          <w:p w14:paraId="2D4BD2EE" w14:textId="77777777" w:rsidR="00A052DC" w:rsidRDefault="009F0A60">
            <w:pPr>
              <w:rPr>
                <w:rFonts w:ascii="黑体" w:eastAsia="黑体" w:hAnsi="黑体" w:cs="宋体"/>
                <w:sz w:val="20"/>
                <w:szCs w:val="20"/>
              </w:rPr>
            </w:pPr>
            <w:r>
              <w:rPr>
                <w:rFonts w:ascii="黑体" w:eastAsia="黑体" w:hAnsi="黑体" w:cs="宋体"/>
                <w:sz w:val="20"/>
                <w:szCs w:val="20"/>
              </w:rPr>
              <w:t>YYYYMMDD</w:t>
            </w:r>
          </w:p>
        </w:tc>
      </w:tr>
      <w:tr w:rsidR="00A052DC" w14:paraId="5FB99916" w14:textId="77777777">
        <w:tc>
          <w:tcPr>
            <w:tcW w:w="1395" w:type="pct"/>
            <w:tcBorders>
              <w:top w:val="single" w:sz="2" w:space="0" w:color="auto"/>
              <w:left w:val="single" w:sz="2" w:space="0" w:color="auto"/>
              <w:bottom w:val="single" w:sz="2" w:space="0" w:color="auto"/>
              <w:right w:val="single" w:sz="2" w:space="0" w:color="auto"/>
            </w:tcBorders>
          </w:tcPr>
          <w:p w14:paraId="65446FC7"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申报信息来源</w:t>
            </w:r>
          </w:p>
        </w:tc>
        <w:tc>
          <w:tcPr>
            <w:tcW w:w="996" w:type="pct"/>
            <w:tcBorders>
              <w:top w:val="single" w:sz="2" w:space="0" w:color="auto"/>
              <w:left w:val="single" w:sz="2" w:space="0" w:color="auto"/>
              <w:bottom w:val="single" w:sz="2" w:space="0" w:color="auto"/>
              <w:right w:val="single" w:sz="2" w:space="0" w:color="auto"/>
            </w:tcBorders>
          </w:tcPr>
          <w:p w14:paraId="0D80FFCF"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RPTSOURCE</w:t>
            </w:r>
          </w:p>
        </w:tc>
        <w:tc>
          <w:tcPr>
            <w:tcW w:w="1030" w:type="pct"/>
            <w:tcBorders>
              <w:top w:val="single" w:sz="2" w:space="0" w:color="auto"/>
              <w:left w:val="single" w:sz="2" w:space="0" w:color="auto"/>
              <w:bottom w:val="single" w:sz="2" w:space="0" w:color="auto"/>
              <w:right w:val="single" w:sz="2" w:space="0" w:color="auto"/>
            </w:tcBorders>
          </w:tcPr>
          <w:p w14:paraId="28E26BDC"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字符型，</w:t>
            </w:r>
            <w:r>
              <w:rPr>
                <w:rFonts w:ascii="黑体" w:eastAsia="黑体" w:hAnsi="黑体" w:cs="Microsoft Sans Serif"/>
                <w:sz w:val="20"/>
                <w:szCs w:val="20"/>
              </w:rPr>
              <w:t>1</w:t>
            </w:r>
          </w:p>
        </w:tc>
        <w:tc>
          <w:tcPr>
            <w:tcW w:w="1578" w:type="pct"/>
            <w:tcBorders>
              <w:top w:val="single" w:sz="2" w:space="0" w:color="auto"/>
              <w:left w:val="single" w:sz="2" w:space="0" w:color="auto"/>
              <w:bottom w:val="single" w:sz="2" w:space="0" w:color="auto"/>
              <w:right w:val="single" w:sz="2" w:space="0" w:color="auto"/>
            </w:tcBorders>
          </w:tcPr>
          <w:p w14:paraId="1150B197" w14:textId="77777777" w:rsidR="00A052DC" w:rsidRDefault="009F0A60">
            <w:pPr>
              <w:rPr>
                <w:rFonts w:ascii="黑体" w:eastAsia="黑体" w:hAnsi="黑体" w:cs="宋体"/>
                <w:sz w:val="20"/>
                <w:szCs w:val="20"/>
              </w:rPr>
            </w:pPr>
            <w:r>
              <w:rPr>
                <w:rFonts w:ascii="黑体" w:eastAsia="黑体" w:hAnsi="黑体" w:cs="宋体"/>
                <w:sz w:val="20"/>
                <w:szCs w:val="20"/>
              </w:rPr>
              <w:t>2-</w:t>
            </w:r>
            <w:r>
              <w:rPr>
                <w:rFonts w:ascii="黑体" w:eastAsia="黑体" w:hAnsi="黑体" w:cs="宋体" w:hint="eastAsia"/>
                <w:sz w:val="20"/>
                <w:szCs w:val="20"/>
              </w:rPr>
              <w:t>网上申报</w:t>
            </w:r>
          </w:p>
        </w:tc>
      </w:tr>
      <w:tr w:rsidR="00A052DC" w14:paraId="5DCC66E0" w14:textId="77777777">
        <w:tc>
          <w:tcPr>
            <w:tcW w:w="1395" w:type="pct"/>
            <w:tcBorders>
              <w:top w:val="single" w:sz="2" w:space="0" w:color="auto"/>
              <w:left w:val="single" w:sz="2" w:space="0" w:color="auto"/>
              <w:bottom w:val="single" w:sz="2" w:space="0" w:color="auto"/>
              <w:right w:val="single" w:sz="2" w:space="0" w:color="auto"/>
            </w:tcBorders>
          </w:tcPr>
          <w:p w14:paraId="6E32D9C6"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申报单状态</w:t>
            </w:r>
          </w:p>
        </w:tc>
        <w:tc>
          <w:tcPr>
            <w:tcW w:w="996" w:type="pct"/>
            <w:tcBorders>
              <w:top w:val="single" w:sz="2" w:space="0" w:color="auto"/>
              <w:left w:val="single" w:sz="2" w:space="0" w:color="auto"/>
              <w:bottom w:val="single" w:sz="2" w:space="0" w:color="auto"/>
              <w:right w:val="single" w:sz="2" w:space="0" w:color="auto"/>
            </w:tcBorders>
          </w:tcPr>
          <w:p w14:paraId="2FD979A4"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RPTSTS</w:t>
            </w:r>
          </w:p>
        </w:tc>
        <w:tc>
          <w:tcPr>
            <w:tcW w:w="1030" w:type="pct"/>
            <w:tcBorders>
              <w:top w:val="single" w:sz="2" w:space="0" w:color="auto"/>
              <w:left w:val="single" w:sz="2" w:space="0" w:color="auto"/>
              <w:bottom w:val="single" w:sz="2" w:space="0" w:color="auto"/>
              <w:right w:val="single" w:sz="2" w:space="0" w:color="auto"/>
            </w:tcBorders>
          </w:tcPr>
          <w:p w14:paraId="451C5408"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字符型，</w:t>
            </w:r>
            <w:r>
              <w:rPr>
                <w:rFonts w:ascii="黑体" w:eastAsia="黑体" w:hAnsi="黑体" w:cs="Microsoft Sans Serif"/>
                <w:sz w:val="20"/>
                <w:szCs w:val="20"/>
              </w:rPr>
              <w:t>2</w:t>
            </w:r>
          </w:p>
        </w:tc>
        <w:tc>
          <w:tcPr>
            <w:tcW w:w="1578" w:type="pct"/>
            <w:tcBorders>
              <w:top w:val="single" w:sz="2" w:space="0" w:color="auto"/>
              <w:left w:val="single" w:sz="2" w:space="0" w:color="auto"/>
              <w:bottom w:val="single" w:sz="2" w:space="0" w:color="auto"/>
              <w:right w:val="single" w:sz="2" w:space="0" w:color="auto"/>
            </w:tcBorders>
          </w:tcPr>
          <w:p w14:paraId="6AD08D5F" w14:textId="77777777" w:rsidR="00A052DC" w:rsidRDefault="009F0A60">
            <w:pPr>
              <w:rPr>
                <w:rFonts w:ascii="黑体" w:eastAsia="黑体" w:hAnsi="黑体" w:cs="宋体"/>
                <w:sz w:val="20"/>
                <w:szCs w:val="20"/>
              </w:rPr>
            </w:pPr>
            <w:r>
              <w:rPr>
                <w:rFonts w:ascii="黑体" w:eastAsia="黑体" w:hAnsi="黑体" w:cs="宋体" w:hint="eastAsia"/>
                <w:sz w:val="20"/>
                <w:szCs w:val="20"/>
              </w:rPr>
              <w:t>06已审核</w:t>
            </w:r>
          </w:p>
        </w:tc>
      </w:tr>
      <w:tr w:rsidR="00A052DC" w14:paraId="06DBDB72" w14:textId="77777777">
        <w:tc>
          <w:tcPr>
            <w:tcW w:w="1395" w:type="pct"/>
            <w:tcBorders>
              <w:top w:val="single" w:sz="2" w:space="0" w:color="auto"/>
              <w:left w:val="single" w:sz="2" w:space="0" w:color="auto"/>
              <w:bottom w:val="single" w:sz="2" w:space="0" w:color="auto"/>
              <w:right w:val="single" w:sz="2" w:space="0" w:color="auto"/>
            </w:tcBorders>
          </w:tcPr>
          <w:p w14:paraId="059398D6"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删除标志</w:t>
            </w:r>
          </w:p>
        </w:tc>
        <w:tc>
          <w:tcPr>
            <w:tcW w:w="996" w:type="pct"/>
            <w:tcBorders>
              <w:top w:val="single" w:sz="2" w:space="0" w:color="auto"/>
              <w:left w:val="single" w:sz="2" w:space="0" w:color="auto"/>
              <w:bottom w:val="single" w:sz="2" w:space="0" w:color="auto"/>
              <w:right w:val="single" w:sz="2" w:space="0" w:color="auto"/>
            </w:tcBorders>
          </w:tcPr>
          <w:p w14:paraId="0A5B0E15"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DELFLAG</w:t>
            </w:r>
          </w:p>
        </w:tc>
        <w:tc>
          <w:tcPr>
            <w:tcW w:w="1030" w:type="pct"/>
            <w:tcBorders>
              <w:top w:val="single" w:sz="2" w:space="0" w:color="auto"/>
              <w:left w:val="single" w:sz="2" w:space="0" w:color="auto"/>
              <w:bottom w:val="single" w:sz="2" w:space="0" w:color="auto"/>
              <w:right w:val="single" w:sz="2" w:space="0" w:color="auto"/>
            </w:tcBorders>
          </w:tcPr>
          <w:p w14:paraId="6237E1EA"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字符型，</w:t>
            </w:r>
            <w:r>
              <w:rPr>
                <w:rFonts w:ascii="黑体" w:eastAsia="黑体" w:hAnsi="黑体" w:cs="Microsoft Sans Serif"/>
                <w:sz w:val="20"/>
                <w:szCs w:val="20"/>
              </w:rPr>
              <w:t>1</w:t>
            </w:r>
          </w:p>
        </w:tc>
        <w:tc>
          <w:tcPr>
            <w:tcW w:w="1578" w:type="pct"/>
            <w:tcBorders>
              <w:top w:val="single" w:sz="2" w:space="0" w:color="auto"/>
              <w:left w:val="single" w:sz="2" w:space="0" w:color="auto"/>
              <w:bottom w:val="single" w:sz="2" w:space="0" w:color="auto"/>
              <w:right w:val="single" w:sz="2" w:space="0" w:color="auto"/>
            </w:tcBorders>
          </w:tcPr>
          <w:p w14:paraId="14E2C73F" w14:textId="77777777" w:rsidR="00A052DC" w:rsidRDefault="009F0A60">
            <w:pPr>
              <w:rPr>
                <w:rFonts w:ascii="黑体" w:eastAsia="黑体" w:hAnsi="黑体" w:cs="宋体"/>
                <w:sz w:val="20"/>
                <w:szCs w:val="20"/>
              </w:rPr>
            </w:pPr>
            <w:r>
              <w:rPr>
                <w:rFonts w:ascii="黑体" w:eastAsia="黑体" w:hAnsi="黑体" w:cs="宋体"/>
                <w:sz w:val="20"/>
                <w:szCs w:val="20"/>
              </w:rPr>
              <w:t>0-</w:t>
            </w:r>
            <w:r>
              <w:rPr>
                <w:rFonts w:ascii="黑体" w:eastAsia="黑体" w:hAnsi="黑体" w:cs="宋体" w:hint="eastAsia"/>
                <w:sz w:val="20"/>
                <w:szCs w:val="20"/>
              </w:rPr>
              <w:t>未删除</w:t>
            </w:r>
          </w:p>
          <w:p w14:paraId="5B026B51" w14:textId="77777777" w:rsidR="00A052DC" w:rsidRDefault="009F0A60">
            <w:pPr>
              <w:rPr>
                <w:rFonts w:ascii="黑体" w:eastAsia="黑体" w:hAnsi="黑体" w:cs="宋体"/>
                <w:sz w:val="20"/>
                <w:szCs w:val="20"/>
              </w:rPr>
            </w:pPr>
            <w:r>
              <w:rPr>
                <w:rFonts w:ascii="黑体" w:eastAsia="黑体" w:hAnsi="黑体" w:cs="宋体"/>
                <w:sz w:val="20"/>
                <w:szCs w:val="20"/>
              </w:rPr>
              <w:t>3-</w:t>
            </w:r>
            <w:r>
              <w:rPr>
                <w:rFonts w:ascii="黑体" w:eastAsia="黑体" w:hAnsi="黑体" w:cs="宋体" w:hint="eastAsia"/>
                <w:sz w:val="20"/>
                <w:szCs w:val="20"/>
              </w:rPr>
              <w:t>已删除</w:t>
            </w:r>
          </w:p>
        </w:tc>
      </w:tr>
    </w:tbl>
    <w:p w14:paraId="3B7E4FCC" w14:textId="77777777" w:rsidR="00A052DC" w:rsidRDefault="00A052DC"/>
    <w:p w14:paraId="77C82577" w14:textId="77777777" w:rsidR="00A052DC" w:rsidRDefault="009F0A60" w:rsidP="0020251D">
      <w:pPr>
        <w:pStyle w:val="4"/>
        <w:numPr>
          <w:ilvl w:val="3"/>
          <w:numId w:val="1"/>
        </w:numPr>
        <w:jc w:val="left"/>
      </w:pPr>
      <w:bookmarkStart w:id="4483" w:name="_Toc454394931"/>
      <w:bookmarkStart w:id="4484" w:name="_Toc310599126"/>
      <w:r>
        <w:rPr>
          <w:rFonts w:hint="eastAsia"/>
        </w:rPr>
        <w:t>境内收入申报单</w:t>
      </w:r>
      <w:bookmarkEnd w:id="4483"/>
      <w:bookmarkEnd w:id="4484"/>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3" w:type="dxa"/>
          <w:right w:w="113" w:type="dxa"/>
        </w:tblCellMar>
        <w:tblLook w:val="04A0" w:firstRow="1" w:lastRow="0" w:firstColumn="1" w:lastColumn="0" w:noHBand="0" w:noVBand="1"/>
      </w:tblPr>
      <w:tblGrid>
        <w:gridCol w:w="2381"/>
        <w:gridCol w:w="1700"/>
        <w:gridCol w:w="1758"/>
        <w:gridCol w:w="2693"/>
      </w:tblGrid>
      <w:tr w:rsidR="00A052DC" w14:paraId="12921D09" w14:textId="77777777">
        <w:trPr>
          <w:tblHeader/>
        </w:trPr>
        <w:tc>
          <w:tcPr>
            <w:tcW w:w="1395" w:type="pct"/>
            <w:shd w:val="clear" w:color="auto" w:fill="C0C0C0"/>
          </w:tcPr>
          <w:p w14:paraId="545236B2" w14:textId="77777777" w:rsidR="00A052DC" w:rsidRDefault="009F0A60">
            <w:pPr>
              <w:jc w:val="center"/>
              <w:rPr>
                <w:rFonts w:ascii="黑体" w:eastAsia="黑体" w:hAnsi="黑体"/>
                <w:b/>
                <w:sz w:val="20"/>
                <w:szCs w:val="20"/>
              </w:rPr>
            </w:pPr>
            <w:r>
              <w:rPr>
                <w:rFonts w:ascii="黑体" w:eastAsia="黑体" w:hAnsi="黑体" w:hint="eastAsia"/>
                <w:b/>
                <w:sz w:val="20"/>
                <w:szCs w:val="20"/>
              </w:rPr>
              <w:t>名称</w:t>
            </w:r>
          </w:p>
        </w:tc>
        <w:tc>
          <w:tcPr>
            <w:tcW w:w="996" w:type="pct"/>
            <w:shd w:val="clear" w:color="auto" w:fill="C0C0C0"/>
          </w:tcPr>
          <w:p w14:paraId="71093D3A" w14:textId="77777777" w:rsidR="00A052DC" w:rsidRDefault="009F0A60">
            <w:pPr>
              <w:jc w:val="center"/>
              <w:rPr>
                <w:rFonts w:ascii="黑体" w:eastAsia="黑体" w:hAnsi="黑体"/>
                <w:b/>
                <w:sz w:val="20"/>
                <w:szCs w:val="20"/>
              </w:rPr>
            </w:pPr>
            <w:r>
              <w:rPr>
                <w:rFonts w:ascii="黑体" w:eastAsia="黑体" w:hAnsi="黑体" w:hint="eastAsia"/>
                <w:b/>
                <w:sz w:val="20"/>
                <w:szCs w:val="20"/>
              </w:rPr>
              <w:t>代码</w:t>
            </w:r>
          </w:p>
        </w:tc>
        <w:tc>
          <w:tcPr>
            <w:tcW w:w="1030" w:type="pct"/>
            <w:shd w:val="clear" w:color="auto" w:fill="C0C0C0"/>
          </w:tcPr>
          <w:p w14:paraId="0A7ECFDC" w14:textId="77777777" w:rsidR="00A052DC" w:rsidRDefault="009F0A60">
            <w:pPr>
              <w:jc w:val="center"/>
              <w:rPr>
                <w:rFonts w:ascii="黑体" w:eastAsia="黑体" w:hAnsi="黑体"/>
                <w:b/>
                <w:sz w:val="20"/>
                <w:szCs w:val="20"/>
              </w:rPr>
            </w:pPr>
            <w:r>
              <w:rPr>
                <w:rFonts w:ascii="黑体" w:eastAsia="黑体" w:hAnsi="黑体" w:hint="eastAsia"/>
                <w:b/>
                <w:sz w:val="20"/>
                <w:szCs w:val="20"/>
              </w:rPr>
              <w:t>数据（长度）</w:t>
            </w:r>
          </w:p>
        </w:tc>
        <w:tc>
          <w:tcPr>
            <w:tcW w:w="1578" w:type="pct"/>
            <w:shd w:val="clear" w:color="auto" w:fill="C0C0C0"/>
          </w:tcPr>
          <w:p w14:paraId="3DF8F314" w14:textId="77777777" w:rsidR="00A052DC" w:rsidRDefault="009F0A60">
            <w:pPr>
              <w:jc w:val="center"/>
              <w:rPr>
                <w:rFonts w:ascii="黑体" w:eastAsia="黑体" w:hAnsi="黑体"/>
                <w:b/>
                <w:sz w:val="20"/>
                <w:szCs w:val="20"/>
              </w:rPr>
            </w:pPr>
            <w:r>
              <w:rPr>
                <w:rFonts w:ascii="黑体" w:eastAsia="黑体" w:hAnsi="黑体" w:hint="eastAsia"/>
                <w:b/>
                <w:sz w:val="20"/>
                <w:szCs w:val="20"/>
              </w:rPr>
              <w:t>注释</w:t>
            </w:r>
          </w:p>
        </w:tc>
      </w:tr>
      <w:tr w:rsidR="00A052DC" w14:paraId="7330CAD5" w14:textId="77777777">
        <w:tc>
          <w:tcPr>
            <w:tcW w:w="1395" w:type="pct"/>
          </w:tcPr>
          <w:p w14:paraId="0A70A2C9" w14:textId="77777777" w:rsidR="00A052DC" w:rsidRDefault="009F0A60">
            <w:pPr>
              <w:rPr>
                <w:rFonts w:ascii="黑体" w:eastAsia="黑体" w:hAnsi="黑体"/>
                <w:sz w:val="20"/>
                <w:szCs w:val="20"/>
              </w:rPr>
            </w:pPr>
            <w:r>
              <w:rPr>
                <w:rFonts w:ascii="黑体" w:eastAsia="黑体" w:hAnsi="黑体" w:hint="eastAsia"/>
                <w:sz w:val="20"/>
                <w:szCs w:val="20"/>
              </w:rPr>
              <w:t>申报号码</w:t>
            </w:r>
          </w:p>
        </w:tc>
        <w:tc>
          <w:tcPr>
            <w:tcW w:w="996" w:type="pct"/>
          </w:tcPr>
          <w:p w14:paraId="1E21BB8F"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RPTNO</w:t>
            </w:r>
          </w:p>
        </w:tc>
        <w:tc>
          <w:tcPr>
            <w:tcW w:w="1030" w:type="pct"/>
          </w:tcPr>
          <w:p w14:paraId="0F251BD1" w14:textId="77777777" w:rsidR="00A052DC" w:rsidRDefault="009F0A60">
            <w:pPr>
              <w:adjustRightInd w:val="0"/>
              <w:spacing w:before="20" w:after="20"/>
              <w:ind w:left="80" w:right="80"/>
              <w:rPr>
                <w:rFonts w:ascii="黑体" w:eastAsia="黑体" w:hAnsi="黑体" w:cs="宋体"/>
                <w:sz w:val="20"/>
                <w:szCs w:val="20"/>
              </w:rPr>
            </w:pPr>
            <w:r>
              <w:rPr>
                <w:rFonts w:ascii="黑体" w:eastAsia="黑体" w:hAnsi="黑体" w:hint="eastAsia"/>
                <w:sz w:val="20"/>
                <w:szCs w:val="20"/>
              </w:rPr>
              <w:t>字符型，</w:t>
            </w:r>
            <w:r>
              <w:rPr>
                <w:rFonts w:ascii="黑体" w:eastAsia="黑体" w:hAnsi="黑体"/>
                <w:sz w:val="20"/>
                <w:szCs w:val="20"/>
              </w:rPr>
              <w:t>22</w:t>
            </w:r>
          </w:p>
        </w:tc>
        <w:tc>
          <w:tcPr>
            <w:tcW w:w="1578" w:type="pct"/>
          </w:tcPr>
          <w:p w14:paraId="1DA8E39D" w14:textId="77777777" w:rsidR="00A052DC" w:rsidRDefault="00A052DC">
            <w:pPr>
              <w:rPr>
                <w:rFonts w:ascii="黑体" w:eastAsia="黑体" w:hAnsi="黑体" w:cs="宋体"/>
                <w:sz w:val="20"/>
                <w:szCs w:val="20"/>
              </w:rPr>
            </w:pPr>
          </w:p>
        </w:tc>
      </w:tr>
      <w:tr w:rsidR="00A052DC" w14:paraId="1A46621E" w14:textId="77777777">
        <w:tc>
          <w:tcPr>
            <w:tcW w:w="1395" w:type="pct"/>
          </w:tcPr>
          <w:p w14:paraId="31E2548D" w14:textId="77777777" w:rsidR="00A052DC" w:rsidRDefault="009F0A60">
            <w:pPr>
              <w:rPr>
                <w:rFonts w:ascii="黑体" w:eastAsia="黑体" w:hAnsi="黑体"/>
                <w:sz w:val="20"/>
                <w:szCs w:val="20"/>
              </w:rPr>
            </w:pPr>
            <w:r>
              <w:rPr>
                <w:rFonts w:ascii="黑体" w:eastAsia="黑体" w:hAnsi="黑体" w:hint="eastAsia"/>
                <w:sz w:val="20"/>
                <w:szCs w:val="20"/>
              </w:rPr>
              <w:t>收款人类型</w:t>
            </w:r>
          </w:p>
        </w:tc>
        <w:tc>
          <w:tcPr>
            <w:tcW w:w="996" w:type="pct"/>
          </w:tcPr>
          <w:p w14:paraId="52D272C6"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PAYEETYPE</w:t>
            </w:r>
          </w:p>
        </w:tc>
        <w:tc>
          <w:tcPr>
            <w:tcW w:w="1030" w:type="pct"/>
          </w:tcPr>
          <w:p w14:paraId="6E89EFB1" w14:textId="77777777" w:rsidR="00A052DC" w:rsidRDefault="009F0A60">
            <w:pPr>
              <w:adjustRightInd w:val="0"/>
              <w:spacing w:before="20" w:after="20"/>
              <w:ind w:right="80" w:firstLineChars="50" w:firstLine="100"/>
              <w:rPr>
                <w:rFonts w:ascii="黑体" w:eastAsia="黑体" w:hAnsi="黑体" w:cs="宋体"/>
                <w:sz w:val="20"/>
                <w:szCs w:val="20"/>
              </w:rPr>
            </w:pPr>
            <w:r>
              <w:rPr>
                <w:rFonts w:ascii="黑体" w:eastAsia="黑体" w:hAnsi="黑体" w:hint="eastAsia"/>
                <w:sz w:val="20"/>
                <w:szCs w:val="20"/>
              </w:rPr>
              <w:t>字符型，</w:t>
            </w:r>
            <w:r>
              <w:rPr>
                <w:rFonts w:ascii="黑体" w:eastAsia="黑体" w:hAnsi="黑体"/>
                <w:sz w:val="20"/>
                <w:szCs w:val="20"/>
              </w:rPr>
              <w:t>1</w:t>
            </w:r>
          </w:p>
        </w:tc>
        <w:tc>
          <w:tcPr>
            <w:tcW w:w="1578" w:type="pct"/>
          </w:tcPr>
          <w:p w14:paraId="3CBD4A5E" w14:textId="77777777" w:rsidR="00A052DC" w:rsidRDefault="009F0A60">
            <w:pPr>
              <w:rPr>
                <w:rFonts w:ascii="黑体" w:eastAsia="黑体" w:hAnsi="黑体" w:cs="宋体"/>
                <w:sz w:val="20"/>
                <w:szCs w:val="20"/>
              </w:rPr>
            </w:pPr>
            <w:r>
              <w:rPr>
                <w:rFonts w:ascii="黑体" w:eastAsia="黑体" w:hAnsi="黑体" w:cs="宋体"/>
                <w:sz w:val="20"/>
                <w:szCs w:val="20"/>
              </w:rPr>
              <w:t>C</w:t>
            </w:r>
            <w:r w:rsidR="00AE4602">
              <w:rPr>
                <w:rFonts w:ascii="黑体" w:eastAsia="黑体" w:hAnsi="黑体" w:cs="宋体"/>
                <w:sz w:val="20"/>
                <w:szCs w:val="20"/>
              </w:rPr>
              <w:t>-</w:t>
            </w:r>
            <w:r>
              <w:rPr>
                <w:rFonts w:ascii="黑体" w:eastAsia="黑体" w:hAnsi="黑体" w:cs="宋体"/>
                <w:sz w:val="20"/>
                <w:szCs w:val="20"/>
              </w:rPr>
              <w:t>对公</w:t>
            </w:r>
          </w:p>
          <w:p w14:paraId="44DAD5BC" w14:textId="77777777" w:rsidR="00A052DC" w:rsidRDefault="009F0A60">
            <w:pPr>
              <w:adjustRightInd w:val="0"/>
              <w:spacing w:before="20" w:after="20"/>
              <w:ind w:right="80"/>
              <w:rPr>
                <w:rFonts w:ascii="黑体" w:eastAsia="黑体" w:hAnsi="黑体" w:cs="宋体"/>
                <w:sz w:val="20"/>
                <w:szCs w:val="20"/>
              </w:rPr>
            </w:pPr>
            <w:r>
              <w:rPr>
                <w:rFonts w:ascii="黑体" w:eastAsia="黑体" w:hAnsi="黑体" w:cs="宋体"/>
                <w:sz w:val="20"/>
                <w:szCs w:val="20"/>
              </w:rPr>
              <w:t>D</w:t>
            </w:r>
            <w:r w:rsidR="00AE4602">
              <w:rPr>
                <w:rFonts w:ascii="黑体" w:eastAsia="黑体" w:hAnsi="黑体" w:cs="宋体"/>
                <w:sz w:val="20"/>
                <w:szCs w:val="20"/>
              </w:rPr>
              <w:t>-</w:t>
            </w:r>
            <w:r>
              <w:rPr>
                <w:rFonts w:ascii="黑体" w:eastAsia="黑体" w:hAnsi="黑体" w:cs="宋体"/>
                <w:sz w:val="20"/>
                <w:szCs w:val="20"/>
              </w:rPr>
              <w:t>对私</w:t>
            </w:r>
          </w:p>
        </w:tc>
      </w:tr>
      <w:tr w:rsidR="00A052DC" w14:paraId="6E4DA1AC" w14:textId="77777777">
        <w:tc>
          <w:tcPr>
            <w:tcW w:w="1395" w:type="pct"/>
          </w:tcPr>
          <w:p w14:paraId="192EE40E"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个人身份证件号码</w:t>
            </w:r>
          </w:p>
        </w:tc>
        <w:tc>
          <w:tcPr>
            <w:tcW w:w="996" w:type="pct"/>
          </w:tcPr>
          <w:p w14:paraId="36EFA7AE"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IDCODE</w:t>
            </w:r>
          </w:p>
        </w:tc>
        <w:tc>
          <w:tcPr>
            <w:tcW w:w="1030" w:type="pct"/>
          </w:tcPr>
          <w:p w14:paraId="230099B3" w14:textId="77777777" w:rsidR="00A052DC" w:rsidRDefault="009F0A60">
            <w:pPr>
              <w:adjustRightInd w:val="0"/>
              <w:spacing w:before="20" w:after="20"/>
              <w:ind w:left="80" w:right="80"/>
              <w:rPr>
                <w:rFonts w:ascii="黑体" w:eastAsia="黑体" w:hAnsi="黑体" w:cs="宋体"/>
                <w:sz w:val="20"/>
                <w:szCs w:val="20"/>
              </w:rPr>
            </w:pPr>
            <w:r>
              <w:rPr>
                <w:rFonts w:ascii="黑体" w:eastAsia="黑体" w:hAnsi="黑体" w:hint="eastAsia"/>
                <w:sz w:val="20"/>
                <w:szCs w:val="20"/>
              </w:rPr>
              <w:t>字符型，</w:t>
            </w:r>
            <w:r>
              <w:rPr>
                <w:rFonts w:ascii="黑体" w:eastAsia="黑体" w:hAnsi="黑体"/>
                <w:sz w:val="20"/>
                <w:szCs w:val="20"/>
              </w:rPr>
              <w:t>32</w:t>
            </w:r>
          </w:p>
        </w:tc>
        <w:tc>
          <w:tcPr>
            <w:tcW w:w="1578" w:type="pct"/>
          </w:tcPr>
          <w:p w14:paraId="6915398C" w14:textId="77777777" w:rsidR="00A052DC" w:rsidRDefault="00A052DC">
            <w:pPr>
              <w:rPr>
                <w:rFonts w:ascii="黑体" w:eastAsia="黑体" w:hAnsi="黑体" w:cs="宋体"/>
                <w:sz w:val="20"/>
                <w:szCs w:val="20"/>
              </w:rPr>
            </w:pPr>
          </w:p>
        </w:tc>
      </w:tr>
      <w:tr w:rsidR="00A052DC" w14:paraId="7D5A262F" w14:textId="77777777">
        <w:tc>
          <w:tcPr>
            <w:tcW w:w="1395" w:type="pct"/>
          </w:tcPr>
          <w:p w14:paraId="33404051"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主体标识码</w:t>
            </w:r>
          </w:p>
        </w:tc>
        <w:tc>
          <w:tcPr>
            <w:tcW w:w="996" w:type="pct"/>
          </w:tcPr>
          <w:p w14:paraId="42F02E94"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UNITCODE</w:t>
            </w:r>
          </w:p>
        </w:tc>
        <w:tc>
          <w:tcPr>
            <w:tcW w:w="1030" w:type="pct"/>
          </w:tcPr>
          <w:p w14:paraId="1337C4BA" w14:textId="77777777" w:rsidR="00A052DC" w:rsidRDefault="009F0A60">
            <w:pPr>
              <w:adjustRightInd w:val="0"/>
              <w:spacing w:before="20" w:after="20"/>
              <w:ind w:right="80" w:firstLineChars="50" w:firstLine="100"/>
              <w:rPr>
                <w:rFonts w:ascii="黑体" w:eastAsia="黑体" w:hAnsi="黑体" w:cs="宋体"/>
                <w:sz w:val="20"/>
                <w:szCs w:val="20"/>
              </w:rPr>
            </w:pPr>
            <w:r>
              <w:rPr>
                <w:rFonts w:ascii="黑体" w:eastAsia="黑体" w:hAnsi="黑体" w:hint="eastAsia"/>
                <w:sz w:val="20"/>
                <w:szCs w:val="20"/>
              </w:rPr>
              <w:t>字符型，</w:t>
            </w:r>
            <w:r>
              <w:rPr>
                <w:rFonts w:ascii="黑体" w:eastAsia="黑体" w:hAnsi="黑体"/>
                <w:sz w:val="20"/>
                <w:szCs w:val="20"/>
              </w:rPr>
              <w:t>18</w:t>
            </w:r>
          </w:p>
        </w:tc>
        <w:tc>
          <w:tcPr>
            <w:tcW w:w="1578" w:type="pct"/>
          </w:tcPr>
          <w:p w14:paraId="5D82C8B1" w14:textId="77777777" w:rsidR="00A052DC" w:rsidRDefault="009F0A60">
            <w:pPr>
              <w:rPr>
                <w:rFonts w:ascii="黑体" w:eastAsia="黑体" w:hAnsi="黑体" w:cs="宋体"/>
                <w:sz w:val="20"/>
                <w:szCs w:val="20"/>
              </w:rPr>
            </w:pPr>
            <w:r>
              <w:rPr>
                <w:rFonts w:ascii="黑体" w:eastAsia="黑体" w:hAnsi="黑体" w:cs="宋体" w:hint="eastAsia"/>
                <w:sz w:val="20"/>
                <w:szCs w:val="20"/>
              </w:rPr>
              <w:t>指统一社会信用代码法定载体（如营业执照）上统一社会信用代码中的第9至17位或国家外汇管理局及其分支局签发的特殊机构代码赋码通知书上的机构代码。</w:t>
            </w:r>
          </w:p>
        </w:tc>
      </w:tr>
      <w:tr w:rsidR="00A052DC" w14:paraId="1FA30C05" w14:textId="77777777">
        <w:tc>
          <w:tcPr>
            <w:tcW w:w="1395" w:type="pct"/>
          </w:tcPr>
          <w:p w14:paraId="0677CAE5"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收款人名称</w:t>
            </w:r>
          </w:p>
        </w:tc>
        <w:tc>
          <w:tcPr>
            <w:tcW w:w="996" w:type="pct"/>
          </w:tcPr>
          <w:p w14:paraId="3CAF635F"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CUSTNAME</w:t>
            </w:r>
          </w:p>
        </w:tc>
        <w:tc>
          <w:tcPr>
            <w:tcW w:w="1030" w:type="pct"/>
          </w:tcPr>
          <w:p w14:paraId="2F84057C" w14:textId="77777777" w:rsidR="00A052DC" w:rsidRDefault="009F0A60">
            <w:pPr>
              <w:adjustRightInd w:val="0"/>
              <w:spacing w:before="20" w:after="20"/>
              <w:ind w:left="80" w:right="80"/>
              <w:rPr>
                <w:rFonts w:ascii="黑体" w:eastAsia="黑体" w:hAnsi="黑体" w:cs="宋体"/>
                <w:sz w:val="20"/>
                <w:szCs w:val="20"/>
              </w:rPr>
            </w:pPr>
            <w:r>
              <w:rPr>
                <w:rFonts w:ascii="黑体" w:eastAsia="黑体" w:hAnsi="黑体" w:hint="eastAsia"/>
                <w:sz w:val="20"/>
                <w:szCs w:val="20"/>
              </w:rPr>
              <w:t>字符型，</w:t>
            </w:r>
            <w:r>
              <w:rPr>
                <w:rFonts w:ascii="黑体" w:eastAsia="黑体" w:hAnsi="黑体"/>
                <w:sz w:val="20"/>
                <w:szCs w:val="20"/>
              </w:rPr>
              <w:t>128</w:t>
            </w:r>
          </w:p>
        </w:tc>
        <w:tc>
          <w:tcPr>
            <w:tcW w:w="1578" w:type="pct"/>
          </w:tcPr>
          <w:p w14:paraId="76D334F1" w14:textId="77777777" w:rsidR="00A052DC" w:rsidRDefault="00A052DC">
            <w:pPr>
              <w:rPr>
                <w:rFonts w:ascii="黑体" w:eastAsia="黑体" w:hAnsi="黑体" w:cs="宋体"/>
                <w:sz w:val="20"/>
                <w:szCs w:val="20"/>
              </w:rPr>
            </w:pPr>
          </w:p>
        </w:tc>
      </w:tr>
      <w:tr w:rsidR="00A052DC" w14:paraId="4D761EDD" w14:textId="77777777">
        <w:tc>
          <w:tcPr>
            <w:tcW w:w="1395" w:type="pct"/>
          </w:tcPr>
          <w:p w14:paraId="4D10E911" w14:textId="77777777" w:rsidR="00A052DC" w:rsidRDefault="009F0A60">
            <w:pPr>
              <w:rPr>
                <w:rFonts w:ascii="黑体" w:eastAsia="黑体" w:hAnsi="黑体" w:cs="Microsoft Sans Serif"/>
                <w:sz w:val="20"/>
                <w:szCs w:val="20"/>
              </w:rPr>
            </w:pPr>
            <w:r>
              <w:rPr>
                <w:rFonts w:ascii="黑体" w:eastAsia="黑体" w:hAnsi="黑体" w:hint="eastAsia"/>
                <w:sz w:val="20"/>
                <w:szCs w:val="20"/>
              </w:rPr>
              <w:t>付款人名称</w:t>
            </w:r>
          </w:p>
        </w:tc>
        <w:tc>
          <w:tcPr>
            <w:tcW w:w="996" w:type="pct"/>
          </w:tcPr>
          <w:p w14:paraId="1CCA156F"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OPPNAME</w:t>
            </w:r>
          </w:p>
        </w:tc>
        <w:tc>
          <w:tcPr>
            <w:tcW w:w="1030" w:type="pct"/>
          </w:tcPr>
          <w:p w14:paraId="0FA4F827" w14:textId="77777777" w:rsidR="00A052DC" w:rsidRDefault="009F0A60">
            <w:pPr>
              <w:adjustRightInd w:val="0"/>
              <w:spacing w:before="20" w:after="20"/>
              <w:ind w:left="80" w:right="80"/>
              <w:rPr>
                <w:rFonts w:ascii="黑体" w:eastAsia="黑体" w:hAnsi="黑体" w:cs="宋体"/>
                <w:sz w:val="20"/>
                <w:szCs w:val="20"/>
              </w:rPr>
            </w:pPr>
            <w:r>
              <w:rPr>
                <w:rFonts w:ascii="黑体" w:eastAsia="黑体" w:hAnsi="黑体" w:hint="eastAsia"/>
                <w:sz w:val="20"/>
                <w:szCs w:val="20"/>
              </w:rPr>
              <w:t>字符型，</w:t>
            </w:r>
            <w:r>
              <w:rPr>
                <w:rFonts w:ascii="黑体" w:eastAsia="黑体" w:hAnsi="黑体"/>
                <w:sz w:val="20"/>
                <w:szCs w:val="20"/>
              </w:rPr>
              <w:t>128</w:t>
            </w:r>
          </w:p>
        </w:tc>
        <w:tc>
          <w:tcPr>
            <w:tcW w:w="1578" w:type="pct"/>
          </w:tcPr>
          <w:p w14:paraId="46D0A5D1" w14:textId="77777777" w:rsidR="00A052DC" w:rsidRDefault="00A052DC">
            <w:pPr>
              <w:rPr>
                <w:rFonts w:ascii="黑体" w:eastAsia="黑体" w:hAnsi="黑体" w:cs="宋体"/>
                <w:sz w:val="20"/>
                <w:szCs w:val="20"/>
              </w:rPr>
            </w:pPr>
          </w:p>
        </w:tc>
      </w:tr>
      <w:tr w:rsidR="00A052DC" w14:paraId="0D3BD7D7" w14:textId="77777777">
        <w:tc>
          <w:tcPr>
            <w:tcW w:w="1395" w:type="pct"/>
          </w:tcPr>
          <w:p w14:paraId="478AD941"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收入款币种</w:t>
            </w:r>
          </w:p>
        </w:tc>
        <w:tc>
          <w:tcPr>
            <w:tcW w:w="996" w:type="pct"/>
          </w:tcPr>
          <w:p w14:paraId="34BD6BB4"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TXCCY</w:t>
            </w:r>
          </w:p>
        </w:tc>
        <w:tc>
          <w:tcPr>
            <w:tcW w:w="1030" w:type="pct"/>
          </w:tcPr>
          <w:p w14:paraId="61D9B11B" w14:textId="77777777" w:rsidR="00A052DC" w:rsidRDefault="009F0A60">
            <w:pPr>
              <w:adjustRightInd w:val="0"/>
              <w:spacing w:before="20" w:after="20"/>
              <w:ind w:left="80" w:right="80"/>
              <w:rPr>
                <w:rFonts w:ascii="黑体" w:eastAsia="黑体" w:hAnsi="黑体" w:cs="宋体"/>
                <w:sz w:val="20"/>
                <w:szCs w:val="20"/>
              </w:rPr>
            </w:pPr>
            <w:r>
              <w:rPr>
                <w:rFonts w:ascii="黑体" w:eastAsia="黑体" w:hAnsi="黑体" w:hint="eastAsia"/>
                <w:sz w:val="20"/>
                <w:szCs w:val="20"/>
              </w:rPr>
              <w:t>字符型，</w:t>
            </w:r>
            <w:r>
              <w:rPr>
                <w:rFonts w:ascii="黑体" w:eastAsia="黑体" w:hAnsi="黑体"/>
                <w:sz w:val="20"/>
                <w:szCs w:val="20"/>
              </w:rPr>
              <w:t>3</w:t>
            </w:r>
          </w:p>
        </w:tc>
        <w:tc>
          <w:tcPr>
            <w:tcW w:w="1578" w:type="pct"/>
          </w:tcPr>
          <w:p w14:paraId="776C350B" w14:textId="77777777" w:rsidR="00A052DC" w:rsidRDefault="00A052DC">
            <w:pPr>
              <w:rPr>
                <w:rFonts w:ascii="黑体" w:eastAsia="黑体" w:hAnsi="黑体" w:cs="宋体"/>
                <w:sz w:val="20"/>
                <w:szCs w:val="20"/>
              </w:rPr>
            </w:pPr>
          </w:p>
        </w:tc>
      </w:tr>
      <w:tr w:rsidR="00A052DC" w14:paraId="46A28E23" w14:textId="77777777">
        <w:tc>
          <w:tcPr>
            <w:tcW w:w="1395" w:type="pct"/>
          </w:tcPr>
          <w:p w14:paraId="4BD41BDC"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收入款金额</w:t>
            </w:r>
          </w:p>
        </w:tc>
        <w:tc>
          <w:tcPr>
            <w:tcW w:w="996" w:type="pct"/>
          </w:tcPr>
          <w:p w14:paraId="233DAF13"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TXAMT</w:t>
            </w:r>
          </w:p>
        </w:tc>
        <w:tc>
          <w:tcPr>
            <w:tcW w:w="1030" w:type="pct"/>
          </w:tcPr>
          <w:p w14:paraId="107231D0" w14:textId="77777777" w:rsidR="00A052DC" w:rsidRDefault="009F0A60">
            <w:pPr>
              <w:adjustRightInd w:val="0"/>
              <w:spacing w:before="20" w:after="20"/>
              <w:ind w:left="80" w:right="80"/>
              <w:rPr>
                <w:rFonts w:ascii="黑体" w:eastAsia="黑体" w:hAnsi="黑体" w:cs="宋体"/>
                <w:sz w:val="20"/>
                <w:szCs w:val="20"/>
              </w:rPr>
            </w:pPr>
            <w:r>
              <w:rPr>
                <w:rFonts w:ascii="黑体" w:eastAsia="黑体" w:hAnsi="黑体" w:hint="eastAsia"/>
                <w:sz w:val="20"/>
                <w:szCs w:val="20"/>
              </w:rPr>
              <w:t>数值型，</w:t>
            </w:r>
            <w:r>
              <w:rPr>
                <w:rFonts w:ascii="黑体" w:eastAsia="黑体" w:hAnsi="黑体"/>
                <w:sz w:val="20"/>
                <w:szCs w:val="20"/>
              </w:rPr>
              <w:t>22.0</w:t>
            </w:r>
          </w:p>
        </w:tc>
        <w:tc>
          <w:tcPr>
            <w:tcW w:w="1578" w:type="pct"/>
          </w:tcPr>
          <w:p w14:paraId="07EDBE1A" w14:textId="77777777" w:rsidR="00A052DC" w:rsidRDefault="00A052DC">
            <w:pPr>
              <w:rPr>
                <w:rFonts w:ascii="黑体" w:eastAsia="黑体" w:hAnsi="黑体" w:cs="宋体"/>
                <w:sz w:val="20"/>
                <w:szCs w:val="20"/>
              </w:rPr>
            </w:pPr>
          </w:p>
        </w:tc>
      </w:tr>
      <w:tr w:rsidR="00A052DC" w14:paraId="458BDA85" w14:textId="77777777">
        <w:tc>
          <w:tcPr>
            <w:tcW w:w="1395" w:type="pct"/>
          </w:tcPr>
          <w:p w14:paraId="6533B260"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结汇汇率</w:t>
            </w:r>
          </w:p>
        </w:tc>
        <w:tc>
          <w:tcPr>
            <w:tcW w:w="996" w:type="pct"/>
          </w:tcPr>
          <w:p w14:paraId="0B4EE8AA"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EXRATE</w:t>
            </w:r>
          </w:p>
        </w:tc>
        <w:tc>
          <w:tcPr>
            <w:tcW w:w="1030" w:type="pct"/>
          </w:tcPr>
          <w:p w14:paraId="6D4088CA" w14:textId="77777777" w:rsidR="00A052DC" w:rsidRDefault="009F0A60">
            <w:pPr>
              <w:adjustRightInd w:val="0"/>
              <w:spacing w:before="20" w:after="20"/>
              <w:ind w:left="80" w:right="80"/>
              <w:rPr>
                <w:rFonts w:ascii="黑体" w:eastAsia="黑体" w:hAnsi="黑体" w:cs="宋体"/>
                <w:sz w:val="20"/>
                <w:szCs w:val="20"/>
              </w:rPr>
            </w:pPr>
            <w:r>
              <w:rPr>
                <w:rFonts w:ascii="黑体" w:eastAsia="黑体" w:hAnsi="黑体" w:hint="eastAsia"/>
                <w:sz w:val="20"/>
                <w:szCs w:val="20"/>
              </w:rPr>
              <w:t>数值型，</w:t>
            </w:r>
            <w:r>
              <w:rPr>
                <w:rFonts w:ascii="黑体" w:eastAsia="黑体" w:hAnsi="黑体"/>
                <w:sz w:val="20"/>
                <w:szCs w:val="20"/>
              </w:rPr>
              <w:t>13.8</w:t>
            </w:r>
          </w:p>
        </w:tc>
        <w:tc>
          <w:tcPr>
            <w:tcW w:w="1578" w:type="pct"/>
          </w:tcPr>
          <w:p w14:paraId="5FCC8EB7" w14:textId="77777777" w:rsidR="00A052DC" w:rsidRDefault="00A052DC">
            <w:pPr>
              <w:rPr>
                <w:rFonts w:ascii="黑体" w:eastAsia="黑体" w:hAnsi="黑体" w:cs="宋体"/>
                <w:sz w:val="20"/>
                <w:szCs w:val="20"/>
              </w:rPr>
            </w:pPr>
          </w:p>
        </w:tc>
      </w:tr>
      <w:tr w:rsidR="00A052DC" w14:paraId="3DC8DF2A" w14:textId="77777777">
        <w:tc>
          <w:tcPr>
            <w:tcW w:w="1395" w:type="pct"/>
          </w:tcPr>
          <w:p w14:paraId="214B0A91"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结汇金额</w:t>
            </w:r>
          </w:p>
        </w:tc>
        <w:tc>
          <w:tcPr>
            <w:tcW w:w="996" w:type="pct"/>
          </w:tcPr>
          <w:p w14:paraId="56E125E1"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LCYAMT</w:t>
            </w:r>
          </w:p>
        </w:tc>
        <w:tc>
          <w:tcPr>
            <w:tcW w:w="1030" w:type="pct"/>
          </w:tcPr>
          <w:p w14:paraId="16771457" w14:textId="77777777" w:rsidR="00A052DC" w:rsidRDefault="009F0A60">
            <w:pPr>
              <w:adjustRightInd w:val="0"/>
              <w:spacing w:before="20" w:after="20"/>
              <w:ind w:left="80" w:right="80"/>
              <w:rPr>
                <w:rFonts w:ascii="黑体" w:eastAsia="黑体" w:hAnsi="黑体" w:cs="宋体"/>
                <w:sz w:val="20"/>
                <w:szCs w:val="20"/>
              </w:rPr>
            </w:pPr>
            <w:r>
              <w:rPr>
                <w:rFonts w:ascii="黑体" w:eastAsia="黑体" w:hAnsi="黑体" w:hint="eastAsia"/>
                <w:sz w:val="20"/>
                <w:szCs w:val="20"/>
              </w:rPr>
              <w:t>数值型，</w:t>
            </w:r>
            <w:r>
              <w:rPr>
                <w:rFonts w:ascii="黑体" w:eastAsia="黑体" w:hAnsi="黑体"/>
                <w:sz w:val="20"/>
                <w:szCs w:val="20"/>
              </w:rPr>
              <w:t>22.0</w:t>
            </w:r>
          </w:p>
        </w:tc>
        <w:tc>
          <w:tcPr>
            <w:tcW w:w="1578" w:type="pct"/>
          </w:tcPr>
          <w:p w14:paraId="7153FAC9" w14:textId="77777777" w:rsidR="00A052DC" w:rsidRDefault="00A052DC">
            <w:pPr>
              <w:rPr>
                <w:rFonts w:ascii="黑体" w:eastAsia="黑体" w:hAnsi="黑体" w:cs="宋体"/>
                <w:sz w:val="20"/>
                <w:szCs w:val="20"/>
              </w:rPr>
            </w:pPr>
          </w:p>
        </w:tc>
      </w:tr>
      <w:tr w:rsidR="00A052DC" w14:paraId="7446B4EE" w14:textId="77777777">
        <w:tc>
          <w:tcPr>
            <w:tcW w:w="1395" w:type="pct"/>
          </w:tcPr>
          <w:p w14:paraId="5E2628B2" w14:textId="77777777" w:rsidR="00A052DC" w:rsidRDefault="009F0A60">
            <w:pPr>
              <w:rPr>
                <w:rFonts w:ascii="黑体" w:eastAsia="黑体" w:hAnsi="黑体" w:cs="Microsoft Sans Serif"/>
                <w:sz w:val="20"/>
                <w:szCs w:val="20"/>
              </w:rPr>
            </w:pPr>
            <w:r>
              <w:rPr>
                <w:rFonts w:ascii="黑体" w:eastAsia="黑体" w:hAnsi="黑体" w:hint="eastAsia"/>
                <w:sz w:val="20"/>
                <w:szCs w:val="20"/>
              </w:rPr>
              <w:t>人民币账号</w:t>
            </w:r>
            <w:r>
              <w:rPr>
                <w:rFonts w:ascii="黑体" w:eastAsia="黑体" w:hAnsi="黑体"/>
                <w:sz w:val="20"/>
                <w:szCs w:val="20"/>
              </w:rPr>
              <w:t>/银行卡号</w:t>
            </w:r>
          </w:p>
        </w:tc>
        <w:tc>
          <w:tcPr>
            <w:tcW w:w="996" w:type="pct"/>
          </w:tcPr>
          <w:p w14:paraId="78F417B7"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LCYACC</w:t>
            </w:r>
          </w:p>
        </w:tc>
        <w:tc>
          <w:tcPr>
            <w:tcW w:w="1030" w:type="pct"/>
          </w:tcPr>
          <w:p w14:paraId="473ECCA1" w14:textId="77777777" w:rsidR="00A052DC" w:rsidRDefault="009F0A60">
            <w:pPr>
              <w:adjustRightInd w:val="0"/>
              <w:spacing w:before="20" w:after="20"/>
              <w:ind w:left="80" w:right="80"/>
              <w:rPr>
                <w:rFonts w:ascii="黑体" w:eastAsia="黑体" w:hAnsi="黑体" w:cs="宋体"/>
                <w:sz w:val="20"/>
                <w:szCs w:val="20"/>
              </w:rPr>
            </w:pPr>
            <w:r>
              <w:rPr>
                <w:rFonts w:ascii="黑体" w:eastAsia="黑体" w:hAnsi="黑体" w:hint="eastAsia"/>
                <w:sz w:val="20"/>
                <w:szCs w:val="20"/>
              </w:rPr>
              <w:t>字符型，</w:t>
            </w:r>
            <w:r>
              <w:rPr>
                <w:rFonts w:ascii="黑体" w:eastAsia="黑体" w:hAnsi="黑体"/>
                <w:sz w:val="20"/>
                <w:szCs w:val="20"/>
              </w:rPr>
              <w:t>32</w:t>
            </w:r>
          </w:p>
        </w:tc>
        <w:tc>
          <w:tcPr>
            <w:tcW w:w="1578" w:type="pct"/>
          </w:tcPr>
          <w:p w14:paraId="4F3D0DC9" w14:textId="77777777" w:rsidR="00A052DC" w:rsidRDefault="00A052DC">
            <w:pPr>
              <w:rPr>
                <w:rFonts w:ascii="黑体" w:eastAsia="黑体" w:hAnsi="黑体" w:cs="宋体"/>
                <w:sz w:val="20"/>
                <w:szCs w:val="20"/>
              </w:rPr>
            </w:pPr>
          </w:p>
        </w:tc>
      </w:tr>
      <w:tr w:rsidR="00A052DC" w14:paraId="48A6F4C9" w14:textId="77777777">
        <w:tc>
          <w:tcPr>
            <w:tcW w:w="1395" w:type="pct"/>
          </w:tcPr>
          <w:p w14:paraId="5797F14A"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现汇金额</w:t>
            </w:r>
          </w:p>
        </w:tc>
        <w:tc>
          <w:tcPr>
            <w:tcW w:w="996" w:type="pct"/>
          </w:tcPr>
          <w:p w14:paraId="7B109432"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FCYAMT</w:t>
            </w:r>
          </w:p>
        </w:tc>
        <w:tc>
          <w:tcPr>
            <w:tcW w:w="1030" w:type="pct"/>
          </w:tcPr>
          <w:p w14:paraId="46124D15" w14:textId="77777777" w:rsidR="00A052DC" w:rsidRDefault="009F0A60">
            <w:pPr>
              <w:adjustRightInd w:val="0"/>
              <w:spacing w:before="20" w:after="20"/>
              <w:ind w:left="80" w:right="80"/>
              <w:rPr>
                <w:rFonts w:ascii="黑体" w:eastAsia="黑体" w:hAnsi="黑体" w:cs="宋体"/>
                <w:sz w:val="20"/>
                <w:szCs w:val="20"/>
              </w:rPr>
            </w:pPr>
            <w:r>
              <w:rPr>
                <w:rFonts w:ascii="黑体" w:eastAsia="黑体" w:hAnsi="黑体" w:hint="eastAsia"/>
                <w:sz w:val="20"/>
                <w:szCs w:val="20"/>
              </w:rPr>
              <w:t>数值型，</w:t>
            </w:r>
            <w:r>
              <w:rPr>
                <w:rFonts w:ascii="黑体" w:eastAsia="黑体" w:hAnsi="黑体"/>
                <w:sz w:val="20"/>
                <w:szCs w:val="20"/>
              </w:rPr>
              <w:t>22.0</w:t>
            </w:r>
          </w:p>
        </w:tc>
        <w:tc>
          <w:tcPr>
            <w:tcW w:w="1578" w:type="pct"/>
          </w:tcPr>
          <w:p w14:paraId="4723EF7A" w14:textId="77777777" w:rsidR="00A052DC" w:rsidRDefault="00A052DC">
            <w:pPr>
              <w:rPr>
                <w:rFonts w:ascii="黑体" w:eastAsia="黑体" w:hAnsi="黑体" w:cs="宋体"/>
                <w:sz w:val="20"/>
                <w:szCs w:val="20"/>
              </w:rPr>
            </w:pPr>
          </w:p>
        </w:tc>
      </w:tr>
      <w:tr w:rsidR="00A052DC" w14:paraId="5CD5B96E" w14:textId="77777777">
        <w:tc>
          <w:tcPr>
            <w:tcW w:w="1395" w:type="pct"/>
          </w:tcPr>
          <w:p w14:paraId="48099836" w14:textId="77777777" w:rsidR="00A052DC" w:rsidRDefault="009F0A60">
            <w:pPr>
              <w:rPr>
                <w:rFonts w:ascii="黑体" w:eastAsia="黑体" w:hAnsi="黑体" w:cs="Microsoft Sans Serif"/>
                <w:sz w:val="20"/>
                <w:szCs w:val="20"/>
              </w:rPr>
            </w:pPr>
            <w:r>
              <w:rPr>
                <w:rFonts w:ascii="黑体" w:eastAsia="黑体" w:hAnsi="黑体" w:hint="eastAsia"/>
                <w:sz w:val="20"/>
                <w:szCs w:val="20"/>
              </w:rPr>
              <w:t>外汇账号</w:t>
            </w:r>
            <w:r>
              <w:rPr>
                <w:rFonts w:ascii="黑体" w:eastAsia="黑体" w:hAnsi="黑体"/>
                <w:sz w:val="20"/>
                <w:szCs w:val="20"/>
              </w:rPr>
              <w:t>/银行卡号</w:t>
            </w:r>
          </w:p>
        </w:tc>
        <w:tc>
          <w:tcPr>
            <w:tcW w:w="996" w:type="pct"/>
          </w:tcPr>
          <w:p w14:paraId="33213D9D"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FCYACC</w:t>
            </w:r>
          </w:p>
        </w:tc>
        <w:tc>
          <w:tcPr>
            <w:tcW w:w="1030" w:type="pct"/>
          </w:tcPr>
          <w:p w14:paraId="1D457C64" w14:textId="77777777" w:rsidR="00A052DC" w:rsidRDefault="009F0A60">
            <w:pPr>
              <w:adjustRightInd w:val="0"/>
              <w:spacing w:before="20" w:after="20"/>
              <w:ind w:left="80" w:right="80"/>
              <w:rPr>
                <w:rFonts w:ascii="黑体" w:eastAsia="黑体" w:hAnsi="黑体" w:cs="宋体"/>
                <w:sz w:val="20"/>
                <w:szCs w:val="20"/>
              </w:rPr>
            </w:pPr>
            <w:r>
              <w:rPr>
                <w:rFonts w:ascii="黑体" w:eastAsia="黑体" w:hAnsi="黑体" w:hint="eastAsia"/>
                <w:sz w:val="20"/>
                <w:szCs w:val="20"/>
              </w:rPr>
              <w:t>字符型，</w:t>
            </w:r>
            <w:r>
              <w:rPr>
                <w:rFonts w:ascii="黑体" w:eastAsia="黑体" w:hAnsi="黑体"/>
                <w:sz w:val="20"/>
                <w:szCs w:val="20"/>
              </w:rPr>
              <w:t>32</w:t>
            </w:r>
          </w:p>
        </w:tc>
        <w:tc>
          <w:tcPr>
            <w:tcW w:w="1578" w:type="pct"/>
          </w:tcPr>
          <w:p w14:paraId="0DC1BF54" w14:textId="77777777" w:rsidR="00A052DC" w:rsidRDefault="00A052DC">
            <w:pPr>
              <w:rPr>
                <w:rFonts w:ascii="黑体" w:eastAsia="黑体" w:hAnsi="黑体" w:cs="宋体"/>
                <w:sz w:val="20"/>
                <w:szCs w:val="20"/>
              </w:rPr>
            </w:pPr>
          </w:p>
        </w:tc>
      </w:tr>
      <w:tr w:rsidR="00A052DC" w14:paraId="3F2B069F" w14:textId="77777777">
        <w:tc>
          <w:tcPr>
            <w:tcW w:w="1395" w:type="pct"/>
          </w:tcPr>
          <w:p w14:paraId="0E37887B"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其他金额</w:t>
            </w:r>
          </w:p>
        </w:tc>
        <w:tc>
          <w:tcPr>
            <w:tcW w:w="996" w:type="pct"/>
          </w:tcPr>
          <w:p w14:paraId="037B9028"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OTHAMT</w:t>
            </w:r>
          </w:p>
        </w:tc>
        <w:tc>
          <w:tcPr>
            <w:tcW w:w="1030" w:type="pct"/>
          </w:tcPr>
          <w:p w14:paraId="36560E39" w14:textId="77777777" w:rsidR="00A052DC" w:rsidRDefault="009F0A60">
            <w:pPr>
              <w:adjustRightInd w:val="0"/>
              <w:spacing w:before="20" w:after="20"/>
              <w:ind w:left="80" w:right="80"/>
              <w:rPr>
                <w:rFonts w:ascii="黑体" w:eastAsia="黑体" w:hAnsi="黑体" w:cs="宋体"/>
                <w:sz w:val="20"/>
                <w:szCs w:val="20"/>
              </w:rPr>
            </w:pPr>
            <w:r>
              <w:rPr>
                <w:rFonts w:ascii="黑体" w:eastAsia="黑体" w:hAnsi="黑体" w:hint="eastAsia"/>
                <w:sz w:val="20"/>
                <w:szCs w:val="20"/>
              </w:rPr>
              <w:t>数值型，</w:t>
            </w:r>
            <w:r>
              <w:rPr>
                <w:rFonts w:ascii="黑体" w:eastAsia="黑体" w:hAnsi="黑体"/>
                <w:sz w:val="20"/>
                <w:szCs w:val="20"/>
              </w:rPr>
              <w:t>22.0</w:t>
            </w:r>
          </w:p>
        </w:tc>
        <w:tc>
          <w:tcPr>
            <w:tcW w:w="1578" w:type="pct"/>
          </w:tcPr>
          <w:p w14:paraId="1E6C6352" w14:textId="77777777" w:rsidR="00A052DC" w:rsidRDefault="00A052DC">
            <w:pPr>
              <w:rPr>
                <w:rFonts w:ascii="黑体" w:eastAsia="黑体" w:hAnsi="黑体" w:cs="宋体"/>
                <w:sz w:val="20"/>
                <w:szCs w:val="20"/>
              </w:rPr>
            </w:pPr>
          </w:p>
        </w:tc>
      </w:tr>
      <w:tr w:rsidR="00A052DC" w14:paraId="5424E3D1" w14:textId="77777777">
        <w:tc>
          <w:tcPr>
            <w:tcW w:w="1395" w:type="pct"/>
          </w:tcPr>
          <w:p w14:paraId="70A9E6B0"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其他账号</w:t>
            </w:r>
          </w:p>
        </w:tc>
        <w:tc>
          <w:tcPr>
            <w:tcW w:w="996" w:type="pct"/>
          </w:tcPr>
          <w:p w14:paraId="4103E17A"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OTHACC</w:t>
            </w:r>
          </w:p>
        </w:tc>
        <w:tc>
          <w:tcPr>
            <w:tcW w:w="1030" w:type="pct"/>
          </w:tcPr>
          <w:p w14:paraId="4CEDE2C1" w14:textId="77777777" w:rsidR="00A052DC" w:rsidRDefault="009F0A60">
            <w:pPr>
              <w:adjustRightInd w:val="0"/>
              <w:spacing w:before="20" w:after="20"/>
              <w:ind w:left="80" w:right="80"/>
              <w:rPr>
                <w:rFonts w:ascii="黑体" w:eastAsia="黑体" w:hAnsi="黑体" w:cs="宋体"/>
                <w:sz w:val="20"/>
                <w:szCs w:val="20"/>
              </w:rPr>
            </w:pPr>
            <w:r>
              <w:rPr>
                <w:rFonts w:ascii="黑体" w:eastAsia="黑体" w:hAnsi="黑体" w:hint="eastAsia"/>
                <w:sz w:val="20"/>
                <w:szCs w:val="20"/>
              </w:rPr>
              <w:t>字符型，</w:t>
            </w:r>
            <w:r>
              <w:rPr>
                <w:rFonts w:ascii="黑体" w:eastAsia="黑体" w:hAnsi="黑体"/>
                <w:sz w:val="20"/>
                <w:szCs w:val="20"/>
              </w:rPr>
              <w:t>32</w:t>
            </w:r>
          </w:p>
        </w:tc>
        <w:tc>
          <w:tcPr>
            <w:tcW w:w="1578" w:type="pct"/>
          </w:tcPr>
          <w:p w14:paraId="5D20F35B" w14:textId="77777777" w:rsidR="00A052DC" w:rsidRDefault="00A052DC">
            <w:pPr>
              <w:rPr>
                <w:rFonts w:ascii="黑体" w:eastAsia="黑体" w:hAnsi="黑体" w:cs="宋体"/>
                <w:sz w:val="20"/>
                <w:szCs w:val="20"/>
              </w:rPr>
            </w:pPr>
          </w:p>
        </w:tc>
      </w:tr>
      <w:tr w:rsidR="00A052DC" w14:paraId="74CB66E7" w14:textId="77777777">
        <w:tc>
          <w:tcPr>
            <w:tcW w:w="1395" w:type="pct"/>
          </w:tcPr>
          <w:p w14:paraId="2644A923"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结算方式</w:t>
            </w:r>
          </w:p>
        </w:tc>
        <w:tc>
          <w:tcPr>
            <w:tcW w:w="996" w:type="pct"/>
          </w:tcPr>
          <w:p w14:paraId="33195FE2"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PAYMETHOD</w:t>
            </w:r>
          </w:p>
        </w:tc>
        <w:tc>
          <w:tcPr>
            <w:tcW w:w="1030" w:type="pct"/>
          </w:tcPr>
          <w:p w14:paraId="6F803578" w14:textId="77777777" w:rsidR="00A052DC" w:rsidRDefault="009F0A60">
            <w:pPr>
              <w:adjustRightInd w:val="0"/>
              <w:spacing w:before="20" w:after="20"/>
              <w:ind w:left="80" w:right="80"/>
              <w:rPr>
                <w:rFonts w:ascii="黑体" w:eastAsia="黑体" w:hAnsi="黑体" w:cs="宋体"/>
                <w:sz w:val="20"/>
                <w:szCs w:val="20"/>
              </w:rPr>
            </w:pPr>
            <w:r>
              <w:rPr>
                <w:rFonts w:ascii="黑体" w:eastAsia="黑体" w:hAnsi="黑体" w:hint="eastAsia"/>
                <w:sz w:val="20"/>
                <w:szCs w:val="20"/>
              </w:rPr>
              <w:t>字符型，</w:t>
            </w:r>
            <w:r>
              <w:rPr>
                <w:rFonts w:ascii="黑体" w:eastAsia="黑体" w:hAnsi="黑体"/>
                <w:sz w:val="20"/>
                <w:szCs w:val="20"/>
              </w:rPr>
              <w:t>6</w:t>
            </w:r>
          </w:p>
        </w:tc>
        <w:tc>
          <w:tcPr>
            <w:tcW w:w="1578" w:type="pct"/>
          </w:tcPr>
          <w:p w14:paraId="24902AAA" w14:textId="77777777" w:rsidR="00A052DC" w:rsidRDefault="009F0A60">
            <w:pPr>
              <w:rPr>
                <w:rFonts w:ascii="黑体" w:eastAsia="黑体" w:hAnsi="黑体" w:cs="宋体"/>
                <w:sz w:val="20"/>
                <w:szCs w:val="20"/>
              </w:rPr>
            </w:pPr>
            <w:r>
              <w:rPr>
                <w:rFonts w:ascii="黑体" w:eastAsia="黑体" w:hAnsi="黑体" w:cs="宋体"/>
                <w:sz w:val="20"/>
                <w:szCs w:val="20"/>
              </w:rPr>
              <w:t>L</w:t>
            </w:r>
            <w:r w:rsidR="00AE4602">
              <w:rPr>
                <w:rFonts w:ascii="黑体" w:eastAsia="黑体" w:hAnsi="黑体" w:cs="宋体"/>
                <w:sz w:val="20"/>
                <w:szCs w:val="20"/>
              </w:rPr>
              <w:t>-</w:t>
            </w:r>
            <w:r>
              <w:rPr>
                <w:rFonts w:ascii="黑体" w:eastAsia="黑体" w:hAnsi="黑体" w:cs="宋体"/>
                <w:sz w:val="20"/>
                <w:szCs w:val="20"/>
              </w:rPr>
              <w:t>信用证</w:t>
            </w:r>
          </w:p>
          <w:p w14:paraId="49C18F27" w14:textId="77777777" w:rsidR="00A052DC" w:rsidRDefault="009F0A60">
            <w:pPr>
              <w:rPr>
                <w:rFonts w:ascii="黑体" w:eastAsia="黑体" w:hAnsi="黑体" w:cs="宋体"/>
                <w:sz w:val="20"/>
                <w:szCs w:val="20"/>
              </w:rPr>
            </w:pPr>
            <w:r>
              <w:rPr>
                <w:rFonts w:ascii="黑体" w:eastAsia="黑体" w:hAnsi="黑体" w:cs="宋体"/>
                <w:sz w:val="20"/>
                <w:szCs w:val="20"/>
              </w:rPr>
              <w:t>C</w:t>
            </w:r>
            <w:r w:rsidR="00AE4602">
              <w:rPr>
                <w:rFonts w:ascii="黑体" w:eastAsia="黑体" w:hAnsi="黑体" w:cs="宋体"/>
                <w:sz w:val="20"/>
                <w:szCs w:val="20"/>
              </w:rPr>
              <w:t>-</w:t>
            </w:r>
            <w:r>
              <w:rPr>
                <w:rFonts w:ascii="黑体" w:eastAsia="黑体" w:hAnsi="黑体" w:cs="宋体"/>
                <w:sz w:val="20"/>
                <w:szCs w:val="20"/>
              </w:rPr>
              <w:t>托收</w:t>
            </w:r>
          </w:p>
          <w:p w14:paraId="219DAB61" w14:textId="77777777" w:rsidR="00A052DC" w:rsidRDefault="009F0A60">
            <w:pPr>
              <w:rPr>
                <w:rFonts w:ascii="黑体" w:eastAsia="黑体" w:hAnsi="黑体" w:cs="宋体"/>
                <w:sz w:val="20"/>
                <w:szCs w:val="20"/>
              </w:rPr>
            </w:pPr>
            <w:r>
              <w:rPr>
                <w:rFonts w:ascii="黑体" w:eastAsia="黑体" w:hAnsi="黑体" w:cs="宋体"/>
                <w:sz w:val="20"/>
                <w:szCs w:val="20"/>
              </w:rPr>
              <w:t>G</w:t>
            </w:r>
            <w:r w:rsidR="00AE4602">
              <w:rPr>
                <w:rFonts w:ascii="黑体" w:eastAsia="黑体" w:hAnsi="黑体" w:cs="宋体"/>
                <w:sz w:val="20"/>
                <w:szCs w:val="20"/>
              </w:rPr>
              <w:t>-</w:t>
            </w:r>
            <w:r>
              <w:rPr>
                <w:rFonts w:ascii="黑体" w:eastAsia="黑体" w:hAnsi="黑体" w:cs="宋体"/>
                <w:sz w:val="20"/>
                <w:szCs w:val="20"/>
              </w:rPr>
              <w:t>保函</w:t>
            </w:r>
          </w:p>
          <w:p w14:paraId="38C46468" w14:textId="77777777" w:rsidR="00A052DC" w:rsidRDefault="009F0A60">
            <w:pPr>
              <w:rPr>
                <w:rFonts w:ascii="黑体" w:eastAsia="黑体" w:hAnsi="黑体" w:cs="宋体"/>
                <w:sz w:val="20"/>
                <w:szCs w:val="20"/>
              </w:rPr>
            </w:pPr>
            <w:r>
              <w:rPr>
                <w:rFonts w:ascii="黑体" w:eastAsia="黑体" w:hAnsi="黑体" w:cs="宋体"/>
                <w:sz w:val="20"/>
                <w:szCs w:val="20"/>
              </w:rPr>
              <w:t>T</w:t>
            </w:r>
            <w:r w:rsidR="00AE4602">
              <w:rPr>
                <w:rFonts w:ascii="黑体" w:eastAsia="黑体" w:hAnsi="黑体" w:cs="宋体"/>
                <w:sz w:val="20"/>
                <w:szCs w:val="20"/>
              </w:rPr>
              <w:t>-</w:t>
            </w:r>
            <w:r>
              <w:rPr>
                <w:rFonts w:ascii="黑体" w:eastAsia="黑体" w:hAnsi="黑体" w:cs="宋体"/>
                <w:sz w:val="20"/>
                <w:szCs w:val="20"/>
              </w:rPr>
              <w:t>电汇</w:t>
            </w:r>
          </w:p>
          <w:p w14:paraId="614CBE26" w14:textId="77777777" w:rsidR="00A052DC" w:rsidRDefault="009F0A60">
            <w:pPr>
              <w:rPr>
                <w:rFonts w:ascii="黑体" w:eastAsia="黑体" w:hAnsi="黑体" w:cs="宋体"/>
                <w:sz w:val="20"/>
                <w:szCs w:val="20"/>
              </w:rPr>
            </w:pPr>
            <w:r>
              <w:rPr>
                <w:rFonts w:ascii="黑体" w:eastAsia="黑体" w:hAnsi="黑体" w:cs="宋体"/>
                <w:sz w:val="20"/>
                <w:szCs w:val="20"/>
              </w:rPr>
              <w:t>D</w:t>
            </w:r>
            <w:r w:rsidR="00AE4602">
              <w:rPr>
                <w:rFonts w:ascii="黑体" w:eastAsia="黑体" w:hAnsi="黑体" w:cs="宋体"/>
                <w:sz w:val="20"/>
                <w:szCs w:val="20"/>
              </w:rPr>
              <w:t>-</w:t>
            </w:r>
            <w:r>
              <w:rPr>
                <w:rFonts w:ascii="黑体" w:eastAsia="黑体" w:hAnsi="黑体" w:cs="宋体"/>
                <w:sz w:val="20"/>
                <w:szCs w:val="20"/>
              </w:rPr>
              <w:t>票汇</w:t>
            </w:r>
          </w:p>
          <w:p w14:paraId="5827A5E0" w14:textId="77777777" w:rsidR="00A052DC" w:rsidRDefault="009F0A60">
            <w:pPr>
              <w:rPr>
                <w:rFonts w:ascii="黑体" w:eastAsia="黑体" w:hAnsi="黑体" w:cs="宋体"/>
                <w:sz w:val="20"/>
                <w:szCs w:val="20"/>
              </w:rPr>
            </w:pPr>
            <w:r>
              <w:rPr>
                <w:rFonts w:ascii="黑体" w:eastAsia="黑体" w:hAnsi="黑体" w:cs="宋体"/>
                <w:sz w:val="20"/>
                <w:szCs w:val="20"/>
              </w:rPr>
              <w:t>M</w:t>
            </w:r>
            <w:r w:rsidR="00AE4602">
              <w:rPr>
                <w:rFonts w:ascii="黑体" w:eastAsia="黑体" w:hAnsi="黑体" w:cs="宋体"/>
                <w:sz w:val="20"/>
                <w:szCs w:val="20"/>
              </w:rPr>
              <w:t>-</w:t>
            </w:r>
            <w:r>
              <w:rPr>
                <w:rFonts w:ascii="黑体" w:eastAsia="黑体" w:hAnsi="黑体" w:cs="宋体"/>
                <w:sz w:val="20"/>
                <w:szCs w:val="20"/>
              </w:rPr>
              <w:t>信汇</w:t>
            </w:r>
          </w:p>
          <w:p w14:paraId="041355B3" w14:textId="77777777" w:rsidR="00A052DC" w:rsidRDefault="009F0A60">
            <w:pPr>
              <w:adjustRightInd w:val="0"/>
              <w:spacing w:before="20" w:after="20"/>
              <w:ind w:right="80"/>
              <w:rPr>
                <w:rFonts w:ascii="黑体" w:eastAsia="黑体" w:hAnsi="黑体" w:cs="宋体"/>
                <w:sz w:val="20"/>
                <w:szCs w:val="20"/>
              </w:rPr>
            </w:pPr>
            <w:r>
              <w:rPr>
                <w:rFonts w:ascii="黑体" w:eastAsia="黑体" w:hAnsi="黑体" w:cs="宋体"/>
                <w:sz w:val="20"/>
                <w:szCs w:val="20"/>
              </w:rPr>
              <w:t>O</w:t>
            </w:r>
            <w:r w:rsidR="00AE4602">
              <w:rPr>
                <w:rFonts w:ascii="黑体" w:eastAsia="黑体" w:hAnsi="黑体" w:cs="宋体"/>
                <w:sz w:val="20"/>
                <w:szCs w:val="20"/>
              </w:rPr>
              <w:t>-</w:t>
            </w:r>
            <w:r>
              <w:rPr>
                <w:rFonts w:ascii="黑体" w:eastAsia="黑体" w:hAnsi="黑体" w:cs="宋体"/>
                <w:sz w:val="20"/>
                <w:szCs w:val="20"/>
              </w:rPr>
              <w:t>其他</w:t>
            </w:r>
          </w:p>
        </w:tc>
      </w:tr>
      <w:tr w:rsidR="00A052DC" w14:paraId="3BC2180D" w14:textId="77777777">
        <w:tc>
          <w:tcPr>
            <w:tcW w:w="1395" w:type="pct"/>
          </w:tcPr>
          <w:p w14:paraId="3A379292"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银行业务编码</w:t>
            </w:r>
          </w:p>
        </w:tc>
        <w:tc>
          <w:tcPr>
            <w:tcW w:w="996" w:type="pct"/>
          </w:tcPr>
          <w:p w14:paraId="00FEBF30"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BUSICODE</w:t>
            </w:r>
          </w:p>
        </w:tc>
        <w:tc>
          <w:tcPr>
            <w:tcW w:w="1030" w:type="pct"/>
          </w:tcPr>
          <w:p w14:paraId="47F9473D" w14:textId="77777777" w:rsidR="00A052DC" w:rsidRDefault="009F0A60">
            <w:pPr>
              <w:adjustRightInd w:val="0"/>
              <w:spacing w:before="20" w:after="20"/>
              <w:ind w:left="80" w:right="80"/>
              <w:rPr>
                <w:rFonts w:ascii="黑体" w:eastAsia="黑体" w:hAnsi="黑体" w:cs="宋体"/>
                <w:sz w:val="20"/>
                <w:szCs w:val="20"/>
              </w:rPr>
            </w:pPr>
            <w:r>
              <w:rPr>
                <w:rFonts w:ascii="黑体" w:eastAsia="黑体" w:hAnsi="黑体" w:hint="eastAsia"/>
                <w:sz w:val="20"/>
                <w:szCs w:val="20"/>
              </w:rPr>
              <w:t>字符型，</w:t>
            </w:r>
            <w:r>
              <w:rPr>
                <w:rFonts w:ascii="黑体" w:eastAsia="黑体" w:hAnsi="黑体"/>
                <w:sz w:val="20"/>
                <w:szCs w:val="20"/>
              </w:rPr>
              <w:t>22</w:t>
            </w:r>
          </w:p>
        </w:tc>
        <w:tc>
          <w:tcPr>
            <w:tcW w:w="1578" w:type="pct"/>
          </w:tcPr>
          <w:p w14:paraId="412ECED8" w14:textId="77777777" w:rsidR="00A052DC" w:rsidRDefault="00A052DC">
            <w:pPr>
              <w:rPr>
                <w:rFonts w:ascii="黑体" w:eastAsia="黑体" w:hAnsi="黑体" w:cs="宋体"/>
                <w:sz w:val="20"/>
                <w:szCs w:val="20"/>
              </w:rPr>
            </w:pPr>
          </w:p>
        </w:tc>
      </w:tr>
      <w:tr w:rsidR="00A052DC" w14:paraId="3F2531FB" w14:textId="77777777">
        <w:tc>
          <w:tcPr>
            <w:tcW w:w="1395" w:type="pct"/>
          </w:tcPr>
          <w:p w14:paraId="20216D90" w14:textId="77777777" w:rsidR="00A052DC" w:rsidRDefault="009F0A60">
            <w:pPr>
              <w:rPr>
                <w:rFonts w:ascii="黑体" w:eastAsia="黑体" w:hAnsi="黑体" w:cs="Microsoft Sans Serif"/>
                <w:sz w:val="20"/>
                <w:szCs w:val="20"/>
              </w:rPr>
            </w:pPr>
            <w:r>
              <w:rPr>
                <w:rFonts w:ascii="黑体" w:eastAsia="黑体" w:hAnsi="黑体" w:hint="eastAsia"/>
                <w:sz w:val="20"/>
                <w:szCs w:val="20"/>
              </w:rPr>
              <w:t>国内银行扣费币种</w:t>
            </w:r>
          </w:p>
        </w:tc>
        <w:tc>
          <w:tcPr>
            <w:tcW w:w="996" w:type="pct"/>
          </w:tcPr>
          <w:p w14:paraId="3D74E1B0"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INCHARGECCY</w:t>
            </w:r>
          </w:p>
        </w:tc>
        <w:tc>
          <w:tcPr>
            <w:tcW w:w="1030" w:type="pct"/>
          </w:tcPr>
          <w:p w14:paraId="4802F581" w14:textId="77777777" w:rsidR="00A052DC" w:rsidRDefault="009F0A60">
            <w:pPr>
              <w:adjustRightInd w:val="0"/>
              <w:spacing w:before="20" w:after="20"/>
              <w:ind w:left="80" w:right="80"/>
              <w:rPr>
                <w:rFonts w:ascii="黑体" w:eastAsia="黑体" w:hAnsi="黑体" w:cs="宋体"/>
                <w:sz w:val="20"/>
                <w:szCs w:val="20"/>
              </w:rPr>
            </w:pPr>
            <w:r>
              <w:rPr>
                <w:rFonts w:ascii="黑体" w:eastAsia="黑体" w:hAnsi="黑体" w:hint="eastAsia"/>
                <w:sz w:val="20"/>
                <w:szCs w:val="20"/>
              </w:rPr>
              <w:t>字符型，</w:t>
            </w:r>
            <w:r>
              <w:rPr>
                <w:rFonts w:ascii="黑体" w:eastAsia="黑体" w:hAnsi="黑体"/>
                <w:sz w:val="20"/>
                <w:szCs w:val="20"/>
              </w:rPr>
              <w:t>3</w:t>
            </w:r>
          </w:p>
        </w:tc>
        <w:tc>
          <w:tcPr>
            <w:tcW w:w="1578" w:type="pct"/>
          </w:tcPr>
          <w:p w14:paraId="3491242A" w14:textId="77777777" w:rsidR="00A052DC" w:rsidRDefault="00A052DC">
            <w:pPr>
              <w:rPr>
                <w:rFonts w:ascii="黑体" w:eastAsia="黑体" w:hAnsi="黑体" w:cs="宋体"/>
                <w:sz w:val="20"/>
                <w:szCs w:val="20"/>
              </w:rPr>
            </w:pPr>
          </w:p>
        </w:tc>
      </w:tr>
      <w:tr w:rsidR="00A052DC" w14:paraId="72CB5909" w14:textId="77777777">
        <w:tc>
          <w:tcPr>
            <w:tcW w:w="1395" w:type="pct"/>
          </w:tcPr>
          <w:p w14:paraId="10FB320B" w14:textId="77777777" w:rsidR="00A052DC" w:rsidRDefault="009F0A60">
            <w:pPr>
              <w:rPr>
                <w:rFonts w:ascii="黑体" w:eastAsia="黑体" w:hAnsi="黑体" w:cs="Microsoft Sans Serif"/>
                <w:sz w:val="20"/>
                <w:szCs w:val="20"/>
              </w:rPr>
            </w:pPr>
            <w:r>
              <w:rPr>
                <w:rFonts w:ascii="黑体" w:eastAsia="黑体" w:hAnsi="黑体" w:hint="eastAsia"/>
                <w:sz w:val="20"/>
                <w:szCs w:val="20"/>
              </w:rPr>
              <w:t>国内银行扣费金额</w:t>
            </w:r>
          </w:p>
        </w:tc>
        <w:tc>
          <w:tcPr>
            <w:tcW w:w="996" w:type="pct"/>
          </w:tcPr>
          <w:p w14:paraId="0FBB8AE5"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INCHARGEAMT</w:t>
            </w:r>
          </w:p>
        </w:tc>
        <w:tc>
          <w:tcPr>
            <w:tcW w:w="1030" w:type="pct"/>
          </w:tcPr>
          <w:p w14:paraId="28CC1DD4" w14:textId="77777777" w:rsidR="00A052DC" w:rsidRDefault="009F0A60">
            <w:pPr>
              <w:adjustRightInd w:val="0"/>
              <w:spacing w:before="20" w:after="20"/>
              <w:ind w:left="80" w:right="80"/>
              <w:rPr>
                <w:rFonts w:ascii="黑体" w:eastAsia="黑体" w:hAnsi="黑体" w:cs="宋体"/>
                <w:sz w:val="20"/>
                <w:szCs w:val="20"/>
              </w:rPr>
            </w:pPr>
            <w:r>
              <w:rPr>
                <w:rFonts w:ascii="黑体" w:eastAsia="黑体" w:hAnsi="黑体" w:hint="eastAsia"/>
                <w:sz w:val="20"/>
                <w:szCs w:val="20"/>
              </w:rPr>
              <w:t>数值型，</w:t>
            </w:r>
            <w:r>
              <w:rPr>
                <w:rFonts w:ascii="黑体" w:eastAsia="黑体" w:hAnsi="黑体"/>
                <w:sz w:val="20"/>
                <w:szCs w:val="20"/>
              </w:rPr>
              <w:t>22.0</w:t>
            </w:r>
          </w:p>
        </w:tc>
        <w:tc>
          <w:tcPr>
            <w:tcW w:w="1578" w:type="pct"/>
          </w:tcPr>
          <w:p w14:paraId="39A10F0E" w14:textId="77777777" w:rsidR="00A052DC" w:rsidRDefault="00A052DC">
            <w:pPr>
              <w:rPr>
                <w:rFonts w:ascii="黑体" w:eastAsia="黑体" w:hAnsi="黑体" w:cs="宋体"/>
                <w:sz w:val="20"/>
                <w:szCs w:val="20"/>
              </w:rPr>
            </w:pPr>
          </w:p>
        </w:tc>
      </w:tr>
      <w:tr w:rsidR="00A052DC" w14:paraId="533E70C4" w14:textId="77777777">
        <w:tc>
          <w:tcPr>
            <w:tcW w:w="1395" w:type="pct"/>
          </w:tcPr>
          <w:p w14:paraId="7E239D03" w14:textId="77777777" w:rsidR="00A052DC" w:rsidRDefault="009F0A60">
            <w:pPr>
              <w:rPr>
                <w:rFonts w:ascii="黑体" w:eastAsia="黑体" w:hAnsi="黑体" w:cs="Microsoft Sans Serif"/>
                <w:sz w:val="20"/>
                <w:szCs w:val="20"/>
              </w:rPr>
            </w:pPr>
            <w:r>
              <w:rPr>
                <w:rFonts w:ascii="黑体" w:eastAsia="黑体" w:hAnsi="黑体" w:hint="eastAsia"/>
                <w:sz w:val="20"/>
                <w:szCs w:val="20"/>
              </w:rPr>
              <w:t>是否保税货物项下收汇</w:t>
            </w:r>
          </w:p>
        </w:tc>
        <w:tc>
          <w:tcPr>
            <w:tcW w:w="996" w:type="pct"/>
          </w:tcPr>
          <w:p w14:paraId="374B67EA"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ISWRITEOFF</w:t>
            </w:r>
          </w:p>
        </w:tc>
        <w:tc>
          <w:tcPr>
            <w:tcW w:w="1030" w:type="pct"/>
          </w:tcPr>
          <w:p w14:paraId="62DE3E2B" w14:textId="77777777" w:rsidR="00A052DC" w:rsidRDefault="009F0A60">
            <w:pPr>
              <w:adjustRightInd w:val="0"/>
              <w:spacing w:before="20" w:after="20"/>
              <w:ind w:left="80" w:right="80"/>
              <w:rPr>
                <w:rFonts w:ascii="黑体" w:eastAsia="黑体" w:hAnsi="黑体" w:cs="宋体"/>
                <w:sz w:val="20"/>
                <w:szCs w:val="20"/>
              </w:rPr>
            </w:pPr>
            <w:r>
              <w:rPr>
                <w:rFonts w:ascii="黑体" w:eastAsia="黑体" w:hAnsi="黑体" w:hint="eastAsia"/>
                <w:sz w:val="20"/>
                <w:szCs w:val="20"/>
              </w:rPr>
              <w:t>字符型，</w:t>
            </w:r>
            <w:r>
              <w:rPr>
                <w:rFonts w:ascii="黑体" w:eastAsia="黑体" w:hAnsi="黑体"/>
                <w:sz w:val="20"/>
                <w:szCs w:val="20"/>
              </w:rPr>
              <w:t>1</w:t>
            </w:r>
          </w:p>
        </w:tc>
        <w:tc>
          <w:tcPr>
            <w:tcW w:w="1578" w:type="pct"/>
          </w:tcPr>
          <w:p w14:paraId="0303E060" w14:textId="77777777" w:rsidR="00A052DC" w:rsidRDefault="009F0A60">
            <w:pPr>
              <w:rPr>
                <w:rFonts w:ascii="黑体" w:eastAsia="黑体" w:hAnsi="黑体" w:cs="宋体"/>
                <w:sz w:val="20"/>
                <w:szCs w:val="20"/>
              </w:rPr>
            </w:pPr>
            <w:r>
              <w:rPr>
                <w:rFonts w:ascii="黑体" w:eastAsia="黑体" w:hAnsi="黑体" w:cs="宋体"/>
                <w:sz w:val="20"/>
                <w:szCs w:val="20"/>
              </w:rPr>
              <w:t>Y-</w:t>
            </w:r>
            <w:r>
              <w:rPr>
                <w:rFonts w:ascii="黑体" w:eastAsia="黑体" w:hAnsi="黑体" w:cs="宋体" w:hint="eastAsia"/>
                <w:sz w:val="20"/>
                <w:szCs w:val="20"/>
              </w:rPr>
              <w:t>是</w:t>
            </w:r>
          </w:p>
          <w:p w14:paraId="46C373CE" w14:textId="77777777" w:rsidR="00A052DC" w:rsidRDefault="009F0A60">
            <w:pPr>
              <w:rPr>
                <w:rFonts w:ascii="黑体" w:eastAsia="黑体" w:hAnsi="黑体" w:cs="宋体"/>
                <w:sz w:val="20"/>
                <w:szCs w:val="20"/>
              </w:rPr>
            </w:pPr>
            <w:r>
              <w:rPr>
                <w:rFonts w:ascii="黑体" w:eastAsia="黑体" w:hAnsi="黑体" w:cs="宋体"/>
                <w:sz w:val="20"/>
                <w:szCs w:val="20"/>
              </w:rPr>
              <w:t>N-</w:t>
            </w:r>
            <w:r>
              <w:rPr>
                <w:rFonts w:ascii="黑体" w:eastAsia="黑体" w:hAnsi="黑体" w:cs="宋体" w:hint="eastAsia"/>
                <w:sz w:val="20"/>
                <w:szCs w:val="20"/>
              </w:rPr>
              <w:t>否</w:t>
            </w:r>
          </w:p>
        </w:tc>
      </w:tr>
      <w:tr w:rsidR="00A052DC" w14:paraId="697BFB98" w14:textId="77777777">
        <w:tc>
          <w:tcPr>
            <w:tcW w:w="1395" w:type="pct"/>
          </w:tcPr>
          <w:p w14:paraId="1D78F243" w14:textId="77777777" w:rsidR="00A052DC" w:rsidRDefault="009F0A60">
            <w:pPr>
              <w:rPr>
                <w:rFonts w:ascii="黑体" w:eastAsia="黑体" w:hAnsi="黑体" w:cs="Microsoft Sans Serif"/>
                <w:sz w:val="20"/>
                <w:szCs w:val="20"/>
              </w:rPr>
            </w:pPr>
            <w:r>
              <w:rPr>
                <w:rFonts w:ascii="黑体" w:eastAsia="黑体" w:hAnsi="黑体" w:hint="eastAsia"/>
                <w:sz w:val="20"/>
                <w:szCs w:val="20"/>
              </w:rPr>
              <w:t>境内收入类型</w:t>
            </w:r>
          </w:p>
        </w:tc>
        <w:tc>
          <w:tcPr>
            <w:tcW w:w="996" w:type="pct"/>
          </w:tcPr>
          <w:p w14:paraId="43F2ACC3"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PAYATTR</w:t>
            </w:r>
          </w:p>
        </w:tc>
        <w:tc>
          <w:tcPr>
            <w:tcW w:w="1030" w:type="pct"/>
          </w:tcPr>
          <w:p w14:paraId="4FDA8610" w14:textId="77777777" w:rsidR="00A052DC" w:rsidRDefault="009F0A60">
            <w:pPr>
              <w:adjustRightInd w:val="0"/>
              <w:spacing w:before="20" w:after="20"/>
              <w:ind w:left="80" w:right="80"/>
              <w:rPr>
                <w:rFonts w:ascii="黑体" w:eastAsia="黑体" w:hAnsi="黑体" w:cs="宋体"/>
                <w:sz w:val="20"/>
                <w:szCs w:val="20"/>
              </w:rPr>
            </w:pPr>
            <w:r>
              <w:rPr>
                <w:rFonts w:ascii="黑体" w:eastAsia="黑体" w:hAnsi="黑体" w:hint="eastAsia"/>
                <w:sz w:val="20"/>
                <w:szCs w:val="20"/>
              </w:rPr>
              <w:t>字符型，</w:t>
            </w:r>
            <w:r>
              <w:rPr>
                <w:rFonts w:ascii="黑体" w:eastAsia="黑体" w:hAnsi="黑体"/>
                <w:sz w:val="20"/>
                <w:szCs w:val="20"/>
              </w:rPr>
              <w:t>1</w:t>
            </w:r>
          </w:p>
        </w:tc>
        <w:tc>
          <w:tcPr>
            <w:tcW w:w="1578" w:type="pct"/>
          </w:tcPr>
          <w:p w14:paraId="0D55E9C2" w14:textId="77777777" w:rsidR="00A052DC" w:rsidRDefault="009F0A60">
            <w:pPr>
              <w:rPr>
                <w:rFonts w:ascii="黑体" w:eastAsia="黑体" w:hAnsi="黑体" w:cs="宋体"/>
                <w:sz w:val="20"/>
                <w:szCs w:val="20"/>
              </w:rPr>
            </w:pPr>
            <w:r>
              <w:rPr>
                <w:rFonts w:ascii="黑体" w:eastAsia="黑体" w:hAnsi="黑体" w:cs="宋体"/>
                <w:sz w:val="20"/>
                <w:szCs w:val="20"/>
              </w:rPr>
              <w:t>M-深加工结转</w:t>
            </w:r>
          </w:p>
          <w:p w14:paraId="33F57811" w14:textId="77777777" w:rsidR="00A052DC" w:rsidRDefault="009F0A60">
            <w:pPr>
              <w:rPr>
                <w:rFonts w:ascii="黑体" w:eastAsia="黑体" w:hAnsi="黑体" w:cs="宋体"/>
                <w:sz w:val="20"/>
                <w:szCs w:val="20"/>
              </w:rPr>
            </w:pPr>
            <w:r>
              <w:rPr>
                <w:rFonts w:ascii="黑体" w:eastAsia="黑体" w:hAnsi="黑体" w:cs="宋体"/>
                <w:sz w:val="20"/>
                <w:szCs w:val="20"/>
              </w:rPr>
              <w:t>X-保税区</w:t>
            </w:r>
          </w:p>
          <w:p w14:paraId="6B0BEDAE" w14:textId="77777777" w:rsidR="00A052DC" w:rsidRDefault="009F0A60">
            <w:pPr>
              <w:rPr>
                <w:rFonts w:ascii="黑体" w:eastAsia="黑体" w:hAnsi="黑体" w:cs="宋体"/>
                <w:sz w:val="20"/>
                <w:szCs w:val="20"/>
              </w:rPr>
            </w:pPr>
            <w:r>
              <w:rPr>
                <w:rFonts w:ascii="黑体" w:eastAsia="黑体" w:hAnsi="黑体" w:cs="宋体"/>
                <w:sz w:val="20"/>
                <w:szCs w:val="20"/>
              </w:rPr>
              <w:t>E-出口加工区</w:t>
            </w:r>
          </w:p>
          <w:p w14:paraId="43AA0D51" w14:textId="77777777" w:rsidR="00A052DC" w:rsidRDefault="009F0A60">
            <w:pPr>
              <w:rPr>
                <w:rFonts w:ascii="黑体" w:eastAsia="黑体" w:hAnsi="黑体" w:cs="宋体"/>
                <w:sz w:val="20"/>
                <w:szCs w:val="20"/>
              </w:rPr>
            </w:pPr>
            <w:r>
              <w:rPr>
                <w:rFonts w:ascii="黑体" w:eastAsia="黑体" w:hAnsi="黑体" w:cs="宋体"/>
                <w:sz w:val="20"/>
                <w:szCs w:val="20"/>
              </w:rPr>
              <w:t>D-钻石交易所</w:t>
            </w:r>
          </w:p>
          <w:p w14:paraId="6DCDC5D9" w14:textId="77777777" w:rsidR="00A052DC" w:rsidRDefault="009F0A60">
            <w:pPr>
              <w:rPr>
                <w:rFonts w:ascii="黑体" w:eastAsia="黑体" w:hAnsi="黑体" w:cs="宋体"/>
                <w:sz w:val="20"/>
                <w:szCs w:val="20"/>
              </w:rPr>
            </w:pPr>
            <w:r>
              <w:rPr>
                <w:rFonts w:ascii="黑体" w:eastAsia="黑体" w:hAnsi="黑体" w:cs="宋体"/>
                <w:sz w:val="20"/>
                <w:szCs w:val="20"/>
              </w:rPr>
              <w:t>A-其他特殊经济区</w:t>
            </w:r>
          </w:p>
          <w:p w14:paraId="0A2C057B" w14:textId="77777777" w:rsidR="00A052DC" w:rsidRDefault="009F0A60">
            <w:pPr>
              <w:rPr>
                <w:rFonts w:ascii="黑体" w:eastAsia="黑体" w:hAnsi="黑体" w:cs="宋体"/>
                <w:sz w:val="20"/>
                <w:szCs w:val="20"/>
              </w:rPr>
            </w:pPr>
            <w:r>
              <w:rPr>
                <w:rFonts w:ascii="黑体" w:eastAsia="黑体" w:hAnsi="黑体" w:cs="宋体"/>
                <w:sz w:val="20"/>
                <w:szCs w:val="20"/>
              </w:rPr>
              <w:t>R-汇路引起出口项下跨境收入</w:t>
            </w:r>
          </w:p>
          <w:p w14:paraId="55DAE5AC" w14:textId="77777777" w:rsidR="00A052DC" w:rsidRDefault="009F0A60">
            <w:pPr>
              <w:rPr>
                <w:rFonts w:ascii="黑体" w:eastAsia="黑体" w:hAnsi="黑体" w:cs="宋体"/>
                <w:sz w:val="20"/>
                <w:szCs w:val="20"/>
              </w:rPr>
            </w:pPr>
            <w:r>
              <w:rPr>
                <w:rFonts w:ascii="黑体" w:eastAsia="黑体" w:hAnsi="黑体" w:cs="宋体"/>
                <w:sz w:val="20"/>
                <w:szCs w:val="20"/>
              </w:rPr>
              <w:t>C-出口信用保险理赔</w:t>
            </w:r>
          </w:p>
          <w:p w14:paraId="49A9D4D8" w14:textId="77777777" w:rsidR="00A052DC" w:rsidRDefault="009F0A60">
            <w:pPr>
              <w:rPr>
                <w:rFonts w:ascii="黑体" w:eastAsia="黑体" w:hAnsi="黑体" w:cs="宋体"/>
                <w:sz w:val="20"/>
                <w:szCs w:val="20"/>
              </w:rPr>
            </w:pPr>
            <w:r>
              <w:rPr>
                <w:rFonts w:ascii="黑体" w:eastAsia="黑体" w:hAnsi="黑体" w:cs="宋体"/>
                <w:sz w:val="20"/>
                <w:szCs w:val="20"/>
              </w:rPr>
              <w:t>I-出口货物保险理赔</w:t>
            </w:r>
          </w:p>
          <w:p w14:paraId="135748C0" w14:textId="77777777" w:rsidR="00A052DC" w:rsidRDefault="009F0A60">
            <w:pPr>
              <w:rPr>
                <w:rFonts w:ascii="黑体" w:eastAsia="黑体" w:hAnsi="黑体" w:cs="宋体"/>
                <w:sz w:val="20"/>
                <w:szCs w:val="20"/>
              </w:rPr>
            </w:pPr>
            <w:r>
              <w:rPr>
                <w:rFonts w:ascii="黑体" w:eastAsia="黑体" w:hAnsi="黑体" w:cs="宋体"/>
                <w:sz w:val="20"/>
                <w:szCs w:val="20"/>
              </w:rPr>
              <w:t>N-买方信贷</w:t>
            </w:r>
          </w:p>
          <w:p w14:paraId="168E9EE8" w14:textId="77777777" w:rsidR="00A052DC" w:rsidRDefault="009F0A60">
            <w:pPr>
              <w:rPr>
                <w:rFonts w:ascii="黑体" w:eastAsia="黑体" w:hAnsi="黑体" w:cs="宋体"/>
                <w:sz w:val="20"/>
                <w:szCs w:val="20"/>
              </w:rPr>
            </w:pPr>
            <w:r>
              <w:rPr>
                <w:rFonts w:ascii="黑体" w:eastAsia="黑体" w:hAnsi="黑体" w:cs="宋体"/>
                <w:sz w:val="20"/>
                <w:szCs w:val="20"/>
              </w:rPr>
              <w:t>L-转让信用证</w:t>
            </w:r>
          </w:p>
          <w:p w14:paraId="7872E3C0" w14:textId="77777777" w:rsidR="00A052DC" w:rsidRDefault="009F0A60">
            <w:pPr>
              <w:rPr>
                <w:rFonts w:ascii="黑体" w:eastAsia="黑体" w:hAnsi="黑体" w:cs="宋体"/>
                <w:sz w:val="20"/>
                <w:szCs w:val="20"/>
              </w:rPr>
            </w:pPr>
            <w:r>
              <w:rPr>
                <w:rFonts w:ascii="黑体" w:eastAsia="黑体" w:hAnsi="黑体" w:cs="宋体"/>
                <w:sz w:val="20"/>
                <w:szCs w:val="20"/>
              </w:rPr>
              <w:t>B-背对背信用证</w:t>
            </w:r>
          </w:p>
          <w:p w14:paraId="6A9822CD" w14:textId="77777777" w:rsidR="00A052DC" w:rsidRDefault="009F0A60">
            <w:pPr>
              <w:adjustRightInd w:val="0"/>
              <w:spacing w:before="20" w:after="20"/>
              <w:ind w:right="80"/>
              <w:rPr>
                <w:rFonts w:ascii="黑体" w:eastAsia="黑体" w:hAnsi="黑体" w:cs="宋体"/>
                <w:sz w:val="20"/>
                <w:szCs w:val="20"/>
              </w:rPr>
            </w:pPr>
            <w:r>
              <w:rPr>
                <w:rFonts w:ascii="黑体" w:eastAsia="黑体" w:hAnsi="黑体" w:cs="宋体"/>
                <w:sz w:val="20"/>
                <w:szCs w:val="20"/>
              </w:rPr>
              <w:t>O-</w:t>
            </w:r>
            <w:r w:rsidR="0021563C">
              <w:rPr>
                <w:rFonts w:ascii="黑体" w:eastAsia="黑体" w:hAnsi="黑体" w:cs="宋体"/>
                <w:sz w:val="20"/>
                <w:szCs w:val="20"/>
              </w:rPr>
              <w:t>其他</w:t>
            </w:r>
          </w:p>
        </w:tc>
      </w:tr>
      <w:tr w:rsidR="00A052DC" w14:paraId="43073B91" w14:textId="77777777">
        <w:tc>
          <w:tcPr>
            <w:tcW w:w="1395" w:type="pct"/>
          </w:tcPr>
          <w:p w14:paraId="546FF05A" w14:textId="77777777" w:rsidR="00A052DC" w:rsidRDefault="009F0A60">
            <w:pPr>
              <w:rPr>
                <w:rFonts w:ascii="黑体" w:eastAsia="黑体" w:hAnsi="黑体" w:cs="Microsoft Sans Serif"/>
                <w:sz w:val="20"/>
                <w:szCs w:val="20"/>
              </w:rPr>
            </w:pPr>
            <w:r>
              <w:rPr>
                <w:rFonts w:ascii="黑体" w:eastAsia="黑体" w:hAnsi="黑体" w:hint="eastAsia"/>
                <w:sz w:val="20"/>
                <w:szCs w:val="20"/>
              </w:rPr>
              <w:t>收款性质</w:t>
            </w:r>
          </w:p>
        </w:tc>
        <w:tc>
          <w:tcPr>
            <w:tcW w:w="996" w:type="pct"/>
          </w:tcPr>
          <w:p w14:paraId="65648961"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PAYTYPE</w:t>
            </w:r>
          </w:p>
        </w:tc>
        <w:tc>
          <w:tcPr>
            <w:tcW w:w="1030" w:type="pct"/>
          </w:tcPr>
          <w:p w14:paraId="5CF74287" w14:textId="77777777" w:rsidR="00A052DC" w:rsidRDefault="009F0A60">
            <w:pPr>
              <w:adjustRightInd w:val="0"/>
              <w:spacing w:before="20" w:after="20"/>
              <w:ind w:left="80" w:right="80"/>
              <w:rPr>
                <w:rFonts w:ascii="黑体" w:eastAsia="黑体" w:hAnsi="黑体" w:cs="宋体"/>
                <w:sz w:val="20"/>
                <w:szCs w:val="20"/>
              </w:rPr>
            </w:pPr>
            <w:r>
              <w:rPr>
                <w:rFonts w:ascii="黑体" w:eastAsia="黑体" w:hAnsi="黑体" w:hint="eastAsia"/>
                <w:sz w:val="20"/>
                <w:szCs w:val="20"/>
              </w:rPr>
              <w:t>字符型，</w:t>
            </w:r>
            <w:r>
              <w:rPr>
                <w:rFonts w:ascii="黑体" w:eastAsia="黑体" w:hAnsi="黑体"/>
                <w:sz w:val="20"/>
                <w:szCs w:val="20"/>
              </w:rPr>
              <w:t>1</w:t>
            </w:r>
          </w:p>
        </w:tc>
        <w:tc>
          <w:tcPr>
            <w:tcW w:w="1578" w:type="pct"/>
          </w:tcPr>
          <w:p w14:paraId="14C00B4A" w14:textId="77777777" w:rsidR="00A052DC" w:rsidRDefault="009F0A60">
            <w:pPr>
              <w:rPr>
                <w:rFonts w:ascii="黑体" w:eastAsia="黑体" w:hAnsi="黑体" w:cs="宋体"/>
                <w:sz w:val="20"/>
                <w:szCs w:val="20"/>
              </w:rPr>
            </w:pPr>
            <w:r>
              <w:rPr>
                <w:rFonts w:ascii="黑体" w:eastAsia="黑体" w:hAnsi="黑体" w:cs="宋体"/>
                <w:sz w:val="20"/>
                <w:szCs w:val="20"/>
              </w:rPr>
              <w:t>A</w:t>
            </w:r>
            <w:r w:rsidR="00AE4602">
              <w:rPr>
                <w:rFonts w:ascii="黑体" w:eastAsia="黑体" w:hAnsi="黑体" w:cs="宋体"/>
                <w:sz w:val="20"/>
                <w:szCs w:val="20"/>
              </w:rPr>
              <w:t>-</w:t>
            </w:r>
            <w:r>
              <w:rPr>
                <w:rFonts w:ascii="黑体" w:eastAsia="黑体" w:hAnsi="黑体" w:cs="宋体"/>
                <w:sz w:val="20"/>
                <w:szCs w:val="20"/>
              </w:rPr>
              <w:t>预收款</w:t>
            </w:r>
          </w:p>
          <w:p w14:paraId="267DCBFC" w14:textId="77777777" w:rsidR="00A052DC" w:rsidRDefault="009F0A60">
            <w:pPr>
              <w:adjustRightInd w:val="0"/>
              <w:spacing w:before="20" w:after="20"/>
              <w:ind w:right="80"/>
              <w:rPr>
                <w:rFonts w:ascii="黑体" w:eastAsia="黑体" w:hAnsi="黑体" w:cs="宋体"/>
                <w:sz w:val="20"/>
                <w:szCs w:val="20"/>
              </w:rPr>
            </w:pPr>
            <w:r>
              <w:rPr>
                <w:rFonts w:ascii="黑体" w:eastAsia="黑体" w:hAnsi="黑体" w:cs="宋体"/>
                <w:sz w:val="20"/>
                <w:szCs w:val="20"/>
              </w:rPr>
              <w:t>O</w:t>
            </w:r>
            <w:r w:rsidR="00AE4602">
              <w:rPr>
                <w:rFonts w:ascii="黑体" w:eastAsia="黑体" w:hAnsi="黑体" w:cs="宋体"/>
                <w:sz w:val="20"/>
                <w:szCs w:val="20"/>
              </w:rPr>
              <w:t>-</w:t>
            </w:r>
            <w:r w:rsidR="0021563C">
              <w:rPr>
                <w:rFonts w:ascii="黑体" w:eastAsia="黑体" w:hAnsi="黑体" w:cs="宋体"/>
                <w:sz w:val="20"/>
                <w:szCs w:val="20"/>
              </w:rPr>
              <w:t>其他</w:t>
            </w:r>
          </w:p>
        </w:tc>
      </w:tr>
      <w:tr w:rsidR="00A052DC" w14:paraId="6258B7A2" w14:textId="77777777">
        <w:tc>
          <w:tcPr>
            <w:tcW w:w="1395" w:type="pct"/>
          </w:tcPr>
          <w:p w14:paraId="07850C49"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交易编码1</w:t>
            </w:r>
          </w:p>
        </w:tc>
        <w:tc>
          <w:tcPr>
            <w:tcW w:w="996" w:type="pct"/>
          </w:tcPr>
          <w:p w14:paraId="1635017F"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TXCODE1</w:t>
            </w:r>
          </w:p>
        </w:tc>
        <w:tc>
          <w:tcPr>
            <w:tcW w:w="1030" w:type="pct"/>
          </w:tcPr>
          <w:p w14:paraId="0A8728BA" w14:textId="77777777" w:rsidR="00A052DC" w:rsidRDefault="009F0A60">
            <w:pPr>
              <w:adjustRightInd w:val="0"/>
              <w:spacing w:before="20" w:after="20"/>
              <w:ind w:left="80" w:right="80"/>
              <w:rPr>
                <w:rFonts w:ascii="黑体" w:eastAsia="黑体" w:hAnsi="黑体" w:cs="宋体"/>
                <w:sz w:val="20"/>
                <w:szCs w:val="20"/>
              </w:rPr>
            </w:pPr>
            <w:r>
              <w:rPr>
                <w:rFonts w:ascii="黑体" w:eastAsia="黑体" w:hAnsi="黑体" w:hint="eastAsia"/>
                <w:sz w:val="20"/>
                <w:szCs w:val="20"/>
              </w:rPr>
              <w:t>字符型，</w:t>
            </w:r>
            <w:r>
              <w:rPr>
                <w:rFonts w:ascii="黑体" w:eastAsia="黑体" w:hAnsi="黑体"/>
                <w:sz w:val="20"/>
                <w:szCs w:val="20"/>
              </w:rPr>
              <w:t>6</w:t>
            </w:r>
          </w:p>
        </w:tc>
        <w:tc>
          <w:tcPr>
            <w:tcW w:w="1578" w:type="pct"/>
          </w:tcPr>
          <w:p w14:paraId="7E3214E6" w14:textId="77777777" w:rsidR="00A052DC" w:rsidRDefault="00A052DC">
            <w:pPr>
              <w:rPr>
                <w:rFonts w:ascii="黑体" w:eastAsia="黑体" w:hAnsi="黑体" w:cs="宋体"/>
                <w:sz w:val="20"/>
                <w:szCs w:val="20"/>
              </w:rPr>
            </w:pPr>
          </w:p>
        </w:tc>
      </w:tr>
      <w:tr w:rsidR="00A052DC" w14:paraId="66FFABF7" w14:textId="77777777">
        <w:trPr>
          <w:trHeight w:val="262"/>
        </w:trPr>
        <w:tc>
          <w:tcPr>
            <w:tcW w:w="1395" w:type="pct"/>
          </w:tcPr>
          <w:p w14:paraId="0089BA44"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相应金额1</w:t>
            </w:r>
          </w:p>
        </w:tc>
        <w:tc>
          <w:tcPr>
            <w:tcW w:w="996" w:type="pct"/>
          </w:tcPr>
          <w:p w14:paraId="3EBB7235"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TXAMT1</w:t>
            </w:r>
          </w:p>
        </w:tc>
        <w:tc>
          <w:tcPr>
            <w:tcW w:w="1030" w:type="pct"/>
          </w:tcPr>
          <w:p w14:paraId="38193B3D" w14:textId="77777777" w:rsidR="00A052DC" w:rsidRDefault="009F0A60">
            <w:pPr>
              <w:adjustRightInd w:val="0"/>
              <w:spacing w:before="20" w:after="20"/>
              <w:ind w:left="80" w:right="80"/>
              <w:rPr>
                <w:rFonts w:ascii="黑体" w:eastAsia="黑体" w:hAnsi="黑体" w:cs="宋体"/>
                <w:sz w:val="20"/>
                <w:szCs w:val="20"/>
              </w:rPr>
            </w:pPr>
            <w:r>
              <w:rPr>
                <w:rFonts w:ascii="黑体" w:eastAsia="黑体" w:hAnsi="黑体" w:hint="eastAsia"/>
                <w:sz w:val="20"/>
                <w:szCs w:val="20"/>
              </w:rPr>
              <w:t>数值型，</w:t>
            </w:r>
            <w:r>
              <w:rPr>
                <w:rFonts w:ascii="黑体" w:eastAsia="黑体" w:hAnsi="黑体"/>
                <w:sz w:val="20"/>
                <w:szCs w:val="20"/>
              </w:rPr>
              <w:t>22.0</w:t>
            </w:r>
          </w:p>
        </w:tc>
        <w:tc>
          <w:tcPr>
            <w:tcW w:w="1578" w:type="pct"/>
          </w:tcPr>
          <w:p w14:paraId="3B026C40" w14:textId="77777777" w:rsidR="00A052DC" w:rsidRDefault="00A052DC">
            <w:pPr>
              <w:rPr>
                <w:rFonts w:ascii="黑体" w:eastAsia="黑体" w:hAnsi="黑体" w:cs="宋体"/>
                <w:sz w:val="20"/>
                <w:szCs w:val="20"/>
              </w:rPr>
            </w:pPr>
          </w:p>
        </w:tc>
      </w:tr>
      <w:tr w:rsidR="00A052DC" w14:paraId="165CFF7C" w14:textId="77777777">
        <w:tc>
          <w:tcPr>
            <w:tcW w:w="1395" w:type="pct"/>
          </w:tcPr>
          <w:p w14:paraId="7974FEF7"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交易附言1</w:t>
            </w:r>
          </w:p>
        </w:tc>
        <w:tc>
          <w:tcPr>
            <w:tcW w:w="996" w:type="pct"/>
          </w:tcPr>
          <w:p w14:paraId="18663A93"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TXREM1</w:t>
            </w:r>
          </w:p>
        </w:tc>
        <w:tc>
          <w:tcPr>
            <w:tcW w:w="1030" w:type="pct"/>
          </w:tcPr>
          <w:p w14:paraId="24E1E229" w14:textId="77777777" w:rsidR="00A052DC" w:rsidRDefault="009F0A60">
            <w:pPr>
              <w:adjustRightInd w:val="0"/>
              <w:spacing w:before="20" w:after="20"/>
              <w:ind w:left="80" w:right="80"/>
              <w:rPr>
                <w:rFonts w:ascii="黑体" w:eastAsia="黑体" w:hAnsi="黑体" w:cs="宋体"/>
                <w:sz w:val="20"/>
                <w:szCs w:val="20"/>
              </w:rPr>
            </w:pPr>
            <w:r>
              <w:rPr>
                <w:rFonts w:ascii="黑体" w:eastAsia="黑体" w:hAnsi="黑体" w:hint="eastAsia"/>
                <w:sz w:val="20"/>
                <w:szCs w:val="20"/>
              </w:rPr>
              <w:t>字符型，256</w:t>
            </w:r>
          </w:p>
        </w:tc>
        <w:tc>
          <w:tcPr>
            <w:tcW w:w="1578" w:type="pct"/>
          </w:tcPr>
          <w:p w14:paraId="08AE00AF" w14:textId="77777777" w:rsidR="00A052DC" w:rsidRDefault="00A052DC">
            <w:pPr>
              <w:rPr>
                <w:rFonts w:ascii="黑体" w:eastAsia="黑体" w:hAnsi="黑体" w:cs="宋体"/>
                <w:sz w:val="20"/>
                <w:szCs w:val="20"/>
              </w:rPr>
            </w:pPr>
          </w:p>
        </w:tc>
      </w:tr>
      <w:tr w:rsidR="00A052DC" w14:paraId="4D934106" w14:textId="77777777">
        <w:tc>
          <w:tcPr>
            <w:tcW w:w="1395" w:type="pct"/>
          </w:tcPr>
          <w:p w14:paraId="08C1FD96"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交易编码2</w:t>
            </w:r>
          </w:p>
        </w:tc>
        <w:tc>
          <w:tcPr>
            <w:tcW w:w="996" w:type="pct"/>
          </w:tcPr>
          <w:p w14:paraId="152A0630"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TXCODE2</w:t>
            </w:r>
          </w:p>
        </w:tc>
        <w:tc>
          <w:tcPr>
            <w:tcW w:w="1030" w:type="pct"/>
          </w:tcPr>
          <w:p w14:paraId="083C16BD" w14:textId="77777777" w:rsidR="00A052DC" w:rsidRDefault="009F0A60">
            <w:pPr>
              <w:adjustRightInd w:val="0"/>
              <w:spacing w:before="20" w:after="20"/>
              <w:ind w:left="80" w:right="80"/>
              <w:rPr>
                <w:rFonts w:ascii="黑体" w:eastAsia="黑体" w:hAnsi="黑体" w:cs="宋体"/>
                <w:sz w:val="20"/>
                <w:szCs w:val="20"/>
              </w:rPr>
            </w:pPr>
            <w:r>
              <w:rPr>
                <w:rFonts w:ascii="黑体" w:eastAsia="黑体" w:hAnsi="黑体" w:hint="eastAsia"/>
                <w:sz w:val="20"/>
                <w:szCs w:val="20"/>
              </w:rPr>
              <w:t>字符型，</w:t>
            </w:r>
            <w:r>
              <w:rPr>
                <w:rFonts w:ascii="黑体" w:eastAsia="黑体" w:hAnsi="黑体"/>
                <w:sz w:val="20"/>
                <w:szCs w:val="20"/>
              </w:rPr>
              <w:t>6</w:t>
            </w:r>
          </w:p>
        </w:tc>
        <w:tc>
          <w:tcPr>
            <w:tcW w:w="1578" w:type="pct"/>
          </w:tcPr>
          <w:p w14:paraId="04410617" w14:textId="77777777" w:rsidR="00A052DC" w:rsidRDefault="00A052DC">
            <w:pPr>
              <w:rPr>
                <w:rFonts w:ascii="黑体" w:eastAsia="黑体" w:hAnsi="黑体" w:cs="宋体"/>
                <w:sz w:val="20"/>
                <w:szCs w:val="20"/>
              </w:rPr>
            </w:pPr>
          </w:p>
        </w:tc>
      </w:tr>
      <w:tr w:rsidR="00A052DC" w14:paraId="73D363AD" w14:textId="77777777">
        <w:tc>
          <w:tcPr>
            <w:tcW w:w="1395" w:type="pct"/>
          </w:tcPr>
          <w:p w14:paraId="25326483"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相应金额2</w:t>
            </w:r>
          </w:p>
        </w:tc>
        <w:tc>
          <w:tcPr>
            <w:tcW w:w="996" w:type="pct"/>
          </w:tcPr>
          <w:p w14:paraId="1946CD8F"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TXAMT2</w:t>
            </w:r>
          </w:p>
        </w:tc>
        <w:tc>
          <w:tcPr>
            <w:tcW w:w="1030" w:type="pct"/>
          </w:tcPr>
          <w:p w14:paraId="4C48A3DE" w14:textId="77777777" w:rsidR="00A052DC" w:rsidRDefault="009F0A60">
            <w:pPr>
              <w:adjustRightInd w:val="0"/>
              <w:spacing w:before="20" w:after="20"/>
              <w:ind w:left="80" w:right="80"/>
              <w:rPr>
                <w:rFonts w:ascii="黑体" w:eastAsia="黑体" w:hAnsi="黑体" w:cs="宋体"/>
                <w:sz w:val="20"/>
                <w:szCs w:val="20"/>
              </w:rPr>
            </w:pPr>
            <w:r>
              <w:rPr>
                <w:rFonts w:ascii="黑体" w:eastAsia="黑体" w:hAnsi="黑体" w:hint="eastAsia"/>
                <w:sz w:val="20"/>
                <w:szCs w:val="20"/>
              </w:rPr>
              <w:t>数值型，</w:t>
            </w:r>
            <w:r>
              <w:rPr>
                <w:rFonts w:ascii="黑体" w:eastAsia="黑体" w:hAnsi="黑体"/>
                <w:sz w:val="20"/>
                <w:szCs w:val="20"/>
              </w:rPr>
              <w:t>22.0</w:t>
            </w:r>
          </w:p>
        </w:tc>
        <w:tc>
          <w:tcPr>
            <w:tcW w:w="1578" w:type="pct"/>
          </w:tcPr>
          <w:p w14:paraId="19C348FA" w14:textId="77777777" w:rsidR="00A052DC" w:rsidRDefault="00A052DC">
            <w:pPr>
              <w:rPr>
                <w:rFonts w:ascii="黑体" w:eastAsia="黑体" w:hAnsi="黑体" w:cs="宋体"/>
                <w:sz w:val="20"/>
                <w:szCs w:val="20"/>
              </w:rPr>
            </w:pPr>
          </w:p>
        </w:tc>
      </w:tr>
      <w:tr w:rsidR="00A052DC" w14:paraId="275C3811" w14:textId="77777777">
        <w:tc>
          <w:tcPr>
            <w:tcW w:w="1395" w:type="pct"/>
          </w:tcPr>
          <w:p w14:paraId="0FA3E148"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交易附言2</w:t>
            </w:r>
          </w:p>
        </w:tc>
        <w:tc>
          <w:tcPr>
            <w:tcW w:w="996" w:type="pct"/>
          </w:tcPr>
          <w:p w14:paraId="1D063D55"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TXREM2</w:t>
            </w:r>
          </w:p>
        </w:tc>
        <w:tc>
          <w:tcPr>
            <w:tcW w:w="1030" w:type="pct"/>
          </w:tcPr>
          <w:p w14:paraId="136BA5DF" w14:textId="77777777" w:rsidR="00A052DC" w:rsidRDefault="009F0A60">
            <w:pPr>
              <w:adjustRightInd w:val="0"/>
              <w:spacing w:before="20" w:after="20"/>
              <w:ind w:left="80" w:right="80"/>
              <w:rPr>
                <w:rFonts w:ascii="黑体" w:eastAsia="黑体" w:hAnsi="黑体" w:cs="宋体"/>
                <w:sz w:val="20"/>
                <w:szCs w:val="20"/>
              </w:rPr>
            </w:pPr>
            <w:r>
              <w:rPr>
                <w:rFonts w:ascii="黑体" w:eastAsia="黑体" w:hAnsi="黑体" w:hint="eastAsia"/>
                <w:sz w:val="20"/>
                <w:szCs w:val="20"/>
              </w:rPr>
              <w:t>字符型，256</w:t>
            </w:r>
          </w:p>
        </w:tc>
        <w:tc>
          <w:tcPr>
            <w:tcW w:w="1578" w:type="pct"/>
          </w:tcPr>
          <w:p w14:paraId="23C71423" w14:textId="77777777" w:rsidR="00A052DC" w:rsidRDefault="00A052DC">
            <w:pPr>
              <w:rPr>
                <w:rFonts w:ascii="黑体" w:eastAsia="黑体" w:hAnsi="黑体" w:cs="宋体"/>
                <w:sz w:val="20"/>
                <w:szCs w:val="20"/>
              </w:rPr>
            </w:pPr>
          </w:p>
        </w:tc>
      </w:tr>
      <w:tr w:rsidR="00A052DC" w14:paraId="5DD384F9" w14:textId="77777777">
        <w:tc>
          <w:tcPr>
            <w:tcW w:w="1395" w:type="pct"/>
          </w:tcPr>
          <w:p w14:paraId="17DFA43E"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收汇总金额中用于出口核销的金额</w:t>
            </w:r>
          </w:p>
        </w:tc>
        <w:tc>
          <w:tcPr>
            <w:tcW w:w="996" w:type="pct"/>
          </w:tcPr>
          <w:p w14:paraId="79AC9D9C"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WRITEOFFAMT</w:t>
            </w:r>
          </w:p>
        </w:tc>
        <w:tc>
          <w:tcPr>
            <w:tcW w:w="1030" w:type="pct"/>
          </w:tcPr>
          <w:p w14:paraId="6E2767A0" w14:textId="77777777" w:rsidR="00A052DC" w:rsidRDefault="009F0A60">
            <w:pPr>
              <w:adjustRightInd w:val="0"/>
              <w:spacing w:before="20" w:after="20"/>
              <w:ind w:left="80" w:right="80"/>
              <w:rPr>
                <w:rFonts w:ascii="黑体" w:eastAsia="黑体" w:hAnsi="黑体" w:cs="宋体"/>
                <w:sz w:val="20"/>
                <w:szCs w:val="20"/>
              </w:rPr>
            </w:pPr>
            <w:r>
              <w:rPr>
                <w:rFonts w:ascii="黑体" w:eastAsia="黑体" w:hAnsi="黑体" w:hint="eastAsia"/>
                <w:sz w:val="20"/>
                <w:szCs w:val="20"/>
              </w:rPr>
              <w:t>数值型，</w:t>
            </w:r>
            <w:r>
              <w:rPr>
                <w:rFonts w:ascii="黑体" w:eastAsia="黑体" w:hAnsi="黑体"/>
                <w:sz w:val="20"/>
                <w:szCs w:val="20"/>
              </w:rPr>
              <w:t>22.0</w:t>
            </w:r>
          </w:p>
        </w:tc>
        <w:tc>
          <w:tcPr>
            <w:tcW w:w="1578" w:type="pct"/>
          </w:tcPr>
          <w:p w14:paraId="78BF4C00" w14:textId="77777777" w:rsidR="00A052DC" w:rsidRDefault="00A052DC">
            <w:pPr>
              <w:rPr>
                <w:rFonts w:ascii="黑体" w:eastAsia="黑体" w:hAnsi="黑体" w:cs="宋体"/>
                <w:sz w:val="20"/>
                <w:szCs w:val="20"/>
              </w:rPr>
            </w:pPr>
          </w:p>
        </w:tc>
      </w:tr>
      <w:tr w:rsidR="00A052DC" w14:paraId="5B1D9384" w14:textId="77777777">
        <w:tc>
          <w:tcPr>
            <w:tcW w:w="1395" w:type="pct"/>
          </w:tcPr>
          <w:p w14:paraId="16A130BB" w14:textId="77777777" w:rsidR="00A052DC" w:rsidRDefault="009F0A60">
            <w:pPr>
              <w:rPr>
                <w:rFonts w:ascii="黑体" w:eastAsia="黑体" w:hAnsi="黑体" w:cs="Microsoft Sans Serif"/>
                <w:sz w:val="20"/>
                <w:szCs w:val="20"/>
              </w:rPr>
            </w:pPr>
            <w:r>
              <w:rPr>
                <w:rFonts w:ascii="黑体" w:eastAsia="黑体" w:hAnsi="黑体" w:hint="eastAsia"/>
                <w:sz w:val="20"/>
                <w:szCs w:val="20"/>
              </w:rPr>
              <w:t>填报人</w:t>
            </w:r>
          </w:p>
        </w:tc>
        <w:tc>
          <w:tcPr>
            <w:tcW w:w="996" w:type="pct"/>
          </w:tcPr>
          <w:p w14:paraId="40D73B78"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RPTUSER</w:t>
            </w:r>
          </w:p>
        </w:tc>
        <w:tc>
          <w:tcPr>
            <w:tcW w:w="1030" w:type="pct"/>
          </w:tcPr>
          <w:p w14:paraId="1C1133A7" w14:textId="77777777" w:rsidR="00A052DC" w:rsidRDefault="009F0A60">
            <w:pPr>
              <w:adjustRightInd w:val="0"/>
              <w:spacing w:before="20" w:after="20"/>
              <w:ind w:left="80" w:right="80"/>
              <w:rPr>
                <w:rFonts w:ascii="黑体" w:eastAsia="黑体" w:hAnsi="黑体" w:cs="宋体"/>
                <w:sz w:val="20"/>
                <w:szCs w:val="20"/>
              </w:rPr>
            </w:pPr>
            <w:r>
              <w:rPr>
                <w:rFonts w:ascii="黑体" w:eastAsia="黑体" w:hAnsi="黑体" w:hint="eastAsia"/>
                <w:sz w:val="20"/>
                <w:szCs w:val="20"/>
              </w:rPr>
              <w:t>字符型，</w:t>
            </w:r>
            <w:r>
              <w:rPr>
                <w:rFonts w:ascii="黑体" w:eastAsia="黑体" w:hAnsi="黑体"/>
                <w:sz w:val="20"/>
                <w:szCs w:val="20"/>
              </w:rPr>
              <w:t>20</w:t>
            </w:r>
          </w:p>
        </w:tc>
        <w:tc>
          <w:tcPr>
            <w:tcW w:w="1578" w:type="pct"/>
          </w:tcPr>
          <w:p w14:paraId="5AF744F7" w14:textId="77777777" w:rsidR="00A052DC" w:rsidRDefault="00A052DC">
            <w:pPr>
              <w:rPr>
                <w:rFonts w:ascii="黑体" w:eastAsia="黑体" w:hAnsi="黑体" w:cs="宋体"/>
                <w:sz w:val="20"/>
                <w:szCs w:val="20"/>
              </w:rPr>
            </w:pPr>
          </w:p>
        </w:tc>
      </w:tr>
      <w:tr w:rsidR="00A052DC" w14:paraId="4C41BCBC" w14:textId="77777777">
        <w:tc>
          <w:tcPr>
            <w:tcW w:w="1395" w:type="pct"/>
          </w:tcPr>
          <w:p w14:paraId="18B11C5A" w14:textId="77777777" w:rsidR="00A052DC" w:rsidRDefault="009F0A60">
            <w:pPr>
              <w:rPr>
                <w:rFonts w:ascii="黑体" w:eastAsia="黑体" w:hAnsi="黑体" w:cs="Microsoft Sans Serif"/>
                <w:sz w:val="20"/>
                <w:szCs w:val="20"/>
              </w:rPr>
            </w:pPr>
            <w:r>
              <w:rPr>
                <w:rFonts w:ascii="黑体" w:eastAsia="黑体" w:hAnsi="黑体" w:hint="eastAsia"/>
                <w:sz w:val="20"/>
                <w:szCs w:val="20"/>
              </w:rPr>
              <w:t>填报人电话</w:t>
            </w:r>
          </w:p>
        </w:tc>
        <w:tc>
          <w:tcPr>
            <w:tcW w:w="996" w:type="pct"/>
          </w:tcPr>
          <w:p w14:paraId="5D9963AA"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RPTTEL</w:t>
            </w:r>
          </w:p>
        </w:tc>
        <w:tc>
          <w:tcPr>
            <w:tcW w:w="1030" w:type="pct"/>
          </w:tcPr>
          <w:p w14:paraId="609148B9" w14:textId="77777777" w:rsidR="00A052DC" w:rsidRDefault="009F0A60">
            <w:pPr>
              <w:adjustRightInd w:val="0"/>
              <w:spacing w:before="20" w:after="20"/>
              <w:ind w:left="80" w:right="80"/>
              <w:rPr>
                <w:rFonts w:ascii="黑体" w:eastAsia="黑体" w:hAnsi="黑体" w:cs="宋体"/>
                <w:sz w:val="20"/>
                <w:szCs w:val="20"/>
              </w:rPr>
            </w:pPr>
            <w:r>
              <w:rPr>
                <w:rFonts w:ascii="黑体" w:eastAsia="黑体" w:hAnsi="黑体" w:hint="eastAsia"/>
                <w:sz w:val="20"/>
                <w:szCs w:val="20"/>
              </w:rPr>
              <w:t>字符型，</w:t>
            </w:r>
            <w:r>
              <w:rPr>
                <w:rFonts w:ascii="黑体" w:eastAsia="黑体" w:hAnsi="黑体"/>
                <w:sz w:val="20"/>
                <w:szCs w:val="20"/>
              </w:rPr>
              <w:t>20</w:t>
            </w:r>
          </w:p>
        </w:tc>
        <w:tc>
          <w:tcPr>
            <w:tcW w:w="1578" w:type="pct"/>
          </w:tcPr>
          <w:p w14:paraId="409FC47D" w14:textId="77777777" w:rsidR="00A052DC" w:rsidRDefault="00A052DC">
            <w:pPr>
              <w:rPr>
                <w:rFonts w:ascii="黑体" w:eastAsia="黑体" w:hAnsi="黑体" w:cs="宋体"/>
                <w:sz w:val="20"/>
                <w:szCs w:val="20"/>
              </w:rPr>
            </w:pPr>
          </w:p>
        </w:tc>
      </w:tr>
      <w:tr w:rsidR="00A052DC" w14:paraId="14D89FE2" w14:textId="77777777">
        <w:tc>
          <w:tcPr>
            <w:tcW w:w="1395" w:type="pct"/>
          </w:tcPr>
          <w:p w14:paraId="10F26386" w14:textId="77777777" w:rsidR="00A052DC" w:rsidRDefault="009F0A60">
            <w:pPr>
              <w:rPr>
                <w:rFonts w:ascii="黑体" w:eastAsia="黑体" w:hAnsi="黑体" w:cs="Microsoft Sans Serif"/>
                <w:sz w:val="20"/>
                <w:szCs w:val="20"/>
              </w:rPr>
            </w:pPr>
            <w:r>
              <w:rPr>
                <w:rFonts w:ascii="黑体" w:eastAsia="黑体" w:hAnsi="黑体" w:hint="eastAsia"/>
                <w:sz w:val="20"/>
                <w:szCs w:val="20"/>
              </w:rPr>
              <w:t>申报日期</w:t>
            </w:r>
          </w:p>
        </w:tc>
        <w:tc>
          <w:tcPr>
            <w:tcW w:w="996" w:type="pct"/>
          </w:tcPr>
          <w:p w14:paraId="3DE0BC62"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RPTDATE</w:t>
            </w:r>
          </w:p>
        </w:tc>
        <w:tc>
          <w:tcPr>
            <w:tcW w:w="1030" w:type="pct"/>
          </w:tcPr>
          <w:p w14:paraId="71A7D7FC" w14:textId="77777777" w:rsidR="00A052DC" w:rsidRDefault="009F0A60">
            <w:pPr>
              <w:rPr>
                <w:rFonts w:ascii="黑体" w:eastAsia="黑体" w:hAnsi="黑体"/>
                <w:sz w:val="20"/>
                <w:szCs w:val="20"/>
              </w:rPr>
            </w:pPr>
            <w:r>
              <w:rPr>
                <w:rFonts w:ascii="黑体" w:eastAsia="黑体" w:hAnsi="黑体" w:hint="eastAsia"/>
                <w:sz w:val="20"/>
                <w:szCs w:val="20"/>
              </w:rPr>
              <w:t>日期型，</w:t>
            </w:r>
            <w:r>
              <w:rPr>
                <w:rFonts w:ascii="黑体" w:eastAsia="黑体" w:hAnsi="黑体"/>
                <w:sz w:val="20"/>
                <w:szCs w:val="20"/>
              </w:rPr>
              <w:t>8</w:t>
            </w:r>
          </w:p>
        </w:tc>
        <w:tc>
          <w:tcPr>
            <w:tcW w:w="1578" w:type="pct"/>
          </w:tcPr>
          <w:p w14:paraId="4F15DD53" w14:textId="77777777" w:rsidR="00A052DC" w:rsidRDefault="009F0A60">
            <w:pPr>
              <w:rPr>
                <w:rFonts w:ascii="黑体" w:eastAsia="黑体" w:hAnsi="黑体" w:cs="宋体"/>
                <w:sz w:val="20"/>
                <w:szCs w:val="20"/>
              </w:rPr>
            </w:pPr>
            <w:r>
              <w:rPr>
                <w:rFonts w:ascii="黑体" w:eastAsia="黑体" w:hAnsi="黑体" w:cs="宋体"/>
                <w:sz w:val="20"/>
                <w:szCs w:val="20"/>
              </w:rPr>
              <w:t>YYYYMMDD</w:t>
            </w:r>
          </w:p>
        </w:tc>
      </w:tr>
      <w:tr w:rsidR="00A052DC" w14:paraId="41278610" w14:textId="77777777">
        <w:tc>
          <w:tcPr>
            <w:tcW w:w="1395" w:type="pct"/>
          </w:tcPr>
          <w:p w14:paraId="557A55B3"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申报信息来源</w:t>
            </w:r>
          </w:p>
        </w:tc>
        <w:tc>
          <w:tcPr>
            <w:tcW w:w="996" w:type="pct"/>
          </w:tcPr>
          <w:p w14:paraId="5136A17F"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RPTSOURCE</w:t>
            </w:r>
          </w:p>
        </w:tc>
        <w:tc>
          <w:tcPr>
            <w:tcW w:w="1030" w:type="pct"/>
          </w:tcPr>
          <w:p w14:paraId="37DE6D70" w14:textId="77777777" w:rsidR="00A052DC" w:rsidRDefault="009F0A60">
            <w:pPr>
              <w:adjustRightInd w:val="0"/>
              <w:spacing w:before="20" w:after="20"/>
              <w:ind w:left="80" w:right="80"/>
              <w:rPr>
                <w:rFonts w:ascii="黑体" w:eastAsia="黑体" w:hAnsi="黑体" w:cs="宋体"/>
                <w:sz w:val="20"/>
                <w:szCs w:val="20"/>
              </w:rPr>
            </w:pPr>
            <w:r>
              <w:rPr>
                <w:rFonts w:ascii="黑体" w:eastAsia="黑体" w:hAnsi="黑体" w:hint="eastAsia"/>
                <w:sz w:val="20"/>
                <w:szCs w:val="20"/>
              </w:rPr>
              <w:t>字符型，</w:t>
            </w:r>
            <w:r>
              <w:rPr>
                <w:rFonts w:ascii="黑体" w:eastAsia="黑体" w:hAnsi="黑体"/>
                <w:sz w:val="20"/>
                <w:szCs w:val="20"/>
              </w:rPr>
              <w:t>1</w:t>
            </w:r>
          </w:p>
        </w:tc>
        <w:tc>
          <w:tcPr>
            <w:tcW w:w="1578" w:type="pct"/>
          </w:tcPr>
          <w:p w14:paraId="6B193588" w14:textId="77777777" w:rsidR="00A052DC" w:rsidRDefault="009F0A60">
            <w:pPr>
              <w:rPr>
                <w:rFonts w:ascii="黑体" w:eastAsia="黑体" w:hAnsi="黑体" w:cs="宋体"/>
                <w:sz w:val="20"/>
                <w:szCs w:val="20"/>
              </w:rPr>
            </w:pPr>
            <w:r>
              <w:rPr>
                <w:rFonts w:ascii="黑体" w:eastAsia="黑体" w:hAnsi="黑体" w:cs="宋体"/>
                <w:sz w:val="20"/>
                <w:szCs w:val="20"/>
              </w:rPr>
              <w:t>2-</w:t>
            </w:r>
            <w:r>
              <w:rPr>
                <w:rFonts w:ascii="黑体" w:eastAsia="黑体" w:hAnsi="黑体" w:cs="宋体" w:hint="eastAsia"/>
                <w:sz w:val="20"/>
                <w:szCs w:val="20"/>
              </w:rPr>
              <w:t>网上申报</w:t>
            </w:r>
          </w:p>
        </w:tc>
      </w:tr>
      <w:tr w:rsidR="00A052DC" w14:paraId="39903646" w14:textId="77777777">
        <w:tc>
          <w:tcPr>
            <w:tcW w:w="1395" w:type="pct"/>
          </w:tcPr>
          <w:p w14:paraId="244EDDC5"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申报单状态</w:t>
            </w:r>
          </w:p>
        </w:tc>
        <w:tc>
          <w:tcPr>
            <w:tcW w:w="996" w:type="pct"/>
          </w:tcPr>
          <w:p w14:paraId="009E8CC3"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RPTSTS</w:t>
            </w:r>
          </w:p>
        </w:tc>
        <w:tc>
          <w:tcPr>
            <w:tcW w:w="1030" w:type="pct"/>
          </w:tcPr>
          <w:p w14:paraId="5D8ABF2C" w14:textId="77777777" w:rsidR="00A052DC" w:rsidRDefault="009F0A60">
            <w:pPr>
              <w:adjustRightInd w:val="0"/>
              <w:spacing w:before="20" w:after="20"/>
              <w:ind w:left="80" w:right="80"/>
              <w:rPr>
                <w:rFonts w:ascii="黑体" w:eastAsia="黑体" w:hAnsi="黑体" w:cs="宋体"/>
                <w:sz w:val="20"/>
                <w:szCs w:val="20"/>
              </w:rPr>
            </w:pPr>
            <w:r>
              <w:rPr>
                <w:rFonts w:ascii="黑体" w:eastAsia="黑体" w:hAnsi="黑体" w:hint="eastAsia"/>
                <w:sz w:val="20"/>
                <w:szCs w:val="20"/>
              </w:rPr>
              <w:t>字符型，</w:t>
            </w:r>
            <w:r>
              <w:rPr>
                <w:rFonts w:ascii="黑体" w:eastAsia="黑体" w:hAnsi="黑体"/>
                <w:sz w:val="20"/>
                <w:szCs w:val="20"/>
              </w:rPr>
              <w:t>2</w:t>
            </w:r>
          </w:p>
        </w:tc>
        <w:tc>
          <w:tcPr>
            <w:tcW w:w="1578" w:type="pct"/>
          </w:tcPr>
          <w:p w14:paraId="2ED4ECE1" w14:textId="77777777" w:rsidR="00A052DC" w:rsidRDefault="009F0A60">
            <w:pPr>
              <w:rPr>
                <w:rFonts w:ascii="黑体" w:eastAsia="黑体" w:hAnsi="黑体" w:cs="宋体"/>
                <w:sz w:val="20"/>
                <w:szCs w:val="20"/>
              </w:rPr>
            </w:pPr>
            <w:r>
              <w:rPr>
                <w:rFonts w:ascii="黑体" w:eastAsia="黑体" w:hAnsi="黑体" w:cs="宋体" w:hint="eastAsia"/>
                <w:sz w:val="20"/>
                <w:szCs w:val="20"/>
              </w:rPr>
              <w:t>06已审核</w:t>
            </w:r>
          </w:p>
        </w:tc>
      </w:tr>
      <w:tr w:rsidR="00A052DC" w14:paraId="483A0C25" w14:textId="77777777">
        <w:tc>
          <w:tcPr>
            <w:tcW w:w="1395" w:type="pct"/>
          </w:tcPr>
          <w:p w14:paraId="6C7F00A8"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删除标志</w:t>
            </w:r>
          </w:p>
        </w:tc>
        <w:tc>
          <w:tcPr>
            <w:tcW w:w="996" w:type="pct"/>
          </w:tcPr>
          <w:p w14:paraId="5F491614"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DELFLAG</w:t>
            </w:r>
          </w:p>
        </w:tc>
        <w:tc>
          <w:tcPr>
            <w:tcW w:w="1030" w:type="pct"/>
          </w:tcPr>
          <w:p w14:paraId="11E0F095" w14:textId="77777777" w:rsidR="00A052DC" w:rsidRDefault="009F0A60">
            <w:pPr>
              <w:adjustRightInd w:val="0"/>
              <w:spacing w:before="20" w:after="20"/>
              <w:ind w:left="80" w:right="80"/>
              <w:rPr>
                <w:rFonts w:ascii="黑体" w:eastAsia="黑体" w:hAnsi="黑体"/>
                <w:sz w:val="20"/>
                <w:szCs w:val="20"/>
              </w:rPr>
            </w:pPr>
            <w:r>
              <w:rPr>
                <w:rFonts w:ascii="黑体" w:eastAsia="黑体" w:hAnsi="黑体" w:hint="eastAsia"/>
                <w:sz w:val="20"/>
                <w:szCs w:val="20"/>
              </w:rPr>
              <w:t>字符型，</w:t>
            </w:r>
            <w:r>
              <w:rPr>
                <w:rFonts w:ascii="黑体" w:eastAsia="黑体" w:hAnsi="黑体"/>
                <w:sz w:val="20"/>
                <w:szCs w:val="20"/>
              </w:rPr>
              <w:t>1</w:t>
            </w:r>
          </w:p>
        </w:tc>
        <w:tc>
          <w:tcPr>
            <w:tcW w:w="1578" w:type="pct"/>
          </w:tcPr>
          <w:p w14:paraId="7D7A4C82" w14:textId="77777777" w:rsidR="00A052DC" w:rsidRDefault="009F0A60">
            <w:pPr>
              <w:rPr>
                <w:rFonts w:ascii="黑体" w:eastAsia="黑体" w:hAnsi="黑体" w:cs="宋体"/>
                <w:sz w:val="20"/>
                <w:szCs w:val="20"/>
              </w:rPr>
            </w:pPr>
            <w:r>
              <w:rPr>
                <w:rFonts w:ascii="黑体" w:eastAsia="黑体" w:hAnsi="黑体" w:cs="宋体"/>
                <w:sz w:val="20"/>
                <w:szCs w:val="20"/>
              </w:rPr>
              <w:t>0-</w:t>
            </w:r>
            <w:r>
              <w:rPr>
                <w:rFonts w:ascii="黑体" w:eastAsia="黑体" w:hAnsi="黑体" w:cs="宋体" w:hint="eastAsia"/>
                <w:sz w:val="20"/>
                <w:szCs w:val="20"/>
              </w:rPr>
              <w:t>未删除</w:t>
            </w:r>
          </w:p>
          <w:p w14:paraId="57D602E6" w14:textId="77777777" w:rsidR="00A052DC" w:rsidRDefault="009F0A60">
            <w:pPr>
              <w:rPr>
                <w:rFonts w:ascii="黑体" w:eastAsia="黑体" w:hAnsi="黑体" w:cs="宋体"/>
                <w:sz w:val="20"/>
                <w:szCs w:val="20"/>
              </w:rPr>
            </w:pPr>
            <w:r>
              <w:rPr>
                <w:rFonts w:ascii="黑体" w:eastAsia="黑体" w:hAnsi="黑体" w:cs="宋体"/>
                <w:sz w:val="20"/>
                <w:szCs w:val="20"/>
              </w:rPr>
              <w:t>3-</w:t>
            </w:r>
            <w:r>
              <w:rPr>
                <w:rFonts w:ascii="黑体" w:eastAsia="黑体" w:hAnsi="黑体" w:cs="宋体" w:hint="eastAsia"/>
                <w:sz w:val="20"/>
                <w:szCs w:val="20"/>
              </w:rPr>
              <w:t>已删除</w:t>
            </w:r>
          </w:p>
        </w:tc>
      </w:tr>
      <w:tr w:rsidR="00A052DC" w14:paraId="0161B478" w14:textId="77777777">
        <w:tc>
          <w:tcPr>
            <w:tcW w:w="1395" w:type="pct"/>
          </w:tcPr>
          <w:p w14:paraId="75F0B211" w14:textId="77777777" w:rsidR="00A052DC" w:rsidRDefault="009F0A60">
            <w:pPr>
              <w:rPr>
                <w:rFonts w:ascii="黑体" w:eastAsia="黑体" w:hAnsi="黑体" w:cs="Microsoft Sans Serif"/>
                <w:sz w:val="20"/>
                <w:szCs w:val="20"/>
              </w:rPr>
            </w:pPr>
            <w:r>
              <w:rPr>
                <w:rFonts w:ascii="黑体" w:eastAsia="黑体" w:hAnsi="黑体" w:hint="eastAsia"/>
                <w:sz w:val="20"/>
                <w:szCs w:val="20"/>
              </w:rPr>
              <w:t>外汇局批件号</w:t>
            </w:r>
            <w:r>
              <w:rPr>
                <w:rFonts w:ascii="黑体" w:eastAsia="黑体" w:hAnsi="黑体"/>
                <w:sz w:val="20"/>
                <w:szCs w:val="20"/>
              </w:rPr>
              <w:t>/备案表号/业务编号</w:t>
            </w:r>
          </w:p>
        </w:tc>
        <w:tc>
          <w:tcPr>
            <w:tcW w:w="996" w:type="pct"/>
          </w:tcPr>
          <w:p w14:paraId="2DEC3315"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REGISTNO</w:t>
            </w:r>
          </w:p>
        </w:tc>
        <w:tc>
          <w:tcPr>
            <w:tcW w:w="1030" w:type="pct"/>
          </w:tcPr>
          <w:p w14:paraId="59707EAD" w14:textId="77777777" w:rsidR="00A052DC" w:rsidRDefault="009F0A60">
            <w:pPr>
              <w:adjustRightInd w:val="0"/>
              <w:spacing w:before="20" w:after="20"/>
              <w:ind w:left="80" w:right="80"/>
              <w:rPr>
                <w:rFonts w:ascii="黑体" w:eastAsia="黑体" w:hAnsi="黑体"/>
                <w:sz w:val="20"/>
                <w:szCs w:val="20"/>
              </w:rPr>
            </w:pPr>
            <w:r>
              <w:rPr>
                <w:rFonts w:ascii="黑体" w:eastAsia="黑体" w:hAnsi="黑体" w:hint="eastAsia"/>
                <w:sz w:val="20"/>
                <w:szCs w:val="20"/>
              </w:rPr>
              <w:t>字符型，</w:t>
            </w:r>
            <w:r>
              <w:rPr>
                <w:rFonts w:ascii="黑体" w:eastAsia="黑体" w:hAnsi="黑体"/>
                <w:sz w:val="20"/>
                <w:szCs w:val="20"/>
              </w:rPr>
              <w:t>20</w:t>
            </w:r>
          </w:p>
        </w:tc>
        <w:tc>
          <w:tcPr>
            <w:tcW w:w="1578" w:type="pct"/>
          </w:tcPr>
          <w:p w14:paraId="4BB888B7" w14:textId="77777777" w:rsidR="00A052DC" w:rsidRDefault="00A052DC">
            <w:pPr>
              <w:rPr>
                <w:rFonts w:ascii="黑体" w:eastAsia="黑体" w:hAnsi="黑体" w:cs="宋体"/>
                <w:sz w:val="20"/>
                <w:szCs w:val="20"/>
              </w:rPr>
            </w:pPr>
          </w:p>
        </w:tc>
      </w:tr>
    </w:tbl>
    <w:p w14:paraId="1C5506DC" w14:textId="77777777" w:rsidR="00A052DC" w:rsidRDefault="009F0A60">
      <w:pPr>
        <w:pStyle w:val="3"/>
        <w:ind w:left="0"/>
        <w:rPr>
          <w:rFonts w:ascii="Times New Roman" w:hAnsi="Times New Roman"/>
        </w:rPr>
      </w:pPr>
      <w:bookmarkStart w:id="4485" w:name="_Toc310599143"/>
      <w:bookmarkStart w:id="4486" w:name="_Toc308515718"/>
      <w:bookmarkStart w:id="4487" w:name="_Toc309650687"/>
      <w:bookmarkStart w:id="4488" w:name="_Toc310599127"/>
      <w:bookmarkStart w:id="4489" w:name="_Toc309650671"/>
      <w:bookmarkStart w:id="4490" w:name="_Toc308515702"/>
      <w:bookmarkStart w:id="4491" w:name="_Toc454394932"/>
      <w:bookmarkStart w:id="4492" w:name="_Toc310599144"/>
      <w:bookmarkStart w:id="4493" w:name="_Toc91455512"/>
      <w:bookmarkStart w:id="4494" w:name="_Toc101684537"/>
      <w:bookmarkEnd w:id="4485"/>
      <w:bookmarkEnd w:id="4486"/>
      <w:bookmarkEnd w:id="4487"/>
      <w:bookmarkEnd w:id="4488"/>
      <w:bookmarkEnd w:id="4489"/>
      <w:bookmarkEnd w:id="4490"/>
      <w:r>
        <w:rPr>
          <w:rFonts w:ascii="Times New Roman" w:hAnsi="Times New Roman" w:hint="eastAsia"/>
        </w:rPr>
        <w:t>反馈给部分接口</w:t>
      </w:r>
      <w:r>
        <w:rPr>
          <w:rFonts w:ascii="Times New Roman" w:hAnsi="Times New Roman"/>
        </w:rPr>
        <w:t>/</w:t>
      </w:r>
      <w:r>
        <w:rPr>
          <w:rFonts w:ascii="Times New Roman" w:hAnsi="Times New Roman" w:hint="eastAsia"/>
        </w:rPr>
        <w:t>手工录入银行的信息</w:t>
      </w:r>
      <w:bookmarkEnd w:id="4491"/>
      <w:bookmarkEnd w:id="4492"/>
      <w:bookmarkEnd w:id="4493"/>
      <w:bookmarkEnd w:id="4494"/>
    </w:p>
    <w:p w14:paraId="04F4E04C" w14:textId="77777777" w:rsidR="00A052DC" w:rsidRDefault="009F0A60" w:rsidP="0020251D">
      <w:pPr>
        <w:pStyle w:val="4"/>
        <w:numPr>
          <w:ilvl w:val="3"/>
          <w:numId w:val="1"/>
        </w:numPr>
        <w:jc w:val="left"/>
      </w:pPr>
      <w:bookmarkStart w:id="4495" w:name="_Toc454394933"/>
      <w:bookmarkStart w:id="4496" w:name="_Toc310599145"/>
      <w:r>
        <w:rPr>
          <w:rFonts w:hint="eastAsia"/>
        </w:rPr>
        <w:t>涉外收入申报单</w:t>
      </w:r>
      <w:bookmarkEnd w:id="4495"/>
      <w:bookmarkEnd w:id="4496"/>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3" w:type="dxa"/>
          <w:right w:w="113" w:type="dxa"/>
        </w:tblCellMar>
        <w:tblLook w:val="04A0" w:firstRow="1" w:lastRow="0" w:firstColumn="1" w:lastColumn="0" w:noHBand="0" w:noVBand="1"/>
      </w:tblPr>
      <w:tblGrid>
        <w:gridCol w:w="2665"/>
        <w:gridCol w:w="1560"/>
        <w:gridCol w:w="1700"/>
        <w:gridCol w:w="2607"/>
      </w:tblGrid>
      <w:tr w:rsidR="00A052DC" w14:paraId="225883FD" w14:textId="77777777">
        <w:trPr>
          <w:tblHeader/>
        </w:trPr>
        <w:tc>
          <w:tcPr>
            <w:tcW w:w="1562" w:type="pct"/>
            <w:shd w:val="clear" w:color="auto" w:fill="C0C0C0"/>
          </w:tcPr>
          <w:p w14:paraId="414D6F55" w14:textId="77777777" w:rsidR="00A052DC" w:rsidRDefault="009F0A60">
            <w:pPr>
              <w:jc w:val="center"/>
              <w:rPr>
                <w:rFonts w:ascii="黑体" w:eastAsia="黑体" w:hAnsi="黑体"/>
                <w:b/>
                <w:sz w:val="20"/>
                <w:szCs w:val="20"/>
              </w:rPr>
            </w:pPr>
            <w:r>
              <w:rPr>
                <w:rFonts w:ascii="黑体" w:eastAsia="黑体" w:hAnsi="黑体" w:hint="eastAsia"/>
                <w:b/>
                <w:sz w:val="20"/>
                <w:szCs w:val="20"/>
              </w:rPr>
              <w:t>名称</w:t>
            </w:r>
          </w:p>
        </w:tc>
        <w:tc>
          <w:tcPr>
            <w:tcW w:w="914" w:type="pct"/>
            <w:shd w:val="clear" w:color="auto" w:fill="C0C0C0"/>
          </w:tcPr>
          <w:p w14:paraId="52B4D60C" w14:textId="77777777" w:rsidR="00A052DC" w:rsidRDefault="009F0A60">
            <w:pPr>
              <w:jc w:val="center"/>
              <w:rPr>
                <w:rFonts w:ascii="黑体" w:eastAsia="黑体" w:hAnsi="黑体"/>
                <w:b/>
                <w:sz w:val="20"/>
                <w:szCs w:val="20"/>
              </w:rPr>
            </w:pPr>
            <w:r>
              <w:rPr>
                <w:rFonts w:ascii="黑体" w:eastAsia="黑体" w:hAnsi="黑体" w:hint="eastAsia"/>
                <w:b/>
                <w:sz w:val="20"/>
                <w:szCs w:val="20"/>
              </w:rPr>
              <w:t>代码</w:t>
            </w:r>
          </w:p>
        </w:tc>
        <w:tc>
          <w:tcPr>
            <w:tcW w:w="996" w:type="pct"/>
            <w:shd w:val="clear" w:color="auto" w:fill="C0C0C0"/>
          </w:tcPr>
          <w:p w14:paraId="7E847B7F" w14:textId="77777777" w:rsidR="00A052DC" w:rsidRDefault="009F0A60">
            <w:pPr>
              <w:jc w:val="center"/>
              <w:rPr>
                <w:rFonts w:ascii="黑体" w:eastAsia="黑体" w:hAnsi="黑体"/>
                <w:b/>
                <w:sz w:val="20"/>
                <w:szCs w:val="20"/>
              </w:rPr>
            </w:pPr>
            <w:r>
              <w:rPr>
                <w:rFonts w:ascii="黑体" w:eastAsia="黑体" w:hAnsi="黑体" w:hint="eastAsia"/>
                <w:b/>
                <w:sz w:val="20"/>
                <w:szCs w:val="20"/>
              </w:rPr>
              <w:t>数据（长度）</w:t>
            </w:r>
          </w:p>
        </w:tc>
        <w:tc>
          <w:tcPr>
            <w:tcW w:w="1528" w:type="pct"/>
            <w:shd w:val="clear" w:color="auto" w:fill="C0C0C0"/>
          </w:tcPr>
          <w:p w14:paraId="3B82C1FB" w14:textId="77777777" w:rsidR="00A052DC" w:rsidRDefault="009F0A60">
            <w:pPr>
              <w:jc w:val="center"/>
              <w:rPr>
                <w:rFonts w:ascii="黑体" w:eastAsia="黑体" w:hAnsi="黑体"/>
                <w:b/>
                <w:sz w:val="20"/>
                <w:szCs w:val="20"/>
              </w:rPr>
            </w:pPr>
            <w:r>
              <w:rPr>
                <w:rFonts w:ascii="黑体" w:eastAsia="黑体" w:hAnsi="黑体" w:hint="eastAsia"/>
                <w:b/>
                <w:sz w:val="20"/>
                <w:szCs w:val="20"/>
              </w:rPr>
              <w:t>注释</w:t>
            </w:r>
          </w:p>
        </w:tc>
      </w:tr>
      <w:tr w:rsidR="00A052DC" w14:paraId="52A97895" w14:textId="77777777">
        <w:tc>
          <w:tcPr>
            <w:tcW w:w="1562" w:type="pct"/>
          </w:tcPr>
          <w:p w14:paraId="38CC5787" w14:textId="77777777" w:rsidR="00A052DC" w:rsidRDefault="009F0A60">
            <w:pPr>
              <w:rPr>
                <w:rFonts w:ascii="黑体" w:eastAsia="黑体" w:hAnsi="黑体" w:cs="Microsoft Sans Serif"/>
                <w:sz w:val="20"/>
                <w:szCs w:val="20"/>
              </w:rPr>
            </w:pPr>
            <w:r>
              <w:rPr>
                <w:rFonts w:ascii="黑体" w:eastAsia="黑体" w:hAnsi="黑体" w:hint="eastAsia"/>
                <w:sz w:val="20"/>
                <w:szCs w:val="20"/>
              </w:rPr>
              <w:t>申报号码</w:t>
            </w:r>
          </w:p>
        </w:tc>
        <w:tc>
          <w:tcPr>
            <w:tcW w:w="914" w:type="pct"/>
          </w:tcPr>
          <w:p w14:paraId="1246AEFC"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RPTNO</w:t>
            </w:r>
          </w:p>
        </w:tc>
        <w:tc>
          <w:tcPr>
            <w:tcW w:w="996" w:type="pct"/>
          </w:tcPr>
          <w:p w14:paraId="3CB3C453" w14:textId="77777777" w:rsidR="00A052DC" w:rsidRDefault="009F0A60">
            <w:pPr>
              <w:rPr>
                <w:rFonts w:ascii="黑体" w:eastAsia="黑体" w:hAnsi="黑体" w:cs="宋体"/>
                <w:sz w:val="20"/>
                <w:szCs w:val="20"/>
              </w:rPr>
            </w:pPr>
            <w:r>
              <w:rPr>
                <w:rFonts w:ascii="黑体" w:eastAsia="黑体" w:hAnsi="黑体" w:hint="eastAsia"/>
                <w:sz w:val="20"/>
                <w:szCs w:val="20"/>
              </w:rPr>
              <w:t>字符型，22</w:t>
            </w:r>
          </w:p>
        </w:tc>
        <w:tc>
          <w:tcPr>
            <w:tcW w:w="1528" w:type="pct"/>
          </w:tcPr>
          <w:p w14:paraId="577F88A1" w14:textId="77777777" w:rsidR="00A052DC" w:rsidRDefault="009F0A60">
            <w:pPr>
              <w:rPr>
                <w:rFonts w:ascii="黑体" w:eastAsia="黑体" w:hAnsi="黑体"/>
                <w:sz w:val="20"/>
                <w:szCs w:val="20"/>
              </w:rPr>
            </w:pPr>
            <w:r>
              <w:rPr>
                <w:rFonts w:ascii="黑体" w:eastAsia="黑体" w:hAnsi="黑体" w:hint="eastAsia"/>
                <w:sz w:val="20"/>
                <w:szCs w:val="20"/>
              </w:rPr>
              <w:t>编码规则：6位地区标识码+4位银行代码+2位银行顺序码+汇入日期（yymmdd）+4位银行业务流水码。</w:t>
            </w:r>
          </w:p>
        </w:tc>
      </w:tr>
      <w:tr w:rsidR="00A052DC" w14:paraId="1A5CC89C" w14:textId="77777777">
        <w:tc>
          <w:tcPr>
            <w:tcW w:w="1562" w:type="pct"/>
          </w:tcPr>
          <w:p w14:paraId="4A83BBC7" w14:textId="77777777" w:rsidR="00A052DC" w:rsidRDefault="009F0A60">
            <w:pPr>
              <w:rPr>
                <w:rFonts w:ascii="黑体" w:eastAsia="黑体" w:hAnsi="黑体"/>
                <w:sz w:val="20"/>
                <w:szCs w:val="20"/>
              </w:rPr>
            </w:pPr>
            <w:r>
              <w:rPr>
                <w:rFonts w:ascii="黑体" w:eastAsia="黑体" w:hAnsi="黑体" w:hint="eastAsia"/>
                <w:sz w:val="20"/>
                <w:szCs w:val="20"/>
              </w:rPr>
              <w:t>收款人类型</w:t>
            </w:r>
          </w:p>
        </w:tc>
        <w:tc>
          <w:tcPr>
            <w:tcW w:w="914" w:type="pct"/>
          </w:tcPr>
          <w:p w14:paraId="3AC79E5B"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PAYEETYPE</w:t>
            </w:r>
          </w:p>
        </w:tc>
        <w:tc>
          <w:tcPr>
            <w:tcW w:w="996" w:type="pct"/>
          </w:tcPr>
          <w:p w14:paraId="1712D377" w14:textId="77777777" w:rsidR="00A052DC" w:rsidRDefault="009F0A60">
            <w:pPr>
              <w:rPr>
                <w:rFonts w:ascii="黑体" w:eastAsia="黑体" w:hAnsi="黑体" w:cs="宋体"/>
                <w:sz w:val="20"/>
                <w:szCs w:val="20"/>
              </w:rPr>
            </w:pPr>
            <w:r>
              <w:rPr>
                <w:rFonts w:ascii="黑体" w:eastAsia="黑体" w:hAnsi="黑体" w:hint="eastAsia"/>
                <w:sz w:val="20"/>
                <w:szCs w:val="20"/>
              </w:rPr>
              <w:t>字符型，1</w:t>
            </w:r>
          </w:p>
        </w:tc>
        <w:tc>
          <w:tcPr>
            <w:tcW w:w="1528" w:type="pct"/>
          </w:tcPr>
          <w:p w14:paraId="48473DDE" w14:textId="77777777" w:rsidR="00A052DC" w:rsidRDefault="009F0A60">
            <w:pPr>
              <w:rPr>
                <w:rFonts w:ascii="黑体" w:eastAsia="黑体" w:hAnsi="黑体"/>
                <w:sz w:val="20"/>
                <w:szCs w:val="20"/>
              </w:rPr>
            </w:pPr>
            <w:r>
              <w:rPr>
                <w:rFonts w:ascii="黑体" w:eastAsia="黑体" w:hAnsi="黑体" w:hint="eastAsia"/>
                <w:sz w:val="20"/>
                <w:szCs w:val="20"/>
              </w:rPr>
              <w:t>C</w:t>
            </w:r>
            <w:r w:rsidR="00AE4602">
              <w:rPr>
                <w:rFonts w:ascii="黑体" w:eastAsia="黑体" w:hAnsi="黑体" w:hint="eastAsia"/>
                <w:sz w:val="20"/>
                <w:szCs w:val="20"/>
              </w:rPr>
              <w:t>-</w:t>
            </w:r>
            <w:r>
              <w:rPr>
                <w:rFonts w:ascii="黑体" w:eastAsia="黑体" w:hAnsi="黑体" w:hint="eastAsia"/>
                <w:sz w:val="20"/>
                <w:szCs w:val="20"/>
              </w:rPr>
              <w:t>对公用户</w:t>
            </w:r>
          </w:p>
          <w:p w14:paraId="701D4BFB" w14:textId="77777777" w:rsidR="00A052DC" w:rsidRDefault="009F0A60">
            <w:pPr>
              <w:rPr>
                <w:rFonts w:ascii="黑体" w:eastAsia="黑体" w:hAnsi="黑体"/>
                <w:sz w:val="20"/>
                <w:szCs w:val="20"/>
              </w:rPr>
            </w:pPr>
            <w:r>
              <w:rPr>
                <w:rFonts w:ascii="黑体" w:eastAsia="黑体" w:hAnsi="黑体" w:hint="eastAsia"/>
                <w:sz w:val="20"/>
                <w:szCs w:val="20"/>
              </w:rPr>
              <w:t>D</w:t>
            </w:r>
            <w:r w:rsidR="00AE4602">
              <w:rPr>
                <w:rFonts w:ascii="黑体" w:eastAsia="黑体" w:hAnsi="黑体" w:hint="eastAsia"/>
                <w:sz w:val="20"/>
                <w:szCs w:val="20"/>
              </w:rPr>
              <w:t>-</w:t>
            </w:r>
            <w:r>
              <w:rPr>
                <w:rFonts w:ascii="黑体" w:eastAsia="黑体" w:hAnsi="黑体" w:hint="eastAsia"/>
                <w:sz w:val="20"/>
                <w:szCs w:val="20"/>
              </w:rPr>
              <w:t>对私中国居民</w:t>
            </w:r>
          </w:p>
          <w:p w14:paraId="2EF8D053" w14:textId="77777777" w:rsidR="00A052DC" w:rsidRDefault="009F0A60">
            <w:pPr>
              <w:rPr>
                <w:rFonts w:ascii="黑体" w:eastAsia="黑体" w:hAnsi="黑体"/>
                <w:sz w:val="20"/>
                <w:szCs w:val="20"/>
              </w:rPr>
            </w:pPr>
            <w:r>
              <w:rPr>
                <w:rFonts w:ascii="黑体" w:eastAsia="黑体" w:hAnsi="黑体" w:hint="eastAsia"/>
                <w:sz w:val="20"/>
                <w:szCs w:val="20"/>
              </w:rPr>
              <w:t>F</w:t>
            </w:r>
            <w:r w:rsidR="00AE4602">
              <w:rPr>
                <w:rFonts w:ascii="黑体" w:eastAsia="黑体" w:hAnsi="黑体" w:hint="eastAsia"/>
                <w:sz w:val="20"/>
                <w:szCs w:val="20"/>
              </w:rPr>
              <w:t>-</w:t>
            </w:r>
            <w:r>
              <w:rPr>
                <w:rFonts w:ascii="黑体" w:eastAsia="黑体" w:hAnsi="黑体" w:hint="eastAsia"/>
                <w:sz w:val="20"/>
                <w:szCs w:val="20"/>
              </w:rPr>
              <w:t>对私中国非居民</w:t>
            </w:r>
          </w:p>
        </w:tc>
      </w:tr>
      <w:tr w:rsidR="00A052DC" w14:paraId="6FA614BF" w14:textId="77777777">
        <w:tc>
          <w:tcPr>
            <w:tcW w:w="1562" w:type="pct"/>
          </w:tcPr>
          <w:p w14:paraId="7488D4F2"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个人身份证件号码</w:t>
            </w:r>
          </w:p>
        </w:tc>
        <w:tc>
          <w:tcPr>
            <w:tcW w:w="914" w:type="pct"/>
          </w:tcPr>
          <w:p w14:paraId="405E44AC"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IDCODE</w:t>
            </w:r>
          </w:p>
        </w:tc>
        <w:tc>
          <w:tcPr>
            <w:tcW w:w="996" w:type="pct"/>
          </w:tcPr>
          <w:p w14:paraId="7B7D3E97" w14:textId="77777777" w:rsidR="00A052DC" w:rsidRDefault="009F0A60">
            <w:pPr>
              <w:rPr>
                <w:rFonts w:ascii="黑体" w:eastAsia="黑体" w:hAnsi="黑体" w:cs="宋体"/>
                <w:sz w:val="20"/>
                <w:szCs w:val="20"/>
              </w:rPr>
            </w:pPr>
            <w:r>
              <w:rPr>
                <w:rFonts w:ascii="黑体" w:eastAsia="黑体" w:hAnsi="黑体" w:hint="eastAsia"/>
                <w:sz w:val="20"/>
                <w:szCs w:val="20"/>
              </w:rPr>
              <w:t>字符型，32</w:t>
            </w:r>
          </w:p>
        </w:tc>
        <w:tc>
          <w:tcPr>
            <w:tcW w:w="1528" w:type="pct"/>
          </w:tcPr>
          <w:p w14:paraId="0ED72B55" w14:textId="77777777" w:rsidR="00A052DC" w:rsidRDefault="00A052DC">
            <w:pPr>
              <w:rPr>
                <w:rFonts w:ascii="黑体" w:eastAsia="黑体" w:hAnsi="黑体" w:cs="宋体"/>
                <w:sz w:val="20"/>
                <w:szCs w:val="20"/>
              </w:rPr>
            </w:pPr>
          </w:p>
        </w:tc>
      </w:tr>
      <w:tr w:rsidR="00A052DC" w14:paraId="1B9471EC" w14:textId="77777777">
        <w:tc>
          <w:tcPr>
            <w:tcW w:w="1562" w:type="pct"/>
          </w:tcPr>
          <w:p w14:paraId="5176DE6B" w14:textId="77777777" w:rsidR="00A052DC" w:rsidRDefault="009F0A60">
            <w:pPr>
              <w:pStyle w:val="B"/>
            </w:pPr>
            <w:r>
              <w:rPr>
                <w:rFonts w:hint="eastAsia"/>
                <w:kern w:val="2"/>
              </w:rPr>
              <w:t>主体标识码</w:t>
            </w:r>
          </w:p>
        </w:tc>
        <w:tc>
          <w:tcPr>
            <w:tcW w:w="914" w:type="pct"/>
          </w:tcPr>
          <w:p w14:paraId="583F9299" w14:textId="77777777" w:rsidR="00A052DC" w:rsidRDefault="009F0A60">
            <w:pPr>
              <w:pStyle w:val="B"/>
            </w:pPr>
            <w:r>
              <w:rPr>
                <w:kern w:val="2"/>
              </w:rPr>
              <w:t>UNITCODE</w:t>
            </w:r>
          </w:p>
        </w:tc>
        <w:tc>
          <w:tcPr>
            <w:tcW w:w="996" w:type="pct"/>
          </w:tcPr>
          <w:p w14:paraId="19E7EEB8" w14:textId="77777777" w:rsidR="00A052DC" w:rsidRDefault="009F0A60">
            <w:pPr>
              <w:pStyle w:val="B"/>
              <w:rPr>
                <w:rFonts w:cs="宋体"/>
              </w:rPr>
            </w:pPr>
            <w:r>
              <w:rPr>
                <w:rFonts w:hint="eastAsia"/>
                <w:kern w:val="2"/>
              </w:rPr>
              <w:t>字符型，</w:t>
            </w:r>
            <w:r>
              <w:rPr>
                <w:kern w:val="2"/>
              </w:rPr>
              <w:t>18</w:t>
            </w:r>
          </w:p>
        </w:tc>
        <w:tc>
          <w:tcPr>
            <w:tcW w:w="1528" w:type="pct"/>
          </w:tcPr>
          <w:p w14:paraId="71BDDB56" w14:textId="77777777" w:rsidR="00A052DC" w:rsidRDefault="009F0A60">
            <w:pPr>
              <w:pStyle w:val="B"/>
              <w:rPr>
                <w:rFonts w:cs="宋体"/>
              </w:rPr>
            </w:pPr>
            <w:r>
              <w:rPr>
                <w:rFonts w:cs="宋体" w:hint="eastAsia"/>
              </w:rPr>
              <w:t>指统一社会信用代码法定载体（如营业执照）上统一社会信用代码中的第9至17位或国家外汇管理局及其分支局签发的特殊机构代码赋码通知书上的机构代码。</w:t>
            </w:r>
          </w:p>
        </w:tc>
      </w:tr>
      <w:tr w:rsidR="00A052DC" w14:paraId="2A85CC33" w14:textId="77777777">
        <w:tc>
          <w:tcPr>
            <w:tcW w:w="1562" w:type="pct"/>
          </w:tcPr>
          <w:p w14:paraId="28E331FE"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收款人名称</w:t>
            </w:r>
          </w:p>
        </w:tc>
        <w:tc>
          <w:tcPr>
            <w:tcW w:w="914" w:type="pct"/>
          </w:tcPr>
          <w:p w14:paraId="2F01AD26"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CUSTNAME</w:t>
            </w:r>
          </w:p>
        </w:tc>
        <w:tc>
          <w:tcPr>
            <w:tcW w:w="996" w:type="pct"/>
          </w:tcPr>
          <w:p w14:paraId="6E5C5668" w14:textId="77777777" w:rsidR="00A052DC" w:rsidRDefault="009F0A60">
            <w:pPr>
              <w:rPr>
                <w:rFonts w:ascii="黑体" w:eastAsia="黑体" w:hAnsi="黑体" w:cs="宋体"/>
                <w:sz w:val="20"/>
                <w:szCs w:val="20"/>
              </w:rPr>
            </w:pPr>
            <w:r>
              <w:rPr>
                <w:rFonts w:ascii="黑体" w:eastAsia="黑体" w:hAnsi="黑体" w:hint="eastAsia"/>
                <w:sz w:val="20"/>
                <w:szCs w:val="20"/>
              </w:rPr>
              <w:t>字符型，128</w:t>
            </w:r>
          </w:p>
        </w:tc>
        <w:tc>
          <w:tcPr>
            <w:tcW w:w="1528" w:type="pct"/>
          </w:tcPr>
          <w:p w14:paraId="676BB82F" w14:textId="77777777" w:rsidR="00A052DC" w:rsidRDefault="00A052DC">
            <w:pPr>
              <w:rPr>
                <w:rFonts w:ascii="黑体" w:eastAsia="黑体" w:hAnsi="黑体" w:cs="宋体"/>
                <w:sz w:val="20"/>
                <w:szCs w:val="20"/>
              </w:rPr>
            </w:pPr>
          </w:p>
        </w:tc>
      </w:tr>
      <w:tr w:rsidR="00A052DC" w14:paraId="747102A0" w14:textId="77777777">
        <w:tc>
          <w:tcPr>
            <w:tcW w:w="1562" w:type="pct"/>
          </w:tcPr>
          <w:p w14:paraId="69F7944C" w14:textId="77777777" w:rsidR="00A052DC" w:rsidRDefault="009F0A60">
            <w:pPr>
              <w:rPr>
                <w:rFonts w:ascii="黑体" w:eastAsia="黑体" w:hAnsi="黑体" w:cs="Microsoft Sans Serif"/>
                <w:sz w:val="20"/>
                <w:szCs w:val="20"/>
              </w:rPr>
            </w:pPr>
            <w:r>
              <w:rPr>
                <w:rFonts w:ascii="黑体" w:eastAsia="黑体" w:hAnsi="黑体" w:hint="eastAsia"/>
                <w:sz w:val="20"/>
                <w:szCs w:val="20"/>
              </w:rPr>
              <w:t>付款人名称</w:t>
            </w:r>
          </w:p>
        </w:tc>
        <w:tc>
          <w:tcPr>
            <w:tcW w:w="914" w:type="pct"/>
          </w:tcPr>
          <w:p w14:paraId="5A01044B"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OPPNAME</w:t>
            </w:r>
          </w:p>
        </w:tc>
        <w:tc>
          <w:tcPr>
            <w:tcW w:w="996" w:type="pct"/>
          </w:tcPr>
          <w:p w14:paraId="740EA588" w14:textId="77777777" w:rsidR="00A052DC" w:rsidRDefault="009F0A60">
            <w:pPr>
              <w:rPr>
                <w:rFonts w:ascii="黑体" w:eastAsia="黑体" w:hAnsi="黑体" w:cs="宋体"/>
                <w:sz w:val="20"/>
                <w:szCs w:val="20"/>
              </w:rPr>
            </w:pPr>
            <w:r>
              <w:rPr>
                <w:rFonts w:ascii="黑体" w:eastAsia="黑体" w:hAnsi="黑体" w:hint="eastAsia"/>
                <w:sz w:val="20"/>
                <w:szCs w:val="20"/>
              </w:rPr>
              <w:t>字符型，128</w:t>
            </w:r>
          </w:p>
        </w:tc>
        <w:tc>
          <w:tcPr>
            <w:tcW w:w="1528" w:type="pct"/>
          </w:tcPr>
          <w:p w14:paraId="70F14F02" w14:textId="77777777" w:rsidR="00A052DC" w:rsidRDefault="00A052DC">
            <w:pPr>
              <w:rPr>
                <w:rFonts w:ascii="黑体" w:eastAsia="黑体" w:hAnsi="黑体" w:cs="宋体"/>
                <w:sz w:val="20"/>
                <w:szCs w:val="20"/>
              </w:rPr>
            </w:pPr>
          </w:p>
        </w:tc>
      </w:tr>
      <w:tr w:rsidR="00A052DC" w14:paraId="3FFE3C8B" w14:textId="77777777">
        <w:tc>
          <w:tcPr>
            <w:tcW w:w="1562" w:type="pct"/>
          </w:tcPr>
          <w:p w14:paraId="2E7E9A8E"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收入款币种</w:t>
            </w:r>
          </w:p>
        </w:tc>
        <w:tc>
          <w:tcPr>
            <w:tcW w:w="914" w:type="pct"/>
          </w:tcPr>
          <w:p w14:paraId="49FBF8C0"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TXCCY</w:t>
            </w:r>
          </w:p>
        </w:tc>
        <w:tc>
          <w:tcPr>
            <w:tcW w:w="996" w:type="pct"/>
          </w:tcPr>
          <w:p w14:paraId="6282BC4F" w14:textId="77777777" w:rsidR="00A052DC" w:rsidRDefault="009F0A60">
            <w:pPr>
              <w:rPr>
                <w:rFonts w:ascii="黑体" w:eastAsia="黑体" w:hAnsi="黑体" w:cs="宋体"/>
                <w:sz w:val="20"/>
                <w:szCs w:val="20"/>
              </w:rPr>
            </w:pPr>
            <w:r>
              <w:rPr>
                <w:rFonts w:ascii="黑体" w:eastAsia="黑体" w:hAnsi="黑体" w:hint="eastAsia"/>
                <w:sz w:val="20"/>
                <w:szCs w:val="20"/>
              </w:rPr>
              <w:t>字符型，3</w:t>
            </w:r>
          </w:p>
        </w:tc>
        <w:tc>
          <w:tcPr>
            <w:tcW w:w="1528" w:type="pct"/>
          </w:tcPr>
          <w:p w14:paraId="4C7F0561" w14:textId="77777777" w:rsidR="00A052DC" w:rsidRDefault="00A052DC">
            <w:pPr>
              <w:rPr>
                <w:rFonts w:ascii="黑体" w:eastAsia="黑体" w:hAnsi="黑体" w:cs="宋体"/>
                <w:sz w:val="20"/>
                <w:szCs w:val="20"/>
              </w:rPr>
            </w:pPr>
          </w:p>
        </w:tc>
      </w:tr>
      <w:tr w:rsidR="00A052DC" w14:paraId="38AC63F3" w14:textId="77777777">
        <w:tc>
          <w:tcPr>
            <w:tcW w:w="1562" w:type="pct"/>
          </w:tcPr>
          <w:p w14:paraId="17658654"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收入款金额</w:t>
            </w:r>
          </w:p>
        </w:tc>
        <w:tc>
          <w:tcPr>
            <w:tcW w:w="914" w:type="pct"/>
          </w:tcPr>
          <w:p w14:paraId="2CDEF239"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TXAMT</w:t>
            </w:r>
          </w:p>
        </w:tc>
        <w:tc>
          <w:tcPr>
            <w:tcW w:w="996" w:type="pct"/>
          </w:tcPr>
          <w:p w14:paraId="7FFF46E6" w14:textId="77777777" w:rsidR="00A052DC" w:rsidRDefault="009F0A60">
            <w:pPr>
              <w:rPr>
                <w:rFonts w:ascii="黑体" w:eastAsia="黑体" w:hAnsi="黑体" w:cs="宋体"/>
                <w:sz w:val="20"/>
                <w:szCs w:val="20"/>
              </w:rPr>
            </w:pPr>
            <w:r>
              <w:rPr>
                <w:rFonts w:ascii="黑体" w:eastAsia="黑体" w:hAnsi="黑体" w:hint="eastAsia"/>
                <w:sz w:val="20"/>
                <w:szCs w:val="20"/>
              </w:rPr>
              <w:t>数值型，22.0</w:t>
            </w:r>
          </w:p>
        </w:tc>
        <w:tc>
          <w:tcPr>
            <w:tcW w:w="1528" w:type="pct"/>
          </w:tcPr>
          <w:p w14:paraId="7F4FEFB8" w14:textId="77777777" w:rsidR="00A052DC" w:rsidRDefault="00A052DC">
            <w:pPr>
              <w:rPr>
                <w:rFonts w:ascii="黑体" w:eastAsia="黑体" w:hAnsi="黑体" w:cs="宋体"/>
                <w:sz w:val="20"/>
                <w:szCs w:val="20"/>
              </w:rPr>
            </w:pPr>
          </w:p>
        </w:tc>
      </w:tr>
      <w:tr w:rsidR="00A052DC" w14:paraId="7383A3F8" w14:textId="77777777">
        <w:tc>
          <w:tcPr>
            <w:tcW w:w="1562" w:type="pct"/>
          </w:tcPr>
          <w:p w14:paraId="48832FBA"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结汇汇率</w:t>
            </w:r>
          </w:p>
        </w:tc>
        <w:tc>
          <w:tcPr>
            <w:tcW w:w="914" w:type="pct"/>
          </w:tcPr>
          <w:p w14:paraId="6BCAD33A"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EXRATE</w:t>
            </w:r>
          </w:p>
        </w:tc>
        <w:tc>
          <w:tcPr>
            <w:tcW w:w="996" w:type="pct"/>
          </w:tcPr>
          <w:p w14:paraId="5F163E0C" w14:textId="77777777" w:rsidR="00A052DC" w:rsidRDefault="009F0A60">
            <w:pPr>
              <w:rPr>
                <w:rFonts w:ascii="黑体" w:eastAsia="黑体" w:hAnsi="黑体" w:cs="宋体"/>
                <w:sz w:val="20"/>
                <w:szCs w:val="20"/>
              </w:rPr>
            </w:pPr>
            <w:r>
              <w:rPr>
                <w:rFonts w:ascii="黑体" w:eastAsia="黑体" w:hAnsi="黑体" w:hint="eastAsia"/>
                <w:sz w:val="20"/>
                <w:szCs w:val="20"/>
              </w:rPr>
              <w:t>数值型，13.8</w:t>
            </w:r>
          </w:p>
        </w:tc>
        <w:tc>
          <w:tcPr>
            <w:tcW w:w="1528" w:type="pct"/>
          </w:tcPr>
          <w:p w14:paraId="73573470" w14:textId="77777777" w:rsidR="00A052DC" w:rsidRDefault="00A052DC">
            <w:pPr>
              <w:rPr>
                <w:rFonts w:ascii="黑体" w:eastAsia="黑体" w:hAnsi="黑体" w:cs="宋体"/>
                <w:sz w:val="20"/>
                <w:szCs w:val="20"/>
              </w:rPr>
            </w:pPr>
          </w:p>
        </w:tc>
      </w:tr>
      <w:tr w:rsidR="00A052DC" w14:paraId="43FB6A29" w14:textId="77777777">
        <w:tc>
          <w:tcPr>
            <w:tcW w:w="1562" w:type="pct"/>
          </w:tcPr>
          <w:p w14:paraId="1C3667E4"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结汇金额</w:t>
            </w:r>
          </w:p>
        </w:tc>
        <w:tc>
          <w:tcPr>
            <w:tcW w:w="914" w:type="pct"/>
          </w:tcPr>
          <w:p w14:paraId="6E3C66F9"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LCYAMT</w:t>
            </w:r>
          </w:p>
        </w:tc>
        <w:tc>
          <w:tcPr>
            <w:tcW w:w="996" w:type="pct"/>
          </w:tcPr>
          <w:p w14:paraId="1E4753CC" w14:textId="77777777" w:rsidR="00A052DC" w:rsidRDefault="009F0A60">
            <w:pPr>
              <w:rPr>
                <w:rFonts w:ascii="黑体" w:eastAsia="黑体" w:hAnsi="黑体" w:cs="宋体"/>
                <w:sz w:val="20"/>
                <w:szCs w:val="20"/>
              </w:rPr>
            </w:pPr>
            <w:r>
              <w:rPr>
                <w:rFonts w:ascii="黑体" w:eastAsia="黑体" w:hAnsi="黑体" w:hint="eastAsia"/>
                <w:sz w:val="20"/>
                <w:szCs w:val="20"/>
              </w:rPr>
              <w:t>数值型，22.0</w:t>
            </w:r>
          </w:p>
        </w:tc>
        <w:tc>
          <w:tcPr>
            <w:tcW w:w="1528" w:type="pct"/>
          </w:tcPr>
          <w:p w14:paraId="31667DF8" w14:textId="77777777" w:rsidR="00A052DC" w:rsidRDefault="00A052DC">
            <w:pPr>
              <w:rPr>
                <w:rFonts w:ascii="黑体" w:eastAsia="黑体" w:hAnsi="黑体" w:cs="宋体"/>
                <w:sz w:val="20"/>
                <w:szCs w:val="20"/>
              </w:rPr>
            </w:pPr>
          </w:p>
        </w:tc>
      </w:tr>
      <w:tr w:rsidR="00A052DC" w14:paraId="33C9A6BB" w14:textId="77777777">
        <w:tc>
          <w:tcPr>
            <w:tcW w:w="1562" w:type="pct"/>
          </w:tcPr>
          <w:p w14:paraId="1F248349" w14:textId="77777777" w:rsidR="00A052DC" w:rsidRDefault="009F0A60">
            <w:pPr>
              <w:rPr>
                <w:rFonts w:ascii="黑体" w:eastAsia="黑体" w:hAnsi="黑体" w:cs="Microsoft Sans Serif"/>
                <w:sz w:val="20"/>
                <w:szCs w:val="20"/>
              </w:rPr>
            </w:pPr>
            <w:r>
              <w:rPr>
                <w:rFonts w:ascii="黑体" w:eastAsia="黑体" w:hAnsi="黑体" w:hint="eastAsia"/>
                <w:sz w:val="20"/>
                <w:szCs w:val="20"/>
              </w:rPr>
              <w:t>人民币账号/银行卡号</w:t>
            </w:r>
          </w:p>
        </w:tc>
        <w:tc>
          <w:tcPr>
            <w:tcW w:w="914" w:type="pct"/>
          </w:tcPr>
          <w:p w14:paraId="56CD3992"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LCYACC</w:t>
            </w:r>
          </w:p>
        </w:tc>
        <w:tc>
          <w:tcPr>
            <w:tcW w:w="996" w:type="pct"/>
          </w:tcPr>
          <w:p w14:paraId="1A267CC5" w14:textId="77777777" w:rsidR="00A052DC" w:rsidRDefault="009F0A60">
            <w:pPr>
              <w:rPr>
                <w:rFonts w:ascii="黑体" w:eastAsia="黑体" w:hAnsi="黑体" w:cs="宋体"/>
                <w:sz w:val="20"/>
                <w:szCs w:val="20"/>
              </w:rPr>
            </w:pPr>
            <w:r>
              <w:rPr>
                <w:rFonts w:ascii="黑体" w:eastAsia="黑体" w:hAnsi="黑体" w:hint="eastAsia"/>
                <w:sz w:val="20"/>
                <w:szCs w:val="20"/>
              </w:rPr>
              <w:t>字符型，32</w:t>
            </w:r>
          </w:p>
        </w:tc>
        <w:tc>
          <w:tcPr>
            <w:tcW w:w="1528" w:type="pct"/>
          </w:tcPr>
          <w:p w14:paraId="518D462A" w14:textId="77777777" w:rsidR="00A052DC" w:rsidRDefault="00A052DC">
            <w:pPr>
              <w:rPr>
                <w:rFonts w:ascii="黑体" w:eastAsia="黑体" w:hAnsi="黑体" w:cs="宋体"/>
                <w:sz w:val="20"/>
                <w:szCs w:val="20"/>
              </w:rPr>
            </w:pPr>
          </w:p>
        </w:tc>
      </w:tr>
      <w:tr w:rsidR="00A052DC" w14:paraId="43A5F8A3" w14:textId="77777777">
        <w:tc>
          <w:tcPr>
            <w:tcW w:w="1562" w:type="pct"/>
          </w:tcPr>
          <w:p w14:paraId="5A0E15DF"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现汇金额</w:t>
            </w:r>
          </w:p>
        </w:tc>
        <w:tc>
          <w:tcPr>
            <w:tcW w:w="914" w:type="pct"/>
          </w:tcPr>
          <w:p w14:paraId="6969DFDB"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FCYAMT</w:t>
            </w:r>
          </w:p>
        </w:tc>
        <w:tc>
          <w:tcPr>
            <w:tcW w:w="996" w:type="pct"/>
          </w:tcPr>
          <w:p w14:paraId="1DBDB837" w14:textId="77777777" w:rsidR="00A052DC" w:rsidRDefault="009F0A60">
            <w:pPr>
              <w:rPr>
                <w:rFonts w:ascii="黑体" w:eastAsia="黑体" w:hAnsi="黑体" w:cs="宋体"/>
                <w:sz w:val="20"/>
                <w:szCs w:val="20"/>
              </w:rPr>
            </w:pPr>
            <w:r>
              <w:rPr>
                <w:rFonts w:ascii="黑体" w:eastAsia="黑体" w:hAnsi="黑体" w:hint="eastAsia"/>
                <w:sz w:val="20"/>
                <w:szCs w:val="20"/>
              </w:rPr>
              <w:t>数值型，22.0</w:t>
            </w:r>
          </w:p>
        </w:tc>
        <w:tc>
          <w:tcPr>
            <w:tcW w:w="1528" w:type="pct"/>
          </w:tcPr>
          <w:p w14:paraId="1250DFCA" w14:textId="77777777" w:rsidR="00A052DC" w:rsidRDefault="00A052DC">
            <w:pPr>
              <w:rPr>
                <w:rFonts w:ascii="黑体" w:eastAsia="黑体" w:hAnsi="黑体" w:cs="宋体"/>
                <w:sz w:val="20"/>
                <w:szCs w:val="20"/>
              </w:rPr>
            </w:pPr>
          </w:p>
        </w:tc>
      </w:tr>
      <w:tr w:rsidR="00A052DC" w14:paraId="455672B3" w14:textId="77777777">
        <w:tc>
          <w:tcPr>
            <w:tcW w:w="1562" w:type="pct"/>
          </w:tcPr>
          <w:p w14:paraId="51405E27" w14:textId="77777777" w:rsidR="00A052DC" w:rsidRDefault="009F0A60">
            <w:pPr>
              <w:rPr>
                <w:rFonts w:ascii="黑体" w:eastAsia="黑体" w:hAnsi="黑体" w:cs="Microsoft Sans Serif"/>
                <w:sz w:val="20"/>
                <w:szCs w:val="20"/>
              </w:rPr>
            </w:pPr>
            <w:r>
              <w:rPr>
                <w:rFonts w:ascii="黑体" w:eastAsia="黑体" w:hAnsi="黑体" w:hint="eastAsia"/>
                <w:sz w:val="20"/>
                <w:szCs w:val="20"/>
              </w:rPr>
              <w:t>外汇账号/银行卡号</w:t>
            </w:r>
          </w:p>
        </w:tc>
        <w:tc>
          <w:tcPr>
            <w:tcW w:w="914" w:type="pct"/>
          </w:tcPr>
          <w:p w14:paraId="2D68EF50"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FCYACC</w:t>
            </w:r>
          </w:p>
        </w:tc>
        <w:tc>
          <w:tcPr>
            <w:tcW w:w="996" w:type="pct"/>
          </w:tcPr>
          <w:p w14:paraId="2DB18E2E" w14:textId="77777777" w:rsidR="00A052DC" w:rsidRDefault="009F0A60">
            <w:pPr>
              <w:rPr>
                <w:rFonts w:ascii="黑体" w:eastAsia="黑体" w:hAnsi="黑体" w:cs="宋体"/>
                <w:sz w:val="20"/>
                <w:szCs w:val="20"/>
              </w:rPr>
            </w:pPr>
            <w:r>
              <w:rPr>
                <w:rFonts w:ascii="黑体" w:eastAsia="黑体" w:hAnsi="黑体" w:hint="eastAsia"/>
                <w:sz w:val="20"/>
                <w:szCs w:val="20"/>
              </w:rPr>
              <w:t>字符型，32</w:t>
            </w:r>
          </w:p>
        </w:tc>
        <w:tc>
          <w:tcPr>
            <w:tcW w:w="1528" w:type="pct"/>
          </w:tcPr>
          <w:p w14:paraId="0FA84472" w14:textId="77777777" w:rsidR="00A052DC" w:rsidRDefault="00A052DC">
            <w:pPr>
              <w:rPr>
                <w:rFonts w:ascii="黑体" w:eastAsia="黑体" w:hAnsi="黑体" w:cs="宋体"/>
                <w:sz w:val="20"/>
                <w:szCs w:val="20"/>
              </w:rPr>
            </w:pPr>
          </w:p>
        </w:tc>
      </w:tr>
      <w:tr w:rsidR="00A052DC" w14:paraId="62C978CE" w14:textId="77777777">
        <w:tc>
          <w:tcPr>
            <w:tcW w:w="1562" w:type="pct"/>
          </w:tcPr>
          <w:p w14:paraId="207B1A17"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其他金额</w:t>
            </w:r>
          </w:p>
        </w:tc>
        <w:tc>
          <w:tcPr>
            <w:tcW w:w="914" w:type="pct"/>
          </w:tcPr>
          <w:p w14:paraId="2DA4AEC3"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OTHAMT</w:t>
            </w:r>
          </w:p>
        </w:tc>
        <w:tc>
          <w:tcPr>
            <w:tcW w:w="996" w:type="pct"/>
          </w:tcPr>
          <w:p w14:paraId="21D1307B" w14:textId="77777777" w:rsidR="00A052DC" w:rsidRDefault="009F0A60">
            <w:pPr>
              <w:rPr>
                <w:rFonts w:ascii="黑体" w:eastAsia="黑体" w:hAnsi="黑体" w:cs="宋体"/>
                <w:sz w:val="20"/>
                <w:szCs w:val="20"/>
              </w:rPr>
            </w:pPr>
            <w:r>
              <w:rPr>
                <w:rFonts w:ascii="黑体" w:eastAsia="黑体" w:hAnsi="黑体" w:hint="eastAsia"/>
                <w:sz w:val="20"/>
                <w:szCs w:val="20"/>
              </w:rPr>
              <w:t>数值型，22.0</w:t>
            </w:r>
          </w:p>
        </w:tc>
        <w:tc>
          <w:tcPr>
            <w:tcW w:w="1528" w:type="pct"/>
          </w:tcPr>
          <w:p w14:paraId="713D96A7" w14:textId="77777777" w:rsidR="00A052DC" w:rsidRDefault="00A052DC">
            <w:pPr>
              <w:rPr>
                <w:rFonts w:ascii="黑体" w:eastAsia="黑体" w:hAnsi="黑体" w:cs="宋体"/>
                <w:sz w:val="20"/>
                <w:szCs w:val="20"/>
              </w:rPr>
            </w:pPr>
          </w:p>
        </w:tc>
      </w:tr>
      <w:tr w:rsidR="00A052DC" w14:paraId="7210DEF7" w14:textId="77777777">
        <w:tc>
          <w:tcPr>
            <w:tcW w:w="1562" w:type="pct"/>
          </w:tcPr>
          <w:p w14:paraId="662C65A7" w14:textId="77777777" w:rsidR="00A052DC" w:rsidRDefault="0021563C">
            <w:pPr>
              <w:rPr>
                <w:rFonts w:ascii="黑体" w:eastAsia="黑体" w:hAnsi="黑体"/>
                <w:sz w:val="20"/>
                <w:szCs w:val="20"/>
              </w:rPr>
            </w:pPr>
            <w:r>
              <w:rPr>
                <w:rFonts w:ascii="黑体" w:eastAsia="黑体" w:hAnsi="黑体" w:hint="eastAsia"/>
                <w:sz w:val="20"/>
                <w:szCs w:val="20"/>
              </w:rPr>
              <w:t>其他</w:t>
            </w:r>
            <w:r w:rsidR="009F0A60">
              <w:rPr>
                <w:rFonts w:ascii="黑体" w:eastAsia="黑体" w:hAnsi="黑体" w:hint="eastAsia"/>
                <w:sz w:val="20"/>
                <w:szCs w:val="20"/>
              </w:rPr>
              <w:t>账号/银行卡号</w:t>
            </w:r>
          </w:p>
          <w:p w14:paraId="5044AA4F" w14:textId="77777777" w:rsidR="00A052DC" w:rsidRDefault="00A052DC">
            <w:pPr>
              <w:rPr>
                <w:rFonts w:ascii="黑体" w:eastAsia="黑体" w:hAnsi="黑体" w:cs="Microsoft Sans Serif"/>
                <w:sz w:val="20"/>
                <w:szCs w:val="20"/>
              </w:rPr>
            </w:pPr>
          </w:p>
        </w:tc>
        <w:tc>
          <w:tcPr>
            <w:tcW w:w="914" w:type="pct"/>
          </w:tcPr>
          <w:p w14:paraId="75466F17"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OTHACC</w:t>
            </w:r>
          </w:p>
        </w:tc>
        <w:tc>
          <w:tcPr>
            <w:tcW w:w="996" w:type="pct"/>
          </w:tcPr>
          <w:p w14:paraId="2A20AFC1" w14:textId="77777777" w:rsidR="00A052DC" w:rsidRDefault="009F0A60">
            <w:pPr>
              <w:rPr>
                <w:rFonts w:ascii="黑体" w:eastAsia="黑体" w:hAnsi="黑体" w:cs="宋体"/>
                <w:sz w:val="20"/>
                <w:szCs w:val="20"/>
              </w:rPr>
            </w:pPr>
            <w:r>
              <w:rPr>
                <w:rFonts w:ascii="黑体" w:eastAsia="黑体" w:hAnsi="黑体" w:hint="eastAsia"/>
                <w:sz w:val="20"/>
                <w:szCs w:val="20"/>
              </w:rPr>
              <w:t>字符型，32</w:t>
            </w:r>
          </w:p>
        </w:tc>
        <w:tc>
          <w:tcPr>
            <w:tcW w:w="1528" w:type="pct"/>
          </w:tcPr>
          <w:p w14:paraId="43035641" w14:textId="77777777" w:rsidR="00A052DC" w:rsidRDefault="00A052DC">
            <w:pPr>
              <w:rPr>
                <w:rFonts w:ascii="黑体" w:eastAsia="黑体" w:hAnsi="黑体" w:cs="宋体"/>
                <w:sz w:val="20"/>
                <w:szCs w:val="20"/>
              </w:rPr>
            </w:pPr>
          </w:p>
        </w:tc>
      </w:tr>
      <w:tr w:rsidR="00A052DC" w14:paraId="06D8ECE3" w14:textId="77777777">
        <w:tc>
          <w:tcPr>
            <w:tcW w:w="1562" w:type="pct"/>
          </w:tcPr>
          <w:p w14:paraId="0C46A464"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结算方式</w:t>
            </w:r>
          </w:p>
        </w:tc>
        <w:tc>
          <w:tcPr>
            <w:tcW w:w="914" w:type="pct"/>
          </w:tcPr>
          <w:p w14:paraId="0D1D5125"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PAYMETHOD</w:t>
            </w:r>
          </w:p>
        </w:tc>
        <w:tc>
          <w:tcPr>
            <w:tcW w:w="996" w:type="pct"/>
          </w:tcPr>
          <w:p w14:paraId="38BEB07D" w14:textId="77777777" w:rsidR="00A052DC" w:rsidRDefault="009F0A60">
            <w:pPr>
              <w:rPr>
                <w:rFonts w:ascii="黑体" w:eastAsia="黑体" w:hAnsi="黑体" w:cs="宋体"/>
                <w:sz w:val="20"/>
                <w:szCs w:val="20"/>
              </w:rPr>
            </w:pPr>
            <w:r>
              <w:rPr>
                <w:rFonts w:ascii="黑体" w:eastAsia="黑体" w:hAnsi="黑体" w:hint="eastAsia"/>
                <w:sz w:val="20"/>
                <w:szCs w:val="20"/>
              </w:rPr>
              <w:t>字符型，6</w:t>
            </w:r>
          </w:p>
        </w:tc>
        <w:tc>
          <w:tcPr>
            <w:tcW w:w="1528" w:type="pct"/>
          </w:tcPr>
          <w:p w14:paraId="06858028" w14:textId="77777777" w:rsidR="00A052DC" w:rsidRDefault="009F0A60">
            <w:pPr>
              <w:rPr>
                <w:rFonts w:ascii="黑体" w:eastAsia="黑体" w:hAnsi="黑体"/>
                <w:sz w:val="20"/>
                <w:szCs w:val="20"/>
              </w:rPr>
            </w:pPr>
            <w:r>
              <w:rPr>
                <w:rFonts w:ascii="黑体" w:eastAsia="黑体" w:hAnsi="黑体" w:hint="eastAsia"/>
                <w:sz w:val="20"/>
                <w:szCs w:val="20"/>
              </w:rPr>
              <w:t>L</w:t>
            </w:r>
            <w:r w:rsidR="00AE4602">
              <w:rPr>
                <w:rFonts w:ascii="黑体" w:eastAsia="黑体" w:hAnsi="黑体" w:hint="eastAsia"/>
                <w:sz w:val="20"/>
                <w:szCs w:val="20"/>
              </w:rPr>
              <w:t>-</w:t>
            </w:r>
            <w:r>
              <w:rPr>
                <w:rFonts w:ascii="黑体" w:eastAsia="黑体" w:hAnsi="黑体" w:hint="eastAsia"/>
                <w:sz w:val="20"/>
                <w:szCs w:val="20"/>
              </w:rPr>
              <w:t>信用证</w:t>
            </w:r>
          </w:p>
          <w:p w14:paraId="4A9242B7" w14:textId="77777777" w:rsidR="00A052DC" w:rsidRDefault="009F0A60">
            <w:pPr>
              <w:rPr>
                <w:rFonts w:ascii="黑体" w:eastAsia="黑体" w:hAnsi="黑体"/>
                <w:sz w:val="20"/>
                <w:szCs w:val="20"/>
              </w:rPr>
            </w:pPr>
            <w:r>
              <w:rPr>
                <w:rFonts w:ascii="黑体" w:eastAsia="黑体" w:hAnsi="黑体" w:hint="eastAsia"/>
                <w:sz w:val="20"/>
                <w:szCs w:val="20"/>
              </w:rPr>
              <w:t>G</w:t>
            </w:r>
            <w:r w:rsidR="00AE4602">
              <w:rPr>
                <w:rFonts w:ascii="黑体" w:eastAsia="黑体" w:hAnsi="黑体" w:hint="eastAsia"/>
                <w:sz w:val="20"/>
                <w:szCs w:val="20"/>
              </w:rPr>
              <w:t>-</w:t>
            </w:r>
            <w:r>
              <w:rPr>
                <w:rFonts w:ascii="黑体" w:eastAsia="黑体" w:hAnsi="黑体" w:hint="eastAsia"/>
                <w:sz w:val="20"/>
                <w:szCs w:val="20"/>
              </w:rPr>
              <w:t>保函</w:t>
            </w:r>
          </w:p>
          <w:p w14:paraId="68164B8E" w14:textId="77777777" w:rsidR="00A052DC" w:rsidRDefault="009F0A60">
            <w:pPr>
              <w:rPr>
                <w:rFonts w:ascii="黑体" w:eastAsia="黑体" w:hAnsi="黑体"/>
                <w:sz w:val="20"/>
                <w:szCs w:val="20"/>
              </w:rPr>
            </w:pPr>
            <w:r>
              <w:rPr>
                <w:rFonts w:ascii="黑体" w:eastAsia="黑体" w:hAnsi="黑体" w:hint="eastAsia"/>
                <w:sz w:val="20"/>
                <w:szCs w:val="20"/>
              </w:rPr>
              <w:t>C</w:t>
            </w:r>
            <w:r w:rsidR="00AE4602">
              <w:rPr>
                <w:rFonts w:ascii="黑体" w:eastAsia="黑体" w:hAnsi="黑体" w:hint="eastAsia"/>
                <w:sz w:val="20"/>
                <w:szCs w:val="20"/>
              </w:rPr>
              <w:t>-</w:t>
            </w:r>
            <w:r>
              <w:rPr>
                <w:rFonts w:ascii="黑体" w:eastAsia="黑体" w:hAnsi="黑体" w:hint="eastAsia"/>
                <w:sz w:val="20"/>
                <w:szCs w:val="20"/>
              </w:rPr>
              <w:t>托收</w:t>
            </w:r>
          </w:p>
          <w:p w14:paraId="3A5D8810" w14:textId="77777777" w:rsidR="00A052DC" w:rsidRDefault="009F0A60">
            <w:pPr>
              <w:rPr>
                <w:rFonts w:ascii="黑体" w:eastAsia="黑体" w:hAnsi="黑体"/>
                <w:sz w:val="20"/>
                <w:szCs w:val="20"/>
              </w:rPr>
            </w:pPr>
            <w:r>
              <w:rPr>
                <w:rFonts w:ascii="黑体" w:eastAsia="黑体" w:hAnsi="黑体" w:hint="eastAsia"/>
                <w:sz w:val="20"/>
                <w:szCs w:val="20"/>
              </w:rPr>
              <w:t>T</w:t>
            </w:r>
            <w:r w:rsidR="00AE4602">
              <w:rPr>
                <w:rFonts w:ascii="黑体" w:eastAsia="黑体" w:hAnsi="黑体" w:hint="eastAsia"/>
                <w:sz w:val="20"/>
                <w:szCs w:val="20"/>
              </w:rPr>
              <w:t>-</w:t>
            </w:r>
            <w:r>
              <w:rPr>
                <w:rFonts w:ascii="黑体" w:eastAsia="黑体" w:hAnsi="黑体" w:hint="eastAsia"/>
                <w:sz w:val="20"/>
                <w:szCs w:val="20"/>
              </w:rPr>
              <w:t>电汇</w:t>
            </w:r>
          </w:p>
          <w:p w14:paraId="3139A2DB" w14:textId="77777777" w:rsidR="00A052DC" w:rsidRDefault="009F0A60">
            <w:pPr>
              <w:rPr>
                <w:rFonts w:ascii="黑体" w:eastAsia="黑体" w:hAnsi="黑体"/>
                <w:sz w:val="20"/>
                <w:szCs w:val="20"/>
              </w:rPr>
            </w:pPr>
            <w:r>
              <w:rPr>
                <w:rFonts w:ascii="黑体" w:eastAsia="黑体" w:hAnsi="黑体" w:hint="eastAsia"/>
                <w:sz w:val="20"/>
                <w:szCs w:val="20"/>
              </w:rPr>
              <w:t>D</w:t>
            </w:r>
            <w:r w:rsidR="00AE4602">
              <w:rPr>
                <w:rFonts w:ascii="黑体" w:eastAsia="黑体" w:hAnsi="黑体" w:hint="eastAsia"/>
                <w:sz w:val="20"/>
                <w:szCs w:val="20"/>
              </w:rPr>
              <w:t>-</w:t>
            </w:r>
            <w:r>
              <w:rPr>
                <w:rFonts w:ascii="黑体" w:eastAsia="黑体" w:hAnsi="黑体" w:hint="eastAsia"/>
                <w:sz w:val="20"/>
                <w:szCs w:val="20"/>
              </w:rPr>
              <w:t>票汇</w:t>
            </w:r>
          </w:p>
          <w:p w14:paraId="0B298B9F" w14:textId="77777777" w:rsidR="00A052DC" w:rsidRDefault="009F0A60">
            <w:pPr>
              <w:rPr>
                <w:rFonts w:ascii="黑体" w:eastAsia="黑体" w:hAnsi="黑体"/>
                <w:sz w:val="20"/>
                <w:szCs w:val="20"/>
              </w:rPr>
            </w:pPr>
            <w:r>
              <w:rPr>
                <w:rFonts w:ascii="黑体" w:eastAsia="黑体" w:hAnsi="黑体" w:hint="eastAsia"/>
                <w:sz w:val="20"/>
                <w:szCs w:val="20"/>
              </w:rPr>
              <w:t>M</w:t>
            </w:r>
            <w:r w:rsidR="00AE4602">
              <w:rPr>
                <w:rFonts w:ascii="黑体" w:eastAsia="黑体" w:hAnsi="黑体" w:hint="eastAsia"/>
                <w:sz w:val="20"/>
                <w:szCs w:val="20"/>
              </w:rPr>
              <w:t>-</w:t>
            </w:r>
            <w:r>
              <w:rPr>
                <w:rFonts w:ascii="黑体" w:eastAsia="黑体" w:hAnsi="黑体" w:hint="eastAsia"/>
                <w:sz w:val="20"/>
                <w:szCs w:val="20"/>
              </w:rPr>
              <w:t>信汇</w:t>
            </w:r>
          </w:p>
          <w:p w14:paraId="53DE00FE" w14:textId="77777777" w:rsidR="00A052DC" w:rsidRDefault="009F0A60">
            <w:pPr>
              <w:rPr>
                <w:rFonts w:ascii="黑体" w:eastAsia="黑体" w:hAnsi="黑体" w:cs="宋体"/>
                <w:sz w:val="20"/>
                <w:szCs w:val="20"/>
              </w:rPr>
            </w:pPr>
            <w:r>
              <w:rPr>
                <w:rFonts w:ascii="黑体" w:eastAsia="黑体" w:hAnsi="黑体" w:hint="eastAsia"/>
                <w:sz w:val="20"/>
                <w:szCs w:val="20"/>
              </w:rPr>
              <w:t>O</w:t>
            </w:r>
            <w:r w:rsidR="00AE4602">
              <w:rPr>
                <w:rFonts w:ascii="黑体" w:eastAsia="黑体" w:hAnsi="黑体" w:hint="eastAsia"/>
                <w:sz w:val="20"/>
                <w:szCs w:val="20"/>
              </w:rPr>
              <w:t>-</w:t>
            </w:r>
            <w:r>
              <w:rPr>
                <w:rFonts w:ascii="黑体" w:eastAsia="黑体" w:hAnsi="黑体" w:hint="eastAsia"/>
                <w:sz w:val="20"/>
                <w:szCs w:val="20"/>
              </w:rPr>
              <w:t>其他贸易融资</w:t>
            </w:r>
          </w:p>
        </w:tc>
      </w:tr>
      <w:tr w:rsidR="00A052DC" w14:paraId="7397A963" w14:textId="77777777">
        <w:tc>
          <w:tcPr>
            <w:tcW w:w="1562" w:type="pct"/>
          </w:tcPr>
          <w:p w14:paraId="4B04876C"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银行业务编码</w:t>
            </w:r>
          </w:p>
        </w:tc>
        <w:tc>
          <w:tcPr>
            <w:tcW w:w="914" w:type="pct"/>
          </w:tcPr>
          <w:p w14:paraId="07CC149A"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BUSICODE</w:t>
            </w:r>
          </w:p>
        </w:tc>
        <w:tc>
          <w:tcPr>
            <w:tcW w:w="996" w:type="pct"/>
          </w:tcPr>
          <w:p w14:paraId="3B3F0DAB" w14:textId="77777777" w:rsidR="00A052DC" w:rsidRDefault="009F0A60">
            <w:pPr>
              <w:rPr>
                <w:rFonts w:ascii="黑体" w:eastAsia="黑体" w:hAnsi="黑体" w:cs="宋体"/>
                <w:sz w:val="20"/>
                <w:szCs w:val="20"/>
              </w:rPr>
            </w:pPr>
            <w:r>
              <w:rPr>
                <w:rFonts w:ascii="黑体" w:eastAsia="黑体" w:hAnsi="黑体" w:hint="eastAsia"/>
                <w:sz w:val="20"/>
                <w:szCs w:val="20"/>
              </w:rPr>
              <w:t>字符型，22</w:t>
            </w:r>
          </w:p>
        </w:tc>
        <w:tc>
          <w:tcPr>
            <w:tcW w:w="1528" w:type="pct"/>
          </w:tcPr>
          <w:p w14:paraId="7CFC3C06" w14:textId="77777777" w:rsidR="00A052DC" w:rsidRDefault="00A052DC">
            <w:pPr>
              <w:rPr>
                <w:rFonts w:ascii="黑体" w:eastAsia="黑体" w:hAnsi="黑体" w:cs="宋体"/>
                <w:sz w:val="20"/>
                <w:szCs w:val="20"/>
              </w:rPr>
            </w:pPr>
          </w:p>
        </w:tc>
      </w:tr>
      <w:tr w:rsidR="00A052DC" w14:paraId="0265DC89" w14:textId="77777777">
        <w:tc>
          <w:tcPr>
            <w:tcW w:w="1562" w:type="pct"/>
          </w:tcPr>
          <w:p w14:paraId="1C4A3ADF"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国内扣费币种</w:t>
            </w:r>
          </w:p>
        </w:tc>
        <w:tc>
          <w:tcPr>
            <w:tcW w:w="914" w:type="pct"/>
          </w:tcPr>
          <w:p w14:paraId="66C132E2"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INCHARGECCY</w:t>
            </w:r>
          </w:p>
        </w:tc>
        <w:tc>
          <w:tcPr>
            <w:tcW w:w="996" w:type="pct"/>
          </w:tcPr>
          <w:p w14:paraId="1CC9F8F2" w14:textId="77777777" w:rsidR="00A052DC" w:rsidRDefault="009F0A60">
            <w:pPr>
              <w:rPr>
                <w:rFonts w:ascii="黑体" w:eastAsia="黑体" w:hAnsi="黑体" w:cs="宋体"/>
                <w:sz w:val="20"/>
                <w:szCs w:val="20"/>
              </w:rPr>
            </w:pPr>
            <w:r>
              <w:rPr>
                <w:rFonts w:ascii="黑体" w:eastAsia="黑体" w:hAnsi="黑体" w:hint="eastAsia"/>
                <w:sz w:val="20"/>
                <w:szCs w:val="20"/>
              </w:rPr>
              <w:t>字符型，3</w:t>
            </w:r>
          </w:p>
        </w:tc>
        <w:tc>
          <w:tcPr>
            <w:tcW w:w="1528" w:type="pct"/>
          </w:tcPr>
          <w:p w14:paraId="0B602486" w14:textId="77777777" w:rsidR="00A052DC" w:rsidRDefault="00A052DC">
            <w:pPr>
              <w:rPr>
                <w:rFonts w:ascii="黑体" w:eastAsia="黑体" w:hAnsi="黑体" w:cs="宋体"/>
                <w:sz w:val="20"/>
                <w:szCs w:val="20"/>
              </w:rPr>
            </w:pPr>
          </w:p>
        </w:tc>
      </w:tr>
      <w:tr w:rsidR="00A052DC" w14:paraId="56F67100" w14:textId="77777777">
        <w:tc>
          <w:tcPr>
            <w:tcW w:w="1562" w:type="pct"/>
          </w:tcPr>
          <w:p w14:paraId="18CA1B8F"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国内扣费金额</w:t>
            </w:r>
          </w:p>
        </w:tc>
        <w:tc>
          <w:tcPr>
            <w:tcW w:w="914" w:type="pct"/>
          </w:tcPr>
          <w:p w14:paraId="1C9001BD"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INCHARGEAMT</w:t>
            </w:r>
          </w:p>
        </w:tc>
        <w:tc>
          <w:tcPr>
            <w:tcW w:w="996" w:type="pct"/>
          </w:tcPr>
          <w:p w14:paraId="5B9F7066" w14:textId="77777777" w:rsidR="00A052DC" w:rsidRDefault="009F0A60">
            <w:pPr>
              <w:rPr>
                <w:rFonts w:ascii="黑体" w:eastAsia="黑体" w:hAnsi="黑体" w:cs="宋体"/>
                <w:sz w:val="20"/>
                <w:szCs w:val="20"/>
              </w:rPr>
            </w:pPr>
            <w:r>
              <w:rPr>
                <w:rFonts w:ascii="黑体" w:eastAsia="黑体" w:hAnsi="黑体" w:hint="eastAsia"/>
                <w:sz w:val="20"/>
                <w:szCs w:val="20"/>
              </w:rPr>
              <w:t>数值型，22.0</w:t>
            </w:r>
          </w:p>
        </w:tc>
        <w:tc>
          <w:tcPr>
            <w:tcW w:w="1528" w:type="pct"/>
          </w:tcPr>
          <w:p w14:paraId="0EA7D080" w14:textId="77777777" w:rsidR="00A052DC" w:rsidRDefault="00A052DC">
            <w:pPr>
              <w:rPr>
                <w:rFonts w:ascii="黑体" w:eastAsia="黑体" w:hAnsi="黑体" w:cs="宋体"/>
                <w:sz w:val="20"/>
                <w:szCs w:val="20"/>
              </w:rPr>
            </w:pPr>
          </w:p>
        </w:tc>
      </w:tr>
      <w:tr w:rsidR="00A052DC" w14:paraId="1FF1ABAB" w14:textId="77777777">
        <w:tc>
          <w:tcPr>
            <w:tcW w:w="1562" w:type="pct"/>
          </w:tcPr>
          <w:p w14:paraId="4759F72C"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国外扣费币种</w:t>
            </w:r>
          </w:p>
        </w:tc>
        <w:tc>
          <w:tcPr>
            <w:tcW w:w="914" w:type="pct"/>
          </w:tcPr>
          <w:p w14:paraId="616C3B95"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OUTCHARGECCY</w:t>
            </w:r>
          </w:p>
        </w:tc>
        <w:tc>
          <w:tcPr>
            <w:tcW w:w="996" w:type="pct"/>
          </w:tcPr>
          <w:p w14:paraId="1036B2DA" w14:textId="77777777" w:rsidR="00A052DC" w:rsidRDefault="009F0A60">
            <w:pPr>
              <w:rPr>
                <w:rFonts w:ascii="黑体" w:eastAsia="黑体" w:hAnsi="黑体" w:cs="宋体"/>
                <w:sz w:val="20"/>
                <w:szCs w:val="20"/>
              </w:rPr>
            </w:pPr>
            <w:r>
              <w:rPr>
                <w:rFonts w:ascii="黑体" w:eastAsia="黑体" w:hAnsi="黑体" w:hint="eastAsia"/>
                <w:sz w:val="20"/>
                <w:szCs w:val="20"/>
              </w:rPr>
              <w:t>字符型，3</w:t>
            </w:r>
          </w:p>
        </w:tc>
        <w:tc>
          <w:tcPr>
            <w:tcW w:w="1528" w:type="pct"/>
          </w:tcPr>
          <w:p w14:paraId="1D780201" w14:textId="77777777" w:rsidR="00A052DC" w:rsidRDefault="00A052DC">
            <w:pPr>
              <w:rPr>
                <w:rFonts w:ascii="黑体" w:eastAsia="黑体" w:hAnsi="黑体" w:cs="宋体"/>
                <w:sz w:val="20"/>
                <w:szCs w:val="20"/>
              </w:rPr>
            </w:pPr>
          </w:p>
        </w:tc>
      </w:tr>
      <w:tr w:rsidR="00A052DC" w14:paraId="5ABCD34B" w14:textId="77777777">
        <w:tc>
          <w:tcPr>
            <w:tcW w:w="1562" w:type="pct"/>
          </w:tcPr>
          <w:p w14:paraId="155387A8"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国外扣费金额</w:t>
            </w:r>
          </w:p>
        </w:tc>
        <w:tc>
          <w:tcPr>
            <w:tcW w:w="914" w:type="pct"/>
          </w:tcPr>
          <w:p w14:paraId="4087E4EA"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OUTCHARGEAMT</w:t>
            </w:r>
          </w:p>
        </w:tc>
        <w:tc>
          <w:tcPr>
            <w:tcW w:w="996" w:type="pct"/>
          </w:tcPr>
          <w:p w14:paraId="3865B748" w14:textId="77777777" w:rsidR="00A052DC" w:rsidRDefault="009F0A60">
            <w:pPr>
              <w:rPr>
                <w:rFonts w:ascii="黑体" w:eastAsia="黑体" w:hAnsi="黑体" w:cs="宋体"/>
                <w:sz w:val="20"/>
                <w:szCs w:val="20"/>
              </w:rPr>
            </w:pPr>
            <w:r>
              <w:rPr>
                <w:rFonts w:ascii="黑体" w:eastAsia="黑体" w:hAnsi="黑体" w:hint="eastAsia"/>
                <w:sz w:val="20"/>
                <w:szCs w:val="20"/>
              </w:rPr>
              <w:t>数值型，22.0</w:t>
            </w:r>
          </w:p>
        </w:tc>
        <w:tc>
          <w:tcPr>
            <w:tcW w:w="1528" w:type="pct"/>
          </w:tcPr>
          <w:p w14:paraId="31350991" w14:textId="77777777" w:rsidR="00A052DC" w:rsidRDefault="00A052DC">
            <w:pPr>
              <w:rPr>
                <w:rFonts w:ascii="黑体" w:eastAsia="黑体" w:hAnsi="黑体" w:cs="宋体"/>
                <w:sz w:val="20"/>
                <w:szCs w:val="20"/>
              </w:rPr>
            </w:pPr>
          </w:p>
        </w:tc>
      </w:tr>
      <w:tr w:rsidR="00A052DC" w14:paraId="707E92F8" w14:textId="77777777">
        <w:tc>
          <w:tcPr>
            <w:tcW w:w="1562" w:type="pct"/>
          </w:tcPr>
          <w:p w14:paraId="1902D95D" w14:textId="77777777" w:rsidR="00A052DC" w:rsidRDefault="009F0A60">
            <w:pPr>
              <w:rPr>
                <w:rFonts w:ascii="黑体" w:eastAsia="黑体" w:hAnsi="黑体" w:cs="Microsoft Sans Serif"/>
                <w:sz w:val="20"/>
                <w:szCs w:val="20"/>
              </w:rPr>
            </w:pPr>
            <w:r>
              <w:rPr>
                <w:rFonts w:ascii="黑体" w:eastAsia="黑体" w:hAnsi="黑体" w:hint="eastAsia"/>
                <w:sz w:val="20"/>
                <w:szCs w:val="20"/>
              </w:rPr>
              <w:t>付款人常驻国家/地区代码</w:t>
            </w:r>
          </w:p>
        </w:tc>
        <w:tc>
          <w:tcPr>
            <w:tcW w:w="914" w:type="pct"/>
          </w:tcPr>
          <w:p w14:paraId="1D597498"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COUNTRYCODE</w:t>
            </w:r>
          </w:p>
        </w:tc>
        <w:tc>
          <w:tcPr>
            <w:tcW w:w="996" w:type="pct"/>
          </w:tcPr>
          <w:p w14:paraId="0BDA9A5A" w14:textId="77777777" w:rsidR="00A052DC" w:rsidRDefault="009F0A60">
            <w:pPr>
              <w:rPr>
                <w:rFonts w:ascii="黑体" w:eastAsia="黑体" w:hAnsi="黑体" w:cs="宋体"/>
                <w:sz w:val="20"/>
                <w:szCs w:val="20"/>
              </w:rPr>
            </w:pPr>
            <w:r>
              <w:rPr>
                <w:rFonts w:ascii="黑体" w:eastAsia="黑体" w:hAnsi="黑体" w:hint="eastAsia"/>
                <w:sz w:val="20"/>
                <w:szCs w:val="20"/>
              </w:rPr>
              <w:t>字符型，3</w:t>
            </w:r>
          </w:p>
        </w:tc>
        <w:tc>
          <w:tcPr>
            <w:tcW w:w="1528" w:type="pct"/>
          </w:tcPr>
          <w:p w14:paraId="5C602BD6" w14:textId="77777777" w:rsidR="00A052DC" w:rsidRDefault="00A052DC">
            <w:pPr>
              <w:rPr>
                <w:rFonts w:ascii="黑体" w:eastAsia="黑体" w:hAnsi="黑体" w:cs="宋体"/>
                <w:sz w:val="20"/>
                <w:szCs w:val="20"/>
              </w:rPr>
            </w:pPr>
          </w:p>
        </w:tc>
      </w:tr>
      <w:tr w:rsidR="00A052DC" w14:paraId="303DB3D5" w14:textId="77777777">
        <w:tc>
          <w:tcPr>
            <w:tcW w:w="1562" w:type="pct"/>
          </w:tcPr>
          <w:p w14:paraId="42D93951" w14:textId="77777777" w:rsidR="00A052DC" w:rsidRDefault="009F0A60">
            <w:pPr>
              <w:rPr>
                <w:rFonts w:ascii="黑体" w:eastAsia="黑体" w:hAnsi="黑体" w:cs="Microsoft Sans Serif"/>
                <w:sz w:val="20"/>
                <w:szCs w:val="20"/>
              </w:rPr>
            </w:pPr>
            <w:r>
              <w:rPr>
                <w:rFonts w:ascii="黑体" w:eastAsia="黑体" w:hAnsi="黑体" w:hint="eastAsia"/>
                <w:sz w:val="20"/>
                <w:szCs w:val="20"/>
              </w:rPr>
              <w:t>收款性质</w:t>
            </w:r>
          </w:p>
        </w:tc>
        <w:tc>
          <w:tcPr>
            <w:tcW w:w="914" w:type="pct"/>
          </w:tcPr>
          <w:p w14:paraId="2278B0C5"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PAYTYPE</w:t>
            </w:r>
          </w:p>
        </w:tc>
        <w:tc>
          <w:tcPr>
            <w:tcW w:w="996" w:type="pct"/>
          </w:tcPr>
          <w:p w14:paraId="0B222EF7" w14:textId="77777777" w:rsidR="00A052DC" w:rsidRDefault="009F0A60">
            <w:pPr>
              <w:rPr>
                <w:rFonts w:ascii="黑体" w:eastAsia="黑体" w:hAnsi="黑体" w:cs="宋体"/>
                <w:sz w:val="20"/>
                <w:szCs w:val="20"/>
              </w:rPr>
            </w:pPr>
            <w:r>
              <w:rPr>
                <w:rFonts w:ascii="黑体" w:eastAsia="黑体" w:hAnsi="黑体" w:hint="eastAsia"/>
                <w:sz w:val="20"/>
                <w:szCs w:val="20"/>
              </w:rPr>
              <w:t>字符型，1</w:t>
            </w:r>
          </w:p>
        </w:tc>
        <w:tc>
          <w:tcPr>
            <w:tcW w:w="1528" w:type="pct"/>
          </w:tcPr>
          <w:p w14:paraId="39707274" w14:textId="77777777" w:rsidR="00A052DC" w:rsidRDefault="009F0A60">
            <w:pPr>
              <w:rPr>
                <w:rFonts w:ascii="黑体" w:eastAsia="黑体" w:hAnsi="黑体" w:cs="宋体"/>
                <w:sz w:val="20"/>
                <w:szCs w:val="20"/>
              </w:rPr>
            </w:pPr>
            <w:r>
              <w:rPr>
                <w:rFonts w:ascii="黑体" w:eastAsia="黑体" w:hAnsi="黑体" w:cs="宋体" w:hint="eastAsia"/>
                <w:sz w:val="20"/>
                <w:szCs w:val="20"/>
              </w:rPr>
              <w:t>A-预收/付款</w:t>
            </w:r>
          </w:p>
          <w:p w14:paraId="29E392E0" w14:textId="77777777" w:rsidR="00A052DC" w:rsidRDefault="009F0A60">
            <w:pPr>
              <w:rPr>
                <w:rFonts w:ascii="黑体" w:eastAsia="黑体" w:hAnsi="黑体" w:cs="宋体"/>
                <w:sz w:val="20"/>
                <w:szCs w:val="20"/>
              </w:rPr>
            </w:pPr>
            <w:r>
              <w:rPr>
                <w:rFonts w:ascii="黑体" w:eastAsia="黑体" w:hAnsi="黑体" w:cs="宋体" w:hint="eastAsia"/>
                <w:sz w:val="20"/>
                <w:szCs w:val="20"/>
              </w:rPr>
              <w:t>R-退款</w:t>
            </w:r>
          </w:p>
          <w:p w14:paraId="1A8660D6" w14:textId="77777777" w:rsidR="00A052DC" w:rsidRDefault="009F0A60">
            <w:pPr>
              <w:rPr>
                <w:rFonts w:ascii="黑体" w:eastAsia="黑体" w:hAnsi="黑体" w:cs="宋体"/>
                <w:sz w:val="20"/>
                <w:szCs w:val="20"/>
              </w:rPr>
            </w:pPr>
            <w:r>
              <w:rPr>
                <w:rFonts w:ascii="黑体" w:eastAsia="黑体" w:hAnsi="黑体" w:cs="宋体" w:hint="eastAsia"/>
                <w:sz w:val="20"/>
                <w:szCs w:val="20"/>
              </w:rPr>
              <w:t>O-</w:t>
            </w:r>
            <w:r w:rsidR="0021563C">
              <w:rPr>
                <w:rFonts w:ascii="黑体" w:eastAsia="黑体" w:hAnsi="黑体" w:cs="宋体" w:hint="eastAsia"/>
                <w:sz w:val="20"/>
                <w:szCs w:val="20"/>
              </w:rPr>
              <w:t>其他</w:t>
            </w:r>
          </w:p>
        </w:tc>
      </w:tr>
      <w:tr w:rsidR="00A052DC" w14:paraId="75B8009A" w14:textId="77777777">
        <w:tc>
          <w:tcPr>
            <w:tcW w:w="1562" w:type="pct"/>
          </w:tcPr>
          <w:p w14:paraId="4A28ADCC"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交易编码1</w:t>
            </w:r>
          </w:p>
        </w:tc>
        <w:tc>
          <w:tcPr>
            <w:tcW w:w="914" w:type="pct"/>
          </w:tcPr>
          <w:p w14:paraId="15A04686"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TXCODE1</w:t>
            </w:r>
          </w:p>
        </w:tc>
        <w:tc>
          <w:tcPr>
            <w:tcW w:w="996" w:type="pct"/>
          </w:tcPr>
          <w:p w14:paraId="40BE4D3C" w14:textId="77777777" w:rsidR="00A052DC" w:rsidRDefault="009F0A60">
            <w:pPr>
              <w:rPr>
                <w:rFonts w:ascii="黑体" w:eastAsia="黑体" w:hAnsi="黑体" w:cs="宋体"/>
                <w:sz w:val="20"/>
                <w:szCs w:val="20"/>
              </w:rPr>
            </w:pPr>
            <w:r>
              <w:rPr>
                <w:rFonts w:ascii="黑体" w:eastAsia="黑体" w:hAnsi="黑体" w:hint="eastAsia"/>
                <w:sz w:val="20"/>
                <w:szCs w:val="20"/>
              </w:rPr>
              <w:t>字符型，6</w:t>
            </w:r>
          </w:p>
        </w:tc>
        <w:tc>
          <w:tcPr>
            <w:tcW w:w="1528" w:type="pct"/>
          </w:tcPr>
          <w:p w14:paraId="5FA5C65E" w14:textId="77777777" w:rsidR="00A052DC" w:rsidRDefault="00A052DC">
            <w:pPr>
              <w:rPr>
                <w:rFonts w:ascii="黑体" w:eastAsia="黑体" w:hAnsi="黑体" w:cs="宋体"/>
                <w:sz w:val="20"/>
                <w:szCs w:val="20"/>
              </w:rPr>
            </w:pPr>
          </w:p>
        </w:tc>
      </w:tr>
      <w:tr w:rsidR="00A052DC" w14:paraId="271D0301" w14:textId="77777777">
        <w:tc>
          <w:tcPr>
            <w:tcW w:w="1562" w:type="pct"/>
          </w:tcPr>
          <w:p w14:paraId="2EFC08D6"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相应金额1</w:t>
            </w:r>
          </w:p>
        </w:tc>
        <w:tc>
          <w:tcPr>
            <w:tcW w:w="914" w:type="pct"/>
          </w:tcPr>
          <w:p w14:paraId="15EBBB02"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TXAMT1</w:t>
            </w:r>
          </w:p>
        </w:tc>
        <w:tc>
          <w:tcPr>
            <w:tcW w:w="996" w:type="pct"/>
          </w:tcPr>
          <w:p w14:paraId="0F71F739" w14:textId="77777777" w:rsidR="00A052DC" w:rsidRDefault="009F0A60">
            <w:pPr>
              <w:rPr>
                <w:rFonts w:ascii="黑体" w:eastAsia="黑体" w:hAnsi="黑体" w:cs="宋体"/>
                <w:sz w:val="20"/>
                <w:szCs w:val="20"/>
              </w:rPr>
            </w:pPr>
            <w:r>
              <w:rPr>
                <w:rFonts w:ascii="黑体" w:eastAsia="黑体" w:hAnsi="黑体" w:hint="eastAsia"/>
                <w:sz w:val="20"/>
                <w:szCs w:val="20"/>
              </w:rPr>
              <w:t>数值型，22.0</w:t>
            </w:r>
          </w:p>
        </w:tc>
        <w:tc>
          <w:tcPr>
            <w:tcW w:w="1528" w:type="pct"/>
          </w:tcPr>
          <w:p w14:paraId="222601BA" w14:textId="77777777" w:rsidR="00A052DC" w:rsidRDefault="00A052DC">
            <w:pPr>
              <w:rPr>
                <w:rFonts w:ascii="黑体" w:eastAsia="黑体" w:hAnsi="黑体" w:cs="宋体"/>
                <w:sz w:val="20"/>
                <w:szCs w:val="20"/>
              </w:rPr>
            </w:pPr>
          </w:p>
        </w:tc>
      </w:tr>
      <w:tr w:rsidR="00A052DC" w14:paraId="14A71F72" w14:textId="77777777">
        <w:tc>
          <w:tcPr>
            <w:tcW w:w="1562" w:type="pct"/>
          </w:tcPr>
          <w:p w14:paraId="1F090D50"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交易附言1</w:t>
            </w:r>
          </w:p>
        </w:tc>
        <w:tc>
          <w:tcPr>
            <w:tcW w:w="914" w:type="pct"/>
          </w:tcPr>
          <w:p w14:paraId="395088A2"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TXREM1</w:t>
            </w:r>
          </w:p>
        </w:tc>
        <w:tc>
          <w:tcPr>
            <w:tcW w:w="996" w:type="pct"/>
          </w:tcPr>
          <w:p w14:paraId="61968F22" w14:textId="77777777" w:rsidR="00A052DC" w:rsidRDefault="009F0A60">
            <w:pPr>
              <w:rPr>
                <w:rFonts w:ascii="黑体" w:eastAsia="黑体" w:hAnsi="黑体" w:cs="宋体"/>
                <w:sz w:val="20"/>
                <w:szCs w:val="20"/>
              </w:rPr>
            </w:pPr>
            <w:r>
              <w:rPr>
                <w:rFonts w:ascii="黑体" w:eastAsia="黑体" w:hAnsi="黑体" w:hint="eastAsia"/>
                <w:sz w:val="20"/>
                <w:szCs w:val="20"/>
              </w:rPr>
              <w:t>字符型，256</w:t>
            </w:r>
          </w:p>
        </w:tc>
        <w:tc>
          <w:tcPr>
            <w:tcW w:w="1528" w:type="pct"/>
          </w:tcPr>
          <w:p w14:paraId="67FDF4D9" w14:textId="77777777" w:rsidR="00A052DC" w:rsidRDefault="00A052DC">
            <w:pPr>
              <w:rPr>
                <w:rFonts w:ascii="黑体" w:eastAsia="黑体" w:hAnsi="黑体" w:cs="宋体"/>
                <w:sz w:val="20"/>
                <w:szCs w:val="20"/>
              </w:rPr>
            </w:pPr>
          </w:p>
        </w:tc>
      </w:tr>
      <w:tr w:rsidR="00A052DC" w14:paraId="383C1A63" w14:textId="77777777">
        <w:tc>
          <w:tcPr>
            <w:tcW w:w="1562" w:type="pct"/>
          </w:tcPr>
          <w:p w14:paraId="6A6E207E"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交易编码2</w:t>
            </w:r>
          </w:p>
        </w:tc>
        <w:tc>
          <w:tcPr>
            <w:tcW w:w="914" w:type="pct"/>
          </w:tcPr>
          <w:p w14:paraId="1DE177F0"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TXCODE2</w:t>
            </w:r>
          </w:p>
        </w:tc>
        <w:tc>
          <w:tcPr>
            <w:tcW w:w="996" w:type="pct"/>
          </w:tcPr>
          <w:p w14:paraId="6DC2F6D2" w14:textId="77777777" w:rsidR="00A052DC" w:rsidRDefault="009F0A60">
            <w:pPr>
              <w:rPr>
                <w:rFonts w:ascii="黑体" w:eastAsia="黑体" w:hAnsi="黑体" w:cs="宋体"/>
                <w:sz w:val="20"/>
                <w:szCs w:val="20"/>
              </w:rPr>
            </w:pPr>
            <w:r>
              <w:rPr>
                <w:rFonts w:ascii="黑体" w:eastAsia="黑体" w:hAnsi="黑体" w:hint="eastAsia"/>
                <w:sz w:val="20"/>
                <w:szCs w:val="20"/>
              </w:rPr>
              <w:t>字符型，6</w:t>
            </w:r>
          </w:p>
        </w:tc>
        <w:tc>
          <w:tcPr>
            <w:tcW w:w="1528" w:type="pct"/>
          </w:tcPr>
          <w:p w14:paraId="6B83BED0" w14:textId="77777777" w:rsidR="00A052DC" w:rsidRDefault="00A052DC">
            <w:pPr>
              <w:rPr>
                <w:rFonts w:ascii="黑体" w:eastAsia="黑体" w:hAnsi="黑体" w:cs="宋体"/>
                <w:sz w:val="20"/>
                <w:szCs w:val="20"/>
              </w:rPr>
            </w:pPr>
          </w:p>
        </w:tc>
      </w:tr>
      <w:tr w:rsidR="00A052DC" w14:paraId="5F68F7AB" w14:textId="77777777">
        <w:tc>
          <w:tcPr>
            <w:tcW w:w="1562" w:type="pct"/>
          </w:tcPr>
          <w:p w14:paraId="74CD264C"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相应金额2</w:t>
            </w:r>
          </w:p>
        </w:tc>
        <w:tc>
          <w:tcPr>
            <w:tcW w:w="914" w:type="pct"/>
          </w:tcPr>
          <w:p w14:paraId="7D4325BF"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TXAMT2</w:t>
            </w:r>
          </w:p>
        </w:tc>
        <w:tc>
          <w:tcPr>
            <w:tcW w:w="996" w:type="pct"/>
          </w:tcPr>
          <w:p w14:paraId="140BFF35" w14:textId="77777777" w:rsidR="00A052DC" w:rsidRDefault="009F0A60">
            <w:pPr>
              <w:rPr>
                <w:rFonts w:ascii="黑体" w:eastAsia="黑体" w:hAnsi="黑体" w:cs="宋体"/>
                <w:sz w:val="20"/>
                <w:szCs w:val="20"/>
              </w:rPr>
            </w:pPr>
            <w:r>
              <w:rPr>
                <w:rFonts w:ascii="黑体" w:eastAsia="黑体" w:hAnsi="黑体" w:hint="eastAsia"/>
                <w:sz w:val="20"/>
                <w:szCs w:val="20"/>
              </w:rPr>
              <w:t>数值型，22.0</w:t>
            </w:r>
          </w:p>
        </w:tc>
        <w:tc>
          <w:tcPr>
            <w:tcW w:w="1528" w:type="pct"/>
          </w:tcPr>
          <w:p w14:paraId="2B4A609C" w14:textId="77777777" w:rsidR="00A052DC" w:rsidRDefault="00A052DC">
            <w:pPr>
              <w:rPr>
                <w:rFonts w:ascii="黑体" w:eastAsia="黑体" w:hAnsi="黑体" w:cs="宋体"/>
                <w:sz w:val="20"/>
                <w:szCs w:val="20"/>
              </w:rPr>
            </w:pPr>
          </w:p>
        </w:tc>
      </w:tr>
      <w:tr w:rsidR="00A052DC" w14:paraId="276C2CCA" w14:textId="77777777">
        <w:tc>
          <w:tcPr>
            <w:tcW w:w="1562" w:type="pct"/>
          </w:tcPr>
          <w:p w14:paraId="58F24166"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交易附言2</w:t>
            </w:r>
          </w:p>
        </w:tc>
        <w:tc>
          <w:tcPr>
            <w:tcW w:w="914" w:type="pct"/>
          </w:tcPr>
          <w:p w14:paraId="60C3BD92"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TXREM2</w:t>
            </w:r>
          </w:p>
        </w:tc>
        <w:tc>
          <w:tcPr>
            <w:tcW w:w="996" w:type="pct"/>
          </w:tcPr>
          <w:p w14:paraId="504C69DF" w14:textId="77777777" w:rsidR="00A052DC" w:rsidRDefault="009F0A60">
            <w:pPr>
              <w:rPr>
                <w:rFonts w:ascii="黑体" w:eastAsia="黑体" w:hAnsi="黑体" w:cs="宋体"/>
                <w:sz w:val="20"/>
                <w:szCs w:val="20"/>
              </w:rPr>
            </w:pPr>
            <w:r>
              <w:rPr>
                <w:rFonts w:ascii="黑体" w:eastAsia="黑体" w:hAnsi="黑体" w:hint="eastAsia"/>
                <w:sz w:val="20"/>
                <w:szCs w:val="20"/>
              </w:rPr>
              <w:t>字符型，256</w:t>
            </w:r>
          </w:p>
        </w:tc>
        <w:tc>
          <w:tcPr>
            <w:tcW w:w="1528" w:type="pct"/>
          </w:tcPr>
          <w:p w14:paraId="1E867611" w14:textId="77777777" w:rsidR="00A052DC" w:rsidRDefault="00A052DC">
            <w:pPr>
              <w:rPr>
                <w:rFonts w:ascii="黑体" w:eastAsia="黑体" w:hAnsi="黑体" w:cs="宋体"/>
                <w:sz w:val="20"/>
                <w:szCs w:val="20"/>
              </w:rPr>
            </w:pPr>
          </w:p>
        </w:tc>
      </w:tr>
      <w:tr w:rsidR="00A052DC" w14:paraId="7E5DE51F" w14:textId="77777777">
        <w:tc>
          <w:tcPr>
            <w:tcW w:w="1562" w:type="pct"/>
          </w:tcPr>
          <w:p w14:paraId="7BFF0736" w14:textId="77777777" w:rsidR="00A052DC" w:rsidRDefault="009F0A60">
            <w:pPr>
              <w:rPr>
                <w:rFonts w:ascii="黑体" w:eastAsia="黑体" w:hAnsi="黑体"/>
                <w:sz w:val="20"/>
                <w:szCs w:val="20"/>
              </w:rPr>
            </w:pPr>
            <w:r>
              <w:rPr>
                <w:rFonts w:ascii="黑体" w:eastAsia="黑体" w:hAnsi="黑体" w:hint="eastAsia"/>
                <w:sz w:val="20"/>
                <w:szCs w:val="20"/>
              </w:rPr>
              <w:t>是否保税货物项下收汇</w:t>
            </w:r>
          </w:p>
        </w:tc>
        <w:tc>
          <w:tcPr>
            <w:tcW w:w="914" w:type="pct"/>
          </w:tcPr>
          <w:p w14:paraId="01C4ADEA"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ISWRITEOFF</w:t>
            </w:r>
          </w:p>
        </w:tc>
        <w:tc>
          <w:tcPr>
            <w:tcW w:w="996" w:type="pct"/>
          </w:tcPr>
          <w:p w14:paraId="715090E5" w14:textId="77777777" w:rsidR="00A052DC" w:rsidRDefault="009F0A60">
            <w:pPr>
              <w:rPr>
                <w:rFonts w:ascii="黑体" w:eastAsia="黑体" w:hAnsi="黑体" w:cs="宋体"/>
                <w:sz w:val="20"/>
                <w:szCs w:val="20"/>
              </w:rPr>
            </w:pPr>
            <w:r>
              <w:rPr>
                <w:rFonts w:ascii="黑体" w:eastAsia="黑体" w:hAnsi="黑体" w:hint="eastAsia"/>
                <w:sz w:val="20"/>
                <w:szCs w:val="20"/>
              </w:rPr>
              <w:t>字符型，1</w:t>
            </w:r>
          </w:p>
        </w:tc>
        <w:tc>
          <w:tcPr>
            <w:tcW w:w="1528" w:type="pct"/>
          </w:tcPr>
          <w:p w14:paraId="3AD38573" w14:textId="77777777" w:rsidR="00A052DC" w:rsidRDefault="009F0A60">
            <w:pPr>
              <w:rPr>
                <w:rFonts w:ascii="黑体" w:eastAsia="黑体" w:hAnsi="黑体" w:cs="宋体"/>
                <w:sz w:val="20"/>
                <w:szCs w:val="20"/>
              </w:rPr>
            </w:pPr>
            <w:r>
              <w:rPr>
                <w:rFonts w:ascii="黑体" w:eastAsia="黑体" w:hAnsi="黑体" w:cs="宋体" w:hint="eastAsia"/>
                <w:sz w:val="20"/>
                <w:szCs w:val="20"/>
              </w:rPr>
              <w:t>Y-是</w:t>
            </w:r>
          </w:p>
          <w:p w14:paraId="5FB358AE" w14:textId="77777777" w:rsidR="00A052DC" w:rsidRDefault="009F0A60">
            <w:pPr>
              <w:rPr>
                <w:rFonts w:ascii="黑体" w:eastAsia="黑体" w:hAnsi="黑体" w:cs="宋体"/>
                <w:sz w:val="20"/>
                <w:szCs w:val="20"/>
              </w:rPr>
            </w:pPr>
            <w:r>
              <w:rPr>
                <w:rFonts w:ascii="黑体" w:eastAsia="黑体" w:hAnsi="黑体" w:cs="宋体" w:hint="eastAsia"/>
                <w:sz w:val="20"/>
                <w:szCs w:val="20"/>
              </w:rPr>
              <w:t>N-否</w:t>
            </w:r>
          </w:p>
        </w:tc>
      </w:tr>
      <w:tr w:rsidR="00A052DC" w14:paraId="04506AEA" w14:textId="77777777">
        <w:tc>
          <w:tcPr>
            <w:tcW w:w="1562" w:type="pct"/>
          </w:tcPr>
          <w:p w14:paraId="732BD543" w14:textId="77777777" w:rsidR="00A052DC" w:rsidRDefault="009F0A60">
            <w:pPr>
              <w:rPr>
                <w:rFonts w:ascii="黑体" w:eastAsia="黑体" w:hAnsi="黑体" w:cs="Microsoft Sans Serif"/>
                <w:sz w:val="20"/>
                <w:szCs w:val="20"/>
              </w:rPr>
            </w:pPr>
            <w:r>
              <w:rPr>
                <w:rFonts w:ascii="黑体" w:eastAsia="黑体" w:hAnsi="黑体" w:hint="eastAsia"/>
                <w:sz w:val="20"/>
                <w:szCs w:val="20"/>
              </w:rPr>
              <w:t>外汇局批件号/备案表号/业务编号</w:t>
            </w:r>
          </w:p>
        </w:tc>
        <w:tc>
          <w:tcPr>
            <w:tcW w:w="914" w:type="pct"/>
          </w:tcPr>
          <w:p w14:paraId="73A1670B"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BILLNO</w:t>
            </w:r>
          </w:p>
        </w:tc>
        <w:tc>
          <w:tcPr>
            <w:tcW w:w="996" w:type="pct"/>
          </w:tcPr>
          <w:p w14:paraId="11FB0D01" w14:textId="77777777" w:rsidR="00A052DC" w:rsidRDefault="009F0A60">
            <w:pPr>
              <w:rPr>
                <w:rFonts w:ascii="黑体" w:eastAsia="黑体" w:hAnsi="黑体" w:cs="宋体"/>
                <w:sz w:val="20"/>
                <w:szCs w:val="20"/>
              </w:rPr>
            </w:pPr>
            <w:r>
              <w:rPr>
                <w:rFonts w:ascii="黑体" w:eastAsia="黑体" w:hAnsi="黑体" w:hint="eastAsia"/>
                <w:sz w:val="20"/>
                <w:szCs w:val="20"/>
              </w:rPr>
              <w:t>字符型，50</w:t>
            </w:r>
          </w:p>
        </w:tc>
        <w:tc>
          <w:tcPr>
            <w:tcW w:w="1528" w:type="pct"/>
          </w:tcPr>
          <w:p w14:paraId="672EAA84" w14:textId="77777777" w:rsidR="00A052DC" w:rsidRDefault="00A052DC">
            <w:pPr>
              <w:rPr>
                <w:rFonts w:ascii="黑体" w:eastAsia="黑体" w:hAnsi="黑体" w:cs="宋体"/>
                <w:sz w:val="20"/>
                <w:szCs w:val="20"/>
              </w:rPr>
            </w:pPr>
          </w:p>
        </w:tc>
      </w:tr>
      <w:tr w:rsidR="00A052DC" w14:paraId="21FE400D" w14:textId="77777777">
        <w:tc>
          <w:tcPr>
            <w:tcW w:w="1562" w:type="pct"/>
          </w:tcPr>
          <w:p w14:paraId="1C224822" w14:textId="77777777" w:rsidR="00A052DC" w:rsidRDefault="009F0A60">
            <w:pPr>
              <w:rPr>
                <w:rFonts w:ascii="黑体" w:eastAsia="黑体" w:hAnsi="黑体" w:cs="Microsoft Sans Serif"/>
                <w:sz w:val="20"/>
                <w:szCs w:val="20"/>
              </w:rPr>
            </w:pPr>
            <w:r>
              <w:rPr>
                <w:rFonts w:ascii="黑体" w:eastAsia="黑体" w:hAnsi="黑体" w:hint="eastAsia"/>
                <w:sz w:val="20"/>
                <w:szCs w:val="20"/>
              </w:rPr>
              <w:t>填报人</w:t>
            </w:r>
          </w:p>
        </w:tc>
        <w:tc>
          <w:tcPr>
            <w:tcW w:w="914" w:type="pct"/>
          </w:tcPr>
          <w:p w14:paraId="6A3611DF"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RPTUSER</w:t>
            </w:r>
          </w:p>
        </w:tc>
        <w:tc>
          <w:tcPr>
            <w:tcW w:w="996" w:type="pct"/>
          </w:tcPr>
          <w:p w14:paraId="375889D4" w14:textId="77777777" w:rsidR="00A052DC" w:rsidRDefault="009F0A60">
            <w:pPr>
              <w:rPr>
                <w:rFonts w:ascii="黑体" w:eastAsia="黑体" w:hAnsi="黑体" w:cs="宋体"/>
                <w:sz w:val="20"/>
                <w:szCs w:val="20"/>
              </w:rPr>
            </w:pPr>
            <w:r>
              <w:rPr>
                <w:rFonts w:ascii="黑体" w:eastAsia="黑体" w:hAnsi="黑体" w:hint="eastAsia"/>
                <w:sz w:val="20"/>
                <w:szCs w:val="20"/>
              </w:rPr>
              <w:t>字符型，20</w:t>
            </w:r>
          </w:p>
        </w:tc>
        <w:tc>
          <w:tcPr>
            <w:tcW w:w="1528" w:type="pct"/>
          </w:tcPr>
          <w:p w14:paraId="5AAC607B" w14:textId="77777777" w:rsidR="00A052DC" w:rsidRDefault="00A052DC">
            <w:pPr>
              <w:rPr>
                <w:rFonts w:ascii="黑体" w:eastAsia="黑体" w:hAnsi="黑体" w:cs="宋体"/>
                <w:sz w:val="20"/>
                <w:szCs w:val="20"/>
              </w:rPr>
            </w:pPr>
          </w:p>
        </w:tc>
      </w:tr>
      <w:tr w:rsidR="00A052DC" w14:paraId="59EBF1AE" w14:textId="77777777">
        <w:tc>
          <w:tcPr>
            <w:tcW w:w="1562" w:type="pct"/>
          </w:tcPr>
          <w:p w14:paraId="31EC05BF" w14:textId="77777777" w:rsidR="00A052DC" w:rsidRDefault="009F0A60">
            <w:pPr>
              <w:rPr>
                <w:rFonts w:ascii="黑体" w:eastAsia="黑体" w:hAnsi="黑体" w:cs="Microsoft Sans Serif"/>
                <w:sz w:val="20"/>
                <w:szCs w:val="20"/>
              </w:rPr>
            </w:pPr>
            <w:r>
              <w:rPr>
                <w:rFonts w:ascii="黑体" w:eastAsia="黑体" w:hAnsi="黑体" w:hint="eastAsia"/>
                <w:sz w:val="20"/>
                <w:szCs w:val="20"/>
              </w:rPr>
              <w:t>填报人电话</w:t>
            </w:r>
          </w:p>
        </w:tc>
        <w:tc>
          <w:tcPr>
            <w:tcW w:w="914" w:type="pct"/>
          </w:tcPr>
          <w:p w14:paraId="46A52DC1"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RPTTEL</w:t>
            </w:r>
          </w:p>
        </w:tc>
        <w:tc>
          <w:tcPr>
            <w:tcW w:w="996" w:type="pct"/>
          </w:tcPr>
          <w:p w14:paraId="49D915E3" w14:textId="77777777" w:rsidR="00A052DC" w:rsidRDefault="009F0A60">
            <w:pPr>
              <w:rPr>
                <w:rFonts w:ascii="黑体" w:eastAsia="黑体" w:hAnsi="黑体" w:cs="宋体"/>
                <w:sz w:val="20"/>
                <w:szCs w:val="20"/>
              </w:rPr>
            </w:pPr>
            <w:r>
              <w:rPr>
                <w:rFonts w:ascii="黑体" w:eastAsia="黑体" w:hAnsi="黑体" w:hint="eastAsia"/>
                <w:sz w:val="20"/>
                <w:szCs w:val="20"/>
              </w:rPr>
              <w:t>字符型，20</w:t>
            </w:r>
          </w:p>
        </w:tc>
        <w:tc>
          <w:tcPr>
            <w:tcW w:w="1528" w:type="pct"/>
          </w:tcPr>
          <w:p w14:paraId="282977F6" w14:textId="77777777" w:rsidR="00A052DC" w:rsidRDefault="00A052DC">
            <w:pPr>
              <w:rPr>
                <w:rFonts w:ascii="黑体" w:eastAsia="黑体" w:hAnsi="黑体" w:cs="宋体"/>
                <w:sz w:val="20"/>
                <w:szCs w:val="20"/>
              </w:rPr>
            </w:pPr>
          </w:p>
        </w:tc>
      </w:tr>
      <w:tr w:rsidR="00A052DC" w14:paraId="7CE447B9" w14:textId="77777777">
        <w:tc>
          <w:tcPr>
            <w:tcW w:w="1562" w:type="pct"/>
          </w:tcPr>
          <w:p w14:paraId="4BA38DD5" w14:textId="77777777" w:rsidR="00A052DC" w:rsidRDefault="009F0A60">
            <w:pPr>
              <w:rPr>
                <w:rFonts w:ascii="黑体" w:eastAsia="黑体" w:hAnsi="黑体" w:cs="Microsoft Sans Serif"/>
                <w:sz w:val="20"/>
                <w:szCs w:val="20"/>
              </w:rPr>
            </w:pPr>
            <w:r>
              <w:rPr>
                <w:rFonts w:ascii="黑体" w:eastAsia="黑体" w:hAnsi="黑体" w:hint="eastAsia"/>
                <w:sz w:val="20"/>
                <w:szCs w:val="20"/>
              </w:rPr>
              <w:t>申报日期</w:t>
            </w:r>
          </w:p>
        </w:tc>
        <w:tc>
          <w:tcPr>
            <w:tcW w:w="914" w:type="pct"/>
          </w:tcPr>
          <w:p w14:paraId="5C84F440"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RPTDATE</w:t>
            </w:r>
          </w:p>
        </w:tc>
        <w:tc>
          <w:tcPr>
            <w:tcW w:w="996" w:type="pct"/>
          </w:tcPr>
          <w:p w14:paraId="739B2D37" w14:textId="77777777" w:rsidR="00A052DC" w:rsidRDefault="009F0A60">
            <w:pPr>
              <w:rPr>
                <w:rFonts w:ascii="黑体" w:eastAsia="黑体" w:hAnsi="黑体" w:cs="宋体"/>
                <w:sz w:val="20"/>
                <w:szCs w:val="20"/>
              </w:rPr>
            </w:pPr>
            <w:r>
              <w:rPr>
                <w:rFonts w:ascii="黑体" w:eastAsia="黑体" w:hAnsi="黑体" w:hint="eastAsia"/>
                <w:sz w:val="20"/>
                <w:szCs w:val="20"/>
              </w:rPr>
              <w:t>日期型，8</w:t>
            </w:r>
          </w:p>
        </w:tc>
        <w:tc>
          <w:tcPr>
            <w:tcW w:w="1528" w:type="pct"/>
          </w:tcPr>
          <w:p w14:paraId="23227B63" w14:textId="77777777" w:rsidR="00A052DC" w:rsidRDefault="009F0A60">
            <w:pPr>
              <w:rPr>
                <w:rFonts w:ascii="黑体" w:eastAsia="黑体" w:hAnsi="黑体" w:cs="宋体"/>
                <w:sz w:val="20"/>
                <w:szCs w:val="20"/>
              </w:rPr>
            </w:pPr>
            <w:r>
              <w:rPr>
                <w:rFonts w:ascii="黑体" w:eastAsia="黑体" w:hAnsi="黑体" w:hint="eastAsia"/>
                <w:sz w:val="20"/>
                <w:szCs w:val="20"/>
              </w:rPr>
              <w:t>YYYYMMDD</w:t>
            </w:r>
          </w:p>
        </w:tc>
      </w:tr>
      <w:tr w:rsidR="00A052DC" w14:paraId="6F8E6D08" w14:textId="77777777">
        <w:tc>
          <w:tcPr>
            <w:tcW w:w="1562" w:type="pct"/>
          </w:tcPr>
          <w:p w14:paraId="5CA07E57"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收入类型</w:t>
            </w:r>
          </w:p>
        </w:tc>
        <w:tc>
          <w:tcPr>
            <w:tcW w:w="914" w:type="pct"/>
          </w:tcPr>
          <w:p w14:paraId="141BAC72"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PAYATTR</w:t>
            </w:r>
          </w:p>
        </w:tc>
        <w:tc>
          <w:tcPr>
            <w:tcW w:w="996" w:type="pct"/>
          </w:tcPr>
          <w:p w14:paraId="04B346EB" w14:textId="77777777" w:rsidR="00A052DC" w:rsidRDefault="009F0A60">
            <w:pPr>
              <w:rPr>
                <w:rFonts w:ascii="黑体" w:eastAsia="黑体" w:hAnsi="黑体" w:cs="宋体"/>
                <w:sz w:val="20"/>
                <w:szCs w:val="20"/>
              </w:rPr>
            </w:pPr>
            <w:r>
              <w:rPr>
                <w:rFonts w:ascii="黑体" w:eastAsia="黑体" w:hAnsi="黑体" w:hint="eastAsia"/>
                <w:sz w:val="20"/>
                <w:szCs w:val="20"/>
              </w:rPr>
              <w:t>字符型，1</w:t>
            </w:r>
          </w:p>
        </w:tc>
        <w:tc>
          <w:tcPr>
            <w:tcW w:w="1528" w:type="pct"/>
          </w:tcPr>
          <w:p w14:paraId="6CB44D01" w14:textId="77777777" w:rsidR="00A052DC" w:rsidRDefault="009F0A60">
            <w:pPr>
              <w:rPr>
                <w:rFonts w:ascii="黑体" w:eastAsia="黑体" w:hAnsi="黑体"/>
                <w:sz w:val="20"/>
                <w:szCs w:val="20"/>
              </w:rPr>
            </w:pPr>
            <w:r>
              <w:rPr>
                <w:rFonts w:ascii="黑体" w:eastAsia="黑体" w:hAnsi="黑体" w:hint="eastAsia"/>
                <w:sz w:val="20"/>
                <w:szCs w:val="20"/>
              </w:rPr>
              <w:t>F-福费廷</w:t>
            </w:r>
          </w:p>
          <w:p w14:paraId="5BFB22F0" w14:textId="77777777" w:rsidR="00A052DC" w:rsidRDefault="009F0A60">
            <w:pPr>
              <w:rPr>
                <w:rFonts w:ascii="黑体" w:eastAsia="黑体" w:hAnsi="黑体"/>
                <w:sz w:val="20"/>
                <w:szCs w:val="20"/>
              </w:rPr>
            </w:pPr>
            <w:r>
              <w:rPr>
                <w:rFonts w:ascii="黑体" w:eastAsia="黑体" w:hAnsi="黑体" w:hint="eastAsia"/>
                <w:sz w:val="20"/>
                <w:szCs w:val="20"/>
              </w:rPr>
              <w:t>T-出口保理</w:t>
            </w:r>
          </w:p>
          <w:p w14:paraId="4C782987" w14:textId="77777777" w:rsidR="00A052DC" w:rsidRDefault="009F0A60">
            <w:pPr>
              <w:rPr>
                <w:rFonts w:ascii="黑体" w:eastAsia="黑体" w:hAnsi="黑体"/>
                <w:sz w:val="20"/>
                <w:szCs w:val="20"/>
              </w:rPr>
            </w:pPr>
            <w:r>
              <w:rPr>
                <w:rFonts w:ascii="黑体" w:eastAsia="黑体" w:hAnsi="黑体" w:hint="eastAsia"/>
                <w:sz w:val="20"/>
                <w:szCs w:val="20"/>
              </w:rPr>
              <w:t>N-出口押汇</w:t>
            </w:r>
          </w:p>
          <w:p w14:paraId="38DDFFCD" w14:textId="77777777" w:rsidR="00A052DC" w:rsidRDefault="009F0A60">
            <w:pPr>
              <w:rPr>
                <w:rFonts w:ascii="黑体" w:eastAsia="黑体" w:hAnsi="黑体"/>
                <w:sz w:val="20"/>
                <w:szCs w:val="20"/>
              </w:rPr>
            </w:pPr>
            <w:r>
              <w:rPr>
                <w:rFonts w:ascii="黑体" w:eastAsia="黑体" w:hAnsi="黑体" w:hint="eastAsia"/>
                <w:sz w:val="20"/>
                <w:szCs w:val="20"/>
              </w:rPr>
              <w:t>D-出口贴现</w:t>
            </w:r>
          </w:p>
          <w:p w14:paraId="37AB3A8F" w14:textId="77777777" w:rsidR="00A052DC" w:rsidRDefault="009F0A60">
            <w:pPr>
              <w:rPr>
                <w:rFonts w:ascii="黑体" w:eastAsia="黑体" w:hAnsi="黑体"/>
                <w:sz w:val="20"/>
                <w:szCs w:val="20"/>
              </w:rPr>
            </w:pPr>
            <w:r>
              <w:rPr>
                <w:rFonts w:ascii="黑体" w:eastAsia="黑体" w:hAnsi="黑体" w:hint="eastAsia"/>
                <w:sz w:val="20"/>
                <w:szCs w:val="20"/>
              </w:rPr>
              <w:t>O-其他贸易融资</w:t>
            </w:r>
          </w:p>
          <w:p w14:paraId="3EF246AF" w14:textId="77777777" w:rsidR="00A052DC" w:rsidRDefault="009F0A60">
            <w:pPr>
              <w:rPr>
                <w:rFonts w:ascii="黑体" w:eastAsia="黑体" w:hAnsi="黑体" w:cs="宋体"/>
                <w:sz w:val="20"/>
                <w:szCs w:val="20"/>
              </w:rPr>
            </w:pPr>
            <w:r>
              <w:rPr>
                <w:rFonts w:ascii="黑体" w:eastAsia="黑体" w:hAnsi="黑体" w:hint="eastAsia"/>
                <w:sz w:val="20"/>
                <w:szCs w:val="20"/>
              </w:rPr>
              <w:t>或者为空</w:t>
            </w:r>
          </w:p>
        </w:tc>
      </w:tr>
      <w:tr w:rsidR="00A052DC" w14:paraId="552E3031" w14:textId="77777777">
        <w:tc>
          <w:tcPr>
            <w:tcW w:w="1562" w:type="pct"/>
          </w:tcPr>
          <w:p w14:paraId="45F9B45B"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已出具出口收汇核销联</w:t>
            </w:r>
          </w:p>
        </w:tc>
        <w:tc>
          <w:tcPr>
            <w:tcW w:w="914" w:type="pct"/>
          </w:tcPr>
          <w:p w14:paraId="1788E8FE"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ISPRINTED</w:t>
            </w:r>
          </w:p>
        </w:tc>
        <w:tc>
          <w:tcPr>
            <w:tcW w:w="996" w:type="pct"/>
          </w:tcPr>
          <w:p w14:paraId="7A5F1B42" w14:textId="77777777" w:rsidR="00A052DC" w:rsidRDefault="009F0A60">
            <w:pPr>
              <w:rPr>
                <w:rFonts w:ascii="黑体" w:eastAsia="黑体" w:hAnsi="黑体" w:cs="宋体"/>
                <w:sz w:val="20"/>
                <w:szCs w:val="20"/>
              </w:rPr>
            </w:pPr>
            <w:r>
              <w:rPr>
                <w:rFonts w:ascii="黑体" w:eastAsia="黑体" w:hAnsi="黑体" w:hint="eastAsia"/>
                <w:sz w:val="20"/>
                <w:szCs w:val="20"/>
              </w:rPr>
              <w:t>字符型，1</w:t>
            </w:r>
          </w:p>
        </w:tc>
        <w:tc>
          <w:tcPr>
            <w:tcW w:w="1528" w:type="pct"/>
          </w:tcPr>
          <w:p w14:paraId="2DA59BA7" w14:textId="77777777" w:rsidR="00A052DC" w:rsidRDefault="009F0A60">
            <w:pPr>
              <w:rPr>
                <w:rFonts w:ascii="黑体" w:eastAsia="黑体" w:hAnsi="黑体" w:cs="宋体"/>
                <w:sz w:val="20"/>
                <w:szCs w:val="20"/>
              </w:rPr>
            </w:pPr>
            <w:r>
              <w:rPr>
                <w:rFonts w:ascii="黑体" w:eastAsia="黑体" w:hAnsi="黑体" w:cs="宋体" w:hint="eastAsia"/>
                <w:sz w:val="20"/>
                <w:szCs w:val="20"/>
              </w:rPr>
              <w:t>1-是</w:t>
            </w:r>
          </w:p>
          <w:p w14:paraId="45512611" w14:textId="77777777" w:rsidR="00A052DC" w:rsidRDefault="009F0A60">
            <w:pPr>
              <w:rPr>
                <w:rFonts w:ascii="黑体" w:eastAsia="黑体" w:hAnsi="黑体" w:cs="宋体"/>
                <w:sz w:val="20"/>
                <w:szCs w:val="20"/>
              </w:rPr>
            </w:pPr>
            <w:r>
              <w:rPr>
                <w:rFonts w:ascii="黑体" w:eastAsia="黑体" w:hAnsi="黑体" w:cs="宋体" w:hint="eastAsia"/>
                <w:sz w:val="20"/>
                <w:szCs w:val="20"/>
              </w:rPr>
              <w:t>0-否</w:t>
            </w:r>
          </w:p>
        </w:tc>
      </w:tr>
      <w:tr w:rsidR="00A052DC" w14:paraId="19ADB87B" w14:textId="77777777">
        <w:tc>
          <w:tcPr>
            <w:tcW w:w="1562" w:type="pct"/>
          </w:tcPr>
          <w:p w14:paraId="67FBB5B8"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余款金额</w:t>
            </w:r>
          </w:p>
        </w:tc>
        <w:tc>
          <w:tcPr>
            <w:tcW w:w="914" w:type="pct"/>
          </w:tcPr>
          <w:p w14:paraId="3E773F97"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OSAMT</w:t>
            </w:r>
          </w:p>
        </w:tc>
        <w:tc>
          <w:tcPr>
            <w:tcW w:w="996" w:type="pct"/>
          </w:tcPr>
          <w:p w14:paraId="7FCF6555" w14:textId="77777777" w:rsidR="00A052DC" w:rsidRDefault="009F0A60">
            <w:pPr>
              <w:rPr>
                <w:rFonts w:ascii="黑体" w:eastAsia="黑体" w:hAnsi="黑体" w:cs="宋体"/>
                <w:sz w:val="20"/>
                <w:szCs w:val="20"/>
              </w:rPr>
            </w:pPr>
            <w:r>
              <w:rPr>
                <w:rFonts w:ascii="黑体" w:eastAsia="黑体" w:hAnsi="黑体" w:hint="eastAsia"/>
                <w:sz w:val="20"/>
                <w:szCs w:val="20"/>
              </w:rPr>
              <w:t>数值型，22.0</w:t>
            </w:r>
          </w:p>
        </w:tc>
        <w:tc>
          <w:tcPr>
            <w:tcW w:w="1528" w:type="pct"/>
          </w:tcPr>
          <w:p w14:paraId="526F7A25" w14:textId="77777777" w:rsidR="00A052DC" w:rsidRDefault="00A052DC">
            <w:pPr>
              <w:rPr>
                <w:rFonts w:ascii="黑体" w:eastAsia="黑体" w:hAnsi="黑体" w:cs="宋体"/>
                <w:sz w:val="20"/>
                <w:szCs w:val="20"/>
              </w:rPr>
            </w:pPr>
          </w:p>
        </w:tc>
      </w:tr>
      <w:tr w:rsidR="00A052DC" w14:paraId="171BB12B" w14:textId="77777777">
        <w:tc>
          <w:tcPr>
            <w:tcW w:w="1562" w:type="pct"/>
          </w:tcPr>
          <w:p w14:paraId="388B14C2"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收汇总金额中用于出口核销的金额</w:t>
            </w:r>
          </w:p>
        </w:tc>
        <w:tc>
          <w:tcPr>
            <w:tcW w:w="914" w:type="pct"/>
          </w:tcPr>
          <w:p w14:paraId="4AA83AA8"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WRITEOFFAMT</w:t>
            </w:r>
          </w:p>
        </w:tc>
        <w:tc>
          <w:tcPr>
            <w:tcW w:w="996" w:type="pct"/>
          </w:tcPr>
          <w:p w14:paraId="32DF1340" w14:textId="77777777" w:rsidR="00A052DC" w:rsidRDefault="009F0A60">
            <w:pPr>
              <w:rPr>
                <w:rFonts w:ascii="黑体" w:eastAsia="黑体" w:hAnsi="黑体" w:cs="宋体"/>
                <w:sz w:val="20"/>
                <w:szCs w:val="20"/>
              </w:rPr>
            </w:pPr>
            <w:r>
              <w:rPr>
                <w:rFonts w:ascii="黑体" w:eastAsia="黑体" w:hAnsi="黑体" w:hint="eastAsia"/>
                <w:sz w:val="20"/>
                <w:szCs w:val="20"/>
              </w:rPr>
              <w:t>数值型，22.0</w:t>
            </w:r>
          </w:p>
        </w:tc>
        <w:tc>
          <w:tcPr>
            <w:tcW w:w="1528" w:type="pct"/>
          </w:tcPr>
          <w:p w14:paraId="32F25E62" w14:textId="77777777" w:rsidR="00A052DC" w:rsidRDefault="00A052DC">
            <w:pPr>
              <w:rPr>
                <w:rFonts w:ascii="黑体" w:eastAsia="黑体" w:hAnsi="黑体" w:cs="宋体"/>
                <w:sz w:val="20"/>
                <w:szCs w:val="20"/>
              </w:rPr>
            </w:pPr>
          </w:p>
        </w:tc>
      </w:tr>
      <w:tr w:rsidR="00A052DC" w14:paraId="07D53F57" w14:textId="77777777">
        <w:tc>
          <w:tcPr>
            <w:tcW w:w="1562" w:type="pct"/>
          </w:tcPr>
          <w:p w14:paraId="1C6870C0"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填报人</w:t>
            </w:r>
          </w:p>
        </w:tc>
        <w:tc>
          <w:tcPr>
            <w:tcW w:w="914" w:type="pct"/>
          </w:tcPr>
          <w:p w14:paraId="6DBA3D14"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WRITEOFFUSER</w:t>
            </w:r>
          </w:p>
        </w:tc>
        <w:tc>
          <w:tcPr>
            <w:tcW w:w="996" w:type="pct"/>
          </w:tcPr>
          <w:p w14:paraId="1CC62579" w14:textId="77777777" w:rsidR="00A052DC" w:rsidRDefault="009F0A60">
            <w:pPr>
              <w:rPr>
                <w:rFonts w:ascii="黑体" w:eastAsia="黑体" w:hAnsi="黑体" w:cs="宋体"/>
                <w:sz w:val="20"/>
                <w:szCs w:val="20"/>
              </w:rPr>
            </w:pPr>
            <w:r>
              <w:rPr>
                <w:rFonts w:ascii="黑体" w:eastAsia="黑体" w:hAnsi="黑体" w:hint="eastAsia"/>
                <w:sz w:val="20"/>
                <w:szCs w:val="20"/>
              </w:rPr>
              <w:t>字符型，20</w:t>
            </w:r>
          </w:p>
        </w:tc>
        <w:tc>
          <w:tcPr>
            <w:tcW w:w="1528" w:type="pct"/>
          </w:tcPr>
          <w:p w14:paraId="78985A83" w14:textId="77777777" w:rsidR="00A052DC" w:rsidRDefault="00A052DC">
            <w:pPr>
              <w:rPr>
                <w:rFonts w:ascii="黑体" w:eastAsia="黑体" w:hAnsi="黑体" w:cs="宋体"/>
                <w:sz w:val="20"/>
                <w:szCs w:val="20"/>
              </w:rPr>
            </w:pPr>
          </w:p>
        </w:tc>
      </w:tr>
      <w:tr w:rsidR="00A052DC" w14:paraId="1E91F138" w14:textId="77777777">
        <w:tc>
          <w:tcPr>
            <w:tcW w:w="1562" w:type="pct"/>
          </w:tcPr>
          <w:p w14:paraId="1AEBA7E0"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填报人联系电话</w:t>
            </w:r>
          </w:p>
        </w:tc>
        <w:tc>
          <w:tcPr>
            <w:tcW w:w="914" w:type="pct"/>
          </w:tcPr>
          <w:p w14:paraId="5D9409D9"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WRITEOFFTEL</w:t>
            </w:r>
          </w:p>
        </w:tc>
        <w:tc>
          <w:tcPr>
            <w:tcW w:w="996" w:type="pct"/>
          </w:tcPr>
          <w:p w14:paraId="134AC2FE" w14:textId="77777777" w:rsidR="00A052DC" w:rsidRDefault="009F0A60">
            <w:pPr>
              <w:rPr>
                <w:rFonts w:ascii="黑体" w:eastAsia="黑体" w:hAnsi="黑体" w:cs="宋体"/>
                <w:sz w:val="20"/>
                <w:szCs w:val="20"/>
              </w:rPr>
            </w:pPr>
            <w:r>
              <w:rPr>
                <w:rFonts w:ascii="黑体" w:eastAsia="黑体" w:hAnsi="黑体" w:hint="eastAsia"/>
                <w:sz w:val="20"/>
                <w:szCs w:val="20"/>
              </w:rPr>
              <w:t>字符型，20</w:t>
            </w:r>
          </w:p>
        </w:tc>
        <w:tc>
          <w:tcPr>
            <w:tcW w:w="1528" w:type="pct"/>
          </w:tcPr>
          <w:p w14:paraId="36275919" w14:textId="77777777" w:rsidR="00A052DC" w:rsidRDefault="00A052DC">
            <w:pPr>
              <w:rPr>
                <w:rFonts w:ascii="黑体" w:eastAsia="黑体" w:hAnsi="黑体" w:cs="宋体"/>
                <w:sz w:val="20"/>
                <w:szCs w:val="20"/>
              </w:rPr>
            </w:pPr>
          </w:p>
        </w:tc>
      </w:tr>
      <w:tr w:rsidR="00A052DC" w14:paraId="692A085F" w14:textId="77777777">
        <w:tc>
          <w:tcPr>
            <w:tcW w:w="1562" w:type="pct"/>
          </w:tcPr>
          <w:p w14:paraId="5FDFC2B7" w14:textId="77777777" w:rsidR="00A052DC" w:rsidRDefault="009F0A60">
            <w:pPr>
              <w:rPr>
                <w:rFonts w:ascii="黑体" w:eastAsia="黑体" w:hAnsi="黑体" w:cs="Microsoft Sans Serif"/>
                <w:sz w:val="20"/>
                <w:szCs w:val="20"/>
              </w:rPr>
            </w:pPr>
            <w:r>
              <w:rPr>
                <w:rFonts w:ascii="黑体" w:eastAsia="黑体" w:hAnsi="黑体" w:hint="eastAsia"/>
                <w:sz w:val="20"/>
                <w:szCs w:val="20"/>
              </w:rPr>
              <w:t>申报日期</w:t>
            </w:r>
          </w:p>
        </w:tc>
        <w:tc>
          <w:tcPr>
            <w:tcW w:w="914" w:type="pct"/>
          </w:tcPr>
          <w:p w14:paraId="263DCA5D"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WRITEOFFDATE</w:t>
            </w:r>
          </w:p>
        </w:tc>
        <w:tc>
          <w:tcPr>
            <w:tcW w:w="996" w:type="pct"/>
          </w:tcPr>
          <w:p w14:paraId="2B890A22" w14:textId="77777777" w:rsidR="00A052DC" w:rsidRDefault="009F0A60">
            <w:pPr>
              <w:rPr>
                <w:rFonts w:ascii="黑体" w:eastAsia="黑体" w:hAnsi="黑体" w:cs="宋体"/>
                <w:sz w:val="20"/>
                <w:szCs w:val="20"/>
              </w:rPr>
            </w:pPr>
            <w:r>
              <w:rPr>
                <w:rFonts w:ascii="黑体" w:eastAsia="黑体" w:hAnsi="黑体" w:hint="eastAsia"/>
                <w:sz w:val="20"/>
                <w:szCs w:val="20"/>
              </w:rPr>
              <w:t>日期型，8</w:t>
            </w:r>
          </w:p>
        </w:tc>
        <w:tc>
          <w:tcPr>
            <w:tcW w:w="1528" w:type="pct"/>
          </w:tcPr>
          <w:p w14:paraId="4356849B" w14:textId="77777777" w:rsidR="00A052DC" w:rsidRDefault="009F0A60">
            <w:pPr>
              <w:rPr>
                <w:rFonts w:ascii="黑体" w:eastAsia="黑体" w:hAnsi="黑体" w:cs="宋体"/>
                <w:sz w:val="20"/>
                <w:szCs w:val="20"/>
              </w:rPr>
            </w:pPr>
            <w:r>
              <w:rPr>
                <w:rFonts w:ascii="黑体" w:eastAsia="黑体" w:hAnsi="黑体" w:hint="eastAsia"/>
                <w:sz w:val="20"/>
                <w:szCs w:val="20"/>
              </w:rPr>
              <w:t>YYYYMMDD</w:t>
            </w:r>
          </w:p>
        </w:tc>
      </w:tr>
      <w:tr w:rsidR="00A052DC" w14:paraId="7D15994A" w14:textId="77777777">
        <w:tc>
          <w:tcPr>
            <w:tcW w:w="1562" w:type="pct"/>
            <w:tcBorders>
              <w:top w:val="single" w:sz="2" w:space="0" w:color="auto"/>
              <w:left w:val="single" w:sz="2" w:space="0" w:color="auto"/>
              <w:bottom w:val="single" w:sz="2" w:space="0" w:color="auto"/>
              <w:right w:val="single" w:sz="2" w:space="0" w:color="auto"/>
            </w:tcBorders>
          </w:tcPr>
          <w:p w14:paraId="0C900B18"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申报信息来源</w:t>
            </w:r>
          </w:p>
        </w:tc>
        <w:tc>
          <w:tcPr>
            <w:tcW w:w="914" w:type="pct"/>
            <w:tcBorders>
              <w:top w:val="single" w:sz="2" w:space="0" w:color="auto"/>
              <w:left w:val="single" w:sz="2" w:space="0" w:color="auto"/>
              <w:bottom w:val="single" w:sz="2" w:space="0" w:color="auto"/>
              <w:right w:val="single" w:sz="2" w:space="0" w:color="auto"/>
            </w:tcBorders>
          </w:tcPr>
          <w:p w14:paraId="0D063E63"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RPTSOURCE</w:t>
            </w:r>
          </w:p>
        </w:tc>
        <w:tc>
          <w:tcPr>
            <w:tcW w:w="996" w:type="pct"/>
            <w:tcBorders>
              <w:top w:val="single" w:sz="2" w:space="0" w:color="auto"/>
              <w:left w:val="single" w:sz="2" w:space="0" w:color="auto"/>
              <w:bottom w:val="single" w:sz="2" w:space="0" w:color="auto"/>
              <w:right w:val="single" w:sz="2" w:space="0" w:color="auto"/>
            </w:tcBorders>
          </w:tcPr>
          <w:p w14:paraId="439404F3" w14:textId="77777777" w:rsidR="00A052DC" w:rsidRDefault="009F0A60">
            <w:pPr>
              <w:rPr>
                <w:rFonts w:ascii="黑体" w:eastAsia="黑体" w:hAnsi="黑体"/>
                <w:sz w:val="20"/>
                <w:szCs w:val="20"/>
              </w:rPr>
            </w:pPr>
            <w:r>
              <w:rPr>
                <w:rFonts w:ascii="黑体" w:eastAsia="黑体" w:hAnsi="黑体" w:hint="eastAsia"/>
                <w:sz w:val="20"/>
                <w:szCs w:val="20"/>
              </w:rPr>
              <w:t>字符型，1</w:t>
            </w:r>
          </w:p>
        </w:tc>
        <w:tc>
          <w:tcPr>
            <w:tcW w:w="1528" w:type="pct"/>
            <w:tcBorders>
              <w:top w:val="single" w:sz="2" w:space="0" w:color="auto"/>
              <w:left w:val="single" w:sz="2" w:space="0" w:color="auto"/>
              <w:bottom w:val="single" w:sz="2" w:space="0" w:color="auto"/>
              <w:right w:val="single" w:sz="2" w:space="0" w:color="auto"/>
            </w:tcBorders>
          </w:tcPr>
          <w:p w14:paraId="208EC5D5" w14:textId="77777777" w:rsidR="00A052DC" w:rsidRDefault="009F0A60">
            <w:pPr>
              <w:rPr>
                <w:rFonts w:ascii="黑体" w:eastAsia="黑体" w:hAnsi="黑体" w:cs="宋体"/>
                <w:sz w:val="20"/>
                <w:szCs w:val="20"/>
              </w:rPr>
            </w:pPr>
            <w:r>
              <w:rPr>
                <w:rFonts w:ascii="黑体" w:eastAsia="黑体" w:hAnsi="黑体" w:cs="宋体" w:hint="eastAsia"/>
                <w:sz w:val="20"/>
                <w:szCs w:val="20"/>
              </w:rPr>
              <w:t>1-纸质申报（银行版录入）</w:t>
            </w:r>
          </w:p>
          <w:p w14:paraId="204830E8" w14:textId="77777777" w:rsidR="00A052DC" w:rsidRDefault="009F0A60">
            <w:pPr>
              <w:rPr>
                <w:rFonts w:ascii="黑体" w:eastAsia="黑体" w:hAnsi="黑体" w:cs="宋体"/>
                <w:sz w:val="20"/>
                <w:szCs w:val="20"/>
              </w:rPr>
            </w:pPr>
            <w:r>
              <w:rPr>
                <w:rFonts w:ascii="黑体" w:eastAsia="黑体" w:hAnsi="黑体" w:cs="宋体" w:hint="eastAsia"/>
                <w:sz w:val="20"/>
                <w:szCs w:val="20"/>
              </w:rPr>
              <w:t>2-网上申报</w:t>
            </w:r>
          </w:p>
          <w:p w14:paraId="0C88F46C" w14:textId="77777777" w:rsidR="00A052DC" w:rsidRDefault="009F0A60">
            <w:pPr>
              <w:rPr>
                <w:rFonts w:ascii="黑体" w:eastAsia="黑体" w:hAnsi="黑体" w:cs="宋体"/>
                <w:sz w:val="20"/>
                <w:szCs w:val="20"/>
              </w:rPr>
            </w:pPr>
            <w:r>
              <w:rPr>
                <w:rFonts w:ascii="黑体" w:eastAsia="黑体" w:hAnsi="黑体" w:cs="宋体" w:hint="eastAsia"/>
                <w:sz w:val="20"/>
                <w:szCs w:val="20"/>
              </w:rPr>
              <w:t>3-接口导入（银行业务系统接口文件导入）</w:t>
            </w:r>
          </w:p>
        </w:tc>
      </w:tr>
      <w:tr w:rsidR="00A052DC" w14:paraId="6894C4B3" w14:textId="77777777">
        <w:tc>
          <w:tcPr>
            <w:tcW w:w="1562" w:type="pct"/>
            <w:tcBorders>
              <w:top w:val="single" w:sz="2" w:space="0" w:color="auto"/>
              <w:left w:val="single" w:sz="2" w:space="0" w:color="auto"/>
              <w:bottom w:val="single" w:sz="2" w:space="0" w:color="auto"/>
              <w:right w:val="single" w:sz="2" w:space="0" w:color="auto"/>
            </w:tcBorders>
          </w:tcPr>
          <w:p w14:paraId="40A6A5B7"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申报单状态</w:t>
            </w:r>
          </w:p>
        </w:tc>
        <w:tc>
          <w:tcPr>
            <w:tcW w:w="914" w:type="pct"/>
            <w:tcBorders>
              <w:top w:val="single" w:sz="2" w:space="0" w:color="auto"/>
              <w:left w:val="single" w:sz="2" w:space="0" w:color="auto"/>
              <w:bottom w:val="single" w:sz="2" w:space="0" w:color="auto"/>
              <w:right w:val="single" w:sz="2" w:space="0" w:color="auto"/>
            </w:tcBorders>
          </w:tcPr>
          <w:p w14:paraId="543044CE"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RPTSTS</w:t>
            </w:r>
          </w:p>
        </w:tc>
        <w:tc>
          <w:tcPr>
            <w:tcW w:w="996" w:type="pct"/>
            <w:tcBorders>
              <w:top w:val="single" w:sz="2" w:space="0" w:color="auto"/>
              <w:left w:val="single" w:sz="2" w:space="0" w:color="auto"/>
              <w:bottom w:val="single" w:sz="2" w:space="0" w:color="auto"/>
              <w:right w:val="single" w:sz="2" w:space="0" w:color="auto"/>
            </w:tcBorders>
          </w:tcPr>
          <w:p w14:paraId="5ACC7F2E" w14:textId="77777777" w:rsidR="00A052DC" w:rsidRDefault="009F0A60">
            <w:pPr>
              <w:rPr>
                <w:rFonts w:ascii="黑体" w:eastAsia="黑体" w:hAnsi="黑体"/>
                <w:sz w:val="20"/>
                <w:szCs w:val="20"/>
              </w:rPr>
            </w:pPr>
            <w:r>
              <w:rPr>
                <w:rFonts w:ascii="黑体" w:eastAsia="黑体" w:hAnsi="黑体" w:hint="eastAsia"/>
                <w:sz w:val="20"/>
                <w:szCs w:val="20"/>
              </w:rPr>
              <w:t>字符型，2</w:t>
            </w:r>
          </w:p>
        </w:tc>
        <w:tc>
          <w:tcPr>
            <w:tcW w:w="1528" w:type="pct"/>
            <w:tcBorders>
              <w:top w:val="single" w:sz="2" w:space="0" w:color="auto"/>
              <w:left w:val="single" w:sz="2" w:space="0" w:color="auto"/>
              <w:bottom w:val="single" w:sz="2" w:space="0" w:color="auto"/>
              <w:right w:val="single" w:sz="2" w:space="0" w:color="auto"/>
            </w:tcBorders>
          </w:tcPr>
          <w:p w14:paraId="7237FA93" w14:textId="77777777" w:rsidR="00A052DC" w:rsidRDefault="009F0A60">
            <w:pPr>
              <w:rPr>
                <w:rFonts w:ascii="黑体" w:eastAsia="黑体" w:hAnsi="黑体" w:cs="宋体"/>
                <w:sz w:val="20"/>
                <w:szCs w:val="20"/>
              </w:rPr>
            </w:pPr>
            <w:r>
              <w:rPr>
                <w:rFonts w:ascii="黑体" w:eastAsia="黑体" w:hAnsi="黑体" w:cs="宋体" w:hint="eastAsia"/>
                <w:sz w:val="20"/>
                <w:szCs w:val="20"/>
              </w:rPr>
              <w:t>06</w:t>
            </w:r>
            <w:r w:rsidR="00BF0361">
              <w:rPr>
                <w:rFonts w:ascii="黑体" w:eastAsia="黑体" w:hAnsi="黑体" w:cs="宋体" w:hint="eastAsia"/>
                <w:sz w:val="20"/>
                <w:szCs w:val="20"/>
              </w:rPr>
              <w:t>-</w:t>
            </w:r>
            <w:r>
              <w:rPr>
                <w:rFonts w:ascii="黑体" w:eastAsia="黑体" w:hAnsi="黑体" w:cs="宋体" w:hint="eastAsia"/>
                <w:sz w:val="20"/>
                <w:szCs w:val="20"/>
              </w:rPr>
              <w:t>已审核</w:t>
            </w:r>
          </w:p>
        </w:tc>
      </w:tr>
      <w:tr w:rsidR="00A052DC" w14:paraId="4113CD4A" w14:textId="77777777">
        <w:tc>
          <w:tcPr>
            <w:tcW w:w="1562" w:type="pct"/>
            <w:tcBorders>
              <w:top w:val="single" w:sz="2" w:space="0" w:color="auto"/>
              <w:left w:val="single" w:sz="2" w:space="0" w:color="auto"/>
              <w:bottom w:val="single" w:sz="2" w:space="0" w:color="auto"/>
              <w:right w:val="single" w:sz="2" w:space="0" w:color="auto"/>
            </w:tcBorders>
          </w:tcPr>
          <w:p w14:paraId="2E4AE510"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删除标志</w:t>
            </w:r>
          </w:p>
        </w:tc>
        <w:tc>
          <w:tcPr>
            <w:tcW w:w="914" w:type="pct"/>
            <w:tcBorders>
              <w:top w:val="single" w:sz="2" w:space="0" w:color="auto"/>
              <w:left w:val="single" w:sz="2" w:space="0" w:color="auto"/>
              <w:bottom w:val="single" w:sz="2" w:space="0" w:color="auto"/>
              <w:right w:val="single" w:sz="2" w:space="0" w:color="auto"/>
            </w:tcBorders>
          </w:tcPr>
          <w:p w14:paraId="0A426F15"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DELFLAG</w:t>
            </w:r>
          </w:p>
        </w:tc>
        <w:tc>
          <w:tcPr>
            <w:tcW w:w="996" w:type="pct"/>
            <w:tcBorders>
              <w:top w:val="single" w:sz="2" w:space="0" w:color="auto"/>
              <w:left w:val="single" w:sz="2" w:space="0" w:color="auto"/>
              <w:bottom w:val="single" w:sz="2" w:space="0" w:color="auto"/>
              <w:right w:val="single" w:sz="2" w:space="0" w:color="auto"/>
            </w:tcBorders>
          </w:tcPr>
          <w:p w14:paraId="31AC2B0F" w14:textId="77777777" w:rsidR="00A052DC" w:rsidRDefault="009F0A60">
            <w:pPr>
              <w:rPr>
                <w:rFonts w:ascii="黑体" w:eastAsia="黑体" w:hAnsi="黑体"/>
                <w:sz w:val="20"/>
                <w:szCs w:val="20"/>
              </w:rPr>
            </w:pPr>
            <w:r>
              <w:rPr>
                <w:rFonts w:ascii="黑体" w:eastAsia="黑体" w:hAnsi="黑体" w:hint="eastAsia"/>
                <w:sz w:val="20"/>
                <w:szCs w:val="20"/>
              </w:rPr>
              <w:t>字符型，1</w:t>
            </w:r>
          </w:p>
        </w:tc>
        <w:tc>
          <w:tcPr>
            <w:tcW w:w="1528" w:type="pct"/>
            <w:tcBorders>
              <w:top w:val="single" w:sz="2" w:space="0" w:color="auto"/>
              <w:left w:val="single" w:sz="2" w:space="0" w:color="auto"/>
              <w:bottom w:val="single" w:sz="2" w:space="0" w:color="auto"/>
              <w:right w:val="single" w:sz="2" w:space="0" w:color="auto"/>
            </w:tcBorders>
          </w:tcPr>
          <w:p w14:paraId="34FC9B4B" w14:textId="77777777" w:rsidR="00A052DC" w:rsidRDefault="009F0A60">
            <w:pPr>
              <w:rPr>
                <w:rFonts w:ascii="黑体" w:eastAsia="黑体" w:hAnsi="黑体" w:cs="宋体"/>
                <w:sz w:val="20"/>
                <w:szCs w:val="20"/>
              </w:rPr>
            </w:pPr>
            <w:r>
              <w:rPr>
                <w:rFonts w:ascii="黑体" w:eastAsia="黑体" w:hAnsi="黑体" w:cs="宋体" w:hint="eastAsia"/>
                <w:sz w:val="20"/>
                <w:szCs w:val="20"/>
              </w:rPr>
              <w:t>0-未删除</w:t>
            </w:r>
          </w:p>
          <w:p w14:paraId="59DE529A" w14:textId="77777777" w:rsidR="00A052DC" w:rsidRDefault="009F0A60">
            <w:pPr>
              <w:rPr>
                <w:rFonts w:ascii="黑体" w:eastAsia="黑体" w:hAnsi="黑体" w:cs="宋体"/>
                <w:sz w:val="20"/>
                <w:szCs w:val="20"/>
              </w:rPr>
            </w:pPr>
            <w:r>
              <w:rPr>
                <w:rFonts w:ascii="黑体" w:eastAsia="黑体" w:hAnsi="黑体" w:cs="宋体" w:hint="eastAsia"/>
                <w:sz w:val="20"/>
                <w:szCs w:val="20"/>
              </w:rPr>
              <w:t>3-已删除</w:t>
            </w:r>
          </w:p>
        </w:tc>
      </w:tr>
    </w:tbl>
    <w:p w14:paraId="2FB76693" w14:textId="77777777" w:rsidR="00A052DC" w:rsidRDefault="00A052DC"/>
    <w:p w14:paraId="29E6F550" w14:textId="77777777" w:rsidR="00A052DC" w:rsidRDefault="009F0A60" w:rsidP="0020251D">
      <w:pPr>
        <w:pStyle w:val="4"/>
        <w:numPr>
          <w:ilvl w:val="3"/>
          <w:numId w:val="1"/>
        </w:numPr>
        <w:jc w:val="left"/>
      </w:pPr>
      <w:bookmarkStart w:id="4497" w:name="_Toc308515721"/>
      <w:bookmarkStart w:id="4498" w:name="_Toc309650690"/>
      <w:bookmarkStart w:id="4499" w:name="_Toc310599146"/>
      <w:bookmarkStart w:id="4500" w:name="_Toc310599162"/>
      <w:bookmarkStart w:id="4501" w:name="_Toc454394934"/>
      <w:bookmarkEnd w:id="4497"/>
      <w:bookmarkEnd w:id="4498"/>
      <w:bookmarkEnd w:id="4499"/>
      <w:r>
        <w:rPr>
          <w:rFonts w:hint="eastAsia"/>
        </w:rPr>
        <w:t>境外汇款申请书</w:t>
      </w:r>
      <w:bookmarkEnd w:id="4500"/>
      <w:bookmarkEnd w:id="4501"/>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3" w:type="dxa"/>
          <w:right w:w="113" w:type="dxa"/>
        </w:tblCellMar>
        <w:tblLook w:val="04A0" w:firstRow="1" w:lastRow="0" w:firstColumn="1" w:lastColumn="0" w:noHBand="0" w:noVBand="1"/>
      </w:tblPr>
      <w:tblGrid>
        <w:gridCol w:w="2577"/>
        <w:gridCol w:w="1826"/>
        <w:gridCol w:w="1380"/>
        <w:gridCol w:w="2749"/>
      </w:tblGrid>
      <w:tr w:rsidR="00A052DC" w14:paraId="025824D4" w14:textId="77777777">
        <w:trPr>
          <w:tblHeader/>
        </w:trPr>
        <w:tc>
          <w:tcPr>
            <w:tcW w:w="1510" w:type="pct"/>
            <w:shd w:val="clear" w:color="auto" w:fill="C0C0C0"/>
          </w:tcPr>
          <w:p w14:paraId="1C5DC4B9" w14:textId="77777777" w:rsidR="00A052DC" w:rsidRDefault="009F0A60">
            <w:pPr>
              <w:jc w:val="center"/>
              <w:rPr>
                <w:rFonts w:ascii="黑体" w:eastAsia="黑体" w:hAnsi="黑体"/>
                <w:b/>
                <w:sz w:val="20"/>
                <w:szCs w:val="20"/>
              </w:rPr>
            </w:pPr>
            <w:r>
              <w:rPr>
                <w:rFonts w:ascii="黑体" w:eastAsia="黑体" w:hAnsi="黑体" w:hint="eastAsia"/>
                <w:b/>
                <w:sz w:val="20"/>
                <w:szCs w:val="20"/>
              </w:rPr>
              <w:t>名称</w:t>
            </w:r>
          </w:p>
        </w:tc>
        <w:tc>
          <w:tcPr>
            <w:tcW w:w="1070" w:type="pct"/>
            <w:shd w:val="clear" w:color="auto" w:fill="C0C0C0"/>
          </w:tcPr>
          <w:p w14:paraId="5450ABB2" w14:textId="77777777" w:rsidR="00A052DC" w:rsidRDefault="009F0A60">
            <w:pPr>
              <w:jc w:val="center"/>
              <w:rPr>
                <w:rFonts w:ascii="黑体" w:eastAsia="黑体" w:hAnsi="黑体"/>
                <w:b/>
                <w:sz w:val="20"/>
                <w:szCs w:val="20"/>
              </w:rPr>
            </w:pPr>
            <w:r>
              <w:rPr>
                <w:rFonts w:ascii="黑体" w:eastAsia="黑体" w:hAnsi="黑体" w:hint="eastAsia"/>
                <w:b/>
                <w:sz w:val="20"/>
                <w:szCs w:val="20"/>
              </w:rPr>
              <w:t>代码</w:t>
            </w:r>
          </w:p>
        </w:tc>
        <w:tc>
          <w:tcPr>
            <w:tcW w:w="809" w:type="pct"/>
            <w:shd w:val="clear" w:color="auto" w:fill="C0C0C0"/>
          </w:tcPr>
          <w:p w14:paraId="35D7B83C" w14:textId="77777777" w:rsidR="00A052DC" w:rsidRDefault="009F0A60">
            <w:pPr>
              <w:jc w:val="center"/>
              <w:rPr>
                <w:rFonts w:ascii="黑体" w:eastAsia="黑体" w:hAnsi="黑体"/>
                <w:b/>
                <w:sz w:val="20"/>
                <w:szCs w:val="20"/>
              </w:rPr>
            </w:pPr>
            <w:r>
              <w:rPr>
                <w:rFonts w:ascii="黑体" w:eastAsia="黑体" w:hAnsi="黑体" w:hint="eastAsia"/>
                <w:b/>
                <w:sz w:val="20"/>
                <w:szCs w:val="20"/>
              </w:rPr>
              <w:t>数据（长度）</w:t>
            </w:r>
          </w:p>
        </w:tc>
        <w:tc>
          <w:tcPr>
            <w:tcW w:w="1611" w:type="pct"/>
            <w:shd w:val="clear" w:color="auto" w:fill="C0C0C0"/>
          </w:tcPr>
          <w:p w14:paraId="2FC3B734" w14:textId="77777777" w:rsidR="00A052DC" w:rsidRDefault="009F0A60">
            <w:pPr>
              <w:jc w:val="center"/>
              <w:rPr>
                <w:rFonts w:ascii="黑体" w:eastAsia="黑体" w:hAnsi="黑体"/>
                <w:b/>
                <w:sz w:val="20"/>
                <w:szCs w:val="20"/>
              </w:rPr>
            </w:pPr>
            <w:r>
              <w:rPr>
                <w:rFonts w:ascii="黑体" w:eastAsia="黑体" w:hAnsi="黑体" w:hint="eastAsia"/>
                <w:b/>
                <w:sz w:val="20"/>
                <w:szCs w:val="20"/>
              </w:rPr>
              <w:t>注释</w:t>
            </w:r>
          </w:p>
        </w:tc>
      </w:tr>
      <w:tr w:rsidR="00A052DC" w14:paraId="38298A03" w14:textId="77777777">
        <w:tc>
          <w:tcPr>
            <w:tcW w:w="1510" w:type="pct"/>
          </w:tcPr>
          <w:p w14:paraId="0A8991D1" w14:textId="77777777" w:rsidR="00A052DC" w:rsidRDefault="009F0A60">
            <w:pPr>
              <w:rPr>
                <w:rFonts w:ascii="黑体" w:eastAsia="黑体" w:hAnsi="黑体" w:cs="Microsoft Sans Serif"/>
                <w:sz w:val="20"/>
                <w:szCs w:val="20"/>
              </w:rPr>
            </w:pPr>
            <w:r>
              <w:rPr>
                <w:rFonts w:ascii="黑体" w:eastAsia="黑体" w:hAnsi="黑体" w:hint="eastAsia"/>
                <w:sz w:val="20"/>
                <w:szCs w:val="20"/>
              </w:rPr>
              <w:t>申报号码</w:t>
            </w:r>
          </w:p>
        </w:tc>
        <w:tc>
          <w:tcPr>
            <w:tcW w:w="1070" w:type="pct"/>
          </w:tcPr>
          <w:p w14:paraId="5AABA644"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RPTNO</w:t>
            </w:r>
          </w:p>
        </w:tc>
        <w:tc>
          <w:tcPr>
            <w:tcW w:w="809" w:type="pct"/>
          </w:tcPr>
          <w:p w14:paraId="0616570A" w14:textId="77777777" w:rsidR="00A052DC" w:rsidRDefault="009F0A60">
            <w:pPr>
              <w:rPr>
                <w:rFonts w:ascii="黑体" w:eastAsia="黑体" w:hAnsi="黑体"/>
                <w:sz w:val="20"/>
                <w:szCs w:val="20"/>
              </w:rPr>
            </w:pPr>
            <w:r>
              <w:rPr>
                <w:rFonts w:ascii="黑体" w:eastAsia="黑体" w:hAnsi="黑体" w:hint="eastAsia"/>
                <w:sz w:val="20"/>
                <w:szCs w:val="20"/>
              </w:rPr>
              <w:t>字符型，</w:t>
            </w:r>
            <w:r>
              <w:rPr>
                <w:rFonts w:ascii="黑体" w:eastAsia="黑体" w:hAnsi="黑体"/>
                <w:sz w:val="20"/>
                <w:szCs w:val="20"/>
              </w:rPr>
              <w:t>22</w:t>
            </w:r>
          </w:p>
        </w:tc>
        <w:tc>
          <w:tcPr>
            <w:tcW w:w="1611" w:type="pct"/>
          </w:tcPr>
          <w:p w14:paraId="2215C4BF" w14:textId="77777777" w:rsidR="00A052DC" w:rsidRDefault="00A052DC">
            <w:pPr>
              <w:rPr>
                <w:rFonts w:ascii="黑体" w:eastAsia="黑体" w:hAnsi="黑体" w:cs="宋体"/>
                <w:sz w:val="20"/>
                <w:szCs w:val="20"/>
              </w:rPr>
            </w:pPr>
          </w:p>
        </w:tc>
      </w:tr>
      <w:tr w:rsidR="00A052DC" w14:paraId="584F3932" w14:textId="77777777">
        <w:tc>
          <w:tcPr>
            <w:tcW w:w="1510" w:type="pct"/>
          </w:tcPr>
          <w:p w14:paraId="2CA05887" w14:textId="77777777" w:rsidR="00A052DC" w:rsidRDefault="009F0A60">
            <w:pPr>
              <w:rPr>
                <w:rFonts w:ascii="黑体" w:eastAsia="黑体" w:hAnsi="黑体"/>
                <w:sz w:val="20"/>
                <w:szCs w:val="20"/>
              </w:rPr>
            </w:pPr>
            <w:r>
              <w:rPr>
                <w:rFonts w:ascii="黑体" w:eastAsia="黑体" w:hAnsi="黑体" w:hint="eastAsia"/>
                <w:sz w:val="20"/>
                <w:szCs w:val="20"/>
              </w:rPr>
              <w:t>汇款人类型</w:t>
            </w:r>
          </w:p>
        </w:tc>
        <w:tc>
          <w:tcPr>
            <w:tcW w:w="1070" w:type="pct"/>
          </w:tcPr>
          <w:p w14:paraId="1E70F8CE"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PAYEETYPE</w:t>
            </w:r>
          </w:p>
        </w:tc>
        <w:tc>
          <w:tcPr>
            <w:tcW w:w="809" w:type="pct"/>
          </w:tcPr>
          <w:p w14:paraId="6F05AE6E" w14:textId="77777777" w:rsidR="00A052DC" w:rsidRDefault="009F0A60">
            <w:pPr>
              <w:rPr>
                <w:rFonts w:ascii="黑体" w:eastAsia="黑体" w:hAnsi="黑体"/>
                <w:sz w:val="20"/>
                <w:szCs w:val="20"/>
              </w:rPr>
            </w:pPr>
            <w:r>
              <w:rPr>
                <w:rFonts w:ascii="黑体" w:eastAsia="黑体" w:hAnsi="黑体" w:hint="eastAsia"/>
                <w:sz w:val="20"/>
                <w:szCs w:val="20"/>
              </w:rPr>
              <w:t>字符型，</w:t>
            </w:r>
            <w:r>
              <w:rPr>
                <w:rFonts w:ascii="黑体" w:eastAsia="黑体" w:hAnsi="黑体"/>
                <w:sz w:val="20"/>
                <w:szCs w:val="20"/>
              </w:rPr>
              <w:t>1</w:t>
            </w:r>
          </w:p>
        </w:tc>
        <w:tc>
          <w:tcPr>
            <w:tcW w:w="1611" w:type="pct"/>
          </w:tcPr>
          <w:p w14:paraId="4801A99F" w14:textId="77777777" w:rsidR="00A052DC" w:rsidRDefault="009F0A60">
            <w:pPr>
              <w:rPr>
                <w:rFonts w:ascii="黑体" w:eastAsia="黑体" w:hAnsi="黑体" w:cs="宋体"/>
                <w:sz w:val="20"/>
                <w:szCs w:val="20"/>
              </w:rPr>
            </w:pPr>
            <w:r>
              <w:rPr>
                <w:rFonts w:ascii="黑体" w:eastAsia="黑体" w:hAnsi="黑体" w:cs="宋体"/>
                <w:sz w:val="20"/>
                <w:szCs w:val="20"/>
              </w:rPr>
              <w:t>C</w:t>
            </w:r>
            <w:r w:rsidR="00AE4602">
              <w:rPr>
                <w:rFonts w:ascii="黑体" w:eastAsia="黑体" w:hAnsi="黑体" w:cs="宋体"/>
                <w:sz w:val="20"/>
                <w:szCs w:val="20"/>
              </w:rPr>
              <w:t>-</w:t>
            </w:r>
            <w:r>
              <w:rPr>
                <w:rFonts w:ascii="黑体" w:eastAsia="黑体" w:hAnsi="黑体" w:cs="宋体"/>
                <w:sz w:val="20"/>
                <w:szCs w:val="20"/>
              </w:rPr>
              <w:t>对公用户</w:t>
            </w:r>
          </w:p>
          <w:p w14:paraId="02D515C0" w14:textId="77777777" w:rsidR="00A052DC" w:rsidRDefault="009F0A60">
            <w:pPr>
              <w:rPr>
                <w:rFonts w:ascii="黑体" w:eastAsia="黑体" w:hAnsi="黑体" w:cs="宋体"/>
                <w:sz w:val="20"/>
                <w:szCs w:val="20"/>
              </w:rPr>
            </w:pPr>
            <w:r>
              <w:rPr>
                <w:rFonts w:ascii="黑体" w:eastAsia="黑体" w:hAnsi="黑体" w:cs="宋体"/>
                <w:sz w:val="20"/>
                <w:szCs w:val="20"/>
              </w:rPr>
              <w:t>D</w:t>
            </w:r>
            <w:r w:rsidR="00AE4602">
              <w:rPr>
                <w:rFonts w:ascii="黑体" w:eastAsia="黑体" w:hAnsi="黑体" w:cs="宋体"/>
                <w:sz w:val="20"/>
                <w:szCs w:val="20"/>
              </w:rPr>
              <w:t>-</w:t>
            </w:r>
            <w:r>
              <w:rPr>
                <w:rFonts w:ascii="黑体" w:eastAsia="黑体" w:hAnsi="黑体" w:cs="宋体"/>
                <w:sz w:val="20"/>
                <w:szCs w:val="20"/>
              </w:rPr>
              <w:t>对私中国居民</w:t>
            </w:r>
          </w:p>
          <w:p w14:paraId="43B02A30" w14:textId="77777777" w:rsidR="00A052DC" w:rsidRDefault="009F0A60">
            <w:pPr>
              <w:rPr>
                <w:rFonts w:ascii="黑体" w:eastAsia="黑体" w:hAnsi="黑体" w:cs="宋体"/>
                <w:sz w:val="20"/>
                <w:szCs w:val="20"/>
              </w:rPr>
            </w:pPr>
            <w:r>
              <w:rPr>
                <w:rFonts w:ascii="黑体" w:eastAsia="黑体" w:hAnsi="黑体" w:cs="宋体"/>
                <w:sz w:val="20"/>
                <w:szCs w:val="20"/>
              </w:rPr>
              <w:t>F</w:t>
            </w:r>
            <w:r w:rsidR="00AE4602">
              <w:rPr>
                <w:rFonts w:ascii="黑体" w:eastAsia="黑体" w:hAnsi="黑体" w:cs="宋体"/>
                <w:sz w:val="20"/>
                <w:szCs w:val="20"/>
              </w:rPr>
              <w:t>-</w:t>
            </w:r>
            <w:r>
              <w:rPr>
                <w:rFonts w:ascii="黑体" w:eastAsia="黑体" w:hAnsi="黑体" w:cs="宋体"/>
                <w:sz w:val="20"/>
                <w:szCs w:val="20"/>
              </w:rPr>
              <w:t>对私中国非居民</w:t>
            </w:r>
            <w:r>
              <w:rPr>
                <w:rFonts w:ascii="黑体" w:eastAsia="黑体" w:hAnsi="黑体" w:cs="宋体" w:hint="eastAsia"/>
                <w:sz w:val="20"/>
                <w:szCs w:val="20"/>
              </w:rPr>
              <w:t>需与申报号码中第</w:t>
            </w:r>
            <w:r>
              <w:rPr>
                <w:rFonts w:ascii="黑体" w:eastAsia="黑体" w:hAnsi="黑体" w:cs="宋体"/>
                <w:sz w:val="20"/>
                <w:szCs w:val="20"/>
              </w:rPr>
              <w:t>19位字母所表明的含义一致。</w:t>
            </w:r>
          </w:p>
        </w:tc>
      </w:tr>
      <w:tr w:rsidR="00A052DC" w14:paraId="109CDF18" w14:textId="77777777">
        <w:tc>
          <w:tcPr>
            <w:tcW w:w="1510" w:type="pct"/>
          </w:tcPr>
          <w:p w14:paraId="72522820"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个人身份证件号码</w:t>
            </w:r>
          </w:p>
        </w:tc>
        <w:tc>
          <w:tcPr>
            <w:tcW w:w="1070" w:type="pct"/>
          </w:tcPr>
          <w:p w14:paraId="54DA4238"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IDCODE</w:t>
            </w:r>
          </w:p>
        </w:tc>
        <w:tc>
          <w:tcPr>
            <w:tcW w:w="809" w:type="pct"/>
          </w:tcPr>
          <w:p w14:paraId="542B3C14" w14:textId="77777777" w:rsidR="00A052DC" w:rsidRDefault="009F0A60">
            <w:pPr>
              <w:rPr>
                <w:rFonts w:ascii="黑体" w:eastAsia="黑体" w:hAnsi="黑体"/>
                <w:sz w:val="20"/>
                <w:szCs w:val="20"/>
              </w:rPr>
            </w:pPr>
            <w:r>
              <w:rPr>
                <w:rFonts w:ascii="黑体" w:eastAsia="黑体" w:hAnsi="黑体" w:hint="eastAsia"/>
                <w:sz w:val="20"/>
                <w:szCs w:val="20"/>
              </w:rPr>
              <w:t>字符型，</w:t>
            </w:r>
            <w:r>
              <w:rPr>
                <w:rFonts w:ascii="黑体" w:eastAsia="黑体" w:hAnsi="黑体"/>
                <w:sz w:val="20"/>
                <w:szCs w:val="20"/>
              </w:rPr>
              <w:t>32</w:t>
            </w:r>
          </w:p>
        </w:tc>
        <w:tc>
          <w:tcPr>
            <w:tcW w:w="1611" w:type="pct"/>
          </w:tcPr>
          <w:p w14:paraId="19ACAE06" w14:textId="77777777" w:rsidR="00A052DC" w:rsidRDefault="00A052DC">
            <w:pPr>
              <w:rPr>
                <w:rFonts w:ascii="黑体" w:eastAsia="黑体" w:hAnsi="黑体" w:cs="宋体"/>
                <w:sz w:val="20"/>
                <w:szCs w:val="20"/>
              </w:rPr>
            </w:pPr>
          </w:p>
        </w:tc>
      </w:tr>
      <w:tr w:rsidR="00A052DC" w14:paraId="63C7D427" w14:textId="77777777">
        <w:tc>
          <w:tcPr>
            <w:tcW w:w="1510" w:type="pct"/>
          </w:tcPr>
          <w:p w14:paraId="6D27570F" w14:textId="77777777" w:rsidR="00A052DC" w:rsidRDefault="009F0A60">
            <w:pPr>
              <w:pStyle w:val="B"/>
            </w:pPr>
            <w:r>
              <w:rPr>
                <w:rFonts w:hint="eastAsia"/>
                <w:kern w:val="2"/>
              </w:rPr>
              <w:t>主体标识码</w:t>
            </w:r>
          </w:p>
        </w:tc>
        <w:tc>
          <w:tcPr>
            <w:tcW w:w="1070" w:type="pct"/>
          </w:tcPr>
          <w:p w14:paraId="1943D542" w14:textId="77777777" w:rsidR="00A052DC" w:rsidRDefault="009F0A60">
            <w:pPr>
              <w:pStyle w:val="B"/>
            </w:pPr>
            <w:r>
              <w:rPr>
                <w:kern w:val="2"/>
              </w:rPr>
              <w:t>UNITCODE</w:t>
            </w:r>
          </w:p>
        </w:tc>
        <w:tc>
          <w:tcPr>
            <w:tcW w:w="809" w:type="pct"/>
          </w:tcPr>
          <w:p w14:paraId="5A5913BA" w14:textId="77777777" w:rsidR="00A052DC" w:rsidRDefault="009F0A60">
            <w:pPr>
              <w:pStyle w:val="B"/>
            </w:pPr>
            <w:r>
              <w:rPr>
                <w:rFonts w:hint="eastAsia"/>
                <w:kern w:val="2"/>
              </w:rPr>
              <w:t>字符型，</w:t>
            </w:r>
            <w:r>
              <w:rPr>
                <w:kern w:val="2"/>
              </w:rPr>
              <w:t>18</w:t>
            </w:r>
          </w:p>
        </w:tc>
        <w:tc>
          <w:tcPr>
            <w:tcW w:w="1611" w:type="pct"/>
          </w:tcPr>
          <w:p w14:paraId="26569CBD" w14:textId="77777777" w:rsidR="00A052DC" w:rsidRDefault="009F0A60">
            <w:pPr>
              <w:pStyle w:val="B"/>
              <w:rPr>
                <w:rFonts w:cs="宋体"/>
              </w:rPr>
            </w:pPr>
            <w:r>
              <w:rPr>
                <w:rFonts w:cs="宋体" w:hint="eastAsia"/>
              </w:rPr>
              <w:t>统一社会信用代码法定载体（如营业执照）上统一社会信用代码中的第9至17位或国家外汇管理局及其分支局签发的特殊机构代码赋码通知书上的机构代码。</w:t>
            </w:r>
          </w:p>
        </w:tc>
      </w:tr>
      <w:tr w:rsidR="00A052DC" w14:paraId="40323AEE" w14:textId="77777777">
        <w:tc>
          <w:tcPr>
            <w:tcW w:w="1510" w:type="pct"/>
          </w:tcPr>
          <w:p w14:paraId="0422BFAD" w14:textId="77777777" w:rsidR="00A052DC" w:rsidRDefault="009F0A60">
            <w:pPr>
              <w:rPr>
                <w:rFonts w:ascii="黑体" w:eastAsia="黑体" w:hAnsi="黑体"/>
                <w:sz w:val="20"/>
                <w:szCs w:val="20"/>
              </w:rPr>
            </w:pPr>
            <w:r>
              <w:rPr>
                <w:rFonts w:ascii="黑体" w:eastAsia="黑体" w:hAnsi="黑体" w:hint="eastAsia"/>
                <w:sz w:val="20"/>
                <w:szCs w:val="20"/>
              </w:rPr>
              <w:t>汇款人名称</w:t>
            </w:r>
          </w:p>
        </w:tc>
        <w:tc>
          <w:tcPr>
            <w:tcW w:w="1070" w:type="pct"/>
          </w:tcPr>
          <w:p w14:paraId="44200BB7"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CUSTNAME</w:t>
            </w:r>
          </w:p>
        </w:tc>
        <w:tc>
          <w:tcPr>
            <w:tcW w:w="809" w:type="pct"/>
          </w:tcPr>
          <w:p w14:paraId="1C6E4A58" w14:textId="77777777" w:rsidR="00A052DC" w:rsidRDefault="009F0A60">
            <w:pPr>
              <w:rPr>
                <w:rFonts w:ascii="黑体" w:eastAsia="黑体" w:hAnsi="黑体"/>
                <w:sz w:val="20"/>
                <w:szCs w:val="20"/>
              </w:rPr>
            </w:pPr>
            <w:r>
              <w:rPr>
                <w:rFonts w:ascii="黑体" w:eastAsia="黑体" w:hAnsi="黑体" w:hint="eastAsia"/>
                <w:sz w:val="20"/>
                <w:szCs w:val="20"/>
              </w:rPr>
              <w:t>字符型，</w:t>
            </w:r>
            <w:r>
              <w:rPr>
                <w:rFonts w:ascii="黑体" w:eastAsia="黑体" w:hAnsi="黑体"/>
                <w:sz w:val="20"/>
                <w:szCs w:val="20"/>
              </w:rPr>
              <w:t>128</w:t>
            </w:r>
          </w:p>
        </w:tc>
        <w:tc>
          <w:tcPr>
            <w:tcW w:w="1611" w:type="pct"/>
          </w:tcPr>
          <w:p w14:paraId="4E26C3CC" w14:textId="77777777" w:rsidR="00A052DC" w:rsidRDefault="00A052DC">
            <w:pPr>
              <w:rPr>
                <w:rFonts w:ascii="黑体" w:eastAsia="黑体" w:hAnsi="黑体" w:cs="宋体"/>
                <w:sz w:val="20"/>
                <w:szCs w:val="20"/>
              </w:rPr>
            </w:pPr>
          </w:p>
        </w:tc>
      </w:tr>
      <w:tr w:rsidR="00A052DC" w14:paraId="267D4CDA" w14:textId="77777777">
        <w:tc>
          <w:tcPr>
            <w:tcW w:w="1510" w:type="pct"/>
          </w:tcPr>
          <w:p w14:paraId="620BA3C9" w14:textId="77777777" w:rsidR="00A052DC" w:rsidRDefault="009F0A60">
            <w:pPr>
              <w:rPr>
                <w:rFonts w:ascii="黑体" w:eastAsia="黑体" w:hAnsi="黑体"/>
                <w:sz w:val="20"/>
                <w:szCs w:val="20"/>
              </w:rPr>
            </w:pPr>
            <w:r>
              <w:rPr>
                <w:rFonts w:ascii="黑体" w:eastAsia="黑体" w:hAnsi="黑体" w:hint="eastAsia"/>
                <w:sz w:val="20"/>
                <w:szCs w:val="20"/>
              </w:rPr>
              <w:t>收款人名称</w:t>
            </w:r>
          </w:p>
        </w:tc>
        <w:tc>
          <w:tcPr>
            <w:tcW w:w="1070" w:type="pct"/>
          </w:tcPr>
          <w:p w14:paraId="7397425D"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OPPNAME</w:t>
            </w:r>
          </w:p>
        </w:tc>
        <w:tc>
          <w:tcPr>
            <w:tcW w:w="809" w:type="pct"/>
          </w:tcPr>
          <w:p w14:paraId="0CD9DCA7" w14:textId="77777777" w:rsidR="00A052DC" w:rsidRDefault="009F0A60">
            <w:pPr>
              <w:rPr>
                <w:rFonts w:ascii="黑体" w:eastAsia="黑体" w:hAnsi="黑体"/>
                <w:sz w:val="20"/>
                <w:szCs w:val="20"/>
              </w:rPr>
            </w:pPr>
            <w:r>
              <w:rPr>
                <w:rFonts w:ascii="黑体" w:eastAsia="黑体" w:hAnsi="黑体" w:hint="eastAsia"/>
                <w:sz w:val="20"/>
                <w:szCs w:val="20"/>
              </w:rPr>
              <w:t>字符型，</w:t>
            </w:r>
            <w:r>
              <w:rPr>
                <w:rFonts w:ascii="黑体" w:eastAsia="黑体" w:hAnsi="黑体"/>
                <w:sz w:val="20"/>
                <w:szCs w:val="20"/>
              </w:rPr>
              <w:t>128</w:t>
            </w:r>
          </w:p>
        </w:tc>
        <w:tc>
          <w:tcPr>
            <w:tcW w:w="1611" w:type="pct"/>
          </w:tcPr>
          <w:p w14:paraId="1CF2B7AE" w14:textId="77777777" w:rsidR="00A052DC" w:rsidRDefault="00A052DC">
            <w:pPr>
              <w:rPr>
                <w:rFonts w:ascii="黑体" w:eastAsia="黑体" w:hAnsi="黑体" w:cs="宋体"/>
                <w:sz w:val="20"/>
                <w:szCs w:val="20"/>
              </w:rPr>
            </w:pPr>
          </w:p>
        </w:tc>
      </w:tr>
      <w:tr w:rsidR="00A052DC" w14:paraId="74B3F600" w14:textId="77777777">
        <w:tc>
          <w:tcPr>
            <w:tcW w:w="1510" w:type="pct"/>
          </w:tcPr>
          <w:p w14:paraId="2FFA1B57" w14:textId="77777777" w:rsidR="00A052DC" w:rsidRDefault="009F0A60">
            <w:pPr>
              <w:rPr>
                <w:rFonts w:ascii="黑体" w:eastAsia="黑体" w:hAnsi="黑体"/>
                <w:sz w:val="20"/>
                <w:szCs w:val="20"/>
              </w:rPr>
            </w:pPr>
            <w:r>
              <w:rPr>
                <w:rFonts w:ascii="黑体" w:eastAsia="黑体" w:hAnsi="黑体" w:hint="eastAsia"/>
                <w:sz w:val="20"/>
                <w:szCs w:val="20"/>
              </w:rPr>
              <w:t>汇款币种</w:t>
            </w:r>
          </w:p>
        </w:tc>
        <w:tc>
          <w:tcPr>
            <w:tcW w:w="1070" w:type="pct"/>
          </w:tcPr>
          <w:p w14:paraId="28F7B1C6"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TXCCY</w:t>
            </w:r>
          </w:p>
        </w:tc>
        <w:tc>
          <w:tcPr>
            <w:tcW w:w="809" w:type="pct"/>
          </w:tcPr>
          <w:p w14:paraId="416BB240" w14:textId="77777777" w:rsidR="00A052DC" w:rsidRDefault="009F0A60">
            <w:pPr>
              <w:rPr>
                <w:rFonts w:ascii="黑体" w:eastAsia="黑体" w:hAnsi="黑体"/>
                <w:sz w:val="20"/>
                <w:szCs w:val="20"/>
              </w:rPr>
            </w:pPr>
            <w:r>
              <w:rPr>
                <w:rFonts w:ascii="黑体" w:eastAsia="黑体" w:hAnsi="黑体" w:hint="eastAsia"/>
                <w:sz w:val="20"/>
                <w:szCs w:val="20"/>
              </w:rPr>
              <w:t>字符型，</w:t>
            </w:r>
            <w:r>
              <w:rPr>
                <w:rFonts w:ascii="黑体" w:eastAsia="黑体" w:hAnsi="黑体"/>
                <w:sz w:val="20"/>
                <w:szCs w:val="20"/>
              </w:rPr>
              <w:t>3</w:t>
            </w:r>
          </w:p>
        </w:tc>
        <w:tc>
          <w:tcPr>
            <w:tcW w:w="1611" w:type="pct"/>
          </w:tcPr>
          <w:p w14:paraId="5BA2195D" w14:textId="77777777" w:rsidR="00A052DC" w:rsidRDefault="00A052DC">
            <w:pPr>
              <w:rPr>
                <w:rFonts w:ascii="黑体" w:eastAsia="黑体" w:hAnsi="黑体" w:cs="宋体"/>
                <w:sz w:val="20"/>
                <w:szCs w:val="20"/>
              </w:rPr>
            </w:pPr>
          </w:p>
        </w:tc>
      </w:tr>
      <w:tr w:rsidR="00A052DC" w14:paraId="3358BA59" w14:textId="77777777">
        <w:tc>
          <w:tcPr>
            <w:tcW w:w="1510" w:type="pct"/>
          </w:tcPr>
          <w:p w14:paraId="36F14973" w14:textId="77777777" w:rsidR="00A052DC" w:rsidRDefault="009F0A60">
            <w:pPr>
              <w:rPr>
                <w:rFonts w:ascii="黑体" w:eastAsia="黑体" w:hAnsi="黑体"/>
                <w:sz w:val="20"/>
                <w:szCs w:val="20"/>
              </w:rPr>
            </w:pPr>
            <w:r>
              <w:rPr>
                <w:rFonts w:ascii="黑体" w:eastAsia="黑体" w:hAnsi="黑体" w:hint="eastAsia"/>
                <w:sz w:val="20"/>
                <w:szCs w:val="20"/>
              </w:rPr>
              <w:t>汇款金额</w:t>
            </w:r>
          </w:p>
        </w:tc>
        <w:tc>
          <w:tcPr>
            <w:tcW w:w="1070" w:type="pct"/>
          </w:tcPr>
          <w:p w14:paraId="619B8689"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TXAMT</w:t>
            </w:r>
          </w:p>
        </w:tc>
        <w:tc>
          <w:tcPr>
            <w:tcW w:w="809" w:type="pct"/>
          </w:tcPr>
          <w:p w14:paraId="268513BB" w14:textId="77777777" w:rsidR="00A052DC" w:rsidRDefault="009F0A60">
            <w:pPr>
              <w:rPr>
                <w:rFonts w:ascii="黑体" w:eastAsia="黑体" w:hAnsi="黑体"/>
                <w:sz w:val="20"/>
                <w:szCs w:val="20"/>
              </w:rPr>
            </w:pPr>
            <w:r>
              <w:rPr>
                <w:rFonts w:ascii="黑体" w:eastAsia="黑体" w:hAnsi="黑体" w:hint="eastAsia"/>
                <w:sz w:val="20"/>
                <w:szCs w:val="20"/>
              </w:rPr>
              <w:t>数值型，</w:t>
            </w:r>
            <w:r>
              <w:rPr>
                <w:rFonts w:ascii="黑体" w:eastAsia="黑体" w:hAnsi="黑体"/>
                <w:sz w:val="20"/>
                <w:szCs w:val="20"/>
              </w:rPr>
              <w:t>22.0</w:t>
            </w:r>
          </w:p>
        </w:tc>
        <w:tc>
          <w:tcPr>
            <w:tcW w:w="1611" w:type="pct"/>
          </w:tcPr>
          <w:p w14:paraId="5A52BE3B" w14:textId="77777777" w:rsidR="00A052DC" w:rsidRDefault="00A052DC">
            <w:pPr>
              <w:rPr>
                <w:rFonts w:ascii="黑体" w:eastAsia="黑体" w:hAnsi="黑体" w:cs="宋体"/>
                <w:sz w:val="20"/>
                <w:szCs w:val="20"/>
              </w:rPr>
            </w:pPr>
          </w:p>
        </w:tc>
      </w:tr>
      <w:tr w:rsidR="00A052DC" w14:paraId="599693C1" w14:textId="77777777">
        <w:tc>
          <w:tcPr>
            <w:tcW w:w="1510" w:type="pct"/>
          </w:tcPr>
          <w:p w14:paraId="6DF1A4CC" w14:textId="77777777" w:rsidR="00A052DC" w:rsidRDefault="009F0A60">
            <w:pPr>
              <w:rPr>
                <w:rFonts w:ascii="黑体" w:eastAsia="黑体" w:hAnsi="黑体"/>
                <w:sz w:val="20"/>
                <w:szCs w:val="20"/>
              </w:rPr>
            </w:pPr>
            <w:r>
              <w:rPr>
                <w:rFonts w:ascii="黑体" w:eastAsia="黑体" w:hAnsi="黑体" w:hint="eastAsia"/>
                <w:sz w:val="20"/>
                <w:szCs w:val="20"/>
              </w:rPr>
              <w:t>购汇汇率</w:t>
            </w:r>
          </w:p>
        </w:tc>
        <w:tc>
          <w:tcPr>
            <w:tcW w:w="1070" w:type="pct"/>
          </w:tcPr>
          <w:p w14:paraId="6A4C165A"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EXRATE</w:t>
            </w:r>
          </w:p>
        </w:tc>
        <w:tc>
          <w:tcPr>
            <w:tcW w:w="809" w:type="pct"/>
          </w:tcPr>
          <w:p w14:paraId="0402586F" w14:textId="77777777" w:rsidR="00A052DC" w:rsidRDefault="009F0A60">
            <w:pPr>
              <w:rPr>
                <w:rFonts w:ascii="黑体" w:eastAsia="黑体" w:hAnsi="黑体"/>
                <w:sz w:val="20"/>
                <w:szCs w:val="20"/>
              </w:rPr>
            </w:pPr>
            <w:r>
              <w:rPr>
                <w:rFonts w:ascii="黑体" w:eastAsia="黑体" w:hAnsi="黑体" w:hint="eastAsia"/>
                <w:sz w:val="20"/>
                <w:szCs w:val="20"/>
              </w:rPr>
              <w:t>数值型，</w:t>
            </w:r>
            <w:r>
              <w:rPr>
                <w:rFonts w:ascii="黑体" w:eastAsia="黑体" w:hAnsi="黑体"/>
                <w:sz w:val="20"/>
                <w:szCs w:val="20"/>
              </w:rPr>
              <w:t>13.8</w:t>
            </w:r>
          </w:p>
        </w:tc>
        <w:tc>
          <w:tcPr>
            <w:tcW w:w="1611" w:type="pct"/>
          </w:tcPr>
          <w:p w14:paraId="690756B7" w14:textId="77777777" w:rsidR="00A052DC" w:rsidRDefault="00A052DC">
            <w:pPr>
              <w:rPr>
                <w:rFonts w:ascii="黑体" w:eastAsia="黑体" w:hAnsi="黑体" w:cs="宋体"/>
                <w:sz w:val="20"/>
                <w:szCs w:val="20"/>
              </w:rPr>
            </w:pPr>
          </w:p>
        </w:tc>
      </w:tr>
      <w:tr w:rsidR="00A052DC" w14:paraId="5C9E4FDB" w14:textId="77777777">
        <w:tc>
          <w:tcPr>
            <w:tcW w:w="1510" w:type="pct"/>
          </w:tcPr>
          <w:p w14:paraId="00AF34D3" w14:textId="77777777" w:rsidR="00A052DC" w:rsidRDefault="009F0A60">
            <w:pPr>
              <w:rPr>
                <w:rFonts w:ascii="黑体" w:eastAsia="黑体" w:hAnsi="黑体"/>
                <w:sz w:val="20"/>
                <w:szCs w:val="20"/>
              </w:rPr>
            </w:pPr>
            <w:r>
              <w:rPr>
                <w:rFonts w:ascii="黑体" w:eastAsia="黑体" w:hAnsi="黑体" w:hint="eastAsia"/>
                <w:sz w:val="20"/>
                <w:szCs w:val="20"/>
              </w:rPr>
              <w:t>购汇金额</w:t>
            </w:r>
          </w:p>
        </w:tc>
        <w:tc>
          <w:tcPr>
            <w:tcW w:w="1070" w:type="pct"/>
          </w:tcPr>
          <w:p w14:paraId="5C8A30BB"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LCYAMT</w:t>
            </w:r>
          </w:p>
        </w:tc>
        <w:tc>
          <w:tcPr>
            <w:tcW w:w="809" w:type="pct"/>
          </w:tcPr>
          <w:p w14:paraId="3C7C6AF9" w14:textId="77777777" w:rsidR="00A052DC" w:rsidRDefault="009F0A60">
            <w:pPr>
              <w:rPr>
                <w:rFonts w:ascii="黑体" w:eastAsia="黑体" w:hAnsi="黑体"/>
                <w:sz w:val="20"/>
                <w:szCs w:val="20"/>
              </w:rPr>
            </w:pPr>
            <w:r>
              <w:rPr>
                <w:rFonts w:ascii="黑体" w:eastAsia="黑体" w:hAnsi="黑体" w:hint="eastAsia"/>
                <w:sz w:val="20"/>
                <w:szCs w:val="20"/>
              </w:rPr>
              <w:t>数值型，</w:t>
            </w:r>
            <w:r>
              <w:rPr>
                <w:rFonts w:ascii="黑体" w:eastAsia="黑体" w:hAnsi="黑体"/>
                <w:sz w:val="20"/>
                <w:szCs w:val="20"/>
              </w:rPr>
              <w:t>22.0</w:t>
            </w:r>
          </w:p>
        </w:tc>
        <w:tc>
          <w:tcPr>
            <w:tcW w:w="1611" w:type="pct"/>
          </w:tcPr>
          <w:p w14:paraId="0C20AD20" w14:textId="77777777" w:rsidR="00A052DC" w:rsidRDefault="00A052DC">
            <w:pPr>
              <w:rPr>
                <w:rFonts w:ascii="黑体" w:eastAsia="黑体" w:hAnsi="黑体" w:cs="宋体"/>
                <w:sz w:val="20"/>
                <w:szCs w:val="20"/>
              </w:rPr>
            </w:pPr>
          </w:p>
        </w:tc>
      </w:tr>
      <w:tr w:rsidR="00A052DC" w14:paraId="4461DD5E" w14:textId="77777777">
        <w:tc>
          <w:tcPr>
            <w:tcW w:w="1510" w:type="pct"/>
          </w:tcPr>
          <w:p w14:paraId="406A7D58" w14:textId="77777777" w:rsidR="00A052DC" w:rsidRDefault="009F0A60">
            <w:pPr>
              <w:rPr>
                <w:rFonts w:ascii="黑体" w:eastAsia="黑体" w:hAnsi="黑体"/>
                <w:sz w:val="20"/>
                <w:szCs w:val="20"/>
              </w:rPr>
            </w:pPr>
            <w:r>
              <w:rPr>
                <w:rFonts w:ascii="黑体" w:eastAsia="黑体" w:hAnsi="黑体" w:hint="eastAsia"/>
                <w:sz w:val="20"/>
                <w:szCs w:val="20"/>
              </w:rPr>
              <w:t>人民币账号</w:t>
            </w:r>
            <w:r>
              <w:rPr>
                <w:rFonts w:ascii="黑体" w:eastAsia="黑体" w:hAnsi="黑体"/>
                <w:sz w:val="20"/>
                <w:szCs w:val="20"/>
              </w:rPr>
              <w:t>/银行卡号</w:t>
            </w:r>
          </w:p>
        </w:tc>
        <w:tc>
          <w:tcPr>
            <w:tcW w:w="1070" w:type="pct"/>
          </w:tcPr>
          <w:p w14:paraId="50576B50"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LCYACC</w:t>
            </w:r>
          </w:p>
        </w:tc>
        <w:tc>
          <w:tcPr>
            <w:tcW w:w="809" w:type="pct"/>
          </w:tcPr>
          <w:p w14:paraId="44BCCDCE" w14:textId="77777777" w:rsidR="00A052DC" w:rsidRDefault="009F0A60">
            <w:pPr>
              <w:rPr>
                <w:rFonts w:ascii="黑体" w:eastAsia="黑体" w:hAnsi="黑体"/>
                <w:sz w:val="20"/>
                <w:szCs w:val="20"/>
              </w:rPr>
            </w:pPr>
            <w:r>
              <w:rPr>
                <w:rFonts w:ascii="黑体" w:eastAsia="黑体" w:hAnsi="黑体" w:hint="eastAsia"/>
                <w:sz w:val="20"/>
                <w:szCs w:val="20"/>
              </w:rPr>
              <w:t>字符型，</w:t>
            </w:r>
            <w:r>
              <w:rPr>
                <w:rFonts w:ascii="黑体" w:eastAsia="黑体" w:hAnsi="黑体"/>
                <w:sz w:val="20"/>
                <w:szCs w:val="20"/>
              </w:rPr>
              <w:t>32</w:t>
            </w:r>
          </w:p>
        </w:tc>
        <w:tc>
          <w:tcPr>
            <w:tcW w:w="1611" w:type="pct"/>
          </w:tcPr>
          <w:p w14:paraId="1A302756" w14:textId="77777777" w:rsidR="00A052DC" w:rsidRDefault="00A052DC">
            <w:pPr>
              <w:rPr>
                <w:rFonts w:ascii="黑体" w:eastAsia="黑体" w:hAnsi="黑体" w:cs="宋体"/>
                <w:sz w:val="20"/>
                <w:szCs w:val="20"/>
              </w:rPr>
            </w:pPr>
          </w:p>
        </w:tc>
      </w:tr>
      <w:tr w:rsidR="00A052DC" w14:paraId="1122B09C" w14:textId="77777777">
        <w:tc>
          <w:tcPr>
            <w:tcW w:w="1510" w:type="pct"/>
          </w:tcPr>
          <w:p w14:paraId="797631CB" w14:textId="77777777" w:rsidR="00A052DC" w:rsidRDefault="009F0A60">
            <w:pPr>
              <w:rPr>
                <w:rFonts w:ascii="黑体" w:eastAsia="黑体" w:hAnsi="黑体"/>
                <w:sz w:val="20"/>
                <w:szCs w:val="20"/>
              </w:rPr>
            </w:pPr>
            <w:r>
              <w:rPr>
                <w:rFonts w:ascii="黑体" w:eastAsia="黑体" w:hAnsi="黑体" w:hint="eastAsia"/>
                <w:sz w:val="20"/>
                <w:szCs w:val="20"/>
              </w:rPr>
              <w:t>现汇金额</w:t>
            </w:r>
          </w:p>
        </w:tc>
        <w:tc>
          <w:tcPr>
            <w:tcW w:w="1070" w:type="pct"/>
          </w:tcPr>
          <w:p w14:paraId="46611FFF"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FCYAMT</w:t>
            </w:r>
          </w:p>
        </w:tc>
        <w:tc>
          <w:tcPr>
            <w:tcW w:w="809" w:type="pct"/>
          </w:tcPr>
          <w:p w14:paraId="17155F2B" w14:textId="77777777" w:rsidR="00A052DC" w:rsidRDefault="009F0A60">
            <w:pPr>
              <w:rPr>
                <w:rFonts w:ascii="黑体" w:eastAsia="黑体" w:hAnsi="黑体"/>
                <w:sz w:val="20"/>
                <w:szCs w:val="20"/>
              </w:rPr>
            </w:pPr>
            <w:r>
              <w:rPr>
                <w:rFonts w:ascii="黑体" w:eastAsia="黑体" w:hAnsi="黑体" w:hint="eastAsia"/>
                <w:sz w:val="20"/>
                <w:szCs w:val="20"/>
              </w:rPr>
              <w:t>数值型，</w:t>
            </w:r>
            <w:r>
              <w:rPr>
                <w:rFonts w:ascii="黑体" w:eastAsia="黑体" w:hAnsi="黑体"/>
                <w:sz w:val="20"/>
                <w:szCs w:val="20"/>
              </w:rPr>
              <w:t>22.0</w:t>
            </w:r>
          </w:p>
        </w:tc>
        <w:tc>
          <w:tcPr>
            <w:tcW w:w="1611" w:type="pct"/>
          </w:tcPr>
          <w:p w14:paraId="29F0ACD2" w14:textId="77777777" w:rsidR="00A052DC" w:rsidRDefault="00A052DC">
            <w:pPr>
              <w:rPr>
                <w:rFonts w:ascii="黑体" w:eastAsia="黑体" w:hAnsi="黑体" w:cs="宋体"/>
                <w:sz w:val="20"/>
                <w:szCs w:val="20"/>
              </w:rPr>
            </w:pPr>
          </w:p>
        </w:tc>
      </w:tr>
      <w:tr w:rsidR="00A052DC" w14:paraId="4646764F" w14:textId="77777777">
        <w:tc>
          <w:tcPr>
            <w:tcW w:w="1510" w:type="pct"/>
          </w:tcPr>
          <w:p w14:paraId="7ADE0C9C" w14:textId="77777777" w:rsidR="00A052DC" w:rsidRDefault="009F0A60">
            <w:pPr>
              <w:rPr>
                <w:rFonts w:ascii="黑体" w:eastAsia="黑体" w:hAnsi="黑体"/>
                <w:sz w:val="20"/>
                <w:szCs w:val="20"/>
              </w:rPr>
            </w:pPr>
            <w:r>
              <w:rPr>
                <w:rFonts w:ascii="黑体" w:eastAsia="黑体" w:hAnsi="黑体" w:hint="eastAsia"/>
                <w:sz w:val="20"/>
                <w:szCs w:val="20"/>
              </w:rPr>
              <w:t>外汇账号</w:t>
            </w:r>
            <w:r>
              <w:rPr>
                <w:rFonts w:ascii="黑体" w:eastAsia="黑体" w:hAnsi="黑体"/>
                <w:sz w:val="20"/>
                <w:szCs w:val="20"/>
              </w:rPr>
              <w:t>/银行卡号</w:t>
            </w:r>
          </w:p>
        </w:tc>
        <w:tc>
          <w:tcPr>
            <w:tcW w:w="1070" w:type="pct"/>
          </w:tcPr>
          <w:p w14:paraId="3396C8DD"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FCYACC</w:t>
            </w:r>
          </w:p>
        </w:tc>
        <w:tc>
          <w:tcPr>
            <w:tcW w:w="809" w:type="pct"/>
          </w:tcPr>
          <w:p w14:paraId="3AA49A6E" w14:textId="77777777" w:rsidR="00A052DC" w:rsidRDefault="009F0A60">
            <w:pPr>
              <w:rPr>
                <w:rFonts w:ascii="黑体" w:eastAsia="黑体" w:hAnsi="黑体"/>
                <w:sz w:val="20"/>
                <w:szCs w:val="20"/>
              </w:rPr>
            </w:pPr>
            <w:r>
              <w:rPr>
                <w:rFonts w:ascii="黑体" w:eastAsia="黑体" w:hAnsi="黑体" w:hint="eastAsia"/>
                <w:sz w:val="20"/>
                <w:szCs w:val="20"/>
              </w:rPr>
              <w:t>字符型，</w:t>
            </w:r>
            <w:r>
              <w:rPr>
                <w:rFonts w:ascii="黑体" w:eastAsia="黑体" w:hAnsi="黑体"/>
                <w:sz w:val="20"/>
                <w:szCs w:val="20"/>
              </w:rPr>
              <w:t>32</w:t>
            </w:r>
          </w:p>
        </w:tc>
        <w:tc>
          <w:tcPr>
            <w:tcW w:w="1611" w:type="pct"/>
          </w:tcPr>
          <w:p w14:paraId="57C54720" w14:textId="77777777" w:rsidR="00A052DC" w:rsidRDefault="00A052DC">
            <w:pPr>
              <w:rPr>
                <w:rFonts w:ascii="黑体" w:eastAsia="黑体" w:hAnsi="黑体" w:cs="宋体"/>
                <w:sz w:val="20"/>
                <w:szCs w:val="20"/>
              </w:rPr>
            </w:pPr>
          </w:p>
        </w:tc>
      </w:tr>
      <w:tr w:rsidR="00A052DC" w14:paraId="5E33D9E0" w14:textId="77777777">
        <w:tc>
          <w:tcPr>
            <w:tcW w:w="1510" w:type="pct"/>
          </w:tcPr>
          <w:p w14:paraId="18358CD1" w14:textId="77777777" w:rsidR="00A052DC" w:rsidRDefault="0021563C">
            <w:pPr>
              <w:rPr>
                <w:rFonts w:ascii="黑体" w:eastAsia="黑体" w:hAnsi="黑体"/>
                <w:sz w:val="20"/>
                <w:szCs w:val="20"/>
              </w:rPr>
            </w:pPr>
            <w:r>
              <w:rPr>
                <w:rFonts w:ascii="黑体" w:eastAsia="黑体" w:hAnsi="黑体" w:hint="eastAsia"/>
                <w:sz w:val="20"/>
                <w:szCs w:val="20"/>
              </w:rPr>
              <w:t>其他</w:t>
            </w:r>
            <w:r w:rsidR="009F0A60">
              <w:rPr>
                <w:rFonts w:ascii="黑体" w:eastAsia="黑体" w:hAnsi="黑体" w:hint="eastAsia"/>
                <w:sz w:val="20"/>
                <w:szCs w:val="20"/>
              </w:rPr>
              <w:t>金额</w:t>
            </w:r>
          </w:p>
        </w:tc>
        <w:tc>
          <w:tcPr>
            <w:tcW w:w="1070" w:type="pct"/>
          </w:tcPr>
          <w:p w14:paraId="5967F8C7"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OTHAMT</w:t>
            </w:r>
          </w:p>
        </w:tc>
        <w:tc>
          <w:tcPr>
            <w:tcW w:w="809" w:type="pct"/>
          </w:tcPr>
          <w:p w14:paraId="04BFD5BE" w14:textId="77777777" w:rsidR="00A052DC" w:rsidRDefault="009F0A60">
            <w:pPr>
              <w:rPr>
                <w:rFonts w:ascii="黑体" w:eastAsia="黑体" w:hAnsi="黑体"/>
                <w:sz w:val="20"/>
                <w:szCs w:val="20"/>
              </w:rPr>
            </w:pPr>
            <w:r>
              <w:rPr>
                <w:rFonts w:ascii="黑体" w:eastAsia="黑体" w:hAnsi="黑体" w:hint="eastAsia"/>
                <w:sz w:val="20"/>
                <w:szCs w:val="20"/>
              </w:rPr>
              <w:t>数值型，</w:t>
            </w:r>
            <w:r>
              <w:rPr>
                <w:rFonts w:ascii="黑体" w:eastAsia="黑体" w:hAnsi="黑体"/>
                <w:sz w:val="20"/>
                <w:szCs w:val="20"/>
              </w:rPr>
              <w:t>22.0</w:t>
            </w:r>
          </w:p>
        </w:tc>
        <w:tc>
          <w:tcPr>
            <w:tcW w:w="1611" w:type="pct"/>
          </w:tcPr>
          <w:p w14:paraId="4E779FA2" w14:textId="77777777" w:rsidR="00A052DC" w:rsidRDefault="00A052DC">
            <w:pPr>
              <w:rPr>
                <w:rFonts w:ascii="黑体" w:eastAsia="黑体" w:hAnsi="黑体" w:cs="宋体"/>
                <w:sz w:val="20"/>
                <w:szCs w:val="20"/>
              </w:rPr>
            </w:pPr>
          </w:p>
        </w:tc>
      </w:tr>
      <w:tr w:rsidR="00A052DC" w14:paraId="55957F20" w14:textId="77777777">
        <w:trPr>
          <w:trHeight w:val="312"/>
        </w:trPr>
        <w:tc>
          <w:tcPr>
            <w:tcW w:w="1510" w:type="pct"/>
          </w:tcPr>
          <w:p w14:paraId="063A3FEB" w14:textId="77777777" w:rsidR="00A052DC" w:rsidRDefault="0021563C">
            <w:pPr>
              <w:rPr>
                <w:rFonts w:ascii="黑体" w:eastAsia="黑体" w:hAnsi="黑体"/>
                <w:sz w:val="20"/>
                <w:szCs w:val="20"/>
              </w:rPr>
            </w:pPr>
            <w:r>
              <w:rPr>
                <w:rFonts w:ascii="黑体" w:eastAsia="黑体" w:hAnsi="黑体" w:hint="eastAsia"/>
                <w:sz w:val="20"/>
                <w:szCs w:val="20"/>
              </w:rPr>
              <w:t>其他</w:t>
            </w:r>
            <w:r w:rsidR="009F0A60">
              <w:rPr>
                <w:rFonts w:ascii="黑体" w:eastAsia="黑体" w:hAnsi="黑体" w:hint="eastAsia"/>
                <w:sz w:val="20"/>
                <w:szCs w:val="20"/>
              </w:rPr>
              <w:t>账号</w:t>
            </w:r>
            <w:r w:rsidR="009F0A60">
              <w:rPr>
                <w:rFonts w:ascii="黑体" w:eastAsia="黑体" w:hAnsi="黑体"/>
                <w:sz w:val="20"/>
                <w:szCs w:val="20"/>
              </w:rPr>
              <w:t>/银行卡号</w:t>
            </w:r>
          </w:p>
        </w:tc>
        <w:tc>
          <w:tcPr>
            <w:tcW w:w="1070" w:type="pct"/>
          </w:tcPr>
          <w:p w14:paraId="03B2D02C"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OTHACC</w:t>
            </w:r>
          </w:p>
        </w:tc>
        <w:tc>
          <w:tcPr>
            <w:tcW w:w="809" w:type="pct"/>
          </w:tcPr>
          <w:p w14:paraId="7DE8EB7E" w14:textId="77777777" w:rsidR="00A052DC" w:rsidRDefault="009F0A60">
            <w:pPr>
              <w:rPr>
                <w:rFonts w:ascii="黑体" w:eastAsia="黑体" w:hAnsi="黑体"/>
                <w:sz w:val="20"/>
                <w:szCs w:val="20"/>
              </w:rPr>
            </w:pPr>
            <w:r>
              <w:rPr>
                <w:rFonts w:ascii="黑体" w:eastAsia="黑体" w:hAnsi="黑体" w:hint="eastAsia"/>
                <w:sz w:val="20"/>
                <w:szCs w:val="20"/>
              </w:rPr>
              <w:t>字符型，</w:t>
            </w:r>
            <w:r>
              <w:rPr>
                <w:rFonts w:ascii="黑体" w:eastAsia="黑体" w:hAnsi="黑体"/>
                <w:sz w:val="20"/>
                <w:szCs w:val="20"/>
              </w:rPr>
              <w:t>32</w:t>
            </w:r>
          </w:p>
        </w:tc>
        <w:tc>
          <w:tcPr>
            <w:tcW w:w="1611" w:type="pct"/>
          </w:tcPr>
          <w:p w14:paraId="6B9F33DC" w14:textId="77777777" w:rsidR="00A052DC" w:rsidRDefault="00A052DC">
            <w:pPr>
              <w:rPr>
                <w:rFonts w:ascii="黑体" w:eastAsia="黑体" w:hAnsi="黑体" w:cs="宋体"/>
                <w:sz w:val="20"/>
                <w:szCs w:val="20"/>
              </w:rPr>
            </w:pPr>
          </w:p>
        </w:tc>
      </w:tr>
      <w:tr w:rsidR="00A052DC" w14:paraId="2FF5B38F" w14:textId="77777777">
        <w:tc>
          <w:tcPr>
            <w:tcW w:w="1510" w:type="pct"/>
          </w:tcPr>
          <w:p w14:paraId="633AC05F" w14:textId="77777777" w:rsidR="00A052DC" w:rsidRDefault="009F0A60">
            <w:pPr>
              <w:rPr>
                <w:rFonts w:ascii="黑体" w:eastAsia="黑体" w:hAnsi="黑体"/>
                <w:sz w:val="20"/>
                <w:szCs w:val="20"/>
              </w:rPr>
            </w:pPr>
            <w:r>
              <w:rPr>
                <w:rFonts w:ascii="黑体" w:eastAsia="黑体" w:hAnsi="黑体" w:hint="eastAsia"/>
                <w:sz w:val="20"/>
                <w:szCs w:val="20"/>
              </w:rPr>
              <w:t>结算方式</w:t>
            </w:r>
          </w:p>
        </w:tc>
        <w:tc>
          <w:tcPr>
            <w:tcW w:w="1070" w:type="pct"/>
          </w:tcPr>
          <w:p w14:paraId="5FF2DCDE"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PAYMETHOD</w:t>
            </w:r>
          </w:p>
        </w:tc>
        <w:tc>
          <w:tcPr>
            <w:tcW w:w="809" w:type="pct"/>
          </w:tcPr>
          <w:p w14:paraId="0310211F" w14:textId="77777777" w:rsidR="00A052DC" w:rsidRDefault="009F0A60">
            <w:pPr>
              <w:rPr>
                <w:rFonts w:ascii="黑体" w:eastAsia="黑体" w:hAnsi="黑体"/>
                <w:sz w:val="20"/>
                <w:szCs w:val="20"/>
              </w:rPr>
            </w:pPr>
            <w:r>
              <w:rPr>
                <w:rFonts w:ascii="黑体" w:eastAsia="黑体" w:hAnsi="黑体" w:hint="eastAsia"/>
                <w:sz w:val="20"/>
                <w:szCs w:val="20"/>
              </w:rPr>
              <w:t>字符型，</w:t>
            </w:r>
            <w:r>
              <w:rPr>
                <w:rFonts w:ascii="黑体" w:eastAsia="黑体" w:hAnsi="黑体"/>
                <w:sz w:val="20"/>
                <w:szCs w:val="20"/>
              </w:rPr>
              <w:t>6</w:t>
            </w:r>
          </w:p>
        </w:tc>
        <w:tc>
          <w:tcPr>
            <w:tcW w:w="1611" w:type="pct"/>
          </w:tcPr>
          <w:p w14:paraId="1CD34807" w14:textId="77777777" w:rsidR="00A052DC" w:rsidRDefault="009F0A60">
            <w:pPr>
              <w:rPr>
                <w:rFonts w:ascii="黑体" w:eastAsia="黑体" w:hAnsi="黑体" w:cs="宋体"/>
                <w:sz w:val="20"/>
                <w:szCs w:val="20"/>
              </w:rPr>
            </w:pPr>
            <w:r>
              <w:rPr>
                <w:rFonts w:ascii="黑体" w:eastAsia="黑体" w:hAnsi="黑体" w:cs="宋体"/>
                <w:sz w:val="20"/>
                <w:szCs w:val="20"/>
              </w:rPr>
              <w:t>T</w:t>
            </w:r>
            <w:r w:rsidR="00AE4602">
              <w:rPr>
                <w:rFonts w:ascii="黑体" w:eastAsia="黑体" w:hAnsi="黑体" w:cs="宋体"/>
                <w:sz w:val="20"/>
                <w:szCs w:val="20"/>
              </w:rPr>
              <w:t>-</w:t>
            </w:r>
            <w:r>
              <w:rPr>
                <w:rFonts w:ascii="黑体" w:eastAsia="黑体" w:hAnsi="黑体" w:cs="宋体"/>
                <w:sz w:val="20"/>
                <w:szCs w:val="20"/>
              </w:rPr>
              <w:t>电汇</w:t>
            </w:r>
          </w:p>
          <w:p w14:paraId="707EFD00" w14:textId="77777777" w:rsidR="00A052DC" w:rsidRDefault="009F0A60">
            <w:pPr>
              <w:rPr>
                <w:rFonts w:ascii="黑体" w:eastAsia="黑体" w:hAnsi="黑体" w:cs="宋体"/>
                <w:sz w:val="20"/>
                <w:szCs w:val="20"/>
              </w:rPr>
            </w:pPr>
            <w:r>
              <w:rPr>
                <w:rFonts w:ascii="黑体" w:eastAsia="黑体" w:hAnsi="黑体" w:cs="宋体"/>
                <w:sz w:val="20"/>
                <w:szCs w:val="20"/>
              </w:rPr>
              <w:t>D</w:t>
            </w:r>
            <w:r w:rsidR="00AE4602">
              <w:rPr>
                <w:rFonts w:ascii="黑体" w:eastAsia="黑体" w:hAnsi="黑体" w:cs="宋体"/>
                <w:sz w:val="20"/>
                <w:szCs w:val="20"/>
              </w:rPr>
              <w:t>-</w:t>
            </w:r>
            <w:r>
              <w:rPr>
                <w:rFonts w:ascii="黑体" w:eastAsia="黑体" w:hAnsi="黑体" w:cs="宋体"/>
                <w:sz w:val="20"/>
                <w:szCs w:val="20"/>
              </w:rPr>
              <w:t>票汇</w:t>
            </w:r>
          </w:p>
          <w:p w14:paraId="52BCCC47" w14:textId="77777777" w:rsidR="00A052DC" w:rsidRDefault="009F0A60">
            <w:pPr>
              <w:adjustRightInd w:val="0"/>
              <w:spacing w:before="20" w:after="20"/>
              <w:ind w:right="80"/>
              <w:rPr>
                <w:rFonts w:ascii="黑体" w:eastAsia="黑体" w:hAnsi="黑体" w:cs="宋体"/>
                <w:sz w:val="20"/>
                <w:szCs w:val="20"/>
              </w:rPr>
            </w:pPr>
            <w:r>
              <w:rPr>
                <w:rFonts w:ascii="黑体" w:eastAsia="黑体" w:hAnsi="黑体" w:cs="宋体"/>
                <w:sz w:val="20"/>
                <w:szCs w:val="20"/>
              </w:rPr>
              <w:t>M</w:t>
            </w:r>
            <w:r w:rsidR="00AE4602">
              <w:rPr>
                <w:rFonts w:ascii="黑体" w:eastAsia="黑体" w:hAnsi="黑体" w:cs="宋体"/>
                <w:sz w:val="20"/>
                <w:szCs w:val="20"/>
              </w:rPr>
              <w:t>-</w:t>
            </w:r>
            <w:r>
              <w:rPr>
                <w:rFonts w:ascii="黑体" w:eastAsia="黑体" w:hAnsi="黑体" w:cs="宋体"/>
                <w:sz w:val="20"/>
                <w:szCs w:val="20"/>
              </w:rPr>
              <w:t>信汇</w:t>
            </w:r>
          </w:p>
        </w:tc>
      </w:tr>
      <w:tr w:rsidR="00A052DC" w14:paraId="7726FF7F" w14:textId="77777777">
        <w:tc>
          <w:tcPr>
            <w:tcW w:w="1510" w:type="pct"/>
          </w:tcPr>
          <w:p w14:paraId="7FF640C6"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银行业务编码</w:t>
            </w:r>
          </w:p>
        </w:tc>
        <w:tc>
          <w:tcPr>
            <w:tcW w:w="1070" w:type="pct"/>
          </w:tcPr>
          <w:p w14:paraId="251FE53E"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BUSICODE</w:t>
            </w:r>
          </w:p>
        </w:tc>
        <w:tc>
          <w:tcPr>
            <w:tcW w:w="809" w:type="pct"/>
          </w:tcPr>
          <w:p w14:paraId="53AA31FF" w14:textId="77777777" w:rsidR="00A052DC" w:rsidRDefault="009F0A60">
            <w:pPr>
              <w:rPr>
                <w:rFonts w:ascii="黑体" w:eastAsia="黑体" w:hAnsi="黑体"/>
                <w:sz w:val="20"/>
                <w:szCs w:val="20"/>
              </w:rPr>
            </w:pPr>
            <w:r>
              <w:rPr>
                <w:rFonts w:ascii="黑体" w:eastAsia="黑体" w:hAnsi="黑体" w:hint="eastAsia"/>
                <w:sz w:val="20"/>
                <w:szCs w:val="20"/>
              </w:rPr>
              <w:t>字符型，</w:t>
            </w:r>
            <w:r>
              <w:rPr>
                <w:rFonts w:ascii="黑体" w:eastAsia="黑体" w:hAnsi="黑体"/>
                <w:sz w:val="20"/>
                <w:szCs w:val="20"/>
              </w:rPr>
              <w:t>22</w:t>
            </w:r>
          </w:p>
        </w:tc>
        <w:tc>
          <w:tcPr>
            <w:tcW w:w="1611" w:type="pct"/>
          </w:tcPr>
          <w:p w14:paraId="434CDF80" w14:textId="77777777" w:rsidR="00A052DC" w:rsidRDefault="00A052DC">
            <w:pPr>
              <w:rPr>
                <w:rFonts w:ascii="黑体" w:eastAsia="黑体" w:hAnsi="黑体" w:cs="宋体"/>
                <w:sz w:val="20"/>
                <w:szCs w:val="20"/>
              </w:rPr>
            </w:pPr>
          </w:p>
        </w:tc>
      </w:tr>
      <w:tr w:rsidR="00A052DC" w14:paraId="75DA0D54" w14:textId="77777777">
        <w:tc>
          <w:tcPr>
            <w:tcW w:w="1510" w:type="pct"/>
          </w:tcPr>
          <w:p w14:paraId="2E24AEB6" w14:textId="77777777" w:rsidR="00A052DC" w:rsidRDefault="009F0A60">
            <w:pPr>
              <w:rPr>
                <w:rFonts w:ascii="黑体" w:eastAsia="黑体" w:hAnsi="黑体"/>
                <w:sz w:val="20"/>
                <w:szCs w:val="20"/>
              </w:rPr>
            </w:pPr>
            <w:r>
              <w:rPr>
                <w:rFonts w:ascii="黑体" w:eastAsia="黑体" w:hAnsi="黑体" w:hint="eastAsia"/>
                <w:sz w:val="20"/>
                <w:szCs w:val="20"/>
              </w:rPr>
              <w:t>收款人常驻国家</w:t>
            </w:r>
            <w:r>
              <w:rPr>
                <w:rFonts w:ascii="黑体" w:eastAsia="黑体" w:hAnsi="黑体"/>
                <w:sz w:val="20"/>
                <w:szCs w:val="20"/>
              </w:rPr>
              <w:t>/地区代码</w:t>
            </w:r>
          </w:p>
        </w:tc>
        <w:tc>
          <w:tcPr>
            <w:tcW w:w="1070" w:type="pct"/>
          </w:tcPr>
          <w:p w14:paraId="504F5475"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COUNTRYCODE</w:t>
            </w:r>
          </w:p>
        </w:tc>
        <w:tc>
          <w:tcPr>
            <w:tcW w:w="809" w:type="pct"/>
          </w:tcPr>
          <w:p w14:paraId="0E67EC44" w14:textId="77777777" w:rsidR="00A052DC" w:rsidRDefault="009F0A60">
            <w:pPr>
              <w:rPr>
                <w:rFonts w:ascii="黑体" w:eastAsia="黑体" w:hAnsi="黑体"/>
                <w:sz w:val="20"/>
                <w:szCs w:val="20"/>
              </w:rPr>
            </w:pPr>
            <w:r>
              <w:rPr>
                <w:rFonts w:ascii="黑体" w:eastAsia="黑体" w:hAnsi="黑体" w:hint="eastAsia"/>
                <w:sz w:val="20"/>
                <w:szCs w:val="20"/>
              </w:rPr>
              <w:t>字符型，</w:t>
            </w:r>
            <w:r>
              <w:rPr>
                <w:rFonts w:ascii="黑体" w:eastAsia="黑体" w:hAnsi="黑体"/>
                <w:sz w:val="20"/>
                <w:szCs w:val="20"/>
              </w:rPr>
              <w:t>3</w:t>
            </w:r>
          </w:p>
        </w:tc>
        <w:tc>
          <w:tcPr>
            <w:tcW w:w="1611" w:type="pct"/>
          </w:tcPr>
          <w:p w14:paraId="43DFA56D" w14:textId="77777777" w:rsidR="00A052DC" w:rsidRDefault="00A052DC">
            <w:pPr>
              <w:rPr>
                <w:rFonts w:ascii="黑体" w:eastAsia="黑体" w:hAnsi="黑体" w:cs="宋体"/>
                <w:sz w:val="20"/>
                <w:szCs w:val="20"/>
              </w:rPr>
            </w:pPr>
          </w:p>
        </w:tc>
      </w:tr>
      <w:tr w:rsidR="00A052DC" w14:paraId="3255334F" w14:textId="77777777">
        <w:tc>
          <w:tcPr>
            <w:tcW w:w="1510" w:type="pct"/>
          </w:tcPr>
          <w:p w14:paraId="493E3B56" w14:textId="77777777" w:rsidR="00A052DC" w:rsidRDefault="009F0A60">
            <w:pPr>
              <w:rPr>
                <w:rFonts w:ascii="黑体" w:eastAsia="黑体" w:hAnsi="黑体"/>
                <w:sz w:val="20"/>
                <w:szCs w:val="20"/>
              </w:rPr>
            </w:pPr>
            <w:r>
              <w:rPr>
                <w:rFonts w:ascii="黑体" w:eastAsia="黑体" w:hAnsi="黑体" w:hint="eastAsia"/>
                <w:sz w:val="20"/>
                <w:szCs w:val="20"/>
              </w:rPr>
              <w:t>付款类型</w:t>
            </w:r>
          </w:p>
        </w:tc>
        <w:tc>
          <w:tcPr>
            <w:tcW w:w="1070" w:type="pct"/>
          </w:tcPr>
          <w:p w14:paraId="73773AC4"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PAYTYPE</w:t>
            </w:r>
          </w:p>
        </w:tc>
        <w:tc>
          <w:tcPr>
            <w:tcW w:w="809" w:type="pct"/>
          </w:tcPr>
          <w:p w14:paraId="401659F4" w14:textId="77777777" w:rsidR="00A052DC" w:rsidRDefault="009F0A60">
            <w:pPr>
              <w:rPr>
                <w:rFonts w:ascii="黑体" w:eastAsia="黑体" w:hAnsi="黑体"/>
                <w:sz w:val="20"/>
                <w:szCs w:val="20"/>
              </w:rPr>
            </w:pPr>
            <w:r>
              <w:rPr>
                <w:rFonts w:ascii="黑体" w:eastAsia="黑体" w:hAnsi="黑体" w:hint="eastAsia"/>
                <w:sz w:val="20"/>
                <w:szCs w:val="20"/>
              </w:rPr>
              <w:t>字符型，</w:t>
            </w:r>
            <w:r>
              <w:rPr>
                <w:rFonts w:ascii="黑体" w:eastAsia="黑体" w:hAnsi="黑体"/>
                <w:sz w:val="20"/>
                <w:szCs w:val="20"/>
              </w:rPr>
              <w:t>1</w:t>
            </w:r>
          </w:p>
        </w:tc>
        <w:tc>
          <w:tcPr>
            <w:tcW w:w="1611" w:type="pct"/>
          </w:tcPr>
          <w:p w14:paraId="3485BD15" w14:textId="77777777" w:rsidR="00A052DC" w:rsidRDefault="009F0A60">
            <w:pPr>
              <w:rPr>
                <w:rFonts w:ascii="黑体" w:eastAsia="黑体" w:hAnsi="黑体" w:cs="宋体"/>
                <w:sz w:val="20"/>
                <w:szCs w:val="20"/>
              </w:rPr>
            </w:pPr>
            <w:r>
              <w:rPr>
                <w:rFonts w:ascii="黑体" w:eastAsia="黑体" w:hAnsi="黑体" w:cs="宋体"/>
                <w:sz w:val="20"/>
                <w:szCs w:val="20"/>
              </w:rPr>
              <w:t>A</w:t>
            </w:r>
            <w:r w:rsidR="00AE4602">
              <w:rPr>
                <w:rFonts w:ascii="黑体" w:eastAsia="黑体" w:hAnsi="黑体" w:cs="宋体"/>
                <w:sz w:val="20"/>
                <w:szCs w:val="20"/>
              </w:rPr>
              <w:t>-</w:t>
            </w:r>
            <w:r>
              <w:rPr>
                <w:rFonts w:ascii="黑体" w:eastAsia="黑体" w:hAnsi="黑体" w:cs="宋体"/>
                <w:sz w:val="20"/>
                <w:szCs w:val="20"/>
              </w:rPr>
              <w:t>预付款</w:t>
            </w:r>
          </w:p>
          <w:p w14:paraId="09B3A77F" w14:textId="77777777" w:rsidR="00A052DC" w:rsidRDefault="009F0A60">
            <w:pPr>
              <w:rPr>
                <w:rFonts w:ascii="黑体" w:eastAsia="黑体" w:hAnsi="黑体" w:cs="宋体"/>
                <w:sz w:val="20"/>
                <w:szCs w:val="20"/>
              </w:rPr>
            </w:pPr>
            <w:r>
              <w:rPr>
                <w:rFonts w:ascii="黑体" w:eastAsia="黑体" w:hAnsi="黑体" w:cs="宋体"/>
                <w:sz w:val="20"/>
                <w:szCs w:val="20"/>
              </w:rPr>
              <w:t>P</w:t>
            </w:r>
            <w:r w:rsidR="00AE4602">
              <w:rPr>
                <w:rFonts w:ascii="黑体" w:eastAsia="黑体" w:hAnsi="黑体" w:cs="宋体"/>
                <w:sz w:val="20"/>
                <w:szCs w:val="20"/>
              </w:rPr>
              <w:t>-</w:t>
            </w:r>
            <w:r>
              <w:rPr>
                <w:rFonts w:ascii="黑体" w:eastAsia="黑体" w:hAnsi="黑体" w:cs="宋体"/>
                <w:sz w:val="20"/>
                <w:szCs w:val="20"/>
              </w:rPr>
              <w:t>货到付款</w:t>
            </w:r>
          </w:p>
          <w:p w14:paraId="4C2D76F2" w14:textId="77777777" w:rsidR="00A052DC" w:rsidRDefault="009F0A60">
            <w:pPr>
              <w:rPr>
                <w:rFonts w:ascii="黑体" w:eastAsia="黑体" w:hAnsi="黑体" w:cs="宋体"/>
                <w:sz w:val="20"/>
                <w:szCs w:val="20"/>
              </w:rPr>
            </w:pPr>
            <w:r>
              <w:rPr>
                <w:rFonts w:ascii="黑体" w:eastAsia="黑体" w:hAnsi="黑体" w:cs="宋体"/>
                <w:sz w:val="20"/>
                <w:szCs w:val="20"/>
              </w:rPr>
              <w:t>R</w:t>
            </w:r>
            <w:r w:rsidR="00AE4602">
              <w:rPr>
                <w:rFonts w:ascii="黑体" w:eastAsia="黑体" w:hAnsi="黑体" w:cs="宋体"/>
                <w:sz w:val="20"/>
                <w:szCs w:val="20"/>
              </w:rPr>
              <w:t>-</w:t>
            </w:r>
            <w:r>
              <w:rPr>
                <w:rFonts w:ascii="黑体" w:eastAsia="黑体" w:hAnsi="黑体" w:cs="宋体"/>
                <w:sz w:val="20"/>
                <w:szCs w:val="20"/>
              </w:rPr>
              <w:t>退款</w:t>
            </w:r>
          </w:p>
          <w:p w14:paraId="07390A85" w14:textId="77777777" w:rsidR="00A052DC" w:rsidRDefault="009F0A60">
            <w:pPr>
              <w:rPr>
                <w:rFonts w:ascii="黑体" w:eastAsia="黑体" w:hAnsi="黑体" w:cs="宋体"/>
                <w:sz w:val="20"/>
                <w:szCs w:val="20"/>
              </w:rPr>
            </w:pPr>
            <w:r>
              <w:rPr>
                <w:rFonts w:ascii="黑体" w:eastAsia="黑体" w:hAnsi="黑体" w:cs="宋体"/>
                <w:sz w:val="20"/>
                <w:szCs w:val="20"/>
              </w:rPr>
              <w:t>O-</w:t>
            </w:r>
            <w:r w:rsidR="0021563C">
              <w:rPr>
                <w:rFonts w:ascii="黑体" w:eastAsia="黑体" w:hAnsi="黑体" w:cs="宋体"/>
                <w:sz w:val="20"/>
                <w:szCs w:val="20"/>
              </w:rPr>
              <w:t>其他</w:t>
            </w:r>
          </w:p>
        </w:tc>
      </w:tr>
      <w:tr w:rsidR="00A052DC" w14:paraId="7B2D4C98" w14:textId="77777777">
        <w:tc>
          <w:tcPr>
            <w:tcW w:w="1510" w:type="pct"/>
          </w:tcPr>
          <w:p w14:paraId="099E30E0"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交易编码1</w:t>
            </w:r>
          </w:p>
        </w:tc>
        <w:tc>
          <w:tcPr>
            <w:tcW w:w="1070" w:type="pct"/>
          </w:tcPr>
          <w:p w14:paraId="14C5A651"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TXCODE1</w:t>
            </w:r>
          </w:p>
        </w:tc>
        <w:tc>
          <w:tcPr>
            <w:tcW w:w="809" w:type="pct"/>
          </w:tcPr>
          <w:p w14:paraId="7D8A39F4" w14:textId="77777777" w:rsidR="00A052DC" w:rsidRDefault="009F0A60">
            <w:pPr>
              <w:rPr>
                <w:rFonts w:ascii="黑体" w:eastAsia="黑体" w:hAnsi="黑体"/>
                <w:sz w:val="20"/>
                <w:szCs w:val="20"/>
              </w:rPr>
            </w:pPr>
            <w:r>
              <w:rPr>
                <w:rFonts w:ascii="黑体" w:eastAsia="黑体" w:hAnsi="黑体" w:hint="eastAsia"/>
                <w:sz w:val="20"/>
                <w:szCs w:val="20"/>
              </w:rPr>
              <w:t>字符型，</w:t>
            </w:r>
            <w:r>
              <w:rPr>
                <w:rFonts w:ascii="黑体" w:eastAsia="黑体" w:hAnsi="黑体"/>
                <w:sz w:val="20"/>
                <w:szCs w:val="20"/>
              </w:rPr>
              <w:t>6</w:t>
            </w:r>
          </w:p>
        </w:tc>
        <w:tc>
          <w:tcPr>
            <w:tcW w:w="1611" w:type="pct"/>
          </w:tcPr>
          <w:p w14:paraId="3ADE3F40" w14:textId="77777777" w:rsidR="00A052DC" w:rsidRDefault="00A052DC">
            <w:pPr>
              <w:rPr>
                <w:rFonts w:ascii="黑体" w:eastAsia="黑体" w:hAnsi="黑体" w:cs="宋体"/>
                <w:sz w:val="20"/>
                <w:szCs w:val="20"/>
              </w:rPr>
            </w:pPr>
          </w:p>
        </w:tc>
      </w:tr>
      <w:tr w:rsidR="00A052DC" w14:paraId="6D5C300E" w14:textId="77777777">
        <w:tc>
          <w:tcPr>
            <w:tcW w:w="1510" w:type="pct"/>
          </w:tcPr>
          <w:p w14:paraId="13E054F7"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相应金额1</w:t>
            </w:r>
          </w:p>
        </w:tc>
        <w:tc>
          <w:tcPr>
            <w:tcW w:w="1070" w:type="pct"/>
          </w:tcPr>
          <w:p w14:paraId="20283105"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TXAMT1</w:t>
            </w:r>
          </w:p>
        </w:tc>
        <w:tc>
          <w:tcPr>
            <w:tcW w:w="809" w:type="pct"/>
          </w:tcPr>
          <w:p w14:paraId="40ED4384" w14:textId="77777777" w:rsidR="00A052DC" w:rsidRDefault="009F0A60">
            <w:pPr>
              <w:rPr>
                <w:rFonts w:ascii="黑体" w:eastAsia="黑体" w:hAnsi="黑体"/>
                <w:sz w:val="20"/>
                <w:szCs w:val="20"/>
              </w:rPr>
            </w:pPr>
            <w:r>
              <w:rPr>
                <w:rFonts w:ascii="黑体" w:eastAsia="黑体" w:hAnsi="黑体" w:hint="eastAsia"/>
                <w:sz w:val="20"/>
                <w:szCs w:val="20"/>
              </w:rPr>
              <w:t>数值型，</w:t>
            </w:r>
            <w:r>
              <w:rPr>
                <w:rFonts w:ascii="黑体" w:eastAsia="黑体" w:hAnsi="黑体"/>
                <w:sz w:val="20"/>
                <w:szCs w:val="20"/>
              </w:rPr>
              <w:t>22.0</w:t>
            </w:r>
          </w:p>
        </w:tc>
        <w:tc>
          <w:tcPr>
            <w:tcW w:w="1611" w:type="pct"/>
          </w:tcPr>
          <w:p w14:paraId="6943E95B" w14:textId="77777777" w:rsidR="00A052DC" w:rsidRDefault="00A052DC">
            <w:pPr>
              <w:rPr>
                <w:rFonts w:ascii="黑体" w:eastAsia="黑体" w:hAnsi="黑体" w:cs="宋体"/>
                <w:sz w:val="20"/>
                <w:szCs w:val="20"/>
              </w:rPr>
            </w:pPr>
          </w:p>
        </w:tc>
      </w:tr>
      <w:tr w:rsidR="00A052DC" w14:paraId="2BB1B433" w14:textId="77777777">
        <w:tc>
          <w:tcPr>
            <w:tcW w:w="1510" w:type="pct"/>
          </w:tcPr>
          <w:p w14:paraId="04AC8DCA"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交易附言1</w:t>
            </w:r>
          </w:p>
        </w:tc>
        <w:tc>
          <w:tcPr>
            <w:tcW w:w="1070" w:type="pct"/>
          </w:tcPr>
          <w:p w14:paraId="6AC825DE"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TXREM1</w:t>
            </w:r>
          </w:p>
        </w:tc>
        <w:tc>
          <w:tcPr>
            <w:tcW w:w="809" w:type="pct"/>
          </w:tcPr>
          <w:p w14:paraId="1B61AB4A" w14:textId="77777777" w:rsidR="00A052DC" w:rsidRDefault="009F0A60">
            <w:pPr>
              <w:rPr>
                <w:rFonts w:ascii="黑体" w:eastAsia="黑体" w:hAnsi="黑体"/>
                <w:sz w:val="20"/>
                <w:szCs w:val="20"/>
              </w:rPr>
            </w:pPr>
            <w:r>
              <w:rPr>
                <w:rFonts w:ascii="黑体" w:eastAsia="黑体" w:hAnsi="黑体" w:hint="eastAsia"/>
                <w:sz w:val="20"/>
                <w:szCs w:val="20"/>
              </w:rPr>
              <w:t>字符型，256</w:t>
            </w:r>
          </w:p>
        </w:tc>
        <w:tc>
          <w:tcPr>
            <w:tcW w:w="1611" w:type="pct"/>
          </w:tcPr>
          <w:p w14:paraId="0CF4F041" w14:textId="77777777" w:rsidR="00A052DC" w:rsidRDefault="00A052DC">
            <w:pPr>
              <w:rPr>
                <w:rFonts w:ascii="黑体" w:eastAsia="黑体" w:hAnsi="黑体" w:cs="宋体"/>
                <w:sz w:val="20"/>
                <w:szCs w:val="20"/>
              </w:rPr>
            </w:pPr>
          </w:p>
        </w:tc>
      </w:tr>
      <w:tr w:rsidR="00A052DC" w14:paraId="3599A071" w14:textId="77777777">
        <w:tc>
          <w:tcPr>
            <w:tcW w:w="1510" w:type="pct"/>
          </w:tcPr>
          <w:p w14:paraId="5B5AC00C"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交易编码2</w:t>
            </w:r>
          </w:p>
        </w:tc>
        <w:tc>
          <w:tcPr>
            <w:tcW w:w="1070" w:type="pct"/>
          </w:tcPr>
          <w:p w14:paraId="43867D0D"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TXCODE2</w:t>
            </w:r>
          </w:p>
        </w:tc>
        <w:tc>
          <w:tcPr>
            <w:tcW w:w="809" w:type="pct"/>
          </w:tcPr>
          <w:p w14:paraId="19783CC2" w14:textId="77777777" w:rsidR="00A052DC" w:rsidRDefault="009F0A60">
            <w:pPr>
              <w:rPr>
                <w:rFonts w:ascii="黑体" w:eastAsia="黑体" w:hAnsi="黑体"/>
                <w:sz w:val="20"/>
                <w:szCs w:val="20"/>
              </w:rPr>
            </w:pPr>
            <w:r>
              <w:rPr>
                <w:rFonts w:ascii="黑体" w:eastAsia="黑体" w:hAnsi="黑体" w:hint="eastAsia"/>
                <w:sz w:val="20"/>
                <w:szCs w:val="20"/>
              </w:rPr>
              <w:t>字符型，</w:t>
            </w:r>
            <w:r>
              <w:rPr>
                <w:rFonts w:ascii="黑体" w:eastAsia="黑体" w:hAnsi="黑体"/>
                <w:sz w:val="20"/>
                <w:szCs w:val="20"/>
              </w:rPr>
              <w:t>6</w:t>
            </w:r>
          </w:p>
        </w:tc>
        <w:tc>
          <w:tcPr>
            <w:tcW w:w="1611" w:type="pct"/>
          </w:tcPr>
          <w:p w14:paraId="34BF9A92" w14:textId="77777777" w:rsidR="00A052DC" w:rsidRDefault="00A052DC">
            <w:pPr>
              <w:rPr>
                <w:rFonts w:ascii="黑体" w:eastAsia="黑体" w:hAnsi="黑体" w:cs="宋体"/>
                <w:sz w:val="20"/>
                <w:szCs w:val="20"/>
              </w:rPr>
            </w:pPr>
          </w:p>
        </w:tc>
      </w:tr>
      <w:tr w:rsidR="00A052DC" w14:paraId="0734DAD7" w14:textId="77777777">
        <w:tc>
          <w:tcPr>
            <w:tcW w:w="1510" w:type="pct"/>
          </w:tcPr>
          <w:p w14:paraId="61ACDAE0"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相应金额2</w:t>
            </w:r>
          </w:p>
        </w:tc>
        <w:tc>
          <w:tcPr>
            <w:tcW w:w="1070" w:type="pct"/>
          </w:tcPr>
          <w:p w14:paraId="3F55BCAF"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TXAMT2</w:t>
            </w:r>
          </w:p>
        </w:tc>
        <w:tc>
          <w:tcPr>
            <w:tcW w:w="809" w:type="pct"/>
          </w:tcPr>
          <w:p w14:paraId="57346256" w14:textId="77777777" w:rsidR="00A052DC" w:rsidRDefault="009F0A60">
            <w:pPr>
              <w:rPr>
                <w:rFonts w:ascii="黑体" w:eastAsia="黑体" w:hAnsi="黑体"/>
                <w:sz w:val="20"/>
                <w:szCs w:val="20"/>
              </w:rPr>
            </w:pPr>
            <w:r>
              <w:rPr>
                <w:rFonts w:ascii="黑体" w:eastAsia="黑体" w:hAnsi="黑体" w:hint="eastAsia"/>
                <w:sz w:val="20"/>
                <w:szCs w:val="20"/>
              </w:rPr>
              <w:t>数值型，</w:t>
            </w:r>
            <w:r>
              <w:rPr>
                <w:rFonts w:ascii="黑体" w:eastAsia="黑体" w:hAnsi="黑体"/>
                <w:sz w:val="20"/>
                <w:szCs w:val="20"/>
              </w:rPr>
              <w:t>22.0</w:t>
            </w:r>
          </w:p>
        </w:tc>
        <w:tc>
          <w:tcPr>
            <w:tcW w:w="1611" w:type="pct"/>
          </w:tcPr>
          <w:p w14:paraId="0FAD5224" w14:textId="77777777" w:rsidR="00A052DC" w:rsidRDefault="00A052DC">
            <w:pPr>
              <w:rPr>
                <w:rFonts w:ascii="黑体" w:eastAsia="黑体" w:hAnsi="黑体" w:cs="宋体"/>
                <w:sz w:val="20"/>
                <w:szCs w:val="20"/>
              </w:rPr>
            </w:pPr>
          </w:p>
        </w:tc>
      </w:tr>
      <w:tr w:rsidR="00A052DC" w14:paraId="4913EEF9" w14:textId="77777777">
        <w:tc>
          <w:tcPr>
            <w:tcW w:w="1510" w:type="pct"/>
          </w:tcPr>
          <w:p w14:paraId="11BC2095"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交易附言2</w:t>
            </w:r>
          </w:p>
        </w:tc>
        <w:tc>
          <w:tcPr>
            <w:tcW w:w="1070" w:type="pct"/>
          </w:tcPr>
          <w:p w14:paraId="793AA9A0"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TXREM2</w:t>
            </w:r>
          </w:p>
        </w:tc>
        <w:tc>
          <w:tcPr>
            <w:tcW w:w="809" w:type="pct"/>
          </w:tcPr>
          <w:p w14:paraId="5A8A537D" w14:textId="77777777" w:rsidR="00A052DC" w:rsidRDefault="009F0A60">
            <w:pPr>
              <w:rPr>
                <w:rFonts w:ascii="黑体" w:eastAsia="黑体" w:hAnsi="黑体"/>
                <w:sz w:val="20"/>
                <w:szCs w:val="20"/>
              </w:rPr>
            </w:pPr>
            <w:r>
              <w:rPr>
                <w:rFonts w:ascii="黑体" w:eastAsia="黑体" w:hAnsi="黑体" w:hint="eastAsia"/>
                <w:sz w:val="20"/>
                <w:szCs w:val="20"/>
              </w:rPr>
              <w:t>字符型，256</w:t>
            </w:r>
          </w:p>
        </w:tc>
        <w:tc>
          <w:tcPr>
            <w:tcW w:w="1611" w:type="pct"/>
          </w:tcPr>
          <w:p w14:paraId="07B1BFB3" w14:textId="77777777" w:rsidR="00A052DC" w:rsidRDefault="00A052DC">
            <w:pPr>
              <w:rPr>
                <w:rFonts w:ascii="黑体" w:eastAsia="黑体" w:hAnsi="黑体" w:cs="宋体"/>
                <w:sz w:val="20"/>
                <w:szCs w:val="20"/>
              </w:rPr>
            </w:pPr>
          </w:p>
        </w:tc>
      </w:tr>
      <w:tr w:rsidR="00A052DC" w14:paraId="316D711F" w14:textId="77777777">
        <w:tc>
          <w:tcPr>
            <w:tcW w:w="1510" w:type="pct"/>
          </w:tcPr>
          <w:p w14:paraId="1CC3A219" w14:textId="77777777" w:rsidR="00A052DC" w:rsidRDefault="009F0A60">
            <w:pPr>
              <w:rPr>
                <w:rFonts w:ascii="黑体" w:eastAsia="黑体" w:hAnsi="黑体"/>
                <w:sz w:val="20"/>
                <w:szCs w:val="20"/>
              </w:rPr>
            </w:pPr>
            <w:r>
              <w:rPr>
                <w:rFonts w:ascii="黑体" w:eastAsia="黑体" w:hAnsi="黑体" w:hint="eastAsia"/>
                <w:sz w:val="20"/>
                <w:szCs w:val="20"/>
              </w:rPr>
              <w:t>是否保税货物项下付款</w:t>
            </w:r>
          </w:p>
        </w:tc>
        <w:tc>
          <w:tcPr>
            <w:tcW w:w="1070" w:type="pct"/>
          </w:tcPr>
          <w:p w14:paraId="182E522E"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ISWRITEOFF</w:t>
            </w:r>
          </w:p>
        </w:tc>
        <w:tc>
          <w:tcPr>
            <w:tcW w:w="809" w:type="pct"/>
          </w:tcPr>
          <w:p w14:paraId="441371EC" w14:textId="77777777" w:rsidR="00A052DC" w:rsidRDefault="009F0A60">
            <w:pPr>
              <w:rPr>
                <w:rFonts w:ascii="黑体" w:eastAsia="黑体" w:hAnsi="黑体"/>
                <w:sz w:val="20"/>
                <w:szCs w:val="20"/>
              </w:rPr>
            </w:pPr>
            <w:r>
              <w:rPr>
                <w:rFonts w:ascii="黑体" w:eastAsia="黑体" w:hAnsi="黑体" w:hint="eastAsia"/>
                <w:sz w:val="20"/>
                <w:szCs w:val="20"/>
              </w:rPr>
              <w:t>字符型，</w:t>
            </w:r>
            <w:r>
              <w:rPr>
                <w:rFonts w:ascii="黑体" w:eastAsia="黑体" w:hAnsi="黑体"/>
                <w:sz w:val="20"/>
                <w:szCs w:val="20"/>
              </w:rPr>
              <w:t>1</w:t>
            </w:r>
          </w:p>
        </w:tc>
        <w:tc>
          <w:tcPr>
            <w:tcW w:w="1611" w:type="pct"/>
          </w:tcPr>
          <w:p w14:paraId="390641F4" w14:textId="77777777" w:rsidR="00A052DC" w:rsidRDefault="009F0A60">
            <w:pPr>
              <w:rPr>
                <w:rFonts w:ascii="黑体" w:eastAsia="黑体" w:hAnsi="黑体" w:cs="宋体"/>
                <w:sz w:val="20"/>
                <w:szCs w:val="20"/>
              </w:rPr>
            </w:pPr>
            <w:r>
              <w:rPr>
                <w:rFonts w:ascii="黑体" w:eastAsia="黑体" w:hAnsi="黑体" w:cs="宋体"/>
                <w:sz w:val="20"/>
                <w:szCs w:val="20"/>
              </w:rPr>
              <w:t>Y-</w:t>
            </w:r>
            <w:r>
              <w:rPr>
                <w:rFonts w:ascii="黑体" w:eastAsia="黑体" w:hAnsi="黑体" w:cs="宋体" w:hint="eastAsia"/>
                <w:sz w:val="20"/>
                <w:szCs w:val="20"/>
              </w:rPr>
              <w:t>是</w:t>
            </w:r>
          </w:p>
          <w:p w14:paraId="401CF19A" w14:textId="77777777" w:rsidR="00A052DC" w:rsidRDefault="009F0A60">
            <w:pPr>
              <w:rPr>
                <w:rFonts w:ascii="黑体" w:eastAsia="黑体" w:hAnsi="黑体" w:cs="宋体"/>
                <w:sz w:val="20"/>
                <w:szCs w:val="20"/>
              </w:rPr>
            </w:pPr>
            <w:r>
              <w:rPr>
                <w:rFonts w:ascii="黑体" w:eastAsia="黑体" w:hAnsi="黑体" w:cs="宋体"/>
                <w:sz w:val="20"/>
                <w:szCs w:val="20"/>
              </w:rPr>
              <w:t>N-</w:t>
            </w:r>
            <w:r>
              <w:rPr>
                <w:rFonts w:ascii="黑体" w:eastAsia="黑体" w:hAnsi="黑体" w:cs="宋体" w:hint="eastAsia"/>
                <w:sz w:val="20"/>
                <w:szCs w:val="20"/>
              </w:rPr>
              <w:t>否</w:t>
            </w:r>
          </w:p>
        </w:tc>
      </w:tr>
      <w:tr w:rsidR="00A052DC" w14:paraId="07FB6608" w14:textId="77777777">
        <w:tc>
          <w:tcPr>
            <w:tcW w:w="1510" w:type="pct"/>
          </w:tcPr>
          <w:p w14:paraId="4E997360" w14:textId="77777777" w:rsidR="00A052DC" w:rsidRDefault="009F0A60">
            <w:pPr>
              <w:rPr>
                <w:rFonts w:ascii="黑体" w:eastAsia="黑体" w:hAnsi="黑体"/>
                <w:sz w:val="20"/>
                <w:szCs w:val="20"/>
              </w:rPr>
            </w:pPr>
            <w:r>
              <w:rPr>
                <w:rFonts w:ascii="黑体" w:eastAsia="黑体" w:hAnsi="黑体" w:hint="eastAsia"/>
                <w:sz w:val="20"/>
                <w:szCs w:val="20"/>
              </w:rPr>
              <w:t>申请人</w:t>
            </w:r>
          </w:p>
        </w:tc>
        <w:tc>
          <w:tcPr>
            <w:tcW w:w="1070" w:type="pct"/>
          </w:tcPr>
          <w:p w14:paraId="6FEBFDCB"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RPTUSER</w:t>
            </w:r>
          </w:p>
        </w:tc>
        <w:tc>
          <w:tcPr>
            <w:tcW w:w="809" w:type="pct"/>
          </w:tcPr>
          <w:p w14:paraId="4B743F5E" w14:textId="77777777" w:rsidR="00A052DC" w:rsidRDefault="009F0A60">
            <w:pPr>
              <w:rPr>
                <w:rFonts w:ascii="黑体" w:eastAsia="黑体" w:hAnsi="黑体"/>
                <w:sz w:val="20"/>
                <w:szCs w:val="20"/>
              </w:rPr>
            </w:pPr>
            <w:r>
              <w:rPr>
                <w:rFonts w:ascii="黑体" w:eastAsia="黑体" w:hAnsi="黑体" w:hint="eastAsia"/>
                <w:sz w:val="20"/>
                <w:szCs w:val="20"/>
              </w:rPr>
              <w:t>字符型，</w:t>
            </w:r>
            <w:r>
              <w:rPr>
                <w:rFonts w:ascii="黑体" w:eastAsia="黑体" w:hAnsi="黑体"/>
                <w:sz w:val="20"/>
                <w:szCs w:val="20"/>
              </w:rPr>
              <w:t>20</w:t>
            </w:r>
          </w:p>
        </w:tc>
        <w:tc>
          <w:tcPr>
            <w:tcW w:w="1611" w:type="pct"/>
          </w:tcPr>
          <w:p w14:paraId="45AFE545" w14:textId="77777777" w:rsidR="00A052DC" w:rsidRDefault="00A052DC">
            <w:pPr>
              <w:rPr>
                <w:rFonts w:ascii="黑体" w:eastAsia="黑体" w:hAnsi="黑体" w:cs="宋体"/>
                <w:sz w:val="20"/>
                <w:szCs w:val="20"/>
              </w:rPr>
            </w:pPr>
          </w:p>
        </w:tc>
      </w:tr>
      <w:tr w:rsidR="00A052DC" w14:paraId="5EA73882" w14:textId="77777777">
        <w:tc>
          <w:tcPr>
            <w:tcW w:w="1510" w:type="pct"/>
          </w:tcPr>
          <w:p w14:paraId="5285EBD7" w14:textId="77777777" w:rsidR="00A052DC" w:rsidRDefault="009F0A60">
            <w:pPr>
              <w:rPr>
                <w:rFonts w:ascii="黑体" w:eastAsia="黑体" w:hAnsi="黑体"/>
                <w:sz w:val="20"/>
                <w:szCs w:val="20"/>
              </w:rPr>
            </w:pPr>
            <w:r>
              <w:rPr>
                <w:rFonts w:ascii="黑体" w:eastAsia="黑体" w:hAnsi="黑体" w:hint="eastAsia"/>
                <w:sz w:val="20"/>
                <w:szCs w:val="20"/>
              </w:rPr>
              <w:t>申请人电话</w:t>
            </w:r>
          </w:p>
        </w:tc>
        <w:tc>
          <w:tcPr>
            <w:tcW w:w="1070" w:type="pct"/>
          </w:tcPr>
          <w:p w14:paraId="76B57403"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RPTTEL</w:t>
            </w:r>
          </w:p>
        </w:tc>
        <w:tc>
          <w:tcPr>
            <w:tcW w:w="809" w:type="pct"/>
          </w:tcPr>
          <w:p w14:paraId="2A30A049" w14:textId="77777777" w:rsidR="00A052DC" w:rsidRDefault="009F0A60">
            <w:pPr>
              <w:rPr>
                <w:rFonts w:ascii="黑体" w:eastAsia="黑体" w:hAnsi="黑体"/>
                <w:sz w:val="20"/>
                <w:szCs w:val="20"/>
              </w:rPr>
            </w:pPr>
            <w:r>
              <w:rPr>
                <w:rFonts w:ascii="黑体" w:eastAsia="黑体" w:hAnsi="黑体" w:hint="eastAsia"/>
                <w:sz w:val="20"/>
                <w:szCs w:val="20"/>
              </w:rPr>
              <w:t>字符型，</w:t>
            </w:r>
            <w:r>
              <w:rPr>
                <w:rFonts w:ascii="黑体" w:eastAsia="黑体" w:hAnsi="黑体"/>
                <w:sz w:val="20"/>
                <w:szCs w:val="20"/>
              </w:rPr>
              <w:t>20</w:t>
            </w:r>
          </w:p>
        </w:tc>
        <w:tc>
          <w:tcPr>
            <w:tcW w:w="1611" w:type="pct"/>
          </w:tcPr>
          <w:p w14:paraId="2681DA7A" w14:textId="77777777" w:rsidR="00A052DC" w:rsidRDefault="00A052DC">
            <w:pPr>
              <w:rPr>
                <w:rFonts w:ascii="黑体" w:eastAsia="黑体" w:hAnsi="黑体" w:cs="宋体"/>
                <w:sz w:val="20"/>
                <w:szCs w:val="20"/>
              </w:rPr>
            </w:pPr>
          </w:p>
        </w:tc>
      </w:tr>
      <w:tr w:rsidR="00A052DC" w14:paraId="218A8AA3" w14:textId="77777777">
        <w:tc>
          <w:tcPr>
            <w:tcW w:w="1510" w:type="pct"/>
          </w:tcPr>
          <w:p w14:paraId="502FCA49" w14:textId="77777777" w:rsidR="00A052DC" w:rsidRDefault="009F0A60">
            <w:pPr>
              <w:rPr>
                <w:rFonts w:ascii="黑体" w:eastAsia="黑体" w:hAnsi="黑体"/>
                <w:sz w:val="20"/>
                <w:szCs w:val="20"/>
              </w:rPr>
            </w:pPr>
            <w:r>
              <w:rPr>
                <w:rFonts w:ascii="黑体" w:eastAsia="黑体" w:hAnsi="黑体" w:hint="eastAsia"/>
                <w:sz w:val="20"/>
                <w:szCs w:val="20"/>
              </w:rPr>
              <w:t>申报日期</w:t>
            </w:r>
          </w:p>
        </w:tc>
        <w:tc>
          <w:tcPr>
            <w:tcW w:w="1070" w:type="pct"/>
          </w:tcPr>
          <w:p w14:paraId="54704469"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RPTDATE</w:t>
            </w:r>
          </w:p>
        </w:tc>
        <w:tc>
          <w:tcPr>
            <w:tcW w:w="809" w:type="pct"/>
          </w:tcPr>
          <w:p w14:paraId="71FD4D94" w14:textId="77777777" w:rsidR="00A052DC" w:rsidRDefault="009F0A60">
            <w:pPr>
              <w:rPr>
                <w:rFonts w:ascii="黑体" w:eastAsia="黑体" w:hAnsi="黑体"/>
                <w:sz w:val="20"/>
                <w:szCs w:val="20"/>
              </w:rPr>
            </w:pPr>
            <w:r>
              <w:rPr>
                <w:rFonts w:ascii="黑体" w:eastAsia="黑体" w:hAnsi="黑体" w:hint="eastAsia"/>
                <w:sz w:val="20"/>
                <w:szCs w:val="20"/>
              </w:rPr>
              <w:t>日期型，</w:t>
            </w:r>
            <w:r>
              <w:rPr>
                <w:rFonts w:ascii="黑体" w:eastAsia="黑体" w:hAnsi="黑体"/>
                <w:sz w:val="20"/>
                <w:szCs w:val="20"/>
              </w:rPr>
              <w:t>8</w:t>
            </w:r>
          </w:p>
        </w:tc>
        <w:tc>
          <w:tcPr>
            <w:tcW w:w="1611" w:type="pct"/>
          </w:tcPr>
          <w:p w14:paraId="1D961403" w14:textId="77777777" w:rsidR="00A052DC" w:rsidRDefault="009F0A60">
            <w:pPr>
              <w:rPr>
                <w:rFonts w:ascii="黑体" w:eastAsia="黑体" w:hAnsi="黑体" w:cs="宋体"/>
                <w:sz w:val="20"/>
                <w:szCs w:val="20"/>
              </w:rPr>
            </w:pPr>
            <w:r>
              <w:rPr>
                <w:rFonts w:ascii="黑体" w:eastAsia="黑体" w:hAnsi="黑体" w:cs="宋体"/>
                <w:sz w:val="20"/>
                <w:szCs w:val="20"/>
              </w:rPr>
              <w:t>YYYYMMDD</w:t>
            </w:r>
          </w:p>
        </w:tc>
      </w:tr>
      <w:tr w:rsidR="00A052DC" w14:paraId="5B48F533" w14:textId="77777777">
        <w:tc>
          <w:tcPr>
            <w:tcW w:w="1510" w:type="pct"/>
          </w:tcPr>
          <w:p w14:paraId="5AF556FF" w14:textId="77777777" w:rsidR="00A052DC" w:rsidRDefault="009F0A60">
            <w:pPr>
              <w:rPr>
                <w:rFonts w:ascii="黑体" w:eastAsia="黑体" w:hAnsi="黑体"/>
                <w:sz w:val="20"/>
                <w:szCs w:val="20"/>
              </w:rPr>
            </w:pPr>
            <w:r>
              <w:rPr>
                <w:rFonts w:ascii="黑体" w:eastAsia="黑体" w:hAnsi="黑体" w:hint="eastAsia"/>
                <w:sz w:val="20"/>
                <w:szCs w:val="20"/>
              </w:rPr>
              <w:t>最迟装运日期</w:t>
            </w:r>
          </w:p>
        </w:tc>
        <w:tc>
          <w:tcPr>
            <w:tcW w:w="1070" w:type="pct"/>
          </w:tcPr>
          <w:p w14:paraId="11174EEE"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IMPDATE</w:t>
            </w:r>
          </w:p>
        </w:tc>
        <w:tc>
          <w:tcPr>
            <w:tcW w:w="809" w:type="pct"/>
          </w:tcPr>
          <w:p w14:paraId="463BAF37" w14:textId="77777777" w:rsidR="00A052DC" w:rsidRDefault="009F0A60">
            <w:pPr>
              <w:rPr>
                <w:rFonts w:ascii="黑体" w:eastAsia="黑体" w:hAnsi="黑体"/>
                <w:sz w:val="20"/>
                <w:szCs w:val="20"/>
              </w:rPr>
            </w:pPr>
            <w:r>
              <w:rPr>
                <w:rFonts w:ascii="黑体" w:eastAsia="黑体" w:hAnsi="黑体" w:hint="eastAsia"/>
                <w:sz w:val="20"/>
                <w:szCs w:val="20"/>
              </w:rPr>
              <w:t>日期型，</w:t>
            </w:r>
            <w:r>
              <w:rPr>
                <w:rFonts w:ascii="黑体" w:eastAsia="黑体" w:hAnsi="黑体"/>
                <w:sz w:val="20"/>
                <w:szCs w:val="20"/>
              </w:rPr>
              <w:t>8</w:t>
            </w:r>
          </w:p>
        </w:tc>
        <w:tc>
          <w:tcPr>
            <w:tcW w:w="1611" w:type="pct"/>
          </w:tcPr>
          <w:p w14:paraId="7ABDB801" w14:textId="77777777" w:rsidR="00A052DC" w:rsidRDefault="009F0A60">
            <w:pPr>
              <w:rPr>
                <w:rFonts w:ascii="黑体" w:eastAsia="黑体" w:hAnsi="黑体" w:cs="宋体"/>
                <w:sz w:val="20"/>
                <w:szCs w:val="20"/>
              </w:rPr>
            </w:pPr>
            <w:r>
              <w:rPr>
                <w:rFonts w:ascii="黑体" w:eastAsia="黑体" w:hAnsi="黑体" w:cs="宋体"/>
                <w:sz w:val="20"/>
                <w:szCs w:val="20"/>
              </w:rPr>
              <w:t>YYYYMMDD</w:t>
            </w:r>
          </w:p>
        </w:tc>
      </w:tr>
      <w:tr w:rsidR="00A052DC" w14:paraId="05C320AF" w14:textId="77777777">
        <w:tc>
          <w:tcPr>
            <w:tcW w:w="1510" w:type="pct"/>
          </w:tcPr>
          <w:p w14:paraId="18F382AA" w14:textId="77777777" w:rsidR="00A052DC" w:rsidRDefault="009F0A60">
            <w:pPr>
              <w:rPr>
                <w:rFonts w:ascii="黑体" w:eastAsia="黑体" w:hAnsi="黑体"/>
                <w:sz w:val="20"/>
                <w:szCs w:val="20"/>
              </w:rPr>
            </w:pPr>
            <w:r>
              <w:rPr>
                <w:rFonts w:ascii="黑体" w:eastAsia="黑体" w:hAnsi="黑体" w:hint="eastAsia"/>
                <w:sz w:val="20"/>
                <w:szCs w:val="20"/>
              </w:rPr>
              <w:t>合同号</w:t>
            </w:r>
          </w:p>
        </w:tc>
        <w:tc>
          <w:tcPr>
            <w:tcW w:w="1070" w:type="pct"/>
          </w:tcPr>
          <w:p w14:paraId="50E88521"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CONTRACTNO</w:t>
            </w:r>
          </w:p>
        </w:tc>
        <w:tc>
          <w:tcPr>
            <w:tcW w:w="809" w:type="pct"/>
          </w:tcPr>
          <w:p w14:paraId="034826DF"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1611" w:type="pct"/>
          </w:tcPr>
          <w:p w14:paraId="0207F15D" w14:textId="77777777" w:rsidR="00A052DC" w:rsidRDefault="00A052DC">
            <w:pPr>
              <w:rPr>
                <w:rFonts w:ascii="黑体" w:eastAsia="黑体" w:hAnsi="黑体" w:cs="宋体"/>
                <w:sz w:val="20"/>
                <w:szCs w:val="20"/>
              </w:rPr>
            </w:pPr>
          </w:p>
        </w:tc>
      </w:tr>
      <w:tr w:rsidR="00A052DC" w14:paraId="515119E5" w14:textId="77777777">
        <w:tc>
          <w:tcPr>
            <w:tcW w:w="1510" w:type="pct"/>
          </w:tcPr>
          <w:p w14:paraId="29C97DE9" w14:textId="77777777" w:rsidR="00A052DC" w:rsidRDefault="009F0A60">
            <w:pPr>
              <w:rPr>
                <w:rFonts w:ascii="黑体" w:eastAsia="黑体" w:hAnsi="黑体"/>
                <w:sz w:val="20"/>
                <w:szCs w:val="20"/>
              </w:rPr>
            </w:pPr>
            <w:r>
              <w:rPr>
                <w:rFonts w:ascii="黑体" w:eastAsia="黑体" w:hAnsi="黑体" w:hint="eastAsia"/>
                <w:sz w:val="20"/>
                <w:szCs w:val="20"/>
              </w:rPr>
              <w:t>发票号</w:t>
            </w:r>
          </w:p>
        </w:tc>
        <w:tc>
          <w:tcPr>
            <w:tcW w:w="1070" w:type="pct"/>
          </w:tcPr>
          <w:p w14:paraId="31F02987"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INVOICENO</w:t>
            </w:r>
          </w:p>
        </w:tc>
        <w:tc>
          <w:tcPr>
            <w:tcW w:w="809" w:type="pct"/>
          </w:tcPr>
          <w:p w14:paraId="6575F08D"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1611" w:type="pct"/>
          </w:tcPr>
          <w:p w14:paraId="789A44DF" w14:textId="77777777" w:rsidR="00A052DC" w:rsidRDefault="00A052DC">
            <w:pPr>
              <w:rPr>
                <w:rFonts w:ascii="黑体" w:eastAsia="黑体" w:hAnsi="黑体" w:cs="宋体"/>
                <w:sz w:val="20"/>
                <w:szCs w:val="20"/>
              </w:rPr>
            </w:pPr>
          </w:p>
        </w:tc>
      </w:tr>
      <w:tr w:rsidR="00A052DC" w14:paraId="5267B091" w14:textId="77777777">
        <w:tc>
          <w:tcPr>
            <w:tcW w:w="1510" w:type="pct"/>
          </w:tcPr>
          <w:p w14:paraId="2F5B3BD6" w14:textId="77777777" w:rsidR="00A052DC" w:rsidRDefault="009F0A60">
            <w:pPr>
              <w:rPr>
                <w:rFonts w:ascii="黑体" w:eastAsia="黑体" w:hAnsi="黑体"/>
                <w:sz w:val="20"/>
                <w:szCs w:val="20"/>
              </w:rPr>
            </w:pPr>
            <w:r>
              <w:rPr>
                <w:rFonts w:ascii="黑体" w:eastAsia="黑体" w:hAnsi="黑体" w:hint="eastAsia"/>
                <w:sz w:val="20"/>
                <w:szCs w:val="20"/>
              </w:rPr>
              <w:t>外汇局批件号</w:t>
            </w:r>
            <w:r>
              <w:rPr>
                <w:rFonts w:ascii="黑体" w:eastAsia="黑体" w:hAnsi="黑体"/>
                <w:sz w:val="20"/>
                <w:szCs w:val="20"/>
              </w:rPr>
              <w:t>/备案表号/业务编号</w:t>
            </w:r>
          </w:p>
        </w:tc>
        <w:tc>
          <w:tcPr>
            <w:tcW w:w="1070" w:type="pct"/>
          </w:tcPr>
          <w:p w14:paraId="5A134BD2"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REGISTNO</w:t>
            </w:r>
          </w:p>
        </w:tc>
        <w:tc>
          <w:tcPr>
            <w:tcW w:w="809" w:type="pct"/>
          </w:tcPr>
          <w:p w14:paraId="31509147" w14:textId="77777777" w:rsidR="00A052DC" w:rsidRDefault="009F0A60">
            <w:pPr>
              <w:rPr>
                <w:rFonts w:ascii="黑体" w:eastAsia="黑体" w:hAnsi="黑体"/>
                <w:sz w:val="20"/>
                <w:szCs w:val="20"/>
              </w:rPr>
            </w:pPr>
            <w:r>
              <w:rPr>
                <w:rFonts w:ascii="黑体" w:eastAsia="黑体" w:hAnsi="黑体" w:hint="eastAsia"/>
                <w:sz w:val="20"/>
                <w:szCs w:val="20"/>
              </w:rPr>
              <w:t>字符型，</w:t>
            </w:r>
            <w:r>
              <w:rPr>
                <w:rFonts w:ascii="黑体" w:eastAsia="黑体" w:hAnsi="黑体"/>
                <w:sz w:val="20"/>
                <w:szCs w:val="20"/>
              </w:rPr>
              <w:t>20</w:t>
            </w:r>
          </w:p>
        </w:tc>
        <w:tc>
          <w:tcPr>
            <w:tcW w:w="1611" w:type="pct"/>
          </w:tcPr>
          <w:p w14:paraId="7AE23066" w14:textId="77777777" w:rsidR="00A052DC" w:rsidRDefault="00A052DC">
            <w:pPr>
              <w:rPr>
                <w:rFonts w:ascii="黑体" w:eastAsia="黑体" w:hAnsi="黑体" w:cs="宋体"/>
                <w:sz w:val="20"/>
                <w:szCs w:val="20"/>
              </w:rPr>
            </w:pPr>
          </w:p>
        </w:tc>
      </w:tr>
      <w:tr w:rsidR="00A052DC" w14:paraId="1522491D" w14:textId="77777777">
        <w:tc>
          <w:tcPr>
            <w:tcW w:w="1510" w:type="pct"/>
          </w:tcPr>
          <w:p w14:paraId="6EED79B9" w14:textId="77777777" w:rsidR="00A052DC" w:rsidRDefault="009F0A60">
            <w:pPr>
              <w:rPr>
                <w:rFonts w:ascii="黑体" w:eastAsia="黑体" w:hAnsi="黑体"/>
                <w:sz w:val="20"/>
                <w:szCs w:val="20"/>
              </w:rPr>
            </w:pPr>
            <w:r>
              <w:rPr>
                <w:rFonts w:ascii="黑体" w:eastAsia="黑体" w:hAnsi="黑体" w:hint="eastAsia"/>
                <w:sz w:val="20"/>
                <w:szCs w:val="20"/>
              </w:rPr>
              <w:t>报关单经营单位代码</w:t>
            </w:r>
          </w:p>
        </w:tc>
        <w:tc>
          <w:tcPr>
            <w:tcW w:w="1070" w:type="pct"/>
          </w:tcPr>
          <w:p w14:paraId="2763A040"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CUSTOMCODE</w:t>
            </w:r>
          </w:p>
        </w:tc>
        <w:tc>
          <w:tcPr>
            <w:tcW w:w="809" w:type="pct"/>
          </w:tcPr>
          <w:p w14:paraId="34077C69" w14:textId="77777777" w:rsidR="00A052DC" w:rsidRDefault="009F0A60">
            <w:pPr>
              <w:rPr>
                <w:rFonts w:ascii="黑体" w:eastAsia="黑体" w:hAnsi="黑体"/>
                <w:sz w:val="20"/>
                <w:szCs w:val="20"/>
              </w:rPr>
            </w:pPr>
            <w:r>
              <w:rPr>
                <w:rFonts w:ascii="黑体" w:eastAsia="黑体" w:hAnsi="黑体" w:hint="eastAsia"/>
                <w:sz w:val="20"/>
                <w:szCs w:val="20"/>
              </w:rPr>
              <w:t>字符型，</w:t>
            </w:r>
            <w:r>
              <w:rPr>
                <w:rFonts w:ascii="黑体" w:eastAsia="黑体" w:hAnsi="黑体"/>
                <w:sz w:val="20"/>
                <w:szCs w:val="20"/>
              </w:rPr>
              <w:t>12</w:t>
            </w:r>
          </w:p>
        </w:tc>
        <w:tc>
          <w:tcPr>
            <w:tcW w:w="1611" w:type="pct"/>
          </w:tcPr>
          <w:p w14:paraId="1E3C94B9" w14:textId="77777777" w:rsidR="00A052DC" w:rsidRDefault="00A052DC">
            <w:pPr>
              <w:rPr>
                <w:rFonts w:ascii="黑体" w:eastAsia="黑体" w:hAnsi="黑体" w:cs="宋体"/>
                <w:sz w:val="20"/>
                <w:szCs w:val="20"/>
              </w:rPr>
            </w:pPr>
          </w:p>
        </w:tc>
      </w:tr>
      <w:tr w:rsidR="00A052DC" w14:paraId="41EEBE97" w14:textId="77777777">
        <w:tc>
          <w:tcPr>
            <w:tcW w:w="1510" w:type="pct"/>
          </w:tcPr>
          <w:p w14:paraId="5F5B9116" w14:textId="77777777" w:rsidR="00A052DC" w:rsidRDefault="009F0A60">
            <w:pPr>
              <w:rPr>
                <w:rFonts w:ascii="黑体" w:eastAsia="黑体" w:hAnsi="黑体"/>
                <w:sz w:val="20"/>
                <w:szCs w:val="20"/>
              </w:rPr>
            </w:pPr>
            <w:r>
              <w:rPr>
                <w:rFonts w:ascii="黑体" w:eastAsia="黑体" w:hAnsi="黑体" w:hint="eastAsia"/>
                <w:sz w:val="20"/>
                <w:szCs w:val="20"/>
              </w:rPr>
              <w:t>填报人</w:t>
            </w:r>
          </w:p>
        </w:tc>
        <w:tc>
          <w:tcPr>
            <w:tcW w:w="1070" w:type="pct"/>
          </w:tcPr>
          <w:p w14:paraId="56D9D1A2"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WRITEOFFUSER</w:t>
            </w:r>
          </w:p>
        </w:tc>
        <w:tc>
          <w:tcPr>
            <w:tcW w:w="809" w:type="pct"/>
          </w:tcPr>
          <w:p w14:paraId="7D4C091E" w14:textId="77777777" w:rsidR="00A052DC" w:rsidRDefault="009F0A60">
            <w:pPr>
              <w:rPr>
                <w:rFonts w:ascii="黑体" w:eastAsia="黑体" w:hAnsi="黑体"/>
                <w:sz w:val="20"/>
                <w:szCs w:val="20"/>
              </w:rPr>
            </w:pPr>
            <w:r>
              <w:rPr>
                <w:rFonts w:ascii="黑体" w:eastAsia="黑体" w:hAnsi="黑体" w:hint="eastAsia"/>
                <w:sz w:val="20"/>
                <w:szCs w:val="20"/>
              </w:rPr>
              <w:t>字符型，</w:t>
            </w:r>
            <w:r>
              <w:rPr>
                <w:rFonts w:ascii="黑体" w:eastAsia="黑体" w:hAnsi="黑体"/>
                <w:sz w:val="20"/>
                <w:szCs w:val="20"/>
              </w:rPr>
              <w:t>20</w:t>
            </w:r>
          </w:p>
        </w:tc>
        <w:tc>
          <w:tcPr>
            <w:tcW w:w="1611" w:type="pct"/>
          </w:tcPr>
          <w:p w14:paraId="6906B8DC" w14:textId="77777777" w:rsidR="00A052DC" w:rsidRDefault="00A052DC">
            <w:pPr>
              <w:rPr>
                <w:rFonts w:ascii="黑体" w:eastAsia="黑体" w:hAnsi="黑体" w:cs="宋体"/>
                <w:sz w:val="20"/>
                <w:szCs w:val="20"/>
              </w:rPr>
            </w:pPr>
          </w:p>
        </w:tc>
      </w:tr>
      <w:tr w:rsidR="00A052DC" w14:paraId="1ED7646A" w14:textId="77777777">
        <w:tc>
          <w:tcPr>
            <w:tcW w:w="1510" w:type="pct"/>
          </w:tcPr>
          <w:p w14:paraId="7F128B8E" w14:textId="77777777" w:rsidR="00A052DC" w:rsidRDefault="009F0A60">
            <w:pPr>
              <w:rPr>
                <w:rFonts w:ascii="黑体" w:eastAsia="黑体" w:hAnsi="黑体"/>
                <w:sz w:val="20"/>
                <w:szCs w:val="20"/>
              </w:rPr>
            </w:pPr>
            <w:r>
              <w:rPr>
                <w:rFonts w:ascii="黑体" w:eastAsia="黑体" w:hAnsi="黑体" w:hint="eastAsia"/>
                <w:sz w:val="20"/>
                <w:szCs w:val="20"/>
              </w:rPr>
              <w:t>填报人电话</w:t>
            </w:r>
          </w:p>
        </w:tc>
        <w:tc>
          <w:tcPr>
            <w:tcW w:w="1070" w:type="pct"/>
          </w:tcPr>
          <w:p w14:paraId="0580CB96"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WRITEOFFTEL</w:t>
            </w:r>
          </w:p>
        </w:tc>
        <w:tc>
          <w:tcPr>
            <w:tcW w:w="809" w:type="pct"/>
          </w:tcPr>
          <w:p w14:paraId="390EFCDA" w14:textId="77777777" w:rsidR="00A052DC" w:rsidRDefault="009F0A60">
            <w:pPr>
              <w:rPr>
                <w:rFonts w:ascii="黑体" w:eastAsia="黑体" w:hAnsi="黑体"/>
                <w:sz w:val="20"/>
                <w:szCs w:val="20"/>
              </w:rPr>
            </w:pPr>
            <w:r>
              <w:rPr>
                <w:rFonts w:ascii="黑体" w:eastAsia="黑体" w:hAnsi="黑体" w:hint="eastAsia"/>
                <w:sz w:val="20"/>
                <w:szCs w:val="20"/>
              </w:rPr>
              <w:t>字符型，</w:t>
            </w:r>
            <w:r>
              <w:rPr>
                <w:rFonts w:ascii="黑体" w:eastAsia="黑体" w:hAnsi="黑体"/>
                <w:sz w:val="20"/>
                <w:szCs w:val="20"/>
              </w:rPr>
              <w:t>20</w:t>
            </w:r>
          </w:p>
        </w:tc>
        <w:tc>
          <w:tcPr>
            <w:tcW w:w="1611" w:type="pct"/>
          </w:tcPr>
          <w:p w14:paraId="0F071C5A" w14:textId="77777777" w:rsidR="00A052DC" w:rsidRDefault="00A052DC">
            <w:pPr>
              <w:rPr>
                <w:rFonts w:ascii="黑体" w:eastAsia="黑体" w:hAnsi="黑体" w:cs="宋体"/>
                <w:sz w:val="20"/>
                <w:szCs w:val="20"/>
              </w:rPr>
            </w:pPr>
          </w:p>
        </w:tc>
      </w:tr>
      <w:tr w:rsidR="00A052DC" w14:paraId="00455974" w14:textId="77777777">
        <w:tc>
          <w:tcPr>
            <w:tcW w:w="1510" w:type="pct"/>
          </w:tcPr>
          <w:p w14:paraId="4834076E" w14:textId="77777777" w:rsidR="00A052DC" w:rsidRDefault="009F0A60">
            <w:pPr>
              <w:rPr>
                <w:rFonts w:ascii="黑体" w:eastAsia="黑体" w:hAnsi="黑体"/>
                <w:sz w:val="20"/>
                <w:szCs w:val="20"/>
              </w:rPr>
            </w:pPr>
            <w:r>
              <w:rPr>
                <w:rFonts w:ascii="黑体" w:eastAsia="黑体" w:hAnsi="黑体" w:hint="eastAsia"/>
                <w:sz w:val="20"/>
                <w:szCs w:val="20"/>
              </w:rPr>
              <w:t>申报日期</w:t>
            </w:r>
          </w:p>
        </w:tc>
        <w:tc>
          <w:tcPr>
            <w:tcW w:w="1070" w:type="pct"/>
          </w:tcPr>
          <w:p w14:paraId="0F0DE766"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WRITEOFFDATE</w:t>
            </w:r>
          </w:p>
        </w:tc>
        <w:tc>
          <w:tcPr>
            <w:tcW w:w="809" w:type="pct"/>
          </w:tcPr>
          <w:p w14:paraId="2372DEC4" w14:textId="77777777" w:rsidR="00A052DC" w:rsidRDefault="009F0A60">
            <w:pPr>
              <w:rPr>
                <w:rFonts w:ascii="黑体" w:eastAsia="黑体" w:hAnsi="黑体"/>
                <w:sz w:val="20"/>
                <w:szCs w:val="20"/>
              </w:rPr>
            </w:pPr>
            <w:r>
              <w:rPr>
                <w:rFonts w:ascii="黑体" w:eastAsia="黑体" w:hAnsi="黑体" w:hint="eastAsia"/>
                <w:sz w:val="20"/>
                <w:szCs w:val="20"/>
              </w:rPr>
              <w:t>日期型，</w:t>
            </w:r>
            <w:r>
              <w:rPr>
                <w:rFonts w:ascii="黑体" w:eastAsia="黑体" w:hAnsi="黑体"/>
                <w:sz w:val="20"/>
                <w:szCs w:val="20"/>
              </w:rPr>
              <w:t>8</w:t>
            </w:r>
          </w:p>
        </w:tc>
        <w:tc>
          <w:tcPr>
            <w:tcW w:w="1611" w:type="pct"/>
          </w:tcPr>
          <w:p w14:paraId="08D8CD37" w14:textId="77777777" w:rsidR="00A052DC" w:rsidRDefault="009F0A60">
            <w:pPr>
              <w:rPr>
                <w:rFonts w:ascii="黑体" w:eastAsia="黑体" w:hAnsi="黑体" w:cs="宋体"/>
                <w:sz w:val="20"/>
                <w:szCs w:val="20"/>
              </w:rPr>
            </w:pPr>
            <w:r>
              <w:rPr>
                <w:rFonts w:ascii="黑体" w:eastAsia="黑体" w:hAnsi="黑体" w:cs="宋体"/>
                <w:sz w:val="20"/>
                <w:szCs w:val="20"/>
              </w:rPr>
              <w:t>YYYYMMMDD</w:t>
            </w:r>
          </w:p>
        </w:tc>
      </w:tr>
      <w:tr w:rsidR="00A052DC" w14:paraId="2CB7354F" w14:textId="77777777">
        <w:tc>
          <w:tcPr>
            <w:tcW w:w="1510" w:type="pct"/>
            <w:tcBorders>
              <w:top w:val="single" w:sz="2" w:space="0" w:color="auto"/>
              <w:left w:val="single" w:sz="2" w:space="0" w:color="auto"/>
              <w:bottom w:val="single" w:sz="2" w:space="0" w:color="auto"/>
              <w:right w:val="single" w:sz="2" w:space="0" w:color="auto"/>
            </w:tcBorders>
          </w:tcPr>
          <w:p w14:paraId="7F855987"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申报信息来源</w:t>
            </w:r>
          </w:p>
        </w:tc>
        <w:tc>
          <w:tcPr>
            <w:tcW w:w="1070" w:type="pct"/>
            <w:tcBorders>
              <w:top w:val="single" w:sz="2" w:space="0" w:color="auto"/>
              <w:left w:val="single" w:sz="2" w:space="0" w:color="auto"/>
              <w:bottom w:val="single" w:sz="2" w:space="0" w:color="auto"/>
              <w:right w:val="single" w:sz="2" w:space="0" w:color="auto"/>
            </w:tcBorders>
          </w:tcPr>
          <w:p w14:paraId="39C89E8F"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RPTSOURCE</w:t>
            </w:r>
          </w:p>
        </w:tc>
        <w:tc>
          <w:tcPr>
            <w:tcW w:w="809" w:type="pct"/>
            <w:tcBorders>
              <w:top w:val="single" w:sz="2" w:space="0" w:color="auto"/>
              <w:left w:val="single" w:sz="2" w:space="0" w:color="auto"/>
              <w:bottom w:val="single" w:sz="2" w:space="0" w:color="auto"/>
              <w:right w:val="single" w:sz="2" w:space="0" w:color="auto"/>
            </w:tcBorders>
          </w:tcPr>
          <w:p w14:paraId="6077A83E" w14:textId="77777777" w:rsidR="00A052DC" w:rsidRDefault="009F0A60">
            <w:pPr>
              <w:rPr>
                <w:rFonts w:ascii="黑体" w:eastAsia="黑体" w:hAnsi="黑体"/>
                <w:sz w:val="20"/>
                <w:szCs w:val="20"/>
              </w:rPr>
            </w:pPr>
            <w:r>
              <w:rPr>
                <w:rFonts w:ascii="黑体" w:eastAsia="黑体" w:hAnsi="黑体" w:hint="eastAsia"/>
                <w:sz w:val="20"/>
                <w:szCs w:val="20"/>
              </w:rPr>
              <w:t>字符型，</w:t>
            </w:r>
            <w:r>
              <w:rPr>
                <w:rFonts w:ascii="黑体" w:eastAsia="黑体" w:hAnsi="黑体"/>
                <w:sz w:val="20"/>
                <w:szCs w:val="20"/>
              </w:rPr>
              <w:t>1</w:t>
            </w:r>
          </w:p>
        </w:tc>
        <w:tc>
          <w:tcPr>
            <w:tcW w:w="1611" w:type="pct"/>
            <w:tcBorders>
              <w:top w:val="single" w:sz="2" w:space="0" w:color="auto"/>
              <w:left w:val="single" w:sz="2" w:space="0" w:color="auto"/>
              <w:bottom w:val="single" w:sz="2" w:space="0" w:color="auto"/>
              <w:right w:val="single" w:sz="2" w:space="0" w:color="auto"/>
            </w:tcBorders>
          </w:tcPr>
          <w:p w14:paraId="697E399F" w14:textId="77777777" w:rsidR="00A052DC" w:rsidRDefault="009F0A60">
            <w:pPr>
              <w:rPr>
                <w:rFonts w:ascii="黑体" w:eastAsia="黑体" w:hAnsi="黑体" w:cs="宋体"/>
                <w:sz w:val="20"/>
                <w:szCs w:val="20"/>
              </w:rPr>
            </w:pPr>
            <w:r>
              <w:rPr>
                <w:rFonts w:ascii="黑体" w:eastAsia="黑体" w:hAnsi="黑体" w:cs="宋体"/>
                <w:sz w:val="20"/>
                <w:szCs w:val="20"/>
              </w:rPr>
              <w:t>1-</w:t>
            </w:r>
            <w:r>
              <w:rPr>
                <w:rFonts w:ascii="黑体" w:eastAsia="黑体" w:hAnsi="黑体" w:cs="宋体" w:hint="eastAsia"/>
                <w:sz w:val="20"/>
                <w:szCs w:val="20"/>
              </w:rPr>
              <w:t>纸质申报（银行版录入）</w:t>
            </w:r>
          </w:p>
          <w:p w14:paraId="2A758691" w14:textId="77777777" w:rsidR="00A052DC" w:rsidRDefault="009F0A60">
            <w:pPr>
              <w:rPr>
                <w:rFonts w:ascii="黑体" w:eastAsia="黑体" w:hAnsi="黑体" w:cs="宋体"/>
                <w:sz w:val="20"/>
                <w:szCs w:val="20"/>
              </w:rPr>
            </w:pPr>
            <w:r>
              <w:rPr>
                <w:rFonts w:ascii="黑体" w:eastAsia="黑体" w:hAnsi="黑体" w:cs="宋体"/>
                <w:sz w:val="20"/>
                <w:szCs w:val="20"/>
              </w:rPr>
              <w:t>2-</w:t>
            </w:r>
            <w:r>
              <w:rPr>
                <w:rFonts w:ascii="黑体" w:eastAsia="黑体" w:hAnsi="黑体" w:cs="宋体" w:hint="eastAsia"/>
                <w:sz w:val="20"/>
                <w:szCs w:val="20"/>
              </w:rPr>
              <w:t>网上申报</w:t>
            </w:r>
          </w:p>
          <w:p w14:paraId="79B8418A" w14:textId="77777777" w:rsidR="00A052DC" w:rsidRDefault="009F0A60">
            <w:pPr>
              <w:rPr>
                <w:rFonts w:ascii="黑体" w:eastAsia="黑体" w:hAnsi="黑体" w:cs="宋体"/>
                <w:sz w:val="20"/>
                <w:szCs w:val="20"/>
              </w:rPr>
            </w:pPr>
            <w:r>
              <w:rPr>
                <w:rFonts w:ascii="黑体" w:eastAsia="黑体" w:hAnsi="黑体" w:cs="宋体"/>
                <w:sz w:val="20"/>
                <w:szCs w:val="20"/>
              </w:rPr>
              <w:t>3-</w:t>
            </w:r>
            <w:r>
              <w:rPr>
                <w:rFonts w:ascii="黑体" w:eastAsia="黑体" w:hAnsi="黑体" w:cs="宋体" w:hint="eastAsia"/>
                <w:sz w:val="20"/>
                <w:szCs w:val="20"/>
              </w:rPr>
              <w:t>接口导入（银行业务系统接口文件导入）</w:t>
            </w:r>
          </w:p>
        </w:tc>
      </w:tr>
      <w:tr w:rsidR="00A052DC" w14:paraId="4A03F380" w14:textId="77777777">
        <w:tc>
          <w:tcPr>
            <w:tcW w:w="1510" w:type="pct"/>
            <w:tcBorders>
              <w:top w:val="single" w:sz="2" w:space="0" w:color="auto"/>
              <w:left w:val="single" w:sz="2" w:space="0" w:color="auto"/>
              <w:bottom w:val="single" w:sz="2" w:space="0" w:color="auto"/>
              <w:right w:val="single" w:sz="2" w:space="0" w:color="auto"/>
            </w:tcBorders>
          </w:tcPr>
          <w:p w14:paraId="0B84DA04"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申报单状态</w:t>
            </w:r>
          </w:p>
        </w:tc>
        <w:tc>
          <w:tcPr>
            <w:tcW w:w="1070" w:type="pct"/>
            <w:tcBorders>
              <w:top w:val="single" w:sz="2" w:space="0" w:color="auto"/>
              <w:left w:val="single" w:sz="2" w:space="0" w:color="auto"/>
              <w:bottom w:val="single" w:sz="2" w:space="0" w:color="auto"/>
              <w:right w:val="single" w:sz="2" w:space="0" w:color="auto"/>
            </w:tcBorders>
          </w:tcPr>
          <w:p w14:paraId="02AC756B"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RPTSTS</w:t>
            </w:r>
          </w:p>
        </w:tc>
        <w:tc>
          <w:tcPr>
            <w:tcW w:w="809" w:type="pct"/>
            <w:tcBorders>
              <w:top w:val="single" w:sz="2" w:space="0" w:color="auto"/>
              <w:left w:val="single" w:sz="2" w:space="0" w:color="auto"/>
              <w:bottom w:val="single" w:sz="2" w:space="0" w:color="auto"/>
              <w:right w:val="single" w:sz="2" w:space="0" w:color="auto"/>
            </w:tcBorders>
          </w:tcPr>
          <w:p w14:paraId="2D21328F" w14:textId="77777777" w:rsidR="00A052DC" w:rsidRDefault="009F0A60">
            <w:pPr>
              <w:rPr>
                <w:rFonts w:ascii="黑体" w:eastAsia="黑体" w:hAnsi="黑体"/>
                <w:sz w:val="20"/>
                <w:szCs w:val="20"/>
              </w:rPr>
            </w:pPr>
            <w:r>
              <w:rPr>
                <w:rFonts w:ascii="黑体" w:eastAsia="黑体" w:hAnsi="黑体" w:hint="eastAsia"/>
                <w:sz w:val="20"/>
                <w:szCs w:val="20"/>
              </w:rPr>
              <w:t>字符型，</w:t>
            </w:r>
            <w:r>
              <w:rPr>
                <w:rFonts w:ascii="黑体" w:eastAsia="黑体" w:hAnsi="黑体"/>
                <w:sz w:val="20"/>
                <w:szCs w:val="20"/>
              </w:rPr>
              <w:t>2</w:t>
            </w:r>
          </w:p>
        </w:tc>
        <w:tc>
          <w:tcPr>
            <w:tcW w:w="1611" w:type="pct"/>
            <w:tcBorders>
              <w:top w:val="single" w:sz="2" w:space="0" w:color="auto"/>
              <w:left w:val="single" w:sz="2" w:space="0" w:color="auto"/>
              <w:bottom w:val="single" w:sz="2" w:space="0" w:color="auto"/>
              <w:right w:val="single" w:sz="2" w:space="0" w:color="auto"/>
            </w:tcBorders>
          </w:tcPr>
          <w:p w14:paraId="6D9D63A0" w14:textId="77777777" w:rsidR="00A052DC" w:rsidRDefault="009F0A60">
            <w:pPr>
              <w:rPr>
                <w:rFonts w:ascii="黑体" w:eastAsia="黑体" w:hAnsi="黑体" w:cs="宋体"/>
                <w:sz w:val="20"/>
                <w:szCs w:val="20"/>
              </w:rPr>
            </w:pPr>
            <w:r>
              <w:rPr>
                <w:rFonts w:ascii="黑体" w:eastAsia="黑体" w:hAnsi="黑体" w:cs="宋体" w:hint="eastAsia"/>
                <w:sz w:val="20"/>
                <w:szCs w:val="20"/>
              </w:rPr>
              <w:t>06</w:t>
            </w:r>
            <w:r w:rsidR="00BF0361">
              <w:rPr>
                <w:rFonts w:ascii="黑体" w:eastAsia="黑体" w:hAnsi="黑体" w:cs="宋体" w:hint="eastAsia"/>
                <w:sz w:val="20"/>
                <w:szCs w:val="20"/>
              </w:rPr>
              <w:t>-</w:t>
            </w:r>
            <w:r>
              <w:rPr>
                <w:rFonts w:ascii="黑体" w:eastAsia="黑体" w:hAnsi="黑体" w:cs="宋体" w:hint="eastAsia"/>
                <w:sz w:val="20"/>
                <w:szCs w:val="20"/>
              </w:rPr>
              <w:t>已审核</w:t>
            </w:r>
          </w:p>
        </w:tc>
      </w:tr>
      <w:tr w:rsidR="00A052DC" w14:paraId="5C479DED" w14:textId="77777777">
        <w:tc>
          <w:tcPr>
            <w:tcW w:w="1510" w:type="pct"/>
            <w:tcBorders>
              <w:top w:val="single" w:sz="2" w:space="0" w:color="auto"/>
              <w:left w:val="single" w:sz="2" w:space="0" w:color="auto"/>
              <w:bottom w:val="single" w:sz="2" w:space="0" w:color="auto"/>
              <w:right w:val="single" w:sz="2" w:space="0" w:color="auto"/>
            </w:tcBorders>
          </w:tcPr>
          <w:p w14:paraId="14A15171"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删除标志</w:t>
            </w:r>
          </w:p>
        </w:tc>
        <w:tc>
          <w:tcPr>
            <w:tcW w:w="1070" w:type="pct"/>
            <w:tcBorders>
              <w:top w:val="single" w:sz="2" w:space="0" w:color="auto"/>
              <w:left w:val="single" w:sz="2" w:space="0" w:color="auto"/>
              <w:bottom w:val="single" w:sz="2" w:space="0" w:color="auto"/>
              <w:right w:val="single" w:sz="2" w:space="0" w:color="auto"/>
            </w:tcBorders>
          </w:tcPr>
          <w:p w14:paraId="0BBE0AA9" w14:textId="77777777" w:rsidR="00A052DC" w:rsidRDefault="009F0A60">
            <w:pPr>
              <w:rPr>
                <w:rFonts w:ascii="黑体" w:eastAsia="黑体" w:hAnsi="黑体" w:cs="Microsoft Sans Serif"/>
                <w:sz w:val="20"/>
                <w:szCs w:val="20"/>
              </w:rPr>
            </w:pPr>
            <w:r>
              <w:rPr>
                <w:rFonts w:ascii="黑体" w:eastAsia="黑体" w:hAnsi="黑体" w:cs="Microsoft Sans Serif"/>
                <w:sz w:val="20"/>
                <w:szCs w:val="20"/>
              </w:rPr>
              <w:t>DELFLAG</w:t>
            </w:r>
          </w:p>
        </w:tc>
        <w:tc>
          <w:tcPr>
            <w:tcW w:w="809" w:type="pct"/>
            <w:tcBorders>
              <w:top w:val="single" w:sz="2" w:space="0" w:color="auto"/>
              <w:left w:val="single" w:sz="2" w:space="0" w:color="auto"/>
              <w:bottom w:val="single" w:sz="2" w:space="0" w:color="auto"/>
              <w:right w:val="single" w:sz="2" w:space="0" w:color="auto"/>
            </w:tcBorders>
          </w:tcPr>
          <w:p w14:paraId="14ABA820" w14:textId="77777777" w:rsidR="00A052DC" w:rsidRDefault="009F0A60">
            <w:pPr>
              <w:rPr>
                <w:rFonts w:ascii="黑体" w:eastAsia="黑体" w:hAnsi="黑体"/>
                <w:sz w:val="20"/>
                <w:szCs w:val="20"/>
              </w:rPr>
            </w:pPr>
            <w:r>
              <w:rPr>
                <w:rFonts w:ascii="黑体" w:eastAsia="黑体" w:hAnsi="黑体" w:hint="eastAsia"/>
                <w:sz w:val="20"/>
                <w:szCs w:val="20"/>
              </w:rPr>
              <w:t>字符型，</w:t>
            </w:r>
            <w:r>
              <w:rPr>
                <w:rFonts w:ascii="黑体" w:eastAsia="黑体" w:hAnsi="黑体"/>
                <w:sz w:val="20"/>
                <w:szCs w:val="20"/>
              </w:rPr>
              <w:t>1</w:t>
            </w:r>
          </w:p>
        </w:tc>
        <w:tc>
          <w:tcPr>
            <w:tcW w:w="1611" w:type="pct"/>
            <w:tcBorders>
              <w:top w:val="single" w:sz="2" w:space="0" w:color="auto"/>
              <w:left w:val="single" w:sz="2" w:space="0" w:color="auto"/>
              <w:bottom w:val="single" w:sz="2" w:space="0" w:color="auto"/>
              <w:right w:val="single" w:sz="2" w:space="0" w:color="auto"/>
            </w:tcBorders>
          </w:tcPr>
          <w:p w14:paraId="185D85FB" w14:textId="77777777" w:rsidR="00A052DC" w:rsidRDefault="009F0A60">
            <w:pPr>
              <w:rPr>
                <w:rFonts w:ascii="黑体" w:eastAsia="黑体" w:hAnsi="黑体" w:cs="宋体"/>
                <w:sz w:val="20"/>
                <w:szCs w:val="20"/>
              </w:rPr>
            </w:pPr>
            <w:r>
              <w:rPr>
                <w:rFonts w:ascii="黑体" w:eastAsia="黑体" w:hAnsi="黑体" w:cs="宋体" w:hint="eastAsia"/>
                <w:sz w:val="20"/>
                <w:szCs w:val="20"/>
              </w:rPr>
              <w:t>0-未删除</w:t>
            </w:r>
          </w:p>
          <w:p w14:paraId="56E9A40E" w14:textId="77777777" w:rsidR="00A052DC" w:rsidRDefault="009F0A60">
            <w:pPr>
              <w:rPr>
                <w:rFonts w:ascii="黑体" w:eastAsia="黑体" w:hAnsi="黑体" w:cs="宋体"/>
                <w:sz w:val="20"/>
                <w:szCs w:val="20"/>
              </w:rPr>
            </w:pPr>
            <w:r>
              <w:rPr>
                <w:rFonts w:ascii="黑体" w:eastAsia="黑体" w:hAnsi="黑体" w:cs="宋体" w:hint="eastAsia"/>
                <w:sz w:val="20"/>
                <w:szCs w:val="20"/>
              </w:rPr>
              <w:t>3-已删除</w:t>
            </w:r>
          </w:p>
        </w:tc>
      </w:tr>
    </w:tbl>
    <w:p w14:paraId="42827C11" w14:textId="77777777" w:rsidR="00A052DC" w:rsidRDefault="009F0A60">
      <w:pPr>
        <w:pStyle w:val="4"/>
        <w:numPr>
          <w:ilvl w:val="3"/>
          <w:numId w:val="1"/>
        </w:numPr>
        <w:jc w:val="left"/>
      </w:pPr>
      <w:bookmarkStart w:id="4502" w:name="_Toc309650707"/>
      <w:bookmarkStart w:id="4503" w:name="_Toc309650708"/>
      <w:bookmarkStart w:id="4504" w:name="_Toc310599164"/>
      <w:bookmarkStart w:id="4505" w:name="_Toc309650739"/>
      <w:bookmarkStart w:id="4506" w:name="_Toc308515738"/>
      <w:bookmarkStart w:id="4507" w:name="_Toc308515769"/>
      <w:bookmarkStart w:id="4508" w:name="_Toc310599195"/>
      <w:bookmarkStart w:id="4509" w:name="_Toc310599163"/>
      <w:bookmarkStart w:id="4510" w:name="_Toc454394935"/>
      <w:bookmarkStart w:id="4511" w:name="_Toc310599196"/>
      <w:bookmarkEnd w:id="4502"/>
      <w:bookmarkEnd w:id="4503"/>
      <w:bookmarkEnd w:id="4504"/>
      <w:bookmarkEnd w:id="4505"/>
      <w:bookmarkEnd w:id="4506"/>
      <w:bookmarkEnd w:id="4507"/>
      <w:bookmarkEnd w:id="4508"/>
      <w:bookmarkEnd w:id="4509"/>
      <w:r>
        <w:rPr>
          <w:rFonts w:hint="eastAsia"/>
        </w:rPr>
        <w:t>对外付款</w:t>
      </w:r>
      <w:r>
        <w:t>/</w:t>
      </w:r>
      <w:r>
        <w:rPr>
          <w:rFonts w:hint="eastAsia"/>
        </w:rPr>
        <w:t>承兑通知书</w:t>
      </w:r>
      <w:bookmarkEnd w:id="4510"/>
      <w:bookmarkEnd w:id="4511"/>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3" w:type="dxa"/>
          <w:right w:w="113" w:type="dxa"/>
        </w:tblCellMar>
        <w:tblLook w:val="04A0" w:firstRow="1" w:lastRow="0" w:firstColumn="1" w:lastColumn="0" w:noHBand="0" w:noVBand="1"/>
      </w:tblPr>
      <w:tblGrid>
        <w:gridCol w:w="2577"/>
        <w:gridCol w:w="1826"/>
        <w:gridCol w:w="1380"/>
        <w:gridCol w:w="2749"/>
      </w:tblGrid>
      <w:tr w:rsidR="00A052DC" w14:paraId="5B7334CF" w14:textId="77777777">
        <w:trPr>
          <w:tblHeader/>
        </w:trPr>
        <w:tc>
          <w:tcPr>
            <w:tcW w:w="1510" w:type="pct"/>
            <w:shd w:val="clear" w:color="auto" w:fill="C0C0C0"/>
          </w:tcPr>
          <w:p w14:paraId="22DE7264" w14:textId="77777777" w:rsidR="00A052DC" w:rsidRDefault="009F0A60">
            <w:pPr>
              <w:tabs>
                <w:tab w:val="center" w:pos="1219"/>
              </w:tabs>
              <w:jc w:val="center"/>
              <w:rPr>
                <w:rFonts w:ascii="黑体" w:eastAsia="黑体" w:hAnsi="黑体"/>
                <w:b/>
                <w:sz w:val="20"/>
                <w:szCs w:val="20"/>
              </w:rPr>
            </w:pPr>
            <w:r>
              <w:rPr>
                <w:rFonts w:ascii="黑体" w:eastAsia="黑体" w:hAnsi="黑体" w:hint="eastAsia"/>
                <w:b/>
                <w:sz w:val="20"/>
                <w:szCs w:val="20"/>
              </w:rPr>
              <w:t>名称</w:t>
            </w:r>
          </w:p>
        </w:tc>
        <w:tc>
          <w:tcPr>
            <w:tcW w:w="1070" w:type="pct"/>
            <w:shd w:val="clear" w:color="auto" w:fill="C0C0C0"/>
          </w:tcPr>
          <w:p w14:paraId="4AD7347A" w14:textId="77777777" w:rsidR="00A052DC" w:rsidRDefault="009F0A60">
            <w:pPr>
              <w:jc w:val="center"/>
              <w:rPr>
                <w:rFonts w:ascii="黑体" w:eastAsia="黑体" w:hAnsi="黑体"/>
                <w:b/>
                <w:sz w:val="20"/>
                <w:szCs w:val="20"/>
              </w:rPr>
            </w:pPr>
            <w:r>
              <w:rPr>
                <w:rFonts w:ascii="黑体" w:eastAsia="黑体" w:hAnsi="黑体" w:hint="eastAsia"/>
                <w:b/>
                <w:sz w:val="20"/>
                <w:szCs w:val="20"/>
              </w:rPr>
              <w:t>代码</w:t>
            </w:r>
          </w:p>
        </w:tc>
        <w:tc>
          <w:tcPr>
            <w:tcW w:w="809" w:type="pct"/>
            <w:shd w:val="clear" w:color="auto" w:fill="C0C0C0"/>
          </w:tcPr>
          <w:p w14:paraId="3D051778" w14:textId="77777777" w:rsidR="00A052DC" w:rsidRDefault="009F0A60">
            <w:pPr>
              <w:jc w:val="center"/>
              <w:rPr>
                <w:rFonts w:ascii="黑体" w:eastAsia="黑体" w:hAnsi="黑体"/>
                <w:b/>
                <w:sz w:val="20"/>
                <w:szCs w:val="20"/>
              </w:rPr>
            </w:pPr>
            <w:r>
              <w:rPr>
                <w:rFonts w:ascii="黑体" w:eastAsia="黑体" w:hAnsi="黑体" w:hint="eastAsia"/>
                <w:b/>
                <w:sz w:val="20"/>
                <w:szCs w:val="20"/>
              </w:rPr>
              <w:t>数据（长度）</w:t>
            </w:r>
          </w:p>
        </w:tc>
        <w:tc>
          <w:tcPr>
            <w:tcW w:w="1611" w:type="pct"/>
            <w:shd w:val="clear" w:color="auto" w:fill="C0C0C0"/>
          </w:tcPr>
          <w:p w14:paraId="076226B2" w14:textId="77777777" w:rsidR="00A052DC" w:rsidRDefault="009F0A60">
            <w:pPr>
              <w:jc w:val="center"/>
              <w:rPr>
                <w:rFonts w:ascii="黑体" w:eastAsia="黑体" w:hAnsi="黑体"/>
                <w:b/>
                <w:sz w:val="20"/>
                <w:szCs w:val="20"/>
              </w:rPr>
            </w:pPr>
            <w:r>
              <w:rPr>
                <w:rFonts w:ascii="黑体" w:eastAsia="黑体" w:hAnsi="黑体" w:hint="eastAsia"/>
                <w:b/>
                <w:sz w:val="20"/>
                <w:szCs w:val="20"/>
              </w:rPr>
              <w:t>注释</w:t>
            </w:r>
          </w:p>
        </w:tc>
      </w:tr>
      <w:tr w:rsidR="00A052DC" w14:paraId="257232F0" w14:textId="77777777">
        <w:tc>
          <w:tcPr>
            <w:tcW w:w="1510" w:type="pct"/>
          </w:tcPr>
          <w:p w14:paraId="6DBDC13D"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申报号码</w:t>
            </w:r>
          </w:p>
        </w:tc>
        <w:tc>
          <w:tcPr>
            <w:tcW w:w="1070" w:type="pct"/>
          </w:tcPr>
          <w:p w14:paraId="23AB2B69"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RPTNO</w:t>
            </w:r>
          </w:p>
        </w:tc>
        <w:tc>
          <w:tcPr>
            <w:tcW w:w="809" w:type="pct"/>
          </w:tcPr>
          <w:p w14:paraId="78AD247F" w14:textId="77777777" w:rsidR="00A052DC" w:rsidRDefault="009F0A60">
            <w:pPr>
              <w:rPr>
                <w:rFonts w:ascii="黑体" w:eastAsia="黑体" w:hAnsi="黑体" w:cs="宋体"/>
                <w:sz w:val="20"/>
                <w:szCs w:val="20"/>
              </w:rPr>
            </w:pPr>
            <w:r>
              <w:rPr>
                <w:rFonts w:ascii="黑体" w:eastAsia="黑体" w:hAnsi="黑体" w:hint="eastAsia"/>
                <w:sz w:val="20"/>
                <w:szCs w:val="20"/>
              </w:rPr>
              <w:t>字符型，22</w:t>
            </w:r>
          </w:p>
        </w:tc>
        <w:tc>
          <w:tcPr>
            <w:tcW w:w="1611" w:type="pct"/>
          </w:tcPr>
          <w:p w14:paraId="255E15AC" w14:textId="77777777" w:rsidR="00A052DC" w:rsidRDefault="009F0A60">
            <w:pPr>
              <w:rPr>
                <w:rFonts w:ascii="黑体" w:eastAsia="黑体" w:hAnsi="黑体"/>
                <w:sz w:val="20"/>
                <w:szCs w:val="20"/>
              </w:rPr>
            </w:pPr>
            <w:r>
              <w:rPr>
                <w:rFonts w:ascii="黑体" w:eastAsia="黑体" w:hAnsi="黑体" w:hint="eastAsia"/>
                <w:sz w:val="20"/>
                <w:szCs w:val="20"/>
              </w:rPr>
              <w:t>编码规则：6位地区标识码+4位银行代码+2位银行顺序码+汇入日期（yymmdd）+4位银行业务流水码。</w:t>
            </w:r>
          </w:p>
        </w:tc>
      </w:tr>
      <w:tr w:rsidR="00A052DC" w14:paraId="573674FA" w14:textId="77777777">
        <w:tc>
          <w:tcPr>
            <w:tcW w:w="1510" w:type="pct"/>
          </w:tcPr>
          <w:p w14:paraId="2918F7A8"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付款人类型</w:t>
            </w:r>
          </w:p>
        </w:tc>
        <w:tc>
          <w:tcPr>
            <w:tcW w:w="1070" w:type="pct"/>
          </w:tcPr>
          <w:p w14:paraId="3DE1B309"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PAYEETYPE</w:t>
            </w:r>
          </w:p>
        </w:tc>
        <w:tc>
          <w:tcPr>
            <w:tcW w:w="809" w:type="pct"/>
          </w:tcPr>
          <w:p w14:paraId="169E334B" w14:textId="77777777" w:rsidR="00A052DC" w:rsidRDefault="009F0A60">
            <w:pPr>
              <w:rPr>
                <w:rFonts w:ascii="黑体" w:eastAsia="黑体" w:hAnsi="黑体" w:cs="宋体"/>
                <w:sz w:val="20"/>
                <w:szCs w:val="20"/>
              </w:rPr>
            </w:pPr>
            <w:r>
              <w:rPr>
                <w:rFonts w:ascii="黑体" w:eastAsia="黑体" w:hAnsi="黑体" w:hint="eastAsia"/>
                <w:sz w:val="20"/>
                <w:szCs w:val="20"/>
              </w:rPr>
              <w:t>字符型，1</w:t>
            </w:r>
          </w:p>
        </w:tc>
        <w:tc>
          <w:tcPr>
            <w:tcW w:w="1611" w:type="pct"/>
          </w:tcPr>
          <w:p w14:paraId="4E22819D" w14:textId="77777777" w:rsidR="00A052DC" w:rsidRDefault="009F0A60">
            <w:pPr>
              <w:rPr>
                <w:rFonts w:ascii="黑体" w:eastAsia="黑体" w:hAnsi="黑体"/>
                <w:sz w:val="20"/>
                <w:szCs w:val="20"/>
              </w:rPr>
            </w:pPr>
            <w:r>
              <w:rPr>
                <w:rFonts w:ascii="黑体" w:eastAsia="黑体" w:hAnsi="黑体" w:hint="eastAsia"/>
                <w:sz w:val="20"/>
                <w:szCs w:val="20"/>
              </w:rPr>
              <w:t>C</w:t>
            </w:r>
            <w:r w:rsidR="00AE4602">
              <w:rPr>
                <w:rFonts w:ascii="黑体" w:eastAsia="黑体" w:hAnsi="黑体" w:hint="eastAsia"/>
                <w:sz w:val="20"/>
                <w:szCs w:val="20"/>
              </w:rPr>
              <w:t>-</w:t>
            </w:r>
            <w:r>
              <w:rPr>
                <w:rFonts w:ascii="黑体" w:eastAsia="黑体" w:hAnsi="黑体" w:hint="eastAsia"/>
                <w:sz w:val="20"/>
                <w:szCs w:val="20"/>
              </w:rPr>
              <w:t>对公用户</w:t>
            </w:r>
          </w:p>
          <w:p w14:paraId="1CD334CF" w14:textId="77777777" w:rsidR="00A052DC" w:rsidRDefault="009F0A60">
            <w:pPr>
              <w:rPr>
                <w:rFonts w:ascii="黑体" w:eastAsia="黑体" w:hAnsi="黑体"/>
                <w:sz w:val="20"/>
                <w:szCs w:val="20"/>
              </w:rPr>
            </w:pPr>
            <w:r>
              <w:rPr>
                <w:rFonts w:ascii="黑体" w:eastAsia="黑体" w:hAnsi="黑体" w:hint="eastAsia"/>
                <w:sz w:val="20"/>
                <w:szCs w:val="20"/>
              </w:rPr>
              <w:t>D</w:t>
            </w:r>
            <w:r w:rsidR="00AE4602">
              <w:rPr>
                <w:rFonts w:ascii="黑体" w:eastAsia="黑体" w:hAnsi="黑体" w:hint="eastAsia"/>
                <w:sz w:val="20"/>
                <w:szCs w:val="20"/>
              </w:rPr>
              <w:t>-</w:t>
            </w:r>
            <w:r>
              <w:rPr>
                <w:rFonts w:ascii="黑体" w:eastAsia="黑体" w:hAnsi="黑体" w:hint="eastAsia"/>
                <w:sz w:val="20"/>
                <w:szCs w:val="20"/>
              </w:rPr>
              <w:t>对私中国居民</w:t>
            </w:r>
          </w:p>
          <w:p w14:paraId="6D9DBBB1" w14:textId="77777777" w:rsidR="00A052DC" w:rsidRDefault="009F0A60">
            <w:pPr>
              <w:rPr>
                <w:rFonts w:ascii="黑体" w:eastAsia="黑体" w:hAnsi="黑体" w:cs="宋体"/>
                <w:sz w:val="20"/>
                <w:szCs w:val="20"/>
              </w:rPr>
            </w:pPr>
            <w:r>
              <w:rPr>
                <w:rFonts w:ascii="黑体" w:eastAsia="黑体" w:hAnsi="黑体" w:hint="eastAsia"/>
                <w:sz w:val="20"/>
                <w:szCs w:val="20"/>
              </w:rPr>
              <w:t>F</w:t>
            </w:r>
            <w:r w:rsidR="00AE4602">
              <w:rPr>
                <w:rFonts w:ascii="黑体" w:eastAsia="黑体" w:hAnsi="黑体" w:hint="eastAsia"/>
                <w:sz w:val="20"/>
                <w:szCs w:val="20"/>
              </w:rPr>
              <w:t>-</w:t>
            </w:r>
            <w:r>
              <w:rPr>
                <w:rFonts w:ascii="黑体" w:eastAsia="黑体" w:hAnsi="黑体" w:hint="eastAsia"/>
                <w:sz w:val="20"/>
                <w:szCs w:val="20"/>
              </w:rPr>
              <w:t>对私中国非居民需与申报号码中第19位字母所表明的含义一致。</w:t>
            </w:r>
          </w:p>
        </w:tc>
      </w:tr>
      <w:tr w:rsidR="00A052DC" w14:paraId="3CF3A516" w14:textId="77777777">
        <w:tc>
          <w:tcPr>
            <w:tcW w:w="1510" w:type="pct"/>
          </w:tcPr>
          <w:p w14:paraId="5F328870"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个人身份证件号码</w:t>
            </w:r>
          </w:p>
        </w:tc>
        <w:tc>
          <w:tcPr>
            <w:tcW w:w="1070" w:type="pct"/>
          </w:tcPr>
          <w:p w14:paraId="30A926ED"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IDCODE</w:t>
            </w:r>
          </w:p>
        </w:tc>
        <w:tc>
          <w:tcPr>
            <w:tcW w:w="809" w:type="pct"/>
          </w:tcPr>
          <w:p w14:paraId="64471DB3" w14:textId="77777777" w:rsidR="00A052DC" w:rsidRDefault="009F0A60">
            <w:pPr>
              <w:rPr>
                <w:rFonts w:ascii="黑体" w:eastAsia="黑体" w:hAnsi="黑体" w:cs="宋体"/>
                <w:sz w:val="20"/>
                <w:szCs w:val="20"/>
              </w:rPr>
            </w:pPr>
            <w:r>
              <w:rPr>
                <w:rFonts w:ascii="黑体" w:eastAsia="黑体" w:hAnsi="黑体" w:hint="eastAsia"/>
                <w:sz w:val="20"/>
                <w:szCs w:val="20"/>
              </w:rPr>
              <w:t>字符型，32</w:t>
            </w:r>
          </w:p>
        </w:tc>
        <w:tc>
          <w:tcPr>
            <w:tcW w:w="1611" w:type="pct"/>
          </w:tcPr>
          <w:p w14:paraId="174B406F" w14:textId="77777777" w:rsidR="00A052DC" w:rsidRDefault="00A052DC">
            <w:pPr>
              <w:rPr>
                <w:rFonts w:ascii="黑体" w:eastAsia="黑体" w:hAnsi="黑体" w:cs="Microsoft Sans Serif"/>
                <w:sz w:val="20"/>
                <w:szCs w:val="20"/>
              </w:rPr>
            </w:pPr>
          </w:p>
        </w:tc>
      </w:tr>
      <w:tr w:rsidR="00A052DC" w14:paraId="3CB380B4" w14:textId="77777777">
        <w:tc>
          <w:tcPr>
            <w:tcW w:w="1510" w:type="pct"/>
          </w:tcPr>
          <w:p w14:paraId="6A1110C3" w14:textId="77777777" w:rsidR="00A052DC" w:rsidRDefault="009F0A60">
            <w:pPr>
              <w:pStyle w:val="B"/>
            </w:pPr>
            <w:r>
              <w:rPr>
                <w:rFonts w:hint="eastAsia"/>
                <w:kern w:val="2"/>
              </w:rPr>
              <w:t>主体标识码</w:t>
            </w:r>
          </w:p>
        </w:tc>
        <w:tc>
          <w:tcPr>
            <w:tcW w:w="1070" w:type="pct"/>
          </w:tcPr>
          <w:p w14:paraId="2BBCE587" w14:textId="77777777" w:rsidR="00A052DC" w:rsidRDefault="009F0A60">
            <w:pPr>
              <w:pStyle w:val="B"/>
            </w:pPr>
            <w:r>
              <w:rPr>
                <w:kern w:val="2"/>
              </w:rPr>
              <w:t>UNITCODE</w:t>
            </w:r>
          </w:p>
        </w:tc>
        <w:tc>
          <w:tcPr>
            <w:tcW w:w="809" w:type="pct"/>
          </w:tcPr>
          <w:p w14:paraId="08BE39F9" w14:textId="77777777" w:rsidR="00A052DC" w:rsidRDefault="009F0A60">
            <w:pPr>
              <w:pStyle w:val="B"/>
              <w:rPr>
                <w:rFonts w:cs="宋体"/>
              </w:rPr>
            </w:pPr>
            <w:r>
              <w:rPr>
                <w:rFonts w:hint="eastAsia"/>
                <w:kern w:val="2"/>
              </w:rPr>
              <w:t>字符型，</w:t>
            </w:r>
            <w:r>
              <w:rPr>
                <w:kern w:val="2"/>
              </w:rPr>
              <w:t>18</w:t>
            </w:r>
          </w:p>
        </w:tc>
        <w:tc>
          <w:tcPr>
            <w:tcW w:w="1611" w:type="pct"/>
          </w:tcPr>
          <w:p w14:paraId="04C2B557" w14:textId="77777777" w:rsidR="00A052DC" w:rsidRDefault="009F0A60">
            <w:pPr>
              <w:pStyle w:val="B"/>
              <w:rPr>
                <w:rFonts w:cs="宋体"/>
              </w:rPr>
            </w:pPr>
            <w:r>
              <w:rPr>
                <w:rFonts w:cs="宋体" w:hint="eastAsia"/>
              </w:rPr>
              <w:t>指统一社会信用代码法定载体（如营业执照）上统一社会信用代码中的第9至17位或国家外汇管理局及其分支局签发的特殊机构代码赋码通知书上的机构代码。</w:t>
            </w:r>
          </w:p>
        </w:tc>
      </w:tr>
      <w:tr w:rsidR="00A052DC" w14:paraId="4D60402C" w14:textId="77777777">
        <w:tc>
          <w:tcPr>
            <w:tcW w:w="1510" w:type="pct"/>
          </w:tcPr>
          <w:p w14:paraId="4D5D58C6"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付款人名称</w:t>
            </w:r>
          </w:p>
        </w:tc>
        <w:tc>
          <w:tcPr>
            <w:tcW w:w="1070" w:type="pct"/>
          </w:tcPr>
          <w:p w14:paraId="1123868A"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CUSTNAME</w:t>
            </w:r>
          </w:p>
        </w:tc>
        <w:tc>
          <w:tcPr>
            <w:tcW w:w="809" w:type="pct"/>
          </w:tcPr>
          <w:p w14:paraId="1AED111C" w14:textId="77777777" w:rsidR="00A052DC" w:rsidRDefault="009F0A60">
            <w:pPr>
              <w:rPr>
                <w:rFonts w:ascii="黑体" w:eastAsia="黑体" w:hAnsi="黑体" w:cs="宋体"/>
                <w:sz w:val="20"/>
                <w:szCs w:val="20"/>
              </w:rPr>
            </w:pPr>
            <w:r>
              <w:rPr>
                <w:rFonts w:ascii="黑体" w:eastAsia="黑体" w:hAnsi="黑体" w:hint="eastAsia"/>
                <w:sz w:val="20"/>
                <w:szCs w:val="20"/>
              </w:rPr>
              <w:t>字符型，128</w:t>
            </w:r>
          </w:p>
        </w:tc>
        <w:tc>
          <w:tcPr>
            <w:tcW w:w="1611" w:type="pct"/>
          </w:tcPr>
          <w:p w14:paraId="13B622C3" w14:textId="77777777" w:rsidR="00A052DC" w:rsidRDefault="00A052DC">
            <w:pPr>
              <w:rPr>
                <w:rFonts w:ascii="黑体" w:eastAsia="黑体" w:hAnsi="黑体" w:cs="宋体"/>
                <w:sz w:val="20"/>
                <w:szCs w:val="20"/>
              </w:rPr>
            </w:pPr>
          </w:p>
        </w:tc>
      </w:tr>
      <w:tr w:rsidR="00A052DC" w14:paraId="6024E7E0" w14:textId="77777777">
        <w:tc>
          <w:tcPr>
            <w:tcW w:w="1510" w:type="pct"/>
          </w:tcPr>
          <w:p w14:paraId="008AADB5"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收款人名称</w:t>
            </w:r>
          </w:p>
        </w:tc>
        <w:tc>
          <w:tcPr>
            <w:tcW w:w="1070" w:type="pct"/>
          </w:tcPr>
          <w:p w14:paraId="6336A46F"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OPPNAME</w:t>
            </w:r>
          </w:p>
        </w:tc>
        <w:tc>
          <w:tcPr>
            <w:tcW w:w="809" w:type="pct"/>
          </w:tcPr>
          <w:p w14:paraId="424F328F" w14:textId="77777777" w:rsidR="00A052DC" w:rsidRDefault="009F0A60">
            <w:pPr>
              <w:rPr>
                <w:rFonts w:ascii="黑体" w:eastAsia="黑体" w:hAnsi="黑体" w:cs="宋体"/>
                <w:sz w:val="20"/>
                <w:szCs w:val="20"/>
              </w:rPr>
            </w:pPr>
            <w:r>
              <w:rPr>
                <w:rFonts w:ascii="黑体" w:eastAsia="黑体" w:hAnsi="黑体" w:hint="eastAsia"/>
                <w:sz w:val="20"/>
                <w:szCs w:val="20"/>
              </w:rPr>
              <w:t>字符型，128</w:t>
            </w:r>
          </w:p>
        </w:tc>
        <w:tc>
          <w:tcPr>
            <w:tcW w:w="1611" w:type="pct"/>
          </w:tcPr>
          <w:p w14:paraId="73535D08" w14:textId="77777777" w:rsidR="00A052DC" w:rsidRDefault="00A052DC">
            <w:pPr>
              <w:rPr>
                <w:rFonts w:ascii="黑体" w:eastAsia="黑体" w:hAnsi="黑体" w:cs="宋体"/>
                <w:sz w:val="20"/>
                <w:szCs w:val="20"/>
              </w:rPr>
            </w:pPr>
          </w:p>
        </w:tc>
      </w:tr>
      <w:tr w:rsidR="00A052DC" w14:paraId="2DFEA9DB" w14:textId="77777777">
        <w:tc>
          <w:tcPr>
            <w:tcW w:w="1510" w:type="pct"/>
          </w:tcPr>
          <w:p w14:paraId="02E072D7"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付款币种</w:t>
            </w:r>
          </w:p>
        </w:tc>
        <w:tc>
          <w:tcPr>
            <w:tcW w:w="1070" w:type="pct"/>
          </w:tcPr>
          <w:p w14:paraId="77A25C3F"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TXCCY</w:t>
            </w:r>
          </w:p>
        </w:tc>
        <w:tc>
          <w:tcPr>
            <w:tcW w:w="809" w:type="pct"/>
          </w:tcPr>
          <w:p w14:paraId="2AB9DB4B" w14:textId="77777777" w:rsidR="00A052DC" w:rsidRDefault="009F0A60">
            <w:pPr>
              <w:rPr>
                <w:rFonts w:ascii="黑体" w:eastAsia="黑体" w:hAnsi="黑体" w:cs="宋体"/>
                <w:sz w:val="20"/>
                <w:szCs w:val="20"/>
              </w:rPr>
            </w:pPr>
            <w:r>
              <w:rPr>
                <w:rFonts w:ascii="黑体" w:eastAsia="黑体" w:hAnsi="黑体" w:hint="eastAsia"/>
                <w:sz w:val="20"/>
                <w:szCs w:val="20"/>
              </w:rPr>
              <w:t>字符型，3</w:t>
            </w:r>
          </w:p>
        </w:tc>
        <w:tc>
          <w:tcPr>
            <w:tcW w:w="1611" w:type="pct"/>
          </w:tcPr>
          <w:p w14:paraId="371EA723" w14:textId="77777777" w:rsidR="00A052DC" w:rsidRDefault="00A052DC">
            <w:pPr>
              <w:rPr>
                <w:rFonts w:ascii="黑体" w:eastAsia="黑体" w:hAnsi="黑体" w:cs="宋体"/>
                <w:sz w:val="20"/>
                <w:szCs w:val="20"/>
              </w:rPr>
            </w:pPr>
          </w:p>
        </w:tc>
      </w:tr>
      <w:tr w:rsidR="00A052DC" w14:paraId="0156826E" w14:textId="77777777">
        <w:tc>
          <w:tcPr>
            <w:tcW w:w="1510" w:type="pct"/>
          </w:tcPr>
          <w:p w14:paraId="1DC6FC9E"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付款金额</w:t>
            </w:r>
          </w:p>
        </w:tc>
        <w:tc>
          <w:tcPr>
            <w:tcW w:w="1070" w:type="pct"/>
          </w:tcPr>
          <w:p w14:paraId="75D60CDE"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TXAMT</w:t>
            </w:r>
          </w:p>
        </w:tc>
        <w:tc>
          <w:tcPr>
            <w:tcW w:w="809" w:type="pct"/>
          </w:tcPr>
          <w:p w14:paraId="2FB887D3" w14:textId="77777777" w:rsidR="00A052DC" w:rsidRDefault="009F0A60">
            <w:pPr>
              <w:rPr>
                <w:rFonts w:ascii="黑体" w:eastAsia="黑体" w:hAnsi="黑体" w:cs="宋体"/>
                <w:sz w:val="20"/>
                <w:szCs w:val="20"/>
              </w:rPr>
            </w:pPr>
            <w:r>
              <w:rPr>
                <w:rFonts w:ascii="黑体" w:eastAsia="黑体" w:hAnsi="黑体" w:hint="eastAsia"/>
                <w:sz w:val="20"/>
                <w:szCs w:val="20"/>
              </w:rPr>
              <w:t>数值型，22.0</w:t>
            </w:r>
          </w:p>
        </w:tc>
        <w:tc>
          <w:tcPr>
            <w:tcW w:w="1611" w:type="pct"/>
          </w:tcPr>
          <w:p w14:paraId="553F8823" w14:textId="77777777" w:rsidR="00A052DC" w:rsidRDefault="00A052DC">
            <w:pPr>
              <w:rPr>
                <w:rFonts w:ascii="黑体" w:eastAsia="黑体" w:hAnsi="黑体" w:cs="宋体"/>
                <w:sz w:val="20"/>
                <w:szCs w:val="20"/>
              </w:rPr>
            </w:pPr>
          </w:p>
        </w:tc>
      </w:tr>
      <w:tr w:rsidR="00A052DC" w14:paraId="77B57C49" w14:textId="77777777">
        <w:tc>
          <w:tcPr>
            <w:tcW w:w="1510" w:type="pct"/>
          </w:tcPr>
          <w:p w14:paraId="6ED67606"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购汇汇率</w:t>
            </w:r>
          </w:p>
        </w:tc>
        <w:tc>
          <w:tcPr>
            <w:tcW w:w="1070" w:type="pct"/>
          </w:tcPr>
          <w:p w14:paraId="347AA9A3"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EXRATE</w:t>
            </w:r>
          </w:p>
        </w:tc>
        <w:tc>
          <w:tcPr>
            <w:tcW w:w="809" w:type="pct"/>
          </w:tcPr>
          <w:p w14:paraId="60CA8EFB" w14:textId="77777777" w:rsidR="00A052DC" w:rsidRDefault="009F0A60">
            <w:pPr>
              <w:rPr>
                <w:rFonts w:ascii="黑体" w:eastAsia="黑体" w:hAnsi="黑体" w:cs="宋体"/>
                <w:sz w:val="20"/>
                <w:szCs w:val="20"/>
              </w:rPr>
            </w:pPr>
            <w:r>
              <w:rPr>
                <w:rFonts w:ascii="黑体" w:eastAsia="黑体" w:hAnsi="黑体" w:hint="eastAsia"/>
                <w:sz w:val="20"/>
                <w:szCs w:val="20"/>
              </w:rPr>
              <w:t>数值型，13.8</w:t>
            </w:r>
          </w:p>
        </w:tc>
        <w:tc>
          <w:tcPr>
            <w:tcW w:w="1611" w:type="pct"/>
          </w:tcPr>
          <w:p w14:paraId="55DC18EF" w14:textId="77777777" w:rsidR="00A052DC" w:rsidRDefault="00A052DC">
            <w:pPr>
              <w:rPr>
                <w:rFonts w:ascii="黑体" w:eastAsia="黑体" w:hAnsi="黑体" w:cs="宋体"/>
                <w:sz w:val="20"/>
                <w:szCs w:val="20"/>
              </w:rPr>
            </w:pPr>
          </w:p>
        </w:tc>
      </w:tr>
      <w:tr w:rsidR="00A052DC" w14:paraId="56EC4621" w14:textId="77777777">
        <w:tc>
          <w:tcPr>
            <w:tcW w:w="1510" w:type="pct"/>
          </w:tcPr>
          <w:p w14:paraId="086DF934"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购汇金额</w:t>
            </w:r>
          </w:p>
        </w:tc>
        <w:tc>
          <w:tcPr>
            <w:tcW w:w="1070" w:type="pct"/>
          </w:tcPr>
          <w:p w14:paraId="7DFDFCF4"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LCYAMT</w:t>
            </w:r>
          </w:p>
        </w:tc>
        <w:tc>
          <w:tcPr>
            <w:tcW w:w="809" w:type="pct"/>
          </w:tcPr>
          <w:p w14:paraId="13DE1E45" w14:textId="77777777" w:rsidR="00A052DC" w:rsidRDefault="009F0A60">
            <w:pPr>
              <w:rPr>
                <w:rFonts w:ascii="黑体" w:eastAsia="黑体" w:hAnsi="黑体" w:cs="宋体"/>
                <w:sz w:val="20"/>
                <w:szCs w:val="20"/>
              </w:rPr>
            </w:pPr>
            <w:r>
              <w:rPr>
                <w:rFonts w:ascii="黑体" w:eastAsia="黑体" w:hAnsi="黑体" w:hint="eastAsia"/>
                <w:sz w:val="20"/>
                <w:szCs w:val="20"/>
              </w:rPr>
              <w:t>数值型，22.0</w:t>
            </w:r>
          </w:p>
        </w:tc>
        <w:tc>
          <w:tcPr>
            <w:tcW w:w="1611" w:type="pct"/>
          </w:tcPr>
          <w:p w14:paraId="4B3BF9D5" w14:textId="77777777" w:rsidR="00A052DC" w:rsidRDefault="00A052DC">
            <w:pPr>
              <w:rPr>
                <w:rFonts w:ascii="黑体" w:eastAsia="黑体" w:hAnsi="黑体" w:cs="宋体"/>
                <w:sz w:val="20"/>
                <w:szCs w:val="20"/>
              </w:rPr>
            </w:pPr>
          </w:p>
        </w:tc>
      </w:tr>
      <w:tr w:rsidR="00A052DC" w14:paraId="12629FFB" w14:textId="77777777">
        <w:tc>
          <w:tcPr>
            <w:tcW w:w="1510" w:type="pct"/>
          </w:tcPr>
          <w:p w14:paraId="414B5374"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人民币账号/银行卡号</w:t>
            </w:r>
          </w:p>
        </w:tc>
        <w:tc>
          <w:tcPr>
            <w:tcW w:w="1070" w:type="pct"/>
          </w:tcPr>
          <w:p w14:paraId="01CD5F76"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LCYACC</w:t>
            </w:r>
          </w:p>
        </w:tc>
        <w:tc>
          <w:tcPr>
            <w:tcW w:w="809" w:type="pct"/>
          </w:tcPr>
          <w:p w14:paraId="3ED3EEEF" w14:textId="77777777" w:rsidR="00A052DC" w:rsidRDefault="009F0A60">
            <w:pPr>
              <w:rPr>
                <w:rFonts w:ascii="黑体" w:eastAsia="黑体" w:hAnsi="黑体" w:cs="宋体"/>
                <w:sz w:val="20"/>
                <w:szCs w:val="20"/>
              </w:rPr>
            </w:pPr>
            <w:r>
              <w:rPr>
                <w:rFonts w:ascii="黑体" w:eastAsia="黑体" w:hAnsi="黑体" w:hint="eastAsia"/>
                <w:sz w:val="20"/>
                <w:szCs w:val="20"/>
              </w:rPr>
              <w:t>字符型，32</w:t>
            </w:r>
          </w:p>
        </w:tc>
        <w:tc>
          <w:tcPr>
            <w:tcW w:w="1611" w:type="pct"/>
          </w:tcPr>
          <w:p w14:paraId="63822216" w14:textId="77777777" w:rsidR="00A052DC" w:rsidRDefault="00A052DC">
            <w:pPr>
              <w:rPr>
                <w:rFonts w:ascii="黑体" w:eastAsia="黑体" w:hAnsi="黑体" w:cs="宋体"/>
                <w:sz w:val="20"/>
                <w:szCs w:val="20"/>
              </w:rPr>
            </w:pPr>
          </w:p>
        </w:tc>
      </w:tr>
      <w:tr w:rsidR="00A052DC" w14:paraId="601DABD7" w14:textId="77777777">
        <w:tc>
          <w:tcPr>
            <w:tcW w:w="1510" w:type="pct"/>
          </w:tcPr>
          <w:p w14:paraId="6CA00891"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现汇金额</w:t>
            </w:r>
          </w:p>
        </w:tc>
        <w:tc>
          <w:tcPr>
            <w:tcW w:w="1070" w:type="pct"/>
          </w:tcPr>
          <w:p w14:paraId="52759F35"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FCYAMT</w:t>
            </w:r>
          </w:p>
        </w:tc>
        <w:tc>
          <w:tcPr>
            <w:tcW w:w="809" w:type="pct"/>
          </w:tcPr>
          <w:p w14:paraId="056989E7" w14:textId="77777777" w:rsidR="00A052DC" w:rsidRDefault="009F0A60">
            <w:pPr>
              <w:rPr>
                <w:rFonts w:ascii="黑体" w:eastAsia="黑体" w:hAnsi="黑体" w:cs="宋体"/>
                <w:sz w:val="20"/>
                <w:szCs w:val="20"/>
              </w:rPr>
            </w:pPr>
            <w:r>
              <w:rPr>
                <w:rFonts w:ascii="黑体" w:eastAsia="黑体" w:hAnsi="黑体" w:hint="eastAsia"/>
                <w:sz w:val="20"/>
                <w:szCs w:val="20"/>
              </w:rPr>
              <w:t>数值型，22.0</w:t>
            </w:r>
          </w:p>
        </w:tc>
        <w:tc>
          <w:tcPr>
            <w:tcW w:w="1611" w:type="pct"/>
          </w:tcPr>
          <w:p w14:paraId="3CDC07A2" w14:textId="77777777" w:rsidR="00A052DC" w:rsidRDefault="00A052DC">
            <w:pPr>
              <w:rPr>
                <w:rFonts w:ascii="黑体" w:eastAsia="黑体" w:hAnsi="黑体" w:cs="宋体"/>
                <w:sz w:val="20"/>
                <w:szCs w:val="20"/>
              </w:rPr>
            </w:pPr>
          </w:p>
        </w:tc>
      </w:tr>
      <w:tr w:rsidR="00A052DC" w14:paraId="454AD392" w14:textId="77777777">
        <w:tc>
          <w:tcPr>
            <w:tcW w:w="1510" w:type="pct"/>
          </w:tcPr>
          <w:p w14:paraId="6D5636B6"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外汇账号/银行卡号</w:t>
            </w:r>
          </w:p>
        </w:tc>
        <w:tc>
          <w:tcPr>
            <w:tcW w:w="1070" w:type="pct"/>
          </w:tcPr>
          <w:p w14:paraId="1F7DDBA1"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FCYACC</w:t>
            </w:r>
          </w:p>
        </w:tc>
        <w:tc>
          <w:tcPr>
            <w:tcW w:w="809" w:type="pct"/>
          </w:tcPr>
          <w:p w14:paraId="3A5F7E8A" w14:textId="77777777" w:rsidR="00A052DC" w:rsidRDefault="009F0A60">
            <w:pPr>
              <w:rPr>
                <w:rFonts w:ascii="黑体" w:eastAsia="黑体" w:hAnsi="黑体" w:cs="宋体"/>
                <w:sz w:val="20"/>
                <w:szCs w:val="20"/>
              </w:rPr>
            </w:pPr>
            <w:r>
              <w:rPr>
                <w:rFonts w:ascii="黑体" w:eastAsia="黑体" w:hAnsi="黑体" w:hint="eastAsia"/>
                <w:sz w:val="20"/>
                <w:szCs w:val="20"/>
              </w:rPr>
              <w:t>字符型，32</w:t>
            </w:r>
          </w:p>
        </w:tc>
        <w:tc>
          <w:tcPr>
            <w:tcW w:w="1611" w:type="pct"/>
          </w:tcPr>
          <w:p w14:paraId="7C863FCF" w14:textId="77777777" w:rsidR="00A052DC" w:rsidRDefault="00A052DC">
            <w:pPr>
              <w:rPr>
                <w:rFonts w:ascii="黑体" w:eastAsia="黑体" w:hAnsi="黑体" w:cs="宋体"/>
                <w:sz w:val="20"/>
                <w:szCs w:val="20"/>
              </w:rPr>
            </w:pPr>
          </w:p>
        </w:tc>
      </w:tr>
      <w:tr w:rsidR="00A052DC" w14:paraId="0AF6EFE4" w14:textId="77777777">
        <w:tc>
          <w:tcPr>
            <w:tcW w:w="1510" w:type="pct"/>
          </w:tcPr>
          <w:p w14:paraId="62A36D1E"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其他金额</w:t>
            </w:r>
          </w:p>
        </w:tc>
        <w:tc>
          <w:tcPr>
            <w:tcW w:w="1070" w:type="pct"/>
          </w:tcPr>
          <w:p w14:paraId="329DF303"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OTHAMT</w:t>
            </w:r>
          </w:p>
        </w:tc>
        <w:tc>
          <w:tcPr>
            <w:tcW w:w="809" w:type="pct"/>
          </w:tcPr>
          <w:p w14:paraId="70808F21" w14:textId="77777777" w:rsidR="00A052DC" w:rsidRDefault="009F0A60">
            <w:pPr>
              <w:rPr>
                <w:rFonts w:ascii="黑体" w:eastAsia="黑体" w:hAnsi="黑体" w:cs="宋体"/>
                <w:sz w:val="20"/>
                <w:szCs w:val="20"/>
              </w:rPr>
            </w:pPr>
            <w:r>
              <w:rPr>
                <w:rFonts w:ascii="黑体" w:eastAsia="黑体" w:hAnsi="黑体" w:hint="eastAsia"/>
                <w:sz w:val="20"/>
                <w:szCs w:val="20"/>
              </w:rPr>
              <w:t>数值型，22.0</w:t>
            </w:r>
          </w:p>
        </w:tc>
        <w:tc>
          <w:tcPr>
            <w:tcW w:w="1611" w:type="pct"/>
          </w:tcPr>
          <w:p w14:paraId="0EFFEB6A" w14:textId="77777777" w:rsidR="00A052DC" w:rsidRDefault="00A052DC">
            <w:pPr>
              <w:rPr>
                <w:rFonts w:ascii="黑体" w:eastAsia="黑体" w:hAnsi="黑体" w:cs="宋体"/>
                <w:sz w:val="20"/>
                <w:szCs w:val="20"/>
              </w:rPr>
            </w:pPr>
          </w:p>
        </w:tc>
      </w:tr>
      <w:tr w:rsidR="00A052DC" w14:paraId="24040CAA" w14:textId="77777777">
        <w:tc>
          <w:tcPr>
            <w:tcW w:w="1510" w:type="pct"/>
          </w:tcPr>
          <w:p w14:paraId="3E5DC203" w14:textId="77777777" w:rsidR="00A052DC" w:rsidRDefault="0021563C">
            <w:pPr>
              <w:rPr>
                <w:rFonts w:ascii="黑体" w:eastAsia="黑体" w:hAnsi="黑体" w:cs="Microsoft Sans Serif"/>
                <w:sz w:val="20"/>
                <w:szCs w:val="20"/>
              </w:rPr>
            </w:pPr>
            <w:r>
              <w:rPr>
                <w:rFonts w:ascii="黑体" w:eastAsia="黑体" w:hAnsi="黑体" w:cs="Microsoft Sans Serif" w:hint="eastAsia"/>
                <w:sz w:val="20"/>
                <w:szCs w:val="20"/>
              </w:rPr>
              <w:t>其他</w:t>
            </w:r>
            <w:r w:rsidR="009F0A60">
              <w:rPr>
                <w:rFonts w:ascii="黑体" w:eastAsia="黑体" w:hAnsi="黑体" w:cs="Microsoft Sans Serif" w:hint="eastAsia"/>
                <w:sz w:val="20"/>
                <w:szCs w:val="20"/>
              </w:rPr>
              <w:t>账号/银行卡号</w:t>
            </w:r>
          </w:p>
        </w:tc>
        <w:tc>
          <w:tcPr>
            <w:tcW w:w="1070" w:type="pct"/>
          </w:tcPr>
          <w:p w14:paraId="2DE8D22B"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OTHACC</w:t>
            </w:r>
          </w:p>
        </w:tc>
        <w:tc>
          <w:tcPr>
            <w:tcW w:w="809" w:type="pct"/>
          </w:tcPr>
          <w:p w14:paraId="57D396BC" w14:textId="77777777" w:rsidR="00A052DC" w:rsidRDefault="009F0A60">
            <w:pPr>
              <w:rPr>
                <w:rFonts w:ascii="黑体" w:eastAsia="黑体" w:hAnsi="黑体" w:cs="宋体"/>
                <w:sz w:val="20"/>
                <w:szCs w:val="20"/>
              </w:rPr>
            </w:pPr>
            <w:r>
              <w:rPr>
                <w:rFonts w:ascii="黑体" w:eastAsia="黑体" w:hAnsi="黑体" w:hint="eastAsia"/>
                <w:sz w:val="20"/>
                <w:szCs w:val="20"/>
              </w:rPr>
              <w:t>字符型，32</w:t>
            </w:r>
          </w:p>
        </w:tc>
        <w:tc>
          <w:tcPr>
            <w:tcW w:w="1611" w:type="pct"/>
          </w:tcPr>
          <w:p w14:paraId="6B4A7F57" w14:textId="77777777" w:rsidR="00A052DC" w:rsidRDefault="00A052DC">
            <w:pPr>
              <w:rPr>
                <w:rFonts w:ascii="黑体" w:eastAsia="黑体" w:hAnsi="黑体"/>
                <w:sz w:val="20"/>
                <w:szCs w:val="20"/>
              </w:rPr>
            </w:pPr>
          </w:p>
        </w:tc>
      </w:tr>
      <w:tr w:rsidR="00A052DC" w14:paraId="01E2DD31" w14:textId="77777777">
        <w:tc>
          <w:tcPr>
            <w:tcW w:w="1510" w:type="pct"/>
          </w:tcPr>
          <w:p w14:paraId="4A66AA80"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结算方式</w:t>
            </w:r>
          </w:p>
        </w:tc>
        <w:tc>
          <w:tcPr>
            <w:tcW w:w="1070" w:type="pct"/>
          </w:tcPr>
          <w:p w14:paraId="5FA7DB0C"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PAYMETHOD</w:t>
            </w:r>
          </w:p>
        </w:tc>
        <w:tc>
          <w:tcPr>
            <w:tcW w:w="809" w:type="pct"/>
          </w:tcPr>
          <w:p w14:paraId="458B4070" w14:textId="77777777" w:rsidR="00A052DC" w:rsidRDefault="009F0A60">
            <w:pPr>
              <w:rPr>
                <w:rFonts w:ascii="黑体" w:eastAsia="黑体" w:hAnsi="黑体" w:cs="宋体"/>
                <w:sz w:val="20"/>
                <w:szCs w:val="20"/>
              </w:rPr>
            </w:pPr>
            <w:r>
              <w:rPr>
                <w:rFonts w:ascii="黑体" w:eastAsia="黑体" w:hAnsi="黑体" w:hint="eastAsia"/>
                <w:sz w:val="20"/>
                <w:szCs w:val="20"/>
              </w:rPr>
              <w:t>字符型，6</w:t>
            </w:r>
          </w:p>
        </w:tc>
        <w:tc>
          <w:tcPr>
            <w:tcW w:w="1611" w:type="pct"/>
          </w:tcPr>
          <w:p w14:paraId="0A33E3CE" w14:textId="77777777" w:rsidR="00A052DC" w:rsidRDefault="009F0A60">
            <w:pPr>
              <w:rPr>
                <w:rFonts w:ascii="黑体" w:eastAsia="黑体" w:hAnsi="黑体"/>
                <w:sz w:val="20"/>
                <w:szCs w:val="20"/>
              </w:rPr>
            </w:pPr>
            <w:r>
              <w:rPr>
                <w:rFonts w:ascii="黑体" w:eastAsia="黑体" w:hAnsi="黑体" w:hint="eastAsia"/>
                <w:sz w:val="20"/>
                <w:szCs w:val="20"/>
              </w:rPr>
              <w:t>L</w:t>
            </w:r>
            <w:r w:rsidR="00AE4602">
              <w:rPr>
                <w:rFonts w:ascii="黑体" w:eastAsia="黑体" w:hAnsi="黑体" w:hint="eastAsia"/>
                <w:sz w:val="20"/>
                <w:szCs w:val="20"/>
              </w:rPr>
              <w:t>-</w:t>
            </w:r>
            <w:r>
              <w:rPr>
                <w:rFonts w:ascii="黑体" w:eastAsia="黑体" w:hAnsi="黑体" w:hint="eastAsia"/>
                <w:sz w:val="20"/>
                <w:szCs w:val="20"/>
              </w:rPr>
              <w:t>信用证</w:t>
            </w:r>
          </w:p>
          <w:p w14:paraId="03B70485" w14:textId="77777777" w:rsidR="00A052DC" w:rsidRDefault="009F0A60">
            <w:pPr>
              <w:rPr>
                <w:rFonts w:ascii="黑体" w:eastAsia="黑体" w:hAnsi="黑体"/>
                <w:sz w:val="20"/>
                <w:szCs w:val="20"/>
              </w:rPr>
            </w:pPr>
            <w:r>
              <w:rPr>
                <w:rFonts w:ascii="黑体" w:eastAsia="黑体" w:hAnsi="黑体" w:hint="eastAsia"/>
                <w:sz w:val="20"/>
                <w:szCs w:val="20"/>
              </w:rPr>
              <w:t>G</w:t>
            </w:r>
            <w:r w:rsidR="00AE4602">
              <w:rPr>
                <w:rFonts w:ascii="黑体" w:eastAsia="黑体" w:hAnsi="黑体" w:hint="eastAsia"/>
                <w:sz w:val="20"/>
                <w:szCs w:val="20"/>
              </w:rPr>
              <w:t>-</w:t>
            </w:r>
            <w:r>
              <w:rPr>
                <w:rFonts w:ascii="黑体" w:eastAsia="黑体" w:hAnsi="黑体" w:hint="eastAsia"/>
                <w:sz w:val="20"/>
                <w:szCs w:val="20"/>
              </w:rPr>
              <w:t>保函</w:t>
            </w:r>
          </w:p>
          <w:p w14:paraId="1F351C03" w14:textId="77777777" w:rsidR="00A052DC" w:rsidRDefault="009F0A60">
            <w:pPr>
              <w:rPr>
                <w:rFonts w:ascii="黑体" w:eastAsia="黑体" w:hAnsi="黑体"/>
                <w:sz w:val="20"/>
                <w:szCs w:val="20"/>
              </w:rPr>
            </w:pPr>
            <w:r>
              <w:rPr>
                <w:rFonts w:ascii="黑体" w:eastAsia="黑体" w:hAnsi="黑体" w:hint="eastAsia"/>
                <w:sz w:val="20"/>
                <w:szCs w:val="20"/>
              </w:rPr>
              <w:t>C</w:t>
            </w:r>
            <w:r w:rsidR="00AE4602">
              <w:rPr>
                <w:rFonts w:ascii="黑体" w:eastAsia="黑体" w:hAnsi="黑体" w:hint="eastAsia"/>
                <w:sz w:val="20"/>
                <w:szCs w:val="20"/>
              </w:rPr>
              <w:t>-</w:t>
            </w:r>
            <w:r>
              <w:rPr>
                <w:rFonts w:ascii="黑体" w:eastAsia="黑体" w:hAnsi="黑体" w:hint="eastAsia"/>
                <w:sz w:val="20"/>
                <w:szCs w:val="20"/>
              </w:rPr>
              <w:t>托收</w:t>
            </w:r>
          </w:p>
          <w:p w14:paraId="538073AF" w14:textId="77777777" w:rsidR="00A052DC" w:rsidRDefault="009F0A60">
            <w:pPr>
              <w:rPr>
                <w:rFonts w:ascii="黑体" w:eastAsia="黑体" w:hAnsi="黑体" w:cs="宋体"/>
                <w:sz w:val="20"/>
                <w:szCs w:val="20"/>
              </w:rPr>
            </w:pPr>
            <w:r>
              <w:rPr>
                <w:rFonts w:ascii="黑体" w:eastAsia="黑体" w:hAnsi="黑体" w:hint="eastAsia"/>
                <w:sz w:val="20"/>
                <w:szCs w:val="20"/>
              </w:rPr>
              <w:t>O</w:t>
            </w:r>
            <w:r w:rsidR="00AE4602">
              <w:rPr>
                <w:rFonts w:ascii="黑体" w:eastAsia="黑体" w:hAnsi="黑体" w:hint="eastAsia"/>
                <w:sz w:val="20"/>
                <w:szCs w:val="20"/>
              </w:rPr>
              <w:t>-</w:t>
            </w:r>
            <w:r>
              <w:rPr>
                <w:rFonts w:ascii="黑体" w:eastAsia="黑体" w:hAnsi="黑体" w:hint="eastAsia"/>
                <w:sz w:val="20"/>
                <w:szCs w:val="20"/>
              </w:rPr>
              <w:t>其他</w:t>
            </w:r>
          </w:p>
        </w:tc>
      </w:tr>
      <w:tr w:rsidR="00A052DC" w14:paraId="36511300" w14:textId="77777777">
        <w:tc>
          <w:tcPr>
            <w:tcW w:w="1510" w:type="pct"/>
          </w:tcPr>
          <w:p w14:paraId="774C4164"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银行业务编码</w:t>
            </w:r>
          </w:p>
        </w:tc>
        <w:tc>
          <w:tcPr>
            <w:tcW w:w="1070" w:type="pct"/>
          </w:tcPr>
          <w:p w14:paraId="43759A0F"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BUSICODE</w:t>
            </w:r>
          </w:p>
        </w:tc>
        <w:tc>
          <w:tcPr>
            <w:tcW w:w="809" w:type="pct"/>
          </w:tcPr>
          <w:p w14:paraId="11A3FE41" w14:textId="77777777" w:rsidR="00A052DC" w:rsidRDefault="009F0A60">
            <w:pPr>
              <w:rPr>
                <w:rFonts w:ascii="黑体" w:eastAsia="黑体" w:hAnsi="黑体" w:cs="宋体"/>
                <w:sz w:val="20"/>
                <w:szCs w:val="20"/>
              </w:rPr>
            </w:pPr>
            <w:r>
              <w:rPr>
                <w:rFonts w:ascii="黑体" w:eastAsia="黑体" w:hAnsi="黑体" w:hint="eastAsia"/>
                <w:sz w:val="20"/>
                <w:szCs w:val="20"/>
              </w:rPr>
              <w:t>字符型，22</w:t>
            </w:r>
          </w:p>
        </w:tc>
        <w:tc>
          <w:tcPr>
            <w:tcW w:w="1611" w:type="pct"/>
          </w:tcPr>
          <w:p w14:paraId="5B5DBE0E" w14:textId="77777777" w:rsidR="00A052DC" w:rsidRDefault="00A052DC">
            <w:pPr>
              <w:rPr>
                <w:rFonts w:ascii="黑体" w:eastAsia="黑体" w:hAnsi="黑体" w:cs="宋体"/>
                <w:sz w:val="20"/>
                <w:szCs w:val="20"/>
              </w:rPr>
            </w:pPr>
          </w:p>
        </w:tc>
      </w:tr>
      <w:tr w:rsidR="00A052DC" w14:paraId="663967EE" w14:textId="77777777">
        <w:tc>
          <w:tcPr>
            <w:tcW w:w="1510" w:type="pct"/>
          </w:tcPr>
          <w:p w14:paraId="5F52C0C3"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实际付款币种</w:t>
            </w:r>
          </w:p>
        </w:tc>
        <w:tc>
          <w:tcPr>
            <w:tcW w:w="1070" w:type="pct"/>
          </w:tcPr>
          <w:p w14:paraId="04B9E9E9"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ACTUCCY</w:t>
            </w:r>
          </w:p>
        </w:tc>
        <w:tc>
          <w:tcPr>
            <w:tcW w:w="809" w:type="pct"/>
          </w:tcPr>
          <w:p w14:paraId="6B4F46CA" w14:textId="77777777" w:rsidR="00A052DC" w:rsidRDefault="009F0A60">
            <w:pPr>
              <w:rPr>
                <w:rFonts w:ascii="黑体" w:eastAsia="黑体" w:hAnsi="黑体" w:cs="宋体"/>
                <w:sz w:val="20"/>
                <w:szCs w:val="20"/>
              </w:rPr>
            </w:pPr>
            <w:r>
              <w:rPr>
                <w:rFonts w:ascii="黑体" w:eastAsia="黑体" w:hAnsi="黑体" w:hint="eastAsia"/>
                <w:sz w:val="20"/>
                <w:szCs w:val="20"/>
              </w:rPr>
              <w:t>字符型，3</w:t>
            </w:r>
          </w:p>
        </w:tc>
        <w:tc>
          <w:tcPr>
            <w:tcW w:w="1611" w:type="pct"/>
          </w:tcPr>
          <w:p w14:paraId="5B5BA798" w14:textId="77777777" w:rsidR="00A052DC" w:rsidRDefault="00A052DC">
            <w:pPr>
              <w:rPr>
                <w:rFonts w:ascii="黑体" w:eastAsia="黑体" w:hAnsi="黑体" w:cs="宋体"/>
                <w:sz w:val="20"/>
                <w:szCs w:val="20"/>
              </w:rPr>
            </w:pPr>
          </w:p>
        </w:tc>
      </w:tr>
      <w:tr w:rsidR="00A052DC" w14:paraId="4A0D9C16" w14:textId="77777777">
        <w:tc>
          <w:tcPr>
            <w:tcW w:w="1510" w:type="pct"/>
          </w:tcPr>
          <w:p w14:paraId="4354FD03"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实际付款金额</w:t>
            </w:r>
          </w:p>
        </w:tc>
        <w:tc>
          <w:tcPr>
            <w:tcW w:w="1070" w:type="pct"/>
          </w:tcPr>
          <w:p w14:paraId="2E7B36FB"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ACTUAMT</w:t>
            </w:r>
          </w:p>
        </w:tc>
        <w:tc>
          <w:tcPr>
            <w:tcW w:w="809" w:type="pct"/>
          </w:tcPr>
          <w:p w14:paraId="47F8FB52" w14:textId="77777777" w:rsidR="00A052DC" w:rsidRDefault="009F0A60">
            <w:pPr>
              <w:rPr>
                <w:rFonts w:ascii="黑体" w:eastAsia="黑体" w:hAnsi="黑体" w:cs="宋体"/>
                <w:sz w:val="20"/>
                <w:szCs w:val="20"/>
              </w:rPr>
            </w:pPr>
            <w:r>
              <w:rPr>
                <w:rFonts w:ascii="黑体" w:eastAsia="黑体" w:hAnsi="黑体" w:hint="eastAsia"/>
                <w:sz w:val="20"/>
                <w:szCs w:val="20"/>
              </w:rPr>
              <w:t>数值型，22.0</w:t>
            </w:r>
          </w:p>
        </w:tc>
        <w:tc>
          <w:tcPr>
            <w:tcW w:w="1611" w:type="pct"/>
          </w:tcPr>
          <w:p w14:paraId="35CE6536" w14:textId="77777777" w:rsidR="00A052DC" w:rsidRDefault="00A052DC">
            <w:pPr>
              <w:rPr>
                <w:rFonts w:ascii="黑体" w:eastAsia="黑体" w:hAnsi="黑体" w:cs="宋体"/>
                <w:sz w:val="20"/>
                <w:szCs w:val="20"/>
              </w:rPr>
            </w:pPr>
          </w:p>
        </w:tc>
      </w:tr>
      <w:tr w:rsidR="00A052DC" w14:paraId="05DDF026" w14:textId="77777777">
        <w:tc>
          <w:tcPr>
            <w:tcW w:w="1510" w:type="pct"/>
          </w:tcPr>
          <w:p w14:paraId="0729DF2C"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扣费币种</w:t>
            </w:r>
          </w:p>
        </w:tc>
        <w:tc>
          <w:tcPr>
            <w:tcW w:w="1070" w:type="pct"/>
          </w:tcPr>
          <w:p w14:paraId="6C635307"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OUTCHARGECCY</w:t>
            </w:r>
          </w:p>
        </w:tc>
        <w:tc>
          <w:tcPr>
            <w:tcW w:w="809" w:type="pct"/>
          </w:tcPr>
          <w:p w14:paraId="39752EA7" w14:textId="77777777" w:rsidR="00A052DC" w:rsidRDefault="009F0A60">
            <w:pPr>
              <w:rPr>
                <w:rFonts w:ascii="黑体" w:eastAsia="黑体" w:hAnsi="黑体" w:cs="宋体"/>
                <w:sz w:val="20"/>
                <w:szCs w:val="20"/>
              </w:rPr>
            </w:pPr>
            <w:r>
              <w:rPr>
                <w:rFonts w:ascii="黑体" w:eastAsia="黑体" w:hAnsi="黑体" w:hint="eastAsia"/>
                <w:sz w:val="20"/>
                <w:szCs w:val="20"/>
              </w:rPr>
              <w:t>字符型，3</w:t>
            </w:r>
          </w:p>
        </w:tc>
        <w:tc>
          <w:tcPr>
            <w:tcW w:w="1611" w:type="pct"/>
          </w:tcPr>
          <w:p w14:paraId="5F8B80ED" w14:textId="77777777" w:rsidR="00A052DC" w:rsidRDefault="00A052DC">
            <w:pPr>
              <w:rPr>
                <w:rFonts w:ascii="黑体" w:eastAsia="黑体" w:hAnsi="黑体" w:cs="宋体"/>
                <w:sz w:val="20"/>
                <w:szCs w:val="20"/>
              </w:rPr>
            </w:pPr>
          </w:p>
        </w:tc>
      </w:tr>
      <w:tr w:rsidR="00A052DC" w14:paraId="3CF02E75" w14:textId="77777777">
        <w:tc>
          <w:tcPr>
            <w:tcW w:w="1510" w:type="pct"/>
          </w:tcPr>
          <w:p w14:paraId="2E52926F"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扣费金额</w:t>
            </w:r>
          </w:p>
        </w:tc>
        <w:tc>
          <w:tcPr>
            <w:tcW w:w="1070" w:type="pct"/>
          </w:tcPr>
          <w:p w14:paraId="30C881BE"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OUTCHARGEAMT</w:t>
            </w:r>
          </w:p>
        </w:tc>
        <w:tc>
          <w:tcPr>
            <w:tcW w:w="809" w:type="pct"/>
          </w:tcPr>
          <w:p w14:paraId="17263290" w14:textId="77777777" w:rsidR="00A052DC" w:rsidRDefault="009F0A60">
            <w:pPr>
              <w:rPr>
                <w:rFonts w:ascii="黑体" w:eastAsia="黑体" w:hAnsi="黑体" w:cs="宋体"/>
                <w:sz w:val="20"/>
                <w:szCs w:val="20"/>
              </w:rPr>
            </w:pPr>
            <w:r>
              <w:rPr>
                <w:rFonts w:ascii="黑体" w:eastAsia="黑体" w:hAnsi="黑体" w:hint="eastAsia"/>
                <w:sz w:val="20"/>
                <w:szCs w:val="20"/>
              </w:rPr>
              <w:t>数值型，22.0</w:t>
            </w:r>
          </w:p>
        </w:tc>
        <w:tc>
          <w:tcPr>
            <w:tcW w:w="1611" w:type="pct"/>
          </w:tcPr>
          <w:p w14:paraId="2F6E7E4D" w14:textId="77777777" w:rsidR="00A052DC" w:rsidRDefault="00A052DC">
            <w:pPr>
              <w:rPr>
                <w:rFonts w:ascii="黑体" w:eastAsia="黑体" w:hAnsi="黑体" w:cs="宋体"/>
                <w:sz w:val="20"/>
                <w:szCs w:val="20"/>
              </w:rPr>
            </w:pPr>
          </w:p>
        </w:tc>
      </w:tr>
      <w:tr w:rsidR="00A052DC" w14:paraId="6A915E81" w14:textId="77777777">
        <w:tc>
          <w:tcPr>
            <w:tcW w:w="1510" w:type="pct"/>
          </w:tcPr>
          <w:p w14:paraId="65331A37"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信用证/保函编号</w:t>
            </w:r>
          </w:p>
        </w:tc>
        <w:tc>
          <w:tcPr>
            <w:tcW w:w="1070" w:type="pct"/>
          </w:tcPr>
          <w:p w14:paraId="74819668"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LCBGNO</w:t>
            </w:r>
          </w:p>
        </w:tc>
        <w:tc>
          <w:tcPr>
            <w:tcW w:w="809" w:type="pct"/>
          </w:tcPr>
          <w:p w14:paraId="2A73F93C" w14:textId="77777777" w:rsidR="00A052DC" w:rsidRDefault="009F0A60">
            <w:pPr>
              <w:rPr>
                <w:rFonts w:ascii="黑体" w:eastAsia="黑体" w:hAnsi="黑体" w:cs="宋体"/>
                <w:sz w:val="20"/>
                <w:szCs w:val="20"/>
              </w:rPr>
            </w:pPr>
            <w:r>
              <w:rPr>
                <w:rFonts w:ascii="黑体" w:eastAsia="黑体" w:hAnsi="黑体" w:hint="eastAsia"/>
                <w:sz w:val="20"/>
                <w:szCs w:val="20"/>
              </w:rPr>
              <w:t>字符型，20</w:t>
            </w:r>
          </w:p>
        </w:tc>
        <w:tc>
          <w:tcPr>
            <w:tcW w:w="1611" w:type="pct"/>
          </w:tcPr>
          <w:p w14:paraId="3E2D4A8A" w14:textId="77777777" w:rsidR="00A052DC" w:rsidRDefault="00A052DC">
            <w:pPr>
              <w:rPr>
                <w:rFonts w:ascii="黑体" w:eastAsia="黑体" w:hAnsi="黑体" w:cs="宋体"/>
                <w:sz w:val="20"/>
                <w:szCs w:val="20"/>
              </w:rPr>
            </w:pPr>
          </w:p>
        </w:tc>
      </w:tr>
      <w:tr w:rsidR="00A052DC" w14:paraId="4AEDEFD7" w14:textId="77777777">
        <w:tc>
          <w:tcPr>
            <w:tcW w:w="1510" w:type="pct"/>
          </w:tcPr>
          <w:p w14:paraId="65E37AEA"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开证日期</w:t>
            </w:r>
          </w:p>
        </w:tc>
        <w:tc>
          <w:tcPr>
            <w:tcW w:w="1070" w:type="pct"/>
          </w:tcPr>
          <w:p w14:paraId="62EF4D1B"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ISSUEDATE</w:t>
            </w:r>
          </w:p>
        </w:tc>
        <w:tc>
          <w:tcPr>
            <w:tcW w:w="809" w:type="pct"/>
          </w:tcPr>
          <w:p w14:paraId="116DE671" w14:textId="77777777" w:rsidR="00A052DC" w:rsidRDefault="009F0A60">
            <w:pPr>
              <w:rPr>
                <w:rFonts w:ascii="黑体" w:eastAsia="黑体" w:hAnsi="黑体" w:cs="宋体"/>
                <w:sz w:val="20"/>
                <w:szCs w:val="20"/>
              </w:rPr>
            </w:pPr>
            <w:r>
              <w:rPr>
                <w:rFonts w:ascii="黑体" w:eastAsia="黑体" w:hAnsi="黑体" w:hint="eastAsia"/>
                <w:sz w:val="20"/>
                <w:szCs w:val="20"/>
              </w:rPr>
              <w:t>日期型，8</w:t>
            </w:r>
          </w:p>
        </w:tc>
        <w:tc>
          <w:tcPr>
            <w:tcW w:w="1611" w:type="pct"/>
          </w:tcPr>
          <w:p w14:paraId="402E4A87" w14:textId="77777777" w:rsidR="00A052DC" w:rsidRDefault="009F0A60">
            <w:pPr>
              <w:rPr>
                <w:rFonts w:ascii="黑体" w:eastAsia="黑体" w:hAnsi="黑体" w:cs="宋体"/>
                <w:sz w:val="20"/>
                <w:szCs w:val="20"/>
              </w:rPr>
            </w:pPr>
            <w:r>
              <w:rPr>
                <w:rFonts w:ascii="黑体" w:eastAsia="黑体" w:hAnsi="黑体" w:hint="eastAsia"/>
                <w:sz w:val="20"/>
                <w:szCs w:val="20"/>
              </w:rPr>
              <w:t>YYYYMMDD</w:t>
            </w:r>
          </w:p>
        </w:tc>
      </w:tr>
      <w:tr w:rsidR="00A052DC" w14:paraId="170CAAC5" w14:textId="77777777">
        <w:tc>
          <w:tcPr>
            <w:tcW w:w="1510" w:type="pct"/>
          </w:tcPr>
          <w:p w14:paraId="2516D9EF"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期限</w:t>
            </w:r>
          </w:p>
        </w:tc>
        <w:tc>
          <w:tcPr>
            <w:tcW w:w="1070" w:type="pct"/>
          </w:tcPr>
          <w:p w14:paraId="78B35C98"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TENOR</w:t>
            </w:r>
          </w:p>
        </w:tc>
        <w:tc>
          <w:tcPr>
            <w:tcW w:w="809" w:type="pct"/>
          </w:tcPr>
          <w:p w14:paraId="13F42AF5" w14:textId="77777777" w:rsidR="00A052DC" w:rsidRDefault="009F0A60">
            <w:pPr>
              <w:rPr>
                <w:rFonts w:ascii="黑体" w:eastAsia="黑体" w:hAnsi="黑体" w:cs="宋体"/>
                <w:sz w:val="20"/>
                <w:szCs w:val="20"/>
              </w:rPr>
            </w:pPr>
            <w:r>
              <w:rPr>
                <w:rFonts w:ascii="黑体" w:eastAsia="黑体" w:hAnsi="黑体" w:hint="eastAsia"/>
                <w:sz w:val="20"/>
                <w:szCs w:val="20"/>
              </w:rPr>
              <w:t>数值型，10</w:t>
            </w:r>
          </w:p>
        </w:tc>
        <w:tc>
          <w:tcPr>
            <w:tcW w:w="1611" w:type="pct"/>
          </w:tcPr>
          <w:p w14:paraId="1920B6AC" w14:textId="77777777" w:rsidR="00A052DC" w:rsidRDefault="009F0A60">
            <w:pPr>
              <w:rPr>
                <w:rFonts w:ascii="黑体" w:eastAsia="黑体" w:hAnsi="黑体" w:cs="宋体"/>
                <w:sz w:val="20"/>
                <w:szCs w:val="20"/>
              </w:rPr>
            </w:pPr>
            <w:r>
              <w:rPr>
                <w:rFonts w:ascii="黑体" w:eastAsia="黑体" w:hAnsi="黑体" w:hint="eastAsia"/>
                <w:sz w:val="20"/>
                <w:szCs w:val="20"/>
              </w:rPr>
              <w:t>单位为天。</w:t>
            </w:r>
          </w:p>
        </w:tc>
      </w:tr>
      <w:tr w:rsidR="00A052DC" w14:paraId="2F14E544" w14:textId="77777777">
        <w:tc>
          <w:tcPr>
            <w:tcW w:w="1510" w:type="pct"/>
          </w:tcPr>
          <w:p w14:paraId="5C000994"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收款人常驻国家/地区代码</w:t>
            </w:r>
          </w:p>
        </w:tc>
        <w:tc>
          <w:tcPr>
            <w:tcW w:w="1070" w:type="pct"/>
          </w:tcPr>
          <w:p w14:paraId="087C4D95"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COUNTRYCODE</w:t>
            </w:r>
          </w:p>
        </w:tc>
        <w:tc>
          <w:tcPr>
            <w:tcW w:w="809" w:type="pct"/>
          </w:tcPr>
          <w:p w14:paraId="23B9064D" w14:textId="77777777" w:rsidR="00A052DC" w:rsidRDefault="009F0A60">
            <w:pPr>
              <w:rPr>
                <w:rFonts w:ascii="黑体" w:eastAsia="黑体" w:hAnsi="黑体" w:cs="宋体"/>
                <w:sz w:val="20"/>
                <w:szCs w:val="20"/>
              </w:rPr>
            </w:pPr>
            <w:r>
              <w:rPr>
                <w:rFonts w:ascii="黑体" w:eastAsia="黑体" w:hAnsi="黑体" w:hint="eastAsia"/>
                <w:sz w:val="20"/>
                <w:szCs w:val="20"/>
              </w:rPr>
              <w:t>字符型，3</w:t>
            </w:r>
          </w:p>
        </w:tc>
        <w:tc>
          <w:tcPr>
            <w:tcW w:w="1611" w:type="pct"/>
          </w:tcPr>
          <w:p w14:paraId="0C338228" w14:textId="77777777" w:rsidR="00A052DC" w:rsidRDefault="00A052DC">
            <w:pPr>
              <w:rPr>
                <w:rFonts w:ascii="黑体" w:eastAsia="黑体" w:hAnsi="黑体" w:cs="宋体"/>
                <w:sz w:val="20"/>
                <w:szCs w:val="20"/>
              </w:rPr>
            </w:pPr>
          </w:p>
        </w:tc>
      </w:tr>
      <w:tr w:rsidR="00A052DC" w14:paraId="345E268A" w14:textId="77777777">
        <w:tc>
          <w:tcPr>
            <w:tcW w:w="1510" w:type="pct"/>
          </w:tcPr>
          <w:p w14:paraId="4FAC2609" w14:textId="77777777" w:rsidR="00A052DC" w:rsidRDefault="009F0A60">
            <w:pPr>
              <w:rPr>
                <w:rFonts w:ascii="黑体" w:eastAsia="黑体" w:hAnsi="黑体" w:cs="Microsoft Sans Serif"/>
                <w:sz w:val="20"/>
                <w:szCs w:val="20"/>
              </w:rPr>
            </w:pPr>
            <w:r>
              <w:rPr>
                <w:rFonts w:ascii="黑体" w:eastAsia="黑体" w:hAnsi="黑体" w:hint="eastAsia"/>
                <w:sz w:val="20"/>
                <w:szCs w:val="20"/>
              </w:rPr>
              <w:t>付款类型</w:t>
            </w:r>
          </w:p>
        </w:tc>
        <w:tc>
          <w:tcPr>
            <w:tcW w:w="1070" w:type="pct"/>
          </w:tcPr>
          <w:p w14:paraId="1A3C1A49"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PAYTYPE</w:t>
            </w:r>
          </w:p>
        </w:tc>
        <w:tc>
          <w:tcPr>
            <w:tcW w:w="809" w:type="pct"/>
          </w:tcPr>
          <w:p w14:paraId="0EC93565" w14:textId="77777777" w:rsidR="00A052DC" w:rsidRDefault="009F0A60">
            <w:pPr>
              <w:rPr>
                <w:rFonts w:ascii="黑体" w:eastAsia="黑体" w:hAnsi="黑体" w:cs="宋体"/>
                <w:sz w:val="20"/>
                <w:szCs w:val="20"/>
              </w:rPr>
            </w:pPr>
            <w:r>
              <w:rPr>
                <w:rFonts w:ascii="黑体" w:eastAsia="黑体" w:hAnsi="黑体" w:hint="eastAsia"/>
                <w:sz w:val="20"/>
                <w:szCs w:val="20"/>
              </w:rPr>
              <w:t>字符型，1</w:t>
            </w:r>
          </w:p>
        </w:tc>
        <w:tc>
          <w:tcPr>
            <w:tcW w:w="1611" w:type="pct"/>
          </w:tcPr>
          <w:p w14:paraId="5812131F" w14:textId="77777777" w:rsidR="00A052DC" w:rsidRDefault="009F0A60">
            <w:pPr>
              <w:rPr>
                <w:rFonts w:ascii="黑体" w:eastAsia="黑体" w:hAnsi="黑体"/>
                <w:sz w:val="20"/>
                <w:szCs w:val="20"/>
              </w:rPr>
            </w:pPr>
            <w:r>
              <w:rPr>
                <w:rFonts w:ascii="黑体" w:eastAsia="黑体" w:hAnsi="黑体" w:hint="eastAsia"/>
                <w:sz w:val="20"/>
                <w:szCs w:val="20"/>
              </w:rPr>
              <w:t>A</w:t>
            </w:r>
            <w:r w:rsidR="00AE4602">
              <w:rPr>
                <w:rFonts w:ascii="黑体" w:eastAsia="黑体" w:hAnsi="黑体" w:hint="eastAsia"/>
                <w:sz w:val="20"/>
                <w:szCs w:val="20"/>
              </w:rPr>
              <w:t>-</w:t>
            </w:r>
            <w:r>
              <w:rPr>
                <w:rFonts w:ascii="黑体" w:eastAsia="黑体" w:hAnsi="黑体" w:hint="eastAsia"/>
                <w:sz w:val="20"/>
                <w:szCs w:val="20"/>
              </w:rPr>
              <w:t>预付款</w:t>
            </w:r>
          </w:p>
          <w:p w14:paraId="48746547" w14:textId="77777777" w:rsidR="00A052DC" w:rsidRDefault="009F0A60">
            <w:pPr>
              <w:rPr>
                <w:rFonts w:ascii="黑体" w:eastAsia="黑体" w:hAnsi="黑体"/>
                <w:sz w:val="20"/>
                <w:szCs w:val="20"/>
              </w:rPr>
            </w:pPr>
            <w:r>
              <w:rPr>
                <w:rFonts w:ascii="黑体" w:eastAsia="黑体" w:hAnsi="黑体" w:hint="eastAsia"/>
                <w:sz w:val="20"/>
                <w:szCs w:val="20"/>
              </w:rPr>
              <w:t>O-</w:t>
            </w:r>
            <w:r w:rsidR="0021563C">
              <w:rPr>
                <w:rFonts w:ascii="黑体" w:eastAsia="黑体" w:hAnsi="黑体" w:hint="eastAsia"/>
                <w:sz w:val="20"/>
                <w:szCs w:val="20"/>
              </w:rPr>
              <w:t>其他</w:t>
            </w:r>
          </w:p>
        </w:tc>
      </w:tr>
      <w:tr w:rsidR="00A052DC" w14:paraId="4BC3DF16" w14:textId="77777777">
        <w:tc>
          <w:tcPr>
            <w:tcW w:w="1510" w:type="pct"/>
          </w:tcPr>
          <w:p w14:paraId="1AF95C7E"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交易编码1</w:t>
            </w:r>
          </w:p>
        </w:tc>
        <w:tc>
          <w:tcPr>
            <w:tcW w:w="1070" w:type="pct"/>
          </w:tcPr>
          <w:p w14:paraId="6B5E17E0"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TXCODE1</w:t>
            </w:r>
          </w:p>
        </w:tc>
        <w:tc>
          <w:tcPr>
            <w:tcW w:w="809" w:type="pct"/>
          </w:tcPr>
          <w:p w14:paraId="13C6DEDE" w14:textId="77777777" w:rsidR="00A052DC" w:rsidRDefault="009F0A60">
            <w:pPr>
              <w:rPr>
                <w:rFonts w:ascii="黑体" w:eastAsia="黑体" w:hAnsi="黑体" w:cs="宋体"/>
                <w:sz w:val="20"/>
                <w:szCs w:val="20"/>
              </w:rPr>
            </w:pPr>
            <w:r>
              <w:rPr>
                <w:rFonts w:ascii="黑体" w:eastAsia="黑体" w:hAnsi="黑体" w:hint="eastAsia"/>
                <w:sz w:val="20"/>
                <w:szCs w:val="20"/>
              </w:rPr>
              <w:t>字符型，6</w:t>
            </w:r>
          </w:p>
        </w:tc>
        <w:tc>
          <w:tcPr>
            <w:tcW w:w="1611" w:type="pct"/>
          </w:tcPr>
          <w:p w14:paraId="4F60B31A" w14:textId="77777777" w:rsidR="00A052DC" w:rsidRDefault="00A052DC">
            <w:pPr>
              <w:rPr>
                <w:rFonts w:ascii="黑体" w:eastAsia="黑体" w:hAnsi="黑体" w:cs="宋体"/>
                <w:sz w:val="20"/>
                <w:szCs w:val="20"/>
              </w:rPr>
            </w:pPr>
          </w:p>
        </w:tc>
      </w:tr>
      <w:tr w:rsidR="00A052DC" w14:paraId="320EA49F" w14:textId="77777777">
        <w:tc>
          <w:tcPr>
            <w:tcW w:w="1510" w:type="pct"/>
          </w:tcPr>
          <w:p w14:paraId="34522563"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相应金额1</w:t>
            </w:r>
          </w:p>
        </w:tc>
        <w:tc>
          <w:tcPr>
            <w:tcW w:w="1070" w:type="pct"/>
          </w:tcPr>
          <w:p w14:paraId="4E710B00"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TXAMT1</w:t>
            </w:r>
          </w:p>
        </w:tc>
        <w:tc>
          <w:tcPr>
            <w:tcW w:w="809" w:type="pct"/>
          </w:tcPr>
          <w:p w14:paraId="61BFD624" w14:textId="77777777" w:rsidR="00A052DC" w:rsidRDefault="009F0A60">
            <w:pPr>
              <w:rPr>
                <w:rFonts w:ascii="黑体" w:eastAsia="黑体" w:hAnsi="黑体" w:cs="宋体"/>
                <w:sz w:val="20"/>
                <w:szCs w:val="20"/>
              </w:rPr>
            </w:pPr>
            <w:r>
              <w:rPr>
                <w:rFonts w:ascii="黑体" w:eastAsia="黑体" w:hAnsi="黑体" w:hint="eastAsia"/>
                <w:sz w:val="20"/>
                <w:szCs w:val="20"/>
              </w:rPr>
              <w:t>数值型，22.0</w:t>
            </w:r>
          </w:p>
        </w:tc>
        <w:tc>
          <w:tcPr>
            <w:tcW w:w="1611" w:type="pct"/>
          </w:tcPr>
          <w:p w14:paraId="17870670" w14:textId="77777777" w:rsidR="00A052DC" w:rsidRDefault="00A052DC">
            <w:pPr>
              <w:rPr>
                <w:rFonts w:ascii="黑体" w:eastAsia="黑体" w:hAnsi="黑体" w:cs="宋体"/>
                <w:sz w:val="20"/>
                <w:szCs w:val="20"/>
              </w:rPr>
            </w:pPr>
          </w:p>
        </w:tc>
      </w:tr>
      <w:tr w:rsidR="00A052DC" w14:paraId="4D2968B3" w14:textId="77777777">
        <w:tc>
          <w:tcPr>
            <w:tcW w:w="1510" w:type="pct"/>
          </w:tcPr>
          <w:p w14:paraId="76CE287F"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交易附言1</w:t>
            </w:r>
          </w:p>
        </w:tc>
        <w:tc>
          <w:tcPr>
            <w:tcW w:w="1070" w:type="pct"/>
          </w:tcPr>
          <w:p w14:paraId="5DF48DF1"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TXREM1</w:t>
            </w:r>
          </w:p>
        </w:tc>
        <w:tc>
          <w:tcPr>
            <w:tcW w:w="809" w:type="pct"/>
          </w:tcPr>
          <w:p w14:paraId="09F62F7F" w14:textId="77777777" w:rsidR="00A052DC" w:rsidRDefault="009F0A60">
            <w:pPr>
              <w:rPr>
                <w:rFonts w:ascii="黑体" w:eastAsia="黑体" w:hAnsi="黑体" w:cs="宋体"/>
                <w:sz w:val="20"/>
                <w:szCs w:val="20"/>
              </w:rPr>
            </w:pPr>
            <w:r>
              <w:rPr>
                <w:rFonts w:ascii="黑体" w:eastAsia="黑体" w:hAnsi="黑体" w:hint="eastAsia"/>
                <w:sz w:val="20"/>
                <w:szCs w:val="20"/>
              </w:rPr>
              <w:t>字符型，256</w:t>
            </w:r>
          </w:p>
        </w:tc>
        <w:tc>
          <w:tcPr>
            <w:tcW w:w="1611" w:type="pct"/>
          </w:tcPr>
          <w:p w14:paraId="4488BF8D" w14:textId="77777777" w:rsidR="00A052DC" w:rsidRDefault="00A052DC">
            <w:pPr>
              <w:rPr>
                <w:rFonts w:ascii="黑体" w:eastAsia="黑体" w:hAnsi="黑体" w:cs="宋体"/>
                <w:sz w:val="20"/>
                <w:szCs w:val="20"/>
              </w:rPr>
            </w:pPr>
          </w:p>
        </w:tc>
      </w:tr>
      <w:tr w:rsidR="00A052DC" w14:paraId="5554E688" w14:textId="77777777">
        <w:tc>
          <w:tcPr>
            <w:tcW w:w="1510" w:type="pct"/>
          </w:tcPr>
          <w:p w14:paraId="48A28B1F"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交易编码2</w:t>
            </w:r>
          </w:p>
        </w:tc>
        <w:tc>
          <w:tcPr>
            <w:tcW w:w="1070" w:type="pct"/>
          </w:tcPr>
          <w:p w14:paraId="1EBFF3EA"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TXCODE2</w:t>
            </w:r>
          </w:p>
        </w:tc>
        <w:tc>
          <w:tcPr>
            <w:tcW w:w="809" w:type="pct"/>
          </w:tcPr>
          <w:p w14:paraId="44FD0EB5" w14:textId="77777777" w:rsidR="00A052DC" w:rsidRDefault="009F0A60">
            <w:pPr>
              <w:rPr>
                <w:rFonts w:ascii="黑体" w:eastAsia="黑体" w:hAnsi="黑体" w:cs="宋体"/>
                <w:sz w:val="20"/>
                <w:szCs w:val="20"/>
              </w:rPr>
            </w:pPr>
            <w:r>
              <w:rPr>
                <w:rFonts w:ascii="黑体" w:eastAsia="黑体" w:hAnsi="黑体" w:hint="eastAsia"/>
                <w:sz w:val="20"/>
                <w:szCs w:val="20"/>
              </w:rPr>
              <w:t>字符型，6</w:t>
            </w:r>
          </w:p>
        </w:tc>
        <w:tc>
          <w:tcPr>
            <w:tcW w:w="1611" w:type="pct"/>
          </w:tcPr>
          <w:p w14:paraId="3B2A0029" w14:textId="77777777" w:rsidR="00A052DC" w:rsidRDefault="00A052DC">
            <w:pPr>
              <w:rPr>
                <w:rFonts w:ascii="黑体" w:eastAsia="黑体" w:hAnsi="黑体" w:cs="宋体"/>
                <w:sz w:val="20"/>
                <w:szCs w:val="20"/>
              </w:rPr>
            </w:pPr>
          </w:p>
        </w:tc>
      </w:tr>
      <w:tr w:rsidR="00A052DC" w14:paraId="4EDF6E45" w14:textId="77777777">
        <w:tc>
          <w:tcPr>
            <w:tcW w:w="1510" w:type="pct"/>
          </w:tcPr>
          <w:p w14:paraId="351CCDBE"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相应金额2</w:t>
            </w:r>
          </w:p>
        </w:tc>
        <w:tc>
          <w:tcPr>
            <w:tcW w:w="1070" w:type="pct"/>
          </w:tcPr>
          <w:p w14:paraId="2D0DBFCD"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TXAMT2</w:t>
            </w:r>
          </w:p>
        </w:tc>
        <w:tc>
          <w:tcPr>
            <w:tcW w:w="809" w:type="pct"/>
          </w:tcPr>
          <w:p w14:paraId="0383E3C8" w14:textId="77777777" w:rsidR="00A052DC" w:rsidRDefault="009F0A60">
            <w:pPr>
              <w:rPr>
                <w:rFonts w:ascii="黑体" w:eastAsia="黑体" w:hAnsi="黑体" w:cs="宋体"/>
                <w:sz w:val="20"/>
                <w:szCs w:val="20"/>
              </w:rPr>
            </w:pPr>
            <w:r>
              <w:rPr>
                <w:rFonts w:ascii="黑体" w:eastAsia="黑体" w:hAnsi="黑体" w:hint="eastAsia"/>
                <w:sz w:val="20"/>
                <w:szCs w:val="20"/>
              </w:rPr>
              <w:t>数值型，22.0</w:t>
            </w:r>
          </w:p>
        </w:tc>
        <w:tc>
          <w:tcPr>
            <w:tcW w:w="1611" w:type="pct"/>
          </w:tcPr>
          <w:p w14:paraId="75C62DFE" w14:textId="77777777" w:rsidR="00A052DC" w:rsidRDefault="00A052DC">
            <w:pPr>
              <w:rPr>
                <w:rFonts w:ascii="黑体" w:eastAsia="黑体" w:hAnsi="黑体" w:cs="宋体"/>
                <w:sz w:val="20"/>
                <w:szCs w:val="20"/>
              </w:rPr>
            </w:pPr>
          </w:p>
        </w:tc>
      </w:tr>
      <w:tr w:rsidR="00A052DC" w14:paraId="1B50981D" w14:textId="77777777">
        <w:tc>
          <w:tcPr>
            <w:tcW w:w="1510" w:type="pct"/>
          </w:tcPr>
          <w:p w14:paraId="6C9636CA"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交易附言2</w:t>
            </w:r>
          </w:p>
        </w:tc>
        <w:tc>
          <w:tcPr>
            <w:tcW w:w="1070" w:type="pct"/>
          </w:tcPr>
          <w:p w14:paraId="59C0C889"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TXREM2</w:t>
            </w:r>
          </w:p>
        </w:tc>
        <w:tc>
          <w:tcPr>
            <w:tcW w:w="809" w:type="pct"/>
          </w:tcPr>
          <w:p w14:paraId="53DA1200" w14:textId="77777777" w:rsidR="00A052DC" w:rsidRDefault="009F0A60">
            <w:pPr>
              <w:rPr>
                <w:rFonts w:ascii="黑体" w:eastAsia="黑体" w:hAnsi="黑体" w:cs="宋体"/>
                <w:sz w:val="20"/>
                <w:szCs w:val="20"/>
              </w:rPr>
            </w:pPr>
            <w:r>
              <w:rPr>
                <w:rFonts w:ascii="黑体" w:eastAsia="黑体" w:hAnsi="黑体" w:hint="eastAsia"/>
                <w:sz w:val="20"/>
                <w:szCs w:val="20"/>
              </w:rPr>
              <w:t>字符型，256</w:t>
            </w:r>
          </w:p>
        </w:tc>
        <w:tc>
          <w:tcPr>
            <w:tcW w:w="1611" w:type="pct"/>
          </w:tcPr>
          <w:p w14:paraId="6FF168DB" w14:textId="77777777" w:rsidR="00A052DC" w:rsidRDefault="00A052DC">
            <w:pPr>
              <w:rPr>
                <w:rFonts w:ascii="黑体" w:eastAsia="黑体" w:hAnsi="黑体" w:cs="宋体"/>
                <w:sz w:val="20"/>
                <w:szCs w:val="20"/>
              </w:rPr>
            </w:pPr>
          </w:p>
        </w:tc>
      </w:tr>
      <w:tr w:rsidR="00A052DC" w14:paraId="4E8D3BCC" w14:textId="77777777">
        <w:tc>
          <w:tcPr>
            <w:tcW w:w="1510" w:type="pct"/>
          </w:tcPr>
          <w:p w14:paraId="7DE8626E" w14:textId="77777777" w:rsidR="00A052DC" w:rsidRDefault="009F0A60">
            <w:pPr>
              <w:rPr>
                <w:rFonts w:ascii="黑体" w:eastAsia="黑体" w:hAnsi="黑体"/>
                <w:sz w:val="20"/>
                <w:szCs w:val="20"/>
              </w:rPr>
            </w:pPr>
            <w:r>
              <w:rPr>
                <w:rFonts w:ascii="黑体" w:eastAsia="黑体" w:hAnsi="黑体" w:hint="eastAsia"/>
                <w:sz w:val="20"/>
                <w:szCs w:val="20"/>
              </w:rPr>
              <w:t>是否保税货物项下付款</w:t>
            </w:r>
          </w:p>
        </w:tc>
        <w:tc>
          <w:tcPr>
            <w:tcW w:w="1070" w:type="pct"/>
          </w:tcPr>
          <w:p w14:paraId="57150441"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ISWRITEOFF</w:t>
            </w:r>
          </w:p>
        </w:tc>
        <w:tc>
          <w:tcPr>
            <w:tcW w:w="809" w:type="pct"/>
          </w:tcPr>
          <w:p w14:paraId="5C5119D6" w14:textId="77777777" w:rsidR="00A052DC" w:rsidRDefault="009F0A60">
            <w:pPr>
              <w:rPr>
                <w:rFonts w:ascii="黑体" w:eastAsia="黑体" w:hAnsi="黑体" w:cs="宋体"/>
                <w:sz w:val="20"/>
                <w:szCs w:val="20"/>
              </w:rPr>
            </w:pPr>
            <w:r>
              <w:rPr>
                <w:rFonts w:ascii="黑体" w:eastAsia="黑体" w:hAnsi="黑体" w:hint="eastAsia"/>
                <w:sz w:val="20"/>
                <w:szCs w:val="20"/>
              </w:rPr>
              <w:t>字符型，1</w:t>
            </w:r>
          </w:p>
        </w:tc>
        <w:tc>
          <w:tcPr>
            <w:tcW w:w="1611" w:type="pct"/>
          </w:tcPr>
          <w:p w14:paraId="2E5919FC" w14:textId="77777777" w:rsidR="00A052DC" w:rsidRDefault="009F0A60">
            <w:pPr>
              <w:rPr>
                <w:rFonts w:ascii="黑体" w:eastAsia="黑体" w:hAnsi="黑体" w:cs="宋体"/>
                <w:sz w:val="20"/>
                <w:szCs w:val="20"/>
              </w:rPr>
            </w:pPr>
            <w:r>
              <w:rPr>
                <w:rFonts w:ascii="黑体" w:eastAsia="黑体" w:hAnsi="黑体" w:cs="宋体" w:hint="eastAsia"/>
                <w:sz w:val="20"/>
                <w:szCs w:val="20"/>
              </w:rPr>
              <w:t>Y-是</w:t>
            </w:r>
          </w:p>
          <w:p w14:paraId="2B4699F6" w14:textId="77777777" w:rsidR="00A052DC" w:rsidRDefault="009F0A60">
            <w:pPr>
              <w:rPr>
                <w:rFonts w:ascii="黑体" w:eastAsia="黑体" w:hAnsi="黑体" w:cs="宋体"/>
                <w:sz w:val="20"/>
                <w:szCs w:val="20"/>
              </w:rPr>
            </w:pPr>
            <w:r>
              <w:rPr>
                <w:rFonts w:ascii="黑体" w:eastAsia="黑体" w:hAnsi="黑体" w:cs="宋体" w:hint="eastAsia"/>
                <w:sz w:val="20"/>
                <w:szCs w:val="20"/>
              </w:rPr>
              <w:t>N-否</w:t>
            </w:r>
          </w:p>
        </w:tc>
      </w:tr>
      <w:tr w:rsidR="00A052DC" w14:paraId="2BAD3190" w14:textId="77777777">
        <w:tc>
          <w:tcPr>
            <w:tcW w:w="1510" w:type="pct"/>
          </w:tcPr>
          <w:p w14:paraId="1B3BDB40" w14:textId="77777777" w:rsidR="00A052DC" w:rsidRDefault="009F0A60">
            <w:pPr>
              <w:rPr>
                <w:rFonts w:ascii="黑体" w:eastAsia="黑体" w:hAnsi="黑体"/>
                <w:sz w:val="20"/>
                <w:szCs w:val="20"/>
              </w:rPr>
            </w:pPr>
            <w:r>
              <w:rPr>
                <w:rFonts w:ascii="黑体" w:eastAsia="黑体" w:hAnsi="黑体" w:hint="eastAsia"/>
                <w:sz w:val="20"/>
                <w:szCs w:val="20"/>
              </w:rPr>
              <w:t>联系人</w:t>
            </w:r>
          </w:p>
        </w:tc>
        <w:tc>
          <w:tcPr>
            <w:tcW w:w="1070" w:type="pct"/>
          </w:tcPr>
          <w:p w14:paraId="6256ED6E"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RPTUSER</w:t>
            </w:r>
          </w:p>
        </w:tc>
        <w:tc>
          <w:tcPr>
            <w:tcW w:w="809" w:type="pct"/>
          </w:tcPr>
          <w:p w14:paraId="3BDF843B" w14:textId="77777777" w:rsidR="00A052DC" w:rsidRDefault="009F0A60">
            <w:pPr>
              <w:rPr>
                <w:rFonts w:ascii="黑体" w:eastAsia="黑体" w:hAnsi="黑体" w:cs="宋体"/>
                <w:sz w:val="20"/>
                <w:szCs w:val="20"/>
              </w:rPr>
            </w:pPr>
            <w:r>
              <w:rPr>
                <w:rFonts w:ascii="黑体" w:eastAsia="黑体" w:hAnsi="黑体" w:hint="eastAsia"/>
                <w:sz w:val="20"/>
                <w:szCs w:val="20"/>
              </w:rPr>
              <w:t>字符型，20</w:t>
            </w:r>
          </w:p>
        </w:tc>
        <w:tc>
          <w:tcPr>
            <w:tcW w:w="1611" w:type="pct"/>
          </w:tcPr>
          <w:p w14:paraId="08E09B29" w14:textId="77777777" w:rsidR="00A052DC" w:rsidRDefault="00A052DC">
            <w:pPr>
              <w:rPr>
                <w:rFonts w:ascii="黑体" w:eastAsia="黑体" w:hAnsi="黑体" w:cs="宋体"/>
                <w:sz w:val="20"/>
                <w:szCs w:val="20"/>
              </w:rPr>
            </w:pPr>
          </w:p>
        </w:tc>
      </w:tr>
      <w:tr w:rsidR="00A052DC" w14:paraId="4D78B73B" w14:textId="77777777">
        <w:tc>
          <w:tcPr>
            <w:tcW w:w="1510" w:type="pct"/>
          </w:tcPr>
          <w:p w14:paraId="2E532799" w14:textId="77777777" w:rsidR="00A052DC" w:rsidRDefault="009F0A60">
            <w:pPr>
              <w:rPr>
                <w:rFonts w:ascii="黑体" w:eastAsia="黑体" w:hAnsi="黑体"/>
                <w:sz w:val="20"/>
                <w:szCs w:val="20"/>
              </w:rPr>
            </w:pPr>
            <w:r>
              <w:rPr>
                <w:rFonts w:ascii="黑体" w:eastAsia="黑体" w:hAnsi="黑体" w:hint="eastAsia"/>
                <w:sz w:val="20"/>
                <w:szCs w:val="20"/>
              </w:rPr>
              <w:t>联系人电话</w:t>
            </w:r>
          </w:p>
        </w:tc>
        <w:tc>
          <w:tcPr>
            <w:tcW w:w="1070" w:type="pct"/>
          </w:tcPr>
          <w:p w14:paraId="4722DA98"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RPTTEL</w:t>
            </w:r>
          </w:p>
        </w:tc>
        <w:tc>
          <w:tcPr>
            <w:tcW w:w="809" w:type="pct"/>
          </w:tcPr>
          <w:p w14:paraId="1F28D409" w14:textId="77777777" w:rsidR="00A052DC" w:rsidRDefault="009F0A60">
            <w:pPr>
              <w:rPr>
                <w:rFonts w:ascii="黑体" w:eastAsia="黑体" w:hAnsi="黑体" w:cs="宋体"/>
                <w:sz w:val="20"/>
                <w:szCs w:val="20"/>
              </w:rPr>
            </w:pPr>
            <w:r>
              <w:rPr>
                <w:rFonts w:ascii="黑体" w:eastAsia="黑体" w:hAnsi="黑体" w:hint="eastAsia"/>
                <w:sz w:val="20"/>
                <w:szCs w:val="20"/>
              </w:rPr>
              <w:t>字符型，20</w:t>
            </w:r>
          </w:p>
        </w:tc>
        <w:tc>
          <w:tcPr>
            <w:tcW w:w="1611" w:type="pct"/>
          </w:tcPr>
          <w:p w14:paraId="7C5B1670" w14:textId="77777777" w:rsidR="00A052DC" w:rsidRDefault="00A052DC">
            <w:pPr>
              <w:rPr>
                <w:rFonts w:ascii="黑体" w:eastAsia="黑体" w:hAnsi="黑体" w:cs="宋体"/>
                <w:sz w:val="20"/>
                <w:szCs w:val="20"/>
              </w:rPr>
            </w:pPr>
          </w:p>
        </w:tc>
      </w:tr>
      <w:tr w:rsidR="00A052DC" w14:paraId="4CF89560" w14:textId="77777777">
        <w:tc>
          <w:tcPr>
            <w:tcW w:w="1510" w:type="pct"/>
          </w:tcPr>
          <w:p w14:paraId="2B1A25AE" w14:textId="77777777" w:rsidR="00A052DC" w:rsidRDefault="009F0A60">
            <w:pPr>
              <w:rPr>
                <w:rFonts w:ascii="黑体" w:eastAsia="黑体" w:hAnsi="黑体"/>
                <w:sz w:val="20"/>
                <w:szCs w:val="20"/>
              </w:rPr>
            </w:pPr>
            <w:r>
              <w:rPr>
                <w:rFonts w:ascii="黑体" w:eastAsia="黑体" w:hAnsi="黑体" w:hint="eastAsia"/>
                <w:sz w:val="20"/>
                <w:szCs w:val="20"/>
              </w:rPr>
              <w:t>申报日期</w:t>
            </w:r>
          </w:p>
        </w:tc>
        <w:tc>
          <w:tcPr>
            <w:tcW w:w="1070" w:type="pct"/>
          </w:tcPr>
          <w:p w14:paraId="2524567C"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RPTDATE</w:t>
            </w:r>
          </w:p>
        </w:tc>
        <w:tc>
          <w:tcPr>
            <w:tcW w:w="809" w:type="pct"/>
          </w:tcPr>
          <w:p w14:paraId="7E169774" w14:textId="77777777" w:rsidR="00A052DC" w:rsidRDefault="009F0A60">
            <w:pPr>
              <w:rPr>
                <w:rFonts w:ascii="黑体" w:eastAsia="黑体" w:hAnsi="黑体" w:cs="宋体"/>
                <w:sz w:val="20"/>
                <w:szCs w:val="20"/>
              </w:rPr>
            </w:pPr>
            <w:r>
              <w:rPr>
                <w:rFonts w:ascii="黑体" w:eastAsia="黑体" w:hAnsi="黑体" w:hint="eastAsia"/>
                <w:sz w:val="20"/>
                <w:szCs w:val="20"/>
              </w:rPr>
              <w:t>日期型，8</w:t>
            </w:r>
          </w:p>
        </w:tc>
        <w:tc>
          <w:tcPr>
            <w:tcW w:w="1611" w:type="pct"/>
          </w:tcPr>
          <w:p w14:paraId="43BD3720" w14:textId="77777777" w:rsidR="00A052DC" w:rsidRDefault="009F0A60">
            <w:pPr>
              <w:rPr>
                <w:rFonts w:ascii="黑体" w:eastAsia="黑体" w:hAnsi="黑体" w:cs="宋体"/>
                <w:sz w:val="20"/>
                <w:szCs w:val="20"/>
              </w:rPr>
            </w:pPr>
            <w:r>
              <w:rPr>
                <w:rFonts w:ascii="黑体" w:eastAsia="黑体" w:hAnsi="黑体" w:hint="eastAsia"/>
                <w:sz w:val="20"/>
                <w:szCs w:val="20"/>
              </w:rPr>
              <w:t>YYYYMMDD</w:t>
            </w:r>
          </w:p>
        </w:tc>
      </w:tr>
      <w:tr w:rsidR="00A052DC" w14:paraId="1069A2EA" w14:textId="77777777">
        <w:tc>
          <w:tcPr>
            <w:tcW w:w="1510" w:type="pct"/>
          </w:tcPr>
          <w:p w14:paraId="77875A0A"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最迟装运日期</w:t>
            </w:r>
          </w:p>
        </w:tc>
        <w:tc>
          <w:tcPr>
            <w:tcW w:w="1070" w:type="pct"/>
          </w:tcPr>
          <w:p w14:paraId="1E962D7E"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IMPDATE</w:t>
            </w:r>
          </w:p>
        </w:tc>
        <w:tc>
          <w:tcPr>
            <w:tcW w:w="809" w:type="pct"/>
          </w:tcPr>
          <w:p w14:paraId="025BF7FE" w14:textId="77777777" w:rsidR="00A052DC" w:rsidRDefault="009F0A60">
            <w:pPr>
              <w:rPr>
                <w:rFonts w:ascii="黑体" w:eastAsia="黑体" w:hAnsi="黑体"/>
                <w:sz w:val="20"/>
                <w:szCs w:val="20"/>
              </w:rPr>
            </w:pPr>
            <w:r>
              <w:rPr>
                <w:rFonts w:ascii="黑体" w:eastAsia="黑体" w:hAnsi="黑体" w:hint="eastAsia"/>
                <w:sz w:val="20"/>
                <w:szCs w:val="20"/>
              </w:rPr>
              <w:t>日期型，8</w:t>
            </w:r>
          </w:p>
        </w:tc>
        <w:tc>
          <w:tcPr>
            <w:tcW w:w="1611" w:type="pct"/>
          </w:tcPr>
          <w:p w14:paraId="1D458E1D" w14:textId="77777777" w:rsidR="00A052DC" w:rsidRDefault="009F0A60">
            <w:pPr>
              <w:rPr>
                <w:rFonts w:ascii="黑体" w:eastAsia="黑体" w:hAnsi="黑体"/>
                <w:sz w:val="20"/>
                <w:szCs w:val="20"/>
              </w:rPr>
            </w:pPr>
            <w:r>
              <w:rPr>
                <w:rFonts w:ascii="黑体" w:eastAsia="黑体" w:hAnsi="黑体" w:hint="eastAsia"/>
                <w:sz w:val="20"/>
                <w:szCs w:val="20"/>
              </w:rPr>
              <w:t>YYYYMMDD</w:t>
            </w:r>
          </w:p>
        </w:tc>
      </w:tr>
      <w:tr w:rsidR="00A052DC" w14:paraId="5AD88EF1" w14:textId="77777777">
        <w:tc>
          <w:tcPr>
            <w:tcW w:w="1510" w:type="pct"/>
          </w:tcPr>
          <w:p w14:paraId="3F9BB437"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合同号</w:t>
            </w:r>
          </w:p>
        </w:tc>
        <w:tc>
          <w:tcPr>
            <w:tcW w:w="1070" w:type="pct"/>
          </w:tcPr>
          <w:p w14:paraId="535D6737"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CONTRACTNO</w:t>
            </w:r>
          </w:p>
        </w:tc>
        <w:tc>
          <w:tcPr>
            <w:tcW w:w="809" w:type="pct"/>
          </w:tcPr>
          <w:p w14:paraId="414D7C87"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1611" w:type="pct"/>
          </w:tcPr>
          <w:p w14:paraId="54AF0ED3" w14:textId="77777777" w:rsidR="00A052DC" w:rsidRDefault="00A052DC">
            <w:pPr>
              <w:rPr>
                <w:rFonts w:ascii="黑体" w:eastAsia="黑体" w:hAnsi="黑体"/>
                <w:sz w:val="20"/>
                <w:szCs w:val="20"/>
              </w:rPr>
            </w:pPr>
          </w:p>
        </w:tc>
      </w:tr>
      <w:tr w:rsidR="00A052DC" w14:paraId="0A85F918" w14:textId="77777777">
        <w:tc>
          <w:tcPr>
            <w:tcW w:w="1510" w:type="pct"/>
          </w:tcPr>
          <w:p w14:paraId="40F088AB" w14:textId="77777777" w:rsidR="00A052DC" w:rsidRDefault="009F0A60">
            <w:pPr>
              <w:rPr>
                <w:rFonts w:ascii="黑体" w:eastAsia="黑体" w:hAnsi="黑体" w:cs="Microsoft Sans Serif"/>
                <w:sz w:val="20"/>
                <w:szCs w:val="20"/>
              </w:rPr>
            </w:pPr>
            <w:r>
              <w:rPr>
                <w:rFonts w:ascii="黑体" w:eastAsia="黑体" w:hAnsi="黑体" w:hint="eastAsia"/>
                <w:sz w:val="20"/>
                <w:szCs w:val="20"/>
              </w:rPr>
              <w:t>发票号</w:t>
            </w:r>
          </w:p>
        </w:tc>
        <w:tc>
          <w:tcPr>
            <w:tcW w:w="1070" w:type="pct"/>
          </w:tcPr>
          <w:p w14:paraId="66B7EF25"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INVOICENO</w:t>
            </w:r>
          </w:p>
        </w:tc>
        <w:tc>
          <w:tcPr>
            <w:tcW w:w="809" w:type="pct"/>
          </w:tcPr>
          <w:p w14:paraId="395E5547"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1611" w:type="pct"/>
          </w:tcPr>
          <w:p w14:paraId="72FA61C7" w14:textId="77777777" w:rsidR="00A052DC" w:rsidRDefault="00A052DC">
            <w:pPr>
              <w:rPr>
                <w:rFonts w:ascii="黑体" w:eastAsia="黑体" w:hAnsi="黑体"/>
                <w:sz w:val="20"/>
                <w:szCs w:val="20"/>
              </w:rPr>
            </w:pPr>
          </w:p>
        </w:tc>
      </w:tr>
      <w:tr w:rsidR="00A052DC" w14:paraId="46BB6C8E" w14:textId="77777777">
        <w:tc>
          <w:tcPr>
            <w:tcW w:w="1510" w:type="pct"/>
          </w:tcPr>
          <w:p w14:paraId="50B1D37A" w14:textId="77777777" w:rsidR="00A052DC" w:rsidRDefault="009F0A60">
            <w:pPr>
              <w:rPr>
                <w:rFonts w:ascii="黑体" w:eastAsia="黑体" w:hAnsi="黑体" w:cs="Microsoft Sans Serif"/>
                <w:sz w:val="20"/>
                <w:szCs w:val="20"/>
              </w:rPr>
            </w:pPr>
            <w:r>
              <w:rPr>
                <w:rFonts w:ascii="黑体" w:eastAsia="黑体" w:hAnsi="黑体" w:hint="eastAsia"/>
                <w:sz w:val="20"/>
                <w:szCs w:val="20"/>
              </w:rPr>
              <w:t>提运单号/仓单号</w:t>
            </w:r>
          </w:p>
        </w:tc>
        <w:tc>
          <w:tcPr>
            <w:tcW w:w="1070" w:type="pct"/>
          </w:tcPr>
          <w:p w14:paraId="510ACD48"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BILLNO</w:t>
            </w:r>
          </w:p>
        </w:tc>
        <w:tc>
          <w:tcPr>
            <w:tcW w:w="809" w:type="pct"/>
          </w:tcPr>
          <w:p w14:paraId="26721475"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1611" w:type="pct"/>
          </w:tcPr>
          <w:p w14:paraId="0187830E" w14:textId="77777777" w:rsidR="00A052DC" w:rsidRDefault="00A052DC">
            <w:pPr>
              <w:rPr>
                <w:rFonts w:ascii="黑体" w:eastAsia="黑体" w:hAnsi="黑体"/>
                <w:sz w:val="20"/>
                <w:szCs w:val="20"/>
              </w:rPr>
            </w:pPr>
          </w:p>
        </w:tc>
      </w:tr>
      <w:tr w:rsidR="00A052DC" w14:paraId="1A6038A8" w14:textId="77777777">
        <w:tc>
          <w:tcPr>
            <w:tcW w:w="1510" w:type="pct"/>
          </w:tcPr>
          <w:p w14:paraId="1F404D78" w14:textId="77777777" w:rsidR="00A052DC" w:rsidRDefault="009F0A60">
            <w:pPr>
              <w:rPr>
                <w:rFonts w:ascii="黑体" w:eastAsia="黑体" w:hAnsi="黑体"/>
                <w:sz w:val="20"/>
                <w:szCs w:val="20"/>
              </w:rPr>
            </w:pPr>
            <w:r>
              <w:rPr>
                <w:rFonts w:ascii="黑体" w:eastAsia="黑体" w:hAnsi="黑体" w:hint="eastAsia"/>
                <w:sz w:val="20"/>
                <w:szCs w:val="20"/>
              </w:rPr>
              <w:t>合同金额</w:t>
            </w:r>
          </w:p>
        </w:tc>
        <w:tc>
          <w:tcPr>
            <w:tcW w:w="1070" w:type="pct"/>
          </w:tcPr>
          <w:p w14:paraId="00E8B749"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CONTRACTAMT</w:t>
            </w:r>
          </w:p>
        </w:tc>
        <w:tc>
          <w:tcPr>
            <w:tcW w:w="809" w:type="pct"/>
          </w:tcPr>
          <w:p w14:paraId="7ACC11F4" w14:textId="77777777" w:rsidR="00A052DC" w:rsidRDefault="009F0A60">
            <w:pPr>
              <w:rPr>
                <w:rFonts w:ascii="黑体" w:eastAsia="黑体" w:hAnsi="黑体"/>
                <w:sz w:val="20"/>
                <w:szCs w:val="20"/>
              </w:rPr>
            </w:pPr>
            <w:r>
              <w:rPr>
                <w:rFonts w:ascii="黑体" w:eastAsia="黑体" w:hAnsi="黑体" w:hint="eastAsia"/>
                <w:sz w:val="20"/>
                <w:szCs w:val="20"/>
              </w:rPr>
              <w:t>数值型，22.0</w:t>
            </w:r>
          </w:p>
        </w:tc>
        <w:tc>
          <w:tcPr>
            <w:tcW w:w="1611" w:type="pct"/>
          </w:tcPr>
          <w:p w14:paraId="01D9C4D1" w14:textId="77777777" w:rsidR="00A052DC" w:rsidRDefault="00A052DC">
            <w:pPr>
              <w:rPr>
                <w:rFonts w:ascii="黑体" w:eastAsia="黑体" w:hAnsi="黑体"/>
                <w:sz w:val="20"/>
                <w:szCs w:val="20"/>
              </w:rPr>
            </w:pPr>
          </w:p>
        </w:tc>
      </w:tr>
      <w:tr w:rsidR="00A052DC" w14:paraId="1AAD2254" w14:textId="77777777">
        <w:tc>
          <w:tcPr>
            <w:tcW w:w="1510" w:type="pct"/>
          </w:tcPr>
          <w:p w14:paraId="786A3762" w14:textId="77777777" w:rsidR="00A052DC" w:rsidRDefault="009F0A60">
            <w:pPr>
              <w:rPr>
                <w:rFonts w:ascii="黑体" w:eastAsia="黑体" w:hAnsi="黑体"/>
                <w:sz w:val="20"/>
                <w:szCs w:val="20"/>
              </w:rPr>
            </w:pPr>
            <w:r>
              <w:rPr>
                <w:rFonts w:ascii="黑体" w:eastAsia="黑体" w:hAnsi="黑体" w:hint="eastAsia"/>
                <w:sz w:val="20"/>
                <w:szCs w:val="20"/>
              </w:rPr>
              <w:t>外汇局批件号/备案表号/业务编号</w:t>
            </w:r>
          </w:p>
        </w:tc>
        <w:tc>
          <w:tcPr>
            <w:tcW w:w="1070" w:type="pct"/>
          </w:tcPr>
          <w:p w14:paraId="1DDB9DD8"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REGISTNO</w:t>
            </w:r>
          </w:p>
        </w:tc>
        <w:tc>
          <w:tcPr>
            <w:tcW w:w="809" w:type="pct"/>
          </w:tcPr>
          <w:p w14:paraId="0D432909" w14:textId="77777777" w:rsidR="00A052DC" w:rsidRDefault="009F0A60">
            <w:pPr>
              <w:rPr>
                <w:rFonts w:ascii="黑体" w:eastAsia="黑体" w:hAnsi="黑体"/>
                <w:sz w:val="20"/>
                <w:szCs w:val="20"/>
              </w:rPr>
            </w:pPr>
            <w:r>
              <w:rPr>
                <w:rFonts w:ascii="黑体" w:eastAsia="黑体" w:hAnsi="黑体" w:hint="eastAsia"/>
                <w:sz w:val="20"/>
                <w:szCs w:val="20"/>
              </w:rPr>
              <w:t>字符型，20</w:t>
            </w:r>
          </w:p>
        </w:tc>
        <w:tc>
          <w:tcPr>
            <w:tcW w:w="1611" w:type="pct"/>
          </w:tcPr>
          <w:p w14:paraId="6489EF45" w14:textId="77777777" w:rsidR="00A052DC" w:rsidRDefault="00A052DC">
            <w:pPr>
              <w:rPr>
                <w:rFonts w:ascii="黑体" w:eastAsia="黑体" w:hAnsi="黑体"/>
                <w:sz w:val="20"/>
                <w:szCs w:val="20"/>
              </w:rPr>
            </w:pPr>
          </w:p>
        </w:tc>
      </w:tr>
      <w:tr w:rsidR="00A052DC" w14:paraId="6E8B78B0" w14:textId="77777777">
        <w:tc>
          <w:tcPr>
            <w:tcW w:w="1510" w:type="pct"/>
          </w:tcPr>
          <w:p w14:paraId="7F0AB871"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填报人</w:t>
            </w:r>
          </w:p>
        </w:tc>
        <w:tc>
          <w:tcPr>
            <w:tcW w:w="1070" w:type="pct"/>
          </w:tcPr>
          <w:p w14:paraId="5952D5A3"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WRITEOFFUSER</w:t>
            </w:r>
          </w:p>
        </w:tc>
        <w:tc>
          <w:tcPr>
            <w:tcW w:w="809" w:type="pct"/>
          </w:tcPr>
          <w:p w14:paraId="59DAC187" w14:textId="77777777" w:rsidR="00A052DC" w:rsidRDefault="009F0A60">
            <w:pPr>
              <w:rPr>
                <w:rFonts w:ascii="黑体" w:eastAsia="黑体" w:hAnsi="黑体" w:cs="宋体"/>
                <w:sz w:val="20"/>
                <w:szCs w:val="20"/>
              </w:rPr>
            </w:pPr>
            <w:r>
              <w:rPr>
                <w:rFonts w:ascii="黑体" w:eastAsia="黑体" w:hAnsi="黑体" w:hint="eastAsia"/>
                <w:sz w:val="20"/>
                <w:szCs w:val="20"/>
              </w:rPr>
              <w:t>字符型，20</w:t>
            </w:r>
          </w:p>
        </w:tc>
        <w:tc>
          <w:tcPr>
            <w:tcW w:w="1611" w:type="pct"/>
          </w:tcPr>
          <w:p w14:paraId="383F46CA" w14:textId="77777777" w:rsidR="00A052DC" w:rsidRDefault="00A052DC">
            <w:pPr>
              <w:rPr>
                <w:rFonts w:ascii="黑体" w:eastAsia="黑体" w:hAnsi="黑体" w:cs="宋体"/>
                <w:sz w:val="20"/>
                <w:szCs w:val="20"/>
              </w:rPr>
            </w:pPr>
          </w:p>
        </w:tc>
      </w:tr>
      <w:tr w:rsidR="00A052DC" w14:paraId="16D45C4E" w14:textId="77777777">
        <w:tc>
          <w:tcPr>
            <w:tcW w:w="1510" w:type="pct"/>
          </w:tcPr>
          <w:p w14:paraId="77A1F8D0"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填报人电话</w:t>
            </w:r>
          </w:p>
        </w:tc>
        <w:tc>
          <w:tcPr>
            <w:tcW w:w="1070" w:type="pct"/>
          </w:tcPr>
          <w:p w14:paraId="1BD32D97"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WRITEOFFTEL</w:t>
            </w:r>
          </w:p>
        </w:tc>
        <w:tc>
          <w:tcPr>
            <w:tcW w:w="809" w:type="pct"/>
          </w:tcPr>
          <w:p w14:paraId="0F88AE3C" w14:textId="77777777" w:rsidR="00A052DC" w:rsidRDefault="009F0A60">
            <w:pPr>
              <w:rPr>
                <w:rFonts w:ascii="黑体" w:eastAsia="黑体" w:hAnsi="黑体" w:cs="宋体"/>
                <w:sz w:val="20"/>
                <w:szCs w:val="20"/>
              </w:rPr>
            </w:pPr>
            <w:r>
              <w:rPr>
                <w:rFonts w:ascii="黑体" w:eastAsia="黑体" w:hAnsi="黑体" w:hint="eastAsia"/>
                <w:sz w:val="20"/>
                <w:szCs w:val="20"/>
              </w:rPr>
              <w:t>字符型，20</w:t>
            </w:r>
          </w:p>
        </w:tc>
        <w:tc>
          <w:tcPr>
            <w:tcW w:w="1611" w:type="pct"/>
          </w:tcPr>
          <w:p w14:paraId="0990E601" w14:textId="77777777" w:rsidR="00A052DC" w:rsidRDefault="00A052DC">
            <w:pPr>
              <w:rPr>
                <w:rFonts w:ascii="黑体" w:eastAsia="黑体" w:hAnsi="黑体" w:cs="宋体"/>
                <w:sz w:val="20"/>
                <w:szCs w:val="20"/>
              </w:rPr>
            </w:pPr>
          </w:p>
        </w:tc>
      </w:tr>
      <w:tr w:rsidR="00A052DC" w14:paraId="0826255A" w14:textId="77777777">
        <w:tc>
          <w:tcPr>
            <w:tcW w:w="1510" w:type="pct"/>
          </w:tcPr>
          <w:p w14:paraId="6BE5C8B1" w14:textId="77777777" w:rsidR="00A052DC" w:rsidRDefault="009F0A60">
            <w:pPr>
              <w:rPr>
                <w:rFonts w:ascii="黑体" w:eastAsia="黑体" w:hAnsi="黑体" w:cs="Microsoft Sans Serif"/>
                <w:sz w:val="20"/>
                <w:szCs w:val="20"/>
              </w:rPr>
            </w:pPr>
            <w:r>
              <w:rPr>
                <w:rFonts w:ascii="黑体" w:eastAsia="黑体" w:hAnsi="黑体" w:hint="eastAsia"/>
                <w:sz w:val="20"/>
                <w:szCs w:val="20"/>
              </w:rPr>
              <w:t>申报日期</w:t>
            </w:r>
          </w:p>
        </w:tc>
        <w:tc>
          <w:tcPr>
            <w:tcW w:w="1070" w:type="pct"/>
          </w:tcPr>
          <w:p w14:paraId="69511C85"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WRITEOFFDATE</w:t>
            </w:r>
          </w:p>
        </w:tc>
        <w:tc>
          <w:tcPr>
            <w:tcW w:w="809" w:type="pct"/>
          </w:tcPr>
          <w:p w14:paraId="67BFFBA5" w14:textId="77777777" w:rsidR="00A052DC" w:rsidRDefault="009F0A60">
            <w:pPr>
              <w:rPr>
                <w:rFonts w:ascii="黑体" w:eastAsia="黑体" w:hAnsi="黑体" w:cs="宋体"/>
                <w:sz w:val="20"/>
                <w:szCs w:val="20"/>
              </w:rPr>
            </w:pPr>
            <w:r>
              <w:rPr>
                <w:rFonts w:ascii="黑体" w:eastAsia="黑体" w:hAnsi="黑体" w:hint="eastAsia"/>
                <w:sz w:val="20"/>
                <w:szCs w:val="20"/>
              </w:rPr>
              <w:t>日期型，8</w:t>
            </w:r>
          </w:p>
        </w:tc>
        <w:tc>
          <w:tcPr>
            <w:tcW w:w="1611" w:type="pct"/>
          </w:tcPr>
          <w:p w14:paraId="4B25E745" w14:textId="77777777" w:rsidR="00A052DC" w:rsidRDefault="009F0A60">
            <w:pPr>
              <w:rPr>
                <w:rFonts w:ascii="黑体" w:eastAsia="黑体" w:hAnsi="黑体" w:cs="宋体"/>
                <w:sz w:val="20"/>
                <w:szCs w:val="20"/>
              </w:rPr>
            </w:pPr>
            <w:r>
              <w:rPr>
                <w:rFonts w:ascii="黑体" w:eastAsia="黑体" w:hAnsi="黑体" w:hint="eastAsia"/>
                <w:sz w:val="20"/>
                <w:szCs w:val="20"/>
              </w:rPr>
              <w:t>YYYYMMDD</w:t>
            </w:r>
          </w:p>
        </w:tc>
      </w:tr>
      <w:tr w:rsidR="00A052DC" w14:paraId="5BFCCC27" w14:textId="77777777">
        <w:tc>
          <w:tcPr>
            <w:tcW w:w="1510" w:type="pct"/>
            <w:tcBorders>
              <w:top w:val="single" w:sz="2" w:space="0" w:color="auto"/>
              <w:left w:val="single" w:sz="2" w:space="0" w:color="auto"/>
              <w:bottom w:val="single" w:sz="2" w:space="0" w:color="auto"/>
              <w:right w:val="single" w:sz="2" w:space="0" w:color="auto"/>
            </w:tcBorders>
          </w:tcPr>
          <w:p w14:paraId="3A7394A9"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申报信息来源</w:t>
            </w:r>
          </w:p>
        </w:tc>
        <w:tc>
          <w:tcPr>
            <w:tcW w:w="1070" w:type="pct"/>
            <w:tcBorders>
              <w:top w:val="single" w:sz="2" w:space="0" w:color="auto"/>
              <w:left w:val="single" w:sz="2" w:space="0" w:color="auto"/>
              <w:bottom w:val="single" w:sz="2" w:space="0" w:color="auto"/>
              <w:right w:val="single" w:sz="2" w:space="0" w:color="auto"/>
            </w:tcBorders>
          </w:tcPr>
          <w:p w14:paraId="7F1ADC40"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RPTSOURCE</w:t>
            </w:r>
          </w:p>
        </w:tc>
        <w:tc>
          <w:tcPr>
            <w:tcW w:w="809" w:type="pct"/>
            <w:tcBorders>
              <w:top w:val="single" w:sz="2" w:space="0" w:color="auto"/>
              <w:left w:val="single" w:sz="2" w:space="0" w:color="auto"/>
              <w:bottom w:val="single" w:sz="2" w:space="0" w:color="auto"/>
              <w:right w:val="single" w:sz="2" w:space="0" w:color="auto"/>
            </w:tcBorders>
          </w:tcPr>
          <w:p w14:paraId="448080AE" w14:textId="77777777" w:rsidR="00A052DC" w:rsidRDefault="009F0A60">
            <w:pPr>
              <w:rPr>
                <w:rFonts w:ascii="黑体" w:eastAsia="黑体" w:hAnsi="黑体"/>
                <w:sz w:val="20"/>
                <w:szCs w:val="20"/>
              </w:rPr>
            </w:pPr>
            <w:r>
              <w:rPr>
                <w:rFonts w:ascii="黑体" w:eastAsia="黑体" w:hAnsi="黑体" w:hint="eastAsia"/>
                <w:sz w:val="20"/>
                <w:szCs w:val="20"/>
              </w:rPr>
              <w:t>字符型，1</w:t>
            </w:r>
          </w:p>
        </w:tc>
        <w:tc>
          <w:tcPr>
            <w:tcW w:w="1611" w:type="pct"/>
            <w:tcBorders>
              <w:top w:val="single" w:sz="2" w:space="0" w:color="auto"/>
              <w:left w:val="single" w:sz="2" w:space="0" w:color="auto"/>
              <w:bottom w:val="single" w:sz="2" w:space="0" w:color="auto"/>
              <w:right w:val="single" w:sz="2" w:space="0" w:color="auto"/>
            </w:tcBorders>
          </w:tcPr>
          <w:p w14:paraId="10D56FC0" w14:textId="77777777" w:rsidR="00A052DC" w:rsidRDefault="009F0A60">
            <w:pPr>
              <w:rPr>
                <w:rFonts w:ascii="黑体" w:eastAsia="黑体" w:hAnsi="黑体" w:cs="宋体"/>
                <w:sz w:val="20"/>
                <w:szCs w:val="20"/>
              </w:rPr>
            </w:pPr>
            <w:r>
              <w:rPr>
                <w:rFonts w:ascii="黑体" w:eastAsia="黑体" w:hAnsi="黑体" w:cs="宋体" w:hint="eastAsia"/>
                <w:sz w:val="20"/>
                <w:szCs w:val="20"/>
              </w:rPr>
              <w:t>1-纸质申报（银行版录入）</w:t>
            </w:r>
          </w:p>
          <w:p w14:paraId="672CD8BD" w14:textId="77777777" w:rsidR="00A052DC" w:rsidRDefault="009F0A60">
            <w:pPr>
              <w:rPr>
                <w:rFonts w:ascii="黑体" w:eastAsia="黑体" w:hAnsi="黑体" w:cs="宋体"/>
                <w:sz w:val="20"/>
                <w:szCs w:val="20"/>
              </w:rPr>
            </w:pPr>
            <w:r>
              <w:rPr>
                <w:rFonts w:ascii="黑体" w:eastAsia="黑体" w:hAnsi="黑体" w:cs="宋体" w:hint="eastAsia"/>
                <w:sz w:val="20"/>
                <w:szCs w:val="20"/>
              </w:rPr>
              <w:t>2-网上申报</w:t>
            </w:r>
          </w:p>
          <w:p w14:paraId="3E83A925" w14:textId="77777777" w:rsidR="00A052DC" w:rsidRDefault="009F0A60">
            <w:pPr>
              <w:rPr>
                <w:rFonts w:ascii="黑体" w:eastAsia="黑体" w:hAnsi="黑体" w:cs="宋体"/>
                <w:sz w:val="20"/>
                <w:szCs w:val="20"/>
              </w:rPr>
            </w:pPr>
            <w:r>
              <w:rPr>
                <w:rFonts w:ascii="黑体" w:eastAsia="黑体" w:hAnsi="黑体" w:cs="宋体" w:hint="eastAsia"/>
                <w:sz w:val="20"/>
                <w:szCs w:val="20"/>
              </w:rPr>
              <w:t>3-接口导入（银行业务系统接口文件导入）</w:t>
            </w:r>
          </w:p>
        </w:tc>
      </w:tr>
      <w:tr w:rsidR="00A052DC" w14:paraId="01DCA253" w14:textId="77777777">
        <w:tc>
          <w:tcPr>
            <w:tcW w:w="1510" w:type="pct"/>
            <w:tcBorders>
              <w:top w:val="single" w:sz="2" w:space="0" w:color="auto"/>
              <w:left w:val="single" w:sz="2" w:space="0" w:color="auto"/>
              <w:bottom w:val="single" w:sz="2" w:space="0" w:color="auto"/>
              <w:right w:val="single" w:sz="2" w:space="0" w:color="auto"/>
            </w:tcBorders>
          </w:tcPr>
          <w:p w14:paraId="0C30DA99"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申报单状态</w:t>
            </w:r>
          </w:p>
        </w:tc>
        <w:tc>
          <w:tcPr>
            <w:tcW w:w="1070" w:type="pct"/>
            <w:tcBorders>
              <w:top w:val="single" w:sz="2" w:space="0" w:color="auto"/>
              <w:left w:val="single" w:sz="2" w:space="0" w:color="auto"/>
              <w:bottom w:val="single" w:sz="2" w:space="0" w:color="auto"/>
              <w:right w:val="single" w:sz="2" w:space="0" w:color="auto"/>
            </w:tcBorders>
          </w:tcPr>
          <w:p w14:paraId="493EDEAC"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RPTSTS</w:t>
            </w:r>
          </w:p>
        </w:tc>
        <w:tc>
          <w:tcPr>
            <w:tcW w:w="809" w:type="pct"/>
            <w:tcBorders>
              <w:top w:val="single" w:sz="2" w:space="0" w:color="auto"/>
              <w:left w:val="single" w:sz="2" w:space="0" w:color="auto"/>
              <w:bottom w:val="single" w:sz="2" w:space="0" w:color="auto"/>
              <w:right w:val="single" w:sz="2" w:space="0" w:color="auto"/>
            </w:tcBorders>
          </w:tcPr>
          <w:p w14:paraId="0BF14414" w14:textId="77777777" w:rsidR="00A052DC" w:rsidRDefault="009F0A60">
            <w:pPr>
              <w:rPr>
                <w:rFonts w:ascii="黑体" w:eastAsia="黑体" w:hAnsi="黑体"/>
                <w:sz w:val="20"/>
                <w:szCs w:val="20"/>
              </w:rPr>
            </w:pPr>
            <w:r>
              <w:rPr>
                <w:rFonts w:ascii="黑体" w:eastAsia="黑体" w:hAnsi="黑体" w:hint="eastAsia"/>
                <w:sz w:val="20"/>
                <w:szCs w:val="20"/>
              </w:rPr>
              <w:t>字符型，2</w:t>
            </w:r>
          </w:p>
        </w:tc>
        <w:tc>
          <w:tcPr>
            <w:tcW w:w="1611" w:type="pct"/>
            <w:tcBorders>
              <w:top w:val="single" w:sz="2" w:space="0" w:color="auto"/>
              <w:left w:val="single" w:sz="2" w:space="0" w:color="auto"/>
              <w:bottom w:val="single" w:sz="2" w:space="0" w:color="auto"/>
              <w:right w:val="single" w:sz="2" w:space="0" w:color="auto"/>
            </w:tcBorders>
          </w:tcPr>
          <w:p w14:paraId="41CD73B4" w14:textId="77777777" w:rsidR="00A052DC" w:rsidRDefault="009F0A60">
            <w:pPr>
              <w:rPr>
                <w:rFonts w:ascii="黑体" w:eastAsia="黑体" w:hAnsi="黑体" w:cs="宋体"/>
                <w:sz w:val="20"/>
                <w:szCs w:val="20"/>
              </w:rPr>
            </w:pPr>
            <w:r>
              <w:rPr>
                <w:rFonts w:ascii="黑体" w:eastAsia="黑体" w:hAnsi="黑体" w:cs="宋体" w:hint="eastAsia"/>
                <w:sz w:val="20"/>
                <w:szCs w:val="20"/>
              </w:rPr>
              <w:t>06</w:t>
            </w:r>
            <w:r w:rsidR="00BF0361">
              <w:rPr>
                <w:rFonts w:ascii="黑体" w:eastAsia="黑体" w:hAnsi="黑体" w:cs="宋体" w:hint="eastAsia"/>
                <w:sz w:val="20"/>
                <w:szCs w:val="20"/>
              </w:rPr>
              <w:t>-</w:t>
            </w:r>
            <w:r>
              <w:rPr>
                <w:rFonts w:ascii="黑体" w:eastAsia="黑体" w:hAnsi="黑体" w:cs="宋体" w:hint="eastAsia"/>
                <w:sz w:val="20"/>
                <w:szCs w:val="20"/>
              </w:rPr>
              <w:t>已审核</w:t>
            </w:r>
          </w:p>
        </w:tc>
      </w:tr>
      <w:tr w:rsidR="00A052DC" w14:paraId="23DC14F2" w14:textId="77777777">
        <w:tc>
          <w:tcPr>
            <w:tcW w:w="1510" w:type="pct"/>
            <w:tcBorders>
              <w:top w:val="single" w:sz="2" w:space="0" w:color="auto"/>
              <w:left w:val="single" w:sz="2" w:space="0" w:color="auto"/>
              <w:bottom w:val="single" w:sz="2" w:space="0" w:color="auto"/>
              <w:right w:val="single" w:sz="2" w:space="0" w:color="auto"/>
            </w:tcBorders>
          </w:tcPr>
          <w:p w14:paraId="084C0D24"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删除标志</w:t>
            </w:r>
          </w:p>
        </w:tc>
        <w:tc>
          <w:tcPr>
            <w:tcW w:w="1070" w:type="pct"/>
            <w:tcBorders>
              <w:top w:val="single" w:sz="2" w:space="0" w:color="auto"/>
              <w:left w:val="single" w:sz="2" w:space="0" w:color="auto"/>
              <w:bottom w:val="single" w:sz="2" w:space="0" w:color="auto"/>
              <w:right w:val="single" w:sz="2" w:space="0" w:color="auto"/>
            </w:tcBorders>
          </w:tcPr>
          <w:p w14:paraId="68A0E064"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DELFLAG</w:t>
            </w:r>
          </w:p>
        </w:tc>
        <w:tc>
          <w:tcPr>
            <w:tcW w:w="809" w:type="pct"/>
            <w:tcBorders>
              <w:top w:val="single" w:sz="2" w:space="0" w:color="auto"/>
              <w:left w:val="single" w:sz="2" w:space="0" w:color="auto"/>
              <w:bottom w:val="single" w:sz="2" w:space="0" w:color="auto"/>
              <w:right w:val="single" w:sz="2" w:space="0" w:color="auto"/>
            </w:tcBorders>
          </w:tcPr>
          <w:p w14:paraId="7ECD43A4" w14:textId="77777777" w:rsidR="00A052DC" w:rsidRDefault="009F0A60">
            <w:pPr>
              <w:rPr>
                <w:rFonts w:ascii="黑体" w:eastAsia="黑体" w:hAnsi="黑体"/>
                <w:sz w:val="20"/>
                <w:szCs w:val="20"/>
              </w:rPr>
            </w:pPr>
            <w:r>
              <w:rPr>
                <w:rFonts w:ascii="黑体" w:eastAsia="黑体" w:hAnsi="黑体" w:hint="eastAsia"/>
                <w:sz w:val="20"/>
                <w:szCs w:val="20"/>
              </w:rPr>
              <w:t>字符型，1</w:t>
            </w:r>
          </w:p>
        </w:tc>
        <w:tc>
          <w:tcPr>
            <w:tcW w:w="1611" w:type="pct"/>
            <w:tcBorders>
              <w:top w:val="single" w:sz="2" w:space="0" w:color="auto"/>
              <w:left w:val="single" w:sz="2" w:space="0" w:color="auto"/>
              <w:bottom w:val="single" w:sz="2" w:space="0" w:color="auto"/>
              <w:right w:val="single" w:sz="2" w:space="0" w:color="auto"/>
            </w:tcBorders>
          </w:tcPr>
          <w:p w14:paraId="23A8EE01" w14:textId="77777777" w:rsidR="00A052DC" w:rsidRDefault="009F0A60">
            <w:pPr>
              <w:rPr>
                <w:rFonts w:ascii="黑体" w:eastAsia="黑体" w:hAnsi="黑体" w:cs="宋体"/>
                <w:sz w:val="20"/>
                <w:szCs w:val="20"/>
              </w:rPr>
            </w:pPr>
            <w:r>
              <w:rPr>
                <w:rFonts w:ascii="黑体" w:eastAsia="黑体" w:hAnsi="黑体" w:cs="宋体" w:hint="eastAsia"/>
                <w:sz w:val="20"/>
                <w:szCs w:val="20"/>
              </w:rPr>
              <w:t>0-未删除</w:t>
            </w:r>
          </w:p>
          <w:p w14:paraId="22BF66EB" w14:textId="77777777" w:rsidR="00A052DC" w:rsidRDefault="009F0A60">
            <w:pPr>
              <w:rPr>
                <w:rFonts w:ascii="黑体" w:eastAsia="黑体" w:hAnsi="黑体" w:cs="宋体"/>
                <w:sz w:val="20"/>
                <w:szCs w:val="20"/>
              </w:rPr>
            </w:pPr>
            <w:r>
              <w:rPr>
                <w:rFonts w:ascii="黑体" w:eastAsia="黑体" w:hAnsi="黑体" w:cs="宋体" w:hint="eastAsia"/>
                <w:sz w:val="20"/>
                <w:szCs w:val="20"/>
              </w:rPr>
              <w:t>3-已删除</w:t>
            </w:r>
          </w:p>
        </w:tc>
      </w:tr>
    </w:tbl>
    <w:p w14:paraId="4D1C5E02" w14:textId="77777777" w:rsidR="00A052DC" w:rsidRDefault="00A052DC"/>
    <w:p w14:paraId="544F4140" w14:textId="77777777" w:rsidR="00A052DC" w:rsidRDefault="009F0A60" w:rsidP="0020251D">
      <w:pPr>
        <w:pStyle w:val="4"/>
        <w:numPr>
          <w:ilvl w:val="3"/>
          <w:numId w:val="1"/>
        </w:numPr>
        <w:jc w:val="left"/>
      </w:pPr>
      <w:bookmarkStart w:id="4512" w:name="_Toc454394936"/>
      <w:bookmarkStart w:id="4513" w:name="_Toc310599197"/>
      <w:r>
        <w:rPr>
          <w:rFonts w:hint="eastAsia"/>
        </w:rPr>
        <w:t>境内汇款申请书</w:t>
      </w:r>
      <w:bookmarkEnd w:id="4512"/>
      <w:bookmarkEnd w:id="4513"/>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3" w:type="dxa"/>
          <w:right w:w="113" w:type="dxa"/>
        </w:tblCellMar>
        <w:tblLook w:val="04A0" w:firstRow="1" w:lastRow="0" w:firstColumn="1" w:lastColumn="0" w:noHBand="0" w:noVBand="1"/>
      </w:tblPr>
      <w:tblGrid>
        <w:gridCol w:w="2672"/>
        <w:gridCol w:w="1555"/>
        <w:gridCol w:w="1556"/>
        <w:gridCol w:w="2749"/>
      </w:tblGrid>
      <w:tr w:rsidR="00A052DC" w14:paraId="2ACC9006" w14:textId="77777777">
        <w:trPr>
          <w:tblHeader/>
        </w:trPr>
        <w:tc>
          <w:tcPr>
            <w:tcW w:w="1566" w:type="pct"/>
            <w:shd w:val="clear" w:color="auto" w:fill="C0C0C0"/>
          </w:tcPr>
          <w:p w14:paraId="7F871BDF" w14:textId="77777777" w:rsidR="00A052DC" w:rsidRDefault="009F0A60">
            <w:pPr>
              <w:jc w:val="center"/>
              <w:rPr>
                <w:rFonts w:ascii="黑体" w:eastAsia="黑体" w:hAnsi="黑体"/>
                <w:b/>
                <w:sz w:val="20"/>
                <w:szCs w:val="20"/>
              </w:rPr>
            </w:pPr>
            <w:r>
              <w:rPr>
                <w:rFonts w:ascii="黑体" w:eastAsia="黑体" w:hAnsi="黑体" w:hint="eastAsia"/>
                <w:b/>
                <w:sz w:val="20"/>
                <w:szCs w:val="20"/>
              </w:rPr>
              <w:t>名称</w:t>
            </w:r>
          </w:p>
        </w:tc>
        <w:tc>
          <w:tcPr>
            <w:tcW w:w="911" w:type="pct"/>
            <w:shd w:val="clear" w:color="auto" w:fill="C0C0C0"/>
          </w:tcPr>
          <w:p w14:paraId="7D45423A" w14:textId="77777777" w:rsidR="00A052DC" w:rsidRDefault="009F0A60">
            <w:pPr>
              <w:jc w:val="center"/>
              <w:rPr>
                <w:rFonts w:ascii="黑体" w:eastAsia="黑体" w:hAnsi="黑体"/>
                <w:b/>
                <w:sz w:val="20"/>
                <w:szCs w:val="20"/>
              </w:rPr>
            </w:pPr>
            <w:r>
              <w:rPr>
                <w:rFonts w:ascii="黑体" w:eastAsia="黑体" w:hAnsi="黑体" w:hint="eastAsia"/>
                <w:b/>
                <w:sz w:val="20"/>
                <w:szCs w:val="20"/>
              </w:rPr>
              <w:t>代码</w:t>
            </w:r>
          </w:p>
        </w:tc>
        <w:tc>
          <w:tcPr>
            <w:tcW w:w="912" w:type="pct"/>
            <w:shd w:val="clear" w:color="auto" w:fill="C0C0C0"/>
          </w:tcPr>
          <w:p w14:paraId="650AB3F6" w14:textId="77777777" w:rsidR="00A052DC" w:rsidRDefault="009F0A60">
            <w:pPr>
              <w:jc w:val="center"/>
              <w:rPr>
                <w:rFonts w:ascii="黑体" w:eastAsia="黑体" w:hAnsi="黑体"/>
                <w:b/>
                <w:sz w:val="20"/>
                <w:szCs w:val="20"/>
              </w:rPr>
            </w:pPr>
            <w:r>
              <w:rPr>
                <w:rFonts w:ascii="黑体" w:eastAsia="黑体" w:hAnsi="黑体" w:hint="eastAsia"/>
                <w:b/>
                <w:sz w:val="20"/>
                <w:szCs w:val="20"/>
              </w:rPr>
              <w:t>数据（长度）</w:t>
            </w:r>
          </w:p>
        </w:tc>
        <w:tc>
          <w:tcPr>
            <w:tcW w:w="1611" w:type="pct"/>
            <w:shd w:val="clear" w:color="auto" w:fill="C0C0C0"/>
          </w:tcPr>
          <w:p w14:paraId="66A6DF2C" w14:textId="77777777" w:rsidR="00A052DC" w:rsidRDefault="009F0A60">
            <w:pPr>
              <w:jc w:val="center"/>
              <w:rPr>
                <w:rFonts w:ascii="黑体" w:eastAsia="黑体" w:hAnsi="黑体"/>
                <w:b/>
                <w:sz w:val="20"/>
                <w:szCs w:val="20"/>
              </w:rPr>
            </w:pPr>
            <w:r>
              <w:rPr>
                <w:rFonts w:ascii="黑体" w:eastAsia="黑体" w:hAnsi="黑体" w:hint="eastAsia"/>
                <w:b/>
                <w:sz w:val="20"/>
                <w:szCs w:val="20"/>
              </w:rPr>
              <w:t>注释</w:t>
            </w:r>
          </w:p>
        </w:tc>
      </w:tr>
      <w:tr w:rsidR="00A052DC" w14:paraId="45D9EF62" w14:textId="77777777">
        <w:tc>
          <w:tcPr>
            <w:tcW w:w="1566" w:type="pct"/>
          </w:tcPr>
          <w:p w14:paraId="04BE0562" w14:textId="77777777" w:rsidR="00A052DC" w:rsidRDefault="009F0A60">
            <w:pPr>
              <w:rPr>
                <w:rFonts w:ascii="黑体" w:eastAsia="黑体" w:hAnsi="黑体" w:cs="Microsoft Sans Serif"/>
                <w:sz w:val="20"/>
                <w:szCs w:val="20"/>
              </w:rPr>
            </w:pPr>
            <w:r>
              <w:rPr>
                <w:rFonts w:ascii="黑体" w:eastAsia="黑体" w:hAnsi="黑体" w:hint="eastAsia"/>
                <w:sz w:val="20"/>
                <w:szCs w:val="20"/>
              </w:rPr>
              <w:t>申报号码</w:t>
            </w:r>
          </w:p>
        </w:tc>
        <w:tc>
          <w:tcPr>
            <w:tcW w:w="911" w:type="pct"/>
          </w:tcPr>
          <w:p w14:paraId="08E133DB"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RPTNO</w:t>
            </w:r>
          </w:p>
        </w:tc>
        <w:tc>
          <w:tcPr>
            <w:tcW w:w="912" w:type="pct"/>
          </w:tcPr>
          <w:p w14:paraId="428F1553" w14:textId="77777777" w:rsidR="00A052DC" w:rsidRDefault="009F0A60">
            <w:pPr>
              <w:rPr>
                <w:rFonts w:ascii="黑体" w:eastAsia="黑体" w:hAnsi="黑体" w:cs="宋体"/>
                <w:sz w:val="20"/>
                <w:szCs w:val="20"/>
              </w:rPr>
            </w:pPr>
            <w:r>
              <w:rPr>
                <w:rFonts w:ascii="黑体" w:eastAsia="黑体" w:hAnsi="黑体" w:hint="eastAsia"/>
                <w:sz w:val="20"/>
                <w:szCs w:val="20"/>
              </w:rPr>
              <w:t>字符型，22</w:t>
            </w:r>
          </w:p>
        </w:tc>
        <w:tc>
          <w:tcPr>
            <w:tcW w:w="1611" w:type="pct"/>
          </w:tcPr>
          <w:p w14:paraId="0631F6E9" w14:textId="77777777" w:rsidR="00A052DC" w:rsidRDefault="009F0A60">
            <w:pPr>
              <w:rPr>
                <w:rFonts w:ascii="黑体" w:eastAsia="黑体" w:hAnsi="黑体"/>
                <w:sz w:val="20"/>
                <w:szCs w:val="20"/>
              </w:rPr>
            </w:pPr>
            <w:r>
              <w:rPr>
                <w:rFonts w:ascii="黑体" w:eastAsia="黑体" w:hAnsi="黑体" w:hint="eastAsia"/>
                <w:sz w:val="20"/>
                <w:szCs w:val="20"/>
              </w:rPr>
              <w:t>编码规则：6位地区标识码+4位银行代码+2位银行顺序码+汇入日期（yymmdd）+4位银行业务流水码。</w:t>
            </w:r>
          </w:p>
        </w:tc>
      </w:tr>
      <w:tr w:rsidR="00A052DC" w14:paraId="07B69806" w14:textId="77777777">
        <w:tc>
          <w:tcPr>
            <w:tcW w:w="1566" w:type="pct"/>
          </w:tcPr>
          <w:p w14:paraId="54C158EB" w14:textId="77777777" w:rsidR="00A052DC" w:rsidRDefault="009F0A60">
            <w:pPr>
              <w:rPr>
                <w:rFonts w:ascii="黑体" w:eastAsia="黑体" w:hAnsi="黑体" w:cs="Microsoft Sans Serif"/>
                <w:sz w:val="20"/>
                <w:szCs w:val="20"/>
              </w:rPr>
            </w:pPr>
            <w:r>
              <w:rPr>
                <w:rFonts w:ascii="黑体" w:eastAsia="黑体" w:hAnsi="黑体" w:hint="eastAsia"/>
                <w:sz w:val="20"/>
                <w:szCs w:val="20"/>
              </w:rPr>
              <w:t>汇款人类型</w:t>
            </w:r>
          </w:p>
        </w:tc>
        <w:tc>
          <w:tcPr>
            <w:tcW w:w="911" w:type="pct"/>
          </w:tcPr>
          <w:p w14:paraId="187D12CE"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PAYEETYPE</w:t>
            </w:r>
          </w:p>
        </w:tc>
        <w:tc>
          <w:tcPr>
            <w:tcW w:w="912" w:type="pct"/>
          </w:tcPr>
          <w:p w14:paraId="11471DBD" w14:textId="77777777" w:rsidR="00A052DC" w:rsidRDefault="009F0A60">
            <w:pPr>
              <w:rPr>
                <w:rFonts w:ascii="黑体" w:eastAsia="黑体" w:hAnsi="黑体" w:cs="宋体"/>
                <w:sz w:val="20"/>
                <w:szCs w:val="20"/>
              </w:rPr>
            </w:pPr>
            <w:r>
              <w:rPr>
                <w:rFonts w:ascii="黑体" w:eastAsia="黑体" w:hAnsi="黑体" w:hint="eastAsia"/>
                <w:sz w:val="20"/>
                <w:szCs w:val="20"/>
              </w:rPr>
              <w:t>字符型，1</w:t>
            </w:r>
          </w:p>
        </w:tc>
        <w:tc>
          <w:tcPr>
            <w:tcW w:w="1611" w:type="pct"/>
          </w:tcPr>
          <w:p w14:paraId="704C9846" w14:textId="77777777" w:rsidR="00A052DC" w:rsidRDefault="009F0A60">
            <w:pPr>
              <w:rPr>
                <w:rFonts w:ascii="黑体" w:eastAsia="黑体" w:hAnsi="黑体"/>
                <w:sz w:val="20"/>
                <w:szCs w:val="20"/>
              </w:rPr>
            </w:pPr>
            <w:r>
              <w:rPr>
                <w:rFonts w:ascii="黑体" w:eastAsia="黑体" w:hAnsi="黑体" w:hint="eastAsia"/>
                <w:sz w:val="20"/>
                <w:szCs w:val="20"/>
              </w:rPr>
              <w:t>C</w:t>
            </w:r>
            <w:r w:rsidR="00AE4602">
              <w:rPr>
                <w:rFonts w:ascii="黑体" w:eastAsia="黑体" w:hAnsi="黑体" w:hint="eastAsia"/>
                <w:sz w:val="20"/>
                <w:szCs w:val="20"/>
              </w:rPr>
              <w:t>-</w:t>
            </w:r>
            <w:r>
              <w:rPr>
                <w:rFonts w:ascii="黑体" w:eastAsia="黑体" w:hAnsi="黑体" w:hint="eastAsia"/>
                <w:sz w:val="20"/>
                <w:szCs w:val="20"/>
              </w:rPr>
              <w:t>对公用户</w:t>
            </w:r>
          </w:p>
          <w:p w14:paraId="457AB39C" w14:textId="77777777" w:rsidR="00A052DC" w:rsidRDefault="009F0A60">
            <w:pPr>
              <w:rPr>
                <w:rFonts w:ascii="黑体" w:eastAsia="黑体" w:hAnsi="黑体"/>
                <w:sz w:val="20"/>
                <w:szCs w:val="20"/>
              </w:rPr>
            </w:pPr>
            <w:r>
              <w:rPr>
                <w:rFonts w:ascii="黑体" w:eastAsia="黑体" w:hAnsi="黑体" w:hint="eastAsia"/>
                <w:sz w:val="20"/>
                <w:szCs w:val="20"/>
              </w:rPr>
              <w:t>D</w:t>
            </w:r>
            <w:r w:rsidR="00AE4602">
              <w:rPr>
                <w:rFonts w:ascii="黑体" w:eastAsia="黑体" w:hAnsi="黑体" w:hint="eastAsia"/>
                <w:sz w:val="20"/>
                <w:szCs w:val="20"/>
              </w:rPr>
              <w:t>-</w:t>
            </w:r>
            <w:r>
              <w:rPr>
                <w:rFonts w:ascii="黑体" w:eastAsia="黑体" w:hAnsi="黑体" w:hint="eastAsia"/>
                <w:sz w:val="20"/>
                <w:szCs w:val="20"/>
              </w:rPr>
              <w:t>对私中国居民</w:t>
            </w:r>
          </w:p>
          <w:p w14:paraId="0F493D05" w14:textId="77777777" w:rsidR="00A052DC" w:rsidRDefault="009F0A60">
            <w:pPr>
              <w:rPr>
                <w:rFonts w:ascii="黑体" w:eastAsia="黑体" w:hAnsi="黑体"/>
                <w:sz w:val="20"/>
                <w:szCs w:val="20"/>
              </w:rPr>
            </w:pPr>
            <w:r>
              <w:rPr>
                <w:rFonts w:ascii="黑体" w:eastAsia="黑体" w:hAnsi="黑体" w:hint="eastAsia"/>
                <w:sz w:val="20"/>
                <w:szCs w:val="20"/>
              </w:rPr>
              <w:t>F</w:t>
            </w:r>
            <w:r w:rsidR="00AE4602">
              <w:rPr>
                <w:rFonts w:ascii="黑体" w:eastAsia="黑体" w:hAnsi="黑体" w:hint="eastAsia"/>
                <w:sz w:val="20"/>
                <w:szCs w:val="20"/>
              </w:rPr>
              <w:t>-</w:t>
            </w:r>
            <w:r>
              <w:rPr>
                <w:rFonts w:ascii="黑体" w:eastAsia="黑体" w:hAnsi="黑体" w:hint="eastAsia"/>
                <w:sz w:val="20"/>
                <w:szCs w:val="20"/>
              </w:rPr>
              <w:t>对私中国非居民</w:t>
            </w:r>
          </w:p>
        </w:tc>
      </w:tr>
      <w:tr w:rsidR="00A052DC" w14:paraId="46D94D11" w14:textId="77777777">
        <w:tc>
          <w:tcPr>
            <w:tcW w:w="1566" w:type="pct"/>
          </w:tcPr>
          <w:p w14:paraId="02F2E24B"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个人身份证件号码</w:t>
            </w:r>
          </w:p>
        </w:tc>
        <w:tc>
          <w:tcPr>
            <w:tcW w:w="911" w:type="pct"/>
          </w:tcPr>
          <w:p w14:paraId="3AE00EFE"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IDCODE</w:t>
            </w:r>
          </w:p>
        </w:tc>
        <w:tc>
          <w:tcPr>
            <w:tcW w:w="912" w:type="pct"/>
          </w:tcPr>
          <w:p w14:paraId="40AC0583" w14:textId="77777777" w:rsidR="00A052DC" w:rsidRDefault="009F0A60">
            <w:pPr>
              <w:rPr>
                <w:rFonts w:ascii="黑体" w:eastAsia="黑体" w:hAnsi="黑体" w:cs="宋体"/>
                <w:sz w:val="20"/>
                <w:szCs w:val="20"/>
              </w:rPr>
            </w:pPr>
            <w:r>
              <w:rPr>
                <w:rFonts w:ascii="黑体" w:eastAsia="黑体" w:hAnsi="黑体" w:hint="eastAsia"/>
                <w:sz w:val="20"/>
                <w:szCs w:val="20"/>
              </w:rPr>
              <w:t>字符型，32</w:t>
            </w:r>
          </w:p>
        </w:tc>
        <w:tc>
          <w:tcPr>
            <w:tcW w:w="1611" w:type="pct"/>
          </w:tcPr>
          <w:p w14:paraId="225C37E7" w14:textId="77777777" w:rsidR="00A052DC" w:rsidRDefault="00A052DC">
            <w:pPr>
              <w:rPr>
                <w:rFonts w:ascii="黑体" w:eastAsia="黑体" w:hAnsi="黑体" w:cs="宋体"/>
                <w:sz w:val="20"/>
                <w:szCs w:val="20"/>
              </w:rPr>
            </w:pPr>
          </w:p>
        </w:tc>
      </w:tr>
      <w:tr w:rsidR="00A052DC" w14:paraId="25E034AB" w14:textId="77777777">
        <w:tc>
          <w:tcPr>
            <w:tcW w:w="1566" w:type="pct"/>
          </w:tcPr>
          <w:p w14:paraId="196E6F34" w14:textId="77777777" w:rsidR="00A052DC" w:rsidRDefault="009F0A60">
            <w:pPr>
              <w:pStyle w:val="B"/>
            </w:pPr>
            <w:r>
              <w:rPr>
                <w:rFonts w:hint="eastAsia"/>
                <w:kern w:val="2"/>
              </w:rPr>
              <w:t>主体标识码</w:t>
            </w:r>
          </w:p>
        </w:tc>
        <w:tc>
          <w:tcPr>
            <w:tcW w:w="911" w:type="pct"/>
          </w:tcPr>
          <w:p w14:paraId="3CACD231" w14:textId="77777777" w:rsidR="00A052DC" w:rsidRDefault="009F0A60">
            <w:pPr>
              <w:pStyle w:val="B"/>
            </w:pPr>
            <w:r>
              <w:rPr>
                <w:kern w:val="2"/>
              </w:rPr>
              <w:t>UNITCODE</w:t>
            </w:r>
          </w:p>
        </w:tc>
        <w:tc>
          <w:tcPr>
            <w:tcW w:w="912" w:type="pct"/>
          </w:tcPr>
          <w:p w14:paraId="4D087366" w14:textId="77777777" w:rsidR="00A052DC" w:rsidRDefault="009F0A60">
            <w:pPr>
              <w:pStyle w:val="B"/>
              <w:rPr>
                <w:rFonts w:cs="宋体"/>
              </w:rPr>
            </w:pPr>
            <w:r>
              <w:rPr>
                <w:rFonts w:hint="eastAsia"/>
                <w:kern w:val="2"/>
              </w:rPr>
              <w:t>字符型，</w:t>
            </w:r>
            <w:r>
              <w:rPr>
                <w:kern w:val="2"/>
              </w:rPr>
              <w:t>18</w:t>
            </w:r>
          </w:p>
        </w:tc>
        <w:tc>
          <w:tcPr>
            <w:tcW w:w="1611" w:type="pct"/>
          </w:tcPr>
          <w:p w14:paraId="583FE27A" w14:textId="77777777" w:rsidR="00A052DC" w:rsidRDefault="009F0A60">
            <w:pPr>
              <w:pStyle w:val="B"/>
              <w:rPr>
                <w:rFonts w:cs="宋体"/>
              </w:rPr>
            </w:pPr>
            <w:r>
              <w:rPr>
                <w:rFonts w:cs="宋体" w:hint="eastAsia"/>
              </w:rPr>
              <w:t>指统一社会信用代码法定载体（如营业执照）上统一社会信用代码中的第9至17位或国家外汇管理局及其分支局签发的特殊机构代码赋码通知书上的机构代码。</w:t>
            </w:r>
          </w:p>
        </w:tc>
      </w:tr>
      <w:tr w:rsidR="00A052DC" w14:paraId="1F0DA065" w14:textId="77777777">
        <w:tc>
          <w:tcPr>
            <w:tcW w:w="1566" w:type="pct"/>
          </w:tcPr>
          <w:p w14:paraId="25514F80"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汇款人名称</w:t>
            </w:r>
          </w:p>
        </w:tc>
        <w:tc>
          <w:tcPr>
            <w:tcW w:w="911" w:type="pct"/>
          </w:tcPr>
          <w:p w14:paraId="3B63B100"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CUSTNAME</w:t>
            </w:r>
          </w:p>
        </w:tc>
        <w:tc>
          <w:tcPr>
            <w:tcW w:w="912" w:type="pct"/>
          </w:tcPr>
          <w:p w14:paraId="7A8A1C1F" w14:textId="77777777" w:rsidR="00A052DC" w:rsidRDefault="009F0A60">
            <w:pPr>
              <w:rPr>
                <w:rFonts w:ascii="黑体" w:eastAsia="黑体" w:hAnsi="黑体" w:cs="宋体"/>
                <w:sz w:val="20"/>
                <w:szCs w:val="20"/>
              </w:rPr>
            </w:pPr>
            <w:r>
              <w:rPr>
                <w:rFonts w:ascii="黑体" w:eastAsia="黑体" w:hAnsi="黑体" w:hint="eastAsia"/>
                <w:sz w:val="20"/>
                <w:szCs w:val="20"/>
              </w:rPr>
              <w:t>字符型，128</w:t>
            </w:r>
          </w:p>
        </w:tc>
        <w:tc>
          <w:tcPr>
            <w:tcW w:w="1611" w:type="pct"/>
          </w:tcPr>
          <w:p w14:paraId="1F65CA46" w14:textId="77777777" w:rsidR="00A052DC" w:rsidRDefault="00A052DC">
            <w:pPr>
              <w:rPr>
                <w:rFonts w:ascii="黑体" w:eastAsia="黑体" w:hAnsi="黑体" w:cs="宋体"/>
                <w:sz w:val="20"/>
                <w:szCs w:val="20"/>
              </w:rPr>
            </w:pPr>
          </w:p>
        </w:tc>
      </w:tr>
      <w:tr w:rsidR="00A052DC" w14:paraId="3E6660F2" w14:textId="77777777">
        <w:tc>
          <w:tcPr>
            <w:tcW w:w="1566" w:type="pct"/>
          </w:tcPr>
          <w:p w14:paraId="68CF08AC"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收款人名称</w:t>
            </w:r>
          </w:p>
        </w:tc>
        <w:tc>
          <w:tcPr>
            <w:tcW w:w="911" w:type="pct"/>
          </w:tcPr>
          <w:p w14:paraId="698CA159"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OPPNAME</w:t>
            </w:r>
          </w:p>
        </w:tc>
        <w:tc>
          <w:tcPr>
            <w:tcW w:w="912" w:type="pct"/>
          </w:tcPr>
          <w:p w14:paraId="5316BEA1" w14:textId="77777777" w:rsidR="00A052DC" w:rsidRDefault="009F0A60">
            <w:pPr>
              <w:rPr>
                <w:rFonts w:ascii="黑体" w:eastAsia="黑体" w:hAnsi="黑体" w:cs="宋体"/>
                <w:sz w:val="20"/>
                <w:szCs w:val="20"/>
              </w:rPr>
            </w:pPr>
            <w:r>
              <w:rPr>
                <w:rFonts w:ascii="黑体" w:eastAsia="黑体" w:hAnsi="黑体" w:hint="eastAsia"/>
                <w:sz w:val="20"/>
                <w:szCs w:val="20"/>
              </w:rPr>
              <w:t>字符型，128</w:t>
            </w:r>
          </w:p>
        </w:tc>
        <w:tc>
          <w:tcPr>
            <w:tcW w:w="1611" w:type="pct"/>
          </w:tcPr>
          <w:p w14:paraId="2A9C0486" w14:textId="77777777" w:rsidR="00A052DC" w:rsidRDefault="00A052DC">
            <w:pPr>
              <w:rPr>
                <w:rFonts w:ascii="黑体" w:eastAsia="黑体" w:hAnsi="黑体" w:cs="宋体"/>
                <w:sz w:val="20"/>
                <w:szCs w:val="20"/>
              </w:rPr>
            </w:pPr>
          </w:p>
        </w:tc>
      </w:tr>
      <w:tr w:rsidR="00A052DC" w14:paraId="1D8438F9" w14:textId="77777777">
        <w:tc>
          <w:tcPr>
            <w:tcW w:w="1566" w:type="pct"/>
          </w:tcPr>
          <w:p w14:paraId="78A1FCB3"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收款人账号</w:t>
            </w:r>
          </w:p>
        </w:tc>
        <w:tc>
          <w:tcPr>
            <w:tcW w:w="911" w:type="pct"/>
          </w:tcPr>
          <w:p w14:paraId="79686898"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OPPACC</w:t>
            </w:r>
          </w:p>
        </w:tc>
        <w:tc>
          <w:tcPr>
            <w:tcW w:w="912" w:type="pct"/>
          </w:tcPr>
          <w:p w14:paraId="35817BF1" w14:textId="77777777" w:rsidR="00A052DC" w:rsidRDefault="009F0A60">
            <w:pPr>
              <w:rPr>
                <w:rFonts w:ascii="黑体" w:eastAsia="黑体" w:hAnsi="黑体"/>
                <w:sz w:val="20"/>
                <w:szCs w:val="20"/>
              </w:rPr>
            </w:pPr>
            <w:r>
              <w:rPr>
                <w:rFonts w:ascii="黑体" w:eastAsia="黑体" w:hAnsi="黑体" w:cs="Microsoft Sans Serif" w:hint="eastAsia"/>
                <w:sz w:val="20"/>
                <w:szCs w:val="20"/>
              </w:rPr>
              <w:t>字符型，32</w:t>
            </w:r>
          </w:p>
        </w:tc>
        <w:tc>
          <w:tcPr>
            <w:tcW w:w="1611" w:type="pct"/>
          </w:tcPr>
          <w:p w14:paraId="437C959B" w14:textId="77777777" w:rsidR="00A052DC" w:rsidRDefault="00A052DC">
            <w:pPr>
              <w:rPr>
                <w:rFonts w:ascii="黑体" w:eastAsia="黑体" w:hAnsi="黑体" w:cs="宋体"/>
                <w:sz w:val="20"/>
                <w:szCs w:val="20"/>
              </w:rPr>
            </w:pPr>
          </w:p>
        </w:tc>
      </w:tr>
      <w:tr w:rsidR="00A052DC" w14:paraId="79FF455B" w14:textId="77777777">
        <w:tc>
          <w:tcPr>
            <w:tcW w:w="1566" w:type="pct"/>
          </w:tcPr>
          <w:p w14:paraId="748A5DE1"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汇款币种</w:t>
            </w:r>
          </w:p>
        </w:tc>
        <w:tc>
          <w:tcPr>
            <w:tcW w:w="911" w:type="pct"/>
          </w:tcPr>
          <w:p w14:paraId="7B406E21"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TXCCY</w:t>
            </w:r>
          </w:p>
        </w:tc>
        <w:tc>
          <w:tcPr>
            <w:tcW w:w="912" w:type="pct"/>
          </w:tcPr>
          <w:p w14:paraId="71CDEFAE" w14:textId="77777777" w:rsidR="00A052DC" w:rsidRDefault="009F0A60">
            <w:pPr>
              <w:rPr>
                <w:rFonts w:ascii="黑体" w:eastAsia="黑体" w:hAnsi="黑体"/>
                <w:sz w:val="20"/>
                <w:szCs w:val="20"/>
              </w:rPr>
            </w:pPr>
            <w:r>
              <w:rPr>
                <w:rFonts w:ascii="黑体" w:eastAsia="黑体" w:hAnsi="黑体" w:hint="eastAsia"/>
                <w:sz w:val="20"/>
                <w:szCs w:val="20"/>
              </w:rPr>
              <w:t>字符型，3</w:t>
            </w:r>
          </w:p>
        </w:tc>
        <w:tc>
          <w:tcPr>
            <w:tcW w:w="1611" w:type="pct"/>
          </w:tcPr>
          <w:p w14:paraId="0470E49E" w14:textId="77777777" w:rsidR="00A052DC" w:rsidRDefault="00A052DC">
            <w:pPr>
              <w:rPr>
                <w:rFonts w:ascii="黑体" w:eastAsia="黑体" w:hAnsi="黑体"/>
                <w:sz w:val="20"/>
                <w:szCs w:val="20"/>
              </w:rPr>
            </w:pPr>
          </w:p>
        </w:tc>
      </w:tr>
      <w:tr w:rsidR="00A052DC" w14:paraId="482E8834" w14:textId="77777777">
        <w:tc>
          <w:tcPr>
            <w:tcW w:w="1566" w:type="pct"/>
          </w:tcPr>
          <w:p w14:paraId="5114AA98" w14:textId="77777777" w:rsidR="00A052DC" w:rsidRDefault="009F0A60">
            <w:pPr>
              <w:rPr>
                <w:rFonts w:ascii="黑体" w:eastAsia="黑体" w:hAnsi="黑体" w:cs="Microsoft Sans Serif"/>
                <w:sz w:val="20"/>
                <w:szCs w:val="20"/>
              </w:rPr>
            </w:pPr>
            <w:r>
              <w:rPr>
                <w:rFonts w:ascii="黑体" w:eastAsia="黑体" w:hAnsi="黑体" w:hint="eastAsia"/>
                <w:sz w:val="20"/>
                <w:szCs w:val="20"/>
              </w:rPr>
              <w:t>汇款</w:t>
            </w:r>
            <w:r>
              <w:rPr>
                <w:rFonts w:ascii="黑体" w:eastAsia="黑体" w:hAnsi="黑体" w:cs="Microsoft Sans Serif" w:hint="eastAsia"/>
                <w:sz w:val="20"/>
                <w:szCs w:val="20"/>
              </w:rPr>
              <w:t>金额</w:t>
            </w:r>
          </w:p>
        </w:tc>
        <w:tc>
          <w:tcPr>
            <w:tcW w:w="911" w:type="pct"/>
          </w:tcPr>
          <w:p w14:paraId="20E170D9"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TXAMT</w:t>
            </w:r>
          </w:p>
        </w:tc>
        <w:tc>
          <w:tcPr>
            <w:tcW w:w="912" w:type="pct"/>
          </w:tcPr>
          <w:p w14:paraId="03B2F054" w14:textId="77777777" w:rsidR="00A052DC" w:rsidRDefault="009F0A60">
            <w:pPr>
              <w:rPr>
                <w:rFonts w:ascii="黑体" w:eastAsia="黑体" w:hAnsi="黑体"/>
                <w:sz w:val="20"/>
                <w:szCs w:val="20"/>
              </w:rPr>
            </w:pPr>
            <w:r>
              <w:rPr>
                <w:rFonts w:ascii="黑体" w:eastAsia="黑体" w:hAnsi="黑体" w:hint="eastAsia"/>
                <w:sz w:val="20"/>
                <w:szCs w:val="20"/>
              </w:rPr>
              <w:t>数值型，22.0</w:t>
            </w:r>
          </w:p>
        </w:tc>
        <w:tc>
          <w:tcPr>
            <w:tcW w:w="1611" w:type="pct"/>
          </w:tcPr>
          <w:p w14:paraId="02BA828A" w14:textId="77777777" w:rsidR="00A052DC" w:rsidRDefault="00A052DC">
            <w:pPr>
              <w:rPr>
                <w:rFonts w:ascii="黑体" w:eastAsia="黑体" w:hAnsi="黑体"/>
                <w:sz w:val="20"/>
                <w:szCs w:val="20"/>
              </w:rPr>
            </w:pPr>
          </w:p>
        </w:tc>
      </w:tr>
      <w:tr w:rsidR="00A052DC" w14:paraId="7FDF11E7" w14:textId="77777777">
        <w:tc>
          <w:tcPr>
            <w:tcW w:w="1566" w:type="pct"/>
          </w:tcPr>
          <w:p w14:paraId="3C2C02D8"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购汇汇率</w:t>
            </w:r>
          </w:p>
        </w:tc>
        <w:tc>
          <w:tcPr>
            <w:tcW w:w="911" w:type="pct"/>
          </w:tcPr>
          <w:p w14:paraId="7F75DBAD"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EXRATE</w:t>
            </w:r>
          </w:p>
        </w:tc>
        <w:tc>
          <w:tcPr>
            <w:tcW w:w="912" w:type="pct"/>
          </w:tcPr>
          <w:p w14:paraId="6779796D" w14:textId="77777777" w:rsidR="00A052DC" w:rsidRDefault="009F0A60">
            <w:pPr>
              <w:rPr>
                <w:rFonts w:ascii="黑体" w:eastAsia="黑体" w:hAnsi="黑体"/>
                <w:sz w:val="20"/>
                <w:szCs w:val="20"/>
              </w:rPr>
            </w:pPr>
            <w:r>
              <w:rPr>
                <w:rFonts w:ascii="黑体" w:eastAsia="黑体" w:hAnsi="黑体" w:hint="eastAsia"/>
                <w:sz w:val="20"/>
                <w:szCs w:val="20"/>
              </w:rPr>
              <w:t>数值型，13.8</w:t>
            </w:r>
          </w:p>
        </w:tc>
        <w:tc>
          <w:tcPr>
            <w:tcW w:w="1611" w:type="pct"/>
          </w:tcPr>
          <w:p w14:paraId="3A3434EC" w14:textId="77777777" w:rsidR="00A052DC" w:rsidRDefault="00A052DC">
            <w:pPr>
              <w:rPr>
                <w:rFonts w:ascii="黑体" w:eastAsia="黑体" w:hAnsi="黑体"/>
                <w:sz w:val="20"/>
                <w:szCs w:val="20"/>
              </w:rPr>
            </w:pPr>
          </w:p>
        </w:tc>
      </w:tr>
      <w:tr w:rsidR="00A052DC" w14:paraId="2FD7095E" w14:textId="77777777">
        <w:tc>
          <w:tcPr>
            <w:tcW w:w="1566" w:type="pct"/>
          </w:tcPr>
          <w:p w14:paraId="2BBED8C2"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购汇金额</w:t>
            </w:r>
          </w:p>
        </w:tc>
        <w:tc>
          <w:tcPr>
            <w:tcW w:w="911" w:type="pct"/>
          </w:tcPr>
          <w:p w14:paraId="538E5E78"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LCYAMT</w:t>
            </w:r>
          </w:p>
        </w:tc>
        <w:tc>
          <w:tcPr>
            <w:tcW w:w="912" w:type="pct"/>
          </w:tcPr>
          <w:p w14:paraId="17CB1330" w14:textId="77777777" w:rsidR="00A052DC" w:rsidRDefault="009F0A60">
            <w:pPr>
              <w:rPr>
                <w:rFonts w:ascii="黑体" w:eastAsia="黑体" w:hAnsi="黑体"/>
                <w:sz w:val="20"/>
                <w:szCs w:val="20"/>
              </w:rPr>
            </w:pPr>
            <w:r>
              <w:rPr>
                <w:rFonts w:ascii="黑体" w:eastAsia="黑体" w:hAnsi="黑体" w:hint="eastAsia"/>
                <w:sz w:val="20"/>
                <w:szCs w:val="20"/>
              </w:rPr>
              <w:t>数值型，22.0</w:t>
            </w:r>
          </w:p>
        </w:tc>
        <w:tc>
          <w:tcPr>
            <w:tcW w:w="1611" w:type="pct"/>
          </w:tcPr>
          <w:p w14:paraId="64ABD9FF" w14:textId="77777777" w:rsidR="00A052DC" w:rsidRDefault="00A052DC">
            <w:pPr>
              <w:rPr>
                <w:rFonts w:ascii="黑体" w:eastAsia="黑体" w:hAnsi="黑体"/>
                <w:sz w:val="20"/>
                <w:szCs w:val="20"/>
              </w:rPr>
            </w:pPr>
          </w:p>
        </w:tc>
      </w:tr>
      <w:tr w:rsidR="00A052DC" w14:paraId="621A0F01" w14:textId="77777777">
        <w:tc>
          <w:tcPr>
            <w:tcW w:w="1566" w:type="pct"/>
          </w:tcPr>
          <w:p w14:paraId="678F2D0B"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人民币账号/银行卡号</w:t>
            </w:r>
          </w:p>
        </w:tc>
        <w:tc>
          <w:tcPr>
            <w:tcW w:w="911" w:type="pct"/>
          </w:tcPr>
          <w:p w14:paraId="7ABFED4A"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LCYACC</w:t>
            </w:r>
          </w:p>
        </w:tc>
        <w:tc>
          <w:tcPr>
            <w:tcW w:w="912" w:type="pct"/>
          </w:tcPr>
          <w:p w14:paraId="2FFF181C" w14:textId="77777777" w:rsidR="00A052DC" w:rsidRDefault="009F0A60">
            <w:pPr>
              <w:rPr>
                <w:rFonts w:ascii="黑体" w:eastAsia="黑体" w:hAnsi="黑体"/>
                <w:sz w:val="20"/>
                <w:szCs w:val="20"/>
              </w:rPr>
            </w:pPr>
            <w:r>
              <w:rPr>
                <w:rFonts w:ascii="黑体" w:eastAsia="黑体" w:hAnsi="黑体" w:hint="eastAsia"/>
                <w:sz w:val="20"/>
                <w:szCs w:val="20"/>
              </w:rPr>
              <w:t>字符型，32</w:t>
            </w:r>
          </w:p>
        </w:tc>
        <w:tc>
          <w:tcPr>
            <w:tcW w:w="1611" w:type="pct"/>
          </w:tcPr>
          <w:p w14:paraId="684CB71F" w14:textId="77777777" w:rsidR="00A052DC" w:rsidRDefault="00A052DC">
            <w:pPr>
              <w:rPr>
                <w:rFonts w:ascii="黑体" w:eastAsia="黑体" w:hAnsi="黑体"/>
                <w:sz w:val="20"/>
                <w:szCs w:val="20"/>
              </w:rPr>
            </w:pPr>
          </w:p>
        </w:tc>
      </w:tr>
      <w:tr w:rsidR="00A052DC" w14:paraId="4232821F" w14:textId="77777777">
        <w:tc>
          <w:tcPr>
            <w:tcW w:w="1566" w:type="pct"/>
          </w:tcPr>
          <w:p w14:paraId="1CBE850A"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现汇金额</w:t>
            </w:r>
          </w:p>
        </w:tc>
        <w:tc>
          <w:tcPr>
            <w:tcW w:w="911" w:type="pct"/>
          </w:tcPr>
          <w:p w14:paraId="540284C8"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FCYAMT</w:t>
            </w:r>
          </w:p>
        </w:tc>
        <w:tc>
          <w:tcPr>
            <w:tcW w:w="912" w:type="pct"/>
          </w:tcPr>
          <w:p w14:paraId="7FACD6AD" w14:textId="77777777" w:rsidR="00A052DC" w:rsidRDefault="009F0A60">
            <w:pPr>
              <w:rPr>
                <w:rFonts w:ascii="黑体" w:eastAsia="黑体" w:hAnsi="黑体"/>
                <w:sz w:val="20"/>
                <w:szCs w:val="20"/>
              </w:rPr>
            </w:pPr>
            <w:r>
              <w:rPr>
                <w:rFonts w:ascii="黑体" w:eastAsia="黑体" w:hAnsi="黑体" w:hint="eastAsia"/>
                <w:sz w:val="20"/>
                <w:szCs w:val="20"/>
              </w:rPr>
              <w:t>数值型，22.0</w:t>
            </w:r>
          </w:p>
        </w:tc>
        <w:tc>
          <w:tcPr>
            <w:tcW w:w="1611" w:type="pct"/>
          </w:tcPr>
          <w:p w14:paraId="24B4ABE0" w14:textId="77777777" w:rsidR="00A052DC" w:rsidRDefault="00A052DC">
            <w:pPr>
              <w:rPr>
                <w:rFonts w:ascii="黑体" w:eastAsia="黑体" w:hAnsi="黑体"/>
                <w:sz w:val="20"/>
                <w:szCs w:val="20"/>
              </w:rPr>
            </w:pPr>
          </w:p>
        </w:tc>
      </w:tr>
      <w:tr w:rsidR="00A052DC" w14:paraId="20E41407" w14:textId="77777777">
        <w:tc>
          <w:tcPr>
            <w:tcW w:w="1566" w:type="pct"/>
          </w:tcPr>
          <w:p w14:paraId="26B6BF9F" w14:textId="77777777" w:rsidR="00A052DC" w:rsidRDefault="009F0A60">
            <w:pPr>
              <w:rPr>
                <w:rFonts w:ascii="黑体" w:eastAsia="黑体" w:hAnsi="黑体" w:cs="Microsoft Sans Serif"/>
                <w:sz w:val="20"/>
                <w:szCs w:val="20"/>
              </w:rPr>
            </w:pPr>
            <w:r>
              <w:rPr>
                <w:rFonts w:ascii="黑体" w:eastAsia="黑体" w:hAnsi="黑体" w:hint="eastAsia"/>
                <w:sz w:val="20"/>
                <w:szCs w:val="20"/>
              </w:rPr>
              <w:t>外汇账号/银行卡号</w:t>
            </w:r>
          </w:p>
        </w:tc>
        <w:tc>
          <w:tcPr>
            <w:tcW w:w="911" w:type="pct"/>
          </w:tcPr>
          <w:p w14:paraId="4BE200DE"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FCYACC</w:t>
            </w:r>
          </w:p>
        </w:tc>
        <w:tc>
          <w:tcPr>
            <w:tcW w:w="912" w:type="pct"/>
          </w:tcPr>
          <w:p w14:paraId="384810C7" w14:textId="77777777" w:rsidR="00A052DC" w:rsidRDefault="009F0A60">
            <w:pPr>
              <w:rPr>
                <w:rFonts w:ascii="黑体" w:eastAsia="黑体" w:hAnsi="黑体"/>
                <w:sz w:val="20"/>
                <w:szCs w:val="20"/>
              </w:rPr>
            </w:pPr>
            <w:r>
              <w:rPr>
                <w:rFonts w:ascii="黑体" w:eastAsia="黑体" w:hAnsi="黑体" w:hint="eastAsia"/>
                <w:sz w:val="20"/>
                <w:szCs w:val="20"/>
              </w:rPr>
              <w:t>字符型，32</w:t>
            </w:r>
          </w:p>
        </w:tc>
        <w:tc>
          <w:tcPr>
            <w:tcW w:w="1611" w:type="pct"/>
          </w:tcPr>
          <w:p w14:paraId="3FB86AC0" w14:textId="77777777" w:rsidR="00A052DC" w:rsidRDefault="00A052DC">
            <w:pPr>
              <w:rPr>
                <w:rFonts w:ascii="黑体" w:eastAsia="黑体" w:hAnsi="黑体"/>
                <w:sz w:val="20"/>
                <w:szCs w:val="20"/>
              </w:rPr>
            </w:pPr>
          </w:p>
        </w:tc>
      </w:tr>
      <w:tr w:rsidR="00A052DC" w14:paraId="548EA3BB" w14:textId="77777777">
        <w:tc>
          <w:tcPr>
            <w:tcW w:w="1566" w:type="pct"/>
          </w:tcPr>
          <w:p w14:paraId="68E126EF"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其他金额</w:t>
            </w:r>
          </w:p>
        </w:tc>
        <w:tc>
          <w:tcPr>
            <w:tcW w:w="911" w:type="pct"/>
          </w:tcPr>
          <w:p w14:paraId="209F893A"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OTHAMT</w:t>
            </w:r>
          </w:p>
        </w:tc>
        <w:tc>
          <w:tcPr>
            <w:tcW w:w="912" w:type="pct"/>
          </w:tcPr>
          <w:p w14:paraId="236026DA" w14:textId="77777777" w:rsidR="00A052DC" w:rsidRDefault="009F0A60">
            <w:pPr>
              <w:rPr>
                <w:rFonts w:ascii="黑体" w:eastAsia="黑体" w:hAnsi="黑体"/>
                <w:sz w:val="20"/>
                <w:szCs w:val="20"/>
              </w:rPr>
            </w:pPr>
            <w:r>
              <w:rPr>
                <w:rFonts w:ascii="黑体" w:eastAsia="黑体" w:hAnsi="黑体" w:hint="eastAsia"/>
                <w:sz w:val="20"/>
                <w:szCs w:val="20"/>
              </w:rPr>
              <w:t>数值型，22.0</w:t>
            </w:r>
          </w:p>
        </w:tc>
        <w:tc>
          <w:tcPr>
            <w:tcW w:w="1611" w:type="pct"/>
          </w:tcPr>
          <w:p w14:paraId="3ABF3630" w14:textId="77777777" w:rsidR="00A052DC" w:rsidRDefault="00A052DC">
            <w:pPr>
              <w:rPr>
                <w:rFonts w:ascii="黑体" w:eastAsia="黑体" w:hAnsi="黑体"/>
                <w:sz w:val="20"/>
                <w:szCs w:val="20"/>
              </w:rPr>
            </w:pPr>
          </w:p>
        </w:tc>
      </w:tr>
      <w:tr w:rsidR="00A052DC" w14:paraId="7FB7E28C" w14:textId="77777777">
        <w:tc>
          <w:tcPr>
            <w:tcW w:w="1566" w:type="pct"/>
          </w:tcPr>
          <w:p w14:paraId="7F2C2408"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其他账号</w:t>
            </w:r>
          </w:p>
        </w:tc>
        <w:tc>
          <w:tcPr>
            <w:tcW w:w="911" w:type="pct"/>
          </w:tcPr>
          <w:p w14:paraId="5B6F44B6"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OTHACC</w:t>
            </w:r>
          </w:p>
        </w:tc>
        <w:tc>
          <w:tcPr>
            <w:tcW w:w="912" w:type="pct"/>
          </w:tcPr>
          <w:p w14:paraId="56ABD30E" w14:textId="77777777" w:rsidR="00A052DC" w:rsidRDefault="009F0A60">
            <w:pPr>
              <w:rPr>
                <w:rFonts w:ascii="黑体" w:eastAsia="黑体" w:hAnsi="黑体"/>
                <w:sz w:val="20"/>
                <w:szCs w:val="20"/>
              </w:rPr>
            </w:pPr>
            <w:r>
              <w:rPr>
                <w:rFonts w:ascii="黑体" w:eastAsia="黑体" w:hAnsi="黑体" w:hint="eastAsia"/>
                <w:sz w:val="20"/>
                <w:szCs w:val="20"/>
              </w:rPr>
              <w:t>字符型，32</w:t>
            </w:r>
          </w:p>
        </w:tc>
        <w:tc>
          <w:tcPr>
            <w:tcW w:w="1611" w:type="pct"/>
          </w:tcPr>
          <w:p w14:paraId="18CCB13B" w14:textId="77777777" w:rsidR="00A052DC" w:rsidRDefault="00A052DC">
            <w:pPr>
              <w:rPr>
                <w:rFonts w:ascii="黑体" w:eastAsia="黑体" w:hAnsi="黑体"/>
                <w:sz w:val="20"/>
                <w:szCs w:val="20"/>
              </w:rPr>
            </w:pPr>
          </w:p>
        </w:tc>
      </w:tr>
      <w:tr w:rsidR="00A052DC" w14:paraId="77D7B599" w14:textId="77777777">
        <w:tc>
          <w:tcPr>
            <w:tcW w:w="1566" w:type="pct"/>
          </w:tcPr>
          <w:p w14:paraId="4C7B04F4"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结算方式</w:t>
            </w:r>
          </w:p>
        </w:tc>
        <w:tc>
          <w:tcPr>
            <w:tcW w:w="911" w:type="pct"/>
          </w:tcPr>
          <w:p w14:paraId="2679D44B"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PAYMETHOD</w:t>
            </w:r>
          </w:p>
        </w:tc>
        <w:tc>
          <w:tcPr>
            <w:tcW w:w="912" w:type="pct"/>
          </w:tcPr>
          <w:p w14:paraId="2AD1F7F2" w14:textId="77777777" w:rsidR="00A052DC" w:rsidRDefault="009F0A60">
            <w:pPr>
              <w:rPr>
                <w:rFonts w:ascii="黑体" w:eastAsia="黑体" w:hAnsi="黑体"/>
                <w:sz w:val="20"/>
                <w:szCs w:val="20"/>
              </w:rPr>
            </w:pPr>
            <w:r>
              <w:rPr>
                <w:rFonts w:ascii="黑体" w:eastAsia="黑体" w:hAnsi="黑体" w:hint="eastAsia"/>
                <w:sz w:val="20"/>
                <w:szCs w:val="20"/>
              </w:rPr>
              <w:t>字符型，1</w:t>
            </w:r>
          </w:p>
        </w:tc>
        <w:tc>
          <w:tcPr>
            <w:tcW w:w="1611" w:type="pct"/>
          </w:tcPr>
          <w:p w14:paraId="5421C951" w14:textId="77777777" w:rsidR="00A052DC" w:rsidRDefault="009F0A60">
            <w:pPr>
              <w:rPr>
                <w:rFonts w:ascii="黑体" w:eastAsia="黑体" w:hAnsi="黑体"/>
                <w:sz w:val="20"/>
                <w:szCs w:val="20"/>
              </w:rPr>
            </w:pPr>
            <w:r>
              <w:rPr>
                <w:rFonts w:ascii="黑体" w:eastAsia="黑体" w:hAnsi="黑体" w:hint="eastAsia"/>
                <w:sz w:val="20"/>
                <w:szCs w:val="20"/>
              </w:rPr>
              <w:t>T</w:t>
            </w:r>
            <w:r w:rsidR="00AE4602">
              <w:rPr>
                <w:rFonts w:ascii="黑体" w:eastAsia="黑体" w:hAnsi="黑体" w:hint="eastAsia"/>
                <w:sz w:val="20"/>
                <w:szCs w:val="20"/>
              </w:rPr>
              <w:t>-</w:t>
            </w:r>
            <w:r>
              <w:rPr>
                <w:rFonts w:ascii="黑体" w:eastAsia="黑体" w:hAnsi="黑体" w:hint="eastAsia"/>
                <w:sz w:val="20"/>
                <w:szCs w:val="20"/>
              </w:rPr>
              <w:t>电汇</w:t>
            </w:r>
          </w:p>
          <w:p w14:paraId="2F35106D" w14:textId="77777777" w:rsidR="00A052DC" w:rsidRDefault="009F0A60">
            <w:pPr>
              <w:rPr>
                <w:rFonts w:ascii="黑体" w:eastAsia="黑体" w:hAnsi="黑体"/>
                <w:sz w:val="20"/>
                <w:szCs w:val="20"/>
              </w:rPr>
            </w:pPr>
            <w:r>
              <w:rPr>
                <w:rFonts w:ascii="黑体" w:eastAsia="黑体" w:hAnsi="黑体" w:hint="eastAsia"/>
                <w:sz w:val="20"/>
                <w:szCs w:val="20"/>
              </w:rPr>
              <w:t>D</w:t>
            </w:r>
            <w:r w:rsidR="00AE4602">
              <w:rPr>
                <w:rFonts w:ascii="黑体" w:eastAsia="黑体" w:hAnsi="黑体" w:hint="eastAsia"/>
                <w:sz w:val="20"/>
                <w:szCs w:val="20"/>
              </w:rPr>
              <w:t>-</w:t>
            </w:r>
            <w:r>
              <w:rPr>
                <w:rFonts w:ascii="黑体" w:eastAsia="黑体" w:hAnsi="黑体" w:hint="eastAsia"/>
                <w:sz w:val="20"/>
                <w:szCs w:val="20"/>
              </w:rPr>
              <w:t>票汇</w:t>
            </w:r>
          </w:p>
          <w:p w14:paraId="21C403EF" w14:textId="77777777" w:rsidR="00A052DC" w:rsidRDefault="009F0A60">
            <w:pPr>
              <w:rPr>
                <w:rFonts w:ascii="黑体" w:eastAsia="黑体" w:hAnsi="黑体"/>
                <w:sz w:val="20"/>
                <w:szCs w:val="20"/>
              </w:rPr>
            </w:pPr>
            <w:r>
              <w:rPr>
                <w:rFonts w:ascii="黑体" w:eastAsia="黑体" w:hAnsi="黑体" w:hint="eastAsia"/>
                <w:sz w:val="20"/>
                <w:szCs w:val="20"/>
              </w:rPr>
              <w:t>M</w:t>
            </w:r>
            <w:r w:rsidR="00AE4602">
              <w:rPr>
                <w:rFonts w:ascii="黑体" w:eastAsia="黑体" w:hAnsi="黑体" w:hint="eastAsia"/>
                <w:sz w:val="20"/>
                <w:szCs w:val="20"/>
              </w:rPr>
              <w:t>-</w:t>
            </w:r>
            <w:r>
              <w:rPr>
                <w:rFonts w:ascii="黑体" w:eastAsia="黑体" w:hAnsi="黑体" w:hint="eastAsia"/>
                <w:sz w:val="20"/>
                <w:szCs w:val="20"/>
              </w:rPr>
              <w:t>信汇</w:t>
            </w:r>
          </w:p>
        </w:tc>
      </w:tr>
      <w:tr w:rsidR="00A052DC" w14:paraId="08DB53A8" w14:textId="77777777">
        <w:tc>
          <w:tcPr>
            <w:tcW w:w="1566" w:type="pct"/>
          </w:tcPr>
          <w:p w14:paraId="295E9D41"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银行业务编码</w:t>
            </w:r>
          </w:p>
        </w:tc>
        <w:tc>
          <w:tcPr>
            <w:tcW w:w="911" w:type="pct"/>
          </w:tcPr>
          <w:p w14:paraId="2DC38508"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BUSICODE</w:t>
            </w:r>
          </w:p>
        </w:tc>
        <w:tc>
          <w:tcPr>
            <w:tcW w:w="912" w:type="pct"/>
          </w:tcPr>
          <w:p w14:paraId="40D34325" w14:textId="77777777" w:rsidR="00A052DC" w:rsidRDefault="009F0A60">
            <w:pPr>
              <w:rPr>
                <w:rFonts w:ascii="黑体" w:eastAsia="黑体" w:hAnsi="黑体"/>
                <w:sz w:val="20"/>
                <w:szCs w:val="20"/>
              </w:rPr>
            </w:pPr>
            <w:r>
              <w:rPr>
                <w:rFonts w:ascii="黑体" w:eastAsia="黑体" w:hAnsi="黑体" w:hint="eastAsia"/>
                <w:sz w:val="20"/>
                <w:szCs w:val="20"/>
              </w:rPr>
              <w:t>字符型，22</w:t>
            </w:r>
          </w:p>
        </w:tc>
        <w:tc>
          <w:tcPr>
            <w:tcW w:w="1611" w:type="pct"/>
          </w:tcPr>
          <w:p w14:paraId="03C3C7F9" w14:textId="77777777" w:rsidR="00A052DC" w:rsidRDefault="00A052DC">
            <w:pPr>
              <w:rPr>
                <w:rFonts w:ascii="黑体" w:eastAsia="黑体" w:hAnsi="黑体"/>
                <w:sz w:val="20"/>
                <w:szCs w:val="20"/>
              </w:rPr>
            </w:pPr>
          </w:p>
        </w:tc>
      </w:tr>
      <w:tr w:rsidR="00A052DC" w14:paraId="44F80386" w14:textId="77777777">
        <w:tc>
          <w:tcPr>
            <w:tcW w:w="1566" w:type="pct"/>
          </w:tcPr>
          <w:p w14:paraId="61251059"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收款人常驻国家/地区代码</w:t>
            </w:r>
          </w:p>
        </w:tc>
        <w:tc>
          <w:tcPr>
            <w:tcW w:w="911" w:type="pct"/>
          </w:tcPr>
          <w:p w14:paraId="65F108A3"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COUNTRYCODE</w:t>
            </w:r>
          </w:p>
        </w:tc>
        <w:tc>
          <w:tcPr>
            <w:tcW w:w="912" w:type="pct"/>
          </w:tcPr>
          <w:p w14:paraId="6AE53B0A" w14:textId="77777777" w:rsidR="00A052DC" w:rsidRDefault="009F0A60">
            <w:pPr>
              <w:rPr>
                <w:rFonts w:ascii="黑体" w:eastAsia="黑体" w:hAnsi="黑体"/>
                <w:sz w:val="20"/>
                <w:szCs w:val="20"/>
              </w:rPr>
            </w:pPr>
            <w:r>
              <w:rPr>
                <w:rFonts w:ascii="黑体" w:eastAsia="黑体" w:hAnsi="黑体" w:hint="eastAsia"/>
                <w:sz w:val="20"/>
                <w:szCs w:val="20"/>
              </w:rPr>
              <w:t>字符型，3</w:t>
            </w:r>
          </w:p>
        </w:tc>
        <w:tc>
          <w:tcPr>
            <w:tcW w:w="1611" w:type="pct"/>
          </w:tcPr>
          <w:p w14:paraId="7716E910" w14:textId="77777777" w:rsidR="00A052DC" w:rsidRDefault="00A052DC">
            <w:pPr>
              <w:rPr>
                <w:rFonts w:ascii="黑体" w:eastAsia="黑体" w:hAnsi="黑体"/>
                <w:sz w:val="20"/>
                <w:szCs w:val="20"/>
              </w:rPr>
            </w:pPr>
          </w:p>
        </w:tc>
      </w:tr>
      <w:tr w:rsidR="00A052DC" w14:paraId="14F72F81" w14:textId="77777777">
        <w:tc>
          <w:tcPr>
            <w:tcW w:w="1566" w:type="pct"/>
          </w:tcPr>
          <w:p w14:paraId="79ABF721" w14:textId="77777777" w:rsidR="00A052DC" w:rsidRDefault="009F0A60">
            <w:pPr>
              <w:rPr>
                <w:rFonts w:ascii="黑体" w:eastAsia="黑体" w:hAnsi="黑体" w:cs="Microsoft Sans Serif"/>
                <w:sz w:val="20"/>
                <w:szCs w:val="20"/>
              </w:rPr>
            </w:pPr>
            <w:r>
              <w:rPr>
                <w:rFonts w:ascii="黑体" w:eastAsia="黑体" w:hAnsi="黑体" w:hint="eastAsia"/>
                <w:sz w:val="20"/>
                <w:szCs w:val="20"/>
              </w:rPr>
              <w:t>是否保税货物项下付款</w:t>
            </w:r>
          </w:p>
        </w:tc>
        <w:tc>
          <w:tcPr>
            <w:tcW w:w="911" w:type="pct"/>
          </w:tcPr>
          <w:p w14:paraId="5534A9D1"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ISWRITEOFF</w:t>
            </w:r>
          </w:p>
        </w:tc>
        <w:tc>
          <w:tcPr>
            <w:tcW w:w="912" w:type="pct"/>
          </w:tcPr>
          <w:p w14:paraId="6063A871" w14:textId="77777777" w:rsidR="00A052DC" w:rsidRDefault="009F0A60">
            <w:pPr>
              <w:rPr>
                <w:rFonts w:ascii="黑体" w:eastAsia="黑体" w:hAnsi="黑体"/>
                <w:sz w:val="20"/>
                <w:szCs w:val="20"/>
              </w:rPr>
            </w:pPr>
            <w:r>
              <w:rPr>
                <w:rFonts w:ascii="黑体" w:eastAsia="黑体" w:hAnsi="黑体" w:hint="eastAsia"/>
                <w:sz w:val="20"/>
                <w:szCs w:val="20"/>
              </w:rPr>
              <w:t>字符型，1</w:t>
            </w:r>
          </w:p>
        </w:tc>
        <w:tc>
          <w:tcPr>
            <w:tcW w:w="1611" w:type="pct"/>
          </w:tcPr>
          <w:p w14:paraId="6A41D801" w14:textId="77777777" w:rsidR="00A052DC" w:rsidRDefault="009F0A60">
            <w:pPr>
              <w:rPr>
                <w:rFonts w:ascii="黑体" w:eastAsia="黑体" w:hAnsi="黑体"/>
                <w:sz w:val="20"/>
                <w:szCs w:val="20"/>
              </w:rPr>
            </w:pPr>
            <w:r>
              <w:rPr>
                <w:rFonts w:ascii="黑体" w:eastAsia="黑体" w:hAnsi="黑体" w:hint="eastAsia"/>
                <w:sz w:val="20"/>
                <w:szCs w:val="20"/>
              </w:rPr>
              <w:t>Y</w:t>
            </w:r>
            <w:r w:rsidR="00AE4602">
              <w:rPr>
                <w:rFonts w:ascii="黑体" w:eastAsia="黑体" w:hAnsi="黑体" w:hint="eastAsia"/>
                <w:sz w:val="20"/>
                <w:szCs w:val="20"/>
              </w:rPr>
              <w:t>-</w:t>
            </w:r>
            <w:r>
              <w:rPr>
                <w:rFonts w:ascii="黑体" w:eastAsia="黑体" w:hAnsi="黑体" w:hint="eastAsia"/>
                <w:sz w:val="20"/>
                <w:szCs w:val="20"/>
              </w:rPr>
              <w:t>是</w:t>
            </w:r>
          </w:p>
          <w:p w14:paraId="7B08A036" w14:textId="77777777" w:rsidR="00A052DC" w:rsidRDefault="009F0A60">
            <w:pPr>
              <w:rPr>
                <w:rFonts w:ascii="黑体" w:eastAsia="黑体" w:hAnsi="黑体"/>
                <w:sz w:val="20"/>
                <w:szCs w:val="20"/>
              </w:rPr>
            </w:pPr>
            <w:r>
              <w:rPr>
                <w:rFonts w:ascii="黑体" w:eastAsia="黑体" w:hAnsi="黑体" w:hint="eastAsia"/>
                <w:sz w:val="20"/>
                <w:szCs w:val="20"/>
              </w:rPr>
              <w:t>N</w:t>
            </w:r>
            <w:r w:rsidR="00AE4602">
              <w:rPr>
                <w:rFonts w:ascii="黑体" w:eastAsia="黑体" w:hAnsi="黑体" w:hint="eastAsia"/>
                <w:sz w:val="20"/>
                <w:szCs w:val="20"/>
              </w:rPr>
              <w:t>-</w:t>
            </w:r>
            <w:r>
              <w:rPr>
                <w:rFonts w:ascii="黑体" w:eastAsia="黑体" w:hAnsi="黑体" w:hint="eastAsia"/>
                <w:sz w:val="20"/>
                <w:szCs w:val="20"/>
              </w:rPr>
              <w:t>否</w:t>
            </w:r>
          </w:p>
        </w:tc>
      </w:tr>
      <w:tr w:rsidR="00A052DC" w14:paraId="7A586BEF" w14:textId="77777777">
        <w:tc>
          <w:tcPr>
            <w:tcW w:w="1566" w:type="pct"/>
          </w:tcPr>
          <w:p w14:paraId="69E63350"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付款类型</w:t>
            </w:r>
          </w:p>
        </w:tc>
        <w:tc>
          <w:tcPr>
            <w:tcW w:w="911" w:type="pct"/>
          </w:tcPr>
          <w:p w14:paraId="3F4B80E5"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PAYTYPE</w:t>
            </w:r>
          </w:p>
        </w:tc>
        <w:tc>
          <w:tcPr>
            <w:tcW w:w="912" w:type="pct"/>
          </w:tcPr>
          <w:p w14:paraId="4E9C9C32" w14:textId="77777777" w:rsidR="00A052DC" w:rsidRDefault="009F0A60">
            <w:pPr>
              <w:rPr>
                <w:rFonts w:ascii="黑体" w:eastAsia="黑体" w:hAnsi="黑体"/>
                <w:sz w:val="20"/>
                <w:szCs w:val="20"/>
              </w:rPr>
            </w:pPr>
            <w:r>
              <w:rPr>
                <w:rFonts w:ascii="黑体" w:eastAsia="黑体" w:hAnsi="黑体" w:hint="eastAsia"/>
                <w:sz w:val="20"/>
                <w:szCs w:val="20"/>
              </w:rPr>
              <w:t>字符型，1</w:t>
            </w:r>
          </w:p>
        </w:tc>
        <w:tc>
          <w:tcPr>
            <w:tcW w:w="1611" w:type="pct"/>
          </w:tcPr>
          <w:p w14:paraId="6920FD2F" w14:textId="77777777" w:rsidR="00A052DC" w:rsidRDefault="009F0A60">
            <w:pPr>
              <w:rPr>
                <w:rFonts w:ascii="黑体" w:eastAsia="黑体" w:hAnsi="黑体"/>
                <w:sz w:val="20"/>
                <w:szCs w:val="20"/>
              </w:rPr>
            </w:pPr>
            <w:r>
              <w:rPr>
                <w:rFonts w:ascii="黑体" w:eastAsia="黑体" w:hAnsi="黑体" w:hint="eastAsia"/>
                <w:sz w:val="20"/>
                <w:szCs w:val="20"/>
              </w:rPr>
              <w:t>A</w:t>
            </w:r>
            <w:r w:rsidR="00AE4602">
              <w:rPr>
                <w:rFonts w:ascii="黑体" w:eastAsia="黑体" w:hAnsi="黑体" w:hint="eastAsia"/>
                <w:sz w:val="20"/>
                <w:szCs w:val="20"/>
              </w:rPr>
              <w:t>-</w:t>
            </w:r>
            <w:r>
              <w:rPr>
                <w:rFonts w:ascii="黑体" w:eastAsia="黑体" w:hAnsi="黑体" w:hint="eastAsia"/>
                <w:sz w:val="20"/>
                <w:szCs w:val="20"/>
              </w:rPr>
              <w:t>预付款</w:t>
            </w:r>
          </w:p>
          <w:p w14:paraId="319DD7CE" w14:textId="77777777" w:rsidR="00A052DC" w:rsidRDefault="009F0A60">
            <w:pPr>
              <w:rPr>
                <w:rFonts w:ascii="黑体" w:eastAsia="黑体" w:hAnsi="黑体"/>
                <w:sz w:val="20"/>
                <w:szCs w:val="20"/>
              </w:rPr>
            </w:pPr>
            <w:r>
              <w:rPr>
                <w:rFonts w:ascii="黑体" w:eastAsia="黑体" w:hAnsi="黑体" w:hint="eastAsia"/>
                <w:sz w:val="20"/>
                <w:szCs w:val="20"/>
              </w:rPr>
              <w:t>P</w:t>
            </w:r>
            <w:r w:rsidR="00AE4602">
              <w:rPr>
                <w:rFonts w:ascii="黑体" w:eastAsia="黑体" w:hAnsi="黑体" w:hint="eastAsia"/>
                <w:sz w:val="20"/>
                <w:szCs w:val="20"/>
              </w:rPr>
              <w:t>-</w:t>
            </w:r>
            <w:r>
              <w:rPr>
                <w:rFonts w:ascii="黑体" w:eastAsia="黑体" w:hAnsi="黑体" w:hint="eastAsia"/>
                <w:sz w:val="20"/>
                <w:szCs w:val="20"/>
              </w:rPr>
              <w:t>货到付款</w:t>
            </w:r>
          </w:p>
          <w:p w14:paraId="0F6CCA9D" w14:textId="77777777" w:rsidR="00A052DC" w:rsidRDefault="009F0A60">
            <w:pPr>
              <w:rPr>
                <w:rFonts w:ascii="黑体" w:eastAsia="黑体" w:hAnsi="黑体"/>
                <w:sz w:val="20"/>
                <w:szCs w:val="20"/>
              </w:rPr>
            </w:pPr>
            <w:r>
              <w:rPr>
                <w:rFonts w:ascii="黑体" w:eastAsia="黑体" w:hAnsi="黑体" w:hint="eastAsia"/>
                <w:sz w:val="20"/>
                <w:szCs w:val="20"/>
              </w:rPr>
              <w:t>R</w:t>
            </w:r>
            <w:r w:rsidR="00AE4602">
              <w:rPr>
                <w:rFonts w:ascii="黑体" w:eastAsia="黑体" w:hAnsi="黑体" w:hint="eastAsia"/>
                <w:sz w:val="20"/>
                <w:szCs w:val="20"/>
              </w:rPr>
              <w:t>-</w:t>
            </w:r>
            <w:r>
              <w:rPr>
                <w:rFonts w:ascii="黑体" w:eastAsia="黑体" w:hAnsi="黑体" w:hint="eastAsia"/>
                <w:sz w:val="20"/>
                <w:szCs w:val="20"/>
              </w:rPr>
              <w:t>退款</w:t>
            </w:r>
          </w:p>
          <w:p w14:paraId="5BA5952B" w14:textId="77777777" w:rsidR="00A052DC" w:rsidRDefault="009F0A60">
            <w:pPr>
              <w:rPr>
                <w:rFonts w:ascii="黑体" w:eastAsia="黑体" w:hAnsi="黑体"/>
                <w:sz w:val="20"/>
                <w:szCs w:val="20"/>
              </w:rPr>
            </w:pPr>
            <w:r>
              <w:rPr>
                <w:rFonts w:ascii="黑体" w:eastAsia="黑体" w:hAnsi="黑体" w:hint="eastAsia"/>
                <w:sz w:val="20"/>
                <w:szCs w:val="20"/>
              </w:rPr>
              <w:t>O-其</w:t>
            </w:r>
            <w:r w:rsidR="003822FB">
              <w:rPr>
                <w:rFonts w:ascii="黑体" w:eastAsia="黑体" w:hAnsi="黑体" w:hint="eastAsia"/>
                <w:sz w:val="20"/>
                <w:szCs w:val="20"/>
              </w:rPr>
              <w:t>他</w:t>
            </w:r>
          </w:p>
        </w:tc>
      </w:tr>
      <w:tr w:rsidR="00A052DC" w14:paraId="419A7C1A" w14:textId="77777777">
        <w:tc>
          <w:tcPr>
            <w:tcW w:w="1566" w:type="pct"/>
          </w:tcPr>
          <w:p w14:paraId="2D319D72" w14:textId="77777777" w:rsidR="00A052DC" w:rsidRDefault="009F0A60">
            <w:pPr>
              <w:rPr>
                <w:rFonts w:ascii="黑体" w:eastAsia="黑体" w:hAnsi="黑体" w:cs="Microsoft Sans Serif"/>
                <w:sz w:val="20"/>
                <w:szCs w:val="20"/>
              </w:rPr>
            </w:pPr>
            <w:r>
              <w:rPr>
                <w:rFonts w:ascii="黑体" w:eastAsia="黑体" w:hAnsi="黑体" w:hint="eastAsia"/>
                <w:sz w:val="20"/>
                <w:szCs w:val="20"/>
              </w:rPr>
              <w:t>付汇性质</w:t>
            </w:r>
          </w:p>
        </w:tc>
        <w:tc>
          <w:tcPr>
            <w:tcW w:w="911" w:type="pct"/>
          </w:tcPr>
          <w:p w14:paraId="6371EE5C"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PAYATTR</w:t>
            </w:r>
          </w:p>
        </w:tc>
        <w:tc>
          <w:tcPr>
            <w:tcW w:w="912" w:type="pct"/>
          </w:tcPr>
          <w:p w14:paraId="24D2385C" w14:textId="77777777" w:rsidR="00A052DC" w:rsidRDefault="009F0A60">
            <w:pPr>
              <w:rPr>
                <w:rFonts w:ascii="黑体" w:eastAsia="黑体" w:hAnsi="黑体"/>
                <w:sz w:val="20"/>
                <w:szCs w:val="20"/>
              </w:rPr>
            </w:pPr>
            <w:r>
              <w:rPr>
                <w:rFonts w:ascii="黑体" w:eastAsia="黑体" w:hAnsi="黑体" w:hint="eastAsia"/>
                <w:sz w:val="20"/>
                <w:szCs w:val="20"/>
              </w:rPr>
              <w:t>字符型，1</w:t>
            </w:r>
          </w:p>
        </w:tc>
        <w:tc>
          <w:tcPr>
            <w:tcW w:w="1611" w:type="pct"/>
          </w:tcPr>
          <w:p w14:paraId="2FC8DB58" w14:textId="77777777" w:rsidR="00A052DC" w:rsidRDefault="009F0A60">
            <w:pPr>
              <w:rPr>
                <w:rFonts w:ascii="黑体" w:eastAsia="黑体" w:hAnsi="黑体"/>
                <w:sz w:val="20"/>
                <w:szCs w:val="20"/>
              </w:rPr>
            </w:pPr>
            <w:r>
              <w:rPr>
                <w:rFonts w:ascii="黑体" w:eastAsia="黑体" w:hAnsi="黑体" w:hint="eastAsia"/>
                <w:sz w:val="20"/>
                <w:szCs w:val="20"/>
              </w:rPr>
              <w:t>X</w:t>
            </w:r>
            <w:r w:rsidR="00AE4602">
              <w:rPr>
                <w:rFonts w:ascii="黑体" w:eastAsia="黑体" w:hAnsi="黑体" w:hint="eastAsia"/>
                <w:sz w:val="20"/>
                <w:szCs w:val="20"/>
              </w:rPr>
              <w:t>-</w:t>
            </w:r>
            <w:r>
              <w:rPr>
                <w:rFonts w:ascii="黑体" w:eastAsia="黑体" w:hAnsi="黑体" w:hint="eastAsia"/>
                <w:sz w:val="20"/>
                <w:szCs w:val="20"/>
              </w:rPr>
              <w:t>保税区</w:t>
            </w:r>
          </w:p>
          <w:p w14:paraId="4793821B" w14:textId="77777777" w:rsidR="00A052DC" w:rsidRDefault="009F0A60">
            <w:pPr>
              <w:rPr>
                <w:rFonts w:ascii="黑体" w:eastAsia="黑体" w:hAnsi="黑体"/>
                <w:sz w:val="20"/>
                <w:szCs w:val="20"/>
              </w:rPr>
            </w:pPr>
            <w:r>
              <w:rPr>
                <w:rFonts w:ascii="黑体" w:eastAsia="黑体" w:hAnsi="黑体" w:hint="eastAsia"/>
                <w:sz w:val="20"/>
                <w:szCs w:val="20"/>
              </w:rPr>
              <w:t>E</w:t>
            </w:r>
            <w:r w:rsidR="00AE4602">
              <w:rPr>
                <w:rFonts w:ascii="黑体" w:eastAsia="黑体" w:hAnsi="黑体" w:hint="eastAsia"/>
                <w:sz w:val="20"/>
                <w:szCs w:val="20"/>
              </w:rPr>
              <w:t>-</w:t>
            </w:r>
            <w:r>
              <w:rPr>
                <w:rFonts w:ascii="黑体" w:eastAsia="黑体" w:hAnsi="黑体" w:hint="eastAsia"/>
                <w:sz w:val="20"/>
                <w:szCs w:val="20"/>
              </w:rPr>
              <w:t>出口加工区</w:t>
            </w:r>
          </w:p>
          <w:p w14:paraId="00F31610" w14:textId="77777777" w:rsidR="00A052DC" w:rsidRDefault="009F0A60">
            <w:pPr>
              <w:rPr>
                <w:rFonts w:ascii="黑体" w:eastAsia="黑体" w:hAnsi="黑体"/>
                <w:sz w:val="20"/>
                <w:szCs w:val="20"/>
              </w:rPr>
            </w:pPr>
            <w:r>
              <w:rPr>
                <w:rFonts w:ascii="黑体" w:eastAsia="黑体" w:hAnsi="黑体" w:hint="eastAsia"/>
                <w:sz w:val="20"/>
                <w:szCs w:val="20"/>
              </w:rPr>
              <w:t>D</w:t>
            </w:r>
            <w:r w:rsidR="00AE4602">
              <w:rPr>
                <w:rFonts w:ascii="黑体" w:eastAsia="黑体" w:hAnsi="黑体" w:hint="eastAsia"/>
                <w:sz w:val="20"/>
                <w:szCs w:val="20"/>
              </w:rPr>
              <w:t>-</w:t>
            </w:r>
            <w:r>
              <w:rPr>
                <w:rFonts w:ascii="黑体" w:eastAsia="黑体" w:hAnsi="黑体" w:hint="eastAsia"/>
                <w:sz w:val="20"/>
                <w:szCs w:val="20"/>
              </w:rPr>
              <w:t>钻石交易所</w:t>
            </w:r>
          </w:p>
          <w:p w14:paraId="08A20589" w14:textId="77777777" w:rsidR="00A052DC" w:rsidRDefault="009F0A60">
            <w:pPr>
              <w:rPr>
                <w:rFonts w:ascii="黑体" w:eastAsia="黑体" w:hAnsi="黑体"/>
                <w:sz w:val="20"/>
                <w:szCs w:val="20"/>
              </w:rPr>
            </w:pPr>
            <w:r>
              <w:rPr>
                <w:rFonts w:ascii="黑体" w:eastAsia="黑体" w:hAnsi="黑体" w:hint="eastAsia"/>
                <w:sz w:val="20"/>
                <w:szCs w:val="20"/>
              </w:rPr>
              <w:t>A</w:t>
            </w:r>
            <w:r w:rsidR="00AE4602">
              <w:rPr>
                <w:rFonts w:ascii="黑体" w:eastAsia="黑体" w:hAnsi="黑体" w:hint="eastAsia"/>
                <w:sz w:val="20"/>
                <w:szCs w:val="20"/>
              </w:rPr>
              <w:t>-</w:t>
            </w:r>
            <w:r>
              <w:rPr>
                <w:rFonts w:ascii="黑体" w:eastAsia="黑体" w:hAnsi="黑体" w:hint="eastAsia"/>
                <w:sz w:val="20"/>
                <w:szCs w:val="20"/>
              </w:rPr>
              <w:t>其他特殊经济区</w:t>
            </w:r>
          </w:p>
          <w:p w14:paraId="4ABB0235" w14:textId="77777777" w:rsidR="00A052DC" w:rsidRDefault="009F0A60">
            <w:pPr>
              <w:rPr>
                <w:rFonts w:ascii="黑体" w:eastAsia="黑体" w:hAnsi="黑体"/>
                <w:sz w:val="20"/>
                <w:szCs w:val="20"/>
              </w:rPr>
            </w:pPr>
            <w:r>
              <w:rPr>
                <w:rFonts w:ascii="黑体" w:eastAsia="黑体" w:hAnsi="黑体" w:hint="eastAsia"/>
                <w:sz w:val="20"/>
                <w:szCs w:val="20"/>
              </w:rPr>
              <w:t>M</w:t>
            </w:r>
            <w:r w:rsidR="00AE4602">
              <w:rPr>
                <w:rFonts w:ascii="黑体" w:eastAsia="黑体" w:hAnsi="黑体" w:hint="eastAsia"/>
                <w:sz w:val="20"/>
                <w:szCs w:val="20"/>
              </w:rPr>
              <w:t>-</w:t>
            </w:r>
            <w:r>
              <w:rPr>
                <w:rFonts w:ascii="黑体" w:eastAsia="黑体" w:hAnsi="黑体" w:hint="eastAsia"/>
                <w:sz w:val="20"/>
                <w:szCs w:val="20"/>
              </w:rPr>
              <w:t>深加工结转</w:t>
            </w:r>
          </w:p>
          <w:p w14:paraId="03507B65" w14:textId="77777777" w:rsidR="00A052DC" w:rsidRDefault="009F0A60">
            <w:pPr>
              <w:rPr>
                <w:rFonts w:ascii="黑体" w:eastAsia="黑体" w:hAnsi="黑体"/>
                <w:sz w:val="20"/>
                <w:szCs w:val="20"/>
              </w:rPr>
            </w:pPr>
            <w:r>
              <w:rPr>
                <w:rFonts w:ascii="黑体" w:eastAsia="黑体" w:hAnsi="黑体" w:hint="eastAsia"/>
                <w:sz w:val="20"/>
                <w:szCs w:val="20"/>
              </w:rPr>
              <w:t>O</w:t>
            </w:r>
            <w:r w:rsidR="00AE4602">
              <w:rPr>
                <w:rFonts w:ascii="黑体" w:eastAsia="黑体" w:hAnsi="黑体" w:hint="eastAsia"/>
                <w:sz w:val="20"/>
                <w:szCs w:val="20"/>
              </w:rPr>
              <w:t>-</w:t>
            </w:r>
            <w:r>
              <w:rPr>
                <w:rFonts w:ascii="黑体" w:eastAsia="黑体" w:hAnsi="黑体" w:hint="eastAsia"/>
                <w:sz w:val="20"/>
                <w:szCs w:val="20"/>
              </w:rPr>
              <w:t>其他</w:t>
            </w:r>
          </w:p>
        </w:tc>
      </w:tr>
      <w:tr w:rsidR="00A052DC" w14:paraId="3DA32020" w14:textId="77777777">
        <w:tc>
          <w:tcPr>
            <w:tcW w:w="1566" w:type="pct"/>
          </w:tcPr>
          <w:p w14:paraId="5E97C3F1"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交易编码1</w:t>
            </w:r>
          </w:p>
        </w:tc>
        <w:tc>
          <w:tcPr>
            <w:tcW w:w="911" w:type="pct"/>
          </w:tcPr>
          <w:p w14:paraId="7F44E4DD"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TXCODE1</w:t>
            </w:r>
          </w:p>
        </w:tc>
        <w:tc>
          <w:tcPr>
            <w:tcW w:w="912" w:type="pct"/>
          </w:tcPr>
          <w:p w14:paraId="110CFD35" w14:textId="77777777" w:rsidR="00A052DC" w:rsidRDefault="009F0A60">
            <w:pPr>
              <w:rPr>
                <w:rFonts w:ascii="黑体" w:eastAsia="黑体" w:hAnsi="黑体"/>
                <w:sz w:val="20"/>
                <w:szCs w:val="20"/>
              </w:rPr>
            </w:pPr>
            <w:r>
              <w:rPr>
                <w:rFonts w:ascii="黑体" w:eastAsia="黑体" w:hAnsi="黑体" w:hint="eastAsia"/>
                <w:sz w:val="20"/>
                <w:szCs w:val="20"/>
              </w:rPr>
              <w:t>字符型，6</w:t>
            </w:r>
          </w:p>
        </w:tc>
        <w:tc>
          <w:tcPr>
            <w:tcW w:w="1611" w:type="pct"/>
          </w:tcPr>
          <w:p w14:paraId="3A5A84BD" w14:textId="77777777" w:rsidR="00A052DC" w:rsidRDefault="00A052DC">
            <w:pPr>
              <w:rPr>
                <w:rFonts w:ascii="黑体" w:eastAsia="黑体" w:hAnsi="黑体"/>
                <w:sz w:val="20"/>
                <w:szCs w:val="20"/>
              </w:rPr>
            </w:pPr>
          </w:p>
        </w:tc>
      </w:tr>
      <w:tr w:rsidR="00A052DC" w14:paraId="663FBCF8" w14:textId="77777777">
        <w:tc>
          <w:tcPr>
            <w:tcW w:w="1566" w:type="pct"/>
          </w:tcPr>
          <w:p w14:paraId="361440D2"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相应金额1</w:t>
            </w:r>
          </w:p>
        </w:tc>
        <w:tc>
          <w:tcPr>
            <w:tcW w:w="911" w:type="pct"/>
          </w:tcPr>
          <w:p w14:paraId="42077FEC"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TXAMT1</w:t>
            </w:r>
          </w:p>
        </w:tc>
        <w:tc>
          <w:tcPr>
            <w:tcW w:w="912" w:type="pct"/>
          </w:tcPr>
          <w:p w14:paraId="34C34D16" w14:textId="77777777" w:rsidR="00A052DC" w:rsidRDefault="009F0A60">
            <w:pPr>
              <w:rPr>
                <w:rFonts w:ascii="黑体" w:eastAsia="黑体" w:hAnsi="黑体"/>
                <w:sz w:val="20"/>
                <w:szCs w:val="20"/>
              </w:rPr>
            </w:pPr>
            <w:r>
              <w:rPr>
                <w:rFonts w:ascii="黑体" w:eastAsia="黑体" w:hAnsi="黑体" w:hint="eastAsia"/>
                <w:sz w:val="20"/>
                <w:szCs w:val="20"/>
              </w:rPr>
              <w:t>数值型，22.0</w:t>
            </w:r>
          </w:p>
        </w:tc>
        <w:tc>
          <w:tcPr>
            <w:tcW w:w="1611" w:type="pct"/>
          </w:tcPr>
          <w:p w14:paraId="4371225A" w14:textId="77777777" w:rsidR="00A052DC" w:rsidRDefault="00A052DC">
            <w:pPr>
              <w:rPr>
                <w:rFonts w:ascii="黑体" w:eastAsia="黑体" w:hAnsi="黑体"/>
                <w:sz w:val="20"/>
                <w:szCs w:val="20"/>
              </w:rPr>
            </w:pPr>
          </w:p>
        </w:tc>
      </w:tr>
      <w:tr w:rsidR="00A052DC" w14:paraId="0464624F" w14:textId="77777777">
        <w:tc>
          <w:tcPr>
            <w:tcW w:w="1566" w:type="pct"/>
          </w:tcPr>
          <w:p w14:paraId="364173F9" w14:textId="77777777" w:rsidR="00A052DC" w:rsidRDefault="009F0A60">
            <w:pPr>
              <w:rPr>
                <w:rFonts w:ascii="黑体" w:eastAsia="黑体" w:hAnsi="黑体" w:cs="Microsoft Sans Serif"/>
                <w:sz w:val="20"/>
                <w:szCs w:val="20"/>
              </w:rPr>
            </w:pPr>
            <w:r>
              <w:rPr>
                <w:rFonts w:ascii="黑体" w:eastAsia="黑体" w:hAnsi="黑体" w:hint="eastAsia"/>
                <w:sz w:val="20"/>
                <w:szCs w:val="20"/>
              </w:rPr>
              <w:t>交易附言</w:t>
            </w:r>
            <w:r>
              <w:rPr>
                <w:rFonts w:ascii="黑体" w:eastAsia="黑体" w:hAnsi="黑体"/>
                <w:sz w:val="20"/>
                <w:szCs w:val="20"/>
              </w:rPr>
              <w:t>1</w:t>
            </w:r>
          </w:p>
        </w:tc>
        <w:tc>
          <w:tcPr>
            <w:tcW w:w="911" w:type="pct"/>
          </w:tcPr>
          <w:p w14:paraId="080AF74B"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TXREM1</w:t>
            </w:r>
          </w:p>
        </w:tc>
        <w:tc>
          <w:tcPr>
            <w:tcW w:w="912" w:type="pct"/>
          </w:tcPr>
          <w:p w14:paraId="27BDB7F0" w14:textId="77777777" w:rsidR="00A052DC" w:rsidRDefault="009F0A60">
            <w:pPr>
              <w:rPr>
                <w:rFonts w:ascii="黑体" w:eastAsia="黑体" w:hAnsi="黑体"/>
                <w:sz w:val="20"/>
                <w:szCs w:val="20"/>
              </w:rPr>
            </w:pPr>
            <w:r>
              <w:rPr>
                <w:rFonts w:ascii="黑体" w:eastAsia="黑体" w:hAnsi="黑体" w:hint="eastAsia"/>
                <w:sz w:val="20"/>
                <w:szCs w:val="20"/>
              </w:rPr>
              <w:t>字符型，</w:t>
            </w:r>
            <w:r>
              <w:rPr>
                <w:rFonts w:ascii="黑体" w:eastAsia="黑体" w:hAnsi="黑体"/>
                <w:sz w:val="20"/>
                <w:szCs w:val="20"/>
              </w:rPr>
              <w:t>256</w:t>
            </w:r>
          </w:p>
        </w:tc>
        <w:tc>
          <w:tcPr>
            <w:tcW w:w="1611" w:type="pct"/>
          </w:tcPr>
          <w:p w14:paraId="344634CD" w14:textId="77777777" w:rsidR="00A052DC" w:rsidRDefault="00A052DC">
            <w:pPr>
              <w:rPr>
                <w:rFonts w:ascii="黑体" w:eastAsia="黑体" w:hAnsi="黑体"/>
                <w:sz w:val="20"/>
                <w:szCs w:val="20"/>
              </w:rPr>
            </w:pPr>
          </w:p>
        </w:tc>
      </w:tr>
      <w:tr w:rsidR="00A052DC" w14:paraId="6CF8750C" w14:textId="77777777">
        <w:tc>
          <w:tcPr>
            <w:tcW w:w="1566" w:type="pct"/>
          </w:tcPr>
          <w:p w14:paraId="1A1C2F44"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交易编码2</w:t>
            </w:r>
          </w:p>
        </w:tc>
        <w:tc>
          <w:tcPr>
            <w:tcW w:w="911" w:type="pct"/>
          </w:tcPr>
          <w:p w14:paraId="464E10E1"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TXCODE2</w:t>
            </w:r>
          </w:p>
        </w:tc>
        <w:tc>
          <w:tcPr>
            <w:tcW w:w="912" w:type="pct"/>
          </w:tcPr>
          <w:p w14:paraId="3BEA6506" w14:textId="77777777" w:rsidR="00A052DC" w:rsidRDefault="009F0A60">
            <w:pPr>
              <w:rPr>
                <w:rFonts w:ascii="黑体" w:eastAsia="黑体" w:hAnsi="黑体"/>
                <w:sz w:val="20"/>
                <w:szCs w:val="20"/>
              </w:rPr>
            </w:pPr>
            <w:r>
              <w:rPr>
                <w:rFonts w:ascii="黑体" w:eastAsia="黑体" w:hAnsi="黑体" w:hint="eastAsia"/>
                <w:sz w:val="20"/>
                <w:szCs w:val="20"/>
              </w:rPr>
              <w:t>字符型，6</w:t>
            </w:r>
          </w:p>
        </w:tc>
        <w:tc>
          <w:tcPr>
            <w:tcW w:w="1611" w:type="pct"/>
          </w:tcPr>
          <w:p w14:paraId="2A32767D" w14:textId="77777777" w:rsidR="00A052DC" w:rsidRDefault="00A052DC">
            <w:pPr>
              <w:rPr>
                <w:rFonts w:ascii="黑体" w:eastAsia="黑体" w:hAnsi="黑体"/>
                <w:sz w:val="20"/>
                <w:szCs w:val="20"/>
              </w:rPr>
            </w:pPr>
          </w:p>
        </w:tc>
      </w:tr>
      <w:tr w:rsidR="00A052DC" w14:paraId="19B08D6B" w14:textId="77777777">
        <w:tc>
          <w:tcPr>
            <w:tcW w:w="1566" w:type="pct"/>
          </w:tcPr>
          <w:p w14:paraId="12AF2CD2"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相应金额2</w:t>
            </w:r>
          </w:p>
        </w:tc>
        <w:tc>
          <w:tcPr>
            <w:tcW w:w="911" w:type="pct"/>
          </w:tcPr>
          <w:p w14:paraId="655737A6"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TXAMT2</w:t>
            </w:r>
          </w:p>
        </w:tc>
        <w:tc>
          <w:tcPr>
            <w:tcW w:w="912" w:type="pct"/>
          </w:tcPr>
          <w:p w14:paraId="5DFEC075" w14:textId="77777777" w:rsidR="00A052DC" w:rsidRDefault="009F0A60">
            <w:pPr>
              <w:rPr>
                <w:rFonts w:ascii="黑体" w:eastAsia="黑体" w:hAnsi="黑体"/>
                <w:sz w:val="20"/>
                <w:szCs w:val="20"/>
              </w:rPr>
            </w:pPr>
            <w:r>
              <w:rPr>
                <w:rFonts w:ascii="黑体" w:eastAsia="黑体" w:hAnsi="黑体" w:hint="eastAsia"/>
                <w:sz w:val="20"/>
                <w:szCs w:val="20"/>
              </w:rPr>
              <w:t>数值型，22.0</w:t>
            </w:r>
          </w:p>
        </w:tc>
        <w:tc>
          <w:tcPr>
            <w:tcW w:w="1611" w:type="pct"/>
          </w:tcPr>
          <w:p w14:paraId="112A2A97" w14:textId="77777777" w:rsidR="00A052DC" w:rsidRDefault="00A052DC">
            <w:pPr>
              <w:rPr>
                <w:rFonts w:ascii="黑体" w:eastAsia="黑体" w:hAnsi="黑体"/>
                <w:sz w:val="20"/>
                <w:szCs w:val="20"/>
              </w:rPr>
            </w:pPr>
          </w:p>
        </w:tc>
      </w:tr>
      <w:tr w:rsidR="00A052DC" w14:paraId="6F7D53B3" w14:textId="77777777">
        <w:tc>
          <w:tcPr>
            <w:tcW w:w="1566" w:type="pct"/>
          </w:tcPr>
          <w:p w14:paraId="252DFBF1" w14:textId="77777777" w:rsidR="00A052DC" w:rsidRDefault="009F0A60">
            <w:pPr>
              <w:rPr>
                <w:rFonts w:ascii="黑体" w:eastAsia="黑体" w:hAnsi="黑体" w:cs="Microsoft Sans Serif"/>
                <w:sz w:val="20"/>
                <w:szCs w:val="20"/>
              </w:rPr>
            </w:pPr>
            <w:r>
              <w:rPr>
                <w:rFonts w:ascii="黑体" w:eastAsia="黑体" w:hAnsi="黑体" w:hint="eastAsia"/>
                <w:sz w:val="20"/>
                <w:szCs w:val="20"/>
              </w:rPr>
              <w:t>交易附言</w:t>
            </w:r>
            <w:r>
              <w:rPr>
                <w:rFonts w:ascii="黑体" w:eastAsia="黑体" w:hAnsi="黑体"/>
                <w:sz w:val="20"/>
                <w:szCs w:val="20"/>
              </w:rPr>
              <w:t>2</w:t>
            </w:r>
          </w:p>
        </w:tc>
        <w:tc>
          <w:tcPr>
            <w:tcW w:w="911" w:type="pct"/>
          </w:tcPr>
          <w:p w14:paraId="70271D9F"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TXREM2</w:t>
            </w:r>
          </w:p>
        </w:tc>
        <w:tc>
          <w:tcPr>
            <w:tcW w:w="912" w:type="pct"/>
          </w:tcPr>
          <w:p w14:paraId="27A84B22" w14:textId="77777777" w:rsidR="00A052DC" w:rsidRDefault="009F0A60">
            <w:pPr>
              <w:rPr>
                <w:rFonts w:ascii="黑体" w:eastAsia="黑体" w:hAnsi="黑体"/>
                <w:sz w:val="20"/>
                <w:szCs w:val="20"/>
              </w:rPr>
            </w:pPr>
            <w:r>
              <w:rPr>
                <w:rFonts w:ascii="黑体" w:eastAsia="黑体" w:hAnsi="黑体" w:hint="eastAsia"/>
                <w:sz w:val="20"/>
                <w:szCs w:val="20"/>
              </w:rPr>
              <w:t>字符型，</w:t>
            </w:r>
            <w:r>
              <w:rPr>
                <w:rFonts w:ascii="黑体" w:eastAsia="黑体" w:hAnsi="黑体"/>
                <w:sz w:val="20"/>
                <w:szCs w:val="20"/>
              </w:rPr>
              <w:t>256</w:t>
            </w:r>
          </w:p>
        </w:tc>
        <w:tc>
          <w:tcPr>
            <w:tcW w:w="1611" w:type="pct"/>
          </w:tcPr>
          <w:p w14:paraId="7E572041" w14:textId="77777777" w:rsidR="00A052DC" w:rsidRDefault="00A052DC">
            <w:pPr>
              <w:rPr>
                <w:rFonts w:ascii="黑体" w:eastAsia="黑体" w:hAnsi="黑体"/>
                <w:sz w:val="20"/>
                <w:szCs w:val="20"/>
              </w:rPr>
            </w:pPr>
          </w:p>
        </w:tc>
      </w:tr>
      <w:tr w:rsidR="00A052DC" w14:paraId="4FBE5353" w14:textId="77777777">
        <w:tc>
          <w:tcPr>
            <w:tcW w:w="1566" w:type="pct"/>
          </w:tcPr>
          <w:p w14:paraId="3600DE0F"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最迟装运日期</w:t>
            </w:r>
          </w:p>
        </w:tc>
        <w:tc>
          <w:tcPr>
            <w:tcW w:w="911" w:type="pct"/>
          </w:tcPr>
          <w:p w14:paraId="5A53ABCE"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IMPDATE</w:t>
            </w:r>
          </w:p>
        </w:tc>
        <w:tc>
          <w:tcPr>
            <w:tcW w:w="912" w:type="pct"/>
          </w:tcPr>
          <w:p w14:paraId="56F2ED2E" w14:textId="77777777" w:rsidR="00A052DC" w:rsidRDefault="009F0A60">
            <w:pPr>
              <w:rPr>
                <w:rFonts w:ascii="黑体" w:eastAsia="黑体" w:hAnsi="黑体"/>
                <w:sz w:val="20"/>
                <w:szCs w:val="20"/>
              </w:rPr>
            </w:pPr>
            <w:r>
              <w:rPr>
                <w:rFonts w:ascii="黑体" w:eastAsia="黑体" w:hAnsi="黑体" w:hint="eastAsia"/>
                <w:sz w:val="20"/>
                <w:szCs w:val="20"/>
              </w:rPr>
              <w:t>日期型，8</w:t>
            </w:r>
          </w:p>
        </w:tc>
        <w:tc>
          <w:tcPr>
            <w:tcW w:w="1611" w:type="pct"/>
          </w:tcPr>
          <w:p w14:paraId="4081D467" w14:textId="77777777" w:rsidR="00A052DC" w:rsidRDefault="009F0A60">
            <w:pPr>
              <w:rPr>
                <w:rFonts w:ascii="黑体" w:eastAsia="黑体" w:hAnsi="黑体"/>
                <w:sz w:val="20"/>
                <w:szCs w:val="20"/>
              </w:rPr>
            </w:pPr>
            <w:r>
              <w:rPr>
                <w:rFonts w:ascii="黑体" w:eastAsia="黑体" w:hAnsi="黑体" w:hint="eastAsia"/>
                <w:sz w:val="20"/>
                <w:szCs w:val="20"/>
              </w:rPr>
              <w:t>YYYYMMDD</w:t>
            </w:r>
          </w:p>
        </w:tc>
      </w:tr>
      <w:tr w:rsidR="00A052DC" w14:paraId="1E7D1E88" w14:textId="77777777">
        <w:tc>
          <w:tcPr>
            <w:tcW w:w="1566" w:type="pct"/>
          </w:tcPr>
          <w:p w14:paraId="538F842C"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合同号</w:t>
            </w:r>
          </w:p>
        </w:tc>
        <w:tc>
          <w:tcPr>
            <w:tcW w:w="911" w:type="pct"/>
          </w:tcPr>
          <w:p w14:paraId="43CE70D7"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CONTRACTNO</w:t>
            </w:r>
          </w:p>
        </w:tc>
        <w:tc>
          <w:tcPr>
            <w:tcW w:w="912" w:type="pct"/>
          </w:tcPr>
          <w:p w14:paraId="61CBAE50"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1611" w:type="pct"/>
          </w:tcPr>
          <w:p w14:paraId="5DEB1478" w14:textId="77777777" w:rsidR="00A052DC" w:rsidRDefault="00A052DC">
            <w:pPr>
              <w:rPr>
                <w:rFonts w:ascii="黑体" w:eastAsia="黑体" w:hAnsi="黑体"/>
                <w:sz w:val="20"/>
                <w:szCs w:val="20"/>
              </w:rPr>
            </w:pPr>
          </w:p>
        </w:tc>
      </w:tr>
      <w:tr w:rsidR="00A052DC" w14:paraId="2975CA68" w14:textId="77777777">
        <w:tc>
          <w:tcPr>
            <w:tcW w:w="1566" w:type="pct"/>
          </w:tcPr>
          <w:p w14:paraId="41090034" w14:textId="77777777" w:rsidR="00A052DC" w:rsidRDefault="009F0A60">
            <w:pPr>
              <w:rPr>
                <w:rFonts w:ascii="黑体" w:eastAsia="黑体" w:hAnsi="黑体" w:cs="Microsoft Sans Serif"/>
                <w:sz w:val="20"/>
                <w:szCs w:val="20"/>
              </w:rPr>
            </w:pPr>
            <w:r>
              <w:rPr>
                <w:rFonts w:ascii="黑体" w:eastAsia="黑体" w:hAnsi="黑体" w:hint="eastAsia"/>
                <w:sz w:val="20"/>
                <w:szCs w:val="20"/>
              </w:rPr>
              <w:t>发票号</w:t>
            </w:r>
          </w:p>
        </w:tc>
        <w:tc>
          <w:tcPr>
            <w:tcW w:w="911" w:type="pct"/>
          </w:tcPr>
          <w:p w14:paraId="11599898"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INVOICENO</w:t>
            </w:r>
          </w:p>
        </w:tc>
        <w:tc>
          <w:tcPr>
            <w:tcW w:w="912" w:type="pct"/>
          </w:tcPr>
          <w:p w14:paraId="353FC08F"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1611" w:type="pct"/>
          </w:tcPr>
          <w:p w14:paraId="69CAF069" w14:textId="77777777" w:rsidR="00A052DC" w:rsidRDefault="00A052DC">
            <w:pPr>
              <w:rPr>
                <w:rFonts w:ascii="黑体" w:eastAsia="黑体" w:hAnsi="黑体"/>
                <w:sz w:val="20"/>
                <w:szCs w:val="20"/>
              </w:rPr>
            </w:pPr>
          </w:p>
        </w:tc>
      </w:tr>
      <w:tr w:rsidR="00A052DC" w14:paraId="79A2BAC7" w14:textId="77777777">
        <w:tc>
          <w:tcPr>
            <w:tcW w:w="1566" w:type="pct"/>
          </w:tcPr>
          <w:p w14:paraId="26E2BE97" w14:textId="77777777" w:rsidR="00A052DC" w:rsidRDefault="009F0A60">
            <w:pPr>
              <w:rPr>
                <w:rFonts w:ascii="黑体" w:eastAsia="黑体" w:hAnsi="黑体"/>
                <w:sz w:val="20"/>
                <w:szCs w:val="20"/>
              </w:rPr>
            </w:pPr>
            <w:r>
              <w:rPr>
                <w:rFonts w:ascii="黑体" w:eastAsia="黑体" w:hAnsi="黑体" w:hint="eastAsia"/>
                <w:sz w:val="20"/>
                <w:szCs w:val="20"/>
              </w:rPr>
              <w:t>外汇局批件号/备案表号/业务编号</w:t>
            </w:r>
          </w:p>
        </w:tc>
        <w:tc>
          <w:tcPr>
            <w:tcW w:w="911" w:type="pct"/>
          </w:tcPr>
          <w:p w14:paraId="63B67348"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REGISTNO</w:t>
            </w:r>
          </w:p>
        </w:tc>
        <w:tc>
          <w:tcPr>
            <w:tcW w:w="912" w:type="pct"/>
          </w:tcPr>
          <w:p w14:paraId="6971757C" w14:textId="77777777" w:rsidR="00A052DC" w:rsidRDefault="009F0A60">
            <w:pPr>
              <w:rPr>
                <w:rFonts w:ascii="黑体" w:eastAsia="黑体" w:hAnsi="黑体"/>
                <w:sz w:val="20"/>
                <w:szCs w:val="20"/>
              </w:rPr>
            </w:pPr>
            <w:r>
              <w:rPr>
                <w:rFonts w:ascii="黑体" w:eastAsia="黑体" w:hAnsi="黑体" w:hint="eastAsia"/>
                <w:sz w:val="20"/>
                <w:szCs w:val="20"/>
              </w:rPr>
              <w:t>字符型，20</w:t>
            </w:r>
          </w:p>
        </w:tc>
        <w:tc>
          <w:tcPr>
            <w:tcW w:w="1611" w:type="pct"/>
          </w:tcPr>
          <w:p w14:paraId="40B4F834" w14:textId="77777777" w:rsidR="00A052DC" w:rsidRDefault="00A052DC">
            <w:pPr>
              <w:rPr>
                <w:rFonts w:ascii="黑体" w:eastAsia="黑体" w:hAnsi="黑体"/>
                <w:sz w:val="20"/>
                <w:szCs w:val="20"/>
              </w:rPr>
            </w:pPr>
          </w:p>
        </w:tc>
      </w:tr>
      <w:tr w:rsidR="00A052DC" w14:paraId="519BA073" w14:textId="77777777">
        <w:tc>
          <w:tcPr>
            <w:tcW w:w="1566" w:type="pct"/>
          </w:tcPr>
          <w:p w14:paraId="72E466F7" w14:textId="77777777" w:rsidR="00A052DC" w:rsidRDefault="009F0A60">
            <w:pPr>
              <w:rPr>
                <w:rFonts w:ascii="黑体" w:eastAsia="黑体" w:hAnsi="黑体"/>
                <w:sz w:val="20"/>
                <w:szCs w:val="20"/>
              </w:rPr>
            </w:pPr>
            <w:r>
              <w:rPr>
                <w:rFonts w:ascii="黑体" w:eastAsia="黑体" w:hAnsi="黑体" w:hint="eastAsia"/>
                <w:sz w:val="20"/>
                <w:szCs w:val="20"/>
              </w:rPr>
              <w:t>报关单经营单位代码</w:t>
            </w:r>
          </w:p>
        </w:tc>
        <w:tc>
          <w:tcPr>
            <w:tcW w:w="911" w:type="pct"/>
          </w:tcPr>
          <w:p w14:paraId="3F4F098B"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CUSTOMCODE</w:t>
            </w:r>
          </w:p>
        </w:tc>
        <w:tc>
          <w:tcPr>
            <w:tcW w:w="912" w:type="pct"/>
          </w:tcPr>
          <w:p w14:paraId="562DDE0E" w14:textId="77777777" w:rsidR="00A052DC" w:rsidRDefault="009F0A60">
            <w:pPr>
              <w:rPr>
                <w:rFonts w:ascii="黑体" w:eastAsia="黑体" w:hAnsi="黑体"/>
                <w:sz w:val="20"/>
                <w:szCs w:val="20"/>
              </w:rPr>
            </w:pPr>
            <w:r>
              <w:rPr>
                <w:rFonts w:ascii="黑体" w:eastAsia="黑体" w:hAnsi="黑体" w:hint="eastAsia"/>
                <w:sz w:val="20"/>
                <w:szCs w:val="20"/>
              </w:rPr>
              <w:t>字符型，12</w:t>
            </w:r>
          </w:p>
        </w:tc>
        <w:tc>
          <w:tcPr>
            <w:tcW w:w="1611" w:type="pct"/>
          </w:tcPr>
          <w:p w14:paraId="38ACA0A5" w14:textId="77777777" w:rsidR="00A052DC" w:rsidRDefault="00A052DC">
            <w:pPr>
              <w:rPr>
                <w:rFonts w:ascii="黑体" w:eastAsia="黑体" w:hAnsi="黑体"/>
                <w:sz w:val="20"/>
                <w:szCs w:val="20"/>
              </w:rPr>
            </w:pPr>
          </w:p>
        </w:tc>
      </w:tr>
      <w:tr w:rsidR="00A052DC" w14:paraId="4568D74D" w14:textId="77777777">
        <w:tc>
          <w:tcPr>
            <w:tcW w:w="1566" w:type="pct"/>
          </w:tcPr>
          <w:p w14:paraId="5A6732B1"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填报人</w:t>
            </w:r>
          </w:p>
        </w:tc>
        <w:tc>
          <w:tcPr>
            <w:tcW w:w="911" w:type="pct"/>
          </w:tcPr>
          <w:p w14:paraId="4410A51D"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RPTUSER</w:t>
            </w:r>
          </w:p>
        </w:tc>
        <w:tc>
          <w:tcPr>
            <w:tcW w:w="912" w:type="pct"/>
          </w:tcPr>
          <w:p w14:paraId="4D9B2A31" w14:textId="77777777" w:rsidR="00A052DC" w:rsidRDefault="009F0A60">
            <w:pPr>
              <w:rPr>
                <w:rFonts w:ascii="黑体" w:eastAsia="黑体" w:hAnsi="黑体"/>
                <w:sz w:val="20"/>
                <w:szCs w:val="20"/>
              </w:rPr>
            </w:pPr>
            <w:r>
              <w:rPr>
                <w:rFonts w:ascii="黑体" w:eastAsia="黑体" w:hAnsi="黑体" w:hint="eastAsia"/>
                <w:sz w:val="20"/>
                <w:szCs w:val="20"/>
              </w:rPr>
              <w:t>字符型，20</w:t>
            </w:r>
          </w:p>
        </w:tc>
        <w:tc>
          <w:tcPr>
            <w:tcW w:w="1611" w:type="pct"/>
          </w:tcPr>
          <w:p w14:paraId="54AE7FC7" w14:textId="77777777" w:rsidR="00A052DC" w:rsidRDefault="00A052DC">
            <w:pPr>
              <w:rPr>
                <w:rFonts w:ascii="黑体" w:eastAsia="黑体" w:hAnsi="黑体"/>
                <w:sz w:val="20"/>
                <w:szCs w:val="20"/>
              </w:rPr>
            </w:pPr>
          </w:p>
        </w:tc>
      </w:tr>
      <w:tr w:rsidR="00A052DC" w14:paraId="56272C48" w14:textId="77777777">
        <w:tc>
          <w:tcPr>
            <w:tcW w:w="1566" w:type="pct"/>
          </w:tcPr>
          <w:p w14:paraId="62186EED"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填报人电话</w:t>
            </w:r>
          </w:p>
        </w:tc>
        <w:tc>
          <w:tcPr>
            <w:tcW w:w="911" w:type="pct"/>
          </w:tcPr>
          <w:p w14:paraId="5E645EA6"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RPTTEL</w:t>
            </w:r>
          </w:p>
        </w:tc>
        <w:tc>
          <w:tcPr>
            <w:tcW w:w="912" w:type="pct"/>
          </w:tcPr>
          <w:p w14:paraId="4B8FFD5E" w14:textId="77777777" w:rsidR="00A052DC" w:rsidRDefault="009F0A60">
            <w:pPr>
              <w:rPr>
                <w:rFonts w:ascii="黑体" w:eastAsia="黑体" w:hAnsi="黑体"/>
                <w:sz w:val="20"/>
                <w:szCs w:val="20"/>
              </w:rPr>
            </w:pPr>
            <w:r>
              <w:rPr>
                <w:rFonts w:ascii="黑体" w:eastAsia="黑体" w:hAnsi="黑体" w:hint="eastAsia"/>
                <w:sz w:val="20"/>
                <w:szCs w:val="20"/>
              </w:rPr>
              <w:t>字符型，20</w:t>
            </w:r>
          </w:p>
        </w:tc>
        <w:tc>
          <w:tcPr>
            <w:tcW w:w="1611" w:type="pct"/>
          </w:tcPr>
          <w:p w14:paraId="6DF7CAAC" w14:textId="77777777" w:rsidR="00A052DC" w:rsidRDefault="00A052DC">
            <w:pPr>
              <w:rPr>
                <w:rFonts w:ascii="黑体" w:eastAsia="黑体" w:hAnsi="黑体"/>
                <w:sz w:val="20"/>
                <w:szCs w:val="20"/>
              </w:rPr>
            </w:pPr>
          </w:p>
        </w:tc>
      </w:tr>
      <w:tr w:rsidR="00A052DC" w14:paraId="52EB42D2" w14:textId="77777777">
        <w:tc>
          <w:tcPr>
            <w:tcW w:w="1566" w:type="pct"/>
          </w:tcPr>
          <w:p w14:paraId="37DAB37A"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申报日期</w:t>
            </w:r>
          </w:p>
        </w:tc>
        <w:tc>
          <w:tcPr>
            <w:tcW w:w="911" w:type="pct"/>
          </w:tcPr>
          <w:p w14:paraId="5C2429AF"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RPTDATE</w:t>
            </w:r>
          </w:p>
        </w:tc>
        <w:tc>
          <w:tcPr>
            <w:tcW w:w="912" w:type="pct"/>
          </w:tcPr>
          <w:p w14:paraId="725FFAA9" w14:textId="77777777" w:rsidR="00A052DC" w:rsidRDefault="009F0A60">
            <w:pPr>
              <w:rPr>
                <w:rFonts w:ascii="黑体" w:eastAsia="黑体" w:hAnsi="黑体"/>
                <w:sz w:val="20"/>
                <w:szCs w:val="20"/>
              </w:rPr>
            </w:pPr>
            <w:r>
              <w:rPr>
                <w:rFonts w:ascii="黑体" w:eastAsia="黑体" w:hAnsi="黑体" w:hint="eastAsia"/>
                <w:sz w:val="20"/>
                <w:szCs w:val="20"/>
              </w:rPr>
              <w:t>日期型，8</w:t>
            </w:r>
          </w:p>
        </w:tc>
        <w:tc>
          <w:tcPr>
            <w:tcW w:w="1611" w:type="pct"/>
          </w:tcPr>
          <w:p w14:paraId="6720084C" w14:textId="77777777" w:rsidR="00A052DC" w:rsidRDefault="009F0A60">
            <w:pPr>
              <w:rPr>
                <w:rFonts w:ascii="黑体" w:eastAsia="黑体" w:hAnsi="黑体"/>
                <w:sz w:val="20"/>
                <w:szCs w:val="20"/>
              </w:rPr>
            </w:pPr>
            <w:r>
              <w:rPr>
                <w:rFonts w:ascii="黑体" w:eastAsia="黑体" w:hAnsi="黑体" w:hint="eastAsia"/>
                <w:sz w:val="20"/>
                <w:szCs w:val="20"/>
              </w:rPr>
              <w:t>YYYYMMDD</w:t>
            </w:r>
          </w:p>
        </w:tc>
      </w:tr>
      <w:tr w:rsidR="00A052DC" w14:paraId="3A8FF096" w14:textId="77777777">
        <w:tc>
          <w:tcPr>
            <w:tcW w:w="1566" w:type="pct"/>
            <w:tcBorders>
              <w:top w:val="single" w:sz="2" w:space="0" w:color="auto"/>
              <w:left w:val="single" w:sz="2" w:space="0" w:color="auto"/>
              <w:bottom w:val="single" w:sz="2" w:space="0" w:color="auto"/>
              <w:right w:val="single" w:sz="2" w:space="0" w:color="auto"/>
            </w:tcBorders>
          </w:tcPr>
          <w:p w14:paraId="266F4BC1"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申报信息来源</w:t>
            </w:r>
          </w:p>
        </w:tc>
        <w:tc>
          <w:tcPr>
            <w:tcW w:w="911" w:type="pct"/>
            <w:tcBorders>
              <w:top w:val="single" w:sz="2" w:space="0" w:color="auto"/>
              <w:left w:val="single" w:sz="2" w:space="0" w:color="auto"/>
              <w:bottom w:val="single" w:sz="2" w:space="0" w:color="auto"/>
              <w:right w:val="single" w:sz="2" w:space="0" w:color="auto"/>
            </w:tcBorders>
          </w:tcPr>
          <w:p w14:paraId="16BA004F"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RPTSOURCE</w:t>
            </w:r>
          </w:p>
        </w:tc>
        <w:tc>
          <w:tcPr>
            <w:tcW w:w="912" w:type="pct"/>
            <w:tcBorders>
              <w:top w:val="single" w:sz="2" w:space="0" w:color="auto"/>
              <w:left w:val="single" w:sz="2" w:space="0" w:color="auto"/>
              <w:bottom w:val="single" w:sz="2" w:space="0" w:color="auto"/>
              <w:right w:val="single" w:sz="2" w:space="0" w:color="auto"/>
            </w:tcBorders>
          </w:tcPr>
          <w:p w14:paraId="78AA9E54" w14:textId="77777777" w:rsidR="00A052DC" w:rsidRDefault="009F0A60">
            <w:pPr>
              <w:rPr>
                <w:rFonts w:ascii="黑体" w:eastAsia="黑体" w:hAnsi="黑体"/>
                <w:sz w:val="20"/>
                <w:szCs w:val="20"/>
              </w:rPr>
            </w:pPr>
            <w:r>
              <w:rPr>
                <w:rFonts w:ascii="黑体" w:eastAsia="黑体" w:hAnsi="黑体" w:hint="eastAsia"/>
                <w:sz w:val="20"/>
                <w:szCs w:val="20"/>
              </w:rPr>
              <w:t>字符型，1</w:t>
            </w:r>
          </w:p>
        </w:tc>
        <w:tc>
          <w:tcPr>
            <w:tcW w:w="1611" w:type="pct"/>
            <w:tcBorders>
              <w:top w:val="single" w:sz="2" w:space="0" w:color="auto"/>
              <w:left w:val="single" w:sz="2" w:space="0" w:color="auto"/>
              <w:bottom w:val="single" w:sz="2" w:space="0" w:color="auto"/>
              <w:right w:val="single" w:sz="2" w:space="0" w:color="auto"/>
            </w:tcBorders>
          </w:tcPr>
          <w:p w14:paraId="4488EF3B" w14:textId="77777777" w:rsidR="00A052DC" w:rsidRDefault="009F0A60">
            <w:pPr>
              <w:rPr>
                <w:rFonts w:ascii="黑体" w:eastAsia="黑体" w:hAnsi="黑体"/>
                <w:sz w:val="20"/>
                <w:szCs w:val="20"/>
              </w:rPr>
            </w:pPr>
            <w:r>
              <w:rPr>
                <w:rFonts w:ascii="黑体" w:eastAsia="黑体" w:hAnsi="黑体" w:hint="eastAsia"/>
                <w:sz w:val="20"/>
                <w:szCs w:val="20"/>
              </w:rPr>
              <w:t>1-纸质申报（银行版录入）</w:t>
            </w:r>
          </w:p>
          <w:p w14:paraId="544E87DE" w14:textId="77777777" w:rsidR="00A052DC" w:rsidRDefault="009F0A60">
            <w:pPr>
              <w:rPr>
                <w:rFonts w:ascii="黑体" w:eastAsia="黑体" w:hAnsi="黑体"/>
                <w:sz w:val="20"/>
                <w:szCs w:val="20"/>
              </w:rPr>
            </w:pPr>
            <w:r>
              <w:rPr>
                <w:rFonts w:ascii="黑体" w:eastAsia="黑体" w:hAnsi="黑体" w:hint="eastAsia"/>
                <w:sz w:val="20"/>
                <w:szCs w:val="20"/>
              </w:rPr>
              <w:t>2-网上申报</w:t>
            </w:r>
          </w:p>
          <w:p w14:paraId="63BF3CE4" w14:textId="77777777" w:rsidR="00A052DC" w:rsidRDefault="009F0A60">
            <w:pPr>
              <w:rPr>
                <w:rFonts w:ascii="黑体" w:eastAsia="黑体" w:hAnsi="黑体"/>
                <w:sz w:val="20"/>
                <w:szCs w:val="20"/>
              </w:rPr>
            </w:pPr>
            <w:r>
              <w:rPr>
                <w:rFonts w:ascii="黑体" w:eastAsia="黑体" w:hAnsi="黑体" w:hint="eastAsia"/>
                <w:sz w:val="20"/>
                <w:szCs w:val="20"/>
              </w:rPr>
              <w:t>3-接口导入（银行业务系统接口文件导入）</w:t>
            </w:r>
          </w:p>
        </w:tc>
      </w:tr>
      <w:tr w:rsidR="00A052DC" w14:paraId="6B230D74" w14:textId="77777777">
        <w:tc>
          <w:tcPr>
            <w:tcW w:w="1566" w:type="pct"/>
            <w:tcBorders>
              <w:top w:val="single" w:sz="2" w:space="0" w:color="auto"/>
              <w:left w:val="single" w:sz="2" w:space="0" w:color="auto"/>
              <w:bottom w:val="single" w:sz="2" w:space="0" w:color="auto"/>
              <w:right w:val="single" w:sz="2" w:space="0" w:color="auto"/>
            </w:tcBorders>
          </w:tcPr>
          <w:p w14:paraId="3F0D8AB3"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申报单状态</w:t>
            </w:r>
          </w:p>
        </w:tc>
        <w:tc>
          <w:tcPr>
            <w:tcW w:w="911" w:type="pct"/>
            <w:tcBorders>
              <w:top w:val="single" w:sz="2" w:space="0" w:color="auto"/>
              <w:left w:val="single" w:sz="2" w:space="0" w:color="auto"/>
              <w:bottom w:val="single" w:sz="2" w:space="0" w:color="auto"/>
              <w:right w:val="single" w:sz="2" w:space="0" w:color="auto"/>
            </w:tcBorders>
          </w:tcPr>
          <w:p w14:paraId="058ED790"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RPTSTS</w:t>
            </w:r>
          </w:p>
        </w:tc>
        <w:tc>
          <w:tcPr>
            <w:tcW w:w="912" w:type="pct"/>
            <w:tcBorders>
              <w:top w:val="single" w:sz="2" w:space="0" w:color="auto"/>
              <w:left w:val="single" w:sz="2" w:space="0" w:color="auto"/>
              <w:bottom w:val="single" w:sz="2" w:space="0" w:color="auto"/>
              <w:right w:val="single" w:sz="2" w:space="0" w:color="auto"/>
            </w:tcBorders>
          </w:tcPr>
          <w:p w14:paraId="53F05D51" w14:textId="77777777" w:rsidR="00A052DC" w:rsidRDefault="009F0A60">
            <w:pPr>
              <w:rPr>
                <w:rFonts w:ascii="黑体" w:eastAsia="黑体" w:hAnsi="黑体"/>
                <w:sz w:val="20"/>
                <w:szCs w:val="20"/>
              </w:rPr>
            </w:pPr>
            <w:r>
              <w:rPr>
                <w:rFonts w:ascii="黑体" w:eastAsia="黑体" w:hAnsi="黑体" w:hint="eastAsia"/>
                <w:sz w:val="20"/>
                <w:szCs w:val="20"/>
              </w:rPr>
              <w:t>字符型，2</w:t>
            </w:r>
          </w:p>
        </w:tc>
        <w:tc>
          <w:tcPr>
            <w:tcW w:w="1611" w:type="pct"/>
            <w:tcBorders>
              <w:top w:val="single" w:sz="2" w:space="0" w:color="auto"/>
              <w:left w:val="single" w:sz="2" w:space="0" w:color="auto"/>
              <w:bottom w:val="single" w:sz="2" w:space="0" w:color="auto"/>
              <w:right w:val="single" w:sz="2" w:space="0" w:color="auto"/>
            </w:tcBorders>
          </w:tcPr>
          <w:p w14:paraId="4738DA7F" w14:textId="77777777" w:rsidR="00A052DC" w:rsidRDefault="009F0A60">
            <w:pPr>
              <w:rPr>
                <w:rFonts w:ascii="黑体" w:eastAsia="黑体" w:hAnsi="黑体"/>
                <w:sz w:val="20"/>
                <w:szCs w:val="20"/>
              </w:rPr>
            </w:pPr>
            <w:r>
              <w:rPr>
                <w:rFonts w:ascii="黑体" w:eastAsia="黑体" w:hAnsi="黑体" w:hint="eastAsia"/>
                <w:sz w:val="20"/>
                <w:szCs w:val="20"/>
              </w:rPr>
              <w:t>06</w:t>
            </w:r>
            <w:r w:rsidR="00BF0361">
              <w:rPr>
                <w:rFonts w:ascii="黑体" w:eastAsia="黑体" w:hAnsi="黑体" w:hint="eastAsia"/>
                <w:sz w:val="20"/>
                <w:szCs w:val="20"/>
              </w:rPr>
              <w:t>-</w:t>
            </w:r>
            <w:r>
              <w:rPr>
                <w:rFonts w:ascii="黑体" w:eastAsia="黑体" w:hAnsi="黑体" w:hint="eastAsia"/>
                <w:sz w:val="20"/>
                <w:szCs w:val="20"/>
              </w:rPr>
              <w:t>已审核</w:t>
            </w:r>
          </w:p>
        </w:tc>
      </w:tr>
      <w:tr w:rsidR="00A052DC" w14:paraId="6DF0A597" w14:textId="77777777">
        <w:tc>
          <w:tcPr>
            <w:tcW w:w="1566" w:type="pct"/>
            <w:tcBorders>
              <w:top w:val="single" w:sz="2" w:space="0" w:color="auto"/>
              <w:left w:val="single" w:sz="2" w:space="0" w:color="auto"/>
              <w:bottom w:val="single" w:sz="2" w:space="0" w:color="auto"/>
              <w:right w:val="single" w:sz="2" w:space="0" w:color="auto"/>
            </w:tcBorders>
          </w:tcPr>
          <w:p w14:paraId="3AC81ABF"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删除标志</w:t>
            </w:r>
          </w:p>
        </w:tc>
        <w:tc>
          <w:tcPr>
            <w:tcW w:w="911" w:type="pct"/>
            <w:tcBorders>
              <w:top w:val="single" w:sz="2" w:space="0" w:color="auto"/>
              <w:left w:val="single" w:sz="2" w:space="0" w:color="auto"/>
              <w:bottom w:val="single" w:sz="2" w:space="0" w:color="auto"/>
              <w:right w:val="single" w:sz="2" w:space="0" w:color="auto"/>
            </w:tcBorders>
          </w:tcPr>
          <w:p w14:paraId="29B6D1C0"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DELFLAG</w:t>
            </w:r>
          </w:p>
        </w:tc>
        <w:tc>
          <w:tcPr>
            <w:tcW w:w="912" w:type="pct"/>
            <w:tcBorders>
              <w:top w:val="single" w:sz="2" w:space="0" w:color="auto"/>
              <w:left w:val="single" w:sz="2" w:space="0" w:color="auto"/>
              <w:bottom w:val="single" w:sz="2" w:space="0" w:color="auto"/>
              <w:right w:val="single" w:sz="2" w:space="0" w:color="auto"/>
            </w:tcBorders>
          </w:tcPr>
          <w:p w14:paraId="65998DB6" w14:textId="77777777" w:rsidR="00A052DC" w:rsidRDefault="009F0A60">
            <w:pPr>
              <w:rPr>
                <w:rFonts w:ascii="黑体" w:eastAsia="黑体" w:hAnsi="黑体"/>
                <w:sz w:val="20"/>
                <w:szCs w:val="20"/>
              </w:rPr>
            </w:pPr>
            <w:r>
              <w:rPr>
                <w:rFonts w:ascii="黑体" w:eastAsia="黑体" w:hAnsi="黑体" w:hint="eastAsia"/>
                <w:sz w:val="20"/>
                <w:szCs w:val="20"/>
              </w:rPr>
              <w:t>字符型，1</w:t>
            </w:r>
          </w:p>
        </w:tc>
        <w:tc>
          <w:tcPr>
            <w:tcW w:w="1611" w:type="pct"/>
            <w:tcBorders>
              <w:top w:val="single" w:sz="2" w:space="0" w:color="auto"/>
              <w:left w:val="single" w:sz="2" w:space="0" w:color="auto"/>
              <w:bottom w:val="single" w:sz="2" w:space="0" w:color="auto"/>
              <w:right w:val="single" w:sz="2" w:space="0" w:color="auto"/>
            </w:tcBorders>
          </w:tcPr>
          <w:p w14:paraId="4EDE6C96" w14:textId="77777777" w:rsidR="00A052DC" w:rsidRDefault="009F0A60">
            <w:pPr>
              <w:rPr>
                <w:rFonts w:ascii="黑体" w:eastAsia="黑体" w:hAnsi="黑体"/>
                <w:sz w:val="20"/>
                <w:szCs w:val="20"/>
              </w:rPr>
            </w:pPr>
            <w:r>
              <w:rPr>
                <w:rFonts w:ascii="黑体" w:eastAsia="黑体" w:hAnsi="黑体" w:hint="eastAsia"/>
                <w:sz w:val="20"/>
                <w:szCs w:val="20"/>
              </w:rPr>
              <w:t>0-未删除</w:t>
            </w:r>
          </w:p>
          <w:p w14:paraId="45F89ECB" w14:textId="77777777" w:rsidR="00A052DC" w:rsidRDefault="009F0A60">
            <w:pPr>
              <w:rPr>
                <w:rFonts w:ascii="黑体" w:eastAsia="黑体" w:hAnsi="黑体"/>
                <w:sz w:val="20"/>
                <w:szCs w:val="20"/>
              </w:rPr>
            </w:pPr>
            <w:r>
              <w:rPr>
                <w:rFonts w:ascii="黑体" w:eastAsia="黑体" w:hAnsi="黑体" w:hint="eastAsia"/>
                <w:sz w:val="20"/>
                <w:szCs w:val="20"/>
              </w:rPr>
              <w:t>3-已删除</w:t>
            </w:r>
          </w:p>
        </w:tc>
      </w:tr>
    </w:tbl>
    <w:p w14:paraId="440D7583" w14:textId="77777777" w:rsidR="00A052DC" w:rsidRDefault="009F0A60" w:rsidP="00D42F74">
      <w:pPr>
        <w:pStyle w:val="4"/>
        <w:numPr>
          <w:ilvl w:val="3"/>
          <w:numId w:val="1"/>
        </w:numPr>
        <w:jc w:val="left"/>
      </w:pPr>
      <w:bookmarkStart w:id="4514" w:name="_Toc454394937"/>
      <w:bookmarkStart w:id="4515" w:name="_Toc310599198"/>
      <w:r>
        <w:rPr>
          <w:rFonts w:hint="eastAsia"/>
        </w:rPr>
        <w:t>境内收入申报单</w:t>
      </w:r>
      <w:bookmarkEnd w:id="4514"/>
      <w:bookmarkEnd w:id="4515"/>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3" w:type="dxa"/>
          <w:right w:w="113" w:type="dxa"/>
        </w:tblCellMar>
        <w:tblLook w:val="04A0" w:firstRow="1" w:lastRow="0" w:firstColumn="1" w:lastColumn="0" w:noHBand="0" w:noVBand="1"/>
      </w:tblPr>
      <w:tblGrid>
        <w:gridCol w:w="2433"/>
        <w:gridCol w:w="1648"/>
        <w:gridCol w:w="1560"/>
        <w:gridCol w:w="2891"/>
      </w:tblGrid>
      <w:tr w:rsidR="00A052DC" w14:paraId="37742C26" w14:textId="77777777">
        <w:trPr>
          <w:tblHeader/>
        </w:trPr>
        <w:tc>
          <w:tcPr>
            <w:tcW w:w="1426" w:type="pct"/>
            <w:shd w:val="clear" w:color="auto" w:fill="C0C0C0"/>
          </w:tcPr>
          <w:p w14:paraId="5361EC8B" w14:textId="77777777" w:rsidR="00A052DC" w:rsidRDefault="009F0A60">
            <w:pPr>
              <w:jc w:val="center"/>
              <w:rPr>
                <w:rFonts w:ascii="黑体" w:eastAsia="黑体" w:hAnsi="黑体"/>
                <w:b/>
                <w:sz w:val="20"/>
                <w:szCs w:val="20"/>
              </w:rPr>
            </w:pPr>
            <w:r>
              <w:rPr>
                <w:rFonts w:ascii="黑体" w:eastAsia="黑体" w:hAnsi="黑体" w:hint="eastAsia"/>
                <w:b/>
                <w:sz w:val="20"/>
                <w:szCs w:val="20"/>
              </w:rPr>
              <w:t>名称</w:t>
            </w:r>
          </w:p>
        </w:tc>
        <w:tc>
          <w:tcPr>
            <w:tcW w:w="966" w:type="pct"/>
            <w:shd w:val="clear" w:color="auto" w:fill="C0C0C0"/>
          </w:tcPr>
          <w:p w14:paraId="6EBC750C" w14:textId="77777777" w:rsidR="00A052DC" w:rsidRDefault="009F0A60">
            <w:pPr>
              <w:jc w:val="center"/>
              <w:rPr>
                <w:rFonts w:ascii="黑体" w:eastAsia="黑体" w:hAnsi="黑体"/>
                <w:b/>
                <w:sz w:val="20"/>
                <w:szCs w:val="20"/>
              </w:rPr>
            </w:pPr>
            <w:r>
              <w:rPr>
                <w:rFonts w:ascii="黑体" w:eastAsia="黑体" w:hAnsi="黑体" w:hint="eastAsia"/>
                <w:b/>
                <w:sz w:val="20"/>
                <w:szCs w:val="20"/>
              </w:rPr>
              <w:t>代码</w:t>
            </w:r>
          </w:p>
        </w:tc>
        <w:tc>
          <w:tcPr>
            <w:tcW w:w="914" w:type="pct"/>
            <w:shd w:val="clear" w:color="auto" w:fill="C0C0C0"/>
          </w:tcPr>
          <w:p w14:paraId="4EE3446B" w14:textId="77777777" w:rsidR="00A052DC" w:rsidRDefault="009F0A60">
            <w:pPr>
              <w:jc w:val="center"/>
              <w:rPr>
                <w:rFonts w:ascii="黑体" w:eastAsia="黑体" w:hAnsi="黑体"/>
                <w:b/>
                <w:sz w:val="20"/>
                <w:szCs w:val="20"/>
              </w:rPr>
            </w:pPr>
            <w:r>
              <w:rPr>
                <w:rFonts w:ascii="黑体" w:eastAsia="黑体" w:hAnsi="黑体" w:hint="eastAsia"/>
                <w:b/>
                <w:sz w:val="20"/>
                <w:szCs w:val="20"/>
              </w:rPr>
              <w:t>数据（长度）</w:t>
            </w:r>
          </w:p>
        </w:tc>
        <w:tc>
          <w:tcPr>
            <w:tcW w:w="1694" w:type="pct"/>
            <w:shd w:val="clear" w:color="auto" w:fill="C0C0C0"/>
          </w:tcPr>
          <w:p w14:paraId="7FC4AED5" w14:textId="77777777" w:rsidR="00A052DC" w:rsidRDefault="009F0A60">
            <w:pPr>
              <w:jc w:val="center"/>
              <w:rPr>
                <w:rFonts w:ascii="黑体" w:eastAsia="黑体" w:hAnsi="黑体"/>
                <w:b/>
                <w:sz w:val="20"/>
                <w:szCs w:val="20"/>
              </w:rPr>
            </w:pPr>
            <w:r>
              <w:rPr>
                <w:rFonts w:ascii="黑体" w:eastAsia="黑体" w:hAnsi="黑体" w:hint="eastAsia"/>
                <w:b/>
                <w:sz w:val="20"/>
                <w:szCs w:val="20"/>
              </w:rPr>
              <w:t>注释</w:t>
            </w:r>
          </w:p>
        </w:tc>
      </w:tr>
      <w:tr w:rsidR="00A052DC" w14:paraId="61AE2589" w14:textId="77777777">
        <w:tc>
          <w:tcPr>
            <w:tcW w:w="1426" w:type="pct"/>
          </w:tcPr>
          <w:p w14:paraId="7ECE7090" w14:textId="77777777" w:rsidR="00A052DC" w:rsidRDefault="009F0A60">
            <w:pPr>
              <w:rPr>
                <w:rFonts w:ascii="黑体" w:eastAsia="黑体" w:hAnsi="黑体"/>
                <w:sz w:val="20"/>
                <w:szCs w:val="20"/>
              </w:rPr>
            </w:pPr>
            <w:r>
              <w:rPr>
                <w:rFonts w:ascii="黑体" w:eastAsia="黑体" w:hAnsi="黑体" w:hint="eastAsia"/>
                <w:sz w:val="20"/>
                <w:szCs w:val="20"/>
              </w:rPr>
              <w:t>申报号码</w:t>
            </w:r>
          </w:p>
        </w:tc>
        <w:tc>
          <w:tcPr>
            <w:tcW w:w="966" w:type="pct"/>
          </w:tcPr>
          <w:p w14:paraId="50C13E72"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RPTNO</w:t>
            </w:r>
          </w:p>
        </w:tc>
        <w:tc>
          <w:tcPr>
            <w:tcW w:w="914" w:type="pct"/>
          </w:tcPr>
          <w:p w14:paraId="20857841" w14:textId="77777777" w:rsidR="00A052DC" w:rsidRDefault="009F0A60">
            <w:pPr>
              <w:rPr>
                <w:rFonts w:ascii="黑体" w:eastAsia="黑体" w:hAnsi="黑体" w:cs="宋体"/>
                <w:sz w:val="20"/>
                <w:szCs w:val="20"/>
              </w:rPr>
            </w:pPr>
            <w:r>
              <w:rPr>
                <w:rFonts w:ascii="黑体" w:eastAsia="黑体" w:hAnsi="黑体" w:hint="eastAsia"/>
                <w:sz w:val="20"/>
                <w:szCs w:val="20"/>
              </w:rPr>
              <w:t>字符型，22</w:t>
            </w:r>
          </w:p>
        </w:tc>
        <w:tc>
          <w:tcPr>
            <w:tcW w:w="1694" w:type="pct"/>
          </w:tcPr>
          <w:p w14:paraId="3B630B1D" w14:textId="77777777" w:rsidR="00A052DC" w:rsidRDefault="00A052DC">
            <w:pPr>
              <w:rPr>
                <w:rFonts w:ascii="黑体" w:eastAsia="黑体" w:hAnsi="黑体" w:cs="宋体"/>
                <w:sz w:val="20"/>
                <w:szCs w:val="20"/>
              </w:rPr>
            </w:pPr>
          </w:p>
        </w:tc>
      </w:tr>
      <w:tr w:rsidR="00A052DC" w14:paraId="71575228" w14:textId="77777777">
        <w:tc>
          <w:tcPr>
            <w:tcW w:w="1426" w:type="pct"/>
          </w:tcPr>
          <w:p w14:paraId="70E2D5FA" w14:textId="77777777" w:rsidR="00A052DC" w:rsidRDefault="009F0A60">
            <w:pPr>
              <w:rPr>
                <w:rFonts w:ascii="黑体" w:eastAsia="黑体" w:hAnsi="黑体"/>
                <w:sz w:val="20"/>
                <w:szCs w:val="20"/>
              </w:rPr>
            </w:pPr>
            <w:r>
              <w:rPr>
                <w:rFonts w:ascii="黑体" w:eastAsia="黑体" w:hAnsi="黑体" w:hint="eastAsia"/>
                <w:sz w:val="20"/>
                <w:szCs w:val="20"/>
              </w:rPr>
              <w:t>收款人类型</w:t>
            </w:r>
          </w:p>
        </w:tc>
        <w:tc>
          <w:tcPr>
            <w:tcW w:w="966" w:type="pct"/>
          </w:tcPr>
          <w:p w14:paraId="4937D686"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PAYEETYPE</w:t>
            </w:r>
          </w:p>
        </w:tc>
        <w:tc>
          <w:tcPr>
            <w:tcW w:w="914" w:type="pct"/>
          </w:tcPr>
          <w:p w14:paraId="7E2DB282" w14:textId="77777777" w:rsidR="00A052DC" w:rsidRDefault="009F0A60">
            <w:pPr>
              <w:rPr>
                <w:rFonts w:ascii="黑体" w:eastAsia="黑体" w:hAnsi="黑体" w:cs="宋体"/>
                <w:sz w:val="20"/>
                <w:szCs w:val="20"/>
              </w:rPr>
            </w:pPr>
            <w:r>
              <w:rPr>
                <w:rFonts w:ascii="黑体" w:eastAsia="黑体" w:hAnsi="黑体" w:hint="eastAsia"/>
                <w:sz w:val="20"/>
                <w:szCs w:val="20"/>
              </w:rPr>
              <w:t>字符型，1</w:t>
            </w:r>
          </w:p>
        </w:tc>
        <w:tc>
          <w:tcPr>
            <w:tcW w:w="1694" w:type="pct"/>
          </w:tcPr>
          <w:p w14:paraId="3A2631A5" w14:textId="77777777" w:rsidR="00A052DC" w:rsidRDefault="009F0A60">
            <w:pPr>
              <w:rPr>
                <w:rFonts w:ascii="黑体" w:eastAsia="黑体" w:hAnsi="黑体"/>
                <w:sz w:val="20"/>
                <w:szCs w:val="20"/>
              </w:rPr>
            </w:pPr>
            <w:r>
              <w:rPr>
                <w:rFonts w:ascii="黑体" w:eastAsia="黑体" w:hAnsi="黑体" w:hint="eastAsia"/>
                <w:sz w:val="20"/>
                <w:szCs w:val="20"/>
              </w:rPr>
              <w:t>C</w:t>
            </w:r>
            <w:r w:rsidR="00AE4602">
              <w:rPr>
                <w:rFonts w:ascii="黑体" w:eastAsia="黑体" w:hAnsi="黑体" w:hint="eastAsia"/>
                <w:sz w:val="20"/>
                <w:szCs w:val="20"/>
              </w:rPr>
              <w:t>-</w:t>
            </w:r>
            <w:r>
              <w:rPr>
                <w:rFonts w:ascii="黑体" w:eastAsia="黑体" w:hAnsi="黑体" w:hint="eastAsia"/>
                <w:sz w:val="20"/>
                <w:szCs w:val="20"/>
              </w:rPr>
              <w:t>对公</w:t>
            </w:r>
          </w:p>
          <w:p w14:paraId="664B49B3" w14:textId="77777777" w:rsidR="00A052DC" w:rsidRDefault="009F0A60">
            <w:pPr>
              <w:rPr>
                <w:rFonts w:ascii="黑体" w:eastAsia="黑体" w:hAnsi="黑体" w:cs="宋体"/>
                <w:sz w:val="20"/>
                <w:szCs w:val="20"/>
              </w:rPr>
            </w:pPr>
            <w:r>
              <w:rPr>
                <w:rFonts w:ascii="黑体" w:eastAsia="黑体" w:hAnsi="黑体" w:hint="eastAsia"/>
                <w:sz w:val="20"/>
                <w:szCs w:val="20"/>
              </w:rPr>
              <w:t>D</w:t>
            </w:r>
            <w:r w:rsidR="00AE4602">
              <w:rPr>
                <w:rFonts w:ascii="黑体" w:eastAsia="黑体" w:hAnsi="黑体" w:hint="eastAsia"/>
                <w:sz w:val="20"/>
                <w:szCs w:val="20"/>
              </w:rPr>
              <w:t>-</w:t>
            </w:r>
            <w:r>
              <w:rPr>
                <w:rFonts w:ascii="黑体" w:eastAsia="黑体" w:hAnsi="黑体" w:hint="eastAsia"/>
                <w:sz w:val="20"/>
                <w:szCs w:val="20"/>
              </w:rPr>
              <w:t>对私</w:t>
            </w:r>
          </w:p>
        </w:tc>
      </w:tr>
      <w:tr w:rsidR="00A052DC" w14:paraId="7E0F1C67" w14:textId="77777777">
        <w:tc>
          <w:tcPr>
            <w:tcW w:w="1426" w:type="pct"/>
          </w:tcPr>
          <w:p w14:paraId="3DF7CB95"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个人身份证件号码</w:t>
            </w:r>
          </w:p>
        </w:tc>
        <w:tc>
          <w:tcPr>
            <w:tcW w:w="966" w:type="pct"/>
          </w:tcPr>
          <w:p w14:paraId="6649E121"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IDCODE</w:t>
            </w:r>
          </w:p>
        </w:tc>
        <w:tc>
          <w:tcPr>
            <w:tcW w:w="914" w:type="pct"/>
          </w:tcPr>
          <w:p w14:paraId="3B4E8C33" w14:textId="77777777" w:rsidR="00A052DC" w:rsidRDefault="009F0A60">
            <w:pPr>
              <w:rPr>
                <w:rFonts w:ascii="黑体" w:eastAsia="黑体" w:hAnsi="黑体" w:cs="宋体"/>
                <w:sz w:val="20"/>
                <w:szCs w:val="20"/>
              </w:rPr>
            </w:pPr>
            <w:r>
              <w:rPr>
                <w:rFonts w:ascii="黑体" w:eastAsia="黑体" w:hAnsi="黑体" w:hint="eastAsia"/>
                <w:sz w:val="20"/>
                <w:szCs w:val="20"/>
              </w:rPr>
              <w:t>字符型，32</w:t>
            </w:r>
          </w:p>
        </w:tc>
        <w:tc>
          <w:tcPr>
            <w:tcW w:w="1694" w:type="pct"/>
          </w:tcPr>
          <w:p w14:paraId="4F6558DE" w14:textId="77777777" w:rsidR="00A052DC" w:rsidRDefault="00A052DC">
            <w:pPr>
              <w:rPr>
                <w:rFonts w:ascii="黑体" w:eastAsia="黑体" w:hAnsi="黑体" w:cs="宋体"/>
                <w:sz w:val="20"/>
                <w:szCs w:val="20"/>
              </w:rPr>
            </w:pPr>
          </w:p>
        </w:tc>
      </w:tr>
      <w:tr w:rsidR="00A052DC" w14:paraId="06A8889E" w14:textId="77777777">
        <w:tc>
          <w:tcPr>
            <w:tcW w:w="1426" w:type="pct"/>
          </w:tcPr>
          <w:p w14:paraId="24C1A0DE" w14:textId="77777777" w:rsidR="00A052DC" w:rsidRDefault="009F0A60">
            <w:pPr>
              <w:pStyle w:val="B"/>
            </w:pPr>
            <w:r>
              <w:rPr>
                <w:rFonts w:hint="eastAsia"/>
                <w:kern w:val="2"/>
              </w:rPr>
              <w:t>主体标识码</w:t>
            </w:r>
          </w:p>
        </w:tc>
        <w:tc>
          <w:tcPr>
            <w:tcW w:w="966" w:type="pct"/>
          </w:tcPr>
          <w:p w14:paraId="33452B75" w14:textId="77777777" w:rsidR="00A052DC" w:rsidRDefault="009F0A60">
            <w:pPr>
              <w:pStyle w:val="B"/>
            </w:pPr>
            <w:r>
              <w:rPr>
                <w:kern w:val="2"/>
              </w:rPr>
              <w:t>UNITCODE</w:t>
            </w:r>
          </w:p>
        </w:tc>
        <w:tc>
          <w:tcPr>
            <w:tcW w:w="914" w:type="pct"/>
          </w:tcPr>
          <w:p w14:paraId="7FA0F3ED" w14:textId="77777777" w:rsidR="00A052DC" w:rsidRDefault="009F0A60">
            <w:pPr>
              <w:pStyle w:val="B"/>
              <w:rPr>
                <w:rFonts w:cs="宋体"/>
              </w:rPr>
            </w:pPr>
            <w:r>
              <w:rPr>
                <w:rFonts w:hint="eastAsia"/>
                <w:kern w:val="2"/>
              </w:rPr>
              <w:t>字符型，</w:t>
            </w:r>
            <w:r>
              <w:rPr>
                <w:kern w:val="2"/>
              </w:rPr>
              <w:t>18</w:t>
            </w:r>
          </w:p>
        </w:tc>
        <w:tc>
          <w:tcPr>
            <w:tcW w:w="1694" w:type="pct"/>
          </w:tcPr>
          <w:p w14:paraId="5CBAD5CA" w14:textId="77777777" w:rsidR="00A052DC" w:rsidRDefault="009F0A60">
            <w:pPr>
              <w:pStyle w:val="B"/>
              <w:rPr>
                <w:rFonts w:cs="宋体"/>
              </w:rPr>
            </w:pPr>
            <w:r>
              <w:rPr>
                <w:rFonts w:cs="宋体" w:hint="eastAsia"/>
              </w:rPr>
              <w:t>指统一社会信用代码法定载体（如营业执照）上统一社会信用代码中的第9至17位或国家外汇管理局及其分支局签发的特殊机构代码赋码通知书上的机构代码。</w:t>
            </w:r>
          </w:p>
        </w:tc>
      </w:tr>
      <w:tr w:rsidR="00A052DC" w14:paraId="11FFCB4C" w14:textId="77777777">
        <w:tc>
          <w:tcPr>
            <w:tcW w:w="1426" w:type="pct"/>
          </w:tcPr>
          <w:p w14:paraId="0A8DCDE6"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收款人名称</w:t>
            </w:r>
          </w:p>
        </w:tc>
        <w:tc>
          <w:tcPr>
            <w:tcW w:w="966" w:type="pct"/>
          </w:tcPr>
          <w:p w14:paraId="7D20A261"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CUSTNAME</w:t>
            </w:r>
          </w:p>
        </w:tc>
        <w:tc>
          <w:tcPr>
            <w:tcW w:w="914" w:type="pct"/>
          </w:tcPr>
          <w:p w14:paraId="68025B6C" w14:textId="77777777" w:rsidR="00A052DC" w:rsidRDefault="009F0A60">
            <w:pPr>
              <w:rPr>
                <w:rFonts w:ascii="黑体" w:eastAsia="黑体" w:hAnsi="黑体" w:cs="宋体"/>
                <w:sz w:val="20"/>
                <w:szCs w:val="20"/>
              </w:rPr>
            </w:pPr>
            <w:r>
              <w:rPr>
                <w:rFonts w:ascii="黑体" w:eastAsia="黑体" w:hAnsi="黑体" w:hint="eastAsia"/>
                <w:sz w:val="20"/>
                <w:szCs w:val="20"/>
              </w:rPr>
              <w:t>字符型，128</w:t>
            </w:r>
          </w:p>
        </w:tc>
        <w:tc>
          <w:tcPr>
            <w:tcW w:w="1694" w:type="pct"/>
          </w:tcPr>
          <w:p w14:paraId="3D7A2590" w14:textId="77777777" w:rsidR="00A052DC" w:rsidRDefault="00A052DC">
            <w:pPr>
              <w:rPr>
                <w:rFonts w:ascii="黑体" w:eastAsia="黑体" w:hAnsi="黑体" w:cs="宋体"/>
                <w:sz w:val="20"/>
                <w:szCs w:val="20"/>
              </w:rPr>
            </w:pPr>
          </w:p>
        </w:tc>
      </w:tr>
      <w:tr w:rsidR="00A052DC" w14:paraId="10C7CDDA" w14:textId="77777777">
        <w:tc>
          <w:tcPr>
            <w:tcW w:w="1426" w:type="pct"/>
          </w:tcPr>
          <w:p w14:paraId="1D26EF1D" w14:textId="77777777" w:rsidR="00A052DC" w:rsidRDefault="009F0A60">
            <w:pPr>
              <w:rPr>
                <w:rFonts w:ascii="黑体" w:eastAsia="黑体" w:hAnsi="黑体" w:cs="Microsoft Sans Serif"/>
                <w:sz w:val="20"/>
                <w:szCs w:val="20"/>
              </w:rPr>
            </w:pPr>
            <w:r>
              <w:rPr>
                <w:rFonts w:ascii="黑体" w:eastAsia="黑体" w:hAnsi="黑体" w:hint="eastAsia"/>
                <w:sz w:val="20"/>
                <w:szCs w:val="20"/>
              </w:rPr>
              <w:t>付款人名称</w:t>
            </w:r>
          </w:p>
        </w:tc>
        <w:tc>
          <w:tcPr>
            <w:tcW w:w="966" w:type="pct"/>
          </w:tcPr>
          <w:p w14:paraId="79AFF077"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OPPNAME</w:t>
            </w:r>
          </w:p>
        </w:tc>
        <w:tc>
          <w:tcPr>
            <w:tcW w:w="914" w:type="pct"/>
          </w:tcPr>
          <w:p w14:paraId="6DA909A0" w14:textId="77777777" w:rsidR="00A052DC" w:rsidRDefault="009F0A60">
            <w:pPr>
              <w:rPr>
                <w:rFonts w:ascii="黑体" w:eastAsia="黑体" w:hAnsi="黑体" w:cs="宋体"/>
                <w:sz w:val="20"/>
                <w:szCs w:val="20"/>
              </w:rPr>
            </w:pPr>
            <w:r>
              <w:rPr>
                <w:rFonts w:ascii="黑体" w:eastAsia="黑体" w:hAnsi="黑体" w:hint="eastAsia"/>
                <w:sz w:val="20"/>
                <w:szCs w:val="20"/>
              </w:rPr>
              <w:t>字符型，128</w:t>
            </w:r>
          </w:p>
        </w:tc>
        <w:tc>
          <w:tcPr>
            <w:tcW w:w="1694" w:type="pct"/>
          </w:tcPr>
          <w:p w14:paraId="08E33DD5" w14:textId="77777777" w:rsidR="00A052DC" w:rsidRDefault="00A052DC">
            <w:pPr>
              <w:rPr>
                <w:rFonts w:ascii="黑体" w:eastAsia="黑体" w:hAnsi="黑体" w:cs="宋体"/>
                <w:sz w:val="20"/>
                <w:szCs w:val="20"/>
              </w:rPr>
            </w:pPr>
          </w:p>
        </w:tc>
      </w:tr>
      <w:tr w:rsidR="00A052DC" w14:paraId="2EE3B744" w14:textId="77777777">
        <w:tc>
          <w:tcPr>
            <w:tcW w:w="1426" w:type="pct"/>
          </w:tcPr>
          <w:p w14:paraId="5C30E3E2"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收入款币种</w:t>
            </w:r>
          </w:p>
        </w:tc>
        <w:tc>
          <w:tcPr>
            <w:tcW w:w="966" w:type="pct"/>
          </w:tcPr>
          <w:p w14:paraId="5AA33E13"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TXCCY</w:t>
            </w:r>
          </w:p>
        </w:tc>
        <w:tc>
          <w:tcPr>
            <w:tcW w:w="914" w:type="pct"/>
          </w:tcPr>
          <w:p w14:paraId="43914B19" w14:textId="77777777" w:rsidR="00A052DC" w:rsidRDefault="009F0A60">
            <w:pPr>
              <w:rPr>
                <w:rFonts w:ascii="黑体" w:eastAsia="黑体" w:hAnsi="黑体" w:cs="宋体"/>
                <w:sz w:val="20"/>
                <w:szCs w:val="20"/>
              </w:rPr>
            </w:pPr>
            <w:r>
              <w:rPr>
                <w:rFonts w:ascii="黑体" w:eastAsia="黑体" w:hAnsi="黑体" w:hint="eastAsia"/>
                <w:sz w:val="20"/>
                <w:szCs w:val="20"/>
              </w:rPr>
              <w:t>字符型，3</w:t>
            </w:r>
          </w:p>
        </w:tc>
        <w:tc>
          <w:tcPr>
            <w:tcW w:w="1694" w:type="pct"/>
          </w:tcPr>
          <w:p w14:paraId="37FAE303" w14:textId="77777777" w:rsidR="00A052DC" w:rsidRDefault="00A052DC">
            <w:pPr>
              <w:rPr>
                <w:rFonts w:ascii="黑体" w:eastAsia="黑体" w:hAnsi="黑体" w:cs="宋体"/>
                <w:sz w:val="20"/>
                <w:szCs w:val="20"/>
              </w:rPr>
            </w:pPr>
          </w:p>
        </w:tc>
      </w:tr>
      <w:tr w:rsidR="00A052DC" w14:paraId="585CF527" w14:textId="77777777">
        <w:tc>
          <w:tcPr>
            <w:tcW w:w="1426" w:type="pct"/>
          </w:tcPr>
          <w:p w14:paraId="70FA88FC"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收入款金额</w:t>
            </w:r>
          </w:p>
        </w:tc>
        <w:tc>
          <w:tcPr>
            <w:tcW w:w="966" w:type="pct"/>
          </w:tcPr>
          <w:p w14:paraId="56663138"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TXAMT</w:t>
            </w:r>
          </w:p>
        </w:tc>
        <w:tc>
          <w:tcPr>
            <w:tcW w:w="914" w:type="pct"/>
          </w:tcPr>
          <w:p w14:paraId="297B0CFC" w14:textId="77777777" w:rsidR="00A052DC" w:rsidRDefault="009F0A60">
            <w:pPr>
              <w:rPr>
                <w:rFonts w:ascii="黑体" w:eastAsia="黑体" w:hAnsi="黑体" w:cs="宋体"/>
                <w:sz w:val="20"/>
                <w:szCs w:val="20"/>
              </w:rPr>
            </w:pPr>
            <w:r>
              <w:rPr>
                <w:rFonts w:ascii="黑体" w:eastAsia="黑体" w:hAnsi="黑体" w:hint="eastAsia"/>
                <w:sz w:val="20"/>
                <w:szCs w:val="20"/>
              </w:rPr>
              <w:t>数值型，22.0</w:t>
            </w:r>
          </w:p>
        </w:tc>
        <w:tc>
          <w:tcPr>
            <w:tcW w:w="1694" w:type="pct"/>
          </w:tcPr>
          <w:p w14:paraId="70ADD8A4" w14:textId="77777777" w:rsidR="00A052DC" w:rsidRDefault="00A052DC">
            <w:pPr>
              <w:rPr>
                <w:rFonts w:ascii="黑体" w:eastAsia="黑体" w:hAnsi="黑体" w:cs="宋体"/>
                <w:sz w:val="20"/>
                <w:szCs w:val="20"/>
              </w:rPr>
            </w:pPr>
          </w:p>
        </w:tc>
      </w:tr>
      <w:tr w:rsidR="00A052DC" w14:paraId="69CDB4F6" w14:textId="77777777">
        <w:tc>
          <w:tcPr>
            <w:tcW w:w="1426" w:type="pct"/>
          </w:tcPr>
          <w:p w14:paraId="0135B077"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结汇汇率</w:t>
            </w:r>
          </w:p>
        </w:tc>
        <w:tc>
          <w:tcPr>
            <w:tcW w:w="966" w:type="pct"/>
          </w:tcPr>
          <w:p w14:paraId="03BF69CD"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EXRATE</w:t>
            </w:r>
          </w:p>
        </w:tc>
        <w:tc>
          <w:tcPr>
            <w:tcW w:w="914" w:type="pct"/>
          </w:tcPr>
          <w:p w14:paraId="614A8329" w14:textId="77777777" w:rsidR="00A052DC" w:rsidRDefault="009F0A60">
            <w:pPr>
              <w:rPr>
                <w:rFonts w:ascii="黑体" w:eastAsia="黑体" w:hAnsi="黑体" w:cs="宋体"/>
                <w:sz w:val="20"/>
                <w:szCs w:val="20"/>
              </w:rPr>
            </w:pPr>
            <w:r>
              <w:rPr>
                <w:rFonts w:ascii="黑体" w:eastAsia="黑体" w:hAnsi="黑体" w:hint="eastAsia"/>
                <w:sz w:val="20"/>
                <w:szCs w:val="20"/>
              </w:rPr>
              <w:t>数值型，13.8</w:t>
            </w:r>
          </w:p>
        </w:tc>
        <w:tc>
          <w:tcPr>
            <w:tcW w:w="1694" w:type="pct"/>
          </w:tcPr>
          <w:p w14:paraId="0296AF3F" w14:textId="77777777" w:rsidR="00A052DC" w:rsidRDefault="00A052DC">
            <w:pPr>
              <w:rPr>
                <w:rFonts w:ascii="黑体" w:eastAsia="黑体" w:hAnsi="黑体" w:cs="宋体"/>
                <w:sz w:val="20"/>
                <w:szCs w:val="20"/>
              </w:rPr>
            </w:pPr>
          </w:p>
        </w:tc>
      </w:tr>
      <w:tr w:rsidR="00A052DC" w14:paraId="0968D359" w14:textId="77777777">
        <w:tc>
          <w:tcPr>
            <w:tcW w:w="1426" w:type="pct"/>
          </w:tcPr>
          <w:p w14:paraId="13A4409A"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结汇金额</w:t>
            </w:r>
          </w:p>
        </w:tc>
        <w:tc>
          <w:tcPr>
            <w:tcW w:w="966" w:type="pct"/>
          </w:tcPr>
          <w:p w14:paraId="1F4F0866"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LCYAMT</w:t>
            </w:r>
          </w:p>
        </w:tc>
        <w:tc>
          <w:tcPr>
            <w:tcW w:w="914" w:type="pct"/>
          </w:tcPr>
          <w:p w14:paraId="3601EA3A" w14:textId="77777777" w:rsidR="00A052DC" w:rsidRDefault="009F0A60">
            <w:pPr>
              <w:rPr>
                <w:rFonts w:ascii="黑体" w:eastAsia="黑体" w:hAnsi="黑体" w:cs="宋体"/>
                <w:sz w:val="20"/>
                <w:szCs w:val="20"/>
              </w:rPr>
            </w:pPr>
            <w:r>
              <w:rPr>
                <w:rFonts w:ascii="黑体" w:eastAsia="黑体" w:hAnsi="黑体" w:hint="eastAsia"/>
                <w:sz w:val="20"/>
                <w:szCs w:val="20"/>
              </w:rPr>
              <w:t>数值型，22.0</w:t>
            </w:r>
          </w:p>
        </w:tc>
        <w:tc>
          <w:tcPr>
            <w:tcW w:w="1694" w:type="pct"/>
          </w:tcPr>
          <w:p w14:paraId="02837D41" w14:textId="77777777" w:rsidR="00A052DC" w:rsidRDefault="00A052DC">
            <w:pPr>
              <w:rPr>
                <w:rFonts w:ascii="黑体" w:eastAsia="黑体" w:hAnsi="黑体" w:cs="宋体"/>
                <w:sz w:val="20"/>
                <w:szCs w:val="20"/>
              </w:rPr>
            </w:pPr>
          </w:p>
        </w:tc>
      </w:tr>
      <w:tr w:rsidR="00A052DC" w14:paraId="6428AC2D" w14:textId="77777777">
        <w:tc>
          <w:tcPr>
            <w:tcW w:w="1426" w:type="pct"/>
          </w:tcPr>
          <w:p w14:paraId="1580C1AC" w14:textId="77777777" w:rsidR="00A052DC" w:rsidRDefault="009F0A60">
            <w:pPr>
              <w:rPr>
                <w:rFonts w:ascii="黑体" w:eastAsia="黑体" w:hAnsi="黑体" w:cs="Microsoft Sans Serif"/>
                <w:sz w:val="20"/>
                <w:szCs w:val="20"/>
              </w:rPr>
            </w:pPr>
            <w:r>
              <w:rPr>
                <w:rFonts w:ascii="黑体" w:eastAsia="黑体" w:hAnsi="黑体" w:hint="eastAsia"/>
                <w:sz w:val="20"/>
                <w:szCs w:val="20"/>
              </w:rPr>
              <w:t>人民币账号/银行卡号</w:t>
            </w:r>
          </w:p>
        </w:tc>
        <w:tc>
          <w:tcPr>
            <w:tcW w:w="966" w:type="pct"/>
          </w:tcPr>
          <w:p w14:paraId="0792A0C5"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LCYACC</w:t>
            </w:r>
          </w:p>
        </w:tc>
        <w:tc>
          <w:tcPr>
            <w:tcW w:w="914" w:type="pct"/>
          </w:tcPr>
          <w:p w14:paraId="1F2E6020" w14:textId="77777777" w:rsidR="00A052DC" w:rsidRDefault="009F0A60">
            <w:pPr>
              <w:rPr>
                <w:rFonts w:ascii="黑体" w:eastAsia="黑体" w:hAnsi="黑体" w:cs="宋体"/>
                <w:sz w:val="20"/>
                <w:szCs w:val="20"/>
              </w:rPr>
            </w:pPr>
            <w:r>
              <w:rPr>
                <w:rFonts w:ascii="黑体" w:eastAsia="黑体" w:hAnsi="黑体" w:hint="eastAsia"/>
                <w:sz w:val="20"/>
                <w:szCs w:val="20"/>
              </w:rPr>
              <w:t>字符型，32</w:t>
            </w:r>
          </w:p>
        </w:tc>
        <w:tc>
          <w:tcPr>
            <w:tcW w:w="1694" w:type="pct"/>
          </w:tcPr>
          <w:p w14:paraId="512A7072" w14:textId="77777777" w:rsidR="00A052DC" w:rsidRDefault="00A052DC">
            <w:pPr>
              <w:rPr>
                <w:rFonts w:ascii="黑体" w:eastAsia="黑体" w:hAnsi="黑体" w:cs="宋体"/>
                <w:sz w:val="20"/>
                <w:szCs w:val="20"/>
              </w:rPr>
            </w:pPr>
          </w:p>
        </w:tc>
      </w:tr>
      <w:tr w:rsidR="00A052DC" w14:paraId="70B0C9DB" w14:textId="77777777">
        <w:tc>
          <w:tcPr>
            <w:tcW w:w="1426" w:type="pct"/>
          </w:tcPr>
          <w:p w14:paraId="07622BF1"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现汇金额</w:t>
            </w:r>
          </w:p>
        </w:tc>
        <w:tc>
          <w:tcPr>
            <w:tcW w:w="966" w:type="pct"/>
          </w:tcPr>
          <w:p w14:paraId="5C3C7E1D"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FCYAMT</w:t>
            </w:r>
          </w:p>
        </w:tc>
        <w:tc>
          <w:tcPr>
            <w:tcW w:w="914" w:type="pct"/>
          </w:tcPr>
          <w:p w14:paraId="17BEF5E8" w14:textId="77777777" w:rsidR="00A052DC" w:rsidRDefault="009F0A60">
            <w:pPr>
              <w:rPr>
                <w:rFonts w:ascii="黑体" w:eastAsia="黑体" w:hAnsi="黑体" w:cs="宋体"/>
                <w:sz w:val="20"/>
                <w:szCs w:val="20"/>
              </w:rPr>
            </w:pPr>
            <w:r>
              <w:rPr>
                <w:rFonts w:ascii="黑体" w:eastAsia="黑体" w:hAnsi="黑体" w:hint="eastAsia"/>
                <w:sz w:val="20"/>
                <w:szCs w:val="20"/>
              </w:rPr>
              <w:t>数值型，22.0</w:t>
            </w:r>
          </w:p>
        </w:tc>
        <w:tc>
          <w:tcPr>
            <w:tcW w:w="1694" w:type="pct"/>
          </w:tcPr>
          <w:p w14:paraId="13EC70D1" w14:textId="77777777" w:rsidR="00A052DC" w:rsidRDefault="00A052DC">
            <w:pPr>
              <w:rPr>
                <w:rFonts w:ascii="黑体" w:eastAsia="黑体" w:hAnsi="黑体" w:cs="宋体"/>
                <w:sz w:val="20"/>
                <w:szCs w:val="20"/>
              </w:rPr>
            </w:pPr>
          </w:p>
        </w:tc>
      </w:tr>
      <w:tr w:rsidR="00A052DC" w14:paraId="21873319" w14:textId="77777777">
        <w:tc>
          <w:tcPr>
            <w:tcW w:w="1426" w:type="pct"/>
          </w:tcPr>
          <w:p w14:paraId="493CBEC9" w14:textId="77777777" w:rsidR="00A052DC" w:rsidRDefault="009F0A60">
            <w:pPr>
              <w:rPr>
                <w:rFonts w:ascii="黑体" w:eastAsia="黑体" w:hAnsi="黑体" w:cs="Microsoft Sans Serif"/>
                <w:sz w:val="20"/>
                <w:szCs w:val="20"/>
              </w:rPr>
            </w:pPr>
            <w:r>
              <w:rPr>
                <w:rFonts w:ascii="黑体" w:eastAsia="黑体" w:hAnsi="黑体" w:hint="eastAsia"/>
                <w:sz w:val="20"/>
                <w:szCs w:val="20"/>
              </w:rPr>
              <w:t>外汇账号/银行卡号</w:t>
            </w:r>
          </w:p>
        </w:tc>
        <w:tc>
          <w:tcPr>
            <w:tcW w:w="966" w:type="pct"/>
          </w:tcPr>
          <w:p w14:paraId="3A6FF1F9"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FCYACC</w:t>
            </w:r>
          </w:p>
        </w:tc>
        <w:tc>
          <w:tcPr>
            <w:tcW w:w="914" w:type="pct"/>
          </w:tcPr>
          <w:p w14:paraId="73A2A5D6" w14:textId="77777777" w:rsidR="00A052DC" w:rsidRDefault="009F0A60">
            <w:pPr>
              <w:rPr>
                <w:rFonts w:ascii="黑体" w:eastAsia="黑体" w:hAnsi="黑体" w:cs="宋体"/>
                <w:sz w:val="20"/>
                <w:szCs w:val="20"/>
              </w:rPr>
            </w:pPr>
            <w:r>
              <w:rPr>
                <w:rFonts w:ascii="黑体" w:eastAsia="黑体" w:hAnsi="黑体" w:hint="eastAsia"/>
                <w:sz w:val="20"/>
                <w:szCs w:val="20"/>
              </w:rPr>
              <w:t>字符型，32</w:t>
            </w:r>
          </w:p>
        </w:tc>
        <w:tc>
          <w:tcPr>
            <w:tcW w:w="1694" w:type="pct"/>
          </w:tcPr>
          <w:p w14:paraId="41C0EE6A" w14:textId="77777777" w:rsidR="00A052DC" w:rsidRDefault="00A052DC">
            <w:pPr>
              <w:rPr>
                <w:rFonts w:ascii="黑体" w:eastAsia="黑体" w:hAnsi="黑体" w:cs="宋体"/>
                <w:sz w:val="20"/>
                <w:szCs w:val="20"/>
              </w:rPr>
            </w:pPr>
          </w:p>
        </w:tc>
      </w:tr>
      <w:tr w:rsidR="00A052DC" w14:paraId="55FB8A76" w14:textId="77777777">
        <w:tc>
          <w:tcPr>
            <w:tcW w:w="1426" w:type="pct"/>
          </w:tcPr>
          <w:p w14:paraId="5AC010B6"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其他金额</w:t>
            </w:r>
          </w:p>
        </w:tc>
        <w:tc>
          <w:tcPr>
            <w:tcW w:w="966" w:type="pct"/>
          </w:tcPr>
          <w:p w14:paraId="154DECAA"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OTHAMT</w:t>
            </w:r>
          </w:p>
        </w:tc>
        <w:tc>
          <w:tcPr>
            <w:tcW w:w="914" w:type="pct"/>
          </w:tcPr>
          <w:p w14:paraId="697CE15D" w14:textId="77777777" w:rsidR="00A052DC" w:rsidRDefault="009F0A60">
            <w:pPr>
              <w:rPr>
                <w:rFonts w:ascii="黑体" w:eastAsia="黑体" w:hAnsi="黑体" w:cs="宋体"/>
                <w:sz w:val="20"/>
                <w:szCs w:val="20"/>
              </w:rPr>
            </w:pPr>
            <w:r>
              <w:rPr>
                <w:rFonts w:ascii="黑体" w:eastAsia="黑体" w:hAnsi="黑体" w:hint="eastAsia"/>
                <w:sz w:val="20"/>
                <w:szCs w:val="20"/>
              </w:rPr>
              <w:t>数值型，22.0</w:t>
            </w:r>
          </w:p>
        </w:tc>
        <w:tc>
          <w:tcPr>
            <w:tcW w:w="1694" w:type="pct"/>
          </w:tcPr>
          <w:p w14:paraId="76DEA20B" w14:textId="77777777" w:rsidR="00A052DC" w:rsidRDefault="00A052DC">
            <w:pPr>
              <w:rPr>
                <w:rFonts w:ascii="黑体" w:eastAsia="黑体" w:hAnsi="黑体" w:cs="宋体"/>
                <w:sz w:val="20"/>
                <w:szCs w:val="20"/>
              </w:rPr>
            </w:pPr>
          </w:p>
        </w:tc>
      </w:tr>
      <w:tr w:rsidR="00A052DC" w14:paraId="7DBAE666" w14:textId="77777777">
        <w:tc>
          <w:tcPr>
            <w:tcW w:w="1426" w:type="pct"/>
          </w:tcPr>
          <w:p w14:paraId="2DFBC47C"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其他账号</w:t>
            </w:r>
          </w:p>
        </w:tc>
        <w:tc>
          <w:tcPr>
            <w:tcW w:w="966" w:type="pct"/>
          </w:tcPr>
          <w:p w14:paraId="2EAD86F0"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OTHACC</w:t>
            </w:r>
          </w:p>
        </w:tc>
        <w:tc>
          <w:tcPr>
            <w:tcW w:w="914" w:type="pct"/>
          </w:tcPr>
          <w:p w14:paraId="521E8060" w14:textId="77777777" w:rsidR="00A052DC" w:rsidRDefault="009F0A60">
            <w:pPr>
              <w:rPr>
                <w:rFonts w:ascii="黑体" w:eastAsia="黑体" w:hAnsi="黑体" w:cs="宋体"/>
                <w:sz w:val="20"/>
                <w:szCs w:val="20"/>
              </w:rPr>
            </w:pPr>
            <w:r>
              <w:rPr>
                <w:rFonts w:ascii="黑体" w:eastAsia="黑体" w:hAnsi="黑体" w:hint="eastAsia"/>
                <w:sz w:val="20"/>
                <w:szCs w:val="20"/>
              </w:rPr>
              <w:t>字符型，32</w:t>
            </w:r>
          </w:p>
        </w:tc>
        <w:tc>
          <w:tcPr>
            <w:tcW w:w="1694" w:type="pct"/>
          </w:tcPr>
          <w:p w14:paraId="772FBEE2" w14:textId="77777777" w:rsidR="00A052DC" w:rsidRDefault="00A052DC">
            <w:pPr>
              <w:rPr>
                <w:rFonts w:ascii="黑体" w:eastAsia="黑体" w:hAnsi="黑体" w:cs="宋体"/>
                <w:sz w:val="20"/>
                <w:szCs w:val="20"/>
              </w:rPr>
            </w:pPr>
          </w:p>
        </w:tc>
      </w:tr>
      <w:tr w:rsidR="00A052DC" w14:paraId="4027A6BB" w14:textId="77777777">
        <w:tc>
          <w:tcPr>
            <w:tcW w:w="1426" w:type="pct"/>
          </w:tcPr>
          <w:p w14:paraId="0625D277"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结算方式</w:t>
            </w:r>
          </w:p>
        </w:tc>
        <w:tc>
          <w:tcPr>
            <w:tcW w:w="966" w:type="pct"/>
          </w:tcPr>
          <w:p w14:paraId="7407D8FF"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PAYMETHOD</w:t>
            </w:r>
          </w:p>
        </w:tc>
        <w:tc>
          <w:tcPr>
            <w:tcW w:w="914" w:type="pct"/>
          </w:tcPr>
          <w:p w14:paraId="6C1CB08F" w14:textId="77777777" w:rsidR="00A052DC" w:rsidRDefault="009F0A60">
            <w:pPr>
              <w:rPr>
                <w:rFonts w:ascii="黑体" w:eastAsia="黑体" w:hAnsi="黑体" w:cs="宋体"/>
                <w:sz w:val="20"/>
                <w:szCs w:val="20"/>
              </w:rPr>
            </w:pPr>
            <w:r>
              <w:rPr>
                <w:rFonts w:ascii="黑体" w:eastAsia="黑体" w:hAnsi="黑体" w:hint="eastAsia"/>
                <w:sz w:val="20"/>
                <w:szCs w:val="20"/>
              </w:rPr>
              <w:t>字符型，6</w:t>
            </w:r>
          </w:p>
        </w:tc>
        <w:tc>
          <w:tcPr>
            <w:tcW w:w="1694" w:type="pct"/>
          </w:tcPr>
          <w:p w14:paraId="23AE5CF4" w14:textId="77777777" w:rsidR="00A052DC" w:rsidRDefault="009F0A60">
            <w:pPr>
              <w:rPr>
                <w:rFonts w:ascii="黑体" w:eastAsia="黑体" w:hAnsi="黑体"/>
                <w:sz w:val="20"/>
                <w:szCs w:val="20"/>
              </w:rPr>
            </w:pPr>
            <w:r>
              <w:rPr>
                <w:rFonts w:ascii="黑体" w:eastAsia="黑体" w:hAnsi="黑体" w:hint="eastAsia"/>
                <w:sz w:val="20"/>
                <w:szCs w:val="20"/>
              </w:rPr>
              <w:t>L</w:t>
            </w:r>
            <w:r w:rsidR="00AE4602">
              <w:rPr>
                <w:rFonts w:ascii="黑体" w:eastAsia="黑体" w:hAnsi="黑体" w:hint="eastAsia"/>
                <w:sz w:val="20"/>
                <w:szCs w:val="20"/>
              </w:rPr>
              <w:t>-</w:t>
            </w:r>
            <w:r>
              <w:rPr>
                <w:rFonts w:ascii="黑体" w:eastAsia="黑体" w:hAnsi="黑体" w:hint="eastAsia"/>
                <w:sz w:val="20"/>
                <w:szCs w:val="20"/>
              </w:rPr>
              <w:t>信用证</w:t>
            </w:r>
          </w:p>
          <w:p w14:paraId="7330D1FB" w14:textId="77777777" w:rsidR="00A052DC" w:rsidRDefault="009F0A60">
            <w:pPr>
              <w:rPr>
                <w:rFonts w:ascii="黑体" w:eastAsia="黑体" w:hAnsi="黑体"/>
                <w:sz w:val="20"/>
                <w:szCs w:val="20"/>
              </w:rPr>
            </w:pPr>
            <w:r>
              <w:rPr>
                <w:rFonts w:ascii="黑体" w:eastAsia="黑体" w:hAnsi="黑体" w:hint="eastAsia"/>
                <w:sz w:val="20"/>
                <w:szCs w:val="20"/>
              </w:rPr>
              <w:t>C</w:t>
            </w:r>
            <w:r w:rsidR="00AE4602">
              <w:rPr>
                <w:rFonts w:ascii="黑体" w:eastAsia="黑体" w:hAnsi="黑体" w:hint="eastAsia"/>
                <w:sz w:val="20"/>
                <w:szCs w:val="20"/>
              </w:rPr>
              <w:t>-</w:t>
            </w:r>
            <w:r>
              <w:rPr>
                <w:rFonts w:ascii="黑体" w:eastAsia="黑体" w:hAnsi="黑体" w:hint="eastAsia"/>
                <w:sz w:val="20"/>
                <w:szCs w:val="20"/>
              </w:rPr>
              <w:t>托收</w:t>
            </w:r>
          </w:p>
          <w:p w14:paraId="32F4861E" w14:textId="77777777" w:rsidR="00A052DC" w:rsidRDefault="009F0A60">
            <w:pPr>
              <w:rPr>
                <w:rFonts w:ascii="黑体" w:eastAsia="黑体" w:hAnsi="黑体"/>
                <w:sz w:val="20"/>
                <w:szCs w:val="20"/>
              </w:rPr>
            </w:pPr>
            <w:r>
              <w:rPr>
                <w:rFonts w:ascii="黑体" w:eastAsia="黑体" w:hAnsi="黑体" w:hint="eastAsia"/>
                <w:sz w:val="20"/>
                <w:szCs w:val="20"/>
              </w:rPr>
              <w:t>G</w:t>
            </w:r>
            <w:r w:rsidR="00AE4602">
              <w:rPr>
                <w:rFonts w:ascii="黑体" w:eastAsia="黑体" w:hAnsi="黑体" w:hint="eastAsia"/>
                <w:sz w:val="20"/>
                <w:szCs w:val="20"/>
              </w:rPr>
              <w:t>-</w:t>
            </w:r>
            <w:r>
              <w:rPr>
                <w:rFonts w:ascii="黑体" w:eastAsia="黑体" w:hAnsi="黑体" w:hint="eastAsia"/>
                <w:sz w:val="20"/>
                <w:szCs w:val="20"/>
              </w:rPr>
              <w:t>保函</w:t>
            </w:r>
          </w:p>
          <w:p w14:paraId="69C9F128" w14:textId="77777777" w:rsidR="00A052DC" w:rsidRDefault="009F0A60">
            <w:pPr>
              <w:rPr>
                <w:rFonts w:ascii="黑体" w:eastAsia="黑体" w:hAnsi="黑体"/>
                <w:sz w:val="20"/>
                <w:szCs w:val="20"/>
              </w:rPr>
            </w:pPr>
            <w:r>
              <w:rPr>
                <w:rFonts w:ascii="黑体" w:eastAsia="黑体" w:hAnsi="黑体" w:hint="eastAsia"/>
                <w:sz w:val="20"/>
                <w:szCs w:val="20"/>
              </w:rPr>
              <w:t>T</w:t>
            </w:r>
            <w:r w:rsidR="00AE4602">
              <w:rPr>
                <w:rFonts w:ascii="黑体" w:eastAsia="黑体" w:hAnsi="黑体" w:hint="eastAsia"/>
                <w:sz w:val="20"/>
                <w:szCs w:val="20"/>
              </w:rPr>
              <w:t>-</w:t>
            </w:r>
            <w:r>
              <w:rPr>
                <w:rFonts w:ascii="黑体" w:eastAsia="黑体" w:hAnsi="黑体" w:hint="eastAsia"/>
                <w:sz w:val="20"/>
                <w:szCs w:val="20"/>
              </w:rPr>
              <w:t>电汇</w:t>
            </w:r>
          </w:p>
          <w:p w14:paraId="03357795" w14:textId="77777777" w:rsidR="00A052DC" w:rsidRDefault="009F0A60">
            <w:pPr>
              <w:rPr>
                <w:rFonts w:ascii="黑体" w:eastAsia="黑体" w:hAnsi="黑体"/>
                <w:sz w:val="20"/>
                <w:szCs w:val="20"/>
              </w:rPr>
            </w:pPr>
            <w:r>
              <w:rPr>
                <w:rFonts w:ascii="黑体" w:eastAsia="黑体" w:hAnsi="黑体" w:hint="eastAsia"/>
                <w:sz w:val="20"/>
                <w:szCs w:val="20"/>
              </w:rPr>
              <w:t>D</w:t>
            </w:r>
            <w:r w:rsidR="00AE4602">
              <w:rPr>
                <w:rFonts w:ascii="黑体" w:eastAsia="黑体" w:hAnsi="黑体" w:hint="eastAsia"/>
                <w:sz w:val="20"/>
                <w:szCs w:val="20"/>
              </w:rPr>
              <w:t>-</w:t>
            </w:r>
            <w:r>
              <w:rPr>
                <w:rFonts w:ascii="黑体" w:eastAsia="黑体" w:hAnsi="黑体" w:hint="eastAsia"/>
                <w:sz w:val="20"/>
                <w:szCs w:val="20"/>
              </w:rPr>
              <w:t>票汇</w:t>
            </w:r>
          </w:p>
          <w:p w14:paraId="35393FC2" w14:textId="77777777" w:rsidR="00A052DC" w:rsidRDefault="009F0A60">
            <w:pPr>
              <w:rPr>
                <w:rFonts w:ascii="黑体" w:eastAsia="黑体" w:hAnsi="黑体"/>
                <w:sz w:val="20"/>
                <w:szCs w:val="20"/>
              </w:rPr>
            </w:pPr>
            <w:r>
              <w:rPr>
                <w:rFonts w:ascii="黑体" w:eastAsia="黑体" w:hAnsi="黑体" w:hint="eastAsia"/>
                <w:sz w:val="20"/>
                <w:szCs w:val="20"/>
              </w:rPr>
              <w:t>M</w:t>
            </w:r>
            <w:r w:rsidR="00AE4602">
              <w:rPr>
                <w:rFonts w:ascii="黑体" w:eastAsia="黑体" w:hAnsi="黑体" w:hint="eastAsia"/>
                <w:sz w:val="20"/>
                <w:szCs w:val="20"/>
              </w:rPr>
              <w:t>-</w:t>
            </w:r>
            <w:r>
              <w:rPr>
                <w:rFonts w:ascii="黑体" w:eastAsia="黑体" w:hAnsi="黑体" w:hint="eastAsia"/>
                <w:sz w:val="20"/>
                <w:szCs w:val="20"/>
              </w:rPr>
              <w:t>信汇</w:t>
            </w:r>
          </w:p>
          <w:p w14:paraId="704FCAE5" w14:textId="77777777" w:rsidR="00A052DC" w:rsidRDefault="009F0A60">
            <w:pPr>
              <w:rPr>
                <w:rFonts w:ascii="黑体" w:eastAsia="黑体" w:hAnsi="黑体" w:cs="宋体"/>
                <w:sz w:val="20"/>
                <w:szCs w:val="20"/>
              </w:rPr>
            </w:pPr>
            <w:r>
              <w:rPr>
                <w:rFonts w:ascii="黑体" w:eastAsia="黑体" w:hAnsi="黑体" w:hint="eastAsia"/>
                <w:sz w:val="20"/>
                <w:szCs w:val="20"/>
              </w:rPr>
              <w:t>O</w:t>
            </w:r>
            <w:r w:rsidR="00AE4602">
              <w:rPr>
                <w:rFonts w:ascii="黑体" w:eastAsia="黑体" w:hAnsi="黑体" w:hint="eastAsia"/>
                <w:sz w:val="20"/>
                <w:szCs w:val="20"/>
              </w:rPr>
              <w:t>-</w:t>
            </w:r>
            <w:r>
              <w:rPr>
                <w:rFonts w:ascii="黑体" w:eastAsia="黑体" w:hAnsi="黑体" w:hint="eastAsia"/>
                <w:sz w:val="20"/>
                <w:szCs w:val="20"/>
              </w:rPr>
              <w:t>其他</w:t>
            </w:r>
          </w:p>
        </w:tc>
      </w:tr>
      <w:tr w:rsidR="00A052DC" w14:paraId="3F40B90F" w14:textId="77777777">
        <w:tc>
          <w:tcPr>
            <w:tcW w:w="1426" w:type="pct"/>
          </w:tcPr>
          <w:p w14:paraId="4C34315E"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银行业务编码</w:t>
            </w:r>
          </w:p>
        </w:tc>
        <w:tc>
          <w:tcPr>
            <w:tcW w:w="966" w:type="pct"/>
          </w:tcPr>
          <w:p w14:paraId="0956D066"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BUSICODE</w:t>
            </w:r>
          </w:p>
        </w:tc>
        <w:tc>
          <w:tcPr>
            <w:tcW w:w="914" w:type="pct"/>
          </w:tcPr>
          <w:p w14:paraId="62858616" w14:textId="77777777" w:rsidR="00A052DC" w:rsidRDefault="009F0A60">
            <w:pPr>
              <w:rPr>
                <w:rFonts w:ascii="黑体" w:eastAsia="黑体" w:hAnsi="黑体" w:cs="宋体"/>
                <w:sz w:val="20"/>
                <w:szCs w:val="20"/>
              </w:rPr>
            </w:pPr>
            <w:r>
              <w:rPr>
                <w:rFonts w:ascii="黑体" w:eastAsia="黑体" w:hAnsi="黑体" w:hint="eastAsia"/>
                <w:sz w:val="20"/>
                <w:szCs w:val="20"/>
              </w:rPr>
              <w:t>字符型，22</w:t>
            </w:r>
          </w:p>
        </w:tc>
        <w:tc>
          <w:tcPr>
            <w:tcW w:w="1694" w:type="pct"/>
          </w:tcPr>
          <w:p w14:paraId="3775DA33" w14:textId="77777777" w:rsidR="00A052DC" w:rsidRDefault="00A052DC">
            <w:pPr>
              <w:rPr>
                <w:rFonts w:ascii="黑体" w:eastAsia="黑体" w:hAnsi="黑体" w:cs="宋体"/>
                <w:sz w:val="20"/>
                <w:szCs w:val="20"/>
              </w:rPr>
            </w:pPr>
          </w:p>
        </w:tc>
      </w:tr>
      <w:tr w:rsidR="00A052DC" w14:paraId="79FE952C" w14:textId="77777777">
        <w:tc>
          <w:tcPr>
            <w:tcW w:w="1426" w:type="pct"/>
          </w:tcPr>
          <w:p w14:paraId="310848D2" w14:textId="77777777" w:rsidR="00A052DC" w:rsidRDefault="009F0A60">
            <w:pPr>
              <w:rPr>
                <w:rFonts w:ascii="黑体" w:eastAsia="黑体" w:hAnsi="黑体" w:cs="Microsoft Sans Serif"/>
                <w:sz w:val="20"/>
                <w:szCs w:val="20"/>
              </w:rPr>
            </w:pPr>
            <w:r>
              <w:rPr>
                <w:rFonts w:ascii="黑体" w:eastAsia="黑体" w:hAnsi="黑体" w:hint="eastAsia"/>
                <w:sz w:val="20"/>
                <w:szCs w:val="20"/>
              </w:rPr>
              <w:t>国内银行扣费币种</w:t>
            </w:r>
          </w:p>
        </w:tc>
        <w:tc>
          <w:tcPr>
            <w:tcW w:w="966" w:type="pct"/>
          </w:tcPr>
          <w:p w14:paraId="25DE67FF"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INCHARGECCY</w:t>
            </w:r>
          </w:p>
        </w:tc>
        <w:tc>
          <w:tcPr>
            <w:tcW w:w="914" w:type="pct"/>
          </w:tcPr>
          <w:p w14:paraId="604874F5" w14:textId="77777777" w:rsidR="00A052DC" w:rsidRDefault="009F0A60">
            <w:pPr>
              <w:rPr>
                <w:rFonts w:ascii="黑体" w:eastAsia="黑体" w:hAnsi="黑体" w:cs="宋体"/>
                <w:sz w:val="20"/>
                <w:szCs w:val="20"/>
              </w:rPr>
            </w:pPr>
            <w:r>
              <w:rPr>
                <w:rFonts w:ascii="黑体" w:eastAsia="黑体" w:hAnsi="黑体" w:hint="eastAsia"/>
                <w:sz w:val="20"/>
                <w:szCs w:val="20"/>
              </w:rPr>
              <w:t>字符型，3</w:t>
            </w:r>
          </w:p>
        </w:tc>
        <w:tc>
          <w:tcPr>
            <w:tcW w:w="1694" w:type="pct"/>
          </w:tcPr>
          <w:p w14:paraId="56BBB43E" w14:textId="77777777" w:rsidR="00A052DC" w:rsidRDefault="00A052DC">
            <w:pPr>
              <w:rPr>
                <w:rFonts w:ascii="黑体" w:eastAsia="黑体" w:hAnsi="黑体" w:cs="宋体"/>
                <w:sz w:val="20"/>
                <w:szCs w:val="20"/>
              </w:rPr>
            </w:pPr>
          </w:p>
        </w:tc>
      </w:tr>
      <w:tr w:rsidR="00A052DC" w14:paraId="65F5804E" w14:textId="77777777">
        <w:tc>
          <w:tcPr>
            <w:tcW w:w="1426" w:type="pct"/>
          </w:tcPr>
          <w:p w14:paraId="36ADB358" w14:textId="77777777" w:rsidR="00A052DC" w:rsidRDefault="009F0A60">
            <w:pPr>
              <w:rPr>
                <w:rFonts w:ascii="黑体" w:eastAsia="黑体" w:hAnsi="黑体" w:cs="Microsoft Sans Serif"/>
                <w:sz w:val="20"/>
                <w:szCs w:val="20"/>
              </w:rPr>
            </w:pPr>
            <w:r>
              <w:rPr>
                <w:rFonts w:ascii="黑体" w:eastAsia="黑体" w:hAnsi="黑体" w:hint="eastAsia"/>
                <w:sz w:val="20"/>
                <w:szCs w:val="20"/>
              </w:rPr>
              <w:t>国内银行扣费金额</w:t>
            </w:r>
          </w:p>
        </w:tc>
        <w:tc>
          <w:tcPr>
            <w:tcW w:w="966" w:type="pct"/>
          </w:tcPr>
          <w:p w14:paraId="40C60246"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INCHARGEAMT</w:t>
            </w:r>
          </w:p>
        </w:tc>
        <w:tc>
          <w:tcPr>
            <w:tcW w:w="914" w:type="pct"/>
          </w:tcPr>
          <w:p w14:paraId="0751FFF7" w14:textId="77777777" w:rsidR="00A052DC" w:rsidRDefault="009F0A60">
            <w:pPr>
              <w:rPr>
                <w:rFonts w:ascii="黑体" w:eastAsia="黑体" w:hAnsi="黑体" w:cs="宋体"/>
                <w:sz w:val="20"/>
                <w:szCs w:val="20"/>
              </w:rPr>
            </w:pPr>
            <w:r>
              <w:rPr>
                <w:rFonts w:ascii="黑体" w:eastAsia="黑体" w:hAnsi="黑体" w:hint="eastAsia"/>
                <w:sz w:val="20"/>
                <w:szCs w:val="20"/>
              </w:rPr>
              <w:t>数值型，22.0</w:t>
            </w:r>
          </w:p>
        </w:tc>
        <w:tc>
          <w:tcPr>
            <w:tcW w:w="1694" w:type="pct"/>
          </w:tcPr>
          <w:p w14:paraId="6FD5539C" w14:textId="77777777" w:rsidR="00A052DC" w:rsidRDefault="00A052DC">
            <w:pPr>
              <w:rPr>
                <w:rFonts w:ascii="黑体" w:eastAsia="黑体" w:hAnsi="黑体" w:cs="宋体"/>
                <w:sz w:val="20"/>
                <w:szCs w:val="20"/>
              </w:rPr>
            </w:pPr>
          </w:p>
        </w:tc>
      </w:tr>
      <w:tr w:rsidR="00A052DC" w14:paraId="38300369" w14:textId="77777777">
        <w:tc>
          <w:tcPr>
            <w:tcW w:w="1426" w:type="pct"/>
          </w:tcPr>
          <w:p w14:paraId="16481B43" w14:textId="77777777" w:rsidR="00A052DC" w:rsidRDefault="009F0A60">
            <w:pPr>
              <w:rPr>
                <w:rFonts w:ascii="黑体" w:eastAsia="黑体" w:hAnsi="黑体" w:cs="Microsoft Sans Serif"/>
                <w:sz w:val="20"/>
                <w:szCs w:val="20"/>
              </w:rPr>
            </w:pPr>
            <w:r>
              <w:rPr>
                <w:rFonts w:ascii="黑体" w:eastAsia="黑体" w:hAnsi="黑体" w:hint="eastAsia"/>
                <w:sz w:val="20"/>
                <w:szCs w:val="20"/>
              </w:rPr>
              <w:t>是否保税货物项下收汇</w:t>
            </w:r>
          </w:p>
        </w:tc>
        <w:tc>
          <w:tcPr>
            <w:tcW w:w="966" w:type="pct"/>
          </w:tcPr>
          <w:p w14:paraId="674A9488"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ISWRITEOFF</w:t>
            </w:r>
          </w:p>
        </w:tc>
        <w:tc>
          <w:tcPr>
            <w:tcW w:w="914" w:type="pct"/>
          </w:tcPr>
          <w:p w14:paraId="33311247" w14:textId="77777777" w:rsidR="00A052DC" w:rsidRDefault="009F0A60">
            <w:pPr>
              <w:rPr>
                <w:rFonts w:ascii="黑体" w:eastAsia="黑体" w:hAnsi="黑体" w:cs="宋体"/>
                <w:sz w:val="20"/>
                <w:szCs w:val="20"/>
              </w:rPr>
            </w:pPr>
            <w:r>
              <w:rPr>
                <w:rFonts w:ascii="黑体" w:eastAsia="黑体" w:hAnsi="黑体" w:hint="eastAsia"/>
                <w:sz w:val="20"/>
                <w:szCs w:val="20"/>
              </w:rPr>
              <w:t>字符型，1</w:t>
            </w:r>
          </w:p>
        </w:tc>
        <w:tc>
          <w:tcPr>
            <w:tcW w:w="1694" w:type="pct"/>
          </w:tcPr>
          <w:p w14:paraId="7C9704B5" w14:textId="77777777" w:rsidR="00A052DC" w:rsidRDefault="009F0A60">
            <w:pPr>
              <w:rPr>
                <w:rFonts w:ascii="黑体" w:eastAsia="黑体" w:hAnsi="黑体" w:cs="宋体"/>
                <w:sz w:val="20"/>
                <w:szCs w:val="20"/>
              </w:rPr>
            </w:pPr>
            <w:r>
              <w:rPr>
                <w:rFonts w:ascii="黑体" w:eastAsia="黑体" w:hAnsi="黑体" w:cs="宋体" w:hint="eastAsia"/>
                <w:sz w:val="20"/>
                <w:szCs w:val="20"/>
              </w:rPr>
              <w:t>Y-是</w:t>
            </w:r>
          </w:p>
          <w:p w14:paraId="489C8891" w14:textId="77777777" w:rsidR="00A052DC" w:rsidRDefault="009F0A60">
            <w:pPr>
              <w:rPr>
                <w:rFonts w:ascii="黑体" w:eastAsia="黑体" w:hAnsi="黑体" w:cs="宋体"/>
                <w:sz w:val="20"/>
                <w:szCs w:val="20"/>
              </w:rPr>
            </w:pPr>
            <w:r>
              <w:rPr>
                <w:rFonts w:ascii="黑体" w:eastAsia="黑体" w:hAnsi="黑体" w:cs="宋体" w:hint="eastAsia"/>
                <w:sz w:val="20"/>
                <w:szCs w:val="20"/>
              </w:rPr>
              <w:t>N-否</w:t>
            </w:r>
          </w:p>
        </w:tc>
      </w:tr>
      <w:tr w:rsidR="00A052DC" w14:paraId="30D0C5A7" w14:textId="77777777">
        <w:tc>
          <w:tcPr>
            <w:tcW w:w="1426" w:type="pct"/>
          </w:tcPr>
          <w:p w14:paraId="24FF99BB" w14:textId="77777777" w:rsidR="00A052DC" w:rsidRDefault="009F0A60">
            <w:pPr>
              <w:rPr>
                <w:rFonts w:ascii="黑体" w:eastAsia="黑体" w:hAnsi="黑体" w:cs="Microsoft Sans Serif"/>
                <w:sz w:val="20"/>
                <w:szCs w:val="20"/>
              </w:rPr>
            </w:pPr>
            <w:r>
              <w:rPr>
                <w:rFonts w:ascii="黑体" w:eastAsia="黑体" w:hAnsi="黑体" w:hint="eastAsia"/>
                <w:sz w:val="20"/>
                <w:szCs w:val="20"/>
              </w:rPr>
              <w:t>境内收入类型</w:t>
            </w:r>
          </w:p>
        </w:tc>
        <w:tc>
          <w:tcPr>
            <w:tcW w:w="966" w:type="pct"/>
          </w:tcPr>
          <w:p w14:paraId="7CB95274"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PAYATTR</w:t>
            </w:r>
          </w:p>
        </w:tc>
        <w:tc>
          <w:tcPr>
            <w:tcW w:w="914" w:type="pct"/>
          </w:tcPr>
          <w:p w14:paraId="6C9D1CD5" w14:textId="77777777" w:rsidR="00A052DC" w:rsidRDefault="009F0A60">
            <w:pPr>
              <w:rPr>
                <w:rFonts w:ascii="黑体" w:eastAsia="黑体" w:hAnsi="黑体" w:cs="宋体"/>
                <w:sz w:val="20"/>
                <w:szCs w:val="20"/>
              </w:rPr>
            </w:pPr>
            <w:r>
              <w:rPr>
                <w:rFonts w:ascii="黑体" w:eastAsia="黑体" w:hAnsi="黑体" w:hint="eastAsia"/>
                <w:sz w:val="20"/>
                <w:szCs w:val="20"/>
              </w:rPr>
              <w:t>字符型，1</w:t>
            </w:r>
          </w:p>
        </w:tc>
        <w:tc>
          <w:tcPr>
            <w:tcW w:w="1694" w:type="pct"/>
          </w:tcPr>
          <w:p w14:paraId="6267F869" w14:textId="77777777" w:rsidR="00A052DC" w:rsidRDefault="009F0A60">
            <w:pPr>
              <w:rPr>
                <w:rFonts w:ascii="黑体" w:eastAsia="黑体" w:hAnsi="黑体"/>
                <w:sz w:val="20"/>
                <w:szCs w:val="20"/>
              </w:rPr>
            </w:pPr>
            <w:r>
              <w:rPr>
                <w:rFonts w:ascii="黑体" w:eastAsia="黑体" w:hAnsi="黑体" w:hint="eastAsia"/>
                <w:sz w:val="20"/>
                <w:szCs w:val="20"/>
              </w:rPr>
              <w:t>M-深加工结转</w:t>
            </w:r>
          </w:p>
          <w:p w14:paraId="49B1B6AD" w14:textId="77777777" w:rsidR="00A052DC" w:rsidRDefault="009F0A60">
            <w:pPr>
              <w:rPr>
                <w:rFonts w:ascii="黑体" w:eastAsia="黑体" w:hAnsi="黑体"/>
                <w:sz w:val="20"/>
                <w:szCs w:val="20"/>
              </w:rPr>
            </w:pPr>
            <w:r>
              <w:rPr>
                <w:rFonts w:ascii="黑体" w:eastAsia="黑体" w:hAnsi="黑体" w:hint="eastAsia"/>
                <w:sz w:val="20"/>
                <w:szCs w:val="20"/>
              </w:rPr>
              <w:t>X-保税区</w:t>
            </w:r>
          </w:p>
          <w:p w14:paraId="41B9DF38" w14:textId="77777777" w:rsidR="00A052DC" w:rsidRDefault="009F0A60">
            <w:pPr>
              <w:rPr>
                <w:rFonts w:ascii="黑体" w:eastAsia="黑体" w:hAnsi="黑体"/>
                <w:sz w:val="20"/>
                <w:szCs w:val="20"/>
              </w:rPr>
            </w:pPr>
            <w:r>
              <w:rPr>
                <w:rFonts w:ascii="黑体" w:eastAsia="黑体" w:hAnsi="黑体" w:hint="eastAsia"/>
                <w:sz w:val="20"/>
                <w:szCs w:val="20"/>
              </w:rPr>
              <w:t>E-出口加工区</w:t>
            </w:r>
          </w:p>
          <w:p w14:paraId="12B52F0E" w14:textId="77777777" w:rsidR="00A052DC" w:rsidRDefault="009F0A60">
            <w:pPr>
              <w:rPr>
                <w:rFonts w:ascii="黑体" w:eastAsia="黑体" w:hAnsi="黑体"/>
                <w:sz w:val="20"/>
                <w:szCs w:val="20"/>
              </w:rPr>
            </w:pPr>
            <w:r>
              <w:rPr>
                <w:rFonts w:ascii="黑体" w:eastAsia="黑体" w:hAnsi="黑体" w:hint="eastAsia"/>
                <w:sz w:val="20"/>
                <w:szCs w:val="20"/>
              </w:rPr>
              <w:t>D-钻石交易所</w:t>
            </w:r>
          </w:p>
          <w:p w14:paraId="4BDAD90B" w14:textId="77777777" w:rsidR="00A052DC" w:rsidRDefault="009F0A60">
            <w:pPr>
              <w:rPr>
                <w:rFonts w:ascii="黑体" w:eastAsia="黑体" w:hAnsi="黑体"/>
                <w:sz w:val="20"/>
                <w:szCs w:val="20"/>
              </w:rPr>
            </w:pPr>
            <w:r>
              <w:rPr>
                <w:rFonts w:ascii="黑体" w:eastAsia="黑体" w:hAnsi="黑体" w:hint="eastAsia"/>
                <w:sz w:val="20"/>
                <w:szCs w:val="20"/>
              </w:rPr>
              <w:t>A-其他特殊经济区</w:t>
            </w:r>
          </w:p>
          <w:p w14:paraId="25C5543D" w14:textId="77777777" w:rsidR="00A052DC" w:rsidRDefault="009F0A60">
            <w:pPr>
              <w:rPr>
                <w:rFonts w:ascii="黑体" w:eastAsia="黑体" w:hAnsi="黑体"/>
                <w:sz w:val="20"/>
                <w:szCs w:val="20"/>
              </w:rPr>
            </w:pPr>
            <w:r>
              <w:rPr>
                <w:rFonts w:ascii="黑体" w:eastAsia="黑体" w:hAnsi="黑体" w:hint="eastAsia"/>
                <w:sz w:val="20"/>
                <w:szCs w:val="20"/>
              </w:rPr>
              <w:t>R-汇路引起出口项下跨境收入</w:t>
            </w:r>
          </w:p>
          <w:p w14:paraId="1E3D6873" w14:textId="77777777" w:rsidR="00A052DC" w:rsidRDefault="009F0A60">
            <w:pPr>
              <w:rPr>
                <w:rFonts w:ascii="黑体" w:eastAsia="黑体" w:hAnsi="黑体"/>
                <w:sz w:val="20"/>
                <w:szCs w:val="20"/>
              </w:rPr>
            </w:pPr>
            <w:r>
              <w:rPr>
                <w:rFonts w:ascii="黑体" w:eastAsia="黑体" w:hAnsi="黑体" w:hint="eastAsia"/>
                <w:sz w:val="20"/>
                <w:szCs w:val="20"/>
              </w:rPr>
              <w:t>C-出口信用保险理赔</w:t>
            </w:r>
          </w:p>
          <w:p w14:paraId="34DCD7C6" w14:textId="77777777" w:rsidR="00A052DC" w:rsidRDefault="009F0A60">
            <w:pPr>
              <w:rPr>
                <w:rFonts w:ascii="黑体" w:eastAsia="黑体" w:hAnsi="黑体"/>
                <w:sz w:val="20"/>
                <w:szCs w:val="20"/>
              </w:rPr>
            </w:pPr>
            <w:r>
              <w:rPr>
                <w:rFonts w:ascii="黑体" w:eastAsia="黑体" w:hAnsi="黑体" w:hint="eastAsia"/>
                <w:sz w:val="20"/>
                <w:szCs w:val="20"/>
              </w:rPr>
              <w:t>I-出口货物保险理赔</w:t>
            </w:r>
          </w:p>
          <w:p w14:paraId="174E9229" w14:textId="77777777" w:rsidR="00A052DC" w:rsidRDefault="009F0A60">
            <w:pPr>
              <w:rPr>
                <w:rFonts w:ascii="黑体" w:eastAsia="黑体" w:hAnsi="黑体"/>
                <w:sz w:val="20"/>
                <w:szCs w:val="20"/>
              </w:rPr>
            </w:pPr>
            <w:r>
              <w:rPr>
                <w:rFonts w:ascii="黑体" w:eastAsia="黑体" w:hAnsi="黑体" w:hint="eastAsia"/>
                <w:sz w:val="20"/>
                <w:szCs w:val="20"/>
              </w:rPr>
              <w:t>N-买方信贷</w:t>
            </w:r>
          </w:p>
          <w:p w14:paraId="3C49F075" w14:textId="77777777" w:rsidR="00A052DC" w:rsidRDefault="009F0A60">
            <w:pPr>
              <w:rPr>
                <w:rFonts w:ascii="黑体" w:eastAsia="黑体" w:hAnsi="黑体"/>
                <w:sz w:val="20"/>
                <w:szCs w:val="20"/>
              </w:rPr>
            </w:pPr>
            <w:r>
              <w:rPr>
                <w:rFonts w:ascii="黑体" w:eastAsia="黑体" w:hAnsi="黑体" w:hint="eastAsia"/>
                <w:sz w:val="20"/>
                <w:szCs w:val="20"/>
              </w:rPr>
              <w:t>L-转让信用证</w:t>
            </w:r>
          </w:p>
          <w:p w14:paraId="7B9A8FDE" w14:textId="77777777" w:rsidR="00A052DC" w:rsidRDefault="009F0A60">
            <w:pPr>
              <w:rPr>
                <w:rFonts w:ascii="黑体" w:eastAsia="黑体" w:hAnsi="黑体"/>
                <w:sz w:val="20"/>
                <w:szCs w:val="20"/>
              </w:rPr>
            </w:pPr>
            <w:r>
              <w:rPr>
                <w:rFonts w:ascii="黑体" w:eastAsia="黑体" w:hAnsi="黑体" w:hint="eastAsia"/>
                <w:sz w:val="20"/>
                <w:szCs w:val="20"/>
              </w:rPr>
              <w:t>B-背对背信用证</w:t>
            </w:r>
          </w:p>
          <w:p w14:paraId="738E2FE8" w14:textId="77777777" w:rsidR="00A052DC" w:rsidRDefault="009F0A60">
            <w:pPr>
              <w:rPr>
                <w:rFonts w:ascii="黑体" w:eastAsia="黑体" w:hAnsi="黑体" w:cs="宋体"/>
                <w:sz w:val="20"/>
                <w:szCs w:val="20"/>
              </w:rPr>
            </w:pPr>
            <w:r>
              <w:rPr>
                <w:rFonts w:ascii="黑体" w:eastAsia="黑体" w:hAnsi="黑体" w:hint="eastAsia"/>
                <w:sz w:val="20"/>
                <w:szCs w:val="20"/>
              </w:rPr>
              <w:t>O-其他</w:t>
            </w:r>
          </w:p>
        </w:tc>
      </w:tr>
      <w:tr w:rsidR="00A052DC" w14:paraId="3DD47180" w14:textId="77777777">
        <w:tc>
          <w:tcPr>
            <w:tcW w:w="1426" w:type="pct"/>
          </w:tcPr>
          <w:p w14:paraId="543B6093" w14:textId="77777777" w:rsidR="00A052DC" w:rsidRDefault="009F0A60">
            <w:pPr>
              <w:rPr>
                <w:rFonts w:ascii="黑体" w:eastAsia="黑体" w:hAnsi="黑体" w:cs="Microsoft Sans Serif"/>
                <w:sz w:val="20"/>
                <w:szCs w:val="20"/>
              </w:rPr>
            </w:pPr>
            <w:r>
              <w:rPr>
                <w:rFonts w:ascii="黑体" w:eastAsia="黑体" w:hAnsi="黑体" w:hint="eastAsia"/>
                <w:sz w:val="20"/>
                <w:szCs w:val="20"/>
              </w:rPr>
              <w:t>收款性质</w:t>
            </w:r>
          </w:p>
        </w:tc>
        <w:tc>
          <w:tcPr>
            <w:tcW w:w="966" w:type="pct"/>
          </w:tcPr>
          <w:p w14:paraId="04F4B721"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PAYTYPE</w:t>
            </w:r>
          </w:p>
        </w:tc>
        <w:tc>
          <w:tcPr>
            <w:tcW w:w="914" w:type="pct"/>
          </w:tcPr>
          <w:p w14:paraId="3B222AA8" w14:textId="77777777" w:rsidR="00A052DC" w:rsidRDefault="009F0A60">
            <w:pPr>
              <w:rPr>
                <w:rFonts w:ascii="黑体" w:eastAsia="黑体" w:hAnsi="黑体" w:cs="宋体"/>
                <w:sz w:val="20"/>
                <w:szCs w:val="20"/>
              </w:rPr>
            </w:pPr>
            <w:r>
              <w:rPr>
                <w:rFonts w:ascii="黑体" w:eastAsia="黑体" w:hAnsi="黑体" w:hint="eastAsia"/>
                <w:sz w:val="20"/>
                <w:szCs w:val="20"/>
              </w:rPr>
              <w:t>字符型，1</w:t>
            </w:r>
          </w:p>
        </w:tc>
        <w:tc>
          <w:tcPr>
            <w:tcW w:w="1694" w:type="pct"/>
          </w:tcPr>
          <w:p w14:paraId="28CB3551" w14:textId="77777777" w:rsidR="00A052DC" w:rsidRDefault="009F0A60">
            <w:pPr>
              <w:rPr>
                <w:rFonts w:ascii="黑体" w:eastAsia="黑体" w:hAnsi="黑体"/>
                <w:sz w:val="20"/>
                <w:szCs w:val="20"/>
              </w:rPr>
            </w:pPr>
            <w:r>
              <w:rPr>
                <w:rFonts w:ascii="黑体" w:eastAsia="黑体" w:hAnsi="黑体" w:hint="eastAsia"/>
                <w:sz w:val="20"/>
                <w:szCs w:val="20"/>
              </w:rPr>
              <w:t>A</w:t>
            </w:r>
            <w:r w:rsidR="00AE4602">
              <w:rPr>
                <w:rFonts w:ascii="黑体" w:eastAsia="黑体" w:hAnsi="黑体" w:hint="eastAsia"/>
                <w:sz w:val="20"/>
                <w:szCs w:val="20"/>
              </w:rPr>
              <w:t>-</w:t>
            </w:r>
            <w:r>
              <w:rPr>
                <w:rFonts w:ascii="黑体" w:eastAsia="黑体" w:hAnsi="黑体" w:hint="eastAsia"/>
                <w:sz w:val="20"/>
                <w:szCs w:val="20"/>
              </w:rPr>
              <w:t>预收款</w:t>
            </w:r>
          </w:p>
          <w:p w14:paraId="16C92671" w14:textId="77777777" w:rsidR="00A052DC" w:rsidRDefault="009F0A60">
            <w:pPr>
              <w:rPr>
                <w:rFonts w:ascii="黑体" w:eastAsia="黑体" w:hAnsi="黑体" w:cs="宋体"/>
                <w:sz w:val="20"/>
                <w:szCs w:val="20"/>
              </w:rPr>
            </w:pPr>
            <w:r>
              <w:rPr>
                <w:rFonts w:ascii="黑体" w:eastAsia="黑体" w:hAnsi="黑体" w:hint="eastAsia"/>
                <w:sz w:val="20"/>
                <w:szCs w:val="20"/>
              </w:rPr>
              <w:t>O</w:t>
            </w:r>
            <w:r w:rsidR="00AE4602">
              <w:rPr>
                <w:rFonts w:ascii="黑体" w:eastAsia="黑体" w:hAnsi="黑体" w:hint="eastAsia"/>
                <w:sz w:val="20"/>
                <w:szCs w:val="20"/>
              </w:rPr>
              <w:t>-</w:t>
            </w:r>
            <w:r>
              <w:rPr>
                <w:rFonts w:ascii="黑体" w:eastAsia="黑体" w:hAnsi="黑体" w:hint="eastAsia"/>
                <w:sz w:val="20"/>
                <w:szCs w:val="20"/>
              </w:rPr>
              <w:t>其他</w:t>
            </w:r>
          </w:p>
        </w:tc>
      </w:tr>
      <w:tr w:rsidR="00A052DC" w14:paraId="0D9EABC6" w14:textId="77777777">
        <w:tc>
          <w:tcPr>
            <w:tcW w:w="1426" w:type="pct"/>
          </w:tcPr>
          <w:p w14:paraId="1A131B09"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交易编码1</w:t>
            </w:r>
          </w:p>
        </w:tc>
        <w:tc>
          <w:tcPr>
            <w:tcW w:w="966" w:type="pct"/>
          </w:tcPr>
          <w:p w14:paraId="6A00F272"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TXCODE1</w:t>
            </w:r>
          </w:p>
        </w:tc>
        <w:tc>
          <w:tcPr>
            <w:tcW w:w="914" w:type="pct"/>
          </w:tcPr>
          <w:p w14:paraId="4161F8E0" w14:textId="77777777" w:rsidR="00A052DC" w:rsidRDefault="009F0A60">
            <w:pPr>
              <w:rPr>
                <w:rFonts w:ascii="黑体" w:eastAsia="黑体" w:hAnsi="黑体" w:cs="宋体"/>
                <w:sz w:val="20"/>
                <w:szCs w:val="20"/>
              </w:rPr>
            </w:pPr>
            <w:r>
              <w:rPr>
                <w:rFonts w:ascii="黑体" w:eastAsia="黑体" w:hAnsi="黑体" w:hint="eastAsia"/>
                <w:sz w:val="20"/>
                <w:szCs w:val="20"/>
              </w:rPr>
              <w:t>字符型，6</w:t>
            </w:r>
          </w:p>
        </w:tc>
        <w:tc>
          <w:tcPr>
            <w:tcW w:w="1694" w:type="pct"/>
          </w:tcPr>
          <w:p w14:paraId="66956DB5" w14:textId="77777777" w:rsidR="00A052DC" w:rsidRDefault="00A052DC">
            <w:pPr>
              <w:rPr>
                <w:rFonts w:ascii="黑体" w:eastAsia="黑体" w:hAnsi="黑体" w:cs="宋体"/>
                <w:sz w:val="20"/>
                <w:szCs w:val="20"/>
              </w:rPr>
            </w:pPr>
          </w:p>
        </w:tc>
      </w:tr>
      <w:tr w:rsidR="00A052DC" w14:paraId="2E591C4A" w14:textId="77777777">
        <w:tc>
          <w:tcPr>
            <w:tcW w:w="1426" w:type="pct"/>
          </w:tcPr>
          <w:p w14:paraId="1B307771"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相应金额1</w:t>
            </w:r>
          </w:p>
        </w:tc>
        <w:tc>
          <w:tcPr>
            <w:tcW w:w="966" w:type="pct"/>
          </w:tcPr>
          <w:p w14:paraId="2D62D97B"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TXAMT1</w:t>
            </w:r>
          </w:p>
        </w:tc>
        <w:tc>
          <w:tcPr>
            <w:tcW w:w="914" w:type="pct"/>
          </w:tcPr>
          <w:p w14:paraId="443E1CB3" w14:textId="77777777" w:rsidR="00A052DC" w:rsidRDefault="009F0A60">
            <w:pPr>
              <w:rPr>
                <w:rFonts w:ascii="黑体" w:eastAsia="黑体" w:hAnsi="黑体" w:cs="宋体"/>
                <w:sz w:val="20"/>
                <w:szCs w:val="20"/>
              </w:rPr>
            </w:pPr>
            <w:r>
              <w:rPr>
                <w:rFonts w:ascii="黑体" w:eastAsia="黑体" w:hAnsi="黑体" w:hint="eastAsia"/>
                <w:sz w:val="20"/>
                <w:szCs w:val="20"/>
              </w:rPr>
              <w:t>数值型，22.0</w:t>
            </w:r>
          </w:p>
        </w:tc>
        <w:tc>
          <w:tcPr>
            <w:tcW w:w="1694" w:type="pct"/>
          </w:tcPr>
          <w:p w14:paraId="1DDFD0C7" w14:textId="77777777" w:rsidR="00A052DC" w:rsidRDefault="00A052DC">
            <w:pPr>
              <w:rPr>
                <w:rFonts w:ascii="黑体" w:eastAsia="黑体" w:hAnsi="黑体" w:cs="宋体"/>
                <w:sz w:val="20"/>
                <w:szCs w:val="20"/>
              </w:rPr>
            </w:pPr>
          </w:p>
        </w:tc>
      </w:tr>
      <w:tr w:rsidR="00A052DC" w14:paraId="1D78853F" w14:textId="77777777">
        <w:tc>
          <w:tcPr>
            <w:tcW w:w="1426" w:type="pct"/>
          </w:tcPr>
          <w:p w14:paraId="2B9F0CFD"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交易附言1</w:t>
            </w:r>
          </w:p>
        </w:tc>
        <w:tc>
          <w:tcPr>
            <w:tcW w:w="966" w:type="pct"/>
          </w:tcPr>
          <w:p w14:paraId="0FC2120A"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TXREM1</w:t>
            </w:r>
          </w:p>
        </w:tc>
        <w:tc>
          <w:tcPr>
            <w:tcW w:w="914" w:type="pct"/>
          </w:tcPr>
          <w:p w14:paraId="233AD217" w14:textId="77777777" w:rsidR="00A052DC" w:rsidRDefault="009F0A60">
            <w:pPr>
              <w:rPr>
                <w:rFonts w:ascii="黑体" w:eastAsia="黑体" w:hAnsi="黑体" w:cs="宋体"/>
                <w:sz w:val="20"/>
                <w:szCs w:val="20"/>
              </w:rPr>
            </w:pPr>
            <w:r>
              <w:rPr>
                <w:rFonts w:ascii="黑体" w:eastAsia="黑体" w:hAnsi="黑体" w:hint="eastAsia"/>
                <w:sz w:val="20"/>
                <w:szCs w:val="20"/>
              </w:rPr>
              <w:t>字符型，256</w:t>
            </w:r>
          </w:p>
        </w:tc>
        <w:tc>
          <w:tcPr>
            <w:tcW w:w="1694" w:type="pct"/>
          </w:tcPr>
          <w:p w14:paraId="229A88A2" w14:textId="77777777" w:rsidR="00A052DC" w:rsidRDefault="00A052DC">
            <w:pPr>
              <w:rPr>
                <w:rFonts w:ascii="黑体" w:eastAsia="黑体" w:hAnsi="黑体" w:cs="宋体"/>
                <w:sz w:val="20"/>
                <w:szCs w:val="20"/>
              </w:rPr>
            </w:pPr>
          </w:p>
        </w:tc>
      </w:tr>
      <w:tr w:rsidR="00A052DC" w14:paraId="01427740" w14:textId="77777777">
        <w:tc>
          <w:tcPr>
            <w:tcW w:w="1426" w:type="pct"/>
          </w:tcPr>
          <w:p w14:paraId="339C85EC"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交易编码2</w:t>
            </w:r>
          </w:p>
        </w:tc>
        <w:tc>
          <w:tcPr>
            <w:tcW w:w="966" w:type="pct"/>
          </w:tcPr>
          <w:p w14:paraId="16CA85E1"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TXCODE2</w:t>
            </w:r>
          </w:p>
        </w:tc>
        <w:tc>
          <w:tcPr>
            <w:tcW w:w="914" w:type="pct"/>
          </w:tcPr>
          <w:p w14:paraId="727EC5BA" w14:textId="77777777" w:rsidR="00A052DC" w:rsidRDefault="009F0A60">
            <w:pPr>
              <w:rPr>
                <w:rFonts w:ascii="黑体" w:eastAsia="黑体" w:hAnsi="黑体" w:cs="宋体"/>
                <w:sz w:val="20"/>
                <w:szCs w:val="20"/>
              </w:rPr>
            </w:pPr>
            <w:r>
              <w:rPr>
                <w:rFonts w:ascii="黑体" w:eastAsia="黑体" w:hAnsi="黑体" w:hint="eastAsia"/>
                <w:sz w:val="20"/>
                <w:szCs w:val="20"/>
              </w:rPr>
              <w:t>字符型，6</w:t>
            </w:r>
          </w:p>
        </w:tc>
        <w:tc>
          <w:tcPr>
            <w:tcW w:w="1694" w:type="pct"/>
          </w:tcPr>
          <w:p w14:paraId="04746B3B" w14:textId="77777777" w:rsidR="00A052DC" w:rsidRDefault="00A052DC">
            <w:pPr>
              <w:rPr>
                <w:rFonts w:ascii="黑体" w:eastAsia="黑体" w:hAnsi="黑体" w:cs="宋体"/>
                <w:sz w:val="20"/>
                <w:szCs w:val="20"/>
              </w:rPr>
            </w:pPr>
          </w:p>
        </w:tc>
      </w:tr>
      <w:tr w:rsidR="00A052DC" w14:paraId="0EB9C01D" w14:textId="77777777">
        <w:tc>
          <w:tcPr>
            <w:tcW w:w="1426" w:type="pct"/>
          </w:tcPr>
          <w:p w14:paraId="6DE58A4B"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相应金额2</w:t>
            </w:r>
          </w:p>
        </w:tc>
        <w:tc>
          <w:tcPr>
            <w:tcW w:w="966" w:type="pct"/>
          </w:tcPr>
          <w:p w14:paraId="19F75A5B"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TXAMT2</w:t>
            </w:r>
          </w:p>
        </w:tc>
        <w:tc>
          <w:tcPr>
            <w:tcW w:w="914" w:type="pct"/>
          </w:tcPr>
          <w:p w14:paraId="415224DC" w14:textId="77777777" w:rsidR="00A052DC" w:rsidRDefault="009F0A60">
            <w:pPr>
              <w:rPr>
                <w:rFonts w:ascii="黑体" w:eastAsia="黑体" w:hAnsi="黑体" w:cs="宋体"/>
                <w:sz w:val="20"/>
                <w:szCs w:val="20"/>
              </w:rPr>
            </w:pPr>
            <w:r>
              <w:rPr>
                <w:rFonts w:ascii="黑体" w:eastAsia="黑体" w:hAnsi="黑体" w:hint="eastAsia"/>
                <w:sz w:val="20"/>
                <w:szCs w:val="20"/>
              </w:rPr>
              <w:t>数值型，22.0</w:t>
            </w:r>
          </w:p>
        </w:tc>
        <w:tc>
          <w:tcPr>
            <w:tcW w:w="1694" w:type="pct"/>
          </w:tcPr>
          <w:p w14:paraId="075CD08F" w14:textId="77777777" w:rsidR="00A052DC" w:rsidRDefault="00A052DC">
            <w:pPr>
              <w:rPr>
                <w:rFonts w:ascii="黑体" w:eastAsia="黑体" w:hAnsi="黑体" w:cs="宋体"/>
                <w:sz w:val="20"/>
                <w:szCs w:val="20"/>
              </w:rPr>
            </w:pPr>
          </w:p>
        </w:tc>
      </w:tr>
      <w:tr w:rsidR="00A052DC" w14:paraId="10F27C95" w14:textId="77777777">
        <w:tc>
          <w:tcPr>
            <w:tcW w:w="1426" w:type="pct"/>
          </w:tcPr>
          <w:p w14:paraId="070BDAED"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交易附言2</w:t>
            </w:r>
          </w:p>
        </w:tc>
        <w:tc>
          <w:tcPr>
            <w:tcW w:w="966" w:type="pct"/>
          </w:tcPr>
          <w:p w14:paraId="6CDA6706"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TXREM2</w:t>
            </w:r>
          </w:p>
        </w:tc>
        <w:tc>
          <w:tcPr>
            <w:tcW w:w="914" w:type="pct"/>
          </w:tcPr>
          <w:p w14:paraId="11AF4279" w14:textId="77777777" w:rsidR="00A052DC" w:rsidRDefault="009F0A60">
            <w:pPr>
              <w:rPr>
                <w:rFonts w:ascii="黑体" w:eastAsia="黑体" w:hAnsi="黑体" w:cs="宋体"/>
                <w:sz w:val="20"/>
                <w:szCs w:val="20"/>
              </w:rPr>
            </w:pPr>
            <w:r>
              <w:rPr>
                <w:rFonts w:ascii="黑体" w:eastAsia="黑体" w:hAnsi="黑体" w:hint="eastAsia"/>
                <w:sz w:val="20"/>
                <w:szCs w:val="20"/>
              </w:rPr>
              <w:t>字符型，256</w:t>
            </w:r>
          </w:p>
        </w:tc>
        <w:tc>
          <w:tcPr>
            <w:tcW w:w="1694" w:type="pct"/>
          </w:tcPr>
          <w:p w14:paraId="0B95E803" w14:textId="77777777" w:rsidR="00A052DC" w:rsidRDefault="00A052DC">
            <w:pPr>
              <w:rPr>
                <w:rFonts w:ascii="黑体" w:eastAsia="黑体" w:hAnsi="黑体" w:cs="宋体"/>
                <w:sz w:val="20"/>
                <w:szCs w:val="20"/>
              </w:rPr>
            </w:pPr>
          </w:p>
        </w:tc>
      </w:tr>
      <w:tr w:rsidR="00A052DC" w14:paraId="713FB835" w14:textId="77777777">
        <w:tc>
          <w:tcPr>
            <w:tcW w:w="1426" w:type="pct"/>
          </w:tcPr>
          <w:p w14:paraId="41A20A2A"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收汇总金额中用于出口核销的金额</w:t>
            </w:r>
          </w:p>
        </w:tc>
        <w:tc>
          <w:tcPr>
            <w:tcW w:w="966" w:type="pct"/>
          </w:tcPr>
          <w:p w14:paraId="006CC348"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WRITEOFFAMT</w:t>
            </w:r>
          </w:p>
        </w:tc>
        <w:tc>
          <w:tcPr>
            <w:tcW w:w="914" w:type="pct"/>
          </w:tcPr>
          <w:p w14:paraId="678C4259" w14:textId="77777777" w:rsidR="00A052DC" w:rsidRDefault="009F0A60">
            <w:pPr>
              <w:rPr>
                <w:rFonts w:ascii="黑体" w:eastAsia="黑体" w:hAnsi="黑体" w:cs="宋体"/>
                <w:sz w:val="20"/>
                <w:szCs w:val="20"/>
              </w:rPr>
            </w:pPr>
            <w:r>
              <w:rPr>
                <w:rFonts w:ascii="黑体" w:eastAsia="黑体" w:hAnsi="黑体" w:hint="eastAsia"/>
                <w:sz w:val="20"/>
                <w:szCs w:val="20"/>
              </w:rPr>
              <w:t>数值型，22.0</w:t>
            </w:r>
          </w:p>
        </w:tc>
        <w:tc>
          <w:tcPr>
            <w:tcW w:w="1694" w:type="pct"/>
          </w:tcPr>
          <w:p w14:paraId="0ADA3C15" w14:textId="77777777" w:rsidR="00A052DC" w:rsidRDefault="00A052DC">
            <w:pPr>
              <w:rPr>
                <w:rFonts w:ascii="黑体" w:eastAsia="黑体" w:hAnsi="黑体" w:cs="宋体"/>
                <w:sz w:val="20"/>
                <w:szCs w:val="20"/>
              </w:rPr>
            </w:pPr>
          </w:p>
        </w:tc>
      </w:tr>
      <w:tr w:rsidR="00A052DC" w14:paraId="270A9859" w14:textId="77777777">
        <w:tc>
          <w:tcPr>
            <w:tcW w:w="1426" w:type="pct"/>
          </w:tcPr>
          <w:p w14:paraId="348ACD81" w14:textId="77777777" w:rsidR="00A052DC" w:rsidRDefault="009F0A60">
            <w:pPr>
              <w:rPr>
                <w:rFonts w:ascii="黑体" w:eastAsia="黑体" w:hAnsi="黑体" w:cs="Microsoft Sans Serif"/>
                <w:sz w:val="20"/>
                <w:szCs w:val="20"/>
              </w:rPr>
            </w:pPr>
            <w:r>
              <w:rPr>
                <w:rFonts w:ascii="黑体" w:eastAsia="黑体" w:hAnsi="黑体" w:hint="eastAsia"/>
                <w:sz w:val="20"/>
                <w:szCs w:val="20"/>
              </w:rPr>
              <w:t>填报人</w:t>
            </w:r>
          </w:p>
        </w:tc>
        <w:tc>
          <w:tcPr>
            <w:tcW w:w="966" w:type="pct"/>
          </w:tcPr>
          <w:p w14:paraId="4BFA9844"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RPTUSER</w:t>
            </w:r>
          </w:p>
        </w:tc>
        <w:tc>
          <w:tcPr>
            <w:tcW w:w="914" w:type="pct"/>
          </w:tcPr>
          <w:p w14:paraId="67B050B4" w14:textId="77777777" w:rsidR="00A052DC" w:rsidRDefault="009F0A60">
            <w:pPr>
              <w:rPr>
                <w:rFonts w:ascii="黑体" w:eastAsia="黑体" w:hAnsi="黑体" w:cs="宋体"/>
                <w:sz w:val="20"/>
                <w:szCs w:val="20"/>
              </w:rPr>
            </w:pPr>
            <w:r>
              <w:rPr>
                <w:rFonts w:ascii="黑体" w:eastAsia="黑体" w:hAnsi="黑体" w:hint="eastAsia"/>
                <w:sz w:val="20"/>
                <w:szCs w:val="20"/>
              </w:rPr>
              <w:t>字符型，20</w:t>
            </w:r>
          </w:p>
        </w:tc>
        <w:tc>
          <w:tcPr>
            <w:tcW w:w="1694" w:type="pct"/>
          </w:tcPr>
          <w:p w14:paraId="7214E7B9" w14:textId="77777777" w:rsidR="00A052DC" w:rsidRDefault="00A052DC">
            <w:pPr>
              <w:rPr>
                <w:rFonts w:ascii="黑体" w:eastAsia="黑体" w:hAnsi="黑体" w:cs="宋体"/>
                <w:sz w:val="20"/>
                <w:szCs w:val="20"/>
              </w:rPr>
            </w:pPr>
          </w:p>
        </w:tc>
      </w:tr>
      <w:tr w:rsidR="00A052DC" w14:paraId="4042E103" w14:textId="77777777">
        <w:tc>
          <w:tcPr>
            <w:tcW w:w="1426" w:type="pct"/>
          </w:tcPr>
          <w:p w14:paraId="5C8356C9" w14:textId="77777777" w:rsidR="00A052DC" w:rsidRDefault="009F0A60">
            <w:pPr>
              <w:rPr>
                <w:rFonts w:ascii="黑体" w:eastAsia="黑体" w:hAnsi="黑体" w:cs="Microsoft Sans Serif"/>
                <w:sz w:val="20"/>
                <w:szCs w:val="20"/>
              </w:rPr>
            </w:pPr>
            <w:r>
              <w:rPr>
                <w:rFonts w:ascii="黑体" w:eastAsia="黑体" w:hAnsi="黑体" w:hint="eastAsia"/>
                <w:sz w:val="20"/>
                <w:szCs w:val="20"/>
              </w:rPr>
              <w:t>填报人电话</w:t>
            </w:r>
          </w:p>
        </w:tc>
        <w:tc>
          <w:tcPr>
            <w:tcW w:w="966" w:type="pct"/>
          </w:tcPr>
          <w:p w14:paraId="35A54FA9"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RPTTEL</w:t>
            </w:r>
          </w:p>
        </w:tc>
        <w:tc>
          <w:tcPr>
            <w:tcW w:w="914" w:type="pct"/>
          </w:tcPr>
          <w:p w14:paraId="21EDDCCA" w14:textId="77777777" w:rsidR="00A052DC" w:rsidRDefault="009F0A60">
            <w:pPr>
              <w:rPr>
                <w:rFonts w:ascii="黑体" w:eastAsia="黑体" w:hAnsi="黑体" w:cs="宋体"/>
                <w:sz w:val="20"/>
                <w:szCs w:val="20"/>
              </w:rPr>
            </w:pPr>
            <w:r>
              <w:rPr>
                <w:rFonts w:ascii="黑体" w:eastAsia="黑体" w:hAnsi="黑体" w:hint="eastAsia"/>
                <w:sz w:val="20"/>
                <w:szCs w:val="20"/>
              </w:rPr>
              <w:t>字符型，20</w:t>
            </w:r>
          </w:p>
        </w:tc>
        <w:tc>
          <w:tcPr>
            <w:tcW w:w="1694" w:type="pct"/>
          </w:tcPr>
          <w:p w14:paraId="3D3BF56B" w14:textId="77777777" w:rsidR="00A052DC" w:rsidRDefault="00A052DC">
            <w:pPr>
              <w:rPr>
                <w:rFonts w:ascii="黑体" w:eastAsia="黑体" w:hAnsi="黑体" w:cs="宋体"/>
                <w:sz w:val="20"/>
                <w:szCs w:val="20"/>
              </w:rPr>
            </w:pPr>
          </w:p>
        </w:tc>
      </w:tr>
      <w:tr w:rsidR="00A052DC" w14:paraId="47D503DD" w14:textId="77777777">
        <w:tc>
          <w:tcPr>
            <w:tcW w:w="1426" w:type="pct"/>
          </w:tcPr>
          <w:p w14:paraId="60BF1371" w14:textId="77777777" w:rsidR="00A052DC" w:rsidRDefault="009F0A60">
            <w:pPr>
              <w:rPr>
                <w:rFonts w:ascii="黑体" w:eastAsia="黑体" w:hAnsi="黑体" w:cs="Microsoft Sans Serif"/>
                <w:sz w:val="20"/>
                <w:szCs w:val="20"/>
              </w:rPr>
            </w:pPr>
            <w:r>
              <w:rPr>
                <w:rFonts w:ascii="黑体" w:eastAsia="黑体" w:hAnsi="黑体" w:hint="eastAsia"/>
                <w:sz w:val="20"/>
                <w:szCs w:val="20"/>
              </w:rPr>
              <w:t>申报日期</w:t>
            </w:r>
          </w:p>
        </w:tc>
        <w:tc>
          <w:tcPr>
            <w:tcW w:w="966" w:type="pct"/>
          </w:tcPr>
          <w:p w14:paraId="1D59D0B6"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RPTDATE</w:t>
            </w:r>
          </w:p>
        </w:tc>
        <w:tc>
          <w:tcPr>
            <w:tcW w:w="914" w:type="pct"/>
          </w:tcPr>
          <w:p w14:paraId="19A896DC" w14:textId="77777777" w:rsidR="00A052DC" w:rsidRDefault="009F0A60">
            <w:pPr>
              <w:rPr>
                <w:rFonts w:ascii="黑体" w:eastAsia="黑体" w:hAnsi="黑体"/>
                <w:sz w:val="20"/>
                <w:szCs w:val="20"/>
              </w:rPr>
            </w:pPr>
            <w:r>
              <w:rPr>
                <w:rFonts w:ascii="黑体" w:eastAsia="黑体" w:hAnsi="黑体" w:hint="eastAsia"/>
                <w:sz w:val="20"/>
                <w:szCs w:val="20"/>
              </w:rPr>
              <w:t>日期型，8</w:t>
            </w:r>
          </w:p>
        </w:tc>
        <w:tc>
          <w:tcPr>
            <w:tcW w:w="1694" w:type="pct"/>
          </w:tcPr>
          <w:p w14:paraId="73B026FF" w14:textId="77777777" w:rsidR="00A052DC" w:rsidRDefault="009F0A60">
            <w:pPr>
              <w:rPr>
                <w:rFonts w:ascii="黑体" w:eastAsia="黑体" w:hAnsi="黑体" w:cs="宋体"/>
                <w:sz w:val="20"/>
                <w:szCs w:val="20"/>
              </w:rPr>
            </w:pPr>
            <w:r>
              <w:rPr>
                <w:rFonts w:ascii="黑体" w:eastAsia="黑体" w:hAnsi="黑体" w:hint="eastAsia"/>
                <w:sz w:val="20"/>
                <w:szCs w:val="20"/>
              </w:rPr>
              <w:t>YYYYMMDD</w:t>
            </w:r>
          </w:p>
        </w:tc>
      </w:tr>
      <w:tr w:rsidR="00A052DC" w14:paraId="7BC5A459" w14:textId="77777777">
        <w:tc>
          <w:tcPr>
            <w:tcW w:w="1426" w:type="pct"/>
            <w:tcBorders>
              <w:top w:val="single" w:sz="2" w:space="0" w:color="auto"/>
              <w:left w:val="single" w:sz="2" w:space="0" w:color="auto"/>
              <w:bottom w:val="single" w:sz="2" w:space="0" w:color="auto"/>
              <w:right w:val="single" w:sz="2" w:space="0" w:color="auto"/>
            </w:tcBorders>
          </w:tcPr>
          <w:p w14:paraId="52021F9C" w14:textId="77777777" w:rsidR="00A052DC" w:rsidRDefault="009F0A60">
            <w:pPr>
              <w:rPr>
                <w:rFonts w:ascii="黑体" w:eastAsia="黑体" w:hAnsi="黑体"/>
                <w:sz w:val="20"/>
                <w:szCs w:val="20"/>
              </w:rPr>
            </w:pPr>
            <w:r>
              <w:rPr>
                <w:rFonts w:ascii="黑体" w:eastAsia="黑体" w:hAnsi="黑体" w:hint="eastAsia"/>
                <w:sz w:val="20"/>
                <w:szCs w:val="20"/>
              </w:rPr>
              <w:t>申报信息来源</w:t>
            </w:r>
          </w:p>
        </w:tc>
        <w:tc>
          <w:tcPr>
            <w:tcW w:w="966" w:type="pct"/>
            <w:tcBorders>
              <w:top w:val="single" w:sz="2" w:space="0" w:color="auto"/>
              <w:left w:val="single" w:sz="2" w:space="0" w:color="auto"/>
              <w:bottom w:val="single" w:sz="2" w:space="0" w:color="auto"/>
              <w:right w:val="single" w:sz="2" w:space="0" w:color="auto"/>
            </w:tcBorders>
          </w:tcPr>
          <w:p w14:paraId="368373D9"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RPTSOURCE</w:t>
            </w:r>
          </w:p>
        </w:tc>
        <w:tc>
          <w:tcPr>
            <w:tcW w:w="914" w:type="pct"/>
            <w:tcBorders>
              <w:top w:val="single" w:sz="2" w:space="0" w:color="auto"/>
              <w:left w:val="single" w:sz="2" w:space="0" w:color="auto"/>
              <w:bottom w:val="single" w:sz="2" w:space="0" w:color="auto"/>
              <w:right w:val="single" w:sz="2" w:space="0" w:color="auto"/>
            </w:tcBorders>
          </w:tcPr>
          <w:p w14:paraId="6C000CF1" w14:textId="77777777" w:rsidR="00A052DC" w:rsidRDefault="009F0A60">
            <w:pPr>
              <w:rPr>
                <w:rFonts w:ascii="黑体" w:eastAsia="黑体" w:hAnsi="黑体"/>
                <w:sz w:val="20"/>
                <w:szCs w:val="20"/>
              </w:rPr>
            </w:pPr>
            <w:r>
              <w:rPr>
                <w:rFonts w:ascii="黑体" w:eastAsia="黑体" w:hAnsi="黑体" w:hint="eastAsia"/>
                <w:sz w:val="20"/>
                <w:szCs w:val="20"/>
              </w:rPr>
              <w:t>字符型，1</w:t>
            </w:r>
          </w:p>
        </w:tc>
        <w:tc>
          <w:tcPr>
            <w:tcW w:w="1694" w:type="pct"/>
            <w:tcBorders>
              <w:top w:val="single" w:sz="2" w:space="0" w:color="auto"/>
              <w:left w:val="single" w:sz="2" w:space="0" w:color="auto"/>
              <w:bottom w:val="single" w:sz="2" w:space="0" w:color="auto"/>
              <w:right w:val="single" w:sz="2" w:space="0" w:color="auto"/>
            </w:tcBorders>
          </w:tcPr>
          <w:p w14:paraId="58FD73D5" w14:textId="77777777" w:rsidR="00A052DC" w:rsidRDefault="009F0A60">
            <w:pPr>
              <w:rPr>
                <w:rFonts w:ascii="黑体" w:eastAsia="黑体" w:hAnsi="黑体" w:cs="宋体"/>
                <w:sz w:val="20"/>
                <w:szCs w:val="20"/>
              </w:rPr>
            </w:pPr>
            <w:r>
              <w:rPr>
                <w:rFonts w:ascii="黑体" w:eastAsia="黑体" w:hAnsi="黑体" w:cs="宋体" w:hint="eastAsia"/>
                <w:sz w:val="20"/>
                <w:szCs w:val="20"/>
              </w:rPr>
              <w:t>1-纸质申报（银行版录入）</w:t>
            </w:r>
          </w:p>
          <w:p w14:paraId="0E519D01" w14:textId="77777777" w:rsidR="00A052DC" w:rsidRDefault="009F0A60">
            <w:pPr>
              <w:rPr>
                <w:rFonts w:ascii="黑体" w:eastAsia="黑体" w:hAnsi="黑体" w:cs="宋体"/>
                <w:sz w:val="20"/>
                <w:szCs w:val="20"/>
              </w:rPr>
            </w:pPr>
            <w:r>
              <w:rPr>
                <w:rFonts w:ascii="黑体" w:eastAsia="黑体" w:hAnsi="黑体" w:cs="宋体" w:hint="eastAsia"/>
                <w:sz w:val="20"/>
                <w:szCs w:val="20"/>
              </w:rPr>
              <w:t>2-网上申报</w:t>
            </w:r>
          </w:p>
          <w:p w14:paraId="6C00F50B" w14:textId="77777777" w:rsidR="00A052DC" w:rsidRDefault="009F0A60">
            <w:pPr>
              <w:rPr>
                <w:rFonts w:ascii="黑体" w:eastAsia="黑体" w:hAnsi="黑体" w:cs="宋体"/>
                <w:sz w:val="20"/>
                <w:szCs w:val="20"/>
              </w:rPr>
            </w:pPr>
            <w:r>
              <w:rPr>
                <w:rFonts w:ascii="黑体" w:eastAsia="黑体" w:hAnsi="黑体" w:cs="宋体" w:hint="eastAsia"/>
                <w:sz w:val="20"/>
                <w:szCs w:val="20"/>
              </w:rPr>
              <w:t>3-接口导入（银行业务系统接口文件导入）</w:t>
            </w:r>
          </w:p>
        </w:tc>
      </w:tr>
      <w:tr w:rsidR="00A052DC" w14:paraId="7C8A6C58" w14:textId="77777777">
        <w:tc>
          <w:tcPr>
            <w:tcW w:w="1426" w:type="pct"/>
            <w:tcBorders>
              <w:top w:val="single" w:sz="2" w:space="0" w:color="auto"/>
              <w:left w:val="single" w:sz="2" w:space="0" w:color="auto"/>
              <w:bottom w:val="single" w:sz="2" w:space="0" w:color="auto"/>
              <w:right w:val="single" w:sz="2" w:space="0" w:color="auto"/>
            </w:tcBorders>
          </w:tcPr>
          <w:p w14:paraId="683EE630" w14:textId="77777777" w:rsidR="00A052DC" w:rsidRDefault="009F0A60">
            <w:pPr>
              <w:rPr>
                <w:rFonts w:ascii="黑体" w:eastAsia="黑体" w:hAnsi="黑体"/>
                <w:sz w:val="20"/>
                <w:szCs w:val="20"/>
              </w:rPr>
            </w:pPr>
            <w:r>
              <w:rPr>
                <w:rFonts w:ascii="黑体" w:eastAsia="黑体" w:hAnsi="黑体" w:hint="eastAsia"/>
                <w:sz w:val="20"/>
                <w:szCs w:val="20"/>
              </w:rPr>
              <w:t>申报单状态</w:t>
            </w:r>
          </w:p>
        </w:tc>
        <w:tc>
          <w:tcPr>
            <w:tcW w:w="966" w:type="pct"/>
            <w:tcBorders>
              <w:top w:val="single" w:sz="2" w:space="0" w:color="auto"/>
              <w:left w:val="single" w:sz="2" w:space="0" w:color="auto"/>
              <w:bottom w:val="single" w:sz="2" w:space="0" w:color="auto"/>
              <w:right w:val="single" w:sz="2" w:space="0" w:color="auto"/>
            </w:tcBorders>
          </w:tcPr>
          <w:p w14:paraId="5011A304"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RPTSTS</w:t>
            </w:r>
          </w:p>
        </w:tc>
        <w:tc>
          <w:tcPr>
            <w:tcW w:w="914" w:type="pct"/>
            <w:tcBorders>
              <w:top w:val="single" w:sz="2" w:space="0" w:color="auto"/>
              <w:left w:val="single" w:sz="2" w:space="0" w:color="auto"/>
              <w:bottom w:val="single" w:sz="2" w:space="0" w:color="auto"/>
              <w:right w:val="single" w:sz="2" w:space="0" w:color="auto"/>
            </w:tcBorders>
          </w:tcPr>
          <w:p w14:paraId="4FA7B9A7" w14:textId="77777777" w:rsidR="00A052DC" w:rsidRDefault="009F0A60">
            <w:pPr>
              <w:rPr>
                <w:rFonts w:ascii="黑体" w:eastAsia="黑体" w:hAnsi="黑体"/>
                <w:sz w:val="20"/>
                <w:szCs w:val="20"/>
              </w:rPr>
            </w:pPr>
            <w:r>
              <w:rPr>
                <w:rFonts w:ascii="黑体" w:eastAsia="黑体" w:hAnsi="黑体" w:hint="eastAsia"/>
                <w:sz w:val="20"/>
                <w:szCs w:val="20"/>
              </w:rPr>
              <w:t>字符型，2</w:t>
            </w:r>
          </w:p>
        </w:tc>
        <w:tc>
          <w:tcPr>
            <w:tcW w:w="1694" w:type="pct"/>
            <w:tcBorders>
              <w:top w:val="single" w:sz="2" w:space="0" w:color="auto"/>
              <w:left w:val="single" w:sz="2" w:space="0" w:color="auto"/>
              <w:bottom w:val="single" w:sz="2" w:space="0" w:color="auto"/>
              <w:right w:val="single" w:sz="2" w:space="0" w:color="auto"/>
            </w:tcBorders>
          </w:tcPr>
          <w:p w14:paraId="708A1667" w14:textId="77777777" w:rsidR="00A052DC" w:rsidRDefault="009F0A60">
            <w:pPr>
              <w:rPr>
                <w:rFonts w:ascii="黑体" w:eastAsia="黑体" w:hAnsi="黑体" w:cs="宋体"/>
                <w:sz w:val="20"/>
                <w:szCs w:val="20"/>
              </w:rPr>
            </w:pPr>
            <w:r>
              <w:rPr>
                <w:rFonts w:ascii="黑体" w:eastAsia="黑体" w:hAnsi="黑体" w:cs="宋体" w:hint="eastAsia"/>
                <w:sz w:val="20"/>
                <w:szCs w:val="20"/>
              </w:rPr>
              <w:t>06</w:t>
            </w:r>
            <w:r w:rsidR="00BF0361">
              <w:rPr>
                <w:rFonts w:ascii="黑体" w:eastAsia="黑体" w:hAnsi="黑体" w:cs="宋体" w:hint="eastAsia"/>
                <w:sz w:val="20"/>
                <w:szCs w:val="20"/>
              </w:rPr>
              <w:t>-</w:t>
            </w:r>
            <w:r>
              <w:rPr>
                <w:rFonts w:ascii="黑体" w:eastAsia="黑体" w:hAnsi="黑体" w:cs="宋体" w:hint="eastAsia"/>
                <w:sz w:val="20"/>
                <w:szCs w:val="20"/>
              </w:rPr>
              <w:t>已审核</w:t>
            </w:r>
          </w:p>
        </w:tc>
      </w:tr>
      <w:tr w:rsidR="00A052DC" w14:paraId="61108754" w14:textId="77777777">
        <w:tc>
          <w:tcPr>
            <w:tcW w:w="1426" w:type="pct"/>
            <w:tcBorders>
              <w:top w:val="single" w:sz="2" w:space="0" w:color="auto"/>
              <w:left w:val="single" w:sz="2" w:space="0" w:color="auto"/>
              <w:bottom w:val="single" w:sz="2" w:space="0" w:color="auto"/>
              <w:right w:val="single" w:sz="2" w:space="0" w:color="auto"/>
            </w:tcBorders>
          </w:tcPr>
          <w:p w14:paraId="656B60C8" w14:textId="77777777" w:rsidR="00A052DC" w:rsidRDefault="009F0A60">
            <w:pPr>
              <w:rPr>
                <w:rFonts w:ascii="黑体" w:eastAsia="黑体" w:hAnsi="黑体"/>
                <w:sz w:val="20"/>
                <w:szCs w:val="20"/>
              </w:rPr>
            </w:pPr>
            <w:r>
              <w:rPr>
                <w:rFonts w:ascii="黑体" w:eastAsia="黑体" w:hAnsi="黑体" w:hint="eastAsia"/>
                <w:sz w:val="20"/>
                <w:szCs w:val="20"/>
              </w:rPr>
              <w:t>删除标志</w:t>
            </w:r>
          </w:p>
        </w:tc>
        <w:tc>
          <w:tcPr>
            <w:tcW w:w="966" w:type="pct"/>
            <w:tcBorders>
              <w:top w:val="single" w:sz="2" w:space="0" w:color="auto"/>
              <w:left w:val="single" w:sz="2" w:space="0" w:color="auto"/>
              <w:bottom w:val="single" w:sz="2" w:space="0" w:color="auto"/>
              <w:right w:val="single" w:sz="2" w:space="0" w:color="auto"/>
            </w:tcBorders>
          </w:tcPr>
          <w:p w14:paraId="636CB963"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DELFLAG</w:t>
            </w:r>
          </w:p>
        </w:tc>
        <w:tc>
          <w:tcPr>
            <w:tcW w:w="914" w:type="pct"/>
            <w:tcBorders>
              <w:top w:val="single" w:sz="2" w:space="0" w:color="auto"/>
              <w:left w:val="single" w:sz="2" w:space="0" w:color="auto"/>
              <w:bottom w:val="single" w:sz="2" w:space="0" w:color="auto"/>
              <w:right w:val="single" w:sz="2" w:space="0" w:color="auto"/>
            </w:tcBorders>
          </w:tcPr>
          <w:p w14:paraId="5D10F7E9" w14:textId="77777777" w:rsidR="00A052DC" w:rsidRDefault="009F0A60">
            <w:pPr>
              <w:rPr>
                <w:rFonts w:ascii="黑体" w:eastAsia="黑体" w:hAnsi="黑体"/>
                <w:sz w:val="20"/>
                <w:szCs w:val="20"/>
              </w:rPr>
            </w:pPr>
            <w:r>
              <w:rPr>
                <w:rFonts w:ascii="黑体" w:eastAsia="黑体" w:hAnsi="黑体" w:hint="eastAsia"/>
                <w:sz w:val="20"/>
                <w:szCs w:val="20"/>
              </w:rPr>
              <w:t>字符型，1</w:t>
            </w:r>
          </w:p>
        </w:tc>
        <w:tc>
          <w:tcPr>
            <w:tcW w:w="1694" w:type="pct"/>
            <w:tcBorders>
              <w:top w:val="single" w:sz="2" w:space="0" w:color="auto"/>
              <w:left w:val="single" w:sz="2" w:space="0" w:color="auto"/>
              <w:bottom w:val="single" w:sz="2" w:space="0" w:color="auto"/>
              <w:right w:val="single" w:sz="2" w:space="0" w:color="auto"/>
            </w:tcBorders>
          </w:tcPr>
          <w:p w14:paraId="6F038387" w14:textId="77777777" w:rsidR="00A052DC" w:rsidRDefault="009F0A60">
            <w:pPr>
              <w:rPr>
                <w:rFonts w:ascii="黑体" w:eastAsia="黑体" w:hAnsi="黑体" w:cs="宋体"/>
                <w:sz w:val="20"/>
                <w:szCs w:val="20"/>
              </w:rPr>
            </w:pPr>
            <w:r>
              <w:rPr>
                <w:rFonts w:ascii="黑体" w:eastAsia="黑体" w:hAnsi="黑体" w:cs="宋体" w:hint="eastAsia"/>
                <w:sz w:val="20"/>
                <w:szCs w:val="20"/>
              </w:rPr>
              <w:t>0-未删除</w:t>
            </w:r>
          </w:p>
          <w:p w14:paraId="74D9C2BB" w14:textId="77777777" w:rsidR="00A052DC" w:rsidRDefault="009F0A60">
            <w:pPr>
              <w:rPr>
                <w:rFonts w:ascii="黑体" w:eastAsia="黑体" w:hAnsi="黑体" w:cs="宋体"/>
                <w:sz w:val="20"/>
                <w:szCs w:val="20"/>
              </w:rPr>
            </w:pPr>
            <w:r>
              <w:rPr>
                <w:rFonts w:ascii="黑体" w:eastAsia="黑体" w:hAnsi="黑体" w:cs="宋体" w:hint="eastAsia"/>
                <w:sz w:val="20"/>
                <w:szCs w:val="20"/>
              </w:rPr>
              <w:t>3-已删除</w:t>
            </w:r>
          </w:p>
        </w:tc>
      </w:tr>
      <w:tr w:rsidR="00A052DC" w14:paraId="7F8037CA" w14:textId="77777777">
        <w:tc>
          <w:tcPr>
            <w:tcW w:w="1426" w:type="pct"/>
            <w:tcBorders>
              <w:top w:val="single" w:sz="2" w:space="0" w:color="auto"/>
              <w:left w:val="single" w:sz="2" w:space="0" w:color="auto"/>
              <w:bottom w:val="single" w:sz="2" w:space="0" w:color="auto"/>
              <w:right w:val="single" w:sz="2" w:space="0" w:color="auto"/>
            </w:tcBorders>
          </w:tcPr>
          <w:p w14:paraId="5224840C" w14:textId="77777777" w:rsidR="00A052DC" w:rsidRDefault="009F0A60">
            <w:pPr>
              <w:rPr>
                <w:rFonts w:ascii="黑体" w:eastAsia="黑体" w:hAnsi="黑体"/>
                <w:sz w:val="20"/>
                <w:szCs w:val="20"/>
              </w:rPr>
            </w:pPr>
            <w:r>
              <w:rPr>
                <w:rFonts w:ascii="黑体" w:eastAsia="黑体" w:hAnsi="黑体" w:hint="eastAsia"/>
                <w:sz w:val="20"/>
                <w:szCs w:val="20"/>
              </w:rPr>
              <w:t>外汇局批件号/备案表号/业务编号</w:t>
            </w:r>
          </w:p>
        </w:tc>
        <w:tc>
          <w:tcPr>
            <w:tcW w:w="966" w:type="pct"/>
            <w:tcBorders>
              <w:top w:val="single" w:sz="2" w:space="0" w:color="auto"/>
              <w:left w:val="single" w:sz="2" w:space="0" w:color="auto"/>
              <w:bottom w:val="single" w:sz="2" w:space="0" w:color="auto"/>
              <w:right w:val="single" w:sz="2" w:space="0" w:color="auto"/>
            </w:tcBorders>
          </w:tcPr>
          <w:p w14:paraId="5DEA94BA"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REGISTNO</w:t>
            </w:r>
          </w:p>
        </w:tc>
        <w:tc>
          <w:tcPr>
            <w:tcW w:w="914" w:type="pct"/>
            <w:tcBorders>
              <w:top w:val="single" w:sz="2" w:space="0" w:color="auto"/>
              <w:left w:val="single" w:sz="2" w:space="0" w:color="auto"/>
              <w:bottom w:val="single" w:sz="2" w:space="0" w:color="auto"/>
              <w:right w:val="single" w:sz="2" w:space="0" w:color="auto"/>
            </w:tcBorders>
          </w:tcPr>
          <w:p w14:paraId="0B5891A5" w14:textId="77777777" w:rsidR="00A052DC" w:rsidRDefault="009F0A60">
            <w:pPr>
              <w:rPr>
                <w:rFonts w:ascii="黑体" w:eastAsia="黑体" w:hAnsi="黑体"/>
                <w:sz w:val="20"/>
                <w:szCs w:val="20"/>
              </w:rPr>
            </w:pPr>
            <w:r>
              <w:rPr>
                <w:rFonts w:ascii="黑体" w:eastAsia="黑体" w:hAnsi="黑体" w:hint="eastAsia"/>
                <w:sz w:val="20"/>
                <w:szCs w:val="20"/>
              </w:rPr>
              <w:t>字符型，20</w:t>
            </w:r>
          </w:p>
        </w:tc>
        <w:tc>
          <w:tcPr>
            <w:tcW w:w="1694" w:type="pct"/>
            <w:tcBorders>
              <w:top w:val="single" w:sz="2" w:space="0" w:color="auto"/>
              <w:left w:val="single" w:sz="2" w:space="0" w:color="auto"/>
              <w:bottom w:val="single" w:sz="2" w:space="0" w:color="auto"/>
              <w:right w:val="single" w:sz="2" w:space="0" w:color="auto"/>
            </w:tcBorders>
          </w:tcPr>
          <w:p w14:paraId="5FD813E6" w14:textId="77777777" w:rsidR="00A052DC" w:rsidRDefault="00A052DC">
            <w:pPr>
              <w:rPr>
                <w:rFonts w:ascii="黑体" w:eastAsia="黑体" w:hAnsi="黑体" w:cs="宋体"/>
                <w:sz w:val="20"/>
                <w:szCs w:val="20"/>
              </w:rPr>
            </w:pPr>
          </w:p>
        </w:tc>
      </w:tr>
    </w:tbl>
    <w:p w14:paraId="74E94D65" w14:textId="77777777" w:rsidR="00A052DC" w:rsidRDefault="00A052DC"/>
    <w:p w14:paraId="354B1633" w14:textId="77777777" w:rsidR="00A052DC" w:rsidRDefault="009F0A60" w:rsidP="0020251D">
      <w:pPr>
        <w:pStyle w:val="4"/>
        <w:numPr>
          <w:ilvl w:val="3"/>
          <w:numId w:val="1"/>
        </w:numPr>
        <w:jc w:val="left"/>
      </w:pPr>
      <w:bookmarkStart w:id="4516" w:name="_Toc454394938"/>
      <w:bookmarkStart w:id="4517" w:name="_Toc310599199"/>
      <w:r>
        <w:rPr>
          <w:rFonts w:hint="eastAsia"/>
        </w:rPr>
        <w:t>境内付款</w:t>
      </w:r>
      <w:r>
        <w:t>/</w:t>
      </w:r>
      <w:r>
        <w:rPr>
          <w:rFonts w:hint="eastAsia"/>
        </w:rPr>
        <w:t>承兑通知书</w:t>
      </w:r>
      <w:bookmarkEnd w:id="4516"/>
      <w:bookmarkEnd w:id="4517"/>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3" w:type="dxa"/>
          <w:right w:w="113" w:type="dxa"/>
        </w:tblCellMar>
        <w:tblLook w:val="04A0" w:firstRow="1" w:lastRow="0" w:firstColumn="1" w:lastColumn="0" w:noHBand="0" w:noVBand="1"/>
      </w:tblPr>
      <w:tblGrid>
        <w:gridCol w:w="2654"/>
        <w:gridCol w:w="1427"/>
        <w:gridCol w:w="1560"/>
        <w:gridCol w:w="2891"/>
      </w:tblGrid>
      <w:tr w:rsidR="00A052DC" w14:paraId="7F4BEE7C" w14:textId="77777777">
        <w:trPr>
          <w:tblHeader/>
        </w:trPr>
        <w:tc>
          <w:tcPr>
            <w:tcW w:w="1555" w:type="pct"/>
            <w:shd w:val="clear" w:color="auto" w:fill="C0C0C0"/>
          </w:tcPr>
          <w:p w14:paraId="1C9F7BC5" w14:textId="77777777" w:rsidR="00A052DC" w:rsidRDefault="009F0A60">
            <w:pPr>
              <w:jc w:val="center"/>
              <w:rPr>
                <w:rFonts w:ascii="黑体" w:eastAsia="黑体" w:hAnsi="黑体"/>
                <w:b/>
                <w:sz w:val="20"/>
                <w:szCs w:val="20"/>
              </w:rPr>
            </w:pPr>
            <w:r>
              <w:rPr>
                <w:rFonts w:ascii="黑体" w:eastAsia="黑体" w:hAnsi="黑体" w:hint="eastAsia"/>
                <w:b/>
                <w:sz w:val="20"/>
                <w:szCs w:val="20"/>
              </w:rPr>
              <w:t>名称</w:t>
            </w:r>
          </w:p>
        </w:tc>
        <w:tc>
          <w:tcPr>
            <w:tcW w:w="836" w:type="pct"/>
            <w:shd w:val="clear" w:color="auto" w:fill="C0C0C0"/>
          </w:tcPr>
          <w:p w14:paraId="2D5BF4DB" w14:textId="77777777" w:rsidR="00A052DC" w:rsidRDefault="009F0A60">
            <w:pPr>
              <w:jc w:val="center"/>
              <w:rPr>
                <w:rFonts w:ascii="黑体" w:eastAsia="黑体" w:hAnsi="黑体"/>
                <w:b/>
                <w:sz w:val="20"/>
                <w:szCs w:val="20"/>
              </w:rPr>
            </w:pPr>
            <w:r>
              <w:rPr>
                <w:rFonts w:ascii="黑体" w:eastAsia="黑体" w:hAnsi="黑体" w:hint="eastAsia"/>
                <w:b/>
                <w:sz w:val="20"/>
                <w:szCs w:val="20"/>
              </w:rPr>
              <w:t>代码</w:t>
            </w:r>
          </w:p>
        </w:tc>
        <w:tc>
          <w:tcPr>
            <w:tcW w:w="914" w:type="pct"/>
            <w:shd w:val="clear" w:color="auto" w:fill="C0C0C0"/>
          </w:tcPr>
          <w:p w14:paraId="3BCD498E" w14:textId="77777777" w:rsidR="00A052DC" w:rsidRDefault="009F0A60">
            <w:pPr>
              <w:jc w:val="center"/>
              <w:rPr>
                <w:rFonts w:ascii="黑体" w:eastAsia="黑体" w:hAnsi="黑体"/>
                <w:b/>
                <w:sz w:val="20"/>
                <w:szCs w:val="20"/>
              </w:rPr>
            </w:pPr>
            <w:r>
              <w:rPr>
                <w:rFonts w:ascii="黑体" w:eastAsia="黑体" w:hAnsi="黑体" w:hint="eastAsia"/>
                <w:b/>
                <w:sz w:val="20"/>
                <w:szCs w:val="20"/>
              </w:rPr>
              <w:t>数据（长度）</w:t>
            </w:r>
          </w:p>
        </w:tc>
        <w:tc>
          <w:tcPr>
            <w:tcW w:w="1694" w:type="pct"/>
            <w:shd w:val="clear" w:color="auto" w:fill="C0C0C0"/>
          </w:tcPr>
          <w:p w14:paraId="4D8B97D0" w14:textId="77777777" w:rsidR="00A052DC" w:rsidRDefault="009F0A60">
            <w:pPr>
              <w:jc w:val="center"/>
              <w:rPr>
                <w:rFonts w:ascii="黑体" w:eastAsia="黑体" w:hAnsi="黑体"/>
                <w:b/>
                <w:sz w:val="20"/>
                <w:szCs w:val="20"/>
              </w:rPr>
            </w:pPr>
            <w:r>
              <w:rPr>
                <w:rFonts w:ascii="黑体" w:eastAsia="黑体" w:hAnsi="黑体" w:hint="eastAsia"/>
                <w:b/>
                <w:sz w:val="20"/>
                <w:szCs w:val="20"/>
              </w:rPr>
              <w:t>注释</w:t>
            </w:r>
          </w:p>
        </w:tc>
      </w:tr>
      <w:tr w:rsidR="00A052DC" w14:paraId="4E1A1B2D" w14:textId="77777777">
        <w:tc>
          <w:tcPr>
            <w:tcW w:w="1555" w:type="pct"/>
          </w:tcPr>
          <w:p w14:paraId="1F0908C7" w14:textId="77777777" w:rsidR="00A052DC" w:rsidRDefault="009F0A60">
            <w:pPr>
              <w:rPr>
                <w:rFonts w:ascii="黑体" w:eastAsia="黑体" w:hAnsi="黑体"/>
                <w:sz w:val="20"/>
                <w:szCs w:val="20"/>
              </w:rPr>
            </w:pPr>
            <w:r>
              <w:rPr>
                <w:rFonts w:ascii="黑体" w:eastAsia="黑体" w:hAnsi="黑体" w:hint="eastAsia"/>
                <w:sz w:val="20"/>
                <w:szCs w:val="20"/>
              </w:rPr>
              <w:t>申报号码</w:t>
            </w:r>
          </w:p>
        </w:tc>
        <w:tc>
          <w:tcPr>
            <w:tcW w:w="836" w:type="pct"/>
          </w:tcPr>
          <w:p w14:paraId="38A28C57"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RPTNO</w:t>
            </w:r>
          </w:p>
        </w:tc>
        <w:tc>
          <w:tcPr>
            <w:tcW w:w="914" w:type="pct"/>
          </w:tcPr>
          <w:p w14:paraId="4EEEBB79" w14:textId="77777777" w:rsidR="00A052DC" w:rsidRDefault="009F0A60">
            <w:pPr>
              <w:rPr>
                <w:rFonts w:ascii="黑体" w:eastAsia="黑体" w:hAnsi="黑体" w:cs="宋体"/>
                <w:sz w:val="20"/>
                <w:szCs w:val="20"/>
              </w:rPr>
            </w:pPr>
            <w:r>
              <w:rPr>
                <w:rFonts w:ascii="黑体" w:eastAsia="黑体" w:hAnsi="黑体" w:hint="eastAsia"/>
                <w:sz w:val="20"/>
                <w:szCs w:val="20"/>
              </w:rPr>
              <w:t>字符型，22</w:t>
            </w:r>
          </w:p>
        </w:tc>
        <w:tc>
          <w:tcPr>
            <w:tcW w:w="1694" w:type="pct"/>
          </w:tcPr>
          <w:p w14:paraId="379AF0F1" w14:textId="77777777" w:rsidR="00A052DC" w:rsidRDefault="00A052DC">
            <w:pPr>
              <w:rPr>
                <w:rFonts w:ascii="黑体" w:eastAsia="黑体" w:hAnsi="黑体" w:cs="宋体"/>
                <w:sz w:val="20"/>
                <w:szCs w:val="20"/>
              </w:rPr>
            </w:pPr>
          </w:p>
        </w:tc>
      </w:tr>
      <w:tr w:rsidR="00A052DC" w14:paraId="685D5902" w14:textId="77777777">
        <w:tc>
          <w:tcPr>
            <w:tcW w:w="1555" w:type="pct"/>
          </w:tcPr>
          <w:p w14:paraId="5A916E14" w14:textId="77777777" w:rsidR="00A052DC" w:rsidRDefault="009F0A60">
            <w:pPr>
              <w:rPr>
                <w:rFonts w:ascii="黑体" w:eastAsia="黑体" w:hAnsi="黑体"/>
                <w:sz w:val="20"/>
                <w:szCs w:val="20"/>
              </w:rPr>
            </w:pPr>
            <w:r>
              <w:rPr>
                <w:rFonts w:ascii="黑体" w:eastAsia="黑体" w:hAnsi="黑体" w:hint="eastAsia"/>
                <w:sz w:val="20"/>
                <w:szCs w:val="20"/>
              </w:rPr>
              <w:t>付款人类型</w:t>
            </w:r>
          </w:p>
        </w:tc>
        <w:tc>
          <w:tcPr>
            <w:tcW w:w="836" w:type="pct"/>
          </w:tcPr>
          <w:p w14:paraId="1838E237"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PAYEETYPE</w:t>
            </w:r>
          </w:p>
        </w:tc>
        <w:tc>
          <w:tcPr>
            <w:tcW w:w="914" w:type="pct"/>
          </w:tcPr>
          <w:p w14:paraId="594B0F80" w14:textId="77777777" w:rsidR="00A052DC" w:rsidRDefault="009F0A60">
            <w:pPr>
              <w:rPr>
                <w:rFonts w:ascii="黑体" w:eastAsia="黑体" w:hAnsi="黑体" w:cs="宋体"/>
                <w:sz w:val="20"/>
                <w:szCs w:val="20"/>
              </w:rPr>
            </w:pPr>
            <w:r>
              <w:rPr>
                <w:rFonts w:ascii="黑体" w:eastAsia="黑体" w:hAnsi="黑体" w:hint="eastAsia"/>
                <w:sz w:val="20"/>
                <w:szCs w:val="20"/>
              </w:rPr>
              <w:t>字符型，1</w:t>
            </w:r>
          </w:p>
        </w:tc>
        <w:tc>
          <w:tcPr>
            <w:tcW w:w="1694" w:type="pct"/>
          </w:tcPr>
          <w:p w14:paraId="2F9E9232" w14:textId="77777777" w:rsidR="00A052DC" w:rsidRDefault="009F0A60">
            <w:pPr>
              <w:rPr>
                <w:rFonts w:ascii="黑体" w:eastAsia="黑体" w:hAnsi="黑体"/>
                <w:sz w:val="20"/>
                <w:szCs w:val="20"/>
              </w:rPr>
            </w:pPr>
            <w:r>
              <w:rPr>
                <w:rFonts w:ascii="黑体" w:eastAsia="黑体" w:hAnsi="黑体" w:hint="eastAsia"/>
                <w:sz w:val="20"/>
                <w:szCs w:val="20"/>
              </w:rPr>
              <w:t>C</w:t>
            </w:r>
            <w:r w:rsidR="00AE4602">
              <w:rPr>
                <w:rFonts w:ascii="黑体" w:eastAsia="黑体" w:hAnsi="黑体" w:hint="eastAsia"/>
                <w:sz w:val="20"/>
                <w:szCs w:val="20"/>
              </w:rPr>
              <w:t>-</w:t>
            </w:r>
            <w:r>
              <w:rPr>
                <w:rFonts w:ascii="黑体" w:eastAsia="黑体" w:hAnsi="黑体" w:hint="eastAsia"/>
                <w:sz w:val="20"/>
                <w:szCs w:val="20"/>
              </w:rPr>
              <w:t>对公用户</w:t>
            </w:r>
          </w:p>
          <w:p w14:paraId="715B42D5" w14:textId="77777777" w:rsidR="00A052DC" w:rsidRDefault="009F0A60">
            <w:pPr>
              <w:rPr>
                <w:rFonts w:ascii="黑体" w:eastAsia="黑体" w:hAnsi="黑体"/>
                <w:sz w:val="20"/>
                <w:szCs w:val="20"/>
              </w:rPr>
            </w:pPr>
            <w:r>
              <w:rPr>
                <w:rFonts w:ascii="黑体" w:eastAsia="黑体" w:hAnsi="黑体" w:hint="eastAsia"/>
                <w:sz w:val="20"/>
                <w:szCs w:val="20"/>
              </w:rPr>
              <w:t>D</w:t>
            </w:r>
            <w:r w:rsidR="00AE4602">
              <w:rPr>
                <w:rFonts w:ascii="黑体" w:eastAsia="黑体" w:hAnsi="黑体" w:hint="eastAsia"/>
                <w:sz w:val="20"/>
                <w:szCs w:val="20"/>
              </w:rPr>
              <w:t>-</w:t>
            </w:r>
            <w:r>
              <w:rPr>
                <w:rFonts w:ascii="黑体" w:eastAsia="黑体" w:hAnsi="黑体" w:hint="eastAsia"/>
                <w:sz w:val="20"/>
                <w:szCs w:val="20"/>
              </w:rPr>
              <w:t>对私中国居民</w:t>
            </w:r>
          </w:p>
          <w:p w14:paraId="551FC7D5" w14:textId="77777777" w:rsidR="00A052DC" w:rsidRDefault="009F0A60">
            <w:pPr>
              <w:rPr>
                <w:rFonts w:ascii="黑体" w:eastAsia="黑体" w:hAnsi="黑体"/>
                <w:sz w:val="20"/>
                <w:szCs w:val="20"/>
              </w:rPr>
            </w:pPr>
            <w:r>
              <w:rPr>
                <w:rFonts w:ascii="黑体" w:eastAsia="黑体" w:hAnsi="黑体" w:hint="eastAsia"/>
                <w:sz w:val="20"/>
                <w:szCs w:val="20"/>
              </w:rPr>
              <w:t>F</w:t>
            </w:r>
            <w:r w:rsidR="00AE4602">
              <w:rPr>
                <w:rFonts w:ascii="黑体" w:eastAsia="黑体" w:hAnsi="黑体" w:hint="eastAsia"/>
                <w:sz w:val="20"/>
                <w:szCs w:val="20"/>
              </w:rPr>
              <w:t>-</w:t>
            </w:r>
            <w:r>
              <w:rPr>
                <w:rFonts w:ascii="黑体" w:eastAsia="黑体" w:hAnsi="黑体" w:hint="eastAsia"/>
                <w:sz w:val="20"/>
                <w:szCs w:val="20"/>
              </w:rPr>
              <w:t>对私中国非居民</w:t>
            </w:r>
          </w:p>
          <w:p w14:paraId="3F422A4B" w14:textId="77777777" w:rsidR="00A052DC" w:rsidRDefault="00A052DC">
            <w:pPr>
              <w:rPr>
                <w:rFonts w:ascii="黑体" w:eastAsia="黑体" w:hAnsi="黑体"/>
                <w:sz w:val="20"/>
                <w:szCs w:val="20"/>
              </w:rPr>
            </w:pPr>
          </w:p>
        </w:tc>
      </w:tr>
      <w:tr w:rsidR="00A052DC" w14:paraId="63C15377" w14:textId="77777777">
        <w:tc>
          <w:tcPr>
            <w:tcW w:w="1555" w:type="pct"/>
          </w:tcPr>
          <w:p w14:paraId="602C92CB"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个人身份证件号码</w:t>
            </w:r>
          </w:p>
        </w:tc>
        <w:tc>
          <w:tcPr>
            <w:tcW w:w="836" w:type="pct"/>
          </w:tcPr>
          <w:p w14:paraId="29085342"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IDCODE</w:t>
            </w:r>
          </w:p>
        </w:tc>
        <w:tc>
          <w:tcPr>
            <w:tcW w:w="914" w:type="pct"/>
          </w:tcPr>
          <w:p w14:paraId="3F6ED8D4" w14:textId="77777777" w:rsidR="00A052DC" w:rsidRDefault="009F0A60">
            <w:pPr>
              <w:rPr>
                <w:rFonts w:ascii="黑体" w:eastAsia="黑体" w:hAnsi="黑体" w:cs="宋体"/>
                <w:sz w:val="20"/>
                <w:szCs w:val="20"/>
              </w:rPr>
            </w:pPr>
            <w:r>
              <w:rPr>
                <w:rFonts w:ascii="黑体" w:eastAsia="黑体" w:hAnsi="黑体" w:hint="eastAsia"/>
                <w:sz w:val="20"/>
                <w:szCs w:val="20"/>
              </w:rPr>
              <w:t>字符型，32</w:t>
            </w:r>
          </w:p>
        </w:tc>
        <w:tc>
          <w:tcPr>
            <w:tcW w:w="1694" w:type="pct"/>
          </w:tcPr>
          <w:p w14:paraId="1A810C4B" w14:textId="77777777" w:rsidR="00A052DC" w:rsidRDefault="00A052DC">
            <w:pPr>
              <w:rPr>
                <w:rFonts w:ascii="黑体" w:eastAsia="黑体" w:hAnsi="黑体" w:cs="宋体"/>
                <w:sz w:val="20"/>
                <w:szCs w:val="20"/>
              </w:rPr>
            </w:pPr>
          </w:p>
        </w:tc>
      </w:tr>
      <w:tr w:rsidR="00A052DC" w14:paraId="3E5F1D98" w14:textId="77777777">
        <w:tc>
          <w:tcPr>
            <w:tcW w:w="1555" w:type="pct"/>
          </w:tcPr>
          <w:p w14:paraId="0AABDB3E"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主体标识码</w:t>
            </w:r>
          </w:p>
        </w:tc>
        <w:tc>
          <w:tcPr>
            <w:tcW w:w="836" w:type="pct"/>
          </w:tcPr>
          <w:p w14:paraId="7E069949"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UNITCODE</w:t>
            </w:r>
          </w:p>
        </w:tc>
        <w:tc>
          <w:tcPr>
            <w:tcW w:w="914" w:type="pct"/>
          </w:tcPr>
          <w:p w14:paraId="5E337576" w14:textId="77777777" w:rsidR="00A052DC" w:rsidRDefault="009F0A60">
            <w:pPr>
              <w:rPr>
                <w:rFonts w:ascii="黑体" w:eastAsia="黑体" w:hAnsi="黑体" w:cs="宋体"/>
                <w:sz w:val="20"/>
                <w:szCs w:val="20"/>
              </w:rPr>
            </w:pPr>
            <w:r>
              <w:rPr>
                <w:rFonts w:ascii="黑体" w:eastAsia="黑体" w:hAnsi="黑体" w:hint="eastAsia"/>
                <w:sz w:val="20"/>
                <w:szCs w:val="20"/>
              </w:rPr>
              <w:t>字符型，18</w:t>
            </w:r>
          </w:p>
        </w:tc>
        <w:tc>
          <w:tcPr>
            <w:tcW w:w="1694" w:type="pct"/>
          </w:tcPr>
          <w:p w14:paraId="772E1817" w14:textId="77777777" w:rsidR="00A052DC" w:rsidRDefault="009F0A60">
            <w:pPr>
              <w:rPr>
                <w:rFonts w:ascii="黑体" w:eastAsia="黑体" w:hAnsi="黑体" w:cs="宋体"/>
                <w:sz w:val="20"/>
                <w:szCs w:val="20"/>
              </w:rPr>
            </w:pPr>
            <w:r>
              <w:rPr>
                <w:rFonts w:ascii="黑体" w:eastAsia="黑体" w:hAnsi="黑体" w:cs="宋体" w:hint="eastAsia"/>
                <w:sz w:val="20"/>
                <w:szCs w:val="20"/>
              </w:rPr>
              <w:t>指统一社会信用代码法定载体（如营业执照）上统一社会信用代码中的第9至17位或国家外汇管理局及其分支局签发的特殊机构代码赋码通知书上的机构代码。</w:t>
            </w:r>
          </w:p>
        </w:tc>
      </w:tr>
      <w:tr w:rsidR="00A052DC" w14:paraId="5B0FD750" w14:textId="77777777">
        <w:tc>
          <w:tcPr>
            <w:tcW w:w="1555" w:type="pct"/>
          </w:tcPr>
          <w:p w14:paraId="61FF3824" w14:textId="77777777" w:rsidR="00A052DC" w:rsidRDefault="009F0A60">
            <w:pPr>
              <w:rPr>
                <w:rFonts w:ascii="黑体" w:eastAsia="黑体" w:hAnsi="黑体"/>
                <w:sz w:val="20"/>
                <w:szCs w:val="20"/>
              </w:rPr>
            </w:pPr>
            <w:r>
              <w:rPr>
                <w:rFonts w:ascii="黑体" w:eastAsia="黑体" w:hAnsi="黑体" w:hint="eastAsia"/>
                <w:sz w:val="20"/>
                <w:szCs w:val="20"/>
              </w:rPr>
              <w:t>付款人名称</w:t>
            </w:r>
          </w:p>
        </w:tc>
        <w:tc>
          <w:tcPr>
            <w:tcW w:w="836" w:type="pct"/>
          </w:tcPr>
          <w:p w14:paraId="1719BAD0"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CUSTNAME</w:t>
            </w:r>
          </w:p>
        </w:tc>
        <w:tc>
          <w:tcPr>
            <w:tcW w:w="914" w:type="pct"/>
          </w:tcPr>
          <w:p w14:paraId="51206918" w14:textId="77777777" w:rsidR="00A052DC" w:rsidRDefault="009F0A60">
            <w:pPr>
              <w:rPr>
                <w:rFonts w:ascii="黑体" w:eastAsia="黑体" w:hAnsi="黑体" w:cs="宋体"/>
                <w:sz w:val="20"/>
                <w:szCs w:val="20"/>
              </w:rPr>
            </w:pPr>
            <w:r>
              <w:rPr>
                <w:rFonts w:ascii="黑体" w:eastAsia="黑体" w:hAnsi="黑体" w:hint="eastAsia"/>
                <w:sz w:val="20"/>
                <w:szCs w:val="20"/>
              </w:rPr>
              <w:t>字符型，128</w:t>
            </w:r>
          </w:p>
        </w:tc>
        <w:tc>
          <w:tcPr>
            <w:tcW w:w="1694" w:type="pct"/>
          </w:tcPr>
          <w:p w14:paraId="636CAC03" w14:textId="77777777" w:rsidR="00A052DC" w:rsidRDefault="00A052DC">
            <w:pPr>
              <w:rPr>
                <w:rFonts w:ascii="黑体" w:eastAsia="黑体" w:hAnsi="黑体" w:cs="宋体"/>
                <w:sz w:val="20"/>
                <w:szCs w:val="20"/>
              </w:rPr>
            </w:pPr>
          </w:p>
        </w:tc>
      </w:tr>
      <w:tr w:rsidR="00A052DC" w14:paraId="0EFDEF61" w14:textId="77777777">
        <w:tc>
          <w:tcPr>
            <w:tcW w:w="1555" w:type="pct"/>
          </w:tcPr>
          <w:p w14:paraId="09C40B4E" w14:textId="77777777" w:rsidR="00A052DC" w:rsidRDefault="009F0A60">
            <w:pPr>
              <w:rPr>
                <w:rFonts w:ascii="黑体" w:eastAsia="黑体" w:hAnsi="黑体"/>
                <w:sz w:val="20"/>
                <w:szCs w:val="20"/>
              </w:rPr>
            </w:pPr>
            <w:r>
              <w:rPr>
                <w:rFonts w:ascii="黑体" w:eastAsia="黑体" w:hAnsi="黑体" w:hint="eastAsia"/>
                <w:sz w:val="20"/>
                <w:szCs w:val="20"/>
              </w:rPr>
              <w:t>收款人名称</w:t>
            </w:r>
          </w:p>
        </w:tc>
        <w:tc>
          <w:tcPr>
            <w:tcW w:w="836" w:type="pct"/>
          </w:tcPr>
          <w:p w14:paraId="40F270C0"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OPPNAME</w:t>
            </w:r>
          </w:p>
        </w:tc>
        <w:tc>
          <w:tcPr>
            <w:tcW w:w="914" w:type="pct"/>
          </w:tcPr>
          <w:p w14:paraId="2FDC3F2E" w14:textId="77777777" w:rsidR="00A052DC" w:rsidRDefault="009F0A60">
            <w:pPr>
              <w:rPr>
                <w:rFonts w:ascii="黑体" w:eastAsia="黑体" w:hAnsi="黑体" w:cs="宋体"/>
                <w:sz w:val="20"/>
                <w:szCs w:val="20"/>
              </w:rPr>
            </w:pPr>
            <w:r>
              <w:rPr>
                <w:rFonts w:ascii="黑体" w:eastAsia="黑体" w:hAnsi="黑体" w:hint="eastAsia"/>
                <w:sz w:val="20"/>
                <w:szCs w:val="20"/>
              </w:rPr>
              <w:t>字符型，128</w:t>
            </w:r>
          </w:p>
        </w:tc>
        <w:tc>
          <w:tcPr>
            <w:tcW w:w="1694" w:type="pct"/>
          </w:tcPr>
          <w:p w14:paraId="2F70A1DA" w14:textId="77777777" w:rsidR="00A052DC" w:rsidRDefault="00A052DC">
            <w:pPr>
              <w:rPr>
                <w:rFonts w:ascii="黑体" w:eastAsia="黑体" w:hAnsi="黑体" w:cs="宋体"/>
                <w:sz w:val="20"/>
                <w:szCs w:val="20"/>
              </w:rPr>
            </w:pPr>
          </w:p>
        </w:tc>
      </w:tr>
      <w:tr w:rsidR="00A052DC" w14:paraId="07A95FC9" w14:textId="77777777">
        <w:tc>
          <w:tcPr>
            <w:tcW w:w="1555" w:type="pct"/>
          </w:tcPr>
          <w:p w14:paraId="3ED52525" w14:textId="77777777" w:rsidR="00A052DC" w:rsidRDefault="009F0A60">
            <w:pPr>
              <w:rPr>
                <w:rFonts w:ascii="黑体" w:eastAsia="黑体" w:hAnsi="黑体"/>
                <w:sz w:val="20"/>
                <w:szCs w:val="20"/>
              </w:rPr>
            </w:pPr>
            <w:r>
              <w:rPr>
                <w:rFonts w:ascii="黑体" w:eastAsia="黑体" w:hAnsi="黑体" w:hint="eastAsia"/>
                <w:sz w:val="20"/>
                <w:szCs w:val="20"/>
              </w:rPr>
              <w:t>付款币种</w:t>
            </w:r>
          </w:p>
        </w:tc>
        <w:tc>
          <w:tcPr>
            <w:tcW w:w="836" w:type="pct"/>
          </w:tcPr>
          <w:p w14:paraId="11FECC2B"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TXCCY</w:t>
            </w:r>
          </w:p>
        </w:tc>
        <w:tc>
          <w:tcPr>
            <w:tcW w:w="914" w:type="pct"/>
          </w:tcPr>
          <w:p w14:paraId="76EB4B49" w14:textId="77777777" w:rsidR="00A052DC" w:rsidRDefault="009F0A60">
            <w:pPr>
              <w:rPr>
                <w:rFonts w:ascii="黑体" w:eastAsia="黑体" w:hAnsi="黑体" w:cs="宋体"/>
                <w:sz w:val="20"/>
                <w:szCs w:val="20"/>
              </w:rPr>
            </w:pPr>
            <w:r>
              <w:rPr>
                <w:rFonts w:ascii="黑体" w:eastAsia="黑体" w:hAnsi="黑体" w:hint="eastAsia"/>
                <w:sz w:val="20"/>
                <w:szCs w:val="20"/>
              </w:rPr>
              <w:t>字符型，3</w:t>
            </w:r>
          </w:p>
        </w:tc>
        <w:tc>
          <w:tcPr>
            <w:tcW w:w="1694" w:type="pct"/>
          </w:tcPr>
          <w:p w14:paraId="3BB41C2B" w14:textId="77777777" w:rsidR="00A052DC" w:rsidRDefault="00A052DC">
            <w:pPr>
              <w:rPr>
                <w:rFonts w:ascii="黑体" w:eastAsia="黑体" w:hAnsi="黑体" w:cs="宋体"/>
                <w:sz w:val="20"/>
                <w:szCs w:val="20"/>
              </w:rPr>
            </w:pPr>
          </w:p>
        </w:tc>
      </w:tr>
      <w:tr w:rsidR="00A052DC" w14:paraId="32F39ED0" w14:textId="77777777">
        <w:tc>
          <w:tcPr>
            <w:tcW w:w="1555" w:type="pct"/>
          </w:tcPr>
          <w:p w14:paraId="07CC6469" w14:textId="77777777" w:rsidR="00A052DC" w:rsidRDefault="009F0A60">
            <w:pPr>
              <w:rPr>
                <w:rFonts w:ascii="黑体" w:eastAsia="黑体" w:hAnsi="黑体"/>
                <w:sz w:val="20"/>
                <w:szCs w:val="20"/>
              </w:rPr>
            </w:pPr>
            <w:r>
              <w:rPr>
                <w:rFonts w:ascii="黑体" w:eastAsia="黑体" w:hAnsi="黑体" w:hint="eastAsia"/>
                <w:sz w:val="20"/>
                <w:szCs w:val="20"/>
              </w:rPr>
              <w:t>付款金额</w:t>
            </w:r>
          </w:p>
        </w:tc>
        <w:tc>
          <w:tcPr>
            <w:tcW w:w="836" w:type="pct"/>
          </w:tcPr>
          <w:p w14:paraId="4734C113"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TXAMT</w:t>
            </w:r>
          </w:p>
        </w:tc>
        <w:tc>
          <w:tcPr>
            <w:tcW w:w="914" w:type="pct"/>
          </w:tcPr>
          <w:p w14:paraId="4DDFC0D5" w14:textId="77777777" w:rsidR="00A052DC" w:rsidRDefault="009F0A60">
            <w:pPr>
              <w:rPr>
                <w:rFonts w:ascii="黑体" w:eastAsia="黑体" w:hAnsi="黑体" w:cs="宋体"/>
                <w:sz w:val="20"/>
                <w:szCs w:val="20"/>
              </w:rPr>
            </w:pPr>
            <w:r>
              <w:rPr>
                <w:rFonts w:ascii="黑体" w:eastAsia="黑体" w:hAnsi="黑体" w:hint="eastAsia"/>
                <w:sz w:val="20"/>
                <w:szCs w:val="20"/>
              </w:rPr>
              <w:t>数值型，22.0</w:t>
            </w:r>
          </w:p>
        </w:tc>
        <w:tc>
          <w:tcPr>
            <w:tcW w:w="1694" w:type="pct"/>
          </w:tcPr>
          <w:p w14:paraId="1BF5776F" w14:textId="77777777" w:rsidR="00A052DC" w:rsidRDefault="00A052DC">
            <w:pPr>
              <w:rPr>
                <w:rFonts w:ascii="黑体" w:eastAsia="黑体" w:hAnsi="黑体" w:cs="宋体"/>
                <w:sz w:val="20"/>
                <w:szCs w:val="20"/>
              </w:rPr>
            </w:pPr>
          </w:p>
        </w:tc>
      </w:tr>
      <w:tr w:rsidR="00A052DC" w14:paraId="42386E72" w14:textId="77777777">
        <w:tc>
          <w:tcPr>
            <w:tcW w:w="1555" w:type="pct"/>
          </w:tcPr>
          <w:p w14:paraId="472061F6" w14:textId="77777777" w:rsidR="00A052DC" w:rsidRDefault="009F0A60">
            <w:pPr>
              <w:rPr>
                <w:rFonts w:ascii="黑体" w:eastAsia="黑体" w:hAnsi="黑体"/>
                <w:sz w:val="20"/>
                <w:szCs w:val="20"/>
              </w:rPr>
            </w:pPr>
            <w:r>
              <w:rPr>
                <w:rFonts w:ascii="黑体" w:eastAsia="黑体" w:hAnsi="黑体" w:hint="eastAsia"/>
                <w:sz w:val="20"/>
                <w:szCs w:val="20"/>
              </w:rPr>
              <w:t>购汇汇率</w:t>
            </w:r>
          </w:p>
        </w:tc>
        <w:tc>
          <w:tcPr>
            <w:tcW w:w="836" w:type="pct"/>
          </w:tcPr>
          <w:p w14:paraId="405AF063"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EXRATE</w:t>
            </w:r>
          </w:p>
        </w:tc>
        <w:tc>
          <w:tcPr>
            <w:tcW w:w="914" w:type="pct"/>
          </w:tcPr>
          <w:p w14:paraId="7BC4CD85" w14:textId="77777777" w:rsidR="00A052DC" w:rsidRDefault="009F0A60">
            <w:pPr>
              <w:rPr>
                <w:rFonts w:ascii="黑体" w:eastAsia="黑体" w:hAnsi="黑体" w:cs="宋体"/>
                <w:sz w:val="20"/>
                <w:szCs w:val="20"/>
              </w:rPr>
            </w:pPr>
            <w:r>
              <w:rPr>
                <w:rFonts w:ascii="黑体" w:eastAsia="黑体" w:hAnsi="黑体" w:hint="eastAsia"/>
                <w:sz w:val="20"/>
                <w:szCs w:val="20"/>
              </w:rPr>
              <w:t>数值型，13.8</w:t>
            </w:r>
          </w:p>
        </w:tc>
        <w:tc>
          <w:tcPr>
            <w:tcW w:w="1694" w:type="pct"/>
          </w:tcPr>
          <w:p w14:paraId="480D5310" w14:textId="77777777" w:rsidR="00A052DC" w:rsidRDefault="00A052DC">
            <w:pPr>
              <w:rPr>
                <w:rFonts w:ascii="黑体" w:eastAsia="黑体" w:hAnsi="黑体" w:cs="宋体"/>
                <w:sz w:val="20"/>
                <w:szCs w:val="20"/>
              </w:rPr>
            </w:pPr>
          </w:p>
        </w:tc>
      </w:tr>
      <w:tr w:rsidR="00A052DC" w14:paraId="2D02CFF5" w14:textId="77777777">
        <w:tc>
          <w:tcPr>
            <w:tcW w:w="1555" w:type="pct"/>
          </w:tcPr>
          <w:p w14:paraId="09F1D8E5" w14:textId="77777777" w:rsidR="00A052DC" w:rsidRDefault="009F0A60">
            <w:pPr>
              <w:rPr>
                <w:rFonts w:ascii="黑体" w:eastAsia="黑体" w:hAnsi="黑体"/>
                <w:sz w:val="20"/>
                <w:szCs w:val="20"/>
              </w:rPr>
            </w:pPr>
            <w:r>
              <w:rPr>
                <w:rFonts w:ascii="黑体" w:eastAsia="黑体" w:hAnsi="黑体" w:hint="eastAsia"/>
                <w:sz w:val="20"/>
                <w:szCs w:val="20"/>
              </w:rPr>
              <w:t>购汇金额</w:t>
            </w:r>
          </w:p>
        </w:tc>
        <w:tc>
          <w:tcPr>
            <w:tcW w:w="836" w:type="pct"/>
          </w:tcPr>
          <w:p w14:paraId="1E1A75A0"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LCYAMT</w:t>
            </w:r>
          </w:p>
        </w:tc>
        <w:tc>
          <w:tcPr>
            <w:tcW w:w="914" w:type="pct"/>
          </w:tcPr>
          <w:p w14:paraId="781F49F2" w14:textId="77777777" w:rsidR="00A052DC" w:rsidRDefault="009F0A60">
            <w:pPr>
              <w:rPr>
                <w:rFonts w:ascii="黑体" w:eastAsia="黑体" w:hAnsi="黑体" w:cs="宋体"/>
                <w:sz w:val="20"/>
                <w:szCs w:val="20"/>
              </w:rPr>
            </w:pPr>
            <w:r>
              <w:rPr>
                <w:rFonts w:ascii="黑体" w:eastAsia="黑体" w:hAnsi="黑体" w:hint="eastAsia"/>
                <w:sz w:val="20"/>
                <w:szCs w:val="20"/>
              </w:rPr>
              <w:t>数值型，22.0</w:t>
            </w:r>
          </w:p>
        </w:tc>
        <w:tc>
          <w:tcPr>
            <w:tcW w:w="1694" w:type="pct"/>
          </w:tcPr>
          <w:p w14:paraId="6364CC69" w14:textId="77777777" w:rsidR="00A052DC" w:rsidRDefault="00A052DC">
            <w:pPr>
              <w:rPr>
                <w:rFonts w:ascii="黑体" w:eastAsia="黑体" w:hAnsi="黑体" w:cs="宋体"/>
                <w:sz w:val="20"/>
                <w:szCs w:val="20"/>
              </w:rPr>
            </w:pPr>
          </w:p>
        </w:tc>
      </w:tr>
      <w:tr w:rsidR="00A052DC" w14:paraId="18A055F5" w14:textId="77777777">
        <w:tc>
          <w:tcPr>
            <w:tcW w:w="1555" w:type="pct"/>
          </w:tcPr>
          <w:p w14:paraId="5FF0AE7D" w14:textId="77777777" w:rsidR="00A052DC" w:rsidRDefault="009F0A60">
            <w:pPr>
              <w:rPr>
                <w:rFonts w:ascii="黑体" w:eastAsia="黑体" w:hAnsi="黑体"/>
                <w:sz w:val="20"/>
                <w:szCs w:val="20"/>
              </w:rPr>
            </w:pPr>
            <w:r>
              <w:rPr>
                <w:rFonts w:ascii="黑体" w:eastAsia="黑体" w:hAnsi="黑体" w:hint="eastAsia"/>
                <w:sz w:val="20"/>
                <w:szCs w:val="20"/>
              </w:rPr>
              <w:t>人民币账号/银行卡号</w:t>
            </w:r>
          </w:p>
        </w:tc>
        <w:tc>
          <w:tcPr>
            <w:tcW w:w="836" w:type="pct"/>
          </w:tcPr>
          <w:p w14:paraId="2F62CC00"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LCYACC</w:t>
            </w:r>
          </w:p>
        </w:tc>
        <w:tc>
          <w:tcPr>
            <w:tcW w:w="914" w:type="pct"/>
          </w:tcPr>
          <w:p w14:paraId="7C38E6A0" w14:textId="77777777" w:rsidR="00A052DC" w:rsidRDefault="009F0A60">
            <w:pPr>
              <w:rPr>
                <w:rFonts w:ascii="黑体" w:eastAsia="黑体" w:hAnsi="黑体" w:cs="宋体"/>
                <w:sz w:val="20"/>
                <w:szCs w:val="20"/>
              </w:rPr>
            </w:pPr>
            <w:r>
              <w:rPr>
                <w:rFonts w:ascii="黑体" w:eastAsia="黑体" w:hAnsi="黑体" w:hint="eastAsia"/>
                <w:sz w:val="20"/>
                <w:szCs w:val="20"/>
              </w:rPr>
              <w:t>字符型，32</w:t>
            </w:r>
          </w:p>
        </w:tc>
        <w:tc>
          <w:tcPr>
            <w:tcW w:w="1694" w:type="pct"/>
          </w:tcPr>
          <w:p w14:paraId="2DF48508" w14:textId="77777777" w:rsidR="00A052DC" w:rsidRDefault="00A052DC">
            <w:pPr>
              <w:rPr>
                <w:rFonts w:ascii="黑体" w:eastAsia="黑体" w:hAnsi="黑体" w:cs="宋体"/>
                <w:sz w:val="20"/>
                <w:szCs w:val="20"/>
              </w:rPr>
            </w:pPr>
          </w:p>
        </w:tc>
      </w:tr>
      <w:tr w:rsidR="00A052DC" w14:paraId="47772FB4" w14:textId="77777777">
        <w:tc>
          <w:tcPr>
            <w:tcW w:w="1555" w:type="pct"/>
          </w:tcPr>
          <w:p w14:paraId="5A0E4782" w14:textId="77777777" w:rsidR="00A052DC" w:rsidRDefault="009F0A60">
            <w:pPr>
              <w:rPr>
                <w:rFonts w:ascii="黑体" w:eastAsia="黑体" w:hAnsi="黑体"/>
                <w:sz w:val="20"/>
                <w:szCs w:val="20"/>
              </w:rPr>
            </w:pPr>
            <w:r>
              <w:rPr>
                <w:rFonts w:ascii="黑体" w:eastAsia="黑体" w:hAnsi="黑体" w:hint="eastAsia"/>
                <w:sz w:val="20"/>
                <w:szCs w:val="20"/>
              </w:rPr>
              <w:t>现汇金额</w:t>
            </w:r>
          </w:p>
          <w:p w14:paraId="70DA2635" w14:textId="77777777" w:rsidR="00A052DC" w:rsidRDefault="00A052DC">
            <w:pPr>
              <w:rPr>
                <w:rFonts w:ascii="黑体" w:eastAsia="黑体" w:hAnsi="黑体"/>
                <w:sz w:val="20"/>
                <w:szCs w:val="20"/>
              </w:rPr>
            </w:pPr>
          </w:p>
        </w:tc>
        <w:tc>
          <w:tcPr>
            <w:tcW w:w="836" w:type="pct"/>
          </w:tcPr>
          <w:p w14:paraId="7BF8B33D"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FCYAMT</w:t>
            </w:r>
          </w:p>
        </w:tc>
        <w:tc>
          <w:tcPr>
            <w:tcW w:w="914" w:type="pct"/>
          </w:tcPr>
          <w:p w14:paraId="0F013242" w14:textId="77777777" w:rsidR="00A052DC" w:rsidRDefault="009F0A60">
            <w:pPr>
              <w:rPr>
                <w:rFonts w:ascii="黑体" w:eastAsia="黑体" w:hAnsi="黑体" w:cs="宋体"/>
                <w:sz w:val="20"/>
                <w:szCs w:val="20"/>
              </w:rPr>
            </w:pPr>
            <w:r>
              <w:rPr>
                <w:rFonts w:ascii="黑体" w:eastAsia="黑体" w:hAnsi="黑体" w:hint="eastAsia"/>
                <w:sz w:val="20"/>
                <w:szCs w:val="20"/>
              </w:rPr>
              <w:t>数值型，22.0</w:t>
            </w:r>
          </w:p>
        </w:tc>
        <w:tc>
          <w:tcPr>
            <w:tcW w:w="1694" w:type="pct"/>
          </w:tcPr>
          <w:p w14:paraId="3BF1D4A2" w14:textId="77777777" w:rsidR="00A052DC" w:rsidRDefault="00A052DC">
            <w:pPr>
              <w:rPr>
                <w:rFonts w:ascii="黑体" w:eastAsia="黑体" w:hAnsi="黑体" w:cs="宋体"/>
                <w:sz w:val="20"/>
                <w:szCs w:val="20"/>
              </w:rPr>
            </w:pPr>
          </w:p>
        </w:tc>
      </w:tr>
      <w:tr w:rsidR="00A052DC" w14:paraId="79A1541D" w14:textId="77777777">
        <w:tc>
          <w:tcPr>
            <w:tcW w:w="1555" w:type="pct"/>
          </w:tcPr>
          <w:p w14:paraId="426DF8F6" w14:textId="77777777" w:rsidR="00A052DC" w:rsidRDefault="009F0A60">
            <w:pPr>
              <w:rPr>
                <w:rFonts w:ascii="黑体" w:eastAsia="黑体" w:hAnsi="黑体"/>
                <w:sz w:val="20"/>
                <w:szCs w:val="20"/>
              </w:rPr>
            </w:pPr>
            <w:r>
              <w:rPr>
                <w:rFonts w:ascii="黑体" w:eastAsia="黑体" w:hAnsi="黑体" w:hint="eastAsia"/>
                <w:sz w:val="20"/>
                <w:szCs w:val="20"/>
              </w:rPr>
              <w:t>外汇账号/银行卡号</w:t>
            </w:r>
          </w:p>
        </w:tc>
        <w:tc>
          <w:tcPr>
            <w:tcW w:w="836" w:type="pct"/>
          </w:tcPr>
          <w:p w14:paraId="0FF4D6C7"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FCYACC</w:t>
            </w:r>
          </w:p>
        </w:tc>
        <w:tc>
          <w:tcPr>
            <w:tcW w:w="914" w:type="pct"/>
          </w:tcPr>
          <w:p w14:paraId="3EE048DD" w14:textId="77777777" w:rsidR="00A052DC" w:rsidRDefault="009F0A60">
            <w:pPr>
              <w:rPr>
                <w:rFonts w:ascii="黑体" w:eastAsia="黑体" w:hAnsi="黑体" w:cs="宋体"/>
                <w:sz w:val="20"/>
                <w:szCs w:val="20"/>
              </w:rPr>
            </w:pPr>
            <w:r>
              <w:rPr>
                <w:rFonts w:ascii="黑体" w:eastAsia="黑体" w:hAnsi="黑体" w:hint="eastAsia"/>
                <w:sz w:val="20"/>
                <w:szCs w:val="20"/>
              </w:rPr>
              <w:t>字符型，32</w:t>
            </w:r>
          </w:p>
        </w:tc>
        <w:tc>
          <w:tcPr>
            <w:tcW w:w="1694" w:type="pct"/>
          </w:tcPr>
          <w:p w14:paraId="3D582572" w14:textId="77777777" w:rsidR="00A052DC" w:rsidRDefault="00A052DC">
            <w:pPr>
              <w:rPr>
                <w:rFonts w:ascii="黑体" w:eastAsia="黑体" w:hAnsi="黑体" w:cs="宋体"/>
                <w:sz w:val="20"/>
                <w:szCs w:val="20"/>
              </w:rPr>
            </w:pPr>
          </w:p>
        </w:tc>
      </w:tr>
      <w:tr w:rsidR="00A052DC" w14:paraId="16E97657" w14:textId="77777777">
        <w:tc>
          <w:tcPr>
            <w:tcW w:w="1555" w:type="pct"/>
          </w:tcPr>
          <w:p w14:paraId="3D24C43D" w14:textId="77777777" w:rsidR="00A052DC" w:rsidRDefault="0021563C">
            <w:pPr>
              <w:rPr>
                <w:rFonts w:ascii="黑体" w:eastAsia="黑体" w:hAnsi="黑体"/>
                <w:sz w:val="20"/>
                <w:szCs w:val="20"/>
              </w:rPr>
            </w:pPr>
            <w:r>
              <w:rPr>
                <w:rFonts w:ascii="黑体" w:eastAsia="黑体" w:hAnsi="黑体" w:hint="eastAsia"/>
                <w:sz w:val="20"/>
                <w:szCs w:val="20"/>
              </w:rPr>
              <w:t>其他</w:t>
            </w:r>
            <w:r w:rsidR="009F0A60">
              <w:rPr>
                <w:rFonts w:ascii="黑体" w:eastAsia="黑体" w:hAnsi="黑体" w:hint="eastAsia"/>
                <w:sz w:val="20"/>
                <w:szCs w:val="20"/>
              </w:rPr>
              <w:t>金额</w:t>
            </w:r>
          </w:p>
        </w:tc>
        <w:tc>
          <w:tcPr>
            <w:tcW w:w="836" w:type="pct"/>
          </w:tcPr>
          <w:p w14:paraId="46891A9F"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OTHAMT</w:t>
            </w:r>
          </w:p>
        </w:tc>
        <w:tc>
          <w:tcPr>
            <w:tcW w:w="914" w:type="pct"/>
          </w:tcPr>
          <w:p w14:paraId="14CF2406" w14:textId="77777777" w:rsidR="00A052DC" w:rsidRDefault="009F0A60">
            <w:pPr>
              <w:rPr>
                <w:rFonts w:ascii="黑体" w:eastAsia="黑体" w:hAnsi="黑体" w:cs="宋体"/>
                <w:sz w:val="20"/>
                <w:szCs w:val="20"/>
              </w:rPr>
            </w:pPr>
            <w:r>
              <w:rPr>
                <w:rFonts w:ascii="黑体" w:eastAsia="黑体" w:hAnsi="黑体" w:hint="eastAsia"/>
                <w:sz w:val="20"/>
                <w:szCs w:val="20"/>
              </w:rPr>
              <w:t>数值型，22.0</w:t>
            </w:r>
          </w:p>
        </w:tc>
        <w:tc>
          <w:tcPr>
            <w:tcW w:w="1694" w:type="pct"/>
          </w:tcPr>
          <w:p w14:paraId="69A5C0FC" w14:textId="77777777" w:rsidR="00A052DC" w:rsidRDefault="00A052DC">
            <w:pPr>
              <w:rPr>
                <w:rFonts w:ascii="黑体" w:eastAsia="黑体" w:hAnsi="黑体" w:cs="宋体"/>
                <w:sz w:val="20"/>
                <w:szCs w:val="20"/>
              </w:rPr>
            </w:pPr>
          </w:p>
        </w:tc>
      </w:tr>
      <w:tr w:rsidR="00A052DC" w14:paraId="06EA95F7" w14:textId="77777777">
        <w:tc>
          <w:tcPr>
            <w:tcW w:w="1555" w:type="pct"/>
          </w:tcPr>
          <w:p w14:paraId="156DA593" w14:textId="77777777" w:rsidR="00A052DC" w:rsidRDefault="0021563C">
            <w:pPr>
              <w:rPr>
                <w:rFonts w:ascii="黑体" w:eastAsia="黑体" w:hAnsi="黑体"/>
                <w:sz w:val="20"/>
                <w:szCs w:val="20"/>
              </w:rPr>
            </w:pPr>
            <w:r>
              <w:rPr>
                <w:rFonts w:ascii="黑体" w:eastAsia="黑体" w:hAnsi="黑体" w:hint="eastAsia"/>
                <w:sz w:val="20"/>
                <w:szCs w:val="20"/>
              </w:rPr>
              <w:t>其他</w:t>
            </w:r>
            <w:r w:rsidR="009F0A60">
              <w:rPr>
                <w:rFonts w:ascii="黑体" w:eastAsia="黑体" w:hAnsi="黑体" w:hint="eastAsia"/>
                <w:sz w:val="20"/>
                <w:szCs w:val="20"/>
              </w:rPr>
              <w:t>账号/银行卡号</w:t>
            </w:r>
          </w:p>
          <w:p w14:paraId="2A75B432" w14:textId="77777777" w:rsidR="00A052DC" w:rsidRDefault="00A052DC">
            <w:pPr>
              <w:rPr>
                <w:rFonts w:ascii="黑体" w:eastAsia="黑体" w:hAnsi="黑体"/>
                <w:sz w:val="20"/>
                <w:szCs w:val="20"/>
              </w:rPr>
            </w:pPr>
          </w:p>
        </w:tc>
        <w:tc>
          <w:tcPr>
            <w:tcW w:w="836" w:type="pct"/>
          </w:tcPr>
          <w:p w14:paraId="008EBA0F"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OTHACC</w:t>
            </w:r>
          </w:p>
        </w:tc>
        <w:tc>
          <w:tcPr>
            <w:tcW w:w="914" w:type="pct"/>
          </w:tcPr>
          <w:p w14:paraId="7E848765" w14:textId="77777777" w:rsidR="00A052DC" w:rsidRDefault="009F0A60">
            <w:pPr>
              <w:rPr>
                <w:rFonts w:ascii="黑体" w:eastAsia="黑体" w:hAnsi="黑体" w:cs="宋体"/>
                <w:sz w:val="20"/>
                <w:szCs w:val="20"/>
              </w:rPr>
            </w:pPr>
            <w:r>
              <w:rPr>
                <w:rFonts w:ascii="黑体" w:eastAsia="黑体" w:hAnsi="黑体" w:hint="eastAsia"/>
                <w:sz w:val="20"/>
                <w:szCs w:val="20"/>
              </w:rPr>
              <w:t>字符型，32</w:t>
            </w:r>
          </w:p>
        </w:tc>
        <w:tc>
          <w:tcPr>
            <w:tcW w:w="1694" w:type="pct"/>
          </w:tcPr>
          <w:p w14:paraId="3D4B2581" w14:textId="77777777" w:rsidR="00A052DC" w:rsidRDefault="00A052DC">
            <w:pPr>
              <w:rPr>
                <w:rFonts w:ascii="黑体" w:eastAsia="黑体" w:hAnsi="黑体" w:cs="宋体"/>
                <w:sz w:val="20"/>
                <w:szCs w:val="20"/>
              </w:rPr>
            </w:pPr>
          </w:p>
        </w:tc>
      </w:tr>
      <w:tr w:rsidR="00A052DC" w14:paraId="6925BA7B" w14:textId="77777777">
        <w:tc>
          <w:tcPr>
            <w:tcW w:w="1555" w:type="pct"/>
          </w:tcPr>
          <w:p w14:paraId="7087DEDF" w14:textId="77777777" w:rsidR="00A052DC" w:rsidRDefault="009F0A60">
            <w:pPr>
              <w:rPr>
                <w:rFonts w:ascii="黑体" w:eastAsia="黑体" w:hAnsi="黑体"/>
                <w:sz w:val="20"/>
                <w:szCs w:val="20"/>
              </w:rPr>
            </w:pPr>
            <w:r>
              <w:rPr>
                <w:rFonts w:ascii="黑体" w:eastAsia="黑体" w:hAnsi="黑体" w:hint="eastAsia"/>
                <w:sz w:val="20"/>
                <w:szCs w:val="20"/>
              </w:rPr>
              <w:t>结算方式</w:t>
            </w:r>
          </w:p>
        </w:tc>
        <w:tc>
          <w:tcPr>
            <w:tcW w:w="836" w:type="pct"/>
          </w:tcPr>
          <w:p w14:paraId="277E0F6B"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PAYMETHOD</w:t>
            </w:r>
          </w:p>
        </w:tc>
        <w:tc>
          <w:tcPr>
            <w:tcW w:w="914" w:type="pct"/>
          </w:tcPr>
          <w:p w14:paraId="2A223FD5" w14:textId="77777777" w:rsidR="00A052DC" w:rsidRDefault="009F0A60">
            <w:pPr>
              <w:rPr>
                <w:rFonts w:ascii="黑体" w:eastAsia="黑体" w:hAnsi="黑体" w:cs="宋体"/>
                <w:sz w:val="20"/>
                <w:szCs w:val="20"/>
              </w:rPr>
            </w:pPr>
            <w:r>
              <w:rPr>
                <w:rFonts w:ascii="黑体" w:eastAsia="黑体" w:hAnsi="黑体" w:hint="eastAsia"/>
                <w:sz w:val="20"/>
                <w:szCs w:val="20"/>
              </w:rPr>
              <w:t>字符型，6</w:t>
            </w:r>
          </w:p>
        </w:tc>
        <w:tc>
          <w:tcPr>
            <w:tcW w:w="1694" w:type="pct"/>
          </w:tcPr>
          <w:p w14:paraId="7EF79E8C" w14:textId="77777777" w:rsidR="00A052DC" w:rsidRDefault="009F0A60">
            <w:pPr>
              <w:rPr>
                <w:rFonts w:ascii="黑体" w:eastAsia="黑体" w:hAnsi="黑体"/>
                <w:sz w:val="20"/>
                <w:szCs w:val="20"/>
              </w:rPr>
            </w:pPr>
            <w:r>
              <w:rPr>
                <w:rFonts w:ascii="黑体" w:eastAsia="黑体" w:hAnsi="黑体" w:hint="eastAsia"/>
                <w:sz w:val="20"/>
                <w:szCs w:val="20"/>
              </w:rPr>
              <w:t>L</w:t>
            </w:r>
            <w:r w:rsidR="00AE4602">
              <w:rPr>
                <w:rFonts w:ascii="黑体" w:eastAsia="黑体" w:hAnsi="黑体" w:hint="eastAsia"/>
                <w:sz w:val="20"/>
                <w:szCs w:val="20"/>
              </w:rPr>
              <w:t>-</w:t>
            </w:r>
            <w:r>
              <w:rPr>
                <w:rFonts w:ascii="黑体" w:eastAsia="黑体" w:hAnsi="黑体" w:hint="eastAsia"/>
                <w:sz w:val="20"/>
                <w:szCs w:val="20"/>
              </w:rPr>
              <w:t>信用证</w:t>
            </w:r>
          </w:p>
          <w:p w14:paraId="7C8A6EB2" w14:textId="77777777" w:rsidR="00A052DC" w:rsidRDefault="009F0A60">
            <w:pPr>
              <w:rPr>
                <w:rFonts w:ascii="黑体" w:eastAsia="黑体" w:hAnsi="黑体"/>
                <w:sz w:val="20"/>
                <w:szCs w:val="20"/>
              </w:rPr>
            </w:pPr>
            <w:r>
              <w:rPr>
                <w:rFonts w:ascii="黑体" w:eastAsia="黑体" w:hAnsi="黑体" w:hint="eastAsia"/>
                <w:sz w:val="20"/>
                <w:szCs w:val="20"/>
              </w:rPr>
              <w:t>C</w:t>
            </w:r>
            <w:r w:rsidR="00AE4602">
              <w:rPr>
                <w:rFonts w:ascii="黑体" w:eastAsia="黑体" w:hAnsi="黑体" w:hint="eastAsia"/>
                <w:sz w:val="20"/>
                <w:szCs w:val="20"/>
              </w:rPr>
              <w:t>-</w:t>
            </w:r>
            <w:r>
              <w:rPr>
                <w:rFonts w:ascii="黑体" w:eastAsia="黑体" w:hAnsi="黑体" w:hint="eastAsia"/>
                <w:sz w:val="20"/>
                <w:szCs w:val="20"/>
              </w:rPr>
              <w:t>托收</w:t>
            </w:r>
          </w:p>
          <w:p w14:paraId="65C59D05" w14:textId="77777777" w:rsidR="00A052DC" w:rsidRDefault="009F0A60">
            <w:pPr>
              <w:rPr>
                <w:rFonts w:ascii="黑体" w:eastAsia="黑体" w:hAnsi="黑体" w:cs="宋体"/>
                <w:sz w:val="20"/>
                <w:szCs w:val="20"/>
              </w:rPr>
            </w:pPr>
            <w:r>
              <w:rPr>
                <w:rFonts w:ascii="黑体" w:eastAsia="黑体" w:hAnsi="黑体" w:hint="eastAsia"/>
                <w:sz w:val="20"/>
                <w:szCs w:val="20"/>
              </w:rPr>
              <w:t>O</w:t>
            </w:r>
            <w:r w:rsidR="00AE4602">
              <w:rPr>
                <w:rFonts w:ascii="黑体" w:eastAsia="黑体" w:hAnsi="黑体" w:hint="eastAsia"/>
                <w:sz w:val="20"/>
                <w:szCs w:val="20"/>
              </w:rPr>
              <w:t>-</w:t>
            </w:r>
            <w:r>
              <w:rPr>
                <w:rFonts w:ascii="黑体" w:eastAsia="黑体" w:hAnsi="黑体" w:hint="eastAsia"/>
                <w:sz w:val="20"/>
                <w:szCs w:val="20"/>
              </w:rPr>
              <w:t>其他</w:t>
            </w:r>
          </w:p>
        </w:tc>
      </w:tr>
      <w:tr w:rsidR="00A052DC" w14:paraId="7DDE06C8" w14:textId="77777777">
        <w:tc>
          <w:tcPr>
            <w:tcW w:w="1555" w:type="pct"/>
          </w:tcPr>
          <w:p w14:paraId="676FEF93"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银行业务编码</w:t>
            </w:r>
          </w:p>
        </w:tc>
        <w:tc>
          <w:tcPr>
            <w:tcW w:w="836" w:type="pct"/>
          </w:tcPr>
          <w:p w14:paraId="4C46D403"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BUSICODE</w:t>
            </w:r>
          </w:p>
        </w:tc>
        <w:tc>
          <w:tcPr>
            <w:tcW w:w="914" w:type="pct"/>
          </w:tcPr>
          <w:p w14:paraId="5440495C" w14:textId="77777777" w:rsidR="00A052DC" w:rsidRDefault="009F0A60">
            <w:pPr>
              <w:rPr>
                <w:rFonts w:ascii="黑体" w:eastAsia="黑体" w:hAnsi="黑体" w:cs="宋体"/>
                <w:sz w:val="20"/>
                <w:szCs w:val="20"/>
              </w:rPr>
            </w:pPr>
            <w:r>
              <w:rPr>
                <w:rFonts w:ascii="黑体" w:eastAsia="黑体" w:hAnsi="黑体" w:hint="eastAsia"/>
                <w:sz w:val="20"/>
                <w:szCs w:val="20"/>
              </w:rPr>
              <w:t>字符型，22</w:t>
            </w:r>
          </w:p>
        </w:tc>
        <w:tc>
          <w:tcPr>
            <w:tcW w:w="1694" w:type="pct"/>
          </w:tcPr>
          <w:p w14:paraId="414B3932" w14:textId="77777777" w:rsidR="00A052DC" w:rsidRDefault="00A052DC">
            <w:pPr>
              <w:rPr>
                <w:rFonts w:ascii="黑体" w:eastAsia="黑体" w:hAnsi="黑体" w:cs="宋体"/>
                <w:sz w:val="20"/>
                <w:szCs w:val="20"/>
              </w:rPr>
            </w:pPr>
          </w:p>
        </w:tc>
      </w:tr>
      <w:tr w:rsidR="00A052DC" w14:paraId="174D59FA" w14:textId="77777777">
        <w:tc>
          <w:tcPr>
            <w:tcW w:w="1555" w:type="pct"/>
          </w:tcPr>
          <w:p w14:paraId="49B71BC5" w14:textId="77777777" w:rsidR="00A052DC" w:rsidRDefault="009F0A60">
            <w:pPr>
              <w:rPr>
                <w:rFonts w:ascii="黑体" w:eastAsia="黑体" w:hAnsi="黑体"/>
                <w:sz w:val="20"/>
                <w:szCs w:val="20"/>
              </w:rPr>
            </w:pPr>
            <w:r>
              <w:rPr>
                <w:rFonts w:ascii="黑体" w:eastAsia="黑体" w:hAnsi="黑体" w:hint="eastAsia"/>
                <w:sz w:val="20"/>
                <w:szCs w:val="20"/>
              </w:rPr>
              <w:t>实际付款币种</w:t>
            </w:r>
          </w:p>
        </w:tc>
        <w:tc>
          <w:tcPr>
            <w:tcW w:w="836" w:type="pct"/>
          </w:tcPr>
          <w:p w14:paraId="10B12AD0"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ACTUCCY</w:t>
            </w:r>
          </w:p>
        </w:tc>
        <w:tc>
          <w:tcPr>
            <w:tcW w:w="914" w:type="pct"/>
          </w:tcPr>
          <w:p w14:paraId="77C423A8" w14:textId="77777777" w:rsidR="00A052DC" w:rsidRDefault="009F0A60">
            <w:pPr>
              <w:rPr>
                <w:rFonts w:ascii="黑体" w:eastAsia="黑体" w:hAnsi="黑体"/>
                <w:sz w:val="20"/>
                <w:szCs w:val="20"/>
              </w:rPr>
            </w:pPr>
            <w:r>
              <w:rPr>
                <w:rFonts w:ascii="黑体" w:eastAsia="黑体" w:hAnsi="黑体" w:hint="eastAsia"/>
                <w:sz w:val="20"/>
                <w:szCs w:val="20"/>
              </w:rPr>
              <w:t>字符型，3</w:t>
            </w:r>
          </w:p>
        </w:tc>
        <w:tc>
          <w:tcPr>
            <w:tcW w:w="1694" w:type="pct"/>
          </w:tcPr>
          <w:p w14:paraId="3A98E9C7" w14:textId="77777777" w:rsidR="00A052DC" w:rsidRDefault="00A052DC">
            <w:pPr>
              <w:rPr>
                <w:rFonts w:ascii="黑体" w:eastAsia="黑体" w:hAnsi="黑体" w:cs="宋体"/>
                <w:sz w:val="20"/>
                <w:szCs w:val="20"/>
              </w:rPr>
            </w:pPr>
          </w:p>
        </w:tc>
      </w:tr>
      <w:tr w:rsidR="00A052DC" w14:paraId="5DC3E071" w14:textId="77777777">
        <w:tc>
          <w:tcPr>
            <w:tcW w:w="1555" w:type="pct"/>
          </w:tcPr>
          <w:p w14:paraId="0D8187C4" w14:textId="77777777" w:rsidR="00A052DC" w:rsidRDefault="009F0A60">
            <w:pPr>
              <w:rPr>
                <w:rFonts w:ascii="黑体" w:eastAsia="黑体" w:hAnsi="黑体"/>
                <w:sz w:val="20"/>
                <w:szCs w:val="20"/>
              </w:rPr>
            </w:pPr>
            <w:r>
              <w:rPr>
                <w:rFonts w:ascii="黑体" w:eastAsia="黑体" w:hAnsi="黑体" w:hint="eastAsia"/>
                <w:sz w:val="20"/>
                <w:szCs w:val="20"/>
              </w:rPr>
              <w:t>实际付款金额</w:t>
            </w:r>
          </w:p>
        </w:tc>
        <w:tc>
          <w:tcPr>
            <w:tcW w:w="836" w:type="pct"/>
          </w:tcPr>
          <w:p w14:paraId="3D4229AB"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ACTUAMT</w:t>
            </w:r>
          </w:p>
        </w:tc>
        <w:tc>
          <w:tcPr>
            <w:tcW w:w="914" w:type="pct"/>
          </w:tcPr>
          <w:p w14:paraId="2E455931" w14:textId="77777777" w:rsidR="00A052DC" w:rsidRDefault="009F0A60">
            <w:pPr>
              <w:rPr>
                <w:rFonts w:ascii="黑体" w:eastAsia="黑体" w:hAnsi="黑体"/>
                <w:sz w:val="20"/>
                <w:szCs w:val="20"/>
              </w:rPr>
            </w:pPr>
            <w:r>
              <w:rPr>
                <w:rFonts w:ascii="黑体" w:eastAsia="黑体" w:hAnsi="黑体" w:hint="eastAsia"/>
                <w:sz w:val="20"/>
                <w:szCs w:val="20"/>
              </w:rPr>
              <w:t>数值型，22.0</w:t>
            </w:r>
          </w:p>
        </w:tc>
        <w:tc>
          <w:tcPr>
            <w:tcW w:w="1694" w:type="pct"/>
          </w:tcPr>
          <w:p w14:paraId="357B7F00" w14:textId="77777777" w:rsidR="00A052DC" w:rsidRDefault="00A052DC">
            <w:pPr>
              <w:rPr>
                <w:rFonts w:ascii="黑体" w:eastAsia="黑体" w:hAnsi="黑体" w:cs="宋体"/>
                <w:sz w:val="20"/>
                <w:szCs w:val="20"/>
              </w:rPr>
            </w:pPr>
          </w:p>
        </w:tc>
      </w:tr>
      <w:tr w:rsidR="00A052DC" w14:paraId="5B37DE81" w14:textId="77777777">
        <w:tc>
          <w:tcPr>
            <w:tcW w:w="1555" w:type="pct"/>
          </w:tcPr>
          <w:p w14:paraId="3E8626CB" w14:textId="77777777" w:rsidR="00A052DC" w:rsidRDefault="009F0A60">
            <w:pPr>
              <w:rPr>
                <w:rFonts w:ascii="黑体" w:eastAsia="黑体" w:hAnsi="黑体"/>
                <w:sz w:val="20"/>
                <w:szCs w:val="20"/>
              </w:rPr>
            </w:pPr>
            <w:r>
              <w:rPr>
                <w:rFonts w:ascii="黑体" w:eastAsia="黑体" w:hAnsi="黑体" w:hint="eastAsia"/>
                <w:sz w:val="20"/>
                <w:szCs w:val="20"/>
              </w:rPr>
              <w:t>扣费币种</w:t>
            </w:r>
          </w:p>
        </w:tc>
        <w:tc>
          <w:tcPr>
            <w:tcW w:w="836" w:type="pct"/>
          </w:tcPr>
          <w:p w14:paraId="3B8B081F"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OUTCHARGECCY</w:t>
            </w:r>
          </w:p>
        </w:tc>
        <w:tc>
          <w:tcPr>
            <w:tcW w:w="914" w:type="pct"/>
          </w:tcPr>
          <w:p w14:paraId="5FC366F3" w14:textId="77777777" w:rsidR="00A052DC" w:rsidRDefault="009F0A60">
            <w:pPr>
              <w:rPr>
                <w:rFonts w:ascii="黑体" w:eastAsia="黑体" w:hAnsi="黑体"/>
                <w:sz w:val="20"/>
                <w:szCs w:val="20"/>
              </w:rPr>
            </w:pPr>
            <w:r>
              <w:rPr>
                <w:rFonts w:ascii="黑体" w:eastAsia="黑体" w:hAnsi="黑体" w:hint="eastAsia"/>
                <w:sz w:val="20"/>
                <w:szCs w:val="20"/>
              </w:rPr>
              <w:t>字符型，3</w:t>
            </w:r>
          </w:p>
        </w:tc>
        <w:tc>
          <w:tcPr>
            <w:tcW w:w="1694" w:type="pct"/>
          </w:tcPr>
          <w:p w14:paraId="66516260" w14:textId="77777777" w:rsidR="00A052DC" w:rsidRDefault="00A052DC">
            <w:pPr>
              <w:rPr>
                <w:rFonts w:ascii="黑体" w:eastAsia="黑体" w:hAnsi="黑体" w:cs="宋体"/>
                <w:sz w:val="20"/>
                <w:szCs w:val="20"/>
              </w:rPr>
            </w:pPr>
          </w:p>
        </w:tc>
      </w:tr>
      <w:tr w:rsidR="00A052DC" w14:paraId="22A94EB2" w14:textId="77777777">
        <w:tc>
          <w:tcPr>
            <w:tcW w:w="1555" w:type="pct"/>
          </w:tcPr>
          <w:p w14:paraId="095FEEB5" w14:textId="77777777" w:rsidR="00A052DC" w:rsidRDefault="009F0A60">
            <w:pPr>
              <w:rPr>
                <w:rFonts w:ascii="黑体" w:eastAsia="黑体" w:hAnsi="黑体"/>
                <w:sz w:val="20"/>
                <w:szCs w:val="20"/>
              </w:rPr>
            </w:pPr>
            <w:r>
              <w:rPr>
                <w:rFonts w:ascii="黑体" w:eastAsia="黑体" w:hAnsi="黑体" w:hint="eastAsia"/>
                <w:sz w:val="20"/>
                <w:szCs w:val="20"/>
              </w:rPr>
              <w:t>扣费金额</w:t>
            </w:r>
          </w:p>
        </w:tc>
        <w:tc>
          <w:tcPr>
            <w:tcW w:w="836" w:type="pct"/>
          </w:tcPr>
          <w:p w14:paraId="40554230"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OUTCHARGEAMT</w:t>
            </w:r>
          </w:p>
        </w:tc>
        <w:tc>
          <w:tcPr>
            <w:tcW w:w="914" w:type="pct"/>
          </w:tcPr>
          <w:p w14:paraId="21D8FA44" w14:textId="77777777" w:rsidR="00A052DC" w:rsidRDefault="009F0A60">
            <w:pPr>
              <w:rPr>
                <w:rFonts w:ascii="黑体" w:eastAsia="黑体" w:hAnsi="黑体"/>
                <w:sz w:val="20"/>
                <w:szCs w:val="20"/>
              </w:rPr>
            </w:pPr>
            <w:r>
              <w:rPr>
                <w:rFonts w:ascii="黑体" w:eastAsia="黑体" w:hAnsi="黑体" w:hint="eastAsia"/>
                <w:sz w:val="20"/>
                <w:szCs w:val="20"/>
              </w:rPr>
              <w:t>数值型，22.0</w:t>
            </w:r>
          </w:p>
        </w:tc>
        <w:tc>
          <w:tcPr>
            <w:tcW w:w="1694" w:type="pct"/>
          </w:tcPr>
          <w:p w14:paraId="1C05B97A" w14:textId="77777777" w:rsidR="00A052DC" w:rsidRDefault="00A052DC">
            <w:pPr>
              <w:rPr>
                <w:rFonts w:ascii="黑体" w:eastAsia="黑体" w:hAnsi="黑体" w:cs="宋体"/>
                <w:sz w:val="20"/>
                <w:szCs w:val="20"/>
              </w:rPr>
            </w:pPr>
          </w:p>
        </w:tc>
      </w:tr>
      <w:tr w:rsidR="00A052DC" w14:paraId="01DE398A" w14:textId="77777777">
        <w:tc>
          <w:tcPr>
            <w:tcW w:w="1555" w:type="pct"/>
          </w:tcPr>
          <w:p w14:paraId="543CC02E" w14:textId="77777777" w:rsidR="00A052DC" w:rsidRDefault="009F0A60">
            <w:pPr>
              <w:rPr>
                <w:rFonts w:ascii="黑体" w:eastAsia="黑体" w:hAnsi="黑体"/>
                <w:sz w:val="20"/>
                <w:szCs w:val="20"/>
              </w:rPr>
            </w:pPr>
            <w:r>
              <w:rPr>
                <w:rFonts w:ascii="黑体" w:eastAsia="黑体" w:hAnsi="黑体" w:hint="eastAsia"/>
                <w:sz w:val="20"/>
                <w:szCs w:val="20"/>
              </w:rPr>
              <w:t>信用证编号</w:t>
            </w:r>
          </w:p>
        </w:tc>
        <w:tc>
          <w:tcPr>
            <w:tcW w:w="836" w:type="pct"/>
          </w:tcPr>
          <w:p w14:paraId="39A5836C"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LCBGNO</w:t>
            </w:r>
          </w:p>
        </w:tc>
        <w:tc>
          <w:tcPr>
            <w:tcW w:w="914" w:type="pct"/>
          </w:tcPr>
          <w:p w14:paraId="1DAF907E" w14:textId="77777777" w:rsidR="00A052DC" w:rsidRDefault="009F0A60">
            <w:pPr>
              <w:rPr>
                <w:rFonts w:ascii="黑体" w:eastAsia="黑体" w:hAnsi="黑体"/>
                <w:sz w:val="20"/>
                <w:szCs w:val="20"/>
              </w:rPr>
            </w:pPr>
            <w:r>
              <w:rPr>
                <w:rFonts w:ascii="黑体" w:eastAsia="黑体" w:hAnsi="黑体" w:hint="eastAsia"/>
                <w:sz w:val="20"/>
                <w:szCs w:val="20"/>
              </w:rPr>
              <w:t>字符型，20</w:t>
            </w:r>
          </w:p>
        </w:tc>
        <w:tc>
          <w:tcPr>
            <w:tcW w:w="1694" w:type="pct"/>
          </w:tcPr>
          <w:p w14:paraId="7346E579" w14:textId="77777777" w:rsidR="00A052DC" w:rsidRDefault="00A052DC">
            <w:pPr>
              <w:rPr>
                <w:rFonts w:ascii="黑体" w:eastAsia="黑体" w:hAnsi="黑体" w:cs="宋体"/>
                <w:sz w:val="20"/>
                <w:szCs w:val="20"/>
              </w:rPr>
            </w:pPr>
          </w:p>
        </w:tc>
      </w:tr>
      <w:tr w:rsidR="00A052DC" w14:paraId="58993F80" w14:textId="77777777">
        <w:tc>
          <w:tcPr>
            <w:tcW w:w="1555" w:type="pct"/>
          </w:tcPr>
          <w:p w14:paraId="455209DF" w14:textId="77777777" w:rsidR="00A052DC" w:rsidRDefault="009F0A60">
            <w:pPr>
              <w:rPr>
                <w:rFonts w:ascii="黑体" w:eastAsia="黑体" w:hAnsi="黑体"/>
                <w:sz w:val="20"/>
                <w:szCs w:val="20"/>
              </w:rPr>
            </w:pPr>
            <w:r>
              <w:rPr>
                <w:rFonts w:ascii="黑体" w:eastAsia="黑体" w:hAnsi="黑体" w:hint="eastAsia"/>
                <w:sz w:val="20"/>
                <w:szCs w:val="20"/>
              </w:rPr>
              <w:t>开证日期</w:t>
            </w:r>
          </w:p>
        </w:tc>
        <w:tc>
          <w:tcPr>
            <w:tcW w:w="836" w:type="pct"/>
          </w:tcPr>
          <w:p w14:paraId="77518654"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ISSUEDATE</w:t>
            </w:r>
          </w:p>
        </w:tc>
        <w:tc>
          <w:tcPr>
            <w:tcW w:w="914" w:type="pct"/>
          </w:tcPr>
          <w:p w14:paraId="0D9B3EF4" w14:textId="77777777" w:rsidR="00A052DC" w:rsidRDefault="009F0A60">
            <w:pPr>
              <w:rPr>
                <w:rFonts w:ascii="黑体" w:eastAsia="黑体" w:hAnsi="黑体"/>
                <w:sz w:val="20"/>
                <w:szCs w:val="20"/>
              </w:rPr>
            </w:pPr>
            <w:r>
              <w:rPr>
                <w:rFonts w:ascii="黑体" w:eastAsia="黑体" w:hAnsi="黑体" w:hint="eastAsia"/>
                <w:sz w:val="20"/>
                <w:szCs w:val="20"/>
              </w:rPr>
              <w:t>日期型，8</w:t>
            </w:r>
          </w:p>
        </w:tc>
        <w:tc>
          <w:tcPr>
            <w:tcW w:w="1694" w:type="pct"/>
          </w:tcPr>
          <w:p w14:paraId="17CAC2A0" w14:textId="77777777" w:rsidR="00A052DC" w:rsidRDefault="009F0A60">
            <w:pPr>
              <w:rPr>
                <w:rFonts w:ascii="黑体" w:eastAsia="黑体" w:hAnsi="黑体" w:cs="宋体"/>
                <w:sz w:val="20"/>
                <w:szCs w:val="20"/>
              </w:rPr>
            </w:pPr>
            <w:r>
              <w:rPr>
                <w:rFonts w:ascii="黑体" w:eastAsia="黑体" w:hAnsi="黑体" w:hint="eastAsia"/>
                <w:sz w:val="20"/>
                <w:szCs w:val="20"/>
              </w:rPr>
              <w:t>YYYYMMDD</w:t>
            </w:r>
          </w:p>
        </w:tc>
      </w:tr>
      <w:tr w:rsidR="00A052DC" w14:paraId="1856F59A" w14:textId="77777777">
        <w:tc>
          <w:tcPr>
            <w:tcW w:w="1555" w:type="pct"/>
          </w:tcPr>
          <w:p w14:paraId="0A26075E" w14:textId="77777777" w:rsidR="00A052DC" w:rsidRDefault="009F0A60">
            <w:pPr>
              <w:rPr>
                <w:rFonts w:ascii="黑体" w:eastAsia="黑体" w:hAnsi="黑体"/>
                <w:sz w:val="20"/>
                <w:szCs w:val="20"/>
              </w:rPr>
            </w:pPr>
            <w:r>
              <w:rPr>
                <w:rFonts w:ascii="黑体" w:eastAsia="黑体" w:hAnsi="黑体" w:hint="eastAsia"/>
                <w:sz w:val="20"/>
                <w:szCs w:val="20"/>
              </w:rPr>
              <w:t>期限</w:t>
            </w:r>
          </w:p>
        </w:tc>
        <w:tc>
          <w:tcPr>
            <w:tcW w:w="836" w:type="pct"/>
          </w:tcPr>
          <w:p w14:paraId="6FF549E8"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TENOR</w:t>
            </w:r>
          </w:p>
        </w:tc>
        <w:tc>
          <w:tcPr>
            <w:tcW w:w="914" w:type="pct"/>
          </w:tcPr>
          <w:p w14:paraId="3021424B" w14:textId="77777777" w:rsidR="00A052DC" w:rsidRDefault="009F0A60">
            <w:pPr>
              <w:rPr>
                <w:rFonts w:ascii="黑体" w:eastAsia="黑体" w:hAnsi="黑体"/>
                <w:sz w:val="20"/>
                <w:szCs w:val="20"/>
              </w:rPr>
            </w:pPr>
            <w:r>
              <w:rPr>
                <w:rFonts w:ascii="黑体" w:eastAsia="黑体" w:hAnsi="黑体" w:hint="eastAsia"/>
                <w:sz w:val="20"/>
                <w:szCs w:val="20"/>
              </w:rPr>
              <w:t>数值型，10</w:t>
            </w:r>
          </w:p>
        </w:tc>
        <w:tc>
          <w:tcPr>
            <w:tcW w:w="1694" w:type="pct"/>
          </w:tcPr>
          <w:p w14:paraId="06F8F836" w14:textId="77777777" w:rsidR="00A052DC" w:rsidRDefault="009F0A60">
            <w:pPr>
              <w:rPr>
                <w:rFonts w:ascii="黑体" w:eastAsia="黑体" w:hAnsi="黑体" w:cs="宋体"/>
                <w:sz w:val="20"/>
                <w:szCs w:val="20"/>
              </w:rPr>
            </w:pPr>
            <w:r>
              <w:rPr>
                <w:rFonts w:ascii="黑体" w:eastAsia="黑体" w:hAnsi="黑体" w:hint="eastAsia"/>
                <w:sz w:val="20"/>
                <w:szCs w:val="20"/>
              </w:rPr>
              <w:t>单位为天</w:t>
            </w:r>
          </w:p>
        </w:tc>
      </w:tr>
      <w:tr w:rsidR="00A052DC" w14:paraId="01501BBF" w14:textId="77777777">
        <w:tc>
          <w:tcPr>
            <w:tcW w:w="1555" w:type="pct"/>
          </w:tcPr>
          <w:p w14:paraId="5B18E172" w14:textId="77777777" w:rsidR="00A052DC" w:rsidRDefault="009F0A60">
            <w:pPr>
              <w:rPr>
                <w:rFonts w:ascii="黑体" w:eastAsia="黑体" w:hAnsi="黑体"/>
                <w:sz w:val="20"/>
                <w:szCs w:val="20"/>
              </w:rPr>
            </w:pPr>
            <w:r>
              <w:rPr>
                <w:rFonts w:ascii="黑体" w:eastAsia="黑体" w:hAnsi="黑体" w:hint="eastAsia"/>
                <w:sz w:val="20"/>
                <w:szCs w:val="20"/>
              </w:rPr>
              <w:t>是否保税货物项下付款</w:t>
            </w:r>
          </w:p>
        </w:tc>
        <w:tc>
          <w:tcPr>
            <w:tcW w:w="836" w:type="pct"/>
          </w:tcPr>
          <w:p w14:paraId="648DBDB6"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ISWRITEOFF</w:t>
            </w:r>
          </w:p>
        </w:tc>
        <w:tc>
          <w:tcPr>
            <w:tcW w:w="914" w:type="pct"/>
          </w:tcPr>
          <w:p w14:paraId="2CB3CD27" w14:textId="77777777" w:rsidR="00A052DC" w:rsidRDefault="009F0A60">
            <w:pPr>
              <w:rPr>
                <w:rFonts w:ascii="黑体" w:eastAsia="黑体" w:hAnsi="黑体" w:cs="宋体"/>
                <w:sz w:val="20"/>
                <w:szCs w:val="20"/>
              </w:rPr>
            </w:pPr>
            <w:r>
              <w:rPr>
                <w:rFonts w:ascii="黑体" w:eastAsia="黑体" w:hAnsi="黑体" w:hint="eastAsia"/>
                <w:sz w:val="20"/>
                <w:szCs w:val="20"/>
              </w:rPr>
              <w:t>字符型，1</w:t>
            </w:r>
          </w:p>
        </w:tc>
        <w:tc>
          <w:tcPr>
            <w:tcW w:w="1694" w:type="pct"/>
          </w:tcPr>
          <w:p w14:paraId="08D22970" w14:textId="77777777" w:rsidR="00A052DC" w:rsidRDefault="009F0A60">
            <w:pPr>
              <w:rPr>
                <w:rFonts w:ascii="黑体" w:eastAsia="黑体" w:hAnsi="黑体" w:cs="宋体"/>
                <w:sz w:val="20"/>
                <w:szCs w:val="20"/>
              </w:rPr>
            </w:pPr>
            <w:r>
              <w:rPr>
                <w:rFonts w:ascii="黑体" w:eastAsia="黑体" w:hAnsi="黑体" w:cs="宋体" w:hint="eastAsia"/>
                <w:sz w:val="20"/>
                <w:szCs w:val="20"/>
              </w:rPr>
              <w:t>Y-是</w:t>
            </w:r>
          </w:p>
          <w:p w14:paraId="018C601E" w14:textId="77777777" w:rsidR="00A052DC" w:rsidRDefault="009F0A60">
            <w:pPr>
              <w:rPr>
                <w:rFonts w:ascii="黑体" w:eastAsia="黑体" w:hAnsi="黑体" w:cs="宋体"/>
                <w:sz w:val="20"/>
                <w:szCs w:val="20"/>
              </w:rPr>
            </w:pPr>
            <w:r>
              <w:rPr>
                <w:rFonts w:ascii="黑体" w:eastAsia="黑体" w:hAnsi="黑体" w:cs="宋体" w:hint="eastAsia"/>
                <w:sz w:val="20"/>
                <w:szCs w:val="20"/>
              </w:rPr>
              <w:t>N-否</w:t>
            </w:r>
          </w:p>
        </w:tc>
      </w:tr>
      <w:tr w:rsidR="00A052DC" w14:paraId="3A64DCB6" w14:textId="77777777">
        <w:tc>
          <w:tcPr>
            <w:tcW w:w="1555" w:type="pct"/>
          </w:tcPr>
          <w:p w14:paraId="79450E61" w14:textId="77777777" w:rsidR="00A052DC" w:rsidRDefault="009F0A60">
            <w:pPr>
              <w:rPr>
                <w:rFonts w:ascii="黑体" w:eastAsia="黑体" w:hAnsi="黑体"/>
                <w:sz w:val="20"/>
                <w:szCs w:val="20"/>
              </w:rPr>
            </w:pPr>
            <w:r>
              <w:rPr>
                <w:rFonts w:ascii="黑体" w:eastAsia="黑体" w:hAnsi="黑体" w:hint="eastAsia"/>
                <w:sz w:val="20"/>
                <w:szCs w:val="20"/>
              </w:rPr>
              <w:t>收款人常驻国家/地区代码</w:t>
            </w:r>
          </w:p>
        </w:tc>
        <w:tc>
          <w:tcPr>
            <w:tcW w:w="836" w:type="pct"/>
          </w:tcPr>
          <w:p w14:paraId="69459A14"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COUNTRYCODE</w:t>
            </w:r>
          </w:p>
        </w:tc>
        <w:tc>
          <w:tcPr>
            <w:tcW w:w="914" w:type="pct"/>
          </w:tcPr>
          <w:p w14:paraId="2E34E615" w14:textId="77777777" w:rsidR="00A052DC" w:rsidRDefault="009F0A60">
            <w:pPr>
              <w:rPr>
                <w:rFonts w:ascii="黑体" w:eastAsia="黑体" w:hAnsi="黑体" w:cs="宋体"/>
                <w:sz w:val="20"/>
                <w:szCs w:val="20"/>
              </w:rPr>
            </w:pPr>
            <w:r>
              <w:rPr>
                <w:rFonts w:ascii="黑体" w:eastAsia="黑体" w:hAnsi="黑体" w:hint="eastAsia"/>
                <w:sz w:val="20"/>
                <w:szCs w:val="20"/>
              </w:rPr>
              <w:t>字符型，3</w:t>
            </w:r>
          </w:p>
        </w:tc>
        <w:tc>
          <w:tcPr>
            <w:tcW w:w="1694" w:type="pct"/>
          </w:tcPr>
          <w:p w14:paraId="3E6B6DEC" w14:textId="77777777" w:rsidR="00A052DC" w:rsidRDefault="00A052DC">
            <w:pPr>
              <w:rPr>
                <w:rFonts w:ascii="黑体" w:eastAsia="黑体" w:hAnsi="黑体" w:cs="宋体"/>
                <w:sz w:val="20"/>
                <w:szCs w:val="20"/>
              </w:rPr>
            </w:pPr>
          </w:p>
        </w:tc>
      </w:tr>
      <w:tr w:rsidR="00A052DC" w14:paraId="2CA36FA0" w14:textId="77777777">
        <w:tc>
          <w:tcPr>
            <w:tcW w:w="1555" w:type="pct"/>
          </w:tcPr>
          <w:p w14:paraId="4A741420" w14:textId="77777777" w:rsidR="00A052DC" w:rsidRDefault="009F0A60">
            <w:pPr>
              <w:rPr>
                <w:rFonts w:ascii="黑体" w:eastAsia="黑体" w:hAnsi="黑体"/>
                <w:sz w:val="20"/>
                <w:szCs w:val="20"/>
              </w:rPr>
            </w:pPr>
            <w:r>
              <w:rPr>
                <w:rFonts w:ascii="黑体" w:eastAsia="黑体" w:hAnsi="黑体" w:hint="eastAsia"/>
                <w:sz w:val="20"/>
                <w:szCs w:val="20"/>
              </w:rPr>
              <w:t>付款类型</w:t>
            </w:r>
          </w:p>
        </w:tc>
        <w:tc>
          <w:tcPr>
            <w:tcW w:w="836" w:type="pct"/>
          </w:tcPr>
          <w:p w14:paraId="6234D994"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PAYTYPE</w:t>
            </w:r>
          </w:p>
        </w:tc>
        <w:tc>
          <w:tcPr>
            <w:tcW w:w="914" w:type="pct"/>
          </w:tcPr>
          <w:p w14:paraId="208BE752" w14:textId="77777777" w:rsidR="00A052DC" w:rsidRDefault="009F0A60">
            <w:pPr>
              <w:rPr>
                <w:rFonts w:ascii="黑体" w:eastAsia="黑体" w:hAnsi="黑体" w:cs="宋体"/>
                <w:sz w:val="20"/>
                <w:szCs w:val="20"/>
              </w:rPr>
            </w:pPr>
            <w:r>
              <w:rPr>
                <w:rFonts w:ascii="黑体" w:eastAsia="黑体" w:hAnsi="黑体" w:hint="eastAsia"/>
                <w:sz w:val="20"/>
                <w:szCs w:val="20"/>
              </w:rPr>
              <w:t>字符型，1</w:t>
            </w:r>
          </w:p>
        </w:tc>
        <w:tc>
          <w:tcPr>
            <w:tcW w:w="1694" w:type="pct"/>
          </w:tcPr>
          <w:p w14:paraId="3236057D" w14:textId="77777777" w:rsidR="00A052DC" w:rsidRDefault="009F0A60">
            <w:pPr>
              <w:rPr>
                <w:rFonts w:ascii="黑体" w:eastAsia="黑体" w:hAnsi="黑体"/>
                <w:sz w:val="20"/>
                <w:szCs w:val="20"/>
              </w:rPr>
            </w:pPr>
            <w:r>
              <w:rPr>
                <w:rFonts w:ascii="黑体" w:eastAsia="黑体" w:hAnsi="黑体" w:hint="eastAsia"/>
                <w:sz w:val="20"/>
                <w:szCs w:val="20"/>
              </w:rPr>
              <w:t>A</w:t>
            </w:r>
            <w:r w:rsidR="00AE4602">
              <w:rPr>
                <w:rFonts w:ascii="黑体" w:eastAsia="黑体" w:hAnsi="黑体" w:hint="eastAsia"/>
                <w:sz w:val="20"/>
                <w:szCs w:val="20"/>
              </w:rPr>
              <w:t>-</w:t>
            </w:r>
            <w:r>
              <w:rPr>
                <w:rFonts w:ascii="黑体" w:eastAsia="黑体" w:hAnsi="黑体" w:hint="eastAsia"/>
                <w:sz w:val="20"/>
                <w:szCs w:val="20"/>
              </w:rPr>
              <w:t>预付款</w:t>
            </w:r>
          </w:p>
          <w:p w14:paraId="5D7D57F0" w14:textId="77777777" w:rsidR="00A052DC" w:rsidRDefault="009F0A60">
            <w:pPr>
              <w:rPr>
                <w:rFonts w:ascii="黑体" w:eastAsia="黑体" w:hAnsi="黑体"/>
                <w:sz w:val="20"/>
                <w:szCs w:val="20"/>
              </w:rPr>
            </w:pPr>
            <w:r>
              <w:rPr>
                <w:rFonts w:ascii="黑体" w:eastAsia="黑体" w:hAnsi="黑体" w:hint="eastAsia"/>
                <w:sz w:val="20"/>
                <w:szCs w:val="20"/>
              </w:rPr>
              <w:t>O-其</w:t>
            </w:r>
            <w:r w:rsidR="003822FB">
              <w:rPr>
                <w:rFonts w:ascii="黑体" w:eastAsia="黑体" w:hAnsi="黑体" w:hint="eastAsia"/>
                <w:sz w:val="20"/>
                <w:szCs w:val="20"/>
              </w:rPr>
              <w:t>他</w:t>
            </w:r>
          </w:p>
        </w:tc>
      </w:tr>
      <w:tr w:rsidR="00A052DC" w14:paraId="34679BF6" w14:textId="77777777">
        <w:tc>
          <w:tcPr>
            <w:tcW w:w="1555" w:type="pct"/>
          </w:tcPr>
          <w:p w14:paraId="14FE1403" w14:textId="77777777" w:rsidR="00A052DC" w:rsidRDefault="009F0A60">
            <w:pPr>
              <w:rPr>
                <w:rFonts w:ascii="黑体" w:eastAsia="黑体" w:hAnsi="黑体"/>
                <w:sz w:val="20"/>
                <w:szCs w:val="20"/>
              </w:rPr>
            </w:pPr>
            <w:r>
              <w:rPr>
                <w:rFonts w:ascii="黑体" w:eastAsia="黑体" w:hAnsi="黑体" w:hint="eastAsia"/>
                <w:sz w:val="20"/>
                <w:szCs w:val="20"/>
              </w:rPr>
              <w:t>付汇性质</w:t>
            </w:r>
          </w:p>
        </w:tc>
        <w:tc>
          <w:tcPr>
            <w:tcW w:w="836" w:type="pct"/>
          </w:tcPr>
          <w:p w14:paraId="7252641E"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PAYATTR</w:t>
            </w:r>
          </w:p>
        </w:tc>
        <w:tc>
          <w:tcPr>
            <w:tcW w:w="914" w:type="pct"/>
          </w:tcPr>
          <w:p w14:paraId="5DD7D978" w14:textId="77777777" w:rsidR="00A052DC" w:rsidRDefault="009F0A60">
            <w:pPr>
              <w:rPr>
                <w:rFonts w:ascii="黑体" w:eastAsia="黑体" w:hAnsi="黑体" w:cs="宋体"/>
                <w:sz w:val="20"/>
                <w:szCs w:val="20"/>
              </w:rPr>
            </w:pPr>
            <w:r>
              <w:rPr>
                <w:rFonts w:ascii="黑体" w:eastAsia="黑体" w:hAnsi="黑体" w:hint="eastAsia"/>
                <w:sz w:val="20"/>
                <w:szCs w:val="20"/>
              </w:rPr>
              <w:t>字符型，1</w:t>
            </w:r>
          </w:p>
        </w:tc>
        <w:tc>
          <w:tcPr>
            <w:tcW w:w="1694" w:type="pct"/>
          </w:tcPr>
          <w:p w14:paraId="3CBEB320" w14:textId="77777777" w:rsidR="00A052DC" w:rsidRDefault="009F0A60">
            <w:pPr>
              <w:rPr>
                <w:rFonts w:ascii="黑体" w:eastAsia="黑体" w:hAnsi="黑体"/>
                <w:sz w:val="20"/>
                <w:szCs w:val="20"/>
              </w:rPr>
            </w:pPr>
            <w:r>
              <w:rPr>
                <w:rFonts w:ascii="黑体" w:eastAsia="黑体" w:hAnsi="黑体" w:hint="eastAsia"/>
                <w:sz w:val="20"/>
                <w:szCs w:val="20"/>
              </w:rPr>
              <w:t>X</w:t>
            </w:r>
            <w:r w:rsidR="00AE4602">
              <w:rPr>
                <w:rFonts w:ascii="黑体" w:eastAsia="黑体" w:hAnsi="黑体" w:hint="eastAsia"/>
                <w:sz w:val="20"/>
                <w:szCs w:val="20"/>
              </w:rPr>
              <w:t>-</w:t>
            </w:r>
            <w:r>
              <w:rPr>
                <w:rFonts w:ascii="黑体" w:eastAsia="黑体" w:hAnsi="黑体" w:hint="eastAsia"/>
                <w:sz w:val="20"/>
                <w:szCs w:val="20"/>
              </w:rPr>
              <w:t>保税区</w:t>
            </w:r>
          </w:p>
          <w:p w14:paraId="7AEAA6FE" w14:textId="77777777" w:rsidR="00A052DC" w:rsidRDefault="009F0A60">
            <w:pPr>
              <w:rPr>
                <w:rFonts w:ascii="黑体" w:eastAsia="黑体" w:hAnsi="黑体"/>
                <w:sz w:val="20"/>
                <w:szCs w:val="20"/>
              </w:rPr>
            </w:pPr>
            <w:r>
              <w:rPr>
                <w:rFonts w:ascii="黑体" w:eastAsia="黑体" w:hAnsi="黑体" w:hint="eastAsia"/>
                <w:sz w:val="20"/>
                <w:szCs w:val="20"/>
              </w:rPr>
              <w:t>E</w:t>
            </w:r>
            <w:r w:rsidR="00AE4602">
              <w:rPr>
                <w:rFonts w:ascii="黑体" w:eastAsia="黑体" w:hAnsi="黑体" w:hint="eastAsia"/>
                <w:sz w:val="20"/>
                <w:szCs w:val="20"/>
              </w:rPr>
              <w:t>-</w:t>
            </w:r>
            <w:r>
              <w:rPr>
                <w:rFonts w:ascii="黑体" w:eastAsia="黑体" w:hAnsi="黑体" w:hint="eastAsia"/>
                <w:sz w:val="20"/>
                <w:szCs w:val="20"/>
              </w:rPr>
              <w:t>出口加工区</w:t>
            </w:r>
          </w:p>
          <w:p w14:paraId="17154C59" w14:textId="77777777" w:rsidR="00A052DC" w:rsidRDefault="009F0A60">
            <w:pPr>
              <w:rPr>
                <w:rFonts w:ascii="黑体" w:eastAsia="黑体" w:hAnsi="黑体"/>
                <w:sz w:val="20"/>
                <w:szCs w:val="20"/>
              </w:rPr>
            </w:pPr>
            <w:r>
              <w:rPr>
                <w:rFonts w:ascii="黑体" w:eastAsia="黑体" w:hAnsi="黑体" w:hint="eastAsia"/>
                <w:sz w:val="20"/>
                <w:szCs w:val="20"/>
              </w:rPr>
              <w:t>D</w:t>
            </w:r>
            <w:r w:rsidR="00AE4602">
              <w:rPr>
                <w:rFonts w:ascii="黑体" w:eastAsia="黑体" w:hAnsi="黑体" w:hint="eastAsia"/>
                <w:sz w:val="20"/>
                <w:szCs w:val="20"/>
              </w:rPr>
              <w:t>-</w:t>
            </w:r>
            <w:r>
              <w:rPr>
                <w:rFonts w:ascii="黑体" w:eastAsia="黑体" w:hAnsi="黑体" w:hint="eastAsia"/>
                <w:sz w:val="20"/>
                <w:szCs w:val="20"/>
              </w:rPr>
              <w:t>钻石交易所</w:t>
            </w:r>
          </w:p>
          <w:p w14:paraId="271E9F5E" w14:textId="77777777" w:rsidR="00A052DC" w:rsidRDefault="009F0A60">
            <w:pPr>
              <w:rPr>
                <w:rFonts w:ascii="黑体" w:eastAsia="黑体" w:hAnsi="黑体"/>
                <w:sz w:val="20"/>
                <w:szCs w:val="20"/>
              </w:rPr>
            </w:pPr>
            <w:r>
              <w:rPr>
                <w:rFonts w:ascii="黑体" w:eastAsia="黑体" w:hAnsi="黑体" w:hint="eastAsia"/>
                <w:sz w:val="20"/>
                <w:szCs w:val="20"/>
              </w:rPr>
              <w:t>A</w:t>
            </w:r>
            <w:r w:rsidR="00AE4602">
              <w:rPr>
                <w:rFonts w:ascii="黑体" w:eastAsia="黑体" w:hAnsi="黑体" w:hint="eastAsia"/>
                <w:sz w:val="20"/>
                <w:szCs w:val="20"/>
              </w:rPr>
              <w:t>-</w:t>
            </w:r>
            <w:r>
              <w:rPr>
                <w:rFonts w:ascii="黑体" w:eastAsia="黑体" w:hAnsi="黑体" w:hint="eastAsia"/>
                <w:sz w:val="20"/>
                <w:szCs w:val="20"/>
              </w:rPr>
              <w:t>其他特殊经济区</w:t>
            </w:r>
          </w:p>
          <w:p w14:paraId="5CD492FE" w14:textId="77777777" w:rsidR="00A052DC" w:rsidRDefault="009F0A60">
            <w:pPr>
              <w:rPr>
                <w:rFonts w:ascii="黑体" w:eastAsia="黑体" w:hAnsi="黑体"/>
                <w:sz w:val="20"/>
                <w:szCs w:val="20"/>
              </w:rPr>
            </w:pPr>
            <w:r>
              <w:rPr>
                <w:rFonts w:ascii="黑体" w:eastAsia="黑体" w:hAnsi="黑体" w:hint="eastAsia"/>
                <w:sz w:val="20"/>
                <w:szCs w:val="20"/>
              </w:rPr>
              <w:t>S</w:t>
            </w:r>
            <w:r w:rsidR="00AE4602">
              <w:rPr>
                <w:rFonts w:ascii="黑体" w:eastAsia="黑体" w:hAnsi="黑体" w:hint="eastAsia"/>
                <w:sz w:val="20"/>
                <w:szCs w:val="20"/>
              </w:rPr>
              <w:t>-</w:t>
            </w:r>
            <w:r>
              <w:rPr>
                <w:rFonts w:ascii="黑体" w:eastAsia="黑体" w:hAnsi="黑体" w:hint="eastAsia"/>
                <w:sz w:val="20"/>
                <w:szCs w:val="20"/>
              </w:rPr>
              <w:t>离岸账户</w:t>
            </w:r>
          </w:p>
          <w:p w14:paraId="6217FCCD" w14:textId="77777777" w:rsidR="00A052DC" w:rsidRDefault="009F0A60">
            <w:pPr>
              <w:rPr>
                <w:rFonts w:ascii="黑体" w:eastAsia="黑体" w:hAnsi="黑体"/>
                <w:sz w:val="20"/>
                <w:szCs w:val="20"/>
              </w:rPr>
            </w:pPr>
            <w:r>
              <w:rPr>
                <w:rFonts w:ascii="黑体" w:eastAsia="黑体" w:hAnsi="黑体" w:hint="eastAsia"/>
                <w:sz w:val="20"/>
                <w:szCs w:val="20"/>
              </w:rPr>
              <w:t>M</w:t>
            </w:r>
            <w:r w:rsidR="00AE4602">
              <w:rPr>
                <w:rFonts w:ascii="黑体" w:eastAsia="黑体" w:hAnsi="黑体" w:hint="eastAsia"/>
                <w:sz w:val="20"/>
                <w:szCs w:val="20"/>
              </w:rPr>
              <w:t>-</w:t>
            </w:r>
            <w:r>
              <w:rPr>
                <w:rFonts w:ascii="黑体" w:eastAsia="黑体" w:hAnsi="黑体" w:hint="eastAsia"/>
                <w:sz w:val="20"/>
                <w:szCs w:val="20"/>
              </w:rPr>
              <w:t>深加工结转</w:t>
            </w:r>
          </w:p>
          <w:p w14:paraId="4D4A3F34" w14:textId="77777777" w:rsidR="00A052DC" w:rsidRDefault="009F0A60">
            <w:pPr>
              <w:rPr>
                <w:rFonts w:ascii="黑体" w:eastAsia="黑体" w:hAnsi="黑体"/>
                <w:sz w:val="20"/>
                <w:szCs w:val="20"/>
              </w:rPr>
            </w:pPr>
            <w:r>
              <w:rPr>
                <w:rFonts w:ascii="黑体" w:eastAsia="黑体" w:hAnsi="黑体" w:hint="eastAsia"/>
                <w:sz w:val="20"/>
                <w:szCs w:val="20"/>
              </w:rPr>
              <w:t>O</w:t>
            </w:r>
            <w:r w:rsidR="00AE4602">
              <w:rPr>
                <w:rFonts w:ascii="黑体" w:eastAsia="黑体" w:hAnsi="黑体" w:hint="eastAsia"/>
                <w:sz w:val="20"/>
                <w:szCs w:val="20"/>
              </w:rPr>
              <w:t>-</w:t>
            </w:r>
            <w:r>
              <w:rPr>
                <w:rFonts w:ascii="黑体" w:eastAsia="黑体" w:hAnsi="黑体" w:hint="eastAsia"/>
                <w:sz w:val="20"/>
                <w:szCs w:val="20"/>
              </w:rPr>
              <w:t>其他</w:t>
            </w:r>
          </w:p>
        </w:tc>
      </w:tr>
      <w:tr w:rsidR="00A052DC" w14:paraId="00D681DE" w14:textId="77777777">
        <w:tc>
          <w:tcPr>
            <w:tcW w:w="1555" w:type="pct"/>
          </w:tcPr>
          <w:p w14:paraId="05D6FFB1"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交易编码1</w:t>
            </w:r>
          </w:p>
        </w:tc>
        <w:tc>
          <w:tcPr>
            <w:tcW w:w="836" w:type="pct"/>
          </w:tcPr>
          <w:p w14:paraId="241BDC2E"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TXCODE1</w:t>
            </w:r>
          </w:p>
        </w:tc>
        <w:tc>
          <w:tcPr>
            <w:tcW w:w="914" w:type="pct"/>
          </w:tcPr>
          <w:p w14:paraId="5BDA90FF" w14:textId="77777777" w:rsidR="00A052DC" w:rsidRDefault="009F0A60">
            <w:pPr>
              <w:rPr>
                <w:rFonts w:ascii="黑体" w:eastAsia="黑体" w:hAnsi="黑体" w:cs="宋体"/>
                <w:sz w:val="20"/>
                <w:szCs w:val="20"/>
              </w:rPr>
            </w:pPr>
            <w:r>
              <w:rPr>
                <w:rFonts w:ascii="黑体" w:eastAsia="黑体" w:hAnsi="黑体" w:hint="eastAsia"/>
                <w:sz w:val="20"/>
                <w:szCs w:val="20"/>
              </w:rPr>
              <w:t>字符型，6</w:t>
            </w:r>
          </w:p>
        </w:tc>
        <w:tc>
          <w:tcPr>
            <w:tcW w:w="1694" w:type="pct"/>
          </w:tcPr>
          <w:p w14:paraId="6AF980FE" w14:textId="77777777" w:rsidR="00A052DC" w:rsidRDefault="00A052DC">
            <w:pPr>
              <w:rPr>
                <w:rFonts w:ascii="黑体" w:eastAsia="黑体" w:hAnsi="黑体" w:cs="宋体"/>
                <w:sz w:val="20"/>
                <w:szCs w:val="20"/>
              </w:rPr>
            </w:pPr>
          </w:p>
        </w:tc>
      </w:tr>
      <w:tr w:rsidR="00A052DC" w14:paraId="2535A078" w14:textId="77777777">
        <w:tc>
          <w:tcPr>
            <w:tcW w:w="1555" w:type="pct"/>
          </w:tcPr>
          <w:p w14:paraId="4040E336"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相应金额1</w:t>
            </w:r>
          </w:p>
        </w:tc>
        <w:tc>
          <w:tcPr>
            <w:tcW w:w="836" w:type="pct"/>
          </w:tcPr>
          <w:p w14:paraId="145965FD"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TXAMT1</w:t>
            </w:r>
          </w:p>
        </w:tc>
        <w:tc>
          <w:tcPr>
            <w:tcW w:w="914" w:type="pct"/>
          </w:tcPr>
          <w:p w14:paraId="44AA51E8" w14:textId="77777777" w:rsidR="00A052DC" w:rsidRDefault="009F0A60">
            <w:pPr>
              <w:rPr>
                <w:rFonts w:ascii="黑体" w:eastAsia="黑体" w:hAnsi="黑体" w:cs="宋体"/>
                <w:sz w:val="20"/>
                <w:szCs w:val="20"/>
              </w:rPr>
            </w:pPr>
            <w:r>
              <w:rPr>
                <w:rFonts w:ascii="黑体" w:eastAsia="黑体" w:hAnsi="黑体" w:hint="eastAsia"/>
                <w:sz w:val="20"/>
                <w:szCs w:val="20"/>
              </w:rPr>
              <w:t>数值型，22.0</w:t>
            </w:r>
          </w:p>
        </w:tc>
        <w:tc>
          <w:tcPr>
            <w:tcW w:w="1694" w:type="pct"/>
          </w:tcPr>
          <w:p w14:paraId="5515178F" w14:textId="77777777" w:rsidR="00A052DC" w:rsidRDefault="00A052DC">
            <w:pPr>
              <w:rPr>
                <w:rFonts w:ascii="黑体" w:eastAsia="黑体" w:hAnsi="黑体" w:cs="宋体"/>
                <w:sz w:val="20"/>
                <w:szCs w:val="20"/>
              </w:rPr>
            </w:pPr>
          </w:p>
        </w:tc>
      </w:tr>
      <w:tr w:rsidR="00A052DC" w14:paraId="5E79E7E9" w14:textId="77777777">
        <w:tc>
          <w:tcPr>
            <w:tcW w:w="1555" w:type="pct"/>
          </w:tcPr>
          <w:p w14:paraId="1559D511"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交易附言1</w:t>
            </w:r>
          </w:p>
        </w:tc>
        <w:tc>
          <w:tcPr>
            <w:tcW w:w="836" w:type="pct"/>
          </w:tcPr>
          <w:p w14:paraId="324FACDE"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TXREM1</w:t>
            </w:r>
          </w:p>
        </w:tc>
        <w:tc>
          <w:tcPr>
            <w:tcW w:w="914" w:type="pct"/>
          </w:tcPr>
          <w:p w14:paraId="35A78343" w14:textId="77777777" w:rsidR="00A052DC" w:rsidRDefault="009F0A60">
            <w:pPr>
              <w:rPr>
                <w:rFonts w:ascii="黑体" w:eastAsia="黑体" w:hAnsi="黑体"/>
                <w:sz w:val="20"/>
                <w:szCs w:val="20"/>
              </w:rPr>
            </w:pPr>
            <w:r>
              <w:rPr>
                <w:rFonts w:ascii="黑体" w:eastAsia="黑体" w:hAnsi="黑体" w:cs="Microsoft Sans Serif" w:hint="eastAsia"/>
                <w:sz w:val="20"/>
                <w:szCs w:val="20"/>
              </w:rPr>
              <w:t>字符型，256</w:t>
            </w:r>
          </w:p>
        </w:tc>
        <w:tc>
          <w:tcPr>
            <w:tcW w:w="1694" w:type="pct"/>
          </w:tcPr>
          <w:p w14:paraId="7663672C" w14:textId="77777777" w:rsidR="00A052DC" w:rsidRDefault="00A052DC">
            <w:pPr>
              <w:rPr>
                <w:rFonts w:ascii="黑体" w:eastAsia="黑体" w:hAnsi="黑体" w:cs="宋体"/>
                <w:sz w:val="20"/>
                <w:szCs w:val="20"/>
              </w:rPr>
            </w:pPr>
          </w:p>
        </w:tc>
      </w:tr>
      <w:tr w:rsidR="00A052DC" w14:paraId="5E81DDDD" w14:textId="77777777">
        <w:tc>
          <w:tcPr>
            <w:tcW w:w="1555" w:type="pct"/>
          </w:tcPr>
          <w:p w14:paraId="05C2C943"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交易编码2</w:t>
            </w:r>
          </w:p>
        </w:tc>
        <w:tc>
          <w:tcPr>
            <w:tcW w:w="836" w:type="pct"/>
          </w:tcPr>
          <w:p w14:paraId="1CAFCD3C"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TXCODE2</w:t>
            </w:r>
          </w:p>
        </w:tc>
        <w:tc>
          <w:tcPr>
            <w:tcW w:w="914" w:type="pct"/>
          </w:tcPr>
          <w:p w14:paraId="1F612BA0" w14:textId="77777777" w:rsidR="00A052DC" w:rsidRDefault="009F0A60">
            <w:pPr>
              <w:rPr>
                <w:rFonts w:ascii="黑体" w:eastAsia="黑体" w:hAnsi="黑体" w:cs="宋体"/>
                <w:sz w:val="20"/>
                <w:szCs w:val="20"/>
              </w:rPr>
            </w:pPr>
            <w:r>
              <w:rPr>
                <w:rFonts w:ascii="黑体" w:eastAsia="黑体" w:hAnsi="黑体" w:hint="eastAsia"/>
                <w:sz w:val="20"/>
                <w:szCs w:val="20"/>
              </w:rPr>
              <w:t>字符型，6</w:t>
            </w:r>
          </w:p>
        </w:tc>
        <w:tc>
          <w:tcPr>
            <w:tcW w:w="1694" w:type="pct"/>
          </w:tcPr>
          <w:p w14:paraId="6DD34EC5" w14:textId="77777777" w:rsidR="00A052DC" w:rsidRDefault="00A052DC">
            <w:pPr>
              <w:rPr>
                <w:rFonts w:ascii="黑体" w:eastAsia="黑体" w:hAnsi="黑体" w:cs="宋体"/>
                <w:sz w:val="20"/>
                <w:szCs w:val="20"/>
              </w:rPr>
            </w:pPr>
          </w:p>
        </w:tc>
      </w:tr>
      <w:tr w:rsidR="00A052DC" w14:paraId="0FAF3F23" w14:textId="77777777">
        <w:tc>
          <w:tcPr>
            <w:tcW w:w="1555" w:type="pct"/>
          </w:tcPr>
          <w:p w14:paraId="372962B1"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相应金额2</w:t>
            </w:r>
          </w:p>
        </w:tc>
        <w:tc>
          <w:tcPr>
            <w:tcW w:w="836" w:type="pct"/>
          </w:tcPr>
          <w:p w14:paraId="49BC005C"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TXAMT2</w:t>
            </w:r>
          </w:p>
        </w:tc>
        <w:tc>
          <w:tcPr>
            <w:tcW w:w="914" w:type="pct"/>
          </w:tcPr>
          <w:p w14:paraId="4C669E04" w14:textId="77777777" w:rsidR="00A052DC" w:rsidRDefault="009F0A60">
            <w:pPr>
              <w:rPr>
                <w:rFonts w:ascii="黑体" w:eastAsia="黑体" w:hAnsi="黑体" w:cs="宋体"/>
                <w:sz w:val="20"/>
                <w:szCs w:val="20"/>
              </w:rPr>
            </w:pPr>
            <w:r>
              <w:rPr>
                <w:rFonts w:ascii="黑体" w:eastAsia="黑体" w:hAnsi="黑体" w:hint="eastAsia"/>
                <w:sz w:val="20"/>
                <w:szCs w:val="20"/>
              </w:rPr>
              <w:t>数值型，22.0</w:t>
            </w:r>
          </w:p>
        </w:tc>
        <w:tc>
          <w:tcPr>
            <w:tcW w:w="1694" w:type="pct"/>
          </w:tcPr>
          <w:p w14:paraId="17C8DC11" w14:textId="77777777" w:rsidR="00A052DC" w:rsidRDefault="00A052DC">
            <w:pPr>
              <w:rPr>
                <w:rFonts w:ascii="黑体" w:eastAsia="黑体" w:hAnsi="黑体" w:cs="宋体"/>
                <w:sz w:val="20"/>
                <w:szCs w:val="20"/>
              </w:rPr>
            </w:pPr>
          </w:p>
        </w:tc>
      </w:tr>
      <w:tr w:rsidR="00A052DC" w14:paraId="20F3F649" w14:textId="77777777">
        <w:tc>
          <w:tcPr>
            <w:tcW w:w="1555" w:type="pct"/>
          </w:tcPr>
          <w:p w14:paraId="5115D5B7"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交易附言2</w:t>
            </w:r>
          </w:p>
        </w:tc>
        <w:tc>
          <w:tcPr>
            <w:tcW w:w="836" w:type="pct"/>
          </w:tcPr>
          <w:p w14:paraId="4DB4A991"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TXREM2</w:t>
            </w:r>
          </w:p>
        </w:tc>
        <w:tc>
          <w:tcPr>
            <w:tcW w:w="914" w:type="pct"/>
          </w:tcPr>
          <w:p w14:paraId="26DA0295" w14:textId="77777777" w:rsidR="00A052DC" w:rsidRDefault="009F0A60">
            <w:pPr>
              <w:rPr>
                <w:rFonts w:ascii="黑体" w:eastAsia="黑体" w:hAnsi="黑体"/>
                <w:sz w:val="20"/>
                <w:szCs w:val="20"/>
              </w:rPr>
            </w:pPr>
            <w:r>
              <w:rPr>
                <w:rFonts w:ascii="黑体" w:eastAsia="黑体" w:hAnsi="黑体" w:cs="Microsoft Sans Serif" w:hint="eastAsia"/>
                <w:sz w:val="20"/>
                <w:szCs w:val="20"/>
              </w:rPr>
              <w:t>字符型，256</w:t>
            </w:r>
          </w:p>
        </w:tc>
        <w:tc>
          <w:tcPr>
            <w:tcW w:w="1694" w:type="pct"/>
          </w:tcPr>
          <w:p w14:paraId="14A1DEFB" w14:textId="77777777" w:rsidR="00A052DC" w:rsidRDefault="00A052DC">
            <w:pPr>
              <w:rPr>
                <w:rFonts w:ascii="黑体" w:eastAsia="黑体" w:hAnsi="黑体" w:cs="宋体"/>
                <w:sz w:val="20"/>
                <w:szCs w:val="20"/>
              </w:rPr>
            </w:pPr>
          </w:p>
        </w:tc>
      </w:tr>
      <w:tr w:rsidR="00A052DC" w14:paraId="2E3A2B51" w14:textId="77777777">
        <w:tc>
          <w:tcPr>
            <w:tcW w:w="1555" w:type="pct"/>
          </w:tcPr>
          <w:p w14:paraId="4A3C23B6" w14:textId="77777777" w:rsidR="00A052DC" w:rsidRDefault="009F0A60">
            <w:pPr>
              <w:rPr>
                <w:rFonts w:ascii="黑体" w:eastAsia="黑体" w:hAnsi="黑体"/>
                <w:sz w:val="20"/>
                <w:szCs w:val="20"/>
              </w:rPr>
            </w:pPr>
            <w:r>
              <w:rPr>
                <w:rFonts w:ascii="黑体" w:eastAsia="黑体" w:hAnsi="黑体" w:hint="eastAsia"/>
                <w:sz w:val="20"/>
                <w:szCs w:val="20"/>
              </w:rPr>
              <w:t>最迟装运日期</w:t>
            </w:r>
          </w:p>
        </w:tc>
        <w:tc>
          <w:tcPr>
            <w:tcW w:w="836" w:type="pct"/>
          </w:tcPr>
          <w:p w14:paraId="0032EB1E"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IMPDATE</w:t>
            </w:r>
          </w:p>
        </w:tc>
        <w:tc>
          <w:tcPr>
            <w:tcW w:w="914" w:type="pct"/>
          </w:tcPr>
          <w:p w14:paraId="3C7283E3" w14:textId="77777777" w:rsidR="00A052DC" w:rsidRDefault="009F0A60">
            <w:pPr>
              <w:rPr>
                <w:rFonts w:ascii="黑体" w:eastAsia="黑体" w:hAnsi="黑体"/>
                <w:sz w:val="20"/>
                <w:szCs w:val="20"/>
              </w:rPr>
            </w:pPr>
            <w:r>
              <w:rPr>
                <w:rFonts w:ascii="黑体" w:eastAsia="黑体" w:hAnsi="黑体" w:hint="eastAsia"/>
                <w:sz w:val="20"/>
                <w:szCs w:val="20"/>
              </w:rPr>
              <w:t>日期型，8</w:t>
            </w:r>
          </w:p>
        </w:tc>
        <w:tc>
          <w:tcPr>
            <w:tcW w:w="1694" w:type="pct"/>
          </w:tcPr>
          <w:p w14:paraId="103A78D5" w14:textId="77777777" w:rsidR="00A052DC" w:rsidRDefault="009F0A60">
            <w:pPr>
              <w:rPr>
                <w:rFonts w:ascii="黑体" w:eastAsia="黑体" w:hAnsi="黑体" w:cs="宋体"/>
                <w:sz w:val="20"/>
                <w:szCs w:val="20"/>
              </w:rPr>
            </w:pPr>
            <w:r>
              <w:rPr>
                <w:rFonts w:ascii="黑体" w:eastAsia="黑体" w:hAnsi="黑体" w:hint="eastAsia"/>
                <w:sz w:val="20"/>
                <w:szCs w:val="20"/>
              </w:rPr>
              <w:t>YYYYMMDD</w:t>
            </w:r>
          </w:p>
        </w:tc>
      </w:tr>
      <w:tr w:rsidR="00A052DC" w14:paraId="3FE511E7" w14:textId="77777777">
        <w:tc>
          <w:tcPr>
            <w:tcW w:w="1555" w:type="pct"/>
          </w:tcPr>
          <w:p w14:paraId="089C9526" w14:textId="77777777" w:rsidR="00A052DC" w:rsidRDefault="009F0A60">
            <w:pPr>
              <w:rPr>
                <w:rFonts w:ascii="黑体" w:eastAsia="黑体" w:hAnsi="黑体"/>
                <w:sz w:val="20"/>
                <w:szCs w:val="20"/>
              </w:rPr>
            </w:pPr>
            <w:r>
              <w:rPr>
                <w:rFonts w:ascii="黑体" w:eastAsia="黑体" w:hAnsi="黑体" w:hint="eastAsia"/>
                <w:sz w:val="20"/>
                <w:szCs w:val="20"/>
              </w:rPr>
              <w:t>合同号</w:t>
            </w:r>
          </w:p>
        </w:tc>
        <w:tc>
          <w:tcPr>
            <w:tcW w:w="836" w:type="pct"/>
          </w:tcPr>
          <w:p w14:paraId="7A129AA8"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CONTRACTNO</w:t>
            </w:r>
          </w:p>
        </w:tc>
        <w:tc>
          <w:tcPr>
            <w:tcW w:w="914" w:type="pct"/>
          </w:tcPr>
          <w:p w14:paraId="36C426A7"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1694" w:type="pct"/>
          </w:tcPr>
          <w:p w14:paraId="1E0BA5D1" w14:textId="77777777" w:rsidR="00A052DC" w:rsidRDefault="00A052DC">
            <w:pPr>
              <w:rPr>
                <w:rFonts w:ascii="黑体" w:eastAsia="黑体" w:hAnsi="黑体" w:cs="宋体"/>
                <w:sz w:val="20"/>
                <w:szCs w:val="20"/>
              </w:rPr>
            </w:pPr>
          </w:p>
        </w:tc>
      </w:tr>
      <w:tr w:rsidR="00A052DC" w14:paraId="14E680E6" w14:textId="77777777">
        <w:tc>
          <w:tcPr>
            <w:tcW w:w="1555" w:type="pct"/>
          </w:tcPr>
          <w:p w14:paraId="51EC8FA0" w14:textId="77777777" w:rsidR="00A052DC" w:rsidRDefault="009F0A60">
            <w:pPr>
              <w:rPr>
                <w:rFonts w:ascii="黑体" w:eastAsia="黑体" w:hAnsi="黑体"/>
                <w:sz w:val="20"/>
                <w:szCs w:val="20"/>
              </w:rPr>
            </w:pPr>
            <w:r>
              <w:rPr>
                <w:rFonts w:ascii="黑体" w:eastAsia="黑体" w:hAnsi="黑体" w:hint="eastAsia"/>
                <w:sz w:val="20"/>
                <w:szCs w:val="20"/>
              </w:rPr>
              <w:t>发票号</w:t>
            </w:r>
          </w:p>
        </w:tc>
        <w:tc>
          <w:tcPr>
            <w:tcW w:w="836" w:type="pct"/>
          </w:tcPr>
          <w:p w14:paraId="7B4EDC9D"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INVOICENO</w:t>
            </w:r>
          </w:p>
        </w:tc>
        <w:tc>
          <w:tcPr>
            <w:tcW w:w="914" w:type="pct"/>
          </w:tcPr>
          <w:p w14:paraId="1B727E08" w14:textId="77777777" w:rsidR="00A052DC" w:rsidRDefault="009F0A60">
            <w:pPr>
              <w:rPr>
                <w:rFonts w:ascii="黑体" w:eastAsia="黑体" w:hAnsi="黑体"/>
                <w:sz w:val="20"/>
                <w:szCs w:val="20"/>
              </w:rPr>
            </w:pPr>
            <w:r>
              <w:rPr>
                <w:rFonts w:ascii="黑体" w:eastAsia="黑体" w:hAnsi="黑体" w:hint="eastAsia"/>
                <w:sz w:val="20"/>
                <w:szCs w:val="20"/>
              </w:rPr>
              <w:t>字符型，128</w:t>
            </w:r>
          </w:p>
        </w:tc>
        <w:tc>
          <w:tcPr>
            <w:tcW w:w="1694" w:type="pct"/>
          </w:tcPr>
          <w:p w14:paraId="1259AA4A" w14:textId="77777777" w:rsidR="00A052DC" w:rsidRDefault="00A052DC">
            <w:pPr>
              <w:rPr>
                <w:rFonts w:ascii="黑体" w:eastAsia="黑体" w:hAnsi="黑体" w:cs="宋体"/>
                <w:sz w:val="20"/>
                <w:szCs w:val="20"/>
              </w:rPr>
            </w:pPr>
          </w:p>
        </w:tc>
      </w:tr>
      <w:tr w:rsidR="00A052DC" w14:paraId="0349797F" w14:textId="77777777">
        <w:tc>
          <w:tcPr>
            <w:tcW w:w="1555" w:type="pct"/>
          </w:tcPr>
          <w:p w14:paraId="69EBAAE1" w14:textId="77777777" w:rsidR="00A052DC" w:rsidRDefault="009F0A60">
            <w:pPr>
              <w:rPr>
                <w:rFonts w:ascii="黑体" w:eastAsia="黑体" w:hAnsi="黑体"/>
                <w:sz w:val="20"/>
                <w:szCs w:val="20"/>
              </w:rPr>
            </w:pPr>
            <w:r>
              <w:rPr>
                <w:rFonts w:ascii="黑体" w:eastAsia="黑体" w:hAnsi="黑体" w:hint="eastAsia"/>
                <w:sz w:val="20"/>
                <w:szCs w:val="20"/>
              </w:rPr>
              <w:t>提运单号/仓单号</w:t>
            </w:r>
          </w:p>
        </w:tc>
        <w:tc>
          <w:tcPr>
            <w:tcW w:w="836" w:type="pct"/>
          </w:tcPr>
          <w:p w14:paraId="110763D7"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BILLNO</w:t>
            </w:r>
          </w:p>
        </w:tc>
        <w:tc>
          <w:tcPr>
            <w:tcW w:w="914" w:type="pct"/>
          </w:tcPr>
          <w:p w14:paraId="638DEA5F" w14:textId="77777777" w:rsidR="00A052DC" w:rsidRDefault="009F0A60">
            <w:pPr>
              <w:rPr>
                <w:rFonts w:ascii="黑体" w:eastAsia="黑体" w:hAnsi="黑体" w:cs="宋体"/>
                <w:sz w:val="20"/>
                <w:szCs w:val="20"/>
              </w:rPr>
            </w:pPr>
            <w:r>
              <w:rPr>
                <w:rFonts w:ascii="黑体" w:eastAsia="黑体" w:hAnsi="黑体" w:hint="eastAsia"/>
                <w:sz w:val="20"/>
                <w:szCs w:val="20"/>
              </w:rPr>
              <w:t>字符型，128</w:t>
            </w:r>
          </w:p>
        </w:tc>
        <w:tc>
          <w:tcPr>
            <w:tcW w:w="1694" w:type="pct"/>
          </w:tcPr>
          <w:p w14:paraId="5665325A" w14:textId="77777777" w:rsidR="00A052DC" w:rsidRDefault="00A052DC">
            <w:pPr>
              <w:rPr>
                <w:rFonts w:ascii="黑体" w:eastAsia="黑体" w:hAnsi="黑体" w:cs="宋体"/>
                <w:sz w:val="20"/>
                <w:szCs w:val="20"/>
              </w:rPr>
            </w:pPr>
          </w:p>
        </w:tc>
      </w:tr>
      <w:tr w:rsidR="00A052DC" w14:paraId="31CEFB11" w14:textId="77777777">
        <w:tc>
          <w:tcPr>
            <w:tcW w:w="1555" w:type="pct"/>
          </w:tcPr>
          <w:p w14:paraId="34C6A599" w14:textId="77777777" w:rsidR="00A052DC" w:rsidRDefault="009F0A60">
            <w:pPr>
              <w:rPr>
                <w:rFonts w:ascii="黑体" w:eastAsia="黑体" w:hAnsi="黑体"/>
                <w:sz w:val="20"/>
                <w:szCs w:val="20"/>
              </w:rPr>
            </w:pPr>
            <w:r>
              <w:rPr>
                <w:rFonts w:ascii="黑体" w:eastAsia="黑体" w:hAnsi="黑体" w:hint="eastAsia"/>
                <w:sz w:val="20"/>
                <w:szCs w:val="20"/>
              </w:rPr>
              <w:t>合同金额</w:t>
            </w:r>
          </w:p>
        </w:tc>
        <w:tc>
          <w:tcPr>
            <w:tcW w:w="836" w:type="pct"/>
          </w:tcPr>
          <w:p w14:paraId="43CBBBB8"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CONTRACTAMT</w:t>
            </w:r>
          </w:p>
        </w:tc>
        <w:tc>
          <w:tcPr>
            <w:tcW w:w="914" w:type="pct"/>
          </w:tcPr>
          <w:p w14:paraId="79ED6A37" w14:textId="77777777" w:rsidR="00A052DC" w:rsidRDefault="009F0A60">
            <w:pPr>
              <w:rPr>
                <w:rFonts w:ascii="黑体" w:eastAsia="黑体" w:hAnsi="黑体"/>
                <w:sz w:val="20"/>
                <w:szCs w:val="20"/>
              </w:rPr>
            </w:pPr>
            <w:r>
              <w:rPr>
                <w:rFonts w:ascii="黑体" w:eastAsia="黑体" w:hAnsi="黑体" w:hint="eastAsia"/>
                <w:sz w:val="20"/>
                <w:szCs w:val="20"/>
              </w:rPr>
              <w:t>数值型，22.0</w:t>
            </w:r>
          </w:p>
        </w:tc>
        <w:tc>
          <w:tcPr>
            <w:tcW w:w="1694" w:type="pct"/>
          </w:tcPr>
          <w:p w14:paraId="2410C129" w14:textId="77777777" w:rsidR="00A052DC" w:rsidRDefault="00A052DC">
            <w:pPr>
              <w:rPr>
                <w:rFonts w:ascii="黑体" w:eastAsia="黑体" w:hAnsi="黑体" w:cs="宋体"/>
                <w:sz w:val="20"/>
                <w:szCs w:val="20"/>
              </w:rPr>
            </w:pPr>
          </w:p>
        </w:tc>
      </w:tr>
      <w:tr w:rsidR="00A052DC" w14:paraId="485B28BC" w14:textId="77777777">
        <w:tc>
          <w:tcPr>
            <w:tcW w:w="1555" w:type="pct"/>
          </w:tcPr>
          <w:p w14:paraId="6C82855A" w14:textId="77777777" w:rsidR="00A052DC" w:rsidRDefault="009F0A60">
            <w:pPr>
              <w:rPr>
                <w:rFonts w:ascii="黑体" w:eastAsia="黑体" w:hAnsi="黑体"/>
                <w:sz w:val="20"/>
                <w:szCs w:val="20"/>
              </w:rPr>
            </w:pPr>
            <w:r>
              <w:rPr>
                <w:rFonts w:ascii="黑体" w:eastAsia="黑体" w:hAnsi="黑体" w:hint="eastAsia"/>
                <w:sz w:val="20"/>
                <w:szCs w:val="20"/>
              </w:rPr>
              <w:t>外汇局批件号/备案表号/业务编号</w:t>
            </w:r>
          </w:p>
        </w:tc>
        <w:tc>
          <w:tcPr>
            <w:tcW w:w="836" w:type="pct"/>
          </w:tcPr>
          <w:p w14:paraId="6642C727"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REGISTNO</w:t>
            </w:r>
          </w:p>
        </w:tc>
        <w:tc>
          <w:tcPr>
            <w:tcW w:w="914" w:type="pct"/>
          </w:tcPr>
          <w:p w14:paraId="2ADF0DF1" w14:textId="77777777" w:rsidR="00A052DC" w:rsidRDefault="009F0A60">
            <w:pPr>
              <w:rPr>
                <w:rFonts w:ascii="黑体" w:eastAsia="黑体" w:hAnsi="黑体"/>
                <w:sz w:val="20"/>
                <w:szCs w:val="20"/>
              </w:rPr>
            </w:pPr>
            <w:r>
              <w:rPr>
                <w:rFonts w:ascii="黑体" w:eastAsia="黑体" w:hAnsi="黑体" w:hint="eastAsia"/>
                <w:sz w:val="20"/>
                <w:szCs w:val="20"/>
              </w:rPr>
              <w:t>字符型，20</w:t>
            </w:r>
          </w:p>
        </w:tc>
        <w:tc>
          <w:tcPr>
            <w:tcW w:w="1694" w:type="pct"/>
          </w:tcPr>
          <w:p w14:paraId="4A26AA2C" w14:textId="77777777" w:rsidR="00A052DC" w:rsidRDefault="00A052DC">
            <w:pPr>
              <w:rPr>
                <w:rFonts w:ascii="黑体" w:eastAsia="黑体" w:hAnsi="黑体" w:cs="宋体"/>
                <w:sz w:val="20"/>
                <w:szCs w:val="20"/>
              </w:rPr>
            </w:pPr>
          </w:p>
        </w:tc>
      </w:tr>
      <w:tr w:rsidR="00A052DC" w14:paraId="336B9F15" w14:textId="77777777">
        <w:tc>
          <w:tcPr>
            <w:tcW w:w="1555" w:type="pct"/>
          </w:tcPr>
          <w:p w14:paraId="6C368A76" w14:textId="77777777" w:rsidR="00A052DC" w:rsidRDefault="009F0A60">
            <w:pPr>
              <w:rPr>
                <w:rFonts w:ascii="黑体" w:eastAsia="黑体" w:hAnsi="黑体" w:cs="Microsoft Sans Serif"/>
                <w:sz w:val="20"/>
                <w:szCs w:val="20"/>
              </w:rPr>
            </w:pPr>
            <w:r>
              <w:rPr>
                <w:rFonts w:ascii="黑体" w:eastAsia="黑体" w:hAnsi="黑体" w:hint="eastAsia"/>
                <w:sz w:val="20"/>
                <w:szCs w:val="20"/>
              </w:rPr>
              <w:t>填报人</w:t>
            </w:r>
          </w:p>
        </w:tc>
        <w:tc>
          <w:tcPr>
            <w:tcW w:w="836" w:type="pct"/>
          </w:tcPr>
          <w:p w14:paraId="036ACCBA"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RPTUSER</w:t>
            </w:r>
          </w:p>
        </w:tc>
        <w:tc>
          <w:tcPr>
            <w:tcW w:w="914" w:type="pct"/>
          </w:tcPr>
          <w:p w14:paraId="333CB8CA" w14:textId="77777777" w:rsidR="00A052DC" w:rsidRDefault="009F0A60">
            <w:pPr>
              <w:rPr>
                <w:rFonts w:ascii="黑体" w:eastAsia="黑体" w:hAnsi="黑体" w:cs="宋体"/>
                <w:sz w:val="20"/>
                <w:szCs w:val="20"/>
              </w:rPr>
            </w:pPr>
            <w:r>
              <w:rPr>
                <w:rFonts w:ascii="黑体" w:eastAsia="黑体" w:hAnsi="黑体" w:hint="eastAsia"/>
                <w:sz w:val="20"/>
                <w:szCs w:val="20"/>
              </w:rPr>
              <w:t>字符型，20</w:t>
            </w:r>
          </w:p>
        </w:tc>
        <w:tc>
          <w:tcPr>
            <w:tcW w:w="1694" w:type="pct"/>
          </w:tcPr>
          <w:p w14:paraId="3B89E038" w14:textId="77777777" w:rsidR="00A052DC" w:rsidRDefault="00A052DC">
            <w:pPr>
              <w:rPr>
                <w:rFonts w:ascii="黑体" w:eastAsia="黑体" w:hAnsi="黑体" w:cs="宋体"/>
                <w:sz w:val="20"/>
                <w:szCs w:val="20"/>
              </w:rPr>
            </w:pPr>
          </w:p>
        </w:tc>
      </w:tr>
      <w:tr w:rsidR="00A052DC" w14:paraId="57E50D64" w14:textId="77777777">
        <w:tc>
          <w:tcPr>
            <w:tcW w:w="1555" w:type="pct"/>
          </w:tcPr>
          <w:p w14:paraId="42C2C132" w14:textId="77777777" w:rsidR="00A052DC" w:rsidRDefault="009F0A60">
            <w:pPr>
              <w:rPr>
                <w:rFonts w:ascii="黑体" w:eastAsia="黑体" w:hAnsi="黑体" w:cs="Microsoft Sans Serif"/>
                <w:sz w:val="20"/>
                <w:szCs w:val="20"/>
              </w:rPr>
            </w:pPr>
            <w:r>
              <w:rPr>
                <w:rFonts w:ascii="黑体" w:eastAsia="黑体" w:hAnsi="黑体" w:hint="eastAsia"/>
                <w:sz w:val="20"/>
                <w:szCs w:val="20"/>
              </w:rPr>
              <w:t>填报人电话</w:t>
            </w:r>
          </w:p>
        </w:tc>
        <w:tc>
          <w:tcPr>
            <w:tcW w:w="836" w:type="pct"/>
          </w:tcPr>
          <w:p w14:paraId="447A6977"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RPTTEL</w:t>
            </w:r>
          </w:p>
        </w:tc>
        <w:tc>
          <w:tcPr>
            <w:tcW w:w="914" w:type="pct"/>
          </w:tcPr>
          <w:p w14:paraId="272CCCF4" w14:textId="77777777" w:rsidR="00A052DC" w:rsidRDefault="009F0A60">
            <w:pPr>
              <w:rPr>
                <w:rFonts w:ascii="黑体" w:eastAsia="黑体" w:hAnsi="黑体" w:cs="宋体"/>
                <w:sz w:val="20"/>
                <w:szCs w:val="20"/>
              </w:rPr>
            </w:pPr>
            <w:r>
              <w:rPr>
                <w:rFonts w:ascii="黑体" w:eastAsia="黑体" w:hAnsi="黑体" w:hint="eastAsia"/>
                <w:sz w:val="20"/>
                <w:szCs w:val="20"/>
              </w:rPr>
              <w:t>字符型，20</w:t>
            </w:r>
          </w:p>
        </w:tc>
        <w:tc>
          <w:tcPr>
            <w:tcW w:w="1694" w:type="pct"/>
          </w:tcPr>
          <w:p w14:paraId="7CBF747E" w14:textId="77777777" w:rsidR="00A052DC" w:rsidRDefault="00A052DC">
            <w:pPr>
              <w:rPr>
                <w:rFonts w:ascii="黑体" w:eastAsia="黑体" w:hAnsi="黑体" w:cs="宋体"/>
                <w:sz w:val="20"/>
                <w:szCs w:val="20"/>
              </w:rPr>
            </w:pPr>
          </w:p>
        </w:tc>
      </w:tr>
      <w:tr w:rsidR="00A052DC" w14:paraId="038283CD" w14:textId="77777777">
        <w:tc>
          <w:tcPr>
            <w:tcW w:w="1555" w:type="pct"/>
          </w:tcPr>
          <w:p w14:paraId="093FACD8" w14:textId="77777777" w:rsidR="00A052DC" w:rsidRDefault="009F0A60">
            <w:pPr>
              <w:rPr>
                <w:rFonts w:ascii="黑体" w:eastAsia="黑体" w:hAnsi="黑体" w:cs="Microsoft Sans Serif"/>
                <w:sz w:val="20"/>
                <w:szCs w:val="20"/>
              </w:rPr>
            </w:pPr>
            <w:r>
              <w:rPr>
                <w:rFonts w:ascii="黑体" w:eastAsia="黑体" w:hAnsi="黑体" w:hint="eastAsia"/>
                <w:sz w:val="20"/>
                <w:szCs w:val="20"/>
              </w:rPr>
              <w:t>申报日期</w:t>
            </w:r>
          </w:p>
        </w:tc>
        <w:tc>
          <w:tcPr>
            <w:tcW w:w="836" w:type="pct"/>
          </w:tcPr>
          <w:p w14:paraId="6AD68314"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RPTDATE</w:t>
            </w:r>
          </w:p>
        </w:tc>
        <w:tc>
          <w:tcPr>
            <w:tcW w:w="914" w:type="pct"/>
          </w:tcPr>
          <w:p w14:paraId="426F8157" w14:textId="77777777" w:rsidR="00A052DC" w:rsidRDefault="009F0A60">
            <w:pPr>
              <w:rPr>
                <w:rFonts w:ascii="黑体" w:eastAsia="黑体" w:hAnsi="黑体" w:cs="宋体"/>
                <w:sz w:val="20"/>
                <w:szCs w:val="20"/>
              </w:rPr>
            </w:pPr>
            <w:r>
              <w:rPr>
                <w:rFonts w:ascii="黑体" w:eastAsia="黑体" w:hAnsi="黑体" w:hint="eastAsia"/>
                <w:sz w:val="20"/>
                <w:szCs w:val="20"/>
              </w:rPr>
              <w:t>日期型，8</w:t>
            </w:r>
          </w:p>
        </w:tc>
        <w:tc>
          <w:tcPr>
            <w:tcW w:w="1694" w:type="pct"/>
          </w:tcPr>
          <w:p w14:paraId="4AC1AFCF" w14:textId="77777777" w:rsidR="00A052DC" w:rsidRDefault="009F0A60">
            <w:pPr>
              <w:rPr>
                <w:rFonts w:ascii="黑体" w:eastAsia="黑体" w:hAnsi="黑体" w:cs="宋体"/>
                <w:sz w:val="20"/>
                <w:szCs w:val="20"/>
              </w:rPr>
            </w:pPr>
            <w:r>
              <w:rPr>
                <w:rFonts w:ascii="黑体" w:eastAsia="黑体" w:hAnsi="黑体" w:hint="eastAsia"/>
                <w:sz w:val="20"/>
                <w:szCs w:val="20"/>
              </w:rPr>
              <w:t>YYYYMMDD</w:t>
            </w:r>
          </w:p>
        </w:tc>
      </w:tr>
      <w:tr w:rsidR="00A052DC" w14:paraId="0157B528" w14:textId="77777777">
        <w:tc>
          <w:tcPr>
            <w:tcW w:w="1555" w:type="pct"/>
            <w:tcBorders>
              <w:top w:val="single" w:sz="2" w:space="0" w:color="auto"/>
              <w:left w:val="single" w:sz="2" w:space="0" w:color="auto"/>
              <w:bottom w:val="single" w:sz="2" w:space="0" w:color="auto"/>
              <w:right w:val="single" w:sz="2" w:space="0" w:color="auto"/>
            </w:tcBorders>
          </w:tcPr>
          <w:p w14:paraId="4106FCA8" w14:textId="77777777" w:rsidR="00A052DC" w:rsidRDefault="009F0A60">
            <w:pPr>
              <w:rPr>
                <w:rFonts w:ascii="黑体" w:eastAsia="黑体" w:hAnsi="黑体"/>
                <w:sz w:val="20"/>
                <w:szCs w:val="20"/>
              </w:rPr>
            </w:pPr>
            <w:r>
              <w:rPr>
                <w:rFonts w:ascii="黑体" w:eastAsia="黑体" w:hAnsi="黑体" w:hint="eastAsia"/>
                <w:sz w:val="20"/>
                <w:szCs w:val="20"/>
              </w:rPr>
              <w:t>申报信息来源</w:t>
            </w:r>
          </w:p>
        </w:tc>
        <w:tc>
          <w:tcPr>
            <w:tcW w:w="836" w:type="pct"/>
            <w:tcBorders>
              <w:top w:val="single" w:sz="2" w:space="0" w:color="auto"/>
              <w:left w:val="single" w:sz="2" w:space="0" w:color="auto"/>
              <w:bottom w:val="single" w:sz="2" w:space="0" w:color="auto"/>
              <w:right w:val="single" w:sz="2" w:space="0" w:color="auto"/>
            </w:tcBorders>
          </w:tcPr>
          <w:p w14:paraId="441780D0"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RPTSOURCE</w:t>
            </w:r>
          </w:p>
        </w:tc>
        <w:tc>
          <w:tcPr>
            <w:tcW w:w="914" w:type="pct"/>
            <w:tcBorders>
              <w:top w:val="single" w:sz="2" w:space="0" w:color="auto"/>
              <w:left w:val="single" w:sz="2" w:space="0" w:color="auto"/>
              <w:bottom w:val="single" w:sz="2" w:space="0" w:color="auto"/>
              <w:right w:val="single" w:sz="2" w:space="0" w:color="auto"/>
            </w:tcBorders>
          </w:tcPr>
          <w:p w14:paraId="54B585DA" w14:textId="77777777" w:rsidR="00A052DC" w:rsidRDefault="009F0A60">
            <w:pPr>
              <w:rPr>
                <w:rFonts w:ascii="黑体" w:eastAsia="黑体" w:hAnsi="黑体"/>
                <w:sz w:val="20"/>
                <w:szCs w:val="20"/>
              </w:rPr>
            </w:pPr>
            <w:r>
              <w:rPr>
                <w:rFonts w:ascii="黑体" w:eastAsia="黑体" w:hAnsi="黑体" w:hint="eastAsia"/>
                <w:sz w:val="20"/>
                <w:szCs w:val="20"/>
              </w:rPr>
              <w:t>字符型，1</w:t>
            </w:r>
          </w:p>
        </w:tc>
        <w:tc>
          <w:tcPr>
            <w:tcW w:w="1694" w:type="pct"/>
            <w:tcBorders>
              <w:top w:val="single" w:sz="2" w:space="0" w:color="auto"/>
              <w:left w:val="single" w:sz="2" w:space="0" w:color="auto"/>
              <w:bottom w:val="single" w:sz="2" w:space="0" w:color="auto"/>
              <w:right w:val="single" w:sz="2" w:space="0" w:color="auto"/>
            </w:tcBorders>
          </w:tcPr>
          <w:p w14:paraId="52DCD150" w14:textId="77777777" w:rsidR="00A052DC" w:rsidRDefault="009F0A60">
            <w:pPr>
              <w:rPr>
                <w:rFonts w:ascii="黑体" w:eastAsia="黑体" w:hAnsi="黑体" w:cs="宋体"/>
                <w:sz w:val="20"/>
                <w:szCs w:val="20"/>
              </w:rPr>
            </w:pPr>
            <w:r>
              <w:rPr>
                <w:rFonts w:ascii="黑体" w:eastAsia="黑体" w:hAnsi="黑体" w:cs="宋体" w:hint="eastAsia"/>
                <w:sz w:val="20"/>
                <w:szCs w:val="20"/>
              </w:rPr>
              <w:t>1-纸质申报（银行版录入）</w:t>
            </w:r>
          </w:p>
          <w:p w14:paraId="7C56D116" w14:textId="77777777" w:rsidR="00A052DC" w:rsidRDefault="009F0A60">
            <w:pPr>
              <w:rPr>
                <w:rFonts w:ascii="黑体" w:eastAsia="黑体" w:hAnsi="黑体" w:cs="宋体"/>
                <w:sz w:val="20"/>
                <w:szCs w:val="20"/>
              </w:rPr>
            </w:pPr>
            <w:r>
              <w:rPr>
                <w:rFonts w:ascii="黑体" w:eastAsia="黑体" w:hAnsi="黑体" w:cs="宋体" w:hint="eastAsia"/>
                <w:sz w:val="20"/>
                <w:szCs w:val="20"/>
              </w:rPr>
              <w:t>2-网上申报</w:t>
            </w:r>
          </w:p>
          <w:p w14:paraId="29A02FD5" w14:textId="77777777" w:rsidR="00A052DC" w:rsidRDefault="009F0A60">
            <w:pPr>
              <w:rPr>
                <w:rFonts w:ascii="黑体" w:eastAsia="黑体" w:hAnsi="黑体" w:cs="宋体"/>
                <w:sz w:val="20"/>
                <w:szCs w:val="20"/>
              </w:rPr>
            </w:pPr>
            <w:r>
              <w:rPr>
                <w:rFonts w:ascii="黑体" w:eastAsia="黑体" w:hAnsi="黑体" w:cs="宋体" w:hint="eastAsia"/>
                <w:sz w:val="20"/>
                <w:szCs w:val="20"/>
              </w:rPr>
              <w:t>3-接口导入（银行业务系统接口文件导入）</w:t>
            </w:r>
          </w:p>
        </w:tc>
      </w:tr>
      <w:tr w:rsidR="00A052DC" w14:paraId="10CE6EE4" w14:textId="77777777">
        <w:tc>
          <w:tcPr>
            <w:tcW w:w="1555" w:type="pct"/>
            <w:tcBorders>
              <w:top w:val="single" w:sz="2" w:space="0" w:color="auto"/>
              <w:left w:val="single" w:sz="2" w:space="0" w:color="auto"/>
              <w:bottom w:val="single" w:sz="2" w:space="0" w:color="auto"/>
              <w:right w:val="single" w:sz="2" w:space="0" w:color="auto"/>
            </w:tcBorders>
          </w:tcPr>
          <w:p w14:paraId="1CCD6A8B" w14:textId="77777777" w:rsidR="00A052DC" w:rsidRDefault="009F0A60">
            <w:pPr>
              <w:rPr>
                <w:rFonts w:ascii="黑体" w:eastAsia="黑体" w:hAnsi="黑体"/>
                <w:sz w:val="20"/>
                <w:szCs w:val="20"/>
              </w:rPr>
            </w:pPr>
            <w:r>
              <w:rPr>
                <w:rFonts w:ascii="黑体" w:eastAsia="黑体" w:hAnsi="黑体" w:hint="eastAsia"/>
                <w:sz w:val="20"/>
                <w:szCs w:val="20"/>
              </w:rPr>
              <w:t>申报单状态</w:t>
            </w:r>
          </w:p>
        </w:tc>
        <w:tc>
          <w:tcPr>
            <w:tcW w:w="836" w:type="pct"/>
            <w:tcBorders>
              <w:top w:val="single" w:sz="2" w:space="0" w:color="auto"/>
              <w:left w:val="single" w:sz="2" w:space="0" w:color="auto"/>
              <w:bottom w:val="single" w:sz="2" w:space="0" w:color="auto"/>
              <w:right w:val="single" w:sz="2" w:space="0" w:color="auto"/>
            </w:tcBorders>
          </w:tcPr>
          <w:p w14:paraId="0F7D1404"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RPTSTS</w:t>
            </w:r>
          </w:p>
        </w:tc>
        <w:tc>
          <w:tcPr>
            <w:tcW w:w="914" w:type="pct"/>
            <w:tcBorders>
              <w:top w:val="single" w:sz="2" w:space="0" w:color="auto"/>
              <w:left w:val="single" w:sz="2" w:space="0" w:color="auto"/>
              <w:bottom w:val="single" w:sz="2" w:space="0" w:color="auto"/>
              <w:right w:val="single" w:sz="2" w:space="0" w:color="auto"/>
            </w:tcBorders>
          </w:tcPr>
          <w:p w14:paraId="4C75A14D" w14:textId="77777777" w:rsidR="00A052DC" w:rsidRDefault="009F0A60">
            <w:pPr>
              <w:rPr>
                <w:rFonts w:ascii="黑体" w:eastAsia="黑体" w:hAnsi="黑体"/>
                <w:sz w:val="20"/>
                <w:szCs w:val="20"/>
              </w:rPr>
            </w:pPr>
            <w:r>
              <w:rPr>
                <w:rFonts w:ascii="黑体" w:eastAsia="黑体" w:hAnsi="黑体" w:hint="eastAsia"/>
                <w:sz w:val="20"/>
                <w:szCs w:val="20"/>
              </w:rPr>
              <w:t>字符型，2</w:t>
            </w:r>
          </w:p>
        </w:tc>
        <w:tc>
          <w:tcPr>
            <w:tcW w:w="1694" w:type="pct"/>
            <w:tcBorders>
              <w:top w:val="single" w:sz="2" w:space="0" w:color="auto"/>
              <w:left w:val="single" w:sz="2" w:space="0" w:color="auto"/>
              <w:bottom w:val="single" w:sz="2" w:space="0" w:color="auto"/>
              <w:right w:val="single" w:sz="2" w:space="0" w:color="auto"/>
            </w:tcBorders>
          </w:tcPr>
          <w:p w14:paraId="57B9DFE0" w14:textId="77777777" w:rsidR="00A052DC" w:rsidRDefault="009F0A60">
            <w:pPr>
              <w:rPr>
                <w:rFonts w:ascii="黑体" w:eastAsia="黑体" w:hAnsi="黑体" w:cs="宋体"/>
                <w:sz w:val="20"/>
                <w:szCs w:val="20"/>
              </w:rPr>
            </w:pPr>
            <w:r>
              <w:rPr>
                <w:rFonts w:ascii="黑体" w:eastAsia="黑体" w:hAnsi="黑体" w:cs="宋体" w:hint="eastAsia"/>
                <w:sz w:val="20"/>
                <w:szCs w:val="20"/>
              </w:rPr>
              <w:t>06</w:t>
            </w:r>
            <w:r w:rsidR="00BF0361">
              <w:rPr>
                <w:rFonts w:ascii="黑体" w:eastAsia="黑体" w:hAnsi="黑体" w:cs="宋体" w:hint="eastAsia"/>
                <w:sz w:val="20"/>
                <w:szCs w:val="20"/>
              </w:rPr>
              <w:t>-</w:t>
            </w:r>
            <w:r>
              <w:rPr>
                <w:rFonts w:ascii="黑体" w:eastAsia="黑体" w:hAnsi="黑体" w:cs="宋体" w:hint="eastAsia"/>
                <w:sz w:val="20"/>
                <w:szCs w:val="20"/>
              </w:rPr>
              <w:t>已审核</w:t>
            </w:r>
          </w:p>
        </w:tc>
      </w:tr>
      <w:tr w:rsidR="00A052DC" w14:paraId="73D63D01" w14:textId="77777777">
        <w:tc>
          <w:tcPr>
            <w:tcW w:w="1555" w:type="pct"/>
            <w:tcBorders>
              <w:top w:val="single" w:sz="2" w:space="0" w:color="auto"/>
              <w:left w:val="single" w:sz="2" w:space="0" w:color="auto"/>
              <w:bottom w:val="single" w:sz="2" w:space="0" w:color="auto"/>
              <w:right w:val="single" w:sz="2" w:space="0" w:color="auto"/>
            </w:tcBorders>
          </w:tcPr>
          <w:p w14:paraId="5A80E47D" w14:textId="77777777" w:rsidR="00A052DC" w:rsidRDefault="009F0A60">
            <w:pPr>
              <w:rPr>
                <w:rFonts w:ascii="黑体" w:eastAsia="黑体" w:hAnsi="黑体"/>
                <w:sz w:val="20"/>
                <w:szCs w:val="20"/>
              </w:rPr>
            </w:pPr>
            <w:r>
              <w:rPr>
                <w:rFonts w:ascii="黑体" w:eastAsia="黑体" w:hAnsi="黑体" w:hint="eastAsia"/>
                <w:sz w:val="20"/>
                <w:szCs w:val="20"/>
              </w:rPr>
              <w:t>删除标志</w:t>
            </w:r>
          </w:p>
        </w:tc>
        <w:tc>
          <w:tcPr>
            <w:tcW w:w="836" w:type="pct"/>
            <w:tcBorders>
              <w:top w:val="single" w:sz="2" w:space="0" w:color="auto"/>
              <w:left w:val="single" w:sz="2" w:space="0" w:color="auto"/>
              <w:bottom w:val="single" w:sz="2" w:space="0" w:color="auto"/>
              <w:right w:val="single" w:sz="2" w:space="0" w:color="auto"/>
            </w:tcBorders>
          </w:tcPr>
          <w:p w14:paraId="1DCA6A13" w14:textId="77777777" w:rsidR="00A052DC" w:rsidRDefault="009F0A60">
            <w:pPr>
              <w:rPr>
                <w:rFonts w:ascii="黑体" w:eastAsia="黑体" w:hAnsi="黑体" w:cs="Microsoft Sans Serif"/>
                <w:sz w:val="20"/>
                <w:szCs w:val="20"/>
              </w:rPr>
            </w:pPr>
            <w:r>
              <w:rPr>
                <w:rFonts w:ascii="黑体" w:eastAsia="黑体" w:hAnsi="黑体" w:cs="Microsoft Sans Serif" w:hint="eastAsia"/>
                <w:sz w:val="20"/>
                <w:szCs w:val="20"/>
              </w:rPr>
              <w:t>DELFLAG</w:t>
            </w:r>
          </w:p>
        </w:tc>
        <w:tc>
          <w:tcPr>
            <w:tcW w:w="914" w:type="pct"/>
            <w:tcBorders>
              <w:top w:val="single" w:sz="2" w:space="0" w:color="auto"/>
              <w:left w:val="single" w:sz="2" w:space="0" w:color="auto"/>
              <w:bottom w:val="single" w:sz="2" w:space="0" w:color="auto"/>
              <w:right w:val="single" w:sz="2" w:space="0" w:color="auto"/>
            </w:tcBorders>
          </w:tcPr>
          <w:p w14:paraId="79542C7F" w14:textId="77777777" w:rsidR="00A052DC" w:rsidRDefault="009F0A60">
            <w:pPr>
              <w:rPr>
                <w:rFonts w:ascii="黑体" w:eastAsia="黑体" w:hAnsi="黑体"/>
                <w:sz w:val="20"/>
                <w:szCs w:val="20"/>
              </w:rPr>
            </w:pPr>
            <w:r>
              <w:rPr>
                <w:rFonts w:ascii="黑体" w:eastAsia="黑体" w:hAnsi="黑体" w:hint="eastAsia"/>
                <w:sz w:val="20"/>
                <w:szCs w:val="20"/>
              </w:rPr>
              <w:t>字符型，1</w:t>
            </w:r>
          </w:p>
        </w:tc>
        <w:tc>
          <w:tcPr>
            <w:tcW w:w="1694" w:type="pct"/>
            <w:tcBorders>
              <w:top w:val="single" w:sz="2" w:space="0" w:color="auto"/>
              <w:left w:val="single" w:sz="2" w:space="0" w:color="auto"/>
              <w:bottom w:val="single" w:sz="2" w:space="0" w:color="auto"/>
              <w:right w:val="single" w:sz="2" w:space="0" w:color="auto"/>
            </w:tcBorders>
          </w:tcPr>
          <w:p w14:paraId="2D3BFCEC" w14:textId="77777777" w:rsidR="00A052DC" w:rsidRDefault="009F0A60">
            <w:pPr>
              <w:rPr>
                <w:rFonts w:ascii="黑体" w:eastAsia="黑体" w:hAnsi="黑体" w:cs="宋体"/>
                <w:sz w:val="20"/>
                <w:szCs w:val="20"/>
              </w:rPr>
            </w:pPr>
            <w:r>
              <w:rPr>
                <w:rFonts w:ascii="黑体" w:eastAsia="黑体" w:hAnsi="黑体" w:cs="宋体" w:hint="eastAsia"/>
                <w:sz w:val="20"/>
                <w:szCs w:val="20"/>
              </w:rPr>
              <w:t>0-未删除</w:t>
            </w:r>
          </w:p>
          <w:p w14:paraId="7162BC14" w14:textId="77777777" w:rsidR="00A052DC" w:rsidRDefault="009F0A60">
            <w:pPr>
              <w:rPr>
                <w:rFonts w:ascii="黑体" w:eastAsia="黑体" w:hAnsi="黑体" w:cs="宋体"/>
                <w:sz w:val="20"/>
                <w:szCs w:val="20"/>
              </w:rPr>
            </w:pPr>
            <w:r>
              <w:rPr>
                <w:rFonts w:ascii="黑体" w:eastAsia="黑体" w:hAnsi="黑体" w:cs="宋体" w:hint="eastAsia"/>
                <w:sz w:val="20"/>
                <w:szCs w:val="20"/>
              </w:rPr>
              <w:t>3-已删除</w:t>
            </w:r>
          </w:p>
        </w:tc>
      </w:tr>
    </w:tbl>
    <w:p w14:paraId="7CEF455F" w14:textId="77777777" w:rsidR="00A052DC" w:rsidRDefault="00A052DC"/>
    <w:p w14:paraId="02455104" w14:textId="77777777" w:rsidR="00A052DC" w:rsidRDefault="009F0A60" w:rsidP="0020251D">
      <w:pPr>
        <w:pStyle w:val="2"/>
        <w:rPr>
          <w:rFonts w:ascii="Times New Roman" w:hAnsi="Times New Roman"/>
        </w:rPr>
      </w:pPr>
      <w:bookmarkStart w:id="4518" w:name="_Toc91455513"/>
      <w:bookmarkStart w:id="4519" w:name="_Toc101684538"/>
      <w:r>
        <w:rPr>
          <w:rFonts w:ascii="Times New Roman" w:hAnsi="Times New Roman" w:hint="eastAsia"/>
        </w:rPr>
        <w:t>暂停持境内银行卡在境外提取现金个人名单的数据字典</w:t>
      </w:r>
      <w:bookmarkEnd w:id="4518"/>
      <w:bookmarkEnd w:id="4519"/>
    </w:p>
    <w:tbl>
      <w:tblPr>
        <w:tblpPr w:leftFromText="180" w:rightFromText="180" w:vertAnchor="text" w:horzAnchor="margin" w:tblpXSpec="center" w:tblpY="121"/>
        <w:tblW w:w="8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8"/>
        <w:gridCol w:w="1340"/>
        <w:gridCol w:w="1318"/>
        <w:gridCol w:w="3872"/>
      </w:tblGrid>
      <w:tr w:rsidR="00A052DC" w14:paraId="5C9E9F1B" w14:textId="77777777">
        <w:trPr>
          <w:tblHeader/>
        </w:trPr>
        <w:tc>
          <w:tcPr>
            <w:tcW w:w="1868" w:type="dxa"/>
            <w:shd w:val="clear" w:color="auto" w:fill="C0C0C0"/>
            <w:vAlign w:val="center"/>
          </w:tcPr>
          <w:p w14:paraId="3841B18A" w14:textId="77777777" w:rsidR="00A052DC" w:rsidRDefault="009F0A60">
            <w:pPr>
              <w:jc w:val="center"/>
              <w:rPr>
                <w:rFonts w:ascii="黑体" w:eastAsia="黑体" w:hAnsi="黑体"/>
                <w:b/>
                <w:sz w:val="20"/>
                <w:szCs w:val="20"/>
              </w:rPr>
            </w:pPr>
            <w:r>
              <w:rPr>
                <w:rFonts w:ascii="黑体" w:eastAsia="黑体" w:hAnsi="黑体" w:hint="eastAsia"/>
                <w:b/>
                <w:sz w:val="20"/>
                <w:szCs w:val="20"/>
              </w:rPr>
              <w:t>名称</w:t>
            </w:r>
          </w:p>
        </w:tc>
        <w:tc>
          <w:tcPr>
            <w:tcW w:w="1340" w:type="dxa"/>
            <w:shd w:val="clear" w:color="auto" w:fill="C0C0C0"/>
            <w:vAlign w:val="center"/>
          </w:tcPr>
          <w:p w14:paraId="4B44BF9F" w14:textId="77777777" w:rsidR="00A052DC" w:rsidRDefault="009F0A60">
            <w:pPr>
              <w:jc w:val="center"/>
              <w:rPr>
                <w:rFonts w:ascii="黑体" w:eastAsia="黑体" w:hAnsi="黑体"/>
                <w:b/>
                <w:sz w:val="20"/>
                <w:szCs w:val="20"/>
              </w:rPr>
            </w:pPr>
            <w:r>
              <w:rPr>
                <w:rFonts w:ascii="黑体" w:eastAsia="黑体" w:hAnsi="黑体" w:hint="eastAsia"/>
                <w:b/>
                <w:sz w:val="20"/>
                <w:szCs w:val="20"/>
              </w:rPr>
              <w:t>代码</w:t>
            </w:r>
          </w:p>
        </w:tc>
        <w:tc>
          <w:tcPr>
            <w:tcW w:w="1318" w:type="dxa"/>
            <w:shd w:val="clear" w:color="auto" w:fill="C0C0C0"/>
            <w:vAlign w:val="center"/>
          </w:tcPr>
          <w:p w14:paraId="277801FE" w14:textId="77777777" w:rsidR="00A052DC" w:rsidRDefault="009F0A60">
            <w:pPr>
              <w:jc w:val="center"/>
              <w:rPr>
                <w:rFonts w:ascii="黑体" w:eastAsia="黑体" w:hAnsi="黑体"/>
                <w:b/>
                <w:sz w:val="20"/>
                <w:szCs w:val="20"/>
              </w:rPr>
            </w:pPr>
            <w:r>
              <w:rPr>
                <w:rFonts w:ascii="黑体" w:eastAsia="黑体" w:hAnsi="黑体" w:hint="eastAsia"/>
                <w:b/>
                <w:sz w:val="20"/>
                <w:szCs w:val="20"/>
              </w:rPr>
              <w:t>数据（长度）</w:t>
            </w:r>
          </w:p>
        </w:tc>
        <w:tc>
          <w:tcPr>
            <w:tcW w:w="3872" w:type="dxa"/>
            <w:shd w:val="clear" w:color="auto" w:fill="C0C0C0"/>
            <w:vAlign w:val="center"/>
          </w:tcPr>
          <w:p w14:paraId="41F12ED6" w14:textId="77777777" w:rsidR="00A052DC" w:rsidRDefault="009F0A60">
            <w:pPr>
              <w:jc w:val="center"/>
              <w:rPr>
                <w:rFonts w:ascii="黑体" w:eastAsia="黑体" w:hAnsi="黑体"/>
                <w:b/>
                <w:sz w:val="20"/>
                <w:szCs w:val="20"/>
              </w:rPr>
            </w:pPr>
            <w:r>
              <w:rPr>
                <w:rFonts w:ascii="黑体" w:eastAsia="黑体" w:hAnsi="黑体" w:hint="eastAsia"/>
                <w:b/>
                <w:sz w:val="20"/>
                <w:szCs w:val="20"/>
              </w:rPr>
              <w:t>校验</w:t>
            </w:r>
          </w:p>
        </w:tc>
      </w:tr>
      <w:tr w:rsidR="00A052DC" w14:paraId="55F9F26B" w14:textId="77777777">
        <w:trPr>
          <w:trHeight w:val="638"/>
        </w:trPr>
        <w:tc>
          <w:tcPr>
            <w:tcW w:w="1868" w:type="dxa"/>
            <w:vAlign w:val="center"/>
          </w:tcPr>
          <w:p w14:paraId="4C4AC711" w14:textId="77777777" w:rsidR="00A052DC" w:rsidRDefault="009F0A60">
            <w:pPr>
              <w:rPr>
                <w:rFonts w:ascii="黑体" w:eastAsia="黑体" w:hAnsi="黑体"/>
                <w:sz w:val="20"/>
                <w:szCs w:val="20"/>
              </w:rPr>
            </w:pPr>
            <w:r>
              <w:rPr>
                <w:rFonts w:ascii="黑体" w:eastAsia="黑体" w:hAnsi="黑体" w:hint="eastAsia"/>
                <w:sz w:val="20"/>
                <w:szCs w:val="20"/>
              </w:rPr>
              <w:t>持卡人身份证件类型</w:t>
            </w:r>
          </w:p>
        </w:tc>
        <w:tc>
          <w:tcPr>
            <w:tcW w:w="1340" w:type="dxa"/>
            <w:vAlign w:val="center"/>
          </w:tcPr>
          <w:p w14:paraId="6BC3C578" w14:textId="77777777" w:rsidR="00A052DC" w:rsidRDefault="009F0A60">
            <w:pPr>
              <w:rPr>
                <w:rFonts w:ascii="黑体" w:eastAsia="黑体" w:hAnsi="黑体"/>
                <w:sz w:val="20"/>
                <w:szCs w:val="20"/>
              </w:rPr>
            </w:pPr>
            <w:r>
              <w:rPr>
                <w:rFonts w:ascii="黑体" w:eastAsia="黑体" w:hAnsi="黑体"/>
                <w:sz w:val="20"/>
                <w:szCs w:val="20"/>
              </w:rPr>
              <w:t>CERT_TYPE_CODE</w:t>
            </w:r>
          </w:p>
        </w:tc>
        <w:tc>
          <w:tcPr>
            <w:tcW w:w="1318" w:type="dxa"/>
            <w:vAlign w:val="center"/>
          </w:tcPr>
          <w:p w14:paraId="507B74D1" w14:textId="77777777" w:rsidR="00A052DC" w:rsidRDefault="009F0A60">
            <w:pPr>
              <w:rPr>
                <w:rFonts w:ascii="黑体" w:eastAsia="黑体" w:hAnsi="黑体"/>
                <w:sz w:val="20"/>
                <w:szCs w:val="20"/>
              </w:rPr>
            </w:pPr>
            <w:r>
              <w:rPr>
                <w:rFonts w:ascii="黑体" w:eastAsia="黑体" w:hAnsi="黑体" w:hint="eastAsia"/>
                <w:sz w:val="20"/>
                <w:szCs w:val="20"/>
              </w:rPr>
              <w:t>字符型，</w:t>
            </w:r>
            <w:r>
              <w:rPr>
                <w:rFonts w:ascii="黑体" w:eastAsia="黑体" w:hAnsi="黑体"/>
                <w:sz w:val="20"/>
                <w:szCs w:val="20"/>
              </w:rPr>
              <w:t>2</w:t>
            </w:r>
          </w:p>
        </w:tc>
        <w:tc>
          <w:tcPr>
            <w:tcW w:w="3872" w:type="dxa"/>
            <w:vAlign w:val="center"/>
          </w:tcPr>
          <w:p w14:paraId="2B3D693E" w14:textId="77777777" w:rsidR="00A052DC" w:rsidRDefault="009F0A60">
            <w:pPr>
              <w:rPr>
                <w:rFonts w:ascii="黑体" w:eastAsia="黑体" w:hAnsi="黑体"/>
                <w:kern w:val="0"/>
                <w:sz w:val="20"/>
                <w:szCs w:val="20"/>
              </w:rPr>
            </w:pPr>
            <w:r>
              <w:rPr>
                <w:rFonts w:ascii="黑体" w:eastAsia="黑体" w:hAnsi="黑体" w:hint="eastAsia"/>
                <w:kern w:val="0"/>
                <w:sz w:val="20"/>
                <w:szCs w:val="20"/>
              </w:rPr>
              <w:t>必填项。持卡人办理银行卡所使用的身份证件类型</w:t>
            </w:r>
          </w:p>
          <w:p w14:paraId="6DFB37E7" w14:textId="77777777" w:rsidR="00A052DC" w:rsidRDefault="009F0A60">
            <w:pPr>
              <w:rPr>
                <w:rFonts w:ascii="黑体" w:eastAsia="黑体" w:hAnsi="黑体"/>
                <w:kern w:val="0"/>
                <w:sz w:val="20"/>
                <w:szCs w:val="20"/>
              </w:rPr>
            </w:pPr>
            <w:r>
              <w:rPr>
                <w:rFonts w:ascii="黑体" w:eastAsia="黑体" w:hAnsi="黑体" w:hint="eastAsia"/>
                <w:kern w:val="0"/>
                <w:sz w:val="20"/>
                <w:szCs w:val="20"/>
              </w:rPr>
              <w:t>境内个人：</w:t>
            </w:r>
          </w:p>
          <w:p w14:paraId="599C8497" w14:textId="77777777" w:rsidR="00A052DC" w:rsidRDefault="009F0A60">
            <w:pPr>
              <w:rPr>
                <w:rFonts w:ascii="黑体" w:eastAsia="黑体" w:hAnsi="黑体"/>
                <w:kern w:val="0"/>
                <w:sz w:val="20"/>
                <w:szCs w:val="20"/>
              </w:rPr>
            </w:pPr>
            <w:r>
              <w:rPr>
                <w:rFonts w:ascii="黑体" w:eastAsia="黑体" w:hAnsi="黑体"/>
                <w:kern w:val="0"/>
                <w:sz w:val="20"/>
                <w:szCs w:val="20"/>
              </w:rPr>
              <w:t>01</w:t>
            </w:r>
            <w:r>
              <w:rPr>
                <w:rFonts w:ascii="黑体" w:eastAsia="黑体" w:hAnsi="黑体" w:hint="eastAsia"/>
                <w:kern w:val="0"/>
                <w:sz w:val="20"/>
                <w:szCs w:val="20"/>
              </w:rPr>
              <w:t>居民身份证</w:t>
            </w:r>
            <w:r w:rsidR="00225570">
              <w:rPr>
                <w:rFonts w:ascii="黑体" w:eastAsia="黑体" w:hAnsi="黑体" w:hint="eastAsia"/>
                <w:kern w:val="0"/>
                <w:sz w:val="20"/>
                <w:szCs w:val="20"/>
              </w:rPr>
              <w:t>；</w:t>
            </w:r>
          </w:p>
          <w:p w14:paraId="64976F71" w14:textId="77777777" w:rsidR="00A052DC" w:rsidRDefault="009F0A60">
            <w:pPr>
              <w:rPr>
                <w:rFonts w:ascii="黑体" w:eastAsia="黑体" w:hAnsi="黑体"/>
                <w:kern w:val="0"/>
                <w:sz w:val="20"/>
                <w:szCs w:val="20"/>
              </w:rPr>
            </w:pPr>
            <w:r>
              <w:rPr>
                <w:rFonts w:ascii="黑体" w:eastAsia="黑体" w:hAnsi="黑体"/>
                <w:kern w:val="0"/>
                <w:sz w:val="20"/>
                <w:szCs w:val="20"/>
              </w:rPr>
              <w:t>02</w:t>
            </w:r>
            <w:r>
              <w:rPr>
                <w:rFonts w:ascii="黑体" w:eastAsia="黑体" w:hAnsi="黑体" w:hint="eastAsia"/>
                <w:kern w:val="0"/>
                <w:sz w:val="20"/>
                <w:szCs w:val="20"/>
              </w:rPr>
              <w:t>军人身份证件</w:t>
            </w:r>
            <w:r w:rsidR="00225570">
              <w:rPr>
                <w:rFonts w:ascii="黑体" w:eastAsia="黑体" w:hAnsi="黑体" w:hint="eastAsia"/>
                <w:kern w:val="0"/>
                <w:sz w:val="20"/>
                <w:szCs w:val="20"/>
              </w:rPr>
              <w:t>；</w:t>
            </w:r>
          </w:p>
          <w:p w14:paraId="209B330B" w14:textId="77777777" w:rsidR="00A052DC" w:rsidRDefault="009F0A60">
            <w:pPr>
              <w:rPr>
                <w:rFonts w:ascii="黑体" w:eastAsia="黑体" w:hAnsi="黑体"/>
                <w:kern w:val="0"/>
                <w:sz w:val="20"/>
                <w:szCs w:val="20"/>
              </w:rPr>
            </w:pPr>
            <w:r>
              <w:rPr>
                <w:rFonts w:ascii="黑体" w:eastAsia="黑体" w:hAnsi="黑体"/>
                <w:kern w:val="0"/>
                <w:sz w:val="20"/>
                <w:szCs w:val="20"/>
              </w:rPr>
              <w:t>03</w:t>
            </w:r>
            <w:r>
              <w:rPr>
                <w:rFonts w:ascii="黑体" w:eastAsia="黑体" w:hAnsi="黑体" w:hint="eastAsia"/>
                <w:kern w:val="0"/>
                <w:sz w:val="20"/>
                <w:szCs w:val="20"/>
              </w:rPr>
              <w:t>武装警察身份证件</w:t>
            </w:r>
            <w:r w:rsidR="00225570">
              <w:rPr>
                <w:rFonts w:ascii="黑体" w:eastAsia="黑体" w:hAnsi="黑体" w:hint="eastAsia"/>
                <w:kern w:val="0"/>
                <w:sz w:val="20"/>
                <w:szCs w:val="20"/>
              </w:rPr>
              <w:t>。</w:t>
            </w:r>
          </w:p>
          <w:p w14:paraId="7D020389" w14:textId="77777777" w:rsidR="00A052DC" w:rsidRDefault="009F0A60">
            <w:pPr>
              <w:rPr>
                <w:rFonts w:ascii="黑体" w:eastAsia="黑体" w:hAnsi="黑体"/>
                <w:kern w:val="0"/>
                <w:sz w:val="20"/>
                <w:szCs w:val="20"/>
              </w:rPr>
            </w:pPr>
            <w:r>
              <w:rPr>
                <w:rFonts w:ascii="黑体" w:eastAsia="黑体" w:hAnsi="黑体" w:hint="eastAsia"/>
                <w:kern w:val="0"/>
                <w:sz w:val="20"/>
                <w:szCs w:val="20"/>
              </w:rPr>
              <w:t>境外个人：</w:t>
            </w:r>
          </w:p>
          <w:p w14:paraId="514E971B" w14:textId="77777777" w:rsidR="00A052DC" w:rsidRDefault="009F0A60">
            <w:pPr>
              <w:rPr>
                <w:rFonts w:ascii="黑体" w:eastAsia="黑体" w:hAnsi="黑体"/>
                <w:kern w:val="0"/>
                <w:sz w:val="20"/>
                <w:szCs w:val="20"/>
              </w:rPr>
            </w:pPr>
            <w:r>
              <w:rPr>
                <w:rFonts w:ascii="黑体" w:eastAsia="黑体" w:hAnsi="黑体"/>
                <w:kern w:val="0"/>
                <w:sz w:val="20"/>
                <w:szCs w:val="20"/>
              </w:rPr>
              <w:t>04</w:t>
            </w:r>
            <w:r>
              <w:rPr>
                <w:rFonts w:ascii="黑体" w:eastAsia="黑体" w:hAnsi="黑体" w:hint="eastAsia"/>
                <w:kern w:val="0"/>
                <w:sz w:val="20"/>
                <w:szCs w:val="20"/>
              </w:rPr>
              <w:t>护照</w:t>
            </w:r>
            <w:r w:rsidR="00225570">
              <w:rPr>
                <w:rFonts w:ascii="黑体" w:eastAsia="黑体" w:hAnsi="黑体" w:hint="eastAsia"/>
                <w:kern w:val="0"/>
                <w:sz w:val="20"/>
                <w:szCs w:val="20"/>
              </w:rPr>
              <w:t>；</w:t>
            </w:r>
          </w:p>
          <w:p w14:paraId="4F07B5DB" w14:textId="77777777" w:rsidR="00A052DC" w:rsidRDefault="009F0A60">
            <w:pPr>
              <w:rPr>
                <w:rFonts w:ascii="黑体" w:eastAsia="黑体" w:hAnsi="黑体"/>
                <w:kern w:val="0"/>
                <w:sz w:val="20"/>
                <w:szCs w:val="20"/>
              </w:rPr>
            </w:pPr>
            <w:r>
              <w:rPr>
                <w:rFonts w:ascii="黑体" w:eastAsia="黑体" w:hAnsi="黑体"/>
                <w:kern w:val="0"/>
                <w:sz w:val="20"/>
                <w:szCs w:val="20"/>
              </w:rPr>
              <w:t>05</w:t>
            </w:r>
            <w:r>
              <w:rPr>
                <w:rFonts w:ascii="黑体" w:eastAsia="黑体" w:hAnsi="黑体" w:hint="eastAsia"/>
                <w:kern w:val="0"/>
                <w:sz w:val="20"/>
                <w:szCs w:val="20"/>
              </w:rPr>
              <w:t>外国人永久居留身份证</w:t>
            </w:r>
            <w:r w:rsidR="00225570">
              <w:rPr>
                <w:rFonts w:ascii="黑体" w:eastAsia="黑体" w:hAnsi="黑体" w:hint="eastAsia"/>
                <w:kern w:val="0"/>
                <w:sz w:val="20"/>
                <w:szCs w:val="20"/>
              </w:rPr>
              <w:t>；</w:t>
            </w:r>
          </w:p>
          <w:p w14:paraId="75D88499" w14:textId="77777777" w:rsidR="00A052DC" w:rsidRDefault="009F0A60">
            <w:pPr>
              <w:rPr>
                <w:rFonts w:ascii="黑体" w:eastAsia="黑体" w:hAnsi="黑体"/>
                <w:kern w:val="0"/>
                <w:sz w:val="20"/>
                <w:szCs w:val="20"/>
              </w:rPr>
            </w:pPr>
            <w:r>
              <w:rPr>
                <w:rFonts w:ascii="黑体" w:eastAsia="黑体" w:hAnsi="黑体"/>
                <w:kern w:val="0"/>
                <w:sz w:val="20"/>
                <w:szCs w:val="20"/>
              </w:rPr>
              <w:t>06</w:t>
            </w:r>
            <w:r>
              <w:rPr>
                <w:rFonts w:ascii="黑体" w:eastAsia="黑体" w:hAnsi="黑体" w:hint="eastAsia"/>
                <w:kern w:val="0"/>
                <w:sz w:val="20"/>
                <w:szCs w:val="20"/>
              </w:rPr>
              <w:t>港澳居民来往内地通行证</w:t>
            </w:r>
            <w:r w:rsidR="00225570">
              <w:rPr>
                <w:rFonts w:ascii="黑体" w:eastAsia="黑体" w:hAnsi="黑体" w:hint="eastAsia"/>
                <w:kern w:val="0"/>
                <w:sz w:val="20"/>
                <w:szCs w:val="20"/>
              </w:rPr>
              <w:t>；</w:t>
            </w:r>
          </w:p>
          <w:p w14:paraId="0E63CCF5" w14:textId="77777777" w:rsidR="00A052DC" w:rsidRDefault="009F0A60">
            <w:pPr>
              <w:rPr>
                <w:rFonts w:ascii="黑体" w:eastAsia="黑体" w:hAnsi="黑体"/>
                <w:kern w:val="0"/>
                <w:sz w:val="20"/>
                <w:szCs w:val="20"/>
              </w:rPr>
            </w:pPr>
            <w:r>
              <w:rPr>
                <w:rFonts w:ascii="黑体" w:eastAsia="黑体" w:hAnsi="黑体"/>
                <w:kern w:val="0"/>
                <w:sz w:val="20"/>
                <w:szCs w:val="20"/>
              </w:rPr>
              <w:t>07</w:t>
            </w:r>
            <w:r>
              <w:rPr>
                <w:rFonts w:ascii="黑体" w:eastAsia="黑体" w:hAnsi="黑体" w:hint="eastAsia"/>
                <w:kern w:val="0"/>
                <w:sz w:val="20"/>
                <w:szCs w:val="20"/>
              </w:rPr>
              <w:t>台湾居民来往大陆通行证</w:t>
            </w:r>
            <w:r w:rsidR="00225570">
              <w:rPr>
                <w:rFonts w:ascii="黑体" w:eastAsia="黑体" w:hAnsi="黑体" w:hint="eastAsia"/>
                <w:kern w:val="0"/>
                <w:sz w:val="20"/>
                <w:szCs w:val="20"/>
              </w:rPr>
              <w:t>；</w:t>
            </w:r>
          </w:p>
          <w:p w14:paraId="25BA91B9" w14:textId="77777777" w:rsidR="00A052DC" w:rsidRDefault="009F0A60">
            <w:pPr>
              <w:rPr>
                <w:rFonts w:ascii="黑体" w:eastAsia="黑体" w:hAnsi="黑体"/>
                <w:kern w:val="0"/>
                <w:sz w:val="20"/>
                <w:szCs w:val="20"/>
              </w:rPr>
            </w:pPr>
            <w:r>
              <w:rPr>
                <w:rFonts w:ascii="黑体" w:eastAsia="黑体" w:hAnsi="黑体"/>
                <w:kern w:val="0"/>
                <w:sz w:val="20"/>
                <w:szCs w:val="20"/>
              </w:rPr>
              <w:t>09</w:t>
            </w:r>
            <w:r>
              <w:rPr>
                <w:rFonts w:ascii="黑体" w:eastAsia="黑体" w:hAnsi="黑体" w:hint="eastAsia"/>
                <w:kern w:val="0"/>
                <w:sz w:val="20"/>
                <w:szCs w:val="20"/>
              </w:rPr>
              <w:t>中国护照</w:t>
            </w:r>
            <w:r w:rsidR="00225570">
              <w:rPr>
                <w:rFonts w:ascii="黑体" w:eastAsia="黑体" w:hAnsi="黑体" w:hint="eastAsia"/>
                <w:kern w:val="0"/>
                <w:sz w:val="20"/>
                <w:szCs w:val="20"/>
              </w:rPr>
              <w:t>；</w:t>
            </w:r>
          </w:p>
          <w:p w14:paraId="01751AF6" w14:textId="77777777" w:rsidR="00A052DC" w:rsidRDefault="009F0A60">
            <w:pPr>
              <w:rPr>
                <w:rFonts w:ascii="黑体" w:eastAsia="黑体" w:hAnsi="黑体"/>
                <w:kern w:val="0"/>
                <w:sz w:val="20"/>
                <w:szCs w:val="20"/>
              </w:rPr>
            </w:pPr>
            <w:r>
              <w:rPr>
                <w:rFonts w:ascii="黑体" w:eastAsia="黑体" w:hAnsi="黑体"/>
                <w:kern w:val="0"/>
                <w:sz w:val="20"/>
                <w:szCs w:val="20"/>
              </w:rPr>
              <w:t>10</w:t>
            </w:r>
            <w:r>
              <w:rPr>
                <w:rFonts w:ascii="黑体" w:eastAsia="黑体" w:hAnsi="黑体" w:hint="eastAsia"/>
                <w:kern w:val="0"/>
                <w:sz w:val="20"/>
                <w:szCs w:val="20"/>
              </w:rPr>
              <w:t>外交官证</w:t>
            </w:r>
            <w:r w:rsidR="00225570">
              <w:rPr>
                <w:rFonts w:ascii="黑体" w:eastAsia="黑体" w:hAnsi="黑体" w:hint="eastAsia"/>
                <w:kern w:val="0"/>
                <w:sz w:val="20"/>
                <w:szCs w:val="20"/>
              </w:rPr>
              <w:t>；</w:t>
            </w:r>
          </w:p>
          <w:p w14:paraId="0497FE0D" w14:textId="77777777" w:rsidR="00A052DC" w:rsidRDefault="009F0A60">
            <w:pPr>
              <w:rPr>
                <w:rFonts w:ascii="黑体" w:eastAsia="黑体" w:hAnsi="黑体"/>
                <w:sz w:val="20"/>
                <w:szCs w:val="20"/>
              </w:rPr>
            </w:pPr>
            <w:r>
              <w:rPr>
                <w:rFonts w:ascii="黑体" w:eastAsia="黑体" w:hAnsi="黑体"/>
                <w:kern w:val="0"/>
                <w:sz w:val="20"/>
                <w:szCs w:val="20"/>
              </w:rPr>
              <w:t>11</w:t>
            </w:r>
            <w:r>
              <w:rPr>
                <w:rFonts w:ascii="黑体" w:eastAsia="黑体" w:hAnsi="黑体" w:hint="eastAsia"/>
                <w:kern w:val="0"/>
                <w:sz w:val="20"/>
                <w:szCs w:val="20"/>
              </w:rPr>
              <w:t>其他身份证件</w:t>
            </w:r>
            <w:r w:rsidR="00225570">
              <w:rPr>
                <w:rFonts w:ascii="黑体" w:eastAsia="黑体" w:hAnsi="黑体" w:hint="eastAsia"/>
                <w:kern w:val="0"/>
                <w:sz w:val="20"/>
                <w:szCs w:val="20"/>
              </w:rPr>
              <w:t>。</w:t>
            </w:r>
          </w:p>
        </w:tc>
      </w:tr>
      <w:tr w:rsidR="00A052DC" w14:paraId="39D43802" w14:textId="77777777">
        <w:trPr>
          <w:trHeight w:val="308"/>
        </w:trPr>
        <w:tc>
          <w:tcPr>
            <w:tcW w:w="1868" w:type="dxa"/>
            <w:vAlign w:val="center"/>
          </w:tcPr>
          <w:p w14:paraId="70D5D2F6" w14:textId="77777777" w:rsidR="00A052DC" w:rsidRDefault="009F0A60">
            <w:pPr>
              <w:rPr>
                <w:rFonts w:ascii="黑体" w:eastAsia="黑体" w:hAnsi="黑体"/>
                <w:sz w:val="20"/>
                <w:szCs w:val="20"/>
              </w:rPr>
            </w:pPr>
            <w:r>
              <w:rPr>
                <w:rFonts w:ascii="黑体" w:eastAsia="黑体" w:hAnsi="黑体" w:hint="eastAsia"/>
                <w:kern w:val="0"/>
                <w:sz w:val="20"/>
                <w:szCs w:val="20"/>
              </w:rPr>
              <w:t>持卡人国家</w:t>
            </w:r>
            <w:r>
              <w:rPr>
                <w:rFonts w:ascii="黑体" w:eastAsia="黑体" w:hAnsi="黑体"/>
                <w:kern w:val="0"/>
                <w:sz w:val="20"/>
                <w:szCs w:val="20"/>
              </w:rPr>
              <w:t>/</w:t>
            </w:r>
            <w:r>
              <w:rPr>
                <w:rFonts w:ascii="黑体" w:eastAsia="黑体" w:hAnsi="黑体" w:hint="eastAsia"/>
                <w:kern w:val="0"/>
                <w:sz w:val="20"/>
                <w:szCs w:val="20"/>
              </w:rPr>
              <w:t>地区</w:t>
            </w:r>
          </w:p>
        </w:tc>
        <w:tc>
          <w:tcPr>
            <w:tcW w:w="1340" w:type="dxa"/>
            <w:vAlign w:val="center"/>
          </w:tcPr>
          <w:p w14:paraId="560B0B05" w14:textId="77777777" w:rsidR="00A052DC" w:rsidRDefault="009F0A60">
            <w:pPr>
              <w:rPr>
                <w:rFonts w:ascii="黑体" w:eastAsia="黑体" w:hAnsi="黑体"/>
                <w:sz w:val="20"/>
                <w:szCs w:val="20"/>
              </w:rPr>
            </w:pPr>
            <w:r>
              <w:rPr>
                <w:rFonts w:ascii="黑体" w:eastAsia="黑体" w:hAnsi="黑体"/>
                <w:sz w:val="20"/>
                <w:szCs w:val="20"/>
              </w:rPr>
              <w:t>PTY_COUNTRY_CODE</w:t>
            </w:r>
          </w:p>
        </w:tc>
        <w:tc>
          <w:tcPr>
            <w:tcW w:w="1318" w:type="dxa"/>
            <w:vAlign w:val="center"/>
          </w:tcPr>
          <w:p w14:paraId="00B2AF23" w14:textId="77777777" w:rsidR="00A052DC" w:rsidRDefault="009F0A60">
            <w:pPr>
              <w:rPr>
                <w:rFonts w:ascii="黑体" w:eastAsia="黑体" w:hAnsi="黑体"/>
                <w:sz w:val="20"/>
                <w:szCs w:val="20"/>
              </w:rPr>
            </w:pPr>
            <w:r>
              <w:rPr>
                <w:rFonts w:ascii="黑体" w:eastAsia="黑体" w:hAnsi="黑体" w:hint="eastAsia"/>
                <w:sz w:val="20"/>
                <w:szCs w:val="20"/>
              </w:rPr>
              <w:t>字符型，</w:t>
            </w:r>
            <w:r>
              <w:rPr>
                <w:rFonts w:ascii="黑体" w:eastAsia="黑体" w:hAnsi="黑体"/>
                <w:sz w:val="20"/>
                <w:szCs w:val="20"/>
              </w:rPr>
              <w:t>3</w:t>
            </w:r>
          </w:p>
        </w:tc>
        <w:tc>
          <w:tcPr>
            <w:tcW w:w="3872" w:type="dxa"/>
            <w:vAlign w:val="center"/>
          </w:tcPr>
          <w:p w14:paraId="61F58FE7" w14:textId="77777777" w:rsidR="00A052DC" w:rsidRDefault="009F0A60">
            <w:pPr>
              <w:rPr>
                <w:rFonts w:ascii="黑体" w:eastAsia="黑体" w:hAnsi="黑体"/>
                <w:sz w:val="20"/>
                <w:szCs w:val="20"/>
              </w:rPr>
            </w:pPr>
            <w:r>
              <w:rPr>
                <w:rFonts w:ascii="黑体" w:eastAsia="黑体" w:hAnsi="黑体" w:hint="eastAsia"/>
                <w:sz w:val="20"/>
                <w:szCs w:val="20"/>
              </w:rPr>
              <w:t>必填项，见国家和地区代码表。</w:t>
            </w:r>
          </w:p>
          <w:p w14:paraId="249E87FB" w14:textId="77777777" w:rsidR="00A052DC" w:rsidRDefault="009F0A60">
            <w:pPr>
              <w:rPr>
                <w:rFonts w:ascii="黑体" w:eastAsia="黑体" w:hAnsi="黑体"/>
                <w:kern w:val="0"/>
                <w:sz w:val="20"/>
                <w:szCs w:val="20"/>
              </w:rPr>
            </w:pPr>
            <w:r>
              <w:rPr>
                <w:rFonts w:ascii="黑体" w:eastAsia="黑体" w:hAnsi="黑体" w:hint="eastAsia"/>
                <w:kern w:val="0"/>
                <w:sz w:val="20"/>
                <w:szCs w:val="20"/>
              </w:rPr>
              <w:t>境内个人，全部填写中国的代码。</w:t>
            </w:r>
          </w:p>
          <w:p w14:paraId="70D37F2C" w14:textId="77777777" w:rsidR="00A052DC" w:rsidRDefault="009F0A60">
            <w:pPr>
              <w:rPr>
                <w:rFonts w:ascii="黑体" w:eastAsia="黑体" w:hAnsi="黑体"/>
                <w:kern w:val="0"/>
                <w:sz w:val="20"/>
                <w:szCs w:val="20"/>
              </w:rPr>
            </w:pPr>
            <w:r>
              <w:rPr>
                <w:rFonts w:ascii="黑体" w:eastAsia="黑体" w:hAnsi="黑体" w:hint="eastAsia"/>
                <w:kern w:val="0"/>
                <w:sz w:val="20"/>
                <w:szCs w:val="20"/>
              </w:rPr>
              <w:t>身份证件类型为中国护照的，填写中国的代码。</w:t>
            </w:r>
          </w:p>
          <w:p w14:paraId="7CC2B6C3" w14:textId="77777777" w:rsidR="00A052DC" w:rsidRDefault="009F0A60">
            <w:pPr>
              <w:rPr>
                <w:rFonts w:ascii="黑体" w:eastAsia="黑体" w:hAnsi="黑体"/>
                <w:kern w:val="0"/>
                <w:sz w:val="20"/>
                <w:szCs w:val="20"/>
              </w:rPr>
            </w:pPr>
            <w:r>
              <w:rPr>
                <w:rFonts w:ascii="黑体" w:eastAsia="黑体" w:hAnsi="黑体" w:hint="eastAsia"/>
                <w:kern w:val="0"/>
                <w:sz w:val="20"/>
                <w:szCs w:val="20"/>
              </w:rPr>
              <w:t>港澳居民来往内地通行证，填写香港</w:t>
            </w:r>
            <w:r>
              <w:rPr>
                <w:rFonts w:ascii="黑体" w:eastAsia="黑体" w:hAnsi="黑体"/>
                <w:kern w:val="0"/>
                <w:sz w:val="20"/>
                <w:szCs w:val="20"/>
              </w:rPr>
              <w:t>/</w:t>
            </w:r>
            <w:r>
              <w:rPr>
                <w:rFonts w:ascii="黑体" w:eastAsia="黑体" w:hAnsi="黑体" w:hint="eastAsia"/>
                <w:kern w:val="0"/>
                <w:sz w:val="20"/>
                <w:szCs w:val="20"/>
              </w:rPr>
              <w:t>澳门的代码。</w:t>
            </w:r>
          </w:p>
          <w:p w14:paraId="54EA59BD" w14:textId="77777777" w:rsidR="00A052DC" w:rsidRDefault="009F0A60">
            <w:pPr>
              <w:rPr>
                <w:rFonts w:ascii="黑体" w:eastAsia="黑体" w:hAnsi="黑体"/>
                <w:kern w:val="0"/>
                <w:sz w:val="20"/>
                <w:szCs w:val="20"/>
              </w:rPr>
            </w:pPr>
            <w:r>
              <w:rPr>
                <w:rFonts w:ascii="黑体" w:eastAsia="黑体" w:hAnsi="黑体" w:hint="eastAsia"/>
                <w:kern w:val="0"/>
                <w:sz w:val="20"/>
                <w:szCs w:val="20"/>
              </w:rPr>
              <w:t>台湾居民来往大陆通行证，填写台湾的代码。</w:t>
            </w:r>
          </w:p>
          <w:p w14:paraId="3D818E16" w14:textId="77777777" w:rsidR="00A052DC" w:rsidRDefault="009F0A60">
            <w:pPr>
              <w:rPr>
                <w:rFonts w:ascii="黑体" w:eastAsia="黑体" w:hAnsi="黑体"/>
                <w:kern w:val="0"/>
                <w:sz w:val="20"/>
                <w:szCs w:val="20"/>
              </w:rPr>
            </w:pPr>
            <w:r>
              <w:rPr>
                <w:rFonts w:ascii="黑体" w:eastAsia="黑体" w:hAnsi="黑体" w:hint="eastAsia"/>
                <w:kern w:val="0"/>
                <w:sz w:val="20"/>
                <w:szCs w:val="20"/>
              </w:rPr>
              <w:t>其他境外个人（含外国护照</w:t>
            </w:r>
            <w:r>
              <w:rPr>
                <w:rFonts w:ascii="黑体" w:eastAsia="黑体" w:hAnsi="黑体"/>
                <w:kern w:val="0"/>
                <w:sz w:val="20"/>
                <w:szCs w:val="20"/>
              </w:rPr>
              <w:t>/</w:t>
            </w:r>
            <w:r>
              <w:rPr>
                <w:rFonts w:ascii="黑体" w:eastAsia="黑体" w:hAnsi="黑体" w:hint="eastAsia"/>
                <w:kern w:val="0"/>
                <w:sz w:val="20"/>
                <w:szCs w:val="20"/>
              </w:rPr>
              <w:t>外国人永久居留身份证），填写中国之外的其他国家</w:t>
            </w:r>
            <w:r>
              <w:rPr>
                <w:rFonts w:ascii="黑体" w:eastAsia="黑体" w:hAnsi="黑体"/>
                <w:kern w:val="0"/>
                <w:sz w:val="20"/>
                <w:szCs w:val="20"/>
              </w:rPr>
              <w:t>/</w:t>
            </w:r>
            <w:r>
              <w:rPr>
                <w:rFonts w:ascii="黑体" w:eastAsia="黑体" w:hAnsi="黑体" w:hint="eastAsia"/>
                <w:kern w:val="0"/>
                <w:sz w:val="20"/>
                <w:szCs w:val="20"/>
              </w:rPr>
              <w:t>地区的相应代码。</w:t>
            </w:r>
          </w:p>
          <w:p w14:paraId="2E34C772" w14:textId="77777777" w:rsidR="00A052DC" w:rsidRDefault="009F0A60">
            <w:pPr>
              <w:rPr>
                <w:rFonts w:ascii="黑体" w:eastAsia="黑体" w:hAnsi="黑体"/>
                <w:kern w:val="0"/>
                <w:sz w:val="20"/>
                <w:szCs w:val="20"/>
              </w:rPr>
            </w:pPr>
            <w:r>
              <w:rPr>
                <w:rFonts w:ascii="黑体" w:eastAsia="黑体" w:hAnsi="黑体" w:hint="eastAsia"/>
                <w:kern w:val="0"/>
                <w:sz w:val="20"/>
                <w:szCs w:val="20"/>
              </w:rPr>
              <w:t>其他，请填写（</w:t>
            </w:r>
            <w:r>
              <w:rPr>
                <w:rFonts w:ascii="黑体" w:eastAsia="黑体" w:hAnsi="黑体"/>
                <w:kern w:val="0"/>
                <w:sz w:val="20"/>
                <w:szCs w:val="20"/>
              </w:rPr>
              <w:t>000）</w:t>
            </w:r>
            <w:r>
              <w:rPr>
                <w:rFonts w:ascii="黑体" w:eastAsia="黑体" w:hAnsi="黑体" w:hint="eastAsia"/>
                <w:kern w:val="0"/>
                <w:sz w:val="20"/>
                <w:szCs w:val="20"/>
              </w:rPr>
              <w:t>。</w:t>
            </w:r>
          </w:p>
        </w:tc>
      </w:tr>
      <w:tr w:rsidR="00A052DC" w14:paraId="17F85AD8" w14:textId="77777777">
        <w:trPr>
          <w:trHeight w:val="620"/>
        </w:trPr>
        <w:tc>
          <w:tcPr>
            <w:tcW w:w="1868" w:type="dxa"/>
            <w:vAlign w:val="center"/>
          </w:tcPr>
          <w:p w14:paraId="1D75652B" w14:textId="77777777" w:rsidR="00A052DC" w:rsidRDefault="009F0A60">
            <w:pPr>
              <w:rPr>
                <w:rFonts w:ascii="黑体" w:eastAsia="黑体" w:hAnsi="黑体"/>
                <w:kern w:val="0"/>
                <w:sz w:val="20"/>
                <w:szCs w:val="20"/>
              </w:rPr>
            </w:pPr>
            <w:r>
              <w:rPr>
                <w:rFonts w:ascii="黑体" w:eastAsia="黑体" w:hAnsi="黑体" w:hint="eastAsia"/>
                <w:kern w:val="0"/>
                <w:sz w:val="20"/>
                <w:szCs w:val="20"/>
              </w:rPr>
              <w:t>身份证件号码</w:t>
            </w:r>
          </w:p>
        </w:tc>
        <w:tc>
          <w:tcPr>
            <w:tcW w:w="1340" w:type="dxa"/>
            <w:vAlign w:val="center"/>
          </w:tcPr>
          <w:p w14:paraId="3BB6DE31" w14:textId="77777777" w:rsidR="00A052DC" w:rsidRDefault="009F0A60">
            <w:pPr>
              <w:rPr>
                <w:rFonts w:ascii="黑体" w:eastAsia="黑体" w:hAnsi="黑体"/>
                <w:kern w:val="0"/>
                <w:sz w:val="20"/>
                <w:szCs w:val="20"/>
              </w:rPr>
            </w:pPr>
            <w:r>
              <w:rPr>
                <w:rFonts w:ascii="黑体" w:eastAsia="黑体" w:hAnsi="黑体"/>
                <w:kern w:val="0"/>
                <w:sz w:val="20"/>
                <w:szCs w:val="20"/>
              </w:rPr>
              <w:t>ID_CODE</w:t>
            </w:r>
          </w:p>
        </w:tc>
        <w:tc>
          <w:tcPr>
            <w:tcW w:w="1318" w:type="dxa"/>
            <w:vAlign w:val="center"/>
          </w:tcPr>
          <w:p w14:paraId="7176C0C9" w14:textId="77777777" w:rsidR="00A052DC" w:rsidRDefault="009F0A60">
            <w:pPr>
              <w:rPr>
                <w:rFonts w:ascii="黑体" w:eastAsia="黑体" w:hAnsi="黑体"/>
                <w:sz w:val="20"/>
                <w:szCs w:val="20"/>
              </w:rPr>
            </w:pPr>
            <w:r>
              <w:rPr>
                <w:rFonts w:ascii="黑体" w:eastAsia="黑体" w:hAnsi="黑体" w:hint="eastAsia"/>
                <w:sz w:val="20"/>
                <w:szCs w:val="20"/>
              </w:rPr>
              <w:t>字符型，</w:t>
            </w:r>
            <w:r>
              <w:rPr>
                <w:rFonts w:ascii="黑体" w:eastAsia="黑体" w:hAnsi="黑体"/>
                <w:sz w:val="20"/>
                <w:szCs w:val="20"/>
              </w:rPr>
              <w:t>128</w:t>
            </w:r>
          </w:p>
        </w:tc>
        <w:tc>
          <w:tcPr>
            <w:tcW w:w="3872" w:type="dxa"/>
            <w:vAlign w:val="center"/>
          </w:tcPr>
          <w:p w14:paraId="73CEC7B1" w14:textId="77777777" w:rsidR="00A052DC" w:rsidRDefault="009F0A60">
            <w:pPr>
              <w:rPr>
                <w:rFonts w:ascii="黑体" w:eastAsia="黑体" w:hAnsi="黑体"/>
                <w:kern w:val="0"/>
                <w:sz w:val="20"/>
                <w:szCs w:val="20"/>
              </w:rPr>
            </w:pPr>
            <w:r>
              <w:rPr>
                <w:rFonts w:ascii="黑体" w:eastAsia="黑体" w:hAnsi="黑体" w:hint="eastAsia"/>
                <w:kern w:val="0"/>
                <w:sz w:val="20"/>
                <w:szCs w:val="20"/>
              </w:rPr>
              <w:t>必填项</w:t>
            </w:r>
            <w:r w:rsidR="00225570">
              <w:rPr>
                <w:rFonts w:ascii="黑体" w:eastAsia="黑体" w:hAnsi="黑体" w:hint="eastAsia"/>
                <w:kern w:val="0"/>
                <w:sz w:val="20"/>
                <w:szCs w:val="20"/>
              </w:rPr>
              <w:t>，</w:t>
            </w:r>
          </w:p>
          <w:p w14:paraId="5ECFC810" w14:textId="77777777" w:rsidR="00A052DC" w:rsidRDefault="009F0A60">
            <w:pPr>
              <w:rPr>
                <w:rFonts w:ascii="黑体" w:eastAsia="黑体" w:hAnsi="黑体"/>
                <w:kern w:val="0"/>
                <w:sz w:val="20"/>
                <w:szCs w:val="20"/>
              </w:rPr>
            </w:pPr>
            <w:r>
              <w:rPr>
                <w:rFonts w:ascii="黑体" w:eastAsia="黑体" w:hAnsi="黑体" w:hint="eastAsia"/>
                <w:kern w:val="0"/>
                <w:sz w:val="20"/>
                <w:szCs w:val="20"/>
              </w:rPr>
              <w:t>身份证件号码</w:t>
            </w:r>
            <w:r w:rsidR="00225570">
              <w:rPr>
                <w:rFonts w:ascii="黑体" w:eastAsia="黑体" w:hAnsi="黑体" w:hint="eastAsia"/>
                <w:kern w:val="0"/>
                <w:sz w:val="20"/>
                <w:szCs w:val="20"/>
              </w:rPr>
              <w:t>为</w:t>
            </w:r>
            <w:r>
              <w:rPr>
                <w:rFonts w:ascii="黑体" w:eastAsia="黑体" w:hAnsi="黑体" w:hint="eastAsia"/>
                <w:kern w:val="0"/>
                <w:sz w:val="20"/>
                <w:szCs w:val="20"/>
              </w:rPr>
              <w:t>半角格式</w:t>
            </w:r>
            <w:r w:rsidR="00225570">
              <w:rPr>
                <w:rFonts w:ascii="黑体" w:eastAsia="黑体" w:hAnsi="黑体" w:hint="eastAsia"/>
                <w:kern w:val="0"/>
                <w:sz w:val="20"/>
                <w:szCs w:val="20"/>
              </w:rPr>
              <w:t>。</w:t>
            </w:r>
          </w:p>
          <w:p w14:paraId="643AE3E7" w14:textId="77777777" w:rsidR="00A052DC" w:rsidRDefault="009F0A60">
            <w:pPr>
              <w:rPr>
                <w:rFonts w:ascii="黑体" w:eastAsia="黑体" w:hAnsi="黑体"/>
                <w:kern w:val="0"/>
                <w:sz w:val="20"/>
                <w:szCs w:val="20"/>
              </w:rPr>
            </w:pPr>
            <w:r>
              <w:rPr>
                <w:rFonts w:ascii="黑体" w:eastAsia="黑体" w:hAnsi="黑体" w:hint="eastAsia"/>
                <w:kern w:val="0"/>
                <w:sz w:val="20"/>
                <w:szCs w:val="20"/>
              </w:rPr>
              <w:t>境内个人：</w:t>
            </w:r>
          </w:p>
          <w:p w14:paraId="424609CE" w14:textId="77777777" w:rsidR="00A052DC" w:rsidRDefault="009F0A60">
            <w:pPr>
              <w:rPr>
                <w:rFonts w:ascii="黑体" w:eastAsia="黑体" w:hAnsi="黑体"/>
                <w:kern w:val="0"/>
                <w:sz w:val="20"/>
                <w:szCs w:val="20"/>
              </w:rPr>
            </w:pPr>
            <w:r>
              <w:rPr>
                <w:rFonts w:ascii="黑体" w:eastAsia="黑体" w:hAnsi="黑体" w:hint="eastAsia"/>
                <w:kern w:val="0"/>
                <w:sz w:val="20"/>
                <w:szCs w:val="20"/>
              </w:rPr>
              <w:t>身份证件类型为身份证的，</w:t>
            </w:r>
            <w:r>
              <w:rPr>
                <w:rFonts w:ascii="黑体" w:eastAsia="黑体" w:hAnsi="黑体"/>
                <w:kern w:val="0"/>
                <w:sz w:val="20"/>
                <w:szCs w:val="20"/>
              </w:rPr>
              <w:t>18</w:t>
            </w:r>
            <w:r>
              <w:rPr>
                <w:rFonts w:ascii="黑体" w:eastAsia="黑体" w:hAnsi="黑体" w:hint="eastAsia"/>
                <w:kern w:val="0"/>
                <w:sz w:val="20"/>
                <w:szCs w:val="20"/>
              </w:rPr>
              <w:t>位，由全部数字或数字加最末一位大写英文字符组成。符合公安部身份证号码校验规则。</w:t>
            </w:r>
          </w:p>
          <w:p w14:paraId="13F30B77" w14:textId="77777777" w:rsidR="00A052DC" w:rsidRDefault="009F0A60">
            <w:pPr>
              <w:rPr>
                <w:rFonts w:ascii="黑体" w:eastAsia="黑体" w:hAnsi="黑体"/>
                <w:kern w:val="0"/>
                <w:sz w:val="20"/>
                <w:szCs w:val="20"/>
              </w:rPr>
            </w:pPr>
            <w:r>
              <w:rPr>
                <w:rFonts w:ascii="黑体" w:eastAsia="黑体" w:hAnsi="黑体" w:hint="eastAsia"/>
                <w:kern w:val="0"/>
                <w:sz w:val="20"/>
                <w:szCs w:val="20"/>
              </w:rPr>
              <w:t>境外个人：</w:t>
            </w:r>
          </w:p>
          <w:p w14:paraId="6E0B8FB9" w14:textId="77777777" w:rsidR="00A052DC" w:rsidRDefault="009F0A60">
            <w:pPr>
              <w:rPr>
                <w:rFonts w:ascii="黑体" w:eastAsia="黑体" w:hAnsi="黑体"/>
                <w:kern w:val="0"/>
                <w:sz w:val="20"/>
                <w:szCs w:val="20"/>
              </w:rPr>
            </w:pPr>
            <w:r>
              <w:rPr>
                <w:rFonts w:ascii="黑体" w:eastAsia="黑体" w:hAnsi="黑体" w:hint="eastAsia"/>
                <w:kern w:val="0"/>
                <w:sz w:val="20"/>
                <w:szCs w:val="20"/>
              </w:rPr>
              <w:t>身份证件类型为外国护照的，只允许输入大写字母和数字、中文。</w:t>
            </w:r>
          </w:p>
          <w:p w14:paraId="4C958E96" w14:textId="77777777" w:rsidR="00A052DC" w:rsidRDefault="009F0A60">
            <w:pPr>
              <w:rPr>
                <w:rFonts w:ascii="黑体" w:eastAsia="黑体" w:hAnsi="黑体"/>
                <w:kern w:val="0"/>
                <w:sz w:val="20"/>
                <w:szCs w:val="20"/>
              </w:rPr>
            </w:pPr>
            <w:r>
              <w:rPr>
                <w:rFonts w:ascii="黑体" w:eastAsia="黑体" w:hAnsi="黑体" w:hint="eastAsia"/>
                <w:kern w:val="0"/>
                <w:sz w:val="20"/>
                <w:szCs w:val="20"/>
              </w:rPr>
              <w:t>身份证件类型为外国人永久居留身份证的，填写15位外国人永久居留身份证号码（国别码</w:t>
            </w:r>
            <w:r>
              <w:rPr>
                <w:rFonts w:ascii="黑体" w:eastAsia="黑体" w:hAnsi="黑体"/>
                <w:kern w:val="0"/>
                <w:sz w:val="20"/>
                <w:szCs w:val="20"/>
              </w:rPr>
              <w:t>3</w:t>
            </w:r>
            <w:r>
              <w:rPr>
                <w:rFonts w:ascii="黑体" w:eastAsia="黑体" w:hAnsi="黑体" w:hint="eastAsia"/>
                <w:kern w:val="0"/>
                <w:sz w:val="20"/>
                <w:szCs w:val="20"/>
              </w:rPr>
              <w:t>位大写字母</w:t>
            </w:r>
            <w:r>
              <w:rPr>
                <w:rFonts w:ascii="黑体" w:eastAsia="黑体" w:hAnsi="黑体"/>
                <w:kern w:val="0"/>
                <w:sz w:val="20"/>
                <w:szCs w:val="20"/>
              </w:rPr>
              <w:t>+ 12</w:t>
            </w:r>
            <w:r>
              <w:rPr>
                <w:rFonts w:ascii="黑体" w:eastAsia="黑体" w:hAnsi="黑体" w:hint="eastAsia"/>
                <w:kern w:val="0"/>
                <w:sz w:val="20"/>
                <w:szCs w:val="20"/>
              </w:rPr>
              <w:t>位数字）。</w:t>
            </w:r>
          </w:p>
          <w:p w14:paraId="208BFD5E" w14:textId="77777777" w:rsidR="00A052DC" w:rsidRDefault="009F0A60">
            <w:pPr>
              <w:rPr>
                <w:rFonts w:ascii="黑体" w:eastAsia="黑体" w:hAnsi="黑体"/>
                <w:kern w:val="0"/>
                <w:sz w:val="20"/>
                <w:szCs w:val="20"/>
              </w:rPr>
            </w:pPr>
            <w:r>
              <w:rPr>
                <w:rFonts w:ascii="黑体" w:eastAsia="黑体" w:hAnsi="黑体" w:hint="eastAsia"/>
                <w:kern w:val="0"/>
                <w:sz w:val="20"/>
                <w:szCs w:val="20"/>
              </w:rPr>
              <w:t>身份证件类型为港澳居民往来内地通行证的，输入通行证号（第一个字母是</w:t>
            </w:r>
            <w:r>
              <w:rPr>
                <w:rFonts w:ascii="黑体" w:eastAsia="黑体" w:hAnsi="黑体"/>
                <w:kern w:val="0"/>
                <w:sz w:val="20"/>
                <w:szCs w:val="20"/>
              </w:rPr>
              <w:t>H</w:t>
            </w:r>
            <w:r>
              <w:rPr>
                <w:rFonts w:ascii="黑体" w:eastAsia="黑体" w:hAnsi="黑体" w:hint="eastAsia"/>
                <w:kern w:val="0"/>
                <w:sz w:val="20"/>
                <w:szCs w:val="20"/>
              </w:rPr>
              <w:t>或者</w:t>
            </w:r>
            <w:r>
              <w:rPr>
                <w:rFonts w:ascii="黑体" w:eastAsia="黑体" w:hAnsi="黑体"/>
                <w:kern w:val="0"/>
                <w:sz w:val="20"/>
                <w:szCs w:val="20"/>
              </w:rPr>
              <w:t>M</w:t>
            </w:r>
            <w:r>
              <w:rPr>
                <w:rFonts w:ascii="黑体" w:eastAsia="黑体" w:hAnsi="黑体" w:hint="eastAsia"/>
                <w:kern w:val="0"/>
                <w:sz w:val="20"/>
                <w:szCs w:val="20"/>
              </w:rPr>
              <w:t>，后面共</w:t>
            </w:r>
            <w:r>
              <w:rPr>
                <w:rFonts w:ascii="黑体" w:eastAsia="黑体" w:hAnsi="黑体"/>
                <w:kern w:val="0"/>
                <w:sz w:val="20"/>
                <w:szCs w:val="20"/>
              </w:rPr>
              <w:t>8</w:t>
            </w:r>
            <w:r>
              <w:rPr>
                <w:rFonts w:ascii="黑体" w:eastAsia="黑体" w:hAnsi="黑体" w:hint="eastAsia"/>
                <w:kern w:val="0"/>
                <w:sz w:val="20"/>
                <w:szCs w:val="20"/>
              </w:rPr>
              <w:t>位数字。当首字母为</w:t>
            </w:r>
            <w:r>
              <w:rPr>
                <w:rFonts w:ascii="黑体" w:eastAsia="黑体" w:hAnsi="黑体"/>
                <w:kern w:val="0"/>
                <w:sz w:val="20"/>
                <w:szCs w:val="20"/>
              </w:rPr>
              <w:t>“H”时为</w:t>
            </w:r>
            <w:r>
              <w:rPr>
                <w:rFonts w:ascii="黑体" w:eastAsia="黑体" w:hAnsi="黑体" w:hint="eastAsia"/>
                <w:kern w:val="0"/>
                <w:sz w:val="20"/>
                <w:szCs w:val="20"/>
              </w:rPr>
              <w:t>“</w:t>
            </w:r>
            <w:r>
              <w:rPr>
                <w:rFonts w:ascii="黑体" w:eastAsia="黑体" w:hAnsi="黑体"/>
                <w:kern w:val="0"/>
                <w:sz w:val="20"/>
                <w:szCs w:val="20"/>
              </w:rPr>
              <w:t>香港</w:t>
            </w:r>
            <w:r>
              <w:rPr>
                <w:rFonts w:ascii="黑体" w:eastAsia="黑体" w:hAnsi="黑体" w:hint="eastAsia"/>
                <w:kern w:val="0"/>
                <w:sz w:val="20"/>
                <w:szCs w:val="20"/>
              </w:rPr>
              <w:t>”</w:t>
            </w:r>
            <w:r>
              <w:rPr>
                <w:rFonts w:ascii="黑体" w:eastAsia="黑体" w:hAnsi="黑体"/>
                <w:kern w:val="0"/>
                <w:sz w:val="20"/>
                <w:szCs w:val="20"/>
              </w:rPr>
              <w:t>，当首字母为“M”时为</w:t>
            </w:r>
            <w:r>
              <w:rPr>
                <w:rFonts w:ascii="黑体" w:eastAsia="黑体" w:hAnsi="黑体" w:hint="eastAsia"/>
                <w:kern w:val="0"/>
                <w:sz w:val="20"/>
                <w:szCs w:val="20"/>
              </w:rPr>
              <w:t>“</w:t>
            </w:r>
            <w:r>
              <w:rPr>
                <w:rFonts w:ascii="黑体" w:eastAsia="黑体" w:hAnsi="黑体"/>
                <w:kern w:val="0"/>
                <w:sz w:val="20"/>
                <w:szCs w:val="20"/>
              </w:rPr>
              <w:t>澳门</w:t>
            </w:r>
            <w:r>
              <w:rPr>
                <w:rFonts w:ascii="黑体" w:eastAsia="黑体" w:hAnsi="黑体" w:hint="eastAsia"/>
                <w:kern w:val="0"/>
                <w:sz w:val="20"/>
                <w:szCs w:val="20"/>
              </w:rPr>
              <w:t>”）。</w:t>
            </w:r>
          </w:p>
          <w:p w14:paraId="3583AFB4" w14:textId="77777777" w:rsidR="00A052DC" w:rsidRDefault="009F0A60">
            <w:pPr>
              <w:rPr>
                <w:rFonts w:ascii="黑体" w:eastAsia="黑体" w:hAnsi="黑体"/>
                <w:sz w:val="20"/>
                <w:szCs w:val="20"/>
              </w:rPr>
            </w:pPr>
            <w:r>
              <w:rPr>
                <w:rFonts w:ascii="黑体" w:eastAsia="黑体" w:hAnsi="黑体" w:hint="eastAsia"/>
                <w:kern w:val="0"/>
                <w:sz w:val="20"/>
                <w:szCs w:val="20"/>
              </w:rPr>
              <w:t>身份证件类型为台湾居民来往内地通行证的，输入通行证号。</w:t>
            </w:r>
          </w:p>
        </w:tc>
      </w:tr>
    </w:tbl>
    <w:p w14:paraId="2DC1CAC4" w14:textId="77777777" w:rsidR="00A052DC" w:rsidRDefault="009F0A60">
      <w:pPr>
        <w:pStyle w:val="2"/>
        <w:rPr>
          <w:rFonts w:ascii="Times New Roman" w:hAnsi="Times New Roman"/>
        </w:rPr>
      </w:pPr>
      <w:bookmarkStart w:id="4520" w:name="_Toc91455514"/>
      <w:bookmarkStart w:id="4521" w:name="_Toc90625159"/>
      <w:bookmarkStart w:id="4522" w:name="_Toc101684539"/>
      <w:r>
        <w:rPr>
          <w:rFonts w:ascii="Times New Roman" w:hAnsi="Times New Roman" w:hint="eastAsia"/>
        </w:rPr>
        <w:t>涉嫌外汇违规账户查询信息的数据字典</w:t>
      </w:r>
      <w:bookmarkEnd w:id="4520"/>
      <w:bookmarkEnd w:id="4521"/>
      <w:bookmarkEnd w:id="45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6"/>
        <w:gridCol w:w="1536"/>
        <w:gridCol w:w="1676"/>
        <w:gridCol w:w="3491"/>
      </w:tblGrid>
      <w:tr w:rsidR="00A052DC" w14:paraId="627CBC66" w14:textId="77777777">
        <w:trPr>
          <w:tblHeader/>
        </w:trPr>
        <w:tc>
          <w:tcPr>
            <w:tcW w:w="1816" w:type="dxa"/>
            <w:shd w:val="clear" w:color="auto" w:fill="C0C0C0"/>
          </w:tcPr>
          <w:p w14:paraId="7E8C80D0" w14:textId="77777777" w:rsidR="00A052DC" w:rsidRDefault="009F0A60">
            <w:pPr>
              <w:jc w:val="center"/>
              <w:rPr>
                <w:rFonts w:ascii="黑体" w:eastAsia="黑体" w:hAnsi="黑体"/>
                <w:color w:val="000000"/>
                <w:sz w:val="20"/>
                <w:szCs w:val="20"/>
              </w:rPr>
            </w:pPr>
            <w:r>
              <w:rPr>
                <w:rFonts w:ascii="黑体" w:eastAsia="黑体" w:hAnsi="黑体"/>
                <w:color w:val="000000"/>
                <w:sz w:val="20"/>
                <w:szCs w:val="20"/>
              </w:rPr>
              <w:t>字段</w:t>
            </w:r>
          </w:p>
        </w:tc>
        <w:tc>
          <w:tcPr>
            <w:tcW w:w="1536" w:type="dxa"/>
            <w:shd w:val="clear" w:color="auto" w:fill="C0C0C0"/>
          </w:tcPr>
          <w:p w14:paraId="6F36B3EE" w14:textId="77777777" w:rsidR="00A052DC" w:rsidRDefault="009F0A60">
            <w:pPr>
              <w:jc w:val="center"/>
              <w:rPr>
                <w:rFonts w:ascii="黑体" w:eastAsia="黑体" w:hAnsi="黑体"/>
                <w:color w:val="000000"/>
                <w:sz w:val="20"/>
                <w:szCs w:val="20"/>
              </w:rPr>
            </w:pPr>
            <w:r>
              <w:rPr>
                <w:rFonts w:ascii="黑体" w:eastAsia="黑体" w:hAnsi="黑体"/>
                <w:color w:val="000000"/>
                <w:sz w:val="20"/>
                <w:szCs w:val="20"/>
              </w:rPr>
              <w:t>内容</w:t>
            </w:r>
          </w:p>
        </w:tc>
        <w:tc>
          <w:tcPr>
            <w:tcW w:w="1676" w:type="dxa"/>
            <w:shd w:val="clear" w:color="auto" w:fill="C0C0C0"/>
          </w:tcPr>
          <w:p w14:paraId="20A1A1C8" w14:textId="77777777" w:rsidR="00A052DC" w:rsidRDefault="009F0A60">
            <w:pPr>
              <w:jc w:val="center"/>
              <w:rPr>
                <w:rFonts w:ascii="黑体" w:eastAsia="黑体" w:hAnsi="黑体"/>
                <w:color w:val="000000"/>
                <w:sz w:val="20"/>
                <w:szCs w:val="20"/>
              </w:rPr>
            </w:pPr>
            <w:r>
              <w:rPr>
                <w:rFonts w:ascii="黑体" w:eastAsia="黑体" w:hAnsi="黑体"/>
                <w:color w:val="000000"/>
                <w:sz w:val="20"/>
                <w:szCs w:val="20"/>
              </w:rPr>
              <w:t>类型（长度）</w:t>
            </w:r>
          </w:p>
        </w:tc>
        <w:tc>
          <w:tcPr>
            <w:tcW w:w="3491" w:type="dxa"/>
            <w:shd w:val="clear" w:color="auto" w:fill="C0C0C0"/>
          </w:tcPr>
          <w:p w14:paraId="73C833EB" w14:textId="77777777" w:rsidR="00A052DC" w:rsidRDefault="009F0A60">
            <w:pPr>
              <w:jc w:val="center"/>
              <w:rPr>
                <w:rFonts w:ascii="黑体" w:eastAsia="黑体" w:hAnsi="黑体"/>
                <w:color w:val="000000"/>
                <w:sz w:val="20"/>
                <w:szCs w:val="20"/>
              </w:rPr>
            </w:pPr>
            <w:r>
              <w:rPr>
                <w:rFonts w:ascii="黑体" w:eastAsia="黑体" w:hAnsi="黑体"/>
                <w:color w:val="000000"/>
                <w:sz w:val="20"/>
                <w:szCs w:val="20"/>
              </w:rPr>
              <w:t>校验</w:t>
            </w:r>
          </w:p>
        </w:tc>
      </w:tr>
      <w:tr w:rsidR="00A052DC" w14:paraId="5B62718B" w14:textId="77777777">
        <w:tc>
          <w:tcPr>
            <w:tcW w:w="1816" w:type="dxa"/>
            <w:tcBorders>
              <w:top w:val="single" w:sz="4" w:space="0" w:color="auto"/>
              <w:left w:val="single" w:sz="4" w:space="0" w:color="auto"/>
              <w:bottom w:val="single" w:sz="4" w:space="0" w:color="auto"/>
              <w:right w:val="single" w:sz="4" w:space="0" w:color="auto"/>
            </w:tcBorders>
          </w:tcPr>
          <w:p w14:paraId="665482F9" w14:textId="77777777" w:rsidR="00A052DC" w:rsidRDefault="009F0A60">
            <w:pPr>
              <w:pStyle w:val="B"/>
              <w:widowControl w:val="0"/>
              <w:rPr>
                <w:color w:val="000000"/>
                <w:szCs w:val="20"/>
              </w:rPr>
            </w:pPr>
            <w:r>
              <w:rPr>
                <w:color w:val="000000"/>
                <w:szCs w:val="20"/>
              </w:rPr>
              <w:t>APPLYNUM</w:t>
            </w:r>
          </w:p>
        </w:tc>
        <w:tc>
          <w:tcPr>
            <w:tcW w:w="1536" w:type="dxa"/>
            <w:tcBorders>
              <w:top w:val="single" w:sz="4" w:space="0" w:color="auto"/>
              <w:left w:val="single" w:sz="4" w:space="0" w:color="auto"/>
              <w:bottom w:val="single" w:sz="4" w:space="0" w:color="auto"/>
              <w:right w:val="single" w:sz="4" w:space="0" w:color="auto"/>
            </w:tcBorders>
          </w:tcPr>
          <w:p w14:paraId="53317634" w14:textId="77777777" w:rsidR="00A052DC" w:rsidRDefault="009F0A60">
            <w:pPr>
              <w:pStyle w:val="B"/>
              <w:widowControl w:val="0"/>
              <w:rPr>
                <w:color w:val="000000"/>
                <w:szCs w:val="20"/>
              </w:rPr>
            </w:pPr>
            <w:r>
              <w:rPr>
                <w:rFonts w:hint="eastAsia"/>
                <w:color w:val="000000"/>
                <w:szCs w:val="20"/>
              </w:rPr>
              <w:t>查询流水号</w:t>
            </w:r>
          </w:p>
        </w:tc>
        <w:tc>
          <w:tcPr>
            <w:tcW w:w="1676" w:type="dxa"/>
            <w:tcBorders>
              <w:top w:val="single" w:sz="4" w:space="0" w:color="auto"/>
              <w:left w:val="single" w:sz="4" w:space="0" w:color="auto"/>
              <w:bottom w:val="single" w:sz="4" w:space="0" w:color="auto"/>
              <w:right w:val="single" w:sz="4" w:space="0" w:color="auto"/>
            </w:tcBorders>
          </w:tcPr>
          <w:p w14:paraId="2B908A60" w14:textId="77777777" w:rsidR="00A052DC" w:rsidRDefault="009F0A60">
            <w:pPr>
              <w:pStyle w:val="B"/>
              <w:widowControl w:val="0"/>
              <w:rPr>
                <w:color w:val="000000"/>
                <w:szCs w:val="20"/>
              </w:rPr>
            </w:pPr>
            <w:r>
              <w:rPr>
                <w:rFonts w:hint="eastAsia"/>
                <w:color w:val="000000"/>
                <w:szCs w:val="20"/>
              </w:rPr>
              <w:t>字符型，22</w:t>
            </w:r>
          </w:p>
        </w:tc>
        <w:tc>
          <w:tcPr>
            <w:tcW w:w="3491" w:type="dxa"/>
            <w:tcBorders>
              <w:top w:val="single" w:sz="4" w:space="0" w:color="auto"/>
              <w:left w:val="single" w:sz="4" w:space="0" w:color="auto"/>
              <w:bottom w:val="single" w:sz="4" w:space="0" w:color="auto"/>
              <w:right w:val="single" w:sz="4" w:space="0" w:color="auto"/>
            </w:tcBorders>
          </w:tcPr>
          <w:p w14:paraId="6319446A" w14:textId="77777777" w:rsidR="00A052DC" w:rsidRDefault="009F0A60">
            <w:pPr>
              <w:pStyle w:val="B"/>
              <w:widowControl w:val="0"/>
              <w:rPr>
                <w:color w:val="000000"/>
                <w:szCs w:val="20"/>
              </w:rPr>
            </w:pPr>
            <w:r>
              <w:rPr>
                <w:rFonts w:hint="eastAsia"/>
                <w:color w:val="000000"/>
                <w:szCs w:val="20"/>
              </w:rPr>
              <w:t>必填</w:t>
            </w:r>
            <w:r w:rsidR="00225570">
              <w:rPr>
                <w:rFonts w:hint="eastAsia"/>
                <w:szCs w:val="20"/>
              </w:rPr>
              <w:t>项</w:t>
            </w:r>
            <w:r>
              <w:rPr>
                <w:rFonts w:hint="eastAsia"/>
                <w:color w:val="000000"/>
                <w:szCs w:val="20"/>
              </w:rPr>
              <w:t>，22位，编制规则为提出查询申请的外汇局编号（6位）+待查询的金融机构代码（4位）+申请提出时间（6位）+查询流水号（6位），流水号不重复。</w:t>
            </w:r>
          </w:p>
        </w:tc>
      </w:tr>
      <w:tr w:rsidR="00A052DC" w14:paraId="3DE181E7" w14:textId="77777777">
        <w:tc>
          <w:tcPr>
            <w:tcW w:w="1816" w:type="dxa"/>
            <w:tcBorders>
              <w:top w:val="single" w:sz="4" w:space="0" w:color="auto"/>
              <w:left w:val="single" w:sz="4" w:space="0" w:color="auto"/>
              <w:bottom w:val="single" w:sz="4" w:space="0" w:color="auto"/>
              <w:right w:val="single" w:sz="4" w:space="0" w:color="auto"/>
            </w:tcBorders>
          </w:tcPr>
          <w:p w14:paraId="6AAAD5EF" w14:textId="77777777" w:rsidR="00A052DC" w:rsidRDefault="009F0A60">
            <w:pPr>
              <w:pStyle w:val="B"/>
              <w:widowControl w:val="0"/>
              <w:rPr>
                <w:color w:val="000000"/>
                <w:szCs w:val="20"/>
              </w:rPr>
            </w:pPr>
            <w:r>
              <w:rPr>
                <w:color w:val="000000"/>
                <w:szCs w:val="20"/>
              </w:rPr>
              <w:t>APPLYDATE</w:t>
            </w:r>
          </w:p>
        </w:tc>
        <w:tc>
          <w:tcPr>
            <w:tcW w:w="1536" w:type="dxa"/>
            <w:tcBorders>
              <w:top w:val="single" w:sz="4" w:space="0" w:color="auto"/>
              <w:left w:val="single" w:sz="4" w:space="0" w:color="auto"/>
              <w:bottom w:val="single" w:sz="4" w:space="0" w:color="auto"/>
              <w:right w:val="single" w:sz="4" w:space="0" w:color="auto"/>
            </w:tcBorders>
          </w:tcPr>
          <w:p w14:paraId="36DE1601" w14:textId="77777777" w:rsidR="00A052DC" w:rsidRDefault="009F0A60">
            <w:pPr>
              <w:pStyle w:val="B"/>
              <w:widowControl w:val="0"/>
              <w:rPr>
                <w:color w:val="000000"/>
                <w:szCs w:val="20"/>
              </w:rPr>
            </w:pPr>
            <w:r>
              <w:rPr>
                <w:rFonts w:hint="eastAsia"/>
                <w:color w:val="000000"/>
                <w:szCs w:val="20"/>
              </w:rPr>
              <w:t>查询日期</w:t>
            </w:r>
          </w:p>
        </w:tc>
        <w:tc>
          <w:tcPr>
            <w:tcW w:w="1676" w:type="dxa"/>
            <w:tcBorders>
              <w:top w:val="single" w:sz="4" w:space="0" w:color="auto"/>
              <w:left w:val="single" w:sz="4" w:space="0" w:color="auto"/>
              <w:bottom w:val="single" w:sz="4" w:space="0" w:color="auto"/>
              <w:right w:val="single" w:sz="4" w:space="0" w:color="auto"/>
            </w:tcBorders>
          </w:tcPr>
          <w:p w14:paraId="00FEF896" w14:textId="77777777" w:rsidR="00A052DC" w:rsidRDefault="009F0A60">
            <w:pPr>
              <w:pStyle w:val="B"/>
              <w:widowControl w:val="0"/>
              <w:rPr>
                <w:color w:val="000000"/>
                <w:szCs w:val="20"/>
              </w:rPr>
            </w:pPr>
            <w:r>
              <w:rPr>
                <w:rFonts w:hint="eastAsia"/>
                <w:color w:val="000000"/>
                <w:szCs w:val="20"/>
              </w:rPr>
              <w:t>日期型</w:t>
            </w:r>
          </w:p>
        </w:tc>
        <w:tc>
          <w:tcPr>
            <w:tcW w:w="3491" w:type="dxa"/>
            <w:tcBorders>
              <w:top w:val="single" w:sz="4" w:space="0" w:color="auto"/>
              <w:left w:val="single" w:sz="4" w:space="0" w:color="auto"/>
              <w:bottom w:val="single" w:sz="4" w:space="0" w:color="auto"/>
              <w:right w:val="single" w:sz="4" w:space="0" w:color="auto"/>
            </w:tcBorders>
          </w:tcPr>
          <w:p w14:paraId="50934C43" w14:textId="77777777" w:rsidR="00A052DC" w:rsidRDefault="009F0A60">
            <w:pPr>
              <w:pStyle w:val="B"/>
              <w:widowControl w:val="0"/>
              <w:rPr>
                <w:color w:val="000000"/>
                <w:szCs w:val="20"/>
              </w:rPr>
            </w:pPr>
            <w:r>
              <w:rPr>
                <w:rFonts w:hint="eastAsia"/>
                <w:color w:val="000000"/>
                <w:szCs w:val="20"/>
              </w:rPr>
              <w:t>必填</w:t>
            </w:r>
            <w:r w:rsidR="00225570">
              <w:rPr>
                <w:rFonts w:hint="eastAsia"/>
                <w:szCs w:val="20"/>
              </w:rPr>
              <w:t>项</w:t>
            </w:r>
            <w:r>
              <w:rPr>
                <w:rFonts w:hint="eastAsia"/>
                <w:color w:val="000000"/>
                <w:szCs w:val="20"/>
              </w:rPr>
              <w:t>，该查询信息下发的日期，格式为YYYYMMDD。</w:t>
            </w:r>
          </w:p>
        </w:tc>
      </w:tr>
      <w:tr w:rsidR="00A052DC" w14:paraId="05D621E6" w14:textId="77777777">
        <w:tc>
          <w:tcPr>
            <w:tcW w:w="1816" w:type="dxa"/>
            <w:tcBorders>
              <w:top w:val="single" w:sz="4" w:space="0" w:color="auto"/>
              <w:left w:val="single" w:sz="4" w:space="0" w:color="auto"/>
              <w:bottom w:val="single" w:sz="4" w:space="0" w:color="auto"/>
              <w:right w:val="single" w:sz="4" w:space="0" w:color="auto"/>
            </w:tcBorders>
          </w:tcPr>
          <w:p w14:paraId="0F415EE0" w14:textId="77777777" w:rsidR="00A052DC" w:rsidRDefault="009F0A60">
            <w:pPr>
              <w:pStyle w:val="B"/>
              <w:widowControl w:val="0"/>
              <w:rPr>
                <w:color w:val="000000"/>
                <w:szCs w:val="20"/>
              </w:rPr>
            </w:pPr>
            <w:r>
              <w:rPr>
                <w:color w:val="000000"/>
                <w:szCs w:val="20"/>
              </w:rPr>
              <w:t>ACCOUNTBANKHEAD</w:t>
            </w:r>
          </w:p>
        </w:tc>
        <w:tc>
          <w:tcPr>
            <w:tcW w:w="1536" w:type="dxa"/>
            <w:tcBorders>
              <w:top w:val="single" w:sz="4" w:space="0" w:color="auto"/>
              <w:left w:val="single" w:sz="4" w:space="0" w:color="auto"/>
              <w:bottom w:val="single" w:sz="4" w:space="0" w:color="auto"/>
              <w:right w:val="single" w:sz="4" w:space="0" w:color="auto"/>
            </w:tcBorders>
          </w:tcPr>
          <w:p w14:paraId="59E176B0" w14:textId="77777777" w:rsidR="00A052DC" w:rsidRDefault="009F0A60">
            <w:pPr>
              <w:pStyle w:val="B"/>
              <w:widowControl w:val="0"/>
              <w:rPr>
                <w:color w:val="000000"/>
                <w:szCs w:val="20"/>
              </w:rPr>
            </w:pPr>
            <w:r>
              <w:rPr>
                <w:rFonts w:hint="eastAsia"/>
                <w:color w:val="000000"/>
                <w:szCs w:val="20"/>
              </w:rPr>
              <w:t>查询账户所属银行名称</w:t>
            </w:r>
          </w:p>
        </w:tc>
        <w:tc>
          <w:tcPr>
            <w:tcW w:w="1676" w:type="dxa"/>
            <w:tcBorders>
              <w:top w:val="single" w:sz="4" w:space="0" w:color="auto"/>
              <w:left w:val="single" w:sz="4" w:space="0" w:color="auto"/>
              <w:bottom w:val="single" w:sz="4" w:space="0" w:color="auto"/>
              <w:right w:val="single" w:sz="4" w:space="0" w:color="auto"/>
            </w:tcBorders>
          </w:tcPr>
          <w:p w14:paraId="39932A6F" w14:textId="77777777" w:rsidR="00A052DC" w:rsidRDefault="009F0A60">
            <w:pPr>
              <w:pStyle w:val="B"/>
              <w:widowControl w:val="0"/>
              <w:rPr>
                <w:color w:val="000000"/>
                <w:szCs w:val="20"/>
              </w:rPr>
            </w:pPr>
            <w:r>
              <w:rPr>
                <w:rFonts w:hint="eastAsia"/>
                <w:color w:val="000000"/>
                <w:szCs w:val="20"/>
              </w:rPr>
              <w:t>变长字符型，128</w:t>
            </w:r>
          </w:p>
        </w:tc>
        <w:tc>
          <w:tcPr>
            <w:tcW w:w="3491" w:type="dxa"/>
            <w:tcBorders>
              <w:top w:val="single" w:sz="4" w:space="0" w:color="auto"/>
              <w:left w:val="single" w:sz="4" w:space="0" w:color="auto"/>
              <w:bottom w:val="single" w:sz="4" w:space="0" w:color="auto"/>
              <w:right w:val="single" w:sz="4" w:space="0" w:color="auto"/>
            </w:tcBorders>
          </w:tcPr>
          <w:p w14:paraId="5DCFBEC3" w14:textId="77777777" w:rsidR="00A052DC" w:rsidRDefault="009F0A60">
            <w:pPr>
              <w:pStyle w:val="B"/>
              <w:widowControl w:val="0"/>
              <w:rPr>
                <w:color w:val="000000"/>
                <w:szCs w:val="20"/>
              </w:rPr>
            </w:pPr>
            <w:r>
              <w:rPr>
                <w:rFonts w:hint="eastAsia"/>
                <w:color w:val="000000"/>
                <w:szCs w:val="20"/>
              </w:rPr>
              <w:t>必填</w:t>
            </w:r>
            <w:r w:rsidR="00225570">
              <w:rPr>
                <w:rFonts w:hint="eastAsia"/>
                <w:szCs w:val="20"/>
              </w:rPr>
              <w:t>项</w:t>
            </w:r>
            <w:r>
              <w:rPr>
                <w:rFonts w:hint="eastAsia"/>
                <w:color w:val="000000"/>
                <w:szCs w:val="20"/>
              </w:rPr>
              <w:t>，拟查询账户所属银行总行的中文名称。</w:t>
            </w:r>
          </w:p>
        </w:tc>
      </w:tr>
      <w:tr w:rsidR="00A052DC" w14:paraId="3F8933E1" w14:textId="77777777">
        <w:tc>
          <w:tcPr>
            <w:tcW w:w="1816" w:type="dxa"/>
            <w:tcBorders>
              <w:top w:val="single" w:sz="4" w:space="0" w:color="auto"/>
              <w:left w:val="single" w:sz="4" w:space="0" w:color="auto"/>
              <w:bottom w:val="single" w:sz="4" w:space="0" w:color="auto"/>
              <w:right w:val="single" w:sz="4" w:space="0" w:color="auto"/>
            </w:tcBorders>
          </w:tcPr>
          <w:p w14:paraId="02DF2CFB" w14:textId="77777777" w:rsidR="00A052DC" w:rsidRDefault="009F0A60">
            <w:pPr>
              <w:pStyle w:val="B"/>
              <w:widowControl w:val="0"/>
              <w:rPr>
                <w:color w:val="000000"/>
                <w:szCs w:val="20"/>
              </w:rPr>
            </w:pPr>
            <w:r>
              <w:t>BANKCODE</w:t>
            </w:r>
          </w:p>
        </w:tc>
        <w:tc>
          <w:tcPr>
            <w:tcW w:w="1536" w:type="dxa"/>
            <w:tcBorders>
              <w:top w:val="single" w:sz="4" w:space="0" w:color="auto"/>
              <w:left w:val="single" w:sz="4" w:space="0" w:color="auto"/>
              <w:bottom w:val="single" w:sz="4" w:space="0" w:color="auto"/>
              <w:right w:val="single" w:sz="4" w:space="0" w:color="auto"/>
            </w:tcBorders>
          </w:tcPr>
          <w:p w14:paraId="46CD440B" w14:textId="77777777" w:rsidR="00A052DC" w:rsidRDefault="009F0A60">
            <w:pPr>
              <w:pStyle w:val="B"/>
              <w:widowControl w:val="0"/>
              <w:rPr>
                <w:color w:val="000000"/>
                <w:szCs w:val="20"/>
              </w:rPr>
            </w:pPr>
            <w:r>
              <w:rPr>
                <w:rFonts w:hint="eastAsia"/>
              </w:rPr>
              <w:t>金融机构代码</w:t>
            </w:r>
          </w:p>
        </w:tc>
        <w:tc>
          <w:tcPr>
            <w:tcW w:w="1676" w:type="dxa"/>
            <w:tcBorders>
              <w:top w:val="single" w:sz="4" w:space="0" w:color="auto"/>
              <w:left w:val="single" w:sz="4" w:space="0" w:color="auto"/>
              <w:bottom w:val="single" w:sz="4" w:space="0" w:color="auto"/>
              <w:right w:val="single" w:sz="4" w:space="0" w:color="auto"/>
            </w:tcBorders>
          </w:tcPr>
          <w:p w14:paraId="4BB82FF1" w14:textId="77777777" w:rsidR="00A052DC" w:rsidRDefault="009F0A60">
            <w:pPr>
              <w:pStyle w:val="B"/>
              <w:widowControl w:val="0"/>
              <w:rPr>
                <w:color w:val="000000"/>
                <w:szCs w:val="20"/>
              </w:rPr>
            </w:pPr>
            <w:r>
              <w:rPr>
                <w:rFonts w:hint="eastAsia"/>
                <w:color w:val="000000"/>
                <w:szCs w:val="20"/>
              </w:rPr>
              <w:t>字符型，4</w:t>
            </w:r>
          </w:p>
        </w:tc>
        <w:tc>
          <w:tcPr>
            <w:tcW w:w="3491" w:type="dxa"/>
            <w:tcBorders>
              <w:top w:val="single" w:sz="4" w:space="0" w:color="auto"/>
              <w:left w:val="single" w:sz="4" w:space="0" w:color="auto"/>
              <w:bottom w:val="single" w:sz="4" w:space="0" w:color="auto"/>
              <w:right w:val="single" w:sz="4" w:space="0" w:color="auto"/>
            </w:tcBorders>
          </w:tcPr>
          <w:p w14:paraId="74140824" w14:textId="77777777" w:rsidR="00A052DC" w:rsidRDefault="009F0A60">
            <w:pPr>
              <w:pStyle w:val="B"/>
              <w:widowControl w:val="0"/>
              <w:rPr>
                <w:color w:val="000000"/>
                <w:szCs w:val="20"/>
              </w:rPr>
            </w:pPr>
            <w:r>
              <w:rPr>
                <w:rFonts w:hint="eastAsia"/>
                <w:color w:val="000000"/>
                <w:szCs w:val="20"/>
              </w:rPr>
              <w:t>必填</w:t>
            </w:r>
            <w:r w:rsidR="00225570">
              <w:rPr>
                <w:rFonts w:hint="eastAsia"/>
                <w:szCs w:val="20"/>
              </w:rPr>
              <w:t>项</w:t>
            </w:r>
            <w:r>
              <w:rPr>
                <w:rFonts w:hint="eastAsia"/>
                <w:color w:val="000000"/>
                <w:szCs w:val="20"/>
              </w:rPr>
              <w:t>，拟查询账户所属银行总行的金融机构代码（4位）。</w:t>
            </w:r>
          </w:p>
        </w:tc>
      </w:tr>
      <w:tr w:rsidR="00A052DC" w14:paraId="73BEC760" w14:textId="77777777">
        <w:tc>
          <w:tcPr>
            <w:tcW w:w="1816" w:type="dxa"/>
            <w:tcBorders>
              <w:top w:val="single" w:sz="4" w:space="0" w:color="auto"/>
              <w:left w:val="single" w:sz="4" w:space="0" w:color="auto"/>
              <w:bottom w:val="single" w:sz="4" w:space="0" w:color="auto"/>
              <w:right w:val="single" w:sz="4" w:space="0" w:color="auto"/>
            </w:tcBorders>
          </w:tcPr>
          <w:p w14:paraId="0D9820AC" w14:textId="77777777" w:rsidR="00A052DC" w:rsidRDefault="009F0A60">
            <w:pPr>
              <w:pStyle w:val="B"/>
              <w:widowControl w:val="0"/>
              <w:rPr>
                <w:color w:val="000000"/>
                <w:szCs w:val="20"/>
              </w:rPr>
            </w:pPr>
            <w:r>
              <w:rPr>
                <w:color w:val="000000"/>
                <w:szCs w:val="20"/>
              </w:rPr>
              <w:t>ENNAME</w:t>
            </w:r>
          </w:p>
        </w:tc>
        <w:tc>
          <w:tcPr>
            <w:tcW w:w="1536" w:type="dxa"/>
            <w:tcBorders>
              <w:top w:val="single" w:sz="4" w:space="0" w:color="auto"/>
              <w:left w:val="single" w:sz="4" w:space="0" w:color="auto"/>
              <w:bottom w:val="single" w:sz="4" w:space="0" w:color="auto"/>
              <w:right w:val="single" w:sz="4" w:space="0" w:color="auto"/>
            </w:tcBorders>
          </w:tcPr>
          <w:p w14:paraId="202A2979" w14:textId="77777777" w:rsidR="00A052DC" w:rsidRDefault="009F0A60">
            <w:pPr>
              <w:pStyle w:val="B"/>
              <w:widowControl w:val="0"/>
              <w:rPr>
                <w:color w:val="000000"/>
                <w:szCs w:val="20"/>
              </w:rPr>
            </w:pPr>
            <w:r>
              <w:rPr>
                <w:rFonts w:hint="eastAsia"/>
                <w:color w:val="000000"/>
                <w:szCs w:val="20"/>
              </w:rPr>
              <w:t>主体名称</w:t>
            </w:r>
          </w:p>
        </w:tc>
        <w:tc>
          <w:tcPr>
            <w:tcW w:w="1676" w:type="dxa"/>
            <w:tcBorders>
              <w:top w:val="single" w:sz="4" w:space="0" w:color="auto"/>
              <w:left w:val="single" w:sz="4" w:space="0" w:color="auto"/>
              <w:bottom w:val="single" w:sz="4" w:space="0" w:color="auto"/>
              <w:right w:val="single" w:sz="4" w:space="0" w:color="auto"/>
            </w:tcBorders>
          </w:tcPr>
          <w:p w14:paraId="0C85C946" w14:textId="77777777" w:rsidR="00A052DC" w:rsidRDefault="009F0A60">
            <w:pPr>
              <w:pStyle w:val="B"/>
              <w:widowControl w:val="0"/>
              <w:rPr>
                <w:color w:val="000000"/>
                <w:szCs w:val="20"/>
              </w:rPr>
            </w:pPr>
            <w:r>
              <w:rPr>
                <w:rFonts w:hint="eastAsia"/>
                <w:color w:val="000000"/>
                <w:szCs w:val="20"/>
              </w:rPr>
              <w:t>变长字符型，</w:t>
            </w:r>
            <w:r>
              <w:rPr>
                <w:color w:val="000000"/>
                <w:szCs w:val="20"/>
              </w:rPr>
              <w:t>128</w:t>
            </w:r>
          </w:p>
        </w:tc>
        <w:tc>
          <w:tcPr>
            <w:tcW w:w="3491" w:type="dxa"/>
            <w:tcBorders>
              <w:top w:val="single" w:sz="4" w:space="0" w:color="auto"/>
              <w:left w:val="single" w:sz="4" w:space="0" w:color="auto"/>
              <w:bottom w:val="single" w:sz="4" w:space="0" w:color="auto"/>
              <w:right w:val="single" w:sz="4" w:space="0" w:color="auto"/>
            </w:tcBorders>
          </w:tcPr>
          <w:p w14:paraId="03872C65" w14:textId="77777777" w:rsidR="00A052DC" w:rsidRDefault="00DD6AA3">
            <w:pPr>
              <w:rPr>
                <w:rFonts w:ascii="黑体" w:eastAsia="黑体" w:hAnsi="黑体"/>
                <w:color w:val="000000"/>
                <w:sz w:val="20"/>
                <w:szCs w:val="20"/>
              </w:rPr>
            </w:pPr>
            <w:r>
              <w:rPr>
                <w:rFonts w:ascii="黑体" w:eastAsia="黑体" w:hAnsi="黑体"/>
                <w:color w:val="000000"/>
                <w:sz w:val="20"/>
                <w:szCs w:val="20"/>
              </w:rPr>
              <w:t>非必填项</w:t>
            </w:r>
            <w:r w:rsidR="009F0A60">
              <w:rPr>
                <w:rFonts w:ascii="黑体" w:eastAsia="黑体" w:hAnsi="黑体" w:hint="eastAsia"/>
                <w:color w:val="000000"/>
                <w:sz w:val="20"/>
                <w:szCs w:val="20"/>
              </w:rPr>
              <w:t>。</w:t>
            </w:r>
          </w:p>
        </w:tc>
      </w:tr>
      <w:tr w:rsidR="00A052DC" w14:paraId="0AA2B9CD" w14:textId="77777777">
        <w:tc>
          <w:tcPr>
            <w:tcW w:w="1816" w:type="dxa"/>
            <w:tcBorders>
              <w:top w:val="single" w:sz="4" w:space="0" w:color="auto"/>
              <w:left w:val="single" w:sz="4" w:space="0" w:color="auto"/>
              <w:bottom w:val="single" w:sz="4" w:space="0" w:color="auto"/>
              <w:right w:val="single" w:sz="4" w:space="0" w:color="auto"/>
            </w:tcBorders>
          </w:tcPr>
          <w:p w14:paraId="78F39FEA" w14:textId="77777777" w:rsidR="00A052DC" w:rsidRDefault="009F0A60">
            <w:pPr>
              <w:pStyle w:val="B"/>
              <w:widowControl w:val="0"/>
              <w:rPr>
                <w:color w:val="000000"/>
                <w:szCs w:val="20"/>
              </w:rPr>
            </w:pPr>
            <w:r>
              <w:rPr>
                <w:color w:val="000000"/>
                <w:szCs w:val="20"/>
              </w:rPr>
              <w:t>AMTYPE</w:t>
            </w:r>
          </w:p>
        </w:tc>
        <w:tc>
          <w:tcPr>
            <w:tcW w:w="1536" w:type="dxa"/>
            <w:tcBorders>
              <w:top w:val="single" w:sz="4" w:space="0" w:color="auto"/>
              <w:left w:val="single" w:sz="4" w:space="0" w:color="auto"/>
              <w:bottom w:val="single" w:sz="4" w:space="0" w:color="auto"/>
              <w:right w:val="single" w:sz="4" w:space="0" w:color="auto"/>
            </w:tcBorders>
          </w:tcPr>
          <w:p w14:paraId="354ABF88" w14:textId="77777777" w:rsidR="00A052DC" w:rsidRDefault="009F0A60">
            <w:pPr>
              <w:pStyle w:val="B"/>
              <w:widowControl w:val="0"/>
              <w:rPr>
                <w:color w:val="000000"/>
                <w:szCs w:val="20"/>
              </w:rPr>
            </w:pPr>
            <w:r>
              <w:rPr>
                <w:rFonts w:hint="eastAsia"/>
                <w:color w:val="000000"/>
                <w:szCs w:val="20"/>
              </w:rPr>
              <w:t>主体类型</w:t>
            </w:r>
          </w:p>
        </w:tc>
        <w:tc>
          <w:tcPr>
            <w:tcW w:w="1676" w:type="dxa"/>
            <w:tcBorders>
              <w:top w:val="single" w:sz="4" w:space="0" w:color="auto"/>
              <w:left w:val="single" w:sz="4" w:space="0" w:color="auto"/>
              <w:bottom w:val="single" w:sz="4" w:space="0" w:color="auto"/>
              <w:right w:val="single" w:sz="4" w:space="0" w:color="auto"/>
            </w:tcBorders>
          </w:tcPr>
          <w:p w14:paraId="0FA29110" w14:textId="77777777" w:rsidR="00A052DC" w:rsidRDefault="009F0A60">
            <w:pPr>
              <w:pStyle w:val="B"/>
              <w:widowControl w:val="0"/>
              <w:rPr>
                <w:color w:val="000000"/>
                <w:szCs w:val="20"/>
              </w:rPr>
            </w:pPr>
            <w:r>
              <w:rPr>
                <w:rFonts w:hint="eastAsia"/>
                <w:color w:val="000000"/>
                <w:szCs w:val="20"/>
              </w:rPr>
              <w:t>字符型，</w:t>
            </w:r>
            <w:r>
              <w:rPr>
                <w:color w:val="000000"/>
                <w:szCs w:val="20"/>
              </w:rPr>
              <w:t xml:space="preserve">1 </w:t>
            </w:r>
          </w:p>
        </w:tc>
        <w:tc>
          <w:tcPr>
            <w:tcW w:w="3491" w:type="dxa"/>
            <w:tcBorders>
              <w:top w:val="single" w:sz="4" w:space="0" w:color="auto"/>
              <w:left w:val="single" w:sz="4" w:space="0" w:color="auto"/>
              <w:bottom w:val="single" w:sz="4" w:space="0" w:color="auto"/>
              <w:right w:val="single" w:sz="4" w:space="0" w:color="auto"/>
            </w:tcBorders>
          </w:tcPr>
          <w:p w14:paraId="6AA3BF51" w14:textId="77777777" w:rsidR="00A052DC" w:rsidRDefault="009F0A60">
            <w:pPr>
              <w:rPr>
                <w:rFonts w:ascii="黑体" w:eastAsia="黑体" w:hAnsi="黑体"/>
                <w:color w:val="000000"/>
                <w:sz w:val="20"/>
                <w:szCs w:val="20"/>
              </w:rPr>
            </w:pPr>
            <w:r>
              <w:rPr>
                <w:rFonts w:ascii="黑体" w:eastAsia="黑体" w:hAnsi="黑体" w:hint="eastAsia"/>
                <w:color w:val="000000"/>
                <w:sz w:val="20"/>
                <w:szCs w:val="20"/>
              </w:rPr>
              <w:t>必填</w:t>
            </w:r>
            <w:r w:rsidR="00225570">
              <w:rPr>
                <w:rFonts w:ascii="黑体" w:eastAsia="黑体" w:hAnsi="黑体" w:hint="eastAsia"/>
                <w:kern w:val="0"/>
                <w:sz w:val="20"/>
                <w:szCs w:val="20"/>
              </w:rPr>
              <w:t>项</w:t>
            </w:r>
            <w:r>
              <w:rPr>
                <w:rFonts w:ascii="黑体" w:eastAsia="黑体" w:hAnsi="黑体" w:hint="eastAsia"/>
                <w:color w:val="000000"/>
                <w:sz w:val="20"/>
                <w:szCs w:val="20"/>
              </w:rPr>
              <w:t>，3</w:t>
            </w:r>
            <w:r>
              <w:rPr>
                <w:rFonts w:ascii="黑体" w:eastAsia="黑体" w:hAnsi="黑体"/>
                <w:color w:val="000000"/>
                <w:sz w:val="20"/>
                <w:szCs w:val="20"/>
              </w:rPr>
              <w:t>选1：</w:t>
            </w:r>
          </w:p>
          <w:p w14:paraId="26EF8295" w14:textId="77777777" w:rsidR="00A052DC" w:rsidRDefault="009F0A60">
            <w:pPr>
              <w:rPr>
                <w:rFonts w:ascii="黑体" w:eastAsia="黑体" w:hAnsi="黑体"/>
                <w:color w:val="000000"/>
                <w:sz w:val="20"/>
                <w:szCs w:val="20"/>
              </w:rPr>
            </w:pPr>
            <w:r>
              <w:rPr>
                <w:rFonts w:ascii="黑体" w:eastAsia="黑体" w:hAnsi="黑体"/>
                <w:color w:val="000000"/>
                <w:sz w:val="20"/>
                <w:szCs w:val="20"/>
              </w:rPr>
              <w:t>P-个人；</w:t>
            </w:r>
          </w:p>
          <w:p w14:paraId="4D716725" w14:textId="77777777" w:rsidR="00A052DC" w:rsidRDefault="009F0A60">
            <w:pPr>
              <w:rPr>
                <w:rFonts w:ascii="黑体" w:eastAsia="黑体" w:hAnsi="黑体"/>
                <w:color w:val="000000"/>
                <w:sz w:val="20"/>
                <w:szCs w:val="20"/>
              </w:rPr>
            </w:pPr>
            <w:r>
              <w:rPr>
                <w:rFonts w:ascii="黑体" w:eastAsia="黑体" w:hAnsi="黑体"/>
                <w:color w:val="000000"/>
                <w:sz w:val="20"/>
                <w:szCs w:val="20"/>
              </w:rPr>
              <w:t>C-机构</w:t>
            </w:r>
            <w:r>
              <w:rPr>
                <w:rFonts w:ascii="黑体" w:eastAsia="黑体" w:hAnsi="黑体" w:hint="eastAsia"/>
                <w:color w:val="000000"/>
                <w:sz w:val="20"/>
                <w:szCs w:val="20"/>
              </w:rPr>
              <w:t>；</w:t>
            </w:r>
          </w:p>
          <w:p w14:paraId="128EC831" w14:textId="77777777" w:rsidR="00A052DC" w:rsidRDefault="009F0A60">
            <w:pPr>
              <w:rPr>
                <w:rFonts w:ascii="黑体" w:eastAsia="黑体" w:hAnsi="黑体"/>
                <w:color w:val="000000"/>
                <w:sz w:val="20"/>
                <w:szCs w:val="20"/>
              </w:rPr>
            </w:pPr>
            <w:r>
              <w:rPr>
                <w:rFonts w:ascii="黑体" w:eastAsia="黑体" w:hAnsi="黑体" w:hint="eastAsia"/>
                <w:color w:val="000000"/>
                <w:sz w:val="20"/>
                <w:szCs w:val="20"/>
              </w:rPr>
              <w:t>N-未知。</w:t>
            </w:r>
          </w:p>
        </w:tc>
      </w:tr>
      <w:tr w:rsidR="00A052DC" w14:paraId="4F99CE47" w14:textId="77777777">
        <w:tc>
          <w:tcPr>
            <w:tcW w:w="1816" w:type="dxa"/>
            <w:tcBorders>
              <w:top w:val="single" w:sz="4" w:space="0" w:color="auto"/>
              <w:left w:val="single" w:sz="4" w:space="0" w:color="auto"/>
              <w:bottom w:val="single" w:sz="4" w:space="0" w:color="auto"/>
              <w:right w:val="single" w:sz="4" w:space="0" w:color="auto"/>
            </w:tcBorders>
          </w:tcPr>
          <w:p w14:paraId="1FBE9137" w14:textId="77777777" w:rsidR="00A052DC" w:rsidRDefault="009F0A60">
            <w:pPr>
              <w:pStyle w:val="B"/>
              <w:widowControl w:val="0"/>
              <w:rPr>
                <w:color w:val="000000"/>
                <w:szCs w:val="20"/>
              </w:rPr>
            </w:pPr>
            <w:r>
              <w:rPr>
                <w:color w:val="000000"/>
                <w:szCs w:val="20"/>
              </w:rPr>
              <w:t>CERT</w:t>
            </w:r>
            <w:r>
              <w:rPr>
                <w:rFonts w:hint="eastAsia"/>
                <w:color w:val="000000"/>
                <w:szCs w:val="20"/>
              </w:rPr>
              <w:t>TYPE</w:t>
            </w:r>
          </w:p>
        </w:tc>
        <w:tc>
          <w:tcPr>
            <w:tcW w:w="1536" w:type="dxa"/>
            <w:tcBorders>
              <w:top w:val="single" w:sz="4" w:space="0" w:color="auto"/>
              <w:left w:val="single" w:sz="4" w:space="0" w:color="auto"/>
              <w:bottom w:val="single" w:sz="4" w:space="0" w:color="auto"/>
              <w:right w:val="single" w:sz="4" w:space="0" w:color="auto"/>
            </w:tcBorders>
          </w:tcPr>
          <w:p w14:paraId="6CD5B71B" w14:textId="77777777" w:rsidR="00A052DC" w:rsidRDefault="009F0A60">
            <w:pPr>
              <w:pStyle w:val="B"/>
              <w:widowControl w:val="0"/>
              <w:rPr>
                <w:color w:val="000000"/>
                <w:szCs w:val="20"/>
              </w:rPr>
            </w:pPr>
            <w:r>
              <w:rPr>
                <w:rFonts w:hint="eastAsia"/>
                <w:color w:val="000000"/>
                <w:szCs w:val="20"/>
              </w:rPr>
              <w:t>证件类型</w:t>
            </w:r>
          </w:p>
        </w:tc>
        <w:tc>
          <w:tcPr>
            <w:tcW w:w="1676" w:type="dxa"/>
            <w:tcBorders>
              <w:top w:val="single" w:sz="4" w:space="0" w:color="auto"/>
              <w:left w:val="single" w:sz="4" w:space="0" w:color="auto"/>
              <w:bottom w:val="single" w:sz="4" w:space="0" w:color="auto"/>
              <w:right w:val="single" w:sz="4" w:space="0" w:color="auto"/>
            </w:tcBorders>
          </w:tcPr>
          <w:p w14:paraId="5DDE75A0" w14:textId="77777777" w:rsidR="00A052DC" w:rsidRDefault="009F0A60">
            <w:pPr>
              <w:pStyle w:val="B"/>
              <w:widowControl w:val="0"/>
              <w:rPr>
                <w:color w:val="000000"/>
                <w:szCs w:val="20"/>
              </w:rPr>
            </w:pPr>
            <w:r>
              <w:rPr>
                <w:rFonts w:hint="eastAsia"/>
                <w:color w:val="000000"/>
                <w:szCs w:val="20"/>
              </w:rPr>
              <w:t>字符型，2</w:t>
            </w:r>
          </w:p>
        </w:tc>
        <w:tc>
          <w:tcPr>
            <w:tcW w:w="3491" w:type="dxa"/>
            <w:tcBorders>
              <w:top w:val="single" w:sz="4" w:space="0" w:color="auto"/>
              <w:left w:val="single" w:sz="4" w:space="0" w:color="auto"/>
              <w:bottom w:val="single" w:sz="4" w:space="0" w:color="auto"/>
              <w:right w:val="single" w:sz="4" w:space="0" w:color="auto"/>
            </w:tcBorders>
          </w:tcPr>
          <w:p w14:paraId="3A536DD7" w14:textId="77777777" w:rsidR="00A052DC" w:rsidRDefault="009F0A60">
            <w:pPr>
              <w:rPr>
                <w:rFonts w:ascii="黑体" w:eastAsia="黑体" w:hAnsi="黑体"/>
                <w:color w:val="000000"/>
                <w:sz w:val="20"/>
                <w:szCs w:val="20"/>
              </w:rPr>
            </w:pPr>
            <w:r>
              <w:rPr>
                <w:rFonts w:ascii="黑体" w:eastAsia="黑体" w:hAnsi="黑体" w:hint="eastAsia"/>
                <w:color w:val="000000"/>
                <w:sz w:val="20"/>
                <w:szCs w:val="20"/>
              </w:rPr>
              <w:t>必填</w:t>
            </w:r>
            <w:r w:rsidR="00225570">
              <w:rPr>
                <w:rFonts w:ascii="黑体" w:eastAsia="黑体" w:hAnsi="黑体" w:hint="eastAsia"/>
                <w:kern w:val="0"/>
                <w:sz w:val="20"/>
                <w:szCs w:val="20"/>
              </w:rPr>
              <w:t>项</w:t>
            </w:r>
            <w:r>
              <w:rPr>
                <w:rFonts w:ascii="黑体" w:eastAsia="黑体" w:hAnsi="黑体" w:hint="eastAsia"/>
                <w:color w:val="000000"/>
                <w:sz w:val="20"/>
                <w:szCs w:val="20"/>
              </w:rPr>
              <w:t>。</w:t>
            </w:r>
          </w:p>
          <w:p w14:paraId="2DA9AE78" w14:textId="77777777" w:rsidR="00A052DC" w:rsidRDefault="009F0A60">
            <w:pPr>
              <w:rPr>
                <w:rFonts w:ascii="黑体" w:eastAsia="黑体" w:hAnsi="黑体"/>
                <w:color w:val="000000"/>
                <w:sz w:val="20"/>
                <w:szCs w:val="20"/>
              </w:rPr>
            </w:pPr>
            <w:r>
              <w:rPr>
                <w:rFonts w:ascii="黑体" w:eastAsia="黑体" w:hAnsi="黑体" w:hint="eastAsia"/>
                <w:color w:val="000000"/>
                <w:sz w:val="20"/>
                <w:szCs w:val="20"/>
              </w:rPr>
              <w:t>若</w:t>
            </w:r>
            <w:r>
              <w:rPr>
                <w:rFonts w:ascii="黑体" w:eastAsia="黑体" w:hAnsi="黑体"/>
                <w:color w:val="000000"/>
                <w:sz w:val="20"/>
                <w:szCs w:val="20"/>
              </w:rPr>
              <w:t>amType=P，则</w:t>
            </w:r>
            <w:r>
              <w:rPr>
                <w:rFonts w:ascii="黑体" w:eastAsia="黑体" w:hAnsi="黑体" w:hint="eastAsia"/>
                <w:color w:val="000000"/>
                <w:sz w:val="20"/>
                <w:szCs w:val="20"/>
              </w:rPr>
              <w:t>11</w:t>
            </w:r>
            <w:r>
              <w:rPr>
                <w:rFonts w:ascii="黑体" w:eastAsia="黑体" w:hAnsi="黑体"/>
                <w:color w:val="000000"/>
                <w:sz w:val="20"/>
                <w:szCs w:val="20"/>
              </w:rPr>
              <w:t>选1：</w:t>
            </w:r>
          </w:p>
          <w:p w14:paraId="6196F182" w14:textId="77777777" w:rsidR="00A052DC" w:rsidRDefault="009F0A60">
            <w:pPr>
              <w:rPr>
                <w:rFonts w:ascii="黑体" w:eastAsia="黑体" w:hAnsi="黑体"/>
                <w:kern w:val="0"/>
                <w:sz w:val="20"/>
                <w:szCs w:val="20"/>
              </w:rPr>
            </w:pPr>
            <w:r>
              <w:rPr>
                <w:rFonts w:ascii="黑体" w:eastAsia="黑体" w:hAnsi="黑体"/>
                <w:kern w:val="0"/>
                <w:sz w:val="20"/>
                <w:szCs w:val="20"/>
              </w:rPr>
              <w:t>01</w:t>
            </w:r>
            <w:r w:rsidR="00137E48">
              <w:rPr>
                <w:rFonts w:ascii="黑体" w:eastAsia="黑体" w:hAnsi="黑体" w:hint="eastAsia"/>
                <w:kern w:val="0"/>
                <w:sz w:val="20"/>
                <w:szCs w:val="20"/>
              </w:rPr>
              <w:t>-</w:t>
            </w:r>
            <w:r>
              <w:rPr>
                <w:rFonts w:ascii="黑体" w:eastAsia="黑体" w:hAnsi="黑体" w:hint="eastAsia"/>
                <w:kern w:val="0"/>
                <w:sz w:val="20"/>
                <w:szCs w:val="20"/>
              </w:rPr>
              <w:t>居民身份证；</w:t>
            </w:r>
          </w:p>
          <w:p w14:paraId="76BBDFBD" w14:textId="77777777" w:rsidR="00A052DC" w:rsidRDefault="009F0A60">
            <w:pPr>
              <w:rPr>
                <w:rFonts w:ascii="黑体" w:eastAsia="黑体" w:hAnsi="黑体"/>
                <w:kern w:val="0"/>
                <w:sz w:val="20"/>
                <w:szCs w:val="20"/>
              </w:rPr>
            </w:pPr>
            <w:r>
              <w:rPr>
                <w:rFonts w:ascii="黑体" w:eastAsia="黑体" w:hAnsi="黑体"/>
                <w:kern w:val="0"/>
                <w:sz w:val="20"/>
                <w:szCs w:val="20"/>
              </w:rPr>
              <w:t>02</w:t>
            </w:r>
            <w:r w:rsidR="00137E48">
              <w:rPr>
                <w:rFonts w:ascii="黑体" w:eastAsia="黑体" w:hAnsi="黑体" w:hint="eastAsia"/>
                <w:kern w:val="0"/>
                <w:sz w:val="20"/>
                <w:szCs w:val="20"/>
              </w:rPr>
              <w:t>-</w:t>
            </w:r>
            <w:r>
              <w:rPr>
                <w:rFonts w:ascii="黑体" w:eastAsia="黑体" w:hAnsi="黑体" w:hint="eastAsia"/>
                <w:kern w:val="0"/>
                <w:sz w:val="20"/>
                <w:szCs w:val="20"/>
              </w:rPr>
              <w:t>军人身份证件；</w:t>
            </w:r>
          </w:p>
          <w:p w14:paraId="20835BDC" w14:textId="77777777" w:rsidR="00A052DC" w:rsidRDefault="009F0A60">
            <w:pPr>
              <w:rPr>
                <w:rFonts w:ascii="黑体" w:eastAsia="黑体" w:hAnsi="黑体"/>
                <w:kern w:val="0"/>
                <w:sz w:val="20"/>
                <w:szCs w:val="20"/>
              </w:rPr>
            </w:pPr>
            <w:r>
              <w:rPr>
                <w:rFonts w:ascii="黑体" w:eastAsia="黑体" w:hAnsi="黑体"/>
                <w:kern w:val="0"/>
                <w:sz w:val="20"/>
                <w:szCs w:val="20"/>
              </w:rPr>
              <w:t>03</w:t>
            </w:r>
            <w:r w:rsidR="00137E48">
              <w:rPr>
                <w:rFonts w:ascii="黑体" w:eastAsia="黑体" w:hAnsi="黑体" w:hint="eastAsia"/>
                <w:kern w:val="0"/>
                <w:sz w:val="20"/>
                <w:szCs w:val="20"/>
              </w:rPr>
              <w:t>-</w:t>
            </w:r>
            <w:r>
              <w:rPr>
                <w:rFonts w:ascii="黑体" w:eastAsia="黑体" w:hAnsi="黑体" w:hint="eastAsia"/>
                <w:kern w:val="0"/>
                <w:sz w:val="20"/>
                <w:szCs w:val="20"/>
              </w:rPr>
              <w:t>武装警察身份证件；</w:t>
            </w:r>
          </w:p>
          <w:p w14:paraId="6A67C6AF" w14:textId="77777777" w:rsidR="00A052DC" w:rsidRDefault="009F0A60">
            <w:pPr>
              <w:rPr>
                <w:rFonts w:ascii="黑体" w:eastAsia="黑体" w:hAnsi="黑体"/>
                <w:kern w:val="0"/>
                <w:sz w:val="20"/>
                <w:szCs w:val="20"/>
              </w:rPr>
            </w:pPr>
            <w:r>
              <w:rPr>
                <w:rFonts w:ascii="黑体" w:eastAsia="黑体" w:hAnsi="黑体"/>
                <w:kern w:val="0"/>
                <w:sz w:val="20"/>
                <w:szCs w:val="20"/>
              </w:rPr>
              <w:t>04</w:t>
            </w:r>
            <w:r w:rsidR="00137E48">
              <w:rPr>
                <w:rFonts w:ascii="黑体" w:eastAsia="黑体" w:hAnsi="黑体" w:hint="eastAsia"/>
                <w:kern w:val="0"/>
                <w:sz w:val="20"/>
                <w:szCs w:val="20"/>
              </w:rPr>
              <w:t>-</w:t>
            </w:r>
            <w:r>
              <w:rPr>
                <w:rFonts w:ascii="黑体" w:eastAsia="黑体" w:hAnsi="黑体" w:hint="eastAsia"/>
                <w:kern w:val="0"/>
                <w:sz w:val="20"/>
                <w:szCs w:val="20"/>
              </w:rPr>
              <w:t>护照；</w:t>
            </w:r>
          </w:p>
          <w:p w14:paraId="2A3E1785" w14:textId="77777777" w:rsidR="00A052DC" w:rsidRDefault="009F0A60">
            <w:pPr>
              <w:rPr>
                <w:rFonts w:ascii="黑体" w:eastAsia="黑体" w:hAnsi="黑体"/>
                <w:kern w:val="0"/>
                <w:sz w:val="20"/>
                <w:szCs w:val="20"/>
              </w:rPr>
            </w:pPr>
            <w:r>
              <w:rPr>
                <w:rFonts w:ascii="黑体" w:eastAsia="黑体" w:hAnsi="黑体"/>
                <w:kern w:val="0"/>
                <w:sz w:val="20"/>
                <w:szCs w:val="20"/>
              </w:rPr>
              <w:t>05</w:t>
            </w:r>
            <w:r w:rsidR="00137E48">
              <w:rPr>
                <w:rFonts w:ascii="黑体" w:eastAsia="黑体" w:hAnsi="黑体" w:hint="eastAsia"/>
                <w:kern w:val="0"/>
                <w:sz w:val="20"/>
                <w:szCs w:val="20"/>
              </w:rPr>
              <w:t>-</w:t>
            </w:r>
            <w:r>
              <w:rPr>
                <w:rFonts w:ascii="黑体" w:eastAsia="黑体" w:hAnsi="黑体" w:hint="eastAsia"/>
                <w:kern w:val="0"/>
                <w:sz w:val="20"/>
                <w:szCs w:val="20"/>
              </w:rPr>
              <w:t>外国人永久居留身份证；</w:t>
            </w:r>
          </w:p>
          <w:p w14:paraId="2B190B08" w14:textId="77777777" w:rsidR="00A052DC" w:rsidRDefault="009F0A60">
            <w:pPr>
              <w:rPr>
                <w:rFonts w:ascii="黑体" w:eastAsia="黑体" w:hAnsi="黑体"/>
                <w:kern w:val="0"/>
                <w:sz w:val="20"/>
                <w:szCs w:val="20"/>
              </w:rPr>
            </w:pPr>
            <w:r>
              <w:rPr>
                <w:rFonts w:ascii="黑体" w:eastAsia="黑体" w:hAnsi="黑体"/>
                <w:kern w:val="0"/>
                <w:sz w:val="20"/>
                <w:szCs w:val="20"/>
              </w:rPr>
              <w:t>06</w:t>
            </w:r>
            <w:r w:rsidR="00137E48">
              <w:rPr>
                <w:rFonts w:ascii="黑体" w:eastAsia="黑体" w:hAnsi="黑体" w:hint="eastAsia"/>
                <w:kern w:val="0"/>
                <w:sz w:val="20"/>
                <w:szCs w:val="20"/>
              </w:rPr>
              <w:t>-</w:t>
            </w:r>
            <w:r>
              <w:rPr>
                <w:rFonts w:ascii="黑体" w:eastAsia="黑体" w:hAnsi="黑体" w:hint="eastAsia"/>
                <w:kern w:val="0"/>
                <w:sz w:val="20"/>
                <w:szCs w:val="20"/>
              </w:rPr>
              <w:t>港澳居民来往内地通行证；</w:t>
            </w:r>
          </w:p>
          <w:p w14:paraId="7AC8F0D8" w14:textId="77777777" w:rsidR="00A052DC" w:rsidRDefault="009F0A60">
            <w:pPr>
              <w:rPr>
                <w:rFonts w:ascii="黑体" w:eastAsia="黑体" w:hAnsi="黑体"/>
                <w:kern w:val="0"/>
                <w:sz w:val="20"/>
                <w:szCs w:val="20"/>
              </w:rPr>
            </w:pPr>
            <w:r>
              <w:rPr>
                <w:rFonts w:ascii="黑体" w:eastAsia="黑体" w:hAnsi="黑体"/>
                <w:kern w:val="0"/>
                <w:sz w:val="20"/>
                <w:szCs w:val="20"/>
              </w:rPr>
              <w:t>07</w:t>
            </w:r>
            <w:r w:rsidR="00137E48">
              <w:rPr>
                <w:rFonts w:ascii="黑体" w:eastAsia="黑体" w:hAnsi="黑体" w:hint="eastAsia"/>
                <w:kern w:val="0"/>
                <w:sz w:val="20"/>
                <w:szCs w:val="20"/>
              </w:rPr>
              <w:t>-</w:t>
            </w:r>
            <w:r>
              <w:rPr>
                <w:rFonts w:ascii="黑体" w:eastAsia="黑体" w:hAnsi="黑体" w:hint="eastAsia"/>
                <w:kern w:val="0"/>
                <w:sz w:val="20"/>
                <w:szCs w:val="20"/>
              </w:rPr>
              <w:t>台湾居民来往大陆通行证；</w:t>
            </w:r>
          </w:p>
          <w:p w14:paraId="09CC7E7D" w14:textId="77777777" w:rsidR="00A052DC" w:rsidRDefault="009F0A60">
            <w:pPr>
              <w:rPr>
                <w:rFonts w:ascii="黑体" w:eastAsia="黑体" w:hAnsi="黑体"/>
                <w:kern w:val="0"/>
                <w:sz w:val="20"/>
                <w:szCs w:val="20"/>
              </w:rPr>
            </w:pPr>
            <w:r>
              <w:rPr>
                <w:rFonts w:ascii="黑体" w:eastAsia="黑体" w:hAnsi="黑体"/>
                <w:kern w:val="0"/>
                <w:sz w:val="20"/>
                <w:szCs w:val="20"/>
              </w:rPr>
              <w:t>09</w:t>
            </w:r>
            <w:r w:rsidR="00137E48">
              <w:rPr>
                <w:rFonts w:ascii="黑体" w:eastAsia="黑体" w:hAnsi="黑体" w:hint="eastAsia"/>
                <w:kern w:val="0"/>
                <w:sz w:val="20"/>
                <w:szCs w:val="20"/>
              </w:rPr>
              <w:t>-</w:t>
            </w:r>
            <w:r>
              <w:rPr>
                <w:rFonts w:ascii="黑体" w:eastAsia="黑体" w:hAnsi="黑体" w:hint="eastAsia"/>
                <w:kern w:val="0"/>
                <w:sz w:val="20"/>
                <w:szCs w:val="20"/>
              </w:rPr>
              <w:t>中国护照；</w:t>
            </w:r>
          </w:p>
          <w:p w14:paraId="051D4A2B" w14:textId="77777777" w:rsidR="00A052DC" w:rsidRDefault="009F0A60">
            <w:pPr>
              <w:rPr>
                <w:rFonts w:ascii="黑体" w:eastAsia="黑体" w:hAnsi="黑体"/>
                <w:kern w:val="0"/>
                <w:sz w:val="20"/>
                <w:szCs w:val="20"/>
              </w:rPr>
            </w:pPr>
            <w:r>
              <w:rPr>
                <w:rFonts w:ascii="黑体" w:eastAsia="黑体" w:hAnsi="黑体"/>
                <w:kern w:val="0"/>
                <w:sz w:val="20"/>
                <w:szCs w:val="20"/>
              </w:rPr>
              <w:t>10</w:t>
            </w:r>
            <w:r w:rsidR="00137E48">
              <w:rPr>
                <w:rFonts w:ascii="黑体" w:eastAsia="黑体" w:hAnsi="黑体" w:hint="eastAsia"/>
                <w:kern w:val="0"/>
                <w:sz w:val="20"/>
                <w:szCs w:val="20"/>
              </w:rPr>
              <w:t>-</w:t>
            </w:r>
            <w:r>
              <w:rPr>
                <w:rFonts w:ascii="黑体" w:eastAsia="黑体" w:hAnsi="黑体" w:hint="eastAsia"/>
                <w:kern w:val="0"/>
                <w:sz w:val="20"/>
                <w:szCs w:val="20"/>
              </w:rPr>
              <w:t>外交官证；</w:t>
            </w:r>
          </w:p>
          <w:p w14:paraId="4FB31568" w14:textId="77777777" w:rsidR="00A052DC" w:rsidRDefault="009F0A60">
            <w:pPr>
              <w:rPr>
                <w:rFonts w:ascii="黑体" w:eastAsia="黑体" w:hAnsi="黑体"/>
                <w:kern w:val="0"/>
                <w:sz w:val="20"/>
                <w:szCs w:val="20"/>
              </w:rPr>
            </w:pPr>
            <w:r>
              <w:rPr>
                <w:rFonts w:ascii="黑体" w:eastAsia="黑体" w:hAnsi="黑体"/>
                <w:kern w:val="0"/>
                <w:sz w:val="20"/>
                <w:szCs w:val="20"/>
              </w:rPr>
              <w:t>11</w:t>
            </w:r>
            <w:r w:rsidR="00137E48">
              <w:rPr>
                <w:rFonts w:ascii="黑体" w:eastAsia="黑体" w:hAnsi="黑体" w:hint="eastAsia"/>
                <w:kern w:val="0"/>
                <w:sz w:val="20"/>
                <w:szCs w:val="20"/>
              </w:rPr>
              <w:t>-</w:t>
            </w:r>
            <w:r>
              <w:rPr>
                <w:rFonts w:ascii="黑体" w:eastAsia="黑体" w:hAnsi="黑体" w:hint="eastAsia"/>
                <w:kern w:val="0"/>
                <w:sz w:val="20"/>
                <w:szCs w:val="20"/>
              </w:rPr>
              <w:t>其他。</w:t>
            </w:r>
          </w:p>
          <w:p w14:paraId="2449230E" w14:textId="77777777" w:rsidR="00A052DC" w:rsidRDefault="009F0A60">
            <w:pPr>
              <w:rPr>
                <w:rFonts w:ascii="黑体" w:eastAsia="黑体" w:hAnsi="黑体"/>
                <w:color w:val="000000"/>
                <w:sz w:val="20"/>
                <w:szCs w:val="20"/>
              </w:rPr>
            </w:pPr>
            <w:r>
              <w:rPr>
                <w:rFonts w:ascii="黑体" w:eastAsia="黑体" w:hAnsi="黑体" w:hint="eastAsia"/>
                <w:color w:val="000000"/>
                <w:sz w:val="20"/>
                <w:szCs w:val="20"/>
              </w:rPr>
              <w:t>若</w:t>
            </w:r>
            <w:r>
              <w:rPr>
                <w:rFonts w:ascii="黑体" w:eastAsia="黑体" w:hAnsi="黑体"/>
                <w:color w:val="000000"/>
                <w:sz w:val="20"/>
                <w:szCs w:val="20"/>
              </w:rPr>
              <w:t>amType=C，则</w:t>
            </w:r>
            <w:r>
              <w:rPr>
                <w:rFonts w:ascii="黑体" w:eastAsia="黑体" w:hAnsi="黑体" w:hint="eastAsia"/>
                <w:color w:val="000000"/>
                <w:sz w:val="20"/>
                <w:szCs w:val="20"/>
              </w:rPr>
              <w:t>2</w:t>
            </w:r>
            <w:r>
              <w:rPr>
                <w:rFonts w:ascii="黑体" w:eastAsia="黑体" w:hAnsi="黑体"/>
                <w:color w:val="000000"/>
                <w:sz w:val="20"/>
                <w:szCs w:val="20"/>
              </w:rPr>
              <w:t>选1：</w:t>
            </w:r>
          </w:p>
          <w:p w14:paraId="24D2959F" w14:textId="77777777" w:rsidR="00A052DC" w:rsidRDefault="009F0A60">
            <w:pPr>
              <w:rPr>
                <w:rFonts w:ascii="黑体" w:eastAsia="黑体" w:hAnsi="黑体"/>
                <w:color w:val="000000"/>
                <w:sz w:val="20"/>
                <w:szCs w:val="20"/>
              </w:rPr>
            </w:pPr>
            <w:r>
              <w:rPr>
                <w:rFonts w:ascii="黑体" w:eastAsia="黑体" w:hAnsi="黑体" w:hint="eastAsia"/>
                <w:color w:val="000000"/>
                <w:sz w:val="20"/>
                <w:szCs w:val="20"/>
              </w:rPr>
              <w:t>0</w:t>
            </w:r>
            <w:r>
              <w:rPr>
                <w:rFonts w:ascii="黑体" w:eastAsia="黑体" w:hAnsi="黑体"/>
                <w:color w:val="000000"/>
                <w:sz w:val="20"/>
                <w:szCs w:val="20"/>
              </w:rPr>
              <w:t>1-统一社会信用代码；</w:t>
            </w:r>
          </w:p>
          <w:p w14:paraId="3DC2BDD1" w14:textId="77777777" w:rsidR="00A052DC" w:rsidRDefault="009F0A60">
            <w:pPr>
              <w:rPr>
                <w:rFonts w:ascii="黑体" w:eastAsia="黑体" w:hAnsi="黑体"/>
                <w:color w:val="000000"/>
                <w:sz w:val="20"/>
                <w:szCs w:val="20"/>
              </w:rPr>
            </w:pPr>
            <w:r>
              <w:rPr>
                <w:rFonts w:ascii="黑体" w:eastAsia="黑体" w:hAnsi="黑体" w:hint="eastAsia"/>
                <w:color w:val="000000"/>
                <w:sz w:val="20"/>
                <w:szCs w:val="20"/>
              </w:rPr>
              <w:t>0</w:t>
            </w:r>
            <w:r>
              <w:rPr>
                <w:rFonts w:ascii="黑体" w:eastAsia="黑体" w:hAnsi="黑体"/>
                <w:color w:val="000000"/>
                <w:sz w:val="20"/>
                <w:szCs w:val="20"/>
              </w:rPr>
              <w:t>2-特殊机构代码</w:t>
            </w:r>
            <w:r>
              <w:rPr>
                <w:rFonts w:ascii="黑体" w:eastAsia="黑体" w:hAnsi="黑体" w:hint="eastAsia"/>
                <w:color w:val="000000"/>
                <w:sz w:val="20"/>
                <w:szCs w:val="20"/>
              </w:rPr>
              <w:t>。</w:t>
            </w:r>
          </w:p>
          <w:p w14:paraId="72F8D895" w14:textId="77777777" w:rsidR="00A052DC" w:rsidRDefault="009F0A60">
            <w:pPr>
              <w:rPr>
                <w:rFonts w:ascii="黑体" w:eastAsia="黑体" w:hAnsi="黑体"/>
                <w:color w:val="000000"/>
                <w:sz w:val="20"/>
                <w:szCs w:val="20"/>
              </w:rPr>
            </w:pPr>
            <w:r>
              <w:rPr>
                <w:rFonts w:ascii="黑体" w:eastAsia="黑体" w:hAnsi="黑体" w:hint="eastAsia"/>
                <w:color w:val="000000"/>
                <w:sz w:val="20"/>
                <w:szCs w:val="20"/>
              </w:rPr>
              <w:t>若</w:t>
            </w:r>
            <w:r>
              <w:rPr>
                <w:rFonts w:ascii="黑体" w:eastAsia="黑体" w:hAnsi="黑体"/>
                <w:color w:val="000000"/>
                <w:sz w:val="20"/>
                <w:szCs w:val="20"/>
              </w:rPr>
              <w:t>amType=</w:t>
            </w:r>
            <w:r>
              <w:rPr>
                <w:rFonts w:ascii="黑体" w:eastAsia="黑体" w:hAnsi="黑体" w:hint="eastAsia"/>
                <w:color w:val="000000"/>
                <w:sz w:val="20"/>
                <w:szCs w:val="20"/>
              </w:rPr>
              <w:t>N</w:t>
            </w:r>
            <w:r>
              <w:rPr>
                <w:rFonts w:ascii="黑体" w:eastAsia="黑体" w:hAnsi="黑体"/>
                <w:color w:val="000000"/>
                <w:sz w:val="20"/>
                <w:szCs w:val="20"/>
              </w:rPr>
              <w:t>，</w:t>
            </w:r>
            <w:r>
              <w:rPr>
                <w:rFonts w:ascii="黑体" w:eastAsia="黑体" w:hAnsi="黑体" w:hint="eastAsia"/>
                <w:color w:val="000000"/>
                <w:sz w:val="20"/>
                <w:szCs w:val="20"/>
              </w:rPr>
              <w:t>值为N</w:t>
            </w:r>
            <w:r w:rsidR="006B0E11">
              <w:rPr>
                <w:rFonts w:ascii="黑体" w:eastAsia="黑体" w:hAnsi="黑体" w:hint="eastAsia"/>
                <w:color w:val="000000"/>
                <w:sz w:val="20"/>
                <w:szCs w:val="20"/>
              </w:rPr>
              <w:t>/</w:t>
            </w:r>
            <w:r>
              <w:rPr>
                <w:rFonts w:ascii="黑体" w:eastAsia="黑体" w:hAnsi="黑体" w:hint="eastAsia"/>
                <w:color w:val="000000"/>
                <w:sz w:val="20"/>
                <w:szCs w:val="20"/>
              </w:rPr>
              <w:t>A。</w:t>
            </w:r>
          </w:p>
        </w:tc>
      </w:tr>
      <w:tr w:rsidR="00A052DC" w14:paraId="58962EA2" w14:textId="77777777">
        <w:tc>
          <w:tcPr>
            <w:tcW w:w="1816" w:type="dxa"/>
            <w:tcBorders>
              <w:top w:val="single" w:sz="4" w:space="0" w:color="auto"/>
              <w:left w:val="single" w:sz="4" w:space="0" w:color="auto"/>
              <w:bottom w:val="single" w:sz="4" w:space="0" w:color="auto"/>
              <w:right w:val="single" w:sz="4" w:space="0" w:color="auto"/>
            </w:tcBorders>
          </w:tcPr>
          <w:p w14:paraId="5A8B6743" w14:textId="77777777" w:rsidR="00A052DC" w:rsidRDefault="009F0A60">
            <w:pPr>
              <w:pStyle w:val="B"/>
              <w:widowControl w:val="0"/>
              <w:rPr>
                <w:color w:val="000000"/>
                <w:szCs w:val="20"/>
              </w:rPr>
            </w:pPr>
            <w:r>
              <w:rPr>
                <w:color w:val="000000"/>
                <w:szCs w:val="20"/>
              </w:rPr>
              <w:t>ENCODE</w:t>
            </w:r>
          </w:p>
        </w:tc>
        <w:tc>
          <w:tcPr>
            <w:tcW w:w="1536" w:type="dxa"/>
            <w:tcBorders>
              <w:top w:val="single" w:sz="4" w:space="0" w:color="auto"/>
              <w:left w:val="single" w:sz="4" w:space="0" w:color="auto"/>
              <w:bottom w:val="single" w:sz="4" w:space="0" w:color="auto"/>
              <w:right w:val="single" w:sz="4" w:space="0" w:color="auto"/>
            </w:tcBorders>
          </w:tcPr>
          <w:p w14:paraId="31055DA4" w14:textId="77777777" w:rsidR="00A052DC" w:rsidRDefault="009F0A60">
            <w:pPr>
              <w:pStyle w:val="B"/>
              <w:widowControl w:val="0"/>
              <w:rPr>
                <w:color w:val="000000"/>
                <w:szCs w:val="20"/>
              </w:rPr>
            </w:pPr>
            <w:r>
              <w:rPr>
                <w:rFonts w:hint="eastAsia"/>
                <w:color w:val="000000"/>
                <w:szCs w:val="20"/>
              </w:rPr>
              <w:t>证件号码</w:t>
            </w:r>
          </w:p>
        </w:tc>
        <w:tc>
          <w:tcPr>
            <w:tcW w:w="1676" w:type="dxa"/>
            <w:tcBorders>
              <w:top w:val="single" w:sz="4" w:space="0" w:color="auto"/>
              <w:left w:val="single" w:sz="4" w:space="0" w:color="auto"/>
              <w:bottom w:val="single" w:sz="4" w:space="0" w:color="auto"/>
              <w:right w:val="single" w:sz="4" w:space="0" w:color="auto"/>
            </w:tcBorders>
          </w:tcPr>
          <w:p w14:paraId="35E6306C" w14:textId="77777777" w:rsidR="00A052DC" w:rsidRDefault="009F0A60">
            <w:pPr>
              <w:pStyle w:val="B"/>
              <w:widowControl w:val="0"/>
              <w:rPr>
                <w:color w:val="000000"/>
                <w:szCs w:val="20"/>
              </w:rPr>
            </w:pPr>
            <w:r>
              <w:rPr>
                <w:rFonts w:hint="eastAsia"/>
                <w:color w:val="000000"/>
                <w:szCs w:val="20"/>
              </w:rPr>
              <w:t>变长字符型，32</w:t>
            </w:r>
          </w:p>
        </w:tc>
        <w:tc>
          <w:tcPr>
            <w:tcW w:w="3491" w:type="dxa"/>
            <w:tcBorders>
              <w:top w:val="single" w:sz="4" w:space="0" w:color="auto"/>
              <w:left w:val="single" w:sz="4" w:space="0" w:color="auto"/>
              <w:bottom w:val="single" w:sz="4" w:space="0" w:color="auto"/>
              <w:right w:val="single" w:sz="4" w:space="0" w:color="auto"/>
            </w:tcBorders>
          </w:tcPr>
          <w:p w14:paraId="5ADC82E3" w14:textId="77777777" w:rsidR="00A052DC" w:rsidRDefault="00DD6AA3">
            <w:pPr>
              <w:pStyle w:val="B"/>
              <w:widowControl w:val="0"/>
              <w:rPr>
                <w:color w:val="000000"/>
                <w:szCs w:val="20"/>
              </w:rPr>
            </w:pPr>
            <w:r>
              <w:rPr>
                <w:rFonts w:hint="eastAsia"/>
                <w:color w:val="000000"/>
                <w:szCs w:val="20"/>
              </w:rPr>
              <w:t>非必填项</w:t>
            </w:r>
            <w:r w:rsidR="009F0A60">
              <w:rPr>
                <w:rFonts w:hint="eastAsia"/>
                <w:color w:val="000000"/>
                <w:szCs w:val="20"/>
              </w:rPr>
              <w:t>，当主体类型不为未知（</w:t>
            </w:r>
            <w:r w:rsidR="009F0A60">
              <w:rPr>
                <w:color w:val="000000"/>
                <w:szCs w:val="20"/>
              </w:rPr>
              <w:t>AMTYPE</w:t>
            </w:r>
            <w:r w:rsidR="009F0A60">
              <w:rPr>
                <w:rFonts w:hint="eastAsia"/>
                <w:color w:val="000000"/>
                <w:szCs w:val="20"/>
              </w:rPr>
              <w:t>！=N）时必填。</w:t>
            </w:r>
          </w:p>
        </w:tc>
      </w:tr>
      <w:tr w:rsidR="00A052DC" w14:paraId="34379F56" w14:textId="77777777">
        <w:tc>
          <w:tcPr>
            <w:tcW w:w="1816" w:type="dxa"/>
            <w:tcBorders>
              <w:top w:val="single" w:sz="4" w:space="0" w:color="auto"/>
              <w:left w:val="single" w:sz="4" w:space="0" w:color="auto"/>
              <w:bottom w:val="single" w:sz="4" w:space="0" w:color="auto"/>
              <w:right w:val="single" w:sz="4" w:space="0" w:color="auto"/>
            </w:tcBorders>
          </w:tcPr>
          <w:p w14:paraId="1487D379" w14:textId="77777777" w:rsidR="00A052DC" w:rsidRDefault="009F0A60">
            <w:pPr>
              <w:pStyle w:val="B"/>
              <w:widowControl w:val="0"/>
              <w:rPr>
                <w:color w:val="000000"/>
                <w:szCs w:val="20"/>
              </w:rPr>
            </w:pPr>
            <w:r>
              <w:rPr>
                <w:color w:val="000000"/>
                <w:szCs w:val="20"/>
              </w:rPr>
              <w:t>ACCOUNTNO</w:t>
            </w:r>
          </w:p>
        </w:tc>
        <w:tc>
          <w:tcPr>
            <w:tcW w:w="1536" w:type="dxa"/>
            <w:tcBorders>
              <w:top w:val="single" w:sz="4" w:space="0" w:color="auto"/>
              <w:left w:val="single" w:sz="4" w:space="0" w:color="auto"/>
              <w:bottom w:val="single" w:sz="4" w:space="0" w:color="auto"/>
              <w:right w:val="single" w:sz="4" w:space="0" w:color="auto"/>
            </w:tcBorders>
          </w:tcPr>
          <w:p w14:paraId="39C87B89" w14:textId="77777777" w:rsidR="00A052DC" w:rsidRDefault="009F0A60">
            <w:pPr>
              <w:pStyle w:val="B"/>
              <w:widowControl w:val="0"/>
              <w:rPr>
                <w:color w:val="000000"/>
                <w:szCs w:val="20"/>
              </w:rPr>
            </w:pPr>
            <w:r>
              <w:rPr>
                <w:rFonts w:hint="eastAsia"/>
                <w:color w:val="000000"/>
                <w:szCs w:val="20"/>
              </w:rPr>
              <w:t>查询账号/卡号</w:t>
            </w:r>
          </w:p>
        </w:tc>
        <w:tc>
          <w:tcPr>
            <w:tcW w:w="1676" w:type="dxa"/>
            <w:tcBorders>
              <w:top w:val="single" w:sz="4" w:space="0" w:color="auto"/>
              <w:left w:val="single" w:sz="4" w:space="0" w:color="auto"/>
              <w:bottom w:val="single" w:sz="4" w:space="0" w:color="auto"/>
              <w:right w:val="single" w:sz="4" w:space="0" w:color="auto"/>
            </w:tcBorders>
          </w:tcPr>
          <w:p w14:paraId="5B38018C" w14:textId="77777777" w:rsidR="00A052DC" w:rsidRDefault="009F0A60">
            <w:pPr>
              <w:pStyle w:val="B"/>
              <w:widowControl w:val="0"/>
              <w:rPr>
                <w:color w:val="000000"/>
                <w:szCs w:val="20"/>
              </w:rPr>
            </w:pPr>
            <w:r>
              <w:rPr>
                <w:rFonts w:hint="eastAsia"/>
                <w:color w:val="000000"/>
                <w:szCs w:val="20"/>
              </w:rPr>
              <w:t>变长字符型，64</w:t>
            </w:r>
          </w:p>
        </w:tc>
        <w:tc>
          <w:tcPr>
            <w:tcW w:w="3491" w:type="dxa"/>
            <w:tcBorders>
              <w:top w:val="single" w:sz="4" w:space="0" w:color="auto"/>
              <w:left w:val="single" w:sz="4" w:space="0" w:color="auto"/>
              <w:bottom w:val="single" w:sz="4" w:space="0" w:color="auto"/>
              <w:right w:val="single" w:sz="4" w:space="0" w:color="auto"/>
            </w:tcBorders>
          </w:tcPr>
          <w:p w14:paraId="0EA03C57" w14:textId="77777777" w:rsidR="00A052DC" w:rsidRDefault="00DD6AA3">
            <w:pPr>
              <w:pStyle w:val="B"/>
              <w:widowControl w:val="0"/>
              <w:rPr>
                <w:color w:val="000000"/>
                <w:szCs w:val="20"/>
              </w:rPr>
            </w:pPr>
            <w:r>
              <w:rPr>
                <w:rFonts w:hint="eastAsia"/>
                <w:color w:val="000000"/>
                <w:szCs w:val="20"/>
              </w:rPr>
              <w:t>非必填项</w:t>
            </w:r>
            <w:r w:rsidR="009F0A60">
              <w:rPr>
                <w:rFonts w:hint="eastAsia"/>
                <w:color w:val="000000"/>
                <w:szCs w:val="20"/>
              </w:rPr>
              <w:t>，当amType=N时，必填。外汇局拟查询的账户账户或卡号。</w:t>
            </w:r>
          </w:p>
        </w:tc>
      </w:tr>
      <w:tr w:rsidR="00A052DC" w14:paraId="7D5DC887" w14:textId="77777777">
        <w:tc>
          <w:tcPr>
            <w:tcW w:w="1816" w:type="dxa"/>
            <w:tcBorders>
              <w:top w:val="single" w:sz="4" w:space="0" w:color="auto"/>
              <w:left w:val="single" w:sz="4" w:space="0" w:color="auto"/>
              <w:bottom w:val="single" w:sz="4" w:space="0" w:color="auto"/>
              <w:right w:val="single" w:sz="4" w:space="0" w:color="auto"/>
            </w:tcBorders>
          </w:tcPr>
          <w:p w14:paraId="54E875E4" w14:textId="77777777" w:rsidR="00A052DC" w:rsidRDefault="009F0A60">
            <w:pPr>
              <w:pStyle w:val="B"/>
              <w:widowControl w:val="0"/>
              <w:rPr>
                <w:color w:val="000000"/>
                <w:szCs w:val="20"/>
              </w:rPr>
            </w:pPr>
            <w:r>
              <w:t>TXCCY</w:t>
            </w:r>
          </w:p>
        </w:tc>
        <w:tc>
          <w:tcPr>
            <w:tcW w:w="1536" w:type="dxa"/>
            <w:tcBorders>
              <w:top w:val="single" w:sz="4" w:space="0" w:color="auto"/>
              <w:left w:val="single" w:sz="4" w:space="0" w:color="auto"/>
              <w:bottom w:val="single" w:sz="4" w:space="0" w:color="auto"/>
              <w:right w:val="single" w:sz="4" w:space="0" w:color="auto"/>
            </w:tcBorders>
          </w:tcPr>
          <w:p w14:paraId="74FF88E3" w14:textId="77777777" w:rsidR="00A052DC" w:rsidRDefault="009F0A60">
            <w:pPr>
              <w:pStyle w:val="B"/>
              <w:widowControl w:val="0"/>
              <w:rPr>
                <w:color w:val="000000"/>
                <w:szCs w:val="20"/>
              </w:rPr>
            </w:pPr>
            <w:r>
              <w:rPr>
                <w:rFonts w:hint="eastAsia"/>
              </w:rPr>
              <w:t>币种</w:t>
            </w:r>
          </w:p>
        </w:tc>
        <w:tc>
          <w:tcPr>
            <w:tcW w:w="1676" w:type="dxa"/>
            <w:tcBorders>
              <w:top w:val="single" w:sz="4" w:space="0" w:color="auto"/>
              <w:left w:val="single" w:sz="4" w:space="0" w:color="auto"/>
              <w:bottom w:val="single" w:sz="4" w:space="0" w:color="auto"/>
              <w:right w:val="single" w:sz="4" w:space="0" w:color="auto"/>
            </w:tcBorders>
          </w:tcPr>
          <w:p w14:paraId="0A335D3C" w14:textId="77777777" w:rsidR="00A052DC" w:rsidRDefault="009F0A60">
            <w:pPr>
              <w:pStyle w:val="B"/>
              <w:widowControl w:val="0"/>
              <w:rPr>
                <w:color w:val="000000"/>
                <w:szCs w:val="20"/>
              </w:rPr>
            </w:pPr>
            <w:r>
              <w:rPr>
                <w:rFonts w:hint="eastAsia"/>
                <w:color w:val="000000"/>
                <w:szCs w:val="20"/>
              </w:rPr>
              <w:t>字符型，3</w:t>
            </w:r>
          </w:p>
        </w:tc>
        <w:tc>
          <w:tcPr>
            <w:tcW w:w="3491" w:type="dxa"/>
            <w:tcBorders>
              <w:top w:val="single" w:sz="4" w:space="0" w:color="auto"/>
              <w:left w:val="single" w:sz="4" w:space="0" w:color="auto"/>
              <w:bottom w:val="single" w:sz="4" w:space="0" w:color="auto"/>
              <w:right w:val="single" w:sz="4" w:space="0" w:color="auto"/>
            </w:tcBorders>
          </w:tcPr>
          <w:p w14:paraId="6F8C8882" w14:textId="77777777" w:rsidR="00A052DC" w:rsidRDefault="009F0A60">
            <w:pPr>
              <w:rPr>
                <w:rFonts w:ascii="黑体" w:eastAsia="黑体" w:hAnsi="黑体"/>
                <w:color w:val="000000"/>
                <w:sz w:val="20"/>
                <w:szCs w:val="20"/>
              </w:rPr>
            </w:pPr>
            <w:r>
              <w:rPr>
                <w:rFonts w:ascii="黑体" w:eastAsia="黑体" w:hAnsi="黑体" w:hint="eastAsia"/>
                <w:color w:val="000000"/>
                <w:sz w:val="20"/>
                <w:szCs w:val="20"/>
              </w:rPr>
              <w:t>必填</w:t>
            </w:r>
            <w:r w:rsidR="00225570">
              <w:rPr>
                <w:rFonts w:ascii="黑体" w:eastAsia="黑体" w:hAnsi="黑体" w:hint="eastAsia"/>
                <w:kern w:val="0"/>
                <w:sz w:val="20"/>
                <w:szCs w:val="20"/>
              </w:rPr>
              <w:t>项</w:t>
            </w:r>
            <w:r>
              <w:rPr>
                <w:rFonts w:ascii="黑体" w:eastAsia="黑体" w:hAnsi="黑体" w:hint="eastAsia"/>
                <w:color w:val="000000"/>
                <w:sz w:val="20"/>
                <w:szCs w:val="20"/>
              </w:rPr>
              <w:t>，取值默认为ALL，代表全币种。</w:t>
            </w:r>
          </w:p>
        </w:tc>
      </w:tr>
      <w:tr w:rsidR="00A052DC" w14:paraId="32081B7D" w14:textId="77777777">
        <w:tc>
          <w:tcPr>
            <w:tcW w:w="1816" w:type="dxa"/>
            <w:tcBorders>
              <w:top w:val="single" w:sz="4" w:space="0" w:color="auto"/>
              <w:left w:val="single" w:sz="4" w:space="0" w:color="auto"/>
              <w:bottom w:val="single" w:sz="4" w:space="0" w:color="auto"/>
              <w:right w:val="single" w:sz="4" w:space="0" w:color="auto"/>
            </w:tcBorders>
          </w:tcPr>
          <w:p w14:paraId="11E2D310" w14:textId="77777777" w:rsidR="00A052DC" w:rsidRDefault="009F0A60">
            <w:pPr>
              <w:pStyle w:val="B"/>
              <w:widowControl w:val="0"/>
              <w:rPr>
                <w:color w:val="000000"/>
                <w:szCs w:val="20"/>
              </w:rPr>
            </w:pPr>
            <w:r>
              <w:t>PAYMENTSTAT</w:t>
            </w:r>
          </w:p>
        </w:tc>
        <w:tc>
          <w:tcPr>
            <w:tcW w:w="1536" w:type="dxa"/>
            <w:tcBorders>
              <w:top w:val="single" w:sz="4" w:space="0" w:color="auto"/>
              <w:left w:val="single" w:sz="4" w:space="0" w:color="auto"/>
              <w:bottom w:val="single" w:sz="4" w:space="0" w:color="auto"/>
              <w:right w:val="single" w:sz="4" w:space="0" w:color="auto"/>
            </w:tcBorders>
          </w:tcPr>
          <w:p w14:paraId="45C7D591" w14:textId="77777777" w:rsidR="00A052DC" w:rsidRDefault="009F0A60">
            <w:pPr>
              <w:pStyle w:val="B"/>
              <w:widowControl w:val="0"/>
              <w:rPr>
                <w:color w:val="000000"/>
                <w:szCs w:val="20"/>
              </w:rPr>
            </w:pPr>
            <w:r>
              <w:rPr>
                <w:rFonts w:hint="eastAsia"/>
              </w:rPr>
              <w:t>借贷（收付）标记</w:t>
            </w:r>
          </w:p>
        </w:tc>
        <w:tc>
          <w:tcPr>
            <w:tcW w:w="1676" w:type="dxa"/>
            <w:tcBorders>
              <w:top w:val="single" w:sz="4" w:space="0" w:color="auto"/>
              <w:left w:val="single" w:sz="4" w:space="0" w:color="auto"/>
              <w:bottom w:val="single" w:sz="4" w:space="0" w:color="auto"/>
              <w:right w:val="single" w:sz="4" w:space="0" w:color="auto"/>
            </w:tcBorders>
          </w:tcPr>
          <w:p w14:paraId="1E5903D4" w14:textId="77777777" w:rsidR="00A052DC" w:rsidRDefault="009F0A60">
            <w:pPr>
              <w:pStyle w:val="B"/>
              <w:widowControl w:val="0"/>
              <w:rPr>
                <w:color w:val="000000"/>
                <w:szCs w:val="20"/>
              </w:rPr>
            </w:pPr>
            <w:r>
              <w:rPr>
                <w:rFonts w:hint="eastAsia"/>
                <w:color w:val="000000"/>
                <w:szCs w:val="20"/>
              </w:rPr>
              <w:t>字符型，1</w:t>
            </w:r>
          </w:p>
        </w:tc>
        <w:tc>
          <w:tcPr>
            <w:tcW w:w="3491" w:type="dxa"/>
            <w:tcBorders>
              <w:top w:val="single" w:sz="4" w:space="0" w:color="auto"/>
              <w:left w:val="single" w:sz="4" w:space="0" w:color="auto"/>
              <w:bottom w:val="single" w:sz="4" w:space="0" w:color="auto"/>
              <w:right w:val="single" w:sz="4" w:space="0" w:color="auto"/>
            </w:tcBorders>
          </w:tcPr>
          <w:p w14:paraId="57F4A1EC" w14:textId="77777777" w:rsidR="00A052DC" w:rsidRDefault="009F0A60">
            <w:pPr>
              <w:rPr>
                <w:rFonts w:ascii="黑体" w:eastAsia="黑体" w:hAnsi="黑体"/>
                <w:color w:val="000000"/>
                <w:sz w:val="20"/>
                <w:szCs w:val="20"/>
              </w:rPr>
            </w:pPr>
            <w:r>
              <w:rPr>
                <w:rFonts w:ascii="黑体" w:eastAsia="黑体" w:hAnsi="黑体" w:hint="eastAsia"/>
                <w:color w:val="000000"/>
                <w:sz w:val="20"/>
                <w:szCs w:val="20"/>
              </w:rPr>
              <w:t>必填</w:t>
            </w:r>
            <w:r w:rsidR="00225570">
              <w:rPr>
                <w:rFonts w:ascii="黑体" w:eastAsia="黑体" w:hAnsi="黑体" w:hint="eastAsia"/>
                <w:kern w:val="0"/>
                <w:sz w:val="20"/>
                <w:szCs w:val="20"/>
              </w:rPr>
              <w:t>项</w:t>
            </w:r>
            <w:r>
              <w:rPr>
                <w:rFonts w:ascii="黑体" w:eastAsia="黑体" w:hAnsi="黑体" w:hint="eastAsia"/>
                <w:color w:val="000000"/>
                <w:sz w:val="20"/>
                <w:szCs w:val="20"/>
              </w:rPr>
              <w:t>，3</w:t>
            </w:r>
            <w:r>
              <w:rPr>
                <w:rFonts w:ascii="黑体" w:eastAsia="黑体" w:hAnsi="黑体"/>
                <w:color w:val="000000"/>
                <w:sz w:val="20"/>
                <w:szCs w:val="20"/>
              </w:rPr>
              <w:t>选1：</w:t>
            </w:r>
          </w:p>
          <w:p w14:paraId="5EF4C6A1" w14:textId="77777777" w:rsidR="00A052DC" w:rsidRDefault="009F0A60">
            <w:pPr>
              <w:rPr>
                <w:rFonts w:ascii="黑体" w:eastAsia="黑体" w:hAnsi="黑体"/>
                <w:color w:val="000000"/>
                <w:sz w:val="20"/>
                <w:szCs w:val="20"/>
              </w:rPr>
            </w:pPr>
            <w:r>
              <w:rPr>
                <w:rFonts w:ascii="黑体" w:eastAsia="黑体" w:hAnsi="黑体" w:hint="eastAsia"/>
                <w:color w:val="000000"/>
                <w:sz w:val="20"/>
                <w:szCs w:val="20"/>
              </w:rPr>
              <w:t>P</w:t>
            </w:r>
            <w:r>
              <w:rPr>
                <w:rFonts w:ascii="黑体" w:eastAsia="黑体" w:hAnsi="黑体"/>
                <w:color w:val="000000"/>
                <w:sz w:val="20"/>
                <w:szCs w:val="20"/>
              </w:rPr>
              <w:t>-</w:t>
            </w:r>
            <w:r>
              <w:rPr>
                <w:rFonts w:ascii="黑体" w:eastAsia="黑体" w:hAnsi="黑体" w:hint="eastAsia"/>
                <w:color w:val="000000"/>
                <w:sz w:val="20"/>
                <w:szCs w:val="20"/>
              </w:rPr>
              <w:t>支出</w:t>
            </w:r>
            <w:r>
              <w:rPr>
                <w:rFonts w:ascii="黑体" w:eastAsia="黑体" w:hAnsi="黑体"/>
                <w:color w:val="000000"/>
                <w:sz w:val="20"/>
                <w:szCs w:val="20"/>
              </w:rPr>
              <w:t>；</w:t>
            </w:r>
          </w:p>
          <w:p w14:paraId="6F74FDE7" w14:textId="77777777" w:rsidR="00A052DC" w:rsidRDefault="009F0A60">
            <w:pPr>
              <w:rPr>
                <w:rFonts w:ascii="黑体" w:eastAsia="黑体" w:hAnsi="黑体"/>
                <w:color w:val="000000"/>
                <w:sz w:val="20"/>
                <w:szCs w:val="20"/>
              </w:rPr>
            </w:pPr>
            <w:r>
              <w:rPr>
                <w:rFonts w:ascii="黑体" w:eastAsia="黑体" w:hAnsi="黑体" w:hint="eastAsia"/>
                <w:color w:val="000000"/>
                <w:sz w:val="20"/>
                <w:szCs w:val="20"/>
              </w:rPr>
              <w:t>R</w:t>
            </w:r>
            <w:r>
              <w:rPr>
                <w:rFonts w:ascii="黑体" w:eastAsia="黑体" w:hAnsi="黑体"/>
                <w:color w:val="000000"/>
                <w:sz w:val="20"/>
                <w:szCs w:val="20"/>
              </w:rPr>
              <w:t>-</w:t>
            </w:r>
            <w:r>
              <w:rPr>
                <w:rFonts w:ascii="黑体" w:eastAsia="黑体" w:hAnsi="黑体" w:hint="eastAsia"/>
                <w:color w:val="000000"/>
                <w:sz w:val="20"/>
                <w:szCs w:val="20"/>
              </w:rPr>
              <w:t>收入；</w:t>
            </w:r>
          </w:p>
          <w:p w14:paraId="763D8AF0" w14:textId="77777777" w:rsidR="00A052DC" w:rsidRDefault="009F0A60">
            <w:pPr>
              <w:rPr>
                <w:rFonts w:ascii="黑体" w:eastAsia="黑体" w:hAnsi="黑体"/>
                <w:color w:val="000000"/>
                <w:sz w:val="20"/>
                <w:szCs w:val="20"/>
              </w:rPr>
            </w:pPr>
            <w:r>
              <w:rPr>
                <w:rFonts w:ascii="黑体" w:eastAsia="黑体" w:hAnsi="黑体" w:hint="eastAsia"/>
                <w:color w:val="000000"/>
                <w:sz w:val="20"/>
                <w:szCs w:val="20"/>
              </w:rPr>
              <w:t>A-支出和收入。</w:t>
            </w:r>
          </w:p>
        </w:tc>
      </w:tr>
      <w:tr w:rsidR="00A052DC" w14:paraId="15D5E31E" w14:textId="77777777">
        <w:trPr>
          <w:trHeight w:val="323"/>
        </w:trPr>
        <w:tc>
          <w:tcPr>
            <w:tcW w:w="1816" w:type="dxa"/>
            <w:tcBorders>
              <w:top w:val="single" w:sz="4" w:space="0" w:color="auto"/>
              <w:left w:val="single" w:sz="4" w:space="0" w:color="auto"/>
              <w:bottom w:val="single" w:sz="4" w:space="0" w:color="auto"/>
              <w:right w:val="single" w:sz="4" w:space="0" w:color="auto"/>
            </w:tcBorders>
          </w:tcPr>
          <w:p w14:paraId="7C135F73" w14:textId="77777777" w:rsidR="00A052DC" w:rsidRDefault="009F0A60">
            <w:pPr>
              <w:pStyle w:val="B"/>
              <w:widowControl w:val="0"/>
              <w:rPr>
                <w:color w:val="000000"/>
                <w:szCs w:val="20"/>
              </w:rPr>
            </w:pPr>
            <w:r>
              <w:rPr>
                <w:color w:val="000000"/>
                <w:szCs w:val="20"/>
              </w:rPr>
              <w:t>APPLYSTARTDATE</w:t>
            </w:r>
          </w:p>
        </w:tc>
        <w:tc>
          <w:tcPr>
            <w:tcW w:w="1536" w:type="dxa"/>
            <w:tcBorders>
              <w:top w:val="single" w:sz="4" w:space="0" w:color="auto"/>
              <w:left w:val="single" w:sz="4" w:space="0" w:color="auto"/>
              <w:bottom w:val="single" w:sz="4" w:space="0" w:color="auto"/>
              <w:right w:val="single" w:sz="4" w:space="0" w:color="auto"/>
            </w:tcBorders>
          </w:tcPr>
          <w:p w14:paraId="0E41C534" w14:textId="77777777" w:rsidR="00A052DC" w:rsidRDefault="009F0A60">
            <w:pPr>
              <w:pStyle w:val="B"/>
              <w:spacing w:after="156"/>
              <w:rPr>
                <w:b/>
                <w:color w:val="000000"/>
                <w:kern w:val="2"/>
                <w:sz w:val="24"/>
                <w:szCs w:val="20"/>
              </w:rPr>
            </w:pPr>
            <w:r>
              <w:rPr>
                <w:rFonts w:hint="eastAsia"/>
                <w:color w:val="000000"/>
                <w:szCs w:val="20"/>
              </w:rPr>
              <w:t>业务开始日期</w:t>
            </w:r>
          </w:p>
        </w:tc>
        <w:tc>
          <w:tcPr>
            <w:tcW w:w="1676" w:type="dxa"/>
            <w:tcBorders>
              <w:top w:val="single" w:sz="4" w:space="0" w:color="auto"/>
              <w:left w:val="single" w:sz="4" w:space="0" w:color="auto"/>
              <w:bottom w:val="single" w:sz="4" w:space="0" w:color="auto"/>
              <w:right w:val="single" w:sz="4" w:space="0" w:color="auto"/>
            </w:tcBorders>
          </w:tcPr>
          <w:p w14:paraId="0C370A46" w14:textId="77777777" w:rsidR="00A052DC" w:rsidRDefault="009F0A60">
            <w:pPr>
              <w:pStyle w:val="B"/>
              <w:widowControl w:val="0"/>
              <w:rPr>
                <w:color w:val="000000"/>
                <w:szCs w:val="20"/>
              </w:rPr>
            </w:pPr>
            <w:r>
              <w:rPr>
                <w:rFonts w:hint="eastAsia"/>
                <w:color w:val="000000"/>
                <w:szCs w:val="20"/>
              </w:rPr>
              <w:t>日期型</w:t>
            </w:r>
          </w:p>
        </w:tc>
        <w:tc>
          <w:tcPr>
            <w:tcW w:w="3491" w:type="dxa"/>
            <w:tcBorders>
              <w:top w:val="single" w:sz="4" w:space="0" w:color="auto"/>
              <w:left w:val="single" w:sz="4" w:space="0" w:color="auto"/>
              <w:bottom w:val="single" w:sz="4" w:space="0" w:color="auto"/>
              <w:right w:val="single" w:sz="4" w:space="0" w:color="auto"/>
            </w:tcBorders>
          </w:tcPr>
          <w:p w14:paraId="3691E39E" w14:textId="77777777" w:rsidR="00A052DC" w:rsidRDefault="009F0A60">
            <w:pPr>
              <w:pStyle w:val="B"/>
              <w:widowControl w:val="0"/>
              <w:rPr>
                <w:color w:val="000000"/>
                <w:szCs w:val="20"/>
              </w:rPr>
            </w:pPr>
            <w:r>
              <w:rPr>
                <w:rFonts w:hint="eastAsia"/>
                <w:color w:val="000000"/>
                <w:szCs w:val="20"/>
              </w:rPr>
              <w:t>必填</w:t>
            </w:r>
            <w:r w:rsidR="00225570">
              <w:rPr>
                <w:rFonts w:hint="eastAsia"/>
                <w:szCs w:val="20"/>
              </w:rPr>
              <w:t>项</w:t>
            </w:r>
            <w:r>
              <w:rPr>
                <w:rFonts w:hint="eastAsia"/>
                <w:color w:val="000000"/>
                <w:szCs w:val="20"/>
              </w:rPr>
              <w:t>，格式为YYYYMMDD。金融机构须报送业务开始日期（含）至业务结束日期（含）期间对应账户的交易明细信息。</w:t>
            </w:r>
          </w:p>
        </w:tc>
      </w:tr>
      <w:tr w:rsidR="00A052DC" w14:paraId="25088359" w14:textId="77777777">
        <w:tc>
          <w:tcPr>
            <w:tcW w:w="1816" w:type="dxa"/>
            <w:tcBorders>
              <w:top w:val="single" w:sz="4" w:space="0" w:color="auto"/>
              <w:left w:val="single" w:sz="4" w:space="0" w:color="auto"/>
              <w:bottom w:val="single" w:sz="4" w:space="0" w:color="auto"/>
              <w:right w:val="single" w:sz="4" w:space="0" w:color="auto"/>
            </w:tcBorders>
          </w:tcPr>
          <w:p w14:paraId="4976AAA6" w14:textId="77777777" w:rsidR="00A052DC" w:rsidRDefault="009F0A60">
            <w:pPr>
              <w:pStyle w:val="B"/>
              <w:widowControl w:val="0"/>
              <w:rPr>
                <w:color w:val="000000"/>
                <w:szCs w:val="20"/>
              </w:rPr>
            </w:pPr>
            <w:r>
              <w:rPr>
                <w:color w:val="000000"/>
                <w:szCs w:val="20"/>
              </w:rPr>
              <w:t>APPLYENDDATE</w:t>
            </w:r>
          </w:p>
        </w:tc>
        <w:tc>
          <w:tcPr>
            <w:tcW w:w="1536" w:type="dxa"/>
            <w:tcBorders>
              <w:top w:val="single" w:sz="4" w:space="0" w:color="auto"/>
              <w:left w:val="single" w:sz="4" w:space="0" w:color="auto"/>
              <w:bottom w:val="single" w:sz="4" w:space="0" w:color="auto"/>
              <w:right w:val="single" w:sz="4" w:space="0" w:color="auto"/>
            </w:tcBorders>
          </w:tcPr>
          <w:p w14:paraId="687D7759" w14:textId="77777777" w:rsidR="00A052DC" w:rsidRDefault="009F0A60">
            <w:pPr>
              <w:pStyle w:val="B"/>
              <w:widowControl w:val="0"/>
              <w:rPr>
                <w:color w:val="000000"/>
                <w:szCs w:val="20"/>
              </w:rPr>
            </w:pPr>
            <w:r>
              <w:rPr>
                <w:rFonts w:hint="eastAsia"/>
                <w:color w:val="000000"/>
                <w:szCs w:val="20"/>
              </w:rPr>
              <w:t>业务结束日期</w:t>
            </w:r>
          </w:p>
        </w:tc>
        <w:tc>
          <w:tcPr>
            <w:tcW w:w="1676" w:type="dxa"/>
            <w:tcBorders>
              <w:top w:val="single" w:sz="4" w:space="0" w:color="auto"/>
              <w:left w:val="single" w:sz="4" w:space="0" w:color="auto"/>
              <w:bottom w:val="single" w:sz="4" w:space="0" w:color="auto"/>
              <w:right w:val="single" w:sz="4" w:space="0" w:color="auto"/>
            </w:tcBorders>
          </w:tcPr>
          <w:p w14:paraId="30587164" w14:textId="77777777" w:rsidR="00A052DC" w:rsidRDefault="009F0A60">
            <w:pPr>
              <w:pStyle w:val="B"/>
              <w:widowControl w:val="0"/>
              <w:rPr>
                <w:color w:val="000000"/>
                <w:szCs w:val="20"/>
              </w:rPr>
            </w:pPr>
            <w:r>
              <w:rPr>
                <w:rFonts w:hint="eastAsia"/>
                <w:color w:val="000000"/>
                <w:szCs w:val="20"/>
              </w:rPr>
              <w:t>日期型</w:t>
            </w:r>
          </w:p>
        </w:tc>
        <w:tc>
          <w:tcPr>
            <w:tcW w:w="3491" w:type="dxa"/>
            <w:tcBorders>
              <w:top w:val="single" w:sz="4" w:space="0" w:color="auto"/>
              <w:left w:val="single" w:sz="4" w:space="0" w:color="auto"/>
              <w:bottom w:val="single" w:sz="4" w:space="0" w:color="auto"/>
              <w:right w:val="single" w:sz="4" w:space="0" w:color="auto"/>
            </w:tcBorders>
          </w:tcPr>
          <w:p w14:paraId="4C02DDEC" w14:textId="77777777" w:rsidR="00A052DC" w:rsidRDefault="009F0A60">
            <w:pPr>
              <w:pStyle w:val="B"/>
              <w:widowControl w:val="0"/>
              <w:rPr>
                <w:color w:val="000000"/>
                <w:szCs w:val="20"/>
              </w:rPr>
            </w:pPr>
            <w:r>
              <w:rPr>
                <w:rFonts w:hint="eastAsia"/>
                <w:color w:val="000000"/>
                <w:szCs w:val="20"/>
              </w:rPr>
              <w:t>必填</w:t>
            </w:r>
            <w:r w:rsidR="00225570">
              <w:rPr>
                <w:rFonts w:hint="eastAsia"/>
                <w:szCs w:val="20"/>
              </w:rPr>
              <w:t>项</w:t>
            </w:r>
            <w:r>
              <w:rPr>
                <w:rFonts w:hint="eastAsia"/>
                <w:color w:val="000000"/>
                <w:szCs w:val="20"/>
              </w:rPr>
              <w:t>，格式为YYYYMMDD。金融机构须报送业务开始日期（含）至业务结束日期（含）期间对应账户的交易明细信息。</w:t>
            </w:r>
          </w:p>
        </w:tc>
      </w:tr>
      <w:tr w:rsidR="00A052DC" w14:paraId="125B7C82" w14:textId="77777777">
        <w:tc>
          <w:tcPr>
            <w:tcW w:w="1816" w:type="dxa"/>
            <w:tcBorders>
              <w:top w:val="single" w:sz="4" w:space="0" w:color="auto"/>
              <w:left w:val="single" w:sz="4" w:space="0" w:color="auto"/>
              <w:bottom w:val="single" w:sz="4" w:space="0" w:color="auto"/>
              <w:right w:val="single" w:sz="4" w:space="0" w:color="auto"/>
            </w:tcBorders>
          </w:tcPr>
          <w:p w14:paraId="52A3B44A" w14:textId="77777777" w:rsidR="00A052DC" w:rsidRDefault="009F0A60">
            <w:pPr>
              <w:pStyle w:val="B"/>
              <w:widowControl w:val="0"/>
              <w:rPr>
                <w:color w:val="000000"/>
                <w:szCs w:val="20"/>
              </w:rPr>
            </w:pPr>
            <w:r>
              <w:rPr>
                <w:color w:val="000000"/>
                <w:szCs w:val="20"/>
              </w:rPr>
              <w:t>REPLYDEADLINE</w:t>
            </w:r>
          </w:p>
        </w:tc>
        <w:tc>
          <w:tcPr>
            <w:tcW w:w="1536" w:type="dxa"/>
            <w:tcBorders>
              <w:top w:val="single" w:sz="4" w:space="0" w:color="auto"/>
              <w:left w:val="single" w:sz="4" w:space="0" w:color="auto"/>
              <w:bottom w:val="single" w:sz="4" w:space="0" w:color="auto"/>
              <w:right w:val="single" w:sz="4" w:space="0" w:color="auto"/>
            </w:tcBorders>
          </w:tcPr>
          <w:p w14:paraId="6D48553E" w14:textId="77777777" w:rsidR="00A052DC" w:rsidRDefault="009F0A60">
            <w:pPr>
              <w:pStyle w:val="B"/>
              <w:widowControl w:val="0"/>
              <w:rPr>
                <w:color w:val="000000"/>
                <w:szCs w:val="20"/>
              </w:rPr>
            </w:pPr>
            <w:r>
              <w:rPr>
                <w:rFonts w:hint="eastAsia"/>
                <w:color w:val="000000"/>
                <w:szCs w:val="20"/>
              </w:rPr>
              <w:t>数据反馈时间</w:t>
            </w:r>
          </w:p>
        </w:tc>
        <w:tc>
          <w:tcPr>
            <w:tcW w:w="1676" w:type="dxa"/>
            <w:tcBorders>
              <w:top w:val="single" w:sz="4" w:space="0" w:color="auto"/>
              <w:left w:val="single" w:sz="4" w:space="0" w:color="auto"/>
              <w:bottom w:val="single" w:sz="4" w:space="0" w:color="auto"/>
              <w:right w:val="single" w:sz="4" w:space="0" w:color="auto"/>
            </w:tcBorders>
          </w:tcPr>
          <w:p w14:paraId="0AFB2DFA" w14:textId="77777777" w:rsidR="00A052DC" w:rsidRDefault="009F0A60">
            <w:pPr>
              <w:pStyle w:val="B"/>
              <w:widowControl w:val="0"/>
              <w:rPr>
                <w:color w:val="000000"/>
                <w:szCs w:val="20"/>
              </w:rPr>
            </w:pPr>
            <w:r>
              <w:rPr>
                <w:rFonts w:hint="eastAsia"/>
                <w:color w:val="000000"/>
                <w:szCs w:val="20"/>
              </w:rPr>
              <w:t>日期型</w:t>
            </w:r>
          </w:p>
        </w:tc>
        <w:tc>
          <w:tcPr>
            <w:tcW w:w="3491" w:type="dxa"/>
            <w:tcBorders>
              <w:top w:val="single" w:sz="4" w:space="0" w:color="auto"/>
              <w:left w:val="single" w:sz="4" w:space="0" w:color="auto"/>
              <w:bottom w:val="single" w:sz="4" w:space="0" w:color="auto"/>
              <w:right w:val="single" w:sz="4" w:space="0" w:color="auto"/>
            </w:tcBorders>
          </w:tcPr>
          <w:p w14:paraId="611F8C70" w14:textId="77777777" w:rsidR="00A052DC" w:rsidRDefault="009F0A60">
            <w:pPr>
              <w:pStyle w:val="B"/>
              <w:widowControl w:val="0"/>
              <w:rPr>
                <w:color w:val="000000"/>
                <w:szCs w:val="20"/>
              </w:rPr>
            </w:pPr>
            <w:r>
              <w:rPr>
                <w:rFonts w:hint="eastAsia"/>
                <w:color w:val="000000"/>
                <w:szCs w:val="20"/>
              </w:rPr>
              <w:t>必填</w:t>
            </w:r>
            <w:r w:rsidR="00225570">
              <w:rPr>
                <w:rFonts w:hint="eastAsia"/>
                <w:szCs w:val="20"/>
              </w:rPr>
              <w:t>项</w:t>
            </w:r>
            <w:r>
              <w:rPr>
                <w:rFonts w:hint="eastAsia"/>
                <w:color w:val="000000"/>
                <w:szCs w:val="20"/>
              </w:rPr>
              <w:t>，格式为YYYYMMDD</w:t>
            </w:r>
            <w:r w:rsidR="00BF0378">
              <w:rPr>
                <w:rFonts w:hint="eastAsia"/>
                <w:color w:val="000000"/>
                <w:szCs w:val="20"/>
              </w:rPr>
              <w:t>。</w:t>
            </w:r>
            <w:r>
              <w:rPr>
                <w:rFonts w:hint="eastAsia"/>
                <w:color w:val="000000"/>
                <w:szCs w:val="20"/>
              </w:rPr>
              <w:t>银行需在该日期前（含当日）反馈涉嫌外汇违规账户基础信息和交易明细信息。</w:t>
            </w:r>
          </w:p>
        </w:tc>
      </w:tr>
      <w:tr w:rsidR="00A052DC" w14:paraId="30F42D83" w14:textId="77777777">
        <w:tc>
          <w:tcPr>
            <w:tcW w:w="1816" w:type="dxa"/>
            <w:tcBorders>
              <w:top w:val="single" w:sz="4" w:space="0" w:color="auto"/>
              <w:left w:val="single" w:sz="4" w:space="0" w:color="auto"/>
              <w:bottom w:val="single" w:sz="4" w:space="0" w:color="auto"/>
              <w:right w:val="single" w:sz="4" w:space="0" w:color="auto"/>
            </w:tcBorders>
          </w:tcPr>
          <w:p w14:paraId="5AC43635" w14:textId="77777777" w:rsidR="00A052DC" w:rsidRDefault="009F0A60">
            <w:pPr>
              <w:pStyle w:val="B"/>
              <w:widowControl w:val="0"/>
              <w:rPr>
                <w:color w:val="000000"/>
                <w:szCs w:val="20"/>
              </w:rPr>
            </w:pPr>
            <w:r>
              <w:rPr>
                <w:color w:val="000000"/>
                <w:szCs w:val="20"/>
              </w:rPr>
              <w:t>REMARKS</w:t>
            </w:r>
          </w:p>
        </w:tc>
        <w:tc>
          <w:tcPr>
            <w:tcW w:w="1536" w:type="dxa"/>
            <w:tcBorders>
              <w:top w:val="single" w:sz="4" w:space="0" w:color="auto"/>
              <w:left w:val="single" w:sz="4" w:space="0" w:color="auto"/>
              <w:bottom w:val="single" w:sz="4" w:space="0" w:color="auto"/>
              <w:right w:val="single" w:sz="4" w:space="0" w:color="auto"/>
            </w:tcBorders>
          </w:tcPr>
          <w:p w14:paraId="346064D3" w14:textId="77777777" w:rsidR="00A052DC" w:rsidRDefault="009F0A60">
            <w:pPr>
              <w:pStyle w:val="B"/>
              <w:widowControl w:val="0"/>
              <w:rPr>
                <w:color w:val="000000"/>
                <w:szCs w:val="20"/>
              </w:rPr>
            </w:pPr>
            <w:r>
              <w:rPr>
                <w:rFonts w:hint="eastAsia"/>
                <w:color w:val="000000"/>
                <w:szCs w:val="20"/>
              </w:rPr>
              <w:t>备注</w:t>
            </w:r>
          </w:p>
        </w:tc>
        <w:tc>
          <w:tcPr>
            <w:tcW w:w="1676" w:type="dxa"/>
            <w:tcBorders>
              <w:top w:val="single" w:sz="4" w:space="0" w:color="auto"/>
              <w:left w:val="single" w:sz="4" w:space="0" w:color="auto"/>
              <w:bottom w:val="single" w:sz="4" w:space="0" w:color="auto"/>
              <w:right w:val="single" w:sz="4" w:space="0" w:color="auto"/>
            </w:tcBorders>
          </w:tcPr>
          <w:p w14:paraId="7108B6C2" w14:textId="77777777" w:rsidR="00A052DC" w:rsidRDefault="009F0A60">
            <w:pPr>
              <w:pStyle w:val="B"/>
              <w:widowControl w:val="0"/>
              <w:rPr>
                <w:color w:val="000000"/>
                <w:szCs w:val="20"/>
              </w:rPr>
            </w:pPr>
            <w:r>
              <w:rPr>
                <w:rFonts w:hint="eastAsia"/>
                <w:color w:val="000000"/>
                <w:szCs w:val="20"/>
              </w:rPr>
              <w:t>变长字符型，128</w:t>
            </w:r>
          </w:p>
        </w:tc>
        <w:tc>
          <w:tcPr>
            <w:tcW w:w="3491" w:type="dxa"/>
            <w:tcBorders>
              <w:top w:val="single" w:sz="4" w:space="0" w:color="auto"/>
              <w:left w:val="single" w:sz="4" w:space="0" w:color="auto"/>
              <w:bottom w:val="single" w:sz="4" w:space="0" w:color="auto"/>
              <w:right w:val="single" w:sz="4" w:space="0" w:color="auto"/>
            </w:tcBorders>
          </w:tcPr>
          <w:p w14:paraId="765834F2" w14:textId="77777777" w:rsidR="00A052DC" w:rsidRDefault="00DD6AA3">
            <w:pPr>
              <w:rPr>
                <w:rFonts w:ascii="黑体" w:eastAsia="黑体" w:hAnsi="黑体"/>
                <w:color w:val="000000"/>
                <w:sz w:val="20"/>
                <w:szCs w:val="20"/>
              </w:rPr>
            </w:pPr>
            <w:r>
              <w:rPr>
                <w:rFonts w:ascii="黑体" w:eastAsia="黑体" w:hAnsi="黑体" w:hint="eastAsia"/>
                <w:color w:val="000000"/>
                <w:sz w:val="20"/>
                <w:szCs w:val="20"/>
              </w:rPr>
              <w:t>非必填项</w:t>
            </w:r>
            <w:r w:rsidR="009F0A60">
              <w:rPr>
                <w:rFonts w:ascii="黑体" w:eastAsia="黑体" w:hAnsi="黑体" w:hint="eastAsia"/>
                <w:color w:val="000000"/>
                <w:sz w:val="20"/>
                <w:szCs w:val="20"/>
              </w:rPr>
              <w:t>。</w:t>
            </w:r>
          </w:p>
        </w:tc>
      </w:tr>
    </w:tbl>
    <w:p w14:paraId="2282CF56" w14:textId="77777777" w:rsidR="00CE4362" w:rsidRPr="00CE4362" w:rsidRDefault="00A412F6">
      <w:pPr>
        <w:rPr>
          <w:rFonts w:ascii="仿宋_GB2312" w:eastAsia="仿宋_GB2312" w:hAnsi="宋体"/>
          <w:szCs w:val="21"/>
        </w:rPr>
      </w:pPr>
      <w:r w:rsidRPr="00A412F6">
        <w:rPr>
          <w:rFonts w:ascii="仿宋_GB2312" w:eastAsia="仿宋_GB2312" w:hAnsi="宋体" w:hint="eastAsia"/>
          <w:szCs w:val="21"/>
        </w:rPr>
        <w:t>注：当主体名称、主体类型、证件号码、查询账号/卡号等多个字段均有值时，金融机构需报送同时符合全部字段要求的信息。</w:t>
      </w:r>
    </w:p>
    <w:p w14:paraId="0F58DA6E" w14:textId="77777777" w:rsidR="00A052DC" w:rsidRDefault="009F0A60" w:rsidP="0020251D">
      <w:pPr>
        <w:pStyle w:val="1"/>
        <w:tabs>
          <w:tab w:val="left" w:pos="1440"/>
        </w:tabs>
        <w:rPr>
          <w:rFonts w:ascii="Times New Roman" w:hAnsi="Times New Roman"/>
        </w:rPr>
      </w:pPr>
      <w:bookmarkStart w:id="4523" w:name="_Toc454391586"/>
      <w:bookmarkStart w:id="4524" w:name="_Toc91455515"/>
      <w:bookmarkStart w:id="4525" w:name="_Toc101684540"/>
      <w:bookmarkStart w:id="4526" w:name="OLE_LINK11"/>
      <w:bookmarkStart w:id="4527" w:name="OLE_LINK10"/>
      <w:r>
        <w:rPr>
          <w:rFonts w:ascii="Times New Roman" w:hAnsi="Times New Roman" w:hint="eastAsia"/>
        </w:rPr>
        <w:t>代码表</w:t>
      </w:r>
      <w:bookmarkEnd w:id="4523"/>
      <w:bookmarkEnd w:id="4524"/>
      <w:bookmarkEnd w:id="4525"/>
    </w:p>
    <w:p w14:paraId="5EC06CAD" w14:textId="77777777" w:rsidR="00A052DC" w:rsidRDefault="009F0A60" w:rsidP="0020251D">
      <w:pPr>
        <w:pStyle w:val="2"/>
        <w:rPr>
          <w:rFonts w:ascii="Times New Roman" w:hAnsi="Times New Roman"/>
        </w:rPr>
      </w:pPr>
      <w:bookmarkStart w:id="4528" w:name="_Toc91455516"/>
      <w:bookmarkStart w:id="4529" w:name="_Toc101684541"/>
      <w:r>
        <w:rPr>
          <w:rFonts w:ascii="Times New Roman" w:hAnsi="Times New Roman" w:hint="eastAsia"/>
        </w:rPr>
        <w:t>国家和地区代码表</w:t>
      </w:r>
      <w:bookmarkEnd w:id="4528"/>
      <w:bookmarkEnd w:id="4529"/>
    </w:p>
    <w:p w14:paraId="171603F7" w14:textId="77777777" w:rsidR="00A052DC" w:rsidRDefault="009F0A60">
      <w:pPr>
        <w:ind w:firstLineChars="200" w:firstLine="480"/>
      </w:pPr>
      <w:r>
        <w:rPr>
          <w:rFonts w:ascii="宋体" w:hAnsi="宋体" w:hint="eastAsia"/>
          <w:sz w:val="24"/>
          <w:szCs w:val="24"/>
        </w:rPr>
        <w:t>由银行信息门户网发布，外汇局将根据变化情况及时更新。</w:t>
      </w:r>
    </w:p>
    <w:p w14:paraId="42A2C969" w14:textId="77777777" w:rsidR="00A052DC" w:rsidRDefault="009F0A60" w:rsidP="0020251D">
      <w:pPr>
        <w:pStyle w:val="2"/>
        <w:rPr>
          <w:rFonts w:ascii="Times New Roman" w:hAnsi="Times New Roman"/>
        </w:rPr>
      </w:pPr>
      <w:bookmarkStart w:id="4530" w:name="_Toc91455517"/>
      <w:bookmarkStart w:id="4531" w:name="_Toc101684542"/>
      <w:r>
        <w:rPr>
          <w:rFonts w:ascii="Times New Roman" w:hAnsi="Times New Roman" w:hint="eastAsia"/>
        </w:rPr>
        <w:t>币种代码表</w:t>
      </w:r>
      <w:bookmarkEnd w:id="4530"/>
      <w:bookmarkEnd w:id="4531"/>
    </w:p>
    <w:p w14:paraId="7A15A133" w14:textId="77777777" w:rsidR="00A052DC" w:rsidRDefault="009F0A60">
      <w:pPr>
        <w:ind w:firstLineChars="200" w:firstLine="480"/>
        <w:rPr>
          <w:rFonts w:ascii="宋体" w:hAnsi="宋体"/>
          <w:sz w:val="24"/>
          <w:szCs w:val="24"/>
        </w:rPr>
      </w:pPr>
      <w:r>
        <w:rPr>
          <w:rFonts w:ascii="宋体" w:hAnsi="宋体" w:hint="eastAsia"/>
          <w:sz w:val="24"/>
          <w:szCs w:val="24"/>
        </w:rPr>
        <w:t>由银行信息门户网发布，外汇局将根据变化情况及时更新。</w:t>
      </w:r>
    </w:p>
    <w:p w14:paraId="2AD61C7C" w14:textId="77777777" w:rsidR="00A052DC" w:rsidRDefault="009F0A60" w:rsidP="0020251D">
      <w:pPr>
        <w:pStyle w:val="2"/>
        <w:rPr>
          <w:rFonts w:ascii="Times New Roman" w:hAnsi="Times New Roman"/>
        </w:rPr>
      </w:pPr>
      <w:bookmarkStart w:id="4532" w:name="_Toc502428245"/>
      <w:bookmarkStart w:id="4533" w:name="_Toc91455518"/>
      <w:bookmarkStart w:id="4534" w:name="_Toc101684543"/>
      <w:r>
        <w:rPr>
          <w:rFonts w:ascii="Times New Roman" w:hAnsi="Times New Roman"/>
        </w:rPr>
        <w:t>外汇局代码表</w:t>
      </w:r>
      <w:bookmarkEnd w:id="4532"/>
      <w:bookmarkEnd w:id="4533"/>
      <w:bookmarkEnd w:id="4534"/>
    </w:p>
    <w:p w14:paraId="730F9DBB" w14:textId="77777777" w:rsidR="00A052DC" w:rsidRDefault="009F0A60">
      <w:pPr>
        <w:ind w:firstLineChars="200" w:firstLine="480"/>
        <w:rPr>
          <w:rFonts w:ascii="Times New Roman" w:hAnsi="Times New Roman"/>
        </w:rPr>
      </w:pPr>
      <w:r>
        <w:rPr>
          <w:rFonts w:ascii="Times New Roman" w:hAnsi="Times New Roman" w:hint="eastAsia"/>
          <w:sz w:val="24"/>
          <w:szCs w:val="24"/>
        </w:rPr>
        <w:t>由银行信息门户网发布，</w:t>
      </w:r>
      <w:r>
        <w:rPr>
          <w:rFonts w:ascii="宋体" w:hAnsi="宋体" w:hint="eastAsia"/>
          <w:sz w:val="24"/>
          <w:szCs w:val="24"/>
        </w:rPr>
        <w:t>外汇局</w:t>
      </w:r>
      <w:r>
        <w:rPr>
          <w:rFonts w:ascii="Times New Roman" w:hAnsi="Times New Roman" w:hint="eastAsia"/>
          <w:sz w:val="24"/>
          <w:szCs w:val="24"/>
        </w:rPr>
        <w:t>将根据变化情况及时更新。</w:t>
      </w:r>
    </w:p>
    <w:p w14:paraId="39230339" w14:textId="77777777" w:rsidR="00A052DC" w:rsidRDefault="009F0A60" w:rsidP="0020251D">
      <w:pPr>
        <w:pStyle w:val="2"/>
        <w:rPr>
          <w:rFonts w:ascii="Times New Roman" w:hAnsi="Times New Roman"/>
        </w:rPr>
      </w:pPr>
      <w:bookmarkStart w:id="4535" w:name="_Toc91455519"/>
      <w:bookmarkStart w:id="4536" w:name="_Toc101684544"/>
      <w:r>
        <w:rPr>
          <w:rFonts w:ascii="Times New Roman" w:hAnsi="Times New Roman" w:hint="eastAsia"/>
        </w:rPr>
        <w:t>行业属性代码表</w:t>
      </w:r>
      <w:bookmarkEnd w:id="4535"/>
      <w:bookmarkEnd w:id="4536"/>
    </w:p>
    <w:p w14:paraId="0F3F77F4" w14:textId="77777777" w:rsidR="00A052DC" w:rsidRDefault="009F0A60">
      <w:pPr>
        <w:ind w:firstLineChars="200" w:firstLine="480"/>
      </w:pPr>
      <w:r>
        <w:rPr>
          <w:rFonts w:ascii="宋体" w:hAnsi="宋体" w:hint="eastAsia"/>
          <w:sz w:val="24"/>
          <w:szCs w:val="24"/>
        </w:rPr>
        <w:t>由银行信息门户网发布，外汇局将根据变化情况及时更新。</w:t>
      </w:r>
    </w:p>
    <w:p w14:paraId="10E981BE" w14:textId="77777777" w:rsidR="00A052DC" w:rsidRDefault="009F0A60" w:rsidP="0020251D">
      <w:pPr>
        <w:pStyle w:val="2"/>
        <w:rPr>
          <w:rFonts w:ascii="Times New Roman" w:hAnsi="Times New Roman"/>
        </w:rPr>
      </w:pPr>
      <w:bookmarkStart w:id="4537" w:name="_Toc91455520"/>
      <w:bookmarkStart w:id="4538" w:name="_Toc101684545"/>
      <w:r>
        <w:rPr>
          <w:rFonts w:ascii="Times New Roman" w:hAnsi="Times New Roman" w:hint="eastAsia"/>
        </w:rPr>
        <w:t>经济类型代码表</w:t>
      </w:r>
      <w:bookmarkEnd w:id="4537"/>
      <w:bookmarkEnd w:id="4538"/>
    </w:p>
    <w:p w14:paraId="69230F0B" w14:textId="77777777" w:rsidR="00A052DC" w:rsidRDefault="009F0A60">
      <w:pPr>
        <w:ind w:firstLineChars="200" w:firstLine="480"/>
      </w:pPr>
      <w:r>
        <w:rPr>
          <w:rFonts w:ascii="宋体" w:hAnsi="宋体" w:hint="eastAsia"/>
          <w:sz w:val="24"/>
          <w:szCs w:val="24"/>
        </w:rPr>
        <w:t>由银行信息门户网发布，外汇局将根据变化情况及时更新。</w:t>
      </w:r>
    </w:p>
    <w:p w14:paraId="0104FB9B" w14:textId="77777777" w:rsidR="00A052DC" w:rsidRDefault="009F0A60" w:rsidP="0020251D">
      <w:pPr>
        <w:pStyle w:val="2"/>
        <w:rPr>
          <w:rFonts w:ascii="Times New Roman" w:hAnsi="Times New Roman"/>
        </w:rPr>
      </w:pPr>
      <w:bookmarkStart w:id="4539" w:name="_Toc91455521"/>
      <w:bookmarkStart w:id="4540" w:name="_Toc101684546"/>
      <w:r>
        <w:rPr>
          <w:rFonts w:ascii="Times New Roman" w:hAnsi="Times New Roman" w:hint="eastAsia"/>
        </w:rPr>
        <w:t>中国大陆行政区划代码表</w:t>
      </w:r>
      <w:bookmarkEnd w:id="4539"/>
      <w:bookmarkEnd w:id="4540"/>
    </w:p>
    <w:p w14:paraId="37351E49" w14:textId="77777777" w:rsidR="00A052DC" w:rsidRDefault="009F0A60">
      <w:pPr>
        <w:ind w:firstLineChars="200" w:firstLine="480"/>
        <w:rPr>
          <w:rFonts w:ascii="宋体" w:hAnsi="宋体"/>
          <w:sz w:val="24"/>
          <w:szCs w:val="24"/>
        </w:rPr>
      </w:pPr>
      <w:r>
        <w:rPr>
          <w:rFonts w:ascii="宋体" w:hAnsi="宋体" w:hint="eastAsia"/>
          <w:sz w:val="24"/>
          <w:szCs w:val="24"/>
        </w:rPr>
        <w:t>由银行信息门户网发布，外汇局将根据变化情况及时更新。</w:t>
      </w:r>
    </w:p>
    <w:p w14:paraId="0BD79A1C" w14:textId="77777777" w:rsidR="00A052DC" w:rsidRDefault="009F0A60" w:rsidP="0020251D">
      <w:pPr>
        <w:pStyle w:val="2"/>
        <w:rPr>
          <w:rFonts w:ascii="Times New Roman" w:hAnsi="Times New Roman"/>
        </w:rPr>
      </w:pPr>
      <w:bookmarkStart w:id="4541" w:name="_Toc91455522"/>
      <w:bookmarkStart w:id="4542" w:name="_Toc101684547"/>
      <w:r>
        <w:rPr>
          <w:rFonts w:ascii="Times New Roman" w:hAnsi="Times New Roman" w:hint="eastAsia"/>
        </w:rPr>
        <w:t>交易编码表</w:t>
      </w:r>
      <w:bookmarkEnd w:id="4541"/>
      <w:bookmarkEnd w:id="4542"/>
    </w:p>
    <w:p w14:paraId="693FDCF7" w14:textId="77777777" w:rsidR="00A052DC" w:rsidRDefault="009F0A60">
      <w:pPr>
        <w:ind w:firstLineChars="200" w:firstLine="480"/>
      </w:pPr>
      <w:r>
        <w:rPr>
          <w:rFonts w:ascii="宋体" w:hAnsi="宋体" w:hint="eastAsia"/>
          <w:sz w:val="24"/>
          <w:szCs w:val="24"/>
        </w:rPr>
        <w:t>由银行信息门户网发布，外汇局将根据变化情况及时更新。</w:t>
      </w:r>
    </w:p>
    <w:p w14:paraId="520CE3CB" w14:textId="77777777" w:rsidR="00A052DC" w:rsidRDefault="009F0A60" w:rsidP="0020251D">
      <w:pPr>
        <w:pStyle w:val="2"/>
        <w:rPr>
          <w:rFonts w:ascii="Times New Roman" w:hAnsi="Times New Roman"/>
        </w:rPr>
      </w:pPr>
      <w:bookmarkStart w:id="4543" w:name="_Toc456772784"/>
      <w:bookmarkStart w:id="4544" w:name="_Toc454276021"/>
      <w:bookmarkStart w:id="4545" w:name="_Toc456772457"/>
      <w:bookmarkStart w:id="4546" w:name="_Toc456771365"/>
      <w:bookmarkStart w:id="4547" w:name="_Toc454285667"/>
      <w:bookmarkStart w:id="4548" w:name="_Toc454382592"/>
      <w:bookmarkStart w:id="4549" w:name="_Toc454391587"/>
      <w:bookmarkStart w:id="4550" w:name="_Toc454399511"/>
      <w:bookmarkStart w:id="4551" w:name="_Toc454459287"/>
      <w:bookmarkStart w:id="4552" w:name="_Toc454465010"/>
      <w:bookmarkStart w:id="4553" w:name="_Toc454780387"/>
      <w:bookmarkStart w:id="4554" w:name="_Toc455153029"/>
      <w:bookmarkStart w:id="4555" w:name="_Toc455156757"/>
      <w:bookmarkStart w:id="4556" w:name="_Toc455164208"/>
      <w:bookmarkStart w:id="4557" w:name="_Toc455167933"/>
      <w:bookmarkStart w:id="4558" w:name="_Toc454276022"/>
      <w:bookmarkStart w:id="4559" w:name="_Toc454285668"/>
      <w:bookmarkStart w:id="4560" w:name="_Toc454382593"/>
      <w:bookmarkStart w:id="4561" w:name="_Toc454391588"/>
      <w:bookmarkStart w:id="4562" w:name="_Toc454399512"/>
      <w:bookmarkStart w:id="4563" w:name="_Toc454459288"/>
      <w:bookmarkStart w:id="4564" w:name="_Toc454465011"/>
      <w:bookmarkStart w:id="4565" w:name="_Toc454780388"/>
      <w:bookmarkStart w:id="4566" w:name="_Toc455153030"/>
      <w:bookmarkStart w:id="4567" w:name="_Toc455156758"/>
      <w:bookmarkStart w:id="4568" w:name="_Toc455164209"/>
      <w:bookmarkStart w:id="4569" w:name="_Toc455167934"/>
      <w:bookmarkStart w:id="4570" w:name="_Toc308091955"/>
      <w:bookmarkStart w:id="4571" w:name="_Toc454277794"/>
      <w:bookmarkStart w:id="4572" w:name="_Toc454287440"/>
      <w:bookmarkStart w:id="4573" w:name="_Toc454384365"/>
      <w:bookmarkStart w:id="4574" w:name="_Toc454393360"/>
      <w:bookmarkStart w:id="4575" w:name="_Toc454401284"/>
      <w:bookmarkStart w:id="4576" w:name="_Toc454461060"/>
      <w:bookmarkStart w:id="4577" w:name="_Toc454466783"/>
      <w:bookmarkStart w:id="4578" w:name="_Toc454782160"/>
      <w:bookmarkStart w:id="4579" w:name="_Toc455154802"/>
      <w:bookmarkStart w:id="4580" w:name="_Toc455158530"/>
      <w:bookmarkStart w:id="4581" w:name="_Toc455165981"/>
      <w:bookmarkStart w:id="4582" w:name="_Toc455169706"/>
      <w:bookmarkStart w:id="4583" w:name="_Toc452562082"/>
      <w:bookmarkStart w:id="4584" w:name="_Toc454278639"/>
      <w:bookmarkStart w:id="4585" w:name="_Toc454288285"/>
      <w:bookmarkStart w:id="4586" w:name="_Toc454385210"/>
      <w:bookmarkStart w:id="4587" w:name="_Toc454394205"/>
      <w:bookmarkStart w:id="4588" w:name="_Toc454402129"/>
      <w:bookmarkStart w:id="4589" w:name="_Toc454461905"/>
      <w:bookmarkStart w:id="4590" w:name="_Toc454467628"/>
      <w:bookmarkStart w:id="4591" w:name="_Toc454783005"/>
      <w:bookmarkStart w:id="4592" w:name="_Toc455155647"/>
      <w:bookmarkStart w:id="4593" w:name="_Toc455159375"/>
      <w:bookmarkStart w:id="4594" w:name="_Toc455166826"/>
      <w:bookmarkStart w:id="4595" w:name="_Toc455170551"/>
      <w:bookmarkStart w:id="4596" w:name="_Toc452562083"/>
      <w:bookmarkStart w:id="4597" w:name="_Toc454278640"/>
      <w:bookmarkStart w:id="4598" w:name="_Toc454288286"/>
      <w:bookmarkStart w:id="4599" w:name="_Toc454385211"/>
      <w:bookmarkStart w:id="4600" w:name="_Toc454394206"/>
      <w:bookmarkStart w:id="4601" w:name="_Toc454402130"/>
      <w:bookmarkStart w:id="4602" w:name="_Toc454461906"/>
      <w:bookmarkStart w:id="4603" w:name="_Toc454467629"/>
      <w:bookmarkStart w:id="4604" w:name="_Toc454783006"/>
      <w:bookmarkStart w:id="4605" w:name="_Toc455155648"/>
      <w:bookmarkStart w:id="4606" w:name="_Toc455159376"/>
      <w:bookmarkStart w:id="4607" w:name="_Toc455166827"/>
      <w:bookmarkStart w:id="4608" w:name="_Toc455170552"/>
      <w:bookmarkStart w:id="4609" w:name="_Toc454278641"/>
      <w:bookmarkStart w:id="4610" w:name="_Toc454288287"/>
      <w:bookmarkStart w:id="4611" w:name="_Toc454385212"/>
      <w:bookmarkStart w:id="4612" w:name="_Toc454394207"/>
      <w:bookmarkStart w:id="4613" w:name="_Toc454402131"/>
      <w:bookmarkStart w:id="4614" w:name="_Toc454461907"/>
      <w:bookmarkStart w:id="4615" w:name="_Toc454467630"/>
      <w:bookmarkStart w:id="4616" w:name="_Toc454783007"/>
      <w:bookmarkStart w:id="4617" w:name="_Toc455155649"/>
      <w:bookmarkStart w:id="4618" w:name="_Toc455159377"/>
      <w:bookmarkStart w:id="4619" w:name="_Toc455166828"/>
      <w:bookmarkStart w:id="4620" w:name="_Toc455170553"/>
      <w:bookmarkStart w:id="4621" w:name="_Toc454278642"/>
      <w:bookmarkStart w:id="4622" w:name="_Toc454288288"/>
      <w:bookmarkStart w:id="4623" w:name="_Toc454385213"/>
      <w:bookmarkStart w:id="4624" w:name="_Toc454394208"/>
      <w:bookmarkStart w:id="4625" w:name="_Toc454402132"/>
      <w:bookmarkStart w:id="4626" w:name="_Toc454461908"/>
      <w:bookmarkStart w:id="4627" w:name="_Toc454467631"/>
      <w:bookmarkStart w:id="4628" w:name="_Toc454783008"/>
      <w:bookmarkStart w:id="4629" w:name="_Toc455155650"/>
      <w:bookmarkStart w:id="4630" w:name="_Toc455159378"/>
      <w:bookmarkStart w:id="4631" w:name="_Toc455166829"/>
      <w:bookmarkStart w:id="4632" w:name="_Toc455170554"/>
      <w:bookmarkStart w:id="4633" w:name="_Toc454278643"/>
      <w:bookmarkStart w:id="4634" w:name="_Toc454288289"/>
      <w:bookmarkStart w:id="4635" w:name="_Toc454385214"/>
      <w:bookmarkStart w:id="4636" w:name="_Toc454394209"/>
      <w:bookmarkStart w:id="4637" w:name="_Toc454402133"/>
      <w:bookmarkStart w:id="4638" w:name="_Toc454461909"/>
      <w:bookmarkStart w:id="4639" w:name="_Toc454467632"/>
      <w:bookmarkStart w:id="4640" w:name="_Toc454783009"/>
      <w:bookmarkStart w:id="4641" w:name="_Toc455155651"/>
      <w:bookmarkStart w:id="4642" w:name="_Toc455159379"/>
      <w:bookmarkStart w:id="4643" w:name="_Toc455166830"/>
      <w:bookmarkStart w:id="4644" w:name="_Toc455170555"/>
      <w:bookmarkStart w:id="4645" w:name="_Toc454278938"/>
      <w:bookmarkStart w:id="4646" w:name="_Toc454288584"/>
      <w:bookmarkStart w:id="4647" w:name="_Toc454385509"/>
      <w:bookmarkStart w:id="4648" w:name="_Toc454394504"/>
      <w:bookmarkStart w:id="4649" w:name="_Toc454402428"/>
      <w:bookmarkStart w:id="4650" w:name="_Toc454462204"/>
      <w:bookmarkStart w:id="4651" w:name="_Toc454467927"/>
      <w:bookmarkStart w:id="4652" w:name="_Toc454783304"/>
      <w:bookmarkStart w:id="4653" w:name="_Toc455155946"/>
      <w:bookmarkStart w:id="4654" w:name="_Toc455159674"/>
      <w:bookmarkStart w:id="4655" w:name="_Toc455167125"/>
      <w:bookmarkStart w:id="4656" w:name="_Toc455170850"/>
      <w:bookmarkStart w:id="4657" w:name="_Toc454394505"/>
      <w:bookmarkStart w:id="4658" w:name="_Toc91455523"/>
      <w:bookmarkStart w:id="4659" w:name="_Toc101684548"/>
      <w:bookmarkStart w:id="4660" w:name="_Toc380356316"/>
      <w:bookmarkStart w:id="4661" w:name="_Toc310598223"/>
      <w:bookmarkStart w:id="4662" w:name="_Toc328635604"/>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r>
        <w:rPr>
          <w:rFonts w:ascii="Times New Roman" w:hAnsi="Times New Roman" w:hint="eastAsia"/>
        </w:rPr>
        <w:t>金融业代码表</w:t>
      </w:r>
      <w:bookmarkEnd w:id="4657"/>
      <w:bookmarkEnd w:id="4658"/>
      <w:bookmarkEnd w:id="4659"/>
    </w:p>
    <w:tbl>
      <w:tblPr>
        <w:tblW w:w="0" w:type="auto"/>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709"/>
        <w:gridCol w:w="1276"/>
        <w:gridCol w:w="5720"/>
      </w:tblGrid>
      <w:tr w:rsidR="00A052DC" w14:paraId="4645427F" w14:textId="77777777" w:rsidTr="000957EC">
        <w:trPr>
          <w:trHeight w:val="1092"/>
        </w:trPr>
        <w:tc>
          <w:tcPr>
            <w:tcW w:w="720" w:type="dxa"/>
            <w:shd w:val="clear" w:color="auto" w:fill="BFBFBF" w:themeFill="background1" w:themeFillShade="BF"/>
            <w:vAlign w:val="center"/>
          </w:tcPr>
          <w:p w14:paraId="538BCA72" w14:textId="77777777" w:rsidR="00881462" w:rsidRDefault="009F0A60" w:rsidP="003F5826">
            <w:pPr>
              <w:pStyle w:val="B1"/>
              <w:spacing w:before="62" w:after="62"/>
            </w:pPr>
            <w:r>
              <w:rPr>
                <w:rFonts w:hint="eastAsia"/>
              </w:rPr>
              <w:t>金融业代码</w:t>
            </w:r>
          </w:p>
        </w:tc>
        <w:tc>
          <w:tcPr>
            <w:tcW w:w="709" w:type="dxa"/>
            <w:shd w:val="clear" w:color="auto" w:fill="BFBFBF" w:themeFill="background1" w:themeFillShade="BF"/>
            <w:noWrap/>
            <w:vAlign w:val="center"/>
          </w:tcPr>
          <w:p w14:paraId="34E2603D" w14:textId="77777777" w:rsidR="00881462" w:rsidRDefault="009F0A60" w:rsidP="003F5826">
            <w:pPr>
              <w:pStyle w:val="B1"/>
              <w:spacing w:before="62" w:after="62"/>
            </w:pPr>
            <w:r>
              <w:rPr>
                <w:rFonts w:hint="eastAsia"/>
              </w:rPr>
              <w:t>金融业子类代码</w:t>
            </w:r>
          </w:p>
        </w:tc>
        <w:tc>
          <w:tcPr>
            <w:tcW w:w="1276" w:type="dxa"/>
            <w:shd w:val="clear" w:color="auto" w:fill="BFBFBF" w:themeFill="background1" w:themeFillShade="BF"/>
            <w:noWrap/>
            <w:vAlign w:val="center"/>
          </w:tcPr>
          <w:p w14:paraId="6B92E26B" w14:textId="77777777" w:rsidR="00881462" w:rsidRDefault="009F0A60" w:rsidP="003F5826">
            <w:pPr>
              <w:pStyle w:val="B1"/>
              <w:spacing w:before="62" w:after="62"/>
            </w:pPr>
            <w:r>
              <w:rPr>
                <w:rFonts w:hint="eastAsia"/>
              </w:rPr>
              <w:t>金融业子类名称</w:t>
            </w:r>
          </w:p>
        </w:tc>
        <w:tc>
          <w:tcPr>
            <w:tcW w:w="5720" w:type="dxa"/>
            <w:shd w:val="clear" w:color="auto" w:fill="BFBFBF" w:themeFill="background1" w:themeFillShade="BF"/>
            <w:noWrap/>
            <w:vAlign w:val="center"/>
          </w:tcPr>
          <w:p w14:paraId="7D05100A" w14:textId="77777777" w:rsidR="00881462" w:rsidRDefault="009F0A60" w:rsidP="003F5826">
            <w:pPr>
              <w:pStyle w:val="B1"/>
              <w:spacing w:before="62" w:after="62"/>
            </w:pPr>
            <w:r>
              <w:rPr>
                <w:rFonts w:hint="eastAsia"/>
              </w:rPr>
              <w:t>包括</w:t>
            </w:r>
            <w:r>
              <w:t>1066～1069大类</w:t>
            </w:r>
            <w:r>
              <w:rPr>
                <w:rFonts w:hint="eastAsia"/>
              </w:rPr>
              <w:t>。</w:t>
            </w:r>
          </w:p>
        </w:tc>
      </w:tr>
      <w:tr w:rsidR="00A052DC" w14:paraId="1B225826" w14:textId="77777777">
        <w:trPr>
          <w:trHeight w:val="768"/>
        </w:trPr>
        <w:tc>
          <w:tcPr>
            <w:tcW w:w="720" w:type="dxa"/>
            <w:vMerge w:val="restart"/>
            <w:shd w:val="clear" w:color="auto" w:fill="auto"/>
            <w:vAlign w:val="center"/>
          </w:tcPr>
          <w:p w14:paraId="6A14ED82" w14:textId="77777777" w:rsidR="00A052DC" w:rsidRDefault="009F0A60" w:rsidP="0020251D">
            <w:pPr>
              <w:widowControl/>
              <w:adjustRightInd w:val="0"/>
              <w:snapToGrid w:val="0"/>
              <w:spacing w:beforeLines="20" w:before="62" w:afterLines="20" w:after="62"/>
              <w:jc w:val="center"/>
              <w:rPr>
                <w:rFonts w:ascii="黑体" w:eastAsia="黑体" w:hAnsi="宋体"/>
                <w:kern w:val="0"/>
                <w:sz w:val="20"/>
                <w:szCs w:val="20"/>
              </w:rPr>
            </w:pPr>
            <w:r>
              <w:rPr>
                <w:rFonts w:ascii="黑体" w:eastAsia="黑体" w:hAnsi="宋体"/>
                <w:kern w:val="0"/>
                <w:sz w:val="20"/>
                <w:szCs w:val="20"/>
              </w:rPr>
              <w:t>1066</w:t>
            </w:r>
          </w:p>
        </w:tc>
        <w:tc>
          <w:tcPr>
            <w:tcW w:w="709" w:type="dxa"/>
            <w:shd w:val="clear" w:color="auto" w:fill="auto"/>
            <w:noWrap/>
            <w:vAlign w:val="center"/>
          </w:tcPr>
          <w:p w14:paraId="3FE8793B" w14:textId="77777777" w:rsidR="00563761" w:rsidRDefault="009F0A60" w:rsidP="0020251D">
            <w:pPr>
              <w:widowControl/>
              <w:adjustRightInd w:val="0"/>
              <w:snapToGrid w:val="0"/>
              <w:spacing w:beforeLines="20" w:before="62" w:afterLines="20" w:after="62"/>
              <w:jc w:val="center"/>
              <w:rPr>
                <w:rFonts w:ascii="黑体" w:eastAsia="黑体" w:hAnsi="宋体" w:cs="宋体"/>
                <w:kern w:val="0"/>
                <w:sz w:val="20"/>
                <w:szCs w:val="20"/>
              </w:rPr>
            </w:pPr>
            <w:r>
              <w:rPr>
                <w:rFonts w:ascii="黑体" w:eastAsia="黑体" w:hAnsi="宋体" w:cs="宋体" w:hint="eastAsia"/>
                <w:kern w:val="0"/>
                <w:sz w:val="20"/>
                <w:szCs w:val="20"/>
              </w:rPr>
              <w:t xml:space="preserve">　</w:t>
            </w:r>
          </w:p>
        </w:tc>
        <w:tc>
          <w:tcPr>
            <w:tcW w:w="1276" w:type="dxa"/>
            <w:shd w:val="clear" w:color="auto" w:fill="auto"/>
            <w:noWrap/>
            <w:vAlign w:val="center"/>
          </w:tcPr>
          <w:p w14:paraId="547FA094" w14:textId="77777777" w:rsidR="00563761" w:rsidRDefault="009F0A60" w:rsidP="0020251D">
            <w:pPr>
              <w:widowControl/>
              <w:adjustRightInd w:val="0"/>
              <w:snapToGrid w:val="0"/>
              <w:spacing w:beforeLines="20" w:before="62" w:afterLines="20" w:after="62"/>
              <w:rPr>
                <w:rFonts w:ascii="黑体" w:eastAsia="黑体" w:hAnsi="黑体" w:cs="宋体"/>
                <w:kern w:val="0"/>
                <w:sz w:val="20"/>
                <w:szCs w:val="20"/>
              </w:rPr>
            </w:pPr>
            <w:r>
              <w:rPr>
                <w:rFonts w:ascii="黑体" w:eastAsia="黑体" w:hAnsi="黑体" w:cs="宋体" w:hint="eastAsia"/>
                <w:kern w:val="0"/>
                <w:sz w:val="20"/>
                <w:szCs w:val="20"/>
              </w:rPr>
              <w:t>货币金融服务</w:t>
            </w:r>
          </w:p>
        </w:tc>
        <w:tc>
          <w:tcPr>
            <w:tcW w:w="5720" w:type="dxa"/>
            <w:shd w:val="clear" w:color="auto" w:fill="auto"/>
            <w:noWrap/>
            <w:vAlign w:val="center"/>
          </w:tcPr>
          <w:p w14:paraId="3F4026EE" w14:textId="77777777" w:rsidR="00563761" w:rsidRDefault="009F0A60" w:rsidP="0020251D">
            <w:pPr>
              <w:widowControl/>
              <w:adjustRightInd w:val="0"/>
              <w:snapToGrid w:val="0"/>
              <w:spacing w:beforeLines="20" w:before="62" w:afterLines="20" w:after="62"/>
              <w:rPr>
                <w:rFonts w:ascii="黑体" w:eastAsia="黑体" w:hAnsi="黑体" w:cs="宋体"/>
                <w:kern w:val="0"/>
                <w:sz w:val="20"/>
                <w:szCs w:val="20"/>
              </w:rPr>
            </w:pPr>
            <w:r>
              <w:rPr>
                <w:rFonts w:ascii="黑体" w:eastAsia="黑体" w:hAnsi="黑体" w:cs="宋体" w:hint="eastAsia"/>
                <w:kern w:val="0"/>
                <w:sz w:val="20"/>
                <w:szCs w:val="20"/>
              </w:rPr>
              <w:t>包括</w:t>
            </w:r>
            <w:r>
              <w:rPr>
                <w:rFonts w:ascii="黑体" w:eastAsia="黑体" w:hAnsi="黑体" w:cs="宋体"/>
                <w:kern w:val="0"/>
                <w:sz w:val="20"/>
                <w:szCs w:val="20"/>
              </w:rPr>
              <w:t>6610-6640子类</w:t>
            </w:r>
            <w:r>
              <w:rPr>
                <w:rFonts w:ascii="黑体" w:eastAsia="黑体" w:hAnsi="黑体" w:cs="宋体" w:hint="eastAsia"/>
                <w:kern w:val="0"/>
                <w:sz w:val="20"/>
                <w:szCs w:val="20"/>
              </w:rPr>
              <w:t>。</w:t>
            </w:r>
          </w:p>
        </w:tc>
      </w:tr>
      <w:tr w:rsidR="00A052DC" w14:paraId="3D16D4BC" w14:textId="77777777">
        <w:trPr>
          <w:trHeight w:val="708"/>
        </w:trPr>
        <w:tc>
          <w:tcPr>
            <w:tcW w:w="720" w:type="dxa"/>
            <w:vMerge/>
            <w:vAlign w:val="center"/>
          </w:tcPr>
          <w:p w14:paraId="0F9C5B8F" w14:textId="77777777" w:rsidR="00563761" w:rsidRDefault="00563761" w:rsidP="0020251D">
            <w:pPr>
              <w:widowControl/>
              <w:adjustRightInd w:val="0"/>
              <w:snapToGrid w:val="0"/>
              <w:spacing w:beforeLines="20" w:before="62" w:afterLines="20" w:after="62"/>
              <w:jc w:val="left"/>
              <w:rPr>
                <w:rFonts w:ascii="黑体" w:eastAsia="黑体" w:hAnsi="宋体"/>
                <w:b/>
                <w:bCs/>
                <w:kern w:val="0"/>
                <w:sz w:val="20"/>
                <w:szCs w:val="20"/>
              </w:rPr>
            </w:pPr>
          </w:p>
        </w:tc>
        <w:tc>
          <w:tcPr>
            <w:tcW w:w="709" w:type="dxa"/>
            <w:shd w:val="clear" w:color="auto" w:fill="auto"/>
            <w:noWrap/>
            <w:vAlign w:val="center"/>
          </w:tcPr>
          <w:p w14:paraId="7C7147CD" w14:textId="77777777" w:rsidR="00197ADB" w:rsidRDefault="009F0A60" w:rsidP="0020251D">
            <w:pPr>
              <w:widowControl/>
              <w:adjustRightInd w:val="0"/>
              <w:snapToGrid w:val="0"/>
              <w:spacing w:beforeLines="20" w:before="62" w:afterLines="20" w:after="62"/>
              <w:jc w:val="center"/>
              <w:rPr>
                <w:rFonts w:ascii="黑体" w:eastAsia="黑体" w:hAnsi="宋体"/>
                <w:kern w:val="0"/>
                <w:sz w:val="20"/>
                <w:szCs w:val="20"/>
              </w:rPr>
            </w:pPr>
            <w:r>
              <w:rPr>
                <w:rFonts w:ascii="黑体" w:eastAsia="黑体" w:hAnsi="宋体"/>
                <w:kern w:val="0"/>
                <w:sz w:val="20"/>
                <w:szCs w:val="20"/>
              </w:rPr>
              <w:t>6610</w:t>
            </w:r>
          </w:p>
        </w:tc>
        <w:tc>
          <w:tcPr>
            <w:tcW w:w="1276" w:type="dxa"/>
            <w:shd w:val="clear" w:color="auto" w:fill="auto"/>
            <w:noWrap/>
            <w:vAlign w:val="center"/>
          </w:tcPr>
          <w:p w14:paraId="20DC6EEC" w14:textId="77777777" w:rsidR="00563761" w:rsidRDefault="009F0A60" w:rsidP="0020251D">
            <w:pPr>
              <w:widowControl/>
              <w:adjustRightInd w:val="0"/>
              <w:snapToGrid w:val="0"/>
              <w:spacing w:beforeLines="20" w:before="62" w:afterLines="20" w:after="62"/>
              <w:rPr>
                <w:rFonts w:ascii="黑体" w:eastAsia="黑体" w:hAnsi="黑体" w:cs="宋体"/>
                <w:kern w:val="0"/>
                <w:sz w:val="20"/>
                <w:szCs w:val="20"/>
              </w:rPr>
            </w:pPr>
            <w:r>
              <w:rPr>
                <w:rFonts w:ascii="黑体" w:eastAsia="黑体" w:hAnsi="黑体" w:cs="宋体" w:hint="eastAsia"/>
                <w:kern w:val="0"/>
                <w:sz w:val="20"/>
                <w:szCs w:val="20"/>
              </w:rPr>
              <w:t>中央银行服务</w:t>
            </w:r>
          </w:p>
        </w:tc>
        <w:tc>
          <w:tcPr>
            <w:tcW w:w="5720" w:type="dxa"/>
            <w:shd w:val="clear" w:color="auto" w:fill="auto"/>
            <w:noWrap/>
            <w:vAlign w:val="center"/>
          </w:tcPr>
          <w:p w14:paraId="4398197E" w14:textId="77777777" w:rsidR="00563761" w:rsidRDefault="009F0A60" w:rsidP="0020251D">
            <w:pPr>
              <w:widowControl/>
              <w:adjustRightInd w:val="0"/>
              <w:snapToGrid w:val="0"/>
              <w:spacing w:beforeLines="20" w:before="62" w:afterLines="20" w:after="62"/>
              <w:rPr>
                <w:rFonts w:ascii="黑体" w:eastAsia="黑体" w:hAnsi="黑体" w:cs="宋体"/>
                <w:kern w:val="0"/>
                <w:sz w:val="20"/>
                <w:szCs w:val="20"/>
              </w:rPr>
            </w:pPr>
            <w:r>
              <w:rPr>
                <w:rFonts w:ascii="黑体" w:eastAsia="黑体" w:hAnsi="黑体" w:cs="宋体" w:hint="eastAsia"/>
                <w:kern w:val="0"/>
                <w:sz w:val="20"/>
                <w:szCs w:val="20"/>
              </w:rPr>
              <w:t>指代表政府管理金融活动，并制定和执行货币政策，维护金融稳定，管理金融市场的特殊金融机构的活动。</w:t>
            </w:r>
          </w:p>
        </w:tc>
      </w:tr>
      <w:tr w:rsidR="00A052DC" w14:paraId="625CC234" w14:textId="77777777">
        <w:trPr>
          <w:trHeight w:val="832"/>
        </w:trPr>
        <w:tc>
          <w:tcPr>
            <w:tcW w:w="720" w:type="dxa"/>
            <w:vMerge/>
            <w:vAlign w:val="center"/>
          </w:tcPr>
          <w:p w14:paraId="2FEC0198" w14:textId="77777777" w:rsidR="00563761" w:rsidRDefault="00563761" w:rsidP="0020251D">
            <w:pPr>
              <w:widowControl/>
              <w:adjustRightInd w:val="0"/>
              <w:snapToGrid w:val="0"/>
              <w:spacing w:beforeLines="20" w:before="62" w:afterLines="20" w:after="62"/>
              <w:jc w:val="left"/>
              <w:rPr>
                <w:rFonts w:ascii="黑体" w:eastAsia="黑体" w:hAnsi="宋体"/>
                <w:b/>
                <w:bCs/>
                <w:kern w:val="0"/>
                <w:sz w:val="20"/>
                <w:szCs w:val="20"/>
              </w:rPr>
            </w:pPr>
          </w:p>
        </w:tc>
        <w:tc>
          <w:tcPr>
            <w:tcW w:w="709" w:type="dxa"/>
            <w:shd w:val="clear" w:color="auto" w:fill="auto"/>
            <w:noWrap/>
            <w:vAlign w:val="center"/>
          </w:tcPr>
          <w:p w14:paraId="0C060122" w14:textId="77777777" w:rsidR="00197ADB" w:rsidRDefault="009F0A60" w:rsidP="0020251D">
            <w:pPr>
              <w:widowControl/>
              <w:adjustRightInd w:val="0"/>
              <w:snapToGrid w:val="0"/>
              <w:spacing w:beforeLines="20" w:before="62" w:afterLines="20" w:after="62"/>
              <w:jc w:val="center"/>
              <w:rPr>
                <w:rFonts w:ascii="黑体" w:eastAsia="黑体" w:hAnsi="宋体"/>
                <w:kern w:val="0"/>
                <w:sz w:val="20"/>
                <w:szCs w:val="20"/>
              </w:rPr>
            </w:pPr>
            <w:r>
              <w:rPr>
                <w:rFonts w:ascii="黑体" w:eastAsia="黑体" w:hAnsi="宋体"/>
                <w:kern w:val="0"/>
                <w:sz w:val="20"/>
                <w:szCs w:val="20"/>
              </w:rPr>
              <w:t>6620</w:t>
            </w:r>
          </w:p>
        </w:tc>
        <w:tc>
          <w:tcPr>
            <w:tcW w:w="1276" w:type="dxa"/>
            <w:shd w:val="clear" w:color="auto" w:fill="auto"/>
            <w:noWrap/>
            <w:vAlign w:val="center"/>
          </w:tcPr>
          <w:p w14:paraId="5D6631D1" w14:textId="77777777" w:rsidR="00563761" w:rsidRDefault="009F0A60" w:rsidP="0020251D">
            <w:pPr>
              <w:widowControl/>
              <w:adjustRightInd w:val="0"/>
              <w:snapToGrid w:val="0"/>
              <w:spacing w:beforeLines="20" w:before="62" w:afterLines="20" w:after="62"/>
              <w:rPr>
                <w:rFonts w:ascii="黑体" w:eastAsia="黑体" w:hAnsi="黑体" w:cs="宋体"/>
                <w:kern w:val="0"/>
                <w:sz w:val="20"/>
                <w:szCs w:val="20"/>
              </w:rPr>
            </w:pPr>
            <w:r>
              <w:rPr>
                <w:rFonts w:ascii="黑体" w:eastAsia="黑体" w:hAnsi="黑体" w:cs="宋体" w:hint="eastAsia"/>
                <w:kern w:val="0"/>
                <w:sz w:val="20"/>
                <w:szCs w:val="20"/>
              </w:rPr>
              <w:t>货币银行服务</w:t>
            </w:r>
          </w:p>
        </w:tc>
        <w:tc>
          <w:tcPr>
            <w:tcW w:w="5720" w:type="dxa"/>
            <w:shd w:val="clear" w:color="auto" w:fill="auto"/>
            <w:noWrap/>
            <w:vAlign w:val="center"/>
          </w:tcPr>
          <w:p w14:paraId="34920F2B" w14:textId="77777777" w:rsidR="00563761" w:rsidRDefault="009F0A60" w:rsidP="0020251D">
            <w:pPr>
              <w:widowControl/>
              <w:adjustRightInd w:val="0"/>
              <w:snapToGrid w:val="0"/>
              <w:spacing w:beforeLines="20" w:before="62" w:afterLines="20" w:after="62"/>
              <w:rPr>
                <w:rFonts w:ascii="黑体" w:eastAsia="黑体" w:hAnsi="黑体" w:cs="宋体"/>
                <w:kern w:val="0"/>
                <w:sz w:val="20"/>
                <w:szCs w:val="20"/>
              </w:rPr>
            </w:pPr>
            <w:r>
              <w:rPr>
                <w:rFonts w:ascii="黑体" w:eastAsia="黑体" w:hAnsi="黑体" w:cs="宋体" w:hint="eastAsia"/>
                <w:kern w:val="0"/>
                <w:sz w:val="20"/>
                <w:szCs w:val="20"/>
              </w:rPr>
              <w:t>指除中央银行以外的各类银行所从事存款、贷款和信用卡等货币媒介活动，还包括在中国开展货币业务的外资银行及分支机构的活动。</w:t>
            </w:r>
          </w:p>
        </w:tc>
      </w:tr>
      <w:tr w:rsidR="00A052DC" w14:paraId="1749C150" w14:textId="77777777">
        <w:trPr>
          <w:trHeight w:val="775"/>
        </w:trPr>
        <w:tc>
          <w:tcPr>
            <w:tcW w:w="720" w:type="dxa"/>
            <w:vMerge/>
            <w:vAlign w:val="center"/>
          </w:tcPr>
          <w:p w14:paraId="1B934013" w14:textId="77777777" w:rsidR="00563761" w:rsidRDefault="00563761" w:rsidP="0020251D">
            <w:pPr>
              <w:widowControl/>
              <w:adjustRightInd w:val="0"/>
              <w:snapToGrid w:val="0"/>
              <w:spacing w:beforeLines="20" w:before="62" w:afterLines="20" w:after="62"/>
              <w:jc w:val="left"/>
              <w:rPr>
                <w:rFonts w:ascii="黑体" w:eastAsia="黑体" w:hAnsi="宋体"/>
                <w:b/>
                <w:bCs/>
                <w:kern w:val="0"/>
                <w:sz w:val="20"/>
                <w:szCs w:val="20"/>
              </w:rPr>
            </w:pPr>
          </w:p>
        </w:tc>
        <w:tc>
          <w:tcPr>
            <w:tcW w:w="709" w:type="dxa"/>
            <w:shd w:val="clear" w:color="auto" w:fill="auto"/>
            <w:noWrap/>
            <w:vAlign w:val="center"/>
          </w:tcPr>
          <w:p w14:paraId="7B0DE40D" w14:textId="77777777" w:rsidR="00197ADB" w:rsidRDefault="009F0A60" w:rsidP="0020251D">
            <w:pPr>
              <w:widowControl/>
              <w:adjustRightInd w:val="0"/>
              <w:snapToGrid w:val="0"/>
              <w:spacing w:beforeLines="20" w:before="62" w:afterLines="20" w:after="62"/>
              <w:jc w:val="center"/>
              <w:rPr>
                <w:rFonts w:ascii="黑体" w:eastAsia="黑体" w:hAnsi="宋体"/>
                <w:kern w:val="0"/>
                <w:sz w:val="20"/>
                <w:szCs w:val="20"/>
              </w:rPr>
            </w:pPr>
            <w:r>
              <w:rPr>
                <w:rFonts w:ascii="黑体" w:eastAsia="黑体" w:hAnsi="宋体"/>
                <w:kern w:val="0"/>
                <w:sz w:val="20"/>
                <w:szCs w:val="20"/>
              </w:rPr>
              <w:t xml:space="preserve">　</w:t>
            </w:r>
          </w:p>
        </w:tc>
        <w:tc>
          <w:tcPr>
            <w:tcW w:w="1276" w:type="dxa"/>
            <w:shd w:val="clear" w:color="auto" w:fill="auto"/>
            <w:noWrap/>
            <w:vAlign w:val="center"/>
          </w:tcPr>
          <w:p w14:paraId="5EF2CE0B" w14:textId="77777777" w:rsidR="00563761" w:rsidRDefault="009F0A60" w:rsidP="0020251D">
            <w:pPr>
              <w:widowControl/>
              <w:adjustRightInd w:val="0"/>
              <w:snapToGrid w:val="0"/>
              <w:spacing w:beforeLines="20" w:before="62" w:afterLines="20" w:after="62"/>
              <w:rPr>
                <w:rFonts w:ascii="黑体" w:eastAsia="黑体" w:hAnsi="黑体" w:cs="宋体"/>
                <w:kern w:val="0"/>
                <w:sz w:val="20"/>
                <w:szCs w:val="20"/>
              </w:rPr>
            </w:pPr>
            <w:r>
              <w:rPr>
                <w:rFonts w:ascii="黑体" w:eastAsia="黑体" w:hAnsi="黑体" w:cs="宋体" w:hint="eastAsia"/>
                <w:kern w:val="0"/>
                <w:sz w:val="20"/>
                <w:szCs w:val="20"/>
              </w:rPr>
              <w:t>非货币银行服务</w:t>
            </w:r>
          </w:p>
        </w:tc>
        <w:tc>
          <w:tcPr>
            <w:tcW w:w="5720" w:type="dxa"/>
            <w:shd w:val="clear" w:color="auto" w:fill="auto"/>
            <w:noWrap/>
            <w:vAlign w:val="center"/>
          </w:tcPr>
          <w:p w14:paraId="23D757A3" w14:textId="77777777" w:rsidR="00563761" w:rsidRDefault="009F0A60" w:rsidP="0020251D">
            <w:pPr>
              <w:widowControl/>
              <w:adjustRightInd w:val="0"/>
              <w:snapToGrid w:val="0"/>
              <w:spacing w:beforeLines="20" w:before="62" w:afterLines="20" w:after="62"/>
              <w:rPr>
                <w:rFonts w:ascii="黑体" w:eastAsia="黑体" w:hAnsi="黑体" w:cs="宋体"/>
                <w:kern w:val="0"/>
                <w:sz w:val="20"/>
                <w:szCs w:val="20"/>
              </w:rPr>
            </w:pPr>
            <w:r>
              <w:rPr>
                <w:rFonts w:ascii="黑体" w:eastAsia="黑体" w:hAnsi="黑体" w:cs="宋体" w:hint="eastAsia"/>
                <w:kern w:val="0"/>
                <w:sz w:val="20"/>
                <w:szCs w:val="20"/>
              </w:rPr>
              <w:t>指主要与非货币媒介机构以各种方式发放贷款有关的金融服务。包括</w:t>
            </w:r>
            <w:r>
              <w:rPr>
                <w:rFonts w:ascii="黑体" w:eastAsia="黑体" w:hAnsi="黑体" w:cs="宋体"/>
                <w:kern w:val="0"/>
                <w:sz w:val="20"/>
                <w:szCs w:val="20"/>
              </w:rPr>
              <w:t>6631-6639子类。</w:t>
            </w:r>
          </w:p>
        </w:tc>
      </w:tr>
      <w:tr w:rsidR="00A052DC" w14:paraId="4BB84DDA" w14:textId="77777777">
        <w:trPr>
          <w:trHeight w:val="858"/>
        </w:trPr>
        <w:tc>
          <w:tcPr>
            <w:tcW w:w="720" w:type="dxa"/>
            <w:vMerge/>
            <w:vAlign w:val="center"/>
          </w:tcPr>
          <w:p w14:paraId="0389DD47" w14:textId="77777777" w:rsidR="00563761" w:rsidRDefault="00563761" w:rsidP="0020251D">
            <w:pPr>
              <w:widowControl/>
              <w:adjustRightInd w:val="0"/>
              <w:snapToGrid w:val="0"/>
              <w:spacing w:beforeLines="20" w:before="62" w:afterLines="20" w:after="62"/>
              <w:jc w:val="left"/>
              <w:rPr>
                <w:rFonts w:ascii="黑体" w:eastAsia="黑体" w:hAnsi="宋体"/>
                <w:b/>
                <w:bCs/>
                <w:kern w:val="0"/>
                <w:sz w:val="20"/>
                <w:szCs w:val="20"/>
              </w:rPr>
            </w:pPr>
          </w:p>
        </w:tc>
        <w:tc>
          <w:tcPr>
            <w:tcW w:w="709" w:type="dxa"/>
            <w:shd w:val="clear" w:color="auto" w:fill="auto"/>
            <w:noWrap/>
            <w:vAlign w:val="center"/>
          </w:tcPr>
          <w:p w14:paraId="5AFA9DA5" w14:textId="77777777" w:rsidR="00197ADB" w:rsidRDefault="009F0A60" w:rsidP="0020251D">
            <w:pPr>
              <w:widowControl/>
              <w:adjustRightInd w:val="0"/>
              <w:snapToGrid w:val="0"/>
              <w:spacing w:beforeLines="20" w:before="62" w:afterLines="20" w:after="62"/>
              <w:jc w:val="center"/>
              <w:rPr>
                <w:rFonts w:ascii="黑体" w:eastAsia="黑体" w:hAnsi="宋体"/>
                <w:kern w:val="0"/>
                <w:sz w:val="20"/>
                <w:szCs w:val="20"/>
              </w:rPr>
            </w:pPr>
            <w:r>
              <w:rPr>
                <w:rFonts w:ascii="黑体" w:eastAsia="黑体" w:hAnsi="宋体"/>
                <w:kern w:val="0"/>
                <w:sz w:val="20"/>
                <w:szCs w:val="20"/>
              </w:rPr>
              <w:t>6631</w:t>
            </w:r>
          </w:p>
        </w:tc>
        <w:tc>
          <w:tcPr>
            <w:tcW w:w="1276" w:type="dxa"/>
            <w:shd w:val="clear" w:color="auto" w:fill="auto"/>
            <w:noWrap/>
            <w:vAlign w:val="center"/>
          </w:tcPr>
          <w:p w14:paraId="5B7EAD43" w14:textId="77777777" w:rsidR="00563761" w:rsidRDefault="009F0A60" w:rsidP="0020251D">
            <w:pPr>
              <w:widowControl/>
              <w:adjustRightInd w:val="0"/>
              <w:snapToGrid w:val="0"/>
              <w:spacing w:beforeLines="20" w:before="62" w:afterLines="20" w:after="62"/>
              <w:rPr>
                <w:rFonts w:ascii="黑体" w:eastAsia="黑体" w:hAnsi="黑体" w:cs="宋体"/>
                <w:b/>
                <w:bCs/>
                <w:kern w:val="0"/>
                <w:sz w:val="20"/>
                <w:szCs w:val="20"/>
              </w:rPr>
            </w:pPr>
            <w:r>
              <w:rPr>
                <w:rFonts w:ascii="黑体" w:eastAsia="黑体" w:hAnsi="黑体" w:cs="宋体" w:hint="eastAsia"/>
                <w:kern w:val="0"/>
                <w:sz w:val="20"/>
                <w:szCs w:val="20"/>
              </w:rPr>
              <w:t>金融租赁服务</w:t>
            </w:r>
          </w:p>
        </w:tc>
        <w:tc>
          <w:tcPr>
            <w:tcW w:w="5720" w:type="dxa"/>
            <w:shd w:val="clear" w:color="auto" w:fill="auto"/>
            <w:noWrap/>
            <w:vAlign w:val="center"/>
          </w:tcPr>
          <w:p w14:paraId="25C9D9E1" w14:textId="77777777" w:rsidR="00563761" w:rsidRDefault="009F0A60" w:rsidP="0020251D">
            <w:pPr>
              <w:widowControl/>
              <w:adjustRightInd w:val="0"/>
              <w:snapToGrid w:val="0"/>
              <w:spacing w:beforeLines="20" w:before="62" w:afterLines="20" w:after="62"/>
              <w:rPr>
                <w:rFonts w:ascii="黑体" w:eastAsia="黑体" w:hAnsi="黑体" w:cs="宋体"/>
                <w:b/>
                <w:bCs/>
                <w:kern w:val="0"/>
                <w:sz w:val="20"/>
                <w:szCs w:val="20"/>
              </w:rPr>
            </w:pPr>
            <w:r>
              <w:rPr>
                <w:rFonts w:ascii="黑体" w:eastAsia="黑体" w:hAnsi="黑体" w:cs="宋体" w:hint="eastAsia"/>
                <w:kern w:val="0"/>
                <w:sz w:val="20"/>
                <w:szCs w:val="20"/>
              </w:rPr>
              <w:t>指经中国银行业监督管理委员会批准以经营融资租赁业务为主的非银行金融机构的活动。</w:t>
            </w:r>
          </w:p>
        </w:tc>
      </w:tr>
      <w:tr w:rsidR="00A052DC" w14:paraId="4973C6C9" w14:textId="77777777">
        <w:trPr>
          <w:trHeight w:val="671"/>
        </w:trPr>
        <w:tc>
          <w:tcPr>
            <w:tcW w:w="720" w:type="dxa"/>
            <w:vMerge/>
            <w:vAlign w:val="center"/>
          </w:tcPr>
          <w:p w14:paraId="788F781D" w14:textId="77777777" w:rsidR="00563761" w:rsidRDefault="00563761" w:rsidP="0020251D">
            <w:pPr>
              <w:widowControl/>
              <w:adjustRightInd w:val="0"/>
              <w:snapToGrid w:val="0"/>
              <w:spacing w:beforeLines="20" w:before="62" w:afterLines="20" w:after="62"/>
              <w:jc w:val="left"/>
              <w:rPr>
                <w:rFonts w:ascii="黑体" w:eastAsia="黑体" w:hAnsi="宋体"/>
                <w:b/>
                <w:bCs/>
                <w:kern w:val="0"/>
                <w:sz w:val="20"/>
                <w:szCs w:val="20"/>
              </w:rPr>
            </w:pPr>
          </w:p>
        </w:tc>
        <w:tc>
          <w:tcPr>
            <w:tcW w:w="709" w:type="dxa"/>
            <w:shd w:val="clear" w:color="auto" w:fill="auto"/>
            <w:noWrap/>
            <w:vAlign w:val="center"/>
          </w:tcPr>
          <w:p w14:paraId="32FFDB29" w14:textId="77777777" w:rsidR="00197ADB" w:rsidRDefault="009F0A60" w:rsidP="0020251D">
            <w:pPr>
              <w:widowControl/>
              <w:adjustRightInd w:val="0"/>
              <w:snapToGrid w:val="0"/>
              <w:spacing w:beforeLines="20" w:before="62" w:afterLines="20" w:after="62"/>
              <w:jc w:val="center"/>
              <w:rPr>
                <w:rFonts w:ascii="黑体" w:eastAsia="黑体" w:hAnsi="宋体"/>
                <w:kern w:val="0"/>
                <w:sz w:val="20"/>
                <w:szCs w:val="20"/>
              </w:rPr>
            </w:pPr>
            <w:r>
              <w:rPr>
                <w:rFonts w:ascii="黑体" w:eastAsia="黑体" w:hAnsi="宋体"/>
                <w:kern w:val="0"/>
                <w:sz w:val="20"/>
                <w:szCs w:val="20"/>
              </w:rPr>
              <w:t>6632</w:t>
            </w:r>
          </w:p>
        </w:tc>
        <w:tc>
          <w:tcPr>
            <w:tcW w:w="1276" w:type="dxa"/>
            <w:shd w:val="clear" w:color="auto" w:fill="auto"/>
            <w:noWrap/>
            <w:vAlign w:val="center"/>
          </w:tcPr>
          <w:p w14:paraId="1C8779A8" w14:textId="77777777" w:rsidR="00563761" w:rsidRDefault="009F0A60" w:rsidP="0020251D">
            <w:pPr>
              <w:widowControl/>
              <w:adjustRightInd w:val="0"/>
              <w:snapToGrid w:val="0"/>
              <w:spacing w:beforeLines="20" w:before="62" w:afterLines="20" w:after="62"/>
              <w:rPr>
                <w:rFonts w:ascii="黑体" w:eastAsia="黑体" w:hAnsi="黑体" w:cs="宋体"/>
                <w:kern w:val="0"/>
                <w:sz w:val="20"/>
                <w:szCs w:val="20"/>
              </w:rPr>
            </w:pPr>
            <w:r>
              <w:rPr>
                <w:rFonts w:ascii="黑体" w:eastAsia="黑体" w:hAnsi="黑体" w:cs="宋体" w:hint="eastAsia"/>
                <w:kern w:val="0"/>
                <w:sz w:val="20"/>
                <w:szCs w:val="20"/>
              </w:rPr>
              <w:t>财务公司</w:t>
            </w:r>
          </w:p>
        </w:tc>
        <w:tc>
          <w:tcPr>
            <w:tcW w:w="5720" w:type="dxa"/>
            <w:shd w:val="clear" w:color="auto" w:fill="auto"/>
            <w:noWrap/>
            <w:vAlign w:val="center"/>
          </w:tcPr>
          <w:p w14:paraId="1452D9A2" w14:textId="77777777" w:rsidR="00563761" w:rsidRDefault="009F0A60" w:rsidP="0020251D">
            <w:pPr>
              <w:widowControl/>
              <w:adjustRightInd w:val="0"/>
              <w:snapToGrid w:val="0"/>
              <w:spacing w:beforeLines="20" w:before="62" w:afterLines="20" w:after="62"/>
              <w:rPr>
                <w:rFonts w:ascii="黑体" w:eastAsia="黑体" w:hAnsi="黑体" w:cs="宋体"/>
                <w:kern w:val="0"/>
                <w:sz w:val="20"/>
                <w:szCs w:val="20"/>
              </w:rPr>
            </w:pPr>
            <w:r>
              <w:rPr>
                <w:rFonts w:ascii="黑体" w:eastAsia="黑体" w:hAnsi="黑体" w:cs="宋体" w:hint="eastAsia"/>
                <w:kern w:val="0"/>
                <w:sz w:val="20"/>
                <w:szCs w:val="20"/>
              </w:rPr>
              <w:t>指经中国银行业监督管理委员会批准，为企业融资提供的金融活动。</w:t>
            </w:r>
          </w:p>
        </w:tc>
      </w:tr>
      <w:tr w:rsidR="00A052DC" w14:paraId="59A93453" w14:textId="77777777">
        <w:trPr>
          <w:trHeight w:val="708"/>
        </w:trPr>
        <w:tc>
          <w:tcPr>
            <w:tcW w:w="720" w:type="dxa"/>
            <w:vMerge/>
            <w:vAlign w:val="center"/>
          </w:tcPr>
          <w:p w14:paraId="799DE9ED" w14:textId="77777777" w:rsidR="00563761" w:rsidRDefault="00563761" w:rsidP="0020251D">
            <w:pPr>
              <w:widowControl/>
              <w:adjustRightInd w:val="0"/>
              <w:snapToGrid w:val="0"/>
              <w:spacing w:beforeLines="20" w:before="62" w:afterLines="20" w:after="62"/>
              <w:jc w:val="left"/>
              <w:rPr>
                <w:rFonts w:ascii="黑体" w:eastAsia="黑体" w:hAnsi="宋体"/>
                <w:b/>
                <w:bCs/>
                <w:kern w:val="0"/>
                <w:sz w:val="20"/>
                <w:szCs w:val="20"/>
              </w:rPr>
            </w:pPr>
          </w:p>
        </w:tc>
        <w:tc>
          <w:tcPr>
            <w:tcW w:w="709" w:type="dxa"/>
            <w:shd w:val="clear" w:color="auto" w:fill="auto"/>
            <w:noWrap/>
            <w:vAlign w:val="center"/>
          </w:tcPr>
          <w:p w14:paraId="3A24324B" w14:textId="77777777" w:rsidR="00197ADB" w:rsidRDefault="009F0A60" w:rsidP="0020251D">
            <w:pPr>
              <w:widowControl/>
              <w:adjustRightInd w:val="0"/>
              <w:snapToGrid w:val="0"/>
              <w:spacing w:beforeLines="20" w:before="62" w:afterLines="20" w:after="62"/>
              <w:jc w:val="center"/>
              <w:rPr>
                <w:rFonts w:ascii="黑体" w:eastAsia="黑体" w:hAnsi="宋体"/>
                <w:kern w:val="0"/>
                <w:sz w:val="20"/>
                <w:szCs w:val="20"/>
              </w:rPr>
            </w:pPr>
            <w:r>
              <w:rPr>
                <w:rFonts w:ascii="黑体" w:eastAsia="黑体" w:hAnsi="宋体"/>
                <w:kern w:val="0"/>
                <w:sz w:val="20"/>
                <w:szCs w:val="20"/>
              </w:rPr>
              <w:t>6633</w:t>
            </w:r>
          </w:p>
        </w:tc>
        <w:tc>
          <w:tcPr>
            <w:tcW w:w="1276" w:type="dxa"/>
            <w:shd w:val="clear" w:color="auto" w:fill="auto"/>
            <w:noWrap/>
            <w:vAlign w:val="center"/>
          </w:tcPr>
          <w:p w14:paraId="19AA3134" w14:textId="77777777" w:rsidR="00563761" w:rsidRDefault="009F0A60" w:rsidP="0020251D">
            <w:pPr>
              <w:widowControl/>
              <w:adjustRightInd w:val="0"/>
              <w:snapToGrid w:val="0"/>
              <w:spacing w:beforeLines="20" w:before="62" w:afterLines="20" w:after="62"/>
              <w:rPr>
                <w:rFonts w:ascii="黑体" w:eastAsia="黑体" w:hAnsi="黑体" w:cs="宋体"/>
                <w:kern w:val="0"/>
                <w:sz w:val="20"/>
                <w:szCs w:val="20"/>
              </w:rPr>
            </w:pPr>
            <w:r>
              <w:rPr>
                <w:rFonts w:ascii="黑体" w:eastAsia="黑体" w:hAnsi="黑体" w:cs="宋体" w:hint="eastAsia"/>
                <w:kern w:val="0"/>
                <w:sz w:val="20"/>
                <w:szCs w:val="20"/>
              </w:rPr>
              <w:t>典当</w:t>
            </w:r>
          </w:p>
        </w:tc>
        <w:tc>
          <w:tcPr>
            <w:tcW w:w="5720" w:type="dxa"/>
            <w:shd w:val="clear" w:color="auto" w:fill="auto"/>
            <w:noWrap/>
            <w:vAlign w:val="center"/>
          </w:tcPr>
          <w:p w14:paraId="312E5615" w14:textId="77777777" w:rsidR="00563761" w:rsidRDefault="009F0A60" w:rsidP="0020251D">
            <w:pPr>
              <w:widowControl/>
              <w:adjustRightInd w:val="0"/>
              <w:snapToGrid w:val="0"/>
              <w:spacing w:beforeLines="20" w:before="62" w:afterLines="20" w:after="62"/>
              <w:rPr>
                <w:rFonts w:ascii="黑体" w:eastAsia="黑体" w:hAnsi="黑体" w:cs="宋体"/>
                <w:kern w:val="0"/>
                <w:sz w:val="20"/>
                <w:szCs w:val="20"/>
              </w:rPr>
            </w:pPr>
            <w:r>
              <w:rPr>
                <w:rFonts w:ascii="黑体" w:eastAsia="黑体" w:hAnsi="黑体" w:cs="宋体" w:hint="eastAsia"/>
                <w:kern w:val="0"/>
                <w:sz w:val="20"/>
                <w:szCs w:val="20"/>
              </w:rPr>
              <w:t>指以实物、财产权利质押或抵押的放款活动。</w:t>
            </w:r>
          </w:p>
        </w:tc>
      </w:tr>
      <w:tr w:rsidR="00A052DC" w14:paraId="67021A83" w14:textId="77777777">
        <w:trPr>
          <w:trHeight w:val="832"/>
        </w:trPr>
        <w:tc>
          <w:tcPr>
            <w:tcW w:w="720" w:type="dxa"/>
            <w:vMerge/>
            <w:vAlign w:val="center"/>
          </w:tcPr>
          <w:p w14:paraId="4B49460B" w14:textId="77777777" w:rsidR="00563761" w:rsidRDefault="00563761" w:rsidP="0020251D">
            <w:pPr>
              <w:widowControl/>
              <w:adjustRightInd w:val="0"/>
              <w:snapToGrid w:val="0"/>
              <w:spacing w:beforeLines="20" w:before="62" w:afterLines="20" w:after="62"/>
              <w:jc w:val="left"/>
              <w:rPr>
                <w:rFonts w:ascii="黑体" w:eastAsia="黑体" w:hAnsi="宋体"/>
                <w:b/>
                <w:bCs/>
                <w:kern w:val="0"/>
                <w:sz w:val="20"/>
                <w:szCs w:val="20"/>
              </w:rPr>
            </w:pPr>
          </w:p>
        </w:tc>
        <w:tc>
          <w:tcPr>
            <w:tcW w:w="709" w:type="dxa"/>
            <w:shd w:val="clear" w:color="auto" w:fill="auto"/>
            <w:noWrap/>
            <w:vAlign w:val="center"/>
          </w:tcPr>
          <w:p w14:paraId="5510F16E" w14:textId="77777777" w:rsidR="00197ADB" w:rsidRDefault="009F0A60" w:rsidP="0020251D">
            <w:pPr>
              <w:widowControl/>
              <w:adjustRightInd w:val="0"/>
              <w:snapToGrid w:val="0"/>
              <w:spacing w:beforeLines="20" w:before="62" w:afterLines="20" w:after="62"/>
              <w:jc w:val="center"/>
              <w:rPr>
                <w:rFonts w:ascii="黑体" w:eastAsia="黑体" w:hAnsi="宋体"/>
                <w:kern w:val="0"/>
                <w:sz w:val="20"/>
                <w:szCs w:val="20"/>
              </w:rPr>
            </w:pPr>
            <w:r>
              <w:rPr>
                <w:rFonts w:ascii="黑体" w:eastAsia="黑体" w:hAnsi="宋体"/>
                <w:kern w:val="0"/>
                <w:sz w:val="20"/>
                <w:szCs w:val="20"/>
              </w:rPr>
              <w:t>6639</w:t>
            </w:r>
          </w:p>
        </w:tc>
        <w:tc>
          <w:tcPr>
            <w:tcW w:w="1276" w:type="dxa"/>
            <w:shd w:val="clear" w:color="auto" w:fill="auto"/>
            <w:noWrap/>
            <w:vAlign w:val="center"/>
          </w:tcPr>
          <w:p w14:paraId="060AF636" w14:textId="77777777" w:rsidR="00563761" w:rsidRDefault="009F0A60" w:rsidP="0020251D">
            <w:pPr>
              <w:widowControl/>
              <w:adjustRightInd w:val="0"/>
              <w:snapToGrid w:val="0"/>
              <w:spacing w:beforeLines="20" w:before="62" w:afterLines="20" w:after="62"/>
              <w:rPr>
                <w:rFonts w:ascii="黑体" w:eastAsia="黑体" w:hAnsi="黑体" w:cs="宋体"/>
                <w:kern w:val="0"/>
                <w:sz w:val="20"/>
                <w:szCs w:val="20"/>
              </w:rPr>
            </w:pPr>
            <w:r>
              <w:rPr>
                <w:rFonts w:ascii="黑体" w:eastAsia="黑体" w:hAnsi="黑体" w:cs="宋体" w:hint="eastAsia"/>
                <w:kern w:val="0"/>
                <w:sz w:val="20"/>
                <w:szCs w:val="20"/>
              </w:rPr>
              <w:t>其他非货币银行服务</w:t>
            </w:r>
          </w:p>
        </w:tc>
        <w:tc>
          <w:tcPr>
            <w:tcW w:w="5720" w:type="dxa"/>
            <w:shd w:val="clear" w:color="auto" w:fill="auto"/>
            <w:noWrap/>
            <w:vAlign w:val="center"/>
          </w:tcPr>
          <w:p w14:paraId="6D9422A6" w14:textId="77777777" w:rsidR="00563761" w:rsidRDefault="009F0A60" w:rsidP="0020251D">
            <w:pPr>
              <w:widowControl/>
              <w:adjustRightInd w:val="0"/>
              <w:snapToGrid w:val="0"/>
              <w:spacing w:beforeLines="20" w:before="62" w:afterLines="20" w:after="62"/>
              <w:rPr>
                <w:rFonts w:ascii="黑体" w:eastAsia="黑体" w:hAnsi="黑体" w:cs="宋体"/>
                <w:kern w:val="0"/>
                <w:sz w:val="20"/>
                <w:szCs w:val="20"/>
              </w:rPr>
            </w:pPr>
            <w:r>
              <w:rPr>
                <w:rFonts w:ascii="黑体" w:eastAsia="黑体" w:hAnsi="黑体" w:cs="宋体" w:hint="eastAsia"/>
                <w:kern w:val="0"/>
                <w:sz w:val="20"/>
                <w:szCs w:val="20"/>
              </w:rPr>
              <w:t>指上述未包括的从事融资、抵押等非货币银行的服务，包括小额贷款公司、农村合作基金会等融资活动，以及各种消费信贷、国际贸易融资、公积金房屋信贷、抵押顾问和经纪人的活动。</w:t>
            </w:r>
          </w:p>
        </w:tc>
      </w:tr>
      <w:tr w:rsidR="00A052DC" w14:paraId="612DFE4E" w14:textId="77777777">
        <w:trPr>
          <w:trHeight w:val="633"/>
        </w:trPr>
        <w:tc>
          <w:tcPr>
            <w:tcW w:w="720" w:type="dxa"/>
            <w:vMerge/>
            <w:vAlign w:val="center"/>
          </w:tcPr>
          <w:p w14:paraId="56BFF61F" w14:textId="77777777" w:rsidR="00563761" w:rsidRDefault="00563761" w:rsidP="0020251D">
            <w:pPr>
              <w:widowControl/>
              <w:adjustRightInd w:val="0"/>
              <w:snapToGrid w:val="0"/>
              <w:spacing w:beforeLines="20" w:before="62" w:afterLines="20" w:after="62"/>
              <w:jc w:val="left"/>
              <w:rPr>
                <w:rFonts w:ascii="黑体" w:eastAsia="黑体" w:hAnsi="宋体"/>
                <w:b/>
                <w:bCs/>
                <w:kern w:val="0"/>
                <w:sz w:val="20"/>
                <w:szCs w:val="20"/>
              </w:rPr>
            </w:pPr>
          </w:p>
        </w:tc>
        <w:tc>
          <w:tcPr>
            <w:tcW w:w="709" w:type="dxa"/>
            <w:shd w:val="clear" w:color="auto" w:fill="auto"/>
            <w:noWrap/>
            <w:vAlign w:val="center"/>
          </w:tcPr>
          <w:p w14:paraId="1D51D7A2" w14:textId="77777777" w:rsidR="00197ADB" w:rsidRDefault="009F0A60" w:rsidP="0020251D">
            <w:pPr>
              <w:widowControl/>
              <w:adjustRightInd w:val="0"/>
              <w:snapToGrid w:val="0"/>
              <w:spacing w:beforeLines="20" w:before="62" w:afterLines="20" w:after="62"/>
              <w:jc w:val="center"/>
              <w:rPr>
                <w:rFonts w:ascii="黑体" w:eastAsia="黑体" w:hAnsi="宋体"/>
                <w:kern w:val="0"/>
                <w:sz w:val="20"/>
                <w:szCs w:val="20"/>
              </w:rPr>
            </w:pPr>
            <w:r>
              <w:rPr>
                <w:rFonts w:ascii="黑体" w:eastAsia="黑体" w:hAnsi="宋体"/>
                <w:kern w:val="0"/>
                <w:sz w:val="20"/>
                <w:szCs w:val="20"/>
              </w:rPr>
              <w:t>6640</w:t>
            </w:r>
          </w:p>
        </w:tc>
        <w:tc>
          <w:tcPr>
            <w:tcW w:w="1276" w:type="dxa"/>
            <w:shd w:val="clear" w:color="auto" w:fill="auto"/>
            <w:noWrap/>
            <w:vAlign w:val="center"/>
          </w:tcPr>
          <w:p w14:paraId="67CA298E" w14:textId="77777777" w:rsidR="00563761" w:rsidRDefault="009F0A60" w:rsidP="0020251D">
            <w:pPr>
              <w:widowControl/>
              <w:adjustRightInd w:val="0"/>
              <w:snapToGrid w:val="0"/>
              <w:spacing w:beforeLines="20" w:before="62" w:afterLines="20" w:after="62"/>
              <w:rPr>
                <w:rFonts w:ascii="黑体" w:eastAsia="黑体" w:hAnsi="黑体" w:cs="宋体"/>
                <w:kern w:val="0"/>
                <w:sz w:val="20"/>
                <w:szCs w:val="20"/>
              </w:rPr>
            </w:pPr>
            <w:r>
              <w:rPr>
                <w:rFonts w:ascii="黑体" w:eastAsia="黑体" w:hAnsi="黑体" w:cs="宋体" w:hint="eastAsia"/>
                <w:kern w:val="0"/>
                <w:sz w:val="20"/>
                <w:szCs w:val="20"/>
              </w:rPr>
              <w:t>银行监管服务</w:t>
            </w:r>
          </w:p>
        </w:tc>
        <w:tc>
          <w:tcPr>
            <w:tcW w:w="5720" w:type="dxa"/>
            <w:shd w:val="clear" w:color="auto" w:fill="auto"/>
            <w:noWrap/>
            <w:vAlign w:val="center"/>
          </w:tcPr>
          <w:p w14:paraId="51A92645" w14:textId="77777777" w:rsidR="00563761" w:rsidRDefault="009F0A60" w:rsidP="0020251D">
            <w:pPr>
              <w:widowControl/>
              <w:adjustRightInd w:val="0"/>
              <w:snapToGrid w:val="0"/>
              <w:spacing w:beforeLines="20" w:before="62" w:afterLines="20" w:after="62"/>
              <w:rPr>
                <w:rFonts w:ascii="黑体" w:eastAsia="黑体" w:hAnsi="黑体" w:cs="宋体"/>
                <w:kern w:val="0"/>
                <w:sz w:val="20"/>
                <w:szCs w:val="20"/>
              </w:rPr>
            </w:pPr>
            <w:r>
              <w:rPr>
                <w:rFonts w:ascii="黑体" w:eastAsia="黑体" w:hAnsi="黑体" w:cs="宋体" w:hint="eastAsia"/>
                <w:kern w:val="0"/>
                <w:sz w:val="20"/>
                <w:szCs w:val="20"/>
              </w:rPr>
              <w:t>指代表政府管理银行业活动，制定并发布对银行业金融机构及其业务活动监督管理的规章、规则。</w:t>
            </w:r>
          </w:p>
        </w:tc>
      </w:tr>
      <w:tr w:rsidR="00A052DC" w14:paraId="02A13A8A" w14:textId="77777777">
        <w:trPr>
          <w:trHeight w:val="684"/>
        </w:trPr>
        <w:tc>
          <w:tcPr>
            <w:tcW w:w="720" w:type="dxa"/>
            <w:vMerge w:val="restart"/>
            <w:shd w:val="clear" w:color="auto" w:fill="auto"/>
            <w:vAlign w:val="center"/>
          </w:tcPr>
          <w:p w14:paraId="3C81DCFD" w14:textId="77777777" w:rsidR="00A052DC" w:rsidRDefault="009F0A60" w:rsidP="0020251D">
            <w:pPr>
              <w:widowControl/>
              <w:adjustRightInd w:val="0"/>
              <w:snapToGrid w:val="0"/>
              <w:spacing w:beforeLines="20" w:before="62" w:afterLines="20" w:after="62"/>
              <w:jc w:val="center"/>
              <w:rPr>
                <w:rFonts w:ascii="黑体" w:eastAsia="黑体" w:hAnsi="宋体"/>
                <w:kern w:val="0"/>
                <w:sz w:val="20"/>
                <w:szCs w:val="20"/>
              </w:rPr>
            </w:pPr>
            <w:r>
              <w:rPr>
                <w:rFonts w:ascii="黑体" w:eastAsia="黑体" w:hAnsi="宋体"/>
                <w:kern w:val="0"/>
                <w:sz w:val="20"/>
                <w:szCs w:val="20"/>
              </w:rPr>
              <w:t>1067</w:t>
            </w:r>
          </w:p>
        </w:tc>
        <w:tc>
          <w:tcPr>
            <w:tcW w:w="709" w:type="dxa"/>
            <w:shd w:val="clear" w:color="auto" w:fill="auto"/>
            <w:noWrap/>
            <w:vAlign w:val="center"/>
          </w:tcPr>
          <w:p w14:paraId="5D07A9E7" w14:textId="77777777" w:rsidR="00563761" w:rsidRDefault="009F0A60" w:rsidP="0020251D">
            <w:pPr>
              <w:widowControl/>
              <w:adjustRightInd w:val="0"/>
              <w:snapToGrid w:val="0"/>
              <w:spacing w:beforeLines="20" w:before="62" w:afterLines="20" w:after="62"/>
              <w:jc w:val="center"/>
              <w:rPr>
                <w:rFonts w:ascii="黑体" w:eastAsia="黑体" w:hAnsi="宋体"/>
                <w:kern w:val="0"/>
                <w:sz w:val="20"/>
                <w:szCs w:val="20"/>
              </w:rPr>
            </w:pPr>
            <w:r>
              <w:rPr>
                <w:rFonts w:ascii="黑体" w:eastAsia="黑体" w:hAnsi="宋体"/>
                <w:kern w:val="0"/>
                <w:sz w:val="20"/>
                <w:szCs w:val="20"/>
              </w:rPr>
              <w:t xml:space="preserve">　</w:t>
            </w:r>
          </w:p>
        </w:tc>
        <w:tc>
          <w:tcPr>
            <w:tcW w:w="1276" w:type="dxa"/>
            <w:shd w:val="clear" w:color="auto" w:fill="auto"/>
            <w:noWrap/>
            <w:vAlign w:val="center"/>
          </w:tcPr>
          <w:p w14:paraId="0A0DF483" w14:textId="77777777" w:rsidR="00563761" w:rsidRDefault="009F0A60" w:rsidP="0020251D">
            <w:pPr>
              <w:widowControl/>
              <w:adjustRightInd w:val="0"/>
              <w:snapToGrid w:val="0"/>
              <w:spacing w:beforeLines="20" w:before="62" w:afterLines="20" w:after="62"/>
              <w:rPr>
                <w:rFonts w:ascii="黑体" w:eastAsia="黑体" w:hAnsi="黑体" w:cs="宋体"/>
                <w:kern w:val="0"/>
                <w:sz w:val="20"/>
                <w:szCs w:val="20"/>
              </w:rPr>
            </w:pPr>
            <w:r>
              <w:rPr>
                <w:rFonts w:ascii="黑体" w:eastAsia="黑体" w:hAnsi="黑体" w:cs="宋体" w:hint="eastAsia"/>
                <w:kern w:val="0"/>
                <w:sz w:val="20"/>
                <w:szCs w:val="20"/>
              </w:rPr>
              <w:t>资本市场服务</w:t>
            </w:r>
          </w:p>
        </w:tc>
        <w:tc>
          <w:tcPr>
            <w:tcW w:w="5720" w:type="dxa"/>
            <w:shd w:val="clear" w:color="auto" w:fill="auto"/>
            <w:noWrap/>
            <w:vAlign w:val="center"/>
          </w:tcPr>
          <w:p w14:paraId="546A0727" w14:textId="77777777" w:rsidR="00563761" w:rsidRDefault="009F0A60" w:rsidP="0020251D">
            <w:pPr>
              <w:widowControl/>
              <w:adjustRightInd w:val="0"/>
              <w:snapToGrid w:val="0"/>
              <w:spacing w:beforeLines="20" w:before="62" w:afterLines="20" w:after="62"/>
              <w:rPr>
                <w:rFonts w:ascii="黑体" w:eastAsia="黑体" w:hAnsi="黑体" w:cs="宋体"/>
                <w:kern w:val="0"/>
                <w:sz w:val="20"/>
                <w:szCs w:val="20"/>
              </w:rPr>
            </w:pPr>
            <w:r>
              <w:rPr>
                <w:rFonts w:ascii="黑体" w:eastAsia="黑体" w:hAnsi="黑体" w:cs="宋体" w:hint="eastAsia"/>
                <w:kern w:val="0"/>
                <w:sz w:val="20"/>
                <w:szCs w:val="20"/>
              </w:rPr>
              <w:t>包括</w:t>
            </w:r>
            <w:r>
              <w:rPr>
                <w:rFonts w:ascii="黑体" w:eastAsia="黑体" w:hAnsi="黑体" w:cs="宋体"/>
                <w:kern w:val="0"/>
                <w:sz w:val="20"/>
                <w:szCs w:val="20"/>
              </w:rPr>
              <w:t>6711-6790子类</w:t>
            </w:r>
            <w:r>
              <w:rPr>
                <w:rFonts w:ascii="黑体" w:eastAsia="黑体" w:hAnsi="黑体" w:cs="宋体" w:hint="eastAsia"/>
                <w:kern w:val="0"/>
                <w:sz w:val="20"/>
                <w:szCs w:val="20"/>
              </w:rPr>
              <w:t>。</w:t>
            </w:r>
          </w:p>
        </w:tc>
      </w:tr>
      <w:tr w:rsidR="00A052DC" w14:paraId="0653AE46" w14:textId="77777777">
        <w:trPr>
          <w:trHeight w:val="566"/>
        </w:trPr>
        <w:tc>
          <w:tcPr>
            <w:tcW w:w="720" w:type="dxa"/>
            <w:vMerge/>
            <w:vAlign w:val="center"/>
          </w:tcPr>
          <w:p w14:paraId="7E4F6BAA" w14:textId="77777777" w:rsidR="00563761" w:rsidRDefault="00563761" w:rsidP="0020251D">
            <w:pPr>
              <w:widowControl/>
              <w:adjustRightInd w:val="0"/>
              <w:snapToGrid w:val="0"/>
              <w:spacing w:beforeLines="20" w:before="62" w:afterLines="20" w:after="62"/>
              <w:jc w:val="left"/>
              <w:rPr>
                <w:rFonts w:ascii="黑体" w:eastAsia="黑体" w:hAnsi="宋体"/>
                <w:b/>
                <w:bCs/>
                <w:kern w:val="0"/>
                <w:sz w:val="20"/>
                <w:szCs w:val="20"/>
              </w:rPr>
            </w:pPr>
          </w:p>
        </w:tc>
        <w:tc>
          <w:tcPr>
            <w:tcW w:w="709" w:type="dxa"/>
            <w:shd w:val="clear" w:color="auto" w:fill="auto"/>
            <w:noWrap/>
            <w:vAlign w:val="center"/>
          </w:tcPr>
          <w:p w14:paraId="47E2470E" w14:textId="77777777" w:rsidR="00197ADB" w:rsidRDefault="009F0A60" w:rsidP="0020251D">
            <w:pPr>
              <w:widowControl/>
              <w:adjustRightInd w:val="0"/>
              <w:snapToGrid w:val="0"/>
              <w:spacing w:beforeLines="20" w:before="62" w:afterLines="20" w:after="62"/>
              <w:jc w:val="center"/>
              <w:rPr>
                <w:rFonts w:ascii="黑体" w:eastAsia="黑体" w:hAnsi="宋体"/>
                <w:kern w:val="0"/>
                <w:sz w:val="20"/>
                <w:szCs w:val="20"/>
              </w:rPr>
            </w:pPr>
            <w:r>
              <w:rPr>
                <w:rFonts w:ascii="黑体" w:eastAsia="黑体" w:hAnsi="宋体"/>
                <w:kern w:val="0"/>
                <w:sz w:val="20"/>
                <w:szCs w:val="20"/>
              </w:rPr>
              <w:t xml:space="preserve">　</w:t>
            </w:r>
          </w:p>
        </w:tc>
        <w:tc>
          <w:tcPr>
            <w:tcW w:w="1276" w:type="dxa"/>
            <w:shd w:val="clear" w:color="auto" w:fill="auto"/>
            <w:noWrap/>
            <w:vAlign w:val="center"/>
          </w:tcPr>
          <w:p w14:paraId="4ECCBD06" w14:textId="77777777" w:rsidR="00563761" w:rsidRDefault="009F0A60" w:rsidP="0020251D">
            <w:pPr>
              <w:widowControl/>
              <w:adjustRightInd w:val="0"/>
              <w:snapToGrid w:val="0"/>
              <w:spacing w:beforeLines="20" w:before="62" w:afterLines="20" w:after="62"/>
              <w:rPr>
                <w:rFonts w:ascii="黑体" w:eastAsia="黑体" w:hAnsi="黑体" w:cs="宋体"/>
                <w:kern w:val="0"/>
                <w:sz w:val="20"/>
                <w:szCs w:val="20"/>
              </w:rPr>
            </w:pPr>
            <w:r>
              <w:rPr>
                <w:rFonts w:ascii="黑体" w:eastAsia="黑体" w:hAnsi="黑体" w:cs="宋体" w:hint="eastAsia"/>
                <w:kern w:val="0"/>
                <w:sz w:val="20"/>
                <w:szCs w:val="20"/>
              </w:rPr>
              <w:t>证券市场服务</w:t>
            </w:r>
          </w:p>
        </w:tc>
        <w:tc>
          <w:tcPr>
            <w:tcW w:w="5720" w:type="dxa"/>
            <w:shd w:val="clear" w:color="auto" w:fill="auto"/>
            <w:noWrap/>
            <w:vAlign w:val="center"/>
          </w:tcPr>
          <w:p w14:paraId="1F7C8053" w14:textId="77777777" w:rsidR="00563761" w:rsidRDefault="009F0A60" w:rsidP="0020251D">
            <w:pPr>
              <w:widowControl/>
              <w:adjustRightInd w:val="0"/>
              <w:snapToGrid w:val="0"/>
              <w:spacing w:beforeLines="20" w:before="62" w:afterLines="20" w:after="62"/>
              <w:jc w:val="left"/>
              <w:rPr>
                <w:rFonts w:ascii="黑体" w:eastAsia="黑体" w:hAnsi="黑体" w:cs="宋体"/>
                <w:kern w:val="0"/>
                <w:sz w:val="20"/>
                <w:szCs w:val="20"/>
              </w:rPr>
            </w:pPr>
            <w:r>
              <w:rPr>
                <w:rFonts w:ascii="黑体" w:eastAsia="黑体" w:hAnsi="黑体" w:cs="宋体" w:hint="eastAsia"/>
                <w:kern w:val="0"/>
                <w:sz w:val="20"/>
                <w:szCs w:val="20"/>
              </w:rPr>
              <w:t>包括</w:t>
            </w:r>
            <w:r>
              <w:rPr>
                <w:rFonts w:ascii="黑体" w:eastAsia="黑体" w:hAnsi="黑体" w:cs="宋体"/>
                <w:kern w:val="0"/>
                <w:sz w:val="20"/>
                <w:szCs w:val="20"/>
              </w:rPr>
              <w:t>6711-6713子类。</w:t>
            </w:r>
          </w:p>
        </w:tc>
      </w:tr>
      <w:tr w:rsidR="00A052DC" w14:paraId="66218982" w14:textId="77777777">
        <w:trPr>
          <w:trHeight w:val="902"/>
        </w:trPr>
        <w:tc>
          <w:tcPr>
            <w:tcW w:w="720" w:type="dxa"/>
            <w:vMerge/>
            <w:vAlign w:val="center"/>
          </w:tcPr>
          <w:p w14:paraId="535156CC" w14:textId="77777777" w:rsidR="00563761" w:rsidRDefault="00563761" w:rsidP="0020251D">
            <w:pPr>
              <w:widowControl/>
              <w:adjustRightInd w:val="0"/>
              <w:snapToGrid w:val="0"/>
              <w:spacing w:beforeLines="20" w:before="62" w:afterLines="20" w:after="62"/>
              <w:jc w:val="left"/>
              <w:rPr>
                <w:rFonts w:ascii="黑体" w:eastAsia="黑体" w:hAnsi="宋体"/>
                <w:kern w:val="0"/>
                <w:sz w:val="20"/>
                <w:szCs w:val="20"/>
              </w:rPr>
            </w:pPr>
          </w:p>
        </w:tc>
        <w:tc>
          <w:tcPr>
            <w:tcW w:w="709" w:type="dxa"/>
            <w:shd w:val="clear" w:color="auto" w:fill="auto"/>
            <w:noWrap/>
            <w:vAlign w:val="center"/>
          </w:tcPr>
          <w:p w14:paraId="727B9FC1" w14:textId="77777777" w:rsidR="00563761" w:rsidRDefault="009F0A60" w:rsidP="0020251D">
            <w:pPr>
              <w:widowControl/>
              <w:adjustRightInd w:val="0"/>
              <w:snapToGrid w:val="0"/>
              <w:spacing w:beforeLines="20" w:before="62" w:afterLines="20" w:after="62"/>
              <w:jc w:val="center"/>
              <w:rPr>
                <w:rFonts w:ascii="黑体" w:eastAsia="黑体" w:hAnsi="宋体"/>
                <w:kern w:val="0"/>
                <w:sz w:val="20"/>
                <w:szCs w:val="20"/>
              </w:rPr>
            </w:pPr>
            <w:r>
              <w:rPr>
                <w:rFonts w:ascii="黑体" w:eastAsia="黑体" w:hAnsi="宋体"/>
                <w:kern w:val="0"/>
                <w:sz w:val="20"/>
                <w:szCs w:val="20"/>
              </w:rPr>
              <w:t>6711</w:t>
            </w:r>
          </w:p>
        </w:tc>
        <w:tc>
          <w:tcPr>
            <w:tcW w:w="1276" w:type="dxa"/>
            <w:shd w:val="clear" w:color="auto" w:fill="auto"/>
            <w:noWrap/>
            <w:vAlign w:val="center"/>
          </w:tcPr>
          <w:p w14:paraId="0BACB28B" w14:textId="77777777" w:rsidR="00563761" w:rsidRDefault="009F0A60" w:rsidP="0020251D">
            <w:pPr>
              <w:widowControl/>
              <w:adjustRightInd w:val="0"/>
              <w:snapToGrid w:val="0"/>
              <w:spacing w:beforeLines="20" w:before="62" w:afterLines="20" w:after="62"/>
              <w:rPr>
                <w:rFonts w:ascii="黑体" w:eastAsia="黑体" w:hAnsi="黑体" w:cs="宋体"/>
                <w:kern w:val="0"/>
                <w:sz w:val="20"/>
                <w:szCs w:val="20"/>
              </w:rPr>
            </w:pPr>
            <w:r>
              <w:rPr>
                <w:rFonts w:ascii="黑体" w:eastAsia="黑体" w:hAnsi="黑体" w:cs="宋体" w:hint="eastAsia"/>
                <w:kern w:val="0"/>
                <w:sz w:val="20"/>
                <w:szCs w:val="20"/>
              </w:rPr>
              <w:t>证券市场管理服务</w:t>
            </w:r>
          </w:p>
        </w:tc>
        <w:tc>
          <w:tcPr>
            <w:tcW w:w="5720" w:type="dxa"/>
            <w:shd w:val="clear" w:color="auto" w:fill="auto"/>
            <w:noWrap/>
            <w:vAlign w:val="center"/>
          </w:tcPr>
          <w:p w14:paraId="7B4A22AF" w14:textId="77777777" w:rsidR="00563761" w:rsidRDefault="009F0A60" w:rsidP="0020251D">
            <w:pPr>
              <w:widowControl/>
              <w:adjustRightInd w:val="0"/>
              <w:snapToGrid w:val="0"/>
              <w:spacing w:beforeLines="20" w:before="62" w:afterLines="20" w:after="62"/>
              <w:rPr>
                <w:rFonts w:ascii="黑体" w:eastAsia="黑体" w:hAnsi="黑体" w:cs="宋体"/>
                <w:kern w:val="0"/>
                <w:sz w:val="20"/>
                <w:szCs w:val="20"/>
              </w:rPr>
            </w:pPr>
            <w:r>
              <w:rPr>
                <w:rFonts w:ascii="黑体" w:eastAsia="黑体" w:hAnsi="黑体" w:cs="宋体" w:hint="eastAsia"/>
                <w:kern w:val="0"/>
                <w:sz w:val="20"/>
                <w:szCs w:val="20"/>
              </w:rPr>
              <w:t>指非政府机关进行的证券市场经营和监管，包括证券交易所、登记结算机构的活动。</w:t>
            </w:r>
          </w:p>
        </w:tc>
      </w:tr>
      <w:tr w:rsidR="00A052DC" w14:paraId="59C4A8A9" w14:textId="77777777">
        <w:trPr>
          <w:trHeight w:val="561"/>
        </w:trPr>
        <w:tc>
          <w:tcPr>
            <w:tcW w:w="720" w:type="dxa"/>
            <w:vMerge/>
            <w:vAlign w:val="center"/>
          </w:tcPr>
          <w:p w14:paraId="2FA53CD5" w14:textId="77777777" w:rsidR="00563761" w:rsidRDefault="00563761" w:rsidP="0020251D">
            <w:pPr>
              <w:widowControl/>
              <w:adjustRightInd w:val="0"/>
              <w:snapToGrid w:val="0"/>
              <w:spacing w:beforeLines="20" w:before="62" w:afterLines="20" w:after="62"/>
              <w:jc w:val="left"/>
              <w:rPr>
                <w:rFonts w:ascii="黑体" w:eastAsia="黑体" w:hAnsi="宋体"/>
                <w:b/>
                <w:bCs/>
                <w:kern w:val="0"/>
                <w:sz w:val="20"/>
                <w:szCs w:val="20"/>
              </w:rPr>
            </w:pPr>
          </w:p>
        </w:tc>
        <w:tc>
          <w:tcPr>
            <w:tcW w:w="709" w:type="dxa"/>
            <w:shd w:val="clear" w:color="auto" w:fill="auto"/>
            <w:noWrap/>
            <w:vAlign w:val="center"/>
          </w:tcPr>
          <w:p w14:paraId="711B93D6" w14:textId="77777777" w:rsidR="00197ADB" w:rsidRDefault="009F0A60" w:rsidP="0020251D">
            <w:pPr>
              <w:widowControl/>
              <w:adjustRightInd w:val="0"/>
              <w:snapToGrid w:val="0"/>
              <w:spacing w:beforeLines="20" w:before="62" w:afterLines="20" w:after="62"/>
              <w:jc w:val="center"/>
              <w:rPr>
                <w:rFonts w:ascii="黑体" w:eastAsia="黑体" w:hAnsi="宋体"/>
                <w:kern w:val="0"/>
                <w:sz w:val="20"/>
                <w:szCs w:val="20"/>
              </w:rPr>
            </w:pPr>
            <w:r>
              <w:rPr>
                <w:rFonts w:ascii="黑体" w:eastAsia="黑体" w:hAnsi="宋体"/>
                <w:kern w:val="0"/>
                <w:sz w:val="20"/>
                <w:szCs w:val="20"/>
              </w:rPr>
              <w:t>6712</w:t>
            </w:r>
          </w:p>
        </w:tc>
        <w:tc>
          <w:tcPr>
            <w:tcW w:w="1276" w:type="dxa"/>
            <w:shd w:val="clear" w:color="auto" w:fill="auto"/>
            <w:noWrap/>
            <w:vAlign w:val="center"/>
          </w:tcPr>
          <w:p w14:paraId="4A037E7D" w14:textId="77777777" w:rsidR="00563761" w:rsidRDefault="009F0A60" w:rsidP="0020251D">
            <w:pPr>
              <w:widowControl/>
              <w:adjustRightInd w:val="0"/>
              <w:snapToGrid w:val="0"/>
              <w:spacing w:beforeLines="20" w:before="62" w:afterLines="20" w:after="62"/>
              <w:rPr>
                <w:rFonts w:ascii="黑体" w:eastAsia="黑体" w:hAnsi="黑体" w:cs="宋体"/>
                <w:kern w:val="0"/>
                <w:sz w:val="20"/>
                <w:szCs w:val="20"/>
              </w:rPr>
            </w:pPr>
            <w:r>
              <w:rPr>
                <w:rFonts w:ascii="黑体" w:eastAsia="黑体" w:hAnsi="黑体" w:cs="宋体" w:hint="eastAsia"/>
                <w:kern w:val="0"/>
                <w:sz w:val="20"/>
                <w:szCs w:val="20"/>
              </w:rPr>
              <w:t>证券经纪交易服务</w:t>
            </w:r>
          </w:p>
        </w:tc>
        <w:tc>
          <w:tcPr>
            <w:tcW w:w="5720" w:type="dxa"/>
            <w:shd w:val="clear" w:color="auto" w:fill="auto"/>
            <w:noWrap/>
            <w:vAlign w:val="center"/>
          </w:tcPr>
          <w:p w14:paraId="03186418" w14:textId="77777777" w:rsidR="00563761" w:rsidRDefault="009F0A60" w:rsidP="0020251D">
            <w:pPr>
              <w:widowControl/>
              <w:adjustRightInd w:val="0"/>
              <w:snapToGrid w:val="0"/>
              <w:spacing w:beforeLines="20" w:before="62" w:afterLines="20" w:after="62"/>
              <w:rPr>
                <w:rFonts w:ascii="黑体" w:eastAsia="黑体" w:hAnsi="黑体" w:cs="宋体"/>
                <w:kern w:val="0"/>
                <w:sz w:val="20"/>
                <w:szCs w:val="20"/>
              </w:rPr>
            </w:pPr>
            <w:r>
              <w:rPr>
                <w:rFonts w:ascii="黑体" w:eastAsia="黑体" w:hAnsi="黑体" w:cs="宋体" w:hint="eastAsia"/>
                <w:kern w:val="0"/>
                <w:sz w:val="20"/>
                <w:szCs w:val="20"/>
              </w:rPr>
              <w:t>指在金融市场上代他人进行交易、代理发行证券和其他有关活动，包括证券经纪、证券承销与保荐、融资融券业务、客户资产管理业务等活动。</w:t>
            </w:r>
          </w:p>
        </w:tc>
      </w:tr>
      <w:tr w:rsidR="00A052DC" w14:paraId="5BACB1F8" w14:textId="77777777">
        <w:trPr>
          <w:trHeight w:val="927"/>
        </w:trPr>
        <w:tc>
          <w:tcPr>
            <w:tcW w:w="720" w:type="dxa"/>
            <w:vMerge/>
            <w:vAlign w:val="center"/>
          </w:tcPr>
          <w:p w14:paraId="68874139" w14:textId="77777777" w:rsidR="00563761" w:rsidRDefault="00563761" w:rsidP="0020251D">
            <w:pPr>
              <w:widowControl/>
              <w:adjustRightInd w:val="0"/>
              <w:snapToGrid w:val="0"/>
              <w:spacing w:beforeLines="20" w:before="62" w:afterLines="20" w:after="62"/>
              <w:jc w:val="left"/>
              <w:rPr>
                <w:rFonts w:ascii="黑体" w:eastAsia="黑体" w:hAnsi="宋体"/>
                <w:b/>
                <w:bCs/>
                <w:kern w:val="0"/>
                <w:sz w:val="20"/>
                <w:szCs w:val="20"/>
              </w:rPr>
            </w:pPr>
          </w:p>
        </w:tc>
        <w:tc>
          <w:tcPr>
            <w:tcW w:w="709" w:type="dxa"/>
            <w:shd w:val="clear" w:color="auto" w:fill="auto"/>
            <w:noWrap/>
            <w:vAlign w:val="center"/>
          </w:tcPr>
          <w:p w14:paraId="27DE12C8" w14:textId="77777777" w:rsidR="00197ADB" w:rsidRDefault="009F0A60" w:rsidP="0020251D">
            <w:pPr>
              <w:widowControl/>
              <w:adjustRightInd w:val="0"/>
              <w:snapToGrid w:val="0"/>
              <w:spacing w:beforeLines="20" w:before="62" w:afterLines="20" w:after="62"/>
              <w:jc w:val="center"/>
              <w:rPr>
                <w:rFonts w:ascii="黑体" w:eastAsia="黑体" w:hAnsi="宋体"/>
                <w:kern w:val="0"/>
                <w:sz w:val="20"/>
                <w:szCs w:val="20"/>
              </w:rPr>
            </w:pPr>
            <w:r>
              <w:rPr>
                <w:rFonts w:ascii="黑体" w:eastAsia="黑体" w:hAnsi="宋体"/>
                <w:kern w:val="0"/>
                <w:sz w:val="20"/>
                <w:szCs w:val="20"/>
              </w:rPr>
              <w:t>6713</w:t>
            </w:r>
          </w:p>
        </w:tc>
        <w:tc>
          <w:tcPr>
            <w:tcW w:w="1276" w:type="dxa"/>
            <w:shd w:val="clear" w:color="auto" w:fill="auto"/>
            <w:noWrap/>
            <w:vAlign w:val="center"/>
          </w:tcPr>
          <w:p w14:paraId="0D834BCA" w14:textId="77777777" w:rsidR="00563761" w:rsidRDefault="009F0A60" w:rsidP="0020251D">
            <w:pPr>
              <w:widowControl/>
              <w:adjustRightInd w:val="0"/>
              <w:snapToGrid w:val="0"/>
              <w:spacing w:beforeLines="20" w:before="62" w:afterLines="20" w:after="62"/>
              <w:rPr>
                <w:rFonts w:ascii="黑体" w:eastAsia="黑体" w:hAnsi="黑体" w:cs="宋体"/>
                <w:kern w:val="0"/>
                <w:sz w:val="20"/>
                <w:szCs w:val="20"/>
              </w:rPr>
            </w:pPr>
            <w:r>
              <w:rPr>
                <w:rFonts w:ascii="黑体" w:eastAsia="黑体" w:hAnsi="黑体" w:cs="宋体" w:hint="eastAsia"/>
                <w:kern w:val="0"/>
                <w:sz w:val="20"/>
                <w:szCs w:val="20"/>
              </w:rPr>
              <w:t>基金管理服务</w:t>
            </w:r>
          </w:p>
        </w:tc>
        <w:tc>
          <w:tcPr>
            <w:tcW w:w="5720" w:type="dxa"/>
            <w:shd w:val="clear" w:color="auto" w:fill="auto"/>
            <w:noWrap/>
            <w:vAlign w:val="center"/>
          </w:tcPr>
          <w:p w14:paraId="00FF42A7" w14:textId="77777777" w:rsidR="00563761" w:rsidRDefault="009F0A60" w:rsidP="0020251D">
            <w:pPr>
              <w:widowControl/>
              <w:adjustRightInd w:val="0"/>
              <w:snapToGrid w:val="0"/>
              <w:spacing w:beforeLines="20" w:before="62" w:afterLines="20" w:after="62"/>
              <w:rPr>
                <w:rFonts w:ascii="黑体" w:eastAsia="黑体" w:hAnsi="黑体" w:cs="宋体"/>
                <w:kern w:val="0"/>
                <w:sz w:val="20"/>
                <w:szCs w:val="20"/>
              </w:rPr>
            </w:pPr>
            <w:r>
              <w:rPr>
                <w:rFonts w:ascii="黑体" w:eastAsia="黑体" w:hAnsi="黑体" w:cs="宋体" w:hint="eastAsia"/>
                <w:kern w:val="0"/>
                <w:sz w:val="20"/>
                <w:szCs w:val="20"/>
              </w:rPr>
              <w:t>指在收费或合同基础上为个人、企业及其他客户进行的资产组合和基金管理活动，包括证券投资基金、企业年金、社保基金、专户理财、国内资本境外投资管理（</w:t>
            </w:r>
            <w:r>
              <w:rPr>
                <w:rFonts w:ascii="黑体" w:eastAsia="黑体" w:hAnsi="黑体" w:cs="宋体"/>
                <w:kern w:val="0"/>
                <w:sz w:val="20"/>
                <w:szCs w:val="20"/>
              </w:rPr>
              <w:t>QDII</w:t>
            </w:r>
            <w:r>
              <w:rPr>
                <w:rFonts w:ascii="黑体" w:eastAsia="黑体" w:hAnsi="黑体" w:cs="宋体" w:hint="eastAsia"/>
                <w:kern w:val="0"/>
                <w:sz w:val="20"/>
                <w:szCs w:val="20"/>
              </w:rPr>
              <w:t>/RQDII</w:t>
            </w:r>
            <w:r>
              <w:rPr>
                <w:rFonts w:ascii="黑体" w:eastAsia="黑体" w:hAnsi="黑体" w:cs="宋体"/>
                <w:kern w:val="0"/>
                <w:sz w:val="20"/>
                <w:szCs w:val="20"/>
              </w:rPr>
              <w:t>）等活动。</w:t>
            </w:r>
          </w:p>
        </w:tc>
      </w:tr>
      <w:tr w:rsidR="00A052DC" w14:paraId="2BB641FF" w14:textId="77777777">
        <w:trPr>
          <w:trHeight w:val="699"/>
        </w:trPr>
        <w:tc>
          <w:tcPr>
            <w:tcW w:w="720" w:type="dxa"/>
            <w:vMerge/>
            <w:vAlign w:val="center"/>
          </w:tcPr>
          <w:p w14:paraId="0B3464DE" w14:textId="77777777" w:rsidR="00563761" w:rsidRDefault="00563761" w:rsidP="0020251D">
            <w:pPr>
              <w:widowControl/>
              <w:adjustRightInd w:val="0"/>
              <w:snapToGrid w:val="0"/>
              <w:spacing w:beforeLines="20" w:before="62" w:afterLines="20" w:after="62"/>
              <w:jc w:val="left"/>
              <w:rPr>
                <w:rFonts w:ascii="黑体" w:eastAsia="黑体" w:hAnsi="宋体"/>
                <w:b/>
                <w:bCs/>
                <w:kern w:val="0"/>
                <w:sz w:val="20"/>
                <w:szCs w:val="20"/>
              </w:rPr>
            </w:pPr>
          </w:p>
        </w:tc>
        <w:tc>
          <w:tcPr>
            <w:tcW w:w="709" w:type="dxa"/>
            <w:shd w:val="clear" w:color="auto" w:fill="auto"/>
            <w:noWrap/>
            <w:vAlign w:val="center"/>
          </w:tcPr>
          <w:p w14:paraId="740E5B8E" w14:textId="77777777" w:rsidR="00197ADB" w:rsidRDefault="009F0A60" w:rsidP="0020251D">
            <w:pPr>
              <w:widowControl/>
              <w:adjustRightInd w:val="0"/>
              <w:snapToGrid w:val="0"/>
              <w:spacing w:beforeLines="20" w:before="62" w:afterLines="20" w:after="62"/>
              <w:jc w:val="center"/>
              <w:rPr>
                <w:rFonts w:ascii="黑体" w:eastAsia="黑体" w:hAnsi="宋体"/>
                <w:kern w:val="0"/>
                <w:sz w:val="20"/>
                <w:szCs w:val="20"/>
              </w:rPr>
            </w:pPr>
            <w:r>
              <w:rPr>
                <w:rFonts w:ascii="黑体" w:eastAsia="黑体" w:hAnsi="宋体"/>
                <w:kern w:val="0"/>
                <w:sz w:val="20"/>
                <w:szCs w:val="20"/>
              </w:rPr>
              <w:t xml:space="preserve">　</w:t>
            </w:r>
          </w:p>
        </w:tc>
        <w:tc>
          <w:tcPr>
            <w:tcW w:w="1276" w:type="dxa"/>
            <w:shd w:val="clear" w:color="auto" w:fill="auto"/>
            <w:noWrap/>
            <w:vAlign w:val="center"/>
          </w:tcPr>
          <w:p w14:paraId="65DB5EA7" w14:textId="77777777" w:rsidR="00563761" w:rsidRDefault="009F0A60" w:rsidP="0020251D">
            <w:pPr>
              <w:widowControl/>
              <w:adjustRightInd w:val="0"/>
              <w:snapToGrid w:val="0"/>
              <w:spacing w:beforeLines="20" w:before="62" w:afterLines="20" w:after="62"/>
              <w:rPr>
                <w:rFonts w:ascii="黑体" w:eastAsia="黑体" w:hAnsi="黑体" w:cs="宋体"/>
                <w:kern w:val="0"/>
                <w:sz w:val="20"/>
                <w:szCs w:val="20"/>
              </w:rPr>
            </w:pPr>
            <w:r>
              <w:rPr>
                <w:rFonts w:ascii="黑体" w:eastAsia="黑体" w:hAnsi="黑体" w:cs="宋体" w:hint="eastAsia"/>
                <w:kern w:val="0"/>
                <w:sz w:val="20"/>
                <w:szCs w:val="20"/>
              </w:rPr>
              <w:t>期货市场服务</w:t>
            </w:r>
          </w:p>
        </w:tc>
        <w:tc>
          <w:tcPr>
            <w:tcW w:w="5720" w:type="dxa"/>
            <w:shd w:val="clear" w:color="auto" w:fill="auto"/>
            <w:noWrap/>
            <w:vAlign w:val="center"/>
          </w:tcPr>
          <w:p w14:paraId="2BCB277A" w14:textId="77777777" w:rsidR="00563761" w:rsidRDefault="009F0A60" w:rsidP="0020251D">
            <w:pPr>
              <w:widowControl/>
              <w:adjustRightInd w:val="0"/>
              <w:snapToGrid w:val="0"/>
              <w:spacing w:beforeLines="20" w:before="62" w:afterLines="20" w:after="62"/>
              <w:rPr>
                <w:rFonts w:ascii="黑体" w:eastAsia="黑体" w:hAnsi="黑体" w:cs="宋体"/>
                <w:b/>
                <w:bCs/>
                <w:kern w:val="0"/>
                <w:sz w:val="20"/>
                <w:szCs w:val="20"/>
              </w:rPr>
            </w:pPr>
            <w:r>
              <w:rPr>
                <w:rFonts w:ascii="黑体" w:eastAsia="黑体" w:hAnsi="黑体" w:cs="宋体" w:hint="eastAsia"/>
                <w:kern w:val="0"/>
                <w:sz w:val="20"/>
                <w:szCs w:val="20"/>
              </w:rPr>
              <w:t>包括</w:t>
            </w:r>
            <w:r>
              <w:rPr>
                <w:rFonts w:ascii="黑体" w:eastAsia="黑体" w:hAnsi="黑体" w:cs="宋体"/>
                <w:kern w:val="0"/>
                <w:sz w:val="20"/>
                <w:szCs w:val="20"/>
              </w:rPr>
              <w:t>6721-6729子类。</w:t>
            </w:r>
          </w:p>
        </w:tc>
      </w:tr>
      <w:tr w:rsidR="00A052DC" w14:paraId="6D276EC5" w14:textId="77777777">
        <w:trPr>
          <w:trHeight w:val="557"/>
        </w:trPr>
        <w:tc>
          <w:tcPr>
            <w:tcW w:w="720" w:type="dxa"/>
            <w:vMerge/>
            <w:vAlign w:val="center"/>
          </w:tcPr>
          <w:p w14:paraId="0A0EA2D7" w14:textId="77777777" w:rsidR="00563761" w:rsidRDefault="00563761" w:rsidP="0020251D">
            <w:pPr>
              <w:widowControl/>
              <w:adjustRightInd w:val="0"/>
              <w:snapToGrid w:val="0"/>
              <w:spacing w:beforeLines="20" w:before="62" w:afterLines="20" w:after="62"/>
              <w:jc w:val="left"/>
              <w:rPr>
                <w:rFonts w:ascii="黑体" w:eastAsia="黑体" w:hAnsi="宋体"/>
                <w:b/>
                <w:bCs/>
                <w:kern w:val="0"/>
                <w:sz w:val="20"/>
                <w:szCs w:val="20"/>
              </w:rPr>
            </w:pPr>
          </w:p>
        </w:tc>
        <w:tc>
          <w:tcPr>
            <w:tcW w:w="709" w:type="dxa"/>
            <w:shd w:val="clear" w:color="auto" w:fill="auto"/>
            <w:noWrap/>
            <w:vAlign w:val="center"/>
          </w:tcPr>
          <w:p w14:paraId="6E89C55B" w14:textId="77777777" w:rsidR="00197ADB" w:rsidRDefault="009F0A60" w:rsidP="0020251D">
            <w:pPr>
              <w:widowControl/>
              <w:adjustRightInd w:val="0"/>
              <w:snapToGrid w:val="0"/>
              <w:spacing w:beforeLines="20" w:before="62" w:afterLines="20" w:after="62"/>
              <w:jc w:val="center"/>
              <w:rPr>
                <w:rFonts w:ascii="黑体" w:eastAsia="黑体" w:hAnsi="宋体"/>
                <w:kern w:val="0"/>
                <w:sz w:val="20"/>
                <w:szCs w:val="20"/>
              </w:rPr>
            </w:pPr>
            <w:r>
              <w:rPr>
                <w:rFonts w:ascii="黑体" w:eastAsia="黑体" w:hAnsi="宋体"/>
                <w:kern w:val="0"/>
                <w:sz w:val="20"/>
                <w:szCs w:val="20"/>
              </w:rPr>
              <w:t>6721</w:t>
            </w:r>
          </w:p>
        </w:tc>
        <w:tc>
          <w:tcPr>
            <w:tcW w:w="1276" w:type="dxa"/>
            <w:shd w:val="clear" w:color="auto" w:fill="auto"/>
            <w:noWrap/>
            <w:vAlign w:val="center"/>
          </w:tcPr>
          <w:p w14:paraId="36651731" w14:textId="77777777" w:rsidR="00563761" w:rsidRDefault="009F0A60" w:rsidP="0020251D">
            <w:pPr>
              <w:widowControl/>
              <w:adjustRightInd w:val="0"/>
              <w:snapToGrid w:val="0"/>
              <w:spacing w:beforeLines="20" w:before="62" w:afterLines="20" w:after="62"/>
              <w:rPr>
                <w:rFonts w:ascii="黑体" w:eastAsia="黑体" w:hAnsi="黑体" w:cs="宋体"/>
                <w:kern w:val="0"/>
                <w:sz w:val="20"/>
                <w:szCs w:val="20"/>
              </w:rPr>
            </w:pPr>
            <w:r>
              <w:rPr>
                <w:rFonts w:ascii="黑体" w:eastAsia="黑体" w:hAnsi="黑体" w:cs="宋体" w:hint="eastAsia"/>
                <w:kern w:val="0"/>
                <w:sz w:val="20"/>
                <w:szCs w:val="20"/>
              </w:rPr>
              <w:t>期货市场管理服务</w:t>
            </w:r>
          </w:p>
        </w:tc>
        <w:tc>
          <w:tcPr>
            <w:tcW w:w="5720" w:type="dxa"/>
            <w:shd w:val="clear" w:color="auto" w:fill="auto"/>
            <w:noWrap/>
            <w:vAlign w:val="center"/>
          </w:tcPr>
          <w:p w14:paraId="5F377243" w14:textId="77777777" w:rsidR="00563761" w:rsidRDefault="009F0A60" w:rsidP="0020251D">
            <w:pPr>
              <w:widowControl/>
              <w:adjustRightInd w:val="0"/>
              <w:snapToGrid w:val="0"/>
              <w:spacing w:beforeLines="20" w:before="62" w:afterLines="20" w:after="62"/>
              <w:rPr>
                <w:rFonts w:ascii="黑体" w:eastAsia="黑体" w:hAnsi="黑体" w:cs="宋体"/>
                <w:kern w:val="0"/>
                <w:sz w:val="20"/>
                <w:szCs w:val="20"/>
              </w:rPr>
            </w:pPr>
            <w:r>
              <w:rPr>
                <w:rFonts w:ascii="黑体" w:eastAsia="黑体" w:hAnsi="黑体" w:cs="宋体" w:hint="eastAsia"/>
                <w:kern w:val="0"/>
                <w:sz w:val="20"/>
                <w:szCs w:val="20"/>
              </w:rPr>
              <w:t>指非政府机关进行的期货市场经营和监管，包括商品期货交易所、金融期货交易所、期货保证金监控中心的活动。</w:t>
            </w:r>
          </w:p>
        </w:tc>
      </w:tr>
      <w:tr w:rsidR="00A052DC" w14:paraId="227D1E19" w14:textId="77777777">
        <w:trPr>
          <w:trHeight w:val="765"/>
        </w:trPr>
        <w:tc>
          <w:tcPr>
            <w:tcW w:w="720" w:type="dxa"/>
            <w:vMerge/>
            <w:vAlign w:val="center"/>
          </w:tcPr>
          <w:p w14:paraId="1CD17421" w14:textId="77777777" w:rsidR="00563761" w:rsidRDefault="00563761" w:rsidP="0020251D">
            <w:pPr>
              <w:widowControl/>
              <w:adjustRightInd w:val="0"/>
              <w:snapToGrid w:val="0"/>
              <w:spacing w:beforeLines="20" w:before="62" w:afterLines="20" w:after="62"/>
              <w:jc w:val="left"/>
              <w:rPr>
                <w:rFonts w:ascii="黑体" w:eastAsia="黑体" w:hAnsi="宋体"/>
                <w:b/>
                <w:bCs/>
                <w:kern w:val="0"/>
                <w:sz w:val="20"/>
                <w:szCs w:val="20"/>
              </w:rPr>
            </w:pPr>
          </w:p>
        </w:tc>
        <w:tc>
          <w:tcPr>
            <w:tcW w:w="709" w:type="dxa"/>
            <w:shd w:val="clear" w:color="auto" w:fill="auto"/>
            <w:noWrap/>
            <w:vAlign w:val="center"/>
          </w:tcPr>
          <w:p w14:paraId="2A60D382" w14:textId="77777777" w:rsidR="00197ADB" w:rsidRDefault="009F0A60" w:rsidP="0020251D">
            <w:pPr>
              <w:widowControl/>
              <w:adjustRightInd w:val="0"/>
              <w:snapToGrid w:val="0"/>
              <w:spacing w:beforeLines="20" w:before="62" w:afterLines="20" w:after="62"/>
              <w:jc w:val="center"/>
              <w:rPr>
                <w:rFonts w:ascii="黑体" w:eastAsia="黑体" w:hAnsi="宋体"/>
                <w:kern w:val="0"/>
                <w:sz w:val="20"/>
                <w:szCs w:val="20"/>
              </w:rPr>
            </w:pPr>
            <w:r>
              <w:rPr>
                <w:rFonts w:ascii="黑体" w:eastAsia="黑体" w:hAnsi="宋体"/>
                <w:kern w:val="0"/>
                <w:sz w:val="20"/>
                <w:szCs w:val="20"/>
              </w:rPr>
              <w:t>6729</w:t>
            </w:r>
          </w:p>
        </w:tc>
        <w:tc>
          <w:tcPr>
            <w:tcW w:w="1276" w:type="dxa"/>
            <w:shd w:val="clear" w:color="auto" w:fill="auto"/>
            <w:noWrap/>
            <w:vAlign w:val="center"/>
          </w:tcPr>
          <w:p w14:paraId="5F9EDA92" w14:textId="77777777" w:rsidR="00563761" w:rsidRDefault="009F0A60" w:rsidP="0020251D">
            <w:pPr>
              <w:widowControl/>
              <w:adjustRightInd w:val="0"/>
              <w:snapToGrid w:val="0"/>
              <w:spacing w:beforeLines="20" w:before="62" w:afterLines="20" w:after="62"/>
              <w:rPr>
                <w:rFonts w:ascii="黑体" w:eastAsia="黑体" w:hAnsi="黑体" w:cs="宋体"/>
                <w:kern w:val="0"/>
                <w:sz w:val="20"/>
                <w:szCs w:val="20"/>
              </w:rPr>
            </w:pPr>
            <w:r>
              <w:rPr>
                <w:rFonts w:ascii="黑体" w:eastAsia="黑体" w:hAnsi="黑体" w:cs="宋体" w:hint="eastAsia"/>
                <w:kern w:val="0"/>
                <w:sz w:val="20"/>
                <w:szCs w:val="20"/>
              </w:rPr>
              <w:t>其他期货市场服务</w:t>
            </w:r>
          </w:p>
        </w:tc>
        <w:tc>
          <w:tcPr>
            <w:tcW w:w="5720" w:type="dxa"/>
            <w:shd w:val="clear" w:color="auto" w:fill="auto"/>
            <w:noWrap/>
            <w:vAlign w:val="center"/>
          </w:tcPr>
          <w:p w14:paraId="6C3403A7" w14:textId="77777777" w:rsidR="00563761" w:rsidRDefault="009F0A60" w:rsidP="0020251D">
            <w:pPr>
              <w:widowControl/>
              <w:adjustRightInd w:val="0"/>
              <w:snapToGrid w:val="0"/>
              <w:spacing w:beforeLines="20" w:before="62" w:afterLines="20" w:after="62"/>
              <w:rPr>
                <w:rFonts w:ascii="黑体" w:eastAsia="黑体" w:hAnsi="黑体" w:cs="宋体"/>
                <w:kern w:val="0"/>
                <w:sz w:val="20"/>
                <w:szCs w:val="20"/>
              </w:rPr>
            </w:pPr>
            <w:r>
              <w:rPr>
                <w:rFonts w:ascii="黑体" w:eastAsia="黑体" w:hAnsi="黑体" w:cs="宋体" w:hint="eastAsia"/>
                <w:kern w:val="0"/>
                <w:sz w:val="20"/>
                <w:szCs w:val="20"/>
              </w:rPr>
              <w:t>指商品合约经纪及其他未列明的期货市场的服务。</w:t>
            </w:r>
          </w:p>
        </w:tc>
      </w:tr>
      <w:tr w:rsidR="00A052DC" w14:paraId="0026D7EA" w14:textId="77777777">
        <w:trPr>
          <w:trHeight w:val="705"/>
        </w:trPr>
        <w:tc>
          <w:tcPr>
            <w:tcW w:w="720" w:type="dxa"/>
            <w:vMerge/>
            <w:vAlign w:val="center"/>
          </w:tcPr>
          <w:p w14:paraId="34F86572" w14:textId="77777777" w:rsidR="00563761" w:rsidRDefault="00563761" w:rsidP="0020251D">
            <w:pPr>
              <w:widowControl/>
              <w:adjustRightInd w:val="0"/>
              <w:snapToGrid w:val="0"/>
              <w:spacing w:beforeLines="20" w:before="62" w:afterLines="20" w:after="62"/>
              <w:jc w:val="left"/>
              <w:rPr>
                <w:rFonts w:ascii="黑体" w:eastAsia="黑体" w:hAnsi="宋体"/>
                <w:b/>
                <w:bCs/>
                <w:kern w:val="0"/>
                <w:sz w:val="20"/>
                <w:szCs w:val="20"/>
              </w:rPr>
            </w:pPr>
          </w:p>
        </w:tc>
        <w:tc>
          <w:tcPr>
            <w:tcW w:w="709" w:type="dxa"/>
            <w:shd w:val="clear" w:color="auto" w:fill="auto"/>
            <w:noWrap/>
            <w:vAlign w:val="center"/>
          </w:tcPr>
          <w:p w14:paraId="3858A161" w14:textId="77777777" w:rsidR="00197ADB" w:rsidRDefault="009F0A60" w:rsidP="0020251D">
            <w:pPr>
              <w:widowControl/>
              <w:adjustRightInd w:val="0"/>
              <w:snapToGrid w:val="0"/>
              <w:spacing w:beforeLines="20" w:before="62" w:afterLines="20" w:after="62"/>
              <w:jc w:val="center"/>
              <w:rPr>
                <w:rFonts w:ascii="黑体" w:eastAsia="黑体" w:hAnsi="宋体"/>
                <w:kern w:val="0"/>
                <w:sz w:val="20"/>
                <w:szCs w:val="20"/>
              </w:rPr>
            </w:pPr>
            <w:r>
              <w:rPr>
                <w:rFonts w:ascii="黑体" w:eastAsia="黑体" w:hAnsi="宋体"/>
                <w:kern w:val="0"/>
                <w:sz w:val="20"/>
                <w:szCs w:val="20"/>
              </w:rPr>
              <w:t>6730</w:t>
            </w:r>
          </w:p>
        </w:tc>
        <w:tc>
          <w:tcPr>
            <w:tcW w:w="1276" w:type="dxa"/>
            <w:shd w:val="clear" w:color="auto" w:fill="auto"/>
            <w:noWrap/>
            <w:vAlign w:val="center"/>
          </w:tcPr>
          <w:p w14:paraId="3B33CD59" w14:textId="77777777" w:rsidR="00563761" w:rsidRDefault="009F0A60" w:rsidP="0020251D">
            <w:pPr>
              <w:widowControl/>
              <w:adjustRightInd w:val="0"/>
              <w:snapToGrid w:val="0"/>
              <w:spacing w:beforeLines="20" w:before="62" w:afterLines="20" w:after="62"/>
              <w:rPr>
                <w:rFonts w:ascii="黑体" w:eastAsia="黑体" w:hAnsi="黑体" w:cs="宋体"/>
                <w:kern w:val="0"/>
                <w:sz w:val="20"/>
                <w:szCs w:val="20"/>
              </w:rPr>
            </w:pPr>
            <w:r>
              <w:rPr>
                <w:rFonts w:ascii="黑体" w:eastAsia="黑体" w:hAnsi="黑体" w:cs="宋体" w:hint="eastAsia"/>
                <w:kern w:val="0"/>
                <w:sz w:val="20"/>
                <w:szCs w:val="20"/>
              </w:rPr>
              <w:t>证券期货监管服务</w:t>
            </w:r>
          </w:p>
        </w:tc>
        <w:tc>
          <w:tcPr>
            <w:tcW w:w="5720" w:type="dxa"/>
            <w:shd w:val="clear" w:color="auto" w:fill="auto"/>
            <w:noWrap/>
            <w:vAlign w:val="center"/>
          </w:tcPr>
          <w:p w14:paraId="4D599145" w14:textId="77777777" w:rsidR="00563761" w:rsidRDefault="009F0A60" w:rsidP="0020251D">
            <w:pPr>
              <w:widowControl/>
              <w:adjustRightInd w:val="0"/>
              <w:snapToGrid w:val="0"/>
              <w:spacing w:beforeLines="20" w:before="62" w:afterLines="20" w:after="62"/>
              <w:rPr>
                <w:rFonts w:ascii="黑体" w:eastAsia="黑体" w:hAnsi="黑体" w:cs="宋体"/>
                <w:kern w:val="0"/>
                <w:sz w:val="20"/>
                <w:szCs w:val="20"/>
              </w:rPr>
            </w:pPr>
            <w:r>
              <w:rPr>
                <w:rFonts w:ascii="黑体" w:eastAsia="黑体" w:hAnsi="黑体" w:cs="宋体" w:hint="eastAsia"/>
                <w:kern w:val="0"/>
                <w:sz w:val="20"/>
                <w:szCs w:val="20"/>
              </w:rPr>
              <w:t>指由政府或行业自律组织进行的对证券期货市场的监管活动。</w:t>
            </w:r>
          </w:p>
        </w:tc>
      </w:tr>
      <w:tr w:rsidR="00A052DC" w14:paraId="4B1EB12B" w14:textId="77777777">
        <w:trPr>
          <w:trHeight w:val="686"/>
        </w:trPr>
        <w:tc>
          <w:tcPr>
            <w:tcW w:w="720" w:type="dxa"/>
            <w:vMerge/>
            <w:vAlign w:val="center"/>
          </w:tcPr>
          <w:p w14:paraId="6D35E94C" w14:textId="77777777" w:rsidR="00563761" w:rsidRDefault="00563761" w:rsidP="0020251D">
            <w:pPr>
              <w:widowControl/>
              <w:adjustRightInd w:val="0"/>
              <w:snapToGrid w:val="0"/>
              <w:spacing w:beforeLines="20" w:before="62" w:afterLines="20" w:after="62"/>
              <w:jc w:val="left"/>
              <w:rPr>
                <w:rFonts w:ascii="黑体" w:eastAsia="黑体" w:hAnsi="宋体"/>
                <w:b/>
                <w:bCs/>
                <w:kern w:val="0"/>
                <w:sz w:val="20"/>
                <w:szCs w:val="20"/>
              </w:rPr>
            </w:pPr>
          </w:p>
        </w:tc>
        <w:tc>
          <w:tcPr>
            <w:tcW w:w="709" w:type="dxa"/>
            <w:shd w:val="clear" w:color="auto" w:fill="auto"/>
            <w:noWrap/>
            <w:vAlign w:val="center"/>
          </w:tcPr>
          <w:p w14:paraId="4843F8C7" w14:textId="77777777" w:rsidR="00197ADB" w:rsidRDefault="009F0A60" w:rsidP="0020251D">
            <w:pPr>
              <w:widowControl/>
              <w:adjustRightInd w:val="0"/>
              <w:snapToGrid w:val="0"/>
              <w:spacing w:beforeLines="20" w:before="62" w:afterLines="20" w:after="62"/>
              <w:jc w:val="center"/>
              <w:rPr>
                <w:rFonts w:ascii="黑体" w:eastAsia="黑体" w:hAnsi="宋体"/>
                <w:kern w:val="0"/>
                <w:sz w:val="20"/>
                <w:szCs w:val="20"/>
              </w:rPr>
            </w:pPr>
            <w:r>
              <w:rPr>
                <w:rFonts w:ascii="黑体" w:eastAsia="黑体" w:hAnsi="宋体"/>
                <w:kern w:val="0"/>
                <w:sz w:val="20"/>
                <w:szCs w:val="20"/>
              </w:rPr>
              <w:t>6740</w:t>
            </w:r>
          </w:p>
        </w:tc>
        <w:tc>
          <w:tcPr>
            <w:tcW w:w="1276" w:type="dxa"/>
            <w:shd w:val="clear" w:color="auto" w:fill="auto"/>
            <w:noWrap/>
            <w:vAlign w:val="center"/>
          </w:tcPr>
          <w:p w14:paraId="72ABCF5E" w14:textId="77777777" w:rsidR="00563761" w:rsidRDefault="009F0A60" w:rsidP="0020251D">
            <w:pPr>
              <w:widowControl/>
              <w:adjustRightInd w:val="0"/>
              <w:snapToGrid w:val="0"/>
              <w:spacing w:beforeLines="20" w:before="62" w:afterLines="20" w:after="62"/>
              <w:rPr>
                <w:rFonts w:ascii="黑体" w:eastAsia="黑体" w:hAnsi="黑体" w:cs="宋体"/>
                <w:kern w:val="0"/>
                <w:sz w:val="20"/>
                <w:szCs w:val="20"/>
              </w:rPr>
            </w:pPr>
            <w:r>
              <w:rPr>
                <w:rFonts w:ascii="黑体" w:eastAsia="黑体" w:hAnsi="黑体" w:cs="宋体" w:hint="eastAsia"/>
                <w:kern w:val="0"/>
                <w:sz w:val="20"/>
                <w:szCs w:val="20"/>
              </w:rPr>
              <w:t>资本投资服务</w:t>
            </w:r>
          </w:p>
        </w:tc>
        <w:tc>
          <w:tcPr>
            <w:tcW w:w="5720" w:type="dxa"/>
            <w:shd w:val="clear" w:color="auto" w:fill="auto"/>
            <w:noWrap/>
            <w:vAlign w:val="center"/>
          </w:tcPr>
          <w:p w14:paraId="443F4AA0" w14:textId="77777777" w:rsidR="00563761" w:rsidRDefault="009F0A60" w:rsidP="0020251D">
            <w:pPr>
              <w:widowControl/>
              <w:adjustRightInd w:val="0"/>
              <w:snapToGrid w:val="0"/>
              <w:spacing w:beforeLines="20" w:before="62" w:afterLines="20" w:after="62"/>
              <w:rPr>
                <w:rFonts w:ascii="黑体" w:eastAsia="黑体" w:hAnsi="黑体" w:cs="宋体"/>
                <w:kern w:val="0"/>
                <w:sz w:val="20"/>
                <w:szCs w:val="20"/>
              </w:rPr>
            </w:pPr>
            <w:r>
              <w:rPr>
                <w:rFonts w:ascii="黑体" w:eastAsia="黑体" w:hAnsi="黑体" w:cs="宋体" w:hint="eastAsia"/>
                <w:kern w:val="0"/>
                <w:sz w:val="20"/>
                <w:szCs w:val="20"/>
              </w:rPr>
              <w:t>指经批准的证券投资机构的自营投资、直接投资活动，以及风险投资和其他投资活动。</w:t>
            </w:r>
          </w:p>
        </w:tc>
      </w:tr>
      <w:tr w:rsidR="00A052DC" w14:paraId="3003958C" w14:textId="77777777">
        <w:trPr>
          <w:trHeight w:val="710"/>
        </w:trPr>
        <w:tc>
          <w:tcPr>
            <w:tcW w:w="720" w:type="dxa"/>
            <w:vMerge/>
            <w:vAlign w:val="center"/>
          </w:tcPr>
          <w:p w14:paraId="737F9EAD" w14:textId="77777777" w:rsidR="00563761" w:rsidRDefault="00563761" w:rsidP="0020251D">
            <w:pPr>
              <w:widowControl/>
              <w:adjustRightInd w:val="0"/>
              <w:snapToGrid w:val="0"/>
              <w:spacing w:beforeLines="20" w:before="62" w:afterLines="20" w:after="62"/>
              <w:jc w:val="left"/>
              <w:rPr>
                <w:rFonts w:ascii="黑体" w:eastAsia="黑体" w:hAnsi="宋体"/>
                <w:b/>
                <w:bCs/>
                <w:kern w:val="0"/>
                <w:sz w:val="20"/>
                <w:szCs w:val="20"/>
              </w:rPr>
            </w:pPr>
          </w:p>
        </w:tc>
        <w:tc>
          <w:tcPr>
            <w:tcW w:w="709" w:type="dxa"/>
            <w:shd w:val="clear" w:color="auto" w:fill="auto"/>
            <w:noWrap/>
            <w:vAlign w:val="center"/>
          </w:tcPr>
          <w:p w14:paraId="01F74DCF" w14:textId="77777777" w:rsidR="00197ADB" w:rsidRDefault="009F0A60" w:rsidP="0020251D">
            <w:pPr>
              <w:widowControl/>
              <w:adjustRightInd w:val="0"/>
              <w:snapToGrid w:val="0"/>
              <w:spacing w:beforeLines="20" w:before="62" w:afterLines="20" w:after="62"/>
              <w:jc w:val="center"/>
              <w:rPr>
                <w:rFonts w:ascii="黑体" w:eastAsia="黑体" w:hAnsi="宋体"/>
                <w:kern w:val="0"/>
                <w:sz w:val="20"/>
                <w:szCs w:val="20"/>
              </w:rPr>
            </w:pPr>
            <w:r>
              <w:rPr>
                <w:rFonts w:ascii="黑体" w:eastAsia="黑体" w:hAnsi="宋体"/>
                <w:kern w:val="0"/>
                <w:sz w:val="20"/>
                <w:szCs w:val="20"/>
              </w:rPr>
              <w:t>6790</w:t>
            </w:r>
          </w:p>
        </w:tc>
        <w:tc>
          <w:tcPr>
            <w:tcW w:w="1276" w:type="dxa"/>
            <w:shd w:val="clear" w:color="auto" w:fill="auto"/>
            <w:noWrap/>
            <w:vAlign w:val="center"/>
          </w:tcPr>
          <w:p w14:paraId="0770B487" w14:textId="77777777" w:rsidR="00563761" w:rsidRDefault="009F0A60" w:rsidP="0020251D">
            <w:pPr>
              <w:widowControl/>
              <w:adjustRightInd w:val="0"/>
              <w:snapToGrid w:val="0"/>
              <w:spacing w:beforeLines="20" w:before="62" w:afterLines="20" w:after="62"/>
              <w:rPr>
                <w:rFonts w:ascii="黑体" w:eastAsia="黑体" w:hAnsi="黑体" w:cs="宋体"/>
                <w:kern w:val="0"/>
                <w:sz w:val="20"/>
                <w:szCs w:val="20"/>
              </w:rPr>
            </w:pPr>
            <w:r>
              <w:rPr>
                <w:rFonts w:ascii="黑体" w:eastAsia="黑体" w:hAnsi="黑体" w:cs="宋体" w:hint="eastAsia"/>
                <w:kern w:val="0"/>
                <w:sz w:val="20"/>
                <w:szCs w:val="20"/>
              </w:rPr>
              <w:t>其他资本市场服务</w:t>
            </w:r>
          </w:p>
        </w:tc>
        <w:tc>
          <w:tcPr>
            <w:tcW w:w="5720" w:type="dxa"/>
            <w:shd w:val="clear" w:color="auto" w:fill="auto"/>
            <w:noWrap/>
            <w:vAlign w:val="center"/>
          </w:tcPr>
          <w:p w14:paraId="09CA469C" w14:textId="77777777" w:rsidR="00563761" w:rsidRDefault="009F0A60" w:rsidP="0020251D">
            <w:pPr>
              <w:widowControl/>
              <w:adjustRightInd w:val="0"/>
              <w:snapToGrid w:val="0"/>
              <w:spacing w:beforeLines="20" w:before="62" w:afterLines="20" w:after="62"/>
              <w:rPr>
                <w:rFonts w:ascii="黑体" w:eastAsia="黑体" w:hAnsi="黑体" w:cs="宋体"/>
                <w:kern w:val="0"/>
                <w:sz w:val="20"/>
                <w:szCs w:val="20"/>
              </w:rPr>
            </w:pPr>
            <w:r>
              <w:rPr>
                <w:rFonts w:ascii="黑体" w:eastAsia="黑体" w:hAnsi="黑体" w:cs="宋体" w:hint="eastAsia"/>
                <w:kern w:val="0"/>
                <w:sz w:val="20"/>
                <w:szCs w:val="20"/>
              </w:rPr>
              <w:t>指投资咨询服务、财务咨询服务、资信评级服务，以及其他未列明的资本市场的服务。</w:t>
            </w:r>
          </w:p>
        </w:tc>
      </w:tr>
      <w:tr w:rsidR="00A052DC" w14:paraId="66DB8C5B" w14:textId="77777777">
        <w:trPr>
          <w:trHeight w:val="834"/>
        </w:trPr>
        <w:tc>
          <w:tcPr>
            <w:tcW w:w="720" w:type="dxa"/>
            <w:vMerge w:val="restart"/>
            <w:shd w:val="clear" w:color="auto" w:fill="auto"/>
            <w:vAlign w:val="center"/>
          </w:tcPr>
          <w:p w14:paraId="148CE000" w14:textId="77777777" w:rsidR="00A052DC" w:rsidRDefault="009F0A60" w:rsidP="0020251D">
            <w:pPr>
              <w:widowControl/>
              <w:adjustRightInd w:val="0"/>
              <w:snapToGrid w:val="0"/>
              <w:spacing w:beforeLines="20" w:before="62" w:afterLines="20" w:after="62"/>
              <w:jc w:val="center"/>
              <w:rPr>
                <w:rFonts w:ascii="黑体" w:eastAsia="黑体" w:hAnsi="宋体"/>
                <w:kern w:val="0"/>
                <w:sz w:val="20"/>
                <w:szCs w:val="20"/>
              </w:rPr>
            </w:pPr>
            <w:r>
              <w:rPr>
                <w:rFonts w:ascii="黑体" w:eastAsia="黑体" w:hAnsi="宋体"/>
                <w:kern w:val="0"/>
                <w:sz w:val="20"/>
                <w:szCs w:val="20"/>
              </w:rPr>
              <w:t>1068</w:t>
            </w:r>
          </w:p>
        </w:tc>
        <w:tc>
          <w:tcPr>
            <w:tcW w:w="709" w:type="dxa"/>
            <w:shd w:val="clear" w:color="auto" w:fill="auto"/>
            <w:noWrap/>
            <w:vAlign w:val="center"/>
          </w:tcPr>
          <w:p w14:paraId="7B7A1F29" w14:textId="77777777" w:rsidR="00563761" w:rsidRDefault="009F0A60" w:rsidP="0020251D">
            <w:pPr>
              <w:widowControl/>
              <w:adjustRightInd w:val="0"/>
              <w:snapToGrid w:val="0"/>
              <w:spacing w:beforeLines="20" w:before="62" w:afterLines="20" w:after="62"/>
              <w:jc w:val="center"/>
              <w:rPr>
                <w:rFonts w:ascii="黑体" w:eastAsia="黑体" w:hAnsi="宋体"/>
                <w:kern w:val="0"/>
                <w:sz w:val="20"/>
                <w:szCs w:val="20"/>
              </w:rPr>
            </w:pPr>
            <w:r>
              <w:rPr>
                <w:rFonts w:ascii="黑体" w:eastAsia="黑体" w:hAnsi="宋体"/>
                <w:kern w:val="0"/>
                <w:sz w:val="20"/>
                <w:szCs w:val="20"/>
              </w:rPr>
              <w:t xml:space="preserve">　</w:t>
            </w:r>
          </w:p>
        </w:tc>
        <w:tc>
          <w:tcPr>
            <w:tcW w:w="1276" w:type="dxa"/>
            <w:shd w:val="clear" w:color="auto" w:fill="auto"/>
            <w:noWrap/>
            <w:vAlign w:val="center"/>
          </w:tcPr>
          <w:p w14:paraId="170A6CD2" w14:textId="77777777" w:rsidR="00563761" w:rsidRDefault="009F0A60" w:rsidP="0020251D">
            <w:pPr>
              <w:widowControl/>
              <w:adjustRightInd w:val="0"/>
              <w:snapToGrid w:val="0"/>
              <w:spacing w:beforeLines="20" w:before="62" w:afterLines="20" w:after="62"/>
              <w:rPr>
                <w:rFonts w:ascii="黑体" w:eastAsia="黑体" w:hAnsi="黑体" w:cs="宋体"/>
                <w:kern w:val="0"/>
                <w:sz w:val="20"/>
                <w:szCs w:val="20"/>
              </w:rPr>
            </w:pPr>
            <w:r>
              <w:rPr>
                <w:rFonts w:ascii="黑体" w:eastAsia="黑体" w:hAnsi="黑体" w:cs="宋体" w:hint="eastAsia"/>
                <w:kern w:val="0"/>
                <w:sz w:val="20"/>
                <w:szCs w:val="20"/>
              </w:rPr>
              <w:t>保险业</w:t>
            </w:r>
          </w:p>
        </w:tc>
        <w:tc>
          <w:tcPr>
            <w:tcW w:w="5720" w:type="dxa"/>
            <w:shd w:val="clear" w:color="auto" w:fill="auto"/>
            <w:noWrap/>
            <w:vAlign w:val="center"/>
          </w:tcPr>
          <w:p w14:paraId="05FD70C3" w14:textId="77777777" w:rsidR="00563761" w:rsidRDefault="009F0A60" w:rsidP="0020251D">
            <w:pPr>
              <w:widowControl/>
              <w:adjustRightInd w:val="0"/>
              <w:snapToGrid w:val="0"/>
              <w:spacing w:beforeLines="20" w:before="62" w:afterLines="20" w:after="62"/>
              <w:rPr>
                <w:rFonts w:ascii="黑体" w:eastAsia="黑体" w:hAnsi="黑体" w:cs="宋体"/>
                <w:kern w:val="0"/>
                <w:sz w:val="20"/>
                <w:szCs w:val="20"/>
              </w:rPr>
            </w:pPr>
            <w:r>
              <w:rPr>
                <w:rFonts w:ascii="黑体" w:eastAsia="黑体" w:hAnsi="黑体" w:cs="宋体" w:hint="eastAsia"/>
                <w:kern w:val="0"/>
                <w:sz w:val="20"/>
                <w:szCs w:val="20"/>
              </w:rPr>
              <w:t>包括</w:t>
            </w:r>
            <w:r>
              <w:rPr>
                <w:rFonts w:ascii="黑体" w:eastAsia="黑体" w:hAnsi="黑体" w:cs="宋体"/>
                <w:kern w:val="0"/>
                <w:sz w:val="20"/>
                <w:szCs w:val="20"/>
              </w:rPr>
              <w:t>6811-6899子类</w:t>
            </w:r>
            <w:r>
              <w:rPr>
                <w:rFonts w:ascii="黑体" w:eastAsia="黑体" w:hAnsi="黑体" w:cs="宋体" w:hint="eastAsia"/>
                <w:kern w:val="0"/>
                <w:sz w:val="20"/>
                <w:szCs w:val="20"/>
              </w:rPr>
              <w:t>。</w:t>
            </w:r>
          </w:p>
        </w:tc>
      </w:tr>
      <w:tr w:rsidR="00A052DC" w14:paraId="706F7CEB" w14:textId="77777777">
        <w:trPr>
          <w:trHeight w:val="846"/>
        </w:trPr>
        <w:tc>
          <w:tcPr>
            <w:tcW w:w="720" w:type="dxa"/>
            <w:vMerge/>
            <w:vAlign w:val="center"/>
          </w:tcPr>
          <w:p w14:paraId="0FA45CA6" w14:textId="77777777" w:rsidR="00563761" w:rsidRDefault="00563761" w:rsidP="0020251D">
            <w:pPr>
              <w:widowControl/>
              <w:adjustRightInd w:val="0"/>
              <w:snapToGrid w:val="0"/>
              <w:spacing w:beforeLines="20" w:before="62" w:afterLines="20" w:after="62"/>
              <w:jc w:val="left"/>
              <w:rPr>
                <w:rFonts w:ascii="黑体" w:eastAsia="黑体" w:hAnsi="宋体"/>
                <w:b/>
                <w:bCs/>
                <w:kern w:val="0"/>
                <w:sz w:val="20"/>
                <w:szCs w:val="20"/>
              </w:rPr>
            </w:pPr>
          </w:p>
        </w:tc>
        <w:tc>
          <w:tcPr>
            <w:tcW w:w="709" w:type="dxa"/>
            <w:shd w:val="clear" w:color="auto" w:fill="auto"/>
            <w:noWrap/>
            <w:vAlign w:val="center"/>
          </w:tcPr>
          <w:p w14:paraId="2F82FAC3" w14:textId="77777777" w:rsidR="00197ADB" w:rsidRDefault="009F0A60" w:rsidP="0020251D">
            <w:pPr>
              <w:widowControl/>
              <w:adjustRightInd w:val="0"/>
              <w:snapToGrid w:val="0"/>
              <w:spacing w:beforeLines="20" w:before="62" w:afterLines="20" w:after="62"/>
              <w:jc w:val="center"/>
              <w:rPr>
                <w:rFonts w:ascii="黑体" w:eastAsia="黑体" w:hAnsi="宋体"/>
                <w:kern w:val="0"/>
                <w:sz w:val="20"/>
                <w:szCs w:val="20"/>
              </w:rPr>
            </w:pPr>
            <w:r>
              <w:rPr>
                <w:rFonts w:ascii="黑体" w:eastAsia="黑体" w:hAnsi="宋体"/>
                <w:kern w:val="0"/>
                <w:sz w:val="20"/>
                <w:szCs w:val="20"/>
              </w:rPr>
              <w:t xml:space="preserve">　</w:t>
            </w:r>
          </w:p>
        </w:tc>
        <w:tc>
          <w:tcPr>
            <w:tcW w:w="1276" w:type="dxa"/>
            <w:shd w:val="clear" w:color="auto" w:fill="auto"/>
            <w:noWrap/>
            <w:vAlign w:val="center"/>
          </w:tcPr>
          <w:p w14:paraId="4EDAD5FE" w14:textId="77777777" w:rsidR="00563761" w:rsidRDefault="009F0A60" w:rsidP="0020251D">
            <w:pPr>
              <w:widowControl/>
              <w:adjustRightInd w:val="0"/>
              <w:snapToGrid w:val="0"/>
              <w:spacing w:beforeLines="20" w:before="62" w:afterLines="20" w:after="62"/>
              <w:rPr>
                <w:rFonts w:ascii="黑体" w:eastAsia="黑体" w:hAnsi="黑体" w:cs="宋体"/>
                <w:kern w:val="0"/>
                <w:sz w:val="20"/>
                <w:szCs w:val="20"/>
              </w:rPr>
            </w:pPr>
            <w:r>
              <w:rPr>
                <w:rFonts w:ascii="黑体" w:eastAsia="黑体" w:hAnsi="黑体" w:cs="宋体" w:hint="eastAsia"/>
                <w:kern w:val="0"/>
                <w:sz w:val="20"/>
                <w:szCs w:val="20"/>
              </w:rPr>
              <w:t>人身保险</w:t>
            </w:r>
          </w:p>
        </w:tc>
        <w:tc>
          <w:tcPr>
            <w:tcW w:w="5720" w:type="dxa"/>
            <w:shd w:val="clear" w:color="auto" w:fill="auto"/>
            <w:noWrap/>
            <w:vAlign w:val="center"/>
          </w:tcPr>
          <w:p w14:paraId="3C50523B" w14:textId="77777777" w:rsidR="00563761" w:rsidRDefault="009F0A60" w:rsidP="0020251D">
            <w:pPr>
              <w:widowControl/>
              <w:adjustRightInd w:val="0"/>
              <w:snapToGrid w:val="0"/>
              <w:spacing w:beforeLines="20" w:before="62" w:afterLines="20" w:after="62"/>
              <w:rPr>
                <w:rFonts w:ascii="黑体" w:eastAsia="黑体" w:hAnsi="黑体" w:cs="宋体"/>
                <w:kern w:val="0"/>
                <w:sz w:val="20"/>
                <w:szCs w:val="20"/>
              </w:rPr>
            </w:pPr>
            <w:r>
              <w:rPr>
                <w:rFonts w:ascii="黑体" w:eastAsia="黑体" w:hAnsi="黑体" w:cs="宋体" w:hint="eastAsia"/>
                <w:kern w:val="0"/>
                <w:sz w:val="20"/>
                <w:szCs w:val="20"/>
              </w:rPr>
              <w:t>指以人的寿命和身体为保险标的的保险活动，包括人寿保险、健康保险和意外伤害保险。包括</w:t>
            </w:r>
            <w:r>
              <w:rPr>
                <w:rFonts w:ascii="黑体" w:eastAsia="黑体" w:hAnsi="黑体" w:cs="宋体"/>
                <w:kern w:val="0"/>
                <w:sz w:val="20"/>
                <w:szCs w:val="20"/>
              </w:rPr>
              <w:t>6811-6812子类。</w:t>
            </w:r>
          </w:p>
        </w:tc>
      </w:tr>
      <w:tr w:rsidR="00A052DC" w14:paraId="1D816537" w14:textId="77777777">
        <w:trPr>
          <w:trHeight w:val="844"/>
        </w:trPr>
        <w:tc>
          <w:tcPr>
            <w:tcW w:w="720" w:type="dxa"/>
            <w:vMerge/>
            <w:vAlign w:val="center"/>
          </w:tcPr>
          <w:p w14:paraId="00183B43" w14:textId="77777777" w:rsidR="00563761" w:rsidRDefault="00563761" w:rsidP="0020251D">
            <w:pPr>
              <w:widowControl/>
              <w:adjustRightInd w:val="0"/>
              <w:snapToGrid w:val="0"/>
              <w:spacing w:beforeLines="20" w:before="62" w:afterLines="20" w:after="62"/>
              <w:jc w:val="left"/>
              <w:rPr>
                <w:rFonts w:ascii="黑体" w:eastAsia="黑体" w:hAnsi="宋体"/>
                <w:b/>
                <w:bCs/>
                <w:kern w:val="0"/>
                <w:sz w:val="20"/>
                <w:szCs w:val="20"/>
              </w:rPr>
            </w:pPr>
          </w:p>
        </w:tc>
        <w:tc>
          <w:tcPr>
            <w:tcW w:w="709" w:type="dxa"/>
            <w:shd w:val="clear" w:color="auto" w:fill="auto"/>
            <w:noWrap/>
            <w:vAlign w:val="center"/>
          </w:tcPr>
          <w:p w14:paraId="3CA61E6E" w14:textId="77777777" w:rsidR="00197ADB" w:rsidRDefault="009F0A60" w:rsidP="0020251D">
            <w:pPr>
              <w:widowControl/>
              <w:adjustRightInd w:val="0"/>
              <w:snapToGrid w:val="0"/>
              <w:spacing w:beforeLines="20" w:before="62" w:afterLines="20" w:after="62"/>
              <w:jc w:val="center"/>
              <w:rPr>
                <w:rFonts w:ascii="黑体" w:eastAsia="黑体" w:hAnsi="宋体"/>
                <w:kern w:val="0"/>
                <w:sz w:val="20"/>
                <w:szCs w:val="20"/>
              </w:rPr>
            </w:pPr>
            <w:r>
              <w:rPr>
                <w:rFonts w:ascii="黑体" w:eastAsia="黑体" w:hAnsi="宋体"/>
                <w:kern w:val="0"/>
                <w:sz w:val="20"/>
                <w:szCs w:val="20"/>
              </w:rPr>
              <w:t>6811</w:t>
            </w:r>
          </w:p>
        </w:tc>
        <w:tc>
          <w:tcPr>
            <w:tcW w:w="1276" w:type="dxa"/>
            <w:shd w:val="clear" w:color="auto" w:fill="auto"/>
            <w:noWrap/>
            <w:vAlign w:val="center"/>
          </w:tcPr>
          <w:p w14:paraId="4BEA386E" w14:textId="77777777" w:rsidR="00563761" w:rsidRDefault="009F0A60" w:rsidP="0020251D">
            <w:pPr>
              <w:widowControl/>
              <w:adjustRightInd w:val="0"/>
              <w:snapToGrid w:val="0"/>
              <w:spacing w:beforeLines="20" w:before="62" w:afterLines="20" w:after="62"/>
              <w:rPr>
                <w:rFonts w:ascii="黑体" w:eastAsia="黑体" w:hAnsi="黑体" w:cs="宋体"/>
                <w:kern w:val="0"/>
                <w:sz w:val="20"/>
                <w:szCs w:val="20"/>
              </w:rPr>
            </w:pPr>
            <w:r>
              <w:rPr>
                <w:rFonts w:ascii="黑体" w:eastAsia="黑体" w:hAnsi="黑体" w:cs="宋体" w:hint="eastAsia"/>
                <w:kern w:val="0"/>
                <w:sz w:val="20"/>
                <w:szCs w:val="20"/>
              </w:rPr>
              <w:t>人寿保险</w:t>
            </w:r>
          </w:p>
        </w:tc>
        <w:tc>
          <w:tcPr>
            <w:tcW w:w="5720" w:type="dxa"/>
            <w:shd w:val="clear" w:color="auto" w:fill="auto"/>
            <w:noWrap/>
            <w:vAlign w:val="center"/>
          </w:tcPr>
          <w:p w14:paraId="7383AC99" w14:textId="77777777" w:rsidR="00563761" w:rsidRDefault="009F0A60" w:rsidP="0020251D">
            <w:pPr>
              <w:widowControl/>
              <w:adjustRightInd w:val="0"/>
              <w:snapToGrid w:val="0"/>
              <w:spacing w:beforeLines="20" w:before="62" w:afterLines="20" w:after="62"/>
              <w:rPr>
                <w:rFonts w:ascii="黑体" w:eastAsia="黑体" w:hAnsi="黑体" w:cs="宋体"/>
                <w:kern w:val="0"/>
                <w:sz w:val="20"/>
                <w:szCs w:val="20"/>
              </w:rPr>
            </w:pPr>
            <w:r>
              <w:rPr>
                <w:rFonts w:ascii="黑体" w:eastAsia="黑体" w:hAnsi="黑体" w:cs="宋体" w:hint="eastAsia"/>
                <w:kern w:val="0"/>
                <w:sz w:val="20"/>
                <w:szCs w:val="20"/>
              </w:rPr>
              <w:t>指普通寿险、分红寿险、万能寿险、投资连结保险等活动</w:t>
            </w:r>
            <w:r>
              <w:rPr>
                <w:rFonts w:ascii="黑体" w:eastAsia="黑体" w:hAnsi="黑体" w:cs="宋体"/>
                <w:kern w:val="0"/>
                <w:sz w:val="20"/>
                <w:szCs w:val="20"/>
              </w:rPr>
              <w:t>(不论是否带有实质性的储蓄成分)</w:t>
            </w:r>
            <w:r>
              <w:rPr>
                <w:rFonts w:ascii="黑体" w:eastAsia="黑体" w:hAnsi="黑体" w:cs="宋体" w:hint="eastAsia"/>
                <w:kern w:val="0"/>
                <w:sz w:val="20"/>
                <w:szCs w:val="20"/>
              </w:rPr>
              <w:t>。</w:t>
            </w:r>
          </w:p>
        </w:tc>
      </w:tr>
      <w:tr w:rsidR="00A052DC" w14:paraId="745C3D87" w14:textId="77777777">
        <w:trPr>
          <w:trHeight w:val="700"/>
        </w:trPr>
        <w:tc>
          <w:tcPr>
            <w:tcW w:w="720" w:type="dxa"/>
            <w:vMerge/>
            <w:vAlign w:val="center"/>
          </w:tcPr>
          <w:p w14:paraId="0814BDBC" w14:textId="77777777" w:rsidR="00563761" w:rsidRDefault="00563761" w:rsidP="0020251D">
            <w:pPr>
              <w:widowControl/>
              <w:adjustRightInd w:val="0"/>
              <w:snapToGrid w:val="0"/>
              <w:spacing w:beforeLines="20" w:before="62" w:afterLines="20" w:after="62"/>
              <w:jc w:val="left"/>
              <w:rPr>
                <w:rFonts w:ascii="黑体" w:eastAsia="黑体" w:hAnsi="宋体"/>
                <w:b/>
                <w:bCs/>
                <w:kern w:val="0"/>
                <w:sz w:val="20"/>
                <w:szCs w:val="20"/>
              </w:rPr>
            </w:pPr>
          </w:p>
        </w:tc>
        <w:tc>
          <w:tcPr>
            <w:tcW w:w="709" w:type="dxa"/>
            <w:shd w:val="clear" w:color="auto" w:fill="auto"/>
            <w:noWrap/>
            <w:vAlign w:val="center"/>
          </w:tcPr>
          <w:p w14:paraId="1EBF851A" w14:textId="77777777" w:rsidR="00197ADB" w:rsidRDefault="009F0A60" w:rsidP="0020251D">
            <w:pPr>
              <w:widowControl/>
              <w:adjustRightInd w:val="0"/>
              <w:snapToGrid w:val="0"/>
              <w:spacing w:beforeLines="20" w:before="62" w:afterLines="20" w:after="62"/>
              <w:jc w:val="center"/>
              <w:rPr>
                <w:rFonts w:ascii="黑体" w:eastAsia="黑体" w:hAnsi="宋体"/>
                <w:kern w:val="0"/>
                <w:sz w:val="20"/>
                <w:szCs w:val="20"/>
              </w:rPr>
            </w:pPr>
            <w:r>
              <w:rPr>
                <w:rFonts w:ascii="黑体" w:eastAsia="黑体" w:hAnsi="宋体"/>
                <w:kern w:val="0"/>
                <w:sz w:val="20"/>
                <w:szCs w:val="20"/>
              </w:rPr>
              <w:t>6812</w:t>
            </w:r>
          </w:p>
        </w:tc>
        <w:tc>
          <w:tcPr>
            <w:tcW w:w="1276" w:type="dxa"/>
            <w:shd w:val="clear" w:color="auto" w:fill="auto"/>
            <w:noWrap/>
            <w:vAlign w:val="center"/>
          </w:tcPr>
          <w:p w14:paraId="34620BF1" w14:textId="77777777" w:rsidR="00563761" w:rsidRDefault="009F0A60" w:rsidP="0020251D">
            <w:pPr>
              <w:widowControl/>
              <w:adjustRightInd w:val="0"/>
              <w:snapToGrid w:val="0"/>
              <w:spacing w:beforeLines="20" w:before="62" w:afterLines="20" w:after="62"/>
              <w:rPr>
                <w:rFonts w:ascii="黑体" w:eastAsia="黑体" w:hAnsi="黑体" w:cs="宋体"/>
                <w:kern w:val="0"/>
                <w:sz w:val="20"/>
                <w:szCs w:val="20"/>
              </w:rPr>
            </w:pPr>
            <w:r>
              <w:rPr>
                <w:rFonts w:ascii="黑体" w:eastAsia="黑体" w:hAnsi="黑体" w:cs="宋体" w:hint="eastAsia"/>
                <w:kern w:val="0"/>
                <w:sz w:val="20"/>
                <w:szCs w:val="20"/>
              </w:rPr>
              <w:t>健康和意外保险</w:t>
            </w:r>
          </w:p>
        </w:tc>
        <w:tc>
          <w:tcPr>
            <w:tcW w:w="5720" w:type="dxa"/>
            <w:shd w:val="clear" w:color="auto" w:fill="auto"/>
            <w:noWrap/>
            <w:vAlign w:val="center"/>
          </w:tcPr>
          <w:p w14:paraId="3070D9B2" w14:textId="77777777" w:rsidR="00563761" w:rsidRDefault="009F0A60" w:rsidP="0020251D">
            <w:pPr>
              <w:widowControl/>
              <w:adjustRightInd w:val="0"/>
              <w:snapToGrid w:val="0"/>
              <w:spacing w:beforeLines="20" w:before="62" w:afterLines="20" w:after="62"/>
              <w:rPr>
                <w:rFonts w:ascii="黑体" w:eastAsia="黑体" w:hAnsi="黑体" w:cs="宋体"/>
                <w:kern w:val="0"/>
                <w:sz w:val="20"/>
                <w:szCs w:val="20"/>
              </w:rPr>
            </w:pPr>
            <w:r>
              <w:rPr>
                <w:rFonts w:ascii="黑体" w:eastAsia="黑体" w:hAnsi="黑体" w:cs="宋体" w:hint="eastAsia"/>
                <w:kern w:val="0"/>
                <w:sz w:val="20"/>
                <w:szCs w:val="20"/>
              </w:rPr>
              <w:t>指疾病保险、医疗保险、失能收入损失保险、护理保险以及意外伤害保险的活动。</w:t>
            </w:r>
          </w:p>
        </w:tc>
      </w:tr>
      <w:tr w:rsidR="00A052DC" w14:paraId="438D7D42" w14:textId="77777777">
        <w:trPr>
          <w:trHeight w:val="838"/>
        </w:trPr>
        <w:tc>
          <w:tcPr>
            <w:tcW w:w="720" w:type="dxa"/>
            <w:vMerge/>
            <w:vAlign w:val="center"/>
          </w:tcPr>
          <w:p w14:paraId="11B16945" w14:textId="77777777" w:rsidR="00563761" w:rsidRDefault="00563761" w:rsidP="0020251D">
            <w:pPr>
              <w:widowControl/>
              <w:adjustRightInd w:val="0"/>
              <w:snapToGrid w:val="0"/>
              <w:spacing w:beforeLines="20" w:before="62" w:afterLines="20" w:after="62"/>
              <w:jc w:val="left"/>
              <w:rPr>
                <w:rFonts w:ascii="黑体" w:eastAsia="黑体" w:hAnsi="宋体"/>
                <w:b/>
                <w:bCs/>
                <w:kern w:val="0"/>
                <w:sz w:val="20"/>
                <w:szCs w:val="20"/>
              </w:rPr>
            </w:pPr>
          </w:p>
        </w:tc>
        <w:tc>
          <w:tcPr>
            <w:tcW w:w="709" w:type="dxa"/>
            <w:shd w:val="clear" w:color="auto" w:fill="auto"/>
            <w:noWrap/>
            <w:vAlign w:val="center"/>
          </w:tcPr>
          <w:p w14:paraId="5E202E0B" w14:textId="77777777" w:rsidR="00197ADB" w:rsidRDefault="009F0A60" w:rsidP="0020251D">
            <w:pPr>
              <w:widowControl/>
              <w:adjustRightInd w:val="0"/>
              <w:snapToGrid w:val="0"/>
              <w:spacing w:beforeLines="20" w:before="62" w:afterLines="20" w:after="62"/>
              <w:jc w:val="center"/>
              <w:rPr>
                <w:rFonts w:ascii="黑体" w:eastAsia="黑体" w:hAnsi="宋体"/>
                <w:kern w:val="0"/>
                <w:sz w:val="20"/>
                <w:szCs w:val="20"/>
              </w:rPr>
            </w:pPr>
            <w:r>
              <w:rPr>
                <w:rFonts w:ascii="黑体" w:eastAsia="黑体" w:hAnsi="宋体"/>
                <w:kern w:val="0"/>
                <w:sz w:val="20"/>
                <w:szCs w:val="20"/>
              </w:rPr>
              <w:t>6820</w:t>
            </w:r>
          </w:p>
        </w:tc>
        <w:tc>
          <w:tcPr>
            <w:tcW w:w="1276" w:type="dxa"/>
            <w:shd w:val="clear" w:color="auto" w:fill="auto"/>
            <w:noWrap/>
            <w:vAlign w:val="center"/>
          </w:tcPr>
          <w:p w14:paraId="13933BC2" w14:textId="77777777" w:rsidR="00563761" w:rsidRDefault="009F0A60" w:rsidP="0020251D">
            <w:pPr>
              <w:widowControl/>
              <w:adjustRightInd w:val="0"/>
              <w:snapToGrid w:val="0"/>
              <w:spacing w:beforeLines="20" w:before="62" w:afterLines="20" w:after="62"/>
              <w:rPr>
                <w:rFonts w:ascii="黑体" w:eastAsia="黑体" w:hAnsi="黑体" w:cs="宋体"/>
                <w:kern w:val="0"/>
                <w:sz w:val="20"/>
                <w:szCs w:val="20"/>
              </w:rPr>
            </w:pPr>
            <w:r>
              <w:rPr>
                <w:rFonts w:ascii="黑体" w:eastAsia="黑体" w:hAnsi="黑体" w:cs="宋体" w:hint="eastAsia"/>
                <w:kern w:val="0"/>
                <w:sz w:val="20"/>
                <w:szCs w:val="20"/>
              </w:rPr>
              <w:t>财产保险</w:t>
            </w:r>
          </w:p>
        </w:tc>
        <w:tc>
          <w:tcPr>
            <w:tcW w:w="5720" w:type="dxa"/>
            <w:shd w:val="clear" w:color="auto" w:fill="auto"/>
            <w:noWrap/>
            <w:vAlign w:val="center"/>
          </w:tcPr>
          <w:p w14:paraId="12683A33" w14:textId="77777777" w:rsidR="00563761" w:rsidRDefault="009F0A60" w:rsidP="0020251D">
            <w:pPr>
              <w:widowControl/>
              <w:adjustRightInd w:val="0"/>
              <w:snapToGrid w:val="0"/>
              <w:spacing w:beforeLines="20" w:before="62" w:afterLines="20" w:after="62"/>
              <w:rPr>
                <w:rFonts w:ascii="黑体" w:eastAsia="黑体" w:hAnsi="黑体" w:cs="宋体"/>
                <w:kern w:val="0"/>
                <w:sz w:val="20"/>
                <w:szCs w:val="20"/>
              </w:rPr>
            </w:pPr>
            <w:r>
              <w:rPr>
                <w:rFonts w:ascii="黑体" w:eastAsia="黑体" w:hAnsi="黑体" w:cs="宋体" w:hint="eastAsia"/>
                <w:kern w:val="0"/>
                <w:sz w:val="20"/>
                <w:szCs w:val="20"/>
              </w:rPr>
              <w:t>指除人身保险外的保险活动，包括财产损失保险、责任保险、信用保险、保证保险等。</w:t>
            </w:r>
          </w:p>
        </w:tc>
      </w:tr>
      <w:tr w:rsidR="00A052DC" w14:paraId="3D76FEE3" w14:textId="77777777">
        <w:trPr>
          <w:trHeight w:val="552"/>
        </w:trPr>
        <w:tc>
          <w:tcPr>
            <w:tcW w:w="720" w:type="dxa"/>
            <w:vMerge/>
            <w:vAlign w:val="center"/>
          </w:tcPr>
          <w:p w14:paraId="260B38CD" w14:textId="77777777" w:rsidR="00563761" w:rsidRDefault="00563761" w:rsidP="0020251D">
            <w:pPr>
              <w:widowControl/>
              <w:adjustRightInd w:val="0"/>
              <w:snapToGrid w:val="0"/>
              <w:spacing w:beforeLines="20" w:before="62" w:afterLines="20" w:after="62"/>
              <w:jc w:val="left"/>
              <w:rPr>
                <w:rFonts w:ascii="黑体" w:eastAsia="黑体" w:hAnsi="宋体"/>
                <w:b/>
                <w:bCs/>
                <w:kern w:val="0"/>
                <w:sz w:val="20"/>
                <w:szCs w:val="20"/>
              </w:rPr>
            </w:pPr>
          </w:p>
        </w:tc>
        <w:tc>
          <w:tcPr>
            <w:tcW w:w="709" w:type="dxa"/>
            <w:shd w:val="clear" w:color="auto" w:fill="auto"/>
            <w:noWrap/>
            <w:vAlign w:val="center"/>
          </w:tcPr>
          <w:p w14:paraId="178ED290" w14:textId="77777777" w:rsidR="00197ADB" w:rsidRDefault="009F0A60" w:rsidP="0020251D">
            <w:pPr>
              <w:widowControl/>
              <w:adjustRightInd w:val="0"/>
              <w:snapToGrid w:val="0"/>
              <w:spacing w:beforeLines="20" w:before="62" w:afterLines="20" w:after="62"/>
              <w:jc w:val="center"/>
              <w:rPr>
                <w:rFonts w:ascii="黑体" w:eastAsia="黑体" w:hAnsi="宋体"/>
                <w:kern w:val="0"/>
                <w:sz w:val="20"/>
                <w:szCs w:val="20"/>
              </w:rPr>
            </w:pPr>
            <w:r>
              <w:rPr>
                <w:rFonts w:ascii="黑体" w:eastAsia="黑体" w:hAnsi="宋体"/>
                <w:kern w:val="0"/>
                <w:sz w:val="20"/>
                <w:szCs w:val="20"/>
              </w:rPr>
              <w:t>6830</w:t>
            </w:r>
          </w:p>
        </w:tc>
        <w:tc>
          <w:tcPr>
            <w:tcW w:w="1276" w:type="dxa"/>
            <w:shd w:val="clear" w:color="auto" w:fill="auto"/>
            <w:noWrap/>
            <w:vAlign w:val="center"/>
          </w:tcPr>
          <w:p w14:paraId="5D3099BB" w14:textId="77777777" w:rsidR="00563761" w:rsidRDefault="009F0A60" w:rsidP="0020251D">
            <w:pPr>
              <w:widowControl/>
              <w:adjustRightInd w:val="0"/>
              <w:snapToGrid w:val="0"/>
              <w:spacing w:beforeLines="20" w:before="62" w:afterLines="20" w:after="62"/>
              <w:rPr>
                <w:rFonts w:ascii="黑体" w:eastAsia="黑体" w:hAnsi="黑体" w:cs="宋体"/>
                <w:kern w:val="0"/>
                <w:sz w:val="20"/>
                <w:szCs w:val="20"/>
              </w:rPr>
            </w:pPr>
            <w:r>
              <w:rPr>
                <w:rFonts w:ascii="黑体" w:eastAsia="黑体" w:hAnsi="黑体" w:cs="宋体" w:hint="eastAsia"/>
                <w:kern w:val="0"/>
                <w:sz w:val="20"/>
                <w:szCs w:val="20"/>
              </w:rPr>
              <w:t>再保险</w:t>
            </w:r>
          </w:p>
        </w:tc>
        <w:tc>
          <w:tcPr>
            <w:tcW w:w="5720" w:type="dxa"/>
            <w:shd w:val="clear" w:color="auto" w:fill="auto"/>
            <w:noWrap/>
            <w:vAlign w:val="center"/>
          </w:tcPr>
          <w:p w14:paraId="2C867659" w14:textId="77777777" w:rsidR="00563761" w:rsidRDefault="009F0A60" w:rsidP="0020251D">
            <w:pPr>
              <w:widowControl/>
              <w:adjustRightInd w:val="0"/>
              <w:snapToGrid w:val="0"/>
              <w:spacing w:beforeLines="20" w:before="62" w:afterLines="20" w:after="62"/>
              <w:rPr>
                <w:rFonts w:ascii="黑体" w:eastAsia="黑体" w:hAnsi="黑体" w:cs="宋体"/>
                <w:kern w:val="0"/>
                <w:sz w:val="20"/>
                <w:szCs w:val="20"/>
              </w:rPr>
            </w:pPr>
            <w:r>
              <w:rPr>
                <w:rFonts w:ascii="黑体" w:eastAsia="黑体" w:hAnsi="黑体" w:cs="宋体" w:hint="eastAsia"/>
                <w:kern w:val="0"/>
                <w:sz w:val="20"/>
                <w:szCs w:val="20"/>
              </w:rPr>
              <w:t>指承担与其他保险公司承保的现有保单相关的所有或部分风险的活动。</w:t>
            </w:r>
          </w:p>
        </w:tc>
      </w:tr>
      <w:tr w:rsidR="00A052DC" w14:paraId="4F6712D3" w14:textId="77777777">
        <w:trPr>
          <w:trHeight w:val="848"/>
        </w:trPr>
        <w:tc>
          <w:tcPr>
            <w:tcW w:w="720" w:type="dxa"/>
            <w:vMerge/>
            <w:vAlign w:val="center"/>
          </w:tcPr>
          <w:p w14:paraId="191D1A0B" w14:textId="77777777" w:rsidR="00563761" w:rsidRDefault="00563761" w:rsidP="0020251D">
            <w:pPr>
              <w:widowControl/>
              <w:adjustRightInd w:val="0"/>
              <w:snapToGrid w:val="0"/>
              <w:spacing w:beforeLines="20" w:before="62" w:afterLines="20" w:after="62"/>
              <w:jc w:val="left"/>
              <w:rPr>
                <w:rFonts w:ascii="黑体" w:eastAsia="黑体" w:hAnsi="宋体"/>
                <w:b/>
                <w:bCs/>
                <w:kern w:val="0"/>
                <w:sz w:val="20"/>
                <w:szCs w:val="20"/>
              </w:rPr>
            </w:pPr>
          </w:p>
        </w:tc>
        <w:tc>
          <w:tcPr>
            <w:tcW w:w="709" w:type="dxa"/>
            <w:shd w:val="clear" w:color="auto" w:fill="auto"/>
            <w:noWrap/>
            <w:vAlign w:val="center"/>
          </w:tcPr>
          <w:p w14:paraId="0C7CC7BB" w14:textId="77777777" w:rsidR="00197ADB" w:rsidRDefault="009F0A60" w:rsidP="0020251D">
            <w:pPr>
              <w:widowControl/>
              <w:adjustRightInd w:val="0"/>
              <w:snapToGrid w:val="0"/>
              <w:spacing w:beforeLines="20" w:before="62" w:afterLines="20" w:after="62"/>
              <w:jc w:val="center"/>
              <w:rPr>
                <w:rFonts w:ascii="黑体" w:eastAsia="黑体" w:hAnsi="宋体"/>
                <w:kern w:val="0"/>
                <w:sz w:val="20"/>
                <w:szCs w:val="20"/>
              </w:rPr>
            </w:pPr>
            <w:r>
              <w:rPr>
                <w:rFonts w:ascii="黑体" w:eastAsia="黑体" w:hAnsi="宋体"/>
                <w:kern w:val="0"/>
                <w:sz w:val="20"/>
                <w:szCs w:val="20"/>
              </w:rPr>
              <w:t>6840</w:t>
            </w:r>
          </w:p>
        </w:tc>
        <w:tc>
          <w:tcPr>
            <w:tcW w:w="1276" w:type="dxa"/>
            <w:shd w:val="clear" w:color="auto" w:fill="auto"/>
            <w:noWrap/>
            <w:vAlign w:val="center"/>
          </w:tcPr>
          <w:p w14:paraId="2A06F919" w14:textId="77777777" w:rsidR="00563761" w:rsidRDefault="009F0A60" w:rsidP="0020251D">
            <w:pPr>
              <w:widowControl/>
              <w:adjustRightInd w:val="0"/>
              <w:snapToGrid w:val="0"/>
              <w:spacing w:beforeLines="20" w:before="62" w:afterLines="20" w:after="62"/>
              <w:rPr>
                <w:rFonts w:ascii="黑体" w:eastAsia="黑体" w:hAnsi="黑体" w:cs="宋体"/>
                <w:kern w:val="0"/>
                <w:sz w:val="20"/>
                <w:szCs w:val="20"/>
              </w:rPr>
            </w:pPr>
            <w:r>
              <w:rPr>
                <w:rFonts w:ascii="黑体" w:eastAsia="黑体" w:hAnsi="黑体" w:cs="宋体" w:hint="eastAsia"/>
                <w:kern w:val="0"/>
                <w:sz w:val="20"/>
                <w:szCs w:val="20"/>
              </w:rPr>
              <w:t>养老金</w:t>
            </w:r>
          </w:p>
        </w:tc>
        <w:tc>
          <w:tcPr>
            <w:tcW w:w="5720" w:type="dxa"/>
            <w:shd w:val="clear" w:color="auto" w:fill="auto"/>
            <w:noWrap/>
            <w:vAlign w:val="center"/>
          </w:tcPr>
          <w:p w14:paraId="688EF558" w14:textId="77777777" w:rsidR="00563761" w:rsidRDefault="009F0A60" w:rsidP="0020251D">
            <w:pPr>
              <w:widowControl/>
              <w:adjustRightInd w:val="0"/>
              <w:snapToGrid w:val="0"/>
              <w:spacing w:beforeLines="20" w:before="62" w:afterLines="20" w:after="62"/>
              <w:rPr>
                <w:rFonts w:ascii="黑体" w:eastAsia="黑体" w:hAnsi="黑体" w:cs="宋体"/>
                <w:kern w:val="0"/>
                <w:sz w:val="20"/>
                <w:szCs w:val="20"/>
              </w:rPr>
            </w:pPr>
            <w:r>
              <w:rPr>
                <w:rFonts w:ascii="黑体" w:eastAsia="黑体" w:hAnsi="黑体" w:cs="宋体" w:hint="eastAsia"/>
                <w:kern w:val="0"/>
                <w:sz w:val="20"/>
                <w:szCs w:val="20"/>
              </w:rPr>
              <w:t>指专为单位雇员或成员提供退休金补贴而设立的法定实体的活动</w:t>
            </w:r>
            <w:r>
              <w:rPr>
                <w:rFonts w:ascii="黑体" w:eastAsia="黑体" w:hAnsi="黑体" w:cs="宋体"/>
                <w:kern w:val="0"/>
                <w:sz w:val="20"/>
                <w:szCs w:val="20"/>
              </w:rPr>
              <w:t>(如基金、计划和/或项目等)，包括养老金定额补贴计划以及完全根据成员贡献确定补贴数额的个人养老金计划等。</w:t>
            </w:r>
          </w:p>
        </w:tc>
      </w:tr>
      <w:tr w:rsidR="00A052DC" w14:paraId="3623D181" w14:textId="77777777">
        <w:trPr>
          <w:trHeight w:val="830"/>
        </w:trPr>
        <w:tc>
          <w:tcPr>
            <w:tcW w:w="720" w:type="dxa"/>
            <w:vMerge/>
            <w:vAlign w:val="center"/>
          </w:tcPr>
          <w:p w14:paraId="404A0B09" w14:textId="77777777" w:rsidR="00563761" w:rsidRDefault="00563761" w:rsidP="0020251D">
            <w:pPr>
              <w:widowControl/>
              <w:adjustRightInd w:val="0"/>
              <w:snapToGrid w:val="0"/>
              <w:spacing w:beforeLines="20" w:before="62" w:afterLines="20" w:after="62"/>
              <w:jc w:val="left"/>
              <w:rPr>
                <w:rFonts w:ascii="黑体" w:eastAsia="黑体" w:hAnsi="宋体"/>
                <w:b/>
                <w:bCs/>
                <w:kern w:val="0"/>
                <w:sz w:val="20"/>
                <w:szCs w:val="20"/>
              </w:rPr>
            </w:pPr>
          </w:p>
        </w:tc>
        <w:tc>
          <w:tcPr>
            <w:tcW w:w="709" w:type="dxa"/>
            <w:shd w:val="clear" w:color="auto" w:fill="auto"/>
            <w:noWrap/>
            <w:vAlign w:val="center"/>
          </w:tcPr>
          <w:p w14:paraId="73961EB3" w14:textId="77777777" w:rsidR="00197ADB" w:rsidRDefault="009F0A60" w:rsidP="0020251D">
            <w:pPr>
              <w:widowControl/>
              <w:adjustRightInd w:val="0"/>
              <w:snapToGrid w:val="0"/>
              <w:spacing w:beforeLines="20" w:before="62" w:afterLines="20" w:after="62"/>
              <w:jc w:val="center"/>
              <w:rPr>
                <w:rFonts w:ascii="黑体" w:eastAsia="黑体" w:hAnsi="宋体"/>
                <w:kern w:val="0"/>
                <w:sz w:val="20"/>
                <w:szCs w:val="20"/>
              </w:rPr>
            </w:pPr>
            <w:r>
              <w:rPr>
                <w:rFonts w:ascii="黑体" w:eastAsia="黑体" w:hAnsi="宋体"/>
                <w:kern w:val="0"/>
                <w:sz w:val="20"/>
                <w:szCs w:val="20"/>
              </w:rPr>
              <w:t>6850</w:t>
            </w:r>
          </w:p>
        </w:tc>
        <w:tc>
          <w:tcPr>
            <w:tcW w:w="1276" w:type="dxa"/>
            <w:shd w:val="clear" w:color="auto" w:fill="auto"/>
            <w:noWrap/>
            <w:vAlign w:val="center"/>
          </w:tcPr>
          <w:p w14:paraId="6124AF56" w14:textId="77777777" w:rsidR="00563761" w:rsidRDefault="009F0A60" w:rsidP="0020251D">
            <w:pPr>
              <w:widowControl/>
              <w:adjustRightInd w:val="0"/>
              <w:snapToGrid w:val="0"/>
              <w:spacing w:beforeLines="20" w:before="62" w:afterLines="20" w:after="62"/>
              <w:rPr>
                <w:rFonts w:ascii="黑体" w:eastAsia="黑体" w:hAnsi="黑体" w:cs="宋体"/>
                <w:kern w:val="0"/>
                <w:sz w:val="20"/>
                <w:szCs w:val="20"/>
              </w:rPr>
            </w:pPr>
            <w:r>
              <w:rPr>
                <w:rFonts w:ascii="黑体" w:eastAsia="黑体" w:hAnsi="黑体" w:cs="宋体" w:hint="eastAsia"/>
                <w:kern w:val="0"/>
                <w:sz w:val="20"/>
                <w:szCs w:val="20"/>
              </w:rPr>
              <w:t>保险经纪与代理服务</w:t>
            </w:r>
          </w:p>
        </w:tc>
        <w:tc>
          <w:tcPr>
            <w:tcW w:w="5720" w:type="dxa"/>
            <w:shd w:val="clear" w:color="auto" w:fill="auto"/>
            <w:noWrap/>
            <w:vAlign w:val="center"/>
          </w:tcPr>
          <w:p w14:paraId="57676F40" w14:textId="77777777" w:rsidR="00563761" w:rsidRDefault="009F0A60" w:rsidP="0020251D">
            <w:pPr>
              <w:widowControl/>
              <w:adjustRightInd w:val="0"/>
              <w:snapToGrid w:val="0"/>
              <w:spacing w:beforeLines="20" w:before="62" w:afterLines="20" w:after="62"/>
              <w:rPr>
                <w:rFonts w:ascii="黑体" w:eastAsia="黑体" w:hAnsi="黑体" w:cs="宋体"/>
                <w:kern w:val="0"/>
                <w:sz w:val="20"/>
                <w:szCs w:val="20"/>
              </w:rPr>
            </w:pPr>
            <w:r>
              <w:rPr>
                <w:rFonts w:ascii="黑体" w:eastAsia="黑体" w:hAnsi="黑体" w:cs="宋体" w:hint="eastAsia"/>
                <w:kern w:val="0"/>
                <w:sz w:val="20"/>
                <w:szCs w:val="20"/>
              </w:rPr>
              <w:t>指保险代理人和经纪人进行的年金、保单和分保单的销售、谈判或促合活动。</w:t>
            </w:r>
          </w:p>
        </w:tc>
      </w:tr>
      <w:tr w:rsidR="00A052DC" w14:paraId="7E9C2A8C" w14:textId="77777777">
        <w:trPr>
          <w:trHeight w:val="700"/>
        </w:trPr>
        <w:tc>
          <w:tcPr>
            <w:tcW w:w="720" w:type="dxa"/>
            <w:vMerge/>
            <w:vAlign w:val="center"/>
          </w:tcPr>
          <w:p w14:paraId="172900E1" w14:textId="77777777" w:rsidR="00563761" w:rsidRDefault="00563761" w:rsidP="0020251D">
            <w:pPr>
              <w:widowControl/>
              <w:adjustRightInd w:val="0"/>
              <w:snapToGrid w:val="0"/>
              <w:spacing w:beforeLines="20" w:before="62" w:afterLines="20" w:after="62"/>
              <w:jc w:val="left"/>
              <w:rPr>
                <w:rFonts w:ascii="黑体" w:eastAsia="黑体" w:hAnsi="宋体"/>
                <w:b/>
                <w:bCs/>
                <w:kern w:val="0"/>
                <w:sz w:val="20"/>
                <w:szCs w:val="20"/>
              </w:rPr>
            </w:pPr>
          </w:p>
        </w:tc>
        <w:tc>
          <w:tcPr>
            <w:tcW w:w="709" w:type="dxa"/>
            <w:shd w:val="clear" w:color="auto" w:fill="auto"/>
            <w:noWrap/>
            <w:vAlign w:val="center"/>
          </w:tcPr>
          <w:p w14:paraId="1B13885D" w14:textId="77777777" w:rsidR="00197ADB" w:rsidRDefault="009F0A60" w:rsidP="0020251D">
            <w:pPr>
              <w:widowControl/>
              <w:adjustRightInd w:val="0"/>
              <w:snapToGrid w:val="0"/>
              <w:spacing w:beforeLines="20" w:before="62" w:afterLines="20" w:after="62"/>
              <w:jc w:val="center"/>
              <w:rPr>
                <w:rFonts w:ascii="黑体" w:eastAsia="黑体" w:hAnsi="宋体"/>
                <w:kern w:val="0"/>
                <w:sz w:val="20"/>
                <w:szCs w:val="20"/>
              </w:rPr>
            </w:pPr>
            <w:r>
              <w:rPr>
                <w:rFonts w:ascii="黑体" w:eastAsia="黑体" w:hAnsi="宋体"/>
                <w:kern w:val="0"/>
                <w:sz w:val="20"/>
                <w:szCs w:val="20"/>
              </w:rPr>
              <w:t>6860</w:t>
            </w:r>
          </w:p>
        </w:tc>
        <w:tc>
          <w:tcPr>
            <w:tcW w:w="1276" w:type="dxa"/>
            <w:shd w:val="clear" w:color="auto" w:fill="auto"/>
            <w:noWrap/>
            <w:vAlign w:val="center"/>
          </w:tcPr>
          <w:p w14:paraId="57631C58" w14:textId="77777777" w:rsidR="00563761" w:rsidRDefault="009F0A60" w:rsidP="0020251D">
            <w:pPr>
              <w:widowControl/>
              <w:adjustRightInd w:val="0"/>
              <w:snapToGrid w:val="0"/>
              <w:spacing w:beforeLines="20" w:before="62" w:afterLines="20" w:after="62"/>
              <w:rPr>
                <w:rFonts w:ascii="黑体" w:eastAsia="黑体" w:hAnsi="黑体" w:cs="宋体"/>
                <w:kern w:val="0"/>
                <w:sz w:val="20"/>
                <w:szCs w:val="20"/>
              </w:rPr>
            </w:pPr>
            <w:r>
              <w:rPr>
                <w:rFonts w:ascii="黑体" w:eastAsia="黑体" w:hAnsi="黑体" w:cs="宋体" w:hint="eastAsia"/>
                <w:kern w:val="0"/>
                <w:sz w:val="20"/>
                <w:szCs w:val="20"/>
              </w:rPr>
              <w:t>保险监管服务</w:t>
            </w:r>
          </w:p>
        </w:tc>
        <w:tc>
          <w:tcPr>
            <w:tcW w:w="5720" w:type="dxa"/>
            <w:shd w:val="clear" w:color="auto" w:fill="auto"/>
            <w:noWrap/>
            <w:vAlign w:val="center"/>
          </w:tcPr>
          <w:p w14:paraId="10433D87" w14:textId="77777777" w:rsidR="00563761" w:rsidRDefault="009F0A60" w:rsidP="0020251D">
            <w:pPr>
              <w:widowControl/>
              <w:adjustRightInd w:val="0"/>
              <w:snapToGrid w:val="0"/>
              <w:spacing w:beforeLines="20" w:before="62" w:afterLines="20" w:after="62"/>
              <w:rPr>
                <w:rFonts w:ascii="黑体" w:eastAsia="黑体" w:hAnsi="黑体" w:cs="宋体"/>
                <w:kern w:val="0"/>
                <w:sz w:val="20"/>
                <w:szCs w:val="20"/>
              </w:rPr>
            </w:pPr>
            <w:r>
              <w:rPr>
                <w:rFonts w:ascii="黑体" w:eastAsia="黑体" w:hAnsi="黑体" w:cs="宋体" w:hint="eastAsia"/>
                <w:kern w:val="0"/>
                <w:sz w:val="20"/>
                <w:szCs w:val="20"/>
              </w:rPr>
              <w:t>指根据国务院授权及相关法律、法规规定所履行的对保险市场的监督、管理活动。</w:t>
            </w:r>
          </w:p>
        </w:tc>
      </w:tr>
      <w:tr w:rsidR="00A052DC" w14:paraId="4BFFC95E" w14:textId="77777777">
        <w:trPr>
          <w:trHeight w:val="647"/>
        </w:trPr>
        <w:tc>
          <w:tcPr>
            <w:tcW w:w="720" w:type="dxa"/>
            <w:vMerge/>
            <w:vAlign w:val="center"/>
          </w:tcPr>
          <w:p w14:paraId="48193A24" w14:textId="77777777" w:rsidR="00563761" w:rsidRDefault="00563761" w:rsidP="0020251D">
            <w:pPr>
              <w:widowControl/>
              <w:adjustRightInd w:val="0"/>
              <w:snapToGrid w:val="0"/>
              <w:spacing w:beforeLines="20" w:before="62" w:afterLines="20" w:after="62"/>
              <w:jc w:val="left"/>
              <w:rPr>
                <w:rFonts w:ascii="黑体" w:eastAsia="黑体" w:hAnsi="宋体"/>
                <w:b/>
                <w:bCs/>
                <w:kern w:val="0"/>
                <w:sz w:val="20"/>
                <w:szCs w:val="20"/>
              </w:rPr>
            </w:pPr>
          </w:p>
        </w:tc>
        <w:tc>
          <w:tcPr>
            <w:tcW w:w="709" w:type="dxa"/>
            <w:shd w:val="clear" w:color="auto" w:fill="auto"/>
            <w:noWrap/>
            <w:vAlign w:val="center"/>
          </w:tcPr>
          <w:p w14:paraId="0AD84588" w14:textId="77777777" w:rsidR="00197ADB" w:rsidRDefault="009F0A60" w:rsidP="0020251D">
            <w:pPr>
              <w:widowControl/>
              <w:adjustRightInd w:val="0"/>
              <w:snapToGrid w:val="0"/>
              <w:spacing w:beforeLines="20" w:before="62" w:afterLines="20" w:after="62"/>
              <w:jc w:val="center"/>
              <w:rPr>
                <w:rFonts w:ascii="黑体" w:eastAsia="黑体" w:hAnsi="宋体"/>
                <w:kern w:val="0"/>
                <w:sz w:val="20"/>
                <w:szCs w:val="20"/>
              </w:rPr>
            </w:pPr>
            <w:r>
              <w:rPr>
                <w:rFonts w:ascii="黑体" w:eastAsia="黑体" w:hAnsi="宋体"/>
                <w:kern w:val="0"/>
                <w:sz w:val="20"/>
                <w:szCs w:val="20"/>
              </w:rPr>
              <w:t xml:space="preserve">　</w:t>
            </w:r>
          </w:p>
        </w:tc>
        <w:tc>
          <w:tcPr>
            <w:tcW w:w="1276" w:type="dxa"/>
            <w:shd w:val="clear" w:color="auto" w:fill="auto"/>
            <w:noWrap/>
            <w:vAlign w:val="center"/>
          </w:tcPr>
          <w:p w14:paraId="25F02CB4" w14:textId="77777777" w:rsidR="00563761" w:rsidRDefault="009F0A60" w:rsidP="0020251D">
            <w:pPr>
              <w:widowControl/>
              <w:adjustRightInd w:val="0"/>
              <w:snapToGrid w:val="0"/>
              <w:spacing w:beforeLines="20" w:before="62" w:afterLines="20" w:after="62"/>
              <w:rPr>
                <w:rFonts w:ascii="黑体" w:eastAsia="黑体" w:hAnsi="黑体" w:cs="宋体"/>
                <w:kern w:val="0"/>
                <w:sz w:val="20"/>
                <w:szCs w:val="20"/>
              </w:rPr>
            </w:pPr>
            <w:r>
              <w:rPr>
                <w:rFonts w:ascii="黑体" w:eastAsia="黑体" w:hAnsi="黑体" w:cs="宋体" w:hint="eastAsia"/>
                <w:kern w:val="0"/>
                <w:sz w:val="20"/>
                <w:szCs w:val="20"/>
              </w:rPr>
              <w:t>其他保险活动</w:t>
            </w:r>
          </w:p>
        </w:tc>
        <w:tc>
          <w:tcPr>
            <w:tcW w:w="5720" w:type="dxa"/>
            <w:shd w:val="clear" w:color="auto" w:fill="auto"/>
            <w:noWrap/>
            <w:vAlign w:val="center"/>
          </w:tcPr>
          <w:p w14:paraId="09EFB502" w14:textId="77777777" w:rsidR="00563761" w:rsidRDefault="009F0A60" w:rsidP="0020251D">
            <w:pPr>
              <w:widowControl/>
              <w:adjustRightInd w:val="0"/>
              <w:snapToGrid w:val="0"/>
              <w:spacing w:beforeLines="20" w:before="62" w:afterLines="20" w:after="62"/>
              <w:rPr>
                <w:rFonts w:ascii="黑体" w:eastAsia="黑体" w:hAnsi="黑体" w:cs="宋体"/>
                <w:kern w:val="0"/>
                <w:sz w:val="20"/>
                <w:szCs w:val="20"/>
              </w:rPr>
            </w:pPr>
            <w:r>
              <w:rPr>
                <w:rFonts w:ascii="黑体" w:eastAsia="黑体" w:hAnsi="黑体" w:cs="宋体" w:hint="eastAsia"/>
                <w:kern w:val="0"/>
                <w:sz w:val="20"/>
                <w:szCs w:val="20"/>
              </w:rPr>
              <w:t>包括</w:t>
            </w:r>
            <w:r>
              <w:rPr>
                <w:rFonts w:ascii="黑体" w:eastAsia="黑体" w:hAnsi="黑体" w:cs="宋体"/>
                <w:kern w:val="0"/>
                <w:sz w:val="20"/>
                <w:szCs w:val="20"/>
              </w:rPr>
              <w:t>6891-6899子类。</w:t>
            </w:r>
          </w:p>
        </w:tc>
      </w:tr>
      <w:tr w:rsidR="00A052DC" w14:paraId="63E95ED1" w14:textId="77777777">
        <w:trPr>
          <w:trHeight w:val="890"/>
        </w:trPr>
        <w:tc>
          <w:tcPr>
            <w:tcW w:w="720" w:type="dxa"/>
            <w:vMerge/>
            <w:vAlign w:val="center"/>
          </w:tcPr>
          <w:p w14:paraId="2EDD0B78" w14:textId="77777777" w:rsidR="00563761" w:rsidRDefault="00563761" w:rsidP="0020251D">
            <w:pPr>
              <w:widowControl/>
              <w:adjustRightInd w:val="0"/>
              <w:snapToGrid w:val="0"/>
              <w:spacing w:beforeLines="20" w:before="62" w:afterLines="20" w:after="62"/>
              <w:jc w:val="left"/>
              <w:rPr>
                <w:rFonts w:ascii="黑体" w:eastAsia="黑体" w:hAnsi="宋体"/>
                <w:b/>
                <w:bCs/>
                <w:kern w:val="0"/>
                <w:sz w:val="20"/>
                <w:szCs w:val="20"/>
              </w:rPr>
            </w:pPr>
          </w:p>
        </w:tc>
        <w:tc>
          <w:tcPr>
            <w:tcW w:w="709" w:type="dxa"/>
            <w:shd w:val="clear" w:color="auto" w:fill="auto"/>
            <w:noWrap/>
            <w:vAlign w:val="center"/>
          </w:tcPr>
          <w:p w14:paraId="710DB8C8" w14:textId="77777777" w:rsidR="00197ADB" w:rsidRDefault="009F0A60" w:rsidP="0020251D">
            <w:pPr>
              <w:widowControl/>
              <w:adjustRightInd w:val="0"/>
              <w:snapToGrid w:val="0"/>
              <w:spacing w:beforeLines="20" w:before="62" w:afterLines="20" w:after="62"/>
              <w:jc w:val="center"/>
              <w:rPr>
                <w:rFonts w:ascii="黑体" w:eastAsia="黑体" w:hAnsi="宋体"/>
                <w:kern w:val="0"/>
                <w:sz w:val="20"/>
                <w:szCs w:val="20"/>
              </w:rPr>
            </w:pPr>
            <w:r>
              <w:rPr>
                <w:rFonts w:ascii="黑体" w:eastAsia="黑体" w:hAnsi="宋体"/>
                <w:kern w:val="0"/>
                <w:sz w:val="20"/>
                <w:szCs w:val="20"/>
              </w:rPr>
              <w:t>6891</w:t>
            </w:r>
          </w:p>
        </w:tc>
        <w:tc>
          <w:tcPr>
            <w:tcW w:w="1276" w:type="dxa"/>
            <w:shd w:val="clear" w:color="auto" w:fill="auto"/>
            <w:noWrap/>
            <w:vAlign w:val="center"/>
          </w:tcPr>
          <w:p w14:paraId="3676C7B8" w14:textId="77777777" w:rsidR="00563761" w:rsidRDefault="009F0A60" w:rsidP="0020251D">
            <w:pPr>
              <w:widowControl/>
              <w:adjustRightInd w:val="0"/>
              <w:snapToGrid w:val="0"/>
              <w:spacing w:beforeLines="20" w:before="62" w:afterLines="20" w:after="62"/>
              <w:rPr>
                <w:rFonts w:ascii="黑体" w:eastAsia="黑体" w:hAnsi="黑体" w:cs="宋体"/>
                <w:kern w:val="0"/>
                <w:sz w:val="20"/>
                <w:szCs w:val="20"/>
              </w:rPr>
            </w:pPr>
            <w:r>
              <w:rPr>
                <w:rFonts w:ascii="黑体" w:eastAsia="黑体" w:hAnsi="黑体" w:cs="宋体" w:hint="eastAsia"/>
                <w:kern w:val="0"/>
                <w:sz w:val="20"/>
                <w:szCs w:val="20"/>
              </w:rPr>
              <w:t>风险和损失评估</w:t>
            </w:r>
          </w:p>
        </w:tc>
        <w:tc>
          <w:tcPr>
            <w:tcW w:w="5720" w:type="dxa"/>
            <w:shd w:val="clear" w:color="auto" w:fill="auto"/>
            <w:noWrap/>
            <w:vAlign w:val="center"/>
          </w:tcPr>
          <w:p w14:paraId="05D8A973" w14:textId="77777777" w:rsidR="00563761" w:rsidRDefault="009F0A60" w:rsidP="0020251D">
            <w:pPr>
              <w:widowControl/>
              <w:adjustRightInd w:val="0"/>
              <w:snapToGrid w:val="0"/>
              <w:spacing w:beforeLines="20" w:before="62" w:afterLines="20" w:after="62"/>
              <w:rPr>
                <w:rFonts w:ascii="黑体" w:eastAsia="黑体" w:hAnsi="黑体" w:cs="宋体"/>
                <w:kern w:val="0"/>
                <w:sz w:val="20"/>
                <w:szCs w:val="20"/>
              </w:rPr>
            </w:pPr>
            <w:r>
              <w:rPr>
                <w:rFonts w:ascii="黑体" w:eastAsia="黑体" w:hAnsi="黑体" w:cs="宋体" w:hint="eastAsia"/>
                <w:kern w:val="0"/>
                <w:sz w:val="20"/>
                <w:szCs w:val="20"/>
              </w:rPr>
              <w:t>指保险标的或保险事故的评估、鉴定、勘验、估损或理算等活动，包括索赔处理、风险评估、风险和损失核定、海损理算和损失理算，以及保险理赔等活动。</w:t>
            </w:r>
          </w:p>
        </w:tc>
      </w:tr>
      <w:tr w:rsidR="00A052DC" w14:paraId="5BBF8AFD" w14:textId="77777777">
        <w:trPr>
          <w:trHeight w:val="676"/>
        </w:trPr>
        <w:tc>
          <w:tcPr>
            <w:tcW w:w="720" w:type="dxa"/>
            <w:vMerge/>
            <w:vAlign w:val="center"/>
          </w:tcPr>
          <w:p w14:paraId="0AE7610E" w14:textId="77777777" w:rsidR="00563761" w:rsidRDefault="00563761" w:rsidP="0020251D">
            <w:pPr>
              <w:widowControl/>
              <w:adjustRightInd w:val="0"/>
              <w:snapToGrid w:val="0"/>
              <w:spacing w:beforeLines="20" w:before="62" w:afterLines="20" w:after="62"/>
              <w:jc w:val="left"/>
              <w:rPr>
                <w:rFonts w:ascii="黑体" w:eastAsia="黑体" w:hAnsi="宋体"/>
                <w:b/>
                <w:bCs/>
                <w:kern w:val="0"/>
                <w:sz w:val="20"/>
                <w:szCs w:val="20"/>
              </w:rPr>
            </w:pPr>
          </w:p>
        </w:tc>
        <w:tc>
          <w:tcPr>
            <w:tcW w:w="709" w:type="dxa"/>
            <w:shd w:val="clear" w:color="auto" w:fill="auto"/>
            <w:noWrap/>
            <w:vAlign w:val="center"/>
          </w:tcPr>
          <w:p w14:paraId="6983037E" w14:textId="77777777" w:rsidR="00197ADB" w:rsidRDefault="009F0A60" w:rsidP="0020251D">
            <w:pPr>
              <w:widowControl/>
              <w:adjustRightInd w:val="0"/>
              <w:snapToGrid w:val="0"/>
              <w:spacing w:beforeLines="20" w:before="62" w:afterLines="20" w:after="62"/>
              <w:jc w:val="center"/>
              <w:rPr>
                <w:rFonts w:ascii="黑体" w:eastAsia="黑体" w:hAnsi="宋体"/>
                <w:kern w:val="0"/>
                <w:sz w:val="20"/>
                <w:szCs w:val="20"/>
              </w:rPr>
            </w:pPr>
            <w:r>
              <w:rPr>
                <w:rFonts w:ascii="黑体" w:eastAsia="黑体" w:hAnsi="宋体"/>
                <w:kern w:val="0"/>
                <w:sz w:val="20"/>
                <w:szCs w:val="20"/>
              </w:rPr>
              <w:t>6899</w:t>
            </w:r>
          </w:p>
        </w:tc>
        <w:tc>
          <w:tcPr>
            <w:tcW w:w="1276" w:type="dxa"/>
            <w:shd w:val="clear" w:color="auto" w:fill="auto"/>
            <w:noWrap/>
            <w:vAlign w:val="center"/>
          </w:tcPr>
          <w:p w14:paraId="6229D575" w14:textId="77777777" w:rsidR="00563761" w:rsidRDefault="009F0A60" w:rsidP="0020251D">
            <w:pPr>
              <w:widowControl/>
              <w:adjustRightInd w:val="0"/>
              <w:snapToGrid w:val="0"/>
              <w:spacing w:beforeLines="20" w:before="62" w:afterLines="20" w:after="62"/>
              <w:rPr>
                <w:rFonts w:ascii="黑体" w:eastAsia="黑体" w:hAnsi="黑体" w:cs="宋体"/>
                <w:kern w:val="0"/>
                <w:sz w:val="20"/>
                <w:szCs w:val="20"/>
              </w:rPr>
            </w:pPr>
            <w:r>
              <w:rPr>
                <w:rFonts w:ascii="黑体" w:eastAsia="黑体" w:hAnsi="黑体" w:cs="宋体" w:hint="eastAsia"/>
                <w:kern w:val="0"/>
                <w:sz w:val="20"/>
                <w:szCs w:val="20"/>
              </w:rPr>
              <w:t>其他未列明保险活动</w:t>
            </w:r>
          </w:p>
        </w:tc>
        <w:tc>
          <w:tcPr>
            <w:tcW w:w="5720" w:type="dxa"/>
            <w:shd w:val="clear" w:color="auto" w:fill="auto"/>
            <w:noWrap/>
            <w:vAlign w:val="center"/>
          </w:tcPr>
          <w:p w14:paraId="79EEDDCA" w14:textId="77777777" w:rsidR="00563761" w:rsidRDefault="009F0A60" w:rsidP="0020251D">
            <w:pPr>
              <w:widowControl/>
              <w:adjustRightInd w:val="0"/>
              <w:snapToGrid w:val="0"/>
              <w:spacing w:beforeLines="20" w:before="62" w:afterLines="20" w:after="62"/>
              <w:rPr>
                <w:rFonts w:ascii="黑体" w:eastAsia="黑体" w:hAnsi="黑体" w:cs="宋体"/>
                <w:kern w:val="0"/>
                <w:sz w:val="20"/>
                <w:szCs w:val="20"/>
              </w:rPr>
            </w:pPr>
            <w:r>
              <w:rPr>
                <w:rFonts w:ascii="黑体" w:eastAsia="黑体" w:hAnsi="黑体" w:cs="宋体" w:hint="eastAsia"/>
                <w:kern w:val="0"/>
                <w:sz w:val="20"/>
                <w:szCs w:val="20"/>
              </w:rPr>
              <w:t>指与保险和养老金相关或密切相关的活动</w:t>
            </w:r>
            <w:r>
              <w:rPr>
                <w:rFonts w:ascii="黑体" w:eastAsia="黑体" w:hAnsi="黑体" w:cs="宋体"/>
                <w:kern w:val="0"/>
                <w:sz w:val="20"/>
                <w:szCs w:val="20"/>
              </w:rPr>
              <w:t>(理</w:t>
            </w:r>
            <w:r>
              <w:rPr>
                <w:rFonts w:ascii="黑体" w:eastAsia="黑体" w:hAnsi="黑体" w:cs="宋体" w:hint="eastAsia"/>
                <w:kern w:val="0"/>
                <w:sz w:val="20"/>
                <w:szCs w:val="20"/>
              </w:rPr>
              <w:t>赔和保险代理人、经纪人的活动除外</w:t>
            </w:r>
            <w:r>
              <w:rPr>
                <w:rFonts w:ascii="黑体" w:eastAsia="黑体" w:hAnsi="黑体" w:cs="宋体"/>
                <w:kern w:val="0"/>
                <w:sz w:val="20"/>
                <w:szCs w:val="20"/>
              </w:rPr>
              <w:t>)，包括救助管理、保险精算等活动。</w:t>
            </w:r>
          </w:p>
        </w:tc>
      </w:tr>
      <w:tr w:rsidR="00A052DC" w14:paraId="6DD4499A" w14:textId="77777777">
        <w:trPr>
          <w:trHeight w:val="1176"/>
        </w:trPr>
        <w:tc>
          <w:tcPr>
            <w:tcW w:w="720" w:type="dxa"/>
            <w:vMerge w:val="restart"/>
            <w:shd w:val="clear" w:color="auto" w:fill="auto"/>
            <w:vAlign w:val="center"/>
          </w:tcPr>
          <w:p w14:paraId="5E43E872" w14:textId="77777777" w:rsidR="00A052DC" w:rsidRDefault="009F0A60" w:rsidP="0020251D">
            <w:pPr>
              <w:widowControl/>
              <w:adjustRightInd w:val="0"/>
              <w:snapToGrid w:val="0"/>
              <w:spacing w:beforeLines="20" w:before="62" w:afterLines="20" w:after="62"/>
              <w:jc w:val="center"/>
              <w:rPr>
                <w:rFonts w:ascii="黑体" w:eastAsia="黑体" w:hAnsi="宋体"/>
                <w:kern w:val="0"/>
                <w:sz w:val="20"/>
                <w:szCs w:val="20"/>
              </w:rPr>
            </w:pPr>
            <w:r>
              <w:rPr>
                <w:rFonts w:ascii="黑体" w:eastAsia="黑体" w:hAnsi="宋体"/>
                <w:kern w:val="0"/>
                <w:sz w:val="20"/>
                <w:szCs w:val="20"/>
              </w:rPr>
              <w:t>1069</w:t>
            </w:r>
          </w:p>
        </w:tc>
        <w:tc>
          <w:tcPr>
            <w:tcW w:w="709" w:type="dxa"/>
            <w:shd w:val="clear" w:color="auto" w:fill="auto"/>
            <w:noWrap/>
            <w:vAlign w:val="center"/>
          </w:tcPr>
          <w:p w14:paraId="6E3943C3" w14:textId="77777777" w:rsidR="00563761" w:rsidRDefault="009F0A60" w:rsidP="0020251D">
            <w:pPr>
              <w:widowControl/>
              <w:adjustRightInd w:val="0"/>
              <w:snapToGrid w:val="0"/>
              <w:spacing w:beforeLines="20" w:before="62" w:afterLines="20" w:after="62"/>
              <w:jc w:val="center"/>
              <w:rPr>
                <w:rFonts w:ascii="黑体" w:eastAsia="黑体" w:hAnsi="宋体"/>
                <w:kern w:val="0"/>
                <w:sz w:val="20"/>
                <w:szCs w:val="20"/>
              </w:rPr>
            </w:pPr>
            <w:r>
              <w:rPr>
                <w:rFonts w:ascii="黑体" w:eastAsia="黑体" w:hAnsi="宋体"/>
                <w:kern w:val="0"/>
                <w:sz w:val="20"/>
                <w:szCs w:val="20"/>
              </w:rPr>
              <w:t xml:space="preserve">　</w:t>
            </w:r>
          </w:p>
        </w:tc>
        <w:tc>
          <w:tcPr>
            <w:tcW w:w="1276" w:type="dxa"/>
            <w:shd w:val="clear" w:color="auto" w:fill="auto"/>
            <w:noWrap/>
            <w:vAlign w:val="center"/>
          </w:tcPr>
          <w:p w14:paraId="25E994B1" w14:textId="77777777" w:rsidR="00563761" w:rsidRDefault="009F0A60" w:rsidP="0020251D">
            <w:pPr>
              <w:widowControl/>
              <w:adjustRightInd w:val="0"/>
              <w:snapToGrid w:val="0"/>
              <w:spacing w:beforeLines="20" w:before="62" w:afterLines="20" w:after="62"/>
              <w:rPr>
                <w:rFonts w:ascii="黑体" w:eastAsia="黑体" w:hAnsi="黑体" w:cs="宋体"/>
                <w:kern w:val="0"/>
                <w:sz w:val="20"/>
                <w:szCs w:val="20"/>
              </w:rPr>
            </w:pPr>
            <w:r>
              <w:rPr>
                <w:rFonts w:ascii="黑体" w:eastAsia="黑体" w:hAnsi="黑体" w:cs="宋体" w:hint="eastAsia"/>
                <w:kern w:val="0"/>
                <w:sz w:val="20"/>
                <w:szCs w:val="20"/>
              </w:rPr>
              <w:t>其他金融业</w:t>
            </w:r>
          </w:p>
        </w:tc>
        <w:tc>
          <w:tcPr>
            <w:tcW w:w="5720" w:type="dxa"/>
            <w:shd w:val="clear" w:color="auto" w:fill="auto"/>
            <w:noWrap/>
            <w:vAlign w:val="center"/>
          </w:tcPr>
          <w:p w14:paraId="0CF9FFBA" w14:textId="77777777" w:rsidR="00563761" w:rsidRDefault="009F0A60" w:rsidP="0020251D">
            <w:pPr>
              <w:widowControl/>
              <w:adjustRightInd w:val="0"/>
              <w:snapToGrid w:val="0"/>
              <w:spacing w:beforeLines="20" w:before="62" w:afterLines="20" w:after="62"/>
              <w:rPr>
                <w:rFonts w:ascii="黑体" w:eastAsia="黑体" w:hAnsi="黑体" w:cs="宋体"/>
                <w:kern w:val="0"/>
                <w:sz w:val="20"/>
                <w:szCs w:val="20"/>
              </w:rPr>
            </w:pPr>
            <w:r>
              <w:rPr>
                <w:rFonts w:ascii="黑体" w:eastAsia="黑体" w:hAnsi="黑体" w:cs="宋体" w:hint="eastAsia"/>
                <w:kern w:val="0"/>
                <w:sz w:val="20"/>
                <w:szCs w:val="20"/>
              </w:rPr>
              <w:t>包括</w:t>
            </w:r>
            <w:r>
              <w:rPr>
                <w:rFonts w:ascii="黑体" w:eastAsia="黑体" w:hAnsi="黑体" w:cs="宋体"/>
                <w:kern w:val="0"/>
                <w:sz w:val="20"/>
                <w:szCs w:val="20"/>
              </w:rPr>
              <w:t>6910-6990子类</w:t>
            </w:r>
            <w:r>
              <w:rPr>
                <w:rFonts w:ascii="黑体" w:eastAsia="黑体" w:hAnsi="黑体" w:cs="宋体" w:hint="eastAsia"/>
                <w:kern w:val="0"/>
                <w:sz w:val="20"/>
                <w:szCs w:val="20"/>
              </w:rPr>
              <w:t>。</w:t>
            </w:r>
          </w:p>
        </w:tc>
      </w:tr>
      <w:tr w:rsidR="00A052DC" w14:paraId="7E3954E5" w14:textId="77777777">
        <w:trPr>
          <w:trHeight w:val="1176"/>
        </w:trPr>
        <w:tc>
          <w:tcPr>
            <w:tcW w:w="720" w:type="dxa"/>
            <w:vMerge/>
            <w:vAlign w:val="center"/>
          </w:tcPr>
          <w:p w14:paraId="04187A48" w14:textId="77777777" w:rsidR="00563761" w:rsidRDefault="00563761" w:rsidP="0020251D">
            <w:pPr>
              <w:widowControl/>
              <w:adjustRightInd w:val="0"/>
              <w:snapToGrid w:val="0"/>
              <w:spacing w:beforeLines="20" w:before="62" w:afterLines="20" w:after="62"/>
              <w:jc w:val="left"/>
              <w:rPr>
                <w:rFonts w:ascii="黑体" w:eastAsia="黑体" w:hAnsi="宋体"/>
                <w:b/>
                <w:bCs/>
                <w:kern w:val="0"/>
                <w:sz w:val="20"/>
                <w:szCs w:val="20"/>
              </w:rPr>
            </w:pPr>
          </w:p>
        </w:tc>
        <w:tc>
          <w:tcPr>
            <w:tcW w:w="709" w:type="dxa"/>
            <w:shd w:val="clear" w:color="auto" w:fill="auto"/>
            <w:noWrap/>
            <w:vAlign w:val="center"/>
          </w:tcPr>
          <w:p w14:paraId="3A17CDD6" w14:textId="77777777" w:rsidR="00197ADB" w:rsidRDefault="009F0A60" w:rsidP="0020251D">
            <w:pPr>
              <w:widowControl/>
              <w:adjustRightInd w:val="0"/>
              <w:snapToGrid w:val="0"/>
              <w:spacing w:beforeLines="20" w:before="62" w:afterLines="20" w:after="62"/>
              <w:jc w:val="center"/>
              <w:rPr>
                <w:rFonts w:ascii="黑体" w:eastAsia="黑体" w:hAnsi="宋体"/>
                <w:kern w:val="0"/>
                <w:sz w:val="20"/>
                <w:szCs w:val="20"/>
              </w:rPr>
            </w:pPr>
            <w:r>
              <w:rPr>
                <w:rFonts w:ascii="黑体" w:eastAsia="黑体" w:hAnsi="宋体"/>
                <w:kern w:val="0"/>
                <w:sz w:val="20"/>
                <w:szCs w:val="20"/>
              </w:rPr>
              <w:t>6910</w:t>
            </w:r>
          </w:p>
        </w:tc>
        <w:tc>
          <w:tcPr>
            <w:tcW w:w="1276" w:type="dxa"/>
            <w:shd w:val="clear" w:color="auto" w:fill="auto"/>
            <w:noWrap/>
            <w:vAlign w:val="center"/>
          </w:tcPr>
          <w:p w14:paraId="3E404EA1" w14:textId="77777777" w:rsidR="00563761" w:rsidRDefault="009F0A60" w:rsidP="0020251D">
            <w:pPr>
              <w:widowControl/>
              <w:adjustRightInd w:val="0"/>
              <w:snapToGrid w:val="0"/>
              <w:spacing w:beforeLines="20" w:before="62" w:afterLines="20" w:after="62"/>
              <w:rPr>
                <w:rFonts w:ascii="黑体" w:eastAsia="黑体" w:hAnsi="黑体" w:cs="宋体"/>
                <w:kern w:val="0"/>
                <w:sz w:val="20"/>
                <w:szCs w:val="20"/>
              </w:rPr>
            </w:pPr>
            <w:r>
              <w:rPr>
                <w:rFonts w:ascii="黑体" w:eastAsia="黑体" w:hAnsi="黑体" w:cs="宋体" w:hint="eastAsia"/>
                <w:kern w:val="0"/>
                <w:sz w:val="20"/>
                <w:szCs w:val="20"/>
              </w:rPr>
              <w:t>金融信托与管理服务</w:t>
            </w:r>
          </w:p>
        </w:tc>
        <w:tc>
          <w:tcPr>
            <w:tcW w:w="5720" w:type="dxa"/>
            <w:shd w:val="clear" w:color="auto" w:fill="auto"/>
            <w:noWrap/>
            <w:vAlign w:val="center"/>
          </w:tcPr>
          <w:p w14:paraId="44153FB1" w14:textId="77777777" w:rsidR="00563761" w:rsidRDefault="009F0A60" w:rsidP="0020251D">
            <w:pPr>
              <w:widowControl/>
              <w:adjustRightInd w:val="0"/>
              <w:snapToGrid w:val="0"/>
              <w:spacing w:beforeLines="20" w:before="62" w:afterLines="20" w:after="62"/>
              <w:rPr>
                <w:rFonts w:ascii="黑体" w:eastAsia="黑体" w:hAnsi="黑体" w:cs="宋体"/>
                <w:kern w:val="0"/>
                <w:sz w:val="20"/>
                <w:szCs w:val="20"/>
              </w:rPr>
            </w:pPr>
            <w:r>
              <w:rPr>
                <w:rFonts w:ascii="黑体" w:eastAsia="黑体" w:hAnsi="黑体" w:cs="宋体" w:hint="eastAsia"/>
                <w:kern w:val="0"/>
                <w:sz w:val="20"/>
                <w:szCs w:val="20"/>
              </w:rPr>
              <w:t>指根据委托书、遗嘱或代理协议代表受益人管理的信托基金、房地产账户或代理账户等活动，还包括单位投资信托管理。</w:t>
            </w:r>
          </w:p>
        </w:tc>
      </w:tr>
      <w:tr w:rsidR="00A052DC" w14:paraId="04643842" w14:textId="77777777">
        <w:trPr>
          <w:trHeight w:val="1176"/>
        </w:trPr>
        <w:tc>
          <w:tcPr>
            <w:tcW w:w="720" w:type="dxa"/>
            <w:vMerge/>
            <w:vAlign w:val="center"/>
          </w:tcPr>
          <w:p w14:paraId="787ACF19" w14:textId="77777777" w:rsidR="00563761" w:rsidRDefault="00563761" w:rsidP="0020251D">
            <w:pPr>
              <w:widowControl/>
              <w:adjustRightInd w:val="0"/>
              <w:snapToGrid w:val="0"/>
              <w:spacing w:beforeLines="20" w:before="62" w:afterLines="20" w:after="62"/>
              <w:jc w:val="left"/>
              <w:rPr>
                <w:rFonts w:ascii="黑体" w:eastAsia="黑体" w:hAnsi="宋体"/>
                <w:b/>
                <w:bCs/>
                <w:kern w:val="0"/>
                <w:sz w:val="20"/>
                <w:szCs w:val="20"/>
              </w:rPr>
            </w:pPr>
          </w:p>
        </w:tc>
        <w:tc>
          <w:tcPr>
            <w:tcW w:w="709" w:type="dxa"/>
            <w:shd w:val="clear" w:color="auto" w:fill="auto"/>
            <w:noWrap/>
            <w:vAlign w:val="center"/>
          </w:tcPr>
          <w:p w14:paraId="1A67E04E" w14:textId="77777777" w:rsidR="00197ADB" w:rsidRDefault="009F0A60" w:rsidP="0020251D">
            <w:pPr>
              <w:widowControl/>
              <w:adjustRightInd w:val="0"/>
              <w:snapToGrid w:val="0"/>
              <w:spacing w:beforeLines="20" w:before="62" w:afterLines="20" w:after="62"/>
              <w:jc w:val="center"/>
              <w:rPr>
                <w:rFonts w:ascii="黑体" w:eastAsia="黑体" w:hAnsi="宋体"/>
                <w:kern w:val="0"/>
                <w:sz w:val="20"/>
                <w:szCs w:val="20"/>
              </w:rPr>
            </w:pPr>
            <w:r>
              <w:rPr>
                <w:rFonts w:ascii="黑体" w:eastAsia="黑体" w:hAnsi="宋体"/>
                <w:kern w:val="0"/>
                <w:sz w:val="20"/>
                <w:szCs w:val="20"/>
              </w:rPr>
              <w:t>6920</w:t>
            </w:r>
          </w:p>
        </w:tc>
        <w:tc>
          <w:tcPr>
            <w:tcW w:w="1276" w:type="dxa"/>
            <w:shd w:val="clear" w:color="auto" w:fill="auto"/>
            <w:noWrap/>
            <w:vAlign w:val="center"/>
          </w:tcPr>
          <w:p w14:paraId="1E14CB4F" w14:textId="77777777" w:rsidR="00563761" w:rsidRDefault="009F0A60" w:rsidP="0020251D">
            <w:pPr>
              <w:widowControl/>
              <w:adjustRightInd w:val="0"/>
              <w:snapToGrid w:val="0"/>
              <w:spacing w:beforeLines="20" w:before="62" w:afterLines="20" w:after="62"/>
              <w:rPr>
                <w:rFonts w:ascii="黑体" w:eastAsia="黑体" w:hAnsi="黑体" w:cs="宋体"/>
                <w:kern w:val="0"/>
                <w:sz w:val="20"/>
                <w:szCs w:val="20"/>
              </w:rPr>
            </w:pPr>
            <w:r>
              <w:rPr>
                <w:rFonts w:ascii="黑体" w:eastAsia="黑体" w:hAnsi="黑体" w:cs="宋体" w:hint="eastAsia"/>
                <w:kern w:val="0"/>
                <w:sz w:val="20"/>
                <w:szCs w:val="20"/>
              </w:rPr>
              <w:t>控股公司服务</w:t>
            </w:r>
          </w:p>
        </w:tc>
        <w:tc>
          <w:tcPr>
            <w:tcW w:w="5720" w:type="dxa"/>
            <w:shd w:val="clear" w:color="auto" w:fill="auto"/>
            <w:noWrap/>
            <w:vAlign w:val="center"/>
          </w:tcPr>
          <w:p w14:paraId="1EC8474E" w14:textId="77777777" w:rsidR="00563761" w:rsidRDefault="009F0A60" w:rsidP="0020251D">
            <w:pPr>
              <w:widowControl/>
              <w:adjustRightInd w:val="0"/>
              <w:snapToGrid w:val="0"/>
              <w:spacing w:beforeLines="20" w:before="62" w:afterLines="20" w:after="62"/>
              <w:rPr>
                <w:rFonts w:ascii="黑体" w:eastAsia="黑体" w:hAnsi="黑体" w:cs="宋体"/>
                <w:kern w:val="0"/>
                <w:sz w:val="20"/>
                <w:szCs w:val="20"/>
              </w:rPr>
            </w:pPr>
            <w:r>
              <w:rPr>
                <w:rFonts w:ascii="黑体" w:eastAsia="黑体" w:hAnsi="黑体" w:cs="宋体" w:hint="eastAsia"/>
                <w:kern w:val="0"/>
                <w:sz w:val="20"/>
                <w:szCs w:val="20"/>
              </w:rPr>
              <w:t>指通过一定比例股份，控制某个公司或多个公司的集团，控股公司仅控制股权，不直接参与经营管理，以及其他类似的活动。</w:t>
            </w:r>
          </w:p>
        </w:tc>
      </w:tr>
      <w:tr w:rsidR="00A052DC" w14:paraId="443110C8" w14:textId="77777777">
        <w:trPr>
          <w:trHeight w:val="1176"/>
        </w:trPr>
        <w:tc>
          <w:tcPr>
            <w:tcW w:w="720" w:type="dxa"/>
            <w:vMerge/>
            <w:vAlign w:val="center"/>
          </w:tcPr>
          <w:p w14:paraId="13CEE2F1" w14:textId="77777777" w:rsidR="00563761" w:rsidRDefault="00563761" w:rsidP="0020251D">
            <w:pPr>
              <w:widowControl/>
              <w:adjustRightInd w:val="0"/>
              <w:snapToGrid w:val="0"/>
              <w:spacing w:beforeLines="20" w:before="62" w:afterLines="20" w:after="62"/>
              <w:jc w:val="left"/>
              <w:rPr>
                <w:rFonts w:ascii="黑体" w:eastAsia="黑体" w:hAnsi="宋体"/>
                <w:b/>
                <w:bCs/>
                <w:kern w:val="0"/>
                <w:sz w:val="20"/>
                <w:szCs w:val="20"/>
              </w:rPr>
            </w:pPr>
          </w:p>
        </w:tc>
        <w:tc>
          <w:tcPr>
            <w:tcW w:w="709" w:type="dxa"/>
            <w:shd w:val="clear" w:color="auto" w:fill="auto"/>
            <w:noWrap/>
            <w:vAlign w:val="center"/>
          </w:tcPr>
          <w:p w14:paraId="02E4FC6A" w14:textId="77777777" w:rsidR="00197ADB" w:rsidRDefault="009F0A60" w:rsidP="0020251D">
            <w:pPr>
              <w:widowControl/>
              <w:adjustRightInd w:val="0"/>
              <w:snapToGrid w:val="0"/>
              <w:spacing w:beforeLines="20" w:before="62" w:afterLines="20" w:after="62"/>
              <w:jc w:val="center"/>
              <w:rPr>
                <w:rFonts w:ascii="黑体" w:eastAsia="黑体" w:hAnsi="宋体"/>
                <w:kern w:val="0"/>
                <w:sz w:val="20"/>
                <w:szCs w:val="20"/>
              </w:rPr>
            </w:pPr>
            <w:r>
              <w:rPr>
                <w:rFonts w:ascii="黑体" w:eastAsia="黑体" w:hAnsi="宋体"/>
                <w:kern w:val="0"/>
                <w:sz w:val="20"/>
                <w:szCs w:val="20"/>
              </w:rPr>
              <w:t>6930</w:t>
            </w:r>
          </w:p>
        </w:tc>
        <w:tc>
          <w:tcPr>
            <w:tcW w:w="1276" w:type="dxa"/>
            <w:shd w:val="clear" w:color="auto" w:fill="auto"/>
            <w:noWrap/>
            <w:vAlign w:val="center"/>
          </w:tcPr>
          <w:p w14:paraId="25B41F37" w14:textId="77777777" w:rsidR="00563761" w:rsidRDefault="009F0A60" w:rsidP="0020251D">
            <w:pPr>
              <w:widowControl/>
              <w:adjustRightInd w:val="0"/>
              <w:snapToGrid w:val="0"/>
              <w:spacing w:beforeLines="20" w:before="62" w:afterLines="20" w:after="62"/>
              <w:rPr>
                <w:rFonts w:ascii="黑体" w:eastAsia="黑体" w:hAnsi="黑体" w:cs="宋体"/>
                <w:kern w:val="0"/>
                <w:sz w:val="20"/>
                <w:szCs w:val="20"/>
              </w:rPr>
            </w:pPr>
            <w:r>
              <w:rPr>
                <w:rFonts w:ascii="黑体" w:eastAsia="黑体" w:hAnsi="黑体" w:cs="宋体" w:hint="eastAsia"/>
                <w:kern w:val="0"/>
                <w:sz w:val="20"/>
                <w:szCs w:val="20"/>
              </w:rPr>
              <w:t>非金融机构支付服务</w:t>
            </w:r>
          </w:p>
        </w:tc>
        <w:tc>
          <w:tcPr>
            <w:tcW w:w="5720" w:type="dxa"/>
            <w:shd w:val="clear" w:color="auto" w:fill="auto"/>
            <w:noWrap/>
            <w:vAlign w:val="center"/>
          </w:tcPr>
          <w:p w14:paraId="0A1E3702" w14:textId="77777777" w:rsidR="00563761" w:rsidRDefault="009F0A60" w:rsidP="0020251D">
            <w:pPr>
              <w:widowControl/>
              <w:adjustRightInd w:val="0"/>
              <w:snapToGrid w:val="0"/>
              <w:spacing w:beforeLines="20" w:before="62" w:afterLines="20" w:after="62"/>
              <w:rPr>
                <w:rFonts w:ascii="黑体" w:eastAsia="黑体" w:hAnsi="黑体" w:cs="宋体"/>
                <w:kern w:val="0"/>
                <w:sz w:val="20"/>
                <w:szCs w:val="20"/>
              </w:rPr>
            </w:pPr>
            <w:r>
              <w:rPr>
                <w:rFonts w:ascii="黑体" w:eastAsia="黑体" w:hAnsi="黑体" w:cs="宋体" w:hint="eastAsia"/>
                <w:kern w:val="0"/>
                <w:sz w:val="20"/>
                <w:szCs w:val="20"/>
              </w:rPr>
              <w:t>指非金融机构在收付款人之间作为中介机构提供下列部分或全部货币资金转移服务，包括网络支付、预付卡的发行与受理、银行卡收单及中国人民银行确定的其他支付等服务。</w:t>
            </w:r>
          </w:p>
        </w:tc>
      </w:tr>
      <w:tr w:rsidR="00A052DC" w14:paraId="5B91F933" w14:textId="77777777">
        <w:trPr>
          <w:trHeight w:val="1176"/>
        </w:trPr>
        <w:tc>
          <w:tcPr>
            <w:tcW w:w="720" w:type="dxa"/>
            <w:vMerge/>
            <w:vAlign w:val="center"/>
          </w:tcPr>
          <w:p w14:paraId="295DA651" w14:textId="77777777" w:rsidR="00563761" w:rsidRDefault="00563761" w:rsidP="0020251D">
            <w:pPr>
              <w:widowControl/>
              <w:adjustRightInd w:val="0"/>
              <w:snapToGrid w:val="0"/>
              <w:spacing w:beforeLines="20" w:before="62" w:afterLines="20" w:after="62"/>
              <w:jc w:val="left"/>
              <w:rPr>
                <w:rFonts w:ascii="黑体" w:eastAsia="黑体" w:hAnsi="宋体"/>
                <w:b/>
                <w:bCs/>
                <w:kern w:val="0"/>
                <w:sz w:val="20"/>
                <w:szCs w:val="20"/>
              </w:rPr>
            </w:pPr>
          </w:p>
        </w:tc>
        <w:tc>
          <w:tcPr>
            <w:tcW w:w="709" w:type="dxa"/>
            <w:shd w:val="clear" w:color="auto" w:fill="auto"/>
            <w:noWrap/>
            <w:vAlign w:val="center"/>
          </w:tcPr>
          <w:p w14:paraId="08C24D37" w14:textId="77777777" w:rsidR="00563761" w:rsidRDefault="009F0A60" w:rsidP="0020251D">
            <w:pPr>
              <w:widowControl/>
              <w:adjustRightInd w:val="0"/>
              <w:snapToGrid w:val="0"/>
              <w:spacing w:beforeLines="20" w:before="62" w:afterLines="20" w:after="62"/>
              <w:jc w:val="center"/>
              <w:rPr>
                <w:rFonts w:ascii="黑体" w:eastAsia="黑体" w:hAnsi="宋体"/>
                <w:kern w:val="0"/>
                <w:sz w:val="20"/>
                <w:szCs w:val="20"/>
              </w:rPr>
            </w:pPr>
            <w:r>
              <w:rPr>
                <w:rFonts w:ascii="黑体" w:eastAsia="黑体" w:hAnsi="宋体"/>
                <w:kern w:val="0"/>
                <w:sz w:val="20"/>
                <w:szCs w:val="20"/>
              </w:rPr>
              <w:t>6940</w:t>
            </w:r>
          </w:p>
        </w:tc>
        <w:tc>
          <w:tcPr>
            <w:tcW w:w="1276" w:type="dxa"/>
            <w:shd w:val="clear" w:color="auto" w:fill="auto"/>
            <w:noWrap/>
            <w:vAlign w:val="center"/>
          </w:tcPr>
          <w:p w14:paraId="2118FE04" w14:textId="77777777" w:rsidR="00563761" w:rsidRDefault="009F0A60" w:rsidP="0020251D">
            <w:pPr>
              <w:widowControl/>
              <w:adjustRightInd w:val="0"/>
              <w:snapToGrid w:val="0"/>
              <w:spacing w:beforeLines="20" w:before="62" w:afterLines="20" w:after="62"/>
              <w:rPr>
                <w:rFonts w:ascii="黑体" w:eastAsia="黑体" w:hAnsi="黑体" w:cs="宋体"/>
                <w:kern w:val="0"/>
                <w:sz w:val="20"/>
                <w:szCs w:val="20"/>
              </w:rPr>
            </w:pPr>
            <w:r>
              <w:rPr>
                <w:rFonts w:ascii="黑体" w:eastAsia="黑体" w:hAnsi="黑体" w:cs="宋体" w:hint="eastAsia"/>
                <w:kern w:val="0"/>
                <w:sz w:val="20"/>
                <w:szCs w:val="20"/>
              </w:rPr>
              <w:t>金融信息服务</w:t>
            </w:r>
          </w:p>
        </w:tc>
        <w:tc>
          <w:tcPr>
            <w:tcW w:w="5720" w:type="dxa"/>
            <w:shd w:val="clear" w:color="auto" w:fill="auto"/>
            <w:noWrap/>
            <w:vAlign w:val="center"/>
          </w:tcPr>
          <w:p w14:paraId="56D59A6C" w14:textId="77777777" w:rsidR="00563761" w:rsidRDefault="009F0A60" w:rsidP="0020251D">
            <w:pPr>
              <w:widowControl/>
              <w:adjustRightInd w:val="0"/>
              <w:snapToGrid w:val="0"/>
              <w:spacing w:beforeLines="20" w:before="62" w:afterLines="20" w:after="62"/>
              <w:rPr>
                <w:rFonts w:ascii="黑体" w:eastAsia="黑体" w:hAnsi="黑体" w:cs="宋体"/>
                <w:kern w:val="0"/>
                <w:sz w:val="20"/>
                <w:szCs w:val="20"/>
              </w:rPr>
            </w:pPr>
            <w:r>
              <w:rPr>
                <w:rFonts w:ascii="黑体" w:eastAsia="黑体" w:hAnsi="黑体" w:cs="宋体" w:hint="eastAsia"/>
                <w:kern w:val="0"/>
                <w:sz w:val="20"/>
                <w:szCs w:val="20"/>
              </w:rPr>
              <w:t>指向从事金融分析、金融交易、金融决策或者其他金融活动的用户提供可能影响金融市场的信息（或者金融数据）的服务。</w:t>
            </w:r>
          </w:p>
        </w:tc>
      </w:tr>
      <w:tr w:rsidR="00A052DC" w14:paraId="3FD3B0CE" w14:textId="77777777">
        <w:trPr>
          <w:trHeight w:val="1176"/>
        </w:trPr>
        <w:tc>
          <w:tcPr>
            <w:tcW w:w="720" w:type="dxa"/>
            <w:vMerge/>
            <w:vAlign w:val="center"/>
          </w:tcPr>
          <w:p w14:paraId="0A11FCD0" w14:textId="77777777" w:rsidR="00563761" w:rsidRDefault="00563761" w:rsidP="0020251D">
            <w:pPr>
              <w:widowControl/>
              <w:adjustRightInd w:val="0"/>
              <w:snapToGrid w:val="0"/>
              <w:spacing w:beforeLines="20" w:before="62" w:afterLines="20" w:after="62"/>
              <w:jc w:val="left"/>
              <w:rPr>
                <w:rFonts w:ascii="黑体" w:eastAsia="黑体" w:hAnsi="宋体"/>
                <w:b/>
                <w:bCs/>
                <w:kern w:val="0"/>
                <w:sz w:val="20"/>
                <w:szCs w:val="20"/>
              </w:rPr>
            </w:pPr>
          </w:p>
        </w:tc>
        <w:tc>
          <w:tcPr>
            <w:tcW w:w="709" w:type="dxa"/>
            <w:shd w:val="clear" w:color="auto" w:fill="auto"/>
            <w:noWrap/>
            <w:vAlign w:val="center"/>
          </w:tcPr>
          <w:p w14:paraId="6F1C5E86" w14:textId="77777777" w:rsidR="00563761" w:rsidRDefault="009F0A60" w:rsidP="0020251D">
            <w:pPr>
              <w:widowControl/>
              <w:adjustRightInd w:val="0"/>
              <w:snapToGrid w:val="0"/>
              <w:spacing w:beforeLines="20" w:before="62" w:afterLines="20" w:after="62"/>
              <w:jc w:val="center"/>
              <w:rPr>
                <w:rFonts w:ascii="黑体" w:eastAsia="黑体" w:hAnsi="宋体"/>
                <w:kern w:val="0"/>
                <w:sz w:val="20"/>
                <w:szCs w:val="20"/>
              </w:rPr>
            </w:pPr>
            <w:r>
              <w:rPr>
                <w:rFonts w:ascii="黑体" w:eastAsia="黑体" w:hAnsi="宋体"/>
                <w:kern w:val="0"/>
                <w:sz w:val="20"/>
                <w:szCs w:val="20"/>
              </w:rPr>
              <w:t>6990</w:t>
            </w:r>
          </w:p>
        </w:tc>
        <w:tc>
          <w:tcPr>
            <w:tcW w:w="1276" w:type="dxa"/>
            <w:shd w:val="clear" w:color="auto" w:fill="auto"/>
            <w:noWrap/>
            <w:vAlign w:val="center"/>
          </w:tcPr>
          <w:p w14:paraId="2E6325E7" w14:textId="77777777" w:rsidR="00563761" w:rsidRDefault="009F0A60" w:rsidP="0020251D">
            <w:pPr>
              <w:widowControl/>
              <w:adjustRightInd w:val="0"/>
              <w:snapToGrid w:val="0"/>
              <w:spacing w:beforeLines="20" w:before="62" w:afterLines="20" w:after="62"/>
              <w:rPr>
                <w:rFonts w:ascii="黑体" w:eastAsia="黑体" w:hAnsi="黑体" w:cs="宋体"/>
                <w:kern w:val="0"/>
                <w:sz w:val="20"/>
                <w:szCs w:val="20"/>
              </w:rPr>
            </w:pPr>
            <w:r>
              <w:rPr>
                <w:rFonts w:ascii="黑体" w:eastAsia="黑体" w:hAnsi="黑体" w:cs="宋体" w:hint="eastAsia"/>
                <w:kern w:val="0"/>
                <w:sz w:val="20"/>
                <w:szCs w:val="20"/>
              </w:rPr>
              <w:t>其他未列明金融业</w:t>
            </w:r>
          </w:p>
        </w:tc>
        <w:tc>
          <w:tcPr>
            <w:tcW w:w="5720" w:type="dxa"/>
            <w:shd w:val="clear" w:color="auto" w:fill="auto"/>
            <w:noWrap/>
            <w:vAlign w:val="center"/>
          </w:tcPr>
          <w:p w14:paraId="2CB1E610" w14:textId="77777777" w:rsidR="00563761" w:rsidRDefault="009F0A60" w:rsidP="0020251D">
            <w:pPr>
              <w:widowControl/>
              <w:adjustRightInd w:val="0"/>
              <w:snapToGrid w:val="0"/>
              <w:spacing w:beforeLines="20" w:before="62" w:afterLines="20" w:after="62"/>
              <w:rPr>
                <w:rFonts w:ascii="黑体" w:eastAsia="黑体" w:hAnsi="黑体" w:cs="宋体"/>
                <w:kern w:val="0"/>
                <w:sz w:val="20"/>
                <w:szCs w:val="20"/>
              </w:rPr>
            </w:pPr>
            <w:r>
              <w:rPr>
                <w:rFonts w:ascii="黑体" w:eastAsia="黑体" w:hAnsi="黑体" w:cs="宋体" w:hint="eastAsia"/>
                <w:kern w:val="0"/>
                <w:sz w:val="20"/>
                <w:szCs w:val="20"/>
              </w:rPr>
              <w:t>指主要与除提供贷款以外的资金分配有关的其他金融媒介活动，包括保理活动、掉期、期权和其他套期保值安排、保单贴现公司的活动、金融资产的管理、金融交易处理与结算等活动，还包括信用卡交易的处理与结算、外币兑换等活动。</w:t>
            </w:r>
          </w:p>
        </w:tc>
      </w:tr>
    </w:tbl>
    <w:p w14:paraId="3732A322" w14:textId="77777777" w:rsidR="00A052DC" w:rsidRDefault="00A052DC"/>
    <w:p w14:paraId="2CA91017" w14:textId="77777777" w:rsidR="00A052DC" w:rsidRDefault="009F0A60" w:rsidP="0020251D">
      <w:pPr>
        <w:pStyle w:val="2"/>
        <w:rPr>
          <w:rFonts w:ascii="Times New Roman" w:hAnsi="Times New Roman"/>
        </w:rPr>
      </w:pPr>
      <w:bookmarkStart w:id="4663" w:name="_Toc454279213"/>
      <w:bookmarkStart w:id="4664" w:name="_Toc455167380"/>
      <w:bookmarkStart w:id="4665" w:name="_Toc455156221"/>
      <w:bookmarkStart w:id="4666" w:name="_Toc454462479"/>
      <w:bookmarkStart w:id="4667" w:name="_Toc454288859"/>
      <w:bookmarkStart w:id="4668" w:name="_Toc454394779"/>
      <w:bookmarkStart w:id="4669" w:name="_Toc454402703"/>
      <w:bookmarkStart w:id="4670" w:name="_Toc454385784"/>
      <w:bookmarkStart w:id="4671" w:name="_Toc454783559"/>
      <w:bookmarkStart w:id="4672" w:name="_Toc455156201"/>
      <w:bookmarkStart w:id="4673" w:name="_Toc455171105"/>
      <w:bookmarkStart w:id="4674" w:name="_Toc454385764"/>
      <w:bookmarkStart w:id="4675" w:name="_Toc454462459"/>
      <w:bookmarkStart w:id="4676" w:name="_Toc454402683"/>
      <w:bookmarkStart w:id="4677" w:name="_Toc454468182"/>
      <w:bookmarkStart w:id="4678" w:name="_Toc454385694"/>
      <w:bookmarkStart w:id="4679" w:name="_Toc455167310"/>
      <w:bookmarkStart w:id="4680" w:name="_Toc455159929"/>
      <w:bookmarkStart w:id="4681" w:name="_Toc454288839"/>
      <w:bookmarkStart w:id="4682" w:name="_Toc454279193"/>
      <w:bookmarkStart w:id="4683" w:name="_Toc454394759"/>
      <w:bookmarkStart w:id="4684" w:name="_Toc455156131"/>
      <w:bookmarkStart w:id="4685" w:name="_Toc455159859"/>
      <w:bookmarkStart w:id="4686" w:name="_Toc454468112"/>
      <w:bookmarkStart w:id="4687" w:name="_Toc454783489"/>
      <w:bookmarkStart w:id="4688" w:name="_Toc454462389"/>
      <w:bookmarkStart w:id="4689" w:name="_Toc455171035"/>
      <w:bookmarkStart w:id="4690" w:name="_Toc454783418"/>
      <w:bookmarkStart w:id="4691" w:name="_Toc454394689"/>
      <w:bookmarkStart w:id="4692" w:name="_Toc454402613"/>
      <w:bookmarkStart w:id="4693" w:name="_Toc454279123"/>
      <w:bookmarkStart w:id="4694" w:name="_Toc454288769"/>
      <w:bookmarkStart w:id="4695" w:name="_Toc455170964"/>
      <w:bookmarkStart w:id="4696" w:name="_Toc455159788"/>
      <w:bookmarkStart w:id="4697" w:name="_Toc455167239"/>
      <w:bookmarkStart w:id="4698" w:name="_Toc454385623"/>
      <w:bookmarkStart w:id="4699" w:name="_Toc455156060"/>
      <w:bookmarkStart w:id="4700" w:name="_Toc454462318"/>
      <w:bookmarkStart w:id="4701" w:name="_Toc455159787"/>
      <w:bookmarkStart w:id="4702" w:name="_Toc454468041"/>
      <w:bookmarkStart w:id="4703" w:name="_Toc454394618"/>
      <w:bookmarkStart w:id="4704" w:name="_Toc454288698"/>
      <w:bookmarkStart w:id="4705" w:name="_Toc454279052"/>
      <w:bookmarkStart w:id="4706" w:name="_Toc455170963"/>
      <w:bookmarkStart w:id="4707" w:name="_Toc454402542"/>
      <w:bookmarkStart w:id="4708" w:name="_Toc454394617"/>
      <w:bookmarkStart w:id="4709" w:name="_Toc455167238"/>
      <w:bookmarkStart w:id="4710" w:name="_Toc454783417"/>
      <w:bookmarkStart w:id="4711" w:name="_Toc455156059"/>
      <w:bookmarkStart w:id="4712" w:name="_Toc454462317"/>
      <w:bookmarkStart w:id="4713" w:name="_Toc455156058"/>
      <w:bookmarkStart w:id="4714" w:name="_Toc454402541"/>
      <w:bookmarkStart w:id="4715" w:name="_Toc454385622"/>
      <w:bookmarkStart w:id="4716" w:name="_Toc454468040"/>
      <w:bookmarkStart w:id="4717" w:name="_Toc454288697"/>
      <w:bookmarkStart w:id="4718" w:name="_Toc455170962"/>
      <w:bookmarkStart w:id="4719" w:name="_Toc454279051"/>
      <w:bookmarkStart w:id="4720" w:name="_Toc455167237"/>
      <w:bookmarkStart w:id="4721" w:name="_Toc454468039"/>
      <w:bookmarkStart w:id="4722" w:name="_Toc455159786"/>
      <w:bookmarkStart w:id="4723" w:name="_Toc454783416"/>
      <w:bookmarkStart w:id="4724" w:name="_Toc454394616"/>
      <w:bookmarkStart w:id="4725" w:name="_Toc454402540"/>
      <w:bookmarkStart w:id="4726" w:name="_Toc454462316"/>
      <w:bookmarkStart w:id="4727" w:name="_Toc455167128"/>
      <w:bookmarkStart w:id="4728" w:name="_Toc454385621"/>
      <w:bookmarkStart w:id="4729" w:name="_Toc455170853"/>
      <w:bookmarkStart w:id="4730" w:name="_Toc455159677"/>
      <w:bookmarkStart w:id="4731" w:name="_Toc454279050"/>
      <w:bookmarkStart w:id="4732" w:name="_Toc454783307"/>
      <w:bookmarkStart w:id="4733" w:name="_Toc454402431"/>
      <w:bookmarkStart w:id="4734" w:name="_Toc454288696"/>
      <w:bookmarkStart w:id="4735" w:name="_Toc455155949"/>
      <w:bookmarkStart w:id="4736" w:name="_Toc454467930"/>
      <w:bookmarkStart w:id="4737" w:name="_Toc455170852"/>
      <w:bookmarkStart w:id="4738" w:name="_Toc454462207"/>
      <w:bookmarkStart w:id="4739" w:name="_Toc454394507"/>
      <w:bookmarkStart w:id="4740" w:name="_Toc455167127"/>
      <w:bookmarkStart w:id="4741" w:name="_Toc455159676"/>
      <w:bookmarkStart w:id="4742" w:name="_Toc454288587"/>
      <w:bookmarkStart w:id="4743" w:name="_Toc454278941"/>
      <w:bookmarkStart w:id="4744" w:name="_Toc454783306"/>
      <w:bookmarkStart w:id="4745" w:name="_Toc455155948"/>
      <w:bookmarkStart w:id="4746" w:name="_Toc454462206"/>
      <w:bookmarkStart w:id="4747" w:name="_Toc454385512"/>
      <w:bookmarkStart w:id="4748" w:name="_Toc454402430"/>
      <w:bookmarkStart w:id="4749" w:name="_Toc454394506"/>
      <w:bookmarkStart w:id="4750" w:name="_Toc454385511"/>
      <w:bookmarkStart w:id="4751" w:name="_Toc454462480"/>
      <w:bookmarkStart w:id="4752" w:name="_Toc454467929"/>
      <w:bookmarkStart w:id="4753" w:name="_Toc454278940"/>
      <w:bookmarkStart w:id="4754" w:name="_Toc454288586"/>
      <w:bookmarkStart w:id="4755" w:name="_Toc454783580"/>
      <w:bookmarkStart w:id="4756" w:name="_Toc455167402"/>
      <w:bookmarkStart w:id="4757" w:name="_Toc455171127"/>
      <w:bookmarkStart w:id="4758" w:name="_Toc455159951"/>
      <w:bookmarkStart w:id="4759" w:name="_Toc454783581"/>
      <w:bookmarkStart w:id="4760" w:name="_Toc455156223"/>
      <w:bookmarkStart w:id="4761" w:name="_Toc454468204"/>
      <w:bookmarkStart w:id="4762" w:name="_Toc454402705"/>
      <w:bookmarkStart w:id="4763" w:name="_Toc454462481"/>
      <w:bookmarkStart w:id="4764" w:name="_Toc454288861"/>
      <w:bookmarkStart w:id="4765" w:name="_Toc454394781"/>
      <w:bookmarkStart w:id="4766" w:name="_Toc454385786"/>
      <w:bookmarkStart w:id="4767" w:name="_Toc454468203"/>
      <w:bookmarkStart w:id="4768" w:name="_Toc454279215"/>
      <w:bookmarkStart w:id="4769" w:name="_Toc455171126"/>
      <w:bookmarkStart w:id="4770" w:name="_Toc454402704"/>
      <w:bookmarkStart w:id="4771" w:name="_Toc455159950"/>
      <w:bookmarkStart w:id="4772" w:name="_Toc455167401"/>
      <w:bookmarkStart w:id="4773" w:name="_Toc455156222"/>
      <w:bookmarkStart w:id="4774" w:name="_Toc454288860"/>
      <w:bookmarkStart w:id="4775" w:name="_Toc454468202"/>
      <w:bookmarkStart w:id="4776" w:name="_Toc455159949"/>
      <w:bookmarkStart w:id="4777" w:name="_Toc455171125"/>
      <w:bookmarkStart w:id="4778" w:name="_Toc455167400"/>
      <w:bookmarkStart w:id="4779" w:name="_Toc454394780"/>
      <w:bookmarkStart w:id="4780" w:name="_Toc454279214"/>
      <w:bookmarkStart w:id="4781" w:name="_Toc454783579"/>
      <w:bookmarkStart w:id="4782" w:name="_Toc454385785"/>
      <w:bookmarkStart w:id="4783" w:name="_Toc454394782"/>
      <w:bookmarkStart w:id="4784" w:name="_Toc91455524"/>
      <w:bookmarkStart w:id="4785" w:name="_Toc101684549"/>
      <w:bookmarkEnd w:id="4526"/>
      <w:bookmarkEnd w:id="4527"/>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r>
        <w:rPr>
          <w:rFonts w:ascii="Times New Roman" w:hAnsi="Times New Roman" w:hint="eastAsia"/>
        </w:rPr>
        <w:t>账户限额类型</w:t>
      </w:r>
      <w:bookmarkEnd w:id="4660"/>
      <w:bookmarkEnd w:id="4783"/>
      <w:bookmarkEnd w:id="4784"/>
      <w:bookmarkEnd w:id="478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5720"/>
      </w:tblGrid>
      <w:tr w:rsidR="00A052DC" w14:paraId="4C2F5DC8" w14:textId="77777777">
        <w:tc>
          <w:tcPr>
            <w:tcW w:w="2802" w:type="dxa"/>
            <w:shd w:val="clear" w:color="auto" w:fill="BFBFBF"/>
          </w:tcPr>
          <w:p w14:paraId="6CDB19CB" w14:textId="77777777" w:rsidR="00881462" w:rsidRDefault="009F0A60">
            <w:pPr>
              <w:pStyle w:val="B1"/>
            </w:pPr>
            <w:r>
              <w:rPr>
                <w:rFonts w:hint="eastAsia"/>
              </w:rPr>
              <w:t>账户限额类型代码</w:t>
            </w:r>
          </w:p>
        </w:tc>
        <w:tc>
          <w:tcPr>
            <w:tcW w:w="5720" w:type="dxa"/>
            <w:shd w:val="clear" w:color="auto" w:fill="BFBFBF"/>
          </w:tcPr>
          <w:p w14:paraId="2C797FFA" w14:textId="77777777" w:rsidR="00881462" w:rsidRDefault="009F0A60">
            <w:pPr>
              <w:pStyle w:val="B1"/>
            </w:pPr>
            <w:r>
              <w:rPr>
                <w:rFonts w:hint="eastAsia"/>
              </w:rPr>
              <w:t>账户限额类型</w:t>
            </w:r>
          </w:p>
        </w:tc>
      </w:tr>
      <w:tr w:rsidR="00A052DC" w14:paraId="62B60AB1" w14:textId="77777777">
        <w:tc>
          <w:tcPr>
            <w:tcW w:w="2802" w:type="dxa"/>
            <w:shd w:val="clear" w:color="auto" w:fill="auto"/>
          </w:tcPr>
          <w:p w14:paraId="502D91D4" w14:textId="77777777" w:rsidR="00A052DC" w:rsidRDefault="009F0A60">
            <w:pPr>
              <w:pStyle w:val="B"/>
              <w:jc w:val="center"/>
            </w:pPr>
            <w:r>
              <w:t>11</w:t>
            </w:r>
          </w:p>
        </w:tc>
        <w:tc>
          <w:tcPr>
            <w:tcW w:w="5720" w:type="dxa"/>
            <w:shd w:val="clear" w:color="auto" w:fill="auto"/>
          </w:tcPr>
          <w:p w14:paraId="7F40597D" w14:textId="77777777" w:rsidR="00A052DC" w:rsidRDefault="009F0A60">
            <w:pPr>
              <w:pStyle w:val="B"/>
            </w:pPr>
            <w:r>
              <w:rPr>
                <w:rFonts w:hint="eastAsia"/>
              </w:rPr>
              <w:t>无限额</w:t>
            </w:r>
          </w:p>
        </w:tc>
      </w:tr>
      <w:tr w:rsidR="00A052DC" w14:paraId="099076CD" w14:textId="77777777">
        <w:tc>
          <w:tcPr>
            <w:tcW w:w="2802" w:type="dxa"/>
            <w:shd w:val="clear" w:color="auto" w:fill="auto"/>
          </w:tcPr>
          <w:p w14:paraId="7CC512EC" w14:textId="77777777" w:rsidR="00A052DC" w:rsidRDefault="009F0A60">
            <w:pPr>
              <w:pStyle w:val="B"/>
              <w:jc w:val="center"/>
            </w:pPr>
            <w:r>
              <w:t>12</w:t>
            </w:r>
          </w:p>
        </w:tc>
        <w:tc>
          <w:tcPr>
            <w:tcW w:w="5720" w:type="dxa"/>
            <w:shd w:val="clear" w:color="auto" w:fill="auto"/>
          </w:tcPr>
          <w:p w14:paraId="2F73D3C8" w14:textId="77777777" w:rsidR="00A052DC" w:rsidRDefault="009F0A60">
            <w:pPr>
              <w:pStyle w:val="B"/>
            </w:pPr>
            <w:r>
              <w:rPr>
                <w:rFonts w:hint="eastAsia"/>
              </w:rPr>
              <w:t>余额限额</w:t>
            </w:r>
          </w:p>
        </w:tc>
      </w:tr>
      <w:tr w:rsidR="00A052DC" w14:paraId="05DC8BC9" w14:textId="77777777">
        <w:tc>
          <w:tcPr>
            <w:tcW w:w="2802" w:type="dxa"/>
            <w:shd w:val="clear" w:color="auto" w:fill="auto"/>
          </w:tcPr>
          <w:p w14:paraId="062A5378" w14:textId="77777777" w:rsidR="00A052DC" w:rsidRDefault="009F0A60">
            <w:pPr>
              <w:pStyle w:val="B"/>
              <w:jc w:val="center"/>
            </w:pPr>
            <w:r>
              <w:t>13</w:t>
            </w:r>
          </w:p>
        </w:tc>
        <w:tc>
          <w:tcPr>
            <w:tcW w:w="5720" w:type="dxa"/>
            <w:shd w:val="clear" w:color="auto" w:fill="auto"/>
          </w:tcPr>
          <w:p w14:paraId="20D0D087" w14:textId="77777777" w:rsidR="00A052DC" w:rsidRDefault="009F0A60">
            <w:pPr>
              <w:pStyle w:val="B"/>
            </w:pPr>
            <w:r>
              <w:rPr>
                <w:rFonts w:hint="eastAsia"/>
              </w:rPr>
              <w:t>贷方流入限额</w:t>
            </w:r>
          </w:p>
        </w:tc>
      </w:tr>
    </w:tbl>
    <w:p w14:paraId="78EB4F18" w14:textId="77777777" w:rsidR="00A052DC" w:rsidRDefault="00A052DC"/>
    <w:p w14:paraId="76464AF2" w14:textId="77777777" w:rsidR="00A052DC" w:rsidRDefault="009F0A60" w:rsidP="0020251D">
      <w:pPr>
        <w:pStyle w:val="2"/>
        <w:rPr>
          <w:rFonts w:ascii="Times New Roman" w:hAnsi="Times New Roman"/>
        </w:rPr>
      </w:pPr>
      <w:bookmarkStart w:id="4786" w:name="_Toc91455525"/>
      <w:bookmarkStart w:id="4787" w:name="_Toc380356317"/>
      <w:bookmarkStart w:id="4788" w:name="_Toc454394783"/>
      <w:bookmarkStart w:id="4789" w:name="_Toc101684550"/>
      <w:r>
        <w:rPr>
          <w:rFonts w:ascii="Times New Roman" w:hAnsi="Times New Roman" w:hint="eastAsia"/>
        </w:rPr>
        <w:t>开户主体类型</w:t>
      </w:r>
      <w:bookmarkEnd w:id="4786"/>
      <w:bookmarkEnd w:id="4787"/>
      <w:bookmarkEnd w:id="4788"/>
      <w:bookmarkEnd w:id="478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5670"/>
      </w:tblGrid>
      <w:tr w:rsidR="00A052DC" w14:paraId="6610B83A" w14:textId="77777777">
        <w:tc>
          <w:tcPr>
            <w:tcW w:w="2802" w:type="dxa"/>
            <w:shd w:val="clear" w:color="auto" w:fill="BFBFBF"/>
          </w:tcPr>
          <w:p w14:paraId="01B6103E" w14:textId="77777777" w:rsidR="00881462" w:rsidRDefault="009F0A60">
            <w:pPr>
              <w:pStyle w:val="B1"/>
            </w:pPr>
            <w:r>
              <w:rPr>
                <w:rFonts w:hint="eastAsia"/>
              </w:rPr>
              <w:t>账户开户主体类型代码</w:t>
            </w:r>
          </w:p>
        </w:tc>
        <w:tc>
          <w:tcPr>
            <w:tcW w:w="5670" w:type="dxa"/>
            <w:shd w:val="clear" w:color="auto" w:fill="BFBFBF"/>
          </w:tcPr>
          <w:p w14:paraId="4099C469" w14:textId="77777777" w:rsidR="00881462" w:rsidRDefault="009F0A60">
            <w:pPr>
              <w:pStyle w:val="B1"/>
            </w:pPr>
            <w:r>
              <w:rPr>
                <w:rFonts w:hint="eastAsia"/>
              </w:rPr>
              <w:t>账户开户主体类型</w:t>
            </w:r>
          </w:p>
        </w:tc>
      </w:tr>
      <w:tr w:rsidR="00A052DC" w14:paraId="6DCCC9E6" w14:textId="77777777">
        <w:tc>
          <w:tcPr>
            <w:tcW w:w="2802" w:type="dxa"/>
            <w:shd w:val="clear" w:color="auto" w:fill="auto"/>
          </w:tcPr>
          <w:p w14:paraId="2A786FE0" w14:textId="77777777" w:rsidR="00A052DC" w:rsidRDefault="009F0A60">
            <w:pPr>
              <w:pStyle w:val="B"/>
              <w:jc w:val="center"/>
            </w:pPr>
            <w:r>
              <w:t>11</w:t>
            </w:r>
          </w:p>
        </w:tc>
        <w:tc>
          <w:tcPr>
            <w:tcW w:w="5670" w:type="dxa"/>
            <w:shd w:val="clear" w:color="auto" w:fill="auto"/>
          </w:tcPr>
          <w:p w14:paraId="69689FF1" w14:textId="77777777" w:rsidR="00A052DC" w:rsidRDefault="009F0A60">
            <w:pPr>
              <w:pStyle w:val="B"/>
            </w:pPr>
            <w:r>
              <w:rPr>
                <w:rFonts w:hint="eastAsia"/>
              </w:rPr>
              <w:t>对公</w:t>
            </w:r>
          </w:p>
        </w:tc>
      </w:tr>
      <w:tr w:rsidR="00A052DC" w14:paraId="67EEB965" w14:textId="77777777">
        <w:tc>
          <w:tcPr>
            <w:tcW w:w="2802" w:type="dxa"/>
            <w:shd w:val="clear" w:color="auto" w:fill="auto"/>
          </w:tcPr>
          <w:p w14:paraId="646A653A" w14:textId="77777777" w:rsidR="00A052DC" w:rsidRDefault="009F0A60">
            <w:pPr>
              <w:pStyle w:val="B"/>
              <w:jc w:val="center"/>
            </w:pPr>
            <w:r>
              <w:t>12</w:t>
            </w:r>
          </w:p>
        </w:tc>
        <w:tc>
          <w:tcPr>
            <w:tcW w:w="5670" w:type="dxa"/>
            <w:shd w:val="clear" w:color="auto" w:fill="auto"/>
          </w:tcPr>
          <w:p w14:paraId="60BA58D4" w14:textId="77777777" w:rsidR="00A052DC" w:rsidRDefault="009F0A60">
            <w:pPr>
              <w:pStyle w:val="B"/>
            </w:pPr>
            <w:r>
              <w:rPr>
                <w:rFonts w:hint="eastAsia"/>
              </w:rPr>
              <w:t>对私居民</w:t>
            </w:r>
          </w:p>
        </w:tc>
      </w:tr>
      <w:tr w:rsidR="00A052DC" w14:paraId="4E9EB35A" w14:textId="77777777">
        <w:tc>
          <w:tcPr>
            <w:tcW w:w="2802" w:type="dxa"/>
            <w:shd w:val="clear" w:color="auto" w:fill="auto"/>
          </w:tcPr>
          <w:p w14:paraId="4C4B459C" w14:textId="77777777" w:rsidR="00A052DC" w:rsidRDefault="009F0A60">
            <w:pPr>
              <w:pStyle w:val="B"/>
              <w:jc w:val="center"/>
            </w:pPr>
            <w:r>
              <w:t>13</w:t>
            </w:r>
          </w:p>
        </w:tc>
        <w:tc>
          <w:tcPr>
            <w:tcW w:w="5670" w:type="dxa"/>
            <w:shd w:val="clear" w:color="auto" w:fill="auto"/>
          </w:tcPr>
          <w:p w14:paraId="7EBA5D6A" w14:textId="77777777" w:rsidR="00A052DC" w:rsidRDefault="009F0A60">
            <w:pPr>
              <w:pStyle w:val="B"/>
            </w:pPr>
            <w:r>
              <w:rPr>
                <w:rFonts w:hint="eastAsia"/>
              </w:rPr>
              <w:t>对私非居民</w:t>
            </w:r>
          </w:p>
        </w:tc>
      </w:tr>
    </w:tbl>
    <w:p w14:paraId="395369AC" w14:textId="77777777" w:rsidR="00A052DC" w:rsidRDefault="009F0A60">
      <w:pPr>
        <w:pStyle w:val="2"/>
        <w:rPr>
          <w:rFonts w:ascii="Times New Roman" w:hAnsi="Times New Roman"/>
        </w:rPr>
      </w:pPr>
      <w:bookmarkStart w:id="4790" w:name="_Toc454385789"/>
      <w:bookmarkStart w:id="4791" w:name="_Toc454462484"/>
      <w:bookmarkStart w:id="4792" w:name="_Toc454394784"/>
      <w:bookmarkStart w:id="4793" w:name="_Toc455156226"/>
      <w:bookmarkStart w:id="4794" w:name="_Toc454402708"/>
      <w:bookmarkStart w:id="4795" w:name="_Toc454783584"/>
      <w:bookmarkStart w:id="4796" w:name="_Toc454468207"/>
      <w:bookmarkStart w:id="4797" w:name="_Toc455167405"/>
      <w:bookmarkStart w:id="4798" w:name="_Toc455171130"/>
      <w:bookmarkStart w:id="4799" w:name="_Toc455159954"/>
      <w:bookmarkStart w:id="4800" w:name="_Toc91455526"/>
      <w:bookmarkStart w:id="4801" w:name="_Toc454394785"/>
      <w:bookmarkStart w:id="4802" w:name="_Toc101684551"/>
      <w:bookmarkStart w:id="4803" w:name="_Toc380356318"/>
      <w:bookmarkEnd w:id="4790"/>
      <w:bookmarkEnd w:id="4791"/>
      <w:bookmarkEnd w:id="4792"/>
      <w:bookmarkEnd w:id="4793"/>
      <w:bookmarkEnd w:id="4794"/>
      <w:bookmarkEnd w:id="4795"/>
      <w:bookmarkEnd w:id="4796"/>
      <w:bookmarkEnd w:id="4797"/>
      <w:bookmarkEnd w:id="4798"/>
      <w:bookmarkEnd w:id="4799"/>
      <w:r>
        <w:rPr>
          <w:rFonts w:ascii="Times New Roman" w:hAnsi="Times New Roman" w:hint="eastAsia"/>
        </w:rPr>
        <w:t>结汇用途代码表</w:t>
      </w:r>
      <w:bookmarkEnd w:id="4800"/>
      <w:bookmarkEnd w:id="4801"/>
      <w:bookmarkEnd w:id="4802"/>
    </w:p>
    <w:tbl>
      <w:tblPr>
        <w:tblW w:w="8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5670"/>
      </w:tblGrid>
      <w:tr w:rsidR="00A052DC" w14:paraId="3016D820" w14:textId="77777777" w:rsidTr="00DD6AA3">
        <w:trPr>
          <w:trHeight w:val="270"/>
          <w:tblHeader/>
          <w:jc w:val="center"/>
        </w:trPr>
        <w:tc>
          <w:tcPr>
            <w:tcW w:w="2620" w:type="dxa"/>
            <w:shd w:val="clear" w:color="auto" w:fill="BFBFBF"/>
            <w:noWrap/>
            <w:vAlign w:val="center"/>
          </w:tcPr>
          <w:p w14:paraId="5009CD7D" w14:textId="77777777" w:rsidR="00881462" w:rsidRDefault="009F0A60">
            <w:pPr>
              <w:pStyle w:val="B1"/>
            </w:pPr>
            <w:r>
              <w:rPr>
                <w:rFonts w:hint="eastAsia"/>
              </w:rPr>
              <w:t>结汇用途代码</w:t>
            </w:r>
          </w:p>
        </w:tc>
        <w:tc>
          <w:tcPr>
            <w:tcW w:w="5670" w:type="dxa"/>
            <w:shd w:val="clear" w:color="auto" w:fill="BFBFBF"/>
            <w:noWrap/>
            <w:vAlign w:val="center"/>
          </w:tcPr>
          <w:p w14:paraId="231D24BB" w14:textId="77777777" w:rsidR="00881462" w:rsidRDefault="009F0A60">
            <w:pPr>
              <w:pStyle w:val="B1"/>
            </w:pPr>
            <w:r>
              <w:rPr>
                <w:rFonts w:hint="eastAsia"/>
              </w:rPr>
              <w:t>结汇用途</w:t>
            </w:r>
          </w:p>
        </w:tc>
      </w:tr>
      <w:tr w:rsidR="00A052DC" w14:paraId="284513A6" w14:textId="77777777">
        <w:trPr>
          <w:trHeight w:val="270"/>
          <w:jc w:val="center"/>
        </w:trPr>
        <w:tc>
          <w:tcPr>
            <w:tcW w:w="2620" w:type="dxa"/>
            <w:shd w:val="clear" w:color="auto" w:fill="auto"/>
            <w:noWrap/>
          </w:tcPr>
          <w:p w14:paraId="776E1452" w14:textId="77777777" w:rsidR="00A052DC" w:rsidRDefault="009F0A60">
            <w:pPr>
              <w:jc w:val="center"/>
              <w:rPr>
                <w:rFonts w:ascii="黑体" w:eastAsia="黑体"/>
                <w:sz w:val="20"/>
                <w:szCs w:val="20"/>
              </w:rPr>
            </w:pPr>
            <w:r>
              <w:rPr>
                <w:rFonts w:ascii="黑体" w:eastAsia="黑体"/>
                <w:sz w:val="20"/>
                <w:szCs w:val="20"/>
              </w:rPr>
              <w:t>001</w:t>
            </w:r>
          </w:p>
        </w:tc>
        <w:tc>
          <w:tcPr>
            <w:tcW w:w="5670" w:type="dxa"/>
            <w:shd w:val="clear" w:color="auto" w:fill="auto"/>
            <w:noWrap/>
            <w:vAlign w:val="center"/>
          </w:tcPr>
          <w:p w14:paraId="550E7FAE" w14:textId="77777777" w:rsidR="00A052DC" w:rsidRDefault="009F0A60">
            <w:pPr>
              <w:widowControl/>
              <w:jc w:val="left"/>
              <w:rPr>
                <w:rFonts w:ascii="黑体" w:eastAsia="黑体" w:hAnsi="宋体" w:cs="宋体"/>
                <w:kern w:val="0"/>
                <w:sz w:val="20"/>
                <w:szCs w:val="20"/>
              </w:rPr>
            </w:pPr>
            <w:r>
              <w:rPr>
                <w:rFonts w:ascii="黑体" w:eastAsia="黑体" w:hAnsi="宋体" w:cs="宋体" w:hint="eastAsia"/>
                <w:kern w:val="0"/>
                <w:sz w:val="20"/>
                <w:szCs w:val="20"/>
              </w:rPr>
              <w:t>支付货款</w:t>
            </w:r>
          </w:p>
        </w:tc>
      </w:tr>
      <w:tr w:rsidR="00A052DC" w14:paraId="0916BDAA" w14:textId="77777777">
        <w:trPr>
          <w:trHeight w:val="270"/>
          <w:jc w:val="center"/>
        </w:trPr>
        <w:tc>
          <w:tcPr>
            <w:tcW w:w="2620" w:type="dxa"/>
            <w:shd w:val="clear" w:color="auto" w:fill="auto"/>
            <w:noWrap/>
          </w:tcPr>
          <w:p w14:paraId="7D0F8E2F" w14:textId="77777777" w:rsidR="00A052DC" w:rsidRDefault="009F0A60">
            <w:pPr>
              <w:jc w:val="center"/>
              <w:rPr>
                <w:rFonts w:ascii="黑体" w:eastAsia="黑体"/>
                <w:sz w:val="20"/>
                <w:szCs w:val="20"/>
              </w:rPr>
            </w:pPr>
            <w:r>
              <w:rPr>
                <w:rFonts w:ascii="黑体" w:eastAsia="黑体"/>
                <w:sz w:val="20"/>
                <w:szCs w:val="20"/>
              </w:rPr>
              <w:t>002</w:t>
            </w:r>
          </w:p>
        </w:tc>
        <w:tc>
          <w:tcPr>
            <w:tcW w:w="5670" w:type="dxa"/>
            <w:shd w:val="clear" w:color="auto" w:fill="auto"/>
            <w:noWrap/>
            <w:vAlign w:val="center"/>
          </w:tcPr>
          <w:p w14:paraId="58CE9AD5" w14:textId="77777777" w:rsidR="00A052DC" w:rsidRDefault="009F0A60">
            <w:pPr>
              <w:widowControl/>
              <w:jc w:val="left"/>
              <w:rPr>
                <w:rFonts w:ascii="黑体" w:eastAsia="黑体" w:hAnsi="宋体" w:cs="宋体"/>
                <w:kern w:val="0"/>
                <w:sz w:val="20"/>
                <w:szCs w:val="20"/>
              </w:rPr>
            </w:pPr>
            <w:r>
              <w:rPr>
                <w:rFonts w:ascii="黑体" w:eastAsia="黑体" w:hAnsi="宋体" w:cs="宋体" w:hint="eastAsia"/>
                <w:kern w:val="0"/>
                <w:sz w:val="20"/>
                <w:szCs w:val="20"/>
              </w:rPr>
              <w:t>支付工程款</w:t>
            </w:r>
          </w:p>
        </w:tc>
      </w:tr>
      <w:tr w:rsidR="00A052DC" w14:paraId="018D8123" w14:textId="77777777">
        <w:trPr>
          <w:trHeight w:val="270"/>
          <w:jc w:val="center"/>
        </w:trPr>
        <w:tc>
          <w:tcPr>
            <w:tcW w:w="2620" w:type="dxa"/>
            <w:shd w:val="clear" w:color="auto" w:fill="auto"/>
            <w:noWrap/>
          </w:tcPr>
          <w:p w14:paraId="4876E5E5" w14:textId="77777777" w:rsidR="00A052DC" w:rsidRDefault="009F0A60">
            <w:pPr>
              <w:jc w:val="center"/>
              <w:rPr>
                <w:rFonts w:ascii="黑体" w:eastAsia="黑体"/>
                <w:sz w:val="20"/>
                <w:szCs w:val="20"/>
              </w:rPr>
            </w:pPr>
            <w:r>
              <w:rPr>
                <w:rFonts w:ascii="黑体" w:eastAsia="黑体"/>
                <w:sz w:val="20"/>
                <w:szCs w:val="20"/>
              </w:rPr>
              <w:t>003</w:t>
            </w:r>
          </w:p>
        </w:tc>
        <w:tc>
          <w:tcPr>
            <w:tcW w:w="5670" w:type="dxa"/>
            <w:shd w:val="clear" w:color="auto" w:fill="auto"/>
            <w:noWrap/>
            <w:vAlign w:val="center"/>
          </w:tcPr>
          <w:p w14:paraId="145E5271" w14:textId="77777777" w:rsidR="00A052DC" w:rsidRDefault="009F0A60">
            <w:pPr>
              <w:widowControl/>
              <w:jc w:val="left"/>
              <w:rPr>
                <w:rFonts w:ascii="黑体" w:eastAsia="黑体" w:hAnsi="宋体" w:cs="宋体"/>
                <w:kern w:val="0"/>
                <w:sz w:val="20"/>
                <w:szCs w:val="20"/>
              </w:rPr>
            </w:pPr>
            <w:r>
              <w:rPr>
                <w:rFonts w:ascii="黑体" w:eastAsia="黑体" w:hAnsi="宋体" w:cs="宋体" w:hint="eastAsia"/>
                <w:kern w:val="0"/>
                <w:sz w:val="20"/>
                <w:szCs w:val="20"/>
              </w:rPr>
              <w:t>支付保证金非同名</w:t>
            </w:r>
          </w:p>
        </w:tc>
      </w:tr>
      <w:tr w:rsidR="00A052DC" w14:paraId="2CF90580" w14:textId="77777777">
        <w:trPr>
          <w:trHeight w:val="270"/>
          <w:jc w:val="center"/>
        </w:trPr>
        <w:tc>
          <w:tcPr>
            <w:tcW w:w="2620" w:type="dxa"/>
            <w:shd w:val="clear" w:color="auto" w:fill="auto"/>
            <w:noWrap/>
          </w:tcPr>
          <w:p w14:paraId="2C9FC527" w14:textId="77777777" w:rsidR="00A052DC" w:rsidRDefault="009F0A60">
            <w:pPr>
              <w:jc w:val="center"/>
              <w:rPr>
                <w:rFonts w:ascii="黑体" w:eastAsia="黑体"/>
                <w:sz w:val="20"/>
                <w:szCs w:val="20"/>
              </w:rPr>
            </w:pPr>
            <w:r>
              <w:rPr>
                <w:rFonts w:ascii="黑体" w:eastAsia="黑体"/>
                <w:sz w:val="20"/>
                <w:szCs w:val="20"/>
              </w:rPr>
              <w:t>004</w:t>
            </w:r>
          </w:p>
        </w:tc>
        <w:tc>
          <w:tcPr>
            <w:tcW w:w="5670" w:type="dxa"/>
            <w:shd w:val="clear" w:color="auto" w:fill="auto"/>
            <w:noWrap/>
            <w:vAlign w:val="center"/>
          </w:tcPr>
          <w:p w14:paraId="085B2DCF" w14:textId="77777777" w:rsidR="00A052DC" w:rsidRDefault="009F0A60">
            <w:pPr>
              <w:widowControl/>
              <w:jc w:val="left"/>
              <w:rPr>
                <w:rFonts w:ascii="黑体" w:eastAsia="黑体" w:hAnsi="宋体" w:cs="宋体"/>
                <w:kern w:val="0"/>
                <w:sz w:val="20"/>
                <w:szCs w:val="20"/>
              </w:rPr>
            </w:pPr>
            <w:r>
              <w:rPr>
                <w:rFonts w:ascii="黑体" w:eastAsia="黑体" w:hAnsi="宋体" w:cs="宋体" w:hint="eastAsia"/>
                <w:kern w:val="0"/>
                <w:sz w:val="20"/>
                <w:szCs w:val="20"/>
              </w:rPr>
              <w:t>支付咨询费</w:t>
            </w:r>
          </w:p>
        </w:tc>
      </w:tr>
      <w:tr w:rsidR="00A052DC" w14:paraId="227FD312" w14:textId="77777777">
        <w:trPr>
          <w:trHeight w:val="270"/>
          <w:jc w:val="center"/>
        </w:trPr>
        <w:tc>
          <w:tcPr>
            <w:tcW w:w="2620" w:type="dxa"/>
            <w:shd w:val="clear" w:color="auto" w:fill="auto"/>
            <w:noWrap/>
          </w:tcPr>
          <w:p w14:paraId="6854D088" w14:textId="77777777" w:rsidR="00A052DC" w:rsidRDefault="009F0A60">
            <w:pPr>
              <w:jc w:val="center"/>
              <w:rPr>
                <w:rFonts w:ascii="黑体" w:eastAsia="黑体"/>
                <w:sz w:val="20"/>
                <w:szCs w:val="20"/>
              </w:rPr>
            </w:pPr>
            <w:r>
              <w:rPr>
                <w:rFonts w:ascii="黑体" w:eastAsia="黑体"/>
                <w:sz w:val="20"/>
                <w:szCs w:val="20"/>
              </w:rPr>
              <w:t>005</w:t>
            </w:r>
          </w:p>
        </w:tc>
        <w:tc>
          <w:tcPr>
            <w:tcW w:w="5670" w:type="dxa"/>
            <w:shd w:val="clear" w:color="auto" w:fill="auto"/>
            <w:noWrap/>
            <w:vAlign w:val="center"/>
          </w:tcPr>
          <w:p w14:paraId="18D0EF7A" w14:textId="77777777" w:rsidR="00A052DC" w:rsidRDefault="009F0A60">
            <w:pPr>
              <w:widowControl/>
              <w:jc w:val="left"/>
              <w:rPr>
                <w:rFonts w:ascii="黑体" w:eastAsia="黑体" w:hAnsi="宋体" w:cs="宋体"/>
                <w:kern w:val="0"/>
                <w:sz w:val="20"/>
                <w:szCs w:val="20"/>
              </w:rPr>
            </w:pPr>
            <w:r>
              <w:rPr>
                <w:rFonts w:ascii="黑体" w:eastAsia="黑体" w:hAnsi="宋体" w:cs="宋体" w:hint="eastAsia"/>
                <w:kern w:val="0"/>
                <w:sz w:val="20"/>
                <w:szCs w:val="20"/>
              </w:rPr>
              <w:t>支付其他服务费用</w:t>
            </w:r>
          </w:p>
        </w:tc>
      </w:tr>
      <w:tr w:rsidR="00A052DC" w14:paraId="1A5D8125" w14:textId="77777777">
        <w:trPr>
          <w:trHeight w:val="270"/>
          <w:jc w:val="center"/>
        </w:trPr>
        <w:tc>
          <w:tcPr>
            <w:tcW w:w="2620" w:type="dxa"/>
            <w:shd w:val="clear" w:color="auto" w:fill="auto"/>
            <w:noWrap/>
          </w:tcPr>
          <w:p w14:paraId="1CD1126A" w14:textId="77777777" w:rsidR="00A052DC" w:rsidRDefault="009F0A60">
            <w:pPr>
              <w:jc w:val="center"/>
              <w:rPr>
                <w:rFonts w:ascii="黑体" w:eastAsia="黑体"/>
                <w:sz w:val="20"/>
                <w:szCs w:val="20"/>
              </w:rPr>
            </w:pPr>
            <w:r>
              <w:rPr>
                <w:rFonts w:ascii="黑体" w:eastAsia="黑体"/>
                <w:sz w:val="20"/>
                <w:szCs w:val="20"/>
              </w:rPr>
              <w:t>006</w:t>
            </w:r>
          </w:p>
        </w:tc>
        <w:tc>
          <w:tcPr>
            <w:tcW w:w="5670" w:type="dxa"/>
            <w:shd w:val="clear" w:color="auto" w:fill="auto"/>
            <w:noWrap/>
            <w:vAlign w:val="center"/>
          </w:tcPr>
          <w:p w14:paraId="1BBC1AD1" w14:textId="77777777" w:rsidR="00A052DC" w:rsidRDefault="009F0A60">
            <w:pPr>
              <w:widowControl/>
              <w:jc w:val="left"/>
              <w:rPr>
                <w:rFonts w:ascii="黑体" w:eastAsia="黑体" w:hAnsi="宋体" w:cs="宋体"/>
                <w:kern w:val="0"/>
                <w:sz w:val="20"/>
                <w:szCs w:val="20"/>
              </w:rPr>
            </w:pPr>
            <w:r>
              <w:rPr>
                <w:rFonts w:ascii="黑体" w:eastAsia="黑体" w:hAnsi="宋体" w:cs="宋体" w:hint="eastAsia"/>
                <w:kern w:val="0"/>
                <w:sz w:val="20"/>
                <w:szCs w:val="20"/>
              </w:rPr>
              <w:t>预付款</w:t>
            </w:r>
          </w:p>
        </w:tc>
      </w:tr>
      <w:tr w:rsidR="00A052DC" w14:paraId="49EEC2F9" w14:textId="77777777">
        <w:trPr>
          <w:trHeight w:val="270"/>
          <w:jc w:val="center"/>
        </w:trPr>
        <w:tc>
          <w:tcPr>
            <w:tcW w:w="2620" w:type="dxa"/>
            <w:shd w:val="clear" w:color="auto" w:fill="auto"/>
            <w:noWrap/>
          </w:tcPr>
          <w:p w14:paraId="10302B48" w14:textId="77777777" w:rsidR="00A052DC" w:rsidRDefault="009F0A60">
            <w:pPr>
              <w:jc w:val="center"/>
              <w:rPr>
                <w:rFonts w:ascii="黑体" w:eastAsia="黑体"/>
                <w:sz w:val="20"/>
                <w:szCs w:val="20"/>
              </w:rPr>
            </w:pPr>
            <w:r>
              <w:rPr>
                <w:rFonts w:ascii="黑体" w:eastAsia="黑体"/>
                <w:sz w:val="20"/>
                <w:szCs w:val="20"/>
              </w:rPr>
              <w:t>007</w:t>
            </w:r>
          </w:p>
        </w:tc>
        <w:tc>
          <w:tcPr>
            <w:tcW w:w="5670" w:type="dxa"/>
            <w:shd w:val="clear" w:color="auto" w:fill="auto"/>
            <w:noWrap/>
            <w:vAlign w:val="center"/>
          </w:tcPr>
          <w:p w14:paraId="22F91D89" w14:textId="77777777" w:rsidR="00A052DC" w:rsidRDefault="009F0A60">
            <w:pPr>
              <w:widowControl/>
              <w:jc w:val="left"/>
              <w:rPr>
                <w:rFonts w:ascii="黑体" w:eastAsia="黑体" w:hAnsi="宋体" w:cs="宋体"/>
                <w:kern w:val="0"/>
                <w:sz w:val="20"/>
                <w:szCs w:val="20"/>
              </w:rPr>
            </w:pPr>
            <w:r>
              <w:rPr>
                <w:rFonts w:ascii="黑体" w:eastAsia="黑体" w:hAnsi="宋体" w:cs="宋体" w:hint="eastAsia"/>
                <w:kern w:val="0"/>
                <w:sz w:val="20"/>
                <w:szCs w:val="20"/>
              </w:rPr>
              <w:t>支付税款</w:t>
            </w:r>
          </w:p>
        </w:tc>
      </w:tr>
      <w:tr w:rsidR="00A052DC" w14:paraId="4D03F562" w14:textId="77777777">
        <w:trPr>
          <w:trHeight w:val="270"/>
          <w:jc w:val="center"/>
        </w:trPr>
        <w:tc>
          <w:tcPr>
            <w:tcW w:w="2620" w:type="dxa"/>
            <w:shd w:val="clear" w:color="auto" w:fill="auto"/>
            <w:noWrap/>
          </w:tcPr>
          <w:p w14:paraId="67BA98C1" w14:textId="77777777" w:rsidR="00A052DC" w:rsidRDefault="009F0A60">
            <w:pPr>
              <w:jc w:val="center"/>
              <w:rPr>
                <w:rFonts w:ascii="黑体" w:eastAsia="黑体"/>
                <w:sz w:val="20"/>
                <w:szCs w:val="20"/>
              </w:rPr>
            </w:pPr>
            <w:r>
              <w:rPr>
                <w:rFonts w:ascii="黑体" w:eastAsia="黑体"/>
                <w:sz w:val="20"/>
                <w:szCs w:val="20"/>
              </w:rPr>
              <w:t>008</w:t>
            </w:r>
          </w:p>
        </w:tc>
        <w:tc>
          <w:tcPr>
            <w:tcW w:w="5670" w:type="dxa"/>
            <w:shd w:val="clear" w:color="auto" w:fill="auto"/>
            <w:noWrap/>
            <w:vAlign w:val="center"/>
          </w:tcPr>
          <w:p w14:paraId="7C831D32" w14:textId="77777777" w:rsidR="00A052DC" w:rsidRDefault="009F0A60">
            <w:pPr>
              <w:widowControl/>
              <w:jc w:val="left"/>
              <w:rPr>
                <w:rFonts w:ascii="黑体" w:eastAsia="黑体" w:hAnsi="宋体" w:cs="宋体"/>
                <w:kern w:val="0"/>
                <w:sz w:val="20"/>
                <w:szCs w:val="20"/>
              </w:rPr>
            </w:pPr>
            <w:r>
              <w:rPr>
                <w:rFonts w:ascii="黑体" w:eastAsia="黑体" w:hAnsi="宋体" w:cs="宋体" w:hint="eastAsia"/>
                <w:kern w:val="0"/>
                <w:sz w:val="20"/>
                <w:szCs w:val="20"/>
              </w:rPr>
              <w:t>支付工资等劳务报酬</w:t>
            </w:r>
          </w:p>
        </w:tc>
      </w:tr>
      <w:tr w:rsidR="00A052DC" w14:paraId="4E3809AA" w14:textId="77777777">
        <w:trPr>
          <w:trHeight w:val="270"/>
          <w:jc w:val="center"/>
        </w:trPr>
        <w:tc>
          <w:tcPr>
            <w:tcW w:w="2620" w:type="dxa"/>
            <w:shd w:val="clear" w:color="auto" w:fill="auto"/>
            <w:noWrap/>
          </w:tcPr>
          <w:p w14:paraId="2BE991EF" w14:textId="77777777" w:rsidR="00A052DC" w:rsidRDefault="009F0A60">
            <w:pPr>
              <w:jc w:val="center"/>
              <w:rPr>
                <w:rFonts w:ascii="黑体" w:eastAsia="黑体"/>
                <w:sz w:val="20"/>
                <w:szCs w:val="20"/>
              </w:rPr>
            </w:pPr>
            <w:r>
              <w:rPr>
                <w:rFonts w:ascii="黑体" w:eastAsia="黑体"/>
                <w:sz w:val="20"/>
                <w:szCs w:val="20"/>
              </w:rPr>
              <w:t>009</w:t>
            </w:r>
          </w:p>
        </w:tc>
        <w:tc>
          <w:tcPr>
            <w:tcW w:w="5670" w:type="dxa"/>
            <w:shd w:val="clear" w:color="auto" w:fill="auto"/>
            <w:noWrap/>
            <w:vAlign w:val="center"/>
          </w:tcPr>
          <w:p w14:paraId="3A9055CA" w14:textId="77777777" w:rsidR="00A052DC" w:rsidRDefault="009F0A60">
            <w:pPr>
              <w:widowControl/>
              <w:jc w:val="left"/>
              <w:rPr>
                <w:rFonts w:ascii="黑体" w:eastAsia="黑体" w:hAnsi="宋体" w:cs="宋体"/>
                <w:kern w:val="0"/>
                <w:sz w:val="20"/>
                <w:szCs w:val="20"/>
              </w:rPr>
            </w:pPr>
            <w:r>
              <w:rPr>
                <w:rFonts w:ascii="黑体" w:eastAsia="黑体" w:hAnsi="宋体" w:cs="宋体" w:hint="eastAsia"/>
                <w:kern w:val="0"/>
                <w:sz w:val="20"/>
                <w:szCs w:val="20"/>
              </w:rPr>
              <w:t>土地出让金</w:t>
            </w:r>
          </w:p>
        </w:tc>
      </w:tr>
      <w:tr w:rsidR="00A052DC" w14:paraId="17FC3E44" w14:textId="77777777">
        <w:trPr>
          <w:trHeight w:val="270"/>
          <w:jc w:val="center"/>
        </w:trPr>
        <w:tc>
          <w:tcPr>
            <w:tcW w:w="2620" w:type="dxa"/>
            <w:shd w:val="clear" w:color="auto" w:fill="auto"/>
            <w:noWrap/>
          </w:tcPr>
          <w:p w14:paraId="56D78C15" w14:textId="77777777" w:rsidR="00A052DC" w:rsidRDefault="009F0A60">
            <w:pPr>
              <w:jc w:val="center"/>
              <w:rPr>
                <w:rFonts w:ascii="黑体" w:eastAsia="黑体"/>
                <w:sz w:val="20"/>
                <w:szCs w:val="20"/>
              </w:rPr>
            </w:pPr>
            <w:r>
              <w:rPr>
                <w:rFonts w:ascii="黑体" w:eastAsia="黑体"/>
                <w:sz w:val="20"/>
                <w:szCs w:val="20"/>
              </w:rPr>
              <w:t>010</w:t>
            </w:r>
          </w:p>
        </w:tc>
        <w:tc>
          <w:tcPr>
            <w:tcW w:w="5670" w:type="dxa"/>
            <w:shd w:val="clear" w:color="auto" w:fill="auto"/>
            <w:noWrap/>
            <w:vAlign w:val="center"/>
          </w:tcPr>
          <w:p w14:paraId="2625ECDA" w14:textId="77777777" w:rsidR="00A052DC" w:rsidRDefault="009F0A60">
            <w:pPr>
              <w:widowControl/>
              <w:jc w:val="left"/>
              <w:rPr>
                <w:rFonts w:ascii="黑体" w:eastAsia="黑体" w:hAnsi="宋体" w:cs="宋体"/>
                <w:kern w:val="0"/>
                <w:sz w:val="20"/>
                <w:szCs w:val="20"/>
              </w:rPr>
            </w:pPr>
            <w:r>
              <w:rPr>
                <w:rFonts w:ascii="黑体" w:eastAsia="黑体" w:hAnsi="宋体" w:cs="宋体" w:hint="eastAsia"/>
                <w:kern w:val="0"/>
                <w:sz w:val="20"/>
                <w:szCs w:val="20"/>
              </w:rPr>
              <w:t>购房</w:t>
            </w:r>
          </w:p>
        </w:tc>
      </w:tr>
      <w:tr w:rsidR="00A052DC" w14:paraId="6D4CF145" w14:textId="77777777">
        <w:trPr>
          <w:trHeight w:val="270"/>
          <w:jc w:val="center"/>
        </w:trPr>
        <w:tc>
          <w:tcPr>
            <w:tcW w:w="2620" w:type="dxa"/>
            <w:shd w:val="clear" w:color="auto" w:fill="auto"/>
            <w:noWrap/>
          </w:tcPr>
          <w:p w14:paraId="42ED6CBA" w14:textId="77777777" w:rsidR="00A052DC" w:rsidRDefault="009F0A60">
            <w:pPr>
              <w:jc w:val="center"/>
              <w:rPr>
                <w:rFonts w:ascii="黑体" w:eastAsia="黑体"/>
                <w:sz w:val="20"/>
                <w:szCs w:val="20"/>
              </w:rPr>
            </w:pPr>
            <w:r>
              <w:rPr>
                <w:rFonts w:ascii="黑体" w:eastAsia="黑体"/>
                <w:sz w:val="20"/>
                <w:szCs w:val="20"/>
              </w:rPr>
              <w:t>011</w:t>
            </w:r>
          </w:p>
        </w:tc>
        <w:tc>
          <w:tcPr>
            <w:tcW w:w="5670" w:type="dxa"/>
            <w:shd w:val="clear" w:color="auto" w:fill="auto"/>
            <w:noWrap/>
            <w:vAlign w:val="center"/>
          </w:tcPr>
          <w:p w14:paraId="2970F3FD" w14:textId="77777777" w:rsidR="00A052DC" w:rsidRDefault="009F0A60">
            <w:pPr>
              <w:widowControl/>
              <w:jc w:val="left"/>
              <w:rPr>
                <w:rFonts w:ascii="黑体" w:eastAsia="黑体" w:hAnsi="宋体" w:cs="宋体"/>
                <w:kern w:val="0"/>
                <w:sz w:val="20"/>
                <w:szCs w:val="20"/>
              </w:rPr>
            </w:pPr>
            <w:r>
              <w:rPr>
                <w:rFonts w:ascii="黑体" w:eastAsia="黑体" w:hAnsi="宋体" w:cs="宋体" w:hint="eastAsia"/>
                <w:kern w:val="0"/>
                <w:sz w:val="20"/>
                <w:szCs w:val="20"/>
              </w:rPr>
              <w:t>购买其他固定资产</w:t>
            </w:r>
          </w:p>
        </w:tc>
      </w:tr>
      <w:tr w:rsidR="00A052DC" w14:paraId="23FFAC27" w14:textId="77777777">
        <w:trPr>
          <w:trHeight w:val="270"/>
          <w:jc w:val="center"/>
        </w:trPr>
        <w:tc>
          <w:tcPr>
            <w:tcW w:w="2620" w:type="dxa"/>
            <w:shd w:val="clear" w:color="auto" w:fill="auto"/>
            <w:noWrap/>
          </w:tcPr>
          <w:p w14:paraId="3BD0E565" w14:textId="77777777" w:rsidR="00A052DC" w:rsidRDefault="009F0A60">
            <w:pPr>
              <w:jc w:val="center"/>
              <w:rPr>
                <w:rFonts w:ascii="黑体" w:eastAsia="黑体"/>
                <w:sz w:val="20"/>
                <w:szCs w:val="20"/>
              </w:rPr>
            </w:pPr>
            <w:r>
              <w:rPr>
                <w:rFonts w:ascii="黑体" w:eastAsia="黑体"/>
                <w:sz w:val="20"/>
                <w:szCs w:val="20"/>
              </w:rPr>
              <w:t>012</w:t>
            </w:r>
          </w:p>
        </w:tc>
        <w:tc>
          <w:tcPr>
            <w:tcW w:w="5670" w:type="dxa"/>
            <w:shd w:val="clear" w:color="auto" w:fill="auto"/>
            <w:noWrap/>
            <w:vAlign w:val="center"/>
          </w:tcPr>
          <w:p w14:paraId="57FD1AF2" w14:textId="77777777" w:rsidR="00A052DC" w:rsidRDefault="009F0A60">
            <w:pPr>
              <w:widowControl/>
              <w:jc w:val="left"/>
              <w:rPr>
                <w:rFonts w:ascii="黑体" w:eastAsia="黑体" w:hAnsi="宋体" w:cs="宋体"/>
                <w:kern w:val="0"/>
                <w:sz w:val="20"/>
                <w:szCs w:val="20"/>
              </w:rPr>
            </w:pPr>
            <w:r>
              <w:rPr>
                <w:rFonts w:ascii="黑体" w:eastAsia="黑体" w:hAnsi="宋体" w:cs="宋体" w:hint="eastAsia"/>
                <w:kern w:val="0"/>
                <w:sz w:val="20"/>
                <w:szCs w:val="20"/>
              </w:rPr>
              <w:t>股权出资</w:t>
            </w:r>
          </w:p>
        </w:tc>
      </w:tr>
      <w:tr w:rsidR="00A052DC" w14:paraId="1C878F38" w14:textId="77777777">
        <w:trPr>
          <w:trHeight w:val="270"/>
          <w:jc w:val="center"/>
        </w:trPr>
        <w:tc>
          <w:tcPr>
            <w:tcW w:w="2620" w:type="dxa"/>
            <w:shd w:val="clear" w:color="auto" w:fill="auto"/>
            <w:noWrap/>
          </w:tcPr>
          <w:p w14:paraId="227C1FC6" w14:textId="77777777" w:rsidR="00A052DC" w:rsidRDefault="009F0A60">
            <w:pPr>
              <w:jc w:val="center"/>
              <w:rPr>
                <w:rFonts w:ascii="黑体" w:eastAsia="黑体"/>
                <w:sz w:val="20"/>
                <w:szCs w:val="20"/>
              </w:rPr>
            </w:pPr>
            <w:r>
              <w:rPr>
                <w:rFonts w:ascii="黑体" w:eastAsia="黑体"/>
                <w:sz w:val="20"/>
                <w:szCs w:val="20"/>
              </w:rPr>
              <w:t>013</w:t>
            </w:r>
          </w:p>
        </w:tc>
        <w:tc>
          <w:tcPr>
            <w:tcW w:w="5670" w:type="dxa"/>
            <w:shd w:val="clear" w:color="auto" w:fill="auto"/>
            <w:noWrap/>
            <w:vAlign w:val="center"/>
          </w:tcPr>
          <w:p w14:paraId="0EDBACF9" w14:textId="77777777" w:rsidR="00A052DC" w:rsidRDefault="009F0A60">
            <w:pPr>
              <w:widowControl/>
              <w:jc w:val="left"/>
              <w:rPr>
                <w:rFonts w:ascii="黑体" w:eastAsia="黑体" w:hAnsi="宋体" w:cs="宋体"/>
                <w:kern w:val="0"/>
                <w:sz w:val="20"/>
                <w:szCs w:val="20"/>
              </w:rPr>
            </w:pPr>
            <w:r>
              <w:rPr>
                <w:rFonts w:ascii="黑体" w:eastAsia="黑体" w:hAnsi="宋体" w:cs="宋体" w:hint="eastAsia"/>
                <w:kern w:val="0"/>
                <w:sz w:val="20"/>
                <w:szCs w:val="20"/>
              </w:rPr>
              <w:t>偿还金融机构贷款（含委托贷款）及利息</w:t>
            </w:r>
          </w:p>
        </w:tc>
      </w:tr>
      <w:tr w:rsidR="00A052DC" w14:paraId="07925CA3" w14:textId="77777777">
        <w:trPr>
          <w:trHeight w:val="270"/>
          <w:jc w:val="center"/>
        </w:trPr>
        <w:tc>
          <w:tcPr>
            <w:tcW w:w="2620" w:type="dxa"/>
            <w:shd w:val="clear" w:color="auto" w:fill="auto"/>
            <w:noWrap/>
          </w:tcPr>
          <w:p w14:paraId="178E2B1E" w14:textId="77777777" w:rsidR="00A052DC" w:rsidRDefault="009F0A60">
            <w:pPr>
              <w:jc w:val="center"/>
              <w:rPr>
                <w:rFonts w:ascii="黑体" w:eastAsia="黑体"/>
                <w:sz w:val="20"/>
                <w:szCs w:val="20"/>
              </w:rPr>
            </w:pPr>
            <w:r>
              <w:rPr>
                <w:rFonts w:ascii="黑体" w:eastAsia="黑体"/>
                <w:sz w:val="20"/>
                <w:szCs w:val="20"/>
              </w:rPr>
              <w:t>014</w:t>
            </w:r>
          </w:p>
        </w:tc>
        <w:tc>
          <w:tcPr>
            <w:tcW w:w="5670" w:type="dxa"/>
            <w:shd w:val="clear" w:color="auto" w:fill="auto"/>
            <w:noWrap/>
            <w:vAlign w:val="center"/>
          </w:tcPr>
          <w:p w14:paraId="4418D439" w14:textId="77777777" w:rsidR="00A052DC" w:rsidRDefault="009F0A60">
            <w:pPr>
              <w:widowControl/>
              <w:jc w:val="left"/>
              <w:rPr>
                <w:rFonts w:ascii="黑体" w:eastAsia="黑体" w:hAnsi="宋体" w:cs="宋体"/>
                <w:kern w:val="0"/>
                <w:sz w:val="20"/>
                <w:szCs w:val="20"/>
              </w:rPr>
            </w:pPr>
            <w:r>
              <w:rPr>
                <w:rFonts w:ascii="黑体" w:eastAsia="黑体" w:hAnsi="宋体" w:cs="宋体" w:hint="eastAsia"/>
                <w:kern w:val="0"/>
                <w:sz w:val="20"/>
                <w:szCs w:val="20"/>
              </w:rPr>
              <w:t>购买股票</w:t>
            </w:r>
            <w:r>
              <w:rPr>
                <w:rFonts w:ascii="黑体" w:eastAsia="黑体" w:hAnsi="宋体" w:cs="宋体"/>
                <w:kern w:val="0"/>
                <w:sz w:val="20"/>
                <w:szCs w:val="20"/>
              </w:rPr>
              <w:t>/债券/基金/信托等境内金融资产</w:t>
            </w:r>
          </w:p>
        </w:tc>
      </w:tr>
      <w:tr w:rsidR="00A052DC" w14:paraId="0CB4D619" w14:textId="77777777">
        <w:trPr>
          <w:trHeight w:val="270"/>
          <w:jc w:val="center"/>
        </w:trPr>
        <w:tc>
          <w:tcPr>
            <w:tcW w:w="2620" w:type="dxa"/>
            <w:shd w:val="clear" w:color="auto" w:fill="auto"/>
            <w:noWrap/>
          </w:tcPr>
          <w:p w14:paraId="14F88919" w14:textId="77777777" w:rsidR="00A052DC" w:rsidRDefault="009F0A60">
            <w:pPr>
              <w:jc w:val="center"/>
              <w:rPr>
                <w:rFonts w:ascii="黑体" w:eastAsia="黑体"/>
                <w:sz w:val="20"/>
                <w:szCs w:val="20"/>
              </w:rPr>
            </w:pPr>
            <w:r>
              <w:rPr>
                <w:rFonts w:ascii="黑体" w:eastAsia="黑体"/>
                <w:sz w:val="20"/>
                <w:szCs w:val="20"/>
              </w:rPr>
              <w:t>015</w:t>
            </w:r>
          </w:p>
        </w:tc>
        <w:tc>
          <w:tcPr>
            <w:tcW w:w="5670" w:type="dxa"/>
            <w:shd w:val="clear" w:color="auto" w:fill="auto"/>
            <w:noWrap/>
            <w:vAlign w:val="center"/>
          </w:tcPr>
          <w:p w14:paraId="1DB03A2F" w14:textId="77777777" w:rsidR="00A052DC" w:rsidRDefault="009F0A60">
            <w:pPr>
              <w:widowControl/>
              <w:jc w:val="left"/>
              <w:rPr>
                <w:rFonts w:ascii="黑体" w:eastAsia="黑体" w:hAnsi="宋体" w:cs="宋体"/>
                <w:kern w:val="0"/>
                <w:sz w:val="20"/>
                <w:szCs w:val="20"/>
              </w:rPr>
            </w:pPr>
            <w:r>
              <w:rPr>
                <w:rFonts w:ascii="黑体" w:eastAsia="黑体" w:hAnsi="宋体" w:cs="宋体" w:hint="eastAsia"/>
                <w:kern w:val="0"/>
                <w:sz w:val="20"/>
                <w:szCs w:val="20"/>
              </w:rPr>
              <w:t>同名划转</w:t>
            </w:r>
          </w:p>
        </w:tc>
      </w:tr>
      <w:tr w:rsidR="00A052DC" w14:paraId="4CE9A55C" w14:textId="77777777">
        <w:trPr>
          <w:trHeight w:val="270"/>
          <w:jc w:val="center"/>
        </w:trPr>
        <w:tc>
          <w:tcPr>
            <w:tcW w:w="2620" w:type="dxa"/>
            <w:shd w:val="clear" w:color="auto" w:fill="auto"/>
            <w:noWrap/>
          </w:tcPr>
          <w:p w14:paraId="10863954" w14:textId="77777777" w:rsidR="00A052DC" w:rsidRDefault="009F0A60">
            <w:pPr>
              <w:jc w:val="center"/>
              <w:rPr>
                <w:rFonts w:ascii="黑体" w:eastAsia="黑体"/>
                <w:sz w:val="20"/>
                <w:szCs w:val="20"/>
              </w:rPr>
            </w:pPr>
            <w:r>
              <w:rPr>
                <w:rFonts w:ascii="黑体" w:eastAsia="黑体"/>
                <w:sz w:val="20"/>
                <w:szCs w:val="20"/>
              </w:rPr>
              <w:t>016</w:t>
            </w:r>
          </w:p>
        </w:tc>
        <w:tc>
          <w:tcPr>
            <w:tcW w:w="5670" w:type="dxa"/>
            <w:shd w:val="clear" w:color="auto" w:fill="auto"/>
            <w:noWrap/>
            <w:vAlign w:val="center"/>
          </w:tcPr>
          <w:p w14:paraId="0852007E" w14:textId="77777777" w:rsidR="00A052DC" w:rsidRDefault="009F0A60">
            <w:pPr>
              <w:widowControl/>
              <w:jc w:val="left"/>
              <w:rPr>
                <w:rFonts w:ascii="黑体" w:eastAsia="黑体" w:hAnsi="宋体" w:cs="宋体"/>
                <w:kern w:val="0"/>
                <w:sz w:val="20"/>
                <w:szCs w:val="20"/>
              </w:rPr>
            </w:pPr>
            <w:r>
              <w:rPr>
                <w:rFonts w:ascii="黑体" w:eastAsia="黑体" w:hAnsi="宋体" w:cs="宋体" w:hint="eastAsia"/>
                <w:kern w:val="0"/>
                <w:sz w:val="20"/>
                <w:szCs w:val="20"/>
              </w:rPr>
              <w:t>支付投资人境外证券投资本金</w:t>
            </w:r>
            <w:r>
              <w:rPr>
                <w:rFonts w:ascii="黑体" w:eastAsia="黑体" w:hAnsi="宋体" w:cs="宋体"/>
                <w:kern w:val="0"/>
                <w:sz w:val="20"/>
                <w:szCs w:val="20"/>
              </w:rPr>
              <w:t>/收益</w:t>
            </w:r>
          </w:p>
        </w:tc>
      </w:tr>
      <w:tr w:rsidR="00A052DC" w14:paraId="1C2E8173" w14:textId="77777777">
        <w:trPr>
          <w:trHeight w:val="270"/>
          <w:jc w:val="center"/>
        </w:trPr>
        <w:tc>
          <w:tcPr>
            <w:tcW w:w="2620" w:type="dxa"/>
            <w:shd w:val="clear" w:color="auto" w:fill="auto"/>
            <w:noWrap/>
          </w:tcPr>
          <w:p w14:paraId="3A798E1E" w14:textId="77777777" w:rsidR="00A052DC" w:rsidRDefault="009F0A60">
            <w:pPr>
              <w:jc w:val="center"/>
              <w:rPr>
                <w:rFonts w:ascii="黑体" w:eastAsia="黑体"/>
                <w:sz w:val="20"/>
                <w:szCs w:val="20"/>
              </w:rPr>
            </w:pPr>
            <w:r>
              <w:rPr>
                <w:rFonts w:ascii="黑体" w:eastAsia="黑体"/>
                <w:sz w:val="20"/>
                <w:szCs w:val="20"/>
              </w:rPr>
              <w:t>017</w:t>
            </w:r>
          </w:p>
        </w:tc>
        <w:tc>
          <w:tcPr>
            <w:tcW w:w="5670" w:type="dxa"/>
            <w:shd w:val="clear" w:color="auto" w:fill="auto"/>
            <w:noWrap/>
            <w:vAlign w:val="center"/>
          </w:tcPr>
          <w:p w14:paraId="644DEA9D" w14:textId="77777777" w:rsidR="00A052DC" w:rsidRDefault="009F0A60">
            <w:pPr>
              <w:widowControl/>
              <w:jc w:val="left"/>
              <w:rPr>
                <w:rFonts w:ascii="黑体" w:eastAsia="黑体" w:hAnsi="宋体" w:cs="宋体"/>
                <w:kern w:val="0"/>
                <w:sz w:val="20"/>
                <w:szCs w:val="20"/>
              </w:rPr>
            </w:pPr>
            <w:r>
              <w:rPr>
                <w:rFonts w:ascii="黑体" w:eastAsia="黑体" w:hAnsi="宋体" w:cs="宋体" w:hint="eastAsia"/>
                <w:kern w:val="0"/>
                <w:sz w:val="20"/>
                <w:szCs w:val="20"/>
              </w:rPr>
              <w:t>利息结汇</w:t>
            </w:r>
          </w:p>
        </w:tc>
      </w:tr>
      <w:tr w:rsidR="00A052DC" w14:paraId="6093FCB4" w14:textId="77777777">
        <w:trPr>
          <w:trHeight w:val="270"/>
          <w:jc w:val="center"/>
        </w:trPr>
        <w:tc>
          <w:tcPr>
            <w:tcW w:w="2620" w:type="dxa"/>
            <w:shd w:val="clear" w:color="auto" w:fill="auto"/>
            <w:noWrap/>
          </w:tcPr>
          <w:p w14:paraId="3F28C848" w14:textId="77777777" w:rsidR="00A052DC" w:rsidRDefault="009F0A60">
            <w:pPr>
              <w:jc w:val="center"/>
              <w:rPr>
                <w:rFonts w:ascii="黑体" w:eastAsia="黑体"/>
                <w:sz w:val="20"/>
                <w:szCs w:val="20"/>
              </w:rPr>
            </w:pPr>
            <w:r>
              <w:rPr>
                <w:rFonts w:ascii="黑体" w:eastAsia="黑体"/>
                <w:sz w:val="20"/>
                <w:szCs w:val="20"/>
              </w:rPr>
              <w:t>018</w:t>
            </w:r>
          </w:p>
        </w:tc>
        <w:tc>
          <w:tcPr>
            <w:tcW w:w="5670" w:type="dxa"/>
            <w:shd w:val="clear" w:color="auto" w:fill="auto"/>
            <w:noWrap/>
            <w:vAlign w:val="center"/>
          </w:tcPr>
          <w:p w14:paraId="1A985224" w14:textId="77777777" w:rsidR="00A052DC" w:rsidRDefault="009F0A60">
            <w:pPr>
              <w:widowControl/>
              <w:jc w:val="left"/>
              <w:rPr>
                <w:rFonts w:ascii="黑体" w:eastAsia="黑体" w:hAnsi="宋体" w:cs="宋体"/>
                <w:kern w:val="0"/>
                <w:sz w:val="20"/>
                <w:szCs w:val="20"/>
              </w:rPr>
            </w:pPr>
            <w:r>
              <w:rPr>
                <w:rFonts w:ascii="黑体" w:eastAsia="黑体" w:hAnsi="宋体" w:cs="宋体" w:hint="eastAsia"/>
                <w:kern w:val="0"/>
                <w:sz w:val="20"/>
                <w:szCs w:val="20"/>
              </w:rPr>
              <w:t>备用金</w:t>
            </w:r>
          </w:p>
        </w:tc>
      </w:tr>
      <w:tr w:rsidR="00A052DC" w14:paraId="2422EF24" w14:textId="77777777">
        <w:trPr>
          <w:trHeight w:val="270"/>
          <w:jc w:val="center"/>
        </w:trPr>
        <w:tc>
          <w:tcPr>
            <w:tcW w:w="2620" w:type="dxa"/>
            <w:shd w:val="clear" w:color="auto" w:fill="auto"/>
            <w:noWrap/>
          </w:tcPr>
          <w:p w14:paraId="28526620" w14:textId="77777777" w:rsidR="00A052DC" w:rsidRDefault="009F0A60">
            <w:pPr>
              <w:jc w:val="center"/>
              <w:rPr>
                <w:rFonts w:ascii="黑体" w:eastAsia="黑体"/>
                <w:sz w:val="20"/>
                <w:szCs w:val="20"/>
              </w:rPr>
            </w:pPr>
            <w:r>
              <w:rPr>
                <w:rFonts w:ascii="黑体" w:eastAsia="黑体"/>
                <w:sz w:val="20"/>
                <w:szCs w:val="20"/>
              </w:rPr>
              <w:t>019</w:t>
            </w:r>
          </w:p>
        </w:tc>
        <w:tc>
          <w:tcPr>
            <w:tcW w:w="5670" w:type="dxa"/>
            <w:shd w:val="clear" w:color="auto" w:fill="auto"/>
            <w:noWrap/>
            <w:vAlign w:val="center"/>
          </w:tcPr>
          <w:p w14:paraId="7C24A034" w14:textId="77777777" w:rsidR="00A052DC" w:rsidRDefault="009F0A60">
            <w:pPr>
              <w:widowControl/>
              <w:jc w:val="left"/>
              <w:rPr>
                <w:rFonts w:ascii="黑体" w:eastAsia="黑体" w:hAnsi="宋体" w:cs="宋体"/>
                <w:kern w:val="0"/>
                <w:sz w:val="20"/>
                <w:szCs w:val="20"/>
              </w:rPr>
            </w:pPr>
            <w:r>
              <w:rPr>
                <w:rFonts w:ascii="黑体" w:eastAsia="黑体" w:hAnsi="宋体" w:cs="宋体" w:hint="eastAsia"/>
                <w:kern w:val="0"/>
                <w:sz w:val="20"/>
                <w:szCs w:val="20"/>
              </w:rPr>
              <w:t>现钞</w:t>
            </w:r>
          </w:p>
        </w:tc>
      </w:tr>
      <w:tr w:rsidR="00A052DC" w14:paraId="57ADE7E8" w14:textId="77777777">
        <w:trPr>
          <w:trHeight w:val="270"/>
          <w:jc w:val="center"/>
        </w:trPr>
        <w:tc>
          <w:tcPr>
            <w:tcW w:w="2620" w:type="dxa"/>
            <w:shd w:val="clear" w:color="auto" w:fill="auto"/>
            <w:noWrap/>
          </w:tcPr>
          <w:p w14:paraId="6B3D027B" w14:textId="77777777" w:rsidR="00A052DC" w:rsidRDefault="009F0A60">
            <w:pPr>
              <w:jc w:val="center"/>
              <w:rPr>
                <w:rFonts w:ascii="黑体" w:eastAsia="黑体"/>
                <w:sz w:val="20"/>
                <w:szCs w:val="20"/>
              </w:rPr>
            </w:pPr>
            <w:r>
              <w:rPr>
                <w:rFonts w:ascii="黑体" w:eastAsia="黑体"/>
                <w:sz w:val="20"/>
                <w:szCs w:val="20"/>
              </w:rPr>
              <w:t>020</w:t>
            </w:r>
          </w:p>
        </w:tc>
        <w:tc>
          <w:tcPr>
            <w:tcW w:w="5670" w:type="dxa"/>
            <w:shd w:val="clear" w:color="auto" w:fill="auto"/>
            <w:noWrap/>
            <w:vAlign w:val="center"/>
          </w:tcPr>
          <w:p w14:paraId="1E9510B0" w14:textId="77777777" w:rsidR="00A052DC" w:rsidRDefault="009F0A60">
            <w:pPr>
              <w:widowControl/>
              <w:jc w:val="left"/>
              <w:rPr>
                <w:rFonts w:ascii="黑体" w:eastAsia="黑体" w:hAnsi="宋体" w:cs="宋体"/>
                <w:kern w:val="0"/>
                <w:sz w:val="20"/>
                <w:szCs w:val="20"/>
              </w:rPr>
            </w:pPr>
            <w:r>
              <w:rPr>
                <w:rFonts w:ascii="黑体" w:eastAsia="黑体" w:hAnsi="宋体" w:cs="宋体" w:hint="eastAsia"/>
                <w:kern w:val="0"/>
                <w:sz w:val="20"/>
                <w:szCs w:val="20"/>
              </w:rPr>
              <w:t>个人</w:t>
            </w:r>
          </w:p>
        </w:tc>
      </w:tr>
      <w:tr w:rsidR="00A052DC" w14:paraId="147E48D7" w14:textId="77777777">
        <w:trPr>
          <w:trHeight w:val="270"/>
          <w:jc w:val="center"/>
        </w:trPr>
        <w:tc>
          <w:tcPr>
            <w:tcW w:w="2620" w:type="dxa"/>
            <w:shd w:val="clear" w:color="auto" w:fill="auto"/>
            <w:noWrap/>
          </w:tcPr>
          <w:p w14:paraId="45A6A36C" w14:textId="77777777" w:rsidR="00A052DC" w:rsidRDefault="009F0A60">
            <w:pPr>
              <w:jc w:val="center"/>
              <w:rPr>
                <w:rFonts w:ascii="黑体" w:eastAsia="黑体"/>
                <w:sz w:val="20"/>
                <w:szCs w:val="20"/>
              </w:rPr>
            </w:pPr>
            <w:r>
              <w:rPr>
                <w:rFonts w:ascii="黑体" w:eastAsia="黑体"/>
                <w:sz w:val="20"/>
                <w:szCs w:val="20"/>
              </w:rPr>
              <w:t>021</w:t>
            </w:r>
          </w:p>
        </w:tc>
        <w:tc>
          <w:tcPr>
            <w:tcW w:w="5670" w:type="dxa"/>
            <w:shd w:val="clear" w:color="auto" w:fill="auto"/>
            <w:noWrap/>
            <w:vAlign w:val="center"/>
          </w:tcPr>
          <w:p w14:paraId="24D82E8B" w14:textId="77777777" w:rsidR="00A052DC" w:rsidRDefault="009F0A60">
            <w:pPr>
              <w:widowControl/>
              <w:jc w:val="left"/>
              <w:rPr>
                <w:rFonts w:ascii="黑体" w:eastAsia="黑体" w:hAnsi="宋体" w:cs="宋体"/>
                <w:kern w:val="0"/>
                <w:sz w:val="20"/>
                <w:szCs w:val="20"/>
              </w:rPr>
            </w:pPr>
            <w:r>
              <w:rPr>
                <w:rFonts w:ascii="黑体" w:eastAsia="黑体" w:hAnsi="宋体" w:cs="宋体" w:hint="eastAsia"/>
                <w:kern w:val="0"/>
                <w:sz w:val="20"/>
                <w:szCs w:val="20"/>
              </w:rPr>
              <w:t>购买理财产品</w:t>
            </w:r>
          </w:p>
        </w:tc>
      </w:tr>
      <w:tr w:rsidR="00A052DC" w14:paraId="7B8366DC" w14:textId="77777777">
        <w:trPr>
          <w:trHeight w:val="270"/>
          <w:jc w:val="center"/>
        </w:trPr>
        <w:tc>
          <w:tcPr>
            <w:tcW w:w="2620" w:type="dxa"/>
            <w:shd w:val="clear" w:color="auto" w:fill="auto"/>
            <w:noWrap/>
          </w:tcPr>
          <w:p w14:paraId="4BBD1860" w14:textId="77777777" w:rsidR="00A052DC" w:rsidRDefault="009F0A60">
            <w:pPr>
              <w:jc w:val="center"/>
              <w:rPr>
                <w:rFonts w:ascii="黑体" w:eastAsia="黑体"/>
                <w:sz w:val="20"/>
                <w:szCs w:val="20"/>
              </w:rPr>
            </w:pPr>
            <w:r>
              <w:rPr>
                <w:rFonts w:ascii="黑体" w:eastAsia="黑体"/>
                <w:sz w:val="20"/>
                <w:szCs w:val="20"/>
              </w:rPr>
              <w:t>022</w:t>
            </w:r>
          </w:p>
        </w:tc>
        <w:tc>
          <w:tcPr>
            <w:tcW w:w="5670" w:type="dxa"/>
            <w:shd w:val="clear" w:color="auto" w:fill="auto"/>
            <w:noWrap/>
            <w:vAlign w:val="center"/>
          </w:tcPr>
          <w:p w14:paraId="305D0486" w14:textId="77777777" w:rsidR="00A052DC" w:rsidRDefault="009F0A60">
            <w:pPr>
              <w:widowControl/>
              <w:jc w:val="left"/>
              <w:rPr>
                <w:rFonts w:ascii="黑体" w:eastAsia="黑体" w:hAnsi="宋体" w:cs="宋体"/>
                <w:kern w:val="0"/>
                <w:sz w:val="20"/>
                <w:szCs w:val="20"/>
              </w:rPr>
            </w:pPr>
            <w:r>
              <w:rPr>
                <w:rFonts w:ascii="黑体" w:eastAsia="黑体" w:hAnsi="宋体" w:cs="宋体" w:hint="eastAsia"/>
                <w:kern w:val="0"/>
                <w:sz w:val="20"/>
                <w:szCs w:val="20"/>
              </w:rPr>
              <w:t>转入结汇待支付账户</w:t>
            </w:r>
          </w:p>
        </w:tc>
      </w:tr>
      <w:tr w:rsidR="00A052DC" w14:paraId="139F3C09" w14:textId="77777777">
        <w:trPr>
          <w:trHeight w:val="270"/>
          <w:jc w:val="center"/>
        </w:trPr>
        <w:tc>
          <w:tcPr>
            <w:tcW w:w="2620" w:type="dxa"/>
            <w:shd w:val="clear" w:color="auto" w:fill="auto"/>
            <w:noWrap/>
          </w:tcPr>
          <w:p w14:paraId="7B0E127C" w14:textId="77777777" w:rsidR="00A052DC" w:rsidRDefault="009F0A60">
            <w:pPr>
              <w:jc w:val="center"/>
              <w:rPr>
                <w:rFonts w:ascii="黑体" w:eastAsia="黑体"/>
                <w:sz w:val="20"/>
                <w:szCs w:val="20"/>
              </w:rPr>
            </w:pPr>
            <w:r>
              <w:rPr>
                <w:rFonts w:ascii="黑体" w:eastAsia="黑体"/>
                <w:sz w:val="20"/>
                <w:szCs w:val="20"/>
              </w:rPr>
              <w:t>023</w:t>
            </w:r>
          </w:p>
        </w:tc>
        <w:tc>
          <w:tcPr>
            <w:tcW w:w="5670" w:type="dxa"/>
            <w:shd w:val="clear" w:color="auto" w:fill="auto"/>
            <w:noWrap/>
            <w:vAlign w:val="center"/>
          </w:tcPr>
          <w:p w14:paraId="65E815F5" w14:textId="77777777" w:rsidR="00A052DC" w:rsidRDefault="009F0A60">
            <w:pPr>
              <w:widowControl/>
              <w:jc w:val="left"/>
              <w:rPr>
                <w:rFonts w:ascii="黑体" w:eastAsia="黑体" w:hAnsi="宋体" w:cs="宋体"/>
                <w:kern w:val="0"/>
                <w:sz w:val="20"/>
                <w:szCs w:val="20"/>
              </w:rPr>
            </w:pPr>
            <w:r>
              <w:rPr>
                <w:rFonts w:ascii="黑体" w:eastAsia="黑体" w:hAnsi="宋体" w:cs="宋体" w:hint="eastAsia"/>
                <w:kern w:val="0"/>
                <w:sz w:val="20"/>
                <w:szCs w:val="20"/>
              </w:rPr>
              <w:t>特殊备案</w:t>
            </w:r>
          </w:p>
        </w:tc>
      </w:tr>
      <w:tr w:rsidR="00A052DC" w14:paraId="0CCC9066" w14:textId="77777777">
        <w:trPr>
          <w:trHeight w:val="270"/>
          <w:jc w:val="center"/>
        </w:trPr>
        <w:tc>
          <w:tcPr>
            <w:tcW w:w="2620" w:type="dxa"/>
            <w:shd w:val="clear" w:color="auto" w:fill="auto"/>
            <w:noWrap/>
          </w:tcPr>
          <w:p w14:paraId="5ECEEB8D" w14:textId="77777777" w:rsidR="00A052DC" w:rsidRDefault="009F0A60">
            <w:pPr>
              <w:jc w:val="center"/>
              <w:rPr>
                <w:rFonts w:ascii="黑体" w:eastAsia="黑体"/>
                <w:sz w:val="20"/>
                <w:szCs w:val="20"/>
              </w:rPr>
            </w:pPr>
            <w:r>
              <w:rPr>
                <w:rFonts w:ascii="黑体" w:eastAsia="黑体"/>
                <w:sz w:val="20"/>
                <w:szCs w:val="20"/>
              </w:rPr>
              <w:t>024</w:t>
            </w:r>
          </w:p>
        </w:tc>
        <w:tc>
          <w:tcPr>
            <w:tcW w:w="5670" w:type="dxa"/>
            <w:shd w:val="clear" w:color="auto" w:fill="auto"/>
            <w:noWrap/>
            <w:vAlign w:val="center"/>
          </w:tcPr>
          <w:p w14:paraId="432F6899" w14:textId="77777777" w:rsidR="00A052DC" w:rsidRDefault="009F0A60">
            <w:pPr>
              <w:widowControl/>
              <w:jc w:val="left"/>
              <w:rPr>
                <w:rFonts w:ascii="黑体" w:eastAsia="黑体" w:hAnsi="宋体" w:cs="宋体"/>
                <w:kern w:val="0"/>
                <w:sz w:val="20"/>
                <w:szCs w:val="20"/>
              </w:rPr>
            </w:pPr>
            <w:r>
              <w:rPr>
                <w:rFonts w:ascii="黑体" w:eastAsia="黑体" w:hAnsi="宋体" w:cs="宋体" w:hint="eastAsia"/>
                <w:kern w:val="0"/>
                <w:sz w:val="20"/>
                <w:szCs w:val="20"/>
              </w:rPr>
              <w:t>融资租赁</w:t>
            </w:r>
          </w:p>
        </w:tc>
      </w:tr>
      <w:tr w:rsidR="00A052DC" w14:paraId="571C7B58" w14:textId="77777777">
        <w:trPr>
          <w:trHeight w:val="270"/>
          <w:jc w:val="center"/>
        </w:trPr>
        <w:tc>
          <w:tcPr>
            <w:tcW w:w="2620" w:type="dxa"/>
            <w:shd w:val="clear" w:color="auto" w:fill="auto"/>
            <w:noWrap/>
          </w:tcPr>
          <w:p w14:paraId="1ECC523A" w14:textId="77777777" w:rsidR="00A052DC" w:rsidRDefault="009F0A60">
            <w:pPr>
              <w:jc w:val="center"/>
              <w:rPr>
                <w:rFonts w:ascii="黑体" w:eastAsia="黑体"/>
                <w:sz w:val="20"/>
                <w:szCs w:val="20"/>
              </w:rPr>
            </w:pPr>
            <w:r>
              <w:rPr>
                <w:rFonts w:ascii="黑体" w:eastAsia="黑体"/>
                <w:sz w:val="20"/>
                <w:szCs w:val="20"/>
              </w:rPr>
              <w:t>025</w:t>
            </w:r>
          </w:p>
        </w:tc>
        <w:tc>
          <w:tcPr>
            <w:tcW w:w="5670" w:type="dxa"/>
            <w:shd w:val="clear" w:color="auto" w:fill="auto"/>
            <w:noWrap/>
            <w:vAlign w:val="center"/>
          </w:tcPr>
          <w:p w14:paraId="1F7B4540" w14:textId="77777777" w:rsidR="00A052DC" w:rsidRDefault="009F0A60">
            <w:pPr>
              <w:widowControl/>
              <w:jc w:val="left"/>
              <w:rPr>
                <w:rFonts w:ascii="黑体" w:eastAsia="黑体" w:hAnsi="宋体" w:cs="宋体"/>
                <w:kern w:val="0"/>
                <w:sz w:val="20"/>
                <w:szCs w:val="20"/>
              </w:rPr>
            </w:pPr>
            <w:r>
              <w:rPr>
                <w:rFonts w:ascii="黑体" w:eastAsia="黑体" w:hAnsi="宋体" w:cs="宋体" w:hint="eastAsia"/>
                <w:kern w:val="0"/>
                <w:sz w:val="20"/>
                <w:szCs w:val="20"/>
              </w:rPr>
              <w:t>担保履约</w:t>
            </w:r>
          </w:p>
        </w:tc>
      </w:tr>
      <w:tr w:rsidR="00A052DC" w14:paraId="737E8BDF" w14:textId="77777777">
        <w:trPr>
          <w:trHeight w:val="270"/>
          <w:jc w:val="center"/>
        </w:trPr>
        <w:tc>
          <w:tcPr>
            <w:tcW w:w="2620" w:type="dxa"/>
            <w:shd w:val="clear" w:color="auto" w:fill="auto"/>
            <w:noWrap/>
          </w:tcPr>
          <w:p w14:paraId="7AB4C9AA" w14:textId="77777777" w:rsidR="00A052DC" w:rsidRDefault="009F0A60">
            <w:pPr>
              <w:jc w:val="center"/>
              <w:rPr>
                <w:rFonts w:ascii="黑体" w:eastAsia="黑体"/>
                <w:sz w:val="20"/>
                <w:szCs w:val="20"/>
              </w:rPr>
            </w:pPr>
            <w:r>
              <w:rPr>
                <w:rFonts w:ascii="黑体" w:eastAsia="黑体"/>
                <w:sz w:val="20"/>
                <w:szCs w:val="20"/>
              </w:rPr>
              <w:t>026</w:t>
            </w:r>
          </w:p>
        </w:tc>
        <w:tc>
          <w:tcPr>
            <w:tcW w:w="5670" w:type="dxa"/>
            <w:shd w:val="clear" w:color="auto" w:fill="auto"/>
            <w:noWrap/>
            <w:vAlign w:val="center"/>
          </w:tcPr>
          <w:p w14:paraId="04A971C7" w14:textId="77777777" w:rsidR="00A052DC" w:rsidRDefault="009F0A60">
            <w:pPr>
              <w:widowControl/>
              <w:jc w:val="left"/>
              <w:rPr>
                <w:rFonts w:ascii="黑体" w:eastAsia="黑体" w:hAnsi="宋体" w:cs="宋体"/>
                <w:kern w:val="0"/>
                <w:sz w:val="20"/>
                <w:szCs w:val="20"/>
              </w:rPr>
            </w:pPr>
            <w:r>
              <w:rPr>
                <w:rFonts w:ascii="黑体" w:eastAsia="黑体" w:hAnsi="宋体" w:cs="宋体" w:hint="eastAsia"/>
                <w:kern w:val="0"/>
                <w:sz w:val="20"/>
                <w:szCs w:val="20"/>
              </w:rPr>
              <w:t>小额贷款</w:t>
            </w:r>
          </w:p>
        </w:tc>
      </w:tr>
      <w:tr w:rsidR="00A052DC" w14:paraId="7F47EE88" w14:textId="77777777">
        <w:trPr>
          <w:trHeight w:val="270"/>
          <w:jc w:val="center"/>
        </w:trPr>
        <w:tc>
          <w:tcPr>
            <w:tcW w:w="2620" w:type="dxa"/>
            <w:shd w:val="clear" w:color="auto" w:fill="auto"/>
            <w:noWrap/>
          </w:tcPr>
          <w:p w14:paraId="58C8ED23" w14:textId="77777777" w:rsidR="00A052DC" w:rsidRDefault="009F0A60">
            <w:pPr>
              <w:jc w:val="center"/>
              <w:rPr>
                <w:rFonts w:ascii="黑体" w:eastAsia="黑体"/>
                <w:sz w:val="20"/>
                <w:szCs w:val="20"/>
              </w:rPr>
            </w:pPr>
            <w:r>
              <w:rPr>
                <w:rFonts w:ascii="黑体" w:eastAsia="黑体"/>
                <w:sz w:val="20"/>
                <w:szCs w:val="20"/>
              </w:rPr>
              <w:t>027</w:t>
            </w:r>
          </w:p>
        </w:tc>
        <w:tc>
          <w:tcPr>
            <w:tcW w:w="5670" w:type="dxa"/>
            <w:shd w:val="clear" w:color="auto" w:fill="auto"/>
            <w:noWrap/>
            <w:vAlign w:val="center"/>
          </w:tcPr>
          <w:p w14:paraId="2F3E2CC3" w14:textId="77777777" w:rsidR="00A052DC" w:rsidRDefault="009F0A60">
            <w:pPr>
              <w:widowControl/>
              <w:jc w:val="left"/>
              <w:rPr>
                <w:rFonts w:ascii="黑体" w:eastAsia="黑体" w:hAnsi="宋体" w:cs="宋体"/>
                <w:kern w:val="0"/>
                <w:sz w:val="20"/>
                <w:szCs w:val="20"/>
              </w:rPr>
            </w:pPr>
            <w:r>
              <w:rPr>
                <w:rFonts w:ascii="黑体" w:eastAsia="黑体" w:hAnsi="宋体" w:cs="宋体" w:hint="eastAsia"/>
                <w:kern w:val="0"/>
                <w:sz w:val="20"/>
                <w:szCs w:val="20"/>
              </w:rPr>
              <w:t>保理业务</w:t>
            </w:r>
          </w:p>
        </w:tc>
      </w:tr>
      <w:tr w:rsidR="00A052DC" w14:paraId="5897EDE2" w14:textId="77777777">
        <w:trPr>
          <w:trHeight w:val="270"/>
          <w:jc w:val="center"/>
        </w:trPr>
        <w:tc>
          <w:tcPr>
            <w:tcW w:w="2620" w:type="dxa"/>
            <w:shd w:val="clear" w:color="auto" w:fill="auto"/>
            <w:noWrap/>
          </w:tcPr>
          <w:p w14:paraId="0596D25E" w14:textId="77777777" w:rsidR="00A052DC" w:rsidRDefault="009F0A60">
            <w:pPr>
              <w:jc w:val="center"/>
              <w:rPr>
                <w:rFonts w:ascii="黑体" w:eastAsia="黑体"/>
                <w:sz w:val="20"/>
                <w:szCs w:val="20"/>
              </w:rPr>
            </w:pPr>
            <w:r>
              <w:rPr>
                <w:rFonts w:ascii="黑体" w:eastAsia="黑体"/>
                <w:sz w:val="20"/>
                <w:szCs w:val="20"/>
              </w:rPr>
              <w:t>028</w:t>
            </w:r>
          </w:p>
        </w:tc>
        <w:tc>
          <w:tcPr>
            <w:tcW w:w="5670" w:type="dxa"/>
            <w:shd w:val="clear" w:color="auto" w:fill="auto"/>
            <w:noWrap/>
            <w:vAlign w:val="center"/>
          </w:tcPr>
          <w:p w14:paraId="0611167A" w14:textId="77777777" w:rsidR="00A052DC" w:rsidRDefault="009F0A60">
            <w:pPr>
              <w:widowControl/>
              <w:jc w:val="left"/>
              <w:rPr>
                <w:rFonts w:ascii="黑体" w:eastAsia="黑体" w:hAnsi="宋体" w:cs="宋体"/>
                <w:kern w:val="0"/>
                <w:sz w:val="20"/>
                <w:szCs w:val="20"/>
              </w:rPr>
            </w:pPr>
            <w:r>
              <w:rPr>
                <w:rFonts w:ascii="黑体" w:eastAsia="黑体" w:hAnsi="宋体" w:cs="宋体" w:hint="eastAsia"/>
                <w:kern w:val="0"/>
                <w:sz w:val="20"/>
                <w:szCs w:val="20"/>
              </w:rPr>
              <w:t>结汇转入同名人民币帐户</w:t>
            </w:r>
          </w:p>
        </w:tc>
      </w:tr>
      <w:tr w:rsidR="00A052DC" w14:paraId="330AAC59" w14:textId="77777777">
        <w:trPr>
          <w:trHeight w:val="270"/>
          <w:jc w:val="center"/>
        </w:trPr>
        <w:tc>
          <w:tcPr>
            <w:tcW w:w="2620" w:type="dxa"/>
            <w:shd w:val="clear" w:color="auto" w:fill="auto"/>
            <w:noWrap/>
          </w:tcPr>
          <w:p w14:paraId="578DCD58" w14:textId="77777777" w:rsidR="00A052DC" w:rsidRDefault="009F0A60">
            <w:pPr>
              <w:jc w:val="center"/>
              <w:rPr>
                <w:rFonts w:ascii="黑体" w:eastAsia="黑体"/>
                <w:sz w:val="20"/>
                <w:szCs w:val="20"/>
              </w:rPr>
            </w:pPr>
            <w:r>
              <w:rPr>
                <w:rFonts w:ascii="黑体" w:eastAsia="黑体"/>
                <w:sz w:val="20"/>
                <w:szCs w:val="20"/>
              </w:rPr>
              <w:t>099</w:t>
            </w:r>
          </w:p>
        </w:tc>
        <w:tc>
          <w:tcPr>
            <w:tcW w:w="5670" w:type="dxa"/>
            <w:shd w:val="clear" w:color="auto" w:fill="auto"/>
            <w:noWrap/>
            <w:vAlign w:val="center"/>
          </w:tcPr>
          <w:p w14:paraId="760B856D" w14:textId="77777777" w:rsidR="00A052DC" w:rsidRDefault="009F0A60">
            <w:pPr>
              <w:widowControl/>
              <w:jc w:val="left"/>
              <w:rPr>
                <w:rFonts w:ascii="黑体" w:eastAsia="黑体" w:hAnsi="宋体" w:cs="宋体"/>
                <w:kern w:val="0"/>
                <w:sz w:val="20"/>
                <w:szCs w:val="20"/>
              </w:rPr>
            </w:pPr>
            <w:r>
              <w:rPr>
                <w:rFonts w:ascii="黑体" w:eastAsia="黑体" w:hAnsi="宋体" w:cs="宋体" w:hint="eastAsia"/>
                <w:kern w:val="0"/>
                <w:sz w:val="20"/>
                <w:szCs w:val="20"/>
              </w:rPr>
              <w:t>其他</w:t>
            </w:r>
          </w:p>
        </w:tc>
      </w:tr>
    </w:tbl>
    <w:p w14:paraId="3B828EA6" w14:textId="77777777" w:rsidR="00A052DC" w:rsidRDefault="00A052DC"/>
    <w:p w14:paraId="1AA7589D" w14:textId="77777777" w:rsidR="00A052DC" w:rsidRDefault="009F0A60" w:rsidP="0020251D">
      <w:pPr>
        <w:pStyle w:val="2"/>
        <w:rPr>
          <w:rFonts w:ascii="Times New Roman" w:hAnsi="Times New Roman"/>
        </w:rPr>
      </w:pPr>
      <w:bookmarkStart w:id="4804" w:name="_Toc91455527"/>
      <w:bookmarkStart w:id="4805" w:name="_Toc454394786"/>
      <w:bookmarkStart w:id="4806" w:name="_Toc101684552"/>
      <w:r>
        <w:rPr>
          <w:rFonts w:ascii="Times New Roman" w:hAnsi="Times New Roman" w:hint="eastAsia"/>
        </w:rPr>
        <w:t>账户状态</w:t>
      </w:r>
      <w:bookmarkEnd w:id="4803"/>
      <w:bookmarkEnd w:id="4804"/>
      <w:bookmarkEnd w:id="4805"/>
      <w:bookmarkEnd w:id="480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5720"/>
      </w:tblGrid>
      <w:tr w:rsidR="00A052DC" w14:paraId="513D1B3C" w14:textId="77777777">
        <w:tc>
          <w:tcPr>
            <w:tcW w:w="2802" w:type="dxa"/>
            <w:shd w:val="clear" w:color="auto" w:fill="BFBFBF"/>
          </w:tcPr>
          <w:p w14:paraId="20FF3E80" w14:textId="77777777" w:rsidR="00881462" w:rsidRDefault="009F0A60">
            <w:pPr>
              <w:pStyle w:val="B1"/>
            </w:pPr>
            <w:r>
              <w:rPr>
                <w:rFonts w:hint="eastAsia"/>
              </w:rPr>
              <w:t>账户状态类型代码</w:t>
            </w:r>
          </w:p>
        </w:tc>
        <w:tc>
          <w:tcPr>
            <w:tcW w:w="5720" w:type="dxa"/>
            <w:shd w:val="clear" w:color="auto" w:fill="BFBFBF"/>
          </w:tcPr>
          <w:p w14:paraId="7B0D8891" w14:textId="77777777" w:rsidR="00881462" w:rsidRDefault="009F0A60">
            <w:pPr>
              <w:pStyle w:val="B1"/>
            </w:pPr>
            <w:r>
              <w:rPr>
                <w:rFonts w:hint="eastAsia"/>
              </w:rPr>
              <w:t>账户状态类型</w:t>
            </w:r>
          </w:p>
        </w:tc>
      </w:tr>
      <w:tr w:rsidR="00A052DC" w14:paraId="18F02735" w14:textId="77777777">
        <w:tc>
          <w:tcPr>
            <w:tcW w:w="2802" w:type="dxa"/>
            <w:shd w:val="clear" w:color="auto" w:fill="auto"/>
          </w:tcPr>
          <w:p w14:paraId="304AB0AD" w14:textId="77777777" w:rsidR="00A052DC" w:rsidRDefault="009F0A60">
            <w:pPr>
              <w:pStyle w:val="B"/>
              <w:jc w:val="center"/>
            </w:pPr>
            <w:r>
              <w:t>11</w:t>
            </w:r>
          </w:p>
        </w:tc>
        <w:tc>
          <w:tcPr>
            <w:tcW w:w="5720" w:type="dxa"/>
            <w:shd w:val="clear" w:color="auto" w:fill="auto"/>
          </w:tcPr>
          <w:p w14:paraId="3C68BB8F" w14:textId="77777777" w:rsidR="00A052DC" w:rsidRDefault="009F0A60">
            <w:pPr>
              <w:pStyle w:val="B"/>
            </w:pPr>
            <w:r>
              <w:rPr>
                <w:rFonts w:hint="eastAsia"/>
              </w:rPr>
              <w:t>开户</w:t>
            </w:r>
          </w:p>
        </w:tc>
      </w:tr>
      <w:tr w:rsidR="00A052DC" w14:paraId="7028F35E" w14:textId="77777777">
        <w:tc>
          <w:tcPr>
            <w:tcW w:w="2802" w:type="dxa"/>
            <w:shd w:val="clear" w:color="auto" w:fill="auto"/>
          </w:tcPr>
          <w:p w14:paraId="501CCFF4" w14:textId="77777777" w:rsidR="00A052DC" w:rsidRDefault="009F0A60">
            <w:pPr>
              <w:pStyle w:val="B"/>
              <w:jc w:val="center"/>
            </w:pPr>
            <w:r>
              <w:t>12</w:t>
            </w:r>
          </w:p>
        </w:tc>
        <w:tc>
          <w:tcPr>
            <w:tcW w:w="5720" w:type="dxa"/>
            <w:shd w:val="clear" w:color="auto" w:fill="auto"/>
          </w:tcPr>
          <w:p w14:paraId="7C62AA37" w14:textId="77777777" w:rsidR="00A052DC" w:rsidRDefault="009F0A60">
            <w:pPr>
              <w:pStyle w:val="B"/>
            </w:pPr>
            <w:r>
              <w:rPr>
                <w:rFonts w:hint="eastAsia"/>
              </w:rPr>
              <w:t>变更</w:t>
            </w:r>
          </w:p>
        </w:tc>
      </w:tr>
      <w:tr w:rsidR="00A052DC" w14:paraId="35E541CB" w14:textId="77777777">
        <w:tc>
          <w:tcPr>
            <w:tcW w:w="2802" w:type="dxa"/>
            <w:shd w:val="clear" w:color="auto" w:fill="auto"/>
          </w:tcPr>
          <w:p w14:paraId="6E0D52DC" w14:textId="77777777" w:rsidR="00A052DC" w:rsidRDefault="009F0A60">
            <w:pPr>
              <w:pStyle w:val="B"/>
              <w:jc w:val="center"/>
            </w:pPr>
            <w:r>
              <w:t>13</w:t>
            </w:r>
          </w:p>
        </w:tc>
        <w:tc>
          <w:tcPr>
            <w:tcW w:w="5720" w:type="dxa"/>
            <w:shd w:val="clear" w:color="auto" w:fill="auto"/>
          </w:tcPr>
          <w:p w14:paraId="1030A98D" w14:textId="77777777" w:rsidR="00A052DC" w:rsidRDefault="009F0A60">
            <w:pPr>
              <w:pStyle w:val="B"/>
            </w:pPr>
            <w:r>
              <w:rPr>
                <w:rFonts w:hint="eastAsia"/>
              </w:rPr>
              <w:t>关户</w:t>
            </w:r>
          </w:p>
        </w:tc>
      </w:tr>
    </w:tbl>
    <w:p w14:paraId="3719CBBC" w14:textId="77777777" w:rsidR="00A052DC" w:rsidRDefault="00A052DC"/>
    <w:p w14:paraId="73A9AD9B" w14:textId="77777777" w:rsidR="00A052DC" w:rsidRDefault="009F0A60" w:rsidP="0020251D">
      <w:pPr>
        <w:pStyle w:val="2"/>
        <w:rPr>
          <w:rFonts w:ascii="Times New Roman" w:hAnsi="Times New Roman"/>
        </w:rPr>
      </w:pPr>
      <w:bookmarkStart w:id="4807" w:name="_Toc380356319"/>
      <w:bookmarkStart w:id="4808" w:name="_Toc91455528"/>
      <w:bookmarkStart w:id="4809" w:name="_Toc454394787"/>
      <w:bookmarkStart w:id="4810" w:name="_Toc101684553"/>
      <w:r>
        <w:rPr>
          <w:rFonts w:ascii="Times New Roman" w:hAnsi="Times New Roman" w:hint="eastAsia"/>
        </w:rPr>
        <w:t>账户性质</w:t>
      </w:r>
      <w:bookmarkEnd w:id="4807"/>
      <w:bookmarkEnd w:id="4808"/>
      <w:bookmarkEnd w:id="4809"/>
      <w:bookmarkEnd w:id="4810"/>
    </w:p>
    <w:tbl>
      <w:tblPr>
        <w:tblW w:w="8472" w:type="dxa"/>
        <w:tblLayout w:type="fixed"/>
        <w:tblLook w:val="04A0" w:firstRow="1" w:lastRow="0" w:firstColumn="1" w:lastColumn="0" w:noHBand="0" w:noVBand="1"/>
      </w:tblPr>
      <w:tblGrid>
        <w:gridCol w:w="1967"/>
        <w:gridCol w:w="6505"/>
      </w:tblGrid>
      <w:tr w:rsidR="00A052DC" w14:paraId="4EC00D9D" w14:textId="77777777">
        <w:trPr>
          <w:trHeight w:val="323"/>
          <w:tblHeader/>
        </w:trPr>
        <w:tc>
          <w:tcPr>
            <w:tcW w:w="1967"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4F7609FF" w14:textId="77777777" w:rsidR="00881462" w:rsidRDefault="009F0A60">
            <w:pPr>
              <w:pStyle w:val="B1"/>
            </w:pPr>
            <w:r w:rsidRPr="000957EC">
              <w:t>账户性质代码</w:t>
            </w:r>
          </w:p>
        </w:tc>
        <w:tc>
          <w:tcPr>
            <w:tcW w:w="6505" w:type="dxa"/>
            <w:tcBorders>
              <w:top w:val="single" w:sz="4" w:space="0" w:color="auto"/>
              <w:left w:val="nil"/>
              <w:bottom w:val="single" w:sz="4" w:space="0" w:color="auto"/>
              <w:right w:val="single" w:sz="4" w:space="0" w:color="auto"/>
            </w:tcBorders>
            <w:shd w:val="clear" w:color="auto" w:fill="BFBFBF"/>
            <w:noWrap/>
            <w:vAlign w:val="center"/>
          </w:tcPr>
          <w:p w14:paraId="7E6A4AAF" w14:textId="77777777" w:rsidR="00881462" w:rsidRDefault="009F0A60">
            <w:pPr>
              <w:pStyle w:val="B1"/>
            </w:pPr>
            <w:r w:rsidRPr="000957EC">
              <w:rPr>
                <w:rFonts w:hint="eastAsia"/>
              </w:rPr>
              <w:t>账户性质名称</w:t>
            </w:r>
          </w:p>
        </w:tc>
      </w:tr>
      <w:tr w:rsidR="00A052DC" w14:paraId="1BDBDBF3" w14:textId="77777777">
        <w:trPr>
          <w:trHeight w:val="323"/>
        </w:trPr>
        <w:tc>
          <w:tcPr>
            <w:tcW w:w="1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D72B8F" w14:textId="77777777" w:rsidR="00A052DC" w:rsidRDefault="009F0A60">
            <w:pPr>
              <w:pStyle w:val="B"/>
              <w:jc w:val="center"/>
            </w:pPr>
            <w:r>
              <w:t>1000</w:t>
            </w:r>
          </w:p>
        </w:tc>
        <w:tc>
          <w:tcPr>
            <w:tcW w:w="6505" w:type="dxa"/>
            <w:tcBorders>
              <w:top w:val="single" w:sz="4" w:space="0" w:color="auto"/>
              <w:left w:val="nil"/>
              <w:bottom w:val="single" w:sz="4" w:space="0" w:color="auto"/>
              <w:right w:val="single" w:sz="4" w:space="0" w:color="auto"/>
            </w:tcBorders>
            <w:shd w:val="clear" w:color="auto" w:fill="auto"/>
            <w:noWrap/>
            <w:vAlign w:val="center"/>
          </w:tcPr>
          <w:p w14:paraId="31AED987" w14:textId="77777777" w:rsidR="00A052DC" w:rsidRDefault="009F0A60">
            <w:pPr>
              <w:pStyle w:val="B"/>
            </w:pPr>
            <w:r>
              <w:t>经常项目-外汇结算账户</w:t>
            </w:r>
          </w:p>
        </w:tc>
      </w:tr>
      <w:tr w:rsidR="00A052DC" w14:paraId="2805174D" w14:textId="77777777">
        <w:trPr>
          <w:trHeight w:val="323"/>
        </w:trPr>
        <w:tc>
          <w:tcPr>
            <w:tcW w:w="1967" w:type="dxa"/>
            <w:tcBorders>
              <w:top w:val="nil"/>
              <w:left w:val="single" w:sz="4" w:space="0" w:color="auto"/>
              <w:bottom w:val="single" w:sz="4" w:space="0" w:color="auto"/>
              <w:right w:val="single" w:sz="4" w:space="0" w:color="auto"/>
            </w:tcBorders>
            <w:shd w:val="clear" w:color="auto" w:fill="auto"/>
            <w:noWrap/>
            <w:vAlign w:val="center"/>
          </w:tcPr>
          <w:p w14:paraId="5C91ACD4" w14:textId="77777777" w:rsidR="00A052DC" w:rsidRDefault="009F0A60">
            <w:pPr>
              <w:pStyle w:val="B"/>
              <w:jc w:val="center"/>
            </w:pPr>
            <w:r>
              <w:t>1101</w:t>
            </w:r>
          </w:p>
        </w:tc>
        <w:tc>
          <w:tcPr>
            <w:tcW w:w="6505" w:type="dxa"/>
            <w:tcBorders>
              <w:top w:val="nil"/>
              <w:left w:val="nil"/>
              <w:bottom w:val="single" w:sz="4" w:space="0" w:color="auto"/>
              <w:right w:val="single" w:sz="4" w:space="0" w:color="auto"/>
            </w:tcBorders>
            <w:shd w:val="clear" w:color="auto" w:fill="auto"/>
            <w:noWrap/>
            <w:vAlign w:val="center"/>
          </w:tcPr>
          <w:p w14:paraId="5BA019A8" w14:textId="77777777" w:rsidR="00A052DC" w:rsidRDefault="009F0A60">
            <w:pPr>
              <w:pStyle w:val="B"/>
            </w:pPr>
            <w:r>
              <w:t>经常项目-待核查账户</w:t>
            </w:r>
          </w:p>
        </w:tc>
      </w:tr>
      <w:tr w:rsidR="00A052DC" w14:paraId="3FAAE296" w14:textId="77777777">
        <w:trPr>
          <w:trHeight w:val="323"/>
        </w:trPr>
        <w:tc>
          <w:tcPr>
            <w:tcW w:w="1967" w:type="dxa"/>
            <w:tcBorders>
              <w:top w:val="nil"/>
              <w:left w:val="single" w:sz="4" w:space="0" w:color="auto"/>
              <w:bottom w:val="single" w:sz="4" w:space="0" w:color="auto"/>
              <w:right w:val="single" w:sz="4" w:space="0" w:color="auto"/>
            </w:tcBorders>
            <w:shd w:val="clear" w:color="auto" w:fill="auto"/>
            <w:noWrap/>
            <w:vAlign w:val="center"/>
          </w:tcPr>
          <w:p w14:paraId="665BB392" w14:textId="77777777" w:rsidR="00A052DC" w:rsidRDefault="009F0A60">
            <w:pPr>
              <w:pStyle w:val="B"/>
              <w:jc w:val="center"/>
            </w:pPr>
            <w:r>
              <w:t>1104</w:t>
            </w:r>
          </w:p>
        </w:tc>
        <w:tc>
          <w:tcPr>
            <w:tcW w:w="6505" w:type="dxa"/>
            <w:tcBorders>
              <w:top w:val="nil"/>
              <w:left w:val="nil"/>
              <w:bottom w:val="single" w:sz="4" w:space="0" w:color="auto"/>
              <w:right w:val="single" w:sz="4" w:space="0" w:color="auto"/>
            </w:tcBorders>
            <w:shd w:val="clear" w:color="auto" w:fill="auto"/>
            <w:noWrap/>
            <w:vAlign w:val="center"/>
          </w:tcPr>
          <w:p w14:paraId="6704D6A2" w14:textId="77777777" w:rsidR="00A052DC" w:rsidRDefault="009F0A60">
            <w:pPr>
              <w:pStyle w:val="B"/>
            </w:pPr>
            <w:r>
              <w:rPr>
                <w:rFonts w:hint="eastAsia"/>
              </w:rPr>
              <w:t>经常项目</w:t>
            </w:r>
            <w:r>
              <w:t>-国际贸易结算中心专用外汇账户</w:t>
            </w:r>
          </w:p>
        </w:tc>
      </w:tr>
      <w:tr w:rsidR="00A052DC" w14:paraId="15E1279B" w14:textId="77777777">
        <w:trPr>
          <w:trHeight w:val="323"/>
        </w:trPr>
        <w:tc>
          <w:tcPr>
            <w:tcW w:w="1967" w:type="dxa"/>
            <w:tcBorders>
              <w:top w:val="nil"/>
              <w:left w:val="single" w:sz="4" w:space="0" w:color="auto"/>
              <w:bottom w:val="single" w:sz="4" w:space="0" w:color="auto"/>
              <w:right w:val="single" w:sz="4" w:space="0" w:color="auto"/>
            </w:tcBorders>
            <w:shd w:val="clear" w:color="auto" w:fill="auto"/>
            <w:noWrap/>
            <w:vAlign w:val="center"/>
          </w:tcPr>
          <w:p w14:paraId="19C37740" w14:textId="77777777" w:rsidR="00A052DC" w:rsidRDefault="009F0A60">
            <w:pPr>
              <w:pStyle w:val="B"/>
              <w:jc w:val="center"/>
            </w:pPr>
            <w:r>
              <w:t>1202</w:t>
            </w:r>
          </w:p>
        </w:tc>
        <w:tc>
          <w:tcPr>
            <w:tcW w:w="6505" w:type="dxa"/>
            <w:tcBorders>
              <w:top w:val="nil"/>
              <w:left w:val="nil"/>
              <w:bottom w:val="single" w:sz="4" w:space="0" w:color="auto"/>
              <w:right w:val="single" w:sz="4" w:space="0" w:color="auto"/>
            </w:tcBorders>
            <w:shd w:val="clear" w:color="auto" w:fill="auto"/>
            <w:noWrap/>
            <w:vAlign w:val="center"/>
          </w:tcPr>
          <w:p w14:paraId="7AC29528" w14:textId="77777777" w:rsidR="00A052DC" w:rsidRDefault="009F0A60">
            <w:pPr>
              <w:pStyle w:val="B"/>
            </w:pPr>
            <w:r>
              <w:t>经常项目-捐赠账户</w:t>
            </w:r>
          </w:p>
        </w:tc>
      </w:tr>
      <w:tr w:rsidR="00A052DC" w14:paraId="769E9FB6" w14:textId="77777777">
        <w:trPr>
          <w:trHeight w:val="323"/>
        </w:trPr>
        <w:tc>
          <w:tcPr>
            <w:tcW w:w="1967" w:type="dxa"/>
            <w:tcBorders>
              <w:top w:val="nil"/>
              <w:left w:val="single" w:sz="4" w:space="0" w:color="auto"/>
              <w:bottom w:val="single" w:sz="4" w:space="0" w:color="auto"/>
              <w:right w:val="single" w:sz="4" w:space="0" w:color="auto"/>
            </w:tcBorders>
            <w:shd w:val="clear" w:color="auto" w:fill="auto"/>
            <w:noWrap/>
            <w:vAlign w:val="center"/>
          </w:tcPr>
          <w:p w14:paraId="79B91363" w14:textId="77777777" w:rsidR="00A052DC" w:rsidRDefault="009F0A60">
            <w:pPr>
              <w:pStyle w:val="B"/>
              <w:jc w:val="center"/>
            </w:pPr>
            <w:r>
              <w:t>1602</w:t>
            </w:r>
          </w:p>
        </w:tc>
        <w:tc>
          <w:tcPr>
            <w:tcW w:w="6505" w:type="dxa"/>
            <w:tcBorders>
              <w:top w:val="nil"/>
              <w:left w:val="nil"/>
              <w:bottom w:val="single" w:sz="4" w:space="0" w:color="auto"/>
              <w:right w:val="single" w:sz="4" w:space="0" w:color="auto"/>
            </w:tcBorders>
            <w:shd w:val="clear" w:color="auto" w:fill="auto"/>
            <w:noWrap/>
            <w:vAlign w:val="center"/>
          </w:tcPr>
          <w:p w14:paraId="4C29B201" w14:textId="77777777" w:rsidR="00A052DC" w:rsidRDefault="009F0A60">
            <w:pPr>
              <w:pStyle w:val="B"/>
            </w:pPr>
            <w:r>
              <w:rPr>
                <w:rFonts w:hint="eastAsia"/>
              </w:rPr>
              <w:t>保险机构资金运用外汇账户</w:t>
            </w:r>
          </w:p>
        </w:tc>
      </w:tr>
      <w:tr w:rsidR="00A052DC" w14:paraId="076511F9" w14:textId="77777777">
        <w:trPr>
          <w:trHeight w:val="323"/>
        </w:trPr>
        <w:tc>
          <w:tcPr>
            <w:tcW w:w="1967" w:type="dxa"/>
            <w:tcBorders>
              <w:top w:val="nil"/>
              <w:left w:val="single" w:sz="4" w:space="0" w:color="auto"/>
              <w:bottom w:val="single" w:sz="4" w:space="0" w:color="auto"/>
              <w:right w:val="single" w:sz="4" w:space="0" w:color="auto"/>
            </w:tcBorders>
            <w:shd w:val="clear" w:color="auto" w:fill="auto"/>
            <w:noWrap/>
            <w:vAlign w:val="center"/>
          </w:tcPr>
          <w:p w14:paraId="3E61F0AB" w14:textId="77777777" w:rsidR="00A052DC" w:rsidRDefault="009F0A60">
            <w:pPr>
              <w:pStyle w:val="B"/>
              <w:jc w:val="center"/>
            </w:pPr>
            <w:r>
              <w:t>1603</w:t>
            </w:r>
          </w:p>
        </w:tc>
        <w:tc>
          <w:tcPr>
            <w:tcW w:w="6505" w:type="dxa"/>
            <w:tcBorders>
              <w:top w:val="nil"/>
              <w:left w:val="nil"/>
              <w:bottom w:val="single" w:sz="4" w:space="0" w:color="auto"/>
              <w:right w:val="single" w:sz="4" w:space="0" w:color="auto"/>
            </w:tcBorders>
            <w:shd w:val="clear" w:color="auto" w:fill="auto"/>
            <w:noWrap/>
            <w:vAlign w:val="center"/>
          </w:tcPr>
          <w:p w14:paraId="4E5AAB29" w14:textId="77777777" w:rsidR="00A052DC" w:rsidRDefault="009F0A60">
            <w:pPr>
              <w:pStyle w:val="B"/>
            </w:pPr>
            <w:r>
              <w:rPr>
                <w:rFonts w:hint="eastAsia"/>
              </w:rPr>
              <w:t>支付机构外汇备付金账户</w:t>
            </w:r>
          </w:p>
        </w:tc>
      </w:tr>
      <w:tr w:rsidR="00A052DC" w14:paraId="46888070" w14:textId="77777777">
        <w:trPr>
          <w:trHeight w:val="323"/>
        </w:trPr>
        <w:tc>
          <w:tcPr>
            <w:tcW w:w="1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6F3B46" w14:textId="77777777" w:rsidR="00A052DC" w:rsidRDefault="009F0A60">
            <w:pPr>
              <w:pStyle w:val="B"/>
              <w:jc w:val="center"/>
            </w:pPr>
            <w:r>
              <w:t>2101</w:t>
            </w:r>
          </w:p>
        </w:tc>
        <w:tc>
          <w:tcPr>
            <w:tcW w:w="6505" w:type="dxa"/>
            <w:tcBorders>
              <w:top w:val="single" w:sz="4" w:space="0" w:color="auto"/>
              <w:left w:val="nil"/>
              <w:bottom w:val="single" w:sz="4" w:space="0" w:color="auto"/>
              <w:right w:val="single" w:sz="4" w:space="0" w:color="auto"/>
            </w:tcBorders>
            <w:shd w:val="clear" w:color="auto" w:fill="auto"/>
            <w:noWrap/>
            <w:vAlign w:val="center"/>
          </w:tcPr>
          <w:p w14:paraId="0541C0A7" w14:textId="77777777" w:rsidR="00A052DC" w:rsidRDefault="009F0A60">
            <w:pPr>
              <w:pStyle w:val="B"/>
            </w:pPr>
            <w:r>
              <w:rPr>
                <w:rFonts w:hint="eastAsia"/>
              </w:rPr>
              <w:t>资本项目</w:t>
            </w:r>
            <w:r>
              <w:t>-前期费用外汇账户</w:t>
            </w:r>
          </w:p>
        </w:tc>
      </w:tr>
      <w:tr w:rsidR="00A052DC" w14:paraId="53CDD76E" w14:textId="77777777">
        <w:trPr>
          <w:trHeight w:val="323"/>
        </w:trPr>
        <w:tc>
          <w:tcPr>
            <w:tcW w:w="1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B4243F" w14:textId="77777777" w:rsidR="00A052DC" w:rsidRDefault="009F0A60">
            <w:pPr>
              <w:pStyle w:val="B"/>
              <w:jc w:val="center"/>
            </w:pPr>
            <w:r>
              <w:t>2102</w:t>
            </w:r>
          </w:p>
        </w:tc>
        <w:tc>
          <w:tcPr>
            <w:tcW w:w="6505" w:type="dxa"/>
            <w:tcBorders>
              <w:top w:val="single" w:sz="4" w:space="0" w:color="auto"/>
              <w:left w:val="nil"/>
              <w:bottom w:val="single" w:sz="4" w:space="0" w:color="auto"/>
              <w:right w:val="single" w:sz="4" w:space="0" w:color="auto"/>
            </w:tcBorders>
            <w:shd w:val="clear" w:color="auto" w:fill="auto"/>
            <w:noWrap/>
            <w:vAlign w:val="center"/>
          </w:tcPr>
          <w:p w14:paraId="02DF83BF" w14:textId="77777777" w:rsidR="00A052DC" w:rsidRDefault="009F0A60">
            <w:pPr>
              <w:pStyle w:val="B"/>
            </w:pPr>
            <w:r>
              <w:rPr>
                <w:rFonts w:hint="eastAsia"/>
              </w:rPr>
              <w:t>资本项目</w:t>
            </w:r>
            <w:r>
              <w:t>-外汇资本金账户</w:t>
            </w:r>
          </w:p>
        </w:tc>
      </w:tr>
      <w:tr w:rsidR="00A052DC" w14:paraId="4D2BDB55" w14:textId="77777777">
        <w:trPr>
          <w:trHeight w:val="323"/>
        </w:trPr>
        <w:tc>
          <w:tcPr>
            <w:tcW w:w="1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CE74C7" w14:textId="77777777" w:rsidR="00A052DC" w:rsidRDefault="009F0A60">
            <w:pPr>
              <w:pStyle w:val="B"/>
              <w:jc w:val="center"/>
            </w:pPr>
            <w:r>
              <w:t>2103</w:t>
            </w:r>
          </w:p>
        </w:tc>
        <w:tc>
          <w:tcPr>
            <w:tcW w:w="6505" w:type="dxa"/>
            <w:tcBorders>
              <w:top w:val="single" w:sz="4" w:space="0" w:color="auto"/>
              <w:left w:val="nil"/>
              <w:bottom w:val="single" w:sz="4" w:space="0" w:color="auto"/>
              <w:right w:val="single" w:sz="4" w:space="0" w:color="auto"/>
            </w:tcBorders>
            <w:shd w:val="clear" w:color="auto" w:fill="auto"/>
            <w:noWrap/>
            <w:vAlign w:val="center"/>
          </w:tcPr>
          <w:p w14:paraId="7D62AA4A" w14:textId="77777777" w:rsidR="00A052DC" w:rsidRDefault="009F0A60">
            <w:pPr>
              <w:pStyle w:val="B"/>
            </w:pPr>
            <w:r>
              <w:rPr>
                <w:rFonts w:hAnsi="宋体" w:hint="eastAsia"/>
              </w:rPr>
              <w:t>资本项目</w:t>
            </w:r>
            <w:r>
              <w:rPr>
                <w:rFonts w:hAnsi="宋体"/>
              </w:rPr>
              <w:t>-</w:t>
            </w:r>
            <w:r>
              <w:rPr>
                <w:rFonts w:hAnsi="宋体" w:hint="eastAsia"/>
              </w:rPr>
              <w:t>资产变现账户</w:t>
            </w:r>
          </w:p>
        </w:tc>
      </w:tr>
      <w:tr w:rsidR="00A052DC" w14:paraId="5FFB7900" w14:textId="77777777">
        <w:trPr>
          <w:trHeight w:val="323"/>
        </w:trPr>
        <w:tc>
          <w:tcPr>
            <w:tcW w:w="1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8A2EDC" w14:textId="77777777" w:rsidR="00A052DC" w:rsidRDefault="009F0A60">
            <w:pPr>
              <w:pStyle w:val="B"/>
              <w:jc w:val="center"/>
            </w:pPr>
            <w:r>
              <w:t>2104</w:t>
            </w:r>
          </w:p>
        </w:tc>
        <w:tc>
          <w:tcPr>
            <w:tcW w:w="6505" w:type="dxa"/>
            <w:tcBorders>
              <w:top w:val="single" w:sz="4" w:space="0" w:color="auto"/>
              <w:left w:val="nil"/>
              <w:bottom w:val="single" w:sz="4" w:space="0" w:color="auto"/>
              <w:right w:val="single" w:sz="4" w:space="0" w:color="auto"/>
            </w:tcBorders>
            <w:shd w:val="clear" w:color="auto" w:fill="auto"/>
            <w:noWrap/>
            <w:vAlign w:val="center"/>
          </w:tcPr>
          <w:p w14:paraId="1E3485BD" w14:textId="77777777" w:rsidR="00A052DC" w:rsidRDefault="009F0A60">
            <w:pPr>
              <w:pStyle w:val="B"/>
            </w:pPr>
            <w:r>
              <w:rPr>
                <w:rFonts w:hAnsi="宋体" w:hint="eastAsia"/>
              </w:rPr>
              <w:t>资本项目</w:t>
            </w:r>
            <w:r>
              <w:rPr>
                <w:rFonts w:hAnsi="宋体"/>
              </w:rPr>
              <w:t>-</w:t>
            </w:r>
            <w:r>
              <w:rPr>
                <w:rFonts w:hAnsi="宋体" w:hint="eastAsia"/>
              </w:rPr>
              <w:t>保证金专用账户</w:t>
            </w:r>
          </w:p>
        </w:tc>
      </w:tr>
      <w:tr w:rsidR="00A052DC" w14:paraId="5ABFE2EF" w14:textId="77777777">
        <w:trPr>
          <w:trHeight w:val="323"/>
        </w:trPr>
        <w:tc>
          <w:tcPr>
            <w:tcW w:w="1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5DF0EE" w14:textId="77777777" w:rsidR="00A052DC" w:rsidRDefault="009F0A60">
            <w:pPr>
              <w:pStyle w:val="B"/>
              <w:jc w:val="center"/>
            </w:pPr>
            <w:r>
              <w:t>2108</w:t>
            </w:r>
          </w:p>
        </w:tc>
        <w:tc>
          <w:tcPr>
            <w:tcW w:w="6505" w:type="dxa"/>
            <w:tcBorders>
              <w:top w:val="single" w:sz="4" w:space="0" w:color="auto"/>
              <w:left w:val="nil"/>
              <w:bottom w:val="single" w:sz="4" w:space="0" w:color="auto"/>
              <w:right w:val="single" w:sz="4" w:space="0" w:color="auto"/>
            </w:tcBorders>
            <w:shd w:val="clear" w:color="auto" w:fill="auto"/>
            <w:noWrap/>
            <w:vAlign w:val="center"/>
          </w:tcPr>
          <w:p w14:paraId="27F0C4F0" w14:textId="77777777" w:rsidR="00A052DC" w:rsidRDefault="009F0A60">
            <w:pPr>
              <w:pStyle w:val="B"/>
            </w:pPr>
            <w:r>
              <w:rPr>
                <w:rFonts w:hint="eastAsia"/>
              </w:rPr>
              <w:t>资本项目</w:t>
            </w:r>
            <w:r>
              <w:t>-人民币前期费用专用存款账户</w:t>
            </w:r>
          </w:p>
        </w:tc>
      </w:tr>
      <w:tr w:rsidR="00A052DC" w14:paraId="3BFD407B" w14:textId="77777777">
        <w:trPr>
          <w:trHeight w:val="323"/>
        </w:trPr>
        <w:tc>
          <w:tcPr>
            <w:tcW w:w="1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71CA10" w14:textId="77777777" w:rsidR="00A052DC" w:rsidRDefault="009F0A60">
            <w:pPr>
              <w:pStyle w:val="B"/>
              <w:jc w:val="center"/>
            </w:pPr>
            <w:r>
              <w:t>2109</w:t>
            </w:r>
          </w:p>
        </w:tc>
        <w:tc>
          <w:tcPr>
            <w:tcW w:w="6505" w:type="dxa"/>
            <w:tcBorders>
              <w:top w:val="single" w:sz="4" w:space="0" w:color="auto"/>
              <w:left w:val="nil"/>
              <w:bottom w:val="single" w:sz="4" w:space="0" w:color="auto"/>
              <w:right w:val="single" w:sz="4" w:space="0" w:color="auto"/>
            </w:tcBorders>
            <w:shd w:val="clear" w:color="auto" w:fill="auto"/>
            <w:noWrap/>
            <w:vAlign w:val="center"/>
          </w:tcPr>
          <w:p w14:paraId="3E61761E" w14:textId="77777777" w:rsidR="00A052DC" w:rsidRDefault="009F0A60">
            <w:pPr>
              <w:pStyle w:val="B"/>
            </w:pPr>
            <w:r>
              <w:rPr>
                <w:rFonts w:hint="eastAsia"/>
              </w:rPr>
              <w:t>资本项目</w:t>
            </w:r>
            <w:r>
              <w:t>-人民币资本金专用存款账户</w:t>
            </w:r>
          </w:p>
        </w:tc>
      </w:tr>
      <w:tr w:rsidR="00A052DC" w14:paraId="7B6AAFB9" w14:textId="77777777">
        <w:trPr>
          <w:trHeight w:val="323"/>
        </w:trPr>
        <w:tc>
          <w:tcPr>
            <w:tcW w:w="1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9F7184" w14:textId="77777777" w:rsidR="00A052DC" w:rsidRDefault="009F0A60">
            <w:pPr>
              <w:pStyle w:val="B"/>
              <w:jc w:val="center"/>
            </w:pPr>
            <w:r>
              <w:t>2110</w:t>
            </w:r>
          </w:p>
        </w:tc>
        <w:tc>
          <w:tcPr>
            <w:tcW w:w="6505" w:type="dxa"/>
            <w:tcBorders>
              <w:top w:val="single" w:sz="4" w:space="0" w:color="auto"/>
              <w:left w:val="nil"/>
              <w:bottom w:val="single" w:sz="4" w:space="0" w:color="auto"/>
              <w:right w:val="single" w:sz="4" w:space="0" w:color="auto"/>
            </w:tcBorders>
            <w:shd w:val="clear" w:color="auto" w:fill="auto"/>
            <w:noWrap/>
            <w:vAlign w:val="center"/>
          </w:tcPr>
          <w:p w14:paraId="68D2D60D" w14:textId="77777777" w:rsidR="00A052DC" w:rsidRDefault="009F0A60">
            <w:pPr>
              <w:pStyle w:val="B"/>
            </w:pPr>
            <w:r>
              <w:rPr>
                <w:rFonts w:hint="eastAsia"/>
              </w:rPr>
              <w:t>资本项目</w:t>
            </w:r>
            <w:r>
              <w:t>-人民币并购专用存款账户</w:t>
            </w:r>
          </w:p>
        </w:tc>
      </w:tr>
      <w:tr w:rsidR="00A052DC" w14:paraId="541394BA" w14:textId="77777777">
        <w:trPr>
          <w:trHeight w:val="323"/>
        </w:trPr>
        <w:tc>
          <w:tcPr>
            <w:tcW w:w="1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E447D7" w14:textId="77777777" w:rsidR="00A052DC" w:rsidRDefault="009F0A60">
            <w:pPr>
              <w:pStyle w:val="B"/>
              <w:jc w:val="center"/>
            </w:pPr>
            <w:r>
              <w:t>2111</w:t>
            </w:r>
          </w:p>
        </w:tc>
        <w:tc>
          <w:tcPr>
            <w:tcW w:w="6505" w:type="dxa"/>
            <w:tcBorders>
              <w:top w:val="single" w:sz="4" w:space="0" w:color="auto"/>
              <w:left w:val="nil"/>
              <w:bottom w:val="single" w:sz="4" w:space="0" w:color="auto"/>
              <w:right w:val="single" w:sz="4" w:space="0" w:color="auto"/>
            </w:tcBorders>
            <w:shd w:val="clear" w:color="auto" w:fill="auto"/>
            <w:noWrap/>
            <w:vAlign w:val="center"/>
          </w:tcPr>
          <w:p w14:paraId="3EA4D1DB" w14:textId="77777777" w:rsidR="00A052DC" w:rsidRDefault="009F0A60">
            <w:pPr>
              <w:pStyle w:val="B"/>
            </w:pPr>
            <w:r>
              <w:rPr>
                <w:rFonts w:hint="eastAsia"/>
              </w:rPr>
              <w:t>资本项目</w:t>
            </w:r>
            <w:r>
              <w:t>-人民币股权转让专用存款账户</w:t>
            </w:r>
          </w:p>
        </w:tc>
      </w:tr>
      <w:tr w:rsidR="00A052DC" w14:paraId="0C158BA9" w14:textId="77777777">
        <w:trPr>
          <w:trHeight w:val="323"/>
        </w:trPr>
        <w:tc>
          <w:tcPr>
            <w:tcW w:w="1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3D7911" w14:textId="77777777" w:rsidR="00A052DC" w:rsidRDefault="009F0A60">
            <w:pPr>
              <w:pStyle w:val="B"/>
              <w:jc w:val="center"/>
            </w:pPr>
            <w:r>
              <w:t>2112</w:t>
            </w:r>
          </w:p>
        </w:tc>
        <w:tc>
          <w:tcPr>
            <w:tcW w:w="6505" w:type="dxa"/>
            <w:tcBorders>
              <w:top w:val="single" w:sz="4" w:space="0" w:color="auto"/>
              <w:left w:val="nil"/>
              <w:bottom w:val="single" w:sz="4" w:space="0" w:color="auto"/>
              <w:right w:val="single" w:sz="4" w:space="0" w:color="auto"/>
            </w:tcBorders>
            <w:shd w:val="clear" w:color="auto" w:fill="auto"/>
            <w:noWrap/>
            <w:vAlign w:val="center"/>
          </w:tcPr>
          <w:p w14:paraId="675A3E51" w14:textId="77777777" w:rsidR="00A052DC" w:rsidRDefault="009F0A60">
            <w:pPr>
              <w:pStyle w:val="B"/>
            </w:pPr>
            <w:r>
              <w:rPr>
                <w:rFonts w:hint="eastAsia"/>
              </w:rPr>
              <w:t>资本项目</w:t>
            </w:r>
            <w:r>
              <w:t>-人民币再投资专用存款账户</w:t>
            </w:r>
          </w:p>
        </w:tc>
      </w:tr>
      <w:tr w:rsidR="00A052DC" w14:paraId="339502A4" w14:textId="77777777">
        <w:trPr>
          <w:trHeight w:val="323"/>
        </w:trPr>
        <w:tc>
          <w:tcPr>
            <w:tcW w:w="1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9B8AE4" w14:textId="77777777" w:rsidR="00A052DC" w:rsidRDefault="009F0A60">
            <w:pPr>
              <w:pStyle w:val="B"/>
              <w:jc w:val="center"/>
            </w:pPr>
            <w:r>
              <w:t>2113</w:t>
            </w:r>
          </w:p>
        </w:tc>
        <w:tc>
          <w:tcPr>
            <w:tcW w:w="6505" w:type="dxa"/>
            <w:tcBorders>
              <w:top w:val="single" w:sz="4" w:space="0" w:color="auto"/>
              <w:left w:val="nil"/>
              <w:bottom w:val="single" w:sz="4" w:space="0" w:color="auto"/>
              <w:right w:val="single" w:sz="4" w:space="0" w:color="auto"/>
            </w:tcBorders>
            <w:shd w:val="clear" w:color="auto" w:fill="auto"/>
            <w:noWrap/>
            <w:vAlign w:val="center"/>
          </w:tcPr>
          <w:p w14:paraId="372C2505" w14:textId="77777777" w:rsidR="00A052DC" w:rsidRDefault="009F0A60">
            <w:pPr>
              <w:pStyle w:val="B"/>
            </w:pPr>
            <w:r>
              <w:rPr>
                <w:rFonts w:hint="eastAsia"/>
              </w:rPr>
              <w:t>资本项目</w:t>
            </w:r>
            <w:r>
              <w:t>-结汇待支付账户</w:t>
            </w:r>
          </w:p>
        </w:tc>
      </w:tr>
      <w:tr w:rsidR="00A052DC" w14:paraId="0FFC2B57" w14:textId="77777777">
        <w:trPr>
          <w:trHeight w:val="323"/>
        </w:trPr>
        <w:tc>
          <w:tcPr>
            <w:tcW w:w="1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930E8A" w14:textId="77777777" w:rsidR="00A052DC" w:rsidRDefault="009F0A60">
            <w:pPr>
              <w:pStyle w:val="B"/>
              <w:jc w:val="center"/>
            </w:pPr>
            <w:r>
              <w:t>2202</w:t>
            </w:r>
          </w:p>
        </w:tc>
        <w:tc>
          <w:tcPr>
            <w:tcW w:w="6505" w:type="dxa"/>
            <w:tcBorders>
              <w:top w:val="single" w:sz="4" w:space="0" w:color="auto"/>
              <w:left w:val="nil"/>
              <w:bottom w:val="single" w:sz="4" w:space="0" w:color="auto"/>
              <w:right w:val="single" w:sz="4" w:space="0" w:color="auto"/>
            </w:tcBorders>
            <w:shd w:val="clear" w:color="auto" w:fill="auto"/>
            <w:noWrap/>
            <w:vAlign w:val="center"/>
          </w:tcPr>
          <w:p w14:paraId="02A1B07C" w14:textId="77777777" w:rsidR="00A052DC" w:rsidRDefault="009F0A60">
            <w:pPr>
              <w:pStyle w:val="B"/>
            </w:pPr>
            <w:r>
              <w:rPr>
                <w:rFonts w:hint="eastAsia"/>
              </w:rPr>
              <w:t>资本项目</w:t>
            </w:r>
            <w:r>
              <w:t>-境外放款专用账户</w:t>
            </w:r>
          </w:p>
        </w:tc>
      </w:tr>
      <w:tr w:rsidR="00A052DC" w14:paraId="4FB05AD4" w14:textId="77777777">
        <w:trPr>
          <w:trHeight w:val="323"/>
        </w:trPr>
        <w:tc>
          <w:tcPr>
            <w:tcW w:w="1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17551D" w14:textId="77777777" w:rsidR="00A052DC" w:rsidRDefault="009F0A60">
            <w:pPr>
              <w:pStyle w:val="B"/>
              <w:jc w:val="center"/>
            </w:pPr>
            <w:r>
              <w:t>2301</w:t>
            </w:r>
          </w:p>
        </w:tc>
        <w:tc>
          <w:tcPr>
            <w:tcW w:w="6505" w:type="dxa"/>
            <w:tcBorders>
              <w:top w:val="single" w:sz="4" w:space="0" w:color="auto"/>
              <w:left w:val="nil"/>
              <w:bottom w:val="single" w:sz="4" w:space="0" w:color="auto"/>
              <w:right w:val="single" w:sz="4" w:space="0" w:color="auto"/>
            </w:tcBorders>
            <w:shd w:val="clear" w:color="auto" w:fill="auto"/>
            <w:noWrap/>
            <w:vAlign w:val="center"/>
          </w:tcPr>
          <w:p w14:paraId="12292656" w14:textId="77777777" w:rsidR="00A052DC" w:rsidRDefault="009F0A60">
            <w:pPr>
              <w:pStyle w:val="B"/>
            </w:pPr>
            <w:r>
              <w:rPr>
                <w:rFonts w:hint="eastAsia"/>
              </w:rPr>
              <w:t>资本项目</w:t>
            </w:r>
            <w:r>
              <w:t>-外债专户</w:t>
            </w:r>
          </w:p>
        </w:tc>
      </w:tr>
      <w:tr w:rsidR="00A052DC" w14:paraId="239D986E" w14:textId="77777777">
        <w:trPr>
          <w:trHeight w:val="323"/>
        </w:trPr>
        <w:tc>
          <w:tcPr>
            <w:tcW w:w="1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994996" w14:textId="77777777" w:rsidR="00A052DC" w:rsidRDefault="009F0A60">
            <w:pPr>
              <w:pStyle w:val="B"/>
              <w:jc w:val="center"/>
            </w:pPr>
            <w:r>
              <w:t>2302</w:t>
            </w:r>
          </w:p>
        </w:tc>
        <w:tc>
          <w:tcPr>
            <w:tcW w:w="6505" w:type="dxa"/>
            <w:tcBorders>
              <w:top w:val="single" w:sz="4" w:space="0" w:color="auto"/>
              <w:left w:val="nil"/>
              <w:bottom w:val="single" w:sz="4" w:space="0" w:color="auto"/>
              <w:right w:val="single" w:sz="4" w:space="0" w:color="auto"/>
            </w:tcBorders>
            <w:shd w:val="clear" w:color="auto" w:fill="auto"/>
            <w:noWrap/>
            <w:vAlign w:val="center"/>
          </w:tcPr>
          <w:p w14:paraId="02A8DFC7" w14:textId="77777777" w:rsidR="00A052DC" w:rsidRDefault="009F0A60">
            <w:pPr>
              <w:pStyle w:val="B"/>
            </w:pPr>
            <w:r>
              <w:rPr>
                <w:rFonts w:hint="eastAsia"/>
              </w:rPr>
              <w:t>资本项目</w:t>
            </w:r>
            <w:r>
              <w:t>-外债转贷款专户</w:t>
            </w:r>
          </w:p>
        </w:tc>
      </w:tr>
      <w:tr w:rsidR="00A052DC" w14:paraId="4639C233" w14:textId="77777777">
        <w:trPr>
          <w:trHeight w:val="323"/>
        </w:trPr>
        <w:tc>
          <w:tcPr>
            <w:tcW w:w="1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ED8435" w14:textId="77777777" w:rsidR="00A052DC" w:rsidRDefault="009F0A60">
            <w:pPr>
              <w:pStyle w:val="B"/>
              <w:jc w:val="center"/>
            </w:pPr>
            <w:r>
              <w:t>2303</w:t>
            </w:r>
          </w:p>
        </w:tc>
        <w:tc>
          <w:tcPr>
            <w:tcW w:w="6505" w:type="dxa"/>
            <w:tcBorders>
              <w:top w:val="single" w:sz="4" w:space="0" w:color="auto"/>
              <w:left w:val="nil"/>
              <w:bottom w:val="single" w:sz="4" w:space="0" w:color="auto"/>
              <w:right w:val="single" w:sz="4" w:space="0" w:color="auto"/>
            </w:tcBorders>
            <w:shd w:val="clear" w:color="auto" w:fill="auto"/>
            <w:noWrap/>
            <w:vAlign w:val="center"/>
          </w:tcPr>
          <w:p w14:paraId="05F5EAB4" w14:textId="77777777" w:rsidR="00A052DC" w:rsidRDefault="009F0A60">
            <w:pPr>
              <w:pStyle w:val="B"/>
            </w:pPr>
            <w:r>
              <w:rPr>
                <w:rFonts w:hint="eastAsia"/>
              </w:rPr>
              <w:t>资本项目</w:t>
            </w:r>
            <w:r>
              <w:t>-国内外汇贷款专户</w:t>
            </w:r>
          </w:p>
        </w:tc>
      </w:tr>
      <w:tr w:rsidR="00A052DC" w14:paraId="21CDEA41" w14:textId="77777777">
        <w:trPr>
          <w:trHeight w:val="323"/>
        </w:trPr>
        <w:tc>
          <w:tcPr>
            <w:tcW w:w="1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DBEAF5" w14:textId="77777777" w:rsidR="00A052DC" w:rsidRDefault="009F0A60">
            <w:pPr>
              <w:pStyle w:val="B"/>
              <w:jc w:val="center"/>
            </w:pPr>
            <w:r>
              <w:t>2403</w:t>
            </w:r>
          </w:p>
        </w:tc>
        <w:tc>
          <w:tcPr>
            <w:tcW w:w="6505" w:type="dxa"/>
            <w:tcBorders>
              <w:top w:val="single" w:sz="4" w:space="0" w:color="auto"/>
              <w:left w:val="nil"/>
              <w:bottom w:val="single" w:sz="4" w:space="0" w:color="auto"/>
              <w:right w:val="single" w:sz="4" w:space="0" w:color="auto"/>
            </w:tcBorders>
            <w:shd w:val="clear" w:color="auto" w:fill="auto"/>
            <w:noWrap/>
            <w:vAlign w:val="center"/>
          </w:tcPr>
          <w:p w14:paraId="7FD176F7" w14:textId="77777777" w:rsidR="00A052DC" w:rsidRDefault="009F0A60">
            <w:pPr>
              <w:pStyle w:val="B"/>
            </w:pPr>
            <w:r>
              <w:rPr>
                <w:rFonts w:hAnsi="宋体" w:hint="eastAsia"/>
              </w:rPr>
              <w:t>资本项目</w:t>
            </w:r>
            <w:r>
              <w:rPr>
                <w:rFonts w:hAnsi="宋体"/>
              </w:rPr>
              <w:t>-</w:t>
            </w:r>
            <w:r>
              <w:rPr>
                <w:rFonts w:hAnsi="宋体" w:hint="eastAsia"/>
              </w:rPr>
              <w:t>居民境外证券与衍生品账户</w:t>
            </w:r>
          </w:p>
        </w:tc>
      </w:tr>
      <w:tr w:rsidR="00A052DC" w14:paraId="0E55F7B6" w14:textId="77777777">
        <w:trPr>
          <w:trHeight w:val="323"/>
        </w:trPr>
        <w:tc>
          <w:tcPr>
            <w:tcW w:w="1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A0714A" w14:textId="77777777" w:rsidR="00A052DC" w:rsidRDefault="009F0A60">
            <w:pPr>
              <w:pStyle w:val="B"/>
              <w:jc w:val="center"/>
            </w:pPr>
            <w:r>
              <w:t>2410</w:t>
            </w:r>
          </w:p>
        </w:tc>
        <w:tc>
          <w:tcPr>
            <w:tcW w:w="6505" w:type="dxa"/>
            <w:tcBorders>
              <w:top w:val="single" w:sz="4" w:space="0" w:color="auto"/>
              <w:left w:val="nil"/>
              <w:bottom w:val="single" w:sz="4" w:space="0" w:color="auto"/>
              <w:right w:val="single" w:sz="4" w:space="0" w:color="auto"/>
            </w:tcBorders>
            <w:shd w:val="clear" w:color="auto" w:fill="auto"/>
            <w:noWrap/>
            <w:vAlign w:val="center"/>
          </w:tcPr>
          <w:p w14:paraId="6D270E21" w14:textId="77777777" w:rsidR="00A052DC" w:rsidRDefault="009F0A60">
            <w:pPr>
              <w:pStyle w:val="B"/>
            </w:pPr>
            <w:r>
              <w:rPr>
                <w:rFonts w:hAnsi="宋体" w:hint="eastAsia"/>
              </w:rPr>
              <w:t>资本项目</w:t>
            </w:r>
            <w:r>
              <w:rPr>
                <w:rFonts w:hAnsi="宋体"/>
              </w:rPr>
              <w:t>-</w:t>
            </w:r>
            <w:r>
              <w:rPr>
                <w:rFonts w:hAnsi="宋体" w:hint="eastAsia"/>
              </w:rPr>
              <w:t>合格境外机构投资者账户</w:t>
            </w:r>
          </w:p>
        </w:tc>
      </w:tr>
      <w:tr w:rsidR="00A052DC" w14:paraId="795629D6" w14:textId="77777777">
        <w:trPr>
          <w:trHeight w:val="323"/>
        </w:trPr>
        <w:tc>
          <w:tcPr>
            <w:tcW w:w="1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0CAE01" w14:textId="77777777" w:rsidR="00A052DC" w:rsidRDefault="009F0A60">
            <w:pPr>
              <w:pStyle w:val="B"/>
              <w:jc w:val="center"/>
            </w:pPr>
            <w:r>
              <w:t>2412</w:t>
            </w:r>
          </w:p>
        </w:tc>
        <w:tc>
          <w:tcPr>
            <w:tcW w:w="6505" w:type="dxa"/>
            <w:tcBorders>
              <w:top w:val="single" w:sz="4" w:space="0" w:color="auto"/>
              <w:left w:val="nil"/>
              <w:bottom w:val="single" w:sz="4" w:space="0" w:color="auto"/>
              <w:right w:val="single" w:sz="4" w:space="0" w:color="auto"/>
            </w:tcBorders>
            <w:shd w:val="clear" w:color="auto" w:fill="auto"/>
            <w:noWrap/>
            <w:vAlign w:val="center"/>
          </w:tcPr>
          <w:p w14:paraId="687C0845" w14:textId="77777777" w:rsidR="00A052DC" w:rsidRDefault="009F0A60">
            <w:pPr>
              <w:pStyle w:val="B"/>
            </w:pPr>
            <w:r>
              <w:rPr>
                <w:rFonts w:hint="eastAsia"/>
              </w:rPr>
              <w:t>资本项目</w:t>
            </w:r>
            <w:r>
              <w:t>-QDII境内托管账户</w:t>
            </w:r>
          </w:p>
        </w:tc>
      </w:tr>
      <w:tr w:rsidR="00A052DC" w14:paraId="48E7C608" w14:textId="77777777">
        <w:trPr>
          <w:trHeight w:val="323"/>
        </w:trPr>
        <w:tc>
          <w:tcPr>
            <w:tcW w:w="1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8FF0B9" w14:textId="77777777" w:rsidR="00A052DC" w:rsidRDefault="009F0A60">
            <w:pPr>
              <w:pStyle w:val="B"/>
              <w:jc w:val="center"/>
            </w:pPr>
            <w:r>
              <w:t>2416</w:t>
            </w:r>
          </w:p>
        </w:tc>
        <w:tc>
          <w:tcPr>
            <w:tcW w:w="6505" w:type="dxa"/>
            <w:tcBorders>
              <w:top w:val="single" w:sz="4" w:space="0" w:color="auto"/>
              <w:left w:val="nil"/>
              <w:bottom w:val="single" w:sz="4" w:space="0" w:color="auto"/>
              <w:right w:val="single" w:sz="4" w:space="0" w:color="auto"/>
            </w:tcBorders>
            <w:shd w:val="clear" w:color="auto" w:fill="auto"/>
            <w:noWrap/>
            <w:vAlign w:val="center"/>
          </w:tcPr>
          <w:p w14:paraId="2212DE52" w14:textId="77777777" w:rsidR="00A052DC" w:rsidRDefault="009F0A60">
            <w:pPr>
              <w:pStyle w:val="B"/>
            </w:pPr>
            <w:r>
              <w:rPr>
                <w:rFonts w:hint="eastAsia"/>
              </w:rPr>
              <w:t>资本项目</w:t>
            </w:r>
            <w:r>
              <w:t>-境内外投资者B股交易结算资金账户</w:t>
            </w:r>
          </w:p>
        </w:tc>
      </w:tr>
      <w:tr w:rsidR="00A052DC" w14:paraId="759DEA15" w14:textId="77777777">
        <w:trPr>
          <w:trHeight w:val="323"/>
        </w:trPr>
        <w:tc>
          <w:tcPr>
            <w:tcW w:w="1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A4FD5D" w14:textId="77777777" w:rsidR="00A052DC" w:rsidRDefault="009F0A60">
            <w:pPr>
              <w:pStyle w:val="B"/>
              <w:jc w:val="center"/>
            </w:pPr>
            <w:r>
              <w:t>2417</w:t>
            </w:r>
          </w:p>
        </w:tc>
        <w:tc>
          <w:tcPr>
            <w:tcW w:w="6505" w:type="dxa"/>
            <w:tcBorders>
              <w:top w:val="single" w:sz="4" w:space="0" w:color="auto"/>
              <w:left w:val="nil"/>
              <w:bottom w:val="single" w:sz="4" w:space="0" w:color="auto"/>
              <w:right w:val="single" w:sz="4" w:space="0" w:color="auto"/>
            </w:tcBorders>
            <w:shd w:val="clear" w:color="auto" w:fill="auto"/>
            <w:noWrap/>
            <w:vAlign w:val="center"/>
          </w:tcPr>
          <w:p w14:paraId="1A98DE89" w14:textId="77777777" w:rsidR="00A052DC" w:rsidRDefault="009F0A60">
            <w:pPr>
              <w:pStyle w:val="B"/>
            </w:pPr>
            <w:r>
              <w:rPr>
                <w:rFonts w:hint="eastAsia"/>
              </w:rPr>
              <w:t>资本项目</w:t>
            </w:r>
            <w:r>
              <w:t>-非银行金融机构客户资金账户</w:t>
            </w:r>
          </w:p>
        </w:tc>
      </w:tr>
      <w:tr w:rsidR="00A052DC" w14:paraId="1A55D1C2" w14:textId="77777777">
        <w:trPr>
          <w:trHeight w:val="323"/>
        </w:trPr>
        <w:tc>
          <w:tcPr>
            <w:tcW w:w="1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2A304C" w14:textId="77777777" w:rsidR="00A052DC" w:rsidRDefault="009F0A60">
            <w:pPr>
              <w:pStyle w:val="B"/>
              <w:jc w:val="center"/>
            </w:pPr>
            <w:r>
              <w:t>2418</w:t>
            </w:r>
          </w:p>
        </w:tc>
        <w:tc>
          <w:tcPr>
            <w:tcW w:w="6505" w:type="dxa"/>
            <w:tcBorders>
              <w:top w:val="single" w:sz="4" w:space="0" w:color="auto"/>
              <w:left w:val="nil"/>
              <w:bottom w:val="single" w:sz="4" w:space="0" w:color="auto"/>
              <w:right w:val="single" w:sz="4" w:space="0" w:color="auto"/>
            </w:tcBorders>
            <w:shd w:val="clear" w:color="auto" w:fill="auto"/>
            <w:noWrap/>
            <w:vAlign w:val="center"/>
          </w:tcPr>
          <w:p w14:paraId="5B8BB970" w14:textId="77777777" w:rsidR="00A052DC" w:rsidRDefault="009F0A60">
            <w:pPr>
              <w:pStyle w:val="B"/>
            </w:pPr>
            <w:r>
              <w:rPr>
                <w:rFonts w:hint="eastAsia"/>
              </w:rPr>
              <w:t>资本项目</w:t>
            </w:r>
            <w:r>
              <w:t>-非银行金融机构自有外汇资金账户</w:t>
            </w:r>
          </w:p>
        </w:tc>
      </w:tr>
      <w:tr w:rsidR="00A052DC" w14:paraId="648CC99F" w14:textId="77777777">
        <w:trPr>
          <w:trHeight w:val="323"/>
        </w:trPr>
        <w:tc>
          <w:tcPr>
            <w:tcW w:w="1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5CD1AC" w14:textId="77777777" w:rsidR="00A052DC" w:rsidRDefault="009F0A60">
            <w:pPr>
              <w:pStyle w:val="B"/>
              <w:jc w:val="center"/>
            </w:pPr>
            <w:r>
              <w:t>2421</w:t>
            </w:r>
          </w:p>
        </w:tc>
        <w:tc>
          <w:tcPr>
            <w:tcW w:w="6505" w:type="dxa"/>
            <w:tcBorders>
              <w:top w:val="single" w:sz="4" w:space="0" w:color="auto"/>
              <w:left w:val="nil"/>
              <w:bottom w:val="single" w:sz="4" w:space="0" w:color="auto"/>
              <w:right w:val="single" w:sz="4" w:space="0" w:color="auto"/>
            </w:tcBorders>
            <w:shd w:val="clear" w:color="auto" w:fill="auto"/>
            <w:noWrap/>
            <w:vAlign w:val="center"/>
          </w:tcPr>
          <w:p w14:paraId="28E4974A" w14:textId="77777777" w:rsidR="00A052DC" w:rsidRDefault="009F0A60">
            <w:pPr>
              <w:pStyle w:val="B"/>
            </w:pPr>
            <w:r>
              <w:rPr>
                <w:rFonts w:hint="eastAsia"/>
              </w:rPr>
              <w:t>资本项目</w:t>
            </w:r>
            <w:r>
              <w:t>-定期存款户</w:t>
            </w:r>
          </w:p>
        </w:tc>
      </w:tr>
      <w:tr w:rsidR="00A052DC" w14:paraId="0537F88A" w14:textId="77777777">
        <w:trPr>
          <w:trHeight w:val="323"/>
        </w:trPr>
        <w:tc>
          <w:tcPr>
            <w:tcW w:w="1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1FCD81" w14:textId="77777777" w:rsidR="00A052DC" w:rsidRDefault="009F0A60">
            <w:pPr>
              <w:pStyle w:val="B"/>
              <w:jc w:val="center"/>
            </w:pPr>
            <w:r>
              <w:t>2499</w:t>
            </w:r>
          </w:p>
        </w:tc>
        <w:tc>
          <w:tcPr>
            <w:tcW w:w="6505" w:type="dxa"/>
            <w:tcBorders>
              <w:top w:val="single" w:sz="4" w:space="0" w:color="auto"/>
              <w:left w:val="nil"/>
              <w:bottom w:val="single" w:sz="4" w:space="0" w:color="auto"/>
              <w:right w:val="single" w:sz="4" w:space="0" w:color="auto"/>
            </w:tcBorders>
            <w:shd w:val="clear" w:color="auto" w:fill="auto"/>
            <w:noWrap/>
            <w:vAlign w:val="center"/>
          </w:tcPr>
          <w:p w14:paraId="471B8130" w14:textId="77777777" w:rsidR="00A052DC" w:rsidRDefault="009F0A60">
            <w:pPr>
              <w:pStyle w:val="B"/>
            </w:pPr>
            <w:r>
              <w:rPr>
                <w:rFonts w:hint="eastAsia"/>
              </w:rPr>
              <w:t>资本项目</w:t>
            </w:r>
            <w:r>
              <w:t>-其他资本项目专用外汇账户</w:t>
            </w:r>
          </w:p>
        </w:tc>
      </w:tr>
      <w:tr w:rsidR="00A052DC" w14:paraId="2FF138FD" w14:textId="77777777">
        <w:trPr>
          <w:trHeight w:val="323"/>
        </w:trPr>
        <w:tc>
          <w:tcPr>
            <w:tcW w:w="1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468167" w14:textId="77777777" w:rsidR="00A052DC" w:rsidRDefault="009F0A60">
            <w:pPr>
              <w:pStyle w:val="B"/>
              <w:jc w:val="center"/>
            </w:pPr>
            <w:r>
              <w:t>3300</w:t>
            </w:r>
          </w:p>
        </w:tc>
        <w:tc>
          <w:tcPr>
            <w:tcW w:w="6505" w:type="dxa"/>
            <w:tcBorders>
              <w:top w:val="single" w:sz="4" w:space="0" w:color="auto"/>
              <w:left w:val="nil"/>
              <w:bottom w:val="single" w:sz="4" w:space="0" w:color="auto"/>
              <w:right w:val="single" w:sz="4" w:space="0" w:color="auto"/>
            </w:tcBorders>
            <w:shd w:val="clear" w:color="auto" w:fill="auto"/>
            <w:noWrap/>
            <w:vAlign w:val="center"/>
          </w:tcPr>
          <w:p w14:paraId="5EDF19E4" w14:textId="77777777" w:rsidR="00A052DC" w:rsidRDefault="009F0A60">
            <w:pPr>
              <w:pStyle w:val="B"/>
            </w:pPr>
            <w:r>
              <w:rPr>
                <w:rFonts w:hint="eastAsia"/>
              </w:rPr>
              <w:t>离岸外汇账户</w:t>
            </w:r>
          </w:p>
        </w:tc>
      </w:tr>
      <w:tr w:rsidR="00A052DC" w14:paraId="307C48B3" w14:textId="77777777">
        <w:trPr>
          <w:trHeight w:val="323"/>
        </w:trPr>
        <w:tc>
          <w:tcPr>
            <w:tcW w:w="1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2410BC" w14:textId="77777777" w:rsidR="00A052DC" w:rsidRDefault="009F0A60">
            <w:pPr>
              <w:pStyle w:val="B"/>
              <w:jc w:val="center"/>
            </w:pPr>
            <w:r>
              <w:t>3400</w:t>
            </w:r>
          </w:p>
        </w:tc>
        <w:tc>
          <w:tcPr>
            <w:tcW w:w="6505" w:type="dxa"/>
            <w:tcBorders>
              <w:top w:val="single" w:sz="4" w:space="0" w:color="auto"/>
              <w:left w:val="nil"/>
              <w:bottom w:val="single" w:sz="4" w:space="0" w:color="auto"/>
              <w:right w:val="single" w:sz="4" w:space="0" w:color="auto"/>
            </w:tcBorders>
            <w:shd w:val="clear" w:color="auto" w:fill="auto"/>
            <w:noWrap/>
            <w:vAlign w:val="center"/>
          </w:tcPr>
          <w:p w14:paraId="06A2D970" w14:textId="77777777" w:rsidR="00A052DC" w:rsidRDefault="009F0A60">
            <w:pPr>
              <w:pStyle w:val="B"/>
            </w:pPr>
            <w:r>
              <w:rPr>
                <w:rFonts w:hint="eastAsia"/>
              </w:rPr>
              <w:t>境外机构</w:t>
            </w:r>
            <w:r>
              <w:t>/个人境内外汇账户</w:t>
            </w:r>
          </w:p>
        </w:tc>
      </w:tr>
      <w:tr w:rsidR="00A052DC" w14:paraId="50F23A82" w14:textId="77777777">
        <w:trPr>
          <w:trHeight w:val="323"/>
        </w:trPr>
        <w:tc>
          <w:tcPr>
            <w:tcW w:w="1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FDB88C" w14:textId="77777777" w:rsidR="00A052DC" w:rsidRDefault="009F0A60">
            <w:pPr>
              <w:pStyle w:val="B"/>
              <w:jc w:val="center"/>
            </w:pPr>
            <w:r>
              <w:t>3601</w:t>
            </w:r>
          </w:p>
        </w:tc>
        <w:tc>
          <w:tcPr>
            <w:tcW w:w="6505" w:type="dxa"/>
            <w:tcBorders>
              <w:top w:val="single" w:sz="4" w:space="0" w:color="auto"/>
              <w:left w:val="nil"/>
              <w:bottom w:val="single" w:sz="4" w:space="0" w:color="auto"/>
              <w:right w:val="single" w:sz="4" w:space="0" w:color="auto"/>
            </w:tcBorders>
            <w:shd w:val="clear" w:color="auto" w:fill="auto"/>
            <w:noWrap/>
            <w:vAlign w:val="center"/>
          </w:tcPr>
          <w:p w14:paraId="629D8B34" w14:textId="77777777" w:rsidR="00A052DC" w:rsidRDefault="009F0A60">
            <w:pPr>
              <w:pStyle w:val="B"/>
            </w:pPr>
            <w:r>
              <w:rPr>
                <w:rFonts w:hint="eastAsia"/>
              </w:rPr>
              <w:t>国内资金主账户</w:t>
            </w:r>
          </w:p>
        </w:tc>
      </w:tr>
      <w:tr w:rsidR="00A052DC" w14:paraId="389243F8" w14:textId="77777777">
        <w:trPr>
          <w:trHeight w:val="323"/>
        </w:trPr>
        <w:tc>
          <w:tcPr>
            <w:tcW w:w="1967" w:type="dxa"/>
            <w:tcBorders>
              <w:top w:val="single" w:sz="4" w:space="0" w:color="auto"/>
              <w:left w:val="single" w:sz="4" w:space="0" w:color="auto"/>
              <w:bottom w:val="single" w:sz="4" w:space="0" w:color="auto"/>
              <w:right w:val="single" w:sz="4" w:space="0" w:color="auto"/>
            </w:tcBorders>
            <w:shd w:val="clear" w:color="auto" w:fill="auto"/>
            <w:noWrap/>
          </w:tcPr>
          <w:p w14:paraId="77BB674A" w14:textId="77777777" w:rsidR="00A052DC" w:rsidRDefault="009F0A60">
            <w:pPr>
              <w:pStyle w:val="B"/>
              <w:jc w:val="center"/>
            </w:pPr>
            <w:r>
              <w:rPr>
                <w:rFonts w:hint="eastAsia"/>
              </w:rPr>
              <w:t>3603</w:t>
            </w:r>
          </w:p>
        </w:tc>
        <w:tc>
          <w:tcPr>
            <w:tcW w:w="6505" w:type="dxa"/>
            <w:tcBorders>
              <w:top w:val="single" w:sz="4" w:space="0" w:color="auto"/>
              <w:left w:val="nil"/>
              <w:bottom w:val="single" w:sz="4" w:space="0" w:color="auto"/>
              <w:right w:val="single" w:sz="4" w:space="0" w:color="auto"/>
            </w:tcBorders>
            <w:shd w:val="clear" w:color="auto" w:fill="auto"/>
            <w:noWrap/>
          </w:tcPr>
          <w:p w14:paraId="6B766875" w14:textId="77777777" w:rsidR="00A052DC" w:rsidRDefault="009F0A60">
            <w:pPr>
              <w:pStyle w:val="B"/>
            </w:pPr>
            <w:r>
              <w:rPr>
                <w:rFonts w:hint="eastAsia"/>
              </w:rPr>
              <w:t>自贸区内机构自由贸易账户FTE</w:t>
            </w:r>
          </w:p>
        </w:tc>
      </w:tr>
      <w:tr w:rsidR="00A052DC" w14:paraId="7EDE5E8D" w14:textId="77777777">
        <w:trPr>
          <w:trHeight w:val="323"/>
        </w:trPr>
        <w:tc>
          <w:tcPr>
            <w:tcW w:w="1967" w:type="dxa"/>
            <w:tcBorders>
              <w:top w:val="single" w:sz="4" w:space="0" w:color="auto"/>
              <w:left w:val="single" w:sz="4" w:space="0" w:color="auto"/>
              <w:bottom w:val="single" w:sz="4" w:space="0" w:color="auto"/>
              <w:right w:val="single" w:sz="4" w:space="0" w:color="auto"/>
            </w:tcBorders>
            <w:shd w:val="clear" w:color="auto" w:fill="auto"/>
            <w:noWrap/>
          </w:tcPr>
          <w:p w14:paraId="5E46577C" w14:textId="77777777" w:rsidR="00A052DC" w:rsidRDefault="009F0A60">
            <w:pPr>
              <w:pStyle w:val="B"/>
              <w:jc w:val="center"/>
            </w:pPr>
            <w:r>
              <w:rPr>
                <w:rFonts w:hint="eastAsia"/>
              </w:rPr>
              <w:t>3604</w:t>
            </w:r>
          </w:p>
        </w:tc>
        <w:tc>
          <w:tcPr>
            <w:tcW w:w="6505" w:type="dxa"/>
            <w:tcBorders>
              <w:top w:val="single" w:sz="4" w:space="0" w:color="auto"/>
              <w:left w:val="nil"/>
              <w:bottom w:val="single" w:sz="4" w:space="0" w:color="auto"/>
              <w:right w:val="single" w:sz="4" w:space="0" w:color="auto"/>
            </w:tcBorders>
            <w:shd w:val="clear" w:color="auto" w:fill="auto"/>
            <w:noWrap/>
          </w:tcPr>
          <w:p w14:paraId="4B971A72" w14:textId="77777777" w:rsidR="00A052DC" w:rsidRDefault="009F0A60">
            <w:pPr>
              <w:pStyle w:val="B"/>
            </w:pPr>
            <w:r>
              <w:rPr>
                <w:rFonts w:hint="eastAsia"/>
              </w:rPr>
              <w:t>境外机构自由贸易账户FTN</w:t>
            </w:r>
          </w:p>
        </w:tc>
      </w:tr>
      <w:tr w:rsidR="00A052DC" w14:paraId="4A5D6250" w14:textId="77777777">
        <w:trPr>
          <w:trHeight w:val="323"/>
        </w:trPr>
        <w:tc>
          <w:tcPr>
            <w:tcW w:w="1967" w:type="dxa"/>
            <w:tcBorders>
              <w:top w:val="single" w:sz="4" w:space="0" w:color="auto"/>
              <w:left w:val="single" w:sz="4" w:space="0" w:color="auto"/>
              <w:bottom w:val="single" w:sz="4" w:space="0" w:color="auto"/>
              <w:right w:val="single" w:sz="4" w:space="0" w:color="auto"/>
            </w:tcBorders>
            <w:shd w:val="clear" w:color="auto" w:fill="auto"/>
            <w:noWrap/>
          </w:tcPr>
          <w:p w14:paraId="33DE50F1" w14:textId="77777777" w:rsidR="00A052DC" w:rsidRDefault="009F0A60">
            <w:pPr>
              <w:pStyle w:val="B"/>
              <w:jc w:val="center"/>
            </w:pPr>
            <w:r>
              <w:rPr>
                <w:rFonts w:hint="eastAsia"/>
              </w:rPr>
              <w:t>3605</w:t>
            </w:r>
          </w:p>
        </w:tc>
        <w:tc>
          <w:tcPr>
            <w:tcW w:w="6505" w:type="dxa"/>
            <w:tcBorders>
              <w:top w:val="single" w:sz="4" w:space="0" w:color="auto"/>
              <w:left w:val="nil"/>
              <w:bottom w:val="single" w:sz="4" w:space="0" w:color="auto"/>
              <w:right w:val="single" w:sz="4" w:space="0" w:color="auto"/>
            </w:tcBorders>
            <w:shd w:val="clear" w:color="auto" w:fill="auto"/>
            <w:noWrap/>
          </w:tcPr>
          <w:p w14:paraId="72D401FE" w14:textId="77777777" w:rsidR="00A052DC" w:rsidRDefault="009F0A60">
            <w:pPr>
              <w:pStyle w:val="B"/>
            </w:pPr>
            <w:r>
              <w:rPr>
                <w:rFonts w:hint="eastAsia"/>
              </w:rPr>
              <w:t>自贸区内个人自由贸易账户FTI</w:t>
            </w:r>
          </w:p>
        </w:tc>
      </w:tr>
      <w:tr w:rsidR="00A052DC" w14:paraId="2C37D4B4" w14:textId="77777777">
        <w:trPr>
          <w:trHeight w:val="323"/>
        </w:trPr>
        <w:tc>
          <w:tcPr>
            <w:tcW w:w="1967" w:type="dxa"/>
            <w:tcBorders>
              <w:top w:val="single" w:sz="4" w:space="0" w:color="auto"/>
              <w:left w:val="single" w:sz="4" w:space="0" w:color="auto"/>
              <w:bottom w:val="single" w:sz="4" w:space="0" w:color="auto"/>
              <w:right w:val="single" w:sz="4" w:space="0" w:color="auto"/>
            </w:tcBorders>
            <w:shd w:val="clear" w:color="auto" w:fill="auto"/>
            <w:noWrap/>
          </w:tcPr>
          <w:p w14:paraId="7B916669" w14:textId="77777777" w:rsidR="00A052DC" w:rsidRDefault="009F0A60">
            <w:pPr>
              <w:pStyle w:val="B"/>
              <w:jc w:val="center"/>
            </w:pPr>
            <w:r>
              <w:rPr>
                <w:rFonts w:hint="eastAsia"/>
              </w:rPr>
              <w:t>3606</w:t>
            </w:r>
          </w:p>
        </w:tc>
        <w:tc>
          <w:tcPr>
            <w:tcW w:w="6505" w:type="dxa"/>
            <w:tcBorders>
              <w:top w:val="single" w:sz="4" w:space="0" w:color="auto"/>
              <w:left w:val="nil"/>
              <w:bottom w:val="single" w:sz="4" w:space="0" w:color="auto"/>
              <w:right w:val="single" w:sz="4" w:space="0" w:color="auto"/>
            </w:tcBorders>
            <w:shd w:val="clear" w:color="auto" w:fill="auto"/>
            <w:noWrap/>
          </w:tcPr>
          <w:p w14:paraId="1412B1B3" w14:textId="77777777" w:rsidR="00A052DC" w:rsidRDefault="009F0A60">
            <w:pPr>
              <w:pStyle w:val="B"/>
            </w:pPr>
            <w:r>
              <w:rPr>
                <w:rFonts w:hint="eastAsia"/>
              </w:rPr>
              <w:t>自贸区内境外个人自由贸易账户FTF</w:t>
            </w:r>
          </w:p>
        </w:tc>
      </w:tr>
      <w:tr w:rsidR="00A052DC" w14:paraId="64992870" w14:textId="77777777">
        <w:trPr>
          <w:trHeight w:val="323"/>
        </w:trPr>
        <w:tc>
          <w:tcPr>
            <w:tcW w:w="1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E7CB77" w14:textId="77777777" w:rsidR="00A052DC" w:rsidRDefault="009F0A60">
            <w:pPr>
              <w:pStyle w:val="B"/>
              <w:jc w:val="center"/>
            </w:pPr>
            <w:r>
              <w:t>4200</w:t>
            </w:r>
          </w:p>
        </w:tc>
        <w:tc>
          <w:tcPr>
            <w:tcW w:w="6505" w:type="dxa"/>
            <w:tcBorders>
              <w:top w:val="single" w:sz="4" w:space="0" w:color="auto"/>
              <w:left w:val="nil"/>
              <w:bottom w:val="single" w:sz="4" w:space="0" w:color="auto"/>
              <w:right w:val="single" w:sz="4" w:space="0" w:color="auto"/>
            </w:tcBorders>
            <w:shd w:val="clear" w:color="auto" w:fill="auto"/>
            <w:noWrap/>
            <w:vAlign w:val="center"/>
          </w:tcPr>
          <w:p w14:paraId="7B757868" w14:textId="77777777" w:rsidR="00A052DC" w:rsidRDefault="009F0A60">
            <w:pPr>
              <w:pStyle w:val="B"/>
            </w:pPr>
            <w:r>
              <w:rPr>
                <w:rFonts w:hint="eastAsia"/>
              </w:rPr>
              <w:t>暂存户</w:t>
            </w:r>
            <w:r>
              <w:t>-开证、付汇保证金账户</w:t>
            </w:r>
          </w:p>
        </w:tc>
      </w:tr>
      <w:tr w:rsidR="00A052DC" w14:paraId="2A033C69" w14:textId="77777777">
        <w:trPr>
          <w:trHeight w:val="323"/>
        </w:trPr>
        <w:tc>
          <w:tcPr>
            <w:tcW w:w="1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B137DD" w14:textId="77777777" w:rsidR="00A052DC" w:rsidRDefault="009F0A60">
            <w:pPr>
              <w:pStyle w:val="B"/>
              <w:jc w:val="center"/>
            </w:pPr>
            <w:r>
              <w:t>4600</w:t>
            </w:r>
          </w:p>
        </w:tc>
        <w:tc>
          <w:tcPr>
            <w:tcW w:w="6505" w:type="dxa"/>
            <w:tcBorders>
              <w:top w:val="single" w:sz="4" w:space="0" w:color="auto"/>
              <w:left w:val="nil"/>
              <w:bottom w:val="single" w:sz="4" w:space="0" w:color="auto"/>
              <w:right w:val="single" w:sz="4" w:space="0" w:color="auto"/>
            </w:tcBorders>
            <w:shd w:val="clear" w:color="auto" w:fill="auto"/>
            <w:noWrap/>
            <w:vAlign w:val="center"/>
          </w:tcPr>
          <w:p w14:paraId="43B8F7B2" w14:textId="77777777" w:rsidR="00A052DC" w:rsidRDefault="009F0A60">
            <w:pPr>
              <w:pStyle w:val="B"/>
            </w:pPr>
            <w:r>
              <w:rPr>
                <w:rFonts w:hint="eastAsia"/>
              </w:rPr>
              <w:t>暂存户</w:t>
            </w:r>
            <w:r>
              <w:t>-其他暂存户</w:t>
            </w:r>
          </w:p>
        </w:tc>
      </w:tr>
    </w:tbl>
    <w:p w14:paraId="59314C54" w14:textId="77777777" w:rsidR="00A052DC" w:rsidRDefault="00A052DC"/>
    <w:p w14:paraId="534A1798" w14:textId="77777777" w:rsidR="00A052DC" w:rsidRDefault="009F0A60" w:rsidP="0020251D">
      <w:pPr>
        <w:pStyle w:val="2"/>
        <w:rPr>
          <w:rFonts w:ascii="Times New Roman" w:hAnsi="Times New Roman"/>
        </w:rPr>
      </w:pPr>
      <w:bookmarkStart w:id="4811" w:name="_Toc91455529"/>
      <w:bookmarkStart w:id="4812" w:name="_Toc380356320"/>
      <w:bookmarkStart w:id="4813" w:name="_Toc454394788"/>
      <w:bookmarkStart w:id="4814" w:name="_Toc101684554"/>
      <w:r>
        <w:rPr>
          <w:rFonts w:ascii="Times New Roman" w:hAnsi="Times New Roman" w:hint="eastAsia"/>
        </w:rPr>
        <w:t>账户类别</w:t>
      </w:r>
      <w:bookmarkEnd w:id="4811"/>
      <w:bookmarkEnd w:id="4812"/>
      <w:bookmarkEnd w:id="4813"/>
      <w:bookmarkEnd w:id="4814"/>
    </w:p>
    <w:tbl>
      <w:tblPr>
        <w:tblW w:w="8275" w:type="dxa"/>
        <w:jc w:val="center"/>
        <w:tblLayout w:type="fixed"/>
        <w:tblLook w:val="04A0" w:firstRow="1" w:lastRow="0" w:firstColumn="1" w:lastColumn="0" w:noHBand="0" w:noVBand="1"/>
      </w:tblPr>
      <w:tblGrid>
        <w:gridCol w:w="2250"/>
        <w:gridCol w:w="6025"/>
      </w:tblGrid>
      <w:tr w:rsidR="00A052DC" w14:paraId="31FE8FCB" w14:textId="77777777">
        <w:trPr>
          <w:trHeight w:val="284"/>
          <w:tblHeader/>
          <w:jc w:val="center"/>
        </w:trPr>
        <w:tc>
          <w:tcPr>
            <w:tcW w:w="2250"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5C77FD55" w14:textId="77777777" w:rsidR="00881462" w:rsidRDefault="009F0A60">
            <w:pPr>
              <w:pStyle w:val="B1"/>
            </w:pPr>
            <w:r>
              <w:t>账户类别代码</w:t>
            </w:r>
          </w:p>
        </w:tc>
        <w:tc>
          <w:tcPr>
            <w:tcW w:w="6025" w:type="dxa"/>
            <w:tcBorders>
              <w:top w:val="single" w:sz="4" w:space="0" w:color="auto"/>
              <w:left w:val="nil"/>
              <w:bottom w:val="single" w:sz="4" w:space="0" w:color="auto"/>
              <w:right w:val="single" w:sz="4" w:space="0" w:color="auto"/>
            </w:tcBorders>
            <w:shd w:val="clear" w:color="auto" w:fill="BFBFBF"/>
            <w:noWrap/>
            <w:vAlign w:val="center"/>
          </w:tcPr>
          <w:p w14:paraId="023E7AED" w14:textId="77777777" w:rsidR="00881462" w:rsidRDefault="009F0A60">
            <w:pPr>
              <w:pStyle w:val="B1"/>
            </w:pPr>
            <w:r>
              <w:rPr>
                <w:rFonts w:hint="eastAsia"/>
              </w:rPr>
              <w:t>账户类别</w:t>
            </w:r>
          </w:p>
        </w:tc>
      </w:tr>
      <w:tr w:rsidR="00A052DC" w14:paraId="08FA3C9A" w14:textId="77777777">
        <w:trPr>
          <w:trHeight w:val="284"/>
          <w:jc w:val="center"/>
        </w:trPr>
        <w:tc>
          <w:tcPr>
            <w:tcW w:w="2250" w:type="dxa"/>
            <w:tcBorders>
              <w:top w:val="nil"/>
              <w:left w:val="single" w:sz="4" w:space="0" w:color="auto"/>
              <w:bottom w:val="single" w:sz="4" w:space="0" w:color="auto"/>
              <w:right w:val="single" w:sz="4" w:space="0" w:color="auto"/>
            </w:tcBorders>
            <w:shd w:val="clear" w:color="auto" w:fill="auto"/>
            <w:noWrap/>
            <w:vAlign w:val="center"/>
          </w:tcPr>
          <w:p w14:paraId="0DDF3359" w14:textId="77777777" w:rsidR="00A052DC" w:rsidRDefault="009F0A60">
            <w:pPr>
              <w:pStyle w:val="B"/>
              <w:jc w:val="center"/>
            </w:pPr>
            <w:r>
              <w:t>12</w:t>
            </w:r>
          </w:p>
        </w:tc>
        <w:tc>
          <w:tcPr>
            <w:tcW w:w="6025" w:type="dxa"/>
            <w:tcBorders>
              <w:top w:val="nil"/>
              <w:left w:val="nil"/>
              <w:bottom w:val="single" w:sz="4" w:space="0" w:color="auto"/>
              <w:right w:val="single" w:sz="4" w:space="0" w:color="auto"/>
            </w:tcBorders>
            <w:shd w:val="clear" w:color="auto" w:fill="auto"/>
            <w:noWrap/>
            <w:vAlign w:val="center"/>
          </w:tcPr>
          <w:p w14:paraId="46C18438" w14:textId="77777777" w:rsidR="00A052DC" w:rsidRDefault="009F0A60">
            <w:pPr>
              <w:pStyle w:val="B"/>
            </w:pPr>
            <w:r>
              <w:rPr>
                <w:rFonts w:hint="eastAsia"/>
              </w:rPr>
              <w:t>现汇户</w:t>
            </w:r>
          </w:p>
        </w:tc>
      </w:tr>
    </w:tbl>
    <w:p w14:paraId="02F394C6" w14:textId="77777777" w:rsidR="00A052DC" w:rsidRDefault="00A052DC"/>
    <w:p w14:paraId="559F2594" w14:textId="77777777" w:rsidR="00A052DC" w:rsidRDefault="009F0A60" w:rsidP="0020251D">
      <w:pPr>
        <w:pStyle w:val="2"/>
        <w:rPr>
          <w:rFonts w:ascii="Times New Roman" w:hAnsi="Times New Roman"/>
        </w:rPr>
      </w:pPr>
      <w:bookmarkStart w:id="4815" w:name="_Toc91455530"/>
      <w:bookmarkStart w:id="4816" w:name="_Toc380356326"/>
      <w:bookmarkStart w:id="4817" w:name="_Toc454394789"/>
      <w:bookmarkStart w:id="4818" w:name="_Toc101684555"/>
      <w:bookmarkEnd w:id="4661"/>
      <w:r>
        <w:rPr>
          <w:rFonts w:ascii="Times New Roman" w:hAnsi="Times New Roman" w:hint="eastAsia"/>
        </w:rPr>
        <w:t>银行自身资本项目业务类型代码表</w:t>
      </w:r>
      <w:bookmarkEnd w:id="4662"/>
      <w:bookmarkEnd w:id="4815"/>
      <w:bookmarkEnd w:id="4816"/>
      <w:bookmarkEnd w:id="4817"/>
      <w:bookmarkEnd w:id="4818"/>
    </w:p>
    <w:tbl>
      <w:tblPr>
        <w:tblW w:w="829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5"/>
        <w:gridCol w:w="6480"/>
      </w:tblGrid>
      <w:tr w:rsidR="00A052DC" w14:paraId="47C1BACF" w14:textId="77777777" w:rsidTr="00DD6AA3">
        <w:trPr>
          <w:tblHeader/>
        </w:trPr>
        <w:tc>
          <w:tcPr>
            <w:tcW w:w="1815" w:type="dxa"/>
            <w:shd w:val="clear" w:color="auto" w:fill="BFBFBF" w:themeFill="background1" w:themeFillShade="BF"/>
          </w:tcPr>
          <w:p w14:paraId="55717AB4" w14:textId="77777777" w:rsidR="00881462" w:rsidRDefault="009F0A60">
            <w:pPr>
              <w:pStyle w:val="B1"/>
            </w:pPr>
            <w:bookmarkStart w:id="4819" w:name="_Toc132791958"/>
            <w:bookmarkEnd w:id="4819"/>
            <w:r w:rsidRPr="000957EC">
              <w:rPr>
                <w:rFonts w:hint="eastAsia"/>
              </w:rPr>
              <w:t>代码</w:t>
            </w:r>
          </w:p>
        </w:tc>
        <w:tc>
          <w:tcPr>
            <w:tcW w:w="6480" w:type="dxa"/>
            <w:shd w:val="clear" w:color="auto" w:fill="BFBFBF" w:themeFill="background1" w:themeFillShade="BF"/>
          </w:tcPr>
          <w:p w14:paraId="7D7D375C" w14:textId="77777777" w:rsidR="00881462" w:rsidRDefault="009F0A60">
            <w:pPr>
              <w:pStyle w:val="B1"/>
            </w:pPr>
            <w:r w:rsidRPr="000957EC">
              <w:rPr>
                <w:rFonts w:hint="eastAsia"/>
              </w:rPr>
              <w:t>业务类型</w:t>
            </w:r>
          </w:p>
        </w:tc>
      </w:tr>
      <w:tr w:rsidR="00A052DC" w14:paraId="7E66084F" w14:textId="77777777">
        <w:tc>
          <w:tcPr>
            <w:tcW w:w="1815" w:type="dxa"/>
          </w:tcPr>
          <w:p w14:paraId="6E2870BC" w14:textId="77777777" w:rsidR="00A052DC" w:rsidRDefault="009F0A60">
            <w:pPr>
              <w:pStyle w:val="B"/>
              <w:jc w:val="center"/>
            </w:pPr>
            <w:r>
              <w:t>99</w:t>
            </w:r>
          </w:p>
        </w:tc>
        <w:tc>
          <w:tcPr>
            <w:tcW w:w="6480" w:type="dxa"/>
          </w:tcPr>
          <w:p w14:paraId="2079DED3" w14:textId="77777777" w:rsidR="00A052DC" w:rsidRDefault="009F0A60">
            <w:pPr>
              <w:pStyle w:val="B"/>
            </w:pPr>
            <w:r>
              <w:rPr>
                <w:rFonts w:hint="eastAsia"/>
              </w:rPr>
              <w:t>双边贷款</w:t>
            </w:r>
          </w:p>
        </w:tc>
      </w:tr>
      <w:tr w:rsidR="00A052DC" w14:paraId="4FA147C8" w14:textId="77777777">
        <w:tc>
          <w:tcPr>
            <w:tcW w:w="1815" w:type="dxa"/>
          </w:tcPr>
          <w:p w14:paraId="2B59BFBA" w14:textId="77777777" w:rsidR="00A052DC" w:rsidRDefault="009F0A60">
            <w:pPr>
              <w:pStyle w:val="B"/>
              <w:jc w:val="center"/>
            </w:pPr>
            <w:r>
              <w:t>98</w:t>
            </w:r>
          </w:p>
        </w:tc>
        <w:tc>
          <w:tcPr>
            <w:tcW w:w="6480" w:type="dxa"/>
          </w:tcPr>
          <w:p w14:paraId="2D1D1452" w14:textId="77777777" w:rsidR="00A052DC" w:rsidRDefault="009F0A60">
            <w:pPr>
              <w:pStyle w:val="B"/>
            </w:pPr>
            <w:r>
              <w:rPr>
                <w:rFonts w:hint="eastAsia"/>
              </w:rPr>
              <w:t>买方信贷</w:t>
            </w:r>
          </w:p>
        </w:tc>
      </w:tr>
      <w:tr w:rsidR="00A052DC" w14:paraId="794BE391" w14:textId="77777777">
        <w:tc>
          <w:tcPr>
            <w:tcW w:w="1815" w:type="dxa"/>
          </w:tcPr>
          <w:p w14:paraId="794BB41F" w14:textId="77777777" w:rsidR="00A052DC" w:rsidRDefault="009F0A60">
            <w:pPr>
              <w:pStyle w:val="B"/>
              <w:jc w:val="center"/>
            </w:pPr>
            <w:r>
              <w:t>97</w:t>
            </w:r>
          </w:p>
        </w:tc>
        <w:tc>
          <w:tcPr>
            <w:tcW w:w="6480" w:type="dxa"/>
          </w:tcPr>
          <w:p w14:paraId="6849FBC0" w14:textId="77777777" w:rsidR="00A052DC" w:rsidRDefault="009F0A60">
            <w:pPr>
              <w:pStyle w:val="B"/>
            </w:pPr>
            <w:r>
              <w:rPr>
                <w:rFonts w:hint="eastAsia"/>
              </w:rPr>
              <w:t>境外拆借</w:t>
            </w:r>
          </w:p>
        </w:tc>
      </w:tr>
      <w:tr w:rsidR="00A052DC" w14:paraId="6400B523" w14:textId="77777777">
        <w:tc>
          <w:tcPr>
            <w:tcW w:w="1815" w:type="dxa"/>
          </w:tcPr>
          <w:p w14:paraId="6F662450" w14:textId="77777777" w:rsidR="00A052DC" w:rsidRDefault="009F0A60">
            <w:pPr>
              <w:pStyle w:val="B"/>
              <w:jc w:val="center"/>
            </w:pPr>
            <w:r>
              <w:t>96</w:t>
            </w:r>
          </w:p>
        </w:tc>
        <w:tc>
          <w:tcPr>
            <w:tcW w:w="6480" w:type="dxa"/>
          </w:tcPr>
          <w:p w14:paraId="3C8C0DF8" w14:textId="77777777" w:rsidR="00A052DC" w:rsidRDefault="009F0A60">
            <w:pPr>
              <w:pStyle w:val="B"/>
            </w:pPr>
            <w:r>
              <w:rPr>
                <w:rFonts w:hint="eastAsia"/>
              </w:rPr>
              <w:t>海外代付</w:t>
            </w:r>
          </w:p>
        </w:tc>
      </w:tr>
      <w:tr w:rsidR="00A052DC" w14:paraId="73C80F2D" w14:textId="77777777">
        <w:tc>
          <w:tcPr>
            <w:tcW w:w="1815" w:type="dxa"/>
          </w:tcPr>
          <w:p w14:paraId="0A31FBF3" w14:textId="77777777" w:rsidR="00A052DC" w:rsidRDefault="009F0A60">
            <w:pPr>
              <w:pStyle w:val="B"/>
              <w:jc w:val="center"/>
            </w:pPr>
            <w:r>
              <w:t>95</w:t>
            </w:r>
          </w:p>
        </w:tc>
        <w:tc>
          <w:tcPr>
            <w:tcW w:w="6480" w:type="dxa"/>
          </w:tcPr>
          <w:p w14:paraId="3A9B52E6" w14:textId="77777777" w:rsidR="00A052DC" w:rsidRDefault="009F0A60">
            <w:pPr>
              <w:pStyle w:val="B"/>
            </w:pPr>
            <w:r>
              <w:rPr>
                <w:rFonts w:hint="eastAsia"/>
              </w:rPr>
              <w:t>卖出回购</w:t>
            </w:r>
          </w:p>
        </w:tc>
      </w:tr>
      <w:tr w:rsidR="00A052DC" w14:paraId="25277B65" w14:textId="77777777">
        <w:tc>
          <w:tcPr>
            <w:tcW w:w="1815" w:type="dxa"/>
          </w:tcPr>
          <w:p w14:paraId="5CFB3871" w14:textId="77777777" w:rsidR="00A052DC" w:rsidRDefault="009F0A60">
            <w:pPr>
              <w:pStyle w:val="B"/>
              <w:jc w:val="center"/>
            </w:pPr>
            <w:r>
              <w:t>94</w:t>
            </w:r>
          </w:p>
        </w:tc>
        <w:tc>
          <w:tcPr>
            <w:tcW w:w="6480" w:type="dxa"/>
          </w:tcPr>
          <w:p w14:paraId="2CB13413" w14:textId="77777777" w:rsidR="00A052DC" w:rsidRDefault="009F0A60">
            <w:pPr>
              <w:pStyle w:val="B"/>
            </w:pPr>
            <w:r>
              <w:rPr>
                <w:rFonts w:hint="eastAsia"/>
              </w:rPr>
              <w:t>信用证</w:t>
            </w:r>
          </w:p>
        </w:tc>
      </w:tr>
      <w:tr w:rsidR="00A052DC" w14:paraId="7083434C" w14:textId="77777777">
        <w:tc>
          <w:tcPr>
            <w:tcW w:w="1815" w:type="dxa"/>
          </w:tcPr>
          <w:p w14:paraId="76B597E5" w14:textId="77777777" w:rsidR="00A052DC" w:rsidRDefault="009F0A60">
            <w:pPr>
              <w:pStyle w:val="B"/>
              <w:jc w:val="center"/>
            </w:pPr>
            <w:r>
              <w:t>93</w:t>
            </w:r>
          </w:p>
        </w:tc>
        <w:tc>
          <w:tcPr>
            <w:tcW w:w="6480" w:type="dxa"/>
          </w:tcPr>
          <w:p w14:paraId="2F9133F6" w14:textId="77777777" w:rsidR="00A052DC" w:rsidRDefault="009F0A60">
            <w:pPr>
              <w:pStyle w:val="B"/>
            </w:pPr>
            <w:r>
              <w:rPr>
                <w:rFonts w:hint="eastAsia"/>
              </w:rPr>
              <w:t>银团贷款</w:t>
            </w:r>
          </w:p>
        </w:tc>
      </w:tr>
      <w:tr w:rsidR="00A052DC" w14:paraId="3350E83E" w14:textId="77777777">
        <w:tc>
          <w:tcPr>
            <w:tcW w:w="1815" w:type="dxa"/>
          </w:tcPr>
          <w:p w14:paraId="76B9C021" w14:textId="77777777" w:rsidR="00A052DC" w:rsidRDefault="009F0A60">
            <w:pPr>
              <w:pStyle w:val="B"/>
              <w:jc w:val="center"/>
            </w:pPr>
            <w:r>
              <w:t>92</w:t>
            </w:r>
          </w:p>
        </w:tc>
        <w:tc>
          <w:tcPr>
            <w:tcW w:w="6480" w:type="dxa"/>
          </w:tcPr>
          <w:p w14:paraId="4F0CA634" w14:textId="77777777" w:rsidR="00A052DC" w:rsidRDefault="009F0A60">
            <w:pPr>
              <w:pStyle w:val="B"/>
            </w:pPr>
            <w:r>
              <w:rPr>
                <w:rFonts w:hint="eastAsia"/>
              </w:rPr>
              <w:t>贵金属拆借</w:t>
            </w:r>
          </w:p>
        </w:tc>
      </w:tr>
      <w:tr w:rsidR="00A052DC" w14:paraId="1AC934DE" w14:textId="77777777">
        <w:tc>
          <w:tcPr>
            <w:tcW w:w="1815" w:type="dxa"/>
          </w:tcPr>
          <w:p w14:paraId="41EA53B6" w14:textId="77777777" w:rsidR="00A052DC" w:rsidRDefault="009F0A60">
            <w:pPr>
              <w:pStyle w:val="B"/>
              <w:jc w:val="center"/>
            </w:pPr>
            <w:r>
              <w:t>91</w:t>
            </w:r>
          </w:p>
        </w:tc>
        <w:tc>
          <w:tcPr>
            <w:tcW w:w="6480" w:type="dxa"/>
          </w:tcPr>
          <w:p w14:paraId="559A4801" w14:textId="77777777" w:rsidR="00A052DC" w:rsidRDefault="009F0A60">
            <w:pPr>
              <w:pStyle w:val="B"/>
            </w:pPr>
            <w:r>
              <w:rPr>
                <w:rFonts w:hint="eastAsia"/>
              </w:rPr>
              <w:t>其他贷款</w:t>
            </w:r>
          </w:p>
        </w:tc>
      </w:tr>
      <w:tr w:rsidR="00A052DC" w14:paraId="43C096E2" w14:textId="77777777">
        <w:tc>
          <w:tcPr>
            <w:tcW w:w="1815" w:type="dxa"/>
          </w:tcPr>
          <w:p w14:paraId="33FDEEB5" w14:textId="77777777" w:rsidR="00A052DC" w:rsidRDefault="009F0A60">
            <w:pPr>
              <w:pStyle w:val="B"/>
              <w:jc w:val="center"/>
            </w:pPr>
            <w:r>
              <w:t>90</w:t>
            </w:r>
          </w:p>
        </w:tc>
        <w:tc>
          <w:tcPr>
            <w:tcW w:w="6480" w:type="dxa"/>
          </w:tcPr>
          <w:p w14:paraId="2FBB693A" w14:textId="77777777" w:rsidR="00A052DC" w:rsidRDefault="009F0A60">
            <w:pPr>
              <w:pStyle w:val="B"/>
            </w:pPr>
            <w:r>
              <w:rPr>
                <w:rFonts w:hint="eastAsia"/>
              </w:rPr>
              <w:t>货币市场工具</w:t>
            </w:r>
          </w:p>
        </w:tc>
      </w:tr>
      <w:tr w:rsidR="00A052DC" w14:paraId="4DD90F6D" w14:textId="77777777">
        <w:tc>
          <w:tcPr>
            <w:tcW w:w="1815" w:type="dxa"/>
          </w:tcPr>
          <w:p w14:paraId="4E693A83" w14:textId="77777777" w:rsidR="00A052DC" w:rsidRDefault="009F0A60">
            <w:pPr>
              <w:pStyle w:val="B"/>
              <w:jc w:val="center"/>
            </w:pPr>
            <w:r>
              <w:t>89</w:t>
            </w:r>
          </w:p>
        </w:tc>
        <w:tc>
          <w:tcPr>
            <w:tcW w:w="6480" w:type="dxa"/>
          </w:tcPr>
          <w:p w14:paraId="35F68856" w14:textId="77777777" w:rsidR="00A052DC" w:rsidRDefault="009F0A60">
            <w:pPr>
              <w:pStyle w:val="B"/>
            </w:pPr>
            <w:r>
              <w:rPr>
                <w:rFonts w:hint="eastAsia"/>
              </w:rPr>
              <w:t>债券和票据</w:t>
            </w:r>
          </w:p>
        </w:tc>
      </w:tr>
      <w:tr w:rsidR="00A052DC" w14:paraId="538BD269" w14:textId="77777777">
        <w:tc>
          <w:tcPr>
            <w:tcW w:w="1815" w:type="dxa"/>
          </w:tcPr>
          <w:p w14:paraId="1B31ADAE" w14:textId="77777777" w:rsidR="00A052DC" w:rsidRDefault="009F0A60">
            <w:pPr>
              <w:pStyle w:val="B"/>
              <w:jc w:val="center"/>
            </w:pPr>
            <w:r>
              <w:t>88</w:t>
            </w:r>
          </w:p>
        </w:tc>
        <w:tc>
          <w:tcPr>
            <w:tcW w:w="6480" w:type="dxa"/>
          </w:tcPr>
          <w:p w14:paraId="5BE0A0F6" w14:textId="77777777" w:rsidR="00A052DC" w:rsidRDefault="009F0A60">
            <w:pPr>
              <w:pStyle w:val="B"/>
            </w:pPr>
            <w:r>
              <w:rPr>
                <w:rFonts w:hint="eastAsia"/>
              </w:rPr>
              <w:t>境外同业存放</w:t>
            </w:r>
          </w:p>
        </w:tc>
      </w:tr>
      <w:tr w:rsidR="00A052DC" w14:paraId="41A4CAA9" w14:textId="77777777">
        <w:tc>
          <w:tcPr>
            <w:tcW w:w="1815" w:type="dxa"/>
          </w:tcPr>
          <w:p w14:paraId="3613E634" w14:textId="77777777" w:rsidR="00A052DC" w:rsidRDefault="009F0A60">
            <w:pPr>
              <w:pStyle w:val="B"/>
              <w:jc w:val="center"/>
            </w:pPr>
            <w:r>
              <w:t>87</w:t>
            </w:r>
          </w:p>
        </w:tc>
        <w:tc>
          <w:tcPr>
            <w:tcW w:w="6480" w:type="dxa"/>
          </w:tcPr>
          <w:p w14:paraId="34732D7C" w14:textId="77777777" w:rsidR="00A052DC" w:rsidRDefault="009F0A60">
            <w:pPr>
              <w:pStyle w:val="B"/>
            </w:pPr>
            <w:r>
              <w:rPr>
                <w:rFonts w:hint="eastAsia"/>
              </w:rPr>
              <w:t>境外联行及附属机构往来</w:t>
            </w:r>
          </w:p>
        </w:tc>
      </w:tr>
      <w:tr w:rsidR="00A052DC" w14:paraId="38AF1289" w14:textId="77777777">
        <w:tc>
          <w:tcPr>
            <w:tcW w:w="1815" w:type="dxa"/>
          </w:tcPr>
          <w:p w14:paraId="69FF7C59" w14:textId="77777777" w:rsidR="00A052DC" w:rsidRDefault="009F0A60">
            <w:pPr>
              <w:pStyle w:val="B"/>
              <w:jc w:val="center"/>
            </w:pPr>
            <w:r>
              <w:t>86</w:t>
            </w:r>
          </w:p>
        </w:tc>
        <w:tc>
          <w:tcPr>
            <w:tcW w:w="6480" w:type="dxa"/>
          </w:tcPr>
          <w:p w14:paraId="09526310" w14:textId="77777777" w:rsidR="00A052DC" w:rsidRDefault="009F0A60">
            <w:pPr>
              <w:pStyle w:val="B"/>
            </w:pPr>
            <w:r>
              <w:rPr>
                <w:rFonts w:hint="eastAsia"/>
              </w:rPr>
              <w:t>非居民机构存款</w:t>
            </w:r>
          </w:p>
        </w:tc>
      </w:tr>
      <w:tr w:rsidR="00A052DC" w14:paraId="7E41C320" w14:textId="77777777">
        <w:tc>
          <w:tcPr>
            <w:tcW w:w="1815" w:type="dxa"/>
          </w:tcPr>
          <w:p w14:paraId="2F66F4AD" w14:textId="77777777" w:rsidR="00A052DC" w:rsidRDefault="009F0A60">
            <w:pPr>
              <w:pStyle w:val="B"/>
              <w:jc w:val="center"/>
            </w:pPr>
            <w:r>
              <w:t>85</w:t>
            </w:r>
          </w:p>
        </w:tc>
        <w:tc>
          <w:tcPr>
            <w:tcW w:w="6480" w:type="dxa"/>
          </w:tcPr>
          <w:p w14:paraId="1BC561B3" w14:textId="77777777" w:rsidR="00A052DC" w:rsidRDefault="009F0A60">
            <w:pPr>
              <w:pStyle w:val="B"/>
            </w:pPr>
            <w:r>
              <w:rPr>
                <w:rFonts w:hint="eastAsia"/>
              </w:rPr>
              <w:t>非居民个人存款</w:t>
            </w:r>
          </w:p>
        </w:tc>
      </w:tr>
      <w:tr w:rsidR="00A052DC" w14:paraId="4D0B23FA" w14:textId="77777777">
        <w:tc>
          <w:tcPr>
            <w:tcW w:w="1815" w:type="dxa"/>
          </w:tcPr>
          <w:p w14:paraId="3BE79E2F" w14:textId="77777777" w:rsidR="00A052DC" w:rsidRDefault="009F0A60">
            <w:pPr>
              <w:pStyle w:val="B"/>
              <w:jc w:val="center"/>
            </w:pPr>
            <w:r>
              <w:t>84</w:t>
            </w:r>
          </w:p>
        </w:tc>
        <w:tc>
          <w:tcPr>
            <w:tcW w:w="6480" w:type="dxa"/>
          </w:tcPr>
          <w:p w14:paraId="3FAC38C8" w14:textId="77777777" w:rsidR="00A052DC" w:rsidRDefault="009F0A60">
            <w:pPr>
              <w:pStyle w:val="B"/>
            </w:pPr>
            <w:r>
              <w:rPr>
                <w:rFonts w:hint="eastAsia"/>
              </w:rPr>
              <w:t>其他外债</w:t>
            </w:r>
          </w:p>
        </w:tc>
      </w:tr>
      <w:tr w:rsidR="00A052DC" w14:paraId="6C560670" w14:textId="77777777">
        <w:tc>
          <w:tcPr>
            <w:tcW w:w="1815" w:type="dxa"/>
          </w:tcPr>
          <w:p w14:paraId="3F70070F" w14:textId="77777777" w:rsidR="00A052DC" w:rsidRDefault="009F0A60">
            <w:pPr>
              <w:pStyle w:val="B"/>
              <w:jc w:val="center"/>
            </w:pPr>
            <w:r>
              <w:t>83</w:t>
            </w:r>
          </w:p>
        </w:tc>
        <w:tc>
          <w:tcPr>
            <w:tcW w:w="6480" w:type="dxa"/>
          </w:tcPr>
          <w:p w14:paraId="47CBB11A" w14:textId="77777777" w:rsidR="00A052DC" w:rsidRDefault="009F0A60">
            <w:pPr>
              <w:pStyle w:val="B"/>
            </w:pPr>
            <w:r>
              <w:rPr>
                <w:rFonts w:hint="eastAsia"/>
              </w:rPr>
              <w:t>对外担保</w:t>
            </w:r>
          </w:p>
        </w:tc>
      </w:tr>
      <w:tr w:rsidR="00A052DC" w14:paraId="385F1136" w14:textId="77777777">
        <w:tc>
          <w:tcPr>
            <w:tcW w:w="1815" w:type="dxa"/>
          </w:tcPr>
          <w:p w14:paraId="3B41E848" w14:textId="77777777" w:rsidR="00A052DC" w:rsidRDefault="009F0A60">
            <w:pPr>
              <w:pStyle w:val="B"/>
              <w:jc w:val="center"/>
            </w:pPr>
            <w:r>
              <w:t>82</w:t>
            </w:r>
          </w:p>
        </w:tc>
        <w:tc>
          <w:tcPr>
            <w:tcW w:w="6480" w:type="dxa"/>
          </w:tcPr>
          <w:p w14:paraId="6A78D3B7" w14:textId="77777777" w:rsidR="00A052DC" w:rsidRDefault="009F0A60">
            <w:pPr>
              <w:pStyle w:val="B"/>
            </w:pPr>
            <w:r>
              <w:rPr>
                <w:rFonts w:hint="eastAsia"/>
              </w:rPr>
              <w:t>国内外汇贷款（含外债转贷款）</w:t>
            </w:r>
          </w:p>
        </w:tc>
      </w:tr>
      <w:tr w:rsidR="00A052DC" w14:paraId="37CFFF54" w14:textId="77777777">
        <w:tc>
          <w:tcPr>
            <w:tcW w:w="1815" w:type="dxa"/>
          </w:tcPr>
          <w:p w14:paraId="32241684" w14:textId="77777777" w:rsidR="00A052DC" w:rsidRDefault="009F0A60">
            <w:pPr>
              <w:pStyle w:val="B"/>
              <w:jc w:val="center"/>
            </w:pPr>
            <w:r>
              <w:t>81</w:t>
            </w:r>
          </w:p>
        </w:tc>
        <w:tc>
          <w:tcPr>
            <w:tcW w:w="6480" w:type="dxa"/>
          </w:tcPr>
          <w:p w14:paraId="2D808DE3" w14:textId="77777777" w:rsidR="00A052DC" w:rsidRDefault="009F0A60">
            <w:pPr>
              <w:pStyle w:val="B"/>
            </w:pPr>
            <w:r>
              <w:rPr>
                <w:rFonts w:hint="eastAsia"/>
                <w:szCs w:val="20"/>
              </w:rPr>
              <w:t>外保内贷</w:t>
            </w:r>
          </w:p>
        </w:tc>
      </w:tr>
      <w:tr w:rsidR="00A052DC" w14:paraId="3D585F3D" w14:textId="77777777">
        <w:tc>
          <w:tcPr>
            <w:tcW w:w="1815" w:type="dxa"/>
          </w:tcPr>
          <w:p w14:paraId="41830664" w14:textId="77777777" w:rsidR="00A052DC" w:rsidRDefault="009F0A60">
            <w:pPr>
              <w:pStyle w:val="B"/>
              <w:jc w:val="center"/>
            </w:pPr>
            <w:r>
              <w:t>80</w:t>
            </w:r>
          </w:p>
        </w:tc>
        <w:tc>
          <w:tcPr>
            <w:tcW w:w="6480" w:type="dxa"/>
          </w:tcPr>
          <w:p w14:paraId="5A99121A" w14:textId="77777777" w:rsidR="00A052DC" w:rsidRDefault="009F0A60">
            <w:pPr>
              <w:pStyle w:val="B"/>
            </w:pPr>
            <w:r>
              <w:rPr>
                <w:rFonts w:hint="eastAsia"/>
              </w:rPr>
              <w:t>外汇质押人民币贷款</w:t>
            </w:r>
          </w:p>
        </w:tc>
      </w:tr>
      <w:tr w:rsidR="00A052DC" w14:paraId="1BAA7D71" w14:textId="77777777">
        <w:tc>
          <w:tcPr>
            <w:tcW w:w="1815" w:type="dxa"/>
          </w:tcPr>
          <w:p w14:paraId="024A814E" w14:textId="77777777" w:rsidR="00A052DC" w:rsidRDefault="009F0A60">
            <w:pPr>
              <w:pStyle w:val="B"/>
              <w:jc w:val="center"/>
            </w:pPr>
            <w:r>
              <w:t>79</w:t>
            </w:r>
          </w:p>
        </w:tc>
        <w:tc>
          <w:tcPr>
            <w:tcW w:w="6480" w:type="dxa"/>
          </w:tcPr>
          <w:p w14:paraId="7F4F2E27" w14:textId="77777777" w:rsidR="00A052DC" w:rsidRDefault="009F0A60">
            <w:pPr>
              <w:pStyle w:val="B"/>
            </w:pPr>
            <w:r>
              <w:rPr>
                <w:rFonts w:hint="eastAsia"/>
              </w:rPr>
              <w:t>商业银行人民币结构性存款</w:t>
            </w:r>
          </w:p>
        </w:tc>
      </w:tr>
    </w:tbl>
    <w:p w14:paraId="769B1869" w14:textId="77777777" w:rsidR="00A052DC" w:rsidRDefault="009F0A60">
      <w:pPr>
        <w:pStyle w:val="2"/>
        <w:rPr>
          <w:rFonts w:ascii="Times New Roman" w:hAnsi="Times New Roman"/>
        </w:rPr>
      </w:pPr>
      <w:bookmarkStart w:id="4820" w:name="_Toc454394790"/>
      <w:bookmarkStart w:id="4821" w:name="_Toc91455531"/>
      <w:bookmarkStart w:id="4822" w:name="_Toc380356327"/>
      <w:bookmarkStart w:id="4823" w:name="_Toc328635605"/>
      <w:bookmarkStart w:id="4824" w:name="_Toc101684556"/>
      <w:r>
        <w:rPr>
          <w:rFonts w:ascii="Times New Roman" w:hAnsi="Times New Roman" w:hint="eastAsia"/>
        </w:rPr>
        <w:t>境内主体类型代码表</w:t>
      </w:r>
      <w:bookmarkEnd w:id="4820"/>
      <w:bookmarkEnd w:id="4821"/>
      <w:bookmarkEnd w:id="4822"/>
      <w:bookmarkEnd w:id="4823"/>
      <w:bookmarkEnd w:id="4824"/>
    </w:p>
    <w:tbl>
      <w:tblPr>
        <w:tblW w:w="8379" w:type="dxa"/>
        <w:tblInd w:w="93" w:type="dxa"/>
        <w:tblLook w:val="04A0" w:firstRow="1" w:lastRow="0" w:firstColumn="1" w:lastColumn="0" w:noHBand="0" w:noVBand="1"/>
      </w:tblPr>
      <w:tblGrid>
        <w:gridCol w:w="724"/>
        <w:gridCol w:w="886"/>
        <w:gridCol w:w="1970"/>
        <w:gridCol w:w="1054"/>
        <w:gridCol w:w="2272"/>
        <w:gridCol w:w="1473"/>
      </w:tblGrid>
      <w:tr w:rsidR="00A052DC" w14:paraId="4F0B7D11" w14:textId="77777777" w:rsidTr="00DD6AA3">
        <w:trPr>
          <w:trHeight w:val="285"/>
          <w:tblHeader/>
        </w:trPr>
        <w:tc>
          <w:tcPr>
            <w:tcW w:w="724" w:type="dxa"/>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tcPr>
          <w:p w14:paraId="37047579" w14:textId="77777777" w:rsidR="00881462" w:rsidRDefault="009F0A60">
            <w:pPr>
              <w:pStyle w:val="B1"/>
            </w:pPr>
            <w:r>
              <w:rPr>
                <w:rFonts w:hint="eastAsia"/>
              </w:rPr>
              <w:t>一级主体</w:t>
            </w:r>
          </w:p>
        </w:tc>
        <w:tc>
          <w:tcPr>
            <w:tcW w:w="886" w:type="dxa"/>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tcPr>
          <w:p w14:paraId="411B6A37" w14:textId="77777777" w:rsidR="00881462" w:rsidRDefault="009F0A60">
            <w:pPr>
              <w:pStyle w:val="B1"/>
            </w:pPr>
            <w:r>
              <w:rPr>
                <w:rFonts w:hint="eastAsia"/>
              </w:rPr>
              <w:t>一级主体代码</w:t>
            </w:r>
          </w:p>
        </w:tc>
        <w:tc>
          <w:tcPr>
            <w:tcW w:w="1970" w:type="dxa"/>
            <w:tcBorders>
              <w:top w:val="single" w:sz="8" w:space="0" w:color="auto"/>
              <w:left w:val="nil"/>
              <w:bottom w:val="single" w:sz="8" w:space="0" w:color="auto"/>
              <w:right w:val="single" w:sz="8" w:space="0" w:color="auto"/>
            </w:tcBorders>
            <w:shd w:val="clear" w:color="auto" w:fill="BFBFBF" w:themeFill="background1" w:themeFillShade="BF"/>
            <w:vAlign w:val="center"/>
          </w:tcPr>
          <w:p w14:paraId="53C68FDA" w14:textId="77777777" w:rsidR="00881462" w:rsidRDefault="009F0A60">
            <w:pPr>
              <w:pStyle w:val="B1"/>
            </w:pPr>
            <w:r>
              <w:rPr>
                <w:rFonts w:hint="eastAsia"/>
              </w:rPr>
              <w:t>二级主体</w:t>
            </w:r>
          </w:p>
        </w:tc>
        <w:tc>
          <w:tcPr>
            <w:tcW w:w="1054" w:type="dxa"/>
            <w:tcBorders>
              <w:top w:val="single" w:sz="8" w:space="0" w:color="auto"/>
              <w:left w:val="nil"/>
              <w:bottom w:val="single" w:sz="8" w:space="0" w:color="auto"/>
              <w:right w:val="single" w:sz="8" w:space="0" w:color="auto"/>
            </w:tcBorders>
            <w:shd w:val="clear" w:color="auto" w:fill="BFBFBF" w:themeFill="background1" w:themeFillShade="BF"/>
            <w:vAlign w:val="center"/>
          </w:tcPr>
          <w:p w14:paraId="0389902A" w14:textId="77777777" w:rsidR="00881462" w:rsidRDefault="009F0A60">
            <w:pPr>
              <w:pStyle w:val="B1"/>
            </w:pPr>
            <w:r>
              <w:rPr>
                <w:rFonts w:hint="eastAsia"/>
              </w:rPr>
              <w:t>二级主体代码</w:t>
            </w:r>
          </w:p>
        </w:tc>
        <w:tc>
          <w:tcPr>
            <w:tcW w:w="2272" w:type="dxa"/>
            <w:tcBorders>
              <w:top w:val="single" w:sz="8" w:space="0" w:color="auto"/>
              <w:left w:val="nil"/>
              <w:bottom w:val="single" w:sz="8" w:space="0" w:color="auto"/>
              <w:right w:val="single" w:sz="8" w:space="0" w:color="auto"/>
            </w:tcBorders>
            <w:shd w:val="clear" w:color="auto" w:fill="BFBFBF" w:themeFill="background1" w:themeFillShade="BF"/>
            <w:vAlign w:val="center"/>
          </w:tcPr>
          <w:p w14:paraId="4F6C594C" w14:textId="77777777" w:rsidR="00881462" w:rsidRDefault="009F0A60">
            <w:pPr>
              <w:pStyle w:val="B1"/>
            </w:pPr>
            <w:r>
              <w:rPr>
                <w:rFonts w:hint="eastAsia"/>
              </w:rPr>
              <w:t>三级主体</w:t>
            </w:r>
          </w:p>
        </w:tc>
        <w:tc>
          <w:tcPr>
            <w:tcW w:w="1473" w:type="dxa"/>
            <w:tcBorders>
              <w:top w:val="single" w:sz="8" w:space="0" w:color="auto"/>
              <w:left w:val="nil"/>
              <w:bottom w:val="single" w:sz="8" w:space="0" w:color="auto"/>
              <w:right w:val="single" w:sz="8" w:space="0" w:color="auto"/>
            </w:tcBorders>
            <w:shd w:val="clear" w:color="auto" w:fill="BFBFBF" w:themeFill="background1" w:themeFillShade="BF"/>
            <w:vAlign w:val="center"/>
          </w:tcPr>
          <w:p w14:paraId="0AAAA1BD" w14:textId="77777777" w:rsidR="00881462" w:rsidRDefault="009F0A60">
            <w:pPr>
              <w:pStyle w:val="B1"/>
            </w:pPr>
            <w:r>
              <w:rPr>
                <w:rFonts w:hint="eastAsia"/>
              </w:rPr>
              <w:t>三级主体代码</w:t>
            </w:r>
          </w:p>
        </w:tc>
      </w:tr>
      <w:tr w:rsidR="00A052DC" w14:paraId="4FE6E560" w14:textId="77777777">
        <w:trPr>
          <w:trHeight w:val="285"/>
        </w:trPr>
        <w:tc>
          <w:tcPr>
            <w:tcW w:w="724"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06C9D1DE" w14:textId="77777777" w:rsidR="00A052DC" w:rsidRDefault="009F0A60">
            <w:pPr>
              <w:rPr>
                <w:rFonts w:ascii="黑体" w:eastAsia="黑体" w:hAnsi="黑体"/>
                <w:sz w:val="20"/>
                <w:szCs w:val="20"/>
              </w:rPr>
            </w:pPr>
            <w:r>
              <w:rPr>
                <w:rFonts w:ascii="黑体" w:eastAsia="黑体" w:hAnsi="黑体" w:hint="eastAsia"/>
                <w:sz w:val="20"/>
                <w:szCs w:val="20"/>
              </w:rPr>
              <w:t>中资机构</w:t>
            </w:r>
          </w:p>
        </w:tc>
        <w:tc>
          <w:tcPr>
            <w:tcW w:w="886"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0784D937" w14:textId="77777777" w:rsidR="00A052DC" w:rsidRDefault="009F0A60">
            <w:pPr>
              <w:rPr>
                <w:rFonts w:ascii="黑体" w:eastAsia="黑体" w:hAnsi="黑体"/>
                <w:sz w:val="20"/>
                <w:szCs w:val="20"/>
              </w:rPr>
            </w:pPr>
            <w:r>
              <w:rPr>
                <w:rFonts w:ascii="黑体" w:eastAsia="黑体" w:hAnsi="黑体"/>
                <w:sz w:val="20"/>
                <w:szCs w:val="20"/>
              </w:rPr>
              <w:t>1011</w:t>
            </w:r>
          </w:p>
        </w:tc>
        <w:tc>
          <w:tcPr>
            <w:tcW w:w="1970" w:type="dxa"/>
            <w:tcBorders>
              <w:top w:val="single" w:sz="8" w:space="0" w:color="auto"/>
              <w:left w:val="nil"/>
              <w:bottom w:val="single" w:sz="8" w:space="0" w:color="auto"/>
              <w:right w:val="single" w:sz="8" w:space="0" w:color="auto"/>
            </w:tcBorders>
            <w:shd w:val="clear" w:color="auto" w:fill="auto"/>
            <w:vAlign w:val="center"/>
          </w:tcPr>
          <w:p w14:paraId="0E8DC2DD" w14:textId="77777777" w:rsidR="00A052DC" w:rsidRDefault="009F0A60">
            <w:pPr>
              <w:rPr>
                <w:rFonts w:ascii="黑体" w:eastAsia="黑体" w:hAnsi="黑体"/>
                <w:sz w:val="20"/>
                <w:szCs w:val="20"/>
              </w:rPr>
            </w:pPr>
            <w:r>
              <w:rPr>
                <w:rFonts w:ascii="黑体" w:eastAsia="黑体" w:hAnsi="黑体" w:hint="eastAsia"/>
                <w:sz w:val="20"/>
                <w:szCs w:val="20"/>
              </w:rPr>
              <w:t>政府部门</w:t>
            </w:r>
          </w:p>
        </w:tc>
        <w:tc>
          <w:tcPr>
            <w:tcW w:w="1054" w:type="dxa"/>
            <w:tcBorders>
              <w:top w:val="single" w:sz="8" w:space="0" w:color="auto"/>
              <w:left w:val="nil"/>
              <w:bottom w:val="single" w:sz="8" w:space="0" w:color="auto"/>
              <w:right w:val="single" w:sz="8" w:space="0" w:color="auto"/>
            </w:tcBorders>
            <w:shd w:val="clear" w:color="auto" w:fill="auto"/>
            <w:vAlign w:val="center"/>
          </w:tcPr>
          <w:p w14:paraId="6F794E61" w14:textId="77777777" w:rsidR="00A052DC" w:rsidRDefault="009F0A60">
            <w:pPr>
              <w:rPr>
                <w:rFonts w:ascii="黑体" w:eastAsia="黑体" w:hAnsi="黑体"/>
                <w:sz w:val="20"/>
                <w:szCs w:val="20"/>
              </w:rPr>
            </w:pPr>
            <w:r>
              <w:rPr>
                <w:rFonts w:ascii="黑体" w:eastAsia="黑体" w:hAnsi="黑体"/>
                <w:sz w:val="20"/>
                <w:szCs w:val="20"/>
              </w:rPr>
              <w:t>101101</w:t>
            </w:r>
          </w:p>
        </w:tc>
        <w:tc>
          <w:tcPr>
            <w:tcW w:w="2272" w:type="dxa"/>
            <w:tcBorders>
              <w:top w:val="single" w:sz="8" w:space="0" w:color="auto"/>
              <w:left w:val="nil"/>
              <w:bottom w:val="single" w:sz="8" w:space="0" w:color="auto"/>
              <w:right w:val="single" w:sz="8" w:space="0" w:color="auto"/>
            </w:tcBorders>
            <w:shd w:val="clear" w:color="auto" w:fill="auto"/>
            <w:vAlign w:val="center"/>
          </w:tcPr>
          <w:p w14:paraId="1BC0E4FD" w14:textId="77777777" w:rsidR="00A052DC" w:rsidRDefault="009F0A60">
            <w:pPr>
              <w:rPr>
                <w:rFonts w:ascii="黑体" w:eastAsia="黑体" w:hAnsi="黑体"/>
                <w:sz w:val="20"/>
                <w:szCs w:val="20"/>
              </w:rPr>
            </w:pPr>
            <w:r>
              <w:rPr>
                <w:rFonts w:ascii="黑体" w:eastAsia="黑体" w:hAnsi="黑体" w:hint="eastAsia"/>
                <w:sz w:val="20"/>
                <w:szCs w:val="20"/>
              </w:rPr>
              <w:t>政府部门</w:t>
            </w:r>
          </w:p>
        </w:tc>
        <w:tc>
          <w:tcPr>
            <w:tcW w:w="1473" w:type="dxa"/>
            <w:tcBorders>
              <w:top w:val="single" w:sz="8" w:space="0" w:color="auto"/>
              <w:left w:val="nil"/>
              <w:bottom w:val="single" w:sz="8" w:space="0" w:color="auto"/>
              <w:right w:val="single" w:sz="8" w:space="0" w:color="auto"/>
            </w:tcBorders>
            <w:shd w:val="clear" w:color="auto" w:fill="auto"/>
            <w:vAlign w:val="center"/>
          </w:tcPr>
          <w:p w14:paraId="521D7A3A" w14:textId="77777777" w:rsidR="00A052DC" w:rsidRDefault="009F0A60">
            <w:pPr>
              <w:rPr>
                <w:rFonts w:ascii="黑体" w:eastAsia="黑体" w:hAnsi="黑体"/>
                <w:sz w:val="20"/>
                <w:szCs w:val="20"/>
              </w:rPr>
            </w:pPr>
            <w:r>
              <w:rPr>
                <w:rFonts w:ascii="黑体" w:eastAsia="黑体" w:hAnsi="黑体"/>
                <w:sz w:val="20"/>
                <w:szCs w:val="20"/>
              </w:rPr>
              <w:t>10110100</w:t>
            </w:r>
          </w:p>
        </w:tc>
      </w:tr>
      <w:tr w:rsidR="00A052DC" w14:paraId="0D7787D5" w14:textId="77777777">
        <w:trPr>
          <w:trHeight w:val="285"/>
        </w:trPr>
        <w:tc>
          <w:tcPr>
            <w:tcW w:w="724" w:type="dxa"/>
            <w:vMerge/>
            <w:tcBorders>
              <w:top w:val="single" w:sz="8" w:space="0" w:color="auto"/>
              <w:left w:val="single" w:sz="8" w:space="0" w:color="auto"/>
              <w:bottom w:val="single" w:sz="8" w:space="0" w:color="000000"/>
              <w:right w:val="single" w:sz="8" w:space="0" w:color="auto"/>
            </w:tcBorders>
            <w:vAlign w:val="center"/>
          </w:tcPr>
          <w:p w14:paraId="67FA79B3" w14:textId="77777777" w:rsidR="00A052DC" w:rsidRDefault="00A052DC">
            <w:pPr>
              <w:ind w:firstLine="48"/>
              <w:rPr>
                <w:rFonts w:ascii="黑体" w:eastAsia="黑体" w:hAnsi="黑体"/>
                <w:sz w:val="20"/>
                <w:szCs w:val="20"/>
              </w:rPr>
            </w:pPr>
          </w:p>
        </w:tc>
        <w:tc>
          <w:tcPr>
            <w:tcW w:w="886" w:type="dxa"/>
            <w:vMerge/>
            <w:tcBorders>
              <w:top w:val="single" w:sz="8" w:space="0" w:color="auto"/>
              <w:left w:val="single" w:sz="8" w:space="0" w:color="auto"/>
              <w:bottom w:val="single" w:sz="8" w:space="0" w:color="000000"/>
              <w:right w:val="single" w:sz="8" w:space="0" w:color="auto"/>
            </w:tcBorders>
            <w:vAlign w:val="center"/>
          </w:tcPr>
          <w:p w14:paraId="0F1BC277" w14:textId="77777777" w:rsidR="00A052DC" w:rsidRDefault="00A052DC">
            <w:pPr>
              <w:rPr>
                <w:rFonts w:ascii="黑体" w:eastAsia="黑体" w:hAnsi="黑体"/>
                <w:sz w:val="20"/>
                <w:szCs w:val="20"/>
              </w:rPr>
            </w:pPr>
          </w:p>
        </w:tc>
        <w:tc>
          <w:tcPr>
            <w:tcW w:w="1970" w:type="dxa"/>
            <w:tcBorders>
              <w:top w:val="nil"/>
              <w:left w:val="single" w:sz="8" w:space="0" w:color="auto"/>
              <w:bottom w:val="single" w:sz="8" w:space="0" w:color="000000"/>
              <w:right w:val="single" w:sz="8" w:space="0" w:color="auto"/>
            </w:tcBorders>
            <w:shd w:val="clear" w:color="auto" w:fill="auto"/>
            <w:vAlign w:val="center"/>
          </w:tcPr>
          <w:p w14:paraId="36FFFB10" w14:textId="77777777" w:rsidR="00A052DC" w:rsidRDefault="009F0A60">
            <w:pPr>
              <w:rPr>
                <w:rFonts w:ascii="黑体" w:eastAsia="黑体" w:hAnsi="黑体"/>
                <w:sz w:val="20"/>
                <w:szCs w:val="20"/>
              </w:rPr>
            </w:pPr>
            <w:r>
              <w:rPr>
                <w:rFonts w:ascii="黑体" w:eastAsia="黑体" w:hAnsi="黑体" w:hint="eastAsia"/>
                <w:sz w:val="20"/>
                <w:szCs w:val="20"/>
              </w:rPr>
              <w:t>中央银行</w:t>
            </w:r>
          </w:p>
        </w:tc>
        <w:tc>
          <w:tcPr>
            <w:tcW w:w="1054" w:type="dxa"/>
            <w:tcBorders>
              <w:top w:val="nil"/>
              <w:left w:val="single" w:sz="8" w:space="0" w:color="auto"/>
              <w:bottom w:val="single" w:sz="8" w:space="0" w:color="000000"/>
              <w:right w:val="single" w:sz="8" w:space="0" w:color="auto"/>
            </w:tcBorders>
            <w:shd w:val="clear" w:color="auto" w:fill="auto"/>
            <w:vAlign w:val="center"/>
          </w:tcPr>
          <w:p w14:paraId="154F789F" w14:textId="77777777" w:rsidR="00A052DC" w:rsidRDefault="009F0A60">
            <w:pPr>
              <w:rPr>
                <w:rFonts w:ascii="黑体" w:eastAsia="黑体" w:hAnsi="黑体"/>
                <w:sz w:val="20"/>
                <w:szCs w:val="20"/>
              </w:rPr>
            </w:pPr>
            <w:r>
              <w:rPr>
                <w:rFonts w:ascii="黑体" w:eastAsia="黑体" w:hAnsi="黑体"/>
                <w:sz w:val="20"/>
                <w:szCs w:val="20"/>
              </w:rPr>
              <w:t>101102</w:t>
            </w:r>
          </w:p>
        </w:tc>
        <w:tc>
          <w:tcPr>
            <w:tcW w:w="2272" w:type="dxa"/>
            <w:tcBorders>
              <w:top w:val="nil"/>
              <w:left w:val="nil"/>
              <w:bottom w:val="single" w:sz="8" w:space="0" w:color="auto"/>
              <w:right w:val="single" w:sz="8" w:space="0" w:color="auto"/>
            </w:tcBorders>
            <w:shd w:val="clear" w:color="auto" w:fill="auto"/>
            <w:vAlign w:val="center"/>
          </w:tcPr>
          <w:p w14:paraId="24D31D24" w14:textId="77777777" w:rsidR="00A052DC" w:rsidRDefault="009F0A60">
            <w:pPr>
              <w:rPr>
                <w:rFonts w:ascii="黑体" w:eastAsia="黑体" w:hAnsi="黑体"/>
                <w:sz w:val="20"/>
                <w:szCs w:val="20"/>
              </w:rPr>
            </w:pPr>
            <w:r>
              <w:rPr>
                <w:rFonts w:ascii="黑体" w:eastAsia="黑体" w:hAnsi="黑体" w:hint="eastAsia"/>
                <w:sz w:val="20"/>
                <w:szCs w:val="20"/>
              </w:rPr>
              <w:t>中央银行</w:t>
            </w:r>
          </w:p>
        </w:tc>
        <w:tc>
          <w:tcPr>
            <w:tcW w:w="1473" w:type="dxa"/>
            <w:tcBorders>
              <w:top w:val="nil"/>
              <w:left w:val="nil"/>
              <w:bottom w:val="single" w:sz="8" w:space="0" w:color="auto"/>
              <w:right w:val="single" w:sz="8" w:space="0" w:color="auto"/>
            </w:tcBorders>
            <w:shd w:val="clear" w:color="auto" w:fill="auto"/>
            <w:vAlign w:val="center"/>
          </w:tcPr>
          <w:p w14:paraId="5211BC74" w14:textId="77777777" w:rsidR="00A052DC" w:rsidRDefault="009F0A60">
            <w:pPr>
              <w:rPr>
                <w:rFonts w:ascii="黑体" w:eastAsia="黑体" w:hAnsi="黑体"/>
                <w:sz w:val="20"/>
                <w:szCs w:val="20"/>
              </w:rPr>
            </w:pPr>
            <w:r>
              <w:rPr>
                <w:rFonts w:ascii="黑体" w:eastAsia="黑体" w:hAnsi="黑体"/>
                <w:sz w:val="20"/>
                <w:szCs w:val="20"/>
              </w:rPr>
              <w:t>10110200</w:t>
            </w:r>
          </w:p>
        </w:tc>
      </w:tr>
      <w:tr w:rsidR="00A052DC" w14:paraId="72157026" w14:textId="77777777">
        <w:trPr>
          <w:trHeight w:val="285"/>
        </w:trPr>
        <w:tc>
          <w:tcPr>
            <w:tcW w:w="724" w:type="dxa"/>
            <w:vMerge/>
            <w:tcBorders>
              <w:top w:val="single" w:sz="8" w:space="0" w:color="auto"/>
              <w:left w:val="single" w:sz="8" w:space="0" w:color="auto"/>
              <w:bottom w:val="single" w:sz="8" w:space="0" w:color="000000"/>
              <w:right w:val="single" w:sz="8" w:space="0" w:color="auto"/>
            </w:tcBorders>
            <w:vAlign w:val="center"/>
          </w:tcPr>
          <w:p w14:paraId="3DA2BA1D" w14:textId="77777777" w:rsidR="00A052DC" w:rsidRDefault="00A052DC">
            <w:pPr>
              <w:ind w:firstLine="48"/>
              <w:rPr>
                <w:rFonts w:ascii="黑体" w:eastAsia="黑体" w:hAnsi="黑体"/>
                <w:sz w:val="20"/>
                <w:szCs w:val="20"/>
              </w:rPr>
            </w:pPr>
          </w:p>
        </w:tc>
        <w:tc>
          <w:tcPr>
            <w:tcW w:w="886" w:type="dxa"/>
            <w:vMerge/>
            <w:tcBorders>
              <w:top w:val="single" w:sz="8" w:space="0" w:color="auto"/>
              <w:left w:val="single" w:sz="8" w:space="0" w:color="auto"/>
              <w:bottom w:val="single" w:sz="8" w:space="0" w:color="000000"/>
              <w:right w:val="single" w:sz="8" w:space="0" w:color="auto"/>
            </w:tcBorders>
            <w:vAlign w:val="center"/>
          </w:tcPr>
          <w:p w14:paraId="26CACC2B" w14:textId="77777777" w:rsidR="00A052DC" w:rsidRDefault="00A052DC">
            <w:pPr>
              <w:rPr>
                <w:rFonts w:ascii="黑体" w:eastAsia="黑体" w:hAnsi="黑体"/>
                <w:sz w:val="20"/>
                <w:szCs w:val="20"/>
              </w:rPr>
            </w:pPr>
          </w:p>
        </w:tc>
        <w:tc>
          <w:tcPr>
            <w:tcW w:w="1970" w:type="dxa"/>
            <w:vMerge w:val="restart"/>
            <w:tcBorders>
              <w:top w:val="nil"/>
              <w:left w:val="single" w:sz="8" w:space="0" w:color="auto"/>
              <w:bottom w:val="single" w:sz="8" w:space="0" w:color="000000"/>
              <w:right w:val="single" w:sz="8" w:space="0" w:color="auto"/>
            </w:tcBorders>
            <w:shd w:val="clear" w:color="auto" w:fill="auto"/>
            <w:vAlign w:val="center"/>
          </w:tcPr>
          <w:p w14:paraId="4D075B19" w14:textId="77777777" w:rsidR="00A052DC" w:rsidRDefault="009F0A60">
            <w:pPr>
              <w:rPr>
                <w:rFonts w:ascii="黑体" w:eastAsia="黑体" w:hAnsi="黑体"/>
                <w:sz w:val="20"/>
                <w:szCs w:val="20"/>
              </w:rPr>
            </w:pPr>
            <w:r>
              <w:rPr>
                <w:rFonts w:ascii="黑体" w:eastAsia="黑体" w:hAnsi="黑体" w:hint="eastAsia"/>
                <w:sz w:val="20"/>
                <w:szCs w:val="20"/>
              </w:rPr>
              <w:t>中资银行</w:t>
            </w:r>
          </w:p>
        </w:tc>
        <w:tc>
          <w:tcPr>
            <w:tcW w:w="1054" w:type="dxa"/>
            <w:vMerge w:val="restart"/>
            <w:tcBorders>
              <w:top w:val="nil"/>
              <w:left w:val="single" w:sz="8" w:space="0" w:color="auto"/>
              <w:bottom w:val="single" w:sz="8" w:space="0" w:color="000000"/>
              <w:right w:val="single" w:sz="8" w:space="0" w:color="auto"/>
            </w:tcBorders>
            <w:shd w:val="clear" w:color="auto" w:fill="auto"/>
            <w:vAlign w:val="center"/>
          </w:tcPr>
          <w:p w14:paraId="2E3EA0E1" w14:textId="77777777" w:rsidR="00A052DC" w:rsidRDefault="009F0A60">
            <w:pPr>
              <w:rPr>
                <w:rFonts w:ascii="黑体" w:eastAsia="黑体" w:hAnsi="黑体"/>
                <w:sz w:val="20"/>
                <w:szCs w:val="20"/>
              </w:rPr>
            </w:pPr>
            <w:r>
              <w:rPr>
                <w:rFonts w:ascii="黑体" w:eastAsia="黑体" w:hAnsi="黑体"/>
                <w:sz w:val="20"/>
                <w:szCs w:val="20"/>
              </w:rPr>
              <w:t>101103</w:t>
            </w:r>
          </w:p>
        </w:tc>
        <w:tc>
          <w:tcPr>
            <w:tcW w:w="2272" w:type="dxa"/>
            <w:tcBorders>
              <w:top w:val="nil"/>
              <w:left w:val="nil"/>
              <w:bottom w:val="single" w:sz="8" w:space="0" w:color="auto"/>
              <w:right w:val="single" w:sz="8" w:space="0" w:color="auto"/>
            </w:tcBorders>
            <w:shd w:val="clear" w:color="auto" w:fill="auto"/>
            <w:vAlign w:val="center"/>
          </w:tcPr>
          <w:p w14:paraId="33AEA690" w14:textId="77777777" w:rsidR="00A052DC" w:rsidRDefault="009F0A60">
            <w:pPr>
              <w:rPr>
                <w:rFonts w:ascii="黑体" w:eastAsia="黑体" w:hAnsi="黑体"/>
                <w:sz w:val="20"/>
                <w:szCs w:val="20"/>
              </w:rPr>
            </w:pPr>
            <w:r>
              <w:rPr>
                <w:rFonts w:ascii="黑体" w:eastAsia="黑体" w:hAnsi="黑体" w:hint="eastAsia"/>
                <w:sz w:val="20"/>
                <w:szCs w:val="20"/>
              </w:rPr>
              <w:t>政策性银行</w:t>
            </w:r>
          </w:p>
        </w:tc>
        <w:tc>
          <w:tcPr>
            <w:tcW w:w="1473" w:type="dxa"/>
            <w:tcBorders>
              <w:top w:val="nil"/>
              <w:left w:val="nil"/>
              <w:bottom w:val="single" w:sz="8" w:space="0" w:color="auto"/>
              <w:right w:val="single" w:sz="8" w:space="0" w:color="auto"/>
            </w:tcBorders>
            <w:shd w:val="clear" w:color="auto" w:fill="auto"/>
            <w:vAlign w:val="center"/>
          </w:tcPr>
          <w:p w14:paraId="4E38BF73" w14:textId="77777777" w:rsidR="00A052DC" w:rsidRDefault="009F0A60">
            <w:pPr>
              <w:rPr>
                <w:rFonts w:ascii="黑体" w:eastAsia="黑体" w:hAnsi="黑体"/>
                <w:sz w:val="20"/>
                <w:szCs w:val="20"/>
              </w:rPr>
            </w:pPr>
            <w:r>
              <w:rPr>
                <w:rFonts w:ascii="黑体" w:eastAsia="黑体" w:hAnsi="黑体"/>
                <w:sz w:val="20"/>
                <w:szCs w:val="20"/>
              </w:rPr>
              <w:t>10110301</w:t>
            </w:r>
          </w:p>
        </w:tc>
      </w:tr>
      <w:tr w:rsidR="00A052DC" w14:paraId="1966C2F7" w14:textId="77777777">
        <w:trPr>
          <w:trHeight w:val="285"/>
        </w:trPr>
        <w:tc>
          <w:tcPr>
            <w:tcW w:w="724" w:type="dxa"/>
            <w:vMerge/>
            <w:tcBorders>
              <w:top w:val="single" w:sz="8" w:space="0" w:color="auto"/>
              <w:left w:val="single" w:sz="8" w:space="0" w:color="auto"/>
              <w:bottom w:val="single" w:sz="8" w:space="0" w:color="000000"/>
              <w:right w:val="single" w:sz="8" w:space="0" w:color="auto"/>
            </w:tcBorders>
            <w:vAlign w:val="center"/>
          </w:tcPr>
          <w:p w14:paraId="3B7C45AF" w14:textId="77777777" w:rsidR="00A052DC" w:rsidRDefault="00A052DC">
            <w:pPr>
              <w:ind w:firstLine="48"/>
              <w:rPr>
                <w:rFonts w:ascii="黑体" w:eastAsia="黑体" w:hAnsi="黑体"/>
                <w:sz w:val="20"/>
                <w:szCs w:val="20"/>
              </w:rPr>
            </w:pPr>
          </w:p>
        </w:tc>
        <w:tc>
          <w:tcPr>
            <w:tcW w:w="886" w:type="dxa"/>
            <w:vMerge/>
            <w:tcBorders>
              <w:top w:val="single" w:sz="8" w:space="0" w:color="auto"/>
              <w:left w:val="single" w:sz="8" w:space="0" w:color="auto"/>
              <w:bottom w:val="single" w:sz="8" w:space="0" w:color="000000"/>
              <w:right w:val="single" w:sz="8" w:space="0" w:color="auto"/>
            </w:tcBorders>
            <w:vAlign w:val="center"/>
          </w:tcPr>
          <w:p w14:paraId="298A295C" w14:textId="77777777" w:rsidR="00A052DC" w:rsidRDefault="00A052DC">
            <w:pPr>
              <w:rPr>
                <w:rFonts w:ascii="黑体" w:eastAsia="黑体" w:hAnsi="黑体"/>
                <w:sz w:val="20"/>
                <w:szCs w:val="20"/>
              </w:rPr>
            </w:pPr>
          </w:p>
        </w:tc>
        <w:tc>
          <w:tcPr>
            <w:tcW w:w="1970" w:type="dxa"/>
            <w:vMerge/>
            <w:tcBorders>
              <w:top w:val="nil"/>
              <w:left w:val="single" w:sz="8" w:space="0" w:color="auto"/>
              <w:bottom w:val="single" w:sz="8" w:space="0" w:color="000000"/>
              <w:right w:val="single" w:sz="8" w:space="0" w:color="auto"/>
            </w:tcBorders>
            <w:vAlign w:val="center"/>
          </w:tcPr>
          <w:p w14:paraId="34617FA5" w14:textId="77777777" w:rsidR="00A052DC" w:rsidRDefault="00A052DC">
            <w:pPr>
              <w:rPr>
                <w:rFonts w:ascii="黑体" w:eastAsia="黑体" w:hAnsi="黑体"/>
                <w:sz w:val="20"/>
                <w:szCs w:val="20"/>
              </w:rPr>
            </w:pPr>
          </w:p>
        </w:tc>
        <w:tc>
          <w:tcPr>
            <w:tcW w:w="1054" w:type="dxa"/>
            <w:vMerge/>
            <w:tcBorders>
              <w:top w:val="nil"/>
              <w:left w:val="single" w:sz="8" w:space="0" w:color="auto"/>
              <w:bottom w:val="single" w:sz="8" w:space="0" w:color="000000"/>
              <w:right w:val="single" w:sz="8" w:space="0" w:color="auto"/>
            </w:tcBorders>
            <w:vAlign w:val="center"/>
          </w:tcPr>
          <w:p w14:paraId="1B6AB2E3" w14:textId="77777777" w:rsidR="00A052DC" w:rsidRDefault="00A052DC">
            <w:pPr>
              <w:rPr>
                <w:rFonts w:ascii="黑体" w:eastAsia="黑体" w:hAnsi="黑体"/>
                <w:sz w:val="20"/>
                <w:szCs w:val="20"/>
              </w:rPr>
            </w:pPr>
          </w:p>
        </w:tc>
        <w:tc>
          <w:tcPr>
            <w:tcW w:w="2272" w:type="dxa"/>
            <w:tcBorders>
              <w:top w:val="nil"/>
              <w:left w:val="nil"/>
              <w:bottom w:val="single" w:sz="8" w:space="0" w:color="auto"/>
              <w:right w:val="single" w:sz="8" w:space="0" w:color="auto"/>
            </w:tcBorders>
            <w:shd w:val="clear" w:color="auto" w:fill="auto"/>
            <w:vAlign w:val="center"/>
          </w:tcPr>
          <w:p w14:paraId="675D6F0D" w14:textId="77777777" w:rsidR="00A052DC" w:rsidRDefault="009F0A60">
            <w:pPr>
              <w:rPr>
                <w:rFonts w:ascii="黑体" w:eastAsia="黑体" w:hAnsi="黑体"/>
                <w:sz w:val="20"/>
                <w:szCs w:val="20"/>
              </w:rPr>
            </w:pPr>
            <w:r>
              <w:rPr>
                <w:rFonts w:ascii="黑体" w:eastAsia="黑体" w:hAnsi="黑体" w:hint="eastAsia"/>
                <w:sz w:val="20"/>
                <w:szCs w:val="20"/>
              </w:rPr>
              <w:t>国有商业银行</w:t>
            </w:r>
          </w:p>
        </w:tc>
        <w:tc>
          <w:tcPr>
            <w:tcW w:w="1473" w:type="dxa"/>
            <w:tcBorders>
              <w:top w:val="nil"/>
              <w:left w:val="nil"/>
              <w:bottom w:val="single" w:sz="8" w:space="0" w:color="auto"/>
              <w:right w:val="single" w:sz="8" w:space="0" w:color="auto"/>
            </w:tcBorders>
            <w:shd w:val="clear" w:color="auto" w:fill="auto"/>
            <w:vAlign w:val="center"/>
          </w:tcPr>
          <w:p w14:paraId="067A3598" w14:textId="77777777" w:rsidR="00A052DC" w:rsidRDefault="009F0A60">
            <w:pPr>
              <w:rPr>
                <w:rFonts w:ascii="黑体" w:eastAsia="黑体" w:hAnsi="黑体"/>
                <w:sz w:val="20"/>
                <w:szCs w:val="20"/>
              </w:rPr>
            </w:pPr>
            <w:r>
              <w:rPr>
                <w:rFonts w:ascii="黑体" w:eastAsia="黑体" w:hAnsi="黑体"/>
                <w:sz w:val="20"/>
                <w:szCs w:val="20"/>
              </w:rPr>
              <w:t>10110302</w:t>
            </w:r>
          </w:p>
        </w:tc>
      </w:tr>
      <w:tr w:rsidR="00A052DC" w14:paraId="728656C0" w14:textId="77777777">
        <w:trPr>
          <w:trHeight w:val="285"/>
        </w:trPr>
        <w:tc>
          <w:tcPr>
            <w:tcW w:w="724" w:type="dxa"/>
            <w:vMerge/>
            <w:tcBorders>
              <w:top w:val="single" w:sz="8" w:space="0" w:color="auto"/>
              <w:left w:val="single" w:sz="8" w:space="0" w:color="auto"/>
              <w:bottom w:val="single" w:sz="8" w:space="0" w:color="000000"/>
              <w:right w:val="single" w:sz="8" w:space="0" w:color="auto"/>
            </w:tcBorders>
            <w:vAlign w:val="center"/>
          </w:tcPr>
          <w:p w14:paraId="165240CB" w14:textId="77777777" w:rsidR="00A052DC" w:rsidRDefault="00A052DC">
            <w:pPr>
              <w:ind w:firstLine="48"/>
              <w:rPr>
                <w:rFonts w:ascii="黑体" w:eastAsia="黑体" w:hAnsi="黑体"/>
                <w:sz w:val="20"/>
                <w:szCs w:val="20"/>
              </w:rPr>
            </w:pPr>
          </w:p>
        </w:tc>
        <w:tc>
          <w:tcPr>
            <w:tcW w:w="886" w:type="dxa"/>
            <w:vMerge/>
            <w:tcBorders>
              <w:top w:val="single" w:sz="8" w:space="0" w:color="auto"/>
              <w:left w:val="single" w:sz="8" w:space="0" w:color="auto"/>
              <w:bottom w:val="single" w:sz="8" w:space="0" w:color="000000"/>
              <w:right w:val="single" w:sz="8" w:space="0" w:color="auto"/>
            </w:tcBorders>
            <w:vAlign w:val="center"/>
          </w:tcPr>
          <w:p w14:paraId="6C8C7506" w14:textId="77777777" w:rsidR="00A052DC" w:rsidRDefault="00A052DC">
            <w:pPr>
              <w:rPr>
                <w:rFonts w:ascii="黑体" w:eastAsia="黑体" w:hAnsi="黑体"/>
                <w:sz w:val="20"/>
                <w:szCs w:val="20"/>
              </w:rPr>
            </w:pPr>
          </w:p>
        </w:tc>
        <w:tc>
          <w:tcPr>
            <w:tcW w:w="1970" w:type="dxa"/>
            <w:vMerge/>
            <w:tcBorders>
              <w:top w:val="nil"/>
              <w:left w:val="single" w:sz="8" w:space="0" w:color="auto"/>
              <w:bottom w:val="single" w:sz="8" w:space="0" w:color="000000"/>
              <w:right w:val="single" w:sz="8" w:space="0" w:color="auto"/>
            </w:tcBorders>
            <w:vAlign w:val="center"/>
          </w:tcPr>
          <w:p w14:paraId="637259BE" w14:textId="77777777" w:rsidR="00A052DC" w:rsidRDefault="00A052DC">
            <w:pPr>
              <w:rPr>
                <w:rFonts w:ascii="黑体" w:eastAsia="黑体" w:hAnsi="黑体"/>
                <w:sz w:val="20"/>
                <w:szCs w:val="20"/>
              </w:rPr>
            </w:pPr>
          </w:p>
        </w:tc>
        <w:tc>
          <w:tcPr>
            <w:tcW w:w="1054" w:type="dxa"/>
            <w:vMerge/>
            <w:tcBorders>
              <w:top w:val="nil"/>
              <w:left w:val="single" w:sz="8" w:space="0" w:color="auto"/>
              <w:bottom w:val="single" w:sz="8" w:space="0" w:color="000000"/>
              <w:right w:val="single" w:sz="8" w:space="0" w:color="auto"/>
            </w:tcBorders>
            <w:vAlign w:val="center"/>
          </w:tcPr>
          <w:p w14:paraId="34E9C3E3" w14:textId="77777777" w:rsidR="00A052DC" w:rsidRDefault="00A052DC">
            <w:pPr>
              <w:rPr>
                <w:rFonts w:ascii="黑体" w:eastAsia="黑体" w:hAnsi="黑体"/>
                <w:sz w:val="20"/>
                <w:szCs w:val="20"/>
              </w:rPr>
            </w:pPr>
          </w:p>
        </w:tc>
        <w:tc>
          <w:tcPr>
            <w:tcW w:w="2272" w:type="dxa"/>
            <w:tcBorders>
              <w:top w:val="nil"/>
              <w:left w:val="nil"/>
              <w:bottom w:val="single" w:sz="8" w:space="0" w:color="auto"/>
              <w:right w:val="single" w:sz="8" w:space="0" w:color="auto"/>
            </w:tcBorders>
            <w:shd w:val="clear" w:color="auto" w:fill="auto"/>
            <w:vAlign w:val="center"/>
          </w:tcPr>
          <w:p w14:paraId="070CAA98" w14:textId="77777777" w:rsidR="00A052DC" w:rsidRDefault="009F0A60">
            <w:pPr>
              <w:rPr>
                <w:rFonts w:ascii="黑体" w:eastAsia="黑体" w:hAnsi="黑体"/>
                <w:sz w:val="20"/>
                <w:szCs w:val="20"/>
              </w:rPr>
            </w:pPr>
            <w:r>
              <w:rPr>
                <w:rFonts w:ascii="黑体" w:eastAsia="黑体" w:hAnsi="黑体" w:hint="eastAsia"/>
                <w:sz w:val="20"/>
                <w:szCs w:val="20"/>
              </w:rPr>
              <w:t>股份制银行</w:t>
            </w:r>
          </w:p>
        </w:tc>
        <w:tc>
          <w:tcPr>
            <w:tcW w:w="1473" w:type="dxa"/>
            <w:tcBorders>
              <w:top w:val="nil"/>
              <w:left w:val="nil"/>
              <w:bottom w:val="single" w:sz="8" w:space="0" w:color="auto"/>
              <w:right w:val="single" w:sz="8" w:space="0" w:color="auto"/>
            </w:tcBorders>
            <w:shd w:val="clear" w:color="auto" w:fill="auto"/>
            <w:vAlign w:val="center"/>
          </w:tcPr>
          <w:p w14:paraId="0BF93581" w14:textId="77777777" w:rsidR="00A052DC" w:rsidRDefault="009F0A60">
            <w:pPr>
              <w:rPr>
                <w:rFonts w:ascii="黑体" w:eastAsia="黑体" w:hAnsi="黑体"/>
                <w:sz w:val="20"/>
                <w:szCs w:val="20"/>
              </w:rPr>
            </w:pPr>
            <w:r>
              <w:rPr>
                <w:rFonts w:ascii="黑体" w:eastAsia="黑体" w:hAnsi="黑体"/>
                <w:sz w:val="20"/>
                <w:szCs w:val="20"/>
              </w:rPr>
              <w:t>10110303</w:t>
            </w:r>
          </w:p>
        </w:tc>
      </w:tr>
      <w:tr w:rsidR="00A052DC" w14:paraId="0E7236B0" w14:textId="77777777">
        <w:trPr>
          <w:trHeight w:val="285"/>
        </w:trPr>
        <w:tc>
          <w:tcPr>
            <w:tcW w:w="724" w:type="dxa"/>
            <w:vMerge/>
            <w:tcBorders>
              <w:top w:val="single" w:sz="8" w:space="0" w:color="auto"/>
              <w:left w:val="single" w:sz="8" w:space="0" w:color="auto"/>
              <w:bottom w:val="single" w:sz="8" w:space="0" w:color="000000"/>
              <w:right w:val="single" w:sz="8" w:space="0" w:color="auto"/>
            </w:tcBorders>
            <w:vAlign w:val="center"/>
          </w:tcPr>
          <w:p w14:paraId="26BAE921" w14:textId="77777777" w:rsidR="00A052DC" w:rsidRDefault="00A052DC">
            <w:pPr>
              <w:ind w:firstLine="48"/>
              <w:rPr>
                <w:rFonts w:ascii="黑体" w:eastAsia="黑体" w:hAnsi="黑体"/>
                <w:sz w:val="20"/>
                <w:szCs w:val="20"/>
              </w:rPr>
            </w:pPr>
          </w:p>
        </w:tc>
        <w:tc>
          <w:tcPr>
            <w:tcW w:w="886" w:type="dxa"/>
            <w:vMerge/>
            <w:tcBorders>
              <w:top w:val="single" w:sz="8" w:space="0" w:color="auto"/>
              <w:left w:val="single" w:sz="8" w:space="0" w:color="auto"/>
              <w:bottom w:val="single" w:sz="8" w:space="0" w:color="000000"/>
              <w:right w:val="single" w:sz="8" w:space="0" w:color="auto"/>
            </w:tcBorders>
            <w:vAlign w:val="center"/>
          </w:tcPr>
          <w:p w14:paraId="6B8E67AF" w14:textId="77777777" w:rsidR="00A052DC" w:rsidRDefault="00A052DC">
            <w:pPr>
              <w:rPr>
                <w:rFonts w:ascii="黑体" w:eastAsia="黑体" w:hAnsi="黑体"/>
                <w:sz w:val="20"/>
                <w:szCs w:val="20"/>
              </w:rPr>
            </w:pPr>
          </w:p>
        </w:tc>
        <w:tc>
          <w:tcPr>
            <w:tcW w:w="1970" w:type="dxa"/>
            <w:vMerge/>
            <w:tcBorders>
              <w:top w:val="nil"/>
              <w:left w:val="single" w:sz="8" w:space="0" w:color="auto"/>
              <w:bottom w:val="single" w:sz="8" w:space="0" w:color="000000"/>
              <w:right w:val="single" w:sz="8" w:space="0" w:color="auto"/>
            </w:tcBorders>
            <w:vAlign w:val="center"/>
          </w:tcPr>
          <w:p w14:paraId="512C9677" w14:textId="77777777" w:rsidR="00A052DC" w:rsidRDefault="00A052DC">
            <w:pPr>
              <w:rPr>
                <w:rFonts w:ascii="黑体" w:eastAsia="黑体" w:hAnsi="黑体"/>
                <w:sz w:val="20"/>
                <w:szCs w:val="20"/>
              </w:rPr>
            </w:pPr>
          </w:p>
        </w:tc>
        <w:tc>
          <w:tcPr>
            <w:tcW w:w="1054" w:type="dxa"/>
            <w:vMerge/>
            <w:tcBorders>
              <w:top w:val="nil"/>
              <w:left w:val="single" w:sz="8" w:space="0" w:color="auto"/>
              <w:bottom w:val="single" w:sz="8" w:space="0" w:color="000000"/>
              <w:right w:val="single" w:sz="8" w:space="0" w:color="auto"/>
            </w:tcBorders>
            <w:vAlign w:val="center"/>
          </w:tcPr>
          <w:p w14:paraId="369530AB" w14:textId="77777777" w:rsidR="00A052DC" w:rsidRDefault="00A052DC">
            <w:pPr>
              <w:rPr>
                <w:rFonts w:ascii="黑体" w:eastAsia="黑体" w:hAnsi="黑体"/>
                <w:sz w:val="20"/>
                <w:szCs w:val="20"/>
              </w:rPr>
            </w:pPr>
          </w:p>
        </w:tc>
        <w:tc>
          <w:tcPr>
            <w:tcW w:w="2272" w:type="dxa"/>
            <w:tcBorders>
              <w:top w:val="nil"/>
              <w:left w:val="nil"/>
              <w:bottom w:val="single" w:sz="8" w:space="0" w:color="auto"/>
              <w:right w:val="single" w:sz="8" w:space="0" w:color="auto"/>
            </w:tcBorders>
            <w:shd w:val="clear" w:color="auto" w:fill="auto"/>
            <w:vAlign w:val="center"/>
          </w:tcPr>
          <w:p w14:paraId="1478D702" w14:textId="77777777" w:rsidR="00A052DC" w:rsidRDefault="0021563C">
            <w:pPr>
              <w:rPr>
                <w:rFonts w:ascii="黑体" w:eastAsia="黑体" w:hAnsi="黑体"/>
                <w:sz w:val="20"/>
                <w:szCs w:val="20"/>
              </w:rPr>
            </w:pPr>
            <w:r>
              <w:rPr>
                <w:rFonts w:ascii="黑体" w:eastAsia="黑体" w:hAnsi="黑体" w:hint="eastAsia"/>
                <w:sz w:val="20"/>
                <w:szCs w:val="20"/>
              </w:rPr>
              <w:t>其他</w:t>
            </w:r>
            <w:r w:rsidR="009F0A60">
              <w:rPr>
                <w:rFonts w:ascii="黑体" w:eastAsia="黑体" w:hAnsi="黑体" w:hint="eastAsia"/>
                <w:sz w:val="20"/>
                <w:szCs w:val="20"/>
              </w:rPr>
              <w:t>中资银行</w:t>
            </w:r>
          </w:p>
        </w:tc>
        <w:tc>
          <w:tcPr>
            <w:tcW w:w="1473" w:type="dxa"/>
            <w:tcBorders>
              <w:top w:val="nil"/>
              <w:left w:val="nil"/>
              <w:bottom w:val="single" w:sz="8" w:space="0" w:color="auto"/>
              <w:right w:val="single" w:sz="8" w:space="0" w:color="auto"/>
            </w:tcBorders>
            <w:shd w:val="clear" w:color="auto" w:fill="auto"/>
            <w:vAlign w:val="center"/>
          </w:tcPr>
          <w:p w14:paraId="7ADD14C1" w14:textId="77777777" w:rsidR="00A052DC" w:rsidRDefault="009F0A60">
            <w:pPr>
              <w:rPr>
                <w:rFonts w:ascii="黑体" w:eastAsia="黑体" w:hAnsi="黑体"/>
                <w:sz w:val="20"/>
                <w:szCs w:val="20"/>
              </w:rPr>
            </w:pPr>
            <w:r>
              <w:rPr>
                <w:rFonts w:ascii="黑体" w:eastAsia="黑体" w:hAnsi="黑体"/>
                <w:sz w:val="20"/>
                <w:szCs w:val="20"/>
              </w:rPr>
              <w:t>10110399</w:t>
            </w:r>
          </w:p>
        </w:tc>
      </w:tr>
      <w:tr w:rsidR="00A052DC" w14:paraId="53EB8D83" w14:textId="77777777">
        <w:trPr>
          <w:trHeight w:val="285"/>
        </w:trPr>
        <w:tc>
          <w:tcPr>
            <w:tcW w:w="724" w:type="dxa"/>
            <w:vMerge/>
            <w:tcBorders>
              <w:top w:val="single" w:sz="8" w:space="0" w:color="auto"/>
              <w:left w:val="single" w:sz="8" w:space="0" w:color="auto"/>
              <w:bottom w:val="single" w:sz="8" w:space="0" w:color="000000"/>
              <w:right w:val="single" w:sz="8" w:space="0" w:color="auto"/>
            </w:tcBorders>
            <w:vAlign w:val="center"/>
          </w:tcPr>
          <w:p w14:paraId="4EA8BA1B" w14:textId="77777777" w:rsidR="00A052DC" w:rsidRDefault="00A052DC">
            <w:pPr>
              <w:ind w:firstLine="48"/>
              <w:rPr>
                <w:rFonts w:ascii="黑体" w:eastAsia="黑体" w:hAnsi="黑体"/>
                <w:sz w:val="20"/>
                <w:szCs w:val="20"/>
              </w:rPr>
            </w:pPr>
          </w:p>
        </w:tc>
        <w:tc>
          <w:tcPr>
            <w:tcW w:w="886" w:type="dxa"/>
            <w:vMerge/>
            <w:tcBorders>
              <w:top w:val="single" w:sz="8" w:space="0" w:color="auto"/>
              <w:left w:val="single" w:sz="8" w:space="0" w:color="auto"/>
              <w:bottom w:val="single" w:sz="8" w:space="0" w:color="000000"/>
              <w:right w:val="single" w:sz="8" w:space="0" w:color="auto"/>
            </w:tcBorders>
            <w:vAlign w:val="center"/>
          </w:tcPr>
          <w:p w14:paraId="39F8722E" w14:textId="77777777" w:rsidR="00A052DC" w:rsidRDefault="00A052DC">
            <w:pPr>
              <w:rPr>
                <w:rFonts w:ascii="黑体" w:eastAsia="黑体" w:hAnsi="黑体"/>
                <w:sz w:val="20"/>
                <w:szCs w:val="20"/>
              </w:rPr>
            </w:pPr>
          </w:p>
        </w:tc>
        <w:tc>
          <w:tcPr>
            <w:tcW w:w="1970" w:type="dxa"/>
            <w:vMerge w:val="restart"/>
            <w:tcBorders>
              <w:top w:val="nil"/>
              <w:left w:val="single" w:sz="8" w:space="0" w:color="auto"/>
              <w:bottom w:val="single" w:sz="8" w:space="0" w:color="000000"/>
              <w:right w:val="single" w:sz="8" w:space="0" w:color="auto"/>
            </w:tcBorders>
            <w:shd w:val="clear" w:color="auto" w:fill="auto"/>
            <w:vAlign w:val="center"/>
          </w:tcPr>
          <w:p w14:paraId="0B41166C" w14:textId="77777777" w:rsidR="00A052DC" w:rsidRDefault="009F0A60">
            <w:pPr>
              <w:rPr>
                <w:rFonts w:ascii="黑体" w:eastAsia="黑体" w:hAnsi="黑体"/>
                <w:sz w:val="20"/>
                <w:szCs w:val="20"/>
              </w:rPr>
            </w:pPr>
            <w:r>
              <w:rPr>
                <w:rFonts w:ascii="黑体" w:eastAsia="黑体" w:hAnsi="黑体" w:hint="eastAsia"/>
                <w:sz w:val="20"/>
                <w:szCs w:val="20"/>
              </w:rPr>
              <w:t>中资非银行金融机构</w:t>
            </w:r>
          </w:p>
        </w:tc>
        <w:tc>
          <w:tcPr>
            <w:tcW w:w="1054" w:type="dxa"/>
            <w:vMerge w:val="restart"/>
            <w:tcBorders>
              <w:top w:val="nil"/>
              <w:left w:val="single" w:sz="8" w:space="0" w:color="auto"/>
              <w:bottom w:val="single" w:sz="8" w:space="0" w:color="000000"/>
              <w:right w:val="single" w:sz="8" w:space="0" w:color="auto"/>
            </w:tcBorders>
            <w:shd w:val="clear" w:color="auto" w:fill="auto"/>
            <w:vAlign w:val="center"/>
          </w:tcPr>
          <w:p w14:paraId="5B05DA31" w14:textId="77777777" w:rsidR="00A052DC" w:rsidRDefault="009F0A60">
            <w:pPr>
              <w:rPr>
                <w:rFonts w:ascii="黑体" w:eastAsia="黑体" w:hAnsi="黑体"/>
                <w:sz w:val="20"/>
                <w:szCs w:val="20"/>
              </w:rPr>
            </w:pPr>
            <w:r>
              <w:rPr>
                <w:rFonts w:ascii="黑体" w:eastAsia="黑体" w:hAnsi="黑体"/>
                <w:sz w:val="20"/>
                <w:szCs w:val="20"/>
              </w:rPr>
              <w:t>101104</w:t>
            </w:r>
          </w:p>
        </w:tc>
        <w:tc>
          <w:tcPr>
            <w:tcW w:w="2272" w:type="dxa"/>
            <w:tcBorders>
              <w:top w:val="nil"/>
              <w:left w:val="nil"/>
              <w:bottom w:val="single" w:sz="8" w:space="0" w:color="auto"/>
              <w:right w:val="single" w:sz="8" w:space="0" w:color="auto"/>
            </w:tcBorders>
            <w:shd w:val="clear" w:color="auto" w:fill="auto"/>
            <w:vAlign w:val="center"/>
          </w:tcPr>
          <w:p w14:paraId="0A90630B" w14:textId="77777777" w:rsidR="00A052DC" w:rsidRDefault="009F0A60">
            <w:pPr>
              <w:rPr>
                <w:rFonts w:ascii="黑体" w:eastAsia="黑体" w:hAnsi="黑体"/>
                <w:sz w:val="20"/>
                <w:szCs w:val="20"/>
              </w:rPr>
            </w:pPr>
            <w:r>
              <w:rPr>
                <w:rFonts w:ascii="黑体" w:eastAsia="黑体" w:hAnsi="黑体" w:hint="eastAsia"/>
                <w:sz w:val="20"/>
                <w:szCs w:val="20"/>
              </w:rPr>
              <w:t>中资信托公司</w:t>
            </w:r>
          </w:p>
        </w:tc>
        <w:tc>
          <w:tcPr>
            <w:tcW w:w="1473" w:type="dxa"/>
            <w:tcBorders>
              <w:top w:val="nil"/>
              <w:left w:val="nil"/>
              <w:bottom w:val="single" w:sz="8" w:space="0" w:color="auto"/>
              <w:right w:val="single" w:sz="8" w:space="0" w:color="auto"/>
            </w:tcBorders>
            <w:shd w:val="clear" w:color="auto" w:fill="auto"/>
            <w:vAlign w:val="center"/>
          </w:tcPr>
          <w:p w14:paraId="60345D48" w14:textId="77777777" w:rsidR="00A052DC" w:rsidRDefault="009F0A60">
            <w:pPr>
              <w:rPr>
                <w:rFonts w:ascii="黑体" w:eastAsia="黑体" w:hAnsi="黑体"/>
                <w:sz w:val="20"/>
                <w:szCs w:val="20"/>
              </w:rPr>
            </w:pPr>
            <w:r>
              <w:rPr>
                <w:rFonts w:ascii="黑体" w:eastAsia="黑体" w:hAnsi="黑体"/>
                <w:sz w:val="20"/>
                <w:szCs w:val="20"/>
              </w:rPr>
              <w:t>10110401</w:t>
            </w:r>
          </w:p>
        </w:tc>
      </w:tr>
      <w:tr w:rsidR="00A052DC" w14:paraId="79F5F7F3" w14:textId="77777777">
        <w:trPr>
          <w:trHeight w:val="285"/>
        </w:trPr>
        <w:tc>
          <w:tcPr>
            <w:tcW w:w="724" w:type="dxa"/>
            <w:vMerge/>
            <w:tcBorders>
              <w:top w:val="single" w:sz="8" w:space="0" w:color="auto"/>
              <w:left w:val="single" w:sz="8" w:space="0" w:color="auto"/>
              <w:bottom w:val="single" w:sz="8" w:space="0" w:color="000000"/>
              <w:right w:val="single" w:sz="8" w:space="0" w:color="auto"/>
            </w:tcBorders>
            <w:vAlign w:val="center"/>
          </w:tcPr>
          <w:p w14:paraId="0EA0CC2F" w14:textId="77777777" w:rsidR="00A052DC" w:rsidRDefault="00A052DC">
            <w:pPr>
              <w:ind w:firstLine="48"/>
              <w:rPr>
                <w:rFonts w:ascii="黑体" w:eastAsia="黑体" w:hAnsi="黑体"/>
                <w:sz w:val="20"/>
                <w:szCs w:val="20"/>
              </w:rPr>
            </w:pPr>
          </w:p>
        </w:tc>
        <w:tc>
          <w:tcPr>
            <w:tcW w:w="886" w:type="dxa"/>
            <w:vMerge/>
            <w:tcBorders>
              <w:top w:val="single" w:sz="8" w:space="0" w:color="auto"/>
              <w:left w:val="single" w:sz="8" w:space="0" w:color="auto"/>
              <w:bottom w:val="single" w:sz="8" w:space="0" w:color="000000"/>
              <w:right w:val="single" w:sz="8" w:space="0" w:color="auto"/>
            </w:tcBorders>
            <w:vAlign w:val="center"/>
          </w:tcPr>
          <w:p w14:paraId="49C5E8A3" w14:textId="77777777" w:rsidR="00A052DC" w:rsidRDefault="00A052DC">
            <w:pPr>
              <w:rPr>
                <w:rFonts w:ascii="黑体" w:eastAsia="黑体" w:hAnsi="黑体"/>
                <w:sz w:val="20"/>
                <w:szCs w:val="20"/>
              </w:rPr>
            </w:pPr>
          </w:p>
        </w:tc>
        <w:tc>
          <w:tcPr>
            <w:tcW w:w="1970" w:type="dxa"/>
            <w:vMerge/>
            <w:tcBorders>
              <w:top w:val="nil"/>
              <w:left w:val="single" w:sz="8" w:space="0" w:color="auto"/>
              <w:bottom w:val="single" w:sz="8" w:space="0" w:color="000000"/>
              <w:right w:val="single" w:sz="8" w:space="0" w:color="auto"/>
            </w:tcBorders>
            <w:vAlign w:val="center"/>
          </w:tcPr>
          <w:p w14:paraId="487A8C95" w14:textId="77777777" w:rsidR="00A052DC" w:rsidRDefault="00A052DC">
            <w:pPr>
              <w:rPr>
                <w:rFonts w:ascii="黑体" w:eastAsia="黑体" w:hAnsi="黑体"/>
                <w:sz w:val="20"/>
                <w:szCs w:val="20"/>
              </w:rPr>
            </w:pPr>
          </w:p>
        </w:tc>
        <w:tc>
          <w:tcPr>
            <w:tcW w:w="1054" w:type="dxa"/>
            <w:vMerge/>
            <w:tcBorders>
              <w:top w:val="nil"/>
              <w:left w:val="single" w:sz="8" w:space="0" w:color="auto"/>
              <w:bottom w:val="single" w:sz="8" w:space="0" w:color="000000"/>
              <w:right w:val="single" w:sz="8" w:space="0" w:color="auto"/>
            </w:tcBorders>
            <w:vAlign w:val="center"/>
          </w:tcPr>
          <w:p w14:paraId="20700207" w14:textId="77777777" w:rsidR="00A052DC" w:rsidRDefault="00A052DC">
            <w:pPr>
              <w:rPr>
                <w:rFonts w:ascii="黑体" w:eastAsia="黑体" w:hAnsi="黑体"/>
                <w:sz w:val="20"/>
                <w:szCs w:val="20"/>
              </w:rPr>
            </w:pPr>
          </w:p>
        </w:tc>
        <w:tc>
          <w:tcPr>
            <w:tcW w:w="2272" w:type="dxa"/>
            <w:tcBorders>
              <w:top w:val="nil"/>
              <w:left w:val="nil"/>
              <w:bottom w:val="single" w:sz="8" w:space="0" w:color="auto"/>
              <w:right w:val="single" w:sz="8" w:space="0" w:color="auto"/>
            </w:tcBorders>
            <w:shd w:val="clear" w:color="auto" w:fill="auto"/>
            <w:vAlign w:val="center"/>
          </w:tcPr>
          <w:p w14:paraId="040A8E7A" w14:textId="77777777" w:rsidR="00A052DC" w:rsidRDefault="009F0A60">
            <w:pPr>
              <w:rPr>
                <w:rFonts w:ascii="黑体" w:eastAsia="黑体" w:hAnsi="黑体"/>
                <w:sz w:val="20"/>
                <w:szCs w:val="20"/>
              </w:rPr>
            </w:pPr>
            <w:r>
              <w:rPr>
                <w:rFonts w:ascii="黑体" w:eastAsia="黑体" w:hAnsi="黑体" w:hint="eastAsia"/>
                <w:sz w:val="20"/>
                <w:szCs w:val="20"/>
              </w:rPr>
              <w:t>中资财务公司</w:t>
            </w:r>
          </w:p>
        </w:tc>
        <w:tc>
          <w:tcPr>
            <w:tcW w:w="1473" w:type="dxa"/>
            <w:tcBorders>
              <w:top w:val="nil"/>
              <w:left w:val="nil"/>
              <w:bottom w:val="single" w:sz="8" w:space="0" w:color="auto"/>
              <w:right w:val="single" w:sz="8" w:space="0" w:color="auto"/>
            </w:tcBorders>
            <w:shd w:val="clear" w:color="auto" w:fill="auto"/>
            <w:vAlign w:val="center"/>
          </w:tcPr>
          <w:p w14:paraId="2408A02F" w14:textId="77777777" w:rsidR="00A052DC" w:rsidRDefault="009F0A60">
            <w:pPr>
              <w:rPr>
                <w:rFonts w:ascii="黑体" w:eastAsia="黑体" w:hAnsi="黑体"/>
                <w:sz w:val="20"/>
                <w:szCs w:val="20"/>
              </w:rPr>
            </w:pPr>
            <w:r>
              <w:rPr>
                <w:rFonts w:ascii="黑体" w:eastAsia="黑体" w:hAnsi="黑体"/>
                <w:sz w:val="20"/>
                <w:szCs w:val="20"/>
              </w:rPr>
              <w:t>10110402</w:t>
            </w:r>
          </w:p>
        </w:tc>
      </w:tr>
      <w:tr w:rsidR="00A052DC" w14:paraId="4E5E5962" w14:textId="77777777">
        <w:trPr>
          <w:trHeight w:val="285"/>
        </w:trPr>
        <w:tc>
          <w:tcPr>
            <w:tcW w:w="724" w:type="dxa"/>
            <w:vMerge/>
            <w:tcBorders>
              <w:top w:val="single" w:sz="8" w:space="0" w:color="auto"/>
              <w:left w:val="single" w:sz="8" w:space="0" w:color="auto"/>
              <w:bottom w:val="single" w:sz="8" w:space="0" w:color="000000"/>
              <w:right w:val="single" w:sz="8" w:space="0" w:color="auto"/>
            </w:tcBorders>
            <w:vAlign w:val="center"/>
          </w:tcPr>
          <w:p w14:paraId="6C360D0D" w14:textId="77777777" w:rsidR="00A052DC" w:rsidRDefault="00A052DC">
            <w:pPr>
              <w:ind w:firstLine="48"/>
              <w:rPr>
                <w:rFonts w:ascii="黑体" w:eastAsia="黑体" w:hAnsi="黑体"/>
                <w:sz w:val="20"/>
                <w:szCs w:val="20"/>
              </w:rPr>
            </w:pPr>
          </w:p>
        </w:tc>
        <w:tc>
          <w:tcPr>
            <w:tcW w:w="886" w:type="dxa"/>
            <w:vMerge/>
            <w:tcBorders>
              <w:top w:val="single" w:sz="8" w:space="0" w:color="auto"/>
              <w:left w:val="single" w:sz="8" w:space="0" w:color="auto"/>
              <w:bottom w:val="single" w:sz="8" w:space="0" w:color="000000"/>
              <w:right w:val="single" w:sz="8" w:space="0" w:color="auto"/>
            </w:tcBorders>
            <w:vAlign w:val="center"/>
          </w:tcPr>
          <w:p w14:paraId="709F9B97" w14:textId="77777777" w:rsidR="00A052DC" w:rsidRDefault="00A052DC">
            <w:pPr>
              <w:rPr>
                <w:rFonts w:ascii="黑体" w:eastAsia="黑体" w:hAnsi="黑体"/>
                <w:sz w:val="20"/>
                <w:szCs w:val="20"/>
              </w:rPr>
            </w:pPr>
          </w:p>
        </w:tc>
        <w:tc>
          <w:tcPr>
            <w:tcW w:w="1970" w:type="dxa"/>
            <w:vMerge/>
            <w:tcBorders>
              <w:top w:val="nil"/>
              <w:left w:val="single" w:sz="8" w:space="0" w:color="auto"/>
              <w:bottom w:val="single" w:sz="8" w:space="0" w:color="000000"/>
              <w:right w:val="single" w:sz="8" w:space="0" w:color="auto"/>
            </w:tcBorders>
            <w:vAlign w:val="center"/>
          </w:tcPr>
          <w:p w14:paraId="3620D10A" w14:textId="77777777" w:rsidR="00A052DC" w:rsidRDefault="00A052DC">
            <w:pPr>
              <w:rPr>
                <w:rFonts w:ascii="黑体" w:eastAsia="黑体" w:hAnsi="黑体"/>
                <w:sz w:val="20"/>
                <w:szCs w:val="20"/>
              </w:rPr>
            </w:pPr>
          </w:p>
        </w:tc>
        <w:tc>
          <w:tcPr>
            <w:tcW w:w="1054" w:type="dxa"/>
            <w:vMerge/>
            <w:tcBorders>
              <w:top w:val="nil"/>
              <w:left w:val="single" w:sz="8" w:space="0" w:color="auto"/>
              <w:bottom w:val="single" w:sz="8" w:space="0" w:color="000000"/>
              <w:right w:val="single" w:sz="8" w:space="0" w:color="auto"/>
            </w:tcBorders>
            <w:vAlign w:val="center"/>
          </w:tcPr>
          <w:p w14:paraId="240036BD" w14:textId="77777777" w:rsidR="00A052DC" w:rsidRDefault="00A052DC">
            <w:pPr>
              <w:rPr>
                <w:rFonts w:ascii="黑体" w:eastAsia="黑体" w:hAnsi="黑体"/>
                <w:sz w:val="20"/>
                <w:szCs w:val="20"/>
              </w:rPr>
            </w:pPr>
          </w:p>
        </w:tc>
        <w:tc>
          <w:tcPr>
            <w:tcW w:w="2272" w:type="dxa"/>
            <w:tcBorders>
              <w:top w:val="nil"/>
              <w:left w:val="nil"/>
              <w:bottom w:val="single" w:sz="8" w:space="0" w:color="auto"/>
              <w:right w:val="single" w:sz="8" w:space="0" w:color="auto"/>
            </w:tcBorders>
            <w:shd w:val="clear" w:color="auto" w:fill="auto"/>
            <w:vAlign w:val="center"/>
          </w:tcPr>
          <w:p w14:paraId="3740BCCA" w14:textId="77777777" w:rsidR="00A052DC" w:rsidRDefault="009F0A60">
            <w:pPr>
              <w:rPr>
                <w:rFonts w:ascii="黑体" w:eastAsia="黑体" w:hAnsi="黑体"/>
                <w:sz w:val="20"/>
                <w:szCs w:val="20"/>
              </w:rPr>
            </w:pPr>
            <w:r>
              <w:rPr>
                <w:rFonts w:ascii="黑体" w:eastAsia="黑体" w:hAnsi="黑体" w:hint="eastAsia"/>
                <w:sz w:val="20"/>
                <w:szCs w:val="20"/>
              </w:rPr>
              <w:t>中资保险公司</w:t>
            </w:r>
          </w:p>
        </w:tc>
        <w:tc>
          <w:tcPr>
            <w:tcW w:w="1473" w:type="dxa"/>
            <w:tcBorders>
              <w:top w:val="nil"/>
              <w:left w:val="nil"/>
              <w:bottom w:val="single" w:sz="8" w:space="0" w:color="auto"/>
              <w:right w:val="single" w:sz="8" w:space="0" w:color="auto"/>
            </w:tcBorders>
            <w:shd w:val="clear" w:color="auto" w:fill="auto"/>
            <w:vAlign w:val="center"/>
          </w:tcPr>
          <w:p w14:paraId="499759D7" w14:textId="77777777" w:rsidR="00A052DC" w:rsidRDefault="009F0A60">
            <w:pPr>
              <w:rPr>
                <w:rFonts w:ascii="黑体" w:eastAsia="黑体" w:hAnsi="黑体"/>
                <w:sz w:val="20"/>
                <w:szCs w:val="20"/>
              </w:rPr>
            </w:pPr>
            <w:r>
              <w:rPr>
                <w:rFonts w:ascii="黑体" w:eastAsia="黑体" w:hAnsi="黑体"/>
                <w:sz w:val="20"/>
                <w:szCs w:val="20"/>
              </w:rPr>
              <w:t>10110403</w:t>
            </w:r>
          </w:p>
        </w:tc>
      </w:tr>
      <w:tr w:rsidR="00A052DC" w14:paraId="6EEDBDE6" w14:textId="77777777">
        <w:trPr>
          <w:trHeight w:val="285"/>
        </w:trPr>
        <w:tc>
          <w:tcPr>
            <w:tcW w:w="724" w:type="dxa"/>
            <w:vMerge/>
            <w:tcBorders>
              <w:top w:val="single" w:sz="8" w:space="0" w:color="auto"/>
              <w:left w:val="single" w:sz="8" w:space="0" w:color="auto"/>
              <w:bottom w:val="single" w:sz="8" w:space="0" w:color="000000"/>
              <w:right w:val="single" w:sz="8" w:space="0" w:color="auto"/>
            </w:tcBorders>
            <w:vAlign w:val="center"/>
          </w:tcPr>
          <w:p w14:paraId="1497DAFF" w14:textId="77777777" w:rsidR="00A052DC" w:rsidRDefault="00A052DC">
            <w:pPr>
              <w:ind w:firstLine="48"/>
              <w:rPr>
                <w:rFonts w:ascii="黑体" w:eastAsia="黑体" w:hAnsi="黑体"/>
                <w:sz w:val="20"/>
                <w:szCs w:val="20"/>
              </w:rPr>
            </w:pPr>
          </w:p>
        </w:tc>
        <w:tc>
          <w:tcPr>
            <w:tcW w:w="886" w:type="dxa"/>
            <w:vMerge/>
            <w:tcBorders>
              <w:top w:val="single" w:sz="8" w:space="0" w:color="auto"/>
              <w:left w:val="single" w:sz="8" w:space="0" w:color="auto"/>
              <w:bottom w:val="single" w:sz="8" w:space="0" w:color="000000"/>
              <w:right w:val="single" w:sz="8" w:space="0" w:color="auto"/>
            </w:tcBorders>
            <w:vAlign w:val="center"/>
          </w:tcPr>
          <w:p w14:paraId="20B92CAD" w14:textId="77777777" w:rsidR="00A052DC" w:rsidRDefault="00A052DC">
            <w:pPr>
              <w:rPr>
                <w:rFonts w:ascii="黑体" w:eastAsia="黑体" w:hAnsi="黑体"/>
                <w:sz w:val="20"/>
                <w:szCs w:val="20"/>
              </w:rPr>
            </w:pPr>
          </w:p>
        </w:tc>
        <w:tc>
          <w:tcPr>
            <w:tcW w:w="1970" w:type="dxa"/>
            <w:vMerge/>
            <w:tcBorders>
              <w:top w:val="nil"/>
              <w:left w:val="single" w:sz="8" w:space="0" w:color="auto"/>
              <w:bottom w:val="single" w:sz="8" w:space="0" w:color="000000"/>
              <w:right w:val="single" w:sz="8" w:space="0" w:color="auto"/>
            </w:tcBorders>
            <w:vAlign w:val="center"/>
          </w:tcPr>
          <w:p w14:paraId="7AF3999F" w14:textId="77777777" w:rsidR="00A052DC" w:rsidRDefault="00A052DC">
            <w:pPr>
              <w:rPr>
                <w:rFonts w:ascii="黑体" w:eastAsia="黑体" w:hAnsi="黑体"/>
                <w:sz w:val="20"/>
                <w:szCs w:val="20"/>
              </w:rPr>
            </w:pPr>
          </w:p>
        </w:tc>
        <w:tc>
          <w:tcPr>
            <w:tcW w:w="1054" w:type="dxa"/>
            <w:vMerge/>
            <w:tcBorders>
              <w:top w:val="nil"/>
              <w:left w:val="single" w:sz="8" w:space="0" w:color="auto"/>
              <w:bottom w:val="single" w:sz="8" w:space="0" w:color="000000"/>
              <w:right w:val="single" w:sz="8" w:space="0" w:color="auto"/>
            </w:tcBorders>
            <w:vAlign w:val="center"/>
          </w:tcPr>
          <w:p w14:paraId="6E59727A" w14:textId="77777777" w:rsidR="00A052DC" w:rsidRDefault="00A052DC">
            <w:pPr>
              <w:rPr>
                <w:rFonts w:ascii="黑体" w:eastAsia="黑体" w:hAnsi="黑体"/>
                <w:sz w:val="20"/>
                <w:szCs w:val="20"/>
              </w:rPr>
            </w:pPr>
          </w:p>
        </w:tc>
        <w:tc>
          <w:tcPr>
            <w:tcW w:w="2272" w:type="dxa"/>
            <w:tcBorders>
              <w:top w:val="nil"/>
              <w:left w:val="nil"/>
              <w:bottom w:val="single" w:sz="8" w:space="0" w:color="auto"/>
              <w:right w:val="single" w:sz="8" w:space="0" w:color="auto"/>
            </w:tcBorders>
            <w:shd w:val="clear" w:color="auto" w:fill="auto"/>
            <w:vAlign w:val="center"/>
          </w:tcPr>
          <w:p w14:paraId="7889AD20" w14:textId="77777777" w:rsidR="00A052DC" w:rsidRDefault="009F0A60">
            <w:pPr>
              <w:rPr>
                <w:rFonts w:ascii="黑体" w:eastAsia="黑体" w:hAnsi="黑体"/>
                <w:sz w:val="20"/>
                <w:szCs w:val="20"/>
              </w:rPr>
            </w:pPr>
            <w:r>
              <w:rPr>
                <w:rFonts w:ascii="黑体" w:eastAsia="黑体" w:hAnsi="黑体" w:hint="eastAsia"/>
                <w:sz w:val="20"/>
                <w:szCs w:val="20"/>
              </w:rPr>
              <w:t>中资资产管理公司</w:t>
            </w:r>
          </w:p>
        </w:tc>
        <w:tc>
          <w:tcPr>
            <w:tcW w:w="1473" w:type="dxa"/>
            <w:tcBorders>
              <w:top w:val="nil"/>
              <w:left w:val="nil"/>
              <w:bottom w:val="single" w:sz="8" w:space="0" w:color="auto"/>
              <w:right w:val="single" w:sz="8" w:space="0" w:color="auto"/>
            </w:tcBorders>
            <w:shd w:val="clear" w:color="auto" w:fill="auto"/>
            <w:vAlign w:val="center"/>
          </w:tcPr>
          <w:p w14:paraId="54C399BD" w14:textId="77777777" w:rsidR="00A052DC" w:rsidRDefault="009F0A60">
            <w:pPr>
              <w:rPr>
                <w:rFonts w:ascii="黑体" w:eastAsia="黑体" w:hAnsi="黑体"/>
                <w:sz w:val="20"/>
                <w:szCs w:val="20"/>
              </w:rPr>
            </w:pPr>
            <w:r>
              <w:rPr>
                <w:rFonts w:ascii="黑体" w:eastAsia="黑体" w:hAnsi="黑体"/>
                <w:sz w:val="20"/>
                <w:szCs w:val="20"/>
              </w:rPr>
              <w:t>10110404</w:t>
            </w:r>
          </w:p>
        </w:tc>
      </w:tr>
      <w:tr w:rsidR="00A052DC" w14:paraId="1003A66A" w14:textId="77777777">
        <w:trPr>
          <w:trHeight w:val="285"/>
        </w:trPr>
        <w:tc>
          <w:tcPr>
            <w:tcW w:w="724" w:type="dxa"/>
            <w:vMerge/>
            <w:tcBorders>
              <w:top w:val="single" w:sz="8" w:space="0" w:color="auto"/>
              <w:left w:val="single" w:sz="8" w:space="0" w:color="auto"/>
              <w:bottom w:val="single" w:sz="8" w:space="0" w:color="000000"/>
              <w:right w:val="single" w:sz="8" w:space="0" w:color="auto"/>
            </w:tcBorders>
            <w:vAlign w:val="center"/>
          </w:tcPr>
          <w:p w14:paraId="319B2361" w14:textId="77777777" w:rsidR="00A052DC" w:rsidRDefault="00A052DC">
            <w:pPr>
              <w:ind w:firstLine="48"/>
              <w:rPr>
                <w:rFonts w:ascii="黑体" w:eastAsia="黑体" w:hAnsi="黑体"/>
                <w:sz w:val="20"/>
                <w:szCs w:val="20"/>
              </w:rPr>
            </w:pPr>
          </w:p>
        </w:tc>
        <w:tc>
          <w:tcPr>
            <w:tcW w:w="886" w:type="dxa"/>
            <w:vMerge/>
            <w:tcBorders>
              <w:top w:val="single" w:sz="8" w:space="0" w:color="auto"/>
              <w:left w:val="single" w:sz="8" w:space="0" w:color="auto"/>
              <w:bottom w:val="single" w:sz="8" w:space="0" w:color="000000"/>
              <w:right w:val="single" w:sz="8" w:space="0" w:color="auto"/>
            </w:tcBorders>
            <w:vAlign w:val="center"/>
          </w:tcPr>
          <w:p w14:paraId="27A91FC6" w14:textId="77777777" w:rsidR="00A052DC" w:rsidRDefault="00A052DC">
            <w:pPr>
              <w:rPr>
                <w:rFonts w:ascii="黑体" w:eastAsia="黑体" w:hAnsi="黑体"/>
                <w:sz w:val="20"/>
                <w:szCs w:val="20"/>
              </w:rPr>
            </w:pPr>
          </w:p>
        </w:tc>
        <w:tc>
          <w:tcPr>
            <w:tcW w:w="1970" w:type="dxa"/>
            <w:vMerge/>
            <w:tcBorders>
              <w:top w:val="nil"/>
              <w:left w:val="single" w:sz="8" w:space="0" w:color="auto"/>
              <w:bottom w:val="single" w:sz="8" w:space="0" w:color="000000"/>
              <w:right w:val="single" w:sz="8" w:space="0" w:color="auto"/>
            </w:tcBorders>
            <w:vAlign w:val="center"/>
          </w:tcPr>
          <w:p w14:paraId="1E34B91C" w14:textId="77777777" w:rsidR="00A052DC" w:rsidRDefault="00A052DC">
            <w:pPr>
              <w:rPr>
                <w:rFonts w:ascii="黑体" w:eastAsia="黑体" w:hAnsi="黑体"/>
                <w:sz w:val="20"/>
                <w:szCs w:val="20"/>
              </w:rPr>
            </w:pPr>
          </w:p>
        </w:tc>
        <w:tc>
          <w:tcPr>
            <w:tcW w:w="1054" w:type="dxa"/>
            <w:vMerge/>
            <w:tcBorders>
              <w:top w:val="nil"/>
              <w:left w:val="single" w:sz="8" w:space="0" w:color="auto"/>
              <w:bottom w:val="single" w:sz="8" w:space="0" w:color="000000"/>
              <w:right w:val="single" w:sz="8" w:space="0" w:color="auto"/>
            </w:tcBorders>
            <w:vAlign w:val="center"/>
          </w:tcPr>
          <w:p w14:paraId="67AE3A44" w14:textId="77777777" w:rsidR="00A052DC" w:rsidRDefault="00A052DC">
            <w:pPr>
              <w:rPr>
                <w:rFonts w:ascii="黑体" w:eastAsia="黑体" w:hAnsi="黑体"/>
                <w:sz w:val="20"/>
                <w:szCs w:val="20"/>
              </w:rPr>
            </w:pPr>
          </w:p>
        </w:tc>
        <w:tc>
          <w:tcPr>
            <w:tcW w:w="2272" w:type="dxa"/>
            <w:tcBorders>
              <w:top w:val="nil"/>
              <w:left w:val="nil"/>
              <w:bottom w:val="single" w:sz="8" w:space="0" w:color="auto"/>
              <w:right w:val="single" w:sz="8" w:space="0" w:color="auto"/>
            </w:tcBorders>
            <w:shd w:val="clear" w:color="auto" w:fill="auto"/>
            <w:vAlign w:val="center"/>
          </w:tcPr>
          <w:p w14:paraId="21FE2D67" w14:textId="77777777" w:rsidR="00A052DC" w:rsidRDefault="009F0A60">
            <w:pPr>
              <w:rPr>
                <w:rFonts w:ascii="黑体" w:eastAsia="黑体" w:hAnsi="黑体"/>
                <w:sz w:val="20"/>
                <w:szCs w:val="20"/>
              </w:rPr>
            </w:pPr>
            <w:r>
              <w:rPr>
                <w:rFonts w:ascii="黑体" w:eastAsia="黑体" w:hAnsi="黑体" w:hint="eastAsia"/>
                <w:sz w:val="20"/>
                <w:szCs w:val="20"/>
              </w:rPr>
              <w:t>中资租赁公司</w:t>
            </w:r>
          </w:p>
        </w:tc>
        <w:tc>
          <w:tcPr>
            <w:tcW w:w="1473" w:type="dxa"/>
            <w:tcBorders>
              <w:top w:val="nil"/>
              <w:left w:val="nil"/>
              <w:bottom w:val="single" w:sz="8" w:space="0" w:color="auto"/>
              <w:right w:val="single" w:sz="8" w:space="0" w:color="auto"/>
            </w:tcBorders>
            <w:shd w:val="clear" w:color="auto" w:fill="auto"/>
            <w:vAlign w:val="center"/>
          </w:tcPr>
          <w:p w14:paraId="2F209512" w14:textId="77777777" w:rsidR="00A052DC" w:rsidRDefault="009F0A60">
            <w:pPr>
              <w:rPr>
                <w:rFonts w:ascii="黑体" w:eastAsia="黑体" w:hAnsi="黑体"/>
                <w:sz w:val="20"/>
                <w:szCs w:val="20"/>
              </w:rPr>
            </w:pPr>
            <w:r>
              <w:rPr>
                <w:rFonts w:ascii="黑体" w:eastAsia="黑体" w:hAnsi="黑体"/>
                <w:sz w:val="20"/>
                <w:szCs w:val="20"/>
              </w:rPr>
              <w:t>10110405</w:t>
            </w:r>
          </w:p>
        </w:tc>
      </w:tr>
      <w:tr w:rsidR="00A052DC" w14:paraId="418C8384" w14:textId="77777777">
        <w:trPr>
          <w:trHeight w:val="285"/>
        </w:trPr>
        <w:tc>
          <w:tcPr>
            <w:tcW w:w="724" w:type="dxa"/>
            <w:vMerge/>
            <w:tcBorders>
              <w:top w:val="single" w:sz="8" w:space="0" w:color="auto"/>
              <w:left w:val="single" w:sz="8" w:space="0" w:color="auto"/>
              <w:bottom w:val="single" w:sz="8" w:space="0" w:color="000000"/>
              <w:right w:val="single" w:sz="8" w:space="0" w:color="auto"/>
            </w:tcBorders>
            <w:vAlign w:val="center"/>
          </w:tcPr>
          <w:p w14:paraId="7713DFEF" w14:textId="77777777" w:rsidR="00A052DC" w:rsidRDefault="00A052DC">
            <w:pPr>
              <w:ind w:firstLine="48"/>
              <w:rPr>
                <w:rFonts w:ascii="黑体" w:eastAsia="黑体" w:hAnsi="黑体"/>
                <w:sz w:val="20"/>
                <w:szCs w:val="20"/>
              </w:rPr>
            </w:pPr>
          </w:p>
        </w:tc>
        <w:tc>
          <w:tcPr>
            <w:tcW w:w="886" w:type="dxa"/>
            <w:vMerge/>
            <w:tcBorders>
              <w:top w:val="single" w:sz="8" w:space="0" w:color="auto"/>
              <w:left w:val="single" w:sz="8" w:space="0" w:color="auto"/>
              <w:bottom w:val="single" w:sz="8" w:space="0" w:color="000000"/>
              <w:right w:val="single" w:sz="8" w:space="0" w:color="auto"/>
            </w:tcBorders>
            <w:vAlign w:val="center"/>
          </w:tcPr>
          <w:p w14:paraId="5082D334" w14:textId="77777777" w:rsidR="00A052DC" w:rsidRDefault="00A052DC">
            <w:pPr>
              <w:rPr>
                <w:rFonts w:ascii="黑体" w:eastAsia="黑体" w:hAnsi="黑体"/>
                <w:sz w:val="20"/>
                <w:szCs w:val="20"/>
              </w:rPr>
            </w:pPr>
          </w:p>
        </w:tc>
        <w:tc>
          <w:tcPr>
            <w:tcW w:w="1970" w:type="dxa"/>
            <w:vMerge/>
            <w:tcBorders>
              <w:top w:val="nil"/>
              <w:left w:val="single" w:sz="8" w:space="0" w:color="auto"/>
              <w:bottom w:val="single" w:sz="8" w:space="0" w:color="000000"/>
              <w:right w:val="single" w:sz="8" w:space="0" w:color="auto"/>
            </w:tcBorders>
            <w:vAlign w:val="center"/>
          </w:tcPr>
          <w:p w14:paraId="45ED43A3" w14:textId="77777777" w:rsidR="00A052DC" w:rsidRDefault="00A052DC">
            <w:pPr>
              <w:rPr>
                <w:rFonts w:ascii="黑体" w:eastAsia="黑体" w:hAnsi="黑体"/>
                <w:sz w:val="20"/>
                <w:szCs w:val="20"/>
              </w:rPr>
            </w:pPr>
          </w:p>
        </w:tc>
        <w:tc>
          <w:tcPr>
            <w:tcW w:w="1054" w:type="dxa"/>
            <w:vMerge/>
            <w:tcBorders>
              <w:top w:val="nil"/>
              <w:left w:val="single" w:sz="8" w:space="0" w:color="auto"/>
              <w:bottom w:val="single" w:sz="8" w:space="0" w:color="000000"/>
              <w:right w:val="single" w:sz="8" w:space="0" w:color="auto"/>
            </w:tcBorders>
            <w:vAlign w:val="center"/>
          </w:tcPr>
          <w:p w14:paraId="3A48A493" w14:textId="77777777" w:rsidR="00A052DC" w:rsidRDefault="00A052DC">
            <w:pPr>
              <w:rPr>
                <w:rFonts w:ascii="黑体" w:eastAsia="黑体" w:hAnsi="黑体"/>
                <w:sz w:val="20"/>
                <w:szCs w:val="20"/>
              </w:rPr>
            </w:pPr>
          </w:p>
        </w:tc>
        <w:tc>
          <w:tcPr>
            <w:tcW w:w="2272" w:type="dxa"/>
            <w:tcBorders>
              <w:top w:val="nil"/>
              <w:left w:val="nil"/>
              <w:bottom w:val="single" w:sz="8" w:space="0" w:color="auto"/>
              <w:right w:val="single" w:sz="8" w:space="0" w:color="auto"/>
            </w:tcBorders>
            <w:shd w:val="clear" w:color="auto" w:fill="auto"/>
            <w:vAlign w:val="center"/>
          </w:tcPr>
          <w:p w14:paraId="0FDE6582" w14:textId="77777777" w:rsidR="00A052DC" w:rsidRDefault="009F0A60">
            <w:pPr>
              <w:rPr>
                <w:rFonts w:ascii="黑体" w:eastAsia="黑体" w:hAnsi="黑体"/>
                <w:sz w:val="20"/>
                <w:szCs w:val="20"/>
              </w:rPr>
            </w:pPr>
            <w:r>
              <w:rPr>
                <w:rFonts w:ascii="黑体" w:eastAsia="黑体" w:hAnsi="黑体" w:hint="eastAsia"/>
                <w:sz w:val="20"/>
                <w:szCs w:val="20"/>
              </w:rPr>
              <w:t>中资证券公司</w:t>
            </w:r>
          </w:p>
        </w:tc>
        <w:tc>
          <w:tcPr>
            <w:tcW w:w="1473" w:type="dxa"/>
            <w:tcBorders>
              <w:top w:val="nil"/>
              <w:left w:val="nil"/>
              <w:bottom w:val="single" w:sz="8" w:space="0" w:color="auto"/>
              <w:right w:val="single" w:sz="8" w:space="0" w:color="auto"/>
            </w:tcBorders>
            <w:shd w:val="clear" w:color="auto" w:fill="auto"/>
            <w:vAlign w:val="center"/>
          </w:tcPr>
          <w:p w14:paraId="61E8F85A" w14:textId="77777777" w:rsidR="00A052DC" w:rsidRDefault="009F0A60">
            <w:pPr>
              <w:rPr>
                <w:rFonts w:ascii="黑体" w:eastAsia="黑体" w:hAnsi="黑体"/>
                <w:sz w:val="20"/>
                <w:szCs w:val="20"/>
              </w:rPr>
            </w:pPr>
            <w:r>
              <w:rPr>
                <w:rFonts w:ascii="黑体" w:eastAsia="黑体" w:hAnsi="黑体"/>
                <w:sz w:val="20"/>
                <w:szCs w:val="20"/>
              </w:rPr>
              <w:t>10110406</w:t>
            </w:r>
          </w:p>
        </w:tc>
      </w:tr>
      <w:tr w:rsidR="00A052DC" w14:paraId="4D7D1201" w14:textId="77777777">
        <w:trPr>
          <w:trHeight w:val="285"/>
        </w:trPr>
        <w:tc>
          <w:tcPr>
            <w:tcW w:w="724" w:type="dxa"/>
            <w:vMerge/>
            <w:tcBorders>
              <w:top w:val="single" w:sz="8" w:space="0" w:color="auto"/>
              <w:left w:val="single" w:sz="8" w:space="0" w:color="auto"/>
              <w:bottom w:val="single" w:sz="8" w:space="0" w:color="000000"/>
              <w:right w:val="single" w:sz="8" w:space="0" w:color="auto"/>
            </w:tcBorders>
            <w:vAlign w:val="center"/>
          </w:tcPr>
          <w:p w14:paraId="469E2B3B" w14:textId="77777777" w:rsidR="00A052DC" w:rsidRDefault="00A052DC">
            <w:pPr>
              <w:ind w:firstLine="48"/>
              <w:rPr>
                <w:rFonts w:ascii="黑体" w:eastAsia="黑体" w:hAnsi="黑体"/>
                <w:sz w:val="20"/>
                <w:szCs w:val="20"/>
              </w:rPr>
            </w:pPr>
          </w:p>
        </w:tc>
        <w:tc>
          <w:tcPr>
            <w:tcW w:w="886" w:type="dxa"/>
            <w:vMerge/>
            <w:tcBorders>
              <w:top w:val="single" w:sz="8" w:space="0" w:color="auto"/>
              <w:left w:val="single" w:sz="8" w:space="0" w:color="auto"/>
              <w:bottom w:val="single" w:sz="8" w:space="0" w:color="000000"/>
              <w:right w:val="single" w:sz="8" w:space="0" w:color="auto"/>
            </w:tcBorders>
            <w:vAlign w:val="center"/>
          </w:tcPr>
          <w:p w14:paraId="3CED4CD4" w14:textId="77777777" w:rsidR="00A052DC" w:rsidRDefault="00A052DC">
            <w:pPr>
              <w:rPr>
                <w:rFonts w:ascii="黑体" w:eastAsia="黑体" w:hAnsi="黑体"/>
                <w:sz w:val="20"/>
                <w:szCs w:val="20"/>
              </w:rPr>
            </w:pPr>
          </w:p>
        </w:tc>
        <w:tc>
          <w:tcPr>
            <w:tcW w:w="1970" w:type="dxa"/>
            <w:vMerge/>
            <w:tcBorders>
              <w:top w:val="nil"/>
              <w:left w:val="single" w:sz="8" w:space="0" w:color="auto"/>
              <w:bottom w:val="single" w:sz="8" w:space="0" w:color="000000"/>
              <w:right w:val="single" w:sz="8" w:space="0" w:color="auto"/>
            </w:tcBorders>
            <w:vAlign w:val="center"/>
          </w:tcPr>
          <w:p w14:paraId="76A9250C" w14:textId="77777777" w:rsidR="00A052DC" w:rsidRDefault="00A052DC">
            <w:pPr>
              <w:rPr>
                <w:rFonts w:ascii="黑体" w:eastAsia="黑体" w:hAnsi="黑体"/>
                <w:sz w:val="20"/>
                <w:szCs w:val="20"/>
              </w:rPr>
            </w:pPr>
          </w:p>
        </w:tc>
        <w:tc>
          <w:tcPr>
            <w:tcW w:w="1054" w:type="dxa"/>
            <w:vMerge/>
            <w:tcBorders>
              <w:top w:val="nil"/>
              <w:left w:val="single" w:sz="8" w:space="0" w:color="auto"/>
              <w:bottom w:val="single" w:sz="8" w:space="0" w:color="000000"/>
              <w:right w:val="single" w:sz="8" w:space="0" w:color="auto"/>
            </w:tcBorders>
            <w:vAlign w:val="center"/>
          </w:tcPr>
          <w:p w14:paraId="51FF3ADD" w14:textId="77777777" w:rsidR="00A052DC" w:rsidRDefault="00A052DC">
            <w:pPr>
              <w:rPr>
                <w:rFonts w:ascii="黑体" w:eastAsia="黑体" w:hAnsi="黑体"/>
                <w:sz w:val="20"/>
                <w:szCs w:val="20"/>
              </w:rPr>
            </w:pPr>
          </w:p>
        </w:tc>
        <w:tc>
          <w:tcPr>
            <w:tcW w:w="2272" w:type="dxa"/>
            <w:tcBorders>
              <w:top w:val="nil"/>
              <w:left w:val="nil"/>
              <w:bottom w:val="single" w:sz="8" w:space="0" w:color="auto"/>
              <w:right w:val="single" w:sz="8" w:space="0" w:color="auto"/>
            </w:tcBorders>
            <w:shd w:val="clear" w:color="auto" w:fill="auto"/>
            <w:vAlign w:val="center"/>
          </w:tcPr>
          <w:p w14:paraId="478213B7" w14:textId="77777777" w:rsidR="00A052DC" w:rsidRDefault="009F0A60">
            <w:pPr>
              <w:rPr>
                <w:rFonts w:ascii="黑体" w:eastAsia="黑体" w:hAnsi="黑体"/>
                <w:sz w:val="20"/>
                <w:szCs w:val="20"/>
              </w:rPr>
            </w:pPr>
            <w:r>
              <w:rPr>
                <w:rFonts w:ascii="黑体" w:eastAsia="黑体" w:hAnsi="黑体" w:hint="eastAsia"/>
                <w:sz w:val="20"/>
                <w:szCs w:val="20"/>
              </w:rPr>
              <w:t>中资基金公司</w:t>
            </w:r>
          </w:p>
        </w:tc>
        <w:tc>
          <w:tcPr>
            <w:tcW w:w="1473" w:type="dxa"/>
            <w:tcBorders>
              <w:top w:val="nil"/>
              <w:left w:val="nil"/>
              <w:bottom w:val="single" w:sz="8" w:space="0" w:color="auto"/>
              <w:right w:val="single" w:sz="8" w:space="0" w:color="auto"/>
            </w:tcBorders>
            <w:shd w:val="clear" w:color="auto" w:fill="auto"/>
            <w:vAlign w:val="center"/>
          </w:tcPr>
          <w:p w14:paraId="643B2EBE" w14:textId="77777777" w:rsidR="00A052DC" w:rsidRDefault="009F0A60">
            <w:pPr>
              <w:rPr>
                <w:rFonts w:ascii="黑体" w:eastAsia="黑体" w:hAnsi="黑体"/>
                <w:sz w:val="20"/>
                <w:szCs w:val="20"/>
              </w:rPr>
            </w:pPr>
            <w:r>
              <w:rPr>
                <w:rFonts w:ascii="黑体" w:eastAsia="黑体" w:hAnsi="黑体"/>
                <w:sz w:val="20"/>
                <w:szCs w:val="20"/>
              </w:rPr>
              <w:t>10110407</w:t>
            </w:r>
          </w:p>
        </w:tc>
      </w:tr>
      <w:tr w:rsidR="00A052DC" w14:paraId="6A7F238E" w14:textId="77777777">
        <w:trPr>
          <w:trHeight w:val="285"/>
        </w:trPr>
        <w:tc>
          <w:tcPr>
            <w:tcW w:w="724" w:type="dxa"/>
            <w:vMerge/>
            <w:tcBorders>
              <w:top w:val="single" w:sz="8" w:space="0" w:color="auto"/>
              <w:left w:val="single" w:sz="8" w:space="0" w:color="auto"/>
              <w:bottom w:val="single" w:sz="8" w:space="0" w:color="000000"/>
              <w:right w:val="single" w:sz="8" w:space="0" w:color="auto"/>
            </w:tcBorders>
            <w:vAlign w:val="center"/>
          </w:tcPr>
          <w:p w14:paraId="5228882E" w14:textId="77777777" w:rsidR="00A052DC" w:rsidRDefault="00A052DC">
            <w:pPr>
              <w:ind w:firstLine="48"/>
              <w:rPr>
                <w:rFonts w:ascii="黑体" w:eastAsia="黑体" w:hAnsi="黑体"/>
                <w:sz w:val="20"/>
                <w:szCs w:val="20"/>
              </w:rPr>
            </w:pPr>
          </w:p>
        </w:tc>
        <w:tc>
          <w:tcPr>
            <w:tcW w:w="886" w:type="dxa"/>
            <w:vMerge/>
            <w:tcBorders>
              <w:top w:val="single" w:sz="8" w:space="0" w:color="auto"/>
              <w:left w:val="single" w:sz="8" w:space="0" w:color="auto"/>
              <w:bottom w:val="single" w:sz="8" w:space="0" w:color="000000"/>
              <w:right w:val="single" w:sz="8" w:space="0" w:color="auto"/>
            </w:tcBorders>
            <w:vAlign w:val="center"/>
          </w:tcPr>
          <w:p w14:paraId="77FD220D" w14:textId="77777777" w:rsidR="00A052DC" w:rsidRDefault="00A052DC">
            <w:pPr>
              <w:rPr>
                <w:rFonts w:ascii="黑体" w:eastAsia="黑体" w:hAnsi="黑体"/>
                <w:sz w:val="20"/>
                <w:szCs w:val="20"/>
              </w:rPr>
            </w:pPr>
          </w:p>
        </w:tc>
        <w:tc>
          <w:tcPr>
            <w:tcW w:w="1970" w:type="dxa"/>
            <w:vMerge/>
            <w:tcBorders>
              <w:top w:val="nil"/>
              <w:left w:val="single" w:sz="8" w:space="0" w:color="auto"/>
              <w:bottom w:val="single" w:sz="8" w:space="0" w:color="000000"/>
              <w:right w:val="single" w:sz="8" w:space="0" w:color="auto"/>
            </w:tcBorders>
            <w:vAlign w:val="center"/>
          </w:tcPr>
          <w:p w14:paraId="451048A7" w14:textId="77777777" w:rsidR="00A052DC" w:rsidRDefault="00A052DC">
            <w:pPr>
              <w:rPr>
                <w:rFonts w:ascii="黑体" w:eastAsia="黑体" w:hAnsi="黑体"/>
                <w:sz w:val="20"/>
                <w:szCs w:val="20"/>
              </w:rPr>
            </w:pPr>
          </w:p>
        </w:tc>
        <w:tc>
          <w:tcPr>
            <w:tcW w:w="1054" w:type="dxa"/>
            <w:vMerge/>
            <w:tcBorders>
              <w:top w:val="nil"/>
              <w:left w:val="single" w:sz="8" w:space="0" w:color="auto"/>
              <w:bottom w:val="single" w:sz="8" w:space="0" w:color="000000"/>
              <w:right w:val="single" w:sz="8" w:space="0" w:color="auto"/>
            </w:tcBorders>
            <w:vAlign w:val="center"/>
          </w:tcPr>
          <w:p w14:paraId="1CC0194B" w14:textId="77777777" w:rsidR="00A052DC" w:rsidRDefault="00A052DC">
            <w:pPr>
              <w:rPr>
                <w:rFonts w:ascii="黑体" w:eastAsia="黑体" w:hAnsi="黑体"/>
                <w:sz w:val="20"/>
                <w:szCs w:val="20"/>
              </w:rPr>
            </w:pPr>
          </w:p>
        </w:tc>
        <w:tc>
          <w:tcPr>
            <w:tcW w:w="2272" w:type="dxa"/>
            <w:tcBorders>
              <w:top w:val="nil"/>
              <w:left w:val="nil"/>
              <w:bottom w:val="single" w:sz="8" w:space="0" w:color="auto"/>
              <w:right w:val="single" w:sz="8" w:space="0" w:color="auto"/>
            </w:tcBorders>
            <w:shd w:val="clear" w:color="auto" w:fill="auto"/>
            <w:vAlign w:val="center"/>
          </w:tcPr>
          <w:p w14:paraId="109717EF" w14:textId="77777777" w:rsidR="00A052DC" w:rsidRDefault="0021563C">
            <w:pPr>
              <w:rPr>
                <w:rFonts w:ascii="黑体" w:eastAsia="黑体" w:hAnsi="黑体"/>
                <w:sz w:val="20"/>
                <w:szCs w:val="20"/>
              </w:rPr>
            </w:pPr>
            <w:r>
              <w:rPr>
                <w:rFonts w:ascii="黑体" w:eastAsia="黑体" w:hAnsi="黑体" w:hint="eastAsia"/>
                <w:sz w:val="20"/>
                <w:szCs w:val="20"/>
              </w:rPr>
              <w:t>其他</w:t>
            </w:r>
            <w:r w:rsidR="009F0A60">
              <w:rPr>
                <w:rFonts w:ascii="黑体" w:eastAsia="黑体" w:hAnsi="黑体" w:hint="eastAsia"/>
                <w:sz w:val="20"/>
                <w:szCs w:val="20"/>
              </w:rPr>
              <w:t>中资非银行金融机构</w:t>
            </w:r>
          </w:p>
        </w:tc>
        <w:tc>
          <w:tcPr>
            <w:tcW w:w="1473" w:type="dxa"/>
            <w:tcBorders>
              <w:top w:val="nil"/>
              <w:left w:val="nil"/>
              <w:bottom w:val="single" w:sz="8" w:space="0" w:color="auto"/>
              <w:right w:val="single" w:sz="8" w:space="0" w:color="auto"/>
            </w:tcBorders>
            <w:shd w:val="clear" w:color="auto" w:fill="auto"/>
            <w:vAlign w:val="center"/>
          </w:tcPr>
          <w:p w14:paraId="0F7DDC75" w14:textId="77777777" w:rsidR="00A052DC" w:rsidRDefault="009F0A60">
            <w:pPr>
              <w:rPr>
                <w:rFonts w:ascii="黑体" w:eastAsia="黑体" w:hAnsi="黑体"/>
                <w:sz w:val="20"/>
                <w:szCs w:val="20"/>
              </w:rPr>
            </w:pPr>
            <w:r>
              <w:rPr>
                <w:rFonts w:ascii="黑体" w:eastAsia="黑体" w:hAnsi="黑体"/>
                <w:sz w:val="20"/>
                <w:szCs w:val="20"/>
              </w:rPr>
              <w:t>10110499</w:t>
            </w:r>
          </w:p>
        </w:tc>
      </w:tr>
      <w:tr w:rsidR="00A052DC" w14:paraId="37980F89" w14:textId="77777777">
        <w:trPr>
          <w:trHeight w:val="285"/>
        </w:trPr>
        <w:tc>
          <w:tcPr>
            <w:tcW w:w="724" w:type="dxa"/>
            <w:vMerge/>
            <w:tcBorders>
              <w:top w:val="single" w:sz="8" w:space="0" w:color="auto"/>
              <w:left w:val="single" w:sz="8" w:space="0" w:color="auto"/>
              <w:bottom w:val="single" w:sz="8" w:space="0" w:color="000000"/>
              <w:right w:val="single" w:sz="8" w:space="0" w:color="auto"/>
            </w:tcBorders>
            <w:vAlign w:val="center"/>
          </w:tcPr>
          <w:p w14:paraId="2A84017D" w14:textId="77777777" w:rsidR="00A052DC" w:rsidRDefault="00A052DC">
            <w:pPr>
              <w:ind w:firstLine="48"/>
              <w:rPr>
                <w:rFonts w:ascii="黑体" w:eastAsia="黑体" w:hAnsi="黑体"/>
                <w:sz w:val="20"/>
                <w:szCs w:val="20"/>
              </w:rPr>
            </w:pPr>
          </w:p>
        </w:tc>
        <w:tc>
          <w:tcPr>
            <w:tcW w:w="886" w:type="dxa"/>
            <w:vMerge/>
            <w:tcBorders>
              <w:top w:val="single" w:sz="8" w:space="0" w:color="auto"/>
              <w:left w:val="single" w:sz="8" w:space="0" w:color="auto"/>
              <w:bottom w:val="single" w:sz="8" w:space="0" w:color="000000"/>
              <w:right w:val="single" w:sz="8" w:space="0" w:color="auto"/>
            </w:tcBorders>
            <w:vAlign w:val="center"/>
          </w:tcPr>
          <w:p w14:paraId="2539D867" w14:textId="77777777" w:rsidR="00A052DC" w:rsidRDefault="00A052DC">
            <w:pPr>
              <w:rPr>
                <w:rFonts w:ascii="黑体" w:eastAsia="黑体" w:hAnsi="黑体"/>
                <w:sz w:val="20"/>
                <w:szCs w:val="20"/>
              </w:rPr>
            </w:pPr>
          </w:p>
        </w:tc>
        <w:tc>
          <w:tcPr>
            <w:tcW w:w="1970" w:type="dxa"/>
            <w:vMerge w:val="restart"/>
            <w:tcBorders>
              <w:top w:val="nil"/>
              <w:left w:val="single" w:sz="8" w:space="0" w:color="auto"/>
              <w:bottom w:val="single" w:sz="8" w:space="0" w:color="000000"/>
              <w:right w:val="single" w:sz="8" w:space="0" w:color="auto"/>
            </w:tcBorders>
            <w:shd w:val="clear" w:color="auto" w:fill="auto"/>
            <w:vAlign w:val="center"/>
          </w:tcPr>
          <w:p w14:paraId="372F9F8A" w14:textId="77777777" w:rsidR="00A052DC" w:rsidRDefault="009F0A60">
            <w:pPr>
              <w:rPr>
                <w:rFonts w:ascii="黑体" w:eastAsia="黑体" w:hAnsi="黑体"/>
                <w:sz w:val="20"/>
                <w:szCs w:val="20"/>
              </w:rPr>
            </w:pPr>
            <w:r>
              <w:rPr>
                <w:rFonts w:ascii="黑体" w:eastAsia="黑体" w:hAnsi="黑体" w:hint="eastAsia"/>
                <w:sz w:val="20"/>
                <w:szCs w:val="20"/>
              </w:rPr>
              <w:t>中资企业</w:t>
            </w:r>
          </w:p>
        </w:tc>
        <w:tc>
          <w:tcPr>
            <w:tcW w:w="1054" w:type="dxa"/>
            <w:vMerge w:val="restart"/>
            <w:tcBorders>
              <w:top w:val="nil"/>
              <w:left w:val="single" w:sz="8" w:space="0" w:color="auto"/>
              <w:bottom w:val="single" w:sz="8" w:space="0" w:color="000000"/>
              <w:right w:val="single" w:sz="8" w:space="0" w:color="auto"/>
            </w:tcBorders>
            <w:shd w:val="clear" w:color="auto" w:fill="auto"/>
            <w:vAlign w:val="center"/>
          </w:tcPr>
          <w:p w14:paraId="39084CD9" w14:textId="77777777" w:rsidR="00A052DC" w:rsidRDefault="009F0A60">
            <w:pPr>
              <w:rPr>
                <w:rFonts w:ascii="黑体" w:eastAsia="黑体" w:hAnsi="黑体"/>
                <w:sz w:val="20"/>
                <w:szCs w:val="20"/>
              </w:rPr>
            </w:pPr>
            <w:r>
              <w:rPr>
                <w:rFonts w:ascii="黑体" w:eastAsia="黑体" w:hAnsi="黑体"/>
                <w:sz w:val="20"/>
                <w:szCs w:val="20"/>
              </w:rPr>
              <w:t>101105</w:t>
            </w:r>
          </w:p>
        </w:tc>
        <w:tc>
          <w:tcPr>
            <w:tcW w:w="2272" w:type="dxa"/>
            <w:tcBorders>
              <w:top w:val="nil"/>
              <w:left w:val="nil"/>
              <w:bottom w:val="single" w:sz="8" w:space="0" w:color="auto"/>
              <w:right w:val="single" w:sz="8" w:space="0" w:color="auto"/>
            </w:tcBorders>
            <w:shd w:val="clear" w:color="auto" w:fill="auto"/>
            <w:vAlign w:val="center"/>
          </w:tcPr>
          <w:p w14:paraId="0E78E0E6" w14:textId="77777777" w:rsidR="00A052DC" w:rsidRDefault="009F0A60">
            <w:pPr>
              <w:rPr>
                <w:rFonts w:ascii="黑体" w:eastAsia="黑体" w:hAnsi="黑体"/>
                <w:sz w:val="20"/>
                <w:szCs w:val="20"/>
              </w:rPr>
            </w:pPr>
            <w:r>
              <w:rPr>
                <w:rFonts w:ascii="黑体" w:eastAsia="黑体" w:hAnsi="黑体" w:hint="eastAsia"/>
                <w:sz w:val="20"/>
                <w:szCs w:val="20"/>
              </w:rPr>
              <w:t>国有企业</w:t>
            </w:r>
          </w:p>
        </w:tc>
        <w:tc>
          <w:tcPr>
            <w:tcW w:w="1473" w:type="dxa"/>
            <w:tcBorders>
              <w:top w:val="nil"/>
              <w:left w:val="nil"/>
              <w:bottom w:val="single" w:sz="8" w:space="0" w:color="auto"/>
              <w:right w:val="single" w:sz="8" w:space="0" w:color="auto"/>
            </w:tcBorders>
            <w:shd w:val="clear" w:color="auto" w:fill="auto"/>
            <w:vAlign w:val="center"/>
          </w:tcPr>
          <w:p w14:paraId="4E5896A5" w14:textId="77777777" w:rsidR="00A052DC" w:rsidRDefault="009F0A60">
            <w:pPr>
              <w:rPr>
                <w:rFonts w:ascii="黑体" w:eastAsia="黑体" w:hAnsi="黑体"/>
                <w:sz w:val="20"/>
                <w:szCs w:val="20"/>
              </w:rPr>
            </w:pPr>
            <w:r>
              <w:rPr>
                <w:rFonts w:ascii="黑体" w:eastAsia="黑体" w:hAnsi="黑体"/>
                <w:sz w:val="20"/>
                <w:szCs w:val="20"/>
              </w:rPr>
              <w:t>10110501</w:t>
            </w:r>
          </w:p>
        </w:tc>
      </w:tr>
      <w:tr w:rsidR="00A052DC" w14:paraId="5F256064" w14:textId="77777777">
        <w:trPr>
          <w:trHeight w:val="285"/>
        </w:trPr>
        <w:tc>
          <w:tcPr>
            <w:tcW w:w="724" w:type="dxa"/>
            <w:vMerge/>
            <w:tcBorders>
              <w:top w:val="single" w:sz="8" w:space="0" w:color="auto"/>
              <w:left w:val="single" w:sz="8" w:space="0" w:color="auto"/>
              <w:bottom w:val="single" w:sz="8" w:space="0" w:color="000000"/>
              <w:right w:val="single" w:sz="8" w:space="0" w:color="auto"/>
            </w:tcBorders>
            <w:vAlign w:val="center"/>
          </w:tcPr>
          <w:p w14:paraId="5F98BB35" w14:textId="77777777" w:rsidR="00A052DC" w:rsidRDefault="00A052DC">
            <w:pPr>
              <w:ind w:firstLine="48"/>
              <w:rPr>
                <w:rFonts w:ascii="黑体" w:eastAsia="黑体" w:hAnsi="黑体"/>
                <w:sz w:val="20"/>
                <w:szCs w:val="20"/>
              </w:rPr>
            </w:pPr>
          </w:p>
        </w:tc>
        <w:tc>
          <w:tcPr>
            <w:tcW w:w="886" w:type="dxa"/>
            <w:vMerge/>
            <w:tcBorders>
              <w:top w:val="single" w:sz="8" w:space="0" w:color="auto"/>
              <w:left w:val="single" w:sz="8" w:space="0" w:color="auto"/>
              <w:bottom w:val="single" w:sz="8" w:space="0" w:color="000000"/>
              <w:right w:val="single" w:sz="8" w:space="0" w:color="auto"/>
            </w:tcBorders>
            <w:vAlign w:val="center"/>
          </w:tcPr>
          <w:p w14:paraId="0152C230" w14:textId="77777777" w:rsidR="00A052DC" w:rsidRDefault="00A052DC">
            <w:pPr>
              <w:rPr>
                <w:rFonts w:ascii="黑体" w:eastAsia="黑体" w:hAnsi="黑体"/>
                <w:sz w:val="20"/>
                <w:szCs w:val="20"/>
              </w:rPr>
            </w:pPr>
          </w:p>
        </w:tc>
        <w:tc>
          <w:tcPr>
            <w:tcW w:w="1970" w:type="dxa"/>
            <w:vMerge/>
            <w:tcBorders>
              <w:top w:val="nil"/>
              <w:left w:val="single" w:sz="8" w:space="0" w:color="auto"/>
              <w:bottom w:val="single" w:sz="8" w:space="0" w:color="000000"/>
              <w:right w:val="single" w:sz="8" w:space="0" w:color="auto"/>
            </w:tcBorders>
            <w:vAlign w:val="center"/>
          </w:tcPr>
          <w:p w14:paraId="5EF06E6C" w14:textId="77777777" w:rsidR="00A052DC" w:rsidRDefault="00A052DC">
            <w:pPr>
              <w:rPr>
                <w:rFonts w:ascii="黑体" w:eastAsia="黑体" w:hAnsi="黑体"/>
                <w:sz w:val="20"/>
                <w:szCs w:val="20"/>
              </w:rPr>
            </w:pPr>
          </w:p>
        </w:tc>
        <w:tc>
          <w:tcPr>
            <w:tcW w:w="1054" w:type="dxa"/>
            <w:vMerge/>
            <w:tcBorders>
              <w:top w:val="nil"/>
              <w:left w:val="single" w:sz="8" w:space="0" w:color="auto"/>
              <w:bottom w:val="single" w:sz="8" w:space="0" w:color="000000"/>
              <w:right w:val="single" w:sz="8" w:space="0" w:color="auto"/>
            </w:tcBorders>
            <w:vAlign w:val="center"/>
          </w:tcPr>
          <w:p w14:paraId="48C90DE9" w14:textId="77777777" w:rsidR="00A052DC" w:rsidRDefault="00A052DC">
            <w:pPr>
              <w:rPr>
                <w:rFonts w:ascii="黑体" w:eastAsia="黑体" w:hAnsi="黑体"/>
                <w:sz w:val="20"/>
                <w:szCs w:val="20"/>
              </w:rPr>
            </w:pPr>
          </w:p>
        </w:tc>
        <w:tc>
          <w:tcPr>
            <w:tcW w:w="2272" w:type="dxa"/>
            <w:tcBorders>
              <w:top w:val="nil"/>
              <w:left w:val="nil"/>
              <w:bottom w:val="single" w:sz="8" w:space="0" w:color="auto"/>
              <w:right w:val="single" w:sz="8" w:space="0" w:color="auto"/>
            </w:tcBorders>
            <w:shd w:val="clear" w:color="auto" w:fill="auto"/>
            <w:vAlign w:val="center"/>
          </w:tcPr>
          <w:p w14:paraId="64277F6E" w14:textId="77777777" w:rsidR="00A052DC" w:rsidRDefault="009F0A60">
            <w:pPr>
              <w:rPr>
                <w:rFonts w:ascii="黑体" w:eastAsia="黑体" w:hAnsi="黑体"/>
                <w:sz w:val="20"/>
                <w:szCs w:val="20"/>
              </w:rPr>
            </w:pPr>
            <w:r>
              <w:rPr>
                <w:rFonts w:ascii="黑体" w:eastAsia="黑体" w:hAnsi="黑体" w:hint="eastAsia"/>
                <w:sz w:val="20"/>
                <w:szCs w:val="20"/>
              </w:rPr>
              <w:t>民营企业</w:t>
            </w:r>
          </w:p>
        </w:tc>
        <w:tc>
          <w:tcPr>
            <w:tcW w:w="1473" w:type="dxa"/>
            <w:tcBorders>
              <w:top w:val="nil"/>
              <w:left w:val="nil"/>
              <w:bottom w:val="single" w:sz="8" w:space="0" w:color="auto"/>
              <w:right w:val="single" w:sz="8" w:space="0" w:color="auto"/>
            </w:tcBorders>
            <w:shd w:val="clear" w:color="auto" w:fill="auto"/>
            <w:vAlign w:val="center"/>
          </w:tcPr>
          <w:p w14:paraId="5A508C5B" w14:textId="77777777" w:rsidR="00A052DC" w:rsidRDefault="009F0A60">
            <w:pPr>
              <w:rPr>
                <w:rFonts w:ascii="黑体" w:eastAsia="黑体" w:hAnsi="黑体"/>
                <w:sz w:val="20"/>
                <w:szCs w:val="20"/>
              </w:rPr>
            </w:pPr>
            <w:r>
              <w:rPr>
                <w:rFonts w:ascii="黑体" w:eastAsia="黑体" w:hAnsi="黑体"/>
                <w:sz w:val="20"/>
                <w:szCs w:val="20"/>
              </w:rPr>
              <w:t>10110502</w:t>
            </w:r>
          </w:p>
        </w:tc>
      </w:tr>
      <w:tr w:rsidR="00A052DC" w14:paraId="07FFFB05" w14:textId="77777777">
        <w:trPr>
          <w:trHeight w:val="285"/>
        </w:trPr>
        <w:tc>
          <w:tcPr>
            <w:tcW w:w="724" w:type="dxa"/>
            <w:vMerge/>
            <w:tcBorders>
              <w:top w:val="single" w:sz="8" w:space="0" w:color="auto"/>
              <w:left w:val="single" w:sz="8" w:space="0" w:color="auto"/>
              <w:bottom w:val="single" w:sz="8" w:space="0" w:color="000000"/>
              <w:right w:val="single" w:sz="8" w:space="0" w:color="auto"/>
            </w:tcBorders>
            <w:vAlign w:val="center"/>
          </w:tcPr>
          <w:p w14:paraId="37EFB44B" w14:textId="77777777" w:rsidR="00A052DC" w:rsidRDefault="00A052DC">
            <w:pPr>
              <w:ind w:firstLine="48"/>
              <w:rPr>
                <w:rFonts w:ascii="黑体" w:eastAsia="黑体" w:hAnsi="黑体"/>
                <w:sz w:val="20"/>
                <w:szCs w:val="20"/>
              </w:rPr>
            </w:pPr>
          </w:p>
        </w:tc>
        <w:tc>
          <w:tcPr>
            <w:tcW w:w="886" w:type="dxa"/>
            <w:vMerge/>
            <w:tcBorders>
              <w:top w:val="single" w:sz="8" w:space="0" w:color="auto"/>
              <w:left w:val="single" w:sz="8" w:space="0" w:color="auto"/>
              <w:bottom w:val="single" w:sz="8" w:space="0" w:color="000000"/>
              <w:right w:val="single" w:sz="8" w:space="0" w:color="auto"/>
            </w:tcBorders>
            <w:vAlign w:val="center"/>
          </w:tcPr>
          <w:p w14:paraId="01E48488" w14:textId="77777777" w:rsidR="00A052DC" w:rsidRDefault="00A052DC">
            <w:pPr>
              <w:rPr>
                <w:rFonts w:ascii="黑体" w:eastAsia="黑体" w:hAnsi="黑体"/>
                <w:sz w:val="20"/>
                <w:szCs w:val="20"/>
              </w:rPr>
            </w:pPr>
          </w:p>
        </w:tc>
        <w:tc>
          <w:tcPr>
            <w:tcW w:w="1970" w:type="dxa"/>
            <w:vMerge/>
            <w:tcBorders>
              <w:top w:val="nil"/>
              <w:left w:val="single" w:sz="8" w:space="0" w:color="auto"/>
              <w:bottom w:val="single" w:sz="8" w:space="0" w:color="000000"/>
              <w:right w:val="single" w:sz="8" w:space="0" w:color="auto"/>
            </w:tcBorders>
            <w:vAlign w:val="center"/>
          </w:tcPr>
          <w:p w14:paraId="36BCFC5F" w14:textId="77777777" w:rsidR="00A052DC" w:rsidRDefault="00A052DC">
            <w:pPr>
              <w:rPr>
                <w:rFonts w:ascii="黑体" w:eastAsia="黑体" w:hAnsi="黑体"/>
                <w:sz w:val="20"/>
                <w:szCs w:val="20"/>
              </w:rPr>
            </w:pPr>
          </w:p>
        </w:tc>
        <w:tc>
          <w:tcPr>
            <w:tcW w:w="1054" w:type="dxa"/>
            <w:vMerge/>
            <w:tcBorders>
              <w:top w:val="nil"/>
              <w:left w:val="single" w:sz="8" w:space="0" w:color="auto"/>
              <w:bottom w:val="single" w:sz="8" w:space="0" w:color="000000"/>
              <w:right w:val="single" w:sz="8" w:space="0" w:color="auto"/>
            </w:tcBorders>
            <w:vAlign w:val="center"/>
          </w:tcPr>
          <w:p w14:paraId="0B2A8D60" w14:textId="77777777" w:rsidR="00A052DC" w:rsidRDefault="00A052DC">
            <w:pPr>
              <w:rPr>
                <w:rFonts w:ascii="黑体" w:eastAsia="黑体" w:hAnsi="黑体"/>
                <w:sz w:val="20"/>
                <w:szCs w:val="20"/>
              </w:rPr>
            </w:pPr>
          </w:p>
        </w:tc>
        <w:tc>
          <w:tcPr>
            <w:tcW w:w="2272" w:type="dxa"/>
            <w:tcBorders>
              <w:top w:val="nil"/>
              <w:left w:val="nil"/>
              <w:bottom w:val="single" w:sz="8" w:space="0" w:color="auto"/>
              <w:right w:val="single" w:sz="8" w:space="0" w:color="auto"/>
            </w:tcBorders>
            <w:shd w:val="clear" w:color="auto" w:fill="auto"/>
            <w:vAlign w:val="center"/>
          </w:tcPr>
          <w:p w14:paraId="7A7E6394" w14:textId="77777777" w:rsidR="00A052DC" w:rsidRDefault="009F0A60">
            <w:pPr>
              <w:rPr>
                <w:rFonts w:ascii="黑体" w:eastAsia="黑体" w:hAnsi="黑体"/>
                <w:sz w:val="20"/>
                <w:szCs w:val="20"/>
              </w:rPr>
            </w:pPr>
            <w:r>
              <w:rPr>
                <w:rFonts w:ascii="黑体" w:eastAsia="黑体" w:hAnsi="黑体" w:hint="eastAsia"/>
                <w:sz w:val="20"/>
                <w:szCs w:val="20"/>
              </w:rPr>
              <w:t>其他中资企业</w:t>
            </w:r>
          </w:p>
        </w:tc>
        <w:tc>
          <w:tcPr>
            <w:tcW w:w="1473" w:type="dxa"/>
            <w:tcBorders>
              <w:top w:val="nil"/>
              <w:left w:val="nil"/>
              <w:bottom w:val="single" w:sz="8" w:space="0" w:color="auto"/>
              <w:right w:val="single" w:sz="8" w:space="0" w:color="auto"/>
            </w:tcBorders>
            <w:shd w:val="clear" w:color="auto" w:fill="auto"/>
            <w:vAlign w:val="center"/>
          </w:tcPr>
          <w:p w14:paraId="5DBF1E73" w14:textId="77777777" w:rsidR="00A052DC" w:rsidRDefault="009F0A60">
            <w:pPr>
              <w:rPr>
                <w:rFonts w:ascii="黑体" w:eastAsia="黑体" w:hAnsi="黑体"/>
                <w:sz w:val="20"/>
                <w:szCs w:val="20"/>
              </w:rPr>
            </w:pPr>
            <w:r>
              <w:rPr>
                <w:rFonts w:ascii="黑体" w:eastAsia="黑体" w:hAnsi="黑体"/>
                <w:sz w:val="20"/>
                <w:szCs w:val="20"/>
              </w:rPr>
              <w:t>10110599</w:t>
            </w:r>
          </w:p>
        </w:tc>
      </w:tr>
      <w:tr w:rsidR="00A052DC" w14:paraId="3CE8AA6F" w14:textId="77777777">
        <w:trPr>
          <w:trHeight w:val="285"/>
        </w:trPr>
        <w:tc>
          <w:tcPr>
            <w:tcW w:w="724" w:type="dxa"/>
            <w:vMerge/>
            <w:tcBorders>
              <w:top w:val="single" w:sz="8" w:space="0" w:color="auto"/>
              <w:left w:val="single" w:sz="8" w:space="0" w:color="auto"/>
              <w:bottom w:val="single" w:sz="8" w:space="0" w:color="000000"/>
              <w:right w:val="single" w:sz="8" w:space="0" w:color="auto"/>
            </w:tcBorders>
            <w:vAlign w:val="center"/>
          </w:tcPr>
          <w:p w14:paraId="024DAF1C" w14:textId="77777777" w:rsidR="00A052DC" w:rsidRDefault="00A052DC">
            <w:pPr>
              <w:ind w:firstLine="48"/>
              <w:rPr>
                <w:rFonts w:ascii="黑体" w:eastAsia="黑体" w:hAnsi="黑体"/>
                <w:sz w:val="20"/>
                <w:szCs w:val="20"/>
              </w:rPr>
            </w:pPr>
          </w:p>
        </w:tc>
        <w:tc>
          <w:tcPr>
            <w:tcW w:w="886" w:type="dxa"/>
            <w:vMerge/>
            <w:tcBorders>
              <w:top w:val="single" w:sz="8" w:space="0" w:color="auto"/>
              <w:left w:val="single" w:sz="8" w:space="0" w:color="auto"/>
              <w:bottom w:val="single" w:sz="8" w:space="0" w:color="000000"/>
              <w:right w:val="single" w:sz="8" w:space="0" w:color="auto"/>
            </w:tcBorders>
            <w:vAlign w:val="center"/>
          </w:tcPr>
          <w:p w14:paraId="794372CD" w14:textId="77777777" w:rsidR="00A052DC" w:rsidRDefault="00A052DC">
            <w:pPr>
              <w:rPr>
                <w:rFonts w:ascii="黑体" w:eastAsia="黑体" w:hAnsi="黑体"/>
                <w:sz w:val="20"/>
                <w:szCs w:val="20"/>
              </w:rPr>
            </w:pPr>
          </w:p>
        </w:tc>
        <w:tc>
          <w:tcPr>
            <w:tcW w:w="1970" w:type="dxa"/>
            <w:tcBorders>
              <w:top w:val="nil"/>
              <w:left w:val="nil"/>
              <w:bottom w:val="single" w:sz="8" w:space="0" w:color="auto"/>
              <w:right w:val="single" w:sz="8" w:space="0" w:color="auto"/>
            </w:tcBorders>
            <w:shd w:val="clear" w:color="auto" w:fill="auto"/>
            <w:vAlign w:val="center"/>
          </w:tcPr>
          <w:p w14:paraId="2B981411" w14:textId="77777777" w:rsidR="00A052DC" w:rsidRDefault="0021563C">
            <w:pPr>
              <w:rPr>
                <w:rFonts w:ascii="黑体" w:eastAsia="黑体" w:hAnsi="黑体"/>
                <w:sz w:val="20"/>
                <w:szCs w:val="20"/>
              </w:rPr>
            </w:pPr>
            <w:r>
              <w:rPr>
                <w:rFonts w:ascii="黑体" w:eastAsia="黑体" w:hAnsi="黑体" w:hint="eastAsia"/>
                <w:sz w:val="20"/>
                <w:szCs w:val="20"/>
              </w:rPr>
              <w:t>其他</w:t>
            </w:r>
            <w:r w:rsidR="009F0A60">
              <w:rPr>
                <w:rFonts w:ascii="黑体" w:eastAsia="黑体" w:hAnsi="黑体" w:hint="eastAsia"/>
                <w:sz w:val="20"/>
                <w:szCs w:val="20"/>
              </w:rPr>
              <w:t>中资机构</w:t>
            </w:r>
          </w:p>
        </w:tc>
        <w:tc>
          <w:tcPr>
            <w:tcW w:w="1054" w:type="dxa"/>
            <w:tcBorders>
              <w:top w:val="nil"/>
              <w:left w:val="nil"/>
              <w:bottom w:val="single" w:sz="8" w:space="0" w:color="auto"/>
              <w:right w:val="single" w:sz="8" w:space="0" w:color="auto"/>
            </w:tcBorders>
            <w:shd w:val="clear" w:color="auto" w:fill="auto"/>
            <w:vAlign w:val="center"/>
          </w:tcPr>
          <w:p w14:paraId="0446A8D2" w14:textId="77777777" w:rsidR="00A052DC" w:rsidRDefault="009F0A60">
            <w:pPr>
              <w:rPr>
                <w:rFonts w:ascii="黑体" w:eastAsia="黑体" w:hAnsi="黑体"/>
                <w:sz w:val="20"/>
                <w:szCs w:val="20"/>
              </w:rPr>
            </w:pPr>
            <w:r>
              <w:rPr>
                <w:rFonts w:ascii="黑体" w:eastAsia="黑体" w:hAnsi="黑体"/>
                <w:sz w:val="20"/>
                <w:szCs w:val="20"/>
              </w:rPr>
              <w:t>101199</w:t>
            </w:r>
          </w:p>
        </w:tc>
        <w:tc>
          <w:tcPr>
            <w:tcW w:w="2272" w:type="dxa"/>
            <w:tcBorders>
              <w:top w:val="nil"/>
              <w:left w:val="nil"/>
              <w:bottom w:val="single" w:sz="8" w:space="0" w:color="auto"/>
              <w:right w:val="single" w:sz="8" w:space="0" w:color="auto"/>
            </w:tcBorders>
            <w:shd w:val="clear" w:color="auto" w:fill="auto"/>
            <w:vAlign w:val="center"/>
          </w:tcPr>
          <w:p w14:paraId="25C72F32" w14:textId="77777777" w:rsidR="00A052DC" w:rsidRDefault="009F0A60">
            <w:pPr>
              <w:rPr>
                <w:rFonts w:ascii="黑体" w:eastAsia="黑体" w:hAnsi="黑体"/>
                <w:sz w:val="20"/>
                <w:szCs w:val="20"/>
              </w:rPr>
            </w:pPr>
            <w:r>
              <w:rPr>
                <w:rFonts w:ascii="黑体" w:eastAsia="黑体" w:hAnsi="黑体" w:hint="eastAsia"/>
                <w:sz w:val="20"/>
                <w:szCs w:val="20"/>
              </w:rPr>
              <w:t>其他中资机构</w:t>
            </w:r>
          </w:p>
        </w:tc>
        <w:tc>
          <w:tcPr>
            <w:tcW w:w="1473" w:type="dxa"/>
            <w:tcBorders>
              <w:top w:val="nil"/>
              <w:left w:val="nil"/>
              <w:bottom w:val="single" w:sz="8" w:space="0" w:color="auto"/>
              <w:right w:val="single" w:sz="8" w:space="0" w:color="auto"/>
            </w:tcBorders>
            <w:shd w:val="clear" w:color="auto" w:fill="auto"/>
            <w:vAlign w:val="center"/>
          </w:tcPr>
          <w:p w14:paraId="656A5FC3" w14:textId="77777777" w:rsidR="00A052DC" w:rsidRDefault="009F0A60">
            <w:pPr>
              <w:rPr>
                <w:rFonts w:ascii="黑体" w:eastAsia="黑体" w:hAnsi="黑体"/>
                <w:sz w:val="20"/>
                <w:szCs w:val="20"/>
              </w:rPr>
            </w:pPr>
            <w:r>
              <w:rPr>
                <w:rFonts w:ascii="黑体" w:eastAsia="黑体" w:hAnsi="黑体"/>
                <w:sz w:val="20"/>
                <w:szCs w:val="20"/>
              </w:rPr>
              <w:t>10119900</w:t>
            </w:r>
          </w:p>
        </w:tc>
      </w:tr>
      <w:tr w:rsidR="00A052DC" w14:paraId="0C2E2241" w14:textId="77777777">
        <w:trPr>
          <w:trHeight w:val="285"/>
        </w:trPr>
        <w:tc>
          <w:tcPr>
            <w:tcW w:w="724" w:type="dxa"/>
            <w:vMerge w:val="restart"/>
            <w:tcBorders>
              <w:top w:val="nil"/>
              <w:left w:val="single" w:sz="8" w:space="0" w:color="auto"/>
              <w:bottom w:val="single" w:sz="8" w:space="0" w:color="000000"/>
              <w:right w:val="single" w:sz="8" w:space="0" w:color="auto"/>
            </w:tcBorders>
            <w:shd w:val="clear" w:color="auto" w:fill="auto"/>
            <w:vAlign w:val="center"/>
          </w:tcPr>
          <w:p w14:paraId="44DF420F" w14:textId="77777777" w:rsidR="00A052DC" w:rsidRDefault="009F0A60">
            <w:pPr>
              <w:rPr>
                <w:rFonts w:ascii="黑体" w:eastAsia="黑体" w:hAnsi="黑体"/>
                <w:sz w:val="20"/>
                <w:szCs w:val="20"/>
              </w:rPr>
            </w:pPr>
            <w:r>
              <w:rPr>
                <w:rFonts w:ascii="黑体" w:eastAsia="黑体" w:hAnsi="黑体" w:hint="eastAsia"/>
                <w:sz w:val="20"/>
                <w:szCs w:val="20"/>
              </w:rPr>
              <w:t>外资机构</w:t>
            </w:r>
          </w:p>
        </w:tc>
        <w:tc>
          <w:tcPr>
            <w:tcW w:w="886" w:type="dxa"/>
            <w:vMerge w:val="restart"/>
            <w:tcBorders>
              <w:top w:val="nil"/>
              <w:left w:val="single" w:sz="8" w:space="0" w:color="auto"/>
              <w:bottom w:val="single" w:sz="8" w:space="0" w:color="000000"/>
              <w:right w:val="single" w:sz="8" w:space="0" w:color="auto"/>
            </w:tcBorders>
            <w:shd w:val="clear" w:color="auto" w:fill="auto"/>
            <w:vAlign w:val="center"/>
          </w:tcPr>
          <w:p w14:paraId="43F61C34" w14:textId="77777777" w:rsidR="00A052DC" w:rsidRDefault="009F0A60">
            <w:pPr>
              <w:rPr>
                <w:rFonts w:ascii="黑体" w:eastAsia="黑体" w:hAnsi="黑体"/>
                <w:sz w:val="20"/>
                <w:szCs w:val="20"/>
              </w:rPr>
            </w:pPr>
            <w:r>
              <w:rPr>
                <w:rFonts w:ascii="黑体" w:eastAsia="黑体" w:hAnsi="黑体"/>
                <w:sz w:val="20"/>
                <w:szCs w:val="20"/>
              </w:rPr>
              <w:t>1012</w:t>
            </w:r>
          </w:p>
        </w:tc>
        <w:tc>
          <w:tcPr>
            <w:tcW w:w="1970" w:type="dxa"/>
            <w:vMerge w:val="restart"/>
            <w:tcBorders>
              <w:top w:val="nil"/>
              <w:left w:val="single" w:sz="8" w:space="0" w:color="auto"/>
              <w:bottom w:val="single" w:sz="8" w:space="0" w:color="000000"/>
              <w:right w:val="single" w:sz="8" w:space="0" w:color="auto"/>
            </w:tcBorders>
            <w:shd w:val="clear" w:color="auto" w:fill="auto"/>
            <w:vAlign w:val="center"/>
          </w:tcPr>
          <w:p w14:paraId="53A4E02A" w14:textId="77777777" w:rsidR="00A052DC" w:rsidRDefault="009F0A60">
            <w:pPr>
              <w:rPr>
                <w:rFonts w:ascii="黑体" w:eastAsia="黑体" w:hAnsi="黑体"/>
                <w:sz w:val="20"/>
                <w:szCs w:val="20"/>
              </w:rPr>
            </w:pPr>
            <w:r>
              <w:rPr>
                <w:rFonts w:ascii="黑体" w:eastAsia="黑体" w:hAnsi="黑体" w:hint="eastAsia"/>
                <w:sz w:val="20"/>
                <w:szCs w:val="20"/>
              </w:rPr>
              <w:t>外资银行</w:t>
            </w:r>
          </w:p>
        </w:tc>
        <w:tc>
          <w:tcPr>
            <w:tcW w:w="1054" w:type="dxa"/>
            <w:vMerge w:val="restart"/>
            <w:tcBorders>
              <w:top w:val="nil"/>
              <w:left w:val="single" w:sz="8" w:space="0" w:color="auto"/>
              <w:bottom w:val="single" w:sz="8" w:space="0" w:color="000000"/>
              <w:right w:val="single" w:sz="8" w:space="0" w:color="auto"/>
            </w:tcBorders>
            <w:shd w:val="clear" w:color="auto" w:fill="auto"/>
            <w:vAlign w:val="center"/>
          </w:tcPr>
          <w:p w14:paraId="77388CF6" w14:textId="77777777" w:rsidR="00A052DC" w:rsidRDefault="009F0A60">
            <w:pPr>
              <w:rPr>
                <w:rFonts w:ascii="黑体" w:eastAsia="黑体" w:hAnsi="黑体"/>
                <w:sz w:val="20"/>
                <w:szCs w:val="20"/>
              </w:rPr>
            </w:pPr>
            <w:r>
              <w:rPr>
                <w:rFonts w:ascii="黑体" w:eastAsia="黑体" w:hAnsi="黑体"/>
                <w:sz w:val="20"/>
                <w:szCs w:val="20"/>
              </w:rPr>
              <w:t>101201</w:t>
            </w:r>
          </w:p>
        </w:tc>
        <w:tc>
          <w:tcPr>
            <w:tcW w:w="2272" w:type="dxa"/>
            <w:tcBorders>
              <w:top w:val="nil"/>
              <w:left w:val="nil"/>
              <w:bottom w:val="single" w:sz="8" w:space="0" w:color="auto"/>
              <w:right w:val="single" w:sz="8" w:space="0" w:color="auto"/>
            </w:tcBorders>
            <w:shd w:val="clear" w:color="auto" w:fill="auto"/>
            <w:vAlign w:val="center"/>
          </w:tcPr>
          <w:p w14:paraId="4F84B42D" w14:textId="77777777" w:rsidR="00A052DC" w:rsidRDefault="009F0A60">
            <w:pPr>
              <w:rPr>
                <w:rFonts w:ascii="黑体" w:eastAsia="黑体" w:hAnsi="黑体"/>
                <w:sz w:val="20"/>
                <w:szCs w:val="20"/>
              </w:rPr>
            </w:pPr>
            <w:r>
              <w:rPr>
                <w:rFonts w:ascii="黑体" w:eastAsia="黑体" w:hAnsi="黑体" w:hint="eastAsia"/>
                <w:sz w:val="20"/>
                <w:szCs w:val="20"/>
              </w:rPr>
              <w:t>外资银行分行</w:t>
            </w:r>
          </w:p>
        </w:tc>
        <w:tc>
          <w:tcPr>
            <w:tcW w:w="1473" w:type="dxa"/>
            <w:tcBorders>
              <w:top w:val="nil"/>
              <w:left w:val="nil"/>
              <w:bottom w:val="single" w:sz="8" w:space="0" w:color="auto"/>
              <w:right w:val="single" w:sz="8" w:space="0" w:color="auto"/>
            </w:tcBorders>
            <w:shd w:val="clear" w:color="auto" w:fill="auto"/>
            <w:vAlign w:val="center"/>
          </w:tcPr>
          <w:p w14:paraId="3100F119" w14:textId="77777777" w:rsidR="00A052DC" w:rsidRDefault="009F0A60">
            <w:pPr>
              <w:rPr>
                <w:rFonts w:ascii="黑体" w:eastAsia="黑体" w:hAnsi="黑体"/>
                <w:sz w:val="20"/>
                <w:szCs w:val="20"/>
              </w:rPr>
            </w:pPr>
            <w:r>
              <w:rPr>
                <w:rFonts w:ascii="黑体" w:eastAsia="黑体" w:hAnsi="黑体"/>
                <w:sz w:val="20"/>
                <w:szCs w:val="20"/>
              </w:rPr>
              <w:t>10120101</w:t>
            </w:r>
          </w:p>
        </w:tc>
      </w:tr>
      <w:tr w:rsidR="00A052DC" w14:paraId="7B6D0488" w14:textId="77777777">
        <w:trPr>
          <w:trHeight w:val="285"/>
        </w:trPr>
        <w:tc>
          <w:tcPr>
            <w:tcW w:w="724" w:type="dxa"/>
            <w:vMerge/>
            <w:tcBorders>
              <w:top w:val="nil"/>
              <w:left w:val="single" w:sz="8" w:space="0" w:color="auto"/>
              <w:bottom w:val="single" w:sz="8" w:space="0" w:color="000000"/>
              <w:right w:val="single" w:sz="8" w:space="0" w:color="auto"/>
            </w:tcBorders>
            <w:vAlign w:val="center"/>
          </w:tcPr>
          <w:p w14:paraId="60E4C6BE" w14:textId="77777777" w:rsidR="00A052DC" w:rsidRDefault="00A052DC">
            <w:pPr>
              <w:ind w:firstLine="48"/>
              <w:rPr>
                <w:rFonts w:ascii="黑体" w:eastAsia="黑体" w:hAnsi="黑体"/>
                <w:sz w:val="20"/>
                <w:szCs w:val="20"/>
              </w:rPr>
            </w:pPr>
          </w:p>
        </w:tc>
        <w:tc>
          <w:tcPr>
            <w:tcW w:w="886" w:type="dxa"/>
            <w:vMerge/>
            <w:tcBorders>
              <w:top w:val="nil"/>
              <w:left w:val="single" w:sz="8" w:space="0" w:color="auto"/>
              <w:bottom w:val="single" w:sz="8" w:space="0" w:color="000000"/>
              <w:right w:val="single" w:sz="8" w:space="0" w:color="auto"/>
            </w:tcBorders>
            <w:vAlign w:val="center"/>
          </w:tcPr>
          <w:p w14:paraId="43A94A87" w14:textId="77777777" w:rsidR="00A052DC" w:rsidRDefault="00A052DC">
            <w:pPr>
              <w:rPr>
                <w:rFonts w:ascii="黑体" w:eastAsia="黑体" w:hAnsi="黑体"/>
                <w:sz w:val="20"/>
                <w:szCs w:val="20"/>
              </w:rPr>
            </w:pPr>
          </w:p>
        </w:tc>
        <w:tc>
          <w:tcPr>
            <w:tcW w:w="1970" w:type="dxa"/>
            <w:vMerge/>
            <w:tcBorders>
              <w:top w:val="nil"/>
              <w:left w:val="single" w:sz="8" w:space="0" w:color="auto"/>
              <w:bottom w:val="single" w:sz="8" w:space="0" w:color="000000"/>
              <w:right w:val="single" w:sz="8" w:space="0" w:color="auto"/>
            </w:tcBorders>
            <w:vAlign w:val="center"/>
          </w:tcPr>
          <w:p w14:paraId="509CFF46" w14:textId="77777777" w:rsidR="00A052DC" w:rsidRDefault="00A052DC">
            <w:pPr>
              <w:rPr>
                <w:rFonts w:ascii="黑体" w:eastAsia="黑体" w:hAnsi="黑体"/>
                <w:sz w:val="20"/>
                <w:szCs w:val="20"/>
              </w:rPr>
            </w:pPr>
          </w:p>
        </w:tc>
        <w:tc>
          <w:tcPr>
            <w:tcW w:w="1054" w:type="dxa"/>
            <w:vMerge/>
            <w:tcBorders>
              <w:top w:val="nil"/>
              <w:left w:val="single" w:sz="8" w:space="0" w:color="auto"/>
              <w:bottom w:val="single" w:sz="8" w:space="0" w:color="000000"/>
              <w:right w:val="single" w:sz="8" w:space="0" w:color="auto"/>
            </w:tcBorders>
            <w:vAlign w:val="center"/>
          </w:tcPr>
          <w:p w14:paraId="31F9FF4A" w14:textId="77777777" w:rsidR="00A052DC" w:rsidRDefault="00A052DC">
            <w:pPr>
              <w:rPr>
                <w:rFonts w:ascii="黑体" w:eastAsia="黑体" w:hAnsi="黑体"/>
                <w:sz w:val="20"/>
                <w:szCs w:val="20"/>
              </w:rPr>
            </w:pPr>
          </w:p>
        </w:tc>
        <w:tc>
          <w:tcPr>
            <w:tcW w:w="2272" w:type="dxa"/>
            <w:tcBorders>
              <w:top w:val="nil"/>
              <w:left w:val="nil"/>
              <w:bottom w:val="single" w:sz="8" w:space="0" w:color="auto"/>
              <w:right w:val="single" w:sz="8" w:space="0" w:color="auto"/>
            </w:tcBorders>
            <w:shd w:val="clear" w:color="auto" w:fill="auto"/>
            <w:vAlign w:val="center"/>
          </w:tcPr>
          <w:p w14:paraId="5EC39212" w14:textId="77777777" w:rsidR="00A052DC" w:rsidRDefault="009F0A60">
            <w:pPr>
              <w:rPr>
                <w:rFonts w:ascii="黑体" w:eastAsia="黑体" w:hAnsi="黑体"/>
                <w:sz w:val="20"/>
                <w:szCs w:val="20"/>
              </w:rPr>
            </w:pPr>
            <w:r>
              <w:rPr>
                <w:rFonts w:ascii="黑体" w:eastAsia="黑体" w:hAnsi="黑体" w:hint="eastAsia"/>
                <w:sz w:val="20"/>
                <w:szCs w:val="20"/>
              </w:rPr>
              <w:t>外资独资银行</w:t>
            </w:r>
          </w:p>
        </w:tc>
        <w:tc>
          <w:tcPr>
            <w:tcW w:w="1473" w:type="dxa"/>
            <w:tcBorders>
              <w:top w:val="nil"/>
              <w:left w:val="nil"/>
              <w:bottom w:val="single" w:sz="8" w:space="0" w:color="auto"/>
              <w:right w:val="single" w:sz="8" w:space="0" w:color="auto"/>
            </w:tcBorders>
            <w:shd w:val="clear" w:color="auto" w:fill="auto"/>
            <w:vAlign w:val="center"/>
          </w:tcPr>
          <w:p w14:paraId="0FC7B4BA" w14:textId="77777777" w:rsidR="00A052DC" w:rsidRDefault="009F0A60">
            <w:pPr>
              <w:rPr>
                <w:rFonts w:ascii="黑体" w:eastAsia="黑体" w:hAnsi="黑体"/>
                <w:sz w:val="20"/>
                <w:szCs w:val="20"/>
              </w:rPr>
            </w:pPr>
            <w:r>
              <w:rPr>
                <w:rFonts w:ascii="黑体" w:eastAsia="黑体" w:hAnsi="黑体"/>
                <w:sz w:val="20"/>
                <w:szCs w:val="20"/>
              </w:rPr>
              <w:t>10120102</w:t>
            </w:r>
          </w:p>
        </w:tc>
      </w:tr>
      <w:tr w:rsidR="00A052DC" w14:paraId="63EF415C" w14:textId="77777777">
        <w:trPr>
          <w:trHeight w:val="285"/>
        </w:trPr>
        <w:tc>
          <w:tcPr>
            <w:tcW w:w="724" w:type="dxa"/>
            <w:vMerge/>
            <w:tcBorders>
              <w:top w:val="nil"/>
              <w:left w:val="single" w:sz="8" w:space="0" w:color="auto"/>
              <w:bottom w:val="single" w:sz="8" w:space="0" w:color="000000"/>
              <w:right w:val="single" w:sz="8" w:space="0" w:color="auto"/>
            </w:tcBorders>
            <w:vAlign w:val="center"/>
          </w:tcPr>
          <w:p w14:paraId="2053C1C1" w14:textId="77777777" w:rsidR="00A052DC" w:rsidRDefault="00A052DC">
            <w:pPr>
              <w:ind w:firstLine="48"/>
              <w:rPr>
                <w:rFonts w:ascii="黑体" w:eastAsia="黑体" w:hAnsi="黑体"/>
                <w:sz w:val="20"/>
                <w:szCs w:val="20"/>
              </w:rPr>
            </w:pPr>
          </w:p>
        </w:tc>
        <w:tc>
          <w:tcPr>
            <w:tcW w:w="886" w:type="dxa"/>
            <w:vMerge/>
            <w:tcBorders>
              <w:top w:val="nil"/>
              <w:left w:val="single" w:sz="8" w:space="0" w:color="auto"/>
              <w:bottom w:val="single" w:sz="8" w:space="0" w:color="000000"/>
              <w:right w:val="single" w:sz="8" w:space="0" w:color="auto"/>
            </w:tcBorders>
            <w:vAlign w:val="center"/>
          </w:tcPr>
          <w:p w14:paraId="483CD5C4" w14:textId="77777777" w:rsidR="00A052DC" w:rsidRDefault="00A052DC">
            <w:pPr>
              <w:rPr>
                <w:rFonts w:ascii="黑体" w:eastAsia="黑体" w:hAnsi="黑体"/>
                <w:sz w:val="20"/>
                <w:szCs w:val="20"/>
              </w:rPr>
            </w:pPr>
          </w:p>
        </w:tc>
        <w:tc>
          <w:tcPr>
            <w:tcW w:w="1970" w:type="dxa"/>
            <w:vMerge/>
            <w:tcBorders>
              <w:top w:val="nil"/>
              <w:left w:val="single" w:sz="8" w:space="0" w:color="auto"/>
              <w:bottom w:val="single" w:sz="8" w:space="0" w:color="000000"/>
              <w:right w:val="single" w:sz="8" w:space="0" w:color="auto"/>
            </w:tcBorders>
            <w:vAlign w:val="center"/>
          </w:tcPr>
          <w:p w14:paraId="60E19312" w14:textId="77777777" w:rsidR="00A052DC" w:rsidRDefault="00A052DC">
            <w:pPr>
              <w:rPr>
                <w:rFonts w:ascii="黑体" w:eastAsia="黑体" w:hAnsi="黑体"/>
                <w:sz w:val="20"/>
                <w:szCs w:val="20"/>
              </w:rPr>
            </w:pPr>
          </w:p>
        </w:tc>
        <w:tc>
          <w:tcPr>
            <w:tcW w:w="1054" w:type="dxa"/>
            <w:vMerge/>
            <w:tcBorders>
              <w:top w:val="nil"/>
              <w:left w:val="single" w:sz="8" w:space="0" w:color="auto"/>
              <w:bottom w:val="single" w:sz="8" w:space="0" w:color="000000"/>
              <w:right w:val="single" w:sz="8" w:space="0" w:color="auto"/>
            </w:tcBorders>
            <w:vAlign w:val="center"/>
          </w:tcPr>
          <w:p w14:paraId="48D415B2" w14:textId="77777777" w:rsidR="00A052DC" w:rsidRDefault="00A052DC">
            <w:pPr>
              <w:rPr>
                <w:rFonts w:ascii="黑体" w:eastAsia="黑体" w:hAnsi="黑体"/>
                <w:sz w:val="20"/>
                <w:szCs w:val="20"/>
              </w:rPr>
            </w:pPr>
          </w:p>
        </w:tc>
        <w:tc>
          <w:tcPr>
            <w:tcW w:w="2272" w:type="dxa"/>
            <w:tcBorders>
              <w:top w:val="nil"/>
              <w:left w:val="nil"/>
              <w:bottom w:val="single" w:sz="8" w:space="0" w:color="auto"/>
              <w:right w:val="single" w:sz="8" w:space="0" w:color="auto"/>
            </w:tcBorders>
            <w:shd w:val="clear" w:color="auto" w:fill="auto"/>
            <w:vAlign w:val="center"/>
          </w:tcPr>
          <w:p w14:paraId="0B5126AF" w14:textId="77777777" w:rsidR="00A052DC" w:rsidRDefault="009F0A60">
            <w:pPr>
              <w:rPr>
                <w:rFonts w:ascii="黑体" w:eastAsia="黑体" w:hAnsi="黑体"/>
                <w:sz w:val="20"/>
                <w:szCs w:val="20"/>
              </w:rPr>
            </w:pPr>
            <w:r>
              <w:rPr>
                <w:rFonts w:ascii="黑体" w:eastAsia="黑体" w:hAnsi="黑体" w:hint="eastAsia"/>
                <w:sz w:val="20"/>
                <w:szCs w:val="20"/>
              </w:rPr>
              <w:t>外资合资银行</w:t>
            </w:r>
          </w:p>
        </w:tc>
        <w:tc>
          <w:tcPr>
            <w:tcW w:w="1473" w:type="dxa"/>
            <w:tcBorders>
              <w:top w:val="nil"/>
              <w:left w:val="nil"/>
              <w:bottom w:val="single" w:sz="8" w:space="0" w:color="auto"/>
              <w:right w:val="single" w:sz="8" w:space="0" w:color="auto"/>
            </w:tcBorders>
            <w:shd w:val="clear" w:color="auto" w:fill="auto"/>
            <w:vAlign w:val="center"/>
          </w:tcPr>
          <w:p w14:paraId="4345B2F5" w14:textId="77777777" w:rsidR="00A052DC" w:rsidRDefault="009F0A60">
            <w:pPr>
              <w:rPr>
                <w:rFonts w:ascii="黑体" w:eastAsia="黑体" w:hAnsi="黑体"/>
                <w:sz w:val="20"/>
                <w:szCs w:val="20"/>
              </w:rPr>
            </w:pPr>
            <w:r>
              <w:rPr>
                <w:rFonts w:ascii="黑体" w:eastAsia="黑体" w:hAnsi="黑体"/>
                <w:sz w:val="20"/>
                <w:szCs w:val="20"/>
              </w:rPr>
              <w:t>10120103</w:t>
            </w:r>
          </w:p>
        </w:tc>
      </w:tr>
      <w:tr w:rsidR="00A052DC" w14:paraId="42994138" w14:textId="77777777">
        <w:trPr>
          <w:trHeight w:val="285"/>
        </w:trPr>
        <w:tc>
          <w:tcPr>
            <w:tcW w:w="724" w:type="dxa"/>
            <w:vMerge/>
            <w:tcBorders>
              <w:top w:val="nil"/>
              <w:left w:val="single" w:sz="8" w:space="0" w:color="auto"/>
              <w:bottom w:val="single" w:sz="8" w:space="0" w:color="000000"/>
              <w:right w:val="single" w:sz="8" w:space="0" w:color="auto"/>
            </w:tcBorders>
            <w:vAlign w:val="center"/>
          </w:tcPr>
          <w:p w14:paraId="6CAB56E3" w14:textId="77777777" w:rsidR="00A052DC" w:rsidRDefault="00A052DC">
            <w:pPr>
              <w:ind w:firstLine="48"/>
              <w:rPr>
                <w:rFonts w:ascii="黑体" w:eastAsia="黑体" w:hAnsi="黑体"/>
                <w:sz w:val="20"/>
                <w:szCs w:val="20"/>
              </w:rPr>
            </w:pPr>
          </w:p>
        </w:tc>
        <w:tc>
          <w:tcPr>
            <w:tcW w:w="886" w:type="dxa"/>
            <w:vMerge/>
            <w:tcBorders>
              <w:top w:val="nil"/>
              <w:left w:val="single" w:sz="8" w:space="0" w:color="auto"/>
              <w:bottom w:val="single" w:sz="8" w:space="0" w:color="000000"/>
              <w:right w:val="single" w:sz="8" w:space="0" w:color="auto"/>
            </w:tcBorders>
            <w:vAlign w:val="center"/>
          </w:tcPr>
          <w:p w14:paraId="043134F6" w14:textId="77777777" w:rsidR="00A052DC" w:rsidRDefault="00A052DC">
            <w:pPr>
              <w:rPr>
                <w:rFonts w:ascii="黑体" w:eastAsia="黑体" w:hAnsi="黑体"/>
                <w:sz w:val="20"/>
                <w:szCs w:val="20"/>
              </w:rPr>
            </w:pPr>
          </w:p>
        </w:tc>
        <w:tc>
          <w:tcPr>
            <w:tcW w:w="1970" w:type="dxa"/>
            <w:vMerge w:val="restart"/>
            <w:tcBorders>
              <w:top w:val="nil"/>
              <w:left w:val="single" w:sz="8" w:space="0" w:color="auto"/>
              <w:bottom w:val="single" w:sz="8" w:space="0" w:color="000000"/>
              <w:right w:val="single" w:sz="8" w:space="0" w:color="auto"/>
            </w:tcBorders>
            <w:shd w:val="clear" w:color="auto" w:fill="auto"/>
            <w:vAlign w:val="center"/>
          </w:tcPr>
          <w:p w14:paraId="6EC96375" w14:textId="77777777" w:rsidR="00A052DC" w:rsidRDefault="009F0A60">
            <w:pPr>
              <w:rPr>
                <w:rFonts w:ascii="黑体" w:eastAsia="黑体" w:hAnsi="黑体"/>
                <w:sz w:val="20"/>
                <w:szCs w:val="20"/>
              </w:rPr>
            </w:pPr>
            <w:r>
              <w:rPr>
                <w:rFonts w:ascii="黑体" w:eastAsia="黑体" w:hAnsi="黑体" w:hint="eastAsia"/>
                <w:sz w:val="20"/>
                <w:szCs w:val="20"/>
              </w:rPr>
              <w:t>外资非银行金融机构</w:t>
            </w:r>
          </w:p>
        </w:tc>
        <w:tc>
          <w:tcPr>
            <w:tcW w:w="1054" w:type="dxa"/>
            <w:vMerge w:val="restart"/>
            <w:tcBorders>
              <w:top w:val="nil"/>
              <w:left w:val="single" w:sz="8" w:space="0" w:color="auto"/>
              <w:bottom w:val="single" w:sz="8" w:space="0" w:color="000000"/>
              <w:right w:val="single" w:sz="8" w:space="0" w:color="auto"/>
            </w:tcBorders>
            <w:shd w:val="clear" w:color="auto" w:fill="auto"/>
            <w:vAlign w:val="center"/>
          </w:tcPr>
          <w:p w14:paraId="3EF97225" w14:textId="77777777" w:rsidR="00A052DC" w:rsidRDefault="009F0A60">
            <w:pPr>
              <w:rPr>
                <w:rFonts w:ascii="黑体" w:eastAsia="黑体" w:hAnsi="黑体"/>
                <w:sz w:val="20"/>
                <w:szCs w:val="20"/>
              </w:rPr>
            </w:pPr>
            <w:r>
              <w:rPr>
                <w:rFonts w:ascii="黑体" w:eastAsia="黑体" w:hAnsi="黑体"/>
                <w:sz w:val="20"/>
                <w:szCs w:val="20"/>
              </w:rPr>
              <w:t>101202</w:t>
            </w:r>
          </w:p>
        </w:tc>
        <w:tc>
          <w:tcPr>
            <w:tcW w:w="2272" w:type="dxa"/>
            <w:tcBorders>
              <w:top w:val="nil"/>
              <w:left w:val="nil"/>
              <w:bottom w:val="single" w:sz="8" w:space="0" w:color="auto"/>
              <w:right w:val="single" w:sz="8" w:space="0" w:color="auto"/>
            </w:tcBorders>
            <w:shd w:val="clear" w:color="auto" w:fill="auto"/>
            <w:vAlign w:val="center"/>
          </w:tcPr>
          <w:p w14:paraId="029CCBFD" w14:textId="77777777" w:rsidR="00A052DC" w:rsidRDefault="009F0A60">
            <w:pPr>
              <w:rPr>
                <w:rFonts w:ascii="黑体" w:eastAsia="黑体" w:hAnsi="黑体"/>
                <w:sz w:val="20"/>
                <w:szCs w:val="20"/>
              </w:rPr>
            </w:pPr>
            <w:r>
              <w:rPr>
                <w:rFonts w:ascii="黑体" w:eastAsia="黑体" w:hAnsi="黑体" w:hint="eastAsia"/>
                <w:sz w:val="20"/>
                <w:szCs w:val="20"/>
              </w:rPr>
              <w:t>外资信托公司</w:t>
            </w:r>
          </w:p>
        </w:tc>
        <w:tc>
          <w:tcPr>
            <w:tcW w:w="1473" w:type="dxa"/>
            <w:tcBorders>
              <w:top w:val="nil"/>
              <w:left w:val="nil"/>
              <w:bottom w:val="single" w:sz="8" w:space="0" w:color="auto"/>
              <w:right w:val="single" w:sz="8" w:space="0" w:color="auto"/>
            </w:tcBorders>
            <w:shd w:val="clear" w:color="auto" w:fill="auto"/>
            <w:vAlign w:val="center"/>
          </w:tcPr>
          <w:p w14:paraId="544A5484" w14:textId="77777777" w:rsidR="00A052DC" w:rsidRDefault="009F0A60">
            <w:pPr>
              <w:rPr>
                <w:rFonts w:ascii="黑体" w:eastAsia="黑体" w:hAnsi="黑体"/>
                <w:sz w:val="20"/>
                <w:szCs w:val="20"/>
              </w:rPr>
            </w:pPr>
            <w:r>
              <w:rPr>
                <w:rFonts w:ascii="黑体" w:eastAsia="黑体" w:hAnsi="黑体"/>
                <w:sz w:val="20"/>
                <w:szCs w:val="20"/>
              </w:rPr>
              <w:t>10120201</w:t>
            </w:r>
          </w:p>
        </w:tc>
      </w:tr>
      <w:tr w:rsidR="00A052DC" w14:paraId="65F59555" w14:textId="77777777">
        <w:trPr>
          <w:trHeight w:val="285"/>
        </w:trPr>
        <w:tc>
          <w:tcPr>
            <w:tcW w:w="724" w:type="dxa"/>
            <w:vMerge/>
            <w:tcBorders>
              <w:top w:val="nil"/>
              <w:left w:val="single" w:sz="8" w:space="0" w:color="auto"/>
              <w:bottom w:val="single" w:sz="8" w:space="0" w:color="000000"/>
              <w:right w:val="single" w:sz="8" w:space="0" w:color="auto"/>
            </w:tcBorders>
            <w:vAlign w:val="center"/>
          </w:tcPr>
          <w:p w14:paraId="0C67D617" w14:textId="77777777" w:rsidR="00A052DC" w:rsidRDefault="00A052DC">
            <w:pPr>
              <w:ind w:firstLine="48"/>
              <w:rPr>
                <w:rFonts w:ascii="黑体" w:eastAsia="黑体" w:hAnsi="黑体"/>
                <w:sz w:val="20"/>
                <w:szCs w:val="20"/>
              </w:rPr>
            </w:pPr>
          </w:p>
        </w:tc>
        <w:tc>
          <w:tcPr>
            <w:tcW w:w="886" w:type="dxa"/>
            <w:vMerge/>
            <w:tcBorders>
              <w:top w:val="nil"/>
              <w:left w:val="single" w:sz="8" w:space="0" w:color="auto"/>
              <w:bottom w:val="single" w:sz="8" w:space="0" w:color="000000"/>
              <w:right w:val="single" w:sz="8" w:space="0" w:color="auto"/>
            </w:tcBorders>
            <w:vAlign w:val="center"/>
          </w:tcPr>
          <w:p w14:paraId="068CF48B" w14:textId="77777777" w:rsidR="00A052DC" w:rsidRDefault="00A052DC">
            <w:pPr>
              <w:rPr>
                <w:rFonts w:ascii="黑体" w:eastAsia="黑体" w:hAnsi="黑体"/>
                <w:sz w:val="20"/>
                <w:szCs w:val="20"/>
              </w:rPr>
            </w:pPr>
          </w:p>
        </w:tc>
        <w:tc>
          <w:tcPr>
            <w:tcW w:w="1970" w:type="dxa"/>
            <w:vMerge/>
            <w:tcBorders>
              <w:top w:val="nil"/>
              <w:left w:val="single" w:sz="8" w:space="0" w:color="auto"/>
              <w:bottom w:val="single" w:sz="8" w:space="0" w:color="000000"/>
              <w:right w:val="single" w:sz="8" w:space="0" w:color="auto"/>
            </w:tcBorders>
            <w:vAlign w:val="center"/>
          </w:tcPr>
          <w:p w14:paraId="688E3735" w14:textId="77777777" w:rsidR="00A052DC" w:rsidRDefault="00A052DC">
            <w:pPr>
              <w:rPr>
                <w:rFonts w:ascii="黑体" w:eastAsia="黑体" w:hAnsi="黑体"/>
                <w:sz w:val="20"/>
                <w:szCs w:val="20"/>
              </w:rPr>
            </w:pPr>
          </w:p>
        </w:tc>
        <w:tc>
          <w:tcPr>
            <w:tcW w:w="1054" w:type="dxa"/>
            <w:vMerge/>
            <w:tcBorders>
              <w:top w:val="nil"/>
              <w:left w:val="single" w:sz="8" w:space="0" w:color="auto"/>
              <w:bottom w:val="single" w:sz="8" w:space="0" w:color="000000"/>
              <w:right w:val="single" w:sz="8" w:space="0" w:color="auto"/>
            </w:tcBorders>
            <w:vAlign w:val="center"/>
          </w:tcPr>
          <w:p w14:paraId="32E8EDBB" w14:textId="77777777" w:rsidR="00A052DC" w:rsidRDefault="00A052DC">
            <w:pPr>
              <w:rPr>
                <w:rFonts w:ascii="黑体" w:eastAsia="黑体" w:hAnsi="黑体"/>
                <w:sz w:val="20"/>
                <w:szCs w:val="20"/>
              </w:rPr>
            </w:pPr>
          </w:p>
        </w:tc>
        <w:tc>
          <w:tcPr>
            <w:tcW w:w="2272" w:type="dxa"/>
            <w:tcBorders>
              <w:top w:val="nil"/>
              <w:left w:val="nil"/>
              <w:bottom w:val="single" w:sz="8" w:space="0" w:color="auto"/>
              <w:right w:val="single" w:sz="8" w:space="0" w:color="auto"/>
            </w:tcBorders>
            <w:shd w:val="clear" w:color="auto" w:fill="auto"/>
            <w:vAlign w:val="center"/>
          </w:tcPr>
          <w:p w14:paraId="2CF4F3FB" w14:textId="77777777" w:rsidR="00A052DC" w:rsidRDefault="009F0A60">
            <w:pPr>
              <w:rPr>
                <w:rFonts w:ascii="黑体" w:eastAsia="黑体" w:hAnsi="黑体"/>
                <w:sz w:val="20"/>
                <w:szCs w:val="20"/>
              </w:rPr>
            </w:pPr>
            <w:r>
              <w:rPr>
                <w:rFonts w:ascii="黑体" w:eastAsia="黑体" w:hAnsi="黑体" w:hint="eastAsia"/>
                <w:sz w:val="20"/>
                <w:szCs w:val="20"/>
              </w:rPr>
              <w:t>外资财务公司</w:t>
            </w:r>
          </w:p>
        </w:tc>
        <w:tc>
          <w:tcPr>
            <w:tcW w:w="1473" w:type="dxa"/>
            <w:tcBorders>
              <w:top w:val="nil"/>
              <w:left w:val="nil"/>
              <w:bottom w:val="single" w:sz="8" w:space="0" w:color="auto"/>
              <w:right w:val="single" w:sz="8" w:space="0" w:color="auto"/>
            </w:tcBorders>
            <w:shd w:val="clear" w:color="auto" w:fill="auto"/>
            <w:vAlign w:val="center"/>
          </w:tcPr>
          <w:p w14:paraId="4C409DE1" w14:textId="77777777" w:rsidR="00A052DC" w:rsidRDefault="009F0A60">
            <w:pPr>
              <w:rPr>
                <w:rFonts w:ascii="黑体" w:eastAsia="黑体" w:hAnsi="黑体"/>
                <w:sz w:val="20"/>
                <w:szCs w:val="20"/>
              </w:rPr>
            </w:pPr>
            <w:r>
              <w:rPr>
                <w:rFonts w:ascii="黑体" w:eastAsia="黑体" w:hAnsi="黑体"/>
                <w:sz w:val="20"/>
                <w:szCs w:val="20"/>
              </w:rPr>
              <w:t>10120202</w:t>
            </w:r>
          </w:p>
        </w:tc>
      </w:tr>
      <w:tr w:rsidR="00A052DC" w14:paraId="79803F00" w14:textId="77777777">
        <w:trPr>
          <w:trHeight w:val="285"/>
        </w:trPr>
        <w:tc>
          <w:tcPr>
            <w:tcW w:w="724" w:type="dxa"/>
            <w:vMerge/>
            <w:tcBorders>
              <w:top w:val="nil"/>
              <w:left w:val="single" w:sz="8" w:space="0" w:color="auto"/>
              <w:bottom w:val="single" w:sz="8" w:space="0" w:color="000000"/>
              <w:right w:val="single" w:sz="8" w:space="0" w:color="auto"/>
            </w:tcBorders>
            <w:vAlign w:val="center"/>
          </w:tcPr>
          <w:p w14:paraId="196EBA7E" w14:textId="77777777" w:rsidR="00A052DC" w:rsidRDefault="00A052DC">
            <w:pPr>
              <w:ind w:firstLine="48"/>
              <w:rPr>
                <w:rFonts w:ascii="黑体" w:eastAsia="黑体" w:hAnsi="黑体"/>
                <w:sz w:val="20"/>
                <w:szCs w:val="20"/>
              </w:rPr>
            </w:pPr>
          </w:p>
        </w:tc>
        <w:tc>
          <w:tcPr>
            <w:tcW w:w="886" w:type="dxa"/>
            <w:vMerge/>
            <w:tcBorders>
              <w:top w:val="nil"/>
              <w:left w:val="single" w:sz="8" w:space="0" w:color="auto"/>
              <w:bottom w:val="single" w:sz="8" w:space="0" w:color="000000"/>
              <w:right w:val="single" w:sz="8" w:space="0" w:color="auto"/>
            </w:tcBorders>
            <w:vAlign w:val="center"/>
          </w:tcPr>
          <w:p w14:paraId="47F53ABB" w14:textId="77777777" w:rsidR="00A052DC" w:rsidRDefault="00A052DC">
            <w:pPr>
              <w:rPr>
                <w:rFonts w:ascii="黑体" w:eastAsia="黑体" w:hAnsi="黑体"/>
                <w:sz w:val="20"/>
                <w:szCs w:val="20"/>
              </w:rPr>
            </w:pPr>
          </w:p>
        </w:tc>
        <w:tc>
          <w:tcPr>
            <w:tcW w:w="1970" w:type="dxa"/>
            <w:vMerge/>
            <w:tcBorders>
              <w:top w:val="nil"/>
              <w:left w:val="single" w:sz="8" w:space="0" w:color="auto"/>
              <w:bottom w:val="single" w:sz="8" w:space="0" w:color="000000"/>
              <w:right w:val="single" w:sz="8" w:space="0" w:color="auto"/>
            </w:tcBorders>
            <w:vAlign w:val="center"/>
          </w:tcPr>
          <w:p w14:paraId="25DAF24D" w14:textId="77777777" w:rsidR="00A052DC" w:rsidRDefault="00A052DC">
            <w:pPr>
              <w:rPr>
                <w:rFonts w:ascii="黑体" w:eastAsia="黑体" w:hAnsi="黑体"/>
                <w:sz w:val="20"/>
                <w:szCs w:val="20"/>
              </w:rPr>
            </w:pPr>
          </w:p>
        </w:tc>
        <w:tc>
          <w:tcPr>
            <w:tcW w:w="1054" w:type="dxa"/>
            <w:vMerge/>
            <w:tcBorders>
              <w:top w:val="nil"/>
              <w:left w:val="single" w:sz="8" w:space="0" w:color="auto"/>
              <w:bottom w:val="single" w:sz="8" w:space="0" w:color="000000"/>
              <w:right w:val="single" w:sz="8" w:space="0" w:color="auto"/>
            </w:tcBorders>
            <w:vAlign w:val="center"/>
          </w:tcPr>
          <w:p w14:paraId="5B8E29B2" w14:textId="77777777" w:rsidR="00A052DC" w:rsidRDefault="00A052DC">
            <w:pPr>
              <w:rPr>
                <w:rFonts w:ascii="黑体" w:eastAsia="黑体" w:hAnsi="黑体"/>
                <w:sz w:val="20"/>
                <w:szCs w:val="20"/>
              </w:rPr>
            </w:pPr>
          </w:p>
        </w:tc>
        <w:tc>
          <w:tcPr>
            <w:tcW w:w="2272" w:type="dxa"/>
            <w:tcBorders>
              <w:top w:val="nil"/>
              <w:left w:val="nil"/>
              <w:bottom w:val="single" w:sz="8" w:space="0" w:color="auto"/>
              <w:right w:val="single" w:sz="8" w:space="0" w:color="auto"/>
            </w:tcBorders>
            <w:shd w:val="clear" w:color="auto" w:fill="auto"/>
            <w:vAlign w:val="center"/>
          </w:tcPr>
          <w:p w14:paraId="77E27491" w14:textId="77777777" w:rsidR="00A052DC" w:rsidRDefault="009F0A60">
            <w:pPr>
              <w:rPr>
                <w:rFonts w:ascii="黑体" w:eastAsia="黑体" w:hAnsi="黑体"/>
                <w:sz w:val="20"/>
                <w:szCs w:val="20"/>
              </w:rPr>
            </w:pPr>
            <w:r>
              <w:rPr>
                <w:rFonts w:ascii="黑体" w:eastAsia="黑体" w:hAnsi="黑体" w:hint="eastAsia"/>
                <w:sz w:val="20"/>
                <w:szCs w:val="20"/>
              </w:rPr>
              <w:t>外资保险公司</w:t>
            </w:r>
          </w:p>
        </w:tc>
        <w:tc>
          <w:tcPr>
            <w:tcW w:w="1473" w:type="dxa"/>
            <w:tcBorders>
              <w:top w:val="nil"/>
              <w:left w:val="nil"/>
              <w:bottom w:val="single" w:sz="8" w:space="0" w:color="auto"/>
              <w:right w:val="single" w:sz="8" w:space="0" w:color="auto"/>
            </w:tcBorders>
            <w:shd w:val="clear" w:color="auto" w:fill="auto"/>
            <w:vAlign w:val="center"/>
          </w:tcPr>
          <w:p w14:paraId="459ED5E3" w14:textId="77777777" w:rsidR="00A052DC" w:rsidRDefault="009F0A60">
            <w:pPr>
              <w:rPr>
                <w:rFonts w:ascii="黑体" w:eastAsia="黑体" w:hAnsi="黑体"/>
                <w:sz w:val="20"/>
                <w:szCs w:val="20"/>
              </w:rPr>
            </w:pPr>
            <w:r>
              <w:rPr>
                <w:rFonts w:ascii="黑体" w:eastAsia="黑体" w:hAnsi="黑体"/>
                <w:sz w:val="20"/>
                <w:szCs w:val="20"/>
              </w:rPr>
              <w:t>10120203</w:t>
            </w:r>
          </w:p>
        </w:tc>
      </w:tr>
      <w:tr w:rsidR="00A052DC" w14:paraId="7524E354" w14:textId="77777777">
        <w:trPr>
          <w:trHeight w:val="285"/>
        </w:trPr>
        <w:tc>
          <w:tcPr>
            <w:tcW w:w="724" w:type="dxa"/>
            <w:vMerge/>
            <w:tcBorders>
              <w:top w:val="nil"/>
              <w:left w:val="single" w:sz="8" w:space="0" w:color="auto"/>
              <w:bottom w:val="single" w:sz="8" w:space="0" w:color="000000"/>
              <w:right w:val="single" w:sz="8" w:space="0" w:color="auto"/>
            </w:tcBorders>
            <w:vAlign w:val="center"/>
          </w:tcPr>
          <w:p w14:paraId="47FDE586" w14:textId="77777777" w:rsidR="00A052DC" w:rsidRDefault="00A052DC">
            <w:pPr>
              <w:ind w:firstLine="48"/>
              <w:rPr>
                <w:rFonts w:ascii="黑体" w:eastAsia="黑体" w:hAnsi="黑体"/>
                <w:sz w:val="20"/>
                <w:szCs w:val="20"/>
              </w:rPr>
            </w:pPr>
          </w:p>
        </w:tc>
        <w:tc>
          <w:tcPr>
            <w:tcW w:w="886" w:type="dxa"/>
            <w:vMerge/>
            <w:tcBorders>
              <w:top w:val="nil"/>
              <w:left w:val="single" w:sz="8" w:space="0" w:color="auto"/>
              <w:bottom w:val="single" w:sz="8" w:space="0" w:color="000000"/>
              <w:right w:val="single" w:sz="8" w:space="0" w:color="auto"/>
            </w:tcBorders>
            <w:vAlign w:val="center"/>
          </w:tcPr>
          <w:p w14:paraId="725B2FB3" w14:textId="77777777" w:rsidR="00A052DC" w:rsidRDefault="00A052DC">
            <w:pPr>
              <w:rPr>
                <w:rFonts w:ascii="黑体" w:eastAsia="黑体" w:hAnsi="黑体"/>
                <w:sz w:val="20"/>
                <w:szCs w:val="20"/>
              </w:rPr>
            </w:pPr>
          </w:p>
        </w:tc>
        <w:tc>
          <w:tcPr>
            <w:tcW w:w="1970" w:type="dxa"/>
            <w:vMerge/>
            <w:tcBorders>
              <w:top w:val="nil"/>
              <w:left w:val="single" w:sz="8" w:space="0" w:color="auto"/>
              <w:bottom w:val="single" w:sz="8" w:space="0" w:color="000000"/>
              <w:right w:val="single" w:sz="8" w:space="0" w:color="auto"/>
            </w:tcBorders>
            <w:vAlign w:val="center"/>
          </w:tcPr>
          <w:p w14:paraId="2F41E70E" w14:textId="77777777" w:rsidR="00A052DC" w:rsidRDefault="00A052DC">
            <w:pPr>
              <w:rPr>
                <w:rFonts w:ascii="黑体" w:eastAsia="黑体" w:hAnsi="黑体"/>
                <w:sz w:val="20"/>
                <w:szCs w:val="20"/>
              </w:rPr>
            </w:pPr>
          </w:p>
        </w:tc>
        <w:tc>
          <w:tcPr>
            <w:tcW w:w="1054" w:type="dxa"/>
            <w:vMerge/>
            <w:tcBorders>
              <w:top w:val="nil"/>
              <w:left w:val="single" w:sz="8" w:space="0" w:color="auto"/>
              <w:bottom w:val="single" w:sz="8" w:space="0" w:color="000000"/>
              <w:right w:val="single" w:sz="8" w:space="0" w:color="auto"/>
            </w:tcBorders>
            <w:vAlign w:val="center"/>
          </w:tcPr>
          <w:p w14:paraId="0E49D5D6" w14:textId="77777777" w:rsidR="00A052DC" w:rsidRDefault="00A052DC">
            <w:pPr>
              <w:rPr>
                <w:rFonts w:ascii="黑体" w:eastAsia="黑体" w:hAnsi="黑体"/>
                <w:sz w:val="20"/>
                <w:szCs w:val="20"/>
              </w:rPr>
            </w:pPr>
          </w:p>
        </w:tc>
        <w:tc>
          <w:tcPr>
            <w:tcW w:w="2272" w:type="dxa"/>
            <w:tcBorders>
              <w:top w:val="nil"/>
              <w:left w:val="nil"/>
              <w:bottom w:val="single" w:sz="8" w:space="0" w:color="auto"/>
              <w:right w:val="single" w:sz="8" w:space="0" w:color="auto"/>
            </w:tcBorders>
            <w:shd w:val="clear" w:color="auto" w:fill="auto"/>
            <w:vAlign w:val="center"/>
          </w:tcPr>
          <w:p w14:paraId="419D2CBD" w14:textId="77777777" w:rsidR="00A052DC" w:rsidRDefault="009F0A60">
            <w:pPr>
              <w:rPr>
                <w:rFonts w:ascii="黑体" w:eastAsia="黑体" w:hAnsi="黑体"/>
                <w:sz w:val="20"/>
                <w:szCs w:val="20"/>
              </w:rPr>
            </w:pPr>
            <w:r>
              <w:rPr>
                <w:rFonts w:ascii="黑体" w:eastAsia="黑体" w:hAnsi="黑体" w:hint="eastAsia"/>
                <w:sz w:val="20"/>
                <w:szCs w:val="20"/>
              </w:rPr>
              <w:t>外资资产管理公司</w:t>
            </w:r>
          </w:p>
        </w:tc>
        <w:tc>
          <w:tcPr>
            <w:tcW w:w="1473" w:type="dxa"/>
            <w:tcBorders>
              <w:top w:val="nil"/>
              <w:left w:val="nil"/>
              <w:bottom w:val="single" w:sz="8" w:space="0" w:color="auto"/>
              <w:right w:val="single" w:sz="8" w:space="0" w:color="auto"/>
            </w:tcBorders>
            <w:shd w:val="clear" w:color="auto" w:fill="auto"/>
            <w:vAlign w:val="center"/>
          </w:tcPr>
          <w:p w14:paraId="45CA18C4" w14:textId="77777777" w:rsidR="00A052DC" w:rsidRDefault="009F0A60">
            <w:pPr>
              <w:rPr>
                <w:rFonts w:ascii="黑体" w:eastAsia="黑体" w:hAnsi="黑体"/>
                <w:sz w:val="20"/>
                <w:szCs w:val="20"/>
              </w:rPr>
            </w:pPr>
            <w:r>
              <w:rPr>
                <w:rFonts w:ascii="黑体" w:eastAsia="黑体" w:hAnsi="黑体"/>
                <w:sz w:val="20"/>
                <w:szCs w:val="20"/>
              </w:rPr>
              <w:t>10120204</w:t>
            </w:r>
          </w:p>
        </w:tc>
      </w:tr>
      <w:tr w:rsidR="00A052DC" w14:paraId="450C09C0" w14:textId="77777777">
        <w:trPr>
          <w:trHeight w:val="285"/>
        </w:trPr>
        <w:tc>
          <w:tcPr>
            <w:tcW w:w="724" w:type="dxa"/>
            <w:vMerge/>
            <w:tcBorders>
              <w:top w:val="nil"/>
              <w:left w:val="single" w:sz="8" w:space="0" w:color="auto"/>
              <w:bottom w:val="single" w:sz="8" w:space="0" w:color="000000"/>
              <w:right w:val="single" w:sz="8" w:space="0" w:color="auto"/>
            </w:tcBorders>
            <w:vAlign w:val="center"/>
          </w:tcPr>
          <w:p w14:paraId="2331FC56" w14:textId="77777777" w:rsidR="00A052DC" w:rsidRDefault="00A052DC">
            <w:pPr>
              <w:ind w:firstLine="48"/>
              <w:rPr>
                <w:rFonts w:ascii="黑体" w:eastAsia="黑体" w:hAnsi="黑体"/>
                <w:sz w:val="20"/>
                <w:szCs w:val="20"/>
              </w:rPr>
            </w:pPr>
          </w:p>
        </w:tc>
        <w:tc>
          <w:tcPr>
            <w:tcW w:w="886" w:type="dxa"/>
            <w:vMerge/>
            <w:tcBorders>
              <w:top w:val="nil"/>
              <w:left w:val="single" w:sz="8" w:space="0" w:color="auto"/>
              <w:bottom w:val="single" w:sz="8" w:space="0" w:color="000000"/>
              <w:right w:val="single" w:sz="8" w:space="0" w:color="auto"/>
            </w:tcBorders>
            <w:vAlign w:val="center"/>
          </w:tcPr>
          <w:p w14:paraId="4FAA3B98" w14:textId="77777777" w:rsidR="00A052DC" w:rsidRDefault="00A052DC">
            <w:pPr>
              <w:rPr>
                <w:rFonts w:ascii="黑体" w:eastAsia="黑体" w:hAnsi="黑体"/>
                <w:sz w:val="20"/>
                <w:szCs w:val="20"/>
              </w:rPr>
            </w:pPr>
          </w:p>
        </w:tc>
        <w:tc>
          <w:tcPr>
            <w:tcW w:w="1970" w:type="dxa"/>
            <w:vMerge/>
            <w:tcBorders>
              <w:top w:val="nil"/>
              <w:left w:val="single" w:sz="8" w:space="0" w:color="auto"/>
              <w:bottom w:val="single" w:sz="8" w:space="0" w:color="000000"/>
              <w:right w:val="single" w:sz="8" w:space="0" w:color="auto"/>
            </w:tcBorders>
            <w:vAlign w:val="center"/>
          </w:tcPr>
          <w:p w14:paraId="50BD1394" w14:textId="77777777" w:rsidR="00A052DC" w:rsidRDefault="00A052DC">
            <w:pPr>
              <w:rPr>
                <w:rFonts w:ascii="黑体" w:eastAsia="黑体" w:hAnsi="黑体"/>
                <w:sz w:val="20"/>
                <w:szCs w:val="20"/>
              </w:rPr>
            </w:pPr>
          </w:p>
        </w:tc>
        <w:tc>
          <w:tcPr>
            <w:tcW w:w="1054" w:type="dxa"/>
            <w:vMerge/>
            <w:tcBorders>
              <w:top w:val="nil"/>
              <w:left w:val="single" w:sz="8" w:space="0" w:color="auto"/>
              <w:bottom w:val="single" w:sz="8" w:space="0" w:color="000000"/>
              <w:right w:val="single" w:sz="8" w:space="0" w:color="auto"/>
            </w:tcBorders>
            <w:vAlign w:val="center"/>
          </w:tcPr>
          <w:p w14:paraId="00A4FB0C" w14:textId="77777777" w:rsidR="00A052DC" w:rsidRDefault="00A052DC">
            <w:pPr>
              <w:rPr>
                <w:rFonts w:ascii="黑体" w:eastAsia="黑体" w:hAnsi="黑体"/>
                <w:sz w:val="20"/>
                <w:szCs w:val="20"/>
              </w:rPr>
            </w:pPr>
          </w:p>
        </w:tc>
        <w:tc>
          <w:tcPr>
            <w:tcW w:w="2272" w:type="dxa"/>
            <w:tcBorders>
              <w:top w:val="nil"/>
              <w:left w:val="nil"/>
              <w:bottom w:val="single" w:sz="8" w:space="0" w:color="auto"/>
              <w:right w:val="single" w:sz="8" w:space="0" w:color="auto"/>
            </w:tcBorders>
            <w:shd w:val="clear" w:color="auto" w:fill="auto"/>
            <w:vAlign w:val="center"/>
          </w:tcPr>
          <w:p w14:paraId="543FAC83" w14:textId="77777777" w:rsidR="00A052DC" w:rsidRDefault="009F0A60">
            <w:pPr>
              <w:rPr>
                <w:rFonts w:ascii="黑体" w:eastAsia="黑体" w:hAnsi="黑体"/>
                <w:sz w:val="20"/>
                <w:szCs w:val="20"/>
              </w:rPr>
            </w:pPr>
            <w:r>
              <w:rPr>
                <w:rFonts w:ascii="黑体" w:eastAsia="黑体" w:hAnsi="黑体" w:hint="eastAsia"/>
                <w:sz w:val="20"/>
                <w:szCs w:val="20"/>
              </w:rPr>
              <w:t>外资租赁公司</w:t>
            </w:r>
          </w:p>
        </w:tc>
        <w:tc>
          <w:tcPr>
            <w:tcW w:w="1473" w:type="dxa"/>
            <w:tcBorders>
              <w:top w:val="nil"/>
              <w:left w:val="nil"/>
              <w:bottom w:val="single" w:sz="8" w:space="0" w:color="auto"/>
              <w:right w:val="single" w:sz="8" w:space="0" w:color="auto"/>
            </w:tcBorders>
            <w:shd w:val="clear" w:color="auto" w:fill="auto"/>
            <w:vAlign w:val="center"/>
          </w:tcPr>
          <w:p w14:paraId="29C9FD6D" w14:textId="77777777" w:rsidR="00A052DC" w:rsidRDefault="009F0A60">
            <w:pPr>
              <w:rPr>
                <w:rFonts w:ascii="黑体" w:eastAsia="黑体" w:hAnsi="黑体"/>
                <w:sz w:val="20"/>
                <w:szCs w:val="20"/>
              </w:rPr>
            </w:pPr>
            <w:r>
              <w:rPr>
                <w:rFonts w:ascii="黑体" w:eastAsia="黑体" w:hAnsi="黑体"/>
                <w:sz w:val="20"/>
                <w:szCs w:val="20"/>
              </w:rPr>
              <w:t>10120205</w:t>
            </w:r>
          </w:p>
        </w:tc>
      </w:tr>
      <w:tr w:rsidR="00A052DC" w14:paraId="7B8CB074" w14:textId="77777777">
        <w:trPr>
          <w:trHeight w:val="285"/>
        </w:trPr>
        <w:tc>
          <w:tcPr>
            <w:tcW w:w="724" w:type="dxa"/>
            <w:vMerge/>
            <w:tcBorders>
              <w:top w:val="nil"/>
              <w:left w:val="single" w:sz="8" w:space="0" w:color="auto"/>
              <w:bottom w:val="single" w:sz="8" w:space="0" w:color="000000"/>
              <w:right w:val="single" w:sz="8" w:space="0" w:color="auto"/>
            </w:tcBorders>
            <w:vAlign w:val="center"/>
          </w:tcPr>
          <w:p w14:paraId="79DEEBB4" w14:textId="77777777" w:rsidR="00A052DC" w:rsidRDefault="00A052DC">
            <w:pPr>
              <w:ind w:firstLine="48"/>
              <w:rPr>
                <w:rFonts w:ascii="黑体" w:eastAsia="黑体" w:hAnsi="黑体"/>
                <w:sz w:val="20"/>
                <w:szCs w:val="20"/>
              </w:rPr>
            </w:pPr>
          </w:p>
        </w:tc>
        <w:tc>
          <w:tcPr>
            <w:tcW w:w="886" w:type="dxa"/>
            <w:vMerge/>
            <w:tcBorders>
              <w:top w:val="nil"/>
              <w:left w:val="single" w:sz="8" w:space="0" w:color="auto"/>
              <w:bottom w:val="single" w:sz="8" w:space="0" w:color="000000"/>
              <w:right w:val="single" w:sz="8" w:space="0" w:color="auto"/>
            </w:tcBorders>
            <w:vAlign w:val="center"/>
          </w:tcPr>
          <w:p w14:paraId="78055A3D" w14:textId="77777777" w:rsidR="00A052DC" w:rsidRDefault="00A052DC">
            <w:pPr>
              <w:rPr>
                <w:rFonts w:ascii="黑体" w:eastAsia="黑体" w:hAnsi="黑体"/>
                <w:sz w:val="20"/>
                <w:szCs w:val="20"/>
              </w:rPr>
            </w:pPr>
          </w:p>
        </w:tc>
        <w:tc>
          <w:tcPr>
            <w:tcW w:w="1970" w:type="dxa"/>
            <w:vMerge/>
            <w:tcBorders>
              <w:top w:val="nil"/>
              <w:left w:val="single" w:sz="8" w:space="0" w:color="auto"/>
              <w:bottom w:val="single" w:sz="8" w:space="0" w:color="000000"/>
              <w:right w:val="single" w:sz="8" w:space="0" w:color="auto"/>
            </w:tcBorders>
            <w:vAlign w:val="center"/>
          </w:tcPr>
          <w:p w14:paraId="0063CE20" w14:textId="77777777" w:rsidR="00A052DC" w:rsidRDefault="00A052DC">
            <w:pPr>
              <w:rPr>
                <w:rFonts w:ascii="黑体" w:eastAsia="黑体" w:hAnsi="黑体"/>
                <w:sz w:val="20"/>
                <w:szCs w:val="20"/>
              </w:rPr>
            </w:pPr>
          </w:p>
        </w:tc>
        <w:tc>
          <w:tcPr>
            <w:tcW w:w="1054" w:type="dxa"/>
            <w:vMerge/>
            <w:tcBorders>
              <w:top w:val="nil"/>
              <w:left w:val="single" w:sz="8" w:space="0" w:color="auto"/>
              <w:bottom w:val="single" w:sz="8" w:space="0" w:color="000000"/>
              <w:right w:val="single" w:sz="8" w:space="0" w:color="auto"/>
            </w:tcBorders>
            <w:vAlign w:val="center"/>
          </w:tcPr>
          <w:p w14:paraId="0FE74DC3" w14:textId="77777777" w:rsidR="00A052DC" w:rsidRDefault="00A052DC">
            <w:pPr>
              <w:rPr>
                <w:rFonts w:ascii="黑体" w:eastAsia="黑体" w:hAnsi="黑体"/>
                <w:sz w:val="20"/>
                <w:szCs w:val="20"/>
              </w:rPr>
            </w:pPr>
          </w:p>
        </w:tc>
        <w:tc>
          <w:tcPr>
            <w:tcW w:w="2272" w:type="dxa"/>
            <w:tcBorders>
              <w:top w:val="nil"/>
              <w:left w:val="nil"/>
              <w:bottom w:val="single" w:sz="8" w:space="0" w:color="auto"/>
              <w:right w:val="single" w:sz="8" w:space="0" w:color="auto"/>
            </w:tcBorders>
            <w:shd w:val="clear" w:color="auto" w:fill="auto"/>
            <w:vAlign w:val="center"/>
          </w:tcPr>
          <w:p w14:paraId="379EE4CB" w14:textId="77777777" w:rsidR="00A052DC" w:rsidRDefault="009F0A60">
            <w:pPr>
              <w:rPr>
                <w:rFonts w:ascii="黑体" w:eastAsia="黑体" w:hAnsi="黑体"/>
                <w:sz w:val="20"/>
                <w:szCs w:val="20"/>
              </w:rPr>
            </w:pPr>
            <w:r>
              <w:rPr>
                <w:rFonts w:ascii="黑体" w:eastAsia="黑体" w:hAnsi="黑体" w:hint="eastAsia"/>
                <w:sz w:val="20"/>
                <w:szCs w:val="20"/>
              </w:rPr>
              <w:t>外资证券公司</w:t>
            </w:r>
          </w:p>
        </w:tc>
        <w:tc>
          <w:tcPr>
            <w:tcW w:w="1473" w:type="dxa"/>
            <w:tcBorders>
              <w:top w:val="nil"/>
              <w:left w:val="nil"/>
              <w:bottom w:val="single" w:sz="8" w:space="0" w:color="auto"/>
              <w:right w:val="single" w:sz="8" w:space="0" w:color="auto"/>
            </w:tcBorders>
            <w:shd w:val="clear" w:color="auto" w:fill="auto"/>
            <w:vAlign w:val="center"/>
          </w:tcPr>
          <w:p w14:paraId="65BC155E" w14:textId="77777777" w:rsidR="00A052DC" w:rsidRDefault="009F0A60">
            <w:pPr>
              <w:rPr>
                <w:rFonts w:ascii="黑体" w:eastAsia="黑体" w:hAnsi="黑体"/>
                <w:sz w:val="20"/>
                <w:szCs w:val="20"/>
              </w:rPr>
            </w:pPr>
            <w:r>
              <w:rPr>
                <w:rFonts w:ascii="黑体" w:eastAsia="黑体" w:hAnsi="黑体"/>
                <w:sz w:val="20"/>
                <w:szCs w:val="20"/>
              </w:rPr>
              <w:t>10120206</w:t>
            </w:r>
          </w:p>
        </w:tc>
      </w:tr>
      <w:tr w:rsidR="00A052DC" w14:paraId="173A5EAE" w14:textId="77777777">
        <w:trPr>
          <w:trHeight w:val="285"/>
        </w:trPr>
        <w:tc>
          <w:tcPr>
            <w:tcW w:w="724" w:type="dxa"/>
            <w:vMerge/>
            <w:tcBorders>
              <w:top w:val="nil"/>
              <w:left w:val="single" w:sz="8" w:space="0" w:color="auto"/>
              <w:bottom w:val="single" w:sz="8" w:space="0" w:color="000000"/>
              <w:right w:val="single" w:sz="8" w:space="0" w:color="auto"/>
            </w:tcBorders>
            <w:vAlign w:val="center"/>
          </w:tcPr>
          <w:p w14:paraId="5F5A5543" w14:textId="77777777" w:rsidR="00A052DC" w:rsidRDefault="00A052DC">
            <w:pPr>
              <w:ind w:firstLine="48"/>
              <w:rPr>
                <w:rFonts w:ascii="黑体" w:eastAsia="黑体" w:hAnsi="黑体"/>
                <w:sz w:val="20"/>
                <w:szCs w:val="20"/>
              </w:rPr>
            </w:pPr>
          </w:p>
        </w:tc>
        <w:tc>
          <w:tcPr>
            <w:tcW w:w="886" w:type="dxa"/>
            <w:vMerge/>
            <w:tcBorders>
              <w:top w:val="nil"/>
              <w:left w:val="single" w:sz="8" w:space="0" w:color="auto"/>
              <w:bottom w:val="single" w:sz="8" w:space="0" w:color="000000"/>
              <w:right w:val="single" w:sz="8" w:space="0" w:color="auto"/>
            </w:tcBorders>
            <w:vAlign w:val="center"/>
          </w:tcPr>
          <w:p w14:paraId="2785E6C0" w14:textId="77777777" w:rsidR="00A052DC" w:rsidRDefault="00A052DC">
            <w:pPr>
              <w:rPr>
                <w:rFonts w:ascii="黑体" w:eastAsia="黑体" w:hAnsi="黑体"/>
                <w:sz w:val="20"/>
                <w:szCs w:val="20"/>
              </w:rPr>
            </w:pPr>
          </w:p>
        </w:tc>
        <w:tc>
          <w:tcPr>
            <w:tcW w:w="1970" w:type="dxa"/>
            <w:vMerge/>
            <w:tcBorders>
              <w:top w:val="nil"/>
              <w:left w:val="single" w:sz="8" w:space="0" w:color="auto"/>
              <w:bottom w:val="single" w:sz="8" w:space="0" w:color="000000"/>
              <w:right w:val="single" w:sz="8" w:space="0" w:color="auto"/>
            </w:tcBorders>
            <w:vAlign w:val="center"/>
          </w:tcPr>
          <w:p w14:paraId="56F20D72" w14:textId="77777777" w:rsidR="00A052DC" w:rsidRDefault="00A052DC">
            <w:pPr>
              <w:rPr>
                <w:rFonts w:ascii="黑体" w:eastAsia="黑体" w:hAnsi="黑体"/>
                <w:sz w:val="20"/>
                <w:szCs w:val="20"/>
              </w:rPr>
            </w:pPr>
          </w:p>
        </w:tc>
        <w:tc>
          <w:tcPr>
            <w:tcW w:w="1054" w:type="dxa"/>
            <w:vMerge/>
            <w:tcBorders>
              <w:top w:val="nil"/>
              <w:left w:val="single" w:sz="8" w:space="0" w:color="auto"/>
              <w:bottom w:val="single" w:sz="8" w:space="0" w:color="000000"/>
              <w:right w:val="single" w:sz="8" w:space="0" w:color="auto"/>
            </w:tcBorders>
            <w:vAlign w:val="center"/>
          </w:tcPr>
          <w:p w14:paraId="1EFAA303" w14:textId="77777777" w:rsidR="00A052DC" w:rsidRDefault="00A052DC">
            <w:pPr>
              <w:rPr>
                <w:rFonts w:ascii="黑体" w:eastAsia="黑体" w:hAnsi="黑体"/>
                <w:sz w:val="20"/>
                <w:szCs w:val="20"/>
              </w:rPr>
            </w:pPr>
          </w:p>
        </w:tc>
        <w:tc>
          <w:tcPr>
            <w:tcW w:w="2272" w:type="dxa"/>
            <w:tcBorders>
              <w:top w:val="nil"/>
              <w:left w:val="nil"/>
              <w:bottom w:val="single" w:sz="8" w:space="0" w:color="auto"/>
              <w:right w:val="single" w:sz="8" w:space="0" w:color="auto"/>
            </w:tcBorders>
            <w:shd w:val="clear" w:color="auto" w:fill="auto"/>
            <w:vAlign w:val="center"/>
          </w:tcPr>
          <w:p w14:paraId="104C6057" w14:textId="77777777" w:rsidR="00A052DC" w:rsidRDefault="009F0A60">
            <w:pPr>
              <w:rPr>
                <w:rFonts w:ascii="黑体" w:eastAsia="黑体" w:hAnsi="黑体"/>
                <w:sz w:val="20"/>
                <w:szCs w:val="20"/>
              </w:rPr>
            </w:pPr>
            <w:r>
              <w:rPr>
                <w:rFonts w:ascii="黑体" w:eastAsia="黑体" w:hAnsi="黑体" w:hint="eastAsia"/>
                <w:sz w:val="20"/>
                <w:szCs w:val="20"/>
              </w:rPr>
              <w:t>外资基金公司</w:t>
            </w:r>
          </w:p>
        </w:tc>
        <w:tc>
          <w:tcPr>
            <w:tcW w:w="1473" w:type="dxa"/>
            <w:tcBorders>
              <w:top w:val="nil"/>
              <w:left w:val="nil"/>
              <w:bottom w:val="single" w:sz="8" w:space="0" w:color="auto"/>
              <w:right w:val="single" w:sz="8" w:space="0" w:color="auto"/>
            </w:tcBorders>
            <w:shd w:val="clear" w:color="auto" w:fill="auto"/>
            <w:vAlign w:val="center"/>
          </w:tcPr>
          <w:p w14:paraId="5D18B090" w14:textId="77777777" w:rsidR="00A052DC" w:rsidRDefault="009F0A60">
            <w:pPr>
              <w:rPr>
                <w:rFonts w:ascii="黑体" w:eastAsia="黑体" w:hAnsi="黑体"/>
                <w:sz w:val="20"/>
                <w:szCs w:val="20"/>
              </w:rPr>
            </w:pPr>
            <w:r>
              <w:rPr>
                <w:rFonts w:ascii="黑体" w:eastAsia="黑体" w:hAnsi="黑体"/>
                <w:sz w:val="20"/>
                <w:szCs w:val="20"/>
              </w:rPr>
              <w:t>10120207</w:t>
            </w:r>
          </w:p>
        </w:tc>
      </w:tr>
      <w:tr w:rsidR="00A052DC" w14:paraId="24B5AA12" w14:textId="77777777">
        <w:trPr>
          <w:trHeight w:val="285"/>
        </w:trPr>
        <w:tc>
          <w:tcPr>
            <w:tcW w:w="724" w:type="dxa"/>
            <w:vMerge/>
            <w:tcBorders>
              <w:top w:val="nil"/>
              <w:left w:val="single" w:sz="8" w:space="0" w:color="auto"/>
              <w:bottom w:val="single" w:sz="8" w:space="0" w:color="000000"/>
              <w:right w:val="single" w:sz="8" w:space="0" w:color="auto"/>
            </w:tcBorders>
            <w:vAlign w:val="center"/>
          </w:tcPr>
          <w:p w14:paraId="354EEEEF" w14:textId="77777777" w:rsidR="00A052DC" w:rsidRDefault="00A052DC">
            <w:pPr>
              <w:ind w:firstLine="48"/>
              <w:rPr>
                <w:rFonts w:ascii="黑体" w:eastAsia="黑体" w:hAnsi="黑体"/>
                <w:sz w:val="20"/>
                <w:szCs w:val="20"/>
              </w:rPr>
            </w:pPr>
          </w:p>
        </w:tc>
        <w:tc>
          <w:tcPr>
            <w:tcW w:w="886" w:type="dxa"/>
            <w:vMerge/>
            <w:tcBorders>
              <w:top w:val="nil"/>
              <w:left w:val="single" w:sz="8" w:space="0" w:color="auto"/>
              <w:bottom w:val="single" w:sz="8" w:space="0" w:color="000000"/>
              <w:right w:val="single" w:sz="8" w:space="0" w:color="auto"/>
            </w:tcBorders>
            <w:vAlign w:val="center"/>
          </w:tcPr>
          <w:p w14:paraId="303129BB" w14:textId="77777777" w:rsidR="00A052DC" w:rsidRDefault="00A052DC">
            <w:pPr>
              <w:rPr>
                <w:rFonts w:ascii="黑体" w:eastAsia="黑体" w:hAnsi="黑体"/>
                <w:sz w:val="20"/>
                <w:szCs w:val="20"/>
              </w:rPr>
            </w:pPr>
          </w:p>
        </w:tc>
        <w:tc>
          <w:tcPr>
            <w:tcW w:w="1970" w:type="dxa"/>
            <w:vMerge/>
            <w:tcBorders>
              <w:top w:val="nil"/>
              <w:left w:val="single" w:sz="8" w:space="0" w:color="auto"/>
              <w:bottom w:val="single" w:sz="8" w:space="0" w:color="000000"/>
              <w:right w:val="single" w:sz="8" w:space="0" w:color="auto"/>
            </w:tcBorders>
            <w:vAlign w:val="center"/>
          </w:tcPr>
          <w:p w14:paraId="691ABBC7" w14:textId="77777777" w:rsidR="00A052DC" w:rsidRDefault="00A052DC">
            <w:pPr>
              <w:rPr>
                <w:rFonts w:ascii="黑体" w:eastAsia="黑体" w:hAnsi="黑体"/>
                <w:sz w:val="20"/>
                <w:szCs w:val="20"/>
              </w:rPr>
            </w:pPr>
          </w:p>
        </w:tc>
        <w:tc>
          <w:tcPr>
            <w:tcW w:w="1054" w:type="dxa"/>
            <w:vMerge/>
            <w:tcBorders>
              <w:top w:val="nil"/>
              <w:left w:val="single" w:sz="8" w:space="0" w:color="auto"/>
              <w:bottom w:val="single" w:sz="8" w:space="0" w:color="000000"/>
              <w:right w:val="single" w:sz="8" w:space="0" w:color="auto"/>
            </w:tcBorders>
            <w:vAlign w:val="center"/>
          </w:tcPr>
          <w:p w14:paraId="41A2C11F" w14:textId="77777777" w:rsidR="00A052DC" w:rsidRDefault="00A052DC">
            <w:pPr>
              <w:rPr>
                <w:rFonts w:ascii="黑体" w:eastAsia="黑体" w:hAnsi="黑体"/>
                <w:sz w:val="20"/>
                <w:szCs w:val="20"/>
              </w:rPr>
            </w:pPr>
          </w:p>
        </w:tc>
        <w:tc>
          <w:tcPr>
            <w:tcW w:w="2272" w:type="dxa"/>
            <w:tcBorders>
              <w:top w:val="nil"/>
              <w:left w:val="nil"/>
              <w:bottom w:val="single" w:sz="8" w:space="0" w:color="auto"/>
              <w:right w:val="single" w:sz="8" w:space="0" w:color="auto"/>
            </w:tcBorders>
            <w:shd w:val="clear" w:color="auto" w:fill="auto"/>
            <w:vAlign w:val="center"/>
          </w:tcPr>
          <w:p w14:paraId="1BD79775" w14:textId="77777777" w:rsidR="00A052DC" w:rsidRDefault="0021563C">
            <w:pPr>
              <w:rPr>
                <w:rFonts w:ascii="黑体" w:eastAsia="黑体" w:hAnsi="黑体"/>
                <w:sz w:val="20"/>
                <w:szCs w:val="20"/>
              </w:rPr>
            </w:pPr>
            <w:r>
              <w:rPr>
                <w:rFonts w:ascii="黑体" w:eastAsia="黑体" w:hAnsi="黑体" w:hint="eastAsia"/>
                <w:sz w:val="20"/>
                <w:szCs w:val="20"/>
              </w:rPr>
              <w:t>其他</w:t>
            </w:r>
            <w:r w:rsidR="009F0A60">
              <w:rPr>
                <w:rFonts w:ascii="黑体" w:eastAsia="黑体" w:hAnsi="黑体" w:hint="eastAsia"/>
                <w:sz w:val="20"/>
                <w:szCs w:val="20"/>
              </w:rPr>
              <w:t>外资非银行金融机构</w:t>
            </w:r>
          </w:p>
        </w:tc>
        <w:tc>
          <w:tcPr>
            <w:tcW w:w="1473" w:type="dxa"/>
            <w:tcBorders>
              <w:top w:val="nil"/>
              <w:left w:val="nil"/>
              <w:bottom w:val="single" w:sz="8" w:space="0" w:color="auto"/>
              <w:right w:val="single" w:sz="8" w:space="0" w:color="auto"/>
            </w:tcBorders>
            <w:shd w:val="clear" w:color="auto" w:fill="auto"/>
            <w:vAlign w:val="center"/>
          </w:tcPr>
          <w:p w14:paraId="38DA2B23" w14:textId="77777777" w:rsidR="00A052DC" w:rsidRDefault="009F0A60">
            <w:pPr>
              <w:rPr>
                <w:rFonts w:ascii="黑体" w:eastAsia="黑体" w:hAnsi="黑体"/>
                <w:sz w:val="20"/>
                <w:szCs w:val="20"/>
              </w:rPr>
            </w:pPr>
            <w:r>
              <w:rPr>
                <w:rFonts w:ascii="黑体" w:eastAsia="黑体" w:hAnsi="黑体"/>
                <w:sz w:val="20"/>
                <w:szCs w:val="20"/>
              </w:rPr>
              <w:t>10120299</w:t>
            </w:r>
          </w:p>
        </w:tc>
      </w:tr>
      <w:tr w:rsidR="00A052DC" w14:paraId="4DAFF61D" w14:textId="77777777">
        <w:trPr>
          <w:trHeight w:val="285"/>
        </w:trPr>
        <w:tc>
          <w:tcPr>
            <w:tcW w:w="724" w:type="dxa"/>
            <w:vMerge/>
            <w:tcBorders>
              <w:top w:val="nil"/>
              <w:left w:val="single" w:sz="8" w:space="0" w:color="auto"/>
              <w:bottom w:val="single" w:sz="8" w:space="0" w:color="000000"/>
              <w:right w:val="single" w:sz="8" w:space="0" w:color="auto"/>
            </w:tcBorders>
            <w:vAlign w:val="center"/>
          </w:tcPr>
          <w:p w14:paraId="684A2B89" w14:textId="77777777" w:rsidR="00A052DC" w:rsidRDefault="00A052DC">
            <w:pPr>
              <w:ind w:firstLine="48"/>
              <w:rPr>
                <w:rFonts w:ascii="黑体" w:eastAsia="黑体" w:hAnsi="黑体"/>
                <w:sz w:val="20"/>
                <w:szCs w:val="20"/>
              </w:rPr>
            </w:pPr>
          </w:p>
        </w:tc>
        <w:tc>
          <w:tcPr>
            <w:tcW w:w="886" w:type="dxa"/>
            <w:vMerge/>
            <w:tcBorders>
              <w:top w:val="nil"/>
              <w:left w:val="single" w:sz="8" w:space="0" w:color="auto"/>
              <w:bottom w:val="single" w:sz="8" w:space="0" w:color="000000"/>
              <w:right w:val="single" w:sz="8" w:space="0" w:color="auto"/>
            </w:tcBorders>
            <w:vAlign w:val="center"/>
          </w:tcPr>
          <w:p w14:paraId="00750D0D" w14:textId="77777777" w:rsidR="00A052DC" w:rsidRDefault="00A052DC">
            <w:pPr>
              <w:rPr>
                <w:rFonts w:ascii="黑体" w:eastAsia="黑体" w:hAnsi="黑体"/>
                <w:sz w:val="20"/>
                <w:szCs w:val="20"/>
              </w:rPr>
            </w:pPr>
          </w:p>
        </w:tc>
        <w:tc>
          <w:tcPr>
            <w:tcW w:w="1970" w:type="dxa"/>
            <w:vMerge w:val="restart"/>
            <w:tcBorders>
              <w:top w:val="nil"/>
              <w:left w:val="single" w:sz="8" w:space="0" w:color="auto"/>
              <w:bottom w:val="single" w:sz="8" w:space="0" w:color="000000"/>
              <w:right w:val="single" w:sz="8" w:space="0" w:color="auto"/>
            </w:tcBorders>
            <w:shd w:val="clear" w:color="auto" w:fill="auto"/>
            <w:vAlign w:val="center"/>
          </w:tcPr>
          <w:p w14:paraId="25825CE1" w14:textId="77777777" w:rsidR="00A052DC" w:rsidRDefault="009F0A60">
            <w:pPr>
              <w:rPr>
                <w:rFonts w:ascii="黑体" w:eastAsia="黑体" w:hAnsi="黑体"/>
                <w:sz w:val="20"/>
                <w:szCs w:val="20"/>
              </w:rPr>
            </w:pPr>
            <w:r>
              <w:rPr>
                <w:rFonts w:ascii="黑体" w:eastAsia="黑体" w:hAnsi="黑体" w:hint="eastAsia"/>
                <w:sz w:val="20"/>
                <w:szCs w:val="20"/>
              </w:rPr>
              <w:t>外资企业</w:t>
            </w:r>
          </w:p>
        </w:tc>
        <w:tc>
          <w:tcPr>
            <w:tcW w:w="1054" w:type="dxa"/>
            <w:vMerge w:val="restart"/>
            <w:tcBorders>
              <w:top w:val="nil"/>
              <w:left w:val="single" w:sz="8" w:space="0" w:color="auto"/>
              <w:bottom w:val="single" w:sz="8" w:space="0" w:color="000000"/>
              <w:right w:val="single" w:sz="8" w:space="0" w:color="auto"/>
            </w:tcBorders>
            <w:shd w:val="clear" w:color="auto" w:fill="auto"/>
            <w:vAlign w:val="center"/>
          </w:tcPr>
          <w:p w14:paraId="1531DD36" w14:textId="77777777" w:rsidR="00A052DC" w:rsidRDefault="009F0A60">
            <w:pPr>
              <w:rPr>
                <w:rFonts w:ascii="黑体" w:eastAsia="黑体" w:hAnsi="黑体"/>
                <w:sz w:val="20"/>
                <w:szCs w:val="20"/>
              </w:rPr>
            </w:pPr>
            <w:r>
              <w:rPr>
                <w:rFonts w:ascii="黑体" w:eastAsia="黑体" w:hAnsi="黑体"/>
                <w:sz w:val="20"/>
                <w:szCs w:val="20"/>
              </w:rPr>
              <w:t>101203</w:t>
            </w:r>
          </w:p>
        </w:tc>
        <w:tc>
          <w:tcPr>
            <w:tcW w:w="2272" w:type="dxa"/>
            <w:tcBorders>
              <w:top w:val="nil"/>
              <w:left w:val="nil"/>
              <w:bottom w:val="single" w:sz="8" w:space="0" w:color="auto"/>
              <w:right w:val="single" w:sz="8" w:space="0" w:color="auto"/>
            </w:tcBorders>
            <w:shd w:val="clear" w:color="auto" w:fill="auto"/>
            <w:vAlign w:val="center"/>
          </w:tcPr>
          <w:p w14:paraId="35002BCF" w14:textId="77777777" w:rsidR="00A052DC" w:rsidRDefault="009F0A60">
            <w:pPr>
              <w:rPr>
                <w:rFonts w:ascii="黑体" w:eastAsia="黑体" w:hAnsi="黑体"/>
                <w:sz w:val="20"/>
                <w:szCs w:val="20"/>
              </w:rPr>
            </w:pPr>
            <w:r>
              <w:rPr>
                <w:rFonts w:ascii="黑体" w:eastAsia="黑体" w:hAnsi="黑体" w:hint="eastAsia"/>
                <w:sz w:val="20"/>
                <w:szCs w:val="20"/>
              </w:rPr>
              <w:t>独资企业</w:t>
            </w:r>
          </w:p>
        </w:tc>
        <w:tc>
          <w:tcPr>
            <w:tcW w:w="1473" w:type="dxa"/>
            <w:tcBorders>
              <w:top w:val="nil"/>
              <w:left w:val="nil"/>
              <w:bottom w:val="single" w:sz="8" w:space="0" w:color="auto"/>
              <w:right w:val="single" w:sz="8" w:space="0" w:color="auto"/>
            </w:tcBorders>
            <w:shd w:val="clear" w:color="auto" w:fill="auto"/>
            <w:vAlign w:val="center"/>
          </w:tcPr>
          <w:p w14:paraId="629D7575" w14:textId="77777777" w:rsidR="00A052DC" w:rsidRDefault="009F0A60">
            <w:pPr>
              <w:rPr>
                <w:rFonts w:ascii="黑体" w:eastAsia="黑体" w:hAnsi="黑体"/>
                <w:sz w:val="20"/>
                <w:szCs w:val="20"/>
              </w:rPr>
            </w:pPr>
            <w:r>
              <w:rPr>
                <w:rFonts w:ascii="黑体" w:eastAsia="黑体" w:hAnsi="黑体"/>
                <w:sz w:val="20"/>
                <w:szCs w:val="20"/>
              </w:rPr>
              <w:t>10120301</w:t>
            </w:r>
          </w:p>
        </w:tc>
      </w:tr>
      <w:tr w:rsidR="00A052DC" w14:paraId="43BF785B" w14:textId="77777777">
        <w:trPr>
          <w:trHeight w:val="285"/>
        </w:trPr>
        <w:tc>
          <w:tcPr>
            <w:tcW w:w="724" w:type="dxa"/>
            <w:vMerge/>
            <w:tcBorders>
              <w:top w:val="nil"/>
              <w:left w:val="single" w:sz="8" w:space="0" w:color="auto"/>
              <w:bottom w:val="single" w:sz="8" w:space="0" w:color="000000"/>
              <w:right w:val="single" w:sz="8" w:space="0" w:color="auto"/>
            </w:tcBorders>
            <w:vAlign w:val="center"/>
          </w:tcPr>
          <w:p w14:paraId="72818834" w14:textId="77777777" w:rsidR="00A052DC" w:rsidRDefault="00A052DC">
            <w:pPr>
              <w:ind w:firstLine="48"/>
              <w:rPr>
                <w:rFonts w:ascii="黑体" w:eastAsia="黑体" w:hAnsi="黑体"/>
                <w:sz w:val="20"/>
                <w:szCs w:val="20"/>
              </w:rPr>
            </w:pPr>
          </w:p>
        </w:tc>
        <w:tc>
          <w:tcPr>
            <w:tcW w:w="886" w:type="dxa"/>
            <w:vMerge/>
            <w:tcBorders>
              <w:top w:val="nil"/>
              <w:left w:val="single" w:sz="8" w:space="0" w:color="auto"/>
              <w:bottom w:val="single" w:sz="8" w:space="0" w:color="000000"/>
              <w:right w:val="single" w:sz="8" w:space="0" w:color="auto"/>
            </w:tcBorders>
            <w:vAlign w:val="center"/>
          </w:tcPr>
          <w:p w14:paraId="6E5332A4" w14:textId="77777777" w:rsidR="00A052DC" w:rsidRDefault="00A052DC">
            <w:pPr>
              <w:rPr>
                <w:rFonts w:ascii="黑体" w:eastAsia="黑体" w:hAnsi="黑体"/>
                <w:sz w:val="20"/>
                <w:szCs w:val="20"/>
              </w:rPr>
            </w:pPr>
          </w:p>
        </w:tc>
        <w:tc>
          <w:tcPr>
            <w:tcW w:w="1970" w:type="dxa"/>
            <w:vMerge/>
            <w:tcBorders>
              <w:top w:val="nil"/>
              <w:left w:val="single" w:sz="8" w:space="0" w:color="auto"/>
              <w:bottom w:val="single" w:sz="8" w:space="0" w:color="000000"/>
              <w:right w:val="single" w:sz="8" w:space="0" w:color="auto"/>
            </w:tcBorders>
            <w:vAlign w:val="center"/>
          </w:tcPr>
          <w:p w14:paraId="08CAB23F" w14:textId="77777777" w:rsidR="00A052DC" w:rsidRDefault="00A052DC">
            <w:pPr>
              <w:rPr>
                <w:rFonts w:ascii="黑体" w:eastAsia="黑体" w:hAnsi="黑体"/>
                <w:sz w:val="20"/>
                <w:szCs w:val="20"/>
              </w:rPr>
            </w:pPr>
          </w:p>
        </w:tc>
        <w:tc>
          <w:tcPr>
            <w:tcW w:w="1054" w:type="dxa"/>
            <w:vMerge/>
            <w:tcBorders>
              <w:top w:val="nil"/>
              <w:left w:val="single" w:sz="8" w:space="0" w:color="auto"/>
              <w:bottom w:val="single" w:sz="8" w:space="0" w:color="000000"/>
              <w:right w:val="single" w:sz="8" w:space="0" w:color="auto"/>
            </w:tcBorders>
            <w:vAlign w:val="center"/>
          </w:tcPr>
          <w:p w14:paraId="6324C751" w14:textId="77777777" w:rsidR="00A052DC" w:rsidRDefault="00A052DC">
            <w:pPr>
              <w:rPr>
                <w:rFonts w:ascii="黑体" w:eastAsia="黑体" w:hAnsi="黑体"/>
                <w:sz w:val="20"/>
                <w:szCs w:val="20"/>
              </w:rPr>
            </w:pPr>
          </w:p>
        </w:tc>
        <w:tc>
          <w:tcPr>
            <w:tcW w:w="2272" w:type="dxa"/>
            <w:tcBorders>
              <w:top w:val="nil"/>
              <w:left w:val="nil"/>
              <w:bottom w:val="single" w:sz="8" w:space="0" w:color="auto"/>
              <w:right w:val="single" w:sz="8" w:space="0" w:color="auto"/>
            </w:tcBorders>
            <w:shd w:val="clear" w:color="auto" w:fill="auto"/>
            <w:vAlign w:val="center"/>
          </w:tcPr>
          <w:p w14:paraId="14FF639E" w14:textId="77777777" w:rsidR="00A052DC" w:rsidRDefault="009F0A60">
            <w:pPr>
              <w:rPr>
                <w:rFonts w:ascii="黑体" w:eastAsia="黑体" w:hAnsi="黑体"/>
                <w:sz w:val="20"/>
                <w:szCs w:val="20"/>
              </w:rPr>
            </w:pPr>
            <w:r>
              <w:rPr>
                <w:rFonts w:ascii="黑体" w:eastAsia="黑体" w:hAnsi="黑体" w:hint="eastAsia"/>
                <w:sz w:val="20"/>
                <w:szCs w:val="20"/>
              </w:rPr>
              <w:t>合资企业</w:t>
            </w:r>
          </w:p>
        </w:tc>
        <w:tc>
          <w:tcPr>
            <w:tcW w:w="1473" w:type="dxa"/>
            <w:tcBorders>
              <w:top w:val="nil"/>
              <w:left w:val="nil"/>
              <w:bottom w:val="single" w:sz="8" w:space="0" w:color="auto"/>
              <w:right w:val="single" w:sz="8" w:space="0" w:color="auto"/>
            </w:tcBorders>
            <w:shd w:val="clear" w:color="auto" w:fill="auto"/>
            <w:vAlign w:val="center"/>
          </w:tcPr>
          <w:p w14:paraId="249D5B2C" w14:textId="77777777" w:rsidR="00A052DC" w:rsidRDefault="009F0A60">
            <w:pPr>
              <w:rPr>
                <w:rFonts w:ascii="黑体" w:eastAsia="黑体" w:hAnsi="黑体"/>
                <w:sz w:val="20"/>
                <w:szCs w:val="20"/>
              </w:rPr>
            </w:pPr>
            <w:r>
              <w:rPr>
                <w:rFonts w:ascii="黑体" w:eastAsia="黑体" w:hAnsi="黑体"/>
                <w:sz w:val="20"/>
                <w:szCs w:val="20"/>
              </w:rPr>
              <w:t>10120302</w:t>
            </w:r>
          </w:p>
        </w:tc>
      </w:tr>
      <w:tr w:rsidR="00A052DC" w14:paraId="1747D79C" w14:textId="77777777">
        <w:trPr>
          <w:trHeight w:val="285"/>
        </w:trPr>
        <w:tc>
          <w:tcPr>
            <w:tcW w:w="724" w:type="dxa"/>
            <w:vMerge/>
            <w:tcBorders>
              <w:top w:val="nil"/>
              <w:left w:val="single" w:sz="8" w:space="0" w:color="auto"/>
              <w:bottom w:val="single" w:sz="8" w:space="0" w:color="000000"/>
              <w:right w:val="single" w:sz="8" w:space="0" w:color="auto"/>
            </w:tcBorders>
            <w:vAlign w:val="center"/>
          </w:tcPr>
          <w:p w14:paraId="23791EF1" w14:textId="77777777" w:rsidR="00A052DC" w:rsidRDefault="00A052DC">
            <w:pPr>
              <w:ind w:firstLine="48"/>
              <w:rPr>
                <w:rFonts w:ascii="黑体" w:eastAsia="黑体" w:hAnsi="黑体"/>
                <w:sz w:val="20"/>
                <w:szCs w:val="20"/>
              </w:rPr>
            </w:pPr>
          </w:p>
        </w:tc>
        <w:tc>
          <w:tcPr>
            <w:tcW w:w="886" w:type="dxa"/>
            <w:vMerge/>
            <w:tcBorders>
              <w:top w:val="nil"/>
              <w:left w:val="single" w:sz="8" w:space="0" w:color="auto"/>
              <w:bottom w:val="single" w:sz="8" w:space="0" w:color="000000"/>
              <w:right w:val="single" w:sz="8" w:space="0" w:color="auto"/>
            </w:tcBorders>
            <w:vAlign w:val="center"/>
          </w:tcPr>
          <w:p w14:paraId="78A4BBE5" w14:textId="77777777" w:rsidR="00A052DC" w:rsidRDefault="00A052DC">
            <w:pPr>
              <w:rPr>
                <w:rFonts w:ascii="黑体" w:eastAsia="黑体" w:hAnsi="黑体"/>
                <w:sz w:val="20"/>
                <w:szCs w:val="20"/>
              </w:rPr>
            </w:pPr>
          </w:p>
        </w:tc>
        <w:tc>
          <w:tcPr>
            <w:tcW w:w="1970" w:type="dxa"/>
            <w:vMerge/>
            <w:tcBorders>
              <w:top w:val="nil"/>
              <w:left w:val="single" w:sz="8" w:space="0" w:color="auto"/>
              <w:bottom w:val="single" w:sz="8" w:space="0" w:color="000000"/>
              <w:right w:val="single" w:sz="8" w:space="0" w:color="auto"/>
            </w:tcBorders>
            <w:vAlign w:val="center"/>
          </w:tcPr>
          <w:p w14:paraId="62C930CF" w14:textId="77777777" w:rsidR="00A052DC" w:rsidRDefault="00A052DC">
            <w:pPr>
              <w:rPr>
                <w:rFonts w:ascii="黑体" w:eastAsia="黑体" w:hAnsi="黑体"/>
                <w:sz w:val="20"/>
                <w:szCs w:val="20"/>
              </w:rPr>
            </w:pPr>
          </w:p>
        </w:tc>
        <w:tc>
          <w:tcPr>
            <w:tcW w:w="1054" w:type="dxa"/>
            <w:vMerge/>
            <w:tcBorders>
              <w:top w:val="nil"/>
              <w:left w:val="single" w:sz="8" w:space="0" w:color="auto"/>
              <w:bottom w:val="single" w:sz="8" w:space="0" w:color="000000"/>
              <w:right w:val="single" w:sz="8" w:space="0" w:color="auto"/>
            </w:tcBorders>
            <w:vAlign w:val="center"/>
          </w:tcPr>
          <w:p w14:paraId="5B624F56" w14:textId="77777777" w:rsidR="00A052DC" w:rsidRDefault="00A052DC">
            <w:pPr>
              <w:rPr>
                <w:rFonts w:ascii="黑体" w:eastAsia="黑体" w:hAnsi="黑体"/>
                <w:sz w:val="20"/>
                <w:szCs w:val="20"/>
              </w:rPr>
            </w:pPr>
          </w:p>
        </w:tc>
        <w:tc>
          <w:tcPr>
            <w:tcW w:w="2272" w:type="dxa"/>
            <w:tcBorders>
              <w:top w:val="nil"/>
              <w:left w:val="nil"/>
              <w:bottom w:val="single" w:sz="8" w:space="0" w:color="auto"/>
              <w:right w:val="single" w:sz="8" w:space="0" w:color="auto"/>
            </w:tcBorders>
            <w:shd w:val="clear" w:color="auto" w:fill="auto"/>
            <w:vAlign w:val="center"/>
          </w:tcPr>
          <w:p w14:paraId="658A83C9" w14:textId="77777777" w:rsidR="00A052DC" w:rsidRDefault="009F0A60">
            <w:pPr>
              <w:rPr>
                <w:rFonts w:ascii="黑体" w:eastAsia="黑体" w:hAnsi="黑体"/>
                <w:sz w:val="20"/>
                <w:szCs w:val="20"/>
              </w:rPr>
            </w:pPr>
            <w:r>
              <w:rPr>
                <w:rFonts w:ascii="黑体" w:eastAsia="黑体" w:hAnsi="黑体" w:hint="eastAsia"/>
                <w:sz w:val="20"/>
                <w:szCs w:val="20"/>
              </w:rPr>
              <w:t>合作企业</w:t>
            </w:r>
          </w:p>
        </w:tc>
        <w:tc>
          <w:tcPr>
            <w:tcW w:w="1473" w:type="dxa"/>
            <w:tcBorders>
              <w:top w:val="nil"/>
              <w:left w:val="nil"/>
              <w:bottom w:val="single" w:sz="8" w:space="0" w:color="auto"/>
              <w:right w:val="single" w:sz="8" w:space="0" w:color="auto"/>
            </w:tcBorders>
            <w:shd w:val="clear" w:color="auto" w:fill="auto"/>
            <w:vAlign w:val="center"/>
          </w:tcPr>
          <w:p w14:paraId="0DEEA54B" w14:textId="77777777" w:rsidR="00A052DC" w:rsidRDefault="009F0A60">
            <w:pPr>
              <w:rPr>
                <w:rFonts w:ascii="黑体" w:eastAsia="黑体" w:hAnsi="黑体"/>
                <w:sz w:val="20"/>
                <w:szCs w:val="20"/>
              </w:rPr>
            </w:pPr>
            <w:r>
              <w:rPr>
                <w:rFonts w:ascii="黑体" w:eastAsia="黑体" w:hAnsi="黑体"/>
                <w:sz w:val="20"/>
                <w:szCs w:val="20"/>
              </w:rPr>
              <w:t>10120303</w:t>
            </w:r>
          </w:p>
        </w:tc>
      </w:tr>
      <w:tr w:rsidR="00A052DC" w14:paraId="59BC77E8" w14:textId="77777777">
        <w:trPr>
          <w:trHeight w:val="285"/>
        </w:trPr>
        <w:tc>
          <w:tcPr>
            <w:tcW w:w="724" w:type="dxa"/>
            <w:vMerge/>
            <w:tcBorders>
              <w:top w:val="nil"/>
              <w:left w:val="single" w:sz="8" w:space="0" w:color="auto"/>
              <w:bottom w:val="single" w:sz="8" w:space="0" w:color="000000"/>
              <w:right w:val="single" w:sz="8" w:space="0" w:color="auto"/>
            </w:tcBorders>
            <w:vAlign w:val="center"/>
          </w:tcPr>
          <w:p w14:paraId="3A273957" w14:textId="77777777" w:rsidR="00A052DC" w:rsidRDefault="00A052DC">
            <w:pPr>
              <w:ind w:firstLine="48"/>
              <w:rPr>
                <w:rFonts w:ascii="黑体" w:eastAsia="黑体" w:hAnsi="黑体"/>
                <w:sz w:val="20"/>
                <w:szCs w:val="20"/>
              </w:rPr>
            </w:pPr>
          </w:p>
        </w:tc>
        <w:tc>
          <w:tcPr>
            <w:tcW w:w="886" w:type="dxa"/>
            <w:vMerge/>
            <w:tcBorders>
              <w:top w:val="nil"/>
              <w:left w:val="single" w:sz="8" w:space="0" w:color="auto"/>
              <w:bottom w:val="single" w:sz="8" w:space="0" w:color="000000"/>
              <w:right w:val="single" w:sz="8" w:space="0" w:color="auto"/>
            </w:tcBorders>
            <w:vAlign w:val="center"/>
          </w:tcPr>
          <w:p w14:paraId="0DCF84E4" w14:textId="77777777" w:rsidR="00A052DC" w:rsidRDefault="00A052DC">
            <w:pPr>
              <w:rPr>
                <w:rFonts w:ascii="黑体" w:eastAsia="黑体" w:hAnsi="黑体"/>
                <w:sz w:val="20"/>
                <w:szCs w:val="20"/>
              </w:rPr>
            </w:pPr>
          </w:p>
        </w:tc>
        <w:tc>
          <w:tcPr>
            <w:tcW w:w="1970" w:type="dxa"/>
            <w:tcBorders>
              <w:top w:val="nil"/>
              <w:left w:val="nil"/>
              <w:bottom w:val="single" w:sz="8" w:space="0" w:color="auto"/>
              <w:right w:val="single" w:sz="8" w:space="0" w:color="auto"/>
            </w:tcBorders>
            <w:shd w:val="clear" w:color="auto" w:fill="auto"/>
            <w:vAlign w:val="center"/>
          </w:tcPr>
          <w:p w14:paraId="6D29E0D6" w14:textId="77777777" w:rsidR="00A052DC" w:rsidRDefault="0021563C">
            <w:pPr>
              <w:rPr>
                <w:rFonts w:ascii="黑体" w:eastAsia="黑体" w:hAnsi="黑体"/>
                <w:sz w:val="20"/>
                <w:szCs w:val="20"/>
              </w:rPr>
            </w:pPr>
            <w:r>
              <w:rPr>
                <w:rFonts w:ascii="黑体" w:eastAsia="黑体" w:hAnsi="黑体" w:hint="eastAsia"/>
                <w:sz w:val="20"/>
                <w:szCs w:val="20"/>
              </w:rPr>
              <w:t>其他</w:t>
            </w:r>
            <w:r w:rsidR="009F0A60">
              <w:rPr>
                <w:rFonts w:ascii="黑体" w:eastAsia="黑体" w:hAnsi="黑体" w:hint="eastAsia"/>
                <w:sz w:val="20"/>
                <w:szCs w:val="20"/>
              </w:rPr>
              <w:t>外资机构</w:t>
            </w:r>
          </w:p>
        </w:tc>
        <w:tc>
          <w:tcPr>
            <w:tcW w:w="1054" w:type="dxa"/>
            <w:tcBorders>
              <w:top w:val="nil"/>
              <w:left w:val="nil"/>
              <w:bottom w:val="single" w:sz="8" w:space="0" w:color="auto"/>
              <w:right w:val="single" w:sz="8" w:space="0" w:color="auto"/>
            </w:tcBorders>
            <w:shd w:val="clear" w:color="auto" w:fill="auto"/>
            <w:vAlign w:val="center"/>
          </w:tcPr>
          <w:p w14:paraId="7AA372EA" w14:textId="77777777" w:rsidR="00A052DC" w:rsidRDefault="009F0A60">
            <w:pPr>
              <w:rPr>
                <w:rFonts w:ascii="黑体" w:eastAsia="黑体" w:hAnsi="黑体"/>
                <w:sz w:val="20"/>
                <w:szCs w:val="20"/>
              </w:rPr>
            </w:pPr>
            <w:r>
              <w:rPr>
                <w:rFonts w:ascii="黑体" w:eastAsia="黑体" w:hAnsi="黑体"/>
                <w:sz w:val="20"/>
                <w:szCs w:val="20"/>
              </w:rPr>
              <w:t>101299</w:t>
            </w:r>
          </w:p>
        </w:tc>
        <w:tc>
          <w:tcPr>
            <w:tcW w:w="2272" w:type="dxa"/>
            <w:tcBorders>
              <w:top w:val="single" w:sz="8" w:space="0" w:color="auto"/>
              <w:left w:val="nil"/>
              <w:bottom w:val="single" w:sz="8" w:space="0" w:color="auto"/>
              <w:right w:val="single" w:sz="8" w:space="0" w:color="auto"/>
            </w:tcBorders>
            <w:shd w:val="clear" w:color="auto" w:fill="auto"/>
            <w:vAlign w:val="center"/>
          </w:tcPr>
          <w:p w14:paraId="6B7C80E7" w14:textId="77777777" w:rsidR="00A052DC" w:rsidRDefault="009F0A60">
            <w:pPr>
              <w:rPr>
                <w:rFonts w:ascii="黑体" w:eastAsia="黑体" w:hAnsi="黑体"/>
                <w:sz w:val="20"/>
                <w:szCs w:val="20"/>
              </w:rPr>
            </w:pPr>
            <w:r>
              <w:rPr>
                <w:rFonts w:ascii="黑体" w:eastAsia="黑体" w:hAnsi="黑体" w:hint="eastAsia"/>
                <w:sz w:val="20"/>
                <w:szCs w:val="20"/>
              </w:rPr>
              <w:t>其他外资机构</w:t>
            </w:r>
          </w:p>
        </w:tc>
        <w:tc>
          <w:tcPr>
            <w:tcW w:w="1473" w:type="dxa"/>
            <w:tcBorders>
              <w:top w:val="single" w:sz="8" w:space="0" w:color="auto"/>
              <w:left w:val="nil"/>
              <w:bottom w:val="single" w:sz="8" w:space="0" w:color="auto"/>
              <w:right w:val="single" w:sz="8" w:space="0" w:color="auto"/>
            </w:tcBorders>
            <w:shd w:val="clear" w:color="auto" w:fill="auto"/>
            <w:vAlign w:val="center"/>
          </w:tcPr>
          <w:p w14:paraId="226A0E8A" w14:textId="77777777" w:rsidR="00A052DC" w:rsidRDefault="009F0A60">
            <w:pPr>
              <w:rPr>
                <w:rFonts w:ascii="黑体" w:eastAsia="黑体" w:hAnsi="黑体"/>
                <w:sz w:val="20"/>
                <w:szCs w:val="20"/>
              </w:rPr>
            </w:pPr>
            <w:r>
              <w:rPr>
                <w:rFonts w:ascii="黑体" w:eastAsia="黑体" w:hAnsi="黑体"/>
                <w:sz w:val="20"/>
                <w:szCs w:val="20"/>
              </w:rPr>
              <w:t>10129900</w:t>
            </w:r>
          </w:p>
        </w:tc>
      </w:tr>
      <w:tr w:rsidR="00A052DC" w14:paraId="70C87718" w14:textId="77777777">
        <w:trPr>
          <w:trHeight w:val="285"/>
        </w:trPr>
        <w:tc>
          <w:tcPr>
            <w:tcW w:w="724" w:type="dxa"/>
            <w:tcBorders>
              <w:top w:val="nil"/>
              <w:left w:val="single" w:sz="8" w:space="0" w:color="auto"/>
              <w:bottom w:val="single" w:sz="8" w:space="0" w:color="auto"/>
              <w:right w:val="single" w:sz="8" w:space="0" w:color="auto"/>
            </w:tcBorders>
            <w:shd w:val="clear" w:color="auto" w:fill="auto"/>
            <w:vAlign w:val="center"/>
          </w:tcPr>
          <w:p w14:paraId="2E50ECD4" w14:textId="77777777" w:rsidR="00A052DC" w:rsidRDefault="009F0A60">
            <w:pPr>
              <w:rPr>
                <w:rFonts w:ascii="黑体" w:eastAsia="黑体" w:hAnsi="黑体"/>
                <w:sz w:val="20"/>
                <w:szCs w:val="20"/>
              </w:rPr>
            </w:pPr>
            <w:r>
              <w:rPr>
                <w:rFonts w:ascii="黑体" w:eastAsia="黑体" w:hAnsi="黑体" w:hint="eastAsia"/>
                <w:sz w:val="20"/>
                <w:szCs w:val="20"/>
              </w:rPr>
              <w:t>个人</w:t>
            </w:r>
          </w:p>
        </w:tc>
        <w:tc>
          <w:tcPr>
            <w:tcW w:w="886" w:type="dxa"/>
            <w:tcBorders>
              <w:top w:val="nil"/>
              <w:left w:val="nil"/>
              <w:bottom w:val="single" w:sz="8" w:space="0" w:color="auto"/>
              <w:right w:val="single" w:sz="8" w:space="0" w:color="auto"/>
            </w:tcBorders>
            <w:shd w:val="clear" w:color="auto" w:fill="auto"/>
            <w:vAlign w:val="center"/>
          </w:tcPr>
          <w:p w14:paraId="719A49EB" w14:textId="77777777" w:rsidR="00A052DC" w:rsidRDefault="009F0A60">
            <w:pPr>
              <w:rPr>
                <w:rFonts w:ascii="黑体" w:eastAsia="黑体" w:hAnsi="黑体"/>
                <w:sz w:val="20"/>
                <w:szCs w:val="20"/>
              </w:rPr>
            </w:pPr>
            <w:r>
              <w:rPr>
                <w:rFonts w:ascii="黑体" w:eastAsia="黑体" w:hAnsi="黑体"/>
                <w:sz w:val="20"/>
                <w:szCs w:val="20"/>
              </w:rPr>
              <w:t>1013</w:t>
            </w:r>
          </w:p>
        </w:tc>
        <w:tc>
          <w:tcPr>
            <w:tcW w:w="3024" w:type="dxa"/>
            <w:gridSpan w:val="2"/>
            <w:tcBorders>
              <w:top w:val="single" w:sz="8" w:space="0" w:color="auto"/>
              <w:left w:val="nil"/>
              <w:bottom w:val="single" w:sz="8" w:space="0" w:color="auto"/>
              <w:right w:val="single" w:sz="8" w:space="0" w:color="000000"/>
            </w:tcBorders>
            <w:shd w:val="clear" w:color="auto" w:fill="auto"/>
            <w:vAlign w:val="center"/>
          </w:tcPr>
          <w:p w14:paraId="4712B275" w14:textId="77777777" w:rsidR="00A052DC" w:rsidRDefault="00A052DC">
            <w:pPr>
              <w:rPr>
                <w:rFonts w:ascii="黑体" w:eastAsia="黑体" w:hAnsi="黑体"/>
                <w:sz w:val="20"/>
                <w:szCs w:val="20"/>
              </w:rPr>
            </w:pPr>
          </w:p>
        </w:tc>
        <w:tc>
          <w:tcPr>
            <w:tcW w:w="2272" w:type="dxa"/>
            <w:tcBorders>
              <w:top w:val="single" w:sz="8" w:space="0" w:color="auto"/>
              <w:left w:val="nil"/>
              <w:bottom w:val="single" w:sz="8" w:space="0" w:color="auto"/>
              <w:right w:val="single" w:sz="8" w:space="0" w:color="auto"/>
            </w:tcBorders>
            <w:shd w:val="clear" w:color="auto" w:fill="auto"/>
            <w:vAlign w:val="center"/>
          </w:tcPr>
          <w:p w14:paraId="33551689" w14:textId="77777777" w:rsidR="00A052DC" w:rsidRDefault="009F0A60">
            <w:pPr>
              <w:rPr>
                <w:rFonts w:ascii="黑体" w:eastAsia="黑体" w:hAnsi="黑体"/>
                <w:sz w:val="20"/>
                <w:szCs w:val="20"/>
              </w:rPr>
            </w:pPr>
            <w:r>
              <w:rPr>
                <w:rFonts w:ascii="黑体" w:eastAsia="黑体" w:hAnsi="黑体" w:hint="eastAsia"/>
                <w:sz w:val="20"/>
                <w:szCs w:val="20"/>
              </w:rPr>
              <w:t>个人</w:t>
            </w:r>
          </w:p>
        </w:tc>
        <w:tc>
          <w:tcPr>
            <w:tcW w:w="1473" w:type="dxa"/>
            <w:tcBorders>
              <w:top w:val="single" w:sz="8" w:space="0" w:color="auto"/>
              <w:left w:val="nil"/>
              <w:bottom w:val="single" w:sz="8" w:space="0" w:color="auto"/>
              <w:right w:val="single" w:sz="8" w:space="0" w:color="auto"/>
            </w:tcBorders>
            <w:shd w:val="clear" w:color="auto" w:fill="auto"/>
            <w:vAlign w:val="center"/>
          </w:tcPr>
          <w:p w14:paraId="624E4C0D" w14:textId="77777777" w:rsidR="00A052DC" w:rsidRDefault="009F0A60">
            <w:pPr>
              <w:rPr>
                <w:rFonts w:ascii="黑体" w:eastAsia="黑体" w:hAnsi="黑体"/>
                <w:sz w:val="20"/>
                <w:szCs w:val="20"/>
              </w:rPr>
            </w:pPr>
            <w:r>
              <w:rPr>
                <w:rFonts w:ascii="黑体" w:eastAsia="黑体" w:hAnsi="黑体"/>
                <w:sz w:val="20"/>
                <w:szCs w:val="20"/>
              </w:rPr>
              <w:t>10130000</w:t>
            </w:r>
          </w:p>
        </w:tc>
      </w:tr>
    </w:tbl>
    <w:p w14:paraId="558DD4E5" w14:textId="77777777" w:rsidR="00A052DC" w:rsidRDefault="00A052DC"/>
    <w:p w14:paraId="3D2D34BA" w14:textId="77777777" w:rsidR="00A052DC" w:rsidRDefault="009F0A60" w:rsidP="0020251D">
      <w:pPr>
        <w:pStyle w:val="2"/>
        <w:rPr>
          <w:rFonts w:ascii="Times New Roman" w:hAnsi="Times New Roman"/>
        </w:rPr>
      </w:pPr>
      <w:bookmarkStart w:id="4825" w:name="_Toc380356328"/>
      <w:bookmarkStart w:id="4826" w:name="_Toc91455532"/>
      <w:bookmarkStart w:id="4827" w:name="_Toc454394791"/>
      <w:bookmarkStart w:id="4828" w:name="_Toc328635606"/>
      <w:bookmarkStart w:id="4829" w:name="_Toc101684557"/>
      <w:r>
        <w:rPr>
          <w:rFonts w:ascii="Times New Roman" w:hAnsi="Times New Roman" w:hint="eastAsia"/>
        </w:rPr>
        <w:t>境外主体类型代码表</w:t>
      </w:r>
      <w:bookmarkEnd w:id="4825"/>
      <w:bookmarkEnd w:id="4826"/>
      <w:bookmarkEnd w:id="4827"/>
      <w:bookmarkEnd w:id="4828"/>
      <w:bookmarkEnd w:id="482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0"/>
        <w:gridCol w:w="955"/>
        <w:gridCol w:w="4105"/>
        <w:gridCol w:w="1140"/>
      </w:tblGrid>
      <w:tr w:rsidR="00A052DC" w14:paraId="2C863C60" w14:textId="77777777" w:rsidTr="008003D7">
        <w:trPr>
          <w:jc w:val="center"/>
        </w:trPr>
        <w:tc>
          <w:tcPr>
            <w:tcW w:w="2130" w:type="dxa"/>
            <w:shd w:val="clear" w:color="auto" w:fill="BFBFBF" w:themeFill="background1" w:themeFillShade="BF"/>
          </w:tcPr>
          <w:p w14:paraId="0A4C8DC1" w14:textId="77777777" w:rsidR="00881462" w:rsidRDefault="009F0A60">
            <w:pPr>
              <w:pStyle w:val="B1"/>
            </w:pPr>
            <w:r>
              <w:rPr>
                <w:rFonts w:hint="eastAsia"/>
              </w:rPr>
              <w:t>一级主体</w:t>
            </w:r>
          </w:p>
        </w:tc>
        <w:tc>
          <w:tcPr>
            <w:tcW w:w="955" w:type="dxa"/>
            <w:shd w:val="clear" w:color="auto" w:fill="BFBFBF" w:themeFill="background1" w:themeFillShade="BF"/>
          </w:tcPr>
          <w:p w14:paraId="35E6D1D9" w14:textId="77777777" w:rsidR="00881462" w:rsidRDefault="009F0A60">
            <w:pPr>
              <w:pStyle w:val="B1"/>
            </w:pPr>
            <w:r>
              <w:rPr>
                <w:rFonts w:hint="eastAsia"/>
              </w:rPr>
              <w:t>一级主体代码</w:t>
            </w:r>
          </w:p>
        </w:tc>
        <w:tc>
          <w:tcPr>
            <w:tcW w:w="4105" w:type="dxa"/>
            <w:shd w:val="clear" w:color="auto" w:fill="BFBFBF" w:themeFill="background1" w:themeFillShade="BF"/>
          </w:tcPr>
          <w:p w14:paraId="730D362A" w14:textId="77777777" w:rsidR="00881462" w:rsidRDefault="009F0A60">
            <w:pPr>
              <w:pStyle w:val="B1"/>
            </w:pPr>
            <w:r>
              <w:rPr>
                <w:rFonts w:hint="eastAsia"/>
              </w:rPr>
              <w:t>二级主体</w:t>
            </w:r>
          </w:p>
        </w:tc>
        <w:tc>
          <w:tcPr>
            <w:tcW w:w="1140" w:type="dxa"/>
            <w:shd w:val="clear" w:color="auto" w:fill="BFBFBF" w:themeFill="background1" w:themeFillShade="BF"/>
          </w:tcPr>
          <w:p w14:paraId="5CE3DC45" w14:textId="77777777" w:rsidR="00881462" w:rsidRDefault="009F0A60">
            <w:pPr>
              <w:pStyle w:val="B1"/>
            </w:pPr>
            <w:r>
              <w:rPr>
                <w:rFonts w:hint="eastAsia"/>
              </w:rPr>
              <w:t>二级主体代码</w:t>
            </w:r>
          </w:p>
        </w:tc>
      </w:tr>
      <w:tr w:rsidR="00A052DC" w14:paraId="6834DC7D" w14:textId="77777777" w:rsidTr="00197ADB">
        <w:trPr>
          <w:jc w:val="center"/>
        </w:trPr>
        <w:tc>
          <w:tcPr>
            <w:tcW w:w="2130" w:type="dxa"/>
            <w:vAlign w:val="center"/>
          </w:tcPr>
          <w:p w14:paraId="34C70BA3" w14:textId="77777777" w:rsidR="00A052DC" w:rsidRDefault="009F0A60">
            <w:pPr>
              <w:rPr>
                <w:rFonts w:ascii="黑体" w:eastAsia="黑体" w:hAnsi="黑体"/>
                <w:sz w:val="20"/>
                <w:szCs w:val="20"/>
              </w:rPr>
            </w:pPr>
            <w:r>
              <w:rPr>
                <w:rFonts w:ascii="黑体" w:eastAsia="黑体" w:hAnsi="黑体" w:hint="eastAsia"/>
                <w:sz w:val="20"/>
                <w:szCs w:val="20"/>
              </w:rPr>
              <w:t>政府</w:t>
            </w:r>
          </w:p>
        </w:tc>
        <w:tc>
          <w:tcPr>
            <w:tcW w:w="955" w:type="dxa"/>
            <w:vAlign w:val="center"/>
          </w:tcPr>
          <w:p w14:paraId="5316411C" w14:textId="77777777" w:rsidR="00A052DC" w:rsidRDefault="009F0A60">
            <w:pPr>
              <w:rPr>
                <w:rFonts w:ascii="黑体" w:eastAsia="黑体" w:hAnsi="黑体"/>
                <w:sz w:val="20"/>
                <w:szCs w:val="20"/>
              </w:rPr>
            </w:pPr>
            <w:r>
              <w:rPr>
                <w:rFonts w:ascii="黑体" w:eastAsia="黑体" w:hAnsi="黑体"/>
                <w:sz w:val="20"/>
                <w:szCs w:val="20"/>
              </w:rPr>
              <w:t>200011</w:t>
            </w:r>
          </w:p>
        </w:tc>
        <w:tc>
          <w:tcPr>
            <w:tcW w:w="4105" w:type="dxa"/>
          </w:tcPr>
          <w:p w14:paraId="17CCA14C" w14:textId="77777777" w:rsidR="00A052DC" w:rsidRDefault="009F0A60">
            <w:pPr>
              <w:rPr>
                <w:rFonts w:ascii="黑体" w:eastAsia="黑体" w:hAnsi="黑体"/>
                <w:sz w:val="20"/>
                <w:szCs w:val="20"/>
              </w:rPr>
            </w:pPr>
            <w:r>
              <w:rPr>
                <w:rFonts w:ascii="黑体" w:eastAsia="黑体" w:hAnsi="黑体" w:hint="eastAsia"/>
                <w:sz w:val="20"/>
                <w:szCs w:val="20"/>
              </w:rPr>
              <w:t>政府</w:t>
            </w:r>
          </w:p>
        </w:tc>
        <w:tc>
          <w:tcPr>
            <w:tcW w:w="1140" w:type="dxa"/>
          </w:tcPr>
          <w:p w14:paraId="20549716" w14:textId="77777777" w:rsidR="00A052DC" w:rsidRDefault="009F0A60">
            <w:pPr>
              <w:rPr>
                <w:rFonts w:ascii="黑体" w:eastAsia="黑体" w:hAnsi="黑体"/>
                <w:sz w:val="20"/>
                <w:szCs w:val="20"/>
              </w:rPr>
            </w:pPr>
            <w:r>
              <w:rPr>
                <w:rFonts w:ascii="黑体" w:eastAsia="黑体" w:hAnsi="黑体" w:cs="宋体"/>
                <w:sz w:val="20"/>
                <w:szCs w:val="20"/>
              </w:rPr>
              <w:t>2000</w:t>
            </w:r>
            <w:r>
              <w:rPr>
                <w:rFonts w:ascii="黑体" w:eastAsia="黑体" w:hAnsi="黑体"/>
                <w:sz w:val="20"/>
                <w:szCs w:val="20"/>
              </w:rPr>
              <w:t>1100</w:t>
            </w:r>
          </w:p>
        </w:tc>
      </w:tr>
      <w:tr w:rsidR="00A052DC" w14:paraId="3F136493" w14:textId="77777777" w:rsidTr="00197ADB">
        <w:trPr>
          <w:jc w:val="center"/>
        </w:trPr>
        <w:tc>
          <w:tcPr>
            <w:tcW w:w="2130" w:type="dxa"/>
            <w:vAlign w:val="center"/>
          </w:tcPr>
          <w:p w14:paraId="4EFB9BC6" w14:textId="77777777" w:rsidR="00A052DC" w:rsidRDefault="009F0A60">
            <w:pPr>
              <w:rPr>
                <w:rFonts w:ascii="黑体" w:eastAsia="黑体" w:hAnsi="黑体"/>
                <w:sz w:val="20"/>
                <w:szCs w:val="20"/>
              </w:rPr>
            </w:pPr>
            <w:r>
              <w:rPr>
                <w:rFonts w:ascii="黑体" w:eastAsia="黑体" w:hAnsi="黑体" w:hint="eastAsia"/>
                <w:sz w:val="20"/>
                <w:szCs w:val="20"/>
              </w:rPr>
              <w:t>国际金融组织</w:t>
            </w:r>
          </w:p>
        </w:tc>
        <w:tc>
          <w:tcPr>
            <w:tcW w:w="955" w:type="dxa"/>
            <w:vAlign w:val="center"/>
          </w:tcPr>
          <w:p w14:paraId="2593D824" w14:textId="77777777" w:rsidR="00A052DC" w:rsidRDefault="009F0A60">
            <w:pPr>
              <w:rPr>
                <w:rFonts w:ascii="黑体" w:eastAsia="黑体" w:hAnsi="黑体"/>
                <w:sz w:val="20"/>
                <w:szCs w:val="20"/>
              </w:rPr>
            </w:pPr>
            <w:r>
              <w:rPr>
                <w:rFonts w:ascii="黑体" w:eastAsia="黑体" w:hAnsi="黑体"/>
                <w:sz w:val="20"/>
                <w:szCs w:val="20"/>
              </w:rPr>
              <w:t>200012</w:t>
            </w:r>
          </w:p>
        </w:tc>
        <w:tc>
          <w:tcPr>
            <w:tcW w:w="4105" w:type="dxa"/>
          </w:tcPr>
          <w:p w14:paraId="33D7B56B" w14:textId="77777777" w:rsidR="00A052DC" w:rsidRDefault="009F0A60">
            <w:pPr>
              <w:rPr>
                <w:rFonts w:ascii="黑体" w:eastAsia="黑体" w:hAnsi="黑体"/>
                <w:sz w:val="20"/>
                <w:szCs w:val="20"/>
              </w:rPr>
            </w:pPr>
            <w:r>
              <w:rPr>
                <w:rFonts w:ascii="黑体" w:eastAsia="黑体" w:hAnsi="黑体" w:hint="eastAsia"/>
                <w:sz w:val="20"/>
                <w:szCs w:val="20"/>
              </w:rPr>
              <w:t>国际金融组织</w:t>
            </w:r>
          </w:p>
        </w:tc>
        <w:tc>
          <w:tcPr>
            <w:tcW w:w="1140" w:type="dxa"/>
          </w:tcPr>
          <w:p w14:paraId="7557A9A0" w14:textId="77777777" w:rsidR="00A052DC" w:rsidRDefault="009F0A60">
            <w:pPr>
              <w:rPr>
                <w:rFonts w:ascii="黑体" w:eastAsia="黑体" w:hAnsi="黑体"/>
                <w:sz w:val="20"/>
                <w:szCs w:val="20"/>
              </w:rPr>
            </w:pPr>
            <w:r>
              <w:rPr>
                <w:rFonts w:ascii="黑体" w:eastAsia="黑体" w:hAnsi="黑体" w:cs="宋体"/>
                <w:sz w:val="20"/>
                <w:szCs w:val="20"/>
              </w:rPr>
              <w:t>2000</w:t>
            </w:r>
            <w:r>
              <w:rPr>
                <w:rFonts w:ascii="黑体" w:eastAsia="黑体" w:hAnsi="黑体"/>
                <w:sz w:val="20"/>
                <w:szCs w:val="20"/>
              </w:rPr>
              <w:t>1200</w:t>
            </w:r>
          </w:p>
        </w:tc>
      </w:tr>
      <w:tr w:rsidR="00A052DC" w14:paraId="6DFC0896" w14:textId="77777777" w:rsidTr="00197ADB">
        <w:trPr>
          <w:jc w:val="center"/>
        </w:trPr>
        <w:tc>
          <w:tcPr>
            <w:tcW w:w="2130" w:type="dxa"/>
            <w:vAlign w:val="center"/>
          </w:tcPr>
          <w:p w14:paraId="66062235" w14:textId="77777777" w:rsidR="00A052DC" w:rsidRDefault="009F0A60">
            <w:pPr>
              <w:rPr>
                <w:rFonts w:ascii="黑体" w:eastAsia="黑体" w:hAnsi="黑体"/>
                <w:sz w:val="20"/>
                <w:szCs w:val="20"/>
              </w:rPr>
            </w:pPr>
            <w:r>
              <w:rPr>
                <w:rFonts w:ascii="黑体" w:eastAsia="黑体" w:hAnsi="黑体" w:hint="eastAsia"/>
                <w:sz w:val="20"/>
                <w:szCs w:val="20"/>
              </w:rPr>
              <w:t>中央银行</w:t>
            </w:r>
          </w:p>
        </w:tc>
        <w:tc>
          <w:tcPr>
            <w:tcW w:w="955" w:type="dxa"/>
            <w:vAlign w:val="center"/>
          </w:tcPr>
          <w:p w14:paraId="145B3E0C" w14:textId="77777777" w:rsidR="00A052DC" w:rsidRDefault="009F0A60">
            <w:pPr>
              <w:rPr>
                <w:rFonts w:ascii="黑体" w:eastAsia="黑体" w:hAnsi="黑体"/>
                <w:sz w:val="20"/>
                <w:szCs w:val="20"/>
              </w:rPr>
            </w:pPr>
            <w:r>
              <w:rPr>
                <w:rFonts w:ascii="黑体" w:eastAsia="黑体" w:hAnsi="黑体"/>
                <w:sz w:val="20"/>
                <w:szCs w:val="20"/>
              </w:rPr>
              <w:t>200013</w:t>
            </w:r>
          </w:p>
        </w:tc>
        <w:tc>
          <w:tcPr>
            <w:tcW w:w="4105" w:type="dxa"/>
          </w:tcPr>
          <w:p w14:paraId="0B681054" w14:textId="77777777" w:rsidR="00A052DC" w:rsidRDefault="009F0A60">
            <w:pPr>
              <w:rPr>
                <w:rFonts w:ascii="黑体" w:eastAsia="黑体" w:hAnsi="黑体"/>
                <w:sz w:val="20"/>
                <w:szCs w:val="20"/>
              </w:rPr>
            </w:pPr>
            <w:r>
              <w:rPr>
                <w:rFonts w:ascii="黑体" w:eastAsia="黑体" w:hAnsi="黑体" w:hint="eastAsia"/>
                <w:sz w:val="20"/>
                <w:szCs w:val="20"/>
              </w:rPr>
              <w:t>中央银行</w:t>
            </w:r>
          </w:p>
        </w:tc>
        <w:tc>
          <w:tcPr>
            <w:tcW w:w="1140" w:type="dxa"/>
          </w:tcPr>
          <w:p w14:paraId="3247224F" w14:textId="77777777" w:rsidR="00A052DC" w:rsidRDefault="009F0A60">
            <w:pPr>
              <w:rPr>
                <w:rFonts w:ascii="黑体" w:eastAsia="黑体" w:hAnsi="黑体"/>
                <w:sz w:val="20"/>
                <w:szCs w:val="20"/>
              </w:rPr>
            </w:pPr>
            <w:r>
              <w:rPr>
                <w:rFonts w:ascii="黑体" w:eastAsia="黑体" w:hAnsi="黑体" w:cs="宋体"/>
                <w:sz w:val="20"/>
                <w:szCs w:val="20"/>
              </w:rPr>
              <w:t>2000</w:t>
            </w:r>
            <w:r>
              <w:rPr>
                <w:rFonts w:ascii="黑体" w:eastAsia="黑体" w:hAnsi="黑体"/>
                <w:sz w:val="20"/>
                <w:szCs w:val="20"/>
              </w:rPr>
              <w:t>1300</w:t>
            </w:r>
          </w:p>
        </w:tc>
      </w:tr>
      <w:tr w:rsidR="00A052DC" w14:paraId="0F1EAD17" w14:textId="77777777" w:rsidTr="00197ADB">
        <w:trPr>
          <w:jc w:val="center"/>
        </w:trPr>
        <w:tc>
          <w:tcPr>
            <w:tcW w:w="2130" w:type="dxa"/>
            <w:vMerge w:val="restart"/>
            <w:vAlign w:val="center"/>
          </w:tcPr>
          <w:p w14:paraId="78E2652A" w14:textId="77777777" w:rsidR="00A052DC" w:rsidRDefault="009F0A60">
            <w:pPr>
              <w:rPr>
                <w:rFonts w:ascii="黑体" w:eastAsia="黑体" w:hAnsi="黑体"/>
                <w:sz w:val="20"/>
                <w:szCs w:val="20"/>
              </w:rPr>
            </w:pPr>
            <w:r>
              <w:rPr>
                <w:rFonts w:ascii="黑体" w:eastAsia="黑体" w:hAnsi="黑体" w:hint="eastAsia"/>
                <w:sz w:val="20"/>
                <w:szCs w:val="20"/>
              </w:rPr>
              <w:t>银行类存款机构</w:t>
            </w:r>
          </w:p>
        </w:tc>
        <w:tc>
          <w:tcPr>
            <w:tcW w:w="955" w:type="dxa"/>
            <w:vMerge w:val="restart"/>
            <w:vAlign w:val="center"/>
          </w:tcPr>
          <w:p w14:paraId="204FF412" w14:textId="77777777" w:rsidR="00A052DC" w:rsidRDefault="009F0A60">
            <w:pPr>
              <w:rPr>
                <w:rFonts w:ascii="黑体" w:eastAsia="黑体" w:hAnsi="黑体"/>
                <w:sz w:val="20"/>
                <w:szCs w:val="20"/>
              </w:rPr>
            </w:pPr>
            <w:r>
              <w:rPr>
                <w:rFonts w:ascii="黑体" w:eastAsia="黑体" w:hAnsi="黑体"/>
                <w:sz w:val="20"/>
                <w:szCs w:val="20"/>
              </w:rPr>
              <w:t>200014</w:t>
            </w:r>
          </w:p>
        </w:tc>
        <w:tc>
          <w:tcPr>
            <w:tcW w:w="4105" w:type="dxa"/>
          </w:tcPr>
          <w:p w14:paraId="36531B19" w14:textId="77777777" w:rsidR="00A052DC" w:rsidRDefault="009F0A60">
            <w:pPr>
              <w:rPr>
                <w:rFonts w:ascii="黑体" w:eastAsia="黑体" w:hAnsi="黑体"/>
                <w:sz w:val="20"/>
                <w:szCs w:val="20"/>
              </w:rPr>
            </w:pPr>
            <w:r>
              <w:rPr>
                <w:rFonts w:ascii="黑体" w:eastAsia="黑体" w:hAnsi="黑体" w:hint="eastAsia"/>
                <w:sz w:val="20"/>
                <w:szCs w:val="20"/>
              </w:rPr>
              <w:t>境外银行</w:t>
            </w:r>
          </w:p>
        </w:tc>
        <w:tc>
          <w:tcPr>
            <w:tcW w:w="1140" w:type="dxa"/>
          </w:tcPr>
          <w:p w14:paraId="2D436FA4" w14:textId="77777777" w:rsidR="00A052DC" w:rsidRDefault="009F0A60">
            <w:pPr>
              <w:rPr>
                <w:rFonts w:ascii="黑体" w:eastAsia="黑体" w:hAnsi="黑体"/>
                <w:sz w:val="20"/>
                <w:szCs w:val="20"/>
              </w:rPr>
            </w:pPr>
            <w:r>
              <w:rPr>
                <w:rFonts w:ascii="黑体" w:eastAsia="黑体" w:hAnsi="黑体" w:cs="宋体"/>
                <w:sz w:val="20"/>
                <w:szCs w:val="20"/>
              </w:rPr>
              <w:t>2000</w:t>
            </w:r>
            <w:r>
              <w:rPr>
                <w:rFonts w:ascii="黑体" w:eastAsia="黑体" w:hAnsi="黑体"/>
                <w:sz w:val="20"/>
                <w:szCs w:val="20"/>
              </w:rPr>
              <w:t>1401</w:t>
            </w:r>
          </w:p>
        </w:tc>
      </w:tr>
      <w:tr w:rsidR="00A052DC" w14:paraId="6ED2FE04" w14:textId="77777777" w:rsidTr="00197ADB">
        <w:trPr>
          <w:jc w:val="center"/>
        </w:trPr>
        <w:tc>
          <w:tcPr>
            <w:tcW w:w="2130" w:type="dxa"/>
            <w:vMerge/>
            <w:vAlign w:val="center"/>
          </w:tcPr>
          <w:p w14:paraId="26E2FBE9" w14:textId="77777777" w:rsidR="00A052DC" w:rsidRDefault="00A052DC">
            <w:pPr>
              <w:rPr>
                <w:rFonts w:ascii="黑体" w:eastAsia="黑体" w:hAnsi="黑体"/>
                <w:b/>
                <w:bCs/>
                <w:sz w:val="20"/>
                <w:szCs w:val="20"/>
              </w:rPr>
            </w:pPr>
          </w:p>
        </w:tc>
        <w:tc>
          <w:tcPr>
            <w:tcW w:w="955" w:type="dxa"/>
            <w:vMerge/>
            <w:vAlign w:val="center"/>
          </w:tcPr>
          <w:p w14:paraId="6CE6E818" w14:textId="77777777" w:rsidR="00A052DC" w:rsidRDefault="00A052DC">
            <w:pPr>
              <w:rPr>
                <w:rFonts w:ascii="黑体" w:eastAsia="黑体" w:hAnsi="黑体"/>
                <w:b/>
                <w:bCs/>
                <w:sz w:val="20"/>
                <w:szCs w:val="20"/>
              </w:rPr>
            </w:pPr>
          </w:p>
        </w:tc>
        <w:tc>
          <w:tcPr>
            <w:tcW w:w="4105" w:type="dxa"/>
          </w:tcPr>
          <w:p w14:paraId="7162C160" w14:textId="77777777" w:rsidR="00A052DC" w:rsidRDefault="009F0A60">
            <w:pPr>
              <w:rPr>
                <w:rFonts w:ascii="黑体" w:eastAsia="黑体" w:hAnsi="黑体"/>
                <w:sz w:val="20"/>
                <w:szCs w:val="20"/>
              </w:rPr>
            </w:pPr>
            <w:r>
              <w:rPr>
                <w:rFonts w:ascii="黑体" w:eastAsia="黑体" w:hAnsi="黑体" w:hint="eastAsia"/>
                <w:sz w:val="20"/>
                <w:szCs w:val="20"/>
              </w:rPr>
              <w:t>中资银行海外分支及附属机构</w:t>
            </w:r>
          </w:p>
        </w:tc>
        <w:tc>
          <w:tcPr>
            <w:tcW w:w="1140" w:type="dxa"/>
          </w:tcPr>
          <w:p w14:paraId="74A16600" w14:textId="77777777" w:rsidR="00A052DC" w:rsidRDefault="009F0A60">
            <w:pPr>
              <w:rPr>
                <w:rFonts w:ascii="黑体" w:eastAsia="黑体" w:hAnsi="黑体"/>
                <w:sz w:val="20"/>
                <w:szCs w:val="20"/>
              </w:rPr>
            </w:pPr>
            <w:r>
              <w:rPr>
                <w:rFonts w:ascii="黑体" w:eastAsia="黑体" w:hAnsi="黑体" w:cs="宋体"/>
                <w:sz w:val="20"/>
                <w:szCs w:val="20"/>
              </w:rPr>
              <w:t>2000</w:t>
            </w:r>
            <w:r>
              <w:rPr>
                <w:rFonts w:ascii="黑体" w:eastAsia="黑体" w:hAnsi="黑体"/>
                <w:sz w:val="20"/>
                <w:szCs w:val="20"/>
              </w:rPr>
              <w:t>1402</w:t>
            </w:r>
          </w:p>
        </w:tc>
      </w:tr>
      <w:tr w:rsidR="00A052DC" w14:paraId="442AFEED" w14:textId="77777777" w:rsidTr="00197ADB">
        <w:trPr>
          <w:jc w:val="center"/>
        </w:trPr>
        <w:tc>
          <w:tcPr>
            <w:tcW w:w="2130" w:type="dxa"/>
            <w:vMerge/>
            <w:vAlign w:val="center"/>
          </w:tcPr>
          <w:p w14:paraId="2F67CE93" w14:textId="77777777" w:rsidR="00A052DC" w:rsidRDefault="00A052DC">
            <w:pPr>
              <w:rPr>
                <w:rFonts w:ascii="黑体" w:eastAsia="黑体" w:hAnsi="黑体"/>
                <w:b/>
                <w:bCs/>
                <w:sz w:val="20"/>
                <w:szCs w:val="20"/>
              </w:rPr>
            </w:pPr>
          </w:p>
        </w:tc>
        <w:tc>
          <w:tcPr>
            <w:tcW w:w="955" w:type="dxa"/>
            <w:vMerge/>
            <w:vAlign w:val="center"/>
          </w:tcPr>
          <w:p w14:paraId="3C6C9F44" w14:textId="77777777" w:rsidR="00A052DC" w:rsidRDefault="00A052DC">
            <w:pPr>
              <w:rPr>
                <w:rFonts w:ascii="黑体" w:eastAsia="黑体" w:hAnsi="黑体"/>
                <w:b/>
                <w:bCs/>
                <w:sz w:val="20"/>
                <w:szCs w:val="20"/>
              </w:rPr>
            </w:pPr>
          </w:p>
        </w:tc>
        <w:tc>
          <w:tcPr>
            <w:tcW w:w="4105" w:type="dxa"/>
          </w:tcPr>
          <w:p w14:paraId="2E26C095" w14:textId="77777777" w:rsidR="00A052DC" w:rsidRDefault="009F0A60">
            <w:pPr>
              <w:rPr>
                <w:rFonts w:ascii="黑体" w:eastAsia="黑体" w:hAnsi="黑体"/>
                <w:sz w:val="20"/>
                <w:szCs w:val="20"/>
              </w:rPr>
            </w:pPr>
            <w:r>
              <w:rPr>
                <w:rFonts w:ascii="黑体" w:eastAsia="黑体" w:hAnsi="黑体" w:hint="eastAsia"/>
                <w:sz w:val="20"/>
                <w:szCs w:val="20"/>
              </w:rPr>
              <w:t>境内银行离岸部</w:t>
            </w:r>
          </w:p>
        </w:tc>
        <w:tc>
          <w:tcPr>
            <w:tcW w:w="1140" w:type="dxa"/>
          </w:tcPr>
          <w:p w14:paraId="1FB6D58B" w14:textId="77777777" w:rsidR="00A052DC" w:rsidRDefault="009F0A60">
            <w:pPr>
              <w:rPr>
                <w:rFonts w:ascii="黑体" w:eastAsia="黑体" w:hAnsi="黑体"/>
                <w:sz w:val="20"/>
                <w:szCs w:val="20"/>
              </w:rPr>
            </w:pPr>
            <w:r>
              <w:rPr>
                <w:rFonts w:ascii="黑体" w:eastAsia="黑体" w:hAnsi="黑体"/>
                <w:sz w:val="20"/>
                <w:szCs w:val="20"/>
              </w:rPr>
              <w:t>20001403</w:t>
            </w:r>
          </w:p>
        </w:tc>
      </w:tr>
      <w:tr w:rsidR="00A052DC" w14:paraId="6B77F2FB" w14:textId="77777777" w:rsidTr="00197ADB">
        <w:trPr>
          <w:jc w:val="center"/>
        </w:trPr>
        <w:tc>
          <w:tcPr>
            <w:tcW w:w="2130" w:type="dxa"/>
            <w:vMerge w:val="restart"/>
            <w:vAlign w:val="center"/>
          </w:tcPr>
          <w:p w14:paraId="4082A43D" w14:textId="77777777" w:rsidR="00A052DC" w:rsidRDefault="009F0A60">
            <w:pPr>
              <w:rPr>
                <w:rFonts w:ascii="黑体" w:eastAsia="黑体" w:hAnsi="黑体"/>
                <w:sz w:val="20"/>
                <w:szCs w:val="20"/>
              </w:rPr>
            </w:pPr>
            <w:r>
              <w:rPr>
                <w:rFonts w:ascii="黑体" w:eastAsia="黑体" w:hAnsi="黑体" w:hint="eastAsia"/>
                <w:sz w:val="20"/>
                <w:szCs w:val="20"/>
              </w:rPr>
              <w:t>非银行金融机构</w:t>
            </w:r>
          </w:p>
        </w:tc>
        <w:tc>
          <w:tcPr>
            <w:tcW w:w="955" w:type="dxa"/>
            <w:vMerge w:val="restart"/>
            <w:vAlign w:val="center"/>
          </w:tcPr>
          <w:p w14:paraId="6EE37F57" w14:textId="77777777" w:rsidR="00A052DC" w:rsidRDefault="009F0A60">
            <w:pPr>
              <w:rPr>
                <w:rFonts w:ascii="黑体" w:eastAsia="黑体" w:hAnsi="黑体"/>
                <w:sz w:val="20"/>
                <w:szCs w:val="20"/>
              </w:rPr>
            </w:pPr>
            <w:r>
              <w:rPr>
                <w:rFonts w:ascii="黑体" w:eastAsia="黑体" w:hAnsi="黑体"/>
                <w:sz w:val="20"/>
                <w:szCs w:val="20"/>
              </w:rPr>
              <w:t>200015</w:t>
            </w:r>
          </w:p>
        </w:tc>
        <w:tc>
          <w:tcPr>
            <w:tcW w:w="4105" w:type="dxa"/>
          </w:tcPr>
          <w:p w14:paraId="28991BE0" w14:textId="77777777" w:rsidR="00A052DC" w:rsidRDefault="009F0A60">
            <w:pPr>
              <w:rPr>
                <w:rFonts w:ascii="黑体" w:eastAsia="黑体" w:hAnsi="黑体"/>
                <w:sz w:val="20"/>
                <w:szCs w:val="20"/>
              </w:rPr>
            </w:pPr>
            <w:r>
              <w:rPr>
                <w:rFonts w:ascii="黑体" w:eastAsia="黑体" w:hAnsi="黑体" w:hint="eastAsia"/>
                <w:sz w:val="20"/>
                <w:szCs w:val="20"/>
              </w:rPr>
              <w:t>境外非银行金融机构</w:t>
            </w:r>
          </w:p>
        </w:tc>
        <w:tc>
          <w:tcPr>
            <w:tcW w:w="1140" w:type="dxa"/>
          </w:tcPr>
          <w:p w14:paraId="14CF302D" w14:textId="77777777" w:rsidR="00A052DC" w:rsidRDefault="009F0A60">
            <w:pPr>
              <w:rPr>
                <w:rFonts w:ascii="黑体" w:eastAsia="黑体" w:hAnsi="黑体"/>
                <w:sz w:val="20"/>
                <w:szCs w:val="20"/>
              </w:rPr>
            </w:pPr>
            <w:r>
              <w:rPr>
                <w:rFonts w:ascii="黑体" w:eastAsia="黑体" w:hAnsi="黑体" w:cs="宋体"/>
                <w:sz w:val="20"/>
                <w:szCs w:val="20"/>
              </w:rPr>
              <w:t>2000</w:t>
            </w:r>
            <w:r>
              <w:rPr>
                <w:rFonts w:ascii="黑体" w:eastAsia="黑体" w:hAnsi="黑体"/>
                <w:sz w:val="20"/>
                <w:szCs w:val="20"/>
              </w:rPr>
              <w:t>1501</w:t>
            </w:r>
          </w:p>
        </w:tc>
      </w:tr>
      <w:tr w:rsidR="00A052DC" w14:paraId="2AA86CE3" w14:textId="77777777" w:rsidTr="00197ADB">
        <w:trPr>
          <w:jc w:val="center"/>
        </w:trPr>
        <w:tc>
          <w:tcPr>
            <w:tcW w:w="2130" w:type="dxa"/>
            <w:vMerge/>
            <w:vAlign w:val="center"/>
          </w:tcPr>
          <w:p w14:paraId="73B16FB5" w14:textId="77777777" w:rsidR="00A052DC" w:rsidRDefault="00A052DC">
            <w:pPr>
              <w:rPr>
                <w:rFonts w:ascii="黑体" w:eastAsia="黑体" w:hAnsi="黑体"/>
                <w:b/>
                <w:bCs/>
                <w:sz w:val="20"/>
                <w:szCs w:val="20"/>
              </w:rPr>
            </w:pPr>
          </w:p>
        </w:tc>
        <w:tc>
          <w:tcPr>
            <w:tcW w:w="955" w:type="dxa"/>
            <w:vMerge/>
            <w:vAlign w:val="center"/>
          </w:tcPr>
          <w:p w14:paraId="79175B93" w14:textId="77777777" w:rsidR="00A052DC" w:rsidRDefault="00A052DC">
            <w:pPr>
              <w:rPr>
                <w:rFonts w:ascii="黑体" w:eastAsia="黑体" w:hAnsi="黑体"/>
                <w:b/>
                <w:bCs/>
                <w:sz w:val="20"/>
                <w:szCs w:val="20"/>
              </w:rPr>
            </w:pPr>
          </w:p>
        </w:tc>
        <w:tc>
          <w:tcPr>
            <w:tcW w:w="4105" w:type="dxa"/>
          </w:tcPr>
          <w:p w14:paraId="10211B1B" w14:textId="77777777" w:rsidR="00A052DC" w:rsidRDefault="009F0A60">
            <w:pPr>
              <w:rPr>
                <w:rFonts w:ascii="黑体" w:eastAsia="黑体" w:hAnsi="黑体"/>
                <w:sz w:val="20"/>
                <w:szCs w:val="20"/>
              </w:rPr>
            </w:pPr>
            <w:r>
              <w:rPr>
                <w:rFonts w:ascii="黑体" w:eastAsia="黑体" w:hAnsi="黑体" w:hint="eastAsia"/>
                <w:sz w:val="20"/>
                <w:szCs w:val="20"/>
              </w:rPr>
              <w:t>中资非银行金融机构海外分支及附属机构</w:t>
            </w:r>
          </w:p>
        </w:tc>
        <w:tc>
          <w:tcPr>
            <w:tcW w:w="1140" w:type="dxa"/>
          </w:tcPr>
          <w:p w14:paraId="6119824B" w14:textId="77777777" w:rsidR="00A052DC" w:rsidRDefault="009F0A60">
            <w:pPr>
              <w:rPr>
                <w:rFonts w:ascii="黑体" w:eastAsia="黑体" w:hAnsi="黑体"/>
                <w:sz w:val="20"/>
                <w:szCs w:val="20"/>
              </w:rPr>
            </w:pPr>
            <w:r>
              <w:rPr>
                <w:rFonts w:ascii="黑体" w:eastAsia="黑体" w:hAnsi="黑体" w:cs="宋体"/>
                <w:sz w:val="20"/>
                <w:szCs w:val="20"/>
              </w:rPr>
              <w:t>2000</w:t>
            </w:r>
            <w:r>
              <w:rPr>
                <w:rFonts w:ascii="黑体" w:eastAsia="黑体" w:hAnsi="黑体"/>
                <w:sz w:val="20"/>
                <w:szCs w:val="20"/>
              </w:rPr>
              <w:t>1502</w:t>
            </w:r>
          </w:p>
        </w:tc>
      </w:tr>
      <w:tr w:rsidR="00A052DC" w14:paraId="15E224AA" w14:textId="77777777" w:rsidTr="00197ADB">
        <w:trPr>
          <w:jc w:val="center"/>
        </w:trPr>
        <w:tc>
          <w:tcPr>
            <w:tcW w:w="2130" w:type="dxa"/>
            <w:vMerge w:val="restart"/>
            <w:vAlign w:val="center"/>
          </w:tcPr>
          <w:p w14:paraId="1A65FAB0" w14:textId="77777777" w:rsidR="00A052DC" w:rsidRDefault="009F0A60">
            <w:pPr>
              <w:rPr>
                <w:rFonts w:ascii="黑体" w:eastAsia="黑体" w:hAnsi="黑体"/>
                <w:sz w:val="20"/>
                <w:szCs w:val="20"/>
              </w:rPr>
            </w:pPr>
            <w:r>
              <w:rPr>
                <w:rFonts w:ascii="黑体" w:eastAsia="黑体" w:hAnsi="黑体" w:hint="eastAsia"/>
                <w:sz w:val="20"/>
                <w:szCs w:val="20"/>
              </w:rPr>
              <w:t>非金融企业</w:t>
            </w:r>
          </w:p>
        </w:tc>
        <w:tc>
          <w:tcPr>
            <w:tcW w:w="955" w:type="dxa"/>
            <w:vMerge w:val="restart"/>
            <w:vAlign w:val="center"/>
          </w:tcPr>
          <w:p w14:paraId="554EEA95" w14:textId="77777777" w:rsidR="00A052DC" w:rsidRDefault="009F0A60">
            <w:pPr>
              <w:rPr>
                <w:rFonts w:ascii="黑体" w:eastAsia="黑体" w:hAnsi="黑体"/>
                <w:sz w:val="20"/>
                <w:szCs w:val="20"/>
              </w:rPr>
            </w:pPr>
            <w:r>
              <w:rPr>
                <w:rFonts w:ascii="黑体" w:eastAsia="黑体" w:hAnsi="黑体"/>
                <w:sz w:val="20"/>
                <w:szCs w:val="20"/>
              </w:rPr>
              <w:t>200016</w:t>
            </w:r>
          </w:p>
        </w:tc>
        <w:tc>
          <w:tcPr>
            <w:tcW w:w="4105" w:type="dxa"/>
          </w:tcPr>
          <w:p w14:paraId="4F8A3C41" w14:textId="77777777" w:rsidR="00A052DC" w:rsidRDefault="009F0A60">
            <w:pPr>
              <w:rPr>
                <w:rFonts w:ascii="黑体" w:eastAsia="黑体" w:hAnsi="黑体"/>
                <w:sz w:val="20"/>
                <w:szCs w:val="20"/>
              </w:rPr>
            </w:pPr>
            <w:r>
              <w:rPr>
                <w:rFonts w:ascii="黑体" w:eastAsia="黑体" w:hAnsi="黑体" w:hint="eastAsia"/>
                <w:sz w:val="20"/>
                <w:szCs w:val="20"/>
              </w:rPr>
              <w:t>境内企业境外母公司</w:t>
            </w:r>
          </w:p>
        </w:tc>
        <w:tc>
          <w:tcPr>
            <w:tcW w:w="1140" w:type="dxa"/>
          </w:tcPr>
          <w:p w14:paraId="0536798F" w14:textId="77777777" w:rsidR="00A052DC" w:rsidRDefault="009F0A60">
            <w:pPr>
              <w:rPr>
                <w:rFonts w:ascii="黑体" w:eastAsia="黑体" w:hAnsi="黑体"/>
                <w:sz w:val="20"/>
                <w:szCs w:val="20"/>
              </w:rPr>
            </w:pPr>
            <w:r>
              <w:rPr>
                <w:rFonts w:ascii="黑体" w:eastAsia="黑体" w:hAnsi="黑体" w:cs="宋体"/>
                <w:sz w:val="20"/>
                <w:szCs w:val="20"/>
              </w:rPr>
              <w:t>2000</w:t>
            </w:r>
            <w:r>
              <w:rPr>
                <w:rFonts w:ascii="黑体" w:eastAsia="黑体" w:hAnsi="黑体"/>
                <w:sz w:val="20"/>
                <w:szCs w:val="20"/>
              </w:rPr>
              <w:t>1601</w:t>
            </w:r>
          </w:p>
        </w:tc>
      </w:tr>
      <w:tr w:rsidR="00A052DC" w14:paraId="4F1E6C36" w14:textId="77777777" w:rsidTr="00197ADB">
        <w:trPr>
          <w:jc w:val="center"/>
        </w:trPr>
        <w:tc>
          <w:tcPr>
            <w:tcW w:w="2130" w:type="dxa"/>
            <w:vMerge/>
            <w:vAlign w:val="center"/>
          </w:tcPr>
          <w:p w14:paraId="1FA54CB3" w14:textId="77777777" w:rsidR="00A052DC" w:rsidRDefault="00A052DC">
            <w:pPr>
              <w:rPr>
                <w:rFonts w:ascii="黑体" w:eastAsia="黑体" w:hAnsi="黑体"/>
                <w:b/>
                <w:bCs/>
                <w:sz w:val="20"/>
                <w:szCs w:val="20"/>
              </w:rPr>
            </w:pPr>
          </w:p>
        </w:tc>
        <w:tc>
          <w:tcPr>
            <w:tcW w:w="955" w:type="dxa"/>
            <w:vMerge/>
            <w:vAlign w:val="center"/>
          </w:tcPr>
          <w:p w14:paraId="237C38AF" w14:textId="77777777" w:rsidR="00A052DC" w:rsidRDefault="00A052DC">
            <w:pPr>
              <w:rPr>
                <w:rFonts w:ascii="黑体" w:eastAsia="黑体" w:hAnsi="黑体"/>
                <w:b/>
                <w:bCs/>
                <w:sz w:val="20"/>
                <w:szCs w:val="20"/>
              </w:rPr>
            </w:pPr>
          </w:p>
        </w:tc>
        <w:tc>
          <w:tcPr>
            <w:tcW w:w="4105" w:type="dxa"/>
          </w:tcPr>
          <w:p w14:paraId="6F975A41" w14:textId="77777777" w:rsidR="00A052DC" w:rsidRDefault="009F0A60">
            <w:pPr>
              <w:rPr>
                <w:rFonts w:ascii="黑体" w:eastAsia="黑体" w:hAnsi="黑体"/>
                <w:sz w:val="20"/>
                <w:szCs w:val="20"/>
              </w:rPr>
            </w:pPr>
            <w:r>
              <w:rPr>
                <w:rFonts w:ascii="黑体" w:eastAsia="黑体" w:hAnsi="黑体" w:hint="eastAsia"/>
                <w:sz w:val="20"/>
                <w:szCs w:val="20"/>
              </w:rPr>
              <w:t>境内企业境外分支及附属机构</w:t>
            </w:r>
          </w:p>
        </w:tc>
        <w:tc>
          <w:tcPr>
            <w:tcW w:w="1140" w:type="dxa"/>
          </w:tcPr>
          <w:p w14:paraId="1C6E50CC" w14:textId="77777777" w:rsidR="00A052DC" w:rsidRDefault="009F0A60">
            <w:pPr>
              <w:rPr>
                <w:rFonts w:ascii="黑体" w:eastAsia="黑体" w:hAnsi="黑体"/>
                <w:sz w:val="20"/>
                <w:szCs w:val="20"/>
              </w:rPr>
            </w:pPr>
            <w:r>
              <w:rPr>
                <w:rFonts w:ascii="黑体" w:eastAsia="黑体" w:hAnsi="黑体" w:cs="宋体"/>
                <w:sz w:val="20"/>
                <w:szCs w:val="20"/>
              </w:rPr>
              <w:t>2000</w:t>
            </w:r>
            <w:r>
              <w:rPr>
                <w:rFonts w:ascii="黑体" w:eastAsia="黑体" w:hAnsi="黑体"/>
                <w:sz w:val="20"/>
                <w:szCs w:val="20"/>
              </w:rPr>
              <w:t>1602</w:t>
            </w:r>
          </w:p>
        </w:tc>
      </w:tr>
      <w:tr w:rsidR="00A052DC" w14:paraId="0DE2469F" w14:textId="77777777" w:rsidTr="00197ADB">
        <w:trPr>
          <w:jc w:val="center"/>
        </w:trPr>
        <w:tc>
          <w:tcPr>
            <w:tcW w:w="2130" w:type="dxa"/>
            <w:vMerge/>
            <w:vAlign w:val="center"/>
          </w:tcPr>
          <w:p w14:paraId="5D2A461B" w14:textId="77777777" w:rsidR="00A052DC" w:rsidRDefault="00A052DC">
            <w:pPr>
              <w:rPr>
                <w:rFonts w:ascii="黑体" w:eastAsia="黑体" w:hAnsi="黑体"/>
                <w:b/>
                <w:bCs/>
                <w:sz w:val="20"/>
                <w:szCs w:val="20"/>
              </w:rPr>
            </w:pPr>
          </w:p>
        </w:tc>
        <w:tc>
          <w:tcPr>
            <w:tcW w:w="955" w:type="dxa"/>
            <w:vMerge/>
            <w:vAlign w:val="center"/>
          </w:tcPr>
          <w:p w14:paraId="39D068A1" w14:textId="77777777" w:rsidR="00A052DC" w:rsidRDefault="00A052DC">
            <w:pPr>
              <w:rPr>
                <w:rFonts w:ascii="黑体" w:eastAsia="黑体" w:hAnsi="黑体"/>
                <w:b/>
                <w:bCs/>
                <w:sz w:val="20"/>
                <w:szCs w:val="20"/>
              </w:rPr>
            </w:pPr>
          </w:p>
        </w:tc>
        <w:tc>
          <w:tcPr>
            <w:tcW w:w="4105" w:type="dxa"/>
          </w:tcPr>
          <w:p w14:paraId="0B4AB4C5" w14:textId="77777777" w:rsidR="00A052DC" w:rsidRDefault="009F0A60">
            <w:pPr>
              <w:rPr>
                <w:rFonts w:ascii="黑体" w:eastAsia="黑体" w:hAnsi="黑体"/>
                <w:sz w:val="20"/>
                <w:szCs w:val="20"/>
              </w:rPr>
            </w:pPr>
            <w:r>
              <w:rPr>
                <w:rFonts w:ascii="黑体" w:eastAsia="黑体" w:hAnsi="黑体" w:hint="eastAsia"/>
                <w:sz w:val="20"/>
                <w:szCs w:val="20"/>
              </w:rPr>
              <w:t>关联企业</w:t>
            </w:r>
          </w:p>
        </w:tc>
        <w:tc>
          <w:tcPr>
            <w:tcW w:w="1140" w:type="dxa"/>
          </w:tcPr>
          <w:p w14:paraId="4C059998" w14:textId="77777777" w:rsidR="00A052DC" w:rsidRDefault="009F0A60">
            <w:pPr>
              <w:rPr>
                <w:rFonts w:ascii="黑体" w:eastAsia="黑体" w:hAnsi="黑体"/>
                <w:sz w:val="20"/>
                <w:szCs w:val="20"/>
              </w:rPr>
            </w:pPr>
            <w:r>
              <w:rPr>
                <w:rFonts w:ascii="黑体" w:eastAsia="黑体" w:hAnsi="黑体" w:cs="宋体"/>
                <w:sz w:val="20"/>
                <w:szCs w:val="20"/>
              </w:rPr>
              <w:t>2000</w:t>
            </w:r>
            <w:r>
              <w:rPr>
                <w:rFonts w:ascii="黑体" w:eastAsia="黑体" w:hAnsi="黑体"/>
                <w:sz w:val="20"/>
                <w:szCs w:val="20"/>
              </w:rPr>
              <w:t>1603</w:t>
            </w:r>
          </w:p>
        </w:tc>
      </w:tr>
      <w:tr w:rsidR="00A052DC" w14:paraId="64F4C736" w14:textId="77777777" w:rsidTr="00197ADB">
        <w:trPr>
          <w:jc w:val="center"/>
        </w:trPr>
        <w:tc>
          <w:tcPr>
            <w:tcW w:w="2130" w:type="dxa"/>
            <w:vMerge/>
            <w:vAlign w:val="center"/>
          </w:tcPr>
          <w:p w14:paraId="3CBBF28A" w14:textId="77777777" w:rsidR="00A052DC" w:rsidRDefault="00A052DC">
            <w:pPr>
              <w:rPr>
                <w:rFonts w:ascii="黑体" w:eastAsia="黑体" w:hAnsi="黑体"/>
                <w:b/>
                <w:bCs/>
                <w:sz w:val="20"/>
                <w:szCs w:val="20"/>
              </w:rPr>
            </w:pPr>
          </w:p>
        </w:tc>
        <w:tc>
          <w:tcPr>
            <w:tcW w:w="955" w:type="dxa"/>
            <w:vMerge/>
            <w:vAlign w:val="center"/>
          </w:tcPr>
          <w:p w14:paraId="11547B7E" w14:textId="77777777" w:rsidR="00A052DC" w:rsidRDefault="00A052DC">
            <w:pPr>
              <w:rPr>
                <w:rFonts w:ascii="黑体" w:eastAsia="黑体" w:hAnsi="黑体"/>
                <w:b/>
                <w:bCs/>
                <w:sz w:val="20"/>
                <w:szCs w:val="20"/>
              </w:rPr>
            </w:pPr>
          </w:p>
        </w:tc>
        <w:tc>
          <w:tcPr>
            <w:tcW w:w="4105" w:type="dxa"/>
          </w:tcPr>
          <w:p w14:paraId="71123EB4" w14:textId="77777777" w:rsidR="00A052DC" w:rsidRDefault="009F0A60">
            <w:pPr>
              <w:rPr>
                <w:rFonts w:ascii="黑体" w:eastAsia="黑体" w:hAnsi="黑体"/>
                <w:sz w:val="20"/>
                <w:szCs w:val="20"/>
              </w:rPr>
            </w:pPr>
            <w:r>
              <w:rPr>
                <w:rFonts w:ascii="黑体" w:eastAsia="黑体" w:hAnsi="黑体" w:hint="eastAsia"/>
                <w:sz w:val="20"/>
                <w:szCs w:val="20"/>
              </w:rPr>
              <w:t>其他企业</w:t>
            </w:r>
          </w:p>
        </w:tc>
        <w:tc>
          <w:tcPr>
            <w:tcW w:w="1140" w:type="dxa"/>
          </w:tcPr>
          <w:p w14:paraId="63FC667D" w14:textId="77777777" w:rsidR="00A052DC" w:rsidRDefault="009F0A60">
            <w:pPr>
              <w:rPr>
                <w:rFonts w:ascii="黑体" w:eastAsia="黑体" w:hAnsi="黑体"/>
                <w:sz w:val="20"/>
                <w:szCs w:val="20"/>
              </w:rPr>
            </w:pPr>
            <w:r>
              <w:rPr>
                <w:rFonts w:ascii="黑体" w:eastAsia="黑体" w:hAnsi="黑体" w:cs="宋体"/>
                <w:sz w:val="20"/>
                <w:szCs w:val="20"/>
              </w:rPr>
              <w:t>2000</w:t>
            </w:r>
            <w:r>
              <w:rPr>
                <w:rFonts w:ascii="黑体" w:eastAsia="黑体" w:hAnsi="黑体"/>
                <w:sz w:val="20"/>
                <w:szCs w:val="20"/>
              </w:rPr>
              <w:t>1699</w:t>
            </w:r>
          </w:p>
        </w:tc>
      </w:tr>
      <w:tr w:rsidR="00A052DC" w14:paraId="70F78A58" w14:textId="77777777" w:rsidTr="00197ADB">
        <w:trPr>
          <w:jc w:val="center"/>
        </w:trPr>
        <w:tc>
          <w:tcPr>
            <w:tcW w:w="2130" w:type="dxa"/>
            <w:vAlign w:val="center"/>
          </w:tcPr>
          <w:p w14:paraId="1D8B61D9" w14:textId="77777777" w:rsidR="00A052DC" w:rsidRDefault="009F0A60">
            <w:pPr>
              <w:rPr>
                <w:rFonts w:ascii="黑体" w:eastAsia="黑体" w:hAnsi="黑体"/>
                <w:sz w:val="20"/>
                <w:szCs w:val="20"/>
              </w:rPr>
            </w:pPr>
            <w:r>
              <w:rPr>
                <w:rFonts w:ascii="黑体" w:eastAsia="黑体" w:hAnsi="黑体" w:hint="eastAsia"/>
                <w:sz w:val="20"/>
                <w:szCs w:val="20"/>
              </w:rPr>
              <w:t>个人</w:t>
            </w:r>
          </w:p>
        </w:tc>
        <w:tc>
          <w:tcPr>
            <w:tcW w:w="955" w:type="dxa"/>
            <w:vAlign w:val="center"/>
          </w:tcPr>
          <w:p w14:paraId="073585A5" w14:textId="77777777" w:rsidR="00A052DC" w:rsidRDefault="009F0A60">
            <w:pPr>
              <w:rPr>
                <w:rFonts w:ascii="黑体" w:eastAsia="黑体" w:hAnsi="黑体"/>
                <w:sz w:val="20"/>
                <w:szCs w:val="20"/>
              </w:rPr>
            </w:pPr>
            <w:r>
              <w:rPr>
                <w:rFonts w:ascii="黑体" w:eastAsia="黑体" w:hAnsi="黑体"/>
                <w:sz w:val="20"/>
                <w:szCs w:val="20"/>
              </w:rPr>
              <w:t>200017</w:t>
            </w:r>
          </w:p>
        </w:tc>
        <w:tc>
          <w:tcPr>
            <w:tcW w:w="4105" w:type="dxa"/>
          </w:tcPr>
          <w:p w14:paraId="2B54CD2E" w14:textId="77777777" w:rsidR="00A052DC" w:rsidRDefault="009F0A60">
            <w:pPr>
              <w:rPr>
                <w:rFonts w:ascii="黑体" w:eastAsia="黑体" w:hAnsi="黑体"/>
                <w:sz w:val="20"/>
                <w:szCs w:val="20"/>
              </w:rPr>
            </w:pPr>
            <w:r>
              <w:rPr>
                <w:rFonts w:ascii="黑体" w:eastAsia="黑体" w:hAnsi="黑体" w:hint="eastAsia"/>
                <w:sz w:val="20"/>
                <w:szCs w:val="20"/>
              </w:rPr>
              <w:t>个人</w:t>
            </w:r>
          </w:p>
        </w:tc>
        <w:tc>
          <w:tcPr>
            <w:tcW w:w="1140" w:type="dxa"/>
          </w:tcPr>
          <w:p w14:paraId="6F502710" w14:textId="77777777" w:rsidR="00A052DC" w:rsidRDefault="009F0A60">
            <w:pPr>
              <w:rPr>
                <w:rFonts w:ascii="黑体" w:eastAsia="黑体" w:hAnsi="黑体"/>
                <w:sz w:val="20"/>
                <w:szCs w:val="20"/>
              </w:rPr>
            </w:pPr>
            <w:r>
              <w:rPr>
                <w:rFonts w:ascii="黑体" w:eastAsia="黑体" w:hAnsi="黑体" w:cs="宋体"/>
                <w:sz w:val="20"/>
                <w:szCs w:val="20"/>
              </w:rPr>
              <w:t>2000</w:t>
            </w:r>
            <w:r>
              <w:rPr>
                <w:rFonts w:ascii="黑体" w:eastAsia="黑体" w:hAnsi="黑体"/>
                <w:sz w:val="20"/>
                <w:szCs w:val="20"/>
              </w:rPr>
              <w:t>1700</w:t>
            </w:r>
          </w:p>
        </w:tc>
      </w:tr>
      <w:tr w:rsidR="00A052DC" w14:paraId="3AC4E1FA" w14:textId="77777777" w:rsidTr="00197ADB">
        <w:trPr>
          <w:jc w:val="center"/>
        </w:trPr>
        <w:tc>
          <w:tcPr>
            <w:tcW w:w="2130" w:type="dxa"/>
            <w:vAlign w:val="center"/>
          </w:tcPr>
          <w:p w14:paraId="638343C8" w14:textId="77777777" w:rsidR="00A052DC" w:rsidRDefault="009F0A60">
            <w:pPr>
              <w:rPr>
                <w:rFonts w:ascii="黑体" w:eastAsia="黑体" w:hAnsi="黑体"/>
                <w:sz w:val="20"/>
                <w:szCs w:val="20"/>
              </w:rPr>
            </w:pPr>
            <w:r>
              <w:rPr>
                <w:rFonts w:ascii="黑体" w:eastAsia="黑体" w:hAnsi="黑体" w:hint="eastAsia"/>
                <w:sz w:val="20"/>
                <w:szCs w:val="20"/>
              </w:rPr>
              <w:t>资本市场</w:t>
            </w:r>
          </w:p>
        </w:tc>
        <w:tc>
          <w:tcPr>
            <w:tcW w:w="955" w:type="dxa"/>
            <w:vAlign w:val="center"/>
          </w:tcPr>
          <w:p w14:paraId="3DCC4C90" w14:textId="77777777" w:rsidR="00A052DC" w:rsidRDefault="009F0A60">
            <w:pPr>
              <w:rPr>
                <w:rFonts w:ascii="黑体" w:eastAsia="黑体" w:hAnsi="黑体"/>
                <w:sz w:val="20"/>
                <w:szCs w:val="20"/>
              </w:rPr>
            </w:pPr>
            <w:r>
              <w:rPr>
                <w:rFonts w:ascii="黑体" w:eastAsia="黑体" w:hAnsi="黑体"/>
                <w:sz w:val="20"/>
                <w:szCs w:val="20"/>
              </w:rPr>
              <w:t>200018</w:t>
            </w:r>
          </w:p>
        </w:tc>
        <w:tc>
          <w:tcPr>
            <w:tcW w:w="4105" w:type="dxa"/>
          </w:tcPr>
          <w:p w14:paraId="61A20248" w14:textId="77777777" w:rsidR="00A052DC" w:rsidRDefault="009F0A60">
            <w:pPr>
              <w:rPr>
                <w:rFonts w:ascii="黑体" w:eastAsia="黑体" w:hAnsi="黑体"/>
                <w:sz w:val="20"/>
                <w:szCs w:val="20"/>
              </w:rPr>
            </w:pPr>
            <w:r>
              <w:rPr>
                <w:rFonts w:ascii="黑体" w:eastAsia="黑体" w:hAnsi="黑体" w:hint="eastAsia"/>
                <w:sz w:val="20"/>
                <w:szCs w:val="20"/>
              </w:rPr>
              <w:t>资本市场</w:t>
            </w:r>
          </w:p>
        </w:tc>
        <w:tc>
          <w:tcPr>
            <w:tcW w:w="1140" w:type="dxa"/>
          </w:tcPr>
          <w:p w14:paraId="1F3E796C" w14:textId="77777777" w:rsidR="00A052DC" w:rsidRDefault="009F0A60">
            <w:pPr>
              <w:rPr>
                <w:rFonts w:ascii="黑体" w:eastAsia="黑体" w:hAnsi="黑体"/>
                <w:sz w:val="20"/>
                <w:szCs w:val="20"/>
              </w:rPr>
            </w:pPr>
            <w:r>
              <w:rPr>
                <w:rFonts w:ascii="黑体" w:eastAsia="黑体" w:hAnsi="黑体" w:cs="宋体"/>
                <w:sz w:val="20"/>
                <w:szCs w:val="20"/>
              </w:rPr>
              <w:t>2000</w:t>
            </w:r>
            <w:r>
              <w:rPr>
                <w:rFonts w:ascii="黑体" w:eastAsia="黑体" w:hAnsi="黑体"/>
                <w:sz w:val="20"/>
                <w:szCs w:val="20"/>
              </w:rPr>
              <w:t>1800</w:t>
            </w:r>
          </w:p>
        </w:tc>
      </w:tr>
      <w:tr w:rsidR="00A052DC" w14:paraId="666F1EAD" w14:textId="77777777" w:rsidTr="00197ADB">
        <w:trPr>
          <w:jc w:val="center"/>
        </w:trPr>
        <w:tc>
          <w:tcPr>
            <w:tcW w:w="2130" w:type="dxa"/>
            <w:vAlign w:val="center"/>
          </w:tcPr>
          <w:p w14:paraId="2E1E0113" w14:textId="77777777" w:rsidR="00A052DC" w:rsidRDefault="009F0A60">
            <w:pPr>
              <w:rPr>
                <w:rFonts w:ascii="黑体" w:eastAsia="黑体" w:hAnsi="黑体"/>
                <w:sz w:val="20"/>
                <w:szCs w:val="20"/>
              </w:rPr>
            </w:pPr>
            <w:r>
              <w:rPr>
                <w:rFonts w:ascii="黑体" w:eastAsia="黑体" w:hAnsi="黑体" w:hint="eastAsia"/>
                <w:sz w:val="20"/>
                <w:szCs w:val="20"/>
              </w:rPr>
              <w:t>其他</w:t>
            </w:r>
          </w:p>
        </w:tc>
        <w:tc>
          <w:tcPr>
            <w:tcW w:w="955" w:type="dxa"/>
            <w:vAlign w:val="center"/>
          </w:tcPr>
          <w:p w14:paraId="501BF3CB" w14:textId="77777777" w:rsidR="00A052DC" w:rsidRDefault="009F0A60">
            <w:pPr>
              <w:rPr>
                <w:rFonts w:ascii="黑体" w:eastAsia="黑体" w:hAnsi="黑体"/>
                <w:sz w:val="20"/>
                <w:szCs w:val="20"/>
              </w:rPr>
            </w:pPr>
            <w:r>
              <w:rPr>
                <w:rFonts w:ascii="黑体" w:eastAsia="黑体" w:hAnsi="黑体"/>
                <w:sz w:val="20"/>
                <w:szCs w:val="20"/>
              </w:rPr>
              <w:t>200099</w:t>
            </w:r>
          </w:p>
        </w:tc>
        <w:tc>
          <w:tcPr>
            <w:tcW w:w="4105" w:type="dxa"/>
          </w:tcPr>
          <w:p w14:paraId="5B648DEF" w14:textId="77777777" w:rsidR="00A052DC" w:rsidRDefault="009F0A60">
            <w:pPr>
              <w:rPr>
                <w:rFonts w:ascii="黑体" w:eastAsia="黑体" w:hAnsi="黑体"/>
                <w:sz w:val="20"/>
                <w:szCs w:val="20"/>
              </w:rPr>
            </w:pPr>
            <w:r>
              <w:rPr>
                <w:rFonts w:ascii="黑体" w:eastAsia="黑体" w:hAnsi="黑体" w:hint="eastAsia"/>
                <w:sz w:val="20"/>
                <w:szCs w:val="20"/>
              </w:rPr>
              <w:t>其他</w:t>
            </w:r>
          </w:p>
        </w:tc>
        <w:tc>
          <w:tcPr>
            <w:tcW w:w="1140" w:type="dxa"/>
          </w:tcPr>
          <w:p w14:paraId="3BA5E5D6" w14:textId="77777777" w:rsidR="00A052DC" w:rsidRDefault="009F0A60">
            <w:pPr>
              <w:rPr>
                <w:rFonts w:ascii="黑体" w:eastAsia="黑体" w:hAnsi="黑体"/>
                <w:sz w:val="20"/>
                <w:szCs w:val="20"/>
              </w:rPr>
            </w:pPr>
            <w:r>
              <w:rPr>
                <w:rFonts w:ascii="黑体" w:eastAsia="黑体" w:hAnsi="黑体" w:cs="宋体"/>
                <w:sz w:val="20"/>
                <w:szCs w:val="20"/>
              </w:rPr>
              <w:t>2000</w:t>
            </w:r>
            <w:r>
              <w:rPr>
                <w:rFonts w:ascii="黑体" w:eastAsia="黑体" w:hAnsi="黑体"/>
                <w:sz w:val="20"/>
                <w:szCs w:val="20"/>
              </w:rPr>
              <w:t>9900</w:t>
            </w:r>
          </w:p>
        </w:tc>
      </w:tr>
    </w:tbl>
    <w:p w14:paraId="4FF8CE2E" w14:textId="77777777" w:rsidR="00A052DC" w:rsidRDefault="009F0A60">
      <w:pPr>
        <w:pStyle w:val="2"/>
        <w:rPr>
          <w:rFonts w:ascii="Times New Roman" w:hAnsi="Times New Roman"/>
        </w:rPr>
      </w:pPr>
      <w:bookmarkStart w:id="4830" w:name="_Toc454394792"/>
      <w:bookmarkStart w:id="4831" w:name="_Toc91455533"/>
      <w:bookmarkStart w:id="4832" w:name="_Toc101684558"/>
      <w:bookmarkStart w:id="4833" w:name="_Toc328635607"/>
      <w:r>
        <w:rPr>
          <w:rFonts w:ascii="Times New Roman" w:hAnsi="Times New Roman" w:hint="eastAsia"/>
        </w:rPr>
        <w:t>特殊经济区类型代码表</w:t>
      </w:r>
      <w:bookmarkEnd w:id="4830"/>
      <w:bookmarkEnd w:id="4831"/>
      <w:bookmarkEnd w:id="4832"/>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6"/>
        <w:gridCol w:w="5103"/>
      </w:tblGrid>
      <w:tr w:rsidR="00A052DC" w14:paraId="044225AE" w14:textId="77777777" w:rsidTr="00DD6AA3">
        <w:trPr>
          <w:tblHeader/>
        </w:trPr>
        <w:tc>
          <w:tcPr>
            <w:tcW w:w="3276" w:type="dxa"/>
            <w:shd w:val="clear" w:color="auto" w:fill="C0C0C0"/>
            <w:noWrap/>
            <w:vAlign w:val="bottom"/>
          </w:tcPr>
          <w:p w14:paraId="170A93CE" w14:textId="77777777" w:rsidR="00881462" w:rsidRDefault="009F0A60">
            <w:pPr>
              <w:pStyle w:val="B1"/>
            </w:pPr>
            <w:r>
              <w:rPr>
                <w:rFonts w:hint="eastAsia"/>
              </w:rPr>
              <w:t>特殊经济区类型代码</w:t>
            </w:r>
          </w:p>
        </w:tc>
        <w:tc>
          <w:tcPr>
            <w:tcW w:w="5103" w:type="dxa"/>
            <w:shd w:val="clear" w:color="auto" w:fill="C0C0C0"/>
            <w:noWrap/>
            <w:vAlign w:val="bottom"/>
          </w:tcPr>
          <w:p w14:paraId="0BD4F831" w14:textId="77777777" w:rsidR="00881462" w:rsidRDefault="009F0A60">
            <w:pPr>
              <w:pStyle w:val="B1"/>
            </w:pPr>
            <w:r>
              <w:rPr>
                <w:rFonts w:hint="eastAsia"/>
              </w:rPr>
              <w:t>特殊经济区类型名称</w:t>
            </w:r>
          </w:p>
        </w:tc>
      </w:tr>
      <w:tr w:rsidR="00A052DC" w14:paraId="68166A8C" w14:textId="77777777">
        <w:tc>
          <w:tcPr>
            <w:tcW w:w="3276" w:type="dxa"/>
            <w:shd w:val="clear" w:color="auto" w:fill="auto"/>
            <w:noWrap/>
            <w:vAlign w:val="bottom"/>
          </w:tcPr>
          <w:p w14:paraId="78AC2853" w14:textId="77777777" w:rsidR="00A052DC" w:rsidRDefault="009F0A60">
            <w:pPr>
              <w:pStyle w:val="B"/>
              <w:jc w:val="center"/>
            </w:pPr>
            <w:r>
              <w:t>00</w:t>
            </w:r>
          </w:p>
        </w:tc>
        <w:tc>
          <w:tcPr>
            <w:tcW w:w="5103" w:type="dxa"/>
            <w:shd w:val="clear" w:color="auto" w:fill="auto"/>
            <w:noWrap/>
            <w:vAlign w:val="bottom"/>
          </w:tcPr>
          <w:p w14:paraId="7F93E71E" w14:textId="77777777" w:rsidR="00A052DC" w:rsidRDefault="009F0A60">
            <w:pPr>
              <w:pStyle w:val="B"/>
            </w:pPr>
            <w:r>
              <w:t>一般贸易区</w:t>
            </w:r>
          </w:p>
        </w:tc>
      </w:tr>
      <w:tr w:rsidR="00A052DC" w14:paraId="0EFFE938" w14:textId="77777777">
        <w:tc>
          <w:tcPr>
            <w:tcW w:w="3276" w:type="dxa"/>
            <w:shd w:val="clear" w:color="auto" w:fill="auto"/>
            <w:noWrap/>
            <w:vAlign w:val="bottom"/>
          </w:tcPr>
          <w:p w14:paraId="3F02786B" w14:textId="77777777" w:rsidR="00A052DC" w:rsidRDefault="009F0A60">
            <w:pPr>
              <w:pStyle w:val="B"/>
              <w:jc w:val="center"/>
            </w:pPr>
            <w:r>
              <w:t>01</w:t>
            </w:r>
          </w:p>
        </w:tc>
        <w:tc>
          <w:tcPr>
            <w:tcW w:w="5103" w:type="dxa"/>
            <w:shd w:val="clear" w:color="auto" w:fill="auto"/>
            <w:noWrap/>
            <w:vAlign w:val="bottom"/>
          </w:tcPr>
          <w:p w14:paraId="5CD26880" w14:textId="77777777" w:rsidR="00A052DC" w:rsidRDefault="009F0A60">
            <w:pPr>
              <w:pStyle w:val="B"/>
            </w:pPr>
            <w:r>
              <w:t>保税区</w:t>
            </w:r>
          </w:p>
        </w:tc>
      </w:tr>
      <w:tr w:rsidR="00A052DC" w14:paraId="0E9D489F" w14:textId="77777777">
        <w:tc>
          <w:tcPr>
            <w:tcW w:w="3276" w:type="dxa"/>
            <w:shd w:val="clear" w:color="auto" w:fill="auto"/>
            <w:noWrap/>
            <w:vAlign w:val="bottom"/>
          </w:tcPr>
          <w:p w14:paraId="0AA2C058" w14:textId="77777777" w:rsidR="00A052DC" w:rsidRDefault="009F0A60">
            <w:pPr>
              <w:pStyle w:val="B"/>
              <w:jc w:val="center"/>
            </w:pPr>
            <w:r>
              <w:t>02</w:t>
            </w:r>
          </w:p>
        </w:tc>
        <w:tc>
          <w:tcPr>
            <w:tcW w:w="5103" w:type="dxa"/>
            <w:shd w:val="clear" w:color="auto" w:fill="auto"/>
            <w:noWrap/>
            <w:vAlign w:val="bottom"/>
          </w:tcPr>
          <w:p w14:paraId="20B9AFE3" w14:textId="77777777" w:rsidR="00A052DC" w:rsidRDefault="009F0A60">
            <w:pPr>
              <w:pStyle w:val="B"/>
            </w:pPr>
            <w:r>
              <w:t>出口加工区</w:t>
            </w:r>
          </w:p>
        </w:tc>
      </w:tr>
      <w:tr w:rsidR="00A052DC" w14:paraId="2C314406" w14:textId="77777777">
        <w:tc>
          <w:tcPr>
            <w:tcW w:w="3276" w:type="dxa"/>
            <w:shd w:val="clear" w:color="auto" w:fill="auto"/>
            <w:noWrap/>
            <w:vAlign w:val="bottom"/>
          </w:tcPr>
          <w:p w14:paraId="42F7B53B" w14:textId="77777777" w:rsidR="00A052DC" w:rsidRDefault="009F0A60">
            <w:pPr>
              <w:pStyle w:val="B"/>
              <w:jc w:val="center"/>
            </w:pPr>
            <w:r>
              <w:t>03</w:t>
            </w:r>
          </w:p>
        </w:tc>
        <w:tc>
          <w:tcPr>
            <w:tcW w:w="5103" w:type="dxa"/>
            <w:shd w:val="clear" w:color="auto" w:fill="auto"/>
            <w:noWrap/>
            <w:vAlign w:val="bottom"/>
          </w:tcPr>
          <w:p w14:paraId="33F07E7D" w14:textId="77777777" w:rsidR="00A052DC" w:rsidRDefault="009F0A60">
            <w:pPr>
              <w:pStyle w:val="B"/>
            </w:pPr>
            <w:r>
              <w:t>保税物流中心B型</w:t>
            </w:r>
          </w:p>
        </w:tc>
      </w:tr>
      <w:tr w:rsidR="00A052DC" w14:paraId="79C4E510" w14:textId="77777777">
        <w:tc>
          <w:tcPr>
            <w:tcW w:w="3276" w:type="dxa"/>
            <w:shd w:val="clear" w:color="auto" w:fill="auto"/>
            <w:noWrap/>
            <w:vAlign w:val="bottom"/>
          </w:tcPr>
          <w:p w14:paraId="790B6002" w14:textId="77777777" w:rsidR="00A052DC" w:rsidRDefault="009F0A60">
            <w:pPr>
              <w:pStyle w:val="B"/>
              <w:jc w:val="center"/>
            </w:pPr>
            <w:r>
              <w:t>04</w:t>
            </w:r>
          </w:p>
        </w:tc>
        <w:tc>
          <w:tcPr>
            <w:tcW w:w="5103" w:type="dxa"/>
            <w:shd w:val="clear" w:color="auto" w:fill="auto"/>
            <w:noWrap/>
            <w:vAlign w:val="bottom"/>
          </w:tcPr>
          <w:p w14:paraId="446F3805" w14:textId="77777777" w:rsidR="00A052DC" w:rsidRDefault="009F0A60">
            <w:pPr>
              <w:pStyle w:val="B"/>
            </w:pPr>
            <w:r>
              <w:t>保税物流园区</w:t>
            </w:r>
          </w:p>
        </w:tc>
      </w:tr>
      <w:tr w:rsidR="00A052DC" w14:paraId="773A518E" w14:textId="77777777">
        <w:tc>
          <w:tcPr>
            <w:tcW w:w="3276" w:type="dxa"/>
            <w:shd w:val="clear" w:color="auto" w:fill="auto"/>
            <w:noWrap/>
            <w:vAlign w:val="bottom"/>
          </w:tcPr>
          <w:p w14:paraId="1194A16F" w14:textId="77777777" w:rsidR="00A052DC" w:rsidRDefault="009F0A60">
            <w:pPr>
              <w:pStyle w:val="B"/>
              <w:jc w:val="center"/>
            </w:pPr>
            <w:r>
              <w:t>05</w:t>
            </w:r>
          </w:p>
        </w:tc>
        <w:tc>
          <w:tcPr>
            <w:tcW w:w="5103" w:type="dxa"/>
            <w:shd w:val="clear" w:color="auto" w:fill="auto"/>
            <w:noWrap/>
            <w:vAlign w:val="bottom"/>
          </w:tcPr>
          <w:p w14:paraId="0E01D44D" w14:textId="77777777" w:rsidR="00A052DC" w:rsidRDefault="009F0A60">
            <w:pPr>
              <w:pStyle w:val="B"/>
            </w:pPr>
            <w:r>
              <w:t>钻石交易所</w:t>
            </w:r>
          </w:p>
        </w:tc>
      </w:tr>
      <w:tr w:rsidR="00A052DC" w14:paraId="48559650" w14:textId="77777777">
        <w:tc>
          <w:tcPr>
            <w:tcW w:w="3276" w:type="dxa"/>
            <w:shd w:val="clear" w:color="auto" w:fill="auto"/>
            <w:noWrap/>
            <w:vAlign w:val="bottom"/>
          </w:tcPr>
          <w:p w14:paraId="1357AEA6" w14:textId="77777777" w:rsidR="00A052DC" w:rsidRDefault="009F0A60">
            <w:pPr>
              <w:pStyle w:val="B"/>
              <w:jc w:val="center"/>
            </w:pPr>
            <w:r>
              <w:t>06</w:t>
            </w:r>
          </w:p>
        </w:tc>
        <w:tc>
          <w:tcPr>
            <w:tcW w:w="5103" w:type="dxa"/>
            <w:shd w:val="clear" w:color="auto" w:fill="auto"/>
            <w:noWrap/>
            <w:vAlign w:val="bottom"/>
          </w:tcPr>
          <w:p w14:paraId="25D3C5BC" w14:textId="77777777" w:rsidR="00A052DC" w:rsidRDefault="009F0A60">
            <w:pPr>
              <w:pStyle w:val="B"/>
            </w:pPr>
            <w:r>
              <w:t>保税港区</w:t>
            </w:r>
          </w:p>
        </w:tc>
      </w:tr>
      <w:tr w:rsidR="00A052DC" w14:paraId="2F7E150E" w14:textId="77777777">
        <w:tc>
          <w:tcPr>
            <w:tcW w:w="3276" w:type="dxa"/>
            <w:shd w:val="clear" w:color="auto" w:fill="auto"/>
            <w:noWrap/>
            <w:vAlign w:val="bottom"/>
          </w:tcPr>
          <w:p w14:paraId="16744CD0" w14:textId="77777777" w:rsidR="00A052DC" w:rsidRDefault="009F0A60">
            <w:pPr>
              <w:pStyle w:val="B"/>
              <w:jc w:val="center"/>
            </w:pPr>
            <w:r>
              <w:t>07</w:t>
            </w:r>
          </w:p>
        </w:tc>
        <w:tc>
          <w:tcPr>
            <w:tcW w:w="5103" w:type="dxa"/>
            <w:shd w:val="clear" w:color="auto" w:fill="auto"/>
            <w:noWrap/>
            <w:vAlign w:val="bottom"/>
          </w:tcPr>
          <w:p w14:paraId="06B38190" w14:textId="77777777" w:rsidR="00A052DC" w:rsidRDefault="009F0A60">
            <w:pPr>
              <w:pStyle w:val="B"/>
            </w:pPr>
            <w:r>
              <w:t>综合保税区</w:t>
            </w:r>
          </w:p>
        </w:tc>
      </w:tr>
      <w:tr w:rsidR="00A052DC" w14:paraId="6645F8F6" w14:textId="77777777">
        <w:tc>
          <w:tcPr>
            <w:tcW w:w="3276" w:type="dxa"/>
            <w:shd w:val="clear" w:color="auto" w:fill="auto"/>
            <w:noWrap/>
            <w:vAlign w:val="bottom"/>
          </w:tcPr>
          <w:p w14:paraId="12FA8637" w14:textId="77777777" w:rsidR="00A052DC" w:rsidRDefault="009F0A60">
            <w:pPr>
              <w:pStyle w:val="B"/>
              <w:jc w:val="center"/>
            </w:pPr>
            <w:r>
              <w:t>08</w:t>
            </w:r>
          </w:p>
        </w:tc>
        <w:tc>
          <w:tcPr>
            <w:tcW w:w="5103" w:type="dxa"/>
            <w:shd w:val="clear" w:color="auto" w:fill="auto"/>
            <w:noWrap/>
            <w:vAlign w:val="bottom"/>
          </w:tcPr>
          <w:p w14:paraId="2FFBB470" w14:textId="77777777" w:rsidR="00A052DC" w:rsidRDefault="009F0A60">
            <w:pPr>
              <w:pStyle w:val="B"/>
            </w:pPr>
            <w:r>
              <w:t>跨境工业园区</w:t>
            </w:r>
          </w:p>
        </w:tc>
      </w:tr>
      <w:tr w:rsidR="00A052DC" w14:paraId="6AF51F89" w14:textId="77777777">
        <w:tc>
          <w:tcPr>
            <w:tcW w:w="3276" w:type="dxa"/>
            <w:shd w:val="clear" w:color="auto" w:fill="auto"/>
            <w:noWrap/>
            <w:vAlign w:val="bottom"/>
          </w:tcPr>
          <w:p w14:paraId="256CF220" w14:textId="77777777" w:rsidR="00A052DC" w:rsidRDefault="009F0A60">
            <w:pPr>
              <w:pStyle w:val="B"/>
              <w:jc w:val="center"/>
            </w:pPr>
            <w:r>
              <w:t>09</w:t>
            </w:r>
          </w:p>
        </w:tc>
        <w:tc>
          <w:tcPr>
            <w:tcW w:w="5103" w:type="dxa"/>
            <w:shd w:val="clear" w:color="auto" w:fill="auto"/>
            <w:noWrap/>
            <w:vAlign w:val="bottom"/>
          </w:tcPr>
          <w:p w14:paraId="5F9179A9" w14:textId="77777777" w:rsidR="00A052DC" w:rsidRDefault="009F0A60">
            <w:pPr>
              <w:pStyle w:val="B"/>
            </w:pPr>
            <w:r>
              <w:t>保税物流中心A型</w:t>
            </w:r>
          </w:p>
        </w:tc>
      </w:tr>
      <w:tr w:rsidR="00A052DC" w14:paraId="00743F38" w14:textId="77777777">
        <w:tc>
          <w:tcPr>
            <w:tcW w:w="3276" w:type="dxa"/>
            <w:shd w:val="clear" w:color="auto" w:fill="auto"/>
            <w:noWrap/>
            <w:vAlign w:val="bottom"/>
          </w:tcPr>
          <w:p w14:paraId="58C7AE20" w14:textId="77777777" w:rsidR="00A052DC" w:rsidRDefault="009F0A60">
            <w:pPr>
              <w:pStyle w:val="B"/>
              <w:jc w:val="center"/>
            </w:pPr>
            <w:r>
              <w:t>10</w:t>
            </w:r>
          </w:p>
        </w:tc>
        <w:tc>
          <w:tcPr>
            <w:tcW w:w="5103" w:type="dxa"/>
            <w:shd w:val="clear" w:color="auto" w:fill="auto"/>
            <w:noWrap/>
            <w:vAlign w:val="bottom"/>
          </w:tcPr>
          <w:p w14:paraId="7F6FD611" w14:textId="77777777" w:rsidR="00A052DC" w:rsidRDefault="009F0A60">
            <w:pPr>
              <w:pStyle w:val="B"/>
            </w:pPr>
            <w:r>
              <w:t>出口监管仓库</w:t>
            </w:r>
          </w:p>
        </w:tc>
      </w:tr>
      <w:tr w:rsidR="00A052DC" w14:paraId="7DA3A88F" w14:textId="77777777">
        <w:tc>
          <w:tcPr>
            <w:tcW w:w="3276" w:type="dxa"/>
            <w:shd w:val="clear" w:color="auto" w:fill="auto"/>
            <w:noWrap/>
            <w:vAlign w:val="bottom"/>
          </w:tcPr>
          <w:p w14:paraId="06A9F055" w14:textId="77777777" w:rsidR="00A052DC" w:rsidRDefault="009F0A60">
            <w:pPr>
              <w:pStyle w:val="B"/>
              <w:jc w:val="center"/>
            </w:pPr>
            <w:r>
              <w:t>11</w:t>
            </w:r>
          </w:p>
        </w:tc>
        <w:tc>
          <w:tcPr>
            <w:tcW w:w="5103" w:type="dxa"/>
            <w:shd w:val="clear" w:color="auto" w:fill="auto"/>
            <w:noWrap/>
            <w:vAlign w:val="bottom"/>
          </w:tcPr>
          <w:p w14:paraId="4075AE11" w14:textId="77777777" w:rsidR="00A052DC" w:rsidRDefault="009F0A60">
            <w:pPr>
              <w:pStyle w:val="B"/>
            </w:pPr>
            <w:r>
              <w:t>进口保税仓库</w:t>
            </w:r>
          </w:p>
        </w:tc>
      </w:tr>
      <w:tr w:rsidR="00A052DC" w14:paraId="0643DD77" w14:textId="77777777">
        <w:trPr>
          <w:trHeight w:val="310"/>
        </w:trPr>
        <w:tc>
          <w:tcPr>
            <w:tcW w:w="3276" w:type="dxa"/>
            <w:shd w:val="clear" w:color="auto" w:fill="auto"/>
            <w:noWrap/>
            <w:vAlign w:val="bottom"/>
          </w:tcPr>
          <w:p w14:paraId="0A86637F" w14:textId="77777777" w:rsidR="00A052DC" w:rsidRDefault="009F0A60">
            <w:pPr>
              <w:pStyle w:val="B"/>
              <w:jc w:val="center"/>
            </w:pPr>
            <w:r>
              <w:rPr>
                <w:rFonts w:hint="eastAsia"/>
              </w:rPr>
              <w:t>12</w:t>
            </w:r>
          </w:p>
        </w:tc>
        <w:tc>
          <w:tcPr>
            <w:tcW w:w="5103" w:type="dxa"/>
            <w:shd w:val="clear" w:color="auto" w:fill="auto"/>
            <w:noWrap/>
            <w:vAlign w:val="bottom"/>
          </w:tcPr>
          <w:p w14:paraId="60A3C831" w14:textId="77777777" w:rsidR="00A052DC" w:rsidRDefault="009F0A60">
            <w:pPr>
              <w:pStyle w:val="B"/>
            </w:pPr>
            <w:r>
              <w:rPr>
                <w:rFonts w:hint="eastAsia"/>
              </w:rPr>
              <w:t>自由贸易试验区（特殊监管区）</w:t>
            </w:r>
          </w:p>
        </w:tc>
      </w:tr>
      <w:tr w:rsidR="00A052DC" w14:paraId="31E89625" w14:textId="77777777">
        <w:tc>
          <w:tcPr>
            <w:tcW w:w="3276" w:type="dxa"/>
            <w:shd w:val="clear" w:color="auto" w:fill="auto"/>
            <w:noWrap/>
            <w:vAlign w:val="bottom"/>
          </w:tcPr>
          <w:p w14:paraId="7493D3A7" w14:textId="77777777" w:rsidR="00A052DC" w:rsidRDefault="009F0A60">
            <w:pPr>
              <w:pStyle w:val="B"/>
              <w:jc w:val="center"/>
            </w:pPr>
            <w:r>
              <w:rPr>
                <w:rFonts w:hint="eastAsia"/>
              </w:rPr>
              <w:t>60</w:t>
            </w:r>
          </w:p>
        </w:tc>
        <w:tc>
          <w:tcPr>
            <w:tcW w:w="5103" w:type="dxa"/>
            <w:shd w:val="clear" w:color="auto" w:fill="auto"/>
            <w:noWrap/>
            <w:vAlign w:val="bottom"/>
          </w:tcPr>
          <w:p w14:paraId="662B9B10" w14:textId="77777777" w:rsidR="00A052DC" w:rsidRDefault="009F0A60">
            <w:pPr>
              <w:pStyle w:val="B"/>
            </w:pPr>
            <w:r>
              <w:rPr>
                <w:rFonts w:hint="eastAsia"/>
              </w:rPr>
              <w:t>自由贸易试验区（非特殊监管区）</w:t>
            </w:r>
          </w:p>
        </w:tc>
      </w:tr>
      <w:tr w:rsidR="00A052DC" w14:paraId="309ED124" w14:textId="77777777">
        <w:tc>
          <w:tcPr>
            <w:tcW w:w="3276" w:type="dxa"/>
            <w:shd w:val="clear" w:color="auto" w:fill="auto"/>
            <w:noWrap/>
            <w:vAlign w:val="bottom"/>
          </w:tcPr>
          <w:p w14:paraId="42D4E168" w14:textId="77777777" w:rsidR="00A052DC" w:rsidRDefault="009F0A60">
            <w:pPr>
              <w:pStyle w:val="B"/>
              <w:jc w:val="center"/>
            </w:pPr>
            <w:r>
              <w:t>99</w:t>
            </w:r>
          </w:p>
        </w:tc>
        <w:tc>
          <w:tcPr>
            <w:tcW w:w="5103" w:type="dxa"/>
            <w:shd w:val="clear" w:color="auto" w:fill="auto"/>
            <w:noWrap/>
            <w:vAlign w:val="bottom"/>
          </w:tcPr>
          <w:p w14:paraId="7BD8360F" w14:textId="77777777" w:rsidR="00A052DC" w:rsidRDefault="009F0A60">
            <w:pPr>
              <w:pStyle w:val="B"/>
            </w:pPr>
            <w:r>
              <w:t>其他</w:t>
            </w:r>
          </w:p>
        </w:tc>
      </w:tr>
    </w:tbl>
    <w:p w14:paraId="57CA16F0" w14:textId="77777777" w:rsidR="00A052DC" w:rsidRDefault="009F0A60">
      <w:pPr>
        <w:pStyle w:val="2"/>
        <w:rPr>
          <w:rFonts w:ascii="Times New Roman" w:hAnsi="Times New Roman"/>
        </w:rPr>
      </w:pPr>
      <w:bookmarkStart w:id="4834" w:name="_Toc91455534"/>
      <w:bookmarkStart w:id="4835" w:name="_Toc101684559"/>
      <w:r>
        <w:rPr>
          <w:rFonts w:ascii="Times New Roman" w:hAnsi="Times New Roman" w:hint="eastAsia"/>
        </w:rPr>
        <w:t>机构类型</w:t>
      </w:r>
      <w:bookmarkEnd w:id="4834"/>
      <w:bookmarkEnd w:id="4835"/>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6"/>
        <w:gridCol w:w="5103"/>
      </w:tblGrid>
      <w:tr w:rsidR="00A052DC" w14:paraId="1AA8F67E" w14:textId="77777777">
        <w:tc>
          <w:tcPr>
            <w:tcW w:w="3276" w:type="dxa"/>
            <w:shd w:val="clear" w:color="auto" w:fill="C0C0C0"/>
            <w:noWrap/>
            <w:vAlign w:val="bottom"/>
          </w:tcPr>
          <w:p w14:paraId="7EDECC40" w14:textId="77777777" w:rsidR="00881462" w:rsidRDefault="009F0A60">
            <w:pPr>
              <w:pStyle w:val="B1"/>
            </w:pPr>
            <w:r>
              <w:rPr>
                <w:rFonts w:hint="eastAsia"/>
              </w:rPr>
              <w:t>机构类型代码</w:t>
            </w:r>
          </w:p>
        </w:tc>
        <w:tc>
          <w:tcPr>
            <w:tcW w:w="5103" w:type="dxa"/>
            <w:shd w:val="clear" w:color="auto" w:fill="C0C0C0"/>
            <w:noWrap/>
            <w:vAlign w:val="bottom"/>
          </w:tcPr>
          <w:p w14:paraId="444EB600" w14:textId="77777777" w:rsidR="00881462" w:rsidRDefault="009F0A60">
            <w:pPr>
              <w:pStyle w:val="B1"/>
            </w:pPr>
            <w:r>
              <w:rPr>
                <w:rFonts w:hint="eastAsia"/>
              </w:rPr>
              <w:t>机构类型名称</w:t>
            </w:r>
          </w:p>
        </w:tc>
      </w:tr>
      <w:tr w:rsidR="00A052DC" w14:paraId="7BF16725" w14:textId="77777777">
        <w:tc>
          <w:tcPr>
            <w:tcW w:w="3276" w:type="dxa"/>
            <w:shd w:val="clear" w:color="auto" w:fill="auto"/>
            <w:noWrap/>
            <w:vAlign w:val="bottom"/>
          </w:tcPr>
          <w:p w14:paraId="5F05071B" w14:textId="77777777" w:rsidR="00A052DC" w:rsidRDefault="009F0A60">
            <w:pPr>
              <w:pStyle w:val="B"/>
              <w:jc w:val="center"/>
            </w:pPr>
            <w:r>
              <w:rPr>
                <w:rFonts w:hint="eastAsia"/>
                <w:color w:val="000000"/>
                <w:szCs w:val="22"/>
              </w:rPr>
              <w:t>1</w:t>
            </w:r>
          </w:p>
        </w:tc>
        <w:tc>
          <w:tcPr>
            <w:tcW w:w="5103" w:type="dxa"/>
            <w:shd w:val="clear" w:color="auto" w:fill="auto"/>
            <w:noWrap/>
            <w:vAlign w:val="bottom"/>
          </w:tcPr>
          <w:p w14:paraId="5EEE6DA6" w14:textId="77777777" w:rsidR="00A052DC" w:rsidRDefault="009F0A60">
            <w:pPr>
              <w:pStyle w:val="B"/>
            </w:pPr>
            <w:r>
              <w:rPr>
                <w:rFonts w:hint="eastAsia"/>
                <w:color w:val="000000"/>
                <w:szCs w:val="22"/>
              </w:rPr>
              <w:t>机关</w:t>
            </w:r>
          </w:p>
        </w:tc>
      </w:tr>
      <w:tr w:rsidR="00A052DC" w14:paraId="7EF24967" w14:textId="77777777">
        <w:tc>
          <w:tcPr>
            <w:tcW w:w="3276" w:type="dxa"/>
            <w:shd w:val="clear" w:color="auto" w:fill="auto"/>
            <w:noWrap/>
            <w:vAlign w:val="bottom"/>
          </w:tcPr>
          <w:p w14:paraId="770F0195" w14:textId="77777777" w:rsidR="00A052DC" w:rsidRDefault="009F0A60">
            <w:pPr>
              <w:pStyle w:val="B"/>
              <w:jc w:val="center"/>
            </w:pPr>
            <w:r>
              <w:rPr>
                <w:rFonts w:hint="eastAsia"/>
                <w:color w:val="000000"/>
                <w:szCs w:val="22"/>
              </w:rPr>
              <w:t>3</w:t>
            </w:r>
          </w:p>
        </w:tc>
        <w:tc>
          <w:tcPr>
            <w:tcW w:w="5103" w:type="dxa"/>
            <w:shd w:val="clear" w:color="auto" w:fill="auto"/>
            <w:noWrap/>
            <w:vAlign w:val="bottom"/>
          </w:tcPr>
          <w:p w14:paraId="15BC96CF" w14:textId="77777777" w:rsidR="00A052DC" w:rsidRDefault="009F0A60">
            <w:pPr>
              <w:pStyle w:val="B"/>
            </w:pPr>
            <w:r>
              <w:rPr>
                <w:rFonts w:hint="eastAsia"/>
                <w:color w:val="000000"/>
                <w:szCs w:val="22"/>
              </w:rPr>
              <w:t>事业单位</w:t>
            </w:r>
          </w:p>
        </w:tc>
      </w:tr>
      <w:tr w:rsidR="00A052DC" w14:paraId="70BCC7AB" w14:textId="77777777">
        <w:tc>
          <w:tcPr>
            <w:tcW w:w="3276" w:type="dxa"/>
            <w:shd w:val="clear" w:color="auto" w:fill="auto"/>
            <w:noWrap/>
            <w:vAlign w:val="bottom"/>
          </w:tcPr>
          <w:p w14:paraId="2FF6FC30" w14:textId="77777777" w:rsidR="00A052DC" w:rsidRDefault="009F0A60">
            <w:pPr>
              <w:pStyle w:val="B"/>
              <w:jc w:val="center"/>
            </w:pPr>
            <w:r>
              <w:rPr>
                <w:rFonts w:hint="eastAsia"/>
                <w:color w:val="000000"/>
                <w:szCs w:val="22"/>
              </w:rPr>
              <w:t>5</w:t>
            </w:r>
          </w:p>
        </w:tc>
        <w:tc>
          <w:tcPr>
            <w:tcW w:w="5103" w:type="dxa"/>
            <w:shd w:val="clear" w:color="auto" w:fill="auto"/>
            <w:noWrap/>
            <w:vAlign w:val="bottom"/>
          </w:tcPr>
          <w:p w14:paraId="31359C5F" w14:textId="77777777" w:rsidR="00A052DC" w:rsidRDefault="009F0A60">
            <w:pPr>
              <w:pStyle w:val="B"/>
            </w:pPr>
            <w:r>
              <w:rPr>
                <w:rFonts w:hint="eastAsia"/>
                <w:color w:val="000000"/>
                <w:szCs w:val="22"/>
              </w:rPr>
              <w:t>企业</w:t>
            </w:r>
          </w:p>
        </w:tc>
      </w:tr>
      <w:tr w:rsidR="00A052DC" w14:paraId="540E75A0" w14:textId="77777777">
        <w:tc>
          <w:tcPr>
            <w:tcW w:w="3276" w:type="dxa"/>
            <w:shd w:val="clear" w:color="auto" w:fill="auto"/>
            <w:noWrap/>
            <w:vAlign w:val="bottom"/>
          </w:tcPr>
          <w:p w14:paraId="1544DF30" w14:textId="77777777" w:rsidR="00A052DC" w:rsidRDefault="009F0A60">
            <w:pPr>
              <w:pStyle w:val="B"/>
              <w:jc w:val="center"/>
            </w:pPr>
            <w:r>
              <w:rPr>
                <w:rFonts w:hint="eastAsia"/>
                <w:color w:val="000000"/>
                <w:szCs w:val="22"/>
              </w:rPr>
              <w:t>7</w:t>
            </w:r>
          </w:p>
        </w:tc>
        <w:tc>
          <w:tcPr>
            <w:tcW w:w="5103" w:type="dxa"/>
            <w:shd w:val="clear" w:color="auto" w:fill="auto"/>
            <w:noWrap/>
            <w:vAlign w:val="bottom"/>
          </w:tcPr>
          <w:p w14:paraId="0E32F5DA" w14:textId="77777777" w:rsidR="00A052DC" w:rsidRDefault="009F0A60">
            <w:pPr>
              <w:pStyle w:val="B"/>
            </w:pPr>
            <w:r>
              <w:rPr>
                <w:rFonts w:hint="eastAsia"/>
                <w:color w:val="000000"/>
                <w:szCs w:val="22"/>
              </w:rPr>
              <w:t>社会团体</w:t>
            </w:r>
          </w:p>
        </w:tc>
      </w:tr>
      <w:tr w:rsidR="00A052DC" w14:paraId="664F455E" w14:textId="77777777">
        <w:tc>
          <w:tcPr>
            <w:tcW w:w="3276" w:type="dxa"/>
            <w:shd w:val="clear" w:color="auto" w:fill="auto"/>
            <w:noWrap/>
            <w:vAlign w:val="bottom"/>
          </w:tcPr>
          <w:p w14:paraId="49C35543" w14:textId="77777777" w:rsidR="00A052DC" w:rsidRDefault="009F0A60">
            <w:pPr>
              <w:pStyle w:val="B"/>
              <w:jc w:val="center"/>
            </w:pPr>
            <w:r>
              <w:rPr>
                <w:rFonts w:hint="eastAsia"/>
                <w:color w:val="000000"/>
                <w:szCs w:val="22"/>
              </w:rPr>
              <w:t>8</w:t>
            </w:r>
          </w:p>
        </w:tc>
        <w:tc>
          <w:tcPr>
            <w:tcW w:w="5103" w:type="dxa"/>
            <w:shd w:val="clear" w:color="auto" w:fill="auto"/>
            <w:noWrap/>
            <w:vAlign w:val="bottom"/>
          </w:tcPr>
          <w:p w14:paraId="65AAD8E2" w14:textId="77777777" w:rsidR="00A052DC" w:rsidRDefault="009F0A60">
            <w:pPr>
              <w:pStyle w:val="B"/>
            </w:pPr>
            <w:r>
              <w:rPr>
                <w:rFonts w:hint="eastAsia"/>
                <w:color w:val="000000"/>
                <w:szCs w:val="22"/>
              </w:rPr>
              <w:t>军队武警、境外机构、驻华使领馆等特殊机构</w:t>
            </w:r>
          </w:p>
        </w:tc>
      </w:tr>
      <w:tr w:rsidR="00A052DC" w14:paraId="32120D4D" w14:textId="77777777">
        <w:tc>
          <w:tcPr>
            <w:tcW w:w="3276" w:type="dxa"/>
            <w:shd w:val="clear" w:color="auto" w:fill="auto"/>
            <w:noWrap/>
            <w:vAlign w:val="bottom"/>
          </w:tcPr>
          <w:p w14:paraId="0A251D3D" w14:textId="77777777" w:rsidR="00A052DC" w:rsidRDefault="009F0A60">
            <w:pPr>
              <w:pStyle w:val="B"/>
              <w:jc w:val="center"/>
            </w:pPr>
            <w:r>
              <w:rPr>
                <w:rFonts w:hint="eastAsia"/>
                <w:color w:val="000000"/>
                <w:szCs w:val="22"/>
              </w:rPr>
              <w:t>9</w:t>
            </w:r>
          </w:p>
        </w:tc>
        <w:tc>
          <w:tcPr>
            <w:tcW w:w="5103" w:type="dxa"/>
            <w:shd w:val="clear" w:color="auto" w:fill="auto"/>
            <w:noWrap/>
            <w:vAlign w:val="bottom"/>
          </w:tcPr>
          <w:p w14:paraId="4CDF6AD3" w14:textId="77777777" w:rsidR="00A052DC" w:rsidRDefault="009F0A60">
            <w:pPr>
              <w:pStyle w:val="B"/>
            </w:pPr>
            <w:r>
              <w:rPr>
                <w:rFonts w:hint="eastAsia"/>
                <w:color w:val="000000"/>
                <w:szCs w:val="22"/>
              </w:rPr>
              <w:t>其他组织机构</w:t>
            </w:r>
          </w:p>
        </w:tc>
      </w:tr>
    </w:tbl>
    <w:p w14:paraId="799504FB" w14:textId="77777777" w:rsidR="00A052DC" w:rsidRDefault="00A052DC"/>
    <w:p w14:paraId="64ED125C" w14:textId="77777777" w:rsidR="00A052DC" w:rsidRDefault="009F0A60" w:rsidP="0020251D">
      <w:pPr>
        <w:pStyle w:val="2"/>
        <w:rPr>
          <w:rFonts w:ascii="Times New Roman" w:hAnsi="Times New Roman"/>
        </w:rPr>
      </w:pPr>
      <w:bookmarkStart w:id="4836" w:name="_Toc91455535"/>
      <w:bookmarkStart w:id="4837" w:name="_Toc380356334"/>
      <w:bookmarkStart w:id="4838" w:name="_Toc454394793"/>
      <w:bookmarkStart w:id="4839" w:name="_Toc101684560"/>
      <w:r>
        <w:rPr>
          <w:rFonts w:ascii="Times New Roman" w:hAnsi="Times New Roman" w:hint="eastAsia"/>
        </w:rPr>
        <w:t>外债业务代码表</w:t>
      </w:r>
      <w:bookmarkEnd w:id="4833"/>
      <w:bookmarkEnd w:id="4836"/>
      <w:bookmarkEnd w:id="4837"/>
      <w:bookmarkEnd w:id="4838"/>
      <w:bookmarkEnd w:id="4839"/>
    </w:p>
    <w:p w14:paraId="75E632F4" w14:textId="77777777" w:rsidR="00A052DC" w:rsidRDefault="009F0A60" w:rsidP="0020251D">
      <w:pPr>
        <w:pStyle w:val="3"/>
        <w:ind w:left="0"/>
        <w:rPr>
          <w:rFonts w:ascii="Times New Roman" w:hAnsi="Times New Roman"/>
        </w:rPr>
      </w:pPr>
      <w:bookmarkStart w:id="4840" w:name="_Toc454394794"/>
      <w:bookmarkStart w:id="4841" w:name="_Toc380356335"/>
      <w:bookmarkStart w:id="4842" w:name="_Toc91455536"/>
      <w:bookmarkStart w:id="4843" w:name="_Toc328635608"/>
      <w:bookmarkStart w:id="4844" w:name="_Toc101684561"/>
      <w:r>
        <w:rPr>
          <w:rFonts w:ascii="Times New Roman" w:hAnsi="Times New Roman" w:hint="eastAsia"/>
        </w:rPr>
        <w:t>债务类型</w:t>
      </w:r>
      <w:bookmarkEnd w:id="4840"/>
      <w:bookmarkEnd w:id="4841"/>
      <w:bookmarkEnd w:id="4842"/>
      <w:bookmarkEnd w:id="4843"/>
      <w:bookmarkEnd w:id="48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1558"/>
        <w:gridCol w:w="3541"/>
        <w:gridCol w:w="1898"/>
      </w:tblGrid>
      <w:tr w:rsidR="00A052DC" w14:paraId="582F8D53" w14:textId="77777777" w:rsidTr="00DD6AA3">
        <w:trPr>
          <w:tblHeader/>
        </w:trPr>
        <w:tc>
          <w:tcPr>
            <w:tcW w:w="1526" w:type="dxa"/>
            <w:shd w:val="clear" w:color="auto" w:fill="BFBFBF" w:themeFill="background1" w:themeFillShade="BF"/>
            <w:vAlign w:val="center"/>
          </w:tcPr>
          <w:p w14:paraId="1B3DAB2F" w14:textId="77777777" w:rsidR="00881462" w:rsidRDefault="009F0A60">
            <w:pPr>
              <w:pStyle w:val="B1"/>
            </w:pPr>
            <w:r>
              <w:rPr>
                <w:rFonts w:hint="eastAsia"/>
              </w:rPr>
              <w:t>一级债务类型</w:t>
            </w:r>
          </w:p>
        </w:tc>
        <w:tc>
          <w:tcPr>
            <w:tcW w:w="1559" w:type="dxa"/>
            <w:shd w:val="clear" w:color="auto" w:fill="BFBFBF" w:themeFill="background1" w:themeFillShade="BF"/>
            <w:vAlign w:val="center"/>
          </w:tcPr>
          <w:p w14:paraId="27DCFD52" w14:textId="77777777" w:rsidR="00563761" w:rsidRDefault="009F0A60">
            <w:pPr>
              <w:pStyle w:val="B1"/>
            </w:pPr>
            <w:r>
              <w:rPr>
                <w:rFonts w:hint="eastAsia"/>
              </w:rPr>
              <w:t>一级债务类型代码</w:t>
            </w:r>
          </w:p>
        </w:tc>
        <w:tc>
          <w:tcPr>
            <w:tcW w:w="3544" w:type="dxa"/>
            <w:shd w:val="clear" w:color="auto" w:fill="BFBFBF" w:themeFill="background1" w:themeFillShade="BF"/>
            <w:vAlign w:val="center"/>
          </w:tcPr>
          <w:p w14:paraId="63EF050F" w14:textId="77777777" w:rsidR="00881462" w:rsidRDefault="009F0A60">
            <w:pPr>
              <w:pStyle w:val="B1"/>
            </w:pPr>
            <w:r>
              <w:rPr>
                <w:rFonts w:hint="eastAsia"/>
              </w:rPr>
              <w:t>二级债务类型</w:t>
            </w:r>
          </w:p>
        </w:tc>
        <w:tc>
          <w:tcPr>
            <w:tcW w:w="1899" w:type="dxa"/>
            <w:shd w:val="clear" w:color="auto" w:fill="BFBFBF" w:themeFill="background1" w:themeFillShade="BF"/>
            <w:vAlign w:val="center"/>
          </w:tcPr>
          <w:p w14:paraId="63A1FB38" w14:textId="77777777" w:rsidR="00881462" w:rsidRDefault="009F0A60">
            <w:pPr>
              <w:pStyle w:val="B1"/>
            </w:pPr>
            <w:r>
              <w:rPr>
                <w:rFonts w:hint="eastAsia"/>
              </w:rPr>
              <w:t>二级债务类型代码</w:t>
            </w:r>
          </w:p>
        </w:tc>
      </w:tr>
      <w:tr w:rsidR="00A052DC" w14:paraId="4DC2AC61" w14:textId="77777777" w:rsidTr="00197ADB">
        <w:tc>
          <w:tcPr>
            <w:tcW w:w="1526" w:type="dxa"/>
            <w:vMerge w:val="restart"/>
            <w:shd w:val="clear" w:color="auto" w:fill="auto"/>
            <w:vAlign w:val="center"/>
          </w:tcPr>
          <w:p w14:paraId="334D9E44" w14:textId="77777777" w:rsidR="00A052DC" w:rsidRDefault="009F0A60">
            <w:pPr>
              <w:rPr>
                <w:rFonts w:ascii="黑体" w:eastAsia="黑体" w:hAnsi="黑体"/>
                <w:sz w:val="20"/>
                <w:szCs w:val="20"/>
              </w:rPr>
            </w:pPr>
            <w:r>
              <w:rPr>
                <w:rFonts w:ascii="黑体" w:eastAsia="黑体" w:hAnsi="黑体" w:hint="eastAsia"/>
                <w:sz w:val="20"/>
                <w:szCs w:val="20"/>
              </w:rPr>
              <w:t>贷款</w:t>
            </w:r>
          </w:p>
        </w:tc>
        <w:tc>
          <w:tcPr>
            <w:tcW w:w="1559" w:type="dxa"/>
            <w:vMerge w:val="restart"/>
            <w:shd w:val="clear" w:color="auto" w:fill="auto"/>
            <w:vAlign w:val="center"/>
          </w:tcPr>
          <w:p w14:paraId="43BD6CDF" w14:textId="77777777" w:rsidR="00563761" w:rsidRDefault="009F0A60">
            <w:pPr>
              <w:jc w:val="center"/>
              <w:rPr>
                <w:rFonts w:ascii="黑体" w:eastAsia="黑体" w:hAnsi="黑体"/>
                <w:sz w:val="20"/>
                <w:szCs w:val="20"/>
              </w:rPr>
            </w:pPr>
            <w:r>
              <w:rPr>
                <w:rFonts w:ascii="黑体" w:eastAsia="黑体" w:hAnsi="黑体"/>
                <w:sz w:val="20"/>
                <w:szCs w:val="20"/>
              </w:rPr>
              <w:t>11</w:t>
            </w:r>
          </w:p>
        </w:tc>
        <w:tc>
          <w:tcPr>
            <w:tcW w:w="3544" w:type="dxa"/>
            <w:shd w:val="clear" w:color="auto" w:fill="auto"/>
            <w:vAlign w:val="center"/>
          </w:tcPr>
          <w:p w14:paraId="55067C81" w14:textId="77777777" w:rsidR="00A052DC" w:rsidRDefault="009F0A60">
            <w:pPr>
              <w:rPr>
                <w:rFonts w:ascii="黑体" w:eastAsia="黑体" w:hAnsi="黑体"/>
                <w:sz w:val="20"/>
                <w:szCs w:val="20"/>
              </w:rPr>
            </w:pPr>
            <w:r>
              <w:rPr>
                <w:rFonts w:ascii="黑体" w:eastAsia="黑体" w:hAnsi="黑体" w:hint="eastAsia"/>
                <w:sz w:val="20"/>
                <w:szCs w:val="20"/>
              </w:rPr>
              <w:t>双边贷款</w:t>
            </w:r>
          </w:p>
        </w:tc>
        <w:tc>
          <w:tcPr>
            <w:tcW w:w="1899" w:type="dxa"/>
            <w:shd w:val="clear" w:color="auto" w:fill="auto"/>
          </w:tcPr>
          <w:p w14:paraId="74E3445D" w14:textId="77777777" w:rsidR="00A052DC" w:rsidRDefault="009F0A60">
            <w:pPr>
              <w:jc w:val="center"/>
              <w:rPr>
                <w:rFonts w:ascii="黑体" w:eastAsia="黑体" w:hAnsi="黑体"/>
                <w:sz w:val="20"/>
                <w:szCs w:val="20"/>
              </w:rPr>
            </w:pPr>
            <w:r>
              <w:rPr>
                <w:rFonts w:ascii="黑体" w:eastAsia="黑体" w:hAnsi="黑体"/>
                <w:sz w:val="20"/>
                <w:szCs w:val="20"/>
              </w:rPr>
              <w:t>1101</w:t>
            </w:r>
          </w:p>
        </w:tc>
      </w:tr>
      <w:tr w:rsidR="00A052DC" w14:paraId="314FAF1E" w14:textId="77777777" w:rsidTr="00197ADB">
        <w:tc>
          <w:tcPr>
            <w:tcW w:w="1526" w:type="dxa"/>
            <w:vMerge/>
            <w:shd w:val="clear" w:color="auto" w:fill="auto"/>
            <w:vAlign w:val="center"/>
          </w:tcPr>
          <w:p w14:paraId="405BE42C" w14:textId="77777777" w:rsidR="00A052DC" w:rsidRDefault="00A052DC">
            <w:pPr>
              <w:rPr>
                <w:rFonts w:ascii="黑体" w:eastAsia="黑体" w:hAnsi="黑体"/>
                <w:b/>
                <w:bCs/>
                <w:sz w:val="20"/>
                <w:szCs w:val="20"/>
              </w:rPr>
            </w:pPr>
          </w:p>
        </w:tc>
        <w:tc>
          <w:tcPr>
            <w:tcW w:w="1559" w:type="dxa"/>
            <w:vMerge/>
            <w:shd w:val="clear" w:color="auto" w:fill="auto"/>
            <w:vAlign w:val="center"/>
          </w:tcPr>
          <w:p w14:paraId="204D4B25" w14:textId="77777777" w:rsidR="00563761" w:rsidRDefault="00563761">
            <w:pPr>
              <w:jc w:val="center"/>
              <w:rPr>
                <w:rFonts w:ascii="黑体" w:eastAsia="黑体" w:hAnsi="黑体"/>
                <w:b/>
                <w:bCs/>
                <w:sz w:val="20"/>
                <w:szCs w:val="20"/>
              </w:rPr>
            </w:pPr>
          </w:p>
        </w:tc>
        <w:tc>
          <w:tcPr>
            <w:tcW w:w="3544" w:type="dxa"/>
            <w:shd w:val="clear" w:color="auto" w:fill="auto"/>
            <w:vAlign w:val="center"/>
          </w:tcPr>
          <w:p w14:paraId="50489824" w14:textId="77777777" w:rsidR="00A052DC" w:rsidRDefault="009F0A60">
            <w:pPr>
              <w:rPr>
                <w:rFonts w:ascii="黑体" w:eastAsia="黑体" w:hAnsi="黑体"/>
                <w:sz w:val="20"/>
                <w:szCs w:val="20"/>
              </w:rPr>
            </w:pPr>
            <w:r>
              <w:rPr>
                <w:rFonts w:ascii="黑体" w:eastAsia="黑体" w:hAnsi="黑体" w:hint="eastAsia"/>
                <w:sz w:val="20"/>
                <w:szCs w:val="20"/>
              </w:rPr>
              <w:t>多边贷款</w:t>
            </w:r>
          </w:p>
        </w:tc>
        <w:tc>
          <w:tcPr>
            <w:tcW w:w="1899" w:type="dxa"/>
            <w:shd w:val="clear" w:color="auto" w:fill="auto"/>
          </w:tcPr>
          <w:p w14:paraId="0C0184C8" w14:textId="77777777" w:rsidR="00A052DC" w:rsidRDefault="009F0A60">
            <w:pPr>
              <w:jc w:val="center"/>
              <w:rPr>
                <w:rFonts w:ascii="黑体" w:eastAsia="黑体" w:hAnsi="黑体"/>
                <w:sz w:val="20"/>
                <w:szCs w:val="20"/>
              </w:rPr>
            </w:pPr>
            <w:r>
              <w:rPr>
                <w:rFonts w:ascii="黑体" w:eastAsia="黑体" w:hAnsi="黑体"/>
                <w:sz w:val="20"/>
                <w:szCs w:val="20"/>
              </w:rPr>
              <w:t>1102</w:t>
            </w:r>
          </w:p>
        </w:tc>
      </w:tr>
      <w:tr w:rsidR="00A052DC" w14:paraId="06AC71C6" w14:textId="77777777" w:rsidTr="00197ADB">
        <w:tc>
          <w:tcPr>
            <w:tcW w:w="1526" w:type="dxa"/>
            <w:vMerge/>
            <w:shd w:val="clear" w:color="auto" w:fill="auto"/>
            <w:vAlign w:val="center"/>
          </w:tcPr>
          <w:p w14:paraId="58FDF028" w14:textId="77777777" w:rsidR="00A052DC" w:rsidRDefault="00A052DC">
            <w:pPr>
              <w:rPr>
                <w:rFonts w:ascii="黑体" w:eastAsia="黑体" w:hAnsi="黑体"/>
                <w:b/>
                <w:bCs/>
                <w:sz w:val="20"/>
                <w:szCs w:val="20"/>
              </w:rPr>
            </w:pPr>
          </w:p>
        </w:tc>
        <w:tc>
          <w:tcPr>
            <w:tcW w:w="1559" w:type="dxa"/>
            <w:vMerge/>
            <w:shd w:val="clear" w:color="auto" w:fill="auto"/>
            <w:vAlign w:val="center"/>
          </w:tcPr>
          <w:p w14:paraId="20F31BB4" w14:textId="77777777" w:rsidR="00563761" w:rsidRDefault="00563761">
            <w:pPr>
              <w:jc w:val="center"/>
              <w:rPr>
                <w:rFonts w:ascii="黑体" w:eastAsia="黑体" w:hAnsi="黑体"/>
                <w:b/>
                <w:bCs/>
                <w:sz w:val="20"/>
                <w:szCs w:val="20"/>
              </w:rPr>
            </w:pPr>
          </w:p>
        </w:tc>
        <w:tc>
          <w:tcPr>
            <w:tcW w:w="3544" w:type="dxa"/>
            <w:shd w:val="clear" w:color="auto" w:fill="auto"/>
            <w:vAlign w:val="center"/>
          </w:tcPr>
          <w:p w14:paraId="297A94D2" w14:textId="77777777" w:rsidR="00A052DC" w:rsidRDefault="009F0A60">
            <w:pPr>
              <w:rPr>
                <w:rFonts w:ascii="黑体" w:eastAsia="黑体" w:hAnsi="黑体"/>
                <w:sz w:val="20"/>
                <w:szCs w:val="20"/>
              </w:rPr>
            </w:pPr>
            <w:r>
              <w:rPr>
                <w:rFonts w:ascii="黑体" w:eastAsia="黑体" w:hAnsi="黑体" w:hint="eastAsia"/>
                <w:sz w:val="20"/>
                <w:szCs w:val="20"/>
              </w:rPr>
              <w:t>买方信贷</w:t>
            </w:r>
          </w:p>
        </w:tc>
        <w:tc>
          <w:tcPr>
            <w:tcW w:w="1899" w:type="dxa"/>
            <w:shd w:val="clear" w:color="auto" w:fill="auto"/>
          </w:tcPr>
          <w:p w14:paraId="5EABFA41" w14:textId="77777777" w:rsidR="00A052DC" w:rsidRDefault="009F0A60">
            <w:pPr>
              <w:jc w:val="center"/>
              <w:rPr>
                <w:rFonts w:ascii="黑体" w:eastAsia="黑体" w:hAnsi="黑体"/>
                <w:sz w:val="20"/>
                <w:szCs w:val="20"/>
              </w:rPr>
            </w:pPr>
            <w:r>
              <w:rPr>
                <w:rFonts w:ascii="黑体" w:eastAsia="黑体" w:hAnsi="黑体"/>
                <w:sz w:val="20"/>
                <w:szCs w:val="20"/>
              </w:rPr>
              <w:t>1103</w:t>
            </w:r>
          </w:p>
        </w:tc>
      </w:tr>
      <w:tr w:rsidR="00A052DC" w14:paraId="2D99C829" w14:textId="77777777" w:rsidTr="00197ADB">
        <w:tc>
          <w:tcPr>
            <w:tcW w:w="1526" w:type="dxa"/>
            <w:vMerge/>
            <w:shd w:val="clear" w:color="auto" w:fill="auto"/>
            <w:vAlign w:val="center"/>
          </w:tcPr>
          <w:p w14:paraId="20956A76" w14:textId="77777777" w:rsidR="00A052DC" w:rsidRDefault="00A052DC">
            <w:pPr>
              <w:rPr>
                <w:rFonts w:ascii="黑体" w:eastAsia="黑体" w:hAnsi="黑体"/>
                <w:b/>
                <w:bCs/>
                <w:sz w:val="20"/>
                <w:szCs w:val="20"/>
              </w:rPr>
            </w:pPr>
          </w:p>
        </w:tc>
        <w:tc>
          <w:tcPr>
            <w:tcW w:w="1559" w:type="dxa"/>
            <w:vMerge/>
            <w:shd w:val="clear" w:color="auto" w:fill="auto"/>
            <w:vAlign w:val="center"/>
          </w:tcPr>
          <w:p w14:paraId="1F21E6D1" w14:textId="77777777" w:rsidR="00563761" w:rsidRDefault="00563761">
            <w:pPr>
              <w:jc w:val="center"/>
              <w:rPr>
                <w:rFonts w:ascii="黑体" w:eastAsia="黑体" w:hAnsi="黑体"/>
                <w:b/>
                <w:bCs/>
                <w:sz w:val="20"/>
                <w:szCs w:val="20"/>
              </w:rPr>
            </w:pPr>
          </w:p>
        </w:tc>
        <w:tc>
          <w:tcPr>
            <w:tcW w:w="3544" w:type="dxa"/>
            <w:shd w:val="clear" w:color="auto" w:fill="auto"/>
            <w:vAlign w:val="center"/>
          </w:tcPr>
          <w:p w14:paraId="72A0B15F" w14:textId="77777777" w:rsidR="00A052DC" w:rsidRDefault="009F0A60">
            <w:pPr>
              <w:rPr>
                <w:rFonts w:ascii="黑体" w:eastAsia="黑体" w:hAnsi="黑体"/>
                <w:sz w:val="20"/>
                <w:szCs w:val="20"/>
              </w:rPr>
            </w:pPr>
            <w:r>
              <w:rPr>
                <w:rFonts w:ascii="黑体" w:eastAsia="黑体" w:hAnsi="黑体" w:hint="eastAsia"/>
                <w:sz w:val="20"/>
                <w:szCs w:val="20"/>
              </w:rPr>
              <w:t>卖方信贷</w:t>
            </w:r>
          </w:p>
        </w:tc>
        <w:tc>
          <w:tcPr>
            <w:tcW w:w="1899" w:type="dxa"/>
            <w:shd w:val="clear" w:color="auto" w:fill="auto"/>
          </w:tcPr>
          <w:p w14:paraId="19C1745D" w14:textId="77777777" w:rsidR="00A052DC" w:rsidRDefault="009F0A60">
            <w:pPr>
              <w:jc w:val="center"/>
              <w:rPr>
                <w:rFonts w:ascii="黑体" w:eastAsia="黑体" w:hAnsi="黑体"/>
                <w:sz w:val="20"/>
                <w:szCs w:val="20"/>
              </w:rPr>
            </w:pPr>
            <w:r>
              <w:rPr>
                <w:rFonts w:ascii="黑体" w:eastAsia="黑体" w:hAnsi="黑体"/>
                <w:sz w:val="20"/>
                <w:szCs w:val="20"/>
              </w:rPr>
              <w:t>1104</w:t>
            </w:r>
          </w:p>
        </w:tc>
      </w:tr>
      <w:tr w:rsidR="00A052DC" w14:paraId="48AA2ECD" w14:textId="77777777" w:rsidTr="00197ADB">
        <w:tc>
          <w:tcPr>
            <w:tcW w:w="1526" w:type="dxa"/>
            <w:vMerge/>
            <w:shd w:val="clear" w:color="auto" w:fill="auto"/>
            <w:vAlign w:val="center"/>
          </w:tcPr>
          <w:p w14:paraId="7FA0A575" w14:textId="77777777" w:rsidR="00A052DC" w:rsidRDefault="00A052DC">
            <w:pPr>
              <w:rPr>
                <w:rFonts w:ascii="黑体" w:eastAsia="黑体" w:hAnsi="黑体"/>
                <w:b/>
                <w:bCs/>
                <w:sz w:val="20"/>
                <w:szCs w:val="20"/>
              </w:rPr>
            </w:pPr>
          </w:p>
        </w:tc>
        <w:tc>
          <w:tcPr>
            <w:tcW w:w="1559" w:type="dxa"/>
            <w:vMerge/>
            <w:shd w:val="clear" w:color="auto" w:fill="auto"/>
            <w:vAlign w:val="center"/>
          </w:tcPr>
          <w:p w14:paraId="50F86E2B" w14:textId="77777777" w:rsidR="00563761" w:rsidRDefault="00563761">
            <w:pPr>
              <w:jc w:val="center"/>
              <w:rPr>
                <w:rFonts w:ascii="黑体" w:eastAsia="黑体" w:hAnsi="黑体"/>
                <w:b/>
                <w:bCs/>
                <w:sz w:val="20"/>
                <w:szCs w:val="20"/>
              </w:rPr>
            </w:pPr>
          </w:p>
        </w:tc>
        <w:tc>
          <w:tcPr>
            <w:tcW w:w="3544" w:type="dxa"/>
            <w:shd w:val="clear" w:color="auto" w:fill="auto"/>
            <w:vAlign w:val="center"/>
          </w:tcPr>
          <w:p w14:paraId="65A73A6A" w14:textId="77777777" w:rsidR="00A052DC" w:rsidRDefault="009F0A60">
            <w:pPr>
              <w:rPr>
                <w:rFonts w:ascii="黑体" w:eastAsia="黑体" w:hAnsi="黑体"/>
                <w:sz w:val="20"/>
                <w:szCs w:val="20"/>
              </w:rPr>
            </w:pPr>
            <w:r>
              <w:rPr>
                <w:rFonts w:ascii="黑体" w:eastAsia="黑体" w:hAnsi="黑体" w:hint="eastAsia"/>
                <w:sz w:val="20"/>
                <w:szCs w:val="20"/>
              </w:rPr>
              <w:t>境外拆借</w:t>
            </w:r>
          </w:p>
        </w:tc>
        <w:tc>
          <w:tcPr>
            <w:tcW w:w="1899" w:type="dxa"/>
            <w:shd w:val="clear" w:color="auto" w:fill="auto"/>
          </w:tcPr>
          <w:p w14:paraId="5B78E9B2" w14:textId="77777777" w:rsidR="00A052DC" w:rsidRDefault="009F0A60">
            <w:pPr>
              <w:jc w:val="center"/>
              <w:rPr>
                <w:rFonts w:ascii="黑体" w:eastAsia="黑体" w:hAnsi="黑体"/>
                <w:sz w:val="20"/>
                <w:szCs w:val="20"/>
              </w:rPr>
            </w:pPr>
            <w:r>
              <w:rPr>
                <w:rFonts w:ascii="黑体" w:eastAsia="黑体" w:hAnsi="黑体"/>
                <w:sz w:val="20"/>
                <w:szCs w:val="20"/>
              </w:rPr>
              <w:t>1105</w:t>
            </w:r>
          </w:p>
        </w:tc>
      </w:tr>
      <w:tr w:rsidR="00A052DC" w14:paraId="5F1A7750" w14:textId="77777777" w:rsidTr="00197ADB">
        <w:tc>
          <w:tcPr>
            <w:tcW w:w="1526" w:type="dxa"/>
            <w:vMerge/>
            <w:shd w:val="clear" w:color="auto" w:fill="auto"/>
            <w:vAlign w:val="center"/>
          </w:tcPr>
          <w:p w14:paraId="43D23FD8" w14:textId="77777777" w:rsidR="00A052DC" w:rsidRDefault="00A052DC">
            <w:pPr>
              <w:rPr>
                <w:rFonts w:ascii="黑体" w:eastAsia="黑体" w:hAnsi="黑体"/>
                <w:b/>
                <w:bCs/>
                <w:sz w:val="20"/>
                <w:szCs w:val="20"/>
              </w:rPr>
            </w:pPr>
          </w:p>
        </w:tc>
        <w:tc>
          <w:tcPr>
            <w:tcW w:w="1559" w:type="dxa"/>
            <w:vMerge/>
            <w:shd w:val="clear" w:color="auto" w:fill="auto"/>
            <w:vAlign w:val="center"/>
          </w:tcPr>
          <w:p w14:paraId="73E82558" w14:textId="77777777" w:rsidR="00563761" w:rsidRDefault="00563761">
            <w:pPr>
              <w:jc w:val="center"/>
              <w:rPr>
                <w:rFonts w:ascii="黑体" w:eastAsia="黑体" w:hAnsi="黑体"/>
                <w:b/>
                <w:bCs/>
                <w:sz w:val="20"/>
                <w:szCs w:val="20"/>
              </w:rPr>
            </w:pPr>
          </w:p>
        </w:tc>
        <w:tc>
          <w:tcPr>
            <w:tcW w:w="3544" w:type="dxa"/>
            <w:shd w:val="clear" w:color="auto" w:fill="auto"/>
            <w:vAlign w:val="center"/>
          </w:tcPr>
          <w:p w14:paraId="2BEDA60B" w14:textId="77777777" w:rsidR="00A052DC" w:rsidRDefault="009F0A60">
            <w:pPr>
              <w:rPr>
                <w:rFonts w:ascii="黑体" w:eastAsia="黑体" w:hAnsi="黑体"/>
                <w:sz w:val="20"/>
                <w:szCs w:val="20"/>
              </w:rPr>
            </w:pPr>
            <w:r>
              <w:rPr>
                <w:rFonts w:ascii="黑体" w:eastAsia="黑体" w:hAnsi="黑体" w:hint="eastAsia"/>
                <w:sz w:val="20"/>
                <w:szCs w:val="20"/>
              </w:rPr>
              <w:t>海外代付</w:t>
            </w:r>
          </w:p>
        </w:tc>
        <w:tc>
          <w:tcPr>
            <w:tcW w:w="1899" w:type="dxa"/>
            <w:shd w:val="clear" w:color="auto" w:fill="auto"/>
          </w:tcPr>
          <w:p w14:paraId="5707BE40" w14:textId="77777777" w:rsidR="00A052DC" w:rsidRDefault="009F0A60">
            <w:pPr>
              <w:jc w:val="center"/>
              <w:rPr>
                <w:rFonts w:ascii="黑体" w:eastAsia="黑体" w:hAnsi="黑体"/>
                <w:sz w:val="20"/>
                <w:szCs w:val="20"/>
              </w:rPr>
            </w:pPr>
            <w:r>
              <w:rPr>
                <w:rFonts w:ascii="黑体" w:eastAsia="黑体" w:hAnsi="黑体"/>
                <w:sz w:val="20"/>
                <w:szCs w:val="20"/>
              </w:rPr>
              <w:t>1106</w:t>
            </w:r>
          </w:p>
        </w:tc>
      </w:tr>
      <w:tr w:rsidR="00A052DC" w14:paraId="7A25E204" w14:textId="77777777" w:rsidTr="00197ADB">
        <w:tc>
          <w:tcPr>
            <w:tcW w:w="1526" w:type="dxa"/>
            <w:vMerge/>
            <w:shd w:val="clear" w:color="auto" w:fill="auto"/>
            <w:vAlign w:val="center"/>
          </w:tcPr>
          <w:p w14:paraId="15601EA4" w14:textId="77777777" w:rsidR="00A052DC" w:rsidRDefault="00A052DC">
            <w:pPr>
              <w:rPr>
                <w:rFonts w:ascii="黑体" w:eastAsia="黑体" w:hAnsi="黑体"/>
                <w:b/>
                <w:bCs/>
                <w:sz w:val="20"/>
                <w:szCs w:val="20"/>
              </w:rPr>
            </w:pPr>
          </w:p>
        </w:tc>
        <w:tc>
          <w:tcPr>
            <w:tcW w:w="1559" w:type="dxa"/>
            <w:vMerge/>
            <w:shd w:val="clear" w:color="auto" w:fill="auto"/>
            <w:vAlign w:val="center"/>
          </w:tcPr>
          <w:p w14:paraId="2384469B" w14:textId="77777777" w:rsidR="00563761" w:rsidRDefault="00563761">
            <w:pPr>
              <w:jc w:val="center"/>
              <w:rPr>
                <w:rFonts w:ascii="黑体" w:eastAsia="黑体" w:hAnsi="黑体"/>
                <w:b/>
                <w:bCs/>
                <w:sz w:val="20"/>
                <w:szCs w:val="20"/>
              </w:rPr>
            </w:pPr>
          </w:p>
        </w:tc>
        <w:tc>
          <w:tcPr>
            <w:tcW w:w="3544" w:type="dxa"/>
            <w:shd w:val="clear" w:color="auto" w:fill="auto"/>
            <w:vAlign w:val="center"/>
          </w:tcPr>
          <w:p w14:paraId="249577A9" w14:textId="77777777" w:rsidR="00A052DC" w:rsidRDefault="009F0A60">
            <w:pPr>
              <w:rPr>
                <w:rFonts w:ascii="黑体" w:eastAsia="黑体" w:hAnsi="黑体"/>
                <w:sz w:val="20"/>
                <w:szCs w:val="20"/>
              </w:rPr>
            </w:pPr>
            <w:r>
              <w:rPr>
                <w:rFonts w:ascii="黑体" w:eastAsia="黑体" w:hAnsi="黑体" w:hint="eastAsia"/>
                <w:sz w:val="20"/>
                <w:szCs w:val="20"/>
              </w:rPr>
              <w:t>卖出回购</w:t>
            </w:r>
          </w:p>
        </w:tc>
        <w:tc>
          <w:tcPr>
            <w:tcW w:w="1899" w:type="dxa"/>
            <w:shd w:val="clear" w:color="auto" w:fill="auto"/>
          </w:tcPr>
          <w:p w14:paraId="151C4F96" w14:textId="77777777" w:rsidR="00A052DC" w:rsidRDefault="009F0A60">
            <w:pPr>
              <w:jc w:val="center"/>
              <w:rPr>
                <w:rFonts w:ascii="黑体" w:eastAsia="黑体" w:hAnsi="黑体"/>
                <w:sz w:val="20"/>
                <w:szCs w:val="20"/>
              </w:rPr>
            </w:pPr>
            <w:r>
              <w:rPr>
                <w:rFonts w:ascii="黑体" w:eastAsia="黑体" w:hAnsi="黑体"/>
                <w:sz w:val="20"/>
                <w:szCs w:val="20"/>
              </w:rPr>
              <w:t>1107</w:t>
            </w:r>
          </w:p>
        </w:tc>
      </w:tr>
      <w:tr w:rsidR="00A052DC" w14:paraId="19D0C308" w14:textId="77777777" w:rsidTr="00197ADB">
        <w:tc>
          <w:tcPr>
            <w:tcW w:w="1526" w:type="dxa"/>
            <w:vMerge/>
            <w:shd w:val="clear" w:color="auto" w:fill="auto"/>
            <w:vAlign w:val="center"/>
          </w:tcPr>
          <w:p w14:paraId="1A5C99F5" w14:textId="77777777" w:rsidR="00A052DC" w:rsidRDefault="00A052DC">
            <w:pPr>
              <w:rPr>
                <w:rFonts w:ascii="黑体" w:eastAsia="黑体" w:hAnsi="黑体"/>
                <w:b/>
                <w:bCs/>
                <w:sz w:val="20"/>
                <w:szCs w:val="20"/>
              </w:rPr>
            </w:pPr>
          </w:p>
        </w:tc>
        <w:tc>
          <w:tcPr>
            <w:tcW w:w="1559" w:type="dxa"/>
            <w:vMerge/>
            <w:shd w:val="clear" w:color="auto" w:fill="auto"/>
            <w:vAlign w:val="center"/>
          </w:tcPr>
          <w:p w14:paraId="6D8B120F" w14:textId="77777777" w:rsidR="00563761" w:rsidRDefault="00563761">
            <w:pPr>
              <w:jc w:val="center"/>
              <w:rPr>
                <w:rFonts w:ascii="黑体" w:eastAsia="黑体" w:hAnsi="黑体"/>
                <w:b/>
                <w:bCs/>
                <w:sz w:val="20"/>
                <w:szCs w:val="20"/>
              </w:rPr>
            </w:pPr>
          </w:p>
        </w:tc>
        <w:tc>
          <w:tcPr>
            <w:tcW w:w="3544" w:type="dxa"/>
            <w:shd w:val="clear" w:color="auto" w:fill="auto"/>
            <w:vAlign w:val="center"/>
          </w:tcPr>
          <w:p w14:paraId="0B40C349" w14:textId="77777777" w:rsidR="00A052DC" w:rsidRDefault="009F0A60">
            <w:pPr>
              <w:rPr>
                <w:rFonts w:ascii="黑体" w:eastAsia="黑体" w:hAnsi="黑体"/>
                <w:sz w:val="20"/>
                <w:szCs w:val="20"/>
              </w:rPr>
            </w:pPr>
            <w:r>
              <w:rPr>
                <w:rFonts w:ascii="黑体" w:eastAsia="黑体" w:hAnsi="黑体" w:hint="eastAsia"/>
                <w:sz w:val="20"/>
                <w:szCs w:val="20"/>
              </w:rPr>
              <w:t>信用证</w:t>
            </w:r>
          </w:p>
        </w:tc>
        <w:tc>
          <w:tcPr>
            <w:tcW w:w="1899" w:type="dxa"/>
            <w:shd w:val="clear" w:color="auto" w:fill="auto"/>
          </w:tcPr>
          <w:p w14:paraId="4E90887B" w14:textId="77777777" w:rsidR="00A052DC" w:rsidRDefault="009F0A60">
            <w:pPr>
              <w:jc w:val="center"/>
              <w:rPr>
                <w:rFonts w:ascii="黑体" w:eastAsia="黑体" w:hAnsi="黑体"/>
                <w:sz w:val="20"/>
                <w:szCs w:val="20"/>
              </w:rPr>
            </w:pPr>
            <w:r>
              <w:rPr>
                <w:rFonts w:ascii="黑体" w:eastAsia="黑体" w:hAnsi="黑体"/>
                <w:sz w:val="20"/>
                <w:szCs w:val="20"/>
              </w:rPr>
              <w:t>1108</w:t>
            </w:r>
          </w:p>
        </w:tc>
      </w:tr>
      <w:tr w:rsidR="00A052DC" w14:paraId="60F056F3" w14:textId="77777777" w:rsidTr="00197ADB">
        <w:tc>
          <w:tcPr>
            <w:tcW w:w="1526" w:type="dxa"/>
            <w:vMerge/>
            <w:shd w:val="clear" w:color="auto" w:fill="auto"/>
            <w:vAlign w:val="center"/>
          </w:tcPr>
          <w:p w14:paraId="78D6D668" w14:textId="77777777" w:rsidR="00A052DC" w:rsidRDefault="00A052DC">
            <w:pPr>
              <w:rPr>
                <w:rFonts w:ascii="黑体" w:eastAsia="黑体" w:hAnsi="黑体"/>
                <w:b/>
                <w:bCs/>
                <w:sz w:val="20"/>
                <w:szCs w:val="20"/>
              </w:rPr>
            </w:pPr>
          </w:p>
        </w:tc>
        <w:tc>
          <w:tcPr>
            <w:tcW w:w="1559" w:type="dxa"/>
            <w:vMerge/>
            <w:shd w:val="clear" w:color="auto" w:fill="auto"/>
            <w:vAlign w:val="center"/>
          </w:tcPr>
          <w:p w14:paraId="64EC3F14" w14:textId="77777777" w:rsidR="00563761" w:rsidRDefault="00563761">
            <w:pPr>
              <w:jc w:val="center"/>
              <w:rPr>
                <w:rFonts w:ascii="黑体" w:eastAsia="黑体" w:hAnsi="黑体"/>
                <w:b/>
                <w:bCs/>
                <w:sz w:val="20"/>
                <w:szCs w:val="20"/>
              </w:rPr>
            </w:pPr>
          </w:p>
        </w:tc>
        <w:tc>
          <w:tcPr>
            <w:tcW w:w="3544" w:type="dxa"/>
            <w:shd w:val="clear" w:color="auto" w:fill="auto"/>
            <w:vAlign w:val="center"/>
          </w:tcPr>
          <w:p w14:paraId="563CC04D" w14:textId="77777777" w:rsidR="00A052DC" w:rsidRDefault="009F0A60">
            <w:pPr>
              <w:rPr>
                <w:rFonts w:ascii="黑体" w:eastAsia="黑体" w:hAnsi="黑体"/>
                <w:sz w:val="20"/>
                <w:szCs w:val="20"/>
              </w:rPr>
            </w:pPr>
            <w:r>
              <w:rPr>
                <w:rFonts w:ascii="黑体" w:eastAsia="黑体" w:hAnsi="黑体" w:hint="eastAsia"/>
                <w:sz w:val="20"/>
                <w:szCs w:val="20"/>
              </w:rPr>
              <w:t>融资租赁</w:t>
            </w:r>
          </w:p>
        </w:tc>
        <w:tc>
          <w:tcPr>
            <w:tcW w:w="1899" w:type="dxa"/>
            <w:shd w:val="clear" w:color="auto" w:fill="auto"/>
          </w:tcPr>
          <w:p w14:paraId="73AA223C" w14:textId="77777777" w:rsidR="00A052DC" w:rsidRDefault="009F0A60">
            <w:pPr>
              <w:jc w:val="center"/>
              <w:rPr>
                <w:rFonts w:ascii="黑体" w:eastAsia="黑体" w:hAnsi="黑体"/>
                <w:sz w:val="20"/>
                <w:szCs w:val="20"/>
              </w:rPr>
            </w:pPr>
            <w:r>
              <w:rPr>
                <w:rFonts w:ascii="黑体" w:eastAsia="黑体" w:hAnsi="黑体"/>
                <w:sz w:val="20"/>
                <w:szCs w:val="20"/>
              </w:rPr>
              <w:t>1109</w:t>
            </w:r>
          </w:p>
        </w:tc>
      </w:tr>
      <w:tr w:rsidR="00A052DC" w14:paraId="7D869BAE" w14:textId="77777777" w:rsidTr="00197ADB">
        <w:tc>
          <w:tcPr>
            <w:tcW w:w="1526" w:type="dxa"/>
            <w:vMerge/>
            <w:shd w:val="clear" w:color="auto" w:fill="auto"/>
            <w:vAlign w:val="center"/>
          </w:tcPr>
          <w:p w14:paraId="7F448B8E" w14:textId="77777777" w:rsidR="00A052DC" w:rsidRDefault="00A052DC">
            <w:pPr>
              <w:rPr>
                <w:rFonts w:ascii="黑体" w:eastAsia="黑体" w:hAnsi="黑体"/>
                <w:b/>
                <w:bCs/>
                <w:sz w:val="20"/>
                <w:szCs w:val="20"/>
              </w:rPr>
            </w:pPr>
          </w:p>
        </w:tc>
        <w:tc>
          <w:tcPr>
            <w:tcW w:w="1559" w:type="dxa"/>
            <w:vMerge/>
            <w:shd w:val="clear" w:color="auto" w:fill="auto"/>
            <w:vAlign w:val="center"/>
          </w:tcPr>
          <w:p w14:paraId="03AABA47" w14:textId="77777777" w:rsidR="00563761" w:rsidRDefault="00563761">
            <w:pPr>
              <w:jc w:val="center"/>
              <w:rPr>
                <w:rFonts w:ascii="黑体" w:eastAsia="黑体" w:hAnsi="黑体"/>
                <w:b/>
                <w:bCs/>
                <w:sz w:val="20"/>
                <w:szCs w:val="20"/>
              </w:rPr>
            </w:pPr>
          </w:p>
        </w:tc>
        <w:tc>
          <w:tcPr>
            <w:tcW w:w="3544" w:type="dxa"/>
            <w:shd w:val="clear" w:color="auto" w:fill="auto"/>
            <w:vAlign w:val="center"/>
          </w:tcPr>
          <w:p w14:paraId="47B8FAA7" w14:textId="77777777" w:rsidR="00A052DC" w:rsidRDefault="009F0A60">
            <w:pPr>
              <w:rPr>
                <w:rFonts w:ascii="黑体" w:eastAsia="黑体" w:hAnsi="黑体"/>
                <w:sz w:val="20"/>
                <w:szCs w:val="20"/>
              </w:rPr>
            </w:pPr>
            <w:r>
              <w:rPr>
                <w:rFonts w:ascii="黑体" w:eastAsia="黑体" w:hAnsi="黑体" w:hint="eastAsia"/>
                <w:sz w:val="20"/>
                <w:szCs w:val="20"/>
              </w:rPr>
              <w:t>银团贷款</w:t>
            </w:r>
          </w:p>
        </w:tc>
        <w:tc>
          <w:tcPr>
            <w:tcW w:w="1899" w:type="dxa"/>
            <w:shd w:val="clear" w:color="auto" w:fill="auto"/>
          </w:tcPr>
          <w:p w14:paraId="1E74AFBD" w14:textId="77777777" w:rsidR="00A052DC" w:rsidRDefault="009F0A60">
            <w:pPr>
              <w:jc w:val="center"/>
              <w:rPr>
                <w:rFonts w:ascii="黑体" w:eastAsia="黑体" w:hAnsi="黑体"/>
                <w:sz w:val="20"/>
                <w:szCs w:val="20"/>
              </w:rPr>
            </w:pPr>
            <w:r>
              <w:rPr>
                <w:rFonts w:ascii="黑体" w:eastAsia="黑体" w:hAnsi="黑体"/>
                <w:sz w:val="20"/>
                <w:szCs w:val="20"/>
              </w:rPr>
              <w:t>1110</w:t>
            </w:r>
          </w:p>
        </w:tc>
      </w:tr>
      <w:tr w:rsidR="00A052DC" w14:paraId="01CC513B" w14:textId="77777777" w:rsidTr="00197ADB">
        <w:tc>
          <w:tcPr>
            <w:tcW w:w="1526" w:type="dxa"/>
            <w:vMerge/>
            <w:shd w:val="clear" w:color="auto" w:fill="auto"/>
            <w:vAlign w:val="center"/>
          </w:tcPr>
          <w:p w14:paraId="300F60FE" w14:textId="77777777" w:rsidR="00A052DC" w:rsidRDefault="00A052DC">
            <w:pPr>
              <w:rPr>
                <w:rFonts w:ascii="黑体" w:eastAsia="黑体" w:hAnsi="黑体"/>
                <w:b/>
                <w:bCs/>
                <w:sz w:val="20"/>
                <w:szCs w:val="20"/>
              </w:rPr>
            </w:pPr>
          </w:p>
        </w:tc>
        <w:tc>
          <w:tcPr>
            <w:tcW w:w="1559" w:type="dxa"/>
            <w:vMerge/>
            <w:shd w:val="clear" w:color="auto" w:fill="auto"/>
            <w:vAlign w:val="center"/>
          </w:tcPr>
          <w:p w14:paraId="5908B0A3" w14:textId="77777777" w:rsidR="00563761" w:rsidRDefault="00563761">
            <w:pPr>
              <w:jc w:val="center"/>
              <w:rPr>
                <w:rFonts w:ascii="黑体" w:eastAsia="黑体" w:hAnsi="黑体"/>
                <w:b/>
                <w:bCs/>
                <w:sz w:val="20"/>
                <w:szCs w:val="20"/>
              </w:rPr>
            </w:pPr>
          </w:p>
        </w:tc>
        <w:tc>
          <w:tcPr>
            <w:tcW w:w="3544" w:type="dxa"/>
            <w:shd w:val="clear" w:color="auto" w:fill="auto"/>
            <w:vAlign w:val="center"/>
          </w:tcPr>
          <w:p w14:paraId="3D6D382E" w14:textId="77777777" w:rsidR="00A052DC" w:rsidRDefault="009F0A60">
            <w:pPr>
              <w:rPr>
                <w:rFonts w:ascii="黑体" w:eastAsia="黑体" w:hAnsi="黑体"/>
                <w:sz w:val="20"/>
                <w:szCs w:val="20"/>
              </w:rPr>
            </w:pPr>
            <w:r>
              <w:rPr>
                <w:rFonts w:ascii="黑体" w:eastAsia="黑体" w:hAnsi="黑体" w:hint="eastAsia"/>
                <w:sz w:val="20"/>
                <w:szCs w:val="20"/>
              </w:rPr>
              <w:t>从境外母公司贷款</w:t>
            </w:r>
          </w:p>
        </w:tc>
        <w:tc>
          <w:tcPr>
            <w:tcW w:w="1899" w:type="dxa"/>
            <w:shd w:val="clear" w:color="auto" w:fill="auto"/>
          </w:tcPr>
          <w:p w14:paraId="221103D2" w14:textId="77777777" w:rsidR="00A052DC" w:rsidRDefault="009F0A60">
            <w:pPr>
              <w:jc w:val="center"/>
              <w:rPr>
                <w:rFonts w:ascii="黑体" w:eastAsia="黑体" w:hAnsi="黑体"/>
                <w:sz w:val="20"/>
                <w:szCs w:val="20"/>
              </w:rPr>
            </w:pPr>
            <w:r>
              <w:rPr>
                <w:rFonts w:ascii="黑体" w:eastAsia="黑体" w:hAnsi="黑体"/>
                <w:sz w:val="20"/>
                <w:szCs w:val="20"/>
              </w:rPr>
              <w:t>1111</w:t>
            </w:r>
          </w:p>
        </w:tc>
      </w:tr>
      <w:tr w:rsidR="00A052DC" w14:paraId="013F21D7" w14:textId="77777777" w:rsidTr="00197ADB">
        <w:tc>
          <w:tcPr>
            <w:tcW w:w="1526" w:type="dxa"/>
            <w:vMerge/>
            <w:shd w:val="clear" w:color="auto" w:fill="auto"/>
            <w:vAlign w:val="center"/>
          </w:tcPr>
          <w:p w14:paraId="1654F1EB" w14:textId="77777777" w:rsidR="00A052DC" w:rsidRDefault="00A052DC">
            <w:pPr>
              <w:rPr>
                <w:rFonts w:ascii="黑体" w:eastAsia="黑体" w:hAnsi="黑体"/>
                <w:b/>
                <w:bCs/>
                <w:sz w:val="20"/>
                <w:szCs w:val="20"/>
              </w:rPr>
            </w:pPr>
          </w:p>
        </w:tc>
        <w:tc>
          <w:tcPr>
            <w:tcW w:w="1559" w:type="dxa"/>
            <w:vMerge/>
            <w:shd w:val="clear" w:color="auto" w:fill="auto"/>
            <w:vAlign w:val="center"/>
          </w:tcPr>
          <w:p w14:paraId="53D181AA" w14:textId="77777777" w:rsidR="00563761" w:rsidRDefault="00563761">
            <w:pPr>
              <w:jc w:val="center"/>
              <w:rPr>
                <w:rFonts w:ascii="黑体" w:eastAsia="黑体" w:hAnsi="黑体"/>
                <w:b/>
                <w:bCs/>
                <w:sz w:val="20"/>
                <w:szCs w:val="20"/>
              </w:rPr>
            </w:pPr>
          </w:p>
        </w:tc>
        <w:tc>
          <w:tcPr>
            <w:tcW w:w="3544" w:type="dxa"/>
            <w:shd w:val="clear" w:color="auto" w:fill="auto"/>
            <w:vAlign w:val="center"/>
          </w:tcPr>
          <w:p w14:paraId="27683791" w14:textId="77777777" w:rsidR="00A052DC" w:rsidRDefault="009F0A60">
            <w:pPr>
              <w:rPr>
                <w:rFonts w:ascii="黑体" w:eastAsia="黑体" w:hAnsi="黑体"/>
                <w:sz w:val="20"/>
                <w:szCs w:val="20"/>
              </w:rPr>
            </w:pPr>
            <w:r>
              <w:rPr>
                <w:rFonts w:ascii="黑体" w:eastAsia="黑体" w:hAnsi="黑体" w:hint="eastAsia"/>
                <w:sz w:val="20"/>
                <w:szCs w:val="20"/>
              </w:rPr>
              <w:t>从境外子公司贷款</w:t>
            </w:r>
          </w:p>
        </w:tc>
        <w:tc>
          <w:tcPr>
            <w:tcW w:w="1899" w:type="dxa"/>
            <w:shd w:val="clear" w:color="auto" w:fill="auto"/>
          </w:tcPr>
          <w:p w14:paraId="6428833A" w14:textId="77777777" w:rsidR="00A052DC" w:rsidRDefault="009F0A60">
            <w:pPr>
              <w:jc w:val="center"/>
              <w:rPr>
                <w:rFonts w:ascii="黑体" w:eastAsia="黑体" w:hAnsi="黑体"/>
                <w:sz w:val="20"/>
                <w:szCs w:val="20"/>
              </w:rPr>
            </w:pPr>
            <w:r>
              <w:rPr>
                <w:rFonts w:ascii="黑体" w:eastAsia="黑体" w:hAnsi="黑体"/>
                <w:sz w:val="20"/>
                <w:szCs w:val="20"/>
              </w:rPr>
              <w:t>1112</w:t>
            </w:r>
          </w:p>
        </w:tc>
      </w:tr>
      <w:tr w:rsidR="00A052DC" w14:paraId="2508E5F8" w14:textId="77777777" w:rsidTr="00197ADB">
        <w:tc>
          <w:tcPr>
            <w:tcW w:w="1526" w:type="dxa"/>
            <w:vMerge/>
            <w:shd w:val="clear" w:color="auto" w:fill="auto"/>
            <w:vAlign w:val="center"/>
          </w:tcPr>
          <w:p w14:paraId="6E01D971" w14:textId="77777777" w:rsidR="00A052DC" w:rsidRDefault="00A052DC">
            <w:pPr>
              <w:rPr>
                <w:rFonts w:ascii="黑体" w:eastAsia="黑体" w:hAnsi="黑体"/>
                <w:b/>
                <w:bCs/>
                <w:sz w:val="20"/>
                <w:szCs w:val="20"/>
              </w:rPr>
            </w:pPr>
          </w:p>
        </w:tc>
        <w:tc>
          <w:tcPr>
            <w:tcW w:w="1559" w:type="dxa"/>
            <w:vMerge/>
            <w:shd w:val="clear" w:color="auto" w:fill="auto"/>
            <w:vAlign w:val="center"/>
          </w:tcPr>
          <w:p w14:paraId="57FFC7ED" w14:textId="77777777" w:rsidR="00563761" w:rsidRDefault="00563761">
            <w:pPr>
              <w:jc w:val="center"/>
              <w:rPr>
                <w:rFonts w:ascii="黑体" w:eastAsia="黑体" w:hAnsi="黑体"/>
                <w:b/>
                <w:bCs/>
                <w:sz w:val="20"/>
                <w:szCs w:val="20"/>
              </w:rPr>
            </w:pPr>
          </w:p>
        </w:tc>
        <w:tc>
          <w:tcPr>
            <w:tcW w:w="3544" w:type="dxa"/>
            <w:shd w:val="clear" w:color="auto" w:fill="auto"/>
            <w:vAlign w:val="center"/>
          </w:tcPr>
          <w:p w14:paraId="0AA5A87E" w14:textId="77777777" w:rsidR="00A052DC" w:rsidRDefault="009F0A60">
            <w:pPr>
              <w:rPr>
                <w:rFonts w:ascii="黑体" w:eastAsia="黑体" w:hAnsi="黑体"/>
                <w:sz w:val="20"/>
                <w:szCs w:val="20"/>
              </w:rPr>
            </w:pPr>
            <w:r>
              <w:rPr>
                <w:rFonts w:ascii="黑体" w:eastAsia="黑体" w:hAnsi="黑体" w:hint="eastAsia"/>
                <w:sz w:val="20"/>
                <w:szCs w:val="20"/>
              </w:rPr>
              <w:t>从联属企业贷款</w:t>
            </w:r>
          </w:p>
        </w:tc>
        <w:tc>
          <w:tcPr>
            <w:tcW w:w="1899" w:type="dxa"/>
            <w:shd w:val="clear" w:color="auto" w:fill="auto"/>
          </w:tcPr>
          <w:p w14:paraId="103D91A3" w14:textId="77777777" w:rsidR="00A052DC" w:rsidRDefault="009F0A60">
            <w:pPr>
              <w:jc w:val="center"/>
              <w:rPr>
                <w:rFonts w:ascii="黑体" w:eastAsia="黑体" w:hAnsi="黑体"/>
                <w:sz w:val="20"/>
                <w:szCs w:val="20"/>
              </w:rPr>
            </w:pPr>
            <w:r>
              <w:rPr>
                <w:rFonts w:ascii="黑体" w:eastAsia="黑体" w:hAnsi="黑体"/>
                <w:sz w:val="20"/>
                <w:szCs w:val="20"/>
              </w:rPr>
              <w:t>1113</w:t>
            </w:r>
          </w:p>
        </w:tc>
      </w:tr>
      <w:tr w:rsidR="00A052DC" w14:paraId="7E4B0BA0" w14:textId="77777777" w:rsidTr="00197ADB">
        <w:tc>
          <w:tcPr>
            <w:tcW w:w="1526" w:type="dxa"/>
            <w:vMerge/>
            <w:shd w:val="clear" w:color="auto" w:fill="auto"/>
            <w:vAlign w:val="center"/>
          </w:tcPr>
          <w:p w14:paraId="616B2712" w14:textId="77777777" w:rsidR="00A052DC" w:rsidRDefault="00A052DC">
            <w:pPr>
              <w:rPr>
                <w:rFonts w:ascii="黑体" w:eastAsia="黑体" w:hAnsi="黑体"/>
                <w:b/>
                <w:bCs/>
                <w:sz w:val="20"/>
                <w:szCs w:val="20"/>
              </w:rPr>
            </w:pPr>
          </w:p>
        </w:tc>
        <w:tc>
          <w:tcPr>
            <w:tcW w:w="1559" w:type="dxa"/>
            <w:vMerge/>
            <w:shd w:val="clear" w:color="auto" w:fill="auto"/>
            <w:vAlign w:val="center"/>
          </w:tcPr>
          <w:p w14:paraId="66C6BE6B" w14:textId="77777777" w:rsidR="00563761" w:rsidRDefault="00563761">
            <w:pPr>
              <w:jc w:val="center"/>
              <w:rPr>
                <w:rFonts w:ascii="黑体" w:eastAsia="黑体" w:hAnsi="黑体"/>
                <w:b/>
                <w:bCs/>
                <w:sz w:val="20"/>
                <w:szCs w:val="20"/>
              </w:rPr>
            </w:pPr>
          </w:p>
        </w:tc>
        <w:tc>
          <w:tcPr>
            <w:tcW w:w="3544" w:type="dxa"/>
            <w:shd w:val="clear" w:color="auto" w:fill="auto"/>
            <w:vAlign w:val="center"/>
          </w:tcPr>
          <w:p w14:paraId="718409C0" w14:textId="77777777" w:rsidR="00A052DC" w:rsidRDefault="009F0A60">
            <w:pPr>
              <w:rPr>
                <w:rFonts w:ascii="黑体" w:eastAsia="黑体" w:hAnsi="黑体"/>
                <w:sz w:val="20"/>
                <w:szCs w:val="20"/>
              </w:rPr>
            </w:pPr>
            <w:r>
              <w:rPr>
                <w:rFonts w:ascii="黑体" w:eastAsia="黑体" w:hAnsi="黑体" w:hint="eastAsia"/>
                <w:sz w:val="20"/>
                <w:szCs w:val="20"/>
              </w:rPr>
              <w:t>非股东及非关联企业贷款</w:t>
            </w:r>
          </w:p>
        </w:tc>
        <w:tc>
          <w:tcPr>
            <w:tcW w:w="1899" w:type="dxa"/>
            <w:shd w:val="clear" w:color="auto" w:fill="auto"/>
          </w:tcPr>
          <w:p w14:paraId="717706C1" w14:textId="77777777" w:rsidR="00A052DC" w:rsidRDefault="009F0A60">
            <w:pPr>
              <w:jc w:val="center"/>
              <w:rPr>
                <w:rFonts w:ascii="黑体" w:eastAsia="黑体" w:hAnsi="黑体"/>
                <w:sz w:val="20"/>
                <w:szCs w:val="20"/>
              </w:rPr>
            </w:pPr>
            <w:r>
              <w:rPr>
                <w:rFonts w:ascii="黑体" w:eastAsia="黑体" w:hAnsi="黑体"/>
                <w:sz w:val="20"/>
                <w:szCs w:val="20"/>
              </w:rPr>
              <w:t>1114</w:t>
            </w:r>
          </w:p>
        </w:tc>
      </w:tr>
      <w:tr w:rsidR="00A052DC" w14:paraId="7FE6BBE6" w14:textId="77777777" w:rsidTr="00197ADB">
        <w:tc>
          <w:tcPr>
            <w:tcW w:w="1526" w:type="dxa"/>
            <w:vMerge/>
            <w:shd w:val="clear" w:color="auto" w:fill="auto"/>
            <w:vAlign w:val="center"/>
          </w:tcPr>
          <w:p w14:paraId="200A0086" w14:textId="77777777" w:rsidR="00A052DC" w:rsidRDefault="00A052DC">
            <w:pPr>
              <w:rPr>
                <w:rFonts w:ascii="黑体" w:eastAsia="黑体" w:hAnsi="黑体"/>
                <w:b/>
                <w:bCs/>
                <w:sz w:val="20"/>
                <w:szCs w:val="20"/>
              </w:rPr>
            </w:pPr>
          </w:p>
        </w:tc>
        <w:tc>
          <w:tcPr>
            <w:tcW w:w="1559" w:type="dxa"/>
            <w:vMerge/>
            <w:shd w:val="clear" w:color="auto" w:fill="auto"/>
            <w:vAlign w:val="center"/>
          </w:tcPr>
          <w:p w14:paraId="3AC2D0D9" w14:textId="77777777" w:rsidR="00563761" w:rsidRDefault="00563761">
            <w:pPr>
              <w:jc w:val="center"/>
              <w:rPr>
                <w:rFonts w:ascii="黑体" w:eastAsia="黑体" w:hAnsi="黑体"/>
                <w:b/>
                <w:bCs/>
                <w:sz w:val="20"/>
                <w:szCs w:val="20"/>
              </w:rPr>
            </w:pPr>
          </w:p>
        </w:tc>
        <w:tc>
          <w:tcPr>
            <w:tcW w:w="3544" w:type="dxa"/>
            <w:shd w:val="clear" w:color="auto" w:fill="auto"/>
            <w:vAlign w:val="center"/>
          </w:tcPr>
          <w:p w14:paraId="5ED2E933" w14:textId="77777777" w:rsidR="00A052DC" w:rsidRDefault="009F0A60">
            <w:pPr>
              <w:rPr>
                <w:rFonts w:ascii="黑体" w:eastAsia="黑体" w:hAnsi="黑体"/>
                <w:sz w:val="20"/>
                <w:szCs w:val="20"/>
              </w:rPr>
            </w:pPr>
            <w:r>
              <w:rPr>
                <w:rFonts w:ascii="黑体" w:eastAsia="黑体" w:hAnsi="黑体" w:hint="eastAsia"/>
                <w:sz w:val="20"/>
                <w:szCs w:val="20"/>
              </w:rPr>
              <w:t>贸易信贷</w:t>
            </w:r>
          </w:p>
        </w:tc>
        <w:tc>
          <w:tcPr>
            <w:tcW w:w="1899" w:type="dxa"/>
            <w:shd w:val="clear" w:color="auto" w:fill="auto"/>
          </w:tcPr>
          <w:p w14:paraId="5C493798" w14:textId="77777777" w:rsidR="00A052DC" w:rsidRDefault="009F0A60">
            <w:pPr>
              <w:jc w:val="center"/>
              <w:rPr>
                <w:rFonts w:ascii="黑体" w:eastAsia="黑体" w:hAnsi="黑体"/>
                <w:sz w:val="20"/>
                <w:szCs w:val="20"/>
              </w:rPr>
            </w:pPr>
            <w:r>
              <w:rPr>
                <w:rFonts w:ascii="黑体" w:eastAsia="黑体" w:hAnsi="黑体"/>
                <w:sz w:val="20"/>
                <w:szCs w:val="20"/>
              </w:rPr>
              <w:t>1115</w:t>
            </w:r>
          </w:p>
        </w:tc>
      </w:tr>
      <w:tr w:rsidR="00A052DC" w14:paraId="36B8D655" w14:textId="77777777" w:rsidTr="00197ADB">
        <w:tc>
          <w:tcPr>
            <w:tcW w:w="1526" w:type="dxa"/>
            <w:vMerge/>
            <w:shd w:val="clear" w:color="auto" w:fill="auto"/>
            <w:vAlign w:val="center"/>
          </w:tcPr>
          <w:p w14:paraId="51C36628" w14:textId="77777777" w:rsidR="00A052DC" w:rsidRDefault="00A052DC">
            <w:pPr>
              <w:rPr>
                <w:rFonts w:ascii="黑体" w:eastAsia="黑体" w:hAnsi="黑体"/>
                <w:b/>
                <w:bCs/>
                <w:sz w:val="20"/>
                <w:szCs w:val="20"/>
              </w:rPr>
            </w:pPr>
          </w:p>
        </w:tc>
        <w:tc>
          <w:tcPr>
            <w:tcW w:w="1559" w:type="dxa"/>
            <w:vMerge/>
            <w:shd w:val="clear" w:color="auto" w:fill="auto"/>
            <w:vAlign w:val="center"/>
          </w:tcPr>
          <w:p w14:paraId="5032F342" w14:textId="77777777" w:rsidR="00563761" w:rsidRDefault="00563761">
            <w:pPr>
              <w:jc w:val="center"/>
              <w:rPr>
                <w:rFonts w:ascii="黑体" w:eastAsia="黑体" w:hAnsi="黑体"/>
                <w:b/>
                <w:bCs/>
                <w:sz w:val="20"/>
                <w:szCs w:val="20"/>
              </w:rPr>
            </w:pPr>
          </w:p>
        </w:tc>
        <w:tc>
          <w:tcPr>
            <w:tcW w:w="3544" w:type="dxa"/>
            <w:shd w:val="clear" w:color="auto" w:fill="auto"/>
            <w:vAlign w:val="center"/>
          </w:tcPr>
          <w:p w14:paraId="4DAB05F0" w14:textId="77777777" w:rsidR="00A052DC" w:rsidRDefault="009F0A60">
            <w:pPr>
              <w:rPr>
                <w:rFonts w:ascii="黑体" w:eastAsia="黑体" w:hAnsi="黑体"/>
                <w:sz w:val="20"/>
                <w:szCs w:val="20"/>
              </w:rPr>
            </w:pPr>
            <w:r>
              <w:rPr>
                <w:rFonts w:ascii="黑体" w:eastAsia="黑体" w:hAnsi="黑体" w:hint="eastAsia"/>
                <w:sz w:val="20"/>
                <w:szCs w:val="20"/>
              </w:rPr>
              <w:t>补偿贸易中需现汇偿还的债务</w:t>
            </w:r>
          </w:p>
        </w:tc>
        <w:tc>
          <w:tcPr>
            <w:tcW w:w="1899" w:type="dxa"/>
            <w:shd w:val="clear" w:color="auto" w:fill="auto"/>
          </w:tcPr>
          <w:p w14:paraId="350FB5A9" w14:textId="77777777" w:rsidR="00A052DC" w:rsidRDefault="009F0A60">
            <w:pPr>
              <w:jc w:val="center"/>
              <w:rPr>
                <w:rFonts w:ascii="黑体" w:eastAsia="黑体" w:hAnsi="黑体"/>
                <w:sz w:val="20"/>
                <w:szCs w:val="20"/>
              </w:rPr>
            </w:pPr>
            <w:r>
              <w:rPr>
                <w:rFonts w:ascii="黑体" w:eastAsia="黑体" w:hAnsi="黑体"/>
                <w:sz w:val="20"/>
                <w:szCs w:val="20"/>
              </w:rPr>
              <w:t>1116</w:t>
            </w:r>
          </w:p>
        </w:tc>
      </w:tr>
      <w:tr w:rsidR="00A052DC" w14:paraId="236C0755" w14:textId="77777777" w:rsidTr="00197ADB">
        <w:tc>
          <w:tcPr>
            <w:tcW w:w="1526" w:type="dxa"/>
            <w:vMerge/>
            <w:shd w:val="clear" w:color="auto" w:fill="auto"/>
            <w:vAlign w:val="center"/>
          </w:tcPr>
          <w:p w14:paraId="6C034EB9" w14:textId="77777777" w:rsidR="00A052DC" w:rsidRDefault="00A052DC">
            <w:pPr>
              <w:rPr>
                <w:rFonts w:ascii="黑体" w:eastAsia="黑体" w:hAnsi="黑体"/>
                <w:b/>
                <w:bCs/>
                <w:sz w:val="20"/>
                <w:szCs w:val="20"/>
              </w:rPr>
            </w:pPr>
          </w:p>
        </w:tc>
        <w:tc>
          <w:tcPr>
            <w:tcW w:w="1559" w:type="dxa"/>
            <w:vMerge/>
            <w:shd w:val="clear" w:color="auto" w:fill="auto"/>
            <w:vAlign w:val="center"/>
          </w:tcPr>
          <w:p w14:paraId="55EFF2DC" w14:textId="77777777" w:rsidR="00563761" w:rsidRDefault="00563761">
            <w:pPr>
              <w:jc w:val="center"/>
              <w:rPr>
                <w:rFonts w:ascii="黑体" w:eastAsia="黑体" w:hAnsi="黑体"/>
                <w:b/>
                <w:bCs/>
                <w:sz w:val="20"/>
                <w:szCs w:val="20"/>
              </w:rPr>
            </w:pPr>
          </w:p>
        </w:tc>
        <w:tc>
          <w:tcPr>
            <w:tcW w:w="3544" w:type="dxa"/>
            <w:shd w:val="clear" w:color="auto" w:fill="auto"/>
            <w:vAlign w:val="center"/>
          </w:tcPr>
          <w:p w14:paraId="7144D23D" w14:textId="77777777" w:rsidR="00A052DC" w:rsidRDefault="009F0A60">
            <w:pPr>
              <w:rPr>
                <w:rFonts w:ascii="黑体" w:eastAsia="黑体" w:hAnsi="黑体"/>
                <w:sz w:val="20"/>
                <w:szCs w:val="20"/>
              </w:rPr>
            </w:pPr>
            <w:r>
              <w:rPr>
                <w:rFonts w:ascii="黑体" w:eastAsia="黑体" w:hAnsi="黑体" w:hint="eastAsia"/>
                <w:sz w:val="20"/>
                <w:szCs w:val="20"/>
              </w:rPr>
              <w:t>贵金属拆借</w:t>
            </w:r>
          </w:p>
        </w:tc>
        <w:tc>
          <w:tcPr>
            <w:tcW w:w="1899" w:type="dxa"/>
            <w:shd w:val="clear" w:color="auto" w:fill="auto"/>
          </w:tcPr>
          <w:p w14:paraId="784252B6" w14:textId="77777777" w:rsidR="00A052DC" w:rsidRDefault="009F0A60">
            <w:pPr>
              <w:jc w:val="center"/>
              <w:rPr>
                <w:rFonts w:ascii="黑体" w:eastAsia="黑体" w:hAnsi="黑体"/>
                <w:sz w:val="20"/>
                <w:szCs w:val="20"/>
              </w:rPr>
            </w:pPr>
            <w:r>
              <w:rPr>
                <w:rFonts w:ascii="黑体" w:eastAsia="黑体" w:hAnsi="黑体"/>
                <w:sz w:val="20"/>
                <w:szCs w:val="20"/>
              </w:rPr>
              <w:t>1117</w:t>
            </w:r>
          </w:p>
        </w:tc>
      </w:tr>
      <w:tr w:rsidR="00A052DC" w14:paraId="0842DFD7" w14:textId="77777777" w:rsidTr="00197ADB">
        <w:tc>
          <w:tcPr>
            <w:tcW w:w="1526" w:type="dxa"/>
            <w:vMerge/>
            <w:shd w:val="clear" w:color="auto" w:fill="auto"/>
            <w:vAlign w:val="center"/>
          </w:tcPr>
          <w:p w14:paraId="0261FB0F" w14:textId="77777777" w:rsidR="00A052DC" w:rsidRDefault="00A052DC">
            <w:pPr>
              <w:rPr>
                <w:rFonts w:ascii="黑体" w:eastAsia="黑体" w:hAnsi="黑体"/>
                <w:b/>
                <w:bCs/>
                <w:sz w:val="20"/>
                <w:szCs w:val="20"/>
              </w:rPr>
            </w:pPr>
          </w:p>
        </w:tc>
        <w:tc>
          <w:tcPr>
            <w:tcW w:w="1559" w:type="dxa"/>
            <w:vMerge/>
            <w:shd w:val="clear" w:color="auto" w:fill="auto"/>
            <w:vAlign w:val="center"/>
          </w:tcPr>
          <w:p w14:paraId="03E92440" w14:textId="77777777" w:rsidR="00563761" w:rsidRDefault="00563761">
            <w:pPr>
              <w:jc w:val="center"/>
              <w:rPr>
                <w:rFonts w:ascii="黑体" w:eastAsia="黑体" w:hAnsi="黑体"/>
                <w:b/>
                <w:bCs/>
                <w:sz w:val="20"/>
                <w:szCs w:val="20"/>
              </w:rPr>
            </w:pPr>
          </w:p>
        </w:tc>
        <w:tc>
          <w:tcPr>
            <w:tcW w:w="3544" w:type="dxa"/>
            <w:shd w:val="clear" w:color="auto" w:fill="auto"/>
            <w:vAlign w:val="center"/>
          </w:tcPr>
          <w:p w14:paraId="22206EC4" w14:textId="77777777" w:rsidR="00A052DC" w:rsidRDefault="009F0A60">
            <w:pPr>
              <w:rPr>
                <w:rFonts w:ascii="黑体" w:eastAsia="黑体" w:hAnsi="黑体"/>
                <w:sz w:val="20"/>
                <w:szCs w:val="20"/>
              </w:rPr>
            </w:pPr>
            <w:r>
              <w:rPr>
                <w:rFonts w:ascii="黑体" w:eastAsia="黑体" w:hAnsi="黑体" w:hint="eastAsia"/>
                <w:sz w:val="20"/>
                <w:szCs w:val="20"/>
              </w:rPr>
              <w:t>其他贷款</w:t>
            </w:r>
          </w:p>
        </w:tc>
        <w:tc>
          <w:tcPr>
            <w:tcW w:w="1899" w:type="dxa"/>
            <w:shd w:val="clear" w:color="auto" w:fill="auto"/>
          </w:tcPr>
          <w:p w14:paraId="5146128F" w14:textId="77777777" w:rsidR="00A052DC" w:rsidRDefault="009F0A60">
            <w:pPr>
              <w:jc w:val="center"/>
              <w:rPr>
                <w:rFonts w:ascii="黑体" w:eastAsia="黑体" w:hAnsi="黑体"/>
                <w:sz w:val="20"/>
                <w:szCs w:val="20"/>
              </w:rPr>
            </w:pPr>
            <w:r>
              <w:rPr>
                <w:rFonts w:ascii="黑体" w:eastAsia="黑体" w:hAnsi="黑体"/>
                <w:sz w:val="20"/>
                <w:szCs w:val="20"/>
              </w:rPr>
              <w:t>1199</w:t>
            </w:r>
          </w:p>
        </w:tc>
      </w:tr>
      <w:tr w:rsidR="00A052DC" w14:paraId="00CAF1BC" w14:textId="77777777" w:rsidTr="00197ADB">
        <w:tc>
          <w:tcPr>
            <w:tcW w:w="1526" w:type="dxa"/>
            <w:vMerge w:val="restart"/>
            <w:shd w:val="clear" w:color="auto" w:fill="auto"/>
            <w:vAlign w:val="center"/>
          </w:tcPr>
          <w:p w14:paraId="0891FBD9" w14:textId="77777777" w:rsidR="00A052DC" w:rsidRDefault="009F0A60">
            <w:pPr>
              <w:rPr>
                <w:rFonts w:ascii="黑体" w:eastAsia="黑体" w:hAnsi="黑体"/>
                <w:sz w:val="20"/>
                <w:szCs w:val="20"/>
              </w:rPr>
            </w:pPr>
            <w:r>
              <w:rPr>
                <w:rFonts w:ascii="黑体" w:eastAsia="黑体" w:hAnsi="黑体" w:hint="eastAsia"/>
                <w:sz w:val="20"/>
                <w:szCs w:val="20"/>
              </w:rPr>
              <w:t>债务证券</w:t>
            </w:r>
          </w:p>
        </w:tc>
        <w:tc>
          <w:tcPr>
            <w:tcW w:w="1559" w:type="dxa"/>
            <w:vMerge w:val="restart"/>
            <w:shd w:val="clear" w:color="auto" w:fill="auto"/>
            <w:vAlign w:val="center"/>
          </w:tcPr>
          <w:p w14:paraId="637764E9" w14:textId="77777777" w:rsidR="00563761" w:rsidRDefault="009F0A60">
            <w:pPr>
              <w:jc w:val="center"/>
              <w:rPr>
                <w:rFonts w:ascii="黑体" w:eastAsia="黑体" w:hAnsi="黑体"/>
                <w:sz w:val="20"/>
                <w:szCs w:val="20"/>
              </w:rPr>
            </w:pPr>
            <w:r>
              <w:rPr>
                <w:rFonts w:ascii="黑体" w:eastAsia="黑体" w:hAnsi="黑体"/>
                <w:sz w:val="20"/>
                <w:szCs w:val="20"/>
              </w:rPr>
              <w:t>12</w:t>
            </w:r>
          </w:p>
        </w:tc>
        <w:tc>
          <w:tcPr>
            <w:tcW w:w="3544" w:type="dxa"/>
            <w:shd w:val="clear" w:color="auto" w:fill="auto"/>
            <w:vAlign w:val="center"/>
          </w:tcPr>
          <w:p w14:paraId="76671782" w14:textId="77777777" w:rsidR="00A052DC" w:rsidRDefault="009F0A60">
            <w:pPr>
              <w:rPr>
                <w:rFonts w:ascii="黑体" w:eastAsia="黑体" w:hAnsi="黑体"/>
                <w:sz w:val="20"/>
                <w:szCs w:val="20"/>
              </w:rPr>
            </w:pPr>
            <w:r>
              <w:rPr>
                <w:rFonts w:ascii="黑体" w:eastAsia="黑体" w:hAnsi="黑体" w:hint="eastAsia"/>
                <w:sz w:val="20"/>
                <w:szCs w:val="20"/>
              </w:rPr>
              <w:t>货币市场工具</w:t>
            </w:r>
          </w:p>
        </w:tc>
        <w:tc>
          <w:tcPr>
            <w:tcW w:w="1899" w:type="dxa"/>
            <w:shd w:val="clear" w:color="auto" w:fill="auto"/>
          </w:tcPr>
          <w:p w14:paraId="6BFDC066" w14:textId="77777777" w:rsidR="00A052DC" w:rsidRDefault="009F0A60">
            <w:pPr>
              <w:jc w:val="center"/>
              <w:rPr>
                <w:rFonts w:ascii="黑体" w:eastAsia="黑体" w:hAnsi="黑体"/>
                <w:sz w:val="20"/>
                <w:szCs w:val="20"/>
              </w:rPr>
            </w:pPr>
            <w:r>
              <w:rPr>
                <w:rFonts w:ascii="黑体" w:eastAsia="黑体" w:hAnsi="黑体"/>
                <w:sz w:val="20"/>
                <w:szCs w:val="20"/>
              </w:rPr>
              <w:t>1201</w:t>
            </w:r>
          </w:p>
        </w:tc>
      </w:tr>
      <w:tr w:rsidR="00A052DC" w14:paraId="1283C36A" w14:textId="77777777" w:rsidTr="00197ADB">
        <w:tc>
          <w:tcPr>
            <w:tcW w:w="1526" w:type="dxa"/>
            <w:vMerge/>
            <w:shd w:val="clear" w:color="auto" w:fill="auto"/>
            <w:vAlign w:val="center"/>
          </w:tcPr>
          <w:p w14:paraId="04A86356" w14:textId="77777777" w:rsidR="00A052DC" w:rsidRDefault="00A052DC">
            <w:pPr>
              <w:rPr>
                <w:rFonts w:ascii="黑体" w:eastAsia="黑体" w:hAnsi="黑体"/>
                <w:b/>
                <w:bCs/>
                <w:sz w:val="20"/>
                <w:szCs w:val="20"/>
              </w:rPr>
            </w:pPr>
          </w:p>
        </w:tc>
        <w:tc>
          <w:tcPr>
            <w:tcW w:w="1559" w:type="dxa"/>
            <w:vMerge/>
            <w:shd w:val="clear" w:color="auto" w:fill="auto"/>
            <w:vAlign w:val="center"/>
          </w:tcPr>
          <w:p w14:paraId="4AF789E6" w14:textId="77777777" w:rsidR="00563761" w:rsidRDefault="00563761">
            <w:pPr>
              <w:jc w:val="center"/>
              <w:rPr>
                <w:rFonts w:ascii="黑体" w:eastAsia="黑体" w:hAnsi="黑体"/>
                <w:b/>
                <w:bCs/>
                <w:sz w:val="20"/>
                <w:szCs w:val="20"/>
              </w:rPr>
            </w:pPr>
          </w:p>
        </w:tc>
        <w:tc>
          <w:tcPr>
            <w:tcW w:w="3544" w:type="dxa"/>
            <w:shd w:val="clear" w:color="auto" w:fill="auto"/>
            <w:vAlign w:val="center"/>
          </w:tcPr>
          <w:p w14:paraId="15720F9C" w14:textId="77777777" w:rsidR="00A052DC" w:rsidRDefault="009F0A60">
            <w:pPr>
              <w:rPr>
                <w:rFonts w:ascii="黑体" w:eastAsia="黑体" w:hAnsi="黑体"/>
                <w:sz w:val="20"/>
                <w:szCs w:val="20"/>
              </w:rPr>
            </w:pPr>
            <w:r>
              <w:rPr>
                <w:rFonts w:ascii="黑体" w:eastAsia="黑体" w:hAnsi="黑体" w:hint="eastAsia"/>
                <w:sz w:val="20"/>
                <w:szCs w:val="20"/>
              </w:rPr>
              <w:t>债券和票据</w:t>
            </w:r>
          </w:p>
        </w:tc>
        <w:tc>
          <w:tcPr>
            <w:tcW w:w="1899" w:type="dxa"/>
            <w:shd w:val="clear" w:color="auto" w:fill="auto"/>
          </w:tcPr>
          <w:p w14:paraId="53CDA019" w14:textId="77777777" w:rsidR="00A052DC" w:rsidRDefault="009F0A60">
            <w:pPr>
              <w:jc w:val="center"/>
              <w:rPr>
                <w:rFonts w:ascii="黑体" w:eastAsia="黑体" w:hAnsi="黑体"/>
                <w:sz w:val="20"/>
                <w:szCs w:val="20"/>
              </w:rPr>
            </w:pPr>
            <w:r>
              <w:rPr>
                <w:rFonts w:ascii="黑体" w:eastAsia="黑体" w:hAnsi="黑体"/>
                <w:sz w:val="20"/>
                <w:szCs w:val="20"/>
              </w:rPr>
              <w:t>1202</w:t>
            </w:r>
          </w:p>
        </w:tc>
      </w:tr>
      <w:tr w:rsidR="00A052DC" w14:paraId="717019DA" w14:textId="77777777" w:rsidTr="00197ADB">
        <w:tc>
          <w:tcPr>
            <w:tcW w:w="1526" w:type="dxa"/>
            <w:vMerge w:val="restart"/>
            <w:shd w:val="clear" w:color="auto" w:fill="auto"/>
            <w:vAlign w:val="center"/>
          </w:tcPr>
          <w:p w14:paraId="63EC754C" w14:textId="77777777" w:rsidR="00A052DC" w:rsidRDefault="009F0A60">
            <w:pPr>
              <w:rPr>
                <w:rFonts w:ascii="黑体" w:eastAsia="黑体" w:hAnsi="黑体"/>
                <w:sz w:val="20"/>
                <w:szCs w:val="20"/>
              </w:rPr>
            </w:pPr>
            <w:r>
              <w:rPr>
                <w:rFonts w:ascii="黑体" w:eastAsia="黑体" w:hAnsi="黑体" w:hint="eastAsia"/>
                <w:sz w:val="20"/>
                <w:szCs w:val="20"/>
              </w:rPr>
              <w:t>货币存款</w:t>
            </w:r>
          </w:p>
        </w:tc>
        <w:tc>
          <w:tcPr>
            <w:tcW w:w="1559" w:type="dxa"/>
            <w:vMerge w:val="restart"/>
            <w:shd w:val="clear" w:color="auto" w:fill="auto"/>
            <w:vAlign w:val="center"/>
          </w:tcPr>
          <w:p w14:paraId="015CE2DE" w14:textId="77777777" w:rsidR="00563761" w:rsidRDefault="009F0A60">
            <w:pPr>
              <w:jc w:val="center"/>
              <w:rPr>
                <w:rFonts w:ascii="黑体" w:eastAsia="黑体" w:hAnsi="黑体"/>
                <w:sz w:val="20"/>
                <w:szCs w:val="20"/>
              </w:rPr>
            </w:pPr>
            <w:r>
              <w:rPr>
                <w:rFonts w:ascii="黑体" w:eastAsia="黑体" w:hAnsi="黑体"/>
                <w:sz w:val="20"/>
                <w:szCs w:val="20"/>
              </w:rPr>
              <w:t>13</w:t>
            </w:r>
          </w:p>
        </w:tc>
        <w:tc>
          <w:tcPr>
            <w:tcW w:w="3544" w:type="dxa"/>
            <w:shd w:val="clear" w:color="auto" w:fill="auto"/>
            <w:vAlign w:val="center"/>
          </w:tcPr>
          <w:p w14:paraId="63781498" w14:textId="77777777" w:rsidR="00A052DC" w:rsidRDefault="009F0A60">
            <w:pPr>
              <w:rPr>
                <w:rFonts w:ascii="黑体" w:eastAsia="黑体" w:hAnsi="黑体"/>
                <w:sz w:val="20"/>
                <w:szCs w:val="20"/>
              </w:rPr>
            </w:pPr>
            <w:r>
              <w:rPr>
                <w:rFonts w:ascii="黑体" w:eastAsia="黑体" w:hAnsi="黑体" w:hint="eastAsia"/>
                <w:sz w:val="20"/>
                <w:szCs w:val="20"/>
              </w:rPr>
              <w:t>境外同业存放</w:t>
            </w:r>
          </w:p>
        </w:tc>
        <w:tc>
          <w:tcPr>
            <w:tcW w:w="1899" w:type="dxa"/>
            <w:shd w:val="clear" w:color="auto" w:fill="auto"/>
          </w:tcPr>
          <w:p w14:paraId="10BB0309" w14:textId="77777777" w:rsidR="00A052DC" w:rsidRDefault="009F0A60">
            <w:pPr>
              <w:jc w:val="center"/>
              <w:rPr>
                <w:rFonts w:ascii="黑体" w:eastAsia="黑体" w:hAnsi="黑体"/>
                <w:sz w:val="20"/>
                <w:szCs w:val="20"/>
              </w:rPr>
            </w:pPr>
            <w:r>
              <w:rPr>
                <w:rFonts w:ascii="黑体" w:eastAsia="黑体" w:hAnsi="黑体"/>
                <w:sz w:val="20"/>
                <w:szCs w:val="20"/>
              </w:rPr>
              <w:t>1301</w:t>
            </w:r>
          </w:p>
        </w:tc>
      </w:tr>
      <w:tr w:rsidR="00A052DC" w14:paraId="2763DB7A" w14:textId="77777777" w:rsidTr="00197ADB">
        <w:tc>
          <w:tcPr>
            <w:tcW w:w="1526" w:type="dxa"/>
            <w:vMerge/>
            <w:shd w:val="clear" w:color="auto" w:fill="auto"/>
            <w:vAlign w:val="center"/>
          </w:tcPr>
          <w:p w14:paraId="749CB920" w14:textId="77777777" w:rsidR="00A052DC" w:rsidRDefault="00A052DC">
            <w:pPr>
              <w:rPr>
                <w:rFonts w:ascii="黑体" w:eastAsia="黑体" w:hAnsi="黑体"/>
                <w:b/>
                <w:bCs/>
                <w:sz w:val="20"/>
                <w:szCs w:val="20"/>
              </w:rPr>
            </w:pPr>
          </w:p>
        </w:tc>
        <w:tc>
          <w:tcPr>
            <w:tcW w:w="1559" w:type="dxa"/>
            <w:vMerge/>
            <w:shd w:val="clear" w:color="auto" w:fill="auto"/>
            <w:vAlign w:val="center"/>
          </w:tcPr>
          <w:p w14:paraId="3B77076C" w14:textId="77777777" w:rsidR="00563761" w:rsidRDefault="00563761">
            <w:pPr>
              <w:jc w:val="center"/>
              <w:rPr>
                <w:rFonts w:ascii="黑体" w:eastAsia="黑体" w:hAnsi="黑体"/>
                <w:b/>
                <w:bCs/>
                <w:sz w:val="20"/>
                <w:szCs w:val="20"/>
              </w:rPr>
            </w:pPr>
          </w:p>
        </w:tc>
        <w:tc>
          <w:tcPr>
            <w:tcW w:w="3544" w:type="dxa"/>
            <w:shd w:val="clear" w:color="auto" w:fill="auto"/>
            <w:vAlign w:val="center"/>
          </w:tcPr>
          <w:p w14:paraId="60648B61" w14:textId="77777777" w:rsidR="00A052DC" w:rsidRDefault="009F0A60">
            <w:pPr>
              <w:rPr>
                <w:rFonts w:ascii="黑体" w:eastAsia="黑体" w:hAnsi="黑体"/>
                <w:sz w:val="20"/>
                <w:szCs w:val="20"/>
              </w:rPr>
            </w:pPr>
            <w:r>
              <w:rPr>
                <w:rFonts w:ascii="黑体" w:eastAsia="黑体" w:hAnsi="黑体" w:hint="eastAsia"/>
                <w:sz w:val="20"/>
                <w:szCs w:val="20"/>
              </w:rPr>
              <w:t>境外联行及附属机构往来</w:t>
            </w:r>
          </w:p>
        </w:tc>
        <w:tc>
          <w:tcPr>
            <w:tcW w:w="1899" w:type="dxa"/>
            <w:shd w:val="clear" w:color="auto" w:fill="auto"/>
          </w:tcPr>
          <w:p w14:paraId="0C43FD94" w14:textId="77777777" w:rsidR="00A052DC" w:rsidRDefault="009F0A60">
            <w:pPr>
              <w:jc w:val="center"/>
              <w:rPr>
                <w:rFonts w:ascii="黑体" w:eastAsia="黑体" w:hAnsi="黑体"/>
                <w:sz w:val="20"/>
                <w:szCs w:val="20"/>
              </w:rPr>
            </w:pPr>
            <w:r>
              <w:rPr>
                <w:rFonts w:ascii="黑体" w:eastAsia="黑体" w:hAnsi="黑体"/>
                <w:sz w:val="20"/>
                <w:szCs w:val="20"/>
              </w:rPr>
              <w:t>1302</w:t>
            </w:r>
          </w:p>
        </w:tc>
      </w:tr>
      <w:tr w:rsidR="00A052DC" w14:paraId="5D47D4E2" w14:textId="77777777" w:rsidTr="00197ADB">
        <w:tc>
          <w:tcPr>
            <w:tcW w:w="1526" w:type="dxa"/>
            <w:vMerge/>
            <w:shd w:val="clear" w:color="auto" w:fill="auto"/>
            <w:vAlign w:val="center"/>
          </w:tcPr>
          <w:p w14:paraId="3CE7A073" w14:textId="77777777" w:rsidR="00A052DC" w:rsidRDefault="00A052DC">
            <w:pPr>
              <w:rPr>
                <w:rFonts w:ascii="黑体" w:eastAsia="黑体" w:hAnsi="黑体"/>
                <w:b/>
                <w:bCs/>
                <w:sz w:val="20"/>
                <w:szCs w:val="20"/>
              </w:rPr>
            </w:pPr>
          </w:p>
        </w:tc>
        <w:tc>
          <w:tcPr>
            <w:tcW w:w="1559" w:type="dxa"/>
            <w:vMerge/>
            <w:shd w:val="clear" w:color="auto" w:fill="auto"/>
            <w:vAlign w:val="center"/>
          </w:tcPr>
          <w:p w14:paraId="1D034069" w14:textId="77777777" w:rsidR="00563761" w:rsidRDefault="00563761">
            <w:pPr>
              <w:jc w:val="center"/>
              <w:rPr>
                <w:rFonts w:ascii="黑体" w:eastAsia="黑体" w:hAnsi="黑体"/>
                <w:b/>
                <w:bCs/>
                <w:sz w:val="20"/>
                <w:szCs w:val="20"/>
              </w:rPr>
            </w:pPr>
          </w:p>
        </w:tc>
        <w:tc>
          <w:tcPr>
            <w:tcW w:w="3544" w:type="dxa"/>
            <w:shd w:val="clear" w:color="auto" w:fill="auto"/>
            <w:vAlign w:val="center"/>
          </w:tcPr>
          <w:p w14:paraId="20CAAD73" w14:textId="77777777" w:rsidR="00A052DC" w:rsidRDefault="009F0A60">
            <w:pPr>
              <w:rPr>
                <w:rFonts w:ascii="黑体" w:eastAsia="黑体" w:hAnsi="黑体"/>
                <w:sz w:val="20"/>
                <w:szCs w:val="20"/>
              </w:rPr>
            </w:pPr>
            <w:r>
              <w:rPr>
                <w:rFonts w:ascii="黑体" w:eastAsia="黑体" w:hAnsi="黑体" w:hint="eastAsia"/>
                <w:sz w:val="20"/>
                <w:szCs w:val="20"/>
              </w:rPr>
              <w:t>非居民机构存款</w:t>
            </w:r>
          </w:p>
        </w:tc>
        <w:tc>
          <w:tcPr>
            <w:tcW w:w="1899" w:type="dxa"/>
            <w:shd w:val="clear" w:color="auto" w:fill="auto"/>
          </w:tcPr>
          <w:p w14:paraId="1A6CDC30" w14:textId="77777777" w:rsidR="00A052DC" w:rsidRDefault="009F0A60">
            <w:pPr>
              <w:jc w:val="center"/>
              <w:rPr>
                <w:rFonts w:ascii="黑体" w:eastAsia="黑体" w:hAnsi="黑体"/>
                <w:sz w:val="20"/>
                <w:szCs w:val="20"/>
              </w:rPr>
            </w:pPr>
            <w:r>
              <w:rPr>
                <w:rFonts w:ascii="黑体" w:eastAsia="黑体" w:hAnsi="黑体"/>
                <w:sz w:val="20"/>
                <w:szCs w:val="20"/>
              </w:rPr>
              <w:t>1303</w:t>
            </w:r>
          </w:p>
        </w:tc>
      </w:tr>
      <w:tr w:rsidR="00A052DC" w14:paraId="5C7C0FAD" w14:textId="77777777" w:rsidTr="00197ADB">
        <w:tc>
          <w:tcPr>
            <w:tcW w:w="1526" w:type="dxa"/>
            <w:vMerge/>
            <w:shd w:val="clear" w:color="auto" w:fill="auto"/>
            <w:vAlign w:val="center"/>
          </w:tcPr>
          <w:p w14:paraId="27BECBD4" w14:textId="77777777" w:rsidR="00A052DC" w:rsidRDefault="00A052DC">
            <w:pPr>
              <w:rPr>
                <w:rFonts w:ascii="黑体" w:eastAsia="黑体" w:hAnsi="黑体"/>
                <w:b/>
                <w:bCs/>
                <w:sz w:val="20"/>
                <w:szCs w:val="20"/>
              </w:rPr>
            </w:pPr>
          </w:p>
        </w:tc>
        <w:tc>
          <w:tcPr>
            <w:tcW w:w="1559" w:type="dxa"/>
            <w:vMerge/>
            <w:shd w:val="clear" w:color="auto" w:fill="auto"/>
            <w:vAlign w:val="center"/>
          </w:tcPr>
          <w:p w14:paraId="5D9E42CE" w14:textId="77777777" w:rsidR="00563761" w:rsidRDefault="00563761">
            <w:pPr>
              <w:jc w:val="center"/>
              <w:rPr>
                <w:rFonts w:ascii="黑体" w:eastAsia="黑体" w:hAnsi="黑体"/>
                <w:b/>
                <w:bCs/>
                <w:sz w:val="20"/>
                <w:szCs w:val="20"/>
              </w:rPr>
            </w:pPr>
          </w:p>
        </w:tc>
        <w:tc>
          <w:tcPr>
            <w:tcW w:w="3544" w:type="dxa"/>
            <w:shd w:val="clear" w:color="auto" w:fill="auto"/>
            <w:vAlign w:val="center"/>
          </w:tcPr>
          <w:p w14:paraId="1B75BAEB" w14:textId="77777777" w:rsidR="00A052DC" w:rsidRDefault="009F0A60">
            <w:pPr>
              <w:rPr>
                <w:rFonts w:ascii="黑体" w:eastAsia="黑体" w:hAnsi="黑体"/>
                <w:sz w:val="20"/>
                <w:szCs w:val="20"/>
              </w:rPr>
            </w:pPr>
            <w:r>
              <w:rPr>
                <w:rFonts w:ascii="黑体" w:eastAsia="黑体" w:hAnsi="黑体" w:hint="eastAsia"/>
                <w:sz w:val="20"/>
                <w:szCs w:val="20"/>
              </w:rPr>
              <w:t>非居民个人存款</w:t>
            </w:r>
          </w:p>
        </w:tc>
        <w:tc>
          <w:tcPr>
            <w:tcW w:w="1899" w:type="dxa"/>
            <w:shd w:val="clear" w:color="auto" w:fill="auto"/>
          </w:tcPr>
          <w:p w14:paraId="0E909A4C" w14:textId="77777777" w:rsidR="00A052DC" w:rsidRDefault="009F0A60">
            <w:pPr>
              <w:jc w:val="center"/>
              <w:rPr>
                <w:rFonts w:ascii="黑体" w:eastAsia="黑体" w:hAnsi="黑体"/>
                <w:sz w:val="20"/>
                <w:szCs w:val="20"/>
              </w:rPr>
            </w:pPr>
            <w:r>
              <w:rPr>
                <w:rFonts w:ascii="黑体" w:eastAsia="黑体" w:hAnsi="黑体"/>
                <w:sz w:val="20"/>
                <w:szCs w:val="20"/>
              </w:rPr>
              <w:t>1304</w:t>
            </w:r>
          </w:p>
        </w:tc>
      </w:tr>
      <w:tr w:rsidR="00A052DC" w14:paraId="38F78624" w14:textId="77777777" w:rsidTr="00197ADB">
        <w:tc>
          <w:tcPr>
            <w:tcW w:w="1526" w:type="dxa"/>
            <w:vMerge/>
            <w:shd w:val="clear" w:color="auto" w:fill="auto"/>
            <w:vAlign w:val="center"/>
          </w:tcPr>
          <w:p w14:paraId="1E725749" w14:textId="77777777" w:rsidR="00A052DC" w:rsidRDefault="00A052DC">
            <w:pPr>
              <w:rPr>
                <w:rFonts w:ascii="黑体" w:eastAsia="黑体" w:hAnsi="黑体"/>
                <w:b/>
                <w:bCs/>
                <w:sz w:val="20"/>
                <w:szCs w:val="20"/>
              </w:rPr>
            </w:pPr>
          </w:p>
        </w:tc>
        <w:tc>
          <w:tcPr>
            <w:tcW w:w="1559" w:type="dxa"/>
            <w:vMerge/>
            <w:shd w:val="clear" w:color="auto" w:fill="auto"/>
            <w:vAlign w:val="center"/>
          </w:tcPr>
          <w:p w14:paraId="238B5387" w14:textId="77777777" w:rsidR="00563761" w:rsidRDefault="00563761">
            <w:pPr>
              <w:jc w:val="center"/>
              <w:rPr>
                <w:rFonts w:ascii="黑体" w:eastAsia="黑体" w:hAnsi="黑体"/>
                <w:b/>
                <w:bCs/>
                <w:sz w:val="20"/>
                <w:szCs w:val="20"/>
              </w:rPr>
            </w:pPr>
          </w:p>
        </w:tc>
        <w:tc>
          <w:tcPr>
            <w:tcW w:w="3544" w:type="dxa"/>
            <w:shd w:val="clear" w:color="auto" w:fill="auto"/>
            <w:vAlign w:val="center"/>
          </w:tcPr>
          <w:p w14:paraId="33102AE0" w14:textId="77777777" w:rsidR="00A052DC" w:rsidRDefault="009F0A60">
            <w:pPr>
              <w:rPr>
                <w:rFonts w:ascii="黑体" w:eastAsia="黑体" w:hAnsi="黑体"/>
                <w:sz w:val="20"/>
                <w:szCs w:val="20"/>
              </w:rPr>
            </w:pPr>
            <w:r>
              <w:rPr>
                <w:rFonts w:ascii="黑体" w:eastAsia="黑体" w:hAnsi="黑体" w:hint="eastAsia"/>
                <w:sz w:val="20"/>
                <w:szCs w:val="20"/>
              </w:rPr>
              <w:t>货币</w:t>
            </w:r>
          </w:p>
        </w:tc>
        <w:tc>
          <w:tcPr>
            <w:tcW w:w="1899" w:type="dxa"/>
            <w:shd w:val="clear" w:color="auto" w:fill="auto"/>
          </w:tcPr>
          <w:p w14:paraId="0E499C22" w14:textId="77777777" w:rsidR="00A052DC" w:rsidRDefault="009F0A60">
            <w:pPr>
              <w:jc w:val="center"/>
              <w:rPr>
                <w:rFonts w:ascii="黑体" w:eastAsia="黑体" w:hAnsi="黑体"/>
                <w:sz w:val="20"/>
                <w:szCs w:val="20"/>
              </w:rPr>
            </w:pPr>
            <w:r>
              <w:rPr>
                <w:rFonts w:ascii="黑体" w:eastAsia="黑体" w:hAnsi="黑体"/>
                <w:sz w:val="20"/>
                <w:szCs w:val="20"/>
              </w:rPr>
              <w:t>1305</w:t>
            </w:r>
          </w:p>
        </w:tc>
      </w:tr>
      <w:tr w:rsidR="00A052DC" w14:paraId="20D97F8D" w14:textId="77777777" w:rsidTr="00197ADB">
        <w:tc>
          <w:tcPr>
            <w:tcW w:w="1526" w:type="dxa"/>
            <w:shd w:val="clear" w:color="auto" w:fill="auto"/>
            <w:vAlign w:val="center"/>
          </w:tcPr>
          <w:p w14:paraId="0AE1D8FD" w14:textId="77777777" w:rsidR="00A052DC" w:rsidRDefault="009F0A60">
            <w:pPr>
              <w:rPr>
                <w:rFonts w:ascii="黑体" w:eastAsia="黑体" w:hAnsi="黑体"/>
                <w:sz w:val="20"/>
                <w:szCs w:val="20"/>
              </w:rPr>
            </w:pPr>
            <w:r>
              <w:rPr>
                <w:rFonts w:ascii="黑体" w:eastAsia="黑体" w:hAnsi="黑体" w:hint="eastAsia"/>
                <w:sz w:val="20"/>
                <w:szCs w:val="20"/>
              </w:rPr>
              <w:t>其他外债</w:t>
            </w:r>
          </w:p>
        </w:tc>
        <w:tc>
          <w:tcPr>
            <w:tcW w:w="1559" w:type="dxa"/>
            <w:shd w:val="clear" w:color="auto" w:fill="auto"/>
            <w:vAlign w:val="center"/>
          </w:tcPr>
          <w:p w14:paraId="154E2772" w14:textId="77777777" w:rsidR="00563761" w:rsidRDefault="009F0A60">
            <w:pPr>
              <w:jc w:val="center"/>
              <w:rPr>
                <w:rFonts w:ascii="黑体" w:eastAsia="黑体" w:hAnsi="黑体"/>
                <w:sz w:val="20"/>
                <w:szCs w:val="20"/>
              </w:rPr>
            </w:pPr>
            <w:r>
              <w:rPr>
                <w:rFonts w:ascii="黑体" w:eastAsia="黑体" w:hAnsi="黑体"/>
                <w:sz w:val="20"/>
                <w:szCs w:val="20"/>
              </w:rPr>
              <w:t>99</w:t>
            </w:r>
          </w:p>
        </w:tc>
        <w:tc>
          <w:tcPr>
            <w:tcW w:w="3544" w:type="dxa"/>
            <w:shd w:val="clear" w:color="auto" w:fill="auto"/>
            <w:vAlign w:val="center"/>
          </w:tcPr>
          <w:p w14:paraId="724C0977" w14:textId="77777777" w:rsidR="00A052DC" w:rsidRDefault="009F0A60">
            <w:pPr>
              <w:rPr>
                <w:rFonts w:ascii="黑体" w:eastAsia="黑体" w:hAnsi="黑体"/>
                <w:sz w:val="20"/>
                <w:szCs w:val="20"/>
              </w:rPr>
            </w:pPr>
            <w:r>
              <w:rPr>
                <w:rFonts w:ascii="黑体" w:eastAsia="黑体" w:hAnsi="黑体" w:hint="eastAsia"/>
                <w:sz w:val="20"/>
                <w:szCs w:val="20"/>
              </w:rPr>
              <w:t>其他外债</w:t>
            </w:r>
          </w:p>
        </w:tc>
        <w:tc>
          <w:tcPr>
            <w:tcW w:w="1899" w:type="dxa"/>
            <w:shd w:val="clear" w:color="auto" w:fill="auto"/>
          </w:tcPr>
          <w:p w14:paraId="6A141E40" w14:textId="77777777" w:rsidR="00A052DC" w:rsidRDefault="009F0A60">
            <w:pPr>
              <w:jc w:val="center"/>
              <w:rPr>
                <w:rFonts w:ascii="黑体" w:eastAsia="黑体" w:hAnsi="黑体"/>
                <w:sz w:val="20"/>
                <w:szCs w:val="20"/>
              </w:rPr>
            </w:pPr>
            <w:r>
              <w:rPr>
                <w:rFonts w:ascii="黑体" w:eastAsia="黑体" w:hAnsi="黑体"/>
                <w:sz w:val="20"/>
                <w:szCs w:val="20"/>
              </w:rPr>
              <w:t>9900</w:t>
            </w:r>
          </w:p>
        </w:tc>
      </w:tr>
    </w:tbl>
    <w:p w14:paraId="52FF1931" w14:textId="77777777" w:rsidR="00A052DC" w:rsidRDefault="00A052DC">
      <w:pPr>
        <w:tabs>
          <w:tab w:val="left" w:pos="1140"/>
          <w:tab w:val="left" w:pos="3348"/>
          <w:tab w:val="left" w:pos="5688"/>
        </w:tabs>
        <w:ind w:firstLine="480"/>
        <w:jc w:val="left"/>
        <w:rPr>
          <w:rFonts w:ascii="宋体" w:hAnsi="宋体"/>
        </w:rPr>
      </w:pPr>
    </w:p>
    <w:p w14:paraId="1F7645E5" w14:textId="77777777" w:rsidR="00A052DC" w:rsidRDefault="009F0A60" w:rsidP="0020251D">
      <w:pPr>
        <w:pStyle w:val="3"/>
        <w:ind w:left="0"/>
        <w:rPr>
          <w:rFonts w:ascii="Times New Roman" w:hAnsi="Times New Roman"/>
        </w:rPr>
      </w:pPr>
      <w:bookmarkStart w:id="4845" w:name="_Toc380356336"/>
      <w:bookmarkStart w:id="4846" w:name="_Toc454394795"/>
      <w:bookmarkStart w:id="4847" w:name="_Toc91455537"/>
      <w:bookmarkStart w:id="4848" w:name="_Toc328635609"/>
      <w:bookmarkStart w:id="4849" w:name="_Toc101684562"/>
      <w:r>
        <w:rPr>
          <w:rFonts w:ascii="Times New Roman" w:hAnsi="Times New Roman" w:hint="eastAsia"/>
        </w:rPr>
        <w:t>部分债权人代码</w:t>
      </w:r>
      <w:bookmarkEnd w:id="4845"/>
      <w:bookmarkEnd w:id="4846"/>
      <w:bookmarkEnd w:id="4847"/>
      <w:bookmarkEnd w:id="4848"/>
      <w:bookmarkEnd w:id="484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
        <w:gridCol w:w="2172"/>
        <w:gridCol w:w="2172"/>
        <w:gridCol w:w="2162"/>
      </w:tblGrid>
      <w:tr w:rsidR="00A052DC" w14:paraId="2D3AED83" w14:textId="77777777" w:rsidTr="00830682">
        <w:tc>
          <w:tcPr>
            <w:tcW w:w="2007" w:type="dxa"/>
            <w:shd w:val="clear" w:color="auto" w:fill="BFBFBF" w:themeFill="background1" w:themeFillShade="BF"/>
            <w:vAlign w:val="center"/>
          </w:tcPr>
          <w:p w14:paraId="1764148C" w14:textId="77777777" w:rsidR="00881462" w:rsidRDefault="00881462">
            <w:pPr>
              <w:pStyle w:val="B1"/>
              <w:rPr>
                <w:b w:val="0"/>
                <w:bCs/>
                <w:kern w:val="44"/>
                <w:sz w:val="44"/>
              </w:rPr>
            </w:pPr>
          </w:p>
        </w:tc>
        <w:tc>
          <w:tcPr>
            <w:tcW w:w="2172" w:type="dxa"/>
            <w:shd w:val="clear" w:color="auto" w:fill="BFBFBF" w:themeFill="background1" w:themeFillShade="BF"/>
            <w:vAlign w:val="center"/>
          </w:tcPr>
          <w:p w14:paraId="7574F4BB" w14:textId="77777777" w:rsidR="00881462" w:rsidRDefault="009F0A60">
            <w:pPr>
              <w:pStyle w:val="B1"/>
              <w:rPr>
                <w:kern w:val="2"/>
                <w:sz w:val="21"/>
              </w:rPr>
            </w:pPr>
            <w:r>
              <w:rPr>
                <w:rFonts w:hint="eastAsia"/>
              </w:rPr>
              <w:t>债权人代码编码规则</w:t>
            </w:r>
          </w:p>
        </w:tc>
        <w:tc>
          <w:tcPr>
            <w:tcW w:w="2172" w:type="dxa"/>
            <w:shd w:val="clear" w:color="auto" w:fill="BFBFBF" w:themeFill="background1" w:themeFillShade="BF"/>
            <w:vAlign w:val="center"/>
          </w:tcPr>
          <w:p w14:paraId="22DD9AC7" w14:textId="77777777" w:rsidR="00881462" w:rsidRDefault="009F0A60">
            <w:pPr>
              <w:pStyle w:val="B1"/>
              <w:rPr>
                <w:kern w:val="2"/>
                <w:sz w:val="21"/>
              </w:rPr>
            </w:pPr>
            <w:r>
              <w:rPr>
                <w:rFonts w:hint="eastAsia"/>
              </w:rPr>
              <w:t>债权人中文名称命名规则</w:t>
            </w:r>
          </w:p>
        </w:tc>
        <w:tc>
          <w:tcPr>
            <w:tcW w:w="2162" w:type="dxa"/>
            <w:shd w:val="clear" w:color="auto" w:fill="BFBFBF" w:themeFill="background1" w:themeFillShade="BF"/>
            <w:vAlign w:val="center"/>
          </w:tcPr>
          <w:p w14:paraId="2A878D0D" w14:textId="77777777" w:rsidR="00881462" w:rsidRDefault="009F0A60">
            <w:pPr>
              <w:pStyle w:val="B1"/>
              <w:rPr>
                <w:kern w:val="2"/>
                <w:sz w:val="21"/>
              </w:rPr>
            </w:pPr>
            <w:r>
              <w:rPr>
                <w:rFonts w:hint="eastAsia"/>
              </w:rPr>
              <w:t>债权人英文名称命名规则</w:t>
            </w:r>
          </w:p>
        </w:tc>
      </w:tr>
      <w:tr w:rsidR="00A052DC" w14:paraId="24BBF65A" w14:textId="77777777" w:rsidTr="00197ADB">
        <w:tc>
          <w:tcPr>
            <w:tcW w:w="2007" w:type="dxa"/>
            <w:vAlign w:val="center"/>
          </w:tcPr>
          <w:p w14:paraId="48B6807F" w14:textId="77777777" w:rsidR="00A052DC" w:rsidRDefault="009F0A60">
            <w:pPr>
              <w:pStyle w:val="B"/>
              <w:rPr>
                <w:szCs w:val="20"/>
              </w:rPr>
            </w:pPr>
            <w:r>
              <w:rPr>
                <w:rFonts w:hint="eastAsia"/>
                <w:szCs w:val="20"/>
              </w:rPr>
              <w:t>各国政府</w:t>
            </w:r>
          </w:p>
        </w:tc>
        <w:tc>
          <w:tcPr>
            <w:tcW w:w="2172" w:type="dxa"/>
            <w:vAlign w:val="center"/>
          </w:tcPr>
          <w:p w14:paraId="1C6C7409" w14:textId="77777777" w:rsidR="00A052DC" w:rsidRDefault="009F0A60">
            <w:pPr>
              <w:pStyle w:val="B"/>
              <w:rPr>
                <w:szCs w:val="20"/>
              </w:rPr>
            </w:pPr>
            <w:r>
              <w:rPr>
                <w:szCs w:val="20"/>
              </w:rPr>
              <w:t>GOV+</w:t>
            </w:r>
            <w:r>
              <w:rPr>
                <w:rFonts w:hint="eastAsia"/>
                <w:szCs w:val="20"/>
              </w:rPr>
              <w:t>国家地区代码</w:t>
            </w:r>
          </w:p>
        </w:tc>
        <w:tc>
          <w:tcPr>
            <w:tcW w:w="2172" w:type="dxa"/>
            <w:vAlign w:val="center"/>
          </w:tcPr>
          <w:p w14:paraId="07AC4654" w14:textId="77777777" w:rsidR="00A052DC" w:rsidRDefault="009F0A60">
            <w:pPr>
              <w:pStyle w:val="B"/>
              <w:rPr>
                <w:szCs w:val="20"/>
              </w:rPr>
            </w:pPr>
            <w:r>
              <w:rPr>
                <w:rFonts w:hint="eastAsia"/>
                <w:szCs w:val="20"/>
              </w:rPr>
              <w:t>国家地区代码对应的中文简称</w:t>
            </w:r>
            <w:r>
              <w:rPr>
                <w:szCs w:val="20"/>
              </w:rPr>
              <w:t>+</w:t>
            </w:r>
            <w:r>
              <w:rPr>
                <w:rFonts w:hint="eastAsia"/>
                <w:szCs w:val="20"/>
              </w:rPr>
              <w:t>政府</w:t>
            </w:r>
          </w:p>
        </w:tc>
        <w:tc>
          <w:tcPr>
            <w:tcW w:w="2162" w:type="dxa"/>
            <w:vAlign w:val="center"/>
          </w:tcPr>
          <w:p w14:paraId="7712BBCF" w14:textId="77777777" w:rsidR="00A052DC" w:rsidRDefault="009F0A60">
            <w:pPr>
              <w:pStyle w:val="B"/>
              <w:rPr>
                <w:szCs w:val="20"/>
              </w:rPr>
            </w:pPr>
            <w:r>
              <w:rPr>
                <w:rFonts w:hint="eastAsia"/>
                <w:szCs w:val="20"/>
              </w:rPr>
              <w:t>国家地区代码对应的英文简称</w:t>
            </w:r>
            <w:r>
              <w:rPr>
                <w:szCs w:val="20"/>
              </w:rPr>
              <w:t>+</w:t>
            </w:r>
            <w:r>
              <w:rPr>
                <w:rFonts w:hint="eastAsia"/>
                <w:szCs w:val="20"/>
              </w:rPr>
              <w:t>空格</w:t>
            </w:r>
            <w:r>
              <w:rPr>
                <w:szCs w:val="20"/>
              </w:rPr>
              <w:t>+GOVERNMENT</w:t>
            </w:r>
          </w:p>
        </w:tc>
      </w:tr>
      <w:tr w:rsidR="00A052DC" w14:paraId="0CE15F3F" w14:textId="77777777" w:rsidTr="00197ADB">
        <w:tc>
          <w:tcPr>
            <w:tcW w:w="2007" w:type="dxa"/>
            <w:vAlign w:val="center"/>
          </w:tcPr>
          <w:p w14:paraId="59E6A1CD" w14:textId="77777777" w:rsidR="00A052DC" w:rsidRDefault="009F0A60">
            <w:pPr>
              <w:pStyle w:val="B"/>
              <w:rPr>
                <w:szCs w:val="20"/>
              </w:rPr>
            </w:pPr>
            <w:r>
              <w:rPr>
                <w:rFonts w:hint="eastAsia"/>
                <w:szCs w:val="20"/>
              </w:rPr>
              <w:t>各国中央银行</w:t>
            </w:r>
          </w:p>
        </w:tc>
        <w:tc>
          <w:tcPr>
            <w:tcW w:w="2172" w:type="dxa"/>
            <w:vAlign w:val="center"/>
          </w:tcPr>
          <w:p w14:paraId="7FDA1DC5" w14:textId="77777777" w:rsidR="00A052DC" w:rsidRDefault="009F0A60">
            <w:pPr>
              <w:pStyle w:val="B"/>
              <w:rPr>
                <w:szCs w:val="20"/>
              </w:rPr>
            </w:pPr>
            <w:r>
              <w:rPr>
                <w:szCs w:val="20"/>
              </w:rPr>
              <w:t>CEB+</w:t>
            </w:r>
            <w:r>
              <w:rPr>
                <w:rFonts w:hint="eastAsia"/>
                <w:szCs w:val="20"/>
              </w:rPr>
              <w:t>国家地区代码</w:t>
            </w:r>
          </w:p>
        </w:tc>
        <w:tc>
          <w:tcPr>
            <w:tcW w:w="2172" w:type="dxa"/>
            <w:vAlign w:val="center"/>
          </w:tcPr>
          <w:p w14:paraId="6DB508C6" w14:textId="77777777" w:rsidR="00A052DC" w:rsidRDefault="009F0A60">
            <w:pPr>
              <w:pStyle w:val="B"/>
              <w:rPr>
                <w:szCs w:val="20"/>
              </w:rPr>
            </w:pPr>
            <w:r>
              <w:rPr>
                <w:rFonts w:hint="eastAsia"/>
                <w:szCs w:val="20"/>
              </w:rPr>
              <w:t>国家地区代码对应的中文简称</w:t>
            </w:r>
            <w:r>
              <w:rPr>
                <w:szCs w:val="20"/>
              </w:rPr>
              <w:t>+</w:t>
            </w:r>
            <w:r>
              <w:rPr>
                <w:rFonts w:hint="eastAsia"/>
                <w:szCs w:val="20"/>
              </w:rPr>
              <w:t>中央银行</w:t>
            </w:r>
          </w:p>
        </w:tc>
        <w:tc>
          <w:tcPr>
            <w:tcW w:w="2162" w:type="dxa"/>
            <w:vAlign w:val="center"/>
          </w:tcPr>
          <w:p w14:paraId="551E77A9" w14:textId="77777777" w:rsidR="00A052DC" w:rsidRDefault="009F0A60">
            <w:pPr>
              <w:pStyle w:val="B"/>
              <w:rPr>
                <w:szCs w:val="20"/>
              </w:rPr>
            </w:pPr>
            <w:r>
              <w:rPr>
                <w:rFonts w:hint="eastAsia"/>
                <w:szCs w:val="20"/>
              </w:rPr>
              <w:t>国家地区代码对应的英文简称</w:t>
            </w:r>
            <w:r>
              <w:rPr>
                <w:szCs w:val="20"/>
              </w:rPr>
              <w:t>+</w:t>
            </w:r>
            <w:r>
              <w:rPr>
                <w:rFonts w:hint="eastAsia"/>
                <w:szCs w:val="20"/>
              </w:rPr>
              <w:t>空格</w:t>
            </w:r>
            <w:r>
              <w:rPr>
                <w:szCs w:val="20"/>
              </w:rPr>
              <w:t>+CENTRAL+</w:t>
            </w:r>
            <w:r>
              <w:rPr>
                <w:rFonts w:hint="eastAsia"/>
                <w:szCs w:val="20"/>
              </w:rPr>
              <w:t>空格</w:t>
            </w:r>
            <w:r>
              <w:rPr>
                <w:szCs w:val="20"/>
              </w:rPr>
              <w:t>+BANK</w:t>
            </w:r>
          </w:p>
        </w:tc>
      </w:tr>
      <w:tr w:rsidR="00A052DC" w14:paraId="776E27C7" w14:textId="77777777" w:rsidTr="00197ADB">
        <w:tc>
          <w:tcPr>
            <w:tcW w:w="2007" w:type="dxa"/>
            <w:vAlign w:val="center"/>
          </w:tcPr>
          <w:p w14:paraId="3D0FA6FD" w14:textId="77777777" w:rsidR="00A052DC" w:rsidRDefault="009F0A60">
            <w:pPr>
              <w:pStyle w:val="B"/>
              <w:rPr>
                <w:szCs w:val="20"/>
              </w:rPr>
            </w:pPr>
            <w:r>
              <w:rPr>
                <w:rFonts w:hint="eastAsia"/>
                <w:szCs w:val="20"/>
              </w:rPr>
              <w:t>各国资本市场</w:t>
            </w:r>
          </w:p>
        </w:tc>
        <w:tc>
          <w:tcPr>
            <w:tcW w:w="2172" w:type="dxa"/>
            <w:vAlign w:val="center"/>
          </w:tcPr>
          <w:p w14:paraId="1C860D1B" w14:textId="77777777" w:rsidR="00A052DC" w:rsidRDefault="009F0A60">
            <w:pPr>
              <w:pStyle w:val="B"/>
              <w:rPr>
                <w:szCs w:val="20"/>
              </w:rPr>
            </w:pPr>
            <w:r>
              <w:rPr>
                <w:szCs w:val="20"/>
              </w:rPr>
              <w:t>CAP+</w:t>
            </w:r>
            <w:r>
              <w:rPr>
                <w:rFonts w:hint="eastAsia"/>
                <w:szCs w:val="20"/>
              </w:rPr>
              <w:t>国家地区代码</w:t>
            </w:r>
          </w:p>
        </w:tc>
        <w:tc>
          <w:tcPr>
            <w:tcW w:w="2172" w:type="dxa"/>
            <w:vAlign w:val="center"/>
          </w:tcPr>
          <w:p w14:paraId="5DB18C70" w14:textId="77777777" w:rsidR="00A052DC" w:rsidRDefault="009F0A60">
            <w:pPr>
              <w:pStyle w:val="B"/>
              <w:rPr>
                <w:szCs w:val="20"/>
              </w:rPr>
            </w:pPr>
            <w:r>
              <w:rPr>
                <w:rFonts w:hint="eastAsia"/>
                <w:szCs w:val="20"/>
              </w:rPr>
              <w:t>国家地区代码对应的中文简称</w:t>
            </w:r>
            <w:r>
              <w:rPr>
                <w:szCs w:val="20"/>
              </w:rPr>
              <w:t>+</w:t>
            </w:r>
            <w:r>
              <w:rPr>
                <w:rFonts w:hint="eastAsia"/>
                <w:szCs w:val="20"/>
              </w:rPr>
              <w:t>资本市场</w:t>
            </w:r>
          </w:p>
        </w:tc>
        <w:tc>
          <w:tcPr>
            <w:tcW w:w="2162" w:type="dxa"/>
            <w:vAlign w:val="center"/>
          </w:tcPr>
          <w:p w14:paraId="7F659766" w14:textId="77777777" w:rsidR="00A052DC" w:rsidRDefault="009F0A60">
            <w:pPr>
              <w:pStyle w:val="B"/>
              <w:rPr>
                <w:szCs w:val="20"/>
              </w:rPr>
            </w:pPr>
            <w:r>
              <w:rPr>
                <w:rFonts w:hint="eastAsia"/>
                <w:szCs w:val="20"/>
              </w:rPr>
              <w:t>国家地区代码对应的英文简称</w:t>
            </w:r>
            <w:r>
              <w:rPr>
                <w:szCs w:val="20"/>
              </w:rPr>
              <w:t>+</w:t>
            </w:r>
            <w:r>
              <w:rPr>
                <w:rFonts w:hint="eastAsia"/>
                <w:szCs w:val="20"/>
              </w:rPr>
              <w:t>空格</w:t>
            </w:r>
            <w:r>
              <w:rPr>
                <w:szCs w:val="20"/>
              </w:rPr>
              <w:t>+CAPITAL+</w:t>
            </w:r>
            <w:r>
              <w:rPr>
                <w:rFonts w:hint="eastAsia"/>
                <w:szCs w:val="20"/>
              </w:rPr>
              <w:t>空格</w:t>
            </w:r>
            <w:r>
              <w:rPr>
                <w:szCs w:val="20"/>
              </w:rPr>
              <w:t>+MARKET</w:t>
            </w:r>
          </w:p>
        </w:tc>
      </w:tr>
      <w:tr w:rsidR="00A052DC" w14:paraId="13245CA8" w14:textId="77777777" w:rsidTr="00197ADB">
        <w:tc>
          <w:tcPr>
            <w:tcW w:w="2007" w:type="dxa"/>
            <w:vAlign w:val="center"/>
          </w:tcPr>
          <w:p w14:paraId="57F8E3B8" w14:textId="77777777" w:rsidR="00A052DC" w:rsidRDefault="009F0A60">
            <w:pPr>
              <w:pStyle w:val="B"/>
              <w:rPr>
                <w:szCs w:val="20"/>
              </w:rPr>
            </w:pPr>
            <w:r>
              <w:rPr>
                <w:rFonts w:hint="eastAsia"/>
                <w:szCs w:val="20"/>
              </w:rPr>
              <w:t>各国非居民个人</w:t>
            </w:r>
          </w:p>
        </w:tc>
        <w:tc>
          <w:tcPr>
            <w:tcW w:w="2172" w:type="dxa"/>
            <w:vAlign w:val="center"/>
          </w:tcPr>
          <w:p w14:paraId="0244EF60" w14:textId="77777777" w:rsidR="00A052DC" w:rsidRDefault="009F0A60">
            <w:pPr>
              <w:pStyle w:val="B"/>
              <w:rPr>
                <w:szCs w:val="20"/>
              </w:rPr>
            </w:pPr>
            <w:r>
              <w:rPr>
                <w:szCs w:val="20"/>
              </w:rPr>
              <w:t>IDV+</w:t>
            </w:r>
            <w:r>
              <w:rPr>
                <w:rFonts w:hint="eastAsia"/>
                <w:szCs w:val="20"/>
              </w:rPr>
              <w:t>国家地区代码</w:t>
            </w:r>
          </w:p>
        </w:tc>
        <w:tc>
          <w:tcPr>
            <w:tcW w:w="2172" w:type="dxa"/>
            <w:vAlign w:val="center"/>
          </w:tcPr>
          <w:p w14:paraId="299FEE13" w14:textId="77777777" w:rsidR="00A052DC" w:rsidRDefault="009F0A60">
            <w:pPr>
              <w:pStyle w:val="B"/>
              <w:rPr>
                <w:szCs w:val="20"/>
              </w:rPr>
            </w:pPr>
            <w:r>
              <w:rPr>
                <w:rFonts w:hint="eastAsia"/>
                <w:szCs w:val="20"/>
              </w:rPr>
              <w:t>国家地区代码对应的中文简称</w:t>
            </w:r>
            <w:r>
              <w:rPr>
                <w:szCs w:val="20"/>
              </w:rPr>
              <w:t>+</w:t>
            </w:r>
            <w:r>
              <w:rPr>
                <w:rFonts w:hint="eastAsia"/>
                <w:szCs w:val="20"/>
              </w:rPr>
              <w:t>个人</w:t>
            </w:r>
          </w:p>
        </w:tc>
        <w:tc>
          <w:tcPr>
            <w:tcW w:w="2162" w:type="dxa"/>
            <w:vAlign w:val="center"/>
          </w:tcPr>
          <w:p w14:paraId="777D0B38" w14:textId="77777777" w:rsidR="00A052DC" w:rsidRDefault="009F0A60">
            <w:pPr>
              <w:pStyle w:val="B"/>
              <w:rPr>
                <w:szCs w:val="20"/>
              </w:rPr>
            </w:pPr>
            <w:r>
              <w:rPr>
                <w:rFonts w:hint="eastAsia"/>
                <w:szCs w:val="20"/>
              </w:rPr>
              <w:t>国家地区代码对应的英文简称</w:t>
            </w:r>
            <w:r>
              <w:rPr>
                <w:szCs w:val="20"/>
              </w:rPr>
              <w:t>+</w:t>
            </w:r>
            <w:r>
              <w:rPr>
                <w:rFonts w:hint="eastAsia"/>
                <w:szCs w:val="20"/>
              </w:rPr>
              <w:t>空格</w:t>
            </w:r>
            <w:r>
              <w:rPr>
                <w:szCs w:val="20"/>
              </w:rPr>
              <w:t>+INDIVIDUAL</w:t>
            </w:r>
          </w:p>
        </w:tc>
      </w:tr>
    </w:tbl>
    <w:p w14:paraId="75034F80" w14:textId="77777777" w:rsidR="00A052DC" w:rsidRDefault="009F0A60">
      <w:pPr>
        <w:tabs>
          <w:tab w:val="left" w:pos="1140"/>
          <w:tab w:val="left" w:pos="3348"/>
          <w:tab w:val="left" w:pos="5688"/>
        </w:tabs>
        <w:ind w:firstLine="480"/>
        <w:jc w:val="left"/>
        <w:rPr>
          <w:rFonts w:ascii="宋体" w:hAnsi="宋体"/>
        </w:rPr>
      </w:pPr>
      <w:r>
        <w:rPr>
          <w:rFonts w:ascii="宋体" w:hAnsi="宋体" w:hint="eastAsia"/>
        </w:rPr>
        <w:t>举例：如果从美联储借入一笔外债，则债权人中文名称应为“美国中央银行”，债权人英文名称应为“</w:t>
      </w:r>
      <w:r>
        <w:rPr>
          <w:rFonts w:ascii="Cambria" w:hAnsi="Cambria"/>
        </w:rPr>
        <w:t>UNITED STATES OF AMERICA CENTRAL BANK</w:t>
      </w:r>
      <w:r>
        <w:rPr>
          <w:rFonts w:ascii="宋体" w:hAnsi="宋体" w:hint="eastAsia"/>
        </w:rPr>
        <w:t>”</w:t>
      </w:r>
      <w:r>
        <w:rPr>
          <w:rFonts w:ascii="宋体" w:hAnsi="宋体"/>
        </w:rPr>
        <w:t>,债权人代码应为“</w:t>
      </w:r>
      <w:r>
        <w:rPr>
          <w:rFonts w:ascii="Cambria" w:hAnsi="Cambria"/>
        </w:rPr>
        <w:t>CEBUSA</w:t>
      </w:r>
      <w:r>
        <w:rPr>
          <w:rFonts w:ascii="宋体" w:hAnsi="宋体" w:hint="eastAsia"/>
        </w:rPr>
        <w:t>”。</w:t>
      </w:r>
    </w:p>
    <w:p w14:paraId="1B0DE3BA" w14:textId="77777777" w:rsidR="00A052DC" w:rsidRDefault="009F0A60" w:rsidP="0020251D">
      <w:pPr>
        <w:pStyle w:val="3"/>
        <w:ind w:left="0"/>
        <w:rPr>
          <w:rFonts w:ascii="Times New Roman" w:hAnsi="Times New Roman"/>
        </w:rPr>
      </w:pPr>
      <w:bookmarkStart w:id="4850" w:name="_Toc454394796"/>
      <w:bookmarkStart w:id="4851" w:name="_Toc91455538"/>
      <w:bookmarkStart w:id="4852" w:name="_Toc380356339"/>
      <w:bookmarkStart w:id="4853" w:name="_Toc328635610"/>
      <w:bookmarkStart w:id="4854" w:name="_Toc101684563"/>
      <w:r>
        <w:rPr>
          <w:rFonts w:ascii="Times New Roman" w:hAnsi="Times New Roman" w:hint="eastAsia"/>
        </w:rPr>
        <w:t>变动类型</w:t>
      </w:r>
      <w:bookmarkEnd w:id="4850"/>
      <w:bookmarkEnd w:id="4851"/>
      <w:bookmarkEnd w:id="4852"/>
      <w:bookmarkEnd w:id="4853"/>
      <w:bookmarkEnd w:id="4854"/>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8"/>
        <w:gridCol w:w="1449"/>
        <w:gridCol w:w="2552"/>
        <w:gridCol w:w="2694"/>
      </w:tblGrid>
      <w:tr w:rsidR="00A052DC" w14:paraId="43E5A9A3" w14:textId="77777777" w:rsidTr="000F194C">
        <w:trPr>
          <w:tblHeader/>
        </w:trPr>
        <w:tc>
          <w:tcPr>
            <w:tcW w:w="1049" w:type="pct"/>
            <w:tcBorders>
              <w:top w:val="single" w:sz="4" w:space="0" w:color="auto"/>
              <w:left w:val="single" w:sz="4" w:space="0" w:color="auto"/>
              <w:right w:val="single" w:sz="4" w:space="0" w:color="auto"/>
            </w:tcBorders>
            <w:shd w:val="clear" w:color="auto" w:fill="BFBFBF" w:themeFill="background1" w:themeFillShade="BF"/>
            <w:vAlign w:val="center"/>
          </w:tcPr>
          <w:p w14:paraId="7EE624B8" w14:textId="77777777" w:rsidR="00881462" w:rsidRDefault="009F0A60">
            <w:pPr>
              <w:pStyle w:val="B1"/>
            </w:pPr>
            <w:r>
              <w:rPr>
                <w:rFonts w:hint="eastAsia"/>
              </w:rPr>
              <w:t>一级变动类型</w:t>
            </w:r>
          </w:p>
        </w:tc>
        <w:tc>
          <w:tcPr>
            <w:tcW w:w="855" w:type="pct"/>
            <w:tcBorders>
              <w:top w:val="single" w:sz="4" w:space="0" w:color="auto"/>
              <w:left w:val="single" w:sz="4" w:space="0" w:color="auto"/>
              <w:right w:val="single" w:sz="4" w:space="0" w:color="auto"/>
            </w:tcBorders>
            <w:shd w:val="clear" w:color="auto" w:fill="BFBFBF" w:themeFill="background1" w:themeFillShade="BF"/>
            <w:vAlign w:val="center"/>
          </w:tcPr>
          <w:p w14:paraId="5E1B91FD" w14:textId="77777777" w:rsidR="00881462" w:rsidRDefault="009F0A60">
            <w:pPr>
              <w:pStyle w:val="B1"/>
            </w:pPr>
            <w:r>
              <w:rPr>
                <w:rFonts w:hint="eastAsia"/>
              </w:rPr>
              <w:t>一级变动类型代码</w:t>
            </w:r>
          </w:p>
        </w:tc>
        <w:tc>
          <w:tcPr>
            <w:tcW w:w="1506" w:type="pct"/>
            <w:tcBorders>
              <w:top w:val="single" w:sz="4" w:space="0" w:color="auto"/>
              <w:left w:val="single" w:sz="4" w:space="0" w:color="auto"/>
              <w:right w:val="single" w:sz="4" w:space="0" w:color="auto"/>
            </w:tcBorders>
            <w:shd w:val="clear" w:color="auto" w:fill="BFBFBF" w:themeFill="background1" w:themeFillShade="BF"/>
            <w:vAlign w:val="center"/>
          </w:tcPr>
          <w:p w14:paraId="62BC8D85" w14:textId="77777777" w:rsidR="00881462" w:rsidRDefault="009F0A60">
            <w:pPr>
              <w:pStyle w:val="B1"/>
            </w:pPr>
            <w:r>
              <w:rPr>
                <w:rFonts w:hint="eastAsia"/>
              </w:rPr>
              <w:t>二级变动类型</w:t>
            </w:r>
          </w:p>
        </w:tc>
        <w:tc>
          <w:tcPr>
            <w:tcW w:w="159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68E15C2" w14:textId="77777777" w:rsidR="00881462" w:rsidRDefault="009F0A60">
            <w:pPr>
              <w:pStyle w:val="B1"/>
            </w:pPr>
            <w:r>
              <w:rPr>
                <w:rFonts w:hint="eastAsia"/>
              </w:rPr>
              <w:t>二级变动类型代码</w:t>
            </w:r>
          </w:p>
        </w:tc>
      </w:tr>
      <w:tr w:rsidR="00A052DC" w14:paraId="5857C6DE" w14:textId="77777777" w:rsidTr="00197ADB">
        <w:tc>
          <w:tcPr>
            <w:tcW w:w="1049" w:type="pct"/>
            <w:vMerge w:val="restart"/>
            <w:tcBorders>
              <w:top w:val="single" w:sz="4" w:space="0" w:color="auto"/>
              <w:left w:val="single" w:sz="4" w:space="0" w:color="auto"/>
              <w:right w:val="single" w:sz="4" w:space="0" w:color="auto"/>
            </w:tcBorders>
            <w:shd w:val="clear" w:color="auto" w:fill="auto"/>
            <w:vAlign w:val="center"/>
          </w:tcPr>
          <w:p w14:paraId="5CA9BD49" w14:textId="77777777" w:rsidR="00563761" w:rsidRDefault="009F0A60">
            <w:pPr>
              <w:jc w:val="left"/>
              <w:rPr>
                <w:rFonts w:ascii="黑体" w:eastAsia="黑体" w:hAnsi="黑体"/>
                <w:sz w:val="20"/>
                <w:szCs w:val="20"/>
              </w:rPr>
            </w:pPr>
            <w:r>
              <w:rPr>
                <w:rFonts w:ascii="黑体" w:eastAsia="黑体" w:hAnsi="黑体" w:hint="eastAsia"/>
                <w:sz w:val="20"/>
                <w:szCs w:val="20"/>
              </w:rPr>
              <w:t>提款</w:t>
            </w:r>
          </w:p>
        </w:tc>
        <w:tc>
          <w:tcPr>
            <w:tcW w:w="855" w:type="pct"/>
            <w:vMerge w:val="restart"/>
            <w:tcBorders>
              <w:top w:val="single" w:sz="4" w:space="0" w:color="auto"/>
              <w:left w:val="single" w:sz="4" w:space="0" w:color="auto"/>
              <w:right w:val="single" w:sz="4" w:space="0" w:color="auto"/>
            </w:tcBorders>
            <w:shd w:val="clear" w:color="auto" w:fill="auto"/>
            <w:vAlign w:val="center"/>
          </w:tcPr>
          <w:p w14:paraId="76CF8903" w14:textId="77777777" w:rsidR="00881462" w:rsidRDefault="009F0A60">
            <w:pPr>
              <w:jc w:val="center"/>
              <w:rPr>
                <w:rFonts w:ascii="黑体" w:eastAsia="黑体" w:hAnsi="黑体"/>
                <w:sz w:val="20"/>
                <w:szCs w:val="20"/>
              </w:rPr>
            </w:pPr>
            <w:r>
              <w:rPr>
                <w:rFonts w:ascii="黑体" w:eastAsia="黑体" w:hAnsi="黑体" w:hint="eastAsia"/>
                <w:sz w:val="20"/>
                <w:szCs w:val="20"/>
              </w:rPr>
              <w:t>11</w:t>
            </w:r>
          </w:p>
        </w:tc>
        <w:tc>
          <w:tcPr>
            <w:tcW w:w="1506" w:type="pct"/>
            <w:tcBorders>
              <w:top w:val="single" w:sz="4" w:space="0" w:color="auto"/>
              <w:left w:val="single" w:sz="4" w:space="0" w:color="auto"/>
              <w:right w:val="single" w:sz="4" w:space="0" w:color="auto"/>
            </w:tcBorders>
          </w:tcPr>
          <w:p w14:paraId="12C81CB9" w14:textId="77777777" w:rsidR="00A052DC" w:rsidRDefault="009F0A60">
            <w:pPr>
              <w:rPr>
                <w:rFonts w:ascii="黑体" w:eastAsia="黑体" w:hAnsi="黑体"/>
                <w:sz w:val="20"/>
                <w:szCs w:val="20"/>
              </w:rPr>
            </w:pPr>
            <w:r>
              <w:rPr>
                <w:rFonts w:ascii="黑体" w:eastAsia="黑体" w:hAnsi="黑体" w:hint="eastAsia"/>
                <w:sz w:val="20"/>
                <w:szCs w:val="20"/>
              </w:rPr>
              <w:t>资金</w:t>
            </w:r>
          </w:p>
        </w:tc>
        <w:tc>
          <w:tcPr>
            <w:tcW w:w="1590" w:type="pct"/>
            <w:tcBorders>
              <w:top w:val="single" w:sz="4" w:space="0" w:color="auto"/>
              <w:left w:val="single" w:sz="4" w:space="0" w:color="auto"/>
              <w:bottom w:val="single" w:sz="4" w:space="0" w:color="auto"/>
              <w:right w:val="single" w:sz="4" w:space="0" w:color="auto"/>
            </w:tcBorders>
          </w:tcPr>
          <w:p w14:paraId="22029696" w14:textId="77777777" w:rsidR="00881462" w:rsidRDefault="009F0A60">
            <w:pPr>
              <w:jc w:val="center"/>
              <w:rPr>
                <w:rFonts w:ascii="黑体" w:eastAsia="黑体" w:hAnsi="黑体"/>
                <w:sz w:val="20"/>
                <w:szCs w:val="20"/>
              </w:rPr>
            </w:pPr>
            <w:r>
              <w:rPr>
                <w:rFonts w:ascii="黑体" w:eastAsia="黑体" w:hAnsi="黑体" w:hint="eastAsia"/>
                <w:sz w:val="20"/>
                <w:szCs w:val="20"/>
              </w:rPr>
              <w:t>1101</w:t>
            </w:r>
          </w:p>
        </w:tc>
      </w:tr>
      <w:tr w:rsidR="00A052DC" w14:paraId="6AC81D02" w14:textId="77777777" w:rsidTr="00197ADB">
        <w:tc>
          <w:tcPr>
            <w:tcW w:w="1049" w:type="pct"/>
            <w:vMerge/>
            <w:tcBorders>
              <w:left w:val="single" w:sz="4" w:space="0" w:color="auto"/>
              <w:right w:val="single" w:sz="4" w:space="0" w:color="auto"/>
            </w:tcBorders>
            <w:shd w:val="clear" w:color="auto" w:fill="auto"/>
            <w:vAlign w:val="center"/>
          </w:tcPr>
          <w:p w14:paraId="3A750C57" w14:textId="77777777" w:rsidR="00563761" w:rsidRDefault="00563761">
            <w:pPr>
              <w:jc w:val="left"/>
              <w:rPr>
                <w:rFonts w:ascii="黑体" w:eastAsia="黑体" w:hAnsi="黑体"/>
                <w:b/>
                <w:bCs/>
                <w:sz w:val="20"/>
                <w:szCs w:val="20"/>
              </w:rPr>
            </w:pPr>
          </w:p>
        </w:tc>
        <w:tc>
          <w:tcPr>
            <w:tcW w:w="855" w:type="pct"/>
            <w:vMerge/>
            <w:tcBorders>
              <w:left w:val="single" w:sz="4" w:space="0" w:color="auto"/>
              <w:right w:val="single" w:sz="4" w:space="0" w:color="auto"/>
            </w:tcBorders>
            <w:shd w:val="clear" w:color="auto" w:fill="auto"/>
            <w:vAlign w:val="center"/>
          </w:tcPr>
          <w:p w14:paraId="37672957" w14:textId="77777777" w:rsidR="00881462" w:rsidRDefault="00881462">
            <w:pPr>
              <w:jc w:val="center"/>
              <w:rPr>
                <w:rFonts w:ascii="黑体" w:eastAsia="黑体" w:hAnsi="黑体"/>
                <w:b/>
                <w:bCs/>
                <w:sz w:val="20"/>
                <w:szCs w:val="20"/>
              </w:rPr>
            </w:pPr>
          </w:p>
        </w:tc>
        <w:tc>
          <w:tcPr>
            <w:tcW w:w="1506" w:type="pct"/>
            <w:tcBorders>
              <w:left w:val="single" w:sz="4" w:space="0" w:color="auto"/>
              <w:right w:val="single" w:sz="4" w:space="0" w:color="auto"/>
            </w:tcBorders>
          </w:tcPr>
          <w:p w14:paraId="0BA9D03E" w14:textId="77777777" w:rsidR="00A052DC" w:rsidRDefault="009F0A60">
            <w:pPr>
              <w:rPr>
                <w:rFonts w:ascii="黑体" w:eastAsia="黑体" w:hAnsi="黑体"/>
                <w:sz w:val="20"/>
                <w:szCs w:val="20"/>
              </w:rPr>
            </w:pPr>
            <w:r>
              <w:rPr>
                <w:rFonts w:ascii="黑体" w:eastAsia="黑体" w:hAnsi="黑体" w:hint="eastAsia"/>
                <w:sz w:val="20"/>
                <w:szCs w:val="20"/>
              </w:rPr>
              <w:t>实物</w:t>
            </w:r>
          </w:p>
        </w:tc>
        <w:tc>
          <w:tcPr>
            <w:tcW w:w="1590" w:type="pct"/>
            <w:tcBorders>
              <w:top w:val="single" w:sz="4" w:space="0" w:color="auto"/>
              <w:left w:val="single" w:sz="4" w:space="0" w:color="auto"/>
              <w:bottom w:val="single" w:sz="4" w:space="0" w:color="auto"/>
              <w:right w:val="single" w:sz="4" w:space="0" w:color="auto"/>
            </w:tcBorders>
          </w:tcPr>
          <w:p w14:paraId="0CA681A4" w14:textId="77777777" w:rsidR="00881462" w:rsidRDefault="009F0A60">
            <w:pPr>
              <w:jc w:val="center"/>
              <w:rPr>
                <w:rFonts w:ascii="黑体" w:eastAsia="黑体" w:hAnsi="黑体"/>
                <w:sz w:val="20"/>
                <w:szCs w:val="20"/>
              </w:rPr>
            </w:pPr>
            <w:r>
              <w:rPr>
                <w:rFonts w:ascii="黑体" w:eastAsia="黑体" w:hAnsi="黑体" w:hint="eastAsia"/>
                <w:sz w:val="20"/>
                <w:szCs w:val="20"/>
              </w:rPr>
              <w:t>1102</w:t>
            </w:r>
          </w:p>
        </w:tc>
      </w:tr>
      <w:tr w:rsidR="00A052DC" w14:paraId="2D170CD6" w14:textId="77777777" w:rsidTr="00197ADB">
        <w:tc>
          <w:tcPr>
            <w:tcW w:w="1049" w:type="pct"/>
            <w:vMerge/>
            <w:tcBorders>
              <w:left w:val="single" w:sz="4" w:space="0" w:color="auto"/>
              <w:right w:val="single" w:sz="4" w:space="0" w:color="auto"/>
            </w:tcBorders>
            <w:shd w:val="clear" w:color="auto" w:fill="auto"/>
            <w:vAlign w:val="center"/>
          </w:tcPr>
          <w:p w14:paraId="1A0DCAEB" w14:textId="77777777" w:rsidR="00563761" w:rsidRDefault="00563761">
            <w:pPr>
              <w:jc w:val="left"/>
              <w:rPr>
                <w:rFonts w:ascii="黑体" w:eastAsia="黑体" w:hAnsi="黑体"/>
                <w:b/>
                <w:bCs/>
                <w:sz w:val="20"/>
                <w:szCs w:val="20"/>
              </w:rPr>
            </w:pPr>
          </w:p>
        </w:tc>
        <w:tc>
          <w:tcPr>
            <w:tcW w:w="855" w:type="pct"/>
            <w:vMerge/>
            <w:tcBorders>
              <w:left w:val="single" w:sz="4" w:space="0" w:color="auto"/>
              <w:right w:val="single" w:sz="4" w:space="0" w:color="auto"/>
            </w:tcBorders>
            <w:shd w:val="clear" w:color="auto" w:fill="auto"/>
            <w:vAlign w:val="center"/>
          </w:tcPr>
          <w:p w14:paraId="1E2E5025" w14:textId="77777777" w:rsidR="00881462" w:rsidRDefault="00881462">
            <w:pPr>
              <w:jc w:val="center"/>
              <w:rPr>
                <w:rFonts w:ascii="黑体" w:eastAsia="黑体" w:hAnsi="黑体"/>
                <w:b/>
                <w:bCs/>
                <w:sz w:val="20"/>
                <w:szCs w:val="20"/>
              </w:rPr>
            </w:pPr>
          </w:p>
        </w:tc>
        <w:tc>
          <w:tcPr>
            <w:tcW w:w="1506" w:type="pct"/>
            <w:tcBorders>
              <w:left w:val="single" w:sz="4" w:space="0" w:color="auto"/>
              <w:right w:val="single" w:sz="4" w:space="0" w:color="auto"/>
            </w:tcBorders>
          </w:tcPr>
          <w:p w14:paraId="71C56CD0" w14:textId="77777777" w:rsidR="00A052DC" w:rsidRDefault="009F0A60">
            <w:pPr>
              <w:rPr>
                <w:rFonts w:ascii="黑体" w:eastAsia="黑体" w:hAnsi="黑体"/>
                <w:sz w:val="20"/>
                <w:szCs w:val="20"/>
              </w:rPr>
            </w:pPr>
            <w:r>
              <w:rPr>
                <w:rFonts w:ascii="黑体" w:eastAsia="黑体" w:hAnsi="黑体" w:hint="eastAsia"/>
                <w:sz w:val="20"/>
                <w:szCs w:val="20"/>
              </w:rPr>
              <w:t>利息本金化</w:t>
            </w:r>
          </w:p>
        </w:tc>
        <w:tc>
          <w:tcPr>
            <w:tcW w:w="1590" w:type="pct"/>
            <w:tcBorders>
              <w:top w:val="single" w:sz="4" w:space="0" w:color="auto"/>
              <w:left w:val="single" w:sz="4" w:space="0" w:color="auto"/>
              <w:bottom w:val="single" w:sz="4" w:space="0" w:color="auto"/>
              <w:right w:val="single" w:sz="4" w:space="0" w:color="auto"/>
            </w:tcBorders>
          </w:tcPr>
          <w:p w14:paraId="3DEC4B71" w14:textId="77777777" w:rsidR="00881462" w:rsidRDefault="009F0A60">
            <w:pPr>
              <w:jc w:val="center"/>
              <w:rPr>
                <w:rFonts w:ascii="黑体" w:eastAsia="黑体" w:hAnsi="黑体"/>
                <w:sz w:val="20"/>
                <w:szCs w:val="20"/>
              </w:rPr>
            </w:pPr>
            <w:r>
              <w:rPr>
                <w:rFonts w:ascii="黑体" w:eastAsia="黑体" w:hAnsi="黑体" w:hint="eastAsia"/>
                <w:sz w:val="20"/>
                <w:szCs w:val="20"/>
              </w:rPr>
              <w:t>1103</w:t>
            </w:r>
          </w:p>
        </w:tc>
      </w:tr>
      <w:tr w:rsidR="00A052DC" w14:paraId="70CF09E8" w14:textId="77777777" w:rsidTr="00197ADB">
        <w:tc>
          <w:tcPr>
            <w:tcW w:w="1049" w:type="pct"/>
            <w:vMerge/>
            <w:tcBorders>
              <w:left w:val="single" w:sz="4" w:space="0" w:color="auto"/>
              <w:bottom w:val="single" w:sz="4" w:space="0" w:color="auto"/>
              <w:right w:val="single" w:sz="4" w:space="0" w:color="auto"/>
            </w:tcBorders>
            <w:shd w:val="clear" w:color="auto" w:fill="auto"/>
            <w:vAlign w:val="center"/>
          </w:tcPr>
          <w:p w14:paraId="68543EF6" w14:textId="77777777" w:rsidR="00563761" w:rsidRDefault="00563761">
            <w:pPr>
              <w:jc w:val="left"/>
              <w:rPr>
                <w:rFonts w:ascii="黑体" w:eastAsia="黑体" w:hAnsi="黑体"/>
                <w:b/>
                <w:bCs/>
                <w:sz w:val="20"/>
                <w:szCs w:val="20"/>
              </w:rPr>
            </w:pPr>
          </w:p>
        </w:tc>
        <w:tc>
          <w:tcPr>
            <w:tcW w:w="855" w:type="pct"/>
            <w:vMerge/>
            <w:tcBorders>
              <w:left w:val="single" w:sz="4" w:space="0" w:color="auto"/>
              <w:bottom w:val="single" w:sz="4" w:space="0" w:color="auto"/>
              <w:right w:val="single" w:sz="4" w:space="0" w:color="auto"/>
            </w:tcBorders>
            <w:shd w:val="clear" w:color="auto" w:fill="auto"/>
            <w:vAlign w:val="center"/>
          </w:tcPr>
          <w:p w14:paraId="03005FAD" w14:textId="77777777" w:rsidR="00881462" w:rsidRDefault="00881462">
            <w:pPr>
              <w:jc w:val="center"/>
              <w:rPr>
                <w:rFonts w:ascii="黑体" w:eastAsia="黑体" w:hAnsi="黑体"/>
                <w:b/>
                <w:bCs/>
                <w:sz w:val="20"/>
                <w:szCs w:val="20"/>
              </w:rPr>
            </w:pPr>
          </w:p>
        </w:tc>
        <w:tc>
          <w:tcPr>
            <w:tcW w:w="1506" w:type="pct"/>
            <w:tcBorders>
              <w:left w:val="single" w:sz="4" w:space="0" w:color="auto"/>
              <w:bottom w:val="single" w:sz="4" w:space="0" w:color="auto"/>
              <w:right w:val="single" w:sz="4" w:space="0" w:color="auto"/>
            </w:tcBorders>
          </w:tcPr>
          <w:p w14:paraId="40633070" w14:textId="77777777" w:rsidR="00A052DC" w:rsidRDefault="009F0A60">
            <w:pPr>
              <w:rPr>
                <w:rFonts w:ascii="黑体" w:eastAsia="黑体" w:hAnsi="黑体"/>
                <w:sz w:val="20"/>
                <w:szCs w:val="20"/>
              </w:rPr>
            </w:pPr>
            <w:r>
              <w:rPr>
                <w:rFonts w:ascii="黑体" w:eastAsia="黑体" w:hAnsi="黑体" w:hint="eastAsia"/>
                <w:sz w:val="20"/>
                <w:szCs w:val="20"/>
              </w:rPr>
              <w:t>其他</w:t>
            </w:r>
          </w:p>
        </w:tc>
        <w:tc>
          <w:tcPr>
            <w:tcW w:w="1590" w:type="pct"/>
            <w:tcBorders>
              <w:top w:val="single" w:sz="4" w:space="0" w:color="auto"/>
              <w:left w:val="single" w:sz="4" w:space="0" w:color="auto"/>
              <w:bottom w:val="single" w:sz="4" w:space="0" w:color="auto"/>
              <w:right w:val="single" w:sz="4" w:space="0" w:color="auto"/>
            </w:tcBorders>
          </w:tcPr>
          <w:p w14:paraId="38460232" w14:textId="77777777" w:rsidR="00881462" w:rsidRDefault="009F0A60">
            <w:pPr>
              <w:jc w:val="center"/>
              <w:rPr>
                <w:rFonts w:ascii="黑体" w:eastAsia="黑体" w:hAnsi="黑体"/>
                <w:sz w:val="20"/>
                <w:szCs w:val="20"/>
              </w:rPr>
            </w:pPr>
            <w:r>
              <w:rPr>
                <w:rFonts w:ascii="黑体" w:eastAsia="黑体" w:hAnsi="黑体" w:hint="eastAsia"/>
                <w:sz w:val="20"/>
                <w:szCs w:val="20"/>
              </w:rPr>
              <w:t>1104</w:t>
            </w:r>
          </w:p>
        </w:tc>
      </w:tr>
      <w:tr w:rsidR="00A052DC" w14:paraId="576AC270" w14:textId="77777777" w:rsidTr="00197ADB">
        <w:tc>
          <w:tcPr>
            <w:tcW w:w="1049" w:type="pct"/>
            <w:vMerge w:val="restart"/>
            <w:tcBorders>
              <w:top w:val="single" w:sz="4" w:space="0" w:color="auto"/>
              <w:left w:val="single" w:sz="4" w:space="0" w:color="auto"/>
              <w:right w:val="single" w:sz="4" w:space="0" w:color="auto"/>
            </w:tcBorders>
            <w:shd w:val="clear" w:color="auto" w:fill="auto"/>
            <w:vAlign w:val="center"/>
          </w:tcPr>
          <w:p w14:paraId="51BC1000" w14:textId="77777777" w:rsidR="00563761" w:rsidRDefault="009F0A60">
            <w:pPr>
              <w:jc w:val="left"/>
              <w:rPr>
                <w:rFonts w:ascii="黑体" w:eastAsia="黑体" w:hAnsi="黑体"/>
                <w:sz w:val="20"/>
                <w:szCs w:val="20"/>
              </w:rPr>
            </w:pPr>
            <w:r>
              <w:rPr>
                <w:rFonts w:ascii="黑体" w:eastAsia="黑体" w:hAnsi="黑体" w:hint="eastAsia"/>
                <w:sz w:val="20"/>
                <w:szCs w:val="20"/>
              </w:rPr>
              <w:t>还本</w:t>
            </w:r>
          </w:p>
        </w:tc>
        <w:tc>
          <w:tcPr>
            <w:tcW w:w="855" w:type="pct"/>
            <w:vMerge w:val="restart"/>
            <w:tcBorders>
              <w:top w:val="single" w:sz="4" w:space="0" w:color="auto"/>
              <w:left w:val="single" w:sz="4" w:space="0" w:color="auto"/>
              <w:right w:val="single" w:sz="4" w:space="0" w:color="auto"/>
            </w:tcBorders>
            <w:shd w:val="clear" w:color="auto" w:fill="auto"/>
            <w:vAlign w:val="center"/>
          </w:tcPr>
          <w:p w14:paraId="36BEC09E" w14:textId="77777777" w:rsidR="00881462" w:rsidRDefault="009F0A60">
            <w:pPr>
              <w:jc w:val="center"/>
              <w:rPr>
                <w:rFonts w:ascii="黑体" w:eastAsia="黑体" w:hAnsi="黑体"/>
                <w:sz w:val="20"/>
                <w:szCs w:val="20"/>
              </w:rPr>
            </w:pPr>
            <w:r>
              <w:rPr>
                <w:rFonts w:ascii="黑体" w:eastAsia="黑体" w:hAnsi="黑体" w:hint="eastAsia"/>
                <w:sz w:val="20"/>
                <w:szCs w:val="20"/>
              </w:rPr>
              <w:t>12</w:t>
            </w:r>
          </w:p>
        </w:tc>
        <w:tc>
          <w:tcPr>
            <w:tcW w:w="1506" w:type="pct"/>
            <w:tcBorders>
              <w:top w:val="single" w:sz="4" w:space="0" w:color="auto"/>
              <w:left w:val="single" w:sz="4" w:space="0" w:color="auto"/>
              <w:right w:val="single" w:sz="4" w:space="0" w:color="auto"/>
            </w:tcBorders>
          </w:tcPr>
          <w:p w14:paraId="4EF04776" w14:textId="77777777" w:rsidR="00A052DC" w:rsidRDefault="009F0A60">
            <w:pPr>
              <w:rPr>
                <w:rFonts w:ascii="黑体" w:eastAsia="黑体" w:hAnsi="黑体"/>
                <w:sz w:val="20"/>
                <w:szCs w:val="20"/>
              </w:rPr>
            </w:pPr>
            <w:r>
              <w:rPr>
                <w:rFonts w:ascii="黑体" w:eastAsia="黑体" w:hAnsi="黑体" w:hint="eastAsia"/>
                <w:sz w:val="20"/>
                <w:szCs w:val="20"/>
              </w:rPr>
              <w:t>资金</w:t>
            </w:r>
          </w:p>
        </w:tc>
        <w:tc>
          <w:tcPr>
            <w:tcW w:w="1590" w:type="pct"/>
            <w:tcBorders>
              <w:top w:val="single" w:sz="4" w:space="0" w:color="auto"/>
              <w:left w:val="single" w:sz="4" w:space="0" w:color="auto"/>
              <w:bottom w:val="single" w:sz="4" w:space="0" w:color="auto"/>
              <w:right w:val="single" w:sz="4" w:space="0" w:color="auto"/>
            </w:tcBorders>
          </w:tcPr>
          <w:p w14:paraId="72F26071" w14:textId="77777777" w:rsidR="00881462" w:rsidRDefault="009F0A60">
            <w:pPr>
              <w:jc w:val="center"/>
              <w:rPr>
                <w:rFonts w:ascii="黑体" w:eastAsia="黑体" w:hAnsi="黑体"/>
                <w:sz w:val="20"/>
                <w:szCs w:val="20"/>
              </w:rPr>
            </w:pPr>
            <w:r>
              <w:rPr>
                <w:rFonts w:ascii="黑体" w:eastAsia="黑体" w:hAnsi="黑体" w:hint="eastAsia"/>
                <w:sz w:val="20"/>
                <w:szCs w:val="20"/>
              </w:rPr>
              <w:t>1201</w:t>
            </w:r>
          </w:p>
        </w:tc>
      </w:tr>
      <w:tr w:rsidR="00A052DC" w14:paraId="3E50DF2E" w14:textId="77777777" w:rsidTr="00197ADB">
        <w:tc>
          <w:tcPr>
            <w:tcW w:w="1049" w:type="pct"/>
            <w:vMerge/>
            <w:tcBorders>
              <w:left w:val="single" w:sz="4" w:space="0" w:color="auto"/>
              <w:right w:val="single" w:sz="4" w:space="0" w:color="auto"/>
            </w:tcBorders>
            <w:shd w:val="clear" w:color="auto" w:fill="auto"/>
            <w:vAlign w:val="center"/>
          </w:tcPr>
          <w:p w14:paraId="35B23867" w14:textId="77777777" w:rsidR="00563761" w:rsidRDefault="00563761">
            <w:pPr>
              <w:jc w:val="left"/>
              <w:rPr>
                <w:rFonts w:ascii="黑体" w:eastAsia="黑体" w:hAnsi="黑体"/>
                <w:b/>
                <w:bCs/>
                <w:sz w:val="20"/>
                <w:szCs w:val="20"/>
              </w:rPr>
            </w:pPr>
          </w:p>
        </w:tc>
        <w:tc>
          <w:tcPr>
            <w:tcW w:w="855" w:type="pct"/>
            <w:vMerge/>
            <w:tcBorders>
              <w:left w:val="single" w:sz="4" w:space="0" w:color="auto"/>
              <w:right w:val="single" w:sz="4" w:space="0" w:color="auto"/>
            </w:tcBorders>
            <w:shd w:val="clear" w:color="auto" w:fill="auto"/>
            <w:vAlign w:val="center"/>
          </w:tcPr>
          <w:p w14:paraId="112A889C" w14:textId="77777777" w:rsidR="00881462" w:rsidRDefault="00881462">
            <w:pPr>
              <w:jc w:val="center"/>
              <w:rPr>
                <w:rFonts w:ascii="黑体" w:eastAsia="黑体" w:hAnsi="黑体"/>
                <w:b/>
                <w:bCs/>
                <w:sz w:val="20"/>
                <w:szCs w:val="20"/>
              </w:rPr>
            </w:pPr>
          </w:p>
        </w:tc>
        <w:tc>
          <w:tcPr>
            <w:tcW w:w="1506" w:type="pct"/>
            <w:tcBorders>
              <w:left w:val="single" w:sz="4" w:space="0" w:color="auto"/>
              <w:right w:val="single" w:sz="4" w:space="0" w:color="auto"/>
            </w:tcBorders>
          </w:tcPr>
          <w:p w14:paraId="27C77D33" w14:textId="77777777" w:rsidR="00A052DC" w:rsidRDefault="009F0A60">
            <w:pPr>
              <w:rPr>
                <w:rFonts w:ascii="黑体" w:eastAsia="黑体" w:hAnsi="黑体"/>
                <w:sz w:val="20"/>
                <w:szCs w:val="20"/>
              </w:rPr>
            </w:pPr>
            <w:r>
              <w:rPr>
                <w:rFonts w:ascii="黑体" w:eastAsia="黑体" w:hAnsi="黑体" w:hint="eastAsia"/>
                <w:sz w:val="20"/>
                <w:szCs w:val="20"/>
              </w:rPr>
              <w:t>债务减免本金</w:t>
            </w:r>
          </w:p>
        </w:tc>
        <w:tc>
          <w:tcPr>
            <w:tcW w:w="1590" w:type="pct"/>
            <w:tcBorders>
              <w:top w:val="single" w:sz="4" w:space="0" w:color="auto"/>
              <w:left w:val="single" w:sz="4" w:space="0" w:color="auto"/>
              <w:bottom w:val="single" w:sz="4" w:space="0" w:color="auto"/>
              <w:right w:val="single" w:sz="4" w:space="0" w:color="auto"/>
            </w:tcBorders>
          </w:tcPr>
          <w:p w14:paraId="2B1ACDAB" w14:textId="77777777" w:rsidR="00881462" w:rsidRDefault="009F0A60">
            <w:pPr>
              <w:jc w:val="center"/>
              <w:rPr>
                <w:rFonts w:ascii="黑体" w:eastAsia="黑体" w:hAnsi="黑体"/>
                <w:sz w:val="20"/>
                <w:szCs w:val="20"/>
              </w:rPr>
            </w:pPr>
            <w:r>
              <w:rPr>
                <w:rFonts w:ascii="黑体" w:eastAsia="黑体" w:hAnsi="黑体" w:hint="eastAsia"/>
                <w:sz w:val="20"/>
                <w:szCs w:val="20"/>
              </w:rPr>
              <w:t>1202</w:t>
            </w:r>
          </w:p>
        </w:tc>
      </w:tr>
      <w:tr w:rsidR="00A052DC" w14:paraId="70788B72" w14:textId="77777777" w:rsidTr="00197ADB">
        <w:tc>
          <w:tcPr>
            <w:tcW w:w="1049" w:type="pct"/>
            <w:vMerge/>
            <w:tcBorders>
              <w:left w:val="single" w:sz="4" w:space="0" w:color="auto"/>
              <w:right w:val="single" w:sz="4" w:space="0" w:color="auto"/>
            </w:tcBorders>
            <w:shd w:val="clear" w:color="auto" w:fill="auto"/>
            <w:vAlign w:val="center"/>
          </w:tcPr>
          <w:p w14:paraId="3F8EBB2E" w14:textId="77777777" w:rsidR="00563761" w:rsidRDefault="00563761">
            <w:pPr>
              <w:jc w:val="left"/>
              <w:rPr>
                <w:rFonts w:ascii="黑体" w:eastAsia="黑体" w:hAnsi="黑体"/>
                <w:b/>
                <w:bCs/>
                <w:sz w:val="20"/>
                <w:szCs w:val="20"/>
              </w:rPr>
            </w:pPr>
          </w:p>
        </w:tc>
        <w:tc>
          <w:tcPr>
            <w:tcW w:w="855" w:type="pct"/>
            <w:vMerge/>
            <w:tcBorders>
              <w:left w:val="single" w:sz="4" w:space="0" w:color="auto"/>
              <w:right w:val="single" w:sz="4" w:space="0" w:color="auto"/>
            </w:tcBorders>
            <w:shd w:val="clear" w:color="auto" w:fill="auto"/>
            <w:vAlign w:val="center"/>
          </w:tcPr>
          <w:p w14:paraId="61AFBAE3" w14:textId="77777777" w:rsidR="00881462" w:rsidRDefault="00881462">
            <w:pPr>
              <w:jc w:val="center"/>
              <w:rPr>
                <w:rFonts w:ascii="黑体" w:eastAsia="黑体" w:hAnsi="黑体"/>
                <w:b/>
                <w:bCs/>
                <w:sz w:val="20"/>
                <w:szCs w:val="20"/>
              </w:rPr>
            </w:pPr>
          </w:p>
        </w:tc>
        <w:tc>
          <w:tcPr>
            <w:tcW w:w="1506" w:type="pct"/>
            <w:tcBorders>
              <w:left w:val="single" w:sz="4" w:space="0" w:color="auto"/>
              <w:right w:val="single" w:sz="4" w:space="0" w:color="auto"/>
            </w:tcBorders>
          </w:tcPr>
          <w:p w14:paraId="2DA174E0" w14:textId="77777777" w:rsidR="00A052DC" w:rsidRDefault="009F0A60">
            <w:pPr>
              <w:rPr>
                <w:rFonts w:ascii="黑体" w:eastAsia="黑体" w:hAnsi="黑体"/>
                <w:sz w:val="20"/>
                <w:szCs w:val="20"/>
              </w:rPr>
            </w:pPr>
            <w:r>
              <w:rPr>
                <w:rFonts w:ascii="黑体" w:eastAsia="黑体" w:hAnsi="黑体" w:hint="eastAsia"/>
                <w:sz w:val="20"/>
                <w:szCs w:val="20"/>
              </w:rPr>
              <w:t>转增资(债转股)</w:t>
            </w:r>
          </w:p>
        </w:tc>
        <w:tc>
          <w:tcPr>
            <w:tcW w:w="1590" w:type="pct"/>
            <w:tcBorders>
              <w:top w:val="single" w:sz="4" w:space="0" w:color="auto"/>
              <w:left w:val="single" w:sz="4" w:space="0" w:color="auto"/>
              <w:bottom w:val="single" w:sz="4" w:space="0" w:color="auto"/>
              <w:right w:val="single" w:sz="4" w:space="0" w:color="auto"/>
            </w:tcBorders>
          </w:tcPr>
          <w:p w14:paraId="260D8A1F" w14:textId="77777777" w:rsidR="00881462" w:rsidRDefault="009F0A60">
            <w:pPr>
              <w:jc w:val="center"/>
              <w:rPr>
                <w:rFonts w:ascii="黑体" w:eastAsia="黑体" w:hAnsi="黑体"/>
                <w:sz w:val="20"/>
                <w:szCs w:val="20"/>
              </w:rPr>
            </w:pPr>
            <w:r>
              <w:rPr>
                <w:rFonts w:ascii="黑体" w:eastAsia="黑体" w:hAnsi="黑体" w:hint="eastAsia"/>
                <w:sz w:val="20"/>
                <w:szCs w:val="20"/>
              </w:rPr>
              <w:t>1203</w:t>
            </w:r>
          </w:p>
        </w:tc>
      </w:tr>
      <w:tr w:rsidR="00A052DC" w14:paraId="74DEFA50" w14:textId="77777777" w:rsidTr="00197ADB">
        <w:tc>
          <w:tcPr>
            <w:tcW w:w="1049" w:type="pct"/>
            <w:vMerge/>
            <w:tcBorders>
              <w:left w:val="single" w:sz="4" w:space="0" w:color="auto"/>
              <w:right w:val="single" w:sz="4" w:space="0" w:color="auto"/>
            </w:tcBorders>
            <w:shd w:val="clear" w:color="auto" w:fill="auto"/>
            <w:vAlign w:val="center"/>
          </w:tcPr>
          <w:p w14:paraId="5B8A797E" w14:textId="77777777" w:rsidR="00563761" w:rsidRDefault="00563761">
            <w:pPr>
              <w:jc w:val="left"/>
              <w:rPr>
                <w:rFonts w:ascii="黑体" w:eastAsia="黑体" w:hAnsi="黑体"/>
                <w:b/>
                <w:bCs/>
                <w:sz w:val="20"/>
                <w:szCs w:val="20"/>
              </w:rPr>
            </w:pPr>
          </w:p>
        </w:tc>
        <w:tc>
          <w:tcPr>
            <w:tcW w:w="855" w:type="pct"/>
            <w:vMerge/>
            <w:tcBorders>
              <w:left w:val="single" w:sz="4" w:space="0" w:color="auto"/>
              <w:right w:val="single" w:sz="4" w:space="0" w:color="auto"/>
            </w:tcBorders>
            <w:shd w:val="clear" w:color="auto" w:fill="auto"/>
            <w:vAlign w:val="center"/>
          </w:tcPr>
          <w:p w14:paraId="6A63B1F5" w14:textId="77777777" w:rsidR="00881462" w:rsidRDefault="00881462">
            <w:pPr>
              <w:jc w:val="center"/>
              <w:rPr>
                <w:rFonts w:ascii="黑体" w:eastAsia="黑体" w:hAnsi="黑体"/>
                <w:b/>
                <w:bCs/>
                <w:sz w:val="20"/>
                <w:szCs w:val="20"/>
              </w:rPr>
            </w:pPr>
          </w:p>
        </w:tc>
        <w:tc>
          <w:tcPr>
            <w:tcW w:w="1506" w:type="pct"/>
            <w:tcBorders>
              <w:left w:val="single" w:sz="4" w:space="0" w:color="auto"/>
              <w:right w:val="single" w:sz="4" w:space="0" w:color="auto"/>
            </w:tcBorders>
          </w:tcPr>
          <w:p w14:paraId="0DAF0662" w14:textId="77777777" w:rsidR="00A052DC" w:rsidRDefault="009F0A60">
            <w:pPr>
              <w:rPr>
                <w:rFonts w:ascii="黑体" w:eastAsia="黑体" w:hAnsi="黑体"/>
                <w:sz w:val="20"/>
                <w:szCs w:val="20"/>
              </w:rPr>
            </w:pPr>
            <w:r>
              <w:rPr>
                <w:rFonts w:ascii="黑体" w:eastAsia="黑体" w:hAnsi="黑体" w:hint="eastAsia"/>
                <w:sz w:val="20"/>
                <w:szCs w:val="20"/>
              </w:rPr>
              <w:t>担保履约</w:t>
            </w:r>
          </w:p>
        </w:tc>
        <w:tc>
          <w:tcPr>
            <w:tcW w:w="1590" w:type="pct"/>
            <w:tcBorders>
              <w:top w:val="single" w:sz="4" w:space="0" w:color="auto"/>
              <w:left w:val="single" w:sz="4" w:space="0" w:color="auto"/>
              <w:bottom w:val="single" w:sz="4" w:space="0" w:color="auto"/>
              <w:right w:val="single" w:sz="4" w:space="0" w:color="auto"/>
            </w:tcBorders>
          </w:tcPr>
          <w:p w14:paraId="0E94932E" w14:textId="77777777" w:rsidR="00881462" w:rsidRDefault="009F0A60">
            <w:pPr>
              <w:jc w:val="center"/>
              <w:rPr>
                <w:rFonts w:ascii="黑体" w:eastAsia="黑体" w:hAnsi="黑体"/>
                <w:sz w:val="20"/>
                <w:szCs w:val="20"/>
              </w:rPr>
            </w:pPr>
            <w:r>
              <w:rPr>
                <w:rFonts w:ascii="黑体" w:eastAsia="黑体" w:hAnsi="黑体" w:hint="eastAsia"/>
                <w:sz w:val="20"/>
                <w:szCs w:val="20"/>
              </w:rPr>
              <w:t>1204</w:t>
            </w:r>
          </w:p>
        </w:tc>
      </w:tr>
      <w:tr w:rsidR="00A052DC" w14:paraId="172AC7BB" w14:textId="77777777" w:rsidTr="00197ADB">
        <w:tc>
          <w:tcPr>
            <w:tcW w:w="1049" w:type="pct"/>
            <w:vMerge/>
            <w:tcBorders>
              <w:left w:val="single" w:sz="4" w:space="0" w:color="auto"/>
              <w:right w:val="single" w:sz="4" w:space="0" w:color="auto"/>
            </w:tcBorders>
            <w:shd w:val="clear" w:color="auto" w:fill="auto"/>
            <w:vAlign w:val="center"/>
          </w:tcPr>
          <w:p w14:paraId="2935CE84" w14:textId="77777777" w:rsidR="00563761" w:rsidRDefault="00563761">
            <w:pPr>
              <w:jc w:val="left"/>
              <w:rPr>
                <w:rFonts w:ascii="黑体" w:eastAsia="黑体" w:hAnsi="黑体"/>
                <w:b/>
                <w:bCs/>
                <w:sz w:val="20"/>
                <w:szCs w:val="20"/>
              </w:rPr>
            </w:pPr>
          </w:p>
        </w:tc>
        <w:tc>
          <w:tcPr>
            <w:tcW w:w="855" w:type="pct"/>
            <w:vMerge/>
            <w:tcBorders>
              <w:left w:val="single" w:sz="4" w:space="0" w:color="auto"/>
              <w:right w:val="single" w:sz="4" w:space="0" w:color="auto"/>
            </w:tcBorders>
            <w:shd w:val="clear" w:color="auto" w:fill="auto"/>
            <w:vAlign w:val="center"/>
          </w:tcPr>
          <w:p w14:paraId="104076BF" w14:textId="77777777" w:rsidR="00881462" w:rsidRDefault="00881462">
            <w:pPr>
              <w:jc w:val="center"/>
              <w:rPr>
                <w:rFonts w:ascii="黑体" w:eastAsia="黑体" w:hAnsi="黑体"/>
                <w:b/>
                <w:bCs/>
                <w:sz w:val="20"/>
                <w:szCs w:val="20"/>
              </w:rPr>
            </w:pPr>
          </w:p>
        </w:tc>
        <w:tc>
          <w:tcPr>
            <w:tcW w:w="1506" w:type="pct"/>
            <w:tcBorders>
              <w:left w:val="single" w:sz="4" w:space="0" w:color="auto"/>
              <w:right w:val="single" w:sz="4" w:space="0" w:color="auto"/>
            </w:tcBorders>
          </w:tcPr>
          <w:p w14:paraId="14183A3B" w14:textId="77777777" w:rsidR="00A052DC" w:rsidRDefault="009F0A60">
            <w:pPr>
              <w:rPr>
                <w:rFonts w:ascii="黑体" w:eastAsia="黑体" w:hAnsi="黑体"/>
                <w:sz w:val="20"/>
                <w:szCs w:val="20"/>
              </w:rPr>
            </w:pPr>
            <w:r>
              <w:rPr>
                <w:rFonts w:ascii="黑体" w:eastAsia="黑体" w:hAnsi="黑体" w:hint="eastAsia"/>
                <w:sz w:val="20"/>
                <w:szCs w:val="20"/>
              </w:rPr>
              <w:t>境外偿还</w:t>
            </w:r>
          </w:p>
        </w:tc>
        <w:tc>
          <w:tcPr>
            <w:tcW w:w="1590" w:type="pct"/>
            <w:tcBorders>
              <w:top w:val="single" w:sz="4" w:space="0" w:color="auto"/>
              <w:left w:val="single" w:sz="4" w:space="0" w:color="auto"/>
              <w:bottom w:val="single" w:sz="4" w:space="0" w:color="auto"/>
              <w:right w:val="single" w:sz="4" w:space="0" w:color="auto"/>
            </w:tcBorders>
          </w:tcPr>
          <w:p w14:paraId="007EAFCC" w14:textId="77777777" w:rsidR="00881462" w:rsidRDefault="009F0A60">
            <w:pPr>
              <w:jc w:val="center"/>
              <w:rPr>
                <w:rFonts w:ascii="黑体" w:eastAsia="黑体" w:hAnsi="黑体"/>
                <w:sz w:val="20"/>
                <w:szCs w:val="20"/>
              </w:rPr>
            </w:pPr>
            <w:r>
              <w:rPr>
                <w:rFonts w:ascii="黑体" w:eastAsia="黑体" w:hAnsi="黑体" w:hint="eastAsia"/>
                <w:sz w:val="20"/>
                <w:szCs w:val="20"/>
              </w:rPr>
              <w:t>1205</w:t>
            </w:r>
          </w:p>
        </w:tc>
      </w:tr>
      <w:tr w:rsidR="00A052DC" w14:paraId="7446B419" w14:textId="77777777" w:rsidTr="00197ADB">
        <w:tc>
          <w:tcPr>
            <w:tcW w:w="1049" w:type="pct"/>
            <w:vMerge/>
            <w:tcBorders>
              <w:left w:val="single" w:sz="4" w:space="0" w:color="auto"/>
              <w:bottom w:val="single" w:sz="4" w:space="0" w:color="auto"/>
              <w:right w:val="single" w:sz="4" w:space="0" w:color="auto"/>
            </w:tcBorders>
            <w:shd w:val="clear" w:color="auto" w:fill="auto"/>
            <w:vAlign w:val="center"/>
          </w:tcPr>
          <w:p w14:paraId="5F3D0143" w14:textId="77777777" w:rsidR="00563761" w:rsidRDefault="00563761">
            <w:pPr>
              <w:jc w:val="left"/>
              <w:rPr>
                <w:rFonts w:ascii="黑体" w:eastAsia="黑体" w:hAnsi="黑体"/>
                <w:b/>
                <w:bCs/>
                <w:sz w:val="20"/>
                <w:szCs w:val="20"/>
              </w:rPr>
            </w:pPr>
          </w:p>
        </w:tc>
        <w:tc>
          <w:tcPr>
            <w:tcW w:w="855" w:type="pct"/>
            <w:vMerge/>
            <w:tcBorders>
              <w:left w:val="single" w:sz="4" w:space="0" w:color="auto"/>
              <w:bottom w:val="single" w:sz="4" w:space="0" w:color="auto"/>
              <w:right w:val="single" w:sz="4" w:space="0" w:color="auto"/>
            </w:tcBorders>
            <w:shd w:val="clear" w:color="auto" w:fill="auto"/>
            <w:vAlign w:val="center"/>
          </w:tcPr>
          <w:p w14:paraId="426652C0" w14:textId="77777777" w:rsidR="00881462" w:rsidRDefault="00881462">
            <w:pPr>
              <w:jc w:val="center"/>
              <w:rPr>
                <w:rFonts w:ascii="黑体" w:eastAsia="黑体" w:hAnsi="黑体"/>
                <w:b/>
                <w:bCs/>
                <w:sz w:val="20"/>
                <w:szCs w:val="20"/>
              </w:rPr>
            </w:pPr>
          </w:p>
        </w:tc>
        <w:tc>
          <w:tcPr>
            <w:tcW w:w="1506" w:type="pct"/>
            <w:tcBorders>
              <w:left w:val="single" w:sz="4" w:space="0" w:color="auto"/>
              <w:bottom w:val="single" w:sz="4" w:space="0" w:color="auto"/>
              <w:right w:val="single" w:sz="4" w:space="0" w:color="auto"/>
            </w:tcBorders>
          </w:tcPr>
          <w:p w14:paraId="6A816504" w14:textId="77777777" w:rsidR="00A052DC" w:rsidRDefault="009F0A60">
            <w:pPr>
              <w:rPr>
                <w:rFonts w:ascii="黑体" w:eastAsia="黑体" w:hAnsi="黑体"/>
                <w:sz w:val="20"/>
                <w:szCs w:val="20"/>
              </w:rPr>
            </w:pPr>
            <w:r>
              <w:rPr>
                <w:rFonts w:ascii="黑体" w:eastAsia="黑体" w:hAnsi="黑体" w:hint="eastAsia"/>
                <w:sz w:val="20"/>
                <w:szCs w:val="20"/>
              </w:rPr>
              <w:t>其他</w:t>
            </w:r>
          </w:p>
        </w:tc>
        <w:tc>
          <w:tcPr>
            <w:tcW w:w="1590" w:type="pct"/>
            <w:tcBorders>
              <w:top w:val="single" w:sz="4" w:space="0" w:color="auto"/>
              <w:left w:val="single" w:sz="4" w:space="0" w:color="auto"/>
              <w:bottom w:val="single" w:sz="4" w:space="0" w:color="auto"/>
              <w:right w:val="single" w:sz="4" w:space="0" w:color="auto"/>
            </w:tcBorders>
          </w:tcPr>
          <w:p w14:paraId="010D3F6C" w14:textId="77777777" w:rsidR="00881462" w:rsidRDefault="009F0A60">
            <w:pPr>
              <w:jc w:val="center"/>
              <w:rPr>
                <w:rFonts w:ascii="黑体" w:eastAsia="黑体" w:hAnsi="黑体"/>
                <w:sz w:val="20"/>
                <w:szCs w:val="20"/>
              </w:rPr>
            </w:pPr>
            <w:r>
              <w:rPr>
                <w:rFonts w:ascii="黑体" w:eastAsia="黑体" w:hAnsi="黑体" w:hint="eastAsia"/>
                <w:sz w:val="20"/>
                <w:szCs w:val="20"/>
              </w:rPr>
              <w:t>1206</w:t>
            </w:r>
          </w:p>
        </w:tc>
      </w:tr>
      <w:tr w:rsidR="00A052DC" w14:paraId="1D1BCAEA" w14:textId="77777777" w:rsidTr="00197ADB">
        <w:tc>
          <w:tcPr>
            <w:tcW w:w="1049" w:type="pct"/>
            <w:vMerge w:val="restart"/>
            <w:tcBorders>
              <w:top w:val="single" w:sz="4" w:space="0" w:color="auto"/>
              <w:left w:val="single" w:sz="4" w:space="0" w:color="auto"/>
              <w:right w:val="single" w:sz="4" w:space="0" w:color="auto"/>
            </w:tcBorders>
            <w:shd w:val="clear" w:color="auto" w:fill="auto"/>
            <w:vAlign w:val="center"/>
          </w:tcPr>
          <w:p w14:paraId="5778272E" w14:textId="77777777" w:rsidR="00563761" w:rsidRDefault="009F0A60">
            <w:pPr>
              <w:jc w:val="left"/>
              <w:rPr>
                <w:rFonts w:ascii="黑体" w:eastAsia="黑体" w:hAnsi="黑体"/>
                <w:b/>
                <w:bCs/>
                <w:sz w:val="20"/>
                <w:szCs w:val="20"/>
              </w:rPr>
            </w:pPr>
            <w:r>
              <w:rPr>
                <w:rFonts w:ascii="黑体" w:eastAsia="黑体" w:hAnsi="黑体" w:hint="eastAsia"/>
                <w:sz w:val="20"/>
                <w:szCs w:val="20"/>
              </w:rPr>
              <w:t>付息</w:t>
            </w:r>
          </w:p>
        </w:tc>
        <w:tc>
          <w:tcPr>
            <w:tcW w:w="855" w:type="pct"/>
            <w:vMerge w:val="restart"/>
            <w:tcBorders>
              <w:top w:val="single" w:sz="4" w:space="0" w:color="auto"/>
              <w:left w:val="single" w:sz="4" w:space="0" w:color="auto"/>
              <w:right w:val="single" w:sz="4" w:space="0" w:color="auto"/>
            </w:tcBorders>
            <w:shd w:val="clear" w:color="auto" w:fill="auto"/>
            <w:vAlign w:val="center"/>
          </w:tcPr>
          <w:p w14:paraId="3783FE15" w14:textId="77777777" w:rsidR="00881462" w:rsidRDefault="009F0A60">
            <w:pPr>
              <w:jc w:val="center"/>
              <w:rPr>
                <w:rFonts w:ascii="黑体" w:eastAsia="黑体" w:hAnsi="黑体"/>
                <w:sz w:val="20"/>
                <w:szCs w:val="20"/>
              </w:rPr>
            </w:pPr>
            <w:r>
              <w:rPr>
                <w:rFonts w:ascii="黑体" w:eastAsia="黑体" w:hAnsi="黑体" w:hint="eastAsia"/>
                <w:sz w:val="20"/>
                <w:szCs w:val="20"/>
              </w:rPr>
              <w:t>13</w:t>
            </w:r>
          </w:p>
        </w:tc>
        <w:tc>
          <w:tcPr>
            <w:tcW w:w="1506" w:type="pct"/>
            <w:tcBorders>
              <w:top w:val="single" w:sz="4" w:space="0" w:color="auto"/>
              <w:left w:val="single" w:sz="4" w:space="0" w:color="auto"/>
              <w:right w:val="single" w:sz="4" w:space="0" w:color="auto"/>
            </w:tcBorders>
          </w:tcPr>
          <w:p w14:paraId="5DB73475" w14:textId="77777777" w:rsidR="00A052DC" w:rsidRDefault="009F0A60">
            <w:pPr>
              <w:rPr>
                <w:rFonts w:ascii="黑体" w:eastAsia="黑体" w:hAnsi="黑体"/>
                <w:sz w:val="20"/>
                <w:szCs w:val="20"/>
              </w:rPr>
            </w:pPr>
            <w:r>
              <w:rPr>
                <w:rFonts w:ascii="黑体" w:eastAsia="黑体" w:hAnsi="黑体" w:hint="eastAsia"/>
                <w:sz w:val="20"/>
                <w:szCs w:val="20"/>
              </w:rPr>
              <w:t>资金</w:t>
            </w:r>
          </w:p>
        </w:tc>
        <w:tc>
          <w:tcPr>
            <w:tcW w:w="1590" w:type="pct"/>
            <w:tcBorders>
              <w:top w:val="single" w:sz="4" w:space="0" w:color="auto"/>
              <w:left w:val="single" w:sz="4" w:space="0" w:color="auto"/>
              <w:bottom w:val="single" w:sz="4" w:space="0" w:color="auto"/>
              <w:right w:val="single" w:sz="4" w:space="0" w:color="auto"/>
            </w:tcBorders>
          </w:tcPr>
          <w:p w14:paraId="58645B9F" w14:textId="77777777" w:rsidR="00881462" w:rsidRDefault="009F0A60">
            <w:pPr>
              <w:jc w:val="center"/>
              <w:rPr>
                <w:rFonts w:ascii="黑体" w:eastAsia="黑体" w:hAnsi="黑体"/>
                <w:sz w:val="20"/>
                <w:szCs w:val="20"/>
              </w:rPr>
            </w:pPr>
            <w:r>
              <w:rPr>
                <w:rFonts w:ascii="黑体" w:eastAsia="黑体" w:hAnsi="黑体" w:hint="eastAsia"/>
                <w:sz w:val="20"/>
                <w:szCs w:val="20"/>
              </w:rPr>
              <w:t>1301</w:t>
            </w:r>
          </w:p>
        </w:tc>
      </w:tr>
      <w:tr w:rsidR="00A052DC" w14:paraId="7D8292B4" w14:textId="77777777" w:rsidTr="00197ADB">
        <w:tc>
          <w:tcPr>
            <w:tcW w:w="1049" w:type="pct"/>
            <w:vMerge/>
            <w:tcBorders>
              <w:left w:val="single" w:sz="4" w:space="0" w:color="auto"/>
              <w:right w:val="single" w:sz="4" w:space="0" w:color="auto"/>
            </w:tcBorders>
            <w:shd w:val="clear" w:color="auto" w:fill="auto"/>
            <w:vAlign w:val="center"/>
          </w:tcPr>
          <w:p w14:paraId="4E4438EA" w14:textId="77777777" w:rsidR="00563761" w:rsidRDefault="00563761">
            <w:pPr>
              <w:jc w:val="left"/>
              <w:rPr>
                <w:rFonts w:ascii="黑体" w:eastAsia="黑体" w:hAnsi="黑体"/>
                <w:b/>
                <w:bCs/>
                <w:sz w:val="20"/>
                <w:szCs w:val="20"/>
              </w:rPr>
            </w:pPr>
          </w:p>
        </w:tc>
        <w:tc>
          <w:tcPr>
            <w:tcW w:w="855" w:type="pct"/>
            <w:vMerge/>
            <w:tcBorders>
              <w:left w:val="single" w:sz="4" w:space="0" w:color="auto"/>
              <w:right w:val="single" w:sz="4" w:space="0" w:color="auto"/>
            </w:tcBorders>
            <w:shd w:val="clear" w:color="auto" w:fill="auto"/>
            <w:vAlign w:val="center"/>
          </w:tcPr>
          <w:p w14:paraId="2A4854E8" w14:textId="77777777" w:rsidR="00881462" w:rsidRDefault="00881462">
            <w:pPr>
              <w:jc w:val="center"/>
              <w:rPr>
                <w:rFonts w:ascii="黑体" w:eastAsia="黑体" w:hAnsi="黑体"/>
                <w:b/>
                <w:bCs/>
                <w:sz w:val="20"/>
                <w:szCs w:val="20"/>
              </w:rPr>
            </w:pPr>
          </w:p>
        </w:tc>
        <w:tc>
          <w:tcPr>
            <w:tcW w:w="1506" w:type="pct"/>
            <w:tcBorders>
              <w:left w:val="single" w:sz="4" w:space="0" w:color="auto"/>
              <w:right w:val="single" w:sz="4" w:space="0" w:color="auto"/>
            </w:tcBorders>
          </w:tcPr>
          <w:p w14:paraId="33EE1156" w14:textId="77777777" w:rsidR="00A052DC" w:rsidRDefault="009F0A60">
            <w:pPr>
              <w:rPr>
                <w:rFonts w:ascii="黑体" w:eastAsia="黑体" w:hAnsi="黑体"/>
                <w:sz w:val="20"/>
                <w:szCs w:val="20"/>
              </w:rPr>
            </w:pPr>
            <w:r>
              <w:rPr>
                <w:rFonts w:ascii="黑体" w:eastAsia="黑体" w:hAnsi="黑体" w:hint="eastAsia"/>
                <w:sz w:val="20"/>
                <w:szCs w:val="20"/>
              </w:rPr>
              <w:t>减免利息</w:t>
            </w:r>
          </w:p>
        </w:tc>
        <w:tc>
          <w:tcPr>
            <w:tcW w:w="1590" w:type="pct"/>
            <w:tcBorders>
              <w:top w:val="single" w:sz="4" w:space="0" w:color="auto"/>
              <w:left w:val="single" w:sz="4" w:space="0" w:color="auto"/>
              <w:bottom w:val="single" w:sz="4" w:space="0" w:color="auto"/>
              <w:right w:val="single" w:sz="4" w:space="0" w:color="auto"/>
            </w:tcBorders>
          </w:tcPr>
          <w:p w14:paraId="4F1BEDE7" w14:textId="77777777" w:rsidR="00881462" w:rsidRDefault="009F0A60">
            <w:pPr>
              <w:jc w:val="center"/>
              <w:rPr>
                <w:rFonts w:ascii="黑体" w:eastAsia="黑体" w:hAnsi="黑体"/>
                <w:sz w:val="20"/>
                <w:szCs w:val="20"/>
              </w:rPr>
            </w:pPr>
            <w:r>
              <w:rPr>
                <w:rFonts w:ascii="黑体" w:eastAsia="黑体" w:hAnsi="黑体" w:hint="eastAsia"/>
                <w:sz w:val="20"/>
                <w:szCs w:val="20"/>
              </w:rPr>
              <w:t>1302</w:t>
            </w:r>
          </w:p>
        </w:tc>
      </w:tr>
      <w:tr w:rsidR="00A052DC" w14:paraId="71C93C2C" w14:textId="77777777" w:rsidTr="00197ADB">
        <w:tc>
          <w:tcPr>
            <w:tcW w:w="1049" w:type="pct"/>
            <w:vMerge/>
            <w:tcBorders>
              <w:left w:val="single" w:sz="4" w:space="0" w:color="auto"/>
              <w:right w:val="single" w:sz="4" w:space="0" w:color="auto"/>
            </w:tcBorders>
            <w:shd w:val="clear" w:color="auto" w:fill="auto"/>
            <w:vAlign w:val="center"/>
          </w:tcPr>
          <w:p w14:paraId="1542F0CA" w14:textId="77777777" w:rsidR="00563761" w:rsidRDefault="00563761">
            <w:pPr>
              <w:jc w:val="left"/>
              <w:rPr>
                <w:rFonts w:ascii="黑体" w:eastAsia="黑体" w:hAnsi="黑体"/>
                <w:b/>
                <w:bCs/>
                <w:sz w:val="20"/>
                <w:szCs w:val="20"/>
              </w:rPr>
            </w:pPr>
          </w:p>
        </w:tc>
        <w:tc>
          <w:tcPr>
            <w:tcW w:w="855" w:type="pct"/>
            <w:vMerge/>
            <w:tcBorders>
              <w:left w:val="single" w:sz="4" w:space="0" w:color="auto"/>
              <w:right w:val="single" w:sz="4" w:space="0" w:color="auto"/>
            </w:tcBorders>
            <w:shd w:val="clear" w:color="auto" w:fill="auto"/>
            <w:vAlign w:val="center"/>
          </w:tcPr>
          <w:p w14:paraId="441C305A" w14:textId="77777777" w:rsidR="00881462" w:rsidRDefault="00881462">
            <w:pPr>
              <w:jc w:val="center"/>
              <w:rPr>
                <w:rFonts w:ascii="黑体" w:eastAsia="黑体" w:hAnsi="黑体"/>
                <w:b/>
                <w:bCs/>
                <w:sz w:val="20"/>
                <w:szCs w:val="20"/>
              </w:rPr>
            </w:pPr>
          </w:p>
        </w:tc>
        <w:tc>
          <w:tcPr>
            <w:tcW w:w="1506" w:type="pct"/>
            <w:tcBorders>
              <w:left w:val="single" w:sz="4" w:space="0" w:color="auto"/>
              <w:right w:val="single" w:sz="4" w:space="0" w:color="auto"/>
            </w:tcBorders>
          </w:tcPr>
          <w:p w14:paraId="0877C4AA" w14:textId="77777777" w:rsidR="00A052DC" w:rsidRDefault="009F0A60">
            <w:pPr>
              <w:rPr>
                <w:rFonts w:ascii="黑体" w:eastAsia="黑体" w:hAnsi="黑体"/>
                <w:sz w:val="20"/>
                <w:szCs w:val="20"/>
              </w:rPr>
            </w:pPr>
            <w:r>
              <w:rPr>
                <w:rFonts w:ascii="黑体" w:eastAsia="黑体" w:hAnsi="黑体" w:hint="eastAsia"/>
                <w:sz w:val="20"/>
                <w:szCs w:val="20"/>
              </w:rPr>
              <w:t>境外偿还</w:t>
            </w:r>
          </w:p>
        </w:tc>
        <w:tc>
          <w:tcPr>
            <w:tcW w:w="1590" w:type="pct"/>
            <w:tcBorders>
              <w:top w:val="single" w:sz="4" w:space="0" w:color="auto"/>
              <w:left w:val="single" w:sz="4" w:space="0" w:color="auto"/>
              <w:bottom w:val="single" w:sz="4" w:space="0" w:color="auto"/>
              <w:right w:val="single" w:sz="4" w:space="0" w:color="auto"/>
            </w:tcBorders>
          </w:tcPr>
          <w:p w14:paraId="75C06AAC" w14:textId="77777777" w:rsidR="00881462" w:rsidRDefault="009F0A60">
            <w:pPr>
              <w:jc w:val="center"/>
              <w:rPr>
                <w:rFonts w:ascii="黑体" w:eastAsia="黑体" w:hAnsi="黑体"/>
                <w:sz w:val="20"/>
                <w:szCs w:val="20"/>
              </w:rPr>
            </w:pPr>
            <w:r>
              <w:rPr>
                <w:rFonts w:ascii="黑体" w:eastAsia="黑体" w:hAnsi="黑体" w:hint="eastAsia"/>
                <w:sz w:val="20"/>
                <w:szCs w:val="20"/>
              </w:rPr>
              <w:t>1303</w:t>
            </w:r>
          </w:p>
        </w:tc>
      </w:tr>
      <w:tr w:rsidR="00A052DC" w14:paraId="664C41C5" w14:textId="77777777" w:rsidTr="00197ADB">
        <w:tc>
          <w:tcPr>
            <w:tcW w:w="1049" w:type="pct"/>
            <w:vMerge/>
            <w:tcBorders>
              <w:left w:val="single" w:sz="4" w:space="0" w:color="auto"/>
              <w:bottom w:val="single" w:sz="4" w:space="0" w:color="auto"/>
              <w:right w:val="single" w:sz="4" w:space="0" w:color="auto"/>
            </w:tcBorders>
            <w:shd w:val="clear" w:color="auto" w:fill="auto"/>
            <w:vAlign w:val="center"/>
          </w:tcPr>
          <w:p w14:paraId="50164F35" w14:textId="77777777" w:rsidR="00563761" w:rsidRDefault="00563761">
            <w:pPr>
              <w:jc w:val="left"/>
              <w:rPr>
                <w:rFonts w:ascii="黑体" w:eastAsia="黑体" w:hAnsi="黑体"/>
                <w:b/>
                <w:bCs/>
                <w:sz w:val="20"/>
                <w:szCs w:val="20"/>
              </w:rPr>
            </w:pPr>
          </w:p>
        </w:tc>
        <w:tc>
          <w:tcPr>
            <w:tcW w:w="855" w:type="pct"/>
            <w:vMerge/>
            <w:tcBorders>
              <w:left w:val="single" w:sz="4" w:space="0" w:color="auto"/>
              <w:bottom w:val="single" w:sz="4" w:space="0" w:color="auto"/>
              <w:right w:val="single" w:sz="4" w:space="0" w:color="auto"/>
            </w:tcBorders>
            <w:shd w:val="clear" w:color="auto" w:fill="auto"/>
            <w:vAlign w:val="center"/>
          </w:tcPr>
          <w:p w14:paraId="02E97B66" w14:textId="77777777" w:rsidR="00881462" w:rsidRDefault="00881462">
            <w:pPr>
              <w:jc w:val="center"/>
              <w:rPr>
                <w:rFonts w:ascii="黑体" w:eastAsia="黑体" w:hAnsi="黑体"/>
                <w:b/>
                <w:bCs/>
                <w:sz w:val="20"/>
                <w:szCs w:val="20"/>
              </w:rPr>
            </w:pPr>
          </w:p>
        </w:tc>
        <w:tc>
          <w:tcPr>
            <w:tcW w:w="1506" w:type="pct"/>
            <w:tcBorders>
              <w:left w:val="single" w:sz="4" w:space="0" w:color="auto"/>
              <w:bottom w:val="single" w:sz="4" w:space="0" w:color="auto"/>
              <w:right w:val="single" w:sz="4" w:space="0" w:color="auto"/>
            </w:tcBorders>
          </w:tcPr>
          <w:p w14:paraId="522FB50C" w14:textId="77777777" w:rsidR="00A052DC" w:rsidRDefault="009F0A60">
            <w:pPr>
              <w:rPr>
                <w:rFonts w:ascii="黑体" w:eastAsia="黑体" w:hAnsi="黑体"/>
                <w:sz w:val="20"/>
                <w:szCs w:val="20"/>
              </w:rPr>
            </w:pPr>
            <w:r>
              <w:rPr>
                <w:rFonts w:ascii="黑体" w:eastAsia="黑体" w:hAnsi="黑体" w:hint="eastAsia"/>
                <w:sz w:val="20"/>
                <w:szCs w:val="20"/>
              </w:rPr>
              <w:t>其他</w:t>
            </w:r>
          </w:p>
        </w:tc>
        <w:tc>
          <w:tcPr>
            <w:tcW w:w="1590" w:type="pct"/>
            <w:tcBorders>
              <w:top w:val="single" w:sz="4" w:space="0" w:color="auto"/>
              <w:left w:val="single" w:sz="4" w:space="0" w:color="auto"/>
              <w:bottom w:val="single" w:sz="4" w:space="0" w:color="auto"/>
              <w:right w:val="single" w:sz="4" w:space="0" w:color="auto"/>
            </w:tcBorders>
          </w:tcPr>
          <w:p w14:paraId="0B4161A9" w14:textId="77777777" w:rsidR="00881462" w:rsidRDefault="009F0A60">
            <w:pPr>
              <w:jc w:val="center"/>
              <w:rPr>
                <w:rFonts w:ascii="黑体" w:eastAsia="黑体" w:hAnsi="黑体"/>
                <w:sz w:val="20"/>
                <w:szCs w:val="20"/>
              </w:rPr>
            </w:pPr>
            <w:r>
              <w:rPr>
                <w:rFonts w:ascii="黑体" w:eastAsia="黑体" w:hAnsi="黑体" w:hint="eastAsia"/>
                <w:sz w:val="20"/>
                <w:szCs w:val="20"/>
              </w:rPr>
              <w:t>1304</w:t>
            </w:r>
          </w:p>
        </w:tc>
      </w:tr>
      <w:tr w:rsidR="00A052DC" w14:paraId="69313D25" w14:textId="77777777" w:rsidTr="00197ADB">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1684174F" w14:textId="77777777" w:rsidR="00563761" w:rsidRDefault="009F0A60">
            <w:pPr>
              <w:jc w:val="left"/>
              <w:rPr>
                <w:rFonts w:ascii="黑体" w:eastAsia="黑体" w:hAnsi="黑体"/>
                <w:sz w:val="20"/>
                <w:szCs w:val="20"/>
              </w:rPr>
            </w:pPr>
            <w:r>
              <w:rPr>
                <w:rFonts w:ascii="黑体" w:eastAsia="黑体" w:hAnsi="黑体" w:hint="eastAsia"/>
                <w:sz w:val="20"/>
                <w:szCs w:val="20"/>
              </w:rPr>
              <w:t>付费</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647EE506" w14:textId="77777777" w:rsidR="00881462" w:rsidRDefault="009F0A60">
            <w:pPr>
              <w:jc w:val="center"/>
              <w:rPr>
                <w:rFonts w:ascii="黑体" w:eastAsia="黑体" w:hAnsi="黑体"/>
                <w:sz w:val="20"/>
                <w:szCs w:val="20"/>
              </w:rPr>
            </w:pPr>
            <w:r>
              <w:rPr>
                <w:rFonts w:ascii="黑体" w:eastAsia="黑体" w:hAnsi="黑体" w:hint="eastAsia"/>
                <w:sz w:val="20"/>
                <w:szCs w:val="20"/>
              </w:rPr>
              <w:t>14</w:t>
            </w:r>
          </w:p>
        </w:tc>
        <w:tc>
          <w:tcPr>
            <w:tcW w:w="1506" w:type="pct"/>
            <w:tcBorders>
              <w:top w:val="single" w:sz="4" w:space="0" w:color="auto"/>
              <w:left w:val="single" w:sz="4" w:space="0" w:color="auto"/>
              <w:bottom w:val="single" w:sz="4" w:space="0" w:color="auto"/>
              <w:right w:val="single" w:sz="4" w:space="0" w:color="auto"/>
            </w:tcBorders>
          </w:tcPr>
          <w:p w14:paraId="73250146" w14:textId="77777777" w:rsidR="00A052DC" w:rsidRDefault="009F0A60">
            <w:pPr>
              <w:rPr>
                <w:rFonts w:ascii="黑体" w:eastAsia="黑体" w:hAnsi="黑体"/>
                <w:sz w:val="20"/>
                <w:szCs w:val="20"/>
              </w:rPr>
            </w:pPr>
            <w:r>
              <w:rPr>
                <w:rFonts w:ascii="黑体" w:eastAsia="黑体" w:hAnsi="黑体" w:hint="eastAsia"/>
                <w:sz w:val="20"/>
                <w:szCs w:val="20"/>
              </w:rPr>
              <w:t>付费</w:t>
            </w:r>
          </w:p>
        </w:tc>
        <w:tc>
          <w:tcPr>
            <w:tcW w:w="1590" w:type="pct"/>
            <w:tcBorders>
              <w:top w:val="single" w:sz="4" w:space="0" w:color="auto"/>
              <w:left w:val="single" w:sz="4" w:space="0" w:color="auto"/>
              <w:bottom w:val="single" w:sz="4" w:space="0" w:color="auto"/>
              <w:right w:val="single" w:sz="4" w:space="0" w:color="auto"/>
            </w:tcBorders>
          </w:tcPr>
          <w:p w14:paraId="6DAEE26C" w14:textId="77777777" w:rsidR="00881462" w:rsidRDefault="009F0A60">
            <w:pPr>
              <w:jc w:val="center"/>
              <w:rPr>
                <w:rFonts w:ascii="黑体" w:eastAsia="黑体" w:hAnsi="黑体"/>
                <w:sz w:val="20"/>
                <w:szCs w:val="20"/>
              </w:rPr>
            </w:pPr>
            <w:r>
              <w:rPr>
                <w:rFonts w:ascii="黑体" w:eastAsia="黑体" w:hAnsi="黑体" w:hint="eastAsia"/>
                <w:sz w:val="20"/>
                <w:szCs w:val="20"/>
              </w:rPr>
              <w:t>1401</w:t>
            </w:r>
          </w:p>
        </w:tc>
      </w:tr>
      <w:tr w:rsidR="00A052DC" w14:paraId="71292C67" w14:textId="77777777" w:rsidTr="00197ADB">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2103B4A5" w14:textId="77777777" w:rsidR="00563761" w:rsidRDefault="009F0A60">
            <w:pPr>
              <w:jc w:val="left"/>
              <w:rPr>
                <w:rFonts w:ascii="黑体" w:eastAsia="黑体" w:hAnsi="黑体"/>
                <w:sz w:val="20"/>
                <w:szCs w:val="20"/>
              </w:rPr>
            </w:pPr>
            <w:r>
              <w:rPr>
                <w:rFonts w:ascii="黑体" w:eastAsia="黑体" w:hAnsi="黑体" w:hint="eastAsia"/>
                <w:sz w:val="20"/>
                <w:szCs w:val="20"/>
              </w:rPr>
              <w:t>付罚金</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2635EF9D" w14:textId="77777777" w:rsidR="00881462" w:rsidRDefault="009F0A60">
            <w:pPr>
              <w:jc w:val="center"/>
              <w:rPr>
                <w:rFonts w:ascii="黑体" w:eastAsia="黑体" w:hAnsi="黑体"/>
                <w:sz w:val="20"/>
                <w:szCs w:val="20"/>
              </w:rPr>
            </w:pPr>
            <w:r>
              <w:rPr>
                <w:rFonts w:ascii="黑体" w:eastAsia="黑体" w:hAnsi="黑体" w:hint="eastAsia"/>
                <w:sz w:val="20"/>
                <w:szCs w:val="20"/>
              </w:rPr>
              <w:t>15</w:t>
            </w:r>
          </w:p>
        </w:tc>
        <w:tc>
          <w:tcPr>
            <w:tcW w:w="1506" w:type="pct"/>
            <w:tcBorders>
              <w:top w:val="single" w:sz="4" w:space="0" w:color="auto"/>
              <w:left w:val="single" w:sz="4" w:space="0" w:color="auto"/>
              <w:bottom w:val="single" w:sz="4" w:space="0" w:color="auto"/>
              <w:right w:val="single" w:sz="4" w:space="0" w:color="auto"/>
            </w:tcBorders>
          </w:tcPr>
          <w:p w14:paraId="7E36336C" w14:textId="77777777" w:rsidR="00A052DC" w:rsidRDefault="009F0A60">
            <w:pPr>
              <w:rPr>
                <w:rFonts w:ascii="黑体" w:eastAsia="黑体" w:hAnsi="黑体"/>
                <w:sz w:val="20"/>
                <w:szCs w:val="20"/>
              </w:rPr>
            </w:pPr>
            <w:r>
              <w:rPr>
                <w:rFonts w:ascii="黑体" w:eastAsia="黑体" w:hAnsi="黑体" w:hint="eastAsia"/>
                <w:sz w:val="20"/>
                <w:szCs w:val="20"/>
              </w:rPr>
              <w:t>付罚金</w:t>
            </w:r>
          </w:p>
        </w:tc>
        <w:tc>
          <w:tcPr>
            <w:tcW w:w="1590" w:type="pct"/>
            <w:tcBorders>
              <w:top w:val="single" w:sz="4" w:space="0" w:color="auto"/>
              <w:left w:val="single" w:sz="4" w:space="0" w:color="auto"/>
              <w:bottom w:val="single" w:sz="4" w:space="0" w:color="auto"/>
              <w:right w:val="single" w:sz="4" w:space="0" w:color="auto"/>
            </w:tcBorders>
          </w:tcPr>
          <w:p w14:paraId="005FAAD4" w14:textId="77777777" w:rsidR="00881462" w:rsidRDefault="009F0A60">
            <w:pPr>
              <w:jc w:val="center"/>
              <w:rPr>
                <w:rFonts w:ascii="黑体" w:eastAsia="黑体" w:hAnsi="黑体"/>
                <w:sz w:val="20"/>
                <w:szCs w:val="20"/>
              </w:rPr>
            </w:pPr>
            <w:r>
              <w:rPr>
                <w:rFonts w:ascii="黑体" w:eastAsia="黑体" w:hAnsi="黑体" w:hint="eastAsia"/>
                <w:sz w:val="20"/>
                <w:szCs w:val="20"/>
              </w:rPr>
              <w:t>1501</w:t>
            </w:r>
          </w:p>
        </w:tc>
      </w:tr>
    </w:tbl>
    <w:p w14:paraId="53995DC2" w14:textId="77777777" w:rsidR="00A052DC" w:rsidRDefault="00A052DC">
      <w:pPr>
        <w:tabs>
          <w:tab w:val="left" w:pos="1140"/>
          <w:tab w:val="left" w:pos="3348"/>
          <w:tab w:val="left" w:pos="5688"/>
        </w:tabs>
        <w:ind w:firstLine="480"/>
        <w:jc w:val="left"/>
        <w:rPr>
          <w:rFonts w:ascii="宋体" w:hAnsi="宋体"/>
        </w:rPr>
      </w:pPr>
    </w:p>
    <w:p w14:paraId="3DAECABF" w14:textId="77777777" w:rsidR="00A052DC" w:rsidRDefault="009F0A60" w:rsidP="0020251D">
      <w:pPr>
        <w:pStyle w:val="3"/>
        <w:ind w:left="0"/>
        <w:rPr>
          <w:rFonts w:ascii="Times New Roman" w:hAnsi="Times New Roman"/>
        </w:rPr>
      </w:pPr>
      <w:bookmarkStart w:id="4855" w:name="_Toc328635611"/>
      <w:bookmarkStart w:id="4856" w:name="_Toc91455539"/>
      <w:bookmarkStart w:id="4857" w:name="_Toc380356340"/>
      <w:bookmarkStart w:id="4858" w:name="_Toc454394797"/>
      <w:bookmarkStart w:id="4859" w:name="_Toc101684564"/>
      <w:r>
        <w:rPr>
          <w:rFonts w:ascii="Times New Roman" w:hAnsi="Times New Roman" w:hint="eastAsia"/>
        </w:rPr>
        <w:t>非居民机构账户类型</w:t>
      </w:r>
      <w:bookmarkEnd w:id="4855"/>
      <w:bookmarkEnd w:id="4856"/>
      <w:bookmarkEnd w:id="4857"/>
      <w:bookmarkEnd w:id="4858"/>
      <w:bookmarkEnd w:id="485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4870"/>
      </w:tblGrid>
      <w:tr w:rsidR="00A052DC" w14:paraId="7542A83F" w14:textId="77777777" w:rsidTr="00830682">
        <w:tc>
          <w:tcPr>
            <w:tcW w:w="3652" w:type="dxa"/>
            <w:shd w:val="clear" w:color="auto" w:fill="BFBFBF" w:themeFill="background1" w:themeFillShade="BF"/>
          </w:tcPr>
          <w:p w14:paraId="75A4D11C" w14:textId="77777777" w:rsidR="00881462" w:rsidRDefault="009F0A60">
            <w:pPr>
              <w:pStyle w:val="B1"/>
            </w:pPr>
            <w:r>
              <w:rPr>
                <w:rFonts w:hint="eastAsia"/>
              </w:rPr>
              <w:t>非居民机构账户类型代码</w:t>
            </w:r>
          </w:p>
        </w:tc>
        <w:tc>
          <w:tcPr>
            <w:tcW w:w="4870" w:type="dxa"/>
            <w:shd w:val="clear" w:color="auto" w:fill="BFBFBF" w:themeFill="background1" w:themeFillShade="BF"/>
          </w:tcPr>
          <w:p w14:paraId="4EF70333" w14:textId="77777777" w:rsidR="00881462" w:rsidRDefault="009F0A60">
            <w:pPr>
              <w:pStyle w:val="B1"/>
            </w:pPr>
            <w:r>
              <w:rPr>
                <w:rFonts w:hint="eastAsia"/>
              </w:rPr>
              <w:t>非居民机构账户类型名称</w:t>
            </w:r>
          </w:p>
        </w:tc>
      </w:tr>
      <w:tr w:rsidR="00A052DC" w14:paraId="68CA4946" w14:textId="77777777" w:rsidTr="00830682">
        <w:tc>
          <w:tcPr>
            <w:tcW w:w="3652" w:type="dxa"/>
            <w:shd w:val="clear" w:color="auto" w:fill="auto"/>
          </w:tcPr>
          <w:p w14:paraId="193D683C" w14:textId="77777777" w:rsidR="00881462" w:rsidRDefault="009F0A60">
            <w:pPr>
              <w:jc w:val="center"/>
              <w:rPr>
                <w:rFonts w:ascii="黑体" w:eastAsia="黑体" w:hAnsi="黑体"/>
                <w:sz w:val="20"/>
                <w:szCs w:val="20"/>
              </w:rPr>
            </w:pPr>
            <w:r>
              <w:rPr>
                <w:rFonts w:ascii="黑体" w:eastAsia="黑体" w:hAnsi="黑体"/>
                <w:sz w:val="20"/>
                <w:szCs w:val="20"/>
              </w:rPr>
              <w:t>NRA</w:t>
            </w:r>
          </w:p>
        </w:tc>
        <w:tc>
          <w:tcPr>
            <w:tcW w:w="4870" w:type="dxa"/>
            <w:shd w:val="clear" w:color="auto" w:fill="auto"/>
          </w:tcPr>
          <w:p w14:paraId="63D47646" w14:textId="77777777" w:rsidR="00881462" w:rsidRDefault="009F0A60">
            <w:pPr>
              <w:jc w:val="center"/>
              <w:rPr>
                <w:rFonts w:ascii="黑体" w:eastAsia="黑体" w:hAnsi="黑体"/>
                <w:sz w:val="20"/>
                <w:szCs w:val="20"/>
              </w:rPr>
            </w:pPr>
            <w:r>
              <w:rPr>
                <w:rFonts w:ascii="黑体" w:eastAsia="黑体" w:hAnsi="黑体"/>
                <w:sz w:val="20"/>
                <w:szCs w:val="20"/>
              </w:rPr>
              <w:t>NRA非居民账户</w:t>
            </w:r>
          </w:p>
        </w:tc>
      </w:tr>
      <w:tr w:rsidR="00A052DC" w14:paraId="7034D415" w14:textId="77777777" w:rsidTr="00830682">
        <w:tc>
          <w:tcPr>
            <w:tcW w:w="3652" w:type="dxa"/>
            <w:shd w:val="clear" w:color="auto" w:fill="auto"/>
          </w:tcPr>
          <w:p w14:paraId="3369E736" w14:textId="77777777" w:rsidR="00881462" w:rsidRDefault="009F0A60">
            <w:pPr>
              <w:jc w:val="center"/>
              <w:rPr>
                <w:rFonts w:ascii="黑体" w:eastAsia="黑体" w:hAnsi="黑体"/>
                <w:sz w:val="20"/>
                <w:szCs w:val="20"/>
              </w:rPr>
            </w:pPr>
            <w:r>
              <w:rPr>
                <w:rFonts w:ascii="黑体" w:eastAsia="黑体" w:hAnsi="黑体"/>
                <w:sz w:val="20"/>
                <w:szCs w:val="20"/>
              </w:rPr>
              <w:t>OSA</w:t>
            </w:r>
          </w:p>
        </w:tc>
        <w:tc>
          <w:tcPr>
            <w:tcW w:w="4870" w:type="dxa"/>
            <w:shd w:val="clear" w:color="auto" w:fill="auto"/>
          </w:tcPr>
          <w:p w14:paraId="00D7C1DC" w14:textId="77777777" w:rsidR="00881462" w:rsidRDefault="009F0A60">
            <w:pPr>
              <w:jc w:val="center"/>
              <w:rPr>
                <w:rFonts w:ascii="黑体" w:eastAsia="黑体" w:hAnsi="黑体"/>
                <w:sz w:val="20"/>
                <w:szCs w:val="20"/>
              </w:rPr>
            </w:pPr>
            <w:r>
              <w:rPr>
                <w:rFonts w:ascii="黑体" w:eastAsia="黑体" w:hAnsi="黑体"/>
                <w:sz w:val="20"/>
                <w:szCs w:val="20"/>
              </w:rPr>
              <w:t>OSA离岸账户</w:t>
            </w:r>
          </w:p>
        </w:tc>
      </w:tr>
      <w:tr w:rsidR="00A052DC" w14:paraId="3C12614F" w14:textId="77777777" w:rsidTr="00830682">
        <w:tc>
          <w:tcPr>
            <w:tcW w:w="3652" w:type="dxa"/>
            <w:shd w:val="clear" w:color="auto" w:fill="auto"/>
          </w:tcPr>
          <w:p w14:paraId="35B92E8E" w14:textId="77777777" w:rsidR="00881462" w:rsidRDefault="009F0A60">
            <w:pPr>
              <w:jc w:val="center"/>
              <w:rPr>
                <w:rFonts w:ascii="黑体" w:eastAsia="黑体" w:hAnsi="黑体"/>
                <w:sz w:val="20"/>
                <w:szCs w:val="20"/>
              </w:rPr>
            </w:pPr>
            <w:r>
              <w:rPr>
                <w:rFonts w:ascii="黑体" w:eastAsia="黑体" w:hAnsi="黑体" w:hint="eastAsia"/>
                <w:sz w:val="20"/>
                <w:szCs w:val="20"/>
              </w:rPr>
              <w:t>FTN</w:t>
            </w:r>
          </w:p>
        </w:tc>
        <w:tc>
          <w:tcPr>
            <w:tcW w:w="4870" w:type="dxa"/>
            <w:shd w:val="clear" w:color="auto" w:fill="auto"/>
          </w:tcPr>
          <w:p w14:paraId="1C3BC572" w14:textId="77777777" w:rsidR="00881462" w:rsidRDefault="009F0A60">
            <w:pPr>
              <w:jc w:val="center"/>
              <w:rPr>
                <w:rFonts w:ascii="黑体" w:eastAsia="黑体" w:hAnsi="黑体"/>
                <w:sz w:val="20"/>
                <w:szCs w:val="20"/>
              </w:rPr>
            </w:pPr>
            <w:r>
              <w:rPr>
                <w:rFonts w:ascii="黑体" w:eastAsia="黑体" w:hAnsi="黑体" w:hint="eastAsia"/>
                <w:sz w:val="20"/>
                <w:szCs w:val="20"/>
              </w:rPr>
              <w:t>自贸区FT账户</w:t>
            </w:r>
          </w:p>
        </w:tc>
      </w:tr>
    </w:tbl>
    <w:p w14:paraId="282BE4B3" w14:textId="77777777" w:rsidR="00A052DC" w:rsidRDefault="009F0A60">
      <w:pPr>
        <w:pStyle w:val="2"/>
        <w:rPr>
          <w:rFonts w:ascii="Times New Roman" w:hAnsi="Times New Roman"/>
        </w:rPr>
      </w:pPr>
      <w:bookmarkStart w:id="4860" w:name="_Toc454394798"/>
      <w:bookmarkStart w:id="4861" w:name="_Toc380356341"/>
      <w:bookmarkStart w:id="4862" w:name="_Toc91455540"/>
      <w:bookmarkStart w:id="4863" w:name="_Toc101684565"/>
      <w:bookmarkStart w:id="4864" w:name="_Toc328635623"/>
      <w:r>
        <w:rPr>
          <w:rFonts w:ascii="Times New Roman" w:hAnsi="Times New Roman" w:hint="eastAsia"/>
        </w:rPr>
        <w:t>担保业务代码表</w:t>
      </w:r>
      <w:bookmarkEnd w:id="4860"/>
      <w:bookmarkEnd w:id="4861"/>
      <w:bookmarkEnd w:id="4862"/>
      <w:bookmarkEnd w:id="4863"/>
    </w:p>
    <w:p w14:paraId="36F16811" w14:textId="77777777" w:rsidR="00A052DC" w:rsidRDefault="009F0A60" w:rsidP="0020251D">
      <w:pPr>
        <w:pStyle w:val="3"/>
        <w:ind w:left="0"/>
        <w:rPr>
          <w:rFonts w:ascii="Times New Roman" w:hAnsi="Times New Roman"/>
        </w:rPr>
      </w:pPr>
      <w:bookmarkStart w:id="4865" w:name="_Toc91455541"/>
      <w:bookmarkStart w:id="4866" w:name="_Toc380356342"/>
      <w:bookmarkStart w:id="4867" w:name="_Toc454394799"/>
      <w:bookmarkStart w:id="4868" w:name="_Toc101684566"/>
      <w:r>
        <w:rPr>
          <w:rFonts w:ascii="Times New Roman" w:hAnsi="Times New Roman" w:hint="eastAsia"/>
        </w:rPr>
        <w:t>担保类型</w:t>
      </w:r>
      <w:bookmarkEnd w:id="4865"/>
      <w:bookmarkEnd w:id="4866"/>
      <w:bookmarkEnd w:id="4867"/>
      <w:bookmarkEnd w:id="486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134"/>
        <w:gridCol w:w="2835"/>
        <w:gridCol w:w="2744"/>
      </w:tblGrid>
      <w:tr w:rsidR="00A052DC" w14:paraId="6E3EC87E" w14:textId="77777777" w:rsidTr="00830682">
        <w:tc>
          <w:tcPr>
            <w:tcW w:w="18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6322120" w14:textId="77777777" w:rsidR="00881462" w:rsidRDefault="009F0A60">
            <w:pPr>
              <w:pStyle w:val="B1"/>
            </w:pPr>
            <w:r>
              <w:rPr>
                <w:rFonts w:hint="eastAsia"/>
              </w:rPr>
              <w:t>一级担保类型</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C2DB75F" w14:textId="77777777" w:rsidR="00881462" w:rsidRDefault="009F0A60">
            <w:pPr>
              <w:pStyle w:val="B1"/>
            </w:pPr>
            <w:r>
              <w:rPr>
                <w:rFonts w:hint="eastAsia"/>
              </w:rPr>
              <w:t>一级担保类型代码</w:t>
            </w:r>
          </w:p>
        </w:tc>
        <w:tc>
          <w:tcPr>
            <w:tcW w:w="283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0E07CD1" w14:textId="77777777" w:rsidR="00881462" w:rsidRDefault="009F0A60">
            <w:pPr>
              <w:pStyle w:val="B1"/>
            </w:pPr>
            <w:r>
              <w:rPr>
                <w:rFonts w:hint="eastAsia"/>
              </w:rPr>
              <w:t>二级担保类型</w:t>
            </w:r>
          </w:p>
        </w:tc>
        <w:tc>
          <w:tcPr>
            <w:tcW w:w="274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F215ECD" w14:textId="77777777" w:rsidR="00881462" w:rsidRDefault="009F0A60">
            <w:pPr>
              <w:pStyle w:val="B1"/>
            </w:pPr>
            <w:r>
              <w:rPr>
                <w:rFonts w:hint="eastAsia"/>
              </w:rPr>
              <w:t>二级担保类型代码</w:t>
            </w:r>
          </w:p>
        </w:tc>
      </w:tr>
      <w:tr w:rsidR="00830682" w14:paraId="21A35C53" w14:textId="77777777" w:rsidTr="00881462">
        <w:tc>
          <w:tcPr>
            <w:tcW w:w="1809" w:type="dxa"/>
            <w:vMerge w:val="restart"/>
            <w:tcBorders>
              <w:top w:val="single" w:sz="4" w:space="0" w:color="auto"/>
              <w:left w:val="single" w:sz="4" w:space="0" w:color="auto"/>
              <w:right w:val="single" w:sz="4" w:space="0" w:color="auto"/>
            </w:tcBorders>
            <w:shd w:val="clear" w:color="auto" w:fill="auto"/>
            <w:vAlign w:val="center"/>
          </w:tcPr>
          <w:p w14:paraId="799E8ADF" w14:textId="77777777" w:rsidR="00881462" w:rsidRDefault="00830682">
            <w:pPr>
              <w:jc w:val="center"/>
              <w:rPr>
                <w:rFonts w:ascii="黑体" w:eastAsia="黑体" w:hAnsi="黑体"/>
                <w:sz w:val="20"/>
                <w:szCs w:val="20"/>
              </w:rPr>
            </w:pPr>
            <w:r>
              <w:rPr>
                <w:rFonts w:ascii="黑体" w:eastAsia="黑体" w:hAnsi="黑体" w:hint="eastAsia"/>
                <w:sz w:val="20"/>
                <w:szCs w:val="20"/>
              </w:rPr>
              <w:t>融资性担保</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52428C04" w14:textId="77777777" w:rsidR="00830682" w:rsidRDefault="00830682">
            <w:pPr>
              <w:jc w:val="center"/>
              <w:rPr>
                <w:rFonts w:ascii="黑体" w:eastAsia="黑体" w:hAnsi="黑体"/>
                <w:sz w:val="20"/>
                <w:szCs w:val="20"/>
              </w:rPr>
            </w:pPr>
            <w:r>
              <w:rPr>
                <w:rFonts w:ascii="黑体" w:eastAsia="黑体" w:hAnsi="黑体"/>
                <w:sz w:val="20"/>
                <w:szCs w:val="20"/>
              </w:rPr>
              <w:t>11</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5E024ACC" w14:textId="77777777" w:rsidR="00830682" w:rsidRDefault="00830682">
            <w:pPr>
              <w:rPr>
                <w:rFonts w:ascii="黑体" w:eastAsia="黑体" w:hAnsi="黑体"/>
                <w:sz w:val="20"/>
                <w:szCs w:val="20"/>
              </w:rPr>
            </w:pPr>
            <w:r>
              <w:rPr>
                <w:rFonts w:ascii="黑体" w:eastAsia="黑体" w:hAnsi="黑体" w:hint="eastAsia"/>
                <w:sz w:val="20"/>
                <w:szCs w:val="20"/>
              </w:rPr>
              <w:t>股权或债权投资担保</w:t>
            </w:r>
          </w:p>
        </w:tc>
        <w:tc>
          <w:tcPr>
            <w:tcW w:w="2744" w:type="dxa"/>
            <w:tcBorders>
              <w:top w:val="single" w:sz="4" w:space="0" w:color="auto"/>
              <w:left w:val="single" w:sz="4" w:space="0" w:color="auto"/>
              <w:bottom w:val="single" w:sz="4" w:space="0" w:color="auto"/>
              <w:right w:val="single" w:sz="4" w:space="0" w:color="auto"/>
            </w:tcBorders>
            <w:shd w:val="clear" w:color="auto" w:fill="auto"/>
            <w:vAlign w:val="center"/>
          </w:tcPr>
          <w:p w14:paraId="18FC49AE" w14:textId="77777777" w:rsidR="00830682" w:rsidRDefault="00830682">
            <w:pPr>
              <w:jc w:val="center"/>
              <w:rPr>
                <w:rFonts w:ascii="黑体" w:eastAsia="黑体" w:hAnsi="黑体"/>
                <w:sz w:val="20"/>
                <w:szCs w:val="20"/>
              </w:rPr>
            </w:pPr>
            <w:r>
              <w:rPr>
                <w:rFonts w:ascii="黑体" w:eastAsia="黑体" w:hAnsi="黑体"/>
                <w:sz w:val="20"/>
                <w:szCs w:val="20"/>
              </w:rPr>
              <w:t>1101</w:t>
            </w:r>
          </w:p>
        </w:tc>
      </w:tr>
      <w:tr w:rsidR="00830682" w14:paraId="576C4C2C" w14:textId="77777777" w:rsidTr="00881462">
        <w:tc>
          <w:tcPr>
            <w:tcW w:w="1809" w:type="dxa"/>
            <w:vMerge/>
            <w:tcBorders>
              <w:left w:val="single" w:sz="4" w:space="0" w:color="auto"/>
              <w:right w:val="single" w:sz="4" w:space="0" w:color="auto"/>
            </w:tcBorders>
            <w:shd w:val="clear" w:color="auto" w:fill="auto"/>
            <w:vAlign w:val="center"/>
          </w:tcPr>
          <w:p w14:paraId="131993E7" w14:textId="77777777" w:rsidR="00881462" w:rsidRDefault="00881462">
            <w:pPr>
              <w:jc w:val="center"/>
              <w:rPr>
                <w:rFonts w:ascii="黑体" w:eastAsia="黑体" w:hAnsi="黑体"/>
                <w:b/>
                <w:bCs/>
                <w:sz w:val="20"/>
                <w:szCs w:val="20"/>
              </w:rPr>
            </w:pPr>
          </w:p>
        </w:tc>
        <w:tc>
          <w:tcPr>
            <w:tcW w:w="1134" w:type="dxa"/>
            <w:vMerge/>
            <w:tcBorders>
              <w:left w:val="single" w:sz="4" w:space="0" w:color="auto"/>
              <w:right w:val="single" w:sz="4" w:space="0" w:color="auto"/>
            </w:tcBorders>
            <w:shd w:val="clear" w:color="auto" w:fill="auto"/>
            <w:vAlign w:val="center"/>
          </w:tcPr>
          <w:p w14:paraId="574BBDCA" w14:textId="77777777" w:rsidR="00830682" w:rsidRDefault="00830682">
            <w:pPr>
              <w:jc w:val="center"/>
              <w:rPr>
                <w:rFonts w:ascii="黑体" w:eastAsia="黑体" w:hAnsi="黑体"/>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0FBCC30E" w14:textId="77777777" w:rsidR="00830682" w:rsidRDefault="00830682">
            <w:pPr>
              <w:rPr>
                <w:rFonts w:ascii="黑体" w:eastAsia="黑体" w:hAnsi="黑体"/>
                <w:sz w:val="20"/>
                <w:szCs w:val="20"/>
              </w:rPr>
            </w:pPr>
            <w:r>
              <w:rPr>
                <w:rFonts w:ascii="黑体" w:eastAsia="黑体" w:hAnsi="黑体" w:hint="eastAsia"/>
                <w:sz w:val="20"/>
                <w:szCs w:val="20"/>
              </w:rPr>
              <w:t>自身生产经营需要担保</w:t>
            </w:r>
          </w:p>
        </w:tc>
        <w:tc>
          <w:tcPr>
            <w:tcW w:w="2744" w:type="dxa"/>
            <w:tcBorders>
              <w:top w:val="single" w:sz="4" w:space="0" w:color="auto"/>
              <w:left w:val="single" w:sz="4" w:space="0" w:color="auto"/>
              <w:bottom w:val="single" w:sz="4" w:space="0" w:color="auto"/>
              <w:right w:val="single" w:sz="4" w:space="0" w:color="auto"/>
            </w:tcBorders>
            <w:shd w:val="clear" w:color="auto" w:fill="auto"/>
            <w:vAlign w:val="center"/>
          </w:tcPr>
          <w:p w14:paraId="5793AD4D" w14:textId="77777777" w:rsidR="00830682" w:rsidRDefault="00830682">
            <w:pPr>
              <w:jc w:val="center"/>
              <w:rPr>
                <w:rFonts w:ascii="黑体" w:eastAsia="黑体" w:hAnsi="黑体"/>
                <w:sz w:val="20"/>
                <w:szCs w:val="20"/>
              </w:rPr>
            </w:pPr>
            <w:r>
              <w:rPr>
                <w:rFonts w:ascii="黑体" w:eastAsia="黑体" w:hAnsi="黑体"/>
                <w:sz w:val="20"/>
                <w:szCs w:val="20"/>
              </w:rPr>
              <w:t>1102</w:t>
            </w:r>
          </w:p>
        </w:tc>
      </w:tr>
      <w:tr w:rsidR="00830682" w14:paraId="4509692B" w14:textId="77777777" w:rsidTr="00881462">
        <w:tc>
          <w:tcPr>
            <w:tcW w:w="1809" w:type="dxa"/>
            <w:vMerge/>
            <w:tcBorders>
              <w:left w:val="single" w:sz="4" w:space="0" w:color="auto"/>
              <w:right w:val="single" w:sz="4" w:space="0" w:color="auto"/>
            </w:tcBorders>
            <w:shd w:val="clear" w:color="auto" w:fill="auto"/>
            <w:vAlign w:val="center"/>
          </w:tcPr>
          <w:p w14:paraId="70B30EB8" w14:textId="77777777" w:rsidR="00881462" w:rsidRDefault="00881462">
            <w:pPr>
              <w:jc w:val="center"/>
              <w:rPr>
                <w:rFonts w:ascii="黑体" w:eastAsia="黑体" w:hAnsi="黑体"/>
                <w:b/>
                <w:bCs/>
                <w:sz w:val="20"/>
                <w:szCs w:val="20"/>
              </w:rPr>
            </w:pPr>
          </w:p>
        </w:tc>
        <w:tc>
          <w:tcPr>
            <w:tcW w:w="1134" w:type="dxa"/>
            <w:vMerge/>
            <w:tcBorders>
              <w:left w:val="single" w:sz="4" w:space="0" w:color="auto"/>
              <w:right w:val="single" w:sz="4" w:space="0" w:color="auto"/>
            </w:tcBorders>
            <w:shd w:val="clear" w:color="auto" w:fill="auto"/>
            <w:vAlign w:val="center"/>
          </w:tcPr>
          <w:p w14:paraId="2048A7C6" w14:textId="77777777" w:rsidR="00830682" w:rsidRDefault="00830682">
            <w:pPr>
              <w:jc w:val="center"/>
              <w:rPr>
                <w:rFonts w:ascii="黑体" w:eastAsia="黑体" w:hAnsi="黑体"/>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1E592562" w14:textId="77777777" w:rsidR="00830682" w:rsidRDefault="00830682">
            <w:pPr>
              <w:rPr>
                <w:rFonts w:ascii="黑体" w:eastAsia="黑体" w:hAnsi="黑体"/>
                <w:sz w:val="20"/>
                <w:szCs w:val="20"/>
              </w:rPr>
            </w:pPr>
            <w:r>
              <w:rPr>
                <w:rFonts w:ascii="黑体" w:eastAsia="黑体" w:hAnsi="黑体" w:hint="eastAsia"/>
                <w:sz w:val="20"/>
                <w:szCs w:val="20"/>
              </w:rPr>
              <w:t>房屋按揭贷款担保</w:t>
            </w:r>
          </w:p>
        </w:tc>
        <w:tc>
          <w:tcPr>
            <w:tcW w:w="2744" w:type="dxa"/>
            <w:tcBorders>
              <w:top w:val="single" w:sz="4" w:space="0" w:color="auto"/>
              <w:left w:val="single" w:sz="4" w:space="0" w:color="auto"/>
              <w:bottom w:val="single" w:sz="4" w:space="0" w:color="auto"/>
              <w:right w:val="single" w:sz="4" w:space="0" w:color="auto"/>
            </w:tcBorders>
            <w:shd w:val="clear" w:color="auto" w:fill="auto"/>
            <w:vAlign w:val="center"/>
          </w:tcPr>
          <w:p w14:paraId="5CFBDAE5" w14:textId="77777777" w:rsidR="00830682" w:rsidRDefault="00830682">
            <w:pPr>
              <w:jc w:val="center"/>
              <w:rPr>
                <w:rFonts w:ascii="黑体" w:eastAsia="黑体" w:hAnsi="黑体"/>
                <w:sz w:val="20"/>
                <w:szCs w:val="20"/>
              </w:rPr>
            </w:pPr>
            <w:r>
              <w:rPr>
                <w:rFonts w:ascii="黑体" w:eastAsia="黑体" w:hAnsi="黑体"/>
                <w:sz w:val="20"/>
                <w:szCs w:val="20"/>
              </w:rPr>
              <w:t>1103</w:t>
            </w:r>
          </w:p>
        </w:tc>
      </w:tr>
      <w:tr w:rsidR="00830682" w14:paraId="3B7F4C41" w14:textId="77777777" w:rsidTr="00881462">
        <w:tc>
          <w:tcPr>
            <w:tcW w:w="1809" w:type="dxa"/>
            <w:vMerge/>
            <w:tcBorders>
              <w:left w:val="single" w:sz="4" w:space="0" w:color="auto"/>
              <w:right w:val="single" w:sz="4" w:space="0" w:color="auto"/>
            </w:tcBorders>
            <w:shd w:val="clear" w:color="auto" w:fill="auto"/>
            <w:vAlign w:val="center"/>
          </w:tcPr>
          <w:p w14:paraId="151478A1" w14:textId="77777777" w:rsidR="00881462" w:rsidRDefault="00881462">
            <w:pPr>
              <w:jc w:val="center"/>
              <w:rPr>
                <w:rFonts w:ascii="黑体" w:eastAsia="黑体" w:hAnsi="黑体"/>
                <w:b/>
                <w:bCs/>
                <w:sz w:val="20"/>
                <w:szCs w:val="20"/>
              </w:rPr>
            </w:pPr>
          </w:p>
        </w:tc>
        <w:tc>
          <w:tcPr>
            <w:tcW w:w="1134" w:type="dxa"/>
            <w:vMerge/>
            <w:tcBorders>
              <w:left w:val="single" w:sz="4" w:space="0" w:color="auto"/>
              <w:right w:val="single" w:sz="4" w:space="0" w:color="auto"/>
            </w:tcBorders>
            <w:shd w:val="clear" w:color="auto" w:fill="auto"/>
            <w:vAlign w:val="center"/>
          </w:tcPr>
          <w:p w14:paraId="4D648271" w14:textId="77777777" w:rsidR="00830682" w:rsidRDefault="00830682">
            <w:pPr>
              <w:jc w:val="center"/>
              <w:rPr>
                <w:rFonts w:ascii="黑体" w:eastAsia="黑体" w:hAnsi="黑体"/>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23ED0D9B" w14:textId="77777777" w:rsidR="00830682" w:rsidRDefault="00830682">
            <w:pPr>
              <w:rPr>
                <w:rFonts w:ascii="黑体" w:eastAsia="黑体" w:hAnsi="黑体"/>
                <w:sz w:val="20"/>
                <w:szCs w:val="20"/>
              </w:rPr>
            </w:pPr>
            <w:r>
              <w:rPr>
                <w:rFonts w:ascii="黑体" w:eastAsia="黑体" w:hAnsi="黑体" w:hint="eastAsia"/>
                <w:sz w:val="20"/>
                <w:szCs w:val="20"/>
              </w:rPr>
              <w:t>授信额度担保</w:t>
            </w:r>
          </w:p>
        </w:tc>
        <w:tc>
          <w:tcPr>
            <w:tcW w:w="2744" w:type="dxa"/>
            <w:tcBorders>
              <w:top w:val="single" w:sz="4" w:space="0" w:color="auto"/>
              <w:left w:val="single" w:sz="4" w:space="0" w:color="auto"/>
              <w:bottom w:val="single" w:sz="4" w:space="0" w:color="auto"/>
              <w:right w:val="single" w:sz="4" w:space="0" w:color="auto"/>
            </w:tcBorders>
            <w:shd w:val="clear" w:color="auto" w:fill="auto"/>
            <w:vAlign w:val="center"/>
          </w:tcPr>
          <w:p w14:paraId="582FC401" w14:textId="77777777" w:rsidR="00830682" w:rsidRDefault="00830682">
            <w:pPr>
              <w:jc w:val="center"/>
              <w:rPr>
                <w:rFonts w:ascii="黑体" w:eastAsia="黑体" w:hAnsi="黑体"/>
                <w:sz w:val="20"/>
                <w:szCs w:val="20"/>
              </w:rPr>
            </w:pPr>
            <w:r>
              <w:rPr>
                <w:rFonts w:ascii="黑体" w:eastAsia="黑体" w:hAnsi="黑体"/>
                <w:sz w:val="20"/>
                <w:szCs w:val="20"/>
              </w:rPr>
              <w:t>1104</w:t>
            </w:r>
          </w:p>
        </w:tc>
      </w:tr>
      <w:tr w:rsidR="00830682" w14:paraId="54075E1D" w14:textId="77777777" w:rsidTr="00881462">
        <w:tc>
          <w:tcPr>
            <w:tcW w:w="1809" w:type="dxa"/>
            <w:vMerge/>
            <w:tcBorders>
              <w:left w:val="single" w:sz="4" w:space="0" w:color="auto"/>
              <w:right w:val="single" w:sz="4" w:space="0" w:color="auto"/>
            </w:tcBorders>
            <w:shd w:val="clear" w:color="auto" w:fill="auto"/>
            <w:vAlign w:val="center"/>
          </w:tcPr>
          <w:p w14:paraId="1D9D370D" w14:textId="77777777" w:rsidR="00881462" w:rsidRDefault="00881462">
            <w:pPr>
              <w:jc w:val="center"/>
              <w:rPr>
                <w:rFonts w:ascii="黑体" w:eastAsia="黑体" w:hAnsi="黑体"/>
                <w:b/>
                <w:bCs/>
                <w:sz w:val="20"/>
                <w:szCs w:val="20"/>
              </w:rPr>
            </w:pPr>
          </w:p>
        </w:tc>
        <w:tc>
          <w:tcPr>
            <w:tcW w:w="1134" w:type="dxa"/>
            <w:vMerge/>
            <w:tcBorders>
              <w:left w:val="single" w:sz="4" w:space="0" w:color="auto"/>
              <w:right w:val="single" w:sz="4" w:space="0" w:color="auto"/>
            </w:tcBorders>
            <w:shd w:val="clear" w:color="auto" w:fill="auto"/>
            <w:vAlign w:val="center"/>
          </w:tcPr>
          <w:p w14:paraId="3355B49B" w14:textId="77777777" w:rsidR="00830682" w:rsidRDefault="00830682">
            <w:pPr>
              <w:jc w:val="center"/>
              <w:rPr>
                <w:rFonts w:ascii="黑体" w:eastAsia="黑体" w:hAnsi="黑体"/>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79FE71B3" w14:textId="77777777" w:rsidR="00830682" w:rsidRDefault="00830682">
            <w:pPr>
              <w:rPr>
                <w:rFonts w:ascii="黑体" w:eastAsia="黑体" w:hAnsi="黑体"/>
                <w:sz w:val="20"/>
                <w:szCs w:val="20"/>
              </w:rPr>
            </w:pPr>
            <w:r>
              <w:rPr>
                <w:rFonts w:ascii="黑体" w:eastAsia="黑体" w:hAnsi="黑体" w:hint="eastAsia"/>
                <w:sz w:val="20"/>
                <w:szCs w:val="20"/>
              </w:rPr>
              <w:t>为境外发债担保</w:t>
            </w:r>
          </w:p>
        </w:tc>
        <w:tc>
          <w:tcPr>
            <w:tcW w:w="2744" w:type="dxa"/>
            <w:tcBorders>
              <w:top w:val="single" w:sz="4" w:space="0" w:color="auto"/>
              <w:left w:val="single" w:sz="4" w:space="0" w:color="auto"/>
              <w:bottom w:val="single" w:sz="4" w:space="0" w:color="auto"/>
              <w:right w:val="single" w:sz="4" w:space="0" w:color="auto"/>
            </w:tcBorders>
            <w:shd w:val="clear" w:color="auto" w:fill="auto"/>
            <w:vAlign w:val="center"/>
          </w:tcPr>
          <w:p w14:paraId="315CE69A" w14:textId="77777777" w:rsidR="00830682" w:rsidRDefault="00830682">
            <w:pPr>
              <w:jc w:val="center"/>
              <w:rPr>
                <w:rFonts w:ascii="黑体" w:eastAsia="黑体" w:hAnsi="黑体"/>
                <w:sz w:val="20"/>
                <w:szCs w:val="20"/>
              </w:rPr>
            </w:pPr>
            <w:r>
              <w:rPr>
                <w:rFonts w:ascii="黑体" w:eastAsia="黑体" w:hAnsi="黑体"/>
                <w:sz w:val="20"/>
                <w:szCs w:val="20"/>
              </w:rPr>
              <w:t>1105</w:t>
            </w:r>
          </w:p>
        </w:tc>
      </w:tr>
      <w:tr w:rsidR="00830682" w14:paraId="549FAB23" w14:textId="77777777" w:rsidTr="00881462">
        <w:tc>
          <w:tcPr>
            <w:tcW w:w="1809" w:type="dxa"/>
            <w:vMerge/>
            <w:tcBorders>
              <w:left w:val="single" w:sz="4" w:space="0" w:color="auto"/>
              <w:bottom w:val="single" w:sz="4" w:space="0" w:color="auto"/>
              <w:right w:val="single" w:sz="4" w:space="0" w:color="auto"/>
            </w:tcBorders>
            <w:shd w:val="clear" w:color="auto" w:fill="auto"/>
            <w:vAlign w:val="center"/>
          </w:tcPr>
          <w:p w14:paraId="39B252E8" w14:textId="77777777" w:rsidR="00881462" w:rsidRDefault="00881462">
            <w:pPr>
              <w:jc w:val="center"/>
              <w:rPr>
                <w:rFonts w:ascii="黑体" w:eastAsia="黑体" w:hAnsi="黑体"/>
                <w:b/>
                <w:bCs/>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092355FE" w14:textId="77777777" w:rsidR="00830682" w:rsidRDefault="00830682">
            <w:pPr>
              <w:jc w:val="center"/>
              <w:rPr>
                <w:rFonts w:ascii="黑体" w:eastAsia="黑体" w:hAnsi="黑体"/>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2BA69E3B" w14:textId="77777777" w:rsidR="00830682" w:rsidRDefault="00830682">
            <w:pPr>
              <w:rPr>
                <w:rFonts w:ascii="黑体" w:eastAsia="黑体" w:hAnsi="黑体"/>
                <w:sz w:val="20"/>
                <w:szCs w:val="20"/>
              </w:rPr>
            </w:pPr>
            <w:r>
              <w:rPr>
                <w:rFonts w:ascii="黑体" w:eastAsia="黑体" w:hAnsi="黑体" w:hint="eastAsia"/>
                <w:sz w:val="20"/>
                <w:szCs w:val="20"/>
              </w:rPr>
              <w:t>其他融资性担保</w:t>
            </w:r>
          </w:p>
        </w:tc>
        <w:tc>
          <w:tcPr>
            <w:tcW w:w="2744" w:type="dxa"/>
            <w:tcBorders>
              <w:top w:val="single" w:sz="4" w:space="0" w:color="auto"/>
              <w:left w:val="single" w:sz="4" w:space="0" w:color="auto"/>
              <w:bottom w:val="single" w:sz="4" w:space="0" w:color="auto"/>
              <w:right w:val="single" w:sz="4" w:space="0" w:color="auto"/>
            </w:tcBorders>
            <w:shd w:val="clear" w:color="auto" w:fill="auto"/>
            <w:vAlign w:val="center"/>
          </w:tcPr>
          <w:p w14:paraId="321116AD" w14:textId="77777777" w:rsidR="00830682" w:rsidRDefault="00830682">
            <w:pPr>
              <w:jc w:val="center"/>
              <w:rPr>
                <w:rFonts w:ascii="黑体" w:eastAsia="黑体" w:hAnsi="黑体"/>
                <w:sz w:val="20"/>
                <w:szCs w:val="20"/>
              </w:rPr>
            </w:pPr>
            <w:r>
              <w:rPr>
                <w:rFonts w:ascii="黑体" w:eastAsia="黑体" w:hAnsi="黑体"/>
                <w:sz w:val="20"/>
                <w:szCs w:val="20"/>
              </w:rPr>
              <w:t>1106</w:t>
            </w:r>
          </w:p>
        </w:tc>
      </w:tr>
      <w:tr w:rsidR="00D95193" w14:paraId="791F2CD8" w14:textId="77777777" w:rsidTr="00881462">
        <w:tc>
          <w:tcPr>
            <w:tcW w:w="1809" w:type="dxa"/>
            <w:vMerge w:val="restart"/>
            <w:tcBorders>
              <w:top w:val="single" w:sz="4" w:space="0" w:color="auto"/>
              <w:left w:val="single" w:sz="4" w:space="0" w:color="auto"/>
              <w:right w:val="single" w:sz="4" w:space="0" w:color="auto"/>
            </w:tcBorders>
            <w:shd w:val="clear" w:color="auto" w:fill="auto"/>
            <w:vAlign w:val="center"/>
          </w:tcPr>
          <w:p w14:paraId="0C7531B7" w14:textId="77777777" w:rsidR="00881462" w:rsidRDefault="00D95193">
            <w:pPr>
              <w:jc w:val="center"/>
              <w:rPr>
                <w:rFonts w:ascii="黑体" w:eastAsia="黑体" w:hAnsi="黑体"/>
                <w:sz w:val="20"/>
                <w:szCs w:val="20"/>
              </w:rPr>
            </w:pPr>
            <w:r>
              <w:rPr>
                <w:rFonts w:ascii="黑体" w:eastAsia="黑体" w:hAnsi="黑体" w:hint="eastAsia"/>
                <w:sz w:val="20"/>
                <w:szCs w:val="20"/>
              </w:rPr>
              <w:t>非融资性担保</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0700DE59" w14:textId="77777777" w:rsidR="00D95193" w:rsidRDefault="00D95193">
            <w:pPr>
              <w:jc w:val="center"/>
              <w:rPr>
                <w:rFonts w:ascii="黑体" w:eastAsia="黑体" w:hAnsi="黑体"/>
                <w:sz w:val="20"/>
                <w:szCs w:val="20"/>
              </w:rPr>
            </w:pPr>
            <w:r>
              <w:rPr>
                <w:rFonts w:ascii="黑体" w:eastAsia="黑体" w:hAnsi="黑体"/>
                <w:sz w:val="20"/>
                <w:szCs w:val="20"/>
              </w:rPr>
              <w:t>12</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475EBDE5" w14:textId="77777777" w:rsidR="00D95193" w:rsidRDefault="00D95193">
            <w:pPr>
              <w:rPr>
                <w:rFonts w:ascii="黑体" w:eastAsia="黑体" w:hAnsi="黑体"/>
                <w:sz w:val="20"/>
                <w:szCs w:val="20"/>
              </w:rPr>
            </w:pPr>
            <w:r>
              <w:rPr>
                <w:rFonts w:ascii="黑体" w:eastAsia="黑体" w:hAnsi="黑体" w:hint="eastAsia"/>
                <w:sz w:val="20"/>
                <w:szCs w:val="20"/>
              </w:rPr>
              <w:t>投标类</w:t>
            </w:r>
          </w:p>
        </w:tc>
        <w:tc>
          <w:tcPr>
            <w:tcW w:w="2744" w:type="dxa"/>
            <w:tcBorders>
              <w:top w:val="single" w:sz="4" w:space="0" w:color="auto"/>
              <w:left w:val="single" w:sz="4" w:space="0" w:color="auto"/>
              <w:bottom w:val="single" w:sz="4" w:space="0" w:color="auto"/>
              <w:right w:val="single" w:sz="4" w:space="0" w:color="auto"/>
            </w:tcBorders>
            <w:shd w:val="clear" w:color="auto" w:fill="auto"/>
            <w:vAlign w:val="center"/>
          </w:tcPr>
          <w:p w14:paraId="18A7D18F" w14:textId="77777777" w:rsidR="00D95193" w:rsidRDefault="00D95193">
            <w:pPr>
              <w:jc w:val="center"/>
              <w:rPr>
                <w:rFonts w:ascii="黑体" w:eastAsia="黑体" w:hAnsi="黑体"/>
                <w:sz w:val="20"/>
                <w:szCs w:val="20"/>
              </w:rPr>
            </w:pPr>
            <w:r>
              <w:rPr>
                <w:rFonts w:ascii="黑体" w:eastAsia="黑体" w:hAnsi="黑体"/>
                <w:sz w:val="20"/>
                <w:szCs w:val="20"/>
              </w:rPr>
              <w:t>1201</w:t>
            </w:r>
          </w:p>
        </w:tc>
      </w:tr>
      <w:tr w:rsidR="00D95193" w14:paraId="1AF877EF" w14:textId="77777777" w:rsidTr="00881462">
        <w:tc>
          <w:tcPr>
            <w:tcW w:w="1809" w:type="dxa"/>
            <w:vMerge/>
            <w:tcBorders>
              <w:left w:val="single" w:sz="4" w:space="0" w:color="auto"/>
              <w:right w:val="single" w:sz="4" w:space="0" w:color="auto"/>
            </w:tcBorders>
            <w:shd w:val="clear" w:color="auto" w:fill="auto"/>
            <w:vAlign w:val="center"/>
          </w:tcPr>
          <w:p w14:paraId="3C0848C4" w14:textId="77777777" w:rsidR="00881462" w:rsidRDefault="00881462">
            <w:pPr>
              <w:jc w:val="center"/>
              <w:rPr>
                <w:rFonts w:ascii="黑体" w:eastAsia="黑体" w:hAnsi="黑体"/>
                <w:b/>
                <w:bCs/>
                <w:sz w:val="20"/>
                <w:szCs w:val="20"/>
              </w:rPr>
            </w:pPr>
          </w:p>
        </w:tc>
        <w:tc>
          <w:tcPr>
            <w:tcW w:w="1134" w:type="dxa"/>
            <w:vMerge/>
            <w:tcBorders>
              <w:left w:val="single" w:sz="4" w:space="0" w:color="auto"/>
              <w:right w:val="single" w:sz="4" w:space="0" w:color="auto"/>
            </w:tcBorders>
            <w:shd w:val="clear" w:color="auto" w:fill="auto"/>
            <w:vAlign w:val="center"/>
          </w:tcPr>
          <w:p w14:paraId="24DC4911" w14:textId="77777777" w:rsidR="00D95193" w:rsidRDefault="00D95193">
            <w:pPr>
              <w:jc w:val="center"/>
              <w:rPr>
                <w:rFonts w:ascii="黑体" w:eastAsia="黑体" w:hAnsi="黑体"/>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31EBDE0E" w14:textId="77777777" w:rsidR="00D95193" w:rsidRDefault="00D95193">
            <w:pPr>
              <w:rPr>
                <w:rFonts w:ascii="黑体" w:eastAsia="黑体" w:hAnsi="黑体"/>
                <w:sz w:val="20"/>
                <w:szCs w:val="20"/>
              </w:rPr>
            </w:pPr>
            <w:r>
              <w:rPr>
                <w:rFonts w:ascii="黑体" w:eastAsia="黑体" w:hAnsi="黑体" w:hint="eastAsia"/>
                <w:sz w:val="20"/>
                <w:szCs w:val="20"/>
              </w:rPr>
              <w:t>质量类</w:t>
            </w:r>
          </w:p>
        </w:tc>
        <w:tc>
          <w:tcPr>
            <w:tcW w:w="2744" w:type="dxa"/>
            <w:tcBorders>
              <w:top w:val="single" w:sz="4" w:space="0" w:color="auto"/>
              <w:left w:val="single" w:sz="4" w:space="0" w:color="auto"/>
              <w:bottom w:val="single" w:sz="4" w:space="0" w:color="auto"/>
              <w:right w:val="single" w:sz="4" w:space="0" w:color="auto"/>
            </w:tcBorders>
            <w:shd w:val="clear" w:color="auto" w:fill="auto"/>
            <w:vAlign w:val="center"/>
          </w:tcPr>
          <w:p w14:paraId="40B28080" w14:textId="77777777" w:rsidR="00D95193" w:rsidRDefault="00D95193">
            <w:pPr>
              <w:jc w:val="center"/>
              <w:rPr>
                <w:rFonts w:ascii="黑体" w:eastAsia="黑体" w:hAnsi="黑体"/>
                <w:sz w:val="20"/>
                <w:szCs w:val="20"/>
              </w:rPr>
            </w:pPr>
            <w:r>
              <w:rPr>
                <w:rFonts w:ascii="黑体" w:eastAsia="黑体" w:hAnsi="黑体"/>
                <w:sz w:val="20"/>
                <w:szCs w:val="20"/>
              </w:rPr>
              <w:t>1202</w:t>
            </w:r>
          </w:p>
        </w:tc>
      </w:tr>
      <w:tr w:rsidR="00D95193" w14:paraId="2C38D50A" w14:textId="77777777" w:rsidTr="00881462">
        <w:tc>
          <w:tcPr>
            <w:tcW w:w="1809" w:type="dxa"/>
            <w:vMerge/>
            <w:tcBorders>
              <w:left w:val="single" w:sz="4" w:space="0" w:color="auto"/>
              <w:right w:val="single" w:sz="4" w:space="0" w:color="auto"/>
            </w:tcBorders>
            <w:shd w:val="clear" w:color="auto" w:fill="auto"/>
            <w:vAlign w:val="center"/>
          </w:tcPr>
          <w:p w14:paraId="491DBF99" w14:textId="77777777" w:rsidR="00881462" w:rsidRDefault="00881462">
            <w:pPr>
              <w:jc w:val="center"/>
              <w:rPr>
                <w:rFonts w:ascii="黑体" w:eastAsia="黑体" w:hAnsi="黑体"/>
                <w:b/>
                <w:bCs/>
                <w:sz w:val="20"/>
                <w:szCs w:val="20"/>
              </w:rPr>
            </w:pPr>
          </w:p>
        </w:tc>
        <w:tc>
          <w:tcPr>
            <w:tcW w:w="1134" w:type="dxa"/>
            <w:vMerge/>
            <w:tcBorders>
              <w:left w:val="single" w:sz="4" w:space="0" w:color="auto"/>
              <w:right w:val="single" w:sz="4" w:space="0" w:color="auto"/>
            </w:tcBorders>
            <w:shd w:val="clear" w:color="auto" w:fill="auto"/>
            <w:vAlign w:val="center"/>
          </w:tcPr>
          <w:p w14:paraId="154C3E21" w14:textId="77777777" w:rsidR="00D95193" w:rsidRDefault="00D95193">
            <w:pPr>
              <w:jc w:val="center"/>
              <w:rPr>
                <w:rFonts w:ascii="黑体" w:eastAsia="黑体" w:hAnsi="黑体"/>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28F840E5" w14:textId="77777777" w:rsidR="00D95193" w:rsidRDefault="00D95193">
            <w:pPr>
              <w:rPr>
                <w:rFonts w:ascii="黑体" w:eastAsia="黑体" w:hAnsi="黑体"/>
                <w:sz w:val="20"/>
                <w:szCs w:val="20"/>
              </w:rPr>
            </w:pPr>
            <w:r>
              <w:rPr>
                <w:rFonts w:ascii="黑体" w:eastAsia="黑体" w:hAnsi="黑体" w:hint="eastAsia"/>
                <w:sz w:val="20"/>
                <w:szCs w:val="20"/>
              </w:rPr>
              <w:t>履约类</w:t>
            </w:r>
          </w:p>
        </w:tc>
        <w:tc>
          <w:tcPr>
            <w:tcW w:w="2744" w:type="dxa"/>
            <w:tcBorders>
              <w:top w:val="single" w:sz="4" w:space="0" w:color="auto"/>
              <w:left w:val="single" w:sz="4" w:space="0" w:color="auto"/>
              <w:bottom w:val="single" w:sz="4" w:space="0" w:color="auto"/>
              <w:right w:val="single" w:sz="4" w:space="0" w:color="auto"/>
            </w:tcBorders>
            <w:shd w:val="clear" w:color="auto" w:fill="auto"/>
            <w:vAlign w:val="center"/>
          </w:tcPr>
          <w:p w14:paraId="56DE60EA" w14:textId="77777777" w:rsidR="00D95193" w:rsidRDefault="00D95193">
            <w:pPr>
              <w:jc w:val="center"/>
              <w:rPr>
                <w:rFonts w:ascii="黑体" w:eastAsia="黑体" w:hAnsi="黑体"/>
                <w:sz w:val="20"/>
                <w:szCs w:val="20"/>
              </w:rPr>
            </w:pPr>
            <w:r>
              <w:rPr>
                <w:rFonts w:ascii="黑体" w:eastAsia="黑体" w:hAnsi="黑体"/>
                <w:sz w:val="20"/>
                <w:szCs w:val="20"/>
              </w:rPr>
              <w:t>1203</w:t>
            </w:r>
          </w:p>
        </w:tc>
      </w:tr>
      <w:tr w:rsidR="00D95193" w14:paraId="71B8A72C" w14:textId="77777777" w:rsidTr="00881462">
        <w:tc>
          <w:tcPr>
            <w:tcW w:w="1809" w:type="dxa"/>
            <w:vMerge/>
            <w:tcBorders>
              <w:left w:val="single" w:sz="4" w:space="0" w:color="auto"/>
              <w:right w:val="single" w:sz="4" w:space="0" w:color="auto"/>
            </w:tcBorders>
            <w:shd w:val="clear" w:color="auto" w:fill="auto"/>
            <w:vAlign w:val="center"/>
          </w:tcPr>
          <w:p w14:paraId="1B51A6EB" w14:textId="77777777" w:rsidR="00881462" w:rsidRDefault="00881462">
            <w:pPr>
              <w:jc w:val="center"/>
              <w:rPr>
                <w:rFonts w:ascii="黑体" w:eastAsia="黑体" w:hAnsi="黑体"/>
                <w:b/>
                <w:bCs/>
                <w:sz w:val="20"/>
                <w:szCs w:val="20"/>
              </w:rPr>
            </w:pPr>
          </w:p>
        </w:tc>
        <w:tc>
          <w:tcPr>
            <w:tcW w:w="1134" w:type="dxa"/>
            <w:vMerge/>
            <w:tcBorders>
              <w:left w:val="single" w:sz="4" w:space="0" w:color="auto"/>
              <w:right w:val="single" w:sz="4" w:space="0" w:color="auto"/>
            </w:tcBorders>
            <w:shd w:val="clear" w:color="auto" w:fill="auto"/>
            <w:vAlign w:val="center"/>
          </w:tcPr>
          <w:p w14:paraId="267D4763" w14:textId="77777777" w:rsidR="00D95193" w:rsidRDefault="00D95193">
            <w:pPr>
              <w:jc w:val="center"/>
              <w:rPr>
                <w:rFonts w:ascii="黑体" w:eastAsia="黑体" w:hAnsi="黑体"/>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2F28556A" w14:textId="77777777" w:rsidR="00D95193" w:rsidRDefault="00D95193">
            <w:pPr>
              <w:rPr>
                <w:rFonts w:ascii="黑体" w:eastAsia="黑体" w:hAnsi="黑体"/>
                <w:sz w:val="20"/>
                <w:szCs w:val="20"/>
              </w:rPr>
            </w:pPr>
            <w:r>
              <w:rPr>
                <w:rFonts w:ascii="黑体" w:eastAsia="黑体" w:hAnsi="黑体" w:hint="eastAsia"/>
                <w:sz w:val="20"/>
                <w:szCs w:val="20"/>
              </w:rPr>
              <w:t>预付款类</w:t>
            </w:r>
          </w:p>
        </w:tc>
        <w:tc>
          <w:tcPr>
            <w:tcW w:w="2744" w:type="dxa"/>
            <w:tcBorders>
              <w:top w:val="single" w:sz="4" w:space="0" w:color="auto"/>
              <w:left w:val="single" w:sz="4" w:space="0" w:color="auto"/>
              <w:bottom w:val="single" w:sz="4" w:space="0" w:color="auto"/>
              <w:right w:val="single" w:sz="4" w:space="0" w:color="auto"/>
            </w:tcBorders>
            <w:shd w:val="clear" w:color="auto" w:fill="auto"/>
            <w:vAlign w:val="center"/>
          </w:tcPr>
          <w:p w14:paraId="3961A30B" w14:textId="77777777" w:rsidR="00D95193" w:rsidRDefault="00D95193">
            <w:pPr>
              <w:jc w:val="center"/>
              <w:rPr>
                <w:rFonts w:ascii="黑体" w:eastAsia="黑体" w:hAnsi="黑体"/>
                <w:sz w:val="20"/>
                <w:szCs w:val="20"/>
              </w:rPr>
            </w:pPr>
            <w:r>
              <w:rPr>
                <w:rFonts w:ascii="黑体" w:eastAsia="黑体" w:hAnsi="黑体"/>
                <w:sz w:val="20"/>
                <w:szCs w:val="20"/>
              </w:rPr>
              <w:t>1204</w:t>
            </w:r>
          </w:p>
        </w:tc>
      </w:tr>
      <w:tr w:rsidR="00D95193" w14:paraId="4EE611E1" w14:textId="77777777" w:rsidTr="00881462">
        <w:tc>
          <w:tcPr>
            <w:tcW w:w="1809" w:type="dxa"/>
            <w:vMerge/>
            <w:tcBorders>
              <w:left w:val="single" w:sz="4" w:space="0" w:color="auto"/>
              <w:bottom w:val="single" w:sz="4" w:space="0" w:color="auto"/>
              <w:right w:val="single" w:sz="4" w:space="0" w:color="auto"/>
            </w:tcBorders>
            <w:shd w:val="clear" w:color="auto" w:fill="auto"/>
            <w:vAlign w:val="center"/>
          </w:tcPr>
          <w:p w14:paraId="53F23C71" w14:textId="77777777" w:rsidR="00881462" w:rsidRDefault="00881462">
            <w:pPr>
              <w:jc w:val="center"/>
              <w:rPr>
                <w:rFonts w:ascii="黑体" w:eastAsia="黑体" w:hAnsi="黑体"/>
                <w:b/>
                <w:bCs/>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0F05A5D4" w14:textId="77777777" w:rsidR="00D95193" w:rsidRDefault="00D95193">
            <w:pPr>
              <w:jc w:val="center"/>
              <w:rPr>
                <w:rFonts w:ascii="黑体" w:eastAsia="黑体" w:hAnsi="黑体"/>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66B76345" w14:textId="77777777" w:rsidR="00D95193" w:rsidRDefault="00D95193">
            <w:pPr>
              <w:rPr>
                <w:rFonts w:ascii="黑体" w:eastAsia="黑体" w:hAnsi="黑体"/>
                <w:sz w:val="20"/>
                <w:szCs w:val="20"/>
              </w:rPr>
            </w:pPr>
            <w:r>
              <w:rPr>
                <w:rFonts w:ascii="黑体" w:eastAsia="黑体" w:hAnsi="黑体" w:hint="eastAsia"/>
                <w:sz w:val="20"/>
                <w:szCs w:val="20"/>
              </w:rPr>
              <w:t>其他非融资性担保</w:t>
            </w:r>
          </w:p>
        </w:tc>
        <w:tc>
          <w:tcPr>
            <w:tcW w:w="2744" w:type="dxa"/>
            <w:tcBorders>
              <w:top w:val="single" w:sz="4" w:space="0" w:color="auto"/>
              <w:left w:val="single" w:sz="4" w:space="0" w:color="auto"/>
              <w:bottom w:val="single" w:sz="4" w:space="0" w:color="auto"/>
              <w:right w:val="single" w:sz="4" w:space="0" w:color="auto"/>
            </w:tcBorders>
            <w:shd w:val="clear" w:color="auto" w:fill="auto"/>
            <w:vAlign w:val="center"/>
          </w:tcPr>
          <w:p w14:paraId="2468432E" w14:textId="77777777" w:rsidR="00D95193" w:rsidRDefault="00D95193">
            <w:pPr>
              <w:jc w:val="center"/>
              <w:rPr>
                <w:rFonts w:ascii="黑体" w:eastAsia="黑体" w:hAnsi="黑体"/>
                <w:sz w:val="20"/>
                <w:szCs w:val="20"/>
              </w:rPr>
            </w:pPr>
            <w:r>
              <w:rPr>
                <w:rFonts w:ascii="黑体" w:eastAsia="黑体" w:hAnsi="黑体"/>
                <w:sz w:val="20"/>
                <w:szCs w:val="20"/>
              </w:rPr>
              <w:t>1205</w:t>
            </w:r>
          </w:p>
        </w:tc>
      </w:tr>
    </w:tbl>
    <w:p w14:paraId="6B48BA3B" w14:textId="77777777" w:rsidR="00A052DC" w:rsidRDefault="009F0A60">
      <w:pPr>
        <w:pStyle w:val="3"/>
        <w:ind w:left="0"/>
        <w:rPr>
          <w:rFonts w:ascii="Times New Roman" w:hAnsi="Times New Roman"/>
        </w:rPr>
      </w:pPr>
      <w:bookmarkStart w:id="4869" w:name="_Toc91455542"/>
      <w:bookmarkStart w:id="4870" w:name="_Toc101684567"/>
      <w:bookmarkStart w:id="4871" w:name="_Toc380356343"/>
      <w:bookmarkStart w:id="4872" w:name="_Toc454394800"/>
      <w:r>
        <w:rPr>
          <w:rFonts w:ascii="Times New Roman" w:hAnsi="Times New Roman" w:hint="eastAsia"/>
        </w:rPr>
        <w:t>担保方式</w:t>
      </w:r>
      <w:bookmarkEnd w:id="4869"/>
      <w:bookmarkEnd w:id="487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A052DC" w14:paraId="082E68BC" w14:textId="77777777" w:rsidTr="00830682">
        <w:tc>
          <w:tcPr>
            <w:tcW w:w="4261" w:type="dxa"/>
            <w:shd w:val="clear" w:color="auto" w:fill="BFBFBF" w:themeFill="background1" w:themeFillShade="BF"/>
          </w:tcPr>
          <w:p w14:paraId="601D4CF0" w14:textId="77777777" w:rsidR="00881462" w:rsidRDefault="009F0A60">
            <w:pPr>
              <w:pStyle w:val="B1"/>
            </w:pPr>
            <w:r>
              <w:rPr>
                <w:rFonts w:hint="eastAsia"/>
              </w:rPr>
              <w:t>担保方式代码</w:t>
            </w:r>
          </w:p>
        </w:tc>
        <w:tc>
          <w:tcPr>
            <w:tcW w:w="4261" w:type="dxa"/>
            <w:shd w:val="clear" w:color="auto" w:fill="BFBFBF" w:themeFill="background1" w:themeFillShade="BF"/>
          </w:tcPr>
          <w:p w14:paraId="5F1D756B" w14:textId="77777777" w:rsidR="00881462" w:rsidRDefault="009F0A60">
            <w:pPr>
              <w:pStyle w:val="B1"/>
            </w:pPr>
            <w:r>
              <w:rPr>
                <w:rFonts w:hint="eastAsia"/>
              </w:rPr>
              <w:t>担保方式名称</w:t>
            </w:r>
          </w:p>
        </w:tc>
      </w:tr>
      <w:tr w:rsidR="00A052DC" w14:paraId="50F65BBD" w14:textId="77777777">
        <w:tc>
          <w:tcPr>
            <w:tcW w:w="4261" w:type="dxa"/>
            <w:shd w:val="clear" w:color="auto" w:fill="auto"/>
          </w:tcPr>
          <w:p w14:paraId="7774A61F" w14:textId="77777777" w:rsidR="00A052DC" w:rsidRDefault="009F0A60" w:rsidP="00830682">
            <w:pPr>
              <w:pStyle w:val="B"/>
              <w:jc w:val="center"/>
            </w:pPr>
            <w:r>
              <w:t>11</w:t>
            </w:r>
          </w:p>
        </w:tc>
        <w:tc>
          <w:tcPr>
            <w:tcW w:w="4261" w:type="dxa"/>
            <w:shd w:val="clear" w:color="auto" w:fill="auto"/>
          </w:tcPr>
          <w:p w14:paraId="5115EB72" w14:textId="77777777" w:rsidR="00881462" w:rsidRDefault="009F0A60">
            <w:pPr>
              <w:pStyle w:val="B"/>
              <w:jc w:val="center"/>
            </w:pPr>
            <w:r>
              <w:rPr>
                <w:rFonts w:hint="eastAsia"/>
              </w:rPr>
              <w:t>保证</w:t>
            </w:r>
          </w:p>
        </w:tc>
      </w:tr>
      <w:tr w:rsidR="00A052DC" w14:paraId="355AEF5E" w14:textId="77777777">
        <w:tc>
          <w:tcPr>
            <w:tcW w:w="4261" w:type="dxa"/>
            <w:shd w:val="clear" w:color="auto" w:fill="auto"/>
          </w:tcPr>
          <w:p w14:paraId="162A4E02" w14:textId="77777777" w:rsidR="00A052DC" w:rsidRDefault="009F0A60" w:rsidP="00830682">
            <w:pPr>
              <w:pStyle w:val="B"/>
              <w:jc w:val="center"/>
            </w:pPr>
            <w:r>
              <w:t>12</w:t>
            </w:r>
          </w:p>
        </w:tc>
        <w:tc>
          <w:tcPr>
            <w:tcW w:w="4261" w:type="dxa"/>
            <w:shd w:val="clear" w:color="auto" w:fill="auto"/>
          </w:tcPr>
          <w:p w14:paraId="6FFF6F3A" w14:textId="77777777" w:rsidR="00881462" w:rsidRDefault="009F0A60">
            <w:pPr>
              <w:pStyle w:val="B"/>
              <w:jc w:val="center"/>
            </w:pPr>
            <w:r>
              <w:rPr>
                <w:rFonts w:hint="eastAsia"/>
              </w:rPr>
              <w:t>抵押</w:t>
            </w:r>
          </w:p>
        </w:tc>
      </w:tr>
      <w:tr w:rsidR="00A052DC" w14:paraId="31D1988C" w14:textId="77777777">
        <w:tc>
          <w:tcPr>
            <w:tcW w:w="4261" w:type="dxa"/>
            <w:shd w:val="clear" w:color="auto" w:fill="auto"/>
          </w:tcPr>
          <w:p w14:paraId="7C9DC72E" w14:textId="77777777" w:rsidR="00A052DC" w:rsidRDefault="009F0A60" w:rsidP="00830682">
            <w:pPr>
              <w:pStyle w:val="B"/>
              <w:jc w:val="center"/>
            </w:pPr>
            <w:r>
              <w:t>13</w:t>
            </w:r>
          </w:p>
        </w:tc>
        <w:tc>
          <w:tcPr>
            <w:tcW w:w="4261" w:type="dxa"/>
            <w:shd w:val="clear" w:color="auto" w:fill="auto"/>
          </w:tcPr>
          <w:p w14:paraId="4BEF2E57" w14:textId="77777777" w:rsidR="00881462" w:rsidRDefault="009F0A60">
            <w:pPr>
              <w:pStyle w:val="B"/>
              <w:jc w:val="center"/>
            </w:pPr>
            <w:r>
              <w:rPr>
                <w:rFonts w:hint="eastAsia"/>
              </w:rPr>
              <w:t>质押</w:t>
            </w:r>
          </w:p>
        </w:tc>
      </w:tr>
    </w:tbl>
    <w:p w14:paraId="50D5FDA3" w14:textId="77777777" w:rsidR="00A052DC" w:rsidRDefault="009F0A60">
      <w:pPr>
        <w:pStyle w:val="3"/>
        <w:ind w:left="0"/>
        <w:rPr>
          <w:rFonts w:ascii="Times New Roman" w:hAnsi="Times New Roman"/>
        </w:rPr>
      </w:pPr>
      <w:bookmarkStart w:id="4873" w:name="_Toc91455543"/>
      <w:bookmarkStart w:id="4874" w:name="_Toc101684568"/>
      <w:r>
        <w:rPr>
          <w:rFonts w:ascii="Times New Roman" w:hAnsi="Times New Roman" w:hint="eastAsia"/>
        </w:rPr>
        <w:t>境外发债方式代码表</w:t>
      </w:r>
      <w:bookmarkEnd w:id="4873"/>
      <w:bookmarkEnd w:id="487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A052DC" w14:paraId="68E55A57" w14:textId="77777777" w:rsidTr="00830682">
        <w:tc>
          <w:tcPr>
            <w:tcW w:w="4261" w:type="dxa"/>
            <w:shd w:val="clear" w:color="auto" w:fill="BFBFBF" w:themeFill="background1" w:themeFillShade="BF"/>
          </w:tcPr>
          <w:p w14:paraId="3C703AB2" w14:textId="77777777" w:rsidR="00881462" w:rsidRDefault="009F0A60">
            <w:pPr>
              <w:pStyle w:val="B1"/>
            </w:pPr>
            <w:r>
              <w:rPr>
                <w:rFonts w:hint="eastAsia"/>
              </w:rPr>
              <w:t>境外发债方式代码</w:t>
            </w:r>
          </w:p>
        </w:tc>
        <w:tc>
          <w:tcPr>
            <w:tcW w:w="4261" w:type="dxa"/>
            <w:shd w:val="clear" w:color="auto" w:fill="BFBFBF" w:themeFill="background1" w:themeFillShade="BF"/>
          </w:tcPr>
          <w:p w14:paraId="38888865" w14:textId="77777777" w:rsidR="00881462" w:rsidRDefault="009F0A60">
            <w:pPr>
              <w:pStyle w:val="B1"/>
            </w:pPr>
            <w:r>
              <w:rPr>
                <w:rFonts w:hint="eastAsia"/>
              </w:rPr>
              <w:t>境外发债方式名称</w:t>
            </w:r>
          </w:p>
        </w:tc>
      </w:tr>
      <w:tr w:rsidR="00A052DC" w14:paraId="14BFD6AF" w14:textId="77777777">
        <w:tc>
          <w:tcPr>
            <w:tcW w:w="4261" w:type="dxa"/>
            <w:shd w:val="clear" w:color="auto" w:fill="auto"/>
          </w:tcPr>
          <w:p w14:paraId="41C798AB" w14:textId="77777777" w:rsidR="00A052DC" w:rsidRDefault="009F0A60">
            <w:pPr>
              <w:pStyle w:val="B"/>
              <w:jc w:val="center"/>
              <w:rPr>
                <w:color w:val="000000"/>
              </w:rPr>
            </w:pPr>
            <w:r>
              <w:rPr>
                <w:rFonts w:hint="eastAsia"/>
                <w:color w:val="000000"/>
              </w:rPr>
              <w:t>1</w:t>
            </w:r>
          </w:p>
        </w:tc>
        <w:tc>
          <w:tcPr>
            <w:tcW w:w="4261" w:type="dxa"/>
            <w:shd w:val="clear" w:color="auto" w:fill="auto"/>
          </w:tcPr>
          <w:p w14:paraId="2138A287" w14:textId="77777777" w:rsidR="00A052DC" w:rsidRDefault="009F0A60">
            <w:pPr>
              <w:pStyle w:val="B"/>
              <w:jc w:val="center"/>
              <w:rPr>
                <w:color w:val="000000"/>
              </w:rPr>
            </w:pPr>
            <w:r>
              <w:rPr>
                <w:rFonts w:hint="eastAsia"/>
                <w:color w:val="000000"/>
              </w:rPr>
              <w:t>公开发行</w:t>
            </w:r>
          </w:p>
        </w:tc>
      </w:tr>
      <w:tr w:rsidR="00A052DC" w14:paraId="038A4486" w14:textId="77777777">
        <w:tc>
          <w:tcPr>
            <w:tcW w:w="4261" w:type="dxa"/>
            <w:shd w:val="clear" w:color="auto" w:fill="auto"/>
          </w:tcPr>
          <w:p w14:paraId="1E9BAF8C" w14:textId="77777777" w:rsidR="00A052DC" w:rsidRDefault="009F0A60">
            <w:pPr>
              <w:pStyle w:val="B"/>
              <w:jc w:val="center"/>
              <w:rPr>
                <w:color w:val="000000"/>
              </w:rPr>
            </w:pPr>
            <w:r>
              <w:rPr>
                <w:rFonts w:hint="eastAsia"/>
                <w:color w:val="000000"/>
              </w:rPr>
              <w:t>2</w:t>
            </w:r>
          </w:p>
        </w:tc>
        <w:tc>
          <w:tcPr>
            <w:tcW w:w="4261" w:type="dxa"/>
            <w:shd w:val="clear" w:color="auto" w:fill="auto"/>
          </w:tcPr>
          <w:p w14:paraId="55AA5BA2" w14:textId="77777777" w:rsidR="00A052DC" w:rsidRDefault="009F0A60">
            <w:pPr>
              <w:pStyle w:val="B"/>
              <w:jc w:val="center"/>
              <w:rPr>
                <w:color w:val="000000"/>
              </w:rPr>
            </w:pPr>
            <w:r>
              <w:rPr>
                <w:rFonts w:hint="eastAsia"/>
                <w:color w:val="000000"/>
              </w:rPr>
              <w:t>私募发行</w:t>
            </w:r>
          </w:p>
        </w:tc>
      </w:tr>
    </w:tbl>
    <w:p w14:paraId="6A738705" w14:textId="77777777" w:rsidR="00A052DC" w:rsidRDefault="009F0A60">
      <w:pPr>
        <w:pStyle w:val="3"/>
        <w:ind w:left="0"/>
        <w:rPr>
          <w:rFonts w:ascii="Times New Roman" w:hAnsi="Times New Roman"/>
        </w:rPr>
      </w:pPr>
      <w:bookmarkStart w:id="4875" w:name="_Toc91455544"/>
      <w:bookmarkStart w:id="4876" w:name="_Toc101684569"/>
      <w:r>
        <w:rPr>
          <w:rFonts w:ascii="Times New Roman" w:hAnsi="Times New Roman" w:hint="eastAsia"/>
        </w:rPr>
        <w:t>担保项下境外贷款资金用途代码表</w:t>
      </w:r>
      <w:bookmarkEnd w:id="4875"/>
      <w:bookmarkEnd w:id="487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A052DC" w14:paraId="369F55EF" w14:textId="77777777" w:rsidTr="00830682">
        <w:tc>
          <w:tcPr>
            <w:tcW w:w="4261" w:type="dxa"/>
            <w:shd w:val="clear" w:color="auto" w:fill="BFBFBF" w:themeFill="background1" w:themeFillShade="BF"/>
          </w:tcPr>
          <w:p w14:paraId="6D0FA973" w14:textId="77777777" w:rsidR="00881462" w:rsidRDefault="009F0A60">
            <w:pPr>
              <w:pStyle w:val="B1"/>
            </w:pPr>
            <w:r>
              <w:rPr>
                <w:rFonts w:hint="eastAsia"/>
              </w:rPr>
              <w:t>境外贷款资金用途代码</w:t>
            </w:r>
          </w:p>
        </w:tc>
        <w:tc>
          <w:tcPr>
            <w:tcW w:w="4261" w:type="dxa"/>
            <w:shd w:val="clear" w:color="auto" w:fill="BFBFBF" w:themeFill="background1" w:themeFillShade="BF"/>
          </w:tcPr>
          <w:p w14:paraId="0CE48A6E" w14:textId="77777777" w:rsidR="00881462" w:rsidRDefault="009F0A60">
            <w:pPr>
              <w:pStyle w:val="B1"/>
            </w:pPr>
            <w:r>
              <w:rPr>
                <w:rFonts w:hint="eastAsia"/>
              </w:rPr>
              <w:t>境外贷款资金用途名称</w:t>
            </w:r>
          </w:p>
        </w:tc>
      </w:tr>
      <w:tr w:rsidR="00A052DC" w14:paraId="041C1EF5" w14:textId="77777777">
        <w:tc>
          <w:tcPr>
            <w:tcW w:w="4261" w:type="dxa"/>
            <w:shd w:val="clear" w:color="auto" w:fill="auto"/>
          </w:tcPr>
          <w:p w14:paraId="19B07F9A" w14:textId="77777777" w:rsidR="00A052DC" w:rsidRDefault="009F0A60">
            <w:pPr>
              <w:pStyle w:val="B"/>
              <w:jc w:val="center"/>
              <w:rPr>
                <w:color w:val="000000"/>
              </w:rPr>
            </w:pPr>
            <w:r>
              <w:rPr>
                <w:rFonts w:hint="eastAsia"/>
                <w:color w:val="000000"/>
              </w:rPr>
              <w:t>1</w:t>
            </w:r>
          </w:p>
        </w:tc>
        <w:tc>
          <w:tcPr>
            <w:tcW w:w="4261" w:type="dxa"/>
            <w:shd w:val="clear" w:color="auto" w:fill="auto"/>
          </w:tcPr>
          <w:p w14:paraId="231BFF41" w14:textId="77777777" w:rsidR="00A052DC" w:rsidRDefault="009F0A60">
            <w:pPr>
              <w:pStyle w:val="B"/>
              <w:jc w:val="center"/>
              <w:rPr>
                <w:color w:val="000000"/>
              </w:rPr>
            </w:pPr>
            <w:r>
              <w:rPr>
                <w:rFonts w:hint="eastAsia"/>
                <w:color w:val="000000"/>
              </w:rPr>
              <w:t>境外直接投资</w:t>
            </w:r>
          </w:p>
        </w:tc>
      </w:tr>
      <w:tr w:rsidR="00A052DC" w14:paraId="5B9A0573" w14:textId="77777777">
        <w:tc>
          <w:tcPr>
            <w:tcW w:w="4261" w:type="dxa"/>
            <w:shd w:val="clear" w:color="auto" w:fill="auto"/>
          </w:tcPr>
          <w:p w14:paraId="45DC5546" w14:textId="77777777" w:rsidR="00A052DC" w:rsidRDefault="009F0A60">
            <w:pPr>
              <w:pStyle w:val="B"/>
              <w:jc w:val="center"/>
              <w:rPr>
                <w:color w:val="000000"/>
              </w:rPr>
            </w:pPr>
            <w:r>
              <w:rPr>
                <w:rFonts w:hint="eastAsia"/>
                <w:color w:val="000000"/>
              </w:rPr>
              <w:t>2</w:t>
            </w:r>
          </w:p>
        </w:tc>
        <w:tc>
          <w:tcPr>
            <w:tcW w:w="4261" w:type="dxa"/>
            <w:shd w:val="clear" w:color="auto" w:fill="auto"/>
          </w:tcPr>
          <w:p w14:paraId="30C04814" w14:textId="77777777" w:rsidR="00A052DC" w:rsidRDefault="009F0A60">
            <w:pPr>
              <w:pStyle w:val="B"/>
              <w:jc w:val="center"/>
              <w:rPr>
                <w:color w:val="000000"/>
              </w:rPr>
            </w:pPr>
            <w:r>
              <w:rPr>
                <w:rFonts w:hint="eastAsia"/>
                <w:color w:val="000000"/>
              </w:rPr>
              <w:t>偿还境外债务</w:t>
            </w:r>
          </w:p>
        </w:tc>
      </w:tr>
      <w:tr w:rsidR="00A052DC" w14:paraId="5D9784E3" w14:textId="77777777">
        <w:tc>
          <w:tcPr>
            <w:tcW w:w="4261" w:type="dxa"/>
            <w:shd w:val="clear" w:color="auto" w:fill="auto"/>
          </w:tcPr>
          <w:p w14:paraId="3ECFF2FB" w14:textId="77777777" w:rsidR="00A052DC" w:rsidRDefault="009F0A60">
            <w:pPr>
              <w:pStyle w:val="B"/>
              <w:jc w:val="center"/>
              <w:rPr>
                <w:color w:val="000000"/>
              </w:rPr>
            </w:pPr>
            <w:r>
              <w:rPr>
                <w:rFonts w:hint="eastAsia"/>
                <w:color w:val="000000"/>
              </w:rPr>
              <w:t>3</w:t>
            </w:r>
          </w:p>
        </w:tc>
        <w:tc>
          <w:tcPr>
            <w:tcW w:w="4261" w:type="dxa"/>
            <w:shd w:val="clear" w:color="auto" w:fill="auto"/>
          </w:tcPr>
          <w:p w14:paraId="4AA957BB" w14:textId="77777777" w:rsidR="00A052DC" w:rsidRDefault="009F0A60">
            <w:pPr>
              <w:pStyle w:val="B"/>
              <w:jc w:val="center"/>
              <w:rPr>
                <w:color w:val="000000"/>
              </w:rPr>
            </w:pPr>
            <w:r>
              <w:rPr>
                <w:rFonts w:hint="eastAsia"/>
                <w:color w:val="000000"/>
              </w:rPr>
              <w:t>补充营运或流动性资金</w:t>
            </w:r>
          </w:p>
        </w:tc>
      </w:tr>
      <w:tr w:rsidR="00A052DC" w14:paraId="387D9CD7" w14:textId="77777777">
        <w:tc>
          <w:tcPr>
            <w:tcW w:w="4261" w:type="dxa"/>
            <w:shd w:val="clear" w:color="auto" w:fill="auto"/>
          </w:tcPr>
          <w:p w14:paraId="18D1DE25" w14:textId="77777777" w:rsidR="00A052DC" w:rsidRDefault="009F0A60">
            <w:pPr>
              <w:pStyle w:val="B"/>
              <w:jc w:val="center"/>
              <w:rPr>
                <w:color w:val="000000"/>
              </w:rPr>
            </w:pPr>
            <w:r>
              <w:rPr>
                <w:rFonts w:hint="eastAsia"/>
                <w:color w:val="000000"/>
              </w:rPr>
              <w:t>4</w:t>
            </w:r>
          </w:p>
        </w:tc>
        <w:tc>
          <w:tcPr>
            <w:tcW w:w="4261" w:type="dxa"/>
            <w:shd w:val="clear" w:color="auto" w:fill="auto"/>
          </w:tcPr>
          <w:p w14:paraId="4643F793" w14:textId="77777777" w:rsidR="00A052DC" w:rsidRDefault="009F0A60">
            <w:pPr>
              <w:pStyle w:val="B"/>
              <w:jc w:val="center"/>
              <w:rPr>
                <w:color w:val="000000"/>
              </w:rPr>
            </w:pPr>
            <w:r>
              <w:rPr>
                <w:rFonts w:hint="eastAsia"/>
                <w:color w:val="000000"/>
              </w:rPr>
              <w:t>其他境外使用</w:t>
            </w:r>
          </w:p>
        </w:tc>
      </w:tr>
      <w:tr w:rsidR="00A052DC" w14:paraId="5C2E3A6F" w14:textId="77777777">
        <w:tc>
          <w:tcPr>
            <w:tcW w:w="4261" w:type="dxa"/>
            <w:shd w:val="clear" w:color="auto" w:fill="auto"/>
          </w:tcPr>
          <w:p w14:paraId="45F6C729" w14:textId="77777777" w:rsidR="00A052DC" w:rsidRDefault="009F0A60">
            <w:pPr>
              <w:pStyle w:val="B"/>
              <w:jc w:val="center"/>
              <w:rPr>
                <w:color w:val="000000"/>
              </w:rPr>
            </w:pPr>
            <w:r>
              <w:rPr>
                <w:rFonts w:hint="eastAsia"/>
                <w:color w:val="000000"/>
              </w:rPr>
              <w:t>5</w:t>
            </w:r>
          </w:p>
        </w:tc>
        <w:tc>
          <w:tcPr>
            <w:tcW w:w="4261" w:type="dxa"/>
            <w:shd w:val="clear" w:color="auto" w:fill="auto"/>
          </w:tcPr>
          <w:p w14:paraId="27434EAE" w14:textId="77777777" w:rsidR="00A052DC" w:rsidRDefault="009F0A60">
            <w:pPr>
              <w:pStyle w:val="B"/>
              <w:jc w:val="center"/>
              <w:rPr>
                <w:color w:val="000000"/>
              </w:rPr>
            </w:pPr>
            <w:r>
              <w:rPr>
                <w:rFonts w:hint="eastAsia"/>
                <w:color w:val="000000"/>
              </w:rPr>
              <w:t>以直接投资形式回流</w:t>
            </w:r>
          </w:p>
        </w:tc>
      </w:tr>
      <w:tr w:rsidR="00A052DC" w14:paraId="2BE5ABB0" w14:textId="77777777">
        <w:tc>
          <w:tcPr>
            <w:tcW w:w="4261" w:type="dxa"/>
            <w:shd w:val="clear" w:color="auto" w:fill="auto"/>
          </w:tcPr>
          <w:p w14:paraId="74848A44" w14:textId="77777777" w:rsidR="00A052DC" w:rsidRDefault="009F0A60">
            <w:pPr>
              <w:pStyle w:val="B"/>
              <w:jc w:val="center"/>
              <w:rPr>
                <w:color w:val="000000"/>
              </w:rPr>
            </w:pPr>
            <w:r>
              <w:rPr>
                <w:rFonts w:hint="eastAsia"/>
                <w:color w:val="000000"/>
              </w:rPr>
              <w:t>6</w:t>
            </w:r>
          </w:p>
        </w:tc>
        <w:tc>
          <w:tcPr>
            <w:tcW w:w="4261" w:type="dxa"/>
            <w:shd w:val="clear" w:color="auto" w:fill="auto"/>
          </w:tcPr>
          <w:p w14:paraId="1BB939A8" w14:textId="77777777" w:rsidR="00A052DC" w:rsidRDefault="009F0A60">
            <w:pPr>
              <w:pStyle w:val="B"/>
              <w:jc w:val="center"/>
              <w:rPr>
                <w:color w:val="000000"/>
              </w:rPr>
            </w:pPr>
            <w:r>
              <w:rPr>
                <w:rFonts w:hint="eastAsia"/>
                <w:color w:val="000000"/>
              </w:rPr>
              <w:t>以外债形式回流</w:t>
            </w:r>
          </w:p>
        </w:tc>
      </w:tr>
      <w:tr w:rsidR="00A052DC" w14:paraId="30D97329" w14:textId="77777777">
        <w:tc>
          <w:tcPr>
            <w:tcW w:w="4261" w:type="dxa"/>
            <w:shd w:val="clear" w:color="auto" w:fill="auto"/>
          </w:tcPr>
          <w:p w14:paraId="24F8479F" w14:textId="77777777" w:rsidR="00A052DC" w:rsidRDefault="009F0A60">
            <w:pPr>
              <w:pStyle w:val="B"/>
              <w:jc w:val="center"/>
              <w:rPr>
                <w:color w:val="000000"/>
              </w:rPr>
            </w:pPr>
            <w:r>
              <w:rPr>
                <w:rFonts w:hint="eastAsia"/>
                <w:color w:val="000000"/>
              </w:rPr>
              <w:t>7</w:t>
            </w:r>
          </w:p>
        </w:tc>
        <w:tc>
          <w:tcPr>
            <w:tcW w:w="4261" w:type="dxa"/>
            <w:shd w:val="clear" w:color="auto" w:fill="auto"/>
          </w:tcPr>
          <w:p w14:paraId="63E05994" w14:textId="77777777" w:rsidR="00A052DC" w:rsidRDefault="009F0A60">
            <w:pPr>
              <w:pStyle w:val="B"/>
              <w:jc w:val="center"/>
              <w:rPr>
                <w:color w:val="000000"/>
              </w:rPr>
            </w:pPr>
            <w:r>
              <w:rPr>
                <w:rFonts w:hint="eastAsia"/>
                <w:color w:val="000000"/>
              </w:rPr>
              <w:t>以贸易形式回流</w:t>
            </w:r>
          </w:p>
        </w:tc>
      </w:tr>
      <w:tr w:rsidR="00A052DC" w14:paraId="13406FAA" w14:textId="77777777">
        <w:tc>
          <w:tcPr>
            <w:tcW w:w="4261" w:type="dxa"/>
            <w:shd w:val="clear" w:color="auto" w:fill="auto"/>
          </w:tcPr>
          <w:p w14:paraId="2123B10E" w14:textId="77777777" w:rsidR="00A052DC" w:rsidRDefault="009F0A60">
            <w:pPr>
              <w:pStyle w:val="B"/>
              <w:jc w:val="center"/>
              <w:rPr>
                <w:color w:val="000000"/>
              </w:rPr>
            </w:pPr>
            <w:r>
              <w:rPr>
                <w:rFonts w:hint="eastAsia"/>
                <w:color w:val="000000"/>
              </w:rPr>
              <w:t>8</w:t>
            </w:r>
          </w:p>
        </w:tc>
        <w:tc>
          <w:tcPr>
            <w:tcW w:w="4261" w:type="dxa"/>
            <w:shd w:val="clear" w:color="auto" w:fill="auto"/>
          </w:tcPr>
          <w:p w14:paraId="714C32A9" w14:textId="77777777" w:rsidR="00A052DC" w:rsidRDefault="009F0A60">
            <w:pPr>
              <w:pStyle w:val="B"/>
              <w:jc w:val="center"/>
              <w:rPr>
                <w:color w:val="000000"/>
              </w:rPr>
            </w:pPr>
            <w:r>
              <w:rPr>
                <w:rFonts w:hint="eastAsia"/>
                <w:color w:val="000000"/>
              </w:rPr>
              <w:t>以其他形式回流</w:t>
            </w:r>
          </w:p>
        </w:tc>
      </w:tr>
    </w:tbl>
    <w:p w14:paraId="2A088063" w14:textId="77777777" w:rsidR="00A052DC" w:rsidRDefault="009F0A60">
      <w:pPr>
        <w:pStyle w:val="3"/>
        <w:ind w:left="0"/>
        <w:rPr>
          <w:rFonts w:ascii="Times New Roman" w:hAnsi="Times New Roman"/>
        </w:rPr>
      </w:pPr>
      <w:bookmarkStart w:id="4877" w:name="_Toc91455545"/>
      <w:bookmarkStart w:id="4878" w:name="_Toc101684570"/>
      <w:r>
        <w:rPr>
          <w:rFonts w:ascii="Times New Roman" w:hAnsi="Times New Roman" w:hint="eastAsia"/>
        </w:rPr>
        <w:t>担保标的代码表</w:t>
      </w:r>
      <w:bookmarkEnd w:id="4877"/>
      <w:bookmarkEnd w:id="487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A052DC" w14:paraId="54933D2D" w14:textId="77777777" w:rsidTr="00830682">
        <w:tc>
          <w:tcPr>
            <w:tcW w:w="4261" w:type="dxa"/>
            <w:shd w:val="clear" w:color="auto" w:fill="BFBFBF" w:themeFill="background1" w:themeFillShade="BF"/>
          </w:tcPr>
          <w:p w14:paraId="23320F36" w14:textId="77777777" w:rsidR="00881462" w:rsidRDefault="009F0A60">
            <w:pPr>
              <w:pStyle w:val="B1"/>
            </w:pPr>
            <w:r>
              <w:rPr>
                <w:rFonts w:hint="eastAsia"/>
              </w:rPr>
              <w:t>担保标的代码</w:t>
            </w:r>
          </w:p>
        </w:tc>
        <w:tc>
          <w:tcPr>
            <w:tcW w:w="4261" w:type="dxa"/>
            <w:shd w:val="clear" w:color="auto" w:fill="BFBFBF" w:themeFill="background1" w:themeFillShade="BF"/>
          </w:tcPr>
          <w:p w14:paraId="527E5BC4" w14:textId="77777777" w:rsidR="00881462" w:rsidRDefault="009F0A60">
            <w:pPr>
              <w:pStyle w:val="B1"/>
            </w:pPr>
            <w:r>
              <w:rPr>
                <w:rFonts w:hint="eastAsia"/>
              </w:rPr>
              <w:t>担保方式名称</w:t>
            </w:r>
          </w:p>
        </w:tc>
      </w:tr>
      <w:tr w:rsidR="00A052DC" w14:paraId="142DCE6B" w14:textId="77777777">
        <w:tc>
          <w:tcPr>
            <w:tcW w:w="4261" w:type="dxa"/>
            <w:shd w:val="clear" w:color="auto" w:fill="auto"/>
          </w:tcPr>
          <w:p w14:paraId="2F9ED26C" w14:textId="77777777" w:rsidR="00A052DC" w:rsidRDefault="009F0A60">
            <w:pPr>
              <w:pStyle w:val="B"/>
              <w:jc w:val="center"/>
              <w:rPr>
                <w:color w:val="000000"/>
              </w:rPr>
            </w:pPr>
            <w:r>
              <w:rPr>
                <w:rFonts w:hint="eastAsia"/>
                <w:color w:val="000000"/>
              </w:rPr>
              <w:t>1</w:t>
            </w:r>
          </w:p>
        </w:tc>
        <w:tc>
          <w:tcPr>
            <w:tcW w:w="4261" w:type="dxa"/>
            <w:shd w:val="clear" w:color="auto" w:fill="auto"/>
          </w:tcPr>
          <w:p w14:paraId="7AFB425C" w14:textId="77777777" w:rsidR="00A052DC" w:rsidRDefault="009F0A60">
            <w:pPr>
              <w:pStyle w:val="B"/>
              <w:jc w:val="center"/>
              <w:rPr>
                <w:color w:val="000000"/>
              </w:rPr>
            </w:pPr>
            <w:r>
              <w:rPr>
                <w:rFonts w:hint="eastAsia"/>
                <w:color w:val="000000"/>
              </w:rPr>
              <w:t>贷款</w:t>
            </w:r>
          </w:p>
        </w:tc>
      </w:tr>
      <w:tr w:rsidR="00A052DC" w14:paraId="01FA94D1" w14:textId="77777777">
        <w:tc>
          <w:tcPr>
            <w:tcW w:w="4261" w:type="dxa"/>
            <w:shd w:val="clear" w:color="auto" w:fill="auto"/>
          </w:tcPr>
          <w:p w14:paraId="3C549040" w14:textId="77777777" w:rsidR="00A052DC" w:rsidRDefault="009F0A60">
            <w:pPr>
              <w:pStyle w:val="B"/>
              <w:jc w:val="center"/>
              <w:rPr>
                <w:color w:val="000000"/>
              </w:rPr>
            </w:pPr>
            <w:r>
              <w:rPr>
                <w:rFonts w:hint="eastAsia"/>
                <w:color w:val="000000"/>
              </w:rPr>
              <w:t>2</w:t>
            </w:r>
          </w:p>
        </w:tc>
        <w:tc>
          <w:tcPr>
            <w:tcW w:w="4261" w:type="dxa"/>
            <w:shd w:val="clear" w:color="auto" w:fill="auto"/>
          </w:tcPr>
          <w:p w14:paraId="132EB5A1" w14:textId="77777777" w:rsidR="00A052DC" w:rsidRDefault="009F0A60">
            <w:pPr>
              <w:pStyle w:val="B"/>
              <w:jc w:val="center"/>
              <w:rPr>
                <w:color w:val="000000"/>
              </w:rPr>
            </w:pPr>
            <w:r>
              <w:rPr>
                <w:rFonts w:hint="eastAsia"/>
                <w:color w:val="000000"/>
              </w:rPr>
              <w:t>授信额度</w:t>
            </w:r>
          </w:p>
        </w:tc>
      </w:tr>
    </w:tbl>
    <w:p w14:paraId="052BD9AA" w14:textId="77777777" w:rsidR="00A052DC" w:rsidRDefault="009F0A60">
      <w:pPr>
        <w:pStyle w:val="2"/>
        <w:rPr>
          <w:rFonts w:ascii="Times New Roman" w:hAnsi="Times New Roman"/>
        </w:rPr>
      </w:pPr>
      <w:bookmarkStart w:id="4879" w:name="_Toc91455546"/>
      <w:bookmarkStart w:id="4880" w:name="_Toc380356344"/>
      <w:bookmarkStart w:id="4881" w:name="_Toc454394801"/>
      <w:bookmarkStart w:id="4882" w:name="_Toc101684571"/>
      <w:bookmarkEnd w:id="4871"/>
      <w:bookmarkEnd w:id="4872"/>
      <w:r>
        <w:rPr>
          <w:rFonts w:ascii="Times New Roman" w:hAnsi="Times New Roman" w:hint="eastAsia"/>
        </w:rPr>
        <w:t>国内外汇贷款业务代码表</w:t>
      </w:r>
      <w:bookmarkEnd w:id="4879"/>
      <w:bookmarkEnd w:id="4880"/>
      <w:bookmarkEnd w:id="4881"/>
      <w:bookmarkEnd w:id="4882"/>
    </w:p>
    <w:p w14:paraId="7E4A0A06" w14:textId="77777777" w:rsidR="00A052DC" w:rsidRDefault="009F0A60" w:rsidP="0020251D">
      <w:pPr>
        <w:pStyle w:val="3"/>
        <w:ind w:left="0"/>
        <w:rPr>
          <w:rFonts w:ascii="Times New Roman" w:hAnsi="Times New Roman"/>
        </w:rPr>
      </w:pPr>
      <w:bookmarkStart w:id="4883" w:name="_Toc454394802"/>
      <w:bookmarkStart w:id="4884" w:name="_Toc91455547"/>
      <w:bookmarkStart w:id="4885" w:name="_Toc380356345"/>
      <w:bookmarkStart w:id="4886" w:name="_Toc101684572"/>
      <w:r>
        <w:rPr>
          <w:rFonts w:ascii="Times New Roman" w:hAnsi="Times New Roman" w:hint="eastAsia"/>
        </w:rPr>
        <w:t>国内外汇贷款类型</w:t>
      </w:r>
      <w:bookmarkEnd w:id="4883"/>
      <w:bookmarkEnd w:id="4884"/>
      <w:bookmarkEnd w:id="4885"/>
      <w:bookmarkEnd w:id="4886"/>
    </w:p>
    <w:tbl>
      <w:tblPr>
        <w:tblW w:w="864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67"/>
        <w:gridCol w:w="1961"/>
        <w:gridCol w:w="2268"/>
        <w:gridCol w:w="2551"/>
      </w:tblGrid>
      <w:tr w:rsidR="00A052DC" w14:paraId="5E3B8C33" w14:textId="77777777" w:rsidTr="00830682">
        <w:trPr>
          <w:trHeight w:val="20"/>
        </w:trPr>
        <w:tc>
          <w:tcPr>
            <w:tcW w:w="1867" w:type="dxa"/>
            <w:tcBorders>
              <w:right w:val="single" w:sz="4" w:space="0" w:color="auto"/>
            </w:tcBorders>
            <w:shd w:val="clear" w:color="auto" w:fill="BFBFBF" w:themeFill="background1" w:themeFillShade="BF"/>
          </w:tcPr>
          <w:p w14:paraId="796F9302" w14:textId="77777777" w:rsidR="00881462" w:rsidRDefault="009F0A60">
            <w:pPr>
              <w:pStyle w:val="B1"/>
            </w:pPr>
            <w:r>
              <w:rPr>
                <w:rFonts w:hint="eastAsia"/>
              </w:rPr>
              <w:t>一级国内外汇贷款类型</w:t>
            </w:r>
          </w:p>
        </w:tc>
        <w:tc>
          <w:tcPr>
            <w:tcW w:w="1961" w:type="dxa"/>
            <w:tcBorders>
              <w:right w:val="single" w:sz="4" w:space="0" w:color="auto"/>
            </w:tcBorders>
            <w:shd w:val="clear" w:color="auto" w:fill="BFBFBF" w:themeFill="background1" w:themeFillShade="BF"/>
          </w:tcPr>
          <w:p w14:paraId="4867BAF9" w14:textId="77777777" w:rsidR="00881462" w:rsidRDefault="009F0A60">
            <w:pPr>
              <w:pStyle w:val="B1"/>
            </w:pPr>
            <w:r>
              <w:rPr>
                <w:rFonts w:hint="eastAsia"/>
              </w:rPr>
              <w:t>一级国内外汇贷款类型代码</w:t>
            </w:r>
          </w:p>
        </w:tc>
        <w:tc>
          <w:tcPr>
            <w:tcW w:w="2268" w:type="dxa"/>
            <w:tcBorders>
              <w:right w:val="single" w:sz="4" w:space="0" w:color="auto"/>
            </w:tcBorders>
            <w:shd w:val="clear" w:color="auto" w:fill="BFBFBF" w:themeFill="background1" w:themeFillShade="BF"/>
          </w:tcPr>
          <w:p w14:paraId="4E7CB70D" w14:textId="77777777" w:rsidR="00881462" w:rsidRDefault="009F0A60">
            <w:pPr>
              <w:pStyle w:val="B1"/>
            </w:pPr>
            <w:r>
              <w:rPr>
                <w:rFonts w:hint="eastAsia"/>
              </w:rPr>
              <w:t>二级国内外汇贷款类型</w:t>
            </w:r>
          </w:p>
        </w:tc>
        <w:tc>
          <w:tcPr>
            <w:tcW w:w="2551" w:type="dxa"/>
            <w:tcBorders>
              <w:left w:val="single" w:sz="4" w:space="0" w:color="auto"/>
            </w:tcBorders>
            <w:shd w:val="clear" w:color="auto" w:fill="BFBFBF" w:themeFill="background1" w:themeFillShade="BF"/>
          </w:tcPr>
          <w:p w14:paraId="21874A56" w14:textId="77777777" w:rsidR="00881462" w:rsidRDefault="009F0A60">
            <w:pPr>
              <w:pStyle w:val="B1"/>
            </w:pPr>
            <w:r>
              <w:rPr>
                <w:rFonts w:hint="eastAsia"/>
              </w:rPr>
              <w:t>二级国内外汇贷款类型代码</w:t>
            </w:r>
          </w:p>
        </w:tc>
      </w:tr>
      <w:tr w:rsidR="00A052DC" w14:paraId="13FDCB07" w14:textId="77777777" w:rsidTr="00197ADB">
        <w:trPr>
          <w:trHeight w:val="20"/>
        </w:trPr>
        <w:tc>
          <w:tcPr>
            <w:tcW w:w="1867" w:type="dxa"/>
            <w:vMerge w:val="restart"/>
            <w:tcBorders>
              <w:right w:val="single" w:sz="4" w:space="0" w:color="auto"/>
            </w:tcBorders>
            <w:vAlign w:val="center"/>
          </w:tcPr>
          <w:p w14:paraId="2D7E5AE4" w14:textId="77777777" w:rsidR="00A052DC" w:rsidRDefault="009F0A60">
            <w:pPr>
              <w:rPr>
                <w:rFonts w:ascii="黑体" w:eastAsia="黑体"/>
                <w:sz w:val="20"/>
                <w:szCs w:val="20"/>
              </w:rPr>
            </w:pPr>
            <w:r>
              <w:rPr>
                <w:rFonts w:ascii="黑体" w:eastAsia="黑体" w:hint="eastAsia"/>
                <w:sz w:val="20"/>
                <w:szCs w:val="20"/>
              </w:rPr>
              <w:t>自营外汇贷款</w:t>
            </w:r>
          </w:p>
        </w:tc>
        <w:tc>
          <w:tcPr>
            <w:tcW w:w="1961" w:type="dxa"/>
            <w:vMerge w:val="restart"/>
            <w:tcBorders>
              <w:right w:val="single" w:sz="4" w:space="0" w:color="auto"/>
            </w:tcBorders>
            <w:vAlign w:val="center"/>
          </w:tcPr>
          <w:p w14:paraId="6371B8EA" w14:textId="77777777" w:rsidR="00881462" w:rsidRDefault="009F0A60">
            <w:pPr>
              <w:jc w:val="center"/>
              <w:rPr>
                <w:rFonts w:ascii="黑体" w:eastAsia="黑体"/>
                <w:sz w:val="20"/>
                <w:szCs w:val="20"/>
              </w:rPr>
            </w:pPr>
            <w:r>
              <w:rPr>
                <w:rFonts w:ascii="黑体" w:eastAsia="黑体" w:hint="eastAsia"/>
                <w:sz w:val="20"/>
                <w:szCs w:val="20"/>
              </w:rPr>
              <w:t>11</w:t>
            </w:r>
          </w:p>
        </w:tc>
        <w:tc>
          <w:tcPr>
            <w:tcW w:w="2268" w:type="dxa"/>
            <w:tcBorders>
              <w:right w:val="single" w:sz="4" w:space="0" w:color="auto"/>
            </w:tcBorders>
            <w:vAlign w:val="center"/>
          </w:tcPr>
          <w:p w14:paraId="1CCFCBEA" w14:textId="77777777" w:rsidR="00A052DC" w:rsidRDefault="009F0A60">
            <w:pPr>
              <w:rPr>
                <w:rFonts w:ascii="黑体" w:eastAsia="黑体"/>
                <w:sz w:val="20"/>
                <w:szCs w:val="20"/>
              </w:rPr>
            </w:pPr>
            <w:r>
              <w:rPr>
                <w:rFonts w:ascii="黑体" w:eastAsia="黑体" w:hint="eastAsia"/>
                <w:sz w:val="20"/>
                <w:szCs w:val="20"/>
              </w:rPr>
              <w:t>直接贷款</w:t>
            </w:r>
          </w:p>
        </w:tc>
        <w:tc>
          <w:tcPr>
            <w:tcW w:w="2551" w:type="dxa"/>
            <w:tcBorders>
              <w:left w:val="single" w:sz="4" w:space="0" w:color="auto"/>
            </w:tcBorders>
            <w:vAlign w:val="center"/>
          </w:tcPr>
          <w:p w14:paraId="6ACEA0DA" w14:textId="77777777" w:rsidR="00881462" w:rsidRDefault="009F0A60">
            <w:pPr>
              <w:jc w:val="center"/>
              <w:rPr>
                <w:rFonts w:ascii="黑体" w:eastAsia="黑体"/>
                <w:sz w:val="20"/>
                <w:szCs w:val="20"/>
              </w:rPr>
            </w:pPr>
            <w:r>
              <w:rPr>
                <w:rFonts w:ascii="黑体" w:eastAsia="黑体" w:hint="eastAsia"/>
                <w:sz w:val="20"/>
                <w:szCs w:val="20"/>
              </w:rPr>
              <w:t>1101</w:t>
            </w:r>
          </w:p>
        </w:tc>
      </w:tr>
      <w:tr w:rsidR="00197ADB" w14:paraId="09496A84" w14:textId="77777777" w:rsidTr="00197ADB">
        <w:trPr>
          <w:trHeight w:val="20"/>
        </w:trPr>
        <w:tc>
          <w:tcPr>
            <w:tcW w:w="1867" w:type="dxa"/>
            <w:vMerge/>
            <w:tcBorders>
              <w:right w:val="single" w:sz="4" w:space="0" w:color="auto"/>
            </w:tcBorders>
            <w:vAlign w:val="center"/>
          </w:tcPr>
          <w:p w14:paraId="0A627A87" w14:textId="77777777" w:rsidR="00197ADB" w:rsidRDefault="00197ADB">
            <w:pPr>
              <w:rPr>
                <w:rFonts w:ascii="黑体" w:eastAsia="黑体"/>
                <w:sz w:val="20"/>
                <w:szCs w:val="20"/>
              </w:rPr>
            </w:pPr>
          </w:p>
        </w:tc>
        <w:tc>
          <w:tcPr>
            <w:tcW w:w="1961" w:type="dxa"/>
            <w:vMerge/>
            <w:tcBorders>
              <w:right w:val="single" w:sz="4" w:space="0" w:color="auto"/>
            </w:tcBorders>
            <w:vAlign w:val="center"/>
          </w:tcPr>
          <w:p w14:paraId="7F033C3F" w14:textId="77777777" w:rsidR="00197ADB" w:rsidRDefault="00197ADB">
            <w:pPr>
              <w:jc w:val="center"/>
              <w:rPr>
                <w:rFonts w:ascii="黑体" w:eastAsia="黑体"/>
                <w:sz w:val="20"/>
                <w:szCs w:val="20"/>
              </w:rPr>
            </w:pPr>
          </w:p>
        </w:tc>
        <w:tc>
          <w:tcPr>
            <w:tcW w:w="2268" w:type="dxa"/>
            <w:tcBorders>
              <w:right w:val="single" w:sz="4" w:space="0" w:color="auto"/>
            </w:tcBorders>
            <w:vAlign w:val="center"/>
          </w:tcPr>
          <w:p w14:paraId="3A2B275C" w14:textId="77777777" w:rsidR="00197ADB" w:rsidRDefault="00197ADB">
            <w:pPr>
              <w:rPr>
                <w:rFonts w:ascii="黑体" w:eastAsia="黑体"/>
                <w:sz w:val="20"/>
                <w:szCs w:val="20"/>
              </w:rPr>
            </w:pPr>
            <w:r>
              <w:rPr>
                <w:rFonts w:ascii="黑体" w:eastAsia="黑体" w:hint="eastAsia"/>
                <w:sz w:val="20"/>
                <w:szCs w:val="20"/>
              </w:rPr>
              <w:t>贸易融资</w:t>
            </w:r>
          </w:p>
        </w:tc>
        <w:tc>
          <w:tcPr>
            <w:tcW w:w="2551" w:type="dxa"/>
            <w:tcBorders>
              <w:left w:val="single" w:sz="4" w:space="0" w:color="auto"/>
            </w:tcBorders>
            <w:vAlign w:val="center"/>
          </w:tcPr>
          <w:p w14:paraId="2491D29C" w14:textId="77777777" w:rsidR="00197ADB" w:rsidRDefault="00197ADB">
            <w:pPr>
              <w:jc w:val="center"/>
              <w:rPr>
                <w:rFonts w:ascii="黑体" w:eastAsia="黑体"/>
                <w:sz w:val="20"/>
                <w:szCs w:val="20"/>
              </w:rPr>
            </w:pPr>
            <w:r>
              <w:rPr>
                <w:rFonts w:ascii="黑体" w:eastAsia="黑体" w:hint="eastAsia"/>
                <w:sz w:val="20"/>
                <w:szCs w:val="20"/>
              </w:rPr>
              <w:t>1102</w:t>
            </w:r>
          </w:p>
        </w:tc>
      </w:tr>
      <w:tr w:rsidR="00197ADB" w14:paraId="252925C0" w14:textId="77777777" w:rsidTr="00197ADB">
        <w:trPr>
          <w:trHeight w:val="20"/>
        </w:trPr>
        <w:tc>
          <w:tcPr>
            <w:tcW w:w="1867" w:type="dxa"/>
            <w:tcBorders>
              <w:right w:val="single" w:sz="4" w:space="0" w:color="auto"/>
            </w:tcBorders>
            <w:vAlign w:val="center"/>
          </w:tcPr>
          <w:p w14:paraId="6087F423" w14:textId="77777777" w:rsidR="00197ADB" w:rsidRDefault="00197ADB">
            <w:pPr>
              <w:rPr>
                <w:rFonts w:ascii="黑体" w:eastAsia="黑体"/>
                <w:sz w:val="20"/>
                <w:szCs w:val="20"/>
              </w:rPr>
            </w:pPr>
            <w:r>
              <w:rPr>
                <w:rFonts w:ascii="黑体" w:eastAsia="黑体" w:hint="eastAsia"/>
                <w:sz w:val="20"/>
                <w:szCs w:val="20"/>
              </w:rPr>
              <w:t>委托贷款</w:t>
            </w:r>
          </w:p>
        </w:tc>
        <w:tc>
          <w:tcPr>
            <w:tcW w:w="1961" w:type="dxa"/>
            <w:tcBorders>
              <w:right w:val="single" w:sz="4" w:space="0" w:color="auto"/>
            </w:tcBorders>
            <w:vAlign w:val="center"/>
          </w:tcPr>
          <w:p w14:paraId="5AADC6AB" w14:textId="77777777" w:rsidR="00197ADB" w:rsidRDefault="00197ADB">
            <w:pPr>
              <w:jc w:val="center"/>
              <w:rPr>
                <w:rFonts w:ascii="黑体" w:eastAsia="黑体"/>
                <w:sz w:val="20"/>
                <w:szCs w:val="20"/>
              </w:rPr>
            </w:pPr>
            <w:r>
              <w:rPr>
                <w:rFonts w:ascii="黑体" w:eastAsia="黑体" w:hint="eastAsia"/>
                <w:sz w:val="20"/>
                <w:szCs w:val="20"/>
              </w:rPr>
              <w:t>12</w:t>
            </w:r>
          </w:p>
        </w:tc>
        <w:tc>
          <w:tcPr>
            <w:tcW w:w="2268" w:type="dxa"/>
            <w:tcBorders>
              <w:right w:val="single" w:sz="4" w:space="0" w:color="auto"/>
            </w:tcBorders>
            <w:vAlign w:val="center"/>
          </w:tcPr>
          <w:p w14:paraId="57AB73CC" w14:textId="77777777" w:rsidR="00197ADB" w:rsidRDefault="00197ADB">
            <w:pPr>
              <w:rPr>
                <w:rFonts w:ascii="黑体" w:eastAsia="黑体"/>
                <w:sz w:val="20"/>
                <w:szCs w:val="20"/>
              </w:rPr>
            </w:pPr>
            <w:r>
              <w:rPr>
                <w:rFonts w:ascii="黑体" w:eastAsia="黑体" w:hint="eastAsia"/>
                <w:sz w:val="20"/>
                <w:szCs w:val="20"/>
              </w:rPr>
              <w:t>委托贷款</w:t>
            </w:r>
          </w:p>
        </w:tc>
        <w:tc>
          <w:tcPr>
            <w:tcW w:w="2551" w:type="dxa"/>
            <w:tcBorders>
              <w:left w:val="single" w:sz="4" w:space="0" w:color="auto"/>
            </w:tcBorders>
            <w:vAlign w:val="center"/>
          </w:tcPr>
          <w:p w14:paraId="6786459A" w14:textId="77777777" w:rsidR="00197ADB" w:rsidRDefault="00197ADB">
            <w:pPr>
              <w:jc w:val="center"/>
              <w:rPr>
                <w:rFonts w:ascii="黑体" w:eastAsia="黑体"/>
                <w:sz w:val="20"/>
                <w:szCs w:val="20"/>
              </w:rPr>
            </w:pPr>
            <w:r>
              <w:rPr>
                <w:rFonts w:ascii="黑体" w:eastAsia="黑体" w:hint="eastAsia"/>
                <w:sz w:val="20"/>
                <w:szCs w:val="20"/>
              </w:rPr>
              <w:t>1200</w:t>
            </w:r>
          </w:p>
        </w:tc>
      </w:tr>
      <w:tr w:rsidR="00197ADB" w14:paraId="24C15870" w14:textId="77777777" w:rsidTr="00197ADB">
        <w:trPr>
          <w:trHeight w:val="20"/>
        </w:trPr>
        <w:tc>
          <w:tcPr>
            <w:tcW w:w="1867" w:type="dxa"/>
            <w:tcBorders>
              <w:right w:val="single" w:sz="4" w:space="0" w:color="auto"/>
            </w:tcBorders>
            <w:vAlign w:val="center"/>
          </w:tcPr>
          <w:p w14:paraId="3699F371" w14:textId="77777777" w:rsidR="00197ADB" w:rsidRDefault="00197ADB">
            <w:pPr>
              <w:rPr>
                <w:rFonts w:ascii="黑体" w:eastAsia="黑体"/>
                <w:sz w:val="20"/>
                <w:szCs w:val="20"/>
              </w:rPr>
            </w:pPr>
            <w:r>
              <w:rPr>
                <w:rFonts w:ascii="黑体" w:eastAsia="黑体" w:hint="eastAsia"/>
                <w:sz w:val="20"/>
                <w:szCs w:val="20"/>
              </w:rPr>
              <w:t>外债转贷款</w:t>
            </w:r>
          </w:p>
        </w:tc>
        <w:tc>
          <w:tcPr>
            <w:tcW w:w="1961" w:type="dxa"/>
            <w:tcBorders>
              <w:right w:val="single" w:sz="4" w:space="0" w:color="auto"/>
            </w:tcBorders>
            <w:vAlign w:val="center"/>
          </w:tcPr>
          <w:p w14:paraId="4B1D14D6" w14:textId="77777777" w:rsidR="00197ADB" w:rsidRDefault="00197ADB">
            <w:pPr>
              <w:jc w:val="center"/>
              <w:rPr>
                <w:rFonts w:ascii="黑体" w:eastAsia="黑体"/>
                <w:sz w:val="20"/>
                <w:szCs w:val="20"/>
              </w:rPr>
            </w:pPr>
            <w:r>
              <w:rPr>
                <w:rFonts w:ascii="黑体" w:eastAsia="黑体" w:hint="eastAsia"/>
                <w:sz w:val="20"/>
                <w:szCs w:val="20"/>
              </w:rPr>
              <w:t>13</w:t>
            </w:r>
          </w:p>
        </w:tc>
        <w:tc>
          <w:tcPr>
            <w:tcW w:w="2268" w:type="dxa"/>
            <w:tcBorders>
              <w:right w:val="single" w:sz="4" w:space="0" w:color="auto"/>
            </w:tcBorders>
            <w:vAlign w:val="center"/>
          </w:tcPr>
          <w:p w14:paraId="35B526F7" w14:textId="77777777" w:rsidR="00197ADB" w:rsidRDefault="00197ADB">
            <w:pPr>
              <w:rPr>
                <w:rFonts w:ascii="黑体" w:eastAsia="黑体"/>
                <w:sz w:val="20"/>
                <w:szCs w:val="20"/>
              </w:rPr>
            </w:pPr>
            <w:r>
              <w:rPr>
                <w:rFonts w:ascii="黑体" w:eastAsia="黑体" w:hint="eastAsia"/>
                <w:sz w:val="20"/>
                <w:szCs w:val="20"/>
              </w:rPr>
              <w:t>外债转贷款</w:t>
            </w:r>
          </w:p>
        </w:tc>
        <w:tc>
          <w:tcPr>
            <w:tcW w:w="2551" w:type="dxa"/>
            <w:tcBorders>
              <w:left w:val="single" w:sz="4" w:space="0" w:color="auto"/>
            </w:tcBorders>
            <w:vAlign w:val="center"/>
          </w:tcPr>
          <w:p w14:paraId="01A4A7AD" w14:textId="77777777" w:rsidR="00197ADB" w:rsidRDefault="00197ADB">
            <w:pPr>
              <w:jc w:val="center"/>
              <w:rPr>
                <w:rFonts w:ascii="黑体" w:eastAsia="黑体"/>
                <w:sz w:val="20"/>
                <w:szCs w:val="20"/>
              </w:rPr>
            </w:pPr>
            <w:r>
              <w:rPr>
                <w:rFonts w:ascii="黑体" w:eastAsia="黑体" w:hint="eastAsia"/>
                <w:sz w:val="20"/>
                <w:szCs w:val="20"/>
              </w:rPr>
              <w:t>1300</w:t>
            </w:r>
          </w:p>
        </w:tc>
      </w:tr>
    </w:tbl>
    <w:p w14:paraId="286A8A32" w14:textId="77777777" w:rsidR="00A052DC" w:rsidRDefault="009F0A60">
      <w:pPr>
        <w:pStyle w:val="3"/>
        <w:ind w:left="0"/>
        <w:rPr>
          <w:rFonts w:ascii="Times New Roman" w:hAnsi="Times New Roman"/>
        </w:rPr>
      </w:pPr>
      <w:bookmarkStart w:id="4887" w:name="_Toc91455548"/>
      <w:bookmarkStart w:id="4888" w:name="_Toc454394803"/>
      <w:bookmarkStart w:id="4889" w:name="_Toc380356346"/>
      <w:bookmarkStart w:id="4890" w:name="_Toc101684573"/>
      <w:r>
        <w:rPr>
          <w:rFonts w:ascii="Times New Roman" w:hAnsi="Times New Roman" w:hint="eastAsia"/>
        </w:rPr>
        <w:t>国内外汇贷款资金用途类型</w:t>
      </w:r>
      <w:bookmarkEnd w:id="4887"/>
      <w:bookmarkEnd w:id="4888"/>
      <w:bookmarkEnd w:id="4889"/>
      <w:bookmarkEnd w:id="489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A052DC" w14:paraId="6A7CEA40" w14:textId="77777777" w:rsidTr="00830682">
        <w:tc>
          <w:tcPr>
            <w:tcW w:w="4261" w:type="dxa"/>
            <w:shd w:val="clear" w:color="auto" w:fill="BFBFBF" w:themeFill="background1" w:themeFillShade="BF"/>
          </w:tcPr>
          <w:p w14:paraId="1A446669" w14:textId="77777777" w:rsidR="00881462" w:rsidRDefault="009F0A60">
            <w:pPr>
              <w:pStyle w:val="B1"/>
            </w:pPr>
            <w:r>
              <w:rPr>
                <w:rFonts w:hint="eastAsia"/>
              </w:rPr>
              <w:t>国内外汇贷款资金用途类型代码</w:t>
            </w:r>
          </w:p>
        </w:tc>
        <w:tc>
          <w:tcPr>
            <w:tcW w:w="4261" w:type="dxa"/>
            <w:shd w:val="clear" w:color="auto" w:fill="BFBFBF" w:themeFill="background1" w:themeFillShade="BF"/>
          </w:tcPr>
          <w:p w14:paraId="4D199BDA" w14:textId="77777777" w:rsidR="00881462" w:rsidRDefault="009F0A60">
            <w:pPr>
              <w:pStyle w:val="B1"/>
            </w:pPr>
            <w:r>
              <w:rPr>
                <w:rFonts w:hint="eastAsia"/>
              </w:rPr>
              <w:t>国内外汇贷款资金用途类型</w:t>
            </w:r>
          </w:p>
        </w:tc>
      </w:tr>
      <w:tr w:rsidR="00A052DC" w14:paraId="7A6F16F3" w14:textId="77777777">
        <w:tc>
          <w:tcPr>
            <w:tcW w:w="4261" w:type="dxa"/>
            <w:shd w:val="clear" w:color="auto" w:fill="auto"/>
          </w:tcPr>
          <w:p w14:paraId="5533788F" w14:textId="77777777" w:rsidR="00881462" w:rsidRDefault="009F0A60">
            <w:pPr>
              <w:pStyle w:val="B"/>
              <w:jc w:val="center"/>
            </w:pPr>
            <w:r>
              <w:t>11</w:t>
            </w:r>
          </w:p>
        </w:tc>
        <w:tc>
          <w:tcPr>
            <w:tcW w:w="4261" w:type="dxa"/>
            <w:shd w:val="clear" w:color="auto" w:fill="auto"/>
          </w:tcPr>
          <w:p w14:paraId="32A4E196" w14:textId="77777777" w:rsidR="00563761" w:rsidRDefault="009F0A60">
            <w:pPr>
              <w:pStyle w:val="B"/>
              <w:jc w:val="center"/>
            </w:pPr>
            <w:r>
              <w:rPr>
                <w:rFonts w:hint="eastAsia"/>
              </w:rPr>
              <w:t>货物贸易</w:t>
            </w:r>
          </w:p>
        </w:tc>
      </w:tr>
      <w:tr w:rsidR="00A052DC" w14:paraId="3C505957" w14:textId="77777777">
        <w:tc>
          <w:tcPr>
            <w:tcW w:w="4261" w:type="dxa"/>
            <w:shd w:val="clear" w:color="auto" w:fill="auto"/>
          </w:tcPr>
          <w:p w14:paraId="12D051DB" w14:textId="77777777" w:rsidR="00881462" w:rsidRDefault="009F0A60">
            <w:pPr>
              <w:pStyle w:val="B"/>
              <w:jc w:val="center"/>
            </w:pPr>
            <w:r>
              <w:t>12</w:t>
            </w:r>
          </w:p>
        </w:tc>
        <w:tc>
          <w:tcPr>
            <w:tcW w:w="4261" w:type="dxa"/>
            <w:shd w:val="clear" w:color="auto" w:fill="auto"/>
          </w:tcPr>
          <w:p w14:paraId="5CE0EF7C" w14:textId="77777777" w:rsidR="00563761" w:rsidRDefault="009F0A60">
            <w:pPr>
              <w:pStyle w:val="B"/>
              <w:jc w:val="center"/>
            </w:pPr>
            <w:r>
              <w:rPr>
                <w:rFonts w:hint="eastAsia"/>
              </w:rPr>
              <w:t>服务贸易</w:t>
            </w:r>
          </w:p>
        </w:tc>
      </w:tr>
      <w:tr w:rsidR="00A052DC" w14:paraId="319EECA7" w14:textId="77777777">
        <w:tc>
          <w:tcPr>
            <w:tcW w:w="4261" w:type="dxa"/>
            <w:shd w:val="clear" w:color="auto" w:fill="auto"/>
          </w:tcPr>
          <w:p w14:paraId="71802AA8" w14:textId="77777777" w:rsidR="00881462" w:rsidRDefault="009F0A60">
            <w:pPr>
              <w:pStyle w:val="B"/>
              <w:jc w:val="center"/>
            </w:pPr>
            <w:r>
              <w:t>13</w:t>
            </w:r>
          </w:p>
        </w:tc>
        <w:tc>
          <w:tcPr>
            <w:tcW w:w="4261" w:type="dxa"/>
            <w:shd w:val="clear" w:color="auto" w:fill="auto"/>
          </w:tcPr>
          <w:p w14:paraId="5CF156E1" w14:textId="77777777" w:rsidR="00563761" w:rsidRDefault="009F0A60">
            <w:pPr>
              <w:pStyle w:val="B"/>
              <w:jc w:val="center"/>
            </w:pPr>
            <w:r>
              <w:rPr>
                <w:rFonts w:hint="eastAsia"/>
              </w:rPr>
              <w:t>资本项目支出</w:t>
            </w:r>
          </w:p>
        </w:tc>
      </w:tr>
    </w:tbl>
    <w:p w14:paraId="38E98043" w14:textId="77777777" w:rsidR="00A052DC" w:rsidRDefault="009F0A60">
      <w:pPr>
        <w:pStyle w:val="2"/>
        <w:rPr>
          <w:rFonts w:ascii="Times New Roman" w:hAnsi="Times New Roman"/>
        </w:rPr>
      </w:pPr>
      <w:bookmarkStart w:id="4891" w:name="_Toc454394804"/>
      <w:bookmarkStart w:id="4892" w:name="_Toc380356347"/>
      <w:bookmarkStart w:id="4893" w:name="_Toc91455549"/>
      <w:bookmarkStart w:id="4894" w:name="_Toc101684574"/>
      <w:r>
        <w:rPr>
          <w:rFonts w:ascii="Times New Roman" w:hAnsi="Times New Roman" w:hint="eastAsia"/>
        </w:rPr>
        <w:t>商业银行人民币结构性存款业务代码表</w:t>
      </w:r>
      <w:bookmarkEnd w:id="4891"/>
      <w:bookmarkEnd w:id="4892"/>
      <w:bookmarkEnd w:id="4893"/>
      <w:bookmarkEnd w:id="4894"/>
    </w:p>
    <w:p w14:paraId="70EA49A7" w14:textId="77777777" w:rsidR="00A052DC" w:rsidRDefault="009F0A60">
      <w:pPr>
        <w:rPr>
          <w:b/>
          <w:sz w:val="24"/>
          <w:szCs w:val="24"/>
        </w:rPr>
      </w:pPr>
      <w:bookmarkStart w:id="4895" w:name="_Toc380356348"/>
      <w:r>
        <w:rPr>
          <w:rFonts w:hint="eastAsia"/>
          <w:b/>
          <w:sz w:val="24"/>
          <w:szCs w:val="24"/>
        </w:rPr>
        <w:t>终止类型代码</w:t>
      </w:r>
      <w:bookmarkEnd w:id="489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A052DC" w14:paraId="536838B8" w14:textId="77777777" w:rsidTr="00D95193">
        <w:tc>
          <w:tcPr>
            <w:tcW w:w="4261" w:type="dxa"/>
            <w:shd w:val="clear" w:color="auto" w:fill="BFBFBF" w:themeFill="background1" w:themeFillShade="BF"/>
          </w:tcPr>
          <w:p w14:paraId="67187829" w14:textId="77777777" w:rsidR="00881462" w:rsidRDefault="009F0A60">
            <w:pPr>
              <w:pStyle w:val="B1"/>
            </w:pPr>
            <w:r>
              <w:rPr>
                <w:rFonts w:hint="eastAsia"/>
              </w:rPr>
              <w:t>结构性存款终止类型代码</w:t>
            </w:r>
          </w:p>
        </w:tc>
        <w:tc>
          <w:tcPr>
            <w:tcW w:w="4261" w:type="dxa"/>
            <w:shd w:val="clear" w:color="auto" w:fill="BFBFBF" w:themeFill="background1" w:themeFillShade="BF"/>
          </w:tcPr>
          <w:p w14:paraId="30C6BDB3" w14:textId="77777777" w:rsidR="00881462" w:rsidRDefault="009F0A60">
            <w:pPr>
              <w:pStyle w:val="B1"/>
            </w:pPr>
            <w:r>
              <w:rPr>
                <w:rFonts w:hint="eastAsia"/>
              </w:rPr>
              <w:t>结构性存款终止类型</w:t>
            </w:r>
          </w:p>
        </w:tc>
      </w:tr>
      <w:tr w:rsidR="00A052DC" w14:paraId="25507A10" w14:textId="77777777">
        <w:tc>
          <w:tcPr>
            <w:tcW w:w="4261" w:type="dxa"/>
            <w:shd w:val="clear" w:color="auto" w:fill="auto"/>
          </w:tcPr>
          <w:p w14:paraId="6054C9A0" w14:textId="77777777" w:rsidR="00881462" w:rsidRDefault="009F0A60">
            <w:pPr>
              <w:pStyle w:val="B"/>
              <w:jc w:val="center"/>
            </w:pPr>
            <w:r>
              <w:t>11</w:t>
            </w:r>
          </w:p>
        </w:tc>
        <w:tc>
          <w:tcPr>
            <w:tcW w:w="4261" w:type="dxa"/>
            <w:shd w:val="clear" w:color="auto" w:fill="auto"/>
          </w:tcPr>
          <w:p w14:paraId="2FC7F6B6" w14:textId="77777777" w:rsidR="00881462" w:rsidRDefault="009F0A60">
            <w:pPr>
              <w:pStyle w:val="B"/>
              <w:jc w:val="center"/>
            </w:pPr>
            <w:r>
              <w:rPr>
                <w:rFonts w:hint="eastAsia"/>
              </w:rPr>
              <w:t>期满终止</w:t>
            </w:r>
          </w:p>
        </w:tc>
      </w:tr>
      <w:tr w:rsidR="00A052DC" w14:paraId="1495CED8" w14:textId="77777777">
        <w:tc>
          <w:tcPr>
            <w:tcW w:w="4261" w:type="dxa"/>
            <w:shd w:val="clear" w:color="auto" w:fill="auto"/>
          </w:tcPr>
          <w:p w14:paraId="1B677867" w14:textId="77777777" w:rsidR="00881462" w:rsidRDefault="009F0A60">
            <w:pPr>
              <w:pStyle w:val="B"/>
              <w:jc w:val="center"/>
            </w:pPr>
            <w:r>
              <w:t>12</w:t>
            </w:r>
          </w:p>
        </w:tc>
        <w:tc>
          <w:tcPr>
            <w:tcW w:w="4261" w:type="dxa"/>
            <w:shd w:val="clear" w:color="auto" w:fill="auto"/>
          </w:tcPr>
          <w:p w14:paraId="6B82D0EC" w14:textId="77777777" w:rsidR="00881462" w:rsidRDefault="009F0A60">
            <w:pPr>
              <w:pStyle w:val="B"/>
              <w:jc w:val="center"/>
            </w:pPr>
            <w:r>
              <w:rPr>
                <w:rFonts w:hint="eastAsia"/>
              </w:rPr>
              <w:t>提前终止</w:t>
            </w:r>
          </w:p>
        </w:tc>
      </w:tr>
    </w:tbl>
    <w:p w14:paraId="522CF787" w14:textId="77777777" w:rsidR="00A052DC" w:rsidRDefault="00A052DC"/>
    <w:p w14:paraId="2220E5B0" w14:textId="77777777" w:rsidR="00A052DC" w:rsidRDefault="009F0A60" w:rsidP="0020251D">
      <w:pPr>
        <w:pStyle w:val="2"/>
        <w:rPr>
          <w:rFonts w:ascii="Times New Roman" w:hAnsi="Times New Roman"/>
        </w:rPr>
      </w:pPr>
      <w:bookmarkStart w:id="4896" w:name="_Toc454394805"/>
      <w:bookmarkStart w:id="4897" w:name="_Toc91455550"/>
      <w:bookmarkStart w:id="4898" w:name="_Toc380356349"/>
      <w:bookmarkStart w:id="4899" w:name="_Toc101684575"/>
      <w:r>
        <w:rPr>
          <w:rFonts w:ascii="Times New Roman" w:hAnsi="Times New Roman" w:hint="eastAsia"/>
        </w:rPr>
        <w:t>境内个人参与境外上市公司股权激励计划代码表</w:t>
      </w:r>
      <w:bookmarkEnd w:id="4896"/>
      <w:bookmarkEnd w:id="4897"/>
      <w:bookmarkEnd w:id="4898"/>
      <w:bookmarkEnd w:id="4899"/>
    </w:p>
    <w:p w14:paraId="63185D23" w14:textId="77777777" w:rsidR="00A052DC" w:rsidRDefault="009F0A60" w:rsidP="0020251D">
      <w:pPr>
        <w:pStyle w:val="3"/>
        <w:ind w:left="0"/>
        <w:rPr>
          <w:rFonts w:ascii="Times New Roman" w:hAnsi="Times New Roman"/>
        </w:rPr>
      </w:pPr>
      <w:bookmarkStart w:id="4900" w:name="_Toc454394806"/>
      <w:bookmarkStart w:id="4901" w:name="_Toc91455551"/>
      <w:bookmarkStart w:id="4902" w:name="_Toc380356350"/>
      <w:bookmarkStart w:id="4903" w:name="_Toc101684576"/>
      <w:r>
        <w:rPr>
          <w:rFonts w:ascii="Times New Roman" w:hAnsi="Times New Roman" w:hint="eastAsia"/>
        </w:rPr>
        <w:t>股权激励专户关户原因类型</w:t>
      </w:r>
      <w:bookmarkEnd w:id="4900"/>
      <w:bookmarkEnd w:id="4901"/>
      <w:bookmarkEnd w:id="4902"/>
      <w:bookmarkEnd w:id="490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1984"/>
        <w:gridCol w:w="850"/>
        <w:gridCol w:w="5014"/>
      </w:tblGrid>
      <w:tr w:rsidR="00A052DC" w14:paraId="2AEF6244" w14:textId="77777777" w:rsidTr="00197ADB">
        <w:tc>
          <w:tcPr>
            <w:tcW w:w="675" w:type="dxa"/>
            <w:shd w:val="clear" w:color="auto" w:fill="BFBFBF" w:themeFill="background1" w:themeFillShade="BF"/>
            <w:vAlign w:val="center"/>
          </w:tcPr>
          <w:p w14:paraId="38B9FD81" w14:textId="77777777" w:rsidR="00881462" w:rsidRDefault="009F0A60">
            <w:pPr>
              <w:pStyle w:val="B1"/>
            </w:pPr>
            <w:r>
              <w:rPr>
                <w:rFonts w:hint="eastAsia"/>
              </w:rPr>
              <w:t>关户原因一级类型代码</w:t>
            </w:r>
          </w:p>
        </w:tc>
        <w:tc>
          <w:tcPr>
            <w:tcW w:w="1985" w:type="dxa"/>
            <w:shd w:val="clear" w:color="auto" w:fill="BFBFBF" w:themeFill="background1" w:themeFillShade="BF"/>
            <w:vAlign w:val="center"/>
          </w:tcPr>
          <w:p w14:paraId="523F0605" w14:textId="77777777" w:rsidR="00881462" w:rsidRDefault="009F0A60">
            <w:pPr>
              <w:pStyle w:val="B1"/>
            </w:pPr>
            <w:r>
              <w:rPr>
                <w:rFonts w:hint="eastAsia"/>
              </w:rPr>
              <w:t>关户原因一级类型</w:t>
            </w:r>
          </w:p>
        </w:tc>
        <w:tc>
          <w:tcPr>
            <w:tcW w:w="850" w:type="dxa"/>
            <w:shd w:val="clear" w:color="auto" w:fill="BFBFBF" w:themeFill="background1" w:themeFillShade="BF"/>
            <w:vAlign w:val="center"/>
          </w:tcPr>
          <w:p w14:paraId="56D6C495" w14:textId="77777777" w:rsidR="00881462" w:rsidRDefault="009F0A60">
            <w:pPr>
              <w:pStyle w:val="B1"/>
            </w:pPr>
            <w:r>
              <w:rPr>
                <w:rFonts w:hint="eastAsia"/>
              </w:rPr>
              <w:t>关户原因二级类型代码</w:t>
            </w:r>
          </w:p>
        </w:tc>
        <w:tc>
          <w:tcPr>
            <w:tcW w:w="5018" w:type="dxa"/>
            <w:shd w:val="clear" w:color="auto" w:fill="BFBFBF" w:themeFill="background1" w:themeFillShade="BF"/>
            <w:vAlign w:val="center"/>
          </w:tcPr>
          <w:p w14:paraId="08406F02" w14:textId="77777777" w:rsidR="00881462" w:rsidRDefault="009F0A60">
            <w:pPr>
              <w:pStyle w:val="B1"/>
            </w:pPr>
            <w:r>
              <w:rPr>
                <w:rFonts w:hint="eastAsia"/>
              </w:rPr>
              <w:t>关户原因二级类型代码</w:t>
            </w:r>
          </w:p>
        </w:tc>
      </w:tr>
      <w:tr w:rsidR="00A052DC" w14:paraId="77A8B456" w14:textId="77777777" w:rsidTr="00197ADB">
        <w:tc>
          <w:tcPr>
            <w:tcW w:w="675" w:type="dxa"/>
            <w:shd w:val="clear" w:color="auto" w:fill="auto"/>
            <w:vAlign w:val="center"/>
          </w:tcPr>
          <w:p w14:paraId="3C998992" w14:textId="77777777" w:rsidR="00881462" w:rsidRDefault="009F0A60">
            <w:pPr>
              <w:jc w:val="center"/>
              <w:rPr>
                <w:rFonts w:ascii="黑体" w:eastAsia="黑体"/>
                <w:sz w:val="20"/>
                <w:szCs w:val="20"/>
              </w:rPr>
            </w:pPr>
            <w:r>
              <w:rPr>
                <w:rFonts w:ascii="黑体" w:eastAsia="黑体" w:hint="eastAsia"/>
                <w:sz w:val="20"/>
                <w:szCs w:val="20"/>
              </w:rPr>
              <w:t>11</w:t>
            </w:r>
          </w:p>
        </w:tc>
        <w:tc>
          <w:tcPr>
            <w:tcW w:w="1985" w:type="dxa"/>
            <w:vAlign w:val="center"/>
          </w:tcPr>
          <w:p w14:paraId="693F68B9" w14:textId="77777777" w:rsidR="00A052DC" w:rsidRDefault="009F0A60">
            <w:pPr>
              <w:rPr>
                <w:rFonts w:ascii="黑体" w:eastAsia="黑体"/>
                <w:sz w:val="20"/>
                <w:szCs w:val="20"/>
              </w:rPr>
            </w:pPr>
            <w:r>
              <w:rPr>
                <w:rFonts w:ascii="黑体" w:eastAsia="黑体" w:hint="eastAsia"/>
                <w:sz w:val="20"/>
                <w:szCs w:val="20"/>
              </w:rPr>
              <w:t>账户迁移</w:t>
            </w:r>
          </w:p>
        </w:tc>
        <w:tc>
          <w:tcPr>
            <w:tcW w:w="850" w:type="dxa"/>
            <w:vAlign w:val="center"/>
          </w:tcPr>
          <w:p w14:paraId="40A1745F" w14:textId="77777777" w:rsidR="00881462" w:rsidRDefault="009F0A60">
            <w:pPr>
              <w:jc w:val="center"/>
              <w:rPr>
                <w:rFonts w:ascii="黑体" w:eastAsia="黑体"/>
                <w:sz w:val="20"/>
                <w:szCs w:val="20"/>
              </w:rPr>
            </w:pPr>
            <w:r>
              <w:rPr>
                <w:rFonts w:ascii="黑体" w:eastAsia="黑体" w:hint="eastAsia"/>
                <w:sz w:val="20"/>
                <w:szCs w:val="20"/>
              </w:rPr>
              <w:t>1100</w:t>
            </w:r>
          </w:p>
        </w:tc>
        <w:tc>
          <w:tcPr>
            <w:tcW w:w="5018" w:type="dxa"/>
            <w:shd w:val="clear" w:color="auto" w:fill="auto"/>
            <w:vAlign w:val="center"/>
          </w:tcPr>
          <w:p w14:paraId="0CFA4153" w14:textId="77777777" w:rsidR="00A052DC" w:rsidRDefault="009F0A60">
            <w:pPr>
              <w:rPr>
                <w:rFonts w:ascii="黑体" w:eastAsia="黑体"/>
                <w:sz w:val="20"/>
                <w:szCs w:val="20"/>
              </w:rPr>
            </w:pPr>
            <w:r>
              <w:rPr>
                <w:rFonts w:ascii="黑体" w:eastAsia="黑体" w:hint="eastAsia"/>
                <w:sz w:val="20"/>
                <w:szCs w:val="20"/>
              </w:rPr>
              <w:t>账户迁移</w:t>
            </w:r>
          </w:p>
        </w:tc>
      </w:tr>
      <w:tr w:rsidR="00A052DC" w14:paraId="059049CF" w14:textId="77777777" w:rsidTr="00197ADB">
        <w:tc>
          <w:tcPr>
            <w:tcW w:w="675" w:type="dxa"/>
            <w:shd w:val="clear" w:color="auto" w:fill="auto"/>
            <w:vAlign w:val="center"/>
          </w:tcPr>
          <w:p w14:paraId="1E1B475F" w14:textId="77777777" w:rsidR="00881462" w:rsidRDefault="009F0A60">
            <w:pPr>
              <w:jc w:val="center"/>
              <w:rPr>
                <w:rFonts w:ascii="黑体" w:eastAsia="黑体"/>
                <w:sz w:val="20"/>
                <w:szCs w:val="20"/>
              </w:rPr>
            </w:pPr>
            <w:r>
              <w:rPr>
                <w:rFonts w:ascii="黑体" w:eastAsia="黑体" w:hint="eastAsia"/>
                <w:sz w:val="20"/>
                <w:szCs w:val="20"/>
              </w:rPr>
              <w:t>12</w:t>
            </w:r>
          </w:p>
        </w:tc>
        <w:tc>
          <w:tcPr>
            <w:tcW w:w="1985" w:type="dxa"/>
            <w:vAlign w:val="center"/>
          </w:tcPr>
          <w:p w14:paraId="178DD25E" w14:textId="77777777" w:rsidR="00A052DC" w:rsidRDefault="009F0A60">
            <w:pPr>
              <w:rPr>
                <w:rFonts w:ascii="黑体" w:eastAsia="黑体"/>
                <w:sz w:val="20"/>
                <w:szCs w:val="20"/>
              </w:rPr>
            </w:pPr>
            <w:r>
              <w:rPr>
                <w:rFonts w:ascii="黑体" w:eastAsia="黑体" w:hint="eastAsia"/>
                <w:sz w:val="20"/>
                <w:szCs w:val="20"/>
              </w:rPr>
              <w:t>股权激励计划到期</w:t>
            </w:r>
          </w:p>
        </w:tc>
        <w:tc>
          <w:tcPr>
            <w:tcW w:w="850" w:type="dxa"/>
            <w:vAlign w:val="center"/>
          </w:tcPr>
          <w:p w14:paraId="36CC253C" w14:textId="77777777" w:rsidR="00881462" w:rsidRDefault="009F0A60">
            <w:pPr>
              <w:jc w:val="center"/>
              <w:rPr>
                <w:rFonts w:ascii="黑体" w:eastAsia="黑体"/>
                <w:sz w:val="20"/>
                <w:szCs w:val="20"/>
              </w:rPr>
            </w:pPr>
            <w:r>
              <w:rPr>
                <w:rFonts w:ascii="黑体" w:eastAsia="黑体" w:hint="eastAsia"/>
                <w:sz w:val="20"/>
                <w:szCs w:val="20"/>
              </w:rPr>
              <w:t>1201</w:t>
            </w:r>
          </w:p>
        </w:tc>
        <w:tc>
          <w:tcPr>
            <w:tcW w:w="5018" w:type="dxa"/>
            <w:shd w:val="clear" w:color="auto" w:fill="auto"/>
            <w:vAlign w:val="center"/>
          </w:tcPr>
          <w:p w14:paraId="50BD3468" w14:textId="77777777" w:rsidR="00A052DC" w:rsidRDefault="009F0A60">
            <w:pPr>
              <w:rPr>
                <w:rFonts w:ascii="黑体" w:eastAsia="黑体"/>
                <w:sz w:val="20"/>
                <w:szCs w:val="20"/>
              </w:rPr>
            </w:pPr>
            <w:r>
              <w:rPr>
                <w:rFonts w:ascii="黑体" w:eastAsia="黑体" w:hint="eastAsia"/>
                <w:sz w:val="20"/>
                <w:szCs w:val="20"/>
              </w:rPr>
              <w:t>股权激励计划到期</w:t>
            </w:r>
          </w:p>
        </w:tc>
      </w:tr>
      <w:tr w:rsidR="00A052DC" w14:paraId="2A1FE676" w14:textId="77777777" w:rsidTr="00197ADB">
        <w:tc>
          <w:tcPr>
            <w:tcW w:w="675" w:type="dxa"/>
            <w:vMerge w:val="restart"/>
            <w:shd w:val="clear" w:color="auto" w:fill="auto"/>
            <w:vAlign w:val="center"/>
          </w:tcPr>
          <w:p w14:paraId="0B6C3D61" w14:textId="77777777" w:rsidR="00881462" w:rsidRDefault="009F0A60">
            <w:pPr>
              <w:jc w:val="center"/>
              <w:rPr>
                <w:rFonts w:ascii="黑体" w:eastAsia="黑体"/>
                <w:sz w:val="20"/>
                <w:szCs w:val="20"/>
              </w:rPr>
            </w:pPr>
            <w:r>
              <w:rPr>
                <w:rFonts w:ascii="黑体" w:eastAsia="黑体" w:hint="eastAsia"/>
                <w:sz w:val="20"/>
                <w:szCs w:val="20"/>
              </w:rPr>
              <w:t>13</w:t>
            </w:r>
          </w:p>
        </w:tc>
        <w:tc>
          <w:tcPr>
            <w:tcW w:w="1985" w:type="dxa"/>
            <w:vMerge w:val="restart"/>
            <w:vAlign w:val="center"/>
          </w:tcPr>
          <w:p w14:paraId="527B6809" w14:textId="77777777" w:rsidR="00A052DC" w:rsidRDefault="009F0A60">
            <w:pPr>
              <w:rPr>
                <w:rFonts w:ascii="黑体" w:eastAsia="黑体"/>
                <w:sz w:val="20"/>
                <w:szCs w:val="20"/>
              </w:rPr>
            </w:pPr>
            <w:r>
              <w:rPr>
                <w:rFonts w:ascii="黑体" w:eastAsia="黑体" w:hint="eastAsia"/>
                <w:sz w:val="20"/>
                <w:szCs w:val="20"/>
              </w:rPr>
              <w:t>股权激励计划终止</w:t>
            </w:r>
          </w:p>
        </w:tc>
        <w:tc>
          <w:tcPr>
            <w:tcW w:w="850" w:type="dxa"/>
            <w:vAlign w:val="center"/>
          </w:tcPr>
          <w:p w14:paraId="63530B24" w14:textId="77777777" w:rsidR="00881462" w:rsidRDefault="009F0A60">
            <w:pPr>
              <w:jc w:val="center"/>
              <w:rPr>
                <w:rFonts w:ascii="黑体" w:eastAsia="黑体"/>
                <w:sz w:val="20"/>
                <w:szCs w:val="20"/>
              </w:rPr>
            </w:pPr>
            <w:r>
              <w:rPr>
                <w:rFonts w:ascii="黑体" w:eastAsia="黑体" w:hint="eastAsia"/>
                <w:sz w:val="20"/>
                <w:szCs w:val="20"/>
              </w:rPr>
              <w:t>1301</w:t>
            </w:r>
          </w:p>
        </w:tc>
        <w:tc>
          <w:tcPr>
            <w:tcW w:w="5018" w:type="dxa"/>
            <w:shd w:val="clear" w:color="auto" w:fill="auto"/>
            <w:vAlign w:val="center"/>
          </w:tcPr>
          <w:p w14:paraId="03DF572C" w14:textId="77777777" w:rsidR="00A052DC" w:rsidRDefault="009F0A60">
            <w:pPr>
              <w:rPr>
                <w:rFonts w:ascii="黑体" w:eastAsia="黑体"/>
                <w:sz w:val="20"/>
                <w:szCs w:val="20"/>
              </w:rPr>
            </w:pPr>
            <w:r>
              <w:rPr>
                <w:rFonts w:ascii="黑体" w:eastAsia="黑体" w:hint="eastAsia"/>
                <w:sz w:val="20"/>
                <w:szCs w:val="20"/>
              </w:rPr>
              <w:t>境外上市公司因回购、破产、解散、清算、经营期满等在境外证券市场退市而使股权激励计划终止</w:t>
            </w:r>
          </w:p>
        </w:tc>
      </w:tr>
      <w:tr w:rsidR="00A052DC" w14:paraId="6456F83F" w14:textId="77777777" w:rsidTr="00197ADB">
        <w:tc>
          <w:tcPr>
            <w:tcW w:w="675" w:type="dxa"/>
            <w:vMerge/>
            <w:shd w:val="clear" w:color="auto" w:fill="auto"/>
            <w:vAlign w:val="center"/>
          </w:tcPr>
          <w:p w14:paraId="24D90E8A" w14:textId="77777777" w:rsidR="00A052DC" w:rsidRDefault="00A052DC">
            <w:pPr>
              <w:rPr>
                <w:rFonts w:ascii="黑体" w:eastAsia="黑体"/>
                <w:b/>
                <w:bCs/>
                <w:sz w:val="20"/>
                <w:szCs w:val="20"/>
              </w:rPr>
            </w:pPr>
          </w:p>
        </w:tc>
        <w:tc>
          <w:tcPr>
            <w:tcW w:w="1985" w:type="dxa"/>
            <w:vMerge/>
            <w:vAlign w:val="center"/>
          </w:tcPr>
          <w:p w14:paraId="360F9D86" w14:textId="77777777" w:rsidR="00A052DC" w:rsidRDefault="00A052DC">
            <w:pPr>
              <w:rPr>
                <w:rFonts w:ascii="黑体" w:eastAsia="黑体"/>
                <w:b/>
                <w:bCs/>
                <w:sz w:val="20"/>
                <w:szCs w:val="20"/>
              </w:rPr>
            </w:pPr>
          </w:p>
        </w:tc>
        <w:tc>
          <w:tcPr>
            <w:tcW w:w="850" w:type="dxa"/>
            <w:vAlign w:val="center"/>
          </w:tcPr>
          <w:p w14:paraId="101AEBE8" w14:textId="77777777" w:rsidR="00881462" w:rsidRDefault="009F0A60">
            <w:pPr>
              <w:jc w:val="center"/>
              <w:rPr>
                <w:rFonts w:ascii="黑体" w:eastAsia="黑体"/>
                <w:sz w:val="20"/>
                <w:szCs w:val="20"/>
              </w:rPr>
            </w:pPr>
            <w:r>
              <w:rPr>
                <w:rFonts w:ascii="黑体" w:eastAsia="黑体" w:hint="eastAsia"/>
                <w:sz w:val="20"/>
                <w:szCs w:val="20"/>
              </w:rPr>
              <w:t>1302</w:t>
            </w:r>
          </w:p>
        </w:tc>
        <w:tc>
          <w:tcPr>
            <w:tcW w:w="5018" w:type="dxa"/>
            <w:shd w:val="clear" w:color="auto" w:fill="auto"/>
            <w:vAlign w:val="center"/>
          </w:tcPr>
          <w:p w14:paraId="73D8EF08" w14:textId="77777777" w:rsidR="00A052DC" w:rsidRDefault="009F0A60">
            <w:pPr>
              <w:rPr>
                <w:rFonts w:ascii="黑体" w:eastAsia="黑体"/>
                <w:sz w:val="20"/>
                <w:szCs w:val="20"/>
              </w:rPr>
            </w:pPr>
            <w:r>
              <w:rPr>
                <w:rFonts w:ascii="黑体" w:eastAsia="黑体" w:hint="eastAsia"/>
                <w:sz w:val="20"/>
                <w:szCs w:val="20"/>
              </w:rPr>
              <w:t>境内公司因并购重组等重大事项而使股权激励计划终止</w:t>
            </w:r>
          </w:p>
        </w:tc>
      </w:tr>
      <w:tr w:rsidR="00A052DC" w14:paraId="055955C2" w14:textId="77777777" w:rsidTr="00197ADB">
        <w:tc>
          <w:tcPr>
            <w:tcW w:w="675" w:type="dxa"/>
            <w:vMerge/>
            <w:shd w:val="clear" w:color="auto" w:fill="auto"/>
            <w:vAlign w:val="center"/>
          </w:tcPr>
          <w:p w14:paraId="777E69EA" w14:textId="77777777" w:rsidR="00A052DC" w:rsidRDefault="00A052DC">
            <w:pPr>
              <w:rPr>
                <w:rFonts w:ascii="黑体" w:eastAsia="黑体"/>
                <w:b/>
                <w:bCs/>
                <w:sz w:val="20"/>
                <w:szCs w:val="20"/>
              </w:rPr>
            </w:pPr>
          </w:p>
        </w:tc>
        <w:tc>
          <w:tcPr>
            <w:tcW w:w="1985" w:type="dxa"/>
            <w:vMerge/>
            <w:vAlign w:val="center"/>
          </w:tcPr>
          <w:p w14:paraId="47B23ED4" w14:textId="77777777" w:rsidR="00A052DC" w:rsidRDefault="00A052DC">
            <w:pPr>
              <w:rPr>
                <w:rFonts w:ascii="黑体" w:eastAsia="黑体"/>
                <w:b/>
                <w:bCs/>
                <w:sz w:val="20"/>
                <w:szCs w:val="20"/>
              </w:rPr>
            </w:pPr>
          </w:p>
        </w:tc>
        <w:tc>
          <w:tcPr>
            <w:tcW w:w="850" w:type="dxa"/>
            <w:vAlign w:val="center"/>
          </w:tcPr>
          <w:p w14:paraId="1C211892" w14:textId="77777777" w:rsidR="00881462" w:rsidRDefault="009F0A60">
            <w:pPr>
              <w:jc w:val="center"/>
              <w:rPr>
                <w:rFonts w:ascii="黑体" w:eastAsia="黑体"/>
                <w:sz w:val="20"/>
                <w:szCs w:val="20"/>
              </w:rPr>
            </w:pPr>
            <w:r>
              <w:rPr>
                <w:rFonts w:ascii="黑体" w:eastAsia="黑体" w:hint="eastAsia"/>
                <w:sz w:val="20"/>
                <w:szCs w:val="20"/>
              </w:rPr>
              <w:t>1303</w:t>
            </w:r>
          </w:p>
        </w:tc>
        <w:tc>
          <w:tcPr>
            <w:tcW w:w="5018" w:type="dxa"/>
            <w:shd w:val="clear" w:color="auto" w:fill="auto"/>
            <w:vAlign w:val="center"/>
          </w:tcPr>
          <w:p w14:paraId="3CB84C71" w14:textId="77777777" w:rsidR="00A052DC" w:rsidRDefault="009F0A60">
            <w:pPr>
              <w:rPr>
                <w:rFonts w:ascii="黑体" w:eastAsia="黑体"/>
                <w:sz w:val="20"/>
                <w:szCs w:val="20"/>
              </w:rPr>
            </w:pPr>
            <w:r>
              <w:rPr>
                <w:rFonts w:ascii="黑体" w:eastAsia="黑体" w:hint="eastAsia"/>
                <w:sz w:val="20"/>
                <w:szCs w:val="20"/>
              </w:rPr>
              <w:t>其他原因使股权激励计划终止</w:t>
            </w:r>
          </w:p>
        </w:tc>
      </w:tr>
    </w:tbl>
    <w:p w14:paraId="4F3BAAA0" w14:textId="77777777" w:rsidR="00A052DC" w:rsidRDefault="009F0A60">
      <w:pPr>
        <w:pStyle w:val="3"/>
        <w:ind w:left="0"/>
        <w:rPr>
          <w:rFonts w:ascii="Times New Roman" w:hAnsi="Times New Roman"/>
        </w:rPr>
      </w:pPr>
      <w:bookmarkStart w:id="4904" w:name="_Toc380356351"/>
      <w:bookmarkStart w:id="4905" w:name="_Toc91455552"/>
      <w:bookmarkStart w:id="4906" w:name="_Toc454394807"/>
      <w:bookmarkStart w:id="4907" w:name="_Toc101684577"/>
      <w:r>
        <w:rPr>
          <w:rFonts w:ascii="Times New Roman" w:hAnsi="Times New Roman" w:hint="eastAsia"/>
        </w:rPr>
        <w:t>股权激励专户关户资金处置类型</w:t>
      </w:r>
      <w:bookmarkEnd w:id="4904"/>
      <w:bookmarkEnd w:id="4905"/>
      <w:bookmarkEnd w:id="4906"/>
      <w:bookmarkEnd w:id="490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A052DC" w14:paraId="297D784E" w14:textId="77777777" w:rsidTr="00D95193">
        <w:tc>
          <w:tcPr>
            <w:tcW w:w="4261" w:type="dxa"/>
            <w:shd w:val="clear" w:color="auto" w:fill="BFBFBF" w:themeFill="background1" w:themeFillShade="BF"/>
          </w:tcPr>
          <w:p w14:paraId="3F0D89FA" w14:textId="77777777" w:rsidR="00881462" w:rsidRDefault="009F0A60">
            <w:pPr>
              <w:pStyle w:val="B1"/>
            </w:pPr>
            <w:r>
              <w:rPr>
                <w:rFonts w:hint="eastAsia"/>
              </w:rPr>
              <w:t>资金处置类型代码</w:t>
            </w:r>
          </w:p>
        </w:tc>
        <w:tc>
          <w:tcPr>
            <w:tcW w:w="4261" w:type="dxa"/>
            <w:shd w:val="clear" w:color="auto" w:fill="BFBFBF" w:themeFill="background1" w:themeFillShade="BF"/>
          </w:tcPr>
          <w:p w14:paraId="05730B19" w14:textId="77777777" w:rsidR="00881462" w:rsidRDefault="009F0A60">
            <w:pPr>
              <w:pStyle w:val="B1"/>
            </w:pPr>
            <w:r>
              <w:rPr>
                <w:rFonts w:hint="eastAsia"/>
              </w:rPr>
              <w:t>资金处置类型</w:t>
            </w:r>
          </w:p>
        </w:tc>
      </w:tr>
      <w:tr w:rsidR="00A052DC" w14:paraId="1C095DA5" w14:textId="77777777">
        <w:tc>
          <w:tcPr>
            <w:tcW w:w="4261" w:type="dxa"/>
            <w:shd w:val="clear" w:color="auto" w:fill="auto"/>
          </w:tcPr>
          <w:p w14:paraId="4D7D00FB" w14:textId="77777777" w:rsidR="00A052DC" w:rsidRDefault="009F0A60">
            <w:pPr>
              <w:pStyle w:val="B"/>
              <w:jc w:val="center"/>
            </w:pPr>
            <w:r>
              <w:t>11</w:t>
            </w:r>
          </w:p>
        </w:tc>
        <w:tc>
          <w:tcPr>
            <w:tcW w:w="4261" w:type="dxa"/>
            <w:shd w:val="clear" w:color="auto" w:fill="auto"/>
          </w:tcPr>
          <w:p w14:paraId="4F9B834F" w14:textId="77777777" w:rsidR="00A052DC" w:rsidRDefault="009F0A60">
            <w:pPr>
              <w:pStyle w:val="B"/>
            </w:pPr>
            <w:r>
              <w:rPr>
                <w:rFonts w:hint="eastAsia"/>
              </w:rPr>
              <w:t>结汇</w:t>
            </w:r>
          </w:p>
        </w:tc>
      </w:tr>
      <w:tr w:rsidR="00A052DC" w14:paraId="5DEDDD1C" w14:textId="77777777">
        <w:tc>
          <w:tcPr>
            <w:tcW w:w="4261" w:type="dxa"/>
            <w:shd w:val="clear" w:color="auto" w:fill="auto"/>
          </w:tcPr>
          <w:p w14:paraId="2E5A44A8" w14:textId="77777777" w:rsidR="00A052DC" w:rsidRDefault="009F0A60">
            <w:pPr>
              <w:pStyle w:val="B"/>
              <w:jc w:val="center"/>
            </w:pPr>
            <w:r>
              <w:t>12</w:t>
            </w:r>
          </w:p>
        </w:tc>
        <w:tc>
          <w:tcPr>
            <w:tcW w:w="4261" w:type="dxa"/>
            <w:shd w:val="clear" w:color="auto" w:fill="auto"/>
          </w:tcPr>
          <w:p w14:paraId="58089FF8" w14:textId="77777777" w:rsidR="00A052DC" w:rsidRDefault="009F0A60">
            <w:pPr>
              <w:pStyle w:val="B"/>
            </w:pPr>
            <w:r>
              <w:rPr>
                <w:rFonts w:hint="eastAsia"/>
              </w:rPr>
              <w:t>境内划转</w:t>
            </w:r>
          </w:p>
        </w:tc>
      </w:tr>
      <w:tr w:rsidR="00A052DC" w14:paraId="6A769249" w14:textId="77777777">
        <w:tc>
          <w:tcPr>
            <w:tcW w:w="4261" w:type="dxa"/>
            <w:shd w:val="clear" w:color="auto" w:fill="auto"/>
          </w:tcPr>
          <w:p w14:paraId="09486A38" w14:textId="77777777" w:rsidR="00A052DC" w:rsidRDefault="009F0A60">
            <w:pPr>
              <w:pStyle w:val="B"/>
              <w:jc w:val="center"/>
            </w:pPr>
            <w:r>
              <w:t>13</w:t>
            </w:r>
          </w:p>
        </w:tc>
        <w:tc>
          <w:tcPr>
            <w:tcW w:w="4261" w:type="dxa"/>
            <w:shd w:val="clear" w:color="auto" w:fill="auto"/>
          </w:tcPr>
          <w:p w14:paraId="3A1FA12A" w14:textId="77777777" w:rsidR="00A052DC" w:rsidRDefault="009F0A60">
            <w:pPr>
              <w:pStyle w:val="B"/>
            </w:pPr>
            <w:r>
              <w:rPr>
                <w:rFonts w:hint="eastAsia"/>
              </w:rPr>
              <w:t>汇出境外</w:t>
            </w:r>
          </w:p>
        </w:tc>
      </w:tr>
    </w:tbl>
    <w:p w14:paraId="61D6E60A" w14:textId="77777777" w:rsidR="00A052DC" w:rsidRDefault="00A052DC"/>
    <w:p w14:paraId="0C440094" w14:textId="77777777" w:rsidR="00A052DC" w:rsidRDefault="009F0A60" w:rsidP="0020251D">
      <w:pPr>
        <w:pStyle w:val="2"/>
        <w:rPr>
          <w:rFonts w:ascii="Times New Roman" w:hAnsi="Times New Roman"/>
        </w:rPr>
      </w:pPr>
      <w:bookmarkStart w:id="4908" w:name="_Toc452557430"/>
      <w:bookmarkStart w:id="4909" w:name="_Toc452562114"/>
      <w:bookmarkStart w:id="4910" w:name="_Toc454279241"/>
      <w:bookmarkStart w:id="4911" w:name="_Toc454288887"/>
      <w:bookmarkStart w:id="4912" w:name="_Toc454385813"/>
      <w:bookmarkStart w:id="4913" w:name="_Toc454394808"/>
      <w:bookmarkStart w:id="4914" w:name="_Toc454402732"/>
      <w:bookmarkStart w:id="4915" w:name="_Toc454462508"/>
      <w:bookmarkStart w:id="4916" w:name="_Toc454468231"/>
      <w:bookmarkStart w:id="4917" w:name="_Toc454783608"/>
      <w:bookmarkStart w:id="4918" w:name="_Toc455156250"/>
      <w:bookmarkStart w:id="4919" w:name="_Toc455159978"/>
      <w:bookmarkStart w:id="4920" w:name="_Toc455167429"/>
      <w:bookmarkStart w:id="4921" w:name="_Toc455171154"/>
      <w:bookmarkStart w:id="4922" w:name="_Toc452557431"/>
      <w:bookmarkStart w:id="4923" w:name="_Toc452562115"/>
      <w:bookmarkStart w:id="4924" w:name="_Toc454279242"/>
      <w:bookmarkStart w:id="4925" w:name="_Toc454288888"/>
      <w:bookmarkStart w:id="4926" w:name="_Toc454385814"/>
      <w:bookmarkStart w:id="4927" w:name="_Toc454394809"/>
      <w:bookmarkStart w:id="4928" w:name="_Toc454402733"/>
      <w:bookmarkStart w:id="4929" w:name="_Toc454462509"/>
      <w:bookmarkStart w:id="4930" w:name="_Toc454468232"/>
      <w:bookmarkStart w:id="4931" w:name="_Toc454783609"/>
      <w:bookmarkStart w:id="4932" w:name="_Toc455156251"/>
      <w:bookmarkStart w:id="4933" w:name="_Toc455159979"/>
      <w:bookmarkStart w:id="4934" w:name="_Toc455167430"/>
      <w:bookmarkStart w:id="4935" w:name="_Toc455171155"/>
      <w:bookmarkStart w:id="4936" w:name="_Toc452557459"/>
      <w:bookmarkStart w:id="4937" w:name="_Toc452562143"/>
      <w:bookmarkStart w:id="4938" w:name="_Toc454279270"/>
      <w:bookmarkStart w:id="4939" w:name="_Toc454288916"/>
      <w:bookmarkStart w:id="4940" w:name="_Toc454385842"/>
      <w:bookmarkStart w:id="4941" w:name="_Toc454394837"/>
      <w:bookmarkStart w:id="4942" w:name="_Toc454402761"/>
      <w:bookmarkStart w:id="4943" w:name="_Toc454462537"/>
      <w:bookmarkStart w:id="4944" w:name="_Toc454468260"/>
      <w:bookmarkStart w:id="4945" w:name="_Toc454783637"/>
      <w:bookmarkStart w:id="4946" w:name="_Toc455156279"/>
      <w:bookmarkStart w:id="4947" w:name="_Toc455160007"/>
      <w:bookmarkStart w:id="4948" w:name="_Toc455167458"/>
      <w:bookmarkStart w:id="4949" w:name="_Toc455171183"/>
      <w:bookmarkStart w:id="4950" w:name="_Toc452557472"/>
      <w:bookmarkStart w:id="4951" w:name="_Toc452562156"/>
      <w:bookmarkStart w:id="4952" w:name="_Toc454279283"/>
      <w:bookmarkStart w:id="4953" w:name="_Toc454288929"/>
      <w:bookmarkStart w:id="4954" w:name="_Toc454385855"/>
      <w:bookmarkStart w:id="4955" w:name="_Toc454394850"/>
      <w:bookmarkStart w:id="4956" w:name="_Toc454402774"/>
      <w:bookmarkStart w:id="4957" w:name="_Toc454462550"/>
      <w:bookmarkStart w:id="4958" w:name="_Toc454468273"/>
      <w:bookmarkStart w:id="4959" w:name="_Toc454783650"/>
      <w:bookmarkStart w:id="4960" w:name="_Toc455156292"/>
      <w:bookmarkStart w:id="4961" w:name="_Toc455160020"/>
      <w:bookmarkStart w:id="4962" w:name="_Toc455167471"/>
      <w:bookmarkStart w:id="4963" w:name="_Toc455171196"/>
      <w:bookmarkStart w:id="4964" w:name="_Toc452557485"/>
      <w:bookmarkStart w:id="4965" w:name="_Toc452562169"/>
      <w:bookmarkStart w:id="4966" w:name="_Toc454279296"/>
      <w:bookmarkStart w:id="4967" w:name="_Toc454288942"/>
      <w:bookmarkStart w:id="4968" w:name="_Toc454385868"/>
      <w:bookmarkStart w:id="4969" w:name="_Toc454394863"/>
      <w:bookmarkStart w:id="4970" w:name="_Toc454402787"/>
      <w:bookmarkStart w:id="4971" w:name="_Toc454462563"/>
      <w:bookmarkStart w:id="4972" w:name="_Toc454468286"/>
      <w:bookmarkStart w:id="4973" w:name="_Toc454783663"/>
      <w:bookmarkStart w:id="4974" w:name="_Toc455156305"/>
      <w:bookmarkStart w:id="4975" w:name="_Toc455160033"/>
      <w:bookmarkStart w:id="4976" w:name="_Toc455167484"/>
      <w:bookmarkStart w:id="4977" w:name="_Toc455171209"/>
      <w:bookmarkStart w:id="4978" w:name="_Toc452557486"/>
      <w:bookmarkStart w:id="4979" w:name="_Toc452562170"/>
      <w:bookmarkStart w:id="4980" w:name="_Toc454279297"/>
      <w:bookmarkStart w:id="4981" w:name="_Toc454288943"/>
      <w:bookmarkStart w:id="4982" w:name="_Toc454385869"/>
      <w:bookmarkStart w:id="4983" w:name="_Toc454394864"/>
      <w:bookmarkStart w:id="4984" w:name="_Toc454402788"/>
      <w:bookmarkStart w:id="4985" w:name="_Toc454462564"/>
      <w:bookmarkStart w:id="4986" w:name="_Toc454468287"/>
      <w:bookmarkStart w:id="4987" w:name="_Toc454783664"/>
      <w:bookmarkStart w:id="4988" w:name="_Toc455156306"/>
      <w:bookmarkStart w:id="4989" w:name="_Toc455160034"/>
      <w:bookmarkStart w:id="4990" w:name="_Toc455167485"/>
      <w:bookmarkStart w:id="4991" w:name="_Toc455171210"/>
      <w:bookmarkStart w:id="4992" w:name="_Toc452557496"/>
      <w:bookmarkStart w:id="4993" w:name="_Toc452562180"/>
      <w:bookmarkStart w:id="4994" w:name="_Toc454279307"/>
      <w:bookmarkStart w:id="4995" w:name="_Toc454288953"/>
      <w:bookmarkStart w:id="4996" w:name="_Toc454385879"/>
      <w:bookmarkStart w:id="4997" w:name="_Toc454394874"/>
      <w:bookmarkStart w:id="4998" w:name="_Toc454402798"/>
      <w:bookmarkStart w:id="4999" w:name="_Toc454462574"/>
      <w:bookmarkStart w:id="5000" w:name="_Toc454468297"/>
      <w:bookmarkStart w:id="5001" w:name="_Toc454783674"/>
      <w:bookmarkStart w:id="5002" w:name="_Toc455156316"/>
      <w:bookmarkStart w:id="5003" w:name="_Toc455160044"/>
      <w:bookmarkStart w:id="5004" w:name="_Toc455167495"/>
      <w:bookmarkStart w:id="5005" w:name="_Toc455171220"/>
      <w:bookmarkStart w:id="5006" w:name="_Toc380356365"/>
      <w:bookmarkStart w:id="5007" w:name="_Toc454394896"/>
      <w:bookmarkStart w:id="5008" w:name="_Toc91455553"/>
      <w:bookmarkStart w:id="5009" w:name="_Toc101684578"/>
      <w:bookmarkEnd w:id="4864"/>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r>
        <w:rPr>
          <w:rFonts w:ascii="Times New Roman" w:hAnsi="Times New Roman" w:hint="eastAsia"/>
        </w:rPr>
        <w:t>对外金融资产负债及交易数据代码表</w:t>
      </w:r>
      <w:bookmarkEnd w:id="5006"/>
      <w:bookmarkEnd w:id="5007"/>
      <w:bookmarkEnd w:id="5008"/>
      <w:bookmarkEnd w:id="5009"/>
    </w:p>
    <w:p w14:paraId="27D6D34E" w14:textId="77777777" w:rsidR="00A052DC" w:rsidRDefault="009F0A60" w:rsidP="0020251D">
      <w:pPr>
        <w:pStyle w:val="3"/>
        <w:ind w:left="0"/>
        <w:rPr>
          <w:rFonts w:ascii="Times New Roman" w:hAnsi="Times New Roman"/>
        </w:rPr>
      </w:pPr>
      <w:bookmarkStart w:id="5010" w:name="_Toc91455554"/>
      <w:bookmarkStart w:id="5011" w:name="_Toc454394897"/>
      <w:bookmarkStart w:id="5012" w:name="_Toc101684579"/>
      <w:bookmarkStart w:id="5013" w:name="_Toc380356333"/>
      <w:bookmarkStart w:id="5014" w:name="_Toc380356329"/>
      <w:r>
        <w:rPr>
          <w:rFonts w:ascii="Times New Roman" w:hAnsi="Times New Roman" w:hint="eastAsia"/>
        </w:rPr>
        <w:t>对外金融资产负债及交易数据表号和表名</w:t>
      </w:r>
      <w:bookmarkEnd w:id="5010"/>
      <w:bookmarkEnd w:id="5011"/>
      <w:bookmarkEnd w:id="5012"/>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2"/>
        <w:gridCol w:w="6996"/>
      </w:tblGrid>
      <w:tr w:rsidR="00A052DC" w14:paraId="25FFCC2C" w14:textId="77777777" w:rsidTr="00D95193">
        <w:trPr>
          <w:cantSplit/>
          <w:tblHeader/>
        </w:trPr>
        <w:tc>
          <w:tcPr>
            <w:tcW w:w="1432" w:type="dxa"/>
            <w:shd w:val="clear" w:color="auto" w:fill="BFBFBF" w:themeFill="background1" w:themeFillShade="BF"/>
            <w:noWrap/>
            <w:vAlign w:val="center"/>
          </w:tcPr>
          <w:p w14:paraId="7775313F" w14:textId="77777777" w:rsidR="00881462" w:rsidRDefault="009F0A60">
            <w:pPr>
              <w:pStyle w:val="B1"/>
            </w:pPr>
            <w:r>
              <w:rPr>
                <w:rFonts w:hint="eastAsia"/>
              </w:rPr>
              <w:t>表号</w:t>
            </w:r>
          </w:p>
        </w:tc>
        <w:tc>
          <w:tcPr>
            <w:tcW w:w="6996" w:type="dxa"/>
            <w:shd w:val="clear" w:color="auto" w:fill="BFBFBF" w:themeFill="background1" w:themeFillShade="BF"/>
            <w:noWrap/>
            <w:vAlign w:val="center"/>
          </w:tcPr>
          <w:p w14:paraId="65EF3CE3" w14:textId="77777777" w:rsidR="00881462" w:rsidRDefault="009F0A60">
            <w:pPr>
              <w:pStyle w:val="B1"/>
            </w:pPr>
            <w:r>
              <w:rPr>
                <w:rFonts w:hint="eastAsia"/>
              </w:rPr>
              <w:t>表名</w:t>
            </w:r>
          </w:p>
        </w:tc>
      </w:tr>
      <w:tr w:rsidR="00A052DC" w14:paraId="2A401AC7" w14:textId="77777777">
        <w:trPr>
          <w:cantSplit/>
        </w:trPr>
        <w:tc>
          <w:tcPr>
            <w:tcW w:w="1432" w:type="dxa"/>
            <w:shd w:val="clear" w:color="auto" w:fill="auto"/>
            <w:noWrap/>
            <w:vAlign w:val="center"/>
          </w:tcPr>
          <w:p w14:paraId="6148898D" w14:textId="77777777" w:rsidR="00A052DC" w:rsidRDefault="009F0A60">
            <w:pPr>
              <w:widowControl/>
              <w:jc w:val="center"/>
              <w:rPr>
                <w:rFonts w:ascii="黑体" w:eastAsia="黑体" w:hAnsi="宋体" w:cs="宋体"/>
                <w:kern w:val="0"/>
                <w:sz w:val="20"/>
                <w:szCs w:val="20"/>
              </w:rPr>
            </w:pPr>
            <w:r>
              <w:rPr>
                <w:rFonts w:ascii="黑体" w:eastAsia="黑体" w:hAnsi="宋体" w:cs="宋体"/>
                <w:kern w:val="0"/>
                <w:sz w:val="20"/>
                <w:szCs w:val="20"/>
              </w:rPr>
              <w:t>Z01</w:t>
            </w:r>
          </w:p>
        </w:tc>
        <w:tc>
          <w:tcPr>
            <w:tcW w:w="6996" w:type="dxa"/>
            <w:shd w:val="clear" w:color="auto" w:fill="auto"/>
            <w:noWrap/>
            <w:vAlign w:val="center"/>
          </w:tcPr>
          <w:p w14:paraId="36D1D0B2" w14:textId="77777777" w:rsidR="00A052DC" w:rsidRDefault="009F0A60">
            <w:pPr>
              <w:widowControl/>
              <w:jc w:val="left"/>
              <w:rPr>
                <w:rFonts w:ascii="黑体" w:eastAsia="黑体" w:hAnsi="宋体" w:cs="宋体"/>
                <w:kern w:val="0"/>
                <w:sz w:val="20"/>
                <w:szCs w:val="20"/>
              </w:rPr>
            </w:pPr>
            <w:r>
              <w:rPr>
                <w:rFonts w:ascii="黑体" w:eastAsia="黑体" w:hAnsi="宋体" w:cs="宋体"/>
                <w:kern w:val="0"/>
                <w:sz w:val="20"/>
                <w:szCs w:val="20"/>
              </w:rPr>
              <w:t>Z01表</w:t>
            </w:r>
            <w:r>
              <w:rPr>
                <w:rFonts w:ascii="黑体" w:eastAsia="黑体" w:hAnsi="宋体" w:cs="宋体" w:hint="eastAsia"/>
                <w:kern w:val="0"/>
                <w:sz w:val="20"/>
                <w:szCs w:val="20"/>
              </w:rPr>
              <w:t>单位基本情况信息</w:t>
            </w:r>
          </w:p>
        </w:tc>
      </w:tr>
      <w:tr w:rsidR="00A052DC" w14:paraId="0F534FD5" w14:textId="77777777">
        <w:trPr>
          <w:cantSplit/>
        </w:trPr>
        <w:tc>
          <w:tcPr>
            <w:tcW w:w="1432" w:type="dxa"/>
            <w:shd w:val="clear" w:color="auto" w:fill="auto"/>
            <w:noWrap/>
            <w:vAlign w:val="center"/>
          </w:tcPr>
          <w:p w14:paraId="784FFD29" w14:textId="77777777" w:rsidR="00A052DC" w:rsidRDefault="009F0A60">
            <w:pPr>
              <w:widowControl/>
              <w:jc w:val="center"/>
              <w:rPr>
                <w:rFonts w:ascii="黑体" w:eastAsia="黑体" w:hAnsi="宋体" w:cs="宋体"/>
                <w:kern w:val="0"/>
                <w:sz w:val="20"/>
                <w:szCs w:val="20"/>
              </w:rPr>
            </w:pPr>
            <w:r>
              <w:rPr>
                <w:rFonts w:ascii="黑体" w:eastAsia="黑体" w:hAnsi="宋体" w:cs="宋体"/>
                <w:kern w:val="0"/>
                <w:sz w:val="20"/>
                <w:szCs w:val="20"/>
              </w:rPr>
              <w:t>Z02</w:t>
            </w:r>
          </w:p>
        </w:tc>
        <w:tc>
          <w:tcPr>
            <w:tcW w:w="6996" w:type="dxa"/>
            <w:shd w:val="clear" w:color="auto" w:fill="auto"/>
            <w:noWrap/>
            <w:vAlign w:val="center"/>
          </w:tcPr>
          <w:p w14:paraId="2FB008EE" w14:textId="77777777" w:rsidR="00A052DC" w:rsidRDefault="009F0A60">
            <w:pPr>
              <w:widowControl/>
              <w:jc w:val="left"/>
              <w:rPr>
                <w:rFonts w:ascii="黑体" w:eastAsia="黑体" w:hAnsi="宋体" w:cs="宋体"/>
                <w:kern w:val="0"/>
                <w:sz w:val="20"/>
                <w:szCs w:val="20"/>
              </w:rPr>
            </w:pPr>
            <w:r>
              <w:rPr>
                <w:rFonts w:ascii="黑体" w:eastAsia="黑体" w:hAnsi="宋体" w:cs="宋体"/>
                <w:kern w:val="0"/>
                <w:sz w:val="20"/>
                <w:szCs w:val="20"/>
              </w:rPr>
              <w:t>Z02表</w:t>
            </w:r>
            <w:r>
              <w:rPr>
                <w:rFonts w:ascii="黑体" w:eastAsia="黑体" w:hAnsi="宋体" w:cs="宋体" w:hint="eastAsia"/>
                <w:kern w:val="0"/>
                <w:sz w:val="20"/>
                <w:szCs w:val="20"/>
              </w:rPr>
              <w:t>业务概览及联系方式</w:t>
            </w:r>
          </w:p>
        </w:tc>
      </w:tr>
      <w:tr w:rsidR="00A052DC" w14:paraId="499A740D" w14:textId="77777777">
        <w:trPr>
          <w:cantSplit/>
        </w:trPr>
        <w:tc>
          <w:tcPr>
            <w:tcW w:w="1432" w:type="dxa"/>
            <w:shd w:val="clear" w:color="auto" w:fill="auto"/>
            <w:noWrap/>
            <w:vAlign w:val="center"/>
          </w:tcPr>
          <w:p w14:paraId="0A2A48CB" w14:textId="77777777" w:rsidR="00A052DC" w:rsidRDefault="009F0A60">
            <w:pPr>
              <w:widowControl/>
              <w:jc w:val="center"/>
              <w:rPr>
                <w:rFonts w:ascii="黑体" w:eastAsia="黑体" w:hAnsi="宋体" w:cs="宋体"/>
                <w:kern w:val="0"/>
                <w:sz w:val="20"/>
                <w:szCs w:val="20"/>
              </w:rPr>
            </w:pPr>
            <w:r>
              <w:rPr>
                <w:rFonts w:ascii="黑体" w:eastAsia="黑体" w:hAnsi="宋体" w:cs="宋体"/>
                <w:kern w:val="0"/>
                <w:sz w:val="20"/>
                <w:szCs w:val="20"/>
              </w:rPr>
              <w:t>Z03</w:t>
            </w:r>
          </w:p>
        </w:tc>
        <w:tc>
          <w:tcPr>
            <w:tcW w:w="6996" w:type="dxa"/>
            <w:shd w:val="clear" w:color="auto" w:fill="auto"/>
            <w:noWrap/>
            <w:vAlign w:val="center"/>
          </w:tcPr>
          <w:p w14:paraId="13373FE2" w14:textId="77777777" w:rsidR="00A052DC" w:rsidRDefault="009F0A60">
            <w:pPr>
              <w:widowControl/>
              <w:jc w:val="left"/>
              <w:rPr>
                <w:rFonts w:ascii="黑体" w:eastAsia="黑体" w:hAnsi="宋体" w:cs="宋体"/>
                <w:kern w:val="0"/>
                <w:sz w:val="20"/>
                <w:szCs w:val="20"/>
              </w:rPr>
            </w:pPr>
            <w:r>
              <w:rPr>
                <w:rFonts w:ascii="黑体" w:eastAsia="黑体" w:hAnsi="宋体" w:cs="宋体"/>
                <w:kern w:val="0"/>
                <w:sz w:val="20"/>
                <w:szCs w:val="20"/>
              </w:rPr>
              <w:t>Z03表投资关系</w:t>
            </w:r>
            <w:r>
              <w:rPr>
                <w:rFonts w:ascii="黑体" w:eastAsia="黑体" w:hAnsi="宋体" w:cs="宋体" w:hint="eastAsia"/>
                <w:kern w:val="0"/>
                <w:sz w:val="20"/>
                <w:szCs w:val="20"/>
              </w:rPr>
              <w:t>（组织架构）</w:t>
            </w:r>
          </w:p>
        </w:tc>
      </w:tr>
      <w:tr w:rsidR="00A052DC" w14:paraId="602AF112" w14:textId="77777777">
        <w:trPr>
          <w:cantSplit/>
        </w:trPr>
        <w:tc>
          <w:tcPr>
            <w:tcW w:w="1432" w:type="dxa"/>
            <w:shd w:val="clear" w:color="auto" w:fill="auto"/>
            <w:noWrap/>
            <w:vAlign w:val="center"/>
          </w:tcPr>
          <w:p w14:paraId="45630458" w14:textId="77777777" w:rsidR="00A052DC" w:rsidRDefault="009F0A60">
            <w:pPr>
              <w:widowControl/>
              <w:jc w:val="center"/>
              <w:rPr>
                <w:rFonts w:ascii="黑体" w:eastAsia="黑体" w:hAnsi="宋体" w:cs="宋体"/>
                <w:kern w:val="0"/>
                <w:sz w:val="20"/>
                <w:szCs w:val="20"/>
              </w:rPr>
            </w:pPr>
            <w:r>
              <w:rPr>
                <w:rFonts w:ascii="黑体" w:eastAsia="黑体" w:hAnsi="宋体" w:cs="宋体"/>
                <w:kern w:val="0"/>
                <w:sz w:val="20"/>
                <w:szCs w:val="20"/>
              </w:rPr>
              <w:t>A01-1</w:t>
            </w:r>
          </w:p>
        </w:tc>
        <w:tc>
          <w:tcPr>
            <w:tcW w:w="6996" w:type="dxa"/>
            <w:shd w:val="clear" w:color="auto" w:fill="auto"/>
            <w:noWrap/>
            <w:vAlign w:val="center"/>
          </w:tcPr>
          <w:p w14:paraId="02AA73D9" w14:textId="77777777" w:rsidR="00A052DC" w:rsidRDefault="009F0A60">
            <w:pPr>
              <w:widowControl/>
              <w:jc w:val="left"/>
              <w:rPr>
                <w:rFonts w:ascii="黑体" w:eastAsia="黑体" w:hAnsi="宋体" w:cs="宋体"/>
                <w:kern w:val="0"/>
                <w:sz w:val="20"/>
                <w:szCs w:val="20"/>
              </w:rPr>
            </w:pPr>
            <w:r>
              <w:rPr>
                <w:rFonts w:ascii="黑体" w:eastAsia="黑体" w:hAnsi="宋体" w:cs="宋体"/>
                <w:kern w:val="0"/>
                <w:sz w:val="20"/>
                <w:szCs w:val="20"/>
              </w:rPr>
              <w:t>A01-1表对外直接投资（</w:t>
            </w:r>
            <w:r>
              <w:rPr>
                <w:rFonts w:ascii="黑体" w:eastAsia="黑体" w:hAnsi="宋体" w:cs="宋体" w:hint="eastAsia"/>
                <w:kern w:val="0"/>
                <w:sz w:val="20"/>
                <w:szCs w:val="20"/>
              </w:rPr>
              <w:t>资产负债、利润及市值）</w:t>
            </w:r>
          </w:p>
        </w:tc>
      </w:tr>
      <w:tr w:rsidR="00A052DC" w14:paraId="0165E1EB" w14:textId="77777777">
        <w:trPr>
          <w:cantSplit/>
        </w:trPr>
        <w:tc>
          <w:tcPr>
            <w:tcW w:w="1432" w:type="dxa"/>
            <w:shd w:val="clear" w:color="auto" w:fill="auto"/>
            <w:noWrap/>
            <w:vAlign w:val="center"/>
          </w:tcPr>
          <w:p w14:paraId="6A6F23F1" w14:textId="77777777" w:rsidR="00A052DC" w:rsidRDefault="009F0A60">
            <w:pPr>
              <w:widowControl/>
              <w:jc w:val="center"/>
              <w:rPr>
                <w:rFonts w:ascii="黑体" w:eastAsia="黑体" w:hAnsi="宋体" w:cs="宋体"/>
                <w:kern w:val="0"/>
                <w:sz w:val="20"/>
                <w:szCs w:val="20"/>
              </w:rPr>
            </w:pPr>
            <w:r>
              <w:rPr>
                <w:rFonts w:ascii="黑体" w:eastAsia="黑体" w:hAnsi="宋体" w:cs="宋体"/>
                <w:kern w:val="0"/>
                <w:sz w:val="20"/>
                <w:szCs w:val="20"/>
              </w:rPr>
              <w:t>A01-2</w:t>
            </w:r>
          </w:p>
        </w:tc>
        <w:tc>
          <w:tcPr>
            <w:tcW w:w="6996" w:type="dxa"/>
            <w:shd w:val="clear" w:color="auto" w:fill="auto"/>
            <w:noWrap/>
            <w:vAlign w:val="center"/>
          </w:tcPr>
          <w:p w14:paraId="44C2D4AE" w14:textId="77777777" w:rsidR="00A052DC" w:rsidRDefault="009F0A60">
            <w:pPr>
              <w:widowControl/>
              <w:jc w:val="left"/>
              <w:rPr>
                <w:rFonts w:ascii="黑体" w:eastAsia="黑体" w:hAnsi="宋体" w:cs="宋体"/>
                <w:kern w:val="0"/>
                <w:sz w:val="20"/>
                <w:szCs w:val="20"/>
              </w:rPr>
            </w:pPr>
            <w:r>
              <w:rPr>
                <w:rFonts w:ascii="黑体" w:eastAsia="黑体" w:hAnsi="宋体" w:cs="宋体"/>
                <w:kern w:val="0"/>
                <w:sz w:val="20"/>
                <w:szCs w:val="20"/>
              </w:rPr>
              <w:t>A01-2表对外直接投资（流量）</w:t>
            </w:r>
          </w:p>
        </w:tc>
      </w:tr>
      <w:tr w:rsidR="00A052DC" w14:paraId="30FCDB5C" w14:textId="77777777">
        <w:trPr>
          <w:cantSplit/>
        </w:trPr>
        <w:tc>
          <w:tcPr>
            <w:tcW w:w="1432" w:type="dxa"/>
            <w:shd w:val="clear" w:color="auto" w:fill="auto"/>
            <w:noWrap/>
            <w:vAlign w:val="center"/>
          </w:tcPr>
          <w:p w14:paraId="3C98AB85" w14:textId="77777777" w:rsidR="00A052DC" w:rsidRDefault="009F0A60">
            <w:pPr>
              <w:widowControl/>
              <w:jc w:val="center"/>
              <w:rPr>
                <w:rFonts w:ascii="黑体" w:eastAsia="黑体" w:hAnsi="宋体" w:cs="宋体"/>
                <w:kern w:val="0"/>
                <w:sz w:val="20"/>
                <w:szCs w:val="20"/>
              </w:rPr>
            </w:pPr>
            <w:r>
              <w:rPr>
                <w:rFonts w:ascii="黑体" w:eastAsia="黑体" w:hAnsi="宋体" w:cs="宋体"/>
                <w:kern w:val="0"/>
                <w:sz w:val="20"/>
                <w:szCs w:val="20"/>
              </w:rPr>
              <w:t>A02-1</w:t>
            </w:r>
          </w:p>
        </w:tc>
        <w:tc>
          <w:tcPr>
            <w:tcW w:w="6996" w:type="dxa"/>
            <w:shd w:val="clear" w:color="auto" w:fill="auto"/>
            <w:noWrap/>
            <w:vAlign w:val="center"/>
          </w:tcPr>
          <w:p w14:paraId="47F8DB2B" w14:textId="77777777" w:rsidR="00A052DC" w:rsidRDefault="009F0A60">
            <w:pPr>
              <w:widowControl/>
              <w:jc w:val="left"/>
              <w:rPr>
                <w:rFonts w:ascii="黑体" w:eastAsia="黑体" w:hAnsi="宋体" w:cs="宋体"/>
                <w:kern w:val="0"/>
                <w:sz w:val="20"/>
                <w:szCs w:val="20"/>
              </w:rPr>
            </w:pPr>
            <w:r>
              <w:rPr>
                <w:rFonts w:ascii="黑体" w:eastAsia="黑体" w:hAnsi="宋体" w:cs="宋体"/>
                <w:kern w:val="0"/>
                <w:sz w:val="20"/>
                <w:szCs w:val="20"/>
              </w:rPr>
              <w:t>A02-1表来华直接投资（</w:t>
            </w:r>
            <w:r>
              <w:rPr>
                <w:rFonts w:ascii="黑体" w:eastAsia="黑体" w:hAnsi="宋体" w:cs="宋体" w:hint="eastAsia"/>
                <w:kern w:val="0"/>
                <w:sz w:val="20"/>
                <w:szCs w:val="20"/>
              </w:rPr>
              <w:t>资产负债及利润</w:t>
            </w:r>
            <w:r>
              <w:rPr>
                <w:rFonts w:ascii="黑体" w:eastAsia="黑体" w:hAnsi="宋体" w:cs="宋体"/>
                <w:kern w:val="0"/>
                <w:sz w:val="20"/>
                <w:szCs w:val="20"/>
              </w:rPr>
              <w:t>）</w:t>
            </w:r>
          </w:p>
        </w:tc>
      </w:tr>
      <w:tr w:rsidR="00A052DC" w14:paraId="149F726A" w14:textId="77777777">
        <w:trPr>
          <w:cantSplit/>
        </w:trPr>
        <w:tc>
          <w:tcPr>
            <w:tcW w:w="1432" w:type="dxa"/>
            <w:shd w:val="clear" w:color="auto" w:fill="auto"/>
            <w:noWrap/>
            <w:vAlign w:val="center"/>
          </w:tcPr>
          <w:p w14:paraId="6F7830FC" w14:textId="77777777" w:rsidR="00A052DC" w:rsidRDefault="009F0A60">
            <w:pPr>
              <w:widowControl/>
              <w:jc w:val="center"/>
              <w:rPr>
                <w:rFonts w:ascii="黑体" w:eastAsia="黑体" w:hAnsi="宋体" w:cs="宋体"/>
                <w:kern w:val="0"/>
                <w:sz w:val="20"/>
                <w:szCs w:val="20"/>
              </w:rPr>
            </w:pPr>
            <w:r>
              <w:rPr>
                <w:rFonts w:ascii="黑体" w:eastAsia="黑体" w:hAnsi="宋体" w:cs="宋体"/>
                <w:kern w:val="0"/>
                <w:sz w:val="20"/>
                <w:szCs w:val="20"/>
              </w:rPr>
              <w:t>A02-2</w:t>
            </w:r>
          </w:p>
        </w:tc>
        <w:tc>
          <w:tcPr>
            <w:tcW w:w="6996" w:type="dxa"/>
            <w:shd w:val="clear" w:color="auto" w:fill="auto"/>
            <w:noWrap/>
            <w:vAlign w:val="center"/>
          </w:tcPr>
          <w:p w14:paraId="70FC2835" w14:textId="77777777" w:rsidR="00A052DC" w:rsidRDefault="009F0A60">
            <w:pPr>
              <w:widowControl/>
              <w:jc w:val="left"/>
              <w:rPr>
                <w:rFonts w:ascii="黑体" w:eastAsia="黑体" w:hAnsi="宋体" w:cs="宋体"/>
                <w:kern w:val="0"/>
                <w:sz w:val="20"/>
                <w:szCs w:val="20"/>
              </w:rPr>
            </w:pPr>
            <w:r>
              <w:rPr>
                <w:rFonts w:ascii="黑体" w:eastAsia="黑体" w:hAnsi="宋体" w:cs="宋体"/>
                <w:kern w:val="0"/>
                <w:sz w:val="20"/>
                <w:szCs w:val="20"/>
              </w:rPr>
              <w:t>A02-2表</w:t>
            </w:r>
            <w:r>
              <w:rPr>
                <w:rFonts w:ascii="黑体" w:eastAsia="黑体" w:hAnsi="宋体" w:cs="宋体" w:hint="eastAsia"/>
                <w:kern w:val="0"/>
                <w:sz w:val="20"/>
                <w:szCs w:val="20"/>
              </w:rPr>
              <w:t>来华直接投资（境外投资者持股情况）</w:t>
            </w:r>
          </w:p>
        </w:tc>
      </w:tr>
      <w:tr w:rsidR="00A052DC" w14:paraId="23DDF9B8" w14:textId="77777777">
        <w:trPr>
          <w:cantSplit/>
        </w:trPr>
        <w:tc>
          <w:tcPr>
            <w:tcW w:w="1432" w:type="dxa"/>
            <w:shd w:val="clear" w:color="auto" w:fill="auto"/>
            <w:noWrap/>
            <w:vAlign w:val="center"/>
          </w:tcPr>
          <w:p w14:paraId="43F51B68" w14:textId="77777777" w:rsidR="00A052DC" w:rsidRDefault="009F0A60">
            <w:pPr>
              <w:widowControl/>
              <w:jc w:val="center"/>
              <w:rPr>
                <w:rFonts w:ascii="黑体" w:eastAsia="黑体" w:hAnsi="宋体" w:cs="宋体"/>
                <w:kern w:val="0"/>
                <w:sz w:val="20"/>
                <w:szCs w:val="20"/>
              </w:rPr>
            </w:pPr>
            <w:r>
              <w:rPr>
                <w:rFonts w:ascii="黑体" w:eastAsia="黑体" w:hAnsi="宋体" w:cs="宋体"/>
                <w:kern w:val="0"/>
                <w:sz w:val="20"/>
                <w:szCs w:val="20"/>
              </w:rPr>
              <w:t>A02-3</w:t>
            </w:r>
          </w:p>
        </w:tc>
        <w:tc>
          <w:tcPr>
            <w:tcW w:w="6996" w:type="dxa"/>
            <w:shd w:val="clear" w:color="auto" w:fill="auto"/>
            <w:noWrap/>
            <w:vAlign w:val="center"/>
          </w:tcPr>
          <w:p w14:paraId="2D2948E3" w14:textId="77777777" w:rsidR="00A052DC" w:rsidRDefault="009F0A60">
            <w:pPr>
              <w:widowControl/>
              <w:jc w:val="left"/>
              <w:rPr>
                <w:rFonts w:ascii="黑体" w:eastAsia="黑体" w:hAnsi="宋体" w:cs="宋体"/>
                <w:kern w:val="0"/>
                <w:sz w:val="20"/>
                <w:szCs w:val="20"/>
              </w:rPr>
            </w:pPr>
            <w:r>
              <w:rPr>
                <w:rFonts w:ascii="黑体" w:eastAsia="黑体" w:hAnsi="宋体" w:cs="宋体"/>
                <w:kern w:val="0"/>
                <w:sz w:val="20"/>
                <w:szCs w:val="20"/>
              </w:rPr>
              <w:t>A02-3表来华直接投资（流量）</w:t>
            </w:r>
          </w:p>
        </w:tc>
      </w:tr>
      <w:tr w:rsidR="00A052DC" w14:paraId="2EA5A90F" w14:textId="77777777">
        <w:trPr>
          <w:cantSplit/>
        </w:trPr>
        <w:tc>
          <w:tcPr>
            <w:tcW w:w="1432" w:type="dxa"/>
            <w:shd w:val="clear" w:color="auto" w:fill="auto"/>
            <w:noWrap/>
            <w:vAlign w:val="center"/>
          </w:tcPr>
          <w:p w14:paraId="15C1C5BD" w14:textId="77777777" w:rsidR="00A052DC" w:rsidRDefault="009F0A60">
            <w:pPr>
              <w:widowControl/>
              <w:jc w:val="center"/>
              <w:rPr>
                <w:rFonts w:ascii="黑体" w:eastAsia="黑体" w:hAnsi="宋体" w:cs="宋体"/>
                <w:kern w:val="0"/>
                <w:sz w:val="20"/>
                <w:szCs w:val="20"/>
              </w:rPr>
            </w:pPr>
            <w:r>
              <w:rPr>
                <w:rFonts w:ascii="黑体" w:eastAsia="黑体" w:hAnsi="宋体" w:cs="宋体"/>
                <w:kern w:val="0"/>
                <w:sz w:val="20"/>
                <w:szCs w:val="20"/>
              </w:rPr>
              <w:t>B01</w:t>
            </w:r>
          </w:p>
        </w:tc>
        <w:tc>
          <w:tcPr>
            <w:tcW w:w="6996" w:type="dxa"/>
            <w:shd w:val="clear" w:color="auto" w:fill="auto"/>
            <w:noWrap/>
            <w:vAlign w:val="center"/>
          </w:tcPr>
          <w:p w14:paraId="45CB987C" w14:textId="77777777" w:rsidR="00A052DC" w:rsidRDefault="009F0A60">
            <w:pPr>
              <w:widowControl/>
              <w:jc w:val="left"/>
              <w:rPr>
                <w:rFonts w:ascii="黑体" w:eastAsia="黑体" w:hAnsi="宋体" w:cs="宋体"/>
                <w:kern w:val="0"/>
                <w:sz w:val="20"/>
                <w:szCs w:val="20"/>
              </w:rPr>
            </w:pPr>
            <w:r>
              <w:rPr>
                <w:rFonts w:ascii="黑体" w:eastAsia="黑体" w:hAnsi="宋体" w:cs="宋体"/>
                <w:kern w:val="0"/>
                <w:sz w:val="20"/>
                <w:szCs w:val="20"/>
              </w:rPr>
              <w:t>B01表投资境外股本证券和投资基金份额（资产）</w:t>
            </w:r>
          </w:p>
        </w:tc>
      </w:tr>
      <w:tr w:rsidR="00A052DC" w14:paraId="3A88EBEA" w14:textId="77777777">
        <w:trPr>
          <w:cantSplit/>
        </w:trPr>
        <w:tc>
          <w:tcPr>
            <w:tcW w:w="1432" w:type="dxa"/>
            <w:shd w:val="clear" w:color="auto" w:fill="auto"/>
            <w:noWrap/>
            <w:vAlign w:val="center"/>
          </w:tcPr>
          <w:p w14:paraId="24538063" w14:textId="77777777" w:rsidR="00A052DC" w:rsidRDefault="009F0A60">
            <w:pPr>
              <w:widowControl/>
              <w:jc w:val="center"/>
              <w:rPr>
                <w:rFonts w:ascii="黑体" w:eastAsia="黑体" w:hAnsi="宋体" w:cs="宋体"/>
                <w:kern w:val="0"/>
                <w:sz w:val="20"/>
                <w:szCs w:val="20"/>
              </w:rPr>
            </w:pPr>
            <w:r>
              <w:rPr>
                <w:rFonts w:ascii="黑体" w:eastAsia="黑体" w:hAnsi="宋体" w:cs="宋体"/>
                <w:kern w:val="0"/>
                <w:sz w:val="20"/>
                <w:szCs w:val="20"/>
              </w:rPr>
              <w:t>B02</w:t>
            </w:r>
          </w:p>
        </w:tc>
        <w:tc>
          <w:tcPr>
            <w:tcW w:w="6996" w:type="dxa"/>
            <w:shd w:val="clear" w:color="auto" w:fill="auto"/>
            <w:noWrap/>
            <w:vAlign w:val="center"/>
          </w:tcPr>
          <w:p w14:paraId="32712AEF" w14:textId="77777777" w:rsidR="00A052DC" w:rsidRDefault="009F0A60">
            <w:pPr>
              <w:widowControl/>
              <w:jc w:val="left"/>
              <w:rPr>
                <w:rFonts w:ascii="黑体" w:eastAsia="黑体" w:hAnsi="宋体" w:cs="宋体"/>
                <w:kern w:val="0"/>
                <w:sz w:val="20"/>
                <w:szCs w:val="20"/>
              </w:rPr>
            </w:pPr>
            <w:r>
              <w:rPr>
                <w:rFonts w:ascii="黑体" w:eastAsia="黑体" w:hAnsi="宋体" w:cs="宋体"/>
                <w:kern w:val="0"/>
                <w:sz w:val="20"/>
                <w:szCs w:val="20"/>
              </w:rPr>
              <w:t>B02表投资境外债务证券（资产）</w:t>
            </w:r>
          </w:p>
        </w:tc>
      </w:tr>
      <w:tr w:rsidR="00A052DC" w14:paraId="5AE188E4" w14:textId="77777777">
        <w:trPr>
          <w:cantSplit/>
        </w:trPr>
        <w:tc>
          <w:tcPr>
            <w:tcW w:w="1432" w:type="dxa"/>
            <w:shd w:val="clear" w:color="auto" w:fill="auto"/>
            <w:noWrap/>
            <w:vAlign w:val="center"/>
          </w:tcPr>
          <w:p w14:paraId="31CF48B9" w14:textId="77777777" w:rsidR="00A052DC" w:rsidRDefault="009F0A60">
            <w:pPr>
              <w:widowControl/>
              <w:jc w:val="center"/>
              <w:rPr>
                <w:rFonts w:ascii="黑体" w:eastAsia="黑体" w:hAnsi="宋体" w:cs="宋体"/>
                <w:kern w:val="0"/>
                <w:sz w:val="20"/>
                <w:szCs w:val="20"/>
              </w:rPr>
            </w:pPr>
            <w:r>
              <w:rPr>
                <w:rFonts w:ascii="黑体" w:eastAsia="黑体" w:hAnsi="宋体" w:cs="宋体"/>
                <w:kern w:val="0"/>
                <w:sz w:val="20"/>
                <w:szCs w:val="20"/>
              </w:rPr>
              <w:t>B03</w:t>
            </w:r>
          </w:p>
        </w:tc>
        <w:tc>
          <w:tcPr>
            <w:tcW w:w="6996" w:type="dxa"/>
            <w:shd w:val="clear" w:color="auto" w:fill="auto"/>
            <w:noWrap/>
            <w:vAlign w:val="center"/>
          </w:tcPr>
          <w:p w14:paraId="7825BD71" w14:textId="77777777" w:rsidR="00A052DC" w:rsidRDefault="009F0A60">
            <w:pPr>
              <w:widowControl/>
              <w:jc w:val="left"/>
              <w:rPr>
                <w:rFonts w:ascii="黑体" w:eastAsia="黑体" w:hAnsi="宋体" w:cs="宋体"/>
                <w:kern w:val="0"/>
                <w:sz w:val="20"/>
                <w:szCs w:val="20"/>
              </w:rPr>
            </w:pPr>
            <w:r>
              <w:rPr>
                <w:rFonts w:ascii="黑体" w:eastAsia="黑体" w:hAnsi="宋体" w:cs="宋体"/>
                <w:kern w:val="0"/>
                <w:sz w:val="20"/>
                <w:szCs w:val="20"/>
              </w:rPr>
              <w:t>B03表投资非居民境内发行股本证券和债务证券</w:t>
            </w:r>
            <w:r>
              <w:rPr>
                <w:rFonts w:ascii="黑体" w:eastAsia="黑体" w:hAnsi="宋体" w:cs="宋体" w:hint="eastAsia"/>
                <w:kern w:val="0"/>
                <w:sz w:val="20"/>
                <w:szCs w:val="20"/>
              </w:rPr>
              <w:t>（资产）</w:t>
            </w:r>
          </w:p>
        </w:tc>
      </w:tr>
      <w:tr w:rsidR="00A052DC" w14:paraId="1D8B9716" w14:textId="77777777">
        <w:trPr>
          <w:cantSplit/>
        </w:trPr>
        <w:tc>
          <w:tcPr>
            <w:tcW w:w="1432" w:type="dxa"/>
            <w:shd w:val="clear" w:color="auto" w:fill="auto"/>
            <w:noWrap/>
            <w:vAlign w:val="center"/>
          </w:tcPr>
          <w:p w14:paraId="194D81F3" w14:textId="77777777" w:rsidR="00A052DC" w:rsidRDefault="009F0A60">
            <w:pPr>
              <w:widowControl/>
              <w:jc w:val="center"/>
              <w:rPr>
                <w:rFonts w:ascii="黑体" w:eastAsia="黑体" w:hAnsi="宋体" w:cs="宋体"/>
                <w:kern w:val="0"/>
                <w:sz w:val="20"/>
                <w:szCs w:val="20"/>
              </w:rPr>
            </w:pPr>
            <w:r>
              <w:rPr>
                <w:rFonts w:ascii="黑体" w:eastAsia="黑体" w:hAnsi="宋体" w:cs="宋体"/>
                <w:kern w:val="0"/>
                <w:sz w:val="20"/>
                <w:szCs w:val="20"/>
              </w:rPr>
              <w:t>B04</w:t>
            </w:r>
          </w:p>
        </w:tc>
        <w:tc>
          <w:tcPr>
            <w:tcW w:w="6996" w:type="dxa"/>
            <w:shd w:val="clear" w:color="auto" w:fill="auto"/>
            <w:noWrap/>
            <w:vAlign w:val="center"/>
          </w:tcPr>
          <w:p w14:paraId="4D7F0910" w14:textId="77777777" w:rsidR="00A052DC" w:rsidRDefault="009F0A60">
            <w:pPr>
              <w:widowControl/>
              <w:jc w:val="left"/>
              <w:rPr>
                <w:rFonts w:ascii="黑体" w:eastAsia="黑体" w:hAnsi="宋体" w:cs="宋体"/>
                <w:kern w:val="0"/>
                <w:sz w:val="20"/>
                <w:szCs w:val="20"/>
              </w:rPr>
            </w:pPr>
            <w:r>
              <w:rPr>
                <w:rFonts w:ascii="黑体" w:eastAsia="黑体" w:hAnsi="宋体" w:cs="宋体"/>
                <w:kern w:val="0"/>
                <w:sz w:val="20"/>
                <w:szCs w:val="20"/>
              </w:rPr>
              <w:t>B04表吸收境外股权和基金份额投资（负债）</w:t>
            </w:r>
          </w:p>
        </w:tc>
      </w:tr>
      <w:tr w:rsidR="00A052DC" w14:paraId="3E835CBE" w14:textId="77777777">
        <w:trPr>
          <w:cantSplit/>
        </w:trPr>
        <w:tc>
          <w:tcPr>
            <w:tcW w:w="1432" w:type="dxa"/>
            <w:shd w:val="clear" w:color="auto" w:fill="auto"/>
            <w:noWrap/>
            <w:vAlign w:val="center"/>
          </w:tcPr>
          <w:p w14:paraId="0F2FEC87" w14:textId="77777777" w:rsidR="00A052DC" w:rsidRDefault="009F0A60">
            <w:pPr>
              <w:widowControl/>
              <w:jc w:val="center"/>
              <w:rPr>
                <w:rFonts w:ascii="黑体" w:eastAsia="黑体" w:hAnsi="宋体" w:cs="宋体"/>
                <w:kern w:val="0"/>
                <w:sz w:val="20"/>
                <w:szCs w:val="20"/>
              </w:rPr>
            </w:pPr>
            <w:r>
              <w:rPr>
                <w:rFonts w:ascii="黑体" w:eastAsia="黑体" w:hAnsi="宋体" w:cs="宋体"/>
                <w:kern w:val="0"/>
                <w:sz w:val="20"/>
                <w:szCs w:val="20"/>
              </w:rPr>
              <w:t>B05</w:t>
            </w:r>
          </w:p>
        </w:tc>
        <w:tc>
          <w:tcPr>
            <w:tcW w:w="6996" w:type="dxa"/>
            <w:shd w:val="clear" w:color="auto" w:fill="auto"/>
            <w:noWrap/>
            <w:vAlign w:val="center"/>
          </w:tcPr>
          <w:p w14:paraId="3C91C019" w14:textId="77777777" w:rsidR="00A052DC" w:rsidRDefault="009F0A60">
            <w:pPr>
              <w:widowControl/>
              <w:jc w:val="left"/>
              <w:rPr>
                <w:rFonts w:ascii="黑体" w:eastAsia="黑体" w:hAnsi="宋体" w:cs="宋体"/>
                <w:kern w:val="0"/>
                <w:sz w:val="20"/>
                <w:szCs w:val="20"/>
              </w:rPr>
            </w:pPr>
            <w:r>
              <w:rPr>
                <w:rFonts w:ascii="黑体" w:eastAsia="黑体" w:hAnsi="宋体" w:cs="宋体"/>
                <w:kern w:val="0"/>
                <w:sz w:val="20"/>
                <w:szCs w:val="20"/>
              </w:rPr>
              <w:t>B05表境外发行债务证券（负债）</w:t>
            </w:r>
          </w:p>
        </w:tc>
      </w:tr>
      <w:tr w:rsidR="00A052DC" w14:paraId="2EEE528D" w14:textId="77777777">
        <w:trPr>
          <w:cantSplit/>
        </w:trPr>
        <w:tc>
          <w:tcPr>
            <w:tcW w:w="1432" w:type="dxa"/>
            <w:shd w:val="clear" w:color="auto" w:fill="auto"/>
            <w:noWrap/>
            <w:vAlign w:val="center"/>
          </w:tcPr>
          <w:p w14:paraId="5089C0CF" w14:textId="77777777" w:rsidR="00A052DC" w:rsidRDefault="009F0A60">
            <w:pPr>
              <w:widowControl/>
              <w:jc w:val="center"/>
              <w:rPr>
                <w:rFonts w:ascii="黑体" w:eastAsia="黑体" w:hAnsi="宋体" w:cs="宋体"/>
                <w:kern w:val="0"/>
                <w:sz w:val="20"/>
                <w:szCs w:val="20"/>
              </w:rPr>
            </w:pPr>
            <w:r>
              <w:rPr>
                <w:rFonts w:ascii="黑体" w:eastAsia="黑体" w:hAnsi="宋体" w:cs="宋体"/>
                <w:kern w:val="0"/>
                <w:sz w:val="20"/>
                <w:szCs w:val="20"/>
              </w:rPr>
              <w:t>B06</w:t>
            </w:r>
          </w:p>
        </w:tc>
        <w:tc>
          <w:tcPr>
            <w:tcW w:w="6996" w:type="dxa"/>
            <w:shd w:val="clear" w:color="auto" w:fill="auto"/>
            <w:noWrap/>
            <w:vAlign w:val="center"/>
          </w:tcPr>
          <w:p w14:paraId="4FB6B298" w14:textId="77777777" w:rsidR="00A052DC" w:rsidRDefault="009F0A60">
            <w:pPr>
              <w:widowControl/>
              <w:jc w:val="left"/>
              <w:rPr>
                <w:rFonts w:ascii="黑体" w:eastAsia="黑体" w:hAnsi="宋体" w:cs="宋体"/>
                <w:kern w:val="0"/>
                <w:sz w:val="20"/>
                <w:szCs w:val="20"/>
              </w:rPr>
            </w:pPr>
            <w:r>
              <w:rPr>
                <w:rFonts w:ascii="黑体" w:eastAsia="黑体" w:hAnsi="宋体" w:cs="宋体"/>
                <w:kern w:val="0"/>
                <w:sz w:val="20"/>
                <w:szCs w:val="20"/>
              </w:rPr>
              <w:t>B06表非居民投资境内发行股本证券和债务证券</w:t>
            </w:r>
            <w:r>
              <w:rPr>
                <w:rFonts w:ascii="黑体" w:eastAsia="黑体" w:hAnsi="宋体" w:cs="宋体" w:hint="eastAsia"/>
                <w:kern w:val="0"/>
                <w:sz w:val="20"/>
                <w:szCs w:val="20"/>
              </w:rPr>
              <w:t>（负债）</w:t>
            </w:r>
          </w:p>
        </w:tc>
      </w:tr>
      <w:tr w:rsidR="00A052DC" w14:paraId="46A4BF2B" w14:textId="77777777">
        <w:trPr>
          <w:cantSplit/>
        </w:trPr>
        <w:tc>
          <w:tcPr>
            <w:tcW w:w="1432" w:type="dxa"/>
            <w:shd w:val="clear" w:color="auto" w:fill="auto"/>
            <w:noWrap/>
            <w:vAlign w:val="center"/>
          </w:tcPr>
          <w:p w14:paraId="07E1C331" w14:textId="77777777" w:rsidR="00A052DC" w:rsidRDefault="009F0A60">
            <w:pPr>
              <w:widowControl/>
              <w:jc w:val="center"/>
              <w:rPr>
                <w:rFonts w:ascii="黑体" w:eastAsia="黑体" w:hAnsi="宋体" w:cs="宋体"/>
                <w:kern w:val="0"/>
                <w:sz w:val="20"/>
                <w:szCs w:val="20"/>
              </w:rPr>
            </w:pPr>
            <w:r>
              <w:rPr>
                <w:rFonts w:ascii="黑体" w:eastAsia="黑体" w:hAnsi="宋体" w:cs="宋体"/>
                <w:kern w:val="0"/>
                <w:sz w:val="20"/>
                <w:szCs w:val="20"/>
              </w:rPr>
              <w:t>C01</w:t>
            </w:r>
          </w:p>
        </w:tc>
        <w:tc>
          <w:tcPr>
            <w:tcW w:w="6996" w:type="dxa"/>
            <w:shd w:val="clear" w:color="auto" w:fill="auto"/>
            <w:noWrap/>
            <w:vAlign w:val="center"/>
          </w:tcPr>
          <w:p w14:paraId="7B09EBB7" w14:textId="77777777" w:rsidR="00A052DC" w:rsidRDefault="009F0A60">
            <w:pPr>
              <w:widowControl/>
              <w:jc w:val="left"/>
              <w:rPr>
                <w:rFonts w:ascii="黑体" w:eastAsia="黑体" w:hAnsi="宋体" w:cs="宋体"/>
                <w:kern w:val="0"/>
                <w:sz w:val="20"/>
                <w:szCs w:val="20"/>
              </w:rPr>
            </w:pPr>
            <w:r>
              <w:rPr>
                <w:rFonts w:ascii="黑体" w:eastAsia="黑体" w:hAnsi="宋体" w:cs="宋体"/>
                <w:kern w:val="0"/>
                <w:sz w:val="20"/>
                <w:szCs w:val="20"/>
              </w:rPr>
              <w:t>C01表金融衍生产品及雇员认股权</w:t>
            </w:r>
          </w:p>
        </w:tc>
      </w:tr>
      <w:tr w:rsidR="00A052DC" w14:paraId="64FA9C27" w14:textId="77777777">
        <w:trPr>
          <w:cantSplit/>
        </w:trPr>
        <w:tc>
          <w:tcPr>
            <w:tcW w:w="1432" w:type="dxa"/>
            <w:shd w:val="clear" w:color="auto" w:fill="auto"/>
            <w:noWrap/>
            <w:vAlign w:val="center"/>
          </w:tcPr>
          <w:p w14:paraId="3946BFD8" w14:textId="77777777" w:rsidR="00A052DC" w:rsidRDefault="009F0A60">
            <w:pPr>
              <w:widowControl/>
              <w:jc w:val="center"/>
              <w:rPr>
                <w:rFonts w:ascii="黑体" w:eastAsia="黑体" w:hAnsi="宋体" w:cs="宋体"/>
                <w:kern w:val="0"/>
                <w:sz w:val="20"/>
                <w:szCs w:val="20"/>
              </w:rPr>
            </w:pPr>
            <w:r>
              <w:rPr>
                <w:rFonts w:ascii="黑体" w:eastAsia="黑体" w:hAnsi="宋体" w:cs="宋体"/>
                <w:kern w:val="0"/>
                <w:sz w:val="20"/>
                <w:szCs w:val="20"/>
              </w:rPr>
              <w:t>D01</w:t>
            </w:r>
          </w:p>
        </w:tc>
        <w:tc>
          <w:tcPr>
            <w:tcW w:w="6996" w:type="dxa"/>
            <w:shd w:val="clear" w:color="auto" w:fill="auto"/>
            <w:noWrap/>
            <w:vAlign w:val="center"/>
          </w:tcPr>
          <w:p w14:paraId="6A3A9888" w14:textId="77777777" w:rsidR="00A052DC" w:rsidRDefault="009F0A60">
            <w:pPr>
              <w:widowControl/>
              <w:jc w:val="left"/>
              <w:rPr>
                <w:rFonts w:ascii="黑体" w:eastAsia="黑体" w:hAnsi="宋体" w:cs="宋体"/>
                <w:kern w:val="0"/>
                <w:sz w:val="20"/>
                <w:szCs w:val="20"/>
              </w:rPr>
            </w:pPr>
            <w:r>
              <w:rPr>
                <w:rFonts w:ascii="黑体" w:eastAsia="黑体" w:hAnsi="宋体" w:cs="宋体"/>
                <w:kern w:val="0"/>
                <w:sz w:val="20"/>
                <w:szCs w:val="20"/>
              </w:rPr>
              <w:t>D01表货币与存款（含存放银行同业和联行）（资产）</w:t>
            </w:r>
          </w:p>
        </w:tc>
      </w:tr>
      <w:tr w:rsidR="00A052DC" w14:paraId="72CAC29D" w14:textId="77777777">
        <w:trPr>
          <w:cantSplit/>
        </w:trPr>
        <w:tc>
          <w:tcPr>
            <w:tcW w:w="1432" w:type="dxa"/>
            <w:shd w:val="clear" w:color="auto" w:fill="auto"/>
            <w:noWrap/>
            <w:vAlign w:val="center"/>
          </w:tcPr>
          <w:p w14:paraId="7D4582F1" w14:textId="77777777" w:rsidR="00A052DC" w:rsidRDefault="009F0A60">
            <w:pPr>
              <w:widowControl/>
              <w:jc w:val="center"/>
              <w:rPr>
                <w:rFonts w:ascii="黑体" w:eastAsia="黑体" w:hAnsi="宋体" w:cs="宋体"/>
                <w:kern w:val="0"/>
                <w:sz w:val="20"/>
                <w:szCs w:val="20"/>
              </w:rPr>
            </w:pPr>
            <w:r>
              <w:rPr>
                <w:rFonts w:ascii="黑体" w:eastAsia="黑体" w:hAnsi="宋体" w:cs="宋体"/>
                <w:kern w:val="0"/>
                <w:sz w:val="20"/>
                <w:szCs w:val="20"/>
              </w:rPr>
              <w:t>D02</w:t>
            </w:r>
          </w:p>
        </w:tc>
        <w:tc>
          <w:tcPr>
            <w:tcW w:w="6996" w:type="dxa"/>
            <w:shd w:val="clear" w:color="auto" w:fill="auto"/>
            <w:noWrap/>
            <w:vAlign w:val="center"/>
          </w:tcPr>
          <w:p w14:paraId="6EBD64A3" w14:textId="77777777" w:rsidR="00A052DC" w:rsidRDefault="009F0A60">
            <w:pPr>
              <w:widowControl/>
              <w:jc w:val="left"/>
              <w:rPr>
                <w:rFonts w:ascii="黑体" w:eastAsia="黑体" w:hAnsi="宋体" w:cs="宋体"/>
                <w:kern w:val="0"/>
                <w:sz w:val="20"/>
                <w:szCs w:val="20"/>
              </w:rPr>
            </w:pPr>
            <w:r>
              <w:rPr>
                <w:rFonts w:ascii="黑体" w:eastAsia="黑体" w:hAnsi="宋体" w:cs="宋体"/>
                <w:kern w:val="0"/>
                <w:sz w:val="20"/>
                <w:szCs w:val="20"/>
              </w:rPr>
              <w:t>D02表贷款（含拆放银行同业及联行）（资产）</w:t>
            </w:r>
          </w:p>
        </w:tc>
      </w:tr>
      <w:tr w:rsidR="00A052DC" w14:paraId="0D7DE7B3" w14:textId="77777777">
        <w:trPr>
          <w:cantSplit/>
        </w:trPr>
        <w:tc>
          <w:tcPr>
            <w:tcW w:w="1432" w:type="dxa"/>
            <w:shd w:val="clear" w:color="auto" w:fill="auto"/>
            <w:noWrap/>
            <w:vAlign w:val="center"/>
          </w:tcPr>
          <w:p w14:paraId="6798F58C" w14:textId="77777777" w:rsidR="00A052DC" w:rsidRDefault="009F0A60">
            <w:pPr>
              <w:widowControl/>
              <w:jc w:val="center"/>
              <w:rPr>
                <w:rFonts w:ascii="黑体" w:eastAsia="黑体" w:hAnsi="宋体" w:cs="宋体"/>
                <w:kern w:val="0"/>
                <w:sz w:val="20"/>
                <w:szCs w:val="20"/>
              </w:rPr>
            </w:pPr>
            <w:r>
              <w:rPr>
                <w:rFonts w:ascii="黑体" w:eastAsia="黑体" w:hAnsi="宋体" w:cs="宋体"/>
                <w:kern w:val="0"/>
                <w:sz w:val="20"/>
                <w:szCs w:val="20"/>
              </w:rPr>
              <w:t>D03</w:t>
            </w:r>
          </w:p>
        </w:tc>
        <w:tc>
          <w:tcPr>
            <w:tcW w:w="6996" w:type="dxa"/>
            <w:shd w:val="clear" w:color="auto" w:fill="auto"/>
            <w:noWrap/>
            <w:vAlign w:val="center"/>
          </w:tcPr>
          <w:p w14:paraId="7210E714" w14:textId="77777777" w:rsidR="00A052DC" w:rsidRDefault="009F0A60">
            <w:pPr>
              <w:widowControl/>
              <w:jc w:val="left"/>
              <w:rPr>
                <w:rFonts w:ascii="黑体" w:eastAsia="黑体" w:hAnsi="宋体" w:cs="宋体"/>
                <w:kern w:val="0"/>
                <w:sz w:val="20"/>
                <w:szCs w:val="20"/>
              </w:rPr>
            </w:pPr>
            <w:r>
              <w:rPr>
                <w:rFonts w:ascii="黑体" w:eastAsia="黑体" w:hAnsi="宋体" w:cs="宋体"/>
                <w:kern w:val="0"/>
                <w:sz w:val="20"/>
                <w:szCs w:val="20"/>
              </w:rPr>
              <w:t>D03表持有境外非公司制机构10%以下表决权和国际组织股权（资产）</w:t>
            </w:r>
          </w:p>
        </w:tc>
      </w:tr>
      <w:tr w:rsidR="00A052DC" w14:paraId="3C3DCC39" w14:textId="77777777">
        <w:trPr>
          <w:cantSplit/>
        </w:trPr>
        <w:tc>
          <w:tcPr>
            <w:tcW w:w="1432" w:type="dxa"/>
            <w:shd w:val="clear" w:color="auto" w:fill="auto"/>
            <w:noWrap/>
            <w:vAlign w:val="center"/>
          </w:tcPr>
          <w:p w14:paraId="322E7434" w14:textId="77777777" w:rsidR="00A052DC" w:rsidRDefault="009F0A60">
            <w:pPr>
              <w:widowControl/>
              <w:jc w:val="center"/>
              <w:rPr>
                <w:rFonts w:ascii="黑体" w:eastAsia="黑体" w:hAnsi="宋体" w:cs="宋体"/>
                <w:kern w:val="0"/>
                <w:sz w:val="20"/>
                <w:szCs w:val="20"/>
              </w:rPr>
            </w:pPr>
            <w:r>
              <w:rPr>
                <w:rFonts w:ascii="黑体" w:eastAsia="黑体" w:hAnsi="宋体" w:cs="宋体"/>
                <w:kern w:val="0"/>
                <w:sz w:val="20"/>
                <w:szCs w:val="20"/>
              </w:rPr>
              <w:t>D04</w:t>
            </w:r>
          </w:p>
        </w:tc>
        <w:tc>
          <w:tcPr>
            <w:tcW w:w="6996" w:type="dxa"/>
            <w:shd w:val="clear" w:color="auto" w:fill="auto"/>
            <w:noWrap/>
            <w:vAlign w:val="center"/>
          </w:tcPr>
          <w:p w14:paraId="3B2CAEE1" w14:textId="77777777" w:rsidR="00A052DC" w:rsidRDefault="009F0A60">
            <w:pPr>
              <w:widowControl/>
              <w:jc w:val="left"/>
              <w:rPr>
                <w:rFonts w:ascii="黑体" w:eastAsia="黑体" w:hAnsi="宋体" w:cs="宋体"/>
                <w:kern w:val="0"/>
                <w:sz w:val="20"/>
                <w:szCs w:val="20"/>
              </w:rPr>
            </w:pPr>
            <w:r>
              <w:rPr>
                <w:rFonts w:ascii="黑体" w:eastAsia="黑体" w:hAnsi="宋体" w:cs="宋体"/>
                <w:kern w:val="0"/>
                <w:sz w:val="20"/>
                <w:szCs w:val="20"/>
              </w:rPr>
              <w:t>D04表应收款</w:t>
            </w:r>
            <w:r>
              <w:rPr>
                <w:rFonts w:ascii="黑体" w:eastAsia="黑体" w:hAnsi="宋体" w:hint="eastAsia"/>
                <w:sz w:val="20"/>
                <w:szCs w:val="20"/>
              </w:rPr>
              <w:t>及预付款</w:t>
            </w:r>
            <w:r>
              <w:rPr>
                <w:rFonts w:ascii="黑体" w:eastAsia="黑体" w:hAnsi="宋体" w:cs="宋体"/>
                <w:kern w:val="0"/>
                <w:sz w:val="20"/>
                <w:szCs w:val="20"/>
              </w:rPr>
              <w:t>（不含应收利息）（资产）</w:t>
            </w:r>
          </w:p>
        </w:tc>
      </w:tr>
      <w:tr w:rsidR="00A052DC" w14:paraId="02C52E11" w14:textId="77777777">
        <w:trPr>
          <w:cantSplit/>
        </w:trPr>
        <w:tc>
          <w:tcPr>
            <w:tcW w:w="1432" w:type="dxa"/>
            <w:shd w:val="clear" w:color="auto" w:fill="auto"/>
            <w:noWrap/>
            <w:vAlign w:val="center"/>
          </w:tcPr>
          <w:p w14:paraId="29D0826C" w14:textId="77777777" w:rsidR="00A052DC" w:rsidRDefault="009F0A60">
            <w:pPr>
              <w:widowControl/>
              <w:jc w:val="center"/>
              <w:rPr>
                <w:rFonts w:ascii="黑体" w:eastAsia="黑体" w:hAnsi="宋体" w:cs="宋体"/>
                <w:kern w:val="0"/>
                <w:sz w:val="20"/>
                <w:szCs w:val="20"/>
              </w:rPr>
            </w:pPr>
            <w:r>
              <w:rPr>
                <w:rFonts w:ascii="黑体" w:eastAsia="黑体" w:hAnsi="宋体" w:cs="宋体"/>
                <w:kern w:val="0"/>
                <w:sz w:val="20"/>
                <w:szCs w:val="20"/>
              </w:rPr>
              <w:t>D05-1</w:t>
            </w:r>
          </w:p>
        </w:tc>
        <w:tc>
          <w:tcPr>
            <w:tcW w:w="6996" w:type="dxa"/>
            <w:shd w:val="clear" w:color="auto" w:fill="auto"/>
            <w:noWrap/>
            <w:vAlign w:val="center"/>
          </w:tcPr>
          <w:p w14:paraId="3F28294C" w14:textId="77777777" w:rsidR="00A052DC" w:rsidRDefault="009F0A60">
            <w:pPr>
              <w:widowControl/>
              <w:jc w:val="left"/>
              <w:rPr>
                <w:rFonts w:ascii="黑体" w:eastAsia="黑体" w:hAnsi="宋体" w:cs="宋体"/>
                <w:kern w:val="0"/>
                <w:sz w:val="20"/>
                <w:szCs w:val="20"/>
              </w:rPr>
            </w:pPr>
            <w:r>
              <w:rPr>
                <w:rFonts w:ascii="黑体" w:eastAsia="黑体" w:hAnsi="宋体" w:cs="宋体"/>
                <w:kern w:val="0"/>
                <w:sz w:val="20"/>
                <w:szCs w:val="20"/>
              </w:rPr>
              <w:t>D05-1表存款（含银行同业和联行存放）（负债）</w:t>
            </w:r>
            <w:r>
              <w:rPr>
                <w:rFonts w:ascii="黑体" w:eastAsia="黑体" w:hAnsi="宋体" w:cs="宋体"/>
                <w:kern w:val="0"/>
                <w:sz w:val="20"/>
                <w:szCs w:val="20"/>
              </w:rPr>
              <w:t>——</w:t>
            </w:r>
            <w:r>
              <w:rPr>
                <w:rFonts w:ascii="黑体" w:eastAsia="黑体" w:hAnsi="宋体" w:cs="宋体"/>
                <w:kern w:val="0"/>
                <w:sz w:val="20"/>
                <w:szCs w:val="20"/>
              </w:rPr>
              <w:t>境外机构存款</w:t>
            </w:r>
          </w:p>
        </w:tc>
      </w:tr>
      <w:tr w:rsidR="00A052DC" w14:paraId="2EEE6648" w14:textId="77777777">
        <w:trPr>
          <w:cantSplit/>
        </w:trPr>
        <w:tc>
          <w:tcPr>
            <w:tcW w:w="1432" w:type="dxa"/>
            <w:shd w:val="clear" w:color="auto" w:fill="auto"/>
            <w:noWrap/>
            <w:vAlign w:val="center"/>
          </w:tcPr>
          <w:p w14:paraId="6184F367" w14:textId="77777777" w:rsidR="00A052DC" w:rsidRDefault="009F0A60">
            <w:pPr>
              <w:widowControl/>
              <w:jc w:val="center"/>
              <w:rPr>
                <w:rFonts w:ascii="黑体" w:eastAsia="黑体" w:hAnsi="宋体" w:cs="宋体"/>
                <w:kern w:val="0"/>
                <w:sz w:val="20"/>
                <w:szCs w:val="20"/>
              </w:rPr>
            </w:pPr>
            <w:r>
              <w:rPr>
                <w:rFonts w:ascii="黑体" w:eastAsia="黑体" w:hAnsi="宋体" w:cs="宋体"/>
                <w:kern w:val="0"/>
                <w:sz w:val="20"/>
                <w:szCs w:val="20"/>
              </w:rPr>
              <w:t>D05-2</w:t>
            </w:r>
          </w:p>
        </w:tc>
        <w:tc>
          <w:tcPr>
            <w:tcW w:w="6996" w:type="dxa"/>
            <w:shd w:val="clear" w:color="auto" w:fill="auto"/>
            <w:noWrap/>
            <w:vAlign w:val="center"/>
          </w:tcPr>
          <w:p w14:paraId="447A9D39" w14:textId="77777777" w:rsidR="00A052DC" w:rsidRDefault="009F0A60">
            <w:pPr>
              <w:widowControl/>
              <w:jc w:val="left"/>
              <w:rPr>
                <w:rFonts w:ascii="黑体" w:eastAsia="黑体" w:hAnsi="宋体" w:cs="宋体"/>
                <w:kern w:val="0"/>
                <w:sz w:val="20"/>
                <w:szCs w:val="20"/>
              </w:rPr>
            </w:pPr>
            <w:r>
              <w:rPr>
                <w:rFonts w:ascii="黑体" w:eastAsia="黑体" w:hAnsi="宋体" w:cs="宋体"/>
                <w:kern w:val="0"/>
                <w:sz w:val="20"/>
                <w:szCs w:val="20"/>
              </w:rPr>
              <w:t>D05-2表存款（含银行同业和联行存放）（负债）</w:t>
            </w:r>
            <w:r>
              <w:rPr>
                <w:rFonts w:ascii="黑体" w:eastAsia="黑体" w:hAnsi="宋体" w:cs="宋体"/>
                <w:kern w:val="0"/>
                <w:sz w:val="20"/>
                <w:szCs w:val="20"/>
              </w:rPr>
              <w:t>——</w:t>
            </w:r>
            <w:r>
              <w:rPr>
                <w:rFonts w:ascii="黑体" w:eastAsia="黑体" w:hAnsi="宋体" w:cs="宋体"/>
                <w:kern w:val="0"/>
                <w:sz w:val="20"/>
                <w:szCs w:val="20"/>
              </w:rPr>
              <w:t>非居民个人存款</w:t>
            </w:r>
          </w:p>
        </w:tc>
      </w:tr>
      <w:tr w:rsidR="00A052DC" w14:paraId="20E45BAB" w14:textId="77777777">
        <w:trPr>
          <w:cantSplit/>
        </w:trPr>
        <w:tc>
          <w:tcPr>
            <w:tcW w:w="1432" w:type="dxa"/>
            <w:shd w:val="clear" w:color="auto" w:fill="auto"/>
            <w:noWrap/>
            <w:vAlign w:val="center"/>
          </w:tcPr>
          <w:p w14:paraId="0AD69214" w14:textId="77777777" w:rsidR="00A052DC" w:rsidRDefault="009F0A60">
            <w:pPr>
              <w:widowControl/>
              <w:jc w:val="center"/>
              <w:rPr>
                <w:rFonts w:ascii="黑体" w:eastAsia="黑体" w:hAnsi="宋体" w:cs="宋体"/>
                <w:kern w:val="0"/>
                <w:sz w:val="20"/>
                <w:szCs w:val="20"/>
              </w:rPr>
            </w:pPr>
            <w:r>
              <w:rPr>
                <w:rFonts w:ascii="黑体" w:eastAsia="黑体" w:hAnsi="宋体" w:cs="宋体"/>
                <w:kern w:val="0"/>
                <w:sz w:val="20"/>
                <w:szCs w:val="20"/>
              </w:rPr>
              <w:t>D06-1</w:t>
            </w:r>
          </w:p>
        </w:tc>
        <w:tc>
          <w:tcPr>
            <w:tcW w:w="6996" w:type="dxa"/>
            <w:shd w:val="clear" w:color="auto" w:fill="auto"/>
            <w:noWrap/>
            <w:vAlign w:val="center"/>
          </w:tcPr>
          <w:p w14:paraId="64AECC66" w14:textId="77777777" w:rsidR="00A052DC" w:rsidRDefault="009F0A60">
            <w:pPr>
              <w:widowControl/>
              <w:jc w:val="left"/>
              <w:rPr>
                <w:rFonts w:ascii="黑体" w:eastAsia="黑体" w:hAnsi="宋体" w:cs="宋体"/>
                <w:kern w:val="0"/>
                <w:sz w:val="20"/>
                <w:szCs w:val="20"/>
              </w:rPr>
            </w:pPr>
            <w:r>
              <w:rPr>
                <w:rFonts w:ascii="黑体" w:eastAsia="黑体" w:hAnsi="宋体" w:cs="宋体"/>
                <w:kern w:val="0"/>
                <w:sz w:val="20"/>
                <w:szCs w:val="20"/>
              </w:rPr>
              <w:t>D06-1</w:t>
            </w:r>
            <w:r>
              <w:rPr>
                <w:rFonts w:ascii="黑体" w:eastAsia="黑体" w:hAnsi="宋体" w:cs="宋体" w:hint="eastAsia"/>
                <w:kern w:val="0"/>
                <w:sz w:val="20"/>
                <w:szCs w:val="20"/>
              </w:rPr>
              <w:t>表贷款（含银行同业和联行拆借）（负债）月末存量</w:t>
            </w:r>
          </w:p>
        </w:tc>
      </w:tr>
      <w:tr w:rsidR="00A052DC" w14:paraId="50FCAC02" w14:textId="77777777">
        <w:trPr>
          <w:cantSplit/>
        </w:trPr>
        <w:tc>
          <w:tcPr>
            <w:tcW w:w="1432" w:type="dxa"/>
            <w:shd w:val="clear" w:color="auto" w:fill="auto"/>
            <w:noWrap/>
            <w:vAlign w:val="center"/>
          </w:tcPr>
          <w:p w14:paraId="739D7733" w14:textId="77777777" w:rsidR="00A052DC" w:rsidRDefault="009F0A60">
            <w:pPr>
              <w:widowControl/>
              <w:jc w:val="center"/>
              <w:rPr>
                <w:rFonts w:ascii="黑体" w:eastAsia="黑体" w:hAnsi="宋体" w:cs="宋体"/>
                <w:kern w:val="0"/>
                <w:sz w:val="20"/>
                <w:szCs w:val="20"/>
              </w:rPr>
            </w:pPr>
            <w:r>
              <w:rPr>
                <w:rFonts w:ascii="黑体" w:eastAsia="黑体" w:hAnsi="宋体" w:cs="宋体"/>
                <w:kern w:val="0"/>
                <w:sz w:val="20"/>
                <w:szCs w:val="20"/>
              </w:rPr>
              <w:t>D07</w:t>
            </w:r>
          </w:p>
        </w:tc>
        <w:tc>
          <w:tcPr>
            <w:tcW w:w="6996" w:type="dxa"/>
            <w:shd w:val="clear" w:color="auto" w:fill="auto"/>
            <w:noWrap/>
            <w:vAlign w:val="center"/>
          </w:tcPr>
          <w:p w14:paraId="7AF2D5B0" w14:textId="77777777" w:rsidR="00A052DC" w:rsidRDefault="009F0A60">
            <w:pPr>
              <w:widowControl/>
              <w:jc w:val="left"/>
              <w:rPr>
                <w:rFonts w:ascii="黑体" w:eastAsia="黑体" w:hAnsi="宋体" w:cs="宋体"/>
                <w:kern w:val="0"/>
                <w:sz w:val="20"/>
                <w:szCs w:val="20"/>
              </w:rPr>
            </w:pPr>
            <w:r>
              <w:rPr>
                <w:rFonts w:ascii="黑体" w:eastAsia="黑体" w:hAnsi="宋体" w:cs="宋体"/>
                <w:kern w:val="0"/>
                <w:sz w:val="20"/>
                <w:szCs w:val="20"/>
              </w:rPr>
              <w:t>D07表非居民持有本机构（非公司制）10%以下表决权（负债）</w:t>
            </w:r>
          </w:p>
        </w:tc>
      </w:tr>
      <w:tr w:rsidR="00A052DC" w14:paraId="0EE33204" w14:textId="77777777">
        <w:trPr>
          <w:cantSplit/>
        </w:trPr>
        <w:tc>
          <w:tcPr>
            <w:tcW w:w="1432" w:type="dxa"/>
            <w:shd w:val="clear" w:color="auto" w:fill="auto"/>
            <w:noWrap/>
            <w:vAlign w:val="center"/>
          </w:tcPr>
          <w:p w14:paraId="085FB84C" w14:textId="77777777" w:rsidR="00A052DC" w:rsidRDefault="009F0A60">
            <w:pPr>
              <w:widowControl/>
              <w:jc w:val="center"/>
              <w:rPr>
                <w:rFonts w:ascii="黑体" w:eastAsia="黑体" w:hAnsi="宋体" w:cs="宋体"/>
                <w:kern w:val="0"/>
                <w:sz w:val="20"/>
                <w:szCs w:val="20"/>
              </w:rPr>
            </w:pPr>
            <w:r>
              <w:rPr>
                <w:rFonts w:ascii="黑体" w:eastAsia="黑体" w:hAnsi="宋体" w:cs="宋体" w:hint="eastAsia"/>
                <w:kern w:val="0"/>
                <w:sz w:val="20"/>
                <w:szCs w:val="20"/>
              </w:rPr>
              <w:t>D08</w:t>
            </w:r>
          </w:p>
        </w:tc>
        <w:tc>
          <w:tcPr>
            <w:tcW w:w="6996" w:type="dxa"/>
            <w:shd w:val="clear" w:color="auto" w:fill="auto"/>
            <w:noWrap/>
            <w:vAlign w:val="center"/>
          </w:tcPr>
          <w:p w14:paraId="5B2E00D7" w14:textId="77777777" w:rsidR="00A052DC" w:rsidRDefault="009F0A60">
            <w:pPr>
              <w:widowControl/>
              <w:jc w:val="left"/>
              <w:rPr>
                <w:rFonts w:ascii="黑体" w:eastAsia="黑体" w:hAnsi="宋体" w:cs="宋体"/>
                <w:kern w:val="0"/>
                <w:sz w:val="20"/>
                <w:szCs w:val="20"/>
              </w:rPr>
            </w:pPr>
            <w:r>
              <w:rPr>
                <w:rFonts w:ascii="黑体" w:eastAsia="黑体" w:hAnsi="宋体" w:cs="宋体" w:hint="eastAsia"/>
                <w:kern w:val="0"/>
                <w:sz w:val="20"/>
                <w:szCs w:val="20"/>
              </w:rPr>
              <w:t>D08表应付款及预收款（不含应付利息）（负债）</w:t>
            </w:r>
          </w:p>
        </w:tc>
      </w:tr>
      <w:tr w:rsidR="00A052DC" w14:paraId="2CADBC1D" w14:textId="77777777">
        <w:trPr>
          <w:cantSplit/>
        </w:trPr>
        <w:tc>
          <w:tcPr>
            <w:tcW w:w="1432" w:type="dxa"/>
            <w:shd w:val="clear" w:color="auto" w:fill="auto"/>
            <w:noWrap/>
            <w:vAlign w:val="center"/>
          </w:tcPr>
          <w:p w14:paraId="3D028B3C" w14:textId="77777777" w:rsidR="00A052DC" w:rsidRDefault="009F0A60">
            <w:pPr>
              <w:widowControl/>
              <w:jc w:val="center"/>
              <w:rPr>
                <w:rFonts w:ascii="黑体" w:eastAsia="黑体" w:hAnsi="宋体" w:cs="宋体"/>
                <w:kern w:val="0"/>
                <w:sz w:val="20"/>
                <w:szCs w:val="20"/>
              </w:rPr>
            </w:pPr>
            <w:r>
              <w:rPr>
                <w:rFonts w:ascii="黑体" w:eastAsia="黑体" w:hAnsi="宋体" w:cs="宋体"/>
                <w:kern w:val="0"/>
                <w:sz w:val="20"/>
                <w:szCs w:val="20"/>
              </w:rPr>
              <w:t>D09</w:t>
            </w:r>
          </w:p>
        </w:tc>
        <w:tc>
          <w:tcPr>
            <w:tcW w:w="6996" w:type="dxa"/>
            <w:shd w:val="clear" w:color="auto" w:fill="auto"/>
            <w:noWrap/>
            <w:vAlign w:val="center"/>
          </w:tcPr>
          <w:p w14:paraId="25A45716" w14:textId="77777777" w:rsidR="00A052DC" w:rsidRDefault="009F0A60">
            <w:pPr>
              <w:widowControl/>
              <w:jc w:val="left"/>
              <w:rPr>
                <w:rFonts w:ascii="黑体" w:eastAsia="黑体" w:hAnsi="宋体" w:cs="宋体"/>
                <w:kern w:val="0"/>
                <w:sz w:val="20"/>
                <w:szCs w:val="20"/>
              </w:rPr>
            </w:pPr>
            <w:r>
              <w:rPr>
                <w:rFonts w:ascii="黑体" w:eastAsia="黑体" w:hAnsi="宋体" w:cs="宋体"/>
                <w:kern w:val="0"/>
                <w:sz w:val="20"/>
                <w:szCs w:val="20"/>
              </w:rPr>
              <w:t>D09表对非居民的贷款和应收款减值准备余额</w:t>
            </w:r>
          </w:p>
        </w:tc>
      </w:tr>
      <w:tr w:rsidR="00A052DC" w14:paraId="0FFFAAFD" w14:textId="77777777">
        <w:trPr>
          <w:cantSplit/>
        </w:trPr>
        <w:tc>
          <w:tcPr>
            <w:tcW w:w="1432" w:type="dxa"/>
            <w:shd w:val="clear" w:color="auto" w:fill="auto"/>
            <w:noWrap/>
            <w:vAlign w:val="center"/>
          </w:tcPr>
          <w:p w14:paraId="20166533" w14:textId="77777777" w:rsidR="00A052DC" w:rsidRDefault="009F0A60">
            <w:pPr>
              <w:widowControl/>
              <w:jc w:val="center"/>
              <w:rPr>
                <w:rFonts w:ascii="黑体" w:eastAsia="黑体" w:hAnsi="宋体" w:cs="宋体"/>
                <w:kern w:val="0"/>
                <w:sz w:val="20"/>
                <w:szCs w:val="20"/>
              </w:rPr>
            </w:pPr>
            <w:r>
              <w:rPr>
                <w:rFonts w:ascii="黑体" w:eastAsia="黑体" w:hAnsi="宋体" w:cs="宋体"/>
                <w:kern w:val="0"/>
                <w:sz w:val="20"/>
                <w:szCs w:val="20"/>
              </w:rPr>
              <w:t>E01</w:t>
            </w:r>
          </w:p>
        </w:tc>
        <w:tc>
          <w:tcPr>
            <w:tcW w:w="6996" w:type="dxa"/>
            <w:shd w:val="clear" w:color="auto" w:fill="auto"/>
            <w:noWrap/>
            <w:vAlign w:val="center"/>
          </w:tcPr>
          <w:p w14:paraId="16352601" w14:textId="77777777" w:rsidR="00A052DC" w:rsidRDefault="009F0A60">
            <w:pPr>
              <w:widowControl/>
              <w:jc w:val="left"/>
              <w:rPr>
                <w:rFonts w:ascii="黑体" w:eastAsia="黑体" w:hAnsi="宋体" w:cs="宋体"/>
                <w:kern w:val="0"/>
                <w:sz w:val="20"/>
                <w:szCs w:val="20"/>
              </w:rPr>
            </w:pPr>
            <w:r>
              <w:rPr>
                <w:rFonts w:ascii="黑体" w:eastAsia="黑体" w:hAnsi="宋体" w:cs="宋体"/>
                <w:kern w:val="0"/>
                <w:sz w:val="20"/>
                <w:szCs w:val="20"/>
              </w:rPr>
              <w:t>E01表货物、服务、薪资及债务减免等其他各类往来</w:t>
            </w:r>
          </w:p>
        </w:tc>
      </w:tr>
      <w:tr w:rsidR="00A052DC" w14:paraId="5605A351" w14:textId="77777777">
        <w:trPr>
          <w:cantSplit/>
        </w:trPr>
        <w:tc>
          <w:tcPr>
            <w:tcW w:w="1432" w:type="dxa"/>
            <w:shd w:val="clear" w:color="auto" w:fill="auto"/>
            <w:noWrap/>
            <w:vAlign w:val="center"/>
          </w:tcPr>
          <w:p w14:paraId="5E4F6F58" w14:textId="77777777" w:rsidR="00A052DC" w:rsidRDefault="009F0A60">
            <w:pPr>
              <w:widowControl/>
              <w:jc w:val="center"/>
              <w:rPr>
                <w:rFonts w:ascii="黑体" w:eastAsia="黑体" w:hAnsi="宋体" w:cs="宋体"/>
                <w:kern w:val="0"/>
                <w:sz w:val="20"/>
                <w:szCs w:val="20"/>
              </w:rPr>
            </w:pPr>
            <w:r>
              <w:rPr>
                <w:rFonts w:ascii="黑体" w:eastAsia="黑体" w:hAnsi="宋体" w:cs="宋体"/>
                <w:kern w:val="0"/>
                <w:sz w:val="20"/>
                <w:szCs w:val="20"/>
              </w:rPr>
              <w:t>E02-1</w:t>
            </w:r>
          </w:p>
        </w:tc>
        <w:tc>
          <w:tcPr>
            <w:tcW w:w="6996" w:type="dxa"/>
            <w:shd w:val="clear" w:color="auto" w:fill="auto"/>
            <w:noWrap/>
            <w:vAlign w:val="center"/>
          </w:tcPr>
          <w:p w14:paraId="286F6F18" w14:textId="77777777" w:rsidR="00A052DC" w:rsidRDefault="009F0A60">
            <w:pPr>
              <w:widowControl/>
              <w:jc w:val="left"/>
              <w:rPr>
                <w:rFonts w:ascii="黑体" w:eastAsia="黑体" w:hAnsi="宋体" w:cs="宋体"/>
                <w:kern w:val="0"/>
                <w:sz w:val="20"/>
                <w:szCs w:val="20"/>
              </w:rPr>
            </w:pPr>
            <w:r>
              <w:rPr>
                <w:rFonts w:ascii="黑体" w:eastAsia="黑体" w:hAnsi="宋体" w:cs="宋体"/>
                <w:kern w:val="0"/>
                <w:sz w:val="20"/>
                <w:szCs w:val="20"/>
              </w:rPr>
              <w:t>E02-1表境外建设项目概览表</w:t>
            </w:r>
          </w:p>
        </w:tc>
      </w:tr>
      <w:tr w:rsidR="00A052DC" w14:paraId="2C43A2BB" w14:textId="77777777">
        <w:trPr>
          <w:cantSplit/>
        </w:trPr>
        <w:tc>
          <w:tcPr>
            <w:tcW w:w="1432" w:type="dxa"/>
            <w:shd w:val="clear" w:color="auto" w:fill="auto"/>
            <w:noWrap/>
            <w:vAlign w:val="center"/>
          </w:tcPr>
          <w:p w14:paraId="31572BB9" w14:textId="77777777" w:rsidR="00A052DC" w:rsidRDefault="009F0A60">
            <w:pPr>
              <w:widowControl/>
              <w:jc w:val="center"/>
              <w:rPr>
                <w:rFonts w:ascii="黑体" w:eastAsia="黑体" w:hAnsi="宋体" w:cs="宋体"/>
                <w:kern w:val="0"/>
                <w:sz w:val="20"/>
                <w:szCs w:val="20"/>
              </w:rPr>
            </w:pPr>
            <w:r>
              <w:rPr>
                <w:rFonts w:ascii="黑体" w:eastAsia="黑体" w:hAnsi="宋体" w:cs="宋体"/>
                <w:kern w:val="0"/>
                <w:sz w:val="20"/>
                <w:szCs w:val="20"/>
              </w:rPr>
              <w:t>E02-2</w:t>
            </w:r>
          </w:p>
        </w:tc>
        <w:tc>
          <w:tcPr>
            <w:tcW w:w="6996" w:type="dxa"/>
            <w:shd w:val="clear" w:color="auto" w:fill="auto"/>
            <w:noWrap/>
            <w:vAlign w:val="center"/>
          </w:tcPr>
          <w:p w14:paraId="7835351D" w14:textId="77777777" w:rsidR="00A052DC" w:rsidRDefault="009F0A60">
            <w:pPr>
              <w:widowControl/>
              <w:jc w:val="left"/>
              <w:rPr>
                <w:rFonts w:ascii="黑体" w:eastAsia="黑体" w:hAnsi="宋体" w:cs="宋体"/>
                <w:kern w:val="0"/>
                <w:sz w:val="20"/>
                <w:szCs w:val="20"/>
              </w:rPr>
            </w:pPr>
            <w:r>
              <w:rPr>
                <w:rFonts w:ascii="黑体" w:eastAsia="黑体" w:hAnsi="宋体" w:cs="宋体"/>
                <w:kern w:val="0"/>
                <w:sz w:val="20"/>
                <w:szCs w:val="20"/>
              </w:rPr>
              <w:t>E02-2表境外建设统计表</w:t>
            </w:r>
          </w:p>
        </w:tc>
      </w:tr>
      <w:tr w:rsidR="00A052DC" w14:paraId="106DE684" w14:textId="77777777">
        <w:trPr>
          <w:cantSplit/>
        </w:trPr>
        <w:tc>
          <w:tcPr>
            <w:tcW w:w="1432" w:type="dxa"/>
            <w:shd w:val="clear" w:color="auto" w:fill="auto"/>
            <w:noWrap/>
            <w:vAlign w:val="center"/>
          </w:tcPr>
          <w:p w14:paraId="39C6A9E3" w14:textId="77777777" w:rsidR="00A052DC" w:rsidRDefault="009F0A60">
            <w:pPr>
              <w:widowControl/>
              <w:jc w:val="center"/>
              <w:rPr>
                <w:rFonts w:ascii="黑体" w:eastAsia="黑体" w:hAnsi="宋体" w:cs="宋体"/>
                <w:kern w:val="0"/>
                <w:sz w:val="20"/>
                <w:szCs w:val="20"/>
              </w:rPr>
            </w:pPr>
            <w:r>
              <w:rPr>
                <w:rFonts w:ascii="黑体" w:eastAsia="黑体" w:hAnsi="宋体" w:cs="宋体"/>
                <w:kern w:val="0"/>
                <w:sz w:val="20"/>
                <w:szCs w:val="20"/>
              </w:rPr>
              <w:t>E03</w:t>
            </w:r>
          </w:p>
        </w:tc>
        <w:tc>
          <w:tcPr>
            <w:tcW w:w="6996" w:type="dxa"/>
            <w:shd w:val="clear" w:color="auto" w:fill="auto"/>
            <w:noWrap/>
            <w:vAlign w:val="center"/>
          </w:tcPr>
          <w:p w14:paraId="15704E06" w14:textId="77777777" w:rsidR="00A052DC" w:rsidRDefault="009F0A60">
            <w:pPr>
              <w:widowControl/>
              <w:jc w:val="left"/>
              <w:rPr>
                <w:rFonts w:ascii="黑体" w:eastAsia="黑体" w:hAnsi="宋体" w:cs="宋体"/>
                <w:kern w:val="0"/>
                <w:sz w:val="20"/>
                <w:szCs w:val="20"/>
              </w:rPr>
            </w:pPr>
            <w:r>
              <w:rPr>
                <w:rFonts w:ascii="黑体" w:eastAsia="黑体" w:hAnsi="宋体" w:cs="宋体"/>
                <w:kern w:val="0"/>
                <w:sz w:val="20"/>
                <w:szCs w:val="20"/>
              </w:rPr>
              <w:t>E03表运输收入统计表</w:t>
            </w:r>
          </w:p>
        </w:tc>
      </w:tr>
      <w:tr w:rsidR="00A052DC" w14:paraId="60A7F124" w14:textId="77777777">
        <w:trPr>
          <w:cantSplit/>
        </w:trPr>
        <w:tc>
          <w:tcPr>
            <w:tcW w:w="1432" w:type="dxa"/>
            <w:shd w:val="clear" w:color="auto" w:fill="auto"/>
            <w:noWrap/>
            <w:vAlign w:val="center"/>
          </w:tcPr>
          <w:p w14:paraId="6331217B" w14:textId="77777777" w:rsidR="00A052DC" w:rsidRDefault="009F0A60">
            <w:pPr>
              <w:widowControl/>
              <w:jc w:val="center"/>
              <w:rPr>
                <w:rFonts w:ascii="黑体" w:eastAsia="黑体" w:hAnsi="宋体" w:cs="宋体"/>
                <w:kern w:val="0"/>
                <w:sz w:val="20"/>
                <w:szCs w:val="20"/>
              </w:rPr>
            </w:pPr>
            <w:r>
              <w:rPr>
                <w:rFonts w:ascii="黑体" w:eastAsia="黑体" w:hAnsi="宋体" w:cs="宋体"/>
                <w:kern w:val="0"/>
                <w:sz w:val="20"/>
                <w:szCs w:val="20"/>
              </w:rPr>
              <w:t>F01</w:t>
            </w:r>
          </w:p>
        </w:tc>
        <w:tc>
          <w:tcPr>
            <w:tcW w:w="6996" w:type="dxa"/>
            <w:shd w:val="clear" w:color="auto" w:fill="auto"/>
            <w:noWrap/>
            <w:vAlign w:val="center"/>
          </w:tcPr>
          <w:p w14:paraId="6EDE491E" w14:textId="77777777" w:rsidR="00A052DC" w:rsidRDefault="009F0A60">
            <w:pPr>
              <w:widowControl/>
              <w:jc w:val="left"/>
              <w:rPr>
                <w:rFonts w:ascii="黑体" w:eastAsia="黑体" w:hAnsi="宋体" w:cs="宋体"/>
                <w:kern w:val="0"/>
                <w:sz w:val="20"/>
                <w:szCs w:val="20"/>
              </w:rPr>
            </w:pPr>
            <w:r>
              <w:rPr>
                <w:rFonts w:ascii="黑体" w:eastAsia="黑体" w:hAnsi="宋体" w:cs="宋体"/>
                <w:kern w:val="0"/>
                <w:sz w:val="20"/>
                <w:szCs w:val="20"/>
              </w:rPr>
              <w:t>F01表买断出口票据、单证业务</w:t>
            </w:r>
          </w:p>
        </w:tc>
      </w:tr>
      <w:tr w:rsidR="00A052DC" w14:paraId="30393097" w14:textId="77777777">
        <w:trPr>
          <w:cantSplit/>
        </w:trPr>
        <w:tc>
          <w:tcPr>
            <w:tcW w:w="1432" w:type="dxa"/>
            <w:shd w:val="clear" w:color="auto" w:fill="auto"/>
            <w:noWrap/>
            <w:vAlign w:val="center"/>
          </w:tcPr>
          <w:p w14:paraId="25DAEBFD" w14:textId="77777777" w:rsidR="00A052DC" w:rsidRDefault="009F0A60">
            <w:pPr>
              <w:widowControl/>
              <w:jc w:val="center"/>
              <w:rPr>
                <w:rFonts w:ascii="黑体" w:eastAsia="黑体" w:hAnsi="宋体" w:cs="宋体"/>
                <w:kern w:val="0"/>
                <w:sz w:val="20"/>
                <w:szCs w:val="20"/>
              </w:rPr>
            </w:pPr>
            <w:r>
              <w:rPr>
                <w:rFonts w:ascii="黑体" w:eastAsia="黑体" w:hAnsi="宋体" w:cs="宋体"/>
                <w:kern w:val="0"/>
                <w:sz w:val="20"/>
                <w:szCs w:val="20"/>
              </w:rPr>
              <w:t>G01</w:t>
            </w:r>
          </w:p>
        </w:tc>
        <w:tc>
          <w:tcPr>
            <w:tcW w:w="6996" w:type="dxa"/>
            <w:shd w:val="clear" w:color="auto" w:fill="auto"/>
            <w:noWrap/>
            <w:vAlign w:val="center"/>
          </w:tcPr>
          <w:p w14:paraId="5A9C10B1" w14:textId="77777777" w:rsidR="00A052DC" w:rsidRDefault="009F0A60">
            <w:pPr>
              <w:widowControl/>
              <w:jc w:val="left"/>
              <w:rPr>
                <w:rFonts w:ascii="黑体" w:eastAsia="黑体" w:hAnsi="宋体" w:cs="宋体"/>
                <w:kern w:val="0"/>
                <w:sz w:val="20"/>
                <w:szCs w:val="20"/>
              </w:rPr>
            </w:pPr>
            <w:r>
              <w:rPr>
                <w:rFonts w:ascii="黑体" w:eastAsia="黑体" w:hAnsi="宋体" w:cs="宋体"/>
                <w:kern w:val="0"/>
                <w:sz w:val="20"/>
                <w:szCs w:val="20"/>
              </w:rPr>
              <w:t>G01表境内银行卡境外消费提现</w:t>
            </w:r>
          </w:p>
        </w:tc>
      </w:tr>
      <w:tr w:rsidR="00A052DC" w14:paraId="665D2D85" w14:textId="77777777">
        <w:trPr>
          <w:cantSplit/>
        </w:trPr>
        <w:tc>
          <w:tcPr>
            <w:tcW w:w="1432" w:type="dxa"/>
            <w:shd w:val="clear" w:color="auto" w:fill="auto"/>
            <w:noWrap/>
            <w:vAlign w:val="center"/>
          </w:tcPr>
          <w:p w14:paraId="1D09E5FA" w14:textId="77777777" w:rsidR="00A052DC" w:rsidRDefault="009F0A60">
            <w:pPr>
              <w:widowControl/>
              <w:jc w:val="center"/>
              <w:rPr>
                <w:rFonts w:ascii="黑体" w:eastAsia="黑体" w:hAnsi="宋体" w:cs="宋体"/>
                <w:kern w:val="0"/>
                <w:sz w:val="20"/>
                <w:szCs w:val="20"/>
              </w:rPr>
            </w:pPr>
            <w:r>
              <w:rPr>
                <w:rFonts w:ascii="黑体" w:eastAsia="黑体" w:hAnsi="宋体" w:cs="宋体"/>
                <w:kern w:val="0"/>
                <w:sz w:val="20"/>
                <w:szCs w:val="20"/>
              </w:rPr>
              <w:t>G02</w:t>
            </w:r>
          </w:p>
        </w:tc>
        <w:tc>
          <w:tcPr>
            <w:tcW w:w="6996" w:type="dxa"/>
            <w:shd w:val="clear" w:color="auto" w:fill="auto"/>
            <w:noWrap/>
            <w:vAlign w:val="center"/>
          </w:tcPr>
          <w:p w14:paraId="1FC8687C" w14:textId="77777777" w:rsidR="00A052DC" w:rsidRDefault="009F0A60">
            <w:pPr>
              <w:widowControl/>
              <w:jc w:val="left"/>
              <w:rPr>
                <w:rFonts w:ascii="黑体" w:eastAsia="黑体" w:hAnsi="宋体" w:cs="宋体"/>
                <w:kern w:val="0"/>
                <w:sz w:val="20"/>
                <w:szCs w:val="20"/>
              </w:rPr>
            </w:pPr>
            <w:r>
              <w:rPr>
                <w:rFonts w:ascii="黑体" w:eastAsia="黑体" w:hAnsi="宋体" w:cs="宋体"/>
                <w:kern w:val="0"/>
                <w:sz w:val="20"/>
                <w:szCs w:val="20"/>
              </w:rPr>
              <w:t>G02表境外银行卡境内消费提现</w:t>
            </w:r>
          </w:p>
        </w:tc>
      </w:tr>
      <w:tr w:rsidR="00A052DC" w14:paraId="6DB67CAF" w14:textId="77777777">
        <w:trPr>
          <w:cantSplit/>
        </w:trPr>
        <w:tc>
          <w:tcPr>
            <w:tcW w:w="1432" w:type="dxa"/>
            <w:shd w:val="clear" w:color="auto" w:fill="auto"/>
            <w:noWrap/>
            <w:vAlign w:val="center"/>
          </w:tcPr>
          <w:p w14:paraId="1FA8244E" w14:textId="77777777" w:rsidR="00A052DC" w:rsidRDefault="009F0A60">
            <w:pPr>
              <w:widowControl/>
              <w:jc w:val="center"/>
              <w:rPr>
                <w:rFonts w:ascii="黑体" w:eastAsia="黑体" w:hAnsi="宋体" w:cs="宋体"/>
                <w:kern w:val="0"/>
                <w:sz w:val="20"/>
                <w:szCs w:val="20"/>
              </w:rPr>
            </w:pPr>
            <w:r>
              <w:rPr>
                <w:rFonts w:ascii="黑体" w:eastAsia="黑体" w:hAnsi="宋体" w:cs="宋体"/>
                <w:kern w:val="0"/>
                <w:sz w:val="20"/>
                <w:szCs w:val="20"/>
              </w:rPr>
              <w:t>G03</w:t>
            </w:r>
          </w:p>
        </w:tc>
        <w:tc>
          <w:tcPr>
            <w:tcW w:w="6996" w:type="dxa"/>
            <w:shd w:val="clear" w:color="auto" w:fill="auto"/>
            <w:noWrap/>
            <w:vAlign w:val="center"/>
          </w:tcPr>
          <w:p w14:paraId="108587C6" w14:textId="77777777" w:rsidR="00A052DC" w:rsidRDefault="009F0A60">
            <w:pPr>
              <w:widowControl/>
              <w:jc w:val="left"/>
              <w:rPr>
                <w:rFonts w:ascii="黑体" w:eastAsia="黑体" w:hAnsi="宋体" w:cs="宋体"/>
                <w:kern w:val="0"/>
                <w:sz w:val="20"/>
                <w:szCs w:val="20"/>
              </w:rPr>
            </w:pPr>
            <w:r>
              <w:rPr>
                <w:rFonts w:ascii="黑体" w:eastAsia="黑体" w:hAnsi="宋体" w:cs="宋体"/>
                <w:kern w:val="0"/>
                <w:sz w:val="20"/>
                <w:szCs w:val="20"/>
              </w:rPr>
              <w:t>G03表非居民持有境内银行卡的收入支出</w:t>
            </w:r>
          </w:p>
        </w:tc>
      </w:tr>
      <w:tr w:rsidR="00A052DC" w14:paraId="3658C0D9" w14:textId="77777777">
        <w:trPr>
          <w:cantSplit/>
        </w:trPr>
        <w:tc>
          <w:tcPr>
            <w:tcW w:w="1432" w:type="dxa"/>
            <w:shd w:val="clear" w:color="auto" w:fill="auto"/>
            <w:noWrap/>
            <w:vAlign w:val="center"/>
          </w:tcPr>
          <w:p w14:paraId="0CDA49E7" w14:textId="77777777" w:rsidR="00A052DC" w:rsidRDefault="009F0A60">
            <w:pPr>
              <w:widowControl/>
              <w:jc w:val="center"/>
              <w:rPr>
                <w:rFonts w:ascii="黑体" w:eastAsia="黑体" w:hAnsi="宋体" w:cs="宋体"/>
                <w:kern w:val="0"/>
                <w:sz w:val="20"/>
                <w:szCs w:val="20"/>
              </w:rPr>
            </w:pPr>
            <w:r>
              <w:rPr>
                <w:rFonts w:ascii="黑体" w:eastAsia="黑体" w:hAnsi="宋体" w:cs="宋体"/>
                <w:kern w:val="0"/>
                <w:sz w:val="20"/>
                <w:szCs w:val="20"/>
              </w:rPr>
              <w:t>H01</w:t>
            </w:r>
          </w:p>
        </w:tc>
        <w:tc>
          <w:tcPr>
            <w:tcW w:w="6996" w:type="dxa"/>
            <w:shd w:val="clear" w:color="auto" w:fill="auto"/>
            <w:noWrap/>
            <w:vAlign w:val="center"/>
          </w:tcPr>
          <w:p w14:paraId="2D51CE01" w14:textId="77777777" w:rsidR="00A052DC" w:rsidRDefault="009F0A60">
            <w:pPr>
              <w:widowControl/>
              <w:jc w:val="left"/>
              <w:rPr>
                <w:rFonts w:ascii="黑体" w:eastAsia="黑体" w:hAnsi="宋体" w:cs="宋体"/>
                <w:kern w:val="0"/>
                <w:sz w:val="20"/>
                <w:szCs w:val="20"/>
              </w:rPr>
            </w:pPr>
            <w:r>
              <w:rPr>
                <w:rFonts w:ascii="黑体" w:eastAsia="黑体" w:hAnsi="宋体" w:cs="宋体"/>
                <w:kern w:val="0"/>
                <w:sz w:val="20"/>
                <w:szCs w:val="20"/>
              </w:rPr>
              <w:t>H01表为非居民托管业务统计（QFII</w:t>
            </w:r>
            <w:r>
              <w:rPr>
                <w:rFonts w:ascii="黑体" w:eastAsia="黑体" w:hAnsi="宋体" w:cs="宋体" w:hint="eastAsia"/>
                <w:kern w:val="0"/>
                <w:sz w:val="20"/>
                <w:szCs w:val="20"/>
              </w:rPr>
              <w:t>/</w:t>
            </w:r>
            <w:r>
              <w:rPr>
                <w:rFonts w:ascii="黑体" w:eastAsia="黑体" w:hAnsi="宋体" w:cs="宋体"/>
                <w:kern w:val="0"/>
                <w:sz w:val="20"/>
                <w:szCs w:val="20"/>
              </w:rPr>
              <w:t>RQFII</w:t>
            </w:r>
            <w:r>
              <w:rPr>
                <w:rFonts w:ascii="黑体" w:eastAsia="黑体" w:hAnsi="宋体" w:cs="宋体" w:hint="eastAsia"/>
                <w:kern w:val="0"/>
                <w:sz w:val="20"/>
                <w:szCs w:val="20"/>
              </w:rPr>
              <w:t>等</w:t>
            </w:r>
            <w:r>
              <w:rPr>
                <w:rFonts w:ascii="黑体" w:eastAsia="黑体" w:hAnsi="宋体" w:cs="宋体"/>
                <w:kern w:val="0"/>
                <w:sz w:val="20"/>
                <w:szCs w:val="20"/>
              </w:rPr>
              <w:t>）</w:t>
            </w:r>
          </w:p>
        </w:tc>
      </w:tr>
      <w:tr w:rsidR="00A052DC" w14:paraId="1E28C0D4" w14:textId="77777777">
        <w:trPr>
          <w:cantSplit/>
        </w:trPr>
        <w:tc>
          <w:tcPr>
            <w:tcW w:w="1432" w:type="dxa"/>
            <w:shd w:val="clear" w:color="auto" w:fill="auto"/>
            <w:noWrap/>
            <w:vAlign w:val="center"/>
          </w:tcPr>
          <w:p w14:paraId="05EB1F6D" w14:textId="77777777" w:rsidR="00A052DC" w:rsidRDefault="009F0A60">
            <w:pPr>
              <w:widowControl/>
              <w:jc w:val="center"/>
              <w:rPr>
                <w:rFonts w:ascii="黑体" w:eastAsia="黑体" w:hAnsi="宋体" w:cs="宋体"/>
                <w:kern w:val="0"/>
                <w:sz w:val="20"/>
                <w:szCs w:val="20"/>
              </w:rPr>
            </w:pPr>
            <w:r>
              <w:rPr>
                <w:rFonts w:ascii="黑体" w:eastAsia="黑体" w:hAnsi="宋体" w:cs="宋体"/>
                <w:kern w:val="0"/>
                <w:sz w:val="20"/>
                <w:szCs w:val="20"/>
              </w:rPr>
              <w:t>H02</w:t>
            </w:r>
          </w:p>
        </w:tc>
        <w:tc>
          <w:tcPr>
            <w:tcW w:w="6996" w:type="dxa"/>
            <w:shd w:val="clear" w:color="auto" w:fill="auto"/>
            <w:noWrap/>
            <w:vAlign w:val="center"/>
          </w:tcPr>
          <w:p w14:paraId="28213CDD" w14:textId="77777777" w:rsidR="00A052DC" w:rsidRDefault="009F0A60">
            <w:pPr>
              <w:widowControl/>
              <w:jc w:val="left"/>
              <w:rPr>
                <w:rFonts w:ascii="黑体" w:eastAsia="黑体" w:hAnsi="宋体" w:cs="宋体"/>
                <w:kern w:val="0"/>
                <w:sz w:val="20"/>
                <w:szCs w:val="20"/>
              </w:rPr>
            </w:pPr>
            <w:r>
              <w:rPr>
                <w:rFonts w:ascii="黑体" w:eastAsia="黑体" w:hAnsi="宋体" w:cs="宋体"/>
                <w:kern w:val="0"/>
                <w:sz w:val="20"/>
                <w:szCs w:val="20"/>
              </w:rPr>
              <w:t>H02表为居民托管业务统计（QDII</w:t>
            </w:r>
            <w:r>
              <w:rPr>
                <w:rFonts w:ascii="黑体" w:eastAsia="黑体" w:hAnsi="宋体" w:cs="宋体" w:hint="eastAsia"/>
                <w:kern w:val="0"/>
                <w:sz w:val="20"/>
                <w:szCs w:val="20"/>
              </w:rPr>
              <w:t>/RQDII</w:t>
            </w:r>
            <w:r>
              <w:rPr>
                <w:rFonts w:ascii="黑体" w:eastAsia="黑体" w:hAnsi="宋体" w:hint="eastAsia"/>
              </w:rPr>
              <w:t>/QDLP/QDIE</w:t>
            </w:r>
            <w:r>
              <w:rPr>
                <w:rFonts w:ascii="黑体" w:eastAsia="黑体" w:hAnsi="宋体" w:cs="宋体" w:hint="eastAsia"/>
                <w:kern w:val="0"/>
                <w:sz w:val="20"/>
                <w:szCs w:val="20"/>
              </w:rPr>
              <w:t>等</w:t>
            </w:r>
            <w:r>
              <w:rPr>
                <w:rFonts w:ascii="黑体" w:eastAsia="黑体" w:hAnsi="宋体" w:cs="宋体"/>
                <w:kern w:val="0"/>
                <w:sz w:val="20"/>
                <w:szCs w:val="20"/>
              </w:rPr>
              <w:t>）</w:t>
            </w:r>
          </w:p>
        </w:tc>
      </w:tr>
      <w:tr w:rsidR="00A052DC" w14:paraId="5B74474D" w14:textId="77777777">
        <w:trPr>
          <w:cantSplit/>
        </w:trPr>
        <w:tc>
          <w:tcPr>
            <w:tcW w:w="1432" w:type="dxa"/>
            <w:shd w:val="clear" w:color="auto" w:fill="auto"/>
            <w:noWrap/>
            <w:vAlign w:val="center"/>
          </w:tcPr>
          <w:p w14:paraId="1C7A56FD" w14:textId="77777777" w:rsidR="00A052DC" w:rsidRDefault="009F0A60">
            <w:pPr>
              <w:widowControl/>
              <w:jc w:val="center"/>
              <w:rPr>
                <w:rFonts w:ascii="黑体" w:eastAsia="黑体" w:hAnsi="宋体" w:cs="宋体"/>
                <w:kern w:val="0"/>
                <w:sz w:val="20"/>
                <w:szCs w:val="20"/>
              </w:rPr>
            </w:pPr>
            <w:r>
              <w:rPr>
                <w:rFonts w:ascii="黑体" w:eastAsia="黑体" w:hAnsi="宋体" w:cs="宋体"/>
                <w:kern w:val="0"/>
                <w:sz w:val="20"/>
                <w:szCs w:val="20"/>
              </w:rPr>
              <w:t>I01</w:t>
            </w:r>
          </w:p>
        </w:tc>
        <w:tc>
          <w:tcPr>
            <w:tcW w:w="6996" w:type="dxa"/>
            <w:shd w:val="clear" w:color="auto" w:fill="auto"/>
            <w:noWrap/>
            <w:vAlign w:val="center"/>
          </w:tcPr>
          <w:p w14:paraId="1C67F6D0" w14:textId="77777777" w:rsidR="00A052DC" w:rsidRDefault="009F0A60">
            <w:pPr>
              <w:widowControl/>
              <w:jc w:val="left"/>
              <w:rPr>
                <w:rFonts w:ascii="黑体" w:eastAsia="黑体" w:hAnsi="宋体" w:cs="宋体"/>
                <w:kern w:val="0"/>
                <w:sz w:val="20"/>
                <w:szCs w:val="20"/>
              </w:rPr>
            </w:pPr>
            <w:r>
              <w:rPr>
                <w:rFonts w:ascii="黑体" w:eastAsia="黑体" w:hAnsi="宋体" w:cs="宋体"/>
                <w:kern w:val="0"/>
                <w:sz w:val="20"/>
                <w:szCs w:val="20"/>
              </w:rPr>
              <w:t>I01表为非居民提供直接保险服务</w:t>
            </w:r>
          </w:p>
        </w:tc>
      </w:tr>
      <w:tr w:rsidR="00A052DC" w14:paraId="7A372892" w14:textId="77777777">
        <w:trPr>
          <w:cantSplit/>
        </w:trPr>
        <w:tc>
          <w:tcPr>
            <w:tcW w:w="1432" w:type="dxa"/>
            <w:shd w:val="clear" w:color="auto" w:fill="auto"/>
            <w:noWrap/>
            <w:vAlign w:val="center"/>
          </w:tcPr>
          <w:p w14:paraId="16E04897" w14:textId="77777777" w:rsidR="00A052DC" w:rsidRDefault="009F0A60">
            <w:pPr>
              <w:widowControl/>
              <w:jc w:val="center"/>
              <w:rPr>
                <w:rFonts w:ascii="黑体" w:eastAsia="黑体" w:hAnsi="宋体" w:cs="宋体"/>
                <w:kern w:val="0"/>
                <w:sz w:val="20"/>
                <w:szCs w:val="20"/>
              </w:rPr>
            </w:pPr>
            <w:r>
              <w:rPr>
                <w:rFonts w:ascii="黑体" w:eastAsia="黑体" w:hAnsi="宋体" w:cs="宋体"/>
                <w:kern w:val="0"/>
                <w:sz w:val="20"/>
                <w:szCs w:val="20"/>
              </w:rPr>
              <w:t>I02</w:t>
            </w:r>
          </w:p>
        </w:tc>
        <w:tc>
          <w:tcPr>
            <w:tcW w:w="6996" w:type="dxa"/>
            <w:shd w:val="clear" w:color="auto" w:fill="auto"/>
            <w:noWrap/>
            <w:vAlign w:val="center"/>
          </w:tcPr>
          <w:p w14:paraId="354D86BF" w14:textId="77777777" w:rsidR="00A052DC" w:rsidRDefault="009F0A60">
            <w:pPr>
              <w:widowControl/>
              <w:jc w:val="left"/>
              <w:rPr>
                <w:rFonts w:ascii="黑体" w:eastAsia="黑体" w:hAnsi="宋体" w:cs="宋体"/>
                <w:kern w:val="0"/>
                <w:sz w:val="20"/>
                <w:szCs w:val="20"/>
              </w:rPr>
            </w:pPr>
            <w:r>
              <w:rPr>
                <w:rFonts w:ascii="黑体" w:eastAsia="黑体" w:hAnsi="宋体" w:cs="宋体"/>
                <w:kern w:val="0"/>
                <w:sz w:val="20"/>
                <w:szCs w:val="20"/>
              </w:rPr>
              <w:t>I02表为非居民提供再保险服务（分入保险）</w:t>
            </w:r>
          </w:p>
        </w:tc>
      </w:tr>
      <w:tr w:rsidR="00A052DC" w14:paraId="1811F363" w14:textId="77777777">
        <w:trPr>
          <w:cantSplit/>
        </w:trPr>
        <w:tc>
          <w:tcPr>
            <w:tcW w:w="1432" w:type="dxa"/>
            <w:shd w:val="clear" w:color="auto" w:fill="auto"/>
            <w:noWrap/>
            <w:vAlign w:val="center"/>
          </w:tcPr>
          <w:p w14:paraId="311C6B6A" w14:textId="77777777" w:rsidR="00A052DC" w:rsidRDefault="009F0A60">
            <w:pPr>
              <w:widowControl/>
              <w:jc w:val="center"/>
              <w:rPr>
                <w:rFonts w:ascii="黑体" w:eastAsia="黑体" w:hAnsi="宋体" w:cs="宋体"/>
                <w:kern w:val="0"/>
                <w:sz w:val="20"/>
                <w:szCs w:val="20"/>
              </w:rPr>
            </w:pPr>
            <w:r>
              <w:rPr>
                <w:rFonts w:ascii="黑体" w:eastAsia="黑体" w:hAnsi="宋体" w:cs="宋体"/>
                <w:kern w:val="0"/>
                <w:sz w:val="20"/>
                <w:szCs w:val="20"/>
              </w:rPr>
              <w:t>I03</w:t>
            </w:r>
          </w:p>
        </w:tc>
        <w:tc>
          <w:tcPr>
            <w:tcW w:w="6996" w:type="dxa"/>
            <w:shd w:val="clear" w:color="auto" w:fill="auto"/>
            <w:noWrap/>
            <w:vAlign w:val="center"/>
          </w:tcPr>
          <w:p w14:paraId="2A519D72" w14:textId="77777777" w:rsidR="00A052DC" w:rsidRDefault="009F0A60">
            <w:pPr>
              <w:widowControl/>
              <w:jc w:val="left"/>
              <w:rPr>
                <w:rFonts w:ascii="黑体" w:eastAsia="黑体" w:hAnsi="宋体" w:cs="宋体"/>
                <w:kern w:val="0"/>
                <w:sz w:val="20"/>
                <w:szCs w:val="20"/>
              </w:rPr>
            </w:pPr>
            <w:r>
              <w:rPr>
                <w:rFonts w:ascii="黑体" w:eastAsia="黑体" w:hAnsi="宋体" w:cs="宋体"/>
                <w:kern w:val="0"/>
                <w:sz w:val="20"/>
                <w:szCs w:val="20"/>
              </w:rPr>
              <w:t>I03表从非居民保险机构获得再保险服务（分出保险）</w:t>
            </w:r>
          </w:p>
        </w:tc>
      </w:tr>
      <w:tr w:rsidR="00A052DC" w14:paraId="2BAC7FB1" w14:textId="77777777">
        <w:trPr>
          <w:cantSplit/>
        </w:trPr>
        <w:tc>
          <w:tcPr>
            <w:tcW w:w="1432" w:type="dxa"/>
            <w:shd w:val="clear" w:color="auto" w:fill="auto"/>
            <w:noWrap/>
            <w:vAlign w:val="center"/>
          </w:tcPr>
          <w:p w14:paraId="03B2CFB2" w14:textId="77777777" w:rsidR="00A052DC" w:rsidRDefault="009F0A60">
            <w:pPr>
              <w:widowControl/>
              <w:jc w:val="center"/>
              <w:rPr>
                <w:rFonts w:ascii="黑体" w:eastAsia="黑体" w:hAnsi="宋体" w:cs="宋体"/>
                <w:kern w:val="0"/>
                <w:sz w:val="20"/>
                <w:szCs w:val="20"/>
              </w:rPr>
            </w:pPr>
            <w:r>
              <w:rPr>
                <w:rFonts w:ascii="黑体" w:eastAsia="黑体" w:hAnsi="宋体" w:cs="宋体"/>
                <w:kern w:val="0"/>
                <w:sz w:val="20"/>
                <w:szCs w:val="20"/>
              </w:rPr>
              <w:t>X01</w:t>
            </w:r>
          </w:p>
        </w:tc>
        <w:tc>
          <w:tcPr>
            <w:tcW w:w="6996" w:type="dxa"/>
            <w:shd w:val="clear" w:color="auto" w:fill="auto"/>
            <w:noWrap/>
            <w:vAlign w:val="center"/>
          </w:tcPr>
          <w:p w14:paraId="7DD69203" w14:textId="77777777" w:rsidR="00A052DC" w:rsidRDefault="009F0A60">
            <w:pPr>
              <w:widowControl/>
              <w:jc w:val="left"/>
              <w:rPr>
                <w:rFonts w:ascii="黑体" w:eastAsia="黑体" w:hAnsi="宋体" w:cs="宋体"/>
                <w:kern w:val="0"/>
                <w:sz w:val="20"/>
                <w:szCs w:val="20"/>
              </w:rPr>
            </w:pPr>
            <w:r>
              <w:rPr>
                <w:rFonts w:ascii="黑体" w:eastAsia="黑体" w:hAnsi="宋体" w:cs="宋体"/>
                <w:kern w:val="0"/>
                <w:sz w:val="20"/>
                <w:szCs w:val="20"/>
              </w:rPr>
              <w:t>X01表银行进出口贸易融资余额</w:t>
            </w:r>
          </w:p>
        </w:tc>
      </w:tr>
    </w:tbl>
    <w:p w14:paraId="13AB73DC" w14:textId="77777777" w:rsidR="00A052DC" w:rsidRDefault="009F0A60">
      <w:pPr>
        <w:pStyle w:val="3"/>
        <w:ind w:left="0"/>
        <w:rPr>
          <w:rFonts w:ascii="Times New Roman" w:hAnsi="Times New Roman"/>
        </w:rPr>
      </w:pPr>
      <w:bookmarkStart w:id="5015" w:name="_Toc91455555"/>
      <w:bookmarkStart w:id="5016" w:name="_Toc454394898"/>
      <w:bookmarkStart w:id="5017" w:name="_Toc101684580"/>
      <w:r>
        <w:rPr>
          <w:rFonts w:ascii="Times New Roman" w:hAnsi="Times New Roman" w:hint="eastAsia"/>
        </w:rPr>
        <w:t>境外（被）投资者所属行业表</w:t>
      </w:r>
      <w:bookmarkEnd w:id="5013"/>
      <w:bookmarkEnd w:id="5015"/>
      <w:bookmarkEnd w:id="5016"/>
      <w:bookmarkEnd w:id="501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6946"/>
      </w:tblGrid>
      <w:tr w:rsidR="00A052DC" w14:paraId="5CD701F0" w14:textId="77777777" w:rsidTr="00D95193">
        <w:trPr>
          <w:tblHeader/>
        </w:trPr>
        <w:tc>
          <w:tcPr>
            <w:tcW w:w="1526" w:type="dxa"/>
            <w:shd w:val="clear" w:color="auto" w:fill="BFBFBF" w:themeFill="background1" w:themeFillShade="BF"/>
          </w:tcPr>
          <w:p w14:paraId="33886822" w14:textId="77777777" w:rsidR="00881462" w:rsidRDefault="009F0A60">
            <w:pPr>
              <w:pStyle w:val="B1"/>
            </w:pPr>
            <w:r>
              <w:rPr>
                <w:rFonts w:hint="eastAsia"/>
              </w:rPr>
              <w:t>代码</w:t>
            </w:r>
          </w:p>
        </w:tc>
        <w:tc>
          <w:tcPr>
            <w:tcW w:w="6946" w:type="dxa"/>
            <w:shd w:val="clear" w:color="auto" w:fill="BFBFBF" w:themeFill="background1" w:themeFillShade="BF"/>
          </w:tcPr>
          <w:p w14:paraId="130FB672" w14:textId="77777777" w:rsidR="00881462" w:rsidRDefault="009F0A60">
            <w:pPr>
              <w:pStyle w:val="B1"/>
            </w:pPr>
            <w:r>
              <w:rPr>
                <w:rFonts w:hint="eastAsia"/>
              </w:rPr>
              <w:t>行业</w:t>
            </w:r>
          </w:p>
        </w:tc>
      </w:tr>
      <w:tr w:rsidR="00A052DC" w14:paraId="2F4AF741" w14:textId="77777777" w:rsidTr="00197ADB">
        <w:tc>
          <w:tcPr>
            <w:tcW w:w="1526" w:type="dxa"/>
            <w:vAlign w:val="center"/>
          </w:tcPr>
          <w:p w14:paraId="3F723BD0" w14:textId="77777777" w:rsidR="00A052DC" w:rsidRDefault="009F0A60">
            <w:pPr>
              <w:jc w:val="center"/>
              <w:rPr>
                <w:rFonts w:ascii="黑体" w:eastAsia="黑体"/>
                <w:sz w:val="20"/>
                <w:szCs w:val="20"/>
              </w:rPr>
            </w:pPr>
            <w:r>
              <w:rPr>
                <w:rFonts w:ascii="黑体" w:eastAsia="黑体"/>
                <w:sz w:val="20"/>
                <w:szCs w:val="20"/>
              </w:rPr>
              <w:t>1</w:t>
            </w:r>
          </w:p>
        </w:tc>
        <w:tc>
          <w:tcPr>
            <w:tcW w:w="6946" w:type="dxa"/>
            <w:vAlign w:val="center"/>
          </w:tcPr>
          <w:p w14:paraId="1C6D7C6C" w14:textId="77777777" w:rsidR="00A052DC" w:rsidRDefault="009F0A60">
            <w:pPr>
              <w:rPr>
                <w:rFonts w:ascii="黑体" w:eastAsia="黑体"/>
                <w:sz w:val="20"/>
                <w:szCs w:val="20"/>
              </w:rPr>
            </w:pPr>
            <w:r>
              <w:rPr>
                <w:rFonts w:ascii="黑体" w:eastAsia="黑体" w:hint="eastAsia"/>
                <w:sz w:val="20"/>
                <w:szCs w:val="20"/>
              </w:rPr>
              <w:t>银行</w:t>
            </w:r>
          </w:p>
        </w:tc>
      </w:tr>
      <w:tr w:rsidR="00A052DC" w14:paraId="0D1FCC46" w14:textId="77777777" w:rsidTr="00197ADB">
        <w:tc>
          <w:tcPr>
            <w:tcW w:w="1526" w:type="dxa"/>
            <w:vAlign w:val="center"/>
          </w:tcPr>
          <w:p w14:paraId="69FC3F0B" w14:textId="77777777" w:rsidR="00A052DC" w:rsidRDefault="009F0A60">
            <w:pPr>
              <w:jc w:val="center"/>
              <w:rPr>
                <w:rFonts w:ascii="黑体" w:eastAsia="黑体"/>
                <w:sz w:val="20"/>
                <w:szCs w:val="20"/>
              </w:rPr>
            </w:pPr>
            <w:r>
              <w:rPr>
                <w:rFonts w:ascii="黑体" w:eastAsia="黑体"/>
                <w:sz w:val="20"/>
                <w:szCs w:val="20"/>
              </w:rPr>
              <w:t>2</w:t>
            </w:r>
          </w:p>
        </w:tc>
        <w:tc>
          <w:tcPr>
            <w:tcW w:w="6946" w:type="dxa"/>
            <w:vAlign w:val="center"/>
          </w:tcPr>
          <w:p w14:paraId="0D0B7F50" w14:textId="77777777" w:rsidR="00A052DC" w:rsidRDefault="009F0A60">
            <w:pPr>
              <w:rPr>
                <w:rFonts w:ascii="黑体" w:eastAsia="黑体"/>
                <w:sz w:val="20"/>
                <w:szCs w:val="20"/>
              </w:rPr>
            </w:pPr>
            <w:r>
              <w:rPr>
                <w:rFonts w:ascii="黑体" w:eastAsia="黑体" w:hint="eastAsia"/>
                <w:sz w:val="20"/>
                <w:szCs w:val="20"/>
              </w:rPr>
              <w:t>证券公司（含证券公司、公募或私募基金、期货公司等以资本市场活动为主营业务的机构）</w:t>
            </w:r>
          </w:p>
        </w:tc>
      </w:tr>
      <w:tr w:rsidR="00A052DC" w14:paraId="07E3C9A1" w14:textId="77777777" w:rsidTr="00197ADB">
        <w:tc>
          <w:tcPr>
            <w:tcW w:w="1526" w:type="dxa"/>
            <w:vAlign w:val="center"/>
          </w:tcPr>
          <w:p w14:paraId="17EC535A" w14:textId="77777777" w:rsidR="00A052DC" w:rsidRDefault="009F0A60">
            <w:pPr>
              <w:jc w:val="center"/>
              <w:rPr>
                <w:rFonts w:ascii="黑体" w:eastAsia="黑体"/>
                <w:sz w:val="20"/>
                <w:szCs w:val="20"/>
              </w:rPr>
            </w:pPr>
            <w:r>
              <w:rPr>
                <w:rFonts w:ascii="黑体" w:eastAsia="黑体"/>
                <w:sz w:val="20"/>
                <w:szCs w:val="20"/>
              </w:rPr>
              <w:t>3</w:t>
            </w:r>
          </w:p>
        </w:tc>
        <w:tc>
          <w:tcPr>
            <w:tcW w:w="6946" w:type="dxa"/>
            <w:vAlign w:val="center"/>
          </w:tcPr>
          <w:p w14:paraId="604666D4" w14:textId="77777777" w:rsidR="00A052DC" w:rsidRDefault="009F0A60">
            <w:pPr>
              <w:rPr>
                <w:rFonts w:ascii="黑体" w:eastAsia="黑体"/>
                <w:sz w:val="20"/>
                <w:szCs w:val="20"/>
              </w:rPr>
            </w:pPr>
            <w:r>
              <w:rPr>
                <w:rFonts w:ascii="黑体" w:eastAsia="黑体" w:hint="eastAsia"/>
                <w:sz w:val="20"/>
                <w:szCs w:val="20"/>
              </w:rPr>
              <w:t>保险公司</w:t>
            </w:r>
          </w:p>
        </w:tc>
      </w:tr>
      <w:tr w:rsidR="00A052DC" w14:paraId="0BA401BE" w14:textId="77777777" w:rsidTr="00197ADB">
        <w:tc>
          <w:tcPr>
            <w:tcW w:w="1526" w:type="dxa"/>
            <w:vAlign w:val="center"/>
          </w:tcPr>
          <w:p w14:paraId="48BAED92" w14:textId="77777777" w:rsidR="00A052DC" w:rsidRDefault="009F0A60">
            <w:pPr>
              <w:jc w:val="center"/>
              <w:rPr>
                <w:rFonts w:ascii="黑体" w:eastAsia="黑体"/>
                <w:sz w:val="20"/>
                <w:szCs w:val="20"/>
              </w:rPr>
            </w:pPr>
            <w:r>
              <w:rPr>
                <w:rFonts w:ascii="黑体" w:eastAsia="黑体"/>
                <w:sz w:val="20"/>
                <w:szCs w:val="20"/>
              </w:rPr>
              <w:t>4</w:t>
            </w:r>
          </w:p>
        </w:tc>
        <w:tc>
          <w:tcPr>
            <w:tcW w:w="6946" w:type="dxa"/>
            <w:vAlign w:val="center"/>
          </w:tcPr>
          <w:p w14:paraId="4638C9D6" w14:textId="77777777" w:rsidR="00A052DC" w:rsidRDefault="009F0A60">
            <w:pPr>
              <w:rPr>
                <w:rFonts w:ascii="黑体" w:eastAsia="黑体"/>
                <w:sz w:val="20"/>
                <w:szCs w:val="20"/>
              </w:rPr>
            </w:pPr>
            <w:r>
              <w:rPr>
                <w:rFonts w:ascii="黑体" w:eastAsia="黑体" w:hint="eastAsia"/>
                <w:sz w:val="20"/>
                <w:szCs w:val="20"/>
              </w:rPr>
              <w:t>财务公司</w:t>
            </w:r>
          </w:p>
        </w:tc>
      </w:tr>
      <w:tr w:rsidR="00A052DC" w14:paraId="5E6814F1" w14:textId="77777777" w:rsidTr="00197ADB">
        <w:tc>
          <w:tcPr>
            <w:tcW w:w="1526" w:type="dxa"/>
            <w:vAlign w:val="center"/>
          </w:tcPr>
          <w:p w14:paraId="2DE39830" w14:textId="77777777" w:rsidR="00A052DC" w:rsidRDefault="009F0A60">
            <w:pPr>
              <w:jc w:val="center"/>
              <w:rPr>
                <w:rFonts w:ascii="黑体" w:eastAsia="黑体"/>
                <w:sz w:val="20"/>
                <w:szCs w:val="20"/>
              </w:rPr>
            </w:pPr>
            <w:r>
              <w:rPr>
                <w:rFonts w:ascii="黑体" w:eastAsia="黑体"/>
                <w:sz w:val="20"/>
                <w:szCs w:val="20"/>
              </w:rPr>
              <w:t>5</w:t>
            </w:r>
          </w:p>
        </w:tc>
        <w:tc>
          <w:tcPr>
            <w:tcW w:w="6946" w:type="dxa"/>
            <w:vAlign w:val="center"/>
          </w:tcPr>
          <w:p w14:paraId="0F522BD4" w14:textId="77777777" w:rsidR="00A052DC" w:rsidRDefault="009F0A60">
            <w:pPr>
              <w:rPr>
                <w:rFonts w:ascii="黑体" w:eastAsia="黑体"/>
                <w:sz w:val="20"/>
                <w:szCs w:val="20"/>
              </w:rPr>
            </w:pPr>
            <w:r>
              <w:rPr>
                <w:rFonts w:ascii="黑体" w:eastAsia="黑体" w:hint="eastAsia"/>
                <w:sz w:val="20"/>
                <w:szCs w:val="20"/>
              </w:rPr>
              <w:t>其他类金融机构</w:t>
            </w:r>
          </w:p>
        </w:tc>
      </w:tr>
      <w:tr w:rsidR="00A052DC" w14:paraId="55477A2B" w14:textId="77777777" w:rsidTr="00197ADB">
        <w:tc>
          <w:tcPr>
            <w:tcW w:w="1526" w:type="dxa"/>
            <w:vAlign w:val="center"/>
          </w:tcPr>
          <w:p w14:paraId="59F852D7" w14:textId="77777777" w:rsidR="00A052DC" w:rsidRDefault="009F0A60">
            <w:pPr>
              <w:jc w:val="center"/>
              <w:rPr>
                <w:rFonts w:ascii="黑体" w:eastAsia="黑体"/>
                <w:sz w:val="20"/>
                <w:szCs w:val="20"/>
              </w:rPr>
            </w:pPr>
            <w:r>
              <w:rPr>
                <w:rFonts w:ascii="黑体" w:eastAsia="黑体"/>
                <w:sz w:val="20"/>
                <w:szCs w:val="20"/>
              </w:rPr>
              <w:t>6</w:t>
            </w:r>
          </w:p>
        </w:tc>
        <w:tc>
          <w:tcPr>
            <w:tcW w:w="6946" w:type="dxa"/>
            <w:vAlign w:val="center"/>
          </w:tcPr>
          <w:p w14:paraId="268EF486" w14:textId="77777777" w:rsidR="00A052DC" w:rsidRDefault="009F0A60">
            <w:pPr>
              <w:rPr>
                <w:rFonts w:ascii="黑体" w:eastAsia="黑体"/>
                <w:sz w:val="20"/>
                <w:szCs w:val="20"/>
              </w:rPr>
            </w:pPr>
            <w:r>
              <w:rPr>
                <w:rFonts w:ascii="黑体" w:eastAsia="黑体" w:hint="eastAsia"/>
                <w:sz w:val="20"/>
                <w:szCs w:val="20"/>
              </w:rPr>
              <w:t>非金融类机构</w:t>
            </w:r>
          </w:p>
        </w:tc>
      </w:tr>
      <w:tr w:rsidR="00A052DC" w14:paraId="3AC82E4D" w14:textId="77777777" w:rsidTr="00197ADB">
        <w:tc>
          <w:tcPr>
            <w:tcW w:w="1526" w:type="dxa"/>
            <w:vAlign w:val="center"/>
          </w:tcPr>
          <w:p w14:paraId="32269405" w14:textId="77777777" w:rsidR="00A052DC" w:rsidRDefault="009F0A60">
            <w:pPr>
              <w:jc w:val="center"/>
              <w:rPr>
                <w:rFonts w:ascii="黑体" w:eastAsia="黑体"/>
                <w:sz w:val="20"/>
                <w:szCs w:val="20"/>
              </w:rPr>
            </w:pPr>
            <w:r>
              <w:rPr>
                <w:rFonts w:ascii="黑体" w:eastAsia="黑体"/>
                <w:sz w:val="20"/>
                <w:szCs w:val="20"/>
              </w:rPr>
              <w:t>7</w:t>
            </w:r>
          </w:p>
        </w:tc>
        <w:tc>
          <w:tcPr>
            <w:tcW w:w="6946" w:type="dxa"/>
            <w:vAlign w:val="center"/>
          </w:tcPr>
          <w:p w14:paraId="0D0959D6" w14:textId="77777777" w:rsidR="00A052DC" w:rsidRDefault="009F0A60">
            <w:pPr>
              <w:rPr>
                <w:rFonts w:ascii="黑体" w:eastAsia="黑体"/>
                <w:sz w:val="20"/>
                <w:szCs w:val="20"/>
              </w:rPr>
            </w:pPr>
            <w:r>
              <w:rPr>
                <w:rFonts w:ascii="黑体" w:eastAsia="黑体" w:hint="eastAsia"/>
                <w:sz w:val="20"/>
                <w:szCs w:val="20"/>
              </w:rPr>
              <w:t>个人</w:t>
            </w:r>
          </w:p>
        </w:tc>
      </w:tr>
      <w:tr w:rsidR="00A052DC" w14:paraId="009D750A" w14:textId="77777777" w:rsidTr="00197ADB">
        <w:tc>
          <w:tcPr>
            <w:tcW w:w="1526" w:type="dxa"/>
            <w:vAlign w:val="center"/>
          </w:tcPr>
          <w:p w14:paraId="2CA5055C" w14:textId="77777777" w:rsidR="00A052DC" w:rsidRDefault="009F0A60">
            <w:pPr>
              <w:jc w:val="center"/>
              <w:rPr>
                <w:rFonts w:ascii="黑体" w:eastAsia="黑体"/>
                <w:sz w:val="20"/>
                <w:szCs w:val="20"/>
              </w:rPr>
            </w:pPr>
            <w:r>
              <w:rPr>
                <w:rFonts w:ascii="黑体" w:eastAsia="黑体"/>
                <w:sz w:val="20"/>
                <w:szCs w:val="20"/>
              </w:rPr>
              <w:t>8</w:t>
            </w:r>
          </w:p>
        </w:tc>
        <w:tc>
          <w:tcPr>
            <w:tcW w:w="6946" w:type="dxa"/>
            <w:vAlign w:val="center"/>
          </w:tcPr>
          <w:p w14:paraId="51CB558A" w14:textId="77777777" w:rsidR="00A052DC" w:rsidRDefault="009F0A60">
            <w:pPr>
              <w:rPr>
                <w:rFonts w:ascii="黑体" w:eastAsia="黑体"/>
                <w:sz w:val="20"/>
                <w:szCs w:val="20"/>
              </w:rPr>
            </w:pPr>
            <w:r>
              <w:rPr>
                <w:rFonts w:ascii="黑体" w:eastAsia="黑体" w:hint="eastAsia"/>
                <w:sz w:val="20"/>
                <w:szCs w:val="20"/>
              </w:rPr>
              <w:t>政府</w:t>
            </w:r>
          </w:p>
        </w:tc>
      </w:tr>
      <w:tr w:rsidR="00A052DC" w14:paraId="177C4C9D" w14:textId="77777777" w:rsidTr="00197ADB">
        <w:tc>
          <w:tcPr>
            <w:tcW w:w="1526" w:type="dxa"/>
            <w:vAlign w:val="center"/>
          </w:tcPr>
          <w:p w14:paraId="339FB54F" w14:textId="77777777" w:rsidR="00A052DC" w:rsidRDefault="009F0A60">
            <w:pPr>
              <w:jc w:val="center"/>
              <w:rPr>
                <w:rFonts w:ascii="黑体" w:eastAsia="黑体"/>
                <w:sz w:val="20"/>
                <w:szCs w:val="20"/>
              </w:rPr>
            </w:pPr>
            <w:r>
              <w:rPr>
                <w:rFonts w:ascii="黑体" w:eastAsia="黑体"/>
                <w:sz w:val="20"/>
                <w:szCs w:val="20"/>
              </w:rPr>
              <w:t>9</w:t>
            </w:r>
          </w:p>
        </w:tc>
        <w:tc>
          <w:tcPr>
            <w:tcW w:w="6946" w:type="dxa"/>
            <w:vAlign w:val="center"/>
          </w:tcPr>
          <w:p w14:paraId="10FB65C7" w14:textId="77777777" w:rsidR="00A052DC" w:rsidRDefault="009F0A60">
            <w:pPr>
              <w:rPr>
                <w:rFonts w:ascii="黑体" w:eastAsia="黑体"/>
                <w:sz w:val="20"/>
                <w:szCs w:val="20"/>
              </w:rPr>
            </w:pPr>
            <w:r>
              <w:rPr>
                <w:rFonts w:ascii="黑体" w:eastAsia="黑体" w:hint="eastAsia"/>
                <w:sz w:val="20"/>
                <w:szCs w:val="20"/>
              </w:rPr>
              <w:t>中央银行/货币当局</w:t>
            </w:r>
          </w:p>
        </w:tc>
      </w:tr>
      <w:tr w:rsidR="00A052DC" w14:paraId="3828888E" w14:textId="77777777" w:rsidTr="00197ADB">
        <w:tc>
          <w:tcPr>
            <w:tcW w:w="1526" w:type="dxa"/>
            <w:vAlign w:val="center"/>
          </w:tcPr>
          <w:p w14:paraId="1693DF8B" w14:textId="77777777" w:rsidR="00A052DC" w:rsidRDefault="009F0A60">
            <w:pPr>
              <w:jc w:val="center"/>
              <w:rPr>
                <w:rFonts w:ascii="黑体" w:eastAsia="黑体"/>
                <w:sz w:val="20"/>
                <w:szCs w:val="20"/>
              </w:rPr>
            </w:pPr>
            <w:r>
              <w:rPr>
                <w:rFonts w:ascii="黑体" w:eastAsia="黑体" w:hint="eastAsia"/>
                <w:sz w:val="20"/>
                <w:szCs w:val="20"/>
              </w:rPr>
              <w:t>10</w:t>
            </w:r>
          </w:p>
        </w:tc>
        <w:tc>
          <w:tcPr>
            <w:tcW w:w="6946" w:type="dxa"/>
            <w:vAlign w:val="center"/>
          </w:tcPr>
          <w:p w14:paraId="41F391AE" w14:textId="77777777" w:rsidR="00A052DC" w:rsidRDefault="009F0A60">
            <w:pPr>
              <w:rPr>
                <w:rFonts w:ascii="黑体" w:eastAsia="黑体"/>
                <w:sz w:val="20"/>
                <w:szCs w:val="20"/>
              </w:rPr>
            </w:pPr>
            <w:r>
              <w:rPr>
                <w:rFonts w:ascii="黑体" w:eastAsia="黑体" w:hint="eastAsia"/>
                <w:sz w:val="20"/>
                <w:szCs w:val="20"/>
              </w:rPr>
              <w:t>为住户服务的非营利机构</w:t>
            </w:r>
          </w:p>
        </w:tc>
      </w:tr>
      <w:tr w:rsidR="00A052DC" w14:paraId="42CB0990" w14:textId="77777777" w:rsidTr="00197ADB">
        <w:tc>
          <w:tcPr>
            <w:tcW w:w="1526" w:type="dxa"/>
            <w:vAlign w:val="center"/>
          </w:tcPr>
          <w:p w14:paraId="060B848F" w14:textId="77777777" w:rsidR="00A052DC" w:rsidRDefault="009F0A60">
            <w:pPr>
              <w:jc w:val="center"/>
              <w:rPr>
                <w:rFonts w:ascii="黑体" w:eastAsia="黑体"/>
                <w:sz w:val="20"/>
                <w:szCs w:val="20"/>
              </w:rPr>
            </w:pPr>
            <w:r>
              <w:rPr>
                <w:rFonts w:ascii="黑体" w:eastAsia="黑体" w:hint="eastAsia"/>
                <w:sz w:val="20"/>
                <w:szCs w:val="20"/>
              </w:rPr>
              <w:t xml:space="preserve">11 </w:t>
            </w:r>
          </w:p>
        </w:tc>
        <w:tc>
          <w:tcPr>
            <w:tcW w:w="6946" w:type="dxa"/>
            <w:vAlign w:val="center"/>
          </w:tcPr>
          <w:p w14:paraId="02E914AE" w14:textId="77777777" w:rsidR="00A052DC" w:rsidRDefault="009F0A60">
            <w:pPr>
              <w:rPr>
                <w:rFonts w:ascii="黑体" w:eastAsia="黑体"/>
                <w:sz w:val="20"/>
                <w:szCs w:val="20"/>
              </w:rPr>
            </w:pPr>
            <w:r>
              <w:rPr>
                <w:rFonts w:ascii="黑体" w:eastAsia="黑体" w:hint="eastAsia"/>
                <w:sz w:val="20"/>
                <w:szCs w:val="20"/>
              </w:rPr>
              <w:t>不动产</w:t>
            </w:r>
          </w:p>
        </w:tc>
      </w:tr>
    </w:tbl>
    <w:p w14:paraId="023AB58E" w14:textId="77777777" w:rsidR="00A052DC" w:rsidRDefault="009F0A60" w:rsidP="00D42F74">
      <w:pPr>
        <w:pStyle w:val="3"/>
        <w:ind w:left="0"/>
        <w:rPr>
          <w:rFonts w:ascii="Times New Roman" w:hAnsi="Times New Roman"/>
        </w:rPr>
      </w:pPr>
      <w:bookmarkStart w:id="5018" w:name="_Toc380356338"/>
      <w:bookmarkStart w:id="5019" w:name="_Toc454394899"/>
      <w:bookmarkStart w:id="5020" w:name="_Toc91455556"/>
      <w:bookmarkStart w:id="5021" w:name="_Toc101684581"/>
      <w:r>
        <w:rPr>
          <w:rFonts w:ascii="Times New Roman" w:hAnsi="Times New Roman" w:hint="eastAsia"/>
        </w:rPr>
        <w:t>对方与本机构</w:t>
      </w:r>
      <w:r>
        <w:rPr>
          <w:rFonts w:ascii="Times New Roman" w:hAnsi="Times New Roman"/>
        </w:rPr>
        <w:t>/</w:t>
      </w:r>
      <w:r>
        <w:rPr>
          <w:rFonts w:ascii="Times New Roman" w:hAnsi="Times New Roman" w:hint="eastAsia"/>
        </w:rPr>
        <w:t>被代理居民机构</w:t>
      </w:r>
      <w:r>
        <w:rPr>
          <w:rFonts w:ascii="Times New Roman" w:hAnsi="Times New Roman"/>
        </w:rPr>
        <w:t>/</w:t>
      </w:r>
      <w:r>
        <w:rPr>
          <w:rFonts w:ascii="Times New Roman" w:hAnsi="Times New Roman" w:hint="eastAsia"/>
        </w:rPr>
        <w:t>委托人的关系</w:t>
      </w:r>
      <w:bookmarkEnd w:id="5018"/>
      <w:bookmarkEnd w:id="5019"/>
      <w:bookmarkEnd w:id="5020"/>
      <w:bookmarkEnd w:id="5021"/>
    </w:p>
    <w:tbl>
      <w:tblPr>
        <w:tblW w:w="0" w:type="auto"/>
        <w:tblInd w:w="94" w:type="dxa"/>
        <w:tblLook w:val="04A0" w:firstRow="1" w:lastRow="0" w:firstColumn="1" w:lastColumn="0" w:noHBand="0" w:noVBand="1"/>
      </w:tblPr>
      <w:tblGrid>
        <w:gridCol w:w="2242"/>
        <w:gridCol w:w="6186"/>
      </w:tblGrid>
      <w:tr w:rsidR="00A052DC" w14:paraId="62694D49" w14:textId="77777777" w:rsidTr="00D95193">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153C3B5" w14:textId="77777777" w:rsidR="00881462" w:rsidRDefault="009F0A60">
            <w:pPr>
              <w:pStyle w:val="B1"/>
            </w:pPr>
            <w:r>
              <w:rPr>
                <w:rFonts w:hint="eastAsia"/>
              </w:rPr>
              <w:t>对方与本机构</w:t>
            </w:r>
            <w:r>
              <w:t>/被代理居民机构/委托人的关系</w:t>
            </w:r>
            <w:r>
              <w:rPr>
                <w:rFonts w:hint="eastAsia"/>
              </w:rPr>
              <w:t>的关系代码</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tcPr>
          <w:p w14:paraId="2587B64C" w14:textId="77777777" w:rsidR="00881462" w:rsidRDefault="009F0A60">
            <w:pPr>
              <w:pStyle w:val="B1"/>
            </w:pPr>
            <w:r>
              <w:rPr>
                <w:rFonts w:hint="eastAsia"/>
              </w:rPr>
              <w:t>对方与本机构</w:t>
            </w:r>
            <w:r>
              <w:t>/被代理居民机构/委托人的关系</w:t>
            </w:r>
            <w:r>
              <w:rPr>
                <w:rFonts w:hint="eastAsia"/>
              </w:rPr>
              <w:t>的关系</w:t>
            </w:r>
          </w:p>
        </w:tc>
      </w:tr>
      <w:tr w:rsidR="00A052DC" w14:paraId="661FA685" w14:textId="77777777">
        <w:tc>
          <w:tcPr>
            <w:tcW w:w="0" w:type="auto"/>
            <w:tcBorders>
              <w:top w:val="nil"/>
              <w:left w:val="single" w:sz="4" w:space="0" w:color="auto"/>
              <w:bottom w:val="single" w:sz="4" w:space="0" w:color="auto"/>
              <w:right w:val="single" w:sz="4" w:space="0" w:color="auto"/>
            </w:tcBorders>
            <w:shd w:val="clear" w:color="auto" w:fill="auto"/>
            <w:vAlign w:val="center"/>
          </w:tcPr>
          <w:p w14:paraId="7CC6D4E3" w14:textId="77777777" w:rsidR="00A052DC" w:rsidRDefault="009F0A60">
            <w:pPr>
              <w:pStyle w:val="B"/>
              <w:jc w:val="center"/>
            </w:pPr>
            <w:r>
              <w:t>1</w:t>
            </w:r>
          </w:p>
        </w:tc>
        <w:tc>
          <w:tcPr>
            <w:tcW w:w="0" w:type="auto"/>
            <w:tcBorders>
              <w:top w:val="nil"/>
              <w:left w:val="nil"/>
              <w:bottom w:val="single" w:sz="4" w:space="0" w:color="auto"/>
              <w:right w:val="single" w:sz="4" w:space="0" w:color="auto"/>
            </w:tcBorders>
            <w:shd w:val="clear" w:color="auto" w:fill="auto"/>
            <w:vAlign w:val="center"/>
          </w:tcPr>
          <w:p w14:paraId="72E213D4" w14:textId="77777777" w:rsidR="00A052DC" w:rsidRDefault="009F0A60">
            <w:pPr>
              <w:pStyle w:val="B"/>
            </w:pPr>
            <w:r>
              <w:rPr>
                <w:rFonts w:hint="eastAsia"/>
              </w:rPr>
              <w:t>对方是本机构</w:t>
            </w:r>
            <w:r>
              <w:t>/被代理居民机构/委托人</w:t>
            </w:r>
            <w:r>
              <w:rPr>
                <w:rFonts w:hint="eastAsia"/>
              </w:rPr>
              <w:t>的境外直接投资者，即持有本机构</w:t>
            </w:r>
            <w:r>
              <w:t>/被代理居民机构/委托人</w:t>
            </w:r>
            <w:r>
              <w:rPr>
                <w:rFonts w:hint="eastAsia"/>
              </w:rPr>
              <w:t>表决权≥</w:t>
            </w:r>
            <w:r>
              <w:t>10%。</w:t>
            </w:r>
          </w:p>
        </w:tc>
      </w:tr>
      <w:tr w:rsidR="00A052DC" w14:paraId="191DF32D" w14:textId="77777777">
        <w:tc>
          <w:tcPr>
            <w:tcW w:w="0" w:type="auto"/>
            <w:tcBorders>
              <w:top w:val="nil"/>
              <w:left w:val="single" w:sz="4" w:space="0" w:color="auto"/>
              <w:bottom w:val="single" w:sz="4" w:space="0" w:color="auto"/>
              <w:right w:val="single" w:sz="4" w:space="0" w:color="auto"/>
            </w:tcBorders>
            <w:shd w:val="clear" w:color="auto" w:fill="auto"/>
            <w:vAlign w:val="center"/>
          </w:tcPr>
          <w:p w14:paraId="67443BEB" w14:textId="77777777" w:rsidR="00A052DC" w:rsidRDefault="009F0A60">
            <w:pPr>
              <w:pStyle w:val="B"/>
              <w:jc w:val="center"/>
            </w:pPr>
            <w:r>
              <w:t>2</w:t>
            </w:r>
          </w:p>
        </w:tc>
        <w:tc>
          <w:tcPr>
            <w:tcW w:w="0" w:type="auto"/>
            <w:tcBorders>
              <w:top w:val="nil"/>
              <w:left w:val="nil"/>
              <w:bottom w:val="single" w:sz="4" w:space="0" w:color="auto"/>
              <w:right w:val="single" w:sz="4" w:space="0" w:color="auto"/>
            </w:tcBorders>
            <w:shd w:val="clear" w:color="auto" w:fill="auto"/>
            <w:vAlign w:val="center"/>
          </w:tcPr>
          <w:p w14:paraId="3FBB8D06" w14:textId="77777777" w:rsidR="00A052DC" w:rsidRDefault="009F0A60">
            <w:pPr>
              <w:pStyle w:val="B"/>
            </w:pPr>
            <w:r>
              <w:rPr>
                <w:rFonts w:hint="eastAsia"/>
              </w:rPr>
              <w:t>对方是本机构</w:t>
            </w:r>
            <w:r>
              <w:t>/被代理居民机构/委托人</w:t>
            </w:r>
            <w:r>
              <w:rPr>
                <w:rFonts w:hint="eastAsia"/>
              </w:rPr>
              <w:t>的境外直接投资企业，即本机构</w:t>
            </w:r>
            <w:r>
              <w:t>/被代理居民机构/委托人</w:t>
            </w:r>
            <w:r>
              <w:rPr>
                <w:rFonts w:hint="eastAsia"/>
              </w:rPr>
              <w:t>持有表决权在</w:t>
            </w:r>
            <w:r>
              <w:t>10%及以上的境外分支机构、子机构、联营机构或合营机构。</w:t>
            </w:r>
          </w:p>
        </w:tc>
      </w:tr>
      <w:tr w:rsidR="00A052DC" w14:paraId="382D90E2" w14:textId="77777777">
        <w:tc>
          <w:tcPr>
            <w:tcW w:w="0" w:type="auto"/>
            <w:tcBorders>
              <w:top w:val="nil"/>
              <w:left w:val="single" w:sz="4" w:space="0" w:color="auto"/>
              <w:bottom w:val="single" w:sz="4" w:space="0" w:color="auto"/>
              <w:right w:val="single" w:sz="4" w:space="0" w:color="auto"/>
            </w:tcBorders>
            <w:shd w:val="clear" w:color="auto" w:fill="auto"/>
            <w:vAlign w:val="center"/>
          </w:tcPr>
          <w:p w14:paraId="2D06D094" w14:textId="77777777" w:rsidR="00A052DC" w:rsidRDefault="009F0A60">
            <w:pPr>
              <w:pStyle w:val="B"/>
              <w:jc w:val="center"/>
            </w:pPr>
            <w:r>
              <w:t>3</w:t>
            </w:r>
          </w:p>
        </w:tc>
        <w:tc>
          <w:tcPr>
            <w:tcW w:w="0" w:type="auto"/>
            <w:tcBorders>
              <w:top w:val="nil"/>
              <w:left w:val="nil"/>
              <w:bottom w:val="single" w:sz="4" w:space="0" w:color="auto"/>
              <w:right w:val="single" w:sz="4" w:space="0" w:color="auto"/>
            </w:tcBorders>
            <w:shd w:val="clear" w:color="auto" w:fill="auto"/>
            <w:vAlign w:val="center"/>
          </w:tcPr>
          <w:p w14:paraId="797C7F53" w14:textId="77777777" w:rsidR="00A052DC" w:rsidRDefault="009F0A60">
            <w:pPr>
              <w:pStyle w:val="B"/>
            </w:pPr>
            <w:r>
              <w:rPr>
                <w:rFonts w:hint="eastAsia"/>
              </w:rPr>
              <w:t>对方是本机构</w:t>
            </w:r>
            <w:r>
              <w:t>/被代理居民机构/委托人</w:t>
            </w:r>
            <w:r>
              <w:rPr>
                <w:rFonts w:hint="eastAsia"/>
              </w:rPr>
              <w:t>的境外联属机构，即双方有共同母公司，但相互持有表决权＜</w:t>
            </w:r>
            <w:r>
              <w:t>10%或相互不持有表决权。</w:t>
            </w:r>
          </w:p>
        </w:tc>
      </w:tr>
      <w:tr w:rsidR="00A052DC" w14:paraId="31E7B178" w14:textId="77777777">
        <w:tc>
          <w:tcPr>
            <w:tcW w:w="0" w:type="auto"/>
            <w:tcBorders>
              <w:top w:val="nil"/>
              <w:left w:val="single" w:sz="4" w:space="0" w:color="auto"/>
              <w:bottom w:val="single" w:sz="4" w:space="0" w:color="auto"/>
              <w:right w:val="single" w:sz="4" w:space="0" w:color="auto"/>
            </w:tcBorders>
            <w:shd w:val="clear" w:color="auto" w:fill="auto"/>
            <w:vAlign w:val="center"/>
          </w:tcPr>
          <w:p w14:paraId="471C0026" w14:textId="77777777" w:rsidR="00A052DC" w:rsidRDefault="009F0A60">
            <w:pPr>
              <w:pStyle w:val="B"/>
              <w:jc w:val="center"/>
            </w:pPr>
            <w:r>
              <w:t>4</w:t>
            </w:r>
          </w:p>
        </w:tc>
        <w:tc>
          <w:tcPr>
            <w:tcW w:w="0" w:type="auto"/>
            <w:tcBorders>
              <w:top w:val="nil"/>
              <w:left w:val="nil"/>
              <w:bottom w:val="single" w:sz="4" w:space="0" w:color="auto"/>
              <w:right w:val="single" w:sz="4" w:space="0" w:color="auto"/>
            </w:tcBorders>
            <w:shd w:val="clear" w:color="auto" w:fill="auto"/>
            <w:vAlign w:val="center"/>
          </w:tcPr>
          <w:p w14:paraId="183E87AD" w14:textId="77777777" w:rsidR="00A052DC" w:rsidRDefault="009F0A60">
            <w:pPr>
              <w:pStyle w:val="B"/>
            </w:pPr>
            <w:r>
              <w:rPr>
                <w:rFonts w:hint="eastAsia"/>
              </w:rPr>
              <w:t>对方与本机构</w:t>
            </w:r>
            <w:r>
              <w:t>/被代理居民机构/委托人</w:t>
            </w:r>
            <w:r>
              <w:rPr>
                <w:rFonts w:hint="eastAsia"/>
              </w:rPr>
              <w:t>无关联关系、关系未知，</w:t>
            </w:r>
            <w:r>
              <w:t>,或两机构均处于中国境内</w:t>
            </w:r>
            <w:r>
              <w:rPr>
                <w:rFonts w:hint="eastAsia"/>
              </w:rPr>
              <w:t>。</w:t>
            </w:r>
          </w:p>
        </w:tc>
      </w:tr>
    </w:tbl>
    <w:p w14:paraId="20901639" w14:textId="77777777" w:rsidR="00A052DC" w:rsidRDefault="009F0A60">
      <w:pPr>
        <w:pStyle w:val="3"/>
        <w:ind w:left="0"/>
        <w:rPr>
          <w:rFonts w:ascii="Times New Roman" w:hAnsi="Times New Roman"/>
        </w:rPr>
      </w:pPr>
      <w:bookmarkStart w:id="5022" w:name="_Toc454394900"/>
      <w:bookmarkStart w:id="5023" w:name="_Toc91455557"/>
      <w:bookmarkStart w:id="5024" w:name="_Toc101684582"/>
      <w:r>
        <w:rPr>
          <w:rFonts w:ascii="Times New Roman" w:hAnsi="Times New Roman" w:hint="eastAsia"/>
        </w:rPr>
        <w:t>投资者</w:t>
      </w:r>
      <w:r>
        <w:rPr>
          <w:rFonts w:hint="eastAsia"/>
        </w:rPr>
        <w:t>（被投资者）</w:t>
      </w:r>
      <w:r>
        <w:rPr>
          <w:rFonts w:ascii="Times New Roman" w:hAnsi="Times New Roman" w:hint="eastAsia"/>
        </w:rPr>
        <w:t>部门</w:t>
      </w:r>
      <w:bookmarkEnd w:id="5014"/>
      <w:bookmarkEnd w:id="5022"/>
      <w:bookmarkEnd w:id="5023"/>
      <w:bookmarkEnd w:id="5024"/>
    </w:p>
    <w:tbl>
      <w:tblPr>
        <w:tblW w:w="8378" w:type="dxa"/>
        <w:tblInd w:w="94" w:type="dxa"/>
        <w:tblLook w:val="04A0" w:firstRow="1" w:lastRow="0" w:firstColumn="1" w:lastColumn="0" w:noHBand="0" w:noVBand="1"/>
      </w:tblPr>
      <w:tblGrid>
        <w:gridCol w:w="2991"/>
        <w:gridCol w:w="5387"/>
      </w:tblGrid>
      <w:tr w:rsidR="00A052DC" w14:paraId="0FCA8EB8" w14:textId="77777777" w:rsidTr="000F194C">
        <w:trPr>
          <w:trHeight w:val="270"/>
          <w:tblHeader/>
        </w:trPr>
        <w:tc>
          <w:tcPr>
            <w:tcW w:w="299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2B14313" w14:textId="77777777" w:rsidR="00881462" w:rsidRDefault="009F0A60">
            <w:pPr>
              <w:pStyle w:val="B1"/>
            </w:pPr>
            <w:r>
              <w:rPr>
                <w:rFonts w:hint="eastAsia"/>
              </w:rPr>
              <w:t>投资者（被投资者）部门代码</w:t>
            </w:r>
          </w:p>
        </w:tc>
        <w:tc>
          <w:tcPr>
            <w:tcW w:w="5387"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75671CD8" w14:textId="77777777" w:rsidR="00881462" w:rsidRDefault="009F0A60">
            <w:pPr>
              <w:pStyle w:val="B1"/>
            </w:pPr>
            <w:r>
              <w:rPr>
                <w:rFonts w:hint="eastAsia"/>
              </w:rPr>
              <w:t>投资者（被投资者）部门</w:t>
            </w:r>
          </w:p>
        </w:tc>
      </w:tr>
      <w:tr w:rsidR="00A052DC" w14:paraId="5D9BA5CC" w14:textId="77777777">
        <w:trPr>
          <w:trHeight w:val="270"/>
        </w:trPr>
        <w:tc>
          <w:tcPr>
            <w:tcW w:w="2991" w:type="dxa"/>
            <w:tcBorders>
              <w:top w:val="nil"/>
              <w:left w:val="single" w:sz="4" w:space="0" w:color="auto"/>
              <w:bottom w:val="single" w:sz="4" w:space="0" w:color="auto"/>
              <w:right w:val="single" w:sz="4" w:space="0" w:color="auto"/>
            </w:tcBorders>
            <w:shd w:val="clear" w:color="auto" w:fill="auto"/>
            <w:noWrap/>
            <w:vAlign w:val="center"/>
          </w:tcPr>
          <w:p w14:paraId="68D1F33F" w14:textId="77777777" w:rsidR="00A052DC" w:rsidRDefault="009F0A60">
            <w:pPr>
              <w:pStyle w:val="B"/>
              <w:jc w:val="center"/>
            </w:pPr>
            <w:r>
              <w:t>1</w:t>
            </w:r>
          </w:p>
        </w:tc>
        <w:tc>
          <w:tcPr>
            <w:tcW w:w="5387" w:type="dxa"/>
            <w:tcBorders>
              <w:top w:val="nil"/>
              <w:left w:val="nil"/>
              <w:bottom w:val="single" w:sz="4" w:space="0" w:color="auto"/>
              <w:right w:val="single" w:sz="4" w:space="0" w:color="auto"/>
            </w:tcBorders>
            <w:shd w:val="clear" w:color="auto" w:fill="auto"/>
            <w:noWrap/>
            <w:vAlign w:val="center"/>
          </w:tcPr>
          <w:p w14:paraId="596D9FE3" w14:textId="77777777" w:rsidR="00A052DC" w:rsidRDefault="009F0A60">
            <w:pPr>
              <w:pStyle w:val="B"/>
            </w:pPr>
            <w:r>
              <w:rPr>
                <w:rFonts w:hint="eastAsia"/>
              </w:rPr>
              <w:t>政府</w:t>
            </w:r>
          </w:p>
        </w:tc>
      </w:tr>
      <w:tr w:rsidR="00A052DC" w14:paraId="21691E4B" w14:textId="77777777">
        <w:trPr>
          <w:trHeight w:val="270"/>
        </w:trPr>
        <w:tc>
          <w:tcPr>
            <w:tcW w:w="2991" w:type="dxa"/>
            <w:tcBorders>
              <w:top w:val="nil"/>
              <w:left w:val="single" w:sz="4" w:space="0" w:color="auto"/>
              <w:bottom w:val="single" w:sz="4" w:space="0" w:color="auto"/>
              <w:right w:val="single" w:sz="4" w:space="0" w:color="auto"/>
            </w:tcBorders>
            <w:shd w:val="clear" w:color="auto" w:fill="auto"/>
            <w:noWrap/>
            <w:vAlign w:val="center"/>
          </w:tcPr>
          <w:p w14:paraId="37347740" w14:textId="77777777" w:rsidR="00A052DC" w:rsidRDefault="009F0A60">
            <w:pPr>
              <w:pStyle w:val="B"/>
              <w:jc w:val="center"/>
            </w:pPr>
            <w:r>
              <w:t>2</w:t>
            </w:r>
          </w:p>
        </w:tc>
        <w:tc>
          <w:tcPr>
            <w:tcW w:w="5387" w:type="dxa"/>
            <w:tcBorders>
              <w:top w:val="nil"/>
              <w:left w:val="nil"/>
              <w:bottom w:val="single" w:sz="4" w:space="0" w:color="auto"/>
              <w:right w:val="single" w:sz="4" w:space="0" w:color="auto"/>
            </w:tcBorders>
            <w:shd w:val="clear" w:color="auto" w:fill="auto"/>
            <w:noWrap/>
            <w:vAlign w:val="center"/>
          </w:tcPr>
          <w:p w14:paraId="72CF9A8E" w14:textId="77777777" w:rsidR="00A052DC" w:rsidRDefault="009F0A60">
            <w:pPr>
              <w:pStyle w:val="B"/>
            </w:pPr>
            <w:r>
              <w:rPr>
                <w:rFonts w:hint="eastAsia"/>
              </w:rPr>
              <w:t>中央银行</w:t>
            </w:r>
            <w:r>
              <w:t>/货币当局</w:t>
            </w:r>
          </w:p>
        </w:tc>
      </w:tr>
      <w:tr w:rsidR="00A052DC" w14:paraId="11783222" w14:textId="77777777">
        <w:trPr>
          <w:trHeight w:val="270"/>
        </w:trPr>
        <w:tc>
          <w:tcPr>
            <w:tcW w:w="2991" w:type="dxa"/>
            <w:tcBorders>
              <w:top w:val="nil"/>
              <w:left w:val="single" w:sz="4" w:space="0" w:color="auto"/>
              <w:bottom w:val="single" w:sz="4" w:space="0" w:color="auto"/>
              <w:right w:val="single" w:sz="4" w:space="0" w:color="auto"/>
            </w:tcBorders>
            <w:shd w:val="clear" w:color="auto" w:fill="auto"/>
            <w:noWrap/>
            <w:vAlign w:val="center"/>
          </w:tcPr>
          <w:p w14:paraId="58BBDB84" w14:textId="77777777" w:rsidR="00A052DC" w:rsidRDefault="009F0A60">
            <w:pPr>
              <w:pStyle w:val="B"/>
              <w:jc w:val="center"/>
            </w:pPr>
            <w:r>
              <w:t>3</w:t>
            </w:r>
          </w:p>
        </w:tc>
        <w:tc>
          <w:tcPr>
            <w:tcW w:w="5387" w:type="dxa"/>
            <w:tcBorders>
              <w:top w:val="nil"/>
              <w:left w:val="nil"/>
              <w:bottom w:val="single" w:sz="4" w:space="0" w:color="auto"/>
              <w:right w:val="single" w:sz="4" w:space="0" w:color="auto"/>
            </w:tcBorders>
            <w:shd w:val="clear" w:color="auto" w:fill="auto"/>
            <w:noWrap/>
            <w:vAlign w:val="center"/>
          </w:tcPr>
          <w:p w14:paraId="39E1409A" w14:textId="77777777" w:rsidR="00A052DC" w:rsidRDefault="009F0A60">
            <w:pPr>
              <w:pStyle w:val="B"/>
            </w:pPr>
            <w:r>
              <w:rPr>
                <w:rFonts w:hint="eastAsia"/>
              </w:rPr>
              <w:t>银行</w:t>
            </w:r>
          </w:p>
        </w:tc>
      </w:tr>
      <w:tr w:rsidR="00A052DC" w14:paraId="79405448" w14:textId="77777777">
        <w:trPr>
          <w:trHeight w:val="270"/>
        </w:trPr>
        <w:tc>
          <w:tcPr>
            <w:tcW w:w="2991" w:type="dxa"/>
            <w:tcBorders>
              <w:top w:val="nil"/>
              <w:left w:val="single" w:sz="4" w:space="0" w:color="auto"/>
              <w:bottom w:val="single" w:sz="4" w:space="0" w:color="auto"/>
              <w:right w:val="single" w:sz="4" w:space="0" w:color="auto"/>
            </w:tcBorders>
            <w:shd w:val="clear" w:color="auto" w:fill="auto"/>
            <w:noWrap/>
            <w:vAlign w:val="center"/>
          </w:tcPr>
          <w:p w14:paraId="4B280231" w14:textId="77777777" w:rsidR="00A052DC" w:rsidRDefault="009F0A60">
            <w:pPr>
              <w:pStyle w:val="B"/>
              <w:jc w:val="center"/>
            </w:pPr>
            <w:r>
              <w:t>4</w:t>
            </w:r>
          </w:p>
        </w:tc>
        <w:tc>
          <w:tcPr>
            <w:tcW w:w="5387" w:type="dxa"/>
            <w:tcBorders>
              <w:top w:val="nil"/>
              <w:left w:val="nil"/>
              <w:bottom w:val="single" w:sz="4" w:space="0" w:color="auto"/>
              <w:right w:val="single" w:sz="4" w:space="0" w:color="auto"/>
            </w:tcBorders>
            <w:shd w:val="clear" w:color="auto" w:fill="auto"/>
            <w:noWrap/>
            <w:vAlign w:val="center"/>
          </w:tcPr>
          <w:p w14:paraId="58E8E259" w14:textId="77777777" w:rsidR="00A052DC" w:rsidRDefault="009F0A60">
            <w:pPr>
              <w:pStyle w:val="B"/>
            </w:pPr>
            <w:r>
              <w:rPr>
                <w:rFonts w:hint="eastAsia"/>
              </w:rPr>
              <w:t>其他非银行金融机构（除保险公司和养老金、货币市场基金外）</w:t>
            </w:r>
          </w:p>
        </w:tc>
      </w:tr>
      <w:tr w:rsidR="00A052DC" w14:paraId="5DE639B4" w14:textId="77777777">
        <w:trPr>
          <w:trHeight w:val="270"/>
        </w:trPr>
        <w:tc>
          <w:tcPr>
            <w:tcW w:w="2991" w:type="dxa"/>
            <w:tcBorders>
              <w:top w:val="nil"/>
              <w:left w:val="single" w:sz="4" w:space="0" w:color="auto"/>
              <w:bottom w:val="single" w:sz="4" w:space="0" w:color="auto"/>
              <w:right w:val="single" w:sz="4" w:space="0" w:color="auto"/>
            </w:tcBorders>
            <w:shd w:val="clear" w:color="auto" w:fill="auto"/>
            <w:noWrap/>
            <w:vAlign w:val="center"/>
          </w:tcPr>
          <w:p w14:paraId="33EE5A33" w14:textId="77777777" w:rsidR="00A052DC" w:rsidRDefault="009F0A60">
            <w:pPr>
              <w:pStyle w:val="B"/>
              <w:jc w:val="center"/>
            </w:pPr>
            <w:r>
              <w:t>5</w:t>
            </w:r>
          </w:p>
        </w:tc>
        <w:tc>
          <w:tcPr>
            <w:tcW w:w="5387" w:type="dxa"/>
            <w:tcBorders>
              <w:top w:val="nil"/>
              <w:left w:val="nil"/>
              <w:bottom w:val="single" w:sz="4" w:space="0" w:color="auto"/>
              <w:right w:val="single" w:sz="4" w:space="0" w:color="auto"/>
            </w:tcBorders>
            <w:shd w:val="clear" w:color="auto" w:fill="auto"/>
            <w:noWrap/>
            <w:vAlign w:val="center"/>
          </w:tcPr>
          <w:p w14:paraId="5A071CBC" w14:textId="77777777" w:rsidR="00A052DC" w:rsidRDefault="009F0A60">
            <w:pPr>
              <w:pStyle w:val="B"/>
            </w:pPr>
            <w:r>
              <w:rPr>
                <w:rFonts w:hint="eastAsia"/>
              </w:rPr>
              <w:t>非金融企业</w:t>
            </w:r>
          </w:p>
        </w:tc>
      </w:tr>
      <w:tr w:rsidR="00A052DC" w14:paraId="46CC32C3" w14:textId="77777777">
        <w:trPr>
          <w:trHeight w:val="270"/>
        </w:trPr>
        <w:tc>
          <w:tcPr>
            <w:tcW w:w="2991" w:type="dxa"/>
            <w:tcBorders>
              <w:top w:val="nil"/>
              <w:left w:val="single" w:sz="4" w:space="0" w:color="auto"/>
              <w:bottom w:val="single" w:sz="4" w:space="0" w:color="auto"/>
              <w:right w:val="single" w:sz="4" w:space="0" w:color="auto"/>
            </w:tcBorders>
            <w:shd w:val="clear" w:color="auto" w:fill="auto"/>
            <w:noWrap/>
            <w:vAlign w:val="center"/>
          </w:tcPr>
          <w:p w14:paraId="64408D53" w14:textId="77777777" w:rsidR="00A052DC" w:rsidRDefault="009F0A60">
            <w:pPr>
              <w:pStyle w:val="B"/>
              <w:jc w:val="center"/>
            </w:pPr>
            <w:r>
              <w:rPr>
                <w:rFonts w:hint="eastAsia"/>
              </w:rPr>
              <w:t>6</w:t>
            </w:r>
          </w:p>
        </w:tc>
        <w:tc>
          <w:tcPr>
            <w:tcW w:w="5387" w:type="dxa"/>
            <w:tcBorders>
              <w:top w:val="nil"/>
              <w:left w:val="nil"/>
              <w:bottom w:val="single" w:sz="4" w:space="0" w:color="auto"/>
              <w:right w:val="single" w:sz="4" w:space="0" w:color="auto"/>
            </w:tcBorders>
            <w:shd w:val="clear" w:color="auto" w:fill="auto"/>
            <w:noWrap/>
            <w:vAlign w:val="center"/>
          </w:tcPr>
          <w:p w14:paraId="1B7A8850" w14:textId="77777777" w:rsidR="00A052DC" w:rsidRDefault="009F0A60">
            <w:pPr>
              <w:pStyle w:val="B"/>
            </w:pPr>
            <w:r>
              <w:rPr>
                <w:rFonts w:hint="eastAsia"/>
              </w:rPr>
              <w:t>个人</w:t>
            </w:r>
          </w:p>
        </w:tc>
      </w:tr>
      <w:tr w:rsidR="00A052DC" w14:paraId="5F692D43" w14:textId="77777777">
        <w:trPr>
          <w:trHeight w:val="270"/>
        </w:trPr>
        <w:tc>
          <w:tcPr>
            <w:tcW w:w="2991" w:type="dxa"/>
            <w:tcBorders>
              <w:top w:val="nil"/>
              <w:left w:val="single" w:sz="4" w:space="0" w:color="auto"/>
              <w:bottom w:val="single" w:sz="4" w:space="0" w:color="auto"/>
              <w:right w:val="single" w:sz="4" w:space="0" w:color="auto"/>
            </w:tcBorders>
            <w:shd w:val="clear" w:color="auto" w:fill="auto"/>
            <w:noWrap/>
            <w:vAlign w:val="center"/>
          </w:tcPr>
          <w:p w14:paraId="22C44A8B" w14:textId="77777777" w:rsidR="00A052DC" w:rsidRDefault="009F0A60">
            <w:pPr>
              <w:pStyle w:val="B"/>
              <w:jc w:val="center"/>
            </w:pPr>
            <w:r>
              <w:rPr>
                <w:rFonts w:hint="eastAsia"/>
              </w:rPr>
              <w:t>7</w:t>
            </w:r>
          </w:p>
        </w:tc>
        <w:tc>
          <w:tcPr>
            <w:tcW w:w="5387" w:type="dxa"/>
            <w:tcBorders>
              <w:top w:val="nil"/>
              <w:left w:val="nil"/>
              <w:bottom w:val="single" w:sz="4" w:space="0" w:color="auto"/>
              <w:right w:val="single" w:sz="4" w:space="0" w:color="auto"/>
            </w:tcBorders>
            <w:shd w:val="clear" w:color="auto" w:fill="auto"/>
            <w:noWrap/>
            <w:vAlign w:val="center"/>
          </w:tcPr>
          <w:p w14:paraId="5F6C78F5" w14:textId="77777777" w:rsidR="00A052DC" w:rsidRDefault="009F0A60">
            <w:pPr>
              <w:pStyle w:val="B"/>
            </w:pPr>
            <w:r>
              <w:rPr>
                <w:rFonts w:hint="eastAsia"/>
              </w:rPr>
              <w:t>保险公司和养老金</w:t>
            </w:r>
          </w:p>
        </w:tc>
      </w:tr>
      <w:tr w:rsidR="00A052DC" w14:paraId="67C243C8" w14:textId="77777777">
        <w:trPr>
          <w:trHeight w:val="270"/>
        </w:trPr>
        <w:tc>
          <w:tcPr>
            <w:tcW w:w="2991" w:type="dxa"/>
            <w:tcBorders>
              <w:top w:val="nil"/>
              <w:left w:val="single" w:sz="4" w:space="0" w:color="auto"/>
              <w:bottom w:val="single" w:sz="4" w:space="0" w:color="auto"/>
              <w:right w:val="single" w:sz="4" w:space="0" w:color="auto"/>
            </w:tcBorders>
            <w:shd w:val="clear" w:color="auto" w:fill="auto"/>
            <w:noWrap/>
            <w:vAlign w:val="center"/>
          </w:tcPr>
          <w:p w14:paraId="60FA5082" w14:textId="77777777" w:rsidR="00A052DC" w:rsidRDefault="009F0A60">
            <w:pPr>
              <w:pStyle w:val="B"/>
              <w:jc w:val="center"/>
            </w:pPr>
            <w:r>
              <w:rPr>
                <w:rFonts w:hint="eastAsia"/>
              </w:rPr>
              <w:t>8</w:t>
            </w:r>
          </w:p>
        </w:tc>
        <w:tc>
          <w:tcPr>
            <w:tcW w:w="5387" w:type="dxa"/>
            <w:tcBorders>
              <w:top w:val="nil"/>
              <w:left w:val="nil"/>
              <w:bottom w:val="single" w:sz="4" w:space="0" w:color="auto"/>
              <w:right w:val="single" w:sz="4" w:space="0" w:color="auto"/>
            </w:tcBorders>
            <w:shd w:val="clear" w:color="auto" w:fill="auto"/>
            <w:noWrap/>
            <w:vAlign w:val="center"/>
          </w:tcPr>
          <w:p w14:paraId="7DEF7E03" w14:textId="77777777" w:rsidR="00A052DC" w:rsidRDefault="009F0A60">
            <w:pPr>
              <w:pStyle w:val="B"/>
            </w:pPr>
            <w:r>
              <w:rPr>
                <w:rFonts w:hint="eastAsia"/>
              </w:rPr>
              <w:t>货币市场基金</w:t>
            </w:r>
          </w:p>
        </w:tc>
      </w:tr>
      <w:tr w:rsidR="00A052DC" w14:paraId="128E3859" w14:textId="77777777">
        <w:trPr>
          <w:trHeight w:val="270"/>
        </w:trPr>
        <w:tc>
          <w:tcPr>
            <w:tcW w:w="2991" w:type="dxa"/>
            <w:tcBorders>
              <w:top w:val="nil"/>
              <w:left w:val="single" w:sz="4" w:space="0" w:color="auto"/>
              <w:bottom w:val="single" w:sz="4" w:space="0" w:color="auto"/>
              <w:right w:val="single" w:sz="4" w:space="0" w:color="auto"/>
            </w:tcBorders>
            <w:shd w:val="clear" w:color="auto" w:fill="auto"/>
            <w:noWrap/>
            <w:vAlign w:val="center"/>
          </w:tcPr>
          <w:p w14:paraId="22AF31E4" w14:textId="77777777" w:rsidR="00A052DC" w:rsidRDefault="009F0A60">
            <w:pPr>
              <w:pStyle w:val="B"/>
              <w:jc w:val="center"/>
            </w:pPr>
            <w:r>
              <w:rPr>
                <w:rFonts w:hint="eastAsia"/>
              </w:rPr>
              <w:t>9</w:t>
            </w:r>
          </w:p>
        </w:tc>
        <w:tc>
          <w:tcPr>
            <w:tcW w:w="5387" w:type="dxa"/>
            <w:tcBorders>
              <w:top w:val="nil"/>
              <w:left w:val="nil"/>
              <w:bottom w:val="single" w:sz="4" w:space="0" w:color="auto"/>
              <w:right w:val="single" w:sz="4" w:space="0" w:color="auto"/>
            </w:tcBorders>
            <w:shd w:val="clear" w:color="auto" w:fill="auto"/>
            <w:noWrap/>
            <w:vAlign w:val="center"/>
          </w:tcPr>
          <w:p w14:paraId="3619B053" w14:textId="77777777" w:rsidR="00A052DC" w:rsidRDefault="009F0A60">
            <w:pPr>
              <w:pStyle w:val="B"/>
            </w:pPr>
            <w:r>
              <w:rPr>
                <w:rFonts w:hint="eastAsia"/>
              </w:rPr>
              <w:t>为住户服务的非营利机构</w:t>
            </w:r>
          </w:p>
        </w:tc>
      </w:tr>
    </w:tbl>
    <w:p w14:paraId="751459CA" w14:textId="77777777" w:rsidR="00A052DC" w:rsidRDefault="009F0A60" w:rsidP="0079302F">
      <w:pPr>
        <w:pStyle w:val="3"/>
        <w:ind w:left="0"/>
        <w:rPr>
          <w:rFonts w:ascii="Times New Roman" w:hAnsi="Times New Roman"/>
        </w:rPr>
      </w:pPr>
      <w:bookmarkStart w:id="5025" w:name="_Toc454394901"/>
      <w:bookmarkStart w:id="5026" w:name="_Toc91455558"/>
      <w:bookmarkStart w:id="5027" w:name="_Toc101684583"/>
      <w:bookmarkStart w:id="5028" w:name="_Toc380356356"/>
      <w:bookmarkStart w:id="5029" w:name="_Toc328635627"/>
      <w:bookmarkStart w:id="5030" w:name="_Toc380356366"/>
      <w:bookmarkStart w:id="5031" w:name="_Toc377370080"/>
      <w:r>
        <w:rPr>
          <w:rFonts w:ascii="Times New Roman" w:hAnsi="Times New Roman" w:hint="eastAsia"/>
        </w:rPr>
        <w:t>银行卡消费提现类型</w:t>
      </w:r>
      <w:bookmarkEnd w:id="5025"/>
      <w:bookmarkEnd w:id="5026"/>
      <w:bookmarkEnd w:id="5027"/>
    </w:p>
    <w:tbl>
      <w:tblPr>
        <w:tblW w:w="8378" w:type="dxa"/>
        <w:tblInd w:w="94" w:type="dxa"/>
        <w:tblLook w:val="04A0" w:firstRow="1" w:lastRow="0" w:firstColumn="1" w:lastColumn="0" w:noHBand="0" w:noVBand="1"/>
      </w:tblPr>
      <w:tblGrid>
        <w:gridCol w:w="2991"/>
        <w:gridCol w:w="5387"/>
      </w:tblGrid>
      <w:tr w:rsidR="00A052DC" w14:paraId="7CB736D0" w14:textId="77777777" w:rsidTr="00D95193">
        <w:trPr>
          <w:trHeight w:val="270"/>
          <w:tblHeader/>
        </w:trPr>
        <w:tc>
          <w:tcPr>
            <w:tcW w:w="299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8C581B6" w14:textId="77777777" w:rsidR="00881462" w:rsidRDefault="009F0A60">
            <w:pPr>
              <w:pStyle w:val="B1"/>
            </w:pPr>
            <w:r>
              <w:rPr>
                <w:rFonts w:hint="eastAsia"/>
              </w:rPr>
              <w:t>银行卡消费提现类型代码</w:t>
            </w:r>
          </w:p>
        </w:tc>
        <w:tc>
          <w:tcPr>
            <w:tcW w:w="5387"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3C0DE92D" w14:textId="77777777" w:rsidR="00881462" w:rsidRDefault="009F0A60">
            <w:pPr>
              <w:pStyle w:val="B1"/>
            </w:pPr>
            <w:r>
              <w:rPr>
                <w:rFonts w:hint="eastAsia"/>
              </w:rPr>
              <w:t>银行卡消费提现类型</w:t>
            </w:r>
          </w:p>
        </w:tc>
      </w:tr>
      <w:tr w:rsidR="00A052DC" w14:paraId="03CB2C2D" w14:textId="77777777">
        <w:trPr>
          <w:trHeight w:val="270"/>
        </w:trPr>
        <w:tc>
          <w:tcPr>
            <w:tcW w:w="2991" w:type="dxa"/>
            <w:tcBorders>
              <w:top w:val="nil"/>
              <w:left w:val="single" w:sz="4" w:space="0" w:color="auto"/>
              <w:bottom w:val="single" w:sz="4" w:space="0" w:color="auto"/>
              <w:right w:val="single" w:sz="4" w:space="0" w:color="auto"/>
            </w:tcBorders>
            <w:shd w:val="clear" w:color="auto" w:fill="auto"/>
            <w:noWrap/>
            <w:vAlign w:val="center"/>
          </w:tcPr>
          <w:p w14:paraId="1BBED71B" w14:textId="77777777" w:rsidR="00A052DC" w:rsidRDefault="009F0A60">
            <w:pPr>
              <w:pStyle w:val="B"/>
              <w:jc w:val="center"/>
            </w:pPr>
            <w:r>
              <w:t>1</w:t>
            </w:r>
          </w:p>
        </w:tc>
        <w:tc>
          <w:tcPr>
            <w:tcW w:w="5387" w:type="dxa"/>
            <w:tcBorders>
              <w:top w:val="nil"/>
              <w:left w:val="nil"/>
              <w:bottom w:val="single" w:sz="4" w:space="0" w:color="auto"/>
              <w:right w:val="single" w:sz="4" w:space="0" w:color="auto"/>
            </w:tcBorders>
            <w:shd w:val="clear" w:color="auto" w:fill="auto"/>
            <w:noWrap/>
            <w:vAlign w:val="center"/>
          </w:tcPr>
          <w:p w14:paraId="034EDEEF" w14:textId="77777777" w:rsidR="00A052DC" w:rsidRDefault="009F0A60">
            <w:pPr>
              <w:pStyle w:val="B"/>
            </w:pPr>
            <w:r>
              <w:rPr>
                <w:rFonts w:hint="eastAsia"/>
              </w:rPr>
              <w:t>购物</w:t>
            </w:r>
          </w:p>
        </w:tc>
      </w:tr>
      <w:tr w:rsidR="00A052DC" w14:paraId="718E287E" w14:textId="77777777">
        <w:trPr>
          <w:trHeight w:val="270"/>
        </w:trPr>
        <w:tc>
          <w:tcPr>
            <w:tcW w:w="2991" w:type="dxa"/>
            <w:tcBorders>
              <w:top w:val="nil"/>
              <w:left w:val="single" w:sz="4" w:space="0" w:color="auto"/>
              <w:bottom w:val="single" w:sz="4" w:space="0" w:color="auto"/>
              <w:right w:val="single" w:sz="4" w:space="0" w:color="auto"/>
            </w:tcBorders>
            <w:shd w:val="clear" w:color="auto" w:fill="auto"/>
            <w:noWrap/>
            <w:vAlign w:val="center"/>
          </w:tcPr>
          <w:p w14:paraId="246A7A6A" w14:textId="77777777" w:rsidR="00A052DC" w:rsidRDefault="009F0A60">
            <w:pPr>
              <w:pStyle w:val="B"/>
              <w:jc w:val="center"/>
            </w:pPr>
            <w:r>
              <w:t>2</w:t>
            </w:r>
          </w:p>
        </w:tc>
        <w:tc>
          <w:tcPr>
            <w:tcW w:w="5387" w:type="dxa"/>
            <w:tcBorders>
              <w:top w:val="nil"/>
              <w:left w:val="nil"/>
              <w:bottom w:val="single" w:sz="4" w:space="0" w:color="auto"/>
              <w:right w:val="single" w:sz="4" w:space="0" w:color="auto"/>
            </w:tcBorders>
            <w:shd w:val="clear" w:color="auto" w:fill="auto"/>
            <w:noWrap/>
            <w:vAlign w:val="center"/>
          </w:tcPr>
          <w:p w14:paraId="23E70A98" w14:textId="77777777" w:rsidR="00A052DC" w:rsidRDefault="009F0A60">
            <w:pPr>
              <w:pStyle w:val="B"/>
            </w:pPr>
            <w:r>
              <w:rPr>
                <w:rFonts w:hint="eastAsia"/>
              </w:rPr>
              <w:t>住宿</w:t>
            </w:r>
          </w:p>
        </w:tc>
      </w:tr>
      <w:tr w:rsidR="00A052DC" w14:paraId="5A89A305" w14:textId="77777777">
        <w:trPr>
          <w:trHeight w:val="270"/>
        </w:trPr>
        <w:tc>
          <w:tcPr>
            <w:tcW w:w="2991" w:type="dxa"/>
            <w:tcBorders>
              <w:top w:val="nil"/>
              <w:left w:val="single" w:sz="4" w:space="0" w:color="auto"/>
              <w:bottom w:val="single" w:sz="4" w:space="0" w:color="auto"/>
              <w:right w:val="single" w:sz="4" w:space="0" w:color="auto"/>
            </w:tcBorders>
            <w:shd w:val="clear" w:color="auto" w:fill="auto"/>
            <w:noWrap/>
            <w:vAlign w:val="center"/>
          </w:tcPr>
          <w:p w14:paraId="75B465F7" w14:textId="77777777" w:rsidR="00A052DC" w:rsidRDefault="009F0A60">
            <w:pPr>
              <w:pStyle w:val="B"/>
              <w:jc w:val="center"/>
            </w:pPr>
            <w:r>
              <w:t>3</w:t>
            </w:r>
          </w:p>
        </w:tc>
        <w:tc>
          <w:tcPr>
            <w:tcW w:w="5387" w:type="dxa"/>
            <w:tcBorders>
              <w:top w:val="nil"/>
              <w:left w:val="nil"/>
              <w:bottom w:val="single" w:sz="4" w:space="0" w:color="auto"/>
              <w:right w:val="single" w:sz="4" w:space="0" w:color="auto"/>
            </w:tcBorders>
            <w:shd w:val="clear" w:color="auto" w:fill="auto"/>
            <w:noWrap/>
            <w:vAlign w:val="center"/>
          </w:tcPr>
          <w:p w14:paraId="24B8A473" w14:textId="77777777" w:rsidR="00A052DC" w:rsidRDefault="009F0A60">
            <w:pPr>
              <w:pStyle w:val="B"/>
            </w:pPr>
            <w:r>
              <w:rPr>
                <w:rFonts w:hint="eastAsia"/>
              </w:rPr>
              <w:t>餐饮</w:t>
            </w:r>
          </w:p>
        </w:tc>
      </w:tr>
      <w:tr w:rsidR="00A052DC" w14:paraId="3A5F69EB" w14:textId="77777777">
        <w:trPr>
          <w:trHeight w:val="270"/>
        </w:trPr>
        <w:tc>
          <w:tcPr>
            <w:tcW w:w="2991" w:type="dxa"/>
            <w:tcBorders>
              <w:top w:val="nil"/>
              <w:left w:val="single" w:sz="4" w:space="0" w:color="auto"/>
              <w:bottom w:val="single" w:sz="4" w:space="0" w:color="auto"/>
              <w:right w:val="single" w:sz="4" w:space="0" w:color="auto"/>
            </w:tcBorders>
            <w:shd w:val="clear" w:color="auto" w:fill="auto"/>
            <w:noWrap/>
            <w:vAlign w:val="center"/>
          </w:tcPr>
          <w:p w14:paraId="6D3FEF73" w14:textId="77777777" w:rsidR="00A052DC" w:rsidRDefault="009F0A60">
            <w:pPr>
              <w:pStyle w:val="B"/>
              <w:jc w:val="center"/>
            </w:pPr>
            <w:r>
              <w:t>4</w:t>
            </w:r>
          </w:p>
        </w:tc>
        <w:tc>
          <w:tcPr>
            <w:tcW w:w="5387" w:type="dxa"/>
            <w:tcBorders>
              <w:top w:val="nil"/>
              <w:left w:val="nil"/>
              <w:bottom w:val="single" w:sz="4" w:space="0" w:color="auto"/>
              <w:right w:val="single" w:sz="4" w:space="0" w:color="auto"/>
            </w:tcBorders>
            <w:shd w:val="clear" w:color="auto" w:fill="auto"/>
            <w:noWrap/>
            <w:vAlign w:val="center"/>
          </w:tcPr>
          <w:p w14:paraId="48D1F98D" w14:textId="77777777" w:rsidR="00A052DC" w:rsidRDefault="009F0A60">
            <w:pPr>
              <w:pStyle w:val="B"/>
            </w:pPr>
            <w:r>
              <w:rPr>
                <w:rFonts w:hint="eastAsia"/>
              </w:rPr>
              <w:t>当地交通</w:t>
            </w:r>
          </w:p>
        </w:tc>
      </w:tr>
      <w:tr w:rsidR="00A052DC" w14:paraId="18553B5D" w14:textId="77777777">
        <w:trPr>
          <w:trHeight w:val="270"/>
        </w:trPr>
        <w:tc>
          <w:tcPr>
            <w:tcW w:w="2991" w:type="dxa"/>
            <w:tcBorders>
              <w:top w:val="nil"/>
              <w:left w:val="single" w:sz="4" w:space="0" w:color="auto"/>
              <w:bottom w:val="single" w:sz="4" w:space="0" w:color="auto"/>
              <w:right w:val="single" w:sz="4" w:space="0" w:color="auto"/>
            </w:tcBorders>
            <w:shd w:val="clear" w:color="auto" w:fill="auto"/>
            <w:noWrap/>
            <w:vAlign w:val="center"/>
          </w:tcPr>
          <w:p w14:paraId="796F3216" w14:textId="77777777" w:rsidR="00A052DC" w:rsidRDefault="009F0A60">
            <w:pPr>
              <w:pStyle w:val="B"/>
              <w:jc w:val="center"/>
            </w:pPr>
            <w:r>
              <w:t>5</w:t>
            </w:r>
          </w:p>
        </w:tc>
        <w:tc>
          <w:tcPr>
            <w:tcW w:w="5387" w:type="dxa"/>
            <w:tcBorders>
              <w:top w:val="nil"/>
              <w:left w:val="nil"/>
              <w:bottom w:val="single" w:sz="4" w:space="0" w:color="auto"/>
              <w:right w:val="single" w:sz="4" w:space="0" w:color="auto"/>
            </w:tcBorders>
            <w:shd w:val="clear" w:color="auto" w:fill="auto"/>
            <w:noWrap/>
            <w:vAlign w:val="center"/>
          </w:tcPr>
          <w:p w14:paraId="39E16E67" w14:textId="77777777" w:rsidR="00A052DC" w:rsidRDefault="009F0A60">
            <w:pPr>
              <w:pStyle w:val="B"/>
            </w:pPr>
            <w:r>
              <w:rPr>
                <w:rFonts w:hint="eastAsia"/>
              </w:rPr>
              <w:t>教育留学</w:t>
            </w:r>
          </w:p>
        </w:tc>
      </w:tr>
      <w:tr w:rsidR="00A052DC" w14:paraId="7928BD58" w14:textId="77777777">
        <w:trPr>
          <w:trHeight w:val="270"/>
        </w:trPr>
        <w:tc>
          <w:tcPr>
            <w:tcW w:w="2991" w:type="dxa"/>
            <w:tcBorders>
              <w:top w:val="nil"/>
              <w:left w:val="single" w:sz="4" w:space="0" w:color="auto"/>
              <w:bottom w:val="single" w:sz="4" w:space="0" w:color="auto"/>
              <w:right w:val="single" w:sz="4" w:space="0" w:color="auto"/>
            </w:tcBorders>
            <w:shd w:val="clear" w:color="auto" w:fill="auto"/>
            <w:noWrap/>
            <w:vAlign w:val="center"/>
          </w:tcPr>
          <w:p w14:paraId="18D31F60" w14:textId="77777777" w:rsidR="00A052DC" w:rsidRDefault="009F0A60">
            <w:pPr>
              <w:pStyle w:val="B"/>
              <w:jc w:val="center"/>
            </w:pPr>
            <w:r>
              <w:t>6</w:t>
            </w:r>
          </w:p>
        </w:tc>
        <w:tc>
          <w:tcPr>
            <w:tcW w:w="5387" w:type="dxa"/>
            <w:tcBorders>
              <w:top w:val="nil"/>
              <w:left w:val="nil"/>
              <w:bottom w:val="single" w:sz="4" w:space="0" w:color="auto"/>
              <w:right w:val="single" w:sz="4" w:space="0" w:color="auto"/>
            </w:tcBorders>
            <w:shd w:val="clear" w:color="auto" w:fill="auto"/>
            <w:noWrap/>
            <w:vAlign w:val="center"/>
          </w:tcPr>
          <w:p w14:paraId="76676F60" w14:textId="77777777" w:rsidR="00A052DC" w:rsidRDefault="009F0A60">
            <w:pPr>
              <w:pStyle w:val="B"/>
            </w:pPr>
            <w:r>
              <w:rPr>
                <w:rFonts w:hint="eastAsia"/>
              </w:rPr>
              <w:t>其他服务</w:t>
            </w:r>
          </w:p>
        </w:tc>
      </w:tr>
      <w:tr w:rsidR="00A052DC" w14:paraId="44A1AD88" w14:textId="77777777">
        <w:trPr>
          <w:trHeight w:val="270"/>
        </w:trPr>
        <w:tc>
          <w:tcPr>
            <w:tcW w:w="29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F4C265" w14:textId="77777777" w:rsidR="00A052DC" w:rsidRDefault="009F0A60">
            <w:pPr>
              <w:pStyle w:val="B"/>
              <w:jc w:val="center"/>
            </w:pPr>
            <w:r>
              <w:t>7</w:t>
            </w:r>
          </w:p>
        </w:tc>
        <w:tc>
          <w:tcPr>
            <w:tcW w:w="5387" w:type="dxa"/>
            <w:tcBorders>
              <w:top w:val="single" w:sz="4" w:space="0" w:color="auto"/>
              <w:left w:val="nil"/>
              <w:bottom w:val="single" w:sz="4" w:space="0" w:color="auto"/>
              <w:right w:val="single" w:sz="4" w:space="0" w:color="auto"/>
            </w:tcBorders>
            <w:shd w:val="clear" w:color="auto" w:fill="auto"/>
            <w:noWrap/>
            <w:vAlign w:val="center"/>
          </w:tcPr>
          <w:p w14:paraId="0AD2660D" w14:textId="77777777" w:rsidR="00A052DC" w:rsidRDefault="009F0A60">
            <w:pPr>
              <w:pStyle w:val="B"/>
            </w:pPr>
            <w:r>
              <w:rPr>
                <w:rFonts w:hint="eastAsia"/>
              </w:rPr>
              <w:t>提现</w:t>
            </w:r>
          </w:p>
        </w:tc>
      </w:tr>
      <w:tr w:rsidR="00A052DC" w14:paraId="469EB68D" w14:textId="77777777">
        <w:trPr>
          <w:trHeight w:val="270"/>
        </w:trPr>
        <w:tc>
          <w:tcPr>
            <w:tcW w:w="29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8B05B6" w14:textId="77777777" w:rsidR="00A052DC" w:rsidRDefault="009F0A60">
            <w:pPr>
              <w:pStyle w:val="B"/>
              <w:jc w:val="center"/>
            </w:pPr>
            <w:r>
              <w:rPr>
                <w:rFonts w:hint="eastAsia"/>
              </w:rPr>
              <w:t>8</w:t>
            </w:r>
          </w:p>
        </w:tc>
        <w:tc>
          <w:tcPr>
            <w:tcW w:w="5387" w:type="dxa"/>
            <w:tcBorders>
              <w:top w:val="single" w:sz="4" w:space="0" w:color="auto"/>
              <w:left w:val="nil"/>
              <w:bottom w:val="single" w:sz="4" w:space="0" w:color="auto"/>
              <w:right w:val="single" w:sz="4" w:space="0" w:color="auto"/>
            </w:tcBorders>
            <w:shd w:val="clear" w:color="auto" w:fill="auto"/>
            <w:noWrap/>
            <w:vAlign w:val="center"/>
          </w:tcPr>
          <w:p w14:paraId="3566DFA6" w14:textId="77777777" w:rsidR="00A052DC" w:rsidRDefault="009F0A60">
            <w:pPr>
              <w:pStyle w:val="B"/>
            </w:pPr>
            <w:r>
              <w:rPr>
                <w:rFonts w:hint="eastAsia"/>
              </w:rPr>
              <w:t>医疗保健</w:t>
            </w:r>
          </w:p>
        </w:tc>
      </w:tr>
    </w:tbl>
    <w:p w14:paraId="51CE117E" w14:textId="77777777" w:rsidR="00A052DC" w:rsidRDefault="009F0A60" w:rsidP="0020251D">
      <w:pPr>
        <w:pStyle w:val="3"/>
        <w:ind w:left="0"/>
        <w:rPr>
          <w:rFonts w:ascii="Times New Roman" w:hAnsi="Times New Roman"/>
        </w:rPr>
      </w:pPr>
      <w:bookmarkStart w:id="5032" w:name="_Toc454394902"/>
      <w:bookmarkStart w:id="5033" w:name="_Toc91455559"/>
      <w:bookmarkStart w:id="5034" w:name="_Toc101684584"/>
      <w:r>
        <w:rPr>
          <w:rFonts w:ascii="Times New Roman" w:hAnsi="Times New Roman"/>
        </w:rPr>
        <w:t>QFII/RQFII/QDII</w:t>
      </w:r>
      <w:r>
        <w:rPr>
          <w:rFonts w:ascii="Times New Roman" w:hAnsi="Times New Roman" w:hint="eastAsia"/>
        </w:rPr>
        <w:t>/RQDII/QDLP/QDIE</w:t>
      </w:r>
      <w:r>
        <w:rPr>
          <w:rFonts w:ascii="Times New Roman" w:hAnsi="Times New Roman" w:hint="eastAsia"/>
        </w:rPr>
        <w:t>投资工具类型</w:t>
      </w:r>
      <w:bookmarkEnd w:id="5028"/>
      <w:bookmarkEnd w:id="5032"/>
      <w:bookmarkEnd w:id="5033"/>
      <w:bookmarkEnd w:id="5034"/>
    </w:p>
    <w:tbl>
      <w:tblPr>
        <w:tblW w:w="84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652"/>
        <w:gridCol w:w="4820"/>
      </w:tblGrid>
      <w:tr w:rsidR="00A052DC" w14:paraId="62373C7D" w14:textId="77777777" w:rsidTr="00D95193">
        <w:trPr>
          <w:cantSplit/>
        </w:trPr>
        <w:tc>
          <w:tcPr>
            <w:tcW w:w="3652"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6981F98B" w14:textId="77777777" w:rsidR="00881462" w:rsidRDefault="009F0A60">
            <w:pPr>
              <w:pStyle w:val="B1"/>
            </w:pPr>
            <w:r>
              <w:t>QFII/RQFII/QDII</w:t>
            </w:r>
            <w:r>
              <w:rPr>
                <w:rFonts w:hint="eastAsia"/>
              </w:rPr>
              <w:t>/RQDII/QDLP/QDIE</w:t>
            </w:r>
          </w:p>
          <w:p w14:paraId="3A4F437B" w14:textId="77777777" w:rsidR="00881462" w:rsidRDefault="009F0A60">
            <w:pPr>
              <w:pStyle w:val="B1"/>
            </w:pPr>
            <w:r>
              <w:t>投资工具类型代码</w:t>
            </w:r>
          </w:p>
        </w:tc>
        <w:tc>
          <w:tcPr>
            <w:tcW w:w="4820"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0DDC9470" w14:textId="77777777" w:rsidR="00881462" w:rsidRDefault="009F0A60">
            <w:pPr>
              <w:pStyle w:val="B1"/>
            </w:pPr>
            <w:r>
              <w:t>QFII/RQFII/QDII</w:t>
            </w:r>
            <w:r>
              <w:rPr>
                <w:rFonts w:hint="eastAsia"/>
              </w:rPr>
              <w:t>/RQDII</w:t>
            </w:r>
            <w:r>
              <w:t>/QDLP/QDIE投资工具类型</w:t>
            </w:r>
          </w:p>
        </w:tc>
      </w:tr>
      <w:tr w:rsidR="00A052DC" w14:paraId="2464F27D" w14:textId="77777777">
        <w:trPr>
          <w:cantSplit/>
        </w:trPr>
        <w:tc>
          <w:tcPr>
            <w:tcW w:w="3652" w:type="dxa"/>
            <w:tcBorders>
              <w:top w:val="single" w:sz="6" w:space="0" w:color="auto"/>
              <w:left w:val="single" w:sz="6" w:space="0" w:color="auto"/>
              <w:bottom w:val="single" w:sz="6" w:space="0" w:color="auto"/>
              <w:right w:val="single" w:sz="6" w:space="0" w:color="auto"/>
            </w:tcBorders>
          </w:tcPr>
          <w:p w14:paraId="7C188343" w14:textId="77777777" w:rsidR="00A052DC" w:rsidRDefault="009F0A60">
            <w:pPr>
              <w:pStyle w:val="B"/>
              <w:jc w:val="center"/>
            </w:pPr>
            <w:bookmarkStart w:id="5035" w:name="_Hlk479754809"/>
            <w:r>
              <w:t>11</w:t>
            </w:r>
          </w:p>
        </w:tc>
        <w:tc>
          <w:tcPr>
            <w:tcW w:w="4820" w:type="dxa"/>
            <w:tcBorders>
              <w:top w:val="single" w:sz="6" w:space="0" w:color="auto"/>
              <w:left w:val="single" w:sz="6" w:space="0" w:color="auto"/>
              <w:bottom w:val="single" w:sz="6" w:space="0" w:color="auto"/>
              <w:right w:val="single" w:sz="6" w:space="0" w:color="auto"/>
            </w:tcBorders>
          </w:tcPr>
          <w:p w14:paraId="5370AB35" w14:textId="77777777" w:rsidR="00A052DC" w:rsidRDefault="009F0A60">
            <w:pPr>
              <w:pStyle w:val="B"/>
            </w:pPr>
            <w:r>
              <w:rPr>
                <w:rFonts w:hint="eastAsia"/>
              </w:rPr>
              <w:t>上市普通股</w:t>
            </w:r>
          </w:p>
        </w:tc>
      </w:tr>
      <w:tr w:rsidR="00A052DC" w14:paraId="6633A4C7" w14:textId="77777777">
        <w:trPr>
          <w:cantSplit/>
        </w:trPr>
        <w:tc>
          <w:tcPr>
            <w:tcW w:w="3652" w:type="dxa"/>
            <w:tcBorders>
              <w:top w:val="single" w:sz="6" w:space="0" w:color="auto"/>
              <w:left w:val="single" w:sz="6" w:space="0" w:color="auto"/>
              <w:bottom w:val="single" w:sz="6" w:space="0" w:color="auto"/>
              <w:right w:val="single" w:sz="6" w:space="0" w:color="auto"/>
            </w:tcBorders>
          </w:tcPr>
          <w:p w14:paraId="4FB75DE8" w14:textId="77777777" w:rsidR="00A052DC" w:rsidRDefault="009F0A60">
            <w:pPr>
              <w:pStyle w:val="B"/>
              <w:jc w:val="center"/>
            </w:pPr>
            <w:r>
              <w:t>12</w:t>
            </w:r>
          </w:p>
        </w:tc>
        <w:tc>
          <w:tcPr>
            <w:tcW w:w="4820" w:type="dxa"/>
            <w:tcBorders>
              <w:top w:val="single" w:sz="6" w:space="0" w:color="auto"/>
              <w:left w:val="single" w:sz="6" w:space="0" w:color="auto"/>
              <w:bottom w:val="single" w:sz="6" w:space="0" w:color="auto"/>
              <w:right w:val="single" w:sz="6" w:space="0" w:color="auto"/>
            </w:tcBorders>
          </w:tcPr>
          <w:p w14:paraId="489A6579" w14:textId="77777777" w:rsidR="00A052DC" w:rsidRDefault="009F0A60">
            <w:pPr>
              <w:pStyle w:val="B"/>
            </w:pPr>
            <w:r>
              <w:rPr>
                <w:rFonts w:hint="eastAsia"/>
              </w:rPr>
              <w:t>非上市普通股</w:t>
            </w:r>
          </w:p>
        </w:tc>
      </w:tr>
      <w:tr w:rsidR="00A052DC" w14:paraId="4F6D75E3" w14:textId="77777777">
        <w:trPr>
          <w:cantSplit/>
        </w:trPr>
        <w:tc>
          <w:tcPr>
            <w:tcW w:w="3652" w:type="dxa"/>
            <w:tcBorders>
              <w:top w:val="single" w:sz="6" w:space="0" w:color="auto"/>
              <w:left w:val="single" w:sz="6" w:space="0" w:color="auto"/>
              <w:bottom w:val="single" w:sz="6" w:space="0" w:color="auto"/>
              <w:right w:val="single" w:sz="6" w:space="0" w:color="auto"/>
            </w:tcBorders>
          </w:tcPr>
          <w:p w14:paraId="66454D9E" w14:textId="77777777" w:rsidR="00A052DC" w:rsidRDefault="009F0A60">
            <w:pPr>
              <w:pStyle w:val="B"/>
              <w:jc w:val="center"/>
            </w:pPr>
            <w:r>
              <w:t>13</w:t>
            </w:r>
          </w:p>
        </w:tc>
        <w:tc>
          <w:tcPr>
            <w:tcW w:w="4820" w:type="dxa"/>
            <w:tcBorders>
              <w:top w:val="single" w:sz="6" w:space="0" w:color="auto"/>
              <w:left w:val="single" w:sz="6" w:space="0" w:color="auto"/>
              <w:bottom w:val="single" w:sz="6" w:space="0" w:color="auto"/>
              <w:right w:val="single" w:sz="6" w:space="0" w:color="auto"/>
            </w:tcBorders>
          </w:tcPr>
          <w:p w14:paraId="0BBF92C0" w14:textId="77777777" w:rsidR="00A052DC" w:rsidRDefault="009F0A60">
            <w:pPr>
              <w:pStyle w:val="B"/>
            </w:pPr>
            <w:r>
              <w:rPr>
                <w:rFonts w:hint="eastAsia"/>
              </w:rPr>
              <w:t>货币市场基金份额</w:t>
            </w:r>
            <w:r>
              <w:t>/单位</w:t>
            </w:r>
          </w:p>
        </w:tc>
      </w:tr>
      <w:tr w:rsidR="00A052DC" w14:paraId="079457A5" w14:textId="77777777">
        <w:trPr>
          <w:cantSplit/>
        </w:trPr>
        <w:tc>
          <w:tcPr>
            <w:tcW w:w="3652" w:type="dxa"/>
            <w:tcBorders>
              <w:top w:val="single" w:sz="6" w:space="0" w:color="auto"/>
              <w:left w:val="single" w:sz="6" w:space="0" w:color="auto"/>
              <w:bottom w:val="single" w:sz="6" w:space="0" w:color="auto"/>
              <w:right w:val="single" w:sz="6" w:space="0" w:color="auto"/>
            </w:tcBorders>
          </w:tcPr>
          <w:p w14:paraId="355070C3" w14:textId="77777777" w:rsidR="00A052DC" w:rsidRDefault="009F0A60">
            <w:pPr>
              <w:pStyle w:val="B"/>
              <w:jc w:val="center"/>
            </w:pPr>
            <w:r>
              <w:t>14</w:t>
            </w:r>
          </w:p>
        </w:tc>
        <w:tc>
          <w:tcPr>
            <w:tcW w:w="4820" w:type="dxa"/>
            <w:tcBorders>
              <w:top w:val="single" w:sz="6" w:space="0" w:color="auto"/>
              <w:left w:val="single" w:sz="6" w:space="0" w:color="auto"/>
              <w:bottom w:val="single" w:sz="6" w:space="0" w:color="auto"/>
              <w:right w:val="single" w:sz="6" w:space="0" w:color="auto"/>
            </w:tcBorders>
          </w:tcPr>
          <w:p w14:paraId="6A02C6DF" w14:textId="77777777" w:rsidR="00A052DC" w:rsidRDefault="009F0A60">
            <w:pPr>
              <w:pStyle w:val="B"/>
            </w:pPr>
            <w:r>
              <w:rPr>
                <w:rFonts w:hint="eastAsia"/>
              </w:rPr>
              <w:t>非货币市场基金份额</w:t>
            </w:r>
            <w:r>
              <w:t>/单位</w:t>
            </w:r>
          </w:p>
        </w:tc>
      </w:tr>
      <w:tr w:rsidR="00A052DC" w14:paraId="38D85D6B" w14:textId="77777777">
        <w:trPr>
          <w:cantSplit/>
        </w:trPr>
        <w:tc>
          <w:tcPr>
            <w:tcW w:w="3652" w:type="dxa"/>
            <w:tcBorders>
              <w:top w:val="single" w:sz="6" w:space="0" w:color="auto"/>
              <w:left w:val="single" w:sz="6" w:space="0" w:color="auto"/>
              <w:bottom w:val="single" w:sz="6" w:space="0" w:color="auto"/>
              <w:right w:val="single" w:sz="6" w:space="0" w:color="auto"/>
            </w:tcBorders>
          </w:tcPr>
          <w:p w14:paraId="60F3075E" w14:textId="77777777" w:rsidR="00A052DC" w:rsidRDefault="009F0A60">
            <w:pPr>
              <w:pStyle w:val="B"/>
              <w:jc w:val="center"/>
            </w:pPr>
            <w:r>
              <w:t>15</w:t>
            </w:r>
          </w:p>
        </w:tc>
        <w:tc>
          <w:tcPr>
            <w:tcW w:w="4820" w:type="dxa"/>
            <w:tcBorders>
              <w:top w:val="single" w:sz="6" w:space="0" w:color="auto"/>
              <w:left w:val="single" w:sz="6" w:space="0" w:color="auto"/>
              <w:bottom w:val="single" w:sz="6" w:space="0" w:color="auto"/>
              <w:right w:val="single" w:sz="6" w:space="0" w:color="auto"/>
            </w:tcBorders>
          </w:tcPr>
          <w:p w14:paraId="666E845A" w14:textId="77777777" w:rsidR="00A052DC" w:rsidRDefault="009F0A60">
            <w:pPr>
              <w:pStyle w:val="B"/>
            </w:pPr>
            <w:r>
              <w:rPr>
                <w:rFonts w:hint="eastAsia"/>
              </w:rPr>
              <w:t>金融衍生产品</w:t>
            </w:r>
          </w:p>
        </w:tc>
      </w:tr>
      <w:tr w:rsidR="00A052DC" w14:paraId="06ABAB60" w14:textId="77777777">
        <w:trPr>
          <w:cantSplit/>
        </w:trPr>
        <w:tc>
          <w:tcPr>
            <w:tcW w:w="3652" w:type="dxa"/>
            <w:tcBorders>
              <w:top w:val="single" w:sz="6" w:space="0" w:color="auto"/>
              <w:left w:val="single" w:sz="6" w:space="0" w:color="auto"/>
              <w:bottom w:val="single" w:sz="6" w:space="0" w:color="auto"/>
              <w:right w:val="single" w:sz="6" w:space="0" w:color="auto"/>
            </w:tcBorders>
          </w:tcPr>
          <w:p w14:paraId="5F849ADA" w14:textId="77777777" w:rsidR="00A052DC" w:rsidRDefault="009F0A60">
            <w:pPr>
              <w:pStyle w:val="B"/>
              <w:jc w:val="center"/>
            </w:pPr>
            <w:r>
              <w:t>16</w:t>
            </w:r>
          </w:p>
        </w:tc>
        <w:tc>
          <w:tcPr>
            <w:tcW w:w="4820" w:type="dxa"/>
            <w:tcBorders>
              <w:top w:val="single" w:sz="6" w:space="0" w:color="auto"/>
              <w:left w:val="single" w:sz="6" w:space="0" w:color="auto"/>
              <w:bottom w:val="single" w:sz="6" w:space="0" w:color="auto"/>
              <w:right w:val="single" w:sz="6" w:space="0" w:color="auto"/>
            </w:tcBorders>
          </w:tcPr>
          <w:p w14:paraId="7D3573E2" w14:textId="77777777" w:rsidR="00A052DC" w:rsidRDefault="009F0A60">
            <w:pPr>
              <w:pStyle w:val="B"/>
            </w:pPr>
            <w:r>
              <w:rPr>
                <w:rFonts w:hint="eastAsia"/>
              </w:rPr>
              <w:t>债务证券</w:t>
            </w:r>
          </w:p>
        </w:tc>
      </w:tr>
      <w:tr w:rsidR="00A052DC" w14:paraId="031BC68E" w14:textId="77777777">
        <w:trPr>
          <w:cantSplit/>
        </w:trPr>
        <w:tc>
          <w:tcPr>
            <w:tcW w:w="3652" w:type="dxa"/>
            <w:tcBorders>
              <w:top w:val="single" w:sz="6" w:space="0" w:color="auto"/>
              <w:left w:val="single" w:sz="6" w:space="0" w:color="auto"/>
              <w:bottom w:val="single" w:sz="6" w:space="0" w:color="auto"/>
              <w:right w:val="single" w:sz="6" w:space="0" w:color="auto"/>
            </w:tcBorders>
          </w:tcPr>
          <w:p w14:paraId="02DA4889" w14:textId="77777777" w:rsidR="00A052DC" w:rsidRDefault="009F0A60">
            <w:pPr>
              <w:pStyle w:val="B"/>
              <w:jc w:val="center"/>
            </w:pPr>
            <w:r>
              <w:t>17</w:t>
            </w:r>
          </w:p>
        </w:tc>
        <w:tc>
          <w:tcPr>
            <w:tcW w:w="4820" w:type="dxa"/>
            <w:tcBorders>
              <w:top w:val="single" w:sz="6" w:space="0" w:color="auto"/>
              <w:left w:val="single" w:sz="6" w:space="0" w:color="auto"/>
              <w:bottom w:val="single" w:sz="6" w:space="0" w:color="auto"/>
              <w:right w:val="single" w:sz="6" w:space="0" w:color="auto"/>
            </w:tcBorders>
          </w:tcPr>
          <w:p w14:paraId="0B1D6E43" w14:textId="77777777" w:rsidR="00A052DC" w:rsidRDefault="009F0A60">
            <w:pPr>
              <w:pStyle w:val="B"/>
            </w:pPr>
            <w:r>
              <w:rPr>
                <w:rFonts w:hint="eastAsia"/>
              </w:rPr>
              <w:t>存款</w:t>
            </w:r>
            <w:r>
              <w:t>(含活期和定期存款)</w:t>
            </w:r>
          </w:p>
        </w:tc>
      </w:tr>
      <w:tr w:rsidR="00A052DC" w14:paraId="74A49F95" w14:textId="77777777">
        <w:trPr>
          <w:cantSplit/>
        </w:trPr>
        <w:tc>
          <w:tcPr>
            <w:tcW w:w="3652" w:type="dxa"/>
            <w:tcBorders>
              <w:top w:val="single" w:sz="6" w:space="0" w:color="auto"/>
              <w:left w:val="single" w:sz="6" w:space="0" w:color="auto"/>
              <w:bottom w:val="single" w:sz="6" w:space="0" w:color="auto"/>
              <w:right w:val="single" w:sz="6" w:space="0" w:color="auto"/>
            </w:tcBorders>
          </w:tcPr>
          <w:p w14:paraId="5B9CE142" w14:textId="77777777" w:rsidR="00A052DC" w:rsidRDefault="009F0A60">
            <w:pPr>
              <w:pStyle w:val="B"/>
              <w:jc w:val="center"/>
            </w:pPr>
            <w:r>
              <w:t>18</w:t>
            </w:r>
          </w:p>
        </w:tc>
        <w:tc>
          <w:tcPr>
            <w:tcW w:w="4820" w:type="dxa"/>
            <w:tcBorders>
              <w:top w:val="single" w:sz="6" w:space="0" w:color="auto"/>
              <w:left w:val="single" w:sz="6" w:space="0" w:color="auto"/>
              <w:bottom w:val="single" w:sz="6" w:space="0" w:color="auto"/>
              <w:right w:val="single" w:sz="6" w:space="0" w:color="auto"/>
            </w:tcBorders>
          </w:tcPr>
          <w:p w14:paraId="2C7A8DF4" w14:textId="77777777" w:rsidR="00A052DC" w:rsidRDefault="009F0A60">
            <w:pPr>
              <w:pStyle w:val="B"/>
            </w:pPr>
            <w:r>
              <w:rPr>
                <w:rFonts w:hint="eastAsia"/>
              </w:rPr>
              <w:t>应收款</w:t>
            </w:r>
          </w:p>
        </w:tc>
      </w:tr>
      <w:tr w:rsidR="00A052DC" w14:paraId="1402FA34" w14:textId="77777777">
        <w:trPr>
          <w:cantSplit/>
        </w:trPr>
        <w:tc>
          <w:tcPr>
            <w:tcW w:w="3652" w:type="dxa"/>
            <w:tcBorders>
              <w:top w:val="single" w:sz="6" w:space="0" w:color="auto"/>
              <w:left w:val="single" w:sz="6" w:space="0" w:color="auto"/>
              <w:bottom w:val="single" w:sz="6" w:space="0" w:color="auto"/>
              <w:right w:val="single" w:sz="6" w:space="0" w:color="auto"/>
            </w:tcBorders>
          </w:tcPr>
          <w:p w14:paraId="6A8AFE14" w14:textId="77777777" w:rsidR="00A052DC" w:rsidRDefault="009F0A60">
            <w:pPr>
              <w:pStyle w:val="B"/>
              <w:jc w:val="center"/>
            </w:pPr>
            <w:r>
              <w:t>19</w:t>
            </w:r>
          </w:p>
        </w:tc>
        <w:tc>
          <w:tcPr>
            <w:tcW w:w="4820" w:type="dxa"/>
            <w:tcBorders>
              <w:top w:val="single" w:sz="6" w:space="0" w:color="auto"/>
              <w:left w:val="single" w:sz="6" w:space="0" w:color="auto"/>
              <w:bottom w:val="single" w:sz="6" w:space="0" w:color="auto"/>
              <w:right w:val="single" w:sz="6" w:space="0" w:color="auto"/>
            </w:tcBorders>
          </w:tcPr>
          <w:p w14:paraId="71423548" w14:textId="77777777" w:rsidR="00A052DC" w:rsidRDefault="009F0A60">
            <w:pPr>
              <w:pStyle w:val="B"/>
            </w:pPr>
            <w:r>
              <w:rPr>
                <w:rFonts w:hint="eastAsia"/>
              </w:rPr>
              <w:t>应付款</w:t>
            </w:r>
          </w:p>
        </w:tc>
      </w:tr>
      <w:tr w:rsidR="00A052DC" w14:paraId="313969BF" w14:textId="77777777">
        <w:trPr>
          <w:cantSplit/>
        </w:trPr>
        <w:tc>
          <w:tcPr>
            <w:tcW w:w="3652" w:type="dxa"/>
            <w:tcBorders>
              <w:top w:val="single" w:sz="6" w:space="0" w:color="auto"/>
              <w:left w:val="single" w:sz="6" w:space="0" w:color="auto"/>
              <w:bottom w:val="single" w:sz="6" w:space="0" w:color="auto"/>
              <w:right w:val="single" w:sz="6" w:space="0" w:color="auto"/>
            </w:tcBorders>
          </w:tcPr>
          <w:p w14:paraId="514557DC" w14:textId="77777777" w:rsidR="00A052DC" w:rsidRDefault="009F0A60">
            <w:pPr>
              <w:pStyle w:val="B"/>
              <w:jc w:val="center"/>
            </w:pPr>
            <w:r>
              <w:rPr>
                <w:rFonts w:hint="eastAsia"/>
              </w:rPr>
              <w:t>20</w:t>
            </w:r>
          </w:p>
        </w:tc>
        <w:tc>
          <w:tcPr>
            <w:tcW w:w="4820" w:type="dxa"/>
            <w:tcBorders>
              <w:top w:val="single" w:sz="6" w:space="0" w:color="auto"/>
              <w:left w:val="single" w:sz="6" w:space="0" w:color="auto"/>
              <w:bottom w:val="single" w:sz="6" w:space="0" w:color="auto"/>
              <w:right w:val="single" w:sz="6" w:space="0" w:color="auto"/>
            </w:tcBorders>
          </w:tcPr>
          <w:p w14:paraId="6C486AE3" w14:textId="77777777" w:rsidR="00A052DC" w:rsidRDefault="009F0A60">
            <w:pPr>
              <w:pStyle w:val="B"/>
            </w:pPr>
            <w:r>
              <w:rPr>
                <w:rFonts w:hint="eastAsia"/>
              </w:rPr>
              <w:t>参与性优先股</w:t>
            </w:r>
          </w:p>
        </w:tc>
      </w:tr>
      <w:tr w:rsidR="00A052DC" w14:paraId="35A8F091" w14:textId="77777777">
        <w:trPr>
          <w:cantSplit/>
        </w:trPr>
        <w:tc>
          <w:tcPr>
            <w:tcW w:w="3652" w:type="dxa"/>
            <w:tcBorders>
              <w:top w:val="single" w:sz="6" w:space="0" w:color="auto"/>
              <w:left w:val="single" w:sz="6" w:space="0" w:color="auto"/>
              <w:bottom w:val="single" w:sz="6" w:space="0" w:color="auto"/>
              <w:right w:val="single" w:sz="6" w:space="0" w:color="auto"/>
            </w:tcBorders>
          </w:tcPr>
          <w:p w14:paraId="029A91CB" w14:textId="77777777" w:rsidR="00A052DC" w:rsidRDefault="009F0A60">
            <w:pPr>
              <w:pStyle w:val="B"/>
              <w:jc w:val="center"/>
            </w:pPr>
            <w:r>
              <w:rPr>
                <w:rFonts w:hint="eastAsia"/>
              </w:rPr>
              <w:t>21</w:t>
            </w:r>
          </w:p>
        </w:tc>
        <w:tc>
          <w:tcPr>
            <w:tcW w:w="4820" w:type="dxa"/>
            <w:tcBorders>
              <w:top w:val="single" w:sz="6" w:space="0" w:color="auto"/>
              <w:left w:val="single" w:sz="6" w:space="0" w:color="auto"/>
              <w:bottom w:val="single" w:sz="6" w:space="0" w:color="auto"/>
              <w:right w:val="single" w:sz="6" w:space="0" w:color="auto"/>
            </w:tcBorders>
          </w:tcPr>
          <w:p w14:paraId="7ED7BE35" w14:textId="77777777" w:rsidR="00A052DC" w:rsidRDefault="009F0A60">
            <w:pPr>
              <w:pStyle w:val="B"/>
            </w:pPr>
            <w:r>
              <w:rPr>
                <w:rFonts w:hint="eastAsia"/>
              </w:rPr>
              <w:t>非参与性优先股</w:t>
            </w:r>
          </w:p>
        </w:tc>
      </w:tr>
      <w:tr w:rsidR="00A052DC" w14:paraId="6440A2AA" w14:textId="77777777">
        <w:trPr>
          <w:cantSplit/>
        </w:trPr>
        <w:tc>
          <w:tcPr>
            <w:tcW w:w="3652" w:type="dxa"/>
            <w:tcBorders>
              <w:top w:val="single" w:sz="6" w:space="0" w:color="auto"/>
              <w:left w:val="single" w:sz="6" w:space="0" w:color="auto"/>
              <w:bottom w:val="single" w:sz="6" w:space="0" w:color="auto"/>
              <w:right w:val="single" w:sz="6" w:space="0" w:color="auto"/>
            </w:tcBorders>
          </w:tcPr>
          <w:p w14:paraId="2D21B814" w14:textId="77777777" w:rsidR="00A052DC" w:rsidRDefault="009F0A60">
            <w:pPr>
              <w:pStyle w:val="B"/>
              <w:jc w:val="center"/>
            </w:pPr>
            <w:r>
              <w:rPr>
                <w:rFonts w:hint="eastAsia"/>
              </w:rPr>
              <w:t>22</w:t>
            </w:r>
          </w:p>
        </w:tc>
        <w:tc>
          <w:tcPr>
            <w:tcW w:w="4820" w:type="dxa"/>
            <w:tcBorders>
              <w:top w:val="single" w:sz="6" w:space="0" w:color="auto"/>
              <w:left w:val="single" w:sz="6" w:space="0" w:color="auto"/>
              <w:bottom w:val="single" w:sz="6" w:space="0" w:color="auto"/>
              <w:right w:val="single" w:sz="6" w:space="0" w:color="auto"/>
            </w:tcBorders>
          </w:tcPr>
          <w:p w14:paraId="019FA319" w14:textId="77777777" w:rsidR="00A052DC" w:rsidRDefault="009F0A60">
            <w:pPr>
              <w:pStyle w:val="B"/>
            </w:pPr>
            <w:r>
              <w:rPr>
                <w:rFonts w:hint="eastAsia"/>
              </w:rPr>
              <w:t>贷款（含回购，作为融券方）</w:t>
            </w:r>
          </w:p>
        </w:tc>
      </w:tr>
      <w:tr w:rsidR="00A052DC" w14:paraId="17103CF4" w14:textId="77777777">
        <w:trPr>
          <w:cantSplit/>
        </w:trPr>
        <w:tc>
          <w:tcPr>
            <w:tcW w:w="3652" w:type="dxa"/>
            <w:tcBorders>
              <w:top w:val="single" w:sz="6" w:space="0" w:color="auto"/>
              <w:left w:val="single" w:sz="6" w:space="0" w:color="auto"/>
              <w:bottom w:val="single" w:sz="6" w:space="0" w:color="auto"/>
              <w:right w:val="single" w:sz="6" w:space="0" w:color="auto"/>
            </w:tcBorders>
          </w:tcPr>
          <w:p w14:paraId="1EAD3086" w14:textId="77777777" w:rsidR="00A052DC" w:rsidRDefault="009F0A60">
            <w:pPr>
              <w:pStyle w:val="B"/>
              <w:jc w:val="center"/>
            </w:pPr>
            <w:r>
              <w:rPr>
                <w:rFonts w:hint="eastAsia"/>
              </w:rPr>
              <w:t>23</w:t>
            </w:r>
          </w:p>
        </w:tc>
        <w:tc>
          <w:tcPr>
            <w:tcW w:w="4820" w:type="dxa"/>
            <w:tcBorders>
              <w:top w:val="single" w:sz="6" w:space="0" w:color="auto"/>
              <w:left w:val="single" w:sz="6" w:space="0" w:color="auto"/>
              <w:bottom w:val="single" w:sz="6" w:space="0" w:color="auto"/>
              <w:right w:val="single" w:sz="6" w:space="0" w:color="auto"/>
            </w:tcBorders>
          </w:tcPr>
          <w:p w14:paraId="752B3EAC" w14:textId="77777777" w:rsidR="00A052DC" w:rsidRDefault="009F0A60">
            <w:pPr>
              <w:pStyle w:val="B"/>
            </w:pPr>
            <w:r>
              <w:rPr>
                <w:rFonts w:hint="eastAsia"/>
              </w:rPr>
              <w:t>贷款（含回购，作为融资方）</w:t>
            </w:r>
          </w:p>
        </w:tc>
      </w:tr>
      <w:tr w:rsidR="00A052DC" w14:paraId="3424DA59" w14:textId="77777777">
        <w:trPr>
          <w:cantSplit/>
        </w:trPr>
        <w:tc>
          <w:tcPr>
            <w:tcW w:w="3652" w:type="dxa"/>
            <w:tcBorders>
              <w:top w:val="single" w:sz="6" w:space="0" w:color="auto"/>
              <w:left w:val="single" w:sz="6" w:space="0" w:color="auto"/>
              <w:bottom w:val="single" w:sz="6" w:space="0" w:color="auto"/>
              <w:right w:val="single" w:sz="6" w:space="0" w:color="auto"/>
            </w:tcBorders>
          </w:tcPr>
          <w:p w14:paraId="64FF28D7" w14:textId="77777777" w:rsidR="00A052DC" w:rsidRDefault="009F0A60">
            <w:pPr>
              <w:pStyle w:val="B"/>
              <w:jc w:val="center"/>
            </w:pPr>
            <w:r>
              <w:rPr>
                <w:rFonts w:hAnsi="宋体"/>
              </w:rPr>
              <w:t>24</w:t>
            </w:r>
          </w:p>
        </w:tc>
        <w:tc>
          <w:tcPr>
            <w:tcW w:w="4820" w:type="dxa"/>
            <w:tcBorders>
              <w:top w:val="single" w:sz="6" w:space="0" w:color="auto"/>
              <w:left w:val="single" w:sz="6" w:space="0" w:color="auto"/>
              <w:bottom w:val="single" w:sz="6" w:space="0" w:color="auto"/>
              <w:right w:val="single" w:sz="6" w:space="0" w:color="auto"/>
            </w:tcBorders>
          </w:tcPr>
          <w:p w14:paraId="2BCEB5E5" w14:textId="77777777" w:rsidR="00A052DC" w:rsidRDefault="009F0A60">
            <w:pPr>
              <w:pStyle w:val="B"/>
            </w:pPr>
            <w:r>
              <w:rPr>
                <w:rFonts w:hAnsi="宋体" w:hint="eastAsia"/>
              </w:rPr>
              <w:t>存托凭证</w:t>
            </w:r>
          </w:p>
        </w:tc>
      </w:tr>
    </w:tbl>
    <w:p w14:paraId="04D95F1A" w14:textId="77777777" w:rsidR="00A052DC" w:rsidRDefault="009F0A60">
      <w:pPr>
        <w:pStyle w:val="3"/>
        <w:ind w:left="0"/>
        <w:rPr>
          <w:rFonts w:ascii="Times New Roman" w:hAnsi="Times New Roman"/>
        </w:rPr>
      </w:pPr>
      <w:bookmarkStart w:id="5036" w:name="_Toc454394903"/>
      <w:bookmarkStart w:id="5037" w:name="_Toc91455560"/>
      <w:bookmarkStart w:id="5038" w:name="_Toc380356357"/>
      <w:bookmarkStart w:id="5039" w:name="_Toc101684585"/>
      <w:bookmarkEnd w:id="5035"/>
      <w:r>
        <w:rPr>
          <w:rFonts w:ascii="Times New Roman" w:hAnsi="Times New Roman"/>
        </w:rPr>
        <w:t>QFII/RQFII</w:t>
      </w:r>
      <w:r>
        <w:rPr>
          <w:rFonts w:ascii="Times New Roman" w:hAnsi="Times New Roman" w:hint="eastAsia"/>
        </w:rPr>
        <w:t>投资品种类型</w:t>
      </w:r>
      <w:bookmarkEnd w:id="5036"/>
      <w:bookmarkEnd w:id="5037"/>
      <w:bookmarkEnd w:id="5038"/>
      <w:bookmarkEnd w:id="5039"/>
    </w:p>
    <w:tbl>
      <w:tblPr>
        <w:tblW w:w="84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652"/>
        <w:gridCol w:w="4820"/>
      </w:tblGrid>
      <w:tr w:rsidR="00A052DC" w14:paraId="3629AE26" w14:textId="77777777" w:rsidTr="000F194C">
        <w:trPr>
          <w:cantSplit/>
          <w:tblHeader/>
        </w:trPr>
        <w:tc>
          <w:tcPr>
            <w:tcW w:w="3652"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222228F6" w14:textId="77777777" w:rsidR="00881462" w:rsidRDefault="009F0A60">
            <w:pPr>
              <w:pStyle w:val="B1"/>
            </w:pPr>
            <w:r w:rsidRPr="00D95193">
              <w:t>QFII/RQFII投资品种类型代码</w:t>
            </w:r>
          </w:p>
        </w:tc>
        <w:tc>
          <w:tcPr>
            <w:tcW w:w="4820"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138A27E8" w14:textId="77777777" w:rsidR="00881462" w:rsidRDefault="009F0A60">
            <w:pPr>
              <w:pStyle w:val="B1"/>
            </w:pPr>
            <w:r w:rsidRPr="00D95193">
              <w:t>QFII/RQFII</w:t>
            </w:r>
            <w:r w:rsidRPr="00D95193">
              <w:rPr>
                <w:rFonts w:hint="eastAsia"/>
              </w:rPr>
              <w:t>投资品种类型</w:t>
            </w:r>
          </w:p>
        </w:tc>
      </w:tr>
      <w:tr w:rsidR="00A052DC" w14:paraId="1F5A9849" w14:textId="77777777">
        <w:trPr>
          <w:cantSplit/>
        </w:trPr>
        <w:tc>
          <w:tcPr>
            <w:tcW w:w="3652" w:type="dxa"/>
            <w:tcBorders>
              <w:top w:val="single" w:sz="6" w:space="0" w:color="auto"/>
              <w:left w:val="single" w:sz="6" w:space="0" w:color="auto"/>
              <w:bottom w:val="single" w:sz="6" w:space="0" w:color="auto"/>
              <w:right w:val="single" w:sz="6" w:space="0" w:color="auto"/>
            </w:tcBorders>
          </w:tcPr>
          <w:p w14:paraId="780AAA7D" w14:textId="77777777" w:rsidR="00A052DC" w:rsidRDefault="009F0A60">
            <w:pPr>
              <w:pStyle w:val="B"/>
              <w:jc w:val="center"/>
            </w:pPr>
            <w:r>
              <w:t>T01</w:t>
            </w:r>
          </w:p>
        </w:tc>
        <w:tc>
          <w:tcPr>
            <w:tcW w:w="4820" w:type="dxa"/>
            <w:tcBorders>
              <w:top w:val="single" w:sz="6" w:space="0" w:color="auto"/>
              <w:left w:val="single" w:sz="6" w:space="0" w:color="auto"/>
              <w:bottom w:val="single" w:sz="6" w:space="0" w:color="auto"/>
              <w:right w:val="single" w:sz="6" w:space="0" w:color="auto"/>
            </w:tcBorders>
          </w:tcPr>
          <w:p w14:paraId="4C3B7093" w14:textId="77777777" w:rsidR="00A052DC" w:rsidRDefault="009F0A60">
            <w:pPr>
              <w:pStyle w:val="B"/>
            </w:pPr>
            <w:r>
              <w:rPr>
                <w:rFonts w:hint="eastAsia"/>
              </w:rPr>
              <w:t>银行存款余额</w:t>
            </w:r>
          </w:p>
        </w:tc>
      </w:tr>
      <w:tr w:rsidR="00A052DC" w14:paraId="0889F4F3" w14:textId="77777777">
        <w:trPr>
          <w:cantSplit/>
        </w:trPr>
        <w:tc>
          <w:tcPr>
            <w:tcW w:w="3652" w:type="dxa"/>
            <w:tcBorders>
              <w:top w:val="single" w:sz="6" w:space="0" w:color="auto"/>
              <w:left w:val="single" w:sz="6" w:space="0" w:color="auto"/>
              <w:bottom w:val="single" w:sz="6" w:space="0" w:color="auto"/>
              <w:right w:val="single" w:sz="6" w:space="0" w:color="auto"/>
            </w:tcBorders>
          </w:tcPr>
          <w:p w14:paraId="7190FD09" w14:textId="77777777" w:rsidR="00A052DC" w:rsidRDefault="009F0A60">
            <w:pPr>
              <w:pStyle w:val="B"/>
              <w:jc w:val="center"/>
            </w:pPr>
            <w:r>
              <w:t>T02</w:t>
            </w:r>
          </w:p>
        </w:tc>
        <w:tc>
          <w:tcPr>
            <w:tcW w:w="4820" w:type="dxa"/>
            <w:tcBorders>
              <w:top w:val="single" w:sz="6" w:space="0" w:color="auto"/>
              <w:left w:val="single" w:sz="6" w:space="0" w:color="auto"/>
              <w:bottom w:val="single" w:sz="6" w:space="0" w:color="auto"/>
              <w:right w:val="single" w:sz="6" w:space="0" w:color="auto"/>
            </w:tcBorders>
          </w:tcPr>
          <w:p w14:paraId="62483E46" w14:textId="77777777" w:rsidR="00A052DC" w:rsidRDefault="009F0A60">
            <w:pPr>
              <w:pStyle w:val="B"/>
            </w:pPr>
            <w:r>
              <w:rPr>
                <w:rFonts w:hint="eastAsia"/>
              </w:rPr>
              <w:t>股票市值</w:t>
            </w:r>
          </w:p>
        </w:tc>
      </w:tr>
      <w:tr w:rsidR="00A052DC" w14:paraId="63CE7605" w14:textId="77777777">
        <w:trPr>
          <w:cantSplit/>
        </w:trPr>
        <w:tc>
          <w:tcPr>
            <w:tcW w:w="3652" w:type="dxa"/>
            <w:tcBorders>
              <w:top w:val="single" w:sz="6" w:space="0" w:color="auto"/>
              <w:left w:val="single" w:sz="6" w:space="0" w:color="auto"/>
              <w:bottom w:val="single" w:sz="6" w:space="0" w:color="auto"/>
              <w:right w:val="single" w:sz="6" w:space="0" w:color="auto"/>
            </w:tcBorders>
          </w:tcPr>
          <w:p w14:paraId="2F86C8DF" w14:textId="77777777" w:rsidR="00A052DC" w:rsidRDefault="009F0A60">
            <w:pPr>
              <w:pStyle w:val="B"/>
              <w:jc w:val="center"/>
            </w:pPr>
            <w:r>
              <w:t>T03</w:t>
            </w:r>
          </w:p>
        </w:tc>
        <w:tc>
          <w:tcPr>
            <w:tcW w:w="4820" w:type="dxa"/>
            <w:tcBorders>
              <w:top w:val="single" w:sz="6" w:space="0" w:color="auto"/>
              <w:left w:val="single" w:sz="6" w:space="0" w:color="auto"/>
              <w:bottom w:val="single" w:sz="6" w:space="0" w:color="auto"/>
              <w:right w:val="single" w:sz="6" w:space="0" w:color="auto"/>
            </w:tcBorders>
          </w:tcPr>
          <w:p w14:paraId="60D4EE7F" w14:textId="77777777" w:rsidR="00A052DC" w:rsidRDefault="009F0A60">
            <w:pPr>
              <w:pStyle w:val="B"/>
            </w:pPr>
            <w:r>
              <w:rPr>
                <w:rFonts w:hint="eastAsia"/>
              </w:rPr>
              <w:t>股票类基金市值</w:t>
            </w:r>
          </w:p>
        </w:tc>
      </w:tr>
      <w:tr w:rsidR="00A052DC" w14:paraId="6387E4CB" w14:textId="77777777">
        <w:trPr>
          <w:cantSplit/>
        </w:trPr>
        <w:tc>
          <w:tcPr>
            <w:tcW w:w="3652" w:type="dxa"/>
            <w:tcBorders>
              <w:top w:val="single" w:sz="6" w:space="0" w:color="auto"/>
              <w:left w:val="single" w:sz="6" w:space="0" w:color="auto"/>
              <w:bottom w:val="single" w:sz="6" w:space="0" w:color="auto"/>
              <w:right w:val="single" w:sz="6" w:space="0" w:color="auto"/>
            </w:tcBorders>
          </w:tcPr>
          <w:p w14:paraId="02928FA3" w14:textId="77777777" w:rsidR="00A052DC" w:rsidRDefault="009F0A60">
            <w:pPr>
              <w:pStyle w:val="B"/>
              <w:jc w:val="center"/>
            </w:pPr>
            <w:r>
              <w:t>T04</w:t>
            </w:r>
          </w:p>
        </w:tc>
        <w:tc>
          <w:tcPr>
            <w:tcW w:w="4820" w:type="dxa"/>
            <w:tcBorders>
              <w:top w:val="single" w:sz="6" w:space="0" w:color="auto"/>
              <w:left w:val="single" w:sz="6" w:space="0" w:color="auto"/>
              <w:bottom w:val="single" w:sz="6" w:space="0" w:color="auto"/>
              <w:right w:val="single" w:sz="6" w:space="0" w:color="auto"/>
            </w:tcBorders>
          </w:tcPr>
          <w:p w14:paraId="4B9D1052" w14:textId="77777777" w:rsidR="00A052DC" w:rsidRDefault="009F0A60">
            <w:pPr>
              <w:pStyle w:val="B"/>
            </w:pPr>
            <w:r>
              <w:rPr>
                <w:rFonts w:hint="eastAsia"/>
              </w:rPr>
              <w:t>固定收益类基金市值</w:t>
            </w:r>
          </w:p>
        </w:tc>
      </w:tr>
      <w:tr w:rsidR="00A052DC" w14:paraId="0948BA2F" w14:textId="77777777">
        <w:trPr>
          <w:cantSplit/>
        </w:trPr>
        <w:tc>
          <w:tcPr>
            <w:tcW w:w="3652" w:type="dxa"/>
            <w:tcBorders>
              <w:top w:val="single" w:sz="6" w:space="0" w:color="auto"/>
              <w:left w:val="single" w:sz="6" w:space="0" w:color="auto"/>
              <w:bottom w:val="single" w:sz="6" w:space="0" w:color="auto"/>
              <w:right w:val="single" w:sz="6" w:space="0" w:color="auto"/>
            </w:tcBorders>
          </w:tcPr>
          <w:p w14:paraId="6F6129C4" w14:textId="77777777" w:rsidR="00A052DC" w:rsidRDefault="009F0A60">
            <w:pPr>
              <w:pStyle w:val="B"/>
              <w:jc w:val="center"/>
            </w:pPr>
            <w:r>
              <w:t>T05</w:t>
            </w:r>
          </w:p>
        </w:tc>
        <w:tc>
          <w:tcPr>
            <w:tcW w:w="4820" w:type="dxa"/>
            <w:tcBorders>
              <w:top w:val="single" w:sz="6" w:space="0" w:color="auto"/>
              <w:left w:val="single" w:sz="6" w:space="0" w:color="auto"/>
              <w:bottom w:val="single" w:sz="6" w:space="0" w:color="auto"/>
              <w:right w:val="single" w:sz="6" w:space="0" w:color="auto"/>
            </w:tcBorders>
          </w:tcPr>
          <w:p w14:paraId="7D8C453A" w14:textId="77777777" w:rsidR="00A052DC" w:rsidRDefault="009F0A60">
            <w:pPr>
              <w:pStyle w:val="B"/>
            </w:pPr>
            <w:r>
              <w:rPr>
                <w:rFonts w:hint="eastAsia"/>
              </w:rPr>
              <w:t>其他基金市值</w:t>
            </w:r>
          </w:p>
        </w:tc>
      </w:tr>
      <w:tr w:rsidR="00A052DC" w14:paraId="4E264AF5" w14:textId="77777777">
        <w:trPr>
          <w:cantSplit/>
        </w:trPr>
        <w:tc>
          <w:tcPr>
            <w:tcW w:w="3652" w:type="dxa"/>
            <w:tcBorders>
              <w:top w:val="single" w:sz="6" w:space="0" w:color="auto"/>
              <w:left w:val="single" w:sz="6" w:space="0" w:color="auto"/>
              <w:bottom w:val="single" w:sz="6" w:space="0" w:color="auto"/>
              <w:right w:val="single" w:sz="6" w:space="0" w:color="auto"/>
            </w:tcBorders>
          </w:tcPr>
          <w:p w14:paraId="461B5725" w14:textId="77777777" w:rsidR="00A052DC" w:rsidRDefault="009F0A60">
            <w:pPr>
              <w:pStyle w:val="B"/>
              <w:jc w:val="center"/>
            </w:pPr>
            <w:r>
              <w:t>T06</w:t>
            </w:r>
          </w:p>
        </w:tc>
        <w:tc>
          <w:tcPr>
            <w:tcW w:w="4820" w:type="dxa"/>
            <w:tcBorders>
              <w:top w:val="single" w:sz="6" w:space="0" w:color="auto"/>
              <w:left w:val="single" w:sz="6" w:space="0" w:color="auto"/>
              <w:bottom w:val="single" w:sz="6" w:space="0" w:color="auto"/>
              <w:right w:val="single" w:sz="6" w:space="0" w:color="auto"/>
            </w:tcBorders>
          </w:tcPr>
          <w:p w14:paraId="21EAF784" w14:textId="77777777" w:rsidR="00A052DC" w:rsidRDefault="009F0A60">
            <w:pPr>
              <w:pStyle w:val="B"/>
            </w:pPr>
            <w:r>
              <w:rPr>
                <w:rFonts w:hint="eastAsia"/>
              </w:rPr>
              <w:t>期货权益</w:t>
            </w:r>
          </w:p>
        </w:tc>
      </w:tr>
      <w:tr w:rsidR="00A052DC" w14:paraId="43CA134F" w14:textId="77777777">
        <w:trPr>
          <w:cantSplit/>
        </w:trPr>
        <w:tc>
          <w:tcPr>
            <w:tcW w:w="3652" w:type="dxa"/>
            <w:tcBorders>
              <w:top w:val="single" w:sz="6" w:space="0" w:color="auto"/>
              <w:left w:val="single" w:sz="6" w:space="0" w:color="auto"/>
              <w:bottom w:val="single" w:sz="6" w:space="0" w:color="auto"/>
              <w:right w:val="single" w:sz="6" w:space="0" w:color="auto"/>
            </w:tcBorders>
          </w:tcPr>
          <w:p w14:paraId="2E168833" w14:textId="77777777" w:rsidR="00A052DC" w:rsidRDefault="009F0A60">
            <w:pPr>
              <w:pStyle w:val="B"/>
              <w:jc w:val="center"/>
            </w:pPr>
            <w:r>
              <w:t>T07</w:t>
            </w:r>
          </w:p>
        </w:tc>
        <w:tc>
          <w:tcPr>
            <w:tcW w:w="4820" w:type="dxa"/>
            <w:tcBorders>
              <w:top w:val="single" w:sz="6" w:space="0" w:color="auto"/>
              <w:left w:val="single" w:sz="6" w:space="0" w:color="auto"/>
              <w:bottom w:val="single" w:sz="6" w:space="0" w:color="auto"/>
              <w:right w:val="single" w:sz="6" w:space="0" w:color="auto"/>
            </w:tcBorders>
          </w:tcPr>
          <w:p w14:paraId="3173D549" w14:textId="77777777" w:rsidR="00A052DC" w:rsidRDefault="009F0A60">
            <w:pPr>
              <w:pStyle w:val="B"/>
            </w:pPr>
            <w:r>
              <w:rPr>
                <w:rFonts w:hint="eastAsia"/>
              </w:rPr>
              <w:t>权证市值</w:t>
            </w:r>
          </w:p>
        </w:tc>
      </w:tr>
      <w:tr w:rsidR="00A052DC" w14:paraId="05236350" w14:textId="77777777">
        <w:trPr>
          <w:cantSplit/>
        </w:trPr>
        <w:tc>
          <w:tcPr>
            <w:tcW w:w="3652" w:type="dxa"/>
            <w:tcBorders>
              <w:top w:val="single" w:sz="6" w:space="0" w:color="auto"/>
              <w:left w:val="single" w:sz="6" w:space="0" w:color="auto"/>
              <w:bottom w:val="single" w:sz="6" w:space="0" w:color="auto"/>
              <w:right w:val="single" w:sz="6" w:space="0" w:color="auto"/>
            </w:tcBorders>
          </w:tcPr>
          <w:p w14:paraId="3A53839C" w14:textId="77777777" w:rsidR="00A052DC" w:rsidRDefault="009F0A60">
            <w:pPr>
              <w:pStyle w:val="B"/>
              <w:jc w:val="center"/>
            </w:pPr>
            <w:r>
              <w:t>T08</w:t>
            </w:r>
          </w:p>
        </w:tc>
        <w:tc>
          <w:tcPr>
            <w:tcW w:w="4820" w:type="dxa"/>
            <w:tcBorders>
              <w:top w:val="single" w:sz="6" w:space="0" w:color="auto"/>
              <w:left w:val="single" w:sz="6" w:space="0" w:color="auto"/>
              <w:bottom w:val="single" w:sz="6" w:space="0" w:color="auto"/>
              <w:right w:val="single" w:sz="6" w:space="0" w:color="auto"/>
            </w:tcBorders>
          </w:tcPr>
          <w:p w14:paraId="30ECBD35" w14:textId="77777777" w:rsidR="00A052DC" w:rsidRDefault="009F0A60">
            <w:pPr>
              <w:pStyle w:val="B"/>
            </w:pPr>
            <w:r>
              <w:rPr>
                <w:rFonts w:hint="eastAsia"/>
              </w:rPr>
              <w:t>交易所市场国债市值</w:t>
            </w:r>
          </w:p>
        </w:tc>
      </w:tr>
      <w:tr w:rsidR="00A052DC" w14:paraId="0F9312A7" w14:textId="77777777">
        <w:trPr>
          <w:cantSplit/>
        </w:trPr>
        <w:tc>
          <w:tcPr>
            <w:tcW w:w="3652" w:type="dxa"/>
            <w:tcBorders>
              <w:top w:val="single" w:sz="6" w:space="0" w:color="auto"/>
              <w:left w:val="single" w:sz="6" w:space="0" w:color="auto"/>
              <w:bottom w:val="single" w:sz="6" w:space="0" w:color="auto"/>
              <w:right w:val="single" w:sz="6" w:space="0" w:color="auto"/>
            </w:tcBorders>
          </w:tcPr>
          <w:p w14:paraId="39A5AB5C" w14:textId="77777777" w:rsidR="00A052DC" w:rsidRDefault="009F0A60">
            <w:pPr>
              <w:pStyle w:val="B"/>
              <w:jc w:val="center"/>
            </w:pPr>
            <w:r>
              <w:t>T09</w:t>
            </w:r>
          </w:p>
        </w:tc>
        <w:tc>
          <w:tcPr>
            <w:tcW w:w="4820" w:type="dxa"/>
            <w:tcBorders>
              <w:top w:val="single" w:sz="6" w:space="0" w:color="auto"/>
              <w:left w:val="single" w:sz="6" w:space="0" w:color="auto"/>
              <w:bottom w:val="single" w:sz="6" w:space="0" w:color="auto"/>
              <w:right w:val="single" w:sz="6" w:space="0" w:color="auto"/>
            </w:tcBorders>
          </w:tcPr>
          <w:p w14:paraId="23ABC436" w14:textId="77777777" w:rsidR="00A052DC" w:rsidRDefault="009F0A60">
            <w:pPr>
              <w:pStyle w:val="B"/>
            </w:pPr>
            <w:r>
              <w:rPr>
                <w:rFonts w:hint="eastAsia"/>
              </w:rPr>
              <w:t>交易所市场地方债市值</w:t>
            </w:r>
          </w:p>
        </w:tc>
      </w:tr>
      <w:tr w:rsidR="00A052DC" w14:paraId="38ECBBFE" w14:textId="77777777">
        <w:trPr>
          <w:cantSplit/>
        </w:trPr>
        <w:tc>
          <w:tcPr>
            <w:tcW w:w="3652" w:type="dxa"/>
            <w:tcBorders>
              <w:top w:val="single" w:sz="6" w:space="0" w:color="auto"/>
              <w:left w:val="single" w:sz="6" w:space="0" w:color="auto"/>
              <w:bottom w:val="single" w:sz="6" w:space="0" w:color="auto"/>
              <w:right w:val="single" w:sz="6" w:space="0" w:color="auto"/>
            </w:tcBorders>
          </w:tcPr>
          <w:p w14:paraId="183F4BA4" w14:textId="77777777" w:rsidR="00A052DC" w:rsidRDefault="009F0A60">
            <w:pPr>
              <w:pStyle w:val="B"/>
              <w:jc w:val="center"/>
            </w:pPr>
            <w:r>
              <w:t>T10</w:t>
            </w:r>
          </w:p>
        </w:tc>
        <w:tc>
          <w:tcPr>
            <w:tcW w:w="4820" w:type="dxa"/>
            <w:tcBorders>
              <w:top w:val="single" w:sz="6" w:space="0" w:color="auto"/>
              <w:left w:val="single" w:sz="6" w:space="0" w:color="auto"/>
              <w:bottom w:val="single" w:sz="6" w:space="0" w:color="auto"/>
              <w:right w:val="single" w:sz="6" w:space="0" w:color="auto"/>
            </w:tcBorders>
          </w:tcPr>
          <w:p w14:paraId="4F45842E" w14:textId="77777777" w:rsidR="00A052DC" w:rsidRDefault="009F0A60">
            <w:pPr>
              <w:pStyle w:val="B"/>
            </w:pPr>
            <w:r>
              <w:rPr>
                <w:rFonts w:hint="eastAsia"/>
              </w:rPr>
              <w:t>交易所市场公司债（企业债）市值</w:t>
            </w:r>
          </w:p>
        </w:tc>
      </w:tr>
      <w:tr w:rsidR="00A052DC" w14:paraId="441159FA" w14:textId="77777777">
        <w:trPr>
          <w:cantSplit/>
        </w:trPr>
        <w:tc>
          <w:tcPr>
            <w:tcW w:w="3652" w:type="dxa"/>
            <w:tcBorders>
              <w:top w:val="single" w:sz="6" w:space="0" w:color="auto"/>
              <w:left w:val="single" w:sz="6" w:space="0" w:color="auto"/>
              <w:bottom w:val="single" w:sz="6" w:space="0" w:color="auto"/>
              <w:right w:val="single" w:sz="6" w:space="0" w:color="auto"/>
            </w:tcBorders>
          </w:tcPr>
          <w:p w14:paraId="6CF4CC99" w14:textId="77777777" w:rsidR="00A052DC" w:rsidRDefault="009F0A60">
            <w:pPr>
              <w:pStyle w:val="B"/>
              <w:jc w:val="center"/>
            </w:pPr>
            <w:r>
              <w:t>T11</w:t>
            </w:r>
          </w:p>
        </w:tc>
        <w:tc>
          <w:tcPr>
            <w:tcW w:w="4820" w:type="dxa"/>
            <w:tcBorders>
              <w:top w:val="single" w:sz="6" w:space="0" w:color="auto"/>
              <w:left w:val="single" w:sz="6" w:space="0" w:color="auto"/>
              <w:bottom w:val="single" w:sz="6" w:space="0" w:color="auto"/>
              <w:right w:val="single" w:sz="6" w:space="0" w:color="auto"/>
            </w:tcBorders>
          </w:tcPr>
          <w:p w14:paraId="0659F4CF" w14:textId="77777777" w:rsidR="00A052DC" w:rsidRDefault="009F0A60">
            <w:pPr>
              <w:pStyle w:val="B"/>
            </w:pPr>
            <w:r>
              <w:rPr>
                <w:rFonts w:hint="eastAsia"/>
              </w:rPr>
              <w:t>交易所市场可转债市值</w:t>
            </w:r>
          </w:p>
        </w:tc>
      </w:tr>
      <w:tr w:rsidR="00A052DC" w14:paraId="42C6EBAE" w14:textId="77777777">
        <w:trPr>
          <w:cantSplit/>
        </w:trPr>
        <w:tc>
          <w:tcPr>
            <w:tcW w:w="3652" w:type="dxa"/>
            <w:tcBorders>
              <w:top w:val="single" w:sz="6" w:space="0" w:color="auto"/>
              <w:left w:val="single" w:sz="6" w:space="0" w:color="auto"/>
              <w:bottom w:val="single" w:sz="6" w:space="0" w:color="auto"/>
              <w:right w:val="single" w:sz="6" w:space="0" w:color="auto"/>
            </w:tcBorders>
          </w:tcPr>
          <w:p w14:paraId="68B5AF2C" w14:textId="77777777" w:rsidR="00A052DC" w:rsidRDefault="009F0A60">
            <w:pPr>
              <w:pStyle w:val="B"/>
              <w:jc w:val="center"/>
            </w:pPr>
            <w:r>
              <w:t>T12</w:t>
            </w:r>
          </w:p>
        </w:tc>
        <w:tc>
          <w:tcPr>
            <w:tcW w:w="4820" w:type="dxa"/>
            <w:tcBorders>
              <w:top w:val="single" w:sz="6" w:space="0" w:color="auto"/>
              <w:left w:val="single" w:sz="6" w:space="0" w:color="auto"/>
              <w:bottom w:val="single" w:sz="6" w:space="0" w:color="auto"/>
              <w:right w:val="single" w:sz="6" w:space="0" w:color="auto"/>
            </w:tcBorders>
          </w:tcPr>
          <w:p w14:paraId="1D0E25A5" w14:textId="77777777" w:rsidR="00A052DC" w:rsidRDefault="009F0A60">
            <w:pPr>
              <w:pStyle w:val="B"/>
            </w:pPr>
            <w:r>
              <w:rPr>
                <w:rFonts w:hint="eastAsia"/>
              </w:rPr>
              <w:t>其他交易所市场证券市值</w:t>
            </w:r>
          </w:p>
        </w:tc>
      </w:tr>
      <w:tr w:rsidR="00A052DC" w14:paraId="1FC79F95" w14:textId="77777777">
        <w:trPr>
          <w:cantSplit/>
        </w:trPr>
        <w:tc>
          <w:tcPr>
            <w:tcW w:w="3652" w:type="dxa"/>
            <w:tcBorders>
              <w:top w:val="single" w:sz="6" w:space="0" w:color="auto"/>
              <w:left w:val="single" w:sz="6" w:space="0" w:color="auto"/>
              <w:bottom w:val="single" w:sz="6" w:space="0" w:color="auto"/>
              <w:right w:val="single" w:sz="6" w:space="0" w:color="auto"/>
            </w:tcBorders>
          </w:tcPr>
          <w:p w14:paraId="644C49A6" w14:textId="77777777" w:rsidR="00A052DC" w:rsidRDefault="009F0A60">
            <w:pPr>
              <w:pStyle w:val="B"/>
              <w:jc w:val="center"/>
            </w:pPr>
            <w:r>
              <w:t>T13</w:t>
            </w:r>
          </w:p>
        </w:tc>
        <w:tc>
          <w:tcPr>
            <w:tcW w:w="4820" w:type="dxa"/>
            <w:tcBorders>
              <w:top w:val="single" w:sz="6" w:space="0" w:color="auto"/>
              <w:left w:val="single" w:sz="6" w:space="0" w:color="auto"/>
              <w:bottom w:val="single" w:sz="6" w:space="0" w:color="auto"/>
              <w:right w:val="single" w:sz="6" w:space="0" w:color="auto"/>
            </w:tcBorders>
          </w:tcPr>
          <w:p w14:paraId="5DB26488" w14:textId="77777777" w:rsidR="00A052DC" w:rsidRDefault="009F0A60">
            <w:pPr>
              <w:pStyle w:val="B"/>
            </w:pPr>
            <w:r>
              <w:rPr>
                <w:rFonts w:hint="eastAsia"/>
              </w:rPr>
              <w:t>银行间市场国债市值</w:t>
            </w:r>
          </w:p>
        </w:tc>
      </w:tr>
      <w:tr w:rsidR="00A052DC" w14:paraId="30E58C09" w14:textId="77777777">
        <w:trPr>
          <w:cantSplit/>
        </w:trPr>
        <w:tc>
          <w:tcPr>
            <w:tcW w:w="3652" w:type="dxa"/>
            <w:tcBorders>
              <w:top w:val="single" w:sz="6" w:space="0" w:color="auto"/>
              <w:left w:val="single" w:sz="6" w:space="0" w:color="auto"/>
              <w:bottom w:val="single" w:sz="6" w:space="0" w:color="auto"/>
              <w:right w:val="single" w:sz="6" w:space="0" w:color="auto"/>
            </w:tcBorders>
          </w:tcPr>
          <w:p w14:paraId="4841D95E" w14:textId="77777777" w:rsidR="00A052DC" w:rsidRDefault="009F0A60">
            <w:pPr>
              <w:pStyle w:val="B"/>
              <w:jc w:val="center"/>
            </w:pPr>
            <w:r>
              <w:t>T14</w:t>
            </w:r>
          </w:p>
        </w:tc>
        <w:tc>
          <w:tcPr>
            <w:tcW w:w="4820" w:type="dxa"/>
            <w:tcBorders>
              <w:top w:val="single" w:sz="6" w:space="0" w:color="auto"/>
              <w:left w:val="single" w:sz="6" w:space="0" w:color="auto"/>
              <w:bottom w:val="single" w:sz="6" w:space="0" w:color="auto"/>
              <w:right w:val="single" w:sz="6" w:space="0" w:color="auto"/>
            </w:tcBorders>
          </w:tcPr>
          <w:p w14:paraId="213CB481" w14:textId="77777777" w:rsidR="00A052DC" w:rsidRDefault="009F0A60">
            <w:pPr>
              <w:pStyle w:val="B"/>
            </w:pPr>
            <w:r>
              <w:rPr>
                <w:rFonts w:hint="eastAsia"/>
              </w:rPr>
              <w:t>银行间市场金融债市值</w:t>
            </w:r>
          </w:p>
        </w:tc>
      </w:tr>
      <w:tr w:rsidR="00A052DC" w14:paraId="5A19D711" w14:textId="77777777">
        <w:trPr>
          <w:cantSplit/>
        </w:trPr>
        <w:tc>
          <w:tcPr>
            <w:tcW w:w="3652" w:type="dxa"/>
            <w:tcBorders>
              <w:top w:val="single" w:sz="6" w:space="0" w:color="auto"/>
              <w:left w:val="single" w:sz="6" w:space="0" w:color="auto"/>
              <w:bottom w:val="single" w:sz="6" w:space="0" w:color="auto"/>
              <w:right w:val="single" w:sz="6" w:space="0" w:color="auto"/>
            </w:tcBorders>
          </w:tcPr>
          <w:p w14:paraId="713A0092" w14:textId="77777777" w:rsidR="00A052DC" w:rsidRDefault="009F0A60">
            <w:pPr>
              <w:pStyle w:val="B"/>
              <w:jc w:val="center"/>
            </w:pPr>
            <w:r>
              <w:t>T15</w:t>
            </w:r>
          </w:p>
        </w:tc>
        <w:tc>
          <w:tcPr>
            <w:tcW w:w="4820" w:type="dxa"/>
            <w:tcBorders>
              <w:top w:val="single" w:sz="6" w:space="0" w:color="auto"/>
              <w:left w:val="single" w:sz="6" w:space="0" w:color="auto"/>
              <w:bottom w:val="single" w:sz="6" w:space="0" w:color="auto"/>
              <w:right w:val="single" w:sz="6" w:space="0" w:color="auto"/>
            </w:tcBorders>
          </w:tcPr>
          <w:p w14:paraId="5934CFEF" w14:textId="77777777" w:rsidR="00A052DC" w:rsidRDefault="009F0A60">
            <w:pPr>
              <w:pStyle w:val="B"/>
            </w:pPr>
            <w:r>
              <w:rPr>
                <w:rFonts w:hint="eastAsia"/>
              </w:rPr>
              <w:t>银行间市场央票市值</w:t>
            </w:r>
          </w:p>
        </w:tc>
      </w:tr>
      <w:tr w:rsidR="00A052DC" w14:paraId="56BDCE13" w14:textId="77777777">
        <w:trPr>
          <w:cantSplit/>
        </w:trPr>
        <w:tc>
          <w:tcPr>
            <w:tcW w:w="3652" w:type="dxa"/>
            <w:tcBorders>
              <w:top w:val="single" w:sz="6" w:space="0" w:color="auto"/>
              <w:left w:val="single" w:sz="6" w:space="0" w:color="auto"/>
              <w:bottom w:val="single" w:sz="6" w:space="0" w:color="auto"/>
              <w:right w:val="single" w:sz="6" w:space="0" w:color="auto"/>
            </w:tcBorders>
          </w:tcPr>
          <w:p w14:paraId="2C5C9FD0" w14:textId="77777777" w:rsidR="00A052DC" w:rsidRDefault="009F0A60">
            <w:pPr>
              <w:pStyle w:val="B"/>
              <w:jc w:val="center"/>
            </w:pPr>
            <w:r>
              <w:t>T16</w:t>
            </w:r>
          </w:p>
        </w:tc>
        <w:tc>
          <w:tcPr>
            <w:tcW w:w="4820" w:type="dxa"/>
            <w:tcBorders>
              <w:top w:val="single" w:sz="6" w:space="0" w:color="auto"/>
              <w:left w:val="single" w:sz="6" w:space="0" w:color="auto"/>
              <w:bottom w:val="single" w:sz="6" w:space="0" w:color="auto"/>
              <w:right w:val="single" w:sz="6" w:space="0" w:color="auto"/>
            </w:tcBorders>
          </w:tcPr>
          <w:p w14:paraId="786BB2F8" w14:textId="77777777" w:rsidR="00A052DC" w:rsidRDefault="009F0A60">
            <w:pPr>
              <w:pStyle w:val="B"/>
            </w:pPr>
            <w:r>
              <w:rPr>
                <w:rFonts w:hint="eastAsia"/>
              </w:rPr>
              <w:t>银行间市场短期融资券市值</w:t>
            </w:r>
          </w:p>
        </w:tc>
      </w:tr>
      <w:tr w:rsidR="00A052DC" w14:paraId="4EA3C041" w14:textId="77777777">
        <w:trPr>
          <w:cantSplit/>
        </w:trPr>
        <w:tc>
          <w:tcPr>
            <w:tcW w:w="3652" w:type="dxa"/>
            <w:tcBorders>
              <w:top w:val="single" w:sz="6" w:space="0" w:color="auto"/>
              <w:left w:val="single" w:sz="6" w:space="0" w:color="auto"/>
              <w:bottom w:val="single" w:sz="6" w:space="0" w:color="auto"/>
              <w:right w:val="single" w:sz="6" w:space="0" w:color="auto"/>
            </w:tcBorders>
          </w:tcPr>
          <w:p w14:paraId="4A97A404" w14:textId="77777777" w:rsidR="00A052DC" w:rsidRDefault="009F0A60">
            <w:pPr>
              <w:pStyle w:val="B"/>
              <w:jc w:val="center"/>
            </w:pPr>
            <w:r>
              <w:t>T17</w:t>
            </w:r>
          </w:p>
        </w:tc>
        <w:tc>
          <w:tcPr>
            <w:tcW w:w="4820" w:type="dxa"/>
            <w:tcBorders>
              <w:top w:val="single" w:sz="6" w:space="0" w:color="auto"/>
              <w:left w:val="single" w:sz="6" w:space="0" w:color="auto"/>
              <w:bottom w:val="single" w:sz="6" w:space="0" w:color="auto"/>
              <w:right w:val="single" w:sz="6" w:space="0" w:color="auto"/>
            </w:tcBorders>
          </w:tcPr>
          <w:p w14:paraId="367C039F" w14:textId="77777777" w:rsidR="00A052DC" w:rsidRDefault="009F0A60">
            <w:pPr>
              <w:pStyle w:val="B"/>
            </w:pPr>
            <w:r>
              <w:rPr>
                <w:rFonts w:hint="eastAsia"/>
              </w:rPr>
              <w:t>银行间市场中期票据市值</w:t>
            </w:r>
          </w:p>
        </w:tc>
      </w:tr>
      <w:tr w:rsidR="00A052DC" w14:paraId="549C36EC" w14:textId="77777777">
        <w:trPr>
          <w:cantSplit/>
        </w:trPr>
        <w:tc>
          <w:tcPr>
            <w:tcW w:w="3652" w:type="dxa"/>
            <w:tcBorders>
              <w:top w:val="single" w:sz="6" w:space="0" w:color="auto"/>
              <w:left w:val="single" w:sz="6" w:space="0" w:color="auto"/>
              <w:bottom w:val="single" w:sz="6" w:space="0" w:color="auto"/>
              <w:right w:val="single" w:sz="6" w:space="0" w:color="auto"/>
            </w:tcBorders>
          </w:tcPr>
          <w:p w14:paraId="7B13611D" w14:textId="77777777" w:rsidR="00A052DC" w:rsidRDefault="009F0A60">
            <w:pPr>
              <w:pStyle w:val="B"/>
              <w:jc w:val="center"/>
            </w:pPr>
            <w:r>
              <w:t>T18</w:t>
            </w:r>
          </w:p>
        </w:tc>
        <w:tc>
          <w:tcPr>
            <w:tcW w:w="4820" w:type="dxa"/>
            <w:tcBorders>
              <w:top w:val="single" w:sz="6" w:space="0" w:color="auto"/>
              <w:left w:val="single" w:sz="6" w:space="0" w:color="auto"/>
              <w:bottom w:val="single" w:sz="6" w:space="0" w:color="auto"/>
              <w:right w:val="single" w:sz="6" w:space="0" w:color="auto"/>
            </w:tcBorders>
          </w:tcPr>
          <w:p w14:paraId="31819E21" w14:textId="77777777" w:rsidR="00A052DC" w:rsidRDefault="009F0A60">
            <w:pPr>
              <w:pStyle w:val="B"/>
            </w:pPr>
            <w:r>
              <w:rPr>
                <w:rFonts w:hint="eastAsia"/>
              </w:rPr>
              <w:t>银行间市场企业债市值</w:t>
            </w:r>
          </w:p>
        </w:tc>
      </w:tr>
      <w:tr w:rsidR="00A052DC" w14:paraId="66292287" w14:textId="77777777">
        <w:trPr>
          <w:cantSplit/>
        </w:trPr>
        <w:tc>
          <w:tcPr>
            <w:tcW w:w="3652" w:type="dxa"/>
            <w:tcBorders>
              <w:top w:val="single" w:sz="6" w:space="0" w:color="auto"/>
              <w:left w:val="single" w:sz="6" w:space="0" w:color="auto"/>
              <w:bottom w:val="single" w:sz="6" w:space="0" w:color="auto"/>
              <w:right w:val="single" w:sz="6" w:space="0" w:color="auto"/>
            </w:tcBorders>
          </w:tcPr>
          <w:p w14:paraId="07F3DAE6" w14:textId="77777777" w:rsidR="00A052DC" w:rsidRDefault="009F0A60">
            <w:pPr>
              <w:pStyle w:val="B"/>
              <w:jc w:val="center"/>
            </w:pPr>
            <w:r>
              <w:t>T19</w:t>
            </w:r>
          </w:p>
        </w:tc>
        <w:tc>
          <w:tcPr>
            <w:tcW w:w="4820" w:type="dxa"/>
            <w:tcBorders>
              <w:top w:val="single" w:sz="6" w:space="0" w:color="auto"/>
              <w:left w:val="single" w:sz="6" w:space="0" w:color="auto"/>
              <w:bottom w:val="single" w:sz="6" w:space="0" w:color="auto"/>
              <w:right w:val="single" w:sz="6" w:space="0" w:color="auto"/>
            </w:tcBorders>
          </w:tcPr>
          <w:p w14:paraId="312150E5" w14:textId="77777777" w:rsidR="00A052DC" w:rsidRDefault="009F0A60">
            <w:pPr>
              <w:pStyle w:val="B"/>
            </w:pPr>
            <w:r>
              <w:rPr>
                <w:rFonts w:hint="eastAsia"/>
              </w:rPr>
              <w:t>银行间市场地方政府债市值</w:t>
            </w:r>
          </w:p>
        </w:tc>
      </w:tr>
      <w:tr w:rsidR="00A052DC" w14:paraId="5C373073" w14:textId="77777777">
        <w:trPr>
          <w:cantSplit/>
        </w:trPr>
        <w:tc>
          <w:tcPr>
            <w:tcW w:w="3652" w:type="dxa"/>
            <w:tcBorders>
              <w:top w:val="single" w:sz="6" w:space="0" w:color="auto"/>
              <w:left w:val="single" w:sz="6" w:space="0" w:color="auto"/>
              <w:bottom w:val="single" w:sz="6" w:space="0" w:color="auto"/>
              <w:right w:val="single" w:sz="6" w:space="0" w:color="auto"/>
            </w:tcBorders>
          </w:tcPr>
          <w:p w14:paraId="531E7DDE" w14:textId="77777777" w:rsidR="00A052DC" w:rsidRDefault="009F0A60">
            <w:pPr>
              <w:pStyle w:val="B"/>
              <w:jc w:val="center"/>
            </w:pPr>
            <w:r>
              <w:t>T20</w:t>
            </w:r>
          </w:p>
        </w:tc>
        <w:tc>
          <w:tcPr>
            <w:tcW w:w="4820" w:type="dxa"/>
            <w:tcBorders>
              <w:top w:val="single" w:sz="6" w:space="0" w:color="auto"/>
              <w:left w:val="single" w:sz="6" w:space="0" w:color="auto"/>
              <w:bottom w:val="single" w:sz="6" w:space="0" w:color="auto"/>
              <w:right w:val="single" w:sz="6" w:space="0" w:color="auto"/>
            </w:tcBorders>
          </w:tcPr>
          <w:p w14:paraId="53CF8BE8" w14:textId="77777777" w:rsidR="00A052DC" w:rsidRDefault="009F0A60">
            <w:pPr>
              <w:pStyle w:val="B"/>
            </w:pPr>
            <w:r>
              <w:rPr>
                <w:rFonts w:hint="eastAsia"/>
              </w:rPr>
              <w:t>银行间市场资产支持市值</w:t>
            </w:r>
          </w:p>
        </w:tc>
      </w:tr>
      <w:tr w:rsidR="00A052DC" w14:paraId="7976D984" w14:textId="77777777">
        <w:trPr>
          <w:cantSplit/>
        </w:trPr>
        <w:tc>
          <w:tcPr>
            <w:tcW w:w="3652" w:type="dxa"/>
            <w:tcBorders>
              <w:top w:val="single" w:sz="6" w:space="0" w:color="auto"/>
              <w:left w:val="single" w:sz="6" w:space="0" w:color="auto"/>
              <w:bottom w:val="single" w:sz="6" w:space="0" w:color="auto"/>
              <w:right w:val="single" w:sz="6" w:space="0" w:color="auto"/>
            </w:tcBorders>
          </w:tcPr>
          <w:p w14:paraId="4C4A9E91" w14:textId="77777777" w:rsidR="00A052DC" w:rsidRDefault="009F0A60">
            <w:pPr>
              <w:pStyle w:val="B"/>
              <w:jc w:val="center"/>
            </w:pPr>
            <w:r>
              <w:t>T21</w:t>
            </w:r>
          </w:p>
        </w:tc>
        <w:tc>
          <w:tcPr>
            <w:tcW w:w="4820" w:type="dxa"/>
            <w:tcBorders>
              <w:top w:val="single" w:sz="6" w:space="0" w:color="auto"/>
              <w:left w:val="single" w:sz="6" w:space="0" w:color="auto"/>
              <w:bottom w:val="single" w:sz="6" w:space="0" w:color="auto"/>
              <w:right w:val="single" w:sz="6" w:space="0" w:color="auto"/>
            </w:tcBorders>
          </w:tcPr>
          <w:p w14:paraId="65B20501" w14:textId="77777777" w:rsidR="00A052DC" w:rsidRDefault="009F0A60">
            <w:pPr>
              <w:pStyle w:val="B"/>
            </w:pPr>
            <w:r>
              <w:rPr>
                <w:rFonts w:hint="eastAsia"/>
              </w:rPr>
              <w:t>其他银行间市场证券市值</w:t>
            </w:r>
          </w:p>
        </w:tc>
      </w:tr>
      <w:tr w:rsidR="00A052DC" w14:paraId="54E597FE" w14:textId="77777777">
        <w:trPr>
          <w:cantSplit/>
        </w:trPr>
        <w:tc>
          <w:tcPr>
            <w:tcW w:w="3652" w:type="dxa"/>
            <w:tcBorders>
              <w:top w:val="single" w:sz="6" w:space="0" w:color="auto"/>
              <w:left w:val="single" w:sz="6" w:space="0" w:color="auto"/>
              <w:bottom w:val="single" w:sz="6" w:space="0" w:color="auto"/>
              <w:right w:val="single" w:sz="6" w:space="0" w:color="auto"/>
            </w:tcBorders>
          </w:tcPr>
          <w:p w14:paraId="5F839B35" w14:textId="77777777" w:rsidR="00A052DC" w:rsidRDefault="009F0A60">
            <w:pPr>
              <w:pStyle w:val="B"/>
              <w:jc w:val="center"/>
            </w:pPr>
            <w:r>
              <w:t>T22</w:t>
            </w:r>
          </w:p>
        </w:tc>
        <w:tc>
          <w:tcPr>
            <w:tcW w:w="4820" w:type="dxa"/>
            <w:tcBorders>
              <w:top w:val="single" w:sz="6" w:space="0" w:color="auto"/>
              <w:left w:val="single" w:sz="6" w:space="0" w:color="auto"/>
              <w:bottom w:val="single" w:sz="6" w:space="0" w:color="auto"/>
              <w:right w:val="single" w:sz="6" w:space="0" w:color="auto"/>
            </w:tcBorders>
          </w:tcPr>
          <w:p w14:paraId="56E61CA4" w14:textId="77777777" w:rsidR="00A052DC" w:rsidRDefault="009F0A60">
            <w:pPr>
              <w:pStyle w:val="B"/>
            </w:pPr>
            <w:r>
              <w:rPr>
                <w:rFonts w:hint="eastAsia"/>
              </w:rPr>
              <w:t>应收清算款金额</w:t>
            </w:r>
          </w:p>
        </w:tc>
      </w:tr>
      <w:tr w:rsidR="00A052DC" w14:paraId="170BDED7" w14:textId="77777777">
        <w:trPr>
          <w:cantSplit/>
        </w:trPr>
        <w:tc>
          <w:tcPr>
            <w:tcW w:w="3652" w:type="dxa"/>
            <w:tcBorders>
              <w:top w:val="single" w:sz="6" w:space="0" w:color="auto"/>
              <w:left w:val="single" w:sz="6" w:space="0" w:color="auto"/>
              <w:bottom w:val="single" w:sz="6" w:space="0" w:color="auto"/>
              <w:right w:val="single" w:sz="6" w:space="0" w:color="auto"/>
            </w:tcBorders>
          </w:tcPr>
          <w:p w14:paraId="0704D201" w14:textId="77777777" w:rsidR="00A052DC" w:rsidRDefault="009F0A60">
            <w:pPr>
              <w:pStyle w:val="B"/>
              <w:jc w:val="center"/>
            </w:pPr>
            <w:r>
              <w:t>T23</w:t>
            </w:r>
          </w:p>
        </w:tc>
        <w:tc>
          <w:tcPr>
            <w:tcW w:w="4820" w:type="dxa"/>
            <w:tcBorders>
              <w:top w:val="single" w:sz="6" w:space="0" w:color="auto"/>
              <w:left w:val="single" w:sz="6" w:space="0" w:color="auto"/>
              <w:bottom w:val="single" w:sz="6" w:space="0" w:color="auto"/>
              <w:right w:val="single" w:sz="6" w:space="0" w:color="auto"/>
            </w:tcBorders>
          </w:tcPr>
          <w:p w14:paraId="5EF924F6" w14:textId="77777777" w:rsidR="00A052DC" w:rsidRDefault="009F0A60">
            <w:pPr>
              <w:pStyle w:val="B"/>
            </w:pPr>
            <w:r>
              <w:rPr>
                <w:rFonts w:hint="eastAsia"/>
              </w:rPr>
              <w:t>应收股利金额</w:t>
            </w:r>
          </w:p>
        </w:tc>
      </w:tr>
      <w:tr w:rsidR="00A052DC" w14:paraId="58F2B0C2" w14:textId="77777777">
        <w:trPr>
          <w:cantSplit/>
        </w:trPr>
        <w:tc>
          <w:tcPr>
            <w:tcW w:w="3652" w:type="dxa"/>
            <w:tcBorders>
              <w:top w:val="single" w:sz="6" w:space="0" w:color="auto"/>
              <w:left w:val="single" w:sz="6" w:space="0" w:color="auto"/>
              <w:bottom w:val="single" w:sz="6" w:space="0" w:color="auto"/>
              <w:right w:val="single" w:sz="6" w:space="0" w:color="auto"/>
            </w:tcBorders>
          </w:tcPr>
          <w:p w14:paraId="3D70A00B" w14:textId="77777777" w:rsidR="00A052DC" w:rsidRDefault="009F0A60">
            <w:pPr>
              <w:pStyle w:val="B"/>
              <w:jc w:val="center"/>
            </w:pPr>
            <w:r>
              <w:t>T24</w:t>
            </w:r>
          </w:p>
        </w:tc>
        <w:tc>
          <w:tcPr>
            <w:tcW w:w="4820" w:type="dxa"/>
            <w:tcBorders>
              <w:top w:val="single" w:sz="6" w:space="0" w:color="auto"/>
              <w:left w:val="single" w:sz="6" w:space="0" w:color="auto"/>
              <w:bottom w:val="single" w:sz="6" w:space="0" w:color="auto"/>
              <w:right w:val="single" w:sz="6" w:space="0" w:color="auto"/>
            </w:tcBorders>
          </w:tcPr>
          <w:p w14:paraId="24B899D8" w14:textId="77777777" w:rsidR="00A052DC" w:rsidRDefault="009F0A60">
            <w:pPr>
              <w:pStyle w:val="B"/>
            </w:pPr>
            <w:r>
              <w:rPr>
                <w:rFonts w:hint="eastAsia"/>
              </w:rPr>
              <w:t>应收利息金额</w:t>
            </w:r>
          </w:p>
        </w:tc>
      </w:tr>
      <w:tr w:rsidR="00A052DC" w14:paraId="46DA98E4" w14:textId="77777777">
        <w:trPr>
          <w:cantSplit/>
        </w:trPr>
        <w:tc>
          <w:tcPr>
            <w:tcW w:w="3652" w:type="dxa"/>
            <w:tcBorders>
              <w:top w:val="single" w:sz="6" w:space="0" w:color="auto"/>
              <w:left w:val="single" w:sz="6" w:space="0" w:color="auto"/>
              <w:bottom w:val="single" w:sz="6" w:space="0" w:color="auto"/>
              <w:right w:val="single" w:sz="6" w:space="0" w:color="auto"/>
            </w:tcBorders>
          </w:tcPr>
          <w:p w14:paraId="7173F2A4" w14:textId="77777777" w:rsidR="00A052DC" w:rsidRDefault="009F0A60">
            <w:pPr>
              <w:pStyle w:val="B"/>
              <w:jc w:val="center"/>
            </w:pPr>
            <w:r>
              <w:t>T25</w:t>
            </w:r>
          </w:p>
        </w:tc>
        <w:tc>
          <w:tcPr>
            <w:tcW w:w="4820" w:type="dxa"/>
            <w:tcBorders>
              <w:top w:val="single" w:sz="6" w:space="0" w:color="auto"/>
              <w:left w:val="single" w:sz="6" w:space="0" w:color="auto"/>
              <w:bottom w:val="single" w:sz="6" w:space="0" w:color="auto"/>
              <w:right w:val="single" w:sz="6" w:space="0" w:color="auto"/>
            </w:tcBorders>
          </w:tcPr>
          <w:p w14:paraId="08307A90" w14:textId="77777777" w:rsidR="00A052DC" w:rsidRDefault="009F0A60">
            <w:pPr>
              <w:pStyle w:val="B"/>
            </w:pPr>
            <w:r>
              <w:rPr>
                <w:rFonts w:hint="eastAsia"/>
              </w:rPr>
              <w:t>其他应收款金额</w:t>
            </w:r>
          </w:p>
        </w:tc>
      </w:tr>
      <w:tr w:rsidR="00A052DC" w14:paraId="12824A1E" w14:textId="77777777">
        <w:trPr>
          <w:cantSplit/>
        </w:trPr>
        <w:tc>
          <w:tcPr>
            <w:tcW w:w="3652" w:type="dxa"/>
            <w:tcBorders>
              <w:top w:val="single" w:sz="6" w:space="0" w:color="auto"/>
              <w:left w:val="single" w:sz="6" w:space="0" w:color="auto"/>
              <w:bottom w:val="single" w:sz="6" w:space="0" w:color="auto"/>
              <w:right w:val="single" w:sz="6" w:space="0" w:color="auto"/>
            </w:tcBorders>
          </w:tcPr>
          <w:p w14:paraId="4B282D9B" w14:textId="77777777" w:rsidR="00A052DC" w:rsidRDefault="009F0A60">
            <w:pPr>
              <w:pStyle w:val="B"/>
              <w:jc w:val="center"/>
            </w:pPr>
            <w:r>
              <w:t>T26</w:t>
            </w:r>
          </w:p>
        </w:tc>
        <w:tc>
          <w:tcPr>
            <w:tcW w:w="4820" w:type="dxa"/>
            <w:tcBorders>
              <w:top w:val="single" w:sz="6" w:space="0" w:color="auto"/>
              <w:left w:val="single" w:sz="6" w:space="0" w:color="auto"/>
              <w:bottom w:val="single" w:sz="6" w:space="0" w:color="auto"/>
              <w:right w:val="single" w:sz="6" w:space="0" w:color="auto"/>
            </w:tcBorders>
          </w:tcPr>
          <w:p w14:paraId="5F6A77C9" w14:textId="77777777" w:rsidR="00A052DC" w:rsidRDefault="009F0A60">
            <w:pPr>
              <w:pStyle w:val="B"/>
            </w:pPr>
            <w:r>
              <w:rPr>
                <w:rFonts w:hint="eastAsia"/>
              </w:rPr>
              <w:t>应付清算款金额</w:t>
            </w:r>
          </w:p>
        </w:tc>
      </w:tr>
      <w:tr w:rsidR="00A052DC" w14:paraId="4D192B1E" w14:textId="77777777">
        <w:trPr>
          <w:cantSplit/>
        </w:trPr>
        <w:tc>
          <w:tcPr>
            <w:tcW w:w="3652" w:type="dxa"/>
            <w:tcBorders>
              <w:top w:val="single" w:sz="6" w:space="0" w:color="auto"/>
              <w:left w:val="single" w:sz="6" w:space="0" w:color="auto"/>
              <w:bottom w:val="single" w:sz="6" w:space="0" w:color="auto"/>
              <w:right w:val="single" w:sz="6" w:space="0" w:color="auto"/>
            </w:tcBorders>
          </w:tcPr>
          <w:p w14:paraId="2B620A2F" w14:textId="77777777" w:rsidR="00A052DC" w:rsidRDefault="009F0A60">
            <w:pPr>
              <w:pStyle w:val="B"/>
              <w:jc w:val="center"/>
            </w:pPr>
            <w:r>
              <w:t>T27</w:t>
            </w:r>
          </w:p>
        </w:tc>
        <w:tc>
          <w:tcPr>
            <w:tcW w:w="4820" w:type="dxa"/>
            <w:tcBorders>
              <w:top w:val="single" w:sz="6" w:space="0" w:color="auto"/>
              <w:left w:val="single" w:sz="6" w:space="0" w:color="auto"/>
              <w:bottom w:val="single" w:sz="6" w:space="0" w:color="auto"/>
              <w:right w:val="single" w:sz="6" w:space="0" w:color="auto"/>
            </w:tcBorders>
          </w:tcPr>
          <w:p w14:paraId="6B2D8A22" w14:textId="77777777" w:rsidR="00A052DC" w:rsidRDefault="009F0A60">
            <w:pPr>
              <w:pStyle w:val="B"/>
            </w:pPr>
            <w:r>
              <w:rPr>
                <w:rFonts w:hint="eastAsia"/>
              </w:rPr>
              <w:t>应付托管费金额</w:t>
            </w:r>
          </w:p>
        </w:tc>
      </w:tr>
      <w:tr w:rsidR="00A052DC" w14:paraId="3F52307F" w14:textId="77777777">
        <w:trPr>
          <w:cantSplit/>
        </w:trPr>
        <w:tc>
          <w:tcPr>
            <w:tcW w:w="3652" w:type="dxa"/>
            <w:tcBorders>
              <w:top w:val="single" w:sz="6" w:space="0" w:color="auto"/>
              <w:left w:val="single" w:sz="6" w:space="0" w:color="auto"/>
              <w:bottom w:val="single" w:sz="6" w:space="0" w:color="auto"/>
              <w:right w:val="single" w:sz="6" w:space="0" w:color="auto"/>
            </w:tcBorders>
          </w:tcPr>
          <w:p w14:paraId="599805F9" w14:textId="77777777" w:rsidR="00A052DC" w:rsidRDefault="009F0A60">
            <w:pPr>
              <w:pStyle w:val="B"/>
              <w:jc w:val="center"/>
            </w:pPr>
            <w:r>
              <w:t>T28</w:t>
            </w:r>
          </w:p>
        </w:tc>
        <w:tc>
          <w:tcPr>
            <w:tcW w:w="4820" w:type="dxa"/>
            <w:tcBorders>
              <w:top w:val="single" w:sz="6" w:space="0" w:color="auto"/>
              <w:left w:val="single" w:sz="6" w:space="0" w:color="auto"/>
              <w:bottom w:val="single" w:sz="6" w:space="0" w:color="auto"/>
              <w:right w:val="single" w:sz="6" w:space="0" w:color="auto"/>
            </w:tcBorders>
          </w:tcPr>
          <w:p w14:paraId="382A06C3" w14:textId="77777777" w:rsidR="00A052DC" w:rsidRDefault="009F0A60">
            <w:pPr>
              <w:pStyle w:val="B"/>
            </w:pPr>
            <w:r>
              <w:rPr>
                <w:rFonts w:hint="eastAsia"/>
              </w:rPr>
              <w:t>应付管理费金额</w:t>
            </w:r>
          </w:p>
        </w:tc>
      </w:tr>
      <w:tr w:rsidR="00A052DC" w14:paraId="0456C334" w14:textId="77777777">
        <w:trPr>
          <w:cantSplit/>
        </w:trPr>
        <w:tc>
          <w:tcPr>
            <w:tcW w:w="3652" w:type="dxa"/>
            <w:tcBorders>
              <w:top w:val="single" w:sz="6" w:space="0" w:color="auto"/>
              <w:left w:val="single" w:sz="6" w:space="0" w:color="auto"/>
              <w:bottom w:val="single" w:sz="6" w:space="0" w:color="auto"/>
              <w:right w:val="single" w:sz="6" w:space="0" w:color="auto"/>
            </w:tcBorders>
          </w:tcPr>
          <w:p w14:paraId="4F1B40D1" w14:textId="77777777" w:rsidR="00A052DC" w:rsidRDefault="009F0A60">
            <w:pPr>
              <w:pStyle w:val="B"/>
              <w:jc w:val="center"/>
            </w:pPr>
            <w:r>
              <w:t>T29</w:t>
            </w:r>
          </w:p>
        </w:tc>
        <w:tc>
          <w:tcPr>
            <w:tcW w:w="4820" w:type="dxa"/>
            <w:tcBorders>
              <w:top w:val="single" w:sz="6" w:space="0" w:color="auto"/>
              <w:left w:val="single" w:sz="6" w:space="0" w:color="auto"/>
              <w:bottom w:val="single" w:sz="6" w:space="0" w:color="auto"/>
              <w:right w:val="single" w:sz="6" w:space="0" w:color="auto"/>
            </w:tcBorders>
          </w:tcPr>
          <w:p w14:paraId="6392731B" w14:textId="77777777" w:rsidR="00A052DC" w:rsidRDefault="009F0A60">
            <w:pPr>
              <w:pStyle w:val="B"/>
            </w:pPr>
            <w:r>
              <w:rPr>
                <w:rFonts w:hint="eastAsia"/>
              </w:rPr>
              <w:t>应纳税款金额</w:t>
            </w:r>
          </w:p>
        </w:tc>
      </w:tr>
      <w:tr w:rsidR="00A052DC" w14:paraId="184C97E1" w14:textId="77777777">
        <w:trPr>
          <w:cantSplit/>
        </w:trPr>
        <w:tc>
          <w:tcPr>
            <w:tcW w:w="3652" w:type="dxa"/>
            <w:tcBorders>
              <w:top w:val="single" w:sz="6" w:space="0" w:color="auto"/>
              <w:left w:val="single" w:sz="6" w:space="0" w:color="auto"/>
              <w:bottom w:val="single" w:sz="6" w:space="0" w:color="auto"/>
              <w:right w:val="single" w:sz="6" w:space="0" w:color="auto"/>
            </w:tcBorders>
          </w:tcPr>
          <w:p w14:paraId="0F8B670D" w14:textId="77777777" w:rsidR="00A052DC" w:rsidRDefault="009F0A60">
            <w:pPr>
              <w:pStyle w:val="B"/>
              <w:jc w:val="center"/>
            </w:pPr>
            <w:r>
              <w:t>T30</w:t>
            </w:r>
          </w:p>
        </w:tc>
        <w:tc>
          <w:tcPr>
            <w:tcW w:w="4820" w:type="dxa"/>
            <w:tcBorders>
              <w:top w:val="single" w:sz="6" w:space="0" w:color="auto"/>
              <w:left w:val="single" w:sz="6" w:space="0" w:color="auto"/>
              <w:bottom w:val="single" w:sz="6" w:space="0" w:color="auto"/>
              <w:right w:val="single" w:sz="6" w:space="0" w:color="auto"/>
            </w:tcBorders>
          </w:tcPr>
          <w:p w14:paraId="71FD2A4C" w14:textId="77777777" w:rsidR="00A052DC" w:rsidRDefault="009F0A60">
            <w:pPr>
              <w:pStyle w:val="B"/>
            </w:pPr>
            <w:r>
              <w:rPr>
                <w:rFonts w:hint="eastAsia"/>
              </w:rPr>
              <w:t>其他应付款金额</w:t>
            </w:r>
          </w:p>
        </w:tc>
      </w:tr>
    </w:tbl>
    <w:p w14:paraId="4D6B465D" w14:textId="77777777" w:rsidR="00A052DC" w:rsidRDefault="00A052DC">
      <w:pPr>
        <w:ind w:firstLine="480"/>
      </w:pPr>
    </w:p>
    <w:p w14:paraId="27773D65" w14:textId="77777777" w:rsidR="00A052DC" w:rsidRDefault="009F0A60" w:rsidP="0020251D">
      <w:pPr>
        <w:pStyle w:val="3"/>
        <w:ind w:left="0"/>
        <w:rPr>
          <w:rFonts w:ascii="Times New Roman" w:hAnsi="Times New Roman"/>
        </w:rPr>
      </w:pPr>
      <w:bookmarkStart w:id="5040" w:name="_Toc91455561"/>
      <w:bookmarkStart w:id="5041" w:name="_Toc380356358"/>
      <w:bookmarkStart w:id="5042" w:name="_Toc454394904"/>
      <w:bookmarkStart w:id="5043" w:name="_Toc101684586"/>
      <w:r>
        <w:rPr>
          <w:rFonts w:ascii="Times New Roman" w:hAnsi="Times New Roman" w:hint="eastAsia"/>
        </w:rPr>
        <w:t>金融衍生产品的合约类别</w:t>
      </w:r>
      <w:bookmarkEnd w:id="5040"/>
      <w:bookmarkEnd w:id="5041"/>
      <w:bookmarkEnd w:id="5042"/>
      <w:bookmarkEnd w:id="5043"/>
    </w:p>
    <w:tbl>
      <w:tblPr>
        <w:tblW w:w="0" w:type="auto"/>
        <w:tblInd w:w="94" w:type="dxa"/>
        <w:tblLook w:val="04A0" w:firstRow="1" w:lastRow="0" w:firstColumn="1" w:lastColumn="0" w:noHBand="0" w:noVBand="1"/>
      </w:tblPr>
      <w:tblGrid>
        <w:gridCol w:w="1574"/>
        <w:gridCol w:w="4110"/>
        <w:gridCol w:w="2694"/>
      </w:tblGrid>
      <w:tr w:rsidR="00A052DC" w14:paraId="126ADFBD" w14:textId="77777777" w:rsidTr="00D95193">
        <w:tc>
          <w:tcPr>
            <w:tcW w:w="157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247B1CD7" w14:textId="77777777" w:rsidR="00881462" w:rsidRDefault="009F0A60">
            <w:pPr>
              <w:pStyle w:val="B1"/>
            </w:pPr>
            <w:r>
              <w:rPr>
                <w:rFonts w:hint="eastAsia"/>
              </w:rPr>
              <w:t>一级合约类别</w:t>
            </w:r>
          </w:p>
        </w:tc>
        <w:tc>
          <w:tcPr>
            <w:tcW w:w="4110" w:type="dxa"/>
            <w:tcBorders>
              <w:top w:val="single" w:sz="4" w:space="0" w:color="auto"/>
              <w:left w:val="nil"/>
              <w:bottom w:val="single" w:sz="4" w:space="0" w:color="auto"/>
              <w:right w:val="single" w:sz="4" w:space="0" w:color="auto"/>
            </w:tcBorders>
            <w:shd w:val="clear" w:color="auto" w:fill="BFBFBF" w:themeFill="background1" w:themeFillShade="BF"/>
            <w:noWrap/>
          </w:tcPr>
          <w:p w14:paraId="220E3315" w14:textId="77777777" w:rsidR="00881462" w:rsidRDefault="009F0A60">
            <w:pPr>
              <w:pStyle w:val="B1"/>
            </w:pPr>
            <w:r>
              <w:rPr>
                <w:rFonts w:hint="eastAsia"/>
              </w:rPr>
              <w:t>二级合约类别</w:t>
            </w:r>
          </w:p>
        </w:tc>
        <w:tc>
          <w:tcPr>
            <w:tcW w:w="2694" w:type="dxa"/>
            <w:tcBorders>
              <w:top w:val="single" w:sz="4" w:space="0" w:color="auto"/>
              <w:left w:val="nil"/>
              <w:bottom w:val="single" w:sz="4" w:space="0" w:color="auto"/>
              <w:right w:val="single" w:sz="4" w:space="0" w:color="auto"/>
            </w:tcBorders>
            <w:shd w:val="clear" w:color="auto" w:fill="BFBFBF" w:themeFill="background1" w:themeFillShade="BF"/>
            <w:noWrap/>
          </w:tcPr>
          <w:p w14:paraId="15CA7157" w14:textId="77777777" w:rsidR="00881462" w:rsidRDefault="009F0A60">
            <w:pPr>
              <w:pStyle w:val="B1"/>
            </w:pPr>
            <w:r>
              <w:rPr>
                <w:rFonts w:hint="eastAsia"/>
              </w:rPr>
              <w:t>二级合约类别代码</w:t>
            </w:r>
          </w:p>
        </w:tc>
      </w:tr>
      <w:tr w:rsidR="00A052DC" w14:paraId="6184DE7B" w14:textId="77777777" w:rsidTr="00D95193">
        <w:tc>
          <w:tcPr>
            <w:tcW w:w="1574" w:type="dxa"/>
            <w:vMerge w:val="restart"/>
            <w:tcBorders>
              <w:top w:val="nil"/>
              <w:left w:val="single" w:sz="4" w:space="0" w:color="auto"/>
              <w:bottom w:val="single" w:sz="4" w:space="0" w:color="auto"/>
              <w:right w:val="single" w:sz="4" w:space="0" w:color="auto"/>
            </w:tcBorders>
            <w:shd w:val="clear" w:color="auto" w:fill="auto"/>
            <w:noWrap/>
            <w:vAlign w:val="center"/>
          </w:tcPr>
          <w:p w14:paraId="291613ED" w14:textId="77777777" w:rsidR="00881462" w:rsidRDefault="009F0A60">
            <w:pPr>
              <w:pStyle w:val="B"/>
              <w:jc w:val="center"/>
            </w:pPr>
            <w:r>
              <w:rPr>
                <w:rFonts w:hint="eastAsia"/>
              </w:rPr>
              <w:t>远期</w:t>
            </w:r>
          </w:p>
        </w:tc>
        <w:tc>
          <w:tcPr>
            <w:tcW w:w="4110" w:type="dxa"/>
            <w:tcBorders>
              <w:top w:val="nil"/>
              <w:left w:val="nil"/>
              <w:bottom w:val="single" w:sz="4" w:space="0" w:color="auto"/>
              <w:right w:val="single" w:sz="4" w:space="0" w:color="auto"/>
            </w:tcBorders>
            <w:shd w:val="clear" w:color="auto" w:fill="auto"/>
            <w:noWrap/>
          </w:tcPr>
          <w:p w14:paraId="4F0742C3" w14:textId="77777777" w:rsidR="00A052DC" w:rsidRDefault="009F0A60">
            <w:pPr>
              <w:pStyle w:val="B"/>
            </w:pPr>
            <w:r>
              <w:rPr>
                <w:rFonts w:hint="eastAsia"/>
              </w:rPr>
              <w:t>远期</w:t>
            </w:r>
          </w:p>
        </w:tc>
        <w:tc>
          <w:tcPr>
            <w:tcW w:w="2694" w:type="dxa"/>
            <w:tcBorders>
              <w:top w:val="nil"/>
              <w:left w:val="nil"/>
              <w:bottom w:val="single" w:sz="4" w:space="0" w:color="auto"/>
              <w:right w:val="single" w:sz="4" w:space="0" w:color="auto"/>
            </w:tcBorders>
            <w:shd w:val="clear" w:color="auto" w:fill="auto"/>
            <w:noWrap/>
          </w:tcPr>
          <w:p w14:paraId="6499209C" w14:textId="77777777" w:rsidR="00A052DC" w:rsidRDefault="009F0A60">
            <w:pPr>
              <w:pStyle w:val="B"/>
              <w:jc w:val="center"/>
            </w:pPr>
            <w:r>
              <w:t>1</w:t>
            </w:r>
          </w:p>
        </w:tc>
      </w:tr>
      <w:tr w:rsidR="00A052DC" w14:paraId="6AE1FF34" w14:textId="77777777" w:rsidTr="00D95193">
        <w:tc>
          <w:tcPr>
            <w:tcW w:w="1574" w:type="dxa"/>
            <w:vMerge/>
            <w:tcBorders>
              <w:top w:val="nil"/>
              <w:left w:val="single" w:sz="4" w:space="0" w:color="auto"/>
              <w:bottom w:val="single" w:sz="4" w:space="0" w:color="auto"/>
              <w:right w:val="single" w:sz="4" w:space="0" w:color="auto"/>
            </w:tcBorders>
            <w:vAlign w:val="center"/>
          </w:tcPr>
          <w:p w14:paraId="4157FE68" w14:textId="77777777" w:rsidR="00881462" w:rsidRDefault="00881462">
            <w:pPr>
              <w:pStyle w:val="B"/>
              <w:widowControl w:val="0"/>
              <w:jc w:val="center"/>
              <w:rPr>
                <w:b/>
                <w:bCs/>
                <w:kern w:val="2"/>
                <w:sz w:val="21"/>
              </w:rPr>
            </w:pPr>
          </w:p>
        </w:tc>
        <w:tc>
          <w:tcPr>
            <w:tcW w:w="4110" w:type="dxa"/>
            <w:tcBorders>
              <w:top w:val="nil"/>
              <w:left w:val="nil"/>
              <w:bottom w:val="single" w:sz="4" w:space="0" w:color="auto"/>
              <w:right w:val="single" w:sz="4" w:space="0" w:color="auto"/>
            </w:tcBorders>
            <w:shd w:val="clear" w:color="auto" w:fill="auto"/>
            <w:noWrap/>
          </w:tcPr>
          <w:p w14:paraId="67C7C0EF" w14:textId="77777777" w:rsidR="00A052DC" w:rsidRDefault="009F0A60">
            <w:pPr>
              <w:pStyle w:val="B"/>
              <w:widowControl w:val="0"/>
            </w:pPr>
            <w:r>
              <w:rPr>
                <w:rFonts w:hint="eastAsia"/>
              </w:rPr>
              <w:t>期货</w:t>
            </w:r>
          </w:p>
        </w:tc>
        <w:tc>
          <w:tcPr>
            <w:tcW w:w="2694" w:type="dxa"/>
            <w:tcBorders>
              <w:top w:val="nil"/>
              <w:left w:val="nil"/>
              <w:bottom w:val="single" w:sz="4" w:space="0" w:color="auto"/>
              <w:right w:val="single" w:sz="4" w:space="0" w:color="auto"/>
            </w:tcBorders>
            <w:shd w:val="clear" w:color="auto" w:fill="auto"/>
            <w:noWrap/>
          </w:tcPr>
          <w:p w14:paraId="754172E7" w14:textId="77777777" w:rsidR="00A052DC" w:rsidRDefault="009F0A60">
            <w:pPr>
              <w:pStyle w:val="B"/>
              <w:jc w:val="center"/>
            </w:pPr>
            <w:r>
              <w:t>2</w:t>
            </w:r>
          </w:p>
        </w:tc>
      </w:tr>
      <w:tr w:rsidR="00A052DC" w14:paraId="290695DC" w14:textId="77777777" w:rsidTr="00D95193">
        <w:tc>
          <w:tcPr>
            <w:tcW w:w="1574" w:type="dxa"/>
            <w:vMerge/>
            <w:tcBorders>
              <w:top w:val="nil"/>
              <w:left w:val="single" w:sz="4" w:space="0" w:color="auto"/>
              <w:bottom w:val="single" w:sz="4" w:space="0" w:color="auto"/>
              <w:right w:val="single" w:sz="4" w:space="0" w:color="auto"/>
            </w:tcBorders>
            <w:vAlign w:val="center"/>
          </w:tcPr>
          <w:p w14:paraId="7B084E52" w14:textId="77777777" w:rsidR="00881462" w:rsidRDefault="00881462">
            <w:pPr>
              <w:pStyle w:val="B"/>
              <w:widowControl w:val="0"/>
              <w:jc w:val="center"/>
              <w:rPr>
                <w:b/>
                <w:bCs/>
                <w:kern w:val="2"/>
                <w:sz w:val="21"/>
              </w:rPr>
            </w:pPr>
          </w:p>
        </w:tc>
        <w:tc>
          <w:tcPr>
            <w:tcW w:w="4110" w:type="dxa"/>
            <w:tcBorders>
              <w:top w:val="nil"/>
              <w:left w:val="nil"/>
              <w:bottom w:val="single" w:sz="4" w:space="0" w:color="auto"/>
              <w:right w:val="single" w:sz="4" w:space="0" w:color="auto"/>
            </w:tcBorders>
            <w:shd w:val="clear" w:color="auto" w:fill="auto"/>
            <w:noWrap/>
          </w:tcPr>
          <w:p w14:paraId="08B1974E" w14:textId="77777777" w:rsidR="00A052DC" w:rsidRDefault="009F0A60">
            <w:pPr>
              <w:pStyle w:val="B"/>
              <w:widowControl w:val="0"/>
            </w:pPr>
            <w:r>
              <w:rPr>
                <w:rFonts w:hint="eastAsia"/>
              </w:rPr>
              <w:t>掉期（互换）</w:t>
            </w:r>
          </w:p>
        </w:tc>
        <w:tc>
          <w:tcPr>
            <w:tcW w:w="2694" w:type="dxa"/>
            <w:tcBorders>
              <w:top w:val="nil"/>
              <w:left w:val="nil"/>
              <w:bottom w:val="single" w:sz="4" w:space="0" w:color="auto"/>
              <w:right w:val="single" w:sz="4" w:space="0" w:color="auto"/>
            </w:tcBorders>
            <w:shd w:val="clear" w:color="auto" w:fill="auto"/>
            <w:noWrap/>
          </w:tcPr>
          <w:p w14:paraId="20063406" w14:textId="77777777" w:rsidR="00A052DC" w:rsidRDefault="009F0A60">
            <w:pPr>
              <w:pStyle w:val="B"/>
              <w:jc w:val="center"/>
            </w:pPr>
            <w:r>
              <w:t>3</w:t>
            </w:r>
          </w:p>
        </w:tc>
      </w:tr>
      <w:tr w:rsidR="00A052DC" w14:paraId="611F390A" w14:textId="77777777" w:rsidTr="00D95193">
        <w:tc>
          <w:tcPr>
            <w:tcW w:w="1574" w:type="dxa"/>
            <w:vMerge/>
            <w:tcBorders>
              <w:top w:val="nil"/>
              <w:left w:val="single" w:sz="4" w:space="0" w:color="auto"/>
              <w:bottom w:val="single" w:sz="4" w:space="0" w:color="auto"/>
              <w:right w:val="single" w:sz="4" w:space="0" w:color="auto"/>
            </w:tcBorders>
            <w:vAlign w:val="center"/>
          </w:tcPr>
          <w:p w14:paraId="7CAFDDED" w14:textId="77777777" w:rsidR="00881462" w:rsidRDefault="00881462">
            <w:pPr>
              <w:pStyle w:val="B"/>
              <w:widowControl w:val="0"/>
              <w:jc w:val="center"/>
              <w:rPr>
                <w:b/>
                <w:bCs/>
                <w:kern w:val="2"/>
                <w:sz w:val="21"/>
              </w:rPr>
            </w:pPr>
          </w:p>
        </w:tc>
        <w:tc>
          <w:tcPr>
            <w:tcW w:w="4110" w:type="dxa"/>
            <w:tcBorders>
              <w:top w:val="nil"/>
              <w:left w:val="nil"/>
              <w:bottom w:val="single" w:sz="4" w:space="0" w:color="auto"/>
              <w:right w:val="single" w:sz="4" w:space="0" w:color="auto"/>
            </w:tcBorders>
            <w:shd w:val="clear" w:color="auto" w:fill="auto"/>
            <w:noWrap/>
          </w:tcPr>
          <w:p w14:paraId="01E1D878" w14:textId="77777777" w:rsidR="00A052DC" w:rsidRDefault="009F0A60">
            <w:pPr>
              <w:pStyle w:val="B"/>
              <w:widowControl w:val="0"/>
            </w:pPr>
            <w:r>
              <w:rPr>
                <w:rFonts w:hint="eastAsia"/>
              </w:rPr>
              <w:t>远期特征的结构性产品及其他产品</w:t>
            </w:r>
          </w:p>
        </w:tc>
        <w:tc>
          <w:tcPr>
            <w:tcW w:w="2694" w:type="dxa"/>
            <w:tcBorders>
              <w:top w:val="nil"/>
              <w:left w:val="nil"/>
              <w:bottom w:val="single" w:sz="4" w:space="0" w:color="auto"/>
              <w:right w:val="single" w:sz="4" w:space="0" w:color="auto"/>
            </w:tcBorders>
            <w:shd w:val="clear" w:color="auto" w:fill="auto"/>
            <w:noWrap/>
          </w:tcPr>
          <w:p w14:paraId="503A2160" w14:textId="77777777" w:rsidR="00A052DC" w:rsidRDefault="009F0A60">
            <w:pPr>
              <w:pStyle w:val="B"/>
              <w:jc w:val="center"/>
            </w:pPr>
            <w:r>
              <w:t>4</w:t>
            </w:r>
          </w:p>
        </w:tc>
      </w:tr>
      <w:tr w:rsidR="00A052DC" w14:paraId="6E47AA07" w14:textId="77777777" w:rsidTr="00D95193">
        <w:tc>
          <w:tcPr>
            <w:tcW w:w="1574" w:type="dxa"/>
            <w:vMerge w:val="restart"/>
            <w:tcBorders>
              <w:top w:val="nil"/>
              <w:left w:val="single" w:sz="4" w:space="0" w:color="auto"/>
              <w:bottom w:val="single" w:sz="4" w:space="0" w:color="auto"/>
              <w:right w:val="single" w:sz="4" w:space="0" w:color="auto"/>
            </w:tcBorders>
            <w:shd w:val="clear" w:color="auto" w:fill="auto"/>
            <w:noWrap/>
            <w:vAlign w:val="center"/>
          </w:tcPr>
          <w:p w14:paraId="05DC2B53" w14:textId="77777777" w:rsidR="00881462" w:rsidRDefault="009F0A60">
            <w:pPr>
              <w:pStyle w:val="B"/>
              <w:jc w:val="center"/>
            </w:pPr>
            <w:r>
              <w:rPr>
                <w:rFonts w:hint="eastAsia"/>
              </w:rPr>
              <w:t>期权</w:t>
            </w:r>
          </w:p>
        </w:tc>
        <w:tc>
          <w:tcPr>
            <w:tcW w:w="4110" w:type="dxa"/>
            <w:tcBorders>
              <w:top w:val="nil"/>
              <w:left w:val="nil"/>
              <w:bottom w:val="single" w:sz="4" w:space="0" w:color="auto"/>
              <w:right w:val="single" w:sz="4" w:space="0" w:color="auto"/>
            </w:tcBorders>
            <w:shd w:val="clear" w:color="auto" w:fill="auto"/>
            <w:noWrap/>
          </w:tcPr>
          <w:p w14:paraId="6A76B7D6" w14:textId="77777777" w:rsidR="00A052DC" w:rsidRDefault="009F0A60">
            <w:pPr>
              <w:pStyle w:val="B"/>
            </w:pPr>
            <w:r>
              <w:rPr>
                <w:rFonts w:hint="eastAsia"/>
              </w:rPr>
              <w:t>单一期权</w:t>
            </w:r>
          </w:p>
        </w:tc>
        <w:tc>
          <w:tcPr>
            <w:tcW w:w="2694" w:type="dxa"/>
            <w:tcBorders>
              <w:top w:val="nil"/>
              <w:left w:val="nil"/>
              <w:bottom w:val="single" w:sz="4" w:space="0" w:color="auto"/>
              <w:right w:val="single" w:sz="4" w:space="0" w:color="auto"/>
            </w:tcBorders>
            <w:shd w:val="clear" w:color="auto" w:fill="auto"/>
            <w:noWrap/>
          </w:tcPr>
          <w:p w14:paraId="67777EC8" w14:textId="77777777" w:rsidR="00A052DC" w:rsidRDefault="009F0A60">
            <w:pPr>
              <w:pStyle w:val="B"/>
              <w:jc w:val="center"/>
            </w:pPr>
            <w:r>
              <w:t>5</w:t>
            </w:r>
          </w:p>
        </w:tc>
      </w:tr>
      <w:tr w:rsidR="00A052DC" w14:paraId="3D87C3BA" w14:textId="77777777">
        <w:tc>
          <w:tcPr>
            <w:tcW w:w="1574" w:type="dxa"/>
            <w:vMerge/>
            <w:tcBorders>
              <w:top w:val="nil"/>
              <w:left w:val="single" w:sz="4" w:space="0" w:color="auto"/>
              <w:bottom w:val="single" w:sz="4" w:space="0" w:color="auto"/>
              <w:right w:val="single" w:sz="4" w:space="0" w:color="auto"/>
            </w:tcBorders>
          </w:tcPr>
          <w:p w14:paraId="4E52B38C" w14:textId="77777777" w:rsidR="00A052DC" w:rsidRDefault="00A052DC">
            <w:pPr>
              <w:pStyle w:val="B"/>
              <w:widowControl w:val="0"/>
              <w:rPr>
                <w:b/>
                <w:bCs/>
              </w:rPr>
            </w:pPr>
          </w:p>
        </w:tc>
        <w:tc>
          <w:tcPr>
            <w:tcW w:w="4110" w:type="dxa"/>
            <w:tcBorders>
              <w:top w:val="nil"/>
              <w:left w:val="nil"/>
              <w:bottom w:val="single" w:sz="4" w:space="0" w:color="auto"/>
              <w:right w:val="single" w:sz="4" w:space="0" w:color="auto"/>
            </w:tcBorders>
            <w:shd w:val="clear" w:color="auto" w:fill="auto"/>
            <w:noWrap/>
          </w:tcPr>
          <w:p w14:paraId="55BED601" w14:textId="77777777" w:rsidR="00A052DC" w:rsidRDefault="009F0A60">
            <w:pPr>
              <w:pStyle w:val="B"/>
              <w:widowControl w:val="0"/>
            </w:pPr>
            <w:r>
              <w:rPr>
                <w:rFonts w:hint="eastAsia"/>
              </w:rPr>
              <w:t>组合类期权</w:t>
            </w:r>
          </w:p>
        </w:tc>
        <w:tc>
          <w:tcPr>
            <w:tcW w:w="2694" w:type="dxa"/>
            <w:tcBorders>
              <w:top w:val="nil"/>
              <w:left w:val="nil"/>
              <w:bottom w:val="single" w:sz="4" w:space="0" w:color="auto"/>
              <w:right w:val="single" w:sz="4" w:space="0" w:color="auto"/>
            </w:tcBorders>
            <w:shd w:val="clear" w:color="auto" w:fill="auto"/>
            <w:noWrap/>
          </w:tcPr>
          <w:p w14:paraId="1524BD88" w14:textId="77777777" w:rsidR="00A052DC" w:rsidRDefault="009F0A60">
            <w:pPr>
              <w:pStyle w:val="B"/>
              <w:jc w:val="center"/>
            </w:pPr>
            <w:r>
              <w:t>6</w:t>
            </w:r>
          </w:p>
        </w:tc>
      </w:tr>
      <w:tr w:rsidR="00A052DC" w14:paraId="5BCDE0FC" w14:textId="77777777">
        <w:tc>
          <w:tcPr>
            <w:tcW w:w="1574" w:type="dxa"/>
            <w:vMerge/>
            <w:tcBorders>
              <w:top w:val="nil"/>
              <w:left w:val="single" w:sz="4" w:space="0" w:color="auto"/>
              <w:bottom w:val="single" w:sz="4" w:space="0" w:color="auto"/>
              <w:right w:val="single" w:sz="4" w:space="0" w:color="auto"/>
            </w:tcBorders>
          </w:tcPr>
          <w:p w14:paraId="1C6C8EB0" w14:textId="77777777" w:rsidR="00A052DC" w:rsidRDefault="00A052DC">
            <w:pPr>
              <w:pStyle w:val="B"/>
              <w:widowControl w:val="0"/>
              <w:rPr>
                <w:b/>
                <w:bCs/>
              </w:rPr>
            </w:pPr>
          </w:p>
        </w:tc>
        <w:tc>
          <w:tcPr>
            <w:tcW w:w="4110" w:type="dxa"/>
            <w:tcBorders>
              <w:top w:val="nil"/>
              <w:left w:val="nil"/>
              <w:bottom w:val="single" w:sz="4" w:space="0" w:color="auto"/>
              <w:right w:val="single" w:sz="4" w:space="0" w:color="auto"/>
            </w:tcBorders>
            <w:shd w:val="clear" w:color="auto" w:fill="auto"/>
            <w:noWrap/>
          </w:tcPr>
          <w:p w14:paraId="0BAAC0CB" w14:textId="77777777" w:rsidR="00A052DC" w:rsidRDefault="009F0A60">
            <w:pPr>
              <w:pStyle w:val="B"/>
              <w:widowControl w:val="0"/>
            </w:pPr>
            <w:r>
              <w:rPr>
                <w:rFonts w:hint="eastAsia"/>
              </w:rPr>
              <w:t>权证</w:t>
            </w:r>
          </w:p>
        </w:tc>
        <w:tc>
          <w:tcPr>
            <w:tcW w:w="2694" w:type="dxa"/>
            <w:tcBorders>
              <w:top w:val="nil"/>
              <w:left w:val="nil"/>
              <w:bottom w:val="single" w:sz="4" w:space="0" w:color="auto"/>
              <w:right w:val="single" w:sz="4" w:space="0" w:color="auto"/>
            </w:tcBorders>
            <w:shd w:val="clear" w:color="auto" w:fill="auto"/>
            <w:noWrap/>
          </w:tcPr>
          <w:p w14:paraId="30B2F0D5" w14:textId="77777777" w:rsidR="00A052DC" w:rsidRDefault="009F0A60">
            <w:pPr>
              <w:pStyle w:val="B"/>
              <w:jc w:val="center"/>
            </w:pPr>
            <w:r>
              <w:t>7</w:t>
            </w:r>
          </w:p>
        </w:tc>
      </w:tr>
      <w:tr w:rsidR="00A052DC" w14:paraId="767FE3C9" w14:textId="77777777">
        <w:tc>
          <w:tcPr>
            <w:tcW w:w="1574" w:type="dxa"/>
            <w:vMerge/>
            <w:tcBorders>
              <w:top w:val="nil"/>
              <w:left w:val="single" w:sz="4" w:space="0" w:color="auto"/>
              <w:bottom w:val="single" w:sz="4" w:space="0" w:color="auto"/>
              <w:right w:val="single" w:sz="4" w:space="0" w:color="auto"/>
            </w:tcBorders>
          </w:tcPr>
          <w:p w14:paraId="043D19F0" w14:textId="77777777" w:rsidR="00A052DC" w:rsidRDefault="00A052DC">
            <w:pPr>
              <w:pStyle w:val="B"/>
              <w:widowControl w:val="0"/>
              <w:rPr>
                <w:b/>
                <w:bCs/>
              </w:rPr>
            </w:pPr>
          </w:p>
        </w:tc>
        <w:tc>
          <w:tcPr>
            <w:tcW w:w="4110" w:type="dxa"/>
            <w:tcBorders>
              <w:top w:val="nil"/>
              <w:left w:val="nil"/>
              <w:bottom w:val="single" w:sz="4" w:space="0" w:color="auto"/>
              <w:right w:val="single" w:sz="4" w:space="0" w:color="auto"/>
            </w:tcBorders>
            <w:shd w:val="clear" w:color="auto" w:fill="auto"/>
            <w:noWrap/>
          </w:tcPr>
          <w:p w14:paraId="3718BF5D" w14:textId="77777777" w:rsidR="00A052DC" w:rsidRDefault="009F0A60">
            <w:pPr>
              <w:pStyle w:val="B"/>
              <w:widowControl w:val="0"/>
            </w:pPr>
            <w:r>
              <w:rPr>
                <w:rFonts w:hint="eastAsia"/>
              </w:rPr>
              <w:t>期权特征的结构性产品及其他产品</w:t>
            </w:r>
          </w:p>
        </w:tc>
        <w:tc>
          <w:tcPr>
            <w:tcW w:w="2694" w:type="dxa"/>
            <w:tcBorders>
              <w:top w:val="nil"/>
              <w:left w:val="nil"/>
              <w:bottom w:val="single" w:sz="4" w:space="0" w:color="auto"/>
              <w:right w:val="single" w:sz="4" w:space="0" w:color="auto"/>
            </w:tcBorders>
            <w:shd w:val="clear" w:color="auto" w:fill="auto"/>
            <w:noWrap/>
          </w:tcPr>
          <w:p w14:paraId="4B722EF2" w14:textId="77777777" w:rsidR="00A052DC" w:rsidRDefault="009F0A60">
            <w:pPr>
              <w:pStyle w:val="B"/>
              <w:jc w:val="center"/>
            </w:pPr>
            <w:r>
              <w:t>8</w:t>
            </w:r>
          </w:p>
        </w:tc>
      </w:tr>
    </w:tbl>
    <w:p w14:paraId="2352891D" w14:textId="77777777" w:rsidR="00A052DC" w:rsidRDefault="009F0A60">
      <w:pPr>
        <w:pStyle w:val="3"/>
        <w:ind w:left="0"/>
        <w:rPr>
          <w:rFonts w:ascii="Times New Roman" w:hAnsi="Times New Roman"/>
        </w:rPr>
      </w:pPr>
      <w:bookmarkStart w:id="5044" w:name="_Toc454394905"/>
      <w:bookmarkStart w:id="5045" w:name="_Toc380356359"/>
      <w:bookmarkStart w:id="5046" w:name="_Toc91455562"/>
      <w:bookmarkStart w:id="5047" w:name="_Toc101684587"/>
      <w:r>
        <w:rPr>
          <w:rFonts w:ascii="Times New Roman" w:hAnsi="Times New Roman" w:hint="eastAsia"/>
        </w:rPr>
        <w:t>金融衍生产品的风险类别</w:t>
      </w:r>
      <w:bookmarkEnd w:id="5044"/>
      <w:bookmarkEnd w:id="5045"/>
      <w:bookmarkEnd w:id="5046"/>
      <w:bookmarkEnd w:id="5047"/>
    </w:p>
    <w:tbl>
      <w:tblPr>
        <w:tblW w:w="0" w:type="auto"/>
        <w:tblInd w:w="94" w:type="dxa"/>
        <w:tblLook w:val="04A0" w:firstRow="1" w:lastRow="0" w:firstColumn="1" w:lastColumn="0" w:noHBand="0" w:noVBand="1"/>
      </w:tblPr>
      <w:tblGrid>
        <w:gridCol w:w="2991"/>
        <w:gridCol w:w="5387"/>
      </w:tblGrid>
      <w:tr w:rsidR="00A052DC" w14:paraId="47F6DF3B" w14:textId="77777777" w:rsidTr="00D95193">
        <w:trPr>
          <w:tblHeader/>
        </w:trPr>
        <w:tc>
          <w:tcPr>
            <w:tcW w:w="299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3062D103" w14:textId="77777777" w:rsidR="00881462" w:rsidRDefault="009F0A60">
            <w:pPr>
              <w:pStyle w:val="B1"/>
            </w:pPr>
            <w:r>
              <w:rPr>
                <w:rFonts w:hint="eastAsia"/>
              </w:rPr>
              <w:t>金融衍生产品的风险类别代码</w:t>
            </w:r>
          </w:p>
        </w:tc>
        <w:tc>
          <w:tcPr>
            <w:tcW w:w="5387" w:type="dxa"/>
            <w:tcBorders>
              <w:top w:val="single" w:sz="4" w:space="0" w:color="auto"/>
              <w:left w:val="nil"/>
              <w:bottom w:val="single" w:sz="4" w:space="0" w:color="auto"/>
              <w:right w:val="single" w:sz="4" w:space="0" w:color="auto"/>
            </w:tcBorders>
            <w:shd w:val="clear" w:color="auto" w:fill="BFBFBF" w:themeFill="background1" w:themeFillShade="BF"/>
            <w:noWrap/>
          </w:tcPr>
          <w:p w14:paraId="59F931C3" w14:textId="77777777" w:rsidR="00881462" w:rsidRDefault="009F0A60">
            <w:pPr>
              <w:pStyle w:val="B1"/>
            </w:pPr>
            <w:r>
              <w:rPr>
                <w:rFonts w:hint="eastAsia"/>
              </w:rPr>
              <w:t>金融衍生产品的风险类别</w:t>
            </w:r>
          </w:p>
        </w:tc>
      </w:tr>
      <w:tr w:rsidR="00A052DC" w14:paraId="0D5FA8C9" w14:textId="77777777">
        <w:tc>
          <w:tcPr>
            <w:tcW w:w="2991" w:type="dxa"/>
            <w:tcBorders>
              <w:top w:val="nil"/>
              <w:left w:val="single" w:sz="4" w:space="0" w:color="auto"/>
              <w:bottom w:val="single" w:sz="4" w:space="0" w:color="auto"/>
              <w:right w:val="single" w:sz="4" w:space="0" w:color="auto"/>
            </w:tcBorders>
            <w:shd w:val="clear" w:color="auto" w:fill="auto"/>
            <w:noWrap/>
          </w:tcPr>
          <w:p w14:paraId="64DEA8A8" w14:textId="77777777" w:rsidR="00A052DC" w:rsidRDefault="009F0A60">
            <w:pPr>
              <w:pStyle w:val="B"/>
              <w:jc w:val="center"/>
            </w:pPr>
            <w:r>
              <w:t>1</w:t>
            </w:r>
          </w:p>
        </w:tc>
        <w:tc>
          <w:tcPr>
            <w:tcW w:w="5387" w:type="dxa"/>
            <w:tcBorders>
              <w:top w:val="nil"/>
              <w:left w:val="nil"/>
              <w:bottom w:val="single" w:sz="4" w:space="0" w:color="auto"/>
              <w:right w:val="single" w:sz="4" w:space="0" w:color="auto"/>
            </w:tcBorders>
            <w:shd w:val="clear" w:color="auto" w:fill="auto"/>
            <w:noWrap/>
          </w:tcPr>
          <w:p w14:paraId="4CF92726" w14:textId="77777777" w:rsidR="00A052DC" w:rsidRDefault="009F0A60">
            <w:pPr>
              <w:pStyle w:val="B"/>
            </w:pPr>
            <w:r>
              <w:rPr>
                <w:rFonts w:hint="eastAsia"/>
              </w:rPr>
              <w:t>外汇产品</w:t>
            </w:r>
          </w:p>
        </w:tc>
      </w:tr>
      <w:tr w:rsidR="00A052DC" w14:paraId="4395BF50" w14:textId="77777777">
        <w:tc>
          <w:tcPr>
            <w:tcW w:w="2991" w:type="dxa"/>
            <w:tcBorders>
              <w:top w:val="nil"/>
              <w:left w:val="single" w:sz="4" w:space="0" w:color="auto"/>
              <w:bottom w:val="single" w:sz="4" w:space="0" w:color="auto"/>
              <w:right w:val="single" w:sz="4" w:space="0" w:color="auto"/>
            </w:tcBorders>
            <w:shd w:val="clear" w:color="auto" w:fill="auto"/>
            <w:noWrap/>
          </w:tcPr>
          <w:p w14:paraId="29DAE18A" w14:textId="77777777" w:rsidR="00A052DC" w:rsidRDefault="009F0A60">
            <w:pPr>
              <w:pStyle w:val="B"/>
              <w:jc w:val="center"/>
            </w:pPr>
            <w:r>
              <w:t>2</w:t>
            </w:r>
          </w:p>
        </w:tc>
        <w:tc>
          <w:tcPr>
            <w:tcW w:w="5387" w:type="dxa"/>
            <w:tcBorders>
              <w:top w:val="nil"/>
              <w:left w:val="nil"/>
              <w:bottom w:val="single" w:sz="4" w:space="0" w:color="auto"/>
              <w:right w:val="single" w:sz="4" w:space="0" w:color="auto"/>
            </w:tcBorders>
            <w:shd w:val="clear" w:color="auto" w:fill="auto"/>
            <w:noWrap/>
          </w:tcPr>
          <w:p w14:paraId="4D0B3FA7" w14:textId="77777777" w:rsidR="00A052DC" w:rsidRDefault="009F0A60">
            <w:pPr>
              <w:pStyle w:val="B"/>
            </w:pPr>
            <w:r>
              <w:rPr>
                <w:rFonts w:hint="eastAsia"/>
              </w:rPr>
              <w:t>单一货币利率产品</w:t>
            </w:r>
          </w:p>
        </w:tc>
      </w:tr>
      <w:tr w:rsidR="00A052DC" w14:paraId="2C4C11C9" w14:textId="77777777">
        <w:tc>
          <w:tcPr>
            <w:tcW w:w="2991" w:type="dxa"/>
            <w:tcBorders>
              <w:top w:val="nil"/>
              <w:left w:val="single" w:sz="4" w:space="0" w:color="auto"/>
              <w:bottom w:val="single" w:sz="4" w:space="0" w:color="auto"/>
              <w:right w:val="single" w:sz="4" w:space="0" w:color="auto"/>
            </w:tcBorders>
            <w:shd w:val="clear" w:color="auto" w:fill="auto"/>
            <w:noWrap/>
          </w:tcPr>
          <w:p w14:paraId="62D92B24" w14:textId="77777777" w:rsidR="00A052DC" w:rsidRDefault="009F0A60">
            <w:pPr>
              <w:pStyle w:val="B"/>
              <w:jc w:val="center"/>
            </w:pPr>
            <w:r>
              <w:t>3</w:t>
            </w:r>
          </w:p>
        </w:tc>
        <w:tc>
          <w:tcPr>
            <w:tcW w:w="5387" w:type="dxa"/>
            <w:tcBorders>
              <w:top w:val="nil"/>
              <w:left w:val="nil"/>
              <w:bottom w:val="single" w:sz="4" w:space="0" w:color="auto"/>
              <w:right w:val="single" w:sz="4" w:space="0" w:color="auto"/>
            </w:tcBorders>
            <w:shd w:val="clear" w:color="auto" w:fill="auto"/>
            <w:noWrap/>
          </w:tcPr>
          <w:p w14:paraId="4058DE11" w14:textId="77777777" w:rsidR="00A052DC" w:rsidRDefault="009F0A60">
            <w:pPr>
              <w:pStyle w:val="B"/>
            </w:pPr>
            <w:r>
              <w:rPr>
                <w:rFonts w:hint="eastAsia"/>
              </w:rPr>
              <w:t>股权类产品</w:t>
            </w:r>
          </w:p>
        </w:tc>
      </w:tr>
      <w:tr w:rsidR="00A052DC" w14:paraId="324CB771" w14:textId="77777777">
        <w:tc>
          <w:tcPr>
            <w:tcW w:w="2991" w:type="dxa"/>
            <w:tcBorders>
              <w:top w:val="nil"/>
              <w:left w:val="single" w:sz="4" w:space="0" w:color="auto"/>
              <w:bottom w:val="single" w:sz="4" w:space="0" w:color="auto"/>
              <w:right w:val="single" w:sz="4" w:space="0" w:color="auto"/>
            </w:tcBorders>
            <w:shd w:val="clear" w:color="auto" w:fill="auto"/>
            <w:noWrap/>
          </w:tcPr>
          <w:p w14:paraId="7D531D2A" w14:textId="77777777" w:rsidR="00A052DC" w:rsidRDefault="009F0A60">
            <w:pPr>
              <w:pStyle w:val="B"/>
              <w:jc w:val="center"/>
            </w:pPr>
            <w:r>
              <w:t>4</w:t>
            </w:r>
          </w:p>
        </w:tc>
        <w:tc>
          <w:tcPr>
            <w:tcW w:w="5387" w:type="dxa"/>
            <w:tcBorders>
              <w:top w:val="nil"/>
              <w:left w:val="nil"/>
              <w:bottom w:val="single" w:sz="4" w:space="0" w:color="auto"/>
              <w:right w:val="single" w:sz="4" w:space="0" w:color="auto"/>
            </w:tcBorders>
            <w:shd w:val="clear" w:color="auto" w:fill="auto"/>
            <w:noWrap/>
          </w:tcPr>
          <w:p w14:paraId="7892C998" w14:textId="77777777" w:rsidR="00A052DC" w:rsidRDefault="009F0A60">
            <w:pPr>
              <w:pStyle w:val="B"/>
            </w:pPr>
            <w:r>
              <w:rPr>
                <w:rFonts w:hint="eastAsia"/>
              </w:rPr>
              <w:t>商品类产品</w:t>
            </w:r>
          </w:p>
        </w:tc>
      </w:tr>
      <w:tr w:rsidR="00A052DC" w14:paraId="31344AD4" w14:textId="77777777">
        <w:tc>
          <w:tcPr>
            <w:tcW w:w="2991" w:type="dxa"/>
            <w:tcBorders>
              <w:top w:val="nil"/>
              <w:left w:val="single" w:sz="4" w:space="0" w:color="auto"/>
              <w:bottom w:val="single" w:sz="4" w:space="0" w:color="auto"/>
              <w:right w:val="single" w:sz="4" w:space="0" w:color="auto"/>
            </w:tcBorders>
            <w:shd w:val="clear" w:color="auto" w:fill="auto"/>
            <w:noWrap/>
          </w:tcPr>
          <w:p w14:paraId="44264131" w14:textId="77777777" w:rsidR="00A052DC" w:rsidRDefault="009F0A60">
            <w:pPr>
              <w:pStyle w:val="B"/>
              <w:jc w:val="center"/>
            </w:pPr>
            <w:r>
              <w:t>5</w:t>
            </w:r>
          </w:p>
        </w:tc>
        <w:tc>
          <w:tcPr>
            <w:tcW w:w="5387" w:type="dxa"/>
            <w:tcBorders>
              <w:top w:val="nil"/>
              <w:left w:val="nil"/>
              <w:bottom w:val="single" w:sz="4" w:space="0" w:color="auto"/>
              <w:right w:val="single" w:sz="4" w:space="0" w:color="auto"/>
            </w:tcBorders>
            <w:shd w:val="clear" w:color="auto" w:fill="auto"/>
            <w:noWrap/>
          </w:tcPr>
          <w:p w14:paraId="0A9FD829" w14:textId="77777777" w:rsidR="00A052DC" w:rsidRDefault="009F0A60">
            <w:pPr>
              <w:pStyle w:val="B"/>
            </w:pPr>
            <w:r>
              <w:rPr>
                <w:rFonts w:hint="eastAsia"/>
              </w:rPr>
              <w:t>信用类产品</w:t>
            </w:r>
          </w:p>
        </w:tc>
      </w:tr>
      <w:tr w:rsidR="00A052DC" w14:paraId="693AD673" w14:textId="77777777">
        <w:tc>
          <w:tcPr>
            <w:tcW w:w="2991" w:type="dxa"/>
            <w:tcBorders>
              <w:top w:val="nil"/>
              <w:left w:val="single" w:sz="4" w:space="0" w:color="auto"/>
              <w:bottom w:val="single" w:sz="4" w:space="0" w:color="auto"/>
              <w:right w:val="single" w:sz="4" w:space="0" w:color="auto"/>
            </w:tcBorders>
            <w:shd w:val="clear" w:color="auto" w:fill="auto"/>
            <w:noWrap/>
          </w:tcPr>
          <w:p w14:paraId="3E2767C1" w14:textId="77777777" w:rsidR="00A052DC" w:rsidRDefault="009F0A60">
            <w:pPr>
              <w:pStyle w:val="B"/>
              <w:jc w:val="center"/>
            </w:pPr>
            <w:r>
              <w:t>6</w:t>
            </w:r>
          </w:p>
        </w:tc>
        <w:tc>
          <w:tcPr>
            <w:tcW w:w="5387" w:type="dxa"/>
            <w:tcBorders>
              <w:top w:val="nil"/>
              <w:left w:val="nil"/>
              <w:bottom w:val="single" w:sz="4" w:space="0" w:color="auto"/>
              <w:right w:val="single" w:sz="4" w:space="0" w:color="auto"/>
            </w:tcBorders>
            <w:shd w:val="clear" w:color="auto" w:fill="auto"/>
            <w:noWrap/>
          </w:tcPr>
          <w:p w14:paraId="08C42E8F" w14:textId="77777777" w:rsidR="00A052DC" w:rsidRDefault="009F0A60">
            <w:pPr>
              <w:pStyle w:val="B"/>
            </w:pPr>
            <w:r>
              <w:rPr>
                <w:rFonts w:hint="eastAsia"/>
              </w:rPr>
              <w:t>贵金属产品</w:t>
            </w:r>
          </w:p>
        </w:tc>
      </w:tr>
      <w:tr w:rsidR="00A052DC" w14:paraId="5C978617" w14:textId="77777777">
        <w:tc>
          <w:tcPr>
            <w:tcW w:w="2991" w:type="dxa"/>
            <w:tcBorders>
              <w:top w:val="nil"/>
              <w:left w:val="single" w:sz="4" w:space="0" w:color="auto"/>
              <w:bottom w:val="single" w:sz="4" w:space="0" w:color="auto"/>
              <w:right w:val="single" w:sz="4" w:space="0" w:color="auto"/>
            </w:tcBorders>
            <w:shd w:val="clear" w:color="auto" w:fill="auto"/>
            <w:noWrap/>
          </w:tcPr>
          <w:p w14:paraId="1141E3F4" w14:textId="77777777" w:rsidR="00A052DC" w:rsidRDefault="009F0A60">
            <w:pPr>
              <w:pStyle w:val="B"/>
              <w:jc w:val="center"/>
            </w:pPr>
            <w:r>
              <w:t>7</w:t>
            </w:r>
          </w:p>
        </w:tc>
        <w:tc>
          <w:tcPr>
            <w:tcW w:w="5387" w:type="dxa"/>
            <w:tcBorders>
              <w:top w:val="nil"/>
              <w:left w:val="nil"/>
              <w:bottom w:val="single" w:sz="4" w:space="0" w:color="auto"/>
              <w:right w:val="single" w:sz="4" w:space="0" w:color="auto"/>
            </w:tcBorders>
            <w:shd w:val="clear" w:color="auto" w:fill="auto"/>
            <w:noWrap/>
          </w:tcPr>
          <w:p w14:paraId="27D2C9E1" w14:textId="77777777" w:rsidR="00A052DC" w:rsidRDefault="009F0A60">
            <w:pPr>
              <w:pStyle w:val="B"/>
            </w:pPr>
            <w:r>
              <w:rPr>
                <w:rFonts w:hint="eastAsia"/>
              </w:rPr>
              <w:t>不能归入上述</w:t>
            </w:r>
            <w:r>
              <w:t>6类市场风险类别的其他衍生产品</w:t>
            </w:r>
          </w:p>
        </w:tc>
      </w:tr>
    </w:tbl>
    <w:p w14:paraId="3C0019E4" w14:textId="77777777" w:rsidR="00A052DC" w:rsidRDefault="00A052DC">
      <w:pPr>
        <w:ind w:firstLine="480"/>
      </w:pPr>
    </w:p>
    <w:p w14:paraId="6AEE0B21" w14:textId="77777777" w:rsidR="00A052DC" w:rsidRDefault="009F0A60" w:rsidP="0020251D">
      <w:pPr>
        <w:pStyle w:val="3"/>
        <w:ind w:left="0"/>
        <w:rPr>
          <w:rFonts w:ascii="Times New Roman" w:hAnsi="Times New Roman"/>
        </w:rPr>
      </w:pPr>
      <w:bookmarkStart w:id="5048" w:name="_Toc454394906"/>
      <w:bookmarkStart w:id="5049" w:name="_Toc91455563"/>
      <w:bookmarkStart w:id="5050" w:name="_Toc380356363"/>
      <w:bookmarkStart w:id="5051" w:name="_Toc101684588"/>
      <w:bookmarkEnd w:id="5029"/>
      <w:r>
        <w:rPr>
          <w:rFonts w:ascii="Times New Roman" w:hAnsi="Times New Roman"/>
        </w:rPr>
        <w:t>QDII</w:t>
      </w:r>
      <w:r>
        <w:rPr>
          <w:rFonts w:ascii="Times New Roman" w:hAnsi="Times New Roman" w:hint="eastAsia"/>
        </w:rPr>
        <w:t>/RQDII/QDLP/QDIE</w:t>
      </w:r>
      <w:r>
        <w:rPr>
          <w:rFonts w:ascii="Times New Roman" w:hAnsi="Times New Roman" w:hint="eastAsia"/>
        </w:rPr>
        <w:t>投资品种类型</w:t>
      </w:r>
      <w:bookmarkEnd w:id="5048"/>
      <w:bookmarkEnd w:id="5049"/>
      <w:bookmarkEnd w:id="5050"/>
      <w:bookmarkEnd w:id="505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A052DC" w14:paraId="1CFD8C9B" w14:textId="77777777" w:rsidTr="00D95193">
        <w:tc>
          <w:tcPr>
            <w:tcW w:w="4261" w:type="dxa"/>
            <w:shd w:val="clear" w:color="auto" w:fill="BFBFBF" w:themeFill="background1" w:themeFillShade="BF"/>
          </w:tcPr>
          <w:p w14:paraId="492DDFE2" w14:textId="77777777" w:rsidR="00881462" w:rsidRDefault="009F0A60">
            <w:pPr>
              <w:pStyle w:val="B1"/>
            </w:pPr>
            <w:r>
              <w:t>QDII</w:t>
            </w:r>
            <w:r>
              <w:rPr>
                <w:rFonts w:hint="eastAsia"/>
              </w:rPr>
              <w:t>/RQDII/QDLP/QDIE</w:t>
            </w:r>
            <w:r>
              <w:t>投资品种类型代码</w:t>
            </w:r>
          </w:p>
        </w:tc>
        <w:tc>
          <w:tcPr>
            <w:tcW w:w="4261" w:type="dxa"/>
            <w:shd w:val="clear" w:color="auto" w:fill="BFBFBF" w:themeFill="background1" w:themeFillShade="BF"/>
          </w:tcPr>
          <w:p w14:paraId="7FF2B458" w14:textId="77777777" w:rsidR="00881462" w:rsidRDefault="009F0A60">
            <w:pPr>
              <w:pStyle w:val="B1"/>
            </w:pPr>
            <w:r>
              <w:t>QDII</w:t>
            </w:r>
            <w:r>
              <w:rPr>
                <w:rFonts w:hint="eastAsia"/>
              </w:rPr>
              <w:t>/RQDII/QDLP/QDIE</w:t>
            </w:r>
            <w:r>
              <w:t>投资品种类型</w:t>
            </w:r>
          </w:p>
        </w:tc>
      </w:tr>
      <w:tr w:rsidR="00A052DC" w14:paraId="4298AFC3" w14:textId="77777777">
        <w:tc>
          <w:tcPr>
            <w:tcW w:w="4261" w:type="dxa"/>
            <w:shd w:val="clear" w:color="auto" w:fill="auto"/>
          </w:tcPr>
          <w:p w14:paraId="4607DADE" w14:textId="77777777" w:rsidR="00A052DC" w:rsidRDefault="009F0A60">
            <w:pPr>
              <w:pStyle w:val="B"/>
              <w:jc w:val="center"/>
            </w:pPr>
            <w:r>
              <w:t>T11</w:t>
            </w:r>
          </w:p>
        </w:tc>
        <w:tc>
          <w:tcPr>
            <w:tcW w:w="4261" w:type="dxa"/>
            <w:shd w:val="clear" w:color="auto" w:fill="auto"/>
          </w:tcPr>
          <w:p w14:paraId="36645835" w14:textId="77777777" w:rsidR="00A052DC" w:rsidRDefault="009F0A60">
            <w:pPr>
              <w:pStyle w:val="B"/>
            </w:pPr>
            <w:r>
              <w:rPr>
                <w:rFonts w:hint="eastAsia"/>
              </w:rPr>
              <w:t>银行存款余额</w:t>
            </w:r>
          </w:p>
        </w:tc>
      </w:tr>
      <w:tr w:rsidR="00A052DC" w14:paraId="1572F6D5" w14:textId="77777777">
        <w:tc>
          <w:tcPr>
            <w:tcW w:w="4261" w:type="dxa"/>
            <w:shd w:val="clear" w:color="auto" w:fill="auto"/>
          </w:tcPr>
          <w:p w14:paraId="769BA2C1" w14:textId="77777777" w:rsidR="00A052DC" w:rsidRDefault="009F0A60">
            <w:pPr>
              <w:pStyle w:val="B"/>
              <w:jc w:val="center"/>
            </w:pPr>
            <w:r>
              <w:t>T12</w:t>
            </w:r>
          </w:p>
        </w:tc>
        <w:tc>
          <w:tcPr>
            <w:tcW w:w="4261" w:type="dxa"/>
            <w:shd w:val="clear" w:color="auto" w:fill="auto"/>
          </w:tcPr>
          <w:p w14:paraId="4BBFBAED" w14:textId="77777777" w:rsidR="00A052DC" w:rsidRDefault="009F0A60">
            <w:pPr>
              <w:pStyle w:val="B"/>
            </w:pPr>
            <w:r>
              <w:rPr>
                <w:rFonts w:hint="eastAsia"/>
              </w:rPr>
              <w:t>其他投资市值（含清算备付金和交易保证金）</w:t>
            </w:r>
          </w:p>
        </w:tc>
      </w:tr>
      <w:tr w:rsidR="00A052DC" w14:paraId="3F1C3E04" w14:textId="77777777">
        <w:tc>
          <w:tcPr>
            <w:tcW w:w="4261" w:type="dxa"/>
            <w:shd w:val="clear" w:color="auto" w:fill="auto"/>
          </w:tcPr>
          <w:p w14:paraId="76740FF5" w14:textId="77777777" w:rsidR="00A052DC" w:rsidRDefault="009F0A60">
            <w:pPr>
              <w:pStyle w:val="B"/>
              <w:jc w:val="center"/>
            </w:pPr>
            <w:r>
              <w:t>T21</w:t>
            </w:r>
          </w:p>
        </w:tc>
        <w:tc>
          <w:tcPr>
            <w:tcW w:w="4261" w:type="dxa"/>
            <w:shd w:val="clear" w:color="auto" w:fill="auto"/>
          </w:tcPr>
          <w:p w14:paraId="5D952E40" w14:textId="77777777" w:rsidR="00A052DC" w:rsidRDefault="009F0A60">
            <w:pPr>
              <w:pStyle w:val="B"/>
            </w:pPr>
            <w:r>
              <w:rPr>
                <w:rFonts w:hint="eastAsia"/>
              </w:rPr>
              <w:t>预付投资款金额</w:t>
            </w:r>
          </w:p>
        </w:tc>
      </w:tr>
      <w:tr w:rsidR="00A052DC" w14:paraId="4D70D518" w14:textId="77777777">
        <w:tc>
          <w:tcPr>
            <w:tcW w:w="4261" w:type="dxa"/>
            <w:shd w:val="clear" w:color="auto" w:fill="auto"/>
          </w:tcPr>
          <w:p w14:paraId="39840774" w14:textId="77777777" w:rsidR="00A052DC" w:rsidRDefault="009F0A60">
            <w:pPr>
              <w:pStyle w:val="B"/>
              <w:jc w:val="center"/>
            </w:pPr>
            <w:r>
              <w:t>T22</w:t>
            </w:r>
          </w:p>
        </w:tc>
        <w:tc>
          <w:tcPr>
            <w:tcW w:w="4261" w:type="dxa"/>
            <w:shd w:val="clear" w:color="auto" w:fill="auto"/>
          </w:tcPr>
          <w:p w14:paraId="191ECB7A" w14:textId="77777777" w:rsidR="00A052DC" w:rsidRDefault="009F0A60">
            <w:pPr>
              <w:pStyle w:val="B"/>
            </w:pPr>
            <w:r>
              <w:rPr>
                <w:rFonts w:hint="eastAsia"/>
              </w:rPr>
              <w:t>应收投资款金额</w:t>
            </w:r>
          </w:p>
        </w:tc>
      </w:tr>
      <w:tr w:rsidR="00A052DC" w14:paraId="771638C1" w14:textId="77777777">
        <w:tc>
          <w:tcPr>
            <w:tcW w:w="4261" w:type="dxa"/>
            <w:shd w:val="clear" w:color="auto" w:fill="auto"/>
          </w:tcPr>
          <w:p w14:paraId="7CABE862" w14:textId="77777777" w:rsidR="00A052DC" w:rsidRDefault="009F0A60">
            <w:pPr>
              <w:pStyle w:val="B"/>
              <w:jc w:val="center"/>
            </w:pPr>
            <w:r>
              <w:t>T23</w:t>
            </w:r>
          </w:p>
        </w:tc>
        <w:tc>
          <w:tcPr>
            <w:tcW w:w="4261" w:type="dxa"/>
            <w:shd w:val="clear" w:color="auto" w:fill="auto"/>
          </w:tcPr>
          <w:p w14:paraId="69FF02AB" w14:textId="77777777" w:rsidR="00A052DC" w:rsidRDefault="009F0A60">
            <w:pPr>
              <w:pStyle w:val="B"/>
            </w:pPr>
            <w:r>
              <w:rPr>
                <w:rFonts w:hint="eastAsia"/>
              </w:rPr>
              <w:t>应收股利金额</w:t>
            </w:r>
          </w:p>
        </w:tc>
      </w:tr>
      <w:tr w:rsidR="00A052DC" w14:paraId="31103C20" w14:textId="77777777">
        <w:tc>
          <w:tcPr>
            <w:tcW w:w="4261" w:type="dxa"/>
            <w:shd w:val="clear" w:color="auto" w:fill="auto"/>
          </w:tcPr>
          <w:p w14:paraId="2A8C2DC4" w14:textId="77777777" w:rsidR="00A052DC" w:rsidRDefault="009F0A60">
            <w:pPr>
              <w:pStyle w:val="B"/>
              <w:jc w:val="center"/>
            </w:pPr>
            <w:r>
              <w:t>T24</w:t>
            </w:r>
          </w:p>
        </w:tc>
        <w:tc>
          <w:tcPr>
            <w:tcW w:w="4261" w:type="dxa"/>
            <w:shd w:val="clear" w:color="auto" w:fill="auto"/>
          </w:tcPr>
          <w:p w14:paraId="5EC4702C" w14:textId="77777777" w:rsidR="00A052DC" w:rsidRDefault="009F0A60">
            <w:pPr>
              <w:pStyle w:val="B"/>
            </w:pPr>
            <w:r>
              <w:rPr>
                <w:rFonts w:hint="eastAsia"/>
              </w:rPr>
              <w:t>应收利息金额</w:t>
            </w:r>
          </w:p>
        </w:tc>
      </w:tr>
      <w:tr w:rsidR="00A052DC" w14:paraId="3075B3E5" w14:textId="77777777">
        <w:tc>
          <w:tcPr>
            <w:tcW w:w="4261" w:type="dxa"/>
            <w:shd w:val="clear" w:color="auto" w:fill="auto"/>
          </w:tcPr>
          <w:p w14:paraId="56DF5FEE" w14:textId="77777777" w:rsidR="00A052DC" w:rsidRDefault="009F0A60">
            <w:pPr>
              <w:pStyle w:val="B"/>
              <w:jc w:val="center"/>
            </w:pPr>
            <w:r>
              <w:t>T25</w:t>
            </w:r>
          </w:p>
        </w:tc>
        <w:tc>
          <w:tcPr>
            <w:tcW w:w="4261" w:type="dxa"/>
            <w:shd w:val="clear" w:color="auto" w:fill="auto"/>
          </w:tcPr>
          <w:p w14:paraId="5270122A" w14:textId="77777777" w:rsidR="00A052DC" w:rsidRDefault="009F0A60">
            <w:pPr>
              <w:pStyle w:val="B"/>
            </w:pPr>
            <w:r>
              <w:rPr>
                <w:rFonts w:hint="eastAsia"/>
              </w:rPr>
              <w:t>其他应收款金额</w:t>
            </w:r>
          </w:p>
        </w:tc>
      </w:tr>
      <w:tr w:rsidR="00A052DC" w14:paraId="09F43C12" w14:textId="77777777">
        <w:tc>
          <w:tcPr>
            <w:tcW w:w="4261" w:type="dxa"/>
            <w:shd w:val="clear" w:color="auto" w:fill="auto"/>
          </w:tcPr>
          <w:p w14:paraId="2E831B7A" w14:textId="77777777" w:rsidR="00A052DC" w:rsidRDefault="009F0A60">
            <w:pPr>
              <w:pStyle w:val="B"/>
              <w:jc w:val="center"/>
            </w:pPr>
            <w:r>
              <w:t>T31</w:t>
            </w:r>
          </w:p>
        </w:tc>
        <w:tc>
          <w:tcPr>
            <w:tcW w:w="4261" w:type="dxa"/>
            <w:shd w:val="clear" w:color="auto" w:fill="auto"/>
          </w:tcPr>
          <w:p w14:paraId="76C1F581" w14:textId="77777777" w:rsidR="00A052DC" w:rsidRDefault="009F0A60">
            <w:pPr>
              <w:pStyle w:val="B"/>
            </w:pPr>
            <w:r>
              <w:rPr>
                <w:rFonts w:hint="eastAsia"/>
              </w:rPr>
              <w:t>应付投资款金额</w:t>
            </w:r>
          </w:p>
        </w:tc>
      </w:tr>
      <w:tr w:rsidR="00A052DC" w14:paraId="2EC27BB9" w14:textId="77777777">
        <w:tc>
          <w:tcPr>
            <w:tcW w:w="4261" w:type="dxa"/>
            <w:shd w:val="clear" w:color="auto" w:fill="auto"/>
          </w:tcPr>
          <w:p w14:paraId="79B128B8" w14:textId="77777777" w:rsidR="00A052DC" w:rsidRDefault="009F0A60">
            <w:pPr>
              <w:pStyle w:val="B"/>
              <w:jc w:val="center"/>
            </w:pPr>
            <w:r>
              <w:t>T32</w:t>
            </w:r>
          </w:p>
        </w:tc>
        <w:tc>
          <w:tcPr>
            <w:tcW w:w="4261" w:type="dxa"/>
            <w:shd w:val="clear" w:color="auto" w:fill="auto"/>
          </w:tcPr>
          <w:p w14:paraId="1C74252A" w14:textId="77777777" w:rsidR="00A052DC" w:rsidRDefault="009F0A60">
            <w:pPr>
              <w:pStyle w:val="B"/>
            </w:pPr>
            <w:r>
              <w:rPr>
                <w:rFonts w:hint="eastAsia"/>
              </w:rPr>
              <w:t>应付托管费金额</w:t>
            </w:r>
          </w:p>
        </w:tc>
      </w:tr>
      <w:tr w:rsidR="00A052DC" w14:paraId="1EEA6ACB" w14:textId="77777777">
        <w:tc>
          <w:tcPr>
            <w:tcW w:w="4261" w:type="dxa"/>
            <w:shd w:val="clear" w:color="auto" w:fill="auto"/>
          </w:tcPr>
          <w:p w14:paraId="76113C46" w14:textId="77777777" w:rsidR="00A052DC" w:rsidRDefault="009F0A60">
            <w:pPr>
              <w:pStyle w:val="B"/>
              <w:jc w:val="center"/>
            </w:pPr>
            <w:r>
              <w:t>T33</w:t>
            </w:r>
          </w:p>
        </w:tc>
        <w:tc>
          <w:tcPr>
            <w:tcW w:w="4261" w:type="dxa"/>
            <w:shd w:val="clear" w:color="auto" w:fill="auto"/>
          </w:tcPr>
          <w:p w14:paraId="0E4241FE" w14:textId="77777777" w:rsidR="00A052DC" w:rsidRDefault="009F0A60">
            <w:pPr>
              <w:pStyle w:val="B"/>
            </w:pPr>
            <w:r>
              <w:rPr>
                <w:rFonts w:hint="eastAsia"/>
              </w:rPr>
              <w:t>应付佣金额</w:t>
            </w:r>
          </w:p>
        </w:tc>
      </w:tr>
      <w:tr w:rsidR="00A052DC" w14:paraId="04891A86" w14:textId="77777777">
        <w:tc>
          <w:tcPr>
            <w:tcW w:w="4261" w:type="dxa"/>
            <w:shd w:val="clear" w:color="auto" w:fill="auto"/>
          </w:tcPr>
          <w:p w14:paraId="220FA618" w14:textId="77777777" w:rsidR="00A052DC" w:rsidRDefault="009F0A60">
            <w:pPr>
              <w:pStyle w:val="B"/>
              <w:jc w:val="center"/>
            </w:pPr>
            <w:r>
              <w:t>T34</w:t>
            </w:r>
          </w:p>
        </w:tc>
        <w:tc>
          <w:tcPr>
            <w:tcW w:w="4261" w:type="dxa"/>
            <w:shd w:val="clear" w:color="auto" w:fill="auto"/>
          </w:tcPr>
          <w:p w14:paraId="4D63B0F9" w14:textId="77777777" w:rsidR="00A052DC" w:rsidRDefault="009F0A60">
            <w:pPr>
              <w:pStyle w:val="B"/>
            </w:pPr>
            <w:r>
              <w:rPr>
                <w:rFonts w:hint="eastAsia"/>
              </w:rPr>
              <w:t>应付管理费金额</w:t>
            </w:r>
          </w:p>
        </w:tc>
      </w:tr>
      <w:tr w:rsidR="00A052DC" w14:paraId="4FEF0FB1" w14:textId="77777777">
        <w:tc>
          <w:tcPr>
            <w:tcW w:w="4261" w:type="dxa"/>
            <w:shd w:val="clear" w:color="auto" w:fill="auto"/>
          </w:tcPr>
          <w:p w14:paraId="1ACB46E5" w14:textId="77777777" w:rsidR="00A052DC" w:rsidRDefault="009F0A60">
            <w:pPr>
              <w:pStyle w:val="B"/>
              <w:jc w:val="center"/>
            </w:pPr>
            <w:r>
              <w:t>T35</w:t>
            </w:r>
          </w:p>
        </w:tc>
        <w:tc>
          <w:tcPr>
            <w:tcW w:w="4261" w:type="dxa"/>
            <w:shd w:val="clear" w:color="auto" w:fill="auto"/>
          </w:tcPr>
          <w:p w14:paraId="036B8C39" w14:textId="77777777" w:rsidR="00A052DC" w:rsidRDefault="009F0A60">
            <w:pPr>
              <w:pStyle w:val="B"/>
            </w:pPr>
            <w:r>
              <w:rPr>
                <w:rFonts w:hint="eastAsia"/>
              </w:rPr>
              <w:t>应纳税款金额</w:t>
            </w:r>
          </w:p>
        </w:tc>
      </w:tr>
      <w:tr w:rsidR="00A052DC" w14:paraId="2D4E9A22" w14:textId="77777777">
        <w:tc>
          <w:tcPr>
            <w:tcW w:w="4261" w:type="dxa"/>
            <w:shd w:val="clear" w:color="auto" w:fill="auto"/>
          </w:tcPr>
          <w:p w14:paraId="2139E0DB" w14:textId="77777777" w:rsidR="00A052DC" w:rsidRDefault="009F0A60">
            <w:pPr>
              <w:pStyle w:val="B"/>
              <w:jc w:val="center"/>
            </w:pPr>
            <w:r>
              <w:t>T36</w:t>
            </w:r>
          </w:p>
        </w:tc>
        <w:tc>
          <w:tcPr>
            <w:tcW w:w="4261" w:type="dxa"/>
            <w:shd w:val="clear" w:color="auto" w:fill="auto"/>
          </w:tcPr>
          <w:p w14:paraId="4473E615" w14:textId="77777777" w:rsidR="00A052DC" w:rsidRDefault="009F0A60">
            <w:pPr>
              <w:pStyle w:val="B"/>
            </w:pPr>
            <w:r>
              <w:rPr>
                <w:rFonts w:hint="eastAsia"/>
              </w:rPr>
              <w:t>其他应付款金额</w:t>
            </w:r>
          </w:p>
        </w:tc>
      </w:tr>
    </w:tbl>
    <w:p w14:paraId="3B7BD069" w14:textId="77777777" w:rsidR="00A052DC" w:rsidRDefault="00A052DC">
      <w:pPr>
        <w:ind w:firstLine="480"/>
      </w:pPr>
    </w:p>
    <w:p w14:paraId="17F71F9E" w14:textId="77777777" w:rsidR="00A052DC" w:rsidRDefault="009F0A60" w:rsidP="0020251D">
      <w:pPr>
        <w:pStyle w:val="3"/>
        <w:ind w:left="0"/>
        <w:rPr>
          <w:rFonts w:ascii="Times New Roman" w:hAnsi="Times New Roman"/>
        </w:rPr>
      </w:pPr>
      <w:bookmarkStart w:id="5052" w:name="_Toc91455564"/>
      <w:bookmarkStart w:id="5053" w:name="_Toc380356367"/>
      <w:bookmarkStart w:id="5054" w:name="_Toc454394907"/>
      <w:bookmarkStart w:id="5055" w:name="_Toc101684589"/>
      <w:bookmarkEnd w:id="5030"/>
      <w:bookmarkEnd w:id="5031"/>
      <w:r>
        <w:rPr>
          <w:rFonts w:ascii="Times New Roman" w:hAnsi="Times New Roman" w:hint="eastAsia"/>
        </w:rPr>
        <w:t>涉外银行卡商户分类码分类标准</w:t>
      </w:r>
      <w:bookmarkEnd w:id="5052"/>
      <w:bookmarkEnd w:id="5053"/>
      <w:bookmarkEnd w:id="5054"/>
      <w:bookmarkEnd w:id="5055"/>
    </w:p>
    <w:p w14:paraId="7E84B135" w14:textId="77777777" w:rsidR="00A052DC" w:rsidRPr="00D95193" w:rsidRDefault="00A412F6">
      <w:pPr>
        <w:spacing w:line="360" w:lineRule="auto"/>
        <w:ind w:firstLineChars="200" w:firstLine="480"/>
        <w:rPr>
          <w:rFonts w:ascii="Times New Roman" w:hAnsi="Times New Roman"/>
          <w:sz w:val="24"/>
          <w:szCs w:val="24"/>
        </w:rPr>
      </w:pPr>
      <w:r w:rsidRPr="00A412F6">
        <w:rPr>
          <w:rFonts w:ascii="Times New Roman" w:hAnsi="宋体" w:hint="eastAsia"/>
          <w:sz w:val="24"/>
          <w:szCs w:val="24"/>
        </w:rPr>
        <w:t>来源于《国家外汇管理局关于规范银行外币卡管理的通知》（汇发〔</w:t>
      </w:r>
      <w:r w:rsidRPr="00A412F6">
        <w:rPr>
          <w:rFonts w:ascii="Times New Roman" w:hAnsi="Times New Roman"/>
          <w:sz w:val="24"/>
          <w:szCs w:val="24"/>
        </w:rPr>
        <w:t>2010</w:t>
      </w:r>
      <w:r w:rsidRPr="00A412F6">
        <w:rPr>
          <w:rFonts w:ascii="Times New Roman" w:hAnsi="宋体" w:hint="eastAsia"/>
          <w:sz w:val="24"/>
          <w:szCs w:val="24"/>
        </w:rPr>
        <w:t>〕</w:t>
      </w:r>
      <w:r w:rsidRPr="00A412F6">
        <w:rPr>
          <w:rFonts w:ascii="Times New Roman" w:hAnsi="Times New Roman"/>
          <w:sz w:val="24"/>
          <w:szCs w:val="24"/>
        </w:rPr>
        <w:t>53</w:t>
      </w:r>
      <w:r w:rsidRPr="00A412F6">
        <w:rPr>
          <w:rFonts w:ascii="Times New Roman" w:hAnsi="宋体" w:hint="eastAsia"/>
          <w:sz w:val="24"/>
          <w:szCs w:val="24"/>
        </w:rPr>
        <w:t>号）附件</w:t>
      </w:r>
      <w:r w:rsidRPr="00A412F6">
        <w:rPr>
          <w:rFonts w:ascii="Times New Roman" w:hAnsi="Times New Roman"/>
          <w:sz w:val="24"/>
          <w:szCs w:val="24"/>
        </w:rPr>
        <w:t>1</w:t>
      </w:r>
      <w:r w:rsidRPr="00A412F6">
        <w:rPr>
          <w:rFonts w:ascii="Times New Roman" w:hAnsi="Times New Roman" w:hint="eastAsia"/>
          <w:sz w:val="24"/>
          <w:szCs w:val="24"/>
        </w:rPr>
        <w:t>“</w:t>
      </w:r>
      <w:r w:rsidRPr="00A412F6">
        <w:rPr>
          <w:rFonts w:ascii="Times New Roman" w:hAnsi="宋体" w:hint="eastAsia"/>
          <w:sz w:val="24"/>
          <w:szCs w:val="24"/>
        </w:rPr>
        <w:t>境内银行卡在境外使用的商户类别码</w:t>
      </w:r>
      <w:r w:rsidRPr="00A412F6">
        <w:rPr>
          <w:rFonts w:ascii="Times New Roman" w:hAnsi="Times New Roman" w:hint="eastAsia"/>
          <w:sz w:val="24"/>
          <w:szCs w:val="24"/>
        </w:rPr>
        <w:t>”</w:t>
      </w:r>
      <w:r w:rsidRPr="00A412F6">
        <w:rPr>
          <w:rFonts w:ascii="Times New Roman" w:hAnsi="宋体" w:hint="eastAsia"/>
          <w:sz w:val="24"/>
          <w:szCs w:val="24"/>
        </w:rPr>
        <w:t>，但在此类别码基础上增加了</w:t>
      </w:r>
      <w:r w:rsidRPr="00A412F6">
        <w:rPr>
          <w:rFonts w:ascii="Times New Roman" w:hAnsi="Times New Roman" w:hint="eastAsia"/>
          <w:sz w:val="24"/>
          <w:szCs w:val="24"/>
        </w:rPr>
        <w:t>“</w:t>
      </w:r>
      <w:r w:rsidRPr="00A412F6">
        <w:rPr>
          <w:rFonts w:ascii="Times New Roman" w:hAnsi="宋体" w:hint="eastAsia"/>
          <w:sz w:val="24"/>
          <w:szCs w:val="24"/>
        </w:rPr>
        <w:t>类别</w:t>
      </w:r>
      <w:r w:rsidRPr="00A412F6">
        <w:rPr>
          <w:rFonts w:ascii="Times New Roman" w:hAnsi="Times New Roman" w:hint="eastAsia"/>
          <w:sz w:val="24"/>
          <w:szCs w:val="24"/>
        </w:rPr>
        <w:t>”</w:t>
      </w:r>
      <w:r w:rsidRPr="00A412F6">
        <w:rPr>
          <w:rFonts w:ascii="Times New Roman" w:hAnsi="宋体" w:hint="eastAsia"/>
          <w:sz w:val="24"/>
          <w:szCs w:val="24"/>
        </w:rPr>
        <w:t>分类。</w:t>
      </w:r>
    </w:p>
    <w:p w14:paraId="438F4307" w14:textId="77777777" w:rsidR="00A052DC" w:rsidRPr="00D95193" w:rsidRDefault="00A412F6">
      <w:pPr>
        <w:spacing w:before="240" w:line="360" w:lineRule="auto"/>
        <w:ind w:firstLineChars="200" w:firstLine="480"/>
        <w:rPr>
          <w:rFonts w:ascii="Times New Roman" w:hAnsi="Times New Roman"/>
          <w:sz w:val="24"/>
          <w:szCs w:val="24"/>
        </w:rPr>
      </w:pPr>
      <w:r w:rsidRPr="00A412F6">
        <w:rPr>
          <w:rFonts w:ascii="Times New Roman" w:hAnsi="宋体" w:hint="eastAsia"/>
          <w:sz w:val="24"/>
          <w:szCs w:val="24"/>
        </w:rPr>
        <w:t>本商户类别码（</w:t>
      </w:r>
      <w:r w:rsidRPr="00A412F6">
        <w:rPr>
          <w:rFonts w:ascii="Times New Roman" w:hAnsi="Times New Roman"/>
          <w:sz w:val="24"/>
          <w:szCs w:val="24"/>
        </w:rPr>
        <w:t>MCC</w:t>
      </w:r>
      <w:r w:rsidRPr="00A412F6">
        <w:rPr>
          <w:rFonts w:ascii="Times New Roman" w:hAnsi="宋体"/>
          <w:sz w:val="24"/>
          <w:szCs w:val="24"/>
        </w:rPr>
        <w:t>）分类标准包含威士（</w:t>
      </w:r>
      <w:r w:rsidRPr="00A412F6">
        <w:rPr>
          <w:rFonts w:ascii="Times New Roman" w:hAnsi="Times New Roman"/>
          <w:sz w:val="24"/>
          <w:szCs w:val="24"/>
        </w:rPr>
        <w:t>Visa</w:t>
      </w:r>
      <w:r w:rsidRPr="00A412F6">
        <w:rPr>
          <w:rFonts w:ascii="Times New Roman" w:hAnsi="宋体"/>
          <w:sz w:val="24"/>
          <w:szCs w:val="24"/>
        </w:rPr>
        <w:t>）、万事达（</w:t>
      </w:r>
      <w:r w:rsidRPr="00A412F6">
        <w:rPr>
          <w:rFonts w:ascii="Times New Roman" w:hAnsi="Times New Roman"/>
          <w:sz w:val="24"/>
          <w:szCs w:val="24"/>
        </w:rPr>
        <w:t>MasterCard</w:t>
      </w:r>
      <w:r w:rsidRPr="00A412F6">
        <w:rPr>
          <w:rFonts w:ascii="Times New Roman" w:hAnsi="宋体"/>
          <w:sz w:val="24"/>
          <w:szCs w:val="24"/>
        </w:rPr>
        <w:t>）、运通（</w:t>
      </w:r>
      <w:r w:rsidRPr="00A412F6">
        <w:rPr>
          <w:rFonts w:ascii="Times New Roman" w:hAnsi="Times New Roman"/>
          <w:sz w:val="24"/>
          <w:szCs w:val="24"/>
        </w:rPr>
        <w:t>American Express</w:t>
      </w:r>
      <w:r w:rsidRPr="00A412F6">
        <w:rPr>
          <w:rFonts w:ascii="Times New Roman" w:hAnsi="宋体"/>
          <w:sz w:val="24"/>
          <w:szCs w:val="24"/>
        </w:rPr>
        <w:t>）、</w:t>
      </w:r>
      <w:r w:rsidRPr="00A412F6">
        <w:rPr>
          <w:rFonts w:ascii="Times New Roman" w:hAnsi="Times New Roman"/>
          <w:sz w:val="24"/>
          <w:szCs w:val="24"/>
        </w:rPr>
        <w:t>JCB</w:t>
      </w:r>
      <w:r w:rsidRPr="00A412F6">
        <w:rPr>
          <w:rFonts w:ascii="Times New Roman" w:hAnsi="宋体"/>
          <w:sz w:val="24"/>
          <w:szCs w:val="24"/>
        </w:rPr>
        <w:t>四个银行卡组织的商户类别码，但个别商户类别码可能仅适用于部分银行卡组织。对于本表未涵盖的商户类别码，各填报机构应根据自身情况按以下大类进行分类。</w:t>
      </w:r>
    </w:p>
    <w:tbl>
      <w:tblPr>
        <w:tblW w:w="8376" w:type="dxa"/>
        <w:tblInd w:w="96" w:type="dxa"/>
        <w:tblLayout w:type="fixed"/>
        <w:tblLook w:val="04A0" w:firstRow="1" w:lastRow="0" w:firstColumn="1" w:lastColumn="0" w:noHBand="0" w:noVBand="1"/>
      </w:tblPr>
      <w:tblGrid>
        <w:gridCol w:w="1855"/>
        <w:gridCol w:w="2552"/>
        <w:gridCol w:w="3969"/>
      </w:tblGrid>
      <w:tr w:rsidR="00A052DC" w14:paraId="7FDAB0B9" w14:textId="77777777">
        <w:trPr>
          <w:trHeight w:val="360"/>
        </w:trPr>
        <w:tc>
          <w:tcPr>
            <w:tcW w:w="1855" w:type="dxa"/>
            <w:tcBorders>
              <w:top w:val="single" w:sz="4" w:space="0" w:color="auto"/>
              <w:bottom w:val="single" w:sz="4" w:space="0" w:color="auto"/>
              <w:right w:val="single" w:sz="4" w:space="0" w:color="auto"/>
            </w:tcBorders>
            <w:shd w:val="clear" w:color="auto" w:fill="auto"/>
            <w:noWrap/>
            <w:vAlign w:val="center"/>
          </w:tcPr>
          <w:p w14:paraId="6A0B3849" w14:textId="77777777" w:rsidR="00881462" w:rsidRDefault="009F0A60">
            <w:pPr>
              <w:pStyle w:val="B1"/>
            </w:pPr>
            <w:r>
              <w:rPr>
                <w:rFonts w:hint="eastAsia"/>
              </w:rPr>
              <w:t>类别</w:t>
            </w:r>
          </w:p>
        </w:tc>
        <w:tc>
          <w:tcPr>
            <w:tcW w:w="2552" w:type="dxa"/>
            <w:tcBorders>
              <w:top w:val="single" w:sz="4" w:space="0" w:color="auto"/>
              <w:left w:val="nil"/>
              <w:bottom w:val="single" w:sz="4" w:space="0" w:color="auto"/>
              <w:right w:val="single" w:sz="4" w:space="0" w:color="auto"/>
            </w:tcBorders>
            <w:shd w:val="clear" w:color="auto" w:fill="auto"/>
            <w:vAlign w:val="center"/>
          </w:tcPr>
          <w:p w14:paraId="4B7B3311" w14:textId="77777777" w:rsidR="00881462" w:rsidRDefault="009F0A60">
            <w:pPr>
              <w:pStyle w:val="B1"/>
            </w:pPr>
            <w:r>
              <w:t>MCC</w:t>
            </w:r>
          </w:p>
        </w:tc>
        <w:tc>
          <w:tcPr>
            <w:tcW w:w="3969" w:type="dxa"/>
            <w:tcBorders>
              <w:top w:val="single" w:sz="8" w:space="0" w:color="auto"/>
              <w:left w:val="nil"/>
              <w:bottom w:val="single" w:sz="8" w:space="0" w:color="auto"/>
              <w:right w:val="nil"/>
            </w:tcBorders>
            <w:shd w:val="clear" w:color="auto" w:fill="auto"/>
            <w:vAlign w:val="center"/>
          </w:tcPr>
          <w:p w14:paraId="5062F841" w14:textId="77777777" w:rsidR="00881462" w:rsidRDefault="009F0A60">
            <w:pPr>
              <w:pStyle w:val="B1"/>
              <w:rPr>
                <w:bCs/>
              </w:rPr>
            </w:pPr>
            <w:r>
              <w:rPr>
                <w:rFonts w:hint="eastAsia"/>
                <w:bCs/>
              </w:rPr>
              <w:t>商户介绍</w:t>
            </w:r>
          </w:p>
        </w:tc>
      </w:tr>
      <w:tr w:rsidR="00A052DC" w14:paraId="65E9EF90" w14:textId="77777777">
        <w:trPr>
          <w:trHeight w:val="360"/>
        </w:trPr>
        <w:tc>
          <w:tcPr>
            <w:tcW w:w="1855" w:type="dxa"/>
            <w:tcBorders>
              <w:top w:val="single" w:sz="4" w:space="0" w:color="auto"/>
              <w:bottom w:val="single" w:sz="4" w:space="0" w:color="auto"/>
              <w:right w:val="single" w:sz="4" w:space="0" w:color="auto"/>
            </w:tcBorders>
            <w:shd w:val="clear" w:color="auto" w:fill="auto"/>
            <w:noWrap/>
            <w:vAlign w:val="center"/>
          </w:tcPr>
          <w:p w14:paraId="03BAA49E"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r>
              <w:rPr>
                <w:rFonts w:ascii="黑体" w:eastAsia="黑体" w:hAnsi="黑体" w:cs="宋体"/>
                <w:color w:val="000000"/>
                <w:kern w:val="0"/>
                <w:sz w:val="20"/>
                <w:szCs w:val="20"/>
              </w:rPr>
              <w:t>1．购物</w:t>
            </w:r>
          </w:p>
        </w:tc>
        <w:tc>
          <w:tcPr>
            <w:tcW w:w="2552" w:type="dxa"/>
            <w:tcBorders>
              <w:top w:val="single" w:sz="4" w:space="0" w:color="auto"/>
              <w:left w:val="nil"/>
              <w:bottom w:val="single" w:sz="4" w:space="0" w:color="auto"/>
              <w:right w:val="single" w:sz="4" w:space="0" w:color="auto"/>
            </w:tcBorders>
            <w:shd w:val="clear" w:color="auto" w:fill="auto"/>
            <w:vAlign w:val="center"/>
          </w:tcPr>
          <w:p w14:paraId="2A49FB2B" w14:textId="77777777" w:rsidR="00A052DC" w:rsidRDefault="009F0A60">
            <w:pPr>
              <w:widowControl/>
              <w:jc w:val="center"/>
              <w:rPr>
                <w:rFonts w:ascii="黑体" w:eastAsia="黑体" w:hAnsi="黑体" w:cs="宋体"/>
                <w:color w:val="000000"/>
                <w:kern w:val="0"/>
                <w:sz w:val="20"/>
                <w:szCs w:val="20"/>
              </w:rPr>
            </w:pPr>
            <w:r>
              <w:rPr>
                <w:rFonts w:ascii="黑体" w:eastAsia="黑体" w:hAnsi="黑体" w:cs="宋体"/>
                <w:color w:val="000000"/>
                <w:kern w:val="0"/>
                <w:sz w:val="20"/>
                <w:szCs w:val="20"/>
              </w:rPr>
              <w:t>1．1一般性购物</w:t>
            </w:r>
          </w:p>
        </w:tc>
        <w:tc>
          <w:tcPr>
            <w:tcW w:w="3969" w:type="dxa"/>
            <w:tcBorders>
              <w:top w:val="single" w:sz="8" w:space="0" w:color="auto"/>
              <w:left w:val="nil"/>
              <w:bottom w:val="single" w:sz="8" w:space="0" w:color="auto"/>
              <w:right w:val="nil"/>
            </w:tcBorders>
            <w:shd w:val="clear" w:color="auto" w:fill="auto"/>
            <w:vAlign w:val="center"/>
          </w:tcPr>
          <w:p w14:paraId="73357C2E" w14:textId="77777777" w:rsidR="00A052DC" w:rsidRDefault="00A052DC">
            <w:pPr>
              <w:widowControl/>
              <w:jc w:val="center"/>
              <w:rPr>
                <w:rFonts w:ascii="黑体" w:eastAsia="黑体" w:hAnsi="黑体" w:cs="宋体"/>
                <w:b/>
                <w:bCs/>
                <w:color w:val="000000"/>
                <w:kern w:val="0"/>
                <w:sz w:val="20"/>
                <w:szCs w:val="20"/>
              </w:rPr>
            </w:pPr>
          </w:p>
        </w:tc>
      </w:tr>
      <w:tr w:rsidR="00A052DC" w14:paraId="027D4F4D" w14:textId="77777777">
        <w:trPr>
          <w:trHeight w:val="360"/>
        </w:trPr>
        <w:tc>
          <w:tcPr>
            <w:tcW w:w="1855" w:type="dxa"/>
            <w:tcBorders>
              <w:top w:val="single" w:sz="4" w:space="0" w:color="auto"/>
              <w:bottom w:val="single" w:sz="4" w:space="0" w:color="auto"/>
              <w:right w:val="single" w:sz="4" w:space="0" w:color="auto"/>
            </w:tcBorders>
            <w:shd w:val="clear" w:color="auto" w:fill="auto"/>
            <w:noWrap/>
            <w:vAlign w:val="center"/>
          </w:tcPr>
          <w:p w14:paraId="5A985515" w14:textId="77777777" w:rsidR="00A052DC" w:rsidRDefault="00A052DC">
            <w:pPr>
              <w:widowControl/>
              <w:jc w:val="left"/>
              <w:rPr>
                <w:rFonts w:ascii="黑体" w:eastAsia="黑体" w:hAnsi="黑体" w:cs="宋体"/>
                <w:color w:val="000000"/>
                <w:kern w:val="0"/>
                <w:sz w:val="20"/>
                <w:szCs w:val="20"/>
              </w:rPr>
            </w:pPr>
          </w:p>
        </w:tc>
        <w:tc>
          <w:tcPr>
            <w:tcW w:w="2552" w:type="dxa"/>
            <w:tcBorders>
              <w:top w:val="nil"/>
              <w:left w:val="nil"/>
              <w:bottom w:val="single" w:sz="4" w:space="0" w:color="auto"/>
              <w:right w:val="single" w:sz="4" w:space="0" w:color="auto"/>
            </w:tcBorders>
            <w:shd w:val="clear" w:color="auto" w:fill="FFFFFF"/>
            <w:vAlign w:val="center"/>
          </w:tcPr>
          <w:p w14:paraId="2104E471"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0743</w:t>
            </w:r>
          </w:p>
        </w:tc>
        <w:tc>
          <w:tcPr>
            <w:tcW w:w="3969" w:type="dxa"/>
            <w:tcBorders>
              <w:top w:val="nil"/>
              <w:left w:val="nil"/>
              <w:bottom w:val="single" w:sz="8" w:space="0" w:color="auto"/>
              <w:right w:val="nil"/>
            </w:tcBorders>
            <w:shd w:val="clear" w:color="auto" w:fill="FFFFFF"/>
            <w:vAlign w:val="center"/>
          </w:tcPr>
          <w:p w14:paraId="53BC8669"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葡萄酒制造商</w:t>
            </w:r>
          </w:p>
        </w:tc>
      </w:tr>
      <w:tr w:rsidR="00A052DC" w14:paraId="18C4B49A" w14:textId="77777777">
        <w:trPr>
          <w:trHeight w:val="360"/>
        </w:trPr>
        <w:tc>
          <w:tcPr>
            <w:tcW w:w="1855" w:type="dxa"/>
            <w:tcBorders>
              <w:top w:val="single" w:sz="4" w:space="0" w:color="auto"/>
              <w:bottom w:val="single" w:sz="4" w:space="0" w:color="auto"/>
              <w:right w:val="single" w:sz="4" w:space="0" w:color="auto"/>
            </w:tcBorders>
            <w:shd w:val="clear" w:color="auto" w:fill="auto"/>
            <w:noWrap/>
            <w:vAlign w:val="center"/>
          </w:tcPr>
          <w:p w14:paraId="1C57F8B1"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75EC6F39"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0744</w:t>
            </w:r>
          </w:p>
        </w:tc>
        <w:tc>
          <w:tcPr>
            <w:tcW w:w="3969" w:type="dxa"/>
            <w:tcBorders>
              <w:top w:val="nil"/>
              <w:left w:val="nil"/>
              <w:bottom w:val="single" w:sz="8" w:space="0" w:color="auto"/>
              <w:right w:val="nil"/>
            </w:tcBorders>
            <w:shd w:val="clear" w:color="auto" w:fill="FFFFFF"/>
            <w:vAlign w:val="center"/>
          </w:tcPr>
          <w:p w14:paraId="0A73D525"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香槟酒制造商</w:t>
            </w:r>
          </w:p>
        </w:tc>
      </w:tr>
      <w:tr w:rsidR="00A052DC" w14:paraId="157A9C66" w14:textId="77777777">
        <w:trPr>
          <w:trHeight w:val="360"/>
        </w:trPr>
        <w:tc>
          <w:tcPr>
            <w:tcW w:w="1855" w:type="dxa"/>
            <w:tcBorders>
              <w:top w:val="single" w:sz="4" w:space="0" w:color="auto"/>
              <w:bottom w:val="single" w:sz="4" w:space="0" w:color="auto"/>
              <w:right w:val="single" w:sz="4" w:space="0" w:color="auto"/>
            </w:tcBorders>
            <w:shd w:val="clear" w:color="auto" w:fill="auto"/>
            <w:noWrap/>
            <w:vAlign w:val="center"/>
          </w:tcPr>
          <w:p w14:paraId="4D512859"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3D85C536"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2842</w:t>
            </w:r>
          </w:p>
        </w:tc>
        <w:tc>
          <w:tcPr>
            <w:tcW w:w="3969" w:type="dxa"/>
            <w:tcBorders>
              <w:top w:val="nil"/>
              <w:left w:val="nil"/>
              <w:bottom w:val="single" w:sz="8" w:space="0" w:color="auto"/>
              <w:right w:val="nil"/>
            </w:tcBorders>
            <w:shd w:val="clear" w:color="auto" w:fill="FFFFFF"/>
          </w:tcPr>
          <w:p w14:paraId="4FEB6B27"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专业清洁、磨光和卫生配制品</w:t>
            </w:r>
          </w:p>
        </w:tc>
      </w:tr>
      <w:tr w:rsidR="00A052DC" w14:paraId="3A7C5F6B" w14:textId="77777777">
        <w:trPr>
          <w:trHeight w:val="360"/>
        </w:trPr>
        <w:tc>
          <w:tcPr>
            <w:tcW w:w="1855" w:type="dxa"/>
            <w:tcBorders>
              <w:top w:val="single" w:sz="4" w:space="0" w:color="auto"/>
              <w:bottom w:val="single" w:sz="4" w:space="0" w:color="auto"/>
              <w:right w:val="single" w:sz="4" w:space="0" w:color="auto"/>
            </w:tcBorders>
            <w:shd w:val="clear" w:color="auto" w:fill="auto"/>
            <w:noWrap/>
            <w:vAlign w:val="center"/>
          </w:tcPr>
          <w:p w14:paraId="1BCEB7BE"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646BC0D3"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4812</w:t>
            </w:r>
          </w:p>
        </w:tc>
        <w:tc>
          <w:tcPr>
            <w:tcW w:w="3969" w:type="dxa"/>
            <w:tcBorders>
              <w:top w:val="nil"/>
              <w:left w:val="nil"/>
              <w:bottom w:val="single" w:sz="8" w:space="0" w:color="auto"/>
              <w:right w:val="nil"/>
            </w:tcBorders>
            <w:shd w:val="clear" w:color="auto" w:fill="FFFFFF"/>
            <w:vAlign w:val="center"/>
          </w:tcPr>
          <w:p w14:paraId="14D13F76"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电信设备及电话销售</w:t>
            </w:r>
          </w:p>
        </w:tc>
      </w:tr>
      <w:tr w:rsidR="00A052DC" w14:paraId="795417F3" w14:textId="77777777">
        <w:trPr>
          <w:trHeight w:val="360"/>
        </w:trPr>
        <w:tc>
          <w:tcPr>
            <w:tcW w:w="1855" w:type="dxa"/>
            <w:tcBorders>
              <w:top w:val="single" w:sz="4" w:space="0" w:color="auto"/>
              <w:bottom w:val="single" w:sz="4" w:space="0" w:color="auto"/>
              <w:right w:val="single" w:sz="4" w:space="0" w:color="auto"/>
            </w:tcBorders>
            <w:shd w:val="clear" w:color="auto" w:fill="auto"/>
            <w:noWrap/>
            <w:vAlign w:val="center"/>
          </w:tcPr>
          <w:p w14:paraId="506565A2"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5CF8E8EB"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4900</w:t>
            </w:r>
          </w:p>
        </w:tc>
        <w:tc>
          <w:tcPr>
            <w:tcW w:w="3969" w:type="dxa"/>
            <w:tcBorders>
              <w:top w:val="nil"/>
              <w:left w:val="nil"/>
              <w:bottom w:val="single" w:sz="8" w:space="0" w:color="auto"/>
              <w:right w:val="nil"/>
            </w:tcBorders>
            <w:shd w:val="clear" w:color="auto" w:fill="FFFFFF"/>
            <w:vAlign w:val="center"/>
          </w:tcPr>
          <w:p w14:paraId="540C5CE1"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公用事业——电、气、卫生、水</w:t>
            </w:r>
          </w:p>
        </w:tc>
      </w:tr>
      <w:tr w:rsidR="00A052DC" w14:paraId="4F21D631" w14:textId="77777777">
        <w:trPr>
          <w:trHeight w:val="360"/>
        </w:trPr>
        <w:tc>
          <w:tcPr>
            <w:tcW w:w="1855" w:type="dxa"/>
            <w:tcBorders>
              <w:top w:val="single" w:sz="4" w:space="0" w:color="auto"/>
              <w:bottom w:val="single" w:sz="4" w:space="0" w:color="auto"/>
              <w:right w:val="single" w:sz="4" w:space="0" w:color="auto"/>
            </w:tcBorders>
            <w:shd w:val="clear" w:color="auto" w:fill="auto"/>
            <w:noWrap/>
            <w:vAlign w:val="center"/>
          </w:tcPr>
          <w:p w14:paraId="2A27BAEB"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513A83BD"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5013</w:t>
            </w:r>
          </w:p>
        </w:tc>
        <w:tc>
          <w:tcPr>
            <w:tcW w:w="3969" w:type="dxa"/>
            <w:tcBorders>
              <w:top w:val="nil"/>
              <w:left w:val="nil"/>
              <w:bottom w:val="single" w:sz="8" w:space="0" w:color="auto"/>
              <w:right w:val="nil"/>
            </w:tcBorders>
            <w:shd w:val="clear" w:color="auto" w:fill="FFFFFF"/>
            <w:vAlign w:val="center"/>
          </w:tcPr>
          <w:p w14:paraId="4CDCD69B"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摩托车用品和新部件</w:t>
            </w:r>
          </w:p>
        </w:tc>
      </w:tr>
      <w:tr w:rsidR="00A052DC" w14:paraId="242B97A6"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6023067E"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3ABCF0CE"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5021</w:t>
            </w:r>
          </w:p>
        </w:tc>
        <w:tc>
          <w:tcPr>
            <w:tcW w:w="3969" w:type="dxa"/>
            <w:tcBorders>
              <w:top w:val="nil"/>
              <w:left w:val="nil"/>
              <w:bottom w:val="single" w:sz="8" w:space="0" w:color="auto"/>
              <w:right w:val="nil"/>
            </w:tcBorders>
            <w:shd w:val="clear" w:color="auto" w:fill="FFFFFF"/>
            <w:vAlign w:val="center"/>
          </w:tcPr>
          <w:p w14:paraId="7D6EF14A"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办公和商业家具</w:t>
            </w:r>
          </w:p>
        </w:tc>
      </w:tr>
      <w:tr w:rsidR="00A052DC" w14:paraId="0BBAC79D"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37658735"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4D00D62B"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5039</w:t>
            </w:r>
          </w:p>
        </w:tc>
        <w:tc>
          <w:tcPr>
            <w:tcW w:w="3969" w:type="dxa"/>
            <w:tcBorders>
              <w:top w:val="nil"/>
              <w:left w:val="nil"/>
              <w:bottom w:val="single" w:sz="8" w:space="0" w:color="auto"/>
              <w:right w:val="nil"/>
            </w:tcBorders>
            <w:shd w:val="clear" w:color="auto" w:fill="FFFFFF"/>
            <w:vAlign w:val="center"/>
          </w:tcPr>
          <w:p w14:paraId="34250843"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建筑材料—未包括在其他类别之中的</w:t>
            </w:r>
          </w:p>
        </w:tc>
      </w:tr>
      <w:tr w:rsidR="00A052DC" w14:paraId="346830BF"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17887A46"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69C797A9"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5044</w:t>
            </w:r>
          </w:p>
        </w:tc>
        <w:tc>
          <w:tcPr>
            <w:tcW w:w="3969" w:type="dxa"/>
            <w:tcBorders>
              <w:top w:val="nil"/>
              <w:left w:val="nil"/>
              <w:bottom w:val="single" w:sz="8" w:space="0" w:color="auto"/>
              <w:right w:val="nil"/>
            </w:tcBorders>
            <w:shd w:val="clear" w:color="auto" w:fill="FFFFFF"/>
            <w:vAlign w:val="center"/>
          </w:tcPr>
          <w:p w14:paraId="29120C22"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办公、照相、影印、缩微拍摄设备</w:t>
            </w:r>
          </w:p>
        </w:tc>
      </w:tr>
      <w:tr w:rsidR="00A052DC" w14:paraId="2AA73BC3"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1C22D24D"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7EEA8F50"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5045</w:t>
            </w:r>
          </w:p>
        </w:tc>
        <w:tc>
          <w:tcPr>
            <w:tcW w:w="3969" w:type="dxa"/>
            <w:tcBorders>
              <w:top w:val="nil"/>
              <w:left w:val="nil"/>
              <w:bottom w:val="single" w:sz="8" w:space="0" w:color="auto"/>
              <w:right w:val="nil"/>
            </w:tcBorders>
            <w:shd w:val="clear" w:color="auto" w:fill="FFFFFF"/>
            <w:vAlign w:val="center"/>
          </w:tcPr>
          <w:p w14:paraId="0788EAE0"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计算机及其辅助设备，软件</w:t>
            </w:r>
          </w:p>
        </w:tc>
      </w:tr>
      <w:tr w:rsidR="00A052DC" w14:paraId="23AD39F0"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6CAC7E01"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306AE839"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5046</w:t>
            </w:r>
          </w:p>
        </w:tc>
        <w:tc>
          <w:tcPr>
            <w:tcW w:w="3969" w:type="dxa"/>
            <w:tcBorders>
              <w:top w:val="nil"/>
              <w:left w:val="nil"/>
              <w:bottom w:val="single" w:sz="8" w:space="0" w:color="auto"/>
              <w:right w:val="nil"/>
            </w:tcBorders>
            <w:shd w:val="clear" w:color="auto" w:fill="FFFFFF"/>
            <w:vAlign w:val="center"/>
          </w:tcPr>
          <w:p w14:paraId="105B8FED"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商业设备—未包括在其他类别之中的</w:t>
            </w:r>
          </w:p>
        </w:tc>
      </w:tr>
      <w:tr w:rsidR="00A052DC" w14:paraId="1F81AC5B"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47946090"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22494CE1"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5065</w:t>
            </w:r>
          </w:p>
        </w:tc>
        <w:tc>
          <w:tcPr>
            <w:tcW w:w="3969" w:type="dxa"/>
            <w:tcBorders>
              <w:top w:val="nil"/>
              <w:left w:val="nil"/>
              <w:bottom w:val="single" w:sz="8" w:space="0" w:color="auto"/>
              <w:right w:val="nil"/>
            </w:tcBorders>
            <w:shd w:val="clear" w:color="auto" w:fill="FFFFFF"/>
            <w:vAlign w:val="center"/>
          </w:tcPr>
          <w:p w14:paraId="71172209"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电子零件和设备</w:t>
            </w:r>
          </w:p>
        </w:tc>
      </w:tr>
      <w:tr w:rsidR="00A052DC" w14:paraId="165D976E"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4CBDE6EA"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2C508044"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5072</w:t>
            </w:r>
          </w:p>
        </w:tc>
        <w:tc>
          <w:tcPr>
            <w:tcW w:w="3969" w:type="dxa"/>
            <w:tcBorders>
              <w:top w:val="nil"/>
              <w:left w:val="nil"/>
              <w:bottom w:val="single" w:sz="8" w:space="0" w:color="auto"/>
              <w:right w:val="nil"/>
            </w:tcBorders>
            <w:shd w:val="clear" w:color="auto" w:fill="FFFFFF"/>
            <w:vAlign w:val="center"/>
          </w:tcPr>
          <w:p w14:paraId="275581B4"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五金器具设备和用品</w:t>
            </w:r>
          </w:p>
        </w:tc>
      </w:tr>
      <w:tr w:rsidR="00A052DC" w14:paraId="2FA274BB"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1F8723EA"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1E799064"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5074</w:t>
            </w:r>
          </w:p>
        </w:tc>
        <w:tc>
          <w:tcPr>
            <w:tcW w:w="3969" w:type="dxa"/>
            <w:tcBorders>
              <w:top w:val="nil"/>
              <w:left w:val="nil"/>
              <w:bottom w:val="single" w:sz="8" w:space="0" w:color="auto"/>
              <w:right w:val="nil"/>
            </w:tcBorders>
            <w:shd w:val="clear" w:color="auto" w:fill="FFFFFF"/>
            <w:vAlign w:val="center"/>
          </w:tcPr>
          <w:p w14:paraId="38A511A3"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管道和供暖设备与用品</w:t>
            </w:r>
          </w:p>
        </w:tc>
      </w:tr>
      <w:tr w:rsidR="00A052DC" w14:paraId="750E4272"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0664ED99"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68FBBAE1"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5085</w:t>
            </w:r>
          </w:p>
        </w:tc>
        <w:tc>
          <w:tcPr>
            <w:tcW w:w="3969" w:type="dxa"/>
            <w:tcBorders>
              <w:top w:val="nil"/>
              <w:left w:val="nil"/>
              <w:bottom w:val="single" w:sz="8" w:space="0" w:color="auto"/>
              <w:right w:val="nil"/>
            </w:tcBorders>
            <w:shd w:val="clear" w:color="auto" w:fill="FFFFFF"/>
            <w:vAlign w:val="center"/>
          </w:tcPr>
          <w:p w14:paraId="1C3D41B3"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工业用品—未包括在其他类别之中的</w:t>
            </w:r>
          </w:p>
        </w:tc>
      </w:tr>
      <w:tr w:rsidR="00A052DC" w14:paraId="498A0F4D"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3F180820"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17FC7F15"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5111</w:t>
            </w:r>
          </w:p>
        </w:tc>
        <w:tc>
          <w:tcPr>
            <w:tcW w:w="3969" w:type="dxa"/>
            <w:tcBorders>
              <w:top w:val="nil"/>
              <w:left w:val="nil"/>
              <w:bottom w:val="single" w:sz="8" w:space="0" w:color="auto"/>
              <w:right w:val="nil"/>
            </w:tcBorders>
            <w:shd w:val="clear" w:color="auto" w:fill="FFFFFF"/>
            <w:vAlign w:val="center"/>
          </w:tcPr>
          <w:p w14:paraId="4CA3F8BC"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文具、办公用品、打印纸和书写纸</w:t>
            </w:r>
          </w:p>
        </w:tc>
      </w:tr>
      <w:tr w:rsidR="00A052DC" w14:paraId="39B06B5D"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5079CFFE"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6C2D2700"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5131</w:t>
            </w:r>
          </w:p>
        </w:tc>
        <w:tc>
          <w:tcPr>
            <w:tcW w:w="3969" w:type="dxa"/>
            <w:tcBorders>
              <w:top w:val="nil"/>
              <w:left w:val="nil"/>
              <w:bottom w:val="single" w:sz="8" w:space="0" w:color="auto"/>
              <w:right w:val="nil"/>
            </w:tcBorders>
            <w:shd w:val="clear" w:color="auto" w:fill="FFFFFF"/>
            <w:vAlign w:val="center"/>
          </w:tcPr>
          <w:p w14:paraId="1B3E2223"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布匹、小饰物、其他纺织品</w:t>
            </w:r>
          </w:p>
        </w:tc>
      </w:tr>
      <w:tr w:rsidR="00A052DC" w14:paraId="23E83335"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40138FAC"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497B9EDD"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5137</w:t>
            </w:r>
          </w:p>
        </w:tc>
        <w:tc>
          <w:tcPr>
            <w:tcW w:w="3969" w:type="dxa"/>
            <w:tcBorders>
              <w:top w:val="nil"/>
              <w:left w:val="nil"/>
              <w:bottom w:val="single" w:sz="8" w:space="0" w:color="auto"/>
              <w:right w:val="nil"/>
            </w:tcBorders>
            <w:shd w:val="clear" w:color="auto" w:fill="FFFFFF"/>
            <w:vAlign w:val="center"/>
          </w:tcPr>
          <w:p w14:paraId="268A54E9"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男女制服、儿童制服、商业服装</w:t>
            </w:r>
          </w:p>
        </w:tc>
      </w:tr>
      <w:tr w:rsidR="00A052DC" w14:paraId="79327322"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1E013373"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2F1F8949"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5139</w:t>
            </w:r>
          </w:p>
        </w:tc>
        <w:tc>
          <w:tcPr>
            <w:tcW w:w="3969" w:type="dxa"/>
            <w:tcBorders>
              <w:top w:val="nil"/>
              <w:left w:val="nil"/>
              <w:bottom w:val="single" w:sz="8" w:space="0" w:color="auto"/>
              <w:right w:val="nil"/>
            </w:tcBorders>
            <w:shd w:val="clear" w:color="auto" w:fill="FFFFFF"/>
            <w:vAlign w:val="center"/>
          </w:tcPr>
          <w:p w14:paraId="67E28C6F"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商业鞋类</w:t>
            </w:r>
          </w:p>
        </w:tc>
      </w:tr>
      <w:tr w:rsidR="00A052DC" w14:paraId="0CE2DF9C"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1F77E660"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55CDB0A3"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5169</w:t>
            </w:r>
          </w:p>
        </w:tc>
        <w:tc>
          <w:tcPr>
            <w:tcW w:w="3969" w:type="dxa"/>
            <w:tcBorders>
              <w:top w:val="nil"/>
              <w:left w:val="nil"/>
              <w:bottom w:val="single" w:sz="8" w:space="0" w:color="auto"/>
              <w:right w:val="nil"/>
            </w:tcBorders>
            <w:shd w:val="clear" w:color="auto" w:fill="FFFFFF"/>
            <w:vAlign w:val="center"/>
          </w:tcPr>
          <w:p w14:paraId="4EFE4D28"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化学及合成物—未包括在其他类别之中的</w:t>
            </w:r>
          </w:p>
        </w:tc>
      </w:tr>
      <w:tr w:rsidR="00A052DC" w14:paraId="16812E3D"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76A9229C"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51A1AAB0"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5172</w:t>
            </w:r>
          </w:p>
        </w:tc>
        <w:tc>
          <w:tcPr>
            <w:tcW w:w="3969" w:type="dxa"/>
            <w:tcBorders>
              <w:top w:val="nil"/>
              <w:left w:val="nil"/>
              <w:bottom w:val="single" w:sz="8" w:space="0" w:color="auto"/>
              <w:right w:val="nil"/>
            </w:tcBorders>
            <w:shd w:val="clear" w:color="auto" w:fill="FFFFFF"/>
            <w:vAlign w:val="center"/>
          </w:tcPr>
          <w:p w14:paraId="421E110E"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石油和石油产品</w:t>
            </w:r>
          </w:p>
        </w:tc>
      </w:tr>
      <w:tr w:rsidR="00A052DC" w14:paraId="11B869AB"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74D7A011"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0F249813"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5193</w:t>
            </w:r>
          </w:p>
        </w:tc>
        <w:tc>
          <w:tcPr>
            <w:tcW w:w="3969" w:type="dxa"/>
            <w:tcBorders>
              <w:top w:val="nil"/>
              <w:left w:val="nil"/>
              <w:bottom w:val="single" w:sz="8" w:space="0" w:color="auto"/>
              <w:right w:val="nil"/>
            </w:tcBorders>
            <w:shd w:val="clear" w:color="auto" w:fill="FFFFFF"/>
            <w:vAlign w:val="center"/>
          </w:tcPr>
          <w:p w14:paraId="09EAD9F6"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种花用品、出圃苗、花卉</w:t>
            </w:r>
          </w:p>
        </w:tc>
      </w:tr>
      <w:tr w:rsidR="00A052DC" w14:paraId="01E443DD"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6ABA7A8B"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0EFC13E5"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5198</w:t>
            </w:r>
          </w:p>
        </w:tc>
        <w:tc>
          <w:tcPr>
            <w:tcW w:w="3969" w:type="dxa"/>
            <w:tcBorders>
              <w:top w:val="nil"/>
              <w:left w:val="nil"/>
              <w:bottom w:val="single" w:sz="8" w:space="0" w:color="auto"/>
              <w:right w:val="nil"/>
            </w:tcBorders>
            <w:shd w:val="clear" w:color="auto" w:fill="FFFFFF"/>
            <w:vAlign w:val="center"/>
          </w:tcPr>
          <w:p w14:paraId="7793F328"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油漆、清漆，及相关用品</w:t>
            </w:r>
          </w:p>
        </w:tc>
      </w:tr>
      <w:tr w:rsidR="00A052DC" w14:paraId="1D95F1AA"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2D0C325A"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47F481F6"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5199</w:t>
            </w:r>
          </w:p>
        </w:tc>
        <w:tc>
          <w:tcPr>
            <w:tcW w:w="3969" w:type="dxa"/>
            <w:tcBorders>
              <w:top w:val="nil"/>
              <w:left w:val="nil"/>
              <w:bottom w:val="single" w:sz="8" w:space="0" w:color="auto"/>
              <w:right w:val="nil"/>
            </w:tcBorders>
            <w:shd w:val="clear" w:color="auto" w:fill="FFFFFF"/>
            <w:vAlign w:val="center"/>
          </w:tcPr>
          <w:p w14:paraId="0A2A8DFE"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非耐用品—未包括在其他类别之中的</w:t>
            </w:r>
          </w:p>
        </w:tc>
      </w:tr>
      <w:tr w:rsidR="00A052DC" w14:paraId="437C64D6"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1C64B691"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5EBC87CE"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5200</w:t>
            </w:r>
          </w:p>
        </w:tc>
        <w:tc>
          <w:tcPr>
            <w:tcW w:w="3969" w:type="dxa"/>
            <w:tcBorders>
              <w:top w:val="nil"/>
              <w:left w:val="nil"/>
              <w:bottom w:val="single" w:sz="8" w:space="0" w:color="auto"/>
              <w:right w:val="nil"/>
            </w:tcBorders>
            <w:shd w:val="clear" w:color="auto" w:fill="FFFFFF"/>
            <w:vAlign w:val="center"/>
          </w:tcPr>
          <w:p w14:paraId="01B2CD58"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家庭日用品大商店</w:t>
            </w:r>
          </w:p>
        </w:tc>
      </w:tr>
      <w:tr w:rsidR="00A052DC" w14:paraId="5E1CDB87"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1635449B"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1495B724"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5211</w:t>
            </w:r>
          </w:p>
        </w:tc>
        <w:tc>
          <w:tcPr>
            <w:tcW w:w="3969" w:type="dxa"/>
            <w:tcBorders>
              <w:top w:val="nil"/>
              <w:left w:val="nil"/>
              <w:bottom w:val="single" w:sz="8" w:space="0" w:color="auto"/>
              <w:right w:val="nil"/>
            </w:tcBorders>
            <w:shd w:val="clear" w:color="auto" w:fill="FFFFFF"/>
            <w:vAlign w:val="center"/>
          </w:tcPr>
          <w:p w14:paraId="4E9FA8D5"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建筑材料、木材店</w:t>
            </w:r>
          </w:p>
        </w:tc>
      </w:tr>
      <w:tr w:rsidR="00A052DC" w14:paraId="016A10F9"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141EB651"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794506F5"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5231</w:t>
            </w:r>
          </w:p>
        </w:tc>
        <w:tc>
          <w:tcPr>
            <w:tcW w:w="3969" w:type="dxa"/>
            <w:tcBorders>
              <w:top w:val="nil"/>
              <w:left w:val="nil"/>
              <w:bottom w:val="single" w:sz="8" w:space="0" w:color="auto"/>
              <w:right w:val="nil"/>
            </w:tcBorders>
            <w:shd w:val="clear" w:color="auto" w:fill="FFFFFF"/>
            <w:vAlign w:val="center"/>
          </w:tcPr>
          <w:p w14:paraId="6828D46C"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玻璃、油彩、墙纸店</w:t>
            </w:r>
          </w:p>
        </w:tc>
      </w:tr>
      <w:tr w:rsidR="00A052DC" w14:paraId="416F2B9C"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5D19DCD9"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443A5A1C"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5251</w:t>
            </w:r>
          </w:p>
        </w:tc>
        <w:tc>
          <w:tcPr>
            <w:tcW w:w="3969" w:type="dxa"/>
            <w:tcBorders>
              <w:top w:val="nil"/>
              <w:left w:val="nil"/>
              <w:bottom w:val="single" w:sz="8" w:space="0" w:color="auto"/>
              <w:right w:val="nil"/>
            </w:tcBorders>
            <w:shd w:val="clear" w:color="auto" w:fill="FFFFFF"/>
            <w:vAlign w:val="center"/>
          </w:tcPr>
          <w:p w14:paraId="0D9FAAFC"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五金器具店</w:t>
            </w:r>
          </w:p>
        </w:tc>
      </w:tr>
      <w:tr w:rsidR="00A052DC" w14:paraId="5D5CAF8B"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60E8E400"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617FB628"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5261</w:t>
            </w:r>
          </w:p>
        </w:tc>
        <w:tc>
          <w:tcPr>
            <w:tcW w:w="3969" w:type="dxa"/>
            <w:tcBorders>
              <w:top w:val="nil"/>
              <w:left w:val="nil"/>
              <w:bottom w:val="single" w:sz="8" w:space="0" w:color="auto"/>
              <w:right w:val="nil"/>
            </w:tcBorders>
            <w:shd w:val="clear" w:color="auto" w:fill="FFFFFF"/>
            <w:vAlign w:val="center"/>
          </w:tcPr>
          <w:p w14:paraId="7B7BF46B"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草地和花园用品店，包括苗圃</w:t>
            </w:r>
          </w:p>
        </w:tc>
      </w:tr>
      <w:tr w:rsidR="00A052DC" w14:paraId="713C0362"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47C75F4E"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46A01E2F"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5271</w:t>
            </w:r>
          </w:p>
        </w:tc>
        <w:tc>
          <w:tcPr>
            <w:tcW w:w="3969" w:type="dxa"/>
            <w:tcBorders>
              <w:top w:val="nil"/>
              <w:left w:val="nil"/>
              <w:bottom w:val="single" w:sz="8" w:space="0" w:color="auto"/>
              <w:right w:val="nil"/>
            </w:tcBorders>
            <w:shd w:val="clear" w:color="auto" w:fill="FFFFFF"/>
            <w:vAlign w:val="center"/>
          </w:tcPr>
          <w:p w14:paraId="07B2CBAB"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活动房屋经营者</w:t>
            </w:r>
          </w:p>
        </w:tc>
      </w:tr>
      <w:tr w:rsidR="00A052DC" w14:paraId="6236AE98"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265AC382"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030B2447"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5300</w:t>
            </w:r>
          </w:p>
        </w:tc>
        <w:tc>
          <w:tcPr>
            <w:tcW w:w="3969" w:type="dxa"/>
            <w:tcBorders>
              <w:top w:val="nil"/>
              <w:left w:val="nil"/>
              <w:bottom w:val="single" w:sz="8" w:space="0" w:color="auto"/>
              <w:right w:val="nil"/>
            </w:tcBorders>
            <w:shd w:val="clear" w:color="auto" w:fill="FFFFFF"/>
            <w:vAlign w:val="center"/>
          </w:tcPr>
          <w:p w14:paraId="5D7B674C"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批发俱乐部</w:t>
            </w:r>
          </w:p>
        </w:tc>
      </w:tr>
      <w:tr w:rsidR="00A052DC" w14:paraId="70A34417"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66D4E1D8"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0FE91980"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5309</w:t>
            </w:r>
          </w:p>
        </w:tc>
        <w:tc>
          <w:tcPr>
            <w:tcW w:w="3969" w:type="dxa"/>
            <w:tcBorders>
              <w:top w:val="nil"/>
              <w:left w:val="nil"/>
              <w:bottom w:val="single" w:sz="4" w:space="0" w:color="auto"/>
              <w:right w:val="nil"/>
            </w:tcBorders>
            <w:shd w:val="clear" w:color="auto" w:fill="FFFFFF"/>
            <w:vAlign w:val="center"/>
          </w:tcPr>
          <w:p w14:paraId="7C840AE7"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免税店</w:t>
            </w:r>
          </w:p>
        </w:tc>
      </w:tr>
      <w:tr w:rsidR="00A052DC" w14:paraId="0D5B2175"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42781014"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single" w:sz="4" w:space="0" w:color="auto"/>
              <w:left w:val="nil"/>
              <w:bottom w:val="single" w:sz="4" w:space="0" w:color="auto"/>
              <w:right w:val="single" w:sz="4" w:space="0" w:color="auto"/>
            </w:tcBorders>
            <w:shd w:val="clear" w:color="auto" w:fill="FFFFFF"/>
            <w:vAlign w:val="center"/>
          </w:tcPr>
          <w:p w14:paraId="130DB47F"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5310</w:t>
            </w:r>
          </w:p>
        </w:tc>
        <w:tc>
          <w:tcPr>
            <w:tcW w:w="3969" w:type="dxa"/>
            <w:tcBorders>
              <w:top w:val="single" w:sz="4" w:space="0" w:color="auto"/>
              <w:left w:val="nil"/>
              <w:bottom w:val="single" w:sz="8" w:space="0" w:color="auto"/>
              <w:right w:val="nil"/>
            </w:tcBorders>
            <w:shd w:val="clear" w:color="auto" w:fill="FFFFFF"/>
            <w:vAlign w:val="center"/>
          </w:tcPr>
          <w:p w14:paraId="0FD22ED3"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打折店</w:t>
            </w:r>
          </w:p>
        </w:tc>
      </w:tr>
      <w:tr w:rsidR="00A052DC" w14:paraId="14EA733C"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7C1F3FF2"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55E51AD4"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5311</w:t>
            </w:r>
          </w:p>
        </w:tc>
        <w:tc>
          <w:tcPr>
            <w:tcW w:w="3969" w:type="dxa"/>
            <w:tcBorders>
              <w:top w:val="nil"/>
              <w:left w:val="nil"/>
              <w:bottom w:val="single" w:sz="8" w:space="0" w:color="auto"/>
              <w:right w:val="nil"/>
            </w:tcBorders>
            <w:shd w:val="clear" w:color="auto" w:fill="FFFFFF"/>
            <w:vAlign w:val="center"/>
          </w:tcPr>
          <w:p w14:paraId="514310DB"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百货公司</w:t>
            </w:r>
          </w:p>
        </w:tc>
      </w:tr>
      <w:tr w:rsidR="00A052DC" w14:paraId="68AD6F5D"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015377D4"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7A28A7E0"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5331</w:t>
            </w:r>
          </w:p>
        </w:tc>
        <w:tc>
          <w:tcPr>
            <w:tcW w:w="3969" w:type="dxa"/>
            <w:tcBorders>
              <w:top w:val="nil"/>
              <w:left w:val="nil"/>
              <w:bottom w:val="single" w:sz="8" w:space="0" w:color="auto"/>
              <w:right w:val="nil"/>
            </w:tcBorders>
            <w:shd w:val="clear" w:color="auto" w:fill="FFFFFF"/>
            <w:vAlign w:val="center"/>
          </w:tcPr>
          <w:p w14:paraId="04BD2E7F"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杂货铺</w:t>
            </w:r>
          </w:p>
        </w:tc>
      </w:tr>
      <w:tr w:rsidR="00A052DC" w14:paraId="51EAFDF4"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60962996"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7BC6416C"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5333</w:t>
            </w:r>
          </w:p>
        </w:tc>
        <w:tc>
          <w:tcPr>
            <w:tcW w:w="3969" w:type="dxa"/>
            <w:tcBorders>
              <w:top w:val="nil"/>
              <w:left w:val="nil"/>
              <w:bottom w:val="single" w:sz="8" w:space="0" w:color="auto"/>
              <w:right w:val="nil"/>
            </w:tcBorders>
            <w:shd w:val="clear" w:color="auto" w:fill="FFFFFF"/>
            <w:vAlign w:val="center"/>
          </w:tcPr>
          <w:p w14:paraId="7FC8B594"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超级市场</w:t>
            </w:r>
          </w:p>
        </w:tc>
      </w:tr>
      <w:tr w:rsidR="00A052DC" w14:paraId="533BC12B"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3F1D57FA"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63C4DF98"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5399</w:t>
            </w:r>
          </w:p>
        </w:tc>
        <w:tc>
          <w:tcPr>
            <w:tcW w:w="3969" w:type="dxa"/>
            <w:tcBorders>
              <w:top w:val="nil"/>
              <w:left w:val="nil"/>
              <w:bottom w:val="single" w:sz="8" w:space="0" w:color="auto"/>
              <w:right w:val="nil"/>
            </w:tcBorders>
            <w:shd w:val="clear" w:color="auto" w:fill="FFFFFF"/>
            <w:vAlign w:val="center"/>
          </w:tcPr>
          <w:p w14:paraId="12C2B8E4"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各式各样的日用商品店</w:t>
            </w:r>
          </w:p>
        </w:tc>
      </w:tr>
      <w:tr w:rsidR="00A052DC" w14:paraId="1C4782E2"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366E6D42"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45624043"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5411</w:t>
            </w:r>
          </w:p>
        </w:tc>
        <w:tc>
          <w:tcPr>
            <w:tcW w:w="3969" w:type="dxa"/>
            <w:tcBorders>
              <w:top w:val="nil"/>
              <w:left w:val="nil"/>
              <w:bottom w:val="single" w:sz="8" w:space="0" w:color="auto"/>
              <w:right w:val="nil"/>
            </w:tcBorders>
            <w:shd w:val="clear" w:color="auto" w:fill="FFFFFF"/>
            <w:vAlign w:val="center"/>
          </w:tcPr>
          <w:p w14:paraId="65482886"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食品杂货店、超级市场</w:t>
            </w:r>
          </w:p>
        </w:tc>
      </w:tr>
      <w:tr w:rsidR="00A052DC" w14:paraId="482C23E8"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7E74E8A5"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660E0C42"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5422</w:t>
            </w:r>
          </w:p>
        </w:tc>
        <w:tc>
          <w:tcPr>
            <w:tcW w:w="3969" w:type="dxa"/>
            <w:tcBorders>
              <w:top w:val="nil"/>
              <w:left w:val="nil"/>
              <w:bottom w:val="single" w:sz="8" w:space="0" w:color="auto"/>
              <w:right w:val="nil"/>
            </w:tcBorders>
            <w:shd w:val="clear" w:color="auto" w:fill="FFFFFF"/>
            <w:vAlign w:val="center"/>
          </w:tcPr>
          <w:p w14:paraId="43F925CE"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冷冻、仓储肉的供应者</w:t>
            </w:r>
          </w:p>
        </w:tc>
      </w:tr>
      <w:tr w:rsidR="00A052DC" w14:paraId="16E62887"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606A4D7A"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692B251F"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5499</w:t>
            </w:r>
          </w:p>
        </w:tc>
        <w:tc>
          <w:tcPr>
            <w:tcW w:w="3969" w:type="dxa"/>
            <w:tcBorders>
              <w:top w:val="nil"/>
              <w:left w:val="nil"/>
              <w:bottom w:val="single" w:sz="8" w:space="0" w:color="auto"/>
              <w:right w:val="nil"/>
            </w:tcBorders>
            <w:shd w:val="clear" w:color="auto" w:fill="FFFFFF"/>
            <w:vAlign w:val="center"/>
          </w:tcPr>
          <w:p w14:paraId="373C145E"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各式各样的食品店——便利店、专业店</w:t>
            </w:r>
          </w:p>
        </w:tc>
      </w:tr>
      <w:tr w:rsidR="00A052DC" w14:paraId="312ED3CB"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16AD765F"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17A2DE40"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5531</w:t>
            </w:r>
          </w:p>
        </w:tc>
        <w:tc>
          <w:tcPr>
            <w:tcW w:w="3969" w:type="dxa"/>
            <w:tcBorders>
              <w:top w:val="nil"/>
              <w:left w:val="nil"/>
              <w:bottom w:val="single" w:sz="8" w:space="0" w:color="auto"/>
              <w:right w:val="nil"/>
            </w:tcBorders>
            <w:shd w:val="clear" w:color="auto" w:fill="FFFFFF"/>
            <w:vAlign w:val="center"/>
          </w:tcPr>
          <w:p w14:paraId="5E34F884"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汽车商店、家庭用品商店</w:t>
            </w:r>
          </w:p>
        </w:tc>
      </w:tr>
      <w:tr w:rsidR="00A052DC" w14:paraId="371E9779"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6C7FE58A"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0195D453"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5532</w:t>
            </w:r>
          </w:p>
        </w:tc>
        <w:tc>
          <w:tcPr>
            <w:tcW w:w="3969" w:type="dxa"/>
            <w:tcBorders>
              <w:top w:val="nil"/>
              <w:left w:val="nil"/>
              <w:bottom w:val="single" w:sz="8" w:space="0" w:color="auto"/>
              <w:right w:val="nil"/>
            </w:tcBorders>
            <w:shd w:val="clear" w:color="auto" w:fill="FFFFFF"/>
            <w:vAlign w:val="center"/>
          </w:tcPr>
          <w:p w14:paraId="6BFF2AEC"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汽车轮胎店</w:t>
            </w:r>
          </w:p>
        </w:tc>
      </w:tr>
      <w:tr w:rsidR="00A052DC" w14:paraId="7797A029"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2BA5C604"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11AA3EC1"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5533</w:t>
            </w:r>
          </w:p>
        </w:tc>
        <w:tc>
          <w:tcPr>
            <w:tcW w:w="3969" w:type="dxa"/>
            <w:tcBorders>
              <w:top w:val="nil"/>
              <w:left w:val="nil"/>
              <w:bottom w:val="single" w:sz="8" w:space="0" w:color="auto"/>
              <w:right w:val="nil"/>
            </w:tcBorders>
            <w:shd w:val="clear" w:color="auto" w:fill="FFFFFF"/>
            <w:vAlign w:val="center"/>
          </w:tcPr>
          <w:p w14:paraId="4B362789"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汽车零部件店</w:t>
            </w:r>
          </w:p>
        </w:tc>
      </w:tr>
      <w:tr w:rsidR="00A052DC" w14:paraId="6E62DB41"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0EE84C98"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00CF14E7"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5541</w:t>
            </w:r>
          </w:p>
        </w:tc>
        <w:tc>
          <w:tcPr>
            <w:tcW w:w="3969" w:type="dxa"/>
            <w:tcBorders>
              <w:top w:val="nil"/>
              <w:left w:val="nil"/>
              <w:bottom w:val="single" w:sz="8" w:space="0" w:color="auto"/>
              <w:right w:val="nil"/>
            </w:tcBorders>
            <w:shd w:val="clear" w:color="auto" w:fill="FFFFFF"/>
            <w:vAlign w:val="center"/>
          </w:tcPr>
          <w:p w14:paraId="23617F71"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加油站（有或无辅助服务）</w:t>
            </w:r>
          </w:p>
        </w:tc>
      </w:tr>
      <w:tr w:rsidR="00A052DC" w14:paraId="0C6A27FF"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618243B6"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5D6C7F59"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5542</w:t>
            </w:r>
          </w:p>
        </w:tc>
        <w:tc>
          <w:tcPr>
            <w:tcW w:w="3969" w:type="dxa"/>
            <w:tcBorders>
              <w:top w:val="nil"/>
              <w:left w:val="nil"/>
              <w:bottom w:val="single" w:sz="8" w:space="0" w:color="auto"/>
              <w:right w:val="nil"/>
            </w:tcBorders>
            <w:shd w:val="clear" w:color="auto" w:fill="FFFFFF"/>
            <w:vAlign w:val="center"/>
          </w:tcPr>
          <w:p w14:paraId="265E5831"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自动售油机</w:t>
            </w:r>
          </w:p>
        </w:tc>
      </w:tr>
      <w:tr w:rsidR="00A052DC" w14:paraId="4E6EC778"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5F8D0D18"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413C390C"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5611</w:t>
            </w:r>
          </w:p>
        </w:tc>
        <w:tc>
          <w:tcPr>
            <w:tcW w:w="3969" w:type="dxa"/>
            <w:tcBorders>
              <w:top w:val="nil"/>
              <w:left w:val="nil"/>
              <w:bottom w:val="single" w:sz="8" w:space="0" w:color="auto"/>
              <w:right w:val="nil"/>
            </w:tcBorders>
            <w:shd w:val="clear" w:color="auto" w:fill="FFFFFF"/>
            <w:vAlign w:val="center"/>
          </w:tcPr>
          <w:p w14:paraId="3E654758"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男士、男童服装及搭配物</w:t>
            </w:r>
          </w:p>
        </w:tc>
      </w:tr>
      <w:tr w:rsidR="00A052DC" w14:paraId="0DF99504"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0AE731E5"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6271D5DD"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5621</w:t>
            </w:r>
          </w:p>
        </w:tc>
        <w:tc>
          <w:tcPr>
            <w:tcW w:w="3969" w:type="dxa"/>
            <w:tcBorders>
              <w:top w:val="nil"/>
              <w:left w:val="nil"/>
              <w:bottom w:val="single" w:sz="8" w:space="0" w:color="auto"/>
              <w:right w:val="nil"/>
            </w:tcBorders>
            <w:shd w:val="clear" w:color="auto" w:fill="FFFFFF"/>
            <w:vAlign w:val="center"/>
          </w:tcPr>
          <w:p w14:paraId="4426578D"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女式成衣</w:t>
            </w:r>
          </w:p>
        </w:tc>
      </w:tr>
      <w:tr w:rsidR="00A052DC" w14:paraId="61AC7A98"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3AD6774C"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50AB64F7"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5631</w:t>
            </w:r>
          </w:p>
        </w:tc>
        <w:tc>
          <w:tcPr>
            <w:tcW w:w="3969" w:type="dxa"/>
            <w:tcBorders>
              <w:top w:val="nil"/>
              <w:left w:val="nil"/>
              <w:bottom w:val="single" w:sz="8" w:space="0" w:color="auto"/>
              <w:right w:val="nil"/>
            </w:tcBorders>
            <w:shd w:val="clear" w:color="auto" w:fill="FFFFFF"/>
            <w:vAlign w:val="center"/>
          </w:tcPr>
          <w:p w14:paraId="5A4D4713"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女式搭配物和特殊商品店</w:t>
            </w:r>
          </w:p>
        </w:tc>
      </w:tr>
      <w:tr w:rsidR="00A052DC" w14:paraId="151B1352"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30E7F921"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4E4D2DA5"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5641</w:t>
            </w:r>
          </w:p>
        </w:tc>
        <w:tc>
          <w:tcPr>
            <w:tcW w:w="3969" w:type="dxa"/>
            <w:tcBorders>
              <w:top w:val="nil"/>
              <w:left w:val="nil"/>
              <w:bottom w:val="single" w:sz="8" w:space="0" w:color="auto"/>
              <w:right w:val="nil"/>
            </w:tcBorders>
            <w:shd w:val="clear" w:color="auto" w:fill="FFFFFF"/>
            <w:vAlign w:val="center"/>
          </w:tcPr>
          <w:p w14:paraId="01DCF7CD"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儿童和婴儿服装店</w:t>
            </w:r>
          </w:p>
        </w:tc>
      </w:tr>
      <w:tr w:rsidR="00A052DC" w14:paraId="5DDF71D7"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4AC0EBD6"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66244050"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5651</w:t>
            </w:r>
          </w:p>
        </w:tc>
        <w:tc>
          <w:tcPr>
            <w:tcW w:w="3969" w:type="dxa"/>
            <w:tcBorders>
              <w:top w:val="nil"/>
              <w:left w:val="nil"/>
              <w:bottom w:val="single" w:sz="8" w:space="0" w:color="auto"/>
              <w:right w:val="nil"/>
            </w:tcBorders>
            <w:shd w:val="clear" w:color="auto" w:fill="FFFFFF"/>
            <w:vAlign w:val="center"/>
          </w:tcPr>
          <w:p w14:paraId="17C43985"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家庭服装店</w:t>
            </w:r>
          </w:p>
        </w:tc>
      </w:tr>
      <w:tr w:rsidR="00A052DC" w14:paraId="3F458BA3"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601F2CBB"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2703E3CB"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5655</w:t>
            </w:r>
          </w:p>
        </w:tc>
        <w:tc>
          <w:tcPr>
            <w:tcW w:w="3969" w:type="dxa"/>
            <w:tcBorders>
              <w:top w:val="nil"/>
              <w:left w:val="nil"/>
              <w:bottom w:val="single" w:sz="8" w:space="0" w:color="auto"/>
              <w:right w:val="nil"/>
            </w:tcBorders>
            <w:shd w:val="clear" w:color="auto" w:fill="FFFFFF"/>
            <w:vAlign w:val="center"/>
          </w:tcPr>
          <w:p w14:paraId="5B469EC3"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运动服、骑服店</w:t>
            </w:r>
          </w:p>
        </w:tc>
      </w:tr>
      <w:tr w:rsidR="00A052DC" w14:paraId="054EAF1D"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6A0ABC29"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38E169D4"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5661</w:t>
            </w:r>
          </w:p>
        </w:tc>
        <w:tc>
          <w:tcPr>
            <w:tcW w:w="3969" w:type="dxa"/>
            <w:tcBorders>
              <w:top w:val="nil"/>
              <w:left w:val="nil"/>
              <w:bottom w:val="single" w:sz="8" w:space="0" w:color="auto"/>
              <w:right w:val="nil"/>
            </w:tcBorders>
            <w:shd w:val="clear" w:color="auto" w:fill="FFFFFF"/>
            <w:vAlign w:val="center"/>
          </w:tcPr>
          <w:p w14:paraId="3AA5CA4D"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鞋店</w:t>
            </w:r>
          </w:p>
        </w:tc>
      </w:tr>
      <w:tr w:rsidR="00A052DC" w14:paraId="70DB94B4"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36A0956C"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49911851"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5681</w:t>
            </w:r>
          </w:p>
        </w:tc>
        <w:tc>
          <w:tcPr>
            <w:tcW w:w="3969" w:type="dxa"/>
            <w:tcBorders>
              <w:top w:val="nil"/>
              <w:left w:val="nil"/>
              <w:bottom w:val="single" w:sz="8" w:space="0" w:color="auto"/>
              <w:right w:val="nil"/>
            </w:tcBorders>
            <w:shd w:val="clear" w:color="auto" w:fill="FFFFFF"/>
            <w:vAlign w:val="center"/>
          </w:tcPr>
          <w:p w14:paraId="5E5EAB39"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毛皮商和毛皮店</w:t>
            </w:r>
          </w:p>
        </w:tc>
      </w:tr>
      <w:tr w:rsidR="00A052DC" w14:paraId="491F1963"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32E4A5EB"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08BDEAD6"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5691</w:t>
            </w:r>
          </w:p>
        </w:tc>
        <w:tc>
          <w:tcPr>
            <w:tcW w:w="3969" w:type="dxa"/>
            <w:tcBorders>
              <w:top w:val="nil"/>
              <w:left w:val="nil"/>
              <w:bottom w:val="single" w:sz="8" w:space="0" w:color="auto"/>
              <w:right w:val="nil"/>
            </w:tcBorders>
            <w:shd w:val="clear" w:color="auto" w:fill="FFFFFF"/>
            <w:vAlign w:val="center"/>
          </w:tcPr>
          <w:p w14:paraId="78E6CBA3"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男式和女式服装店</w:t>
            </w:r>
          </w:p>
        </w:tc>
      </w:tr>
      <w:tr w:rsidR="00A052DC" w14:paraId="183D3F89"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491DB777"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14143B88"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5698</w:t>
            </w:r>
          </w:p>
        </w:tc>
        <w:tc>
          <w:tcPr>
            <w:tcW w:w="3969" w:type="dxa"/>
            <w:tcBorders>
              <w:top w:val="nil"/>
              <w:left w:val="nil"/>
              <w:bottom w:val="single" w:sz="8" w:space="0" w:color="auto"/>
              <w:right w:val="nil"/>
            </w:tcBorders>
            <w:shd w:val="clear" w:color="auto" w:fill="FFFFFF"/>
            <w:vAlign w:val="center"/>
          </w:tcPr>
          <w:p w14:paraId="673C8813"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假发与男子假发店</w:t>
            </w:r>
          </w:p>
        </w:tc>
      </w:tr>
      <w:tr w:rsidR="00A052DC" w14:paraId="3D36B37E"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00BB1D33"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255BEA5F"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5699</w:t>
            </w:r>
          </w:p>
        </w:tc>
        <w:tc>
          <w:tcPr>
            <w:tcW w:w="3969" w:type="dxa"/>
            <w:tcBorders>
              <w:top w:val="nil"/>
              <w:left w:val="nil"/>
              <w:bottom w:val="single" w:sz="8" w:space="0" w:color="auto"/>
              <w:right w:val="nil"/>
            </w:tcBorders>
            <w:shd w:val="clear" w:color="auto" w:fill="FFFFFF"/>
            <w:vAlign w:val="center"/>
          </w:tcPr>
          <w:p w14:paraId="523B04DF"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搭配物和服装店——各式各样的</w:t>
            </w:r>
          </w:p>
        </w:tc>
      </w:tr>
      <w:tr w:rsidR="00A052DC" w14:paraId="7B117F8F" w14:textId="77777777">
        <w:trPr>
          <w:trHeight w:val="636"/>
        </w:trPr>
        <w:tc>
          <w:tcPr>
            <w:tcW w:w="1855" w:type="dxa"/>
            <w:tcBorders>
              <w:top w:val="single" w:sz="4" w:space="0" w:color="auto"/>
              <w:bottom w:val="single" w:sz="4" w:space="0" w:color="auto"/>
              <w:right w:val="single" w:sz="4" w:space="0" w:color="auto"/>
            </w:tcBorders>
            <w:shd w:val="clear" w:color="auto" w:fill="auto"/>
            <w:noWrap/>
            <w:vAlign w:val="center"/>
          </w:tcPr>
          <w:p w14:paraId="7690CE13"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2C3E9EEC"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5712</w:t>
            </w:r>
          </w:p>
        </w:tc>
        <w:tc>
          <w:tcPr>
            <w:tcW w:w="3969" w:type="dxa"/>
            <w:tcBorders>
              <w:top w:val="nil"/>
              <w:left w:val="nil"/>
              <w:bottom w:val="single" w:sz="8" w:space="0" w:color="auto"/>
              <w:right w:val="nil"/>
            </w:tcBorders>
            <w:shd w:val="clear" w:color="auto" w:fill="FFFFFF"/>
            <w:vAlign w:val="center"/>
          </w:tcPr>
          <w:p w14:paraId="79638C7D"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家具、家用装饰品、设备店及制造商（不包括电器）</w:t>
            </w:r>
          </w:p>
        </w:tc>
      </w:tr>
      <w:tr w:rsidR="00A052DC" w14:paraId="4D023DB9"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69577D5E"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5C71790E"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5713</w:t>
            </w:r>
          </w:p>
        </w:tc>
        <w:tc>
          <w:tcPr>
            <w:tcW w:w="3969" w:type="dxa"/>
            <w:tcBorders>
              <w:top w:val="nil"/>
              <w:left w:val="nil"/>
              <w:bottom w:val="single" w:sz="8" w:space="0" w:color="auto"/>
              <w:right w:val="nil"/>
            </w:tcBorders>
            <w:shd w:val="clear" w:color="auto" w:fill="FFFFFF"/>
            <w:vAlign w:val="center"/>
          </w:tcPr>
          <w:p w14:paraId="083DFC3C"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地板覆盖物商店</w:t>
            </w:r>
          </w:p>
        </w:tc>
      </w:tr>
      <w:tr w:rsidR="00A052DC" w14:paraId="69548B0F"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6A06B753"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1EB3D22E"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5714</w:t>
            </w:r>
          </w:p>
        </w:tc>
        <w:tc>
          <w:tcPr>
            <w:tcW w:w="3969" w:type="dxa"/>
            <w:tcBorders>
              <w:top w:val="nil"/>
              <w:left w:val="nil"/>
              <w:bottom w:val="single" w:sz="8" w:space="0" w:color="auto"/>
              <w:right w:val="nil"/>
            </w:tcBorders>
            <w:shd w:val="clear" w:color="auto" w:fill="FFFFFF"/>
            <w:vAlign w:val="center"/>
          </w:tcPr>
          <w:p w14:paraId="7392FF2E"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帏帐、窗户覆盖物、室内装潢商店</w:t>
            </w:r>
          </w:p>
        </w:tc>
      </w:tr>
      <w:tr w:rsidR="00A052DC" w14:paraId="1CF61071"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6B67A852"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02B144E2"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5715</w:t>
            </w:r>
          </w:p>
        </w:tc>
        <w:tc>
          <w:tcPr>
            <w:tcW w:w="3969" w:type="dxa"/>
            <w:tcBorders>
              <w:top w:val="nil"/>
              <w:left w:val="nil"/>
              <w:bottom w:val="single" w:sz="8" w:space="0" w:color="auto"/>
              <w:right w:val="nil"/>
            </w:tcBorders>
            <w:shd w:val="clear" w:color="auto" w:fill="FFFFFF"/>
            <w:vAlign w:val="center"/>
          </w:tcPr>
          <w:p w14:paraId="65AC4593"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酒精饮料批发商</w:t>
            </w:r>
          </w:p>
        </w:tc>
      </w:tr>
      <w:tr w:rsidR="00A052DC" w14:paraId="540D3D45"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26E18915"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3554AFCA"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5718</w:t>
            </w:r>
          </w:p>
        </w:tc>
        <w:tc>
          <w:tcPr>
            <w:tcW w:w="3969" w:type="dxa"/>
            <w:tcBorders>
              <w:top w:val="nil"/>
              <w:left w:val="nil"/>
              <w:bottom w:val="single" w:sz="8" w:space="0" w:color="auto"/>
              <w:right w:val="nil"/>
            </w:tcBorders>
            <w:shd w:val="clear" w:color="auto" w:fill="FFFFFF"/>
            <w:vAlign w:val="center"/>
          </w:tcPr>
          <w:p w14:paraId="0CE8A4F7"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火炉、火炉屏风、相关附属设备的商店</w:t>
            </w:r>
          </w:p>
        </w:tc>
      </w:tr>
      <w:tr w:rsidR="00A052DC" w14:paraId="40B48D56"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1AF459FC"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2B2CCAD3"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5719</w:t>
            </w:r>
          </w:p>
        </w:tc>
        <w:tc>
          <w:tcPr>
            <w:tcW w:w="3969" w:type="dxa"/>
            <w:tcBorders>
              <w:top w:val="nil"/>
              <w:left w:val="nil"/>
              <w:bottom w:val="single" w:sz="8" w:space="0" w:color="auto"/>
              <w:right w:val="nil"/>
            </w:tcBorders>
            <w:shd w:val="clear" w:color="auto" w:fill="FFFFFF"/>
            <w:vAlign w:val="center"/>
          </w:tcPr>
          <w:p w14:paraId="706DD5EB"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各式各样的家用设备店</w:t>
            </w:r>
          </w:p>
        </w:tc>
      </w:tr>
      <w:tr w:rsidR="00A052DC" w14:paraId="62162290"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699EE48C"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0FB2B391"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5722</w:t>
            </w:r>
          </w:p>
        </w:tc>
        <w:tc>
          <w:tcPr>
            <w:tcW w:w="3969" w:type="dxa"/>
            <w:tcBorders>
              <w:top w:val="nil"/>
              <w:left w:val="nil"/>
              <w:bottom w:val="single" w:sz="8" w:space="0" w:color="auto"/>
              <w:right w:val="nil"/>
            </w:tcBorders>
            <w:shd w:val="clear" w:color="auto" w:fill="FFFFFF"/>
            <w:vAlign w:val="center"/>
          </w:tcPr>
          <w:p w14:paraId="559F79F2"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家用器械店</w:t>
            </w:r>
          </w:p>
        </w:tc>
      </w:tr>
      <w:tr w:rsidR="00A052DC" w14:paraId="5D16C81F"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0638CC80"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4C0A0A57"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5732</w:t>
            </w:r>
          </w:p>
        </w:tc>
        <w:tc>
          <w:tcPr>
            <w:tcW w:w="3969" w:type="dxa"/>
            <w:tcBorders>
              <w:top w:val="nil"/>
              <w:left w:val="nil"/>
              <w:bottom w:val="single" w:sz="8" w:space="0" w:color="auto"/>
              <w:right w:val="nil"/>
            </w:tcBorders>
            <w:shd w:val="clear" w:color="auto" w:fill="FFFFFF"/>
            <w:vAlign w:val="center"/>
          </w:tcPr>
          <w:p w14:paraId="383B7C27"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电器店</w:t>
            </w:r>
          </w:p>
        </w:tc>
      </w:tr>
      <w:tr w:rsidR="00A052DC" w14:paraId="3669CF25"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4E0832F0"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2B970DAF"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5733</w:t>
            </w:r>
          </w:p>
        </w:tc>
        <w:tc>
          <w:tcPr>
            <w:tcW w:w="3969" w:type="dxa"/>
            <w:tcBorders>
              <w:top w:val="nil"/>
              <w:left w:val="nil"/>
              <w:bottom w:val="single" w:sz="8" w:space="0" w:color="auto"/>
              <w:right w:val="nil"/>
            </w:tcBorders>
            <w:shd w:val="clear" w:color="auto" w:fill="FFFFFF"/>
            <w:vAlign w:val="center"/>
          </w:tcPr>
          <w:p w14:paraId="5CF4CD03"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音乐商店——乐器、钢琴、活页乐谱</w:t>
            </w:r>
          </w:p>
        </w:tc>
      </w:tr>
      <w:tr w:rsidR="00A052DC" w14:paraId="4F592277"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143C9D3B"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74688B4A"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5734</w:t>
            </w:r>
          </w:p>
        </w:tc>
        <w:tc>
          <w:tcPr>
            <w:tcW w:w="3969" w:type="dxa"/>
            <w:tcBorders>
              <w:top w:val="nil"/>
              <w:left w:val="nil"/>
              <w:bottom w:val="single" w:sz="8" w:space="0" w:color="auto"/>
              <w:right w:val="nil"/>
            </w:tcBorders>
            <w:shd w:val="clear" w:color="auto" w:fill="FFFFFF"/>
            <w:vAlign w:val="center"/>
          </w:tcPr>
          <w:p w14:paraId="69B49230"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计算机软件店</w:t>
            </w:r>
          </w:p>
        </w:tc>
      </w:tr>
      <w:tr w:rsidR="00A052DC" w14:paraId="42924F9B"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298BFFB5"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7ADD7960"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5735</w:t>
            </w:r>
          </w:p>
        </w:tc>
        <w:tc>
          <w:tcPr>
            <w:tcW w:w="3969" w:type="dxa"/>
            <w:tcBorders>
              <w:top w:val="nil"/>
              <w:left w:val="nil"/>
              <w:bottom w:val="single" w:sz="8" w:space="0" w:color="auto"/>
              <w:right w:val="nil"/>
            </w:tcBorders>
            <w:shd w:val="clear" w:color="auto" w:fill="FFFFFF"/>
            <w:vAlign w:val="center"/>
          </w:tcPr>
          <w:p w14:paraId="1D8641AD"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音像店</w:t>
            </w:r>
          </w:p>
        </w:tc>
      </w:tr>
      <w:tr w:rsidR="00A052DC" w14:paraId="3D92217D"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0204CB46"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auto"/>
            <w:vAlign w:val="center"/>
          </w:tcPr>
          <w:p w14:paraId="0CF6E75E"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5921</w:t>
            </w:r>
          </w:p>
        </w:tc>
        <w:tc>
          <w:tcPr>
            <w:tcW w:w="3969" w:type="dxa"/>
            <w:tcBorders>
              <w:top w:val="nil"/>
              <w:left w:val="nil"/>
              <w:bottom w:val="single" w:sz="8" w:space="0" w:color="auto"/>
              <w:right w:val="nil"/>
            </w:tcBorders>
            <w:shd w:val="clear" w:color="auto" w:fill="auto"/>
            <w:vAlign w:val="center"/>
          </w:tcPr>
          <w:p w14:paraId="7716B7B2"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酒类零售店——啤酒、葡萄酒和酒精饮料</w:t>
            </w:r>
          </w:p>
        </w:tc>
      </w:tr>
      <w:tr w:rsidR="00A052DC" w14:paraId="6E91920E"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2A1B9074"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7E817606"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5931</w:t>
            </w:r>
          </w:p>
        </w:tc>
        <w:tc>
          <w:tcPr>
            <w:tcW w:w="3969" w:type="dxa"/>
            <w:tcBorders>
              <w:top w:val="nil"/>
              <w:left w:val="nil"/>
              <w:bottom w:val="single" w:sz="8" w:space="0" w:color="auto"/>
              <w:right w:val="nil"/>
            </w:tcBorders>
            <w:shd w:val="clear" w:color="auto" w:fill="FFFFFF"/>
            <w:vAlign w:val="center"/>
          </w:tcPr>
          <w:p w14:paraId="4799B3BF"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二手店</w:t>
            </w:r>
          </w:p>
        </w:tc>
      </w:tr>
      <w:tr w:rsidR="00A052DC" w14:paraId="2D7D8DDF"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619D23F6"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64797E64"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5932</w:t>
            </w:r>
          </w:p>
        </w:tc>
        <w:tc>
          <w:tcPr>
            <w:tcW w:w="3969" w:type="dxa"/>
            <w:tcBorders>
              <w:top w:val="nil"/>
              <w:left w:val="nil"/>
              <w:bottom w:val="single" w:sz="8" w:space="0" w:color="auto"/>
              <w:right w:val="nil"/>
            </w:tcBorders>
            <w:shd w:val="clear" w:color="auto" w:fill="FFFFFF"/>
            <w:vAlign w:val="center"/>
          </w:tcPr>
          <w:p w14:paraId="23F29CFE"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古董店——出售、修理、修复</w:t>
            </w:r>
          </w:p>
        </w:tc>
      </w:tr>
      <w:tr w:rsidR="00A052DC" w14:paraId="7C44FCEE"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44B8766F"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73A452AB"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5933</w:t>
            </w:r>
          </w:p>
        </w:tc>
        <w:tc>
          <w:tcPr>
            <w:tcW w:w="3969" w:type="dxa"/>
            <w:tcBorders>
              <w:top w:val="nil"/>
              <w:left w:val="nil"/>
              <w:bottom w:val="single" w:sz="8" w:space="0" w:color="auto"/>
              <w:right w:val="nil"/>
            </w:tcBorders>
            <w:shd w:val="clear" w:color="auto" w:fill="FFFFFF"/>
            <w:vAlign w:val="center"/>
          </w:tcPr>
          <w:p w14:paraId="02045BDE"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抵押店</w:t>
            </w:r>
          </w:p>
        </w:tc>
      </w:tr>
      <w:tr w:rsidR="00A052DC" w14:paraId="75D4DBD5"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7DA839E2"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39C19AF2"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5937</w:t>
            </w:r>
          </w:p>
        </w:tc>
        <w:tc>
          <w:tcPr>
            <w:tcW w:w="3969" w:type="dxa"/>
            <w:tcBorders>
              <w:top w:val="nil"/>
              <w:left w:val="nil"/>
              <w:bottom w:val="single" w:sz="4" w:space="0" w:color="auto"/>
              <w:right w:val="nil"/>
            </w:tcBorders>
            <w:shd w:val="clear" w:color="auto" w:fill="FFFFFF"/>
            <w:vAlign w:val="center"/>
          </w:tcPr>
          <w:p w14:paraId="53621BE4"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古文物复制店</w:t>
            </w:r>
          </w:p>
        </w:tc>
      </w:tr>
      <w:tr w:rsidR="00A052DC" w14:paraId="07E11E6C"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02026AB3"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single" w:sz="4" w:space="0" w:color="auto"/>
              <w:left w:val="nil"/>
              <w:bottom w:val="single" w:sz="4" w:space="0" w:color="auto"/>
              <w:right w:val="single" w:sz="4" w:space="0" w:color="auto"/>
            </w:tcBorders>
            <w:shd w:val="clear" w:color="auto" w:fill="FFFFFF"/>
            <w:vAlign w:val="center"/>
          </w:tcPr>
          <w:p w14:paraId="31C4134B"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5940</w:t>
            </w:r>
          </w:p>
        </w:tc>
        <w:tc>
          <w:tcPr>
            <w:tcW w:w="3969" w:type="dxa"/>
            <w:tcBorders>
              <w:top w:val="single" w:sz="4" w:space="0" w:color="auto"/>
              <w:left w:val="nil"/>
              <w:bottom w:val="single" w:sz="8" w:space="0" w:color="auto"/>
              <w:right w:val="nil"/>
            </w:tcBorders>
            <w:shd w:val="clear" w:color="auto" w:fill="FFFFFF"/>
            <w:vAlign w:val="center"/>
          </w:tcPr>
          <w:p w14:paraId="4A24FBEA"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自行车店——出售和服务</w:t>
            </w:r>
          </w:p>
        </w:tc>
      </w:tr>
      <w:tr w:rsidR="00A052DC" w14:paraId="3474095F"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6258C39D"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02554896"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5941</w:t>
            </w:r>
          </w:p>
        </w:tc>
        <w:tc>
          <w:tcPr>
            <w:tcW w:w="3969" w:type="dxa"/>
            <w:tcBorders>
              <w:top w:val="nil"/>
              <w:left w:val="nil"/>
              <w:bottom w:val="single" w:sz="8" w:space="0" w:color="auto"/>
              <w:right w:val="nil"/>
            </w:tcBorders>
            <w:shd w:val="clear" w:color="auto" w:fill="FFFFFF"/>
            <w:vAlign w:val="center"/>
          </w:tcPr>
          <w:p w14:paraId="1CCE6136"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运动品店</w:t>
            </w:r>
          </w:p>
        </w:tc>
      </w:tr>
      <w:tr w:rsidR="00A052DC" w14:paraId="56830DD0"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62984731"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06F02029"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5942</w:t>
            </w:r>
          </w:p>
        </w:tc>
        <w:tc>
          <w:tcPr>
            <w:tcW w:w="3969" w:type="dxa"/>
            <w:tcBorders>
              <w:top w:val="nil"/>
              <w:left w:val="nil"/>
              <w:bottom w:val="single" w:sz="8" w:space="0" w:color="auto"/>
              <w:right w:val="nil"/>
            </w:tcBorders>
            <w:shd w:val="clear" w:color="auto" w:fill="FFFFFF"/>
            <w:vAlign w:val="center"/>
          </w:tcPr>
          <w:p w14:paraId="450E73F3"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书店</w:t>
            </w:r>
          </w:p>
        </w:tc>
      </w:tr>
      <w:tr w:rsidR="00A052DC" w14:paraId="2C2A9D59"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7CB5CAE9"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6536517E"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5943</w:t>
            </w:r>
          </w:p>
        </w:tc>
        <w:tc>
          <w:tcPr>
            <w:tcW w:w="3969" w:type="dxa"/>
            <w:tcBorders>
              <w:top w:val="nil"/>
              <w:left w:val="nil"/>
              <w:bottom w:val="single" w:sz="8" w:space="0" w:color="auto"/>
              <w:right w:val="nil"/>
            </w:tcBorders>
            <w:shd w:val="clear" w:color="auto" w:fill="FFFFFF"/>
            <w:vAlign w:val="center"/>
          </w:tcPr>
          <w:p w14:paraId="6FE12A8F"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文具、办公室和学校用品店</w:t>
            </w:r>
          </w:p>
        </w:tc>
      </w:tr>
      <w:tr w:rsidR="00A052DC" w14:paraId="1CC065AA"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79E31A4C"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1874D3F1"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5944</w:t>
            </w:r>
          </w:p>
        </w:tc>
        <w:tc>
          <w:tcPr>
            <w:tcW w:w="3969" w:type="dxa"/>
            <w:tcBorders>
              <w:top w:val="nil"/>
              <w:left w:val="nil"/>
              <w:bottom w:val="single" w:sz="8" w:space="0" w:color="auto"/>
              <w:right w:val="nil"/>
            </w:tcBorders>
            <w:shd w:val="clear" w:color="auto" w:fill="FFFFFF"/>
            <w:vAlign w:val="center"/>
          </w:tcPr>
          <w:p w14:paraId="54F3819E"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珠宝、钟表、银器店</w:t>
            </w:r>
          </w:p>
        </w:tc>
      </w:tr>
      <w:tr w:rsidR="00A052DC" w14:paraId="5DCAAB82"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1C08E761"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1CA125B2"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5945</w:t>
            </w:r>
          </w:p>
        </w:tc>
        <w:tc>
          <w:tcPr>
            <w:tcW w:w="3969" w:type="dxa"/>
            <w:tcBorders>
              <w:top w:val="nil"/>
              <w:left w:val="nil"/>
              <w:bottom w:val="single" w:sz="8" w:space="0" w:color="auto"/>
              <w:right w:val="nil"/>
            </w:tcBorders>
            <w:shd w:val="clear" w:color="auto" w:fill="FFFFFF"/>
            <w:vAlign w:val="center"/>
          </w:tcPr>
          <w:p w14:paraId="6D2FCCA4"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业余爱好、玩具、游戏店</w:t>
            </w:r>
          </w:p>
        </w:tc>
      </w:tr>
      <w:tr w:rsidR="00A052DC" w14:paraId="694FF55A"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432284DA"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1E4F64E2"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5946</w:t>
            </w:r>
          </w:p>
        </w:tc>
        <w:tc>
          <w:tcPr>
            <w:tcW w:w="3969" w:type="dxa"/>
            <w:tcBorders>
              <w:top w:val="nil"/>
              <w:left w:val="nil"/>
              <w:bottom w:val="single" w:sz="8" w:space="0" w:color="auto"/>
              <w:right w:val="nil"/>
            </w:tcBorders>
            <w:shd w:val="clear" w:color="auto" w:fill="FFFFFF"/>
            <w:vAlign w:val="center"/>
          </w:tcPr>
          <w:p w14:paraId="66DDE2BA"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相机和照相用品店</w:t>
            </w:r>
          </w:p>
        </w:tc>
      </w:tr>
      <w:tr w:rsidR="00A052DC" w14:paraId="6CCC4093"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3B845A3B"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5F866FC9"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5947</w:t>
            </w:r>
          </w:p>
        </w:tc>
        <w:tc>
          <w:tcPr>
            <w:tcW w:w="3969" w:type="dxa"/>
            <w:tcBorders>
              <w:top w:val="nil"/>
              <w:left w:val="nil"/>
              <w:bottom w:val="single" w:sz="8" w:space="0" w:color="auto"/>
              <w:right w:val="nil"/>
            </w:tcBorders>
            <w:shd w:val="clear" w:color="auto" w:fill="FFFFFF"/>
            <w:vAlign w:val="center"/>
          </w:tcPr>
          <w:p w14:paraId="437B5081"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礼品、卡片、新奇品、纪念品店</w:t>
            </w:r>
          </w:p>
        </w:tc>
      </w:tr>
      <w:tr w:rsidR="00A052DC" w14:paraId="44CC3DA3"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72D62DD4"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1DA9038C"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5948</w:t>
            </w:r>
          </w:p>
        </w:tc>
        <w:tc>
          <w:tcPr>
            <w:tcW w:w="3969" w:type="dxa"/>
            <w:tcBorders>
              <w:top w:val="nil"/>
              <w:left w:val="nil"/>
              <w:bottom w:val="single" w:sz="8" w:space="0" w:color="auto"/>
              <w:right w:val="nil"/>
            </w:tcBorders>
            <w:shd w:val="clear" w:color="auto" w:fill="FFFFFF"/>
            <w:vAlign w:val="center"/>
          </w:tcPr>
          <w:p w14:paraId="77F9CA21"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行李箱和皮革制品商店</w:t>
            </w:r>
          </w:p>
        </w:tc>
      </w:tr>
      <w:tr w:rsidR="00A052DC" w14:paraId="73202809"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6A65748C"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513512FF"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5949</w:t>
            </w:r>
          </w:p>
        </w:tc>
        <w:tc>
          <w:tcPr>
            <w:tcW w:w="3969" w:type="dxa"/>
            <w:tcBorders>
              <w:top w:val="nil"/>
              <w:left w:val="nil"/>
              <w:bottom w:val="single" w:sz="8" w:space="0" w:color="auto"/>
              <w:right w:val="nil"/>
            </w:tcBorders>
            <w:shd w:val="clear" w:color="auto" w:fill="FFFFFF"/>
            <w:vAlign w:val="center"/>
          </w:tcPr>
          <w:p w14:paraId="7C26AF4D"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缝纫、刺绣、纺织物、布匹店</w:t>
            </w:r>
          </w:p>
        </w:tc>
      </w:tr>
      <w:tr w:rsidR="00A052DC" w14:paraId="2CC9A1D5"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33ACE645"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0B0AA86E"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5950</w:t>
            </w:r>
          </w:p>
        </w:tc>
        <w:tc>
          <w:tcPr>
            <w:tcW w:w="3969" w:type="dxa"/>
            <w:tcBorders>
              <w:top w:val="nil"/>
              <w:left w:val="nil"/>
              <w:bottom w:val="single" w:sz="8" w:space="0" w:color="auto"/>
              <w:right w:val="nil"/>
            </w:tcBorders>
            <w:shd w:val="clear" w:color="auto" w:fill="FFFFFF"/>
            <w:vAlign w:val="center"/>
          </w:tcPr>
          <w:p w14:paraId="32EC42C1"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玻璃和水晶器皿店</w:t>
            </w:r>
          </w:p>
        </w:tc>
      </w:tr>
      <w:tr w:rsidR="00A052DC" w14:paraId="4D32FE90"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4E52394D"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436D1F68"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5970</w:t>
            </w:r>
          </w:p>
        </w:tc>
        <w:tc>
          <w:tcPr>
            <w:tcW w:w="3969" w:type="dxa"/>
            <w:tcBorders>
              <w:top w:val="nil"/>
              <w:left w:val="nil"/>
              <w:bottom w:val="single" w:sz="8" w:space="0" w:color="auto"/>
              <w:right w:val="nil"/>
            </w:tcBorders>
            <w:shd w:val="clear" w:color="auto" w:fill="FFFFFF"/>
            <w:vAlign w:val="center"/>
          </w:tcPr>
          <w:p w14:paraId="4C5AA9DA"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艺术品商店，手工艺品商店</w:t>
            </w:r>
          </w:p>
        </w:tc>
      </w:tr>
      <w:tr w:rsidR="00A052DC" w14:paraId="58D58226"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385CC982"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5AAB48FB"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5971</w:t>
            </w:r>
          </w:p>
        </w:tc>
        <w:tc>
          <w:tcPr>
            <w:tcW w:w="3969" w:type="dxa"/>
            <w:tcBorders>
              <w:top w:val="nil"/>
              <w:left w:val="nil"/>
              <w:bottom w:val="single" w:sz="8" w:space="0" w:color="auto"/>
              <w:right w:val="nil"/>
            </w:tcBorders>
            <w:shd w:val="clear" w:color="auto" w:fill="FFFFFF"/>
            <w:vAlign w:val="center"/>
          </w:tcPr>
          <w:p w14:paraId="781BAD55"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艺术品交易商和画廊</w:t>
            </w:r>
          </w:p>
        </w:tc>
      </w:tr>
      <w:tr w:rsidR="00A052DC" w14:paraId="7B62D0E4"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11EED7C8"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12D8BD52"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5972</w:t>
            </w:r>
          </w:p>
        </w:tc>
        <w:tc>
          <w:tcPr>
            <w:tcW w:w="3969" w:type="dxa"/>
            <w:tcBorders>
              <w:top w:val="nil"/>
              <w:left w:val="nil"/>
              <w:bottom w:val="single" w:sz="8" w:space="0" w:color="auto"/>
              <w:right w:val="nil"/>
            </w:tcBorders>
            <w:shd w:val="clear" w:color="auto" w:fill="FFFFFF"/>
            <w:vAlign w:val="center"/>
          </w:tcPr>
          <w:p w14:paraId="1FE3A5F8"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邮票和硬币商店</w:t>
            </w:r>
          </w:p>
        </w:tc>
      </w:tr>
      <w:tr w:rsidR="00A052DC" w14:paraId="241C303A"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18F4A4B4"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7C5F5A30"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5973</w:t>
            </w:r>
          </w:p>
        </w:tc>
        <w:tc>
          <w:tcPr>
            <w:tcW w:w="3969" w:type="dxa"/>
            <w:tcBorders>
              <w:top w:val="nil"/>
              <w:left w:val="nil"/>
              <w:bottom w:val="single" w:sz="8" w:space="0" w:color="auto"/>
              <w:right w:val="nil"/>
            </w:tcBorders>
            <w:shd w:val="clear" w:color="auto" w:fill="FFFFFF"/>
            <w:vAlign w:val="center"/>
          </w:tcPr>
          <w:p w14:paraId="7113EA9B"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宗教品商店</w:t>
            </w:r>
          </w:p>
        </w:tc>
      </w:tr>
      <w:tr w:rsidR="00A052DC" w14:paraId="55DCC255"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6872D48B"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1850D089"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5974</w:t>
            </w:r>
          </w:p>
        </w:tc>
        <w:tc>
          <w:tcPr>
            <w:tcW w:w="3969" w:type="dxa"/>
            <w:tcBorders>
              <w:top w:val="nil"/>
              <w:left w:val="nil"/>
              <w:bottom w:val="single" w:sz="8" w:space="0" w:color="auto"/>
              <w:right w:val="nil"/>
            </w:tcBorders>
            <w:shd w:val="clear" w:color="auto" w:fill="FFFFFF"/>
            <w:vAlign w:val="center"/>
          </w:tcPr>
          <w:p w14:paraId="6F5CCACB"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杂货店</w:t>
            </w:r>
          </w:p>
        </w:tc>
      </w:tr>
      <w:tr w:rsidR="00A052DC" w14:paraId="0CF2D0E5"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111828FF"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66E98A9D"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5975</w:t>
            </w:r>
          </w:p>
        </w:tc>
        <w:tc>
          <w:tcPr>
            <w:tcW w:w="3969" w:type="dxa"/>
            <w:tcBorders>
              <w:top w:val="nil"/>
              <w:left w:val="nil"/>
              <w:bottom w:val="single" w:sz="8" w:space="0" w:color="auto"/>
              <w:right w:val="nil"/>
            </w:tcBorders>
            <w:shd w:val="clear" w:color="auto" w:fill="FFFFFF"/>
            <w:vAlign w:val="center"/>
          </w:tcPr>
          <w:p w14:paraId="287789EB"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助听器—销售、服务、供给店</w:t>
            </w:r>
          </w:p>
        </w:tc>
      </w:tr>
      <w:tr w:rsidR="00A052DC" w14:paraId="01E92F97"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5A449078"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13673D0A"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5976</w:t>
            </w:r>
          </w:p>
        </w:tc>
        <w:tc>
          <w:tcPr>
            <w:tcW w:w="3969" w:type="dxa"/>
            <w:tcBorders>
              <w:top w:val="nil"/>
              <w:left w:val="nil"/>
              <w:bottom w:val="single" w:sz="8" w:space="0" w:color="auto"/>
              <w:right w:val="nil"/>
            </w:tcBorders>
            <w:shd w:val="clear" w:color="auto" w:fill="FFFFFF"/>
            <w:vAlign w:val="center"/>
          </w:tcPr>
          <w:p w14:paraId="7A9D5C41"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整形外科商品和医用修复设备</w:t>
            </w:r>
          </w:p>
        </w:tc>
      </w:tr>
      <w:tr w:rsidR="00A052DC" w14:paraId="3BF5C909"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69D35EA3"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6CE2888D"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5977</w:t>
            </w:r>
          </w:p>
        </w:tc>
        <w:tc>
          <w:tcPr>
            <w:tcW w:w="3969" w:type="dxa"/>
            <w:tcBorders>
              <w:top w:val="nil"/>
              <w:left w:val="nil"/>
              <w:bottom w:val="single" w:sz="8" w:space="0" w:color="auto"/>
              <w:right w:val="nil"/>
            </w:tcBorders>
            <w:shd w:val="clear" w:color="auto" w:fill="FFFFFF"/>
            <w:vAlign w:val="center"/>
          </w:tcPr>
          <w:p w14:paraId="499D8B4C"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化妆品商店</w:t>
            </w:r>
          </w:p>
        </w:tc>
      </w:tr>
      <w:tr w:rsidR="00A052DC" w14:paraId="5C32C393"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5F2E43B9"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0CE8E7CD"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5978</w:t>
            </w:r>
          </w:p>
        </w:tc>
        <w:tc>
          <w:tcPr>
            <w:tcW w:w="3969" w:type="dxa"/>
            <w:tcBorders>
              <w:top w:val="nil"/>
              <w:left w:val="nil"/>
              <w:bottom w:val="single" w:sz="8" w:space="0" w:color="auto"/>
              <w:right w:val="nil"/>
            </w:tcBorders>
            <w:shd w:val="clear" w:color="auto" w:fill="FFFFFF"/>
            <w:vAlign w:val="center"/>
          </w:tcPr>
          <w:p w14:paraId="5E1163E9"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打字机商店—销售、服务和租赁</w:t>
            </w:r>
          </w:p>
        </w:tc>
      </w:tr>
      <w:tr w:rsidR="00A052DC" w14:paraId="68891EC8"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2285C7C1"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014CF96E"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5983</w:t>
            </w:r>
          </w:p>
        </w:tc>
        <w:tc>
          <w:tcPr>
            <w:tcW w:w="3969" w:type="dxa"/>
            <w:tcBorders>
              <w:top w:val="nil"/>
              <w:left w:val="nil"/>
              <w:bottom w:val="single" w:sz="8" w:space="0" w:color="auto"/>
              <w:right w:val="nil"/>
            </w:tcBorders>
            <w:shd w:val="clear" w:color="auto" w:fill="FFFFFF"/>
            <w:vAlign w:val="center"/>
          </w:tcPr>
          <w:p w14:paraId="01099AED"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燃料交易商—燃油、木材、煤炭和液化石油</w:t>
            </w:r>
          </w:p>
        </w:tc>
      </w:tr>
      <w:tr w:rsidR="00A052DC" w14:paraId="646A4EF3"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6F6EDC32"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0B024D39"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5992</w:t>
            </w:r>
          </w:p>
        </w:tc>
        <w:tc>
          <w:tcPr>
            <w:tcW w:w="3969" w:type="dxa"/>
            <w:tcBorders>
              <w:top w:val="nil"/>
              <w:left w:val="nil"/>
              <w:bottom w:val="single" w:sz="8" w:space="0" w:color="auto"/>
              <w:right w:val="nil"/>
            </w:tcBorders>
            <w:shd w:val="clear" w:color="auto" w:fill="FFFFFF"/>
            <w:vAlign w:val="center"/>
          </w:tcPr>
          <w:p w14:paraId="72593C46"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种花者</w:t>
            </w:r>
          </w:p>
        </w:tc>
      </w:tr>
      <w:tr w:rsidR="00A052DC" w14:paraId="712EF58F"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5D63B47D"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5510150C"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5993</w:t>
            </w:r>
          </w:p>
        </w:tc>
        <w:tc>
          <w:tcPr>
            <w:tcW w:w="3969" w:type="dxa"/>
            <w:tcBorders>
              <w:top w:val="nil"/>
              <w:left w:val="nil"/>
              <w:bottom w:val="single" w:sz="8" w:space="0" w:color="auto"/>
              <w:right w:val="nil"/>
            </w:tcBorders>
            <w:shd w:val="clear" w:color="auto" w:fill="FFFFFF"/>
            <w:vAlign w:val="center"/>
          </w:tcPr>
          <w:p w14:paraId="65044DF1"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雪茄店</w:t>
            </w:r>
          </w:p>
        </w:tc>
      </w:tr>
      <w:tr w:rsidR="00A052DC" w14:paraId="407F42B1"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318F5514"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62BFA9EB"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5994</w:t>
            </w:r>
          </w:p>
        </w:tc>
        <w:tc>
          <w:tcPr>
            <w:tcW w:w="3969" w:type="dxa"/>
            <w:tcBorders>
              <w:top w:val="nil"/>
              <w:left w:val="nil"/>
              <w:bottom w:val="single" w:sz="8" w:space="0" w:color="auto"/>
              <w:right w:val="nil"/>
            </w:tcBorders>
            <w:shd w:val="clear" w:color="auto" w:fill="FFFFFF"/>
            <w:vAlign w:val="center"/>
          </w:tcPr>
          <w:p w14:paraId="6DE68B6A"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报纸交易商及报摊</w:t>
            </w:r>
          </w:p>
        </w:tc>
      </w:tr>
      <w:tr w:rsidR="00A052DC" w14:paraId="759353B8"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6D2E4A67"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23E943E9"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5995</w:t>
            </w:r>
          </w:p>
        </w:tc>
        <w:tc>
          <w:tcPr>
            <w:tcW w:w="3969" w:type="dxa"/>
            <w:tcBorders>
              <w:top w:val="nil"/>
              <w:left w:val="nil"/>
              <w:bottom w:val="single" w:sz="8" w:space="0" w:color="auto"/>
              <w:right w:val="nil"/>
            </w:tcBorders>
            <w:shd w:val="clear" w:color="auto" w:fill="FFFFFF"/>
            <w:vAlign w:val="center"/>
          </w:tcPr>
          <w:p w14:paraId="46DF0A1A"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宠物商店，宠物食品和日用品</w:t>
            </w:r>
          </w:p>
        </w:tc>
      </w:tr>
      <w:tr w:rsidR="00A052DC" w14:paraId="4DF93E66"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2FFFB69A"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000CF60F"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5996</w:t>
            </w:r>
          </w:p>
        </w:tc>
        <w:tc>
          <w:tcPr>
            <w:tcW w:w="3969" w:type="dxa"/>
            <w:tcBorders>
              <w:top w:val="nil"/>
              <w:left w:val="nil"/>
              <w:bottom w:val="single" w:sz="8" w:space="0" w:color="auto"/>
              <w:right w:val="nil"/>
            </w:tcBorders>
            <w:shd w:val="clear" w:color="auto" w:fill="FFFFFF"/>
            <w:vAlign w:val="center"/>
          </w:tcPr>
          <w:p w14:paraId="0C485533"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游泳池—销售、常用品和服务</w:t>
            </w:r>
          </w:p>
        </w:tc>
      </w:tr>
      <w:tr w:rsidR="00A052DC" w14:paraId="0220104F"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6DDBB160"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2030B433"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5997</w:t>
            </w:r>
          </w:p>
        </w:tc>
        <w:tc>
          <w:tcPr>
            <w:tcW w:w="3969" w:type="dxa"/>
            <w:tcBorders>
              <w:top w:val="nil"/>
              <w:left w:val="nil"/>
              <w:bottom w:val="single" w:sz="8" w:space="0" w:color="auto"/>
              <w:right w:val="nil"/>
            </w:tcBorders>
            <w:shd w:val="clear" w:color="auto" w:fill="FFFFFF"/>
            <w:vAlign w:val="center"/>
          </w:tcPr>
          <w:p w14:paraId="077DD9FA"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电动剃须刀商店—销售和服务</w:t>
            </w:r>
          </w:p>
        </w:tc>
      </w:tr>
      <w:tr w:rsidR="00A052DC" w14:paraId="4FBCC0CE"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231E5AED"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5E9300BA"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5998</w:t>
            </w:r>
          </w:p>
        </w:tc>
        <w:tc>
          <w:tcPr>
            <w:tcW w:w="3969" w:type="dxa"/>
            <w:tcBorders>
              <w:top w:val="nil"/>
              <w:left w:val="nil"/>
              <w:bottom w:val="single" w:sz="8" w:space="0" w:color="auto"/>
              <w:right w:val="nil"/>
            </w:tcBorders>
            <w:shd w:val="clear" w:color="auto" w:fill="FFFFFF"/>
            <w:vAlign w:val="center"/>
          </w:tcPr>
          <w:p w14:paraId="488FCD1E"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帐篷和雨蓬商店</w:t>
            </w:r>
          </w:p>
        </w:tc>
      </w:tr>
      <w:tr w:rsidR="00A052DC" w14:paraId="2600739C"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173D6E90"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2AC747FB"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5999</w:t>
            </w:r>
          </w:p>
        </w:tc>
        <w:tc>
          <w:tcPr>
            <w:tcW w:w="3969" w:type="dxa"/>
            <w:tcBorders>
              <w:top w:val="nil"/>
              <w:left w:val="nil"/>
              <w:bottom w:val="single" w:sz="8" w:space="0" w:color="auto"/>
              <w:right w:val="nil"/>
            </w:tcBorders>
            <w:shd w:val="clear" w:color="auto" w:fill="FFFFFF"/>
            <w:vAlign w:val="center"/>
          </w:tcPr>
          <w:p w14:paraId="3A212E78"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综合及专业零售店</w:t>
            </w:r>
          </w:p>
        </w:tc>
      </w:tr>
      <w:tr w:rsidR="00A052DC" w14:paraId="307725DA"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7A5FDC1E"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4A8C70CC"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7829</w:t>
            </w:r>
          </w:p>
        </w:tc>
        <w:tc>
          <w:tcPr>
            <w:tcW w:w="3969" w:type="dxa"/>
            <w:tcBorders>
              <w:top w:val="nil"/>
              <w:left w:val="nil"/>
              <w:bottom w:val="single" w:sz="8" w:space="0" w:color="auto"/>
              <w:right w:val="nil"/>
            </w:tcBorders>
            <w:shd w:val="clear" w:color="auto" w:fill="FFFFFF"/>
          </w:tcPr>
          <w:p w14:paraId="08D00C5E"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动画片、音像制品的生产与发行</w:t>
            </w:r>
          </w:p>
        </w:tc>
      </w:tr>
      <w:tr w:rsidR="00A052DC" w14:paraId="399FEC6E"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65F3DC68"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575B752B"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7993</w:t>
            </w:r>
          </w:p>
        </w:tc>
        <w:tc>
          <w:tcPr>
            <w:tcW w:w="3969" w:type="dxa"/>
            <w:tcBorders>
              <w:top w:val="nil"/>
              <w:left w:val="nil"/>
              <w:bottom w:val="single" w:sz="8" w:space="0" w:color="auto"/>
              <w:right w:val="nil"/>
            </w:tcBorders>
            <w:shd w:val="clear" w:color="auto" w:fill="FFFFFF"/>
          </w:tcPr>
          <w:p w14:paraId="6AAAE855"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视频娱乐游戏设备</w:t>
            </w:r>
          </w:p>
        </w:tc>
      </w:tr>
      <w:tr w:rsidR="00A052DC" w14:paraId="2E6F1F72"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473E12D9"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3365F556"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9405</w:t>
            </w:r>
          </w:p>
        </w:tc>
        <w:tc>
          <w:tcPr>
            <w:tcW w:w="3969" w:type="dxa"/>
            <w:tcBorders>
              <w:top w:val="nil"/>
              <w:left w:val="nil"/>
              <w:bottom w:val="single" w:sz="8" w:space="0" w:color="auto"/>
              <w:right w:val="nil"/>
            </w:tcBorders>
            <w:shd w:val="clear" w:color="auto" w:fill="FFFFFF"/>
            <w:vAlign w:val="center"/>
          </w:tcPr>
          <w:p w14:paraId="6981AA4C"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政府内部购买</w:t>
            </w:r>
          </w:p>
        </w:tc>
      </w:tr>
      <w:tr w:rsidR="00A052DC" w14:paraId="2FE15B26"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78161939"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02D2A47C"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9751</w:t>
            </w:r>
          </w:p>
        </w:tc>
        <w:tc>
          <w:tcPr>
            <w:tcW w:w="3969" w:type="dxa"/>
            <w:tcBorders>
              <w:top w:val="nil"/>
              <w:left w:val="nil"/>
              <w:bottom w:val="single" w:sz="8" w:space="0" w:color="auto"/>
              <w:right w:val="nil"/>
            </w:tcBorders>
            <w:shd w:val="clear" w:color="auto" w:fill="FFFFFF"/>
            <w:vAlign w:val="center"/>
          </w:tcPr>
          <w:p w14:paraId="65FCD76D"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英国超市，电子文档</w:t>
            </w:r>
          </w:p>
        </w:tc>
      </w:tr>
      <w:tr w:rsidR="00A052DC" w14:paraId="1CD7CD8B"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73729685"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0E0564BB"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9752</w:t>
            </w:r>
          </w:p>
        </w:tc>
        <w:tc>
          <w:tcPr>
            <w:tcW w:w="3969" w:type="dxa"/>
            <w:tcBorders>
              <w:top w:val="nil"/>
              <w:left w:val="nil"/>
              <w:bottom w:val="single" w:sz="8" w:space="0" w:color="auto"/>
              <w:right w:val="nil"/>
            </w:tcBorders>
            <w:shd w:val="clear" w:color="auto" w:fill="FFFFFF"/>
            <w:vAlign w:val="center"/>
          </w:tcPr>
          <w:p w14:paraId="7FF60982"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英国汽油站，电子文档</w:t>
            </w:r>
          </w:p>
        </w:tc>
      </w:tr>
      <w:tr w:rsidR="00A052DC" w14:paraId="1E30847C"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1DF51727"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5E85FBD9"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9950</w:t>
            </w:r>
          </w:p>
        </w:tc>
        <w:tc>
          <w:tcPr>
            <w:tcW w:w="3969" w:type="dxa"/>
            <w:tcBorders>
              <w:top w:val="nil"/>
              <w:left w:val="nil"/>
              <w:bottom w:val="single" w:sz="8" w:space="0" w:color="auto"/>
              <w:right w:val="nil"/>
            </w:tcBorders>
            <w:shd w:val="clear" w:color="auto" w:fill="FFFFFF"/>
            <w:vAlign w:val="center"/>
          </w:tcPr>
          <w:p w14:paraId="551B9503"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公司内部购买</w:t>
            </w:r>
          </w:p>
        </w:tc>
      </w:tr>
      <w:tr w:rsidR="00A052DC" w14:paraId="11F60A13"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46574E35" w14:textId="77777777" w:rsidR="00A052DC" w:rsidRDefault="00A052DC">
            <w:pPr>
              <w:widowControl/>
              <w:jc w:val="left"/>
              <w:rPr>
                <w:rFonts w:ascii="黑体" w:eastAsia="黑体" w:hAnsi="黑体" w:cs="宋体"/>
                <w:color w:val="000000"/>
                <w:kern w:val="0"/>
                <w:sz w:val="20"/>
                <w:szCs w:val="20"/>
              </w:rPr>
            </w:pPr>
          </w:p>
        </w:tc>
        <w:tc>
          <w:tcPr>
            <w:tcW w:w="2552" w:type="dxa"/>
            <w:tcBorders>
              <w:top w:val="nil"/>
              <w:left w:val="nil"/>
              <w:bottom w:val="single" w:sz="4" w:space="0" w:color="auto"/>
              <w:right w:val="single" w:sz="4" w:space="0" w:color="auto"/>
            </w:tcBorders>
            <w:shd w:val="clear" w:color="auto" w:fill="FFFFFF"/>
            <w:vAlign w:val="center"/>
          </w:tcPr>
          <w:p w14:paraId="1E6013D5" w14:textId="77777777" w:rsidR="00A052DC" w:rsidRDefault="009F0A60">
            <w:pPr>
              <w:widowControl/>
              <w:jc w:val="center"/>
              <w:rPr>
                <w:rFonts w:ascii="黑体" w:eastAsia="黑体" w:hAnsi="黑体" w:cs="宋体"/>
                <w:color w:val="000000"/>
                <w:kern w:val="0"/>
                <w:sz w:val="20"/>
                <w:szCs w:val="20"/>
              </w:rPr>
            </w:pPr>
            <w:r>
              <w:rPr>
                <w:rFonts w:ascii="黑体" w:eastAsia="黑体" w:hAnsi="黑体" w:cs="宋体"/>
                <w:color w:val="000000"/>
                <w:kern w:val="0"/>
                <w:sz w:val="20"/>
                <w:szCs w:val="20"/>
              </w:rPr>
              <w:t>1．2购买耐用品</w:t>
            </w:r>
          </w:p>
        </w:tc>
        <w:tc>
          <w:tcPr>
            <w:tcW w:w="3969" w:type="dxa"/>
            <w:tcBorders>
              <w:top w:val="nil"/>
              <w:left w:val="nil"/>
              <w:bottom w:val="single" w:sz="8" w:space="0" w:color="auto"/>
              <w:right w:val="nil"/>
            </w:tcBorders>
            <w:shd w:val="clear" w:color="auto" w:fill="FFFFFF"/>
            <w:vAlign w:val="center"/>
          </w:tcPr>
          <w:p w14:paraId="66E59E47" w14:textId="77777777" w:rsidR="00A052DC" w:rsidRDefault="00A052DC">
            <w:pPr>
              <w:widowControl/>
              <w:jc w:val="center"/>
              <w:rPr>
                <w:rFonts w:ascii="黑体" w:eastAsia="黑体" w:hAnsi="黑体" w:cs="宋体"/>
                <w:b/>
                <w:bCs/>
                <w:color w:val="000000"/>
                <w:kern w:val="0"/>
                <w:sz w:val="20"/>
                <w:szCs w:val="20"/>
              </w:rPr>
            </w:pPr>
          </w:p>
        </w:tc>
      </w:tr>
      <w:tr w:rsidR="00A052DC" w14:paraId="7638E853"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26ED2D2E"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73EB12FA"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5094</w:t>
            </w:r>
          </w:p>
        </w:tc>
        <w:tc>
          <w:tcPr>
            <w:tcW w:w="3969" w:type="dxa"/>
            <w:tcBorders>
              <w:top w:val="nil"/>
              <w:left w:val="nil"/>
              <w:bottom w:val="single" w:sz="8" w:space="0" w:color="auto"/>
              <w:right w:val="nil"/>
            </w:tcBorders>
            <w:shd w:val="clear" w:color="auto" w:fill="FFFFFF"/>
            <w:vAlign w:val="center"/>
          </w:tcPr>
          <w:p w14:paraId="1C43F5C9"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宝石和金属，手表和珠宝</w:t>
            </w:r>
          </w:p>
        </w:tc>
      </w:tr>
      <w:tr w:rsidR="00A052DC" w14:paraId="4BDB0159"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00359CDC"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23CF5C32"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5099</w:t>
            </w:r>
          </w:p>
        </w:tc>
        <w:tc>
          <w:tcPr>
            <w:tcW w:w="3969" w:type="dxa"/>
            <w:tcBorders>
              <w:top w:val="nil"/>
              <w:left w:val="nil"/>
              <w:bottom w:val="single" w:sz="8" w:space="0" w:color="auto"/>
              <w:right w:val="nil"/>
            </w:tcBorders>
            <w:shd w:val="clear" w:color="auto" w:fill="FFFFFF"/>
            <w:vAlign w:val="center"/>
          </w:tcPr>
          <w:p w14:paraId="6510AD73"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耐用品—未包括在其他类别之中的</w:t>
            </w:r>
          </w:p>
        </w:tc>
      </w:tr>
      <w:tr w:rsidR="00A052DC" w14:paraId="0FE501F1"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2BCF94BE"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5589F598"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5511</w:t>
            </w:r>
          </w:p>
        </w:tc>
        <w:tc>
          <w:tcPr>
            <w:tcW w:w="3969" w:type="dxa"/>
            <w:tcBorders>
              <w:top w:val="nil"/>
              <w:left w:val="nil"/>
              <w:bottom w:val="single" w:sz="8" w:space="0" w:color="auto"/>
              <w:right w:val="nil"/>
            </w:tcBorders>
            <w:shd w:val="clear" w:color="auto" w:fill="FFFFFF"/>
            <w:vAlign w:val="center"/>
          </w:tcPr>
          <w:p w14:paraId="289FA761"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汽车和卡车（新车或二手车）交易商——销售、服务、修理、零部件、租赁</w:t>
            </w:r>
          </w:p>
        </w:tc>
      </w:tr>
      <w:tr w:rsidR="00A052DC" w14:paraId="3DB68F40"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5F883BE3"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086E5C4B"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5521</w:t>
            </w:r>
          </w:p>
        </w:tc>
        <w:tc>
          <w:tcPr>
            <w:tcW w:w="3969" w:type="dxa"/>
            <w:tcBorders>
              <w:top w:val="nil"/>
              <w:left w:val="nil"/>
              <w:bottom w:val="single" w:sz="8" w:space="0" w:color="auto"/>
              <w:right w:val="nil"/>
            </w:tcBorders>
            <w:shd w:val="clear" w:color="auto" w:fill="FFFFFF"/>
            <w:vAlign w:val="center"/>
          </w:tcPr>
          <w:p w14:paraId="0CD76125"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汽车和卡车（只限于二手车）交易商—销售、服务、修理、零部件、租赁</w:t>
            </w:r>
          </w:p>
        </w:tc>
      </w:tr>
      <w:tr w:rsidR="00A052DC" w14:paraId="172413C2"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1FA256AE"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31E40F2E"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5551</w:t>
            </w:r>
          </w:p>
        </w:tc>
        <w:tc>
          <w:tcPr>
            <w:tcW w:w="3969" w:type="dxa"/>
            <w:tcBorders>
              <w:top w:val="nil"/>
              <w:left w:val="nil"/>
              <w:bottom w:val="single" w:sz="8" w:space="0" w:color="auto"/>
              <w:right w:val="nil"/>
            </w:tcBorders>
            <w:shd w:val="clear" w:color="auto" w:fill="FFFFFF"/>
            <w:vAlign w:val="center"/>
          </w:tcPr>
          <w:p w14:paraId="15271382"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船只经销商</w:t>
            </w:r>
          </w:p>
        </w:tc>
      </w:tr>
      <w:tr w:rsidR="00A052DC" w14:paraId="4DAF930E"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5E16AF6C"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2754BA0C"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5561</w:t>
            </w:r>
          </w:p>
        </w:tc>
        <w:tc>
          <w:tcPr>
            <w:tcW w:w="3969" w:type="dxa"/>
            <w:tcBorders>
              <w:top w:val="nil"/>
              <w:left w:val="nil"/>
              <w:bottom w:val="single" w:sz="8" w:space="0" w:color="auto"/>
              <w:right w:val="nil"/>
            </w:tcBorders>
            <w:shd w:val="clear" w:color="auto" w:fill="FFFFFF"/>
            <w:vAlign w:val="center"/>
          </w:tcPr>
          <w:p w14:paraId="787222D7"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野营挂车、娱乐和公用拖车</w:t>
            </w:r>
          </w:p>
        </w:tc>
      </w:tr>
      <w:tr w:rsidR="00A052DC" w14:paraId="4F7D4429"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63A97127"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7666C2AD"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5571</w:t>
            </w:r>
          </w:p>
        </w:tc>
        <w:tc>
          <w:tcPr>
            <w:tcW w:w="3969" w:type="dxa"/>
            <w:tcBorders>
              <w:top w:val="nil"/>
              <w:left w:val="nil"/>
              <w:bottom w:val="single" w:sz="8" w:space="0" w:color="auto"/>
              <w:right w:val="nil"/>
            </w:tcBorders>
            <w:shd w:val="clear" w:color="auto" w:fill="FFFFFF"/>
            <w:vAlign w:val="center"/>
          </w:tcPr>
          <w:p w14:paraId="5F475B0F"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摩托车商店和经营者</w:t>
            </w:r>
          </w:p>
        </w:tc>
      </w:tr>
      <w:tr w:rsidR="00A052DC" w14:paraId="20B0EE61"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13ACC073"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655FB04D"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5592</w:t>
            </w:r>
          </w:p>
        </w:tc>
        <w:tc>
          <w:tcPr>
            <w:tcW w:w="3969" w:type="dxa"/>
            <w:tcBorders>
              <w:top w:val="nil"/>
              <w:left w:val="nil"/>
              <w:bottom w:val="single" w:sz="8" w:space="0" w:color="auto"/>
              <w:right w:val="nil"/>
            </w:tcBorders>
            <w:shd w:val="clear" w:color="auto" w:fill="FFFFFF"/>
            <w:vAlign w:val="center"/>
          </w:tcPr>
          <w:p w14:paraId="22FB607A"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旅行房车经营者</w:t>
            </w:r>
          </w:p>
        </w:tc>
      </w:tr>
      <w:tr w:rsidR="00A052DC" w14:paraId="647777C1"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3EB5D2B5"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606150EE"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5598</w:t>
            </w:r>
          </w:p>
        </w:tc>
        <w:tc>
          <w:tcPr>
            <w:tcW w:w="3969" w:type="dxa"/>
            <w:tcBorders>
              <w:top w:val="nil"/>
              <w:left w:val="nil"/>
              <w:bottom w:val="single" w:sz="8" w:space="0" w:color="auto"/>
              <w:right w:val="nil"/>
            </w:tcBorders>
            <w:shd w:val="clear" w:color="auto" w:fill="FFFFFF"/>
            <w:vAlign w:val="center"/>
          </w:tcPr>
          <w:p w14:paraId="106A98E0"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雪上汽车经营商</w:t>
            </w:r>
          </w:p>
        </w:tc>
      </w:tr>
      <w:tr w:rsidR="00A052DC" w14:paraId="6EA3BD95"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563A11A9"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0CC4657A"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5599</w:t>
            </w:r>
          </w:p>
        </w:tc>
        <w:tc>
          <w:tcPr>
            <w:tcW w:w="3969" w:type="dxa"/>
            <w:tcBorders>
              <w:top w:val="nil"/>
              <w:left w:val="nil"/>
              <w:bottom w:val="single" w:sz="8" w:space="0" w:color="auto"/>
              <w:right w:val="nil"/>
            </w:tcBorders>
            <w:shd w:val="clear" w:color="auto" w:fill="FFFFFF"/>
            <w:vAlign w:val="center"/>
          </w:tcPr>
          <w:p w14:paraId="6575AE11"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各式各样的汽车、飞机、农机具的经销商—未包括在其他类别之中的</w:t>
            </w:r>
          </w:p>
        </w:tc>
      </w:tr>
      <w:tr w:rsidR="00A052DC" w14:paraId="20320335" w14:textId="77777777">
        <w:trPr>
          <w:trHeight w:val="456"/>
        </w:trPr>
        <w:tc>
          <w:tcPr>
            <w:tcW w:w="1855" w:type="dxa"/>
            <w:tcBorders>
              <w:top w:val="single" w:sz="4" w:space="0" w:color="auto"/>
              <w:bottom w:val="single" w:sz="4" w:space="0" w:color="auto"/>
              <w:right w:val="single" w:sz="4" w:space="0" w:color="auto"/>
            </w:tcBorders>
            <w:shd w:val="clear" w:color="auto" w:fill="auto"/>
            <w:noWrap/>
            <w:vAlign w:val="center"/>
          </w:tcPr>
          <w:p w14:paraId="1AACDD31"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2．住宿</w:t>
            </w:r>
          </w:p>
        </w:tc>
        <w:tc>
          <w:tcPr>
            <w:tcW w:w="2552" w:type="dxa"/>
            <w:tcBorders>
              <w:top w:val="nil"/>
              <w:left w:val="nil"/>
              <w:bottom w:val="single" w:sz="4" w:space="0" w:color="auto"/>
              <w:right w:val="single" w:sz="4" w:space="0" w:color="auto"/>
            </w:tcBorders>
            <w:shd w:val="clear" w:color="auto" w:fill="FFFFFF"/>
            <w:vAlign w:val="center"/>
          </w:tcPr>
          <w:p w14:paraId="74AE4F2E" w14:textId="77777777" w:rsidR="00A052DC" w:rsidRDefault="00A052DC">
            <w:pPr>
              <w:widowControl/>
              <w:jc w:val="center"/>
              <w:rPr>
                <w:rFonts w:ascii="黑体" w:eastAsia="黑体" w:hAnsi="黑体" w:cs="宋体"/>
                <w:color w:val="000000"/>
                <w:kern w:val="0"/>
                <w:sz w:val="20"/>
                <w:szCs w:val="20"/>
              </w:rPr>
            </w:pPr>
          </w:p>
        </w:tc>
        <w:tc>
          <w:tcPr>
            <w:tcW w:w="3969" w:type="dxa"/>
            <w:tcBorders>
              <w:top w:val="nil"/>
              <w:left w:val="nil"/>
              <w:bottom w:val="single" w:sz="8" w:space="0" w:color="auto"/>
              <w:right w:val="nil"/>
            </w:tcBorders>
            <w:shd w:val="clear" w:color="auto" w:fill="FFFFFF"/>
            <w:vAlign w:val="center"/>
          </w:tcPr>
          <w:p w14:paraId="5E208242" w14:textId="77777777" w:rsidR="00A052DC" w:rsidRDefault="00A052DC">
            <w:pPr>
              <w:widowControl/>
              <w:jc w:val="center"/>
              <w:rPr>
                <w:rFonts w:ascii="黑体" w:eastAsia="黑体" w:hAnsi="黑体" w:cs="宋体"/>
                <w:b/>
                <w:bCs/>
                <w:color w:val="000000"/>
                <w:kern w:val="0"/>
                <w:sz w:val="20"/>
                <w:szCs w:val="20"/>
              </w:rPr>
            </w:pPr>
          </w:p>
        </w:tc>
      </w:tr>
      <w:tr w:rsidR="00A052DC" w14:paraId="6DF49769"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39B1CAF1"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74C34C59"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3501</w:t>
            </w:r>
            <w:r>
              <w:rPr>
                <w:rFonts w:ascii="黑体" w:eastAsia="黑体" w:hAnsi="黑体" w:hint="eastAsia"/>
                <w:color w:val="000000"/>
                <w:kern w:val="0"/>
                <w:sz w:val="20"/>
                <w:szCs w:val="20"/>
              </w:rPr>
              <w:t>到</w:t>
            </w:r>
            <w:r>
              <w:rPr>
                <w:rFonts w:ascii="黑体" w:eastAsia="黑体" w:hAnsi="黑体"/>
                <w:color w:val="000000"/>
                <w:kern w:val="0"/>
                <w:sz w:val="20"/>
                <w:szCs w:val="20"/>
              </w:rPr>
              <w:t>3799</w:t>
            </w:r>
          </w:p>
        </w:tc>
        <w:tc>
          <w:tcPr>
            <w:tcW w:w="3969" w:type="dxa"/>
            <w:tcBorders>
              <w:top w:val="nil"/>
              <w:left w:val="nil"/>
              <w:bottom w:val="single" w:sz="8" w:space="0" w:color="auto"/>
              <w:right w:val="nil"/>
            </w:tcBorders>
            <w:shd w:val="clear" w:color="auto" w:fill="FFFFFF"/>
            <w:vAlign w:val="center"/>
          </w:tcPr>
          <w:p w14:paraId="0354F982"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住宿——旅馆、酒店</w:t>
            </w:r>
          </w:p>
        </w:tc>
      </w:tr>
      <w:tr w:rsidR="00A052DC" w14:paraId="7118CE75"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5B619746"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49F53A36"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6513</w:t>
            </w:r>
          </w:p>
        </w:tc>
        <w:tc>
          <w:tcPr>
            <w:tcW w:w="3969" w:type="dxa"/>
            <w:tcBorders>
              <w:top w:val="nil"/>
              <w:left w:val="nil"/>
              <w:bottom w:val="single" w:sz="8" w:space="0" w:color="auto"/>
              <w:right w:val="nil"/>
            </w:tcBorders>
            <w:shd w:val="clear" w:color="auto" w:fill="FFFFFF"/>
            <w:vAlign w:val="center"/>
          </w:tcPr>
          <w:p w14:paraId="5FC70507"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真实不动产代理商和管理者—租赁</w:t>
            </w:r>
          </w:p>
        </w:tc>
      </w:tr>
      <w:tr w:rsidR="00A052DC" w14:paraId="0A9A6524"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5FB55470"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4A75494B"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7011</w:t>
            </w:r>
          </w:p>
        </w:tc>
        <w:tc>
          <w:tcPr>
            <w:tcW w:w="3969" w:type="dxa"/>
            <w:tcBorders>
              <w:top w:val="nil"/>
              <w:left w:val="nil"/>
              <w:bottom w:val="single" w:sz="8" w:space="0" w:color="auto"/>
              <w:right w:val="nil"/>
            </w:tcBorders>
            <w:shd w:val="clear" w:color="auto" w:fill="FFFFFF"/>
            <w:vAlign w:val="center"/>
          </w:tcPr>
          <w:p w14:paraId="10899EB6"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住房—旅馆、汽车旅馆、游览胜地—其他处未分类</w:t>
            </w:r>
          </w:p>
        </w:tc>
      </w:tr>
      <w:tr w:rsidR="00A052DC" w14:paraId="4E50C319"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6026D252"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4C5F6F20"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7012</w:t>
            </w:r>
          </w:p>
        </w:tc>
        <w:tc>
          <w:tcPr>
            <w:tcW w:w="3969" w:type="dxa"/>
            <w:tcBorders>
              <w:top w:val="nil"/>
              <w:left w:val="nil"/>
              <w:bottom w:val="single" w:sz="8" w:space="0" w:color="auto"/>
              <w:right w:val="nil"/>
            </w:tcBorders>
            <w:shd w:val="clear" w:color="auto" w:fill="FFFFFF"/>
            <w:vAlign w:val="center"/>
          </w:tcPr>
          <w:p w14:paraId="04370894"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分时</w:t>
            </w:r>
          </w:p>
        </w:tc>
      </w:tr>
      <w:tr w:rsidR="00A052DC" w14:paraId="087B9010"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0B596BCE"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3．餐饮</w:t>
            </w:r>
          </w:p>
        </w:tc>
        <w:tc>
          <w:tcPr>
            <w:tcW w:w="2552" w:type="dxa"/>
            <w:tcBorders>
              <w:top w:val="nil"/>
              <w:left w:val="nil"/>
              <w:bottom w:val="single" w:sz="4" w:space="0" w:color="auto"/>
              <w:right w:val="single" w:sz="4" w:space="0" w:color="auto"/>
            </w:tcBorders>
            <w:shd w:val="clear" w:color="auto" w:fill="FFFFFF"/>
            <w:vAlign w:val="center"/>
          </w:tcPr>
          <w:p w14:paraId="00896986" w14:textId="77777777" w:rsidR="00A052DC" w:rsidRDefault="00A052DC">
            <w:pPr>
              <w:widowControl/>
              <w:jc w:val="center"/>
              <w:rPr>
                <w:rFonts w:ascii="黑体" w:eastAsia="黑体" w:hAnsi="黑体" w:cs="宋体"/>
                <w:color w:val="000000"/>
                <w:kern w:val="0"/>
                <w:sz w:val="20"/>
                <w:szCs w:val="20"/>
              </w:rPr>
            </w:pPr>
          </w:p>
        </w:tc>
        <w:tc>
          <w:tcPr>
            <w:tcW w:w="3969" w:type="dxa"/>
            <w:tcBorders>
              <w:top w:val="nil"/>
              <w:left w:val="nil"/>
              <w:bottom w:val="single" w:sz="8" w:space="0" w:color="auto"/>
              <w:right w:val="nil"/>
            </w:tcBorders>
            <w:shd w:val="clear" w:color="auto" w:fill="FFFFFF"/>
            <w:vAlign w:val="center"/>
          </w:tcPr>
          <w:p w14:paraId="32A1E92F" w14:textId="77777777" w:rsidR="00A052DC" w:rsidRDefault="00A052DC">
            <w:pPr>
              <w:widowControl/>
              <w:jc w:val="center"/>
              <w:rPr>
                <w:rFonts w:ascii="黑体" w:eastAsia="黑体" w:hAnsi="黑体" w:cs="宋体"/>
                <w:b/>
                <w:bCs/>
                <w:color w:val="000000"/>
                <w:kern w:val="0"/>
                <w:sz w:val="20"/>
                <w:szCs w:val="20"/>
              </w:rPr>
            </w:pPr>
          </w:p>
        </w:tc>
      </w:tr>
      <w:tr w:rsidR="00A052DC" w14:paraId="3DB42028"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07526895"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7F82BEC8"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5441</w:t>
            </w:r>
          </w:p>
        </w:tc>
        <w:tc>
          <w:tcPr>
            <w:tcW w:w="3969" w:type="dxa"/>
            <w:tcBorders>
              <w:top w:val="nil"/>
              <w:left w:val="nil"/>
              <w:bottom w:val="single" w:sz="8" w:space="0" w:color="auto"/>
              <w:right w:val="nil"/>
            </w:tcBorders>
            <w:shd w:val="clear" w:color="auto" w:fill="FFFFFF"/>
            <w:vAlign w:val="center"/>
          </w:tcPr>
          <w:p w14:paraId="55DDEC03"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蜜饯、坚果、糖果店</w:t>
            </w:r>
          </w:p>
        </w:tc>
      </w:tr>
      <w:tr w:rsidR="00A052DC" w14:paraId="5B6C2764"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42427C0B"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0B9D7FDA"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5451</w:t>
            </w:r>
          </w:p>
        </w:tc>
        <w:tc>
          <w:tcPr>
            <w:tcW w:w="3969" w:type="dxa"/>
            <w:tcBorders>
              <w:top w:val="nil"/>
              <w:left w:val="nil"/>
              <w:bottom w:val="single" w:sz="8" w:space="0" w:color="auto"/>
              <w:right w:val="nil"/>
            </w:tcBorders>
            <w:shd w:val="clear" w:color="auto" w:fill="FFFFFF"/>
            <w:vAlign w:val="center"/>
          </w:tcPr>
          <w:p w14:paraId="343E771B"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奶制品商店</w:t>
            </w:r>
          </w:p>
        </w:tc>
      </w:tr>
      <w:tr w:rsidR="00A052DC" w14:paraId="1109776F"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5F300656"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506FF75E"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5462</w:t>
            </w:r>
          </w:p>
        </w:tc>
        <w:tc>
          <w:tcPr>
            <w:tcW w:w="3969" w:type="dxa"/>
            <w:tcBorders>
              <w:top w:val="nil"/>
              <w:left w:val="nil"/>
              <w:bottom w:val="single" w:sz="8" w:space="0" w:color="auto"/>
              <w:right w:val="nil"/>
            </w:tcBorders>
            <w:shd w:val="clear" w:color="auto" w:fill="FFFFFF"/>
            <w:vAlign w:val="center"/>
          </w:tcPr>
          <w:p w14:paraId="7271C117"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面包店</w:t>
            </w:r>
          </w:p>
        </w:tc>
      </w:tr>
      <w:tr w:rsidR="00A052DC" w14:paraId="304276E8"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33379C57"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7775863A"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5811</w:t>
            </w:r>
          </w:p>
        </w:tc>
        <w:tc>
          <w:tcPr>
            <w:tcW w:w="3969" w:type="dxa"/>
            <w:tcBorders>
              <w:top w:val="nil"/>
              <w:left w:val="nil"/>
              <w:bottom w:val="single" w:sz="8" w:space="0" w:color="auto"/>
              <w:right w:val="nil"/>
            </w:tcBorders>
            <w:shd w:val="clear" w:color="auto" w:fill="FFFFFF"/>
            <w:vAlign w:val="center"/>
          </w:tcPr>
          <w:p w14:paraId="72AB49FD"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酒宴承办人</w:t>
            </w:r>
          </w:p>
        </w:tc>
      </w:tr>
      <w:tr w:rsidR="00A052DC" w14:paraId="20098A75"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00D86FD6"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0A471826"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5812</w:t>
            </w:r>
          </w:p>
        </w:tc>
        <w:tc>
          <w:tcPr>
            <w:tcW w:w="3969" w:type="dxa"/>
            <w:tcBorders>
              <w:top w:val="nil"/>
              <w:left w:val="nil"/>
              <w:bottom w:val="single" w:sz="8" w:space="0" w:color="auto"/>
              <w:right w:val="nil"/>
            </w:tcBorders>
            <w:shd w:val="clear" w:color="auto" w:fill="FFFFFF"/>
            <w:vAlign w:val="center"/>
          </w:tcPr>
          <w:p w14:paraId="64760E25"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公共饮食行业、餐馆</w:t>
            </w:r>
          </w:p>
        </w:tc>
      </w:tr>
      <w:tr w:rsidR="00A052DC" w14:paraId="62402099"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2911609B"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1AB3D355"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5813</w:t>
            </w:r>
          </w:p>
        </w:tc>
        <w:tc>
          <w:tcPr>
            <w:tcW w:w="3969" w:type="dxa"/>
            <w:tcBorders>
              <w:top w:val="nil"/>
              <w:left w:val="nil"/>
              <w:bottom w:val="single" w:sz="8" w:space="0" w:color="auto"/>
              <w:right w:val="nil"/>
            </w:tcBorders>
            <w:shd w:val="clear" w:color="auto" w:fill="FFFFFF"/>
            <w:vAlign w:val="center"/>
          </w:tcPr>
          <w:p w14:paraId="7FBF201E"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饮酒的地方（酒精饮料）—酒吧、酒馆、夜总会、鸡尾酒会、迪斯科舞厅</w:t>
            </w:r>
          </w:p>
        </w:tc>
      </w:tr>
      <w:tr w:rsidR="00A052DC" w14:paraId="0B4E4C83"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512F779B"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250C4FF9"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5814</w:t>
            </w:r>
          </w:p>
        </w:tc>
        <w:tc>
          <w:tcPr>
            <w:tcW w:w="3969" w:type="dxa"/>
            <w:tcBorders>
              <w:top w:val="nil"/>
              <w:left w:val="nil"/>
              <w:bottom w:val="single" w:sz="8" w:space="0" w:color="auto"/>
              <w:right w:val="nil"/>
            </w:tcBorders>
            <w:shd w:val="clear" w:color="auto" w:fill="FFFFFF"/>
            <w:vAlign w:val="center"/>
          </w:tcPr>
          <w:p w14:paraId="6464D50D"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快餐店</w:t>
            </w:r>
          </w:p>
        </w:tc>
      </w:tr>
      <w:tr w:rsidR="00A052DC" w14:paraId="7AF7E4A7" w14:textId="77777777">
        <w:trPr>
          <w:trHeight w:val="360"/>
        </w:trPr>
        <w:tc>
          <w:tcPr>
            <w:tcW w:w="1855" w:type="dxa"/>
            <w:tcBorders>
              <w:top w:val="single" w:sz="4" w:space="0" w:color="auto"/>
              <w:bottom w:val="single" w:sz="4" w:space="0" w:color="auto"/>
              <w:right w:val="single" w:sz="4" w:space="0" w:color="auto"/>
            </w:tcBorders>
            <w:shd w:val="clear" w:color="auto" w:fill="auto"/>
            <w:noWrap/>
            <w:vAlign w:val="center"/>
          </w:tcPr>
          <w:p w14:paraId="55D9E992"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r>
              <w:rPr>
                <w:rFonts w:ascii="黑体" w:eastAsia="黑体" w:hAnsi="黑体" w:cs="宋体"/>
                <w:color w:val="000000"/>
                <w:kern w:val="0"/>
                <w:sz w:val="20"/>
                <w:szCs w:val="20"/>
              </w:rPr>
              <w:t>4．当地交通</w:t>
            </w:r>
          </w:p>
        </w:tc>
        <w:tc>
          <w:tcPr>
            <w:tcW w:w="2552" w:type="dxa"/>
            <w:tcBorders>
              <w:top w:val="nil"/>
              <w:left w:val="nil"/>
              <w:bottom w:val="single" w:sz="4" w:space="0" w:color="auto"/>
              <w:right w:val="single" w:sz="4" w:space="0" w:color="auto"/>
            </w:tcBorders>
            <w:shd w:val="clear" w:color="auto" w:fill="FFFFFF"/>
            <w:vAlign w:val="center"/>
          </w:tcPr>
          <w:p w14:paraId="23E277C8" w14:textId="77777777" w:rsidR="00A052DC" w:rsidRDefault="00A052DC">
            <w:pPr>
              <w:widowControl/>
              <w:jc w:val="center"/>
              <w:rPr>
                <w:rFonts w:ascii="黑体" w:eastAsia="黑体" w:hAnsi="黑体" w:cs="宋体"/>
                <w:color w:val="000000"/>
                <w:kern w:val="0"/>
                <w:sz w:val="20"/>
                <w:szCs w:val="20"/>
              </w:rPr>
            </w:pPr>
          </w:p>
        </w:tc>
        <w:tc>
          <w:tcPr>
            <w:tcW w:w="3969" w:type="dxa"/>
            <w:tcBorders>
              <w:top w:val="nil"/>
              <w:left w:val="nil"/>
              <w:bottom w:val="single" w:sz="8" w:space="0" w:color="auto"/>
              <w:right w:val="nil"/>
            </w:tcBorders>
            <w:shd w:val="clear" w:color="auto" w:fill="FFFFFF"/>
            <w:vAlign w:val="center"/>
          </w:tcPr>
          <w:p w14:paraId="421A0328" w14:textId="77777777" w:rsidR="00A052DC" w:rsidRDefault="00A052DC">
            <w:pPr>
              <w:widowControl/>
              <w:jc w:val="center"/>
              <w:rPr>
                <w:rFonts w:ascii="黑体" w:eastAsia="黑体" w:hAnsi="黑体" w:cs="宋体"/>
                <w:b/>
                <w:bCs/>
                <w:color w:val="000000"/>
                <w:kern w:val="0"/>
                <w:sz w:val="20"/>
                <w:szCs w:val="20"/>
              </w:rPr>
            </w:pPr>
          </w:p>
        </w:tc>
      </w:tr>
      <w:tr w:rsidR="00A052DC" w14:paraId="03DC1062"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130BD3AE"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47C47B2C"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3000</w:t>
            </w:r>
            <w:r>
              <w:rPr>
                <w:rFonts w:ascii="黑体" w:eastAsia="黑体" w:hAnsi="黑体" w:hint="eastAsia"/>
                <w:color w:val="000000"/>
                <w:kern w:val="0"/>
                <w:sz w:val="20"/>
                <w:szCs w:val="20"/>
              </w:rPr>
              <w:t>到</w:t>
            </w:r>
            <w:r>
              <w:rPr>
                <w:rFonts w:ascii="黑体" w:eastAsia="黑体" w:hAnsi="黑体"/>
                <w:color w:val="000000"/>
                <w:kern w:val="0"/>
                <w:sz w:val="20"/>
                <w:szCs w:val="20"/>
              </w:rPr>
              <w:t>3299</w:t>
            </w:r>
          </w:p>
        </w:tc>
        <w:tc>
          <w:tcPr>
            <w:tcW w:w="3969" w:type="dxa"/>
            <w:tcBorders>
              <w:top w:val="nil"/>
              <w:left w:val="nil"/>
              <w:bottom w:val="single" w:sz="8" w:space="0" w:color="auto"/>
              <w:right w:val="nil"/>
            </w:tcBorders>
            <w:shd w:val="clear" w:color="auto" w:fill="FFFFFF"/>
            <w:vAlign w:val="center"/>
          </w:tcPr>
          <w:p w14:paraId="57B63354"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航空公司</w:t>
            </w:r>
          </w:p>
        </w:tc>
      </w:tr>
      <w:tr w:rsidR="00A052DC" w14:paraId="0E27DA63"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2C6D448A"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76EB19CD"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3351</w:t>
            </w:r>
            <w:r>
              <w:rPr>
                <w:rFonts w:ascii="黑体" w:eastAsia="黑体" w:hAnsi="黑体" w:hint="eastAsia"/>
                <w:color w:val="000000"/>
                <w:kern w:val="0"/>
                <w:sz w:val="20"/>
                <w:szCs w:val="20"/>
              </w:rPr>
              <w:t>到</w:t>
            </w:r>
            <w:r>
              <w:rPr>
                <w:rFonts w:ascii="黑体" w:eastAsia="黑体" w:hAnsi="黑体"/>
                <w:color w:val="000000"/>
                <w:kern w:val="0"/>
                <w:sz w:val="20"/>
                <w:szCs w:val="20"/>
              </w:rPr>
              <w:t>3441</w:t>
            </w:r>
          </w:p>
        </w:tc>
        <w:tc>
          <w:tcPr>
            <w:tcW w:w="3969" w:type="dxa"/>
            <w:tcBorders>
              <w:top w:val="nil"/>
              <w:left w:val="nil"/>
              <w:bottom w:val="single" w:sz="8" w:space="0" w:color="auto"/>
              <w:right w:val="nil"/>
            </w:tcBorders>
            <w:shd w:val="clear" w:color="auto" w:fill="FFFFFF"/>
            <w:vAlign w:val="center"/>
          </w:tcPr>
          <w:p w14:paraId="3449CC1A"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汽车租赁公司</w:t>
            </w:r>
          </w:p>
        </w:tc>
      </w:tr>
      <w:tr w:rsidR="00A052DC" w14:paraId="4E2E9BDE"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29F1D2BF"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3D2EA781"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4011</w:t>
            </w:r>
          </w:p>
        </w:tc>
        <w:tc>
          <w:tcPr>
            <w:tcW w:w="3969" w:type="dxa"/>
            <w:tcBorders>
              <w:top w:val="nil"/>
              <w:left w:val="nil"/>
              <w:bottom w:val="single" w:sz="8" w:space="0" w:color="auto"/>
              <w:right w:val="nil"/>
            </w:tcBorders>
            <w:shd w:val="clear" w:color="auto" w:fill="FFFFFF"/>
            <w:vAlign w:val="center"/>
          </w:tcPr>
          <w:p w14:paraId="41DCC998"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铁路运输</w:t>
            </w:r>
          </w:p>
        </w:tc>
      </w:tr>
      <w:tr w:rsidR="00A052DC" w14:paraId="652A5FA1"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6D1E70B5"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43D6C085"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4111</w:t>
            </w:r>
          </w:p>
        </w:tc>
        <w:tc>
          <w:tcPr>
            <w:tcW w:w="3969" w:type="dxa"/>
            <w:tcBorders>
              <w:top w:val="nil"/>
              <w:left w:val="nil"/>
              <w:bottom w:val="single" w:sz="8" w:space="0" w:color="auto"/>
              <w:right w:val="nil"/>
            </w:tcBorders>
            <w:shd w:val="clear" w:color="auto" w:fill="FFFFFF"/>
            <w:vAlign w:val="center"/>
          </w:tcPr>
          <w:p w14:paraId="20A49665"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运输——郊区或地方上乘客的往还服务，包括摆渡</w:t>
            </w:r>
          </w:p>
        </w:tc>
      </w:tr>
      <w:tr w:rsidR="00A052DC" w14:paraId="58C10A42"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25A39382"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0F5EAAE9"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4112</w:t>
            </w:r>
          </w:p>
        </w:tc>
        <w:tc>
          <w:tcPr>
            <w:tcW w:w="3969" w:type="dxa"/>
            <w:tcBorders>
              <w:top w:val="nil"/>
              <w:left w:val="nil"/>
              <w:bottom w:val="single" w:sz="8" w:space="0" w:color="auto"/>
              <w:right w:val="nil"/>
            </w:tcBorders>
            <w:shd w:val="clear" w:color="auto" w:fill="FFFFFF"/>
            <w:vAlign w:val="center"/>
          </w:tcPr>
          <w:p w14:paraId="3DCF6777"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铁路——客运</w:t>
            </w:r>
          </w:p>
        </w:tc>
      </w:tr>
      <w:tr w:rsidR="00A052DC" w14:paraId="4C265E26"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00B37181"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7F160813"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4121</w:t>
            </w:r>
          </w:p>
        </w:tc>
        <w:tc>
          <w:tcPr>
            <w:tcW w:w="3969" w:type="dxa"/>
            <w:tcBorders>
              <w:top w:val="nil"/>
              <w:left w:val="nil"/>
              <w:bottom w:val="single" w:sz="8" w:space="0" w:color="auto"/>
              <w:right w:val="nil"/>
            </w:tcBorders>
            <w:shd w:val="clear" w:color="auto" w:fill="FFFFFF"/>
            <w:vAlign w:val="center"/>
          </w:tcPr>
          <w:p w14:paraId="0B40B32C"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豪华轿车与出租车</w:t>
            </w:r>
          </w:p>
        </w:tc>
      </w:tr>
      <w:tr w:rsidR="00A052DC" w14:paraId="5A91388B"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76F6B65C"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71BEF077"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4131</w:t>
            </w:r>
          </w:p>
        </w:tc>
        <w:tc>
          <w:tcPr>
            <w:tcW w:w="3969" w:type="dxa"/>
            <w:tcBorders>
              <w:top w:val="nil"/>
              <w:left w:val="nil"/>
              <w:bottom w:val="single" w:sz="8" w:space="0" w:color="auto"/>
              <w:right w:val="nil"/>
            </w:tcBorders>
            <w:shd w:val="clear" w:color="auto" w:fill="FFFFFF"/>
            <w:vAlign w:val="center"/>
          </w:tcPr>
          <w:p w14:paraId="451BE79D"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公共汽车</w:t>
            </w:r>
          </w:p>
        </w:tc>
      </w:tr>
      <w:tr w:rsidR="00A052DC" w14:paraId="4461535F"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1033036B"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1016C7F6"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4214</w:t>
            </w:r>
          </w:p>
        </w:tc>
        <w:tc>
          <w:tcPr>
            <w:tcW w:w="3969" w:type="dxa"/>
            <w:tcBorders>
              <w:top w:val="nil"/>
              <w:left w:val="nil"/>
              <w:bottom w:val="single" w:sz="8" w:space="0" w:color="auto"/>
              <w:right w:val="nil"/>
            </w:tcBorders>
            <w:shd w:val="clear" w:color="auto" w:fill="FFFFFF"/>
            <w:vAlign w:val="center"/>
          </w:tcPr>
          <w:p w14:paraId="5501E2A9"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汽车、卡车运输—短途</w:t>
            </w:r>
            <w:r>
              <w:rPr>
                <w:rFonts w:ascii="黑体" w:eastAsia="黑体" w:hAnsi="黑体" w:cs="宋体"/>
                <w:color w:val="000000"/>
                <w:kern w:val="0"/>
                <w:sz w:val="20"/>
                <w:szCs w:val="20"/>
              </w:rPr>
              <w:t>/长途，搬运与仓储公司，本地送货</w:t>
            </w:r>
          </w:p>
        </w:tc>
      </w:tr>
      <w:tr w:rsidR="00A052DC" w14:paraId="6EB0E49B"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64C84584"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721FC945"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4215</w:t>
            </w:r>
          </w:p>
        </w:tc>
        <w:tc>
          <w:tcPr>
            <w:tcW w:w="3969" w:type="dxa"/>
            <w:tcBorders>
              <w:top w:val="nil"/>
              <w:left w:val="nil"/>
              <w:bottom w:val="single" w:sz="8" w:space="0" w:color="auto"/>
              <w:right w:val="nil"/>
            </w:tcBorders>
            <w:shd w:val="clear" w:color="auto" w:fill="FFFFFF"/>
            <w:vAlign w:val="center"/>
          </w:tcPr>
          <w:p w14:paraId="4879409F"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快递服务——航空、地面，货物运送</w:t>
            </w:r>
          </w:p>
        </w:tc>
      </w:tr>
      <w:tr w:rsidR="00A052DC" w14:paraId="5FC71F13"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133F0E24"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750E2A0E"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4225</w:t>
            </w:r>
          </w:p>
        </w:tc>
        <w:tc>
          <w:tcPr>
            <w:tcW w:w="3969" w:type="dxa"/>
            <w:tcBorders>
              <w:top w:val="nil"/>
              <w:left w:val="nil"/>
              <w:bottom w:val="single" w:sz="8" w:space="0" w:color="auto"/>
              <w:right w:val="nil"/>
            </w:tcBorders>
            <w:shd w:val="clear" w:color="auto" w:fill="FFFFFF"/>
            <w:vAlign w:val="center"/>
          </w:tcPr>
          <w:p w14:paraId="3B705705"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公共仓库—农产品、冷冻食品、家用货物的存储</w:t>
            </w:r>
          </w:p>
        </w:tc>
      </w:tr>
      <w:tr w:rsidR="00A052DC" w14:paraId="2C367975"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750007F2"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1D3DCC46"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4411</w:t>
            </w:r>
          </w:p>
        </w:tc>
        <w:tc>
          <w:tcPr>
            <w:tcW w:w="3969" w:type="dxa"/>
            <w:tcBorders>
              <w:top w:val="nil"/>
              <w:left w:val="nil"/>
              <w:bottom w:val="single" w:sz="8" w:space="0" w:color="auto"/>
              <w:right w:val="nil"/>
            </w:tcBorders>
            <w:shd w:val="clear" w:color="auto" w:fill="FFFFFF"/>
            <w:vAlign w:val="center"/>
          </w:tcPr>
          <w:p w14:paraId="66D2488F"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轮船、巡航</w:t>
            </w:r>
          </w:p>
        </w:tc>
      </w:tr>
      <w:tr w:rsidR="00A052DC" w14:paraId="450C5F36"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40DE395F"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284BD05F"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4457</w:t>
            </w:r>
          </w:p>
        </w:tc>
        <w:tc>
          <w:tcPr>
            <w:tcW w:w="3969" w:type="dxa"/>
            <w:tcBorders>
              <w:top w:val="nil"/>
              <w:left w:val="nil"/>
              <w:bottom w:val="single" w:sz="8" w:space="0" w:color="auto"/>
              <w:right w:val="nil"/>
            </w:tcBorders>
            <w:shd w:val="clear" w:color="auto" w:fill="FFFFFF"/>
            <w:vAlign w:val="center"/>
          </w:tcPr>
          <w:p w14:paraId="7F85A4B3"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船只租赁</w:t>
            </w:r>
          </w:p>
        </w:tc>
      </w:tr>
      <w:tr w:rsidR="00A052DC" w14:paraId="44A34E62"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06AD81F2"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495EE6E6"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4468</w:t>
            </w:r>
          </w:p>
        </w:tc>
        <w:tc>
          <w:tcPr>
            <w:tcW w:w="3969" w:type="dxa"/>
            <w:tcBorders>
              <w:top w:val="nil"/>
              <w:left w:val="nil"/>
              <w:bottom w:val="single" w:sz="8" w:space="0" w:color="auto"/>
              <w:right w:val="nil"/>
            </w:tcBorders>
            <w:shd w:val="clear" w:color="auto" w:fill="FFFFFF"/>
            <w:vAlign w:val="center"/>
          </w:tcPr>
          <w:p w14:paraId="58CCD20E"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港口，海运服务</w:t>
            </w:r>
            <w:r>
              <w:rPr>
                <w:rFonts w:ascii="黑体" w:eastAsia="黑体" w:hAnsi="黑体" w:cs="宋体"/>
                <w:color w:val="000000"/>
                <w:kern w:val="0"/>
                <w:sz w:val="20"/>
                <w:szCs w:val="20"/>
              </w:rPr>
              <w:t>/设备供应</w:t>
            </w:r>
          </w:p>
        </w:tc>
      </w:tr>
      <w:tr w:rsidR="00A052DC" w14:paraId="2BA06C2A"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4802E3A3"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31E3BC7B"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4511</w:t>
            </w:r>
          </w:p>
        </w:tc>
        <w:tc>
          <w:tcPr>
            <w:tcW w:w="3969" w:type="dxa"/>
            <w:tcBorders>
              <w:top w:val="nil"/>
              <w:left w:val="nil"/>
              <w:bottom w:val="single" w:sz="8" w:space="0" w:color="auto"/>
              <w:right w:val="nil"/>
            </w:tcBorders>
            <w:shd w:val="clear" w:color="auto" w:fill="FFFFFF"/>
            <w:vAlign w:val="center"/>
          </w:tcPr>
          <w:p w14:paraId="08C2937A"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航空公司</w:t>
            </w:r>
          </w:p>
        </w:tc>
      </w:tr>
      <w:tr w:rsidR="00A052DC" w14:paraId="620E345E"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44624D9E"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0A486F62"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4582</w:t>
            </w:r>
          </w:p>
        </w:tc>
        <w:tc>
          <w:tcPr>
            <w:tcW w:w="3969" w:type="dxa"/>
            <w:tcBorders>
              <w:top w:val="nil"/>
              <w:left w:val="nil"/>
              <w:bottom w:val="single" w:sz="8" w:space="0" w:color="auto"/>
              <w:right w:val="nil"/>
            </w:tcBorders>
            <w:shd w:val="clear" w:color="auto" w:fill="FFFFFF"/>
            <w:vAlign w:val="center"/>
          </w:tcPr>
          <w:p w14:paraId="17E5B2EF"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机场、私人机场、航空集散站</w:t>
            </w:r>
          </w:p>
        </w:tc>
      </w:tr>
      <w:tr w:rsidR="00A052DC" w14:paraId="238D3B74"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55FBE72B"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3BE0417A"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4722</w:t>
            </w:r>
          </w:p>
        </w:tc>
        <w:tc>
          <w:tcPr>
            <w:tcW w:w="3969" w:type="dxa"/>
            <w:tcBorders>
              <w:top w:val="nil"/>
              <w:left w:val="nil"/>
              <w:bottom w:val="single" w:sz="8" w:space="0" w:color="auto"/>
              <w:right w:val="nil"/>
            </w:tcBorders>
            <w:shd w:val="clear" w:color="auto" w:fill="FFFFFF"/>
            <w:vAlign w:val="center"/>
          </w:tcPr>
          <w:p w14:paraId="253CAB88"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旅游公司和旅游线经营商</w:t>
            </w:r>
          </w:p>
        </w:tc>
      </w:tr>
      <w:tr w:rsidR="00A052DC" w14:paraId="31365037"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7C2E89B5"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2065EA47"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4723</w:t>
            </w:r>
          </w:p>
        </w:tc>
        <w:tc>
          <w:tcPr>
            <w:tcW w:w="3969" w:type="dxa"/>
            <w:tcBorders>
              <w:top w:val="nil"/>
              <w:left w:val="nil"/>
              <w:bottom w:val="single" w:sz="4" w:space="0" w:color="auto"/>
              <w:right w:val="nil"/>
            </w:tcBorders>
            <w:shd w:val="clear" w:color="auto" w:fill="FFFFFF"/>
            <w:vAlign w:val="center"/>
          </w:tcPr>
          <w:p w14:paraId="00D973A6"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旅游团经营商——德国地区</w:t>
            </w:r>
          </w:p>
        </w:tc>
      </w:tr>
      <w:tr w:rsidR="00A052DC" w14:paraId="21DCC32C"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0BB02E91"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single" w:sz="4" w:space="0" w:color="auto"/>
              <w:left w:val="nil"/>
              <w:bottom w:val="single" w:sz="4" w:space="0" w:color="auto"/>
              <w:right w:val="single" w:sz="4" w:space="0" w:color="auto"/>
            </w:tcBorders>
            <w:shd w:val="clear" w:color="auto" w:fill="FFFFFF"/>
            <w:vAlign w:val="center"/>
          </w:tcPr>
          <w:p w14:paraId="00F734D4"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4784</w:t>
            </w:r>
          </w:p>
        </w:tc>
        <w:tc>
          <w:tcPr>
            <w:tcW w:w="3969" w:type="dxa"/>
            <w:tcBorders>
              <w:top w:val="single" w:sz="4" w:space="0" w:color="auto"/>
              <w:left w:val="nil"/>
              <w:bottom w:val="single" w:sz="8" w:space="0" w:color="auto"/>
              <w:right w:val="nil"/>
            </w:tcBorders>
            <w:shd w:val="clear" w:color="auto" w:fill="FFFFFF"/>
            <w:vAlign w:val="center"/>
          </w:tcPr>
          <w:p w14:paraId="26B25111"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通行费、桥梁费</w:t>
            </w:r>
          </w:p>
        </w:tc>
      </w:tr>
      <w:tr w:rsidR="00A052DC" w14:paraId="2163598C"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2D3828FB"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5E88EF49"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4789</w:t>
            </w:r>
          </w:p>
        </w:tc>
        <w:tc>
          <w:tcPr>
            <w:tcW w:w="3969" w:type="dxa"/>
            <w:tcBorders>
              <w:top w:val="nil"/>
              <w:left w:val="nil"/>
              <w:bottom w:val="single" w:sz="8" w:space="0" w:color="auto"/>
              <w:right w:val="nil"/>
            </w:tcBorders>
            <w:shd w:val="clear" w:color="auto" w:fill="FFFFFF"/>
            <w:vAlign w:val="center"/>
          </w:tcPr>
          <w:p w14:paraId="4650B603"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运输服务——上述类别之外的</w:t>
            </w:r>
          </w:p>
        </w:tc>
      </w:tr>
      <w:tr w:rsidR="00A052DC" w14:paraId="05840F58"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7B6F1C22"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5．教育留学</w:t>
            </w:r>
          </w:p>
        </w:tc>
        <w:tc>
          <w:tcPr>
            <w:tcW w:w="2552" w:type="dxa"/>
            <w:tcBorders>
              <w:top w:val="nil"/>
              <w:left w:val="nil"/>
              <w:bottom w:val="single" w:sz="4" w:space="0" w:color="auto"/>
              <w:right w:val="single" w:sz="4" w:space="0" w:color="auto"/>
            </w:tcBorders>
            <w:shd w:val="clear" w:color="auto" w:fill="FFFFFF"/>
            <w:vAlign w:val="center"/>
          </w:tcPr>
          <w:p w14:paraId="7097411B" w14:textId="77777777" w:rsidR="00A052DC" w:rsidRDefault="00A052DC">
            <w:pPr>
              <w:widowControl/>
              <w:jc w:val="center"/>
              <w:rPr>
                <w:rFonts w:ascii="黑体" w:eastAsia="黑体" w:hAnsi="黑体" w:cs="宋体"/>
                <w:color w:val="000000"/>
                <w:kern w:val="0"/>
                <w:sz w:val="20"/>
                <w:szCs w:val="20"/>
              </w:rPr>
            </w:pPr>
          </w:p>
        </w:tc>
        <w:tc>
          <w:tcPr>
            <w:tcW w:w="3969" w:type="dxa"/>
            <w:tcBorders>
              <w:top w:val="nil"/>
              <w:left w:val="nil"/>
              <w:bottom w:val="single" w:sz="8" w:space="0" w:color="auto"/>
              <w:right w:val="nil"/>
            </w:tcBorders>
            <w:shd w:val="clear" w:color="auto" w:fill="FFFFFF"/>
            <w:vAlign w:val="center"/>
          </w:tcPr>
          <w:p w14:paraId="75A99347" w14:textId="77777777" w:rsidR="00A052DC" w:rsidRDefault="00A052DC">
            <w:pPr>
              <w:widowControl/>
              <w:jc w:val="center"/>
              <w:rPr>
                <w:rFonts w:ascii="黑体" w:eastAsia="黑体" w:hAnsi="黑体" w:cs="宋体"/>
                <w:b/>
                <w:bCs/>
                <w:color w:val="000000"/>
                <w:kern w:val="0"/>
                <w:sz w:val="20"/>
                <w:szCs w:val="20"/>
              </w:rPr>
            </w:pPr>
          </w:p>
        </w:tc>
      </w:tr>
      <w:tr w:rsidR="00A052DC" w14:paraId="0CAAFD7D"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364D62E2"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51D74F9E"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7295</w:t>
            </w:r>
          </w:p>
        </w:tc>
        <w:tc>
          <w:tcPr>
            <w:tcW w:w="3969" w:type="dxa"/>
            <w:tcBorders>
              <w:top w:val="nil"/>
              <w:left w:val="nil"/>
              <w:bottom w:val="single" w:sz="8" w:space="0" w:color="auto"/>
              <w:right w:val="nil"/>
            </w:tcBorders>
            <w:shd w:val="clear" w:color="auto" w:fill="FFFFFF"/>
            <w:vAlign w:val="center"/>
          </w:tcPr>
          <w:p w14:paraId="4C16403B"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托儿所</w:t>
            </w:r>
          </w:p>
        </w:tc>
      </w:tr>
      <w:tr w:rsidR="00A052DC" w14:paraId="531F93FE"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16CB6706"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143C1704"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8211</w:t>
            </w:r>
          </w:p>
        </w:tc>
        <w:tc>
          <w:tcPr>
            <w:tcW w:w="3969" w:type="dxa"/>
            <w:tcBorders>
              <w:top w:val="nil"/>
              <w:left w:val="nil"/>
              <w:bottom w:val="single" w:sz="8" w:space="0" w:color="auto"/>
              <w:right w:val="nil"/>
            </w:tcBorders>
            <w:shd w:val="clear" w:color="auto" w:fill="FFFFFF"/>
            <w:vAlign w:val="center"/>
          </w:tcPr>
          <w:p w14:paraId="604BB304"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小学和中学</w:t>
            </w:r>
          </w:p>
        </w:tc>
      </w:tr>
      <w:tr w:rsidR="00A052DC" w14:paraId="7F9BE27E"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7D7D548E"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4C21D142"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8220</w:t>
            </w:r>
          </w:p>
        </w:tc>
        <w:tc>
          <w:tcPr>
            <w:tcW w:w="3969" w:type="dxa"/>
            <w:tcBorders>
              <w:top w:val="nil"/>
              <w:left w:val="nil"/>
              <w:bottom w:val="single" w:sz="8" w:space="0" w:color="auto"/>
              <w:right w:val="nil"/>
            </w:tcBorders>
            <w:shd w:val="clear" w:color="auto" w:fill="FFFFFF"/>
            <w:vAlign w:val="center"/>
          </w:tcPr>
          <w:p w14:paraId="4865AC9D"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学院、大学、专业学校和大专</w:t>
            </w:r>
          </w:p>
        </w:tc>
      </w:tr>
      <w:tr w:rsidR="00A052DC" w14:paraId="6FD74423"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1A4CE55A"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13075EA0"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8241</w:t>
            </w:r>
          </w:p>
        </w:tc>
        <w:tc>
          <w:tcPr>
            <w:tcW w:w="3969" w:type="dxa"/>
            <w:tcBorders>
              <w:top w:val="nil"/>
              <w:left w:val="nil"/>
              <w:bottom w:val="single" w:sz="8" w:space="0" w:color="auto"/>
              <w:right w:val="nil"/>
            </w:tcBorders>
            <w:shd w:val="clear" w:color="auto" w:fill="FFFFFF"/>
            <w:vAlign w:val="center"/>
          </w:tcPr>
          <w:p w14:paraId="1CC5EB0E"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函授学校</w:t>
            </w:r>
          </w:p>
        </w:tc>
      </w:tr>
      <w:tr w:rsidR="00A052DC" w14:paraId="16269413"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305DDA91"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1B96BD3A"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8244</w:t>
            </w:r>
          </w:p>
        </w:tc>
        <w:tc>
          <w:tcPr>
            <w:tcW w:w="3969" w:type="dxa"/>
            <w:tcBorders>
              <w:top w:val="nil"/>
              <w:left w:val="nil"/>
              <w:bottom w:val="single" w:sz="8" w:space="0" w:color="auto"/>
              <w:right w:val="nil"/>
            </w:tcBorders>
            <w:shd w:val="clear" w:color="auto" w:fill="FFFFFF"/>
            <w:vAlign w:val="center"/>
          </w:tcPr>
          <w:p w14:paraId="00E617AA"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商业和文秘学校</w:t>
            </w:r>
          </w:p>
        </w:tc>
      </w:tr>
      <w:tr w:rsidR="00A052DC" w14:paraId="32988623"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610B6309"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0CE33637"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8249</w:t>
            </w:r>
          </w:p>
        </w:tc>
        <w:tc>
          <w:tcPr>
            <w:tcW w:w="3969" w:type="dxa"/>
            <w:tcBorders>
              <w:top w:val="nil"/>
              <w:left w:val="nil"/>
              <w:bottom w:val="single" w:sz="8" w:space="0" w:color="auto"/>
              <w:right w:val="nil"/>
            </w:tcBorders>
            <w:shd w:val="clear" w:color="auto" w:fill="FFFFFF"/>
            <w:vAlign w:val="center"/>
          </w:tcPr>
          <w:p w14:paraId="03A38100"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贸易和行业学校</w:t>
            </w:r>
          </w:p>
        </w:tc>
      </w:tr>
      <w:tr w:rsidR="00A052DC" w14:paraId="7A8F3F86"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205EBBD7"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6D58F9C0"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8299</w:t>
            </w:r>
          </w:p>
        </w:tc>
        <w:tc>
          <w:tcPr>
            <w:tcW w:w="3969" w:type="dxa"/>
            <w:tcBorders>
              <w:top w:val="nil"/>
              <w:left w:val="nil"/>
              <w:bottom w:val="single" w:sz="8" w:space="0" w:color="auto"/>
              <w:right w:val="nil"/>
            </w:tcBorders>
            <w:shd w:val="clear" w:color="auto" w:fill="FFFFFF"/>
            <w:vAlign w:val="center"/>
          </w:tcPr>
          <w:p w14:paraId="09722201"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学校和教育服务—未在其他地方分类</w:t>
            </w:r>
          </w:p>
        </w:tc>
      </w:tr>
      <w:tr w:rsidR="00A052DC" w14:paraId="42093392"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6484FC9A"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5CDB82C6"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8351</w:t>
            </w:r>
          </w:p>
        </w:tc>
        <w:tc>
          <w:tcPr>
            <w:tcW w:w="3969" w:type="dxa"/>
            <w:tcBorders>
              <w:top w:val="nil"/>
              <w:left w:val="nil"/>
              <w:bottom w:val="single" w:sz="8" w:space="0" w:color="auto"/>
              <w:right w:val="nil"/>
            </w:tcBorders>
            <w:shd w:val="clear" w:color="auto" w:fill="FFFFFF"/>
            <w:vAlign w:val="center"/>
          </w:tcPr>
          <w:p w14:paraId="6C34D62B"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儿童照料服务</w:t>
            </w:r>
          </w:p>
        </w:tc>
      </w:tr>
      <w:tr w:rsidR="00A052DC" w14:paraId="36A89F9D" w14:textId="77777777">
        <w:trPr>
          <w:trHeight w:val="387"/>
        </w:trPr>
        <w:tc>
          <w:tcPr>
            <w:tcW w:w="1855" w:type="dxa"/>
            <w:tcBorders>
              <w:top w:val="single" w:sz="4" w:space="0" w:color="auto"/>
              <w:bottom w:val="single" w:sz="4" w:space="0" w:color="auto"/>
              <w:right w:val="single" w:sz="4" w:space="0" w:color="auto"/>
            </w:tcBorders>
            <w:shd w:val="clear" w:color="auto" w:fill="auto"/>
            <w:noWrap/>
            <w:vAlign w:val="center"/>
          </w:tcPr>
          <w:p w14:paraId="760C3CEE"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color w:val="000000"/>
                <w:kern w:val="0"/>
                <w:sz w:val="20"/>
                <w:szCs w:val="20"/>
              </w:rPr>
              <w:t>6.其他服务</w:t>
            </w:r>
          </w:p>
        </w:tc>
        <w:tc>
          <w:tcPr>
            <w:tcW w:w="2552" w:type="dxa"/>
            <w:tcBorders>
              <w:top w:val="nil"/>
              <w:left w:val="nil"/>
              <w:bottom w:val="single" w:sz="4" w:space="0" w:color="auto"/>
              <w:right w:val="single" w:sz="4" w:space="0" w:color="auto"/>
            </w:tcBorders>
            <w:shd w:val="clear" w:color="auto" w:fill="FFFFFF"/>
            <w:vAlign w:val="center"/>
          </w:tcPr>
          <w:p w14:paraId="4E8A6EF2" w14:textId="77777777" w:rsidR="00A052DC" w:rsidRDefault="009F0A60">
            <w:pPr>
              <w:widowControl/>
              <w:jc w:val="center"/>
              <w:rPr>
                <w:rFonts w:ascii="黑体" w:eastAsia="黑体" w:hAnsi="黑体" w:cs="宋体"/>
                <w:color w:val="000000"/>
                <w:kern w:val="0"/>
                <w:sz w:val="20"/>
                <w:szCs w:val="20"/>
              </w:rPr>
            </w:pPr>
            <w:r>
              <w:rPr>
                <w:rFonts w:ascii="黑体" w:eastAsia="黑体" w:hAnsi="黑体" w:cs="宋体"/>
                <w:color w:val="000000"/>
                <w:kern w:val="0"/>
                <w:sz w:val="20"/>
                <w:szCs w:val="20"/>
              </w:rPr>
              <w:t>6.1其他服务1</w:t>
            </w:r>
          </w:p>
        </w:tc>
        <w:tc>
          <w:tcPr>
            <w:tcW w:w="3969" w:type="dxa"/>
            <w:tcBorders>
              <w:top w:val="nil"/>
              <w:left w:val="nil"/>
              <w:bottom w:val="single" w:sz="8" w:space="0" w:color="auto"/>
              <w:right w:val="nil"/>
            </w:tcBorders>
            <w:shd w:val="clear" w:color="auto" w:fill="FFFFFF"/>
            <w:vAlign w:val="center"/>
          </w:tcPr>
          <w:p w14:paraId="2FCF16C0" w14:textId="77777777" w:rsidR="00A052DC" w:rsidRDefault="00A052DC">
            <w:pPr>
              <w:widowControl/>
              <w:jc w:val="center"/>
              <w:rPr>
                <w:rFonts w:ascii="黑体" w:eastAsia="黑体" w:hAnsi="黑体" w:cs="宋体"/>
                <w:b/>
                <w:bCs/>
                <w:color w:val="000000"/>
                <w:kern w:val="0"/>
                <w:sz w:val="20"/>
                <w:szCs w:val="20"/>
              </w:rPr>
            </w:pPr>
          </w:p>
        </w:tc>
      </w:tr>
      <w:tr w:rsidR="00A052DC" w14:paraId="70BB6EEF"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7E001808"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64A6EE7A"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0742</w:t>
            </w:r>
          </w:p>
        </w:tc>
        <w:tc>
          <w:tcPr>
            <w:tcW w:w="3969" w:type="dxa"/>
            <w:tcBorders>
              <w:top w:val="nil"/>
              <w:left w:val="nil"/>
              <w:bottom w:val="single" w:sz="8" w:space="0" w:color="auto"/>
              <w:right w:val="nil"/>
            </w:tcBorders>
            <w:shd w:val="clear" w:color="auto" w:fill="FFFFFF"/>
            <w:vAlign w:val="center"/>
          </w:tcPr>
          <w:p w14:paraId="7317BD05"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兽医服务</w:t>
            </w:r>
          </w:p>
        </w:tc>
      </w:tr>
      <w:tr w:rsidR="00A052DC" w14:paraId="2C378F3A"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619BCC6B"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30FE1FFB"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0780</w:t>
            </w:r>
          </w:p>
        </w:tc>
        <w:tc>
          <w:tcPr>
            <w:tcW w:w="3969" w:type="dxa"/>
            <w:tcBorders>
              <w:top w:val="nil"/>
              <w:left w:val="nil"/>
              <w:bottom w:val="single" w:sz="8" w:space="0" w:color="auto"/>
              <w:right w:val="nil"/>
            </w:tcBorders>
            <w:shd w:val="clear" w:color="auto" w:fill="FFFFFF"/>
            <w:vAlign w:val="center"/>
          </w:tcPr>
          <w:p w14:paraId="201DA45F"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园艺、景观美化服务</w:t>
            </w:r>
          </w:p>
        </w:tc>
      </w:tr>
      <w:tr w:rsidR="00A052DC" w14:paraId="28200C9A"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6A7E7F2E"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11E2031F"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1520</w:t>
            </w:r>
          </w:p>
        </w:tc>
        <w:tc>
          <w:tcPr>
            <w:tcW w:w="3969" w:type="dxa"/>
            <w:tcBorders>
              <w:top w:val="nil"/>
              <w:left w:val="nil"/>
              <w:bottom w:val="single" w:sz="8" w:space="0" w:color="auto"/>
              <w:right w:val="nil"/>
            </w:tcBorders>
            <w:shd w:val="clear" w:color="auto" w:fill="FFFFFF"/>
            <w:vAlign w:val="center"/>
          </w:tcPr>
          <w:p w14:paraId="269E75F5"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总承包商—民用和商业建筑</w:t>
            </w:r>
          </w:p>
        </w:tc>
      </w:tr>
      <w:tr w:rsidR="00A052DC" w14:paraId="60B8C415"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70902631"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6516131F"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1711</w:t>
            </w:r>
          </w:p>
        </w:tc>
        <w:tc>
          <w:tcPr>
            <w:tcW w:w="3969" w:type="dxa"/>
            <w:tcBorders>
              <w:top w:val="nil"/>
              <w:left w:val="nil"/>
              <w:bottom w:val="single" w:sz="8" w:space="0" w:color="auto"/>
              <w:right w:val="nil"/>
            </w:tcBorders>
            <w:shd w:val="clear" w:color="auto" w:fill="FFFFFF"/>
            <w:vAlign w:val="center"/>
          </w:tcPr>
          <w:p w14:paraId="1AE866B4"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空调、供暖、管道设备服务</w:t>
            </w:r>
          </w:p>
        </w:tc>
      </w:tr>
      <w:tr w:rsidR="00A052DC" w14:paraId="345BAA54"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2B47386A"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664C0BBA"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1731</w:t>
            </w:r>
          </w:p>
        </w:tc>
        <w:tc>
          <w:tcPr>
            <w:tcW w:w="3969" w:type="dxa"/>
            <w:tcBorders>
              <w:top w:val="nil"/>
              <w:left w:val="nil"/>
              <w:bottom w:val="single" w:sz="8" w:space="0" w:color="auto"/>
              <w:right w:val="nil"/>
            </w:tcBorders>
            <w:shd w:val="clear" w:color="auto" w:fill="FFFFFF"/>
            <w:vAlign w:val="center"/>
          </w:tcPr>
          <w:p w14:paraId="0E6ADAE1"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电子服务</w:t>
            </w:r>
          </w:p>
        </w:tc>
      </w:tr>
      <w:tr w:rsidR="00A052DC" w14:paraId="2DB4032D"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3BA22205"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55FFFAEC"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1740</w:t>
            </w:r>
          </w:p>
        </w:tc>
        <w:tc>
          <w:tcPr>
            <w:tcW w:w="3969" w:type="dxa"/>
            <w:tcBorders>
              <w:top w:val="nil"/>
              <w:left w:val="nil"/>
              <w:bottom w:val="single" w:sz="8" w:space="0" w:color="auto"/>
              <w:right w:val="nil"/>
            </w:tcBorders>
            <w:shd w:val="clear" w:color="auto" w:fill="FFFFFF"/>
            <w:vAlign w:val="center"/>
          </w:tcPr>
          <w:p w14:paraId="584A1928"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石工、石雕、瓷砖安装、粉刷与绝缘承包服务</w:t>
            </w:r>
          </w:p>
        </w:tc>
      </w:tr>
      <w:tr w:rsidR="00A052DC" w14:paraId="20EF22A3"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6DEAA18C"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5D446DA5"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1750</w:t>
            </w:r>
          </w:p>
        </w:tc>
        <w:tc>
          <w:tcPr>
            <w:tcW w:w="3969" w:type="dxa"/>
            <w:tcBorders>
              <w:top w:val="nil"/>
              <w:left w:val="nil"/>
              <w:bottom w:val="single" w:sz="8" w:space="0" w:color="auto"/>
              <w:right w:val="nil"/>
            </w:tcBorders>
            <w:shd w:val="clear" w:color="auto" w:fill="FFFFFF"/>
            <w:vAlign w:val="center"/>
          </w:tcPr>
          <w:p w14:paraId="252F4176"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木匠服务</w:t>
            </w:r>
          </w:p>
        </w:tc>
      </w:tr>
      <w:tr w:rsidR="00A052DC" w14:paraId="351B6C57"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111087BB"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4233D378"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1761</w:t>
            </w:r>
          </w:p>
        </w:tc>
        <w:tc>
          <w:tcPr>
            <w:tcW w:w="3969" w:type="dxa"/>
            <w:tcBorders>
              <w:top w:val="nil"/>
              <w:left w:val="nil"/>
              <w:bottom w:val="single" w:sz="8" w:space="0" w:color="auto"/>
              <w:right w:val="nil"/>
            </w:tcBorders>
            <w:shd w:val="clear" w:color="auto" w:fill="FFFFFF"/>
            <w:vAlign w:val="center"/>
          </w:tcPr>
          <w:p w14:paraId="594487D2"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屋顶、壁板、金属片安装</w:t>
            </w:r>
          </w:p>
        </w:tc>
      </w:tr>
      <w:tr w:rsidR="00A052DC" w14:paraId="0C4E658C"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78181267"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4E870097"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1771</w:t>
            </w:r>
          </w:p>
        </w:tc>
        <w:tc>
          <w:tcPr>
            <w:tcW w:w="3969" w:type="dxa"/>
            <w:tcBorders>
              <w:top w:val="nil"/>
              <w:left w:val="nil"/>
              <w:bottom w:val="single" w:sz="8" w:space="0" w:color="auto"/>
              <w:right w:val="nil"/>
            </w:tcBorders>
            <w:shd w:val="clear" w:color="auto" w:fill="FFFFFF"/>
            <w:vAlign w:val="center"/>
          </w:tcPr>
          <w:p w14:paraId="2C2E6E68"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混凝土工程</w:t>
            </w:r>
          </w:p>
        </w:tc>
      </w:tr>
      <w:tr w:rsidR="00A052DC" w14:paraId="1BF76724"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369A7690"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5EC34FD2"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1799</w:t>
            </w:r>
          </w:p>
        </w:tc>
        <w:tc>
          <w:tcPr>
            <w:tcW w:w="3969" w:type="dxa"/>
            <w:tcBorders>
              <w:top w:val="nil"/>
              <w:left w:val="nil"/>
              <w:bottom w:val="single" w:sz="4" w:space="0" w:color="auto"/>
              <w:right w:val="nil"/>
            </w:tcBorders>
            <w:shd w:val="clear" w:color="auto" w:fill="FFFFFF"/>
            <w:vAlign w:val="center"/>
          </w:tcPr>
          <w:p w14:paraId="05DA1F82"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合同商—未包括在其他类别之中的</w:t>
            </w:r>
          </w:p>
        </w:tc>
      </w:tr>
      <w:tr w:rsidR="00A052DC" w14:paraId="4E00EF9F"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7D3C8A4B"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single" w:sz="4" w:space="0" w:color="auto"/>
              <w:left w:val="nil"/>
              <w:bottom w:val="single" w:sz="4" w:space="0" w:color="auto"/>
              <w:right w:val="single" w:sz="4" w:space="0" w:color="auto"/>
            </w:tcBorders>
            <w:shd w:val="clear" w:color="auto" w:fill="FFFFFF"/>
            <w:vAlign w:val="center"/>
          </w:tcPr>
          <w:p w14:paraId="1692649F"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2741</w:t>
            </w:r>
          </w:p>
        </w:tc>
        <w:tc>
          <w:tcPr>
            <w:tcW w:w="3969" w:type="dxa"/>
            <w:tcBorders>
              <w:top w:val="single" w:sz="4" w:space="0" w:color="auto"/>
              <w:left w:val="nil"/>
              <w:bottom w:val="single" w:sz="8" w:space="0" w:color="auto"/>
              <w:right w:val="nil"/>
            </w:tcBorders>
            <w:shd w:val="clear" w:color="auto" w:fill="FFFFFF"/>
            <w:vAlign w:val="center"/>
          </w:tcPr>
          <w:p w14:paraId="092AE788"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各式各样的出版和印刷服务</w:t>
            </w:r>
          </w:p>
        </w:tc>
      </w:tr>
      <w:tr w:rsidR="00A052DC" w14:paraId="35029522"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14F58ED7"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2B758D0C"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2791</w:t>
            </w:r>
          </w:p>
        </w:tc>
        <w:tc>
          <w:tcPr>
            <w:tcW w:w="3969" w:type="dxa"/>
            <w:tcBorders>
              <w:top w:val="nil"/>
              <w:left w:val="nil"/>
              <w:bottom w:val="single" w:sz="8" w:space="0" w:color="auto"/>
              <w:right w:val="nil"/>
            </w:tcBorders>
            <w:shd w:val="clear" w:color="auto" w:fill="FFFFFF"/>
            <w:vAlign w:val="center"/>
          </w:tcPr>
          <w:p w14:paraId="57B0CF03"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排版、制版及相关服务</w:t>
            </w:r>
          </w:p>
        </w:tc>
      </w:tr>
      <w:tr w:rsidR="00A052DC" w14:paraId="0165976F"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3F201A89"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4DA6C3CC"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4813</w:t>
            </w:r>
          </w:p>
        </w:tc>
        <w:tc>
          <w:tcPr>
            <w:tcW w:w="3969" w:type="dxa"/>
            <w:tcBorders>
              <w:top w:val="nil"/>
              <w:left w:val="nil"/>
              <w:bottom w:val="single" w:sz="8" w:space="0" w:color="auto"/>
              <w:right w:val="nil"/>
            </w:tcBorders>
            <w:shd w:val="clear" w:color="auto" w:fill="FFFFFF"/>
            <w:vAlign w:val="center"/>
          </w:tcPr>
          <w:p w14:paraId="11B254A2"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键盘登录式电信运营商</w:t>
            </w:r>
          </w:p>
        </w:tc>
      </w:tr>
      <w:tr w:rsidR="00A052DC" w14:paraId="1CB74E0A"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316F22DD"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0F995234"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4814</w:t>
            </w:r>
          </w:p>
        </w:tc>
        <w:tc>
          <w:tcPr>
            <w:tcW w:w="3969" w:type="dxa"/>
            <w:tcBorders>
              <w:top w:val="nil"/>
              <w:left w:val="nil"/>
              <w:bottom w:val="single" w:sz="8" w:space="0" w:color="auto"/>
              <w:right w:val="nil"/>
            </w:tcBorders>
            <w:shd w:val="clear" w:color="auto" w:fill="FFFFFF"/>
            <w:vAlign w:val="center"/>
          </w:tcPr>
          <w:p w14:paraId="07F352AC"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电信服务，包括市话和长途电话、信用卡电话、磁卡电话和传真电话业务等</w:t>
            </w:r>
          </w:p>
        </w:tc>
      </w:tr>
      <w:tr w:rsidR="00A052DC" w14:paraId="538A7BBA"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3F39A4A5"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216E2952"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4815</w:t>
            </w:r>
          </w:p>
        </w:tc>
        <w:tc>
          <w:tcPr>
            <w:tcW w:w="3969" w:type="dxa"/>
            <w:tcBorders>
              <w:top w:val="nil"/>
              <w:left w:val="nil"/>
              <w:bottom w:val="single" w:sz="8" w:space="0" w:color="auto"/>
              <w:right w:val="nil"/>
            </w:tcBorders>
            <w:shd w:val="clear" w:color="auto" w:fill="FFFFFF"/>
            <w:vAlign w:val="center"/>
          </w:tcPr>
          <w:p w14:paraId="1A33E2A4"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每月电话汇总清账</w:t>
            </w:r>
          </w:p>
        </w:tc>
      </w:tr>
      <w:tr w:rsidR="00A052DC" w14:paraId="31C5C37E"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02B979B9"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207F57F2"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4816</w:t>
            </w:r>
          </w:p>
        </w:tc>
        <w:tc>
          <w:tcPr>
            <w:tcW w:w="3969" w:type="dxa"/>
            <w:tcBorders>
              <w:top w:val="nil"/>
              <w:left w:val="nil"/>
              <w:bottom w:val="single" w:sz="8" w:space="0" w:color="auto"/>
              <w:right w:val="nil"/>
            </w:tcBorders>
            <w:shd w:val="clear" w:color="auto" w:fill="FFFFFF"/>
            <w:vAlign w:val="center"/>
          </w:tcPr>
          <w:p w14:paraId="505D990F"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计算机网络</w:t>
            </w:r>
            <w:r>
              <w:rPr>
                <w:rFonts w:ascii="黑体" w:eastAsia="黑体" w:hAnsi="黑体" w:cs="宋体"/>
                <w:color w:val="000000"/>
                <w:kern w:val="0"/>
                <w:sz w:val="20"/>
                <w:szCs w:val="20"/>
              </w:rPr>
              <w:t>/信息服务</w:t>
            </w:r>
          </w:p>
        </w:tc>
      </w:tr>
      <w:tr w:rsidR="00A052DC" w14:paraId="7DE57489"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0AE999F6"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3EC41609"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4821</w:t>
            </w:r>
          </w:p>
        </w:tc>
        <w:tc>
          <w:tcPr>
            <w:tcW w:w="3969" w:type="dxa"/>
            <w:tcBorders>
              <w:top w:val="nil"/>
              <w:left w:val="nil"/>
              <w:bottom w:val="single" w:sz="8" w:space="0" w:color="auto"/>
              <w:right w:val="nil"/>
            </w:tcBorders>
            <w:shd w:val="clear" w:color="auto" w:fill="FFFFFF"/>
            <w:vAlign w:val="center"/>
          </w:tcPr>
          <w:p w14:paraId="038E1C6F"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电报服务</w:t>
            </w:r>
          </w:p>
        </w:tc>
      </w:tr>
      <w:tr w:rsidR="00A052DC" w14:paraId="711E43A3"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66B49E08"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3A1F9942"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4899</w:t>
            </w:r>
          </w:p>
        </w:tc>
        <w:tc>
          <w:tcPr>
            <w:tcW w:w="3969" w:type="dxa"/>
            <w:tcBorders>
              <w:top w:val="nil"/>
              <w:left w:val="nil"/>
              <w:bottom w:val="single" w:sz="8" w:space="0" w:color="auto"/>
              <w:right w:val="nil"/>
            </w:tcBorders>
            <w:shd w:val="clear" w:color="auto" w:fill="FFFFFF"/>
            <w:vAlign w:val="center"/>
          </w:tcPr>
          <w:p w14:paraId="69475895"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电缆及其他收费电视服务</w:t>
            </w:r>
          </w:p>
        </w:tc>
      </w:tr>
      <w:tr w:rsidR="00A052DC" w14:paraId="33921012"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3115B98E"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297C4172"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5051</w:t>
            </w:r>
          </w:p>
        </w:tc>
        <w:tc>
          <w:tcPr>
            <w:tcW w:w="3969" w:type="dxa"/>
            <w:tcBorders>
              <w:top w:val="nil"/>
              <w:left w:val="nil"/>
              <w:bottom w:val="single" w:sz="8" w:space="0" w:color="auto"/>
              <w:right w:val="nil"/>
            </w:tcBorders>
            <w:shd w:val="clear" w:color="auto" w:fill="FFFFFF"/>
            <w:vAlign w:val="center"/>
          </w:tcPr>
          <w:p w14:paraId="1EE7897C"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金属服务中心或办公室</w:t>
            </w:r>
          </w:p>
        </w:tc>
      </w:tr>
      <w:tr w:rsidR="00A052DC" w14:paraId="631EDDA5"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057F5AF5"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01D1295F"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5192</w:t>
            </w:r>
          </w:p>
        </w:tc>
        <w:tc>
          <w:tcPr>
            <w:tcW w:w="3969" w:type="dxa"/>
            <w:tcBorders>
              <w:top w:val="nil"/>
              <w:left w:val="nil"/>
              <w:bottom w:val="single" w:sz="8" w:space="0" w:color="auto"/>
              <w:right w:val="nil"/>
            </w:tcBorders>
            <w:shd w:val="clear" w:color="auto" w:fill="FFFFFF"/>
            <w:vAlign w:val="center"/>
          </w:tcPr>
          <w:p w14:paraId="502CD61C"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书籍、期刊、报纸</w:t>
            </w:r>
          </w:p>
        </w:tc>
      </w:tr>
      <w:tr w:rsidR="00A052DC" w14:paraId="36BF0913"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3229DBE2"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0AE537E2"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5697</w:t>
            </w:r>
          </w:p>
        </w:tc>
        <w:tc>
          <w:tcPr>
            <w:tcW w:w="3969" w:type="dxa"/>
            <w:tcBorders>
              <w:top w:val="nil"/>
              <w:left w:val="nil"/>
              <w:bottom w:val="single" w:sz="8" w:space="0" w:color="auto"/>
              <w:right w:val="nil"/>
            </w:tcBorders>
            <w:shd w:val="clear" w:color="auto" w:fill="FFFFFF"/>
            <w:vAlign w:val="center"/>
          </w:tcPr>
          <w:p w14:paraId="169D9738"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裁缝、针线活、修补、服装修改</w:t>
            </w:r>
          </w:p>
        </w:tc>
      </w:tr>
      <w:tr w:rsidR="00A052DC" w14:paraId="49C4E6CF"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59CBED8D"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7F651748"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5935</w:t>
            </w:r>
          </w:p>
        </w:tc>
        <w:tc>
          <w:tcPr>
            <w:tcW w:w="3969" w:type="dxa"/>
            <w:tcBorders>
              <w:top w:val="nil"/>
              <w:left w:val="nil"/>
              <w:bottom w:val="single" w:sz="8" w:space="0" w:color="auto"/>
              <w:right w:val="nil"/>
            </w:tcBorders>
            <w:shd w:val="clear" w:color="auto" w:fill="FFFFFF"/>
            <w:vAlign w:val="center"/>
          </w:tcPr>
          <w:p w14:paraId="643B15EC"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打捞救助场</w:t>
            </w:r>
          </w:p>
        </w:tc>
      </w:tr>
      <w:tr w:rsidR="00A052DC" w14:paraId="1C6C1BD2"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21D77881"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6236B684"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5960</w:t>
            </w:r>
          </w:p>
        </w:tc>
        <w:tc>
          <w:tcPr>
            <w:tcW w:w="3969" w:type="dxa"/>
            <w:tcBorders>
              <w:top w:val="nil"/>
              <w:left w:val="nil"/>
              <w:bottom w:val="single" w:sz="8" w:space="0" w:color="auto"/>
              <w:right w:val="nil"/>
            </w:tcBorders>
            <w:shd w:val="clear" w:color="auto" w:fill="FFFFFF"/>
            <w:vAlign w:val="center"/>
          </w:tcPr>
          <w:p w14:paraId="6804D4FF"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直销—保险服务</w:t>
            </w:r>
          </w:p>
        </w:tc>
      </w:tr>
      <w:tr w:rsidR="00A052DC" w14:paraId="16A36E56"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7A741151"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51C93BF2"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5962</w:t>
            </w:r>
          </w:p>
        </w:tc>
        <w:tc>
          <w:tcPr>
            <w:tcW w:w="3969" w:type="dxa"/>
            <w:tcBorders>
              <w:top w:val="nil"/>
              <w:left w:val="nil"/>
              <w:bottom w:val="single" w:sz="8" w:space="0" w:color="auto"/>
              <w:right w:val="nil"/>
            </w:tcBorders>
            <w:shd w:val="clear" w:color="auto" w:fill="FFFFFF"/>
            <w:vAlign w:val="center"/>
          </w:tcPr>
          <w:p w14:paraId="300DA5EE"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电话销售——旅游安排服务</w:t>
            </w:r>
          </w:p>
        </w:tc>
      </w:tr>
      <w:tr w:rsidR="00A052DC" w14:paraId="7FAAD03E"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16CC88AD"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3FA40780"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5963</w:t>
            </w:r>
          </w:p>
        </w:tc>
        <w:tc>
          <w:tcPr>
            <w:tcW w:w="3969" w:type="dxa"/>
            <w:tcBorders>
              <w:top w:val="nil"/>
              <w:left w:val="nil"/>
              <w:bottom w:val="single" w:sz="8" w:space="0" w:color="auto"/>
              <w:right w:val="nil"/>
            </w:tcBorders>
            <w:shd w:val="clear" w:color="auto" w:fill="FFFFFF"/>
            <w:vAlign w:val="center"/>
          </w:tcPr>
          <w:p w14:paraId="12C08B40"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挨户访问的销售</w:t>
            </w:r>
          </w:p>
        </w:tc>
      </w:tr>
      <w:tr w:rsidR="00A052DC" w14:paraId="451C708B"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5703CAFD"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478F3E7A"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5964</w:t>
            </w:r>
          </w:p>
        </w:tc>
        <w:tc>
          <w:tcPr>
            <w:tcW w:w="3969" w:type="dxa"/>
            <w:tcBorders>
              <w:top w:val="nil"/>
              <w:left w:val="nil"/>
              <w:bottom w:val="single" w:sz="8" w:space="0" w:color="auto"/>
              <w:right w:val="nil"/>
            </w:tcBorders>
            <w:shd w:val="clear" w:color="auto" w:fill="FFFFFF"/>
            <w:vAlign w:val="center"/>
          </w:tcPr>
          <w:p w14:paraId="5D5C9DBE"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直接营销——目录商户</w:t>
            </w:r>
          </w:p>
        </w:tc>
      </w:tr>
      <w:tr w:rsidR="00A052DC" w14:paraId="3CFC4AD6"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6F165B43"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47B80037"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5965</w:t>
            </w:r>
          </w:p>
        </w:tc>
        <w:tc>
          <w:tcPr>
            <w:tcW w:w="3969" w:type="dxa"/>
            <w:tcBorders>
              <w:top w:val="nil"/>
              <w:left w:val="nil"/>
              <w:bottom w:val="single" w:sz="8" w:space="0" w:color="auto"/>
              <w:right w:val="nil"/>
            </w:tcBorders>
            <w:shd w:val="clear" w:color="auto" w:fill="FFFFFF"/>
            <w:vAlign w:val="center"/>
          </w:tcPr>
          <w:p w14:paraId="78ED26F4"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直接营销——目录和零售商户的组合</w:t>
            </w:r>
          </w:p>
        </w:tc>
      </w:tr>
      <w:tr w:rsidR="00A052DC" w14:paraId="11C60586"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35CFD8AC"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01B80BAA"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5966</w:t>
            </w:r>
          </w:p>
        </w:tc>
        <w:tc>
          <w:tcPr>
            <w:tcW w:w="3969" w:type="dxa"/>
            <w:tcBorders>
              <w:top w:val="nil"/>
              <w:left w:val="nil"/>
              <w:bottom w:val="single" w:sz="8" w:space="0" w:color="auto"/>
              <w:right w:val="nil"/>
            </w:tcBorders>
            <w:shd w:val="clear" w:color="auto" w:fill="FFFFFF"/>
            <w:vAlign w:val="center"/>
          </w:tcPr>
          <w:p w14:paraId="0CA42FAF"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直接营销——商户主动联系式的电话销售</w:t>
            </w:r>
          </w:p>
        </w:tc>
      </w:tr>
      <w:tr w:rsidR="00A052DC" w14:paraId="22E1DFA5"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74CEB1F2"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388D7E6C"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5967</w:t>
            </w:r>
          </w:p>
        </w:tc>
        <w:tc>
          <w:tcPr>
            <w:tcW w:w="3969" w:type="dxa"/>
            <w:tcBorders>
              <w:top w:val="nil"/>
              <w:left w:val="nil"/>
              <w:bottom w:val="single" w:sz="8" w:space="0" w:color="auto"/>
              <w:right w:val="nil"/>
            </w:tcBorders>
            <w:shd w:val="clear" w:color="auto" w:fill="FFFFFF"/>
            <w:vAlign w:val="center"/>
          </w:tcPr>
          <w:p w14:paraId="2737CDE0"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直接营销——客户主动联系式的电话销售</w:t>
            </w:r>
          </w:p>
        </w:tc>
      </w:tr>
      <w:tr w:rsidR="00A052DC" w14:paraId="339E6F18"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4E4D8B8A"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0FEF1BBB"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5968</w:t>
            </w:r>
          </w:p>
        </w:tc>
        <w:tc>
          <w:tcPr>
            <w:tcW w:w="3969" w:type="dxa"/>
            <w:tcBorders>
              <w:top w:val="nil"/>
              <w:left w:val="nil"/>
              <w:bottom w:val="single" w:sz="8" w:space="0" w:color="auto"/>
              <w:right w:val="nil"/>
            </w:tcBorders>
            <w:shd w:val="clear" w:color="auto" w:fill="FFFFFF"/>
            <w:vAlign w:val="center"/>
          </w:tcPr>
          <w:p w14:paraId="63078C4E"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直接营销——连续的</w:t>
            </w:r>
            <w:r>
              <w:rPr>
                <w:rFonts w:ascii="黑体" w:eastAsia="黑体" w:hAnsi="黑体" w:cs="宋体"/>
                <w:color w:val="000000"/>
                <w:kern w:val="0"/>
                <w:sz w:val="20"/>
                <w:szCs w:val="20"/>
              </w:rPr>
              <w:t>/订阅商</w:t>
            </w:r>
          </w:p>
        </w:tc>
      </w:tr>
      <w:tr w:rsidR="00A052DC" w14:paraId="28A5F159"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6018AEA1"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2DF03832"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5969</w:t>
            </w:r>
          </w:p>
        </w:tc>
        <w:tc>
          <w:tcPr>
            <w:tcW w:w="3969" w:type="dxa"/>
            <w:tcBorders>
              <w:top w:val="nil"/>
              <w:left w:val="nil"/>
              <w:bottom w:val="single" w:sz="8" w:space="0" w:color="auto"/>
              <w:right w:val="nil"/>
            </w:tcBorders>
            <w:shd w:val="clear" w:color="auto" w:fill="FFFFFF"/>
            <w:vAlign w:val="center"/>
          </w:tcPr>
          <w:p w14:paraId="73A8AA9B"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直接营销</w:t>
            </w:r>
            <w:r>
              <w:rPr>
                <w:rFonts w:ascii="黑体" w:eastAsia="黑体" w:hAnsi="黑体" w:cs="宋体"/>
                <w:color w:val="000000"/>
                <w:kern w:val="0"/>
                <w:sz w:val="20"/>
                <w:szCs w:val="20"/>
              </w:rPr>
              <w:t>/直接市场商人—未在其他地方归类</w:t>
            </w:r>
          </w:p>
        </w:tc>
      </w:tr>
      <w:tr w:rsidR="00A052DC" w14:paraId="5D4B7C92"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0128B2AF"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115BA4C4"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6300</w:t>
            </w:r>
          </w:p>
        </w:tc>
        <w:tc>
          <w:tcPr>
            <w:tcW w:w="3969" w:type="dxa"/>
            <w:tcBorders>
              <w:top w:val="nil"/>
              <w:left w:val="nil"/>
              <w:bottom w:val="single" w:sz="8" w:space="0" w:color="auto"/>
              <w:right w:val="nil"/>
            </w:tcBorders>
            <w:shd w:val="clear" w:color="auto" w:fill="FFFFFF"/>
            <w:vAlign w:val="center"/>
          </w:tcPr>
          <w:p w14:paraId="03CCA7BC"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保险销售，承销和保险费</w:t>
            </w:r>
          </w:p>
        </w:tc>
      </w:tr>
      <w:tr w:rsidR="00A052DC" w14:paraId="4AAA0CDE"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33F6E81C"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22334E18"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6381</w:t>
            </w:r>
          </w:p>
        </w:tc>
        <w:tc>
          <w:tcPr>
            <w:tcW w:w="3969" w:type="dxa"/>
            <w:tcBorders>
              <w:top w:val="nil"/>
              <w:left w:val="nil"/>
              <w:bottom w:val="single" w:sz="8" w:space="0" w:color="auto"/>
              <w:right w:val="nil"/>
            </w:tcBorders>
            <w:shd w:val="clear" w:color="auto" w:fill="FFFFFF"/>
            <w:vAlign w:val="center"/>
          </w:tcPr>
          <w:p w14:paraId="2547B2FB"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保险</w:t>
            </w:r>
          </w:p>
        </w:tc>
      </w:tr>
      <w:tr w:rsidR="00A052DC" w14:paraId="45406069"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78BC77A3"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7146A3FE"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6399</w:t>
            </w:r>
          </w:p>
        </w:tc>
        <w:tc>
          <w:tcPr>
            <w:tcW w:w="3969" w:type="dxa"/>
            <w:tcBorders>
              <w:top w:val="nil"/>
              <w:left w:val="nil"/>
              <w:bottom w:val="single" w:sz="8" w:space="0" w:color="auto"/>
              <w:right w:val="nil"/>
            </w:tcBorders>
            <w:shd w:val="clear" w:color="auto" w:fill="FFFFFF"/>
            <w:vAlign w:val="center"/>
          </w:tcPr>
          <w:p w14:paraId="3E0E4A2C"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保险</w:t>
            </w:r>
            <w:r w:rsidR="00891512">
              <w:rPr>
                <w:rFonts w:ascii="黑体" w:eastAsia="黑体" w:hAnsi="黑体" w:cs="宋体" w:hint="eastAsia"/>
                <w:color w:val="000000"/>
                <w:kern w:val="0"/>
                <w:sz w:val="20"/>
                <w:szCs w:val="20"/>
              </w:rPr>
              <w:t>—</w:t>
            </w:r>
            <w:r>
              <w:rPr>
                <w:rFonts w:ascii="黑体" w:eastAsia="黑体" w:hAnsi="黑体" w:cs="宋体" w:hint="eastAsia"/>
                <w:color w:val="000000"/>
                <w:kern w:val="0"/>
                <w:sz w:val="20"/>
                <w:szCs w:val="20"/>
              </w:rPr>
              <w:t>未分类</w:t>
            </w:r>
          </w:p>
        </w:tc>
      </w:tr>
      <w:tr w:rsidR="00A052DC" w14:paraId="10FFF8F4"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51BF8199"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3ADBA22D"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7032</w:t>
            </w:r>
          </w:p>
        </w:tc>
        <w:tc>
          <w:tcPr>
            <w:tcW w:w="3969" w:type="dxa"/>
            <w:tcBorders>
              <w:top w:val="nil"/>
              <w:left w:val="nil"/>
              <w:bottom w:val="single" w:sz="8" w:space="0" w:color="auto"/>
              <w:right w:val="nil"/>
            </w:tcBorders>
            <w:shd w:val="clear" w:color="auto" w:fill="FFFFFF"/>
            <w:vAlign w:val="center"/>
          </w:tcPr>
          <w:p w14:paraId="16E958CA"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运动和娱乐营地</w:t>
            </w:r>
          </w:p>
        </w:tc>
      </w:tr>
      <w:tr w:rsidR="00A052DC" w14:paraId="708B5228"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46FE6BA0"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2973C1CD"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7033</w:t>
            </w:r>
          </w:p>
        </w:tc>
        <w:tc>
          <w:tcPr>
            <w:tcW w:w="3969" w:type="dxa"/>
            <w:tcBorders>
              <w:top w:val="nil"/>
              <w:left w:val="nil"/>
              <w:bottom w:val="single" w:sz="8" w:space="0" w:color="auto"/>
              <w:right w:val="nil"/>
            </w:tcBorders>
            <w:shd w:val="clear" w:color="auto" w:fill="FFFFFF"/>
            <w:vAlign w:val="center"/>
          </w:tcPr>
          <w:p w14:paraId="58DEA5CB"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color w:val="000000"/>
                <w:kern w:val="0"/>
                <w:sz w:val="20"/>
                <w:szCs w:val="20"/>
              </w:rPr>
              <w:t>(家庭拖车)停车场和野营地</w:t>
            </w:r>
          </w:p>
        </w:tc>
      </w:tr>
      <w:tr w:rsidR="00A052DC" w14:paraId="1674A4BC"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2BDBBA93"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27915E90"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7210</w:t>
            </w:r>
          </w:p>
        </w:tc>
        <w:tc>
          <w:tcPr>
            <w:tcW w:w="3969" w:type="dxa"/>
            <w:tcBorders>
              <w:top w:val="nil"/>
              <w:left w:val="nil"/>
              <w:bottom w:val="single" w:sz="8" w:space="0" w:color="auto"/>
              <w:right w:val="nil"/>
            </w:tcBorders>
            <w:shd w:val="clear" w:color="auto" w:fill="FFFFFF"/>
            <w:vAlign w:val="center"/>
          </w:tcPr>
          <w:p w14:paraId="0EE586E4"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干洗、清洁和服装服务</w:t>
            </w:r>
          </w:p>
        </w:tc>
      </w:tr>
      <w:tr w:rsidR="00A052DC" w14:paraId="4B807EAB"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13E073DA"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24C92479"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7211</w:t>
            </w:r>
          </w:p>
        </w:tc>
        <w:tc>
          <w:tcPr>
            <w:tcW w:w="3969" w:type="dxa"/>
            <w:tcBorders>
              <w:top w:val="nil"/>
              <w:left w:val="nil"/>
              <w:bottom w:val="single" w:sz="8" w:space="0" w:color="auto"/>
              <w:right w:val="nil"/>
            </w:tcBorders>
            <w:shd w:val="clear" w:color="auto" w:fill="FFFFFF"/>
            <w:vAlign w:val="center"/>
          </w:tcPr>
          <w:p w14:paraId="53890B39"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洗衣店服务—家用和商用</w:t>
            </w:r>
          </w:p>
        </w:tc>
      </w:tr>
      <w:tr w:rsidR="00A052DC" w14:paraId="23237393"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1B8854B8"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5826CE37"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7216</w:t>
            </w:r>
          </w:p>
        </w:tc>
        <w:tc>
          <w:tcPr>
            <w:tcW w:w="3969" w:type="dxa"/>
            <w:tcBorders>
              <w:top w:val="nil"/>
              <w:left w:val="nil"/>
              <w:bottom w:val="single" w:sz="8" w:space="0" w:color="auto"/>
              <w:right w:val="nil"/>
            </w:tcBorders>
            <w:shd w:val="clear" w:color="auto" w:fill="FFFFFF"/>
            <w:vAlign w:val="center"/>
          </w:tcPr>
          <w:p w14:paraId="63C1F6BC"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干燥清洁器</w:t>
            </w:r>
          </w:p>
        </w:tc>
      </w:tr>
      <w:tr w:rsidR="00A052DC" w14:paraId="40D07249"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221589BF"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2F5238D5"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7217</w:t>
            </w:r>
          </w:p>
        </w:tc>
        <w:tc>
          <w:tcPr>
            <w:tcW w:w="3969" w:type="dxa"/>
            <w:tcBorders>
              <w:top w:val="nil"/>
              <w:left w:val="nil"/>
              <w:bottom w:val="single" w:sz="8" w:space="0" w:color="auto"/>
              <w:right w:val="nil"/>
            </w:tcBorders>
            <w:shd w:val="clear" w:color="auto" w:fill="FFFFFF"/>
            <w:vAlign w:val="center"/>
          </w:tcPr>
          <w:p w14:paraId="005B120F"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地毯和室内装潢清洁</w:t>
            </w:r>
          </w:p>
        </w:tc>
      </w:tr>
      <w:tr w:rsidR="00A052DC" w14:paraId="40859BCC"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17BD3423"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5085EDDE"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7221</w:t>
            </w:r>
          </w:p>
        </w:tc>
        <w:tc>
          <w:tcPr>
            <w:tcW w:w="3969" w:type="dxa"/>
            <w:tcBorders>
              <w:top w:val="nil"/>
              <w:left w:val="nil"/>
              <w:bottom w:val="single" w:sz="8" w:space="0" w:color="auto"/>
              <w:right w:val="nil"/>
            </w:tcBorders>
            <w:shd w:val="clear" w:color="auto" w:fill="FFFFFF"/>
            <w:vAlign w:val="center"/>
          </w:tcPr>
          <w:p w14:paraId="3D033E9B"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照相摄影室</w:t>
            </w:r>
          </w:p>
        </w:tc>
      </w:tr>
      <w:tr w:rsidR="00A052DC" w14:paraId="07FEF3D8"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60B6B2A1"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5BEFBC4E"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7230</w:t>
            </w:r>
          </w:p>
        </w:tc>
        <w:tc>
          <w:tcPr>
            <w:tcW w:w="3969" w:type="dxa"/>
            <w:tcBorders>
              <w:top w:val="nil"/>
              <w:left w:val="nil"/>
              <w:bottom w:val="single" w:sz="8" w:space="0" w:color="auto"/>
              <w:right w:val="nil"/>
            </w:tcBorders>
            <w:shd w:val="clear" w:color="auto" w:fill="FFFFFF"/>
            <w:vAlign w:val="center"/>
          </w:tcPr>
          <w:p w14:paraId="1717D2CE"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美容和理发店</w:t>
            </w:r>
          </w:p>
        </w:tc>
      </w:tr>
      <w:tr w:rsidR="00A052DC" w14:paraId="05528607"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5ADD5220"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77A4795A"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7251</w:t>
            </w:r>
          </w:p>
        </w:tc>
        <w:tc>
          <w:tcPr>
            <w:tcW w:w="3969" w:type="dxa"/>
            <w:tcBorders>
              <w:top w:val="nil"/>
              <w:left w:val="nil"/>
              <w:bottom w:val="single" w:sz="8" w:space="0" w:color="auto"/>
              <w:right w:val="nil"/>
            </w:tcBorders>
            <w:shd w:val="clear" w:color="auto" w:fill="FFFFFF"/>
            <w:vAlign w:val="center"/>
          </w:tcPr>
          <w:p w14:paraId="7BD068D4"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修鞋店、擦鞋店、洗帽店</w:t>
            </w:r>
          </w:p>
        </w:tc>
      </w:tr>
      <w:tr w:rsidR="00A052DC" w14:paraId="3986AE32"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49EC7B81"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104AF036"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7261</w:t>
            </w:r>
          </w:p>
        </w:tc>
        <w:tc>
          <w:tcPr>
            <w:tcW w:w="3969" w:type="dxa"/>
            <w:tcBorders>
              <w:top w:val="nil"/>
              <w:left w:val="nil"/>
              <w:bottom w:val="single" w:sz="8" w:space="0" w:color="auto"/>
              <w:right w:val="nil"/>
            </w:tcBorders>
            <w:shd w:val="clear" w:color="auto" w:fill="FFFFFF"/>
            <w:vAlign w:val="center"/>
          </w:tcPr>
          <w:p w14:paraId="25EE141F"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殡葬服务和火葬场</w:t>
            </w:r>
          </w:p>
        </w:tc>
      </w:tr>
      <w:tr w:rsidR="00A052DC" w14:paraId="76D414B7"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7ED59232"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625686CB"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7273</w:t>
            </w:r>
          </w:p>
        </w:tc>
        <w:tc>
          <w:tcPr>
            <w:tcW w:w="3969" w:type="dxa"/>
            <w:tcBorders>
              <w:top w:val="nil"/>
              <w:left w:val="nil"/>
              <w:bottom w:val="single" w:sz="8" w:space="0" w:color="auto"/>
              <w:right w:val="nil"/>
            </w:tcBorders>
            <w:shd w:val="clear" w:color="auto" w:fill="FFFFFF"/>
            <w:vAlign w:val="center"/>
          </w:tcPr>
          <w:p w14:paraId="2C7DF2B0"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约会和护卫活动</w:t>
            </w:r>
          </w:p>
        </w:tc>
      </w:tr>
      <w:tr w:rsidR="00A052DC" w14:paraId="3C47E5E3"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412B94F6"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3FFE6B2C"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7276</w:t>
            </w:r>
          </w:p>
        </w:tc>
        <w:tc>
          <w:tcPr>
            <w:tcW w:w="3969" w:type="dxa"/>
            <w:tcBorders>
              <w:top w:val="nil"/>
              <w:left w:val="nil"/>
              <w:bottom w:val="single" w:sz="8" w:space="0" w:color="auto"/>
              <w:right w:val="nil"/>
            </w:tcBorders>
            <w:shd w:val="clear" w:color="auto" w:fill="FFFFFF"/>
            <w:vAlign w:val="center"/>
          </w:tcPr>
          <w:p w14:paraId="1E624D9B"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税务准备服务</w:t>
            </w:r>
          </w:p>
        </w:tc>
      </w:tr>
      <w:tr w:rsidR="00A052DC" w14:paraId="0AF87F5F"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2D4B003F"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31552F01"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7277</w:t>
            </w:r>
          </w:p>
        </w:tc>
        <w:tc>
          <w:tcPr>
            <w:tcW w:w="3969" w:type="dxa"/>
            <w:tcBorders>
              <w:top w:val="nil"/>
              <w:left w:val="nil"/>
              <w:bottom w:val="single" w:sz="8" w:space="0" w:color="auto"/>
              <w:right w:val="nil"/>
            </w:tcBorders>
            <w:shd w:val="clear" w:color="auto" w:fill="FFFFFF"/>
            <w:vAlign w:val="center"/>
          </w:tcPr>
          <w:p w14:paraId="2BF90318"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咨询服务—债务，婚姻，个人</w:t>
            </w:r>
          </w:p>
        </w:tc>
      </w:tr>
      <w:tr w:rsidR="00A052DC" w14:paraId="70859B21"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7A3B1635"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47CFE005"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7278</w:t>
            </w:r>
          </w:p>
        </w:tc>
        <w:tc>
          <w:tcPr>
            <w:tcW w:w="3969" w:type="dxa"/>
            <w:tcBorders>
              <w:top w:val="nil"/>
              <w:left w:val="nil"/>
              <w:bottom w:val="single" w:sz="4" w:space="0" w:color="auto"/>
              <w:right w:val="nil"/>
            </w:tcBorders>
            <w:shd w:val="clear" w:color="auto" w:fill="FFFFFF"/>
            <w:vAlign w:val="center"/>
          </w:tcPr>
          <w:p w14:paraId="0CD207E5"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购物和售物服务及俱乐部</w:t>
            </w:r>
          </w:p>
        </w:tc>
      </w:tr>
      <w:tr w:rsidR="00A052DC" w14:paraId="717387A6"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509D3101"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single" w:sz="4" w:space="0" w:color="auto"/>
              <w:left w:val="nil"/>
              <w:bottom w:val="single" w:sz="4" w:space="0" w:color="auto"/>
              <w:right w:val="single" w:sz="4" w:space="0" w:color="auto"/>
            </w:tcBorders>
            <w:shd w:val="clear" w:color="auto" w:fill="FFFFFF"/>
            <w:vAlign w:val="center"/>
          </w:tcPr>
          <w:p w14:paraId="396DE27C"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7296</w:t>
            </w:r>
          </w:p>
        </w:tc>
        <w:tc>
          <w:tcPr>
            <w:tcW w:w="3969" w:type="dxa"/>
            <w:tcBorders>
              <w:top w:val="single" w:sz="4" w:space="0" w:color="auto"/>
              <w:left w:val="nil"/>
              <w:bottom w:val="single" w:sz="8" w:space="0" w:color="auto"/>
              <w:right w:val="nil"/>
            </w:tcBorders>
            <w:shd w:val="clear" w:color="auto" w:fill="FFFFFF"/>
            <w:vAlign w:val="center"/>
          </w:tcPr>
          <w:p w14:paraId="479670D5"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服装租赁—剧装、制服和正装</w:t>
            </w:r>
          </w:p>
        </w:tc>
      </w:tr>
      <w:tr w:rsidR="00A052DC" w14:paraId="15525E10"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7827D733"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2B77AEF3"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7297</w:t>
            </w:r>
          </w:p>
        </w:tc>
        <w:tc>
          <w:tcPr>
            <w:tcW w:w="3969" w:type="dxa"/>
            <w:tcBorders>
              <w:top w:val="nil"/>
              <w:left w:val="nil"/>
              <w:bottom w:val="single" w:sz="8" w:space="0" w:color="auto"/>
              <w:right w:val="nil"/>
            </w:tcBorders>
            <w:shd w:val="clear" w:color="auto" w:fill="FFFFFF"/>
            <w:vAlign w:val="center"/>
          </w:tcPr>
          <w:p w14:paraId="297F57A7"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按摩室</w:t>
            </w:r>
          </w:p>
        </w:tc>
      </w:tr>
      <w:tr w:rsidR="00A052DC" w14:paraId="6CB1D1D0"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13EF4EBA"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5EABF0E9"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7298</w:t>
            </w:r>
          </w:p>
        </w:tc>
        <w:tc>
          <w:tcPr>
            <w:tcW w:w="3969" w:type="dxa"/>
            <w:tcBorders>
              <w:top w:val="nil"/>
              <w:left w:val="nil"/>
              <w:bottom w:val="single" w:sz="8" w:space="0" w:color="auto"/>
              <w:right w:val="nil"/>
            </w:tcBorders>
            <w:shd w:val="clear" w:color="auto" w:fill="FFFFFF"/>
            <w:vAlign w:val="center"/>
          </w:tcPr>
          <w:p w14:paraId="05461575"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健康和美容中心</w:t>
            </w:r>
          </w:p>
        </w:tc>
      </w:tr>
      <w:tr w:rsidR="00A052DC" w14:paraId="24FEA466"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7CCB0E1F"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14E9BB51"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7299</w:t>
            </w:r>
          </w:p>
        </w:tc>
        <w:tc>
          <w:tcPr>
            <w:tcW w:w="3969" w:type="dxa"/>
            <w:tcBorders>
              <w:top w:val="nil"/>
              <w:left w:val="nil"/>
              <w:bottom w:val="single" w:sz="8" w:space="0" w:color="auto"/>
              <w:right w:val="nil"/>
            </w:tcBorders>
            <w:shd w:val="clear" w:color="auto" w:fill="FFFFFF"/>
            <w:vAlign w:val="center"/>
          </w:tcPr>
          <w:p w14:paraId="65C3D63C"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其他个人服务—未在其他地方分类</w:t>
            </w:r>
          </w:p>
        </w:tc>
      </w:tr>
      <w:tr w:rsidR="00A052DC" w14:paraId="2A06C977"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57F5A669"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05FDDD52"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7311</w:t>
            </w:r>
          </w:p>
        </w:tc>
        <w:tc>
          <w:tcPr>
            <w:tcW w:w="3969" w:type="dxa"/>
            <w:tcBorders>
              <w:top w:val="nil"/>
              <w:left w:val="nil"/>
              <w:bottom w:val="single" w:sz="8" w:space="0" w:color="auto"/>
              <w:right w:val="nil"/>
            </w:tcBorders>
            <w:shd w:val="clear" w:color="auto" w:fill="FFFFFF"/>
            <w:vAlign w:val="center"/>
          </w:tcPr>
          <w:p w14:paraId="772037BA"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广告服务</w:t>
            </w:r>
          </w:p>
        </w:tc>
      </w:tr>
      <w:tr w:rsidR="00A052DC" w14:paraId="02903E30"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616BAD79"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7AEAF397"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7321</w:t>
            </w:r>
          </w:p>
        </w:tc>
        <w:tc>
          <w:tcPr>
            <w:tcW w:w="3969" w:type="dxa"/>
            <w:tcBorders>
              <w:top w:val="nil"/>
              <w:left w:val="nil"/>
              <w:bottom w:val="single" w:sz="8" w:space="0" w:color="auto"/>
              <w:right w:val="nil"/>
            </w:tcBorders>
            <w:shd w:val="clear" w:color="auto" w:fill="FFFFFF"/>
            <w:vAlign w:val="center"/>
          </w:tcPr>
          <w:p w14:paraId="228FD2A1"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个人信用报告商</w:t>
            </w:r>
          </w:p>
        </w:tc>
      </w:tr>
      <w:tr w:rsidR="00A052DC" w14:paraId="3C075F51"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72AE66CA"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27AA4BCC"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7322</w:t>
            </w:r>
          </w:p>
        </w:tc>
        <w:tc>
          <w:tcPr>
            <w:tcW w:w="3969" w:type="dxa"/>
            <w:tcBorders>
              <w:top w:val="nil"/>
              <w:left w:val="nil"/>
              <w:bottom w:val="single" w:sz="8" w:space="0" w:color="auto"/>
              <w:right w:val="nil"/>
            </w:tcBorders>
            <w:shd w:val="clear" w:color="auto" w:fill="FFFFFF"/>
            <w:vAlign w:val="center"/>
          </w:tcPr>
          <w:p w14:paraId="4B2A979E"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收债代理商</w:t>
            </w:r>
          </w:p>
        </w:tc>
      </w:tr>
      <w:tr w:rsidR="00A052DC" w14:paraId="3681551D"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01E074E1"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1AF09609"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7332</w:t>
            </w:r>
          </w:p>
        </w:tc>
        <w:tc>
          <w:tcPr>
            <w:tcW w:w="3969" w:type="dxa"/>
            <w:tcBorders>
              <w:top w:val="nil"/>
              <w:left w:val="nil"/>
              <w:bottom w:val="single" w:sz="8" w:space="0" w:color="auto"/>
              <w:right w:val="nil"/>
            </w:tcBorders>
            <w:shd w:val="clear" w:color="auto" w:fill="FFFFFF"/>
            <w:vAlign w:val="center"/>
          </w:tcPr>
          <w:p w14:paraId="1AB896E3"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影印服务</w:t>
            </w:r>
          </w:p>
        </w:tc>
      </w:tr>
      <w:tr w:rsidR="00A052DC" w14:paraId="308348F5"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1AAAFA6D"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2C55E69D"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7333</w:t>
            </w:r>
          </w:p>
        </w:tc>
        <w:tc>
          <w:tcPr>
            <w:tcW w:w="3969" w:type="dxa"/>
            <w:tcBorders>
              <w:top w:val="nil"/>
              <w:left w:val="nil"/>
              <w:bottom w:val="single" w:sz="8" w:space="0" w:color="auto"/>
              <w:right w:val="nil"/>
            </w:tcBorders>
            <w:shd w:val="clear" w:color="auto" w:fill="FFFFFF"/>
            <w:vAlign w:val="center"/>
          </w:tcPr>
          <w:p w14:paraId="767CE5A8"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商业摄影、艺术、图形设计</w:t>
            </w:r>
          </w:p>
        </w:tc>
      </w:tr>
      <w:tr w:rsidR="00A052DC" w14:paraId="44DBC517"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37929A46"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0E353CE9"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7338</w:t>
            </w:r>
          </w:p>
        </w:tc>
        <w:tc>
          <w:tcPr>
            <w:tcW w:w="3969" w:type="dxa"/>
            <w:tcBorders>
              <w:top w:val="nil"/>
              <w:left w:val="nil"/>
              <w:bottom w:val="single" w:sz="8" w:space="0" w:color="auto"/>
              <w:right w:val="nil"/>
            </w:tcBorders>
            <w:shd w:val="clear" w:color="auto" w:fill="FFFFFF"/>
            <w:vAlign w:val="center"/>
          </w:tcPr>
          <w:p w14:paraId="2B6E6314"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快印、复制和制作蓝图服务</w:t>
            </w:r>
          </w:p>
        </w:tc>
      </w:tr>
      <w:tr w:rsidR="00A052DC" w14:paraId="13086680"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3E24E07E"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27C51326"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7339</w:t>
            </w:r>
          </w:p>
        </w:tc>
        <w:tc>
          <w:tcPr>
            <w:tcW w:w="3969" w:type="dxa"/>
            <w:tcBorders>
              <w:top w:val="nil"/>
              <w:left w:val="nil"/>
              <w:bottom w:val="single" w:sz="8" w:space="0" w:color="auto"/>
              <w:right w:val="nil"/>
            </w:tcBorders>
            <w:shd w:val="clear" w:color="auto" w:fill="FFFFFF"/>
            <w:vAlign w:val="center"/>
          </w:tcPr>
          <w:p w14:paraId="4E7C5652"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速记和秘书支持服务</w:t>
            </w:r>
          </w:p>
        </w:tc>
      </w:tr>
      <w:tr w:rsidR="00A052DC" w14:paraId="54EA7933"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445106C1"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737CF42D"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7349</w:t>
            </w:r>
          </w:p>
        </w:tc>
        <w:tc>
          <w:tcPr>
            <w:tcW w:w="3969" w:type="dxa"/>
            <w:tcBorders>
              <w:top w:val="nil"/>
              <w:left w:val="nil"/>
              <w:bottom w:val="single" w:sz="8" w:space="0" w:color="auto"/>
              <w:right w:val="nil"/>
            </w:tcBorders>
            <w:shd w:val="clear" w:color="auto" w:fill="FFFFFF"/>
            <w:vAlign w:val="center"/>
          </w:tcPr>
          <w:p w14:paraId="1BB048ED"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清洁和维护，看门服务</w:t>
            </w:r>
          </w:p>
        </w:tc>
      </w:tr>
      <w:tr w:rsidR="00A052DC" w14:paraId="1EE032E9"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42386FD8"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0A2794E7"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7361</w:t>
            </w:r>
          </w:p>
        </w:tc>
        <w:tc>
          <w:tcPr>
            <w:tcW w:w="3969" w:type="dxa"/>
            <w:tcBorders>
              <w:top w:val="nil"/>
              <w:left w:val="nil"/>
              <w:bottom w:val="single" w:sz="8" w:space="0" w:color="auto"/>
              <w:right w:val="nil"/>
            </w:tcBorders>
            <w:shd w:val="clear" w:color="auto" w:fill="FFFFFF"/>
            <w:vAlign w:val="center"/>
          </w:tcPr>
          <w:p w14:paraId="2B8816D2"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猎头服务商</w:t>
            </w:r>
          </w:p>
        </w:tc>
      </w:tr>
      <w:tr w:rsidR="00A052DC" w14:paraId="294AE6BC"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1A0DC61A"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1D75826E"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7372</w:t>
            </w:r>
          </w:p>
        </w:tc>
        <w:tc>
          <w:tcPr>
            <w:tcW w:w="3969" w:type="dxa"/>
            <w:tcBorders>
              <w:top w:val="nil"/>
              <w:left w:val="nil"/>
              <w:bottom w:val="single" w:sz="8" w:space="0" w:color="auto"/>
              <w:right w:val="nil"/>
            </w:tcBorders>
            <w:shd w:val="clear" w:color="auto" w:fill="FFFFFF"/>
            <w:vAlign w:val="center"/>
          </w:tcPr>
          <w:p w14:paraId="4019652B"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计算机编程、数据处理、系统整合设计服务</w:t>
            </w:r>
          </w:p>
        </w:tc>
      </w:tr>
      <w:tr w:rsidR="00A052DC" w14:paraId="59ABEC06"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3982720B"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5C5DEF3B"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7375</w:t>
            </w:r>
          </w:p>
        </w:tc>
        <w:tc>
          <w:tcPr>
            <w:tcW w:w="3969" w:type="dxa"/>
            <w:tcBorders>
              <w:top w:val="nil"/>
              <w:left w:val="nil"/>
              <w:bottom w:val="single" w:sz="8" w:space="0" w:color="auto"/>
              <w:right w:val="nil"/>
            </w:tcBorders>
            <w:shd w:val="clear" w:color="auto" w:fill="FFFFFF"/>
            <w:vAlign w:val="center"/>
          </w:tcPr>
          <w:p w14:paraId="1AAF7F1B"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数据检索服务</w:t>
            </w:r>
          </w:p>
        </w:tc>
      </w:tr>
      <w:tr w:rsidR="00A052DC" w14:paraId="2100C944"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338A8B61"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6511E2F9"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7379</w:t>
            </w:r>
          </w:p>
        </w:tc>
        <w:tc>
          <w:tcPr>
            <w:tcW w:w="3969" w:type="dxa"/>
            <w:tcBorders>
              <w:top w:val="nil"/>
              <w:left w:val="nil"/>
              <w:bottom w:val="single" w:sz="8" w:space="0" w:color="auto"/>
              <w:right w:val="nil"/>
            </w:tcBorders>
            <w:shd w:val="clear" w:color="auto" w:fill="FFFFFF"/>
            <w:vAlign w:val="center"/>
          </w:tcPr>
          <w:p w14:paraId="7A3D6962"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计算机维修、保养服务—未包括在其他类别之中的</w:t>
            </w:r>
          </w:p>
        </w:tc>
      </w:tr>
      <w:tr w:rsidR="00A052DC" w14:paraId="3EEBAE41"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36360880"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51F0E553"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7392</w:t>
            </w:r>
          </w:p>
        </w:tc>
        <w:tc>
          <w:tcPr>
            <w:tcW w:w="3969" w:type="dxa"/>
            <w:tcBorders>
              <w:top w:val="nil"/>
              <w:left w:val="nil"/>
              <w:bottom w:val="single" w:sz="8" w:space="0" w:color="auto"/>
              <w:right w:val="nil"/>
            </w:tcBorders>
            <w:shd w:val="clear" w:color="auto" w:fill="FFFFFF"/>
            <w:vAlign w:val="center"/>
          </w:tcPr>
          <w:p w14:paraId="219A7E4A"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管理、咨询和公关服务</w:t>
            </w:r>
          </w:p>
        </w:tc>
      </w:tr>
      <w:tr w:rsidR="00A052DC" w14:paraId="73E9DA09"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7288D77D"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06BFDB7D"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7393</w:t>
            </w:r>
          </w:p>
        </w:tc>
        <w:tc>
          <w:tcPr>
            <w:tcW w:w="3969" w:type="dxa"/>
            <w:tcBorders>
              <w:top w:val="nil"/>
              <w:left w:val="nil"/>
              <w:bottom w:val="single" w:sz="8" w:space="0" w:color="auto"/>
              <w:right w:val="nil"/>
            </w:tcBorders>
            <w:shd w:val="clear" w:color="auto" w:fill="FFFFFF"/>
            <w:vAlign w:val="center"/>
          </w:tcPr>
          <w:p w14:paraId="0953EE4E"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侦探机构、保护机构、包括装甲车的安全服务、警犬</w:t>
            </w:r>
          </w:p>
        </w:tc>
      </w:tr>
      <w:tr w:rsidR="00A052DC" w14:paraId="7D0DA160"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6D5E71D8"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5B425EEF"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7394</w:t>
            </w:r>
          </w:p>
        </w:tc>
        <w:tc>
          <w:tcPr>
            <w:tcW w:w="3969" w:type="dxa"/>
            <w:tcBorders>
              <w:top w:val="nil"/>
              <w:left w:val="nil"/>
              <w:bottom w:val="single" w:sz="8" w:space="0" w:color="auto"/>
              <w:right w:val="nil"/>
            </w:tcBorders>
            <w:shd w:val="clear" w:color="auto" w:fill="FFFFFF"/>
            <w:vAlign w:val="center"/>
          </w:tcPr>
          <w:p w14:paraId="1C40CD38"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设备租赁服务、工具租贷、家具租贷</w:t>
            </w:r>
          </w:p>
        </w:tc>
      </w:tr>
      <w:tr w:rsidR="00A052DC" w14:paraId="080C5E96"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0EF4DD62"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62DDB5AB"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7395</w:t>
            </w:r>
          </w:p>
        </w:tc>
        <w:tc>
          <w:tcPr>
            <w:tcW w:w="3969" w:type="dxa"/>
            <w:tcBorders>
              <w:top w:val="nil"/>
              <w:left w:val="nil"/>
              <w:bottom w:val="single" w:sz="8" w:space="0" w:color="auto"/>
              <w:right w:val="nil"/>
            </w:tcBorders>
            <w:shd w:val="clear" w:color="auto" w:fill="FFFFFF"/>
            <w:vAlign w:val="center"/>
          </w:tcPr>
          <w:p w14:paraId="6E8F3C62"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照片印、扩室</w:t>
            </w:r>
          </w:p>
        </w:tc>
      </w:tr>
      <w:tr w:rsidR="00A052DC" w14:paraId="53597A2C"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5D955205"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44786621"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7399</w:t>
            </w:r>
          </w:p>
        </w:tc>
        <w:tc>
          <w:tcPr>
            <w:tcW w:w="3969" w:type="dxa"/>
            <w:tcBorders>
              <w:top w:val="nil"/>
              <w:left w:val="nil"/>
              <w:bottom w:val="single" w:sz="8" w:space="0" w:color="auto"/>
              <w:right w:val="nil"/>
            </w:tcBorders>
            <w:shd w:val="clear" w:color="auto" w:fill="FFFFFF"/>
            <w:vAlign w:val="center"/>
          </w:tcPr>
          <w:p w14:paraId="59F2D16F"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商业服务—未包括在其他类别之中的</w:t>
            </w:r>
          </w:p>
        </w:tc>
      </w:tr>
      <w:tr w:rsidR="00A052DC" w14:paraId="308208C0"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2AB0C493"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5A720608"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7511</w:t>
            </w:r>
          </w:p>
        </w:tc>
        <w:tc>
          <w:tcPr>
            <w:tcW w:w="3969" w:type="dxa"/>
            <w:tcBorders>
              <w:top w:val="nil"/>
              <w:left w:val="nil"/>
              <w:bottom w:val="single" w:sz="8" w:space="0" w:color="auto"/>
              <w:right w:val="nil"/>
            </w:tcBorders>
            <w:shd w:val="clear" w:color="auto" w:fill="FFFFFF"/>
            <w:vAlign w:val="center"/>
          </w:tcPr>
          <w:p w14:paraId="635E3772"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货品停放交易</w:t>
            </w:r>
          </w:p>
        </w:tc>
      </w:tr>
      <w:tr w:rsidR="00A052DC" w14:paraId="09FB1BF3"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07967CA7"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3338D069"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7512</w:t>
            </w:r>
          </w:p>
        </w:tc>
        <w:tc>
          <w:tcPr>
            <w:tcW w:w="3969" w:type="dxa"/>
            <w:tcBorders>
              <w:top w:val="nil"/>
              <w:left w:val="nil"/>
              <w:bottom w:val="single" w:sz="8" w:space="0" w:color="auto"/>
              <w:right w:val="nil"/>
            </w:tcBorders>
            <w:shd w:val="clear" w:color="auto" w:fill="FFFFFF"/>
            <w:vAlign w:val="center"/>
          </w:tcPr>
          <w:p w14:paraId="25A01966"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汽车租赁代理机构</w:t>
            </w:r>
          </w:p>
        </w:tc>
      </w:tr>
      <w:tr w:rsidR="00A052DC" w14:paraId="18B05286"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016BEE1B"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249A3776"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7513</w:t>
            </w:r>
          </w:p>
        </w:tc>
        <w:tc>
          <w:tcPr>
            <w:tcW w:w="3969" w:type="dxa"/>
            <w:tcBorders>
              <w:top w:val="nil"/>
              <w:left w:val="nil"/>
              <w:bottom w:val="single" w:sz="8" w:space="0" w:color="auto"/>
              <w:right w:val="nil"/>
            </w:tcBorders>
            <w:shd w:val="clear" w:color="auto" w:fill="FFFFFF"/>
            <w:vAlign w:val="center"/>
          </w:tcPr>
          <w:p w14:paraId="4B4E5F71"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卡车和公用拖车租赁</w:t>
            </w:r>
          </w:p>
        </w:tc>
      </w:tr>
      <w:tr w:rsidR="00A052DC" w14:paraId="0E3F4BE6"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3F5AA004"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12B9A248"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7519</w:t>
            </w:r>
          </w:p>
        </w:tc>
        <w:tc>
          <w:tcPr>
            <w:tcW w:w="3969" w:type="dxa"/>
            <w:tcBorders>
              <w:top w:val="nil"/>
              <w:left w:val="nil"/>
              <w:bottom w:val="single" w:sz="8" w:space="0" w:color="auto"/>
              <w:right w:val="nil"/>
            </w:tcBorders>
            <w:shd w:val="clear" w:color="auto" w:fill="FFFFFF"/>
            <w:vAlign w:val="center"/>
          </w:tcPr>
          <w:p w14:paraId="76935C0D"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汽车之家和娱乐性交通工具租赁</w:t>
            </w:r>
          </w:p>
        </w:tc>
      </w:tr>
      <w:tr w:rsidR="00A052DC" w14:paraId="3D18C9AA"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2D4F5CB2"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58A3DD99"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7523</w:t>
            </w:r>
          </w:p>
        </w:tc>
        <w:tc>
          <w:tcPr>
            <w:tcW w:w="3969" w:type="dxa"/>
            <w:tcBorders>
              <w:top w:val="nil"/>
              <w:left w:val="nil"/>
              <w:bottom w:val="single" w:sz="8" w:space="0" w:color="auto"/>
              <w:right w:val="nil"/>
            </w:tcBorders>
            <w:shd w:val="clear" w:color="auto" w:fill="FFFFFF"/>
            <w:vAlign w:val="center"/>
          </w:tcPr>
          <w:p w14:paraId="2179149F"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汽车停车场和车库</w:t>
            </w:r>
          </w:p>
        </w:tc>
      </w:tr>
      <w:tr w:rsidR="00A052DC" w14:paraId="2E461BC0"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7AFD578B"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64147910"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7531</w:t>
            </w:r>
          </w:p>
        </w:tc>
        <w:tc>
          <w:tcPr>
            <w:tcW w:w="3969" w:type="dxa"/>
            <w:tcBorders>
              <w:top w:val="nil"/>
              <w:left w:val="nil"/>
              <w:bottom w:val="single" w:sz="8" w:space="0" w:color="auto"/>
              <w:right w:val="nil"/>
            </w:tcBorders>
            <w:shd w:val="clear" w:color="auto" w:fill="FFFFFF"/>
            <w:vAlign w:val="center"/>
          </w:tcPr>
          <w:p w14:paraId="0075478A"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车身修理店</w:t>
            </w:r>
          </w:p>
        </w:tc>
      </w:tr>
      <w:tr w:rsidR="00A052DC" w14:paraId="70EB4250"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52A36B71"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625DB975"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7534</w:t>
            </w:r>
          </w:p>
        </w:tc>
        <w:tc>
          <w:tcPr>
            <w:tcW w:w="3969" w:type="dxa"/>
            <w:tcBorders>
              <w:top w:val="nil"/>
              <w:left w:val="nil"/>
              <w:bottom w:val="single" w:sz="8" w:space="0" w:color="auto"/>
              <w:right w:val="nil"/>
            </w:tcBorders>
            <w:shd w:val="clear" w:color="auto" w:fill="FFFFFF"/>
            <w:vAlign w:val="center"/>
          </w:tcPr>
          <w:p w14:paraId="40A0B923"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胎面翻新和修理店</w:t>
            </w:r>
          </w:p>
        </w:tc>
      </w:tr>
      <w:tr w:rsidR="00A052DC" w14:paraId="63249047"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0C5BE5A9"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3C863BC4"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7535</w:t>
            </w:r>
          </w:p>
        </w:tc>
        <w:tc>
          <w:tcPr>
            <w:tcW w:w="3969" w:type="dxa"/>
            <w:tcBorders>
              <w:top w:val="nil"/>
              <w:left w:val="nil"/>
              <w:bottom w:val="single" w:sz="8" w:space="0" w:color="auto"/>
              <w:right w:val="nil"/>
            </w:tcBorders>
            <w:shd w:val="clear" w:color="auto" w:fill="FFFFFF"/>
            <w:vAlign w:val="center"/>
          </w:tcPr>
          <w:p w14:paraId="04AFB0F6"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汽车喷漆店</w:t>
            </w:r>
          </w:p>
        </w:tc>
      </w:tr>
      <w:tr w:rsidR="00A052DC" w14:paraId="5D65B50E"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0CBFD581"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366E63F2"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7538</w:t>
            </w:r>
          </w:p>
        </w:tc>
        <w:tc>
          <w:tcPr>
            <w:tcW w:w="3969" w:type="dxa"/>
            <w:tcBorders>
              <w:top w:val="nil"/>
              <w:left w:val="nil"/>
              <w:bottom w:val="single" w:sz="8" w:space="0" w:color="auto"/>
              <w:right w:val="nil"/>
            </w:tcBorders>
            <w:shd w:val="clear" w:color="auto" w:fill="FFFFFF"/>
            <w:vAlign w:val="center"/>
          </w:tcPr>
          <w:p w14:paraId="43FD0997"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汽车服务店（非经销商）</w:t>
            </w:r>
          </w:p>
        </w:tc>
      </w:tr>
      <w:tr w:rsidR="00A052DC" w14:paraId="228EF69F"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21DFB3B4"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1DFDBD29"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7542</w:t>
            </w:r>
          </w:p>
        </w:tc>
        <w:tc>
          <w:tcPr>
            <w:tcW w:w="3969" w:type="dxa"/>
            <w:tcBorders>
              <w:top w:val="nil"/>
              <w:left w:val="nil"/>
              <w:bottom w:val="single" w:sz="8" w:space="0" w:color="auto"/>
              <w:right w:val="nil"/>
            </w:tcBorders>
            <w:shd w:val="clear" w:color="auto" w:fill="FFFFFF"/>
            <w:vAlign w:val="center"/>
          </w:tcPr>
          <w:p w14:paraId="2A4E8D49"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洗车</w:t>
            </w:r>
          </w:p>
        </w:tc>
      </w:tr>
      <w:tr w:rsidR="00A052DC" w14:paraId="34210C14"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61980814"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207ACAB3"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7549</w:t>
            </w:r>
          </w:p>
        </w:tc>
        <w:tc>
          <w:tcPr>
            <w:tcW w:w="3969" w:type="dxa"/>
            <w:tcBorders>
              <w:top w:val="nil"/>
              <w:left w:val="nil"/>
              <w:bottom w:val="single" w:sz="8" w:space="0" w:color="auto"/>
              <w:right w:val="nil"/>
            </w:tcBorders>
            <w:shd w:val="clear" w:color="auto" w:fill="FFFFFF"/>
            <w:vAlign w:val="center"/>
          </w:tcPr>
          <w:p w14:paraId="21BEE9EE"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牵引支架服务</w:t>
            </w:r>
          </w:p>
        </w:tc>
      </w:tr>
      <w:tr w:rsidR="00A052DC" w14:paraId="761FC785"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72D93314"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118981FA"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7622</w:t>
            </w:r>
          </w:p>
        </w:tc>
        <w:tc>
          <w:tcPr>
            <w:tcW w:w="3969" w:type="dxa"/>
            <w:tcBorders>
              <w:top w:val="nil"/>
              <w:left w:val="nil"/>
              <w:bottom w:val="single" w:sz="8" w:space="0" w:color="auto"/>
              <w:right w:val="nil"/>
            </w:tcBorders>
            <w:shd w:val="clear" w:color="auto" w:fill="FFFFFF"/>
            <w:vAlign w:val="center"/>
          </w:tcPr>
          <w:p w14:paraId="634C0319"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电子修理店</w:t>
            </w:r>
          </w:p>
        </w:tc>
      </w:tr>
      <w:tr w:rsidR="00A052DC" w14:paraId="79AA4D7E"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3C3639AB"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074F34CF"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7623</w:t>
            </w:r>
          </w:p>
        </w:tc>
        <w:tc>
          <w:tcPr>
            <w:tcW w:w="3969" w:type="dxa"/>
            <w:tcBorders>
              <w:top w:val="nil"/>
              <w:left w:val="nil"/>
              <w:bottom w:val="single" w:sz="8" w:space="0" w:color="auto"/>
              <w:right w:val="nil"/>
            </w:tcBorders>
            <w:shd w:val="clear" w:color="auto" w:fill="FFFFFF"/>
            <w:vAlign w:val="center"/>
          </w:tcPr>
          <w:p w14:paraId="04A99AF5"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空调和冰箱修理店</w:t>
            </w:r>
          </w:p>
        </w:tc>
      </w:tr>
      <w:tr w:rsidR="00A052DC" w14:paraId="0363DE1A"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156BC639"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62A03E77"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7629</w:t>
            </w:r>
          </w:p>
        </w:tc>
        <w:tc>
          <w:tcPr>
            <w:tcW w:w="3969" w:type="dxa"/>
            <w:tcBorders>
              <w:top w:val="nil"/>
              <w:left w:val="nil"/>
              <w:bottom w:val="single" w:sz="8" w:space="0" w:color="auto"/>
              <w:right w:val="nil"/>
            </w:tcBorders>
            <w:shd w:val="clear" w:color="auto" w:fill="FFFFFF"/>
            <w:vAlign w:val="center"/>
          </w:tcPr>
          <w:p w14:paraId="38893931"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电子和小用具修理店</w:t>
            </w:r>
          </w:p>
        </w:tc>
      </w:tr>
      <w:tr w:rsidR="00A052DC" w14:paraId="298FAEAD"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294C41FF"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6D8C901A"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7631</w:t>
            </w:r>
          </w:p>
        </w:tc>
        <w:tc>
          <w:tcPr>
            <w:tcW w:w="3969" w:type="dxa"/>
            <w:tcBorders>
              <w:top w:val="nil"/>
              <w:left w:val="nil"/>
              <w:bottom w:val="single" w:sz="8" w:space="0" w:color="auto"/>
              <w:right w:val="nil"/>
            </w:tcBorders>
            <w:shd w:val="clear" w:color="auto" w:fill="FFFFFF"/>
            <w:vAlign w:val="center"/>
          </w:tcPr>
          <w:p w14:paraId="448125B0"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手表、钟表和宝石修理店</w:t>
            </w:r>
          </w:p>
        </w:tc>
      </w:tr>
      <w:tr w:rsidR="00A052DC" w14:paraId="19608B5A"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082CDF3E"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3C7D106F"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7641</w:t>
            </w:r>
          </w:p>
        </w:tc>
        <w:tc>
          <w:tcPr>
            <w:tcW w:w="3969" w:type="dxa"/>
            <w:tcBorders>
              <w:top w:val="nil"/>
              <w:left w:val="nil"/>
              <w:bottom w:val="single" w:sz="8" w:space="0" w:color="auto"/>
              <w:right w:val="nil"/>
            </w:tcBorders>
            <w:shd w:val="clear" w:color="auto" w:fill="FFFFFF"/>
            <w:vAlign w:val="center"/>
          </w:tcPr>
          <w:p w14:paraId="24EC5408"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家具—重装椅面、修理、整修表面</w:t>
            </w:r>
          </w:p>
        </w:tc>
      </w:tr>
      <w:tr w:rsidR="00A052DC" w14:paraId="348AC111"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27CECA5F"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43366DB6"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7692</w:t>
            </w:r>
          </w:p>
        </w:tc>
        <w:tc>
          <w:tcPr>
            <w:tcW w:w="3969" w:type="dxa"/>
            <w:tcBorders>
              <w:top w:val="nil"/>
              <w:left w:val="nil"/>
              <w:bottom w:val="single" w:sz="8" w:space="0" w:color="auto"/>
              <w:right w:val="nil"/>
            </w:tcBorders>
            <w:shd w:val="clear" w:color="auto" w:fill="FFFFFF"/>
            <w:vAlign w:val="center"/>
          </w:tcPr>
          <w:p w14:paraId="1A1BB8BC"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焊接修理</w:t>
            </w:r>
          </w:p>
        </w:tc>
      </w:tr>
      <w:tr w:rsidR="00A052DC" w14:paraId="772D5319"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4A1D6891"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65414FC6"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7699</w:t>
            </w:r>
          </w:p>
        </w:tc>
        <w:tc>
          <w:tcPr>
            <w:tcW w:w="3969" w:type="dxa"/>
            <w:tcBorders>
              <w:top w:val="nil"/>
              <w:left w:val="nil"/>
              <w:bottom w:val="single" w:sz="8" w:space="0" w:color="auto"/>
              <w:right w:val="nil"/>
            </w:tcBorders>
            <w:shd w:val="clear" w:color="auto" w:fill="FFFFFF"/>
            <w:vAlign w:val="center"/>
          </w:tcPr>
          <w:p w14:paraId="159E5B9D"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多种业务混杂的修理店和相关服务</w:t>
            </w:r>
          </w:p>
        </w:tc>
      </w:tr>
      <w:tr w:rsidR="00A052DC" w14:paraId="0BB98AAA"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20D9E7B6"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629AEDE2"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7832</w:t>
            </w:r>
          </w:p>
        </w:tc>
        <w:tc>
          <w:tcPr>
            <w:tcW w:w="3969" w:type="dxa"/>
            <w:tcBorders>
              <w:top w:val="nil"/>
              <w:left w:val="nil"/>
              <w:bottom w:val="single" w:sz="8" w:space="0" w:color="auto"/>
              <w:right w:val="nil"/>
            </w:tcBorders>
            <w:shd w:val="clear" w:color="auto" w:fill="FFFFFF"/>
            <w:vAlign w:val="center"/>
          </w:tcPr>
          <w:p w14:paraId="6CA4DCDA"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动画片剧场</w:t>
            </w:r>
          </w:p>
        </w:tc>
      </w:tr>
      <w:tr w:rsidR="00A052DC" w14:paraId="2B003E72"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68094BC9"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47AD486B"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7841</w:t>
            </w:r>
          </w:p>
        </w:tc>
        <w:tc>
          <w:tcPr>
            <w:tcW w:w="3969" w:type="dxa"/>
            <w:tcBorders>
              <w:top w:val="nil"/>
              <w:left w:val="nil"/>
              <w:bottom w:val="single" w:sz="4" w:space="0" w:color="auto"/>
              <w:right w:val="nil"/>
            </w:tcBorders>
            <w:shd w:val="clear" w:color="auto" w:fill="FFFFFF"/>
            <w:vAlign w:val="center"/>
          </w:tcPr>
          <w:p w14:paraId="5DC00803"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录象娱乐带出租店</w:t>
            </w:r>
          </w:p>
        </w:tc>
      </w:tr>
      <w:tr w:rsidR="00A052DC" w14:paraId="7F561EDD"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43686FB5"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single" w:sz="4" w:space="0" w:color="auto"/>
              <w:left w:val="nil"/>
              <w:bottom w:val="single" w:sz="4" w:space="0" w:color="auto"/>
              <w:right w:val="single" w:sz="4" w:space="0" w:color="auto"/>
            </w:tcBorders>
            <w:shd w:val="clear" w:color="auto" w:fill="FFFFFF"/>
            <w:vAlign w:val="center"/>
          </w:tcPr>
          <w:p w14:paraId="189259DC"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7911</w:t>
            </w:r>
          </w:p>
        </w:tc>
        <w:tc>
          <w:tcPr>
            <w:tcW w:w="3969" w:type="dxa"/>
            <w:tcBorders>
              <w:top w:val="single" w:sz="4" w:space="0" w:color="auto"/>
              <w:left w:val="nil"/>
              <w:bottom w:val="single" w:sz="8" w:space="0" w:color="auto"/>
              <w:right w:val="nil"/>
            </w:tcBorders>
            <w:shd w:val="clear" w:color="auto" w:fill="FFFFFF"/>
            <w:vAlign w:val="center"/>
          </w:tcPr>
          <w:p w14:paraId="418DFE00"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舞厅、舞蹈房和舞蹈学校</w:t>
            </w:r>
          </w:p>
        </w:tc>
      </w:tr>
      <w:tr w:rsidR="00A052DC" w14:paraId="62EF4851"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25EAEE76"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40CAE72E"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7922</w:t>
            </w:r>
          </w:p>
        </w:tc>
        <w:tc>
          <w:tcPr>
            <w:tcW w:w="3969" w:type="dxa"/>
            <w:tcBorders>
              <w:top w:val="nil"/>
              <w:left w:val="nil"/>
              <w:bottom w:val="single" w:sz="8" w:space="0" w:color="auto"/>
              <w:right w:val="nil"/>
            </w:tcBorders>
            <w:shd w:val="clear" w:color="auto" w:fill="FFFFFF"/>
            <w:vAlign w:val="center"/>
          </w:tcPr>
          <w:p w14:paraId="4313A009"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戏剧生产商（动画片除外）票务代理</w:t>
            </w:r>
          </w:p>
        </w:tc>
      </w:tr>
      <w:tr w:rsidR="00A052DC" w14:paraId="072E476D"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10B63D78"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3A60E99A"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7929</w:t>
            </w:r>
          </w:p>
        </w:tc>
        <w:tc>
          <w:tcPr>
            <w:tcW w:w="3969" w:type="dxa"/>
            <w:tcBorders>
              <w:top w:val="nil"/>
              <w:left w:val="nil"/>
              <w:bottom w:val="single" w:sz="8" w:space="0" w:color="auto"/>
              <w:right w:val="nil"/>
            </w:tcBorders>
            <w:shd w:val="clear" w:color="auto" w:fill="FFFFFF"/>
            <w:vAlign w:val="center"/>
          </w:tcPr>
          <w:p w14:paraId="32EE9DF3"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乐队、管弦乐队和混合性娱乐者—未在其他地方分类</w:t>
            </w:r>
          </w:p>
        </w:tc>
      </w:tr>
      <w:tr w:rsidR="00A052DC" w14:paraId="29286626"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1576D367"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0A98CFBE"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7932</w:t>
            </w:r>
          </w:p>
        </w:tc>
        <w:tc>
          <w:tcPr>
            <w:tcW w:w="3969" w:type="dxa"/>
            <w:tcBorders>
              <w:top w:val="nil"/>
              <w:left w:val="nil"/>
              <w:bottom w:val="single" w:sz="8" w:space="0" w:color="auto"/>
              <w:right w:val="nil"/>
            </w:tcBorders>
            <w:shd w:val="clear" w:color="auto" w:fill="FFFFFF"/>
            <w:vAlign w:val="center"/>
          </w:tcPr>
          <w:p w14:paraId="23665DC7"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台球和舞池经营者</w:t>
            </w:r>
          </w:p>
        </w:tc>
      </w:tr>
      <w:tr w:rsidR="00A052DC" w14:paraId="39145BA8"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0DE384E4"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6C6DE46F"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7933</w:t>
            </w:r>
          </w:p>
        </w:tc>
        <w:tc>
          <w:tcPr>
            <w:tcW w:w="3969" w:type="dxa"/>
            <w:tcBorders>
              <w:top w:val="nil"/>
              <w:left w:val="nil"/>
              <w:bottom w:val="single" w:sz="8" w:space="0" w:color="auto"/>
              <w:right w:val="nil"/>
            </w:tcBorders>
            <w:shd w:val="clear" w:color="auto" w:fill="FFFFFF"/>
            <w:vAlign w:val="center"/>
          </w:tcPr>
          <w:p w14:paraId="4EE16CB6"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保龄球</w:t>
            </w:r>
          </w:p>
        </w:tc>
      </w:tr>
      <w:tr w:rsidR="00A052DC" w14:paraId="418F973E"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5D0D1831"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5A65F9AC"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7941</w:t>
            </w:r>
          </w:p>
        </w:tc>
        <w:tc>
          <w:tcPr>
            <w:tcW w:w="3969" w:type="dxa"/>
            <w:tcBorders>
              <w:top w:val="nil"/>
              <w:left w:val="nil"/>
              <w:bottom w:val="single" w:sz="8" w:space="0" w:color="auto"/>
              <w:right w:val="nil"/>
            </w:tcBorders>
            <w:shd w:val="clear" w:color="auto" w:fill="FFFFFF"/>
            <w:vAlign w:val="center"/>
          </w:tcPr>
          <w:p w14:paraId="15282E94"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商业运动、专业运动俱乐部、运动场、运动推广商</w:t>
            </w:r>
          </w:p>
        </w:tc>
      </w:tr>
      <w:tr w:rsidR="00A052DC" w14:paraId="4328BA51"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3CA9F732"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5F7D128D"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7991</w:t>
            </w:r>
          </w:p>
        </w:tc>
        <w:tc>
          <w:tcPr>
            <w:tcW w:w="3969" w:type="dxa"/>
            <w:tcBorders>
              <w:top w:val="nil"/>
              <w:left w:val="nil"/>
              <w:bottom w:val="single" w:sz="8" w:space="0" w:color="auto"/>
              <w:right w:val="nil"/>
            </w:tcBorders>
            <w:shd w:val="clear" w:color="auto" w:fill="FFFFFF"/>
            <w:vAlign w:val="center"/>
          </w:tcPr>
          <w:p w14:paraId="5C3D9FCF"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针对旅游者的表演和展览</w:t>
            </w:r>
          </w:p>
        </w:tc>
      </w:tr>
      <w:tr w:rsidR="00A052DC" w14:paraId="6783326A"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0C808168"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38F12D4D"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7992</w:t>
            </w:r>
          </w:p>
        </w:tc>
        <w:tc>
          <w:tcPr>
            <w:tcW w:w="3969" w:type="dxa"/>
            <w:tcBorders>
              <w:top w:val="nil"/>
              <w:left w:val="nil"/>
              <w:bottom w:val="single" w:sz="8" w:space="0" w:color="auto"/>
              <w:right w:val="nil"/>
            </w:tcBorders>
            <w:shd w:val="clear" w:color="auto" w:fill="FFFFFF"/>
            <w:vAlign w:val="center"/>
          </w:tcPr>
          <w:p w14:paraId="1763B77F"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公共高尔夫球场</w:t>
            </w:r>
          </w:p>
        </w:tc>
      </w:tr>
      <w:tr w:rsidR="00A052DC" w14:paraId="545DF335"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2F31FDF3"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2BE82D45"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7994</w:t>
            </w:r>
          </w:p>
        </w:tc>
        <w:tc>
          <w:tcPr>
            <w:tcW w:w="3969" w:type="dxa"/>
            <w:tcBorders>
              <w:top w:val="nil"/>
              <w:left w:val="nil"/>
              <w:bottom w:val="single" w:sz="8" w:space="0" w:color="auto"/>
              <w:right w:val="nil"/>
            </w:tcBorders>
            <w:shd w:val="clear" w:color="auto" w:fill="FFFFFF"/>
            <w:vAlign w:val="center"/>
          </w:tcPr>
          <w:p w14:paraId="051D6951"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视频游戏中心</w:t>
            </w:r>
            <w:r>
              <w:rPr>
                <w:rFonts w:ascii="黑体" w:eastAsia="黑体" w:hAnsi="黑体" w:cs="宋体"/>
                <w:color w:val="000000"/>
                <w:kern w:val="0"/>
                <w:sz w:val="20"/>
                <w:szCs w:val="20"/>
              </w:rPr>
              <w:t>/设施</w:t>
            </w:r>
          </w:p>
        </w:tc>
      </w:tr>
      <w:tr w:rsidR="00A052DC" w14:paraId="68E7507B"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33482D98"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7309E4ED"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7996</w:t>
            </w:r>
          </w:p>
        </w:tc>
        <w:tc>
          <w:tcPr>
            <w:tcW w:w="3969" w:type="dxa"/>
            <w:tcBorders>
              <w:top w:val="nil"/>
              <w:left w:val="nil"/>
              <w:bottom w:val="single" w:sz="8" w:space="0" w:color="auto"/>
              <w:right w:val="nil"/>
            </w:tcBorders>
            <w:shd w:val="clear" w:color="auto" w:fill="FFFFFF"/>
            <w:vAlign w:val="center"/>
          </w:tcPr>
          <w:p w14:paraId="5DA04797"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游乐园、马戏表演、狂欢节、算命者</w:t>
            </w:r>
          </w:p>
        </w:tc>
      </w:tr>
      <w:tr w:rsidR="00A052DC" w14:paraId="4BE7F827"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0D077CB7"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73483FE2"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7997</w:t>
            </w:r>
          </w:p>
        </w:tc>
        <w:tc>
          <w:tcPr>
            <w:tcW w:w="3969" w:type="dxa"/>
            <w:tcBorders>
              <w:top w:val="nil"/>
              <w:left w:val="nil"/>
              <w:bottom w:val="single" w:sz="8" w:space="0" w:color="auto"/>
              <w:right w:val="nil"/>
            </w:tcBorders>
            <w:shd w:val="clear" w:color="auto" w:fill="FFFFFF"/>
            <w:vAlign w:val="center"/>
          </w:tcPr>
          <w:p w14:paraId="35C7C547"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俱乐部—乡村俱乐部、会员俱乐部（运动、休闲、体育），私人高尔夫俱乐部</w:t>
            </w:r>
          </w:p>
        </w:tc>
      </w:tr>
      <w:tr w:rsidR="00A052DC" w14:paraId="076F0C43"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1D27D553"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1C2F8CDF"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7998</w:t>
            </w:r>
          </w:p>
        </w:tc>
        <w:tc>
          <w:tcPr>
            <w:tcW w:w="3969" w:type="dxa"/>
            <w:tcBorders>
              <w:top w:val="nil"/>
              <w:left w:val="nil"/>
              <w:bottom w:val="single" w:sz="8" w:space="0" w:color="auto"/>
              <w:right w:val="nil"/>
            </w:tcBorders>
            <w:shd w:val="clear" w:color="auto" w:fill="FFFFFF"/>
            <w:vAlign w:val="center"/>
          </w:tcPr>
          <w:p w14:paraId="673C17EF"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水族馆、海洋馆和海豚馆</w:t>
            </w:r>
          </w:p>
        </w:tc>
      </w:tr>
      <w:tr w:rsidR="00A052DC" w14:paraId="1EC95CF6"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4A36110C"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1738E7BB"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7999</w:t>
            </w:r>
          </w:p>
        </w:tc>
        <w:tc>
          <w:tcPr>
            <w:tcW w:w="3969" w:type="dxa"/>
            <w:tcBorders>
              <w:top w:val="nil"/>
              <w:left w:val="nil"/>
              <w:bottom w:val="single" w:sz="8" w:space="0" w:color="auto"/>
              <w:right w:val="nil"/>
            </w:tcBorders>
            <w:shd w:val="clear" w:color="auto" w:fill="FFFFFF"/>
            <w:vAlign w:val="center"/>
          </w:tcPr>
          <w:p w14:paraId="7D1EB9C3"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娱乐服务—未在其他地方分类</w:t>
            </w:r>
          </w:p>
        </w:tc>
      </w:tr>
      <w:tr w:rsidR="00A052DC" w14:paraId="38FA12C0"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2E000B3B"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52BBA34F"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8111</w:t>
            </w:r>
          </w:p>
        </w:tc>
        <w:tc>
          <w:tcPr>
            <w:tcW w:w="3969" w:type="dxa"/>
            <w:tcBorders>
              <w:top w:val="nil"/>
              <w:left w:val="nil"/>
              <w:bottom w:val="single" w:sz="8" w:space="0" w:color="auto"/>
              <w:right w:val="nil"/>
            </w:tcBorders>
            <w:shd w:val="clear" w:color="auto" w:fill="FFFFFF"/>
            <w:vAlign w:val="center"/>
          </w:tcPr>
          <w:p w14:paraId="0374F57B"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律师，法律服务</w:t>
            </w:r>
          </w:p>
        </w:tc>
      </w:tr>
      <w:tr w:rsidR="00A052DC" w14:paraId="6EBE042D"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6CAE29E3"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7089D702"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8398</w:t>
            </w:r>
          </w:p>
        </w:tc>
        <w:tc>
          <w:tcPr>
            <w:tcW w:w="3969" w:type="dxa"/>
            <w:tcBorders>
              <w:top w:val="nil"/>
              <w:left w:val="nil"/>
              <w:bottom w:val="single" w:sz="8" w:space="0" w:color="auto"/>
              <w:right w:val="nil"/>
            </w:tcBorders>
            <w:shd w:val="clear" w:color="auto" w:fill="FFFFFF"/>
            <w:vAlign w:val="center"/>
          </w:tcPr>
          <w:p w14:paraId="730A5724"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组织，慈善、社会服务</w:t>
            </w:r>
          </w:p>
        </w:tc>
      </w:tr>
      <w:tr w:rsidR="00A052DC" w14:paraId="32CDFAC3"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0AB3152F"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13404FAB"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8641</w:t>
            </w:r>
          </w:p>
        </w:tc>
        <w:tc>
          <w:tcPr>
            <w:tcW w:w="3969" w:type="dxa"/>
            <w:tcBorders>
              <w:top w:val="nil"/>
              <w:left w:val="nil"/>
              <w:bottom w:val="single" w:sz="8" w:space="0" w:color="auto"/>
              <w:right w:val="nil"/>
            </w:tcBorders>
            <w:shd w:val="clear" w:color="auto" w:fill="FFFFFF"/>
            <w:vAlign w:val="center"/>
          </w:tcPr>
          <w:p w14:paraId="253D1150"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协会—居民、社会、互助会</w:t>
            </w:r>
          </w:p>
        </w:tc>
      </w:tr>
      <w:tr w:rsidR="00A052DC" w14:paraId="6DD0CC45"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2319D65F"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3141B196"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8675</w:t>
            </w:r>
          </w:p>
        </w:tc>
        <w:tc>
          <w:tcPr>
            <w:tcW w:w="3969" w:type="dxa"/>
            <w:tcBorders>
              <w:top w:val="nil"/>
              <w:left w:val="nil"/>
              <w:bottom w:val="single" w:sz="8" w:space="0" w:color="auto"/>
              <w:right w:val="nil"/>
            </w:tcBorders>
            <w:shd w:val="clear" w:color="auto" w:fill="FFFFFF"/>
            <w:vAlign w:val="center"/>
          </w:tcPr>
          <w:p w14:paraId="40468E60"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汽车协会</w:t>
            </w:r>
          </w:p>
        </w:tc>
      </w:tr>
      <w:tr w:rsidR="00A052DC" w14:paraId="6CF27D4F"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7E395345"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783C86F5"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8699</w:t>
            </w:r>
          </w:p>
        </w:tc>
        <w:tc>
          <w:tcPr>
            <w:tcW w:w="3969" w:type="dxa"/>
            <w:tcBorders>
              <w:top w:val="nil"/>
              <w:left w:val="nil"/>
              <w:bottom w:val="single" w:sz="8" w:space="0" w:color="auto"/>
              <w:right w:val="nil"/>
            </w:tcBorders>
            <w:shd w:val="clear" w:color="auto" w:fill="FFFFFF"/>
            <w:vAlign w:val="center"/>
          </w:tcPr>
          <w:p w14:paraId="45125FD0"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会员组织—未在其他地方分类</w:t>
            </w:r>
          </w:p>
        </w:tc>
      </w:tr>
      <w:tr w:rsidR="00A052DC" w14:paraId="17276D1C"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2DBE3C3B"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76197913"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8734</w:t>
            </w:r>
          </w:p>
        </w:tc>
        <w:tc>
          <w:tcPr>
            <w:tcW w:w="3969" w:type="dxa"/>
            <w:tcBorders>
              <w:top w:val="nil"/>
              <w:left w:val="nil"/>
              <w:bottom w:val="single" w:sz="8" w:space="0" w:color="auto"/>
              <w:right w:val="nil"/>
            </w:tcBorders>
            <w:shd w:val="clear" w:color="auto" w:fill="FFFFFF"/>
            <w:vAlign w:val="center"/>
          </w:tcPr>
          <w:p w14:paraId="4A46BF58"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检测实验室（非医学）</w:t>
            </w:r>
          </w:p>
        </w:tc>
      </w:tr>
      <w:tr w:rsidR="00A052DC" w14:paraId="682ECA2B"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5E91925A"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11A875F8"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8911</w:t>
            </w:r>
          </w:p>
        </w:tc>
        <w:tc>
          <w:tcPr>
            <w:tcW w:w="3969" w:type="dxa"/>
            <w:tcBorders>
              <w:top w:val="nil"/>
              <w:left w:val="nil"/>
              <w:bottom w:val="single" w:sz="8" w:space="0" w:color="auto"/>
              <w:right w:val="nil"/>
            </w:tcBorders>
            <w:shd w:val="clear" w:color="auto" w:fill="FFFFFF"/>
            <w:vAlign w:val="center"/>
          </w:tcPr>
          <w:p w14:paraId="06C25475"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建筑、工程和测量服务</w:t>
            </w:r>
          </w:p>
        </w:tc>
      </w:tr>
      <w:tr w:rsidR="00A052DC" w14:paraId="080F71CE"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660EC044"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5EF2D914"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8931</w:t>
            </w:r>
          </w:p>
        </w:tc>
        <w:tc>
          <w:tcPr>
            <w:tcW w:w="3969" w:type="dxa"/>
            <w:tcBorders>
              <w:top w:val="nil"/>
              <w:left w:val="nil"/>
              <w:bottom w:val="single" w:sz="8" w:space="0" w:color="auto"/>
              <w:right w:val="nil"/>
            </w:tcBorders>
            <w:shd w:val="clear" w:color="auto" w:fill="FFFFFF"/>
            <w:vAlign w:val="center"/>
          </w:tcPr>
          <w:p w14:paraId="257EAF15"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会计、审计和记账服务</w:t>
            </w:r>
          </w:p>
        </w:tc>
      </w:tr>
      <w:tr w:rsidR="00A052DC" w14:paraId="7A0A5DC8"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538D8FA7"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78CCCCC3"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8999</w:t>
            </w:r>
          </w:p>
        </w:tc>
        <w:tc>
          <w:tcPr>
            <w:tcW w:w="3969" w:type="dxa"/>
            <w:tcBorders>
              <w:top w:val="nil"/>
              <w:left w:val="nil"/>
              <w:bottom w:val="single" w:sz="8" w:space="0" w:color="auto"/>
              <w:right w:val="nil"/>
            </w:tcBorders>
            <w:shd w:val="clear" w:color="auto" w:fill="FFFFFF"/>
            <w:vAlign w:val="center"/>
          </w:tcPr>
          <w:p w14:paraId="63D83F89"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专业服务—未包括在其他类别之中的</w:t>
            </w:r>
          </w:p>
        </w:tc>
      </w:tr>
      <w:tr w:rsidR="00A052DC" w14:paraId="757B75B0"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7ABCBAE3"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355A92C6"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9399</w:t>
            </w:r>
          </w:p>
        </w:tc>
        <w:tc>
          <w:tcPr>
            <w:tcW w:w="3969" w:type="dxa"/>
            <w:tcBorders>
              <w:top w:val="nil"/>
              <w:left w:val="nil"/>
              <w:bottom w:val="single" w:sz="8" w:space="0" w:color="auto"/>
              <w:right w:val="nil"/>
            </w:tcBorders>
            <w:shd w:val="clear" w:color="auto" w:fill="FFFFFF"/>
            <w:vAlign w:val="center"/>
          </w:tcPr>
          <w:p w14:paraId="6EBD7697"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政府服务—未在其他地方分类</w:t>
            </w:r>
          </w:p>
        </w:tc>
      </w:tr>
      <w:tr w:rsidR="00A052DC" w14:paraId="43FBF444"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1C5EE470"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7F6E6E22"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9402</w:t>
            </w:r>
          </w:p>
        </w:tc>
        <w:tc>
          <w:tcPr>
            <w:tcW w:w="3969" w:type="dxa"/>
            <w:tcBorders>
              <w:top w:val="nil"/>
              <w:left w:val="nil"/>
              <w:bottom w:val="single" w:sz="8" w:space="0" w:color="auto"/>
              <w:right w:val="nil"/>
            </w:tcBorders>
            <w:shd w:val="clear" w:color="auto" w:fill="FFFFFF"/>
            <w:vAlign w:val="center"/>
          </w:tcPr>
          <w:p w14:paraId="4A83F933"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邮政服务—仅限于政府</w:t>
            </w:r>
          </w:p>
        </w:tc>
      </w:tr>
      <w:tr w:rsidR="00A052DC" w14:paraId="3A3AE8DE"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33D6AD45"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4DC1FE5E"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9700</w:t>
            </w:r>
          </w:p>
        </w:tc>
        <w:tc>
          <w:tcPr>
            <w:tcW w:w="3969" w:type="dxa"/>
            <w:tcBorders>
              <w:top w:val="nil"/>
              <w:left w:val="nil"/>
              <w:bottom w:val="single" w:sz="8" w:space="0" w:color="auto"/>
              <w:right w:val="nil"/>
            </w:tcBorders>
            <w:shd w:val="clear" w:color="auto" w:fill="FFFFFF"/>
            <w:vAlign w:val="center"/>
          </w:tcPr>
          <w:p w14:paraId="26482EDF"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国际自动介绍服务</w:t>
            </w:r>
          </w:p>
        </w:tc>
      </w:tr>
      <w:tr w:rsidR="00A052DC" w14:paraId="66DEF39D"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01046DE9"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21F92E48"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9701</w:t>
            </w:r>
          </w:p>
        </w:tc>
        <w:tc>
          <w:tcPr>
            <w:tcW w:w="3969" w:type="dxa"/>
            <w:tcBorders>
              <w:top w:val="nil"/>
              <w:left w:val="nil"/>
              <w:bottom w:val="single" w:sz="8" w:space="0" w:color="auto"/>
              <w:right w:val="nil"/>
            </w:tcBorders>
            <w:shd w:val="clear" w:color="auto" w:fill="FFFFFF"/>
            <w:vAlign w:val="center"/>
          </w:tcPr>
          <w:p w14:paraId="6F714131" w14:textId="77777777" w:rsidR="00A052DC" w:rsidRDefault="009F0A60">
            <w:pPr>
              <w:widowControl/>
              <w:tabs>
                <w:tab w:val="center" w:pos="4153"/>
                <w:tab w:val="right" w:pos="8306"/>
              </w:tabs>
              <w:snapToGrid w:val="0"/>
              <w:rPr>
                <w:rFonts w:ascii="黑体" w:eastAsia="黑体" w:hAnsi="黑体" w:cs="宋体"/>
                <w:color w:val="000000"/>
                <w:kern w:val="0"/>
                <w:sz w:val="20"/>
                <w:szCs w:val="20"/>
              </w:rPr>
            </w:pPr>
            <w:r>
              <w:rPr>
                <w:rFonts w:ascii="黑体" w:eastAsia="黑体" w:hAnsi="黑体" w:cs="宋体" w:hint="eastAsia"/>
                <w:color w:val="000000"/>
                <w:kern w:val="0"/>
                <w:sz w:val="20"/>
                <w:szCs w:val="20"/>
              </w:rPr>
              <w:t>威士组织介绍信的服务商</w:t>
            </w:r>
          </w:p>
        </w:tc>
      </w:tr>
      <w:tr w:rsidR="00A052DC" w14:paraId="53E0A37E"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1234CB8B" w14:textId="77777777" w:rsidR="00A052DC" w:rsidRDefault="009F0A60">
            <w:pPr>
              <w:widowControl/>
              <w:tabs>
                <w:tab w:val="center" w:pos="4153"/>
                <w:tab w:val="right" w:pos="8306"/>
              </w:tabs>
              <w:snapToGrid w:val="0"/>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0E71507E" w14:textId="77777777" w:rsidR="00A052DC" w:rsidRDefault="009F0A60">
            <w:pPr>
              <w:widowControl/>
              <w:tabs>
                <w:tab w:val="center" w:pos="4153"/>
                <w:tab w:val="right" w:pos="8306"/>
              </w:tabs>
              <w:snapToGrid w:val="0"/>
              <w:jc w:val="center"/>
              <w:rPr>
                <w:rFonts w:ascii="黑体" w:eastAsia="黑体" w:hAnsi="黑体"/>
                <w:color w:val="000000"/>
                <w:kern w:val="0"/>
                <w:sz w:val="20"/>
                <w:szCs w:val="20"/>
              </w:rPr>
            </w:pPr>
            <w:r>
              <w:rPr>
                <w:rFonts w:ascii="黑体" w:eastAsia="黑体" w:hAnsi="黑体"/>
                <w:color w:val="000000"/>
                <w:kern w:val="0"/>
                <w:sz w:val="20"/>
                <w:szCs w:val="20"/>
              </w:rPr>
              <w:t>6</w:t>
            </w:r>
            <w:r>
              <w:rPr>
                <w:rFonts w:ascii="黑体" w:eastAsia="黑体" w:hAnsi="黑体" w:hint="eastAsia"/>
                <w:color w:val="000000"/>
                <w:kern w:val="0"/>
                <w:sz w:val="20"/>
                <w:szCs w:val="20"/>
              </w:rPr>
              <w:t>．</w:t>
            </w:r>
            <w:r>
              <w:rPr>
                <w:rFonts w:ascii="黑体" w:eastAsia="黑体" w:hAnsi="黑体"/>
                <w:color w:val="000000"/>
                <w:kern w:val="0"/>
                <w:sz w:val="20"/>
                <w:szCs w:val="20"/>
              </w:rPr>
              <w:t>2其他服务2</w:t>
            </w:r>
          </w:p>
        </w:tc>
        <w:tc>
          <w:tcPr>
            <w:tcW w:w="3969" w:type="dxa"/>
            <w:tcBorders>
              <w:top w:val="nil"/>
              <w:left w:val="nil"/>
              <w:bottom w:val="single" w:sz="8" w:space="0" w:color="auto"/>
              <w:right w:val="nil"/>
            </w:tcBorders>
            <w:shd w:val="clear" w:color="auto" w:fill="FFFFFF"/>
            <w:vAlign w:val="center"/>
          </w:tcPr>
          <w:p w14:paraId="2C299FB5" w14:textId="77777777" w:rsidR="00A052DC" w:rsidRDefault="00A052DC">
            <w:pPr>
              <w:widowControl/>
              <w:jc w:val="center"/>
              <w:rPr>
                <w:rFonts w:ascii="黑体" w:eastAsia="黑体" w:hAnsi="黑体"/>
                <w:color w:val="000000"/>
                <w:kern w:val="0"/>
                <w:sz w:val="20"/>
                <w:szCs w:val="20"/>
              </w:rPr>
            </w:pPr>
          </w:p>
        </w:tc>
      </w:tr>
      <w:tr w:rsidR="00A052DC" w14:paraId="793B59FE"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6BECF036"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7BC846D8"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0763</w:t>
            </w:r>
          </w:p>
        </w:tc>
        <w:tc>
          <w:tcPr>
            <w:tcW w:w="3969" w:type="dxa"/>
            <w:tcBorders>
              <w:top w:val="nil"/>
              <w:left w:val="nil"/>
              <w:bottom w:val="single" w:sz="8" w:space="0" w:color="auto"/>
              <w:right w:val="nil"/>
            </w:tcBorders>
            <w:shd w:val="clear" w:color="auto" w:fill="FFFFFF"/>
            <w:vAlign w:val="center"/>
          </w:tcPr>
          <w:p w14:paraId="4D52B6CB"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农业合作社</w:t>
            </w:r>
          </w:p>
        </w:tc>
      </w:tr>
      <w:tr w:rsidR="00A052DC" w14:paraId="58C5FAA7"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74F853B7"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75B089CA"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4829</w:t>
            </w:r>
          </w:p>
        </w:tc>
        <w:tc>
          <w:tcPr>
            <w:tcW w:w="3969" w:type="dxa"/>
            <w:tcBorders>
              <w:top w:val="nil"/>
              <w:left w:val="nil"/>
              <w:bottom w:val="single" w:sz="8" w:space="0" w:color="auto"/>
              <w:right w:val="nil"/>
            </w:tcBorders>
            <w:shd w:val="clear" w:color="auto" w:fill="FFFFFF"/>
            <w:vAlign w:val="center"/>
          </w:tcPr>
          <w:p w14:paraId="10A30365"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电汇和汇票、资金划转</w:t>
            </w:r>
          </w:p>
        </w:tc>
      </w:tr>
      <w:tr w:rsidR="00A052DC" w14:paraId="284EAA39"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3E2DC504"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7CEBF6F4"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6012</w:t>
            </w:r>
          </w:p>
        </w:tc>
        <w:tc>
          <w:tcPr>
            <w:tcW w:w="3969" w:type="dxa"/>
            <w:tcBorders>
              <w:top w:val="nil"/>
              <w:left w:val="nil"/>
              <w:bottom w:val="single" w:sz="8" w:space="0" w:color="auto"/>
              <w:right w:val="nil"/>
            </w:tcBorders>
            <w:shd w:val="clear" w:color="auto" w:fill="FFFFFF"/>
            <w:vAlign w:val="center"/>
          </w:tcPr>
          <w:p w14:paraId="036DD9F1"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金融机构—产品、服务</w:t>
            </w:r>
          </w:p>
        </w:tc>
      </w:tr>
      <w:tr w:rsidR="00A052DC" w14:paraId="0CE8A7F3"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6CE524F8"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2DC83D40"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6050</w:t>
            </w:r>
          </w:p>
        </w:tc>
        <w:tc>
          <w:tcPr>
            <w:tcW w:w="3969" w:type="dxa"/>
            <w:tcBorders>
              <w:top w:val="nil"/>
              <w:left w:val="nil"/>
              <w:bottom w:val="single" w:sz="8" w:space="0" w:color="auto"/>
              <w:right w:val="nil"/>
            </w:tcBorders>
            <w:shd w:val="clear" w:color="auto" w:fill="FFFFFF"/>
            <w:vAlign w:val="center"/>
          </w:tcPr>
          <w:p w14:paraId="75E27D2A"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准现金—会员金融机构</w:t>
            </w:r>
          </w:p>
        </w:tc>
      </w:tr>
      <w:tr w:rsidR="00A052DC" w14:paraId="51BE9E69"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547FDA23"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47E047C8"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6051</w:t>
            </w:r>
          </w:p>
        </w:tc>
        <w:tc>
          <w:tcPr>
            <w:tcW w:w="3969" w:type="dxa"/>
            <w:tcBorders>
              <w:top w:val="nil"/>
              <w:left w:val="nil"/>
              <w:bottom w:val="single" w:sz="8" w:space="0" w:color="auto"/>
              <w:right w:val="nil"/>
            </w:tcBorders>
            <w:shd w:val="clear" w:color="auto" w:fill="FFFFFF"/>
            <w:vAlign w:val="center"/>
          </w:tcPr>
          <w:p w14:paraId="022EA00C"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非金融机构—外汇、汇票（不包括电汇）、临时单据和旅行支票</w:t>
            </w:r>
          </w:p>
        </w:tc>
      </w:tr>
      <w:tr w:rsidR="00A052DC" w14:paraId="4584E6D5"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18D008E0"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7FF144F9"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6211</w:t>
            </w:r>
          </w:p>
        </w:tc>
        <w:tc>
          <w:tcPr>
            <w:tcW w:w="3969" w:type="dxa"/>
            <w:tcBorders>
              <w:top w:val="nil"/>
              <w:left w:val="nil"/>
              <w:bottom w:val="single" w:sz="8" w:space="0" w:color="auto"/>
              <w:right w:val="nil"/>
            </w:tcBorders>
            <w:shd w:val="clear" w:color="auto" w:fill="FFFFFF"/>
            <w:vAlign w:val="center"/>
          </w:tcPr>
          <w:p w14:paraId="65F00F39"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债券—经纪人和交易商</w:t>
            </w:r>
          </w:p>
        </w:tc>
      </w:tr>
      <w:tr w:rsidR="00A052DC" w14:paraId="742D3B44"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16984D27"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6BD4877D"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6529</w:t>
            </w:r>
          </w:p>
        </w:tc>
        <w:tc>
          <w:tcPr>
            <w:tcW w:w="3969" w:type="dxa"/>
            <w:tcBorders>
              <w:top w:val="nil"/>
              <w:left w:val="nil"/>
              <w:bottom w:val="single" w:sz="8" w:space="0" w:color="auto"/>
              <w:right w:val="nil"/>
            </w:tcBorders>
            <w:shd w:val="clear" w:color="auto" w:fill="FFFFFF"/>
            <w:vAlign w:val="center"/>
          </w:tcPr>
          <w:p w14:paraId="535EBAB3"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远程存值—会员金融机构</w:t>
            </w:r>
          </w:p>
        </w:tc>
      </w:tr>
      <w:tr w:rsidR="00A052DC" w14:paraId="66B46602"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0647A288"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0532F495"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6530</w:t>
            </w:r>
          </w:p>
        </w:tc>
        <w:tc>
          <w:tcPr>
            <w:tcW w:w="3969" w:type="dxa"/>
            <w:tcBorders>
              <w:top w:val="nil"/>
              <w:left w:val="nil"/>
              <w:bottom w:val="single" w:sz="8" w:space="0" w:color="auto"/>
              <w:right w:val="nil"/>
            </w:tcBorders>
            <w:shd w:val="clear" w:color="auto" w:fill="FFFFFF"/>
            <w:vAlign w:val="center"/>
          </w:tcPr>
          <w:p w14:paraId="0EDD9BF3"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远程存值—商户</w:t>
            </w:r>
          </w:p>
        </w:tc>
      </w:tr>
      <w:tr w:rsidR="00A052DC" w14:paraId="4D77080E"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31BA456D"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52063340"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6531</w:t>
            </w:r>
          </w:p>
        </w:tc>
        <w:tc>
          <w:tcPr>
            <w:tcW w:w="3969" w:type="dxa"/>
            <w:tcBorders>
              <w:top w:val="nil"/>
              <w:left w:val="nil"/>
              <w:bottom w:val="single" w:sz="8" w:space="0" w:color="auto"/>
              <w:right w:val="nil"/>
            </w:tcBorders>
            <w:shd w:val="clear" w:color="auto" w:fill="FFFFFF"/>
            <w:vAlign w:val="center"/>
          </w:tcPr>
          <w:p w14:paraId="52E8F11F"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支付服务公司—购买项下货币转账</w:t>
            </w:r>
          </w:p>
        </w:tc>
      </w:tr>
      <w:tr w:rsidR="00A052DC" w14:paraId="5EB637FF"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6A7CDA19"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52C7E931"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6532</w:t>
            </w:r>
          </w:p>
        </w:tc>
        <w:tc>
          <w:tcPr>
            <w:tcW w:w="3969" w:type="dxa"/>
            <w:tcBorders>
              <w:top w:val="nil"/>
              <w:left w:val="nil"/>
              <w:bottom w:val="single" w:sz="8" w:space="0" w:color="auto"/>
              <w:right w:val="nil"/>
            </w:tcBorders>
            <w:shd w:val="clear" w:color="auto" w:fill="FFFFFF"/>
            <w:vAlign w:val="center"/>
          </w:tcPr>
          <w:p w14:paraId="5A49DD28"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支付服务公司—会员金融机构（支付交易）</w:t>
            </w:r>
          </w:p>
        </w:tc>
      </w:tr>
      <w:tr w:rsidR="00A052DC" w14:paraId="4F90D7B2"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0F8F2421"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0169CE73"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6533</w:t>
            </w:r>
          </w:p>
        </w:tc>
        <w:tc>
          <w:tcPr>
            <w:tcW w:w="3969" w:type="dxa"/>
            <w:tcBorders>
              <w:top w:val="nil"/>
              <w:left w:val="nil"/>
              <w:bottom w:val="single" w:sz="8" w:space="0" w:color="auto"/>
              <w:right w:val="nil"/>
            </w:tcBorders>
            <w:shd w:val="clear" w:color="auto" w:fill="FFFFFF"/>
            <w:vAlign w:val="center"/>
          </w:tcPr>
          <w:p w14:paraId="5321B7B1"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支付服务公司—商户（支付交易）</w:t>
            </w:r>
          </w:p>
        </w:tc>
      </w:tr>
      <w:tr w:rsidR="00A052DC" w14:paraId="7BF80623"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02AF972B"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2546F562"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6534</w:t>
            </w:r>
          </w:p>
        </w:tc>
        <w:tc>
          <w:tcPr>
            <w:tcW w:w="3969" w:type="dxa"/>
            <w:tcBorders>
              <w:top w:val="nil"/>
              <w:left w:val="nil"/>
              <w:bottom w:val="single" w:sz="4" w:space="0" w:color="auto"/>
              <w:right w:val="nil"/>
            </w:tcBorders>
            <w:shd w:val="clear" w:color="auto" w:fill="FFFFFF"/>
            <w:vAlign w:val="center"/>
          </w:tcPr>
          <w:p w14:paraId="2E408340"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资金划转—会员金融机构</w:t>
            </w:r>
          </w:p>
        </w:tc>
      </w:tr>
      <w:tr w:rsidR="00A052DC" w14:paraId="2B212AC1"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75106F63"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single" w:sz="4" w:space="0" w:color="auto"/>
              <w:left w:val="nil"/>
              <w:bottom w:val="single" w:sz="4" w:space="0" w:color="auto"/>
              <w:right w:val="single" w:sz="4" w:space="0" w:color="auto"/>
            </w:tcBorders>
            <w:shd w:val="clear" w:color="auto" w:fill="FFFFFF"/>
            <w:vAlign w:val="center"/>
          </w:tcPr>
          <w:p w14:paraId="128E20C7"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6535</w:t>
            </w:r>
          </w:p>
        </w:tc>
        <w:tc>
          <w:tcPr>
            <w:tcW w:w="3969" w:type="dxa"/>
            <w:tcBorders>
              <w:top w:val="single" w:sz="4" w:space="0" w:color="auto"/>
              <w:left w:val="nil"/>
              <w:bottom w:val="single" w:sz="8" w:space="0" w:color="auto"/>
              <w:right w:val="nil"/>
            </w:tcBorders>
            <w:shd w:val="clear" w:color="auto" w:fill="FFFFFF"/>
            <w:vAlign w:val="center"/>
          </w:tcPr>
          <w:p w14:paraId="718C36DA"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购买代币券—会员金融机构</w:t>
            </w:r>
          </w:p>
        </w:tc>
      </w:tr>
      <w:tr w:rsidR="00A052DC" w14:paraId="1A69CF76"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3271F4C6"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58C80E6B"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7995</w:t>
            </w:r>
          </w:p>
        </w:tc>
        <w:tc>
          <w:tcPr>
            <w:tcW w:w="3969" w:type="dxa"/>
            <w:tcBorders>
              <w:top w:val="nil"/>
              <w:left w:val="nil"/>
              <w:bottom w:val="single" w:sz="8" w:space="0" w:color="auto"/>
              <w:right w:val="nil"/>
            </w:tcBorders>
            <w:shd w:val="clear" w:color="auto" w:fill="FFFFFF"/>
            <w:vAlign w:val="center"/>
          </w:tcPr>
          <w:p w14:paraId="0DDE0B72"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赌博交易</w:t>
            </w:r>
          </w:p>
        </w:tc>
      </w:tr>
      <w:tr w:rsidR="00A052DC" w14:paraId="2C12341C"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68489A70"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445999D9"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8651</w:t>
            </w:r>
          </w:p>
        </w:tc>
        <w:tc>
          <w:tcPr>
            <w:tcW w:w="3969" w:type="dxa"/>
            <w:tcBorders>
              <w:top w:val="nil"/>
              <w:left w:val="nil"/>
              <w:bottom w:val="single" w:sz="8" w:space="0" w:color="auto"/>
              <w:right w:val="nil"/>
            </w:tcBorders>
            <w:shd w:val="clear" w:color="auto" w:fill="FFFFFF"/>
            <w:vAlign w:val="center"/>
          </w:tcPr>
          <w:p w14:paraId="3C6FE789"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政治组织</w:t>
            </w:r>
          </w:p>
        </w:tc>
      </w:tr>
      <w:tr w:rsidR="00A052DC" w14:paraId="02248466"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5165D8A2"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4B349D1C"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8661</w:t>
            </w:r>
          </w:p>
        </w:tc>
        <w:tc>
          <w:tcPr>
            <w:tcW w:w="3969" w:type="dxa"/>
            <w:tcBorders>
              <w:top w:val="nil"/>
              <w:left w:val="nil"/>
              <w:bottom w:val="single" w:sz="8" w:space="0" w:color="auto"/>
              <w:right w:val="nil"/>
            </w:tcBorders>
            <w:shd w:val="clear" w:color="auto" w:fill="FFFFFF"/>
            <w:vAlign w:val="center"/>
          </w:tcPr>
          <w:p w14:paraId="3C7C2858"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宗教组织</w:t>
            </w:r>
          </w:p>
        </w:tc>
      </w:tr>
      <w:tr w:rsidR="00A052DC" w14:paraId="013582F2"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4DF7FB05"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3D65D0FA"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9211</w:t>
            </w:r>
          </w:p>
        </w:tc>
        <w:tc>
          <w:tcPr>
            <w:tcW w:w="3969" w:type="dxa"/>
            <w:tcBorders>
              <w:top w:val="nil"/>
              <w:left w:val="nil"/>
              <w:bottom w:val="single" w:sz="8" w:space="0" w:color="auto"/>
              <w:right w:val="nil"/>
            </w:tcBorders>
            <w:shd w:val="clear" w:color="auto" w:fill="FFFFFF"/>
            <w:vAlign w:val="center"/>
          </w:tcPr>
          <w:p w14:paraId="060ECF5B"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法庭费用，包括赡养费和孩子抚养费</w:t>
            </w:r>
          </w:p>
        </w:tc>
      </w:tr>
      <w:tr w:rsidR="00A052DC" w14:paraId="2F733A08"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7CED29D2"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316A4810"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9222</w:t>
            </w:r>
          </w:p>
        </w:tc>
        <w:tc>
          <w:tcPr>
            <w:tcW w:w="3969" w:type="dxa"/>
            <w:tcBorders>
              <w:top w:val="nil"/>
              <w:left w:val="nil"/>
              <w:bottom w:val="single" w:sz="8" w:space="0" w:color="auto"/>
              <w:right w:val="nil"/>
            </w:tcBorders>
            <w:shd w:val="clear" w:color="auto" w:fill="FFFFFF"/>
            <w:vAlign w:val="center"/>
          </w:tcPr>
          <w:p w14:paraId="555B6D0C"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罚款</w:t>
            </w:r>
          </w:p>
        </w:tc>
      </w:tr>
      <w:tr w:rsidR="00A052DC" w14:paraId="3A5E5FE0"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7286021F"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1A0C4877"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9223</w:t>
            </w:r>
          </w:p>
        </w:tc>
        <w:tc>
          <w:tcPr>
            <w:tcW w:w="3969" w:type="dxa"/>
            <w:tcBorders>
              <w:top w:val="nil"/>
              <w:left w:val="nil"/>
              <w:bottom w:val="single" w:sz="8" w:space="0" w:color="auto"/>
              <w:right w:val="nil"/>
            </w:tcBorders>
            <w:shd w:val="clear" w:color="auto" w:fill="FFFFFF"/>
            <w:vAlign w:val="center"/>
          </w:tcPr>
          <w:p w14:paraId="6444B19A"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保证金和保释金付款</w:t>
            </w:r>
          </w:p>
        </w:tc>
      </w:tr>
      <w:tr w:rsidR="00A052DC" w14:paraId="17899B73"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5190E2AD"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3E54D992"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9311</w:t>
            </w:r>
          </w:p>
        </w:tc>
        <w:tc>
          <w:tcPr>
            <w:tcW w:w="3969" w:type="dxa"/>
            <w:tcBorders>
              <w:top w:val="nil"/>
              <w:left w:val="nil"/>
              <w:bottom w:val="single" w:sz="8" w:space="0" w:color="auto"/>
              <w:right w:val="nil"/>
            </w:tcBorders>
            <w:shd w:val="clear" w:color="auto" w:fill="FFFFFF"/>
            <w:vAlign w:val="center"/>
          </w:tcPr>
          <w:p w14:paraId="582B7DE5"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税务支付</w:t>
            </w:r>
          </w:p>
        </w:tc>
      </w:tr>
      <w:tr w:rsidR="00A052DC" w14:paraId="0768AAC3"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151D5BC7"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r>
              <w:rPr>
                <w:rFonts w:ascii="黑体" w:eastAsia="黑体" w:hAnsi="黑体" w:cs="宋体"/>
                <w:color w:val="000000"/>
                <w:kern w:val="0"/>
                <w:sz w:val="20"/>
                <w:szCs w:val="20"/>
              </w:rPr>
              <w:t>7．提现</w:t>
            </w:r>
          </w:p>
        </w:tc>
        <w:tc>
          <w:tcPr>
            <w:tcW w:w="2552" w:type="dxa"/>
            <w:tcBorders>
              <w:top w:val="nil"/>
              <w:left w:val="nil"/>
              <w:bottom w:val="single" w:sz="4" w:space="0" w:color="auto"/>
              <w:right w:val="single" w:sz="4" w:space="0" w:color="auto"/>
            </w:tcBorders>
            <w:shd w:val="clear" w:color="auto" w:fill="FFFFFF"/>
            <w:vAlign w:val="center"/>
          </w:tcPr>
          <w:p w14:paraId="2256A255"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601</w:t>
            </w:r>
            <w:r>
              <w:rPr>
                <w:rFonts w:ascii="黑体" w:eastAsia="黑体" w:hAnsi="黑体" w:hint="eastAsia"/>
                <w:color w:val="000000"/>
                <w:kern w:val="0"/>
                <w:sz w:val="20"/>
                <w:szCs w:val="20"/>
              </w:rPr>
              <w:t>0</w:t>
            </w:r>
          </w:p>
        </w:tc>
        <w:tc>
          <w:tcPr>
            <w:tcW w:w="3969" w:type="dxa"/>
            <w:tcBorders>
              <w:top w:val="nil"/>
              <w:left w:val="nil"/>
              <w:bottom w:val="single" w:sz="8" w:space="0" w:color="auto"/>
              <w:right w:val="nil"/>
            </w:tcBorders>
            <w:shd w:val="clear" w:color="auto" w:fill="FFFFFF"/>
            <w:vAlign w:val="center"/>
          </w:tcPr>
          <w:p w14:paraId="709E63D4"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金融机构-银行柜台服务</w:t>
            </w:r>
          </w:p>
        </w:tc>
      </w:tr>
      <w:tr w:rsidR="00A052DC" w14:paraId="31C51BD9"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556BC04C" w14:textId="77777777" w:rsidR="00A052DC" w:rsidRDefault="00A052DC">
            <w:pPr>
              <w:widowControl/>
              <w:jc w:val="left"/>
              <w:rPr>
                <w:rFonts w:ascii="黑体" w:eastAsia="黑体" w:hAnsi="黑体" w:cs="宋体"/>
                <w:color w:val="000000"/>
                <w:kern w:val="0"/>
                <w:sz w:val="20"/>
                <w:szCs w:val="20"/>
              </w:rPr>
            </w:pPr>
          </w:p>
        </w:tc>
        <w:tc>
          <w:tcPr>
            <w:tcW w:w="2552" w:type="dxa"/>
            <w:tcBorders>
              <w:top w:val="nil"/>
              <w:left w:val="nil"/>
              <w:bottom w:val="single" w:sz="4" w:space="0" w:color="auto"/>
              <w:right w:val="single" w:sz="4" w:space="0" w:color="auto"/>
            </w:tcBorders>
            <w:shd w:val="clear" w:color="auto" w:fill="FFFFFF"/>
            <w:vAlign w:val="center"/>
          </w:tcPr>
          <w:p w14:paraId="21BD0C10" w14:textId="77777777" w:rsidR="00A052DC" w:rsidRDefault="009F0A60">
            <w:pPr>
              <w:widowControl/>
              <w:jc w:val="center"/>
              <w:rPr>
                <w:rFonts w:ascii="黑体" w:eastAsia="黑体" w:hAnsi="黑体"/>
                <w:color w:val="000000"/>
                <w:kern w:val="0"/>
                <w:sz w:val="20"/>
                <w:szCs w:val="20"/>
              </w:rPr>
            </w:pPr>
            <w:r>
              <w:rPr>
                <w:rFonts w:ascii="黑体" w:eastAsia="黑体" w:hAnsi="黑体" w:hint="eastAsia"/>
                <w:color w:val="000000"/>
                <w:kern w:val="0"/>
                <w:sz w:val="20"/>
                <w:szCs w:val="20"/>
              </w:rPr>
              <w:t>6011</w:t>
            </w:r>
          </w:p>
        </w:tc>
        <w:tc>
          <w:tcPr>
            <w:tcW w:w="3969" w:type="dxa"/>
            <w:tcBorders>
              <w:top w:val="nil"/>
              <w:left w:val="nil"/>
              <w:bottom w:val="single" w:sz="8" w:space="0" w:color="auto"/>
              <w:right w:val="nil"/>
            </w:tcBorders>
            <w:shd w:val="clear" w:color="auto" w:fill="FFFFFF"/>
            <w:vAlign w:val="center"/>
          </w:tcPr>
          <w:p w14:paraId="6C847D3A"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金融机构—自动提款机服务</w:t>
            </w:r>
          </w:p>
        </w:tc>
      </w:tr>
      <w:tr w:rsidR="00A052DC" w14:paraId="16C8566A"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71CA1E62"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r>
              <w:rPr>
                <w:rFonts w:ascii="黑体" w:eastAsia="黑体" w:hAnsi="黑体" w:cs="宋体"/>
                <w:color w:val="000000"/>
                <w:kern w:val="0"/>
                <w:sz w:val="20"/>
                <w:szCs w:val="20"/>
              </w:rPr>
              <w:t>8</w:t>
            </w:r>
            <w:r>
              <w:rPr>
                <w:rFonts w:ascii="黑体" w:eastAsia="黑体" w:hAnsi="黑体" w:cs="宋体" w:hint="eastAsia"/>
                <w:color w:val="000000"/>
                <w:kern w:val="0"/>
                <w:sz w:val="20"/>
                <w:szCs w:val="20"/>
              </w:rPr>
              <w:t>．医疗保健</w:t>
            </w:r>
          </w:p>
        </w:tc>
        <w:tc>
          <w:tcPr>
            <w:tcW w:w="2552" w:type="dxa"/>
            <w:tcBorders>
              <w:top w:val="nil"/>
              <w:left w:val="nil"/>
              <w:bottom w:val="single" w:sz="4" w:space="0" w:color="auto"/>
              <w:right w:val="single" w:sz="4" w:space="0" w:color="auto"/>
            </w:tcBorders>
            <w:shd w:val="clear" w:color="auto" w:fill="FFFFFF"/>
            <w:vAlign w:val="center"/>
          </w:tcPr>
          <w:p w14:paraId="71FC8B89" w14:textId="77777777" w:rsidR="00A052DC" w:rsidRDefault="00A052DC">
            <w:pPr>
              <w:widowControl/>
              <w:jc w:val="center"/>
              <w:rPr>
                <w:rFonts w:ascii="黑体" w:eastAsia="黑体" w:hAnsi="黑体"/>
                <w:color w:val="000000"/>
                <w:kern w:val="0"/>
                <w:sz w:val="20"/>
                <w:szCs w:val="20"/>
              </w:rPr>
            </w:pPr>
          </w:p>
        </w:tc>
        <w:tc>
          <w:tcPr>
            <w:tcW w:w="3969" w:type="dxa"/>
            <w:tcBorders>
              <w:top w:val="nil"/>
              <w:left w:val="nil"/>
              <w:bottom w:val="single" w:sz="8" w:space="0" w:color="auto"/>
              <w:right w:val="nil"/>
            </w:tcBorders>
            <w:shd w:val="clear" w:color="auto" w:fill="FFFFFF"/>
            <w:vAlign w:val="center"/>
          </w:tcPr>
          <w:p w14:paraId="00820361" w14:textId="77777777" w:rsidR="00A052DC" w:rsidRDefault="00A052DC">
            <w:pPr>
              <w:widowControl/>
              <w:rPr>
                <w:rFonts w:ascii="黑体" w:eastAsia="黑体" w:hAnsi="黑体" w:cs="宋体"/>
                <w:color w:val="000000"/>
                <w:kern w:val="0"/>
                <w:sz w:val="20"/>
                <w:szCs w:val="20"/>
              </w:rPr>
            </w:pPr>
          </w:p>
        </w:tc>
      </w:tr>
      <w:tr w:rsidR="00A052DC" w14:paraId="5BC60F99"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1EA7E080"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295C5220"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4119</w:t>
            </w:r>
          </w:p>
        </w:tc>
        <w:tc>
          <w:tcPr>
            <w:tcW w:w="3969" w:type="dxa"/>
            <w:tcBorders>
              <w:top w:val="nil"/>
              <w:left w:val="nil"/>
              <w:bottom w:val="single" w:sz="8" w:space="0" w:color="auto"/>
              <w:right w:val="nil"/>
            </w:tcBorders>
            <w:shd w:val="clear" w:color="auto" w:fill="FFFFFF"/>
            <w:vAlign w:val="center"/>
          </w:tcPr>
          <w:p w14:paraId="55C7599F"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救护车服务</w:t>
            </w:r>
          </w:p>
        </w:tc>
      </w:tr>
      <w:tr w:rsidR="00A052DC" w14:paraId="07F0830D"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58515937"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43D87DC1"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5047</w:t>
            </w:r>
          </w:p>
        </w:tc>
        <w:tc>
          <w:tcPr>
            <w:tcW w:w="3969" w:type="dxa"/>
            <w:tcBorders>
              <w:top w:val="nil"/>
              <w:left w:val="nil"/>
              <w:bottom w:val="single" w:sz="8" w:space="0" w:color="auto"/>
              <w:right w:val="nil"/>
            </w:tcBorders>
            <w:shd w:val="clear" w:color="auto" w:fill="FFFFFF"/>
            <w:vAlign w:val="center"/>
          </w:tcPr>
          <w:p w14:paraId="635D28BB"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牙科</w:t>
            </w:r>
            <w:r>
              <w:rPr>
                <w:rFonts w:ascii="黑体" w:eastAsia="黑体" w:hAnsi="黑体" w:cs="宋体"/>
                <w:color w:val="000000"/>
                <w:kern w:val="0"/>
                <w:sz w:val="20"/>
                <w:szCs w:val="20"/>
              </w:rPr>
              <w:t>/实验室/医学/眼科医院的设备和用品</w:t>
            </w:r>
          </w:p>
        </w:tc>
      </w:tr>
      <w:tr w:rsidR="00A052DC" w14:paraId="2DCBEBAA"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30E03987"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250BC58A"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5122</w:t>
            </w:r>
          </w:p>
        </w:tc>
        <w:tc>
          <w:tcPr>
            <w:tcW w:w="3969" w:type="dxa"/>
            <w:tcBorders>
              <w:top w:val="nil"/>
              <w:left w:val="nil"/>
              <w:bottom w:val="single" w:sz="8" w:space="0" w:color="auto"/>
              <w:right w:val="nil"/>
            </w:tcBorders>
            <w:shd w:val="clear" w:color="auto" w:fill="FFFFFF"/>
            <w:vAlign w:val="center"/>
          </w:tcPr>
          <w:p w14:paraId="4FA5FC46"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药品、药品经营者、药剂商的各种杂物</w:t>
            </w:r>
          </w:p>
        </w:tc>
      </w:tr>
      <w:tr w:rsidR="00A052DC" w14:paraId="75B7ED6F"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031C9142"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79FD42CD"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5912</w:t>
            </w:r>
          </w:p>
        </w:tc>
        <w:tc>
          <w:tcPr>
            <w:tcW w:w="3969" w:type="dxa"/>
            <w:tcBorders>
              <w:top w:val="nil"/>
              <w:left w:val="nil"/>
              <w:bottom w:val="single" w:sz="8" w:space="0" w:color="auto"/>
              <w:right w:val="nil"/>
            </w:tcBorders>
            <w:shd w:val="clear" w:color="auto" w:fill="FFFFFF"/>
            <w:vAlign w:val="center"/>
          </w:tcPr>
          <w:p w14:paraId="03F8AAAA"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药店</w:t>
            </w:r>
          </w:p>
        </w:tc>
      </w:tr>
      <w:tr w:rsidR="00A052DC" w14:paraId="1FB8659C"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2C1CA593"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6208C1C1"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7280</w:t>
            </w:r>
          </w:p>
        </w:tc>
        <w:tc>
          <w:tcPr>
            <w:tcW w:w="3969" w:type="dxa"/>
            <w:tcBorders>
              <w:top w:val="nil"/>
              <w:left w:val="nil"/>
              <w:bottom w:val="single" w:sz="8" w:space="0" w:color="auto"/>
              <w:right w:val="nil"/>
            </w:tcBorders>
            <w:shd w:val="clear" w:color="auto" w:fill="FFFFFF"/>
            <w:vAlign w:val="center"/>
          </w:tcPr>
          <w:p w14:paraId="04FE02A7"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私人医院</w:t>
            </w:r>
          </w:p>
        </w:tc>
      </w:tr>
      <w:tr w:rsidR="00A052DC" w14:paraId="45E2DCB5"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001EDA35"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3AA5D023"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7342</w:t>
            </w:r>
          </w:p>
        </w:tc>
        <w:tc>
          <w:tcPr>
            <w:tcW w:w="3969" w:type="dxa"/>
            <w:tcBorders>
              <w:top w:val="nil"/>
              <w:left w:val="nil"/>
              <w:bottom w:val="single" w:sz="8" w:space="0" w:color="auto"/>
              <w:right w:val="nil"/>
            </w:tcBorders>
            <w:shd w:val="clear" w:color="auto" w:fill="FFFFFF"/>
            <w:vAlign w:val="center"/>
          </w:tcPr>
          <w:p w14:paraId="062EA0FE"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消菌和抗感染服务</w:t>
            </w:r>
          </w:p>
        </w:tc>
      </w:tr>
      <w:tr w:rsidR="00A052DC" w14:paraId="612369C3"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2B39DA94"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65833CE6"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8011</w:t>
            </w:r>
          </w:p>
        </w:tc>
        <w:tc>
          <w:tcPr>
            <w:tcW w:w="3969" w:type="dxa"/>
            <w:tcBorders>
              <w:top w:val="nil"/>
              <w:left w:val="nil"/>
              <w:bottom w:val="single" w:sz="8" w:space="0" w:color="auto"/>
              <w:right w:val="nil"/>
            </w:tcBorders>
            <w:shd w:val="clear" w:color="auto" w:fill="FFFFFF"/>
            <w:vAlign w:val="center"/>
          </w:tcPr>
          <w:p w14:paraId="76C43B49"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医生及医师—未在其他地方分类</w:t>
            </w:r>
          </w:p>
        </w:tc>
      </w:tr>
      <w:tr w:rsidR="00A052DC" w14:paraId="50D5EF75"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269D3CA0"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792B9758"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8021</w:t>
            </w:r>
          </w:p>
        </w:tc>
        <w:tc>
          <w:tcPr>
            <w:tcW w:w="3969" w:type="dxa"/>
            <w:tcBorders>
              <w:top w:val="nil"/>
              <w:left w:val="nil"/>
              <w:bottom w:val="single" w:sz="8" w:space="0" w:color="auto"/>
              <w:right w:val="nil"/>
            </w:tcBorders>
            <w:shd w:val="clear" w:color="auto" w:fill="FFFFFF"/>
            <w:vAlign w:val="center"/>
          </w:tcPr>
          <w:p w14:paraId="185A0747"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牙医及畸齿矫正医师</w:t>
            </w:r>
          </w:p>
        </w:tc>
      </w:tr>
      <w:tr w:rsidR="00A052DC" w14:paraId="1EAFDCFA"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3A502BFA"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30B3F2CF"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8031</w:t>
            </w:r>
          </w:p>
        </w:tc>
        <w:tc>
          <w:tcPr>
            <w:tcW w:w="3969" w:type="dxa"/>
            <w:tcBorders>
              <w:top w:val="nil"/>
              <w:left w:val="nil"/>
              <w:bottom w:val="single" w:sz="8" w:space="0" w:color="auto"/>
              <w:right w:val="nil"/>
            </w:tcBorders>
            <w:shd w:val="clear" w:color="auto" w:fill="FFFFFF"/>
            <w:vAlign w:val="center"/>
          </w:tcPr>
          <w:p w14:paraId="0276B2A4"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整骨疗法家</w:t>
            </w:r>
          </w:p>
        </w:tc>
      </w:tr>
      <w:tr w:rsidR="00A052DC" w14:paraId="3EC442AC"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5BBD1A6B"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00AB632D"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8041</w:t>
            </w:r>
          </w:p>
        </w:tc>
        <w:tc>
          <w:tcPr>
            <w:tcW w:w="3969" w:type="dxa"/>
            <w:tcBorders>
              <w:top w:val="nil"/>
              <w:left w:val="nil"/>
              <w:bottom w:val="single" w:sz="8" w:space="0" w:color="auto"/>
              <w:right w:val="nil"/>
            </w:tcBorders>
            <w:shd w:val="clear" w:color="auto" w:fill="FFFFFF"/>
            <w:vAlign w:val="center"/>
          </w:tcPr>
          <w:p w14:paraId="4A0862D4"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脊椎指压治疗者</w:t>
            </w:r>
          </w:p>
        </w:tc>
      </w:tr>
      <w:tr w:rsidR="00A052DC" w14:paraId="3F30FADA"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0A3E95C2"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1E03DBB7"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8042</w:t>
            </w:r>
          </w:p>
        </w:tc>
        <w:tc>
          <w:tcPr>
            <w:tcW w:w="3969" w:type="dxa"/>
            <w:tcBorders>
              <w:top w:val="nil"/>
              <w:left w:val="nil"/>
              <w:bottom w:val="single" w:sz="8" w:space="0" w:color="auto"/>
              <w:right w:val="nil"/>
            </w:tcBorders>
            <w:shd w:val="clear" w:color="auto" w:fill="FFFFFF"/>
            <w:vAlign w:val="center"/>
          </w:tcPr>
          <w:p w14:paraId="1510C3B7"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验光师和检眼师</w:t>
            </w:r>
          </w:p>
        </w:tc>
      </w:tr>
      <w:tr w:rsidR="00A052DC" w14:paraId="14763EE8"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55145FF3"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09B1D68E"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8043</w:t>
            </w:r>
          </w:p>
        </w:tc>
        <w:tc>
          <w:tcPr>
            <w:tcW w:w="3969" w:type="dxa"/>
            <w:tcBorders>
              <w:top w:val="nil"/>
              <w:left w:val="nil"/>
              <w:bottom w:val="single" w:sz="8" w:space="0" w:color="auto"/>
              <w:right w:val="nil"/>
            </w:tcBorders>
            <w:shd w:val="clear" w:color="auto" w:fill="FFFFFF"/>
            <w:vAlign w:val="center"/>
          </w:tcPr>
          <w:p w14:paraId="0680C0EF"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眼镜商、光学商品和眼镜</w:t>
            </w:r>
          </w:p>
        </w:tc>
      </w:tr>
      <w:tr w:rsidR="00A052DC" w14:paraId="754079FE"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175818F5"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29C23E34"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8044</w:t>
            </w:r>
          </w:p>
        </w:tc>
        <w:tc>
          <w:tcPr>
            <w:tcW w:w="3969" w:type="dxa"/>
            <w:tcBorders>
              <w:top w:val="nil"/>
              <w:left w:val="nil"/>
              <w:bottom w:val="single" w:sz="8" w:space="0" w:color="auto"/>
              <w:right w:val="nil"/>
            </w:tcBorders>
            <w:shd w:val="clear" w:color="auto" w:fill="FFFFFF"/>
            <w:vAlign w:val="center"/>
          </w:tcPr>
          <w:p w14:paraId="1BD92A82"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光学眼镜店</w:t>
            </w:r>
          </w:p>
        </w:tc>
      </w:tr>
      <w:tr w:rsidR="00A052DC" w14:paraId="2A3DE357"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4594EB07"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7D0938CA"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8049</w:t>
            </w:r>
          </w:p>
        </w:tc>
        <w:tc>
          <w:tcPr>
            <w:tcW w:w="3969" w:type="dxa"/>
            <w:tcBorders>
              <w:top w:val="nil"/>
              <w:left w:val="nil"/>
              <w:bottom w:val="single" w:sz="8" w:space="0" w:color="auto"/>
              <w:right w:val="nil"/>
            </w:tcBorders>
            <w:shd w:val="clear" w:color="auto" w:fill="FFFFFF"/>
            <w:vAlign w:val="center"/>
          </w:tcPr>
          <w:p w14:paraId="65D4A800"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足病医生和手足病医生</w:t>
            </w:r>
          </w:p>
        </w:tc>
      </w:tr>
      <w:tr w:rsidR="00A052DC" w14:paraId="55A8039B"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23474431"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000FDF80"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8050</w:t>
            </w:r>
          </w:p>
        </w:tc>
        <w:tc>
          <w:tcPr>
            <w:tcW w:w="3969" w:type="dxa"/>
            <w:tcBorders>
              <w:top w:val="nil"/>
              <w:left w:val="nil"/>
              <w:bottom w:val="single" w:sz="8" w:space="0" w:color="auto"/>
              <w:right w:val="nil"/>
            </w:tcBorders>
            <w:shd w:val="clear" w:color="auto" w:fill="FFFFFF"/>
            <w:vAlign w:val="center"/>
          </w:tcPr>
          <w:p w14:paraId="7BFDE0DA"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护理和个人照顾设施</w:t>
            </w:r>
          </w:p>
        </w:tc>
      </w:tr>
      <w:tr w:rsidR="00A052DC" w14:paraId="05117DB5"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299F34E4"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5BBCD1AA"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8062</w:t>
            </w:r>
          </w:p>
        </w:tc>
        <w:tc>
          <w:tcPr>
            <w:tcW w:w="3969" w:type="dxa"/>
            <w:tcBorders>
              <w:top w:val="nil"/>
              <w:left w:val="nil"/>
              <w:bottom w:val="single" w:sz="8" w:space="0" w:color="auto"/>
              <w:right w:val="nil"/>
            </w:tcBorders>
            <w:shd w:val="clear" w:color="auto" w:fill="FFFFFF"/>
            <w:vAlign w:val="center"/>
          </w:tcPr>
          <w:p w14:paraId="75C4417E"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医院</w:t>
            </w:r>
          </w:p>
        </w:tc>
      </w:tr>
      <w:tr w:rsidR="00A052DC" w14:paraId="2FDDE1EF"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0B1030D8"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072E88C4"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8071</w:t>
            </w:r>
          </w:p>
        </w:tc>
        <w:tc>
          <w:tcPr>
            <w:tcW w:w="3969" w:type="dxa"/>
            <w:tcBorders>
              <w:top w:val="nil"/>
              <w:left w:val="nil"/>
              <w:bottom w:val="single" w:sz="8" w:space="0" w:color="auto"/>
              <w:right w:val="nil"/>
            </w:tcBorders>
            <w:shd w:val="clear" w:color="auto" w:fill="FFFFFF"/>
            <w:vAlign w:val="center"/>
          </w:tcPr>
          <w:p w14:paraId="1F4186D2"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医学和牙科实验室</w:t>
            </w:r>
          </w:p>
        </w:tc>
      </w:tr>
      <w:tr w:rsidR="00A052DC" w14:paraId="441266C0" w14:textId="77777777">
        <w:trPr>
          <w:trHeight w:val="324"/>
        </w:trPr>
        <w:tc>
          <w:tcPr>
            <w:tcW w:w="1855" w:type="dxa"/>
            <w:tcBorders>
              <w:top w:val="single" w:sz="4" w:space="0" w:color="auto"/>
              <w:bottom w:val="single" w:sz="4" w:space="0" w:color="auto"/>
              <w:right w:val="single" w:sz="4" w:space="0" w:color="auto"/>
            </w:tcBorders>
            <w:shd w:val="clear" w:color="auto" w:fill="auto"/>
            <w:noWrap/>
            <w:vAlign w:val="center"/>
          </w:tcPr>
          <w:p w14:paraId="6E3157C7" w14:textId="77777777" w:rsidR="00A052DC" w:rsidRDefault="009F0A60">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tc>
        <w:tc>
          <w:tcPr>
            <w:tcW w:w="2552" w:type="dxa"/>
            <w:tcBorders>
              <w:top w:val="nil"/>
              <w:left w:val="nil"/>
              <w:bottom w:val="single" w:sz="4" w:space="0" w:color="auto"/>
              <w:right w:val="single" w:sz="4" w:space="0" w:color="auto"/>
            </w:tcBorders>
            <w:shd w:val="clear" w:color="auto" w:fill="FFFFFF"/>
            <w:vAlign w:val="center"/>
          </w:tcPr>
          <w:p w14:paraId="760151D8" w14:textId="77777777" w:rsidR="00A052DC" w:rsidRDefault="009F0A60">
            <w:pPr>
              <w:widowControl/>
              <w:jc w:val="center"/>
              <w:rPr>
                <w:rFonts w:ascii="黑体" w:eastAsia="黑体" w:hAnsi="黑体"/>
                <w:color w:val="000000"/>
                <w:kern w:val="0"/>
                <w:sz w:val="20"/>
                <w:szCs w:val="20"/>
              </w:rPr>
            </w:pPr>
            <w:r>
              <w:rPr>
                <w:rFonts w:ascii="黑体" w:eastAsia="黑体" w:hAnsi="黑体"/>
                <w:color w:val="000000"/>
                <w:kern w:val="0"/>
                <w:sz w:val="20"/>
                <w:szCs w:val="20"/>
              </w:rPr>
              <w:t>8099</w:t>
            </w:r>
          </w:p>
        </w:tc>
        <w:tc>
          <w:tcPr>
            <w:tcW w:w="3969" w:type="dxa"/>
            <w:tcBorders>
              <w:top w:val="nil"/>
              <w:left w:val="nil"/>
              <w:bottom w:val="single" w:sz="8" w:space="0" w:color="auto"/>
              <w:right w:val="nil"/>
            </w:tcBorders>
            <w:shd w:val="clear" w:color="auto" w:fill="FFFFFF"/>
            <w:vAlign w:val="center"/>
          </w:tcPr>
          <w:p w14:paraId="2BADC2AE" w14:textId="77777777" w:rsidR="00A052DC" w:rsidRDefault="009F0A60">
            <w:pPr>
              <w:widowControl/>
              <w:rPr>
                <w:rFonts w:ascii="黑体" w:eastAsia="黑体" w:hAnsi="黑体" w:cs="宋体"/>
                <w:color w:val="000000"/>
                <w:kern w:val="0"/>
                <w:sz w:val="20"/>
                <w:szCs w:val="20"/>
              </w:rPr>
            </w:pPr>
            <w:r>
              <w:rPr>
                <w:rFonts w:ascii="黑体" w:eastAsia="黑体" w:hAnsi="黑体" w:cs="宋体" w:hint="eastAsia"/>
                <w:color w:val="000000"/>
                <w:kern w:val="0"/>
                <w:sz w:val="20"/>
                <w:szCs w:val="20"/>
              </w:rPr>
              <w:t>医疗服务、健康实践—未在其他地方分类</w:t>
            </w:r>
          </w:p>
        </w:tc>
      </w:tr>
    </w:tbl>
    <w:p w14:paraId="10FCAFEA" w14:textId="77777777" w:rsidR="00A052DC" w:rsidRDefault="00A412F6">
      <w:pPr>
        <w:rPr>
          <w:rFonts w:ascii="宋体" w:hAnsi="宋体"/>
          <w:color w:val="000000"/>
          <w:sz w:val="18"/>
          <w:szCs w:val="18"/>
        </w:rPr>
      </w:pPr>
      <w:r w:rsidRPr="00A412F6">
        <w:rPr>
          <w:rFonts w:ascii="仿宋_GB2312" w:eastAsia="仿宋_GB2312" w:hint="eastAsia"/>
          <w:color w:val="000000"/>
          <w:szCs w:val="21"/>
        </w:rPr>
        <w:t>注：</w:t>
      </w:r>
      <w:r w:rsidR="009F0A60">
        <w:rPr>
          <w:rFonts w:ascii="仿宋_GB2312" w:eastAsia="仿宋_GB2312" w:hint="eastAsia"/>
          <w:color w:val="000000"/>
          <w:szCs w:val="21"/>
        </w:rPr>
        <w:t>商户类别码（MCC）分类标准为威士（Visa）、万事达（MasterCard）、运通（AmericanExpress）、JCB四个银行卡组织的商户类别码。</w:t>
      </w:r>
    </w:p>
    <w:p w14:paraId="48F56785" w14:textId="77777777" w:rsidR="00A052DC" w:rsidRDefault="00A052DC"/>
    <w:p w14:paraId="0991260C" w14:textId="77777777" w:rsidR="00A052DC" w:rsidRDefault="009F0A60" w:rsidP="0020251D">
      <w:pPr>
        <w:pStyle w:val="3"/>
        <w:ind w:left="0"/>
        <w:rPr>
          <w:rFonts w:ascii="Times New Roman" w:hAnsi="Times New Roman"/>
        </w:rPr>
      </w:pPr>
      <w:bookmarkStart w:id="5056" w:name="_Toc455171254"/>
      <w:bookmarkStart w:id="5057" w:name="_Toc455160078"/>
      <w:bookmarkStart w:id="5058" w:name="_Toc455167529"/>
      <w:bookmarkStart w:id="5059" w:name="_Toc454468331"/>
      <w:bookmarkStart w:id="5060" w:name="_Toc454402832"/>
      <w:bookmarkStart w:id="5061" w:name="_Toc455156350"/>
      <w:bookmarkStart w:id="5062" w:name="_Toc454462608"/>
      <w:bookmarkStart w:id="5063" w:name="_Toc454783708"/>
      <w:bookmarkStart w:id="5064" w:name="_Toc454385913"/>
      <w:bookmarkStart w:id="5065" w:name="_Toc454394908"/>
      <w:bookmarkStart w:id="5066" w:name="_Toc454394909"/>
      <w:bookmarkStart w:id="5067" w:name="_Toc91455565"/>
      <w:bookmarkStart w:id="5068" w:name="_Toc101684590"/>
      <w:bookmarkEnd w:id="5056"/>
      <w:bookmarkEnd w:id="5057"/>
      <w:bookmarkEnd w:id="5058"/>
      <w:bookmarkEnd w:id="5059"/>
      <w:bookmarkEnd w:id="5060"/>
      <w:bookmarkEnd w:id="5061"/>
      <w:bookmarkEnd w:id="5062"/>
      <w:bookmarkEnd w:id="5063"/>
      <w:bookmarkEnd w:id="5064"/>
      <w:bookmarkEnd w:id="5065"/>
      <w:r>
        <w:rPr>
          <w:rFonts w:ascii="Times New Roman" w:hAnsi="Times New Roman" w:hint="eastAsia"/>
        </w:rPr>
        <w:t>货物、服务、薪资及债务减免等其他各类往来代码表</w:t>
      </w:r>
      <w:bookmarkEnd w:id="5066"/>
      <w:r>
        <w:rPr>
          <w:rFonts w:ascii="Times New Roman" w:hAnsi="Times New Roman" w:hint="eastAsia"/>
        </w:rPr>
        <w:t>（新旧对照）</w:t>
      </w:r>
      <w:bookmarkEnd w:id="5067"/>
      <w:bookmarkEnd w:id="5068"/>
    </w:p>
    <w:tbl>
      <w:tblPr>
        <w:tblW w:w="8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3594"/>
        <w:gridCol w:w="1276"/>
        <w:gridCol w:w="2526"/>
      </w:tblGrid>
      <w:tr w:rsidR="00A052DC" w14:paraId="49A1F469" w14:textId="77777777" w:rsidTr="00653B9C">
        <w:trPr>
          <w:trHeight w:val="20"/>
          <w:tblHeader/>
          <w:jc w:val="center"/>
        </w:trPr>
        <w:tc>
          <w:tcPr>
            <w:tcW w:w="13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06D4DD6" w14:textId="77777777" w:rsidR="00A052DC" w:rsidRDefault="009F0A60" w:rsidP="003C405E">
            <w:pPr>
              <w:pStyle w:val="B1"/>
            </w:pPr>
            <w:r>
              <w:rPr>
                <w:rFonts w:hint="eastAsia"/>
              </w:rPr>
              <w:t>新交易代码</w:t>
            </w:r>
          </w:p>
        </w:tc>
        <w:tc>
          <w:tcPr>
            <w:tcW w:w="359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C4FDC6B" w14:textId="77777777" w:rsidR="00A052DC" w:rsidRDefault="009F0A60" w:rsidP="003C405E">
            <w:pPr>
              <w:pStyle w:val="B1"/>
            </w:pPr>
            <w:r>
              <w:rPr>
                <w:rFonts w:hint="eastAsia"/>
              </w:rPr>
              <w:t>新代码名称</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EC7A7E6" w14:textId="77777777" w:rsidR="00A052DC" w:rsidRDefault="009F0A60" w:rsidP="003C405E">
            <w:pPr>
              <w:pStyle w:val="B1"/>
            </w:pPr>
            <w:r>
              <w:rPr>
                <w:rFonts w:hint="eastAsia"/>
              </w:rPr>
              <w:t>旧代码</w:t>
            </w:r>
          </w:p>
        </w:tc>
        <w:tc>
          <w:tcPr>
            <w:tcW w:w="252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C80F0C9" w14:textId="77777777" w:rsidR="00A052DC" w:rsidRDefault="009F0A60" w:rsidP="003C405E">
            <w:pPr>
              <w:pStyle w:val="B1"/>
            </w:pPr>
            <w:r>
              <w:rPr>
                <w:rFonts w:hint="eastAsia"/>
              </w:rPr>
              <w:t>旧代码名称</w:t>
            </w:r>
          </w:p>
        </w:tc>
      </w:tr>
      <w:tr w:rsidR="00A052DC" w14:paraId="4866663E" w14:textId="77777777" w:rsidTr="00653B9C">
        <w:trPr>
          <w:trHeight w:val="20"/>
          <w:jc w:val="center"/>
        </w:trPr>
        <w:tc>
          <w:tcPr>
            <w:tcW w:w="1368" w:type="dxa"/>
            <w:tcBorders>
              <w:top w:val="single" w:sz="4" w:space="0" w:color="auto"/>
              <w:left w:val="single" w:sz="4" w:space="0" w:color="auto"/>
              <w:bottom w:val="single" w:sz="4" w:space="0" w:color="auto"/>
              <w:right w:val="single" w:sz="4" w:space="0" w:color="auto"/>
            </w:tcBorders>
            <w:shd w:val="clear" w:color="auto" w:fill="FFFFFF"/>
            <w:vAlign w:val="center"/>
          </w:tcPr>
          <w:p w14:paraId="652A2C1F" w14:textId="77777777" w:rsidR="00A052DC" w:rsidRDefault="00A052DC" w:rsidP="003C405E">
            <w:pPr>
              <w:pStyle w:val="B"/>
            </w:pPr>
          </w:p>
        </w:tc>
        <w:tc>
          <w:tcPr>
            <w:tcW w:w="3594" w:type="dxa"/>
            <w:tcBorders>
              <w:top w:val="single" w:sz="4" w:space="0" w:color="auto"/>
              <w:left w:val="single" w:sz="4" w:space="0" w:color="auto"/>
              <w:bottom w:val="single" w:sz="4" w:space="0" w:color="auto"/>
              <w:right w:val="single" w:sz="4" w:space="0" w:color="auto"/>
            </w:tcBorders>
            <w:shd w:val="clear" w:color="auto" w:fill="FFFFFF"/>
            <w:vAlign w:val="center"/>
          </w:tcPr>
          <w:p w14:paraId="1DEB8225" w14:textId="77777777" w:rsidR="00A052DC" w:rsidRDefault="009F0A60" w:rsidP="003C405E">
            <w:pPr>
              <w:pStyle w:val="B"/>
            </w:pPr>
            <w:r>
              <w:rPr>
                <w:rFonts w:hint="eastAsia"/>
              </w:rPr>
              <w:t>货物贸易</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EEC99F5" w14:textId="77777777" w:rsidR="00A052DC" w:rsidRDefault="00A052DC" w:rsidP="003C405E">
            <w:pPr>
              <w:pStyle w:val="B"/>
            </w:pPr>
          </w:p>
        </w:tc>
        <w:tc>
          <w:tcPr>
            <w:tcW w:w="2526" w:type="dxa"/>
            <w:tcBorders>
              <w:top w:val="single" w:sz="4" w:space="0" w:color="auto"/>
              <w:left w:val="single" w:sz="4" w:space="0" w:color="auto"/>
              <w:bottom w:val="single" w:sz="4" w:space="0" w:color="auto"/>
              <w:right w:val="single" w:sz="4" w:space="0" w:color="auto"/>
            </w:tcBorders>
            <w:shd w:val="clear" w:color="auto" w:fill="FFFFFF"/>
            <w:vAlign w:val="center"/>
          </w:tcPr>
          <w:p w14:paraId="05DB4804" w14:textId="77777777" w:rsidR="00A052DC" w:rsidRDefault="00A052DC" w:rsidP="003C405E">
            <w:pPr>
              <w:pStyle w:val="B"/>
            </w:pPr>
          </w:p>
        </w:tc>
      </w:tr>
      <w:tr w:rsidR="00A052DC" w14:paraId="1B8DC3AE" w14:textId="77777777" w:rsidTr="00653B9C">
        <w:trPr>
          <w:trHeight w:val="20"/>
          <w:jc w:val="center"/>
        </w:trPr>
        <w:tc>
          <w:tcPr>
            <w:tcW w:w="1368" w:type="dxa"/>
            <w:vMerge w:val="restart"/>
            <w:tcBorders>
              <w:top w:val="single" w:sz="4" w:space="0" w:color="auto"/>
              <w:left w:val="single" w:sz="4" w:space="0" w:color="auto"/>
              <w:right w:val="single" w:sz="4" w:space="0" w:color="auto"/>
            </w:tcBorders>
            <w:shd w:val="clear" w:color="auto" w:fill="FFFFFF"/>
            <w:vAlign w:val="center"/>
          </w:tcPr>
          <w:p w14:paraId="1B6D397C" w14:textId="77777777" w:rsidR="00A052DC" w:rsidRDefault="009F0A60" w:rsidP="003C405E">
            <w:pPr>
              <w:pStyle w:val="B"/>
            </w:pPr>
            <w:r>
              <w:t>120001</w:t>
            </w:r>
          </w:p>
        </w:tc>
        <w:tc>
          <w:tcPr>
            <w:tcW w:w="3594" w:type="dxa"/>
            <w:vMerge w:val="restart"/>
            <w:tcBorders>
              <w:top w:val="single" w:sz="4" w:space="0" w:color="auto"/>
              <w:left w:val="single" w:sz="4" w:space="0" w:color="auto"/>
              <w:right w:val="single" w:sz="4" w:space="0" w:color="auto"/>
            </w:tcBorders>
            <w:shd w:val="clear" w:color="auto" w:fill="FFFFFF"/>
            <w:vAlign w:val="center"/>
          </w:tcPr>
          <w:p w14:paraId="4842FF2C" w14:textId="77777777" w:rsidR="00A052DC" w:rsidRDefault="009F0A60" w:rsidP="003C405E">
            <w:pPr>
              <w:pStyle w:val="B"/>
            </w:pPr>
            <w:r>
              <w:rPr>
                <w:rFonts w:hint="eastAsia"/>
              </w:rPr>
              <w:t>黄金进出口</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D440C82" w14:textId="77777777" w:rsidR="00A052DC" w:rsidRDefault="009F0A60" w:rsidP="003C405E">
            <w:pPr>
              <w:pStyle w:val="B"/>
            </w:pPr>
            <w:r>
              <w:t>121040</w:t>
            </w:r>
          </w:p>
        </w:tc>
        <w:tc>
          <w:tcPr>
            <w:tcW w:w="2526" w:type="dxa"/>
            <w:tcBorders>
              <w:top w:val="single" w:sz="4" w:space="0" w:color="auto"/>
              <w:left w:val="single" w:sz="4" w:space="0" w:color="auto"/>
              <w:bottom w:val="single" w:sz="4" w:space="0" w:color="auto"/>
              <w:right w:val="single" w:sz="4" w:space="0" w:color="auto"/>
            </w:tcBorders>
            <w:shd w:val="clear" w:color="auto" w:fill="FFFFFF"/>
            <w:vAlign w:val="center"/>
          </w:tcPr>
          <w:p w14:paraId="46A0A2AE" w14:textId="77777777" w:rsidR="00A052DC" w:rsidRDefault="009F0A60" w:rsidP="003C405E">
            <w:pPr>
              <w:pStyle w:val="B"/>
            </w:pPr>
            <w:r>
              <w:rPr>
                <w:rFonts w:hint="eastAsia"/>
              </w:rPr>
              <w:t>纳入海关统计的非货币黄金进出口</w:t>
            </w:r>
          </w:p>
        </w:tc>
      </w:tr>
      <w:tr w:rsidR="00A052DC" w14:paraId="5BA70540" w14:textId="77777777" w:rsidTr="00653B9C">
        <w:trPr>
          <w:trHeight w:val="20"/>
          <w:jc w:val="center"/>
        </w:trPr>
        <w:tc>
          <w:tcPr>
            <w:tcW w:w="1368" w:type="dxa"/>
            <w:vMerge/>
            <w:tcBorders>
              <w:left w:val="single" w:sz="4" w:space="0" w:color="auto"/>
              <w:bottom w:val="single" w:sz="4" w:space="0" w:color="auto"/>
              <w:right w:val="single" w:sz="4" w:space="0" w:color="auto"/>
            </w:tcBorders>
            <w:shd w:val="clear" w:color="auto" w:fill="FFFFFF"/>
            <w:vAlign w:val="center"/>
          </w:tcPr>
          <w:p w14:paraId="2898B537" w14:textId="77777777" w:rsidR="00A052DC" w:rsidRDefault="00A052DC" w:rsidP="003C405E">
            <w:pPr>
              <w:pStyle w:val="B"/>
            </w:pPr>
          </w:p>
        </w:tc>
        <w:tc>
          <w:tcPr>
            <w:tcW w:w="3594" w:type="dxa"/>
            <w:vMerge/>
            <w:tcBorders>
              <w:left w:val="single" w:sz="4" w:space="0" w:color="auto"/>
              <w:bottom w:val="single" w:sz="4" w:space="0" w:color="auto"/>
              <w:right w:val="single" w:sz="4" w:space="0" w:color="auto"/>
            </w:tcBorders>
            <w:shd w:val="clear" w:color="auto" w:fill="FFFFFF"/>
            <w:vAlign w:val="center"/>
          </w:tcPr>
          <w:p w14:paraId="056CD201" w14:textId="77777777" w:rsidR="00A052DC" w:rsidRDefault="00A052DC" w:rsidP="003C405E">
            <w:pPr>
              <w:pStyle w:val="B"/>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AC12DBB" w14:textId="77777777" w:rsidR="00A052DC" w:rsidRDefault="009F0A60" w:rsidP="003C405E">
            <w:pPr>
              <w:pStyle w:val="B"/>
            </w:pPr>
            <w:r>
              <w:t>122020</w:t>
            </w:r>
          </w:p>
        </w:tc>
        <w:tc>
          <w:tcPr>
            <w:tcW w:w="2526" w:type="dxa"/>
            <w:tcBorders>
              <w:top w:val="single" w:sz="4" w:space="0" w:color="auto"/>
              <w:left w:val="single" w:sz="4" w:space="0" w:color="auto"/>
              <w:bottom w:val="single" w:sz="4" w:space="0" w:color="auto"/>
              <w:right w:val="single" w:sz="4" w:space="0" w:color="auto"/>
            </w:tcBorders>
            <w:shd w:val="clear" w:color="auto" w:fill="FFFFFF"/>
            <w:vAlign w:val="center"/>
          </w:tcPr>
          <w:p w14:paraId="20042FB5" w14:textId="77777777" w:rsidR="00A052DC" w:rsidRDefault="009F0A60" w:rsidP="003C405E">
            <w:pPr>
              <w:pStyle w:val="B"/>
            </w:pPr>
            <w:r>
              <w:rPr>
                <w:rFonts w:hint="eastAsia"/>
              </w:rPr>
              <w:t>未纳入海关统计的非货币黄金进出口</w:t>
            </w:r>
          </w:p>
        </w:tc>
      </w:tr>
      <w:tr w:rsidR="00A052DC" w14:paraId="546CA0E4" w14:textId="77777777" w:rsidTr="00653B9C">
        <w:trPr>
          <w:trHeight w:val="20"/>
          <w:jc w:val="center"/>
        </w:trPr>
        <w:tc>
          <w:tcPr>
            <w:tcW w:w="1368" w:type="dxa"/>
            <w:tcBorders>
              <w:top w:val="single" w:sz="4" w:space="0" w:color="auto"/>
              <w:left w:val="single" w:sz="4" w:space="0" w:color="auto"/>
              <w:bottom w:val="single" w:sz="4" w:space="0" w:color="auto"/>
              <w:right w:val="single" w:sz="4" w:space="0" w:color="auto"/>
            </w:tcBorders>
            <w:shd w:val="clear" w:color="auto" w:fill="FFFFFF"/>
            <w:vAlign w:val="center"/>
          </w:tcPr>
          <w:p w14:paraId="31814191" w14:textId="77777777" w:rsidR="00A052DC" w:rsidRDefault="009F0A60" w:rsidP="003C405E">
            <w:pPr>
              <w:pStyle w:val="B"/>
            </w:pPr>
            <w:r>
              <w:t>120002</w:t>
            </w:r>
          </w:p>
        </w:tc>
        <w:tc>
          <w:tcPr>
            <w:tcW w:w="3594" w:type="dxa"/>
            <w:tcBorders>
              <w:top w:val="single" w:sz="4" w:space="0" w:color="auto"/>
              <w:left w:val="single" w:sz="4" w:space="0" w:color="auto"/>
              <w:bottom w:val="single" w:sz="4" w:space="0" w:color="auto"/>
              <w:right w:val="single" w:sz="4" w:space="0" w:color="auto"/>
            </w:tcBorders>
            <w:shd w:val="clear" w:color="auto" w:fill="FFFFFF"/>
            <w:vAlign w:val="center"/>
          </w:tcPr>
          <w:p w14:paraId="46BD1EEF" w14:textId="77777777" w:rsidR="00A052DC" w:rsidRDefault="009F0A60" w:rsidP="003C405E">
            <w:pPr>
              <w:pStyle w:val="B"/>
            </w:pPr>
            <w:r>
              <w:rPr>
                <w:rFonts w:hint="eastAsia"/>
              </w:rPr>
              <w:t>离岸转手买卖</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05886B2" w14:textId="77777777" w:rsidR="00A052DC" w:rsidRDefault="009F0A60" w:rsidP="003C405E">
            <w:pPr>
              <w:pStyle w:val="B"/>
            </w:pPr>
            <w:r>
              <w:t>122010</w:t>
            </w:r>
          </w:p>
        </w:tc>
        <w:tc>
          <w:tcPr>
            <w:tcW w:w="2526" w:type="dxa"/>
            <w:tcBorders>
              <w:top w:val="single" w:sz="4" w:space="0" w:color="auto"/>
              <w:left w:val="single" w:sz="4" w:space="0" w:color="auto"/>
              <w:bottom w:val="single" w:sz="4" w:space="0" w:color="auto"/>
              <w:right w:val="single" w:sz="4" w:space="0" w:color="auto"/>
            </w:tcBorders>
            <w:shd w:val="clear" w:color="auto" w:fill="FFFFFF"/>
            <w:vAlign w:val="center"/>
          </w:tcPr>
          <w:p w14:paraId="3F344CA1" w14:textId="77777777" w:rsidR="00A052DC" w:rsidRDefault="009F0A60" w:rsidP="003C405E">
            <w:pPr>
              <w:pStyle w:val="B"/>
            </w:pPr>
            <w:r>
              <w:rPr>
                <w:rFonts w:hint="eastAsia"/>
              </w:rPr>
              <w:t>离岸转手买卖</w:t>
            </w:r>
          </w:p>
        </w:tc>
      </w:tr>
      <w:tr w:rsidR="00A052DC" w14:paraId="25B3AA95" w14:textId="77777777" w:rsidTr="00653B9C">
        <w:trPr>
          <w:trHeight w:val="20"/>
          <w:jc w:val="center"/>
        </w:trPr>
        <w:tc>
          <w:tcPr>
            <w:tcW w:w="1368" w:type="dxa"/>
            <w:vMerge w:val="restart"/>
            <w:tcBorders>
              <w:top w:val="single" w:sz="4" w:space="0" w:color="auto"/>
              <w:left w:val="single" w:sz="4" w:space="0" w:color="auto"/>
              <w:right w:val="single" w:sz="4" w:space="0" w:color="auto"/>
            </w:tcBorders>
            <w:shd w:val="clear" w:color="auto" w:fill="FFFFFF"/>
            <w:vAlign w:val="center"/>
          </w:tcPr>
          <w:p w14:paraId="666533F3" w14:textId="77777777" w:rsidR="00A052DC" w:rsidRDefault="009F0A60" w:rsidP="003C405E">
            <w:pPr>
              <w:pStyle w:val="B"/>
            </w:pPr>
            <w:r>
              <w:t>120003</w:t>
            </w:r>
          </w:p>
        </w:tc>
        <w:tc>
          <w:tcPr>
            <w:tcW w:w="3594" w:type="dxa"/>
            <w:vMerge w:val="restart"/>
            <w:tcBorders>
              <w:top w:val="single" w:sz="4" w:space="0" w:color="auto"/>
              <w:left w:val="single" w:sz="4" w:space="0" w:color="auto"/>
              <w:right w:val="single" w:sz="4" w:space="0" w:color="auto"/>
            </w:tcBorders>
            <w:shd w:val="clear" w:color="auto" w:fill="FFFFFF"/>
            <w:vAlign w:val="center"/>
          </w:tcPr>
          <w:p w14:paraId="5386EB69" w14:textId="77777777" w:rsidR="00A052DC" w:rsidRDefault="009F0A60" w:rsidP="003C405E">
            <w:pPr>
              <w:pStyle w:val="B"/>
            </w:pPr>
            <w:r>
              <w:t>其他</w:t>
            </w:r>
            <w:r>
              <w:rPr>
                <w:rFonts w:hint="eastAsia"/>
              </w:rPr>
              <w:t>货物贸易</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A01F7D4" w14:textId="77777777" w:rsidR="00A052DC" w:rsidRDefault="009F0A60" w:rsidP="003C405E">
            <w:pPr>
              <w:pStyle w:val="B"/>
            </w:pPr>
            <w:r>
              <w:t>121990</w:t>
            </w:r>
          </w:p>
        </w:tc>
        <w:tc>
          <w:tcPr>
            <w:tcW w:w="2526" w:type="dxa"/>
            <w:tcBorders>
              <w:top w:val="single" w:sz="4" w:space="0" w:color="auto"/>
              <w:left w:val="single" w:sz="4" w:space="0" w:color="auto"/>
              <w:bottom w:val="single" w:sz="4" w:space="0" w:color="auto"/>
              <w:right w:val="single" w:sz="4" w:space="0" w:color="auto"/>
            </w:tcBorders>
            <w:shd w:val="clear" w:color="auto" w:fill="FFFFFF"/>
            <w:vAlign w:val="center"/>
          </w:tcPr>
          <w:p w14:paraId="388D744E" w14:textId="77777777" w:rsidR="00A052DC" w:rsidRDefault="009F0A60" w:rsidP="003C405E">
            <w:pPr>
              <w:pStyle w:val="B"/>
            </w:pPr>
            <w:r>
              <w:rPr>
                <w:rFonts w:hint="eastAsia"/>
              </w:rPr>
              <w:t>其他纳入海关统计的货物贸易</w:t>
            </w:r>
          </w:p>
        </w:tc>
      </w:tr>
      <w:tr w:rsidR="00A052DC" w14:paraId="634D1F0B" w14:textId="77777777" w:rsidTr="00653B9C">
        <w:trPr>
          <w:trHeight w:val="20"/>
          <w:jc w:val="center"/>
        </w:trPr>
        <w:tc>
          <w:tcPr>
            <w:tcW w:w="1368" w:type="dxa"/>
            <w:vMerge/>
            <w:tcBorders>
              <w:left w:val="single" w:sz="4" w:space="0" w:color="auto"/>
              <w:bottom w:val="single" w:sz="4" w:space="0" w:color="auto"/>
              <w:right w:val="single" w:sz="4" w:space="0" w:color="auto"/>
            </w:tcBorders>
            <w:shd w:val="clear" w:color="auto" w:fill="FFFFFF"/>
            <w:vAlign w:val="center"/>
          </w:tcPr>
          <w:p w14:paraId="78A3CC39" w14:textId="77777777" w:rsidR="00A052DC" w:rsidRDefault="00A052DC" w:rsidP="003C405E">
            <w:pPr>
              <w:pStyle w:val="B"/>
            </w:pPr>
          </w:p>
        </w:tc>
        <w:tc>
          <w:tcPr>
            <w:tcW w:w="3594" w:type="dxa"/>
            <w:vMerge/>
            <w:tcBorders>
              <w:left w:val="single" w:sz="4" w:space="0" w:color="auto"/>
              <w:bottom w:val="single" w:sz="4" w:space="0" w:color="auto"/>
              <w:right w:val="single" w:sz="4" w:space="0" w:color="auto"/>
            </w:tcBorders>
            <w:shd w:val="clear" w:color="auto" w:fill="FFFFFF"/>
            <w:vAlign w:val="center"/>
          </w:tcPr>
          <w:p w14:paraId="3EDEAC74" w14:textId="77777777" w:rsidR="00A052DC" w:rsidRDefault="00A052DC" w:rsidP="003C405E">
            <w:pPr>
              <w:pStyle w:val="B"/>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F8AC0D1" w14:textId="77777777" w:rsidR="00A052DC" w:rsidRDefault="009F0A60" w:rsidP="003C405E">
            <w:pPr>
              <w:pStyle w:val="B"/>
            </w:pPr>
            <w:r>
              <w:t>122990</w:t>
            </w:r>
          </w:p>
        </w:tc>
        <w:tc>
          <w:tcPr>
            <w:tcW w:w="2526" w:type="dxa"/>
            <w:tcBorders>
              <w:top w:val="single" w:sz="4" w:space="0" w:color="auto"/>
              <w:left w:val="single" w:sz="4" w:space="0" w:color="auto"/>
              <w:bottom w:val="single" w:sz="4" w:space="0" w:color="auto"/>
              <w:right w:val="single" w:sz="4" w:space="0" w:color="auto"/>
            </w:tcBorders>
            <w:shd w:val="clear" w:color="auto" w:fill="FFFFFF"/>
            <w:vAlign w:val="center"/>
          </w:tcPr>
          <w:p w14:paraId="09141A99" w14:textId="77777777" w:rsidR="00A052DC" w:rsidRDefault="009F0A60" w:rsidP="003C405E">
            <w:pPr>
              <w:pStyle w:val="B"/>
            </w:pPr>
            <w:r>
              <w:rPr>
                <w:rFonts w:hint="eastAsia"/>
              </w:rPr>
              <w:t>其他未纳入海关统计的货物贸易</w:t>
            </w:r>
          </w:p>
        </w:tc>
      </w:tr>
      <w:tr w:rsidR="00A052DC" w14:paraId="68D16EFF" w14:textId="77777777" w:rsidTr="00653B9C">
        <w:trPr>
          <w:trHeight w:val="20"/>
          <w:jc w:val="center"/>
        </w:trPr>
        <w:tc>
          <w:tcPr>
            <w:tcW w:w="1368" w:type="dxa"/>
            <w:tcBorders>
              <w:top w:val="single" w:sz="4" w:space="0" w:color="auto"/>
              <w:left w:val="single" w:sz="4" w:space="0" w:color="auto"/>
              <w:bottom w:val="single" w:sz="4" w:space="0" w:color="auto"/>
              <w:right w:val="single" w:sz="4" w:space="0" w:color="auto"/>
            </w:tcBorders>
            <w:shd w:val="clear" w:color="auto" w:fill="FFFFFF"/>
            <w:vAlign w:val="center"/>
          </w:tcPr>
          <w:p w14:paraId="20ACE36E" w14:textId="77777777" w:rsidR="00A052DC" w:rsidRDefault="00A052DC" w:rsidP="003C405E">
            <w:pPr>
              <w:pStyle w:val="B"/>
            </w:pPr>
          </w:p>
        </w:tc>
        <w:tc>
          <w:tcPr>
            <w:tcW w:w="3594" w:type="dxa"/>
            <w:tcBorders>
              <w:top w:val="single" w:sz="4" w:space="0" w:color="auto"/>
              <w:left w:val="single" w:sz="4" w:space="0" w:color="auto"/>
              <w:bottom w:val="single" w:sz="4" w:space="0" w:color="auto"/>
              <w:right w:val="single" w:sz="4" w:space="0" w:color="auto"/>
            </w:tcBorders>
            <w:shd w:val="clear" w:color="auto" w:fill="FFFFFF"/>
            <w:vAlign w:val="center"/>
          </w:tcPr>
          <w:p w14:paraId="239DC529" w14:textId="77777777" w:rsidR="00A052DC" w:rsidRDefault="009F0A60" w:rsidP="003C405E">
            <w:pPr>
              <w:pStyle w:val="B"/>
            </w:pPr>
            <w:r>
              <w:rPr>
                <w:rFonts w:hint="eastAsia"/>
              </w:rPr>
              <w:t>服务贸易</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6A17355" w14:textId="77777777" w:rsidR="00A052DC" w:rsidRDefault="00A052DC" w:rsidP="003C405E">
            <w:pPr>
              <w:pStyle w:val="B"/>
            </w:pPr>
          </w:p>
        </w:tc>
        <w:tc>
          <w:tcPr>
            <w:tcW w:w="2526" w:type="dxa"/>
            <w:tcBorders>
              <w:top w:val="single" w:sz="4" w:space="0" w:color="auto"/>
              <w:left w:val="single" w:sz="4" w:space="0" w:color="auto"/>
              <w:bottom w:val="single" w:sz="4" w:space="0" w:color="auto"/>
              <w:right w:val="single" w:sz="4" w:space="0" w:color="auto"/>
            </w:tcBorders>
            <w:shd w:val="clear" w:color="auto" w:fill="FFFFFF"/>
            <w:vAlign w:val="center"/>
          </w:tcPr>
          <w:p w14:paraId="2AD281FC" w14:textId="77777777" w:rsidR="00A052DC" w:rsidRDefault="00A052DC" w:rsidP="003C405E">
            <w:pPr>
              <w:pStyle w:val="B"/>
            </w:pPr>
          </w:p>
        </w:tc>
      </w:tr>
      <w:tr w:rsidR="00A052DC" w14:paraId="12BD3CE2" w14:textId="77777777" w:rsidTr="00653B9C">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14:paraId="459C0D4B" w14:textId="77777777" w:rsidR="00A052DC" w:rsidRDefault="00A052DC" w:rsidP="003C405E">
            <w:pPr>
              <w:pStyle w:val="B"/>
            </w:pPr>
          </w:p>
        </w:tc>
        <w:tc>
          <w:tcPr>
            <w:tcW w:w="3594" w:type="dxa"/>
            <w:tcBorders>
              <w:top w:val="single" w:sz="4" w:space="0" w:color="auto"/>
              <w:left w:val="single" w:sz="4" w:space="0" w:color="auto"/>
              <w:bottom w:val="single" w:sz="4" w:space="0" w:color="auto"/>
              <w:right w:val="single" w:sz="4" w:space="0" w:color="auto"/>
            </w:tcBorders>
            <w:vAlign w:val="center"/>
          </w:tcPr>
          <w:p w14:paraId="0EB6DC3A" w14:textId="77777777" w:rsidR="00A052DC" w:rsidRDefault="009F0A60" w:rsidP="003C405E">
            <w:pPr>
              <w:pStyle w:val="B"/>
            </w:pPr>
            <w:r>
              <w:rPr>
                <w:rFonts w:hint="eastAsia"/>
              </w:rPr>
              <w:t>加工服务</w:t>
            </w:r>
          </w:p>
        </w:tc>
        <w:tc>
          <w:tcPr>
            <w:tcW w:w="1276" w:type="dxa"/>
            <w:tcBorders>
              <w:top w:val="single" w:sz="4" w:space="0" w:color="auto"/>
              <w:left w:val="single" w:sz="4" w:space="0" w:color="auto"/>
              <w:bottom w:val="single" w:sz="4" w:space="0" w:color="auto"/>
              <w:right w:val="single" w:sz="4" w:space="0" w:color="auto"/>
            </w:tcBorders>
            <w:vAlign w:val="center"/>
          </w:tcPr>
          <w:p w14:paraId="182B58B7" w14:textId="77777777" w:rsidR="00A052DC" w:rsidRDefault="00A052DC" w:rsidP="003C405E">
            <w:pPr>
              <w:pStyle w:val="B"/>
            </w:pPr>
          </w:p>
        </w:tc>
        <w:tc>
          <w:tcPr>
            <w:tcW w:w="2526" w:type="dxa"/>
            <w:tcBorders>
              <w:top w:val="single" w:sz="4" w:space="0" w:color="auto"/>
              <w:left w:val="single" w:sz="4" w:space="0" w:color="auto"/>
              <w:bottom w:val="single" w:sz="4" w:space="0" w:color="auto"/>
              <w:right w:val="single" w:sz="4" w:space="0" w:color="auto"/>
            </w:tcBorders>
            <w:vAlign w:val="center"/>
          </w:tcPr>
          <w:p w14:paraId="51F72E6F" w14:textId="77777777" w:rsidR="00A052DC" w:rsidRDefault="00A052DC" w:rsidP="003C405E">
            <w:pPr>
              <w:pStyle w:val="B"/>
            </w:pPr>
          </w:p>
        </w:tc>
      </w:tr>
      <w:tr w:rsidR="00A052DC" w14:paraId="5CBED9A8" w14:textId="77777777" w:rsidTr="00653B9C">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14:paraId="00D55471" w14:textId="77777777" w:rsidR="00A052DC" w:rsidRDefault="009F0A60" w:rsidP="003C405E">
            <w:pPr>
              <w:pStyle w:val="B"/>
            </w:pPr>
            <w:r>
              <w:t>221000</w:t>
            </w:r>
          </w:p>
        </w:tc>
        <w:tc>
          <w:tcPr>
            <w:tcW w:w="3594" w:type="dxa"/>
            <w:tcBorders>
              <w:top w:val="single" w:sz="4" w:space="0" w:color="auto"/>
              <w:left w:val="single" w:sz="4" w:space="0" w:color="auto"/>
              <w:bottom w:val="single" w:sz="4" w:space="0" w:color="auto"/>
              <w:right w:val="single" w:sz="4" w:space="0" w:color="auto"/>
            </w:tcBorders>
            <w:vAlign w:val="center"/>
          </w:tcPr>
          <w:p w14:paraId="13151838" w14:textId="77777777" w:rsidR="00A052DC" w:rsidRDefault="009F0A60" w:rsidP="003C405E">
            <w:pPr>
              <w:pStyle w:val="B"/>
            </w:pPr>
            <w:r>
              <w:rPr>
                <w:rFonts w:hint="eastAsia"/>
              </w:rPr>
              <w:t>来料加工工缴费收入</w:t>
            </w:r>
            <w:r>
              <w:t>/出料加工工缴费支出</w:t>
            </w:r>
          </w:p>
        </w:tc>
        <w:tc>
          <w:tcPr>
            <w:tcW w:w="1276" w:type="dxa"/>
            <w:tcBorders>
              <w:top w:val="single" w:sz="4" w:space="0" w:color="auto"/>
              <w:left w:val="single" w:sz="4" w:space="0" w:color="auto"/>
              <w:bottom w:val="single" w:sz="4" w:space="0" w:color="auto"/>
              <w:right w:val="single" w:sz="4" w:space="0" w:color="auto"/>
            </w:tcBorders>
            <w:vAlign w:val="center"/>
          </w:tcPr>
          <w:p w14:paraId="2B4ED36B" w14:textId="77777777" w:rsidR="00A052DC" w:rsidRDefault="009F0A60" w:rsidP="003C405E">
            <w:pPr>
              <w:pStyle w:val="B"/>
            </w:pPr>
            <w:r>
              <w:t>221000</w:t>
            </w:r>
          </w:p>
        </w:tc>
        <w:tc>
          <w:tcPr>
            <w:tcW w:w="2526" w:type="dxa"/>
            <w:tcBorders>
              <w:top w:val="single" w:sz="4" w:space="0" w:color="auto"/>
              <w:left w:val="single" w:sz="4" w:space="0" w:color="auto"/>
              <w:bottom w:val="single" w:sz="4" w:space="0" w:color="auto"/>
              <w:right w:val="single" w:sz="4" w:space="0" w:color="auto"/>
            </w:tcBorders>
            <w:vAlign w:val="center"/>
          </w:tcPr>
          <w:p w14:paraId="0A118242" w14:textId="77777777" w:rsidR="00A052DC" w:rsidRDefault="009F0A60" w:rsidP="003C405E">
            <w:pPr>
              <w:pStyle w:val="B"/>
            </w:pPr>
            <w:r>
              <w:rPr>
                <w:rFonts w:hint="eastAsia"/>
              </w:rPr>
              <w:t>来料加工工缴费收入</w:t>
            </w:r>
            <w:r>
              <w:t>/出料加工工缴费支出</w:t>
            </w:r>
          </w:p>
        </w:tc>
      </w:tr>
      <w:tr w:rsidR="00A052DC" w14:paraId="62C4838C" w14:textId="77777777" w:rsidTr="00653B9C">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14:paraId="20B0E2A7" w14:textId="77777777" w:rsidR="00A052DC" w:rsidRDefault="00A052DC" w:rsidP="003C405E">
            <w:pPr>
              <w:pStyle w:val="B"/>
            </w:pPr>
          </w:p>
        </w:tc>
        <w:tc>
          <w:tcPr>
            <w:tcW w:w="3594" w:type="dxa"/>
            <w:tcBorders>
              <w:top w:val="single" w:sz="4" w:space="0" w:color="auto"/>
              <w:left w:val="single" w:sz="4" w:space="0" w:color="auto"/>
              <w:bottom w:val="single" w:sz="4" w:space="0" w:color="auto"/>
              <w:right w:val="single" w:sz="4" w:space="0" w:color="auto"/>
            </w:tcBorders>
            <w:vAlign w:val="center"/>
          </w:tcPr>
          <w:p w14:paraId="3CF3EFF1" w14:textId="77777777" w:rsidR="00A052DC" w:rsidRDefault="009F0A60" w:rsidP="003C405E">
            <w:pPr>
              <w:pStyle w:val="B"/>
            </w:pPr>
            <w:r>
              <w:rPr>
                <w:rFonts w:hint="eastAsia"/>
              </w:rPr>
              <w:t>运输</w:t>
            </w:r>
          </w:p>
        </w:tc>
        <w:tc>
          <w:tcPr>
            <w:tcW w:w="1276" w:type="dxa"/>
            <w:tcBorders>
              <w:top w:val="single" w:sz="4" w:space="0" w:color="auto"/>
              <w:left w:val="single" w:sz="4" w:space="0" w:color="auto"/>
              <w:bottom w:val="single" w:sz="4" w:space="0" w:color="auto"/>
              <w:right w:val="single" w:sz="4" w:space="0" w:color="auto"/>
            </w:tcBorders>
            <w:vAlign w:val="center"/>
          </w:tcPr>
          <w:p w14:paraId="7548D121" w14:textId="77777777" w:rsidR="00A052DC" w:rsidRDefault="00A052DC" w:rsidP="003C405E">
            <w:pPr>
              <w:pStyle w:val="B"/>
            </w:pPr>
          </w:p>
        </w:tc>
        <w:tc>
          <w:tcPr>
            <w:tcW w:w="2526" w:type="dxa"/>
            <w:tcBorders>
              <w:top w:val="single" w:sz="4" w:space="0" w:color="auto"/>
              <w:left w:val="single" w:sz="4" w:space="0" w:color="auto"/>
              <w:bottom w:val="single" w:sz="4" w:space="0" w:color="auto"/>
              <w:right w:val="single" w:sz="4" w:space="0" w:color="auto"/>
            </w:tcBorders>
            <w:vAlign w:val="center"/>
          </w:tcPr>
          <w:p w14:paraId="058BE45D" w14:textId="77777777" w:rsidR="00A052DC" w:rsidRDefault="00A052DC" w:rsidP="003C405E">
            <w:pPr>
              <w:pStyle w:val="B"/>
            </w:pPr>
          </w:p>
        </w:tc>
      </w:tr>
      <w:tr w:rsidR="00A052DC" w14:paraId="08E06EB1" w14:textId="77777777" w:rsidTr="00653B9C">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14:paraId="27F781CE" w14:textId="77777777" w:rsidR="00A052DC" w:rsidRDefault="009F0A60" w:rsidP="003C405E">
            <w:pPr>
              <w:pStyle w:val="B"/>
            </w:pPr>
            <w:r>
              <w:t>222000</w:t>
            </w:r>
          </w:p>
        </w:tc>
        <w:tc>
          <w:tcPr>
            <w:tcW w:w="3594" w:type="dxa"/>
            <w:tcBorders>
              <w:top w:val="single" w:sz="4" w:space="0" w:color="auto"/>
              <w:left w:val="single" w:sz="4" w:space="0" w:color="auto"/>
              <w:bottom w:val="single" w:sz="4" w:space="0" w:color="auto"/>
              <w:right w:val="single" w:sz="4" w:space="0" w:color="auto"/>
            </w:tcBorders>
            <w:vAlign w:val="center"/>
          </w:tcPr>
          <w:p w14:paraId="5D3B7D8C" w14:textId="77777777" w:rsidR="00A052DC" w:rsidRDefault="009F0A60" w:rsidP="003C405E">
            <w:pPr>
              <w:pStyle w:val="B"/>
            </w:pPr>
            <w:r>
              <w:rPr>
                <w:rFonts w:hint="eastAsia"/>
              </w:rPr>
              <w:t>运输服务</w:t>
            </w:r>
          </w:p>
        </w:tc>
        <w:tc>
          <w:tcPr>
            <w:tcW w:w="1276" w:type="dxa"/>
            <w:tcBorders>
              <w:top w:val="single" w:sz="4" w:space="0" w:color="auto"/>
              <w:left w:val="single" w:sz="4" w:space="0" w:color="auto"/>
              <w:bottom w:val="single" w:sz="4" w:space="0" w:color="auto"/>
              <w:right w:val="single" w:sz="4" w:space="0" w:color="auto"/>
            </w:tcBorders>
            <w:vAlign w:val="center"/>
          </w:tcPr>
          <w:p w14:paraId="4E4C4929" w14:textId="77777777" w:rsidR="00A052DC" w:rsidRDefault="009F0A60" w:rsidP="003C405E">
            <w:pPr>
              <w:pStyle w:val="B"/>
            </w:pPr>
            <w:r>
              <w:t>222000</w:t>
            </w:r>
          </w:p>
        </w:tc>
        <w:tc>
          <w:tcPr>
            <w:tcW w:w="2526" w:type="dxa"/>
            <w:tcBorders>
              <w:top w:val="single" w:sz="4" w:space="0" w:color="auto"/>
              <w:left w:val="single" w:sz="4" w:space="0" w:color="auto"/>
              <w:bottom w:val="single" w:sz="4" w:space="0" w:color="auto"/>
              <w:right w:val="single" w:sz="4" w:space="0" w:color="auto"/>
            </w:tcBorders>
            <w:vAlign w:val="center"/>
          </w:tcPr>
          <w:p w14:paraId="5F9F99E9" w14:textId="77777777" w:rsidR="00A052DC" w:rsidRDefault="009F0A60" w:rsidP="003C405E">
            <w:pPr>
              <w:pStyle w:val="B"/>
            </w:pPr>
            <w:r>
              <w:rPr>
                <w:rFonts w:hint="eastAsia"/>
              </w:rPr>
              <w:t>运输服务</w:t>
            </w:r>
          </w:p>
        </w:tc>
      </w:tr>
      <w:tr w:rsidR="00A052DC" w14:paraId="2E19D37A" w14:textId="77777777" w:rsidTr="00653B9C">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14:paraId="2503371F" w14:textId="77777777" w:rsidR="00A052DC" w:rsidRDefault="00A052DC" w:rsidP="003C405E">
            <w:pPr>
              <w:pStyle w:val="B"/>
            </w:pPr>
          </w:p>
        </w:tc>
        <w:tc>
          <w:tcPr>
            <w:tcW w:w="3594" w:type="dxa"/>
            <w:tcBorders>
              <w:top w:val="single" w:sz="4" w:space="0" w:color="auto"/>
              <w:left w:val="single" w:sz="4" w:space="0" w:color="auto"/>
              <w:bottom w:val="single" w:sz="4" w:space="0" w:color="auto"/>
              <w:right w:val="single" w:sz="4" w:space="0" w:color="auto"/>
            </w:tcBorders>
            <w:vAlign w:val="center"/>
          </w:tcPr>
          <w:p w14:paraId="07666A4B" w14:textId="77777777" w:rsidR="00A052DC" w:rsidRDefault="009F0A60" w:rsidP="003C405E">
            <w:pPr>
              <w:pStyle w:val="B"/>
            </w:pPr>
            <w:r>
              <w:rPr>
                <w:rFonts w:hint="eastAsia"/>
              </w:rPr>
              <w:t>旅行</w:t>
            </w:r>
          </w:p>
        </w:tc>
        <w:tc>
          <w:tcPr>
            <w:tcW w:w="1276" w:type="dxa"/>
            <w:tcBorders>
              <w:top w:val="single" w:sz="4" w:space="0" w:color="auto"/>
              <w:left w:val="single" w:sz="4" w:space="0" w:color="auto"/>
              <w:bottom w:val="single" w:sz="4" w:space="0" w:color="auto"/>
              <w:right w:val="single" w:sz="4" w:space="0" w:color="auto"/>
            </w:tcBorders>
            <w:vAlign w:val="center"/>
          </w:tcPr>
          <w:p w14:paraId="7F088467" w14:textId="77777777" w:rsidR="00A052DC" w:rsidRDefault="00A052DC" w:rsidP="003C405E">
            <w:pPr>
              <w:pStyle w:val="B"/>
            </w:pPr>
          </w:p>
        </w:tc>
        <w:tc>
          <w:tcPr>
            <w:tcW w:w="2526" w:type="dxa"/>
            <w:tcBorders>
              <w:top w:val="single" w:sz="4" w:space="0" w:color="auto"/>
              <w:left w:val="single" w:sz="4" w:space="0" w:color="auto"/>
              <w:bottom w:val="single" w:sz="4" w:space="0" w:color="auto"/>
              <w:right w:val="single" w:sz="4" w:space="0" w:color="auto"/>
            </w:tcBorders>
            <w:vAlign w:val="center"/>
          </w:tcPr>
          <w:p w14:paraId="04CC565D" w14:textId="77777777" w:rsidR="00A052DC" w:rsidRDefault="00A052DC" w:rsidP="003C405E">
            <w:pPr>
              <w:pStyle w:val="B"/>
            </w:pPr>
          </w:p>
        </w:tc>
      </w:tr>
      <w:tr w:rsidR="00A052DC" w14:paraId="21C89D40" w14:textId="77777777" w:rsidTr="00653B9C">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14:paraId="2FD2B0CF" w14:textId="77777777" w:rsidR="00A052DC" w:rsidRDefault="009F0A60" w:rsidP="003C405E">
            <w:pPr>
              <w:pStyle w:val="B"/>
            </w:pPr>
            <w:r>
              <w:t>223010</w:t>
            </w:r>
          </w:p>
        </w:tc>
        <w:tc>
          <w:tcPr>
            <w:tcW w:w="3594" w:type="dxa"/>
            <w:tcBorders>
              <w:top w:val="single" w:sz="4" w:space="0" w:color="auto"/>
              <w:left w:val="single" w:sz="4" w:space="0" w:color="auto"/>
              <w:bottom w:val="single" w:sz="4" w:space="0" w:color="auto"/>
              <w:right w:val="single" w:sz="4" w:space="0" w:color="auto"/>
            </w:tcBorders>
            <w:vAlign w:val="center"/>
          </w:tcPr>
          <w:p w14:paraId="40D5C599" w14:textId="77777777" w:rsidR="00A052DC" w:rsidRDefault="009F0A60" w:rsidP="003C405E">
            <w:pPr>
              <w:pStyle w:val="B"/>
            </w:pPr>
            <w:r>
              <w:rPr>
                <w:rFonts w:hint="eastAsia"/>
              </w:rPr>
              <w:t>公务及商务旅行</w:t>
            </w:r>
          </w:p>
        </w:tc>
        <w:tc>
          <w:tcPr>
            <w:tcW w:w="1276" w:type="dxa"/>
            <w:tcBorders>
              <w:top w:val="single" w:sz="4" w:space="0" w:color="auto"/>
              <w:left w:val="single" w:sz="4" w:space="0" w:color="auto"/>
              <w:bottom w:val="single" w:sz="4" w:space="0" w:color="auto"/>
              <w:right w:val="single" w:sz="4" w:space="0" w:color="auto"/>
            </w:tcBorders>
            <w:vAlign w:val="center"/>
          </w:tcPr>
          <w:p w14:paraId="640A5499" w14:textId="77777777" w:rsidR="00A052DC" w:rsidRDefault="009F0A60" w:rsidP="003C405E">
            <w:pPr>
              <w:pStyle w:val="B"/>
            </w:pPr>
            <w:r>
              <w:t>223010</w:t>
            </w:r>
          </w:p>
        </w:tc>
        <w:tc>
          <w:tcPr>
            <w:tcW w:w="2526" w:type="dxa"/>
            <w:tcBorders>
              <w:top w:val="single" w:sz="4" w:space="0" w:color="auto"/>
              <w:left w:val="single" w:sz="4" w:space="0" w:color="auto"/>
              <w:bottom w:val="single" w:sz="4" w:space="0" w:color="auto"/>
              <w:right w:val="single" w:sz="4" w:space="0" w:color="auto"/>
            </w:tcBorders>
            <w:vAlign w:val="center"/>
          </w:tcPr>
          <w:p w14:paraId="7B5C5F80" w14:textId="77777777" w:rsidR="00A052DC" w:rsidRDefault="009F0A60" w:rsidP="003C405E">
            <w:pPr>
              <w:pStyle w:val="B"/>
            </w:pPr>
            <w:r>
              <w:rPr>
                <w:rFonts w:hint="eastAsia"/>
              </w:rPr>
              <w:t>公务及商务旅行</w:t>
            </w:r>
          </w:p>
        </w:tc>
      </w:tr>
      <w:tr w:rsidR="00A052DC" w14:paraId="5B34FDEC" w14:textId="77777777" w:rsidTr="00653B9C">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14:paraId="28455B85" w14:textId="77777777" w:rsidR="00A052DC" w:rsidRDefault="009F0A60" w:rsidP="003C405E">
            <w:pPr>
              <w:pStyle w:val="B"/>
            </w:pPr>
            <w:r>
              <w:t>223020</w:t>
            </w:r>
          </w:p>
        </w:tc>
        <w:tc>
          <w:tcPr>
            <w:tcW w:w="3594" w:type="dxa"/>
            <w:tcBorders>
              <w:top w:val="single" w:sz="4" w:space="0" w:color="auto"/>
              <w:left w:val="single" w:sz="4" w:space="0" w:color="auto"/>
              <w:bottom w:val="single" w:sz="4" w:space="0" w:color="auto"/>
              <w:right w:val="single" w:sz="4" w:space="0" w:color="auto"/>
            </w:tcBorders>
            <w:vAlign w:val="center"/>
          </w:tcPr>
          <w:p w14:paraId="07D4CACC" w14:textId="77777777" w:rsidR="00A052DC" w:rsidRDefault="009F0A60" w:rsidP="003C405E">
            <w:pPr>
              <w:pStyle w:val="B"/>
            </w:pPr>
            <w:r>
              <w:rPr>
                <w:rFonts w:hint="eastAsia"/>
              </w:rPr>
              <w:t>私人旅行（含留学、就医）</w:t>
            </w:r>
          </w:p>
        </w:tc>
        <w:tc>
          <w:tcPr>
            <w:tcW w:w="1276" w:type="dxa"/>
            <w:tcBorders>
              <w:top w:val="single" w:sz="4" w:space="0" w:color="auto"/>
              <w:left w:val="single" w:sz="4" w:space="0" w:color="auto"/>
              <w:bottom w:val="single" w:sz="4" w:space="0" w:color="auto"/>
              <w:right w:val="single" w:sz="4" w:space="0" w:color="auto"/>
            </w:tcBorders>
            <w:vAlign w:val="center"/>
          </w:tcPr>
          <w:p w14:paraId="0974A08C" w14:textId="77777777" w:rsidR="00A052DC" w:rsidRDefault="009F0A60" w:rsidP="003C405E">
            <w:pPr>
              <w:pStyle w:val="B"/>
            </w:pPr>
            <w:r>
              <w:t>223020</w:t>
            </w:r>
          </w:p>
        </w:tc>
        <w:tc>
          <w:tcPr>
            <w:tcW w:w="2526" w:type="dxa"/>
            <w:tcBorders>
              <w:top w:val="single" w:sz="4" w:space="0" w:color="auto"/>
              <w:left w:val="single" w:sz="4" w:space="0" w:color="auto"/>
              <w:bottom w:val="single" w:sz="4" w:space="0" w:color="auto"/>
              <w:right w:val="single" w:sz="4" w:space="0" w:color="auto"/>
            </w:tcBorders>
            <w:vAlign w:val="center"/>
          </w:tcPr>
          <w:p w14:paraId="5A3FC352" w14:textId="77777777" w:rsidR="00A052DC" w:rsidRDefault="009F0A60" w:rsidP="003C405E">
            <w:pPr>
              <w:pStyle w:val="B"/>
            </w:pPr>
            <w:r>
              <w:rPr>
                <w:rFonts w:hint="eastAsia"/>
              </w:rPr>
              <w:t>私人旅行（含留学、就医）</w:t>
            </w:r>
          </w:p>
        </w:tc>
      </w:tr>
      <w:tr w:rsidR="00A052DC" w14:paraId="6177B7F0" w14:textId="77777777" w:rsidTr="00653B9C">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14:paraId="1AFE3E79" w14:textId="77777777" w:rsidR="00A052DC" w:rsidRDefault="00A052DC" w:rsidP="003C405E">
            <w:pPr>
              <w:pStyle w:val="B"/>
            </w:pPr>
          </w:p>
        </w:tc>
        <w:tc>
          <w:tcPr>
            <w:tcW w:w="3594" w:type="dxa"/>
            <w:tcBorders>
              <w:top w:val="single" w:sz="4" w:space="0" w:color="auto"/>
              <w:left w:val="single" w:sz="4" w:space="0" w:color="auto"/>
              <w:bottom w:val="single" w:sz="4" w:space="0" w:color="auto"/>
              <w:right w:val="single" w:sz="4" w:space="0" w:color="auto"/>
            </w:tcBorders>
            <w:vAlign w:val="center"/>
          </w:tcPr>
          <w:p w14:paraId="26AF657A" w14:textId="77777777" w:rsidR="00A052DC" w:rsidRDefault="009F0A60" w:rsidP="003C405E">
            <w:pPr>
              <w:pStyle w:val="B"/>
            </w:pPr>
            <w:r>
              <w:rPr>
                <w:rFonts w:hint="eastAsia"/>
              </w:rPr>
              <w:t>建设</w:t>
            </w:r>
          </w:p>
        </w:tc>
        <w:tc>
          <w:tcPr>
            <w:tcW w:w="1276" w:type="dxa"/>
            <w:tcBorders>
              <w:top w:val="single" w:sz="4" w:space="0" w:color="auto"/>
              <w:left w:val="single" w:sz="4" w:space="0" w:color="auto"/>
              <w:bottom w:val="single" w:sz="4" w:space="0" w:color="auto"/>
              <w:right w:val="single" w:sz="4" w:space="0" w:color="auto"/>
            </w:tcBorders>
            <w:vAlign w:val="center"/>
          </w:tcPr>
          <w:p w14:paraId="31D4B1AB" w14:textId="77777777" w:rsidR="00A052DC" w:rsidRDefault="00A052DC" w:rsidP="003C405E">
            <w:pPr>
              <w:pStyle w:val="B"/>
            </w:pPr>
          </w:p>
        </w:tc>
        <w:tc>
          <w:tcPr>
            <w:tcW w:w="2526" w:type="dxa"/>
            <w:tcBorders>
              <w:top w:val="single" w:sz="4" w:space="0" w:color="auto"/>
              <w:left w:val="single" w:sz="4" w:space="0" w:color="auto"/>
              <w:bottom w:val="single" w:sz="4" w:space="0" w:color="auto"/>
              <w:right w:val="single" w:sz="4" w:space="0" w:color="auto"/>
            </w:tcBorders>
            <w:vAlign w:val="center"/>
          </w:tcPr>
          <w:p w14:paraId="47B0B760" w14:textId="77777777" w:rsidR="00A052DC" w:rsidRDefault="00A052DC" w:rsidP="003C405E">
            <w:pPr>
              <w:pStyle w:val="B"/>
            </w:pPr>
          </w:p>
        </w:tc>
      </w:tr>
      <w:tr w:rsidR="00A052DC" w14:paraId="32B03625" w14:textId="77777777" w:rsidTr="00653B9C">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14:paraId="48D858C4" w14:textId="77777777" w:rsidR="00A052DC" w:rsidRDefault="009F0A60" w:rsidP="003C405E">
            <w:pPr>
              <w:pStyle w:val="B"/>
            </w:pPr>
            <w:r>
              <w:t>224010</w:t>
            </w:r>
          </w:p>
        </w:tc>
        <w:tc>
          <w:tcPr>
            <w:tcW w:w="3594" w:type="dxa"/>
            <w:tcBorders>
              <w:top w:val="single" w:sz="4" w:space="0" w:color="auto"/>
              <w:left w:val="single" w:sz="4" w:space="0" w:color="auto"/>
              <w:bottom w:val="single" w:sz="4" w:space="0" w:color="auto"/>
              <w:right w:val="single" w:sz="4" w:space="0" w:color="auto"/>
            </w:tcBorders>
            <w:vAlign w:val="center"/>
          </w:tcPr>
          <w:p w14:paraId="2ED2243B" w14:textId="77777777" w:rsidR="00A052DC" w:rsidRDefault="009F0A60" w:rsidP="003C405E">
            <w:pPr>
              <w:pStyle w:val="B"/>
            </w:pPr>
            <w:r>
              <w:rPr>
                <w:rFonts w:hint="eastAsia"/>
              </w:rPr>
              <w:t>境外建设</w:t>
            </w:r>
          </w:p>
        </w:tc>
        <w:tc>
          <w:tcPr>
            <w:tcW w:w="1276" w:type="dxa"/>
            <w:tcBorders>
              <w:top w:val="single" w:sz="4" w:space="0" w:color="auto"/>
              <w:left w:val="single" w:sz="4" w:space="0" w:color="auto"/>
              <w:bottom w:val="single" w:sz="4" w:space="0" w:color="auto"/>
              <w:right w:val="single" w:sz="4" w:space="0" w:color="auto"/>
            </w:tcBorders>
            <w:vAlign w:val="center"/>
          </w:tcPr>
          <w:p w14:paraId="4EC4BAC8" w14:textId="77777777" w:rsidR="00A052DC" w:rsidRDefault="009F0A60" w:rsidP="003C405E">
            <w:pPr>
              <w:pStyle w:val="B"/>
            </w:pPr>
            <w:r>
              <w:t>224010</w:t>
            </w:r>
          </w:p>
        </w:tc>
        <w:tc>
          <w:tcPr>
            <w:tcW w:w="2526" w:type="dxa"/>
            <w:tcBorders>
              <w:top w:val="single" w:sz="4" w:space="0" w:color="auto"/>
              <w:left w:val="single" w:sz="4" w:space="0" w:color="auto"/>
              <w:bottom w:val="single" w:sz="4" w:space="0" w:color="auto"/>
              <w:right w:val="single" w:sz="4" w:space="0" w:color="auto"/>
            </w:tcBorders>
            <w:vAlign w:val="center"/>
          </w:tcPr>
          <w:p w14:paraId="6C3E7234" w14:textId="77777777" w:rsidR="00A052DC" w:rsidRDefault="009F0A60" w:rsidP="003C405E">
            <w:pPr>
              <w:pStyle w:val="B"/>
            </w:pPr>
            <w:r>
              <w:rPr>
                <w:rFonts w:hint="eastAsia"/>
              </w:rPr>
              <w:t>境外建设</w:t>
            </w:r>
          </w:p>
        </w:tc>
      </w:tr>
      <w:tr w:rsidR="00A052DC" w14:paraId="5C033C6E" w14:textId="77777777" w:rsidTr="00653B9C">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14:paraId="2D19E9A8" w14:textId="77777777" w:rsidR="00A052DC" w:rsidRDefault="009F0A60" w:rsidP="003C405E">
            <w:pPr>
              <w:pStyle w:val="B"/>
            </w:pPr>
            <w:r>
              <w:t>224020</w:t>
            </w:r>
          </w:p>
        </w:tc>
        <w:tc>
          <w:tcPr>
            <w:tcW w:w="3594" w:type="dxa"/>
            <w:tcBorders>
              <w:top w:val="single" w:sz="4" w:space="0" w:color="auto"/>
              <w:left w:val="single" w:sz="4" w:space="0" w:color="auto"/>
              <w:bottom w:val="single" w:sz="4" w:space="0" w:color="auto"/>
              <w:right w:val="single" w:sz="4" w:space="0" w:color="auto"/>
            </w:tcBorders>
            <w:vAlign w:val="center"/>
          </w:tcPr>
          <w:p w14:paraId="56259F0E" w14:textId="77777777" w:rsidR="00A052DC" w:rsidRDefault="009F0A60" w:rsidP="003C405E">
            <w:pPr>
              <w:pStyle w:val="B"/>
            </w:pPr>
            <w:r>
              <w:rPr>
                <w:rFonts w:hint="eastAsia"/>
              </w:rPr>
              <w:t>境内建设</w:t>
            </w:r>
          </w:p>
        </w:tc>
        <w:tc>
          <w:tcPr>
            <w:tcW w:w="1276" w:type="dxa"/>
            <w:tcBorders>
              <w:top w:val="single" w:sz="4" w:space="0" w:color="auto"/>
              <w:left w:val="single" w:sz="4" w:space="0" w:color="auto"/>
              <w:bottom w:val="single" w:sz="4" w:space="0" w:color="auto"/>
              <w:right w:val="single" w:sz="4" w:space="0" w:color="auto"/>
            </w:tcBorders>
            <w:vAlign w:val="center"/>
          </w:tcPr>
          <w:p w14:paraId="7C53D1CC" w14:textId="77777777" w:rsidR="00A052DC" w:rsidRDefault="009F0A60" w:rsidP="003C405E">
            <w:pPr>
              <w:pStyle w:val="B"/>
            </w:pPr>
            <w:r>
              <w:t>224020</w:t>
            </w:r>
          </w:p>
        </w:tc>
        <w:tc>
          <w:tcPr>
            <w:tcW w:w="2526" w:type="dxa"/>
            <w:tcBorders>
              <w:top w:val="single" w:sz="4" w:space="0" w:color="auto"/>
              <w:left w:val="single" w:sz="4" w:space="0" w:color="auto"/>
              <w:bottom w:val="single" w:sz="4" w:space="0" w:color="auto"/>
              <w:right w:val="single" w:sz="4" w:space="0" w:color="auto"/>
            </w:tcBorders>
            <w:vAlign w:val="center"/>
          </w:tcPr>
          <w:p w14:paraId="36A466A9" w14:textId="77777777" w:rsidR="00A052DC" w:rsidRDefault="009F0A60" w:rsidP="003C405E">
            <w:pPr>
              <w:pStyle w:val="B"/>
            </w:pPr>
            <w:r>
              <w:rPr>
                <w:rFonts w:hint="eastAsia"/>
              </w:rPr>
              <w:t>境内建设</w:t>
            </w:r>
          </w:p>
        </w:tc>
      </w:tr>
      <w:tr w:rsidR="00A052DC" w14:paraId="74788280" w14:textId="77777777" w:rsidTr="00653B9C">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14:paraId="03323C67" w14:textId="77777777" w:rsidR="00A052DC" w:rsidRDefault="00A052DC" w:rsidP="003C405E">
            <w:pPr>
              <w:pStyle w:val="B"/>
            </w:pPr>
          </w:p>
        </w:tc>
        <w:tc>
          <w:tcPr>
            <w:tcW w:w="3594" w:type="dxa"/>
            <w:tcBorders>
              <w:top w:val="single" w:sz="4" w:space="0" w:color="auto"/>
              <w:left w:val="single" w:sz="4" w:space="0" w:color="auto"/>
              <w:bottom w:val="single" w:sz="4" w:space="0" w:color="auto"/>
              <w:right w:val="single" w:sz="4" w:space="0" w:color="auto"/>
            </w:tcBorders>
            <w:vAlign w:val="center"/>
          </w:tcPr>
          <w:p w14:paraId="3943F93C" w14:textId="77777777" w:rsidR="00A052DC" w:rsidRDefault="009F0A60" w:rsidP="003C405E">
            <w:pPr>
              <w:pStyle w:val="B"/>
            </w:pPr>
            <w:r>
              <w:rPr>
                <w:rFonts w:hint="eastAsia"/>
              </w:rPr>
              <w:t>保险服务</w:t>
            </w:r>
          </w:p>
        </w:tc>
        <w:tc>
          <w:tcPr>
            <w:tcW w:w="1276" w:type="dxa"/>
            <w:tcBorders>
              <w:top w:val="single" w:sz="4" w:space="0" w:color="auto"/>
              <w:left w:val="single" w:sz="4" w:space="0" w:color="auto"/>
              <w:bottom w:val="single" w:sz="4" w:space="0" w:color="auto"/>
              <w:right w:val="single" w:sz="4" w:space="0" w:color="auto"/>
            </w:tcBorders>
            <w:vAlign w:val="center"/>
          </w:tcPr>
          <w:p w14:paraId="7FBD4704" w14:textId="77777777" w:rsidR="00A052DC" w:rsidRDefault="00A052DC" w:rsidP="003C405E">
            <w:pPr>
              <w:pStyle w:val="B"/>
            </w:pPr>
          </w:p>
        </w:tc>
        <w:tc>
          <w:tcPr>
            <w:tcW w:w="2526" w:type="dxa"/>
            <w:tcBorders>
              <w:top w:val="single" w:sz="4" w:space="0" w:color="auto"/>
              <w:left w:val="single" w:sz="4" w:space="0" w:color="auto"/>
              <w:bottom w:val="single" w:sz="4" w:space="0" w:color="auto"/>
              <w:right w:val="single" w:sz="4" w:space="0" w:color="auto"/>
            </w:tcBorders>
            <w:vAlign w:val="center"/>
          </w:tcPr>
          <w:p w14:paraId="1B5A5B97" w14:textId="77777777" w:rsidR="00A052DC" w:rsidRDefault="00A052DC" w:rsidP="003C405E">
            <w:pPr>
              <w:pStyle w:val="B"/>
            </w:pPr>
          </w:p>
        </w:tc>
      </w:tr>
      <w:tr w:rsidR="00A052DC" w14:paraId="5F4DB02E" w14:textId="77777777" w:rsidTr="00653B9C">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14:paraId="4E334FC0" w14:textId="77777777" w:rsidR="00A052DC" w:rsidRDefault="009F0A60" w:rsidP="003C405E">
            <w:pPr>
              <w:pStyle w:val="B"/>
            </w:pPr>
            <w:r>
              <w:t>225010</w:t>
            </w:r>
          </w:p>
        </w:tc>
        <w:tc>
          <w:tcPr>
            <w:tcW w:w="3594" w:type="dxa"/>
            <w:tcBorders>
              <w:top w:val="single" w:sz="4" w:space="0" w:color="auto"/>
              <w:left w:val="single" w:sz="4" w:space="0" w:color="auto"/>
              <w:bottom w:val="single" w:sz="4" w:space="0" w:color="auto"/>
              <w:right w:val="single" w:sz="4" w:space="0" w:color="auto"/>
            </w:tcBorders>
            <w:vAlign w:val="center"/>
          </w:tcPr>
          <w:p w14:paraId="21875E48" w14:textId="77777777" w:rsidR="00A052DC" w:rsidRDefault="009F0A60" w:rsidP="003C405E">
            <w:pPr>
              <w:pStyle w:val="B"/>
            </w:pPr>
            <w:r>
              <w:rPr>
                <w:rFonts w:hint="eastAsia"/>
              </w:rPr>
              <w:t>寿险</w:t>
            </w:r>
          </w:p>
        </w:tc>
        <w:tc>
          <w:tcPr>
            <w:tcW w:w="1276" w:type="dxa"/>
            <w:tcBorders>
              <w:top w:val="single" w:sz="4" w:space="0" w:color="auto"/>
              <w:left w:val="single" w:sz="4" w:space="0" w:color="auto"/>
              <w:bottom w:val="single" w:sz="4" w:space="0" w:color="auto"/>
              <w:right w:val="single" w:sz="4" w:space="0" w:color="auto"/>
            </w:tcBorders>
            <w:vAlign w:val="center"/>
          </w:tcPr>
          <w:p w14:paraId="6138A85A" w14:textId="77777777" w:rsidR="00A052DC" w:rsidRDefault="009F0A60" w:rsidP="003C405E">
            <w:pPr>
              <w:pStyle w:val="B"/>
            </w:pPr>
            <w:r>
              <w:t>225010</w:t>
            </w:r>
          </w:p>
        </w:tc>
        <w:tc>
          <w:tcPr>
            <w:tcW w:w="2526" w:type="dxa"/>
            <w:tcBorders>
              <w:top w:val="single" w:sz="4" w:space="0" w:color="auto"/>
              <w:left w:val="single" w:sz="4" w:space="0" w:color="auto"/>
              <w:bottom w:val="single" w:sz="4" w:space="0" w:color="auto"/>
              <w:right w:val="single" w:sz="4" w:space="0" w:color="auto"/>
            </w:tcBorders>
            <w:vAlign w:val="center"/>
          </w:tcPr>
          <w:p w14:paraId="559F6760" w14:textId="77777777" w:rsidR="00A052DC" w:rsidRDefault="009F0A60" w:rsidP="003C405E">
            <w:pPr>
              <w:pStyle w:val="B"/>
            </w:pPr>
            <w:r>
              <w:rPr>
                <w:rFonts w:hint="eastAsia"/>
              </w:rPr>
              <w:t>寿险</w:t>
            </w:r>
          </w:p>
        </w:tc>
      </w:tr>
      <w:tr w:rsidR="00A052DC" w14:paraId="09F025DB" w14:textId="77777777" w:rsidTr="00653B9C">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14:paraId="426CBA8A" w14:textId="77777777" w:rsidR="00A052DC" w:rsidRDefault="009F0A60" w:rsidP="003C405E">
            <w:pPr>
              <w:pStyle w:val="B"/>
            </w:pPr>
            <w:r>
              <w:t>225020</w:t>
            </w:r>
          </w:p>
        </w:tc>
        <w:tc>
          <w:tcPr>
            <w:tcW w:w="3594" w:type="dxa"/>
            <w:tcBorders>
              <w:top w:val="single" w:sz="4" w:space="0" w:color="auto"/>
              <w:left w:val="single" w:sz="4" w:space="0" w:color="auto"/>
              <w:bottom w:val="single" w:sz="4" w:space="0" w:color="auto"/>
              <w:right w:val="single" w:sz="4" w:space="0" w:color="auto"/>
            </w:tcBorders>
            <w:vAlign w:val="center"/>
          </w:tcPr>
          <w:p w14:paraId="603D1433" w14:textId="77777777" w:rsidR="00A052DC" w:rsidRDefault="009F0A60" w:rsidP="003C405E">
            <w:pPr>
              <w:pStyle w:val="B"/>
            </w:pPr>
            <w:r>
              <w:rPr>
                <w:rFonts w:hint="eastAsia"/>
              </w:rPr>
              <w:t>非人寿险</w:t>
            </w:r>
          </w:p>
        </w:tc>
        <w:tc>
          <w:tcPr>
            <w:tcW w:w="1276" w:type="dxa"/>
            <w:tcBorders>
              <w:top w:val="single" w:sz="4" w:space="0" w:color="auto"/>
              <w:left w:val="single" w:sz="4" w:space="0" w:color="auto"/>
              <w:bottom w:val="single" w:sz="4" w:space="0" w:color="auto"/>
              <w:right w:val="single" w:sz="4" w:space="0" w:color="auto"/>
            </w:tcBorders>
            <w:vAlign w:val="center"/>
          </w:tcPr>
          <w:p w14:paraId="223CE117" w14:textId="77777777" w:rsidR="00A052DC" w:rsidRDefault="009F0A60" w:rsidP="003C405E">
            <w:pPr>
              <w:pStyle w:val="B"/>
            </w:pPr>
            <w:r>
              <w:t>225020</w:t>
            </w:r>
          </w:p>
        </w:tc>
        <w:tc>
          <w:tcPr>
            <w:tcW w:w="2526" w:type="dxa"/>
            <w:tcBorders>
              <w:top w:val="single" w:sz="4" w:space="0" w:color="auto"/>
              <w:left w:val="single" w:sz="4" w:space="0" w:color="auto"/>
              <w:bottom w:val="single" w:sz="4" w:space="0" w:color="auto"/>
              <w:right w:val="single" w:sz="4" w:space="0" w:color="auto"/>
            </w:tcBorders>
            <w:vAlign w:val="center"/>
          </w:tcPr>
          <w:p w14:paraId="1493ECCD" w14:textId="77777777" w:rsidR="00A052DC" w:rsidRDefault="009F0A60" w:rsidP="003C405E">
            <w:pPr>
              <w:pStyle w:val="B"/>
            </w:pPr>
            <w:r>
              <w:rPr>
                <w:rFonts w:hint="eastAsia"/>
              </w:rPr>
              <w:t>非人寿险</w:t>
            </w:r>
          </w:p>
        </w:tc>
      </w:tr>
      <w:tr w:rsidR="00A052DC" w14:paraId="5D021396" w14:textId="77777777" w:rsidTr="00653B9C">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14:paraId="5CE8EA92" w14:textId="77777777" w:rsidR="00A052DC" w:rsidRDefault="009F0A60" w:rsidP="003C405E">
            <w:pPr>
              <w:pStyle w:val="B"/>
            </w:pPr>
            <w:r>
              <w:t>225030</w:t>
            </w:r>
          </w:p>
        </w:tc>
        <w:tc>
          <w:tcPr>
            <w:tcW w:w="3594" w:type="dxa"/>
            <w:tcBorders>
              <w:top w:val="single" w:sz="4" w:space="0" w:color="auto"/>
              <w:left w:val="single" w:sz="4" w:space="0" w:color="auto"/>
              <w:bottom w:val="single" w:sz="4" w:space="0" w:color="auto"/>
              <w:right w:val="single" w:sz="4" w:space="0" w:color="auto"/>
            </w:tcBorders>
            <w:vAlign w:val="center"/>
          </w:tcPr>
          <w:p w14:paraId="6E7BBCBA" w14:textId="77777777" w:rsidR="00A052DC" w:rsidRDefault="009F0A60" w:rsidP="003C405E">
            <w:pPr>
              <w:pStyle w:val="B"/>
            </w:pPr>
            <w:r>
              <w:rPr>
                <w:rFonts w:hint="eastAsia"/>
              </w:rPr>
              <w:t>再保险</w:t>
            </w:r>
          </w:p>
        </w:tc>
        <w:tc>
          <w:tcPr>
            <w:tcW w:w="1276" w:type="dxa"/>
            <w:tcBorders>
              <w:top w:val="single" w:sz="4" w:space="0" w:color="auto"/>
              <w:left w:val="single" w:sz="4" w:space="0" w:color="auto"/>
              <w:bottom w:val="single" w:sz="4" w:space="0" w:color="auto"/>
              <w:right w:val="single" w:sz="4" w:space="0" w:color="auto"/>
            </w:tcBorders>
            <w:vAlign w:val="center"/>
          </w:tcPr>
          <w:p w14:paraId="1C0415AC" w14:textId="77777777" w:rsidR="00A052DC" w:rsidRDefault="009F0A60" w:rsidP="003C405E">
            <w:pPr>
              <w:pStyle w:val="B"/>
            </w:pPr>
            <w:r>
              <w:t>225030</w:t>
            </w:r>
          </w:p>
        </w:tc>
        <w:tc>
          <w:tcPr>
            <w:tcW w:w="2526" w:type="dxa"/>
            <w:tcBorders>
              <w:top w:val="single" w:sz="4" w:space="0" w:color="auto"/>
              <w:left w:val="single" w:sz="4" w:space="0" w:color="auto"/>
              <w:bottom w:val="single" w:sz="4" w:space="0" w:color="auto"/>
              <w:right w:val="single" w:sz="4" w:space="0" w:color="auto"/>
            </w:tcBorders>
            <w:vAlign w:val="center"/>
          </w:tcPr>
          <w:p w14:paraId="63C022C0" w14:textId="77777777" w:rsidR="00A052DC" w:rsidRDefault="009F0A60" w:rsidP="003C405E">
            <w:pPr>
              <w:pStyle w:val="B"/>
            </w:pPr>
            <w:r>
              <w:rPr>
                <w:rFonts w:hint="eastAsia"/>
              </w:rPr>
              <w:t>再保险</w:t>
            </w:r>
          </w:p>
        </w:tc>
      </w:tr>
      <w:tr w:rsidR="00A052DC" w14:paraId="09BC7A48" w14:textId="77777777" w:rsidTr="00653B9C">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14:paraId="33B65AA7" w14:textId="77777777" w:rsidR="00A052DC" w:rsidRDefault="009F0A60" w:rsidP="003C405E">
            <w:pPr>
              <w:pStyle w:val="B"/>
            </w:pPr>
            <w:r>
              <w:t>225040</w:t>
            </w:r>
          </w:p>
        </w:tc>
        <w:tc>
          <w:tcPr>
            <w:tcW w:w="3594" w:type="dxa"/>
            <w:tcBorders>
              <w:top w:val="single" w:sz="4" w:space="0" w:color="auto"/>
              <w:left w:val="single" w:sz="4" w:space="0" w:color="auto"/>
              <w:bottom w:val="single" w:sz="4" w:space="0" w:color="auto"/>
              <w:right w:val="single" w:sz="4" w:space="0" w:color="auto"/>
            </w:tcBorders>
            <w:vAlign w:val="center"/>
          </w:tcPr>
          <w:p w14:paraId="75C0877D" w14:textId="77777777" w:rsidR="00A052DC" w:rsidRDefault="009F0A60" w:rsidP="003C405E">
            <w:pPr>
              <w:pStyle w:val="B"/>
            </w:pPr>
            <w:r>
              <w:rPr>
                <w:rFonts w:hint="eastAsia"/>
              </w:rPr>
              <w:t>标准化担保服务</w:t>
            </w:r>
          </w:p>
        </w:tc>
        <w:tc>
          <w:tcPr>
            <w:tcW w:w="1276" w:type="dxa"/>
            <w:tcBorders>
              <w:top w:val="single" w:sz="4" w:space="0" w:color="auto"/>
              <w:left w:val="single" w:sz="4" w:space="0" w:color="auto"/>
              <w:bottom w:val="single" w:sz="4" w:space="0" w:color="auto"/>
              <w:right w:val="single" w:sz="4" w:space="0" w:color="auto"/>
            </w:tcBorders>
            <w:vAlign w:val="center"/>
          </w:tcPr>
          <w:p w14:paraId="761AC9E8" w14:textId="77777777" w:rsidR="00A052DC" w:rsidRDefault="009F0A60" w:rsidP="003C405E">
            <w:pPr>
              <w:pStyle w:val="B"/>
            </w:pPr>
            <w:r>
              <w:t>225040</w:t>
            </w:r>
          </w:p>
        </w:tc>
        <w:tc>
          <w:tcPr>
            <w:tcW w:w="2526" w:type="dxa"/>
            <w:tcBorders>
              <w:top w:val="single" w:sz="4" w:space="0" w:color="auto"/>
              <w:left w:val="single" w:sz="4" w:space="0" w:color="auto"/>
              <w:bottom w:val="single" w:sz="4" w:space="0" w:color="auto"/>
              <w:right w:val="single" w:sz="4" w:space="0" w:color="auto"/>
            </w:tcBorders>
            <w:vAlign w:val="center"/>
          </w:tcPr>
          <w:p w14:paraId="7CC0C117" w14:textId="77777777" w:rsidR="00A052DC" w:rsidRDefault="009F0A60" w:rsidP="003C405E">
            <w:pPr>
              <w:pStyle w:val="B"/>
            </w:pPr>
            <w:r>
              <w:rPr>
                <w:rFonts w:hint="eastAsia"/>
              </w:rPr>
              <w:t>标准化担保服务</w:t>
            </w:r>
          </w:p>
        </w:tc>
      </w:tr>
      <w:tr w:rsidR="00A052DC" w14:paraId="71BA7E54" w14:textId="77777777" w:rsidTr="00653B9C">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14:paraId="1EABD76D" w14:textId="77777777" w:rsidR="00A052DC" w:rsidRDefault="009F0A60" w:rsidP="003C405E">
            <w:pPr>
              <w:pStyle w:val="B"/>
            </w:pPr>
            <w:r>
              <w:t>225050</w:t>
            </w:r>
          </w:p>
        </w:tc>
        <w:tc>
          <w:tcPr>
            <w:tcW w:w="3594" w:type="dxa"/>
            <w:tcBorders>
              <w:top w:val="single" w:sz="4" w:space="0" w:color="auto"/>
              <w:left w:val="single" w:sz="4" w:space="0" w:color="auto"/>
              <w:bottom w:val="single" w:sz="4" w:space="0" w:color="auto"/>
              <w:right w:val="single" w:sz="4" w:space="0" w:color="auto"/>
            </w:tcBorders>
            <w:vAlign w:val="center"/>
          </w:tcPr>
          <w:p w14:paraId="41743E13" w14:textId="77777777" w:rsidR="00A052DC" w:rsidRDefault="009F0A60" w:rsidP="003C405E">
            <w:pPr>
              <w:pStyle w:val="B"/>
            </w:pPr>
            <w:r>
              <w:rPr>
                <w:rFonts w:hint="eastAsia"/>
              </w:rPr>
              <w:t>保险辅助服务</w:t>
            </w:r>
          </w:p>
        </w:tc>
        <w:tc>
          <w:tcPr>
            <w:tcW w:w="1276" w:type="dxa"/>
            <w:tcBorders>
              <w:top w:val="single" w:sz="4" w:space="0" w:color="auto"/>
              <w:left w:val="single" w:sz="4" w:space="0" w:color="auto"/>
              <w:bottom w:val="single" w:sz="4" w:space="0" w:color="auto"/>
              <w:right w:val="single" w:sz="4" w:space="0" w:color="auto"/>
            </w:tcBorders>
            <w:vAlign w:val="center"/>
          </w:tcPr>
          <w:p w14:paraId="237E31B3" w14:textId="77777777" w:rsidR="00A052DC" w:rsidRDefault="009F0A60" w:rsidP="003C405E">
            <w:pPr>
              <w:pStyle w:val="B"/>
            </w:pPr>
            <w:r>
              <w:t>225050</w:t>
            </w:r>
          </w:p>
        </w:tc>
        <w:tc>
          <w:tcPr>
            <w:tcW w:w="2526" w:type="dxa"/>
            <w:tcBorders>
              <w:top w:val="single" w:sz="4" w:space="0" w:color="auto"/>
              <w:left w:val="single" w:sz="4" w:space="0" w:color="auto"/>
              <w:bottom w:val="single" w:sz="4" w:space="0" w:color="auto"/>
              <w:right w:val="single" w:sz="4" w:space="0" w:color="auto"/>
            </w:tcBorders>
            <w:vAlign w:val="center"/>
          </w:tcPr>
          <w:p w14:paraId="3B456EDA" w14:textId="77777777" w:rsidR="00A052DC" w:rsidRDefault="009F0A60" w:rsidP="003C405E">
            <w:pPr>
              <w:pStyle w:val="B"/>
            </w:pPr>
            <w:r>
              <w:rPr>
                <w:rFonts w:hint="eastAsia"/>
              </w:rPr>
              <w:t>保险辅助服务</w:t>
            </w:r>
          </w:p>
        </w:tc>
      </w:tr>
      <w:tr w:rsidR="00A052DC" w14:paraId="7AA4989F" w14:textId="77777777" w:rsidTr="00653B9C">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14:paraId="1A8D5441" w14:textId="77777777" w:rsidR="00A052DC" w:rsidRDefault="00A052DC" w:rsidP="003C405E">
            <w:pPr>
              <w:pStyle w:val="B"/>
            </w:pPr>
          </w:p>
        </w:tc>
        <w:tc>
          <w:tcPr>
            <w:tcW w:w="3594" w:type="dxa"/>
            <w:tcBorders>
              <w:top w:val="single" w:sz="4" w:space="0" w:color="auto"/>
              <w:left w:val="single" w:sz="4" w:space="0" w:color="auto"/>
              <w:bottom w:val="single" w:sz="4" w:space="0" w:color="auto"/>
              <w:right w:val="single" w:sz="4" w:space="0" w:color="auto"/>
            </w:tcBorders>
            <w:vAlign w:val="center"/>
          </w:tcPr>
          <w:p w14:paraId="3AE5FF48" w14:textId="77777777" w:rsidR="00A052DC" w:rsidRDefault="009F0A60" w:rsidP="003C405E">
            <w:pPr>
              <w:pStyle w:val="B"/>
            </w:pPr>
            <w:r>
              <w:rPr>
                <w:rFonts w:hint="eastAsia"/>
              </w:rPr>
              <w:t>金融服务</w:t>
            </w:r>
          </w:p>
        </w:tc>
        <w:tc>
          <w:tcPr>
            <w:tcW w:w="1276" w:type="dxa"/>
            <w:tcBorders>
              <w:top w:val="single" w:sz="4" w:space="0" w:color="auto"/>
              <w:left w:val="single" w:sz="4" w:space="0" w:color="auto"/>
              <w:bottom w:val="single" w:sz="4" w:space="0" w:color="auto"/>
              <w:right w:val="single" w:sz="4" w:space="0" w:color="auto"/>
            </w:tcBorders>
            <w:vAlign w:val="center"/>
          </w:tcPr>
          <w:p w14:paraId="247F3371" w14:textId="77777777" w:rsidR="00A052DC" w:rsidRDefault="00A052DC" w:rsidP="003C405E">
            <w:pPr>
              <w:pStyle w:val="B"/>
            </w:pPr>
          </w:p>
        </w:tc>
        <w:tc>
          <w:tcPr>
            <w:tcW w:w="2526" w:type="dxa"/>
            <w:tcBorders>
              <w:top w:val="single" w:sz="4" w:space="0" w:color="auto"/>
              <w:left w:val="single" w:sz="4" w:space="0" w:color="auto"/>
              <w:bottom w:val="single" w:sz="4" w:space="0" w:color="auto"/>
              <w:right w:val="single" w:sz="4" w:space="0" w:color="auto"/>
            </w:tcBorders>
            <w:vAlign w:val="center"/>
          </w:tcPr>
          <w:p w14:paraId="3EE53810" w14:textId="77777777" w:rsidR="00A052DC" w:rsidRDefault="00A052DC" w:rsidP="003C405E">
            <w:pPr>
              <w:pStyle w:val="B"/>
            </w:pPr>
          </w:p>
        </w:tc>
      </w:tr>
      <w:tr w:rsidR="00A052DC" w14:paraId="721AB498" w14:textId="77777777" w:rsidTr="00653B9C">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14:paraId="178011A9" w14:textId="77777777" w:rsidR="00A052DC" w:rsidRDefault="009F0A60" w:rsidP="003C405E">
            <w:pPr>
              <w:pStyle w:val="B"/>
            </w:pPr>
            <w:r>
              <w:t>226000</w:t>
            </w:r>
          </w:p>
        </w:tc>
        <w:tc>
          <w:tcPr>
            <w:tcW w:w="3594" w:type="dxa"/>
            <w:tcBorders>
              <w:top w:val="single" w:sz="4" w:space="0" w:color="auto"/>
              <w:left w:val="single" w:sz="4" w:space="0" w:color="auto"/>
              <w:bottom w:val="single" w:sz="4" w:space="0" w:color="auto"/>
              <w:right w:val="single" w:sz="4" w:space="0" w:color="auto"/>
            </w:tcBorders>
            <w:vAlign w:val="center"/>
          </w:tcPr>
          <w:p w14:paraId="27324AA6" w14:textId="77777777" w:rsidR="00A052DC" w:rsidRDefault="009F0A60" w:rsidP="003C405E">
            <w:pPr>
              <w:pStyle w:val="B"/>
            </w:pPr>
            <w:r>
              <w:rPr>
                <w:rFonts w:hint="eastAsia"/>
              </w:rPr>
              <w:t>金融服务</w:t>
            </w:r>
          </w:p>
        </w:tc>
        <w:tc>
          <w:tcPr>
            <w:tcW w:w="1276" w:type="dxa"/>
            <w:tcBorders>
              <w:top w:val="single" w:sz="4" w:space="0" w:color="auto"/>
              <w:left w:val="single" w:sz="4" w:space="0" w:color="auto"/>
              <w:bottom w:val="single" w:sz="4" w:space="0" w:color="auto"/>
              <w:right w:val="single" w:sz="4" w:space="0" w:color="auto"/>
            </w:tcBorders>
            <w:vAlign w:val="center"/>
          </w:tcPr>
          <w:p w14:paraId="4F669C5E" w14:textId="77777777" w:rsidR="00A052DC" w:rsidRDefault="009F0A60" w:rsidP="003C405E">
            <w:pPr>
              <w:pStyle w:val="B"/>
            </w:pPr>
            <w:r>
              <w:t>226000</w:t>
            </w:r>
          </w:p>
        </w:tc>
        <w:tc>
          <w:tcPr>
            <w:tcW w:w="2526" w:type="dxa"/>
            <w:tcBorders>
              <w:top w:val="single" w:sz="4" w:space="0" w:color="auto"/>
              <w:left w:val="single" w:sz="4" w:space="0" w:color="auto"/>
              <w:bottom w:val="single" w:sz="4" w:space="0" w:color="auto"/>
              <w:right w:val="single" w:sz="4" w:space="0" w:color="auto"/>
            </w:tcBorders>
            <w:vAlign w:val="center"/>
          </w:tcPr>
          <w:p w14:paraId="2E89A8BA" w14:textId="77777777" w:rsidR="00A052DC" w:rsidRDefault="009F0A60" w:rsidP="003C405E">
            <w:pPr>
              <w:pStyle w:val="B"/>
            </w:pPr>
            <w:r>
              <w:rPr>
                <w:rFonts w:hint="eastAsia"/>
              </w:rPr>
              <w:t>金融服务</w:t>
            </w:r>
          </w:p>
        </w:tc>
      </w:tr>
      <w:tr w:rsidR="00A052DC" w14:paraId="6B85BE69" w14:textId="77777777" w:rsidTr="00653B9C">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14:paraId="058F20EF" w14:textId="77777777" w:rsidR="00A052DC" w:rsidRDefault="00A052DC" w:rsidP="003C405E">
            <w:pPr>
              <w:pStyle w:val="B"/>
            </w:pPr>
          </w:p>
        </w:tc>
        <w:tc>
          <w:tcPr>
            <w:tcW w:w="3594" w:type="dxa"/>
            <w:tcBorders>
              <w:top w:val="single" w:sz="4" w:space="0" w:color="auto"/>
              <w:left w:val="single" w:sz="4" w:space="0" w:color="auto"/>
              <w:bottom w:val="single" w:sz="4" w:space="0" w:color="auto"/>
              <w:right w:val="single" w:sz="4" w:space="0" w:color="auto"/>
            </w:tcBorders>
            <w:vAlign w:val="center"/>
          </w:tcPr>
          <w:p w14:paraId="5EEF3216" w14:textId="77777777" w:rsidR="00A052DC" w:rsidRDefault="009F0A60" w:rsidP="003C405E">
            <w:pPr>
              <w:pStyle w:val="B"/>
            </w:pPr>
            <w:r>
              <w:rPr>
                <w:rFonts w:hint="eastAsia"/>
              </w:rPr>
              <w:t>电信、计算机和信息服务</w:t>
            </w:r>
          </w:p>
        </w:tc>
        <w:tc>
          <w:tcPr>
            <w:tcW w:w="1276" w:type="dxa"/>
            <w:tcBorders>
              <w:top w:val="single" w:sz="4" w:space="0" w:color="auto"/>
              <w:left w:val="single" w:sz="4" w:space="0" w:color="auto"/>
              <w:bottom w:val="single" w:sz="4" w:space="0" w:color="auto"/>
              <w:right w:val="single" w:sz="4" w:space="0" w:color="auto"/>
            </w:tcBorders>
            <w:vAlign w:val="center"/>
          </w:tcPr>
          <w:p w14:paraId="196157DA" w14:textId="77777777" w:rsidR="00A052DC" w:rsidRDefault="00A052DC" w:rsidP="003C405E">
            <w:pPr>
              <w:pStyle w:val="B"/>
            </w:pPr>
          </w:p>
        </w:tc>
        <w:tc>
          <w:tcPr>
            <w:tcW w:w="2526" w:type="dxa"/>
            <w:tcBorders>
              <w:top w:val="single" w:sz="4" w:space="0" w:color="auto"/>
              <w:left w:val="single" w:sz="4" w:space="0" w:color="auto"/>
              <w:bottom w:val="single" w:sz="4" w:space="0" w:color="auto"/>
              <w:right w:val="single" w:sz="4" w:space="0" w:color="auto"/>
            </w:tcBorders>
            <w:vAlign w:val="center"/>
          </w:tcPr>
          <w:p w14:paraId="46740236" w14:textId="77777777" w:rsidR="00A052DC" w:rsidRDefault="00A052DC" w:rsidP="003C405E">
            <w:pPr>
              <w:pStyle w:val="B"/>
            </w:pPr>
          </w:p>
        </w:tc>
      </w:tr>
      <w:tr w:rsidR="00A052DC" w14:paraId="60E80BED" w14:textId="77777777" w:rsidTr="00653B9C">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14:paraId="04E6B876" w14:textId="77777777" w:rsidR="00A052DC" w:rsidRDefault="009F0A60" w:rsidP="003C405E">
            <w:pPr>
              <w:pStyle w:val="B"/>
            </w:pPr>
            <w:r>
              <w:t>227010</w:t>
            </w:r>
          </w:p>
        </w:tc>
        <w:tc>
          <w:tcPr>
            <w:tcW w:w="3594" w:type="dxa"/>
            <w:tcBorders>
              <w:top w:val="single" w:sz="4" w:space="0" w:color="auto"/>
              <w:left w:val="single" w:sz="4" w:space="0" w:color="auto"/>
              <w:bottom w:val="single" w:sz="4" w:space="0" w:color="auto"/>
              <w:right w:val="single" w:sz="4" w:space="0" w:color="auto"/>
            </w:tcBorders>
            <w:vAlign w:val="center"/>
          </w:tcPr>
          <w:p w14:paraId="223F3327" w14:textId="77777777" w:rsidR="00A052DC" w:rsidRDefault="009F0A60" w:rsidP="003C405E">
            <w:pPr>
              <w:pStyle w:val="B"/>
            </w:pPr>
            <w:r>
              <w:rPr>
                <w:rFonts w:hint="eastAsia"/>
              </w:rPr>
              <w:t>电信服务</w:t>
            </w:r>
          </w:p>
        </w:tc>
        <w:tc>
          <w:tcPr>
            <w:tcW w:w="1276" w:type="dxa"/>
            <w:tcBorders>
              <w:top w:val="single" w:sz="4" w:space="0" w:color="auto"/>
              <w:left w:val="single" w:sz="4" w:space="0" w:color="auto"/>
              <w:bottom w:val="single" w:sz="4" w:space="0" w:color="auto"/>
              <w:right w:val="single" w:sz="4" w:space="0" w:color="auto"/>
            </w:tcBorders>
            <w:vAlign w:val="center"/>
          </w:tcPr>
          <w:p w14:paraId="6D9A200E" w14:textId="77777777" w:rsidR="00A052DC" w:rsidRDefault="009F0A60" w:rsidP="003C405E">
            <w:pPr>
              <w:pStyle w:val="B"/>
            </w:pPr>
            <w:r>
              <w:t>227010</w:t>
            </w:r>
          </w:p>
        </w:tc>
        <w:tc>
          <w:tcPr>
            <w:tcW w:w="2526" w:type="dxa"/>
            <w:tcBorders>
              <w:top w:val="single" w:sz="4" w:space="0" w:color="auto"/>
              <w:left w:val="single" w:sz="4" w:space="0" w:color="auto"/>
              <w:bottom w:val="single" w:sz="4" w:space="0" w:color="auto"/>
              <w:right w:val="single" w:sz="4" w:space="0" w:color="auto"/>
            </w:tcBorders>
            <w:vAlign w:val="center"/>
          </w:tcPr>
          <w:p w14:paraId="4CCC9E77" w14:textId="77777777" w:rsidR="00A052DC" w:rsidRDefault="009F0A60" w:rsidP="003C405E">
            <w:pPr>
              <w:pStyle w:val="B"/>
            </w:pPr>
            <w:r>
              <w:rPr>
                <w:rFonts w:hint="eastAsia"/>
              </w:rPr>
              <w:t>电信服务</w:t>
            </w:r>
          </w:p>
        </w:tc>
      </w:tr>
      <w:tr w:rsidR="00A052DC" w14:paraId="6730CC15" w14:textId="77777777" w:rsidTr="00653B9C">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14:paraId="411E74FD" w14:textId="77777777" w:rsidR="00A052DC" w:rsidRDefault="009F0A60" w:rsidP="003C405E">
            <w:pPr>
              <w:pStyle w:val="B"/>
            </w:pPr>
            <w:r>
              <w:t>227020</w:t>
            </w:r>
          </w:p>
        </w:tc>
        <w:tc>
          <w:tcPr>
            <w:tcW w:w="3594" w:type="dxa"/>
            <w:tcBorders>
              <w:top w:val="single" w:sz="4" w:space="0" w:color="auto"/>
              <w:left w:val="single" w:sz="4" w:space="0" w:color="auto"/>
              <w:bottom w:val="single" w:sz="4" w:space="0" w:color="auto"/>
              <w:right w:val="single" w:sz="4" w:space="0" w:color="auto"/>
            </w:tcBorders>
            <w:vAlign w:val="center"/>
          </w:tcPr>
          <w:p w14:paraId="487AEB58" w14:textId="77777777" w:rsidR="00A052DC" w:rsidRDefault="009F0A60" w:rsidP="003C405E">
            <w:pPr>
              <w:pStyle w:val="B"/>
            </w:pPr>
            <w:r>
              <w:rPr>
                <w:rFonts w:hint="eastAsia"/>
              </w:rPr>
              <w:t>计算机服务</w:t>
            </w:r>
          </w:p>
        </w:tc>
        <w:tc>
          <w:tcPr>
            <w:tcW w:w="1276" w:type="dxa"/>
            <w:tcBorders>
              <w:top w:val="single" w:sz="4" w:space="0" w:color="auto"/>
              <w:left w:val="single" w:sz="4" w:space="0" w:color="auto"/>
              <w:bottom w:val="single" w:sz="4" w:space="0" w:color="auto"/>
              <w:right w:val="single" w:sz="4" w:space="0" w:color="auto"/>
            </w:tcBorders>
            <w:vAlign w:val="center"/>
          </w:tcPr>
          <w:p w14:paraId="2EA37C37" w14:textId="77777777" w:rsidR="00A052DC" w:rsidRDefault="009F0A60" w:rsidP="003C405E">
            <w:pPr>
              <w:pStyle w:val="B"/>
            </w:pPr>
            <w:r>
              <w:t>227020</w:t>
            </w:r>
          </w:p>
        </w:tc>
        <w:tc>
          <w:tcPr>
            <w:tcW w:w="2526" w:type="dxa"/>
            <w:tcBorders>
              <w:top w:val="single" w:sz="4" w:space="0" w:color="auto"/>
              <w:left w:val="single" w:sz="4" w:space="0" w:color="auto"/>
              <w:bottom w:val="single" w:sz="4" w:space="0" w:color="auto"/>
              <w:right w:val="single" w:sz="4" w:space="0" w:color="auto"/>
            </w:tcBorders>
            <w:vAlign w:val="center"/>
          </w:tcPr>
          <w:p w14:paraId="50E11D60" w14:textId="77777777" w:rsidR="00A052DC" w:rsidRDefault="009F0A60" w:rsidP="003C405E">
            <w:pPr>
              <w:pStyle w:val="B"/>
            </w:pPr>
            <w:r>
              <w:rPr>
                <w:rFonts w:hint="eastAsia"/>
              </w:rPr>
              <w:t>计算机服务</w:t>
            </w:r>
          </w:p>
        </w:tc>
      </w:tr>
      <w:tr w:rsidR="00A052DC" w14:paraId="1A0B9A79" w14:textId="77777777" w:rsidTr="00653B9C">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14:paraId="56122429" w14:textId="77777777" w:rsidR="00A052DC" w:rsidRDefault="009F0A60" w:rsidP="003C405E">
            <w:pPr>
              <w:pStyle w:val="B"/>
            </w:pPr>
            <w:r>
              <w:t>227030</w:t>
            </w:r>
          </w:p>
        </w:tc>
        <w:tc>
          <w:tcPr>
            <w:tcW w:w="3594" w:type="dxa"/>
            <w:tcBorders>
              <w:top w:val="single" w:sz="4" w:space="0" w:color="auto"/>
              <w:left w:val="single" w:sz="4" w:space="0" w:color="auto"/>
              <w:bottom w:val="single" w:sz="4" w:space="0" w:color="auto"/>
              <w:right w:val="single" w:sz="4" w:space="0" w:color="auto"/>
            </w:tcBorders>
            <w:vAlign w:val="center"/>
          </w:tcPr>
          <w:p w14:paraId="11020D44" w14:textId="77777777" w:rsidR="00A052DC" w:rsidRDefault="009F0A60" w:rsidP="003C405E">
            <w:pPr>
              <w:pStyle w:val="B"/>
            </w:pPr>
            <w:r>
              <w:rPr>
                <w:rFonts w:hint="eastAsia"/>
              </w:rPr>
              <w:t>信息服务</w:t>
            </w:r>
          </w:p>
        </w:tc>
        <w:tc>
          <w:tcPr>
            <w:tcW w:w="1276" w:type="dxa"/>
            <w:tcBorders>
              <w:top w:val="single" w:sz="4" w:space="0" w:color="auto"/>
              <w:left w:val="single" w:sz="4" w:space="0" w:color="auto"/>
              <w:bottom w:val="single" w:sz="4" w:space="0" w:color="auto"/>
              <w:right w:val="single" w:sz="4" w:space="0" w:color="auto"/>
            </w:tcBorders>
            <w:vAlign w:val="center"/>
          </w:tcPr>
          <w:p w14:paraId="16C3B16A" w14:textId="77777777" w:rsidR="00A052DC" w:rsidRDefault="009F0A60" w:rsidP="003C405E">
            <w:pPr>
              <w:pStyle w:val="B"/>
            </w:pPr>
            <w:r>
              <w:t>227030</w:t>
            </w:r>
          </w:p>
        </w:tc>
        <w:tc>
          <w:tcPr>
            <w:tcW w:w="2526" w:type="dxa"/>
            <w:tcBorders>
              <w:top w:val="single" w:sz="4" w:space="0" w:color="auto"/>
              <w:left w:val="single" w:sz="4" w:space="0" w:color="auto"/>
              <w:bottom w:val="single" w:sz="4" w:space="0" w:color="auto"/>
              <w:right w:val="single" w:sz="4" w:space="0" w:color="auto"/>
            </w:tcBorders>
            <w:vAlign w:val="center"/>
          </w:tcPr>
          <w:p w14:paraId="6C79DC76" w14:textId="77777777" w:rsidR="00A052DC" w:rsidRDefault="009F0A60" w:rsidP="003C405E">
            <w:pPr>
              <w:pStyle w:val="B"/>
            </w:pPr>
            <w:r>
              <w:rPr>
                <w:rFonts w:hint="eastAsia"/>
              </w:rPr>
              <w:t>信息服务</w:t>
            </w:r>
          </w:p>
        </w:tc>
      </w:tr>
      <w:tr w:rsidR="00A052DC" w14:paraId="3BA95CA8" w14:textId="77777777" w:rsidTr="00653B9C">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14:paraId="4A31D452" w14:textId="77777777" w:rsidR="00A052DC" w:rsidRDefault="00A052DC" w:rsidP="003C405E">
            <w:pPr>
              <w:pStyle w:val="B"/>
            </w:pPr>
          </w:p>
        </w:tc>
        <w:tc>
          <w:tcPr>
            <w:tcW w:w="3594" w:type="dxa"/>
            <w:tcBorders>
              <w:top w:val="single" w:sz="4" w:space="0" w:color="auto"/>
              <w:left w:val="single" w:sz="4" w:space="0" w:color="auto"/>
              <w:bottom w:val="single" w:sz="4" w:space="0" w:color="auto"/>
              <w:right w:val="single" w:sz="4" w:space="0" w:color="auto"/>
            </w:tcBorders>
            <w:vAlign w:val="center"/>
          </w:tcPr>
          <w:p w14:paraId="74AB28C0" w14:textId="77777777" w:rsidR="00A052DC" w:rsidRDefault="009F0A60" w:rsidP="003C405E">
            <w:pPr>
              <w:pStyle w:val="B"/>
            </w:pPr>
            <w:r>
              <w:rPr>
                <w:rFonts w:hint="eastAsia"/>
              </w:rPr>
              <w:t>其他商业服务</w:t>
            </w:r>
          </w:p>
        </w:tc>
        <w:tc>
          <w:tcPr>
            <w:tcW w:w="1276" w:type="dxa"/>
            <w:tcBorders>
              <w:top w:val="single" w:sz="4" w:space="0" w:color="auto"/>
              <w:left w:val="single" w:sz="4" w:space="0" w:color="auto"/>
              <w:bottom w:val="single" w:sz="4" w:space="0" w:color="auto"/>
              <w:right w:val="single" w:sz="4" w:space="0" w:color="auto"/>
            </w:tcBorders>
            <w:vAlign w:val="center"/>
          </w:tcPr>
          <w:p w14:paraId="65473B38" w14:textId="77777777" w:rsidR="00A052DC" w:rsidRDefault="00A052DC" w:rsidP="003C405E">
            <w:pPr>
              <w:pStyle w:val="B"/>
            </w:pPr>
          </w:p>
        </w:tc>
        <w:tc>
          <w:tcPr>
            <w:tcW w:w="2526" w:type="dxa"/>
            <w:tcBorders>
              <w:top w:val="single" w:sz="4" w:space="0" w:color="auto"/>
              <w:left w:val="single" w:sz="4" w:space="0" w:color="auto"/>
              <w:bottom w:val="single" w:sz="4" w:space="0" w:color="auto"/>
              <w:right w:val="single" w:sz="4" w:space="0" w:color="auto"/>
            </w:tcBorders>
            <w:vAlign w:val="center"/>
          </w:tcPr>
          <w:p w14:paraId="78B7BBB7" w14:textId="77777777" w:rsidR="00A052DC" w:rsidRDefault="00A052DC" w:rsidP="003C405E">
            <w:pPr>
              <w:pStyle w:val="B"/>
            </w:pPr>
          </w:p>
        </w:tc>
      </w:tr>
      <w:tr w:rsidR="00A052DC" w14:paraId="422A9395" w14:textId="77777777" w:rsidTr="00653B9C">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14:paraId="6B547890" w14:textId="77777777" w:rsidR="00A052DC" w:rsidRDefault="009F0A60" w:rsidP="003C405E">
            <w:pPr>
              <w:pStyle w:val="B"/>
            </w:pPr>
            <w:r>
              <w:t>228010</w:t>
            </w:r>
          </w:p>
        </w:tc>
        <w:tc>
          <w:tcPr>
            <w:tcW w:w="3594" w:type="dxa"/>
            <w:tcBorders>
              <w:top w:val="single" w:sz="4" w:space="0" w:color="auto"/>
              <w:left w:val="single" w:sz="4" w:space="0" w:color="auto"/>
              <w:bottom w:val="single" w:sz="4" w:space="0" w:color="auto"/>
              <w:right w:val="single" w:sz="4" w:space="0" w:color="auto"/>
            </w:tcBorders>
            <w:vAlign w:val="center"/>
          </w:tcPr>
          <w:p w14:paraId="22A21CDB" w14:textId="77777777" w:rsidR="00A052DC" w:rsidRDefault="009F0A60" w:rsidP="003C405E">
            <w:pPr>
              <w:pStyle w:val="B"/>
            </w:pPr>
            <w:r>
              <w:rPr>
                <w:rFonts w:hint="eastAsia"/>
              </w:rPr>
              <w:t>研发成果转让费及委托研发</w:t>
            </w:r>
          </w:p>
        </w:tc>
        <w:tc>
          <w:tcPr>
            <w:tcW w:w="1276" w:type="dxa"/>
            <w:tcBorders>
              <w:top w:val="single" w:sz="4" w:space="0" w:color="auto"/>
              <w:left w:val="single" w:sz="4" w:space="0" w:color="auto"/>
              <w:bottom w:val="single" w:sz="4" w:space="0" w:color="auto"/>
              <w:right w:val="single" w:sz="4" w:space="0" w:color="auto"/>
            </w:tcBorders>
            <w:vAlign w:val="center"/>
          </w:tcPr>
          <w:p w14:paraId="4039D0CE" w14:textId="77777777" w:rsidR="00A052DC" w:rsidRDefault="009F0A60" w:rsidP="003C405E">
            <w:pPr>
              <w:pStyle w:val="B"/>
            </w:pPr>
            <w:r>
              <w:t>228010</w:t>
            </w:r>
          </w:p>
        </w:tc>
        <w:tc>
          <w:tcPr>
            <w:tcW w:w="2526" w:type="dxa"/>
            <w:tcBorders>
              <w:top w:val="single" w:sz="4" w:space="0" w:color="auto"/>
              <w:left w:val="single" w:sz="4" w:space="0" w:color="auto"/>
              <w:bottom w:val="single" w:sz="4" w:space="0" w:color="auto"/>
              <w:right w:val="single" w:sz="4" w:space="0" w:color="auto"/>
            </w:tcBorders>
            <w:vAlign w:val="center"/>
          </w:tcPr>
          <w:p w14:paraId="050C411C" w14:textId="77777777" w:rsidR="00A052DC" w:rsidRDefault="009F0A60" w:rsidP="003C405E">
            <w:pPr>
              <w:pStyle w:val="B"/>
            </w:pPr>
            <w:r>
              <w:rPr>
                <w:rFonts w:hint="eastAsia"/>
              </w:rPr>
              <w:t>研发成果转让费及委托研发</w:t>
            </w:r>
          </w:p>
        </w:tc>
      </w:tr>
      <w:tr w:rsidR="00A052DC" w14:paraId="220A4B6F" w14:textId="77777777" w:rsidTr="00653B9C">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14:paraId="766C8EBF" w14:textId="77777777" w:rsidR="00A052DC" w:rsidRDefault="00A052DC" w:rsidP="003C405E">
            <w:pPr>
              <w:pStyle w:val="B"/>
            </w:pPr>
          </w:p>
        </w:tc>
        <w:tc>
          <w:tcPr>
            <w:tcW w:w="3594" w:type="dxa"/>
            <w:tcBorders>
              <w:top w:val="single" w:sz="4" w:space="0" w:color="auto"/>
              <w:left w:val="single" w:sz="4" w:space="0" w:color="auto"/>
              <w:bottom w:val="single" w:sz="4" w:space="0" w:color="auto"/>
              <w:right w:val="single" w:sz="4" w:space="0" w:color="auto"/>
            </w:tcBorders>
            <w:vAlign w:val="center"/>
          </w:tcPr>
          <w:p w14:paraId="3DAD2A80" w14:textId="77777777" w:rsidR="00A052DC" w:rsidRDefault="009F0A60" w:rsidP="003C405E">
            <w:pPr>
              <w:pStyle w:val="B"/>
            </w:pPr>
            <w:r>
              <w:rPr>
                <w:rFonts w:hint="eastAsia"/>
              </w:rPr>
              <w:t>法律、会计、广告等专业和管理咨询服务</w:t>
            </w:r>
          </w:p>
        </w:tc>
        <w:tc>
          <w:tcPr>
            <w:tcW w:w="1276" w:type="dxa"/>
            <w:tcBorders>
              <w:top w:val="single" w:sz="4" w:space="0" w:color="auto"/>
              <w:left w:val="single" w:sz="4" w:space="0" w:color="auto"/>
              <w:bottom w:val="single" w:sz="4" w:space="0" w:color="auto"/>
              <w:right w:val="single" w:sz="4" w:space="0" w:color="auto"/>
            </w:tcBorders>
            <w:vAlign w:val="center"/>
          </w:tcPr>
          <w:p w14:paraId="374446BE" w14:textId="77777777" w:rsidR="00A052DC" w:rsidRDefault="00A052DC" w:rsidP="003C405E">
            <w:pPr>
              <w:pStyle w:val="B"/>
            </w:pPr>
          </w:p>
        </w:tc>
        <w:tc>
          <w:tcPr>
            <w:tcW w:w="2526" w:type="dxa"/>
            <w:tcBorders>
              <w:top w:val="single" w:sz="4" w:space="0" w:color="auto"/>
              <w:left w:val="single" w:sz="4" w:space="0" w:color="auto"/>
              <w:bottom w:val="single" w:sz="4" w:space="0" w:color="auto"/>
              <w:right w:val="single" w:sz="4" w:space="0" w:color="auto"/>
            </w:tcBorders>
            <w:vAlign w:val="center"/>
          </w:tcPr>
          <w:p w14:paraId="515AC37C" w14:textId="77777777" w:rsidR="00A052DC" w:rsidRDefault="00A052DC" w:rsidP="003C405E">
            <w:pPr>
              <w:pStyle w:val="B"/>
            </w:pPr>
          </w:p>
        </w:tc>
      </w:tr>
      <w:tr w:rsidR="00A052DC" w14:paraId="6B511D1F" w14:textId="77777777" w:rsidTr="00653B9C">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14:paraId="7FFC9D90" w14:textId="77777777" w:rsidR="00A052DC" w:rsidRDefault="009F0A60" w:rsidP="003C405E">
            <w:pPr>
              <w:pStyle w:val="B"/>
            </w:pPr>
            <w:r>
              <w:t>228021</w:t>
            </w:r>
          </w:p>
        </w:tc>
        <w:tc>
          <w:tcPr>
            <w:tcW w:w="3594" w:type="dxa"/>
            <w:tcBorders>
              <w:top w:val="single" w:sz="4" w:space="0" w:color="auto"/>
              <w:left w:val="single" w:sz="4" w:space="0" w:color="auto"/>
              <w:bottom w:val="single" w:sz="4" w:space="0" w:color="auto"/>
              <w:right w:val="single" w:sz="4" w:space="0" w:color="auto"/>
            </w:tcBorders>
            <w:vAlign w:val="center"/>
          </w:tcPr>
          <w:p w14:paraId="19359F04" w14:textId="77777777" w:rsidR="00A052DC" w:rsidRDefault="009F0A60" w:rsidP="003C405E">
            <w:pPr>
              <w:pStyle w:val="B"/>
            </w:pPr>
            <w:r>
              <w:rPr>
                <w:rFonts w:hint="eastAsia"/>
              </w:rPr>
              <w:t>法律服务</w:t>
            </w:r>
          </w:p>
        </w:tc>
        <w:tc>
          <w:tcPr>
            <w:tcW w:w="1276" w:type="dxa"/>
            <w:tcBorders>
              <w:top w:val="single" w:sz="4" w:space="0" w:color="auto"/>
              <w:left w:val="single" w:sz="4" w:space="0" w:color="auto"/>
              <w:bottom w:val="single" w:sz="4" w:space="0" w:color="auto"/>
              <w:right w:val="single" w:sz="4" w:space="0" w:color="auto"/>
            </w:tcBorders>
            <w:vAlign w:val="center"/>
          </w:tcPr>
          <w:p w14:paraId="3922201D" w14:textId="77777777" w:rsidR="00A052DC" w:rsidRDefault="009F0A60" w:rsidP="003C405E">
            <w:pPr>
              <w:pStyle w:val="B"/>
            </w:pPr>
            <w:r>
              <w:t>228021</w:t>
            </w:r>
          </w:p>
        </w:tc>
        <w:tc>
          <w:tcPr>
            <w:tcW w:w="2526" w:type="dxa"/>
            <w:tcBorders>
              <w:top w:val="single" w:sz="4" w:space="0" w:color="auto"/>
              <w:left w:val="single" w:sz="4" w:space="0" w:color="auto"/>
              <w:bottom w:val="single" w:sz="4" w:space="0" w:color="auto"/>
              <w:right w:val="single" w:sz="4" w:space="0" w:color="auto"/>
            </w:tcBorders>
            <w:vAlign w:val="center"/>
          </w:tcPr>
          <w:p w14:paraId="6D36D332" w14:textId="77777777" w:rsidR="00A052DC" w:rsidRDefault="009F0A60" w:rsidP="003C405E">
            <w:pPr>
              <w:pStyle w:val="B"/>
            </w:pPr>
            <w:r>
              <w:rPr>
                <w:rFonts w:hint="eastAsia"/>
              </w:rPr>
              <w:t>法律服务</w:t>
            </w:r>
          </w:p>
        </w:tc>
      </w:tr>
      <w:tr w:rsidR="00A052DC" w14:paraId="00CCFCE5" w14:textId="77777777" w:rsidTr="00653B9C">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14:paraId="21D72720" w14:textId="77777777" w:rsidR="00A052DC" w:rsidRDefault="009F0A60" w:rsidP="003C405E">
            <w:pPr>
              <w:pStyle w:val="B"/>
            </w:pPr>
            <w:r>
              <w:t>228022</w:t>
            </w:r>
          </w:p>
        </w:tc>
        <w:tc>
          <w:tcPr>
            <w:tcW w:w="3594" w:type="dxa"/>
            <w:tcBorders>
              <w:top w:val="single" w:sz="4" w:space="0" w:color="auto"/>
              <w:left w:val="single" w:sz="4" w:space="0" w:color="auto"/>
              <w:bottom w:val="single" w:sz="4" w:space="0" w:color="auto"/>
              <w:right w:val="single" w:sz="4" w:space="0" w:color="auto"/>
            </w:tcBorders>
            <w:vAlign w:val="center"/>
          </w:tcPr>
          <w:p w14:paraId="5604A9A6" w14:textId="77777777" w:rsidR="00A052DC" w:rsidRDefault="009F0A60" w:rsidP="003C405E">
            <w:pPr>
              <w:pStyle w:val="B"/>
            </w:pPr>
            <w:r>
              <w:rPr>
                <w:rFonts w:hint="eastAsia"/>
              </w:rPr>
              <w:t>会计服务</w:t>
            </w:r>
          </w:p>
        </w:tc>
        <w:tc>
          <w:tcPr>
            <w:tcW w:w="1276" w:type="dxa"/>
            <w:tcBorders>
              <w:top w:val="single" w:sz="4" w:space="0" w:color="auto"/>
              <w:left w:val="single" w:sz="4" w:space="0" w:color="auto"/>
              <w:bottom w:val="single" w:sz="4" w:space="0" w:color="auto"/>
              <w:right w:val="single" w:sz="4" w:space="0" w:color="auto"/>
            </w:tcBorders>
            <w:vAlign w:val="center"/>
          </w:tcPr>
          <w:p w14:paraId="0BED39E6" w14:textId="77777777" w:rsidR="00A052DC" w:rsidRDefault="009F0A60" w:rsidP="003C405E">
            <w:pPr>
              <w:pStyle w:val="B"/>
            </w:pPr>
            <w:r>
              <w:t>228022</w:t>
            </w:r>
          </w:p>
        </w:tc>
        <w:tc>
          <w:tcPr>
            <w:tcW w:w="2526" w:type="dxa"/>
            <w:tcBorders>
              <w:top w:val="single" w:sz="4" w:space="0" w:color="auto"/>
              <w:left w:val="single" w:sz="4" w:space="0" w:color="auto"/>
              <w:bottom w:val="single" w:sz="4" w:space="0" w:color="auto"/>
              <w:right w:val="single" w:sz="4" w:space="0" w:color="auto"/>
            </w:tcBorders>
            <w:vAlign w:val="center"/>
          </w:tcPr>
          <w:p w14:paraId="26D2D1F2" w14:textId="77777777" w:rsidR="00A052DC" w:rsidRDefault="009F0A60" w:rsidP="003C405E">
            <w:pPr>
              <w:pStyle w:val="B"/>
            </w:pPr>
            <w:r>
              <w:rPr>
                <w:rFonts w:hint="eastAsia"/>
              </w:rPr>
              <w:t>会计服务</w:t>
            </w:r>
          </w:p>
        </w:tc>
      </w:tr>
      <w:tr w:rsidR="00A052DC" w14:paraId="15719543" w14:textId="77777777" w:rsidTr="00653B9C">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14:paraId="530E97B6" w14:textId="77777777" w:rsidR="00A052DC" w:rsidRDefault="009F0A60" w:rsidP="003C405E">
            <w:pPr>
              <w:pStyle w:val="B"/>
            </w:pPr>
            <w:r>
              <w:t>228023</w:t>
            </w:r>
          </w:p>
        </w:tc>
        <w:tc>
          <w:tcPr>
            <w:tcW w:w="3594" w:type="dxa"/>
            <w:tcBorders>
              <w:top w:val="single" w:sz="4" w:space="0" w:color="auto"/>
              <w:left w:val="single" w:sz="4" w:space="0" w:color="auto"/>
              <w:bottom w:val="single" w:sz="4" w:space="0" w:color="auto"/>
              <w:right w:val="single" w:sz="4" w:space="0" w:color="auto"/>
            </w:tcBorders>
            <w:vAlign w:val="center"/>
          </w:tcPr>
          <w:p w14:paraId="71DEF5A2" w14:textId="77777777" w:rsidR="00A052DC" w:rsidRDefault="009F0A60" w:rsidP="003C405E">
            <w:pPr>
              <w:pStyle w:val="B"/>
            </w:pPr>
            <w:r>
              <w:rPr>
                <w:rFonts w:hint="eastAsia"/>
              </w:rPr>
              <w:t>管理咨询和公共关系服务</w:t>
            </w:r>
          </w:p>
        </w:tc>
        <w:tc>
          <w:tcPr>
            <w:tcW w:w="1276" w:type="dxa"/>
            <w:tcBorders>
              <w:top w:val="single" w:sz="4" w:space="0" w:color="auto"/>
              <w:left w:val="single" w:sz="4" w:space="0" w:color="auto"/>
              <w:bottom w:val="single" w:sz="4" w:space="0" w:color="auto"/>
              <w:right w:val="single" w:sz="4" w:space="0" w:color="auto"/>
            </w:tcBorders>
            <w:vAlign w:val="center"/>
          </w:tcPr>
          <w:p w14:paraId="11824F53" w14:textId="77777777" w:rsidR="00A052DC" w:rsidRDefault="009F0A60" w:rsidP="003C405E">
            <w:pPr>
              <w:pStyle w:val="B"/>
            </w:pPr>
            <w:r>
              <w:t>228023</w:t>
            </w:r>
          </w:p>
        </w:tc>
        <w:tc>
          <w:tcPr>
            <w:tcW w:w="2526" w:type="dxa"/>
            <w:tcBorders>
              <w:top w:val="single" w:sz="4" w:space="0" w:color="auto"/>
              <w:left w:val="single" w:sz="4" w:space="0" w:color="auto"/>
              <w:bottom w:val="single" w:sz="4" w:space="0" w:color="auto"/>
              <w:right w:val="single" w:sz="4" w:space="0" w:color="auto"/>
            </w:tcBorders>
            <w:vAlign w:val="center"/>
          </w:tcPr>
          <w:p w14:paraId="4F29E636" w14:textId="77777777" w:rsidR="00A052DC" w:rsidRDefault="009F0A60" w:rsidP="003C405E">
            <w:pPr>
              <w:pStyle w:val="B"/>
            </w:pPr>
            <w:r>
              <w:rPr>
                <w:rFonts w:hint="eastAsia"/>
              </w:rPr>
              <w:t>管理咨询和公共关系服务</w:t>
            </w:r>
          </w:p>
        </w:tc>
      </w:tr>
      <w:tr w:rsidR="00A052DC" w14:paraId="33CCEE19" w14:textId="77777777" w:rsidTr="00653B9C">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14:paraId="4177F78B" w14:textId="77777777" w:rsidR="00A052DC" w:rsidRDefault="009F0A60" w:rsidP="003C405E">
            <w:pPr>
              <w:pStyle w:val="B"/>
            </w:pPr>
            <w:r>
              <w:t>228024</w:t>
            </w:r>
          </w:p>
        </w:tc>
        <w:tc>
          <w:tcPr>
            <w:tcW w:w="3594" w:type="dxa"/>
            <w:tcBorders>
              <w:top w:val="single" w:sz="4" w:space="0" w:color="auto"/>
              <w:left w:val="single" w:sz="4" w:space="0" w:color="auto"/>
              <w:bottom w:val="single" w:sz="4" w:space="0" w:color="auto"/>
              <w:right w:val="single" w:sz="4" w:space="0" w:color="auto"/>
            </w:tcBorders>
            <w:vAlign w:val="center"/>
          </w:tcPr>
          <w:p w14:paraId="32605EEC" w14:textId="77777777" w:rsidR="00A052DC" w:rsidRDefault="009F0A60" w:rsidP="003C405E">
            <w:pPr>
              <w:pStyle w:val="B"/>
            </w:pPr>
            <w:r>
              <w:rPr>
                <w:rFonts w:hint="eastAsia"/>
              </w:rPr>
              <w:t>广告服务</w:t>
            </w:r>
          </w:p>
        </w:tc>
        <w:tc>
          <w:tcPr>
            <w:tcW w:w="1276" w:type="dxa"/>
            <w:tcBorders>
              <w:top w:val="single" w:sz="4" w:space="0" w:color="auto"/>
              <w:left w:val="single" w:sz="4" w:space="0" w:color="auto"/>
              <w:bottom w:val="single" w:sz="4" w:space="0" w:color="auto"/>
              <w:right w:val="single" w:sz="4" w:space="0" w:color="auto"/>
            </w:tcBorders>
            <w:vAlign w:val="center"/>
          </w:tcPr>
          <w:p w14:paraId="36264BE4" w14:textId="77777777" w:rsidR="00A052DC" w:rsidRDefault="009F0A60" w:rsidP="003C405E">
            <w:pPr>
              <w:pStyle w:val="B"/>
            </w:pPr>
            <w:r>
              <w:t>228024</w:t>
            </w:r>
          </w:p>
        </w:tc>
        <w:tc>
          <w:tcPr>
            <w:tcW w:w="2526" w:type="dxa"/>
            <w:tcBorders>
              <w:top w:val="single" w:sz="4" w:space="0" w:color="auto"/>
              <w:left w:val="single" w:sz="4" w:space="0" w:color="auto"/>
              <w:bottom w:val="single" w:sz="4" w:space="0" w:color="auto"/>
              <w:right w:val="single" w:sz="4" w:space="0" w:color="auto"/>
            </w:tcBorders>
            <w:vAlign w:val="center"/>
          </w:tcPr>
          <w:p w14:paraId="763A4098" w14:textId="77777777" w:rsidR="00A052DC" w:rsidRDefault="009F0A60" w:rsidP="003C405E">
            <w:pPr>
              <w:pStyle w:val="B"/>
            </w:pPr>
            <w:r>
              <w:rPr>
                <w:rFonts w:hint="eastAsia"/>
              </w:rPr>
              <w:t>广告服务</w:t>
            </w:r>
          </w:p>
        </w:tc>
      </w:tr>
      <w:tr w:rsidR="00A052DC" w14:paraId="4AA684DA" w14:textId="77777777" w:rsidTr="00653B9C">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14:paraId="57D6F7B1" w14:textId="77777777" w:rsidR="00A052DC" w:rsidRDefault="009F0A60" w:rsidP="003C405E">
            <w:pPr>
              <w:pStyle w:val="B"/>
            </w:pPr>
            <w:r>
              <w:t>228025</w:t>
            </w:r>
          </w:p>
        </w:tc>
        <w:tc>
          <w:tcPr>
            <w:tcW w:w="3594" w:type="dxa"/>
            <w:tcBorders>
              <w:top w:val="single" w:sz="4" w:space="0" w:color="auto"/>
              <w:left w:val="single" w:sz="4" w:space="0" w:color="auto"/>
              <w:bottom w:val="single" w:sz="4" w:space="0" w:color="auto"/>
              <w:right w:val="single" w:sz="4" w:space="0" w:color="auto"/>
            </w:tcBorders>
            <w:vAlign w:val="center"/>
          </w:tcPr>
          <w:p w14:paraId="6CE92D7F" w14:textId="77777777" w:rsidR="00A052DC" w:rsidRDefault="009F0A60" w:rsidP="003C405E">
            <w:pPr>
              <w:pStyle w:val="B"/>
            </w:pPr>
            <w:r>
              <w:rPr>
                <w:rFonts w:hint="eastAsia"/>
              </w:rPr>
              <w:t>展会服务</w:t>
            </w:r>
          </w:p>
        </w:tc>
        <w:tc>
          <w:tcPr>
            <w:tcW w:w="1276" w:type="dxa"/>
            <w:tcBorders>
              <w:top w:val="single" w:sz="4" w:space="0" w:color="auto"/>
              <w:left w:val="single" w:sz="4" w:space="0" w:color="auto"/>
              <w:bottom w:val="single" w:sz="4" w:space="0" w:color="auto"/>
              <w:right w:val="single" w:sz="4" w:space="0" w:color="auto"/>
            </w:tcBorders>
            <w:vAlign w:val="center"/>
          </w:tcPr>
          <w:p w14:paraId="48834611" w14:textId="77777777" w:rsidR="00A052DC" w:rsidRDefault="009F0A60" w:rsidP="003C405E">
            <w:pPr>
              <w:pStyle w:val="B"/>
            </w:pPr>
            <w:r>
              <w:t>228025</w:t>
            </w:r>
          </w:p>
        </w:tc>
        <w:tc>
          <w:tcPr>
            <w:tcW w:w="2526" w:type="dxa"/>
            <w:tcBorders>
              <w:top w:val="single" w:sz="4" w:space="0" w:color="auto"/>
              <w:left w:val="single" w:sz="4" w:space="0" w:color="auto"/>
              <w:bottom w:val="single" w:sz="4" w:space="0" w:color="auto"/>
              <w:right w:val="single" w:sz="4" w:space="0" w:color="auto"/>
            </w:tcBorders>
            <w:vAlign w:val="center"/>
          </w:tcPr>
          <w:p w14:paraId="6F23C76D" w14:textId="77777777" w:rsidR="00A052DC" w:rsidRDefault="009F0A60" w:rsidP="003C405E">
            <w:pPr>
              <w:pStyle w:val="B"/>
            </w:pPr>
            <w:r>
              <w:rPr>
                <w:rFonts w:hint="eastAsia"/>
              </w:rPr>
              <w:t>展会服务</w:t>
            </w:r>
          </w:p>
        </w:tc>
      </w:tr>
      <w:tr w:rsidR="00A052DC" w14:paraId="1CDA6536" w14:textId="77777777" w:rsidTr="00653B9C">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14:paraId="71437A88" w14:textId="77777777" w:rsidR="00A052DC" w:rsidRDefault="009F0A60" w:rsidP="003C405E">
            <w:pPr>
              <w:pStyle w:val="B"/>
            </w:pPr>
            <w:r>
              <w:t>228026</w:t>
            </w:r>
          </w:p>
        </w:tc>
        <w:tc>
          <w:tcPr>
            <w:tcW w:w="3594" w:type="dxa"/>
            <w:tcBorders>
              <w:top w:val="single" w:sz="4" w:space="0" w:color="auto"/>
              <w:left w:val="single" w:sz="4" w:space="0" w:color="auto"/>
              <w:bottom w:val="single" w:sz="4" w:space="0" w:color="auto"/>
              <w:right w:val="single" w:sz="4" w:space="0" w:color="auto"/>
            </w:tcBorders>
            <w:vAlign w:val="center"/>
          </w:tcPr>
          <w:p w14:paraId="44C09D5B" w14:textId="77777777" w:rsidR="00A052DC" w:rsidRDefault="009F0A60" w:rsidP="003C405E">
            <w:pPr>
              <w:pStyle w:val="B"/>
            </w:pPr>
            <w:r>
              <w:rPr>
                <w:rFonts w:hint="eastAsia"/>
              </w:rPr>
              <w:t>市场调查、民意测验服务</w:t>
            </w:r>
          </w:p>
        </w:tc>
        <w:tc>
          <w:tcPr>
            <w:tcW w:w="1276" w:type="dxa"/>
            <w:tcBorders>
              <w:top w:val="single" w:sz="4" w:space="0" w:color="auto"/>
              <w:left w:val="single" w:sz="4" w:space="0" w:color="auto"/>
              <w:bottom w:val="single" w:sz="4" w:space="0" w:color="auto"/>
              <w:right w:val="single" w:sz="4" w:space="0" w:color="auto"/>
            </w:tcBorders>
            <w:vAlign w:val="center"/>
          </w:tcPr>
          <w:p w14:paraId="2C617FE8" w14:textId="77777777" w:rsidR="00A052DC" w:rsidRDefault="009F0A60" w:rsidP="003C405E">
            <w:pPr>
              <w:pStyle w:val="B"/>
            </w:pPr>
            <w:r>
              <w:t>228026</w:t>
            </w:r>
          </w:p>
        </w:tc>
        <w:tc>
          <w:tcPr>
            <w:tcW w:w="2526" w:type="dxa"/>
            <w:tcBorders>
              <w:top w:val="single" w:sz="4" w:space="0" w:color="auto"/>
              <w:left w:val="single" w:sz="4" w:space="0" w:color="auto"/>
              <w:bottom w:val="single" w:sz="4" w:space="0" w:color="auto"/>
              <w:right w:val="single" w:sz="4" w:space="0" w:color="auto"/>
            </w:tcBorders>
            <w:vAlign w:val="center"/>
          </w:tcPr>
          <w:p w14:paraId="3374A493" w14:textId="77777777" w:rsidR="00A052DC" w:rsidRDefault="009F0A60" w:rsidP="003C405E">
            <w:pPr>
              <w:pStyle w:val="B"/>
            </w:pPr>
            <w:r>
              <w:rPr>
                <w:rFonts w:hint="eastAsia"/>
              </w:rPr>
              <w:t>市场调查、民意测验服务</w:t>
            </w:r>
          </w:p>
        </w:tc>
      </w:tr>
      <w:tr w:rsidR="00A052DC" w14:paraId="6C13E5A3" w14:textId="77777777" w:rsidTr="00653B9C">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14:paraId="016978E0" w14:textId="77777777" w:rsidR="00A052DC" w:rsidRDefault="00A052DC" w:rsidP="003C405E">
            <w:pPr>
              <w:pStyle w:val="B"/>
            </w:pPr>
          </w:p>
        </w:tc>
        <w:tc>
          <w:tcPr>
            <w:tcW w:w="3594" w:type="dxa"/>
            <w:tcBorders>
              <w:top w:val="single" w:sz="4" w:space="0" w:color="auto"/>
              <w:left w:val="single" w:sz="4" w:space="0" w:color="auto"/>
              <w:bottom w:val="single" w:sz="4" w:space="0" w:color="auto"/>
              <w:right w:val="single" w:sz="4" w:space="0" w:color="auto"/>
            </w:tcBorders>
            <w:vAlign w:val="center"/>
          </w:tcPr>
          <w:p w14:paraId="464EDBF4" w14:textId="77777777" w:rsidR="00A052DC" w:rsidRDefault="009F0A60" w:rsidP="003C405E">
            <w:pPr>
              <w:pStyle w:val="B"/>
            </w:pPr>
            <w:r>
              <w:rPr>
                <w:rFonts w:hint="eastAsia"/>
              </w:rPr>
              <w:t>技术服务</w:t>
            </w:r>
          </w:p>
        </w:tc>
        <w:tc>
          <w:tcPr>
            <w:tcW w:w="1276" w:type="dxa"/>
            <w:tcBorders>
              <w:top w:val="single" w:sz="4" w:space="0" w:color="auto"/>
              <w:left w:val="single" w:sz="4" w:space="0" w:color="auto"/>
              <w:bottom w:val="single" w:sz="4" w:space="0" w:color="auto"/>
              <w:right w:val="single" w:sz="4" w:space="0" w:color="auto"/>
            </w:tcBorders>
            <w:vAlign w:val="center"/>
          </w:tcPr>
          <w:p w14:paraId="5A58EA6B" w14:textId="77777777" w:rsidR="00A052DC" w:rsidRDefault="00A052DC" w:rsidP="003C405E">
            <w:pPr>
              <w:pStyle w:val="B"/>
            </w:pPr>
          </w:p>
        </w:tc>
        <w:tc>
          <w:tcPr>
            <w:tcW w:w="2526" w:type="dxa"/>
            <w:tcBorders>
              <w:top w:val="single" w:sz="4" w:space="0" w:color="auto"/>
              <w:left w:val="single" w:sz="4" w:space="0" w:color="auto"/>
              <w:bottom w:val="single" w:sz="4" w:space="0" w:color="auto"/>
              <w:right w:val="single" w:sz="4" w:space="0" w:color="auto"/>
            </w:tcBorders>
            <w:vAlign w:val="center"/>
          </w:tcPr>
          <w:p w14:paraId="2025FAD1" w14:textId="77777777" w:rsidR="00A052DC" w:rsidRDefault="00A052DC" w:rsidP="003C405E">
            <w:pPr>
              <w:pStyle w:val="B"/>
            </w:pPr>
          </w:p>
        </w:tc>
      </w:tr>
      <w:tr w:rsidR="00A052DC" w14:paraId="48D1AB95" w14:textId="77777777" w:rsidTr="00653B9C">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14:paraId="525D8384" w14:textId="77777777" w:rsidR="00A052DC" w:rsidRDefault="009F0A60" w:rsidP="003C405E">
            <w:pPr>
              <w:pStyle w:val="B"/>
            </w:pPr>
            <w:r>
              <w:t>228031</w:t>
            </w:r>
          </w:p>
        </w:tc>
        <w:tc>
          <w:tcPr>
            <w:tcW w:w="3594" w:type="dxa"/>
            <w:tcBorders>
              <w:top w:val="single" w:sz="4" w:space="0" w:color="auto"/>
              <w:left w:val="single" w:sz="4" w:space="0" w:color="auto"/>
              <w:bottom w:val="single" w:sz="4" w:space="0" w:color="auto"/>
              <w:right w:val="single" w:sz="4" w:space="0" w:color="auto"/>
            </w:tcBorders>
            <w:vAlign w:val="center"/>
          </w:tcPr>
          <w:p w14:paraId="688B4EF8" w14:textId="77777777" w:rsidR="00A052DC" w:rsidRDefault="009F0A60" w:rsidP="003C405E">
            <w:pPr>
              <w:pStyle w:val="B"/>
            </w:pPr>
            <w:r>
              <w:rPr>
                <w:rFonts w:hint="eastAsia"/>
              </w:rPr>
              <w:t>建筑、工程技术服务</w:t>
            </w:r>
          </w:p>
        </w:tc>
        <w:tc>
          <w:tcPr>
            <w:tcW w:w="1276" w:type="dxa"/>
            <w:tcBorders>
              <w:top w:val="single" w:sz="4" w:space="0" w:color="auto"/>
              <w:left w:val="single" w:sz="4" w:space="0" w:color="auto"/>
              <w:bottom w:val="single" w:sz="4" w:space="0" w:color="auto"/>
              <w:right w:val="single" w:sz="4" w:space="0" w:color="auto"/>
            </w:tcBorders>
            <w:vAlign w:val="center"/>
          </w:tcPr>
          <w:p w14:paraId="43616F23" w14:textId="77777777" w:rsidR="00A052DC" w:rsidRDefault="009F0A60" w:rsidP="003C405E">
            <w:pPr>
              <w:pStyle w:val="B"/>
            </w:pPr>
            <w:r>
              <w:t>228031</w:t>
            </w:r>
          </w:p>
        </w:tc>
        <w:tc>
          <w:tcPr>
            <w:tcW w:w="2526" w:type="dxa"/>
            <w:tcBorders>
              <w:top w:val="single" w:sz="4" w:space="0" w:color="auto"/>
              <w:left w:val="single" w:sz="4" w:space="0" w:color="auto"/>
              <w:bottom w:val="single" w:sz="4" w:space="0" w:color="auto"/>
              <w:right w:val="single" w:sz="4" w:space="0" w:color="auto"/>
            </w:tcBorders>
            <w:vAlign w:val="center"/>
          </w:tcPr>
          <w:p w14:paraId="0BF172E6" w14:textId="77777777" w:rsidR="00A052DC" w:rsidRDefault="009F0A60" w:rsidP="003C405E">
            <w:pPr>
              <w:pStyle w:val="B"/>
            </w:pPr>
            <w:r>
              <w:rPr>
                <w:rFonts w:hint="eastAsia"/>
              </w:rPr>
              <w:t>建筑、工程技术服务</w:t>
            </w:r>
          </w:p>
        </w:tc>
      </w:tr>
      <w:tr w:rsidR="00A052DC" w14:paraId="24817840" w14:textId="77777777" w:rsidTr="00653B9C">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14:paraId="2EB05EA7" w14:textId="77777777" w:rsidR="00A052DC" w:rsidRDefault="009F0A60" w:rsidP="003C405E">
            <w:pPr>
              <w:pStyle w:val="B"/>
            </w:pPr>
            <w:r>
              <w:t>228032</w:t>
            </w:r>
          </w:p>
        </w:tc>
        <w:tc>
          <w:tcPr>
            <w:tcW w:w="3594" w:type="dxa"/>
            <w:tcBorders>
              <w:top w:val="single" w:sz="4" w:space="0" w:color="auto"/>
              <w:left w:val="single" w:sz="4" w:space="0" w:color="auto"/>
              <w:bottom w:val="single" w:sz="4" w:space="0" w:color="auto"/>
              <w:right w:val="single" w:sz="4" w:space="0" w:color="auto"/>
            </w:tcBorders>
            <w:vAlign w:val="center"/>
          </w:tcPr>
          <w:p w14:paraId="3F2BF93F" w14:textId="77777777" w:rsidR="00A052DC" w:rsidRDefault="009F0A60" w:rsidP="003C405E">
            <w:pPr>
              <w:pStyle w:val="B"/>
            </w:pPr>
            <w:r>
              <w:rPr>
                <w:rFonts w:hint="eastAsia"/>
              </w:rPr>
              <w:t>废物处理和防止污染服务</w:t>
            </w:r>
          </w:p>
        </w:tc>
        <w:tc>
          <w:tcPr>
            <w:tcW w:w="1276" w:type="dxa"/>
            <w:tcBorders>
              <w:top w:val="single" w:sz="4" w:space="0" w:color="auto"/>
              <w:left w:val="single" w:sz="4" w:space="0" w:color="auto"/>
              <w:bottom w:val="single" w:sz="4" w:space="0" w:color="auto"/>
              <w:right w:val="single" w:sz="4" w:space="0" w:color="auto"/>
            </w:tcBorders>
            <w:vAlign w:val="center"/>
          </w:tcPr>
          <w:p w14:paraId="1505B1CB" w14:textId="77777777" w:rsidR="00A052DC" w:rsidRDefault="009F0A60" w:rsidP="003C405E">
            <w:pPr>
              <w:pStyle w:val="B"/>
            </w:pPr>
            <w:r>
              <w:t>228032</w:t>
            </w:r>
          </w:p>
        </w:tc>
        <w:tc>
          <w:tcPr>
            <w:tcW w:w="2526" w:type="dxa"/>
            <w:tcBorders>
              <w:top w:val="single" w:sz="4" w:space="0" w:color="auto"/>
              <w:left w:val="single" w:sz="4" w:space="0" w:color="auto"/>
              <w:bottom w:val="single" w:sz="4" w:space="0" w:color="auto"/>
              <w:right w:val="single" w:sz="4" w:space="0" w:color="auto"/>
            </w:tcBorders>
            <w:vAlign w:val="center"/>
          </w:tcPr>
          <w:p w14:paraId="16826C4D" w14:textId="77777777" w:rsidR="00A052DC" w:rsidRDefault="009F0A60" w:rsidP="003C405E">
            <w:pPr>
              <w:pStyle w:val="B"/>
            </w:pPr>
            <w:r>
              <w:rPr>
                <w:rFonts w:hint="eastAsia"/>
              </w:rPr>
              <w:t>废物处理和防止污染服务</w:t>
            </w:r>
          </w:p>
        </w:tc>
      </w:tr>
      <w:tr w:rsidR="00A052DC" w14:paraId="772FAA0A" w14:textId="77777777" w:rsidTr="00653B9C">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14:paraId="15EF0485" w14:textId="77777777" w:rsidR="00A052DC" w:rsidRDefault="009F0A60" w:rsidP="003C405E">
            <w:pPr>
              <w:pStyle w:val="B"/>
            </w:pPr>
            <w:r>
              <w:t>228033</w:t>
            </w:r>
          </w:p>
        </w:tc>
        <w:tc>
          <w:tcPr>
            <w:tcW w:w="3594" w:type="dxa"/>
            <w:tcBorders>
              <w:top w:val="single" w:sz="4" w:space="0" w:color="auto"/>
              <w:left w:val="single" w:sz="4" w:space="0" w:color="auto"/>
              <w:bottom w:val="single" w:sz="4" w:space="0" w:color="auto"/>
              <w:right w:val="single" w:sz="4" w:space="0" w:color="auto"/>
            </w:tcBorders>
            <w:vAlign w:val="center"/>
          </w:tcPr>
          <w:p w14:paraId="0D8D30EB" w14:textId="77777777" w:rsidR="00A052DC" w:rsidRDefault="009F0A60" w:rsidP="003C405E">
            <w:pPr>
              <w:pStyle w:val="B"/>
            </w:pPr>
            <w:r>
              <w:rPr>
                <w:rFonts w:hint="eastAsia"/>
              </w:rPr>
              <w:t>农业和采矿服务</w:t>
            </w:r>
          </w:p>
        </w:tc>
        <w:tc>
          <w:tcPr>
            <w:tcW w:w="1276" w:type="dxa"/>
            <w:tcBorders>
              <w:top w:val="single" w:sz="4" w:space="0" w:color="auto"/>
              <w:left w:val="single" w:sz="4" w:space="0" w:color="auto"/>
              <w:bottom w:val="single" w:sz="4" w:space="0" w:color="auto"/>
              <w:right w:val="single" w:sz="4" w:space="0" w:color="auto"/>
            </w:tcBorders>
            <w:vAlign w:val="center"/>
          </w:tcPr>
          <w:p w14:paraId="7C9A6F99" w14:textId="77777777" w:rsidR="00A052DC" w:rsidRDefault="009F0A60" w:rsidP="003C405E">
            <w:pPr>
              <w:pStyle w:val="B"/>
            </w:pPr>
            <w:r>
              <w:t>228033</w:t>
            </w:r>
          </w:p>
        </w:tc>
        <w:tc>
          <w:tcPr>
            <w:tcW w:w="2526" w:type="dxa"/>
            <w:tcBorders>
              <w:top w:val="single" w:sz="4" w:space="0" w:color="auto"/>
              <w:left w:val="single" w:sz="4" w:space="0" w:color="auto"/>
              <w:bottom w:val="single" w:sz="4" w:space="0" w:color="auto"/>
              <w:right w:val="single" w:sz="4" w:space="0" w:color="auto"/>
            </w:tcBorders>
            <w:vAlign w:val="center"/>
          </w:tcPr>
          <w:p w14:paraId="4BB844AE" w14:textId="77777777" w:rsidR="00A052DC" w:rsidRDefault="009F0A60" w:rsidP="003C405E">
            <w:pPr>
              <w:pStyle w:val="B"/>
            </w:pPr>
            <w:r>
              <w:rPr>
                <w:rFonts w:hint="eastAsia"/>
              </w:rPr>
              <w:t>农业和采矿服务</w:t>
            </w:r>
          </w:p>
        </w:tc>
      </w:tr>
      <w:tr w:rsidR="00A052DC" w14:paraId="575E011C" w14:textId="77777777" w:rsidTr="00653B9C">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14:paraId="7A9B31DF" w14:textId="77777777" w:rsidR="00A052DC" w:rsidRDefault="009F0A60" w:rsidP="003C405E">
            <w:pPr>
              <w:pStyle w:val="B"/>
            </w:pPr>
            <w:r>
              <w:t>228039</w:t>
            </w:r>
          </w:p>
        </w:tc>
        <w:tc>
          <w:tcPr>
            <w:tcW w:w="3594" w:type="dxa"/>
            <w:tcBorders>
              <w:top w:val="single" w:sz="4" w:space="0" w:color="auto"/>
              <w:left w:val="single" w:sz="4" w:space="0" w:color="auto"/>
              <w:bottom w:val="single" w:sz="4" w:space="0" w:color="auto"/>
              <w:right w:val="single" w:sz="4" w:space="0" w:color="auto"/>
            </w:tcBorders>
            <w:vAlign w:val="center"/>
          </w:tcPr>
          <w:p w14:paraId="2ED53C1D" w14:textId="77777777" w:rsidR="00A052DC" w:rsidRDefault="009F0A60" w:rsidP="003C405E">
            <w:pPr>
              <w:pStyle w:val="B"/>
            </w:pPr>
            <w:r>
              <w:rPr>
                <w:rFonts w:hint="eastAsia"/>
              </w:rPr>
              <w:t>其他技术服务</w:t>
            </w:r>
          </w:p>
        </w:tc>
        <w:tc>
          <w:tcPr>
            <w:tcW w:w="1276" w:type="dxa"/>
            <w:tcBorders>
              <w:top w:val="single" w:sz="4" w:space="0" w:color="auto"/>
              <w:left w:val="single" w:sz="4" w:space="0" w:color="auto"/>
              <w:bottom w:val="single" w:sz="4" w:space="0" w:color="auto"/>
              <w:right w:val="single" w:sz="4" w:space="0" w:color="auto"/>
            </w:tcBorders>
            <w:vAlign w:val="center"/>
          </w:tcPr>
          <w:p w14:paraId="456FE101" w14:textId="77777777" w:rsidR="00A052DC" w:rsidRDefault="009F0A60" w:rsidP="003C405E">
            <w:pPr>
              <w:pStyle w:val="B"/>
            </w:pPr>
            <w:r>
              <w:t>228039</w:t>
            </w:r>
          </w:p>
        </w:tc>
        <w:tc>
          <w:tcPr>
            <w:tcW w:w="2526" w:type="dxa"/>
            <w:tcBorders>
              <w:top w:val="single" w:sz="4" w:space="0" w:color="auto"/>
              <w:left w:val="single" w:sz="4" w:space="0" w:color="auto"/>
              <w:bottom w:val="single" w:sz="4" w:space="0" w:color="auto"/>
              <w:right w:val="single" w:sz="4" w:space="0" w:color="auto"/>
            </w:tcBorders>
            <w:vAlign w:val="center"/>
          </w:tcPr>
          <w:p w14:paraId="7017AD3D" w14:textId="77777777" w:rsidR="00A052DC" w:rsidRDefault="009F0A60" w:rsidP="003C405E">
            <w:pPr>
              <w:pStyle w:val="B"/>
            </w:pPr>
            <w:r>
              <w:rPr>
                <w:rFonts w:hint="eastAsia"/>
              </w:rPr>
              <w:t>其他技术服务</w:t>
            </w:r>
          </w:p>
        </w:tc>
      </w:tr>
      <w:tr w:rsidR="00A052DC" w14:paraId="423FB8CB" w14:textId="77777777" w:rsidTr="00653B9C">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14:paraId="4C5D6411" w14:textId="77777777" w:rsidR="00A052DC" w:rsidRDefault="009F0A60" w:rsidP="003C405E">
            <w:pPr>
              <w:pStyle w:val="B"/>
            </w:pPr>
            <w:r>
              <w:t>228040</w:t>
            </w:r>
          </w:p>
        </w:tc>
        <w:tc>
          <w:tcPr>
            <w:tcW w:w="3594" w:type="dxa"/>
            <w:tcBorders>
              <w:top w:val="single" w:sz="4" w:space="0" w:color="auto"/>
              <w:left w:val="single" w:sz="4" w:space="0" w:color="auto"/>
              <w:bottom w:val="single" w:sz="4" w:space="0" w:color="auto"/>
              <w:right w:val="single" w:sz="4" w:space="0" w:color="auto"/>
            </w:tcBorders>
            <w:vAlign w:val="center"/>
          </w:tcPr>
          <w:p w14:paraId="35D4B24C" w14:textId="77777777" w:rsidR="00A052DC" w:rsidRDefault="009F0A60" w:rsidP="003C405E">
            <w:pPr>
              <w:pStyle w:val="B"/>
            </w:pPr>
            <w:r>
              <w:rPr>
                <w:rFonts w:hint="eastAsia"/>
              </w:rPr>
              <w:t>经营性租赁服务</w:t>
            </w:r>
          </w:p>
        </w:tc>
        <w:tc>
          <w:tcPr>
            <w:tcW w:w="1276" w:type="dxa"/>
            <w:tcBorders>
              <w:top w:val="single" w:sz="4" w:space="0" w:color="auto"/>
              <w:left w:val="single" w:sz="4" w:space="0" w:color="auto"/>
              <w:bottom w:val="single" w:sz="4" w:space="0" w:color="auto"/>
              <w:right w:val="single" w:sz="4" w:space="0" w:color="auto"/>
            </w:tcBorders>
            <w:vAlign w:val="center"/>
          </w:tcPr>
          <w:p w14:paraId="3BC8EA72" w14:textId="77777777" w:rsidR="00A052DC" w:rsidRDefault="009F0A60" w:rsidP="003C405E">
            <w:pPr>
              <w:pStyle w:val="B"/>
            </w:pPr>
            <w:r>
              <w:t>228040</w:t>
            </w:r>
          </w:p>
        </w:tc>
        <w:tc>
          <w:tcPr>
            <w:tcW w:w="2526" w:type="dxa"/>
            <w:tcBorders>
              <w:top w:val="single" w:sz="4" w:space="0" w:color="auto"/>
              <w:left w:val="single" w:sz="4" w:space="0" w:color="auto"/>
              <w:bottom w:val="single" w:sz="4" w:space="0" w:color="auto"/>
              <w:right w:val="single" w:sz="4" w:space="0" w:color="auto"/>
            </w:tcBorders>
            <w:vAlign w:val="center"/>
          </w:tcPr>
          <w:p w14:paraId="25D6F347" w14:textId="77777777" w:rsidR="00A052DC" w:rsidRDefault="009F0A60" w:rsidP="003C405E">
            <w:pPr>
              <w:pStyle w:val="B"/>
            </w:pPr>
            <w:r>
              <w:rPr>
                <w:rFonts w:hint="eastAsia"/>
              </w:rPr>
              <w:t>经营性租赁服务</w:t>
            </w:r>
          </w:p>
        </w:tc>
      </w:tr>
      <w:tr w:rsidR="00A052DC" w14:paraId="1FCAABC4" w14:textId="77777777" w:rsidTr="00653B9C">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14:paraId="21A120F6" w14:textId="77777777" w:rsidR="00A052DC" w:rsidRDefault="009F0A60" w:rsidP="003C405E">
            <w:pPr>
              <w:pStyle w:val="B"/>
            </w:pPr>
            <w:r>
              <w:t>228050</w:t>
            </w:r>
          </w:p>
        </w:tc>
        <w:tc>
          <w:tcPr>
            <w:tcW w:w="3594" w:type="dxa"/>
            <w:tcBorders>
              <w:top w:val="single" w:sz="4" w:space="0" w:color="auto"/>
              <w:left w:val="single" w:sz="4" w:space="0" w:color="auto"/>
              <w:bottom w:val="single" w:sz="4" w:space="0" w:color="auto"/>
              <w:right w:val="single" w:sz="4" w:space="0" w:color="auto"/>
            </w:tcBorders>
            <w:vAlign w:val="center"/>
          </w:tcPr>
          <w:p w14:paraId="3D7A2F58" w14:textId="77777777" w:rsidR="00A052DC" w:rsidRDefault="009F0A60" w:rsidP="003C405E">
            <w:pPr>
              <w:pStyle w:val="B"/>
            </w:pPr>
            <w:r>
              <w:rPr>
                <w:rFonts w:hint="eastAsia"/>
              </w:rPr>
              <w:t>货物或服务交易佣金及相关服务</w:t>
            </w:r>
          </w:p>
        </w:tc>
        <w:tc>
          <w:tcPr>
            <w:tcW w:w="1276" w:type="dxa"/>
            <w:tcBorders>
              <w:top w:val="single" w:sz="4" w:space="0" w:color="auto"/>
              <w:left w:val="single" w:sz="4" w:space="0" w:color="auto"/>
              <w:bottom w:val="single" w:sz="4" w:space="0" w:color="auto"/>
              <w:right w:val="single" w:sz="4" w:space="0" w:color="auto"/>
            </w:tcBorders>
            <w:vAlign w:val="center"/>
          </w:tcPr>
          <w:p w14:paraId="137722BB" w14:textId="77777777" w:rsidR="00A052DC" w:rsidRDefault="009F0A60" w:rsidP="003C405E">
            <w:pPr>
              <w:pStyle w:val="B"/>
            </w:pPr>
            <w:r>
              <w:t>228050</w:t>
            </w:r>
          </w:p>
        </w:tc>
        <w:tc>
          <w:tcPr>
            <w:tcW w:w="2526" w:type="dxa"/>
            <w:tcBorders>
              <w:top w:val="single" w:sz="4" w:space="0" w:color="auto"/>
              <w:left w:val="single" w:sz="4" w:space="0" w:color="auto"/>
              <w:bottom w:val="single" w:sz="4" w:space="0" w:color="auto"/>
              <w:right w:val="single" w:sz="4" w:space="0" w:color="auto"/>
            </w:tcBorders>
            <w:vAlign w:val="center"/>
          </w:tcPr>
          <w:p w14:paraId="5C7C18A7" w14:textId="77777777" w:rsidR="00A052DC" w:rsidRDefault="009F0A60" w:rsidP="003C405E">
            <w:pPr>
              <w:pStyle w:val="B"/>
            </w:pPr>
            <w:r>
              <w:rPr>
                <w:rFonts w:hint="eastAsia"/>
              </w:rPr>
              <w:t>货物或服务交易佣金及相关服务</w:t>
            </w:r>
          </w:p>
        </w:tc>
      </w:tr>
      <w:tr w:rsidR="00A052DC" w14:paraId="6CEFC84F" w14:textId="77777777" w:rsidTr="00653B9C">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14:paraId="3D2C43AA" w14:textId="77777777" w:rsidR="00A052DC" w:rsidRDefault="009F0A60" w:rsidP="003C405E">
            <w:pPr>
              <w:pStyle w:val="B"/>
            </w:pPr>
            <w:r>
              <w:t>228060</w:t>
            </w:r>
          </w:p>
        </w:tc>
        <w:tc>
          <w:tcPr>
            <w:tcW w:w="3594" w:type="dxa"/>
            <w:tcBorders>
              <w:top w:val="single" w:sz="4" w:space="0" w:color="auto"/>
              <w:left w:val="single" w:sz="4" w:space="0" w:color="auto"/>
              <w:bottom w:val="single" w:sz="4" w:space="0" w:color="auto"/>
              <w:right w:val="single" w:sz="4" w:space="0" w:color="auto"/>
            </w:tcBorders>
            <w:vAlign w:val="center"/>
          </w:tcPr>
          <w:p w14:paraId="662C92D8" w14:textId="77777777" w:rsidR="00A052DC" w:rsidRDefault="009F0A60" w:rsidP="003C405E">
            <w:pPr>
              <w:pStyle w:val="B"/>
            </w:pPr>
            <w:r>
              <w:rPr>
                <w:rFonts w:hint="eastAsia"/>
              </w:rPr>
              <w:t>办事处、代表处等办公经费</w:t>
            </w:r>
          </w:p>
        </w:tc>
        <w:tc>
          <w:tcPr>
            <w:tcW w:w="1276" w:type="dxa"/>
            <w:tcBorders>
              <w:top w:val="single" w:sz="4" w:space="0" w:color="auto"/>
              <w:left w:val="single" w:sz="4" w:space="0" w:color="auto"/>
              <w:bottom w:val="single" w:sz="4" w:space="0" w:color="auto"/>
              <w:right w:val="single" w:sz="4" w:space="0" w:color="auto"/>
            </w:tcBorders>
            <w:vAlign w:val="center"/>
          </w:tcPr>
          <w:p w14:paraId="570A4A40" w14:textId="77777777" w:rsidR="00A052DC" w:rsidRDefault="009F0A60" w:rsidP="003C405E">
            <w:pPr>
              <w:pStyle w:val="B"/>
            </w:pPr>
            <w:r>
              <w:t>228060</w:t>
            </w:r>
          </w:p>
        </w:tc>
        <w:tc>
          <w:tcPr>
            <w:tcW w:w="2526" w:type="dxa"/>
            <w:tcBorders>
              <w:top w:val="single" w:sz="4" w:space="0" w:color="auto"/>
              <w:left w:val="single" w:sz="4" w:space="0" w:color="auto"/>
              <w:bottom w:val="single" w:sz="4" w:space="0" w:color="auto"/>
              <w:right w:val="single" w:sz="4" w:space="0" w:color="auto"/>
            </w:tcBorders>
            <w:vAlign w:val="center"/>
          </w:tcPr>
          <w:p w14:paraId="40CF54AA" w14:textId="77777777" w:rsidR="00A052DC" w:rsidRDefault="009F0A60" w:rsidP="003C405E">
            <w:pPr>
              <w:pStyle w:val="B"/>
            </w:pPr>
            <w:r>
              <w:rPr>
                <w:rFonts w:hint="eastAsia"/>
              </w:rPr>
              <w:t>办事处、代表处等办公经费</w:t>
            </w:r>
          </w:p>
        </w:tc>
      </w:tr>
      <w:tr w:rsidR="00A052DC" w14:paraId="11D43925" w14:textId="77777777" w:rsidTr="00653B9C">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14:paraId="45E474A3" w14:textId="77777777" w:rsidR="00A052DC" w:rsidRDefault="009F0A60" w:rsidP="003C405E">
            <w:pPr>
              <w:pStyle w:val="B"/>
            </w:pPr>
            <w:r>
              <w:t>228990</w:t>
            </w:r>
          </w:p>
        </w:tc>
        <w:tc>
          <w:tcPr>
            <w:tcW w:w="3594" w:type="dxa"/>
            <w:tcBorders>
              <w:top w:val="single" w:sz="4" w:space="0" w:color="auto"/>
              <w:left w:val="single" w:sz="4" w:space="0" w:color="auto"/>
              <w:bottom w:val="single" w:sz="4" w:space="0" w:color="auto"/>
              <w:right w:val="single" w:sz="4" w:space="0" w:color="auto"/>
            </w:tcBorders>
            <w:vAlign w:val="center"/>
          </w:tcPr>
          <w:p w14:paraId="685B6775" w14:textId="77777777" w:rsidR="00A052DC" w:rsidRDefault="009F0A60" w:rsidP="003C405E">
            <w:pPr>
              <w:pStyle w:val="B"/>
            </w:pPr>
            <w:r>
              <w:rPr>
                <w:rFonts w:hint="eastAsia"/>
              </w:rPr>
              <w:t>上述未提及的其他商业服务</w:t>
            </w:r>
          </w:p>
        </w:tc>
        <w:tc>
          <w:tcPr>
            <w:tcW w:w="1276" w:type="dxa"/>
            <w:tcBorders>
              <w:top w:val="single" w:sz="4" w:space="0" w:color="auto"/>
              <w:left w:val="single" w:sz="4" w:space="0" w:color="auto"/>
              <w:bottom w:val="single" w:sz="4" w:space="0" w:color="auto"/>
              <w:right w:val="single" w:sz="4" w:space="0" w:color="auto"/>
            </w:tcBorders>
            <w:vAlign w:val="center"/>
          </w:tcPr>
          <w:p w14:paraId="159CCFF8" w14:textId="77777777" w:rsidR="00A052DC" w:rsidRDefault="009F0A60" w:rsidP="003C405E">
            <w:pPr>
              <w:pStyle w:val="B"/>
            </w:pPr>
            <w:r>
              <w:t>228990</w:t>
            </w:r>
          </w:p>
        </w:tc>
        <w:tc>
          <w:tcPr>
            <w:tcW w:w="2526" w:type="dxa"/>
            <w:tcBorders>
              <w:top w:val="single" w:sz="4" w:space="0" w:color="auto"/>
              <w:left w:val="single" w:sz="4" w:space="0" w:color="auto"/>
              <w:bottom w:val="single" w:sz="4" w:space="0" w:color="auto"/>
              <w:right w:val="single" w:sz="4" w:space="0" w:color="auto"/>
            </w:tcBorders>
            <w:vAlign w:val="center"/>
          </w:tcPr>
          <w:p w14:paraId="3BE3161D" w14:textId="77777777" w:rsidR="00A052DC" w:rsidRDefault="009F0A60" w:rsidP="003C405E">
            <w:pPr>
              <w:pStyle w:val="B"/>
            </w:pPr>
            <w:r>
              <w:rPr>
                <w:rFonts w:hint="eastAsia"/>
              </w:rPr>
              <w:t>上述未提及的其他商业服务</w:t>
            </w:r>
          </w:p>
        </w:tc>
      </w:tr>
      <w:tr w:rsidR="00A052DC" w14:paraId="0A4FD1F0" w14:textId="77777777" w:rsidTr="00653B9C">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14:paraId="15A0F56B" w14:textId="77777777" w:rsidR="00A052DC" w:rsidRDefault="00A052DC" w:rsidP="003C405E">
            <w:pPr>
              <w:pStyle w:val="B"/>
            </w:pPr>
          </w:p>
        </w:tc>
        <w:tc>
          <w:tcPr>
            <w:tcW w:w="3594" w:type="dxa"/>
            <w:tcBorders>
              <w:top w:val="single" w:sz="4" w:space="0" w:color="auto"/>
              <w:left w:val="single" w:sz="4" w:space="0" w:color="auto"/>
              <w:bottom w:val="single" w:sz="4" w:space="0" w:color="auto"/>
              <w:right w:val="single" w:sz="4" w:space="0" w:color="auto"/>
            </w:tcBorders>
            <w:vAlign w:val="center"/>
          </w:tcPr>
          <w:p w14:paraId="5AF3CD75" w14:textId="77777777" w:rsidR="00A052DC" w:rsidRDefault="009F0A60" w:rsidP="003C405E">
            <w:pPr>
              <w:pStyle w:val="B"/>
            </w:pPr>
            <w:r>
              <w:rPr>
                <w:rFonts w:hint="eastAsia"/>
              </w:rPr>
              <w:t>文化和娱乐服务</w:t>
            </w:r>
          </w:p>
        </w:tc>
        <w:tc>
          <w:tcPr>
            <w:tcW w:w="1276" w:type="dxa"/>
            <w:tcBorders>
              <w:top w:val="single" w:sz="4" w:space="0" w:color="auto"/>
              <w:left w:val="single" w:sz="4" w:space="0" w:color="auto"/>
              <w:bottom w:val="single" w:sz="4" w:space="0" w:color="auto"/>
              <w:right w:val="single" w:sz="4" w:space="0" w:color="auto"/>
            </w:tcBorders>
            <w:vAlign w:val="center"/>
          </w:tcPr>
          <w:p w14:paraId="561DD533" w14:textId="77777777" w:rsidR="00A052DC" w:rsidRDefault="00A052DC" w:rsidP="003C405E">
            <w:pPr>
              <w:pStyle w:val="B"/>
            </w:pPr>
          </w:p>
        </w:tc>
        <w:tc>
          <w:tcPr>
            <w:tcW w:w="2526" w:type="dxa"/>
            <w:tcBorders>
              <w:top w:val="single" w:sz="4" w:space="0" w:color="auto"/>
              <w:left w:val="single" w:sz="4" w:space="0" w:color="auto"/>
              <w:bottom w:val="single" w:sz="4" w:space="0" w:color="auto"/>
              <w:right w:val="single" w:sz="4" w:space="0" w:color="auto"/>
            </w:tcBorders>
            <w:vAlign w:val="center"/>
          </w:tcPr>
          <w:p w14:paraId="5188DB3F" w14:textId="77777777" w:rsidR="00A052DC" w:rsidRDefault="00A052DC" w:rsidP="003C405E">
            <w:pPr>
              <w:pStyle w:val="B"/>
            </w:pPr>
          </w:p>
        </w:tc>
      </w:tr>
      <w:tr w:rsidR="00A052DC" w14:paraId="5A0DEFEE" w14:textId="77777777" w:rsidTr="00653B9C">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14:paraId="333593B1" w14:textId="77777777" w:rsidR="00A052DC" w:rsidRDefault="009F0A60" w:rsidP="003C405E">
            <w:pPr>
              <w:pStyle w:val="B"/>
            </w:pPr>
            <w:r>
              <w:t>229010</w:t>
            </w:r>
          </w:p>
        </w:tc>
        <w:tc>
          <w:tcPr>
            <w:tcW w:w="3594" w:type="dxa"/>
            <w:tcBorders>
              <w:top w:val="single" w:sz="4" w:space="0" w:color="auto"/>
              <w:left w:val="single" w:sz="4" w:space="0" w:color="auto"/>
              <w:bottom w:val="single" w:sz="4" w:space="0" w:color="auto"/>
              <w:right w:val="single" w:sz="4" w:space="0" w:color="auto"/>
            </w:tcBorders>
            <w:vAlign w:val="center"/>
          </w:tcPr>
          <w:p w14:paraId="296FCD49" w14:textId="77777777" w:rsidR="00A052DC" w:rsidRDefault="009F0A60" w:rsidP="003C405E">
            <w:pPr>
              <w:pStyle w:val="B"/>
            </w:pPr>
            <w:r>
              <w:rPr>
                <w:rFonts w:hint="eastAsia"/>
              </w:rPr>
              <w:t>视听和相关服务</w:t>
            </w:r>
          </w:p>
        </w:tc>
        <w:tc>
          <w:tcPr>
            <w:tcW w:w="1276" w:type="dxa"/>
            <w:tcBorders>
              <w:top w:val="single" w:sz="4" w:space="0" w:color="auto"/>
              <w:left w:val="single" w:sz="4" w:space="0" w:color="auto"/>
              <w:bottom w:val="single" w:sz="4" w:space="0" w:color="auto"/>
              <w:right w:val="single" w:sz="4" w:space="0" w:color="auto"/>
            </w:tcBorders>
            <w:vAlign w:val="center"/>
          </w:tcPr>
          <w:p w14:paraId="41233725" w14:textId="77777777" w:rsidR="00A052DC" w:rsidRDefault="009F0A60" w:rsidP="003C405E">
            <w:pPr>
              <w:pStyle w:val="B"/>
            </w:pPr>
            <w:r>
              <w:t>229010</w:t>
            </w:r>
          </w:p>
        </w:tc>
        <w:tc>
          <w:tcPr>
            <w:tcW w:w="2526" w:type="dxa"/>
            <w:tcBorders>
              <w:top w:val="single" w:sz="4" w:space="0" w:color="auto"/>
              <w:left w:val="single" w:sz="4" w:space="0" w:color="auto"/>
              <w:bottom w:val="single" w:sz="4" w:space="0" w:color="auto"/>
              <w:right w:val="single" w:sz="4" w:space="0" w:color="auto"/>
            </w:tcBorders>
            <w:vAlign w:val="center"/>
          </w:tcPr>
          <w:p w14:paraId="7F07672C" w14:textId="77777777" w:rsidR="00A052DC" w:rsidRDefault="009F0A60" w:rsidP="003C405E">
            <w:pPr>
              <w:pStyle w:val="B"/>
            </w:pPr>
            <w:r>
              <w:rPr>
                <w:rFonts w:hint="eastAsia"/>
              </w:rPr>
              <w:t>视听和相关服务</w:t>
            </w:r>
          </w:p>
        </w:tc>
      </w:tr>
      <w:tr w:rsidR="00A052DC" w14:paraId="3FE78C2C" w14:textId="77777777" w:rsidTr="00653B9C">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14:paraId="63BA5B7E" w14:textId="77777777" w:rsidR="00A052DC" w:rsidRDefault="009F0A60" w:rsidP="003C405E">
            <w:pPr>
              <w:pStyle w:val="B"/>
            </w:pPr>
            <w:r>
              <w:t>229020</w:t>
            </w:r>
          </w:p>
        </w:tc>
        <w:tc>
          <w:tcPr>
            <w:tcW w:w="3594" w:type="dxa"/>
            <w:tcBorders>
              <w:top w:val="single" w:sz="4" w:space="0" w:color="auto"/>
              <w:left w:val="single" w:sz="4" w:space="0" w:color="auto"/>
              <w:bottom w:val="single" w:sz="4" w:space="0" w:color="auto"/>
              <w:right w:val="single" w:sz="4" w:space="0" w:color="auto"/>
            </w:tcBorders>
            <w:vAlign w:val="center"/>
          </w:tcPr>
          <w:p w14:paraId="7F54EF66" w14:textId="77777777" w:rsidR="00A052DC" w:rsidRDefault="009F0A60" w:rsidP="003C405E">
            <w:pPr>
              <w:pStyle w:val="B"/>
            </w:pPr>
            <w:r>
              <w:rPr>
                <w:rFonts w:hint="eastAsia"/>
              </w:rPr>
              <w:t>教育服务</w:t>
            </w:r>
          </w:p>
        </w:tc>
        <w:tc>
          <w:tcPr>
            <w:tcW w:w="1276" w:type="dxa"/>
            <w:tcBorders>
              <w:top w:val="single" w:sz="4" w:space="0" w:color="auto"/>
              <w:left w:val="single" w:sz="4" w:space="0" w:color="auto"/>
              <w:bottom w:val="single" w:sz="4" w:space="0" w:color="auto"/>
              <w:right w:val="single" w:sz="4" w:space="0" w:color="auto"/>
            </w:tcBorders>
            <w:vAlign w:val="center"/>
          </w:tcPr>
          <w:p w14:paraId="78711B34" w14:textId="77777777" w:rsidR="00A052DC" w:rsidRDefault="009F0A60" w:rsidP="003C405E">
            <w:pPr>
              <w:pStyle w:val="B"/>
            </w:pPr>
            <w:r>
              <w:t>229020</w:t>
            </w:r>
          </w:p>
        </w:tc>
        <w:tc>
          <w:tcPr>
            <w:tcW w:w="2526" w:type="dxa"/>
            <w:tcBorders>
              <w:top w:val="single" w:sz="4" w:space="0" w:color="auto"/>
              <w:left w:val="single" w:sz="4" w:space="0" w:color="auto"/>
              <w:bottom w:val="single" w:sz="4" w:space="0" w:color="auto"/>
              <w:right w:val="single" w:sz="4" w:space="0" w:color="auto"/>
            </w:tcBorders>
            <w:vAlign w:val="center"/>
          </w:tcPr>
          <w:p w14:paraId="262DA389" w14:textId="77777777" w:rsidR="00A052DC" w:rsidRDefault="009F0A60" w:rsidP="003C405E">
            <w:pPr>
              <w:pStyle w:val="B"/>
            </w:pPr>
            <w:r>
              <w:rPr>
                <w:rFonts w:hint="eastAsia"/>
              </w:rPr>
              <w:t>教育服务</w:t>
            </w:r>
          </w:p>
        </w:tc>
      </w:tr>
      <w:tr w:rsidR="00A052DC" w14:paraId="7E8F6B07" w14:textId="77777777" w:rsidTr="00653B9C">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14:paraId="30F93FD0" w14:textId="77777777" w:rsidR="00A052DC" w:rsidRDefault="009F0A60" w:rsidP="003C405E">
            <w:pPr>
              <w:pStyle w:val="B"/>
            </w:pPr>
            <w:r>
              <w:t>229030</w:t>
            </w:r>
          </w:p>
        </w:tc>
        <w:tc>
          <w:tcPr>
            <w:tcW w:w="3594" w:type="dxa"/>
            <w:tcBorders>
              <w:top w:val="single" w:sz="4" w:space="0" w:color="auto"/>
              <w:left w:val="single" w:sz="4" w:space="0" w:color="auto"/>
              <w:bottom w:val="single" w:sz="4" w:space="0" w:color="auto"/>
              <w:right w:val="single" w:sz="4" w:space="0" w:color="auto"/>
            </w:tcBorders>
            <w:vAlign w:val="center"/>
          </w:tcPr>
          <w:p w14:paraId="6511E182" w14:textId="77777777" w:rsidR="00A052DC" w:rsidRDefault="009F0A60" w:rsidP="003C405E">
            <w:pPr>
              <w:pStyle w:val="B"/>
            </w:pPr>
            <w:r>
              <w:rPr>
                <w:rFonts w:hint="eastAsia"/>
              </w:rPr>
              <w:t>医疗服务</w:t>
            </w:r>
          </w:p>
        </w:tc>
        <w:tc>
          <w:tcPr>
            <w:tcW w:w="1276" w:type="dxa"/>
            <w:tcBorders>
              <w:top w:val="single" w:sz="4" w:space="0" w:color="auto"/>
              <w:left w:val="single" w:sz="4" w:space="0" w:color="auto"/>
              <w:bottom w:val="single" w:sz="4" w:space="0" w:color="auto"/>
              <w:right w:val="single" w:sz="4" w:space="0" w:color="auto"/>
            </w:tcBorders>
            <w:vAlign w:val="center"/>
          </w:tcPr>
          <w:p w14:paraId="7A0514FC" w14:textId="77777777" w:rsidR="00A052DC" w:rsidRDefault="009F0A60" w:rsidP="003C405E">
            <w:pPr>
              <w:pStyle w:val="B"/>
            </w:pPr>
            <w:r>
              <w:t>229030</w:t>
            </w:r>
          </w:p>
        </w:tc>
        <w:tc>
          <w:tcPr>
            <w:tcW w:w="2526" w:type="dxa"/>
            <w:tcBorders>
              <w:top w:val="single" w:sz="4" w:space="0" w:color="auto"/>
              <w:left w:val="single" w:sz="4" w:space="0" w:color="auto"/>
              <w:bottom w:val="single" w:sz="4" w:space="0" w:color="auto"/>
              <w:right w:val="single" w:sz="4" w:space="0" w:color="auto"/>
            </w:tcBorders>
            <w:vAlign w:val="center"/>
          </w:tcPr>
          <w:p w14:paraId="300302CE" w14:textId="77777777" w:rsidR="00A052DC" w:rsidRDefault="009F0A60" w:rsidP="003C405E">
            <w:pPr>
              <w:pStyle w:val="B"/>
            </w:pPr>
            <w:r>
              <w:rPr>
                <w:rFonts w:hint="eastAsia"/>
              </w:rPr>
              <w:t>医疗服务</w:t>
            </w:r>
          </w:p>
        </w:tc>
      </w:tr>
      <w:tr w:rsidR="00A052DC" w14:paraId="663782B5" w14:textId="77777777" w:rsidTr="00653B9C">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14:paraId="5F09F5B6" w14:textId="77777777" w:rsidR="00A052DC" w:rsidRDefault="009F0A60" w:rsidP="003C405E">
            <w:pPr>
              <w:pStyle w:val="B"/>
            </w:pPr>
            <w:r>
              <w:t>229990</w:t>
            </w:r>
          </w:p>
        </w:tc>
        <w:tc>
          <w:tcPr>
            <w:tcW w:w="3594" w:type="dxa"/>
            <w:tcBorders>
              <w:top w:val="single" w:sz="4" w:space="0" w:color="auto"/>
              <w:left w:val="single" w:sz="4" w:space="0" w:color="auto"/>
              <w:bottom w:val="single" w:sz="4" w:space="0" w:color="auto"/>
              <w:right w:val="single" w:sz="4" w:space="0" w:color="auto"/>
            </w:tcBorders>
            <w:vAlign w:val="center"/>
          </w:tcPr>
          <w:p w14:paraId="1C241EDC" w14:textId="77777777" w:rsidR="00A052DC" w:rsidRDefault="009F0A60" w:rsidP="003C405E">
            <w:pPr>
              <w:pStyle w:val="B"/>
            </w:pPr>
            <w:r>
              <w:rPr>
                <w:rFonts w:hint="eastAsia"/>
              </w:rPr>
              <w:t>其他文化和娱乐服务</w:t>
            </w:r>
          </w:p>
        </w:tc>
        <w:tc>
          <w:tcPr>
            <w:tcW w:w="1276" w:type="dxa"/>
            <w:tcBorders>
              <w:top w:val="single" w:sz="4" w:space="0" w:color="auto"/>
              <w:left w:val="single" w:sz="4" w:space="0" w:color="auto"/>
              <w:bottom w:val="single" w:sz="4" w:space="0" w:color="auto"/>
              <w:right w:val="single" w:sz="4" w:space="0" w:color="auto"/>
            </w:tcBorders>
            <w:vAlign w:val="center"/>
          </w:tcPr>
          <w:p w14:paraId="30C0AC4C" w14:textId="77777777" w:rsidR="00A052DC" w:rsidRDefault="009F0A60" w:rsidP="003C405E">
            <w:pPr>
              <w:pStyle w:val="B"/>
            </w:pPr>
            <w:r>
              <w:t>229990</w:t>
            </w:r>
          </w:p>
        </w:tc>
        <w:tc>
          <w:tcPr>
            <w:tcW w:w="2526" w:type="dxa"/>
            <w:tcBorders>
              <w:top w:val="single" w:sz="4" w:space="0" w:color="auto"/>
              <w:left w:val="single" w:sz="4" w:space="0" w:color="auto"/>
              <w:bottom w:val="single" w:sz="4" w:space="0" w:color="auto"/>
              <w:right w:val="single" w:sz="4" w:space="0" w:color="auto"/>
            </w:tcBorders>
            <w:vAlign w:val="center"/>
          </w:tcPr>
          <w:p w14:paraId="6A9EB94C" w14:textId="77777777" w:rsidR="00A052DC" w:rsidRDefault="009F0A60" w:rsidP="003C405E">
            <w:pPr>
              <w:pStyle w:val="B"/>
            </w:pPr>
            <w:r>
              <w:rPr>
                <w:rFonts w:hint="eastAsia"/>
              </w:rPr>
              <w:t>其他文化和娱乐服务</w:t>
            </w:r>
          </w:p>
        </w:tc>
      </w:tr>
      <w:tr w:rsidR="00A052DC" w14:paraId="6F22E7F2" w14:textId="77777777" w:rsidTr="00653B9C">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14:paraId="7A9E3B62" w14:textId="77777777" w:rsidR="00A052DC" w:rsidRDefault="00A052DC" w:rsidP="003C405E">
            <w:pPr>
              <w:pStyle w:val="B"/>
            </w:pPr>
          </w:p>
        </w:tc>
        <w:tc>
          <w:tcPr>
            <w:tcW w:w="3594" w:type="dxa"/>
            <w:tcBorders>
              <w:top w:val="single" w:sz="4" w:space="0" w:color="auto"/>
              <w:left w:val="single" w:sz="4" w:space="0" w:color="auto"/>
              <w:bottom w:val="single" w:sz="4" w:space="0" w:color="auto"/>
              <w:right w:val="single" w:sz="4" w:space="0" w:color="auto"/>
            </w:tcBorders>
            <w:vAlign w:val="center"/>
          </w:tcPr>
          <w:p w14:paraId="23591271" w14:textId="77777777" w:rsidR="00A052DC" w:rsidRDefault="009F0A60" w:rsidP="003C405E">
            <w:pPr>
              <w:pStyle w:val="B"/>
            </w:pPr>
            <w:r>
              <w:rPr>
                <w:rFonts w:hint="eastAsia"/>
              </w:rPr>
              <w:t>别处未涵盖的维护和维修服务</w:t>
            </w:r>
          </w:p>
        </w:tc>
        <w:tc>
          <w:tcPr>
            <w:tcW w:w="1276" w:type="dxa"/>
            <w:tcBorders>
              <w:top w:val="single" w:sz="4" w:space="0" w:color="auto"/>
              <w:left w:val="single" w:sz="4" w:space="0" w:color="auto"/>
              <w:bottom w:val="single" w:sz="4" w:space="0" w:color="auto"/>
              <w:right w:val="single" w:sz="4" w:space="0" w:color="auto"/>
            </w:tcBorders>
            <w:vAlign w:val="center"/>
          </w:tcPr>
          <w:p w14:paraId="2B254BFF" w14:textId="77777777" w:rsidR="00A052DC" w:rsidRDefault="00A052DC" w:rsidP="003C405E">
            <w:pPr>
              <w:pStyle w:val="B"/>
            </w:pPr>
          </w:p>
        </w:tc>
        <w:tc>
          <w:tcPr>
            <w:tcW w:w="2526" w:type="dxa"/>
            <w:tcBorders>
              <w:top w:val="single" w:sz="4" w:space="0" w:color="auto"/>
              <w:left w:val="single" w:sz="4" w:space="0" w:color="auto"/>
              <w:bottom w:val="single" w:sz="4" w:space="0" w:color="auto"/>
              <w:right w:val="single" w:sz="4" w:space="0" w:color="auto"/>
            </w:tcBorders>
            <w:vAlign w:val="center"/>
          </w:tcPr>
          <w:p w14:paraId="50E15266" w14:textId="77777777" w:rsidR="00A052DC" w:rsidRDefault="00A052DC" w:rsidP="003C405E">
            <w:pPr>
              <w:pStyle w:val="B"/>
            </w:pPr>
          </w:p>
        </w:tc>
      </w:tr>
      <w:tr w:rsidR="00A052DC" w14:paraId="64F23142" w14:textId="77777777" w:rsidTr="00653B9C">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14:paraId="29292767" w14:textId="77777777" w:rsidR="00A052DC" w:rsidRDefault="009F0A60" w:rsidP="003C405E">
            <w:pPr>
              <w:pStyle w:val="B"/>
            </w:pPr>
            <w:r>
              <w:t>230000</w:t>
            </w:r>
          </w:p>
        </w:tc>
        <w:tc>
          <w:tcPr>
            <w:tcW w:w="3594" w:type="dxa"/>
            <w:tcBorders>
              <w:top w:val="single" w:sz="4" w:space="0" w:color="auto"/>
              <w:left w:val="single" w:sz="4" w:space="0" w:color="auto"/>
              <w:bottom w:val="single" w:sz="4" w:space="0" w:color="auto"/>
              <w:right w:val="single" w:sz="4" w:space="0" w:color="auto"/>
            </w:tcBorders>
            <w:vAlign w:val="center"/>
          </w:tcPr>
          <w:p w14:paraId="2AD950E4" w14:textId="77777777" w:rsidR="00A052DC" w:rsidRDefault="009F0A60" w:rsidP="003C405E">
            <w:pPr>
              <w:pStyle w:val="B"/>
            </w:pPr>
            <w:r>
              <w:rPr>
                <w:rFonts w:hint="eastAsia"/>
              </w:rPr>
              <w:t>别处未涵盖的维护和维修服务</w:t>
            </w:r>
          </w:p>
        </w:tc>
        <w:tc>
          <w:tcPr>
            <w:tcW w:w="1276" w:type="dxa"/>
            <w:tcBorders>
              <w:top w:val="single" w:sz="4" w:space="0" w:color="auto"/>
              <w:left w:val="single" w:sz="4" w:space="0" w:color="auto"/>
              <w:bottom w:val="single" w:sz="4" w:space="0" w:color="auto"/>
              <w:right w:val="single" w:sz="4" w:space="0" w:color="auto"/>
            </w:tcBorders>
            <w:vAlign w:val="center"/>
          </w:tcPr>
          <w:p w14:paraId="6E0116B0" w14:textId="77777777" w:rsidR="00A052DC" w:rsidRDefault="009F0A60" w:rsidP="003C405E">
            <w:pPr>
              <w:pStyle w:val="B"/>
            </w:pPr>
            <w:r>
              <w:t>230000</w:t>
            </w:r>
          </w:p>
        </w:tc>
        <w:tc>
          <w:tcPr>
            <w:tcW w:w="2526" w:type="dxa"/>
            <w:tcBorders>
              <w:top w:val="single" w:sz="4" w:space="0" w:color="auto"/>
              <w:left w:val="single" w:sz="4" w:space="0" w:color="auto"/>
              <w:bottom w:val="single" w:sz="4" w:space="0" w:color="auto"/>
              <w:right w:val="single" w:sz="4" w:space="0" w:color="auto"/>
            </w:tcBorders>
            <w:vAlign w:val="center"/>
          </w:tcPr>
          <w:p w14:paraId="3AD0524D" w14:textId="77777777" w:rsidR="00A052DC" w:rsidRDefault="009F0A60" w:rsidP="003C405E">
            <w:pPr>
              <w:pStyle w:val="B"/>
            </w:pPr>
            <w:r>
              <w:rPr>
                <w:rFonts w:hint="eastAsia"/>
              </w:rPr>
              <w:t>别处未涵盖的维护和维修服务</w:t>
            </w:r>
          </w:p>
        </w:tc>
      </w:tr>
      <w:tr w:rsidR="00A052DC" w14:paraId="20FAE402" w14:textId="77777777" w:rsidTr="00653B9C">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14:paraId="3A589049" w14:textId="77777777" w:rsidR="00A052DC" w:rsidRDefault="00A052DC" w:rsidP="003C405E">
            <w:pPr>
              <w:pStyle w:val="B"/>
            </w:pPr>
          </w:p>
        </w:tc>
        <w:tc>
          <w:tcPr>
            <w:tcW w:w="3594" w:type="dxa"/>
            <w:tcBorders>
              <w:top w:val="single" w:sz="4" w:space="0" w:color="auto"/>
              <w:left w:val="single" w:sz="4" w:space="0" w:color="auto"/>
              <w:bottom w:val="single" w:sz="4" w:space="0" w:color="auto"/>
              <w:right w:val="single" w:sz="4" w:space="0" w:color="auto"/>
            </w:tcBorders>
            <w:vAlign w:val="center"/>
          </w:tcPr>
          <w:p w14:paraId="72A41C27" w14:textId="77777777" w:rsidR="00A052DC" w:rsidRDefault="009F0A60" w:rsidP="003C405E">
            <w:pPr>
              <w:pStyle w:val="B"/>
            </w:pPr>
            <w:r>
              <w:rPr>
                <w:rFonts w:hint="eastAsia"/>
              </w:rPr>
              <w:t>别处未涵盖的知识产权使用费</w:t>
            </w:r>
          </w:p>
        </w:tc>
        <w:tc>
          <w:tcPr>
            <w:tcW w:w="1276" w:type="dxa"/>
            <w:tcBorders>
              <w:top w:val="single" w:sz="4" w:space="0" w:color="auto"/>
              <w:left w:val="single" w:sz="4" w:space="0" w:color="auto"/>
              <w:bottom w:val="single" w:sz="4" w:space="0" w:color="auto"/>
              <w:right w:val="single" w:sz="4" w:space="0" w:color="auto"/>
            </w:tcBorders>
            <w:vAlign w:val="center"/>
          </w:tcPr>
          <w:p w14:paraId="1CD909FE" w14:textId="77777777" w:rsidR="00A052DC" w:rsidRDefault="00A052DC" w:rsidP="003C405E">
            <w:pPr>
              <w:pStyle w:val="B"/>
            </w:pPr>
          </w:p>
        </w:tc>
        <w:tc>
          <w:tcPr>
            <w:tcW w:w="2526" w:type="dxa"/>
            <w:tcBorders>
              <w:top w:val="single" w:sz="4" w:space="0" w:color="auto"/>
              <w:left w:val="single" w:sz="4" w:space="0" w:color="auto"/>
              <w:bottom w:val="single" w:sz="4" w:space="0" w:color="auto"/>
              <w:right w:val="single" w:sz="4" w:space="0" w:color="auto"/>
            </w:tcBorders>
            <w:vAlign w:val="center"/>
          </w:tcPr>
          <w:p w14:paraId="4D6118A2" w14:textId="77777777" w:rsidR="00A052DC" w:rsidRDefault="00A052DC" w:rsidP="003C405E">
            <w:pPr>
              <w:pStyle w:val="B"/>
            </w:pPr>
          </w:p>
        </w:tc>
      </w:tr>
      <w:tr w:rsidR="00A052DC" w14:paraId="0A5803BE" w14:textId="77777777" w:rsidTr="00653B9C">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14:paraId="5409DC72" w14:textId="77777777" w:rsidR="00A052DC" w:rsidRDefault="009F0A60" w:rsidP="003C405E">
            <w:pPr>
              <w:pStyle w:val="B"/>
            </w:pPr>
            <w:r>
              <w:t>231010</w:t>
            </w:r>
          </w:p>
        </w:tc>
        <w:tc>
          <w:tcPr>
            <w:tcW w:w="3594" w:type="dxa"/>
            <w:tcBorders>
              <w:top w:val="single" w:sz="4" w:space="0" w:color="auto"/>
              <w:left w:val="single" w:sz="4" w:space="0" w:color="auto"/>
              <w:bottom w:val="single" w:sz="4" w:space="0" w:color="auto"/>
              <w:right w:val="single" w:sz="4" w:space="0" w:color="auto"/>
            </w:tcBorders>
            <w:vAlign w:val="center"/>
          </w:tcPr>
          <w:p w14:paraId="195AD257" w14:textId="77777777" w:rsidR="00A052DC" w:rsidRDefault="009F0A60" w:rsidP="003C405E">
            <w:pPr>
              <w:pStyle w:val="B"/>
            </w:pPr>
            <w:r>
              <w:rPr>
                <w:rFonts w:hint="eastAsia"/>
              </w:rPr>
              <w:t>特许和商标使用费</w:t>
            </w:r>
          </w:p>
        </w:tc>
        <w:tc>
          <w:tcPr>
            <w:tcW w:w="1276" w:type="dxa"/>
            <w:tcBorders>
              <w:top w:val="single" w:sz="4" w:space="0" w:color="auto"/>
              <w:left w:val="single" w:sz="4" w:space="0" w:color="auto"/>
              <w:bottom w:val="single" w:sz="4" w:space="0" w:color="auto"/>
              <w:right w:val="single" w:sz="4" w:space="0" w:color="auto"/>
            </w:tcBorders>
            <w:vAlign w:val="center"/>
          </w:tcPr>
          <w:p w14:paraId="4C440DAD" w14:textId="77777777" w:rsidR="00A052DC" w:rsidRDefault="009F0A60" w:rsidP="003C405E">
            <w:pPr>
              <w:pStyle w:val="B"/>
            </w:pPr>
            <w:r>
              <w:t>231010</w:t>
            </w:r>
          </w:p>
        </w:tc>
        <w:tc>
          <w:tcPr>
            <w:tcW w:w="2526" w:type="dxa"/>
            <w:tcBorders>
              <w:top w:val="single" w:sz="4" w:space="0" w:color="auto"/>
              <w:left w:val="single" w:sz="4" w:space="0" w:color="auto"/>
              <w:bottom w:val="single" w:sz="4" w:space="0" w:color="auto"/>
              <w:right w:val="single" w:sz="4" w:space="0" w:color="auto"/>
            </w:tcBorders>
            <w:vAlign w:val="center"/>
          </w:tcPr>
          <w:p w14:paraId="69CD76EB" w14:textId="77777777" w:rsidR="00A052DC" w:rsidRDefault="009F0A60" w:rsidP="003C405E">
            <w:pPr>
              <w:pStyle w:val="B"/>
            </w:pPr>
            <w:r>
              <w:rPr>
                <w:rFonts w:hint="eastAsia"/>
              </w:rPr>
              <w:t>特许和商标使用费</w:t>
            </w:r>
          </w:p>
        </w:tc>
      </w:tr>
      <w:tr w:rsidR="00A052DC" w14:paraId="3CE0F833" w14:textId="77777777" w:rsidTr="00653B9C">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14:paraId="6D9458DA" w14:textId="77777777" w:rsidR="00A052DC" w:rsidRDefault="009F0A60" w:rsidP="003C405E">
            <w:pPr>
              <w:pStyle w:val="B"/>
            </w:pPr>
            <w:r>
              <w:t>231020</w:t>
            </w:r>
          </w:p>
        </w:tc>
        <w:tc>
          <w:tcPr>
            <w:tcW w:w="3594" w:type="dxa"/>
            <w:tcBorders>
              <w:top w:val="single" w:sz="4" w:space="0" w:color="auto"/>
              <w:left w:val="single" w:sz="4" w:space="0" w:color="auto"/>
              <w:bottom w:val="single" w:sz="4" w:space="0" w:color="auto"/>
              <w:right w:val="single" w:sz="4" w:space="0" w:color="auto"/>
            </w:tcBorders>
            <w:shd w:val="clear" w:color="auto" w:fill="auto"/>
            <w:vAlign w:val="center"/>
          </w:tcPr>
          <w:p w14:paraId="6F219250" w14:textId="77777777" w:rsidR="00A052DC" w:rsidRDefault="009F0A60" w:rsidP="003C405E">
            <w:pPr>
              <w:pStyle w:val="B"/>
            </w:pPr>
            <w:r>
              <w:rPr>
                <w:rFonts w:hint="eastAsia"/>
              </w:rPr>
              <w:t>研发成果使用费</w:t>
            </w:r>
          </w:p>
        </w:tc>
        <w:tc>
          <w:tcPr>
            <w:tcW w:w="1276" w:type="dxa"/>
            <w:tcBorders>
              <w:top w:val="single" w:sz="4" w:space="0" w:color="auto"/>
              <w:left w:val="single" w:sz="4" w:space="0" w:color="auto"/>
              <w:bottom w:val="single" w:sz="4" w:space="0" w:color="auto"/>
              <w:right w:val="single" w:sz="4" w:space="0" w:color="auto"/>
            </w:tcBorders>
            <w:vAlign w:val="center"/>
          </w:tcPr>
          <w:p w14:paraId="75F6EF49" w14:textId="77777777" w:rsidR="00A052DC" w:rsidRDefault="009F0A60" w:rsidP="003C405E">
            <w:pPr>
              <w:pStyle w:val="B"/>
            </w:pPr>
            <w:r>
              <w:t>231020</w:t>
            </w:r>
          </w:p>
        </w:tc>
        <w:tc>
          <w:tcPr>
            <w:tcW w:w="2526" w:type="dxa"/>
            <w:tcBorders>
              <w:top w:val="single" w:sz="4" w:space="0" w:color="auto"/>
              <w:left w:val="single" w:sz="4" w:space="0" w:color="auto"/>
              <w:bottom w:val="single" w:sz="4" w:space="0" w:color="auto"/>
              <w:right w:val="single" w:sz="4" w:space="0" w:color="auto"/>
            </w:tcBorders>
            <w:vAlign w:val="center"/>
          </w:tcPr>
          <w:p w14:paraId="1D46B6D6" w14:textId="77777777" w:rsidR="00A052DC" w:rsidRDefault="009F0A60" w:rsidP="003C405E">
            <w:pPr>
              <w:pStyle w:val="B"/>
            </w:pPr>
            <w:r>
              <w:rPr>
                <w:rFonts w:hint="eastAsia"/>
              </w:rPr>
              <w:t>研发成果使用费</w:t>
            </w:r>
          </w:p>
        </w:tc>
      </w:tr>
      <w:tr w:rsidR="00A052DC" w14:paraId="38549DA7" w14:textId="77777777" w:rsidTr="00653B9C">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14:paraId="1D9E88CF" w14:textId="77777777" w:rsidR="00A052DC" w:rsidRDefault="009F0A60" w:rsidP="003C405E">
            <w:pPr>
              <w:pStyle w:val="B"/>
            </w:pPr>
            <w:r>
              <w:t>231030</w:t>
            </w:r>
          </w:p>
        </w:tc>
        <w:tc>
          <w:tcPr>
            <w:tcW w:w="3594" w:type="dxa"/>
            <w:tcBorders>
              <w:top w:val="single" w:sz="4" w:space="0" w:color="auto"/>
              <w:left w:val="single" w:sz="4" w:space="0" w:color="auto"/>
              <w:bottom w:val="single" w:sz="4" w:space="0" w:color="auto"/>
              <w:right w:val="single" w:sz="4" w:space="0" w:color="auto"/>
            </w:tcBorders>
            <w:vAlign w:val="center"/>
          </w:tcPr>
          <w:p w14:paraId="65F31D3A" w14:textId="77777777" w:rsidR="00A052DC" w:rsidRDefault="009F0A60" w:rsidP="003C405E">
            <w:pPr>
              <w:pStyle w:val="B"/>
            </w:pPr>
            <w:r>
              <w:rPr>
                <w:rFonts w:hint="eastAsia"/>
              </w:rPr>
              <w:t>复制或分销计算机软件许可费</w:t>
            </w:r>
          </w:p>
        </w:tc>
        <w:tc>
          <w:tcPr>
            <w:tcW w:w="1276" w:type="dxa"/>
            <w:tcBorders>
              <w:top w:val="single" w:sz="4" w:space="0" w:color="auto"/>
              <w:left w:val="single" w:sz="4" w:space="0" w:color="auto"/>
              <w:bottom w:val="single" w:sz="4" w:space="0" w:color="auto"/>
              <w:right w:val="single" w:sz="4" w:space="0" w:color="auto"/>
            </w:tcBorders>
            <w:vAlign w:val="center"/>
          </w:tcPr>
          <w:p w14:paraId="3AB52478" w14:textId="77777777" w:rsidR="00A052DC" w:rsidRDefault="009F0A60" w:rsidP="003C405E">
            <w:pPr>
              <w:pStyle w:val="B"/>
            </w:pPr>
            <w:r>
              <w:t>231030</w:t>
            </w:r>
          </w:p>
        </w:tc>
        <w:tc>
          <w:tcPr>
            <w:tcW w:w="2526" w:type="dxa"/>
            <w:tcBorders>
              <w:top w:val="single" w:sz="4" w:space="0" w:color="auto"/>
              <w:left w:val="single" w:sz="4" w:space="0" w:color="auto"/>
              <w:bottom w:val="single" w:sz="4" w:space="0" w:color="auto"/>
              <w:right w:val="single" w:sz="4" w:space="0" w:color="auto"/>
            </w:tcBorders>
            <w:vAlign w:val="center"/>
          </w:tcPr>
          <w:p w14:paraId="5244E6BC" w14:textId="77777777" w:rsidR="00A052DC" w:rsidRDefault="009F0A60" w:rsidP="003C405E">
            <w:pPr>
              <w:pStyle w:val="B"/>
            </w:pPr>
            <w:r>
              <w:rPr>
                <w:rFonts w:hint="eastAsia"/>
              </w:rPr>
              <w:t>复制或分销计算机软件许可费</w:t>
            </w:r>
          </w:p>
        </w:tc>
      </w:tr>
      <w:tr w:rsidR="00A052DC" w14:paraId="1DFADE66" w14:textId="77777777" w:rsidTr="00653B9C">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14:paraId="2130E3F7" w14:textId="77777777" w:rsidR="00A052DC" w:rsidRDefault="009F0A60" w:rsidP="003C405E">
            <w:pPr>
              <w:pStyle w:val="B"/>
            </w:pPr>
            <w:r>
              <w:t>231040</w:t>
            </w:r>
          </w:p>
        </w:tc>
        <w:tc>
          <w:tcPr>
            <w:tcW w:w="3594" w:type="dxa"/>
            <w:tcBorders>
              <w:top w:val="single" w:sz="4" w:space="0" w:color="auto"/>
              <w:left w:val="single" w:sz="4" w:space="0" w:color="auto"/>
              <w:bottom w:val="single" w:sz="4" w:space="0" w:color="auto"/>
              <w:right w:val="single" w:sz="4" w:space="0" w:color="auto"/>
            </w:tcBorders>
            <w:vAlign w:val="center"/>
          </w:tcPr>
          <w:p w14:paraId="6BA63B77" w14:textId="77777777" w:rsidR="00A052DC" w:rsidRDefault="009F0A60" w:rsidP="003C405E">
            <w:pPr>
              <w:pStyle w:val="B"/>
            </w:pPr>
            <w:r>
              <w:rPr>
                <w:rFonts w:hint="eastAsia"/>
              </w:rPr>
              <w:t>复制或分销视听及相关产品许可费</w:t>
            </w:r>
          </w:p>
        </w:tc>
        <w:tc>
          <w:tcPr>
            <w:tcW w:w="1276" w:type="dxa"/>
            <w:tcBorders>
              <w:top w:val="single" w:sz="4" w:space="0" w:color="auto"/>
              <w:left w:val="single" w:sz="4" w:space="0" w:color="auto"/>
              <w:bottom w:val="single" w:sz="4" w:space="0" w:color="auto"/>
              <w:right w:val="single" w:sz="4" w:space="0" w:color="auto"/>
            </w:tcBorders>
            <w:vAlign w:val="center"/>
          </w:tcPr>
          <w:p w14:paraId="63444209" w14:textId="77777777" w:rsidR="00A052DC" w:rsidRDefault="009F0A60" w:rsidP="003C405E">
            <w:pPr>
              <w:pStyle w:val="B"/>
            </w:pPr>
            <w:r>
              <w:t>231040</w:t>
            </w:r>
          </w:p>
        </w:tc>
        <w:tc>
          <w:tcPr>
            <w:tcW w:w="2526" w:type="dxa"/>
            <w:tcBorders>
              <w:top w:val="single" w:sz="4" w:space="0" w:color="auto"/>
              <w:left w:val="single" w:sz="4" w:space="0" w:color="auto"/>
              <w:bottom w:val="single" w:sz="4" w:space="0" w:color="auto"/>
              <w:right w:val="single" w:sz="4" w:space="0" w:color="auto"/>
            </w:tcBorders>
            <w:vAlign w:val="center"/>
          </w:tcPr>
          <w:p w14:paraId="4CA62C35" w14:textId="77777777" w:rsidR="00A052DC" w:rsidRDefault="009F0A60" w:rsidP="003C405E">
            <w:pPr>
              <w:pStyle w:val="B"/>
            </w:pPr>
            <w:r>
              <w:rPr>
                <w:rFonts w:hint="eastAsia"/>
              </w:rPr>
              <w:t>复制或分销视听及相关产品许可费</w:t>
            </w:r>
          </w:p>
        </w:tc>
      </w:tr>
      <w:tr w:rsidR="00A052DC" w14:paraId="274A0E00" w14:textId="77777777" w:rsidTr="00653B9C">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14:paraId="3C32AD2C" w14:textId="77777777" w:rsidR="00A052DC" w:rsidRDefault="009F0A60" w:rsidP="003C405E">
            <w:pPr>
              <w:pStyle w:val="B"/>
            </w:pPr>
            <w:r>
              <w:t>231990</w:t>
            </w:r>
          </w:p>
        </w:tc>
        <w:tc>
          <w:tcPr>
            <w:tcW w:w="3594" w:type="dxa"/>
            <w:tcBorders>
              <w:top w:val="single" w:sz="4" w:space="0" w:color="auto"/>
              <w:left w:val="single" w:sz="4" w:space="0" w:color="auto"/>
              <w:bottom w:val="single" w:sz="4" w:space="0" w:color="auto"/>
              <w:right w:val="single" w:sz="4" w:space="0" w:color="auto"/>
            </w:tcBorders>
            <w:vAlign w:val="center"/>
          </w:tcPr>
          <w:p w14:paraId="7F2A3AB6" w14:textId="77777777" w:rsidR="00A052DC" w:rsidRDefault="009F0A60" w:rsidP="003C405E">
            <w:pPr>
              <w:pStyle w:val="B"/>
            </w:pPr>
            <w:r>
              <w:rPr>
                <w:rFonts w:hint="eastAsia"/>
              </w:rPr>
              <w:t>其他知识产权使用费</w:t>
            </w:r>
          </w:p>
        </w:tc>
        <w:tc>
          <w:tcPr>
            <w:tcW w:w="1276" w:type="dxa"/>
            <w:tcBorders>
              <w:top w:val="single" w:sz="4" w:space="0" w:color="auto"/>
              <w:left w:val="single" w:sz="4" w:space="0" w:color="auto"/>
              <w:bottom w:val="single" w:sz="4" w:space="0" w:color="auto"/>
              <w:right w:val="single" w:sz="4" w:space="0" w:color="auto"/>
            </w:tcBorders>
            <w:vAlign w:val="center"/>
          </w:tcPr>
          <w:p w14:paraId="121B4E22" w14:textId="77777777" w:rsidR="00A052DC" w:rsidRDefault="009F0A60" w:rsidP="003C405E">
            <w:pPr>
              <w:pStyle w:val="B"/>
            </w:pPr>
            <w:r>
              <w:t>231990</w:t>
            </w:r>
          </w:p>
        </w:tc>
        <w:tc>
          <w:tcPr>
            <w:tcW w:w="2526" w:type="dxa"/>
            <w:tcBorders>
              <w:top w:val="single" w:sz="4" w:space="0" w:color="auto"/>
              <w:left w:val="single" w:sz="4" w:space="0" w:color="auto"/>
              <w:bottom w:val="single" w:sz="4" w:space="0" w:color="auto"/>
              <w:right w:val="single" w:sz="4" w:space="0" w:color="auto"/>
            </w:tcBorders>
            <w:vAlign w:val="center"/>
          </w:tcPr>
          <w:p w14:paraId="3C912520" w14:textId="77777777" w:rsidR="00A052DC" w:rsidRDefault="009F0A60" w:rsidP="003C405E">
            <w:pPr>
              <w:pStyle w:val="B"/>
            </w:pPr>
            <w:r>
              <w:rPr>
                <w:rFonts w:hint="eastAsia"/>
              </w:rPr>
              <w:t>其他知识产权使用费</w:t>
            </w:r>
          </w:p>
        </w:tc>
      </w:tr>
      <w:tr w:rsidR="00A052DC" w14:paraId="2C309CBF" w14:textId="77777777" w:rsidTr="00653B9C">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14:paraId="5F07D384" w14:textId="77777777" w:rsidR="00A052DC" w:rsidRDefault="00A052DC" w:rsidP="003C405E">
            <w:pPr>
              <w:pStyle w:val="B"/>
            </w:pPr>
          </w:p>
        </w:tc>
        <w:tc>
          <w:tcPr>
            <w:tcW w:w="3594" w:type="dxa"/>
            <w:tcBorders>
              <w:top w:val="single" w:sz="4" w:space="0" w:color="auto"/>
              <w:left w:val="single" w:sz="4" w:space="0" w:color="auto"/>
              <w:bottom w:val="single" w:sz="4" w:space="0" w:color="auto"/>
              <w:right w:val="single" w:sz="4" w:space="0" w:color="auto"/>
            </w:tcBorders>
            <w:vAlign w:val="center"/>
          </w:tcPr>
          <w:p w14:paraId="4A4A4DAA" w14:textId="77777777" w:rsidR="00A052DC" w:rsidRDefault="009F0A60" w:rsidP="003C405E">
            <w:pPr>
              <w:pStyle w:val="B"/>
            </w:pPr>
            <w:r>
              <w:rPr>
                <w:rFonts w:hint="eastAsia"/>
              </w:rPr>
              <w:t>别处未涵盖的政府货物和服务</w:t>
            </w:r>
          </w:p>
        </w:tc>
        <w:tc>
          <w:tcPr>
            <w:tcW w:w="1276" w:type="dxa"/>
            <w:tcBorders>
              <w:top w:val="single" w:sz="4" w:space="0" w:color="auto"/>
              <w:left w:val="single" w:sz="4" w:space="0" w:color="auto"/>
              <w:bottom w:val="single" w:sz="4" w:space="0" w:color="auto"/>
              <w:right w:val="single" w:sz="4" w:space="0" w:color="auto"/>
            </w:tcBorders>
            <w:vAlign w:val="center"/>
          </w:tcPr>
          <w:p w14:paraId="1F923D04" w14:textId="77777777" w:rsidR="00A052DC" w:rsidRDefault="00A052DC" w:rsidP="003C405E">
            <w:pPr>
              <w:pStyle w:val="B"/>
            </w:pPr>
          </w:p>
        </w:tc>
        <w:tc>
          <w:tcPr>
            <w:tcW w:w="2526" w:type="dxa"/>
            <w:tcBorders>
              <w:top w:val="single" w:sz="4" w:space="0" w:color="auto"/>
              <w:left w:val="single" w:sz="4" w:space="0" w:color="auto"/>
              <w:bottom w:val="single" w:sz="4" w:space="0" w:color="auto"/>
              <w:right w:val="single" w:sz="4" w:space="0" w:color="auto"/>
            </w:tcBorders>
            <w:vAlign w:val="center"/>
          </w:tcPr>
          <w:p w14:paraId="483B7627" w14:textId="77777777" w:rsidR="00A052DC" w:rsidRDefault="00A052DC" w:rsidP="003C405E">
            <w:pPr>
              <w:pStyle w:val="B"/>
            </w:pPr>
          </w:p>
        </w:tc>
      </w:tr>
      <w:tr w:rsidR="00A052DC" w14:paraId="67572CF3" w14:textId="77777777" w:rsidTr="00653B9C">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14:paraId="5FFA1869" w14:textId="77777777" w:rsidR="00A052DC" w:rsidRDefault="009F0A60" w:rsidP="003C405E">
            <w:pPr>
              <w:pStyle w:val="B"/>
              <w:rPr>
                <w:rFonts w:cs="宋体"/>
                <w:szCs w:val="20"/>
              </w:rPr>
            </w:pPr>
            <w:r>
              <w:rPr>
                <w:rFonts w:cs="宋体"/>
                <w:szCs w:val="20"/>
              </w:rPr>
              <w:t>232000</w:t>
            </w:r>
          </w:p>
        </w:tc>
        <w:tc>
          <w:tcPr>
            <w:tcW w:w="3594" w:type="dxa"/>
            <w:tcBorders>
              <w:top w:val="single" w:sz="4" w:space="0" w:color="auto"/>
              <w:left w:val="single" w:sz="4" w:space="0" w:color="auto"/>
              <w:bottom w:val="single" w:sz="4" w:space="0" w:color="auto"/>
              <w:right w:val="single" w:sz="4" w:space="0" w:color="auto"/>
            </w:tcBorders>
            <w:vAlign w:val="center"/>
          </w:tcPr>
          <w:p w14:paraId="188769DC" w14:textId="77777777" w:rsidR="00A052DC" w:rsidRDefault="009F0A60" w:rsidP="003C405E">
            <w:pPr>
              <w:pStyle w:val="B"/>
              <w:rPr>
                <w:rFonts w:cs="宋体"/>
                <w:szCs w:val="20"/>
              </w:rPr>
            </w:pPr>
            <w:r>
              <w:rPr>
                <w:rFonts w:cs="宋体" w:hint="eastAsia"/>
                <w:szCs w:val="20"/>
              </w:rPr>
              <w:t>别处未涵盖的政府货物和服务</w:t>
            </w:r>
          </w:p>
        </w:tc>
        <w:tc>
          <w:tcPr>
            <w:tcW w:w="1276" w:type="dxa"/>
            <w:tcBorders>
              <w:top w:val="single" w:sz="4" w:space="0" w:color="auto"/>
              <w:left w:val="single" w:sz="4" w:space="0" w:color="auto"/>
              <w:bottom w:val="single" w:sz="4" w:space="0" w:color="auto"/>
              <w:right w:val="single" w:sz="4" w:space="0" w:color="auto"/>
            </w:tcBorders>
            <w:vAlign w:val="center"/>
          </w:tcPr>
          <w:p w14:paraId="1DF4DE1D" w14:textId="77777777" w:rsidR="00A052DC" w:rsidRDefault="009F0A60" w:rsidP="003C405E">
            <w:pPr>
              <w:pStyle w:val="B"/>
              <w:rPr>
                <w:rFonts w:cs="宋体"/>
                <w:szCs w:val="20"/>
              </w:rPr>
            </w:pPr>
            <w:r>
              <w:rPr>
                <w:rFonts w:cs="宋体"/>
                <w:szCs w:val="20"/>
              </w:rPr>
              <w:t>232000</w:t>
            </w:r>
          </w:p>
        </w:tc>
        <w:tc>
          <w:tcPr>
            <w:tcW w:w="2526" w:type="dxa"/>
            <w:tcBorders>
              <w:top w:val="single" w:sz="4" w:space="0" w:color="auto"/>
              <w:left w:val="single" w:sz="4" w:space="0" w:color="auto"/>
              <w:bottom w:val="single" w:sz="4" w:space="0" w:color="auto"/>
              <w:right w:val="single" w:sz="4" w:space="0" w:color="auto"/>
            </w:tcBorders>
            <w:vAlign w:val="center"/>
          </w:tcPr>
          <w:p w14:paraId="55F9B30F" w14:textId="77777777" w:rsidR="00A052DC" w:rsidRDefault="009F0A60" w:rsidP="003C405E">
            <w:pPr>
              <w:pStyle w:val="B"/>
              <w:rPr>
                <w:rFonts w:cs="宋体"/>
                <w:szCs w:val="20"/>
              </w:rPr>
            </w:pPr>
            <w:r>
              <w:rPr>
                <w:rFonts w:cs="宋体" w:hint="eastAsia"/>
                <w:szCs w:val="20"/>
              </w:rPr>
              <w:t>别处未涵盖的政府货物和服务</w:t>
            </w:r>
          </w:p>
        </w:tc>
      </w:tr>
      <w:tr w:rsidR="00A052DC" w14:paraId="0C895CB4" w14:textId="77777777" w:rsidTr="00653B9C">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14:paraId="166452B4" w14:textId="77777777" w:rsidR="00A052DC" w:rsidRDefault="00A052DC" w:rsidP="003C405E">
            <w:pPr>
              <w:pStyle w:val="B"/>
              <w:rPr>
                <w:rFonts w:cs="宋体"/>
                <w:szCs w:val="20"/>
              </w:rPr>
            </w:pPr>
          </w:p>
        </w:tc>
        <w:tc>
          <w:tcPr>
            <w:tcW w:w="3594" w:type="dxa"/>
            <w:tcBorders>
              <w:top w:val="single" w:sz="4" w:space="0" w:color="auto"/>
              <w:left w:val="single" w:sz="4" w:space="0" w:color="auto"/>
              <w:bottom w:val="single" w:sz="4" w:space="0" w:color="auto"/>
              <w:right w:val="single" w:sz="4" w:space="0" w:color="auto"/>
            </w:tcBorders>
            <w:vAlign w:val="center"/>
          </w:tcPr>
          <w:p w14:paraId="21C57080" w14:textId="77777777" w:rsidR="00A052DC" w:rsidRDefault="009F0A60" w:rsidP="003C405E">
            <w:pPr>
              <w:pStyle w:val="B"/>
              <w:rPr>
                <w:rFonts w:cs="宋体"/>
                <w:szCs w:val="20"/>
              </w:rPr>
            </w:pPr>
            <w:r>
              <w:rPr>
                <w:rFonts w:cs="宋体" w:hint="eastAsia"/>
                <w:szCs w:val="20"/>
              </w:rPr>
              <w:t>初次收入（收益）</w:t>
            </w:r>
          </w:p>
        </w:tc>
        <w:tc>
          <w:tcPr>
            <w:tcW w:w="1276" w:type="dxa"/>
            <w:tcBorders>
              <w:top w:val="single" w:sz="4" w:space="0" w:color="auto"/>
              <w:left w:val="single" w:sz="4" w:space="0" w:color="auto"/>
              <w:bottom w:val="single" w:sz="4" w:space="0" w:color="auto"/>
              <w:right w:val="single" w:sz="4" w:space="0" w:color="auto"/>
            </w:tcBorders>
            <w:vAlign w:val="center"/>
          </w:tcPr>
          <w:p w14:paraId="2E799F50" w14:textId="77777777" w:rsidR="00A052DC" w:rsidRDefault="00A052DC" w:rsidP="003C405E">
            <w:pPr>
              <w:pStyle w:val="B"/>
              <w:rPr>
                <w:rFonts w:cs="宋体"/>
                <w:szCs w:val="20"/>
              </w:rPr>
            </w:pPr>
          </w:p>
        </w:tc>
        <w:tc>
          <w:tcPr>
            <w:tcW w:w="2526" w:type="dxa"/>
            <w:tcBorders>
              <w:top w:val="single" w:sz="4" w:space="0" w:color="auto"/>
              <w:left w:val="single" w:sz="4" w:space="0" w:color="auto"/>
              <w:bottom w:val="single" w:sz="4" w:space="0" w:color="auto"/>
              <w:right w:val="single" w:sz="4" w:space="0" w:color="auto"/>
            </w:tcBorders>
            <w:vAlign w:val="center"/>
          </w:tcPr>
          <w:p w14:paraId="0AE19E7A" w14:textId="77777777" w:rsidR="00A052DC" w:rsidRDefault="00A052DC" w:rsidP="003C405E">
            <w:pPr>
              <w:pStyle w:val="B"/>
              <w:rPr>
                <w:rFonts w:cs="宋体"/>
                <w:szCs w:val="20"/>
              </w:rPr>
            </w:pPr>
          </w:p>
        </w:tc>
      </w:tr>
      <w:tr w:rsidR="00A052DC" w14:paraId="65DB8939" w14:textId="77777777" w:rsidTr="00653B9C">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14:paraId="0CB62994" w14:textId="77777777" w:rsidR="00A052DC" w:rsidRDefault="00A052DC" w:rsidP="003C405E">
            <w:pPr>
              <w:pStyle w:val="B"/>
              <w:rPr>
                <w:rFonts w:cs="宋体"/>
                <w:szCs w:val="20"/>
              </w:rPr>
            </w:pPr>
          </w:p>
        </w:tc>
        <w:tc>
          <w:tcPr>
            <w:tcW w:w="3594" w:type="dxa"/>
            <w:tcBorders>
              <w:top w:val="single" w:sz="4" w:space="0" w:color="auto"/>
              <w:left w:val="single" w:sz="4" w:space="0" w:color="auto"/>
              <w:bottom w:val="single" w:sz="4" w:space="0" w:color="auto"/>
              <w:right w:val="single" w:sz="4" w:space="0" w:color="auto"/>
            </w:tcBorders>
            <w:vAlign w:val="center"/>
          </w:tcPr>
          <w:p w14:paraId="4365D17B" w14:textId="77777777" w:rsidR="00A052DC" w:rsidRDefault="009F0A60" w:rsidP="003C405E">
            <w:pPr>
              <w:pStyle w:val="B"/>
              <w:rPr>
                <w:rFonts w:cs="宋体"/>
                <w:szCs w:val="20"/>
              </w:rPr>
            </w:pPr>
            <w:r>
              <w:rPr>
                <w:rFonts w:cs="宋体" w:hint="eastAsia"/>
                <w:szCs w:val="20"/>
              </w:rPr>
              <w:t>职工报酬（工资、薪金和福利）</w:t>
            </w:r>
          </w:p>
        </w:tc>
        <w:tc>
          <w:tcPr>
            <w:tcW w:w="1276" w:type="dxa"/>
            <w:tcBorders>
              <w:top w:val="single" w:sz="4" w:space="0" w:color="auto"/>
              <w:left w:val="single" w:sz="4" w:space="0" w:color="auto"/>
              <w:bottom w:val="single" w:sz="4" w:space="0" w:color="auto"/>
              <w:right w:val="single" w:sz="4" w:space="0" w:color="auto"/>
            </w:tcBorders>
            <w:vAlign w:val="center"/>
          </w:tcPr>
          <w:p w14:paraId="342236CC" w14:textId="77777777" w:rsidR="00A052DC" w:rsidRDefault="00A052DC" w:rsidP="003C405E">
            <w:pPr>
              <w:pStyle w:val="B"/>
              <w:rPr>
                <w:rFonts w:cs="宋体"/>
                <w:szCs w:val="20"/>
              </w:rPr>
            </w:pPr>
          </w:p>
        </w:tc>
        <w:tc>
          <w:tcPr>
            <w:tcW w:w="2526" w:type="dxa"/>
            <w:tcBorders>
              <w:top w:val="single" w:sz="4" w:space="0" w:color="auto"/>
              <w:left w:val="single" w:sz="4" w:space="0" w:color="auto"/>
              <w:bottom w:val="single" w:sz="4" w:space="0" w:color="auto"/>
              <w:right w:val="single" w:sz="4" w:space="0" w:color="auto"/>
            </w:tcBorders>
            <w:vAlign w:val="center"/>
          </w:tcPr>
          <w:p w14:paraId="1F9D0528" w14:textId="77777777" w:rsidR="00A052DC" w:rsidRDefault="00A052DC" w:rsidP="003C405E">
            <w:pPr>
              <w:pStyle w:val="B"/>
              <w:rPr>
                <w:rFonts w:cs="宋体"/>
                <w:szCs w:val="20"/>
              </w:rPr>
            </w:pPr>
          </w:p>
        </w:tc>
      </w:tr>
      <w:tr w:rsidR="00A052DC" w14:paraId="644D673D" w14:textId="77777777" w:rsidTr="00653B9C">
        <w:trPr>
          <w:trHeight w:val="20"/>
          <w:jc w:val="center"/>
        </w:trPr>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14:paraId="322C4AAA" w14:textId="77777777" w:rsidR="00A052DC" w:rsidRDefault="009F0A60" w:rsidP="003C405E">
            <w:pPr>
              <w:pStyle w:val="B"/>
              <w:rPr>
                <w:rFonts w:cs="宋体"/>
                <w:szCs w:val="20"/>
              </w:rPr>
            </w:pPr>
            <w:r>
              <w:rPr>
                <w:rFonts w:cs="宋体"/>
                <w:szCs w:val="20"/>
              </w:rPr>
              <w:t>321010</w:t>
            </w:r>
          </w:p>
        </w:tc>
        <w:tc>
          <w:tcPr>
            <w:tcW w:w="3594" w:type="dxa"/>
            <w:tcBorders>
              <w:top w:val="single" w:sz="4" w:space="0" w:color="auto"/>
              <w:left w:val="single" w:sz="4" w:space="0" w:color="auto"/>
              <w:bottom w:val="single" w:sz="4" w:space="0" w:color="auto"/>
              <w:right w:val="single" w:sz="4" w:space="0" w:color="auto"/>
            </w:tcBorders>
            <w:shd w:val="clear" w:color="auto" w:fill="auto"/>
            <w:vAlign w:val="center"/>
          </w:tcPr>
          <w:p w14:paraId="6839385E" w14:textId="77777777" w:rsidR="00A052DC" w:rsidRDefault="009F0A60" w:rsidP="003C405E">
            <w:pPr>
              <w:pStyle w:val="B"/>
              <w:rPr>
                <w:rFonts w:cs="宋体"/>
                <w:szCs w:val="20"/>
              </w:rPr>
            </w:pPr>
            <w:r>
              <w:rPr>
                <w:rFonts w:cs="宋体" w:hint="eastAsia"/>
                <w:szCs w:val="20"/>
              </w:rPr>
              <w:t>股票期权形式的职工报酬</w:t>
            </w:r>
          </w:p>
        </w:tc>
        <w:tc>
          <w:tcPr>
            <w:tcW w:w="1276" w:type="dxa"/>
            <w:tcBorders>
              <w:top w:val="single" w:sz="4" w:space="0" w:color="auto"/>
              <w:left w:val="single" w:sz="4" w:space="0" w:color="auto"/>
              <w:bottom w:val="single" w:sz="4" w:space="0" w:color="auto"/>
              <w:right w:val="single" w:sz="4" w:space="0" w:color="auto"/>
            </w:tcBorders>
            <w:vAlign w:val="center"/>
          </w:tcPr>
          <w:p w14:paraId="76345B77" w14:textId="77777777" w:rsidR="00A052DC" w:rsidRDefault="009F0A60" w:rsidP="003C405E">
            <w:pPr>
              <w:pStyle w:val="B"/>
              <w:rPr>
                <w:rFonts w:cs="宋体"/>
                <w:szCs w:val="20"/>
              </w:rPr>
            </w:pPr>
            <w:r>
              <w:rPr>
                <w:rFonts w:cs="宋体"/>
                <w:szCs w:val="20"/>
              </w:rPr>
              <w:t>321010</w:t>
            </w:r>
          </w:p>
        </w:tc>
        <w:tc>
          <w:tcPr>
            <w:tcW w:w="2526" w:type="dxa"/>
            <w:tcBorders>
              <w:top w:val="single" w:sz="4" w:space="0" w:color="auto"/>
              <w:left w:val="single" w:sz="4" w:space="0" w:color="auto"/>
              <w:bottom w:val="single" w:sz="4" w:space="0" w:color="auto"/>
              <w:right w:val="single" w:sz="4" w:space="0" w:color="auto"/>
            </w:tcBorders>
            <w:vAlign w:val="center"/>
          </w:tcPr>
          <w:p w14:paraId="51A5E4F5" w14:textId="77777777" w:rsidR="00A052DC" w:rsidRDefault="009F0A60" w:rsidP="003C405E">
            <w:pPr>
              <w:pStyle w:val="B"/>
              <w:rPr>
                <w:rFonts w:cs="宋体"/>
                <w:szCs w:val="20"/>
              </w:rPr>
            </w:pPr>
            <w:r>
              <w:rPr>
                <w:rFonts w:cs="宋体" w:hint="eastAsia"/>
                <w:szCs w:val="20"/>
              </w:rPr>
              <w:t>股票期权形式的职工报酬</w:t>
            </w:r>
          </w:p>
        </w:tc>
      </w:tr>
      <w:tr w:rsidR="00A052DC" w14:paraId="7EA94DFA" w14:textId="77777777" w:rsidTr="00653B9C">
        <w:trPr>
          <w:trHeight w:val="20"/>
          <w:jc w:val="center"/>
        </w:trPr>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14:paraId="087E8002" w14:textId="77777777" w:rsidR="00A052DC" w:rsidRDefault="009F0A60" w:rsidP="003C405E">
            <w:pPr>
              <w:pStyle w:val="B"/>
              <w:rPr>
                <w:rFonts w:cs="宋体"/>
                <w:szCs w:val="20"/>
              </w:rPr>
            </w:pPr>
            <w:r>
              <w:rPr>
                <w:rFonts w:cs="宋体"/>
                <w:szCs w:val="20"/>
              </w:rPr>
              <w:t>321990</w:t>
            </w:r>
          </w:p>
        </w:tc>
        <w:tc>
          <w:tcPr>
            <w:tcW w:w="3594" w:type="dxa"/>
            <w:tcBorders>
              <w:top w:val="single" w:sz="4" w:space="0" w:color="auto"/>
              <w:left w:val="single" w:sz="4" w:space="0" w:color="auto"/>
              <w:bottom w:val="single" w:sz="4" w:space="0" w:color="auto"/>
              <w:right w:val="single" w:sz="4" w:space="0" w:color="auto"/>
            </w:tcBorders>
            <w:shd w:val="clear" w:color="auto" w:fill="auto"/>
            <w:vAlign w:val="center"/>
          </w:tcPr>
          <w:p w14:paraId="78016EF7" w14:textId="77777777" w:rsidR="00A052DC" w:rsidRDefault="009F0A60" w:rsidP="003C405E">
            <w:pPr>
              <w:pStyle w:val="B"/>
              <w:rPr>
                <w:rFonts w:cs="宋体"/>
                <w:szCs w:val="20"/>
              </w:rPr>
            </w:pPr>
            <w:r>
              <w:rPr>
                <w:rFonts w:cs="宋体" w:hint="eastAsia"/>
                <w:szCs w:val="20"/>
              </w:rPr>
              <w:t>其他形式的职工报酬</w:t>
            </w:r>
          </w:p>
        </w:tc>
        <w:tc>
          <w:tcPr>
            <w:tcW w:w="1276" w:type="dxa"/>
            <w:tcBorders>
              <w:top w:val="single" w:sz="4" w:space="0" w:color="auto"/>
              <w:left w:val="single" w:sz="4" w:space="0" w:color="auto"/>
              <w:bottom w:val="single" w:sz="4" w:space="0" w:color="auto"/>
              <w:right w:val="single" w:sz="4" w:space="0" w:color="auto"/>
            </w:tcBorders>
            <w:vAlign w:val="center"/>
          </w:tcPr>
          <w:p w14:paraId="6A0AFA4E" w14:textId="77777777" w:rsidR="00A052DC" w:rsidRDefault="009F0A60" w:rsidP="003C405E">
            <w:pPr>
              <w:pStyle w:val="B"/>
              <w:rPr>
                <w:rFonts w:cs="宋体"/>
                <w:szCs w:val="20"/>
              </w:rPr>
            </w:pPr>
            <w:r>
              <w:rPr>
                <w:rFonts w:cs="宋体"/>
                <w:szCs w:val="20"/>
              </w:rPr>
              <w:t>321990</w:t>
            </w:r>
          </w:p>
        </w:tc>
        <w:tc>
          <w:tcPr>
            <w:tcW w:w="2526" w:type="dxa"/>
            <w:tcBorders>
              <w:top w:val="single" w:sz="4" w:space="0" w:color="auto"/>
              <w:left w:val="single" w:sz="4" w:space="0" w:color="auto"/>
              <w:bottom w:val="single" w:sz="4" w:space="0" w:color="auto"/>
              <w:right w:val="single" w:sz="4" w:space="0" w:color="auto"/>
            </w:tcBorders>
            <w:vAlign w:val="center"/>
          </w:tcPr>
          <w:p w14:paraId="423176DA" w14:textId="77777777" w:rsidR="00A052DC" w:rsidRDefault="009F0A60" w:rsidP="003C405E">
            <w:pPr>
              <w:pStyle w:val="B"/>
              <w:rPr>
                <w:rFonts w:cs="宋体"/>
                <w:szCs w:val="20"/>
              </w:rPr>
            </w:pPr>
            <w:r>
              <w:rPr>
                <w:rFonts w:cs="宋体" w:hint="eastAsia"/>
                <w:szCs w:val="20"/>
              </w:rPr>
              <w:t>其他形式的职工报酬</w:t>
            </w:r>
          </w:p>
        </w:tc>
      </w:tr>
      <w:tr w:rsidR="00A052DC" w14:paraId="29121FD5" w14:textId="77777777" w:rsidTr="00653B9C">
        <w:trPr>
          <w:trHeight w:val="20"/>
          <w:jc w:val="center"/>
        </w:trPr>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14:paraId="40216648" w14:textId="77777777" w:rsidR="00A052DC" w:rsidRDefault="00A052DC" w:rsidP="003C405E">
            <w:pPr>
              <w:pStyle w:val="B"/>
              <w:rPr>
                <w:rFonts w:cs="宋体"/>
                <w:szCs w:val="20"/>
              </w:rPr>
            </w:pPr>
          </w:p>
        </w:tc>
        <w:tc>
          <w:tcPr>
            <w:tcW w:w="3594" w:type="dxa"/>
            <w:tcBorders>
              <w:top w:val="single" w:sz="4" w:space="0" w:color="auto"/>
              <w:left w:val="single" w:sz="4" w:space="0" w:color="auto"/>
              <w:bottom w:val="single" w:sz="4" w:space="0" w:color="auto"/>
              <w:right w:val="single" w:sz="4" w:space="0" w:color="auto"/>
            </w:tcBorders>
            <w:shd w:val="clear" w:color="auto" w:fill="auto"/>
            <w:vAlign w:val="center"/>
          </w:tcPr>
          <w:p w14:paraId="5C5DB8BD" w14:textId="77777777" w:rsidR="00A052DC" w:rsidRDefault="009F0A60" w:rsidP="003C405E">
            <w:pPr>
              <w:pStyle w:val="B"/>
              <w:rPr>
                <w:rFonts w:cs="宋体"/>
                <w:szCs w:val="20"/>
              </w:rPr>
            </w:pPr>
            <w:r>
              <w:rPr>
                <w:rFonts w:cs="宋体" w:hint="eastAsia"/>
                <w:szCs w:val="20"/>
              </w:rPr>
              <w:t>其他初次收入</w:t>
            </w:r>
          </w:p>
        </w:tc>
        <w:tc>
          <w:tcPr>
            <w:tcW w:w="1276" w:type="dxa"/>
            <w:tcBorders>
              <w:top w:val="single" w:sz="4" w:space="0" w:color="auto"/>
              <w:left w:val="single" w:sz="4" w:space="0" w:color="auto"/>
              <w:bottom w:val="single" w:sz="4" w:space="0" w:color="auto"/>
              <w:right w:val="single" w:sz="4" w:space="0" w:color="auto"/>
            </w:tcBorders>
            <w:vAlign w:val="center"/>
          </w:tcPr>
          <w:p w14:paraId="128509AC" w14:textId="77777777" w:rsidR="00A052DC" w:rsidRDefault="00A052DC" w:rsidP="003C405E">
            <w:pPr>
              <w:pStyle w:val="B"/>
              <w:rPr>
                <w:rFonts w:cs="宋体"/>
                <w:szCs w:val="20"/>
              </w:rPr>
            </w:pPr>
          </w:p>
        </w:tc>
        <w:tc>
          <w:tcPr>
            <w:tcW w:w="2526" w:type="dxa"/>
            <w:tcBorders>
              <w:top w:val="single" w:sz="4" w:space="0" w:color="auto"/>
              <w:left w:val="single" w:sz="4" w:space="0" w:color="auto"/>
              <w:bottom w:val="single" w:sz="4" w:space="0" w:color="auto"/>
              <w:right w:val="single" w:sz="4" w:space="0" w:color="auto"/>
            </w:tcBorders>
            <w:vAlign w:val="center"/>
          </w:tcPr>
          <w:p w14:paraId="14D0CB40" w14:textId="77777777" w:rsidR="00A052DC" w:rsidRDefault="00A052DC" w:rsidP="003C405E">
            <w:pPr>
              <w:pStyle w:val="B"/>
              <w:rPr>
                <w:rFonts w:cs="宋体"/>
                <w:szCs w:val="20"/>
              </w:rPr>
            </w:pPr>
          </w:p>
        </w:tc>
      </w:tr>
      <w:tr w:rsidR="00A052DC" w14:paraId="6676A799" w14:textId="77777777" w:rsidTr="00653B9C">
        <w:trPr>
          <w:trHeight w:val="20"/>
          <w:jc w:val="center"/>
        </w:trPr>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14:paraId="375BF018" w14:textId="77777777" w:rsidR="00A052DC" w:rsidRDefault="009F0A60" w:rsidP="003C405E">
            <w:pPr>
              <w:pStyle w:val="B"/>
              <w:rPr>
                <w:rFonts w:cs="宋体"/>
                <w:szCs w:val="20"/>
              </w:rPr>
            </w:pPr>
            <w:r>
              <w:rPr>
                <w:rFonts w:cs="宋体"/>
                <w:szCs w:val="20"/>
              </w:rPr>
              <w:t>323010</w:t>
            </w:r>
          </w:p>
        </w:tc>
        <w:tc>
          <w:tcPr>
            <w:tcW w:w="3594" w:type="dxa"/>
            <w:tcBorders>
              <w:top w:val="single" w:sz="4" w:space="0" w:color="auto"/>
              <w:left w:val="single" w:sz="4" w:space="0" w:color="auto"/>
              <w:bottom w:val="single" w:sz="4" w:space="0" w:color="auto"/>
              <w:right w:val="single" w:sz="4" w:space="0" w:color="auto"/>
            </w:tcBorders>
            <w:shd w:val="clear" w:color="auto" w:fill="auto"/>
            <w:vAlign w:val="center"/>
          </w:tcPr>
          <w:p w14:paraId="5D1687A8" w14:textId="77777777" w:rsidR="00A052DC" w:rsidRDefault="009F0A60" w:rsidP="003C405E">
            <w:pPr>
              <w:pStyle w:val="B"/>
              <w:rPr>
                <w:rFonts w:cs="宋体"/>
                <w:szCs w:val="20"/>
              </w:rPr>
            </w:pPr>
            <w:r>
              <w:rPr>
                <w:rFonts w:cs="宋体" w:hint="eastAsia"/>
                <w:szCs w:val="20"/>
              </w:rPr>
              <w:t>使用自然资源的租金</w:t>
            </w:r>
          </w:p>
        </w:tc>
        <w:tc>
          <w:tcPr>
            <w:tcW w:w="1276" w:type="dxa"/>
            <w:tcBorders>
              <w:top w:val="single" w:sz="4" w:space="0" w:color="auto"/>
              <w:left w:val="single" w:sz="4" w:space="0" w:color="auto"/>
              <w:bottom w:val="single" w:sz="4" w:space="0" w:color="auto"/>
              <w:right w:val="single" w:sz="4" w:space="0" w:color="auto"/>
            </w:tcBorders>
            <w:vAlign w:val="center"/>
          </w:tcPr>
          <w:p w14:paraId="445F280D" w14:textId="77777777" w:rsidR="00A052DC" w:rsidRDefault="009F0A60" w:rsidP="003C405E">
            <w:pPr>
              <w:pStyle w:val="B"/>
              <w:rPr>
                <w:rFonts w:cs="宋体"/>
                <w:szCs w:val="20"/>
              </w:rPr>
            </w:pPr>
            <w:r>
              <w:rPr>
                <w:rFonts w:cs="宋体"/>
                <w:szCs w:val="20"/>
              </w:rPr>
              <w:t>N/A</w:t>
            </w:r>
          </w:p>
        </w:tc>
        <w:tc>
          <w:tcPr>
            <w:tcW w:w="2526" w:type="dxa"/>
            <w:tcBorders>
              <w:top w:val="single" w:sz="4" w:space="0" w:color="auto"/>
              <w:left w:val="single" w:sz="4" w:space="0" w:color="auto"/>
              <w:bottom w:val="single" w:sz="4" w:space="0" w:color="auto"/>
              <w:right w:val="single" w:sz="4" w:space="0" w:color="auto"/>
            </w:tcBorders>
            <w:vAlign w:val="center"/>
          </w:tcPr>
          <w:p w14:paraId="11904368" w14:textId="77777777" w:rsidR="00A052DC" w:rsidRDefault="00A052DC" w:rsidP="003C405E">
            <w:pPr>
              <w:pStyle w:val="B"/>
              <w:rPr>
                <w:rFonts w:cs="宋体"/>
                <w:szCs w:val="20"/>
              </w:rPr>
            </w:pPr>
          </w:p>
        </w:tc>
      </w:tr>
      <w:tr w:rsidR="00A052DC" w14:paraId="2B29B0C6" w14:textId="77777777" w:rsidTr="00653B9C">
        <w:trPr>
          <w:trHeight w:val="20"/>
          <w:jc w:val="center"/>
        </w:trPr>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14:paraId="710888F9" w14:textId="77777777" w:rsidR="00A052DC" w:rsidRDefault="00A052DC" w:rsidP="003C405E">
            <w:pPr>
              <w:pStyle w:val="B"/>
              <w:rPr>
                <w:rFonts w:cs="宋体"/>
                <w:szCs w:val="20"/>
              </w:rPr>
            </w:pPr>
          </w:p>
        </w:tc>
        <w:tc>
          <w:tcPr>
            <w:tcW w:w="3594" w:type="dxa"/>
            <w:tcBorders>
              <w:top w:val="single" w:sz="4" w:space="0" w:color="auto"/>
              <w:left w:val="single" w:sz="4" w:space="0" w:color="auto"/>
              <w:bottom w:val="single" w:sz="4" w:space="0" w:color="auto"/>
              <w:right w:val="single" w:sz="4" w:space="0" w:color="auto"/>
            </w:tcBorders>
            <w:shd w:val="clear" w:color="auto" w:fill="auto"/>
            <w:vAlign w:val="center"/>
          </w:tcPr>
          <w:p w14:paraId="6F7BA3FA" w14:textId="77777777" w:rsidR="00A052DC" w:rsidRDefault="009F0A60" w:rsidP="003C405E">
            <w:pPr>
              <w:pStyle w:val="B"/>
              <w:rPr>
                <w:rFonts w:cs="宋体"/>
                <w:szCs w:val="20"/>
              </w:rPr>
            </w:pPr>
            <w:r>
              <w:rPr>
                <w:rFonts w:cs="宋体" w:hint="eastAsia"/>
                <w:szCs w:val="20"/>
              </w:rPr>
              <w:t>二次收入（经常转移）</w:t>
            </w:r>
          </w:p>
        </w:tc>
        <w:tc>
          <w:tcPr>
            <w:tcW w:w="1276" w:type="dxa"/>
            <w:tcBorders>
              <w:top w:val="single" w:sz="4" w:space="0" w:color="auto"/>
              <w:left w:val="single" w:sz="4" w:space="0" w:color="auto"/>
              <w:bottom w:val="single" w:sz="4" w:space="0" w:color="auto"/>
              <w:right w:val="single" w:sz="4" w:space="0" w:color="auto"/>
            </w:tcBorders>
            <w:vAlign w:val="center"/>
          </w:tcPr>
          <w:p w14:paraId="754EA0D5" w14:textId="77777777" w:rsidR="00A052DC" w:rsidRDefault="00A052DC" w:rsidP="003C405E">
            <w:pPr>
              <w:pStyle w:val="B"/>
              <w:rPr>
                <w:rFonts w:cs="宋体"/>
                <w:szCs w:val="20"/>
              </w:rPr>
            </w:pPr>
          </w:p>
        </w:tc>
        <w:tc>
          <w:tcPr>
            <w:tcW w:w="2526" w:type="dxa"/>
            <w:tcBorders>
              <w:top w:val="single" w:sz="4" w:space="0" w:color="auto"/>
              <w:left w:val="single" w:sz="4" w:space="0" w:color="auto"/>
              <w:bottom w:val="single" w:sz="4" w:space="0" w:color="auto"/>
              <w:right w:val="single" w:sz="4" w:space="0" w:color="auto"/>
            </w:tcBorders>
            <w:vAlign w:val="center"/>
          </w:tcPr>
          <w:p w14:paraId="647D04B0" w14:textId="77777777" w:rsidR="00A052DC" w:rsidRDefault="00A052DC" w:rsidP="003C405E">
            <w:pPr>
              <w:pStyle w:val="B"/>
              <w:rPr>
                <w:rFonts w:cs="宋体"/>
                <w:szCs w:val="20"/>
              </w:rPr>
            </w:pPr>
          </w:p>
        </w:tc>
      </w:tr>
      <w:tr w:rsidR="00A052DC" w14:paraId="5112D862" w14:textId="77777777" w:rsidTr="00653B9C">
        <w:trPr>
          <w:trHeight w:val="20"/>
          <w:jc w:val="center"/>
        </w:trPr>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14:paraId="796F77CA" w14:textId="77777777" w:rsidR="00A052DC" w:rsidRDefault="009F0A60" w:rsidP="003C405E">
            <w:pPr>
              <w:pStyle w:val="B"/>
              <w:rPr>
                <w:rFonts w:cs="宋体"/>
                <w:szCs w:val="20"/>
              </w:rPr>
            </w:pPr>
            <w:r>
              <w:rPr>
                <w:rFonts w:cs="宋体"/>
                <w:szCs w:val="20"/>
              </w:rPr>
              <w:t>422000</w:t>
            </w:r>
          </w:p>
        </w:tc>
        <w:tc>
          <w:tcPr>
            <w:tcW w:w="3594" w:type="dxa"/>
            <w:tcBorders>
              <w:top w:val="single" w:sz="4" w:space="0" w:color="auto"/>
              <w:left w:val="single" w:sz="4" w:space="0" w:color="auto"/>
              <w:bottom w:val="single" w:sz="4" w:space="0" w:color="auto"/>
              <w:right w:val="single" w:sz="4" w:space="0" w:color="auto"/>
            </w:tcBorders>
            <w:shd w:val="clear" w:color="auto" w:fill="auto"/>
            <w:vAlign w:val="center"/>
          </w:tcPr>
          <w:p w14:paraId="445374BF" w14:textId="77777777" w:rsidR="00A052DC" w:rsidRDefault="009F0A60" w:rsidP="003C405E">
            <w:pPr>
              <w:pStyle w:val="B"/>
              <w:rPr>
                <w:rFonts w:cs="宋体"/>
                <w:szCs w:val="20"/>
              </w:rPr>
            </w:pPr>
            <w:r>
              <w:rPr>
                <w:rFonts w:cs="宋体" w:hint="eastAsia"/>
                <w:szCs w:val="20"/>
              </w:rPr>
              <w:t>非寿险保险赔偿</w:t>
            </w:r>
          </w:p>
        </w:tc>
        <w:tc>
          <w:tcPr>
            <w:tcW w:w="1276" w:type="dxa"/>
            <w:tcBorders>
              <w:top w:val="single" w:sz="4" w:space="0" w:color="auto"/>
              <w:left w:val="single" w:sz="4" w:space="0" w:color="auto"/>
              <w:bottom w:val="single" w:sz="4" w:space="0" w:color="auto"/>
              <w:right w:val="single" w:sz="4" w:space="0" w:color="auto"/>
            </w:tcBorders>
            <w:vAlign w:val="center"/>
          </w:tcPr>
          <w:p w14:paraId="50B2A0AC" w14:textId="77777777" w:rsidR="00A052DC" w:rsidRDefault="009F0A60" w:rsidP="003C405E">
            <w:pPr>
              <w:pStyle w:val="B"/>
              <w:rPr>
                <w:rFonts w:cs="宋体"/>
                <w:szCs w:val="20"/>
              </w:rPr>
            </w:pPr>
            <w:r>
              <w:rPr>
                <w:rFonts w:cs="宋体"/>
                <w:szCs w:val="20"/>
              </w:rPr>
              <w:t>422000</w:t>
            </w:r>
          </w:p>
        </w:tc>
        <w:tc>
          <w:tcPr>
            <w:tcW w:w="2526" w:type="dxa"/>
            <w:tcBorders>
              <w:top w:val="single" w:sz="4" w:space="0" w:color="auto"/>
              <w:left w:val="single" w:sz="4" w:space="0" w:color="auto"/>
              <w:bottom w:val="single" w:sz="4" w:space="0" w:color="auto"/>
              <w:right w:val="single" w:sz="4" w:space="0" w:color="auto"/>
            </w:tcBorders>
            <w:vAlign w:val="center"/>
          </w:tcPr>
          <w:p w14:paraId="6FCAC5CA" w14:textId="77777777" w:rsidR="00A052DC" w:rsidRDefault="009F0A60" w:rsidP="003C405E">
            <w:pPr>
              <w:pStyle w:val="B"/>
              <w:rPr>
                <w:rFonts w:cs="宋体"/>
                <w:szCs w:val="20"/>
              </w:rPr>
            </w:pPr>
            <w:r>
              <w:rPr>
                <w:rFonts w:cs="宋体" w:hint="eastAsia"/>
                <w:szCs w:val="20"/>
              </w:rPr>
              <w:t>非寿险保险赔偿</w:t>
            </w:r>
          </w:p>
        </w:tc>
      </w:tr>
      <w:tr w:rsidR="00A052DC" w14:paraId="018DE300" w14:textId="77777777" w:rsidTr="00653B9C">
        <w:trPr>
          <w:trHeight w:val="20"/>
          <w:jc w:val="center"/>
        </w:trPr>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14:paraId="5B040722" w14:textId="77777777" w:rsidR="00A052DC" w:rsidRDefault="009F0A60" w:rsidP="003C405E">
            <w:pPr>
              <w:pStyle w:val="B"/>
              <w:rPr>
                <w:rFonts w:cs="宋体"/>
                <w:szCs w:val="20"/>
              </w:rPr>
            </w:pPr>
            <w:r>
              <w:rPr>
                <w:rFonts w:cs="宋体"/>
                <w:szCs w:val="20"/>
              </w:rPr>
              <w:t>424000</w:t>
            </w:r>
          </w:p>
        </w:tc>
        <w:tc>
          <w:tcPr>
            <w:tcW w:w="3594" w:type="dxa"/>
            <w:tcBorders>
              <w:top w:val="single" w:sz="4" w:space="0" w:color="auto"/>
              <w:left w:val="single" w:sz="4" w:space="0" w:color="auto"/>
              <w:bottom w:val="single" w:sz="4" w:space="0" w:color="auto"/>
              <w:right w:val="single" w:sz="4" w:space="0" w:color="auto"/>
            </w:tcBorders>
            <w:shd w:val="clear" w:color="auto" w:fill="auto"/>
            <w:vAlign w:val="center"/>
          </w:tcPr>
          <w:p w14:paraId="449293E5" w14:textId="77777777" w:rsidR="00A052DC" w:rsidRDefault="009F0A60" w:rsidP="003C405E">
            <w:pPr>
              <w:pStyle w:val="B"/>
              <w:rPr>
                <w:rFonts w:cs="宋体"/>
                <w:szCs w:val="20"/>
              </w:rPr>
            </w:pPr>
            <w:r>
              <w:rPr>
                <w:rFonts w:cs="宋体" w:hint="eastAsia"/>
                <w:szCs w:val="20"/>
              </w:rPr>
              <w:t>其他二次收入（经常转移）</w:t>
            </w:r>
          </w:p>
        </w:tc>
        <w:tc>
          <w:tcPr>
            <w:tcW w:w="1276" w:type="dxa"/>
            <w:tcBorders>
              <w:top w:val="single" w:sz="4" w:space="0" w:color="auto"/>
              <w:left w:val="single" w:sz="4" w:space="0" w:color="auto"/>
              <w:bottom w:val="single" w:sz="4" w:space="0" w:color="auto"/>
              <w:right w:val="single" w:sz="4" w:space="0" w:color="auto"/>
            </w:tcBorders>
            <w:vAlign w:val="center"/>
          </w:tcPr>
          <w:p w14:paraId="46408B49" w14:textId="77777777" w:rsidR="00A052DC" w:rsidRDefault="009F0A60" w:rsidP="003C405E">
            <w:pPr>
              <w:pStyle w:val="B"/>
              <w:rPr>
                <w:rFonts w:cs="宋体"/>
                <w:szCs w:val="20"/>
              </w:rPr>
            </w:pPr>
            <w:r>
              <w:rPr>
                <w:rFonts w:cs="宋体"/>
                <w:szCs w:val="20"/>
              </w:rPr>
              <w:t>424000</w:t>
            </w:r>
          </w:p>
        </w:tc>
        <w:tc>
          <w:tcPr>
            <w:tcW w:w="2526" w:type="dxa"/>
            <w:tcBorders>
              <w:top w:val="single" w:sz="4" w:space="0" w:color="auto"/>
              <w:left w:val="single" w:sz="4" w:space="0" w:color="auto"/>
              <w:bottom w:val="single" w:sz="4" w:space="0" w:color="auto"/>
              <w:right w:val="single" w:sz="4" w:space="0" w:color="auto"/>
            </w:tcBorders>
            <w:vAlign w:val="center"/>
          </w:tcPr>
          <w:p w14:paraId="352C5A38" w14:textId="77777777" w:rsidR="00A052DC" w:rsidRDefault="009F0A60" w:rsidP="003C405E">
            <w:pPr>
              <w:pStyle w:val="B"/>
              <w:rPr>
                <w:rFonts w:cs="宋体"/>
                <w:szCs w:val="20"/>
              </w:rPr>
            </w:pPr>
            <w:r>
              <w:rPr>
                <w:rFonts w:cs="宋体" w:hint="eastAsia"/>
                <w:szCs w:val="20"/>
              </w:rPr>
              <w:t>其他二次收入（经常转移）</w:t>
            </w:r>
          </w:p>
        </w:tc>
      </w:tr>
      <w:tr w:rsidR="00A052DC" w14:paraId="5ADF1E41" w14:textId="77777777" w:rsidTr="00653B9C">
        <w:trPr>
          <w:trHeight w:val="20"/>
          <w:jc w:val="center"/>
        </w:trPr>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14:paraId="3B4A2382" w14:textId="77777777" w:rsidR="00A052DC" w:rsidRDefault="00A052DC" w:rsidP="003C405E">
            <w:pPr>
              <w:pStyle w:val="B"/>
              <w:rPr>
                <w:rFonts w:cs="宋体"/>
                <w:szCs w:val="20"/>
              </w:rPr>
            </w:pPr>
          </w:p>
        </w:tc>
        <w:tc>
          <w:tcPr>
            <w:tcW w:w="3594" w:type="dxa"/>
            <w:tcBorders>
              <w:top w:val="single" w:sz="4" w:space="0" w:color="auto"/>
              <w:left w:val="single" w:sz="4" w:space="0" w:color="auto"/>
              <w:bottom w:val="single" w:sz="4" w:space="0" w:color="auto"/>
              <w:right w:val="single" w:sz="4" w:space="0" w:color="auto"/>
            </w:tcBorders>
            <w:shd w:val="clear" w:color="auto" w:fill="auto"/>
            <w:vAlign w:val="center"/>
          </w:tcPr>
          <w:p w14:paraId="26410806" w14:textId="77777777" w:rsidR="00A052DC" w:rsidRDefault="009F0A60" w:rsidP="003C405E">
            <w:pPr>
              <w:pStyle w:val="B"/>
              <w:rPr>
                <w:rFonts w:cs="宋体"/>
                <w:szCs w:val="20"/>
              </w:rPr>
            </w:pPr>
            <w:r>
              <w:rPr>
                <w:rFonts w:cs="宋体" w:hint="eastAsia"/>
                <w:szCs w:val="20"/>
              </w:rPr>
              <w:t>资本账户</w:t>
            </w:r>
          </w:p>
        </w:tc>
        <w:tc>
          <w:tcPr>
            <w:tcW w:w="1276" w:type="dxa"/>
            <w:tcBorders>
              <w:top w:val="single" w:sz="4" w:space="0" w:color="auto"/>
              <w:left w:val="single" w:sz="4" w:space="0" w:color="auto"/>
              <w:bottom w:val="single" w:sz="4" w:space="0" w:color="auto"/>
              <w:right w:val="single" w:sz="4" w:space="0" w:color="auto"/>
            </w:tcBorders>
            <w:vAlign w:val="center"/>
          </w:tcPr>
          <w:p w14:paraId="27DD8C4C" w14:textId="77777777" w:rsidR="00A052DC" w:rsidRDefault="00A052DC" w:rsidP="003C405E">
            <w:pPr>
              <w:pStyle w:val="B"/>
              <w:rPr>
                <w:rFonts w:cs="宋体"/>
                <w:szCs w:val="20"/>
              </w:rPr>
            </w:pPr>
          </w:p>
        </w:tc>
        <w:tc>
          <w:tcPr>
            <w:tcW w:w="2526" w:type="dxa"/>
            <w:tcBorders>
              <w:top w:val="single" w:sz="4" w:space="0" w:color="auto"/>
              <w:left w:val="single" w:sz="4" w:space="0" w:color="auto"/>
              <w:bottom w:val="single" w:sz="4" w:space="0" w:color="auto"/>
              <w:right w:val="single" w:sz="4" w:space="0" w:color="auto"/>
            </w:tcBorders>
            <w:vAlign w:val="center"/>
          </w:tcPr>
          <w:p w14:paraId="795C0956" w14:textId="77777777" w:rsidR="00A052DC" w:rsidRDefault="00A052DC" w:rsidP="003C405E">
            <w:pPr>
              <w:pStyle w:val="B"/>
              <w:rPr>
                <w:rFonts w:cs="宋体"/>
                <w:szCs w:val="20"/>
              </w:rPr>
            </w:pPr>
          </w:p>
        </w:tc>
      </w:tr>
      <w:tr w:rsidR="00A052DC" w14:paraId="5F716AA3" w14:textId="77777777" w:rsidTr="00653B9C">
        <w:trPr>
          <w:trHeight w:val="20"/>
          <w:jc w:val="center"/>
        </w:trPr>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14:paraId="3C9880C0" w14:textId="77777777" w:rsidR="00A052DC" w:rsidRDefault="00A052DC" w:rsidP="003C405E">
            <w:pPr>
              <w:pStyle w:val="B"/>
              <w:rPr>
                <w:rFonts w:cs="宋体"/>
                <w:szCs w:val="20"/>
              </w:rPr>
            </w:pPr>
          </w:p>
        </w:tc>
        <w:tc>
          <w:tcPr>
            <w:tcW w:w="3594" w:type="dxa"/>
            <w:tcBorders>
              <w:top w:val="single" w:sz="4" w:space="0" w:color="auto"/>
              <w:left w:val="single" w:sz="4" w:space="0" w:color="auto"/>
              <w:bottom w:val="single" w:sz="4" w:space="0" w:color="auto"/>
              <w:right w:val="single" w:sz="4" w:space="0" w:color="auto"/>
            </w:tcBorders>
            <w:shd w:val="clear" w:color="auto" w:fill="auto"/>
            <w:vAlign w:val="center"/>
          </w:tcPr>
          <w:p w14:paraId="4190171F" w14:textId="77777777" w:rsidR="00A052DC" w:rsidRDefault="009F0A60" w:rsidP="003C405E">
            <w:pPr>
              <w:pStyle w:val="B"/>
              <w:rPr>
                <w:rFonts w:cs="宋体"/>
                <w:szCs w:val="20"/>
              </w:rPr>
            </w:pPr>
            <w:r>
              <w:rPr>
                <w:rFonts w:cs="宋体" w:hint="eastAsia"/>
                <w:szCs w:val="20"/>
              </w:rPr>
              <w:t>资本转移</w:t>
            </w:r>
          </w:p>
        </w:tc>
        <w:tc>
          <w:tcPr>
            <w:tcW w:w="1276" w:type="dxa"/>
            <w:tcBorders>
              <w:top w:val="single" w:sz="4" w:space="0" w:color="auto"/>
              <w:left w:val="single" w:sz="4" w:space="0" w:color="auto"/>
              <w:bottom w:val="single" w:sz="4" w:space="0" w:color="auto"/>
              <w:right w:val="single" w:sz="4" w:space="0" w:color="auto"/>
            </w:tcBorders>
            <w:vAlign w:val="center"/>
          </w:tcPr>
          <w:p w14:paraId="4FD3E424" w14:textId="77777777" w:rsidR="00A052DC" w:rsidRDefault="00A052DC" w:rsidP="003C405E">
            <w:pPr>
              <w:pStyle w:val="B"/>
              <w:rPr>
                <w:rFonts w:cs="宋体"/>
                <w:szCs w:val="20"/>
              </w:rPr>
            </w:pPr>
          </w:p>
        </w:tc>
        <w:tc>
          <w:tcPr>
            <w:tcW w:w="2526" w:type="dxa"/>
            <w:tcBorders>
              <w:top w:val="single" w:sz="4" w:space="0" w:color="auto"/>
              <w:left w:val="single" w:sz="4" w:space="0" w:color="auto"/>
              <w:bottom w:val="single" w:sz="4" w:space="0" w:color="auto"/>
              <w:right w:val="single" w:sz="4" w:space="0" w:color="auto"/>
            </w:tcBorders>
            <w:vAlign w:val="center"/>
          </w:tcPr>
          <w:p w14:paraId="0EE417CA" w14:textId="77777777" w:rsidR="00A052DC" w:rsidRDefault="00A052DC" w:rsidP="003C405E">
            <w:pPr>
              <w:pStyle w:val="B"/>
              <w:rPr>
                <w:rFonts w:cs="宋体"/>
                <w:szCs w:val="20"/>
              </w:rPr>
            </w:pPr>
          </w:p>
        </w:tc>
      </w:tr>
      <w:tr w:rsidR="00A052DC" w14:paraId="47D39B3C" w14:textId="77777777" w:rsidTr="00653B9C">
        <w:trPr>
          <w:trHeight w:val="20"/>
          <w:jc w:val="center"/>
        </w:trPr>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14:paraId="1D14C948" w14:textId="77777777" w:rsidR="00A052DC" w:rsidRDefault="009F0A60" w:rsidP="003C405E">
            <w:pPr>
              <w:pStyle w:val="B"/>
              <w:rPr>
                <w:rFonts w:cs="宋体"/>
                <w:szCs w:val="20"/>
              </w:rPr>
            </w:pPr>
            <w:r>
              <w:rPr>
                <w:rFonts w:cs="宋体"/>
                <w:szCs w:val="20"/>
              </w:rPr>
              <w:t>521010</w:t>
            </w:r>
          </w:p>
        </w:tc>
        <w:tc>
          <w:tcPr>
            <w:tcW w:w="3594" w:type="dxa"/>
            <w:tcBorders>
              <w:top w:val="single" w:sz="4" w:space="0" w:color="auto"/>
              <w:left w:val="single" w:sz="4" w:space="0" w:color="auto"/>
              <w:bottom w:val="single" w:sz="4" w:space="0" w:color="auto"/>
              <w:right w:val="single" w:sz="4" w:space="0" w:color="auto"/>
            </w:tcBorders>
            <w:shd w:val="clear" w:color="auto" w:fill="auto"/>
            <w:vAlign w:val="center"/>
          </w:tcPr>
          <w:p w14:paraId="417A8F5F" w14:textId="77777777" w:rsidR="00A052DC" w:rsidRDefault="009F0A60" w:rsidP="003C405E">
            <w:pPr>
              <w:pStyle w:val="B"/>
              <w:rPr>
                <w:rFonts w:cs="宋体"/>
                <w:szCs w:val="20"/>
              </w:rPr>
            </w:pPr>
            <w:r>
              <w:rPr>
                <w:rFonts w:cs="宋体" w:hint="eastAsia"/>
                <w:szCs w:val="20"/>
              </w:rPr>
              <w:t>债务减免</w:t>
            </w:r>
          </w:p>
        </w:tc>
        <w:tc>
          <w:tcPr>
            <w:tcW w:w="1276" w:type="dxa"/>
            <w:tcBorders>
              <w:top w:val="single" w:sz="4" w:space="0" w:color="auto"/>
              <w:left w:val="single" w:sz="4" w:space="0" w:color="auto"/>
              <w:bottom w:val="single" w:sz="4" w:space="0" w:color="auto"/>
              <w:right w:val="single" w:sz="4" w:space="0" w:color="auto"/>
            </w:tcBorders>
            <w:vAlign w:val="center"/>
          </w:tcPr>
          <w:p w14:paraId="15DAFC8A" w14:textId="77777777" w:rsidR="00A052DC" w:rsidRDefault="009F0A60" w:rsidP="003C405E">
            <w:pPr>
              <w:pStyle w:val="B"/>
              <w:rPr>
                <w:rFonts w:cs="宋体"/>
                <w:szCs w:val="20"/>
              </w:rPr>
            </w:pPr>
            <w:r>
              <w:rPr>
                <w:rFonts w:cs="宋体"/>
                <w:szCs w:val="20"/>
              </w:rPr>
              <w:t>521010</w:t>
            </w:r>
          </w:p>
        </w:tc>
        <w:tc>
          <w:tcPr>
            <w:tcW w:w="2526" w:type="dxa"/>
            <w:tcBorders>
              <w:top w:val="single" w:sz="4" w:space="0" w:color="auto"/>
              <w:left w:val="single" w:sz="4" w:space="0" w:color="auto"/>
              <w:bottom w:val="single" w:sz="4" w:space="0" w:color="auto"/>
              <w:right w:val="single" w:sz="4" w:space="0" w:color="auto"/>
            </w:tcBorders>
            <w:vAlign w:val="center"/>
          </w:tcPr>
          <w:p w14:paraId="0D17097C" w14:textId="77777777" w:rsidR="00A052DC" w:rsidRDefault="009F0A60" w:rsidP="003C405E">
            <w:pPr>
              <w:pStyle w:val="B"/>
              <w:rPr>
                <w:rFonts w:cs="宋体"/>
                <w:szCs w:val="20"/>
              </w:rPr>
            </w:pPr>
            <w:r>
              <w:rPr>
                <w:rFonts w:cs="宋体" w:hint="eastAsia"/>
                <w:szCs w:val="20"/>
              </w:rPr>
              <w:t>债务减免</w:t>
            </w:r>
          </w:p>
        </w:tc>
      </w:tr>
      <w:tr w:rsidR="00A052DC" w14:paraId="305515CF" w14:textId="77777777" w:rsidTr="00653B9C">
        <w:trPr>
          <w:trHeight w:val="20"/>
          <w:jc w:val="center"/>
        </w:trPr>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14:paraId="1BF727B0" w14:textId="77777777" w:rsidR="00A052DC" w:rsidRDefault="009F0A60" w:rsidP="003C405E">
            <w:pPr>
              <w:pStyle w:val="B"/>
              <w:rPr>
                <w:rFonts w:cs="宋体"/>
                <w:szCs w:val="20"/>
              </w:rPr>
            </w:pPr>
            <w:r>
              <w:rPr>
                <w:rFonts w:cs="宋体"/>
                <w:szCs w:val="20"/>
              </w:rPr>
              <w:t>521020</w:t>
            </w:r>
          </w:p>
        </w:tc>
        <w:tc>
          <w:tcPr>
            <w:tcW w:w="3594" w:type="dxa"/>
            <w:tcBorders>
              <w:top w:val="single" w:sz="4" w:space="0" w:color="auto"/>
              <w:left w:val="single" w:sz="4" w:space="0" w:color="auto"/>
              <w:bottom w:val="single" w:sz="4" w:space="0" w:color="auto"/>
              <w:right w:val="single" w:sz="4" w:space="0" w:color="auto"/>
            </w:tcBorders>
            <w:shd w:val="clear" w:color="auto" w:fill="auto"/>
            <w:vAlign w:val="center"/>
          </w:tcPr>
          <w:p w14:paraId="73BA4B13" w14:textId="77777777" w:rsidR="00A052DC" w:rsidRDefault="009F0A60" w:rsidP="003C405E">
            <w:pPr>
              <w:pStyle w:val="B"/>
              <w:rPr>
                <w:rFonts w:cs="宋体"/>
                <w:szCs w:val="20"/>
              </w:rPr>
            </w:pPr>
            <w:r>
              <w:rPr>
                <w:rFonts w:cs="宋体"/>
                <w:szCs w:val="20"/>
              </w:rPr>
              <w:t>与固定资产有关的捐赠及无偿援助</w:t>
            </w:r>
          </w:p>
        </w:tc>
        <w:tc>
          <w:tcPr>
            <w:tcW w:w="1276" w:type="dxa"/>
            <w:tcBorders>
              <w:top w:val="single" w:sz="4" w:space="0" w:color="auto"/>
              <w:left w:val="single" w:sz="4" w:space="0" w:color="auto"/>
              <w:bottom w:val="single" w:sz="4" w:space="0" w:color="auto"/>
              <w:right w:val="single" w:sz="4" w:space="0" w:color="auto"/>
            </w:tcBorders>
            <w:vAlign w:val="center"/>
          </w:tcPr>
          <w:p w14:paraId="4CDF0453" w14:textId="77777777" w:rsidR="00A052DC" w:rsidRDefault="009F0A60" w:rsidP="003C405E">
            <w:pPr>
              <w:pStyle w:val="B"/>
              <w:rPr>
                <w:rFonts w:cs="宋体"/>
                <w:szCs w:val="20"/>
              </w:rPr>
            </w:pPr>
            <w:r>
              <w:rPr>
                <w:rFonts w:cs="宋体"/>
                <w:szCs w:val="20"/>
              </w:rPr>
              <w:t>N/A</w:t>
            </w:r>
          </w:p>
        </w:tc>
        <w:tc>
          <w:tcPr>
            <w:tcW w:w="2526" w:type="dxa"/>
            <w:tcBorders>
              <w:top w:val="single" w:sz="4" w:space="0" w:color="auto"/>
              <w:left w:val="single" w:sz="4" w:space="0" w:color="auto"/>
              <w:bottom w:val="single" w:sz="4" w:space="0" w:color="auto"/>
              <w:right w:val="single" w:sz="4" w:space="0" w:color="auto"/>
            </w:tcBorders>
            <w:vAlign w:val="center"/>
          </w:tcPr>
          <w:p w14:paraId="22B5B7B3" w14:textId="77777777" w:rsidR="00A052DC" w:rsidRDefault="00A052DC" w:rsidP="003C405E">
            <w:pPr>
              <w:pStyle w:val="B"/>
              <w:rPr>
                <w:rFonts w:cs="宋体"/>
                <w:szCs w:val="20"/>
              </w:rPr>
            </w:pPr>
          </w:p>
        </w:tc>
      </w:tr>
      <w:tr w:rsidR="00A052DC" w14:paraId="741AC905" w14:textId="77777777" w:rsidTr="00653B9C">
        <w:trPr>
          <w:trHeight w:val="20"/>
          <w:jc w:val="center"/>
        </w:trPr>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14:paraId="4B32807D" w14:textId="77777777" w:rsidR="00A052DC" w:rsidRDefault="009F0A60" w:rsidP="003C405E">
            <w:pPr>
              <w:pStyle w:val="B"/>
              <w:rPr>
                <w:rFonts w:cs="宋体"/>
                <w:szCs w:val="20"/>
              </w:rPr>
            </w:pPr>
            <w:r>
              <w:rPr>
                <w:rFonts w:cs="宋体"/>
                <w:szCs w:val="20"/>
              </w:rPr>
              <w:t>521990</w:t>
            </w:r>
          </w:p>
        </w:tc>
        <w:tc>
          <w:tcPr>
            <w:tcW w:w="3594" w:type="dxa"/>
            <w:tcBorders>
              <w:top w:val="single" w:sz="4" w:space="0" w:color="auto"/>
              <w:left w:val="single" w:sz="4" w:space="0" w:color="auto"/>
              <w:bottom w:val="single" w:sz="4" w:space="0" w:color="auto"/>
              <w:right w:val="single" w:sz="4" w:space="0" w:color="auto"/>
            </w:tcBorders>
            <w:shd w:val="clear" w:color="auto" w:fill="auto"/>
            <w:vAlign w:val="center"/>
          </w:tcPr>
          <w:p w14:paraId="6B781087" w14:textId="77777777" w:rsidR="00A052DC" w:rsidRDefault="009F0A60" w:rsidP="003C405E">
            <w:pPr>
              <w:pStyle w:val="B"/>
              <w:rPr>
                <w:rFonts w:cs="宋体"/>
                <w:szCs w:val="20"/>
              </w:rPr>
            </w:pPr>
            <w:r>
              <w:rPr>
                <w:rFonts w:cs="宋体" w:hint="eastAsia"/>
                <w:szCs w:val="20"/>
              </w:rPr>
              <w:t>其他资本转移</w:t>
            </w:r>
          </w:p>
        </w:tc>
        <w:tc>
          <w:tcPr>
            <w:tcW w:w="1276" w:type="dxa"/>
            <w:tcBorders>
              <w:top w:val="single" w:sz="4" w:space="0" w:color="auto"/>
              <w:left w:val="single" w:sz="4" w:space="0" w:color="auto"/>
              <w:bottom w:val="single" w:sz="4" w:space="0" w:color="auto"/>
              <w:right w:val="single" w:sz="4" w:space="0" w:color="auto"/>
            </w:tcBorders>
            <w:vAlign w:val="center"/>
          </w:tcPr>
          <w:p w14:paraId="781EF211" w14:textId="77777777" w:rsidR="00A052DC" w:rsidRDefault="009F0A60" w:rsidP="003C405E">
            <w:pPr>
              <w:pStyle w:val="B"/>
              <w:rPr>
                <w:rFonts w:cs="宋体"/>
                <w:szCs w:val="20"/>
              </w:rPr>
            </w:pPr>
            <w:r>
              <w:rPr>
                <w:rFonts w:cs="宋体"/>
                <w:szCs w:val="20"/>
              </w:rPr>
              <w:t>521990</w:t>
            </w:r>
          </w:p>
        </w:tc>
        <w:tc>
          <w:tcPr>
            <w:tcW w:w="2526" w:type="dxa"/>
            <w:tcBorders>
              <w:top w:val="single" w:sz="4" w:space="0" w:color="auto"/>
              <w:left w:val="single" w:sz="4" w:space="0" w:color="auto"/>
              <w:bottom w:val="single" w:sz="4" w:space="0" w:color="auto"/>
              <w:right w:val="single" w:sz="4" w:space="0" w:color="auto"/>
            </w:tcBorders>
            <w:vAlign w:val="center"/>
          </w:tcPr>
          <w:p w14:paraId="56396D16" w14:textId="77777777" w:rsidR="00A052DC" w:rsidRDefault="009F0A60" w:rsidP="003C405E">
            <w:pPr>
              <w:pStyle w:val="B"/>
              <w:rPr>
                <w:rFonts w:cs="宋体"/>
                <w:szCs w:val="20"/>
              </w:rPr>
            </w:pPr>
            <w:r>
              <w:rPr>
                <w:rFonts w:cs="宋体" w:hint="eastAsia"/>
                <w:szCs w:val="20"/>
              </w:rPr>
              <w:t>其他资本转移</w:t>
            </w:r>
          </w:p>
        </w:tc>
      </w:tr>
      <w:tr w:rsidR="00A052DC" w14:paraId="44F537E1" w14:textId="77777777" w:rsidTr="00653B9C">
        <w:trPr>
          <w:trHeight w:val="20"/>
          <w:jc w:val="center"/>
        </w:trPr>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14:paraId="429EB176" w14:textId="77777777" w:rsidR="00A052DC" w:rsidRDefault="00A052DC" w:rsidP="003C405E">
            <w:pPr>
              <w:pStyle w:val="B"/>
              <w:rPr>
                <w:rFonts w:cs="宋体"/>
                <w:szCs w:val="20"/>
              </w:rPr>
            </w:pPr>
          </w:p>
        </w:tc>
        <w:tc>
          <w:tcPr>
            <w:tcW w:w="3594" w:type="dxa"/>
            <w:tcBorders>
              <w:top w:val="single" w:sz="4" w:space="0" w:color="auto"/>
              <w:left w:val="single" w:sz="4" w:space="0" w:color="auto"/>
              <w:bottom w:val="single" w:sz="4" w:space="0" w:color="auto"/>
              <w:right w:val="single" w:sz="4" w:space="0" w:color="auto"/>
            </w:tcBorders>
            <w:shd w:val="clear" w:color="auto" w:fill="auto"/>
            <w:vAlign w:val="center"/>
          </w:tcPr>
          <w:p w14:paraId="5D0AE464" w14:textId="77777777" w:rsidR="00A052DC" w:rsidRDefault="009F0A60" w:rsidP="003C405E">
            <w:pPr>
              <w:pStyle w:val="B"/>
              <w:rPr>
                <w:rFonts w:cs="宋体"/>
                <w:szCs w:val="20"/>
              </w:rPr>
            </w:pPr>
            <w:r>
              <w:rPr>
                <w:rFonts w:cs="宋体" w:hint="eastAsia"/>
                <w:szCs w:val="20"/>
              </w:rPr>
              <w:t>非生产非金融资产转让</w:t>
            </w:r>
          </w:p>
        </w:tc>
        <w:tc>
          <w:tcPr>
            <w:tcW w:w="1276" w:type="dxa"/>
            <w:tcBorders>
              <w:top w:val="single" w:sz="4" w:space="0" w:color="auto"/>
              <w:left w:val="single" w:sz="4" w:space="0" w:color="auto"/>
              <w:bottom w:val="single" w:sz="4" w:space="0" w:color="auto"/>
              <w:right w:val="single" w:sz="4" w:space="0" w:color="auto"/>
            </w:tcBorders>
            <w:vAlign w:val="center"/>
          </w:tcPr>
          <w:p w14:paraId="05E8B915" w14:textId="77777777" w:rsidR="00A052DC" w:rsidRDefault="00A052DC" w:rsidP="003C405E">
            <w:pPr>
              <w:pStyle w:val="B"/>
              <w:rPr>
                <w:rFonts w:cs="宋体"/>
                <w:szCs w:val="20"/>
              </w:rPr>
            </w:pPr>
          </w:p>
        </w:tc>
        <w:tc>
          <w:tcPr>
            <w:tcW w:w="2526" w:type="dxa"/>
            <w:tcBorders>
              <w:top w:val="single" w:sz="4" w:space="0" w:color="auto"/>
              <w:left w:val="single" w:sz="4" w:space="0" w:color="auto"/>
              <w:bottom w:val="single" w:sz="4" w:space="0" w:color="auto"/>
              <w:right w:val="single" w:sz="4" w:space="0" w:color="auto"/>
            </w:tcBorders>
            <w:vAlign w:val="center"/>
          </w:tcPr>
          <w:p w14:paraId="4C110B8F" w14:textId="77777777" w:rsidR="00A052DC" w:rsidRDefault="00A052DC" w:rsidP="003C405E">
            <w:pPr>
              <w:pStyle w:val="B"/>
              <w:rPr>
                <w:rFonts w:cs="宋体"/>
                <w:szCs w:val="20"/>
              </w:rPr>
            </w:pPr>
          </w:p>
        </w:tc>
      </w:tr>
      <w:tr w:rsidR="00A052DC" w14:paraId="7438D3A1" w14:textId="77777777" w:rsidTr="00653B9C">
        <w:trPr>
          <w:trHeight w:val="20"/>
          <w:jc w:val="center"/>
        </w:trPr>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14:paraId="0E6D7ECB" w14:textId="77777777" w:rsidR="00A052DC" w:rsidRDefault="009F0A60" w:rsidP="003C405E">
            <w:pPr>
              <w:pStyle w:val="B"/>
              <w:rPr>
                <w:rFonts w:cs="宋体"/>
                <w:szCs w:val="20"/>
              </w:rPr>
            </w:pPr>
            <w:r>
              <w:rPr>
                <w:rFonts w:cs="宋体"/>
                <w:szCs w:val="20"/>
              </w:rPr>
              <w:t>522000</w:t>
            </w:r>
          </w:p>
        </w:tc>
        <w:tc>
          <w:tcPr>
            <w:tcW w:w="3594" w:type="dxa"/>
            <w:tcBorders>
              <w:top w:val="single" w:sz="4" w:space="0" w:color="auto"/>
              <w:left w:val="single" w:sz="4" w:space="0" w:color="auto"/>
              <w:bottom w:val="single" w:sz="4" w:space="0" w:color="auto"/>
              <w:right w:val="single" w:sz="4" w:space="0" w:color="auto"/>
            </w:tcBorders>
            <w:shd w:val="clear" w:color="auto" w:fill="auto"/>
            <w:vAlign w:val="center"/>
          </w:tcPr>
          <w:p w14:paraId="19A5F33C" w14:textId="77777777" w:rsidR="00A052DC" w:rsidRDefault="009F0A60" w:rsidP="003C405E">
            <w:pPr>
              <w:pStyle w:val="B"/>
              <w:rPr>
                <w:rFonts w:cs="宋体"/>
                <w:szCs w:val="20"/>
              </w:rPr>
            </w:pPr>
            <w:r>
              <w:rPr>
                <w:rFonts w:cs="宋体" w:hint="eastAsia"/>
                <w:szCs w:val="20"/>
              </w:rPr>
              <w:t>品牌、商标、契约和许可所有权等非生产非金融资产转让</w:t>
            </w:r>
          </w:p>
        </w:tc>
        <w:tc>
          <w:tcPr>
            <w:tcW w:w="1276" w:type="dxa"/>
            <w:tcBorders>
              <w:top w:val="single" w:sz="4" w:space="0" w:color="auto"/>
              <w:left w:val="single" w:sz="4" w:space="0" w:color="auto"/>
              <w:bottom w:val="single" w:sz="4" w:space="0" w:color="auto"/>
              <w:right w:val="single" w:sz="4" w:space="0" w:color="auto"/>
            </w:tcBorders>
            <w:vAlign w:val="center"/>
          </w:tcPr>
          <w:p w14:paraId="0E711533" w14:textId="77777777" w:rsidR="00A052DC" w:rsidRDefault="009F0A60" w:rsidP="003C405E">
            <w:pPr>
              <w:pStyle w:val="B"/>
              <w:rPr>
                <w:rFonts w:cs="宋体"/>
                <w:szCs w:val="20"/>
              </w:rPr>
            </w:pPr>
            <w:r>
              <w:rPr>
                <w:rFonts w:cs="宋体"/>
                <w:szCs w:val="20"/>
              </w:rPr>
              <w:t>N/A</w:t>
            </w:r>
          </w:p>
        </w:tc>
        <w:tc>
          <w:tcPr>
            <w:tcW w:w="2526" w:type="dxa"/>
            <w:tcBorders>
              <w:top w:val="single" w:sz="4" w:space="0" w:color="auto"/>
              <w:left w:val="single" w:sz="4" w:space="0" w:color="auto"/>
              <w:bottom w:val="single" w:sz="4" w:space="0" w:color="auto"/>
              <w:right w:val="single" w:sz="4" w:space="0" w:color="auto"/>
            </w:tcBorders>
            <w:vAlign w:val="center"/>
          </w:tcPr>
          <w:p w14:paraId="2346F52F" w14:textId="77777777" w:rsidR="00A052DC" w:rsidRDefault="00A052DC" w:rsidP="003C405E">
            <w:pPr>
              <w:pStyle w:val="B"/>
              <w:rPr>
                <w:rFonts w:cs="宋体"/>
                <w:szCs w:val="20"/>
              </w:rPr>
            </w:pPr>
          </w:p>
        </w:tc>
      </w:tr>
      <w:tr w:rsidR="00A052DC" w14:paraId="730D81DE" w14:textId="77777777" w:rsidTr="00653B9C">
        <w:trPr>
          <w:trHeight w:val="20"/>
          <w:jc w:val="center"/>
        </w:trPr>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14:paraId="431BB33C" w14:textId="77777777" w:rsidR="00A052DC" w:rsidRDefault="00A052DC" w:rsidP="003C405E">
            <w:pPr>
              <w:pStyle w:val="B"/>
              <w:rPr>
                <w:rFonts w:cs="宋体"/>
                <w:szCs w:val="20"/>
              </w:rPr>
            </w:pPr>
          </w:p>
        </w:tc>
        <w:tc>
          <w:tcPr>
            <w:tcW w:w="3594" w:type="dxa"/>
            <w:tcBorders>
              <w:top w:val="single" w:sz="4" w:space="0" w:color="auto"/>
              <w:left w:val="single" w:sz="4" w:space="0" w:color="auto"/>
              <w:bottom w:val="single" w:sz="4" w:space="0" w:color="auto"/>
              <w:right w:val="single" w:sz="4" w:space="0" w:color="auto"/>
            </w:tcBorders>
            <w:shd w:val="clear" w:color="auto" w:fill="auto"/>
            <w:vAlign w:val="center"/>
          </w:tcPr>
          <w:p w14:paraId="18B7E66E" w14:textId="77777777" w:rsidR="00A052DC" w:rsidRDefault="009F0A60" w:rsidP="003C405E">
            <w:pPr>
              <w:pStyle w:val="B"/>
              <w:rPr>
                <w:rFonts w:cs="宋体"/>
                <w:szCs w:val="20"/>
              </w:rPr>
            </w:pPr>
            <w:r>
              <w:rPr>
                <w:rFonts w:cs="宋体" w:hint="eastAsia"/>
                <w:szCs w:val="20"/>
              </w:rPr>
              <w:t>代扣代缴税</w:t>
            </w:r>
          </w:p>
        </w:tc>
        <w:tc>
          <w:tcPr>
            <w:tcW w:w="1276" w:type="dxa"/>
            <w:tcBorders>
              <w:top w:val="single" w:sz="4" w:space="0" w:color="auto"/>
              <w:left w:val="single" w:sz="4" w:space="0" w:color="auto"/>
              <w:bottom w:val="single" w:sz="4" w:space="0" w:color="auto"/>
              <w:right w:val="single" w:sz="4" w:space="0" w:color="auto"/>
            </w:tcBorders>
            <w:vAlign w:val="center"/>
          </w:tcPr>
          <w:p w14:paraId="620FD76F" w14:textId="77777777" w:rsidR="00A052DC" w:rsidRDefault="00A052DC" w:rsidP="003C405E">
            <w:pPr>
              <w:pStyle w:val="B"/>
              <w:rPr>
                <w:rFonts w:cs="宋体"/>
                <w:szCs w:val="20"/>
              </w:rPr>
            </w:pPr>
          </w:p>
        </w:tc>
        <w:tc>
          <w:tcPr>
            <w:tcW w:w="2526" w:type="dxa"/>
            <w:tcBorders>
              <w:top w:val="single" w:sz="4" w:space="0" w:color="auto"/>
              <w:left w:val="single" w:sz="4" w:space="0" w:color="auto"/>
              <w:bottom w:val="single" w:sz="4" w:space="0" w:color="auto"/>
              <w:right w:val="single" w:sz="4" w:space="0" w:color="auto"/>
            </w:tcBorders>
            <w:vAlign w:val="center"/>
          </w:tcPr>
          <w:p w14:paraId="14C8B67C" w14:textId="77777777" w:rsidR="00A052DC" w:rsidRDefault="00A052DC" w:rsidP="003C405E">
            <w:pPr>
              <w:pStyle w:val="B"/>
              <w:rPr>
                <w:rFonts w:cs="宋体"/>
                <w:szCs w:val="20"/>
              </w:rPr>
            </w:pPr>
          </w:p>
        </w:tc>
      </w:tr>
      <w:tr w:rsidR="00A052DC" w14:paraId="2A3BFC1D" w14:textId="77777777" w:rsidTr="00653B9C">
        <w:trPr>
          <w:trHeight w:val="20"/>
          <w:jc w:val="center"/>
        </w:trPr>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14:paraId="683C2525" w14:textId="77777777" w:rsidR="00A052DC" w:rsidRDefault="009F0A60" w:rsidP="003C405E">
            <w:pPr>
              <w:pStyle w:val="B"/>
              <w:rPr>
                <w:rFonts w:cs="宋体"/>
                <w:szCs w:val="20"/>
              </w:rPr>
            </w:pPr>
            <w:r>
              <w:rPr>
                <w:rFonts w:cs="宋体"/>
                <w:szCs w:val="20"/>
              </w:rPr>
              <w:t>600000</w:t>
            </w:r>
          </w:p>
        </w:tc>
        <w:tc>
          <w:tcPr>
            <w:tcW w:w="3594" w:type="dxa"/>
            <w:tcBorders>
              <w:top w:val="single" w:sz="4" w:space="0" w:color="auto"/>
              <w:left w:val="single" w:sz="4" w:space="0" w:color="auto"/>
              <w:bottom w:val="single" w:sz="4" w:space="0" w:color="auto"/>
              <w:right w:val="single" w:sz="4" w:space="0" w:color="auto"/>
            </w:tcBorders>
            <w:shd w:val="clear" w:color="auto" w:fill="auto"/>
            <w:vAlign w:val="center"/>
          </w:tcPr>
          <w:p w14:paraId="6669F440" w14:textId="77777777" w:rsidR="00A052DC" w:rsidRDefault="009F0A60" w:rsidP="003C405E">
            <w:pPr>
              <w:pStyle w:val="B"/>
              <w:rPr>
                <w:rFonts w:cs="宋体"/>
                <w:szCs w:val="20"/>
              </w:rPr>
            </w:pPr>
            <w:r>
              <w:rPr>
                <w:rFonts w:cs="宋体" w:hint="eastAsia"/>
                <w:szCs w:val="20"/>
              </w:rPr>
              <w:t>代扣代缴税</w:t>
            </w:r>
          </w:p>
        </w:tc>
        <w:tc>
          <w:tcPr>
            <w:tcW w:w="1276" w:type="dxa"/>
            <w:tcBorders>
              <w:top w:val="single" w:sz="4" w:space="0" w:color="auto"/>
              <w:left w:val="single" w:sz="4" w:space="0" w:color="auto"/>
              <w:bottom w:val="single" w:sz="4" w:space="0" w:color="auto"/>
              <w:right w:val="single" w:sz="4" w:space="0" w:color="auto"/>
            </w:tcBorders>
            <w:vAlign w:val="center"/>
          </w:tcPr>
          <w:p w14:paraId="09CC261A" w14:textId="77777777" w:rsidR="00A052DC" w:rsidRDefault="009F0A60" w:rsidP="003C405E">
            <w:pPr>
              <w:pStyle w:val="B"/>
              <w:rPr>
                <w:rFonts w:cs="宋体"/>
                <w:szCs w:val="20"/>
              </w:rPr>
            </w:pPr>
            <w:r>
              <w:rPr>
                <w:rFonts w:cs="宋体"/>
                <w:szCs w:val="20"/>
              </w:rPr>
              <w:t>600000</w:t>
            </w:r>
          </w:p>
        </w:tc>
        <w:tc>
          <w:tcPr>
            <w:tcW w:w="2526" w:type="dxa"/>
            <w:tcBorders>
              <w:top w:val="single" w:sz="4" w:space="0" w:color="auto"/>
              <w:left w:val="single" w:sz="4" w:space="0" w:color="auto"/>
              <w:bottom w:val="single" w:sz="4" w:space="0" w:color="auto"/>
              <w:right w:val="single" w:sz="4" w:space="0" w:color="auto"/>
            </w:tcBorders>
            <w:vAlign w:val="center"/>
          </w:tcPr>
          <w:p w14:paraId="77DE67AB" w14:textId="77777777" w:rsidR="00A052DC" w:rsidRDefault="009F0A60" w:rsidP="003C405E">
            <w:pPr>
              <w:pStyle w:val="B"/>
              <w:rPr>
                <w:rFonts w:cs="宋体"/>
                <w:szCs w:val="20"/>
              </w:rPr>
            </w:pPr>
            <w:r>
              <w:rPr>
                <w:rFonts w:cs="宋体" w:hint="eastAsia"/>
                <w:szCs w:val="20"/>
              </w:rPr>
              <w:t>代扣代缴税</w:t>
            </w:r>
          </w:p>
        </w:tc>
      </w:tr>
    </w:tbl>
    <w:p w14:paraId="5A43BB13" w14:textId="77777777" w:rsidR="00A052DC" w:rsidRDefault="00A052DC">
      <w:pPr>
        <w:pStyle w:val="B"/>
      </w:pPr>
    </w:p>
    <w:p w14:paraId="736CC03C" w14:textId="77777777" w:rsidR="00A052DC" w:rsidRDefault="009F0A60" w:rsidP="0020251D">
      <w:pPr>
        <w:pStyle w:val="3"/>
        <w:ind w:left="0"/>
        <w:rPr>
          <w:rFonts w:ascii="Times New Roman" w:hAnsi="Times New Roman"/>
        </w:rPr>
      </w:pPr>
      <w:bookmarkStart w:id="5069" w:name="_Toc527132278"/>
      <w:bookmarkStart w:id="5070" w:name="_Toc525912550"/>
      <w:bookmarkStart w:id="5071" w:name="_Toc527963871"/>
      <w:bookmarkStart w:id="5072" w:name="_Toc527965463"/>
      <w:bookmarkStart w:id="5073" w:name="_Toc525913302"/>
      <w:bookmarkStart w:id="5074" w:name="_Toc454402834"/>
      <w:bookmarkStart w:id="5075" w:name="_Toc454462610"/>
      <w:bookmarkStart w:id="5076" w:name="_Toc532301263"/>
      <w:bookmarkStart w:id="5077" w:name="_Toc454385915"/>
      <w:bookmarkStart w:id="5078" w:name="_Toc527133349"/>
      <w:bookmarkStart w:id="5079" w:name="_Toc533750572"/>
      <w:bookmarkStart w:id="5080" w:name="_Toc454468333"/>
      <w:bookmarkStart w:id="5081" w:name="_Toc533587399"/>
      <w:bookmarkStart w:id="5082" w:name="_Toc454394910"/>
      <w:bookmarkStart w:id="5083" w:name="_Toc455160080"/>
      <w:bookmarkStart w:id="5084" w:name="_Toc454783710"/>
      <w:bookmarkStart w:id="5085" w:name="_Toc455167531"/>
      <w:bookmarkStart w:id="5086" w:name="_Toc455156352"/>
      <w:bookmarkStart w:id="5087" w:name="_Toc455171256"/>
      <w:bookmarkStart w:id="5088" w:name="_Toc91455566"/>
      <w:bookmarkStart w:id="5089" w:name="_Toc454394911"/>
      <w:bookmarkStart w:id="5090" w:name="_Toc101684591"/>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r>
        <w:rPr>
          <w:rFonts w:ascii="Times New Roman" w:hAnsi="Times New Roman" w:hint="eastAsia"/>
        </w:rPr>
        <w:t>银行进出口贸易融资项目指标代码表</w:t>
      </w:r>
      <w:bookmarkEnd w:id="5088"/>
      <w:bookmarkEnd w:id="5089"/>
      <w:bookmarkEnd w:id="509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1"/>
        <w:gridCol w:w="6981"/>
      </w:tblGrid>
      <w:tr w:rsidR="00A052DC" w14:paraId="6B9936B5" w14:textId="77777777" w:rsidTr="001863C2">
        <w:trPr>
          <w:tblHeader/>
        </w:trPr>
        <w:tc>
          <w:tcPr>
            <w:tcW w:w="904" w:type="pct"/>
            <w:shd w:val="clear" w:color="auto" w:fill="BFBFBF" w:themeFill="background1" w:themeFillShade="BF"/>
          </w:tcPr>
          <w:p w14:paraId="2E17B310" w14:textId="77777777" w:rsidR="00881462" w:rsidRDefault="009F0A60">
            <w:pPr>
              <w:pStyle w:val="B1"/>
            </w:pPr>
            <w:r>
              <w:rPr>
                <w:rFonts w:hint="eastAsia"/>
              </w:rPr>
              <w:t>项目指标代码</w:t>
            </w:r>
          </w:p>
        </w:tc>
        <w:tc>
          <w:tcPr>
            <w:tcW w:w="4096" w:type="pct"/>
            <w:shd w:val="clear" w:color="auto" w:fill="BFBFBF" w:themeFill="background1" w:themeFillShade="BF"/>
          </w:tcPr>
          <w:p w14:paraId="5E3D2AA0" w14:textId="77777777" w:rsidR="00881462" w:rsidRDefault="009F0A60">
            <w:pPr>
              <w:pStyle w:val="B1"/>
            </w:pPr>
            <w:r>
              <w:rPr>
                <w:rFonts w:hint="eastAsia"/>
              </w:rPr>
              <w:t>项目指标名称</w:t>
            </w:r>
          </w:p>
        </w:tc>
      </w:tr>
      <w:tr w:rsidR="00A052DC" w14:paraId="593069FA" w14:textId="77777777">
        <w:tc>
          <w:tcPr>
            <w:tcW w:w="904" w:type="pct"/>
            <w:vAlign w:val="bottom"/>
          </w:tcPr>
          <w:p w14:paraId="6FD49DE2" w14:textId="77777777" w:rsidR="00A052DC" w:rsidRDefault="009F0A60">
            <w:pPr>
              <w:widowControl/>
              <w:jc w:val="center"/>
              <w:rPr>
                <w:rFonts w:ascii="黑体" w:eastAsia="黑体" w:hAnsi="宋体" w:cs="宋体"/>
                <w:kern w:val="0"/>
                <w:sz w:val="20"/>
                <w:szCs w:val="20"/>
              </w:rPr>
            </w:pPr>
            <w:r>
              <w:rPr>
                <w:rFonts w:ascii="黑体" w:eastAsia="黑体" w:hAnsi="宋体" w:cs="宋体"/>
                <w:kern w:val="0"/>
                <w:sz w:val="20"/>
                <w:szCs w:val="20"/>
              </w:rPr>
              <w:t>1000</w:t>
            </w:r>
          </w:p>
        </w:tc>
        <w:tc>
          <w:tcPr>
            <w:tcW w:w="4096" w:type="pct"/>
            <w:vAlign w:val="bottom"/>
          </w:tcPr>
          <w:p w14:paraId="4AB9E91A" w14:textId="77777777" w:rsidR="00A052DC" w:rsidRDefault="009F0A60">
            <w:pPr>
              <w:widowControl/>
              <w:jc w:val="left"/>
              <w:rPr>
                <w:rFonts w:ascii="黑体" w:eastAsia="黑体" w:hAnsi="宋体" w:cs="宋体"/>
                <w:kern w:val="0"/>
                <w:sz w:val="20"/>
                <w:szCs w:val="20"/>
              </w:rPr>
            </w:pPr>
            <w:r>
              <w:rPr>
                <w:rFonts w:ascii="黑体" w:eastAsia="黑体" w:hAnsi="宋体" w:cs="宋体" w:hint="eastAsia"/>
                <w:kern w:val="0"/>
                <w:sz w:val="20"/>
                <w:szCs w:val="20"/>
              </w:rPr>
              <w:t>银行进口贸易融资业务——境外银行提供贸易融资</w:t>
            </w:r>
          </w:p>
        </w:tc>
      </w:tr>
      <w:tr w:rsidR="00A052DC" w14:paraId="714B086F" w14:textId="77777777">
        <w:tc>
          <w:tcPr>
            <w:tcW w:w="904" w:type="pct"/>
            <w:vAlign w:val="bottom"/>
          </w:tcPr>
          <w:p w14:paraId="315E8C5D" w14:textId="77777777" w:rsidR="00A052DC" w:rsidRDefault="009F0A60">
            <w:pPr>
              <w:widowControl/>
              <w:jc w:val="center"/>
              <w:rPr>
                <w:rFonts w:ascii="黑体" w:eastAsia="黑体" w:hAnsi="宋体" w:cs="宋体"/>
                <w:kern w:val="0"/>
                <w:sz w:val="20"/>
                <w:szCs w:val="20"/>
              </w:rPr>
            </w:pPr>
            <w:r>
              <w:rPr>
                <w:rFonts w:ascii="黑体" w:eastAsia="黑体" w:hAnsi="宋体" w:cs="宋体"/>
                <w:kern w:val="0"/>
                <w:sz w:val="20"/>
                <w:szCs w:val="20"/>
              </w:rPr>
              <w:t>1001</w:t>
            </w:r>
          </w:p>
        </w:tc>
        <w:tc>
          <w:tcPr>
            <w:tcW w:w="4096" w:type="pct"/>
            <w:vAlign w:val="bottom"/>
          </w:tcPr>
          <w:p w14:paraId="133B9EE2" w14:textId="77777777" w:rsidR="00A052DC" w:rsidRDefault="009F0A60">
            <w:pPr>
              <w:widowControl/>
              <w:ind w:firstLineChars="100" w:firstLine="200"/>
              <w:rPr>
                <w:rFonts w:ascii="黑体" w:eastAsia="黑体" w:hAnsi="宋体" w:cs="宋体"/>
                <w:kern w:val="0"/>
                <w:sz w:val="20"/>
                <w:szCs w:val="20"/>
              </w:rPr>
            </w:pPr>
            <w:r>
              <w:rPr>
                <w:rFonts w:ascii="黑体" w:eastAsia="黑体" w:hAnsi="宋体" w:cs="宋体"/>
                <w:kern w:val="0"/>
                <w:sz w:val="20"/>
                <w:szCs w:val="20"/>
              </w:rPr>
              <w:t xml:space="preserve">       其中：人民币</w:t>
            </w:r>
          </w:p>
        </w:tc>
      </w:tr>
      <w:tr w:rsidR="00A052DC" w14:paraId="03210EFD" w14:textId="77777777">
        <w:tc>
          <w:tcPr>
            <w:tcW w:w="904" w:type="pct"/>
            <w:vAlign w:val="bottom"/>
          </w:tcPr>
          <w:p w14:paraId="668F7D56" w14:textId="77777777" w:rsidR="00A052DC" w:rsidRDefault="009F0A60">
            <w:pPr>
              <w:widowControl/>
              <w:jc w:val="center"/>
              <w:rPr>
                <w:rFonts w:ascii="黑体" w:eastAsia="黑体" w:hAnsi="宋体" w:cs="宋体"/>
                <w:kern w:val="0"/>
                <w:sz w:val="20"/>
                <w:szCs w:val="20"/>
              </w:rPr>
            </w:pPr>
            <w:r>
              <w:rPr>
                <w:rFonts w:ascii="黑体" w:eastAsia="黑体" w:hAnsi="宋体" w:cs="宋体"/>
                <w:kern w:val="0"/>
                <w:sz w:val="20"/>
                <w:szCs w:val="20"/>
              </w:rPr>
              <w:t>1100</w:t>
            </w:r>
          </w:p>
        </w:tc>
        <w:tc>
          <w:tcPr>
            <w:tcW w:w="4096" w:type="pct"/>
            <w:vAlign w:val="bottom"/>
          </w:tcPr>
          <w:p w14:paraId="29C8458E" w14:textId="77777777" w:rsidR="00A052DC" w:rsidRDefault="009F0A60">
            <w:pPr>
              <w:widowControl/>
              <w:jc w:val="left"/>
              <w:rPr>
                <w:rFonts w:ascii="黑体" w:eastAsia="黑体" w:hAnsi="宋体" w:cs="宋体"/>
                <w:kern w:val="0"/>
                <w:sz w:val="20"/>
                <w:szCs w:val="20"/>
              </w:rPr>
            </w:pPr>
            <w:r>
              <w:rPr>
                <w:rFonts w:ascii="黑体" w:eastAsia="黑体" w:hAnsi="宋体" w:cs="宋体" w:hint="eastAsia"/>
                <w:kern w:val="0"/>
                <w:sz w:val="20"/>
                <w:szCs w:val="20"/>
              </w:rPr>
              <w:t>海外代付（境内银行名义融资）</w:t>
            </w:r>
          </w:p>
        </w:tc>
      </w:tr>
      <w:tr w:rsidR="00A052DC" w14:paraId="690F46D2" w14:textId="77777777">
        <w:tc>
          <w:tcPr>
            <w:tcW w:w="904" w:type="pct"/>
            <w:vAlign w:val="bottom"/>
          </w:tcPr>
          <w:p w14:paraId="2648AE71" w14:textId="77777777" w:rsidR="00A052DC" w:rsidRDefault="009F0A60">
            <w:pPr>
              <w:widowControl/>
              <w:jc w:val="center"/>
              <w:rPr>
                <w:rFonts w:ascii="黑体" w:eastAsia="黑体" w:hAnsi="宋体" w:cs="宋体"/>
                <w:kern w:val="0"/>
                <w:sz w:val="20"/>
                <w:szCs w:val="20"/>
              </w:rPr>
            </w:pPr>
            <w:r>
              <w:rPr>
                <w:rFonts w:ascii="黑体" w:eastAsia="黑体" w:hAnsi="宋体" w:cs="宋体"/>
                <w:kern w:val="0"/>
                <w:sz w:val="20"/>
                <w:szCs w:val="20"/>
              </w:rPr>
              <w:t>1101</w:t>
            </w:r>
          </w:p>
        </w:tc>
        <w:tc>
          <w:tcPr>
            <w:tcW w:w="4096" w:type="pct"/>
            <w:vAlign w:val="bottom"/>
          </w:tcPr>
          <w:p w14:paraId="4D58F72D" w14:textId="77777777" w:rsidR="00A052DC" w:rsidRDefault="009F0A60">
            <w:pPr>
              <w:widowControl/>
              <w:ind w:firstLineChars="450" w:firstLine="900"/>
              <w:jc w:val="left"/>
              <w:rPr>
                <w:rFonts w:ascii="黑体" w:eastAsia="黑体" w:hAnsi="宋体" w:cs="宋体"/>
                <w:kern w:val="0"/>
                <w:sz w:val="20"/>
                <w:szCs w:val="20"/>
              </w:rPr>
            </w:pPr>
            <w:r>
              <w:rPr>
                <w:rFonts w:ascii="黑体" w:eastAsia="黑体" w:hAnsi="宋体" w:cs="宋体" w:hint="eastAsia"/>
                <w:kern w:val="0"/>
                <w:sz w:val="20"/>
                <w:szCs w:val="20"/>
              </w:rPr>
              <w:t>其中：人民币</w:t>
            </w:r>
          </w:p>
        </w:tc>
      </w:tr>
      <w:tr w:rsidR="00A052DC" w14:paraId="0CD7AA16" w14:textId="77777777">
        <w:tc>
          <w:tcPr>
            <w:tcW w:w="904" w:type="pct"/>
            <w:vAlign w:val="bottom"/>
          </w:tcPr>
          <w:p w14:paraId="0A1CDF74" w14:textId="77777777" w:rsidR="00A052DC" w:rsidRDefault="009F0A60">
            <w:pPr>
              <w:widowControl/>
              <w:jc w:val="center"/>
              <w:rPr>
                <w:rFonts w:ascii="黑体" w:eastAsia="黑体" w:hAnsi="宋体" w:cs="宋体"/>
                <w:kern w:val="0"/>
                <w:sz w:val="20"/>
                <w:szCs w:val="20"/>
              </w:rPr>
            </w:pPr>
            <w:r>
              <w:rPr>
                <w:rFonts w:ascii="黑体" w:eastAsia="黑体" w:hAnsi="宋体" w:cs="宋体"/>
                <w:kern w:val="0"/>
                <w:sz w:val="20"/>
                <w:szCs w:val="20"/>
              </w:rPr>
              <w:t>1110</w:t>
            </w:r>
          </w:p>
        </w:tc>
        <w:tc>
          <w:tcPr>
            <w:tcW w:w="4096" w:type="pct"/>
            <w:vAlign w:val="bottom"/>
          </w:tcPr>
          <w:p w14:paraId="10B50D9B" w14:textId="77777777" w:rsidR="00A052DC" w:rsidRDefault="009F0A60">
            <w:pPr>
              <w:widowControl/>
              <w:jc w:val="left"/>
              <w:rPr>
                <w:rFonts w:ascii="黑体" w:eastAsia="黑体" w:hAnsi="宋体" w:cs="宋体"/>
                <w:kern w:val="0"/>
                <w:sz w:val="20"/>
                <w:szCs w:val="20"/>
              </w:rPr>
            </w:pPr>
            <w:r>
              <w:rPr>
                <w:rFonts w:ascii="黑体" w:eastAsia="黑体" w:hAnsi="宋体" w:cs="宋体" w:hint="eastAsia"/>
                <w:kern w:val="0"/>
                <w:sz w:val="20"/>
                <w:szCs w:val="20"/>
              </w:rPr>
              <w:t>海外代付（境内银行名义融资）（</w:t>
            </w:r>
            <w:r>
              <w:rPr>
                <w:rFonts w:ascii="黑体" w:eastAsia="黑体" w:hAnsi="宋体" w:cs="宋体"/>
                <w:kern w:val="0"/>
                <w:sz w:val="20"/>
                <w:szCs w:val="20"/>
              </w:rPr>
              <w:t>90天及以下）</w:t>
            </w:r>
          </w:p>
        </w:tc>
      </w:tr>
      <w:tr w:rsidR="00A052DC" w14:paraId="05794E74" w14:textId="77777777">
        <w:tc>
          <w:tcPr>
            <w:tcW w:w="904" w:type="pct"/>
            <w:vAlign w:val="bottom"/>
          </w:tcPr>
          <w:p w14:paraId="48A4B900" w14:textId="77777777" w:rsidR="00A052DC" w:rsidRDefault="009F0A60">
            <w:pPr>
              <w:widowControl/>
              <w:jc w:val="center"/>
              <w:rPr>
                <w:rFonts w:ascii="黑体" w:eastAsia="黑体" w:hAnsi="宋体" w:cs="宋体"/>
                <w:kern w:val="0"/>
                <w:sz w:val="20"/>
                <w:szCs w:val="20"/>
              </w:rPr>
            </w:pPr>
            <w:r>
              <w:rPr>
                <w:rFonts w:ascii="黑体" w:eastAsia="黑体" w:hAnsi="宋体" w:cs="宋体"/>
                <w:kern w:val="0"/>
                <w:sz w:val="20"/>
                <w:szCs w:val="20"/>
              </w:rPr>
              <w:t>1111</w:t>
            </w:r>
          </w:p>
        </w:tc>
        <w:tc>
          <w:tcPr>
            <w:tcW w:w="4096" w:type="pct"/>
            <w:vAlign w:val="bottom"/>
          </w:tcPr>
          <w:p w14:paraId="725A18E0" w14:textId="77777777" w:rsidR="00A052DC" w:rsidRDefault="009F0A60">
            <w:pPr>
              <w:widowControl/>
              <w:ind w:firstLineChars="100" w:firstLine="200"/>
              <w:jc w:val="left"/>
              <w:rPr>
                <w:rFonts w:ascii="黑体" w:eastAsia="黑体" w:hAnsi="宋体" w:cs="宋体"/>
                <w:kern w:val="0"/>
                <w:sz w:val="20"/>
                <w:szCs w:val="20"/>
              </w:rPr>
            </w:pPr>
            <w:r>
              <w:rPr>
                <w:rFonts w:ascii="黑体" w:eastAsia="黑体" w:hAnsi="宋体" w:cs="宋体"/>
                <w:kern w:val="0"/>
                <w:sz w:val="20"/>
                <w:szCs w:val="20"/>
              </w:rPr>
              <w:t xml:space="preserve">       其中：人民币</w:t>
            </w:r>
          </w:p>
        </w:tc>
      </w:tr>
      <w:tr w:rsidR="00A052DC" w14:paraId="1E63A8AC" w14:textId="77777777">
        <w:tc>
          <w:tcPr>
            <w:tcW w:w="904" w:type="pct"/>
            <w:vAlign w:val="bottom"/>
          </w:tcPr>
          <w:p w14:paraId="19C35C09" w14:textId="77777777" w:rsidR="00A052DC" w:rsidRDefault="009F0A60">
            <w:pPr>
              <w:widowControl/>
              <w:jc w:val="center"/>
              <w:rPr>
                <w:rFonts w:ascii="黑体" w:eastAsia="黑体" w:hAnsi="宋体" w:cs="宋体"/>
                <w:kern w:val="0"/>
                <w:sz w:val="20"/>
                <w:szCs w:val="20"/>
              </w:rPr>
            </w:pPr>
            <w:r>
              <w:rPr>
                <w:rFonts w:ascii="黑体" w:eastAsia="黑体" w:hAnsi="宋体" w:cs="宋体"/>
                <w:kern w:val="0"/>
                <w:sz w:val="20"/>
                <w:szCs w:val="20"/>
              </w:rPr>
              <w:t>1200</w:t>
            </w:r>
          </w:p>
        </w:tc>
        <w:tc>
          <w:tcPr>
            <w:tcW w:w="4096" w:type="pct"/>
            <w:vAlign w:val="bottom"/>
          </w:tcPr>
          <w:p w14:paraId="76AE78F8" w14:textId="77777777" w:rsidR="00A052DC" w:rsidRDefault="009F0A60">
            <w:pPr>
              <w:widowControl/>
              <w:jc w:val="left"/>
              <w:rPr>
                <w:rFonts w:ascii="黑体" w:eastAsia="黑体" w:hAnsi="宋体" w:cs="宋体"/>
                <w:kern w:val="0"/>
                <w:sz w:val="20"/>
                <w:szCs w:val="20"/>
              </w:rPr>
            </w:pPr>
            <w:r>
              <w:rPr>
                <w:rFonts w:ascii="黑体" w:eastAsia="黑体" w:hAnsi="宋体" w:cs="宋体" w:hint="eastAsia"/>
                <w:kern w:val="0"/>
                <w:sz w:val="20"/>
                <w:szCs w:val="20"/>
              </w:rPr>
              <w:t>境内银行提供担保</w:t>
            </w:r>
          </w:p>
        </w:tc>
      </w:tr>
      <w:tr w:rsidR="00A052DC" w14:paraId="18E2ABA2" w14:textId="77777777">
        <w:tc>
          <w:tcPr>
            <w:tcW w:w="904" w:type="pct"/>
            <w:vAlign w:val="bottom"/>
          </w:tcPr>
          <w:p w14:paraId="704A9B95" w14:textId="77777777" w:rsidR="00A052DC" w:rsidRDefault="009F0A60">
            <w:pPr>
              <w:widowControl/>
              <w:jc w:val="center"/>
              <w:rPr>
                <w:rFonts w:ascii="黑体" w:eastAsia="黑体" w:hAnsi="宋体" w:cs="宋体"/>
                <w:kern w:val="0"/>
                <w:sz w:val="20"/>
                <w:szCs w:val="20"/>
              </w:rPr>
            </w:pPr>
            <w:r>
              <w:rPr>
                <w:rFonts w:ascii="黑体" w:eastAsia="黑体" w:hAnsi="宋体" w:cs="宋体"/>
                <w:kern w:val="0"/>
                <w:sz w:val="20"/>
                <w:szCs w:val="20"/>
              </w:rPr>
              <w:t>1201</w:t>
            </w:r>
          </w:p>
        </w:tc>
        <w:tc>
          <w:tcPr>
            <w:tcW w:w="4096" w:type="pct"/>
            <w:vAlign w:val="bottom"/>
          </w:tcPr>
          <w:p w14:paraId="793F9FCE" w14:textId="77777777" w:rsidR="00A052DC" w:rsidRDefault="009F0A60">
            <w:pPr>
              <w:widowControl/>
              <w:ind w:firstLineChars="450" w:firstLine="900"/>
              <w:jc w:val="left"/>
              <w:rPr>
                <w:rFonts w:ascii="黑体" w:eastAsia="黑体" w:hAnsi="宋体" w:cs="宋体"/>
                <w:kern w:val="0"/>
                <w:sz w:val="20"/>
                <w:szCs w:val="20"/>
              </w:rPr>
            </w:pPr>
            <w:r>
              <w:rPr>
                <w:rFonts w:ascii="黑体" w:eastAsia="黑体" w:hAnsi="宋体" w:cs="宋体" w:hint="eastAsia"/>
                <w:kern w:val="0"/>
                <w:sz w:val="20"/>
                <w:szCs w:val="20"/>
              </w:rPr>
              <w:t>其中：人民币</w:t>
            </w:r>
          </w:p>
        </w:tc>
      </w:tr>
      <w:tr w:rsidR="00A052DC" w14:paraId="7BDEB9A3" w14:textId="77777777">
        <w:tc>
          <w:tcPr>
            <w:tcW w:w="904" w:type="pct"/>
            <w:vAlign w:val="bottom"/>
          </w:tcPr>
          <w:p w14:paraId="4ADF1AD3" w14:textId="77777777" w:rsidR="00A052DC" w:rsidRDefault="009F0A60">
            <w:pPr>
              <w:widowControl/>
              <w:jc w:val="center"/>
              <w:rPr>
                <w:rFonts w:ascii="黑体" w:eastAsia="黑体" w:hAnsi="宋体" w:cs="宋体"/>
                <w:kern w:val="0"/>
                <w:sz w:val="20"/>
                <w:szCs w:val="20"/>
              </w:rPr>
            </w:pPr>
            <w:r>
              <w:rPr>
                <w:rFonts w:ascii="黑体" w:eastAsia="黑体" w:hAnsi="宋体" w:cs="宋体"/>
                <w:kern w:val="0"/>
                <w:sz w:val="20"/>
                <w:szCs w:val="20"/>
              </w:rPr>
              <w:t>1300</w:t>
            </w:r>
          </w:p>
        </w:tc>
        <w:tc>
          <w:tcPr>
            <w:tcW w:w="4096" w:type="pct"/>
            <w:vAlign w:val="bottom"/>
          </w:tcPr>
          <w:p w14:paraId="6C14FA99" w14:textId="77777777" w:rsidR="00A052DC" w:rsidRDefault="009F0A60">
            <w:pPr>
              <w:widowControl/>
              <w:rPr>
                <w:rFonts w:ascii="黑体" w:eastAsia="黑体" w:hAnsi="宋体" w:cs="宋体"/>
                <w:kern w:val="0"/>
                <w:sz w:val="20"/>
                <w:szCs w:val="20"/>
              </w:rPr>
            </w:pPr>
            <w:r>
              <w:rPr>
                <w:rFonts w:ascii="黑体" w:eastAsia="黑体" w:hAnsi="宋体" w:cs="宋体" w:hint="eastAsia"/>
                <w:kern w:val="0"/>
                <w:sz w:val="20"/>
                <w:szCs w:val="20"/>
              </w:rPr>
              <w:t>境内银行居间业务</w:t>
            </w:r>
          </w:p>
        </w:tc>
      </w:tr>
      <w:tr w:rsidR="00A052DC" w14:paraId="25DE9BAA" w14:textId="77777777">
        <w:tc>
          <w:tcPr>
            <w:tcW w:w="904" w:type="pct"/>
            <w:vAlign w:val="bottom"/>
          </w:tcPr>
          <w:p w14:paraId="2A849E5F" w14:textId="77777777" w:rsidR="00A052DC" w:rsidRDefault="009F0A60">
            <w:pPr>
              <w:widowControl/>
              <w:jc w:val="center"/>
              <w:rPr>
                <w:rFonts w:ascii="黑体" w:eastAsia="黑体" w:hAnsi="宋体" w:cs="宋体"/>
                <w:kern w:val="0"/>
                <w:sz w:val="20"/>
                <w:szCs w:val="20"/>
              </w:rPr>
            </w:pPr>
            <w:r>
              <w:rPr>
                <w:rFonts w:ascii="黑体" w:eastAsia="黑体" w:hAnsi="宋体" w:cs="宋体"/>
                <w:kern w:val="0"/>
                <w:sz w:val="20"/>
                <w:szCs w:val="20"/>
              </w:rPr>
              <w:t>1301</w:t>
            </w:r>
          </w:p>
        </w:tc>
        <w:tc>
          <w:tcPr>
            <w:tcW w:w="4096" w:type="pct"/>
            <w:vAlign w:val="bottom"/>
          </w:tcPr>
          <w:p w14:paraId="3CBC7B9A" w14:textId="77777777" w:rsidR="00A052DC" w:rsidRDefault="009F0A60">
            <w:pPr>
              <w:widowControl/>
              <w:ind w:firstLineChars="450" w:firstLine="900"/>
              <w:jc w:val="left"/>
              <w:rPr>
                <w:rFonts w:ascii="黑体" w:eastAsia="黑体" w:hAnsi="宋体" w:cs="宋体"/>
                <w:kern w:val="0"/>
                <w:sz w:val="20"/>
                <w:szCs w:val="20"/>
              </w:rPr>
            </w:pPr>
            <w:r>
              <w:rPr>
                <w:rFonts w:ascii="黑体" w:eastAsia="黑体" w:hAnsi="宋体" w:cs="宋体" w:hint="eastAsia"/>
                <w:kern w:val="0"/>
                <w:sz w:val="20"/>
                <w:szCs w:val="20"/>
              </w:rPr>
              <w:t>其中：人民币</w:t>
            </w:r>
          </w:p>
        </w:tc>
      </w:tr>
      <w:tr w:rsidR="00A052DC" w14:paraId="7235A07B" w14:textId="77777777">
        <w:tc>
          <w:tcPr>
            <w:tcW w:w="904" w:type="pct"/>
            <w:vAlign w:val="bottom"/>
          </w:tcPr>
          <w:p w14:paraId="68067EA1" w14:textId="77777777" w:rsidR="00A052DC" w:rsidRDefault="009F0A60">
            <w:pPr>
              <w:widowControl/>
              <w:jc w:val="center"/>
              <w:rPr>
                <w:rFonts w:ascii="黑体" w:eastAsia="黑体" w:hAnsi="宋体" w:cs="宋体"/>
                <w:kern w:val="0"/>
                <w:sz w:val="20"/>
                <w:szCs w:val="20"/>
              </w:rPr>
            </w:pPr>
            <w:r>
              <w:rPr>
                <w:rFonts w:ascii="黑体" w:eastAsia="黑体" w:hAnsi="宋体" w:cs="宋体"/>
                <w:kern w:val="0"/>
                <w:sz w:val="20"/>
                <w:szCs w:val="20"/>
              </w:rPr>
              <w:t>2000</w:t>
            </w:r>
          </w:p>
        </w:tc>
        <w:tc>
          <w:tcPr>
            <w:tcW w:w="4096" w:type="pct"/>
            <w:vAlign w:val="bottom"/>
          </w:tcPr>
          <w:p w14:paraId="5C34D754" w14:textId="77777777" w:rsidR="00A052DC" w:rsidRDefault="009F0A60">
            <w:pPr>
              <w:widowControl/>
              <w:jc w:val="left"/>
              <w:rPr>
                <w:rFonts w:ascii="黑体" w:eastAsia="黑体" w:hAnsi="宋体" w:cs="宋体"/>
                <w:kern w:val="0"/>
                <w:sz w:val="20"/>
                <w:szCs w:val="20"/>
              </w:rPr>
            </w:pPr>
            <w:r>
              <w:rPr>
                <w:rFonts w:ascii="黑体" w:eastAsia="黑体" w:hAnsi="宋体" w:cs="宋体" w:hint="eastAsia"/>
                <w:kern w:val="0"/>
                <w:sz w:val="20"/>
                <w:szCs w:val="20"/>
              </w:rPr>
              <w:t>银行出口贸易融资业务——境外银行提供贸易融资</w:t>
            </w:r>
          </w:p>
        </w:tc>
      </w:tr>
      <w:tr w:rsidR="00A052DC" w14:paraId="2829658F" w14:textId="77777777">
        <w:tc>
          <w:tcPr>
            <w:tcW w:w="904" w:type="pct"/>
            <w:vAlign w:val="bottom"/>
          </w:tcPr>
          <w:p w14:paraId="0E5A8F44" w14:textId="77777777" w:rsidR="00A052DC" w:rsidRDefault="009F0A60">
            <w:pPr>
              <w:widowControl/>
              <w:jc w:val="center"/>
              <w:rPr>
                <w:rFonts w:ascii="黑体" w:eastAsia="黑体" w:hAnsi="宋体" w:cs="宋体"/>
                <w:kern w:val="0"/>
                <w:sz w:val="20"/>
                <w:szCs w:val="20"/>
              </w:rPr>
            </w:pPr>
            <w:r>
              <w:rPr>
                <w:rFonts w:ascii="黑体" w:eastAsia="黑体" w:hAnsi="宋体" w:cs="宋体"/>
                <w:kern w:val="0"/>
                <w:sz w:val="20"/>
                <w:szCs w:val="20"/>
              </w:rPr>
              <w:t>2001</w:t>
            </w:r>
          </w:p>
        </w:tc>
        <w:tc>
          <w:tcPr>
            <w:tcW w:w="4096" w:type="pct"/>
            <w:vAlign w:val="bottom"/>
          </w:tcPr>
          <w:p w14:paraId="4336CB7D" w14:textId="77777777" w:rsidR="00A052DC" w:rsidRDefault="009F0A60">
            <w:pPr>
              <w:widowControl/>
              <w:ind w:firstLineChars="400" w:firstLine="800"/>
              <w:rPr>
                <w:rFonts w:ascii="黑体" w:eastAsia="黑体" w:hAnsi="宋体" w:cs="宋体"/>
                <w:kern w:val="0"/>
                <w:sz w:val="20"/>
                <w:szCs w:val="20"/>
              </w:rPr>
            </w:pPr>
            <w:r>
              <w:rPr>
                <w:rFonts w:ascii="黑体" w:eastAsia="黑体" w:hAnsi="宋体" w:cs="宋体" w:hint="eastAsia"/>
                <w:kern w:val="0"/>
                <w:sz w:val="20"/>
                <w:szCs w:val="20"/>
              </w:rPr>
              <w:t>其中：人民币</w:t>
            </w:r>
          </w:p>
        </w:tc>
      </w:tr>
      <w:tr w:rsidR="00A052DC" w14:paraId="536A3FB0" w14:textId="77777777">
        <w:tc>
          <w:tcPr>
            <w:tcW w:w="904" w:type="pct"/>
            <w:vAlign w:val="bottom"/>
          </w:tcPr>
          <w:p w14:paraId="5729EF0C" w14:textId="77777777" w:rsidR="00A052DC" w:rsidRDefault="009F0A60">
            <w:pPr>
              <w:widowControl/>
              <w:jc w:val="center"/>
              <w:rPr>
                <w:rFonts w:ascii="黑体" w:eastAsia="黑体" w:hAnsi="宋体" w:cs="宋体"/>
                <w:kern w:val="0"/>
                <w:sz w:val="20"/>
                <w:szCs w:val="20"/>
              </w:rPr>
            </w:pPr>
            <w:r>
              <w:rPr>
                <w:rFonts w:ascii="黑体" w:eastAsia="黑体" w:hAnsi="宋体" w:cs="宋体"/>
                <w:kern w:val="0"/>
                <w:sz w:val="20"/>
                <w:szCs w:val="20"/>
              </w:rPr>
              <w:t>2100</w:t>
            </w:r>
          </w:p>
        </w:tc>
        <w:tc>
          <w:tcPr>
            <w:tcW w:w="4096" w:type="pct"/>
            <w:vAlign w:val="bottom"/>
          </w:tcPr>
          <w:p w14:paraId="7EC47FDD" w14:textId="77777777" w:rsidR="00A052DC" w:rsidRDefault="009F0A60">
            <w:pPr>
              <w:widowControl/>
              <w:jc w:val="left"/>
              <w:rPr>
                <w:rFonts w:ascii="黑体" w:eastAsia="黑体" w:hAnsi="宋体" w:cs="宋体"/>
                <w:kern w:val="0"/>
                <w:sz w:val="20"/>
                <w:szCs w:val="20"/>
              </w:rPr>
            </w:pPr>
            <w:r>
              <w:rPr>
                <w:rFonts w:ascii="黑体" w:eastAsia="黑体" w:hAnsi="宋体" w:cs="宋体" w:hint="eastAsia"/>
                <w:kern w:val="0"/>
                <w:sz w:val="20"/>
                <w:szCs w:val="20"/>
              </w:rPr>
              <w:t>境外银行提供贷款性质融资</w:t>
            </w:r>
          </w:p>
        </w:tc>
      </w:tr>
      <w:tr w:rsidR="00A052DC" w14:paraId="6F901010" w14:textId="77777777">
        <w:tc>
          <w:tcPr>
            <w:tcW w:w="904" w:type="pct"/>
            <w:vAlign w:val="bottom"/>
          </w:tcPr>
          <w:p w14:paraId="2E1A2D43" w14:textId="77777777" w:rsidR="00A052DC" w:rsidRDefault="009F0A60">
            <w:pPr>
              <w:widowControl/>
              <w:jc w:val="center"/>
              <w:rPr>
                <w:rFonts w:ascii="黑体" w:eastAsia="黑体" w:hAnsi="宋体" w:cs="宋体"/>
                <w:kern w:val="0"/>
                <w:sz w:val="20"/>
                <w:szCs w:val="20"/>
              </w:rPr>
            </w:pPr>
            <w:r>
              <w:rPr>
                <w:rFonts w:ascii="黑体" w:eastAsia="黑体" w:hAnsi="宋体" w:cs="宋体"/>
                <w:kern w:val="0"/>
                <w:sz w:val="20"/>
                <w:szCs w:val="20"/>
              </w:rPr>
              <w:t>2101</w:t>
            </w:r>
          </w:p>
        </w:tc>
        <w:tc>
          <w:tcPr>
            <w:tcW w:w="4096" w:type="pct"/>
            <w:vAlign w:val="bottom"/>
          </w:tcPr>
          <w:p w14:paraId="3D473383" w14:textId="77777777" w:rsidR="00A052DC" w:rsidRDefault="009F0A60">
            <w:pPr>
              <w:widowControl/>
              <w:ind w:firstLineChars="400" w:firstLine="800"/>
              <w:jc w:val="left"/>
              <w:rPr>
                <w:rFonts w:ascii="黑体" w:eastAsia="黑体" w:hAnsi="宋体" w:cs="宋体"/>
                <w:kern w:val="0"/>
                <w:sz w:val="20"/>
                <w:szCs w:val="20"/>
              </w:rPr>
            </w:pPr>
            <w:r>
              <w:rPr>
                <w:rFonts w:ascii="黑体" w:eastAsia="黑体" w:hAnsi="宋体" w:cs="宋体" w:hint="eastAsia"/>
                <w:kern w:val="0"/>
                <w:sz w:val="20"/>
                <w:szCs w:val="20"/>
              </w:rPr>
              <w:t>其中：人民币</w:t>
            </w:r>
          </w:p>
        </w:tc>
      </w:tr>
      <w:tr w:rsidR="00A052DC" w14:paraId="06CE3CA8" w14:textId="77777777">
        <w:tc>
          <w:tcPr>
            <w:tcW w:w="904" w:type="pct"/>
            <w:vAlign w:val="bottom"/>
          </w:tcPr>
          <w:p w14:paraId="04C53019" w14:textId="77777777" w:rsidR="00A052DC" w:rsidRDefault="009F0A60">
            <w:pPr>
              <w:widowControl/>
              <w:jc w:val="center"/>
              <w:rPr>
                <w:rFonts w:ascii="黑体" w:eastAsia="黑体" w:hAnsi="宋体" w:cs="宋体"/>
                <w:kern w:val="0"/>
                <w:sz w:val="20"/>
                <w:szCs w:val="20"/>
              </w:rPr>
            </w:pPr>
            <w:r>
              <w:rPr>
                <w:rFonts w:ascii="黑体" w:eastAsia="黑体" w:hAnsi="宋体" w:cs="宋体"/>
                <w:kern w:val="0"/>
                <w:sz w:val="20"/>
                <w:szCs w:val="20"/>
              </w:rPr>
              <w:t>2200</w:t>
            </w:r>
          </w:p>
        </w:tc>
        <w:tc>
          <w:tcPr>
            <w:tcW w:w="4096" w:type="pct"/>
            <w:vAlign w:val="bottom"/>
          </w:tcPr>
          <w:p w14:paraId="1BD2F358" w14:textId="77777777" w:rsidR="00A052DC" w:rsidRDefault="009F0A60">
            <w:pPr>
              <w:widowControl/>
              <w:rPr>
                <w:rFonts w:ascii="黑体" w:eastAsia="黑体" w:hAnsi="宋体" w:cs="宋体"/>
                <w:kern w:val="0"/>
                <w:sz w:val="20"/>
                <w:szCs w:val="20"/>
              </w:rPr>
            </w:pPr>
            <w:r>
              <w:rPr>
                <w:rFonts w:ascii="黑体" w:eastAsia="黑体" w:hAnsi="宋体" w:cs="宋体" w:hint="eastAsia"/>
                <w:kern w:val="0"/>
                <w:sz w:val="20"/>
                <w:szCs w:val="20"/>
              </w:rPr>
              <w:t>境外银行承兑远期信用证及应付未付即期信用证（境内银行为交单行）</w:t>
            </w:r>
          </w:p>
        </w:tc>
      </w:tr>
      <w:tr w:rsidR="00A052DC" w14:paraId="7EC34118" w14:textId="77777777">
        <w:tc>
          <w:tcPr>
            <w:tcW w:w="904" w:type="pct"/>
            <w:vAlign w:val="bottom"/>
          </w:tcPr>
          <w:p w14:paraId="30F9A9A9" w14:textId="77777777" w:rsidR="00A052DC" w:rsidRDefault="009F0A60">
            <w:pPr>
              <w:widowControl/>
              <w:jc w:val="center"/>
              <w:rPr>
                <w:rFonts w:ascii="黑体" w:eastAsia="黑体" w:hAnsi="宋体" w:cs="宋体"/>
                <w:kern w:val="0"/>
                <w:sz w:val="20"/>
                <w:szCs w:val="20"/>
              </w:rPr>
            </w:pPr>
            <w:r>
              <w:rPr>
                <w:rFonts w:ascii="黑体" w:eastAsia="黑体" w:hAnsi="宋体" w:cs="宋体"/>
                <w:kern w:val="0"/>
                <w:sz w:val="20"/>
                <w:szCs w:val="20"/>
              </w:rPr>
              <w:t>2201</w:t>
            </w:r>
          </w:p>
        </w:tc>
        <w:tc>
          <w:tcPr>
            <w:tcW w:w="4096" w:type="pct"/>
            <w:vAlign w:val="bottom"/>
          </w:tcPr>
          <w:p w14:paraId="74EE8DCF" w14:textId="77777777" w:rsidR="00A052DC" w:rsidRDefault="009F0A60">
            <w:pPr>
              <w:widowControl/>
              <w:ind w:firstLineChars="400" w:firstLine="800"/>
              <w:jc w:val="left"/>
              <w:rPr>
                <w:rFonts w:ascii="黑体" w:eastAsia="黑体" w:hAnsi="宋体" w:cs="宋体"/>
                <w:kern w:val="0"/>
                <w:sz w:val="20"/>
                <w:szCs w:val="20"/>
              </w:rPr>
            </w:pPr>
            <w:r>
              <w:rPr>
                <w:rFonts w:ascii="黑体" w:eastAsia="黑体" w:hAnsi="宋体" w:cs="宋体" w:hint="eastAsia"/>
                <w:kern w:val="0"/>
                <w:sz w:val="20"/>
                <w:szCs w:val="20"/>
              </w:rPr>
              <w:t>其中：人民币</w:t>
            </w:r>
          </w:p>
        </w:tc>
      </w:tr>
      <w:tr w:rsidR="00A052DC" w14:paraId="00A77CAD" w14:textId="77777777">
        <w:tc>
          <w:tcPr>
            <w:tcW w:w="904" w:type="pct"/>
            <w:vAlign w:val="bottom"/>
          </w:tcPr>
          <w:p w14:paraId="23A54283" w14:textId="77777777" w:rsidR="00A052DC" w:rsidRDefault="009F0A60">
            <w:pPr>
              <w:widowControl/>
              <w:jc w:val="center"/>
              <w:rPr>
                <w:rFonts w:ascii="黑体" w:eastAsia="黑体" w:hAnsi="宋体" w:cs="宋体"/>
                <w:kern w:val="0"/>
                <w:sz w:val="20"/>
                <w:szCs w:val="20"/>
              </w:rPr>
            </w:pPr>
            <w:r>
              <w:rPr>
                <w:rFonts w:ascii="黑体" w:eastAsia="黑体" w:hAnsi="宋体" w:cs="宋体"/>
                <w:kern w:val="0"/>
                <w:sz w:val="20"/>
                <w:szCs w:val="20"/>
              </w:rPr>
              <w:t>2000</w:t>
            </w:r>
          </w:p>
        </w:tc>
        <w:tc>
          <w:tcPr>
            <w:tcW w:w="4096" w:type="pct"/>
            <w:vAlign w:val="bottom"/>
          </w:tcPr>
          <w:p w14:paraId="15F55AC2" w14:textId="77777777" w:rsidR="00A052DC" w:rsidRDefault="009F0A60">
            <w:pPr>
              <w:widowControl/>
              <w:jc w:val="left"/>
              <w:rPr>
                <w:rFonts w:ascii="黑体" w:eastAsia="黑体" w:hAnsi="宋体" w:cs="宋体"/>
                <w:kern w:val="0"/>
                <w:sz w:val="20"/>
                <w:szCs w:val="20"/>
              </w:rPr>
            </w:pPr>
            <w:r>
              <w:rPr>
                <w:rFonts w:ascii="黑体" w:eastAsia="黑体" w:hAnsi="宋体" w:cs="宋体" w:hint="eastAsia"/>
                <w:kern w:val="0"/>
                <w:sz w:val="20"/>
                <w:szCs w:val="20"/>
              </w:rPr>
              <w:t>银行出口贸易融资业务——境外银行提供贸易融资</w:t>
            </w:r>
          </w:p>
        </w:tc>
      </w:tr>
      <w:tr w:rsidR="00A052DC" w14:paraId="4D0CFBA4" w14:textId="77777777">
        <w:tc>
          <w:tcPr>
            <w:tcW w:w="904" w:type="pct"/>
            <w:vAlign w:val="bottom"/>
          </w:tcPr>
          <w:p w14:paraId="3466B52A" w14:textId="77777777" w:rsidR="00A052DC" w:rsidRDefault="009F0A60">
            <w:pPr>
              <w:widowControl/>
              <w:jc w:val="center"/>
              <w:rPr>
                <w:rFonts w:ascii="黑体" w:eastAsia="黑体" w:hAnsi="宋体" w:cs="宋体"/>
                <w:kern w:val="0"/>
                <w:sz w:val="20"/>
                <w:szCs w:val="20"/>
              </w:rPr>
            </w:pPr>
            <w:r>
              <w:rPr>
                <w:rFonts w:ascii="黑体" w:eastAsia="黑体" w:hAnsi="宋体" w:cs="宋体"/>
                <w:kern w:val="0"/>
                <w:sz w:val="20"/>
                <w:szCs w:val="20"/>
              </w:rPr>
              <w:t>2001</w:t>
            </w:r>
          </w:p>
        </w:tc>
        <w:tc>
          <w:tcPr>
            <w:tcW w:w="4096" w:type="pct"/>
            <w:vAlign w:val="bottom"/>
          </w:tcPr>
          <w:p w14:paraId="6340EE90" w14:textId="77777777" w:rsidR="00A052DC" w:rsidRDefault="009F0A60">
            <w:pPr>
              <w:widowControl/>
              <w:ind w:firstLineChars="400" w:firstLine="800"/>
              <w:rPr>
                <w:rFonts w:ascii="黑体" w:eastAsia="黑体" w:hAnsi="宋体" w:cs="宋体"/>
                <w:kern w:val="0"/>
                <w:sz w:val="20"/>
                <w:szCs w:val="20"/>
              </w:rPr>
            </w:pPr>
            <w:r>
              <w:rPr>
                <w:rFonts w:ascii="黑体" w:eastAsia="黑体" w:hAnsi="宋体" w:cs="宋体" w:hint="eastAsia"/>
                <w:kern w:val="0"/>
                <w:sz w:val="20"/>
                <w:szCs w:val="20"/>
              </w:rPr>
              <w:t>其中：人民币</w:t>
            </w:r>
          </w:p>
        </w:tc>
      </w:tr>
      <w:tr w:rsidR="00A052DC" w14:paraId="4AE894E0" w14:textId="77777777">
        <w:tc>
          <w:tcPr>
            <w:tcW w:w="904" w:type="pct"/>
            <w:vAlign w:val="bottom"/>
          </w:tcPr>
          <w:p w14:paraId="061EA556" w14:textId="77777777" w:rsidR="00A052DC" w:rsidRDefault="009F0A60">
            <w:pPr>
              <w:widowControl/>
              <w:jc w:val="center"/>
              <w:rPr>
                <w:rFonts w:ascii="黑体" w:eastAsia="黑体" w:hAnsi="宋体" w:cs="宋体"/>
                <w:kern w:val="0"/>
                <w:sz w:val="20"/>
                <w:szCs w:val="20"/>
              </w:rPr>
            </w:pPr>
            <w:r>
              <w:rPr>
                <w:rFonts w:ascii="黑体" w:eastAsia="黑体" w:hAnsi="宋体" w:cs="宋体"/>
                <w:kern w:val="0"/>
                <w:sz w:val="20"/>
                <w:szCs w:val="20"/>
              </w:rPr>
              <w:t>2100</w:t>
            </w:r>
          </w:p>
        </w:tc>
        <w:tc>
          <w:tcPr>
            <w:tcW w:w="4096" w:type="pct"/>
            <w:vAlign w:val="bottom"/>
          </w:tcPr>
          <w:p w14:paraId="60B99727" w14:textId="77777777" w:rsidR="00A052DC" w:rsidRDefault="009F0A60">
            <w:pPr>
              <w:widowControl/>
              <w:jc w:val="left"/>
              <w:rPr>
                <w:rFonts w:ascii="黑体" w:eastAsia="黑体" w:hAnsi="宋体" w:cs="宋体"/>
                <w:kern w:val="0"/>
                <w:sz w:val="20"/>
                <w:szCs w:val="20"/>
              </w:rPr>
            </w:pPr>
            <w:r>
              <w:rPr>
                <w:rFonts w:ascii="黑体" w:eastAsia="黑体" w:hAnsi="宋体" w:cs="宋体" w:hint="eastAsia"/>
                <w:kern w:val="0"/>
                <w:sz w:val="20"/>
                <w:szCs w:val="20"/>
              </w:rPr>
              <w:t>境外银行提供贷款性质融资</w:t>
            </w:r>
          </w:p>
        </w:tc>
      </w:tr>
      <w:tr w:rsidR="00A052DC" w14:paraId="25D471EE" w14:textId="77777777">
        <w:tc>
          <w:tcPr>
            <w:tcW w:w="904" w:type="pct"/>
            <w:vAlign w:val="bottom"/>
          </w:tcPr>
          <w:p w14:paraId="57A429D1" w14:textId="77777777" w:rsidR="00A052DC" w:rsidRDefault="009F0A60">
            <w:pPr>
              <w:widowControl/>
              <w:jc w:val="center"/>
              <w:rPr>
                <w:rFonts w:ascii="黑体" w:eastAsia="黑体" w:hAnsi="宋体" w:cs="宋体"/>
                <w:kern w:val="0"/>
                <w:sz w:val="20"/>
                <w:szCs w:val="20"/>
              </w:rPr>
            </w:pPr>
            <w:r>
              <w:rPr>
                <w:rFonts w:ascii="黑体" w:eastAsia="黑体" w:hAnsi="宋体" w:cs="宋体"/>
                <w:kern w:val="0"/>
                <w:sz w:val="20"/>
                <w:szCs w:val="20"/>
              </w:rPr>
              <w:t>2101</w:t>
            </w:r>
          </w:p>
        </w:tc>
        <w:tc>
          <w:tcPr>
            <w:tcW w:w="4096" w:type="pct"/>
            <w:vAlign w:val="bottom"/>
          </w:tcPr>
          <w:p w14:paraId="4FE52BF7" w14:textId="77777777" w:rsidR="00A052DC" w:rsidRDefault="009F0A60">
            <w:pPr>
              <w:widowControl/>
              <w:ind w:firstLineChars="400" w:firstLine="800"/>
              <w:jc w:val="left"/>
              <w:rPr>
                <w:rFonts w:ascii="黑体" w:eastAsia="黑体" w:hAnsi="宋体" w:cs="宋体"/>
                <w:kern w:val="0"/>
                <w:sz w:val="20"/>
                <w:szCs w:val="20"/>
              </w:rPr>
            </w:pPr>
            <w:r>
              <w:rPr>
                <w:rFonts w:ascii="黑体" w:eastAsia="黑体" w:hAnsi="宋体" w:cs="宋体" w:hint="eastAsia"/>
                <w:kern w:val="0"/>
                <w:sz w:val="20"/>
                <w:szCs w:val="20"/>
              </w:rPr>
              <w:t>其中：人民币</w:t>
            </w:r>
          </w:p>
        </w:tc>
      </w:tr>
    </w:tbl>
    <w:p w14:paraId="62239113" w14:textId="77777777" w:rsidR="00A052DC" w:rsidRDefault="00A052DC">
      <w:pPr>
        <w:jc w:val="center"/>
        <w:rPr>
          <w:rFonts w:ascii="Times New Roman" w:hAnsi="Times New Roman"/>
        </w:rPr>
      </w:pPr>
      <w:bookmarkStart w:id="5091" w:name="_Toc455160083"/>
      <w:bookmarkStart w:id="5092" w:name="_Toc455171259"/>
      <w:bookmarkStart w:id="5093" w:name="_Toc455156355"/>
      <w:bookmarkStart w:id="5094" w:name="_Toc454468336"/>
      <w:bookmarkStart w:id="5095" w:name="_Toc454783713"/>
      <w:bookmarkStart w:id="5096" w:name="_Toc455167534"/>
      <w:bookmarkStart w:id="5097" w:name="_Toc454462613"/>
      <w:bookmarkStart w:id="5098" w:name="_Toc454402837"/>
      <w:bookmarkStart w:id="5099" w:name="_Toc454394913"/>
      <w:bookmarkStart w:id="5100" w:name="_Toc454385918"/>
      <w:bookmarkStart w:id="5101" w:name="_Toc454783712"/>
      <w:bookmarkStart w:id="5102" w:name="_Toc455160082"/>
      <w:bookmarkStart w:id="5103" w:name="_Toc455171258"/>
      <w:bookmarkStart w:id="5104" w:name="_Toc454462612"/>
      <w:bookmarkStart w:id="5105" w:name="_Toc454385917"/>
      <w:bookmarkStart w:id="5106" w:name="_Toc455156354"/>
      <w:bookmarkStart w:id="5107" w:name="_Toc454468335"/>
      <w:bookmarkStart w:id="5108" w:name="_Toc454402836"/>
      <w:bookmarkStart w:id="5109" w:name="_Toc455167533"/>
      <w:bookmarkStart w:id="5110" w:name="_Toc454394912"/>
      <w:bookmarkStart w:id="5111" w:name="_Toc454394914"/>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p>
    <w:p w14:paraId="09816909" w14:textId="77777777" w:rsidR="00A052DC" w:rsidRDefault="009F0A60" w:rsidP="0020251D">
      <w:pPr>
        <w:pStyle w:val="3"/>
        <w:ind w:left="0"/>
        <w:rPr>
          <w:rFonts w:ascii="Times New Roman" w:hAnsi="Times New Roman"/>
        </w:rPr>
      </w:pPr>
      <w:bookmarkStart w:id="5112" w:name="_Toc91455567"/>
      <w:bookmarkStart w:id="5113" w:name="_Toc101684592"/>
      <w:r>
        <w:rPr>
          <w:rFonts w:ascii="Times New Roman" w:hAnsi="Times New Roman" w:hint="eastAsia"/>
        </w:rPr>
        <w:t>境外贷款资金用途代码表</w:t>
      </w:r>
      <w:bookmarkEnd w:id="5112"/>
      <w:bookmarkEnd w:id="5113"/>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3"/>
        <w:gridCol w:w="4825"/>
      </w:tblGrid>
      <w:tr w:rsidR="00A052DC" w14:paraId="03116375" w14:textId="77777777" w:rsidTr="001863C2">
        <w:tc>
          <w:tcPr>
            <w:tcW w:w="3363" w:type="dxa"/>
            <w:shd w:val="clear" w:color="auto" w:fill="BFBFBF" w:themeFill="background1" w:themeFillShade="BF"/>
          </w:tcPr>
          <w:p w14:paraId="44A73DA9" w14:textId="77777777" w:rsidR="00881462" w:rsidRDefault="009F0A60">
            <w:pPr>
              <w:pStyle w:val="B1"/>
            </w:pPr>
            <w:r>
              <w:rPr>
                <w:rFonts w:hint="eastAsia"/>
              </w:rPr>
              <w:t>境外贷款资金用途代码</w:t>
            </w:r>
          </w:p>
        </w:tc>
        <w:tc>
          <w:tcPr>
            <w:tcW w:w="4825" w:type="dxa"/>
            <w:shd w:val="clear" w:color="auto" w:fill="BFBFBF" w:themeFill="background1" w:themeFillShade="BF"/>
          </w:tcPr>
          <w:p w14:paraId="5EF5497F" w14:textId="77777777" w:rsidR="00881462" w:rsidRDefault="009F0A60">
            <w:pPr>
              <w:pStyle w:val="B1"/>
            </w:pPr>
            <w:r>
              <w:rPr>
                <w:rFonts w:hint="eastAsia"/>
              </w:rPr>
              <w:t>境外贷款资金用途名称</w:t>
            </w:r>
          </w:p>
        </w:tc>
      </w:tr>
      <w:tr w:rsidR="00A052DC" w14:paraId="7B02EBF4" w14:textId="77777777">
        <w:tc>
          <w:tcPr>
            <w:tcW w:w="3363" w:type="dxa"/>
          </w:tcPr>
          <w:p w14:paraId="4D213C92" w14:textId="77777777" w:rsidR="00A052DC" w:rsidRDefault="009F0A60">
            <w:pPr>
              <w:pStyle w:val="B"/>
              <w:jc w:val="center"/>
              <w:rPr>
                <w:szCs w:val="20"/>
              </w:rPr>
            </w:pPr>
            <w:r>
              <w:rPr>
                <w:rFonts w:hint="eastAsia"/>
                <w:szCs w:val="20"/>
              </w:rPr>
              <w:t>1</w:t>
            </w:r>
          </w:p>
        </w:tc>
        <w:tc>
          <w:tcPr>
            <w:tcW w:w="4825" w:type="dxa"/>
          </w:tcPr>
          <w:p w14:paraId="0F1D884F" w14:textId="77777777" w:rsidR="00A052DC" w:rsidRDefault="009F0A60">
            <w:pPr>
              <w:pStyle w:val="B"/>
              <w:rPr>
                <w:szCs w:val="20"/>
              </w:rPr>
            </w:pPr>
            <w:r>
              <w:rPr>
                <w:rFonts w:hint="eastAsia"/>
                <w:szCs w:val="20"/>
              </w:rPr>
              <w:t>境外直接投资</w:t>
            </w:r>
          </w:p>
        </w:tc>
      </w:tr>
      <w:tr w:rsidR="00A052DC" w14:paraId="2FCAFD85" w14:textId="77777777">
        <w:tc>
          <w:tcPr>
            <w:tcW w:w="3363" w:type="dxa"/>
          </w:tcPr>
          <w:p w14:paraId="3A22E4C1" w14:textId="77777777" w:rsidR="00A052DC" w:rsidRDefault="009F0A60">
            <w:pPr>
              <w:pStyle w:val="B"/>
              <w:jc w:val="center"/>
              <w:rPr>
                <w:szCs w:val="20"/>
              </w:rPr>
            </w:pPr>
            <w:r>
              <w:rPr>
                <w:rFonts w:hint="eastAsia"/>
                <w:szCs w:val="20"/>
              </w:rPr>
              <w:t>2</w:t>
            </w:r>
          </w:p>
        </w:tc>
        <w:tc>
          <w:tcPr>
            <w:tcW w:w="4825" w:type="dxa"/>
          </w:tcPr>
          <w:p w14:paraId="67AE965B" w14:textId="77777777" w:rsidR="00A052DC" w:rsidRDefault="009F0A60">
            <w:pPr>
              <w:pStyle w:val="B"/>
              <w:rPr>
                <w:szCs w:val="20"/>
              </w:rPr>
            </w:pPr>
            <w:r>
              <w:rPr>
                <w:rFonts w:hint="eastAsia"/>
                <w:szCs w:val="20"/>
              </w:rPr>
              <w:t>偿还境外债务</w:t>
            </w:r>
          </w:p>
        </w:tc>
      </w:tr>
      <w:tr w:rsidR="00A052DC" w14:paraId="6028C930" w14:textId="77777777">
        <w:tc>
          <w:tcPr>
            <w:tcW w:w="3363" w:type="dxa"/>
          </w:tcPr>
          <w:p w14:paraId="196CB6B4" w14:textId="77777777" w:rsidR="00A052DC" w:rsidRDefault="009F0A60">
            <w:pPr>
              <w:pStyle w:val="B"/>
              <w:jc w:val="center"/>
              <w:rPr>
                <w:szCs w:val="20"/>
              </w:rPr>
            </w:pPr>
            <w:r>
              <w:rPr>
                <w:rFonts w:hint="eastAsia"/>
                <w:szCs w:val="20"/>
              </w:rPr>
              <w:t>3</w:t>
            </w:r>
          </w:p>
        </w:tc>
        <w:tc>
          <w:tcPr>
            <w:tcW w:w="4825" w:type="dxa"/>
          </w:tcPr>
          <w:p w14:paraId="7AA9D3A1" w14:textId="77777777" w:rsidR="00A052DC" w:rsidRDefault="009F0A60">
            <w:pPr>
              <w:pStyle w:val="B"/>
              <w:rPr>
                <w:szCs w:val="20"/>
              </w:rPr>
            </w:pPr>
            <w:r>
              <w:rPr>
                <w:rFonts w:hint="eastAsia"/>
                <w:szCs w:val="20"/>
              </w:rPr>
              <w:t>贸易支出</w:t>
            </w:r>
          </w:p>
        </w:tc>
      </w:tr>
      <w:tr w:rsidR="00A052DC" w14:paraId="261B1801" w14:textId="77777777">
        <w:tc>
          <w:tcPr>
            <w:tcW w:w="3363" w:type="dxa"/>
          </w:tcPr>
          <w:p w14:paraId="17BB2077" w14:textId="77777777" w:rsidR="00A052DC" w:rsidRDefault="009F0A60">
            <w:pPr>
              <w:pStyle w:val="B"/>
              <w:jc w:val="center"/>
              <w:rPr>
                <w:szCs w:val="20"/>
              </w:rPr>
            </w:pPr>
            <w:r>
              <w:rPr>
                <w:rFonts w:hint="eastAsia"/>
                <w:szCs w:val="20"/>
              </w:rPr>
              <w:t>4</w:t>
            </w:r>
          </w:p>
        </w:tc>
        <w:tc>
          <w:tcPr>
            <w:tcW w:w="4825" w:type="dxa"/>
          </w:tcPr>
          <w:p w14:paraId="00D92989" w14:textId="77777777" w:rsidR="00A052DC" w:rsidRDefault="009F0A60">
            <w:pPr>
              <w:pStyle w:val="B"/>
              <w:rPr>
                <w:szCs w:val="20"/>
              </w:rPr>
            </w:pPr>
            <w:r>
              <w:rPr>
                <w:rFonts w:hint="eastAsia"/>
                <w:szCs w:val="20"/>
              </w:rPr>
              <w:t>补充营运或流动性支出</w:t>
            </w:r>
          </w:p>
        </w:tc>
      </w:tr>
      <w:tr w:rsidR="00A052DC" w14:paraId="64C1DAC9" w14:textId="77777777">
        <w:tc>
          <w:tcPr>
            <w:tcW w:w="3363" w:type="dxa"/>
          </w:tcPr>
          <w:p w14:paraId="7874B0C8" w14:textId="77777777" w:rsidR="00A052DC" w:rsidRDefault="009F0A60">
            <w:pPr>
              <w:pStyle w:val="B"/>
              <w:jc w:val="center"/>
              <w:rPr>
                <w:szCs w:val="20"/>
              </w:rPr>
            </w:pPr>
            <w:r>
              <w:rPr>
                <w:rFonts w:hint="eastAsia"/>
                <w:szCs w:val="20"/>
              </w:rPr>
              <w:t>5</w:t>
            </w:r>
          </w:p>
        </w:tc>
        <w:tc>
          <w:tcPr>
            <w:tcW w:w="4825" w:type="dxa"/>
          </w:tcPr>
          <w:p w14:paraId="2FAEECDE" w14:textId="77777777" w:rsidR="00A052DC" w:rsidRDefault="009F0A60">
            <w:pPr>
              <w:pStyle w:val="B"/>
              <w:rPr>
                <w:szCs w:val="20"/>
              </w:rPr>
            </w:pPr>
            <w:r>
              <w:rPr>
                <w:rFonts w:hint="eastAsia"/>
                <w:szCs w:val="20"/>
              </w:rPr>
              <w:t>其他支出</w:t>
            </w:r>
          </w:p>
        </w:tc>
      </w:tr>
    </w:tbl>
    <w:p w14:paraId="7BF33E90" w14:textId="77777777" w:rsidR="00A052DC" w:rsidRDefault="00A052DC">
      <w:pPr>
        <w:jc w:val="center"/>
        <w:rPr>
          <w:rFonts w:ascii="Times New Roman" w:hAnsi="Times New Roman"/>
        </w:rPr>
      </w:pPr>
    </w:p>
    <w:p w14:paraId="3DB40995" w14:textId="77777777" w:rsidR="00A052DC" w:rsidRDefault="009F0A60" w:rsidP="0020251D">
      <w:pPr>
        <w:pStyle w:val="2"/>
        <w:rPr>
          <w:rFonts w:ascii="Times New Roman" w:hAnsi="Times New Roman"/>
        </w:rPr>
      </w:pPr>
      <w:bookmarkStart w:id="5114" w:name="_Toc91455568"/>
      <w:bookmarkStart w:id="5115" w:name="_Toc101684593"/>
      <w:r>
        <w:rPr>
          <w:rFonts w:ascii="Times New Roman" w:hAnsi="Times New Roman" w:hint="eastAsia"/>
        </w:rPr>
        <w:t>机构外币现钞存取数据代码表</w:t>
      </w:r>
      <w:bookmarkEnd w:id="5111"/>
      <w:bookmarkEnd w:id="5114"/>
      <w:bookmarkEnd w:id="5115"/>
    </w:p>
    <w:p w14:paraId="3EE068EE" w14:textId="77777777" w:rsidR="00A052DC" w:rsidRDefault="009F0A60" w:rsidP="0020251D">
      <w:pPr>
        <w:pStyle w:val="3"/>
        <w:ind w:left="0"/>
        <w:rPr>
          <w:rFonts w:ascii="Times New Roman" w:hAnsi="Times New Roman"/>
        </w:rPr>
      </w:pPr>
      <w:bookmarkStart w:id="5116" w:name="_Toc91455569"/>
      <w:bookmarkStart w:id="5117" w:name="_Toc454394915"/>
      <w:bookmarkStart w:id="5118" w:name="_Toc101684594"/>
      <w:r>
        <w:rPr>
          <w:rFonts w:ascii="Times New Roman" w:hAnsi="Times New Roman" w:hint="eastAsia"/>
        </w:rPr>
        <w:t>现钞来源说明代码表</w:t>
      </w:r>
      <w:bookmarkEnd w:id="5116"/>
      <w:bookmarkEnd w:id="5117"/>
      <w:bookmarkEnd w:id="51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2914"/>
        <w:gridCol w:w="2768"/>
      </w:tblGrid>
      <w:tr w:rsidR="00A052DC" w14:paraId="66A337B8" w14:textId="77777777" w:rsidTr="001863C2">
        <w:trPr>
          <w:tblHeader/>
        </w:trPr>
        <w:tc>
          <w:tcPr>
            <w:tcW w:w="2840" w:type="dxa"/>
            <w:shd w:val="clear" w:color="auto" w:fill="BFBFBF" w:themeFill="background1" w:themeFillShade="BF"/>
          </w:tcPr>
          <w:p w14:paraId="42263718" w14:textId="77777777" w:rsidR="00881462" w:rsidRDefault="009F0A60">
            <w:pPr>
              <w:pStyle w:val="B1"/>
            </w:pPr>
            <w:r>
              <w:rPr>
                <w:rFonts w:hint="eastAsia"/>
              </w:rPr>
              <w:t>现钞来源代码</w:t>
            </w:r>
          </w:p>
        </w:tc>
        <w:tc>
          <w:tcPr>
            <w:tcW w:w="2914" w:type="dxa"/>
            <w:shd w:val="clear" w:color="auto" w:fill="BFBFBF" w:themeFill="background1" w:themeFillShade="BF"/>
          </w:tcPr>
          <w:p w14:paraId="4F1C7C3E" w14:textId="77777777" w:rsidR="00881462" w:rsidRDefault="009F0A60">
            <w:pPr>
              <w:pStyle w:val="B1"/>
            </w:pPr>
            <w:r>
              <w:rPr>
                <w:rFonts w:hint="eastAsia"/>
              </w:rPr>
              <w:t>现钞来源说明</w:t>
            </w:r>
          </w:p>
        </w:tc>
        <w:tc>
          <w:tcPr>
            <w:tcW w:w="2768" w:type="dxa"/>
            <w:shd w:val="clear" w:color="auto" w:fill="BFBFBF" w:themeFill="background1" w:themeFillShade="BF"/>
          </w:tcPr>
          <w:p w14:paraId="12D73F47" w14:textId="77777777" w:rsidR="00881462" w:rsidRDefault="009F0A60">
            <w:pPr>
              <w:pStyle w:val="B1"/>
            </w:pPr>
            <w:r>
              <w:rPr>
                <w:rFonts w:hint="eastAsia"/>
              </w:rPr>
              <w:t>备注</w:t>
            </w:r>
          </w:p>
        </w:tc>
      </w:tr>
      <w:tr w:rsidR="00A052DC" w14:paraId="19CC097D" w14:textId="77777777">
        <w:tc>
          <w:tcPr>
            <w:tcW w:w="2840" w:type="dxa"/>
            <w:shd w:val="clear" w:color="auto" w:fill="auto"/>
          </w:tcPr>
          <w:p w14:paraId="1E9D7F23" w14:textId="77777777" w:rsidR="00A052DC" w:rsidRDefault="009F0A60">
            <w:pPr>
              <w:pStyle w:val="B"/>
              <w:jc w:val="center"/>
            </w:pPr>
            <w:r>
              <w:rPr>
                <w:rFonts w:hint="eastAsia"/>
              </w:rPr>
              <w:t>01</w:t>
            </w:r>
          </w:p>
        </w:tc>
        <w:tc>
          <w:tcPr>
            <w:tcW w:w="2914" w:type="dxa"/>
            <w:shd w:val="clear" w:color="auto" w:fill="auto"/>
          </w:tcPr>
          <w:p w14:paraId="1B232DC5" w14:textId="77777777" w:rsidR="00A052DC" w:rsidRDefault="009F0A60">
            <w:pPr>
              <w:pStyle w:val="B"/>
            </w:pPr>
            <w:r>
              <w:rPr>
                <w:rFonts w:cs="宋体" w:hint="eastAsia"/>
                <w:szCs w:val="20"/>
              </w:rPr>
              <w:t>已提取未使用完现钞</w:t>
            </w:r>
          </w:p>
        </w:tc>
        <w:tc>
          <w:tcPr>
            <w:tcW w:w="2768" w:type="dxa"/>
          </w:tcPr>
          <w:p w14:paraId="2F9FA00E" w14:textId="77777777" w:rsidR="00A052DC" w:rsidRDefault="00A052DC">
            <w:pPr>
              <w:pStyle w:val="B"/>
            </w:pPr>
          </w:p>
        </w:tc>
      </w:tr>
      <w:tr w:rsidR="00A052DC" w14:paraId="14831CB2" w14:textId="77777777">
        <w:tc>
          <w:tcPr>
            <w:tcW w:w="2840" w:type="dxa"/>
            <w:shd w:val="clear" w:color="auto" w:fill="auto"/>
          </w:tcPr>
          <w:p w14:paraId="4394B011" w14:textId="77777777" w:rsidR="00A052DC" w:rsidRDefault="009F0A60">
            <w:pPr>
              <w:pStyle w:val="B"/>
              <w:jc w:val="center"/>
            </w:pPr>
            <w:r>
              <w:rPr>
                <w:rFonts w:hint="eastAsia"/>
              </w:rPr>
              <w:t>02</w:t>
            </w:r>
          </w:p>
        </w:tc>
        <w:tc>
          <w:tcPr>
            <w:tcW w:w="2914" w:type="dxa"/>
            <w:shd w:val="clear" w:color="auto" w:fill="auto"/>
          </w:tcPr>
          <w:p w14:paraId="3A3343BC" w14:textId="77777777" w:rsidR="00A052DC" w:rsidRDefault="009F0A60">
            <w:pPr>
              <w:pStyle w:val="B"/>
            </w:pPr>
            <w:r>
              <w:rPr>
                <w:rFonts w:cs="宋体" w:hint="eastAsia"/>
                <w:szCs w:val="20"/>
              </w:rPr>
              <w:t>机场或港口零星现钞收入</w:t>
            </w:r>
          </w:p>
        </w:tc>
        <w:tc>
          <w:tcPr>
            <w:tcW w:w="2768" w:type="dxa"/>
          </w:tcPr>
          <w:p w14:paraId="5BBA48AE" w14:textId="77777777" w:rsidR="00A052DC" w:rsidRDefault="00A052DC">
            <w:pPr>
              <w:pStyle w:val="B"/>
            </w:pPr>
          </w:p>
        </w:tc>
      </w:tr>
      <w:tr w:rsidR="00A052DC" w14:paraId="210688F3" w14:textId="77777777">
        <w:tc>
          <w:tcPr>
            <w:tcW w:w="2840" w:type="dxa"/>
            <w:shd w:val="clear" w:color="auto" w:fill="auto"/>
          </w:tcPr>
          <w:p w14:paraId="04F09835" w14:textId="77777777" w:rsidR="00A052DC" w:rsidRDefault="009F0A60">
            <w:pPr>
              <w:pStyle w:val="B"/>
              <w:jc w:val="center"/>
            </w:pPr>
            <w:r>
              <w:rPr>
                <w:rFonts w:hint="eastAsia"/>
              </w:rPr>
              <w:t>03</w:t>
            </w:r>
          </w:p>
        </w:tc>
        <w:tc>
          <w:tcPr>
            <w:tcW w:w="2914" w:type="dxa"/>
            <w:shd w:val="clear" w:color="auto" w:fill="auto"/>
          </w:tcPr>
          <w:p w14:paraId="1D0BDDEE" w14:textId="77777777" w:rsidR="00A052DC" w:rsidRDefault="009F0A60">
            <w:pPr>
              <w:pStyle w:val="B"/>
            </w:pPr>
            <w:r>
              <w:rPr>
                <w:rFonts w:hAnsi="宋体" w:hint="eastAsia"/>
              </w:rPr>
              <w:t>司法和行政执法</w:t>
            </w:r>
            <w:r>
              <w:rPr>
                <w:rFonts w:hAnsi="宋体" w:cs="宋体" w:hint="eastAsia"/>
                <w:szCs w:val="20"/>
              </w:rPr>
              <w:t>等机构</w:t>
            </w:r>
            <w:r>
              <w:rPr>
                <w:rFonts w:hAnsi="宋体" w:hint="eastAsia"/>
              </w:rPr>
              <w:t>的罚没款、暂扣款和专项收缴款</w:t>
            </w:r>
          </w:p>
        </w:tc>
        <w:tc>
          <w:tcPr>
            <w:tcW w:w="2768" w:type="dxa"/>
          </w:tcPr>
          <w:p w14:paraId="6B4DC189" w14:textId="77777777" w:rsidR="00A052DC" w:rsidRDefault="009F0A60">
            <w:pPr>
              <w:pStyle w:val="B"/>
            </w:pPr>
            <w:r>
              <w:rPr>
                <w:rFonts w:hAnsi="宋体" w:hint="eastAsia"/>
              </w:rPr>
              <w:t>涉及纪委或监察委等部门的罚没款、暂扣款和专项收缴款可申报在此选项下</w:t>
            </w:r>
            <w:r w:rsidR="00BF0378">
              <w:rPr>
                <w:rFonts w:hAnsi="宋体" w:hint="eastAsia"/>
              </w:rPr>
              <w:t>。</w:t>
            </w:r>
          </w:p>
        </w:tc>
      </w:tr>
      <w:tr w:rsidR="00A052DC" w14:paraId="0B12D92F" w14:textId="77777777">
        <w:tc>
          <w:tcPr>
            <w:tcW w:w="2840" w:type="dxa"/>
            <w:shd w:val="clear" w:color="auto" w:fill="auto"/>
          </w:tcPr>
          <w:p w14:paraId="12C0A693" w14:textId="77777777" w:rsidR="00A052DC" w:rsidRDefault="009F0A60">
            <w:pPr>
              <w:pStyle w:val="B"/>
              <w:jc w:val="center"/>
            </w:pPr>
            <w:r>
              <w:rPr>
                <w:rFonts w:hint="eastAsia"/>
              </w:rPr>
              <w:t>04</w:t>
            </w:r>
          </w:p>
        </w:tc>
        <w:tc>
          <w:tcPr>
            <w:tcW w:w="2914" w:type="dxa"/>
            <w:shd w:val="clear" w:color="auto" w:fill="auto"/>
          </w:tcPr>
          <w:p w14:paraId="03C31625" w14:textId="77777777" w:rsidR="00A052DC" w:rsidRDefault="009F0A60">
            <w:pPr>
              <w:pStyle w:val="B"/>
            </w:pPr>
            <w:r>
              <w:rPr>
                <w:rFonts w:cs="宋体" w:hint="eastAsia"/>
                <w:szCs w:val="20"/>
              </w:rPr>
              <w:t>宗教类接收捐赠现钞收入</w:t>
            </w:r>
          </w:p>
        </w:tc>
        <w:tc>
          <w:tcPr>
            <w:tcW w:w="2768" w:type="dxa"/>
          </w:tcPr>
          <w:p w14:paraId="6E353A84" w14:textId="77777777" w:rsidR="00A052DC" w:rsidRDefault="00A052DC">
            <w:pPr>
              <w:pStyle w:val="B"/>
            </w:pPr>
          </w:p>
        </w:tc>
      </w:tr>
      <w:tr w:rsidR="00A052DC" w14:paraId="09F1F1B5" w14:textId="77777777">
        <w:tc>
          <w:tcPr>
            <w:tcW w:w="2840" w:type="dxa"/>
            <w:shd w:val="clear" w:color="auto" w:fill="auto"/>
          </w:tcPr>
          <w:p w14:paraId="6D22A408" w14:textId="77777777" w:rsidR="00A052DC" w:rsidRDefault="009F0A60">
            <w:pPr>
              <w:pStyle w:val="B"/>
              <w:jc w:val="center"/>
            </w:pPr>
            <w:r>
              <w:rPr>
                <w:rFonts w:hint="eastAsia"/>
              </w:rPr>
              <w:t>05</w:t>
            </w:r>
          </w:p>
        </w:tc>
        <w:tc>
          <w:tcPr>
            <w:tcW w:w="2914" w:type="dxa"/>
            <w:shd w:val="clear" w:color="auto" w:fill="auto"/>
          </w:tcPr>
          <w:p w14:paraId="64FBBD71" w14:textId="77777777" w:rsidR="00A052DC" w:rsidRDefault="009F0A60">
            <w:pPr>
              <w:pStyle w:val="B"/>
            </w:pPr>
            <w:r>
              <w:rPr>
                <w:rFonts w:cs="宋体" w:hint="eastAsia"/>
                <w:szCs w:val="20"/>
              </w:rPr>
              <w:t>旅游购物商品</w:t>
            </w:r>
          </w:p>
        </w:tc>
        <w:tc>
          <w:tcPr>
            <w:tcW w:w="2768" w:type="dxa"/>
          </w:tcPr>
          <w:p w14:paraId="289F7FAE" w14:textId="77777777" w:rsidR="00A052DC" w:rsidRDefault="009F0A60">
            <w:pPr>
              <w:pStyle w:val="B"/>
            </w:pPr>
            <w:r>
              <w:rPr>
                <w:rFonts w:hint="eastAsia"/>
              </w:rPr>
              <w:t>旅游购物商品是指境外旅游者用自带外汇购买或委托境内企业托运出境的5万美元以下旅游商品或小批量订货。</w:t>
            </w:r>
          </w:p>
        </w:tc>
      </w:tr>
      <w:tr w:rsidR="00A052DC" w14:paraId="6713EBDE" w14:textId="77777777">
        <w:tc>
          <w:tcPr>
            <w:tcW w:w="2840" w:type="dxa"/>
            <w:shd w:val="clear" w:color="auto" w:fill="auto"/>
          </w:tcPr>
          <w:p w14:paraId="21D268C6" w14:textId="77777777" w:rsidR="00A052DC" w:rsidRDefault="009F0A60">
            <w:pPr>
              <w:pStyle w:val="B"/>
              <w:jc w:val="center"/>
            </w:pPr>
            <w:r>
              <w:rPr>
                <w:rFonts w:hint="eastAsia"/>
              </w:rPr>
              <w:t>06</w:t>
            </w:r>
          </w:p>
        </w:tc>
        <w:tc>
          <w:tcPr>
            <w:tcW w:w="2914" w:type="dxa"/>
            <w:shd w:val="clear" w:color="auto" w:fill="auto"/>
          </w:tcPr>
          <w:p w14:paraId="200A3A5D" w14:textId="77777777" w:rsidR="00A052DC" w:rsidRDefault="009F0A60">
            <w:pPr>
              <w:pStyle w:val="B"/>
              <w:rPr>
                <w:rFonts w:cs="宋体"/>
                <w:szCs w:val="20"/>
              </w:rPr>
            </w:pPr>
            <w:r>
              <w:rPr>
                <w:rFonts w:cs="宋体" w:hint="eastAsia"/>
                <w:szCs w:val="20"/>
              </w:rPr>
              <w:t>销售免税商品收入的外币现钞</w:t>
            </w:r>
          </w:p>
        </w:tc>
        <w:tc>
          <w:tcPr>
            <w:tcW w:w="2768" w:type="dxa"/>
          </w:tcPr>
          <w:p w14:paraId="436DD1BC" w14:textId="77777777" w:rsidR="00A052DC" w:rsidRDefault="00A052DC">
            <w:pPr>
              <w:pStyle w:val="B"/>
            </w:pPr>
          </w:p>
        </w:tc>
      </w:tr>
      <w:tr w:rsidR="00A052DC" w14:paraId="095F5F7C" w14:textId="77777777">
        <w:tc>
          <w:tcPr>
            <w:tcW w:w="2840" w:type="dxa"/>
            <w:shd w:val="clear" w:color="auto" w:fill="auto"/>
          </w:tcPr>
          <w:p w14:paraId="024C83EF" w14:textId="77777777" w:rsidR="00A052DC" w:rsidRDefault="009F0A60">
            <w:pPr>
              <w:pStyle w:val="B"/>
              <w:jc w:val="center"/>
            </w:pPr>
            <w:r>
              <w:rPr>
                <w:rFonts w:hint="eastAsia"/>
              </w:rPr>
              <w:t>07</w:t>
            </w:r>
          </w:p>
        </w:tc>
        <w:tc>
          <w:tcPr>
            <w:tcW w:w="2914" w:type="dxa"/>
            <w:shd w:val="clear" w:color="auto" w:fill="auto"/>
          </w:tcPr>
          <w:p w14:paraId="4C6E2AF6" w14:textId="77777777" w:rsidR="00A052DC" w:rsidRDefault="009F0A60">
            <w:pPr>
              <w:pStyle w:val="B"/>
            </w:pPr>
            <w:r>
              <w:rPr>
                <w:rFonts w:cs="宋体" w:hint="eastAsia"/>
                <w:szCs w:val="20"/>
              </w:rPr>
              <w:t>对台小额贸易</w:t>
            </w:r>
          </w:p>
        </w:tc>
        <w:tc>
          <w:tcPr>
            <w:tcW w:w="2768" w:type="dxa"/>
          </w:tcPr>
          <w:p w14:paraId="3972EF9E" w14:textId="77777777" w:rsidR="00A052DC" w:rsidRDefault="009F0A60">
            <w:pPr>
              <w:pStyle w:val="B"/>
            </w:pPr>
            <w:r>
              <w:rPr>
                <w:rFonts w:hint="eastAsia"/>
              </w:rPr>
              <w:t>对台小额贸易指由大陆沿海地区指定口岸经核准的对台小额贸易公司与台湾地区或居民进行的货物交易。</w:t>
            </w:r>
          </w:p>
        </w:tc>
      </w:tr>
      <w:tr w:rsidR="00A052DC" w14:paraId="12966955" w14:textId="77777777">
        <w:tc>
          <w:tcPr>
            <w:tcW w:w="2840" w:type="dxa"/>
            <w:shd w:val="clear" w:color="auto" w:fill="auto"/>
          </w:tcPr>
          <w:p w14:paraId="2ADEDEC8" w14:textId="77777777" w:rsidR="00A052DC" w:rsidRDefault="009F0A60">
            <w:pPr>
              <w:pStyle w:val="B"/>
              <w:jc w:val="center"/>
            </w:pPr>
            <w:r>
              <w:rPr>
                <w:rFonts w:hint="eastAsia"/>
              </w:rPr>
              <w:t>08</w:t>
            </w:r>
          </w:p>
        </w:tc>
        <w:tc>
          <w:tcPr>
            <w:tcW w:w="2914" w:type="dxa"/>
            <w:shd w:val="clear" w:color="auto" w:fill="auto"/>
          </w:tcPr>
          <w:p w14:paraId="4315641D" w14:textId="77777777" w:rsidR="00A052DC" w:rsidRDefault="009F0A60">
            <w:pPr>
              <w:pStyle w:val="B"/>
            </w:pPr>
            <w:r>
              <w:rPr>
                <w:rFonts w:cs="宋体" w:hint="eastAsia"/>
                <w:szCs w:val="20"/>
              </w:rPr>
              <w:t>对台小额商品交易市场</w:t>
            </w:r>
          </w:p>
        </w:tc>
        <w:tc>
          <w:tcPr>
            <w:tcW w:w="2768" w:type="dxa"/>
          </w:tcPr>
          <w:p w14:paraId="26AE94FD" w14:textId="77777777" w:rsidR="00A052DC" w:rsidRDefault="009F0A60">
            <w:pPr>
              <w:pStyle w:val="B"/>
            </w:pPr>
            <w:r>
              <w:rPr>
                <w:rFonts w:hint="eastAsia"/>
              </w:rPr>
              <w:t>对台小额商品交易市场是指经国家批准设立，用于开展对台民间小额商品交易活动，并实行封闭管理的特定区域。</w:t>
            </w:r>
          </w:p>
        </w:tc>
      </w:tr>
      <w:tr w:rsidR="00A052DC" w14:paraId="32C1D2A3" w14:textId="77777777">
        <w:tc>
          <w:tcPr>
            <w:tcW w:w="2840" w:type="dxa"/>
            <w:shd w:val="clear" w:color="auto" w:fill="auto"/>
          </w:tcPr>
          <w:p w14:paraId="2F5396EE" w14:textId="77777777" w:rsidR="00A052DC" w:rsidRDefault="009F0A60">
            <w:pPr>
              <w:pStyle w:val="B"/>
              <w:jc w:val="center"/>
            </w:pPr>
            <w:r>
              <w:rPr>
                <w:rFonts w:hint="eastAsia"/>
              </w:rPr>
              <w:t>09</w:t>
            </w:r>
          </w:p>
        </w:tc>
        <w:tc>
          <w:tcPr>
            <w:tcW w:w="2914" w:type="dxa"/>
            <w:shd w:val="clear" w:color="auto" w:fill="auto"/>
          </w:tcPr>
          <w:p w14:paraId="34D1F304" w14:textId="77777777" w:rsidR="00A052DC" w:rsidRDefault="009F0A60">
            <w:pPr>
              <w:pStyle w:val="B"/>
            </w:pPr>
            <w:r>
              <w:rPr>
                <w:rFonts w:cs="宋体" w:hint="eastAsia"/>
                <w:szCs w:val="20"/>
              </w:rPr>
              <w:t>其他</w:t>
            </w:r>
          </w:p>
        </w:tc>
        <w:tc>
          <w:tcPr>
            <w:tcW w:w="2768" w:type="dxa"/>
          </w:tcPr>
          <w:p w14:paraId="7564B006" w14:textId="77777777" w:rsidR="00A052DC" w:rsidRDefault="00A052DC">
            <w:pPr>
              <w:pStyle w:val="B"/>
            </w:pPr>
          </w:p>
        </w:tc>
      </w:tr>
      <w:tr w:rsidR="00A052DC" w14:paraId="72F80275" w14:textId="77777777">
        <w:tc>
          <w:tcPr>
            <w:tcW w:w="2840" w:type="dxa"/>
            <w:shd w:val="clear" w:color="auto" w:fill="auto"/>
          </w:tcPr>
          <w:p w14:paraId="50BA85D0" w14:textId="77777777" w:rsidR="00A052DC" w:rsidRDefault="009F0A60">
            <w:pPr>
              <w:pStyle w:val="B"/>
              <w:jc w:val="center"/>
            </w:pPr>
            <w:r>
              <w:rPr>
                <w:rFonts w:hint="eastAsia"/>
              </w:rPr>
              <w:t>10</w:t>
            </w:r>
          </w:p>
        </w:tc>
        <w:tc>
          <w:tcPr>
            <w:tcW w:w="2914" w:type="dxa"/>
            <w:shd w:val="clear" w:color="auto" w:fill="auto"/>
          </w:tcPr>
          <w:p w14:paraId="1EAC6B29" w14:textId="77777777" w:rsidR="00A052DC" w:rsidRDefault="009F0A60">
            <w:pPr>
              <w:pStyle w:val="B"/>
              <w:rPr>
                <w:rFonts w:cs="宋体"/>
                <w:szCs w:val="20"/>
              </w:rPr>
            </w:pPr>
            <w:r>
              <w:rPr>
                <w:rFonts w:cs="宋体" w:hint="eastAsia"/>
                <w:szCs w:val="20"/>
              </w:rPr>
              <w:t>边贸收入</w:t>
            </w:r>
          </w:p>
        </w:tc>
        <w:tc>
          <w:tcPr>
            <w:tcW w:w="2768" w:type="dxa"/>
          </w:tcPr>
          <w:p w14:paraId="5797BB44" w14:textId="77777777" w:rsidR="00A052DC" w:rsidRDefault="00A052DC">
            <w:pPr>
              <w:pStyle w:val="B"/>
            </w:pPr>
          </w:p>
        </w:tc>
      </w:tr>
    </w:tbl>
    <w:p w14:paraId="2F832BC8" w14:textId="77777777" w:rsidR="00A052DC" w:rsidRDefault="00A052DC"/>
    <w:p w14:paraId="56335313" w14:textId="77777777" w:rsidR="00A052DC" w:rsidRDefault="009F0A60" w:rsidP="0020251D">
      <w:pPr>
        <w:pStyle w:val="3"/>
        <w:ind w:left="0"/>
        <w:rPr>
          <w:rFonts w:ascii="Times New Roman" w:hAnsi="Times New Roman"/>
        </w:rPr>
      </w:pPr>
      <w:bookmarkStart w:id="5119" w:name="_Toc91455570"/>
      <w:bookmarkStart w:id="5120" w:name="_Toc454394916"/>
      <w:bookmarkStart w:id="5121" w:name="_Toc101684595"/>
      <w:r>
        <w:rPr>
          <w:rFonts w:ascii="Times New Roman" w:hAnsi="Times New Roman" w:hint="eastAsia"/>
        </w:rPr>
        <w:t>现钞提取用途说明代码表</w:t>
      </w:r>
      <w:bookmarkEnd w:id="5119"/>
      <w:bookmarkEnd w:id="5120"/>
      <w:bookmarkEnd w:id="5121"/>
    </w:p>
    <w:p w14:paraId="0A06DB52" w14:textId="77777777" w:rsidR="00A052DC" w:rsidRDefault="00A052D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835"/>
        <w:gridCol w:w="3594"/>
      </w:tblGrid>
      <w:tr w:rsidR="00A052DC" w14:paraId="03792FA5" w14:textId="77777777" w:rsidTr="001863C2">
        <w:trPr>
          <w:tblHeader/>
        </w:trPr>
        <w:tc>
          <w:tcPr>
            <w:tcW w:w="2093" w:type="dxa"/>
            <w:shd w:val="clear" w:color="auto" w:fill="BFBFBF" w:themeFill="background1" w:themeFillShade="BF"/>
          </w:tcPr>
          <w:p w14:paraId="44187CFB" w14:textId="77777777" w:rsidR="00881462" w:rsidRDefault="009F0A60">
            <w:pPr>
              <w:pStyle w:val="B1"/>
            </w:pPr>
            <w:r>
              <w:rPr>
                <w:rFonts w:hint="eastAsia"/>
              </w:rPr>
              <w:t>现钞来源代码</w:t>
            </w:r>
          </w:p>
        </w:tc>
        <w:tc>
          <w:tcPr>
            <w:tcW w:w="2835" w:type="dxa"/>
            <w:shd w:val="clear" w:color="auto" w:fill="BFBFBF" w:themeFill="background1" w:themeFillShade="BF"/>
          </w:tcPr>
          <w:p w14:paraId="7A7F78C1" w14:textId="77777777" w:rsidR="00881462" w:rsidRDefault="009F0A60">
            <w:pPr>
              <w:pStyle w:val="B1"/>
            </w:pPr>
            <w:r>
              <w:rPr>
                <w:rFonts w:hint="eastAsia"/>
              </w:rPr>
              <w:t>现钞来源说明</w:t>
            </w:r>
          </w:p>
        </w:tc>
        <w:tc>
          <w:tcPr>
            <w:tcW w:w="3594" w:type="dxa"/>
            <w:shd w:val="clear" w:color="auto" w:fill="BFBFBF" w:themeFill="background1" w:themeFillShade="BF"/>
          </w:tcPr>
          <w:p w14:paraId="07488093" w14:textId="77777777" w:rsidR="00881462" w:rsidRDefault="009F0A60">
            <w:pPr>
              <w:pStyle w:val="B1"/>
            </w:pPr>
            <w:r>
              <w:rPr>
                <w:rFonts w:hint="eastAsia"/>
              </w:rPr>
              <w:t>备注</w:t>
            </w:r>
          </w:p>
        </w:tc>
      </w:tr>
      <w:tr w:rsidR="00A052DC" w14:paraId="3F5FB60A" w14:textId="77777777">
        <w:tc>
          <w:tcPr>
            <w:tcW w:w="2093" w:type="dxa"/>
            <w:shd w:val="clear" w:color="auto" w:fill="auto"/>
          </w:tcPr>
          <w:p w14:paraId="5B256ECF" w14:textId="77777777" w:rsidR="00A052DC" w:rsidRDefault="009F0A60">
            <w:pPr>
              <w:pStyle w:val="B"/>
              <w:jc w:val="center"/>
            </w:pPr>
            <w:r>
              <w:rPr>
                <w:rFonts w:hint="eastAsia"/>
              </w:rPr>
              <w:t>01</w:t>
            </w:r>
          </w:p>
        </w:tc>
        <w:tc>
          <w:tcPr>
            <w:tcW w:w="2835" w:type="dxa"/>
            <w:shd w:val="clear" w:color="auto" w:fill="auto"/>
          </w:tcPr>
          <w:p w14:paraId="4618D8EF" w14:textId="77777777" w:rsidR="00A052DC" w:rsidRDefault="009F0A60">
            <w:pPr>
              <w:pStyle w:val="B"/>
            </w:pPr>
            <w:r>
              <w:rPr>
                <w:rFonts w:cs="宋体" w:hint="eastAsia"/>
                <w:szCs w:val="20"/>
              </w:rPr>
              <w:t>船长借支</w:t>
            </w:r>
          </w:p>
        </w:tc>
        <w:tc>
          <w:tcPr>
            <w:tcW w:w="3594" w:type="dxa"/>
          </w:tcPr>
          <w:p w14:paraId="42472B94" w14:textId="77777777" w:rsidR="00A052DC" w:rsidRDefault="00A052DC">
            <w:pPr>
              <w:pStyle w:val="B"/>
            </w:pPr>
          </w:p>
        </w:tc>
      </w:tr>
      <w:tr w:rsidR="00A052DC" w14:paraId="57C0FE41" w14:textId="77777777">
        <w:tc>
          <w:tcPr>
            <w:tcW w:w="2093" w:type="dxa"/>
            <w:shd w:val="clear" w:color="auto" w:fill="auto"/>
          </w:tcPr>
          <w:p w14:paraId="55D77F57" w14:textId="77777777" w:rsidR="00A052DC" w:rsidRDefault="009F0A60">
            <w:pPr>
              <w:pStyle w:val="B"/>
              <w:jc w:val="center"/>
            </w:pPr>
            <w:r>
              <w:rPr>
                <w:rFonts w:hint="eastAsia"/>
              </w:rPr>
              <w:t>02</w:t>
            </w:r>
          </w:p>
        </w:tc>
        <w:tc>
          <w:tcPr>
            <w:tcW w:w="2835" w:type="dxa"/>
            <w:shd w:val="clear" w:color="auto" w:fill="auto"/>
          </w:tcPr>
          <w:p w14:paraId="473D010D" w14:textId="77777777" w:rsidR="00A052DC" w:rsidRDefault="009F0A60">
            <w:pPr>
              <w:pStyle w:val="B"/>
            </w:pPr>
            <w:r>
              <w:rPr>
                <w:rFonts w:cs="宋体" w:hint="eastAsia"/>
                <w:szCs w:val="20"/>
              </w:rPr>
              <w:t>对外劳务合作或对外承包工程</w:t>
            </w:r>
          </w:p>
        </w:tc>
        <w:tc>
          <w:tcPr>
            <w:tcW w:w="3594" w:type="dxa"/>
          </w:tcPr>
          <w:p w14:paraId="0A5E1E67" w14:textId="77777777" w:rsidR="00A052DC" w:rsidRDefault="00A052DC">
            <w:pPr>
              <w:pStyle w:val="B"/>
            </w:pPr>
          </w:p>
        </w:tc>
      </w:tr>
      <w:tr w:rsidR="00A052DC" w14:paraId="49693E42" w14:textId="77777777">
        <w:tc>
          <w:tcPr>
            <w:tcW w:w="2093" w:type="dxa"/>
            <w:shd w:val="clear" w:color="auto" w:fill="auto"/>
          </w:tcPr>
          <w:p w14:paraId="21E6DD3B" w14:textId="77777777" w:rsidR="00A052DC" w:rsidRDefault="009F0A60">
            <w:pPr>
              <w:pStyle w:val="B"/>
              <w:jc w:val="center"/>
            </w:pPr>
            <w:r>
              <w:rPr>
                <w:rFonts w:hint="eastAsia"/>
              </w:rPr>
              <w:t>03</w:t>
            </w:r>
          </w:p>
        </w:tc>
        <w:tc>
          <w:tcPr>
            <w:tcW w:w="2835" w:type="dxa"/>
            <w:shd w:val="clear" w:color="auto" w:fill="auto"/>
          </w:tcPr>
          <w:p w14:paraId="30C1DD34" w14:textId="77777777" w:rsidR="00A052DC" w:rsidRDefault="009F0A60">
            <w:pPr>
              <w:pStyle w:val="B"/>
            </w:pPr>
            <w:r>
              <w:rPr>
                <w:rFonts w:cs="宋体" w:hint="eastAsia"/>
                <w:szCs w:val="20"/>
              </w:rPr>
              <w:t>境外代表处（办事处）办公经费</w:t>
            </w:r>
          </w:p>
        </w:tc>
        <w:tc>
          <w:tcPr>
            <w:tcW w:w="3594" w:type="dxa"/>
          </w:tcPr>
          <w:p w14:paraId="184FD348" w14:textId="77777777" w:rsidR="00A052DC" w:rsidRDefault="00A052DC">
            <w:pPr>
              <w:pStyle w:val="B"/>
            </w:pPr>
          </w:p>
        </w:tc>
      </w:tr>
      <w:tr w:rsidR="00A052DC" w14:paraId="4D081D27" w14:textId="77777777">
        <w:tc>
          <w:tcPr>
            <w:tcW w:w="2093" w:type="dxa"/>
            <w:shd w:val="clear" w:color="auto" w:fill="auto"/>
          </w:tcPr>
          <w:p w14:paraId="6586404B" w14:textId="77777777" w:rsidR="00A052DC" w:rsidRDefault="009F0A60">
            <w:pPr>
              <w:pStyle w:val="B"/>
              <w:jc w:val="center"/>
            </w:pPr>
            <w:r>
              <w:rPr>
                <w:rFonts w:hint="eastAsia"/>
              </w:rPr>
              <w:t>04</w:t>
            </w:r>
          </w:p>
        </w:tc>
        <w:tc>
          <w:tcPr>
            <w:tcW w:w="2835" w:type="dxa"/>
            <w:shd w:val="clear" w:color="auto" w:fill="auto"/>
          </w:tcPr>
          <w:p w14:paraId="6A5D60AC" w14:textId="77777777" w:rsidR="00A052DC" w:rsidRDefault="009F0A60">
            <w:pPr>
              <w:pStyle w:val="B"/>
            </w:pPr>
            <w:r>
              <w:rPr>
                <w:rFonts w:cs="宋体" w:hint="eastAsia"/>
                <w:szCs w:val="20"/>
              </w:rPr>
              <w:t>公务出国</w:t>
            </w:r>
          </w:p>
        </w:tc>
        <w:tc>
          <w:tcPr>
            <w:tcW w:w="3594" w:type="dxa"/>
          </w:tcPr>
          <w:p w14:paraId="1B52A81D" w14:textId="77777777" w:rsidR="00A052DC" w:rsidRDefault="00A052DC">
            <w:pPr>
              <w:pStyle w:val="B"/>
            </w:pPr>
          </w:p>
        </w:tc>
      </w:tr>
      <w:tr w:rsidR="00A052DC" w14:paraId="36807D2A" w14:textId="77777777">
        <w:tc>
          <w:tcPr>
            <w:tcW w:w="2093" w:type="dxa"/>
            <w:shd w:val="clear" w:color="auto" w:fill="auto"/>
          </w:tcPr>
          <w:p w14:paraId="4B5338FC" w14:textId="77777777" w:rsidR="00A052DC" w:rsidRDefault="009F0A60">
            <w:pPr>
              <w:pStyle w:val="B"/>
              <w:jc w:val="center"/>
            </w:pPr>
            <w:r>
              <w:rPr>
                <w:rFonts w:hint="eastAsia"/>
              </w:rPr>
              <w:t>05</w:t>
            </w:r>
          </w:p>
        </w:tc>
        <w:tc>
          <w:tcPr>
            <w:tcW w:w="2835" w:type="dxa"/>
            <w:shd w:val="clear" w:color="auto" w:fill="auto"/>
          </w:tcPr>
          <w:p w14:paraId="52BDF0E4" w14:textId="77777777" w:rsidR="00A052DC" w:rsidRDefault="009F0A60">
            <w:pPr>
              <w:pStyle w:val="B"/>
              <w:rPr>
                <w:rFonts w:cs="宋体"/>
                <w:szCs w:val="20"/>
              </w:rPr>
            </w:pPr>
            <w:r>
              <w:rPr>
                <w:rFonts w:cs="宋体" w:hint="eastAsia"/>
                <w:szCs w:val="20"/>
              </w:rPr>
              <w:t>司法和行政执法等机构的罚没款、暂扣款和专项收缴款</w:t>
            </w:r>
          </w:p>
        </w:tc>
        <w:tc>
          <w:tcPr>
            <w:tcW w:w="3594" w:type="dxa"/>
          </w:tcPr>
          <w:p w14:paraId="5BCF3065" w14:textId="77777777" w:rsidR="00A052DC" w:rsidRDefault="00A052DC">
            <w:pPr>
              <w:pStyle w:val="B"/>
              <w:rPr>
                <w:rFonts w:cs="宋体"/>
                <w:szCs w:val="20"/>
              </w:rPr>
            </w:pPr>
          </w:p>
        </w:tc>
      </w:tr>
      <w:tr w:rsidR="00A052DC" w14:paraId="1F554585" w14:textId="77777777">
        <w:tc>
          <w:tcPr>
            <w:tcW w:w="2093" w:type="dxa"/>
            <w:shd w:val="clear" w:color="auto" w:fill="auto"/>
          </w:tcPr>
          <w:p w14:paraId="7A4E925D" w14:textId="77777777" w:rsidR="00A052DC" w:rsidRDefault="009F0A60">
            <w:pPr>
              <w:pStyle w:val="B"/>
              <w:jc w:val="center"/>
            </w:pPr>
            <w:r>
              <w:rPr>
                <w:rFonts w:hint="eastAsia"/>
              </w:rPr>
              <w:t>06</w:t>
            </w:r>
          </w:p>
        </w:tc>
        <w:tc>
          <w:tcPr>
            <w:tcW w:w="2835" w:type="dxa"/>
            <w:shd w:val="clear" w:color="auto" w:fill="auto"/>
          </w:tcPr>
          <w:p w14:paraId="3351FF62" w14:textId="77777777" w:rsidR="00A052DC" w:rsidRDefault="009F0A60">
            <w:pPr>
              <w:pStyle w:val="B"/>
              <w:rPr>
                <w:rFonts w:cs="宋体"/>
                <w:szCs w:val="20"/>
              </w:rPr>
            </w:pPr>
            <w:r>
              <w:rPr>
                <w:rFonts w:cs="宋体" w:hint="eastAsia"/>
                <w:szCs w:val="20"/>
              </w:rPr>
              <w:t>对台小额贸易</w:t>
            </w:r>
          </w:p>
        </w:tc>
        <w:tc>
          <w:tcPr>
            <w:tcW w:w="3594" w:type="dxa"/>
          </w:tcPr>
          <w:p w14:paraId="6BBF2758" w14:textId="77777777" w:rsidR="00A052DC" w:rsidRDefault="009F0A60">
            <w:pPr>
              <w:pStyle w:val="B"/>
              <w:rPr>
                <w:rFonts w:cs="宋体"/>
                <w:szCs w:val="20"/>
              </w:rPr>
            </w:pPr>
            <w:r>
              <w:rPr>
                <w:rFonts w:cs="宋体" w:hint="eastAsia"/>
                <w:szCs w:val="20"/>
              </w:rPr>
              <w:t>对台小额贸易指由大陆沿海地区指定口岸经核准的对台小额贸易公司与台湾地区或居民进行的货物交易。</w:t>
            </w:r>
          </w:p>
        </w:tc>
      </w:tr>
      <w:tr w:rsidR="00A052DC" w14:paraId="3337F063" w14:textId="77777777">
        <w:tc>
          <w:tcPr>
            <w:tcW w:w="2093" w:type="dxa"/>
            <w:shd w:val="clear" w:color="auto" w:fill="auto"/>
          </w:tcPr>
          <w:p w14:paraId="2558BE2F" w14:textId="77777777" w:rsidR="00A052DC" w:rsidRDefault="009F0A60">
            <w:pPr>
              <w:pStyle w:val="B"/>
              <w:jc w:val="center"/>
            </w:pPr>
            <w:r>
              <w:rPr>
                <w:rFonts w:hint="eastAsia"/>
              </w:rPr>
              <w:t>07</w:t>
            </w:r>
          </w:p>
        </w:tc>
        <w:tc>
          <w:tcPr>
            <w:tcW w:w="2835" w:type="dxa"/>
            <w:shd w:val="clear" w:color="auto" w:fill="auto"/>
          </w:tcPr>
          <w:p w14:paraId="5884D3C2" w14:textId="77777777" w:rsidR="00A052DC" w:rsidRDefault="009F0A60">
            <w:pPr>
              <w:pStyle w:val="B"/>
              <w:rPr>
                <w:rFonts w:cs="宋体"/>
                <w:szCs w:val="20"/>
              </w:rPr>
            </w:pPr>
            <w:r>
              <w:rPr>
                <w:rFonts w:cs="宋体" w:hint="eastAsia"/>
                <w:szCs w:val="20"/>
              </w:rPr>
              <w:t>对台小额商品交易市场</w:t>
            </w:r>
          </w:p>
        </w:tc>
        <w:tc>
          <w:tcPr>
            <w:tcW w:w="3594" w:type="dxa"/>
          </w:tcPr>
          <w:p w14:paraId="7ABCACA3" w14:textId="77777777" w:rsidR="00A052DC" w:rsidRDefault="009F0A60">
            <w:pPr>
              <w:pStyle w:val="B"/>
              <w:rPr>
                <w:rFonts w:cs="宋体"/>
                <w:szCs w:val="20"/>
              </w:rPr>
            </w:pPr>
            <w:r>
              <w:rPr>
                <w:rFonts w:cs="宋体" w:hint="eastAsia"/>
                <w:szCs w:val="20"/>
              </w:rPr>
              <w:t>对台小额商品交易市场是指经国家批准设立，用于开展对台民间小额商品交易活动，并实行封闭管理的特定区域。</w:t>
            </w:r>
          </w:p>
        </w:tc>
      </w:tr>
      <w:tr w:rsidR="00A052DC" w14:paraId="4332295F" w14:textId="77777777">
        <w:tc>
          <w:tcPr>
            <w:tcW w:w="2093" w:type="dxa"/>
            <w:shd w:val="clear" w:color="auto" w:fill="auto"/>
          </w:tcPr>
          <w:p w14:paraId="040DD385" w14:textId="77777777" w:rsidR="00A052DC" w:rsidRDefault="009F0A60">
            <w:pPr>
              <w:pStyle w:val="B"/>
              <w:jc w:val="center"/>
            </w:pPr>
            <w:r>
              <w:rPr>
                <w:rFonts w:hint="eastAsia"/>
              </w:rPr>
              <w:t>08</w:t>
            </w:r>
          </w:p>
        </w:tc>
        <w:tc>
          <w:tcPr>
            <w:tcW w:w="2835" w:type="dxa"/>
            <w:shd w:val="clear" w:color="auto" w:fill="auto"/>
          </w:tcPr>
          <w:p w14:paraId="217848B8" w14:textId="77777777" w:rsidR="00A052DC" w:rsidRDefault="009F0A60">
            <w:pPr>
              <w:pStyle w:val="B"/>
              <w:rPr>
                <w:rFonts w:cs="宋体"/>
                <w:szCs w:val="20"/>
              </w:rPr>
            </w:pPr>
            <w:r>
              <w:rPr>
                <w:rFonts w:cs="宋体" w:hint="eastAsia"/>
                <w:szCs w:val="20"/>
              </w:rPr>
              <w:t>其他</w:t>
            </w:r>
          </w:p>
        </w:tc>
        <w:tc>
          <w:tcPr>
            <w:tcW w:w="3594" w:type="dxa"/>
          </w:tcPr>
          <w:p w14:paraId="1E8A858D" w14:textId="77777777" w:rsidR="00A052DC" w:rsidRDefault="00A052DC">
            <w:pPr>
              <w:pStyle w:val="B"/>
              <w:rPr>
                <w:rFonts w:cs="宋体"/>
                <w:szCs w:val="20"/>
              </w:rPr>
            </w:pPr>
          </w:p>
        </w:tc>
      </w:tr>
    </w:tbl>
    <w:p w14:paraId="7669EF5C" w14:textId="77777777" w:rsidR="00A052DC" w:rsidRDefault="00A052DC"/>
    <w:p w14:paraId="5910920F" w14:textId="77777777" w:rsidR="00A052DC" w:rsidRDefault="00A052DC"/>
    <w:p w14:paraId="6BC02A2E" w14:textId="77777777" w:rsidR="00A052DC" w:rsidRDefault="00A052DC"/>
    <w:sectPr w:rsidR="00A052DC" w:rsidSect="00A052DC">
      <w:footerReference w:type="default" r:id="rId23"/>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CEE076" w14:textId="77777777" w:rsidR="003C2B32" w:rsidRDefault="003C2B32" w:rsidP="00A052DC">
      <w:r>
        <w:separator/>
      </w:r>
    </w:p>
  </w:endnote>
  <w:endnote w:type="continuationSeparator" w:id="0">
    <w:p w14:paraId="4E424B20" w14:textId="77777777" w:rsidR="003C2B32" w:rsidRDefault="003C2B32" w:rsidP="00A05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幼圆">
    <w:panose1 w:val="0201050906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95330" w14:textId="77777777" w:rsidR="00E54F87" w:rsidRDefault="00E54F87">
    <w:pPr>
      <w:pStyle w:val="af"/>
      <w:jc w:val="center"/>
    </w:pPr>
  </w:p>
  <w:p w14:paraId="59793C9E" w14:textId="77777777" w:rsidR="00E54F87" w:rsidRDefault="00E54F87">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50496" w14:textId="77777777" w:rsidR="00E54F87" w:rsidRDefault="00E54F87">
    <w:pPr>
      <w:pStyle w:val="af"/>
      <w:jc w:val="center"/>
    </w:pPr>
  </w:p>
  <w:p w14:paraId="6DDDB5D2" w14:textId="77777777" w:rsidR="00E54F87" w:rsidRDefault="00E54F87">
    <w:pPr>
      <w:pStyle w:val="af"/>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88CB6" w14:textId="77777777" w:rsidR="00E54F87" w:rsidRDefault="00A53BD0">
    <w:pPr>
      <w:pStyle w:val="af"/>
      <w:jc w:val="center"/>
    </w:pPr>
    <w:r>
      <w:fldChar w:fldCharType="begin"/>
    </w:r>
    <w:r w:rsidR="00E54F87">
      <w:instrText xml:space="preserve"> PAGE   \* MERGEFORMAT </w:instrText>
    </w:r>
    <w:r>
      <w:fldChar w:fldCharType="separate"/>
    </w:r>
    <w:r w:rsidR="0020251D" w:rsidRPr="0020251D">
      <w:rPr>
        <w:noProof/>
        <w:lang w:val="zh-CN"/>
      </w:rPr>
      <w:t>10</w:t>
    </w:r>
    <w:r>
      <w:rPr>
        <w:lang w:val="zh-CN"/>
      </w:rPr>
      <w:fldChar w:fldCharType="end"/>
    </w:r>
  </w:p>
  <w:p w14:paraId="487B03E6" w14:textId="77777777" w:rsidR="00E54F87" w:rsidRDefault="00E54F87">
    <w:pPr>
      <w:pStyle w:val="af"/>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B19A5" w14:textId="77777777" w:rsidR="00E54F87" w:rsidRDefault="00A53BD0">
    <w:pPr>
      <w:pStyle w:val="af"/>
      <w:jc w:val="center"/>
    </w:pPr>
    <w:r>
      <w:fldChar w:fldCharType="begin"/>
    </w:r>
    <w:r w:rsidR="00E54F87">
      <w:instrText xml:space="preserve"> PAGE   \* MERGEFORMAT </w:instrText>
    </w:r>
    <w:r>
      <w:fldChar w:fldCharType="separate"/>
    </w:r>
    <w:r w:rsidR="0020251D" w:rsidRPr="0020251D">
      <w:rPr>
        <w:noProof/>
        <w:lang w:val="zh-CN"/>
      </w:rPr>
      <w:t>457</w:t>
    </w:r>
    <w:r>
      <w:rPr>
        <w:lang w:val="zh-CN"/>
      </w:rPr>
      <w:fldChar w:fldCharType="end"/>
    </w:r>
  </w:p>
  <w:p w14:paraId="59F3C4E1" w14:textId="77777777" w:rsidR="00E54F87" w:rsidRDefault="00E54F87">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0D1077" w14:textId="77777777" w:rsidR="003C2B32" w:rsidRDefault="003C2B32" w:rsidP="00A052DC">
      <w:r>
        <w:separator/>
      </w:r>
    </w:p>
  </w:footnote>
  <w:footnote w:type="continuationSeparator" w:id="0">
    <w:p w14:paraId="2B1A43D5" w14:textId="77777777" w:rsidR="003C2B32" w:rsidRDefault="003C2B32" w:rsidP="00A05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46424" w14:textId="77777777" w:rsidR="00E54F87" w:rsidRDefault="00E54F87">
    <w:pPr>
      <w:pStyle w:val="af0"/>
      <w:rPr>
        <w:rFonts w:ascii="仿宋_GB2312" w:eastAsia="仿宋_GB2312"/>
        <w:sz w:val="20"/>
      </w:rPr>
    </w:pPr>
    <w:r>
      <w:rPr>
        <w:rFonts w:ascii="仿宋_GB2312" w:eastAsia="仿宋_GB2312" w:hint="eastAsia"/>
        <w:sz w:val="20"/>
      </w:rPr>
      <w:t>国家外汇管理局金融机构外汇业务数据采集规范（V1.3）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98688" w14:textId="77777777" w:rsidR="00E54F87" w:rsidRDefault="00E54F8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86DB2" w14:textId="77777777" w:rsidR="00E54F87" w:rsidRDefault="00E54F87">
    <w:pPr>
      <w:pStyle w:val="af0"/>
      <w:rPr>
        <w:rFonts w:ascii="仿宋_GB2312" w:eastAsia="仿宋_GB2312"/>
        <w:sz w:val="20"/>
      </w:rPr>
    </w:pPr>
    <w:r>
      <w:rPr>
        <w:rFonts w:ascii="仿宋_GB2312" w:eastAsia="仿宋_GB2312" w:hint="eastAsia"/>
        <w:sz w:val="20"/>
      </w:rPr>
      <w:t>国家外汇管理局金融机构外汇业务数据采集规范（V1.3）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FF23E5A"/>
    <w:multiLevelType w:val="singleLevel"/>
    <w:tmpl w:val="AFF23E5A"/>
    <w:lvl w:ilvl="0">
      <w:start w:val="1"/>
      <w:numFmt w:val="decimal"/>
      <w:suff w:val="nothing"/>
      <w:lvlText w:val="%1-"/>
      <w:lvlJc w:val="left"/>
    </w:lvl>
  </w:abstractNum>
  <w:abstractNum w:abstractNumId="1" w15:restartNumberingAfterBreak="0">
    <w:nsid w:val="DFB7D58C"/>
    <w:multiLevelType w:val="singleLevel"/>
    <w:tmpl w:val="DFB7D58C"/>
    <w:lvl w:ilvl="0">
      <w:start w:val="1"/>
      <w:numFmt w:val="decimal"/>
      <w:suff w:val="nothing"/>
      <w:lvlText w:val="%1-"/>
      <w:lvlJc w:val="left"/>
    </w:lvl>
  </w:abstractNum>
  <w:abstractNum w:abstractNumId="2" w15:restartNumberingAfterBreak="0">
    <w:nsid w:val="DFFD6FB1"/>
    <w:multiLevelType w:val="singleLevel"/>
    <w:tmpl w:val="DFFD6FB1"/>
    <w:lvl w:ilvl="0">
      <w:start w:val="1"/>
      <w:numFmt w:val="decimal"/>
      <w:suff w:val="nothing"/>
      <w:lvlText w:val="%1-"/>
      <w:lvlJc w:val="left"/>
    </w:lvl>
  </w:abstractNum>
  <w:abstractNum w:abstractNumId="3" w15:restartNumberingAfterBreak="0">
    <w:nsid w:val="FBDA7600"/>
    <w:multiLevelType w:val="singleLevel"/>
    <w:tmpl w:val="FBDA7600"/>
    <w:lvl w:ilvl="0">
      <w:start w:val="1"/>
      <w:numFmt w:val="decimal"/>
      <w:suff w:val="nothing"/>
      <w:lvlText w:val="%1-"/>
      <w:lvlJc w:val="left"/>
    </w:lvl>
  </w:abstractNum>
  <w:abstractNum w:abstractNumId="4" w15:restartNumberingAfterBreak="0">
    <w:nsid w:val="FFAE108E"/>
    <w:multiLevelType w:val="singleLevel"/>
    <w:tmpl w:val="FFAE108E"/>
    <w:lvl w:ilvl="0">
      <w:start w:val="1"/>
      <w:numFmt w:val="decimal"/>
      <w:suff w:val="nothing"/>
      <w:lvlText w:val="%1-"/>
      <w:lvlJc w:val="left"/>
    </w:lvl>
  </w:abstractNum>
  <w:abstractNum w:abstractNumId="5" w15:restartNumberingAfterBreak="0">
    <w:nsid w:val="0B532850"/>
    <w:multiLevelType w:val="multilevel"/>
    <w:tmpl w:val="0B532850"/>
    <w:lvl w:ilvl="0">
      <w:start w:val="1"/>
      <w:numFmt w:val="bullet"/>
      <w:lvlText w:val=""/>
      <w:lvlJc w:val="left"/>
      <w:pPr>
        <w:ind w:left="1260" w:hanging="420"/>
      </w:pPr>
      <w:rPr>
        <w:rFonts w:ascii="Wingdings" w:hAnsi="Wingding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6" w15:restartNumberingAfterBreak="0">
    <w:nsid w:val="0C0A0357"/>
    <w:multiLevelType w:val="multilevel"/>
    <w:tmpl w:val="0C0A035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E0D2DDE"/>
    <w:multiLevelType w:val="multilevel"/>
    <w:tmpl w:val="0E0D2DDE"/>
    <w:lvl w:ilvl="0">
      <w:start w:val="1"/>
      <w:numFmt w:val="chineseCountingThousand"/>
      <w:lvlText w:val="第%1章"/>
      <w:lvlJc w:val="left"/>
      <w:pPr>
        <w:ind w:left="0" w:firstLine="0"/>
      </w:pPr>
      <w:rPr>
        <w:rFonts w:hint="eastAsia"/>
        <w:b/>
        <w:i w:val="0"/>
        <w:spacing w:val="0"/>
      </w:rPr>
    </w:lvl>
    <w:lvl w:ilvl="1">
      <w:start w:val="1"/>
      <w:numFmt w:val="decimal"/>
      <w:isLgl/>
      <w:suff w:val="space"/>
      <w:lvlText w:val="%1.%2"/>
      <w:lvlJc w:val="left"/>
      <w:pPr>
        <w:ind w:left="3120" w:firstLine="0"/>
      </w:pPr>
      <w:rPr>
        <w:rFonts w:hint="eastAsia"/>
      </w:rPr>
    </w:lvl>
    <w:lvl w:ilvl="2">
      <w:start w:val="1"/>
      <w:numFmt w:val="decimal"/>
      <w:isLgl/>
      <w:suff w:val="space"/>
      <w:lvlText w:val="%1.%2.%3"/>
      <w:lvlJc w:val="left"/>
      <w:pPr>
        <w:ind w:left="3545" w:firstLine="0"/>
      </w:pPr>
      <w:rPr>
        <w:rFonts w:hint="eastAsia"/>
      </w:rPr>
    </w:lvl>
    <w:lvl w:ilvl="3">
      <w:start w:val="1"/>
      <w:numFmt w:val="decimal"/>
      <w:isLgl/>
      <w:suff w:val="space"/>
      <w:lvlText w:val="%1.%2.%3.%4"/>
      <w:lvlJc w:val="left"/>
      <w:pPr>
        <w:ind w:left="3687" w:firstLine="0"/>
      </w:pPr>
      <w:rPr>
        <w:rFonts w:hint="eastAsia"/>
      </w:rPr>
    </w:lvl>
    <w:lvl w:ilvl="4">
      <w:start w:val="1"/>
      <w:numFmt w:val="decimal"/>
      <w:isLgl/>
      <w:suff w:val="space"/>
      <w:lvlText w:val="%1.%2.%3.%4.%5"/>
      <w:lvlJc w:val="left"/>
      <w:pPr>
        <w:ind w:left="0" w:firstLine="0"/>
      </w:pPr>
      <w:rPr>
        <w:rFonts w:hint="eastAsia"/>
      </w:rPr>
    </w:lvl>
    <w:lvl w:ilvl="5">
      <w:start w:val="1"/>
      <w:numFmt w:val="decimal"/>
      <w:isLgl/>
      <w:suff w:val="space"/>
      <w:lvlText w:val="%1.%2.%3.%4.%5.%6"/>
      <w:lvlJc w:val="left"/>
      <w:pPr>
        <w:ind w:left="0" w:firstLine="0"/>
      </w:pPr>
      <w:rPr>
        <w:rFonts w:hint="eastAsia"/>
      </w:rPr>
    </w:lvl>
    <w:lvl w:ilvl="6">
      <w:start w:val="1"/>
      <w:numFmt w:val="decimal"/>
      <w:isLgl/>
      <w:suff w:val="space"/>
      <w:lvlText w:val="%1.%2.%3.%4.%5.%6.%7"/>
      <w:lvlJc w:val="left"/>
      <w:pPr>
        <w:ind w:left="0" w:firstLine="0"/>
      </w:pPr>
      <w:rPr>
        <w:rFonts w:hint="eastAsia"/>
      </w:rPr>
    </w:lvl>
    <w:lvl w:ilvl="7">
      <w:start w:val="1"/>
      <w:numFmt w:val="decimal"/>
      <w:isLgl/>
      <w:suff w:val="space"/>
      <w:lvlText w:val="%1.%2.%3.%4.%5.%6.%7.%8"/>
      <w:lvlJc w:val="left"/>
      <w:pPr>
        <w:ind w:left="0" w:firstLine="0"/>
      </w:pPr>
      <w:rPr>
        <w:rFonts w:hint="eastAsia"/>
      </w:rPr>
    </w:lvl>
    <w:lvl w:ilvl="8">
      <w:start w:val="1"/>
      <w:numFmt w:val="decimal"/>
      <w:isLgl/>
      <w:suff w:val="space"/>
      <w:lvlText w:val="%1.%2.%3.%4.%5.%6.%7.%8.%9"/>
      <w:lvlJc w:val="left"/>
      <w:pPr>
        <w:ind w:left="0" w:firstLine="0"/>
      </w:pPr>
      <w:rPr>
        <w:rFonts w:hint="eastAsia"/>
      </w:rPr>
    </w:lvl>
  </w:abstractNum>
  <w:abstractNum w:abstractNumId="8" w15:restartNumberingAfterBreak="0">
    <w:nsid w:val="1BCB69B8"/>
    <w:multiLevelType w:val="multilevel"/>
    <w:tmpl w:val="1BCB69B8"/>
    <w:lvl w:ilvl="0">
      <w:start w:val="1"/>
      <w:numFmt w:val="decimal"/>
      <w:lvlText w:val="%1．"/>
      <w:lvlJc w:val="left"/>
      <w:pPr>
        <w:tabs>
          <w:tab w:val="left" w:pos="1280"/>
        </w:tabs>
        <w:ind w:left="0" w:firstLine="560"/>
      </w:pPr>
      <w:rPr>
        <w:rFonts w:hint="eastAsia"/>
        <w:b w:val="0"/>
        <w:i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9" w15:restartNumberingAfterBreak="0">
    <w:nsid w:val="1E8C19D3"/>
    <w:multiLevelType w:val="singleLevel"/>
    <w:tmpl w:val="1E8C19D3"/>
    <w:lvl w:ilvl="0">
      <w:start w:val="1"/>
      <w:numFmt w:val="decimal"/>
      <w:lvlText w:val="%1．"/>
      <w:lvlJc w:val="left"/>
      <w:pPr>
        <w:tabs>
          <w:tab w:val="left" w:pos="1280"/>
        </w:tabs>
        <w:ind w:left="0" w:firstLine="560"/>
      </w:pPr>
      <w:rPr>
        <w:rFonts w:hint="eastAsia"/>
        <w:b w:val="0"/>
        <w:i w:val="0"/>
      </w:rPr>
    </w:lvl>
  </w:abstractNum>
  <w:abstractNum w:abstractNumId="10" w15:restartNumberingAfterBreak="0">
    <w:nsid w:val="2B7676BD"/>
    <w:multiLevelType w:val="multilevel"/>
    <w:tmpl w:val="2B7676BD"/>
    <w:lvl w:ilvl="0">
      <w:start w:val="1"/>
      <w:numFmt w:val="decimal"/>
      <w:pStyle w:val="a"/>
      <w:lvlText w:val="图%1："/>
      <w:lvlJc w:val="left"/>
      <w:pPr>
        <w:ind w:left="900" w:hanging="420"/>
      </w:pPr>
      <w:rPr>
        <w:rFonts w:hint="eastAsia"/>
        <w:position w:val="0"/>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1" w15:restartNumberingAfterBreak="0">
    <w:nsid w:val="3457216B"/>
    <w:multiLevelType w:val="singleLevel"/>
    <w:tmpl w:val="3457216B"/>
    <w:lvl w:ilvl="0">
      <w:start w:val="1"/>
      <w:numFmt w:val="decimal"/>
      <w:lvlText w:val="%1．"/>
      <w:lvlJc w:val="left"/>
      <w:pPr>
        <w:tabs>
          <w:tab w:val="left" w:pos="1280"/>
        </w:tabs>
        <w:ind w:left="0" w:firstLine="560"/>
      </w:pPr>
      <w:rPr>
        <w:rFonts w:hint="eastAsia"/>
        <w:b w:val="0"/>
        <w:i w:val="0"/>
      </w:rPr>
    </w:lvl>
  </w:abstractNum>
  <w:abstractNum w:abstractNumId="12" w15:restartNumberingAfterBreak="0">
    <w:nsid w:val="38E02A16"/>
    <w:multiLevelType w:val="singleLevel"/>
    <w:tmpl w:val="38E02A16"/>
    <w:lvl w:ilvl="0">
      <w:start w:val="1"/>
      <w:numFmt w:val="bullet"/>
      <w:lvlText w:val=""/>
      <w:lvlJc w:val="left"/>
      <w:pPr>
        <w:tabs>
          <w:tab w:val="left" w:pos="425"/>
        </w:tabs>
        <w:ind w:left="425" w:hanging="425"/>
      </w:pPr>
      <w:rPr>
        <w:rFonts w:ascii="Wingdings" w:hAnsi="Wingdings" w:hint="default"/>
        <w:sz w:val="24"/>
      </w:rPr>
    </w:lvl>
  </w:abstractNum>
  <w:abstractNum w:abstractNumId="13" w15:restartNumberingAfterBreak="0">
    <w:nsid w:val="3F7CBAD4"/>
    <w:multiLevelType w:val="singleLevel"/>
    <w:tmpl w:val="3F7CBAD4"/>
    <w:lvl w:ilvl="0">
      <w:start w:val="12"/>
      <w:numFmt w:val="decimal"/>
      <w:suff w:val="nothing"/>
      <w:lvlText w:val="%1-"/>
      <w:lvlJc w:val="left"/>
    </w:lvl>
  </w:abstractNum>
  <w:abstractNum w:abstractNumId="14" w15:restartNumberingAfterBreak="0">
    <w:nsid w:val="409E2926"/>
    <w:multiLevelType w:val="multilevel"/>
    <w:tmpl w:val="409E2926"/>
    <w:lvl w:ilvl="0">
      <w:start w:val="1"/>
      <w:numFmt w:val="decimal"/>
      <w:lvlText w:val="%1．"/>
      <w:lvlJc w:val="left"/>
      <w:pPr>
        <w:tabs>
          <w:tab w:val="left" w:pos="1280"/>
        </w:tabs>
        <w:ind w:left="0" w:firstLine="560"/>
      </w:pPr>
      <w:rPr>
        <w:rFonts w:hint="eastAsia"/>
        <w:b w:val="0"/>
        <w:i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5" w15:restartNumberingAfterBreak="0">
    <w:nsid w:val="4918595F"/>
    <w:multiLevelType w:val="singleLevel"/>
    <w:tmpl w:val="4918595F"/>
    <w:lvl w:ilvl="0">
      <w:start w:val="1"/>
      <w:numFmt w:val="bullet"/>
      <w:lvlText w:val=""/>
      <w:lvlJc w:val="left"/>
      <w:pPr>
        <w:tabs>
          <w:tab w:val="left" w:pos="425"/>
        </w:tabs>
        <w:ind w:left="425" w:hanging="425"/>
      </w:pPr>
      <w:rPr>
        <w:rFonts w:ascii="Wingdings" w:hAnsi="Wingdings" w:hint="default"/>
        <w:sz w:val="24"/>
      </w:rPr>
    </w:lvl>
  </w:abstractNum>
  <w:abstractNum w:abstractNumId="16" w15:restartNumberingAfterBreak="0">
    <w:nsid w:val="49435360"/>
    <w:multiLevelType w:val="multilevel"/>
    <w:tmpl w:val="49435360"/>
    <w:lvl w:ilvl="0">
      <w:start w:val="1"/>
      <w:numFmt w:val="decimal"/>
      <w:lvlText w:val="%1．"/>
      <w:lvlJc w:val="left"/>
      <w:pPr>
        <w:tabs>
          <w:tab w:val="left" w:pos="1280"/>
        </w:tabs>
        <w:ind w:left="0" w:firstLine="560"/>
      </w:pPr>
      <w:rPr>
        <w:rFonts w:hint="eastAsia"/>
        <w:b w:val="0"/>
        <w:i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7" w15:restartNumberingAfterBreak="0">
    <w:nsid w:val="4EB36067"/>
    <w:multiLevelType w:val="multilevel"/>
    <w:tmpl w:val="4EB36067"/>
    <w:lvl w:ilvl="0">
      <w:start w:val="1"/>
      <w:numFmt w:val="chineseCountingThousand"/>
      <w:pStyle w:val="1"/>
      <w:suff w:val="space"/>
      <w:lvlText w:val="第%1章"/>
      <w:lvlJc w:val="left"/>
      <w:pPr>
        <w:ind w:left="0" w:firstLine="0"/>
      </w:pPr>
      <w:rPr>
        <w:rFonts w:hint="eastAsia"/>
        <w:b/>
        <w:i w:val="0"/>
        <w:spacing w:val="0"/>
      </w:rPr>
    </w:lvl>
    <w:lvl w:ilvl="1">
      <w:start w:val="1"/>
      <w:numFmt w:val="decimal"/>
      <w:pStyle w:val="2"/>
      <w:isLgl/>
      <w:suff w:val="space"/>
      <w:lvlText w:val="%1.%2"/>
      <w:lvlJc w:val="left"/>
      <w:pPr>
        <w:ind w:left="0" w:firstLine="0"/>
      </w:pPr>
      <w:rPr>
        <w:rFonts w:ascii="Times New Roman" w:hAnsi="Times New Roman" w:cs="Times New Roman" w:hint="default"/>
      </w:rPr>
    </w:lvl>
    <w:lvl w:ilvl="2">
      <w:start w:val="1"/>
      <w:numFmt w:val="decimal"/>
      <w:pStyle w:val="3"/>
      <w:isLgl/>
      <w:suff w:val="space"/>
      <w:lvlText w:val="%1.%2.%3"/>
      <w:lvlJc w:val="left"/>
      <w:pPr>
        <w:ind w:left="567" w:firstLine="0"/>
      </w:pPr>
      <w:rPr>
        <w:rFonts w:ascii="Times New Roman" w:hAnsi="Times New Roman" w:hint="eastAsia"/>
        <w:color w:val="auto"/>
      </w:rPr>
    </w:lvl>
    <w:lvl w:ilvl="3">
      <w:start w:val="1"/>
      <w:numFmt w:val="decimal"/>
      <w:isLgl/>
      <w:suff w:val="space"/>
      <w:lvlText w:val="%1.%2.%3.%4"/>
      <w:lvlJc w:val="left"/>
      <w:pPr>
        <w:ind w:left="142" w:firstLine="0"/>
      </w:pPr>
      <w:rPr>
        <w:rFonts w:hint="eastAsia"/>
      </w:rPr>
    </w:lvl>
    <w:lvl w:ilvl="4">
      <w:start w:val="1"/>
      <w:numFmt w:val="decimal"/>
      <w:isLgl/>
      <w:suff w:val="space"/>
      <w:lvlText w:val="%1.%2.%3.%4.%5"/>
      <w:lvlJc w:val="left"/>
      <w:pPr>
        <w:ind w:left="0" w:firstLine="0"/>
      </w:pPr>
      <w:rPr>
        <w:rFonts w:hint="eastAsia"/>
      </w:rPr>
    </w:lvl>
    <w:lvl w:ilvl="5">
      <w:start w:val="1"/>
      <w:numFmt w:val="decimal"/>
      <w:isLgl/>
      <w:suff w:val="space"/>
      <w:lvlText w:val="%1.%2.%3.%4.%5.%6"/>
      <w:lvlJc w:val="left"/>
      <w:pPr>
        <w:ind w:left="0" w:firstLine="0"/>
      </w:pPr>
      <w:rPr>
        <w:rFonts w:hint="eastAsia"/>
      </w:rPr>
    </w:lvl>
    <w:lvl w:ilvl="6">
      <w:start w:val="1"/>
      <w:numFmt w:val="decimal"/>
      <w:isLgl/>
      <w:suff w:val="space"/>
      <w:lvlText w:val="%1.%2.%3.%4.%5.%6.%7"/>
      <w:lvlJc w:val="left"/>
      <w:pPr>
        <w:ind w:left="0" w:firstLine="0"/>
      </w:pPr>
      <w:rPr>
        <w:rFonts w:hint="eastAsia"/>
      </w:rPr>
    </w:lvl>
    <w:lvl w:ilvl="7">
      <w:start w:val="1"/>
      <w:numFmt w:val="decimal"/>
      <w:isLgl/>
      <w:suff w:val="space"/>
      <w:lvlText w:val="%1.%2.%3.%4.%5.%6.%7.%8"/>
      <w:lvlJc w:val="left"/>
      <w:pPr>
        <w:ind w:left="0" w:firstLine="0"/>
      </w:pPr>
      <w:rPr>
        <w:rFonts w:hint="eastAsia"/>
      </w:rPr>
    </w:lvl>
    <w:lvl w:ilvl="8">
      <w:start w:val="1"/>
      <w:numFmt w:val="decimal"/>
      <w:isLgl/>
      <w:suff w:val="space"/>
      <w:lvlText w:val="%1.%2.%3.%4.%5.%6.%7.%8.%9"/>
      <w:lvlJc w:val="left"/>
      <w:pPr>
        <w:ind w:left="0" w:firstLine="0"/>
      </w:pPr>
      <w:rPr>
        <w:rFonts w:hint="eastAsia"/>
      </w:rPr>
    </w:lvl>
  </w:abstractNum>
  <w:abstractNum w:abstractNumId="18" w15:restartNumberingAfterBreak="0">
    <w:nsid w:val="54AF16A4"/>
    <w:multiLevelType w:val="multilevel"/>
    <w:tmpl w:val="54AF16A4"/>
    <w:lvl w:ilvl="0">
      <w:start w:val="1"/>
      <w:numFmt w:val="bullet"/>
      <w:lvlText w:val="-"/>
      <w:lvlJc w:val="left"/>
      <w:pPr>
        <w:tabs>
          <w:tab w:val="left" w:pos="420"/>
        </w:tabs>
        <w:ind w:left="420" w:hanging="420"/>
      </w:pPr>
      <w:rPr>
        <w:rFonts w:ascii="宋体" w:eastAsia="宋体" w:hAnsi="宋体" w:hint="eastAsia"/>
      </w:rPr>
    </w:lvl>
    <w:lvl w:ilvl="1">
      <w:start w:val="1"/>
      <w:numFmt w:val="bullet"/>
      <w:lvlText w:val=""/>
      <w:lvlJc w:val="left"/>
      <w:pPr>
        <w:tabs>
          <w:tab w:val="left" w:pos="0"/>
        </w:tabs>
        <w:ind w:left="0" w:hanging="420"/>
      </w:pPr>
      <w:rPr>
        <w:rFonts w:ascii="Wingdings" w:hAnsi="Wingdings" w:hint="default"/>
      </w:rPr>
    </w:lvl>
    <w:lvl w:ilvl="2">
      <w:start w:val="1"/>
      <w:numFmt w:val="bullet"/>
      <w:lvlText w:val=""/>
      <w:lvlJc w:val="left"/>
      <w:pPr>
        <w:tabs>
          <w:tab w:val="left" w:pos="420"/>
        </w:tabs>
        <w:ind w:left="420" w:hanging="420"/>
      </w:pPr>
      <w:rPr>
        <w:rFonts w:ascii="Wingdings" w:hAnsi="Wingdings" w:hint="default"/>
      </w:rPr>
    </w:lvl>
    <w:lvl w:ilvl="3">
      <w:start w:val="1"/>
      <w:numFmt w:val="bullet"/>
      <w:lvlText w:val=""/>
      <w:lvlJc w:val="left"/>
      <w:pPr>
        <w:tabs>
          <w:tab w:val="left" w:pos="840"/>
        </w:tabs>
        <w:ind w:left="840" w:hanging="420"/>
      </w:pPr>
      <w:rPr>
        <w:rFonts w:ascii="Wingdings" w:hAnsi="Wingdings" w:hint="default"/>
      </w:rPr>
    </w:lvl>
    <w:lvl w:ilvl="4">
      <w:start w:val="1"/>
      <w:numFmt w:val="bullet"/>
      <w:lvlText w:val=""/>
      <w:lvlJc w:val="left"/>
      <w:pPr>
        <w:tabs>
          <w:tab w:val="left" w:pos="1260"/>
        </w:tabs>
        <w:ind w:left="1260" w:hanging="420"/>
      </w:pPr>
      <w:rPr>
        <w:rFonts w:ascii="Wingdings" w:hAnsi="Wingdings" w:hint="default"/>
      </w:rPr>
    </w:lvl>
    <w:lvl w:ilvl="5">
      <w:start w:val="1"/>
      <w:numFmt w:val="bullet"/>
      <w:lvlText w:val=""/>
      <w:lvlJc w:val="left"/>
      <w:pPr>
        <w:tabs>
          <w:tab w:val="left" w:pos="1680"/>
        </w:tabs>
        <w:ind w:left="1680" w:hanging="420"/>
      </w:pPr>
      <w:rPr>
        <w:rFonts w:ascii="Wingdings" w:hAnsi="Wingdings" w:hint="default"/>
      </w:rPr>
    </w:lvl>
    <w:lvl w:ilvl="6">
      <w:start w:val="1"/>
      <w:numFmt w:val="bullet"/>
      <w:lvlText w:val=""/>
      <w:lvlJc w:val="left"/>
      <w:pPr>
        <w:tabs>
          <w:tab w:val="left" w:pos="2100"/>
        </w:tabs>
        <w:ind w:left="2100" w:hanging="420"/>
      </w:pPr>
      <w:rPr>
        <w:rFonts w:ascii="Wingdings" w:hAnsi="Wingdings" w:hint="default"/>
      </w:rPr>
    </w:lvl>
    <w:lvl w:ilvl="7">
      <w:start w:val="1"/>
      <w:numFmt w:val="bullet"/>
      <w:lvlText w:val=""/>
      <w:lvlJc w:val="left"/>
      <w:pPr>
        <w:tabs>
          <w:tab w:val="left" w:pos="2520"/>
        </w:tabs>
        <w:ind w:left="2520" w:hanging="420"/>
      </w:pPr>
      <w:rPr>
        <w:rFonts w:ascii="Wingdings" w:hAnsi="Wingdings" w:hint="default"/>
      </w:rPr>
    </w:lvl>
    <w:lvl w:ilvl="8">
      <w:start w:val="1"/>
      <w:numFmt w:val="bullet"/>
      <w:lvlText w:val=""/>
      <w:lvlJc w:val="left"/>
      <w:pPr>
        <w:tabs>
          <w:tab w:val="left" w:pos="2940"/>
        </w:tabs>
        <w:ind w:left="2940" w:hanging="420"/>
      </w:pPr>
      <w:rPr>
        <w:rFonts w:ascii="Wingdings" w:hAnsi="Wingdings" w:hint="default"/>
      </w:rPr>
    </w:lvl>
  </w:abstractNum>
  <w:abstractNum w:abstractNumId="19" w15:restartNumberingAfterBreak="0">
    <w:nsid w:val="67CAA6DE"/>
    <w:multiLevelType w:val="singleLevel"/>
    <w:tmpl w:val="67CAA6DE"/>
    <w:lvl w:ilvl="0">
      <w:start w:val="1"/>
      <w:numFmt w:val="decimal"/>
      <w:suff w:val="nothing"/>
      <w:lvlText w:val="%1-"/>
      <w:lvlJc w:val="left"/>
    </w:lvl>
  </w:abstractNum>
  <w:abstractNum w:abstractNumId="20" w15:restartNumberingAfterBreak="0">
    <w:nsid w:val="6D2E47B8"/>
    <w:multiLevelType w:val="multilevel"/>
    <w:tmpl w:val="6D2E47B8"/>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1" w15:restartNumberingAfterBreak="0">
    <w:nsid w:val="739B4301"/>
    <w:multiLevelType w:val="multilevel"/>
    <w:tmpl w:val="739B4301"/>
    <w:lvl w:ilvl="0">
      <w:start w:val="1"/>
      <w:numFmt w:val="decimal"/>
      <w:lvlText w:val="%1．"/>
      <w:lvlJc w:val="left"/>
      <w:pPr>
        <w:tabs>
          <w:tab w:val="left" w:pos="1280"/>
        </w:tabs>
        <w:ind w:left="0" w:firstLine="560"/>
      </w:pPr>
      <w:rPr>
        <w:rFonts w:hint="eastAsia"/>
        <w:b w:val="0"/>
        <w:i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16cid:durableId="1754742574">
    <w:abstractNumId w:val="17"/>
  </w:num>
  <w:num w:numId="2" w16cid:durableId="1805538320">
    <w:abstractNumId w:val="10"/>
  </w:num>
  <w:num w:numId="3" w16cid:durableId="300159437">
    <w:abstractNumId w:val="7"/>
  </w:num>
  <w:num w:numId="4" w16cid:durableId="1359505049">
    <w:abstractNumId w:val="15"/>
  </w:num>
  <w:num w:numId="5" w16cid:durableId="2060082109">
    <w:abstractNumId w:val="9"/>
  </w:num>
  <w:num w:numId="6" w16cid:durableId="1112238038">
    <w:abstractNumId w:val="21"/>
  </w:num>
  <w:num w:numId="7" w16cid:durableId="10957636">
    <w:abstractNumId w:val="12"/>
  </w:num>
  <w:num w:numId="8" w16cid:durableId="1528906144">
    <w:abstractNumId w:val="8"/>
  </w:num>
  <w:num w:numId="9" w16cid:durableId="1142965006">
    <w:abstractNumId w:val="11"/>
  </w:num>
  <w:num w:numId="10" w16cid:durableId="1382242230">
    <w:abstractNumId w:val="16"/>
  </w:num>
  <w:num w:numId="11" w16cid:durableId="453140598">
    <w:abstractNumId w:val="14"/>
  </w:num>
  <w:num w:numId="12" w16cid:durableId="1472364354">
    <w:abstractNumId w:val="18"/>
  </w:num>
  <w:num w:numId="13" w16cid:durableId="1177188764">
    <w:abstractNumId w:val="17"/>
    <w:lvlOverride w:ilvl="0">
      <w:startOverride w:val="6"/>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91267060">
    <w:abstractNumId w:val="17"/>
    <w:lvlOverride w:ilvl="0">
      <w:startOverride w:val="6"/>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41065050">
    <w:abstractNumId w:val="2"/>
  </w:num>
  <w:num w:numId="16" w16cid:durableId="549420794">
    <w:abstractNumId w:val="4"/>
  </w:num>
  <w:num w:numId="17" w16cid:durableId="311175164">
    <w:abstractNumId w:val="1"/>
  </w:num>
  <w:num w:numId="18" w16cid:durableId="753207042">
    <w:abstractNumId w:val="6"/>
  </w:num>
  <w:num w:numId="19" w16cid:durableId="248659675">
    <w:abstractNumId w:val="0"/>
  </w:num>
  <w:num w:numId="20" w16cid:durableId="520557571">
    <w:abstractNumId w:val="19"/>
  </w:num>
  <w:num w:numId="21" w16cid:durableId="1023945227">
    <w:abstractNumId w:val="3"/>
  </w:num>
  <w:num w:numId="22" w16cid:durableId="350574176">
    <w:abstractNumId w:val="13"/>
  </w:num>
  <w:num w:numId="23" w16cid:durableId="1653826115">
    <w:abstractNumId w:val="20"/>
  </w:num>
  <w:num w:numId="24" w16cid:durableId="3215482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206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DF56BD"/>
    <w:rsid w:val="A3BF347B"/>
    <w:rsid w:val="EA7EAE3A"/>
    <w:rsid w:val="FBF7B7F8"/>
    <w:rsid w:val="FFFFBB37"/>
    <w:rsid w:val="000000DE"/>
    <w:rsid w:val="00000402"/>
    <w:rsid w:val="0000082E"/>
    <w:rsid w:val="00001039"/>
    <w:rsid w:val="00002324"/>
    <w:rsid w:val="000034B7"/>
    <w:rsid w:val="000034B8"/>
    <w:rsid w:val="00003C85"/>
    <w:rsid w:val="00004EF7"/>
    <w:rsid w:val="00005206"/>
    <w:rsid w:val="00005350"/>
    <w:rsid w:val="000055DC"/>
    <w:rsid w:val="000058BD"/>
    <w:rsid w:val="00006454"/>
    <w:rsid w:val="0000667B"/>
    <w:rsid w:val="00006998"/>
    <w:rsid w:val="00006A90"/>
    <w:rsid w:val="00006F71"/>
    <w:rsid w:val="00007264"/>
    <w:rsid w:val="0000782C"/>
    <w:rsid w:val="00007ACA"/>
    <w:rsid w:val="00010212"/>
    <w:rsid w:val="00010D12"/>
    <w:rsid w:val="00010FA2"/>
    <w:rsid w:val="0001130B"/>
    <w:rsid w:val="000115FC"/>
    <w:rsid w:val="00011A5A"/>
    <w:rsid w:val="00011C51"/>
    <w:rsid w:val="0001299C"/>
    <w:rsid w:val="00012ACF"/>
    <w:rsid w:val="00012AF1"/>
    <w:rsid w:val="000138CA"/>
    <w:rsid w:val="00013F3C"/>
    <w:rsid w:val="000140F6"/>
    <w:rsid w:val="000145B1"/>
    <w:rsid w:val="0001508B"/>
    <w:rsid w:val="000152B3"/>
    <w:rsid w:val="00015655"/>
    <w:rsid w:val="00017098"/>
    <w:rsid w:val="0001780B"/>
    <w:rsid w:val="00020091"/>
    <w:rsid w:val="00020246"/>
    <w:rsid w:val="000208C1"/>
    <w:rsid w:val="0002099C"/>
    <w:rsid w:val="00020C58"/>
    <w:rsid w:val="00021317"/>
    <w:rsid w:val="00021A9E"/>
    <w:rsid w:val="00021BDC"/>
    <w:rsid w:val="000220C7"/>
    <w:rsid w:val="00022228"/>
    <w:rsid w:val="000224F9"/>
    <w:rsid w:val="00023291"/>
    <w:rsid w:val="000233CA"/>
    <w:rsid w:val="00023648"/>
    <w:rsid w:val="000238C7"/>
    <w:rsid w:val="00023F4B"/>
    <w:rsid w:val="00023F64"/>
    <w:rsid w:val="000241AA"/>
    <w:rsid w:val="0002440F"/>
    <w:rsid w:val="000246AA"/>
    <w:rsid w:val="00024D09"/>
    <w:rsid w:val="00025C2B"/>
    <w:rsid w:val="00025CFE"/>
    <w:rsid w:val="000260AD"/>
    <w:rsid w:val="0002650F"/>
    <w:rsid w:val="00026745"/>
    <w:rsid w:val="00026B55"/>
    <w:rsid w:val="00026B66"/>
    <w:rsid w:val="00026C9D"/>
    <w:rsid w:val="0002742B"/>
    <w:rsid w:val="0002755D"/>
    <w:rsid w:val="00027D00"/>
    <w:rsid w:val="0003012F"/>
    <w:rsid w:val="00031898"/>
    <w:rsid w:val="00031FE8"/>
    <w:rsid w:val="00032CF0"/>
    <w:rsid w:val="00032E60"/>
    <w:rsid w:val="00032F11"/>
    <w:rsid w:val="00033561"/>
    <w:rsid w:val="000335B8"/>
    <w:rsid w:val="000337FB"/>
    <w:rsid w:val="00034BAC"/>
    <w:rsid w:val="000355C4"/>
    <w:rsid w:val="00035E30"/>
    <w:rsid w:val="000361AF"/>
    <w:rsid w:val="0003636B"/>
    <w:rsid w:val="000363BC"/>
    <w:rsid w:val="0003645E"/>
    <w:rsid w:val="0003656F"/>
    <w:rsid w:val="00037A11"/>
    <w:rsid w:val="00037AEF"/>
    <w:rsid w:val="00037CD4"/>
    <w:rsid w:val="00037F88"/>
    <w:rsid w:val="000404E8"/>
    <w:rsid w:val="000406F7"/>
    <w:rsid w:val="000408FC"/>
    <w:rsid w:val="00040BF3"/>
    <w:rsid w:val="00041EF1"/>
    <w:rsid w:val="00041FEE"/>
    <w:rsid w:val="00042DA6"/>
    <w:rsid w:val="00043696"/>
    <w:rsid w:val="00043DF1"/>
    <w:rsid w:val="0004401C"/>
    <w:rsid w:val="00044CA1"/>
    <w:rsid w:val="00045099"/>
    <w:rsid w:val="00045327"/>
    <w:rsid w:val="00045E93"/>
    <w:rsid w:val="00046071"/>
    <w:rsid w:val="00046EE6"/>
    <w:rsid w:val="00046F1F"/>
    <w:rsid w:val="00047BE7"/>
    <w:rsid w:val="00047C46"/>
    <w:rsid w:val="0005058C"/>
    <w:rsid w:val="000507AA"/>
    <w:rsid w:val="00051629"/>
    <w:rsid w:val="00051B7C"/>
    <w:rsid w:val="00051BBA"/>
    <w:rsid w:val="00051E0F"/>
    <w:rsid w:val="00051F5E"/>
    <w:rsid w:val="00051F6D"/>
    <w:rsid w:val="00052161"/>
    <w:rsid w:val="000527FF"/>
    <w:rsid w:val="00052FA2"/>
    <w:rsid w:val="00053453"/>
    <w:rsid w:val="00053D5A"/>
    <w:rsid w:val="00053E04"/>
    <w:rsid w:val="000544EF"/>
    <w:rsid w:val="00054939"/>
    <w:rsid w:val="00054A8A"/>
    <w:rsid w:val="00054D99"/>
    <w:rsid w:val="00055104"/>
    <w:rsid w:val="000556AF"/>
    <w:rsid w:val="00055993"/>
    <w:rsid w:val="00056034"/>
    <w:rsid w:val="000568D8"/>
    <w:rsid w:val="00056E56"/>
    <w:rsid w:val="0005734C"/>
    <w:rsid w:val="00057CA2"/>
    <w:rsid w:val="00060493"/>
    <w:rsid w:val="000607A5"/>
    <w:rsid w:val="000608C0"/>
    <w:rsid w:val="00061493"/>
    <w:rsid w:val="00061E31"/>
    <w:rsid w:val="000624D8"/>
    <w:rsid w:val="00062F26"/>
    <w:rsid w:val="000632B7"/>
    <w:rsid w:val="00063302"/>
    <w:rsid w:val="0006352C"/>
    <w:rsid w:val="00063B5E"/>
    <w:rsid w:val="00063E71"/>
    <w:rsid w:val="000647AE"/>
    <w:rsid w:val="0006606D"/>
    <w:rsid w:val="000661D7"/>
    <w:rsid w:val="00066435"/>
    <w:rsid w:val="000667BE"/>
    <w:rsid w:val="00066A21"/>
    <w:rsid w:val="0006727A"/>
    <w:rsid w:val="0006730F"/>
    <w:rsid w:val="0006734B"/>
    <w:rsid w:val="00067470"/>
    <w:rsid w:val="00067BA8"/>
    <w:rsid w:val="000702E3"/>
    <w:rsid w:val="00070394"/>
    <w:rsid w:val="000707E9"/>
    <w:rsid w:val="000708E6"/>
    <w:rsid w:val="00070B48"/>
    <w:rsid w:val="00070ED4"/>
    <w:rsid w:val="00071567"/>
    <w:rsid w:val="00071A1A"/>
    <w:rsid w:val="000721EB"/>
    <w:rsid w:val="00072BE1"/>
    <w:rsid w:val="0007316B"/>
    <w:rsid w:val="00073263"/>
    <w:rsid w:val="000745DE"/>
    <w:rsid w:val="000745F6"/>
    <w:rsid w:val="00074D46"/>
    <w:rsid w:val="00075194"/>
    <w:rsid w:val="00075209"/>
    <w:rsid w:val="00075A9B"/>
    <w:rsid w:val="00075D08"/>
    <w:rsid w:val="00075D13"/>
    <w:rsid w:val="00076150"/>
    <w:rsid w:val="000766E1"/>
    <w:rsid w:val="000767B8"/>
    <w:rsid w:val="00076815"/>
    <w:rsid w:val="000768A1"/>
    <w:rsid w:val="00076C1B"/>
    <w:rsid w:val="00076F5F"/>
    <w:rsid w:val="00076FC4"/>
    <w:rsid w:val="000770B2"/>
    <w:rsid w:val="00077722"/>
    <w:rsid w:val="00077EC3"/>
    <w:rsid w:val="0008003C"/>
    <w:rsid w:val="000805ED"/>
    <w:rsid w:val="0008062E"/>
    <w:rsid w:val="00080E29"/>
    <w:rsid w:val="00081087"/>
    <w:rsid w:val="0008178E"/>
    <w:rsid w:val="000819F6"/>
    <w:rsid w:val="00081BD7"/>
    <w:rsid w:val="00081E01"/>
    <w:rsid w:val="00082D88"/>
    <w:rsid w:val="0008303E"/>
    <w:rsid w:val="000830AE"/>
    <w:rsid w:val="000832BC"/>
    <w:rsid w:val="000838B0"/>
    <w:rsid w:val="00083995"/>
    <w:rsid w:val="000839B8"/>
    <w:rsid w:val="00084153"/>
    <w:rsid w:val="000842F0"/>
    <w:rsid w:val="0008474D"/>
    <w:rsid w:val="00084AEC"/>
    <w:rsid w:val="00084BEA"/>
    <w:rsid w:val="00084DA7"/>
    <w:rsid w:val="00084F3E"/>
    <w:rsid w:val="000859C1"/>
    <w:rsid w:val="00085B7A"/>
    <w:rsid w:val="0008607A"/>
    <w:rsid w:val="000864B4"/>
    <w:rsid w:val="000865B6"/>
    <w:rsid w:val="000869CE"/>
    <w:rsid w:val="00086D6C"/>
    <w:rsid w:val="00086E7C"/>
    <w:rsid w:val="0008746E"/>
    <w:rsid w:val="000900CD"/>
    <w:rsid w:val="0009014A"/>
    <w:rsid w:val="000906B9"/>
    <w:rsid w:val="000910FF"/>
    <w:rsid w:val="00091384"/>
    <w:rsid w:val="00091481"/>
    <w:rsid w:val="000914F5"/>
    <w:rsid w:val="0009184E"/>
    <w:rsid w:val="00091D09"/>
    <w:rsid w:val="00092354"/>
    <w:rsid w:val="000931E2"/>
    <w:rsid w:val="0009383A"/>
    <w:rsid w:val="000942F5"/>
    <w:rsid w:val="000948FE"/>
    <w:rsid w:val="00094B5C"/>
    <w:rsid w:val="00094D10"/>
    <w:rsid w:val="00095202"/>
    <w:rsid w:val="000957EC"/>
    <w:rsid w:val="00095BDE"/>
    <w:rsid w:val="00095FB9"/>
    <w:rsid w:val="00096164"/>
    <w:rsid w:val="00096623"/>
    <w:rsid w:val="00096CBB"/>
    <w:rsid w:val="00097528"/>
    <w:rsid w:val="000979DF"/>
    <w:rsid w:val="00097E6E"/>
    <w:rsid w:val="000A03F5"/>
    <w:rsid w:val="000A0ECB"/>
    <w:rsid w:val="000A1288"/>
    <w:rsid w:val="000A19DB"/>
    <w:rsid w:val="000A2948"/>
    <w:rsid w:val="000A2C32"/>
    <w:rsid w:val="000A3576"/>
    <w:rsid w:val="000A387B"/>
    <w:rsid w:val="000A38DF"/>
    <w:rsid w:val="000A3F8B"/>
    <w:rsid w:val="000A52BF"/>
    <w:rsid w:val="000A5377"/>
    <w:rsid w:val="000A55B7"/>
    <w:rsid w:val="000A5CD8"/>
    <w:rsid w:val="000A63E1"/>
    <w:rsid w:val="000A698C"/>
    <w:rsid w:val="000A6A8E"/>
    <w:rsid w:val="000A736A"/>
    <w:rsid w:val="000A74FF"/>
    <w:rsid w:val="000A7DD8"/>
    <w:rsid w:val="000B0D10"/>
    <w:rsid w:val="000B0D56"/>
    <w:rsid w:val="000B1276"/>
    <w:rsid w:val="000B1911"/>
    <w:rsid w:val="000B1ABC"/>
    <w:rsid w:val="000B1B5F"/>
    <w:rsid w:val="000B2D0B"/>
    <w:rsid w:val="000B387E"/>
    <w:rsid w:val="000B3C19"/>
    <w:rsid w:val="000B4234"/>
    <w:rsid w:val="000B433A"/>
    <w:rsid w:val="000B48DB"/>
    <w:rsid w:val="000B5D6D"/>
    <w:rsid w:val="000B5E46"/>
    <w:rsid w:val="000B701C"/>
    <w:rsid w:val="000B7225"/>
    <w:rsid w:val="000B7978"/>
    <w:rsid w:val="000B7A76"/>
    <w:rsid w:val="000B7C74"/>
    <w:rsid w:val="000C03F6"/>
    <w:rsid w:val="000C0C3C"/>
    <w:rsid w:val="000C0C6D"/>
    <w:rsid w:val="000C1057"/>
    <w:rsid w:val="000C1519"/>
    <w:rsid w:val="000C1B86"/>
    <w:rsid w:val="000C1D79"/>
    <w:rsid w:val="000C249A"/>
    <w:rsid w:val="000C2CB3"/>
    <w:rsid w:val="000C355A"/>
    <w:rsid w:val="000C3FAA"/>
    <w:rsid w:val="000C43F5"/>
    <w:rsid w:val="000C4668"/>
    <w:rsid w:val="000C4A76"/>
    <w:rsid w:val="000C4D9A"/>
    <w:rsid w:val="000C5841"/>
    <w:rsid w:val="000C626A"/>
    <w:rsid w:val="000C62FE"/>
    <w:rsid w:val="000C6447"/>
    <w:rsid w:val="000C70ED"/>
    <w:rsid w:val="000C7458"/>
    <w:rsid w:val="000D03D5"/>
    <w:rsid w:val="000D0680"/>
    <w:rsid w:val="000D1182"/>
    <w:rsid w:val="000D1721"/>
    <w:rsid w:val="000D2233"/>
    <w:rsid w:val="000D2962"/>
    <w:rsid w:val="000D2E34"/>
    <w:rsid w:val="000D3B10"/>
    <w:rsid w:val="000D3ED8"/>
    <w:rsid w:val="000D4843"/>
    <w:rsid w:val="000D4A4A"/>
    <w:rsid w:val="000D4F33"/>
    <w:rsid w:val="000D5068"/>
    <w:rsid w:val="000D5DF5"/>
    <w:rsid w:val="000D6855"/>
    <w:rsid w:val="000D6BC4"/>
    <w:rsid w:val="000D6F2C"/>
    <w:rsid w:val="000D7311"/>
    <w:rsid w:val="000D7346"/>
    <w:rsid w:val="000D738A"/>
    <w:rsid w:val="000D7597"/>
    <w:rsid w:val="000D79BD"/>
    <w:rsid w:val="000D7AE5"/>
    <w:rsid w:val="000D7CD0"/>
    <w:rsid w:val="000E005A"/>
    <w:rsid w:val="000E0073"/>
    <w:rsid w:val="000E0BA2"/>
    <w:rsid w:val="000E1381"/>
    <w:rsid w:val="000E1754"/>
    <w:rsid w:val="000E1892"/>
    <w:rsid w:val="000E18F5"/>
    <w:rsid w:val="000E1C2D"/>
    <w:rsid w:val="000E209A"/>
    <w:rsid w:val="000E272C"/>
    <w:rsid w:val="000E4080"/>
    <w:rsid w:val="000E458F"/>
    <w:rsid w:val="000E55C0"/>
    <w:rsid w:val="000E763A"/>
    <w:rsid w:val="000E789F"/>
    <w:rsid w:val="000E7B11"/>
    <w:rsid w:val="000F01A3"/>
    <w:rsid w:val="000F03C2"/>
    <w:rsid w:val="000F059C"/>
    <w:rsid w:val="000F0614"/>
    <w:rsid w:val="000F0703"/>
    <w:rsid w:val="000F0855"/>
    <w:rsid w:val="000F11D2"/>
    <w:rsid w:val="000F1231"/>
    <w:rsid w:val="000F194C"/>
    <w:rsid w:val="000F1AD0"/>
    <w:rsid w:val="000F1CAA"/>
    <w:rsid w:val="000F2934"/>
    <w:rsid w:val="000F3417"/>
    <w:rsid w:val="000F3423"/>
    <w:rsid w:val="000F3F65"/>
    <w:rsid w:val="000F44DF"/>
    <w:rsid w:val="000F4BAE"/>
    <w:rsid w:val="000F4C70"/>
    <w:rsid w:val="000F56D1"/>
    <w:rsid w:val="000F5D3B"/>
    <w:rsid w:val="000F5F6B"/>
    <w:rsid w:val="000F6239"/>
    <w:rsid w:val="000F62E3"/>
    <w:rsid w:val="000F63C6"/>
    <w:rsid w:val="000F788F"/>
    <w:rsid w:val="000F7F7A"/>
    <w:rsid w:val="000F7FC4"/>
    <w:rsid w:val="001001AF"/>
    <w:rsid w:val="001005BC"/>
    <w:rsid w:val="0010063D"/>
    <w:rsid w:val="001008E4"/>
    <w:rsid w:val="00101708"/>
    <w:rsid w:val="00101B75"/>
    <w:rsid w:val="00101D68"/>
    <w:rsid w:val="00102D3A"/>
    <w:rsid w:val="00103079"/>
    <w:rsid w:val="0010316E"/>
    <w:rsid w:val="00103278"/>
    <w:rsid w:val="00103314"/>
    <w:rsid w:val="00104B70"/>
    <w:rsid w:val="00105406"/>
    <w:rsid w:val="00105420"/>
    <w:rsid w:val="0010656E"/>
    <w:rsid w:val="00106715"/>
    <w:rsid w:val="00106C7C"/>
    <w:rsid w:val="00106DF4"/>
    <w:rsid w:val="00107331"/>
    <w:rsid w:val="001073D1"/>
    <w:rsid w:val="00107531"/>
    <w:rsid w:val="00107FEA"/>
    <w:rsid w:val="0011019A"/>
    <w:rsid w:val="001107AC"/>
    <w:rsid w:val="00110C64"/>
    <w:rsid w:val="00110CF7"/>
    <w:rsid w:val="001113B9"/>
    <w:rsid w:val="00112374"/>
    <w:rsid w:val="00112D56"/>
    <w:rsid w:val="0011318F"/>
    <w:rsid w:val="001133FD"/>
    <w:rsid w:val="0011465E"/>
    <w:rsid w:val="001149BE"/>
    <w:rsid w:val="00116157"/>
    <w:rsid w:val="001174A2"/>
    <w:rsid w:val="001209AB"/>
    <w:rsid w:val="00120FF9"/>
    <w:rsid w:val="0012162D"/>
    <w:rsid w:val="001227A8"/>
    <w:rsid w:val="00122D75"/>
    <w:rsid w:val="00122E58"/>
    <w:rsid w:val="001233CE"/>
    <w:rsid w:val="0012410B"/>
    <w:rsid w:val="00124269"/>
    <w:rsid w:val="001243BC"/>
    <w:rsid w:val="00124AAE"/>
    <w:rsid w:val="00124B65"/>
    <w:rsid w:val="00124C20"/>
    <w:rsid w:val="001255B3"/>
    <w:rsid w:val="001257FA"/>
    <w:rsid w:val="0012591B"/>
    <w:rsid w:val="00125DFE"/>
    <w:rsid w:val="0012638C"/>
    <w:rsid w:val="001263B2"/>
    <w:rsid w:val="0012643C"/>
    <w:rsid w:val="001268D6"/>
    <w:rsid w:val="0012690A"/>
    <w:rsid w:val="00126CEA"/>
    <w:rsid w:val="00127061"/>
    <w:rsid w:val="001271A3"/>
    <w:rsid w:val="00127349"/>
    <w:rsid w:val="001300D4"/>
    <w:rsid w:val="00130A3A"/>
    <w:rsid w:val="00130BE7"/>
    <w:rsid w:val="00130CDD"/>
    <w:rsid w:val="00131276"/>
    <w:rsid w:val="001314CF"/>
    <w:rsid w:val="00131FBD"/>
    <w:rsid w:val="00132C84"/>
    <w:rsid w:val="00134CB6"/>
    <w:rsid w:val="0013567D"/>
    <w:rsid w:val="00135773"/>
    <w:rsid w:val="00135BC9"/>
    <w:rsid w:val="00135FD9"/>
    <w:rsid w:val="00136544"/>
    <w:rsid w:val="001366C0"/>
    <w:rsid w:val="0013678E"/>
    <w:rsid w:val="00136AE4"/>
    <w:rsid w:val="00136AF6"/>
    <w:rsid w:val="0013737D"/>
    <w:rsid w:val="001375AD"/>
    <w:rsid w:val="00137664"/>
    <w:rsid w:val="00137A4A"/>
    <w:rsid w:val="00137B97"/>
    <w:rsid w:val="00137CB4"/>
    <w:rsid w:val="00137E28"/>
    <w:rsid w:val="00137E31"/>
    <w:rsid w:val="00137E48"/>
    <w:rsid w:val="00137FD7"/>
    <w:rsid w:val="00140225"/>
    <w:rsid w:val="00140612"/>
    <w:rsid w:val="00140E3B"/>
    <w:rsid w:val="00141594"/>
    <w:rsid w:val="0014188F"/>
    <w:rsid w:val="0014241C"/>
    <w:rsid w:val="0014249B"/>
    <w:rsid w:val="00142A71"/>
    <w:rsid w:val="00142A99"/>
    <w:rsid w:val="001433B8"/>
    <w:rsid w:val="001434C1"/>
    <w:rsid w:val="001435DC"/>
    <w:rsid w:val="00143987"/>
    <w:rsid w:val="00144216"/>
    <w:rsid w:val="00144B4E"/>
    <w:rsid w:val="001452ED"/>
    <w:rsid w:val="001455B1"/>
    <w:rsid w:val="001457FE"/>
    <w:rsid w:val="00145E1A"/>
    <w:rsid w:val="00145FAF"/>
    <w:rsid w:val="00146468"/>
    <w:rsid w:val="00146522"/>
    <w:rsid w:val="00146E96"/>
    <w:rsid w:val="00147319"/>
    <w:rsid w:val="00147DAF"/>
    <w:rsid w:val="00147DDB"/>
    <w:rsid w:val="00147E6B"/>
    <w:rsid w:val="001500AF"/>
    <w:rsid w:val="001506D5"/>
    <w:rsid w:val="001507E2"/>
    <w:rsid w:val="00150C63"/>
    <w:rsid w:val="00151080"/>
    <w:rsid w:val="0015174D"/>
    <w:rsid w:val="00151B7D"/>
    <w:rsid w:val="001521F5"/>
    <w:rsid w:val="00152218"/>
    <w:rsid w:val="001523C4"/>
    <w:rsid w:val="001523D4"/>
    <w:rsid w:val="00152431"/>
    <w:rsid w:val="001531D7"/>
    <w:rsid w:val="00153B71"/>
    <w:rsid w:val="00154092"/>
    <w:rsid w:val="00154C10"/>
    <w:rsid w:val="00155035"/>
    <w:rsid w:val="00155075"/>
    <w:rsid w:val="0015525B"/>
    <w:rsid w:val="001555D4"/>
    <w:rsid w:val="00155975"/>
    <w:rsid w:val="00155E59"/>
    <w:rsid w:val="001567ED"/>
    <w:rsid w:val="00157475"/>
    <w:rsid w:val="00157596"/>
    <w:rsid w:val="0016006D"/>
    <w:rsid w:val="00160359"/>
    <w:rsid w:val="0016080F"/>
    <w:rsid w:val="00160C3C"/>
    <w:rsid w:val="00161916"/>
    <w:rsid w:val="00161E90"/>
    <w:rsid w:val="00161F30"/>
    <w:rsid w:val="001621F2"/>
    <w:rsid w:val="00162A47"/>
    <w:rsid w:val="00162ED9"/>
    <w:rsid w:val="001632EE"/>
    <w:rsid w:val="001635F3"/>
    <w:rsid w:val="001638B5"/>
    <w:rsid w:val="001639A7"/>
    <w:rsid w:val="00164206"/>
    <w:rsid w:val="00164C4D"/>
    <w:rsid w:val="00165150"/>
    <w:rsid w:val="0016531C"/>
    <w:rsid w:val="001656BF"/>
    <w:rsid w:val="00165ABB"/>
    <w:rsid w:val="00165E5B"/>
    <w:rsid w:val="00166252"/>
    <w:rsid w:val="00166BCB"/>
    <w:rsid w:val="001670B4"/>
    <w:rsid w:val="00167491"/>
    <w:rsid w:val="001674EB"/>
    <w:rsid w:val="00170222"/>
    <w:rsid w:val="00170238"/>
    <w:rsid w:val="001703FB"/>
    <w:rsid w:val="0017057A"/>
    <w:rsid w:val="001707A1"/>
    <w:rsid w:val="00170E8E"/>
    <w:rsid w:val="00171174"/>
    <w:rsid w:val="0017166A"/>
    <w:rsid w:val="00171B74"/>
    <w:rsid w:val="00171D04"/>
    <w:rsid w:val="00172308"/>
    <w:rsid w:val="0017242C"/>
    <w:rsid w:val="00172E0A"/>
    <w:rsid w:val="001736FF"/>
    <w:rsid w:val="0017415B"/>
    <w:rsid w:val="001741F5"/>
    <w:rsid w:val="00174C02"/>
    <w:rsid w:val="00174EBA"/>
    <w:rsid w:val="00175685"/>
    <w:rsid w:val="00175695"/>
    <w:rsid w:val="00176E7B"/>
    <w:rsid w:val="00176E86"/>
    <w:rsid w:val="001776A0"/>
    <w:rsid w:val="00177B8E"/>
    <w:rsid w:val="00177BAD"/>
    <w:rsid w:val="00177BEB"/>
    <w:rsid w:val="00177D4F"/>
    <w:rsid w:val="00180197"/>
    <w:rsid w:val="00180C3A"/>
    <w:rsid w:val="001816FE"/>
    <w:rsid w:val="00182366"/>
    <w:rsid w:val="001823A1"/>
    <w:rsid w:val="00182734"/>
    <w:rsid w:val="00182E2A"/>
    <w:rsid w:val="00182F13"/>
    <w:rsid w:val="00183233"/>
    <w:rsid w:val="00183821"/>
    <w:rsid w:val="00183855"/>
    <w:rsid w:val="00183C0E"/>
    <w:rsid w:val="001847FA"/>
    <w:rsid w:val="00184899"/>
    <w:rsid w:val="00184C6F"/>
    <w:rsid w:val="00184CF8"/>
    <w:rsid w:val="00184EF7"/>
    <w:rsid w:val="00185C9A"/>
    <w:rsid w:val="00185D56"/>
    <w:rsid w:val="00186200"/>
    <w:rsid w:val="001863C2"/>
    <w:rsid w:val="001870C5"/>
    <w:rsid w:val="001871DC"/>
    <w:rsid w:val="0018780F"/>
    <w:rsid w:val="00187A01"/>
    <w:rsid w:val="00187F21"/>
    <w:rsid w:val="00190A7E"/>
    <w:rsid w:val="00190C46"/>
    <w:rsid w:val="001915B5"/>
    <w:rsid w:val="00191D29"/>
    <w:rsid w:val="00191DE9"/>
    <w:rsid w:val="00192104"/>
    <w:rsid w:val="00192402"/>
    <w:rsid w:val="001924C0"/>
    <w:rsid w:val="001928DE"/>
    <w:rsid w:val="00192B20"/>
    <w:rsid w:val="00192D5F"/>
    <w:rsid w:val="00193008"/>
    <w:rsid w:val="00193948"/>
    <w:rsid w:val="001946BD"/>
    <w:rsid w:val="00194C46"/>
    <w:rsid w:val="001957DF"/>
    <w:rsid w:val="00196D3A"/>
    <w:rsid w:val="00197406"/>
    <w:rsid w:val="00197693"/>
    <w:rsid w:val="00197725"/>
    <w:rsid w:val="00197ADB"/>
    <w:rsid w:val="001A0167"/>
    <w:rsid w:val="001A03B1"/>
    <w:rsid w:val="001A0F21"/>
    <w:rsid w:val="001A11D0"/>
    <w:rsid w:val="001A1942"/>
    <w:rsid w:val="001A1CBA"/>
    <w:rsid w:val="001A231E"/>
    <w:rsid w:val="001A23AB"/>
    <w:rsid w:val="001A23D9"/>
    <w:rsid w:val="001A272E"/>
    <w:rsid w:val="001A3143"/>
    <w:rsid w:val="001A3FAE"/>
    <w:rsid w:val="001A4B3F"/>
    <w:rsid w:val="001A4C68"/>
    <w:rsid w:val="001A4F15"/>
    <w:rsid w:val="001A5467"/>
    <w:rsid w:val="001A5AAE"/>
    <w:rsid w:val="001A767B"/>
    <w:rsid w:val="001A77F4"/>
    <w:rsid w:val="001A788D"/>
    <w:rsid w:val="001A79F1"/>
    <w:rsid w:val="001A7AB0"/>
    <w:rsid w:val="001B0090"/>
    <w:rsid w:val="001B1261"/>
    <w:rsid w:val="001B1BD9"/>
    <w:rsid w:val="001B2012"/>
    <w:rsid w:val="001B2484"/>
    <w:rsid w:val="001B2E40"/>
    <w:rsid w:val="001B38A5"/>
    <w:rsid w:val="001B3B73"/>
    <w:rsid w:val="001B3E08"/>
    <w:rsid w:val="001B400D"/>
    <w:rsid w:val="001B4FEF"/>
    <w:rsid w:val="001B5146"/>
    <w:rsid w:val="001B565F"/>
    <w:rsid w:val="001B5F7A"/>
    <w:rsid w:val="001B62A8"/>
    <w:rsid w:val="001B64C8"/>
    <w:rsid w:val="001B6FF0"/>
    <w:rsid w:val="001C0208"/>
    <w:rsid w:val="001C03E5"/>
    <w:rsid w:val="001C126E"/>
    <w:rsid w:val="001C1CA5"/>
    <w:rsid w:val="001C1E27"/>
    <w:rsid w:val="001C2020"/>
    <w:rsid w:val="001C21A0"/>
    <w:rsid w:val="001C2B33"/>
    <w:rsid w:val="001C3DC0"/>
    <w:rsid w:val="001C3DDD"/>
    <w:rsid w:val="001C41AB"/>
    <w:rsid w:val="001C433E"/>
    <w:rsid w:val="001C4E92"/>
    <w:rsid w:val="001C4EC3"/>
    <w:rsid w:val="001C5739"/>
    <w:rsid w:val="001C5C44"/>
    <w:rsid w:val="001C5D32"/>
    <w:rsid w:val="001C5E93"/>
    <w:rsid w:val="001C6C46"/>
    <w:rsid w:val="001C729B"/>
    <w:rsid w:val="001C7543"/>
    <w:rsid w:val="001C7F42"/>
    <w:rsid w:val="001D10D1"/>
    <w:rsid w:val="001D1F2F"/>
    <w:rsid w:val="001D236B"/>
    <w:rsid w:val="001D246B"/>
    <w:rsid w:val="001D2778"/>
    <w:rsid w:val="001D3124"/>
    <w:rsid w:val="001D3422"/>
    <w:rsid w:val="001D4538"/>
    <w:rsid w:val="001D4A9D"/>
    <w:rsid w:val="001D4E14"/>
    <w:rsid w:val="001D4FA3"/>
    <w:rsid w:val="001D50C4"/>
    <w:rsid w:val="001D5143"/>
    <w:rsid w:val="001D530D"/>
    <w:rsid w:val="001D586D"/>
    <w:rsid w:val="001D5941"/>
    <w:rsid w:val="001D62D9"/>
    <w:rsid w:val="001D64C2"/>
    <w:rsid w:val="001D67B8"/>
    <w:rsid w:val="001D6E0A"/>
    <w:rsid w:val="001D72CC"/>
    <w:rsid w:val="001D7701"/>
    <w:rsid w:val="001D7A65"/>
    <w:rsid w:val="001E0982"/>
    <w:rsid w:val="001E0B53"/>
    <w:rsid w:val="001E1098"/>
    <w:rsid w:val="001E1C01"/>
    <w:rsid w:val="001E1DB5"/>
    <w:rsid w:val="001E2D98"/>
    <w:rsid w:val="001E30F4"/>
    <w:rsid w:val="001E3151"/>
    <w:rsid w:val="001E31A3"/>
    <w:rsid w:val="001E31E5"/>
    <w:rsid w:val="001E360B"/>
    <w:rsid w:val="001E382D"/>
    <w:rsid w:val="001E3AA2"/>
    <w:rsid w:val="001E3BAD"/>
    <w:rsid w:val="001E41D1"/>
    <w:rsid w:val="001E5FE1"/>
    <w:rsid w:val="001E615F"/>
    <w:rsid w:val="001E61E1"/>
    <w:rsid w:val="001E67C6"/>
    <w:rsid w:val="001E6A06"/>
    <w:rsid w:val="001E72D9"/>
    <w:rsid w:val="001E76DE"/>
    <w:rsid w:val="001E7753"/>
    <w:rsid w:val="001E78EE"/>
    <w:rsid w:val="001F03FD"/>
    <w:rsid w:val="001F0530"/>
    <w:rsid w:val="001F05E3"/>
    <w:rsid w:val="001F087A"/>
    <w:rsid w:val="001F1BF8"/>
    <w:rsid w:val="001F1F13"/>
    <w:rsid w:val="001F207D"/>
    <w:rsid w:val="001F2854"/>
    <w:rsid w:val="001F2B41"/>
    <w:rsid w:val="001F340A"/>
    <w:rsid w:val="001F36AD"/>
    <w:rsid w:val="001F3FCF"/>
    <w:rsid w:val="001F40B4"/>
    <w:rsid w:val="001F47DB"/>
    <w:rsid w:val="001F4A5E"/>
    <w:rsid w:val="001F4B41"/>
    <w:rsid w:val="001F5021"/>
    <w:rsid w:val="001F5482"/>
    <w:rsid w:val="001F651F"/>
    <w:rsid w:val="001F65FB"/>
    <w:rsid w:val="001F67E8"/>
    <w:rsid w:val="001F697B"/>
    <w:rsid w:val="001F6A71"/>
    <w:rsid w:val="001F70DE"/>
    <w:rsid w:val="001F741C"/>
    <w:rsid w:val="00200429"/>
    <w:rsid w:val="002007C9"/>
    <w:rsid w:val="0020087A"/>
    <w:rsid w:val="00200F8F"/>
    <w:rsid w:val="002019ED"/>
    <w:rsid w:val="00201A6C"/>
    <w:rsid w:val="0020251D"/>
    <w:rsid w:val="00202662"/>
    <w:rsid w:val="00202BB8"/>
    <w:rsid w:val="0020306E"/>
    <w:rsid w:val="0020325D"/>
    <w:rsid w:val="00203B2B"/>
    <w:rsid w:val="00203ECD"/>
    <w:rsid w:val="00203FBB"/>
    <w:rsid w:val="0020444F"/>
    <w:rsid w:val="00204755"/>
    <w:rsid w:val="00204F85"/>
    <w:rsid w:val="00205314"/>
    <w:rsid w:val="0020690F"/>
    <w:rsid w:val="00207536"/>
    <w:rsid w:val="00207A0C"/>
    <w:rsid w:val="00210387"/>
    <w:rsid w:val="00211233"/>
    <w:rsid w:val="002118BB"/>
    <w:rsid w:val="00211987"/>
    <w:rsid w:val="00211E8E"/>
    <w:rsid w:val="002121D4"/>
    <w:rsid w:val="00212496"/>
    <w:rsid w:val="002126EF"/>
    <w:rsid w:val="00212809"/>
    <w:rsid w:val="002128A9"/>
    <w:rsid w:val="00212C76"/>
    <w:rsid w:val="00212CA2"/>
    <w:rsid w:val="00212CE0"/>
    <w:rsid w:val="00213406"/>
    <w:rsid w:val="002137A2"/>
    <w:rsid w:val="0021398D"/>
    <w:rsid w:val="00213D96"/>
    <w:rsid w:val="002149AB"/>
    <w:rsid w:val="00214A0A"/>
    <w:rsid w:val="00214DE4"/>
    <w:rsid w:val="00215309"/>
    <w:rsid w:val="0021563C"/>
    <w:rsid w:val="00216076"/>
    <w:rsid w:val="0021611C"/>
    <w:rsid w:val="00216207"/>
    <w:rsid w:val="00216342"/>
    <w:rsid w:val="002164A1"/>
    <w:rsid w:val="00216502"/>
    <w:rsid w:val="00216C80"/>
    <w:rsid w:val="00217696"/>
    <w:rsid w:val="002203CC"/>
    <w:rsid w:val="00220A91"/>
    <w:rsid w:val="00220EF1"/>
    <w:rsid w:val="002214FC"/>
    <w:rsid w:val="002215D0"/>
    <w:rsid w:val="00221838"/>
    <w:rsid w:val="002218BE"/>
    <w:rsid w:val="00221C92"/>
    <w:rsid w:val="00222205"/>
    <w:rsid w:val="0022230C"/>
    <w:rsid w:val="00222738"/>
    <w:rsid w:val="00222941"/>
    <w:rsid w:val="00222E40"/>
    <w:rsid w:val="00223CBC"/>
    <w:rsid w:val="00223DD7"/>
    <w:rsid w:val="00223FCB"/>
    <w:rsid w:val="002242E5"/>
    <w:rsid w:val="002245DE"/>
    <w:rsid w:val="00224732"/>
    <w:rsid w:val="00224803"/>
    <w:rsid w:val="00224BE1"/>
    <w:rsid w:val="0022546A"/>
    <w:rsid w:val="00225570"/>
    <w:rsid w:val="00226013"/>
    <w:rsid w:val="00227009"/>
    <w:rsid w:val="002300C4"/>
    <w:rsid w:val="002310F2"/>
    <w:rsid w:val="002311F3"/>
    <w:rsid w:val="00231447"/>
    <w:rsid w:val="002325D0"/>
    <w:rsid w:val="002329CD"/>
    <w:rsid w:val="002329F9"/>
    <w:rsid w:val="00233105"/>
    <w:rsid w:val="0023383F"/>
    <w:rsid w:val="002338E0"/>
    <w:rsid w:val="00233D1B"/>
    <w:rsid w:val="00233F60"/>
    <w:rsid w:val="002340F6"/>
    <w:rsid w:val="002346F3"/>
    <w:rsid w:val="00234754"/>
    <w:rsid w:val="002349A9"/>
    <w:rsid w:val="00234FBC"/>
    <w:rsid w:val="0023545D"/>
    <w:rsid w:val="002367C3"/>
    <w:rsid w:val="002371A4"/>
    <w:rsid w:val="00237ADC"/>
    <w:rsid w:val="00240070"/>
    <w:rsid w:val="00240367"/>
    <w:rsid w:val="00240C03"/>
    <w:rsid w:val="00240D51"/>
    <w:rsid w:val="00241687"/>
    <w:rsid w:val="00241D56"/>
    <w:rsid w:val="00242356"/>
    <w:rsid w:val="002426F9"/>
    <w:rsid w:val="00242C92"/>
    <w:rsid w:val="00242CCC"/>
    <w:rsid w:val="0024346E"/>
    <w:rsid w:val="00243A4E"/>
    <w:rsid w:val="00243B55"/>
    <w:rsid w:val="00243D93"/>
    <w:rsid w:val="00243ECC"/>
    <w:rsid w:val="002446B7"/>
    <w:rsid w:val="00244A20"/>
    <w:rsid w:val="00245439"/>
    <w:rsid w:val="00245528"/>
    <w:rsid w:val="00245EE2"/>
    <w:rsid w:val="002466B5"/>
    <w:rsid w:val="00246C0F"/>
    <w:rsid w:val="00247491"/>
    <w:rsid w:val="0024759B"/>
    <w:rsid w:val="002475EA"/>
    <w:rsid w:val="002478CA"/>
    <w:rsid w:val="00247C3B"/>
    <w:rsid w:val="0025011E"/>
    <w:rsid w:val="00250414"/>
    <w:rsid w:val="002506A5"/>
    <w:rsid w:val="00250768"/>
    <w:rsid w:val="00250E9E"/>
    <w:rsid w:val="00250FBB"/>
    <w:rsid w:val="00251A7F"/>
    <w:rsid w:val="00251CE9"/>
    <w:rsid w:val="0025202E"/>
    <w:rsid w:val="00252078"/>
    <w:rsid w:val="002520CA"/>
    <w:rsid w:val="00252676"/>
    <w:rsid w:val="00252CB1"/>
    <w:rsid w:val="00252DC3"/>
    <w:rsid w:val="00252F04"/>
    <w:rsid w:val="00253109"/>
    <w:rsid w:val="002531CA"/>
    <w:rsid w:val="00253414"/>
    <w:rsid w:val="00253CAE"/>
    <w:rsid w:val="00254B03"/>
    <w:rsid w:val="00255237"/>
    <w:rsid w:val="00255A60"/>
    <w:rsid w:val="00255C8F"/>
    <w:rsid w:val="002561F3"/>
    <w:rsid w:val="002563A5"/>
    <w:rsid w:val="00256995"/>
    <w:rsid w:val="00257424"/>
    <w:rsid w:val="002574FE"/>
    <w:rsid w:val="00257CAA"/>
    <w:rsid w:val="00257DF7"/>
    <w:rsid w:val="00257F08"/>
    <w:rsid w:val="00260147"/>
    <w:rsid w:val="00260C1A"/>
    <w:rsid w:val="002611F8"/>
    <w:rsid w:val="00261410"/>
    <w:rsid w:val="00261C91"/>
    <w:rsid w:val="002620FF"/>
    <w:rsid w:val="002628F1"/>
    <w:rsid w:val="00262C99"/>
    <w:rsid w:val="002631B1"/>
    <w:rsid w:val="00263304"/>
    <w:rsid w:val="002638B4"/>
    <w:rsid w:val="00263912"/>
    <w:rsid w:val="00264230"/>
    <w:rsid w:val="0026481E"/>
    <w:rsid w:val="00264A01"/>
    <w:rsid w:val="00266198"/>
    <w:rsid w:val="002668BC"/>
    <w:rsid w:val="00267068"/>
    <w:rsid w:val="002670CA"/>
    <w:rsid w:val="00267997"/>
    <w:rsid w:val="00267B1E"/>
    <w:rsid w:val="00267DFC"/>
    <w:rsid w:val="002705E3"/>
    <w:rsid w:val="00270989"/>
    <w:rsid w:val="002711D6"/>
    <w:rsid w:val="002713F3"/>
    <w:rsid w:val="002717CC"/>
    <w:rsid w:val="00271CFD"/>
    <w:rsid w:val="00272231"/>
    <w:rsid w:val="0027224A"/>
    <w:rsid w:val="0027235E"/>
    <w:rsid w:val="002723A9"/>
    <w:rsid w:val="00272C72"/>
    <w:rsid w:val="00272FDD"/>
    <w:rsid w:val="00273618"/>
    <w:rsid w:val="002743DF"/>
    <w:rsid w:val="00274F66"/>
    <w:rsid w:val="00275293"/>
    <w:rsid w:val="00275608"/>
    <w:rsid w:val="00275693"/>
    <w:rsid w:val="00275F87"/>
    <w:rsid w:val="00276B83"/>
    <w:rsid w:val="002770E9"/>
    <w:rsid w:val="00277989"/>
    <w:rsid w:val="00280414"/>
    <w:rsid w:val="00280472"/>
    <w:rsid w:val="002804F1"/>
    <w:rsid w:val="0028111B"/>
    <w:rsid w:val="002811ED"/>
    <w:rsid w:val="0028168C"/>
    <w:rsid w:val="00281E2A"/>
    <w:rsid w:val="00282389"/>
    <w:rsid w:val="002823A7"/>
    <w:rsid w:val="00282CCA"/>
    <w:rsid w:val="00283087"/>
    <w:rsid w:val="00283276"/>
    <w:rsid w:val="002840C6"/>
    <w:rsid w:val="002847C2"/>
    <w:rsid w:val="00284D15"/>
    <w:rsid w:val="00285476"/>
    <w:rsid w:val="002856BC"/>
    <w:rsid w:val="00285806"/>
    <w:rsid w:val="00285BB8"/>
    <w:rsid w:val="00285F16"/>
    <w:rsid w:val="002862A9"/>
    <w:rsid w:val="002867E8"/>
    <w:rsid w:val="0028729C"/>
    <w:rsid w:val="002879D9"/>
    <w:rsid w:val="00290873"/>
    <w:rsid w:val="0029104B"/>
    <w:rsid w:val="0029134B"/>
    <w:rsid w:val="00291824"/>
    <w:rsid w:val="00291ADF"/>
    <w:rsid w:val="00292745"/>
    <w:rsid w:val="00292816"/>
    <w:rsid w:val="00292F30"/>
    <w:rsid w:val="00293677"/>
    <w:rsid w:val="002938D3"/>
    <w:rsid w:val="00294302"/>
    <w:rsid w:val="002945D6"/>
    <w:rsid w:val="002946FA"/>
    <w:rsid w:val="002949F8"/>
    <w:rsid w:val="00294F35"/>
    <w:rsid w:val="0029516B"/>
    <w:rsid w:val="00295A9C"/>
    <w:rsid w:val="00295B4D"/>
    <w:rsid w:val="00295DE6"/>
    <w:rsid w:val="0029628C"/>
    <w:rsid w:val="00296359"/>
    <w:rsid w:val="00296756"/>
    <w:rsid w:val="00296CA0"/>
    <w:rsid w:val="002974EB"/>
    <w:rsid w:val="0029758B"/>
    <w:rsid w:val="002977B4"/>
    <w:rsid w:val="00297865"/>
    <w:rsid w:val="002A03CF"/>
    <w:rsid w:val="002A0D4F"/>
    <w:rsid w:val="002A123E"/>
    <w:rsid w:val="002A1D3D"/>
    <w:rsid w:val="002A2091"/>
    <w:rsid w:val="002A20F4"/>
    <w:rsid w:val="002A2AB9"/>
    <w:rsid w:val="002A2CF1"/>
    <w:rsid w:val="002A2D20"/>
    <w:rsid w:val="002A2D40"/>
    <w:rsid w:val="002A3101"/>
    <w:rsid w:val="002A3752"/>
    <w:rsid w:val="002A37CB"/>
    <w:rsid w:val="002A408C"/>
    <w:rsid w:val="002A4AAA"/>
    <w:rsid w:val="002A6867"/>
    <w:rsid w:val="002A69B2"/>
    <w:rsid w:val="002A7055"/>
    <w:rsid w:val="002A73D9"/>
    <w:rsid w:val="002A77D0"/>
    <w:rsid w:val="002A7E29"/>
    <w:rsid w:val="002A7EC0"/>
    <w:rsid w:val="002B037A"/>
    <w:rsid w:val="002B0543"/>
    <w:rsid w:val="002B0593"/>
    <w:rsid w:val="002B0E34"/>
    <w:rsid w:val="002B0E70"/>
    <w:rsid w:val="002B2088"/>
    <w:rsid w:val="002B21CB"/>
    <w:rsid w:val="002B22FC"/>
    <w:rsid w:val="002B261E"/>
    <w:rsid w:val="002B26B8"/>
    <w:rsid w:val="002B26D1"/>
    <w:rsid w:val="002B33F5"/>
    <w:rsid w:val="002B38C8"/>
    <w:rsid w:val="002B4254"/>
    <w:rsid w:val="002B48C5"/>
    <w:rsid w:val="002B5327"/>
    <w:rsid w:val="002B54AF"/>
    <w:rsid w:val="002B5550"/>
    <w:rsid w:val="002B56FA"/>
    <w:rsid w:val="002B605D"/>
    <w:rsid w:val="002B631D"/>
    <w:rsid w:val="002B6636"/>
    <w:rsid w:val="002B6671"/>
    <w:rsid w:val="002B6ADF"/>
    <w:rsid w:val="002B6D18"/>
    <w:rsid w:val="002B6D59"/>
    <w:rsid w:val="002B6EC0"/>
    <w:rsid w:val="002B794D"/>
    <w:rsid w:val="002B7EB7"/>
    <w:rsid w:val="002C1219"/>
    <w:rsid w:val="002C1CC0"/>
    <w:rsid w:val="002C284B"/>
    <w:rsid w:val="002C29FE"/>
    <w:rsid w:val="002C2ACF"/>
    <w:rsid w:val="002C3268"/>
    <w:rsid w:val="002C330D"/>
    <w:rsid w:val="002C42EB"/>
    <w:rsid w:val="002C5481"/>
    <w:rsid w:val="002C5A99"/>
    <w:rsid w:val="002C5FD6"/>
    <w:rsid w:val="002C6571"/>
    <w:rsid w:val="002C66D1"/>
    <w:rsid w:val="002C6B88"/>
    <w:rsid w:val="002C7A63"/>
    <w:rsid w:val="002C7A71"/>
    <w:rsid w:val="002C7CDE"/>
    <w:rsid w:val="002C7D3C"/>
    <w:rsid w:val="002C7EAD"/>
    <w:rsid w:val="002D0E2C"/>
    <w:rsid w:val="002D103D"/>
    <w:rsid w:val="002D1358"/>
    <w:rsid w:val="002D15BD"/>
    <w:rsid w:val="002D176A"/>
    <w:rsid w:val="002D2AFE"/>
    <w:rsid w:val="002D2B19"/>
    <w:rsid w:val="002D2FB6"/>
    <w:rsid w:val="002D392C"/>
    <w:rsid w:val="002D459C"/>
    <w:rsid w:val="002D4942"/>
    <w:rsid w:val="002D5791"/>
    <w:rsid w:val="002D57F2"/>
    <w:rsid w:val="002D5AB3"/>
    <w:rsid w:val="002D5D5B"/>
    <w:rsid w:val="002D6015"/>
    <w:rsid w:val="002D607C"/>
    <w:rsid w:val="002D6232"/>
    <w:rsid w:val="002D6D56"/>
    <w:rsid w:val="002D78C7"/>
    <w:rsid w:val="002E0BD8"/>
    <w:rsid w:val="002E1B57"/>
    <w:rsid w:val="002E1DDA"/>
    <w:rsid w:val="002E26A6"/>
    <w:rsid w:val="002E2A00"/>
    <w:rsid w:val="002E2FA8"/>
    <w:rsid w:val="002E330D"/>
    <w:rsid w:val="002E4495"/>
    <w:rsid w:val="002E4A4B"/>
    <w:rsid w:val="002E579C"/>
    <w:rsid w:val="002E59C8"/>
    <w:rsid w:val="002E5A75"/>
    <w:rsid w:val="002E649F"/>
    <w:rsid w:val="002E64EC"/>
    <w:rsid w:val="002E684C"/>
    <w:rsid w:val="002E7AD2"/>
    <w:rsid w:val="002F0355"/>
    <w:rsid w:val="002F09AC"/>
    <w:rsid w:val="002F0C9C"/>
    <w:rsid w:val="002F0E53"/>
    <w:rsid w:val="002F1932"/>
    <w:rsid w:val="002F2265"/>
    <w:rsid w:val="002F2C88"/>
    <w:rsid w:val="002F31D7"/>
    <w:rsid w:val="002F32EF"/>
    <w:rsid w:val="002F3AC7"/>
    <w:rsid w:val="002F3D74"/>
    <w:rsid w:val="002F3E55"/>
    <w:rsid w:val="002F3FB7"/>
    <w:rsid w:val="002F43DD"/>
    <w:rsid w:val="002F44F4"/>
    <w:rsid w:val="002F46D8"/>
    <w:rsid w:val="002F4DE7"/>
    <w:rsid w:val="002F4EF5"/>
    <w:rsid w:val="002F506A"/>
    <w:rsid w:val="002F5526"/>
    <w:rsid w:val="002F5667"/>
    <w:rsid w:val="002F5FD7"/>
    <w:rsid w:val="002F68D1"/>
    <w:rsid w:val="002F69AB"/>
    <w:rsid w:val="002F6A29"/>
    <w:rsid w:val="002F6A78"/>
    <w:rsid w:val="002F727F"/>
    <w:rsid w:val="002F77B0"/>
    <w:rsid w:val="0030036A"/>
    <w:rsid w:val="00300A16"/>
    <w:rsid w:val="0030156D"/>
    <w:rsid w:val="00301970"/>
    <w:rsid w:val="003019E3"/>
    <w:rsid w:val="003020AE"/>
    <w:rsid w:val="00302802"/>
    <w:rsid w:val="00302821"/>
    <w:rsid w:val="00302AAC"/>
    <w:rsid w:val="00302CFE"/>
    <w:rsid w:val="003032F4"/>
    <w:rsid w:val="00303A60"/>
    <w:rsid w:val="0030419E"/>
    <w:rsid w:val="00304273"/>
    <w:rsid w:val="0030486D"/>
    <w:rsid w:val="00304922"/>
    <w:rsid w:val="00304BB2"/>
    <w:rsid w:val="00304C1F"/>
    <w:rsid w:val="0030503B"/>
    <w:rsid w:val="00305CAF"/>
    <w:rsid w:val="00306D49"/>
    <w:rsid w:val="00306E7C"/>
    <w:rsid w:val="00307752"/>
    <w:rsid w:val="00307832"/>
    <w:rsid w:val="0031020E"/>
    <w:rsid w:val="0031076E"/>
    <w:rsid w:val="00310790"/>
    <w:rsid w:val="003109D1"/>
    <w:rsid w:val="003112C7"/>
    <w:rsid w:val="0031178B"/>
    <w:rsid w:val="00312586"/>
    <w:rsid w:val="00312CAF"/>
    <w:rsid w:val="00312DFD"/>
    <w:rsid w:val="00313000"/>
    <w:rsid w:val="00314CC6"/>
    <w:rsid w:val="00314E81"/>
    <w:rsid w:val="00315766"/>
    <w:rsid w:val="00315ACF"/>
    <w:rsid w:val="00316161"/>
    <w:rsid w:val="003163E1"/>
    <w:rsid w:val="00316507"/>
    <w:rsid w:val="00316638"/>
    <w:rsid w:val="00317DC8"/>
    <w:rsid w:val="00320AB6"/>
    <w:rsid w:val="00320B4B"/>
    <w:rsid w:val="003227B3"/>
    <w:rsid w:val="00322A56"/>
    <w:rsid w:val="00322C3B"/>
    <w:rsid w:val="003230D5"/>
    <w:rsid w:val="00323388"/>
    <w:rsid w:val="003235F5"/>
    <w:rsid w:val="003236D3"/>
    <w:rsid w:val="0032383D"/>
    <w:rsid w:val="003239F4"/>
    <w:rsid w:val="00323C0F"/>
    <w:rsid w:val="00324273"/>
    <w:rsid w:val="0032483F"/>
    <w:rsid w:val="003249FB"/>
    <w:rsid w:val="00324A87"/>
    <w:rsid w:val="00324D54"/>
    <w:rsid w:val="00325178"/>
    <w:rsid w:val="003258DE"/>
    <w:rsid w:val="00325FAC"/>
    <w:rsid w:val="0032644A"/>
    <w:rsid w:val="003266BB"/>
    <w:rsid w:val="00326B13"/>
    <w:rsid w:val="00327189"/>
    <w:rsid w:val="003276AD"/>
    <w:rsid w:val="0032775D"/>
    <w:rsid w:val="003306DB"/>
    <w:rsid w:val="00330811"/>
    <w:rsid w:val="003312B7"/>
    <w:rsid w:val="0033141C"/>
    <w:rsid w:val="0033179A"/>
    <w:rsid w:val="003318D1"/>
    <w:rsid w:val="003318E2"/>
    <w:rsid w:val="00331E73"/>
    <w:rsid w:val="00332585"/>
    <w:rsid w:val="00332988"/>
    <w:rsid w:val="0033370A"/>
    <w:rsid w:val="0033450E"/>
    <w:rsid w:val="0033479B"/>
    <w:rsid w:val="0033499F"/>
    <w:rsid w:val="00334C61"/>
    <w:rsid w:val="00334D87"/>
    <w:rsid w:val="00334E34"/>
    <w:rsid w:val="00334FB5"/>
    <w:rsid w:val="003367CC"/>
    <w:rsid w:val="00336821"/>
    <w:rsid w:val="00336A1E"/>
    <w:rsid w:val="00336DA4"/>
    <w:rsid w:val="00337870"/>
    <w:rsid w:val="00337C74"/>
    <w:rsid w:val="00340017"/>
    <w:rsid w:val="003401A7"/>
    <w:rsid w:val="0034032F"/>
    <w:rsid w:val="0034099E"/>
    <w:rsid w:val="00340D4B"/>
    <w:rsid w:val="0034187D"/>
    <w:rsid w:val="003419C2"/>
    <w:rsid w:val="003425F0"/>
    <w:rsid w:val="00343024"/>
    <w:rsid w:val="0034382A"/>
    <w:rsid w:val="00343DE3"/>
    <w:rsid w:val="00343FD8"/>
    <w:rsid w:val="00344019"/>
    <w:rsid w:val="00344727"/>
    <w:rsid w:val="00344D4E"/>
    <w:rsid w:val="00344F79"/>
    <w:rsid w:val="00344FA5"/>
    <w:rsid w:val="00345759"/>
    <w:rsid w:val="00345F9E"/>
    <w:rsid w:val="00346EEC"/>
    <w:rsid w:val="003508D3"/>
    <w:rsid w:val="00350DB4"/>
    <w:rsid w:val="00350FD0"/>
    <w:rsid w:val="00351074"/>
    <w:rsid w:val="00351852"/>
    <w:rsid w:val="00351C40"/>
    <w:rsid w:val="003520E4"/>
    <w:rsid w:val="00352AD6"/>
    <w:rsid w:val="00352AF0"/>
    <w:rsid w:val="0035320B"/>
    <w:rsid w:val="003532FE"/>
    <w:rsid w:val="00353E2B"/>
    <w:rsid w:val="00353ECA"/>
    <w:rsid w:val="003540C6"/>
    <w:rsid w:val="0035428C"/>
    <w:rsid w:val="003548F7"/>
    <w:rsid w:val="00354E92"/>
    <w:rsid w:val="003550AB"/>
    <w:rsid w:val="003568CE"/>
    <w:rsid w:val="00356E6D"/>
    <w:rsid w:val="003572BF"/>
    <w:rsid w:val="00357725"/>
    <w:rsid w:val="00357ABD"/>
    <w:rsid w:val="00357C75"/>
    <w:rsid w:val="0036006B"/>
    <w:rsid w:val="003610BC"/>
    <w:rsid w:val="0036174D"/>
    <w:rsid w:val="0036176F"/>
    <w:rsid w:val="003619D0"/>
    <w:rsid w:val="00361BF4"/>
    <w:rsid w:val="00361D1C"/>
    <w:rsid w:val="00362E66"/>
    <w:rsid w:val="00364182"/>
    <w:rsid w:val="003643AD"/>
    <w:rsid w:val="003645FA"/>
    <w:rsid w:val="00366383"/>
    <w:rsid w:val="00366A32"/>
    <w:rsid w:val="00370003"/>
    <w:rsid w:val="00370D5D"/>
    <w:rsid w:val="00370F50"/>
    <w:rsid w:val="003715F0"/>
    <w:rsid w:val="00371F3A"/>
    <w:rsid w:val="00373BA5"/>
    <w:rsid w:val="00374417"/>
    <w:rsid w:val="00375525"/>
    <w:rsid w:val="003763AA"/>
    <w:rsid w:val="0037698A"/>
    <w:rsid w:val="003770D8"/>
    <w:rsid w:val="003770F2"/>
    <w:rsid w:val="00377754"/>
    <w:rsid w:val="00377DEA"/>
    <w:rsid w:val="00377F25"/>
    <w:rsid w:val="00377FF0"/>
    <w:rsid w:val="00380611"/>
    <w:rsid w:val="0038075D"/>
    <w:rsid w:val="00380D37"/>
    <w:rsid w:val="00380EC6"/>
    <w:rsid w:val="00380F3A"/>
    <w:rsid w:val="00381663"/>
    <w:rsid w:val="00381A38"/>
    <w:rsid w:val="00381F87"/>
    <w:rsid w:val="003820F1"/>
    <w:rsid w:val="003822FB"/>
    <w:rsid w:val="00382416"/>
    <w:rsid w:val="00382A2C"/>
    <w:rsid w:val="00382A90"/>
    <w:rsid w:val="00382BB7"/>
    <w:rsid w:val="00383100"/>
    <w:rsid w:val="00384864"/>
    <w:rsid w:val="003851EF"/>
    <w:rsid w:val="0038543E"/>
    <w:rsid w:val="003859F8"/>
    <w:rsid w:val="00385B5B"/>
    <w:rsid w:val="00385FB6"/>
    <w:rsid w:val="003861AA"/>
    <w:rsid w:val="0038664A"/>
    <w:rsid w:val="003866CA"/>
    <w:rsid w:val="00386E68"/>
    <w:rsid w:val="00387812"/>
    <w:rsid w:val="00387D5B"/>
    <w:rsid w:val="0039037F"/>
    <w:rsid w:val="003908E4"/>
    <w:rsid w:val="003909B9"/>
    <w:rsid w:val="003917A8"/>
    <w:rsid w:val="00391C2F"/>
    <w:rsid w:val="00391CC8"/>
    <w:rsid w:val="00391E3A"/>
    <w:rsid w:val="00391E63"/>
    <w:rsid w:val="003921F4"/>
    <w:rsid w:val="00392709"/>
    <w:rsid w:val="00392A8B"/>
    <w:rsid w:val="00392F8A"/>
    <w:rsid w:val="00393006"/>
    <w:rsid w:val="0039348B"/>
    <w:rsid w:val="00393F2F"/>
    <w:rsid w:val="0039432D"/>
    <w:rsid w:val="00395D32"/>
    <w:rsid w:val="0039624B"/>
    <w:rsid w:val="00396B96"/>
    <w:rsid w:val="003975A2"/>
    <w:rsid w:val="00397D6A"/>
    <w:rsid w:val="00397E7C"/>
    <w:rsid w:val="003A045A"/>
    <w:rsid w:val="003A056A"/>
    <w:rsid w:val="003A0645"/>
    <w:rsid w:val="003A183F"/>
    <w:rsid w:val="003A19FC"/>
    <w:rsid w:val="003A2080"/>
    <w:rsid w:val="003A2558"/>
    <w:rsid w:val="003A25DB"/>
    <w:rsid w:val="003A261F"/>
    <w:rsid w:val="003A2B94"/>
    <w:rsid w:val="003A2D9B"/>
    <w:rsid w:val="003A3237"/>
    <w:rsid w:val="003A42E3"/>
    <w:rsid w:val="003A4DDC"/>
    <w:rsid w:val="003A4FE0"/>
    <w:rsid w:val="003A50F6"/>
    <w:rsid w:val="003A528D"/>
    <w:rsid w:val="003A56B5"/>
    <w:rsid w:val="003A5962"/>
    <w:rsid w:val="003A5D9D"/>
    <w:rsid w:val="003A5FB4"/>
    <w:rsid w:val="003A6288"/>
    <w:rsid w:val="003A6E20"/>
    <w:rsid w:val="003A6EEB"/>
    <w:rsid w:val="003A7013"/>
    <w:rsid w:val="003A72EB"/>
    <w:rsid w:val="003A7522"/>
    <w:rsid w:val="003A7B46"/>
    <w:rsid w:val="003B1826"/>
    <w:rsid w:val="003B2544"/>
    <w:rsid w:val="003B256D"/>
    <w:rsid w:val="003B27DB"/>
    <w:rsid w:val="003B3232"/>
    <w:rsid w:val="003B34CD"/>
    <w:rsid w:val="003B39C7"/>
    <w:rsid w:val="003B3F6B"/>
    <w:rsid w:val="003B3F89"/>
    <w:rsid w:val="003B4003"/>
    <w:rsid w:val="003B4521"/>
    <w:rsid w:val="003B4F17"/>
    <w:rsid w:val="003B5339"/>
    <w:rsid w:val="003B5428"/>
    <w:rsid w:val="003B551E"/>
    <w:rsid w:val="003B56B6"/>
    <w:rsid w:val="003B574A"/>
    <w:rsid w:val="003B621D"/>
    <w:rsid w:val="003B6AD8"/>
    <w:rsid w:val="003B6C31"/>
    <w:rsid w:val="003B6E0D"/>
    <w:rsid w:val="003B6F8A"/>
    <w:rsid w:val="003B709C"/>
    <w:rsid w:val="003B72DD"/>
    <w:rsid w:val="003B7B22"/>
    <w:rsid w:val="003B7F3E"/>
    <w:rsid w:val="003C034F"/>
    <w:rsid w:val="003C09C6"/>
    <w:rsid w:val="003C0D82"/>
    <w:rsid w:val="003C140B"/>
    <w:rsid w:val="003C16B8"/>
    <w:rsid w:val="003C213C"/>
    <w:rsid w:val="003C23D9"/>
    <w:rsid w:val="003C2B32"/>
    <w:rsid w:val="003C34EF"/>
    <w:rsid w:val="003C3531"/>
    <w:rsid w:val="003C3C85"/>
    <w:rsid w:val="003C3D36"/>
    <w:rsid w:val="003C405E"/>
    <w:rsid w:val="003C50B3"/>
    <w:rsid w:val="003C5220"/>
    <w:rsid w:val="003C5274"/>
    <w:rsid w:val="003C5423"/>
    <w:rsid w:val="003C5449"/>
    <w:rsid w:val="003C545C"/>
    <w:rsid w:val="003C54BF"/>
    <w:rsid w:val="003C5597"/>
    <w:rsid w:val="003C5C70"/>
    <w:rsid w:val="003C5CE3"/>
    <w:rsid w:val="003C5D89"/>
    <w:rsid w:val="003C5F03"/>
    <w:rsid w:val="003C6070"/>
    <w:rsid w:val="003C6182"/>
    <w:rsid w:val="003C6E57"/>
    <w:rsid w:val="003C74BA"/>
    <w:rsid w:val="003C7F35"/>
    <w:rsid w:val="003D053A"/>
    <w:rsid w:val="003D05C1"/>
    <w:rsid w:val="003D0978"/>
    <w:rsid w:val="003D0E82"/>
    <w:rsid w:val="003D0F52"/>
    <w:rsid w:val="003D1D69"/>
    <w:rsid w:val="003D1E76"/>
    <w:rsid w:val="003D2098"/>
    <w:rsid w:val="003D21CE"/>
    <w:rsid w:val="003D2410"/>
    <w:rsid w:val="003D249E"/>
    <w:rsid w:val="003D28DD"/>
    <w:rsid w:val="003D28FD"/>
    <w:rsid w:val="003D36FC"/>
    <w:rsid w:val="003D3A33"/>
    <w:rsid w:val="003D418F"/>
    <w:rsid w:val="003D44D7"/>
    <w:rsid w:val="003D4B44"/>
    <w:rsid w:val="003D4E46"/>
    <w:rsid w:val="003D4E6F"/>
    <w:rsid w:val="003D4EC0"/>
    <w:rsid w:val="003D5BAB"/>
    <w:rsid w:val="003D5C6A"/>
    <w:rsid w:val="003D6284"/>
    <w:rsid w:val="003D647B"/>
    <w:rsid w:val="003D6623"/>
    <w:rsid w:val="003D674D"/>
    <w:rsid w:val="003D6969"/>
    <w:rsid w:val="003D6E2F"/>
    <w:rsid w:val="003D78F0"/>
    <w:rsid w:val="003E00E8"/>
    <w:rsid w:val="003E0208"/>
    <w:rsid w:val="003E0316"/>
    <w:rsid w:val="003E0413"/>
    <w:rsid w:val="003E07B1"/>
    <w:rsid w:val="003E1D01"/>
    <w:rsid w:val="003E1EBA"/>
    <w:rsid w:val="003E20D0"/>
    <w:rsid w:val="003E218F"/>
    <w:rsid w:val="003E24CB"/>
    <w:rsid w:val="003E26E7"/>
    <w:rsid w:val="003E3307"/>
    <w:rsid w:val="003E33B1"/>
    <w:rsid w:val="003E36A7"/>
    <w:rsid w:val="003E3837"/>
    <w:rsid w:val="003E3942"/>
    <w:rsid w:val="003E4270"/>
    <w:rsid w:val="003E4884"/>
    <w:rsid w:val="003E4BF5"/>
    <w:rsid w:val="003E4EFB"/>
    <w:rsid w:val="003E5008"/>
    <w:rsid w:val="003E55D0"/>
    <w:rsid w:val="003E564C"/>
    <w:rsid w:val="003E62FB"/>
    <w:rsid w:val="003E669A"/>
    <w:rsid w:val="003E67ED"/>
    <w:rsid w:val="003E68A0"/>
    <w:rsid w:val="003E6D09"/>
    <w:rsid w:val="003E7720"/>
    <w:rsid w:val="003E7A3A"/>
    <w:rsid w:val="003F091A"/>
    <w:rsid w:val="003F097F"/>
    <w:rsid w:val="003F0DAC"/>
    <w:rsid w:val="003F0F60"/>
    <w:rsid w:val="003F1604"/>
    <w:rsid w:val="003F190C"/>
    <w:rsid w:val="003F22B3"/>
    <w:rsid w:val="003F2B94"/>
    <w:rsid w:val="003F3A3A"/>
    <w:rsid w:val="003F473E"/>
    <w:rsid w:val="003F4D08"/>
    <w:rsid w:val="003F4DA0"/>
    <w:rsid w:val="003F4DA7"/>
    <w:rsid w:val="003F55B0"/>
    <w:rsid w:val="003F5826"/>
    <w:rsid w:val="003F6413"/>
    <w:rsid w:val="003F65B8"/>
    <w:rsid w:val="003F69A1"/>
    <w:rsid w:val="003F725C"/>
    <w:rsid w:val="003F7C2E"/>
    <w:rsid w:val="003F7CBE"/>
    <w:rsid w:val="0040037B"/>
    <w:rsid w:val="00400E9A"/>
    <w:rsid w:val="0040164B"/>
    <w:rsid w:val="00401909"/>
    <w:rsid w:val="00401BEB"/>
    <w:rsid w:val="004023FE"/>
    <w:rsid w:val="004034F7"/>
    <w:rsid w:val="00403747"/>
    <w:rsid w:val="0040387F"/>
    <w:rsid w:val="00404045"/>
    <w:rsid w:val="00404703"/>
    <w:rsid w:val="00404B09"/>
    <w:rsid w:val="004051D8"/>
    <w:rsid w:val="00406ED9"/>
    <w:rsid w:val="00407269"/>
    <w:rsid w:val="00407CFB"/>
    <w:rsid w:val="00407DB1"/>
    <w:rsid w:val="00411A94"/>
    <w:rsid w:val="004120E9"/>
    <w:rsid w:val="0041213C"/>
    <w:rsid w:val="00412819"/>
    <w:rsid w:val="00412D25"/>
    <w:rsid w:val="0041307A"/>
    <w:rsid w:val="0041398C"/>
    <w:rsid w:val="00413CCF"/>
    <w:rsid w:val="00414EB7"/>
    <w:rsid w:val="00414EBB"/>
    <w:rsid w:val="004152FD"/>
    <w:rsid w:val="004155F1"/>
    <w:rsid w:val="00415666"/>
    <w:rsid w:val="0041579B"/>
    <w:rsid w:val="00415980"/>
    <w:rsid w:val="00415DDD"/>
    <w:rsid w:val="00415EE3"/>
    <w:rsid w:val="0041604F"/>
    <w:rsid w:val="0041615A"/>
    <w:rsid w:val="004166BD"/>
    <w:rsid w:val="00416939"/>
    <w:rsid w:val="004171AB"/>
    <w:rsid w:val="00417857"/>
    <w:rsid w:val="00417946"/>
    <w:rsid w:val="00417947"/>
    <w:rsid w:val="00420110"/>
    <w:rsid w:val="00420236"/>
    <w:rsid w:val="00420311"/>
    <w:rsid w:val="00420AA6"/>
    <w:rsid w:val="00420C14"/>
    <w:rsid w:val="0042136A"/>
    <w:rsid w:val="0042150F"/>
    <w:rsid w:val="00421D6F"/>
    <w:rsid w:val="00421E59"/>
    <w:rsid w:val="0042221F"/>
    <w:rsid w:val="004228C0"/>
    <w:rsid w:val="00423087"/>
    <w:rsid w:val="004232BD"/>
    <w:rsid w:val="004237E0"/>
    <w:rsid w:val="0042452E"/>
    <w:rsid w:val="004251F4"/>
    <w:rsid w:val="004254D4"/>
    <w:rsid w:val="004257A6"/>
    <w:rsid w:val="00426063"/>
    <w:rsid w:val="00426ACD"/>
    <w:rsid w:val="0042702A"/>
    <w:rsid w:val="0043053B"/>
    <w:rsid w:val="0043096D"/>
    <w:rsid w:val="00430D41"/>
    <w:rsid w:val="00430E73"/>
    <w:rsid w:val="004310C9"/>
    <w:rsid w:val="00431250"/>
    <w:rsid w:val="00431591"/>
    <w:rsid w:val="0043168A"/>
    <w:rsid w:val="00431BD2"/>
    <w:rsid w:val="0043232B"/>
    <w:rsid w:val="004329FF"/>
    <w:rsid w:val="00432DBA"/>
    <w:rsid w:val="00433290"/>
    <w:rsid w:val="004333C3"/>
    <w:rsid w:val="00433BC4"/>
    <w:rsid w:val="00433BFF"/>
    <w:rsid w:val="00433DAE"/>
    <w:rsid w:val="00433F99"/>
    <w:rsid w:val="00434645"/>
    <w:rsid w:val="0043468D"/>
    <w:rsid w:val="004346E5"/>
    <w:rsid w:val="004350BA"/>
    <w:rsid w:val="004351BB"/>
    <w:rsid w:val="00435F15"/>
    <w:rsid w:val="004363F1"/>
    <w:rsid w:val="00437143"/>
    <w:rsid w:val="004371CC"/>
    <w:rsid w:val="00437400"/>
    <w:rsid w:val="0044050B"/>
    <w:rsid w:val="0044065D"/>
    <w:rsid w:val="00440703"/>
    <w:rsid w:val="00440895"/>
    <w:rsid w:val="00441569"/>
    <w:rsid w:val="0044164C"/>
    <w:rsid w:val="0044178F"/>
    <w:rsid w:val="00441D5B"/>
    <w:rsid w:val="00442740"/>
    <w:rsid w:val="00442C83"/>
    <w:rsid w:val="00443ABC"/>
    <w:rsid w:val="00443D62"/>
    <w:rsid w:val="004441B6"/>
    <w:rsid w:val="00444484"/>
    <w:rsid w:val="004446DC"/>
    <w:rsid w:val="00444ACF"/>
    <w:rsid w:val="00444FC6"/>
    <w:rsid w:val="004452F7"/>
    <w:rsid w:val="004462C3"/>
    <w:rsid w:val="00446E74"/>
    <w:rsid w:val="00446FCB"/>
    <w:rsid w:val="0044741D"/>
    <w:rsid w:val="0044743A"/>
    <w:rsid w:val="00447898"/>
    <w:rsid w:val="00447A9B"/>
    <w:rsid w:val="00447ECF"/>
    <w:rsid w:val="00450021"/>
    <w:rsid w:val="004503E2"/>
    <w:rsid w:val="004509D8"/>
    <w:rsid w:val="004517F4"/>
    <w:rsid w:val="00451A57"/>
    <w:rsid w:val="0045246D"/>
    <w:rsid w:val="0045249D"/>
    <w:rsid w:val="0045271D"/>
    <w:rsid w:val="0045360F"/>
    <w:rsid w:val="004538BF"/>
    <w:rsid w:val="00453BE5"/>
    <w:rsid w:val="00454335"/>
    <w:rsid w:val="0045494F"/>
    <w:rsid w:val="00454A2B"/>
    <w:rsid w:val="00454A89"/>
    <w:rsid w:val="00454BB3"/>
    <w:rsid w:val="00454DF9"/>
    <w:rsid w:val="0045513E"/>
    <w:rsid w:val="00455334"/>
    <w:rsid w:val="0045535E"/>
    <w:rsid w:val="00456523"/>
    <w:rsid w:val="004565FA"/>
    <w:rsid w:val="004567A5"/>
    <w:rsid w:val="00456BD0"/>
    <w:rsid w:val="00456C36"/>
    <w:rsid w:val="00457762"/>
    <w:rsid w:val="00457BD6"/>
    <w:rsid w:val="004600D2"/>
    <w:rsid w:val="00460B79"/>
    <w:rsid w:val="00460FDD"/>
    <w:rsid w:val="004618FA"/>
    <w:rsid w:val="00461929"/>
    <w:rsid w:val="00462896"/>
    <w:rsid w:val="00462A4A"/>
    <w:rsid w:val="00463083"/>
    <w:rsid w:val="004635D1"/>
    <w:rsid w:val="00463995"/>
    <w:rsid w:val="00464446"/>
    <w:rsid w:val="0046602C"/>
    <w:rsid w:val="004664A5"/>
    <w:rsid w:val="004666F4"/>
    <w:rsid w:val="00466B20"/>
    <w:rsid w:val="004670AD"/>
    <w:rsid w:val="00467744"/>
    <w:rsid w:val="00467BEF"/>
    <w:rsid w:val="00467D22"/>
    <w:rsid w:val="0047000F"/>
    <w:rsid w:val="00470AAC"/>
    <w:rsid w:val="0047111D"/>
    <w:rsid w:val="00471301"/>
    <w:rsid w:val="004723EB"/>
    <w:rsid w:val="00472CA0"/>
    <w:rsid w:val="0047369B"/>
    <w:rsid w:val="0047388F"/>
    <w:rsid w:val="00473CC6"/>
    <w:rsid w:val="00473F6D"/>
    <w:rsid w:val="00474077"/>
    <w:rsid w:val="004745E6"/>
    <w:rsid w:val="00474754"/>
    <w:rsid w:val="00474E77"/>
    <w:rsid w:val="0047506F"/>
    <w:rsid w:val="00475AA0"/>
    <w:rsid w:val="00475B82"/>
    <w:rsid w:val="00475D33"/>
    <w:rsid w:val="00475E5D"/>
    <w:rsid w:val="00476771"/>
    <w:rsid w:val="00476D2B"/>
    <w:rsid w:val="00476E2A"/>
    <w:rsid w:val="00476E57"/>
    <w:rsid w:val="0047754D"/>
    <w:rsid w:val="00477974"/>
    <w:rsid w:val="00477FA5"/>
    <w:rsid w:val="00477FB9"/>
    <w:rsid w:val="0048056C"/>
    <w:rsid w:val="00480A3D"/>
    <w:rsid w:val="00480CD2"/>
    <w:rsid w:val="00480DFC"/>
    <w:rsid w:val="0048167F"/>
    <w:rsid w:val="00481929"/>
    <w:rsid w:val="00481E66"/>
    <w:rsid w:val="00481F0B"/>
    <w:rsid w:val="0048392E"/>
    <w:rsid w:val="00483D8F"/>
    <w:rsid w:val="00484006"/>
    <w:rsid w:val="00484089"/>
    <w:rsid w:val="0048408A"/>
    <w:rsid w:val="004840A0"/>
    <w:rsid w:val="00484D06"/>
    <w:rsid w:val="00485D37"/>
    <w:rsid w:val="00485D54"/>
    <w:rsid w:val="004865D7"/>
    <w:rsid w:val="004867D0"/>
    <w:rsid w:val="004869F3"/>
    <w:rsid w:val="00486D62"/>
    <w:rsid w:val="00486F85"/>
    <w:rsid w:val="00487408"/>
    <w:rsid w:val="0049036A"/>
    <w:rsid w:val="00490881"/>
    <w:rsid w:val="00491433"/>
    <w:rsid w:val="004916F5"/>
    <w:rsid w:val="0049227F"/>
    <w:rsid w:val="004924EC"/>
    <w:rsid w:val="004927F1"/>
    <w:rsid w:val="00493C0D"/>
    <w:rsid w:val="004943EE"/>
    <w:rsid w:val="00495480"/>
    <w:rsid w:val="00495505"/>
    <w:rsid w:val="004962AD"/>
    <w:rsid w:val="00496603"/>
    <w:rsid w:val="00496675"/>
    <w:rsid w:val="00496A93"/>
    <w:rsid w:val="00496CE1"/>
    <w:rsid w:val="00496F0B"/>
    <w:rsid w:val="00497163"/>
    <w:rsid w:val="004972EC"/>
    <w:rsid w:val="004973A4"/>
    <w:rsid w:val="0049782E"/>
    <w:rsid w:val="00497846"/>
    <w:rsid w:val="0049784F"/>
    <w:rsid w:val="004979D7"/>
    <w:rsid w:val="004A0505"/>
    <w:rsid w:val="004A195B"/>
    <w:rsid w:val="004A22AA"/>
    <w:rsid w:val="004A26D5"/>
    <w:rsid w:val="004A280C"/>
    <w:rsid w:val="004A2F85"/>
    <w:rsid w:val="004A300F"/>
    <w:rsid w:val="004A322F"/>
    <w:rsid w:val="004A40B1"/>
    <w:rsid w:val="004A420C"/>
    <w:rsid w:val="004A4869"/>
    <w:rsid w:val="004A4CB5"/>
    <w:rsid w:val="004A4FA8"/>
    <w:rsid w:val="004A4FAF"/>
    <w:rsid w:val="004A505B"/>
    <w:rsid w:val="004A50A7"/>
    <w:rsid w:val="004A50E1"/>
    <w:rsid w:val="004A5322"/>
    <w:rsid w:val="004A53FF"/>
    <w:rsid w:val="004A5997"/>
    <w:rsid w:val="004A60D5"/>
    <w:rsid w:val="004A6D3D"/>
    <w:rsid w:val="004A6EFD"/>
    <w:rsid w:val="004A7DE0"/>
    <w:rsid w:val="004A7F21"/>
    <w:rsid w:val="004B0710"/>
    <w:rsid w:val="004B0C34"/>
    <w:rsid w:val="004B0CA0"/>
    <w:rsid w:val="004B1071"/>
    <w:rsid w:val="004B1775"/>
    <w:rsid w:val="004B1D36"/>
    <w:rsid w:val="004B2356"/>
    <w:rsid w:val="004B2BC0"/>
    <w:rsid w:val="004B3717"/>
    <w:rsid w:val="004B3CDD"/>
    <w:rsid w:val="004B4409"/>
    <w:rsid w:val="004B4EB5"/>
    <w:rsid w:val="004B5B1E"/>
    <w:rsid w:val="004B5C1D"/>
    <w:rsid w:val="004B5C43"/>
    <w:rsid w:val="004B5DA8"/>
    <w:rsid w:val="004B6722"/>
    <w:rsid w:val="004B69A9"/>
    <w:rsid w:val="004B6AEE"/>
    <w:rsid w:val="004B7431"/>
    <w:rsid w:val="004B756D"/>
    <w:rsid w:val="004B7901"/>
    <w:rsid w:val="004B7B21"/>
    <w:rsid w:val="004C00D4"/>
    <w:rsid w:val="004C084A"/>
    <w:rsid w:val="004C09C9"/>
    <w:rsid w:val="004C09D9"/>
    <w:rsid w:val="004C1582"/>
    <w:rsid w:val="004C196C"/>
    <w:rsid w:val="004C2153"/>
    <w:rsid w:val="004C21E2"/>
    <w:rsid w:val="004C2D0F"/>
    <w:rsid w:val="004C36CC"/>
    <w:rsid w:val="004C39E8"/>
    <w:rsid w:val="004C414D"/>
    <w:rsid w:val="004C4585"/>
    <w:rsid w:val="004C4F1D"/>
    <w:rsid w:val="004C5619"/>
    <w:rsid w:val="004C56B4"/>
    <w:rsid w:val="004C5BEF"/>
    <w:rsid w:val="004C6131"/>
    <w:rsid w:val="004C6C1F"/>
    <w:rsid w:val="004C741C"/>
    <w:rsid w:val="004C7440"/>
    <w:rsid w:val="004C77BD"/>
    <w:rsid w:val="004C7B5E"/>
    <w:rsid w:val="004C7F30"/>
    <w:rsid w:val="004D07F8"/>
    <w:rsid w:val="004D0811"/>
    <w:rsid w:val="004D086D"/>
    <w:rsid w:val="004D0A44"/>
    <w:rsid w:val="004D0FE0"/>
    <w:rsid w:val="004D107C"/>
    <w:rsid w:val="004D1828"/>
    <w:rsid w:val="004D19F5"/>
    <w:rsid w:val="004D1AE0"/>
    <w:rsid w:val="004D1CB5"/>
    <w:rsid w:val="004D1F0A"/>
    <w:rsid w:val="004D228C"/>
    <w:rsid w:val="004D2BCF"/>
    <w:rsid w:val="004D2C57"/>
    <w:rsid w:val="004D305D"/>
    <w:rsid w:val="004D322D"/>
    <w:rsid w:val="004D3652"/>
    <w:rsid w:val="004D4118"/>
    <w:rsid w:val="004D42CB"/>
    <w:rsid w:val="004D432C"/>
    <w:rsid w:val="004D4449"/>
    <w:rsid w:val="004D4A50"/>
    <w:rsid w:val="004D4DD0"/>
    <w:rsid w:val="004D4F60"/>
    <w:rsid w:val="004D5D20"/>
    <w:rsid w:val="004D60BE"/>
    <w:rsid w:val="004D6392"/>
    <w:rsid w:val="004D66DF"/>
    <w:rsid w:val="004D672A"/>
    <w:rsid w:val="004D69C5"/>
    <w:rsid w:val="004D764F"/>
    <w:rsid w:val="004D7782"/>
    <w:rsid w:val="004D7919"/>
    <w:rsid w:val="004D7A11"/>
    <w:rsid w:val="004D7F54"/>
    <w:rsid w:val="004E01E9"/>
    <w:rsid w:val="004E03F2"/>
    <w:rsid w:val="004E0B59"/>
    <w:rsid w:val="004E0D32"/>
    <w:rsid w:val="004E0EA5"/>
    <w:rsid w:val="004E1CA2"/>
    <w:rsid w:val="004E1E1E"/>
    <w:rsid w:val="004E1F99"/>
    <w:rsid w:val="004E2762"/>
    <w:rsid w:val="004E3807"/>
    <w:rsid w:val="004E414B"/>
    <w:rsid w:val="004E553A"/>
    <w:rsid w:val="004E5878"/>
    <w:rsid w:val="004E61D8"/>
    <w:rsid w:val="004E667B"/>
    <w:rsid w:val="004E6701"/>
    <w:rsid w:val="004E68AD"/>
    <w:rsid w:val="004E71E4"/>
    <w:rsid w:val="004E73C0"/>
    <w:rsid w:val="004E7636"/>
    <w:rsid w:val="004E7985"/>
    <w:rsid w:val="004E799F"/>
    <w:rsid w:val="004E7C29"/>
    <w:rsid w:val="004F043C"/>
    <w:rsid w:val="004F083B"/>
    <w:rsid w:val="004F08E3"/>
    <w:rsid w:val="004F1D62"/>
    <w:rsid w:val="004F1EA1"/>
    <w:rsid w:val="004F1F6F"/>
    <w:rsid w:val="004F28E4"/>
    <w:rsid w:val="004F2BC9"/>
    <w:rsid w:val="004F2CCA"/>
    <w:rsid w:val="004F3716"/>
    <w:rsid w:val="004F4676"/>
    <w:rsid w:val="004F46E2"/>
    <w:rsid w:val="004F4D3D"/>
    <w:rsid w:val="004F4E05"/>
    <w:rsid w:val="004F5524"/>
    <w:rsid w:val="004F5D90"/>
    <w:rsid w:val="004F7ED0"/>
    <w:rsid w:val="00500270"/>
    <w:rsid w:val="005027E6"/>
    <w:rsid w:val="00502DBB"/>
    <w:rsid w:val="00503814"/>
    <w:rsid w:val="00503A92"/>
    <w:rsid w:val="00503F8E"/>
    <w:rsid w:val="0050454E"/>
    <w:rsid w:val="005046F9"/>
    <w:rsid w:val="00504756"/>
    <w:rsid w:val="005048B2"/>
    <w:rsid w:val="00505447"/>
    <w:rsid w:val="00505CA0"/>
    <w:rsid w:val="00506889"/>
    <w:rsid w:val="00506C07"/>
    <w:rsid w:val="00507459"/>
    <w:rsid w:val="00507813"/>
    <w:rsid w:val="00507940"/>
    <w:rsid w:val="00507C82"/>
    <w:rsid w:val="00507D36"/>
    <w:rsid w:val="00510273"/>
    <w:rsid w:val="00510379"/>
    <w:rsid w:val="0051055F"/>
    <w:rsid w:val="00510AEE"/>
    <w:rsid w:val="005111A9"/>
    <w:rsid w:val="00512821"/>
    <w:rsid w:val="00512845"/>
    <w:rsid w:val="00512B3C"/>
    <w:rsid w:val="00512F47"/>
    <w:rsid w:val="00512FD0"/>
    <w:rsid w:val="005135DD"/>
    <w:rsid w:val="00513A45"/>
    <w:rsid w:val="00513DA3"/>
    <w:rsid w:val="0051402B"/>
    <w:rsid w:val="0051429D"/>
    <w:rsid w:val="005145CD"/>
    <w:rsid w:val="00514C4F"/>
    <w:rsid w:val="00516016"/>
    <w:rsid w:val="005164A3"/>
    <w:rsid w:val="005168A8"/>
    <w:rsid w:val="00516B0F"/>
    <w:rsid w:val="00516C5B"/>
    <w:rsid w:val="00516FEF"/>
    <w:rsid w:val="005177E7"/>
    <w:rsid w:val="005178EE"/>
    <w:rsid w:val="00517C46"/>
    <w:rsid w:val="00517E59"/>
    <w:rsid w:val="00520686"/>
    <w:rsid w:val="00520CFE"/>
    <w:rsid w:val="00520F74"/>
    <w:rsid w:val="0052120E"/>
    <w:rsid w:val="005218B2"/>
    <w:rsid w:val="00521A9A"/>
    <w:rsid w:val="00521A9F"/>
    <w:rsid w:val="00521BF9"/>
    <w:rsid w:val="00522630"/>
    <w:rsid w:val="0052267B"/>
    <w:rsid w:val="00522F47"/>
    <w:rsid w:val="005232ED"/>
    <w:rsid w:val="00523436"/>
    <w:rsid w:val="00523CAC"/>
    <w:rsid w:val="00523F87"/>
    <w:rsid w:val="005259F3"/>
    <w:rsid w:val="005260CA"/>
    <w:rsid w:val="00526333"/>
    <w:rsid w:val="00526988"/>
    <w:rsid w:val="00526B27"/>
    <w:rsid w:val="005271F6"/>
    <w:rsid w:val="0052790B"/>
    <w:rsid w:val="00527A9B"/>
    <w:rsid w:val="00527C55"/>
    <w:rsid w:val="00527E71"/>
    <w:rsid w:val="0053105E"/>
    <w:rsid w:val="005315C4"/>
    <w:rsid w:val="005315F8"/>
    <w:rsid w:val="005316EB"/>
    <w:rsid w:val="00531CBF"/>
    <w:rsid w:val="00531E55"/>
    <w:rsid w:val="00531EF7"/>
    <w:rsid w:val="00532360"/>
    <w:rsid w:val="0053298E"/>
    <w:rsid w:val="00532BAE"/>
    <w:rsid w:val="005336BC"/>
    <w:rsid w:val="00533718"/>
    <w:rsid w:val="00533CC1"/>
    <w:rsid w:val="00533E4A"/>
    <w:rsid w:val="00534B3F"/>
    <w:rsid w:val="00534E0B"/>
    <w:rsid w:val="00534F0A"/>
    <w:rsid w:val="00535313"/>
    <w:rsid w:val="0053545C"/>
    <w:rsid w:val="0053553F"/>
    <w:rsid w:val="00535EC7"/>
    <w:rsid w:val="00536769"/>
    <w:rsid w:val="00536C13"/>
    <w:rsid w:val="00536E10"/>
    <w:rsid w:val="00536EDA"/>
    <w:rsid w:val="00536F2F"/>
    <w:rsid w:val="005370A5"/>
    <w:rsid w:val="00537525"/>
    <w:rsid w:val="00537ACB"/>
    <w:rsid w:val="0054015A"/>
    <w:rsid w:val="00540755"/>
    <w:rsid w:val="00540801"/>
    <w:rsid w:val="00540E33"/>
    <w:rsid w:val="00540EED"/>
    <w:rsid w:val="005412B9"/>
    <w:rsid w:val="00541FC9"/>
    <w:rsid w:val="0054247E"/>
    <w:rsid w:val="00542762"/>
    <w:rsid w:val="00542EB7"/>
    <w:rsid w:val="0054399D"/>
    <w:rsid w:val="00543A48"/>
    <w:rsid w:val="00543CEA"/>
    <w:rsid w:val="00543CF2"/>
    <w:rsid w:val="0054433E"/>
    <w:rsid w:val="005444CE"/>
    <w:rsid w:val="00544F3D"/>
    <w:rsid w:val="00545244"/>
    <w:rsid w:val="00545709"/>
    <w:rsid w:val="00546847"/>
    <w:rsid w:val="00546868"/>
    <w:rsid w:val="00547209"/>
    <w:rsid w:val="0054751C"/>
    <w:rsid w:val="0054765A"/>
    <w:rsid w:val="005478E4"/>
    <w:rsid w:val="00547F78"/>
    <w:rsid w:val="005500B0"/>
    <w:rsid w:val="0055016D"/>
    <w:rsid w:val="00550C93"/>
    <w:rsid w:val="00550FBD"/>
    <w:rsid w:val="00551055"/>
    <w:rsid w:val="005510CE"/>
    <w:rsid w:val="005513E9"/>
    <w:rsid w:val="0055188C"/>
    <w:rsid w:val="00551E31"/>
    <w:rsid w:val="00551EB1"/>
    <w:rsid w:val="005521CC"/>
    <w:rsid w:val="00552510"/>
    <w:rsid w:val="00552BE9"/>
    <w:rsid w:val="00552CD6"/>
    <w:rsid w:val="00552EA3"/>
    <w:rsid w:val="0055315E"/>
    <w:rsid w:val="00553172"/>
    <w:rsid w:val="005536C6"/>
    <w:rsid w:val="00553730"/>
    <w:rsid w:val="00554A6B"/>
    <w:rsid w:val="00554AD3"/>
    <w:rsid w:val="00554B6D"/>
    <w:rsid w:val="0055509A"/>
    <w:rsid w:val="00555BA1"/>
    <w:rsid w:val="00555E2F"/>
    <w:rsid w:val="00555FD0"/>
    <w:rsid w:val="00556468"/>
    <w:rsid w:val="00556FDC"/>
    <w:rsid w:val="005570A3"/>
    <w:rsid w:val="0055717E"/>
    <w:rsid w:val="0055727C"/>
    <w:rsid w:val="0056007C"/>
    <w:rsid w:val="00560313"/>
    <w:rsid w:val="00560386"/>
    <w:rsid w:val="00560543"/>
    <w:rsid w:val="005607B9"/>
    <w:rsid w:val="005618F9"/>
    <w:rsid w:val="005622BA"/>
    <w:rsid w:val="00562B9A"/>
    <w:rsid w:val="00562BB0"/>
    <w:rsid w:val="00562E10"/>
    <w:rsid w:val="00562E7F"/>
    <w:rsid w:val="0056304D"/>
    <w:rsid w:val="005630C9"/>
    <w:rsid w:val="005633FE"/>
    <w:rsid w:val="00563490"/>
    <w:rsid w:val="0056375F"/>
    <w:rsid w:val="00563761"/>
    <w:rsid w:val="00564349"/>
    <w:rsid w:val="00564C0D"/>
    <w:rsid w:val="00564DDD"/>
    <w:rsid w:val="00565269"/>
    <w:rsid w:val="00565B1C"/>
    <w:rsid w:val="00566468"/>
    <w:rsid w:val="00566962"/>
    <w:rsid w:val="00566EB0"/>
    <w:rsid w:val="005675C2"/>
    <w:rsid w:val="005707C1"/>
    <w:rsid w:val="005708D1"/>
    <w:rsid w:val="005709B9"/>
    <w:rsid w:val="00570F77"/>
    <w:rsid w:val="0057151A"/>
    <w:rsid w:val="00571B1E"/>
    <w:rsid w:val="00572137"/>
    <w:rsid w:val="00572266"/>
    <w:rsid w:val="00572B45"/>
    <w:rsid w:val="00572C9E"/>
    <w:rsid w:val="0057357F"/>
    <w:rsid w:val="0057363D"/>
    <w:rsid w:val="005736AC"/>
    <w:rsid w:val="00573785"/>
    <w:rsid w:val="00573947"/>
    <w:rsid w:val="00573BC8"/>
    <w:rsid w:val="00573F1A"/>
    <w:rsid w:val="0057432B"/>
    <w:rsid w:val="00574A19"/>
    <w:rsid w:val="0057506B"/>
    <w:rsid w:val="0057575C"/>
    <w:rsid w:val="00575986"/>
    <w:rsid w:val="00575A4D"/>
    <w:rsid w:val="00575CED"/>
    <w:rsid w:val="00575D04"/>
    <w:rsid w:val="00575D24"/>
    <w:rsid w:val="00575EEE"/>
    <w:rsid w:val="00576420"/>
    <w:rsid w:val="00576592"/>
    <w:rsid w:val="00576D9A"/>
    <w:rsid w:val="00577274"/>
    <w:rsid w:val="0057736C"/>
    <w:rsid w:val="005774DB"/>
    <w:rsid w:val="00577D19"/>
    <w:rsid w:val="00580640"/>
    <w:rsid w:val="00580FB8"/>
    <w:rsid w:val="005812BF"/>
    <w:rsid w:val="00581736"/>
    <w:rsid w:val="00583100"/>
    <w:rsid w:val="00583C39"/>
    <w:rsid w:val="0058435F"/>
    <w:rsid w:val="0058453D"/>
    <w:rsid w:val="00584B34"/>
    <w:rsid w:val="005853AB"/>
    <w:rsid w:val="00585491"/>
    <w:rsid w:val="00585828"/>
    <w:rsid w:val="005859A9"/>
    <w:rsid w:val="00586483"/>
    <w:rsid w:val="0058764D"/>
    <w:rsid w:val="0058781C"/>
    <w:rsid w:val="00587E65"/>
    <w:rsid w:val="00587ED2"/>
    <w:rsid w:val="00590387"/>
    <w:rsid w:val="00591123"/>
    <w:rsid w:val="005911AC"/>
    <w:rsid w:val="00591CD1"/>
    <w:rsid w:val="00592979"/>
    <w:rsid w:val="00592BA4"/>
    <w:rsid w:val="005938A2"/>
    <w:rsid w:val="00593D69"/>
    <w:rsid w:val="00594D42"/>
    <w:rsid w:val="00596017"/>
    <w:rsid w:val="005963F0"/>
    <w:rsid w:val="00596859"/>
    <w:rsid w:val="00596D33"/>
    <w:rsid w:val="00597BAB"/>
    <w:rsid w:val="005A0C0C"/>
    <w:rsid w:val="005A0ECD"/>
    <w:rsid w:val="005A116F"/>
    <w:rsid w:val="005A17FE"/>
    <w:rsid w:val="005A195C"/>
    <w:rsid w:val="005A394E"/>
    <w:rsid w:val="005A3FAC"/>
    <w:rsid w:val="005A41A6"/>
    <w:rsid w:val="005A4CC3"/>
    <w:rsid w:val="005A534A"/>
    <w:rsid w:val="005A5A26"/>
    <w:rsid w:val="005A5E6E"/>
    <w:rsid w:val="005A5EAF"/>
    <w:rsid w:val="005A60A7"/>
    <w:rsid w:val="005A6E13"/>
    <w:rsid w:val="005A6FC6"/>
    <w:rsid w:val="005A7190"/>
    <w:rsid w:val="005A7748"/>
    <w:rsid w:val="005A791F"/>
    <w:rsid w:val="005A7BCA"/>
    <w:rsid w:val="005A7CEF"/>
    <w:rsid w:val="005A7D6D"/>
    <w:rsid w:val="005B0690"/>
    <w:rsid w:val="005B09A5"/>
    <w:rsid w:val="005B0A24"/>
    <w:rsid w:val="005B2E1B"/>
    <w:rsid w:val="005B3350"/>
    <w:rsid w:val="005B35B4"/>
    <w:rsid w:val="005B36BA"/>
    <w:rsid w:val="005B36BC"/>
    <w:rsid w:val="005B3752"/>
    <w:rsid w:val="005B3AE9"/>
    <w:rsid w:val="005B3B6D"/>
    <w:rsid w:val="005B491D"/>
    <w:rsid w:val="005B4C9F"/>
    <w:rsid w:val="005B58E9"/>
    <w:rsid w:val="005B59A6"/>
    <w:rsid w:val="005B60C5"/>
    <w:rsid w:val="005B6E7A"/>
    <w:rsid w:val="005B7112"/>
    <w:rsid w:val="005B720E"/>
    <w:rsid w:val="005C04A3"/>
    <w:rsid w:val="005C0610"/>
    <w:rsid w:val="005C1521"/>
    <w:rsid w:val="005C1986"/>
    <w:rsid w:val="005C19F0"/>
    <w:rsid w:val="005C2499"/>
    <w:rsid w:val="005C2676"/>
    <w:rsid w:val="005C29A0"/>
    <w:rsid w:val="005C2AD4"/>
    <w:rsid w:val="005C2B4B"/>
    <w:rsid w:val="005C2BD9"/>
    <w:rsid w:val="005C2EEE"/>
    <w:rsid w:val="005C367A"/>
    <w:rsid w:val="005C41D6"/>
    <w:rsid w:val="005C45C1"/>
    <w:rsid w:val="005C4617"/>
    <w:rsid w:val="005C4C11"/>
    <w:rsid w:val="005C4F7D"/>
    <w:rsid w:val="005C5508"/>
    <w:rsid w:val="005C55D0"/>
    <w:rsid w:val="005C57B9"/>
    <w:rsid w:val="005C5AC0"/>
    <w:rsid w:val="005C63A6"/>
    <w:rsid w:val="005C6FD8"/>
    <w:rsid w:val="005C7627"/>
    <w:rsid w:val="005C7BF7"/>
    <w:rsid w:val="005C7F75"/>
    <w:rsid w:val="005D0B20"/>
    <w:rsid w:val="005D0E99"/>
    <w:rsid w:val="005D1228"/>
    <w:rsid w:val="005D2170"/>
    <w:rsid w:val="005D217A"/>
    <w:rsid w:val="005D2342"/>
    <w:rsid w:val="005D2507"/>
    <w:rsid w:val="005D29EA"/>
    <w:rsid w:val="005D2ADE"/>
    <w:rsid w:val="005D2C5E"/>
    <w:rsid w:val="005D3124"/>
    <w:rsid w:val="005D3145"/>
    <w:rsid w:val="005D3308"/>
    <w:rsid w:val="005D3557"/>
    <w:rsid w:val="005D3821"/>
    <w:rsid w:val="005D3AAC"/>
    <w:rsid w:val="005D42CB"/>
    <w:rsid w:val="005D4AC7"/>
    <w:rsid w:val="005D4BC2"/>
    <w:rsid w:val="005D4C65"/>
    <w:rsid w:val="005D4EDF"/>
    <w:rsid w:val="005D505C"/>
    <w:rsid w:val="005D50D1"/>
    <w:rsid w:val="005D5F39"/>
    <w:rsid w:val="005D6F2A"/>
    <w:rsid w:val="005D702D"/>
    <w:rsid w:val="005D715C"/>
    <w:rsid w:val="005D767D"/>
    <w:rsid w:val="005D7F7E"/>
    <w:rsid w:val="005E004E"/>
    <w:rsid w:val="005E0193"/>
    <w:rsid w:val="005E05A6"/>
    <w:rsid w:val="005E068E"/>
    <w:rsid w:val="005E08BC"/>
    <w:rsid w:val="005E0B6B"/>
    <w:rsid w:val="005E1198"/>
    <w:rsid w:val="005E16B5"/>
    <w:rsid w:val="005E190A"/>
    <w:rsid w:val="005E26D6"/>
    <w:rsid w:val="005E2A84"/>
    <w:rsid w:val="005E2F6E"/>
    <w:rsid w:val="005E3303"/>
    <w:rsid w:val="005E3395"/>
    <w:rsid w:val="005E356E"/>
    <w:rsid w:val="005E43CA"/>
    <w:rsid w:val="005E4534"/>
    <w:rsid w:val="005E486F"/>
    <w:rsid w:val="005E49BD"/>
    <w:rsid w:val="005E4D00"/>
    <w:rsid w:val="005E4F62"/>
    <w:rsid w:val="005E516B"/>
    <w:rsid w:val="005E529E"/>
    <w:rsid w:val="005E6F3D"/>
    <w:rsid w:val="005E7732"/>
    <w:rsid w:val="005E7D83"/>
    <w:rsid w:val="005F02DB"/>
    <w:rsid w:val="005F0B7A"/>
    <w:rsid w:val="005F0C57"/>
    <w:rsid w:val="005F2A35"/>
    <w:rsid w:val="005F36AF"/>
    <w:rsid w:val="005F3809"/>
    <w:rsid w:val="005F391A"/>
    <w:rsid w:val="005F40B5"/>
    <w:rsid w:val="005F4CB1"/>
    <w:rsid w:val="005F549B"/>
    <w:rsid w:val="005F5625"/>
    <w:rsid w:val="005F5A0E"/>
    <w:rsid w:val="005F6AAE"/>
    <w:rsid w:val="005F6EE2"/>
    <w:rsid w:val="005F70A6"/>
    <w:rsid w:val="005F7609"/>
    <w:rsid w:val="005F7AC9"/>
    <w:rsid w:val="005F7B70"/>
    <w:rsid w:val="005F7C4E"/>
    <w:rsid w:val="005F7E86"/>
    <w:rsid w:val="006002AE"/>
    <w:rsid w:val="00600B67"/>
    <w:rsid w:val="00600EE0"/>
    <w:rsid w:val="006016CD"/>
    <w:rsid w:val="00601D2D"/>
    <w:rsid w:val="00601E15"/>
    <w:rsid w:val="00602087"/>
    <w:rsid w:val="00602AFF"/>
    <w:rsid w:val="006030C0"/>
    <w:rsid w:val="006035A4"/>
    <w:rsid w:val="00603BFD"/>
    <w:rsid w:val="00603E9E"/>
    <w:rsid w:val="006040E1"/>
    <w:rsid w:val="00604684"/>
    <w:rsid w:val="0060474E"/>
    <w:rsid w:val="00604B34"/>
    <w:rsid w:val="006051BF"/>
    <w:rsid w:val="006055E6"/>
    <w:rsid w:val="00605A5E"/>
    <w:rsid w:val="00605C68"/>
    <w:rsid w:val="00605FA6"/>
    <w:rsid w:val="0060615B"/>
    <w:rsid w:val="006061B4"/>
    <w:rsid w:val="00606770"/>
    <w:rsid w:val="00606EF5"/>
    <w:rsid w:val="00610324"/>
    <w:rsid w:val="00610585"/>
    <w:rsid w:val="006107A1"/>
    <w:rsid w:val="00610B44"/>
    <w:rsid w:val="00610E7C"/>
    <w:rsid w:val="00611631"/>
    <w:rsid w:val="00611912"/>
    <w:rsid w:val="00611E61"/>
    <w:rsid w:val="0061220A"/>
    <w:rsid w:val="0061223F"/>
    <w:rsid w:val="00612264"/>
    <w:rsid w:val="006123CD"/>
    <w:rsid w:val="0061270C"/>
    <w:rsid w:val="006128D6"/>
    <w:rsid w:val="00612B6E"/>
    <w:rsid w:val="00613235"/>
    <w:rsid w:val="006132D9"/>
    <w:rsid w:val="00613E66"/>
    <w:rsid w:val="006142F9"/>
    <w:rsid w:val="0061435A"/>
    <w:rsid w:val="00614909"/>
    <w:rsid w:val="00614D38"/>
    <w:rsid w:val="00615F16"/>
    <w:rsid w:val="006160F6"/>
    <w:rsid w:val="00616B7D"/>
    <w:rsid w:val="00616EF9"/>
    <w:rsid w:val="00616F01"/>
    <w:rsid w:val="00616F18"/>
    <w:rsid w:val="006173AA"/>
    <w:rsid w:val="0061781C"/>
    <w:rsid w:val="006208C3"/>
    <w:rsid w:val="00620956"/>
    <w:rsid w:val="00620DC9"/>
    <w:rsid w:val="00621184"/>
    <w:rsid w:val="006217E3"/>
    <w:rsid w:val="00622325"/>
    <w:rsid w:val="00622476"/>
    <w:rsid w:val="0062263C"/>
    <w:rsid w:val="00622912"/>
    <w:rsid w:val="006229D2"/>
    <w:rsid w:val="006237F5"/>
    <w:rsid w:val="0062460A"/>
    <w:rsid w:val="006247EE"/>
    <w:rsid w:val="006256EE"/>
    <w:rsid w:val="00625AA0"/>
    <w:rsid w:val="0062622E"/>
    <w:rsid w:val="00626438"/>
    <w:rsid w:val="00626D1B"/>
    <w:rsid w:val="00627296"/>
    <w:rsid w:val="00627319"/>
    <w:rsid w:val="00627353"/>
    <w:rsid w:val="0062797F"/>
    <w:rsid w:val="00630A08"/>
    <w:rsid w:val="006339E6"/>
    <w:rsid w:val="00633E8B"/>
    <w:rsid w:val="00633F2A"/>
    <w:rsid w:val="006341A8"/>
    <w:rsid w:val="00634EF3"/>
    <w:rsid w:val="00635B0D"/>
    <w:rsid w:val="00635BFD"/>
    <w:rsid w:val="0063601C"/>
    <w:rsid w:val="00636342"/>
    <w:rsid w:val="006363EE"/>
    <w:rsid w:val="00636B4E"/>
    <w:rsid w:val="006372EA"/>
    <w:rsid w:val="0064047D"/>
    <w:rsid w:val="00640611"/>
    <w:rsid w:val="0064089A"/>
    <w:rsid w:val="00640D76"/>
    <w:rsid w:val="00641136"/>
    <w:rsid w:val="00642B12"/>
    <w:rsid w:val="00643131"/>
    <w:rsid w:val="0064385B"/>
    <w:rsid w:val="006446BF"/>
    <w:rsid w:val="00644A36"/>
    <w:rsid w:val="00645414"/>
    <w:rsid w:val="0064550F"/>
    <w:rsid w:val="006457CF"/>
    <w:rsid w:val="00645F05"/>
    <w:rsid w:val="0064664C"/>
    <w:rsid w:val="0064671E"/>
    <w:rsid w:val="00646C27"/>
    <w:rsid w:val="00647434"/>
    <w:rsid w:val="006475E2"/>
    <w:rsid w:val="006478F3"/>
    <w:rsid w:val="00647BD3"/>
    <w:rsid w:val="00647C25"/>
    <w:rsid w:val="00650C8D"/>
    <w:rsid w:val="00651077"/>
    <w:rsid w:val="00651430"/>
    <w:rsid w:val="00651B1E"/>
    <w:rsid w:val="00651CF0"/>
    <w:rsid w:val="00651D46"/>
    <w:rsid w:val="00651FC4"/>
    <w:rsid w:val="00652B38"/>
    <w:rsid w:val="00652BE7"/>
    <w:rsid w:val="00653A27"/>
    <w:rsid w:val="00653B9C"/>
    <w:rsid w:val="00653EB0"/>
    <w:rsid w:val="0065442C"/>
    <w:rsid w:val="0065487A"/>
    <w:rsid w:val="00654D47"/>
    <w:rsid w:val="006552A1"/>
    <w:rsid w:val="0065535A"/>
    <w:rsid w:val="00655742"/>
    <w:rsid w:val="00655CB1"/>
    <w:rsid w:val="00655CC8"/>
    <w:rsid w:val="0065614A"/>
    <w:rsid w:val="00656419"/>
    <w:rsid w:val="00656C2D"/>
    <w:rsid w:val="00656D12"/>
    <w:rsid w:val="00656D15"/>
    <w:rsid w:val="0065701A"/>
    <w:rsid w:val="006570FC"/>
    <w:rsid w:val="006600AE"/>
    <w:rsid w:val="006608E5"/>
    <w:rsid w:val="0066097E"/>
    <w:rsid w:val="00660B68"/>
    <w:rsid w:val="00660DAC"/>
    <w:rsid w:val="00661347"/>
    <w:rsid w:val="0066203C"/>
    <w:rsid w:val="0066216A"/>
    <w:rsid w:val="00662ADA"/>
    <w:rsid w:val="00662E30"/>
    <w:rsid w:val="00663386"/>
    <w:rsid w:val="00663AA0"/>
    <w:rsid w:val="00663D21"/>
    <w:rsid w:val="00664822"/>
    <w:rsid w:val="00664B08"/>
    <w:rsid w:val="00665113"/>
    <w:rsid w:val="00665117"/>
    <w:rsid w:val="00665F17"/>
    <w:rsid w:val="0066688F"/>
    <w:rsid w:val="00666F25"/>
    <w:rsid w:val="0066720E"/>
    <w:rsid w:val="006672A6"/>
    <w:rsid w:val="006702C5"/>
    <w:rsid w:val="0067031D"/>
    <w:rsid w:val="00670A62"/>
    <w:rsid w:val="00670CEC"/>
    <w:rsid w:val="00671287"/>
    <w:rsid w:val="0067150F"/>
    <w:rsid w:val="006715EF"/>
    <w:rsid w:val="00671856"/>
    <w:rsid w:val="00671894"/>
    <w:rsid w:val="00671A94"/>
    <w:rsid w:val="00671B09"/>
    <w:rsid w:val="00673124"/>
    <w:rsid w:val="00673EF5"/>
    <w:rsid w:val="006750B2"/>
    <w:rsid w:val="00675180"/>
    <w:rsid w:val="00675802"/>
    <w:rsid w:val="00675BBD"/>
    <w:rsid w:val="00676247"/>
    <w:rsid w:val="00676495"/>
    <w:rsid w:val="006764AB"/>
    <w:rsid w:val="0067683E"/>
    <w:rsid w:val="0067719D"/>
    <w:rsid w:val="006777C4"/>
    <w:rsid w:val="00680618"/>
    <w:rsid w:val="00680670"/>
    <w:rsid w:val="00681990"/>
    <w:rsid w:val="00681F76"/>
    <w:rsid w:val="006823F7"/>
    <w:rsid w:val="00683B2A"/>
    <w:rsid w:val="00684146"/>
    <w:rsid w:val="006845D7"/>
    <w:rsid w:val="00684671"/>
    <w:rsid w:val="006855B3"/>
    <w:rsid w:val="006861F6"/>
    <w:rsid w:val="00686850"/>
    <w:rsid w:val="006873A6"/>
    <w:rsid w:val="0068767F"/>
    <w:rsid w:val="00687DD1"/>
    <w:rsid w:val="00690474"/>
    <w:rsid w:val="006917B7"/>
    <w:rsid w:val="00691B58"/>
    <w:rsid w:val="00691E6D"/>
    <w:rsid w:val="00691FBA"/>
    <w:rsid w:val="006923FC"/>
    <w:rsid w:val="0069277E"/>
    <w:rsid w:val="006929CB"/>
    <w:rsid w:val="00692F3A"/>
    <w:rsid w:val="00693CE1"/>
    <w:rsid w:val="0069461D"/>
    <w:rsid w:val="0069465B"/>
    <w:rsid w:val="00695647"/>
    <w:rsid w:val="006956CC"/>
    <w:rsid w:val="0069578A"/>
    <w:rsid w:val="006957CF"/>
    <w:rsid w:val="0069580D"/>
    <w:rsid w:val="00695833"/>
    <w:rsid w:val="006961EA"/>
    <w:rsid w:val="006965C5"/>
    <w:rsid w:val="006965F1"/>
    <w:rsid w:val="00696985"/>
    <w:rsid w:val="00696B42"/>
    <w:rsid w:val="00696E27"/>
    <w:rsid w:val="00696FB3"/>
    <w:rsid w:val="0069780E"/>
    <w:rsid w:val="00697929"/>
    <w:rsid w:val="00697B18"/>
    <w:rsid w:val="00697F86"/>
    <w:rsid w:val="006A0017"/>
    <w:rsid w:val="006A0132"/>
    <w:rsid w:val="006A04B8"/>
    <w:rsid w:val="006A0A12"/>
    <w:rsid w:val="006A1137"/>
    <w:rsid w:val="006A15AD"/>
    <w:rsid w:val="006A1B21"/>
    <w:rsid w:val="006A1ECF"/>
    <w:rsid w:val="006A2118"/>
    <w:rsid w:val="006A253A"/>
    <w:rsid w:val="006A2E5E"/>
    <w:rsid w:val="006A313B"/>
    <w:rsid w:val="006A3239"/>
    <w:rsid w:val="006A39CB"/>
    <w:rsid w:val="006A429B"/>
    <w:rsid w:val="006A439F"/>
    <w:rsid w:val="006A4BD6"/>
    <w:rsid w:val="006A4BDE"/>
    <w:rsid w:val="006A4C21"/>
    <w:rsid w:val="006A4DF9"/>
    <w:rsid w:val="006A527F"/>
    <w:rsid w:val="006A5392"/>
    <w:rsid w:val="006A560B"/>
    <w:rsid w:val="006A5E79"/>
    <w:rsid w:val="006A6702"/>
    <w:rsid w:val="006A6BC0"/>
    <w:rsid w:val="006A6D83"/>
    <w:rsid w:val="006A731F"/>
    <w:rsid w:val="006A754C"/>
    <w:rsid w:val="006A79D5"/>
    <w:rsid w:val="006A7CFE"/>
    <w:rsid w:val="006A7EDE"/>
    <w:rsid w:val="006B0029"/>
    <w:rsid w:val="006B0146"/>
    <w:rsid w:val="006B07EB"/>
    <w:rsid w:val="006B0881"/>
    <w:rsid w:val="006B0E11"/>
    <w:rsid w:val="006B1CAA"/>
    <w:rsid w:val="006B1D58"/>
    <w:rsid w:val="006B1FD6"/>
    <w:rsid w:val="006B2606"/>
    <w:rsid w:val="006B26C7"/>
    <w:rsid w:val="006B3055"/>
    <w:rsid w:val="006B30F2"/>
    <w:rsid w:val="006B3CF6"/>
    <w:rsid w:val="006B3E01"/>
    <w:rsid w:val="006B3F78"/>
    <w:rsid w:val="006B4106"/>
    <w:rsid w:val="006B42AA"/>
    <w:rsid w:val="006B4BEE"/>
    <w:rsid w:val="006B4E32"/>
    <w:rsid w:val="006B6701"/>
    <w:rsid w:val="006B733F"/>
    <w:rsid w:val="006B7990"/>
    <w:rsid w:val="006B7D61"/>
    <w:rsid w:val="006C060C"/>
    <w:rsid w:val="006C1660"/>
    <w:rsid w:val="006C17FB"/>
    <w:rsid w:val="006C1C5F"/>
    <w:rsid w:val="006C27E4"/>
    <w:rsid w:val="006C27FD"/>
    <w:rsid w:val="006C2E05"/>
    <w:rsid w:val="006C30E9"/>
    <w:rsid w:val="006C30F3"/>
    <w:rsid w:val="006C38D7"/>
    <w:rsid w:val="006C392C"/>
    <w:rsid w:val="006C39B4"/>
    <w:rsid w:val="006C3F27"/>
    <w:rsid w:val="006C402F"/>
    <w:rsid w:val="006C4155"/>
    <w:rsid w:val="006C482D"/>
    <w:rsid w:val="006C4BA4"/>
    <w:rsid w:val="006C5DCF"/>
    <w:rsid w:val="006C5E80"/>
    <w:rsid w:val="006C5F60"/>
    <w:rsid w:val="006C65FC"/>
    <w:rsid w:val="006C6E78"/>
    <w:rsid w:val="006C7155"/>
    <w:rsid w:val="006C7C74"/>
    <w:rsid w:val="006C7F1A"/>
    <w:rsid w:val="006D0015"/>
    <w:rsid w:val="006D0129"/>
    <w:rsid w:val="006D052C"/>
    <w:rsid w:val="006D105B"/>
    <w:rsid w:val="006D124D"/>
    <w:rsid w:val="006D1809"/>
    <w:rsid w:val="006D2242"/>
    <w:rsid w:val="006D2385"/>
    <w:rsid w:val="006D26C6"/>
    <w:rsid w:val="006D31A1"/>
    <w:rsid w:val="006D33F5"/>
    <w:rsid w:val="006D3573"/>
    <w:rsid w:val="006D37A9"/>
    <w:rsid w:val="006D424D"/>
    <w:rsid w:val="006D4360"/>
    <w:rsid w:val="006D48B9"/>
    <w:rsid w:val="006D4945"/>
    <w:rsid w:val="006D49DC"/>
    <w:rsid w:val="006D4DA3"/>
    <w:rsid w:val="006D4E69"/>
    <w:rsid w:val="006D5166"/>
    <w:rsid w:val="006D5412"/>
    <w:rsid w:val="006D55A3"/>
    <w:rsid w:val="006D56C1"/>
    <w:rsid w:val="006D591F"/>
    <w:rsid w:val="006D6274"/>
    <w:rsid w:val="006D6D2C"/>
    <w:rsid w:val="006D733B"/>
    <w:rsid w:val="006D736A"/>
    <w:rsid w:val="006D75A8"/>
    <w:rsid w:val="006E0418"/>
    <w:rsid w:val="006E0588"/>
    <w:rsid w:val="006E05E0"/>
    <w:rsid w:val="006E0DAB"/>
    <w:rsid w:val="006E0FD3"/>
    <w:rsid w:val="006E14DF"/>
    <w:rsid w:val="006E197F"/>
    <w:rsid w:val="006E1DF4"/>
    <w:rsid w:val="006E21BA"/>
    <w:rsid w:val="006E24FF"/>
    <w:rsid w:val="006E28C5"/>
    <w:rsid w:val="006E2923"/>
    <w:rsid w:val="006E2DE6"/>
    <w:rsid w:val="006E3C4D"/>
    <w:rsid w:val="006E465F"/>
    <w:rsid w:val="006E5298"/>
    <w:rsid w:val="006E5748"/>
    <w:rsid w:val="006E5C00"/>
    <w:rsid w:val="006E5C83"/>
    <w:rsid w:val="006E5F1D"/>
    <w:rsid w:val="006E5F88"/>
    <w:rsid w:val="006E60CF"/>
    <w:rsid w:val="006E6167"/>
    <w:rsid w:val="006E69DB"/>
    <w:rsid w:val="006E6BC9"/>
    <w:rsid w:val="006E6FAF"/>
    <w:rsid w:val="006E73F1"/>
    <w:rsid w:val="006F0987"/>
    <w:rsid w:val="006F0EB8"/>
    <w:rsid w:val="006F1B50"/>
    <w:rsid w:val="006F1DA5"/>
    <w:rsid w:val="006F2A44"/>
    <w:rsid w:val="006F2A74"/>
    <w:rsid w:val="006F2AED"/>
    <w:rsid w:val="006F2B3E"/>
    <w:rsid w:val="006F2B78"/>
    <w:rsid w:val="006F2CDF"/>
    <w:rsid w:val="006F357D"/>
    <w:rsid w:val="006F358F"/>
    <w:rsid w:val="006F3607"/>
    <w:rsid w:val="006F3769"/>
    <w:rsid w:val="006F37B2"/>
    <w:rsid w:val="006F462C"/>
    <w:rsid w:val="006F4DBF"/>
    <w:rsid w:val="006F4DF4"/>
    <w:rsid w:val="006F509A"/>
    <w:rsid w:val="006F5514"/>
    <w:rsid w:val="006F5A38"/>
    <w:rsid w:val="006F5A61"/>
    <w:rsid w:val="006F6816"/>
    <w:rsid w:val="006F69B9"/>
    <w:rsid w:val="006F6E60"/>
    <w:rsid w:val="006F7709"/>
    <w:rsid w:val="006F7B32"/>
    <w:rsid w:val="006F7B8A"/>
    <w:rsid w:val="00700380"/>
    <w:rsid w:val="0070065E"/>
    <w:rsid w:val="00700D8E"/>
    <w:rsid w:val="007016AC"/>
    <w:rsid w:val="00701AAA"/>
    <w:rsid w:val="00702FC1"/>
    <w:rsid w:val="007031A3"/>
    <w:rsid w:val="007037BF"/>
    <w:rsid w:val="00703CBF"/>
    <w:rsid w:val="00704246"/>
    <w:rsid w:val="007045DE"/>
    <w:rsid w:val="00704969"/>
    <w:rsid w:val="00704A33"/>
    <w:rsid w:val="007053FE"/>
    <w:rsid w:val="00705450"/>
    <w:rsid w:val="007058E1"/>
    <w:rsid w:val="00705AEF"/>
    <w:rsid w:val="00705DEE"/>
    <w:rsid w:val="00705E5C"/>
    <w:rsid w:val="00706363"/>
    <w:rsid w:val="0070717A"/>
    <w:rsid w:val="00707634"/>
    <w:rsid w:val="007076A0"/>
    <w:rsid w:val="007078B9"/>
    <w:rsid w:val="00707E6D"/>
    <w:rsid w:val="007108C9"/>
    <w:rsid w:val="007109AE"/>
    <w:rsid w:val="00711413"/>
    <w:rsid w:val="0071161B"/>
    <w:rsid w:val="0071177C"/>
    <w:rsid w:val="007119F4"/>
    <w:rsid w:val="007121FA"/>
    <w:rsid w:val="0071267A"/>
    <w:rsid w:val="007128D1"/>
    <w:rsid w:val="00712CAC"/>
    <w:rsid w:val="00713A8C"/>
    <w:rsid w:val="007140AC"/>
    <w:rsid w:val="007140C9"/>
    <w:rsid w:val="00715828"/>
    <w:rsid w:val="0071586B"/>
    <w:rsid w:val="00715E18"/>
    <w:rsid w:val="00716268"/>
    <w:rsid w:val="00716557"/>
    <w:rsid w:val="00716B37"/>
    <w:rsid w:val="007170DE"/>
    <w:rsid w:val="0071749C"/>
    <w:rsid w:val="00717565"/>
    <w:rsid w:val="00720072"/>
    <w:rsid w:val="00720308"/>
    <w:rsid w:val="007204B2"/>
    <w:rsid w:val="0072095A"/>
    <w:rsid w:val="007210A4"/>
    <w:rsid w:val="007210D7"/>
    <w:rsid w:val="007212EA"/>
    <w:rsid w:val="00721333"/>
    <w:rsid w:val="00722435"/>
    <w:rsid w:val="0072245D"/>
    <w:rsid w:val="00722578"/>
    <w:rsid w:val="007226D3"/>
    <w:rsid w:val="00722CDC"/>
    <w:rsid w:val="00722DD3"/>
    <w:rsid w:val="007234DF"/>
    <w:rsid w:val="00724059"/>
    <w:rsid w:val="007246D7"/>
    <w:rsid w:val="00724D7A"/>
    <w:rsid w:val="00725103"/>
    <w:rsid w:val="007255E0"/>
    <w:rsid w:val="00725943"/>
    <w:rsid w:val="00726897"/>
    <w:rsid w:val="00726CC9"/>
    <w:rsid w:val="007278A7"/>
    <w:rsid w:val="00727AF7"/>
    <w:rsid w:val="0073010E"/>
    <w:rsid w:val="007302CE"/>
    <w:rsid w:val="007305D3"/>
    <w:rsid w:val="00730ACD"/>
    <w:rsid w:val="00730F8E"/>
    <w:rsid w:val="00731241"/>
    <w:rsid w:val="00731845"/>
    <w:rsid w:val="00732158"/>
    <w:rsid w:val="00732498"/>
    <w:rsid w:val="0073250F"/>
    <w:rsid w:val="00732648"/>
    <w:rsid w:val="007327F8"/>
    <w:rsid w:val="00732C12"/>
    <w:rsid w:val="00732DB6"/>
    <w:rsid w:val="00732E23"/>
    <w:rsid w:val="0073397F"/>
    <w:rsid w:val="00733D4F"/>
    <w:rsid w:val="00735565"/>
    <w:rsid w:val="007361E9"/>
    <w:rsid w:val="007368F9"/>
    <w:rsid w:val="00736DDA"/>
    <w:rsid w:val="007370BF"/>
    <w:rsid w:val="00737284"/>
    <w:rsid w:val="0073738C"/>
    <w:rsid w:val="00740DC9"/>
    <w:rsid w:val="007410AF"/>
    <w:rsid w:val="00741315"/>
    <w:rsid w:val="00742DE2"/>
    <w:rsid w:val="00742E4C"/>
    <w:rsid w:val="0074342B"/>
    <w:rsid w:val="00743ACD"/>
    <w:rsid w:val="00744009"/>
    <w:rsid w:val="0074433C"/>
    <w:rsid w:val="00744BA8"/>
    <w:rsid w:val="007455A1"/>
    <w:rsid w:val="007465B5"/>
    <w:rsid w:val="00746822"/>
    <w:rsid w:val="00746D09"/>
    <w:rsid w:val="0074768B"/>
    <w:rsid w:val="00750D95"/>
    <w:rsid w:val="00750EFD"/>
    <w:rsid w:val="0075124E"/>
    <w:rsid w:val="00751D3A"/>
    <w:rsid w:val="007526F9"/>
    <w:rsid w:val="007529D4"/>
    <w:rsid w:val="00752B92"/>
    <w:rsid w:val="00753718"/>
    <w:rsid w:val="00753FAA"/>
    <w:rsid w:val="0075439F"/>
    <w:rsid w:val="0075482F"/>
    <w:rsid w:val="00755096"/>
    <w:rsid w:val="00755664"/>
    <w:rsid w:val="00755752"/>
    <w:rsid w:val="00755774"/>
    <w:rsid w:val="0075594D"/>
    <w:rsid w:val="007561EE"/>
    <w:rsid w:val="007566C6"/>
    <w:rsid w:val="007573DE"/>
    <w:rsid w:val="0076030A"/>
    <w:rsid w:val="007603AF"/>
    <w:rsid w:val="0076046A"/>
    <w:rsid w:val="00760D19"/>
    <w:rsid w:val="00761368"/>
    <w:rsid w:val="007614C4"/>
    <w:rsid w:val="00761AE6"/>
    <w:rsid w:val="00761B07"/>
    <w:rsid w:val="00762813"/>
    <w:rsid w:val="00762956"/>
    <w:rsid w:val="007633BE"/>
    <w:rsid w:val="0076370F"/>
    <w:rsid w:val="00763CC9"/>
    <w:rsid w:val="007641B2"/>
    <w:rsid w:val="00764230"/>
    <w:rsid w:val="007646D3"/>
    <w:rsid w:val="00764A5A"/>
    <w:rsid w:val="00764B72"/>
    <w:rsid w:val="0076589C"/>
    <w:rsid w:val="0076634D"/>
    <w:rsid w:val="007666C4"/>
    <w:rsid w:val="0076688F"/>
    <w:rsid w:val="00766B60"/>
    <w:rsid w:val="00766EC0"/>
    <w:rsid w:val="0076724E"/>
    <w:rsid w:val="007676C6"/>
    <w:rsid w:val="00767D90"/>
    <w:rsid w:val="00767DF4"/>
    <w:rsid w:val="00770167"/>
    <w:rsid w:val="00770887"/>
    <w:rsid w:val="00770CFF"/>
    <w:rsid w:val="0077169A"/>
    <w:rsid w:val="00771D65"/>
    <w:rsid w:val="00773CC9"/>
    <w:rsid w:val="00774368"/>
    <w:rsid w:val="00774B19"/>
    <w:rsid w:val="00774BD4"/>
    <w:rsid w:val="00775EFB"/>
    <w:rsid w:val="007762BD"/>
    <w:rsid w:val="00776D55"/>
    <w:rsid w:val="00776EF1"/>
    <w:rsid w:val="00776EF3"/>
    <w:rsid w:val="00777246"/>
    <w:rsid w:val="007776F9"/>
    <w:rsid w:val="0078000A"/>
    <w:rsid w:val="00780087"/>
    <w:rsid w:val="007800E2"/>
    <w:rsid w:val="00780753"/>
    <w:rsid w:val="007807FC"/>
    <w:rsid w:val="00781133"/>
    <w:rsid w:val="007813D1"/>
    <w:rsid w:val="007816E5"/>
    <w:rsid w:val="00781A07"/>
    <w:rsid w:val="0078265E"/>
    <w:rsid w:val="007828E7"/>
    <w:rsid w:val="00782BB1"/>
    <w:rsid w:val="0078338D"/>
    <w:rsid w:val="0078398A"/>
    <w:rsid w:val="00783B06"/>
    <w:rsid w:val="00783FC7"/>
    <w:rsid w:val="007846C8"/>
    <w:rsid w:val="0078508E"/>
    <w:rsid w:val="007858EA"/>
    <w:rsid w:val="00785A7A"/>
    <w:rsid w:val="007909D4"/>
    <w:rsid w:val="00790EDE"/>
    <w:rsid w:val="00791578"/>
    <w:rsid w:val="00791709"/>
    <w:rsid w:val="00791758"/>
    <w:rsid w:val="00791FF0"/>
    <w:rsid w:val="007921B5"/>
    <w:rsid w:val="007922B5"/>
    <w:rsid w:val="00792494"/>
    <w:rsid w:val="0079302F"/>
    <w:rsid w:val="007935D4"/>
    <w:rsid w:val="00793679"/>
    <w:rsid w:val="0079371F"/>
    <w:rsid w:val="007938DC"/>
    <w:rsid w:val="00793CCF"/>
    <w:rsid w:val="007947B1"/>
    <w:rsid w:val="00794EE9"/>
    <w:rsid w:val="00795BF8"/>
    <w:rsid w:val="00797967"/>
    <w:rsid w:val="007A05D8"/>
    <w:rsid w:val="007A0F63"/>
    <w:rsid w:val="007A0F7B"/>
    <w:rsid w:val="007A1531"/>
    <w:rsid w:val="007A1A5E"/>
    <w:rsid w:val="007A1BFA"/>
    <w:rsid w:val="007A1CCA"/>
    <w:rsid w:val="007A222C"/>
    <w:rsid w:val="007A2576"/>
    <w:rsid w:val="007A28BC"/>
    <w:rsid w:val="007A2B7E"/>
    <w:rsid w:val="007A2B91"/>
    <w:rsid w:val="007A3642"/>
    <w:rsid w:val="007A3AE7"/>
    <w:rsid w:val="007A3BCB"/>
    <w:rsid w:val="007A3EB3"/>
    <w:rsid w:val="007A3FAB"/>
    <w:rsid w:val="007A4241"/>
    <w:rsid w:val="007A44F7"/>
    <w:rsid w:val="007A4791"/>
    <w:rsid w:val="007A4D55"/>
    <w:rsid w:val="007A53CF"/>
    <w:rsid w:val="007A5A1F"/>
    <w:rsid w:val="007A7602"/>
    <w:rsid w:val="007B02BF"/>
    <w:rsid w:val="007B07A7"/>
    <w:rsid w:val="007B0C1B"/>
    <w:rsid w:val="007B2103"/>
    <w:rsid w:val="007B220A"/>
    <w:rsid w:val="007B26DE"/>
    <w:rsid w:val="007B2B3C"/>
    <w:rsid w:val="007B3CFE"/>
    <w:rsid w:val="007B40C6"/>
    <w:rsid w:val="007B439B"/>
    <w:rsid w:val="007B4A20"/>
    <w:rsid w:val="007B4C64"/>
    <w:rsid w:val="007B571C"/>
    <w:rsid w:val="007B5A14"/>
    <w:rsid w:val="007B7035"/>
    <w:rsid w:val="007B75B2"/>
    <w:rsid w:val="007B7660"/>
    <w:rsid w:val="007B78B0"/>
    <w:rsid w:val="007B7E7A"/>
    <w:rsid w:val="007C0520"/>
    <w:rsid w:val="007C0B24"/>
    <w:rsid w:val="007C1399"/>
    <w:rsid w:val="007C167C"/>
    <w:rsid w:val="007C1849"/>
    <w:rsid w:val="007C1A3A"/>
    <w:rsid w:val="007C1C7A"/>
    <w:rsid w:val="007C1E49"/>
    <w:rsid w:val="007C2433"/>
    <w:rsid w:val="007C27AC"/>
    <w:rsid w:val="007C2829"/>
    <w:rsid w:val="007C2AF1"/>
    <w:rsid w:val="007C2C67"/>
    <w:rsid w:val="007C40CE"/>
    <w:rsid w:val="007C46EE"/>
    <w:rsid w:val="007C49A7"/>
    <w:rsid w:val="007C4F0E"/>
    <w:rsid w:val="007C4F1D"/>
    <w:rsid w:val="007C5158"/>
    <w:rsid w:val="007C5C4C"/>
    <w:rsid w:val="007C5D06"/>
    <w:rsid w:val="007C6040"/>
    <w:rsid w:val="007C6177"/>
    <w:rsid w:val="007C6BE0"/>
    <w:rsid w:val="007C76FC"/>
    <w:rsid w:val="007C777C"/>
    <w:rsid w:val="007C7B79"/>
    <w:rsid w:val="007C7ED5"/>
    <w:rsid w:val="007D00E7"/>
    <w:rsid w:val="007D019B"/>
    <w:rsid w:val="007D0219"/>
    <w:rsid w:val="007D0879"/>
    <w:rsid w:val="007D093F"/>
    <w:rsid w:val="007D0CB3"/>
    <w:rsid w:val="007D1430"/>
    <w:rsid w:val="007D1C8A"/>
    <w:rsid w:val="007D1E0F"/>
    <w:rsid w:val="007D2167"/>
    <w:rsid w:val="007D2BB2"/>
    <w:rsid w:val="007D344D"/>
    <w:rsid w:val="007D3E25"/>
    <w:rsid w:val="007D3F41"/>
    <w:rsid w:val="007D46B8"/>
    <w:rsid w:val="007D474A"/>
    <w:rsid w:val="007D4D63"/>
    <w:rsid w:val="007D5085"/>
    <w:rsid w:val="007D634B"/>
    <w:rsid w:val="007D6775"/>
    <w:rsid w:val="007D6A1C"/>
    <w:rsid w:val="007D6C91"/>
    <w:rsid w:val="007D6D6C"/>
    <w:rsid w:val="007D7440"/>
    <w:rsid w:val="007E0087"/>
    <w:rsid w:val="007E0742"/>
    <w:rsid w:val="007E0D93"/>
    <w:rsid w:val="007E105C"/>
    <w:rsid w:val="007E12BD"/>
    <w:rsid w:val="007E19C2"/>
    <w:rsid w:val="007E1C0E"/>
    <w:rsid w:val="007E2ACA"/>
    <w:rsid w:val="007E2E6A"/>
    <w:rsid w:val="007E32F7"/>
    <w:rsid w:val="007E3385"/>
    <w:rsid w:val="007E3891"/>
    <w:rsid w:val="007E3A03"/>
    <w:rsid w:val="007E4BE9"/>
    <w:rsid w:val="007E51C4"/>
    <w:rsid w:val="007E556E"/>
    <w:rsid w:val="007E58FD"/>
    <w:rsid w:val="007E5BFD"/>
    <w:rsid w:val="007E5ECC"/>
    <w:rsid w:val="007E60EF"/>
    <w:rsid w:val="007E611D"/>
    <w:rsid w:val="007E62C3"/>
    <w:rsid w:val="007E67FD"/>
    <w:rsid w:val="007E68A0"/>
    <w:rsid w:val="007E6A16"/>
    <w:rsid w:val="007E6B20"/>
    <w:rsid w:val="007E6E39"/>
    <w:rsid w:val="007E70E4"/>
    <w:rsid w:val="007E7383"/>
    <w:rsid w:val="007E7494"/>
    <w:rsid w:val="007E7665"/>
    <w:rsid w:val="007E7C37"/>
    <w:rsid w:val="007E7D89"/>
    <w:rsid w:val="007E7D99"/>
    <w:rsid w:val="007F00EA"/>
    <w:rsid w:val="007F092C"/>
    <w:rsid w:val="007F0971"/>
    <w:rsid w:val="007F1094"/>
    <w:rsid w:val="007F1312"/>
    <w:rsid w:val="007F1473"/>
    <w:rsid w:val="007F14F3"/>
    <w:rsid w:val="007F1728"/>
    <w:rsid w:val="007F1A84"/>
    <w:rsid w:val="007F2F48"/>
    <w:rsid w:val="007F384D"/>
    <w:rsid w:val="007F4189"/>
    <w:rsid w:val="007F428F"/>
    <w:rsid w:val="007F5C8D"/>
    <w:rsid w:val="007F608A"/>
    <w:rsid w:val="007F65E7"/>
    <w:rsid w:val="007F696C"/>
    <w:rsid w:val="007F72E6"/>
    <w:rsid w:val="007F784F"/>
    <w:rsid w:val="007F788A"/>
    <w:rsid w:val="007F7D24"/>
    <w:rsid w:val="007F7EDF"/>
    <w:rsid w:val="008001A1"/>
    <w:rsid w:val="008003D7"/>
    <w:rsid w:val="00800D2A"/>
    <w:rsid w:val="008011CE"/>
    <w:rsid w:val="00801955"/>
    <w:rsid w:val="00801A23"/>
    <w:rsid w:val="00801A36"/>
    <w:rsid w:val="008028CA"/>
    <w:rsid w:val="00802CD2"/>
    <w:rsid w:val="00803000"/>
    <w:rsid w:val="008031C6"/>
    <w:rsid w:val="00803F86"/>
    <w:rsid w:val="008046C8"/>
    <w:rsid w:val="0080488C"/>
    <w:rsid w:val="00804AA5"/>
    <w:rsid w:val="00804D58"/>
    <w:rsid w:val="008058C3"/>
    <w:rsid w:val="0080591A"/>
    <w:rsid w:val="00806063"/>
    <w:rsid w:val="00806415"/>
    <w:rsid w:val="008066CB"/>
    <w:rsid w:val="00806B19"/>
    <w:rsid w:val="00806B98"/>
    <w:rsid w:val="00806BC1"/>
    <w:rsid w:val="00806BE5"/>
    <w:rsid w:val="00807D9E"/>
    <w:rsid w:val="00810688"/>
    <w:rsid w:val="00810750"/>
    <w:rsid w:val="00810A7F"/>
    <w:rsid w:val="00810B4B"/>
    <w:rsid w:val="008113BE"/>
    <w:rsid w:val="00811414"/>
    <w:rsid w:val="00811C74"/>
    <w:rsid w:val="00811FF8"/>
    <w:rsid w:val="008133E4"/>
    <w:rsid w:val="008142D1"/>
    <w:rsid w:val="00814BD6"/>
    <w:rsid w:val="0081510F"/>
    <w:rsid w:val="00815B1E"/>
    <w:rsid w:val="00815C30"/>
    <w:rsid w:val="00815DBB"/>
    <w:rsid w:val="00815DC4"/>
    <w:rsid w:val="00817838"/>
    <w:rsid w:val="00817B3E"/>
    <w:rsid w:val="00817DE2"/>
    <w:rsid w:val="008201D3"/>
    <w:rsid w:val="008206D3"/>
    <w:rsid w:val="008211FE"/>
    <w:rsid w:val="00821911"/>
    <w:rsid w:val="0082285C"/>
    <w:rsid w:val="00822901"/>
    <w:rsid w:val="00823529"/>
    <w:rsid w:val="0082382A"/>
    <w:rsid w:val="008238F8"/>
    <w:rsid w:val="008238FA"/>
    <w:rsid w:val="00823DB9"/>
    <w:rsid w:val="00823F8E"/>
    <w:rsid w:val="00824538"/>
    <w:rsid w:val="008247EA"/>
    <w:rsid w:val="00824E54"/>
    <w:rsid w:val="00824F7F"/>
    <w:rsid w:val="0082562E"/>
    <w:rsid w:val="00825E2E"/>
    <w:rsid w:val="008260F4"/>
    <w:rsid w:val="0082615A"/>
    <w:rsid w:val="0082699F"/>
    <w:rsid w:val="00826C05"/>
    <w:rsid w:val="00827A3A"/>
    <w:rsid w:val="00827D6F"/>
    <w:rsid w:val="00827E7C"/>
    <w:rsid w:val="008300A9"/>
    <w:rsid w:val="0083023A"/>
    <w:rsid w:val="008303A6"/>
    <w:rsid w:val="00830682"/>
    <w:rsid w:val="00830779"/>
    <w:rsid w:val="00830B89"/>
    <w:rsid w:val="0083102F"/>
    <w:rsid w:val="008318FD"/>
    <w:rsid w:val="008319F7"/>
    <w:rsid w:val="008328B8"/>
    <w:rsid w:val="00832B46"/>
    <w:rsid w:val="00832C11"/>
    <w:rsid w:val="008332AB"/>
    <w:rsid w:val="00833832"/>
    <w:rsid w:val="00833B15"/>
    <w:rsid w:val="0083426C"/>
    <w:rsid w:val="008347E3"/>
    <w:rsid w:val="0083558D"/>
    <w:rsid w:val="0083566E"/>
    <w:rsid w:val="008364D6"/>
    <w:rsid w:val="00836935"/>
    <w:rsid w:val="00836D39"/>
    <w:rsid w:val="008376D0"/>
    <w:rsid w:val="0083785A"/>
    <w:rsid w:val="00837AAC"/>
    <w:rsid w:val="00837E95"/>
    <w:rsid w:val="0084014B"/>
    <w:rsid w:val="00840D47"/>
    <w:rsid w:val="00841D71"/>
    <w:rsid w:val="00842129"/>
    <w:rsid w:val="008438F3"/>
    <w:rsid w:val="008439DB"/>
    <w:rsid w:val="00844484"/>
    <w:rsid w:val="00844495"/>
    <w:rsid w:val="008445F4"/>
    <w:rsid w:val="00844961"/>
    <w:rsid w:val="00844FFF"/>
    <w:rsid w:val="008450C8"/>
    <w:rsid w:val="0084534B"/>
    <w:rsid w:val="00845A16"/>
    <w:rsid w:val="00846085"/>
    <w:rsid w:val="008463CC"/>
    <w:rsid w:val="00846512"/>
    <w:rsid w:val="00846CA4"/>
    <w:rsid w:val="00846FCE"/>
    <w:rsid w:val="008475E9"/>
    <w:rsid w:val="008479EC"/>
    <w:rsid w:val="00847A54"/>
    <w:rsid w:val="00847B96"/>
    <w:rsid w:val="008500A7"/>
    <w:rsid w:val="0085010E"/>
    <w:rsid w:val="00850D06"/>
    <w:rsid w:val="00850FD0"/>
    <w:rsid w:val="00851872"/>
    <w:rsid w:val="00853EFE"/>
    <w:rsid w:val="0085417C"/>
    <w:rsid w:val="00855074"/>
    <w:rsid w:val="00855132"/>
    <w:rsid w:val="00856361"/>
    <w:rsid w:val="008569B7"/>
    <w:rsid w:val="00856D47"/>
    <w:rsid w:val="00860138"/>
    <w:rsid w:val="008603FE"/>
    <w:rsid w:val="00860413"/>
    <w:rsid w:val="00860444"/>
    <w:rsid w:val="00860E15"/>
    <w:rsid w:val="00861572"/>
    <w:rsid w:val="008619E3"/>
    <w:rsid w:val="00861DD0"/>
    <w:rsid w:val="0086228E"/>
    <w:rsid w:val="0086228F"/>
    <w:rsid w:val="00862642"/>
    <w:rsid w:val="00862941"/>
    <w:rsid w:val="00862CA9"/>
    <w:rsid w:val="0086334D"/>
    <w:rsid w:val="008636E2"/>
    <w:rsid w:val="00863727"/>
    <w:rsid w:val="00864002"/>
    <w:rsid w:val="0086451A"/>
    <w:rsid w:val="00864AEE"/>
    <w:rsid w:val="00864E3E"/>
    <w:rsid w:val="008653C9"/>
    <w:rsid w:val="0086620F"/>
    <w:rsid w:val="00866910"/>
    <w:rsid w:val="00866A32"/>
    <w:rsid w:val="00866A42"/>
    <w:rsid w:val="00866D19"/>
    <w:rsid w:val="008670AD"/>
    <w:rsid w:val="00867941"/>
    <w:rsid w:val="00871978"/>
    <w:rsid w:val="00871A73"/>
    <w:rsid w:val="00871C2B"/>
    <w:rsid w:val="00872D6B"/>
    <w:rsid w:val="00873672"/>
    <w:rsid w:val="00873A3A"/>
    <w:rsid w:val="00873BDE"/>
    <w:rsid w:val="00873D6F"/>
    <w:rsid w:val="00873FD2"/>
    <w:rsid w:val="00874D0F"/>
    <w:rsid w:val="008750E9"/>
    <w:rsid w:val="0087527F"/>
    <w:rsid w:val="00875CB6"/>
    <w:rsid w:val="00875F41"/>
    <w:rsid w:val="008766AB"/>
    <w:rsid w:val="00876FBB"/>
    <w:rsid w:val="008778A1"/>
    <w:rsid w:val="00877FE3"/>
    <w:rsid w:val="008801E5"/>
    <w:rsid w:val="00880D0E"/>
    <w:rsid w:val="008813D9"/>
    <w:rsid w:val="00881462"/>
    <w:rsid w:val="008816A8"/>
    <w:rsid w:val="00881728"/>
    <w:rsid w:val="0088218F"/>
    <w:rsid w:val="00883FE8"/>
    <w:rsid w:val="00884112"/>
    <w:rsid w:val="00884509"/>
    <w:rsid w:val="00884A69"/>
    <w:rsid w:val="00885418"/>
    <w:rsid w:val="008858E5"/>
    <w:rsid w:val="00885A2E"/>
    <w:rsid w:val="00885AA5"/>
    <w:rsid w:val="008860A0"/>
    <w:rsid w:val="008867D6"/>
    <w:rsid w:val="008867F9"/>
    <w:rsid w:val="00886B4D"/>
    <w:rsid w:val="008875FE"/>
    <w:rsid w:val="00887767"/>
    <w:rsid w:val="00887B9F"/>
    <w:rsid w:val="00890540"/>
    <w:rsid w:val="00890669"/>
    <w:rsid w:val="008912AA"/>
    <w:rsid w:val="0089141F"/>
    <w:rsid w:val="00891512"/>
    <w:rsid w:val="008916A7"/>
    <w:rsid w:val="008917E9"/>
    <w:rsid w:val="00891A3E"/>
    <w:rsid w:val="00892A35"/>
    <w:rsid w:val="00892B5A"/>
    <w:rsid w:val="00892B61"/>
    <w:rsid w:val="008933DF"/>
    <w:rsid w:val="00893717"/>
    <w:rsid w:val="00893A52"/>
    <w:rsid w:val="00893C54"/>
    <w:rsid w:val="00893E83"/>
    <w:rsid w:val="00893E87"/>
    <w:rsid w:val="008943D0"/>
    <w:rsid w:val="00894536"/>
    <w:rsid w:val="00894B84"/>
    <w:rsid w:val="00895ACA"/>
    <w:rsid w:val="00895CE8"/>
    <w:rsid w:val="00895D52"/>
    <w:rsid w:val="00895FB8"/>
    <w:rsid w:val="00896093"/>
    <w:rsid w:val="008965F2"/>
    <w:rsid w:val="00896F9E"/>
    <w:rsid w:val="008973DB"/>
    <w:rsid w:val="008A01ED"/>
    <w:rsid w:val="008A08FC"/>
    <w:rsid w:val="008A0984"/>
    <w:rsid w:val="008A09F9"/>
    <w:rsid w:val="008A0DF6"/>
    <w:rsid w:val="008A0F8D"/>
    <w:rsid w:val="008A1420"/>
    <w:rsid w:val="008A15B4"/>
    <w:rsid w:val="008A1716"/>
    <w:rsid w:val="008A1B57"/>
    <w:rsid w:val="008A1B8D"/>
    <w:rsid w:val="008A1CC6"/>
    <w:rsid w:val="008A23AC"/>
    <w:rsid w:val="008A2744"/>
    <w:rsid w:val="008A2D06"/>
    <w:rsid w:val="008A2EB7"/>
    <w:rsid w:val="008A310B"/>
    <w:rsid w:val="008A37CF"/>
    <w:rsid w:val="008A37D6"/>
    <w:rsid w:val="008A3911"/>
    <w:rsid w:val="008A4C57"/>
    <w:rsid w:val="008A4E4C"/>
    <w:rsid w:val="008A5098"/>
    <w:rsid w:val="008A52B5"/>
    <w:rsid w:val="008A5B61"/>
    <w:rsid w:val="008A5E61"/>
    <w:rsid w:val="008A600A"/>
    <w:rsid w:val="008A6022"/>
    <w:rsid w:val="008A613F"/>
    <w:rsid w:val="008A63A7"/>
    <w:rsid w:val="008A675A"/>
    <w:rsid w:val="008A6B4E"/>
    <w:rsid w:val="008A74CF"/>
    <w:rsid w:val="008A765C"/>
    <w:rsid w:val="008A7A5F"/>
    <w:rsid w:val="008A7C7F"/>
    <w:rsid w:val="008A7ED3"/>
    <w:rsid w:val="008B0085"/>
    <w:rsid w:val="008B067F"/>
    <w:rsid w:val="008B09B7"/>
    <w:rsid w:val="008B1453"/>
    <w:rsid w:val="008B3111"/>
    <w:rsid w:val="008B36E9"/>
    <w:rsid w:val="008B3859"/>
    <w:rsid w:val="008B3F03"/>
    <w:rsid w:val="008B437A"/>
    <w:rsid w:val="008B45D0"/>
    <w:rsid w:val="008B4DD3"/>
    <w:rsid w:val="008B4F31"/>
    <w:rsid w:val="008B5668"/>
    <w:rsid w:val="008B5688"/>
    <w:rsid w:val="008B59D8"/>
    <w:rsid w:val="008B5C8D"/>
    <w:rsid w:val="008B65DE"/>
    <w:rsid w:val="008B6FA5"/>
    <w:rsid w:val="008B7F4B"/>
    <w:rsid w:val="008C02A8"/>
    <w:rsid w:val="008C0867"/>
    <w:rsid w:val="008C10D8"/>
    <w:rsid w:val="008C133D"/>
    <w:rsid w:val="008C1523"/>
    <w:rsid w:val="008C1633"/>
    <w:rsid w:val="008C1892"/>
    <w:rsid w:val="008C1A98"/>
    <w:rsid w:val="008C1B38"/>
    <w:rsid w:val="008C1EB6"/>
    <w:rsid w:val="008C2018"/>
    <w:rsid w:val="008C32AF"/>
    <w:rsid w:val="008C3528"/>
    <w:rsid w:val="008C3D11"/>
    <w:rsid w:val="008C4210"/>
    <w:rsid w:val="008C4300"/>
    <w:rsid w:val="008C51A4"/>
    <w:rsid w:val="008C541B"/>
    <w:rsid w:val="008C5526"/>
    <w:rsid w:val="008C5609"/>
    <w:rsid w:val="008C5A69"/>
    <w:rsid w:val="008C5BE6"/>
    <w:rsid w:val="008C5E72"/>
    <w:rsid w:val="008C6ACF"/>
    <w:rsid w:val="008C6DEF"/>
    <w:rsid w:val="008C73FC"/>
    <w:rsid w:val="008C7549"/>
    <w:rsid w:val="008C7752"/>
    <w:rsid w:val="008D0FB3"/>
    <w:rsid w:val="008D13B4"/>
    <w:rsid w:val="008D1617"/>
    <w:rsid w:val="008D16EC"/>
    <w:rsid w:val="008D1CCF"/>
    <w:rsid w:val="008D1FC5"/>
    <w:rsid w:val="008D2342"/>
    <w:rsid w:val="008D23C3"/>
    <w:rsid w:val="008D3FB5"/>
    <w:rsid w:val="008D405F"/>
    <w:rsid w:val="008D4400"/>
    <w:rsid w:val="008D482D"/>
    <w:rsid w:val="008D4B57"/>
    <w:rsid w:val="008D52B6"/>
    <w:rsid w:val="008D61E6"/>
    <w:rsid w:val="008D6BA2"/>
    <w:rsid w:val="008D71EB"/>
    <w:rsid w:val="008D722A"/>
    <w:rsid w:val="008D7734"/>
    <w:rsid w:val="008D7807"/>
    <w:rsid w:val="008E0139"/>
    <w:rsid w:val="008E0208"/>
    <w:rsid w:val="008E0509"/>
    <w:rsid w:val="008E0806"/>
    <w:rsid w:val="008E09E1"/>
    <w:rsid w:val="008E0ACB"/>
    <w:rsid w:val="008E0F16"/>
    <w:rsid w:val="008E0F25"/>
    <w:rsid w:val="008E1072"/>
    <w:rsid w:val="008E135A"/>
    <w:rsid w:val="008E1376"/>
    <w:rsid w:val="008E2030"/>
    <w:rsid w:val="008E2771"/>
    <w:rsid w:val="008E29BB"/>
    <w:rsid w:val="008E2C73"/>
    <w:rsid w:val="008E2DC8"/>
    <w:rsid w:val="008E3166"/>
    <w:rsid w:val="008E344D"/>
    <w:rsid w:val="008E3516"/>
    <w:rsid w:val="008E4298"/>
    <w:rsid w:val="008E4547"/>
    <w:rsid w:val="008E45AC"/>
    <w:rsid w:val="008E4C3A"/>
    <w:rsid w:val="008E4FA6"/>
    <w:rsid w:val="008E51B2"/>
    <w:rsid w:val="008E5ACF"/>
    <w:rsid w:val="008E6437"/>
    <w:rsid w:val="008E64FF"/>
    <w:rsid w:val="008E6AD8"/>
    <w:rsid w:val="008E73EE"/>
    <w:rsid w:val="008E77B2"/>
    <w:rsid w:val="008E7EE7"/>
    <w:rsid w:val="008E7F66"/>
    <w:rsid w:val="008F150A"/>
    <w:rsid w:val="008F168B"/>
    <w:rsid w:val="008F1730"/>
    <w:rsid w:val="008F1901"/>
    <w:rsid w:val="008F19F1"/>
    <w:rsid w:val="008F22C2"/>
    <w:rsid w:val="008F23B9"/>
    <w:rsid w:val="008F33B5"/>
    <w:rsid w:val="008F33BB"/>
    <w:rsid w:val="008F3648"/>
    <w:rsid w:val="008F3A6D"/>
    <w:rsid w:val="008F3CD7"/>
    <w:rsid w:val="008F4287"/>
    <w:rsid w:val="008F4EF1"/>
    <w:rsid w:val="008F51B3"/>
    <w:rsid w:val="008F5209"/>
    <w:rsid w:val="008F5226"/>
    <w:rsid w:val="008F535E"/>
    <w:rsid w:val="008F5E3D"/>
    <w:rsid w:val="008F5FB9"/>
    <w:rsid w:val="008F6E8B"/>
    <w:rsid w:val="008F6F26"/>
    <w:rsid w:val="008F7ADE"/>
    <w:rsid w:val="009003C9"/>
    <w:rsid w:val="00900AEC"/>
    <w:rsid w:val="00900F1C"/>
    <w:rsid w:val="009011DF"/>
    <w:rsid w:val="00901E9E"/>
    <w:rsid w:val="00901F58"/>
    <w:rsid w:val="009029F7"/>
    <w:rsid w:val="00902CFA"/>
    <w:rsid w:val="00902FB1"/>
    <w:rsid w:val="0090316F"/>
    <w:rsid w:val="00903DE9"/>
    <w:rsid w:val="00904857"/>
    <w:rsid w:val="00905BDC"/>
    <w:rsid w:val="00905FB7"/>
    <w:rsid w:val="009062BC"/>
    <w:rsid w:val="00906703"/>
    <w:rsid w:val="009067E4"/>
    <w:rsid w:val="00906B5E"/>
    <w:rsid w:val="009070EB"/>
    <w:rsid w:val="009071BB"/>
    <w:rsid w:val="00910A5E"/>
    <w:rsid w:val="00910C20"/>
    <w:rsid w:val="00911193"/>
    <w:rsid w:val="009115A2"/>
    <w:rsid w:val="0091174D"/>
    <w:rsid w:val="009119DB"/>
    <w:rsid w:val="00911BC1"/>
    <w:rsid w:val="009127F2"/>
    <w:rsid w:val="0091298B"/>
    <w:rsid w:val="00913A6A"/>
    <w:rsid w:val="009140A9"/>
    <w:rsid w:val="0091494E"/>
    <w:rsid w:val="009156F8"/>
    <w:rsid w:val="009162F3"/>
    <w:rsid w:val="00916304"/>
    <w:rsid w:val="009173FD"/>
    <w:rsid w:val="0091787F"/>
    <w:rsid w:val="0092011D"/>
    <w:rsid w:val="00920152"/>
    <w:rsid w:val="009204FE"/>
    <w:rsid w:val="009207EB"/>
    <w:rsid w:val="00921859"/>
    <w:rsid w:val="00922143"/>
    <w:rsid w:val="00922574"/>
    <w:rsid w:val="00922726"/>
    <w:rsid w:val="00922DF4"/>
    <w:rsid w:val="00922F1C"/>
    <w:rsid w:val="0092313E"/>
    <w:rsid w:val="009238C8"/>
    <w:rsid w:val="00924028"/>
    <w:rsid w:val="0092438D"/>
    <w:rsid w:val="00924722"/>
    <w:rsid w:val="00924933"/>
    <w:rsid w:val="0092499B"/>
    <w:rsid w:val="00925AA3"/>
    <w:rsid w:val="00925E5B"/>
    <w:rsid w:val="00925FB5"/>
    <w:rsid w:val="0092602D"/>
    <w:rsid w:val="009261D1"/>
    <w:rsid w:val="00926267"/>
    <w:rsid w:val="00926416"/>
    <w:rsid w:val="00926540"/>
    <w:rsid w:val="009265C9"/>
    <w:rsid w:val="00926E75"/>
    <w:rsid w:val="009270AC"/>
    <w:rsid w:val="009271ED"/>
    <w:rsid w:val="009276CA"/>
    <w:rsid w:val="0093077E"/>
    <w:rsid w:val="009309DC"/>
    <w:rsid w:val="00930B01"/>
    <w:rsid w:val="00930FA1"/>
    <w:rsid w:val="0093119F"/>
    <w:rsid w:val="00931318"/>
    <w:rsid w:val="00931752"/>
    <w:rsid w:val="00931948"/>
    <w:rsid w:val="009323D2"/>
    <w:rsid w:val="00932882"/>
    <w:rsid w:val="009329DE"/>
    <w:rsid w:val="00933053"/>
    <w:rsid w:val="00933D53"/>
    <w:rsid w:val="009340D6"/>
    <w:rsid w:val="009346A6"/>
    <w:rsid w:val="00935896"/>
    <w:rsid w:val="00935B86"/>
    <w:rsid w:val="00936325"/>
    <w:rsid w:val="0093645E"/>
    <w:rsid w:val="00936CB2"/>
    <w:rsid w:val="009400D8"/>
    <w:rsid w:val="00940DF2"/>
    <w:rsid w:val="00941353"/>
    <w:rsid w:val="0094189F"/>
    <w:rsid w:val="00941B57"/>
    <w:rsid w:val="00942487"/>
    <w:rsid w:val="009429D8"/>
    <w:rsid w:val="00942C2C"/>
    <w:rsid w:val="00942EAB"/>
    <w:rsid w:val="00943651"/>
    <w:rsid w:val="00943739"/>
    <w:rsid w:val="00943E5E"/>
    <w:rsid w:val="0094572F"/>
    <w:rsid w:val="00945A69"/>
    <w:rsid w:val="00945AAB"/>
    <w:rsid w:val="00945BF2"/>
    <w:rsid w:val="00945EBA"/>
    <w:rsid w:val="009460DB"/>
    <w:rsid w:val="00946CD0"/>
    <w:rsid w:val="00950140"/>
    <w:rsid w:val="00950288"/>
    <w:rsid w:val="0095046B"/>
    <w:rsid w:val="00951456"/>
    <w:rsid w:val="00951C12"/>
    <w:rsid w:val="00951D0E"/>
    <w:rsid w:val="00952171"/>
    <w:rsid w:val="009526B9"/>
    <w:rsid w:val="009529D8"/>
    <w:rsid w:val="00952B48"/>
    <w:rsid w:val="00952D8B"/>
    <w:rsid w:val="00953424"/>
    <w:rsid w:val="00953DAE"/>
    <w:rsid w:val="00954230"/>
    <w:rsid w:val="009542A2"/>
    <w:rsid w:val="0095443A"/>
    <w:rsid w:val="009546C4"/>
    <w:rsid w:val="0095485C"/>
    <w:rsid w:val="009548AC"/>
    <w:rsid w:val="00954D39"/>
    <w:rsid w:val="00954E81"/>
    <w:rsid w:val="009557E0"/>
    <w:rsid w:val="009562E0"/>
    <w:rsid w:val="00956E41"/>
    <w:rsid w:val="009572D0"/>
    <w:rsid w:val="00957FF8"/>
    <w:rsid w:val="00960852"/>
    <w:rsid w:val="00960C3E"/>
    <w:rsid w:val="00961C33"/>
    <w:rsid w:val="009628B5"/>
    <w:rsid w:val="00963021"/>
    <w:rsid w:val="0096325E"/>
    <w:rsid w:val="0096352D"/>
    <w:rsid w:val="009636C9"/>
    <w:rsid w:val="0096394E"/>
    <w:rsid w:val="00963C3C"/>
    <w:rsid w:val="00963FA8"/>
    <w:rsid w:val="009642C4"/>
    <w:rsid w:val="00965368"/>
    <w:rsid w:val="00965A13"/>
    <w:rsid w:val="00965CD7"/>
    <w:rsid w:val="00965FBC"/>
    <w:rsid w:val="00966DFD"/>
    <w:rsid w:val="009673BA"/>
    <w:rsid w:val="0096747A"/>
    <w:rsid w:val="009678B7"/>
    <w:rsid w:val="00970665"/>
    <w:rsid w:val="00970731"/>
    <w:rsid w:val="0097085A"/>
    <w:rsid w:val="009708E7"/>
    <w:rsid w:val="009708FD"/>
    <w:rsid w:val="00970DEB"/>
    <w:rsid w:val="00970E47"/>
    <w:rsid w:val="009713E2"/>
    <w:rsid w:val="009714CD"/>
    <w:rsid w:val="009715C7"/>
    <w:rsid w:val="00971AF1"/>
    <w:rsid w:val="00971C3D"/>
    <w:rsid w:val="00972704"/>
    <w:rsid w:val="009727FE"/>
    <w:rsid w:val="0097287F"/>
    <w:rsid w:val="00972A55"/>
    <w:rsid w:val="00972B48"/>
    <w:rsid w:val="00973210"/>
    <w:rsid w:val="00973294"/>
    <w:rsid w:val="0097329E"/>
    <w:rsid w:val="009733AD"/>
    <w:rsid w:val="00973CC0"/>
    <w:rsid w:val="009743FF"/>
    <w:rsid w:val="00974A9D"/>
    <w:rsid w:val="00974AE8"/>
    <w:rsid w:val="00975736"/>
    <w:rsid w:val="00975977"/>
    <w:rsid w:val="009759DB"/>
    <w:rsid w:val="0097671D"/>
    <w:rsid w:val="00976B84"/>
    <w:rsid w:val="00976B8F"/>
    <w:rsid w:val="00976C6B"/>
    <w:rsid w:val="00976D92"/>
    <w:rsid w:val="009777C2"/>
    <w:rsid w:val="0097791B"/>
    <w:rsid w:val="00977943"/>
    <w:rsid w:val="00977DE5"/>
    <w:rsid w:val="00977E34"/>
    <w:rsid w:val="00977F7C"/>
    <w:rsid w:val="00977FF9"/>
    <w:rsid w:val="009808C0"/>
    <w:rsid w:val="00980D32"/>
    <w:rsid w:val="00980E23"/>
    <w:rsid w:val="00981D2C"/>
    <w:rsid w:val="009821CF"/>
    <w:rsid w:val="0098238E"/>
    <w:rsid w:val="00982BB9"/>
    <w:rsid w:val="00983050"/>
    <w:rsid w:val="009837DD"/>
    <w:rsid w:val="00983E1E"/>
    <w:rsid w:val="00984254"/>
    <w:rsid w:val="009846CF"/>
    <w:rsid w:val="00984713"/>
    <w:rsid w:val="00984AD0"/>
    <w:rsid w:val="009858C5"/>
    <w:rsid w:val="00986190"/>
    <w:rsid w:val="009875CD"/>
    <w:rsid w:val="0098761B"/>
    <w:rsid w:val="009877CC"/>
    <w:rsid w:val="00987F49"/>
    <w:rsid w:val="00987F73"/>
    <w:rsid w:val="00987FAD"/>
    <w:rsid w:val="00990908"/>
    <w:rsid w:val="00990945"/>
    <w:rsid w:val="009911B9"/>
    <w:rsid w:val="0099121F"/>
    <w:rsid w:val="00991965"/>
    <w:rsid w:val="009923D3"/>
    <w:rsid w:val="009931C1"/>
    <w:rsid w:val="009945C3"/>
    <w:rsid w:val="00994991"/>
    <w:rsid w:val="00994B31"/>
    <w:rsid w:val="0099534F"/>
    <w:rsid w:val="009959EE"/>
    <w:rsid w:val="00995EE2"/>
    <w:rsid w:val="0099612F"/>
    <w:rsid w:val="00996217"/>
    <w:rsid w:val="009965F9"/>
    <w:rsid w:val="00996A62"/>
    <w:rsid w:val="00997008"/>
    <w:rsid w:val="009971EF"/>
    <w:rsid w:val="00997A7B"/>
    <w:rsid w:val="009A05C0"/>
    <w:rsid w:val="009A0B00"/>
    <w:rsid w:val="009A0D0F"/>
    <w:rsid w:val="009A0D27"/>
    <w:rsid w:val="009A0DD8"/>
    <w:rsid w:val="009A0E7F"/>
    <w:rsid w:val="009A0F08"/>
    <w:rsid w:val="009A14E0"/>
    <w:rsid w:val="009A3356"/>
    <w:rsid w:val="009A352B"/>
    <w:rsid w:val="009A35B0"/>
    <w:rsid w:val="009A3B6A"/>
    <w:rsid w:val="009A416B"/>
    <w:rsid w:val="009A4D97"/>
    <w:rsid w:val="009A521E"/>
    <w:rsid w:val="009A5677"/>
    <w:rsid w:val="009A5C5D"/>
    <w:rsid w:val="009A60E8"/>
    <w:rsid w:val="009A6358"/>
    <w:rsid w:val="009A7982"/>
    <w:rsid w:val="009A7A59"/>
    <w:rsid w:val="009A7CCF"/>
    <w:rsid w:val="009A7DDD"/>
    <w:rsid w:val="009B0172"/>
    <w:rsid w:val="009B0257"/>
    <w:rsid w:val="009B091B"/>
    <w:rsid w:val="009B0BC5"/>
    <w:rsid w:val="009B0D6E"/>
    <w:rsid w:val="009B1002"/>
    <w:rsid w:val="009B1A2C"/>
    <w:rsid w:val="009B1CB8"/>
    <w:rsid w:val="009B2C78"/>
    <w:rsid w:val="009B2CBB"/>
    <w:rsid w:val="009B3C34"/>
    <w:rsid w:val="009B3C53"/>
    <w:rsid w:val="009B3F00"/>
    <w:rsid w:val="009B4308"/>
    <w:rsid w:val="009B470A"/>
    <w:rsid w:val="009B57B0"/>
    <w:rsid w:val="009B5CC8"/>
    <w:rsid w:val="009B5ECF"/>
    <w:rsid w:val="009B6443"/>
    <w:rsid w:val="009B7739"/>
    <w:rsid w:val="009B7A34"/>
    <w:rsid w:val="009B7ADA"/>
    <w:rsid w:val="009B7B0F"/>
    <w:rsid w:val="009B7E1A"/>
    <w:rsid w:val="009C0973"/>
    <w:rsid w:val="009C1143"/>
    <w:rsid w:val="009C17EB"/>
    <w:rsid w:val="009C18F6"/>
    <w:rsid w:val="009C2885"/>
    <w:rsid w:val="009C28FC"/>
    <w:rsid w:val="009C36ED"/>
    <w:rsid w:val="009C3A27"/>
    <w:rsid w:val="009C3A49"/>
    <w:rsid w:val="009C4EBF"/>
    <w:rsid w:val="009C587E"/>
    <w:rsid w:val="009C5A9A"/>
    <w:rsid w:val="009C5CB1"/>
    <w:rsid w:val="009C6148"/>
    <w:rsid w:val="009C62AD"/>
    <w:rsid w:val="009C63EA"/>
    <w:rsid w:val="009C6F29"/>
    <w:rsid w:val="009C73D7"/>
    <w:rsid w:val="009C745F"/>
    <w:rsid w:val="009C7DC2"/>
    <w:rsid w:val="009D0C25"/>
    <w:rsid w:val="009D0E6F"/>
    <w:rsid w:val="009D0FD2"/>
    <w:rsid w:val="009D100E"/>
    <w:rsid w:val="009D1047"/>
    <w:rsid w:val="009D12A3"/>
    <w:rsid w:val="009D1AF3"/>
    <w:rsid w:val="009D219A"/>
    <w:rsid w:val="009D2440"/>
    <w:rsid w:val="009D272E"/>
    <w:rsid w:val="009D2A4D"/>
    <w:rsid w:val="009D2B52"/>
    <w:rsid w:val="009D3081"/>
    <w:rsid w:val="009D39BA"/>
    <w:rsid w:val="009D39C5"/>
    <w:rsid w:val="009D3E61"/>
    <w:rsid w:val="009D4680"/>
    <w:rsid w:val="009D52C5"/>
    <w:rsid w:val="009D5425"/>
    <w:rsid w:val="009D54BF"/>
    <w:rsid w:val="009D5941"/>
    <w:rsid w:val="009D645F"/>
    <w:rsid w:val="009D65A5"/>
    <w:rsid w:val="009D74C6"/>
    <w:rsid w:val="009E06CF"/>
    <w:rsid w:val="009E099D"/>
    <w:rsid w:val="009E0CB3"/>
    <w:rsid w:val="009E0F21"/>
    <w:rsid w:val="009E1019"/>
    <w:rsid w:val="009E1736"/>
    <w:rsid w:val="009E237F"/>
    <w:rsid w:val="009E25E6"/>
    <w:rsid w:val="009E2711"/>
    <w:rsid w:val="009E33AE"/>
    <w:rsid w:val="009E3823"/>
    <w:rsid w:val="009E3ADF"/>
    <w:rsid w:val="009E3B3D"/>
    <w:rsid w:val="009E3CA4"/>
    <w:rsid w:val="009E4049"/>
    <w:rsid w:val="009E41B8"/>
    <w:rsid w:val="009E468B"/>
    <w:rsid w:val="009E4A3E"/>
    <w:rsid w:val="009E4D87"/>
    <w:rsid w:val="009E4F25"/>
    <w:rsid w:val="009E55D6"/>
    <w:rsid w:val="009E5E35"/>
    <w:rsid w:val="009E6550"/>
    <w:rsid w:val="009E6F52"/>
    <w:rsid w:val="009E74B5"/>
    <w:rsid w:val="009E7B41"/>
    <w:rsid w:val="009E7D62"/>
    <w:rsid w:val="009E7DB4"/>
    <w:rsid w:val="009F0518"/>
    <w:rsid w:val="009F0A60"/>
    <w:rsid w:val="009F0BDA"/>
    <w:rsid w:val="009F18CD"/>
    <w:rsid w:val="009F1F1C"/>
    <w:rsid w:val="009F1F86"/>
    <w:rsid w:val="009F269F"/>
    <w:rsid w:val="009F2775"/>
    <w:rsid w:val="009F2945"/>
    <w:rsid w:val="009F2A96"/>
    <w:rsid w:val="009F2ACC"/>
    <w:rsid w:val="009F3A8D"/>
    <w:rsid w:val="009F3AF0"/>
    <w:rsid w:val="009F4661"/>
    <w:rsid w:val="009F511B"/>
    <w:rsid w:val="009F513B"/>
    <w:rsid w:val="009F521B"/>
    <w:rsid w:val="009F5CAB"/>
    <w:rsid w:val="009F60E2"/>
    <w:rsid w:val="009F7523"/>
    <w:rsid w:val="009F769C"/>
    <w:rsid w:val="009F7910"/>
    <w:rsid w:val="009F7BCE"/>
    <w:rsid w:val="009F7D32"/>
    <w:rsid w:val="00A00342"/>
    <w:rsid w:val="00A00655"/>
    <w:rsid w:val="00A00914"/>
    <w:rsid w:val="00A00AC5"/>
    <w:rsid w:val="00A0106A"/>
    <w:rsid w:val="00A013B5"/>
    <w:rsid w:val="00A01C4B"/>
    <w:rsid w:val="00A02B8F"/>
    <w:rsid w:val="00A03265"/>
    <w:rsid w:val="00A03E8A"/>
    <w:rsid w:val="00A04EA4"/>
    <w:rsid w:val="00A05124"/>
    <w:rsid w:val="00A052DC"/>
    <w:rsid w:val="00A05371"/>
    <w:rsid w:val="00A058E2"/>
    <w:rsid w:val="00A07A21"/>
    <w:rsid w:val="00A07DEC"/>
    <w:rsid w:val="00A103ED"/>
    <w:rsid w:val="00A10915"/>
    <w:rsid w:val="00A10D27"/>
    <w:rsid w:val="00A11090"/>
    <w:rsid w:val="00A1124A"/>
    <w:rsid w:val="00A126E7"/>
    <w:rsid w:val="00A12B29"/>
    <w:rsid w:val="00A13182"/>
    <w:rsid w:val="00A132FA"/>
    <w:rsid w:val="00A13F71"/>
    <w:rsid w:val="00A14D31"/>
    <w:rsid w:val="00A15134"/>
    <w:rsid w:val="00A15C46"/>
    <w:rsid w:val="00A160CD"/>
    <w:rsid w:val="00A1635A"/>
    <w:rsid w:val="00A165E2"/>
    <w:rsid w:val="00A1675A"/>
    <w:rsid w:val="00A16FC0"/>
    <w:rsid w:val="00A171FE"/>
    <w:rsid w:val="00A176B3"/>
    <w:rsid w:val="00A177F3"/>
    <w:rsid w:val="00A1782B"/>
    <w:rsid w:val="00A20084"/>
    <w:rsid w:val="00A20705"/>
    <w:rsid w:val="00A20C3D"/>
    <w:rsid w:val="00A21833"/>
    <w:rsid w:val="00A21868"/>
    <w:rsid w:val="00A21B30"/>
    <w:rsid w:val="00A21D39"/>
    <w:rsid w:val="00A2212C"/>
    <w:rsid w:val="00A22A58"/>
    <w:rsid w:val="00A22B3C"/>
    <w:rsid w:val="00A22D8C"/>
    <w:rsid w:val="00A22DEF"/>
    <w:rsid w:val="00A2364E"/>
    <w:rsid w:val="00A23651"/>
    <w:rsid w:val="00A23A8A"/>
    <w:rsid w:val="00A24158"/>
    <w:rsid w:val="00A24161"/>
    <w:rsid w:val="00A2440E"/>
    <w:rsid w:val="00A24806"/>
    <w:rsid w:val="00A24DCD"/>
    <w:rsid w:val="00A24EA2"/>
    <w:rsid w:val="00A25312"/>
    <w:rsid w:val="00A25D04"/>
    <w:rsid w:val="00A260EC"/>
    <w:rsid w:val="00A26185"/>
    <w:rsid w:val="00A267A1"/>
    <w:rsid w:val="00A26D6D"/>
    <w:rsid w:val="00A26F77"/>
    <w:rsid w:val="00A272B2"/>
    <w:rsid w:val="00A27D07"/>
    <w:rsid w:val="00A302EF"/>
    <w:rsid w:val="00A308FD"/>
    <w:rsid w:val="00A31BF6"/>
    <w:rsid w:val="00A31FA4"/>
    <w:rsid w:val="00A32634"/>
    <w:rsid w:val="00A32939"/>
    <w:rsid w:val="00A329C0"/>
    <w:rsid w:val="00A32B42"/>
    <w:rsid w:val="00A32D9F"/>
    <w:rsid w:val="00A3334B"/>
    <w:rsid w:val="00A33926"/>
    <w:rsid w:val="00A33F6D"/>
    <w:rsid w:val="00A341D2"/>
    <w:rsid w:val="00A344F1"/>
    <w:rsid w:val="00A34795"/>
    <w:rsid w:val="00A34839"/>
    <w:rsid w:val="00A34C5C"/>
    <w:rsid w:val="00A350F6"/>
    <w:rsid w:val="00A359CB"/>
    <w:rsid w:val="00A36564"/>
    <w:rsid w:val="00A36DC8"/>
    <w:rsid w:val="00A36E69"/>
    <w:rsid w:val="00A36E84"/>
    <w:rsid w:val="00A3712E"/>
    <w:rsid w:val="00A376DE"/>
    <w:rsid w:val="00A40863"/>
    <w:rsid w:val="00A40D35"/>
    <w:rsid w:val="00A412F6"/>
    <w:rsid w:val="00A41642"/>
    <w:rsid w:val="00A4170D"/>
    <w:rsid w:val="00A42043"/>
    <w:rsid w:val="00A42B7E"/>
    <w:rsid w:val="00A42D43"/>
    <w:rsid w:val="00A4354D"/>
    <w:rsid w:val="00A4365C"/>
    <w:rsid w:val="00A43688"/>
    <w:rsid w:val="00A43911"/>
    <w:rsid w:val="00A43FE5"/>
    <w:rsid w:val="00A44498"/>
    <w:rsid w:val="00A44CC5"/>
    <w:rsid w:val="00A455BD"/>
    <w:rsid w:val="00A45D5F"/>
    <w:rsid w:val="00A46549"/>
    <w:rsid w:val="00A46B31"/>
    <w:rsid w:val="00A46BAD"/>
    <w:rsid w:val="00A46E5D"/>
    <w:rsid w:val="00A46F5D"/>
    <w:rsid w:val="00A474F0"/>
    <w:rsid w:val="00A47F77"/>
    <w:rsid w:val="00A50D53"/>
    <w:rsid w:val="00A51910"/>
    <w:rsid w:val="00A52021"/>
    <w:rsid w:val="00A52572"/>
    <w:rsid w:val="00A525D0"/>
    <w:rsid w:val="00A526F8"/>
    <w:rsid w:val="00A53247"/>
    <w:rsid w:val="00A537BF"/>
    <w:rsid w:val="00A538A6"/>
    <w:rsid w:val="00A53BD0"/>
    <w:rsid w:val="00A54BF8"/>
    <w:rsid w:val="00A5502A"/>
    <w:rsid w:val="00A557A0"/>
    <w:rsid w:val="00A55894"/>
    <w:rsid w:val="00A562DE"/>
    <w:rsid w:val="00A563EE"/>
    <w:rsid w:val="00A56FE2"/>
    <w:rsid w:val="00A577C2"/>
    <w:rsid w:val="00A57C72"/>
    <w:rsid w:val="00A6042A"/>
    <w:rsid w:val="00A6079B"/>
    <w:rsid w:val="00A61E57"/>
    <w:rsid w:val="00A62367"/>
    <w:rsid w:val="00A6242D"/>
    <w:rsid w:val="00A624A5"/>
    <w:rsid w:val="00A62D14"/>
    <w:rsid w:val="00A62D55"/>
    <w:rsid w:val="00A63E62"/>
    <w:rsid w:val="00A63E9D"/>
    <w:rsid w:val="00A645B1"/>
    <w:rsid w:val="00A64C13"/>
    <w:rsid w:val="00A651D5"/>
    <w:rsid w:val="00A65BC9"/>
    <w:rsid w:val="00A66198"/>
    <w:rsid w:val="00A67224"/>
    <w:rsid w:val="00A67271"/>
    <w:rsid w:val="00A67562"/>
    <w:rsid w:val="00A67DF3"/>
    <w:rsid w:val="00A702C2"/>
    <w:rsid w:val="00A702EB"/>
    <w:rsid w:val="00A707B7"/>
    <w:rsid w:val="00A70917"/>
    <w:rsid w:val="00A71912"/>
    <w:rsid w:val="00A7236C"/>
    <w:rsid w:val="00A726BB"/>
    <w:rsid w:val="00A72CCE"/>
    <w:rsid w:val="00A73529"/>
    <w:rsid w:val="00A73DB6"/>
    <w:rsid w:val="00A740DA"/>
    <w:rsid w:val="00A7454B"/>
    <w:rsid w:val="00A75232"/>
    <w:rsid w:val="00A752AE"/>
    <w:rsid w:val="00A752D6"/>
    <w:rsid w:val="00A752F7"/>
    <w:rsid w:val="00A7533F"/>
    <w:rsid w:val="00A7572F"/>
    <w:rsid w:val="00A75ADB"/>
    <w:rsid w:val="00A75CF9"/>
    <w:rsid w:val="00A76328"/>
    <w:rsid w:val="00A769EC"/>
    <w:rsid w:val="00A76FBD"/>
    <w:rsid w:val="00A773BA"/>
    <w:rsid w:val="00A774B7"/>
    <w:rsid w:val="00A77794"/>
    <w:rsid w:val="00A77F74"/>
    <w:rsid w:val="00A80D52"/>
    <w:rsid w:val="00A80F2C"/>
    <w:rsid w:val="00A811F8"/>
    <w:rsid w:val="00A82A2F"/>
    <w:rsid w:val="00A82BD5"/>
    <w:rsid w:val="00A82D07"/>
    <w:rsid w:val="00A82F1D"/>
    <w:rsid w:val="00A840BF"/>
    <w:rsid w:val="00A84414"/>
    <w:rsid w:val="00A84896"/>
    <w:rsid w:val="00A850E7"/>
    <w:rsid w:val="00A85490"/>
    <w:rsid w:val="00A858FB"/>
    <w:rsid w:val="00A8615F"/>
    <w:rsid w:val="00A86362"/>
    <w:rsid w:val="00A86B1F"/>
    <w:rsid w:val="00A86D4B"/>
    <w:rsid w:val="00A87097"/>
    <w:rsid w:val="00A871D2"/>
    <w:rsid w:val="00A874D7"/>
    <w:rsid w:val="00A8776F"/>
    <w:rsid w:val="00A87FB4"/>
    <w:rsid w:val="00A90338"/>
    <w:rsid w:val="00A90772"/>
    <w:rsid w:val="00A91079"/>
    <w:rsid w:val="00A918B9"/>
    <w:rsid w:val="00A921CD"/>
    <w:rsid w:val="00A924F3"/>
    <w:rsid w:val="00A92568"/>
    <w:rsid w:val="00A92752"/>
    <w:rsid w:val="00A939EF"/>
    <w:rsid w:val="00A93A49"/>
    <w:rsid w:val="00A93BB9"/>
    <w:rsid w:val="00A94627"/>
    <w:rsid w:val="00A94768"/>
    <w:rsid w:val="00A94C3A"/>
    <w:rsid w:val="00A956F2"/>
    <w:rsid w:val="00A95BC1"/>
    <w:rsid w:val="00A965C9"/>
    <w:rsid w:val="00A96702"/>
    <w:rsid w:val="00A96AC5"/>
    <w:rsid w:val="00A97395"/>
    <w:rsid w:val="00A9751D"/>
    <w:rsid w:val="00A978BE"/>
    <w:rsid w:val="00A979BA"/>
    <w:rsid w:val="00A97A2C"/>
    <w:rsid w:val="00AA005C"/>
    <w:rsid w:val="00AA029C"/>
    <w:rsid w:val="00AA107F"/>
    <w:rsid w:val="00AA23A6"/>
    <w:rsid w:val="00AA24E8"/>
    <w:rsid w:val="00AA2AF8"/>
    <w:rsid w:val="00AA353B"/>
    <w:rsid w:val="00AA379D"/>
    <w:rsid w:val="00AA390F"/>
    <w:rsid w:val="00AA42DB"/>
    <w:rsid w:val="00AA45A3"/>
    <w:rsid w:val="00AA4B75"/>
    <w:rsid w:val="00AA4D3F"/>
    <w:rsid w:val="00AA4FAA"/>
    <w:rsid w:val="00AA5293"/>
    <w:rsid w:val="00AA536C"/>
    <w:rsid w:val="00AA54A4"/>
    <w:rsid w:val="00AA5688"/>
    <w:rsid w:val="00AA59D9"/>
    <w:rsid w:val="00AA5E3E"/>
    <w:rsid w:val="00AA613E"/>
    <w:rsid w:val="00AA6583"/>
    <w:rsid w:val="00AA6858"/>
    <w:rsid w:val="00AA6AAD"/>
    <w:rsid w:val="00AA6B54"/>
    <w:rsid w:val="00AA6C27"/>
    <w:rsid w:val="00AA763E"/>
    <w:rsid w:val="00AA7833"/>
    <w:rsid w:val="00AA7847"/>
    <w:rsid w:val="00AB0075"/>
    <w:rsid w:val="00AB0467"/>
    <w:rsid w:val="00AB0B8E"/>
    <w:rsid w:val="00AB1BE2"/>
    <w:rsid w:val="00AB2145"/>
    <w:rsid w:val="00AB2C1C"/>
    <w:rsid w:val="00AB3320"/>
    <w:rsid w:val="00AB345B"/>
    <w:rsid w:val="00AB35A7"/>
    <w:rsid w:val="00AB35E4"/>
    <w:rsid w:val="00AB382A"/>
    <w:rsid w:val="00AB3C70"/>
    <w:rsid w:val="00AB42BE"/>
    <w:rsid w:val="00AB466A"/>
    <w:rsid w:val="00AB4AE5"/>
    <w:rsid w:val="00AB5633"/>
    <w:rsid w:val="00AB56BD"/>
    <w:rsid w:val="00AB5F28"/>
    <w:rsid w:val="00AB6099"/>
    <w:rsid w:val="00AB6C57"/>
    <w:rsid w:val="00AB6CF1"/>
    <w:rsid w:val="00AB6E65"/>
    <w:rsid w:val="00AB6FE5"/>
    <w:rsid w:val="00AB7472"/>
    <w:rsid w:val="00AB7897"/>
    <w:rsid w:val="00AC0C41"/>
    <w:rsid w:val="00AC1581"/>
    <w:rsid w:val="00AC1864"/>
    <w:rsid w:val="00AC1E4F"/>
    <w:rsid w:val="00AC2137"/>
    <w:rsid w:val="00AC2293"/>
    <w:rsid w:val="00AC250A"/>
    <w:rsid w:val="00AC28FE"/>
    <w:rsid w:val="00AC3938"/>
    <w:rsid w:val="00AC3960"/>
    <w:rsid w:val="00AC3CC0"/>
    <w:rsid w:val="00AC3FB9"/>
    <w:rsid w:val="00AC41E0"/>
    <w:rsid w:val="00AC4232"/>
    <w:rsid w:val="00AC4531"/>
    <w:rsid w:val="00AC4B15"/>
    <w:rsid w:val="00AC4F20"/>
    <w:rsid w:val="00AC5722"/>
    <w:rsid w:val="00AC65D0"/>
    <w:rsid w:val="00AC7143"/>
    <w:rsid w:val="00AC7330"/>
    <w:rsid w:val="00AC74A5"/>
    <w:rsid w:val="00AC74D8"/>
    <w:rsid w:val="00AC756A"/>
    <w:rsid w:val="00AC7D4E"/>
    <w:rsid w:val="00AC7F77"/>
    <w:rsid w:val="00AD01F4"/>
    <w:rsid w:val="00AD0322"/>
    <w:rsid w:val="00AD05DD"/>
    <w:rsid w:val="00AD09B6"/>
    <w:rsid w:val="00AD0DDC"/>
    <w:rsid w:val="00AD1317"/>
    <w:rsid w:val="00AD1402"/>
    <w:rsid w:val="00AD1E78"/>
    <w:rsid w:val="00AD288B"/>
    <w:rsid w:val="00AD28FB"/>
    <w:rsid w:val="00AD29B1"/>
    <w:rsid w:val="00AD420E"/>
    <w:rsid w:val="00AD4FF3"/>
    <w:rsid w:val="00AD5139"/>
    <w:rsid w:val="00AD51DE"/>
    <w:rsid w:val="00AD521C"/>
    <w:rsid w:val="00AD5316"/>
    <w:rsid w:val="00AD5E81"/>
    <w:rsid w:val="00AD6709"/>
    <w:rsid w:val="00AD690B"/>
    <w:rsid w:val="00AD6CC4"/>
    <w:rsid w:val="00AD7A1B"/>
    <w:rsid w:val="00AD7AF7"/>
    <w:rsid w:val="00AD7E3C"/>
    <w:rsid w:val="00AE0996"/>
    <w:rsid w:val="00AE09AA"/>
    <w:rsid w:val="00AE0A07"/>
    <w:rsid w:val="00AE12B9"/>
    <w:rsid w:val="00AE131F"/>
    <w:rsid w:val="00AE178E"/>
    <w:rsid w:val="00AE1AB7"/>
    <w:rsid w:val="00AE1B69"/>
    <w:rsid w:val="00AE1E52"/>
    <w:rsid w:val="00AE29E4"/>
    <w:rsid w:val="00AE330F"/>
    <w:rsid w:val="00AE3A03"/>
    <w:rsid w:val="00AE4218"/>
    <w:rsid w:val="00AE423D"/>
    <w:rsid w:val="00AE4602"/>
    <w:rsid w:val="00AE4BCA"/>
    <w:rsid w:val="00AE51E9"/>
    <w:rsid w:val="00AE58FB"/>
    <w:rsid w:val="00AE5A5A"/>
    <w:rsid w:val="00AE5ECD"/>
    <w:rsid w:val="00AE62D8"/>
    <w:rsid w:val="00AE6E3C"/>
    <w:rsid w:val="00AE6EA4"/>
    <w:rsid w:val="00AE7292"/>
    <w:rsid w:val="00AE74CD"/>
    <w:rsid w:val="00AE77AF"/>
    <w:rsid w:val="00AE7B12"/>
    <w:rsid w:val="00AE7BBF"/>
    <w:rsid w:val="00AE7CC8"/>
    <w:rsid w:val="00AE7FC3"/>
    <w:rsid w:val="00AF080C"/>
    <w:rsid w:val="00AF0825"/>
    <w:rsid w:val="00AF0FA8"/>
    <w:rsid w:val="00AF104B"/>
    <w:rsid w:val="00AF106E"/>
    <w:rsid w:val="00AF1240"/>
    <w:rsid w:val="00AF12E5"/>
    <w:rsid w:val="00AF1629"/>
    <w:rsid w:val="00AF16E7"/>
    <w:rsid w:val="00AF16F4"/>
    <w:rsid w:val="00AF1AAE"/>
    <w:rsid w:val="00AF1EFB"/>
    <w:rsid w:val="00AF1FFC"/>
    <w:rsid w:val="00AF2D8B"/>
    <w:rsid w:val="00AF349E"/>
    <w:rsid w:val="00AF35D7"/>
    <w:rsid w:val="00AF37E5"/>
    <w:rsid w:val="00AF398B"/>
    <w:rsid w:val="00AF3C4E"/>
    <w:rsid w:val="00AF3C9D"/>
    <w:rsid w:val="00AF43D5"/>
    <w:rsid w:val="00AF4E5D"/>
    <w:rsid w:val="00AF6765"/>
    <w:rsid w:val="00AF6D9E"/>
    <w:rsid w:val="00AF6E4C"/>
    <w:rsid w:val="00AF712B"/>
    <w:rsid w:val="00AF738E"/>
    <w:rsid w:val="00AF743E"/>
    <w:rsid w:val="00AF7B58"/>
    <w:rsid w:val="00B0044A"/>
    <w:rsid w:val="00B00604"/>
    <w:rsid w:val="00B00C80"/>
    <w:rsid w:val="00B00E3A"/>
    <w:rsid w:val="00B00ED3"/>
    <w:rsid w:val="00B011A2"/>
    <w:rsid w:val="00B0153E"/>
    <w:rsid w:val="00B016A0"/>
    <w:rsid w:val="00B017BF"/>
    <w:rsid w:val="00B01B1C"/>
    <w:rsid w:val="00B01B4D"/>
    <w:rsid w:val="00B02489"/>
    <w:rsid w:val="00B02678"/>
    <w:rsid w:val="00B02681"/>
    <w:rsid w:val="00B032EE"/>
    <w:rsid w:val="00B041E7"/>
    <w:rsid w:val="00B04276"/>
    <w:rsid w:val="00B0471F"/>
    <w:rsid w:val="00B04734"/>
    <w:rsid w:val="00B04BA9"/>
    <w:rsid w:val="00B0652D"/>
    <w:rsid w:val="00B06ED4"/>
    <w:rsid w:val="00B074CE"/>
    <w:rsid w:val="00B078EB"/>
    <w:rsid w:val="00B07B42"/>
    <w:rsid w:val="00B07B73"/>
    <w:rsid w:val="00B1020B"/>
    <w:rsid w:val="00B1033A"/>
    <w:rsid w:val="00B103E2"/>
    <w:rsid w:val="00B106F5"/>
    <w:rsid w:val="00B10E57"/>
    <w:rsid w:val="00B1126E"/>
    <w:rsid w:val="00B116D5"/>
    <w:rsid w:val="00B11FD2"/>
    <w:rsid w:val="00B121A4"/>
    <w:rsid w:val="00B1270E"/>
    <w:rsid w:val="00B127A0"/>
    <w:rsid w:val="00B13040"/>
    <w:rsid w:val="00B1387A"/>
    <w:rsid w:val="00B13B56"/>
    <w:rsid w:val="00B13C86"/>
    <w:rsid w:val="00B1405F"/>
    <w:rsid w:val="00B14267"/>
    <w:rsid w:val="00B14593"/>
    <w:rsid w:val="00B149B9"/>
    <w:rsid w:val="00B149C4"/>
    <w:rsid w:val="00B14D25"/>
    <w:rsid w:val="00B15807"/>
    <w:rsid w:val="00B15EDC"/>
    <w:rsid w:val="00B1619D"/>
    <w:rsid w:val="00B162AD"/>
    <w:rsid w:val="00B1671E"/>
    <w:rsid w:val="00B2104D"/>
    <w:rsid w:val="00B21E69"/>
    <w:rsid w:val="00B223BD"/>
    <w:rsid w:val="00B22902"/>
    <w:rsid w:val="00B22DA8"/>
    <w:rsid w:val="00B237EC"/>
    <w:rsid w:val="00B23BC0"/>
    <w:rsid w:val="00B2424C"/>
    <w:rsid w:val="00B2425A"/>
    <w:rsid w:val="00B2431B"/>
    <w:rsid w:val="00B2469D"/>
    <w:rsid w:val="00B24862"/>
    <w:rsid w:val="00B24AEF"/>
    <w:rsid w:val="00B24B44"/>
    <w:rsid w:val="00B250B8"/>
    <w:rsid w:val="00B2530D"/>
    <w:rsid w:val="00B2557A"/>
    <w:rsid w:val="00B25AE8"/>
    <w:rsid w:val="00B25DB2"/>
    <w:rsid w:val="00B26282"/>
    <w:rsid w:val="00B26287"/>
    <w:rsid w:val="00B26358"/>
    <w:rsid w:val="00B2683C"/>
    <w:rsid w:val="00B26CB2"/>
    <w:rsid w:val="00B27A9D"/>
    <w:rsid w:val="00B27BBB"/>
    <w:rsid w:val="00B27BBF"/>
    <w:rsid w:val="00B27DDE"/>
    <w:rsid w:val="00B303EB"/>
    <w:rsid w:val="00B31504"/>
    <w:rsid w:val="00B32CA5"/>
    <w:rsid w:val="00B3316A"/>
    <w:rsid w:val="00B334CC"/>
    <w:rsid w:val="00B342B4"/>
    <w:rsid w:val="00B350EA"/>
    <w:rsid w:val="00B354A1"/>
    <w:rsid w:val="00B35E5B"/>
    <w:rsid w:val="00B371F5"/>
    <w:rsid w:val="00B375A4"/>
    <w:rsid w:val="00B402EE"/>
    <w:rsid w:val="00B40310"/>
    <w:rsid w:val="00B4066F"/>
    <w:rsid w:val="00B40791"/>
    <w:rsid w:val="00B412DB"/>
    <w:rsid w:val="00B41B28"/>
    <w:rsid w:val="00B42120"/>
    <w:rsid w:val="00B42A0B"/>
    <w:rsid w:val="00B4336C"/>
    <w:rsid w:val="00B4342C"/>
    <w:rsid w:val="00B43DD5"/>
    <w:rsid w:val="00B44321"/>
    <w:rsid w:val="00B4438A"/>
    <w:rsid w:val="00B4452B"/>
    <w:rsid w:val="00B44595"/>
    <w:rsid w:val="00B445F6"/>
    <w:rsid w:val="00B446B8"/>
    <w:rsid w:val="00B44B00"/>
    <w:rsid w:val="00B44F20"/>
    <w:rsid w:val="00B454D6"/>
    <w:rsid w:val="00B45F07"/>
    <w:rsid w:val="00B4614B"/>
    <w:rsid w:val="00B464DE"/>
    <w:rsid w:val="00B46611"/>
    <w:rsid w:val="00B466A0"/>
    <w:rsid w:val="00B46968"/>
    <w:rsid w:val="00B4771A"/>
    <w:rsid w:val="00B47B81"/>
    <w:rsid w:val="00B47F65"/>
    <w:rsid w:val="00B502DA"/>
    <w:rsid w:val="00B5031A"/>
    <w:rsid w:val="00B504F9"/>
    <w:rsid w:val="00B50CAE"/>
    <w:rsid w:val="00B50F9A"/>
    <w:rsid w:val="00B5122D"/>
    <w:rsid w:val="00B51260"/>
    <w:rsid w:val="00B51563"/>
    <w:rsid w:val="00B51570"/>
    <w:rsid w:val="00B51ED2"/>
    <w:rsid w:val="00B5256D"/>
    <w:rsid w:val="00B5274F"/>
    <w:rsid w:val="00B530F1"/>
    <w:rsid w:val="00B5445A"/>
    <w:rsid w:val="00B54A7B"/>
    <w:rsid w:val="00B55485"/>
    <w:rsid w:val="00B55648"/>
    <w:rsid w:val="00B55ADB"/>
    <w:rsid w:val="00B56196"/>
    <w:rsid w:val="00B56978"/>
    <w:rsid w:val="00B56E38"/>
    <w:rsid w:val="00B57697"/>
    <w:rsid w:val="00B57DD0"/>
    <w:rsid w:val="00B608CB"/>
    <w:rsid w:val="00B6153F"/>
    <w:rsid w:val="00B62098"/>
    <w:rsid w:val="00B6220F"/>
    <w:rsid w:val="00B6276E"/>
    <w:rsid w:val="00B62936"/>
    <w:rsid w:val="00B6300B"/>
    <w:rsid w:val="00B63BE4"/>
    <w:rsid w:val="00B63EE2"/>
    <w:rsid w:val="00B63F67"/>
    <w:rsid w:val="00B63FD6"/>
    <w:rsid w:val="00B642E4"/>
    <w:rsid w:val="00B64325"/>
    <w:rsid w:val="00B64369"/>
    <w:rsid w:val="00B643F3"/>
    <w:rsid w:val="00B64648"/>
    <w:rsid w:val="00B64F7F"/>
    <w:rsid w:val="00B650B8"/>
    <w:rsid w:val="00B656E2"/>
    <w:rsid w:val="00B65D78"/>
    <w:rsid w:val="00B665D5"/>
    <w:rsid w:val="00B66C3B"/>
    <w:rsid w:val="00B67036"/>
    <w:rsid w:val="00B674DA"/>
    <w:rsid w:val="00B67E9A"/>
    <w:rsid w:val="00B70031"/>
    <w:rsid w:val="00B7035A"/>
    <w:rsid w:val="00B70460"/>
    <w:rsid w:val="00B706F1"/>
    <w:rsid w:val="00B70946"/>
    <w:rsid w:val="00B70AE7"/>
    <w:rsid w:val="00B70EC3"/>
    <w:rsid w:val="00B71719"/>
    <w:rsid w:val="00B71D0A"/>
    <w:rsid w:val="00B7273C"/>
    <w:rsid w:val="00B73114"/>
    <w:rsid w:val="00B732ED"/>
    <w:rsid w:val="00B733BF"/>
    <w:rsid w:val="00B7349F"/>
    <w:rsid w:val="00B73797"/>
    <w:rsid w:val="00B73B82"/>
    <w:rsid w:val="00B74660"/>
    <w:rsid w:val="00B7487C"/>
    <w:rsid w:val="00B74AE6"/>
    <w:rsid w:val="00B75270"/>
    <w:rsid w:val="00B76A43"/>
    <w:rsid w:val="00B76A90"/>
    <w:rsid w:val="00B7747C"/>
    <w:rsid w:val="00B774B1"/>
    <w:rsid w:val="00B7797D"/>
    <w:rsid w:val="00B77F54"/>
    <w:rsid w:val="00B77F5B"/>
    <w:rsid w:val="00B807F0"/>
    <w:rsid w:val="00B80914"/>
    <w:rsid w:val="00B80D28"/>
    <w:rsid w:val="00B812FE"/>
    <w:rsid w:val="00B82C65"/>
    <w:rsid w:val="00B8347D"/>
    <w:rsid w:val="00B834C0"/>
    <w:rsid w:val="00B83BB3"/>
    <w:rsid w:val="00B84BBA"/>
    <w:rsid w:val="00B84CAE"/>
    <w:rsid w:val="00B853F7"/>
    <w:rsid w:val="00B8557F"/>
    <w:rsid w:val="00B85DA1"/>
    <w:rsid w:val="00B85E98"/>
    <w:rsid w:val="00B873DD"/>
    <w:rsid w:val="00B901BC"/>
    <w:rsid w:val="00B90399"/>
    <w:rsid w:val="00B90A40"/>
    <w:rsid w:val="00B91628"/>
    <w:rsid w:val="00B916AF"/>
    <w:rsid w:val="00B916D3"/>
    <w:rsid w:val="00B916F8"/>
    <w:rsid w:val="00B91A02"/>
    <w:rsid w:val="00B91B9B"/>
    <w:rsid w:val="00B91F40"/>
    <w:rsid w:val="00B94149"/>
    <w:rsid w:val="00B943AA"/>
    <w:rsid w:val="00B94FE8"/>
    <w:rsid w:val="00B951C7"/>
    <w:rsid w:val="00B95474"/>
    <w:rsid w:val="00B95589"/>
    <w:rsid w:val="00B95B71"/>
    <w:rsid w:val="00B963F1"/>
    <w:rsid w:val="00B96695"/>
    <w:rsid w:val="00BA0180"/>
    <w:rsid w:val="00BA0635"/>
    <w:rsid w:val="00BA0BEF"/>
    <w:rsid w:val="00BA0D23"/>
    <w:rsid w:val="00BA1074"/>
    <w:rsid w:val="00BA1C8F"/>
    <w:rsid w:val="00BA1DD4"/>
    <w:rsid w:val="00BA28ED"/>
    <w:rsid w:val="00BA297D"/>
    <w:rsid w:val="00BA2C5E"/>
    <w:rsid w:val="00BA3237"/>
    <w:rsid w:val="00BA3D43"/>
    <w:rsid w:val="00BA4356"/>
    <w:rsid w:val="00BA4CEA"/>
    <w:rsid w:val="00BA4EA8"/>
    <w:rsid w:val="00BA52B4"/>
    <w:rsid w:val="00BA5B14"/>
    <w:rsid w:val="00BA5CC3"/>
    <w:rsid w:val="00BA7264"/>
    <w:rsid w:val="00BA7364"/>
    <w:rsid w:val="00BA7730"/>
    <w:rsid w:val="00BA7A48"/>
    <w:rsid w:val="00BA7F2E"/>
    <w:rsid w:val="00BB05DE"/>
    <w:rsid w:val="00BB08B6"/>
    <w:rsid w:val="00BB0FD6"/>
    <w:rsid w:val="00BB1177"/>
    <w:rsid w:val="00BB11CF"/>
    <w:rsid w:val="00BB1E9E"/>
    <w:rsid w:val="00BB222D"/>
    <w:rsid w:val="00BB29A4"/>
    <w:rsid w:val="00BB375A"/>
    <w:rsid w:val="00BB4901"/>
    <w:rsid w:val="00BB50F4"/>
    <w:rsid w:val="00BB5327"/>
    <w:rsid w:val="00BB536A"/>
    <w:rsid w:val="00BB5A39"/>
    <w:rsid w:val="00BB5F77"/>
    <w:rsid w:val="00BB6B7E"/>
    <w:rsid w:val="00BB6C95"/>
    <w:rsid w:val="00BB7047"/>
    <w:rsid w:val="00BB70F3"/>
    <w:rsid w:val="00BB76E0"/>
    <w:rsid w:val="00BC070D"/>
    <w:rsid w:val="00BC08C0"/>
    <w:rsid w:val="00BC0C56"/>
    <w:rsid w:val="00BC0F88"/>
    <w:rsid w:val="00BC12F4"/>
    <w:rsid w:val="00BC168B"/>
    <w:rsid w:val="00BC1A1B"/>
    <w:rsid w:val="00BC22C4"/>
    <w:rsid w:val="00BC2739"/>
    <w:rsid w:val="00BC28BD"/>
    <w:rsid w:val="00BC2946"/>
    <w:rsid w:val="00BC2C12"/>
    <w:rsid w:val="00BC2F41"/>
    <w:rsid w:val="00BC3230"/>
    <w:rsid w:val="00BC36B3"/>
    <w:rsid w:val="00BC3D9E"/>
    <w:rsid w:val="00BC4556"/>
    <w:rsid w:val="00BC45ED"/>
    <w:rsid w:val="00BC4763"/>
    <w:rsid w:val="00BC54D2"/>
    <w:rsid w:val="00BC560F"/>
    <w:rsid w:val="00BC5E73"/>
    <w:rsid w:val="00BC5ED9"/>
    <w:rsid w:val="00BC6351"/>
    <w:rsid w:val="00BC6436"/>
    <w:rsid w:val="00BC646C"/>
    <w:rsid w:val="00BC6670"/>
    <w:rsid w:val="00BC672B"/>
    <w:rsid w:val="00BC6796"/>
    <w:rsid w:val="00BC680A"/>
    <w:rsid w:val="00BC69F1"/>
    <w:rsid w:val="00BC6A84"/>
    <w:rsid w:val="00BC6E62"/>
    <w:rsid w:val="00BC72C8"/>
    <w:rsid w:val="00BD00F2"/>
    <w:rsid w:val="00BD0741"/>
    <w:rsid w:val="00BD0835"/>
    <w:rsid w:val="00BD0FB5"/>
    <w:rsid w:val="00BD1079"/>
    <w:rsid w:val="00BD1A25"/>
    <w:rsid w:val="00BD27FF"/>
    <w:rsid w:val="00BD283D"/>
    <w:rsid w:val="00BD28FB"/>
    <w:rsid w:val="00BD35DE"/>
    <w:rsid w:val="00BD4976"/>
    <w:rsid w:val="00BD4C30"/>
    <w:rsid w:val="00BD4C9F"/>
    <w:rsid w:val="00BD5172"/>
    <w:rsid w:val="00BD5281"/>
    <w:rsid w:val="00BD6A21"/>
    <w:rsid w:val="00BD6D7F"/>
    <w:rsid w:val="00BD7808"/>
    <w:rsid w:val="00BD7B3D"/>
    <w:rsid w:val="00BD7E61"/>
    <w:rsid w:val="00BE0287"/>
    <w:rsid w:val="00BE03B3"/>
    <w:rsid w:val="00BE06FE"/>
    <w:rsid w:val="00BE0B70"/>
    <w:rsid w:val="00BE1232"/>
    <w:rsid w:val="00BE1420"/>
    <w:rsid w:val="00BE1460"/>
    <w:rsid w:val="00BE14AE"/>
    <w:rsid w:val="00BE1EAB"/>
    <w:rsid w:val="00BE1F38"/>
    <w:rsid w:val="00BE2406"/>
    <w:rsid w:val="00BE2BEC"/>
    <w:rsid w:val="00BE2D48"/>
    <w:rsid w:val="00BE2E48"/>
    <w:rsid w:val="00BE328C"/>
    <w:rsid w:val="00BE37D7"/>
    <w:rsid w:val="00BE38B8"/>
    <w:rsid w:val="00BE3BD2"/>
    <w:rsid w:val="00BE42D3"/>
    <w:rsid w:val="00BE45EF"/>
    <w:rsid w:val="00BE49C5"/>
    <w:rsid w:val="00BE4A50"/>
    <w:rsid w:val="00BE5671"/>
    <w:rsid w:val="00BF007B"/>
    <w:rsid w:val="00BF0361"/>
    <w:rsid w:val="00BF0378"/>
    <w:rsid w:val="00BF05CC"/>
    <w:rsid w:val="00BF0A32"/>
    <w:rsid w:val="00BF0A5C"/>
    <w:rsid w:val="00BF1373"/>
    <w:rsid w:val="00BF14FE"/>
    <w:rsid w:val="00BF1680"/>
    <w:rsid w:val="00BF1C49"/>
    <w:rsid w:val="00BF2141"/>
    <w:rsid w:val="00BF2196"/>
    <w:rsid w:val="00BF24F5"/>
    <w:rsid w:val="00BF257D"/>
    <w:rsid w:val="00BF292E"/>
    <w:rsid w:val="00BF33BE"/>
    <w:rsid w:val="00BF34A1"/>
    <w:rsid w:val="00BF39AA"/>
    <w:rsid w:val="00BF46AC"/>
    <w:rsid w:val="00BF4735"/>
    <w:rsid w:val="00BF4C2E"/>
    <w:rsid w:val="00BF54A6"/>
    <w:rsid w:val="00BF551A"/>
    <w:rsid w:val="00BF57F9"/>
    <w:rsid w:val="00BF6CAB"/>
    <w:rsid w:val="00C001C3"/>
    <w:rsid w:val="00C00F1E"/>
    <w:rsid w:val="00C01C32"/>
    <w:rsid w:val="00C01DF7"/>
    <w:rsid w:val="00C025A9"/>
    <w:rsid w:val="00C025FF"/>
    <w:rsid w:val="00C0271A"/>
    <w:rsid w:val="00C02ACD"/>
    <w:rsid w:val="00C031FD"/>
    <w:rsid w:val="00C03CFA"/>
    <w:rsid w:val="00C03D63"/>
    <w:rsid w:val="00C0433D"/>
    <w:rsid w:val="00C04356"/>
    <w:rsid w:val="00C04603"/>
    <w:rsid w:val="00C04920"/>
    <w:rsid w:val="00C04BF9"/>
    <w:rsid w:val="00C05844"/>
    <w:rsid w:val="00C05BFC"/>
    <w:rsid w:val="00C05CD8"/>
    <w:rsid w:val="00C062C7"/>
    <w:rsid w:val="00C06AD5"/>
    <w:rsid w:val="00C06F0D"/>
    <w:rsid w:val="00C07344"/>
    <w:rsid w:val="00C07B63"/>
    <w:rsid w:val="00C07B7F"/>
    <w:rsid w:val="00C07E9E"/>
    <w:rsid w:val="00C10245"/>
    <w:rsid w:val="00C104EF"/>
    <w:rsid w:val="00C111D0"/>
    <w:rsid w:val="00C1183F"/>
    <w:rsid w:val="00C11D29"/>
    <w:rsid w:val="00C11EE2"/>
    <w:rsid w:val="00C1216A"/>
    <w:rsid w:val="00C127AD"/>
    <w:rsid w:val="00C12B24"/>
    <w:rsid w:val="00C12CC2"/>
    <w:rsid w:val="00C138C0"/>
    <w:rsid w:val="00C1474F"/>
    <w:rsid w:val="00C152C8"/>
    <w:rsid w:val="00C1546E"/>
    <w:rsid w:val="00C15818"/>
    <w:rsid w:val="00C15826"/>
    <w:rsid w:val="00C158DF"/>
    <w:rsid w:val="00C15978"/>
    <w:rsid w:val="00C15BC0"/>
    <w:rsid w:val="00C1606F"/>
    <w:rsid w:val="00C16798"/>
    <w:rsid w:val="00C16935"/>
    <w:rsid w:val="00C16D18"/>
    <w:rsid w:val="00C171F6"/>
    <w:rsid w:val="00C1720E"/>
    <w:rsid w:val="00C17466"/>
    <w:rsid w:val="00C1747A"/>
    <w:rsid w:val="00C20545"/>
    <w:rsid w:val="00C20E94"/>
    <w:rsid w:val="00C20ECA"/>
    <w:rsid w:val="00C210D1"/>
    <w:rsid w:val="00C21231"/>
    <w:rsid w:val="00C21AD6"/>
    <w:rsid w:val="00C21D6B"/>
    <w:rsid w:val="00C21E01"/>
    <w:rsid w:val="00C22F8C"/>
    <w:rsid w:val="00C238C2"/>
    <w:rsid w:val="00C23969"/>
    <w:rsid w:val="00C2400F"/>
    <w:rsid w:val="00C243CD"/>
    <w:rsid w:val="00C25252"/>
    <w:rsid w:val="00C25DD0"/>
    <w:rsid w:val="00C2601E"/>
    <w:rsid w:val="00C26043"/>
    <w:rsid w:val="00C2673C"/>
    <w:rsid w:val="00C269FF"/>
    <w:rsid w:val="00C26AC2"/>
    <w:rsid w:val="00C26DE0"/>
    <w:rsid w:val="00C26FC0"/>
    <w:rsid w:val="00C27010"/>
    <w:rsid w:val="00C27AE8"/>
    <w:rsid w:val="00C27BD4"/>
    <w:rsid w:val="00C27D08"/>
    <w:rsid w:val="00C3022B"/>
    <w:rsid w:val="00C30361"/>
    <w:rsid w:val="00C303F3"/>
    <w:rsid w:val="00C30B2B"/>
    <w:rsid w:val="00C30D76"/>
    <w:rsid w:val="00C30DA2"/>
    <w:rsid w:val="00C30DFC"/>
    <w:rsid w:val="00C30EE3"/>
    <w:rsid w:val="00C31A33"/>
    <w:rsid w:val="00C32556"/>
    <w:rsid w:val="00C328AB"/>
    <w:rsid w:val="00C32CD1"/>
    <w:rsid w:val="00C334CF"/>
    <w:rsid w:val="00C34269"/>
    <w:rsid w:val="00C345BB"/>
    <w:rsid w:val="00C363C6"/>
    <w:rsid w:val="00C36E99"/>
    <w:rsid w:val="00C36EFA"/>
    <w:rsid w:val="00C37065"/>
    <w:rsid w:val="00C371A5"/>
    <w:rsid w:val="00C37428"/>
    <w:rsid w:val="00C37542"/>
    <w:rsid w:val="00C376A1"/>
    <w:rsid w:val="00C37D9F"/>
    <w:rsid w:val="00C37DBC"/>
    <w:rsid w:val="00C405F1"/>
    <w:rsid w:val="00C406D9"/>
    <w:rsid w:val="00C407AC"/>
    <w:rsid w:val="00C4087D"/>
    <w:rsid w:val="00C40CCF"/>
    <w:rsid w:val="00C40CD3"/>
    <w:rsid w:val="00C40F85"/>
    <w:rsid w:val="00C41834"/>
    <w:rsid w:val="00C41839"/>
    <w:rsid w:val="00C41A65"/>
    <w:rsid w:val="00C422CC"/>
    <w:rsid w:val="00C42A5B"/>
    <w:rsid w:val="00C42AAC"/>
    <w:rsid w:val="00C434DC"/>
    <w:rsid w:val="00C443D8"/>
    <w:rsid w:val="00C44FDD"/>
    <w:rsid w:val="00C4539E"/>
    <w:rsid w:val="00C45746"/>
    <w:rsid w:val="00C463F3"/>
    <w:rsid w:val="00C46D09"/>
    <w:rsid w:val="00C4730B"/>
    <w:rsid w:val="00C47313"/>
    <w:rsid w:val="00C47BEA"/>
    <w:rsid w:val="00C47E46"/>
    <w:rsid w:val="00C502D1"/>
    <w:rsid w:val="00C50585"/>
    <w:rsid w:val="00C50785"/>
    <w:rsid w:val="00C512F5"/>
    <w:rsid w:val="00C5137C"/>
    <w:rsid w:val="00C51608"/>
    <w:rsid w:val="00C51964"/>
    <w:rsid w:val="00C51D00"/>
    <w:rsid w:val="00C51D23"/>
    <w:rsid w:val="00C51DEF"/>
    <w:rsid w:val="00C52EAA"/>
    <w:rsid w:val="00C533A5"/>
    <w:rsid w:val="00C546C3"/>
    <w:rsid w:val="00C549B1"/>
    <w:rsid w:val="00C54B17"/>
    <w:rsid w:val="00C54B19"/>
    <w:rsid w:val="00C54B24"/>
    <w:rsid w:val="00C55363"/>
    <w:rsid w:val="00C55737"/>
    <w:rsid w:val="00C55A59"/>
    <w:rsid w:val="00C55FAE"/>
    <w:rsid w:val="00C5603C"/>
    <w:rsid w:val="00C5689A"/>
    <w:rsid w:val="00C5707C"/>
    <w:rsid w:val="00C5765B"/>
    <w:rsid w:val="00C5788B"/>
    <w:rsid w:val="00C57BB3"/>
    <w:rsid w:val="00C57F2F"/>
    <w:rsid w:val="00C600CE"/>
    <w:rsid w:val="00C6055A"/>
    <w:rsid w:val="00C60973"/>
    <w:rsid w:val="00C60A94"/>
    <w:rsid w:val="00C60B19"/>
    <w:rsid w:val="00C60FC4"/>
    <w:rsid w:val="00C61450"/>
    <w:rsid w:val="00C6196D"/>
    <w:rsid w:val="00C61AF2"/>
    <w:rsid w:val="00C62244"/>
    <w:rsid w:val="00C6262D"/>
    <w:rsid w:val="00C63087"/>
    <w:rsid w:val="00C633F9"/>
    <w:rsid w:val="00C635C5"/>
    <w:rsid w:val="00C63884"/>
    <w:rsid w:val="00C63AC4"/>
    <w:rsid w:val="00C64536"/>
    <w:rsid w:val="00C64752"/>
    <w:rsid w:val="00C64ACF"/>
    <w:rsid w:val="00C64B0E"/>
    <w:rsid w:val="00C64C08"/>
    <w:rsid w:val="00C64C8F"/>
    <w:rsid w:val="00C65205"/>
    <w:rsid w:val="00C65D91"/>
    <w:rsid w:val="00C662D0"/>
    <w:rsid w:val="00C664E3"/>
    <w:rsid w:val="00C66A00"/>
    <w:rsid w:val="00C66FFF"/>
    <w:rsid w:val="00C67A9A"/>
    <w:rsid w:val="00C67F70"/>
    <w:rsid w:val="00C67F73"/>
    <w:rsid w:val="00C700DA"/>
    <w:rsid w:val="00C70515"/>
    <w:rsid w:val="00C70614"/>
    <w:rsid w:val="00C70E97"/>
    <w:rsid w:val="00C711A0"/>
    <w:rsid w:val="00C714AA"/>
    <w:rsid w:val="00C71EB5"/>
    <w:rsid w:val="00C71F7B"/>
    <w:rsid w:val="00C71F7E"/>
    <w:rsid w:val="00C7293B"/>
    <w:rsid w:val="00C73331"/>
    <w:rsid w:val="00C73A02"/>
    <w:rsid w:val="00C73FC2"/>
    <w:rsid w:val="00C74385"/>
    <w:rsid w:val="00C74A1E"/>
    <w:rsid w:val="00C74BDC"/>
    <w:rsid w:val="00C74EED"/>
    <w:rsid w:val="00C754F7"/>
    <w:rsid w:val="00C75761"/>
    <w:rsid w:val="00C75BAC"/>
    <w:rsid w:val="00C75D21"/>
    <w:rsid w:val="00C75D76"/>
    <w:rsid w:val="00C76B98"/>
    <w:rsid w:val="00C76E89"/>
    <w:rsid w:val="00C77127"/>
    <w:rsid w:val="00C77343"/>
    <w:rsid w:val="00C775F1"/>
    <w:rsid w:val="00C80AAF"/>
    <w:rsid w:val="00C81D4A"/>
    <w:rsid w:val="00C82C63"/>
    <w:rsid w:val="00C82CFA"/>
    <w:rsid w:val="00C837BF"/>
    <w:rsid w:val="00C83C65"/>
    <w:rsid w:val="00C8430F"/>
    <w:rsid w:val="00C846A6"/>
    <w:rsid w:val="00C84725"/>
    <w:rsid w:val="00C848CA"/>
    <w:rsid w:val="00C84A69"/>
    <w:rsid w:val="00C84FC0"/>
    <w:rsid w:val="00C852D1"/>
    <w:rsid w:val="00C856E3"/>
    <w:rsid w:val="00C85B9D"/>
    <w:rsid w:val="00C85CA7"/>
    <w:rsid w:val="00C85EC8"/>
    <w:rsid w:val="00C864D8"/>
    <w:rsid w:val="00C86AF1"/>
    <w:rsid w:val="00C90932"/>
    <w:rsid w:val="00C90EC6"/>
    <w:rsid w:val="00C9166C"/>
    <w:rsid w:val="00C91D20"/>
    <w:rsid w:val="00C9252A"/>
    <w:rsid w:val="00C9252D"/>
    <w:rsid w:val="00C933E3"/>
    <w:rsid w:val="00C93773"/>
    <w:rsid w:val="00C93B22"/>
    <w:rsid w:val="00C93F0A"/>
    <w:rsid w:val="00C94423"/>
    <w:rsid w:val="00C9472C"/>
    <w:rsid w:val="00C947AF"/>
    <w:rsid w:val="00C94C19"/>
    <w:rsid w:val="00C9550C"/>
    <w:rsid w:val="00C956C9"/>
    <w:rsid w:val="00C964D3"/>
    <w:rsid w:val="00C96A66"/>
    <w:rsid w:val="00C96EB3"/>
    <w:rsid w:val="00C97152"/>
    <w:rsid w:val="00C972FB"/>
    <w:rsid w:val="00CA015C"/>
    <w:rsid w:val="00CA0BEC"/>
    <w:rsid w:val="00CA1528"/>
    <w:rsid w:val="00CA18A9"/>
    <w:rsid w:val="00CA1E06"/>
    <w:rsid w:val="00CA2195"/>
    <w:rsid w:val="00CA2273"/>
    <w:rsid w:val="00CA230A"/>
    <w:rsid w:val="00CA2AD2"/>
    <w:rsid w:val="00CA30C9"/>
    <w:rsid w:val="00CA3386"/>
    <w:rsid w:val="00CA35D1"/>
    <w:rsid w:val="00CA3C9E"/>
    <w:rsid w:val="00CA4677"/>
    <w:rsid w:val="00CA54C0"/>
    <w:rsid w:val="00CA56ED"/>
    <w:rsid w:val="00CA581B"/>
    <w:rsid w:val="00CA5A23"/>
    <w:rsid w:val="00CA6BC4"/>
    <w:rsid w:val="00CA6BDB"/>
    <w:rsid w:val="00CA6D3D"/>
    <w:rsid w:val="00CA6FF6"/>
    <w:rsid w:val="00CA72FC"/>
    <w:rsid w:val="00CA7CE9"/>
    <w:rsid w:val="00CB07DB"/>
    <w:rsid w:val="00CB0DEE"/>
    <w:rsid w:val="00CB0E39"/>
    <w:rsid w:val="00CB0FD9"/>
    <w:rsid w:val="00CB108C"/>
    <w:rsid w:val="00CB1849"/>
    <w:rsid w:val="00CB2212"/>
    <w:rsid w:val="00CB22B8"/>
    <w:rsid w:val="00CB2370"/>
    <w:rsid w:val="00CB25F7"/>
    <w:rsid w:val="00CB2878"/>
    <w:rsid w:val="00CB2D6B"/>
    <w:rsid w:val="00CB2F13"/>
    <w:rsid w:val="00CB32B9"/>
    <w:rsid w:val="00CB39E2"/>
    <w:rsid w:val="00CB3B94"/>
    <w:rsid w:val="00CB456B"/>
    <w:rsid w:val="00CB5296"/>
    <w:rsid w:val="00CB576F"/>
    <w:rsid w:val="00CB57FF"/>
    <w:rsid w:val="00CB5848"/>
    <w:rsid w:val="00CB5D2C"/>
    <w:rsid w:val="00CB5FD4"/>
    <w:rsid w:val="00CB63C6"/>
    <w:rsid w:val="00CB6857"/>
    <w:rsid w:val="00CB745A"/>
    <w:rsid w:val="00CB7885"/>
    <w:rsid w:val="00CB7C8E"/>
    <w:rsid w:val="00CC0A0D"/>
    <w:rsid w:val="00CC14A5"/>
    <w:rsid w:val="00CC1550"/>
    <w:rsid w:val="00CC15E1"/>
    <w:rsid w:val="00CC1896"/>
    <w:rsid w:val="00CC1CD8"/>
    <w:rsid w:val="00CC1D81"/>
    <w:rsid w:val="00CC1EB8"/>
    <w:rsid w:val="00CC208C"/>
    <w:rsid w:val="00CC20E3"/>
    <w:rsid w:val="00CC2324"/>
    <w:rsid w:val="00CC241F"/>
    <w:rsid w:val="00CC2822"/>
    <w:rsid w:val="00CC2B72"/>
    <w:rsid w:val="00CC2EB0"/>
    <w:rsid w:val="00CC302F"/>
    <w:rsid w:val="00CC34E0"/>
    <w:rsid w:val="00CC3AFD"/>
    <w:rsid w:val="00CC434C"/>
    <w:rsid w:val="00CC4E04"/>
    <w:rsid w:val="00CC5136"/>
    <w:rsid w:val="00CC5960"/>
    <w:rsid w:val="00CC6004"/>
    <w:rsid w:val="00CC614C"/>
    <w:rsid w:val="00CC69F1"/>
    <w:rsid w:val="00CC6BB6"/>
    <w:rsid w:val="00CC6C0F"/>
    <w:rsid w:val="00CC6DFE"/>
    <w:rsid w:val="00CC70B1"/>
    <w:rsid w:val="00CC729B"/>
    <w:rsid w:val="00CC73CC"/>
    <w:rsid w:val="00CD0105"/>
    <w:rsid w:val="00CD0EFA"/>
    <w:rsid w:val="00CD11E1"/>
    <w:rsid w:val="00CD11FE"/>
    <w:rsid w:val="00CD178E"/>
    <w:rsid w:val="00CD2310"/>
    <w:rsid w:val="00CD2C79"/>
    <w:rsid w:val="00CD309F"/>
    <w:rsid w:val="00CD3155"/>
    <w:rsid w:val="00CD3276"/>
    <w:rsid w:val="00CD3720"/>
    <w:rsid w:val="00CD4163"/>
    <w:rsid w:val="00CD4878"/>
    <w:rsid w:val="00CD48E8"/>
    <w:rsid w:val="00CD508E"/>
    <w:rsid w:val="00CD5328"/>
    <w:rsid w:val="00CD568D"/>
    <w:rsid w:val="00CD5E53"/>
    <w:rsid w:val="00CD5F0A"/>
    <w:rsid w:val="00CD6607"/>
    <w:rsid w:val="00CD670F"/>
    <w:rsid w:val="00CD6902"/>
    <w:rsid w:val="00CD6FB8"/>
    <w:rsid w:val="00CD7421"/>
    <w:rsid w:val="00CD78FF"/>
    <w:rsid w:val="00CD7A55"/>
    <w:rsid w:val="00CE00BB"/>
    <w:rsid w:val="00CE0602"/>
    <w:rsid w:val="00CE0725"/>
    <w:rsid w:val="00CE0C2E"/>
    <w:rsid w:val="00CE0F80"/>
    <w:rsid w:val="00CE11CA"/>
    <w:rsid w:val="00CE13BB"/>
    <w:rsid w:val="00CE3107"/>
    <w:rsid w:val="00CE36CD"/>
    <w:rsid w:val="00CE3763"/>
    <w:rsid w:val="00CE3768"/>
    <w:rsid w:val="00CE3CC6"/>
    <w:rsid w:val="00CE4125"/>
    <w:rsid w:val="00CE4362"/>
    <w:rsid w:val="00CE455A"/>
    <w:rsid w:val="00CE504E"/>
    <w:rsid w:val="00CE5552"/>
    <w:rsid w:val="00CE63F6"/>
    <w:rsid w:val="00CE6C7F"/>
    <w:rsid w:val="00CE6D83"/>
    <w:rsid w:val="00CE7495"/>
    <w:rsid w:val="00CF06F3"/>
    <w:rsid w:val="00CF084F"/>
    <w:rsid w:val="00CF0B7F"/>
    <w:rsid w:val="00CF1172"/>
    <w:rsid w:val="00CF1337"/>
    <w:rsid w:val="00CF1649"/>
    <w:rsid w:val="00CF277C"/>
    <w:rsid w:val="00CF2D19"/>
    <w:rsid w:val="00CF3820"/>
    <w:rsid w:val="00CF3E5A"/>
    <w:rsid w:val="00CF42C5"/>
    <w:rsid w:val="00CF4329"/>
    <w:rsid w:val="00CF4EE6"/>
    <w:rsid w:val="00CF5067"/>
    <w:rsid w:val="00CF5772"/>
    <w:rsid w:val="00CF57A1"/>
    <w:rsid w:val="00CF5911"/>
    <w:rsid w:val="00CF5D7B"/>
    <w:rsid w:val="00CF6411"/>
    <w:rsid w:val="00CF656B"/>
    <w:rsid w:val="00CF6823"/>
    <w:rsid w:val="00CF6C8D"/>
    <w:rsid w:val="00CF6FE4"/>
    <w:rsid w:val="00CF7894"/>
    <w:rsid w:val="00CF7F80"/>
    <w:rsid w:val="00CF7F88"/>
    <w:rsid w:val="00D0010F"/>
    <w:rsid w:val="00D00F39"/>
    <w:rsid w:val="00D017C5"/>
    <w:rsid w:val="00D01841"/>
    <w:rsid w:val="00D01C68"/>
    <w:rsid w:val="00D022BD"/>
    <w:rsid w:val="00D022CE"/>
    <w:rsid w:val="00D0266F"/>
    <w:rsid w:val="00D026AA"/>
    <w:rsid w:val="00D02DF2"/>
    <w:rsid w:val="00D02EA7"/>
    <w:rsid w:val="00D033A9"/>
    <w:rsid w:val="00D033EF"/>
    <w:rsid w:val="00D03AE3"/>
    <w:rsid w:val="00D04652"/>
    <w:rsid w:val="00D0473A"/>
    <w:rsid w:val="00D04A98"/>
    <w:rsid w:val="00D04EA9"/>
    <w:rsid w:val="00D04EBB"/>
    <w:rsid w:val="00D05461"/>
    <w:rsid w:val="00D055C6"/>
    <w:rsid w:val="00D05AD5"/>
    <w:rsid w:val="00D061F6"/>
    <w:rsid w:val="00D068E1"/>
    <w:rsid w:val="00D06A80"/>
    <w:rsid w:val="00D06F69"/>
    <w:rsid w:val="00D06F87"/>
    <w:rsid w:val="00D072FC"/>
    <w:rsid w:val="00D102B2"/>
    <w:rsid w:val="00D10E5F"/>
    <w:rsid w:val="00D117DE"/>
    <w:rsid w:val="00D11CC9"/>
    <w:rsid w:val="00D11E88"/>
    <w:rsid w:val="00D1205D"/>
    <w:rsid w:val="00D12282"/>
    <w:rsid w:val="00D12625"/>
    <w:rsid w:val="00D12755"/>
    <w:rsid w:val="00D12C75"/>
    <w:rsid w:val="00D1368F"/>
    <w:rsid w:val="00D14707"/>
    <w:rsid w:val="00D14FB7"/>
    <w:rsid w:val="00D16235"/>
    <w:rsid w:val="00D162A9"/>
    <w:rsid w:val="00D16730"/>
    <w:rsid w:val="00D167ED"/>
    <w:rsid w:val="00D16FCC"/>
    <w:rsid w:val="00D170A0"/>
    <w:rsid w:val="00D1749C"/>
    <w:rsid w:val="00D177DF"/>
    <w:rsid w:val="00D17C38"/>
    <w:rsid w:val="00D20B7E"/>
    <w:rsid w:val="00D20BDF"/>
    <w:rsid w:val="00D217E3"/>
    <w:rsid w:val="00D21FD9"/>
    <w:rsid w:val="00D224D9"/>
    <w:rsid w:val="00D22672"/>
    <w:rsid w:val="00D2288E"/>
    <w:rsid w:val="00D22ACD"/>
    <w:rsid w:val="00D22BF2"/>
    <w:rsid w:val="00D2375A"/>
    <w:rsid w:val="00D23E8A"/>
    <w:rsid w:val="00D24B98"/>
    <w:rsid w:val="00D24ED0"/>
    <w:rsid w:val="00D25779"/>
    <w:rsid w:val="00D259BF"/>
    <w:rsid w:val="00D25E19"/>
    <w:rsid w:val="00D26B7B"/>
    <w:rsid w:val="00D27003"/>
    <w:rsid w:val="00D270CC"/>
    <w:rsid w:val="00D2752B"/>
    <w:rsid w:val="00D27A97"/>
    <w:rsid w:val="00D27B8D"/>
    <w:rsid w:val="00D309E9"/>
    <w:rsid w:val="00D30B68"/>
    <w:rsid w:val="00D31250"/>
    <w:rsid w:val="00D31362"/>
    <w:rsid w:val="00D313A8"/>
    <w:rsid w:val="00D313D6"/>
    <w:rsid w:val="00D31870"/>
    <w:rsid w:val="00D31EB4"/>
    <w:rsid w:val="00D322DE"/>
    <w:rsid w:val="00D324FE"/>
    <w:rsid w:val="00D325AC"/>
    <w:rsid w:val="00D32C8C"/>
    <w:rsid w:val="00D32EC3"/>
    <w:rsid w:val="00D32F49"/>
    <w:rsid w:val="00D334C9"/>
    <w:rsid w:val="00D33A93"/>
    <w:rsid w:val="00D33D01"/>
    <w:rsid w:val="00D33E03"/>
    <w:rsid w:val="00D33E5F"/>
    <w:rsid w:val="00D34201"/>
    <w:rsid w:val="00D34B69"/>
    <w:rsid w:val="00D35698"/>
    <w:rsid w:val="00D35B1A"/>
    <w:rsid w:val="00D361C7"/>
    <w:rsid w:val="00D36547"/>
    <w:rsid w:val="00D365FF"/>
    <w:rsid w:val="00D40C24"/>
    <w:rsid w:val="00D40C78"/>
    <w:rsid w:val="00D41326"/>
    <w:rsid w:val="00D414FB"/>
    <w:rsid w:val="00D41C07"/>
    <w:rsid w:val="00D41C34"/>
    <w:rsid w:val="00D42483"/>
    <w:rsid w:val="00D42616"/>
    <w:rsid w:val="00D427E5"/>
    <w:rsid w:val="00D42DB1"/>
    <w:rsid w:val="00D42EAD"/>
    <w:rsid w:val="00D42F09"/>
    <w:rsid w:val="00D42F74"/>
    <w:rsid w:val="00D43697"/>
    <w:rsid w:val="00D4374A"/>
    <w:rsid w:val="00D44F4D"/>
    <w:rsid w:val="00D44FF6"/>
    <w:rsid w:val="00D452D0"/>
    <w:rsid w:val="00D4607B"/>
    <w:rsid w:val="00D4680A"/>
    <w:rsid w:val="00D468C3"/>
    <w:rsid w:val="00D468FE"/>
    <w:rsid w:val="00D46CB9"/>
    <w:rsid w:val="00D46D08"/>
    <w:rsid w:val="00D46D14"/>
    <w:rsid w:val="00D4759B"/>
    <w:rsid w:val="00D47B9F"/>
    <w:rsid w:val="00D50735"/>
    <w:rsid w:val="00D507CE"/>
    <w:rsid w:val="00D50DA1"/>
    <w:rsid w:val="00D50E7E"/>
    <w:rsid w:val="00D512AE"/>
    <w:rsid w:val="00D51F22"/>
    <w:rsid w:val="00D5233D"/>
    <w:rsid w:val="00D526B3"/>
    <w:rsid w:val="00D53FF8"/>
    <w:rsid w:val="00D5481A"/>
    <w:rsid w:val="00D548FB"/>
    <w:rsid w:val="00D54AAA"/>
    <w:rsid w:val="00D54DFF"/>
    <w:rsid w:val="00D54F27"/>
    <w:rsid w:val="00D54FD0"/>
    <w:rsid w:val="00D55141"/>
    <w:rsid w:val="00D55813"/>
    <w:rsid w:val="00D55931"/>
    <w:rsid w:val="00D55F2D"/>
    <w:rsid w:val="00D56154"/>
    <w:rsid w:val="00D562F0"/>
    <w:rsid w:val="00D564AC"/>
    <w:rsid w:val="00D565B8"/>
    <w:rsid w:val="00D56C9E"/>
    <w:rsid w:val="00D57976"/>
    <w:rsid w:val="00D603AE"/>
    <w:rsid w:val="00D60590"/>
    <w:rsid w:val="00D60A55"/>
    <w:rsid w:val="00D618EE"/>
    <w:rsid w:val="00D61F71"/>
    <w:rsid w:val="00D62189"/>
    <w:rsid w:val="00D62398"/>
    <w:rsid w:val="00D62640"/>
    <w:rsid w:val="00D63973"/>
    <w:rsid w:val="00D64B42"/>
    <w:rsid w:val="00D64E8E"/>
    <w:rsid w:val="00D655C6"/>
    <w:rsid w:val="00D656E0"/>
    <w:rsid w:val="00D659A9"/>
    <w:rsid w:val="00D659FE"/>
    <w:rsid w:val="00D66276"/>
    <w:rsid w:val="00D675A2"/>
    <w:rsid w:val="00D6768D"/>
    <w:rsid w:val="00D67A78"/>
    <w:rsid w:val="00D67CFC"/>
    <w:rsid w:val="00D70378"/>
    <w:rsid w:val="00D70CE1"/>
    <w:rsid w:val="00D70DA5"/>
    <w:rsid w:val="00D70F2D"/>
    <w:rsid w:val="00D7178A"/>
    <w:rsid w:val="00D719A8"/>
    <w:rsid w:val="00D71F64"/>
    <w:rsid w:val="00D721D4"/>
    <w:rsid w:val="00D72478"/>
    <w:rsid w:val="00D72550"/>
    <w:rsid w:val="00D725E3"/>
    <w:rsid w:val="00D72B1F"/>
    <w:rsid w:val="00D72C7C"/>
    <w:rsid w:val="00D72D8C"/>
    <w:rsid w:val="00D72E76"/>
    <w:rsid w:val="00D730F0"/>
    <w:rsid w:val="00D733B9"/>
    <w:rsid w:val="00D73943"/>
    <w:rsid w:val="00D74C63"/>
    <w:rsid w:val="00D74DD3"/>
    <w:rsid w:val="00D75321"/>
    <w:rsid w:val="00D75A92"/>
    <w:rsid w:val="00D75BE8"/>
    <w:rsid w:val="00D75F70"/>
    <w:rsid w:val="00D75F93"/>
    <w:rsid w:val="00D7706E"/>
    <w:rsid w:val="00D800B3"/>
    <w:rsid w:val="00D80247"/>
    <w:rsid w:val="00D8038A"/>
    <w:rsid w:val="00D80D82"/>
    <w:rsid w:val="00D81EA1"/>
    <w:rsid w:val="00D81FDB"/>
    <w:rsid w:val="00D82A6C"/>
    <w:rsid w:val="00D82BA6"/>
    <w:rsid w:val="00D82DE4"/>
    <w:rsid w:val="00D83626"/>
    <w:rsid w:val="00D83EBE"/>
    <w:rsid w:val="00D8470C"/>
    <w:rsid w:val="00D850AD"/>
    <w:rsid w:val="00D850DD"/>
    <w:rsid w:val="00D854B6"/>
    <w:rsid w:val="00D85605"/>
    <w:rsid w:val="00D86142"/>
    <w:rsid w:val="00D86823"/>
    <w:rsid w:val="00D86C99"/>
    <w:rsid w:val="00D872E5"/>
    <w:rsid w:val="00D874A7"/>
    <w:rsid w:val="00D87E47"/>
    <w:rsid w:val="00D90096"/>
    <w:rsid w:val="00D900B3"/>
    <w:rsid w:val="00D907D3"/>
    <w:rsid w:val="00D907F7"/>
    <w:rsid w:val="00D90B98"/>
    <w:rsid w:val="00D9121C"/>
    <w:rsid w:val="00D91D3A"/>
    <w:rsid w:val="00D91DD1"/>
    <w:rsid w:val="00D92249"/>
    <w:rsid w:val="00D92303"/>
    <w:rsid w:val="00D923F9"/>
    <w:rsid w:val="00D9295A"/>
    <w:rsid w:val="00D92B02"/>
    <w:rsid w:val="00D92E91"/>
    <w:rsid w:val="00D933AD"/>
    <w:rsid w:val="00D933F2"/>
    <w:rsid w:val="00D93461"/>
    <w:rsid w:val="00D93626"/>
    <w:rsid w:val="00D93B85"/>
    <w:rsid w:val="00D94178"/>
    <w:rsid w:val="00D9506F"/>
    <w:rsid w:val="00D95193"/>
    <w:rsid w:val="00D95768"/>
    <w:rsid w:val="00D95B01"/>
    <w:rsid w:val="00D9620B"/>
    <w:rsid w:val="00D962A4"/>
    <w:rsid w:val="00D96A6C"/>
    <w:rsid w:val="00D96BF5"/>
    <w:rsid w:val="00D96FBC"/>
    <w:rsid w:val="00D97839"/>
    <w:rsid w:val="00D978A4"/>
    <w:rsid w:val="00D97B60"/>
    <w:rsid w:val="00DA08B4"/>
    <w:rsid w:val="00DA0AFF"/>
    <w:rsid w:val="00DA0C9D"/>
    <w:rsid w:val="00DA11D5"/>
    <w:rsid w:val="00DA1763"/>
    <w:rsid w:val="00DA1855"/>
    <w:rsid w:val="00DA1A13"/>
    <w:rsid w:val="00DA1B8B"/>
    <w:rsid w:val="00DA1C5F"/>
    <w:rsid w:val="00DA23CD"/>
    <w:rsid w:val="00DA2ED0"/>
    <w:rsid w:val="00DA374F"/>
    <w:rsid w:val="00DA3B8A"/>
    <w:rsid w:val="00DA3D64"/>
    <w:rsid w:val="00DA3F42"/>
    <w:rsid w:val="00DA437D"/>
    <w:rsid w:val="00DA4E1A"/>
    <w:rsid w:val="00DA4F0E"/>
    <w:rsid w:val="00DA5685"/>
    <w:rsid w:val="00DA6667"/>
    <w:rsid w:val="00DA671B"/>
    <w:rsid w:val="00DA6799"/>
    <w:rsid w:val="00DA72E8"/>
    <w:rsid w:val="00DB047E"/>
    <w:rsid w:val="00DB05DC"/>
    <w:rsid w:val="00DB0624"/>
    <w:rsid w:val="00DB08E2"/>
    <w:rsid w:val="00DB0A85"/>
    <w:rsid w:val="00DB0C5A"/>
    <w:rsid w:val="00DB0D80"/>
    <w:rsid w:val="00DB1044"/>
    <w:rsid w:val="00DB169A"/>
    <w:rsid w:val="00DB1771"/>
    <w:rsid w:val="00DB1A22"/>
    <w:rsid w:val="00DB1B66"/>
    <w:rsid w:val="00DB1F82"/>
    <w:rsid w:val="00DB20BF"/>
    <w:rsid w:val="00DB26D6"/>
    <w:rsid w:val="00DB3A19"/>
    <w:rsid w:val="00DB437B"/>
    <w:rsid w:val="00DB448B"/>
    <w:rsid w:val="00DB455F"/>
    <w:rsid w:val="00DB4908"/>
    <w:rsid w:val="00DB4BF5"/>
    <w:rsid w:val="00DB538C"/>
    <w:rsid w:val="00DB64F9"/>
    <w:rsid w:val="00DB6779"/>
    <w:rsid w:val="00DB737B"/>
    <w:rsid w:val="00DB7F0D"/>
    <w:rsid w:val="00DB7F4A"/>
    <w:rsid w:val="00DB7F68"/>
    <w:rsid w:val="00DC00A8"/>
    <w:rsid w:val="00DC0978"/>
    <w:rsid w:val="00DC14BB"/>
    <w:rsid w:val="00DC18C5"/>
    <w:rsid w:val="00DC1C4B"/>
    <w:rsid w:val="00DC2D4D"/>
    <w:rsid w:val="00DC31B4"/>
    <w:rsid w:val="00DC3E14"/>
    <w:rsid w:val="00DC4371"/>
    <w:rsid w:val="00DC4791"/>
    <w:rsid w:val="00DC4BBB"/>
    <w:rsid w:val="00DC6854"/>
    <w:rsid w:val="00DC6B90"/>
    <w:rsid w:val="00DC70FE"/>
    <w:rsid w:val="00DC738E"/>
    <w:rsid w:val="00DC7A27"/>
    <w:rsid w:val="00DC7A7A"/>
    <w:rsid w:val="00DD03AE"/>
    <w:rsid w:val="00DD0A51"/>
    <w:rsid w:val="00DD0C31"/>
    <w:rsid w:val="00DD134F"/>
    <w:rsid w:val="00DD1459"/>
    <w:rsid w:val="00DD1B95"/>
    <w:rsid w:val="00DD1CE5"/>
    <w:rsid w:val="00DD33F4"/>
    <w:rsid w:val="00DD347A"/>
    <w:rsid w:val="00DD34FA"/>
    <w:rsid w:val="00DD4690"/>
    <w:rsid w:val="00DD48BB"/>
    <w:rsid w:val="00DD4C39"/>
    <w:rsid w:val="00DD60A4"/>
    <w:rsid w:val="00DD62E6"/>
    <w:rsid w:val="00DD6AA3"/>
    <w:rsid w:val="00DD6B88"/>
    <w:rsid w:val="00DD6BD4"/>
    <w:rsid w:val="00DD73AA"/>
    <w:rsid w:val="00DD7B73"/>
    <w:rsid w:val="00DD7C7E"/>
    <w:rsid w:val="00DE004E"/>
    <w:rsid w:val="00DE027C"/>
    <w:rsid w:val="00DE1319"/>
    <w:rsid w:val="00DE1404"/>
    <w:rsid w:val="00DE1603"/>
    <w:rsid w:val="00DE192D"/>
    <w:rsid w:val="00DE1A88"/>
    <w:rsid w:val="00DE229E"/>
    <w:rsid w:val="00DE232E"/>
    <w:rsid w:val="00DE253B"/>
    <w:rsid w:val="00DE311A"/>
    <w:rsid w:val="00DE32DC"/>
    <w:rsid w:val="00DE419D"/>
    <w:rsid w:val="00DE449B"/>
    <w:rsid w:val="00DE4579"/>
    <w:rsid w:val="00DE4F15"/>
    <w:rsid w:val="00DE5169"/>
    <w:rsid w:val="00DE567E"/>
    <w:rsid w:val="00DE589E"/>
    <w:rsid w:val="00DE6392"/>
    <w:rsid w:val="00DE6553"/>
    <w:rsid w:val="00DE6C2B"/>
    <w:rsid w:val="00DE7042"/>
    <w:rsid w:val="00DE79D5"/>
    <w:rsid w:val="00DE7BED"/>
    <w:rsid w:val="00DE7C0C"/>
    <w:rsid w:val="00DE7E27"/>
    <w:rsid w:val="00DE7EE2"/>
    <w:rsid w:val="00DF0543"/>
    <w:rsid w:val="00DF0D4A"/>
    <w:rsid w:val="00DF1519"/>
    <w:rsid w:val="00DF1A9F"/>
    <w:rsid w:val="00DF1ACA"/>
    <w:rsid w:val="00DF1CA3"/>
    <w:rsid w:val="00DF2085"/>
    <w:rsid w:val="00DF27C3"/>
    <w:rsid w:val="00DF3488"/>
    <w:rsid w:val="00DF3593"/>
    <w:rsid w:val="00DF3B79"/>
    <w:rsid w:val="00DF4482"/>
    <w:rsid w:val="00DF4704"/>
    <w:rsid w:val="00DF4A7E"/>
    <w:rsid w:val="00DF4DD8"/>
    <w:rsid w:val="00DF56BD"/>
    <w:rsid w:val="00DF5C9C"/>
    <w:rsid w:val="00DF6112"/>
    <w:rsid w:val="00DF62E3"/>
    <w:rsid w:val="00DF6982"/>
    <w:rsid w:val="00DF7A76"/>
    <w:rsid w:val="00DF7AE1"/>
    <w:rsid w:val="00DF7E73"/>
    <w:rsid w:val="00E01747"/>
    <w:rsid w:val="00E01780"/>
    <w:rsid w:val="00E01794"/>
    <w:rsid w:val="00E01AD9"/>
    <w:rsid w:val="00E01D95"/>
    <w:rsid w:val="00E01EFB"/>
    <w:rsid w:val="00E02958"/>
    <w:rsid w:val="00E02D00"/>
    <w:rsid w:val="00E02DAA"/>
    <w:rsid w:val="00E03157"/>
    <w:rsid w:val="00E0332B"/>
    <w:rsid w:val="00E035A4"/>
    <w:rsid w:val="00E038A1"/>
    <w:rsid w:val="00E03977"/>
    <w:rsid w:val="00E03A82"/>
    <w:rsid w:val="00E03C38"/>
    <w:rsid w:val="00E03F62"/>
    <w:rsid w:val="00E04512"/>
    <w:rsid w:val="00E047CA"/>
    <w:rsid w:val="00E05619"/>
    <w:rsid w:val="00E05897"/>
    <w:rsid w:val="00E06CA0"/>
    <w:rsid w:val="00E06F9C"/>
    <w:rsid w:val="00E07B5F"/>
    <w:rsid w:val="00E07C37"/>
    <w:rsid w:val="00E07EFB"/>
    <w:rsid w:val="00E10568"/>
    <w:rsid w:val="00E1074E"/>
    <w:rsid w:val="00E10CEC"/>
    <w:rsid w:val="00E1106E"/>
    <w:rsid w:val="00E11A03"/>
    <w:rsid w:val="00E12247"/>
    <w:rsid w:val="00E124B5"/>
    <w:rsid w:val="00E127A8"/>
    <w:rsid w:val="00E12959"/>
    <w:rsid w:val="00E13783"/>
    <w:rsid w:val="00E13971"/>
    <w:rsid w:val="00E13DDD"/>
    <w:rsid w:val="00E145EF"/>
    <w:rsid w:val="00E14690"/>
    <w:rsid w:val="00E14B9A"/>
    <w:rsid w:val="00E153EC"/>
    <w:rsid w:val="00E15AA8"/>
    <w:rsid w:val="00E15B58"/>
    <w:rsid w:val="00E15EA8"/>
    <w:rsid w:val="00E15FE2"/>
    <w:rsid w:val="00E16FBE"/>
    <w:rsid w:val="00E17020"/>
    <w:rsid w:val="00E1735E"/>
    <w:rsid w:val="00E17F5F"/>
    <w:rsid w:val="00E202BD"/>
    <w:rsid w:val="00E205F2"/>
    <w:rsid w:val="00E2070E"/>
    <w:rsid w:val="00E210BE"/>
    <w:rsid w:val="00E22069"/>
    <w:rsid w:val="00E2238D"/>
    <w:rsid w:val="00E223ED"/>
    <w:rsid w:val="00E224F2"/>
    <w:rsid w:val="00E22613"/>
    <w:rsid w:val="00E2272B"/>
    <w:rsid w:val="00E23972"/>
    <w:rsid w:val="00E239C7"/>
    <w:rsid w:val="00E23A15"/>
    <w:rsid w:val="00E23C32"/>
    <w:rsid w:val="00E243B5"/>
    <w:rsid w:val="00E2479B"/>
    <w:rsid w:val="00E247B4"/>
    <w:rsid w:val="00E247BF"/>
    <w:rsid w:val="00E24C3D"/>
    <w:rsid w:val="00E251AA"/>
    <w:rsid w:val="00E252E2"/>
    <w:rsid w:val="00E258CC"/>
    <w:rsid w:val="00E25B1E"/>
    <w:rsid w:val="00E2633B"/>
    <w:rsid w:val="00E26A9F"/>
    <w:rsid w:val="00E27A7A"/>
    <w:rsid w:val="00E3054B"/>
    <w:rsid w:val="00E30A1E"/>
    <w:rsid w:val="00E30CD3"/>
    <w:rsid w:val="00E310F7"/>
    <w:rsid w:val="00E3195B"/>
    <w:rsid w:val="00E31C73"/>
    <w:rsid w:val="00E31DE8"/>
    <w:rsid w:val="00E3296E"/>
    <w:rsid w:val="00E32B5F"/>
    <w:rsid w:val="00E336CA"/>
    <w:rsid w:val="00E33755"/>
    <w:rsid w:val="00E33AD6"/>
    <w:rsid w:val="00E33E5A"/>
    <w:rsid w:val="00E34007"/>
    <w:rsid w:val="00E342CE"/>
    <w:rsid w:val="00E353D6"/>
    <w:rsid w:val="00E35E02"/>
    <w:rsid w:val="00E35E46"/>
    <w:rsid w:val="00E35F9D"/>
    <w:rsid w:val="00E36556"/>
    <w:rsid w:val="00E36F41"/>
    <w:rsid w:val="00E40267"/>
    <w:rsid w:val="00E403A5"/>
    <w:rsid w:val="00E40E8E"/>
    <w:rsid w:val="00E41158"/>
    <w:rsid w:val="00E4216E"/>
    <w:rsid w:val="00E42487"/>
    <w:rsid w:val="00E42864"/>
    <w:rsid w:val="00E44E56"/>
    <w:rsid w:val="00E45882"/>
    <w:rsid w:val="00E46E74"/>
    <w:rsid w:val="00E470E1"/>
    <w:rsid w:val="00E47111"/>
    <w:rsid w:val="00E47171"/>
    <w:rsid w:val="00E47513"/>
    <w:rsid w:val="00E5025E"/>
    <w:rsid w:val="00E5077A"/>
    <w:rsid w:val="00E50EE0"/>
    <w:rsid w:val="00E510D8"/>
    <w:rsid w:val="00E52BC7"/>
    <w:rsid w:val="00E52C3D"/>
    <w:rsid w:val="00E52C42"/>
    <w:rsid w:val="00E52D48"/>
    <w:rsid w:val="00E53176"/>
    <w:rsid w:val="00E537F5"/>
    <w:rsid w:val="00E53884"/>
    <w:rsid w:val="00E53E2B"/>
    <w:rsid w:val="00E54187"/>
    <w:rsid w:val="00E54714"/>
    <w:rsid w:val="00E54E15"/>
    <w:rsid w:val="00E54F87"/>
    <w:rsid w:val="00E553E6"/>
    <w:rsid w:val="00E55616"/>
    <w:rsid w:val="00E5585A"/>
    <w:rsid w:val="00E5608D"/>
    <w:rsid w:val="00E560A3"/>
    <w:rsid w:val="00E5616B"/>
    <w:rsid w:val="00E56C7C"/>
    <w:rsid w:val="00E57522"/>
    <w:rsid w:val="00E6005A"/>
    <w:rsid w:val="00E603DA"/>
    <w:rsid w:val="00E6073D"/>
    <w:rsid w:val="00E60CE7"/>
    <w:rsid w:val="00E61E49"/>
    <w:rsid w:val="00E62BD2"/>
    <w:rsid w:val="00E63196"/>
    <w:rsid w:val="00E63297"/>
    <w:rsid w:val="00E634F4"/>
    <w:rsid w:val="00E63B7D"/>
    <w:rsid w:val="00E63C67"/>
    <w:rsid w:val="00E63F9E"/>
    <w:rsid w:val="00E64060"/>
    <w:rsid w:val="00E64FFA"/>
    <w:rsid w:val="00E6502C"/>
    <w:rsid w:val="00E65B58"/>
    <w:rsid w:val="00E65CCD"/>
    <w:rsid w:val="00E66AB6"/>
    <w:rsid w:val="00E66B85"/>
    <w:rsid w:val="00E67346"/>
    <w:rsid w:val="00E679B2"/>
    <w:rsid w:val="00E679F4"/>
    <w:rsid w:val="00E67ABF"/>
    <w:rsid w:val="00E701FB"/>
    <w:rsid w:val="00E70382"/>
    <w:rsid w:val="00E7048F"/>
    <w:rsid w:val="00E70ED0"/>
    <w:rsid w:val="00E71062"/>
    <w:rsid w:val="00E7257C"/>
    <w:rsid w:val="00E72BC6"/>
    <w:rsid w:val="00E730EE"/>
    <w:rsid w:val="00E73AFF"/>
    <w:rsid w:val="00E73B34"/>
    <w:rsid w:val="00E7473E"/>
    <w:rsid w:val="00E74C2E"/>
    <w:rsid w:val="00E75357"/>
    <w:rsid w:val="00E764AF"/>
    <w:rsid w:val="00E76AEF"/>
    <w:rsid w:val="00E76EAA"/>
    <w:rsid w:val="00E7743D"/>
    <w:rsid w:val="00E80327"/>
    <w:rsid w:val="00E804C2"/>
    <w:rsid w:val="00E808C8"/>
    <w:rsid w:val="00E80CD2"/>
    <w:rsid w:val="00E80D56"/>
    <w:rsid w:val="00E8103D"/>
    <w:rsid w:val="00E811D5"/>
    <w:rsid w:val="00E812ED"/>
    <w:rsid w:val="00E81938"/>
    <w:rsid w:val="00E81BA7"/>
    <w:rsid w:val="00E81DDC"/>
    <w:rsid w:val="00E81F06"/>
    <w:rsid w:val="00E81F75"/>
    <w:rsid w:val="00E82908"/>
    <w:rsid w:val="00E82B2E"/>
    <w:rsid w:val="00E84126"/>
    <w:rsid w:val="00E8433A"/>
    <w:rsid w:val="00E85D6F"/>
    <w:rsid w:val="00E8631B"/>
    <w:rsid w:val="00E86335"/>
    <w:rsid w:val="00E86551"/>
    <w:rsid w:val="00E867DC"/>
    <w:rsid w:val="00E86F46"/>
    <w:rsid w:val="00E87601"/>
    <w:rsid w:val="00E87972"/>
    <w:rsid w:val="00E87B89"/>
    <w:rsid w:val="00E87D29"/>
    <w:rsid w:val="00E90CB3"/>
    <w:rsid w:val="00E90D6B"/>
    <w:rsid w:val="00E90FDC"/>
    <w:rsid w:val="00E91B57"/>
    <w:rsid w:val="00E923A7"/>
    <w:rsid w:val="00E9294B"/>
    <w:rsid w:val="00E92F95"/>
    <w:rsid w:val="00E934E4"/>
    <w:rsid w:val="00E937A4"/>
    <w:rsid w:val="00E94484"/>
    <w:rsid w:val="00E94772"/>
    <w:rsid w:val="00E94B79"/>
    <w:rsid w:val="00E94EA7"/>
    <w:rsid w:val="00E95151"/>
    <w:rsid w:val="00E95594"/>
    <w:rsid w:val="00E95E37"/>
    <w:rsid w:val="00E964EC"/>
    <w:rsid w:val="00E964F7"/>
    <w:rsid w:val="00E96CAD"/>
    <w:rsid w:val="00E97EB9"/>
    <w:rsid w:val="00EA020A"/>
    <w:rsid w:val="00EA0462"/>
    <w:rsid w:val="00EA1561"/>
    <w:rsid w:val="00EA1801"/>
    <w:rsid w:val="00EA2811"/>
    <w:rsid w:val="00EA2F5C"/>
    <w:rsid w:val="00EA3581"/>
    <w:rsid w:val="00EA3D27"/>
    <w:rsid w:val="00EA3EE7"/>
    <w:rsid w:val="00EA51A9"/>
    <w:rsid w:val="00EA529F"/>
    <w:rsid w:val="00EA542A"/>
    <w:rsid w:val="00EA543E"/>
    <w:rsid w:val="00EA54CD"/>
    <w:rsid w:val="00EA75AE"/>
    <w:rsid w:val="00EA768E"/>
    <w:rsid w:val="00EA7C13"/>
    <w:rsid w:val="00EB0037"/>
    <w:rsid w:val="00EB01EE"/>
    <w:rsid w:val="00EB0813"/>
    <w:rsid w:val="00EB0BC7"/>
    <w:rsid w:val="00EB1289"/>
    <w:rsid w:val="00EB163D"/>
    <w:rsid w:val="00EB2814"/>
    <w:rsid w:val="00EB29D7"/>
    <w:rsid w:val="00EB364B"/>
    <w:rsid w:val="00EB3B88"/>
    <w:rsid w:val="00EB3D38"/>
    <w:rsid w:val="00EB3F3A"/>
    <w:rsid w:val="00EB58B2"/>
    <w:rsid w:val="00EB58B6"/>
    <w:rsid w:val="00EB5913"/>
    <w:rsid w:val="00EB5BBA"/>
    <w:rsid w:val="00EB62F0"/>
    <w:rsid w:val="00EB6872"/>
    <w:rsid w:val="00EB71D5"/>
    <w:rsid w:val="00EB7233"/>
    <w:rsid w:val="00EB7442"/>
    <w:rsid w:val="00EB76B1"/>
    <w:rsid w:val="00EB7876"/>
    <w:rsid w:val="00EC00F8"/>
    <w:rsid w:val="00EC04D0"/>
    <w:rsid w:val="00EC05C0"/>
    <w:rsid w:val="00EC08D6"/>
    <w:rsid w:val="00EC1103"/>
    <w:rsid w:val="00EC1719"/>
    <w:rsid w:val="00EC18C5"/>
    <w:rsid w:val="00EC1BA5"/>
    <w:rsid w:val="00EC221D"/>
    <w:rsid w:val="00EC2629"/>
    <w:rsid w:val="00EC299A"/>
    <w:rsid w:val="00EC3369"/>
    <w:rsid w:val="00EC33B1"/>
    <w:rsid w:val="00EC3779"/>
    <w:rsid w:val="00EC41CB"/>
    <w:rsid w:val="00EC4AC4"/>
    <w:rsid w:val="00EC4D83"/>
    <w:rsid w:val="00EC4EF1"/>
    <w:rsid w:val="00EC5B97"/>
    <w:rsid w:val="00EC5F56"/>
    <w:rsid w:val="00EC63BF"/>
    <w:rsid w:val="00EC64D6"/>
    <w:rsid w:val="00EC6E41"/>
    <w:rsid w:val="00EC7B43"/>
    <w:rsid w:val="00EC7B75"/>
    <w:rsid w:val="00EC7C0C"/>
    <w:rsid w:val="00ED005E"/>
    <w:rsid w:val="00ED1081"/>
    <w:rsid w:val="00ED128B"/>
    <w:rsid w:val="00ED132A"/>
    <w:rsid w:val="00ED1427"/>
    <w:rsid w:val="00ED17CE"/>
    <w:rsid w:val="00ED1C3D"/>
    <w:rsid w:val="00ED1D58"/>
    <w:rsid w:val="00ED2308"/>
    <w:rsid w:val="00ED2366"/>
    <w:rsid w:val="00ED23BE"/>
    <w:rsid w:val="00ED2A11"/>
    <w:rsid w:val="00ED30EA"/>
    <w:rsid w:val="00ED346E"/>
    <w:rsid w:val="00ED4C6B"/>
    <w:rsid w:val="00ED5DA5"/>
    <w:rsid w:val="00ED5FAE"/>
    <w:rsid w:val="00ED61CA"/>
    <w:rsid w:val="00ED6600"/>
    <w:rsid w:val="00ED66F9"/>
    <w:rsid w:val="00ED6F3D"/>
    <w:rsid w:val="00ED70DC"/>
    <w:rsid w:val="00ED7826"/>
    <w:rsid w:val="00EE020C"/>
    <w:rsid w:val="00EE04E4"/>
    <w:rsid w:val="00EE05A3"/>
    <w:rsid w:val="00EE0A56"/>
    <w:rsid w:val="00EE0C9B"/>
    <w:rsid w:val="00EE0F20"/>
    <w:rsid w:val="00EE10FA"/>
    <w:rsid w:val="00EE1826"/>
    <w:rsid w:val="00EE1C3A"/>
    <w:rsid w:val="00EE28EE"/>
    <w:rsid w:val="00EE3045"/>
    <w:rsid w:val="00EE32C6"/>
    <w:rsid w:val="00EE3851"/>
    <w:rsid w:val="00EE38B8"/>
    <w:rsid w:val="00EE3BC9"/>
    <w:rsid w:val="00EE3CBC"/>
    <w:rsid w:val="00EE41BB"/>
    <w:rsid w:val="00EE48A2"/>
    <w:rsid w:val="00EE4B68"/>
    <w:rsid w:val="00EE4D64"/>
    <w:rsid w:val="00EE4DC1"/>
    <w:rsid w:val="00EE5007"/>
    <w:rsid w:val="00EE559D"/>
    <w:rsid w:val="00EE5661"/>
    <w:rsid w:val="00EE59EC"/>
    <w:rsid w:val="00EE5C6F"/>
    <w:rsid w:val="00EE5EBF"/>
    <w:rsid w:val="00EE61BE"/>
    <w:rsid w:val="00EE65C1"/>
    <w:rsid w:val="00EE690F"/>
    <w:rsid w:val="00EE69D1"/>
    <w:rsid w:val="00EE6C3C"/>
    <w:rsid w:val="00EE6DD6"/>
    <w:rsid w:val="00EE6E9F"/>
    <w:rsid w:val="00EE716F"/>
    <w:rsid w:val="00EE7741"/>
    <w:rsid w:val="00EE785A"/>
    <w:rsid w:val="00EF00B7"/>
    <w:rsid w:val="00EF04B2"/>
    <w:rsid w:val="00EF133C"/>
    <w:rsid w:val="00EF1675"/>
    <w:rsid w:val="00EF1964"/>
    <w:rsid w:val="00EF1BEE"/>
    <w:rsid w:val="00EF2269"/>
    <w:rsid w:val="00EF2640"/>
    <w:rsid w:val="00EF27F3"/>
    <w:rsid w:val="00EF28A1"/>
    <w:rsid w:val="00EF2A0B"/>
    <w:rsid w:val="00EF2CAC"/>
    <w:rsid w:val="00EF3527"/>
    <w:rsid w:val="00EF361B"/>
    <w:rsid w:val="00EF368D"/>
    <w:rsid w:val="00EF442F"/>
    <w:rsid w:val="00EF4450"/>
    <w:rsid w:val="00EF4883"/>
    <w:rsid w:val="00EF4A0A"/>
    <w:rsid w:val="00EF4A0F"/>
    <w:rsid w:val="00EF4F7B"/>
    <w:rsid w:val="00EF50C8"/>
    <w:rsid w:val="00EF52F0"/>
    <w:rsid w:val="00EF5D79"/>
    <w:rsid w:val="00EF6649"/>
    <w:rsid w:val="00EF69CB"/>
    <w:rsid w:val="00EF7200"/>
    <w:rsid w:val="00EF77B0"/>
    <w:rsid w:val="00EF785B"/>
    <w:rsid w:val="00EF7963"/>
    <w:rsid w:val="00F00268"/>
    <w:rsid w:val="00F005D9"/>
    <w:rsid w:val="00F00621"/>
    <w:rsid w:val="00F007A6"/>
    <w:rsid w:val="00F00A2E"/>
    <w:rsid w:val="00F00B47"/>
    <w:rsid w:val="00F00DDD"/>
    <w:rsid w:val="00F01439"/>
    <w:rsid w:val="00F01A34"/>
    <w:rsid w:val="00F02007"/>
    <w:rsid w:val="00F02AA8"/>
    <w:rsid w:val="00F02EAB"/>
    <w:rsid w:val="00F031AB"/>
    <w:rsid w:val="00F034E4"/>
    <w:rsid w:val="00F03505"/>
    <w:rsid w:val="00F03507"/>
    <w:rsid w:val="00F0358F"/>
    <w:rsid w:val="00F0384D"/>
    <w:rsid w:val="00F03C44"/>
    <w:rsid w:val="00F0469E"/>
    <w:rsid w:val="00F04EA4"/>
    <w:rsid w:val="00F0512C"/>
    <w:rsid w:val="00F051C6"/>
    <w:rsid w:val="00F05803"/>
    <w:rsid w:val="00F05A2F"/>
    <w:rsid w:val="00F05FA9"/>
    <w:rsid w:val="00F06BA2"/>
    <w:rsid w:val="00F0703A"/>
    <w:rsid w:val="00F0703E"/>
    <w:rsid w:val="00F070A7"/>
    <w:rsid w:val="00F07469"/>
    <w:rsid w:val="00F07B87"/>
    <w:rsid w:val="00F10414"/>
    <w:rsid w:val="00F10660"/>
    <w:rsid w:val="00F106B8"/>
    <w:rsid w:val="00F10B67"/>
    <w:rsid w:val="00F10E24"/>
    <w:rsid w:val="00F10FB8"/>
    <w:rsid w:val="00F1187D"/>
    <w:rsid w:val="00F11AA9"/>
    <w:rsid w:val="00F11E35"/>
    <w:rsid w:val="00F11FB2"/>
    <w:rsid w:val="00F12619"/>
    <w:rsid w:val="00F130A1"/>
    <w:rsid w:val="00F1393B"/>
    <w:rsid w:val="00F13FBE"/>
    <w:rsid w:val="00F1433E"/>
    <w:rsid w:val="00F14720"/>
    <w:rsid w:val="00F1481F"/>
    <w:rsid w:val="00F14D4A"/>
    <w:rsid w:val="00F15280"/>
    <w:rsid w:val="00F1663F"/>
    <w:rsid w:val="00F16992"/>
    <w:rsid w:val="00F16A34"/>
    <w:rsid w:val="00F176CB"/>
    <w:rsid w:val="00F177E1"/>
    <w:rsid w:val="00F178DD"/>
    <w:rsid w:val="00F20454"/>
    <w:rsid w:val="00F20633"/>
    <w:rsid w:val="00F20FB4"/>
    <w:rsid w:val="00F21223"/>
    <w:rsid w:val="00F21BDF"/>
    <w:rsid w:val="00F21F11"/>
    <w:rsid w:val="00F222E4"/>
    <w:rsid w:val="00F226C9"/>
    <w:rsid w:val="00F227E7"/>
    <w:rsid w:val="00F22D5E"/>
    <w:rsid w:val="00F23A74"/>
    <w:rsid w:val="00F23FFF"/>
    <w:rsid w:val="00F2419E"/>
    <w:rsid w:val="00F24207"/>
    <w:rsid w:val="00F2471F"/>
    <w:rsid w:val="00F24AD2"/>
    <w:rsid w:val="00F24ECF"/>
    <w:rsid w:val="00F25086"/>
    <w:rsid w:val="00F254F5"/>
    <w:rsid w:val="00F25891"/>
    <w:rsid w:val="00F265DC"/>
    <w:rsid w:val="00F26DAF"/>
    <w:rsid w:val="00F2793B"/>
    <w:rsid w:val="00F27B19"/>
    <w:rsid w:val="00F27CC8"/>
    <w:rsid w:val="00F30594"/>
    <w:rsid w:val="00F30C9C"/>
    <w:rsid w:val="00F31369"/>
    <w:rsid w:val="00F319C0"/>
    <w:rsid w:val="00F32122"/>
    <w:rsid w:val="00F323BF"/>
    <w:rsid w:val="00F334AC"/>
    <w:rsid w:val="00F3370E"/>
    <w:rsid w:val="00F33B15"/>
    <w:rsid w:val="00F347E1"/>
    <w:rsid w:val="00F34BB8"/>
    <w:rsid w:val="00F34CC5"/>
    <w:rsid w:val="00F350F6"/>
    <w:rsid w:val="00F35A0B"/>
    <w:rsid w:val="00F35D36"/>
    <w:rsid w:val="00F35DCA"/>
    <w:rsid w:val="00F360EC"/>
    <w:rsid w:val="00F36771"/>
    <w:rsid w:val="00F370DE"/>
    <w:rsid w:val="00F373FF"/>
    <w:rsid w:val="00F37507"/>
    <w:rsid w:val="00F37A58"/>
    <w:rsid w:val="00F37C89"/>
    <w:rsid w:val="00F4068C"/>
    <w:rsid w:val="00F407FC"/>
    <w:rsid w:val="00F40E22"/>
    <w:rsid w:val="00F4108B"/>
    <w:rsid w:val="00F4183C"/>
    <w:rsid w:val="00F41DC9"/>
    <w:rsid w:val="00F41E7E"/>
    <w:rsid w:val="00F42583"/>
    <w:rsid w:val="00F42706"/>
    <w:rsid w:val="00F4348F"/>
    <w:rsid w:val="00F43A1A"/>
    <w:rsid w:val="00F44074"/>
    <w:rsid w:val="00F443D4"/>
    <w:rsid w:val="00F444AD"/>
    <w:rsid w:val="00F44618"/>
    <w:rsid w:val="00F446E6"/>
    <w:rsid w:val="00F455F2"/>
    <w:rsid w:val="00F462EC"/>
    <w:rsid w:val="00F46950"/>
    <w:rsid w:val="00F469F0"/>
    <w:rsid w:val="00F4789D"/>
    <w:rsid w:val="00F47ADF"/>
    <w:rsid w:val="00F47C09"/>
    <w:rsid w:val="00F504EE"/>
    <w:rsid w:val="00F505E1"/>
    <w:rsid w:val="00F507C7"/>
    <w:rsid w:val="00F50D72"/>
    <w:rsid w:val="00F51022"/>
    <w:rsid w:val="00F5124A"/>
    <w:rsid w:val="00F51A1D"/>
    <w:rsid w:val="00F51ADE"/>
    <w:rsid w:val="00F51C9D"/>
    <w:rsid w:val="00F51D73"/>
    <w:rsid w:val="00F51E2E"/>
    <w:rsid w:val="00F51E4B"/>
    <w:rsid w:val="00F5280B"/>
    <w:rsid w:val="00F5378F"/>
    <w:rsid w:val="00F53A77"/>
    <w:rsid w:val="00F53C6F"/>
    <w:rsid w:val="00F5425A"/>
    <w:rsid w:val="00F542FF"/>
    <w:rsid w:val="00F5439D"/>
    <w:rsid w:val="00F54A61"/>
    <w:rsid w:val="00F55178"/>
    <w:rsid w:val="00F5770A"/>
    <w:rsid w:val="00F57A23"/>
    <w:rsid w:val="00F57B98"/>
    <w:rsid w:val="00F604A5"/>
    <w:rsid w:val="00F608AC"/>
    <w:rsid w:val="00F6090F"/>
    <w:rsid w:val="00F609FA"/>
    <w:rsid w:val="00F613EC"/>
    <w:rsid w:val="00F61A6C"/>
    <w:rsid w:val="00F62556"/>
    <w:rsid w:val="00F62975"/>
    <w:rsid w:val="00F62CF7"/>
    <w:rsid w:val="00F6396B"/>
    <w:rsid w:val="00F6411F"/>
    <w:rsid w:val="00F645CD"/>
    <w:rsid w:val="00F64AD1"/>
    <w:rsid w:val="00F64FD8"/>
    <w:rsid w:val="00F65459"/>
    <w:rsid w:val="00F655F0"/>
    <w:rsid w:val="00F65964"/>
    <w:rsid w:val="00F659E4"/>
    <w:rsid w:val="00F65B6C"/>
    <w:rsid w:val="00F65E2C"/>
    <w:rsid w:val="00F665AD"/>
    <w:rsid w:val="00F66DA1"/>
    <w:rsid w:val="00F670E6"/>
    <w:rsid w:val="00F677A4"/>
    <w:rsid w:val="00F67832"/>
    <w:rsid w:val="00F67B3A"/>
    <w:rsid w:val="00F67F49"/>
    <w:rsid w:val="00F67FE2"/>
    <w:rsid w:val="00F70514"/>
    <w:rsid w:val="00F70F01"/>
    <w:rsid w:val="00F7106D"/>
    <w:rsid w:val="00F7120A"/>
    <w:rsid w:val="00F71781"/>
    <w:rsid w:val="00F71859"/>
    <w:rsid w:val="00F71983"/>
    <w:rsid w:val="00F719F7"/>
    <w:rsid w:val="00F71C8F"/>
    <w:rsid w:val="00F71D7B"/>
    <w:rsid w:val="00F720B3"/>
    <w:rsid w:val="00F7289F"/>
    <w:rsid w:val="00F72A24"/>
    <w:rsid w:val="00F733AA"/>
    <w:rsid w:val="00F73B1A"/>
    <w:rsid w:val="00F744E8"/>
    <w:rsid w:val="00F747B7"/>
    <w:rsid w:val="00F7489C"/>
    <w:rsid w:val="00F75883"/>
    <w:rsid w:val="00F758FE"/>
    <w:rsid w:val="00F75B99"/>
    <w:rsid w:val="00F76B1F"/>
    <w:rsid w:val="00F76D84"/>
    <w:rsid w:val="00F7766D"/>
    <w:rsid w:val="00F77FD9"/>
    <w:rsid w:val="00F800F0"/>
    <w:rsid w:val="00F80172"/>
    <w:rsid w:val="00F80BEB"/>
    <w:rsid w:val="00F81B57"/>
    <w:rsid w:val="00F82144"/>
    <w:rsid w:val="00F8236F"/>
    <w:rsid w:val="00F82B9D"/>
    <w:rsid w:val="00F830BA"/>
    <w:rsid w:val="00F84635"/>
    <w:rsid w:val="00F8483A"/>
    <w:rsid w:val="00F84A51"/>
    <w:rsid w:val="00F855AE"/>
    <w:rsid w:val="00F85CD5"/>
    <w:rsid w:val="00F860CB"/>
    <w:rsid w:val="00F860FE"/>
    <w:rsid w:val="00F86919"/>
    <w:rsid w:val="00F87156"/>
    <w:rsid w:val="00F8795D"/>
    <w:rsid w:val="00F87A83"/>
    <w:rsid w:val="00F9054A"/>
    <w:rsid w:val="00F90777"/>
    <w:rsid w:val="00F90A1F"/>
    <w:rsid w:val="00F90ED2"/>
    <w:rsid w:val="00F90EFD"/>
    <w:rsid w:val="00F91BE9"/>
    <w:rsid w:val="00F91E2C"/>
    <w:rsid w:val="00F925A4"/>
    <w:rsid w:val="00F929B1"/>
    <w:rsid w:val="00F92AE9"/>
    <w:rsid w:val="00F92E7B"/>
    <w:rsid w:val="00F93113"/>
    <w:rsid w:val="00F93203"/>
    <w:rsid w:val="00F94778"/>
    <w:rsid w:val="00F95277"/>
    <w:rsid w:val="00F957B3"/>
    <w:rsid w:val="00F957F2"/>
    <w:rsid w:val="00F960BC"/>
    <w:rsid w:val="00F970AF"/>
    <w:rsid w:val="00F974BD"/>
    <w:rsid w:val="00F975AF"/>
    <w:rsid w:val="00F9770B"/>
    <w:rsid w:val="00F97787"/>
    <w:rsid w:val="00F97E68"/>
    <w:rsid w:val="00FA05B8"/>
    <w:rsid w:val="00FA064F"/>
    <w:rsid w:val="00FA110B"/>
    <w:rsid w:val="00FA24B1"/>
    <w:rsid w:val="00FA31FD"/>
    <w:rsid w:val="00FA3567"/>
    <w:rsid w:val="00FA3586"/>
    <w:rsid w:val="00FA41AC"/>
    <w:rsid w:val="00FA49B8"/>
    <w:rsid w:val="00FA4A22"/>
    <w:rsid w:val="00FA53BC"/>
    <w:rsid w:val="00FA5827"/>
    <w:rsid w:val="00FA5BBE"/>
    <w:rsid w:val="00FA5F35"/>
    <w:rsid w:val="00FA794B"/>
    <w:rsid w:val="00FA7F95"/>
    <w:rsid w:val="00FB086D"/>
    <w:rsid w:val="00FB0FEB"/>
    <w:rsid w:val="00FB161C"/>
    <w:rsid w:val="00FB1ED8"/>
    <w:rsid w:val="00FB1FC7"/>
    <w:rsid w:val="00FB2145"/>
    <w:rsid w:val="00FB21D7"/>
    <w:rsid w:val="00FB261B"/>
    <w:rsid w:val="00FB2932"/>
    <w:rsid w:val="00FB2AAC"/>
    <w:rsid w:val="00FB3424"/>
    <w:rsid w:val="00FB368F"/>
    <w:rsid w:val="00FB3B47"/>
    <w:rsid w:val="00FB41D0"/>
    <w:rsid w:val="00FB4873"/>
    <w:rsid w:val="00FB49B9"/>
    <w:rsid w:val="00FB5055"/>
    <w:rsid w:val="00FB6DF6"/>
    <w:rsid w:val="00FB6EDE"/>
    <w:rsid w:val="00FB78CC"/>
    <w:rsid w:val="00FC0955"/>
    <w:rsid w:val="00FC129B"/>
    <w:rsid w:val="00FC133F"/>
    <w:rsid w:val="00FC1472"/>
    <w:rsid w:val="00FC148B"/>
    <w:rsid w:val="00FC18C0"/>
    <w:rsid w:val="00FC1B1D"/>
    <w:rsid w:val="00FC1DDB"/>
    <w:rsid w:val="00FC1E3F"/>
    <w:rsid w:val="00FC2905"/>
    <w:rsid w:val="00FC2CAF"/>
    <w:rsid w:val="00FC2CF1"/>
    <w:rsid w:val="00FC3196"/>
    <w:rsid w:val="00FC3282"/>
    <w:rsid w:val="00FC3657"/>
    <w:rsid w:val="00FC378E"/>
    <w:rsid w:val="00FC3938"/>
    <w:rsid w:val="00FC3AB9"/>
    <w:rsid w:val="00FC3DCD"/>
    <w:rsid w:val="00FC40A8"/>
    <w:rsid w:val="00FC4A32"/>
    <w:rsid w:val="00FC4C52"/>
    <w:rsid w:val="00FC4DFB"/>
    <w:rsid w:val="00FC501A"/>
    <w:rsid w:val="00FC52FD"/>
    <w:rsid w:val="00FC53F9"/>
    <w:rsid w:val="00FC54EE"/>
    <w:rsid w:val="00FC5B8D"/>
    <w:rsid w:val="00FC5F80"/>
    <w:rsid w:val="00FC61BA"/>
    <w:rsid w:val="00FC653A"/>
    <w:rsid w:val="00FC66E6"/>
    <w:rsid w:val="00FC6C65"/>
    <w:rsid w:val="00FC6D13"/>
    <w:rsid w:val="00FC78A9"/>
    <w:rsid w:val="00FC7C69"/>
    <w:rsid w:val="00FD061F"/>
    <w:rsid w:val="00FD0732"/>
    <w:rsid w:val="00FD078A"/>
    <w:rsid w:val="00FD2EAD"/>
    <w:rsid w:val="00FD30FE"/>
    <w:rsid w:val="00FD31A0"/>
    <w:rsid w:val="00FD31AD"/>
    <w:rsid w:val="00FD3B26"/>
    <w:rsid w:val="00FD3B82"/>
    <w:rsid w:val="00FD4075"/>
    <w:rsid w:val="00FD44E4"/>
    <w:rsid w:val="00FD49A6"/>
    <w:rsid w:val="00FD58CB"/>
    <w:rsid w:val="00FD60AA"/>
    <w:rsid w:val="00FD6239"/>
    <w:rsid w:val="00FD630A"/>
    <w:rsid w:val="00FD6613"/>
    <w:rsid w:val="00FD7094"/>
    <w:rsid w:val="00FD7F40"/>
    <w:rsid w:val="00FE09FA"/>
    <w:rsid w:val="00FE0A4D"/>
    <w:rsid w:val="00FE0A6B"/>
    <w:rsid w:val="00FE0A8D"/>
    <w:rsid w:val="00FE0CA1"/>
    <w:rsid w:val="00FE0DE7"/>
    <w:rsid w:val="00FE1201"/>
    <w:rsid w:val="00FE246F"/>
    <w:rsid w:val="00FE2E9D"/>
    <w:rsid w:val="00FE2EC7"/>
    <w:rsid w:val="00FE3014"/>
    <w:rsid w:val="00FE34BE"/>
    <w:rsid w:val="00FE361F"/>
    <w:rsid w:val="00FE3BE2"/>
    <w:rsid w:val="00FE413A"/>
    <w:rsid w:val="00FE4399"/>
    <w:rsid w:val="00FE471E"/>
    <w:rsid w:val="00FE490C"/>
    <w:rsid w:val="00FE4C0C"/>
    <w:rsid w:val="00FE4E24"/>
    <w:rsid w:val="00FE53AD"/>
    <w:rsid w:val="00FE586D"/>
    <w:rsid w:val="00FE5E6B"/>
    <w:rsid w:val="00FE6589"/>
    <w:rsid w:val="00FE72D4"/>
    <w:rsid w:val="00FE7ED6"/>
    <w:rsid w:val="00FF03C7"/>
    <w:rsid w:val="00FF069C"/>
    <w:rsid w:val="00FF0CBD"/>
    <w:rsid w:val="00FF16A9"/>
    <w:rsid w:val="00FF1A4F"/>
    <w:rsid w:val="00FF1D61"/>
    <w:rsid w:val="00FF2687"/>
    <w:rsid w:val="00FF284E"/>
    <w:rsid w:val="00FF31D3"/>
    <w:rsid w:val="00FF3797"/>
    <w:rsid w:val="00FF38BD"/>
    <w:rsid w:val="00FF3E6D"/>
    <w:rsid w:val="00FF3EB3"/>
    <w:rsid w:val="00FF4546"/>
    <w:rsid w:val="00FF45AD"/>
    <w:rsid w:val="00FF474A"/>
    <w:rsid w:val="00FF4E73"/>
    <w:rsid w:val="00FF501B"/>
    <w:rsid w:val="00FF5841"/>
    <w:rsid w:val="00FF5AE5"/>
    <w:rsid w:val="00FF6598"/>
    <w:rsid w:val="00FF6CC9"/>
    <w:rsid w:val="00FF71DA"/>
    <w:rsid w:val="00FF7564"/>
    <w:rsid w:val="00FF7798"/>
    <w:rsid w:val="00FF7C0E"/>
    <w:rsid w:val="00FF7F56"/>
    <w:rsid w:val="00FF7F7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60" fillcolor="white">
      <v:fill color="white"/>
    </o:shapedefaults>
    <o:shapelayout v:ext="edit">
      <o:idmap v:ext="edit" data="2"/>
    </o:shapelayout>
  </w:shapeDefaults>
  <w:decimalSymbol w:val="."/>
  <w:listSeparator w:val=","/>
  <w14:docId w14:val="0397B0F9"/>
  <w15:docId w15:val="{82DAEE29-4F69-4816-B609-92B674749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iPriority="0" w:unhideWhenUsed="1" w:qFormat="1"/>
    <w:lsdException w:name="index 3" w:semiHidden="1" w:uiPriority="0" w:unhideWhenUsed="1" w:qFormat="1"/>
    <w:lsdException w:name="index 4" w:semiHidden="1" w:uiPriority="0" w:unhideWhenUsed="1" w:qFormat="1"/>
    <w:lsdException w:name="index 5" w:semiHidden="1" w:uiPriority="0" w:unhideWhenUsed="1" w:qFormat="1"/>
    <w:lsdException w:name="index 6" w:semiHidden="1" w:uiPriority="0" w:unhideWhenUsed="1" w:qFormat="1"/>
    <w:lsdException w:name="index 7" w:semiHidden="1" w:uiPriority="0" w:unhideWhenUsed="1" w:qFormat="1"/>
    <w:lsdException w:name="index 8" w:semiHidden="1" w:uiPriority="0" w:unhideWhenUsed="1" w:qFormat="1"/>
    <w:lsdException w:name="index 9" w:semiHidden="1" w:uiPriority="0"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iPriority="0"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iPriority="0"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iPriority="0"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qFormat="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qFormat="1"/>
    <w:lsdException w:name="Table Grid" w:uiPriority="59" w:qFormat="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052DC"/>
    <w:pPr>
      <w:widowControl w:val="0"/>
      <w:jc w:val="both"/>
    </w:pPr>
    <w:rPr>
      <w:kern w:val="2"/>
      <w:sz w:val="21"/>
      <w:szCs w:val="22"/>
    </w:rPr>
  </w:style>
  <w:style w:type="paragraph" w:styleId="1">
    <w:name w:val="heading 1"/>
    <w:next w:val="a0"/>
    <w:link w:val="11"/>
    <w:uiPriority w:val="9"/>
    <w:qFormat/>
    <w:rsid w:val="00A052DC"/>
    <w:pPr>
      <w:keepNext/>
      <w:keepLines/>
      <w:pageBreakBefore/>
      <w:widowControl w:val="0"/>
      <w:numPr>
        <w:numId w:val="1"/>
      </w:numPr>
      <w:spacing w:before="120" w:after="120" w:line="578" w:lineRule="auto"/>
      <w:jc w:val="center"/>
      <w:outlineLvl w:val="0"/>
    </w:pPr>
    <w:rPr>
      <w:rFonts w:eastAsia="黑体"/>
      <w:b/>
      <w:bCs/>
      <w:kern w:val="44"/>
      <w:sz w:val="44"/>
      <w:szCs w:val="44"/>
    </w:rPr>
  </w:style>
  <w:style w:type="paragraph" w:styleId="2">
    <w:name w:val="heading 2"/>
    <w:next w:val="a0"/>
    <w:link w:val="21"/>
    <w:uiPriority w:val="9"/>
    <w:qFormat/>
    <w:rsid w:val="00A052DC"/>
    <w:pPr>
      <w:keepNext/>
      <w:keepLines/>
      <w:numPr>
        <w:ilvl w:val="1"/>
        <w:numId w:val="1"/>
      </w:numPr>
      <w:spacing w:before="120" w:after="120" w:line="360" w:lineRule="auto"/>
      <w:outlineLvl w:val="1"/>
    </w:pPr>
    <w:rPr>
      <w:rFonts w:ascii="Cambria" w:eastAsia="黑体" w:hAnsi="Cambria"/>
      <w:b/>
      <w:bCs/>
      <w:sz w:val="32"/>
      <w:szCs w:val="32"/>
    </w:rPr>
  </w:style>
  <w:style w:type="paragraph" w:styleId="3">
    <w:name w:val="heading 3"/>
    <w:next w:val="a0"/>
    <w:link w:val="31"/>
    <w:uiPriority w:val="9"/>
    <w:qFormat/>
    <w:rsid w:val="00A052DC"/>
    <w:pPr>
      <w:keepNext/>
      <w:keepLines/>
      <w:numPr>
        <w:ilvl w:val="2"/>
        <w:numId w:val="1"/>
      </w:numPr>
      <w:spacing w:before="120" w:after="120" w:line="360" w:lineRule="auto"/>
      <w:outlineLvl w:val="2"/>
    </w:pPr>
    <w:rPr>
      <w:rFonts w:eastAsia="黑体"/>
      <w:b/>
      <w:bCs/>
      <w:sz w:val="32"/>
      <w:szCs w:val="32"/>
    </w:rPr>
  </w:style>
  <w:style w:type="paragraph" w:styleId="4">
    <w:name w:val="heading 4"/>
    <w:basedOn w:val="a0"/>
    <w:next w:val="a0"/>
    <w:link w:val="41"/>
    <w:uiPriority w:val="9"/>
    <w:unhideWhenUsed/>
    <w:qFormat/>
    <w:rsid w:val="007C7B79"/>
    <w:pPr>
      <w:keepNext/>
      <w:keepLines/>
      <w:spacing w:before="280" w:after="290" w:line="377" w:lineRule="auto"/>
      <w:outlineLvl w:val="3"/>
    </w:pPr>
    <w:rPr>
      <w:rFonts w:ascii="Times New Roman" w:hAnsi="Times New Roman"/>
      <w:b/>
      <w:bCs/>
      <w:kern w:val="0"/>
      <w:sz w:val="28"/>
      <w:szCs w:val="28"/>
    </w:rPr>
  </w:style>
  <w:style w:type="paragraph" w:styleId="5">
    <w:name w:val="heading 5"/>
    <w:basedOn w:val="a0"/>
    <w:next w:val="a0"/>
    <w:link w:val="51"/>
    <w:qFormat/>
    <w:rsid w:val="00A052DC"/>
    <w:pPr>
      <w:keepNext/>
      <w:keepLines/>
      <w:tabs>
        <w:tab w:val="left" w:pos="1008"/>
      </w:tabs>
      <w:spacing w:before="280" w:after="290" w:line="376" w:lineRule="auto"/>
      <w:ind w:left="1008" w:hanging="1008"/>
      <w:outlineLvl w:val="4"/>
    </w:pPr>
    <w:rPr>
      <w:rFonts w:ascii="Times New Roman" w:hAnsi="Times New Roman"/>
      <w:b/>
      <w:bCs/>
      <w:kern w:val="0"/>
      <w:sz w:val="28"/>
      <w:szCs w:val="28"/>
    </w:rPr>
  </w:style>
  <w:style w:type="paragraph" w:styleId="6">
    <w:name w:val="heading 6"/>
    <w:basedOn w:val="a0"/>
    <w:next w:val="a0"/>
    <w:link w:val="61"/>
    <w:qFormat/>
    <w:rsid w:val="00A052DC"/>
    <w:pPr>
      <w:keepNext/>
      <w:keepLines/>
      <w:tabs>
        <w:tab w:val="left" w:pos="1152"/>
      </w:tabs>
      <w:spacing w:before="240" w:after="64" w:line="320" w:lineRule="auto"/>
      <w:ind w:left="1152" w:hanging="1152"/>
      <w:outlineLvl w:val="5"/>
    </w:pPr>
    <w:rPr>
      <w:rFonts w:ascii="Arial" w:eastAsia="黑体" w:hAnsi="Arial"/>
      <w:b/>
      <w:bCs/>
      <w:kern w:val="0"/>
      <w:sz w:val="24"/>
      <w:szCs w:val="24"/>
    </w:rPr>
  </w:style>
  <w:style w:type="paragraph" w:styleId="7">
    <w:name w:val="heading 7"/>
    <w:basedOn w:val="a0"/>
    <w:next w:val="a0"/>
    <w:link w:val="71"/>
    <w:qFormat/>
    <w:rsid w:val="00A052DC"/>
    <w:pPr>
      <w:keepNext/>
      <w:keepLines/>
      <w:tabs>
        <w:tab w:val="left" w:pos="1296"/>
      </w:tabs>
      <w:spacing w:before="240" w:after="64" w:line="320" w:lineRule="auto"/>
      <w:ind w:left="1296" w:hanging="1296"/>
      <w:outlineLvl w:val="6"/>
    </w:pPr>
    <w:rPr>
      <w:rFonts w:ascii="Times New Roman" w:hAnsi="Times New Roman"/>
      <w:b/>
      <w:bCs/>
      <w:kern w:val="0"/>
      <w:sz w:val="24"/>
      <w:szCs w:val="24"/>
    </w:rPr>
  </w:style>
  <w:style w:type="paragraph" w:styleId="8">
    <w:name w:val="heading 8"/>
    <w:basedOn w:val="a0"/>
    <w:next w:val="a0"/>
    <w:link w:val="81"/>
    <w:qFormat/>
    <w:rsid w:val="00A052DC"/>
    <w:pPr>
      <w:keepNext/>
      <w:keepLines/>
      <w:tabs>
        <w:tab w:val="left" w:pos="1440"/>
      </w:tabs>
      <w:spacing w:before="240" w:after="64" w:line="320" w:lineRule="auto"/>
      <w:ind w:left="1440" w:hanging="1440"/>
      <w:outlineLvl w:val="7"/>
    </w:pPr>
    <w:rPr>
      <w:rFonts w:ascii="Arial" w:eastAsia="黑体" w:hAnsi="Arial"/>
      <w:kern w:val="0"/>
      <w:sz w:val="24"/>
      <w:szCs w:val="24"/>
    </w:rPr>
  </w:style>
  <w:style w:type="paragraph" w:styleId="9">
    <w:name w:val="heading 9"/>
    <w:basedOn w:val="a0"/>
    <w:next w:val="a0"/>
    <w:link w:val="91"/>
    <w:qFormat/>
    <w:rsid w:val="00A052DC"/>
    <w:pPr>
      <w:keepNext/>
      <w:keepLines/>
      <w:tabs>
        <w:tab w:val="left" w:pos="1584"/>
      </w:tabs>
      <w:spacing w:before="240" w:after="64" w:line="320" w:lineRule="auto"/>
      <w:ind w:left="1584" w:hanging="1584"/>
      <w:outlineLvl w:val="8"/>
    </w:pPr>
    <w:rPr>
      <w:rFonts w:ascii="Arial" w:eastAsia="黑体" w:hAnsi="Arial"/>
      <w:kern w:val="0"/>
      <w:sz w:val="20"/>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TOC7">
    <w:name w:val="toc 7"/>
    <w:basedOn w:val="a0"/>
    <w:next w:val="a0"/>
    <w:uiPriority w:val="39"/>
    <w:qFormat/>
    <w:rsid w:val="00A052DC"/>
    <w:pPr>
      <w:spacing w:line="360" w:lineRule="auto"/>
      <w:ind w:leftChars="1200" w:left="2520" w:firstLineChars="200" w:firstLine="200"/>
    </w:pPr>
    <w:rPr>
      <w:kern w:val="0"/>
      <w:sz w:val="24"/>
      <w:szCs w:val="20"/>
    </w:rPr>
  </w:style>
  <w:style w:type="paragraph" w:styleId="40">
    <w:name w:val="List Bullet 4"/>
    <w:basedOn w:val="a0"/>
    <w:qFormat/>
    <w:rsid w:val="00A052DC"/>
    <w:pPr>
      <w:widowControl/>
      <w:tabs>
        <w:tab w:val="left" w:pos="1440"/>
      </w:tabs>
      <w:spacing w:line="264" w:lineRule="auto"/>
      <w:ind w:left="1440" w:hanging="360"/>
      <w:jc w:val="left"/>
    </w:pPr>
    <w:rPr>
      <w:rFonts w:ascii="Times New Roman" w:hAnsi="Times New Roman"/>
      <w:kern w:val="0"/>
      <w:sz w:val="24"/>
      <w:szCs w:val="24"/>
      <w:lang w:eastAsia="en-US"/>
    </w:rPr>
  </w:style>
  <w:style w:type="paragraph" w:styleId="80">
    <w:name w:val="index 8"/>
    <w:basedOn w:val="a0"/>
    <w:next w:val="a0"/>
    <w:qFormat/>
    <w:rsid w:val="00A052DC"/>
    <w:pPr>
      <w:widowControl/>
      <w:spacing w:line="264" w:lineRule="auto"/>
      <w:ind w:left="1920" w:hanging="240"/>
      <w:jc w:val="left"/>
    </w:pPr>
    <w:rPr>
      <w:rFonts w:ascii="Times New Roman" w:hAnsi="Times New Roman"/>
      <w:kern w:val="0"/>
      <w:sz w:val="24"/>
      <w:szCs w:val="24"/>
      <w:lang w:eastAsia="en-US"/>
    </w:rPr>
  </w:style>
  <w:style w:type="paragraph" w:styleId="a4">
    <w:name w:val="Normal Indent"/>
    <w:basedOn w:val="a0"/>
    <w:link w:val="10"/>
    <w:unhideWhenUsed/>
    <w:qFormat/>
    <w:rsid w:val="00A052DC"/>
    <w:pPr>
      <w:spacing w:line="360" w:lineRule="auto"/>
      <w:ind w:firstLineChars="200" w:firstLine="420"/>
    </w:pPr>
    <w:rPr>
      <w:kern w:val="0"/>
      <w:sz w:val="24"/>
      <w:szCs w:val="20"/>
    </w:rPr>
  </w:style>
  <w:style w:type="paragraph" w:styleId="a5">
    <w:name w:val="caption"/>
    <w:basedOn w:val="a0"/>
    <w:next w:val="a0"/>
    <w:qFormat/>
    <w:rsid w:val="00A052DC"/>
    <w:pPr>
      <w:spacing w:line="360" w:lineRule="auto"/>
      <w:ind w:firstLineChars="200" w:firstLine="200"/>
    </w:pPr>
    <w:rPr>
      <w:rFonts w:ascii="Cambria" w:eastAsia="黑体" w:hAnsi="Cambria"/>
      <w:kern w:val="0"/>
      <w:sz w:val="20"/>
      <w:szCs w:val="20"/>
    </w:rPr>
  </w:style>
  <w:style w:type="paragraph" w:styleId="50">
    <w:name w:val="index 5"/>
    <w:basedOn w:val="a0"/>
    <w:next w:val="a0"/>
    <w:qFormat/>
    <w:rsid w:val="00A052DC"/>
    <w:pPr>
      <w:widowControl/>
      <w:spacing w:line="264" w:lineRule="auto"/>
      <w:ind w:left="1200" w:hanging="240"/>
      <w:jc w:val="left"/>
    </w:pPr>
    <w:rPr>
      <w:rFonts w:ascii="Times New Roman" w:hAnsi="Times New Roman"/>
      <w:kern w:val="0"/>
      <w:sz w:val="24"/>
      <w:szCs w:val="24"/>
      <w:lang w:eastAsia="en-US"/>
    </w:rPr>
  </w:style>
  <w:style w:type="paragraph" w:styleId="a6">
    <w:name w:val="List Bullet"/>
    <w:basedOn w:val="a0"/>
    <w:qFormat/>
    <w:rsid w:val="00A052DC"/>
    <w:pPr>
      <w:widowControl/>
      <w:tabs>
        <w:tab w:val="left" w:pos="425"/>
      </w:tabs>
      <w:spacing w:after="240" w:line="264" w:lineRule="auto"/>
      <w:ind w:left="425" w:hanging="425"/>
      <w:jc w:val="left"/>
    </w:pPr>
    <w:rPr>
      <w:rFonts w:ascii="Times New Roman" w:hAnsi="Times New Roman"/>
      <w:kern w:val="0"/>
      <w:sz w:val="24"/>
      <w:szCs w:val="24"/>
      <w:lang w:eastAsia="en-US"/>
    </w:rPr>
  </w:style>
  <w:style w:type="paragraph" w:styleId="a7">
    <w:name w:val="Document Map"/>
    <w:basedOn w:val="a0"/>
    <w:link w:val="12"/>
    <w:uiPriority w:val="99"/>
    <w:unhideWhenUsed/>
    <w:qFormat/>
    <w:rsid w:val="00A052DC"/>
    <w:rPr>
      <w:rFonts w:ascii="宋体"/>
      <w:kern w:val="0"/>
      <w:sz w:val="18"/>
      <w:szCs w:val="18"/>
    </w:rPr>
  </w:style>
  <w:style w:type="paragraph" w:styleId="a8">
    <w:name w:val="annotation text"/>
    <w:basedOn w:val="a0"/>
    <w:link w:val="13"/>
    <w:uiPriority w:val="99"/>
    <w:qFormat/>
    <w:rsid w:val="00A052DC"/>
    <w:pPr>
      <w:spacing w:line="360" w:lineRule="auto"/>
      <w:ind w:firstLineChars="200" w:firstLine="200"/>
      <w:jc w:val="left"/>
    </w:pPr>
    <w:rPr>
      <w:kern w:val="0"/>
      <w:sz w:val="20"/>
      <w:szCs w:val="24"/>
    </w:rPr>
  </w:style>
  <w:style w:type="paragraph" w:styleId="60">
    <w:name w:val="index 6"/>
    <w:basedOn w:val="a0"/>
    <w:next w:val="a0"/>
    <w:qFormat/>
    <w:rsid w:val="00A052DC"/>
    <w:pPr>
      <w:widowControl/>
      <w:spacing w:line="264" w:lineRule="auto"/>
      <w:ind w:left="1440" w:hanging="240"/>
      <w:jc w:val="left"/>
    </w:pPr>
    <w:rPr>
      <w:rFonts w:ascii="Times New Roman" w:hAnsi="Times New Roman"/>
      <w:kern w:val="0"/>
      <w:sz w:val="24"/>
      <w:szCs w:val="24"/>
      <w:lang w:eastAsia="en-US"/>
    </w:rPr>
  </w:style>
  <w:style w:type="paragraph" w:styleId="30">
    <w:name w:val="List Bullet 3"/>
    <w:basedOn w:val="a0"/>
    <w:qFormat/>
    <w:rsid w:val="00A052DC"/>
    <w:pPr>
      <w:widowControl/>
      <w:tabs>
        <w:tab w:val="left" w:pos="1080"/>
      </w:tabs>
      <w:spacing w:line="264" w:lineRule="auto"/>
      <w:ind w:left="1080" w:hanging="360"/>
      <w:jc w:val="left"/>
    </w:pPr>
    <w:rPr>
      <w:rFonts w:ascii="Times New Roman" w:hAnsi="Times New Roman"/>
      <w:kern w:val="0"/>
      <w:sz w:val="24"/>
      <w:szCs w:val="24"/>
      <w:lang w:eastAsia="en-US"/>
    </w:rPr>
  </w:style>
  <w:style w:type="paragraph" w:styleId="a9">
    <w:name w:val="Body Text"/>
    <w:basedOn w:val="a0"/>
    <w:link w:val="14"/>
    <w:qFormat/>
    <w:rsid w:val="00A052DC"/>
    <w:pPr>
      <w:spacing w:after="120" w:line="360" w:lineRule="auto"/>
      <w:ind w:firstLineChars="200" w:firstLine="200"/>
    </w:pPr>
    <w:rPr>
      <w:kern w:val="0"/>
      <w:sz w:val="24"/>
      <w:szCs w:val="20"/>
    </w:rPr>
  </w:style>
  <w:style w:type="paragraph" w:styleId="aa">
    <w:name w:val="Body Text Indent"/>
    <w:basedOn w:val="a0"/>
    <w:link w:val="15"/>
    <w:qFormat/>
    <w:rsid w:val="00A052DC"/>
    <w:pPr>
      <w:spacing w:after="120" w:line="360" w:lineRule="auto"/>
      <w:ind w:left="420" w:firstLineChars="200" w:firstLine="200"/>
    </w:pPr>
    <w:rPr>
      <w:rFonts w:eastAsia="仿宋_GB2312"/>
      <w:kern w:val="0"/>
      <w:sz w:val="24"/>
      <w:szCs w:val="20"/>
    </w:rPr>
  </w:style>
  <w:style w:type="paragraph" w:styleId="20">
    <w:name w:val="List Bullet 2"/>
    <w:basedOn w:val="a0"/>
    <w:qFormat/>
    <w:rsid w:val="00A052DC"/>
    <w:pPr>
      <w:widowControl/>
      <w:tabs>
        <w:tab w:val="left" w:pos="1280"/>
      </w:tabs>
      <w:spacing w:line="264" w:lineRule="auto"/>
      <w:ind w:firstLine="560"/>
      <w:jc w:val="left"/>
    </w:pPr>
    <w:rPr>
      <w:rFonts w:ascii="Times New Roman" w:hAnsi="Times New Roman"/>
      <w:kern w:val="0"/>
      <w:sz w:val="24"/>
      <w:szCs w:val="24"/>
      <w:lang w:eastAsia="en-US"/>
    </w:rPr>
  </w:style>
  <w:style w:type="paragraph" w:styleId="42">
    <w:name w:val="index 4"/>
    <w:basedOn w:val="a0"/>
    <w:next w:val="a0"/>
    <w:qFormat/>
    <w:rsid w:val="00A052DC"/>
    <w:pPr>
      <w:widowControl/>
      <w:spacing w:line="264" w:lineRule="auto"/>
      <w:ind w:left="960" w:hanging="240"/>
      <w:jc w:val="left"/>
    </w:pPr>
    <w:rPr>
      <w:rFonts w:ascii="Times New Roman" w:hAnsi="Times New Roman"/>
      <w:kern w:val="0"/>
      <w:sz w:val="24"/>
      <w:szCs w:val="24"/>
      <w:lang w:eastAsia="en-US"/>
    </w:rPr>
  </w:style>
  <w:style w:type="paragraph" w:styleId="TOC5">
    <w:name w:val="toc 5"/>
    <w:basedOn w:val="a0"/>
    <w:next w:val="a0"/>
    <w:uiPriority w:val="39"/>
    <w:qFormat/>
    <w:rsid w:val="00A052DC"/>
    <w:pPr>
      <w:spacing w:line="360" w:lineRule="auto"/>
      <w:ind w:leftChars="800" w:left="1680" w:firstLineChars="200" w:firstLine="200"/>
    </w:pPr>
    <w:rPr>
      <w:kern w:val="0"/>
      <w:sz w:val="24"/>
      <w:szCs w:val="20"/>
    </w:rPr>
  </w:style>
  <w:style w:type="paragraph" w:styleId="TOC3">
    <w:name w:val="toc 3"/>
    <w:basedOn w:val="a0"/>
    <w:next w:val="a0"/>
    <w:uiPriority w:val="39"/>
    <w:qFormat/>
    <w:rsid w:val="00A052DC"/>
    <w:pPr>
      <w:spacing w:line="360" w:lineRule="auto"/>
      <w:ind w:leftChars="400" w:left="840" w:firstLineChars="200" w:firstLine="200"/>
    </w:pPr>
    <w:rPr>
      <w:kern w:val="0"/>
      <w:sz w:val="24"/>
      <w:szCs w:val="20"/>
    </w:rPr>
  </w:style>
  <w:style w:type="paragraph" w:styleId="ab">
    <w:name w:val="Plain Text"/>
    <w:basedOn w:val="a0"/>
    <w:link w:val="16"/>
    <w:qFormat/>
    <w:rsid w:val="00A052DC"/>
    <w:rPr>
      <w:rFonts w:ascii="宋体" w:hAnsi="Courier New"/>
      <w:kern w:val="0"/>
      <w:sz w:val="20"/>
      <w:szCs w:val="20"/>
    </w:rPr>
  </w:style>
  <w:style w:type="paragraph" w:styleId="52">
    <w:name w:val="List Bullet 5"/>
    <w:basedOn w:val="a0"/>
    <w:qFormat/>
    <w:rsid w:val="00A052DC"/>
    <w:pPr>
      <w:widowControl/>
      <w:tabs>
        <w:tab w:val="left" w:pos="1800"/>
      </w:tabs>
      <w:spacing w:line="264" w:lineRule="auto"/>
      <w:ind w:left="1800" w:hanging="360"/>
      <w:jc w:val="left"/>
    </w:pPr>
    <w:rPr>
      <w:rFonts w:ascii="Times New Roman" w:hAnsi="Times New Roman"/>
      <w:kern w:val="0"/>
      <w:sz w:val="24"/>
      <w:szCs w:val="24"/>
      <w:lang w:eastAsia="en-US"/>
    </w:rPr>
  </w:style>
  <w:style w:type="paragraph" w:styleId="TOC8">
    <w:name w:val="toc 8"/>
    <w:basedOn w:val="a0"/>
    <w:next w:val="a0"/>
    <w:uiPriority w:val="39"/>
    <w:qFormat/>
    <w:rsid w:val="00A052DC"/>
    <w:pPr>
      <w:spacing w:line="360" w:lineRule="auto"/>
      <w:ind w:leftChars="1400" w:left="2940" w:firstLineChars="200" w:firstLine="200"/>
    </w:pPr>
    <w:rPr>
      <w:kern w:val="0"/>
      <w:sz w:val="24"/>
      <w:szCs w:val="20"/>
    </w:rPr>
  </w:style>
  <w:style w:type="paragraph" w:styleId="32">
    <w:name w:val="index 3"/>
    <w:basedOn w:val="a0"/>
    <w:next w:val="a0"/>
    <w:qFormat/>
    <w:rsid w:val="00A052DC"/>
    <w:pPr>
      <w:widowControl/>
      <w:spacing w:line="264" w:lineRule="auto"/>
      <w:ind w:left="720" w:hanging="240"/>
      <w:jc w:val="left"/>
    </w:pPr>
    <w:rPr>
      <w:rFonts w:ascii="Times New Roman" w:hAnsi="Times New Roman"/>
      <w:kern w:val="0"/>
      <w:sz w:val="24"/>
      <w:szCs w:val="24"/>
      <w:lang w:eastAsia="en-US"/>
    </w:rPr>
  </w:style>
  <w:style w:type="paragraph" w:styleId="ac">
    <w:name w:val="Date"/>
    <w:basedOn w:val="a0"/>
    <w:next w:val="a0"/>
    <w:link w:val="17"/>
    <w:uiPriority w:val="99"/>
    <w:unhideWhenUsed/>
    <w:qFormat/>
    <w:rsid w:val="00A052DC"/>
    <w:pPr>
      <w:ind w:leftChars="2500" w:left="100"/>
    </w:pPr>
  </w:style>
  <w:style w:type="paragraph" w:styleId="22">
    <w:name w:val="Body Text Indent 2"/>
    <w:basedOn w:val="a0"/>
    <w:link w:val="210"/>
    <w:uiPriority w:val="99"/>
    <w:qFormat/>
    <w:rsid w:val="00A052DC"/>
    <w:pPr>
      <w:spacing w:after="120" w:line="480" w:lineRule="auto"/>
      <w:ind w:leftChars="200" w:left="420" w:firstLineChars="200" w:firstLine="200"/>
    </w:pPr>
    <w:rPr>
      <w:kern w:val="0"/>
      <w:sz w:val="24"/>
      <w:szCs w:val="20"/>
    </w:rPr>
  </w:style>
  <w:style w:type="paragraph" w:styleId="ad">
    <w:name w:val="endnote text"/>
    <w:basedOn w:val="a0"/>
    <w:link w:val="18"/>
    <w:qFormat/>
    <w:rsid w:val="00A052DC"/>
    <w:pPr>
      <w:snapToGrid w:val="0"/>
      <w:spacing w:line="360" w:lineRule="auto"/>
      <w:ind w:firstLineChars="200" w:firstLine="200"/>
      <w:jc w:val="left"/>
    </w:pPr>
    <w:rPr>
      <w:kern w:val="0"/>
      <w:sz w:val="20"/>
      <w:szCs w:val="24"/>
    </w:rPr>
  </w:style>
  <w:style w:type="paragraph" w:styleId="ae">
    <w:name w:val="Balloon Text"/>
    <w:basedOn w:val="a0"/>
    <w:link w:val="19"/>
    <w:uiPriority w:val="99"/>
    <w:qFormat/>
    <w:rsid w:val="00A052DC"/>
    <w:pPr>
      <w:spacing w:line="360" w:lineRule="auto"/>
      <w:ind w:firstLineChars="200" w:firstLine="200"/>
    </w:pPr>
    <w:rPr>
      <w:kern w:val="0"/>
      <w:sz w:val="18"/>
      <w:szCs w:val="18"/>
    </w:rPr>
  </w:style>
  <w:style w:type="paragraph" w:styleId="af">
    <w:name w:val="footer"/>
    <w:basedOn w:val="a0"/>
    <w:link w:val="1a"/>
    <w:uiPriority w:val="99"/>
    <w:unhideWhenUsed/>
    <w:qFormat/>
    <w:rsid w:val="00A052DC"/>
    <w:pPr>
      <w:tabs>
        <w:tab w:val="center" w:pos="4153"/>
        <w:tab w:val="right" w:pos="8306"/>
      </w:tabs>
      <w:snapToGrid w:val="0"/>
      <w:jc w:val="left"/>
    </w:pPr>
    <w:rPr>
      <w:kern w:val="0"/>
      <w:sz w:val="18"/>
      <w:szCs w:val="18"/>
    </w:rPr>
  </w:style>
  <w:style w:type="paragraph" w:styleId="af0">
    <w:name w:val="header"/>
    <w:basedOn w:val="a0"/>
    <w:link w:val="1b"/>
    <w:uiPriority w:val="99"/>
    <w:unhideWhenUsed/>
    <w:qFormat/>
    <w:rsid w:val="00A052DC"/>
    <w:pPr>
      <w:pBdr>
        <w:bottom w:val="single" w:sz="6" w:space="1" w:color="auto"/>
      </w:pBdr>
      <w:tabs>
        <w:tab w:val="center" w:pos="4153"/>
        <w:tab w:val="right" w:pos="8306"/>
      </w:tabs>
      <w:snapToGrid w:val="0"/>
      <w:jc w:val="center"/>
    </w:pPr>
    <w:rPr>
      <w:kern w:val="0"/>
      <w:sz w:val="18"/>
      <w:szCs w:val="18"/>
    </w:rPr>
  </w:style>
  <w:style w:type="paragraph" w:styleId="TOC1">
    <w:name w:val="toc 1"/>
    <w:basedOn w:val="a0"/>
    <w:next w:val="a0"/>
    <w:uiPriority w:val="39"/>
    <w:qFormat/>
    <w:rsid w:val="00A052DC"/>
    <w:pPr>
      <w:tabs>
        <w:tab w:val="left" w:pos="1260"/>
        <w:tab w:val="right" w:leader="dot" w:pos="8302"/>
      </w:tabs>
      <w:spacing w:line="360" w:lineRule="auto"/>
      <w:ind w:firstLineChars="200" w:firstLine="480"/>
      <w:jc w:val="center"/>
    </w:pPr>
    <w:rPr>
      <w:kern w:val="0"/>
      <w:sz w:val="24"/>
      <w:szCs w:val="20"/>
    </w:rPr>
  </w:style>
  <w:style w:type="paragraph" w:styleId="TOC4">
    <w:name w:val="toc 4"/>
    <w:basedOn w:val="a0"/>
    <w:next w:val="a0"/>
    <w:uiPriority w:val="39"/>
    <w:qFormat/>
    <w:rsid w:val="00A052DC"/>
    <w:pPr>
      <w:spacing w:line="360" w:lineRule="auto"/>
      <w:ind w:leftChars="600" w:left="1260" w:firstLineChars="200" w:firstLine="200"/>
    </w:pPr>
    <w:rPr>
      <w:kern w:val="0"/>
      <w:sz w:val="24"/>
      <w:szCs w:val="20"/>
    </w:rPr>
  </w:style>
  <w:style w:type="paragraph" w:styleId="af1">
    <w:name w:val="Subtitle"/>
    <w:basedOn w:val="a0"/>
    <w:next w:val="a0"/>
    <w:link w:val="1c"/>
    <w:uiPriority w:val="11"/>
    <w:qFormat/>
    <w:rsid w:val="00A052DC"/>
    <w:rPr>
      <w:rFonts w:ascii="Cambria" w:hAnsi="Cambria"/>
      <w:i/>
      <w:iCs/>
      <w:color w:val="4F81BD"/>
      <w:spacing w:val="15"/>
      <w:kern w:val="0"/>
      <w:sz w:val="24"/>
      <w:szCs w:val="20"/>
    </w:rPr>
  </w:style>
  <w:style w:type="paragraph" w:styleId="a">
    <w:name w:val="footnote text"/>
    <w:basedOn w:val="a0"/>
    <w:link w:val="1d"/>
    <w:qFormat/>
    <w:rsid w:val="00A052DC"/>
    <w:pPr>
      <w:widowControl/>
      <w:numPr>
        <w:numId w:val="2"/>
      </w:numPr>
      <w:snapToGrid w:val="0"/>
      <w:spacing w:line="360" w:lineRule="auto"/>
      <w:ind w:left="0" w:firstLineChars="200" w:firstLine="200"/>
      <w:jc w:val="left"/>
    </w:pPr>
    <w:rPr>
      <w:kern w:val="0"/>
      <w:sz w:val="18"/>
      <w:szCs w:val="18"/>
    </w:rPr>
  </w:style>
  <w:style w:type="paragraph" w:styleId="TOC6">
    <w:name w:val="toc 6"/>
    <w:basedOn w:val="a0"/>
    <w:next w:val="a0"/>
    <w:uiPriority w:val="39"/>
    <w:qFormat/>
    <w:rsid w:val="00A052DC"/>
    <w:pPr>
      <w:spacing w:line="360" w:lineRule="auto"/>
      <w:ind w:leftChars="1000" w:left="2100" w:firstLineChars="200" w:firstLine="200"/>
    </w:pPr>
    <w:rPr>
      <w:kern w:val="0"/>
      <w:sz w:val="24"/>
      <w:szCs w:val="20"/>
    </w:rPr>
  </w:style>
  <w:style w:type="paragraph" w:styleId="33">
    <w:name w:val="Body Text Indent 3"/>
    <w:basedOn w:val="a0"/>
    <w:link w:val="310"/>
    <w:uiPriority w:val="99"/>
    <w:qFormat/>
    <w:rsid w:val="00A052DC"/>
    <w:pPr>
      <w:spacing w:after="120" w:line="360" w:lineRule="auto"/>
      <w:ind w:leftChars="200" w:left="420" w:firstLineChars="200" w:firstLine="200"/>
    </w:pPr>
    <w:rPr>
      <w:kern w:val="0"/>
      <w:sz w:val="16"/>
      <w:szCs w:val="16"/>
    </w:rPr>
  </w:style>
  <w:style w:type="paragraph" w:styleId="70">
    <w:name w:val="index 7"/>
    <w:basedOn w:val="a0"/>
    <w:next w:val="a0"/>
    <w:qFormat/>
    <w:rsid w:val="00A052DC"/>
    <w:pPr>
      <w:widowControl/>
      <w:spacing w:line="264" w:lineRule="auto"/>
      <w:ind w:left="1680" w:hanging="240"/>
      <w:jc w:val="left"/>
    </w:pPr>
    <w:rPr>
      <w:rFonts w:ascii="Times New Roman" w:hAnsi="Times New Roman"/>
      <w:kern w:val="0"/>
      <w:sz w:val="24"/>
      <w:szCs w:val="24"/>
      <w:lang w:eastAsia="en-US"/>
    </w:rPr>
  </w:style>
  <w:style w:type="paragraph" w:styleId="90">
    <w:name w:val="index 9"/>
    <w:basedOn w:val="a0"/>
    <w:next w:val="a0"/>
    <w:qFormat/>
    <w:rsid w:val="00A052DC"/>
    <w:pPr>
      <w:widowControl/>
      <w:spacing w:line="264" w:lineRule="auto"/>
      <w:ind w:left="2160" w:hanging="240"/>
      <w:jc w:val="left"/>
    </w:pPr>
    <w:rPr>
      <w:rFonts w:ascii="Times New Roman" w:hAnsi="Times New Roman"/>
      <w:kern w:val="0"/>
      <w:sz w:val="24"/>
      <w:szCs w:val="24"/>
      <w:lang w:eastAsia="en-US"/>
    </w:rPr>
  </w:style>
  <w:style w:type="paragraph" w:styleId="TOC2">
    <w:name w:val="toc 2"/>
    <w:basedOn w:val="a0"/>
    <w:next w:val="a0"/>
    <w:uiPriority w:val="39"/>
    <w:qFormat/>
    <w:rsid w:val="00A052DC"/>
    <w:pPr>
      <w:spacing w:line="360" w:lineRule="auto"/>
      <w:ind w:left="420" w:firstLineChars="200" w:firstLine="200"/>
    </w:pPr>
    <w:rPr>
      <w:kern w:val="0"/>
      <w:sz w:val="24"/>
      <w:szCs w:val="20"/>
    </w:rPr>
  </w:style>
  <w:style w:type="paragraph" w:styleId="TOC9">
    <w:name w:val="toc 9"/>
    <w:basedOn w:val="a0"/>
    <w:next w:val="a0"/>
    <w:uiPriority w:val="39"/>
    <w:qFormat/>
    <w:rsid w:val="00A052DC"/>
    <w:pPr>
      <w:spacing w:line="360" w:lineRule="auto"/>
      <w:ind w:leftChars="1600" w:left="3360" w:firstLineChars="200" w:firstLine="200"/>
    </w:pPr>
    <w:rPr>
      <w:kern w:val="0"/>
      <w:sz w:val="24"/>
      <w:szCs w:val="20"/>
    </w:rPr>
  </w:style>
  <w:style w:type="paragraph" w:styleId="af2">
    <w:name w:val="Normal (Web)"/>
    <w:basedOn w:val="a0"/>
    <w:uiPriority w:val="99"/>
    <w:unhideWhenUsed/>
    <w:qFormat/>
    <w:rsid w:val="00A052DC"/>
    <w:pPr>
      <w:widowControl/>
      <w:spacing w:before="100" w:beforeAutospacing="1" w:after="100" w:afterAutospacing="1"/>
      <w:jc w:val="left"/>
    </w:pPr>
    <w:rPr>
      <w:rFonts w:ascii="宋体" w:hAnsi="宋体" w:cs="宋体"/>
      <w:kern w:val="0"/>
      <w:sz w:val="24"/>
      <w:szCs w:val="24"/>
    </w:rPr>
  </w:style>
  <w:style w:type="paragraph" w:styleId="1e">
    <w:name w:val="index 1"/>
    <w:basedOn w:val="a0"/>
    <w:next w:val="a0"/>
    <w:qFormat/>
    <w:rsid w:val="00A052DC"/>
    <w:pPr>
      <w:widowControl/>
      <w:spacing w:line="264" w:lineRule="auto"/>
      <w:ind w:left="240" w:hanging="240"/>
      <w:jc w:val="left"/>
    </w:pPr>
    <w:rPr>
      <w:rFonts w:ascii="Times New Roman" w:hAnsi="Times New Roman"/>
      <w:kern w:val="0"/>
      <w:sz w:val="24"/>
      <w:szCs w:val="24"/>
      <w:lang w:eastAsia="en-US"/>
    </w:rPr>
  </w:style>
  <w:style w:type="paragraph" w:styleId="23">
    <w:name w:val="index 2"/>
    <w:basedOn w:val="a0"/>
    <w:next w:val="a0"/>
    <w:qFormat/>
    <w:rsid w:val="00A052DC"/>
    <w:pPr>
      <w:widowControl/>
      <w:spacing w:line="264" w:lineRule="auto"/>
      <w:ind w:left="480" w:hanging="240"/>
      <w:jc w:val="left"/>
    </w:pPr>
    <w:rPr>
      <w:rFonts w:ascii="Times New Roman" w:hAnsi="Times New Roman"/>
      <w:kern w:val="0"/>
      <w:sz w:val="24"/>
      <w:szCs w:val="24"/>
      <w:lang w:eastAsia="en-US"/>
    </w:rPr>
  </w:style>
  <w:style w:type="paragraph" w:styleId="af3">
    <w:name w:val="Title"/>
    <w:basedOn w:val="a0"/>
    <w:link w:val="1f"/>
    <w:qFormat/>
    <w:rsid w:val="00A052DC"/>
    <w:pPr>
      <w:spacing w:line="360" w:lineRule="auto"/>
      <w:ind w:firstLineChars="200" w:firstLine="200"/>
      <w:jc w:val="center"/>
    </w:pPr>
    <w:rPr>
      <w:b/>
      <w:kern w:val="0"/>
      <w:sz w:val="32"/>
      <w:szCs w:val="20"/>
    </w:rPr>
  </w:style>
  <w:style w:type="paragraph" w:styleId="af4">
    <w:name w:val="annotation subject"/>
    <w:basedOn w:val="a8"/>
    <w:next w:val="a8"/>
    <w:link w:val="1f0"/>
    <w:uiPriority w:val="99"/>
    <w:qFormat/>
    <w:rsid w:val="00A052DC"/>
    <w:rPr>
      <w:b/>
      <w:bCs/>
    </w:rPr>
  </w:style>
  <w:style w:type="paragraph" w:styleId="af5">
    <w:name w:val="Body Text First Indent"/>
    <w:basedOn w:val="a9"/>
    <w:link w:val="af6"/>
    <w:qFormat/>
    <w:rsid w:val="00A052DC"/>
    <w:pPr>
      <w:ind w:firstLineChars="100" w:firstLine="420"/>
    </w:pPr>
  </w:style>
  <w:style w:type="table" w:styleId="af7">
    <w:name w:val="Table Grid"/>
    <w:basedOn w:val="a2"/>
    <w:uiPriority w:val="59"/>
    <w:qFormat/>
    <w:rsid w:val="00A052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Strong"/>
    <w:uiPriority w:val="22"/>
    <w:qFormat/>
    <w:rsid w:val="00A052DC"/>
    <w:rPr>
      <w:b/>
      <w:bCs/>
    </w:rPr>
  </w:style>
  <w:style w:type="character" w:styleId="af9">
    <w:name w:val="endnote reference"/>
    <w:qFormat/>
    <w:rsid w:val="00A052DC"/>
    <w:rPr>
      <w:vertAlign w:val="superscript"/>
    </w:rPr>
  </w:style>
  <w:style w:type="character" w:styleId="afa">
    <w:name w:val="page number"/>
    <w:basedOn w:val="a1"/>
    <w:qFormat/>
    <w:rsid w:val="00A052DC"/>
  </w:style>
  <w:style w:type="character" w:styleId="afb">
    <w:name w:val="FollowedHyperlink"/>
    <w:uiPriority w:val="99"/>
    <w:unhideWhenUsed/>
    <w:qFormat/>
    <w:rsid w:val="00A052DC"/>
    <w:rPr>
      <w:color w:val="800080"/>
      <w:u w:val="single"/>
    </w:rPr>
  </w:style>
  <w:style w:type="character" w:styleId="afc">
    <w:name w:val="Emphasis"/>
    <w:uiPriority w:val="20"/>
    <w:qFormat/>
    <w:rsid w:val="00A052DC"/>
    <w:rPr>
      <w:i/>
      <w:iCs/>
    </w:rPr>
  </w:style>
  <w:style w:type="character" w:styleId="afd">
    <w:name w:val="Hyperlink"/>
    <w:uiPriority w:val="99"/>
    <w:qFormat/>
    <w:rsid w:val="00A052DC"/>
    <w:rPr>
      <w:color w:val="0000FF"/>
      <w:u w:val="single"/>
    </w:rPr>
  </w:style>
  <w:style w:type="character" w:styleId="afe">
    <w:name w:val="annotation reference"/>
    <w:qFormat/>
    <w:rsid w:val="00A052DC"/>
    <w:rPr>
      <w:sz w:val="21"/>
      <w:szCs w:val="21"/>
    </w:rPr>
  </w:style>
  <w:style w:type="character" w:styleId="aff">
    <w:name w:val="footnote reference"/>
    <w:qFormat/>
    <w:rsid w:val="00A052DC"/>
    <w:rPr>
      <w:vertAlign w:val="superscript"/>
    </w:rPr>
  </w:style>
  <w:style w:type="character" w:customStyle="1" w:styleId="11">
    <w:name w:val="标题 1 字符1"/>
    <w:link w:val="1"/>
    <w:uiPriority w:val="9"/>
    <w:qFormat/>
    <w:rsid w:val="00A052DC"/>
    <w:rPr>
      <w:rFonts w:eastAsia="黑体"/>
      <w:b/>
      <w:bCs/>
      <w:kern w:val="44"/>
      <w:sz w:val="44"/>
      <w:szCs w:val="44"/>
    </w:rPr>
  </w:style>
  <w:style w:type="character" w:customStyle="1" w:styleId="21">
    <w:name w:val="标题 2 字符1"/>
    <w:link w:val="2"/>
    <w:uiPriority w:val="9"/>
    <w:qFormat/>
    <w:rsid w:val="00A052DC"/>
    <w:rPr>
      <w:rFonts w:ascii="Cambria" w:eastAsia="黑体" w:hAnsi="Cambria"/>
      <w:b/>
      <w:bCs/>
      <w:sz w:val="32"/>
      <w:szCs w:val="32"/>
    </w:rPr>
  </w:style>
  <w:style w:type="character" w:customStyle="1" w:styleId="31">
    <w:name w:val="标题 3 字符1"/>
    <w:link w:val="3"/>
    <w:uiPriority w:val="9"/>
    <w:qFormat/>
    <w:rsid w:val="00A052DC"/>
    <w:rPr>
      <w:rFonts w:eastAsia="黑体"/>
      <w:b/>
      <w:bCs/>
      <w:sz w:val="32"/>
      <w:szCs w:val="32"/>
    </w:rPr>
  </w:style>
  <w:style w:type="character" w:customStyle="1" w:styleId="41">
    <w:name w:val="标题 4 字符1"/>
    <w:link w:val="4"/>
    <w:uiPriority w:val="9"/>
    <w:qFormat/>
    <w:rsid w:val="007C7B79"/>
    <w:rPr>
      <w:rFonts w:ascii="Times New Roman" w:hAnsi="Times New Roman"/>
      <w:b/>
      <w:bCs/>
      <w:sz w:val="28"/>
      <w:szCs w:val="28"/>
    </w:rPr>
  </w:style>
  <w:style w:type="character" w:customStyle="1" w:styleId="51">
    <w:name w:val="标题 5 字符1"/>
    <w:link w:val="5"/>
    <w:qFormat/>
    <w:rsid w:val="00A052DC"/>
    <w:rPr>
      <w:rFonts w:ascii="Times New Roman" w:eastAsia="宋体" w:hAnsi="Times New Roman" w:cs="Times New Roman"/>
      <w:b/>
      <w:bCs/>
      <w:sz w:val="28"/>
      <w:szCs w:val="28"/>
    </w:rPr>
  </w:style>
  <w:style w:type="character" w:customStyle="1" w:styleId="61">
    <w:name w:val="标题 6 字符1"/>
    <w:link w:val="6"/>
    <w:qFormat/>
    <w:rsid w:val="00A052DC"/>
    <w:rPr>
      <w:rFonts w:ascii="Arial" w:eastAsia="黑体" w:hAnsi="Arial" w:cs="Times New Roman"/>
      <w:b/>
      <w:bCs/>
      <w:sz w:val="24"/>
      <w:szCs w:val="24"/>
    </w:rPr>
  </w:style>
  <w:style w:type="character" w:customStyle="1" w:styleId="71">
    <w:name w:val="标题 7 字符1"/>
    <w:link w:val="7"/>
    <w:qFormat/>
    <w:rsid w:val="00A052DC"/>
    <w:rPr>
      <w:rFonts w:ascii="Times New Roman" w:eastAsia="宋体" w:hAnsi="Times New Roman" w:cs="Times New Roman"/>
      <w:b/>
      <w:bCs/>
      <w:sz w:val="24"/>
      <w:szCs w:val="24"/>
    </w:rPr>
  </w:style>
  <w:style w:type="character" w:customStyle="1" w:styleId="81">
    <w:name w:val="标题 8 字符1"/>
    <w:link w:val="8"/>
    <w:qFormat/>
    <w:rsid w:val="00A052DC"/>
    <w:rPr>
      <w:rFonts w:ascii="Arial" w:eastAsia="黑体" w:hAnsi="Arial" w:cs="Times New Roman"/>
      <w:sz w:val="24"/>
      <w:szCs w:val="24"/>
    </w:rPr>
  </w:style>
  <w:style w:type="character" w:customStyle="1" w:styleId="91">
    <w:name w:val="标题 9 字符1"/>
    <w:link w:val="9"/>
    <w:qFormat/>
    <w:rsid w:val="00A052DC"/>
    <w:rPr>
      <w:rFonts w:ascii="Arial" w:eastAsia="黑体" w:hAnsi="Arial" w:cs="Times New Roman"/>
      <w:szCs w:val="21"/>
    </w:rPr>
  </w:style>
  <w:style w:type="character" w:customStyle="1" w:styleId="1f">
    <w:name w:val="标题 字符1"/>
    <w:link w:val="af3"/>
    <w:qFormat/>
    <w:rsid w:val="00A052DC"/>
    <w:rPr>
      <w:rFonts w:ascii="Calibri" w:eastAsia="宋体" w:hAnsi="Calibri" w:cs="Times New Roman"/>
      <w:b/>
      <w:kern w:val="0"/>
      <w:sz w:val="32"/>
      <w:szCs w:val="20"/>
    </w:rPr>
  </w:style>
  <w:style w:type="character" w:customStyle="1" w:styleId="12">
    <w:name w:val="文档结构图 字符1"/>
    <w:link w:val="a7"/>
    <w:uiPriority w:val="99"/>
    <w:qFormat/>
    <w:rsid w:val="00A052DC"/>
    <w:rPr>
      <w:rFonts w:ascii="宋体" w:eastAsia="宋体"/>
      <w:sz w:val="18"/>
      <w:szCs w:val="18"/>
    </w:rPr>
  </w:style>
  <w:style w:type="paragraph" w:customStyle="1" w:styleId="ParagraphNumbering">
    <w:name w:val="Paragraph Numbering"/>
    <w:basedOn w:val="a0"/>
    <w:qFormat/>
    <w:rsid w:val="00A052DC"/>
    <w:pPr>
      <w:widowControl/>
      <w:tabs>
        <w:tab w:val="left" w:pos="1280"/>
      </w:tabs>
      <w:spacing w:after="240" w:line="264" w:lineRule="auto"/>
      <w:ind w:firstLine="560"/>
      <w:jc w:val="left"/>
    </w:pPr>
    <w:rPr>
      <w:rFonts w:ascii="Times New Roman" w:hAnsi="Times New Roman"/>
      <w:kern w:val="0"/>
      <w:sz w:val="24"/>
      <w:szCs w:val="24"/>
      <w:lang w:eastAsia="en-US"/>
    </w:rPr>
  </w:style>
  <w:style w:type="paragraph" w:customStyle="1" w:styleId="B">
    <w:name w:val="B表格正文"/>
    <w:next w:val="a0"/>
    <w:qFormat/>
    <w:rsid w:val="00A052DC"/>
    <w:pPr>
      <w:jc w:val="both"/>
    </w:pPr>
    <w:rPr>
      <w:rFonts w:ascii="黑体" w:eastAsia="黑体" w:hAnsi="黑体"/>
      <w:szCs w:val="21"/>
    </w:rPr>
  </w:style>
  <w:style w:type="character" w:customStyle="1" w:styleId="15">
    <w:name w:val="正文文本缩进 字符1"/>
    <w:link w:val="aa"/>
    <w:qFormat/>
    <w:rsid w:val="00A052DC"/>
    <w:rPr>
      <w:rFonts w:ascii="Calibri" w:eastAsia="仿宋_GB2312" w:hAnsi="Calibri" w:cs="Times New Roman"/>
      <w:kern w:val="0"/>
      <w:sz w:val="24"/>
      <w:szCs w:val="20"/>
    </w:rPr>
  </w:style>
  <w:style w:type="paragraph" w:customStyle="1" w:styleId="B0">
    <w:name w:val="B表格题注"/>
    <w:next w:val="a0"/>
    <w:qFormat/>
    <w:rsid w:val="00A052DC"/>
    <w:pPr>
      <w:tabs>
        <w:tab w:val="left" w:pos="420"/>
      </w:tabs>
      <w:spacing w:line="360" w:lineRule="auto"/>
      <w:ind w:left="420" w:hanging="420"/>
      <w:jc w:val="center"/>
    </w:pPr>
    <w:rPr>
      <w:rFonts w:eastAsia="黑体"/>
      <w:b/>
    </w:rPr>
  </w:style>
  <w:style w:type="character" w:customStyle="1" w:styleId="1b">
    <w:name w:val="页眉 字符1"/>
    <w:link w:val="af0"/>
    <w:uiPriority w:val="99"/>
    <w:qFormat/>
    <w:rsid w:val="00A052DC"/>
    <w:rPr>
      <w:sz w:val="18"/>
      <w:szCs w:val="18"/>
    </w:rPr>
  </w:style>
  <w:style w:type="character" w:customStyle="1" w:styleId="1a">
    <w:name w:val="页脚 字符1"/>
    <w:link w:val="af"/>
    <w:uiPriority w:val="99"/>
    <w:qFormat/>
    <w:rsid w:val="00A052DC"/>
    <w:rPr>
      <w:sz w:val="18"/>
      <w:szCs w:val="18"/>
    </w:rPr>
  </w:style>
  <w:style w:type="paragraph" w:customStyle="1" w:styleId="B1">
    <w:name w:val="B表头样式"/>
    <w:next w:val="a0"/>
    <w:qFormat/>
    <w:rsid w:val="00D95193"/>
    <w:pPr>
      <w:jc w:val="center"/>
    </w:pPr>
    <w:rPr>
      <w:rFonts w:ascii="黑体" w:eastAsia="黑体" w:hAnsi="黑体"/>
      <w:b/>
    </w:rPr>
  </w:style>
  <w:style w:type="paragraph" w:styleId="aff0">
    <w:name w:val="List Paragraph"/>
    <w:basedOn w:val="a0"/>
    <w:uiPriority w:val="34"/>
    <w:qFormat/>
    <w:rsid w:val="00A052DC"/>
    <w:pPr>
      <w:ind w:firstLineChars="200" w:firstLine="420"/>
    </w:pPr>
  </w:style>
  <w:style w:type="character" w:customStyle="1" w:styleId="210">
    <w:name w:val="正文文本缩进 2 字符1"/>
    <w:link w:val="22"/>
    <w:uiPriority w:val="99"/>
    <w:qFormat/>
    <w:rsid w:val="00A052DC"/>
    <w:rPr>
      <w:rFonts w:ascii="Calibri" w:eastAsia="宋体" w:hAnsi="Calibri" w:cs="Times New Roman"/>
      <w:kern w:val="0"/>
      <w:sz w:val="24"/>
      <w:szCs w:val="20"/>
    </w:rPr>
  </w:style>
  <w:style w:type="character" w:customStyle="1" w:styleId="310">
    <w:name w:val="正文文本缩进 3 字符1"/>
    <w:link w:val="33"/>
    <w:uiPriority w:val="99"/>
    <w:qFormat/>
    <w:rsid w:val="00A052DC"/>
    <w:rPr>
      <w:rFonts w:ascii="Calibri" w:eastAsia="宋体" w:hAnsi="Calibri" w:cs="Times New Roman"/>
      <w:kern w:val="0"/>
      <w:sz w:val="16"/>
      <w:szCs w:val="16"/>
    </w:rPr>
  </w:style>
  <w:style w:type="paragraph" w:customStyle="1" w:styleId="Web">
    <w:name w:val="普通 (Web)"/>
    <w:basedOn w:val="a0"/>
    <w:qFormat/>
    <w:rsid w:val="00A052DC"/>
    <w:pPr>
      <w:widowControl/>
      <w:spacing w:before="100" w:beforeAutospacing="1" w:after="100" w:afterAutospacing="1" w:line="360" w:lineRule="auto"/>
      <w:ind w:firstLineChars="200" w:firstLine="200"/>
      <w:jc w:val="left"/>
    </w:pPr>
    <w:rPr>
      <w:rFonts w:ascii="宋体" w:hAnsi="宋体" w:cs="黑体"/>
      <w:kern w:val="0"/>
      <w:sz w:val="24"/>
      <w:szCs w:val="20"/>
    </w:rPr>
  </w:style>
  <w:style w:type="character" w:customStyle="1" w:styleId="19">
    <w:name w:val="批注框文本 字符1"/>
    <w:link w:val="ae"/>
    <w:uiPriority w:val="99"/>
    <w:qFormat/>
    <w:rsid w:val="00A052DC"/>
    <w:rPr>
      <w:rFonts w:ascii="Calibri" w:eastAsia="宋体" w:hAnsi="Calibri" w:cs="Times New Roman"/>
      <w:kern w:val="0"/>
      <w:sz w:val="18"/>
      <w:szCs w:val="18"/>
    </w:rPr>
  </w:style>
  <w:style w:type="character" w:customStyle="1" w:styleId="14">
    <w:name w:val="正文文本 字符1"/>
    <w:link w:val="a9"/>
    <w:qFormat/>
    <w:rsid w:val="00A052DC"/>
    <w:rPr>
      <w:rFonts w:ascii="Calibri" w:eastAsia="宋体" w:hAnsi="Calibri" w:cs="Times New Roman"/>
      <w:kern w:val="0"/>
      <w:sz w:val="24"/>
      <w:szCs w:val="20"/>
    </w:rPr>
  </w:style>
  <w:style w:type="character" w:customStyle="1" w:styleId="af6">
    <w:name w:val="正文文本首行缩进 字符"/>
    <w:link w:val="af5"/>
    <w:qFormat/>
    <w:rsid w:val="00A052DC"/>
    <w:rPr>
      <w:rFonts w:ascii="Calibri" w:eastAsia="宋体" w:hAnsi="Calibri" w:cs="Times New Roman"/>
      <w:kern w:val="0"/>
      <w:sz w:val="24"/>
      <w:szCs w:val="20"/>
    </w:rPr>
  </w:style>
  <w:style w:type="paragraph" w:customStyle="1" w:styleId="aff1">
    <w:name w:val="附录表标题"/>
    <w:next w:val="a0"/>
    <w:qFormat/>
    <w:rsid w:val="00A052DC"/>
    <w:pPr>
      <w:jc w:val="center"/>
      <w:textAlignment w:val="baseline"/>
    </w:pPr>
    <w:rPr>
      <w:rFonts w:ascii="黑体" w:eastAsia="黑体"/>
      <w:kern w:val="21"/>
      <w:sz w:val="21"/>
    </w:rPr>
  </w:style>
  <w:style w:type="character" w:customStyle="1" w:styleId="1d">
    <w:name w:val="脚注文本 字符1"/>
    <w:link w:val="a"/>
    <w:qFormat/>
    <w:rsid w:val="00A052DC"/>
    <w:rPr>
      <w:sz w:val="18"/>
      <w:szCs w:val="18"/>
    </w:rPr>
  </w:style>
  <w:style w:type="character" w:customStyle="1" w:styleId="13">
    <w:name w:val="批注文字 字符1"/>
    <w:link w:val="a8"/>
    <w:uiPriority w:val="99"/>
    <w:qFormat/>
    <w:rsid w:val="00A052DC"/>
    <w:rPr>
      <w:rFonts w:ascii="Calibri" w:eastAsia="宋体" w:hAnsi="Calibri" w:cs="Times New Roman"/>
      <w:szCs w:val="24"/>
    </w:rPr>
  </w:style>
  <w:style w:type="character" w:customStyle="1" w:styleId="1f0">
    <w:name w:val="批注主题 字符1"/>
    <w:link w:val="af4"/>
    <w:uiPriority w:val="99"/>
    <w:qFormat/>
    <w:rsid w:val="00A052DC"/>
    <w:rPr>
      <w:rFonts w:ascii="Calibri" w:eastAsia="宋体" w:hAnsi="Calibri" w:cs="Times New Roman"/>
      <w:b/>
      <w:bCs/>
      <w:szCs w:val="24"/>
    </w:rPr>
  </w:style>
  <w:style w:type="paragraph" w:customStyle="1" w:styleId="GB231209812">
    <w:name w:val="样式 (中文) 仿宋_GB2312 四号 首行缩进:  0.98 厘米 段前: 12 磅"/>
    <w:basedOn w:val="a0"/>
    <w:qFormat/>
    <w:rsid w:val="00A052DC"/>
    <w:pPr>
      <w:spacing w:line="360" w:lineRule="auto"/>
      <w:ind w:firstLineChars="200" w:firstLine="556"/>
    </w:pPr>
    <w:rPr>
      <w:rFonts w:eastAsia="仿宋_GB2312" w:cs="黑体"/>
      <w:kern w:val="0"/>
      <w:sz w:val="28"/>
      <w:szCs w:val="20"/>
    </w:rPr>
  </w:style>
  <w:style w:type="character" w:customStyle="1" w:styleId="18">
    <w:name w:val="尾注文本 字符1"/>
    <w:link w:val="ad"/>
    <w:qFormat/>
    <w:rsid w:val="00A052DC"/>
    <w:rPr>
      <w:rFonts w:ascii="Calibri" w:eastAsia="宋体" w:hAnsi="Calibri" w:cs="Times New Roman"/>
      <w:szCs w:val="24"/>
    </w:rPr>
  </w:style>
  <w:style w:type="character" w:customStyle="1" w:styleId="10">
    <w:name w:val="正文缩进 字符1"/>
    <w:link w:val="a4"/>
    <w:qFormat/>
    <w:rsid w:val="00A052DC"/>
    <w:rPr>
      <w:rFonts w:ascii="Calibri" w:eastAsia="宋体" w:hAnsi="Calibri" w:cs="Times New Roman"/>
      <w:kern w:val="0"/>
      <w:sz w:val="24"/>
      <w:szCs w:val="20"/>
    </w:rPr>
  </w:style>
  <w:style w:type="paragraph" w:customStyle="1" w:styleId="Z">
    <w:name w:val="Z正文标题"/>
    <w:basedOn w:val="a0"/>
    <w:next w:val="a0"/>
    <w:qFormat/>
    <w:rsid w:val="00A052DC"/>
    <w:pPr>
      <w:spacing w:afterLines="50" w:line="360" w:lineRule="auto"/>
      <w:ind w:firstLineChars="200" w:firstLine="200"/>
    </w:pPr>
    <w:rPr>
      <w:b/>
      <w:kern w:val="0"/>
      <w:sz w:val="24"/>
      <w:szCs w:val="20"/>
    </w:rPr>
  </w:style>
  <w:style w:type="paragraph" w:customStyle="1" w:styleId="T">
    <w:name w:val="T图形题注"/>
    <w:basedOn w:val="a0"/>
    <w:next w:val="a0"/>
    <w:qFormat/>
    <w:rsid w:val="00A052DC"/>
    <w:pPr>
      <w:tabs>
        <w:tab w:val="left" w:pos="1440"/>
      </w:tabs>
      <w:spacing w:line="360" w:lineRule="auto"/>
      <w:ind w:left="432" w:hanging="432"/>
      <w:jc w:val="center"/>
    </w:pPr>
    <w:rPr>
      <w:rFonts w:eastAsia="黑体"/>
      <w:b/>
      <w:kern w:val="0"/>
      <w:szCs w:val="20"/>
    </w:rPr>
  </w:style>
  <w:style w:type="paragraph" w:customStyle="1" w:styleId="T0">
    <w:name w:val="T图形居中"/>
    <w:next w:val="T"/>
    <w:qFormat/>
    <w:rsid w:val="00A052DC"/>
    <w:pPr>
      <w:jc w:val="center"/>
    </w:pPr>
    <w:rPr>
      <w:sz w:val="24"/>
    </w:rPr>
  </w:style>
  <w:style w:type="paragraph" w:customStyle="1" w:styleId="B2">
    <w:name w:val="B表格序号"/>
    <w:basedOn w:val="B"/>
    <w:qFormat/>
    <w:rsid w:val="00A052DC"/>
    <w:pPr>
      <w:jc w:val="center"/>
    </w:pPr>
    <w:rPr>
      <w:sz w:val="24"/>
    </w:rPr>
  </w:style>
  <w:style w:type="paragraph" w:customStyle="1" w:styleId="Z0">
    <w:name w:val="Z正文强调"/>
    <w:basedOn w:val="a0"/>
    <w:qFormat/>
    <w:rsid w:val="00A052DC"/>
    <w:pPr>
      <w:spacing w:afterLines="50" w:line="360" w:lineRule="auto"/>
      <w:ind w:firstLineChars="200" w:firstLine="200"/>
    </w:pPr>
    <w:rPr>
      <w:b/>
      <w:kern w:val="0"/>
      <w:sz w:val="24"/>
      <w:szCs w:val="20"/>
      <w:u w:val="single"/>
    </w:rPr>
  </w:style>
  <w:style w:type="paragraph" w:customStyle="1" w:styleId="aff2">
    <w:name w:val="表格文字"/>
    <w:basedOn w:val="a0"/>
    <w:qFormat/>
    <w:rsid w:val="00A052DC"/>
    <w:pPr>
      <w:jc w:val="center"/>
    </w:pPr>
    <w:rPr>
      <w:rFonts w:ascii="Times New Roman" w:hAnsi="Times New Roman"/>
      <w:szCs w:val="20"/>
    </w:rPr>
  </w:style>
  <w:style w:type="paragraph" w:customStyle="1" w:styleId="aff3">
    <w:name w:val="样式模板"/>
    <w:basedOn w:val="a0"/>
    <w:link w:val="Char"/>
    <w:qFormat/>
    <w:rsid w:val="00A052DC"/>
    <w:pPr>
      <w:spacing w:line="360" w:lineRule="auto"/>
      <w:ind w:firstLineChars="200" w:firstLine="480"/>
    </w:pPr>
    <w:rPr>
      <w:kern w:val="0"/>
      <w:sz w:val="24"/>
      <w:szCs w:val="20"/>
    </w:rPr>
  </w:style>
  <w:style w:type="character" w:customStyle="1" w:styleId="Char">
    <w:name w:val="样式模板 Char"/>
    <w:link w:val="aff3"/>
    <w:qFormat/>
    <w:rsid w:val="00A052DC"/>
    <w:rPr>
      <w:rFonts w:ascii="Calibri" w:eastAsia="宋体" w:hAnsi="Calibri" w:cs="Times New Roman"/>
      <w:kern w:val="0"/>
      <w:sz w:val="24"/>
      <w:szCs w:val="20"/>
    </w:rPr>
  </w:style>
  <w:style w:type="paragraph" w:customStyle="1" w:styleId="ISSHeadPageTitle1">
    <w:name w:val="ISS_Head_Page_Title1"/>
    <w:basedOn w:val="a0"/>
    <w:qFormat/>
    <w:rsid w:val="00A052DC"/>
    <w:pPr>
      <w:spacing w:before="180" w:line="360" w:lineRule="auto"/>
    </w:pPr>
    <w:rPr>
      <w:rFonts w:ascii="Arial" w:eastAsia="楷体_GB2312" w:hAnsi="Arial"/>
      <w:b/>
      <w:sz w:val="18"/>
      <w:szCs w:val="24"/>
    </w:rPr>
  </w:style>
  <w:style w:type="character" w:customStyle="1" w:styleId="alt-edited1">
    <w:name w:val="alt-edited1"/>
    <w:qFormat/>
    <w:rsid w:val="00A052DC"/>
    <w:rPr>
      <w:color w:val="4D90F0"/>
    </w:rPr>
  </w:style>
  <w:style w:type="paragraph" w:styleId="aff4">
    <w:name w:val="No Spacing"/>
    <w:uiPriority w:val="1"/>
    <w:qFormat/>
    <w:rsid w:val="00A052DC"/>
    <w:pPr>
      <w:widowControl w:val="0"/>
      <w:jc w:val="both"/>
    </w:pPr>
    <w:rPr>
      <w:kern w:val="2"/>
      <w:sz w:val="21"/>
      <w:szCs w:val="22"/>
    </w:rPr>
  </w:style>
  <w:style w:type="character" w:customStyle="1" w:styleId="17">
    <w:name w:val="日期 字符1"/>
    <w:link w:val="ac"/>
    <w:uiPriority w:val="99"/>
    <w:qFormat/>
    <w:rsid w:val="00A052DC"/>
  </w:style>
  <w:style w:type="character" w:customStyle="1" w:styleId="Char1">
    <w:name w:val="日期 Char1"/>
    <w:basedOn w:val="a1"/>
    <w:uiPriority w:val="99"/>
    <w:qFormat/>
    <w:rsid w:val="00A052DC"/>
  </w:style>
  <w:style w:type="paragraph" w:customStyle="1" w:styleId="xl28">
    <w:name w:val="xl28"/>
    <w:basedOn w:val="a0"/>
    <w:qFormat/>
    <w:rsid w:val="00A052DC"/>
    <w:pPr>
      <w:widowControl/>
      <w:pBdr>
        <w:right w:val="single" w:sz="4" w:space="0" w:color="auto"/>
      </w:pBdr>
      <w:spacing w:before="100" w:beforeAutospacing="1" w:after="100" w:afterAutospacing="1"/>
      <w:textAlignment w:val="top"/>
    </w:pPr>
    <w:rPr>
      <w:rFonts w:ascii="Arial Unicode MS" w:eastAsia="Arial Unicode MS" w:hAnsi="Arial Unicode MS" w:cs="Century"/>
      <w:kern w:val="0"/>
      <w:sz w:val="18"/>
      <w:szCs w:val="18"/>
    </w:rPr>
  </w:style>
  <w:style w:type="character" w:customStyle="1" w:styleId="4Char1">
    <w:name w:val="标题 4 Char1"/>
    <w:uiPriority w:val="9"/>
    <w:qFormat/>
    <w:rsid w:val="00A052DC"/>
    <w:rPr>
      <w:rFonts w:ascii="Arial" w:eastAsia="黑体" w:hAnsi="Arial"/>
      <w:b/>
      <w:bCs/>
      <w:kern w:val="2"/>
      <w:sz w:val="28"/>
      <w:szCs w:val="28"/>
      <w:lang w:val="en-US" w:eastAsia="zh-CN" w:bidi="ar-SA"/>
    </w:rPr>
  </w:style>
  <w:style w:type="character" w:customStyle="1" w:styleId="16">
    <w:name w:val="纯文本 字符1"/>
    <w:link w:val="ab"/>
    <w:qFormat/>
    <w:rsid w:val="00A052DC"/>
    <w:rPr>
      <w:rFonts w:ascii="宋体" w:eastAsia="宋体" w:hAnsi="Courier New" w:cs="Times New Roman"/>
      <w:szCs w:val="20"/>
    </w:rPr>
  </w:style>
  <w:style w:type="paragraph" w:customStyle="1" w:styleId="117165241">
    <w:name w:val="样式 标题 1 + 段前: 17 磅 段后: 16.5 磅 行距: 多倍行距 2.41 字行"/>
    <w:basedOn w:val="1"/>
    <w:qFormat/>
    <w:rsid w:val="00A052DC"/>
    <w:pPr>
      <w:pageBreakBefore w:val="0"/>
      <w:spacing w:before="240" w:after="240" w:line="480" w:lineRule="auto"/>
      <w:ind w:left="1350" w:hanging="720"/>
      <w:jc w:val="both"/>
    </w:pPr>
    <w:rPr>
      <w:rFonts w:ascii="Times New Roman" w:eastAsia="宋体" w:hAnsi="Times New Roman" w:cs="宋体"/>
      <w:szCs w:val="20"/>
    </w:rPr>
  </w:style>
  <w:style w:type="paragraph" w:customStyle="1" w:styleId="aff5">
    <w:name w:val="段"/>
    <w:qFormat/>
    <w:rsid w:val="00A052DC"/>
    <w:pPr>
      <w:autoSpaceDE w:val="0"/>
      <w:autoSpaceDN w:val="0"/>
      <w:jc w:val="both"/>
    </w:pPr>
    <w:rPr>
      <w:rFonts w:ascii="宋体" w:hAnsi="Times New Roman"/>
      <w:sz w:val="21"/>
    </w:rPr>
  </w:style>
  <w:style w:type="paragraph" w:customStyle="1" w:styleId="aff6">
    <w:name w:val="样式 宋体"/>
    <w:basedOn w:val="a0"/>
    <w:qFormat/>
    <w:rsid w:val="00A052DC"/>
    <w:pPr>
      <w:spacing w:line="360" w:lineRule="auto"/>
      <w:jc w:val="left"/>
    </w:pPr>
    <w:rPr>
      <w:rFonts w:ascii="宋体" w:hAnsi="宋体" w:cs="宋体"/>
      <w:szCs w:val="20"/>
    </w:rPr>
  </w:style>
  <w:style w:type="paragraph" w:customStyle="1" w:styleId="1f1">
    <w:name w:val="样式 宋体1"/>
    <w:basedOn w:val="a0"/>
    <w:qFormat/>
    <w:rsid w:val="00A052DC"/>
    <w:pPr>
      <w:spacing w:line="360" w:lineRule="auto"/>
      <w:jc w:val="left"/>
    </w:pPr>
    <w:rPr>
      <w:rFonts w:ascii="宋体" w:hAnsi="宋体" w:cs="宋体"/>
      <w:szCs w:val="20"/>
    </w:rPr>
  </w:style>
  <w:style w:type="paragraph" w:customStyle="1" w:styleId="24">
    <w:name w:val="样式 宋体2"/>
    <w:basedOn w:val="a0"/>
    <w:qFormat/>
    <w:rsid w:val="00A052DC"/>
    <w:pPr>
      <w:spacing w:line="360" w:lineRule="auto"/>
      <w:jc w:val="left"/>
    </w:pPr>
    <w:rPr>
      <w:rFonts w:ascii="宋体" w:hAnsi="宋体" w:cs="宋体"/>
      <w:szCs w:val="20"/>
    </w:rPr>
  </w:style>
  <w:style w:type="character" w:customStyle="1" w:styleId="1f2">
    <w:name w:val="不明显强调1"/>
    <w:uiPriority w:val="19"/>
    <w:qFormat/>
    <w:rsid w:val="00A052DC"/>
    <w:rPr>
      <w:i/>
      <w:iCs/>
      <w:color w:val="808080"/>
    </w:rPr>
  </w:style>
  <w:style w:type="paragraph" w:customStyle="1" w:styleId="25">
    <w:name w:val="标题2"/>
    <w:basedOn w:val="1"/>
    <w:link w:val="2Char"/>
    <w:qFormat/>
    <w:rsid w:val="00A052DC"/>
    <w:pPr>
      <w:pageBreakBefore w:val="0"/>
      <w:numPr>
        <w:numId w:val="0"/>
      </w:numPr>
      <w:spacing w:before="340" w:after="330"/>
      <w:jc w:val="both"/>
    </w:pPr>
    <w:rPr>
      <w:rFonts w:eastAsia="宋体"/>
      <w:sz w:val="36"/>
      <w:szCs w:val="36"/>
    </w:rPr>
  </w:style>
  <w:style w:type="character" w:customStyle="1" w:styleId="2Char">
    <w:name w:val="标题2 Char"/>
    <w:link w:val="25"/>
    <w:qFormat/>
    <w:rsid w:val="00A052DC"/>
    <w:rPr>
      <w:rFonts w:ascii="Calibri" w:eastAsia="宋体" w:hAnsi="Calibri" w:cs="Times New Roman"/>
      <w:b/>
      <w:bCs/>
      <w:kern w:val="44"/>
      <w:sz w:val="36"/>
      <w:szCs w:val="36"/>
    </w:rPr>
  </w:style>
  <w:style w:type="paragraph" w:customStyle="1" w:styleId="TOC10">
    <w:name w:val="TOC 标题1"/>
    <w:basedOn w:val="1"/>
    <w:next w:val="a0"/>
    <w:uiPriority w:val="39"/>
    <w:qFormat/>
    <w:rsid w:val="00A052DC"/>
    <w:pPr>
      <w:pageBreakBefore w:val="0"/>
      <w:widowControl/>
      <w:numPr>
        <w:numId w:val="0"/>
      </w:numPr>
      <w:spacing w:before="480" w:after="0" w:line="276" w:lineRule="auto"/>
      <w:jc w:val="left"/>
      <w:outlineLvl w:val="9"/>
    </w:pPr>
    <w:rPr>
      <w:rFonts w:ascii="Cambria" w:eastAsia="宋体" w:hAnsi="Cambria"/>
      <w:color w:val="365F91"/>
      <w:kern w:val="0"/>
      <w:sz w:val="28"/>
      <w:szCs w:val="28"/>
    </w:rPr>
  </w:style>
  <w:style w:type="paragraph" w:customStyle="1" w:styleId="1f3">
    <w:name w:val="1"/>
    <w:basedOn w:val="a0"/>
    <w:next w:val="aa"/>
    <w:qFormat/>
    <w:rsid w:val="00A052DC"/>
    <w:pPr>
      <w:ind w:firstLine="300"/>
    </w:pPr>
    <w:rPr>
      <w:rFonts w:ascii="宋体" w:hAnsi="Times New Roman"/>
      <w:sz w:val="18"/>
      <w:szCs w:val="20"/>
    </w:rPr>
  </w:style>
  <w:style w:type="paragraph" w:customStyle="1" w:styleId="aff7">
    <w:name w:val="列项◆（三级）"/>
    <w:qFormat/>
    <w:rsid w:val="00A052DC"/>
    <w:pPr>
      <w:tabs>
        <w:tab w:val="left" w:pos="927"/>
      </w:tabs>
      <w:ind w:firstLine="567"/>
    </w:pPr>
    <w:rPr>
      <w:rFonts w:ascii="宋体" w:hAnsi="Times New Roman"/>
      <w:sz w:val="21"/>
    </w:rPr>
  </w:style>
  <w:style w:type="paragraph" w:customStyle="1" w:styleId="reader-word-layer">
    <w:name w:val="reader-word-layer"/>
    <w:basedOn w:val="a0"/>
    <w:qFormat/>
    <w:rsid w:val="00A052DC"/>
    <w:pPr>
      <w:widowControl/>
      <w:spacing w:before="100" w:beforeAutospacing="1" w:after="100" w:afterAutospacing="1"/>
      <w:jc w:val="left"/>
    </w:pPr>
    <w:rPr>
      <w:rFonts w:ascii="宋体" w:hAnsi="宋体" w:cs="宋体"/>
      <w:kern w:val="0"/>
      <w:sz w:val="24"/>
      <w:szCs w:val="24"/>
    </w:rPr>
  </w:style>
  <w:style w:type="paragraph" w:customStyle="1" w:styleId="Indent">
    <w:name w:val="Indent"/>
    <w:basedOn w:val="a0"/>
    <w:qFormat/>
    <w:rsid w:val="00A052DC"/>
    <w:pPr>
      <w:widowControl/>
      <w:spacing w:line="264" w:lineRule="auto"/>
      <w:ind w:left="720" w:hanging="720"/>
      <w:jc w:val="left"/>
    </w:pPr>
    <w:rPr>
      <w:rFonts w:ascii="Times New Roman" w:hAnsi="Times New Roman"/>
      <w:kern w:val="0"/>
      <w:sz w:val="24"/>
      <w:szCs w:val="24"/>
      <w:lang w:eastAsia="en-US"/>
    </w:rPr>
  </w:style>
  <w:style w:type="paragraph" w:customStyle="1" w:styleId="UnNumberedHeading1">
    <w:name w:val="UnNumbered Heading 1"/>
    <w:basedOn w:val="a0"/>
    <w:next w:val="a0"/>
    <w:qFormat/>
    <w:rsid w:val="00A052DC"/>
    <w:pPr>
      <w:widowControl/>
      <w:spacing w:line="264" w:lineRule="auto"/>
      <w:jc w:val="center"/>
    </w:pPr>
    <w:rPr>
      <w:rFonts w:ascii="Times New Roman" w:hAnsi="Times New Roman"/>
      <w:b/>
      <w:smallCaps/>
      <w:kern w:val="0"/>
      <w:sz w:val="24"/>
      <w:szCs w:val="24"/>
      <w:lang w:eastAsia="en-US"/>
    </w:rPr>
  </w:style>
  <w:style w:type="paragraph" w:customStyle="1" w:styleId="Style1">
    <w:name w:val="Style1"/>
    <w:basedOn w:val="a0"/>
    <w:qFormat/>
    <w:rsid w:val="00A052DC"/>
    <w:pPr>
      <w:widowControl/>
      <w:tabs>
        <w:tab w:val="left" w:pos="1387"/>
        <w:tab w:val="left" w:pos="1717"/>
        <w:tab w:val="left" w:pos="2434"/>
        <w:tab w:val="left" w:pos="2995"/>
        <w:tab w:val="left" w:pos="3529"/>
        <w:tab w:val="left" w:pos="7329"/>
        <w:tab w:val="left" w:pos="9924"/>
        <w:tab w:val="left" w:pos="10864"/>
        <w:tab w:val="left" w:pos="11704"/>
        <w:tab w:val="left" w:pos="12544"/>
      </w:tabs>
      <w:ind w:left="1468" w:hanging="1382"/>
      <w:jc w:val="left"/>
    </w:pPr>
    <w:rPr>
      <w:rFonts w:ascii="Times New Roman" w:hAnsi="Times New Roman"/>
      <w:b/>
      <w:kern w:val="0"/>
      <w:sz w:val="36"/>
      <w:szCs w:val="36"/>
      <w:lang w:eastAsia="en-US"/>
    </w:rPr>
  </w:style>
  <w:style w:type="character" w:customStyle="1" w:styleId="tw4winMark">
    <w:name w:val="tw4winMark"/>
    <w:qFormat/>
    <w:rsid w:val="00A052DC"/>
    <w:rPr>
      <w:rFonts w:ascii="Courier New" w:hAnsi="Courier New"/>
      <w:vanish/>
      <w:color w:val="800080"/>
      <w:vertAlign w:val="subscript"/>
    </w:rPr>
  </w:style>
  <w:style w:type="paragraph" w:customStyle="1" w:styleId="font5">
    <w:name w:val="font5"/>
    <w:basedOn w:val="a0"/>
    <w:qFormat/>
    <w:rsid w:val="00A052DC"/>
    <w:pPr>
      <w:widowControl/>
      <w:spacing w:before="100" w:beforeAutospacing="1" w:after="100" w:afterAutospacing="1"/>
      <w:jc w:val="left"/>
    </w:pPr>
    <w:rPr>
      <w:rFonts w:ascii="宋体" w:hAnsi="宋体" w:cs="宋体"/>
      <w:kern w:val="0"/>
      <w:sz w:val="18"/>
      <w:szCs w:val="18"/>
    </w:rPr>
  </w:style>
  <w:style w:type="paragraph" w:customStyle="1" w:styleId="xl63">
    <w:name w:val="xl63"/>
    <w:basedOn w:val="a0"/>
    <w:qFormat/>
    <w:rsid w:val="00A052D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64">
    <w:name w:val="xl64"/>
    <w:basedOn w:val="a0"/>
    <w:qFormat/>
    <w:rsid w:val="00A052DC"/>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黑体" w:eastAsia="黑体" w:hAnsi="宋体" w:cs="宋体"/>
      <w:b/>
      <w:bCs/>
      <w:color w:val="000000"/>
      <w:kern w:val="0"/>
      <w:sz w:val="20"/>
      <w:szCs w:val="20"/>
    </w:rPr>
  </w:style>
  <w:style w:type="paragraph" w:customStyle="1" w:styleId="xl65">
    <w:name w:val="xl65"/>
    <w:basedOn w:val="a0"/>
    <w:qFormat/>
    <w:rsid w:val="00A052D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黑体" w:eastAsia="黑体" w:hAnsi="宋体" w:cs="宋体"/>
      <w:color w:val="000000"/>
      <w:kern w:val="0"/>
      <w:sz w:val="20"/>
      <w:szCs w:val="20"/>
    </w:rPr>
  </w:style>
  <w:style w:type="paragraph" w:customStyle="1" w:styleId="xl66">
    <w:name w:val="xl66"/>
    <w:basedOn w:val="a0"/>
    <w:qFormat/>
    <w:rsid w:val="00A052D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kern w:val="0"/>
      <w:sz w:val="18"/>
      <w:szCs w:val="18"/>
    </w:rPr>
  </w:style>
  <w:style w:type="paragraph" w:customStyle="1" w:styleId="xl67">
    <w:name w:val="xl67"/>
    <w:basedOn w:val="a0"/>
    <w:qFormat/>
    <w:rsid w:val="00A052D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68">
    <w:name w:val="xl68"/>
    <w:basedOn w:val="a0"/>
    <w:qFormat/>
    <w:rsid w:val="00A052D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18"/>
      <w:szCs w:val="18"/>
    </w:rPr>
  </w:style>
  <w:style w:type="paragraph" w:customStyle="1" w:styleId="xl69">
    <w:name w:val="xl69"/>
    <w:basedOn w:val="a0"/>
    <w:qFormat/>
    <w:rsid w:val="00A052D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kern w:val="0"/>
      <w:sz w:val="18"/>
      <w:szCs w:val="18"/>
    </w:rPr>
  </w:style>
  <w:style w:type="paragraph" w:customStyle="1" w:styleId="xl70">
    <w:name w:val="xl70"/>
    <w:basedOn w:val="a0"/>
    <w:qFormat/>
    <w:rsid w:val="00A052DC"/>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cs="宋体"/>
      <w:kern w:val="0"/>
      <w:szCs w:val="21"/>
    </w:rPr>
  </w:style>
  <w:style w:type="paragraph" w:customStyle="1" w:styleId="xl71">
    <w:name w:val="xl71"/>
    <w:basedOn w:val="a0"/>
    <w:qFormat/>
    <w:rsid w:val="00A052D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cs="宋体"/>
      <w:kern w:val="0"/>
      <w:szCs w:val="21"/>
    </w:rPr>
  </w:style>
  <w:style w:type="paragraph" w:customStyle="1" w:styleId="xl72">
    <w:name w:val="xl72"/>
    <w:basedOn w:val="a0"/>
    <w:qFormat/>
    <w:rsid w:val="00A052D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eastAsia="黑体" w:hAnsi="宋体" w:cs="宋体"/>
      <w:kern w:val="0"/>
      <w:sz w:val="20"/>
      <w:szCs w:val="20"/>
    </w:rPr>
  </w:style>
  <w:style w:type="paragraph" w:customStyle="1" w:styleId="xl73">
    <w:name w:val="xl73"/>
    <w:basedOn w:val="a0"/>
    <w:qFormat/>
    <w:rsid w:val="00A052DC"/>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宋体" w:hAnsi="宋体" w:cs="宋体"/>
      <w:kern w:val="0"/>
      <w:sz w:val="18"/>
      <w:szCs w:val="18"/>
    </w:rPr>
  </w:style>
  <w:style w:type="paragraph" w:customStyle="1" w:styleId="xl74">
    <w:name w:val="xl74"/>
    <w:basedOn w:val="a0"/>
    <w:qFormat/>
    <w:rsid w:val="00A052DC"/>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宋体" w:hAnsi="宋体" w:cs="宋体"/>
      <w:kern w:val="0"/>
      <w:sz w:val="24"/>
      <w:szCs w:val="24"/>
    </w:rPr>
  </w:style>
  <w:style w:type="paragraph" w:customStyle="1" w:styleId="xl75">
    <w:name w:val="xl75"/>
    <w:basedOn w:val="a0"/>
    <w:qFormat/>
    <w:rsid w:val="00A052DC"/>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宋体" w:hAnsi="宋体" w:cs="宋体"/>
      <w:kern w:val="0"/>
      <w:sz w:val="20"/>
      <w:szCs w:val="20"/>
    </w:rPr>
  </w:style>
  <w:style w:type="paragraph" w:customStyle="1" w:styleId="xl76">
    <w:name w:val="xl76"/>
    <w:basedOn w:val="a0"/>
    <w:qFormat/>
    <w:rsid w:val="00A052DC"/>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宋体" w:hAnsi="宋体" w:cs="宋体"/>
      <w:color w:val="000000"/>
      <w:kern w:val="0"/>
      <w:szCs w:val="21"/>
    </w:rPr>
  </w:style>
  <w:style w:type="paragraph" w:customStyle="1" w:styleId="xl77">
    <w:name w:val="xl77"/>
    <w:basedOn w:val="a0"/>
    <w:qFormat/>
    <w:rsid w:val="00A052D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eastAsia="黑体" w:hAnsi="宋体" w:cs="宋体"/>
      <w:color w:val="FF0000"/>
      <w:kern w:val="0"/>
      <w:sz w:val="20"/>
      <w:szCs w:val="20"/>
    </w:rPr>
  </w:style>
  <w:style w:type="paragraph" w:customStyle="1" w:styleId="xl78">
    <w:name w:val="xl78"/>
    <w:basedOn w:val="a0"/>
    <w:qFormat/>
    <w:rsid w:val="00A052DC"/>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黑体" w:eastAsia="黑体" w:hAnsi="宋体" w:cs="宋体"/>
      <w:color w:val="FF0000"/>
      <w:kern w:val="0"/>
      <w:sz w:val="20"/>
      <w:szCs w:val="20"/>
    </w:rPr>
  </w:style>
  <w:style w:type="paragraph" w:customStyle="1" w:styleId="xl79">
    <w:name w:val="xl79"/>
    <w:basedOn w:val="a0"/>
    <w:qFormat/>
    <w:rsid w:val="00A052D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80">
    <w:name w:val="xl80"/>
    <w:basedOn w:val="a0"/>
    <w:qFormat/>
    <w:rsid w:val="00A052DC"/>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宋体" w:hAnsi="宋体" w:cs="宋体"/>
      <w:kern w:val="0"/>
      <w:sz w:val="24"/>
      <w:szCs w:val="24"/>
    </w:rPr>
  </w:style>
  <w:style w:type="paragraph" w:customStyle="1" w:styleId="xl81">
    <w:name w:val="xl81"/>
    <w:basedOn w:val="a0"/>
    <w:qFormat/>
    <w:rsid w:val="00A052DC"/>
    <w:pPr>
      <w:widowControl/>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rFonts w:ascii="黑体" w:eastAsia="黑体" w:hAnsi="宋体" w:cs="宋体"/>
      <w:b/>
      <w:bCs/>
      <w:color w:val="000000"/>
      <w:kern w:val="0"/>
      <w:sz w:val="20"/>
      <w:szCs w:val="20"/>
    </w:rPr>
  </w:style>
  <w:style w:type="paragraph" w:customStyle="1" w:styleId="xl82">
    <w:name w:val="xl82"/>
    <w:basedOn w:val="a0"/>
    <w:qFormat/>
    <w:rsid w:val="00A052DC"/>
    <w:pPr>
      <w:widowControl/>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pPr>
    <w:rPr>
      <w:rFonts w:ascii="黑体" w:eastAsia="黑体" w:hAnsi="宋体" w:cs="宋体"/>
      <w:color w:val="000000"/>
      <w:kern w:val="0"/>
      <w:sz w:val="20"/>
      <w:szCs w:val="20"/>
    </w:rPr>
  </w:style>
  <w:style w:type="paragraph" w:customStyle="1" w:styleId="xl83">
    <w:name w:val="xl83"/>
    <w:basedOn w:val="a0"/>
    <w:qFormat/>
    <w:rsid w:val="00A052DC"/>
    <w:pPr>
      <w:widowControl/>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pPr>
    <w:rPr>
      <w:rFonts w:ascii="宋体" w:hAnsi="宋体" w:cs="宋体"/>
      <w:kern w:val="0"/>
      <w:sz w:val="24"/>
      <w:szCs w:val="24"/>
    </w:rPr>
  </w:style>
  <w:style w:type="character" w:customStyle="1" w:styleId="CommentTextChar">
    <w:name w:val="Comment Text Char"/>
    <w:semiHidden/>
    <w:qFormat/>
    <w:locked/>
    <w:rsid w:val="00A052DC"/>
    <w:rPr>
      <w:rFonts w:cs="Times New Roman"/>
      <w:kern w:val="0"/>
      <w:sz w:val="20"/>
      <w:szCs w:val="20"/>
    </w:rPr>
  </w:style>
  <w:style w:type="paragraph" w:customStyle="1" w:styleId="1f4">
    <w:name w:val="修订1"/>
    <w:hidden/>
    <w:uiPriority w:val="99"/>
    <w:qFormat/>
    <w:rsid w:val="00A052DC"/>
    <w:rPr>
      <w:kern w:val="2"/>
      <w:sz w:val="21"/>
      <w:szCs w:val="22"/>
    </w:rPr>
  </w:style>
  <w:style w:type="paragraph" w:customStyle="1" w:styleId="font6">
    <w:name w:val="font6"/>
    <w:basedOn w:val="a0"/>
    <w:qFormat/>
    <w:rsid w:val="00A052DC"/>
    <w:pPr>
      <w:widowControl/>
      <w:spacing w:before="100" w:beforeAutospacing="1" w:after="100" w:afterAutospacing="1"/>
      <w:jc w:val="left"/>
    </w:pPr>
    <w:rPr>
      <w:rFonts w:ascii="宋体" w:hAnsi="宋体" w:cs="宋体"/>
      <w:kern w:val="0"/>
      <w:sz w:val="18"/>
      <w:szCs w:val="18"/>
    </w:rPr>
  </w:style>
  <w:style w:type="paragraph" w:customStyle="1" w:styleId="font7">
    <w:name w:val="font7"/>
    <w:basedOn w:val="a0"/>
    <w:qFormat/>
    <w:rsid w:val="00A052DC"/>
    <w:pPr>
      <w:widowControl/>
      <w:spacing w:before="100" w:beforeAutospacing="1" w:after="100" w:afterAutospacing="1"/>
      <w:jc w:val="left"/>
    </w:pPr>
    <w:rPr>
      <w:rFonts w:cs="Calibri"/>
      <w:color w:val="000000"/>
      <w:kern w:val="0"/>
      <w:sz w:val="20"/>
      <w:szCs w:val="20"/>
    </w:rPr>
  </w:style>
  <w:style w:type="paragraph" w:customStyle="1" w:styleId="font8">
    <w:name w:val="font8"/>
    <w:basedOn w:val="a0"/>
    <w:qFormat/>
    <w:rsid w:val="00A052DC"/>
    <w:pPr>
      <w:widowControl/>
      <w:spacing w:before="100" w:beforeAutospacing="1" w:after="100" w:afterAutospacing="1"/>
      <w:jc w:val="left"/>
    </w:pPr>
    <w:rPr>
      <w:rFonts w:ascii="黑体" w:eastAsia="黑体" w:hAnsi="宋体" w:cs="宋体"/>
      <w:color w:val="000000"/>
      <w:kern w:val="0"/>
      <w:sz w:val="20"/>
      <w:szCs w:val="20"/>
    </w:rPr>
  </w:style>
  <w:style w:type="paragraph" w:customStyle="1" w:styleId="font9">
    <w:name w:val="font9"/>
    <w:basedOn w:val="a0"/>
    <w:qFormat/>
    <w:rsid w:val="00A052DC"/>
    <w:pPr>
      <w:widowControl/>
      <w:spacing w:before="100" w:beforeAutospacing="1" w:after="100" w:afterAutospacing="1"/>
      <w:jc w:val="left"/>
    </w:pPr>
    <w:rPr>
      <w:rFonts w:cs="Calibri"/>
      <w:color w:val="000000"/>
      <w:kern w:val="0"/>
      <w:sz w:val="20"/>
      <w:szCs w:val="20"/>
    </w:rPr>
  </w:style>
  <w:style w:type="character" w:customStyle="1" w:styleId="1c">
    <w:name w:val="副标题 字符1"/>
    <w:link w:val="af1"/>
    <w:uiPriority w:val="11"/>
    <w:qFormat/>
    <w:rsid w:val="00A052DC"/>
    <w:rPr>
      <w:rFonts w:ascii="Cambria" w:hAnsi="Cambria" w:cs="Times New Roman"/>
      <w:i/>
      <w:iCs/>
      <w:color w:val="4F81BD"/>
      <w:spacing w:val="15"/>
      <w:sz w:val="24"/>
    </w:rPr>
  </w:style>
  <w:style w:type="paragraph" w:styleId="aff8">
    <w:name w:val="Quote"/>
    <w:basedOn w:val="a0"/>
    <w:next w:val="a0"/>
    <w:link w:val="aff9"/>
    <w:uiPriority w:val="29"/>
    <w:qFormat/>
    <w:rsid w:val="00A052DC"/>
    <w:rPr>
      <w:i/>
      <w:iCs/>
      <w:color w:val="000000"/>
      <w:kern w:val="0"/>
      <w:sz w:val="20"/>
      <w:szCs w:val="20"/>
    </w:rPr>
  </w:style>
  <w:style w:type="character" w:customStyle="1" w:styleId="aff9">
    <w:name w:val="引用 字符"/>
    <w:link w:val="aff8"/>
    <w:uiPriority w:val="29"/>
    <w:qFormat/>
    <w:rsid w:val="00A052DC"/>
    <w:rPr>
      <w:rFonts w:cs="Times New Roman"/>
      <w:i/>
      <w:iCs/>
      <w:color w:val="000000"/>
    </w:rPr>
  </w:style>
  <w:style w:type="paragraph" w:styleId="affa">
    <w:name w:val="Intense Quote"/>
    <w:basedOn w:val="a0"/>
    <w:next w:val="a0"/>
    <w:link w:val="affb"/>
    <w:uiPriority w:val="30"/>
    <w:qFormat/>
    <w:rsid w:val="00A052DC"/>
    <w:pPr>
      <w:pBdr>
        <w:bottom w:val="single" w:sz="4" w:space="4" w:color="4F81BD"/>
      </w:pBdr>
      <w:spacing w:before="200" w:after="280"/>
      <w:ind w:left="936" w:right="936"/>
    </w:pPr>
    <w:rPr>
      <w:b/>
      <w:bCs/>
      <w:i/>
      <w:iCs/>
      <w:color w:val="4F81BD"/>
      <w:kern w:val="0"/>
      <w:sz w:val="20"/>
      <w:szCs w:val="20"/>
    </w:rPr>
  </w:style>
  <w:style w:type="character" w:customStyle="1" w:styleId="affb">
    <w:name w:val="明显引用 字符"/>
    <w:link w:val="affa"/>
    <w:uiPriority w:val="30"/>
    <w:qFormat/>
    <w:rsid w:val="00A052DC"/>
    <w:rPr>
      <w:rFonts w:cs="Times New Roman"/>
      <w:b/>
      <w:bCs/>
      <w:i/>
      <w:iCs/>
      <w:color w:val="4F81BD"/>
    </w:rPr>
  </w:style>
  <w:style w:type="character" w:customStyle="1" w:styleId="1f5">
    <w:name w:val="明显强调1"/>
    <w:uiPriority w:val="21"/>
    <w:qFormat/>
    <w:rsid w:val="00A052DC"/>
    <w:rPr>
      <w:b/>
      <w:bCs/>
      <w:i/>
      <w:iCs/>
      <w:color w:val="4F81BD"/>
    </w:rPr>
  </w:style>
  <w:style w:type="character" w:customStyle="1" w:styleId="1f6">
    <w:name w:val="不明显参考1"/>
    <w:uiPriority w:val="31"/>
    <w:qFormat/>
    <w:rsid w:val="00A052DC"/>
    <w:rPr>
      <w:smallCaps/>
      <w:color w:val="C0504D"/>
      <w:u w:val="single"/>
    </w:rPr>
  </w:style>
  <w:style w:type="character" w:customStyle="1" w:styleId="1f7">
    <w:name w:val="明显参考1"/>
    <w:uiPriority w:val="32"/>
    <w:qFormat/>
    <w:rsid w:val="00A052DC"/>
    <w:rPr>
      <w:b/>
      <w:bCs/>
      <w:smallCaps/>
      <w:color w:val="C0504D"/>
      <w:spacing w:val="5"/>
      <w:u w:val="single"/>
    </w:rPr>
  </w:style>
  <w:style w:type="character" w:customStyle="1" w:styleId="1f8">
    <w:name w:val="书籍标题1"/>
    <w:uiPriority w:val="33"/>
    <w:qFormat/>
    <w:rsid w:val="00A052DC"/>
    <w:rPr>
      <w:b/>
      <w:bCs/>
      <w:smallCaps/>
      <w:spacing w:val="5"/>
    </w:rPr>
  </w:style>
  <w:style w:type="paragraph" w:customStyle="1" w:styleId="font10">
    <w:name w:val="font10"/>
    <w:basedOn w:val="a0"/>
    <w:qFormat/>
    <w:rsid w:val="00A052DC"/>
    <w:pPr>
      <w:widowControl/>
      <w:spacing w:before="100" w:beforeAutospacing="1" w:after="100" w:afterAutospacing="1"/>
      <w:jc w:val="left"/>
    </w:pPr>
    <w:rPr>
      <w:rFonts w:ascii="宋体" w:hAnsi="宋体" w:cs="宋体"/>
      <w:color w:val="333333"/>
      <w:kern w:val="0"/>
      <w:sz w:val="20"/>
      <w:szCs w:val="20"/>
    </w:rPr>
  </w:style>
  <w:style w:type="paragraph" w:customStyle="1" w:styleId="font11">
    <w:name w:val="font11"/>
    <w:basedOn w:val="a0"/>
    <w:qFormat/>
    <w:rsid w:val="00A052DC"/>
    <w:pPr>
      <w:widowControl/>
      <w:spacing w:before="100" w:beforeAutospacing="1" w:after="100" w:afterAutospacing="1"/>
      <w:jc w:val="left"/>
    </w:pPr>
    <w:rPr>
      <w:rFonts w:ascii="Arial" w:hAnsi="Arial" w:cs="Arial"/>
      <w:color w:val="333333"/>
      <w:kern w:val="0"/>
      <w:sz w:val="20"/>
      <w:szCs w:val="20"/>
    </w:rPr>
  </w:style>
  <w:style w:type="paragraph" w:customStyle="1" w:styleId="font12">
    <w:name w:val="font12"/>
    <w:basedOn w:val="a0"/>
    <w:qFormat/>
    <w:rsid w:val="00A052DC"/>
    <w:pPr>
      <w:widowControl/>
      <w:spacing w:before="100" w:beforeAutospacing="1" w:after="100" w:afterAutospacing="1"/>
      <w:jc w:val="left"/>
    </w:pPr>
    <w:rPr>
      <w:rFonts w:ascii="宋体" w:hAnsi="宋体" w:cs="宋体"/>
      <w:kern w:val="0"/>
      <w:sz w:val="18"/>
      <w:szCs w:val="18"/>
    </w:rPr>
  </w:style>
  <w:style w:type="paragraph" w:customStyle="1" w:styleId="xl84">
    <w:name w:val="xl84"/>
    <w:basedOn w:val="a0"/>
    <w:qFormat/>
    <w:rsid w:val="00A052D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2B2B2B"/>
      <w:kern w:val="0"/>
      <w:sz w:val="20"/>
      <w:szCs w:val="20"/>
    </w:rPr>
  </w:style>
  <w:style w:type="paragraph" w:customStyle="1" w:styleId="xl85">
    <w:name w:val="xl85"/>
    <w:basedOn w:val="a0"/>
    <w:qFormat/>
    <w:rsid w:val="00A052D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egoe UI" w:hAnsi="Segoe UI" w:cs="Segoe UI"/>
      <w:kern w:val="0"/>
      <w:sz w:val="20"/>
      <w:szCs w:val="20"/>
    </w:rPr>
  </w:style>
  <w:style w:type="paragraph" w:customStyle="1" w:styleId="xl86">
    <w:name w:val="xl86"/>
    <w:basedOn w:val="a0"/>
    <w:qFormat/>
    <w:rsid w:val="00A052D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2B2B2B"/>
      <w:kern w:val="0"/>
      <w:sz w:val="24"/>
      <w:szCs w:val="24"/>
    </w:rPr>
  </w:style>
  <w:style w:type="paragraph" w:customStyle="1" w:styleId="xl87">
    <w:name w:val="xl87"/>
    <w:basedOn w:val="a0"/>
    <w:qFormat/>
    <w:rsid w:val="00A052DC"/>
    <w:pPr>
      <w:widowControl/>
      <w:spacing w:before="100" w:beforeAutospacing="1" w:after="100" w:afterAutospacing="1"/>
      <w:jc w:val="center"/>
      <w:textAlignment w:val="center"/>
    </w:pPr>
    <w:rPr>
      <w:rFonts w:ascii="Segoe UI" w:hAnsi="Segoe UI" w:cs="Segoe UI"/>
      <w:kern w:val="0"/>
      <w:sz w:val="20"/>
      <w:szCs w:val="20"/>
    </w:rPr>
  </w:style>
  <w:style w:type="paragraph" w:customStyle="1" w:styleId="xl88">
    <w:name w:val="xl88"/>
    <w:basedOn w:val="a0"/>
    <w:qFormat/>
    <w:rsid w:val="00A052DC"/>
    <w:pPr>
      <w:widowControl/>
      <w:shd w:val="clear" w:color="000000" w:fill="FFFFFF"/>
      <w:spacing w:before="100" w:beforeAutospacing="1" w:after="100" w:afterAutospacing="1"/>
      <w:jc w:val="left"/>
    </w:pPr>
    <w:rPr>
      <w:rFonts w:ascii="Segoe UI" w:hAnsi="Segoe UI" w:cs="Segoe UI"/>
      <w:kern w:val="0"/>
      <w:sz w:val="20"/>
      <w:szCs w:val="20"/>
    </w:rPr>
  </w:style>
  <w:style w:type="paragraph" w:customStyle="1" w:styleId="xl89">
    <w:name w:val="xl89"/>
    <w:basedOn w:val="a0"/>
    <w:qFormat/>
    <w:rsid w:val="00A052D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Segoe UI" w:hAnsi="Segoe UI" w:cs="Segoe UI"/>
      <w:kern w:val="0"/>
      <w:sz w:val="20"/>
      <w:szCs w:val="20"/>
    </w:rPr>
  </w:style>
  <w:style w:type="paragraph" w:customStyle="1" w:styleId="xl90">
    <w:name w:val="xl90"/>
    <w:basedOn w:val="a0"/>
    <w:qFormat/>
    <w:rsid w:val="00A052D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Segoe UI" w:hAnsi="Segoe UI" w:cs="Segoe UI"/>
      <w:kern w:val="0"/>
      <w:sz w:val="20"/>
      <w:szCs w:val="20"/>
    </w:rPr>
  </w:style>
  <w:style w:type="paragraph" w:customStyle="1" w:styleId="xl91">
    <w:name w:val="xl91"/>
    <w:basedOn w:val="a0"/>
    <w:qFormat/>
    <w:rsid w:val="00A052D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2B2B2B"/>
      <w:kern w:val="0"/>
      <w:sz w:val="20"/>
      <w:szCs w:val="20"/>
    </w:rPr>
  </w:style>
  <w:style w:type="paragraph" w:customStyle="1" w:styleId="xl92">
    <w:name w:val="xl92"/>
    <w:basedOn w:val="a0"/>
    <w:qFormat/>
    <w:rsid w:val="00A052D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仿宋_GB2312" w:eastAsia="仿宋_GB2312" w:hAnsi="宋体" w:cs="宋体"/>
      <w:kern w:val="0"/>
      <w:sz w:val="20"/>
      <w:szCs w:val="20"/>
    </w:rPr>
  </w:style>
  <w:style w:type="paragraph" w:customStyle="1" w:styleId="xl93">
    <w:name w:val="xl93"/>
    <w:basedOn w:val="a0"/>
    <w:qFormat/>
    <w:rsid w:val="00A052D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仿宋_GB2312" w:eastAsia="仿宋_GB2312" w:hAnsi="宋体" w:cs="宋体"/>
      <w:kern w:val="0"/>
      <w:sz w:val="20"/>
      <w:szCs w:val="20"/>
    </w:rPr>
  </w:style>
  <w:style w:type="paragraph" w:customStyle="1" w:styleId="xl94">
    <w:name w:val="xl94"/>
    <w:basedOn w:val="a0"/>
    <w:qFormat/>
    <w:rsid w:val="00A052D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仿宋_GB2312" w:eastAsia="仿宋_GB2312" w:hAnsi="宋体" w:cs="宋体"/>
      <w:kern w:val="0"/>
      <w:sz w:val="20"/>
      <w:szCs w:val="20"/>
    </w:rPr>
  </w:style>
  <w:style w:type="paragraph" w:customStyle="1" w:styleId="xl95">
    <w:name w:val="xl95"/>
    <w:basedOn w:val="a0"/>
    <w:qFormat/>
    <w:rsid w:val="00A052D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仿宋_GB2312" w:eastAsia="仿宋_GB2312" w:hAnsi="宋体" w:cs="宋体"/>
      <w:kern w:val="0"/>
      <w:sz w:val="20"/>
      <w:szCs w:val="20"/>
    </w:rPr>
  </w:style>
  <w:style w:type="paragraph" w:customStyle="1" w:styleId="xl96">
    <w:name w:val="xl96"/>
    <w:basedOn w:val="a0"/>
    <w:qFormat/>
    <w:rsid w:val="00A052D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仿宋_GB2312" w:eastAsia="仿宋_GB2312" w:hAnsi="宋体" w:cs="宋体"/>
      <w:kern w:val="0"/>
      <w:sz w:val="20"/>
      <w:szCs w:val="20"/>
    </w:rPr>
  </w:style>
  <w:style w:type="paragraph" w:customStyle="1" w:styleId="xl97">
    <w:name w:val="xl97"/>
    <w:basedOn w:val="a0"/>
    <w:qFormat/>
    <w:rsid w:val="00A052D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仿宋_GB2312" w:eastAsia="仿宋_GB2312" w:hAnsi="宋体" w:cs="宋体"/>
      <w:kern w:val="0"/>
      <w:sz w:val="20"/>
      <w:szCs w:val="20"/>
    </w:rPr>
  </w:style>
  <w:style w:type="paragraph" w:customStyle="1" w:styleId="xl98">
    <w:name w:val="xl98"/>
    <w:basedOn w:val="a0"/>
    <w:qFormat/>
    <w:rsid w:val="00A052D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仿宋_GB2312" w:eastAsia="仿宋_GB2312" w:hAnsi="宋体" w:cs="宋体"/>
      <w:kern w:val="0"/>
      <w:sz w:val="20"/>
      <w:szCs w:val="20"/>
    </w:rPr>
  </w:style>
  <w:style w:type="paragraph" w:customStyle="1" w:styleId="xl99">
    <w:name w:val="xl99"/>
    <w:basedOn w:val="a0"/>
    <w:qFormat/>
    <w:rsid w:val="00A052D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仿宋_GB2312" w:eastAsia="仿宋_GB2312" w:hAnsi="宋体" w:cs="宋体"/>
      <w:kern w:val="0"/>
      <w:sz w:val="20"/>
      <w:szCs w:val="20"/>
    </w:rPr>
  </w:style>
  <w:style w:type="paragraph" w:customStyle="1" w:styleId="xl100">
    <w:name w:val="xl100"/>
    <w:basedOn w:val="a0"/>
    <w:qFormat/>
    <w:rsid w:val="00A052DC"/>
    <w:pPr>
      <w:widowControl/>
      <w:spacing w:before="100" w:beforeAutospacing="1" w:after="100" w:afterAutospacing="1"/>
      <w:jc w:val="center"/>
    </w:pPr>
    <w:rPr>
      <w:rFonts w:ascii="宋体" w:hAnsi="宋体" w:cs="宋体"/>
      <w:kern w:val="0"/>
      <w:sz w:val="24"/>
      <w:szCs w:val="24"/>
    </w:rPr>
  </w:style>
  <w:style w:type="paragraph" w:customStyle="1" w:styleId="xl101">
    <w:name w:val="xl101"/>
    <w:basedOn w:val="a0"/>
    <w:qFormat/>
    <w:rsid w:val="00A052D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仿宋_GB2312" w:eastAsia="仿宋_GB2312" w:hAnsi="宋体" w:cs="宋体"/>
      <w:b/>
      <w:bCs/>
      <w:kern w:val="0"/>
      <w:sz w:val="20"/>
      <w:szCs w:val="20"/>
    </w:rPr>
  </w:style>
  <w:style w:type="paragraph" w:customStyle="1" w:styleId="xl102">
    <w:name w:val="xl102"/>
    <w:basedOn w:val="a0"/>
    <w:qFormat/>
    <w:rsid w:val="00A052DC"/>
    <w:pPr>
      <w:widowControl/>
      <w:spacing w:before="100" w:beforeAutospacing="1" w:after="100" w:afterAutospacing="1"/>
      <w:jc w:val="center"/>
    </w:pPr>
    <w:rPr>
      <w:rFonts w:ascii="宋体" w:hAnsi="宋体" w:cs="宋体"/>
      <w:b/>
      <w:bCs/>
      <w:kern w:val="0"/>
      <w:sz w:val="24"/>
      <w:szCs w:val="24"/>
    </w:rPr>
  </w:style>
  <w:style w:type="paragraph" w:customStyle="1" w:styleId="xl103">
    <w:name w:val="xl103"/>
    <w:basedOn w:val="a0"/>
    <w:qFormat/>
    <w:rsid w:val="00A052D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仿宋_GB2312" w:eastAsia="仿宋_GB2312" w:hAnsi="宋体" w:cs="宋体"/>
      <w:kern w:val="0"/>
      <w:sz w:val="20"/>
      <w:szCs w:val="20"/>
    </w:rPr>
  </w:style>
  <w:style w:type="paragraph" w:customStyle="1" w:styleId="xl104">
    <w:name w:val="xl104"/>
    <w:basedOn w:val="a0"/>
    <w:qFormat/>
    <w:rsid w:val="00A052D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仿宋_GB2312" w:eastAsia="仿宋_GB2312" w:hAnsi="宋体" w:cs="宋体"/>
      <w:kern w:val="0"/>
      <w:sz w:val="20"/>
      <w:szCs w:val="20"/>
    </w:rPr>
  </w:style>
  <w:style w:type="paragraph" w:customStyle="1" w:styleId="xl105">
    <w:name w:val="xl105"/>
    <w:basedOn w:val="a0"/>
    <w:qFormat/>
    <w:rsid w:val="00A052D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仿宋_GB2312" w:eastAsia="仿宋_GB2312" w:hAnsi="宋体" w:cs="宋体"/>
      <w:kern w:val="0"/>
      <w:sz w:val="20"/>
      <w:szCs w:val="20"/>
    </w:rPr>
  </w:style>
  <w:style w:type="paragraph" w:customStyle="1" w:styleId="xl106">
    <w:name w:val="xl106"/>
    <w:basedOn w:val="a0"/>
    <w:qFormat/>
    <w:rsid w:val="00A052D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仿宋_GB2312" w:eastAsia="仿宋_GB2312" w:hAnsi="宋体" w:cs="宋体"/>
      <w:kern w:val="0"/>
      <w:sz w:val="20"/>
      <w:szCs w:val="20"/>
    </w:rPr>
  </w:style>
  <w:style w:type="paragraph" w:customStyle="1" w:styleId="xl107">
    <w:name w:val="xl107"/>
    <w:basedOn w:val="a0"/>
    <w:qFormat/>
    <w:rsid w:val="00A052D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仿宋_GB2312" w:eastAsia="仿宋_GB2312" w:hAnsi="宋体" w:cs="宋体"/>
      <w:kern w:val="0"/>
      <w:sz w:val="20"/>
      <w:szCs w:val="20"/>
    </w:rPr>
  </w:style>
  <w:style w:type="paragraph" w:customStyle="1" w:styleId="xl108">
    <w:name w:val="xl108"/>
    <w:basedOn w:val="a0"/>
    <w:qFormat/>
    <w:rsid w:val="00A052D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仿宋_GB2312" w:eastAsia="仿宋_GB2312" w:hAnsi="宋体" w:cs="宋体"/>
      <w:kern w:val="0"/>
      <w:sz w:val="20"/>
      <w:szCs w:val="20"/>
    </w:rPr>
  </w:style>
  <w:style w:type="paragraph" w:customStyle="1" w:styleId="xl109">
    <w:name w:val="xl109"/>
    <w:basedOn w:val="a0"/>
    <w:qFormat/>
    <w:rsid w:val="00A052DC"/>
    <w:pPr>
      <w:widowControl/>
      <w:shd w:val="clear" w:color="000000" w:fill="FFFFFF"/>
      <w:spacing w:before="100" w:beforeAutospacing="1" w:after="100" w:afterAutospacing="1"/>
      <w:jc w:val="center"/>
    </w:pPr>
    <w:rPr>
      <w:rFonts w:ascii="宋体" w:hAnsi="宋体" w:cs="宋体"/>
      <w:kern w:val="0"/>
      <w:sz w:val="24"/>
      <w:szCs w:val="24"/>
    </w:rPr>
  </w:style>
  <w:style w:type="character" w:customStyle="1" w:styleId="Char10">
    <w:name w:val="正文文本 Char1"/>
    <w:qFormat/>
    <w:rsid w:val="00A052DC"/>
    <w:rPr>
      <w:kern w:val="2"/>
      <w:sz w:val="21"/>
      <w:szCs w:val="24"/>
    </w:rPr>
  </w:style>
  <w:style w:type="character" w:customStyle="1" w:styleId="26">
    <w:name w:val="标题 2 字符"/>
    <w:uiPriority w:val="9"/>
    <w:qFormat/>
    <w:rsid w:val="00A052DC"/>
    <w:rPr>
      <w:rFonts w:ascii="Cambria" w:eastAsia="黑体" w:hAnsi="Cambria"/>
      <w:b/>
      <w:bCs/>
      <w:sz w:val="32"/>
      <w:szCs w:val="32"/>
      <w:lang w:val="en-US" w:eastAsia="zh-CN" w:bidi="ar-SA"/>
    </w:rPr>
  </w:style>
  <w:style w:type="character" w:customStyle="1" w:styleId="affc">
    <w:name w:val="正文文本缩进 字符"/>
    <w:qFormat/>
    <w:rsid w:val="00A052DC"/>
    <w:rPr>
      <w:rFonts w:ascii="Calibri" w:eastAsia="仿宋_GB2312" w:hAnsi="Calibri" w:cs="Times New Roman"/>
      <w:kern w:val="0"/>
      <w:sz w:val="24"/>
      <w:szCs w:val="20"/>
    </w:rPr>
  </w:style>
  <w:style w:type="paragraph" w:customStyle="1" w:styleId="34">
    <w:name w:val="3"/>
    <w:uiPriority w:val="99"/>
    <w:unhideWhenUsed/>
    <w:qFormat/>
    <w:rsid w:val="00A052DC"/>
    <w:pPr>
      <w:widowControl w:val="0"/>
      <w:jc w:val="both"/>
    </w:pPr>
    <w:rPr>
      <w:kern w:val="2"/>
      <w:sz w:val="21"/>
      <w:szCs w:val="22"/>
    </w:rPr>
  </w:style>
  <w:style w:type="paragraph" w:customStyle="1" w:styleId="1f9">
    <w:name w:val="列出段落1"/>
    <w:basedOn w:val="a0"/>
    <w:uiPriority w:val="34"/>
    <w:qFormat/>
    <w:rsid w:val="00A052DC"/>
    <w:pPr>
      <w:ind w:firstLineChars="200" w:firstLine="420"/>
    </w:pPr>
  </w:style>
  <w:style w:type="paragraph" w:customStyle="1" w:styleId="1fa">
    <w:name w:val="无间隔1"/>
    <w:uiPriority w:val="1"/>
    <w:qFormat/>
    <w:rsid w:val="00A052DC"/>
    <w:pPr>
      <w:widowControl w:val="0"/>
      <w:jc w:val="both"/>
    </w:pPr>
    <w:rPr>
      <w:kern w:val="2"/>
      <w:sz w:val="21"/>
      <w:szCs w:val="22"/>
    </w:rPr>
  </w:style>
  <w:style w:type="paragraph" w:customStyle="1" w:styleId="TOC11">
    <w:name w:val="TOC 标题11"/>
    <w:basedOn w:val="1"/>
    <w:next w:val="a0"/>
    <w:uiPriority w:val="39"/>
    <w:qFormat/>
    <w:rsid w:val="00A052DC"/>
    <w:pPr>
      <w:widowControl/>
      <w:numPr>
        <w:numId w:val="0"/>
      </w:numPr>
      <w:spacing w:before="480" w:after="0" w:line="276" w:lineRule="auto"/>
      <w:jc w:val="left"/>
      <w:outlineLvl w:val="9"/>
    </w:pPr>
    <w:rPr>
      <w:rFonts w:ascii="Cambria" w:eastAsia="宋体" w:hAnsi="Cambria"/>
      <w:color w:val="365F91"/>
      <w:kern w:val="0"/>
      <w:sz w:val="28"/>
      <w:szCs w:val="28"/>
    </w:rPr>
  </w:style>
  <w:style w:type="paragraph" w:customStyle="1" w:styleId="110">
    <w:name w:val="修订11"/>
    <w:hidden/>
    <w:uiPriority w:val="99"/>
    <w:semiHidden/>
    <w:qFormat/>
    <w:rsid w:val="00A052DC"/>
    <w:rPr>
      <w:kern w:val="2"/>
      <w:sz w:val="21"/>
      <w:szCs w:val="22"/>
    </w:rPr>
  </w:style>
  <w:style w:type="paragraph" w:customStyle="1" w:styleId="1fb">
    <w:name w:val="引用1"/>
    <w:basedOn w:val="a0"/>
    <w:next w:val="a0"/>
    <w:uiPriority w:val="29"/>
    <w:qFormat/>
    <w:rsid w:val="00A052DC"/>
    <w:rPr>
      <w:rFonts w:ascii="Times New Roman" w:hAnsi="Times New Roman"/>
      <w:i/>
      <w:iCs/>
      <w:color w:val="000000"/>
      <w:kern w:val="0"/>
      <w:sz w:val="20"/>
      <w:szCs w:val="20"/>
    </w:rPr>
  </w:style>
  <w:style w:type="paragraph" w:customStyle="1" w:styleId="1fc">
    <w:name w:val="明显引用1"/>
    <w:basedOn w:val="a0"/>
    <w:next w:val="a0"/>
    <w:uiPriority w:val="30"/>
    <w:qFormat/>
    <w:rsid w:val="00A052DC"/>
    <w:pPr>
      <w:pBdr>
        <w:bottom w:val="single" w:sz="4" w:space="4" w:color="4F81BD"/>
      </w:pBdr>
      <w:spacing w:before="200" w:after="280"/>
      <w:ind w:left="936" w:right="936"/>
    </w:pPr>
    <w:rPr>
      <w:rFonts w:ascii="Times New Roman" w:hAnsi="Times New Roman"/>
      <w:b/>
      <w:bCs/>
      <w:i/>
      <w:iCs/>
      <w:color w:val="4F81BD"/>
      <w:kern w:val="0"/>
      <w:sz w:val="20"/>
      <w:szCs w:val="20"/>
    </w:rPr>
  </w:style>
  <w:style w:type="character" w:customStyle="1" w:styleId="1fd">
    <w:name w:val="标题 1 字符"/>
    <w:uiPriority w:val="9"/>
    <w:qFormat/>
    <w:rsid w:val="00A052DC"/>
    <w:rPr>
      <w:rFonts w:ascii="Calibri" w:eastAsia="黑体" w:hAnsi="Calibri"/>
      <w:b/>
      <w:bCs/>
      <w:kern w:val="44"/>
      <w:sz w:val="44"/>
      <w:szCs w:val="44"/>
      <w:lang w:val="en-US" w:eastAsia="zh-CN" w:bidi="ar-SA"/>
    </w:rPr>
  </w:style>
  <w:style w:type="character" w:customStyle="1" w:styleId="35">
    <w:name w:val="标题 3 字符"/>
    <w:uiPriority w:val="9"/>
    <w:qFormat/>
    <w:rsid w:val="00A052DC"/>
    <w:rPr>
      <w:rFonts w:ascii="Calibri" w:eastAsia="黑体" w:hAnsi="Calibri"/>
      <w:b/>
      <w:bCs/>
      <w:sz w:val="32"/>
      <w:szCs w:val="32"/>
      <w:lang w:val="en-US" w:eastAsia="zh-CN" w:bidi="ar-SA"/>
    </w:rPr>
  </w:style>
  <w:style w:type="character" w:customStyle="1" w:styleId="43">
    <w:name w:val="标题 4 字符"/>
    <w:uiPriority w:val="9"/>
    <w:qFormat/>
    <w:rsid w:val="00A052DC"/>
    <w:rPr>
      <w:rFonts w:ascii="Cambria" w:eastAsia="宋体" w:hAnsi="Cambria" w:cs="黑体"/>
      <w:b/>
      <w:bCs/>
      <w:sz w:val="28"/>
      <w:szCs w:val="28"/>
    </w:rPr>
  </w:style>
  <w:style w:type="character" w:customStyle="1" w:styleId="53">
    <w:name w:val="标题 5 字符"/>
    <w:qFormat/>
    <w:rsid w:val="00A052DC"/>
    <w:rPr>
      <w:rFonts w:ascii="Times New Roman" w:eastAsia="宋体" w:hAnsi="Times New Roman" w:cs="Times New Roman"/>
      <w:b/>
      <w:bCs/>
      <w:sz w:val="28"/>
      <w:szCs w:val="28"/>
    </w:rPr>
  </w:style>
  <w:style w:type="character" w:customStyle="1" w:styleId="62">
    <w:name w:val="标题 6 字符"/>
    <w:qFormat/>
    <w:rsid w:val="00A052DC"/>
    <w:rPr>
      <w:rFonts w:ascii="Arial" w:eastAsia="黑体" w:hAnsi="Arial" w:cs="Times New Roman"/>
      <w:b/>
      <w:bCs/>
      <w:sz w:val="24"/>
      <w:szCs w:val="24"/>
    </w:rPr>
  </w:style>
  <w:style w:type="character" w:customStyle="1" w:styleId="72">
    <w:name w:val="标题 7 字符"/>
    <w:qFormat/>
    <w:rsid w:val="00A052DC"/>
    <w:rPr>
      <w:rFonts w:ascii="Times New Roman" w:eastAsia="宋体" w:hAnsi="Times New Roman" w:cs="Times New Roman"/>
      <w:b/>
      <w:bCs/>
      <w:sz w:val="24"/>
      <w:szCs w:val="24"/>
    </w:rPr>
  </w:style>
  <w:style w:type="character" w:customStyle="1" w:styleId="82">
    <w:name w:val="标题 8 字符"/>
    <w:qFormat/>
    <w:rsid w:val="00A052DC"/>
    <w:rPr>
      <w:rFonts w:ascii="Arial" w:eastAsia="黑体" w:hAnsi="Arial" w:cs="Times New Roman"/>
      <w:sz w:val="24"/>
      <w:szCs w:val="24"/>
    </w:rPr>
  </w:style>
  <w:style w:type="character" w:customStyle="1" w:styleId="92">
    <w:name w:val="标题 9 字符"/>
    <w:qFormat/>
    <w:rsid w:val="00A052DC"/>
    <w:rPr>
      <w:rFonts w:ascii="Arial" w:eastAsia="黑体" w:hAnsi="Arial" w:cs="Times New Roman"/>
      <w:szCs w:val="21"/>
    </w:rPr>
  </w:style>
  <w:style w:type="character" w:customStyle="1" w:styleId="affd">
    <w:name w:val="标题 字符"/>
    <w:qFormat/>
    <w:rsid w:val="00A052DC"/>
    <w:rPr>
      <w:rFonts w:ascii="Calibri" w:eastAsia="宋体" w:hAnsi="Calibri" w:cs="Times New Roman"/>
      <w:b/>
      <w:kern w:val="0"/>
      <w:sz w:val="32"/>
      <w:szCs w:val="20"/>
    </w:rPr>
  </w:style>
  <w:style w:type="character" w:customStyle="1" w:styleId="affe">
    <w:name w:val="文档结构图 字符"/>
    <w:qFormat/>
    <w:rsid w:val="00A052DC"/>
    <w:rPr>
      <w:rFonts w:ascii="宋体" w:eastAsia="宋体"/>
      <w:sz w:val="18"/>
      <w:szCs w:val="18"/>
    </w:rPr>
  </w:style>
  <w:style w:type="character" w:customStyle="1" w:styleId="afff">
    <w:name w:val="页眉 字符"/>
    <w:uiPriority w:val="99"/>
    <w:qFormat/>
    <w:rsid w:val="00A052DC"/>
    <w:rPr>
      <w:sz w:val="18"/>
      <w:szCs w:val="18"/>
    </w:rPr>
  </w:style>
  <w:style w:type="character" w:customStyle="1" w:styleId="afff0">
    <w:name w:val="页脚 字符"/>
    <w:uiPriority w:val="99"/>
    <w:qFormat/>
    <w:rsid w:val="00A052DC"/>
    <w:rPr>
      <w:sz w:val="18"/>
      <w:szCs w:val="18"/>
    </w:rPr>
  </w:style>
  <w:style w:type="character" w:customStyle="1" w:styleId="27">
    <w:name w:val="正文文本缩进 2 字符"/>
    <w:uiPriority w:val="99"/>
    <w:qFormat/>
    <w:rsid w:val="00A052DC"/>
    <w:rPr>
      <w:rFonts w:ascii="Calibri" w:eastAsia="宋体" w:hAnsi="Calibri" w:cs="Times New Roman"/>
      <w:kern w:val="0"/>
      <w:sz w:val="24"/>
      <w:szCs w:val="20"/>
    </w:rPr>
  </w:style>
  <w:style w:type="character" w:customStyle="1" w:styleId="36">
    <w:name w:val="正文文本缩进 3 字符"/>
    <w:uiPriority w:val="99"/>
    <w:qFormat/>
    <w:rsid w:val="00A052DC"/>
    <w:rPr>
      <w:rFonts w:ascii="Calibri" w:eastAsia="宋体" w:hAnsi="Calibri" w:cs="Times New Roman"/>
      <w:kern w:val="0"/>
      <w:sz w:val="16"/>
      <w:szCs w:val="16"/>
    </w:rPr>
  </w:style>
  <w:style w:type="character" w:customStyle="1" w:styleId="afff1">
    <w:name w:val="批注框文本 字符"/>
    <w:qFormat/>
    <w:rsid w:val="00A052DC"/>
    <w:rPr>
      <w:rFonts w:ascii="Calibri" w:eastAsia="宋体" w:hAnsi="Calibri" w:cs="Times New Roman"/>
      <w:kern w:val="0"/>
      <w:sz w:val="18"/>
      <w:szCs w:val="18"/>
    </w:rPr>
  </w:style>
  <w:style w:type="character" w:customStyle="1" w:styleId="afff2">
    <w:name w:val="正文文本 字符"/>
    <w:qFormat/>
    <w:rsid w:val="00A052DC"/>
    <w:rPr>
      <w:rFonts w:ascii="Calibri" w:eastAsia="宋体" w:hAnsi="Calibri" w:cs="Times New Roman"/>
      <w:kern w:val="0"/>
      <w:sz w:val="24"/>
      <w:szCs w:val="20"/>
    </w:rPr>
  </w:style>
  <w:style w:type="character" w:customStyle="1" w:styleId="afff3">
    <w:name w:val="正文首行缩进 字符"/>
    <w:qFormat/>
    <w:rsid w:val="00A052DC"/>
    <w:rPr>
      <w:rFonts w:ascii="Calibri" w:eastAsia="宋体" w:hAnsi="Calibri" w:cs="Times New Roman"/>
      <w:kern w:val="0"/>
      <w:sz w:val="24"/>
      <w:szCs w:val="20"/>
    </w:rPr>
  </w:style>
  <w:style w:type="character" w:customStyle="1" w:styleId="afff4">
    <w:name w:val="脚注文本 字符"/>
    <w:qFormat/>
    <w:rsid w:val="00A052DC"/>
    <w:rPr>
      <w:rFonts w:ascii="Calibri" w:eastAsia="宋体" w:hAnsi="Calibri" w:cs="Times New Roman"/>
      <w:kern w:val="0"/>
      <w:sz w:val="18"/>
      <w:szCs w:val="18"/>
    </w:rPr>
  </w:style>
  <w:style w:type="character" w:customStyle="1" w:styleId="afff5">
    <w:name w:val="批注文字 字符"/>
    <w:uiPriority w:val="99"/>
    <w:qFormat/>
    <w:rsid w:val="00A052DC"/>
    <w:rPr>
      <w:rFonts w:ascii="Calibri" w:eastAsia="宋体" w:hAnsi="Calibri" w:cs="Times New Roman"/>
      <w:szCs w:val="24"/>
    </w:rPr>
  </w:style>
  <w:style w:type="character" w:customStyle="1" w:styleId="afff6">
    <w:name w:val="批注主题 字符"/>
    <w:qFormat/>
    <w:rsid w:val="00A052DC"/>
    <w:rPr>
      <w:rFonts w:ascii="Calibri" w:eastAsia="宋体" w:hAnsi="Calibri" w:cs="Times New Roman"/>
      <w:b/>
      <w:bCs/>
      <w:szCs w:val="24"/>
    </w:rPr>
  </w:style>
  <w:style w:type="character" w:customStyle="1" w:styleId="afff7">
    <w:name w:val="尾注文本 字符"/>
    <w:qFormat/>
    <w:rsid w:val="00A052DC"/>
    <w:rPr>
      <w:rFonts w:ascii="Calibri" w:eastAsia="宋体" w:hAnsi="Calibri" w:cs="Times New Roman"/>
      <w:szCs w:val="24"/>
    </w:rPr>
  </w:style>
  <w:style w:type="character" w:customStyle="1" w:styleId="afff8">
    <w:name w:val="正文缩进 字符"/>
    <w:qFormat/>
    <w:rsid w:val="00A052DC"/>
    <w:rPr>
      <w:rFonts w:ascii="Calibri" w:eastAsia="宋体" w:hAnsi="Calibri" w:cs="Times New Roman"/>
      <w:kern w:val="0"/>
      <w:sz w:val="24"/>
      <w:szCs w:val="20"/>
    </w:rPr>
  </w:style>
  <w:style w:type="character" w:customStyle="1" w:styleId="afff9">
    <w:name w:val="日期 字符"/>
    <w:uiPriority w:val="99"/>
    <w:qFormat/>
    <w:rsid w:val="00A052DC"/>
  </w:style>
  <w:style w:type="character" w:customStyle="1" w:styleId="afffa">
    <w:name w:val="纯文本 字符"/>
    <w:qFormat/>
    <w:rsid w:val="00A052DC"/>
    <w:rPr>
      <w:rFonts w:ascii="宋体" w:eastAsia="宋体" w:hAnsi="Courier New" w:cs="Times New Roman"/>
      <w:szCs w:val="20"/>
    </w:rPr>
  </w:style>
  <w:style w:type="character" w:customStyle="1" w:styleId="111">
    <w:name w:val="不明显强调11"/>
    <w:uiPriority w:val="19"/>
    <w:qFormat/>
    <w:rsid w:val="00A052DC"/>
    <w:rPr>
      <w:i/>
      <w:iCs/>
      <w:color w:val="808080"/>
    </w:rPr>
  </w:style>
  <w:style w:type="character" w:customStyle="1" w:styleId="afffb">
    <w:name w:val="副标题 字符"/>
    <w:uiPriority w:val="11"/>
    <w:qFormat/>
    <w:rsid w:val="00A052DC"/>
    <w:rPr>
      <w:rFonts w:ascii="Cambria" w:hAnsi="Cambria" w:cs="Times New Roman"/>
      <w:i/>
      <w:iCs/>
      <w:color w:val="4F81BD"/>
      <w:spacing w:val="15"/>
      <w:sz w:val="24"/>
    </w:rPr>
  </w:style>
  <w:style w:type="character" w:customStyle="1" w:styleId="112">
    <w:name w:val="明显强调11"/>
    <w:uiPriority w:val="21"/>
    <w:qFormat/>
    <w:rsid w:val="00A052DC"/>
    <w:rPr>
      <w:b/>
      <w:bCs/>
      <w:i/>
      <w:iCs/>
      <w:color w:val="4F81BD"/>
    </w:rPr>
  </w:style>
  <w:style w:type="character" w:customStyle="1" w:styleId="113">
    <w:name w:val="不明显参考11"/>
    <w:uiPriority w:val="31"/>
    <w:qFormat/>
    <w:rsid w:val="00A052DC"/>
    <w:rPr>
      <w:smallCaps/>
      <w:color w:val="C0504D"/>
      <w:u w:val="single"/>
    </w:rPr>
  </w:style>
  <w:style w:type="character" w:customStyle="1" w:styleId="114">
    <w:name w:val="明显参考11"/>
    <w:uiPriority w:val="32"/>
    <w:qFormat/>
    <w:rsid w:val="00A052DC"/>
    <w:rPr>
      <w:b/>
      <w:bCs/>
      <w:smallCaps/>
      <w:color w:val="C0504D"/>
      <w:spacing w:val="5"/>
      <w:u w:val="single"/>
    </w:rPr>
  </w:style>
  <w:style w:type="character" w:customStyle="1" w:styleId="115">
    <w:name w:val="书籍标题11"/>
    <w:uiPriority w:val="33"/>
    <w:qFormat/>
    <w:rsid w:val="00A052DC"/>
    <w:rPr>
      <w:b/>
      <w:bCs/>
      <w:smallCaps/>
      <w:spacing w:val="5"/>
    </w:rPr>
  </w:style>
  <w:style w:type="paragraph" w:customStyle="1" w:styleId="xl45">
    <w:name w:val="xl45"/>
    <w:basedOn w:val="a0"/>
    <w:qFormat/>
    <w:rsid w:val="00A052DC"/>
    <w:pPr>
      <w:widowControl/>
      <w:spacing w:before="100" w:beforeAutospacing="1" w:after="100" w:afterAutospacing="1"/>
      <w:jc w:val="center"/>
      <w:textAlignment w:val="center"/>
    </w:pPr>
    <w:rPr>
      <w:rFonts w:ascii="幼圆" w:eastAsia="幼圆" w:hAnsi="宋体" w:hint="eastAsia"/>
      <w:kern w:val="0"/>
      <w:szCs w:val="24"/>
      <w:lang w:eastAsia="en-US"/>
    </w:rPr>
  </w:style>
  <w:style w:type="paragraph" w:styleId="afffc">
    <w:name w:val="Revision"/>
    <w:hidden/>
    <w:uiPriority w:val="99"/>
    <w:unhideWhenUsed/>
    <w:rsid w:val="009F0A60"/>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package" Target="embeddings/Microsoft_Visio_Drawing.vsdx"/><Relationship Id="rId3" Type="http://schemas.openxmlformats.org/officeDocument/2006/relationships/numbering" Target="numbering.xml"/><Relationship Id="rId21" Type="http://schemas.openxmlformats.org/officeDocument/2006/relationships/image" Target="media/image4.e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3.emf"/><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oleObject3.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35"/>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1F08C90-6404-457C-B6D8-11DFC7E43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32</Pages>
  <Words>63323</Words>
  <Characters>360942</Characters>
  <Application>Microsoft Office Word</Application>
  <DocSecurity>0</DocSecurity>
  <Lines>3007</Lines>
  <Paragraphs>846</Paragraphs>
  <ScaleCrop>false</ScaleCrop>
  <Company>Lenovo (Beijing) Limited</Company>
  <LinksUpToDate>false</LinksUpToDate>
  <CharactersWithSpaces>423419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Wang Peng</dc:creator>
  <cp:lastModifiedBy>Zhen Wang</cp:lastModifiedBy>
  <cp:revision>27</cp:revision>
  <cp:lastPrinted>2022-04-24T02:14:00Z</cp:lastPrinted>
  <dcterms:created xsi:type="dcterms:W3CDTF">2022-04-21T12:07:00Z</dcterms:created>
  <dcterms:modified xsi:type="dcterms:W3CDTF">2022-05-12T13:43:00Z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2052-11.8.2.10422</vt:lpwstr>
  </property>
</Properties>
</file>